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141E3" w14:textId="67112207" w:rsidR="000B2D2C" w:rsidRDefault="000B2D2C" w:rsidP="000B2D2C">
      <w:pPr>
        <w:spacing w:after="0" w:line="240" w:lineRule="auto"/>
        <w:jc w:val="center"/>
        <w:rPr>
          <w:rFonts w:ascii="Cambria" w:eastAsia="Times New Roman" w:hAnsi="Cambria" w:cs="Times New Roman"/>
          <w:b/>
          <w:lang w:val="hr-HR"/>
        </w:rPr>
      </w:pPr>
      <w:r>
        <w:rPr>
          <w:rFonts w:ascii="Cambria" w:eastAsia="Times New Roman" w:hAnsi="Cambria" w:cs="Times New Roman"/>
          <w:noProof/>
          <w:lang w:val="hr-HR" w:eastAsia="hr-HR"/>
        </w:rPr>
        <w:drawing>
          <wp:inline distT="0" distB="0" distL="0" distR="0" wp14:anchorId="3B104704" wp14:editId="3639EBA0">
            <wp:extent cx="2933700" cy="923925"/>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33700" cy="923925"/>
                    </a:xfrm>
                    <a:prstGeom prst="rect">
                      <a:avLst/>
                    </a:prstGeom>
                    <a:noFill/>
                    <a:ln>
                      <a:noFill/>
                    </a:ln>
                  </pic:spPr>
                </pic:pic>
              </a:graphicData>
            </a:graphic>
          </wp:inline>
        </w:drawing>
      </w:r>
    </w:p>
    <w:p w14:paraId="4BC98EB6" w14:textId="77777777" w:rsidR="000B2D2C" w:rsidRDefault="000B2D2C" w:rsidP="000B2D2C">
      <w:pPr>
        <w:autoSpaceDE w:val="0"/>
        <w:autoSpaceDN w:val="0"/>
        <w:adjustRightInd w:val="0"/>
        <w:spacing w:after="0" w:line="240" w:lineRule="auto"/>
        <w:jc w:val="both"/>
        <w:rPr>
          <w:rFonts w:ascii="Cambria" w:eastAsia="Times New Roman" w:hAnsi="Cambria" w:cs="Times New Roman"/>
          <w:b/>
          <w:lang w:val="hr-HR"/>
        </w:rPr>
      </w:pPr>
    </w:p>
    <w:p w14:paraId="1725B7F6" w14:textId="77777777" w:rsidR="004E3FDC" w:rsidRPr="0077700D" w:rsidRDefault="004E3FDC" w:rsidP="004E3FDC">
      <w:pPr>
        <w:autoSpaceDE w:val="0"/>
        <w:autoSpaceDN w:val="0"/>
        <w:adjustRightInd w:val="0"/>
        <w:spacing w:after="0" w:line="240" w:lineRule="auto"/>
        <w:jc w:val="center"/>
        <w:rPr>
          <w:rFonts w:ascii="Cambria" w:eastAsia="Times New Roman" w:hAnsi="Cambria"/>
          <w:b/>
          <w:caps/>
          <w:sz w:val="28"/>
          <w:szCs w:val="28"/>
          <w:lang w:val="hr-HR"/>
        </w:rPr>
      </w:pPr>
      <w:r w:rsidRPr="0077700D">
        <w:rPr>
          <w:rFonts w:ascii="Cambria" w:eastAsia="Times New Roman" w:hAnsi="Cambria"/>
          <w:b/>
          <w:caps/>
          <w:sz w:val="28"/>
          <w:szCs w:val="28"/>
          <w:lang w:val="hr-HR"/>
        </w:rPr>
        <w:t xml:space="preserve">sveučilišni Integrirani prIJEdiplomski i diplomski učiteljski studij NA HRVATSKOM JEZIKU </w:t>
      </w:r>
    </w:p>
    <w:p w14:paraId="1D0F185C" w14:textId="77777777" w:rsidR="004E3FDC" w:rsidRPr="0077700D" w:rsidRDefault="004E3FDC" w:rsidP="004E3FDC">
      <w:pPr>
        <w:autoSpaceDE w:val="0"/>
        <w:autoSpaceDN w:val="0"/>
        <w:adjustRightInd w:val="0"/>
        <w:spacing w:after="0" w:line="240" w:lineRule="auto"/>
        <w:jc w:val="center"/>
        <w:rPr>
          <w:rFonts w:ascii="Cambria" w:eastAsia="Times New Roman" w:hAnsi="Cambria"/>
          <w:b/>
          <w:caps/>
          <w:sz w:val="28"/>
          <w:szCs w:val="28"/>
          <w:lang w:val="hr-HR"/>
        </w:rPr>
      </w:pPr>
      <w:r w:rsidRPr="0077700D">
        <w:rPr>
          <w:rFonts w:ascii="Cambria" w:eastAsia="Times New Roman" w:hAnsi="Cambria"/>
          <w:b/>
          <w:caps/>
          <w:sz w:val="28"/>
          <w:szCs w:val="28"/>
          <w:lang w:val="hr-HR"/>
        </w:rPr>
        <w:t>u akademskoj 2025./2026. godini</w:t>
      </w:r>
    </w:p>
    <w:p w14:paraId="6726398B" w14:textId="77777777" w:rsidR="004E3FDC" w:rsidRPr="0077700D" w:rsidRDefault="004E3FDC" w:rsidP="004E3FDC">
      <w:pPr>
        <w:autoSpaceDE w:val="0"/>
        <w:autoSpaceDN w:val="0"/>
        <w:adjustRightInd w:val="0"/>
        <w:spacing w:after="120" w:line="240" w:lineRule="auto"/>
        <w:jc w:val="center"/>
        <w:rPr>
          <w:rFonts w:ascii="Cambria" w:eastAsia="Times New Roman" w:hAnsi="Cambria"/>
          <w:b/>
          <w:caps/>
          <w:lang w:val="hr-HR"/>
        </w:rPr>
      </w:pPr>
    </w:p>
    <w:p w14:paraId="407A6535" w14:textId="77777777" w:rsidR="004E3FDC" w:rsidRPr="0077700D" w:rsidRDefault="004E3FDC" w:rsidP="004E3FDC">
      <w:pPr>
        <w:autoSpaceDE w:val="0"/>
        <w:autoSpaceDN w:val="0"/>
        <w:adjustRightInd w:val="0"/>
        <w:spacing w:after="120" w:line="240" w:lineRule="auto"/>
        <w:jc w:val="center"/>
        <w:rPr>
          <w:rFonts w:ascii="Cambria" w:eastAsia="Times New Roman" w:hAnsi="Cambria"/>
          <w:b/>
          <w:caps/>
          <w:lang w:val="hr-HR"/>
        </w:rPr>
      </w:pPr>
      <w:r w:rsidRPr="0077700D">
        <w:rPr>
          <w:rFonts w:ascii="Cambria" w:eastAsia="Times New Roman" w:hAnsi="Cambria"/>
          <w:b/>
          <w:caps/>
          <w:lang w:val="hr-HR"/>
        </w:rPr>
        <w:t>1. GODINA</w:t>
      </w:r>
    </w:p>
    <w:tbl>
      <w:tblPr>
        <w:tblW w:w="4866"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966"/>
        <w:gridCol w:w="3738"/>
        <w:gridCol w:w="760"/>
        <w:gridCol w:w="687"/>
        <w:gridCol w:w="762"/>
        <w:gridCol w:w="852"/>
      </w:tblGrid>
      <w:tr w:rsidR="004E3FDC" w:rsidRPr="0077700D" w14:paraId="614D60AA" w14:textId="77777777" w:rsidTr="00450B7A">
        <w:trPr>
          <w:cantSplit/>
          <w:jc w:val="center"/>
        </w:trPr>
        <w:tc>
          <w:tcPr>
            <w:tcW w:w="5000" w:type="pct"/>
            <w:gridSpan w:val="6"/>
            <w:tcBorders>
              <w:top w:val="single" w:sz="2" w:space="0" w:color="auto"/>
              <w:left w:val="single" w:sz="2" w:space="0" w:color="auto"/>
              <w:bottom w:val="single" w:sz="2" w:space="0" w:color="auto"/>
              <w:right w:val="single" w:sz="2" w:space="0" w:color="auto"/>
            </w:tcBorders>
            <w:shd w:val="clear" w:color="auto" w:fill="33CCCC"/>
            <w:hideMark/>
          </w:tcPr>
          <w:p w14:paraId="328988AF" w14:textId="77777777" w:rsidR="004E3FDC" w:rsidRPr="0077700D" w:rsidRDefault="004E3FDC" w:rsidP="00450B7A">
            <w:pPr>
              <w:spacing w:after="0"/>
              <w:jc w:val="center"/>
              <w:rPr>
                <w:rFonts w:ascii="Cambria" w:hAnsi="Cambria"/>
                <w:b/>
                <w:lang w:val="hr-HR"/>
              </w:rPr>
            </w:pPr>
            <w:r w:rsidRPr="0077700D">
              <w:rPr>
                <w:rFonts w:ascii="Cambria" w:hAnsi="Cambria"/>
                <w:b/>
                <w:lang w:val="hr-HR"/>
              </w:rPr>
              <w:t>I. semestar</w:t>
            </w:r>
          </w:p>
        </w:tc>
      </w:tr>
      <w:tr w:rsidR="004E3FDC" w:rsidRPr="0077700D" w14:paraId="4084DD8E" w14:textId="77777777" w:rsidTr="00450B7A">
        <w:trPr>
          <w:cantSplit/>
          <w:jc w:val="center"/>
        </w:trPr>
        <w:tc>
          <w:tcPr>
            <w:tcW w:w="1519" w:type="pct"/>
            <w:tcBorders>
              <w:top w:val="single" w:sz="2" w:space="0" w:color="auto"/>
              <w:left w:val="single" w:sz="2" w:space="0" w:color="auto"/>
              <w:bottom w:val="single" w:sz="2" w:space="0" w:color="auto"/>
              <w:right w:val="single" w:sz="2" w:space="0" w:color="auto"/>
            </w:tcBorders>
            <w:hideMark/>
          </w:tcPr>
          <w:p w14:paraId="70823159" w14:textId="77777777" w:rsidR="004E3FDC" w:rsidRPr="0077700D" w:rsidRDefault="004E3FDC" w:rsidP="00450B7A">
            <w:pPr>
              <w:rPr>
                <w:rFonts w:ascii="Cambria" w:hAnsi="Cambria"/>
                <w:b/>
                <w:lang w:val="hr-HR"/>
              </w:rPr>
            </w:pPr>
            <w:r w:rsidRPr="0077700D">
              <w:rPr>
                <w:rFonts w:ascii="Cambria" w:hAnsi="Cambria"/>
                <w:b/>
                <w:lang w:val="hr-HR"/>
              </w:rPr>
              <w:t>Predmet</w:t>
            </w:r>
          </w:p>
        </w:tc>
        <w:tc>
          <w:tcPr>
            <w:tcW w:w="1914" w:type="pct"/>
            <w:tcBorders>
              <w:top w:val="single" w:sz="2" w:space="0" w:color="auto"/>
              <w:left w:val="single" w:sz="2" w:space="0" w:color="auto"/>
              <w:bottom w:val="single" w:sz="2" w:space="0" w:color="auto"/>
              <w:right w:val="single" w:sz="2" w:space="0" w:color="auto"/>
            </w:tcBorders>
            <w:vAlign w:val="center"/>
            <w:hideMark/>
          </w:tcPr>
          <w:p w14:paraId="4DAC0A22" w14:textId="77777777" w:rsidR="004E3FDC" w:rsidRPr="0077700D" w:rsidRDefault="004E3FDC" w:rsidP="00450B7A">
            <w:pPr>
              <w:widowControl w:val="0"/>
              <w:spacing w:after="0" w:line="240" w:lineRule="auto"/>
              <w:rPr>
                <w:rFonts w:ascii="Cambria" w:eastAsia="Times New Roman" w:hAnsi="Cambria"/>
                <w:b/>
                <w:lang w:val="hr-HR"/>
              </w:rPr>
            </w:pPr>
            <w:r w:rsidRPr="0077700D">
              <w:rPr>
                <w:rFonts w:ascii="Cambria" w:eastAsia="Times New Roman" w:hAnsi="Cambria"/>
                <w:b/>
                <w:lang w:val="hr-HR"/>
              </w:rPr>
              <w:t>Nastavnik/</w:t>
            </w:r>
            <w:proofErr w:type="spellStart"/>
            <w:r w:rsidRPr="0077700D">
              <w:rPr>
                <w:rFonts w:ascii="Cambria" w:eastAsia="Times New Roman" w:hAnsi="Cambria"/>
                <w:b/>
                <w:lang w:val="hr-HR"/>
              </w:rPr>
              <w:t>ica</w:t>
            </w:r>
            <w:proofErr w:type="spellEnd"/>
          </w:p>
        </w:tc>
        <w:tc>
          <w:tcPr>
            <w:tcW w:w="389" w:type="pct"/>
            <w:tcBorders>
              <w:top w:val="single" w:sz="2" w:space="0" w:color="auto"/>
              <w:left w:val="single" w:sz="2" w:space="0" w:color="auto"/>
              <w:bottom w:val="single" w:sz="2" w:space="0" w:color="auto"/>
              <w:right w:val="single" w:sz="2" w:space="0" w:color="auto"/>
            </w:tcBorders>
            <w:vAlign w:val="center"/>
            <w:hideMark/>
          </w:tcPr>
          <w:p w14:paraId="5C0D9C48" w14:textId="77777777" w:rsidR="004E3FDC" w:rsidRPr="0077700D" w:rsidRDefault="004E3FDC" w:rsidP="00450B7A">
            <w:pPr>
              <w:spacing w:after="0" w:line="240" w:lineRule="auto"/>
              <w:jc w:val="center"/>
              <w:rPr>
                <w:rFonts w:ascii="Cambria" w:eastAsia="Times New Roman" w:hAnsi="Cambria"/>
                <w:b/>
                <w:bCs/>
                <w:caps/>
                <w:lang w:val="hr-HR"/>
              </w:rPr>
            </w:pPr>
            <w:bookmarkStart w:id="0" w:name="_Toc208818019"/>
            <w:bookmarkStart w:id="1" w:name="_Toc208819677"/>
            <w:bookmarkStart w:id="2" w:name="_Toc208904365"/>
            <w:bookmarkStart w:id="3" w:name="_Toc209340470"/>
            <w:bookmarkStart w:id="4" w:name="_Toc209420848"/>
            <w:bookmarkStart w:id="5" w:name="_Toc209421229"/>
            <w:bookmarkStart w:id="6" w:name="_Toc209789824"/>
            <w:r w:rsidRPr="0077700D">
              <w:rPr>
                <w:rFonts w:ascii="Cambria" w:eastAsia="Times New Roman" w:hAnsi="Cambria"/>
                <w:b/>
                <w:bCs/>
                <w:caps/>
                <w:lang w:val="hr-HR"/>
              </w:rPr>
              <w:t>P</w:t>
            </w:r>
            <w:bookmarkEnd w:id="0"/>
            <w:bookmarkEnd w:id="1"/>
            <w:bookmarkEnd w:id="2"/>
            <w:bookmarkEnd w:id="3"/>
            <w:bookmarkEnd w:id="4"/>
            <w:bookmarkEnd w:id="5"/>
            <w:bookmarkEnd w:id="6"/>
          </w:p>
        </w:tc>
        <w:tc>
          <w:tcPr>
            <w:tcW w:w="352" w:type="pct"/>
            <w:tcBorders>
              <w:top w:val="single" w:sz="2" w:space="0" w:color="auto"/>
              <w:left w:val="single" w:sz="2" w:space="0" w:color="auto"/>
              <w:bottom w:val="single" w:sz="2" w:space="0" w:color="auto"/>
              <w:right w:val="single" w:sz="2" w:space="0" w:color="auto"/>
            </w:tcBorders>
            <w:vAlign w:val="center"/>
          </w:tcPr>
          <w:p w14:paraId="11315F82" w14:textId="77777777" w:rsidR="004E3FDC" w:rsidRPr="0077700D" w:rsidRDefault="004E3FDC" w:rsidP="00450B7A">
            <w:pPr>
              <w:widowControl w:val="0"/>
              <w:spacing w:after="0" w:line="240" w:lineRule="auto"/>
              <w:jc w:val="center"/>
              <w:rPr>
                <w:rFonts w:ascii="Cambria" w:eastAsia="Times New Roman" w:hAnsi="Cambria"/>
                <w:b/>
                <w:bCs/>
                <w:lang w:val="hr-HR"/>
              </w:rPr>
            </w:pPr>
            <w:r w:rsidRPr="0077700D">
              <w:rPr>
                <w:rFonts w:ascii="Cambria" w:eastAsia="Times New Roman" w:hAnsi="Cambria"/>
                <w:b/>
                <w:bCs/>
                <w:lang w:val="hr-HR"/>
              </w:rPr>
              <w:t>S</w:t>
            </w:r>
          </w:p>
        </w:tc>
        <w:tc>
          <w:tcPr>
            <w:tcW w:w="390" w:type="pct"/>
            <w:tcBorders>
              <w:top w:val="single" w:sz="2" w:space="0" w:color="auto"/>
              <w:left w:val="single" w:sz="2" w:space="0" w:color="auto"/>
              <w:bottom w:val="single" w:sz="2" w:space="0" w:color="auto"/>
              <w:right w:val="single" w:sz="2" w:space="0" w:color="auto"/>
            </w:tcBorders>
            <w:vAlign w:val="center"/>
            <w:hideMark/>
          </w:tcPr>
          <w:p w14:paraId="2E29C08A" w14:textId="77777777" w:rsidR="004E3FDC" w:rsidRPr="0077700D" w:rsidRDefault="004E3FDC" w:rsidP="00450B7A">
            <w:pPr>
              <w:widowControl w:val="0"/>
              <w:spacing w:after="0" w:line="240" w:lineRule="auto"/>
              <w:jc w:val="center"/>
              <w:rPr>
                <w:rFonts w:ascii="Cambria" w:eastAsia="Times New Roman" w:hAnsi="Cambria"/>
                <w:b/>
                <w:bCs/>
                <w:lang w:val="hr-HR"/>
              </w:rPr>
            </w:pPr>
            <w:r w:rsidRPr="0077700D">
              <w:rPr>
                <w:rFonts w:ascii="Cambria" w:eastAsia="Times New Roman" w:hAnsi="Cambria"/>
                <w:b/>
                <w:bCs/>
                <w:lang w:val="hr-HR"/>
              </w:rPr>
              <w:t>V</w:t>
            </w:r>
          </w:p>
        </w:tc>
        <w:tc>
          <w:tcPr>
            <w:tcW w:w="436" w:type="pct"/>
            <w:tcBorders>
              <w:top w:val="single" w:sz="2" w:space="0" w:color="auto"/>
              <w:left w:val="single" w:sz="2" w:space="0" w:color="auto"/>
              <w:bottom w:val="single" w:sz="2" w:space="0" w:color="auto"/>
              <w:right w:val="single" w:sz="2" w:space="0" w:color="auto"/>
            </w:tcBorders>
            <w:vAlign w:val="center"/>
            <w:hideMark/>
          </w:tcPr>
          <w:p w14:paraId="12CC3E76" w14:textId="77777777" w:rsidR="004E3FDC" w:rsidRPr="0077700D" w:rsidRDefault="004E3FDC" w:rsidP="00450B7A">
            <w:pPr>
              <w:widowControl w:val="0"/>
              <w:spacing w:after="0" w:line="240" w:lineRule="auto"/>
              <w:jc w:val="center"/>
              <w:rPr>
                <w:rFonts w:ascii="Cambria" w:eastAsia="Times New Roman" w:hAnsi="Cambria"/>
                <w:b/>
                <w:lang w:val="hr-HR"/>
              </w:rPr>
            </w:pPr>
            <w:r w:rsidRPr="0077700D">
              <w:rPr>
                <w:rFonts w:ascii="Cambria" w:eastAsia="Times New Roman" w:hAnsi="Cambria"/>
                <w:b/>
                <w:lang w:val="hr-HR"/>
              </w:rPr>
              <w:t>ECTS</w:t>
            </w:r>
          </w:p>
        </w:tc>
      </w:tr>
      <w:tr w:rsidR="004E3FDC" w:rsidRPr="0077700D" w14:paraId="6374592D" w14:textId="77777777" w:rsidTr="00450B7A">
        <w:trPr>
          <w:cantSplit/>
          <w:jc w:val="center"/>
        </w:trPr>
        <w:tc>
          <w:tcPr>
            <w:tcW w:w="1519" w:type="pct"/>
            <w:tcBorders>
              <w:top w:val="single" w:sz="2" w:space="0" w:color="auto"/>
              <w:left w:val="single" w:sz="2" w:space="0" w:color="auto"/>
              <w:bottom w:val="single" w:sz="2" w:space="0" w:color="auto"/>
              <w:right w:val="single" w:sz="2" w:space="0" w:color="auto"/>
            </w:tcBorders>
            <w:hideMark/>
          </w:tcPr>
          <w:p w14:paraId="44345C43" w14:textId="77777777" w:rsidR="004E3FDC" w:rsidRPr="0077700D" w:rsidRDefault="004E3FDC" w:rsidP="00450B7A">
            <w:pPr>
              <w:spacing w:after="0"/>
              <w:rPr>
                <w:rFonts w:ascii="Cambria" w:hAnsi="Cambria"/>
                <w:b/>
                <w:lang w:val="hr-HR"/>
              </w:rPr>
            </w:pPr>
            <w:r w:rsidRPr="0077700D">
              <w:rPr>
                <w:rFonts w:ascii="Cambria" w:hAnsi="Cambria"/>
                <w:b/>
                <w:lang w:val="hr-HR"/>
              </w:rPr>
              <w:t>257221</w:t>
            </w:r>
          </w:p>
          <w:p w14:paraId="27C461B7" w14:textId="77777777" w:rsidR="004E3FDC" w:rsidRPr="0077700D" w:rsidRDefault="004E3FDC" w:rsidP="00450B7A">
            <w:pPr>
              <w:rPr>
                <w:rFonts w:ascii="Cambria" w:hAnsi="Cambria"/>
                <w:lang w:val="hr-HR"/>
              </w:rPr>
            </w:pPr>
            <w:r w:rsidRPr="0077700D">
              <w:rPr>
                <w:rFonts w:ascii="Cambria" w:hAnsi="Cambria"/>
                <w:lang w:val="hr-HR"/>
              </w:rPr>
              <w:t>Pedagogija</w:t>
            </w:r>
          </w:p>
        </w:tc>
        <w:tc>
          <w:tcPr>
            <w:tcW w:w="1914" w:type="pct"/>
            <w:tcBorders>
              <w:top w:val="single" w:sz="2" w:space="0" w:color="auto"/>
              <w:left w:val="single" w:sz="2" w:space="0" w:color="auto"/>
              <w:bottom w:val="single" w:sz="2" w:space="0" w:color="auto"/>
              <w:right w:val="single" w:sz="2" w:space="0" w:color="auto"/>
            </w:tcBorders>
            <w:vAlign w:val="center"/>
            <w:hideMark/>
          </w:tcPr>
          <w:p w14:paraId="33E5681F" w14:textId="77777777" w:rsidR="004E3FDC" w:rsidRPr="0077700D" w:rsidRDefault="004E3FDC" w:rsidP="00450B7A">
            <w:pPr>
              <w:widowControl w:val="0"/>
              <w:spacing w:after="0" w:line="240" w:lineRule="auto"/>
              <w:rPr>
                <w:rFonts w:ascii="Cambria" w:eastAsia="Times New Roman" w:hAnsi="Cambria"/>
                <w:lang w:val="hr-HR"/>
              </w:rPr>
            </w:pPr>
            <w:r w:rsidRPr="0077700D">
              <w:rPr>
                <w:rFonts w:ascii="Cambria" w:eastAsia="Times New Roman" w:hAnsi="Cambria"/>
                <w:lang w:val="hr-HR"/>
              </w:rPr>
              <w:t>doc. dr. sc. Irena Kiss</w:t>
            </w:r>
          </w:p>
        </w:tc>
        <w:tc>
          <w:tcPr>
            <w:tcW w:w="389" w:type="pct"/>
            <w:tcBorders>
              <w:top w:val="single" w:sz="2" w:space="0" w:color="auto"/>
              <w:left w:val="single" w:sz="2" w:space="0" w:color="auto"/>
              <w:bottom w:val="single" w:sz="2" w:space="0" w:color="auto"/>
              <w:right w:val="single" w:sz="2" w:space="0" w:color="auto"/>
            </w:tcBorders>
            <w:vAlign w:val="center"/>
            <w:hideMark/>
          </w:tcPr>
          <w:p w14:paraId="02D84169" w14:textId="77777777" w:rsidR="004E3FDC" w:rsidRPr="0077700D" w:rsidRDefault="004E3FDC" w:rsidP="00450B7A">
            <w:pPr>
              <w:widowControl w:val="0"/>
              <w:spacing w:after="0" w:line="240" w:lineRule="auto"/>
              <w:jc w:val="center"/>
              <w:rPr>
                <w:rFonts w:ascii="Cambria" w:eastAsia="Times New Roman" w:hAnsi="Cambria"/>
                <w:lang w:val="hr-HR"/>
              </w:rPr>
            </w:pPr>
            <w:r w:rsidRPr="0077700D">
              <w:rPr>
                <w:rFonts w:ascii="Cambria" w:eastAsia="Times New Roman" w:hAnsi="Cambria"/>
                <w:lang w:val="hr-HR"/>
              </w:rPr>
              <w:t>30</w:t>
            </w:r>
          </w:p>
        </w:tc>
        <w:tc>
          <w:tcPr>
            <w:tcW w:w="352" w:type="pct"/>
            <w:tcBorders>
              <w:top w:val="single" w:sz="2" w:space="0" w:color="auto"/>
              <w:left w:val="single" w:sz="2" w:space="0" w:color="auto"/>
              <w:bottom w:val="single" w:sz="2" w:space="0" w:color="auto"/>
              <w:right w:val="single" w:sz="2" w:space="0" w:color="auto"/>
            </w:tcBorders>
            <w:vAlign w:val="center"/>
          </w:tcPr>
          <w:p w14:paraId="3D520BF2" w14:textId="77777777" w:rsidR="004E3FDC" w:rsidRPr="0077700D" w:rsidRDefault="004E3FDC" w:rsidP="00450B7A">
            <w:pPr>
              <w:widowControl w:val="0"/>
              <w:spacing w:after="0" w:line="240" w:lineRule="auto"/>
              <w:jc w:val="center"/>
              <w:rPr>
                <w:rFonts w:ascii="Cambria" w:eastAsia="Times New Roman" w:hAnsi="Cambria"/>
                <w:lang w:val="hr-HR"/>
              </w:rPr>
            </w:pPr>
            <w:r w:rsidRPr="0077700D">
              <w:rPr>
                <w:rFonts w:ascii="Cambria" w:eastAsia="Times New Roman" w:hAnsi="Cambria"/>
                <w:lang w:val="hr-HR"/>
              </w:rPr>
              <w:t>15</w:t>
            </w:r>
          </w:p>
        </w:tc>
        <w:tc>
          <w:tcPr>
            <w:tcW w:w="390" w:type="pct"/>
            <w:tcBorders>
              <w:top w:val="single" w:sz="2" w:space="0" w:color="auto"/>
              <w:left w:val="single" w:sz="2" w:space="0" w:color="auto"/>
              <w:bottom w:val="single" w:sz="2" w:space="0" w:color="auto"/>
              <w:right w:val="single" w:sz="2" w:space="0" w:color="auto"/>
            </w:tcBorders>
            <w:vAlign w:val="center"/>
            <w:hideMark/>
          </w:tcPr>
          <w:p w14:paraId="0FA1229A" w14:textId="77777777" w:rsidR="004E3FDC" w:rsidRPr="0077700D" w:rsidRDefault="004E3FDC" w:rsidP="00450B7A">
            <w:pPr>
              <w:widowControl w:val="0"/>
              <w:spacing w:after="0" w:line="240" w:lineRule="auto"/>
              <w:jc w:val="center"/>
              <w:rPr>
                <w:rFonts w:ascii="Cambria" w:eastAsia="Times New Roman" w:hAnsi="Cambria"/>
                <w:lang w:val="hr-HR"/>
              </w:rPr>
            </w:pPr>
            <w:r w:rsidRPr="0077700D">
              <w:rPr>
                <w:rFonts w:ascii="Cambria" w:eastAsia="Times New Roman" w:hAnsi="Cambria"/>
                <w:lang w:val="hr-HR"/>
              </w:rPr>
              <w:t>15</w:t>
            </w:r>
          </w:p>
        </w:tc>
        <w:tc>
          <w:tcPr>
            <w:tcW w:w="436" w:type="pct"/>
            <w:tcBorders>
              <w:top w:val="single" w:sz="2" w:space="0" w:color="auto"/>
              <w:left w:val="single" w:sz="2" w:space="0" w:color="auto"/>
              <w:bottom w:val="single" w:sz="2" w:space="0" w:color="auto"/>
              <w:right w:val="single" w:sz="2" w:space="0" w:color="auto"/>
            </w:tcBorders>
            <w:vAlign w:val="center"/>
            <w:hideMark/>
          </w:tcPr>
          <w:p w14:paraId="33B936B4" w14:textId="77777777" w:rsidR="004E3FDC" w:rsidRPr="0077700D" w:rsidRDefault="004E3FDC" w:rsidP="00450B7A">
            <w:pPr>
              <w:widowControl w:val="0"/>
              <w:spacing w:after="0" w:line="240" w:lineRule="auto"/>
              <w:jc w:val="center"/>
              <w:rPr>
                <w:rFonts w:ascii="Cambria" w:eastAsia="Times New Roman" w:hAnsi="Cambria"/>
                <w:bCs/>
                <w:lang w:val="hr-HR"/>
              </w:rPr>
            </w:pPr>
            <w:r w:rsidRPr="0077700D">
              <w:rPr>
                <w:rFonts w:ascii="Cambria" w:eastAsia="Times New Roman" w:hAnsi="Cambria"/>
                <w:bCs/>
                <w:lang w:val="hr-HR"/>
              </w:rPr>
              <w:t>6</w:t>
            </w:r>
          </w:p>
        </w:tc>
      </w:tr>
      <w:tr w:rsidR="004E3FDC" w:rsidRPr="0077700D" w14:paraId="25F754E3" w14:textId="77777777" w:rsidTr="00450B7A">
        <w:trPr>
          <w:cantSplit/>
          <w:jc w:val="center"/>
        </w:trPr>
        <w:tc>
          <w:tcPr>
            <w:tcW w:w="1519" w:type="pct"/>
            <w:tcBorders>
              <w:top w:val="single" w:sz="2" w:space="0" w:color="auto"/>
              <w:left w:val="single" w:sz="2" w:space="0" w:color="auto"/>
              <w:bottom w:val="single" w:sz="2" w:space="0" w:color="auto"/>
              <w:right w:val="single" w:sz="2" w:space="0" w:color="auto"/>
            </w:tcBorders>
          </w:tcPr>
          <w:p w14:paraId="018DFFA0" w14:textId="77777777" w:rsidR="004E3FDC" w:rsidRPr="0077700D" w:rsidRDefault="004E3FDC" w:rsidP="00450B7A">
            <w:pPr>
              <w:spacing w:after="0"/>
              <w:rPr>
                <w:rFonts w:ascii="Cambria" w:hAnsi="Cambria"/>
                <w:b/>
                <w:lang w:val="hr-HR"/>
              </w:rPr>
            </w:pPr>
            <w:r w:rsidRPr="0077700D">
              <w:rPr>
                <w:rFonts w:ascii="Cambria" w:hAnsi="Cambria"/>
                <w:b/>
                <w:lang w:val="hr-HR"/>
              </w:rPr>
              <w:t>257222</w:t>
            </w:r>
          </w:p>
          <w:p w14:paraId="3F943C4C" w14:textId="77777777" w:rsidR="004E3FDC" w:rsidRPr="0077700D" w:rsidRDefault="004E3FDC" w:rsidP="00450B7A">
            <w:pPr>
              <w:rPr>
                <w:rFonts w:ascii="Cambria" w:hAnsi="Cambria"/>
                <w:lang w:val="hr-HR"/>
              </w:rPr>
            </w:pPr>
            <w:r w:rsidRPr="0077700D">
              <w:rPr>
                <w:rFonts w:ascii="Cambria" w:hAnsi="Cambria"/>
                <w:lang w:val="hr-HR"/>
              </w:rPr>
              <w:t xml:space="preserve">Filozofija odgoja </w:t>
            </w:r>
          </w:p>
        </w:tc>
        <w:tc>
          <w:tcPr>
            <w:tcW w:w="1914" w:type="pct"/>
            <w:tcBorders>
              <w:top w:val="single" w:sz="2" w:space="0" w:color="auto"/>
              <w:left w:val="single" w:sz="2" w:space="0" w:color="auto"/>
              <w:bottom w:val="single" w:sz="2" w:space="0" w:color="auto"/>
              <w:right w:val="single" w:sz="2" w:space="0" w:color="auto"/>
            </w:tcBorders>
            <w:vAlign w:val="center"/>
            <w:hideMark/>
          </w:tcPr>
          <w:p w14:paraId="34D9F8AB" w14:textId="77777777" w:rsidR="004E3FDC" w:rsidRPr="0077700D" w:rsidRDefault="004E3FDC" w:rsidP="00450B7A">
            <w:pPr>
              <w:widowControl w:val="0"/>
              <w:spacing w:after="0" w:line="240" w:lineRule="auto"/>
              <w:rPr>
                <w:rFonts w:ascii="Cambria" w:eastAsia="Times New Roman" w:hAnsi="Cambria"/>
                <w:lang w:val="hr-HR"/>
              </w:rPr>
            </w:pPr>
            <w:r w:rsidRPr="0077700D">
              <w:rPr>
                <w:rFonts w:ascii="Cambria" w:eastAsia="Times New Roman" w:hAnsi="Cambria"/>
                <w:lang w:val="hr-HR"/>
              </w:rPr>
              <w:t>doc. dr. sc. Alen Tafra</w:t>
            </w:r>
          </w:p>
        </w:tc>
        <w:tc>
          <w:tcPr>
            <w:tcW w:w="389" w:type="pct"/>
            <w:tcBorders>
              <w:top w:val="single" w:sz="2" w:space="0" w:color="auto"/>
              <w:left w:val="single" w:sz="2" w:space="0" w:color="auto"/>
              <w:bottom w:val="single" w:sz="2" w:space="0" w:color="auto"/>
              <w:right w:val="single" w:sz="2" w:space="0" w:color="auto"/>
            </w:tcBorders>
            <w:vAlign w:val="center"/>
            <w:hideMark/>
          </w:tcPr>
          <w:p w14:paraId="29257AE2" w14:textId="77777777" w:rsidR="004E3FDC" w:rsidRPr="0077700D" w:rsidRDefault="004E3FDC" w:rsidP="00450B7A">
            <w:pPr>
              <w:widowControl w:val="0"/>
              <w:spacing w:after="0" w:line="240" w:lineRule="auto"/>
              <w:jc w:val="center"/>
              <w:rPr>
                <w:rFonts w:ascii="Cambria" w:eastAsia="Times New Roman" w:hAnsi="Cambria"/>
                <w:lang w:val="hr-HR"/>
              </w:rPr>
            </w:pPr>
            <w:r w:rsidRPr="0077700D">
              <w:rPr>
                <w:rFonts w:ascii="Cambria" w:eastAsia="Times New Roman" w:hAnsi="Cambria"/>
                <w:lang w:val="hr-HR"/>
              </w:rPr>
              <w:t>30</w:t>
            </w:r>
          </w:p>
        </w:tc>
        <w:tc>
          <w:tcPr>
            <w:tcW w:w="352" w:type="pct"/>
            <w:tcBorders>
              <w:top w:val="single" w:sz="2" w:space="0" w:color="auto"/>
              <w:left w:val="single" w:sz="2" w:space="0" w:color="auto"/>
              <w:bottom w:val="single" w:sz="2" w:space="0" w:color="auto"/>
              <w:right w:val="single" w:sz="2" w:space="0" w:color="auto"/>
            </w:tcBorders>
            <w:vAlign w:val="center"/>
          </w:tcPr>
          <w:p w14:paraId="1DE803E0" w14:textId="77777777" w:rsidR="004E3FDC" w:rsidRPr="0077700D" w:rsidRDefault="004E3FDC" w:rsidP="00450B7A">
            <w:pPr>
              <w:widowControl w:val="0"/>
              <w:spacing w:after="0" w:line="240" w:lineRule="auto"/>
              <w:jc w:val="center"/>
              <w:rPr>
                <w:rFonts w:ascii="Cambria" w:eastAsia="Times New Roman" w:hAnsi="Cambria"/>
                <w:lang w:val="hr-HR"/>
              </w:rPr>
            </w:pPr>
            <w:r w:rsidRPr="0077700D">
              <w:rPr>
                <w:rFonts w:ascii="Cambria" w:eastAsia="Times New Roman" w:hAnsi="Cambria"/>
                <w:lang w:val="hr-HR"/>
              </w:rPr>
              <w:t>30</w:t>
            </w:r>
          </w:p>
        </w:tc>
        <w:tc>
          <w:tcPr>
            <w:tcW w:w="390" w:type="pct"/>
            <w:tcBorders>
              <w:top w:val="single" w:sz="2" w:space="0" w:color="auto"/>
              <w:left w:val="single" w:sz="2" w:space="0" w:color="auto"/>
              <w:bottom w:val="single" w:sz="2" w:space="0" w:color="auto"/>
              <w:right w:val="single" w:sz="2" w:space="0" w:color="auto"/>
            </w:tcBorders>
            <w:vAlign w:val="center"/>
            <w:hideMark/>
          </w:tcPr>
          <w:p w14:paraId="68E95EB2" w14:textId="77777777" w:rsidR="004E3FDC" w:rsidRPr="0077700D" w:rsidRDefault="004E3FDC" w:rsidP="00450B7A">
            <w:pPr>
              <w:widowControl w:val="0"/>
              <w:spacing w:after="0" w:line="240" w:lineRule="auto"/>
              <w:jc w:val="center"/>
              <w:rPr>
                <w:rFonts w:ascii="Cambria" w:eastAsia="Times New Roman" w:hAnsi="Cambria"/>
                <w:lang w:val="hr-HR"/>
              </w:rPr>
            </w:pPr>
            <w:r w:rsidRPr="0077700D">
              <w:rPr>
                <w:rFonts w:ascii="Cambria" w:eastAsia="Times New Roman" w:hAnsi="Cambria"/>
                <w:lang w:val="hr-HR"/>
              </w:rPr>
              <w:t>0</w:t>
            </w:r>
          </w:p>
        </w:tc>
        <w:tc>
          <w:tcPr>
            <w:tcW w:w="436" w:type="pct"/>
            <w:tcBorders>
              <w:top w:val="single" w:sz="2" w:space="0" w:color="auto"/>
              <w:left w:val="single" w:sz="2" w:space="0" w:color="auto"/>
              <w:bottom w:val="single" w:sz="2" w:space="0" w:color="auto"/>
              <w:right w:val="single" w:sz="2" w:space="0" w:color="auto"/>
            </w:tcBorders>
            <w:vAlign w:val="center"/>
            <w:hideMark/>
          </w:tcPr>
          <w:p w14:paraId="5BE2C6F4" w14:textId="77777777" w:rsidR="004E3FDC" w:rsidRPr="0077700D" w:rsidRDefault="004E3FDC" w:rsidP="00450B7A">
            <w:pPr>
              <w:widowControl w:val="0"/>
              <w:spacing w:after="0" w:line="240" w:lineRule="auto"/>
              <w:jc w:val="center"/>
              <w:rPr>
                <w:rFonts w:ascii="Cambria" w:eastAsia="Times New Roman" w:hAnsi="Cambria"/>
                <w:bCs/>
                <w:lang w:val="hr-HR"/>
              </w:rPr>
            </w:pPr>
            <w:r w:rsidRPr="0077700D">
              <w:rPr>
                <w:rFonts w:ascii="Cambria" w:eastAsia="Times New Roman" w:hAnsi="Cambria"/>
                <w:bCs/>
                <w:lang w:val="hr-HR"/>
              </w:rPr>
              <w:t>5</w:t>
            </w:r>
          </w:p>
        </w:tc>
      </w:tr>
      <w:tr w:rsidR="004E3FDC" w:rsidRPr="0077700D" w14:paraId="5606A3CE" w14:textId="77777777" w:rsidTr="00450B7A">
        <w:trPr>
          <w:cantSplit/>
          <w:jc w:val="center"/>
        </w:trPr>
        <w:tc>
          <w:tcPr>
            <w:tcW w:w="1519" w:type="pct"/>
            <w:tcBorders>
              <w:top w:val="single" w:sz="2" w:space="0" w:color="auto"/>
              <w:left w:val="single" w:sz="2" w:space="0" w:color="auto"/>
              <w:bottom w:val="single" w:sz="2" w:space="0" w:color="auto"/>
              <w:right w:val="single" w:sz="2" w:space="0" w:color="auto"/>
            </w:tcBorders>
          </w:tcPr>
          <w:p w14:paraId="1C803E91" w14:textId="77777777" w:rsidR="004E3FDC" w:rsidRPr="0077700D" w:rsidRDefault="004E3FDC" w:rsidP="00450B7A">
            <w:pPr>
              <w:spacing w:after="0"/>
              <w:rPr>
                <w:rFonts w:ascii="Cambria" w:hAnsi="Cambria"/>
                <w:b/>
                <w:lang w:val="hr-HR"/>
              </w:rPr>
            </w:pPr>
            <w:r w:rsidRPr="0077700D">
              <w:rPr>
                <w:rFonts w:ascii="Cambria" w:hAnsi="Cambria"/>
                <w:b/>
                <w:lang w:val="hr-HR"/>
              </w:rPr>
              <w:t>257223</w:t>
            </w:r>
          </w:p>
          <w:p w14:paraId="7EECF9B1" w14:textId="77777777" w:rsidR="004E3FDC" w:rsidRPr="0077700D" w:rsidRDefault="004E3FDC" w:rsidP="00450B7A">
            <w:pPr>
              <w:rPr>
                <w:rFonts w:ascii="Cambria" w:hAnsi="Cambria"/>
                <w:lang w:val="hr-HR"/>
              </w:rPr>
            </w:pPr>
            <w:r w:rsidRPr="0077700D">
              <w:rPr>
                <w:rFonts w:ascii="Cambria" w:hAnsi="Cambria"/>
                <w:lang w:val="hr-HR"/>
              </w:rPr>
              <w:t>Opća psihologija</w:t>
            </w:r>
          </w:p>
        </w:tc>
        <w:tc>
          <w:tcPr>
            <w:tcW w:w="1914" w:type="pct"/>
            <w:tcBorders>
              <w:top w:val="single" w:sz="2" w:space="0" w:color="auto"/>
              <w:left w:val="single" w:sz="2" w:space="0" w:color="auto"/>
              <w:bottom w:val="single" w:sz="2" w:space="0" w:color="auto"/>
              <w:right w:val="single" w:sz="2" w:space="0" w:color="auto"/>
            </w:tcBorders>
            <w:vAlign w:val="center"/>
          </w:tcPr>
          <w:p w14:paraId="64340445" w14:textId="77777777" w:rsidR="004E3FDC" w:rsidRPr="0077700D" w:rsidRDefault="004E3FDC" w:rsidP="00450B7A">
            <w:pPr>
              <w:spacing w:after="0" w:line="240" w:lineRule="auto"/>
              <w:rPr>
                <w:rFonts w:ascii="Cambria" w:eastAsia="Times New Roman" w:hAnsi="Cambria"/>
                <w:lang w:val="hr-HR"/>
              </w:rPr>
            </w:pPr>
            <w:r w:rsidRPr="0077700D">
              <w:rPr>
                <w:rFonts w:ascii="Cambria" w:eastAsia="Times New Roman" w:hAnsi="Cambria"/>
                <w:lang w:val="hr-HR"/>
              </w:rPr>
              <w:t xml:space="preserve">doc. dr. sc. </w:t>
            </w:r>
            <w:proofErr w:type="spellStart"/>
            <w:r w:rsidRPr="0077700D">
              <w:rPr>
                <w:rFonts w:ascii="Cambria" w:eastAsia="Times New Roman" w:hAnsi="Cambria"/>
                <w:lang w:val="hr-HR"/>
              </w:rPr>
              <w:t>Marlena</w:t>
            </w:r>
            <w:proofErr w:type="spellEnd"/>
            <w:r w:rsidRPr="0077700D">
              <w:rPr>
                <w:rFonts w:ascii="Cambria" w:eastAsia="Times New Roman" w:hAnsi="Cambria"/>
                <w:lang w:val="hr-HR"/>
              </w:rPr>
              <w:t xml:space="preserve"> Plavšić</w:t>
            </w:r>
          </w:p>
          <w:p w14:paraId="3A94A668" w14:textId="77777777" w:rsidR="004E3FDC" w:rsidRPr="0077700D" w:rsidRDefault="004E3FDC" w:rsidP="00450B7A">
            <w:pPr>
              <w:spacing w:after="0" w:line="240" w:lineRule="auto"/>
              <w:rPr>
                <w:rFonts w:ascii="Cambria" w:eastAsia="Times New Roman" w:hAnsi="Cambria"/>
                <w:lang w:val="hr-HR"/>
              </w:rPr>
            </w:pPr>
            <w:r w:rsidRPr="0077700D">
              <w:rPr>
                <w:rFonts w:ascii="Cambria" w:eastAsia="Times New Roman" w:hAnsi="Cambria"/>
                <w:lang w:val="hr-HR"/>
              </w:rPr>
              <w:t xml:space="preserve">Sanja </w:t>
            </w:r>
            <w:proofErr w:type="spellStart"/>
            <w:r w:rsidRPr="0077700D">
              <w:rPr>
                <w:rFonts w:ascii="Cambria" w:eastAsia="Times New Roman" w:hAnsi="Cambria"/>
                <w:lang w:val="hr-HR"/>
              </w:rPr>
              <w:t>Tatković</w:t>
            </w:r>
            <w:proofErr w:type="spellEnd"/>
            <w:r w:rsidRPr="0077700D">
              <w:rPr>
                <w:rFonts w:ascii="Cambria" w:eastAsia="Times New Roman" w:hAnsi="Cambria"/>
                <w:lang w:val="hr-HR"/>
              </w:rPr>
              <w:t>, asistentica</w:t>
            </w:r>
          </w:p>
        </w:tc>
        <w:tc>
          <w:tcPr>
            <w:tcW w:w="389" w:type="pct"/>
            <w:tcBorders>
              <w:top w:val="single" w:sz="2" w:space="0" w:color="auto"/>
              <w:left w:val="single" w:sz="2" w:space="0" w:color="auto"/>
              <w:bottom w:val="single" w:sz="2" w:space="0" w:color="auto"/>
              <w:right w:val="single" w:sz="2" w:space="0" w:color="auto"/>
            </w:tcBorders>
            <w:vAlign w:val="center"/>
            <w:hideMark/>
          </w:tcPr>
          <w:p w14:paraId="73C0A75D"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30</w:t>
            </w:r>
          </w:p>
        </w:tc>
        <w:tc>
          <w:tcPr>
            <w:tcW w:w="352" w:type="pct"/>
            <w:tcBorders>
              <w:top w:val="single" w:sz="2" w:space="0" w:color="auto"/>
              <w:left w:val="single" w:sz="2" w:space="0" w:color="auto"/>
              <w:bottom w:val="single" w:sz="2" w:space="0" w:color="auto"/>
              <w:right w:val="single" w:sz="2" w:space="0" w:color="auto"/>
            </w:tcBorders>
            <w:vAlign w:val="center"/>
          </w:tcPr>
          <w:p w14:paraId="40E194D8"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30</w:t>
            </w:r>
          </w:p>
        </w:tc>
        <w:tc>
          <w:tcPr>
            <w:tcW w:w="390" w:type="pct"/>
            <w:tcBorders>
              <w:top w:val="single" w:sz="2" w:space="0" w:color="auto"/>
              <w:left w:val="single" w:sz="2" w:space="0" w:color="auto"/>
              <w:bottom w:val="single" w:sz="2" w:space="0" w:color="auto"/>
              <w:right w:val="single" w:sz="2" w:space="0" w:color="auto"/>
            </w:tcBorders>
            <w:vAlign w:val="center"/>
            <w:hideMark/>
          </w:tcPr>
          <w:p w14:paraId="2917F843"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0</w:t>
            </w:r>
          </w:p>
        </w:tc>
        <w:tc>
          <w:tcPr>
            <w:tcW w:w="436" w:type="pct"/>
            <w:tcBorders>
              <w:top w:val="single" w:sz="2" w:space="0" w:color="auto"/>
              <w:left w:val="single" w:sz="2" w:space="0" w:color="auto"/>
              <w:bottom w:val="single" w:sz="2" w:space="0" w:color="auto"/>
              <w:right w:val="single" w:sz="2" w:space="0" w:color="auto"/>
            </w:tcBorders>
            <w:vAlign w:val="center"/>
            <w:hideMark/>
          </w:tcPr>
          <w:p w14:paraId="179BFB5C"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5</w:t>
            </w:r>
          </w:p>
        </w:tc>
      </w:tr>
      <w:tr w:rsidR="004E3FDC" w:rsidRPr="0077700D" w14:paraId="0A1890A4" w14:textId="77777777" w:rsidTr="00450B7A">
        <w:trPr>
          <w:cantSplit/>
          <w:jc w:val="center"/>
        </w:trPr>
        <w:tc>
          <w:tcPr>
            <w:tcW w:w="1519" w:type="pct"/>
            <w:tcBorders>
              <w:top w:val="single" w:sz="2" w:space="0" w:color="auto"/>
              <w:left w:val="single" w:sz="2" w:space="0" w:color="auto"/>
              <w:bottom w:val="single" w:sz="2" w:space="0" w:color="auto"/>
              <w:right w:val="single" w:sz="2" w:space="0" w:color="auto"/>
            </w:tcBorders>
          </w:tcPr>
          <w:p w14:paraId="57C6F631" w14:textId="77777777" w:rsidR="004E3FDC" w:rsidRPr="0077700D" w:rsidRDefault="004E3FDC" w:rsidP="00450B7A">
            <w:pPr>
              <w:spacing w:after="0"/>
              <w:rPr>
                <w:rFonts w:ascii="Cambria" w:hAnsi="Cambria"/>
                <w:b/>
                <w:lang w:val="hr-HR"/>
              </w:rPr>
            </w:pPr>
            <w:r w:rsidRPr="0077700D">
              <w:rPr>
                <w:rFonts w:ascii="Cambria" w:hAnsi="Cambria"/>
                <w:b/>
                <w:lang w:val="hr-HR"/>
              </w:rPr>
              <w:t>257224</w:t>
            </w:r>
          </w:p>
          <w:p w14:paraId="06DFA646" w14:textId="77777777" w:rsidR="004E3FDC" w:rsidRPr="0077700D" w:rsidRDefault="004E3FDC" w:rsidP="00450B7A">
            <w:pPr>
              <w:rPr>
                <w:rFonts w:ascii="Cambria" w:hAnsi="Cambria"/>
                <w:lang w:val="hr-HR"/>
              </w:rPr>
            </w:pPr>
            <w:r w:rsidRPr="0077700D">
              <w:rPr>
                <w:rFonts w:ascii="Cambria" w:hAnsi="Cambria"/>
                <w:lang w:val="hr-HR"/>
              </w:rPr>
              <w:t>Hrvatski jezik I</w:t>
            </w:r>
          </w:p>
        </w:tc>
        <w:tc>
          <w:tcPr>
            <w:tcW w:w="1914" w:type="pct"/>
            <w:tcBorders>
              <w:top w:val="single" w:sz="2" w:space="0" w:color="auto"/>
              <w:left w:val="single" w:sz="2" w:space="0" w:color="auto"/>
              <w:bottom w:val="single" w:sz="2" w:space="0" w:color="auto"/>
              <w:right w:val="single" w:sz="2" w:space="0" w:color="auto"/>
            </w:tcBorders>
            <w:vAlign w:val="center"/>
          </w:tcPr>
          <w:p w14:paraId="4CFA7131" w14:textId="77777777" w:rsidR="004E3FDC" w:rsidRDefault="004E3FDC" w:rsidP="00450B7A">
            <w:pPr>
              <w:widowControl w:val="0"/>
              <w:spacing w:after="0" w:line="240" w:lineRule="auto"/>
              <w:rPr>
                <w:rFonts w:ascii="Cambria" w:eastAsia="Times New Roman" w:hAnsi="Cambria"/>
                <w:lang w:val="hr-HR"/>
              </w:rPr>
            </w:pPr>
            <w:r w:rsidRPr="0077700D">
              <w:rPr>
                <w:rFonts w:ascii="Cambria" w:eastAsia="Times New Roman" w:hAnsi="Cambria"/>
                <w:lang w:val="hr-HR"/>
              </w:rPr>
              <w:t>izv. prof. dr. sc. Helena Pavletić</w:t>
            </w:r>
          </w:p>
          <w:p w14:paraId="3ED5539F" w14:textId="77777777" w:rsidR="004E3FDC" w:rsidRPr="0077700D" w:rsidRDefault="004E3FDC" w:rsidP="00450B7A">
            <w:pPr>
              <w:widowControl w:val="0"/>
              <w:spacing w:after="0" w:line="240" w:lineRule="auto"/>
              <w:rPr>
                <w:rFonts w:ascii="Cambria" w:eastAsia="Times New Roman" w:hAnsi="Cambria"/>
                <w:lang w:val="hr-HR"/>
              </w:rPr>
            </w:pPr>
            <w:r>
              <w:rPr>
                <w:rFonts w:ascii="Cambria" w:eastAsia="Times New Roman" w:hAnsi="Cambria"/>
                <w:lang w:val="hr-HR"/>
              </w:rPr>
              <w:t xml:space="preserve">doc. dr. sc. Ivana </w:t>
            </w:r>
            <w:proofErr w:type="spellStart"/>
            <w:r>
              <w:rPr>
                <w:rFonts w:ascii="Cambria" w:eastAsia="Times New Roman" w:hAnsi="Cambria"/>
                <w:lang w:val="hr-HR"/>
              </w:rPr>
              <w:t>Nežić</w:t>
            </w:r>
            <w:proofErr w:type="spellEnd"/>
          </w:p>
        </w:tc>
        <w:tc>
          <w:tcPr>
            <w:tcW w:w="389" w:type="pct"/>
            <w:tcBorders>
              <w:top w:val="single" w:sz="2" w:space="0" w:color="auto"/>
              <w:left w:val="single" w:sz="2" w:space="0" w:color="auto"/>
              <w:bottom w:val="single" w:sz="2" w:space="0" w:color="auto"/>
              <w:right w:val="single" w:sz="2" w:space="0" w:color="auto"/>
            </w:tcBorders>
            <w:vAlign w:val="center"/>
            <w:hideMark/>
          </w:tcPr>
          <w:p w14:paraId="18F5C70B"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30</w:t>
            </w:r>
          </w:p>
        </w:tc>
        <w:tc>
          <w:tcPr>
            <w:tcW w:w="352" w:type="pct"/>
            <w:tcBorders>
              <w:top w:val="single" w:sz="2" w:space="0" w:color="auto"/>
              <w:left w:val="single" w:sz="2" w:space="0" w:color="auto"/>
              <w:bottom w:val="single" w:sz="2" w:space="0" w:color="auto"/>
              <w:right w:val="single" w:sz="2" w:space="0" w:color="auto"/>
            </w:tcBorders>
            <w:vAlign w:val="center"/>
          </w:tcPr>
          <w:p w14:paraId="27E1A107"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15</w:t>
            </w:r>
          </w:p>
        </w:tc>
        <w:tc>
          <w:tcPr>
            <w:tcW w:w="390" w:type="pct"/>
            <w:tcBorders>
              <w:top w:val="single" w:sz="2" w:space="0" w:color="auto"/>
              <w:left w:val="single" w:sz="2" w:space="0" w:color="auto"/>
              <w:bottom w:val="single" w:sz="2" w:space="0" w:color="auto"/>
              <w:right w:val="single" w:sz="2" w:space="0" w:color="auto"/>
            </w:tcBorders>
            <w:vAlign w:val="center"/>
            <w:hideMark/>
          </w:tcPr>
          <w:p w14:paraId="15EB4D95"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15</w:t>
            </w:r>
          </w:p>
        </w:tc>
        <w:tc>
          <w:tcPr>
            <w:tcW w:w="436" w:type="pct"/>
            <w:tcBorders>
              <w:top w:val="single" w:sz="2" w:space="0" w:color="auto"/>
              <w:left w:val="single" w:sz="2" w:space="0" w:color="auto"/>
              <w:bottom w:val="single" w:sz="2" w:space="0" w:color="auto"/>
              <w:right w:val="single" w:sz="2" w:space="0" w:color="auto"/>
            </w:tcBorders>
            <w:vAlign w:val="center"/>
            <w:hideMark/>
          </w:tcPr>
          <w:p w14:paraId="7F0BFDE7"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4</w:t>
            </w:r>
          </w:p>
        </w:tc>
      </w:tr>
      <w:tr w:rsidR="004E3FDC" w:rsidRPr="0077700D" w14:paraId="73B34F55" w14:textId="77777777" w:rsidTr="00450B7A">
        <w:trPr>
          <w:cantSplit/>
          <w:jc w:val="center"/>
        </w:trPr>
        <w:tc>
          <w:tcPr>
            <w:tcW w:w="1519" w:type="pct"/>
            <w:tcBorders>
              <w:top w:val="single" w:sz="2" w:space="0" w:color="auto"/>
              <w:left w:val="single" w:sz="2" w:space="0" w:color="auto"/>
              <w:bottom w:val="single" w:sz="2" w:space="0" w:color="auto"/>
              <w:right w:val="single" w:sz="2" w:space="0" w:color="auto"/>
            </w:tcBorders>
          </w:tcPr>
          <w:p w14:paraId="6B7191A8" w14:textId="77777777" w:rsidR="004E3FDC" w:rsidRPr="0077700D" w:rsidRDefault="004E3FDC" w:rsidP="00450B7A">
            <w:pPr>
              <w:spacing w:after="0" w:line="240" w:lineRule="auto"/>
              <w:rPr>
                <w:rFonts w:ascii="Cambria" w:hAnsi="Cambria"/>
                <w:lang w:val="hr-HR"/>
              </w:rPr>
            </w:pPr>
            <w:r w:rsidRPr="0077700D">
              <w:rPr>
                <w:rFonts w:ascii="Cambria" w:hAnsi="Cambria"/>
                <w:lang w:val="hr-HR"/>
              </w:rPr>
              <w:t xml:space="preserve">Strani jezik I* </w:t>
            </w:r>
          </w:p>
          <w:p w14:paraId="7EEDCF11" w14:textId="77777777" w:rsidR="004E3FDC" w:rsidRPr="0077700D" w:rsidRDefault="004E3FDC" w:rsidP="00450B7A">
            <w:pPr>
              <w:spacing w:after="0" w:line="240" w:lineRule="auto"/>
              <w:rPr>
                <w:rFonts w:ascii="Cambria" w:hAnsi="Cambria"/>
                <w:lang w:val="hr-HR"/>
              </w:rPr>
            </w:pPr>
            <w:r w:rsidRPr="0077700D">
              <w:rPr>
                <w:rFonts w:ascii="Cambria" w:hAnsi="Cambria"/>
                <w:b/>
                <w:lang w:val="hr-HR"/>
              </w:rPr>
              <w:t>257226</w:t>
            </w:r>
          </w:p>
          <w:p w14:paraId="042DB4E4" w14:textId="77777777" w:rsidR="004E3FDC" w:rsidRPr="0077700D" w:rsidRDefault="004E3FDC" w:rsidP="00450B7A">
            <w:pPr>
              <w:spacing w:after="0" w:line="240" w:lineRule="auto"/>
              <w:rPr>
                <w:rFonts w:ascii="Cambria" w:hAnsi="Cambria"/>
                <w:lang w:val="hr-HR"/>
              </w:rPr>
            </w:pPr>
            <w:r w:rsidRPr="0077700D">
              <w:rPr>
                <w:rFonts w:ascii="Cambria" w:hAnsi="Cambria"/>
                <w:lang w:val="hr-HR"/>
              </w:rPr>
              <w:t>Engleski jezik I</w:t>
            </w:r>
          </w:p>
          <w:p w14:paraId="68815017" w14:textId="77777777" w:rsidR="004E3FDC" w:rsidRDefault="004E3FDC" w:rsidP="00450B7A">
            <w:pPr>
              <w:spacing w:after="0" w:line="240" w:lineRule="auto"/>
              <w:rPr>
                <w:rFonts w:ascii="Cambria" w:hAnsi="Cambria"/>
                <w:lang w:val="hr-HR"/>
              </w:rPr>
            </w:pPr>
          </w:p>
          <w:p w14:paraId="43EA6436" w14:textId="77777777" w:rsidR="004E3FDC" w:rsidRPr="0077700D" w:rsidRDefault="004E3FDC" w:rsidP="00450B7A">
            <w:pPr>
              <w:spacing w:after="0" w:line="240" w:lineRule="auto"/>
              <w:rPr>
                <w:rFonts w:ascii="Cambria" w:hAnsi="Cambria"/>
                <w:lang w:val="hr-HR"/>
              </w:rPr>
            </w:pPr>
          </w:p>
          <w:p w14:paraId="12134E00" w14:textId="77777777" w:rsidR="004E3FDC" w:rsidRPr="0077700D" w:rsidRDefault="004E3FDC" w:rsidP="00450B7A">
            <w:pPr>
              <w:spacing w:after="0" w:line="240" w:lineRule="auto"/>
              <w:rPr>
                <w:rFonts w:ascii="Cambria" w:hAnsi="Cambria"/>
                <w:b/>
                <w:lang w:val="hr-HR"/>
              </w:rPr>
            </w:pPr>
            <w:r w:rsidRPr="0077700D">
              <w:rPr>
                <w:rFonts w:ascii="Cambria" w:hAnsi="Cambria"/>
                <w:b/>
                <w:lang w:val="hr-HR"/>
              </w:rPr>
              <w:t>257227</w:t>
            </w:r>
          </w:p>
          <w:p w14:paraId="09A41C70" w14:textId="77777777" w:rsidR="004E3FDC" w:rsidRPr="0077700D" w:rsidRDefault="004E3FDC" w:rsidP="00450B7A">
            <w:pPr>
              <w:spacing w:after="0" w:line="240" w:lineRule="auto"/>
              <w:rPr>
                <w:rFonts w:ascii="Cambria" w:hAnsi="Cambria"/>
                <w:lang w:val="hr-HR"/>
              </w:rPr>
            </w:pPr>
            <w:r w:rsidRPr="0077700D">
              <w:rPr>
                <w:rFonts w:ascii="Cambria" w:hAnsi="Cambria"/>
                <w:lang w:val="hr-HR"/>
              </w:rPr>
              <w:t>Njemački jezik I</w:t>
            </w:r>
          </w:p>
        </w:tc>
        <w:tc>
          <w:tcPr>
            <w:tcW w:w="1914" w:type="pct"/>
            <w:tcBorders>
              <w:top w:val="single" w:sz="2" w:space="0" w:color="auto"/>
              <w:left w:val="single" w:sz="2" w:space="0" w:color="auto"/>
              <w:bottom w:val="single" w:sz="2" w:space="0" w:color="auto"/>
              <w:right w:val="single" w:sz="2" w:space="0" w:color="auto"/>
            </w:tcBorders>
            <w:vAlign w:val="center"/>
          </w:tcPr>
          <w:p w14:paraId="77E39E45" w14:textId="77777777" w:rsidR="004E3FDC" w:rsidRPr="0077700D" w:rsidRDefault="004E3FDC" w:rsidP="00450B7A">
            <w:pPr>
              <w:widowControl w:val="0"/>
              <w:spacing w:after="0" w:line="240" w:lineRule="auto"/>
              <w:rPr>
                <w:rFonts w:ascii="Cambria" w:eastAsia="Times New Roman" w:hAnsi="Cambria"/>
                <w:lang w:val="hr-HR"/>
              </w:rPr>
            </w:pPr>
            <w:r w:rsidRPr="0077700D">
              <w:rPr>
                <w:rFonts w:ascii="Cambria" w:eastAsia="Times New Roman" w:hAnsi="Cambria"/>
                <w:lang w:val="hr-HR"/>
              </w:rPr>
              <w:t xml:space="preserve">prof. dr. sc. </w:t>
            </w:r>
            <w:proofErr w:type="spellStart"/>
            <w:r w:rsidRPr="0077700D">
              <w:rPr>
                <w:rFonts w:ascii="Cambria" w:eastAsia="Times New Roman" w:hAnsi="Cambria"/>
                <w:lang w:val="hr-HR"/>
              </w:rPr>
              <w:t>Moira</w:t>
            </w:r>
            <w:proofErr w:type="spellEnd"/>
            <w:r w:rsidRPr="0077700D">
              <w:rPr>
                <w:rFonts w:ascii="Cambria" w:eastAsia="Times New Roman" w:hAnsi="Cambria"/>
                <w:lang w:val="hr-HR"/>
              </w:rPr>
              <w:t xml:space="preserve"> Kostić </w:t>
            </w:r>
            <w:proofErr w:type="spellStart"/>
            <w:r w:rsidRPr="0077700D">
              <w:rPr>
                <w:rFonts w:ascii="Cambria" w:eastAsia="Times New Roman" w:hAnsi="Cambria"/>
                <w:lang w:val="hr-HR"/>
              </w:rPr>
              <w:t>Bobanović</w:t>
            </w:r>
            <w:proofErr w:type="spellEnd"/>
          </w:p>
          <w:p w14:paraId="723BB5FF" w14:textId="77777777" w:rsidR="004E3FDC" w:rsidRDefault="004E3FDC" w:rsidP="00450B7A">
            <w:pPr>
              <w:spacing w:after="0" w:line="240" w:lineRule="auto"/>
              <w:rPr>
                <w:rFonts w:ascii="Cambria" w:eastAsia="Times New Roman" w:hAnsi="Cambria"/>
                <w:lang w:val="hr-HR"/>
              </w:rPr>
            </w:pPr>
            <w:r w:rsidRPr="0077700D">
              <w:rPr>
                <w:rFonts w:ascii="Cambria" w:eastAsia="Times New Roman" w:hAnsi="Cambria"/>
                <w:lang w:val="hr-HR"/>
              </w:rPr>
              <w:t xml:space="preserve">Ivan </w:t>
            </w:r>
            <w:proofErr w:type="spellStart"/>
            <w:r w:rsidRPr="0077700D">
              <w:rPr>
                <w:rFonts w:ascii="Cambria" w:eastAsia="Times New Roman" w:hAnsi="Cambria"/>
                <w:lang w:val="hr-HR"/>
              </w:rPr>
              <w:t>Žufić</w:t>
            </w:r>
            <w:proofErr w:type="spellEnd"/>
            <w:r w:rsidRPr="0077700D">
              <w:rPr>
                <w:rFonts w:ascii="Cambria" w:eastAsia="Times New Roman" w:hAnsi="Cambria"/>
                <w:lang w:val="hr-HR"/>
              </w:rPr>
              <w:t>, naslovni pred.</w:t>
            </w:r>
          </w:p>
          <w:p w14:paraId="77C1FE6E" w14:textId="77777777" w:rsidR="004E3FDC" w:rsidRPr="00D43226" w:rsidRDefault="004E3FDC" w:rsidP="00450B7A">
            <w:pPr>
              <w:spacing w:after="0" w:line="240" w:lineRule="auto"/>
              <w:rPr>
                <w:rFonts w:ascii="Cambria" w:eastAsia="Times New Roman" w:hAnsi="Cambria"/>
                <w:lang w:val="hr-HR"/>
              </w:rPr>
            </w:pPr>
            <w:r w:rsidRPr="00D43226">
              <w:rPr>
                <w:rFonts w:ascii="Cambria" w:eastAsia="Times New Roman" w:hAnsi="Cambria"/>
                <w:lang w:val="hr-HR"/>
              </w:rPr>
              <w:t>Jelena Gugić, asistentica</w:t>
            </w:r>
          </w:p>
          <w:p w14:paraId="684AB978" w14:textId="77777777" w:rsidR="004E3FDC" w:rsidRPr="0077700D" w:rsidRDefault="004E3FDC" w:rsidP="00450B7A">
            <w:pPr>
              <w:widowControl w:val="0"/>
              <w:spacing w:after="0" w:line="240" w:lineRule="auto"/>
              <w:rPr>
                <w:rFonts w:ascii="Cambria" w:eastAsia="Times New Roman" w:hAnsi="Cambria"/>
                <w:lang w:val="hr-HR"/>
              </w:rPr>
            </w:pPr>
          </w:p>
          <w:p w14:paraId="15BA2602" w14:textId="77777777" w:rsidR="004E3FDC" w:rsidRPr="0077700D" w:rsidRDefault="004E3FDC" w:rsidP="00450B7A">
            <w:pPr>
              <w:widowControl w:val="0"/>
              <w:spacing w:after="0" w:line="240" w:lineRule="auto"/>
              <w:rPr>
                <w:rFonts w:ascii="Cambria" w:eastAsia="Times New Roman" w:hAnsi="Cambria"/>
                <w:lang w:val="hr-HR"/>
              </w:rPr>
            </w:pPr>
            <w:proofErr w:type="spellStart"/>
            <w:r w:rsidRPr="0077700D">
              <w:rPr>
                <w:rFonts w:ascii="Cambria" w:eastAsia="Times New Roman" w:hAnsi="Cambria"/>
                <w:lang w:val="hr-HR"/>
              </w:rPr>
              <w:t>Marieta</w:t>
            </w:r>
            <w:proofErr w:type="spellEnd"/>
            <w:r w:rsidRPr="0077700D">
              <w:rPr>
                <w:rFonts w:ascii="Cambria" w:eastAsia="Times New Roman" w:hAnsi="Cambria"/>
                <w:lang w:val="hr-HR"/>
              </w:rPr>
              <w:t xml:space="preserve"> Djaković, v. pred.</w:t>
            </w:r>
          </w:p>
        </w:tc>
        <w:tc>
          <w:tcPr>
            <w:tcW w:w="389" w:type="pct"/>
            <w:tcBorders>
              <w:top w:val="single" w:sz="2" w:space="0" w:color="auto"/>
              <w:left w:val="single" w:sz="2" w:space="0" w:color="auto"/>
              <w:bottom w:val="single" w:sz="2" w:space="0" w:color="auto"/>
              <w:right w:val="single" w:sz="2" w:space="0" w:color="auto"/>
            </w:tcBorders>
            <w:vAlign w:val="center"/>
            <w:hideMark/>
          </w:tcPr>
          <w:p w14:paraId="2150E668" w14:textId="77777777" w:rsidR="004E3FDC" w:rsidRPr="0077700D" w:rsidRDefault="004E3FDC" w:rsidP="00450B7A">
            <w:pPr>
              <w:widowControl w:val="0"/>
              <w:spacing w:after="0" w:line="240" w:lineRule="auto"/>
              <w:jc w:val="center"/>
              <w:rPr>
                <w:rFonts w:ascii="Cambria" w:eastAsia="Times New Roman" w:hAnsi="Cambria"/>
                <w:lang w:val="hr-HR"/>
              </w:rPr>
            </w:pPr>
            <w:r w:rsidRPr="0077700D">
              <w:rPr>
                <w:rFonts w:ascii="Cambria" w:eastAsia="Times New Roman" w:hAnsi="Cambria"/>
                <w:lang w:val="hr-HR"/>
              </w:rPr>
              <w:t>30</w:t>
            </w:r>
          </w:p>
        </w:tc>
        <w:tc>
          <w:tcPr>
            <w:tcW w:w="352" w:type="pct"/>
            <w:tcBorders>
              <w:top w:val="single" w:sz="2" w:space="0" w:color="auto"/>
              <w:left w:val="single" w:sz="2" w:space="0" w:color="auto"/>
              <w:bottom w:val="single" w:sz="2" w:space="0" w:color="auto"/>
              <w:right w:val="single" w:sz="2" w:space="0" w:color="auto"/>
            </w:tcBorders>
            <w:vAlign w:val="center"/>
          </w:tcPr>
          <w:p w14:paraId="37A3E8CB" w14:textId="77777777" w:rsidR="004E3FDC" w:rsidRPr="0077700D" w:rsidRDefault="004E3FDC" w:rsidP="00450B7A">
            <w:pPr>
              <w:widowControl w:val="0"/>
              <w:spacing w:after="0" w:line="240" w:lineRule="auto"/>
              <w:jc w:val="center"/>
              <w:rPr>
                <w:rFonts w:ascii="Cambria" w:eastAsia="Times New Roman" w:hAnsi="Cambria"/>
                <w:lang w:val="hr-HR"/>
              </w:rPr>
            </w:pPr>
            <w:r w:rsidRPr="0077700D">
              <w:rPr>
                <w:rFonts w:ascii="Cambria" w:eastAsia="Times New Roman" w:hAnsi="Cambria"/>
                <w:lang w:val="hr-HR"/>
              </w:rPr>
              <w:t>0</w:t>
            </w:r>
          </w:p>
        </w:tc>
        <w:tc>
          <w:tcPr>
            <w:tcW w:w="390" w:type="pct"/>
            <w:tcBorders>
              <w:top w:val="single" w:sz="2" w:space="0" w:color="auto"/>
              <w:left w:val="single" w:sz="2" w:space="0" w:color="auto"/>
              <w:bottom w:val="single" w:sz="2" w:space="0" w:color="auto"/>
              <w:right w:val="single" w:sz="2" w:space="0" w:color="auto"/>
            </w:tcBorders>
            <w:vAlign w:val="center"/>
            <w:hideMark/>
          </w:tcPr>
          <w:p w14:paraId="26267263" w14:textId="77777777" w:rsidR="004E3FDC" w:rsidRPr="0077700D" w:rsidRDefault="004E3FDC" w:rsidP="00450B7A">
            <w:pPr>
              <w:widowControl w:val="0"/>
              <w:spacing w:after="0" w:line="240" w:lineRule="auto"/>
              <w:jc w:val="center"/>
              <w:rPr>
                <w:rFonts w:ascii="Cambria" w:eastAsia="Times New Roman" w:hAnsi="Cambria"/>
                <w:lang w:val="hr-HR"/>
              </w:rPr>
            </w:pPr>
            <w:r w:rsidRPr="0077700D">
              <w:rPr>
                <w:rFonts w:ascii="Cambria" w:eastAsia="Times New Roman" w:hAnsi="Cambria"/>
                <w:lang w:val="hr-HR"/>
              </w:rPr>
              <w:t>30</w:t>
            </w:r>
          </w:p>
        </w:tc>
        <w:tc>
          <w:tcPr>
            <w:tcW w:w="436" w:type="pct"/>
            <w:tcBorders>
              <w:top w:val="single" w:sz="2" w:space="0" w:color="auto"/>
              <w:left w:val="single" w:sz="2" w:space="0" w:color="auto"/>
              <w:bottom w:val="single" w:sz="2" w:space="0" w:color="auto"/>
              <w:right w:val="single" w:sz="2" w:space="0" w:color="auto"/>
            </w:tcBorders>
            <w:vAlign w:val="center"/>
            <w:hideMark/>
          </w:tcPr>
          <w:p w14:paraId="2BFF141C" w14:textId="77777777" w:rsidR="004E3FDC" w:rsidRPr="0077700D" w:rsidRDefault="004E3FDC" w:rsidP="00450B7A">
            <w:pPr>
              <w:widowControl w:val="0"/>
              <w:spacing w:after="0" w:line="240" w:lineRule="auto"/>
              <w:jc w:val="center"/>
              <w:rPr>
                <w:rFonts w:ascii="Cambria" w:eastAsia="Times New Roman" w:hAnsi="Cambria"/>
                <w:bCs/>
                <w:lang w:val="hr-HR"/>
              </w:rPr>
            </w:pPr>
            <w:r w:rsidRPr="0077700D">
              <w:rPr>
                <w:rFonts w:ascii="Cambria" w:eastAsia="Times New Roman" w:hAnsi="Cambria"/>
                <w:bCs/>
                <w:lang w:val="hr-HR"/>
              </w:rPr>
              <w:t>5</w:t>
            </w:r>
          </w:p>
        </w:tc>
      </w:tr>
      <w:tr w:rsidR="004E3FDC" w:rsidRPr="0077700D" w14:paraId="49E4AAC9" w14:textId="77777777" w:rsidTr="00450B7A">
        <w:trPr>
          <w:cantSplit/>
          <w:jc w:val="center"/>
        </w:trPr>
        <w:tc>
          <w:tcPr>
            <w:tcW w:w="1519" w:type="pct"/>
            <w:tcBorders>
              <w:top w:val="single" w:sz="2" w:space="0" w:color="auto"/>
              <w:left w:val="single" w:sz="2" w:space="0" w:color="auto"/>
              <w:bottom w:val="single" w:sz="2" w:space="0" w:color="auto"/>
              <w:right w:val="single" w:sz="2" w:space="0" w:color="auto"/>
            </w:tcBorders>
            <w:hideMark/>
          </w:tcPr>
          <w:p w14:paraId="40F775ED" w14:textId="77777777" w:rsidR="004E3FDC" w:rsidRPr="0077700D" w:rsidRDefault="004E3FDC" w:rsidP="00450B7A">
            <w:pPr>
              <w:spacing w:after="0"/>
              <w:rPr>
                <w:rFonts w:ascii="Cambria" w:hAnsi="Cambria"/>
                <w:b/>
                <w:lang w:val="hr-HR"/>
              </w:rPr>
            </w:pPr>
            <w:r w:rsidRPr="0077700D">
              <w:rPr>
                <w:rFonts w:ascii="Cambria" w:hAnsi="Cambria"/>
                <w:b/>
                <w:lang w:val="hr-HR"/>
              </w:rPr>
              <w:t>257225</w:t>
            </w:r>
          </w:p>
          <w:p w14:paraId="7073DD49" w14:textId="77777777" w:rsidR="004E3FDC" w:rsidRPr="0077700D" w:rsidRDefault="004E3FDC" w:rsidP="00450B7A">
            <w:pPr>
              <w:rPr>
                <w:rFonts w:ascii="Cambria" w:hAnsi="Cambria"/>
                <w:lang w:val="hr-HR"/>
              </w:rPr>
            </w:pPr>
            <w:r w:rsidRPr="0077700D">
              <w:rPr>
                <w:rFonts w:ascii="Cambria" w:hAnsi="Cambria"/>
                <w:lang w:val="hr-HR"/>
              </w:rPr>
              <w:t xml:space="preserve">Glazbena kultura </w:t>
            </w:r>
          </w:p>
        </w:tc>
        <w:tc>
          <w:tcPr>
            <w:tcW w:w="1914" w:type="pct"/>
            <w:tcBorders>
              <w:top w:val="single" w:sz="2" w:space="0" w:color="auto"/>
              <w:left w:val="single" w:sz="2" w:space="0" w:color="auto"/>
              <w:bottom w:val="single" w:sz="2" w:space="0" w:color="auto"/>
              <w:right w:val="single" w:sz="2" w:space="0" w:color="auto"/>
            </w:tcBorders>
            <w:hideMark/>
          </w:tcPr>
          <w:p w14:paraId="27FD31B5" w14:textId="77777777" w:rsidR="004E3FDC" w:rsidRPr="0077700D" w:rsidRDefault="004E3FDC" w:rsidP="00450B7A">
            <w:pPr>
              <w:spacing w:after="0" w:line="240" w:lineRule="auto"/>
              <w:rPr>
                <w:rFonts w:ascii="Cambria" w:eastAsia="Cambria" w:hAnsi="Cambria" w:cs="Cambria"/>
                <w:lang w:val="hr-HR"/>
              </w:rPr>
            </w:pPr>
            <w:r w:rsidRPr="0077700D">
              <w:rPr>
                <w:rFonts w:ascii="Cambria" w:eastAsia="Cambria" w:hAnsi="Cambria" w:cs="Cambria"/>
                <w:lang w:val="hr-HR"/>
              </w:rPr>
              <w:t>prof. dr. sc. Ivana Paula Gortan-Carlin</w:t>
            </w:r>
          </w:p>
          <w:p w14:paraId="3768ADB8" w14:textId="77777777" w:rsidR="004E3FDC" w:rsidRPr="0077700D" w:rsidRDefault="004E3FDC" w:rsidP="00450B7A">
            <w:pPr>
              <w:widowControl w:val="0"/>
              <w:spacing w:after="0" w:line="240" w:lineRule="auto"/>
              <w:rPr>
                <w:rFonts w:ascii="Cambria" w:eastAsia="Times New Roman" w:hAnsi="Cambria"/>
                <w:lang w:val="hr-HR"/>
              </w:rPr>
            </w:pPr>
            <w:r w:rsidRPr="0077700D">
              <w:rPr>
                <w:rFonts w:ascii="Cambria" w:eastAsia="Cambria" w:hAnsi="Cambria" w:cs="Cambria"/>
                <w:lang w:val="hr-HR"/>
              </w:rPr>
              <w:t>mr. sc. Branko Radić, pred.</w:t>
            </w:r>
          </w:p>
        </w:tc>
        <w:tc>
          <w:tcPr>
            <w:tcW w:w="389" w:type="pct"/>
            <w:tcBorders>
              <w:top w:val="single" w:sz="2" w:space="0" w:color="auto"/>
              <w:left w:val="single" w:sz="2" w:space="0" w:color="auto"/>
              <w:bottom w:val="single" w:sz="2" w:space="0" w:color="auto"/>
              <w:right w:val="single" w:sz="2" w:space="0" w:color="auto"/>
            </w:tcBorders>
            <w:vAlign w:val="center"/>
            <w:hideMark/>
          </w:tcPr>
          <w:p w14:paraId="45DD31D4" w14:textId="77777777" w:rsidR="004E3FDC" w:rsidRPr="0077700D" w:rsidRDefault="004E3FDC" w:rsidP="00450B7A">
            <w:pPr>
              <w:widowControl w:val="0"/>
              <w:spacing w:after="0" w:line="240" w:lineRule="auto"/>
              <w:jc w:val="center"/>
              <w:rPr>
                <w:rFonts w:ascii="Cambria" w:eastAsia="Times New Roman" w:hAnsi="Cambria"/>
                <w:lang w:val="hr-HR"/>
              </w:rPr>
            </w:pPr>
            <w:r w:rsidRPr="0077700D">
              <w:rPr>
                <w:rFonts w:ascii="Cambria" w:eastAsia="Times New Roman" w:hAnsi="Cambria"/>
                <w:lang w:val="hr-HR"/>
              </w:rPr>
              <w:t>15</w:t>
            </w:r>
          </w:p>
        </w:tc>
        <w:tc>
          <w:tcPr>
            <w:tcW w:w="352" w:type="pct"/>
            <w:tcBorders>
              <w:top w:val="single" w:sz="2" w:space="0" w:color="auto"/>
              <w:left w:val="single" w:sz="2" w:space="0" w:color="auto"/>
              <w:bottom w:val="single" w:sz="2" w:space="0" w:color="auto"/>
              <w:right w:val="single" w:sz="2" w:space="0" w:color="auto"/>
            </w:tcBorders>
            <w:vAlign w:val="center"/>
          </w:tcPr>
          <w:p w14:paraId="51CD5E84" w14:textId="77777777" w:rsidR="004E3FDC" w:rsidRPr="0077700D" w:rsidRDefault="004E3FDC" w:rsidP="00450B7A">
            <w:pPr>
              <w:widowControl w:val="0"/>
              <w:spacing w:after="0" w:line="240" w:lineRule="auto"/>
              <w:jc w:val="center"/>
              <w:rPr>
                <w:rFonts w:ascii="Cambria" w:eastAsia="Times New Roman" w:hAnsi="Cambria"/>
                <w:lang w:val="hr-HR"/>
              </w:rPr>
            </w:pPr>
            <w:r w:rsidRPr="0077700D">
              <w:rPr>
                <w:rFonts w:ascii="Cambria" w:eastAsia="Times New Roman" w:hAnsi="Cambria"/>
                <w:lang w:val="hr-HR"/>
              </w:rPr>
              <w:t>0</w:t>
            </w:r>
          </w:p>
        </w:tc>
        <w:tc>
          <w:tcPr>
            <w:tcW w:w="390" w:type="pct"/>
            <w:tcBorders>
              <w:top w:val="single" w:sz="2" w:space="0" w:color="auto"/>
              <w:left w:val="single" w:sz="2" w:space="0" w:color="auto"/>
              <w:bottom w:val="single" w:sz="2" w:space="0" w:color="auto"/>
              <w:right w:val="single" w:sz="2" w:space="0" w:color="auto"/>
            </w:tcBorders>
            <w:vAlign w:val="center"/>
            <w:hideMark/>
          </w:tcPr>
          <w:p w14:paraId="4EAFD940" w14:textId="77777777" w:rsidR="004E3FDC" w:rsidRPr="0077700D" w:rsidRDefault="004E3FDC" w:rsidP="00450B7A">
            <w:pPr>
              <w:widowControl w:val="0"/>
              <w:spacing w:after="0" w:line="240" w:lineRule="auto"/>
              <w:jc w:val="center"/>
              <w:rPr>
                <w:rFonts w:ascii="Cambria" w:eastAsia="Times New Roman" w:hAnsi="Cambria"/>
                <w:lang w:val="hr-HR"/>
              </w:rPr>
            </w:pPr>
            <w:r w:rsidRPr="0077700D">
              <w:rPr>
                <w:rFonts w:ascii="Cambria" w:eastAsia="Times New Roman" w:hAnsi="Cambria"/>
                <w:lang w:val="hr-HR"/>
              </w:rPr>
              <w:t>15</w:t>
            </w:r>
          </w:p>
        </w:tc>
        <w:tc>
          <w:tcPr>
            <w:tcW w:w="436" w:type="pct"/>
            <w:tcBorders>
              <w:top w:val="single" w:sz="2" w:space="0" w:color="auto"/>
              <w:left w:val="single" w:sz="2" w:space="0" w:color="auto"/>
              <w:bottom w:val="single" w:sz="2" w:space="0" w:color="auto"/>
              <w:right w:val="single" w:sz="2" w:space="0" w:color="auto"/>
            </w:tcBorders>
            <w:vAlign w:val="center"/>
            <w:hideMark/>
          </w:tcPr>
          <w:p w14:paraId="4B2E4A49" w14:textId="77777777" w:rsidR="004E3FDC" w:rsidRPr="0077700D" w:rsidRDefault="004E3FDC" w:rsidP="00450B7A">
            <w:pPr>
              <w:widowControl w:val="0"/>
              <w:spacing w:after="0" w:line="240" w:lineRule="auto"/>
              <w:jc w:val="center"/>
              <w:rPr>
                <w:rFonts w:ascii="Cambria" w:eastAsia="Times New Roman" w:hAnsi="Cambria"/>
                <w:bCs/>
                <w:lang w:val="hr-HR"/>
              </w:rPr>
            </w:pPr>
            <w:r w:rsidRPr="0077700D">
              <w:rPr>
                <w:rFonts w:ascii="Cambria" w:eastAsia="Times New Roman" w:hAnsi="Cambria"/>
                <w:bCs/>
                <w:lang w:val="hr-HR"/>
              </w:rPr>
              <w:t>2</w:t>
            </w:r>
          </w:p>
        </w:tc>
      </w:tr>
      <w:tr w:rsidR="004E3FDC" w:rsidRPr="0077700D" w14:paraId="410C377C" w14:textId="77777777" w:rsidTr="00450B7A">
        <w:trPr>
          <w:cantSplit/>
          <w:jc w:val="center"/>
        </w:trPr>
        <w:tc>
          <w:tcPr>
            <w:tcW w:w="1519" w:type="pct"/>
            <w:tcBorders>
              <w:top w:val="single" w:sz="4" w:space="0" w:color="000000"/>
              <w:left w:val="single" w:sz="4" w:space="0" w:color="000000"/>
              <w:bottom w:val="single" w:sz="4" w:space="0" w:color="000000"/>
              <w:right w:val="single" w:sz="4" w:space="0" w:color="000000"/>
            </w:tcBorders>
            <w:vAlign w:val="center"/>
          </w:tcPr>
          <w:p w14:paraId="6478B9CF" w14:textId="77777777" w:rsidR="004E3FDC" w:rsidRPr="0077700D" w:rsidRDefault="004E3FDC" w:rsidP="00450B7A">
            <w:pPr>
              <w:widowControl w:val="0"/>
              <w:spacing w:after="0" w:line="240" w:lineRule="auto"/>
              <w:rPr>
                <w:rFonts w:ascii="Cambria" w:eastAsia="Cambria" w:hAnsi="Cambria" w:cs="Cambria"/>
                <w:b/>
                <w:lang w:val="hr-HR"/>
              </w:rPr>
            </w:pPr>
            <w:r w:rsidRPr="0077700D">
              <w:rPr>
                <w:rFonts w:ascii="Cambria" w:eastAsia="Cambria" w:hAnsi="Cambria" w:cs="Cambria"/>
                <w:b/>
                <w:lang w:val="hr-HR"/>
              </w:rPr>
              <w:t>42322</w:t>
            </w:r>
          </w:p>
          <w:p w14:paraId="067D1D68" w14:textId="77777777" w:rsidR="004E3FDC" w:rsidRPr="0077700D" w:rsidRDefault="004E3FDC" w:rsidP="00450B7A">
            <w:pPr>
              <w:widowControl w:val="0"/>
              <w:spacing w:after="0" w:line="240" w:lineRule="auto"/>
              <w:rPr>
                <w:rFonts w:ascii="Cambria" w:eastAsia="Cambria" w:hAnsi="Cambria" w:cs="Cambria"/>
                <w:lang w:val="hr-HR"/>
              </w:rPr>
            </w:pPr>
            <w:r w:rsidRPr="0077700D">
              <w:rPr>
                <w:rFonts w:ascii="Cambria" w:eastAsia="Cambria" w:hAnsi="Cambria" w:cs="Cambria"/>
                <w:lang w:val="hr-HR"/>
              </w:rPr>
              <w:t>Kineziološka kultura I</w:t>
            </w:r>
          </w:p>
        </w:tc>
        <w:tc>
          <w:tcPr>
            <w:tcW w:w="1914" w:type="pct"/>
            <w:tcBorders>
              <w:top w:val="single" w:sz="2" w:space="0" w:color="auto"/>
              <w:left w:val="single" w:sz="2" w:space="0" w:color="auto"/>
              <w:bottom w:val="single" w:sz="2" w:space="0" w:color="auto"/>
              <w:right w:val="single" w:sz="2" w:space="0" w:color="auto"/>
            </w:tcBorders>
            <w:vAlign w:val="center"/>
            <w:hideMark/>
          </w:tcPr>
          <w:p w14:paraId="08DDE525" w14:textId="77777777" w:rsidR="004E3FDC" w:rsidRPr="0077700D" w:rsidRDefault="004E3FDC" w:rsidP="00450B7A">
            <w:pPr>
              <w:widowControl w:val="0"/>
              <w:spacing w:after="0" w:line="240" w:lineRule="auto"/>
              <w:rPr>
                <w:rFonts w:ascii="Cambria" w:eastAsia="Times New Roman" w:hAnsi="Cambria"/>
                <w:lang w:val="hr-HR"/>
              </w:rPr>
            </w:pPr>
            <w:r w:rsidRPr="0077700D">
              <w:rPr>
                <w:rFonts w:ascii="Cambria" w:eastAsia="Times New Roman" w:hAnsi="Cambria"/>
                <w:lang w:val="hr-HR"/>
              </w:rPr>
              <w:t>prof. dr. sc. Iva Blažević</w:t>
            </w:r>
          </w:p>
          <w:p w14:paraId="43AC5F0F" w14:textId="77777777" w:rsidR="004E3FDC" w:rsidRPr="0077700D" w:rsidRDefault="004E3FDC" w:rsidP="00450B7A">
            <w:pPr>
              <w:widowControl w:val="0"/>
              <w:spacing w:after="0" w:line="240" w:lineRule="auto"/>
              <w:rPr>
                <w:rFonts w:ascii="Cambria" w:eastAsia="Times New Roman" w:hAnsi="Cambria"/>
                <w:lang w:val="hr-HR"/>
              </w:rPr>
            </w:pPr>
            <w:r w:rsidRPr="0077700D">
              <w:rPr>
                <w:rFonts w:ascii="Cambria" w:eastAsia="Times New Roman" w:hAnsi="Cambria"/>
                <w:lang w:val="hr-HR"/>
              </w:rPr>
              <w:t>dr. sc. Ivan Oreb, pred.</w:t>
            </w:r>
          </w:p>
        </w:tc>
        <w:tc>
          <w:tcPr>
            <w:tcW w:w="389" w:type="pct"/>
            <w:tcBorders>
              <w:top w:val="single" w:sz="2" w:space="0" w:color="auto"/>
              <w:left w:val="single" w:sz="2" w:space="0" w:color="auto"/>
              <w:bottom w:val="single" w:sz="2" w:space="0" w:color="auto"/>
              <w:right w:val="single" w:sz="2" w:space="0" w:color="auto"/>
            </w:tcBorders>
            <w:vAlign w:val="center"/>
            <w:hideMark/>
          </w:tcPr>
          <w:p w14:paraId="46C79924" w14:textId="77777777" w:rsidR="004E3FDC" w:rsidRPr="0077700D" w:rsidRDefault="004E3FDC" w:rsidP="00450B7A">
            <w:pPr>
              <w:widowControl w:val="0"/>
              <w:spacing w:after="0" w:line="240" w:lineRule="auto"/>
              <w:jc w:val="center"/>
              <w:rPr>
                <w:rFonts w:ascii="Cambria" w:eastAsia="Times New Roman" w:hAnsi="Cambria"/>
                <w:lang w:val="hr-HR"/>
              </w:rPr>
            </w:pPr>
            <w:r w:rsidRPr="0077700D">
              <w:rPr>
                <w:rFonts w:ascii="Cambria" w:eastAsia="Times New Roman" w:hAnsi="Cambria"/>
                <w:lang w:val="hr-HR"/>
              </w:rPr>
              <w:t>0</w:t>
            </w:r>
          </w:p>
        </w:tc>
        <w:tc>
          <w:tcPr>
            <w:tcW w:w="352" w:type="pct"/>
            <w:tcBorders>
              <w:top w:val="single" w:sz="2" w:space="0" w:color="auto"/>
              <w:left w:val="single" w:sz="2" w:space="0" w:color="auto"/>
              <w:bottom w:val="single" w:sz="2" w:space="0" w:color="auto"/>
              <w:right w:val="single" w:sz="2" w:space="0" w:color="auto"/>
            </w:tcBorders>
            <w:vAlign w:val="center"/>
          </w:tcPr>
          <w:p w14:paraId="724AD9FC" w14:textId="77777777" w:rsidR="004E3FDC" w:rsidRPr="0077700D" w:rsidRDefault="004E3FDC" w:rsidP="00450B7A">
            <w:pPr>
              <w:widowControl w:val="0"/>
              <w:spacing w:after="0" w:line="240" w:lineRule="auto"/>
              <w:jc w:val="center"/>
              <w:rPr>
                <w:rFonts w:ascii="Cambria" w:eastAsia="Times New Roman" w:hAnsi="Cambria"/>
                <w:lang w:val="hr-HR"/>
              </w:rPr>
            </w:pPr>
            <w:r w:rsidRPr="0077700D">
              <w:rPr>
                <w:rFonts w:ascii="Cambria" w:eastAsia="Times New Roman" w:hAnsi="Cambria"/>
                <w:lang w:val="hr-HR"/>
              </w:rPr>
              <w:t>0</w:t>
            </w:r>
          </w:p>
        </w:tc>
        <w:tc>
          <w:tcPr>
            <w:tcW w:w="390" w:type="pct"/>
            <w:tcBorders>
              <w:top w:val="single" w:sz="2" w:space="0" w:color="auto"/>
              <w:left w:val="single" w:sz="2" w:space="0" w:color="auto"/>
              <w:bottom w:val="single" w:sz="2" w:space="0" w:color="auto"/>
              <w:right w:val="single" w:sz="2" w:space="0" w:color="auto"/>
            </w:tcBorders>
            <w:vAlign w:val="center"/>
            <w:hideMark/>
          </w:tcPr>
          <w:p w14:paraId="3C998591" w14:textId="77777777" w:rsidR="004E3FDC" w:rsidRPr="0077700D" w:rsidRDefault="004E3FDC" w:rsidP="00450B7A">
            <w:pPr>
              <w:widowControl w:val="0"/>
              <w:spacing w:after="0" w:line="240" w:lineRule="auto"/>
              <w:jc w:val="center"/>
              <w:rPr>
                <w:rFonts w:ascii="Cambria" w:eastAsia="Times New Roman" w:hAnsi="Cambria"/>
                <w:lang w:val="hr-HR"/>
              </w:rPr>
            </w:pPr>
            <w:r w:rsidRPr="0077700D">
              <w:rPr>
                <w:rFonts w:ascii="Cambria" w:eastAsia="Times New Roman" w:hAnsi="Cambria"/>
                <w:lang w:val="hr-HR"/>
              </w:rPr>
              <w:t>30</w:t>
            </w:r>
          </w:p>
        </w:tc>
        <w:tc>
          <w:tcPr>
            <w:tcW w:w="436" w:type="pct"/>
            <w:tcBorders>
              <w:top w:val="single" w:sz="2" w:space="0" w:color="auto"/>
              <w:left w:val="single" w:sz="2" w:space="0" w:color="auto"/>
              <w:bottom w:val="single" w:sz="2" w:space="0" w:color="auto"/>
              <w:right w:val="single" w:sz="2" w:space="0" w:color="auto"/>
            </w:tcBorders>
            <w:vAlign w:val="center"/>
            <w:hideMark/>
          </w:tcPr>
          <w:p w14:paraId="68A5F09A" w14:textId="77777777" w:rsidR="004E3FDC" w:rsidRPr="0077700D" w:rsidRDefault="004E3FDC" w:rsidP="00450B7A">
            <w:pPr>
              <w:widowControl w:val="0"/>
              <w:spacing w:after="0" w:line="240" w:lineRule="auto"/>
              <w:jc w:val="center"/>
              <w:rPr>
                <w:rFonts w:ascii="Cambria" w:eastAsia="Times New Roman" w:hAnsi="Cambria"/>
                <w:bCs/>
                <w:lang w:val="hr-HR"/>
              </w:rPr>
            </w:pPr>
            <w:r w:rsidRPr="0077700D">
              <w:rPr>
                <w:rFonts w:ascii="Cambria" w:eastAsia="Times New Roman" w:hAnsi="Cambria"/>
                <w:bCs/>
                <w:lang w:val="hr-HR"/>
              </w:rPr>
              <w:t>1</w:t>
            </w:r>
          </w:p>
        </w:tc>
      </w:tr>
      <w:tr w:rsidR="004E3FDC" w:rsidRPr="0077700D" w14:paraId="6C7575AB" w14:textId="77777777" w:rsidTr="00450B7A">
        <w:trPr>
          <w:cantSplit/>
          <w:jc w:val="center"/>
        </w:trPr>
        <w:tc>
          <w:tcPr>
            <w:tcW w:w="1519" w:type="pct"/>
            <w:tcBorders>
              <w:top w:val="single" w:sz="4" w:space="0" w:color="000000"/>
              <w:left w:val="single" w:sz="4" w:space="0" w:color="000000"/>
              <w:bottom w:val="single" w:sz="4" w:space="0" w:color="000000"/>
              <w:right w:val="single" w:sz="4" w:space="0" w:color="000000"/>
            </w:tcBorders>
            <w:vAlign w:val="center"/>
          </w:tcPr>
          <w:p w14:paraId="0CB96D56" w14:textId="77777777" w:rsidR="004E3FDC" w:rsidRPr="0077700D" w:rsidRDefault="004E3FDC" w:rsidP="00450B7A">
            <w:pPr>
              <w:widowControl w:val="0"/>
              <w:spacing w:after="0" w:line="240" w:lineRule="auto"/>
              <w:rPr>
                <w:rFonts w:ascii="Cambria" w:eastAsia="Cambria" w:hAnsi="Cambria" w:cs="Cambria"/>
                <w:b/>
                <w:lang w:val="hr-HR"/>
              </w:rPr>
            </w:pPr>
            <w:r w:rsidRPr="0077700D">
              <w:rPr>
                <w:rFonts w:ascii="Cambria" w:eastAsia="Cambria" w:hAnsi="Cambria" w:cs="Cambria"/>
                <w:b/>
                <w:lang w:val="hr-HR"/>
              </w:rPr>
              <w:t>174592</w:t>
            </w:r>
          </w:p>
          <w:p w14:paraId="40A43530" w14:textId="77777777" w:rsidR="004E3FDC" w:rsidRPr="0077700D" w:rsidRDefault="004E3FDC" w:rsidP="00450B7A">
            <w:pPr>
              <w:widowControl w:val="0"/>
              <w:spacing w:after="0" w:line="240" w:lineRule="auto"/>
              <w:rPr>
                <w:rFonts w:ascii="Cambria" w:eastAsia="Cambria" w:hAnsi="Cambria" w:cs="Cambria"/>
                <w:lang w:val="hr-HR"/>
              </w:rPr>
            </w:pPr>
            <w:r w:rsidRPr="0077700D">
              <w:rPr>
                <w:rFonts w:ascii="Cambria" w:eastAsia="Cambria" w:hAnsi="Cambria" w:cs="Cambria"/>
                <w:lang w:val="hr-HR"/>
              </w:rPr>
              <w:t>Stručna praksa I</w:t>
            </w:r>
          </w:p>
        </w:tc>
        <w:tc>
          <w:tcPr>
            <w:tcW w:w="1914" w:type="pct"/>
            <w:tcBorders>
              <w:top w:val="single" w:sz="2" w:space="0" w:color="auto"/>
              <w:left w:val="single" w:sz="2" w:space="0" w:color="auto"/>
              <w:bottom w:val="single" w:sz="2" w:space="0" w:color="auto"/>
              <w:right w:val="single" w:sz="2" w:space="0" w:color="auto"/>
            </w:tcBorders>
            <w:vAlign w:val="center"/>
            <w:hideMark/>
          </w:tcPr>
          <w:p w14:paraId="76994E12" w14:textId="77777777" w:rsidR="004E3FDC" w:rsidRPr="0077700D" w:rsidRDefault="004E3FDC" w:rsidP="00450B7A">
            <w:pPr>
              <w:widowControl w:val="0"/>
              <w:spacing w:after="0" w:line="240" w:lineRule="auto"/>
              <w:rPr>
                <w:rFonts w:ascii="Cambria" w:eastAsia="Times New Roman" w:hAnsi="Cambria"/>
                <w:lang w:val="hr-HR"/>
              </w:rPr>
            </w:pPr>
            <w:r w:rsidRPr="0077700D">
              <w:rPr>
                <w:rFonts w:ascii="Cambria" w:eastAsia="Times New Roman" w:hAnsi="Cambria"/>
                <w:lang w:val="hr-HR"/>
              </w:rPr>
              <w:t>doc. dr. sc. Irena Kiss</w:t>
            </w:r>
          </w:p>
        </w:tc>
        <w:tc>
          <w:tcPr>
            <w:tcW w:w="1131" w:type="pct"/>
            <w:gridSpan w:val="3"/>
            <w:tcBorders>
              <w:top w:val="single" w:sz="2" w:space="0" w:color="auto"/>
              <w:left w:val="single" w:sz="2" w:space="0" w:color="auto"/>
              <w:bottom w:val="single" w:sz="2" w:space="0" w:color="auto"/>
              <w:right w:val="single" w:sz="2" w:space="0" w:color="auto"/>
            </w:tcBorders>
            <w:vAlign w:val="center"/>
            <w:hideMark/>
          </w:tcPr>
          <w:p w14:paraId="72550E5C" w14:textId="77777777" w:rsidR="004E3FDC" w:rsidRPr="0077700D" w:rsidRDefault="004E3FDC" w:rsidP="00450B7A">
            <w:pPr>
              <w:widowControl w:val="0"/>
              <w:spacing w:after="0" w:line="240" w:lineRule="auto"/>
              <w:jc w:val="center"/>
              <w:rPr>
                <w:rFonts w:ascii="Cambria" w:eastAsia="Times New Roman" w:hAnsi="Cambria"/>
                <w:lang w:val="hr-HR"/>
              </w:rPr>
            </w:pPr>
            <w:r w:rsidRPr="0077700D">
              <w:rPr>
                <w:rFonts w:ascii="Cambria" w:eastAsia="Times New Roman" w:hAnsi="Cambria"/>
                <w:lang w:val="hr-HR"/>
              </w:rPr>
              <w:t>jedan tjedan u veljači (25 sati)</w:t>
            </w:r>
          </w:p>
        </w:tc>
        <w:tc>
          <w:tcPr>
            <w:tcW w:w="436" w:type="pct"/>
            <w:tcBorders>
              <w:top w:val="single" w:sz="2" w:space="0" w:color="auto"/>
              <w:left w:val="single" w:sz="2" w:space="0" w:color="auto"/>
              <w:bottom w:val="single" w:sz="2" w:space="0" w:color="auto"/>
              <w:right w:val="single" w:sz="2" w:space="0" w:color="auto"/>
            </w:tcBorders>
            <w:vAlign w:val="center"/>
            <w:hideMark/>
          </w:tcPr>
          <w:p w14:paraId="4414C925" w14:textId="77777777" w:rsidR="004E3FDC" w:rsidRPr="0077700D" w:rsidRDefault="004E3FDC" w:rsidP="00450B7A">
            <w:pPr>
              <w:widowControl w:val="0"/>
              <w:spacing w:after="0" w:line="240" w:lineRule="auto"/>
              <w:jc w:val="center"/>
              <w:rPr>
                <w:rFonts w:ascii="Cambria" w:eastAsia="Times New Roman" w:hAnsi="Cambria"/>
                <w:bCs/>
                <w:lang w:val="hr-HR"/>
              </w:rPr>
            </w:pPr>
            <w:r w:rsidRPr="0077700D">
              <w:rPr>
                <w:rFonts w:ascii="Cambria" w:eastAsia="Times New Roman" w:hAnsi="Cambria"/>
                <w:bCs/>
                <w:lang w:val="hr-HR"/>
              </w:rPr>
              <w:t>2</w:t>
            </w:r>
          </w:p>
        </w:tc>
      </w:tr>
      <w:tr w:rsidR="004E3FDC" w:rsidRPr="0077700D" w14:paraId="501A26CE" w14:textId="77777777" w:rsidTr="00450B7A">
        <w:trPr>
          <w:cantSplit/>
          <w:jc w:val="center"/>
        </w:trPr>
        <w:tc>
          <w:tcPr>
            <w:tcW w:w="1519" w:type="pct"/>
            <w:tcBorders>
              <w:top w:val="single" w:sz="2" w:space="0" w:color="auto"/>
              <w:left w:val="single" w:sz="2" w:space="0" w:color="auto"/>
              <w:bottom w:val="single" w:sz="2" w:space="0" w:color="auto"/>
              <w:right w:val="single" w:sz="2" w:space="0" w:color="auto"/>
            </w:tcBorders>
            <w:hideMark/>
          </w:tcPr>
          <w:p w14:paraId="71300A2B" w14:textId="77777777" w:rsidR="004E3FDC" w:rsidRPr="0077700D" w:rsidRDefault="004E3FDC" w:rsidP="00450B7A">
            <w:pPr>
              <w:rPr>
                <w:rFonts w:ascii="Cambria" w:hAnsi="Cambria"/>
                <w:b/>
                <w:lang w:val="hr-HR"/>
              </w:rPr>
            </w:pPr>
            <w:r w:rsidRPr="0077700D">
              <w:rPr>
                <w:rFonts w:ascii="Cambria" w:hAnsi="Cambria"/>
                <w:b/>
                <w:lang w:val="hr-HR"/>
              </w:rPr>
              <w:t>Ukupno</w:t>
            </w:r>
          </w:p>
        </w:tc>
        <w:tc>
          <w:tcPr>
            <w:tcW w:w="1914" w:type="pct"/>
            <w:tcBorders>
              <w:top w:val="single" w:sz="2" w:space="0" w:color="auto"/>
              <w:left w:val="single" w:sz="2" w:space="0" w:color="auto"/>
              <w:bottom w:val="single" w:sz="2" w:space="0" w:color="auto"/>
              <w:right w:val="single" w:sz="2" w:space="0" w:color="auto"/>
            </w:tcBorders>
            <w:vAlign w:val="center"/>
          </w:tcPr>
          <w:p w14:paraId="5B0306EF" w14:textId="77777777" w:rsidR="004E3FDC" w:rsidRPr="0077700D" w:rsidRDefault="004E3FDC" w:rsidP="00450B7A">
            <w:pPr>
              <w:widowControl w:val="0"/>
              <w:spacing w:after="0" w:line="240" w:lineRule="auto"/>
              <w:rPr>
                <w:rFonts w:ascii="Cambria" w:eastAsia="Times New Roman" w:hAnsi="Cambria"/>
                <w:b/>
                <w:lang w:val="hr-HR"/>
              </w:rPr>
            </w:pPr>
          </w:p>
        </w:tc>
        <w:tc>
          <w:tcPr>
            <w:tcW w:w="389" w:type="pct"/>
            <w:tcBorders>
              <w:top w:val="single" w:sz="2" w:space="0" w:color="auto"/>
              <w:left w:val="single" w:sz="2" w:space="0" w:color="auto"/>
              <w:bottom w:val="single" w:sz="2" w:space="0" w:color="auto"/>
              <w:right w:val="single" w:sz="2" w:space="0" w:color="auto"/>
            </w:tcBorders>
            <w:vAlign w:val="center"/>
          </w:tcPr>
          <w:p w14:paraId="1E2DEDA5" w14:textId="77777777" w:rsidR="004E3FDC" w:rsidRPr="0077700D" w:rsidRDefault="004E3FDC" w:rsidP="00450B7A">
            <w:pPr>
              <w:widowControl w:val="0"/>
              <w:spacing w:after="0" w:line="240" w:lineRule="auto"/>
              <w:jc w:val="center"/>
              <w:rPr>
                <w:rFonts w:ascii="Cambria" w:eastAsia="Times New Roman" w:hAnsi="Cambria"/>
                <w:b/>
                <w:lang w:val="hr-HR"/>
              </w:rPr>
            </w:pPr>
          </w:p>
        </w:tc>
        <w:tc>
          <w:tcPr>
            <w:tcW w:w="352" w:type="pct"/>
            <w:tcBorders>
              <w:top w:val="single" w:sz="2" w:space="0" w:color="auto"/>
              <w:left w:val="single" w:sz="2" w:space="0" w:color="auto"/>
              <w:bottom w:val="single" w:sz="2" w:space="0" w:color="auto"/>
              <w:right w:val="single" w:sz="2" w:space="0" w:color="auto"/>
            </w:tcBorders>
            <w:vAlign w:val="center"/>
          </w:tcPr>
          <w:p w14:paraId="63029F37" w14:textId="77777777" w:rsidR="004E3FDC" w:rsidRPr="0077700D" w:rsidRDefault="004E3FDC" w:rsidP="00450B7A">
            <w:pPr>
              <w:widowControl w:val="0"/>
              <w:spacing w:after="0" w:line="240" w:lineRule="auto"/>
              <w:jc w:val="center"/>
              <w:rPr>
                <w:rFonts w:ascii="Cambria" w:eastAsia="Times New Roman" w:hAnsi="Cambria"/>
                <w:b/>
                <w:lang w:val="hr-HR"/>
              </w:rPr>
            </w:pPr>
          </w:p>
        </w:tc>
        <w:tc>
          <w:tcPr>
            <w:tcW w:w="390" w:type="pct"/>
            <w:tcBorders>
              <w:top w:val="single" w:sz="2" w:space="0" w:color="auto"/>
              <w:left w:val="single" w:sz="2" w:space="0" w:color="auto"/>
              <w:bottom w:val="single" w:sz="2" w:space="0" w:color="auto"/>
              <w:right w:val="single" w:sz="2" w:space="0" w:color="auto"/>
            </w:tcBorders>
            <w:vAlign w:val="center"/>
          </w:tcPr>
          <w:p w14:paraId="76A2FDBC" w14:textId="77777777" w:rsidR="004E3FDC" w:rsidRPr="0077700D" w:rsidRDefault="004E3FDC" w:rsidP="00450B7A">
            <w:pPr>
              <w:widowControl w:val="0"/>
              <w:spacing w:after="0" w:line="240" w:lineRule="auto"/>
              <w:jc w:val="center"/>
              <w:rPr>
                <w:rFonts w:ascii="Cambria" w:eastAsia="Times New Roman" w:hAnsi="Cambria"/>
                <w:b/>
                <w:lang w:val="hr-HR"/>
              </w:rPr>
            </w:pPr>
          </w:p>
        </w:tc>
        <w:tc>
          <w:tcPr>
            <w:tcW w:w="436" w:type="pct"/>
            <w:tcBorders>
              <w:top w:val="single" w:sz="2" w:space="0" w:color="auto"/>
              <w:left w:val="single" w:sz="2" w:space="0" w:color="auto"/>
              <w:bottom w:val="single" w:sz="2" w:space="0" w:color="auto"/>
              <w:right w:val="single" w:sz="2" w:space="0" w:color="auto"/>
            </w:tcBorders>
            <w:vAlign w:val="center"/>
            <w:hideMark/>
          </w:tcPr>
          <w:p w14:paraId="65ECFFB1" w14:textId="77777777" w:rsidR="004E3FDC" w:rsidRPr="0077700D" w:rsidRDefault="004E3FDC" w:rsidP="00450B7A">
            <w:pPr>
              <w:widowControl w:val="0"/>
              <w:spacing w:after="0" w:line="240" w:lineRule="auto"/>
              <w:jc w:val="center"/>
              <w:rPr>
                <w:rFonts w:ascii="Cambria" w:eastAsia="Times New Roman" w:hAnsi="Cambria"/>
                <w:b/>
                <w:bCs/>
                <w:lang w:val="hr-HR"/>
              </w:rPr>
            </w:pPr>
            <w:r w:rsidRPr="0077700D">
              <w:rPr>
                <w:rFonts w:ascii="Cambria" w:eastAsia="Times New Roman" w:hAnsi="Cambria"/>
                <w:b/>
                <w:bCs/>
                <w:lang w:val="hr-HR"/>
              </w:rPr>
              <w:t>30</w:t>
            </w:r>
          </w:p>
        </w:tc>
      </w:tr>
    </w:tbl>
    <w:p w14:paraId="164F9032" w14:textId="77777777" w:rsidR="004E3FDC" w:rsidRDefault="004E3FDC" w:rsidP="004E3FDC">
      <w:pPr>
        <w:widowControl w:val="0"/>
        <w:tabs>
          <w:tab w:val="left" w:pos="8208"/>
        </w:tabs>
        <w:spacing w:after="0" w:line="240" w:lineRule="auto"/>
        <w:rPr>
          <w:rFonts w:ascii="Cambria" w:eastAsia="Times New Roman" w:hAnsi="Cambria"/>
          <w:lang w:val="hr-HR"/>
        </w:rPr>
      </w:pPr>
      <w:r w:rsidRPr="0077700D">
        <w:rPr>
          <w:rFonts w:ascii="Cambria" w:eastAsia="Times New Roman" w:hAnsi="Cambria"/>
          <w:lang w:val="hr-HR"/>
        </w:rPr>
        <w:t xml:space="preserve">  * student upisuje onaj strani jezik koji je slušao u srednjoj školi</w:t>
      </w:r>
    </w:p>
    <w:p w14:paraId="055B7C19" w14:textId="77777777" w:rsidR="004E3FDC" w:rsidRPr="0077700D" w:rsidRDefault="004E3FDC" w:rsidP="004E3FDC">
      <w:pPr>
        <w:widowControl w:val="0"/>
        <w:tabs>
          <w:tab w:val="left" w:pos="8208"/>
        </w:tabs>
        <w:spacing w:after="0" w:line="240" w:lineRule="auto"/>
        <w:rPr>
          <w:rFonts w:ascii="Cambria" w:eastAsia="Times New Roman" w:hAnsi="Cambria"/>
          <w:lang w:val="hr-HR"/>
        </w:rPr>
      </w:pPr>
      <w:r w:rsidRPr="0077700D">
        <w:rPr>
          <w:rFonts w:ascii="Cambria" w:hAnsi="Cambria"/>
          <w:lang w:val="hr-HR"/>
        </w:rPr>
        <w:br w:type="page"/>
      </w:r>
    </w:p>
    <w:tbl>
      <w:tblPr>
        <w:tblW w:w="4868"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954"/>
        <w:gridCol w:w="3753"/>
        <w:gridCol w:w="770"/>
        <w:gridCol w:w="617"/>
        <w:gridCol w:w="811"/>
        <w:gridCol w:w="864"/>
      </w:tblGrid>
      <w:tr w:rsidR="004E3FDC" w:rsidRPr="0077700D" w14:paraId="2664CEBB" w14:textId="77777777" w:rsidTr="00450B7A">
        <w:trPr>
          <w:cantSplit/>
          <w:trHeight w:val="253"/>
          <w:jc w:val="center"/>
        </w:trPr>
        <w:tc>
          <w:tcPr>
            <w:tcW w:w="5000" w:type="pct"/>
            <w:gridSpan w:val="6"/>
            <w:tcBorders>
              <w:top w:val="single" w:sz="2" w:space="0" w:color="auto"/>
              <w:left w:val="single" w:sz="2" w:space="0" w:color="auto"/>
              <w:bottom w:val="single" w:sz="2" w:space="0" w:color="auto"/>
              <w:right w:val="single" w:sz="2" w:space="0" w:color="auto"/>
            </w:tcBorders>
            <w:shd w:val="clear" w:color="auto" w:fill="33CCCC"/>
            <w:hideMark/>
          </w:tcPr>
          <w:p w14:paraId="21B48BD2" w14:textId="77777777" w:rsidR="004E3FDC" w:rsidRPr="0077700D" w:rsidRDefault="004E3FDC" w:rsidP="00450B7A">
            <w:pPr>
              <w:spacing w:after="0"/>
              <w:jc w:val="center"/>
              <w:rPr>
                <w:rFonts w:ascii="Cambria" w:hAnsi="Cambria"/>
                <w:b/>
                <w:lang w:val="hr-HR"/>
              </w:rPr>
            </w:pPr>
            <w:r w:rsidRPr="0077700D">
              <w:rPr>
                <w:rFonts w:ascii="Cambria" w:hAnsi="Cambria"/>
                <w:b/>
                <w:lang w:val="hr-HR"/>
              </w:rPr>
              <w:lastRenderedPageBreak/>
              <w:t>II. semestar</w:t>
            </w:r>
          </w:p>
        </w:tc>
      </w:tr>
      <w:tr w:rsidR="004E3FDC" w:rsidRPr="0077700D" w14:paraId="1448F231" w14:textId="77777777" w:rsidTr="00450B7A">
        <w:trPr>
          <w:cantSplit/>
          <w:jc w:val="center"/>
        </w:trPr>
        <w:tc>
          <w:tcPr>
            <w:tcW w:w="1512" w:type="pct"/>
            <w:tcBorders>
              <w:top w:val="single" w:sz="2" w:space="0" w:color="auto"/>
              <w:left w:val="single" w:sz="2" w:space="0" w:color="auto"/>
              <w:bottom w:val="single" w:sz="2" w:space="0" w:color="auto"/>
              <w:right w:val="single" w:sz="2" w:space="0" w:color="auto"/>
            </w:tcBorders>
            <w:hideMark/>
          </w:tcPr>
          <w:p w14:paraId="045BB4CD" w14:textId="77777777" w:rsidR="004E3FDC" w:rsidRPr="0077700D" w:rsidRDefault="004E3FDC" w:rsidP="00450B7A">
            <w:pPr>
              <w:rPr>
                <w:rFonts w:ascii="Cambria" w:hAnsi="Cambria"/>
                <w:b/>
                <w:lang w:val="hr-HR"/>
              </w:rPr>
            </w:pPr>
            <w:r w:rsidRPr="0077700D">
              <w:rPr>
                <w:rFonts w:ascii="Cambria" w:hAnsi="Cambria"/>
                <w:b/>
                <w:lang w:val="hr-HR"/>
              </w:rPr>
              <w:t>Predmet</w:t>
            </w:r>
          </w:p>
        </w:tc>
        <w:tc>
          <w:tcPr>
            <w:tcW w:w="1921" w:type="pct"/>
            <w:tcBorders>
              <w:top w:val="single" w:sz="2" w:space="0" w:color="auto"/>
              <w:left w:val="single" w:sz="2" w:space="0" w:color="auto"/>
              <w:bottom w:val="single" w:sz="2" w:space="0" w:color="auto"/>
              <w:right w:val="single" w:sz="2" w:space="0" w:color="auto"/>
            </w:tcBorders>
            <w:vAlign w:val="center"/>
            <w:hideMark/>
          </w:tcPr>
          <w:p w14:paraId="4D33E048" w14:textId="77777777" w:rsidR="004E3FDC" w:rsidRPr="0077700D" w:rsidRDefault="004E3FDC" w:rsidP="00450B7A">
            <w:pPr>
              <w:widowControl w:val="0"/>
              <w:spacing w:after="0" w:line="240" w:lineRule="auto"/>
              <w:rPr>
                <w:rFonts w:ascii="Cambria" w:eastAsia="Times New Roman" w:hAnsi="Cambria"/>
                <w:b/>
                <w:lang w:val="hr-HR"/>
              </w:rPr>
            </w:pPr>
            <w:r w:rsidRPr="0077700D">
              <w:rPr>
                <w:rFonts w:ascii="Cambria" w:eastAsia="Times New Roman" w:hAnsi="Cambria"/>
                <w:b/>
                <w:lang w:val="hr-HR"/>
              </w:rPr>
              <w:t>Nastavnik/</w:t>
            </w:r>
            <w:proofErr w:type="spellStart"/>
            <w:r w:rsidRPr="0077700D">
              <w:rPr>
                <w:rFonts w:ascii="Cambria" w:eastAsia="Times New Roman" w:hAnsi="Cambria"/>
                <w:b/>
                <w:lang w:val="hr-HR"/>
              </w:rPr>
              <w:t>ica</w:t>
            </w:r>
            <w:proofErr w:type="spellEnd"/>
          </w:p>
        </w:tc>
        <w:tc>
          <w:tcPr>
            <w:tcW w:w="394" w:type="pct"/>
            <w:tcBorders>
              <w:top w:val="single" w:sz="2" w:space="0" w:color="auto"/>
              <w:left w:val="single" w:sz="2" w:space="0" w:color="auto"/>
              <w:bottom w:val="single" w:sz="2" w:space="0" w:color="auto"/>
              <w:right w:val="single" w:sz="2" w:space="0" w:color="auto"/>
            </w:tcBorders>
            <w:vAlign w:val="center"/>
            <w:hideMark/>
          </w:tcPr>
          <w:p w14:paraId="5A3012C1" w14:textId="77777777" w:rsidR="004E3FDC" w:rsidRPr="0077700D" w:rsidRDefault="004E3FDC" w:rsidP="00450B7A">
            <w:pPr>
              <w:spacing w:after="0" w:line="240" w:lineRule="auto"/>
              <w:jc w:val="center"/>
              <w:rPr>
                <w:rFonts w:ascii="Cambria" w:eastAsia="Times New Roman" w:hAnsi="Cambria"/>
                <w:b/>
                <w:bCs/>
                <w:caps/>
                <w:lang w:val="hr-HR"/>
              </w:rPr>
            </w:pPr>
            <w:bookmarkStart w:id="7" w:name="_Toc208818021"/>
            <w:bookmarkStart w:id="8" w:name="_Toc208819679"/>
            <w:bookmarkStart w:id="9" w:name="_Toc208904368"/>
            <w:bookmarkStart w:id="10" w:name="_Toc209340472"/>
            <w:bookmarkStart w:id="11" w:name="_Toc209420850"/>
            <w:bookmarkStart w:id="12" w:name="_Toc209421231"/>
            <w:bookmarkStart w:id="13" w:name="_Toc209789826"/>
            <w:r w:rsidRPr="0077700D">
              <w:rPr>
                <w:rFonts w:ascii="Cambria" w:eastAsia="Times New Roman" w:hAnsi="Cambria"/>
                <w:b/>
                <w:bCs/>
                <w:caps/>
                <w:lang w:val="hr-HR"/>
              </w:rPr>
              <w:t>P</w:t>
            </w:r>
            <w:bookmarkEnd w:id="7"/>
            <w:bookmarkEnd w:id="8"/>
            <w:bookmarkEnd w:id="9"/>
            <w:bookmarkEnd w:id="10"/>
            <w:bookmarkEnd w:id="11"/>
            <w:bookmarkEnd w:id="12"/>
            <w:bookmarkEnd w:id="13"/>
          </w:p>
        </w:tc>
        <w:tc>
          <w:tcPr>
            <w:tcW w:w="316" w:type="pct"/>
            <w:tcBorders>
              <w:top w:val="single" w:sz="2" w:space="0" w:color="auto"/>
              <w:left w:val="single" w:sz="2" w:space="0" w:color="auto"/>
              <w:bottom w:val="single" w:sz="2" w:space="0" w:color="auto"/>
              <w:right w:val="single" w:sz="2" w:space="0" w:color="auto"/>
            </w:tcBorders>
            <w:vAlign w:val="center"/>
          </w:tcPr>
          <w:p w14:paraId="014C65D6" w14:textId="77777777" w:rsidR="004E3FDC" w:rsidRPr="0077700D" w:rsidRDefault="004E3FDC" w:rsidP="00450B7A">
            <w:pPr>
              <w:spacing w:after="0" w:line="240" w:lineRule="auto"/>
              <w:jc w:val="center"/>
              <w:rPr>
                <w:rFonts w:ascii="Cambria" w:eastAsia="Times New Roman" w:hAnsi="Cambria"/>
                <w:b/>
                <w:bCs/>
                <w:caps/>
                <w:lang w:val="hr-HR"/>
              </w:rPr>
            </w:pPr>
            <w:r w:rsidRPr="0077700D">
              <w:rPr>
                <w:rFonts w:ascii="Cambria" w:eastAsia="Times New Roman" w:hAnsi="Cambria"/>
                <w:b/>
                <w:bCs/>
                <w:caps/>
                <w:lang w:val="hr-HR"/>
              </w:rPr>
              <w:t>S</w:t>
            </w:r>
          </w:p>
        </w:tc>
        <w:tc>
          <w:tcPr>
            <w:tcW w:w="415" w:type="pct"/>
            <w:tcBorders>
              <w:top w:val="single" w:sz="2" w:space="0" w:color="auto"/>
              <w:left w:val="single" w:sz="2" w:space="0" w:color="auto"/>
              <w:bottom w:val="single" w:sz="2" w:space="0" w:color="auto"/>
              <w:right w:val="single" w:sz="2" w:space="0" w:color="auto"/>
            </w:tcBorders>
            <w:vAlign w:val="center"/>
            <w:hideMark/>
          </w:tcPr>
          <w:p w14:paraId="6AEB6F8C" w14:textId="77777777" w:rsidR="004E3FDC" w:rsidRPr="0077700D" w:rsidRDefault="004E3FDC" w:rsidP="00450B7A">
            <w:pPr>
              <w:spacing w:after="0" w:line="240" w:lineRule="auto"/>
              <w:jc w:val="center"/>
              <w:rPr>
                <w:rFonts w:ascii="Cambria" w:eastAsia="Times New Roman" w:hAnsi="Cambria"/>
                <w:b/>
                <w:bCs/>
                <w:caps/>
                <w:lang w:val="hr-HR"/>
              </w:rPr>
            </w:pPr>
            <w:r w:rsidRPr="0077700D">
              <w:rPr>
                <w:rFonts w:ascii="Cambria" w:eastAsia="Times New Roman" w:hAnsi="Cambria"/>
                <w:b/>
                <w:bCs/>
                <w:caps/>
                <w:lang w:val="hr-HR"/>
              </w:rPr>
              <w:t>V</w:t>
            </w:r>
          </w:p>
        </w:tc>
        <w:tc>
          <w:tcPr>
            <w:tcW w:w="441" w:type="pct"/>
            <w:tcBorders>
              <w:top w:val="single" w:sz="2" w:space="0" w:color="auto"/>
              <w:left w:val="single" w:sz="2" w:space="0" w:color="auto"/>
              <w:bottom w:val="single" w:sz="2" w:space="0" w:color="auto"/>
              <w:right w:val="single" w:sz="2" w:space="0" w:color="auto"/>
            </w:tcBorders>
            <w:vAlign w:val="center"/>
            <w:hideMark/>
          </w:tcPr>
          <w:p w14:paraId="65233F86" w14:textId="77777777" w:rsidR="004E3FDC" w:rsidRPr="0077700D" w:rsidRDefault="004E3FDC" w:rsidP="00450B7A">
            <w:pPr>
              <w:spacing w:after="0" w:line="240" w:lineRule="auto"/>
              <w:jc w:val="center"/>
              <w:rPr>
                <w:rFonts w:ascii="Cambria" w:eastAsia="Times New Roman" w:hAnsi="Cambria"/>
                <w:b/>
                <w:bCs/>
                <w:caps/>
                <w:lang w:val="hr-HR"/>
              </w:rPr>
            </w:pPr>
            <w:r w:rsidRPr="0077700D">
              <w:rPr>
                <w:rFonts w:ascii="Cambria" w:eastAsia="Times New Roman" w:hAnsi="Cambria"/>
                <w:b/>
                <w:bCs/>
                <w:caps/>
                <w:lang w:val="hr-HR"/>
              </w:rPr>
              <w:t>ECTS</w:t>
            </w:r>
          </w:p>
        </w:tc>
      </w:tr>
      <w:tr w:rsidR="004E3FDC" w:rsidRPr="0077700D" w14:paraId="25E2D9E6" w14:textId="77777777" w:rsidTr="00450B7A">
        <w:trPr>
          <w:cantSplit/>
          <w:jc w:val="center"/>
        </w:trPr>
        <w:tc>
          <w:tcPr>
            <w:tcW w:w="1512" w:type="pct"/>
            <w:tcBorders>
              <w:top w:val="single" w:sz="2" w:space="0" w:color="auto"/>
              <w:left w:val="single" w:sz="2" w:space="0" w:color="auto"/>
              <w:bottom w:val="single" w:sz="2" w:space="0" w:color="auto"/>
              <w:right w:val="single" w:sz="2" w:space="0" w:color="auto"/>
            </w:tcBorders>
            <w:hideMark/>
          </w:tcPr>
          <w:p w14:paraId="4D7FF49A" w14:textId="77777777" w:rsidR="004E3FDC" w:rsidRPr="0077700D" w:rsidRDefault="004E3FDC" w:rsidP="00450B7A">
            <w:pPr>
              <w:spacing w:after="0"/>
              <w:rPr>
                <w:rFonts w:ascii="Cambria" w:hAnsi="Cambria"/>
                <w:b/>
                <w:lang w:val="hr-HR"/>
              </w:rPr>
            </w:pPr>
            <w:r w:rsidRPr="0077700D">
              <w:rPr>
                <w:rFonts w:ascii="Cambria" w:hAnsi="Cambria"/>
                <w:b/>
                <w:lang w:val="hr-HR"/>
              </w:rPr>
              <w:t>257230</w:t>
            </w:r>
          </w:p>
          <w:p w14:paraId="40D797A1" w14:textId="77777777" w:rsidR="004E3FDC" w:rsidRPr="0077700D" w:rsidRDefault="004E3FDC" w:rsidP="00450B7A">
            <w:pPr>
              <w:rPr>
                <w:rFonts w:ascii="Cambria" w:hAnsi="Cambria"/>
                <w:lang w:val="hr-HR"/>
              </w:rPr>
            </w:pPr>
            <w:r w:rsidRPr="0077700D">
              <w:rPr>
                <w:rFonts w:ascii="Cambria" w:hAnsi="Cambria"/>
                <w:lang w:val="hr-HR"/>
              </w:rPr>
              <w:t>Razvojna psihologija</w:t>
            </w:r>
          </w:p>
        </w:tc>
        <w:tc>
          <w:tcPr>
            <w:tcW w:w="1921" w:type="pct"/>
            <w:tcBorders>
              <w:top w:val="single" w:sz="2" w:space="0" w:color="auto"/>
              <w:left w:val="single" w:sz="2" w:space="0" w:color="auto"/>
              <w:bottom w:val="single" w:sz="2" w:space="0" w:color="auto"/>
              <w:right w:val="single" w:sz="2" w:space="0" w:color="auto"/>
            </w:tcBorders>
            <w:vAlign w:val="center"/>
            <w:hideMark/>
          </w:tcPr>
          <w:p w14:paraId="29E0D39B" w14:textId="77777777" w:rsidR="004E3FDC" w:rsidRPr="0077700D" w:rsidRDefault="004E3FDC" w:rsidP="00450B7A">
            <w:pPr>
              <w:spacing w:after="0" w:line="240" w:lineRule="auto"/>
              <w:rPr>
                <w:rFonts w:ascii="Cambria" w:eastAsia="Times New Roman" w:hAnsi="Cambria"/>
                <w:lang w:val="hr-HR"/>
              </w:rPr>
            </w:pPr>
            <w:r w:rsidRPr="0077700D">
              <w:rPr>
                <w:rFonts w:ascii="Cambria" w:eastAsia="Times New Roman" w:hAnsi="Cambria"/>
                <w:lang w:val="hr-HR"/>
              </w:rPr>
              <w:t xml:space="preserve">doc. dr. sc. </w:t>
            </w:r>
            <w:proofErr w:type="spellStart"/>
            <w:r w:rsidRPr="0077700D">
              <w:rPr>
                <w:rFonts w:ascii="Cambria" w:eastAsia="Times New Roman" w:hAnsi="Cambria"/>
                <w:lang w:val="hr-HR"/>
              </w:rPr>
              <w:t>Marlena</w:t>
            </w:r>
            <w:proofErr w:type="spellEnd"/>
            <w:r w:rsidRPr="0077700D">
              <w:rPr>
                <w:rFonts w:ascii="Cambria" w:eastAsia="Times New Roman" w:hAnsi="Cambria"/>
                <w:lang w:val="hr-HR"/>
              </w:rPr>
              <w:t xml:space="preserve"> Plavšić</w:t>
            </w:r>
          </w:p>
          <w:p w14:paraId="3122AC2A" w14:textId="77777777" w:rsidR="004E3FDC" w:rsidRPr="0077700D" w:rsidRDefault="004E3FDC" w:rsidP="00450B7A">
            <w:pPr>
              <w:spacing w:after="0" w:line="240" w:lineRule="auto"/>
              <w:rPr>
                <w:rFonts w:ascii="Cambria" w:eastAsia="Times New Roman" w:hAnsi="Cambria"/>
                <w:lang w:val="hr-HR"/>
              </w:rPr>
            </w:pPr>
            <w:r w:rsidRPr="0077700D">
              <w:rPr>
                <w:rFonts w:ascii="Cambria" w:eastAsia="Times New Roman" w:hAnsi="Cambria"/>
                <w:lang w:val="hr-HR"/>
              </w:rPr>
              <w:t>dr. sc. Renata Martinčić Marić, pred.</w:t>
            </w:r>
          </w:p>
        </w:tc>
        <w:tc>
          <w:tcPr>
            <w:tcW w:w="394" w:type="pct"/>
            <w:tcBorders>
              <w:top w:val="single" w:sz="2" w:space="0" w:color="auto"/>
              <w:left w:val="single" w:sz="2" w:space="0" w:color="auto"/>
              <w:bottom w:val="single" w:sz="2" w:space="0" w:color="auto"/>
              <w:right w:val="single" w:sz="2" w:space="0" w:color="auto"/>
            </w:tcBorders>
            <w:vAlign w:val="center"/>
            <w:hideMark/>
          </w:tcPr>
          <w:p w14:paraId="1A338C58"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30</w:t>
            </w:r>
          </w:p>
        </w:tc>
        <w:tc>
          <w:tcPr>
            <w:tcW w:w="316" w:type="pct"/>
            <w:tcBorders>
              <w:top w:val="single" w:sz="2" w:space="0" w:color="auto"/>
              <w:left w:val="single" w:sz="2" w:space="0" w:color="auto"/>
              <w:bottom w:val="single" w:sz="2" w:space="0" w:color="auto"/>
              <w:right w:val="single" w:sz="2" w:space="0" w:color="auto"/>
            </w:tcBorders>
            <w:vAlign w:val="center"/>
          </w:tcPr>
          <w:p w14:paraId="469BD194"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30</w:t>
            </w:r>
          </w:p>
        </w:tc>
        <w:tc>
          <w:tcPr>
            <w:tcW w:w="415" w:type="pct"/>
            <w:tcBorders>
              <w:top w:val="single" w:sz="2" w:space="0" w:color="auto"/>
              <w:left w:val="single" w:sz="2" w:space="0" w:color="auto"/>
              <w:bottom w:val="single" w:sz="2" w:space="0" w:color="auto"/>
              <w:right w:val="single" w:sz="2" w:space="0" w:color="auto"/>
            </w:tcBorders>
            <w:vAlign w:val="center"/>
            <w:hideMark/>
          </w:tcPr>
          <w:p w14:paraId="62C3EACA"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0</w:t>
            </w:r>
          </w:p>
        </w:tc>
        <w:tc>
          <w:tcPr>
            <w:tcW w:w="441" w:type="pct"/>
            <w:tcBorders>
              <w:top w:val="single" w:sz="2" w:space="0" w:color="auto"/>
              <w:left w:val="single" w:sz="2" w:space="0" w:color="auto"/>
              <w:bottom w:val="single" w:sz="2" w:space="0" w:color="auto"/>
              <w:right w:val="single" w:sz="2" w:space="0" w:color="auto"/>
            </w:tcBorders>
            <w:vAlign w:val="center"/>
            <w:hideMark/>
          </w:tcPr>
          <w:p w14:paraId="111320ED"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5</w:t>
            </w:r>
          </w:p>
        </w:tc>
      </w:tr>
      <w:tr w:rsidR="004E3FDC" w:rsidRPr="0077700D" w14:paraId="620FA230" w14:textId="77777777" w:rsidTr="00450B7A">
        <w:trPr>
          <w:cantSplit/>
          <w:jc w:val="center"/>
        </w:trPr>
        <w:tc>
          <w:tcPr>
            <w:tcW w:w="1512" w:type="pct"/>
            <w:tcBorders>
              <w:top w:val="single" w:sz="2" w:space="0" w:color="auto"/>
              <w:left w:val="single" w:sz="2" w:space="0" w:color="auto"/>
              <w:bottom w:val="single" w:sz="2" w:space="0" w:color="auto"/>
              <w:right w:val="single" w:sz="2" w:space="0" w:color="auto"/>
            </w:tcBorders>
          </w:tcPr>
          <w:p w14:paraId="0ACE1012" w14:textId="77777777" w:rsidR="004E3FDC" w:rsidRDefault="004E3FDC" w:rsidP="00450B7A">
            <w:pPr>
              <w:rPr>
                <w:rFonts w:ascii="Cambria" w:hAnsi="Cambria"/>
                <w:b/>
                <w:lang w:val="hr-HR"/>
              </w:rPr>
            </w:pPr>
            <w:r>
              <w:rPr>
                <w:rFonts w:ascii="Cambria" w:hAnsi="Cambria"/>
                <w:b/>
                <w:lang w:val="hr-HR"/>
              </w:rPr>
              <w:t>nova šifra</w:t>
            </w:r>
          </w:p>
          <w:p w14:paraId="1E4B28E8" w14:textId="77777777" w:rsidR="004E3FDC" w:rsidRPr="0077700D" w:rsidRDefault="004E3FDC" w:rsidP="00450B7A">
            <w:pPr>
              <w:rPr>
                <w:rFonts w:ascii="Cambria" w:hAnsi="Cambria"/>
                <w:lang w:val="hr-HR"/>
              </w:rPr>
            </w:pPr>
            <w:r w:rsidRPr="0077700D">
              <w:rPr>
                <w:rFonts w:ascii="Cambria" w:hAnsi="Cambria"/>
                <w:lang w:val="hr-HR"/>
              </w:rPr>
              <w:t>Obiteljska pedagogija</w:t>
            </w:r>
          </w:p>
        </w:tc>
        <w:tc>
          <w:tcPr>
            <w:tcW w:w="1921" w:type="pct"/>
            <w:tcBorders>
              <w:top w:val="single" w:sz="2" w:space="0" w:color="auto"/>
              <w:left w:val="single" w:sz="2" w:space="0" w:color="auto"/>
              <w:bottom w:val="single" w:sz="2" w:space="0" w:color="auto"/>
              <w:right w:val="single" w:sz="2" w:space="0" w:color="auto"/>
            </w:tcBorders>
            <w:vAlign w:val="center"/>
            <w:hideMark/>
          </w:tcPr>
          <w:p w14:paraId="446CFFC2" w14:textId="77777777" w:rsidR="004E3FDC" w:rsidRPr="0077700D" w:rsidRDefault="004E3FDC" w:rsidP="00450B7A">
            <w:pPr>
              <w:widowControl w:val="0"/>
              <w:spacing w:after="0" w:line="240" w:lineRule="auto"/>
              <w:rPr>
                <w:rFonts w:ascii="Cambria" w:eastAsia="Times New Roman" w:hAnsi="Cambria"/>
                <w:lang w:val="hr-HR"/>
              </w:rPr>
            </w:pPr>
            <w:r w:rsidRPr="0077700D">
              <w:rPr>
                <w:rFonts w:ascii="Cambria" w:eastAsia="Times New Roman" w:hAnsi="Cambria"/>
                <w:lang w:val="hr-HR"/>
              </w:rPr>
              <w:t xml:space="preserve">izv. prof. dr. sc. Marina </w:t>
            </w:r>
            <w:proofErr w:type="spellStart"/>
            <w:r w:rsidRPr="0077700D">
              <w:rPr>
                <w:rFonts w:ascii="Cambria" w:eastAsia="Times New Roman" w:hAnsi="Cambria"/>
                <w:lang w:val="hr-HR"/>
              </w:rPr>
              <w:t>Diković</w:t>
            </w:r>
            <w:proofErr w:type="spellEnd"/>
          </w:p>
          <w:p w14:paraId="249C8727" w14:textId="77777777" w:rsidR="004E3FDC" w:rsidRPr="0077700D" w:rsidRDefault="004E3FDC" w:rsidP="00450B7A">
            <w:pPr>
              <w:widowControl w:val="0"/>
              <w:spacing w:after="0" w:line="240" w:lineRule="auto"/>
              <w:rPr>
                <w:rFonts w:ascii="Cambria" w:eastAsia="Times New Roman" w:hAnsi="Cambria"/>
                <w:lang w:val="hr-HR"/>
              </w:rPr>
            </w:pPr>
            <w:r w:rsidRPr="0077700D">
              <w:rPr>
                <w:rFonts w:ascii="Cambria" w:eastAsia="Times New Roman" w:hAnsi="Cambria"/>
                <w:lang w:val="hr-HR"/>
              </w:rPr>
              <w:t xml:space="preserve">Monika </w:t>
            </w:r>
            <w:proofErr w:type="spellStart"/>
            <w:r w:rsidRPr="0077700D">
              <w:rPr>
                <w:rFonts w:ascii="Cambria" w:eastAsia="Times New Roman" w:hAnsi="Cambria"/>
                <w:lang w:val="hr-HR"/>
              </w:rPr>
              <w:t>Terlević</w:t>
            </w:r>
            <w:proofErr w:type="spellEnd"/>
            <w:r w:rsidRPr="0077700D">
              <w:rPr>
                <w:rFonts w:ascii="Cambria" w:eastAsia="Times New Roman" w:hAnsi="Cambria"/>
                <w:lang w:val="hr-HR"/>
              </w:rPr>
              <w:t>, asistentica</w:t>
            </w:r>
          </w:p>
        </w:tc>
        <w:tc>
          <w:tcPr>
            <w:tcW w:w="394" w:type="pct"/>
            <w:tcBorders>
              <w:top w:val="single" w:sz="2" w:space="0" w:color="auto"/>
              <w:left w:val="single" w:sz="2" w:space="0" w:color="auto"/>
              <w:bottom w:val="single" w:sz="2" w:space="0" w:color="auto"/>
              <w:right w:val="single" w:sz="2" w:space="0" w:color="auto"/>
            </w:tcBorders>
            <w:vAlign w:val="center"/>
            <w:hideMark/>
          </w:tcPr>
          <w:p w14:paraId="23F99632" w14:textId="77777777" w:rsidR="004E3FDC" w:rsidRPr="0077700D" w:rsidRDefault="004E3FDC" w:rsidP="00450B7A">
            <w:pPr>
              <w:widowControl w:val="0"/>
              <w:spacing w:after="0" w:line="240" w:lineRule="auto"/>
              <w:jc w:val="center"/>
              <w:rPr>
                <w:rFonts w:ascii="Cambria" w:eastAsia="Times New Roman" w:hAnsi="Cambria"/>
                <w:lang w:val="hr-HR"/>
              </w:rPr>
            </w:pPr>
            <w:r>
              <w:rPr>
                <w:rFonts w:ascii="Cambria" w:eastAsia="Times New Roman" w:hAnsi="Cambria"/>
                <w:lang w:val="hr-HR"/>
              </w:rPr>
              <w:t>15</w:t>
            </w:r>
          </w:p>
        </w:tc>
        <w:tc>
          <w:tcPr>
            <w:tcW w:w="316" w:type="pct"/>
            <w:tcBorders>
              <w:top w:val="single" w:sz="2" w:space="0" w:color="auto"/>
              <w:left w:val="single" w:sz="2" w:space="0" w:color="auto"/>
              <w:bottom w:val="single" w:sz="2" w:space="0" w:color="auto"/>
              <w:right w:val="single" w:sz="2" w:space="0" w:color="auto"/>
            </w:tcBorders>
            <w:vAlign w:val="center"/>
          </w:tcPr>
          <w:p w14:paraId="3903CA64" w14:textId="77777777" w:rsidR="004E3FDC" w:rsidRPr="0077700D" w:rsidRDefault="004E3FDC" w:rsidP="00450B7A">
            <w:pPr>
              <w:widowControl w:val="0"/>
              <w:spacing w:after="0" w:line="240" w:lineRule="auto"/>
              <w:jc w:val="center"/>
              <w:rPr>
                <w:rFonts w:ascii="Cambria" w:eastAsia="Times New Roman" w:hAnsi="Cambria"/>
                <w:lang w:val="hr-HR"/>
              </w:rPr>
            </w:pPr>
            <w:r w:rsidRPr="0077700D">
              <w:rPr>
                <w:rFonts w:ascii="Cambria" w:eastAsia="Times New Roman" w:hAnsi="Cambria"/>
                <w:lang w:val="hr-HR"/>
              </w:rPr>
              <w:t>15</w:t>
            </w:r>
          </w:p>
        </w:tc>
        <w:tc>
          <w:tcPr>
            <w:tcW w:w="415" w:type="pct"/>
            <w:tcBorders>
              <w:top w:val="single" w:sz="2" w:space="0" w:color="auto"/>
              <w:left w:val="single" w:sz="2" w:space="0" w:color="auto"/>
              <w:bottom w:val="single" w:sz="2" w:space="0" w:color="auto"/>
              <w:right w:val="single" w:sz="2" w:space="0" w:color="auto"/>
            </w:tcBorders>
            <w:vAlign w:val="center"/>
            <w:hideMark/>
          </w:tcPr>
          <w:p w14:paraId="61782A14" w14:textId="77777777" w:rsidR="004E3FDC" w:rsidRPr="0077700D" w:rsidRDefault="004E3FDC" w:rsidP="00450B7A">
            <w:pPr>
              <w:widowControl w:val="0"/>
              <w:spacing w:after="0" w:line="240" w:lineRule="auto"/>
              <w:jc w:val="center"/>
              <w:rPr>
                <w:rFonts w:ascii="Cambria" w:eastAsia="Times New Roman" w:hAnsi="Cambria"/>
                <w:lang w:val="hr-HR"/>
              </w:rPr>
            </w:pPr>
            <w:r w:rsidRPr="0077700D">
              <w:rPr>
                <w:rFonts w:ascii="Cambria" w:eastAsia="Times New Roman" w:hAnsi="Cambria"/>
                <w:lang w:val="hr-HR"/>
              </w:rPr>
              <w:t>0</w:t>
            </w:r>
          </w:p>
        </w:tc>
        <w:tc>
          <w:tcPr>
            <w:tcW w:w="441" w:type="pct"/>
            <w:tcBorders>
              <w:top w:val="single" w:sz="2" w:space="0" w:color="auto"/>
              <w:left w:val="single" w:sz="2" w:space="0" w:color="auto"/>
              <w:bottom w:val="single" w:sz="2" w:space="0" w:color="auto"/>
              <w:right w:val="single" w:sz="2" w:space="0" w:color="auto"/>
            </w:tcBorders>
            <w:vAlign w:val="center"/>
            <w:hideMark/>
          </w:tcPr>
          <w:p w14:paraId="59F3339B" w14:textId="77777777" w:rsidR="004E3FDC" w:rsidRPr="0077700D" w:rsidRDefault="004E3FDC" w:rsidP="00450B7A">
            <w:pPr>
              <w:widowControl w:val="0"/>
              <w:spacing w:after="0" w:line="240" w:lineRule="auto"/>
              <w:jc w:val="center"/>
              <w:rPr>
                <w:rFonts w:ascii="Cambria" w:eastAsia="Times New Roman" w:hAnsi="Cambria"/>
                <w:bCs/>
                <w:lang w:val="hr-HR"/>
              </w:rPr>
            </w:pPr>
            <w:r w:rsidRPr="0077700D">
              <w:rPr>
                <w:rFonts w:ascii="Cambria" w:eastAsia="Times New Roman" w:hAnsi="Cambria"/>
                <w:bCs/>
                <w:lang w:val="hr-HR"/>
              </w:rPr>
              <w:t>4</w:t>
            </w:r>
          </w:p>
        </w:tc>
      </w:tr>
      <w:tr w:rsidR="004E3FDC" w:rsidRPr="0077700D" w14:paraId="7BB2D1EB" w14:textId="77777777" w:rsidTr="00450B7A">
        <w:trPr>
          <w:cantSplit/>
          <w:jc w:val="center"/>
        </w:trPr>
        <w:tc>
          <w:tcPr>
            <w:tcW w:w="1512" w:type="pct"/>
            <w:tcBorders>
              <w:top w:val="single" w:sz="2" w:space="0" w:color="auto"/>
              <w:left w:val="single" w:sz="2" w:space="0" w:color="auto"/>
              <w:bottom w:val="single" w:sz="2" w:space="0" w:color="auto"/>
              <w:right w:val="single" w:sz="2" w:space="0" w:color="auto"/>
            </w:tcBorders>
          </w:tcPr>
          <w:p w14:paraId="0CCE0653" w14:textId="77777777" w:rsidR="004E3FDC" w:rsidRPr="0077700D" w:rsidRDefault="004E3FDC" w:rsidP="00450B7A">
            <w:pPr>
              <w:spacing w:after="0"/>
              <w:rPr>
                <w:rFonts w:ascii="Cambria" w:hAnsi="Cambria"/>
                <w:b/>
                <w:lang w:val="hr-HR"/>
              </w:rPr>
            </w:pPr>
            <w:r w:rsidRPr="0077700D">
              <w:rPr>
                <w:rFonts w:ascii="Cambria" w:hAnsi="Cambria"/>
                <w:b/>
                <w:lang w:val="hr-HR"/>
              </w:rPr>
              <w:t>257232</w:t>
            </w:r>
          </w:p>
          <w:p w14:paraId="56D54D6E" w14:textId="77777777" w:rsidR="004E3FDC" w:rsidRPr="0077700D" w:rsidRDefault="004E3FDC" w:rsidP="00450B7A">
            <w:pPr>
              <w:rPr>
                <w:rFonts w:ascii="Cambria" w:hAnsi="Cambria"/>
                <w:lang w:val="hr-HR"/>
              </w:rPr>
            </w:pPr>
            <w:r w:rsidRPr="0077700D">
              <w:rPr>
                <w:rFonts w:ascii="Cambria" w:hAnsi="Cambria"/>
                <w:lang w:val="hr-HR"/>
              </w:rPr>
              <w:t>Sociologija odgoja i obrazovanja</w:t>
            </w:r>
          </w:p>
        </w:tc>
        <w:tc>
          <w:tcPr>
            <w:tcW w:w="1921" w:type="pct"/>
            <w:tcBorders>
              <w:top w:val="single" w:sz="2" w:space="0" w:color="auto"/>
              <w:left w:val="single" w:sz="2" w:space="0" w:color="auto"/>
              <w:bottom w:val="single" w:sz="2" w:space="0" w:color="auto"/>
              <w:right w:val="single" w:sz="2" w:space="0" w:color="auto"/>
            </w:tcBorders>
            <w:vAlign w:val="center"/>
          </w:tcPr>
          <w:p w14:paraId="50086667" w14:textId="77777777" w:rsidR="004E3FDC" w:rsidRPr="0077700D" w:rsidRDefault="004E3FDC" w:rsidP="00450B7A">
            <w:pPr>
              <w:widowControl w:val="0"/>
              <w:spacing w:after="0" w:line="240" w:lineRule="auto"/>
              <w:rPr>
                <w:rFonts w:ascii="Cambria" w:eastAsia="Cambria" w:hAnsi="Cambria" w:cs="Cambria"/>
                <w:lang w:val="it-IT"/>
              </w:rPr>
            </w:pPr>
            <w:proofErr w:type="spellStart"/>
            <w:r w:rsidRPr="0077700D">
              <w:rPr>
                <w:rFonts w:ascii="Cambria" w:eastAsia="Cambria" w:hAnsi="Cambria" w:cs="Cambria"/>
                <w:lang w:val="it-IT"/>
              </w:rPr>
              <w:t>izv</w:t>
            </w:r>
            <w:proofErr w:type="spellEnd"/>
            <w:r w:rsidRPr="0077700D">
              <w:rPr>
                <w:rFonts w:ascii="Cambria" w:eastAsia="Cambria" w:hAnsi="Cambria" w:cs="Cambria"/>
                <w:lang w:val="it-IT"/>
              </w:rPr>
              <w:t xml:space="preserve">. prof. dr. sc. Mauro </w:t>
            </w:r>
            <w:proofErr w:type="spellStart"/>
            <w:r w:rsidRPr="0077700D">
              <w:rPr>
                <w:rFonts w:ascii="Cambria" w:eastAsia="Cambria" w:hAnsi="Cambria" w:cs="Cambria"/>
                <w:lang w:val="it-IT"/>
              </w:rPr>
              <w:t>Dujmović</w:t>
            </w:r>
            <w:proofErr w:type="spellEnd"/>
          </w:p>
          <w:p w14:paraId="6D4D5768" w14:textId="77777777" w:rsidR="004E3FDC" w:rsidRPr="0077700D" w:rsidRDefault="004E3FDC" w:rsidP="00450B7A">
            <w:pPr>
              <w:widowControl w:val="0"/>
              <w:spacing w:after="0" w:line="240" w:lineRule="auto"/>
              <w:rPr>
                <w:rFonts w:ascii="Cambria" w:eastAsia="Times New Roman" w:hAnsi="Cambria"/>
                <w:strike/>
                <w:lang w:val="hr-HR"/>
              </w:rPr>
            </w:pPr>
            <w:r w:rsidRPr="0077700D">
              <w:rPr>
                <w:rFonts w:ascii="Cambria" w:eastAsia="Times New Roman" w:hAnsi="Cambria"/>
                <w:lang w:val="hr-HR"/>
              </w:rPr>
              <w:t xml:space="preserve">dr. sc. Edgar </w:t>
            </w:r>
            <w:proofErr w:type="spellStart"/>
            <w:r w:rsidRPr="0077700D">
              <w:rPr>
                <w:rFonts w:ascii="Cambria" w:eastAsia="Times New Roman" w:hAnsi="Cambria"/>
                <w:lang w:val="hr-HR"/>
              </w:rPr>
              <w:t>Buršić</w:t>
            </w:r>
            <w:proofErr w:type="spellEnd"/>
            <w:r w:rsidRPr="0077700D">
              <w:rPr>
                <w:rFonts w:ascii="Cambria" w:eastAsia="Times New Roman" w:hAnsi="Cambria"/>
                <w:lang w:val="hr-HR"/>
              </w:rPr>
              <w:t>, v. pred.</w:t>
            </w:r>
          </w:p>
        </w:tc>
        <w:tc>
          <w:tcPr>
            <w:tcW w:w="394" w:type="pct"/>
            <w:tcBorders>
              <w:top w:val="single" w:sz="2" w:space="0" w:color="auto"/>
              <w:left w:val="single" w:sz="2" w:space="0" w:color="auto"/>
              <w:bottom w:val="single" w:sz="2" w:space="0" w:color="auto"/>
              <w:right w:val="single" w:sz="2" w:space="0" w:color="auto"/>
            </w:tcBorders>
            <w:vAlign w:val="center"/>
          </w:tcPr>
          <w:p w14:paraId="4B1F1064" w14:textId="77777777" w:rsidR="004E3FDC" w:rsidRPr="0077700D" w:rsidRDefault="004E3FDC" w:rsidP="00450B7A">
            <w:pPr>
              <w:widowControl w:val="0"/>
              <w:spacing w:after="0" w:line="240" w:lineRule="auto"/>
              <w:jc w:val="center"/>
              <w:rPr>
                <w:rFonts w:ascii="Cambria" w:eastAsia="Times New Roman" w:hAnsi="Cambria"/>
                <w:lang w:val="hr-HR"/>
              </w:rPr>
            </w:pPr>
            <w:r w:rsidRPr="0077700D">
              <w:rPr>
                <w:rFonts w:ascii="Cambria" w:eastAsia="Times New Roman" w:hAnsi="Cambria"/>
                <w:lang w:val="hr-HR"/>
              </w:rPr>
              <w:t>30</w:t>
            </w:r>
          </w:p>
        </w:tc>
        <w:tc>
          <w:tcPr>
            <w:tcW w:w="316" w:type="pct"/>
            <w:tcBorders>
              <w:top w:val="single" w:sz="2" w:space="0" w:color="auto"/>
              <w:left w:val="single" w:sz="2" w:space="0" w:color="auto"/>
              <w:bottom w:val="single" w:sz="2" w:space="0" w:color="auto"/>
              <w:right w:val="single" w:sz="2" w:space="0" w:color="auto"/>
            </w:tcBorders>
            <w:vAlign w:val="center"/>
          </w:tcPr>
          <w:p w14:paraId="01C49D7B" w14:textId="77777777" w:rsidR="004E3FDC" w:rsidRPr="0077700D" w:rsidRDefault="004E3FDC" w:rsidP="00450B7A">
            <w:pPr>
              <w:widowControl w:val="0"/>
              <w:spacing w:after="0" w:line="240" w:lineRule="auto"/>
              <w:jc w:val="center"/>
              <w:rPr>
                <w:rFonts w:ascii="Cambria" w:eastAsia="Times New Roman" w:hAnsi="Cambria"/>
                <w:lang w:val="hr-HR"/>
              </w:rPr>
            </w:pPr>
            <w:r w:rsidRPr="0077700D">
              <w:rPr>
                <w:rFonts w:ascii="Cambria" w:eastAsia="Times New Roman" w:hAnsi="Cambria"/>
                <w:lang w:val="hr-HR"/>
              </w:rPr>
              <w:t>15</w:t>
            </w:r>
          </w:p>
        </w:tc>
        <w:tc>
          <w:tcPr>
            <w:tcW w:w="415" w:type="pct"/>
            <w:tcBorders>
              <w:top w:val="single" w:sz="2" w:space="0" w:color="auto"/>
              <w:left w:val="single" w:sz="2" w:space="0" w:color="auto"/>
              <w:bottom w:val="single" w:sz="2" w:space="0" w:color="auto"/>
              <w:right w:val="single" w:sz="2" w:space="0" w:color="auto"/>
            </w:tcBorders>
            <w:vAlign w:val="center"/>
          </w:tcPr>
          <w:p w14:paraId="6EDA204B" w14:textId="77777777" w:rsidR="004E3FDC" w:rsidRPr="0077700D" w:rsidRDefault="004E3FDC" w:rsidP="00450B7A">
            <w:pPr>
              <w:widowControl w:val="0"/>
              <w:spacing w:after="0" w:line="240" w:lineRule="auto"/>
              <w:jc w:val="center"/>
              <w:rPr>
                <w:rFonts w:ascii="Cambria" w:eastAsia="Times New Roman" w:hAnsi="Cambria"/>
                <w:lang w:val="hr-HR"/>
              </w:rPr>
            </w:pPr>
            <w:r w:rsidRPr="0077700D">
              <w:rPr>
                <w:rFonts w:ascii="Cambria" w:eastAsia="Times New Roman" w:hAnsi="Cambria"/>
                <w:lang w:val="hr-HR"/>
              </w:rPr>
              <w:t>0</w:t>
            </w:r>
          </w:p>
        </w:tc>
        <w:tc>
          <w:tcPr>
            <w:tcW w:w="441" w:type="pct"/>
            <w:tcBorders>
              <w:top w:val="single" w:sz="2" w:space="0" w:color="auto"/>
              <w:left w:val="single" w:sz="2" w:space="0" w:color="auto"/>
              <w:bottom w:val="single" w:sz="2" w:space="0" w:color="auto"/>
              <w:right w:val="single" w:sz="2" w:space="0" w:color="auto"/>
            </w:tcBorders>
            <w:vAlign w:val="center"/>
          </w:tcPr>
          <w:p w14:paraId="4115C852" w14:textId="77777777" w:rsidR="004E3FDC" w:rsidRPr="0077700D" w:rsidRDefault="004E3FDC" w:rsidP="00450B7A">
            <w:pPr>
              <w:widowControl w:val="0"/>
              <w:spacing w:after="0" w:line="240" w:lineRule="auto"/>
              <w:jc w:val="center"/>
              <w:rPr>
                <w:rFonts w:ascii="Cambria" w:eastAsia="Times New Roman" w:hAnsi="Cambria"/>
                <w:bCs/>
                <w:lang w:val="hr-HR"/>
              </w:rPr>
            </w:pPr>
            <w:r w:rsidRPr="0077700D">
              <w:rPr>
                <w:rFonts w:ascii="Cambria" w:eastAsia="Times New Roman" w:hAnsi="Cambria"/>
                <w:bCs/>
                <w:lang w:val="hr-HR"/>
              </w:rPr>
              <w:t>4</w:t>
            </w:r>
          </w:p>
        </w:tc>
      </w:tr>
      <w:tr w:rsidR="004E3FDC" w:rsidRPr="0077700D" w14:paraId="693CCC24" w14:textId="77777777" w:rsidTr="00450B7A">
        <w:trPr>
          <w:cantSplit/>
          <w:jc w:val="center"/>
        </w:trPr>
        <w:tc>
          <w:tcPr>
            <w:tcW w:w="1512" w:type="pct"/>
            <w:tcBorders>
              <w:top w:val="single" w:sz="2" w:space="0" w:color="auto"/>
              <w:left w:val="single" w:sz="2" w:space="0" w:color="auto"/>
              <w:bottom w:val="single" w:sz="2" w:space="0" w:color="auto"/>
              <w:right w:val="single" w:sz="2" w:space="0" w:color="auto"/>
            </w:tcBorders>
          </w:tcPr>
          <w:p w14:paraId="162C264D" w14:textId="77777777" w:rsidR="004E3FDC" w:rsidRPr="0077700D" w:rsidRDefault="004E3FDC" w:rsidP="00450B7A">
            <w:pPr>
              <w:spacing w:after="0"/>
              <w:rPr>
                <w:rFonts w:ascii="Cambria" w:hAnsi="Cambria"/>
                <w:b/>
                <w:lang w:val="hr-HR"/>
              </w:rPr>
            </w:pPr>
            <w:r w:rsidRPr="0077700D">
              <w:rPr>
                <w:rFonts w:ascii="Cambria" w:hAnsi="Cambria"/>
                <w:b/>
                <w:lang w:val="hr-HR"/>
              </w:rPr>
              <w:t>257233</w:t>
            </w:r>
          </w:p>
          <w:p w14:paraId="36C60A40" w14:textId="77777777" w:rsidR="004E3FDC" w:rsidRPr="0077700D" w:rsidRDefault="004E3FDC" w:rsidP="00450B7A">
            <w:pPr>
              <w:rPr>
                <w:rFonts w:ascii="Cambria" w:hAnsi="Cambria"/>
                <w:lang w:val="hr-HR"/>
              </w:rPr>
            </w:pPr>
            <w:r w:rsidRPr="0077700D">
              <w:rPr>
                <w:rFonts w:ascii="Cambria" w:hAnsi="Cambria"/>
                <w:lang w:val="hr-HR"/>
              </w:rPr>
              <w:t>Hrvatski jezik II</w:t>
            </w:r>
          </w:p>
        </w:tc>
        <w:tc>
          <w:tcPr>
            <w:tcW w:w="1921" w:type="pct"/>
            <w:tcBorders>
              <w:top w:val="single" w:sz="2" w:space="0" w:color="auto"/>
              <w:left w:val="single" w:sz="2" w:space="0" w:color="auto"/>
              <w:bottom w:val="single" w:sz="2" w:space="0" w:color="auto"/>
              <w:right w:val="single" w:sz="2" w:space="0" w:color="auto"/>
            </w:tcBorders>
            <w:vAlign w:val="center"/>
          </w:tcPr>
          <w:p w14:paraId="66840E84" w14:textId="77777777" w:rsidR="004E3FDC" w:rsidRDefault="004E3FDC" w:rsidP="00450B7A">
            <w:pPr>
              <w:widowControl w:val="0"/>
              <w:spacing w:after="0" w:line="240" w:lineRule="auto"/>
              <w:rPr>
                <w:rFonts w:ascii="Cambria" w:eastAsia="Times New Roman" w:hAnsi="Cambria"/>
                <w:lang w:val="hr-HR"/>
              </w:rPr>
            </w:pPr>
            <w:r w:rsidRPr="0077700D">
              <w:rPr>
                <w:rFonts w:ascii="Cambria" w:eastAsia="Times New Roman" w:hAnsi="Cambria"/>
                <w:lang w:val="hr-HR"/>
              </w:rPr>
              <w:t>izv. prof. dr. sc. Helena Pavletić</w:t>
            </w:r>
          </w:p>
          <w:p w14:paraId="732DD2EA" w14:textId="77777777" w:rsidR="004E3FDC" w:rsidRPr="0077700D" w:rsidRDefault="004E3FDC" w:rsidP="00450B7A">
            <w:pPr>
              <w:widowControl w:val="0"/>
              <w:spacing w:after="0" w:line="240" w:lineRule="auto"/>
              <w:rPr>
                <w:rFonts w:ascii="Cambria" w:eastAsia="Times New Roman" w:hAnsi="Cambria"/>
                <w:lang w:val="hr-HR"/>
              </w:rPr>
            </w:pPr>
            <w:r>
              <w:rPr>
                <w:rFonts w:ascii="Cambria" w:eastAsia="Times New Roman" w:hAnsi="Cambria"/>
                <w:lang w:val="hr-HR"/>
              </w:rPr>
              <w:t xml:space="preserve">doc. dr. sc. Ivana </w:t>
            </w:r>
            <w:proofErr w:type="spellStart"/>
            <w:r>
              <w:rPr>
                <w:rFonts w:ascii="Cambria" w:eastAsia="Times New Roman" w:hAnsi="Cambria"/>
                <w:lang w:val="hr-HR"/>
              </w:rPr>
              <w:t>Nežić</w:t>
            </w:r>
            <w:proofErr w:type="spellEnd"/>
          </w:p>
        </w:tc>
        <w:tc>
          <w:tcPr>
            <w:tcW w:w="394" w:type="pct"/>
            <w:tcBorders>
              <w:top w:val="single" w:sz="2" w:space="0" w:color="auto"/>
              <w:left w:val="single" w:sz="2" w:space="0" w:color="auto"/>
              <w:bottom w:val="single" w:sz="2" w:space="0" w:color="auto"/>
              <w:right w:val="single" w:sz="2" w:space="0" w:color="auto"/>
            </w:tcBorders>
            <w:vAlign w:val="center"/>
          </w:tcPr>
          <w:p w14:paraId="4001499A" w14:textId="77777777" w:rsidR="004E3FDC" w:rsidRPr="0077700D" w:rsidRDefault="004E3FDC" w:rsidP="00450B7A">
            <w:pPr>
              <w:widowControl w:val="0"/>
              <w:spacing w:after="0" w:line="240" w:lineRule="auto"/>
              <w:jc w:val="center"/>
              <w:rPr>
                <w:rFonts w:ascii="Cambria" w:eastAsia="Times New Roman" w:hAnsi="Cambria"/>
                <w:lang w:val="hr-HR"/>
              </w:rPr>
            </w:pPr>
            <w:r w:rsidRPr="0077700D">
              <w:rPr>
                <w:rFonts w:ascii="Cambria" w:eastAsia="Times New Roman" w:hAnsi="Cambria"/>
                <w:lang w:val="hr-HR"/>
              </w:rPr>
              <w:t>30</w:t>
            </w:r>
          </w:p>
        </w:tc>
        <w:tc>
          <w:tcPr>
            <w:tcW w:w="316" w:type="pct"/>
            <w:tcBorders>
              <w:top w:val="single" w:sz="2" w:space="0" w:color="auto"/>
              <w:left w:val="single" w:sz="2" w:space="0" w:color="auto"/>
              <w:bottom w:val="single" w:sz="2" w:space="0" w:color="auto"/>
              <w:right w:val="single" w:sz="2" w:space="0" w:color="auto"/>
            </w:tcBorders>
            <w:vAlign w:val="center"/>
          </w:tcPr>
          <w:p w14:paraId="0C7176AF" w14:textId="77777777" w:rsidR="004E3FDC" w:rsidRPr="0077700D" w:rsidRDefault="004E3FDC" w:rsidP="00450B7A">
            <w:pPr>
              <w:widowControl w:val="0"/>
              <w:spacing w:after="0" w:line="240" w:lineRule="auto"/>
              <w:jc w:val="center"/>
              <w:rPr>
                <w:rFonts w:ascii="Cambria" w:eastAsia="Times New Roman" w:hAnsi="Cambria"/>
                <w:lang w:val="hr-HR"/>
              </w:rPr>
            </w:pPr>
            <w:r w:rsidRPr="0077700D">
              <w:rPr>
                <w:rFonts w:ascii="Cambria" w:eastAsia="Times New Roman" w:hAnsi="Cambria"/>
                <w:lang w:val="hr-HR"/>
              </w:rPr>
              <w:t>15</w:t>
            </w:r>
          </w:p>
        </w:tc>
        <w:tc>
          <w:tcPr>
            <w:tcW w:w="415" w:type="pct"/>
            <w:tcBorders>
              <w:top w:val="single" w:sz="2" w:space="0" w:color="auto"/>
              <w:left w:val="single" w:sz="2" w:space="0" w:color="auto"/>
              <w:bottom w:val="single" w:sz="2" w:space="0" w:color="auto"/>
              <w:right w:val="single" w:sz="2" w:space="0" w:color="auto"/>
            </w:tcBorders>
            <w:vAlign w:val="center"/>
          </w:tcPr>
          <w:p w14:paraId="77E2D3F7" w14:textId="77777777" w:rsidR="004E3FDC" w:rsidRPr="0077700D" w:rsidRDefault="004E3FDC" w:rsidP="00450B7A">
            <w:pPr>
              <w:widowControl w:val="0"/>
              <w:spacing w:after="0" w:line="240" w:lineRule="auto"/>
              <w:jc w:val="center"/>
              <w:rPr>
                <w:rFonts w:ascii="Cambria" w:eastAsia="Times New Roman" w:hAnsi="Cambria"/>
                <w:lang w:val="hr-HR"/>
              </w:rPr>
            </w:pPr>
            <w:r w:rsidRPr="0077700D">
              <w:rPr>
                <w:rFonts w:ascii="Cambria" w:eastAsia="Times New Roman" w:hAnsi="Cambria"/>
                <w:lang w:val="hr-HR"/>
              </w:rPr>
              <w:t>15</w:t>
            </w:r>
          </w:p>
        </w:tc>
        <w:tc>
          <w:tcPr>
            <w:tcW w:w="441" w:type="pct"/>
            <w:tcBorders>
              <w:top w:val="single" w:sz="2" w:space="0" w:color="auto"/>
              <w:left w:val="single" w:sz="2" w:space="0" w:color="auto"/>
              <w:bottom w:val="single" w:sz="2" w:space="0" w:color="auto"/>
              <w:right w:val="single" w:sz="2" w:space="0" w:color="auto"/>
            </w:tcBorders>
            <w:vAlign w:val="center"/>
          </w:tcPr>
          <w:p w14:paraId="53EA9401" w14:textId="77777777" w:rsidR="004E3FDC" w:rsidRPr="0077700D" w:rsidRDefault="004E3FDC" w:rsidP="00450B7A">
            <w:pPr>
              <w:widowControl w:val="0"/>
              <w:spacing w:after="0" w:line="240" w:lineRule="auto"/>
              <w:jc w:val="center"/>
              <w:rPr>
                <w:rFonts w:ascii="Cambria" w:eastAsia="Times New Roman" w:hAnsi="Cambria"/>
                <w:bCs/>
                <w:lang w:val="hr-HR"/>
              </w:rPr>
            </w:pPr>
            <w:r w:rsidRPr="0077700D">
              <w:rPr>
                <w:rFonts w:ascii="Cambria" w:eastAsia="Times New Roman" w:hAnsi="Cambria"/>
                <w:bCs/>
                <w:lang w:val="hr-HR"/>
              </w:rPr>
              <w:t>5</w:t>
            </w:r>
          </w:p>
        </w:tc>
      </w:tr>
      <w:tr w:rsidR="004E3FDC" w:rsidRPr="0077700D" w14:paraId="4513E5A0" w14:textId="77777777" w:rsidTr="00450B7A">
        <w:trPr>
          <w:cantSplit/>
          <w:jc w:val="center"/>
        </w:trPr>
        <w:tc>
          <w:tcPr>
            <w:tcW w:w="1512" w:type="pct"/>
            <w:tcBorders>
              <w:top w:val="single" w:sz="2" w:space="0" w:color="auto"/>
              <w:left w:val="single" w:sz="2" w:space="0" w:color="auto"/>
              <w:bottom w:val="single" w:sz="2" w:space="0" w:color="auto"/>
              <w:right w:val="single" w:sz="2" w:space="0" w:color="auto"/>
            </w:tcBorders>
          </w:tcPr>
          <w:p w14:paraId="5C7082DA" w14:textId="77777777" w:rsidR="004E3FDC" w:rsidRPr="0077700D" w:rsidRDefault="004E3FDC" w:rsidP="00450B7A">
            <w:pPr>
              <w:rPr>
                <w:rFonts w:ascii="Cambria" w:hAnsi="Cambria"/>
                <w:lang w:val="hr-HR"/>
              </w:rPr>
            </w:pPr>
            <w:r w:rsidRPr="0077700D">
              <w:rPr>
                <w:rFonts w:ascii="Cambria" w:hAnsi="Cambria"/>
                <w:lang w:val="hr-HR"/>
              </w:rPr>
              <w:t xml:space="preserve">Strani jezik II* </w:t>
            </w:r>
          </w:p>
          <w:p w14:paraId="6358D61C" w14:textId="77777777" w:rsidR="004E3FDC" w:rsidRPr="0077700D" w:rsidRDefault="004E3FDC" w:rsidP="00450B7A">
            <w:pPr>
              <w:spacing w:after="0"/>
              <w:rPr>
                <w:rFonts w:ascii="Cambria" w:hAnsi="Cambria"/>
                <w:b/>
                <w:lang w:val="hr-HR"/>
              </w:rPr>
            </w:pPr>
            <w:r w:rsidRPr="0077700D">
              <w:rPr>
                <w:rFonts w:ascii="Cambria" w:hAnsi="Cambria"/>
                <w:b/>
                <w:lang w:val="hr-HR"/>
              </w:rPr>
              <w:t>257236</w:t>
            </w:r>
          </w:p>
          <w:p w14:paraId="621AE61B" w14:textId="77777777" w:rsidR="004E3FDC" w:rsidRPr="0077700D" w:rsidRDefault="004E3FDC" w:rsidP="00450B7A">
            <w:pPr>
              <w:rPr>
                <w:rFonts w:ascii="Cambria" w:hAnsi="Cambria"/>
                <w:lang w:val="hr-HR"/>
              </w:rPr>
            </w:pPr>
            <w:r w:rsidRPr="0077700D">
              <w:rPr>
                <w:rFonts w:ascii="Cambria" w:hAnsi="Cambria"/>
                <w:lang w:val="hr-HR"/>
              </w:rPr>
              <w:t>Engleski jezik II</w:t>
            </w:r>
          </w:p>
          <w:p w14:paraId="3CFA9644" w14:textId="77777777" w:rsidR="004E3FDC" w:rsidRPr="0077700D" w:rsidRDefault="004E3FDC" w:rsidP="00450B7A">
            <w:pPr>
              <w:spacing w:after="0"/>
              <w:rPr>
                <w:rFonts w:ascii="Cambria" w:hAnsi="Cambria"/>
                <w:b/>
                <w:lang w:val="hr-HR"/>
              </w:rPr>
            </w:pPr>
            <w:r w:rsidRPr="0077700D">
              <w:rPr>
                <w:rFonts w:ascii="Cambria" w:hAnsi="Cambria"/>
                <w:b/>
                <w:lang w:val="hr-HR"/>
              </w:rPr>
              <w:t>257237</w:t>
            </w:r>
          </w:p>
          <w:p w14:paraId="74637D3A" w14:textId="77777777" w:rsidR="004E3FDC" w:rsidRPr="0077700D" w:rsidRDefault="004E3FDC" w:rsidP="00450B7A">
            <w:pPr>
              <w:rPr>
                <w:rFonts w:ascii="Cambria" w:hAnsi="Cambria"/>
                <w:lang w:val="hr-HR"/>
              </w:rPr>
            </w:pPr>
            <w:r w:rsidRPr="0077700D">
              <w:rPr>
                <w:rFonts w:ascii="Cambria" w:hAnsi="Cambria"/>
                <w:lang w:val="hr-HR"/>
              </w:rPr>
              <w:t>Njemački jezik II</w:t>
            </w:r>
          </w:p>
        </w:tc>
        <w:tc>
          <w:tcPr>
            <w:tcW w:w="1921" w:type="pct"/>
            <w:tcBorders>
              <w:top w:val="single" w:sz="2" w:space="0" w:color="auto"/>
              <w:left w:val="single" w:sz="2" w:space="0" w:color="auto"/>
              <w:bottom w:val="single" w:sz="2" w:space="0" w:color="auto"/>
              <w:right w:val="single" w:sz="2" w:space="0" w:color="auto"/>
            </w:tcBorders>
            <w:vAlign w:val="center"/>
            <w:hideMark/>
          </w:tcPr>
          <w:p w14:paraId="27C801B3" w14:textId="77777777" w:rsidR="004E3FDC" w:rsidRPr="0077700D" w:rsidRDefault="004E3FDC" w:rsidP="00450B7A">
            <w:pPr>
              <w:widowControl w:val="0"/>
              <w:spacing w:after="0" w:line="240" w:lineRule="auto"/>
              <w:rPr>
                <w:rFonts w:ascii="Cambria" w:eastAsia="Times New Roman" w:hAnsi="Cambria"/>
                <w:lang w:val="hr-HR"/>
              </w:rPr>
            </w:pPr>
            <w:r w:rsidRPr="0077700D">
              <w:rPr>
                <w:rFonts w:ascii="Cambria" w:eastAsia="Times New Roman" w:hAnsi="Cambria"/>
                <w:lang w:val="hr-HR"/>
              </w:rPr>
              <w:t xml:space="preserve">prof. dr. sc. </w:t>
            </w:r>
            <w:proofErr w:type="spellStart"/>
            <w:r w:rsidRPr="0077700D">
              <w:rPr>
                <w:rFonts w:ascii="Cambria" w:eastAsia="Times New Roman" w:hAnsi="Cambria"/>
                <w:lang w:val="hr-HR"/>
              </w:rPr>
              <w:t>Moira</w:t>
            </w:r>
            <w:proofErr w:type="spellEnd"/>
            <w:r w:rsidRPr="0077700D">
              <w:rPr>
                <w:rFonts w:ascii="Cambria" w:eastAsia="Times New Roman" w:hAnsi="Cambria"/>
                <w:lang w:val="hr-HR"/>
              </w:rPr>
              <w:t xml:space="preserve"> Kostić </w:t>
            </w:r>
            <w:proofErr w:type="spellStart"/>
            <w:r w:rsidRPr="0077700D">
              <w:rPr>
                <w:rFonts w:ascii="Cambria" w:eastAsia="Times New Roman" w:hAnsi="Cambria"/>
                <w:lang w:val="hr-HR"/>
              </w:rPr>
              <w:t>Bobanović</w:t>
            </w:r>
            <w:proofErr w:type="spellEnd"/>
          </w:p>
          <w:p w14:paraId="3EF5EB99" w14:textId="77777777" w:rsidR="004E3FDC" w:rsidRPr="0077700D" w:rsidRDefault="004E3FDC" w:rsidP="00450B7A">
            <w:pPr>
              <w:spacing w:after="0" w:line="240" w:lineRule="auto"/>
              <w:rPr>
                <w:rFonts w:ascii="Cambria" w:eastAsia="Times New Roman" w:hAnsi="Cambria"/>
                <w:strike/>
                <w:lang w:val="it-IT"/>
              </w:rPr>
            </w:pPr>
            <w:r w:rsidRPr="0077700D">
              <w:rPr>
                <w:rFonts w:ascii="Cambria" w:eastAsia="Times New Roman" w:hAnsi="Cambria"/>
                <w:lang w:val="hr-HR"/>
              </w:rPr>
              <w:t xml:space="preserve">Ivan </w:t>
            </w:r>
            <w:proofErr w:type="spellStart"/>
            <w:r w:rsidRPr="0077700D">
              <w:rPr>
                <w:rFonts w:ascii="Cambria" w:eastAsia="Times New Roman" w:hAnsi="Cambria"/>
                <w:lang w:val="hr-HR"/>
              </w:rPr>
              <w:t>Žufić</w:t>
            </w:r>
            <w:proofErr w:type="spellEnd"/>
            <w:r w:rsidRPr="0077700D">
              <w:rPr>
                <w:rFonts w:ascii="Cambria" w:eastAsia="Times New Roman" w:hAnsi="Cambria"/>
                <w:lang w:val="hr-HR"/>
              </w:rPr>
              <w:t>, naslovni pred.</w:t>
            </w:r>
          </w:p>
          <w:p w14:paraId="7B5C0F91" w14:textId="77777777" w:rsidR="004E3FDC" w:rsidRPr="0077700D" w:rsidRDefault="004E3FDC" w:rsidP="00450B7A">
            <w:pPr>
              <w:widowControl w:val="0"/>
              <w:spacing w:after="0" w:line="240" w:lineRule="auto"/>
              <w:rPr>
                <w:rFonts w:ascii="Cambria" w:eastAsia="Times New Roman" w:hAnsi="Cambria"/>
                <w:lang w:val="hr-HR"/>
              </w:rPr>
            </w:pPr>
          </w:p>
          <w:p w14:paraId="15CE165A" w14:textId="77777777" w:rsidR="004E3FDC" w:rsidRPr="0077700D" w:rsidRDefault="004E3FDC" w:rsidP="00450B7A">
            <w:pPr>
              <w:widowControl w:val="0"/>
              <w:spacing w:after="0" w:line="240" w:lineRule="auto"/>
              <w:rPr>
                <w:rFonts w:ascii="Cambria" w:eastAsia="Times New Roman" w:hAnsi="Cambria"/>
                <w:lang w:val="hr-HR"/>
              </w:rPr>
            </w:pPr>
          </w:p>
          <w:p w14:paraId="1E3C4B19" w14:textId="77777777" w:rsidR="004E3FDC" w:rsidRPr="0077700D" w:rsidRDefault="004E3FDC" w:rsidP="00450B7A">
            <w:pPr>
              <w:widowControl w:val="0"/>
              <w:spacing w:after="0" w:line="240" w:lineRule="auto"/>
              <w:rPr>
                <w:rFonts w:ascii="Cambria" w:eastAsia="Times New Roman" w:hAnsi="Cambria"/>
                <w:lang w:val="hr-HR"/>
              </w:rPr>
            </w:pPr>
            <w:proofErr w:type="spellStart"/>
            <w:r w:rsidRPr="0077700D">
              <w:rPr>
                <w:rFonts w:ascii="Cambria" w:eastAsia="Times New Roman" w:hAnsi="Cambria"/>
                <w:lang w:val="hr-HR"/>
              </w:rPr>
              <w:t>Marieta</w:t>
            </w:r>
            <w:proofErr w:type="spellEnd"/>
            <w:r w:rsidRPr="0077700D">
              <w:rPr>
                <w:rFonts w:ascii="Cambria" w:eastAsia="Times New Roman" w:hAnsi="Cambria"/>
                <w:lang w:val="hr-HR"/>
              </w:rPr>
              <w:t xml:space="preserve"> Djaković, v. pred.</w:t>
            </w:r>
          </w:p>
        </w:tc>
        <w:tc>
          <w:tcPr>
            <w:tcW w:w="394" w:type="pct"/>
            <w:tcBorders>
              <w:top w:val="single" w:sz="2" w:space="0" w:color="auto"/>
              <w:left w:val="single" w:sz="2" w:space="0" w:color="auto"/>
              <w:bottom w:val="single" w:sz="2" w:space="0" w:color="auto"/>
              <w:right w:val="single" w:sz="2" w:space="0" w:color="auto"/>
            </w:tcBorders>
            <w:vAlign w:val="center"/>
            <w:hideMark/>
          </w:tcPr>
          <w:p w14:paraId="0A19ADBD" w14:textId="77777777" w:rsidR="004E3FDC" w:rsidRPr="0077700D" w:rsidRDefault="004E3FDC" w:rsidP="00450B7A">
            <w:pPr>
              <w:widowControl w:val="0"/>
              <w:spacing w:after="0" w:line="240" w:lineRule="auto"/>
              <w:jc w:val="center"/>
              <w:rPr>
                <w:rFonts w:ascii="Cambria" w:eastAsia="Times New Roman" w:hAnsi="Cambria"/>
                <w:lang w:val="hr-HR"/>
              </w:rPr>
            </w:pPr>
            <w:r w:rsidRPr="0077700D">
              <w:rPr>
                <w:rFonts w:ascii="Cambria" w:eastAsia="Times New Roman" w:hAnsi="Cambria"/>
                <w:lang w:val="hr-HR"/>
              </w:rPr>
              <w:t>30</w:t>
            </w:r>
          </w:p>
        </w:tc>
        <w:tc>
          <w:tcPr>
            <w:tcW w:w="316" w:type="pct"/>
            <w:tcBorders>
              <w:top w:val="single" w:sz="2" w:space="0" w:color="auto"/>
              <w:left w:val="single" w:sz="2" w:space="0" w:color="auto"/>
              <w:bottom w:val="single" w:sz="2" w:space="0" w:color="auto"/>
              <w:right w:val="single" w:sz="2" w:space="0" w:color="auto"/>
            </w:tcBorders>
            <w:vAlign w:val="center"/>
          </w:tcPr>
          <w:p w14:paraId="162AF338" w14:textId="77777777" w:rsidR="004E3FDC" w:rsidRPr="0077700D" w:rsidRDefault="004E3FDC" w:rsidP="00450B7A">
            <w:pPr>
              <w:widowControl w:val="0"/>
              <w:spacing w:after="0" w:line="240" w:lineRule="auto"/>
              <w:jc w:val="center"/>
              <w:rPr>
                <w:rFonts w:ascii="Cambria" w:eastAsia="Times New Roman" w:hAnsi="Cambria"/>
                <w:lang w:val="hr-HR"/>
              </w:rPr>
            </w:pPr>
            <w:r w:rsidRPr="0077700D">
              <w:rPr>
                <w:rFonts w:ascii="Cambria" w:eastAsia="Times New Roman" w:hAnsi="Cambria"/>
                <w:lang w:val="hr-HR"/>
              </w:rPr>
              <w:t>0</w:t>
            </w:r>
          </w:p>
        </w:tc>
        <w:tc>
          <w:tcPr>
            <w:tcW w:w="415" w:type="pct"/>
            <w:tcBorders>
              <w:top w:val="single" w:sz="2" w:space="0" w:color="auto"/>
              <w:left w:val="single" w:sz="2" w:space="0" w:color="auto"/>
              <w:bottom w:val="single" w:sz="2" w:space="0" w:color="auto"/>
              <w:right w:val="single" w:sz="2" w:space="0" w:color="auto"/>
            </w:tcBorders>
            <w:vAlign w:val="center"/>
            <w:hideMark/>
          </w:tcPr>
          <w:p w14:paraId="08C170BB" w14:textId="77777777" w:rsidR="004E3FDC" w:rsidRPr="0077700D" w:rsidRDefault="004E3FDC" w:rsidP="00450B7A">
            <w:pPr>
              <w:widowControl w:val="0"/>
              <w:spacing w:after="0" w:line="240" w:lineRule="auto"/>
              <w:jc w:val="center"/>
              <w:rPr>
                <w:rFonts w:ascii="Cambria" w:eastAsia="Times New Roman" w:hAnsi="Cambria"/>
                <w:lang w:val="hr-HR"/>
              </w:rPr>
            </w:pPr>
            <w:r w:rsidRPr="0077700D">
              <w:rPr>
                <w:rFonts w:ascii="Cambria" w:eastAsia="Times New Roman" w:hAnsi="Cambria"/>
                <w:lang w:val="hr-HR"/>
              </w:rPr>
              <w:t>30</w:t>
            </w:r>
          </w:p>
        </w:tc>
        <w:tc>
          <w:tcPr>
            <w:tcW w:w="441" w:type="pct"/>
            <w:tcBorders>
              <w:top w:val="single" w:sz="2" w:space="0" w:color="auto"/>
              <w:left w:val="single" w:sz="2" w:space="0" w:color="auto"/>
              <w:bottom w:val="single" w:sz="2" w:space="0" w:color="auto"/>
              <w:right w:val="single" w:sz="2" w:space="0" w:color="auto"/>
            </w:tcBorders>
            <w:vAlign w:val="center"/>
            <w:hideMark/>
          </w:tcPr>
          <w:p w14:paraId="000E710E" w14:textId="77777777" w:rsidR="004E3FDC" w:rsidRPr="0077700D" w:rsidRDefault="004E3FDC" w:rsidP="00450B7A">
            <w:pPr>
              <w:widowControl w:val="0"/>
              <w:spacing w:after="0" w:line="240" w:lineRule="auto"/>
              <w:jc w:val="center"/>
              <w:rPr>
                <w:rFonts w:ascii="Cambria" w:eastAsia="Times New Roman" w:hAnsi="Cambria"/>
                <w:bCs/>
                <w:lang w:val="hr-HR"/>
              </w:rPr>
            </w:pPr>
            <w:r w:rsidRPr="0077700D">
              <w:rPr>
                <w:rFonts w:ascii="Cambria" w:eastAsia="Times New Roman" w:hAnsi="Cambria"/>
                <w:bCs/>
                <w:lang w:val="hr-HR"/>
              </w:rPr>
              <w:t>5</w:t>
            </w:r>
          </w:p>
        </w:tc>
      </w:tr>
      <w:tr w:rsidR="004E3FDC" w:rsidRPr="0077700D" w14:paraId="31907868" w14:textId="77777777" w:rsidTr="00450B7A">
        <w:trPr>
          <w:cantSplit/>
          <w:jc w:val="center"/>
        </w:trPr>
        <w:tc>
          <w:tcPr>
            <w:tcW w:w="1512" w:type="pct"/>
            <w:tcBorders>
              <w:top w:val="single" w:sz="2" w:space="0" w:color="auto"/>
              <w:left w:val="single" w:sz="2" w:space="0" w:color="auto"/>
              <w:bottom w:val="single" w:sz="2" w:space="0" w:color="auto"/>
              <w:right w:val="single" w:sz="2" w:space="0" w:color="auto"/>
            </w:tcBorders>
          </w:tcPr>
          <w:p w14:paraId="275D062B" w14:textId="77777777" w:rsidR="004E3FDC" w:rsidRPr="0077700D" w:rsidRDefault="004E3FDC" w:rsidP="00450B7A">
            <w:pPr>
              <w:spacing w:after="0"/>
              <w:rPr>
                <w:rFonts w:ascii="Cambria" w:hAnsi="Cambria"/>
                <w:b/>
                <w:lang w:val="hr-HR"/>
              </w:rPr>
            </w:pPr>
            <w:r w:rsidRPr="0077700D">
              <w:rPr>
                <w:rFonts w:ascii="Cambria" w:hAnsi="Cambria"/>
                <w:b/>
                <w:lang w:val="hr-HR"/>
              </w:rPr>
              <w:t>257234</w:t>
            </w:r>
          </w:p>
          <w:p w14:paraId="36C254F9" w14:textId="77777777" w:rsidR="004E3FDC" w:rsidRPr="0077700D" w:rsidRDefault="004E3FDC" w:rsidP="00450B7A">
            <w:pPr>
              <w:rPr>
                <w:rFonts w:ascii="Cambria" w:hAnsi="Cambria"/>
                <w:lang w:val="hr-HR"/>
              </w:rPr>
            </w:pPr>
            <w:r w:rsidRPr="0077700D">
              <w:rPr>
                <w:rFonts w:ascii="Cambria" w:hAnsi="Cambria"/>
                <w:lang w:val="hr-HR"/>
              </w:rPr>
              <w:t>Hrvatska povijest</w:t>
            </w:r>
          </w:p>
        </w:tc>
        <w:tc>
          <w:tcPr>
            <w:tcW w:w="1921" w:type="pct"/>
            <w:tcBorders>
              <w:top w:val="single" w:sz="2" w:space="0" w:color="auto"/>
              <w:left w:val="single" w:sz="2" w:space="0" w:color="auto"/>
              <w:bottom w:val="single" w:sz="2" w:space="0" w:color="auto"/>
              <w:right w:val="single" w:sz="2" w:space="0" w:color="auto"/>
            </w:tcBorders>
            <w:vAlign w:val="center"/>
          </w:tcPr>
          <w:p w14:paraId="58429485" w14:textId="77777777" w:rsidR="004E3FDC" w:rsidRPr="0077700D" w:rsidRDefault="004E3FDC" w:rsidP="00450B7A">
            <w:pPr>
              <w:spacing w:after="0" w:line="240" w:lineRule="auto"/>
              <w:rPr>
                <w:rFonts w:ascii="Cambria" w:eastAsia="Times New Roman" w:hAnsi="Cambria"/>
                <w:lang w:val="hr-HR"/>
              </w:rPr>
            </w:pPr>
            <w:r w:rsidRPr="0077700D">
              <w:rPr>
                <w:rFonts w:ascii="Cambria" w:eastAsia="Times New Roman" w:hAnsi="Cambria"/>
                <w:lang w:val="hr-HR"/>
              </w:rPr>
              <w:t xml:space="preserve">prof. dr. sc. Slaven </w:t>
            </w:r>
            <w:proofErr w:type="spellStart"/>
            <w:r w:rsidRPr="0077700D">
              <w:rPr>
                <w:rFonts w:ascii="Cambria" w:eastAsia="Times New Roman" w:hAnsi="Cambria"/>
                <w:lang w:val="hr-HR"/>
              </w:rPr>
              <w:t>Bertoša</w:t>
            </w:r>
            <w:proofErr w:type="spellEnd"/>
          </w:p>
          <w:p w14:paraId="0D4897C6" w14:textId="77777777" w:rsidR="004E3FDC" w:rsidRPr="0077700D" w:rsidRDefault="004E3FDC" w:rsidP="00450B7A">
            <w:pPr>
              <w:spacing w:after="0" w:line="240" w:lineRule="auto"/>
              <w:rPr>
                <w:rFonts w:ascii="Cambria" w:eastAsia="Times New Roman" w:hAnsi="Cambria"/>
                <w:lang w:val="hr-HR"/>
              </w:rPr>
            </w:pPr>
          </w:p>
        </w:tc>
        <w:tc>
          <w:tcPr>
            <w:tcW w:w="394" w:type="pct"/>
            <w:tcBorders>
              <w:top w:val="single" w:sz="2" w:space="0" w:color="auto"/>
              <w:left w:val="single" w:sz="2" w:space="0" w:color="auto"/>
              <w:bottom w:val="single" w:sz="2" w:space="0" w:color="auto"/>
              <w:right w:val="single" w:sz="2" w:space="0" w:color="auto"/>
            </w:tcBorders>
            <w:vAlign w:val="center"/>
            <w:hideMark/>
          </w:tcPr>
          <w:p w14:paraId="34F33829"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30</w:t>
            </w:r>
          </w:p>
        </w:tc>
        <w:tc>
          <w:tcPr>
            <w:tcW w:w="316" w:type="pct"/>
            <w:tcBorders>
              <w:top w:val="single" w:sz="2" w:space="0" w:color="auto"/>
              <w:left w:val="single" w:sz="2" w:space="0" w:color="auto"/>
              <w:bottom w:val="single" w:sz="2" w:space="0" w:color="auto"/>
              <w:right w:val="single" w:sz="2" w:space="0" w:color="auto"/>
            </w:tcBorders>
            <w:vAlign w:val="center"/>
          </w:tcPr>
          <w:p w14:paraId="71BE3D55"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15</w:t>
            </w:r>
          </w:p>
        </w:tc>
        <w:tc>
          <w:tcPr>
            <w:tcW w:w="415" w:type="pct"/>
            <w:tcBorders>
              <w:top w:val="single" w:sz="2" w:space="0" w:color="auto"/>
              <w:left w:val="single" w:sz="2" w:space="0" w:color="auto"/>
              <w:bottom w:val="single" w:sz="2" w:space="0" w:color="auto"/>
              <w:right w:val="single" w:sz="2" w:space="0" w:color="auto"/>
            </w:tcBorders>
            <w:vAlign w:val="center"/>
            <w:hideMark/>
          </w:tcPr>
          <w:p w14:paraId="2A43C7D0"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0</w:t>
            </w:r>
          </w:p>
        </w:tc>
        <w:tc>
          <w:tcPr>
            <w:tcW w:w="441" w:type="pct"/>
            <w:tcBorders>
              <w:top w:val="single" w:sz="2" w:space="0" w:color="auto"/>
              <w:left w:val="single" w:sz="2" w:space="0" w:color="auto"/>
              <w:bottom w:val="single" w:sz="2" w:space="0" w:color="auto"/>
              <w:right w:val="single" w:sz="2" w:space="0" w:color="auto"/>
            </w:tcBorders>
            <w:vAlign w:val="center"/>
            <w:hideMark/>
          </w:tcPr>
          <w:p w14:paraId="055539A1"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3</w:t>
            </w:r>
          </w:p>
        </w:tc>
      </w:tr>
      <w:tr w:rsidR="004E3FDC" w:rsidRPr="0077700D" w14:paraId="59215837" w14:textId="77777777" w:rsidTr="00450B7A">
        <w:trPr>
          <w:cantSplit/>
          <w:jc w:val="center"/>
        </w:trPr>
        <w:tc>
          <w:tcPr>
            <w:tcW w:w="1512" w:type="pct"/>
            <w:tcBorders>
              <w:top w:val="single" w:sz="2" w:space="0" w:color="auto"/>
              <w:left w:val="single" w:sz="2" w:space="0" w:color="auto"/>
              <w:bottom w:val="single" w:sz="2" w:space="0" w:color="auto"/>
              <w:right w:val="single" w:sz="2" w:space="0" w:color="auto"/>
            </w:tcBorders>
          </w:tcPr>
          <w:p w14:paraId="0E67F9FD" w14:textId="77777777" w:rsidR="004E3FDC" w:rsidRPr="0077700D" w:rsidRDefault="004E3FDC" w:rsidP="00450B7A">
            <w:pPr>
              <w:spacing w:after="0"/>
              <w:rPr>
                <w:rFonts w:ascii="Cambria" w:hAnsi="Cambria"/>
                <w:b/>
                <w:lang w:val="hr-HR"/>
              </w:rPr>
            </w:pPr>
            <w:r w:rsidRPr="0077700D">
              <w:rPr>
                <w:rFonts w:ascii="Cambria" w:hAnsi="Cambria"/>
                <w:b/>
                <w:lang w:val="hr-HR"/>
              </w:rPr>
              <w:t>257235</w:t>
            </w:r>
          </w:p>
          <w:p w14:paraId="45EE07F9" w14:textId="77777777" w:rsidR="004E3FDC" w:rsidRPr="0077700D" w:rsidRDefault="004E3FDC" w:rsidP="00450B7A">
            <w:pPr>
              <w:rPr>
                <w:rFonts w:ascii="Cambria" w:hAnsi="Cambria"/>
                <w:lang w:val="hr-HR"/>
              </w:rPr>
            </w:pPr>
            <w:r w:rsidRPr="0077700D">
              <w:rPr>
                <w:rFonts w:ascii="Cambria" w:hAnsi="Cambria"/>
                <w:lang w:val="hr-HR"/>
              </w:rPr>
              <w:t>Glazbeno pismo</w:t>
            </w:r>
          </w:p>
        </w:tc>
        <w:tc>
          <w:tcPr>
            <w:tcW w:w="1921" w:type="pct"/>
            <w:tcBorders>
              <w:top w:val="single" w:sz="2" w:space="0" w:color="auto"/>
              <w:left w:val="single" w:sz="2" w:space="0" w:color="auto"/>
              <w:bottom w:val="single" w:sz="2" w:space="0" w:color="auto"/>
              <w:right w:val="single" w:sz="2" w:space="0" w:color="auto"/>
            </w:tcBorders>
            <w:vAlign w:val="center"/>
            <w:hideMark/>
          </w:tcPr>
          <w:p w14:paraId="57B4A39D" w14:textId="77777777" w:rsidR="004E3FDC" w:rsidRPr="0077700D" w:rsidRDefault="004E3FDC" w:rsidP="00450B7A">
            <w:pPr>
              <w:spacing w:after="0" w:line="240" w:lineRule="auto"/>
              <w:rPr>
                <w:rFonts w:ascii="Cambria" w:eastAsia="Times New Roman" w:hAnsi="Cambria"/>
                <w:lang w:val="hr-HR"/>
              </w:rPr>
            </w:pPr>
            <w:r w:rsidRPr="0077700D">
              <w:rPr>
                <w:rFonts w:ascii="Cambria" w:eastAsia="Times New Roman" w:hAnsi="Cambria"/>
                <w:lang w:val="hr-HR"/>
              </w:rPr>
              <w:t>prof. dr. sc. Ivana Paula Gortan-Carlin</w:t>
            </w:r>
          </w:p>
          <w:p w14:paraId="47F594CD" w14:textId="77777777" w:rsidR="004E3FDC" w:rsidRPr="0077700D" w:rsidRDefault="004E3FDC" w:rsidP="00450B7A">
            <w:pPr>
              <w:spacing w:after="0" w:line="240" w:lineRule="auto"/>
              <w:rPr>
                <w:rFonts w:ascii="Cambria" w:eastAsia="Times New Roman" w:hAnsi="Cambria"/>
                <w:lang w:val="hr-HR"/>
              </w:rPr>
            </w:pPr>
            <w:r w:rsidRPr="0077700D">
              <w:rPr>
                <w:rFonts w:ascii="Cambria" w:eastAsia="Times New Roman" w:hAnsi="Cambria"/>
                <w:lang w:val="hr-HR"/>
              </w:rPr>
              <w:t>mr. sc. Branko Radić, pred.</w:t>
            </w:r>
          </w:p>
        </w:tc>
        <w:tc>
          <w:tcPr>
            <w:tcW w:w="394" w:type="pct"/>
            <w:tcBorders>
              <w:top w:val="single" w:sz="2" w:space="0" w:color="auto"/>
              <w:left w:val="single" w:sz="2" w:space="0" w:color="auto"/>
              <w:bottom w:val="single" w:sz="2" w:space="0" w:color="auto"/>
              <w:right w:val="single" w:sz="2" w:space="0" w:color="auto"/>
            </w:tcBorders>
            <w:vAlign w:val="center"/>
            <w:hideMark/>
          </w:tcPr>
          <w:p w14:paraId="335A635A"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15</w:t>
            </w:r>
          </w:p>
        </w:tc>
        <w:tc>
          <w:tcPr>
            <w:tcW w:w="316" w:type="pct"/>
            <w:tcBorders>
              <w:top w:val="single" w:sz="2" w:space="0" w:color="auto"/>
              <w:left w:val="single" w:sz="2" w:space="0" w:color="auto"/>
              <w:bottom w:val="single" w:sz="2" w:space="0" w:color="auto"/>
              <w:right w:val="single" w:sz="2" w:space="0" w:color="auto"/>
            </w:tcBorders>
            <w:vAlign w:val="center"/>
          </w:tcPr>
          <w:p w14:paraId="2DA2363C"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0</w:t>
            </w:r>
          </w:p>
        </w:tc>
        <w:tc>
          <w:tcPr>
            <w:tcW w:w="415" w:type="pct"/>
            <w:tcBorders>
              <w:top w:val="single" w:sz="2" w:space="0" w:color="auto"/>
              <w:left w:val="single" w:sz="2" w:space="0" w:color="auto"/>
              <w:bottom w:val="single" w:sz="2" w:space="0" w:color="auto"/>
              <w:right w:val="single" w:sz="2" w:space="0" w:color="auto"/>
            </w:tcBorders>
            <w:vAlign w:val="center"/>
            <w:hideMark/>
          </w:tcPr>
          <w:p w14:paraId="43075AA9"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15</w:t>
            </w:r>
          </w:p>
        </w:tc>
        <w:tc>
          <w:tcPr>
            <w:tcW w:w="441" w:type="pct"/>
            <w:tcBorders>
              <w:top w:val="single" w:sz="2" w:space="0" w:color="auto"/>
              <w:left w:val="single" w:sz="2" w:space="0" w:color="auto"/>
              <w:bottom w:val="single" w:sz="2" w:space="0" w:color="auto"/>
              <w:right w:val="single" w:sz="2" w:space="0" w:color="auto"/>
            </w:tcBorders>
            <w:vAlign w:val="center"/>
            <w:hideMark/>
          </w:tcPr>
          <w:p w14:paraId="0C2DEE73"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3</w:t>
            </w:r>
          </w:p>
        </w:tc>
      </w:tr>
      <w:tr w:rsidR="004E3FDC" w:rsidRPr="0077700D" w14:paraId="5094A55E" w14:textId="77777777" w:rsidTr="00450B7A">
        <w:trPr>
          <w:cantSplit/>
          <w:jc w:val="center"/>
        </w:trPr>
        <w:tc>
          <w:tcPr>
            <w:tcW w:w="1512" w:type="pct"/>
            <w:tcBorders>
              <w:top w:val="single" w:sz="2" w:space="0" w:color="auto"/>
              <w:left w:val="single" w:sz="2" w:space="0" w:color="auto"/>
              <w:bottom w:val="single" w:sz="2" w:space="0" w:color="auto"/>
              <w:right w:val="single" w:sz="2" w:space="0" w:color="auto"/>
            </w:tcBorders>
          </w:tcPr>
          <w:p w14:paraId="6F4216C9" w14:textId="77777777" w:rsidR="004E3FDC" w:rsidRPr="0077700D" w:rsidRDefault="004E3FDC" w:rsidP="00450B7A">
            <w:pPr>
              <w:widowControl w:val="0"/>
              <w:spacing w:after="0" w:line="240" w:lineRule="auto"/>
              <w:rPr>
                <w:rFonts w:ascii="Cambria" w:eastAsia="Cambria" w:hAnsi="Cambria" w:cs="Cambria"/>
                <w:b/>
                <w:lang w:val="hr-HR"/>
              </w:rPr>
            </w:pPr>
            <w:r w:rsidRPr="0077700D">
              <w:rPr>
                <w:rFonts w:ascii="Cambria" w:eastAsia="Cambria" w:hAnsi="Cambria" w:cs="Cambria"/>
                <w:b/>
                <w:lang w:val="hr-HR"/>
              </w:rPr>
              <w:t>42324</w:t>
            </w:r>
          </w:p>
          <w:p w14:paraId="557110EF" w14:textId="77777777" w:rsidR="004E3FDC" w:rsidRPr="0077700D" w:rsidRDefault="004E3FDC" w:rsidP="00450B7A">
            <w:pPr>
              <w:rPr>
                <w:rFonts w:ascii="Cambria" w:hAnsi="Cambria"/>
                <w:lang w:val="hr-HR"/>
              </w:rPr>
            </w:pPr>
            <w:r w:rsidRPr="0077700D">
              <w:rPr>
                <w:rFonts w:ascii="Cambria" w:eastAsia="Cambria" w:hAnsi="Cambria" w:cs="Cambria"/>
                <w:lang w:val="hr-HR"/>
              </w:rPr>
              <w:t>Kineziološka kultura II</w:t>
            </w:r>
          </w:p>
        </w:tc>
        <w:tc>
          <w:tcPr>
            <w:tcW w:w="1921" w:type="pct"/>
            <w:tcBorders>
              <w:top w:val="single" w:sz="2" w:space="0" w:color="auto"/>
              <w:left w:val="single" w:sz="2" w:space="0" w:color="auto"/>
              <w:bottom w:val="single" w:sz="2" w:space="0" w:color="auto"/>
              <w:right w:val="single" w:sz="2" w:space="0" w:color="auto"/>
            </w:tcBorders>
            <w:vAlign w:val="center"/>
            <w:hideMark/>
          </w:tcPr>
          <w:p w14:paraId="6DA37AA9" w14:textId="77777777" w:rsidR="004E3FDC" w:rsidRPr="0077700D" w:rsidRDefault="004E3FDC" w:rsidP="00450B7A">
            <w:pPr>
              <w:widowControl w:val="0"/>
              <w:spacing w:after="0" w:line="240" w:lineRule="auto"/>
              <w:rPr>
                <w:rFonts w:ascii="Cambria" w:eastAsia="Times New Roman" w:hAnsi="Cambria"/>
                <w:lang w:val="hr-HR"/>
              </w:rPr>
            </w:pPr>
            <w:r w:rsidRPr="0077700D">
              <w:rPr>
                <w:rFonts w:ascii="Cambria" w:eastAsia="Times New Roman" w:hAnsi="Cambria"/>
                <w:lang w:val="hr-HR"/>
              </w:rPr>
              <w:t>prof. dr. sc. Iva Blažević</w:t>
            </w:r>
          </w:p>
          <w:p w14:paraId="33A59D6E" w14:textId="77777777" w:rsidR="004E3FDC" w:rsidRPr="0077700D" w:rsidRDefault="004E3FDC" w:rsidP="00450B7A">
            <w:pPr>
              <w:widowControl w:val="0"/>
              <w:spacing w:after="0" w:line="240" w:lineRule="auto"/>
              <w:rPr>
                <w:rFonts w:ascii="Cambria" w:eastAsia="Times New Roman" w:hAnsi="Cambria"/>
                <w:lang w:val="hr-HR"/>
              </w:rPr>
            </w:pPr>
            <w:r w:rsidRPr="0077700D">
              <w:rPr>
                <w:rFonts w:ascii="Cambria" w:eastAsia="Times New Roman" w:hAnsi="Cambria"/>
                <w:lang w:val="hr-HR"/>
              </w:rPr>
              <w:t>dr. sc. Ivan Oreb, pred.</w:t>
            </w:r>
          </w:p>
        </w:tc>
        <w:tc>
          <w:tcPr>
            <w:tcW w:w="394" w:type="pct"/>
            <w:tcBorders>
              <w:top w:val="single" w:sz="2" w:space="0" w:color="auto"/>
              <w:left w:val="single" w:sz="2" w:space="0" w:color="auto"/>
              <w:bottom w:val="single" w:sz="2" w:space="0" w:color="auto"/>
              <w:right w:val="single" w:sz="2" w:space="0" w:color="auto"/>
            </w:tcBorders>
            <w:vAlign w:val="center"/>
            <w:hideMark/>
          </w:tcPr>
          <w:p w14:paraId="73955E7F" w14:textId="77777777" w:rsidR="004E3FDC" w:rsidRPr="0077700D" w:rsidRDefault="004E3FDC" w:rsidP="00450B7A">
            <w:pPr>
              <w:widowControl w:val="0"/>
              <w:spacing w:after="0" w:line="240" w:lineRule="auto"/>
              <w:jc w:val="center"/>
              <w:rPr>
                <w:rFonts w:ascii="Cambria" w:eastAsia="Times New Roman" w:hAnsi="Cambria"/>
                <w:lang w:val="hr-HR"/>
              </w:rPr>
            </w:pPr>
            <w:r w:rsidRPr="0077700D">
              <w:rPr>
                <w:rFonts w:ascii="Cambria" w:eastAsia="Times New Roman" w:hAnsi="Cambria"/>
                <w:lang w:val="hr-HR"/>
              </w:rPr>
              <w:t>0</w:t>
            </w:r>
          </w:p>
        </w:tc>
        <w:tc>
          <w:tcPr>
            <w:tcW w:w="316" w:type="pct"/>
            <w:tcBorders>
              <w:top w:val="single" w:sz="2" w:space="0" w:color="auto"/>
              <w:left w:val="single" w:sz="2" w:space="0" w:color="auto"/>
              <w:bottom w:val="single" w:sz="2" w:space="0" w:color="auto"/>
              <w:right w:val="single" w:sz="2" w:space="0" w:color="auto"/>
            </w:tcBorders>
            <w:vAlign w:val="center"/>
          </w:tcPr>
          <w:p w14:paraId="445730A9" w14:textId="77777777" w:rsidR="004E3FDC" w:rsidRPr="0077700D" w:rsidRDefault="004E3FDC" w:rsidP="00450B7A">
            <w:pPr>
              <w:widowControl w:val="0"/>
              <w:spacing w:after="0" w:line="240" w:lineRule="auto"/>
              <w:jc w:val="center"/>
              <w:rPr>
                <w:rFonts w:ascii="Cambria" w:eastAsia="Times New Roman" w:hAnsi="Cambria"/>
                <w:lang w:val="hr-HR"/>
              </w:rPr>
            </w:pPr>
            <w:r w:rsidRPr="0077700D">
              <w:rPr>
                <w:rFonts w:ascii="Cambria" w:eastAsia="Times New Roman" w:hAnsi="Cambria"/>
                <w:lang w:val="hr-HR"/>
              </w:rPr>
              <w:t>0</w:t>
            </w:r>
          </w:p>
        </w:tc>
        <w:tc>
          <w:tcPr>
            <w:tcW w:w="415" w:type="pct"/>
            <w:tcBorders>
              <w:top w:val="single" w:sz="2" w:space="0" w:color="auto"/>
              <w:left w:val="single" w:sz="2" w:space="0" w:color="auto"/>
              <w:bottom w:val="single" w:sz="2" w:space="0" w:color="auto"/>
              <w:right w:val="single" w:sz="2" w:space="0" w:color="auto"/>
            </w:tcBorders>
            <w:vAlign w:val="center"/>
            <w:hideMark/>
          </w:tcPr>
          <w:p w14:paraId="5FF2AD6B" w14:textId="77777777" w:rsidR="004E3FDC" w:rsidRPr="0077700D" w:rsidRDefault="004E3FDC" w:rsidP="00450B7A">
            <w:pPr>
              <w:widowControl w:val="0"/>
              <w:spacing w:after="0" w:line="240" w:lineRule="auto"/>
              <w:jc w:val="center"/>
              <w:rPr>
                <w:rFonts w:ascii="Cambria" w:eastAsia="Times New Roman" w:hAnsi="Cambria"/>
                <w:lang w:val="hr-HR"/>
              </w:rPr>
            </w:pPr>
            <w:r w:rsidRPr="0077700D">
              <w:rPr>
                <w:rFonts w:ascii="Cambria" w:eastAsia="Times New Roman" w:hAnsi="Cambria"/>
                <w:lang w:val="hr-HR"/>
              </w:rPr>
              <w:t>30</w:t>
            </w:r>
          </w:p>
        </w:tc>
        <w:tc>
          <w:tcPr>
            <w:tcW w:w="441" w:type="pct"/>
            <w:tcBorders>
              <w:top w:val="single" w:sz="2" w:space="0" w:color="auto"/>
              <w:left w:val="single" w:sz="2" w:space="0" w:color="auto"/>
              <w:bottom w:val="single" w:sz="2" w:space="0" w:color="auto"/>
              <w:right w:val="single" w:sz="2" w:space="0" w:color="auto"/>
            </w:tcBorders>
            <w:vAlign w:val="center"/>
            <w:hideMark/>
          </w:tcPr>
          <w:p w14:paraId="7BF3BC88" w14:textId="77777777" w:rsidR="004E3FDC" w:rsidRPr="0077700D" w:rsidRDefault="004E3FDC" w:rsidP="00450B7A">
            <w:pPr>
              <w:widowControl w:val="0"/>
              <w:spacing w:after="0" w:line="240" w:lineRule="auto"/>
              <w:jc w:val="center"/>
              <w:rPr>
                <w:rFonts w:ascii="Cambria" w:eastAsia="Times New Roman" w:hAnsi="Cambria"/>
                <w:bCs/>
                <w:lang w:val="hr-HR"/>
              </w:rPr>
            </w:pPr>
            <w:r w:rsidRPr="0077700D">
              <w:rPr>
                <w:rFonts w:ascii="Cambria" w:eastAsia="Times New Roman" w:hAnsi="Cambria"/>
                <w:bCs/>
                <w:lang w:val="hr-HR"/>
              </w:rPr>
              <w:t>1</w:t>
            </w:r>
          </w:p>
        </w:tc>
      </w:tr>
      <w:tr w:rsidR="004E3FDC" w:rsidRPr="0077700D" w14:paraId="389AD599" w14:textId="77777777" w:rsidTr="00450B7A">
        <w:trPr>
          <w:cantSplit/>
          <w:jc w:val="center"/>
        </w:trPr>
        <w:tc>
          <w:tcPr>
            <w:tcW w:w="1512" w:type="pct"/>
            <w:tcBorders>
              <w:top w:val="single" w:sz="2" w:space="0" w:color="auto"/>
              <w:left w:val="single" w:sz="2" w:space="0" w:color="auto"/>
              <w:bottom w:val="single" w:sz="2" w:space="0" w:color="auto"/>
              <w:right w:val="single" w:sz="2" w:space="0" w:color="auto"/>
            </w:tcBorders>
            <w:hideMark/>
          </w:tcPr>
          <w:p w14:paraId="7198D9A4" w14:textId="77777777" w:rsidR="004E3FDC" w:rsidRPr="0077700D" w:rsidRDefault="004E3FDC" w:rsidP="00450B7A">
            <w:pPr>
              <w:rPr>
                <w:rFonts w:ascii="Cambria" w:hAnsi="Cambria"/>
                <w:b/>
                <w:lang w:val="hr-HR"/>
              </w:rPr>
            </w:pPr>
            <w:r w:rsidRPr="0077700D">
              <w:rPr>
                <w:rFonts w:ascii="Cambria" w:hAnsi="Cambria"/>
                <w:b/>
                <w:lang w:val="hr-HR"/>
              </w:rPr>
              <w:t>Ukupno</w:t>
            </w:r>
          </w:p>
        </w:tc>
        <w:tc>
          <w:tcPr>
            <w:tcW w:w="1921" w:type="pct"/>
            <w:tcBorders>
              <w:top w:val="single" w:sz="2" w:space="0" w:color="auto"/>
              <w:left w:val="single" w:sz="2" w:space="0" w:color="auto"/>
              <w:bottom w:val="single" w:sz="2" w:space="0" w:color="auto"/>
              <w:right w:val="single" w:sz="2" w:space="0" w:color="auto"/>
            </w:tcBorders>
            <w:vAlign w:val="center"/>
          </w:tcPr>
          <w:p w14:paraId="0FE26842" w14:textId="77777777" w:rsidR="004E3FDC" w:rsidRPr="0077700D" w:rsidRDefault="004E3FDC" w:rsidP="00450B7A">
            <w:pPr>
              <w:widowControl w:val="0"/>
              <w:spacing w:after="0" w:line="240" w:lineRule="auto"/>
              <w:rPr>
                <w:rFonts w:ascii="Cambria" w:eastAsia="Times New Roman" w:hAnsi="Cambria"/>
                <w:b/>
                <w:lang w:val="hr-HR"/>
              </w:rPr>
            </w:pPr>
          </w:p>
        </w:tc>
        <w:tc>
          <w:tcPr>
            <w:tcW w:w="394" w:type="pct"/>
            <w:tcBorders>
              <w:top w:val="single" w:sz="2" w:space="0" w:color="auto"/>
              <w:left w:val="single" w:sz="2" w:space="0" w:color="auto"/>
              <w:bottom w:val="single" w:sz="2" w:space="0" w:color="auto"/>
              <w:right w:val="single" w:sz="2" w:space="0" w:color="auto"/>
            </w:tcBorders>
            <w:vAlign w:val="center"/>
          </w:tcPr>
          <w:p w14:paraId="7BC6733B" w14:textId="77777777" w:rsidR="004E3FDC" w:rsidRPr="0077700D" w:rsidRDefault="004E3FDC" w:rsidP="00450B7A">
            <w:pPr>
              <w:widowControl w:val="0"/>
              <w:spacing w:after="0" w:line="240" w:lineRule="auto"/>
              <w:jc w:val="center"/>
              <w:rPr>
                <w:rFonts w:ascii="Cambria" w:eastAsia="Times New Roman" w:hAnsi="Cambria"/>
                <w:b/>
                <w:lang w:val="hr-HR"/>
              </w:rPr>
            </w:pPr>
          </w:p>
        </w:tc>
        <w:tc>
          <w:tcPr>
            <w:tcW w:w="316" w:type="pct"/>
            <w:tcBorders>
              <w:top w:val="single" w:sz="2" w:space="0" w:color="auto"/>
              <w:left w:val="single" w:sz="2" w:space="0" w:color="auto"/>
              <w:bottom w:val="single" w:sz="2" w:space="0" w:color="auto"/>
              <w:right w:val="single" w:sz="2" w:space="0" w:color="auto"/>
            </w:tcBorders>
            <w:vAlign w:val="center"/>
          </w:tcPr>
          <w:p w14:paraId="073F94AD" w14:textId="77777777" w:rsidR="004E3FDC" w:rsidRPr="0077700D" w:rsidRDefault="004E3FDC" w:rsidP="00450B7A">
            <w:pPr>
              <w:widowControl w:val="0"/>
              <w:spacing w:after="0" w:line="240" w:lineRule="auto"/>
              <w:jc w:val="center"/>
              <w:rPr>
                <w:rFonts w:ascii="Cambria" w:eastAsia="Times New Roman" w:hAnsi="Cambria"/>
                <w:b/>
                <w:lang w:val="hr-HR"/>
              </w:rPr>
            </w:pPr>
          </w:p>
        </w:tc>
        <w:tc>
          <w:tcPr>
            <w:tcW w:w="415" w:type="pct"/>
            <w:tcBorders>
              <w:top w:val="single" w:sz="2" w:space="0" w:color="auto"/>
              <w:left w:val="single" w:sz="2" w:space="0" w:color="auto"/>
              <w:bottom w:val="single" w:sz="2" w:space="0" w:color="auto"/>
              <w:right w:val="single" w:sz="2" w:space="0" w:color="auto"/>
            </w:tcBorders>
            <w:vAlign w:val="center"/>
          </w:tcPr>
          <w:p w14:paraId="2D37563D" w14:textId="77777777" w:rsidR="004E3FDC" w:rsidRPr="0077700D" w:rsidRDefault="004E3FDC" w:rsidP="00450B7A">
            <w:pPr>
              <w:widowControl w:val="0"/>
              <w:spacing w:after="0" w:line="240" w:lineRule="auto"/>
              <w:jc w:val="center"/>
              <w:rPr>
                <w:rFonts w:ascii="Cambria" w:eastAsia="Times New Roman" w:hAnsi="Cambria"/>
                <w:b/>
                <w:lang w:val="hr-HR"/>
              </w:rPr>
            </w:pPr>
          </w:p>
        </w:tc>
        <w:tc>
          <w:tcPr>
            <w:tcW w:w="441" w:type="pct"/>
            <w:tcBorders>
              <w:top w:val="single" w:sz="2" w:space="0" w:color="auto"/>
              <w:left w:val="single" w:sz="2" w:space="0" w:color="auto"/>
              <w:bottom w:val="single" w:sz="2" w:space="0" w:color="auto"/>
              <w:right w:val="single" w:sz="2" w:space="0" w:color="auto"/>
            </w:tcBorders>
            <w:vAlign w:val="center"/>
            <w:hideMark/>
          </w:tcPr>
          <w:p w14:paraId="3EF42E23" w14:textId="77777777" w:rsidR="004E3FDC" w:rsidRPr="0077700D" w:rsidRDefault="004E3FDC" w:rsidP="00450B7A">
            <w:pPr>
              <w:widowControl w:val="0"/>
              <w:spacing w:after="0" w:line="240" w:lineRule="auto"/>
              <w:jc w:val="center"/>
              <w:rPr>
                <w:rFonts w:ascii="Cambria" w:eastAsia="Times New Roman" w:hAnsi="Cambria"/>
                <w:b/>
                <w:bCs/>
                <w:lang w:val="hr-HR"/>
              </w:rPr>
            </w:pPr>
            <w:r w:rsidRPr="0077700D">
              <w:rPr>
                <w:rFonts w:ascii="Cambria" w:eastAsia="Times New Roman" w:hAnsi="Cambria"/>
                <w:b/>
                <w:bCs/>
                <w:lang w:val="hr-HR"/>
              </w:rPr>
              <w:t>30</w:t>
            </w:r>
          </w:p>
        </w:tc>
      </w:tr>
    </w:tbl>
    <w:p w14:paraId="2701231A" w14:textId="77777777" w:rsidR="004E3FDC" w:rsidRDefault="004E3FDC" w:rsidP="004E3FDC">
      <w:pPr>
        <w:widowControl w:val="0"/>
        <w:spacing w:after="0" w:line="240" w:lineRule="auto"/>
        <w:rPr>
          <w:rFonts w:ascii="Cambria" w:eastAsia="Times New Roman" w:hAnsi="Cambria"/>
          <w:lang w:val="hr-HR"/>
        </w:rPr>
      </w:pPr>
      <w:r w:rsidRPr="0077700D">
        <w:rPr>
          <w:rFonts w:ascii="Cambria" w:eastAsia="Times New Roman" w:hAnsi="Cambria"/>
          <w:lang w:val="hr-HR"/>
        </w:rPr>
        <w:t xml:space="preserve">  * student upisuje onaj strani jezik koji je slušao u srednjoj školi</w:t>
      </w:r>
    </w:p>
    <w:p w14:paraId="71AC7216" w14:textId="77777777" w:rsidR="004E3FDC" w:rsidRPr="0077700D" w:rsidRDefault="004E3FDC" w:rsidP="004E3FDC">
      <w:pPr>
        <w:widowControl w:val="0"/>
        <w:spacing w:after="0" w:line="240" w:lineRule="auto"/>
        <w:rPr>
          <w:rFonts w:ascii="Cambria" w:eastAsia="Times New Roman" w:hAnsi="Cambria"/>
          <w:lang w:val="hr-HR"/>
        </w:rPr>
      </w:pPr>
      <w:r w:rsidRPr="0077700D">
        <w:rPr>
          <w:rFonts w:ascii="Cambria" w:eastAsia="Times New Roman" w:hAnsi="Cambria"/>
          <w:lang w:val="hr-HR"/>
        </w:rPr>
        <w:t xml:space="preserve">  </w:t>
      </w:r>
    </w:p>
    <w:p w14:paraId="7FA1A76E" w14:textId="77777777" w:rsidR="004E3FDC" w:rsidRPr="0077700D" w:rsidRDefault="004E3FDC" w:rsidP="004E3FDC">
      <w:pPr>
        <w:widowControl w:val="0"/>
        <w:spacing w:after="0" w:line="240" w:lineRule="auto"/>
        <w:jc w:val="both"/>
        <w:rPr>
          <w:rFonts w:ascii="Cambria" w:eastAsia="Times New Roman" w:hAnsi="Cambria" w:cs="Calibri"/>
          <w:lang w:val="hr-HR"/>
        </w:rPr>
      </w:pPr>
    </w:p>
    <w:p w14:paraId="77A12776" w14:textId="77777777" w:rsidR="004E3FDC" w:rsidRPr="0077700D" w:rsidRDefault="004E3FDC" w:rsidP="004E3FDC">
      <w:pPr>
        <w:widowControl w:val="0"/>
        <w:spacing w:after="120" w:line="240" w:lineRule="auto"/>
        <w:ind w:left="357"/>
        <w:jc w:val="center"/>
        <w:rPr>
          <w:rFonts w:ascii="Cambria" w:eastAsia="Times New Roman" w:hAnsi="Cambria"/>
          <w:b/>
          <w:lang w:val="hr-HR"/>
        </w:rPr>
      </w:pPr>
      <w:r w:rsidRPr="0077700D">
        <w:rPr>
          <w:rFonts w:ascii="Cambria" w:eastAsia="Times New Roman" w:hAnsi="Cambria"/>
          <w:b/>
          <w:lang w:val="hr-HR"/>
        </w:rPr>
        <w:t>2. GODINA</w:t>
      </w:r>
    </w:p>
    <w:tbl>
      <w:tblPr>
        <w:tblW w:w="4866"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977"/>
        <w:gridCol w:w="3724"/>
        <w:gridCol w:w="766"/>
        <w:gridCol w:w="687"/>
        <w:gridCol w:w="127"/>
        <w:gridCol w:w="500"/>
        <w:gridCol w:w="984"/>
      </w:tblGrid>
      <w:tr w:rsidR="004E3FDC" w:rsidRPr="0077700D" w14:paraId="00B8D65D" w14:textId="77777777" w:rsidTr="00450B7A">
        <w:trPr>
          <w:cantSplit/>
          <w:jc w:val="center"/>
        </w:trPr>
        <w:tc>
          <w:tcPr>
            <w:tcW w:w="5000" w:type="pct"/>
            <w:gridSpan w:val="7"/>
            <w:tcBorders>
              <w:top w:val="single" w:sz="2" w:space="0" w:color="auto"/>
              <w:left w:val="single" w:sz="2" w:space="0" w:color="auto"/>
              <w:bottom w:val="single" w:sz="2" w:space="0" w:color="auto"/>
              <w:right w:val="single" w:sz="2" w:space="0" w:color="auto"/>
            </w:tcBorders>
            <w:shd w:val="clear" w:color="auto" w:fill="33CCCC"/>
            <w:vAlign w:val="center"/>
            <w:hideMark/>
          </w:tcPr>
          <w:p w14:paraId="7C73C77C" w14:textId="77777777" w:rsidR="004E3FDC" w:rsidRPr="0077700D" w:rsidRDefault="004E3FDC" w:rsidP="00450B7A">
            <w:pPr>
              <w:spacing w:after="0" w:line="240" w:lineRule="auto"/>
              <w:jc w:val="center"/>
              <w:rPr>
                <w:rFonts w:ascii="Cambria" w:eastAsia="Times New Roman" w:hAnsi="Cambria"/>
                <w:b/>
                <w:bCs/>
                <w:lang w:val="hr-HR"/>
              </w:rPr>
            </w:pPr>
            <w:bookmarkStart w:id="14" w:name="_Toc209340473"/>
            <w:bookmarkStart w:id="15" w:name="_Toc209420851"/>
            <w:bookmarkStart w:id="16" w:name="_Toc209421232"/>
            <w:bookmarkStart w:id="17" w:name="_Toc209789827"/>
            <w:r w:rsidRPr="0077700D">
              <w:rPr>
                <w:rFonts w:ascii="Cambria" w:eastAsia="Times New Roman" w:hAnsi="Cambria"/>
                <w:b/>
                <w:bCs/>
                <w:lang w:val="hr-HR"/>
              </w:rPr>
              <w:t>III. semestar</w:t>
            </w:r>
            <w:bookmarkEnd w:id="14"/>
            <w:bookmarkEnd w:id="15"/>
            <w:bookmarkEnd w:id="16"/>
            <w:bookmarkEnd w:id="17"/>
          </w:p>
        </w:tc>
      </w:tr>
      <w:tr w:rsidR="004E3FDC" w:rsidRPr="0077700D" w14:paraId="136EA06C" w14:textId="77777777" w:rsidTr="00450B7A">
        <w:trPr>
          <w:cantSplit/>
          <w:jc w:val="center"/>
        </w:trPr>
        <w:tc>
          <w:tcPr>
            <w:tcW w:w="1524" w:type="pct"/>
            <w:tcBorders>
              <w:top w:val="single" w:sz="2" w:space="0" w:color="auto"/>
              <w:left w:val="single" w:sz="2" w:space="0" w:color="auto"/>
              <w:bottom w:val="single" w:sz="2" w:space="0" w:color="auto"/>
              <w:right w:val="single" w:sz="2" w:space="0" w:color="auto"/>
            </w:tcBorders>
            <w:vAlign w:val="center"/>
            <w:hideMark/>
          </w:tcPr>
          <w:p w14:paraId="4E045A11" w14:textId="77777777" w:rsidR="004E3FDC" w:rsidRPr="0077700D" w:rsidRDefault="004E3FDC" w:rsidP="00450B7A">
            <w:pPr>
              <w:widowControl w:val="0"/>
              <w:spacing w:after="0" w:line="240" w:lineRule="auto"/>
              <w:rPr>
                <w:rFonts w:ascii="Cambria" w:eastAsia="Times New Roman" w:hAnsi="Cambria"/>
                <w:b/>
                <w:lang w:val="hr-HR"/>
              </w:rPr>
            </w:pPr>
            <w:r w:rsidRPr="0077700D">
              <w:rPr>
                <w:rFonts w:ascii="Cambria" w:eastAsia="Times New Roman" w:hAnsi="Cambria"/>
                <w:b/>
                <w:lang w:val="hr-HR"/>
              </w:rPr>
              <w:t>Predmet</w:t>
            </w:r>
          </w:p>
        </w:tc>
        <w:tc>
          <w:tcPr>
            <w:tcW w:w="1907" w:type="pct"/>
            <w:tcBorders>
              <w:top w:val="single" w:sz="2" w:space="0" w:color="auto"/>
              <w:left w:val="single" w:sz="2" w:space="0" w:color="auto"/>
              <w:bottom w:val="single" w:sz="2" w:space="0" w:color="auto"/>
              <w:right w:val="single" w:sz="2" w:space="0" w:color="auto"/>
            </w:tcBorders>
            <w:vAlign w:val="center"/>
            <w:hideMark/>
          </w:tcPr>
          <w:p w14:paraId="1800256E" w14:textId="77777777" w:rsidR="004E3FDC" w:rsidRPr="0077700D" w:rsidRDefault="004E3FDC" w:rsidP="00450B7A">
            <w:pPr>
              <w:widowControl w:val="0"/>
              <w:spacing w:after="0" w:line="240" w:lineRule="auto"/>
              <w:rPr>
                <w:rFonts w:ascii="Cambria" w:eastAsia="Times New Roman" w:hAnsi="Cambria"/>
                <w:b/>
                <w:lang w:val="hr-HR"/>
              </w:rPr>
            </w:pPr>
            <w:r w:rsidRPr="0077700D">
              <w:rPr>
                <w:rFonts w:ascii="Cambria" w:eastAsia="Times New Roman" w:hAnsi="Cambria"/>
                <w:b/>
                <w:lang w:val="hr-HR"/>
              </w:rPr>
              <w:t>Nastavnik/</w:t>
            </w:r>
            <w:proofErr w:type="spellStart"/>
            <w:r w:rsidRPr="0077700D">
              <w:rPr>
                <w:rFonts w:ascii="Cambria" w:eastAsia="Times New Roman" w:hAnsi="Cambria"/>
                <w:b/>
                <w:lang w:val="hr-HR"/>
              </w:rPr>
              <w:t>ica</w:t>
            </w:r>
            <w:proofErr w:type="spellEnd"/>
          </w:p>
        </w:tc>
        <w:tc>
          <w:tcPr>
            <w:tcW w:w="392" w:type="pct"/>
            <w:tcBorders>
              <w:top w:val="single" w:sz="2" w:space="0" w:color="auto"/>
              <w:left w:val="single" w:sz="2" w:space="0" w:color="auto"/>
              <w:bottom w:val="single" w:sz="2" w:space="0" w:color="auto"/>
              <w:right w:val="single" w:sz="2" w:space="0" w:color="auto"/>
            </w:tcBorders>
            <w:vAlign w:val="center"/>
            <w:hideMark/>
          </w:tcPr>
          <w:p w14:paraId="58A8B770" w14:textId="77777777" w:rsidR="004E3FDC" w:rsidRPr="0077700D" w:rsidRDefault="004E3FDC" w:rsidP="00450B7A">
            <w:pPr>
              <w:spacing w:after="0" w:line="240" w:lineRule="auto"/>
              <w:jc w:val="center"/>
              <w:rPr>
                <w:rFonts w:ascii="Cambria" w:eastAsia="Times New Roman" w:hAnsi="Cambria"/>
                <w:b/>
                <w:bCs/>
                <w:caps/>
                <w:lang w:val="hr-HR"/>
              </w:rPr>
            </w:pPr>
            <w:bookmarkStart w:id="18" w:name="_Toc208818023"/>
            <w:bookmarkStart w:id="19" w:name="_Toc208819681"/>
            <w:bookmarkStart w:id="20" w:name="_Toc208904371"/>
            <w:bookmarkStart w:id="21" w:name="_Toc209340474"/>
            <w:bookmarkStart w:id="22" w:name="_Toc209420852"/>
            <w:bookmarkStart w:id="23" w:name="_Toc209421233"/>
            <w:bookmarkStart w:id="24" w:name="_Toc209789828"/>
            <w:r w:rsidRPr="0077700D">
              <w:rPr>
                <w:rFonts w:ascii="Cambria" w:eastAsia="Times New Roman" w:hAnsi="Cambria"/>
                <w:b/>
                <w:bCs/>
                <w:caps/>
                <w:lang w:val="hr-HR"/>
              </w:rPr>
              <w:t>P</w:t>
            </w:r>
            <w:bookmarkEnd w:id="18"/>
            <w:bookmarkEnd w:id="19"/>
            <w:bookmarkEnd w:id="20"/>
            <w:bookmarkEnd w:id="21"/>
            <w:bookmarkEnd w:id="22"/>
            <w:bookmarkEnd w:id="23"/>
            <w:bookmarkEnd w:id="24"/>
          </w:p>
        </w:tc>
        <w:tc>
          <w:tcPr>
            <w:tcW w:w="352" w:type="pct"/>
            <w:tcBorders>
              <w:top w:val="single" w:sz="2" w:space="0" w:color="auto"/>
              <w:left w:val="single" w:sz="2" w:space="0" w:color="auto"/>
              <w:bottom w:val="single" w:sz="2" w:space="0" w:color="auto"/>
              <w:right w:val="single" w:sz="2" w:space="0" w:color="auto"/>
            </w:tcBorders>
            <w:vAlign w:val="center"/>
          </w:tcPr>
          <w:p w14:paraId="5B9232A8" w14:textId="77777777" w:rsidR="004E3FDC" w:rsidRPr="0077700D" w:rsidRDefault="004E3FDC" w:rsidP="00450B7A">
            <w:pPr>
              <w:spacing w:after="0" w:line="240" w:lineRule="auto"/>
              <w:jc w:val="center"/>
              <w:rPr>
                <w:rFonts w:ascii="Cambria" w:eastAsia="Times New Roman" w:hAnsi="Cambria"/>
                <w:b/>
                <w:bCs/>
                <w:caps/>
                <w:lang w:val="hr-HR"/>
              </w:rPr>
            </w:pPr>
            <w:r w:rsidRPr="0077700D">
              <w:rPr>
                <w:rFonts w:ascii="Cambria" w:eastAsia="Times New Roman" w:hAnsi="Cambria"/>
                <w:b/>
                <w:bCs/>
                <w:caps/>
                <w:lang w:val="hr-HR"/>
              </w:rPr>
              <w:t>S</w:t>
            </w:r>
          </w:p>
        </w:tc>
        <w:tc>
          <w:tcPr>
            <w:tcW w:w="321" w:type="pct"/>
            <w:gridSpan w:val="2"/>
            <w:tcBorders>
              <w:top w:val="single" w:sz="2" w:space="0" w:color="auto"/>
              <w:left w:val="single" w:sz="2" w:space="0" w:color="auto"/>
              <w:bottom w:val="single" w:sz="2" w:space="0" w:color="auto"/>
              <w:right w:val="single" w:sz="2" w:space="0" w:color="auto"/>
            </w:tcBorders>
            <w:vAlign w:val="center"/>
            <w:hideMark/>
          </w:tcPr>
          <w:p w14:paraId="12AE313F" w14:textId="77777777" w:rsidR="004E3FDC" w:rsidRPr="0077700D" w:rsidRDefault="004E3FDC" w:rsidP="00450B7A">
            <w:pPr>
              <w:spacing w:after="0" w:line="240" w:lineRule="auto"/>
              <w:jc w:val="center"/>
              <w:rPr>
                <w:rFonts w:ascii="Cambria" w:eastAsia="Times New Roman" w:hAnsi="Cambria"/>
                <w:b/>
                <w:bCs/>
                <w:caps/>
                <w:lang w:val="hr-HR"/>
              </w:rPr>
            </w:pPr>
            <w:r w:rsidRPr="0077700D">
              <w:rPr>
                <w:rFonts w:ascii="Cambria" w:eastAsia="Times New Roman" w:hAnsi="Cambria"/>
                <w:b/>
                <w:bCs/>
                <w:caps/>
                <w:lang w:val="hr-HR"/>
              </w:rPr>
              <w:t>V</w:t>
            </w:r>
          </w:p>
        </w:tc>
        <w:tc>
          <w:tcPr>
            <w:tcW w:w="504" w:type="pct"/>
            <w:tcBorders>
              <w:top w:val="single" w:sz="2" w:space="0" w:color="auto"/>
              <w:left w:val="single" w:sz="2" w:space="0" w:color="auto"/>
              <w:bottom w:val="single" w:sz="2" w:space="0" w:color="auto"/>
              <w:right w:val="single" w:sz="2" w:space="0" w:color="auto"/>
            </w:tcBorders>
            <w:vAlign w:val="center"/>
            <w:hideMark/>
          </w:tcPr>
          <w:p w14:paraId="3FA40C0A" w14:textId="77777777" w:rsidR="004E3FDC" w:rsidRPr="0077700D" w:rsidRDefault="004E3FDC" w:rsidP="00450B7A">
            <w:pPr>
              <w:spacing w:after="0" w:line="240" w:lineRule="auto"/>
              <w:jc w:val="center"/>
              <w:rPr>
                <w:rFonts w:ascii="Cambria" w:eastAsia="Times New Roman" w:hAnsi="Cambria"/>
                <w:b/>
                <w:bCs/>
                <w:caps/>
                <w:lang w:val="hr-HR"/>
              </w:rPr>
            </w:pPr>
            <w:r w:rsidRPr="0077700D">
              <w:rPr>
                <w:rFonts w:ascii="Cambria" w:eastAsia="Times New Roman" w:hAnsi="Cambria"/>
                <w:b/>
                <w:bCs/>
                <w:caps/>
                <w:lang w:val="hr-HR"/>
              </w:rPr>
              <w:t>ECTS</w:t>
            </w:r>
          </w:p>
        </w:tc>
      </w:tr>
      <w:tr w:rsidR="004E3FDC" w:rsidRPr="0077700D" w14:paraId="0FE1C056" w14:textId="77777777" w:rsidTr="00450B7A">
        <w:trPr>
          <w:cantSplit/>
          <w:jc w:val="center"/>
        </w:trPr>
        <w:tc>
          <w:tcPr>
            <w:tcW w:w="1524" w:type="pct"/>
            <w:tcBorders>
              <w:top w:val="single" w:sz="2" w:space="0" w:color="auto"/>
              <w:left w:val="single" w:sz="2" w:space="0" w:color="auto"/>
              <w:bottom w:val="single" w:sz="2" w:space="0" w:color="auto"/>
              <w:right w:val="single" w:sz="2" w:space="0" w:color="auto"/>
            </w:tcBorders>
            <w:vAlign w:val="center"/>
            <w:hideMark/>
          </w:tcPr>
          <w:p w14:paraId="160CF8F9" w14:textId="77777777" w:rsidR="004E3FDC" w:rsidRPr="0077700D" w:rsidRDefault="004E3FDC" w:rsidP="00450B7A">
            <w:pPr>
              <w:widowControl w:val="0"/>
              <w:spacing w:after="0" w:line="240" w:lineRule="auto"/>
              <w:rPr>
                <w:rFonts w:ascii="Cambria" w:eastAsia="Times New Roman" w:hAnsi="Cambria"/>
                <w:b/>
                <w:bCs/>
                <w:lang w:val="hr-HR"/>
              </w:rPr>
            </w:pPr>
            <w:r w:rsidRPr="0077700D">
              <w:rPr>
                <w:rFonts w:ascii="Cambria" w:eastAsia="Times New Roman" w:hAnsi="Cambria"/>
                <w:b/>
                <w:bCs/>
                <w:lang w:val="hr-HR"/>
              </w:rPr>
              <w:t>227422</w:t>
            </w:r>
          </w:p>
          <w:p w14:paraId="0AB8229B" w14:textId="77777777" w:rsidR="004E3FDC" w:rsidRPr="0077700D" w:rsidRDefault="004E3FDC" w:rsidP="00450B7A">
            <w:pPr>
              <w:widowControl w:val="0"/>
              <w:spacing w:after="0" w:line="240" w:lineRule="auto"/>
              <w:rPr>
                <w:rFonts w:ascii="Cambria" w:eastAsia="Times New Roman" w:hAnsi="Cambria"/>
                <w:lang w:val="hr-HR"/>
              </w:rPr>
            </w:pPr>
            <w:r w:rsidRPr="0077700D">
              <w:rPr>
                <w:rFonts w:ascii="Cambria" w:eastAsia="Times New Roman" w:hAnsi="Cambria"/>
                <w:lang w:val="hr-HR"/>
              </w:rPr>
              <w:t>Didaktika</w:t>
            </w:r>
          </w:p>
        </w:tc>
        <w:tc>
          <w:tcPr>
            <w:tcW w:w="1907" w:type="pct"/>
            <w:tcBorders>
              <w:top w:val="single" w:sz="2" w:space="0" w:color="auto"/>
              <w:left w:val="single" w:sz="2" w:space="0" w:color="auto"/>
              <w:bottom w:val="single" w:sz="2" w:space="0" w:color="auto"/>
              <w:right w:val="single" w:sz="2" w:space="0" w:color="auto"/>
            </w:tcBorders>
            <w:vAlign w:val="center"/>
            <w:hideMark/>
          </w:tcPr>
          <w:p w14:paraId="551445FC" w14:textId="77777777" w:rsidR="004E3FDC" w:rsidRPr="0077700D" w:rsidRDefault="004E3FDC" w:rsidP="00450B7A">
            <w:pPr>
              <w:widowControl w:val="0"/>
              <w:spacing w:after="0" w:line="240" w:lineRule="auto"/>
              <w:rPr>
                <w:rFonts w:ascii="Cambria" w:eastAsia="Times New Roman" w:hAnsi="Cambria"/>
                <w:lang w:val="hr-HR"/>
              </w:rPr>
            </w:pPr>
            <w:r w:rsidRPr="0077700D">
              <w:rPr>
                <w:rFonts w:ascii="Cambria" w:eastAsia="Times New Roman" w:hAnsi="Cambria"/>
                <w:lang w:val="hr-HR"/>
              </w:rPr>
              <w:t xml:space="preserve">izv. prof. dr. sc. Sandra </w:t>
            </w:r>
            <w:proofErr w:type="spellStart"/>
            <w:r w:rsidRPr="0077700D">
              <w:rPr>
                <w:rFonts w:ascii="Cambria" w:eastAsia="Times New Roman" w:hAnsi="Cambria"/>
                <w:lang w:val="hr-HR"/>
              </w:rPr>
              <w:t>Kadum</w:t>
            </w:r>
            <w:proofErr w:type="spellEnd"/>
          </w:p>
        </w:tc>
        <w:tc>
          <w:tcPr>
            <w:tcW w:w="392" w:type="pct"/>
            <w:tcBorders>
              <w:top w:val="single" w:sz="2" w:space="0" w:color="auto"/>
              <w:left w:val="single" w:sz="2" w:space="0" w:color="auto"/>
              <w:bottom w:val="single" w:sz="2" w:space="0" w:color="auto"/>
              <w:right w:val="single" w:sz="2" w:space="0" w:color="auto"/>
            </w:tcBorders>
            <w:vAlign w:val="center"/>
            <w:hideMark/>
          </w:tcPr>
          <w:p w14:paraId="05CDBECD" w14:textId="77777777" w:rsidR="004E3FDC" w:rsidRPr="0077700D" w:rsidRDefault="004E3FDC" w:rsidP="00450B7A">
            <w:pPr>
              <w:widowControl w:val="0"/>
              <w:spacing w:after="0" w:line="240" w:lineRule="auto"/>
              <w:jc w:val="center"/>
              <w:rPr>
                <w:rFonts w:ascii="Cambria" w:eastAsia="Times New Roman" w:hAnsi="Cambria"/>
                <w:lang w:val="hr-HR"/>
              </w:rPr>
            </w:pPr>
            <w:r w:rsidRPr="0077700D">
              <w:rPr>
                <w:rFonts w:ascii="Cambria" w:eastAsia="Times New Roman" w:hAnsi="Cambria"/>
                <w:lang w:val="hr-HR"/>
              </w:rPr>
              <w:t>30</w:t>
            </w:r>
          </w:p>
        </w:tc>
        <w:tc>
          <w:tcPr>
            <w:tcW w:w="352" w:type="pct"/>
            <w:tcBorders>
              <w:top w:val="single" w:sz="2" w:space="0" w:color="auto"/>
              <w:left w:val="single" w:sz="2" w:space="0" w:color="auto"/>
              <w:bottom w:val="single" w:sz="2" w:space="0" w:color="auto"/>
              <w:right w:val="single" w:sz="2" w:space="0" w:color="auto"/>
            </w:tcBorders>
            <w:vAlign w:val="center"/>
          </w:tcPr>
          <w:p w14:paraId="411D6151" w14:textId="77777777" w:rsidR="004E3FDC" w:rsidRPr="0077700D" w:rsidRDefault="004E3FDC" w:rsidP="00450B7A">
            <w:pPr>
              <w:widowControl w:val="0"/>
              <w:spacing w:after="0" w:line="240" w:lineRule="auto"/>
              <w:jc w:val="center"/>
              <w:rPr>
                <w:rFonts w:ascii="Cambria" w:eastAsia="Times New Roman" w:hAnsi="Cambria"/>
                <w:lang w:val="hr-HR"/>
              </w:rPr>
            </w:pPr>
            <w:r w:rsidRPr="0077700D">
              <w:rPr>
                <w:rFonts w:ascii="Cambria" w:eastAsia="Times New Roman" w:hAnsi="Cambria"/>
                <w:lang w:val="hr-HR"/>
              </w:rPr>
              <w:t>0</w:t>
            </w:r>
          </w:p>
        </w:tc>
        <w:tc>
          <w:tcPr>
            <w:tcW w:w="321" w:type="pct"/>
            <w:gridSpan w:val="2"/>
            <w:tcBorders>
              <w:top w:val="single" w:sz="2" w:space="0" w:color="auto"/>
              <w:left w:val="single" w:sz="2" w:space="0" w:color="auto"/>
              <w:bottom w:val="single" w:sz="2" w:space="0" w:color="auto"/>
              <w:right w:val="single" w:sz="2" w:space="0" w:color="auto"/>
            </w:tcBorders>
            <w:vAlign w:val="center"/>
            <w:hideMark/>
          </w:tcPr>
          <w:p w14:paraId="1F2B25A9" w14:textId="77777777" w:rsidR="004E3FDC" w:rsidRPr="0077700D" w:rsidRDefault="004E3FDC" w:rsidP="00450B7A">
            <w:pPr>
              <w:widowControl w:val="0"/>
              <w:spacing w:after="0" w:line="240" w:lineRule="auto"/>
              <w:jc w:val="center"/>
              <w:rPr>
                <w:rFonts w:ascii="Cambria" w:eastAsia="Times New Roman" w:hAnsi="Cambria"/>
                <w:lang w:val="hr-HR"/>
              </w:rPr>
            </w:pPr>
            <w:r w:rsidRPr="0077700D">
              <w:rPr>
                <w:rFonts w:ascii="Cambria" w:eastAsia="Times New Roman" w:hAnsi="Cambria"/>
                <w:lang w:val="hr-HR"/>
              </w:rPr>
              <w:t>30</w:t>
            </w:r>
          </w:p>
        </w:tc>
        <w:tc>
          <w:tcPr>
            <w:tcW w:w="504" w:type="pct"/>
            <w:tcBorders>
              <w:top w:val="single" w:sz="2" w:space="0" w:color="auto"/>
              <w:left w:val="single" w:sz="2" w:space="0" w:color="auto"/>
              <w:bottom w:val="single" w:sz="2" w:space="0" w:color="auto"/>
              <w:right w:val="single" w:sz="2" w:space="0" w:color="auto"/>
            </w:tcBorders>
            <w:vAlign w:val="center"/>
            <w:hideMark/>
          </w:tcPr>
          <w:p w14:paraId="555097F0" w14:textId="77777777" w:rsidR="004E3FDC" w:rsidRPr="0077700D" w:rsidRDefault="004E3FDC" w:rsidP="00450B7A">
            <w:pPr>
              <w:widowControl w:val="0"/>
              <w:spacing w:after="0" w:line="240" w:lineRule="auto"/>
              <w:jc w:val="center"/>
              <w:rPr>
                <w:rFonts w:ascii="Cambria" w:eastAsia="Times New Roman" w:hAnsi="Cambria"/>
                <w:bCs/>
                <w:lang w:val="hr-HR"/>
              </w:rPr>
            </w:pPr>
            <w:r w:rsidRPr="0077700D">
              <w:rPr>
                <w:rFonts w:ascii="Cambria" w:eastAsia="Times New Roman" w:hAnsi="Cambria"/>
                <w:bCs/>
                <w:lang w:val="hr-HR"/>
              </w:rPr>
              <w:t>6</w:t>
            </w:r>
          </w:p>
        </w:tc>
      </w:tr>
      <w:tr w:rsidR="004E3FDC" w:rsidRPr="0077700D" w14:paraId="5BADF0EE" w14:textId="77777777" w:rsidTr="00450B7A">
        <w:trPr>
          <w:cantSplit/>
          <w:jc w:val="center"/>
        </w:trPr>
        <w:tc>
          <w:tcPr>
            <w:tcW w:w="1524" w:type="pct"/>
            <w:tcBorders>
              <w:top w:val="single" w:sz="2" w:space="0" w:color="auto"/>
              <w:left w:val="single" w:sz="2" w:space="0" w:color="auto"/>
              <w:bottom w:val="single" w:sz="2" w:space="0" w:color="auto"/>
              <w:right w:val="single" w:sz="2" w:space="0" w:color="auto"/>
            </w:tcBorders>
            <w:vAlign w:val="center"/>
            <w:hideMark/>
          </w:tcPr>
          <w:p w14:paraId="629C572A" w14:textId="77777777" w:rsidR="004E3FDC" w:rsidRPr="0077700D" w:rsidRDefault="004E3FDC" w:rsidP="00450B7A">
            <w:pPr>
              <w:widowControl w:val="0"/>
              <w:spacing w:after="0" w:line="240" w:lineRule="auto"/>
              <w:rPr>
                <w:rFonts w:ascii="Cambria" w:eastAsia="Times New Roman" w:hAnsi="Cambria"/>
                <w:b/>
                <w:lang w:val="hr-HR"/>
              </w:rPr>
            </w:pPr>
            <w:r w:rsidRPr="0077700D">
              <w:rPr>
                <w:rFonts w:ascii="Cambria" w:eastAsia="Times New Roman" w:hAnsi="Cambria"/>
                <w:b/>
                <w:lang w:val="hr-HR"/>
              </w:rPr>
              <w:t>273596</w:t>
            </w:r>
          </w:p>
          <w:p w14:paraId="22C8E1BE" w14:textId="77777777" w:rsidR="004E3FDC" w:rsidRPr="0077700D" w:rsidRDefault="004E3FDC" w:rsidP="00450B7A">
            <w:pPr>
              <w:widowControl w:val="0"/>
              <w:spacing w:after="0" w:line="240" w:lineRule="auto"/>
              <w:rPr>
                <w:rFonts w:ascii="Cambria" w:eastAsia="Times New Roman" w:hAnsi="Cambria"/>
                <w:lang w:val="hr-HR"/>
              </w:rPr>
            </w:pPr>
            <w:r w:rsidRPr="0077700D">
              <w:rPr>
                <w:rFonts w:ascii="Cambria" w:eastAsia="Times New Roman" w:hAnsi="Cambria"/>
                <w:lang w:val="hr-HR"/>
              </w:rPr>
              <w:t>Edukacijska psihologija</w:t>
            </w:r>
          </w:p>
        </w:tc>
        <w:tc>
          <w:tcPr>
            <w:tcW w:w="1907" w:type="pct"/>
            <w:tcBorders>
              <w:top w:val="single" w:sz="2" w:space="0" w:color="auto"/>
              <w:left w:val="single" w:sz="2" w:space="0" w:color="auto"/>
              <w:bottom w:val="single" w:sz="2" w:space="0" w:color="auto"/>
              <w:right w:val="single" w:sz="2" w:space="0" w:color="auto"/>
            </w:tcBorders>
            <w:vAlign w:val="center"/>
            <w:hideMark/>
          </w:tcPr>
          <w:p w14:paraId="0F88F6B1" w14:textId="77777777" w:rsidR="004E3FDC" w:rsidRPr="0077700D" w:rsidRDefault="004E3FDC" w:rsidP="00450B7A">
            <w:pPr>
              <w:spacing w:before="20" w:after="20" w:line="240" w:lineRule="auto"/>
              <w:rPr>
                <w:rFonts w:ascii="Cambria" w:eastAsia="Times New Roman" w:hAnsi="Cambria"/>
                <w:lang w:val="hr-HR"/>
              </w:rPr>
            </w:pPr>
            <w:r w:rsidRPr="0077700D">
              <w:rPr>
                <w:rFonts w:ascii="Cambria" w:eastAsia="Times New Roman" w:hAnsi="Cambria"/>
                <w:lang w:val="hr-HR"/>
              </w:rPr>
              <w:t xml:space="preserve">doc. dr. sc. </w:t>
            </w:r>
            <w:proofErr w:type="spellStart"/>
            <w:r w:rsidRPr="0077700D">
              <w:rPr>
                <w:rFonts w:ascii="Cambria" w:eastAsia="Times New Roman" w:hAnsi="Cambria"/>
                <w:lang w:val="hr-HR"/>
              </w:rPr>
              <w:t>Marlena</w:t>
            </w:r>
            <w:proofErr w:type="spellEnd"/>
            <w:r w:rsidRPr="0077700D">
              <w:rPr>
                <w:rFonts w:ascii="Cambria" w:eastAsia="Times New Roman" w:hAnsi="Cambria"/>
                <w:lang w:val="hr-HR"/>
              </w:rPr>
              <w:t xml:space="preserve"> Plavšić</w:t>
            </w:r>
          </w:p>
          <w:p w14:paraId="146C8E6A" w14:textId="77777777" w:rsidR="004E3FDC" w:rsidRPr="0077700D" w:rsidRDefault="004E3FDC" w:rsidP="00450B7A">
            <w:pPr>
              <w:spacing w:before="20" w:after="20" w:line="240" w:lineRule="auto"/>
              <w:rPr>
                <w:rFonts w:ascii="Cambria" w:eastAsia="Times New Roman" w:hAnsi="Cambria"/>
                <w:lang w:val="hr-HR"/>
              </w:rPr>
            </w:pPr>
            <w:r w:rsidRPr="0077700D">
              <w:rPr>
                <w:rFonts w:ascii="Cambria" w:eastAsia="Times New Roman" w:hAnsi="Cambria"/>
                <w:lang w:val="hr-HR"/>
              </w:rPr>
              <w:t xml:space="preserve">Sanja </w:t>
            </w:r>
            <w:proofErr w:type="spellStart"/>
            <w:r w:rsidRPr="0077700D">
              <w:rPr>
                <w:rFonts w:ascii="Cambria" w:eastAsia="Times New Roman" w:hAnsi="Cambria"/>
                <w:lang w:val="hr-HR"/>
              </w:rPr>
              <w:t>Tatković</w:t>
            </w:r>
            <w:proofErr w:type="spellEnd"/>
            <w:r w:rsidRPr="0077700D">
              <w:rPr>
                <w:rFonts w:ascii="Cambria" w:eastAsia="Times New Roman" w:hAnsi="Cambria"/>
                <w:lang w:val="hr-HR"/>
              </w:rPr>
              <w:t>, asistentica</w:t>
            </w:r>
          </w:p>
        </w:tc>
        <w:tc>
          <w:tcPr>
            <w:tcW w:w="392" w:type="pct"/>
            <w:tcBorders>
              <w:top w:val="single" w:sz="2" w:space="0" w:color="auto"/>
              <w:left w:val="single" w:sz="2" w:space="0" w:color="auto"/>
              <w:bottom w:val="single" w:sz="2" w:space="0" w:color="auto"/>
              <w:right w:val="single" w:sz="2" w:space="0" w:color="auto"/>
            </w:tcBorders>
            <w:vAlign w:val="center"/>
            <w:hideMark/>
          </w:tcPr>
          <w:p w14:paraId="23A02F22" w14:textId="77777777" w:rsidR="004E3FDC" w:rsidRPr="0077700D" w:rsidRDefault="004E3FDC" w:rsidP="00450B7A">
            <w:pPr>
              <w:widowControl w:val="0"/>
              <w:spacing w:after="0" w:line="240" w:lineRule="auto"/>
              <w:jc w:val="center"/>
              <w:rPr>
                <w:rFonts w:ascii="Cambria" w:eastAsia="Times New Roman" w:hAnsi="Cambria"/>
                <w:lang w:val="hr-HR"/>
              </w:rPr>
            </w:pPr>
            <w:r w:rsidRPr="0077700D">
              <w:rPr>
                <w:rFonts w:ascii="Cambria" w:eastAsia="Times New Roman" w:hAnsi="Cambria"/>
                <w:lang w:val="hr-HR"/>
              </w:rPr>
              <w:t>30</w:t>
            </w:r>
          </w:p>
        </w:tc>
        <w:tc>
          <w:tcPr>
            <w:tcW w:w="352" w:type="pct"/>
            <w:tcBorders>
              <w:top w:val="single" w:sz="2" w:space="0" w:color="auto"/>
              <w:left w:val="single" w:sz="2" w:space="0" w:color="auto"/>
              <w:bottom w:val="single" w:sz="2" w:space="0" w:color="auto"/>
              <w:right w:val="single" w:sz="2" w:space="0" w:color="auto"/>
            </w:tcBorders>
            <w:vAlign w:val="center"/>
          </w:tcPr>
          <w:p w14:paraId="533CEEC9" w14:textId="77777777" w:rsidR="004E3FDC" w:rsidRPr="0077700D" w:rsidRDefault="004E3FDC" w:rsidP="00450B7A">
            <w:pPr>
              <w:widowControl w:val="0"/>
              <w:spacing w:after="0" w:line="240" w:lineRule="auto"/>
              <w:jc w:val="center"/>
              <w:rPr>
                <w:rFonts w:ascii="Cambria" w:eastAsia="Times New Roman" w:hAnsi="Cambria"/>
                <w:lang w:val="hr-HR"/>
              </w:rPr>
            </w:pPr>
            <w:r w:rsidRPr="0077700D">
              <w:rPr>
                <w:rFonts w:ascii="Cambria" w:eastAsia="Times New Roman" w:hAnsi="Cambria"/>
                <w:lang w:val="hr-HR"/>
              </w:rPr>
              <w:t>15</w:t>
            </w:r>
          </w:p>
        </w:tc>
        <w:tc>
          <w:tcPr>
            <w:tcW w:w="321" w:type="pct"/>
            <w:gridSpan w:val="2"/>
            <w:tcBorders>
              <w:top w:val="single" w:sz="2" w:space="0" w:color="auto"/>
              <w:left w:val="single" w:sz="2" w:space="0" w:color="auto"/>
              <w:bottom w:val="single" w:sz="2" w:space="0" w:color="auto"/>
              <w:right w:val="single" w:sz="2" w:space="0" w:color="auto"/>
            </w:tcBorders>
            <w:vAlign w:val="center"/>
            <w:hideMark/>
          </w:tcPr>
          <w:p w14:paraId="63A18124" w14:textId="77777777" w:rsidR="004E3FDC" w:rsidRPr="0077700D" w:rsidRDefault="004E3FDC" w:rsidP="00450B7A">
            <w:pPr>
              <w:widowControl w:val="0"/>
              <w:spacing w:after="0" w:line="240" w:lineRule="auto"/>
              <w:jc w:val="center"/>
              <w:rPr>
                <w:rFonts w:ascii="Cambria" w:eastAsia="Times New Roman" w:hAnsi="Cambria"/>
                <w:lang w:val="hr-HR"/>
              </w:rPr>
            </w:pPr>
            <w:r w:rsidRPr="0077700D">
              <w:rPr>
                <w:rFonts w:ascii="Cambria" w:eastAsia="Times New Roman" w:hAnsi="Cambria"/>
                <w:lang w:val="hr-HR"/>
              </w:rPr>
              <w:t>15</w:t>
            </w:r>
          </w:p>
        </w:tc>
        <w:tc>
          <w:tcPr>
            <w:tcW w:w="504" w:type="pct"/>
            <w:tcBorders>
              <w:top w:val="single" w:sz="2" w:space="0" w:color="auto"/>
              <w:left w:val="single" w:sz="2" w:space="0" w:color="auto"/>
              <w:bottom w:val="single" w:sz="2" w:space="0" w:color="auto"/>
              <w:right w:val="single" w:sz="2" w:space="0" w:color="auto"/>
            </w:tcBorders>
            <w:vAlign w:val="center"/>
            <w:hideMark/>
          </w:tcPr>
          <w:p w14:paraId="45E4200A" w14:textId="77777777" w:rsidR="004E3FDC" w:rsidRPr="0077700D" w:rsidRDefault="004E3FDC" w:rsidP="00450B7A">
            <w:pPr>
              <w:widowControl w:val="0"/>
              <w:spacing w:after="0" w:line="240" w:lineRule="auto"/>
              <w:jc w:val="center"/>
              <w:rPr>
                <w:rFonts w:ascii="Cambria" w:eastAsia="Times New Roman" w:hAnsi="Cambria"/>
                <w:bCs/>
                <w:lang w:val="hr-HR"/>
              </w:rPr>
            </w:pPr>
            <w:r w:rsidRPr="0077700D">
              <w:rPr>
                <w:rFonts w:ascii="Cambria" w:eastAsia="Times New Roman" w:hAnsi="Cambria"/>
                <w:bCs/>
                <w:lang w:val="hr-HR"/>
              </w:rPr>
              <w:t>6</w:t>
            </w:r>
          </w:p>
        </w:tc>
      </w:tr>
      <w:tr w:rsidR="004E3FDC" w:rsidRPr="0077700D" w14:paraId="69A56C91" w14:textId="77777777" w:rsidTr="00450B7A">
        <w:trPr>
          <w:cantSplit/>
          <w:jc w:val="center"/>
        </w:trPr>
        <w:tc>
          <w:tcPr>
            <w:tcW w:w="1524" w:type="pct"/>
            <w:tcBorders>
              <w:top w:val="single" w:sz="2" w:space="0" w:color="auto"/>
              <w:left w:val="single" w:sz="2" w:space="0" w:color="auto"/>
              <w:bottom w:val="single" w:sz="2" w:space="0" w:color="auto"/>
              <w:right w:val="single" w:sz="2" w:space="0" w:color="auto"/>
            </w:tcBorders>
            <w:vAlign w:val="center"/>
          </w:tcPr>
          <w:p w14:paraId="3B00B75F" w14:textId="77777777" w:rsidR="004E3FDC" w:rsidRPr="0077700D" w:rsidRDefault="004E3FDC" w:rsidP="00450B7A">
            <w:pPr>
              <w:widowControl w:val="0"/>
              <w:spacing w:after="0" w:line="240" w:lineRule="auto"/>
              <w:rPr>
                <w:rFonts w:ascii="Cambria" w:eastAsia="Times New Roman" w:hAnsi="Cambria"/>
                <w:b/>
                <w:lang w:val="hr-HR"/>
              </w:rPr>
            </w:pPr>
            <w:r w:rsidRPr="0077700D">
              <w:rPr>
                <w:rFonts w:ascii="Cambria" w:eastAsia="Times New Roman" w:hAnsi="Cambria"/>
                <w:b/>
                <w:lang w:val="hr-HR"/>
              </w:rPr>
              <w:t xml:space="preserve">78355 </w:t>
            </w:r>
          </w:p>
          <w:p w14:paraId="25879A58" w14:textId="77777777" w:rsidR="004E3FDC" w:rsidRPr="0077700D" w:rsidRDefault="004E3FDC" w:rsidP="00450B7A">
            <w:pPr>
              <w:widowControl w:val="0"/>
              <w:spacing w:after="0" w:line="240" w:lineRule="auto"/>
              <w:rPr>
                <w:rFonts w:ascii="Cambria" w:eastAsia="Times New Roman" w:hAnsi="Cambria"/>
                <w:lang w:val="hr-HR"/>
              </w:rPr>
            </w:pPr>
            <w:r w:rsidRPr="0077700D">
              <w:rPr>
                <w:rFonts w:ascii="Cambria" w:eastAsia="Times New Roman" w:hAnsi="Cambria"/>
                <w:lang w:val="hr-HR"/>
              </w:rPr>
              <w:t>Dječja književnost</w:t>
            </w:r>
          </w:p>
        </w:tc>
        <w:tc>
          <w:tcPr>
            <w:tcW w:w="1907" w:type="pct"/>
            <w:tcBorders>
              <w:top w:val="single" w:sz="2" w:space="0" w:color="auto"/>
              <w:left w:val="single" w:sz="2" w:space="0" w:color="auto"/>
              <w:bottom w:val="single" w:sz="2" w:space="0" w:color="auto"/>
              <w:right w:val="single" w:sz="2" w:space="0" w:color="auto"/>
            </w:tcBorders>
            <w:vAlign w:val="center"/>
          </w:tcPr>
          <w:p w14:paraId="5E38EBD9" w14:textId="77777777" w:rsidR="004E3FDC" w:rsidRPr="0077700D" w:rsidRDefault="004E3FDC" w:rsidP="00450B7A">
            <w:pPr>
              <w:spacing w:before="20" w:after="20" w:line="240" w:lineRule="auto"/>
              <w:rPr>
                <w:rFonts w:ascii="Cambria" w:eastAsia="Times New Roman" w:hAnsi="Cambria"/>
                <w:lang w:val="hr-HR"/>
              </w:rPr>
            </w:pPr>
            <w:r w:rsidRPr="0077700D">
              <w:rPr>
                <w:rFonts w:ascii="Cambria" w:eastAsia="Times New Roman" w:hAnsi="Cambria"/>
                <w:lang w:val="hr-HR"/>
              </w:rPr>
              <w:t>prof. dr. sc. Vjekoslava Jurdana</w:t>
            </w:r>
          </w:p>
        </w:tc>
        <w:tc>
          <w:tcPr>
            <w:tcW w:w="392" w:type="pct"/>
            <w:tcBorders>
              <w:top w:val="single" w:sz="2" w:space="0" w:color="auto"/>
              <w:left w:val="single" w:sz="2" w:space="0" w:color="auto"/>
              <w:bottom w:val="single" w:sz="2" w:space="0" w:color="auto"/>
              <w:right w:val="single" w:sz="2" w:space="0" w:color="auto"/>
            </w:tcBorders>
            <w:vAlign w:val="center"/>
          </w:tcPr>
          <w:p w14:paraId="48BCC16B" w14:textId="77777777" w:rsidR="004E3FDC" w:rsidRPr="0077700D" w:rsidRDefault="004E3FDC" w:rsidP="00450B7A">
            <w:pPr>
              <w:widowControl w:val="0"/>
              <w:spacing w:after="0" w:line="240" w:lineRule="auto"/>
              <w:jc w:val="center"/>
              <w:rPr>
                <w:rFonts w:ascii="Cambria" w:eastAsia="Times New Roman" w:hAnsi="Cambria"/>
                <w:lang w:val="hr-HR"/>
              </w:rPr>
            </w:pPr>
            <w:r w:rsidRPr="0077700D">
              <w:rPr>
                <w:rFonts w:ascii="Cambria" w:eastAsia="Times New Roman" w:hAnsi="Cambria"/>
                <w:lang w:val="hr-HR"/>
              </w:rPr>
              <w:t>30</w:t>
            </w:r>
          </w:p>
        </w:tc>
        <w:tc>
          <w:tcPr>
            <w:tcW w:w="352" w:type="pct"/>
            <w:tcBorders>
              <w:top w:val="single" w:sz="2" w:space="0" w:color="auto"/>
              <w:left w:val="single" w:sz="2" w:space="0" w:color="auto"/>
              <w:bottom w:val="single" w:sz="2" w:space="0" w:color="auto"/>
              <w:right w:val="single" w:sz="2" w:space="0" w:color="auto"/>
            </w:tcBorders>
            <w:vAlign w:val="center"/>
          </w:tcPr>
          <w:p w14:paraId="0C54FAB2" w14:textId="77777777" w:rsidR="004E3FDC" w:rsidRPr="0077700D" w:rsidRDefault="004E3FDC" w:rsidP="00450B7A">
            <w:pPr>
              <w:widowControl w:val="0"/>
              <w:spacing w:after="0" w:line="240" w:lineRule="auto"/>
              <w:jc w:val="center"/>
              <w:rPr>
                <w:rFonts w:ascii="Cambria" w:eastAsia="Times New Roman" w:hAnsi="Cambria"/>
                <w:lang w:val="hr-HR"/>
              </w:rPr>
            </w:pPr>
            <w:r w:rsidRPr="0077700D">
              <w:rPr>
                <w:rFonts w:ascii="Cambria" w:eastAsia="Times New Roman" w:hAnsi="Cambria"/>
                <w:lang w:val="hr-HR"/>
              </w:rPr>
              <w:t>30</w:t>
            </w:r>
          </w:p>
        </w:tc>
        <w:tc>
          <w:tcPr>
            <w:tcW w:w="321" w:type="pct"/>
            <w:gridSpan w:val="2"/>
            <w:tcBorders>
              <w:top w:val="single" w:sz="2" w:space="0" w:color="auto"/>
              <w:left w:val="single" w:sz="2" w:space="0" w:color="auto"/>
              <w:bottom w:val="single" w:sz="2" w:space="0" w:color="auto"/>
              <w:right w:val="single" w:sz="2" w:space="0" w:color="auto"/>
            </w:tcBorders>
            <w:vAlign w:val="center"/>
          </w:tcPr>
          <w:p w14:paraId="33222374" w14:textId="77777777" w:rsidR="004E3FDC" w:rsidRPr="0077700D" w:rsidRDefault="004E3FDC" w:rsidP="00450B7A">
            <w:pPr>
              <w:widowControl w:val="0"/>
              <w:spacing w:after="0" w:line="240" w:lineRule="auto"/>
              <w:jc w:val="center"/>
              <w:rPr>
                <w:rFonts w:ascii="Cambria" w:eastAsia="Times New Roman" w:hAnsi="Cambria"/>
                <w:lang w:val="hr-HR"/>
              </w:rPr>
            </w:pPr>
            <w:r w:rsidRPr="0077700D">
              <w:rPr>
                <w:rFonts w:ascii="Cambria" w:eastAsia="Times New Roman" w:hAnsi="Cambria"/>
                <w:lang w:val="hr-HR"/>
              </w:rPr>
              <w:t>0</w:t>
            </w:r>
          </w:p>
        </w:tc>
        <w:tc>
          <w:tcPr>
            <w:tcW w:w="504" w:type="pct"/>
            <w:tcBorders>
              <w:top w:val="single" w:sz="2" w:space="0" w:color="auto"/>
              <w:left w:val="single" w:sz="2" w:space="0" w:color="auto"/>
              <w:bottom w:val="single" w:sz="2" w:space="0" w:color="auto"/>
              <w:right w:val="single" w:sz="2" w:space="0" w:color="auto"/>
            </w:tcBorders>
            <w:vAlign w:val="center"/>
          </w:tcPr>
          <w:p w14:paraId="3FB6FA19" w14:textId="77777777" w:rsidR="004E3FDC" w:rsidRPr="0077700D" w:rsidRDefault="004E3FDC" w:rsidP="00450B7A">
            <w:pPr>
              <w:widowControl w:val="0"/>
              <w:spacing w:after="0" w:line="240" w:lineRule="auto"/>
              <w:jc w:val="center"/>
              <w:rPr>
                <w:rFonts w:ascii="Cambria" w:eastAsia="Times New Roman" w:hAnsi="Cambria"/>
                <w:bCs/>
                <w:lang w:val="hr-HR"/>
              </w:rPr>
            </w:pPr>
            <w:r w:rsidRPr="0077700D">
              <w:rPr>
                <w:rFonts w:ascii="Cambria" w:eastAsia="Times New Roman" w:hAnsi="Cambria"/>
                <w:bCs/>
                <w:lang w:val="hr-HR"/>
              </w:rPr>
              <w:t>5</w:t>
            </w:r>
          </w:p>
        </w:tc>
      </w:tr>
      <w:tr w:rsidR="004E3FDC" w:rsidRPr="0077700D" w14:paraId="53ADA642" w14:textId="77777777" w:rsidTr="00450B7A">
        <w:trPr>
          <w:cantSplit/>
          <w:jc w:val="center"/>
        </w:trPr>
        <w:tc>
          <w:tcPr>
            <w:tcW w:w="1524" w:type="pct"/>
            <w:tcBorders>
              <w:top w:val="single" w:sz="2" w:space="0" w:color="auto"/>
              <w:left w:val="single" w:sz="2" w:space="0" w:color="auto"/>
              <w:bottom w:val="single" w:sz="2" w:space="0" w:color="auto"/>
              <w:right w:val="single" w:sz="2" w:space="0" w:color="auto"/>
            </w:tcBorders>
            <w:vAlign w:val="center"/>
            <w:hideMark/>
          </w:tcPr>
          <w:p w14:paraId="0A42EE91" w14:textId="77777777" w:rsidR="004E3FDC" w:rsidRPr="0077700D" w:rsidRDefault="004E3FDC" w:rsidP="00450B7A">
            <w:pPr>
              <w:widowControl w:val="0"/>
              <w:spacing w:after="0" w:line="240" w:lineRule="auto"/>
              <w:rPr>
                <w:rFonts w:ascii="Cambria" w:eastAsia="Times New Roman" w:hAnsi="Cambria"/>
                <w:b/>
                <w:bCs/>
                <w:lang w:val="hr-HR"/>
              </w:rPr>
            </w:pPr>
            <w:r w:rsidRPr="0077700D">
              <w:rPr>
                <w:rFonts w:ascii="Cambria" w:eastAsia="Times New Roman" w:hAnsi="Cambria"/>
                <w:b/>
                <w:bCs/>
                <w:lang w:val="hr-HR"/>
              </w:rPr>
              <w:t>273598</w:t>
            </w:r>
          </w:p>
          <w:p w14:paraId="44C6D5C4" w14:textId="77777777" w:rsidR="004E3FDC" w:rsidRPr="0077700D" w:rsidRDefault="004E3FDC" w:rsidP="00450B7A">
            <w:pPr>
              <w:widowControl w:val="0"/>
              <w:spacing w:after="0" w:line="240" w:lineRule="auto"/>
              <w:rPr>
                <w:rFonts w:ascii="Cambria" w:eastAsia="Times New Roman" w:hAnsi="Cambria"/>
                <w:lang w:val="hr-HR"/>
              </w:rPr>
            </w:pPr>
            <w:r w:rsidRPr="0077700D">
              <w:rPr>
                <w:rFonts w:ascii="Cambria" w:eastAsia="Times New Roman" w:hAnsi="Cambria"/>
                <w:lang w:val="hr-HR"/>
              </w:rPr>
              <w:t>Osnove matematike</w:t>
            </w:r>
          </w:p>
        </w:tc>
        <w:tc>
          <w:tcPr>
            <w:tcW w:w="1907" w:type="pct"/>
            <w:tcBorders>
              <w:top w:val="single" w:sz="2" w:space="0" w:color="auto"/>
              <w:left w:val="single" w:sz="2" w:space="0" w:color="auto"/>
              <w:bottom w:val="single" w:sz="2" w:space="0" w:color="auto"/>
              <w:right w:val="single" w:sz="2" w:space="0" w:color="auto"/>
            </w:tcBorders>
            <w:vAlign w:val="center"/>
            <w:hideMark/>
          </w:tcPr>
          <w:p w14:paraId="1B0396AC" w14:textId="77777777" w:rsidR="004E3FDC" w:rsidRPr="0077700D" w:rsidRDefault="004E3FDC" w:rsidP="00450B7A">
            <w:pPr>
              <w:spacing w:after="0" w:line="240" w:lineRule="auto"/>
              <w:rPr>
                <w:rFonts w:ascii="Cambria" w:eastAsia="Times New Roman" w:hAnsi="Cambria"/>
                <w:lang w:val="hr-HR"/>
              </w:rPr>
            </w:pPr>
            <w:r w:rsidRPr="0077700D">
              <w:rPr>
                <w:rFonts w:ascii="Cambria" w:eastAsia="Times New Roman" w:hAnsi="Cambria"/>
                <w:lang w:val="hr-HR"/>
              </w:rPr>
              <w:t>prof. dr. sc. Neven Grbac</w:t>
            </w:r>
          </w:p>
          <w:p w14:paraId="73B80F7C" w14:textId="77777777" w:rsidR="004E3FDC" w:rsidRPr="0077700D" w:rsidRDefault="004E3FDC" w:rsidP="00450B7A">
            <w:pPr>
              <w:widowControl w:val="0"/>
              <w:spacing w:after="0" w:line="240" w:lineRule="auto"/>
              <w:rPr>
                <w:rFonts w:ascii="Cambria" w:eastAsia="Times New Roman" w:hAnsi="Cambria"/>
                <w:lang w:val="hr-HR"/>
              </w:rPr>
            </w:pPr>
            <w:r w:rsidRPr="0077700D">
              <w:rPr>
                <w:rFonts w:ascii="Cambria" w:eastAsia="Times New Roman" w:hAnsi="Cambria"/>
                <w:lang w:val="hr-HR"/>
              </w:rPr>
              <w:t>dr. sc. Branka Antunović, viša asistentica</w:t>
            </w:r>
          </w:p>
        </w:tc>
        <w:tc>
          <w:tcPr>
            <w:tcW w:w="392" w:type="pct"/>
            <w:tcBorders>
              <w:top w:val="single" w:sz="2" w:space="0" w:color="auto"/>
              <w:left w:val="single" w:sz="2" w:space="0" w:color="auto"/>
              <w:bottom w:val="single" w:sz="2" w:space="0" w:color="auto"/>
              <w:right w:val="single" w:sz="2" w:space="0" w:color="auto"/>
            </w:tcBorders>
            <w:vAlign w:val="center"/>
            <w:hideMark/>
          </w:tcPr>
          <w:p w14:paraId="7737016D" w14:textId="77777777" w:rsidR="004E3FDC" w:rsidRPr="0077700D" w:rsidRDefault="004E3FDC" w:rsidP="00450B7A">
            <w:pPr>
              <w:widowControl w:val="0"/>
              <w:spacing w:after="0" w:line="240" w:lineRule="auto"/>
              <w:jc w:val="center"/>
              <w:rPr>
                <w:rFonts w:ascii="Cambria" w:eastAsia="Times New Roman" w:hAnsi="Cambria"/>
                <w:lang w:val="hr-HR"/>
              </w:rPr>
            </w:pPr>
            <w:r w:rsidRPr="0077700D">
              <w:rPr>
                <w:rFonts w:ascii="Cambria" w:eastAsia="Times New Roman" w:hAnsi="Cambria"/>
                <w:lang w:val="hr-HR"/>
              </w:rPr>
              <w:t>30</w:t>
            </w:r>
          </w:p>
        </w:tc>
        <w:tc>
          <w:tcPr>
            <w:tcW w:w="352" w:type="pct"/>
            <w:tcBorders>
              <w:top w:val="single" w:sz="2" w:space="0" w:color="auto"/>
              <w:left w:val="single" w:sz="2" w:space="0" w:color="auto"/>
              <w:bottom w:val="single" w:sz="2" w:space="0" w:color="auto"/>
              <w:right w:val="single" w:sz="2" w:space="0" w:color="auto"/>
            </w:tcBorders>
            <w:vAlign w:val="center"/>
          </w:tcPr>
          <w:p w14:paraId="143EBCB2" w14:textId="77777777" w:rsidR="004E3FDC" w:rsidRPr="0077700D" w:rsidRDefault="004E3FDC" w:rsidP="00450B7A">
            <w:pPr>
              <w:widowControl w:val="0"/>
              <w:spacing w:after="0" w:line="240" w:lineRule="auto"/>
              <w:jc w:val="center"/>
              <w:rPr>
                <w:rFonts w:ascii="Cambria" w:eastAsia="Times New Roman" w:hAnsi="Cambria"/>
                <w:lang w:val="hr-HR"/>
              </w:rPr>
            </w:pPr>
            <w:r w:rsidRPr="0077700D">
              <w:rPr>
                <w:rFonts w:ascii="Cambria" w:eastAsia="Times New Roman" w:hAnsi="Cambria"/>
                <w:lang w:val="hr-HR"/>
              </w:rPr>
              <w:t>0</w:t>
            </w:r>
          </w:p>
        </w:tc>
        <w:tc>
          <w:tcPr>
            <w:tcW w:w="321" w:type="pct"/>
            <w:gridSpan w:val="2"/>
            <w:tcBorders>
              <w:top w:val="single" w:sz="2" w:space="0" w:color="auto"/>
              <w:left w:val="single" w:sz="2" w:space="0" w:color="auto"/>
              <w:bottom w:val="single" w:sz="2" w:space="0" w:color="auto"/>
              <w:right w:val="single" w:sz="2" w:space="0" w:color="auto"/>
            </w:tcBorders>
            <w:vAlign w:val="center"/>
            <w:hideMark/>
          </w:tcPr>
          <w:p w14:paraId="45D9A326" w14:textId="77777777" w:rsidR="004E3FDC" w:rsidRPr="0077700D" w:rsidRDefault="004E3FDC" w:rsidP="00450B7A">
            <w:pPr>
              <w:widowControl w:val="0"/>
              <w:spacing w:after="0" w:line="240" w:lineRule="auto"/>
              <w:jc w:val="center"/>
              <w:rPr>
                <w:rFonts w:ascii="Cambria" w:eastAsia="Times New Roman" w:hAnsi="Cambria"/>
                <w:lang w:val="hr-HR"/>
              </w:rPr>
            </w:pPr>
            <w:r w:rsidRPr="0077700D">
              <w:rPr>
                <w:rFonts w:ascii="Cambria" w:eastAsia="Times New Roman" w:hAnsi="Cambria"/>
                <w:lang w:val="hr-HR"/>
              </w:rPr>
              <w:t>30</w:t>
            </w:r>
          </w:p>
        </w:tc>
        <w:tc>
          <w:tcPr>
            <w:tcW w:w="504" w:type="pct"/>
            <w:tcBorders>
              <w:top w:val="single" w:sz="2" w:space="0" w:color="auto"/>
              <w:left w:val="single" w:sz="2" w:space="0" w:color="auto"/>
              <w:bottom w:val="single" w:sz="2" w:space="0" w:color="auto"/>
              <w:right w:val="single" w:sz="2" w:space="0" w:color="auto"/>
            </w:tcBorders>
            <w:vAlign w:val="center"/>
            <w:hideMark/>
          </w:tcPr>
          <w:p w14:paraId="4954C245" w14:textId="77777777" w:rsidR="004E3FDC" w:rsidRPr="0077700D" w:rsidRDefault="004E3FDC" w:rsidP="00450B7A">
            <w:pPr>
              <w:widowControl w:val="0"/>
              <w:spacing w:after="0" w:line="240" w:lineRule="auto"/>
              <w:jc w:val="center"/>
              <w:rPr>
                <w:rFonts w:ascii="Cambria" w:eastAsia="Times New Roman" w:hAnsi="Cambria"/>
                <w:bCs/>
                <w:lang w:val="hr-HR"/>
              </w:rPr>
            </w:pPr>
            <w:r w:rsidRPr="0077700D">
              <w:rPr>
                <w:rFonts w:ascii="Cambria" w:eastAsia="Times New Roman" w:hAnsi="Cambria"/>
                <w:bCs/>
                <w:lang w:val="hr-HR"/>
              </w:rPr>
              <w:t>5</w:t>
            </w:r>
          </w:p>
        </w:tc>
      </w:tr>
      <w:tr w:rsidR="004E3FDC" w:rsidRPr="0077700D" w14:paraId="329F58DE" w14:textId="77777777" w:rsidTr="00450B7A">
        <w:trPr>
          <w:cantSplit/>
          <w:jc w:val="center"/>
        </w:trPr>
        <w:tc>
          <w:tcPr>
            <w:tcW w:w="1524" w:type="pct"/>
            <w:tcBorders>
              <w:top w:val="single" w:sz="2" w:space="0" w:color="auto"/>
              <w:left w:val="single" w:sz="2" w:space="0" w:color="auto"/>
              <w:bottom w:val="single" w:sz="2" w:space="0" w:color="auto"/>
              <w:right w:val="single" w:sz="2" w:space="0" w:color="auto"/>
            </w:tcBorders>
            <w:vAlign w:val="center"/>
          </w:tcPr>
          <w:p w14:paraId="47D01FF9" w14:textId="77777777" w:rsidR="004E3FDC" w:rsidRPr="0077700D" w:rsidRDefault="004E3FDC" w:rsidP="00450B7A">
            <w:pPr>
              <w:widowControl w:val="0"/>
              <w:spacing w:after="0" w:line="240" w:lineRule="auto"/>
              <w:rPr>
                <w:rFonts w:ascii="Cambria" w:eastAsia="Times New Roman" w:hAnsi="Cambria"/>
                <w:b/>
                <w:bCs/>
                <w:lang w:val="hr-HR"/>
              </w:rPr>
            </w:pPr>
            <w:r w:rsidRPr="0077700D">
              <w:rPr>
                <w:rFonts w:ascii="Cambria" w:eastAsia="Times New Roman" w:hAnsi="Cambria"/>
                <w:b/>
                <w:bCs/>
                <w:lang w:val="hr-HR"/>
              </w:rPr>
              <w:t>63578</w:t>
            </w:r>
          </w:p>
          <w:p w14:paraId="16675FD0" w14:textId="77777777" w:rsidR="004E3FDC" w:rsidRPr="0077700D" w:rsidRDefault="004E3FDC" w:rsidP="00450B7A">
            <w:pPr>
              <w:widowControl w:val="0"/>
              <w:spacing w:after="0" w:line="240" w:lineRule="auto"/>
              <w:rPr>
                <w:rFonts w:ascii="Cambria" w:eastAsia="Times New Roman" w:hAnsi="Cambria"/>
                <w:lang w:val="hr-HR"/>
              </w:rPr>
            </w:pPr>
            <w:r w:rsidRPr="0077700D">
              <w:rPr>
                <w:rFonts w:ascii="Cambria" w:eastAsia="Times New Roman" w:hAnsi="Cambria"/>
                <w:lang w:val="hr-HR"/>
              </w:rPr>
              <w:t>Geografija</w:t>
            </w:r>
          </w:p>
        </w:tc>
        <w:tc>
          <w:tcPr>
            <w:tcW w:w="1907" w:type="pct"/>
            <w:tcBorders>
              <w:top w:val="single" w:sz="2" w:space="0" w:color="auto"/>
              <w:left w:val="single" w:sz="2" w:space="0" w:color="auto"/>
              <w:bottom w:val="single" w:sz="2" w:space="0" w:color="auto"/>
              <w:right w:val="single" w:sz="2" w:space="0" w:color="auto"/>
            </w:tcBorders>
            <w:vAlign w:val="center"/>
          </w:tcPr>
          <w:p w14:paraId="16D36590" w14:textId="77777777" w:rsidR="004E3FDC" w:rsidRPr="0077700D" w:rsidRDefault="004E3FDC" w:rsidP="00450B7A">
            <w:pPr>
              <w:widowControl w:val="0"/>
              <w:spacing w:after="0" w:line="240" w:lineRule="auto"/>
              <w:rPr>
                <w:rFonts w:ascii="Cambria" w:eastAsia="Times New Roman" w:hAnsi="Cambria"/>
                <w:lang w:val="hr-HR"/>
              </w:rPr>
            </w:pPr>
            <w:r w:rsidRPr="0077700D">
              <w:rPr>
                <w:rFonts w:ascii="Cambria" w:eastAsia="Times New Roman" w:hAnsi="Cambria"/>
                <w:lang w:val="hr-HR"/>
              </w:rPr>
              <w:t>izv. prof. dr. sc. Nikola Vojnović</w:t>
            </w:r>
          </w:p>
        </w:tc>
        <w:tc>
          <w:tcPr>
            <w:tcW w:w="392" w:type="pct"/>
            <w:tcBorders>
              <w:top w:val="single" w:sz="2" w:space="0" w:color="auto"/>
              <w:left w:val="single" w:sz="2" w:space="0" w:color="auto"/>
              <w:bottom w:val="single" w:sz="2" w:space="0" w:color="auto"/>
              <w:right w:val="single" w:sz="2" w:space="0" w:color="auto"/>
            </w:tcBorders>
            <w:vAlign w:val="center"/>
          </w:tcPr>
          <w:p w14:paraId="46EC053A" w14:textId="77777777" w:rsidR="004E3FDC" w:rsidRPr="0077700D" w:rsidRDefault="004E3FDC" w:rsidP="00450B7A">
            <w:pPr>
              <w:widowControl w:val="0"/>
              <w:spacing w:after="0" w:line="240" w:lineRule="auto"/>
              <w:jc w:val="center"/>
              <w:rPr>
                <w:rFonts w:ascii="Cambria" w:eastAsia="Times New Roman" w:hAnsi="Cambria"/>
                <w:lang w:val="hr-HR"/>
              </w:rPr>
            </w:pPr>
            <w:r w:rsidRPr="0077700D">
              <w:rPr>
                <w:rFonts w:ascii="Cambria" w:eastAsia="Times New Roman" w:hAnsi="Cambria"/>
                <w:lang w:val="hr-HR"/>
              </w:rPr>
              <w:t>30</w:t>
            </w:r>
          </w:p>
        </w:tc>
        <w:tc>
          <w:tcPr>
            <w:tcW w:w="352" w:type="pct"/>
            <w:tcBorders>
              <w:top w:val="single" w:sz="2" w:space="0" w:color="auto"/>
              <w:left w:val="single" w:sz="2" w:space="0" w:color="auto"/>
              <w:bottom w:val="single" w:sz="2" w:space="0" w:color="auto"/>
              <w:right w:val="single" w:sz="2" w:space="0" w:color="auto"/>
            </w:tcBorders>
            <w:vAlign w:val="center"/>
          </w:tcPr>
          <w:p w14:paraId="67915996" w14:textId="77777777" w:rsidR="004E3FDC" w:rsidRPr="0077700D" w:rsidRDefault="004E3FDC" w:rsidP="00450B7A">
            <w:pPr>
              <w:widowControl w:val="0"/>
              <w:spacing w:after="0" w:line="240" w:lineRule="auto"/>
              <w:jc w:val="center"/>
              <w:rPr>
                <w:rFonts w:ascii="Cambria" w:eastAsia="Times New Roman" w:hAnsi="Cambria"/>
                <w:lang w:val="hr-HR"/>
              </w:rPr>
            </w:pPr>
            <w:r w:rsidRPr="0077700D">
              <w:rPr>
                <w:rFonts w:ascii="Cambria" w:eastAsia="Times New Roman" w:hAnsi="Cambria"/>
                <w:lang w:val="hr-HR"/>
              </w:rPr>
              <w:t>15</w:t>
            </w:r>
          </w:p>
        </w:tc>
        <w:tc>
          <w:tcPr>
            <w:tcW w:w="321" w:type="pct"/>
            <w:gridSpan w:val="2"/>
            <w:tcBorders>
              <w:top w:val="single" w:sz="2" w:space="0" w:color="auto"/>
              <w:left w:val="single" w:sz="2" w:space="0" w:color="auto"/>
              <w:bottom w:val="single" w:sz="2" w:space="0" w:color="auto"/>
              <w:right w:val="single" w:sz="2" w:space="0" w:color="auto"/>
            </w:tcBorders>
            <w:vAlign w:val="center"/>
          </w:tcPr>
          <w:p w14:paraId="4E26AF53" w14:textId="77777777" w:rsidR="004E3FDC" w:rsidRPr="0077700D" w:rsidRDefault="004E3FDC" w:rsidP="00450B7A">
            <w:pPr>
              <w:widowControl w:val="0"/>
              <w:spacing w:after="0" w:line="240" w:lineRule="auto"/>
              <w:jc w:val="center"/>
              <w:rPr>
                <w:rFonts w:ascii="Cambria" w:eastAsia="Times New Roman" w:hAnsi="Cambria"/>
                <w:lang w:val="hr-HR"/>
              </w:rPr>
            </w:pPr>
            <w:r w:rsidRPr="0077700D">
              <w:rPr>
                <w:rFonts w:ascii="Cambria" w:eastAsia="Times New Roman" w:hAnsi="Cambria"/>
                <w:lang w:val="hr-HR"/>
              </w:rPr>
              <w:t>0</w:t>
            </w:r>
          </w:p>
        </w:tc>
        <w:tc>
          <w:tcPr>
            <w:tcW w:w="504" w:type="pct"/>
            <w:tcBorders>
              <w:top w:val="single" w:sz="2" w:space="0" w:color="auto"/>
              <w:left w:val="single" w:sz="2" w:space="0" w:color="auto"/>
              <w:bottom w:val="single" w:sz="2" w:space="0" w:color="auto"/>
              <w:right w:val="single" w:sz="2" w:space="0" w:color="auto"/>
            </w:tcBorders>
            <w:vAlign w:val="center"/>
          </w:tcPr>
          <w:p w14:paraId="3D20E935" w14:textId="77777777" w:rsidR="004E3FDC" w:rsidRPr="0077700D" w:rsidRDefault="004E3FDC" w:rsidP="00450B7A">
            <w:pPr>
              <w:widowControl w:val="0"/>
              <w:spacing w:after="0" w:line="240" w:lineRule="auto"/>
              <w:jc w:val="center"/>
              <w:rPr>
                <w:rFonts w:ascii="Cambria" w:eastAsia="Times New Roman" w:hAnsi="Cambria"/>
                <w:bCs/>
                <w:lang w:val="hr-HR"/>
              </w:rPr>
            </w:pPr>
            <w:r w:rsidRPr="0077700D">
              <w:rPr>
                <w:rFonts w:ascii="Cambria" w:eastAsia="Times New Roman" w:hAnsi="Cambria"/>
                <w:bCs/>
                <w:lang w:val="hr-HR"/>
              </w:rPr>
              <w:t>3</w:t>
            </w:r>
          </w:p>
        </w:tc>
      </w:tr>
      <w:tr w:rsidR="004E3FDC" w:rsidRPr="0077700D" w14:paraId="4DADFEC7" w14:textId="77777777" w:rsidTr="00450B7A">
        <w:trPr>
          <w:cantSplit/>
          <w:jc w:val="center"/>
        </w:trPr>
        <w:tc>
          <w:tcPr>
            <w:tcW w:w="1524" w:type="pct"/>
            <w:tcBorders>
              <w:top w:val="single" w:sz="2" w:space="0" w:color="auto"/>
              <w:left w:val="single" w:sz="2" w:space="0" w:color="auto"/>
              <w:bottom w:val="single" w:sz="2" w:space="0" w:color="auto"/>
              <w:right w:val="single" w:sz="2" w:space="0" w:color="auto"/>
            </w:tcBorders>
            <w:vAlign w:val="center"/>
          </w:tcPr>
          <w:p w14:paraId="2621027C" w14:textId="77777777" w:rsidR="004E3FDC" w:rsidRPr="0077700D" w:rsidRDefault="004E3FDC" w:rsidP="00450B7A">
            <w:pPr>
              <w:widowControl w:val="0"/>
              <w:spacing w:after="0" w:line="240" w:lineRule="auto"/>
              <w:rPr>
                <w:rFonts w:ascii="Cambria" w:eastAsia="Times New Roman" w:hAnsi="Cambria"/>
                <w:b/>
                <w:bCs/>
                <w:lang w:val="hr-HR"/>
              </w:rPr>
            </w:pPr>
            <w:r w:rsidRPr="0077700D">
              <w:rPr>
                <w:rFonts w:ascii="Cambria" w:eastAsia="Times New Roman" w:hAnsi="Cambria"/>
                <w:b/>
                <w:bCs/>
                <w:lang w:val="hr-HR"/>
              </w:rPr>
              <w:t>199983</w:t>
            </w:r>
          </w:p>
          <w:p w14:paraId="5B690D9C" w14:textId="77777777" w:rsidR="004E3FDC" w:rsidRPr="0077700D" w:rsidRDefault="004E3FDC" w:rsidP="00450B7A">
            <w:pPr>
              <w:widowControl w:val="0"/>
              <w:spacing w:after="0" w:line="240" w:lineRule="auto"/>
              <w:rPr>
                <w:rFonts w:ascii="Cambria" w:eastAsia="Times New Roman" w:hAnsi="Cambria"/>
                <w:b/>
                <w:lang w:val="hr-HR"/>
              </w:rPr>
            </w:pPr>
            <w:r w:rsidRPr="0077700D">
              <w:rPr>
                <w:rFonts w:ascii="Cambria" w:eastAsia="Times New Roman" w:hAnsi="Cambria"/>
                <w:lang w:val="hr-HR"/>
              </w:rPr>
              <w:t>Glazbeni praktikum I</w:t>
            </w:r>
          </w:p>
        </w:tc>
        <w:tc>
          <w:tcPr>
            <w:tcW w:w="1907" w:type="pct"/>
            <w:tcBorders>
              <w:top w:val="single" w:sz="2" w:space="0" w:color="auto"/>
              <w:left w:val="single" w:sz="2" w:space="0" w:color="auto"/>
              <w:bottom w:val="single" w:sz="2" w:space="0" w:color="auto"/>
              <w:right w:val="single" w:sz="2" w:space="0" w:color="auto"/>
            </w:tcBorders>
            <w:vAlign w:val="center"/>
          </w:tcPr>
          <w:p w14:paraId="683C0D36" w14:textId="77777777" w:rsidR="004E3FDC" w:rsidRPr="0077700D" w:rsidRDefault="004E3FDC" w:rsidP="00450B7A">
            <w:pPr>
              <w:spacing w:after="0" w:line="240" w:lineRule="auto"/>
              <w:rPr>
                <w:rFonts w:ascii="Cambria" w:eastAsia="Times New Roman" w:hAnsi="Cambria"/>
                <w:lang w:val="hr-HR"/>
              </w:rPr>
            </w:pPr>
            <w:r w:rsidRPr="0077700D">
              <w:rPr>
                <w:rFonts w:ascii="Cambria" w:eastAsia="Times New Roman" w:hAnsi="Cambria"/>
                <w:lang w:val="hr-HR"/>
              </w:rPr>
              <w:t>prof. dr. sc. Ivana Paula Gortan-Carlin</w:t>
            </w:r>
          </w:p>
          <w:p w14:paraId="62D3ADE7" w14:textId="77777777" w:rsidR="004E3FDC" w:rsidRPr="0077700D" w:rsidRDefault="004E3FDC" w:rsidP="00450B7A">
            <w:pPr>
              <w:spacing w:after="0" w:line="240" w:lineRule="auto"/>
              <w:rPr>
                <w:rFonts w:ascii="Cambria" w:eastAsia="Times New Roman" w:hAnsi="Cambria"/>
                <w:lang w:val="hr-HR"/>
              </w:rPr>
            </w:pPr>
            <w:r w:rsidRPr="0077700D">
              <w:rPr>
                <w:rFonts w:ascii="Cambria" w:eastAsia="Times New Roman" w:hAnsi="Cambria"/>
                <w:lang w:val="hr-HR"/>
              </w:rPr>
              <w:t>mr. sc. Branko Radić, pred.</w:t>
            </w:r>
          </w:p>
        </w:tc>
        <w:tc>
          <w:tcPr>
            <w:tcW w:w="392" w:type="pct"/>
            <w:tcBorders>
              <w:top w:val="single" w:sz="2" w:space="0" w:color="auto"/>
              <w:left w:val="single" w:sz="2" w:space="0" w:color="auto"/>
              <w:bottom w:val="single" w:sz="2" w:space="0" w:color="auto"/>
              <w:right w:val="single" w:sz="2" w:space="0" w:color="auto"/>
            </w:tcBorders>
            <w:vAlign w:val="center"/>
          </w:tcPr>
          <w:p w14:paraId="6DC35639" w14:textId="77777777" w:rsidR="004E3FDC" w:rsidRPr="0077700D" w:rsidRDefault="004E3FDC" w:rsidP="00450B7A">
            <w:pPr>
              <w:widowControl w:val="0"/>
              <w:spacing w:after="0" w:line="240" w:lineRule="auto"/>
              <w:jc w:val="center"/>
              <w:rPr>
                <w:rFonts w:ascii="Cambria" w:eastAsia="Times New Roman" w:hAnsi="Cambria"/>
                <w:lang w:val="hr-HR"/>
              </w:rPr>
            </w:pPr>
            <w:r w:rsidRPr="0077700D">
              <w:rPr>
                <w:rFonts w:ascii="Cambria" w:eastAsia="Times New Roman" w:hAnsi="Cambria"/>
                <w:lang w:val="hr-HR"/>
              </w:rPr>
              <w:t>0</w:t>
            </w:r>
          </w:p>
        </w:tc>
        <w:tc>
          <w:tcPr>
            <w:tcW w:w="352" w:type="pct"/>
            <w:tcBorders>
              <w:top w:val="single" w:sz="2" w:space="0" w:color="auto"/>
              <w:left w:val="single" w:sz="2" w:space="0" w:color="auto"/>
              <w:bottom w:val="single" w:sz="2" w:space="0" w:color="auto"/>
              <w:right w:val="single" w:sz="2" w:space="0" w:color="auto"/>
            </w:tcBorders>
            <w:vAlign w:val="center"/>
          </w:tcPr>
          <w:p w14:paraId="79CFCAB4" w14:textId="77777777" w:rsidR="004E3FDC" w:rsidRPr="0077700D" w:rsidRDefault="004E3FDC" w:rsidP="00450B7A">
            <w:pPr>
              <w:widowControl w:val="0"/>
              <w:spacing w:after="0" w:line="240" w:lineRule="auto"/>
              <w:jc w:val="center"/>
              <w:rPr>
                <w:rFonts w:ascii="Cambria" w:eastAsia="Times New Roman" w:hAnsi="Cambria"/>
                <w:lang w:val="hr-HR"/>
              </w:rPr>
            </w:pPr>
            <w:r w:rsidRPr="0077700D">
              <w:rPr>
                <w:rFonts w:ascii="Cambria" w:eastAsia="Times New Roman" w:hAnsi="Cambria"/>
                <w:lang w:val="hr-HR"/>
              </w:rPr>
              <w:t>0</w:t>
            </w:r>
          </w:p>
        </w:tc>
        <w:tc>
          <w:tcPr>
            <w:tcW w:w="321" w:type="pct"/>
            <w:gridSpan w:val="2"/>
            <w:tcBorders>
              <w:top w:val="single" w:sz="2" w:space="0" w:color="auto"/>
              <w:left w:val="single" w:sz="2" w:space="0" w:color="auto"/>
              <w:bottom w:val="single" w:sz="2" w:space="0" w:color="auto"/>
              <w:right w:val="single" w:sz="2" w:space="0" w:color="auto"/>
            </w:tcBorders>
            <w:vAlign w:val="center"/>
          </w:tcPr>
          <w:p w14:paraId="33A0614A" w14:textId="77777777" w:rsidR="004E3FDC" w:rsidRPr="0077700D" w:rsidRDefault="004E3FDC" w:rsidP="00450B7A">
            <w:pPr>
              <w:widowControl w:val="0"/>
              <w:spacing w:after="0" w:line="240" w:lineRule="auto"/>
              <w:jc w:val="center"/>
              <w:rPr>
                <w:rFonts w:ascii="Cambria" w:eastAsia="Times New Roman" w:hAnsi="Cambria"/>
                <w:lang w:val="hr-HR"/>
              </w:rPr>
            </w:pPr>
            <w:r w:rsidRPr="0077700D">
              <w:rPr>
                <w:rFonts w:ascii="Cambria" w:eastAsia="Times New Roman" w:hAnsi="Cambria"/>
                <w:lang w:val="hr-HR"/>
              </w:rPr>
              <w:t>30</w:t>
            </w:r>
          </w:p>
        </w:tc>
        <w:tc>
          <w:tcPr>
            <w:tcW w:w="504" w:type="pct"/>
            <w:tcBorders>
              <w:top w:val="single" w:sz="2" w:space="0" w:color="auto"/>
              <w:left w:val="single" w:sz="2" w:space="0" w:color="auto"/>
              <w:bottom w:val="single" w:sz="2" w:space="0" w:color="auto"/>
              <w:right w:val="single" w:sz="2" w:space="0" w:color="auto"/>
            </w:tcBorders>
            <w:vAlign w:val="center"/>
          </w:tcPr>
          <w:p w14:paraId="2AC11E23" w14:textId="77777777" w:rsidR="004E3FDC" w:rsidRPr="0077700D" w:rsidRDefault="004E3FDC" w:rsidP="00450B7A">
            <w:pPr>
              <w:widowControl w:val="0"/>
              <w:spacing w:after="0" w:line="240" w:lineRule="auto"/>
              <w:jc w:val="center"/>
              <w:rPr>
                <w:rFonts w:ascii="Cambria" w:eastAsia="Times New Roman" w:hAnsi="Cambria"/>
                <w:bCs/>
                <w:lang w:val="hr-HR"/>
              </w:rPr>
            </w:pPr>
            <w:r w:rsidRPr="0077700D">
              <w:rPr>
                <w:rFonts w:ascii="Cambria" w:eastAsia="Times New Roman" w:hAnsi="Cambria"/>
                <w:bCs/>
                <w:lang w:val="hr-HR"/>
              </w:rPr>
              <w:t>2</w:t>
            </w:r>
          </w:p>
        </w:tc>
      </w:tr>
      <w:tr w:rsidR="004E3FDC" w:rsidRPr="0077700D" w14:paraId="4F68354F" w14:textId="77777777" w:rsidTr="00450B7A">
        <w:trPr>
          <w:cantSplit/>
          <w:jc w:val="center"/>
        </w:trPr>
        <w:tc>
          <w:tcPr>
            <w:tcW w:w="1524" w:type="pct"/>
            <w:tcBorders>
              <w:top w:val="single" w:sz="2" w:space="0" w:color="auto"/>
              <w:left w:val="single" w:sz="2" w:space="0" w:color="auto"/>
              <w:bottom w:val="single" w:sz="2" w:space="0" w:color="auto"/>
              <w:right w:val="single" w:sz="2" w:space="0" w:color="auto"/>
            </w:tcBorders>
            <w:vAlign w:val="center"/>
            <w:hideMark/>
          </w:tcPr>
          <w:p w14:paraId="2713FEDF" w14:textId="77777777" w:rsidR="004E3FDC" w:rsidRPr="0077700D" w:rsidRDefault="004E3FDC" w:rsidP="00450B7A">
            <w:pPr>
              <w:widowControl w:val="0"/>
              <w:spacing w:after="0" w:line="240" w:lineRule="auto"/>
              <w:rPr>
                <w:rFonts w:ascii="Cambria" w:eastAsia="Times New Roman" w:hAnsi="Cambria"/>
                <w:b/>
                <w:lang w:val="hr-HR"/>
              </w:rPr>
            </w:pPr>
            <w:r w:rsidRPr="0077700D">
              <w:rPr>
                <w:rFonts w:ascii="Cambria" w:eastAsia="Times New Roman" w:hAnsi="Cambria"/>
                <w:b/>
                <w:lang w:val="hr-HR"/>
              </w:rPr>
              <w:lastRenderedPageBreak/>
              <w:t>42327</w:t>
            </w:r>
          </w:p>
          <w:p w14:paraId="45257E0A" w14:textId="77777777" w:rsidR="004E3FDC" w:rsidRPr="0077700D" w:rsidRDefault="004E3FDC" w:rsidP="00450B7A">
            <w:pPr>
              <w:widowControl w:val="0"/>
              <w:spacing w:after="0" w:line="240" w:lineRule="auto"/>
              <w:rPr>
                <w:rFonts w:ascii="Cambria" w:eastAsia="Times New Roman" w:hAnsi="Cambria"/>
                <w:lang w:val="hr-HR"/>
              </w:rPr>
            </w:pPr>
            <w:r w:rsidRPr="0077700D">
              <w:rPr>
                <w:rFonts w:ascii="Cambria" w:eastAsia="Times New Roman" w:hAnsi="Cambria"/>
                <w:lang w:val="hr-HR"/>
              </w:rPr>
              <w:t>Kineziološka kultura III</w:t>
            </w:r>
          </w:p>
        </w:tc>
        <w:tc>
          <w:tcPr>
            <w:tcW w:w="1907" w:type="pct"/>
            <w:tcBorders>
              <w:top w:val="single" w:sz="2" w:space="0" w:color="auto"/>
              <w:left w:val="single" w:sz="2" w:space="0" w:color="auto"/>
              <w:bottom w:val="single" w:sz="2" w:space="0" w:color="auto"/>
              <w:right w:val="single" w:sz="2" w:space="0" w:color="auto"/>
            </w:tcBorders>
            <w:vAlign w:val="center"/>
            <w:hideMark/>
          </w:tcPr>
          <w:p w14:paraId="4A6114FB" w14:textId="77777777" w:rsidR="004E3FDC" w:rsidRPr="0077700D" w:rsidRDefault="004E3FDC" w:rsidP="00450B7A">
            <w:pPr>
              <w:widowControl w:val="0"/>
              <w:spacing w:after="0" w:line="240" w:lineRule="auto"/>
              <w:rPr>
                <w:rFonts w:ascii="Cambria" w:eastAsia="Times New Roman" w:hAnsi="Cambria"/>
                <w:lang w:val="hr-HR"/>
              </w:rPr>
            </w:pPr>
            <w:r w:rsidRPr="0077700D">
              <w:rPr>
                <w:rFonts w:ascii="Cambria" w:eastAsia="Times New Roman" w:hAnsi="Cambria"/>
                <w:lang w:val="hr-HR"/>
              </w:rPr>
              <w:t>prof. dr. sc. Iva Blažević</w:t>
            </w:r>
          </w:p>
          <w:p w14:paraId="096EC8BD" w14:textId="77777777" w:rsidR="004E3FDC" w:rsidRPr="0077700D" w:rsidRDefault="004E3FDC" w:rsidP="00450B7A">
            <w:pPr>
              <w:widowControl w:val="0"/>
              <w:spacing w:after="0" w:line="240" w:lineRule="auto"/>
              <w:rPr>
                <w:rFonts w:ascii="Cambria" w:eastAsia="Times New Roman" w:hAnsi="Cambria"/>
                <w:lang w:val="hr-HR"/>
              </w:rPr>
            </w:pPr>
            <w:r w:rsidRPr="0077700D">
              <w:rPr>
                <w:rFonts w:ascii="Cambria" w:eastAsia="Times New Roman" w:hAnsi="Cambria"/>
                <w:lang w:val="hr-HR"/>
              </w:rPr>
              <w:t>dr. sc. Ivan Oreb, pred.</w:t>
            </w:r>
          </w:p>
        </w:tc>
        <w:tc>
          <w:tcPr>
            <w:tcW w:w="392" w:type="pct"/>
            <w:tcBorders>
              <w:top w:val="single" w:sz="2" w:space="0" w:color="auto"/>
              <w:left w:val="single" w:sz="2" w:space="0" w:color="auto"/>
              <w:bottom w:val="single" w:sz="2" w:space="0" w:color="auto"/>
              <w:right w:val="single" w:sz="2" w:space="0" w:color="auto"/>
            </w:tcBorders>
            <w:vAlign w:val="center"/>
            <w:hideMark/>
          </w:tcPr>
          <w:p w14:paraId="7A17AF2F" w14:textId="77777777" w:rsidR="004E3FDC" w:rsidRPr="0077700D" w:rsidRDefault="004E3FDC" w:rsidP="00450B7A">
            <w:pPr>
              <w:widowControl w:val="0"/>
              <w:spacing w:after="0" w:line="240" w:lineRule="auto"/>
              <w:jc w:val="center"/>
              <w:rPr>
                <w:rFonts w:ascii="Cambria" w:eastAsia="Times New Roman" w:hAnsi="Cambria"/>
                <w:lang w:val="hr-HR"/>
              </w:rPr>
            </w:pPr>
            <w:r w:rsidRPr="0077700D">
              <w:rPr>
                <w:rFonts w:ascii="Cambria" w:eastAsia="Times New Roman" w:hAnsi="Cambria"/>
                <w:lang w:val="hr-HR"/>
              </w:rPr>
              <w:t>0</w:t>
            </w:r>
          </w:p>
        </w:tc>
        <w:tc>
          <w:tcPr>
            <w:tcW w:w="352" w:type="pct"/>
            <w:tcBorders>
              <w:top w:val="single" w:sz="2" w:space="0" w:color="auto"/>
              <w:left w:val="single" w:sz="2" w:space="0" w:color="auto"/>
              <w:bottom w:val="single" w:sz="2" w:space="0" w:color="auto"/>
              <w:right w:val="single" w:sz="2" w:space="0" w:color="auto"/>
            </w:tcBorders>
            <w:vAlign w:val="center"/>
          </w:tcPr>
          <w:p w14:paraId="79A88493" w14:textId="77777777" w:rsidR="004E3FDC" w:rsidRPr="0077700D" w:rsidRDefault="004E3FDC" w:rsidP="00450B7A">
            <w:pPr>
              <w:widowControl w:val="0"/>
              <w:spacing w:after="0" w:line="240" w:lineRule="auto"/>
              <w:jc w:val="center"/>
              <w:rPr>
                <w:rFonts w:ascii="Cambria" w:eastAsia="Times New Roman" w:hAnsi="Cambria"/>
                <w:lang w:val="hr-HR"/>
              </w:rPr>
            </w:pPr>
            <w:r w:rsidRPr="0077700D">
              <w:rPr>
                <w:rFonts w:ascii="Cambria" w:eastAsia="Times New Roman" w:hAnsi="Cambria"/>
                <w:lang w:val="hr-HR"/>
              </w:rPr>
              <w:t>0</w:t>
            </w:r>
          </w:p>
        </w:tc>
        <w:tc>
          <w:tcPr>
            <w:tcW w:w="321" w:type="pct"/>
            <w:gridSpan w:val="2"/>
            <w:tcBorders>
              <w:top w:val="single" w:sz="2" w:space="0" w:color="auto"/>
              <w:left w:val="single" w:sz="2" w:space="0" w:color="auto"/>
              <w:bottom w:val="single" w:sz="2" w:space="0" w:color="auto"/>
              <w:right w:val="single" w:sz="2" w:space="0" w:color="auto"/>
            </w:tcBorders>
            <w:vAlign w:val="center"/>
            <w:hideMark/>
          </w:tcPr>
          <w:p w14:paraId="50F2E7D3" w14:textId="77777777" w:rsidR="004E3FDC" w:rsidRPr="0077700D" w:rsidRDefault="004E3FDC" w:rsidP="00450B7A">
            <w:pPr>
              <w:widowControl w:val="0"/>
              <w:spacing w:after="0" w:line="240" w:lineRule="auto"/>
              <w:jc w:val="center"/>
              <w:rPr>
                <w:rFonts w:ascii="Cambria" w:eastAsia="Times New Roman" w:hAnsi="Cambria"/>
                <w:lang w:val="hr-HR"/>
              </w:rPr>
            </w:pPr>
            <w:r w:rsidRPr="0077700D">
              <w:rPr>
                <w:rFonts w:ascii="Cambria" w:eastAsia="Times New Roman" w:hAnsi="Cambria"/>
                <w:lang w:val="hr-HR"/>
              </w:rPr>
              <w:t>30</w:t>
            </w:r>
          </w:p>
        </w:tc>
        <w:tc>
          <w:tcPr>
            <w:tcW w:w="504" w:type="pct"/>
            <w:tcBorders>
              <w:top w:val="single" w:sz="2" w:space="0" w:color="auto"/>
              <w:left w:val="single" w:sz="2" w:space="0" w:color="auto"/>
              <w:bottom w:val="single" w:sz="2" w:space="0" w:color="auto"/>
              <w:right w:val="single" w:sz="2" w:space="0" w:color="auto"/>
            </w:tcBorders>
            <w:vAlign w:val="center"/>
            <w:hideMark/>
          </w:tcPr>
          <w:p w14:paraId="11B45D33" w14:textId="77777777" w:rsidR="004E3FDC" w:rsidRPr="0077700D" w:rsidRDefault="004E3FDC" w:rsidP="00450B7A">
            <w:pPr>
              <w:widowControl w:val="0"/>
              <w:spacing w:after="0" w:line="240" w:lineRule="auto"/>
              <w:jc w:val="center"/>
              <w:rPr>
                <w:rFonts w:ascii="Cambria" w:eastAsia="Times New Roman" w:hAnsi="Cambria"/>
                <w:bCs/>
                <w:lang w:val="hr-HR"/>
              </w:rPr>
            </w:pPr>
            <w:r w:rsidRPr="0077700D">
              <w:rPr>
                <w:rFonts w:ascii="Cambria" w:eastAsia="Times New Roman" w:hAnsi="Cambria"/>
                <w:bCs/>
                <w:lang w:val="hr-HR"/>
              </w:rPr>
              <w:t>1</w:t>
            </w:r>
          </w:p>
        </w:tc>
      </w:tr>
      <w:tr w:rsidR="004E3FDC" w:rsidRPr="0077700D" w14:paraId="3294C4F7" w14:textId="77777777" w:rsidTr="00450B7A">
        <w:trPr>
          <w:cantSplit/>
          <w:jc w:val="center"/>
        </w:trPr>
        <w:tc>
          <w:tcPr>
            <w:tcW w:w="1524" w:type="pct"/>
            <w:tcBorders>
              <w:top w:val="single" w:sz="2" w:space="0" w:color="auto"/>
              <w:left w:val="single" w:sz="2" w:space="0" w:color="auto"/>
              <w:bottom w:val="single" w:sz="2" w:space="0" w:color="auto"/>
              <w:right w:val="single" w:sz="2" w:space="0" w:color="auto"/>
            </w:tcBorders>
            <w:vAlign w:val="center"/>
            <w:hideMark/>
          </w:tcPr>
          <w:p w14:paraId="6BD1F1FC" w14:textId="77777777" w:rsidR="004E3FDC" w:rsidRPr="0077700D" w:rsidRDefault="004E3FDC" w:rsidP="00450B7A">
            <w:pPr>
              <w:widowControl w:val="0"/>
              <w:spacing w:after="0" w:line="240" w:lineRule="auto"/>
              <w:rPr>
                <w:rFonts w:ascii="Cambria" w:eastAsia="Times New Roman" w:hAnsi="Cambria"/>
                <w:b/>
                <w:lang w:val="hr-HR"/>
              </w:rPr>
            </w:pPr>
            <w:r w:rsidRPr="0077700D">
              <w:rPr>
                <w:rFonts w:ascii="Cambria" w:eastAsia="Times New Roman" w:hAnsi="Cambria"/>
                <w:b/>
                <w:lang w:val="hr-HR"/>
              </w:rPr>
              <w:t>66268</w:t>
            </w:r>
          </w:p>
          <w:p w14:paraId="703D4C07" w14:textId="77777777" w:rsidR="004E3FDC" w:rsidRPr="0077700D" w:rsidRDefault="004E3FDC" w:rsidP="00450B7A">
            <w:pPr>
              <w:widowControl w:val="0"/>
              <w:spacing w:after="0" w:line="240" w:lineRule="auto"/>
              <w:rPr>
                <w:rFonts w:ascii="Cambria" w:eastAsia="Times New Roman" w:hAnsi="Cambria"/>
                <w:lang w:val="hr-HR"/>
              </w:rPr>
            </w:pPr>
            <w:r w:rsidRPr="0077700D">
              <w:rPr>
                <w:rFonts w:ascii="Cambria" w:eastAsia="Times New Roman" w:hAnsi="Cambria"/>
                <w:lang w:val="hr-HR"/>
              </w:rPr>
              <w:t>Stručna praksa II</w:t>
            </w:r>
          </w:p>
        </w:tc>
        <w:tc>
          <w:tcPr>
            <w:tcW w:w="1907" w:type="pct"/>
            <w:tcBorders>
              <w:top w:val="single" w:sz="2" w:space="0" w:color="auto"/>
              <w:left w:val="single" w:sz="2" w:space="0" w:color="auto"/>
              <w:bottom w:val="single" w:sz="2" w:space="0" w:color="auto"/>
              <w:right w:val="single" w:sz="2" w:space="0" w:color="auto"/>
            </w:tcBorders>
            <w:vAlign w:val="center"/>
            <w:hideMark/>
          </w:tcPr>
          <w:p w14:paraId="7A9A8F91" w14:textId="77777777" w:rsidR="004E3FDC" w:rsidRPr="0077700D" w:rsidRDefault="004E3FDC" w:rsidP="00450B7A">
            <w:pPr>
              <w:widowControl w:val="0"/>
              <w:spacing w:after="0" w:line="240" w:lineRule="auto"/>
              <w:rPr>
                <w:rFonts w:ascii="Cambria" w:eastAsia="Times New Roman" w:hAnsi="Cambria"/>
                <w:lang w:val="hr-HR"/>
              </w:rPr>
            </w:pPr>
            <w:r w:rsidRPr="0077700D">
              <w:rPr>
                <w:rFonts w:ascii="Cambria" w:eastAsia="Times New Roman" w:hAnsi="Cambria"/>
                <w:lang w:val="hr-HR"/>
              </w:rPr>
              <w:t>doc. dr. sc. Irena Kiss</w:t>
            </w:r>
          </w:p>
        </w:tc>
        <w:tc>
          <w:tcPr>
            <w:tcW w:w="1065" w:type="pct"/>
            <w:gridSpan w:val="4"/>
            <w:tcBorders>
              <w:top w:val="single" w:sz="2" w:space="0" w:color="auto"/>
              <w:left w:val="single" w:sz="2" w:space="0" w:color="auto"/>
              <w:bottom w:val="single" w:sz="2" w:space="0" w:color="auto"/>
              <w:right w:val="single" w:sz="2" w:space="0" w:color="auto"/>
            </w:tcBorders>
            <w:vAlign w:val="center"/>
            <w:hideMark/>
          </w:tcPr>
          <w:p w14:paraId="1682A497" w14:textId="77777777" w:rsidR="004E3FDC" w:rsidRPr="0077700D" w:rsidRDefault="004E3FDC" w:rsidP="00450B7A">
            <w:pPr>
              <w:widowControl w:val="0"/>
              <w:spacing w:after="0" w:line="240" w:lineRule="auto"/>
              <w:jc w:val="center"/>
              <w:rPr>
                <w:rFonts w:ascii="Cambria" w:eastAsia="Times New Roman" w:hAnsi="Cambria"/>
                <w:lang w:val="hr-HR"/>
              </w:rPr>
            </w:pPr>
            <w:r w:rsidRPr="0077700D">
              <w:rPr>
                <w:rFonts w:ascii="Cambria" w:eastAsia="Times New Roman" w:hAnsi="Cambria"/>
                <w:lang w:val="hr-HR"/>
              </w:rPr>
              <w:t>dva tjedna u veljači</w:t>
            </w:r>
            <w:r>
              <w:rPr>
                <w:rFonts w:ascii="Cambria" w:eastAsia="Times New Roman" w:hAnsi="Cambria"/>
                <w:lang w:val="hr-HR"/>
              </w:rPr>
              <w:t xml:space="preserve"> (50 sati)</w:t>
            </w:r>
          </w:p>
        </w:tc>
        <w:tc>
          <w:tcPr>
            <w:tcW w:w="504" w:type="pct"/>
            <w:tcBorders>
              <w:top w:val="single" w:sz="2" w:space="0" w:color="auto"/>
              <w:left w:val="single" w:sz="2" w:space="0" w:color="auto"/>
              <w:bottom w:val="single" w:sz="2" w:space="0" w:color="auto"/>
              <w:right w:val="single" w:sz="2" w:space="0" w:color="auto"/>
            </w:tcBorders>
            <w:vAlign w:val="center"/>
            <w:hideMark/>
          </w:tcPr>
          <w:p w14:paraId="2CF0F286" w14:textId="77777777" w:rsidR="004E3FDC" w:rsidRPr="0077700D" w:rsidRDefault="004E3FDC" w:rsidP="00450B7A">
            <w:pPr>
              <w:widowControl w:val="0"/>
              <w:spacing w:after="0" w:line="240" w:lineRule="auto"/>
              <w:jc w:val="center"/>
              <w:rPr>
                <w:rFonts w:ascii="Cambria" w:eastAsia="Times New Roman" w:hAnsi="Cambria"/>
                <w:bCs/>
                <w:lang w:val="hr-HR"/>
              </w:rPr>
            </w:pPr>
            <w:r w:rsidRPr="0077700D">
              <w:rPr>
                <w:rFonts w:ascii="Cambria" w:eastAsia="Times New Roman" w:hAnsi="Cambria"/>
                <w:bCs/>
                <w:lang w:val="hr-HR"/>
              </w:rPr>
              <w:t>2</w:t>
            </w:r>
          </w:p>
        </w:tc>
      </w:tr>
      <w:tr w:rsidR="004E3FDC" w:rsidRPr="0077700D" w14:paraId="5408822B" w14:textId="77777777" w:rsidTr="00450B7A">
        <w:trPr>
          <w:cantSplit/>
          <w:jc w:val="center"/>
        </w:trPr>
        <w:tc>
          <w:tcPr>
            <w:tcW w:w="1524" w:type="pct"/>
            <w:tcBorders>
              <w:top w:val="single" w:sz="2" w:space="0" w:color="auto"/>
              <w:left w:val="single" w:sz="2" w:space="0" w:color="auto"/>
              <w:bottom w:val="single" w:sz="2" w:space="0" w:color="auto"/>
              <w:right w:val="single" w:sz="2" w:space="0" w:color="auto"/>
            </w:tcBorders>
            <w:vAlign w:val="center"/>
            <w:hideMark/>
          </w:tcPr>
          <w:p w14:paraId="1054F9BF" w14:textId="77777777" w:rsidR="004E3FDC" w:rsidRPr="0077700D" w:rsidRDefault="004E3FDC" w:rsidP="00450B7A">
            <w:pPr>
              <w:widowControl w:val="0"/>
              <w:spacing w:after="0" w:line="240" w:lineRule="auto"/>
              <w:rPr>
                <w:rFonts w:ascii="Cambria" w:eastAsia="Times New Roman" w:hAnsi="Cambria"/>
                <w:b/>
                <w:lang w:val="hr-HR"/>
              </w:rPr>
            </w:pPr>
            <w:r w:rsidRPr="0077700D">
              <w:rPr>
                <w:rFonts w:ascii="Cambria" w:eastAsia="Times New Roman" w:hAnsi="Cambria"/>
                <w:b/>
                <w:lang w:val="hr-HR"/>
              </w:rPr>
              <w:t>Ukupno</w:t>
            </w:r>
          </w:p>
        </w:tc>
        <w:tc>
          <w:tcPr>
            <w:tcW w:w="1907" w:type="pct"/>
            <w:tcBorders>
              <w:top w:val="single" w:sz="2" w:space="0" w:color="auto"/>
              <w:left w:val="single" w:sz="2" w:space="0" w:color="auto"/>
              <w:bottom w:val="single" w:sz="2" w:space="0" w:color="auto"/>
              <w:right w:val="single" w:sz="2" w:space="0" w:color="auto"/>
            </w:tcBorders>
            <w:vAlign w:val="center"/>
          </w:tcPr>
          <w:p w14:paraId="26FDC8D7" w14:textId="77777777" w:rsidR="004E3FDC" w:rsidRPr="0077700D" w:rsidRDefault="004E3FDC" w:rsidP="00450B7A">
            <w:pPr>
              <w:widowControl w:val="0"/>
              <w:spacing w:after="0" w:line="240" w:lineRule="auto"/>
              <w:rPr>
                <w:rFonts w:ascii="Cambria" w:eastAsia="Times New Roman" w:hAnsi="Cambria"/>
                <w:lang w:val="hr-HR"/>
              </w:rPr>
            </w:pPr>
          </w:p>
        </w:tc>
        <w:tc>
          <w:tcPr>
            <w:tcW w:w="392" w:type="pct"/>
            <w:tcBorders>
              <w:top w:val="single" w:sz="2" w:space="0" w:color="auto"/>
              <w:left w:val="single" w:sz="2" w:space="0" w:color="auto"/>
              <w:bottom w:val="single" w:sz="2" w:space="0" w:color="auto"/>
              <w:right w:val="single" w:sz="2" w:space="0" w:color="auto"/>
            </w:tcBorders>
            <w:vAlign w:val="center"/>
          </w:tcPr>
          <w:p w14:paraId="710E9946" w14:textId="77777777" w:rsidR="004E3FDC" w:rsidRPr="0077700D" w:rsidRDefault="004E3FDC" w:rsidP="00450B7A">
            <w:pPr>
              <w:widowControl w:val="0"/>
              <w:spacing w:after="0" w:line="240" w:lineRule="auto"/>
              <w:jc w:val="center"/>
              <w:rPr>
                <w:rFonts w:ascii="Cambria" w:eastAsia="Times New Roman" w:hAnsi="Cambria"/>
                <w:lang w:val="hr-HR"/>
              </w:rPr>
            </w:pPr>
          </w:p>
        </w:tc>
        <w:tc>
          <w:tcPr>
            <w:tcW w:w="417" w:type="pct"/>
            <w:gridSpan w:val="2"/>
            <w:tcBorders>
              <w:top w:val="single" w:sz="2" w:space="0" w:color="auto"/>
              <w:left w:val="single" w:sz="2" w:space="0" w:color="auto"/>
              <w:bottom w:val="single" w:sz="2" w:space="0" w:color="auto"/>
              <w:right w:val="single" w:sz="2" w:space="0" w:color="auto"/>
            </w:tcBorders>
            <w:vAlign w:val="center"/>
          </w:tcPr>
          <w:p w14:paraId="581B02F9" w14:textId="77777777" w:rsidR="004E3FDC" w:rsidRPr="0077700D" w:rsidRDefault="004E3FDC" w:rsidP="00450B7A">
            <w:pPr>
              <w:widowControl w:val="0"/>
              <w:spacing w:after="0" w:line="240" w:lineRule="auto"/>
              <w:jc w:val="center"/>
              <w:rPr>
                <w:rFonts w:ascii="Cambria" w:eastAsia="Times New Roman" w:hAnsi="Cambria"/>
                <w:lang w:val="hr-HR"/>
              </w:rPr>
            </w:pPr>
          </w:p>
        </w:tc>
        <w:tc>
          <w:tcPr>
            <w:tcW w:w="256" w:type="pct"/>
            <w:tcBorders>
              <w:top w:val="single" w:sz="2" w:space="0" w:color="auto"/>
              <w:left w:val="single" w:sz="2" w:space="0" w:color="auto"/>
              <w:bottom w:val="single" w:sz="2" w:space="0" w:color="auto"/>
              <w:right w:val="single" w:sz="2" w:space="0" w:color="auto"/>
            </w:tcBorders>
            <w:vAlign w:val="center"/>
          </w:tcPr>
          <w:p w14:paraId="1F4DDDB4" w14:textId="77777777" w:rsidR="004E3FDC" w:rsidRPr="0077700D" w:rsidRDefault="004E3FDC" w:rsidP="00450B7A">
            <w:pPr>
              <w:widowControl w:val="0"/>
              <w:spacing w:after="0" w:line="240" w:lineRule="auto"/>
              <w:jc w:val="center"/>
              <w:rPr>
                <w:rFonts w:ascii="Cambria" w:eastAsia="Times New Roman" w:hAnsi="Cambria"/>
                <w:lang w:val="hr-HR"/>
              </w:rPr>
            </w:pPr>
          </w:p>
        </w:tc>
        <w:tc>
          <w:tcPr>
            <w:tcW w:w="504" w:type="pct"/>
            <w:tcBorders>
              <w:top w:val="single" w:sz="2" w:space="0" w:color="auto"/>
              <w:left w:val="single" w:sz="2" w:space="0" w:color="auto"/>
              <w:bottom w:val="single" w:sz="2" w:space="0" w:color="auto"/>
              <w:right w:val="single" w:sz="2" w:space="0" w:color="auto"/>
            </w:tcBorders>
            <w:vAlign w:val="center"/>
            <w:hideMark/>
          </w:tcPr>
          <w:p w14:paraId="093F14AA" w14:textId="77777777" w:rsidR="004E3FDC" w:rsidRPr="0077700D" w:rsidRDefault="004E3FDC" w:rsidP="00450B7A">
            <w:pPr>
              <w:widowControl w:val="0"/>
              <w:spacing w:after="0" w:line="240" w:lineRule="auto"/>
              <w:jc w:val="center"/>
              <w:rPr>
                <w:rFonts w:ascii="Cambria" w:eastAsia="Times New Roman" w:hAnsi="Cambria"/>
                <w:b/>
                <w:bCs/>
                <w:lang w:val="hr-HR"/>
              </w:rPr>
            </w:pPr>
            <w:r w:rsidRPr="0077700D">
              <w:rPr>
                <w:rFonts w:ascii="Cambria" w:eastAsia="Times New Roman" w:hAnsi="Cambria"/>
                <w:b/>
                <w:bCs/>
                <w:lang w:val="hr-HR"/>
              </w:rPr>
              <w:t>30</w:t>
            </w:r>
          </w:p>
        </w:tc>
      </w:tr>
    </w:tbl>
    <w:p w14:paraId="65767F3D" w14:textId="77777777" w:rsidR="004E3FDC" w:rsidRPr="0077700D" w:rsidRDefault="004E3FDC" w:rsidP="004E3FDC">
      <w:pPr>
        <w:spacing w:after="0" w:line="240" w:lineRule="auto"/>
        <w:rPr>
          <w:rFonts w:ascii="Cambria" w:eastAsia="Times New Roman" w:hAnsi="Cambria"/>
          <w:lang w:val="hr-HR"/>
        </w:rPr>
      </w:pPr>
      <w:bookmarkStart w:id="25" w:name="_Hlk175655202"/>
    </w:p>
    <w:bookmarkEnd w:id="25"/>
    <w:p w14:paraId="0DFC3C47" w14:textId="77777777" w:rsidR="004E3FDC" w:rsidRPr="0077700D" w:rsidRDefault="004E3FDC" w:rsidP="004E3FDC">
      <w:pPr>
        <w:spacing w:after="0" w:line="240" w:lineRule="auto"/>
        <w:rPr>
          <w:rFonts w:ascii="Cambria" w:eastAsia="Times New Roman" w:hAnsi="Cambria"/>
          <w:lang w:val="hr-HR"/>
        </w:rPr>
      </w:pPr>
    </w:p>
    <w:tbl>
      <w:tblPr>
        <w:tblW w:w="4866"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3134"/>
        <w:gridCol w:w="3753"/>
        <w:gridCol w:w="543"/>
        <w:gridCol w:w="557"/>
        <w:gridCol w:w="639"/>
        <w:gridCol w:w="1139"/>
      </w:tblGrid>
      <w:tr w:rsidR="004E3FDC" w:rsidRPr="0077700D" w14:paraId="60460613" w14:textId="77777777" w:rsidTr="00450B7A">
        <w:trPr>
          <w:cantSplit/>
          <w:jc w:val="center"/>
        </w:trPr>
        <w:tc>
          <w:tcPr>
            <w:tcW w:w="5000" w:type="pct"/>
            <w:gridSpan w:val="6"/>
            <w:tcBorders>
              <w:top w:val="single" w:sz="2" w:space="0" w:color="auto"/>
              <w:left w:val="single" w:sz="2" w:space="0" w:color="auto"/>
              <w:bottom w:val="single" w:sz="2" w:space="0" w:color="auto"/>
              <w:right w:val="single" w:sz="2" w:space="0" w:color="auto"/>
            </w:tcBorders>
            <w:shd w:val="clear" w:color="auto" w:fill="33CCCC"/>
            <w:vAlign w:val="center"/>
            <w:hideMark/>
          </w:tcPr>
          <w:p w14:paraId="20A11F99" w14:textId="77777777" w:rsidR="004E3FDC" w:rsidRPr="0077700D" w:rsidRDefault="004E3FDC" w:rsidP="00450B7A">
            <w:pPr>
              <w:spacing w:after="0" w:line="240" w:lineRule="auto"/>
              <w:jc w:val="center"/>
              <w:rPr>
                <w:rFonts w:ascii="Cambria" w:eastAsia="Times New Roman" w:hAnsi="Cambria"/>
                <w:b/>
                <w:bCs/>
                <w:lang w:val="hr-HR"/>
              </w:rPr>
            </w:pPr>
            <w:bookmarkStart w:id="26" w:name="_Toc209340475"/>
            <w:bookmarkStart w:id="27" w:name="_Toc209420853"/>
            <w:bookmarkStart w:id="28" w:name="_Toc209421234"/>
            <w:bookmarkStart w:id="29" w:name="_Toc209789829"/>
            <w:r w:rsidRPr="0077700D">
              <w:rPr>
                <w:rFonts w:ascii="Cambria" w:eastAsia="Times New Roman" w:hAnsi="Cambria"/>
                <w:b/>
                <w:bCs/>
                <w:lang w:val="hr-HR"/>
              </w:rPr>
              <w:t>IV. semestar</w:t>
            </w:r>
            <w:bookmarkEnd w:id="26"/>
            <w:bookmarkEnd w:id="27"/>
            <w:bookmarkEnd w:id="28"/>
            <w:bookmarkEnd w:id="29"/>
          </w:p>
        </w:tc>
      </w:tr>
      <w:tr w:rsidR="004E3FDC" w:rsidRPr="0077700D" w14:paraId="63FA0618" w14:textId="77777777" w:rsidTr="00450B7A">
        <w:trPr>
          <w:cantSplit/>
          <w:jc w:val="center"/>
        </w:trPr>
        <w:tc>
          <w:tcPr>
            <w:tcW w:w="1605" w:type="pct"/>
            <w:tcBorders>
              <w:top w:val="single" w:sz="2" w:space="0" w:color="auto"/>
              <w:left w:val="single" w:sz="2" w:space="0" w:color="auto"/>
              <w:bottom w:val="single" w:sz="2" w:space="0" w:color="auto"/>
              <w:right w:val="single" w:sz="2" w:space="0" w:color="auto"/>
            </w:tcBorders>
            <w:vAlign w:val="center"/>
            <w:hideMark/>
          </w:tcPr>
          <w:p w14:paraId="7963EA67" w14:textId="77777777" w:rsidR="004E3FDC" w:rsidRPr="0077700D" w:rsidRDefault="004E3FDC" w:rsidP="00450B7A">
            <w:pPr>
              <w:widowControl w:val="0"/>
              <w:spacing w:after="0" w:line="240" w:lineRule="auto"/>
              <w:rPr>
                <w:rFonts w:ascii="Cambria" w:eastAsia="Times New Roman" w:hAnsi="Cambria"/>
                <w:b/>
                <w:lang w:val="hr-HR"/>
              </w:rPr>
            </w:pPr>
            <w:r w:rsidRPr="0077700D">
              <w:rPr>
                <w:rFonts w:ascii="Cambria" w:eastAsia="Times New Roman" w:hAnsi="Cambria"/>
                <w:b/>
                <w:lang w:val="hr-HR"/>
              </w:rPr>
              <w:t>Predmet</w:t>
            </w:r>
          </w:p>
        </w:tc>
        <w:tc>
          <w:tcPr>
            <w:tcW w:w="1922" w:type="pct"/>
            <w:tcBorders>
              <w:top w:val="single" w:sz="2" w:space="0" w:color="auto"/>
              <w:left w:val="single" w:sz="2" w:space="0" w:color="auto"/>
              <w:bottom w:val="single" w:sz="2" w:space="0" w:color="auto"/>
              <w:right w:val="single" w:sz="2" w:space="0" w:color="auto"/>
            </w:tcBorders>
            <w:vAlign w:val="center"/>
            <w:hideMark/>
          </w:tcPr>
          <w:p w14:paraId="09247A04" w14:textId="77777777" w:rsidR="004E3FDC" w:rsidRPr="0077700D" w:rsidRDefault="004E3FDC" w:rsidP="00450B7A">
            <w:pPr>
              <w:widowControl w:val="0"/>
              <w:spacing w:after="0" w:line="240" w:lineRule="auto"/>
              <w:rPr>
                <w:rFonts w:ascii="Cambria" w:eastAsia="Times New Roman" w:hAnsi="Cambria"/>
                <w:b/>
                <w:lang w:val="hr-HR"/>
              </w:rPr>
            </w:pPr>
            <w:r w:rsidRPr="0077700D">
              <w:rPr>
                <w:rFonts w:ascii="Cambria" w:eastAsia="Times New Roman" w:hAnsi="Cambria"/>
                <w:b/>
                <w:lang w:val="hr-HR"/>
              </w:rPr>
              <w:t>Nastavnik/</w:t>
            </w:r>
            <w:proofErr w:type="spellStart"/>
            <w:r w:rsidRPr="0077700D">
              <w:rPr>
                <w:rFonts w:ascii="Cambria" w:eastAsia="Times New Roman" w:hAnsi="Cambria"/>
                <w:b/>
                <w:lang w:val="hr-HR"/>
              </w:rPr>
              <w:t>ica</w:t>
            </w:r>
            <w:proofErr w:type="spellEnd"/>
          </w:p>
        </w:tc>
        <w:tc>
          <w:tcPr>
            <w:tcW w:w="278" w:type="pct"/>
            <w:tcBorders>
              <w:top w:val="single" w:sz="2" w:space="0" w:color="auto"/>
              <w:left w:val="single" w:sz="2" w:space="0" w:color="auto"/>
              <w:bottom w:val="single" w:sz="2" w:space="0" w:color="auto"/>
              <w:right w:val="single" w:sz="2" w:space="0" w:color="auto"/>
            </w:tcBorders>
            <w:vAlign w:val="center"/>
            <w:hideMark/>
          </w:tcPr>
          <w:p w14:paraId="5769A406" w14:textId="77777777" w:rsidR="004E3FDC" w:rsidRPr="0077700D" w:rsidRDefault="004E3FDC" w:rsidP="00450B7A">
            <w:pPr>
              <w:spacing w:after="0" w:line="240" w:lineRule="auto"/>
              <w:jc w:val="center"/>
              <w:rPr>
                <w:rFonts w:ascii="Cambria" w:eastAsia="Times New Roman" w:hAnsi="Cambria"/>
                <w:b/>
                <w:bCs/>
                <w:caps/>
                <w:lang w:val="hr-HR"/>
              </w:rPr>
            </w:pPr>
            <w:bookmarkStart w:id="30" w:name="_Toc208818025"/>
            <w:bookmarkStart w:id="31" w:name="_Toc208819683"/>
            <w:bookmarkStart w:id="32" w:name="_Toc208904373"/>
            <w:bookmarkStart w:id="33" w:name="_Toc209340476"/>
            <w:bookmarkStart w:id="34" w:name="_Toc209420854"/>
            <w:bookmarkStart w:id="35" w:name="_Toc209421235"/>
            <w:bookmarkStart w:id="36" w:name="_Toc209789830"/>
            <w:r w:rsidRPr="0077700D">
              <w:rPr>
                <w:rFonts w:ascii="Cambria" w:eastAsia="Times New Roman" w:hAnsi="Cambria"/>
                <w:b/>
                <w:bCs/>
                <w:caps/>
                <w:lang w:val="hr-HR"/>
              </w:rPr>
              <w:t>P</w:t>
            </w:r>
            <w:bookmarkEnd w:id="30"/>
            <w:bookmarkEnd w:id="31"/>
            <w:bookmarkEnd w:id="32"/>
            <w:bookmarkEnd w:id="33"/>
            <w:bookmarkEnd w:id="34"/>
            <w:bookmarkEnd w:id="35"/>
            <w:bookmarkEnd w:id="36"/>
          </w:p>
        </w:tc>
        <w:tc>
          <w:tcPr>
            <w:tcW w:w="285" w:type="pct"/>
            <w:tcBorders>
              <w:top w:val="single" w:sz="2" w:space="0" w:color="auto"/>
              <w:left w:val="single" w:sz="2" w:space="0" w:color="auto"/>
              <w:bottom w:val="single" w:sz="2" w:space="0" w:color="auto"/>
              <w:right w:val="single" w:sz="2" w:space="0" w:color="auto"/>
            </w:tcBorders>
            <w:vAlign w:val="center"/>
          </w:tcPr>
          <w:p w14:paraId="0AC65958" w14:textId="77777777" w:rsidR="004E3FDC" w:rsidRPr="0077700D" w:rsidRDefault="004E3FDC" w:rsidP="00450B7A">
            <w:pPr>
              <w:spacing w:after="0" w:line="240" w:lineRule="auto"/>
              <w:jc w:val="center"/>
              <w:rPr>
                <w:rFonts w:ascii="Cambria" w:eastAsia="Times New Roman" w:hAnsi="Cambria"/>
                <w:b/>
                <w:bCs/>
                <w:caps/>
                <w:lang w:val="hr-HR"/>
              </w:rPr>
            </w:pPr>
            <w:r w:rsidRPr="0077700D">
              <w:rPr>
                <w:rFonts w:ascii="Cambria" w:eastAsia="Times New Roman" w:hAnsi="Cambria"/>
                <w:b/>
                <w:bCs/>
                <w:caps/>
                <w:lang w:val="hr-HR"/>
              </w:rPr>
              <w:t>S</w:t>
            </w:r>
          </w:p>
        </w:tc>
        <w:tc>
          <w:tcPr>
            <w:tcW w:w="327" w:type="pct"/>
            <w:tcBorders>
              <w:top w:val="single" w:sz="2" w:space="0" w:color="auto"/>
              <w:left w:val="single" w:sz="2" w:space="0" w:color="auto"/>
              <w:bottom w:val="single" w:sz="2" w:space="0" w:color="auto"/>
              <w:right w:val="single" w:sz="2" w:space="0" w:color="auto"/>
            </w:tcBorders>
            <w:vAlign w:val="center"/>
            <w:hideMark/>
          </w:tcPr>
          <w:p w14:paraId="765E2C4E" w14:textId="77777777" w:rsidR="004E3FDC" w:rsidRPr="0077700D" w:rsidRDefault="004E3FDC" w:rsidP="00450B7A">
            <w:pPr>
              <w:spacing w:after="0" w:line="240" w:lineRule="auto"/>
              <w:jc w:val="center"/>
              <w:rPr>
                <w:rFonts w:ascii="Cambria" w:eastAsia="Times New Roman" w:hAnsi="Cambria"/>
                <w:b/>
                <w:bCs/>
                <w:caps/>
                <w:lang w:val="hr-HR"/>
              </w:rPr>
            </w:pPr>
            <w:r w:rsidRPr="0077700D">
              <w:rPr>
                <w:rFonts w:ascii="Cambria" w:eastAsia="Times New Roman" w:hAnsi="Cambria"/>
                <w:b/>
                <w:bCs/>
                <w:caps/>
                <w:lang w:val="hr-HR"/>
              </w:rPr>
              <w:t>V</w:t>
            </w:r>
          </w:p>
        </w:tc>
        <w:tc>
          <w:tcPr>
            <w:tcW w:w="583" w:type="pct"/>
            <w:tcBorders>
              <w:top w:val="single" w:sz="2" w:space="0" w:color="auto"/>
              <w:left w:val="single" w:sz="2" w:space="0" w:color="auto"/>
              <w:bottom w:val="single" w:sz="2" w:space="0" w:color="auto"/>
              <w:right w:val="single" w:sz="2" w:space="0" w:color="auto"/>
            </w:tcBorders>
            <w:vAlign w:val="center"/>
            <w:hideMark/>
          </w:tcPr>
          <w:p w14:paraId="15D6940A" w14:textId="77777777" w:rsidR="004E3FDC" w:rsidRPr="0077700D" w:rsidRDefault="004E3FDC" w:rsidP="00450B7A">
            <w:pPr>
              <w:spacing w:after="0" w:line="240" w:lineRule="auto"/>
              <w:jc w:val="center"/>
              <w:rPr>
                <w:rFonts w:ascii="Cambria" w:eastAsia="Times New Roman" w:hAnsi="Cambria"/>
                <w:b/>
                <w:bCs/>
                <w:caps/>
                <w:lang w:val="hr-HR"/>
              </w:rPr>
            </w:pPr>
            <w:r w:rsidRPr="0077700D">
              <w:rPr>
                <w:rFonts w:ascii="Cambria" w:eastAsia="Times New Roman" w:hAnsi="Cambria"/>
                <w:b/>
                <w:bCs/>
                <w:caps/>
                <w:lang w:val="hr-HR"/>
              </w:rPr>
              <w:t>ECTS</w:t>
            </w:r>
          </w:p>
        </w:tc>
      </w:tr>
      <w:tr w:rsidR="004E3FDC" w:rsidRPr="0077700D" w14:paraId="1CD05C6F" w14:textId="77777777" w:rsidTr="00450B7A">
        <w:trPr>
          <w:cantSplit/>
          <w:jc w:val="center"/>
        </w:trPr>
        <w:tc>
          <w:tcPr>
            <w:tcW w:w="1605" w:type="pct"/>
            <w:tcBorders>
              <w:top w:val="single" w:sz="2" w:space="0" w:color="auto"/>
              <w:left w:val="single" w:sz="2" w:space="0" w:color="auto"/>
              <w:bottom w:val="single" w:sz="2" w:space="0" w:color="auto"/>
              <w:right w:val="single" w:sz="2" w:space="0" w:color="auto"/>
            </w:tcBorders>
            <w:vAlign w:val="center"/>
            <w:hideMark/>
          </w:tcPr>
          <w:p w14:paraId="09C8A4FB" w14:textId="77777777" w:rsidR="004E3FDC" w:rsidRPr="0077700D" w:rsidRDefault="004E3FDC" w:rsidP="00450B7A">
            <w:pPr>
              <w:spacing w:after="0" w:line="240" w:lineRule="auto"/>
              <w:rPr>
                <w:rFonts w:ascii="Cambria" w:eastAsia="Times New Roman" w:hAnsi="Cambria"/>
                <w:b/>
                <w:bCs/>
                <w:lang w:val="hr-HR"/>
              </w:rPr>
            </w:pPr>
            <w:r w:rsidRPr="0077700D">
              <w:rPr>
                <w:rFonts w:ascii="Cambria" w:eastAsia="Times New Roman" w:hAnsi="Cambria"/>
                <w:b/>
                <w:bCs/>
                <w:lang w:val="hr-HR"/>
              </w:rPr>
              <w:t>273619</w:t>
            </w:r>
          </w:p>
          <w:p w14:paraId="716DF7FD" w14:textId="77777777" w:rsidR="004E3FDC" w:rsidRPr="0077700D" w:rsidRDefault="004E3FDC" w:rsidP="00450B7A">
            <w:pPr>
              <w:spacing w:after="0" w:line="240" w:lineRule="auto"/>
              <w:rPr>
                <w:rFonts w:ascii="Cambria" w:eastAsia="Times New Roman" w:hAnsi="Cambria"/>
                <w:lang w:val="hr-HR"/>
              </w:rPr>
            </w:pPr>
            <w:r w:rsidRPr="0077700D">
              <w:rPr>
                <w:rFonts w:ascii="Cambria" w:eastAsia="Times New Roman" w:hAnsi="Cambria"/>
                <w:lang w:val="hr-HR"/>
              </w:rPr>
              <w:t>Inkluzivna pedagogija</w:t>
            </w:r>
          </w:p>
        </w:tc>
        <w:tc>
          <w:tcPr>
            <w:tcW w:w="1922" w:type="pct"/>
            <w:tcBorders>
              <w:top w:val="single" w:sz="2" w:space="0" w:color="auto"/>
              <w:left w:val="single" w:sz="2" w:space="0" w:color="auto"/>
              <w:bottom w:val="single" w:sz="2" w:space="0" w:color="auto"/>
              <w:right w:val="single" w:sz="2" w:space="0" w:color="auto"/>
            </w:tcBorders>
            <w:vAlign w:val="center"/>
            <w:hideMark/>
          </w:tcPr>
          <w:p w14:paraId="22CF97B4" w14:textId="77777777" w:rsidR="004E3FDC" w:rsidRPr="0077700D" w:rsidRDefault="004E3FDC" w:rsidP="00450B7A">
            <w:pPr>
              <w:spacing w:after="0" w:line="240" w:lineRule="auto"/>
              <w:rPr>
                <w:rFonts w:ascii="Cambria" w:eastAsia="Times New Roman" w:hAnsi="Cambria"/>
                <w:lang w:val="hr-HR"/>
              </w:rPr>
            </w:pPr>
            <w:r w:rsidRPr="0077700D">
              <w:rPr>
                <w:rFonts w:ascii="Cambria" w:eastAsia="Times New Roman" w:hAnsi="Cambria"/>
                <w:lang w:val="hr-HR"/>
              </w:rPr>
              <w:t xml:space="preserve">prof. dr. sc. Mirjana </w:t>
            </w:r>
            <w:proofErr w:type="spellStart"/>
            <w:r w:rsidRPr="0077700D">
              <w:rPr>
                <w:rFonts w:ascii="Cambria" w:eastAsia="Times New Roman" w:hAnsi="Cambria"/>
                <w:lang w:val="hr-HR"/>
              </w:rPr>
              <w:t>Radetić</w:t>
            </w:r>
            <w:proofErr w:type="spellEnd"/>
            <w:r w:rsidRPr="0077700D">
              <w:rPr>
                <w:rFonts w:ascii="Cambria" w:eastAsia="Times New Roman" w:hAnsi="Cambria"/>
                <w:lang w:val="hr-HR"/>
              </w:rPr>
              <w:t>-Paić</w:t>
            </w:r>
          </w:p>
          <w:p w14:paraId="10FB925C" w14:textId="77777777" w:rsidR="004E3FDC" w:rsidRPr="0077700D" w:rsidRDefault="004E3FDC" w:rsidP="00450B7A">
            <w:pPr>
              <w:widowControl w:val="0"/>
              <w:spacing w:after="0" w:line="240" w:lineRule="auto"/>
              <w:rPr>
                <w:rFonts w:ascii="Cambria" w:eastAsia="Times New Roman" w:hAnsi="Cambria"/>
                <w:lang w:val="hr-HR"/>
              </w:rPr>
            </w:pPr>
            <w:r w:rsidRPr="0077700D">
              <w:rPr>
                <w:rFonts w:ascii="Cambria" w:eastAsia="Times New Roman" w:hAnsi="Cambria"/>
                <w:lang w:val="hr-HR"/>
              </w:rPr>
              <w:t xml:space="preserve">dr. sc. Vanja Marković, naslovna pred. </w:t>
            </w:r>
          </w:p>
        </w:tc>
        <w:tc>
          <w:tcPr>
            <w:tcW w:w="278" w:type="pct"/>
            <w:tcBorders>
              <w:top w:val="single" w:sz="2" w:space="0" w:color="auto"/>
              <w:left w:val="single" w:sz="2" w:space="0" w:color="auto"/>
              <w:bottom w:val="single" w:sz="2" w:space="0" w:color="auto"/>
              <w:right w:val="single" w:sz="2" w:space="0" w:color="auto"/>
            </w:tcBorders>
            <w:vAlign w:val="center"/>
            <w:hideMark/>
          </w:tcPr>
          <w:p w14:paraId="1E2A8F38"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30</w:t>
            </w:r>
          </w:p>
        </w:tc>
        <w:tc>
          <w:tcPr>
            <w:tcW w:w="285" w:type="pct"/>
            <w:tcBorders>
              <w:top w:val="single" w:sz="2" w:space="0" w:color="auto"/>
              <w:left w:val="single" w:sz="2" w:space="0" w:color="auto"/>
              <w:bottom w:val="single" w:sz="2" w:space="0" w:color="auto"/>
              <w:right w:val="single" w:sz="2" w:space="0" w:color="auto"/>
            </w:tcBorders>
            <w:vAlign w:val="center"/>
          </w:tcPr>
          <w:p w14:paraId="61C508DF"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15</w:t>
            </w:r>
          </w:p>
        </w:tc>
        <w:tc>
          <w:tcPr>
            <w:tcW w:w="327" w:type="pct"/>
            <w:tcBorders>
              <w:top w:val="single" w:sz="2" w:space="0" w:color="auto"/>
              <w:left w:val="single" w:sz="2" w:space="0" w:color="auto"/>
              <w:bottom w:val="single" w:sz="2" w:space="0" w:color="auto"/>
              <w:right w:val="single" w:sz="2" w:space="0" w:color="auto"/>
            </w:tcBorders>
            <w:vAlign w:val="center"/>
            <w:hideMark/>
          </w:tcPr>
          <w:p w14:paraId="5EF22F52"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15</w:t>
            </w:r>
          </w:p>
        </w:tc>
        <w:tc>
          <w:tcPr>
            <w:tcW w:w="583" w:type="pct"/>
            <w:tcBorders>
              <w:top w:val="single" w:sz="2" w:space="0" w:color="auto"/>
              <w:left w:val="single" w:sz="2" w:space="0" w:color="auto"/>
              <w:bottom w:val="single" w:sz="2" w:space="0" w:color="auto"/>
              <w:right w:val="single" w:sz="2" w:space="0" w:color="auto"/>
            </w:tcBorders>
            <w:vAlign w:val="center"/>
            <w:hideMark/>
          </w:tcPr>
          <w:p w14:paraId="0C0E549A"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6</w:t>
            </w:r>
          </w:p>
        </w:tc>
      </w:tr>
      <w:tr w:rsidR="004E3FDC" w:rsidRPr="0077700D" w14:paraId="58439503" w14:textId="77777777" w:rsidTr="00450B7A">
        <w:trPr>
          <w:cantSplit/>
          <w:jc w:val="center"/>
        </w:trPr>
        <w:tc>
          <w:tcPr>
            <w:tcW w:w="1605" w:type="pct"/>
            <w:tcBorders>
              <w:top w:val="single" w:sz="2" w:space="0" w:color="auto"/>
              <w:left w:val="single" w:sz="2" w:space="0" w:color="auto"/>
              <w:bottom w:val="single" w:sz="2" w:space="0" w:color="auto"/>
              <w:right w:val="single" w:sz="2" w:space="0" w:color="auto"/>
            </w:tcBorders>
            <w:vAlign w:val="center"/>
            <w:hideMark/>
          </w:tcPr>
          <w:p w14:paraId="0076C28E" w14:textId="77777777" w:rsidR="004E3FDC" w:rsidRPr="0077700D" w:rsidRDefault="004E3FDC" w:rsidP="00450B7A">
            <w:pPr>
              <w:spacing w:after="0" w:line="240" w:lineRule="auto"/>
              <w:rPr>
                <w:rFonts w:ascii="Cambria" w:eastAsia="Times New Roman" w:hAnsi="Cambria"/>
                <w:b/>
                <w:bCs/>
                <w:lang w:val="hr-HR"/>
              </w:rPr>
            </w:pPr>
            <w:r w:rsidRPr="0077700D">
              <w:rPr>
                <w:rFonts w:ascii="Cambria" w:eastAsia="Times New Roman" w:hAnsi="Cambria"/>
                <w:b/>
                <w:bCs/>
                <w:lang w:val="hr-HR"/>
              </w:rPr>
              <w:t>273618</w:t>
            </w:r>
          </w:p>
          <w:p w14:paraId="671265D9" w14:textId="77777777" w:rsidR="004E3FDC" w:rsidRPr="0077700D" w:rsidRDefault="004E3FDC" w:rsidP="00450B7A">
            <w:pPr>
              <w:spacing w:after="0" w:line="240" w:lineRule="auto"/>
              <w:rPr>
                <w:rFonts w:ascii="Cambria" w:eastAsia="Times New Roman" w:hAnsi="Cambria"/>
                <w:lang w:val="hr-HR"/>
              </w:rPr>
            </w:pPr>
            <w:r w:rsidRPr="0077700D">
              <w:rPr>
                <w:rFonts w:ascii="Cambria" w:eastAsia="Times New Roman" w:hAnsi="Cambria"/>
                <w:lang w:val="hr-HR"/>
              </w:rPr>
              <w:t>Elementarna geometrija</w:t>
            </w:r>
          </w:p>
        </w:tc>
        <w:tc>
          <w:tcPr>
            <w:tcW w:w="1922" w:type="pct"/>
            <w:tcBorders>
              <w:top w:val="single" w:sz="2" w:space="0" w:color="auto"/>
              <w:left w:val="single" w:sz="2" w:space="0" w:color="auto"/>
              <w:bottom w:val="single" w:sz="2" w:space="0" w:color="auto"/>
              <w:right w:val="single" w:sz="2" w:space="0" w:color="auto"/>
            </w:tcBorders>
            <w:vAlign w:val="center"/>
            <w:hideMark/>
          </w:tcPr>
          <w:p w14:paraId="47DA32BD" w14:textId="77777777" w:rsidR="004E3FDC" w:rsidRPr="0077700D" w:rsidRDefault="004E3FDC" w:rsidP="00450B7A">
            <w:pPr>
              <w:spacing w:after="0" w:line="240" w:lineRule="auto"/>
              <w:rPr>
                <w:rFonts w:ascii="Cambria" w:eastAsia="Times New Roman" w:hAnsi="Cambria"/>
                <w:lang w:val="hr-HR"/>
              </w:rPr>
            </w:pPr>
            <w:r w:rsidRPr="0077700D">
              <w:rPr>
                <w:rFonts w:ascii="Cambria" w:eastAsia="Times New Roman" w:hAnsi="Cambria"/>
                <w:lang w:val="hr-HR"/>
              </w:rPr>
              <w:t>prof. dr. sc. Neven Grbac</w:t>
            </w:r>
          </w:p>
          <w:p w14:paraId="18D95A19" w14:textId="77777777" w:rsidR="004E3FDC" w:rsidRPr="0077700D" w:rsidRDefault="004E3FDC" w:rsidP="00450B7A">
            <w:pPr>
              <w:spacing w:after="0" w:line="240" w:lineRule="auto"/>
              <w:rPr>
                <w:rFonts w:ascii="Cambria" w:eastAsia="Times New Roman" w:hAnsi="Cambria"/>
                <w:lang w:val="hr-HR"/>
              </w:rPr>
            </w:pPr>
            <w:r w:rsidRPr="0077700D">
              <w:rPr>
                <w:rFonts w:ascii="Cambria" w:eastAsia="Times New Roman" w:hAnsi="Cambria"/>
                <w:lang w:val="hr-HR"/>
              </w:rPr>
              <w:t>dr. sc. Branka Antunović, viša asistentica</w:t>
            </w:r>
          </w:p>
        </w:tc>
        <w:tc>
          <w:tcPr>
            <w:tcW w:w="278" w:type="pct"/>
            <w:tcBorders>
              <w:top w:val="single" w:sz="2" w:space="0" w:color="auto"/>
              <w:left w:val="single" w:sz="2" w:space="0" w:color="auto"/>
              <w:bottom w:val="single" w:sz="2" w:space="0" w:color="auto"/>
              <w:right w:val="single" w:sz="2" w:space="0" w:color="auto"/>
            </w:tcBorders>
            <w:vAlign w:val="center"/>
            <w:hideMark/>
          </w:tcPr>
          <w:p w14:paraId="656237F6"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30</w:t>
            </w:r>
          </w:p>
        </w:tc>
        <w:tc>
          <w:tcPr>
            <w:tcW w:w="285" w:type="pct"/>
            <w:tcBorders>
              <w:top w:val="single" w:sz="2" w:space="0" w:color="auto"/>
              <w:left w:val="single" w:sz="2" w:space="0" w:color="auto"/>
              <w:bottom w:val="single" w:sz="2" w:space="0" w:color="auto"/>
              <w:right w:val="single" w:sz="2" w:space="0" w:color="auto"/>
            </w:tcBorders>
            <w:vAlign w:val="center"/>
          </w:tcPr>
          <w:p w14:paraId="0409D221"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0</w:t>
            </w:r>
          </w:p>
        </w:tc>
        <w:tc>
          <w:tcPr>
            <w:tcW w:w="327" w:type="pct"/>
            <w:tcBorders>
              <w:top w:val="single" w:sz="2" w:space="0" w:color="auto"/>
              <w:left w:val="single" w:sz="2" w:space="0" w:color="auto"/>
              <w:bottom w:val="single" w:sz="2" w:space="0" w:color="auto"/>
              <w:right w:val="single" w:sz="2" w:space="0" w:color="auto"/>
            </w:tcBorders>
            <w:vAlign w:val="center"/>
            <w:hideMark/>
          </w:tcPr>
          <w:p w14:paraId="07CEF5D6"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30</w:t>
            </w:r>
          </w:p>
        </w:tc>
        <w:tc>
          <w:tcPr>
            <w:tcW w:w="583" w:type="pct"/>
            <w:tcBorders>
              <w:top w:val="single" w:sz="2" w:space="0" w:color="auto"/>
              <w:left w:val="single" w:sz="2" w:space="0" w:color="auto"/>
              <w:bottom w:val="single" w:sz="2" w:space="0" w:color="auto"/>
              <w:right w:val="single" w:sz="2" w:space="0" w:color="auto"/>
            </w:tcBorders>
            <w:vAlign w:val="center"/>
            <w:hideMark/>
          </w:tcPr>
          <w:p w14:paraId="29B9CEE9"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6</w:t>
            </w:r>
          </w:p>
        </w:tc>
      </w:tr>
      <w:tr w:rsidR="004E3FDC" w:rsidRPr="0077700D" w14:paraId="4D811484" w14:textId="77777777" w:rsidTr="00450B7A">
        <w:trPr>
          <w:cantSplit/>
          <w:jc w:val="center"/>
        </w:trPr>
        <w:tc>
          <w:tcPr>
            <w:tcW w:w="1605" w:type="pct"/>
            <w:tcBorders>
              <w:top w:val="single" w:sz="2" w:space="0" w:color="auto"/>
              <w:left w:val="single" w:sz="2" w:space="0" w:color="auto"/>
              <w:bottom w:val="single" w:sz="2" w:space="0" w:color="auto"/>
              <w:right w:val="single" w:sz="2" w:space="0" w:color="auto"/>
            </w:tcBorders>
            <w:vAlign w:val="center"/>
          </w:tcPr>
          <w:p w14:paraId="33B88229" w14:textId="77777777" w:rsidR="004E3FDC" w:rsidRPr="0077700D" w:rsidRDefault="004E3FDC" w:rsidP="00450B7A">
            <w:pPr>
              <w:spacing w:after="0" w:line="240" w:lineRule="auto"/>
              <w:rPr>
                <w:rFonts w:ascii="Cambria" w:eastAsia="Times New Roman" w:hAnsi="Cambria"/>
                <w:b/>
                <w:bCs/>
                <w:lang w:val="hr-HR"/>
              </w:rPr>
            </w:pPr>
            <w:r w:rsidRPr="0077700D">
              <w:rPr>
                <w:rFonts w:ascii="Cambria" w:eastAsia="Times New Roman" w:hAnsi="Cambria"/>
                <w:b/>
                <w:bCs/>
                <w:lang w:val="hr-HR"/>
              </w:rPr>
              <w:t>273622</w:t>
            </w:r>
          </w:p>
          <w:p w14:paraId="48663237" w14:textId="77777777" w:rsidR="004E3FDC" w:rsidRPr="0077700D" w:rsidRDefault="004E3FDC" w:rsidP="00450B7A">
            <w:pPr>
              <w:spacing w:after="0" w:line="240" w:lineRule="auto"/>
              <w:rPr>
                <w:rFonts w:ascii="Cambria" w:eastAsia="Times New Roman" w:hAnsi="Cambria"/>
                <w:lang w:val="hr-HR"/>
              </w:rPr>
            </w:pPr>
            <w:r w:rsidRPr="0077700D">
              <w:rPr>
                <w:rFonts w:ascii="Cambria" w:eastAsia="Times New Roman" w:hAnsi="Cambria"/>
                <w:lang w:val="hr-HR"/>
              </w:rPr>
              <w:t>Informatika</w:t>
            </w:r>
          </w:p>
        </w:tc>
        <w:tc>
          <w:tcPr>
            <w:tcW w:w="1922" w:type="pct"/>
            <w:tcBorders>
              <w:top w:val="single" w:sz="2" w:space="0" w:color="auto"/>
              <w:left w:val="single" w:sz="2" w:space="0" w:color="auto"/>
              <w:bottom w:val="single" w:sz="2" w:space="0" w:color="auto"/>
              <w:right w:val="single" w:sz="2" w:space="0" w:color="auto"/>
            </w:tcBorders>
            <w:vAlign w:val="center"/>
          </w:tcPr>
          <w:p w14:paraId="13A14139" w14:textId="77777777" w:rsidR="004E3FDC" w:rsidRPr="00D2758E" w:rsidRDefault="004E3FDC" w:rsidP="00450B7A">
            <w:pPr>
              <w:spacing w:after="0" w:line="240" w:lineRule="auto"/>
              <w:rPr>
                <w:rFonts w:ascii="Cambria" w:eastAsia="Times New Roman" w:hAnsi="Cambria"/>
                <w:lang w:val="hr-HR"/>
              </w:rPr>
            </w:pPr>
            <w:r>
              <w:rPr>
                <w:rFonts w:ascii="Cambria" w:eastAsia="Times New Roman" w:hAnsi="Cambria"/>
                <w:lang w:val="hr-HR"/>
              </w:rPr>
              <w:t xml:space="preserve">naslovna </w:t>
            </w:r>
            <w:r w:rsidRPr="00B22A97">
              <w:rPr>
                <w:rFonts w:ascii="Cambria" w:eastAsia="Times New Roman" w:hAnsi="Cambria"/>
                <w:lang w:val="hr-HR"/>
              </w:rPr>
              <w:t xml:space="preserve">doc. dr. sc. Elena </w:t>
            </w:r>
            <w:proofErr w:type="spellStart"/>
            <w:r w:rsidRPr="00B22A97">
              <w:rPr>
                <w:rFonts w:ascii="Cambria" w:eastAsia="Times New Roman" w:hAnsi="Cambria"/>
                <w:lang w:val="hr-HR"/>
              </w:rPr>
              <w:t>Krelja</w:t>
            </w:r>
            <w:proofErr w:type="spellEnd"/>
            <w:r w:rsidRPr="00B22A97">
              <w:rPr>
                <w:rFonts w:ascii="Cambria" w:eastAsia="Times New Roman" w:hAnsi="Cambria"/>
                <w:lang w:val="hr-HR"/>
              </w:rPr>
              <w:t xml:space="preserve"> </w:t>
            </w:r>
            <w:proofErr w:type="spellStart"/>
            <w:r w:rsidRPr="00B22A97">
              <w:rPr>
                <w:rFonts w:ascii="Cambria" w:eastAsia="Times New Roman" w:hAnsi="Cambria"/>
                <w:lang w:val="hr-HR"/>
              </w:rPr>
              <w:t>Kurelović</w:t>
            </w:r>
            <w:proofErr w:type="spellEnd"/>
          </w:p>
          <w:p w14:paraId="2C4FE7FF" w14:textId="77777777" w:rsidR="004E3FDC" w:rsidRPr="0077700D" w:rsidRDefault="004E3FDC" w:rsidP="00450B7A">
            <w:pPr>
              <w:spacing w:after="0" w:line="240" w:lineRule="auto"/>
              <w:rPr>
                <w:rFonts w:ascii="Cambria" w:eastAsia="Times New Roman" w:hAnsi="Cambria"/>
                <w:lang w:val="hr-HR"/>
              </w:rPr>
            </w:pPr>
            <w:r w:rsidRPr="0077700D">
              <w:rPr>
                <w:rFonts w:ascii="Cambria" w:eastAsia="Times New Roman" w:hAnsi="Cambria"/>
                <w:lang w:val="hr-HR"/>
              </w:rPr>
              <w:t xml:space="preserve">Janko </w:t>
            </w:r>
            <w:proofErr w:type="spellStart"/>
            <w:r w:rsidRPr="0077700D">
              <w:rPr>
                <w:rFonts w:ascii="Cambria" w:eastAsia="Times New Roman" w:hAnsi="Cambria"/>
                <w:lang w:val="hr-HR"/>
              </w:rPr>
              <w:t>Žufić</w:t>
            </w:r>
            <w:proofErr w:type="spellEnd"/>
            <w:r w:rsidRPr="0077700D">
              <w:rPr>
                <w:rFonts w:ascii="Cambria" w:eastAsia="Times New Roman" w:hAnsi="Cambria"/>
                <w:lang w:val="hr-HR"/>
              </w:rPr>
              <w:t>, v. pred.</w:t>
            </w:r>
          </w:p>
        </w:tc>
        <w:tc>
          <w:tcPr>
            <w:tcW w:w="278" w:type="pct"/>
            <w:tcBorders>
              <w:top w:val="single" w:sz="2" w:space="0" w:color="auto"/>
              <w:left w:val="single" w:sz="2" w:space="0" w:color="auto"/>
              <w:bottom w:val="single" w:sz="2" w:space="0" w:color="auto"/>
              <w:right w:val="single" w:sz="2" w:space="0" w:color="auto"/>
            </w:tcBorders>
            <w:vAlign w:val="center"/>
          </w:tcPr>
          <w:p w14:paraId="1083F5A2"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30</w:t>
            </w:r>
          </w:p>
        </w:tc>
        <w:tc>
          <w:tcPr>
            <w:tcW w:w="285" w:type="pct"/>
            <w:tcBorders>
              <w:top w:val="single" w:sz="2" w:space="0" w:color="auto"/>
              <w:left w:val="single" w:sz="2" w:space="0" w:color="auto"/>
              <w:bottom w:val="single" w:sz="2" w:space="0" w:color="auto"/>
              <w:right w:val="single" w:sz="2" w:space="0" w:color="auto"/>
            </w:tcBorders>
            <w:vAlign w:val="center"/>
          </w:tcPr>
          <w:p w14:paraId="31731315"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15</w:t>
            </w:r>
          </w:p>
        </w:tc>
        <w:tc>
          <w:tcPr>
            <w:tcW w:w="327" w:type="pct"/>
            <w:tcBorders>
              <w:top w:val="single" w:sz="2" w:space="0" w:color="auto"/>
              <w:left w:val="single" w:sz="2" w:space="0" w:color="auto"/>
              <w:bottom w:val="single" w:sz="2" w:space="0" w:color="auto"/>
              <w:right w:val="single" w:sz="2" w:space="0" w:color="auto"/>
            </w:tcBorders>
            <w:vAlign w:val="center"/>
          </w:tcPr>
          <w:p w14:paraId="26AFCE31"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15</w:t>
            </w:r>
          </w:p>
        </w:tc>
        <w:tc>
          <w:tcPr>
            <w:tcW w:w="583" w:type="pct"/>
            <w:tcBorders>
              <w:top w:val="single" w:sz="2" w:space="0" w:color="auto"/>
              <w:left w:val="single" w:sz="2" w:space="0" w:color="auto"/>
              <w:bottom w:val="single" w:sz="2" w:space="0" w:color="auto"/>
              <w:right w:val="single" w:sz="2" w:space="0" w:color="auto"/>
            </w:tcBorders>
            <w:vAlign w:val="center"/>
          </w:tcPr>
          <w:p w14:paraId="4186052B"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6</w:t>
            </w:r>
          </w:p>
        </w:tc>
      </w:tr>
      <w:tr w:rsidR="004E3FDC" w:rsidRPr="0077700D" w14:paraId="2BFFC743" w14:textId="77777777" w:rsidTr="00450B7A">
        <w:trPr>
          <w:cantSplit/>
          <w:jc w:val="center"/>
        </w:trPr>
        <w:tc>
          <w:tcPr>
            <w:tcW w:w="1605" w:type="pct"/>
            <w:tcBorders>
              <w:top w:val="single" w:sz="2" w:space="0" w:color="auto"/>
              <w:left w:val="single" w:sz="2" w:space="0" w:color="auto"/>
              <w:bottom w:val="single" w:sz="2" w:space="0" w:color="auto"/>
              <w:right w:val="single" w:sz="2" w:space="0" w:color="auto"/>
            </w:tcBorders>
            <w:vAlign w:val="center"/>
          </w:tcPr>
          <w:p w14:paraId="6BFCFA3F" w14:textId="77777777" w:rsidR="004E3FDC" w:rsidRPr="0077700D" w:rsidRDefault="004E3FDC" w:rsidP="00450B7A">
            <w:pPr>
              <w:spacing w:after="0" w:line="240" w:lineRule="auto"/>
              <w:rPr>
                <w:rFonts w:ascii="Cambria" w:eastAsia="Times New Roman" w:hAnsi="Cambria"/>
                <w:b/>
                <w:bCs/>
                <w:lang w:val="hr-HR"/>
              </w:rPr>
            </w:pPr>
            <w:r w:rsidRPr="0077700D">
              <w:rPr>
                <w:rFonts w:ascii="Cambria" w:eastAsia="Times New Roman" w:hAnsi="Cambria"/>
                <w:b/>
                <w:bCs/>
                <w:lang w:val="hr-HR"/>
              </w:rPr>
              <w:t>273625</w:t>
            </w:r>
          </w:p>
          <w:p w14:paraId="63192B1C" w14:textId="77777777" w:rsidR="004E3FDC" w:rsidRPr="0077700D" w:rsidRDefault="004E3FDC" w:rsidP="00450B7A">
            <w:pPr>
              <w:spacing w:after="0" w:line="240" w:lineRule="auto"/>
              <w:rPr>
                <w:rFonts w:ascii="Cambria" w:eastAsia="Times New Roman" w:hAnsi="Cambria"/>
                <w:lang w:val="hr-HR"/>
              </w:rPr>
            </w:pPr>
            <w:r w:rsidRPr="0077700D">
              <w:rPr>
                <w:rFonts w:ascii="Cambria" w:eastAsia="Times New Roman" w:hAnsi="Cambria"/>
                <w:lang w:val="hr-HR"/>
              </w:rPr>
              <w:t>Prirodoslovlje</w:t>
            </w:r>
          </w:p>
        </w:tc>
        <w:tc>
          <w:tcPr>
            <w:tcW w:w="1922" w:type="pct"/>
            <w:tcBorders>
              <w:top w:val="single" w:sz="2" w:space="0" w:color="auto"/>
              <w:left w:val="single" w:sz="2" w:space="0" w:color="auto"/>
              <w:bottom w:val="single" w:sz="2" w:space="0" w:color="auto"/>
              <w:right w:val="single" w:sz="2" w:space="0" w:color="auto"/>
            </w:tcBorders>
            <w:vAlign w:val="center"/>
          </w:tcPr>
          <w:p w14:paraId="5797C47C" w14:textId="77777777" w:rsidR="004E3FDC" w:rsidRPr="0077700D" w:rsidRDefault="004E3FDC" w:rsidP="00450B7A">
            <w:pPr>
              <w:spacing w:after="0" w:line="240" w:lineRule="auto"/>
              <w:rPr>
                <w:rFonts w:ascii="Cambria" w:eastAsia="Times New Roman" w:hAnsi="Cambria"/>
                <w:lang w:val="hr-HR"/>
              </w:rPr>
            </w:pPr>
            <w:r w:rsidRPr="0077700D">
              <w:rPr>
                <w:rFonts w:ascii="Cambria" w:eastAsia="Times New Roman" w:hAnsi="Cambria"/>
                <w:lang w:val="hr-HR"/>
              </w:rPr>
              <w:t>izv. prof. dr. sc. Ines Kovačić</w:t>
            </w:r>
          </w:p>
          <w:p w14:paraId="7459B7CA" w14:textId="77777777" w:rsidR="004E3FDC" w:rsidRPr="0077700D" w:rsidRDefault="004E3FDC" w:rsidP="00450B7A">
            <w:pPr>
              <w:spacing w:after="0" w:line="240" w:lineRule="auto"/>
              <w:rPr>
                <w:rFonts w:ascii="Cambria" w:eastAsia="Times New Roman" w:hAnsi="Cambria"/>
                <w:lang w:val="hr-HR"/>
              </w:rPr>
            </w:pPr>
            <w:r>
              <w:rPr>
                <w:rFonts w:ascii="Cambria" w:eastAsia="Times New Roman" w:hAnsi="Cambria"/>
                <w:lang w:val="hr-HR"/>
              </w:rPr>
              <w:t>izv. prof</w:t>
            </w:r>
            <w:r w:rsidRPr="0077700D">
              <w:rPr>
                <w:rFonts w:ascii="Cambria" w:eastAsia="Times New Roman" w:hAnsi="Cambria"/>
                <w:lang w:val="hr-HR"/>
              </w:rPr>
              <w:t>. dr. sc. Petra Burić</w:t>
            </w:r>
          </w:p>
        </w:tc>
        <w:tc>
          <w:tcPr>
            <w:tcW w:w="278" w:type="pct"/>
            <w:tcBorders>
              <w:top w:val="single" w:sz="2" w:space="0" w:color="auto"/>
              <w:left w:val="single" w:sz="2" w:space="0" w:color="auto"/>
              <w:bottom w:val="single" w:sz="2" w:space="0" w:color="auto"/>
              <w:right w:val="single" w:sz="2" w:space="0" w:color="auto"/>
            </w:tcBorders>
            <w:vAlign w:val="center"/>
          </w:tcPr>
          <w:p w14:paraId="30ECAC0E"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30</w:t>
            </w:r>
          </w:p>
        </w:tc>
        <w:tc>
          <w:tcPr>
            <w:tcW w:w="285" w:type="pct"/>
            <w:tcBorders>
              <w:top w:val="single" w:sz="2" w:space="0" w:color="auto"/>
              <w:left w:val="single" w:sz="2" w:space="0" w:color="auto"/>
              <w:bottom w:val="single" w:sz="2" w:space="0" w:color="auto"/>
              <w:right w:val="single" w:sz="2" w:space="0" w:color="auto"/>
            </w:tcBorders>
            <w:vAlign w:val="center"/>
          </w:tcPr>
          <w:p w14:paraId="02916FAE"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15</w:t>
            </w:r>
          </w:p>
        </w:tc>
        <w:tc>
          <w:tcPr>
            <w:tcW w:w="327" w:type="pct"/>
            <w:tcBorders>
              <w:top w:val="single" w:sz="2" w:space="0" w:color="auto"/>
              <w:left w:val="single" w:sz="2" w:space="0" w:color="auto"/>
              <w:bottom w:val="single" w:sz="2" w:space="0" w:color="auto"/>
              <w:right w:val="single" w:sz="2" w:space="0" w:color="auto"/>
            </w:tcBorders>
            <w:vAlign w:val="center"/>
          </w:tcPr>
          <w:p w14:paraId="20760A7A"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15</w:t>
            </w:r>
          </w:p>
        </w:tc>
        <w:tc>
          <w:tcPr>
            <w:tcW w:w="583" w:type="pct"/>
            <w:tcBorders>
              <w:top w:val="single" w:sz="2" w:space="0" w:color="auto"/>
              <w:left w:val="single" w:sz="2" w:space="0" w:color="auto"/>
              <w:bottom w:val="single" w:sz="2" w:space="0" w:color="auto"/>
              <w:right w:val="single" w:sz="2" w:space="0" w:color="auto"/>
            </w:tcBorders>
            <w:vAlign w:val="center"/>
          </w:tcPr>
          <w:p w14:paraId="6B7CC0DD"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5</w:t>
            </w:r>
          </w:p>
        </w:tc>
      </w:tr>
      <w:tr w:rsidR="004E3FDC" w:rsidRPr="0077700D" w14:paraId="44B590A2" w14:textId="77777777" w:rsidTr="00450B7A">
        <w:trPr>
          <w:cantSplit/>
          <w:jc w:val="center"/>
        </w:trPr>
        <w:tc>
          <w:tcPr>
            <w:tcW w:w="1605" w:type="pct"/>
            <w:tcBorders>
              <w:top w:val="single" w:sz="2" w:space="0" w:color="auto"/>
              <w:left w:val="single" w:sz="2" w:space="0" w:color="auto"/>
              <w:bottom w:val="single" w:sz="2" w:space="0" w:color="auto"/>
              <w:right w:val="single" w:sz="2" w:space="0" w:color="auto"/>
            </w:tcBorders>
            <w:vAlign w:val="center"/>
          </w:tcPr>
          <w:p w14:paraId="0E8C1B40" w14:textId="77777777" w:rsidR="004E3FDC" w:rsidRPr="0077700D" w:rsidRDefault="004E3FDC" w:rsidP="00450B7A">
            <w:pPr>
              <w:spacing w:after="0" w:line="240" w:lineRule="auto"/>
              <w:rPr>
                <w:rFonts w:ascii="Cambria" w:eastAsia="Times New Roman" w:hAnsi="Cambria"/>
                <w:b/>
                <w:bCs/>
                <w:lang w:val="hr-HR"/>
              </w:rPr>
            </w:pPr>
            <w:r w:rsidRPr="0077700D">
              <w:rPr>
                <w:rFonts w:ascii="Cambria" w:eastAsia="Times New Roman" w:hAnsi="Cambria"/>
                <w:b/>
                <w:bCs/>
                <w:lang w:val="hr-HR"/>
              </w:rPr>
              <w:t>273627</w:t>
            </w:r>
          </w:p>
          <w:p w14:paraId="2FFE2BC9" w14:textId="77777777" w:rsidR="004E3FDC" w:rsidRPr="0077700D" w:rsidRDefault="004E3FDC" w:rsidP="00450B7A">
            <w:pPr>
              <w:spacing w:after="0" w:line="240" w:lineRule="auto"/>
              <w:rPr>
                <w:rFonts w:ascii="Cambria" w:eastAsia="Times New Roman" w:hAnsi="Cambria"/>
                <w:lang w:val="hr-HR"/>
              </w:rPr>
            </w:pPr>
            <w:r w:rsidRPr="0077700D">
              <w:rPr>
                <w:rFonts w:ascii="Cambria" w:eastAsia="Times New Roman" w:hAnsi="Cambria"/>
                <w:lang w:val="hr-HR"/>
              </w:rPr>
              <w:t>Etika učiteljskog poziva</w:t>
            </w:r>
          </w:p>
        </w:tc>
        <w:tc>
          <w:tcPr>
            <w:tcW w:w="1922" w:type="pct"/>
            <w:tcBorders>
              <w:top w:val="single" w:sz="2" w:space="0" w:color="auto"/>
              <w:left w:val="single" w:sz="2" w:space="0" w:color="auto"/>
              <w:bottom w:val="single" w:sz="2" w:space="0" w:color="auto"/>
              <w:right w:val="single" w:sz="2" w:space="0" w:color="auto"/>
            </w:tcBorders>
            <w:vAlign w:val="center"/>
          </w:tcPr>
          <w:p w14:paraId="44E28713" w14:textId="77777777" w:rsidR="004E3FDC" w:rsidRPr="0077700D" w:rsidRDefault="004E3FDC" w:rsidP="00450B7A">
            <w:pPr>
              <w:spacing w:after="0" w:line="240" w:lineRule="auto"/>
              <w:rPr>
                <w:rFonts w:ascii="Cambria" w:eastAsia="Times New Roman" w:hAnsi="Cambria"/>
                <w:lang w:val="hr-HR"/>
              </w:rPr>
            </w:pPr>
            <w:r w:rsidRPr="0077700D">
              <w:rPr>
                <w:rFonts w:ascii="Cambria" w:eastAsia="Times New Roman" w:hAnsi="Cambria"/>
                <w:lang w:val="hr-HR"/>
              </w:rPr>
              <w:t>doc. dr. sc. Alen Tafra</w:t>
            </w:r>
          </w:p>
        </w:tc>
        <w:tc>
          <w:tcPr>
            <w:tcW w:w="278" w:type="pct"/>
            <w:tcBorders>
              <w:top w:val="single" w:sz="2" w:space="0" w:color="auto"/>
              <w:left w:val="single" w:sz="2" w:space="0" w:color="auto"/>
              <w:bottom w:val="single" w:sz="2" w:space="0" w:color="auto"/>
              <w:right w:val="single" w:sz="2" w:space="0" w:color="auto"/>
            </w:tcBorders>
            <w:vAlign w:val="center"/>
          </w:tcPr>
          <w:p w14:paraId="4164C190"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30</w:t>
            </w:r>
          </w:p>
        </w:tc>
        <w:tc>
          <w:tcPr>
            <w:tcW w:w="285" w:type="pct"/>
            <w:tcBorders>
              <w:top w:val="single" w:sz="2" w:space="0" w:color="auto"/>
              <w:left w:val="single" w:sz="2" w:space="0" w:color="auto"/>
              <w:bottom w:val="single" w:sz="2" w:space="0" w:color="auto"/>
              <w:right w:val="single" w:sz="2" w:space="0" w:color="auto"/>
            </w:tcBorders>
            <w:vAlign w:val="center"/>
          </w:tcPr>
          <w:p w14:paraId="51628D19"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15</w:t>
            </w:r>
          </w:p>
        </w:tc>
        <w:tc>
          <w:tcPr>
            <w:tcW w:w="327" w:type="pct"/>
            <w:tcBorders>
              <w:top w:val="single" w:sz="2" w:space="0" w:color="auto"/>
              <w:left w:val="single" w:sz="2" w:space="0" w:color="auto"/>
              <w:bottom w:val="single" w:sz="2" w:space="0" w:color="auto"/>
              <w:right w:val="single" w:sz="2" w:space="0" w:color="auto"/>
            </w:tcBorders>
            <w:vAlign w:val="center"/>
          </w:tcPr>
          <w:p w14:paraId="4CCBE57A"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0</w:t>
            </w:r>
          </w:p>
        </w:tc>
        <w:tc>
          <w:tcPr>
            <w:tcW w:w="583" w:type="pct"/>
            <w:tcBorders>
              <w:top w:val="single" w:sz="2" w:space="0" w:color="auto"/>
              <w:left w:val="single" w:sz="2" w:space="0" w:color="auto"/>
              <w:bottom w:val="single" w:sz="2" w:space="0" w:color="auto"/>
              <w:right w:val="single" w:sz="2" w:space="0" w:color="auto"/>
            </w:tcBorders>
            <w:vAlign w:val="center"/>
          </w:tcPr>
          <w:p w14:paraId="452F5AA7"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4</w:t>
            </w:r>
          </w:p>
        </w:tc>
      </w:tr>
      <w:tr w:rsidR="004E3FDC" w:rsidRPr="0077700D" w14:paraId="28631645" w14:textId="77777777" w:rsidTr="00450B7A">
        <w:trPr>
          <w:cantSplit/>
          <w:jc w:val="center"/>
        </w:trPr>
        <w:tc>
          <w:tcPr>
            <w:tcW w:w="1605" w:type="pct"/>
            <w:tcBorders>
              <w:top w:val="single" w:sz="2" w:space="0" w:color="auto"/>
              <w:left w:val="single" w:sz="2" w:space="0" w:color="auto"/>
              <w:bottom w:val="single" w:sz="2" w:space="0" w:color="auto"/>
              <w:right w:val="single" w:sz="2" w:space="0" w:color="auto"/>
            </w:tcBorders>
            <w:vAlign w:val="center"/>
            <w:hideMark/>
          </w:tcPr>
          <w:p w14:paraId="047A7A23" w14:textId="77777777" w:rsidR="004E3FDC" w:rsidRPr="0077700D" w:rsidRDefault="004E3FDC" w:rsidP="00450B7A">
            <w:pPr>
              <w:spacing w:after="0" w:line="240" w:lineRule="auto"/>
              <w:rPr>
                <w:rFonts w:ascii="Cambria" w:eastAsia="Times New Roman" w:hAnsi="Cambria"/>
                <w:b/>
                <w:bCs/>
                <w:lang w:val="hr-HR"/>
              </w:rPr>
            </w:pPr>
            <w:r w:rsidRPr="0077700D">
              <w:rPr>
                <w:rFonts w:ascii="Cambria" w:eastAsia="Times New Roman" w:hAnsi="Cambria"/>
                <w:b/>
                <w:bCs/>
                <w:lang w:val="hr-HR"/>
              </w:rPr>
              <w:t>200004</w:t>
            </w:r>
          </w:p>
          <w:p w14:paraId="69AC37AD" w14:textId="77777777" w:rsidR="004E3FDC" w:rsidRPr="0077700D" w:rsidRDefault="004E3FDC" w:rsidP="00450B7A">
            <w:pPr>
              <w:spacing w:after="0" w:line="240" w:lineRule="auto"/>
              <w:rPr>
                <w:rFonts w:ascii="Cambria" w:eastAsia="Times New Roman" w:hAnsi="Cambria"/>
                <w:lang w:val="hr-HR"/>
              </w:rPr>
            </w:pPr>
            <w:r w:rsidRPr="0077700D">
              <w:rPr>
                <w:rFonts w:ascii="Cambria" w:eastAsia="Times New Roman" w:hAnsi="Cambria"/>
                <w:lang w:val="hr-HR"/>
              </w:rPr>
              <w:t>Glazbeni praktikum II</w:t>
            </w:r>
          </w:p>
        </w:tc>
        <w:tc>
          <w:tcPr>
            <w:tcW w:w="1922" w:type="pct"/>
            <w:tcBorders>
              <w:top w:val="single" w:sz="2" w:space="0" w:color="auto"/>
              <w:left w:val="single" w:sz="2" w:space="0" w:color="auto"/>
              <w:bottom w:val="single" w:sz="2" w:space="0" w:color="auto"/>
              <w:right w:val="single" w:sz="2" w:space="0" w:color="auto"/>
            </w:tcBorders>
            <w:vAlign w:val="center"/>
            <w:hideMark/>
          </w:tcPr>
          <w:p w14:paraId="0EE0D313" w14:textId="77777777" w:rsidR="004E3FDC" w:rsidRPr="0077700D" w:rsidRDefault="004E3FDC" w:rsidP="00450B7A">
            <w:pPr>
              <w:spacing w:after="0" w:line="240" w:lineRule="auto"/>
              <w:rPr>
                <w:rFonts w:ascii="Cambria" w:eastAsia="Times New Roman" w:hAnsi="Cambria"/>
                <w:lang w:val="hr-HR"/>
              </w:rPr>
            </w:pPr>
            <w:r w:rsidRPr="0077700D">
              <w:rPr>
                <w:rFonts w:ascii="Cambria" w:eastAsia="Times New Roman" w:hAnsi="Cambria"/>
                <w:lang w:val="hr-HR"/>
              </w:rPr>
              <w:t>prof. dr. sc. Ivana Paula Gortan-Carlin</w:t>
            </w:r>
          </w:p>
          <w:p w14:paraId="620E309B" w14:textId="77777777" w:rsidR="004E3FDC" w:rsidRPr="0077700D" w:rsidRDefault="004E3FDC" w:rsidP="00450B7A">
            <w:pPr>
              <w:spacing w:after="0" w:line="240" w:lineRule="auto"/>
              <w:rPr>
                <w:rFonts w:ascii="Cambria" w:eastAsia="Times New Roman" w:hAnsi="Cambria"/>
                <w:lang w:val="hr-HR"/>
              </w:rPr>
            </w:pPr>
            <w:r w:rsidRPr="0077700D">
              <w:rPr>
                <w:rFonts w:ascii="Cambria" w:eastAsia="Times New Roman" w:hAnsi="Cambria"/>
                <w:lang w:val="hr-HR"/>
              </w:rPr>
              <w:t>mr. sc. Branko Radić, pred.</w:t>
            </w:r>
          </w:p>
        </w:tc>
        <w:tc>
          <w:tcPr>
            <w:tcW w:w="278" w:type="pct"/>
            <w:tcBorders>
              <w:top w:val="single" w:sz="2" w:space="0" w:color="auto"/>
              <w:left w:val="single" w:sz="2" w:space="0" w:color="auto"/>
              <w:bottom w:val="single" w:sz="2" w:space="0" w:color="auto"/>
              <w:right w:val="single" w:sz="2" w:space="0" w:color="auto"/>
            </w:tcBorders>
            <w:vAlign w:val="center"/>
            <w:hideMark/>
          </w:tcPr>
          <w:p w14:paraId="556B86B2"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0</w:t>
            </w:r>
          </w:p>
        </w:tc>
        <w:tc>
          <w:tcPr>
            <w:tcW w:w="285" w:type="pct"/>
            <w:tcBorders>
              <w:top w:val="single" w:sz="2" w:space="0" w:color="auto"/>
              <w:left w:val="single" w:sz="2" w:space="0" w:color="auto"/>
              <w:bottom w:val="single" w:sz="2" w:space="0" w:color="auto"/>
              <w:right w:val="single" w:sz="2" w:space="0" w:color="auto"/>
            </w:tcBorders>
            <w:vAlign w:val="center"/>
          </w:tcPr>
          <w:p w14:paraId="191B3315"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0</w:t>
            </w:r>
          </w:p>
        </w:tc>
        <w:tc>
          <w:tcPr>
            <w:tcW w:w="327" w:type="pct"/>
            <w:tcBorders>
              <w:top w:val="single" w:sz="2" w:space="0" w:color="auto"/>
              <w:left w:val="single" w:sz="2" w:space="0" w:color="auto"/>
              <w:bottom w:val="single" w:sz="2" w:space="0" w:color="auto"/>
              <w:right w:val="single" w:sz="2" w:space="0" w:color="auto"/>
            </w:tcBorders>
            <w:vAlign w:val="center"/>
            <w:hideMark/>
          </w:tcPr>
          <w:p w14:paraId="43836CFE"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30</w:t>
            </w:r>
          </w:p>
        </w:tc>
        <w:tc>
          <w:tcPr>
            <w:tcW w:w="583" w:type="pct"/>
            <w:tcBorders>
              <w:top w:val="single" w:sz="2" w:space="0" w:color="auto"/>
              <w:left w:val="single" w:sz="2" w:space="0" w:color="auto"/>
              <w:bottom w:val="single" w:sz="2" w:space="0" w:color="auto"/>
              <w:right w:val="single" w:sz="2" w:space="0" w:color="auto"/>
            </w:tcBorders>
            <w:vAlign w:val="center"/>
            <w:hideMark/>
          </w:tcPr>
          <w:p w14:paraId="23F9273D"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2</w:t>
            </w:r>
          </w:p>
        </w:tc>
      </w:tr>
      <w:tr w:rsidR="004E3FDC" w:rsidRPr="0077700D" w14:paraId="40506B21" w14:textId="77777777" w:rsidTr="00450B7A">
        <w:trPr>
          <w:cantSplit/>
          <w:jc w:val="center"/>
        </w:trPr>
        <w:tc>
          <w:tcPr>
            <w:tcW w:w="1605" w:type="pct"/>
            <w:tcBorders>
              <w:top w:val="single" w:sz="2" w:space="0" w:color="auto"/>
              <w:left w:val="single" w:sz="2" w:space="0" w:color="auto"/>
              <w:bottom w:val="single" w:sz="2" w:space="0" w:color="auto"/>
              <w:right w:val="single" w:sz="2" w:space="0" w:color="auto"/>
            </w:tcBorders>
            <w:vAlign w:val="center"/>
            <w:hideMark/>
          </w:tcPr>
          <w:p w14:paraId="7C5A1700" w14:textId="77777777" w:rsidR="004E3FDC" w:rsidRPr="0077700D" w:rsidRDefault="004E3FDC" w:rsidP="00450B7A">
            <w:pPr>
              <w:widowControl w:val="0"/>
              <w:spacing w:after="0" w:line="240" w:lineRule="auto"/>
              <w:rPr>
                <w:rFonts w:ascii="Cambria" w:eastAsia="Times New Roman" w:hAnsi="Cambria"/>
                <w:b/>
                <w:lang w:val="hr-HR"/>
              </w:rPr>
            </w:pPr>
            <w:r w:rsidRPr="0077700D">
              <w:rPr>
                <w:rFonts w:ascii="Cambria" w:eastAsia="Times New Roman" w:hAnsi="Cambria"/>
                <w:b/>
                <w:lang w:val="hr-HR"/>
              </w:rPr>
              <w:t>42329</w:t>
            </w:r>
          </w:p>
          <w:p w14:paraId="27315536" w14:textId="77777777" w:rsidR="004E3FDC" w:rsidRPr="0077700D" w:rsidRDefault="004E3FDC" w:rsidP="00450B7A">
            <w:pPr>
              <w:spacing w:after="0" w:line="240" w:lineRule="auto"/>
              <w:rPr>
                <w:rFonts w:ascii="Cambria" w:eastAsia="Times New Roman" w:hAnsi="Cambria"/>
                <w:lang w:val="hr-HR"/>
              </w:rPr>
            </w:pPr>
            <w:r w:rsidRPr="0077700D">
              <w:rPr>
                <w:rFonts w:ascii="Cambria" w:eastAsia="Times New Roman" w:hAnsi="Cambria"/>
                <w:lang w:val="hr-HR"/>
              </w:rPr>
              <w:t>Kineziološka kultura IV</w:t>
            </w:r>
          </w:p>
        </w:tc>
        <w:tc>
          <w:tcPr>
            <w:tcW w:w="1922" w:type="pct"/>
            <w:tcBorders>
              <w:top w:val="single" w:sz="2" w:space="0" w:color="auto"/>
              <w:left w:val="single" w:sz="2" w:space="0" w:color="auto"/>
              <w:bottom w:val="single" w:sz="2" w:space="0" w:color="auto"/>
              <w:right w:val="single" w:sz="2" w:space="0" w:color="auto"/>
            </w:tcBorders>
            <w:vAlign w:val="center"/>
            <w:hideMark/>
          </w:tcPr>
          <w:p w14:paraId="2A9EB5FC" w14:textId="77777777" w:rsidR="004E3FDC" w:rsidRPr="0077700D" w:rsidRDefault="004E3FDC" w:rsidP="00450B7A">
            <w:pPr>
              <w:widowControl w:val="0"/>
              <w:spacing w:after="0" w:line="240" w:lineRule="auto"/>
              <w:rPr>
                <w:rFonts w:ascii="Cambria" w:eastAsia="Times New Roman" w:hAnsi="Cambria"/>
                <w:lang w:val="hr-HR"/>
              </w:rPr>
            </w:pPr>
            <w:r w:rsidRPr="0077700D">
              <w:rPr>
                <w:rFonts w:ascii="Cambria" w:eastAsia="Times New Roman" w:hAnsi="Cambria"/>
                <w:lang w:val="hr-HR"/>
              </w:rPr>
              <w:t>prof. dr. sc. Iva Blažević</w:t>
            </w:r>
          </w:p>
          <w:p w14:paraId="25B85552" w14:textId="77777777" w:rsidR="004E3FDC" w:rsidRPr="0077700D" w:rsidRDefault="004E3FDC" w:rsidP="00450B7A">
            <w:pPr>
              <w:widowControl w:val="0"/>
              <w:spacing w:after="0" w:line="240" w:lineRule="auto"/>
              <w:rPr>
                <w:rFonts w:ascii="Cambria" w:eastAsia="Times New Roman" w:hAnsi="Cambria"/>
                <w:lang w:val="hr-HR"/>
              </w:rPr>
            </w:pPr>
            <w:r w:rsidRPr="0077700D">
              <w:rPr>
                <w:rFonts w:ascii="Cambria" w:eastAsia="Times New Roman" w:hAnsi="Cambria"/>
                <w:lang w:val="hr-HR"/>
              </w:rPr>
              <w:t>dr. sc. Ivan Oreb, pred.</w:t>
            </w:r>
          </w:p>
        </w:tc>
        <w:tc>
          <w:tcPr>
            <w:tcW w:w="278" w:type="pct"/>
            <w:tcBorders>
              <w:top w:val="single" w:sz="2" w:space="0" w:color="auto"/>
              <w:left w:val="single" w:sz="2" w:space="0" w:color="auto"/>
              <w:bottom w:val="single" w:sz="2" w:space="0" w:color="auto"/>
              <w:right w:val="single" w:sz="2" w:space="0" w:color="auto"/>
            </w:tcBorders>
            <w:vAlign w:val="center"/>
            <w:hideMark/>
          </w:tcPr>
          <w:p w14:paraId="2BADFD49"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0</w:t>
            </w:r>
          </w:p>
        </w:tc>
        <w:tc>
          <w:tcPr>
            <w:tcW w:w="285" w:type="pct"/>
            <w:tcBorders>
              <w:top w:val="single" w:sz="2" w:space="0" w:color="auto"/>
              <w:left w:val="single" w:sz="2" w:space="0" w:color="auto"/>
              <w:bottom w:val="single" w:sz="2" w:space="0" w:color="auto"/>
              <w:right w:val="single" w:sz="2" w:space="0" w:color="auto"/>
            </w:tcBorders>
            <w:vAlign w:val="center"/>
          </w:tcPr>
          <w:p w14:paraId="4CDAB2D5"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0</w:t>
            </w:r>
          </w:p>
        </w:tc>
        <w:tc>
          <w:tcPr>
            <w:tcW w:w="327" w:type="pct"/>
            <w:tcBorders>
              <w:top w:val="single" w:sz="2" w:space="0" w:color="auto"/>
              <w:left w:val="single" w:sz="2" w:space="0" w:color="auto"/>
              <w:bottom w:val="single" w:sz="2" w:space="0" w:color="auto"/>
              <w:right w:val="single" w:sz="2" w:space="0" w:color="auto"/>
            </w:tcBorders>
            <w:vAlign w:val="center"/>
            <w:hideMark/>
          </w:tcPr>
          <w:p w14:paraId="7D0B82FF"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30</w:t>
            </w:r>
          </w:p>
        </w:tc>
        <w:tc>
          <w:tcPr>
            <w:tcW w:w="583" w:type="pct"/>
            <w:tcBorders>
              <w:top w:val="single" w:sz="2" w:space="0" w:color="auto"/>
              <w:left w:val="single" w:sz="2" w:space="0" w:color="auto"/>
              <w:bottom w:val="single" w:sz="2" w:space="0" w:color="auto"/>
              <w:right w:val="single" w:sz="2" w:space="0" w:color="auto"/>
            </w:tcBorders>
            <w:vAlign w:val="center"/>
            <w:hideMark/>
          </w:tcPr>
          <w:p w14:paraId="3DAD66E0"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1</w:t>
            </w:r>
          </w:p>
        </w:tc>
      </w:tr>
      <w:tr w:rsidR="004E3FDC" w:rsidRPr="0077700D" w14:paraId="40EF1A60" w14:textId="77777777" w:rsidTr="00450B7A">
        <w:trPr>
          <w:cantSplit/>
          <w:jc w:val="center"/>
        </w:trPr>
        <w:tc>
          <w:tcPr>
            <w:tcW w:w="1605" w:type="pct"/>
            <w:tcBorders>
              <w:top w:val="single" w:sz="2" w:space="0" w:color="auto"/>
              <w:left w:val="single" w:sz="2" w:space="0" w:color="auto"/>
              <w:bottom w:val="single" w:sz="2" w:space="0" w:color="auto"/>
              <w:right w:val="single" w:sz="2" w:space="0" w:color="auto"/>
            </w:tcBorders>
            <w:vAlign w:val="center"/>
            <w:hideMark/>
          </w:tcPr>
          <w:p w14:paraId="682A9CF7" w14:textId="77777777" w:rsidR="004E3FDC" w:rsidRPr="0077700D" w:rsidRDefault="004E3FDC" w:rsidP="00450B7A">
            <w:pPr>
              <w:spacing w:after="0" w:line="240" w:lineRule="auto"/>
              <w:rPr>
                <w:rFonts w:ascii="Cambria" w:eastAsia="Times New Roman" w:hAnsi="Cambria"/>
                <w:b/>
                <w:lang w:val="hr-HR"/>
              </w:rPr>
            </w:pPr>
            <w:r w:rsidRPr="0077700D">
              <w:rPr>
                <w:rFonts w:ascii="Cambria" w:eastAsia="Times New Roman" w:hAnsi="Cambria"/>
                <w:b/>
                <w:lang w:val="hr-HR"/>
              </w:rPr>
              <w:t>Ukupno</w:t>
            </w:r>
          </w:p>
        </w:tc>
        <w:tc>
          <w:tcPr>
            <w:tcW w:w="1922" w:type="pct"/>
            <w:tcBorders>
              <w:top w:val="single" w:sz="2" w:space="0" w:color="auto"/>
              <w:left w:val="single" w:sz="2" w:space="0" w:color="auto"/>
              <w:bottom w:val="single" w:sz="2" w:space="0" w:color="auto"/>
              <w:right w:val="single" w:sz="2" w:space="0" w:color="auto"/>
            </w:tcBorders>
            <w:vAlign w:val="center"/>
          </w:tcPr>
          <w:p w14:paraId="45D4909D" w14:textId="77777777" w:rsidR="004E3FDC" w:rsidRPr="0077700D" w:rsidRDefault="004E3FDC" w:rsidP="00450B7A">
            <w:pPr>
              <w:widowControl w:val="0"/>
              <w:spacing w:after="0" w:line="240" w:lineRule="auto"/>
              <w:rPr>
                <w:rFonts w:ascii="Cambria" w:eastAsia="Times New Roman" w:hAnsi="Cambria"/>
                <w:b/>
                <w:lang w:val="hr-HR"/>
              </w:rPr>
            </w:pPr>
          </w:p>
        </w:tc>
        <w:tc>
          <w:tcPr>
            <w:tcW w:w="278" w:type="pct"/>
            <w:tcBorders>
              <w:top w:val="single" w:sz="2" w:space="0" w:color="auto"/>
              <w:left w:val="single" w:sz="2" w:space="0" w:color="auto"/>
              <w:bottom w:val="single" w:sz="2" w:space="0" w:color="auto"/>
              <w:right w:val="single" w:sz="2" w:space="0" w:color="auto"/>
            </w:tcBorders>
            <w:vAlign w:val="center"/>
          </w:tcPr>
          <w:p w14:paraId="06BCAB8F" w14:textId="77777777" w:rsidR="004E3FDC" w:rsidRPr="0077700D" w:rsidRDefault="004E3FDC" w:rsidP="00450B7A">
            <w:pPr>
              <w:spacing w:after="0" w:line="240" w:lineRule="auto"/>
              <w:jc w:val="center"/>
              <w:rPr>
                <w:rFonts w:ascii="Cambria" w:eastAsia="Times New Roman" w:hAnsi="Cambria"/>
                <w:b/>
                <w:lang w:val="hr-HR"/>
              </w:rPr>
            </w:pPr>
          </w:p>
        </w:tc>
        <w:tc>
          <w:tcPr>
            <w:tcW w:w="285" w:type="pct"/>
            <w:tcBorders>
              <w:top w:val="single" w:sz="2" w:space="0" w:color="auto"/>
              <w:left w:val="single" w:sz="2" w:space="0" w:color="auto"/>
              <w:bottom w:val="single" w:sz="2" w:space="0" w:color="auto"/>
              <w:right w:val="single" w:sz="2" w:space="0" w:color="auto"/>
            </w:tcBorders>
            <w:vAlign w:val="center"/>
          </w:tcPr>
          <w:p w14:paraId="0F0E3C3B" w14:textId="77777777" w:rsidR="004E3FDC" w:rsidRPr="0077700D" w:rsidRDefault="004E3FDC" w:rsidP="00450B7A">
            <w:pPr>
              <w:spacing w:after="0" w:line="240" w:lineRule="auto"/>
              <w:jc w:val="center"/>
              <w:rPr>
                <w:rFonts w:ascii="Cambria" w:eastAsia="Times New Roman" w:hAnsi="Cambria"/>
                <w:b/>
                <w:lang w:val="hr-HR"/>
              </w:rPr>
            </w:pPr>
          </w:p>
        </w:tc>
        <w:tc>
          <w:tcPr>
            <w:tcW w:w="327" w:type="pct"/>
            <w:tcBorders>
              <w:top w:val="single" w:sz="2" w:space="0" w:color="auto"/>
              <w:left w:val="single" w:sz="2" w:space="0" w:color="auto"/>
              <w:bottom w:val="single" w:sz="2" w:space="0" w:color="auto"/>
              <w:right w:val="single" w:sz="2" w:space="0" w:color="auto"/>
            </w:tcBorders>
            <w:vAlign w:val="center"/>
          </w:tcPr>
          <w:p w14:paraId="30296E83" w14:textId="77777777" w:rsidR="004E3FDC" w:rsidRPr="0077700D" w:rsidRDefault="004E3FDC" w:rsidP="00450B7A">
            <w:pPr>
              <w:spacing w:after="0" w:line="240" w:lineRule="auto"/>
              <w:jc w:val="center"/>
              <w:rPr>
                <w:rFonts w:ascii="Cambria" w:eastAsia="Times New Roman" w:hAnsi="Cambria"/>
                <w:b/>
                <w:lang w:val="hr-HR"/>
              </w:rPr>
            </w:pPr>
          </w:p>
        </w:tc>
        <w:tc>
          <w:tcPr>
            <w:tcW w:w="583" w:type="pct"/>
            <w:tcBorders>
              <w:top w:val="single" w:sz="2" w:space="0" w:color="auto"/>
              <w:left w:val="single" w:sz="2" w:space="0" w:color="auto"/>
              <w:bottom w:val="single" w:sz="2" w:space="0" w:color="auto"/>
              <w:right w:val="single" w:sz="2" w:space="0" w:color="auto"/>
            </w:tcBorders>
            <w:vAlign w:val="center"/>
            <w:hideMark/>
          </w:tcPr>
          <w:p w14:paraId="40817194" w14:textId="77777777" w:rsidR="004E3FDC" w:rsidRPr="0077700D" w:rsidRDefault="004E3FDC" w:rsidP="00450B7A">
            <w:pPr>
              <w:spacing w:after="0" w:line="240" w:lineRule="auto"/>
              <w:jc w:val="center"/>
              <w:rPr>
                <w:rFonts w:ascii="Cambria" w:eastAsia="Times New Roman" w:hAnsi="Cambria"/>
                <w:b/>
                <w:lang w:val="hr-HR"/>
              </w:rPr>
            </w:pPr>
            <w:r w:rsidRPr="0077700D">
              <w:rPr>
                <w:rFonts w:ascii="Cambria" w:eastAsia="Times New Roman" w:hAnsi="Cambria"/>
                <w:b/>
                <w:lang w:val="hr-HR"/>
              </w:rPr>
              <w:t>30</w:t>
            </w:r>
          </w:p>
        </w:tc>
      </w:tr>
    </w:tbl>
    <w:p w14:paraId="2FD3A606" w14:textId="77777777" w:rsidR="004E3FDC" w:rsidRPr="0077700D" w:rsidRDefault="004E3FDC" w:rsidP="004E3FDC">
      <w:pPr>
        <w:spacing w:after="0" w:line="240" w:lineRule="auto"/>
        <w:rPr>
          <w:rFonts w:ascii="Cambria" w:eastAsia="Times New Roman" w:hAnsi="Cambria"/>
          <w:lang w:val="hr-HR"/>
        </w:rPr>
      </w:pPr>
    </w:p>
    <w:p w14:paraId="65950327" w14:textId="77777777" w:rsidR="004E3FDC" w:rsidRPr="0077700D" w:rsidRDefault="004E3FDC" w:rsidP="004E3FDC">
      <w:pPr>
        <w:widowControl w:val="0"/>
        <w:spacing w:after="120" w:line="240" w:lineRule="auto"/>
        <w:ind w:left="357"/>
        <w:jc w:val="center"/>
        <w:rPr>
          <w:rFonts w:ascii="Cambria" w:eastAsia="Times New Roman" w:hAnsi="Cambria"/>
          <w:b/>
          <w:lang w:val="hr-HR"/>
        </w:rPr>
      </w:pPr>
      <w:r w:rsidRPr="0077700D">
        <w:rPr>
          <w:rFonts w:ascii="Cambria" w:eastAsia="Times New Roman" w:hAnsi="Cambria"/>
          <w:b/>
          <w:lang w:val="hr-HR"/>
        </w:rPr>
        <w:t>3. GODINA</w:t>
      </w:r>
    </w:p>
    <w:tbl>
      <w:tblPr>
        <w:tblW w:w="4866"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136"/>
        <w:gridCol w:w="3705"/>
        <w:gridCol w:w="605"/>
        <w:gridCol w:w="605"/>
        <w:gridCol w:w="732"/>
        <w:gridCol w:w="982"/>
      </w:tblGrid>
      <w:tr w:rsidR="004E3FDC" w:rsidRPr="0077700D" w14:paraId="3C0F45A7" w14:textId="77777777" w:rsidTr="00450B7A">
        <w:trPr>
          <w:cantSplit/>
          <w:jc w:val="center"/>
        </w:trPr>
        <w:tc>
          <w:tcPr>
            <w:tcW w:w="5000" w:type="pct"/>
            <w:gridSpan w:val="6"/>
            <w:tcBorders>
              <w:top w:val="single" w:sz="2" w:space="0" w:color="auto"/>
              <w:left w:val="single" w:sz="2" w:space="0" w:color="auto"/>
              <w:bottom w:val="single" w:sz="2" w:space="0" w:color="auto"/>
              <w:right w:val="single" w:sz="2" w:space="0" w:color="auto"/>
            </w:tcBorders>
            <w:shd w:val="clear" w:color="auto" w:fill="33CCCC"/>
            <w:vAlign w:val="center"/>
            <w:hideMark/>
          </w:tcPr>
          <w:p w14:paraId="20A6DA3E" w14:textId="77777777" w:rsidR="004E3FDC" w:rsidRPr="0077700D" w:rsidRDefault="004E3FDC" w:rsidP="00450B7A">
            <w:pPr>
              <w:spacing w:after="0" w:line="240" w:lineRule="auto"/>
              <w:jc w:val="center"/>
              <w:rPr>
                <w:rFonts w:ascii="Cambria" w:eastAsia="Times New Roman" w:hAnsi="Cambria"/>
                <w:b/>
                <w:bCs/>
                <w:lang w:val="hr-HR"/>
              </w:rPr>
            </w:pPr>
            <w:bookmarkStart w:id="37" w:name="_Toc209340478"/>
            <w:bookmarkStart w:id="38" w:name="_Toc209420856"/>
            <w:bookmarkStart w:id="39" w:name="_Toc209421237"/>
            <w:bookmarkStart w:id="40" w:name="_Toc209789832"/>
            <w:r w:rsidRPr="0077700D">
              <w:rPr>
                <w:rFonts w:ascii="Cambria" w:eastAsia="Times New Roman" w:hAnsi="Cambria"/>
                <w:b/>
                <w:bCs/>
                <w:lang w:val="hr-HR"/>
              </w:rPr>
              <w:t>V. semestar</w:t>
            </w:r>
            <w:bookmarkEnd w:id="37"/>
            <w:bookmarkEnd w:id="38"/>
            <w:bookmarkEnd w:id="39"/>
            <w:bookmarkEnd w:id="40"/>
          </w:p>
        </w:tc>
      </w:tr>
      <w:tr w:rsidR="004E3FDC" w:rsidRPr="0077700D" w14:paraId="722250B0" w14:textId="77777777" w:rsidTr="00450B7A">
        <w:trPr>
          <w:cantSplit/>
          <w:jc w:val="center"/>
        </w:trPr>
        <w:tc>
          <w:tcPr>
            <w:tcW w:w="1605" w:type="pct"/>
            <w:tcBorders>
              <w:top w:val="single" w:sz="2" w:space="0" w:color="auto"/>
              <w:left w:val="single" w:sz="2" w:space="0" w:color="auto"/>
              <w:bottom w:val="single" w:sz="2" w:space="0" w:color="auto"/>
              <w:right w:val="single" w:sz="2" w:space="0" w:color="auto"/>
            </w:tcBorders>
            <w:vAlign w:val="center"/>
            <w:hideMark/>
          </w:tcPr>
          <w:p w14:paraId="30EFFC4C" w14:textId="77777777" w:rsidR="004E3FDC" w:rsidRPr="0077700D" w:rsidRDefault="004E3FDC" w:rsidP="00450B7A">
            <w:pPr>
              <w:widowControl w:val="0"/>
              <w:spacing w:after="0" w:line="240" w:lineRule="auto"/>
              <w:rPr>
                <w:rFonts w:ascii="Cambria" w:eastAsia="Times New Roman" w:hAnsi="Cambria"/>
                <w:b/>
                <w:lang w:val="hr-HR"/>
              </w:rPr>
            </w:pPr>
            <w:r w:rsidRPr="0077700D">
              <w:rPr>
                <w:rFonts w:ascii="Cambria" w:eastAsia="Times New Roman" w:hAnsi="Cambria"/>
                <w:b/>
                <w:lang w:val="hr-HR"/>
              </w:rPr>
              <w:t>Predmet</w:t>
            </w:r>
          </w:p>
        </w:tc>
        <w:tc>
          <w:tcPr>
            <w:tcW w:w="1897" w:type="pct"/>
            <w:tcBorders>
              <w:top w:val="single" w:sz="2" w:space="0" w:color="auto"/>
              <w:left w:val="single" w:sz="2" w:space="0" w:color="auto"/>
              <w:bottom w:val="single" w:sz="2" w:space="0" w:color="auto"/>
              <w:right w:val="single" w:sz="2" w:space="0" w:color="auto"/>
            </w:tcBorders>
            <w:vAlign w:val="center"/>
            <w:hideMark/>
          </w:tcPr>
          <w:p w14:paraId="01AEC748" w14:textId="77777777" w:rsidR="004E3FDC" w:rsidRPr="0077700D" w:rsidRDefault="004E3FDC" w:rsidP="00450B7A">
            <w:pPr>
              <w:widowControl w:val="0"/>
              <w:spacing w:after="0" w:line="240" w:lineRule="auto"/>
              <w:rPr>
                <w:rFonts w:ascii="Cambria" w:eastAsia="Times New Roman" w:hAnsi="Cambria"/>
                <w:b/>
                <w:lang w:val="hr-HR"/>
              </w:rPr>
            </w:pPr>
            <w:r w:rsidRPr="0077700D">
              <w:rPr>
                <w:rFonts w:ascii="Cambria" w:eastAsia="Times New Roman" w:hAnsi="Cambria"/>
                <w:b/>
                <w:lang w:val="hr-HR"/>
              </w:rPr>
              <w:t>Nastavnik/</w:t>
            </w:r>
            <w:proofErr w:type="spellStart"/>
            <w:r w:rsidRPr="0077700D">
              <w:rPr>
                <w:rFonts w:ascii="Cambria" w:eastAsia="Times New Roman" w:hAnsi="Cambria"/>
                <w:b/>
                <w:lang w:val="hr-HR"/>
              </w:rPr>
              <w:t>ica</w:t>
            </w:r>
            <w:proofErr w:type="spellEnd"/>
          </w:p>
        </w:tc>
        <w:tc>
          <w:tcPr>
            <w:tcW w:w="310" w:type="pct"/>
            <w:tcBorders>
              <w:top w:val="single" w:sz="2" w:space="0" w:color="auto"/>
              <w:left w:val="single" w:sz="2" w:space="0" w:color="auto"/>
              <w:bottom w:val="single" w:sz="2" w:space="0" w:color="auto"/>
              <w:right w:val="single" w:sz="2" w:space="0" w:color="auto"/>
            </w:tcBorders>
            <w:vAlign w:val="center"/>
            <w:hideMark/>
          </w:tcPr>
          <w:p w14:paraId="291FB634" w14:textId="77777777" w:rsidR="004E3FDC" w:rsidRPr="0077700D" w:rsidRDefault="004E3FDC" w:rsidP="00450B7A">
            <w:pPr>
              <w:spacing w:after="0" w:line="240" w:lineRule="auto"/>
              <w:jc w:val="center"/>
              <w:rPr>
                <w:rFonts w:ascii="Cambria" w:eastAsia="Times New Roman" w:hAnsi="Cambria"/>
                <w:b/>
                <w:bCs/>
                <w:caps/>
                <w:lang w:val="hr-HR"/>
              </w:rPr>
            </w:pPr>
            <w:bookmarkStart w:id="41" w:name="_Toc208818027"/>
            <w:bookmarkStart w:id="42" w:name="_Toc208819685"/>
            <w:bookmarkStart w:id="43" w:name="_Toc208904376"/>
            <w:bookmarkStart w:id="44" w:name="_Toc209340479"/>
            <w:bookmarkStart w:id="45" w:name="_Toc209420857"/>
            <w:bookmarkStart w:id="46" w:name="_Toc209421238"/>
            <w:bookmarkStart w:id="47" w:name="_Toc209789833"/>
            <w:r w:rsidRPr="0077700D">
              <w:rPr>
                <w:rFonts w:ascii="Cambria" w:eastAsia="Times New Roman" w:hAnsi="Cambria"/>
                <w:b/>
                <w:bCs/>
                <w:caps/>
                <w:lang w:val="hr-HR"/>
              </w:rPr>
              <w:t>P</w:t>
            </w:r>
            <w:bookmarkEnd w:id="41"/>
            <w:bookmarkEnd w:id="42"/>
            <w:bookmarkEnd w:id="43"/>
            <w:bookmarkEnd w:id="44"/>
            <w:bookmarkEnd w:id="45"/>
            <w:bookmarkEnd w:id="46"/>
            <w:bookmarkEnd w:id="47"/>
          </w:p>
        </w:tc>
        <w:tc>
          <w:tcPr>
            <w:tcW w:w="310" w:type="pct"/>
            <w:tcBorders>
              <w:top w:val="single" w:sz="2" w:space="0" w:color="auto"/>
              <w:left w:val="single" w:sz="2" w:space="0" w:color="auto"/>
              <w:bottom w:val="single" w:sz="2" w:space="0" w:color="auto"/>
              <w:right w:val="single" w:sz="2" w:space="0" w:color="auto"/>
            </w:tcBorders>
            <w:vAlign w:val="center"/>
          </w:tcPr>
          <w:p w14:paraId="409DA057" w14:textId="77777777" w:rsidR="004E3FDC" w:rsidRPr="0077700D" w:rsidRDefault="004E3FDC" w:rsidP="00450B7A">
            <w:pPr>
              <w:spacing w:after="0" w:line="240" w:lineRule="auto"/>
              <w:jc w:val="center"/>
              <w:rPr>
                <w:rFonts w:ascii="Cambria" w:eastAsia="Times New Roman" w:hAnsi="Cambria"/>
                <w:b/>
                <w:bCs/>
                <w:caps/>
                <w:lang w:val="hr-HR"/>
              </w:rPr>
            </w:pPr>
            <w:r w:rsidRPr="0077700D">
              <w:rPr>
                <w:rFonts w:ascii="Cambria" w:eastAsia="Times New Roman" w:hAnsi="Cambria"/>
                <w:b/>
                <w:bCs/>
                <w:caps/>
                <w:lang w:val="hr-HR"/>
              </w:rPr>
              <w:t>S</w:t>
            </w:r>
          </w:p>
        </w:tc>
        <w:tc>
          <w:tcPr>
            <w:tcW w:w="375" w:type="pct"/>
            <w:tcBorders>
              <w:top w:val="single" w:sz="2" w:space="0" w:color="auto"/>
              <w:left w:val="single" w:sz="2" w:space="0" w:color="auto"/>
              <w:bottom w:val="single" w:sz="2" w:space="0" w:color="auto"/>
              <w:right w:val="single" w:sz="2" w:space="0" w:color="auto"/>
            </w:tcBorders>
            <w:vAlign w:val="center"/>
            <w:hideMark/>
          </w:tcPr>
          <w:p w14:paraId="7A1D03F7" w14:textId="77777777" w:rsidR="004E3FDC" w:rsidRPr="0077700D" w:rsidRDefault="004E3FDC" w:rsidP="00450B7A">
            <w:pPr>
              <w:spacing w:after="0" w:line="240" w:lineRule="auto"/>
              <w:jc w:val="center"/>
              <w:rPr>
                <w:rFonts w:ascii="Cambria" w:eastAsia="Times New Roman" w:hAnsi="Cambria"/>
                <w:b/>
                <w:bCs/>
                <w:caps/>
                <w:lang w:val="hr-HR"/>
              </w:rPr>
            </w:pPr>
            <w:r w:rsidRPr="0077700D">
              <w:rPr>
                <w:rFonts w:ascii="Cambria" w:eastAsia="Times New Roman" w:hAnsi="Cambria"/>
                <w:b/>
                <w:bCs/>
                <w:caps/>
                <w:lang w:val="hr-HR"/>
              </w:rPr>
              <w:t>V</w:t>
            </w:r>
          </w:p>
        </w:tc>
        <w:tc>
          <w:tcPr>
            <w:tcW w:w="503" w:type="pct"/>
            <w:tcBorders>
              <w:top w:val="single" w:sz="2" w:space="0" w:color="auto"/>
              <w:left w:val="single" w:sz="2" w:space="0" w:color="auto"/>
              <w:bottom w:val="single" w:sz="2" w:space="0" w:color="auto"/>
              <w:right w:val="single" w:sz="2" w:space="0" w:color="auto"/>
            </w:tcBorders>
            <w:vAlign w:val="center"/>
            <w:hideMark/>
          </w:tcPr>
          <w:p w14:paraId="462E1D2E" w14:textId="77777777" w:rsidR="004E3FDC" w:rsidRPr="0077700D" w:rsidRDefault="004E3FDC" w:rsidP="00450B7A">
            <w:pPr>
              <w:spacing w:after="0" w:line="240" w:lineRule="auto"/>
              <w:jc w:val="center"/>
              <w:rPr>
                <w:rFonts w:ascii="Cambria" w:eastAsia="Times New Roman" w:hAnsi="Cambria"/>
                <w:b/>
                <w:bCs/>
                <w:caps/>
                <w:lang w:val="hr-HR"/>
              </w:rPr>
            </w:pPr>
            <w:r w:rsidRPr="0077700D">
              <w:rPr>
                <w:rFonts w:ascii="Cambria" w:eastAsia="Times New Roman" w:hAnsi="Cambria"/>
                <w:b/>
                <w:bCs/>
                <w:caps/>
                <w:lang w:val="hr-HR"/>
              </w:rPr>
              <w:t>ECTS</w:t>
            </w:r>
          </w:p>
        </w:tc>
      </w:tr>
      <w:tr w:rsidR="004E3FDC" w:rsidRPr="0077700D" w14:paraId="7354592D" w14:textId="77777777" w:rsidTr="00450B7A">
        <w:trPr>
          <w:cantSplit/>
          <w:jc w:val="center"/>
        </w:trPr>
        <w:tc>
          <w:tcPr>
            <w:tcW w:w="1605" w:type="pct"/>
            <w:tcBorders>
              <w:top w:val="single" w:sz="2" w:space="0" w:color="auto"/>
              <w:left w:val="single" w:sz="2" w:space="0" w:color="auto"/>
              <w:bottom w:val="single" w:sz="2" w:space="0" w:color="auto"/>
              <w:right w:val="single" w:sz="2" w:space="0" w:color="auto"/>
            </w:tcBorders>
            <w:vAlign w:val="center"/>
          </w:tcPr>
          <w:p w14:paraId="297E6E1E" w14:textId="77777777" w:rsidR="004E3FDC" w:rsidRPr="008B5777" w:rsidRDefault="004E3FDC" w:rsidP="00450B7A">
            <w:pPr>
              <w:spacing w:after="0" w:line="240" w:lineRule="auto"/>
              <w:rPr>
                <w:rFonts w:ascii="Cambria" w:eastAsia="Times New Roman" w:hAnsi="Cambria"/>
                <w:b/>
                <w:lang w:val="hr-HR"/>
              </w:rPr>
            </w:pPr>
            <w:r>
              <w:rPr>
                <w:rFonts w:ascii="Cambria" w:eastAsia="Times New Roman" w:hAnsi="Cambria"/>
                <w:b/>
                <w:lang w:val="hr-HR"/>
              </w:rPr>
              <w:t>227433</w:t>
            </w:r>
          </w:p>
          <w:p w14:paraId="72534A3D" w14:textId="77777777" w:rsidR="004E3FDC" w:rsidRPr="0077700D" w:rsidRDefault="004E3FDC" w:rsidP="00450B7A">
            <w:pPr>
              <w:spacing w:after="0" w:line="240" w:lineRule="auto"/>
              <w:rPr>
                <w:rFonts w:ascii="Cambria" w:eastAsia="Times New Roman" w:hAnsi="Cambria"/>
                <w:lang w:val="hr-HR"/>
              </w:rPr>
            </w:pPr>
            <w:r w:rsidRPr="0077700D">
              <w:rPr>
                <w:rFonts w:ascii="Cambria" w:eastAsia="Times New Roman" w:hAnsi="Cambria"/>
                <w:lang w:val="hr-HR"/>
              </w:rPr>
              <w:t>Socijalna pedagogija</w:t>
            </w:r>
          </w:p>
        </w:tc>
        <w:tc>
          <w:tcPr>
            <w:tcW w:w="1897" w:type="pct"/>
            <w:tcBorders>
              <w:top w:val="single" w:sz="2" w:space="0" w:color="auto"/>
              <w:left w:val="single" w:sz="2" w:space="0" w:color="auto"/>
              <w:bottom w:val="single" w:sz="2" w:space="0" w:color="auto"/>
              <w:right w:val="single" w:sz="2" w:space="0" w:color="auto"/>
            </w:tcBorders>
            <w:vAlign w:val="center"/>
          </w:tcPr>
          <w:p w14:paraId="00540219" w14:textId="77777777" w:rsidR="004E3FDC" w:rsidRPr="0077700D" w:rsidRDefault="004E3FDC" w:rsidP="00450B7A">
            <w:pPr>
              <w:widowControl w:val="0"/>
              <w:spacing w:after="0" w:line="240" w:lineRule="auto"/>
              <w:rPr>
                <w:rFonts w:ascii="Cambria" w:eastAsia="Times New Roman" w:hAnsi="Cambria"/>
                <w:lang w:val="hr-HR"/>
              </w:rPr>
            </w:pPr>
            <w:r w:rsidRPr="0077700D">
              <w:rPr>
                <w:rFonts w:ascii="Cambria" w:eastAsia="Times New Roman" w:hAnsi="Cambria"/>
                <w:lang w:val="hr-HR"/>
              </w:rPr>
              <w:t xml:space="preserve">prof. dr. sc. Mirjana </w:t>
            </w:r>
            <w:proofErr w:type="spellStart"/>
            <w:r w:rsidRPr="0077700D">
              <w:rPr>
                <w:rFonts w:ascii="Cambria" w:eastAsia="Times New Roman" w:hAnsi="Cambria"/>
                <w:lang w:val="hr-HR"/>
              </w:rPr>
              <w:t>Radetić</w:t>
            </w:r>
            <w:proofErr w:type="spellEnd"/>
            <w:r w:rsidRPr="0077700D">
              <w:rPr>
                <w:rFonts w:ascii="Cambria" w:eastAsia="Times New Roman" w:hAnsi="Cambria"/>
                <w:lang w:val="hr-HR"/>
              </w:rPr>
              <w:t>-Paić</w:t>
            </w:r>
          </w:p>
        </w:tc>
        <w:tc>
          <w:tcPr>
            <w:tcW w:w="310" w:type="pct"/>
            <w:tcBorders>
              <w:top w:val="single" w:sz="2" w:space="0" w:color="auto"/>
              <w:left w:val="single" w:sz="2" w:space="0" w:color="auto"/>
              <w:bottom w:val="single" w:sz="2" w:space="0" w:color="auto"/>
              <w:right w:val="single" w:sz="2" w:space="0" w:color="auto"/>
            </w:tcBorders>
            <w:vAlign w:val="center"/>
          </w:tcPr>
          <w:p w14:paraId="31E116FB"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30</w:t>
            </w:r>
          </w:p>
        </w:tc>
        <w:tc>
          <w:tcPr>
            <w:tcW w:w="310" w:type="pct"/>
            <w:tcBorders>
              <w:top w:val="single" w:sz="2" w:space="0" w:color="auto"/>
              <w:left w:val="single" w:sz="2" w:space="0" w:color="auto"/>
              <w:bottom w:val="single" w:sz="2" w:space="0" w:color="auto"/>
              <w:right w:val="single" w:sz="2" w:space="0" w:color="auto"/>
            </w:tcBorders>
            <w:vAlign w:val="center"/>
          </w:tcPr>
          <w:p w14:paraId="233B60DF"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15</w:t>
            </w:r>
          </w:p>
        </w:tc>
        <w:tc>
          <w:tcPr>
            <w:tcW w:w="375" w:type="pct"/>
            <w:tcBorders>
              <w:top w:val="single" w:sz="2" w:space="0" w:color="auto"/>
              <w:left w:val="single" w:sz="2" w:space="0" w:color="auto"/>
              <w:bottom w:val="single" w:sz="2" w:space="0" w:color="auto"/>
              <w:right w:val="single" w:sz="2" w:space="0" w:color="auto"/>
            </w:tcBorders>
            <w:vAlign w:val="center"/>
          </w:tcPr>
          <w:p w14:paraId="38000A07"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0</w:t>
            </w:r>
          </w:p>
        </w:tc>
        <w:tc>
          <w:tcPr>
            <w:tcW w:w="503" w:type="pct"/>
            <w:tcBorders>
              <w:top w:val="single" w:sz="2" w:space="0" w:color="auto"/>
              <w:left w:val="single" w:sz="2" w:space="0" w:color="auto"/>
              <w:bottom w:val="single" w:sz="2" w:space="0" w:color="auto"/>
              <w:right w:val="single" w:sz="2" w:space="0" w:color="auto"/>
            </w:tcBorders>
            <w:vAlign w:val="center"/>
          </w:tcPr>
          <w:p w14:paraId="748D7F2A"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3</w:t>
            </w:r>
          </w:p>
        </w:tc>
      </w:tr>
      <w:tr w:rsidR="004E3FDC" w:rsidRPr="0077700D" w14:paraId="19161013" w14:textId="77777777" w:rsidTr="00450B7A">
        <w:trPr>
          <w:cantSplit/>
          <w:jc w:val="center"/>
        </w:trPr>
        <w:tc>
          <w:tcPr>
            <w:tcW w:w="1605" w:type="pct"/>
            <w:tcBorders>
              <w:top w:val="single" w:sz="2" w:space="0" w:color="auto"/>
              <w:left w:val="single" w:sz="2" w:space="0" w:color="auto"/>
              <w:bottom w:val="single" w:sz="2" w:space="0" w:color="auto"/>
              <w:right w:val="single" w:sz="2" w:space="0" w:color="auto"/>
            </w:tcBorders>
            <w:vAlign w:val="center"/>
          </w:tcPr>
          <w:p w14:paraId="05EE1B59" w14:textId="77777777" w:rsidR="004E3FDC" w:rsidRPr="00671B0E" w:rsidRDefault="004E3FDC" w:rsidP="00450B7A">
            <w:pPr>
              <w:spacing w:after="0" w:line="240" w:lineRule="auto"/>
              <w:rPr>
                <w:rFonts w:ascii="Cambria" w:eastAsia="Times New Roman" w:hAnsi="Cambria"/>
                <w:b/>
                <w:lang w:val="hr-HR"/>
              </w:rPr>
            </w:pPr>
            <w:r w:rsidRPr="00671B0E">
              <w:rPr>
                <w:rFonts w:ascii="Cambria" w:eastAsia="Times New Roman" w:hAnsi="Cambria"/>
                <w:b/>
                <w:lang w:val="hr-HR"/>
              </w:rPr>
              <w:t>288181</w:t>
            </w:r>
          </w:p>
          <w:p w14:paraId="1A9BCC86" w14:textId="77777777" w:rsidR="004E3FDC" w:rsidRPr="00671B0E" w:rsidRDefault="004E3FDC" w:rsidP="00450B7A">
            <w:pPr>
              <w:spacing w:after="0" w:line="240" w:lineRule="auto"/>
              <w:rPr>
                <w:rFonts w:ascii="Cambria" w:eastAsia="Times New Roman" w:hAnsi="Cambria"/>
                <w:lang w:val="hr-HR"/>
              </w:rPr>
            </w:pPr>
            <w:r w:rsidRPr="00671B0E">
              <w:rPr>
                <w:rFonts w:ascii="Cambria" w:eastAsia="Times New Roman" w:hAnsi="Cambria"/>
                <w:lang w:val="hr-HR"/>
              </w:rPr>
              <w:t>Uporaba ICT-a u odgoju i obrazovanju</w:t>
            </w:r>
          </w:p>
        </w:tc>
        <w:tc>
          <w:tcPr>
            <w:tcW w:w="1897" w:type="pct"/>
            <w:tcBorders>
              <w:top w:val="single" w:sz="2" w:space="0" w:color="auto"/>
              <w:left w:val="single" w:sz="2" w:space="0" w:color="auto"/>
              <w:bottom w:val="single" w:sz="2" w:space="0" w:color="auto"/>
              <w:right w:val="single" w:sz="2" w:space="0" w:color="auto"/>
            </w:tcBorders>
            <w:vAlign w:val="center"/>
          </w:tcPr>
          <w:p w14:paraId="6601E414" w14:textId="77777777" w:rsidR="004E3FDC" w:rsidRDefault="004E3FDC" w:rsidP="00450B7A">
            <w:pPr>
              <w:spacing w:after="0" w:line="240" w:lineRule="auto"/>
              <w:rPr>
                <w:rFonts w:ascii="Cambria" w:eastAsia="Times New Roman" w:hAnsi="Cambria"/>
                <w:lang w:val="hr-HR"/>
              </w:rPr>
            </w:pPr>
            <w:r w:rsidRPr="008F16A6">
              <w:rPr>
                <w:rFonts w:ascii="Cambria" w:eastAsia="Times New Roman" w:hAnsi="Cambria"/>
                <w:lang w:val="hr-HR"/>
              </w:rPr>
              <w:t>prof. dr. sc. Maja Ružić</w:t>
            </w:r>
          </w:p>
          <w:p w14:paraId="7197C454" w14:textId="77777777" w:rsidR="004E3FDC" w:rsidRPr="008F16A6" w:rsidRDefault="004E3FDC" w:rsidP="00450B7A">
            <w:pPr>
              <w:spacing w:after="0" w:line="240" w:lineRule="auto"/>
              <w:rPr>
                <w:rFonts w:ascii="Cambria" w:eastAsia="Times New Roman" w:hAnsi="Cambria"/>
                <w:lang w:val="hr-HR"/>
              </w:rPr>
            </w:pPr>
            <w:r>
              <w:rPr>
                <w:rFonts w:ascii="Cambria" w:eastAsia="Times New Roman" w:hAnsi="Cambria"/>
                <w:lang w:val="hr-HR"/>
              </w:rPr>
              <w:t xml:space="preserve">Janko </w:t>
            </w:r>
            <w:proofErr w:type="spellStart"/>
            <w:r>
              <w:rPr>
                <w:rFonts w:ascii="Cambria" w:eastAsia="Times New Roman" w:hAnsi="Cambria"/>
                <w:lang w:val="hr-HR"/>
              </w:rPr>
              <w:t>Žufić</w:t>
            </w:r>
            <w:proofErr w:type="spellEnd"/>
            <w:r>
              <w:rPr>
                <w:rFonts w:ascii="Cambria" w:eastAsia="Times New Roman" w:hAnsi="Cambria"/>
                <w:lang w:val="hr-HR"/>
              </w:rPr>
              <w:t xml:space="preserve">, v. pred. </w:t>
            </w:r>
          </w:p>
        </w:tc>
        <w:tc>
          <w:tcPr>
            <w:tcW w:w="310" w:type="pct"/>
            <w:tcBorders>
              <w:top w:val="single" w:sz="2" w:space="0" w:color="auto"/>
              <w:left w:val="single" w:sz="2" w:space="0" w:color="auto"/>
              <w:bottom w:val="single" w:sz="2" w:space="0" w:color="auto"/>
              <w:right w:val="single" w:sz="2" w:space="0" w:color="auto"/>
            </w:tcBorders>
            <w:vAlign w:val="center"/>
          </w:tcPr>
          <w:p w14:paraId="6653CE63"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30</w:t>
            </w:r>
          </w:p>
        </w:tc>
        <w:tc>
          <w:tcPr>
            <w:tcW w:w="310" w:type="pct"/>
            <w:tcBorders>
              <w:top w:val="single" w:sz="2" w:space="0" w:color="auto"/>
              <w:left w:val="single" w:sz="2" w:space="0" w:color="auto"/>
              <w:bottom w:val="single" w:sz="2" w:space="0" w:color="auto"/>
              <w:right w:val="single" w:sz="2" w:space="0" w:color="auto"/>
            </w:tcBorders>
            <w:vAlign w:val="center"/>
          </w:tcPr>
          <w:p w14:paraId="3821A02E"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15</w:t>
            </w:r>
          </w:p>
        </w:tc>
        <w:tc>
          <w:tcPr>
            <w:tcW w:w="375" w:type="pct"/>
            <w:tcBorders>
              <w:top w:val="single" w:sz="2" w:space="0" w:color="auto"/>
              <w:left w:val="single" w:sz="2" w:space="0" w:color="auto"/>
              <w:bottom w:val="single" w:sz="2" w:space="0" w:color="auto"/>
              <w:right w:val="single" w:sz="2" w:space="0" w:color="auto"/>
            </w:tcBorders>
            <w:vAlign w:val="center"/>
          </w:tcPr>
          <w:p w14:paraId="7D0AD3FB"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0</w:t>
            </w:r>
          </w:p>
        </w:tc>
        <w:tc>
          <w:tcPr>
            <w:tcW w:w="503" w:type="pct"/>
            <w:tcBorders>
              <w:top w:val="single" w:sz="2" w:space="0" w:color="auto"/>
              <w:left w:val="single" w:sz="2" w:space="0" w:color="auto"/>
              <w:bottom w:val="single" w:sz="2" w:space="0" w:color="auto"/>
              <w:right w:val="single" w:sz="2" w:space="0" w:color="auto"/>
            </w:tcBorders>
            <w:vAlign w:val="center"/>
          </w:tcPr>
          <w:p w14:paraId="23734B22"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4</w:t>
            </w:r>
          </w:p>
        </w:tc>
      </w:tr>
      <w:tr w:rsidR="004E3FDC" w:rsidRPr="0077700D" w14:paraId="1AE677D4" w14:textId="77777777" w:rsidTr="00450B7A">
        <w:trPr>
          <w:cantSplit/>
          <w:jc w:val="center"/>
        </w:trPr>
        <w:tc>
          <w:tcPr>
            <w:tcW w:w="1605" w:type="pct"/>
            <w:tcBorders>
              <w:top w:val="single" w:sz="2" w:space="0" w:color="auto"/>
              <w:left w:val="single" w:sz="2" w:space="0" w:color="auto"/>
              <w:bottom w:val="single" w:sz="2" w:space="0" w:color="auto"/>
              <w:right w:val="single" w:sz="2" w:space="0" w:color="auto"/>
            </w:tcBorders>
            <w:vAlign w:val="center"/>
          </w:tcPr>
          <w:p w14:paraId="7E736FA2" w14:textId="77777777" w:rsidR="004E3FDC" w:rsidRPr="00671B0E" w:rsidRDefault="004E3FDC" w:rsidP="00450B7A">
            <w:pPr>
              <w:spacing w:after="0" w:line="240" w:lineRule="auto"/>
              <w:rPr>
                <w:rFonts w:ascii="Cambria" w:eastAsia="Times New Roman" w:hAnsi="Cambria"/>
                <w:b/>
                <w:lang w:val="hr-HR"/>
              </w:rPr>
            </w:pPr>
            <w:r w:rsidRPr="00671B0E">
              <w:rPr>
                <w:rFonts w:ascii="Cambria" w:eastAsia="Times New Roman" w:hAnsi="Cambria"/>
                <w:b/>
                <w:lang w:val="hr-HR"/>
              </w:rPr>
              <w:t>288182</w:t>
            </w:r>
          </w:p>
          <w:p w14:paraId="2D8E85AD" w14:textId="77777777" w:rsidR="004E3FDC" w:rsidRPr="00671B0E" w:rsidRDefault="004E3FDC" w:rsidP="00450B7A">
            <w:pPr>
              <w:spacing w:after="0" w:line="240" w:lineRule="auto"/>
              <w:rPr>
                <w:rFonts w:ascii="Cambria" w:eastAsia="Times New Roman" w:hAnsi="Cambria"/>
                <w:lang w:val="hr-HR"/>
              </w:rPr>
            </w:pPr>
            <w:r w:rsidRPr="00671B0E">
              <w:rPr>
                <w:rFonts w:ascii="Cambria" w:eastAsia="Times New Roman" w:hAnsi="Cambria"/>
                <w:lang w:val="hr-HR"/>
              </w:rPr>
              <w:t>Kineziologija</w:t>
            </w:r>
          </w:p>
        </w:tc>
        <w:tc>
          <w:tcPr>
            <w:tcW w:w="1897" w:type="pct"/>
            <w:tcBorders>
              <w:top w:val="single" w:sz="2" w:space="0" w:color="auto"/>
              <w:left w:val="single" w:sz="2" w:space="0" w:color="auto"/>
              <w:bottom w:val="single" w:sz="2" w:space="0" w:color="auto"/>
              <w:right w:val="single" w:sz="2" w:space="0" w:color="auto"/>
            </w:tcBorders>
            <w:vAlign w:val="center"/>
          </w:tcPr>
          <w:p w14:paraId="4FAB0002" w14:textId="77777777" w:rsidR="004E3FDC" w:rsidRDefault="004E3FDC" w:rsidP="00450B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mbria" w:eastAsia="Times New Roman" w:hAnsi="Cambria"/>
                <w:lang w:val="hr-HR"/>
              </w:rPr>
            </w:pPr>
            <w:r w:rsidRPr="0077700D">
              <w:rPr>
                <w:rFonts w:ascii="Cambria" w:eastAsia="Times New Roman" w:hAnsi="Cambria"/>
                <w:lang w:val="hr-HR"/>
              </w:rPr>
              <w:t>prof. dr. sc. Iva Blažević</w:t>
            </w:r>
          </w:p>
          <w:p w14:paraId="6E2C3579" w14:textId="77777777" w:rsidR="004E3FDC" w:rsidRPr="0077700D" w:rsidRDefault="004E3FDC" w:rsidP="00450B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mbria" w:eastAsia="Times New Roman" w:hAnsi="Cambria"/>
                <w:lang w:val="hr-HR"/>
              </w:rPr>
            </w:pPr>
            <w:r>
              <w:rPr>
                <w:rFonts w:ascii="Cambria" w:eastAsia="Times New Roman" w:hAnsi="Cambria"/>
                <w:lang w:val="hr-HR"/>
              </w:rPr>
              <w:t>dr. sc. Ivan Oreb, pred.</w:t>
            </w:r>
          </w:p>
        </w:tc>
        <w:tc>
          <w:tcPr>
            <w:tcW w:w="310" w:type="pct"/>
            <w:tcBorders>
              <w:top w:val="single" w:sz="2" w:space="0" w:color="auto"/>
              <w:left w:val="single" w:sz="2" w:space="0" w:color="auto"/>
              <w:bottom w:val="single" w:sz="2" w:space="0" w:color="auto"/>
              <w:right w:val="single" w:sz="2" w:space="0" w:color="auto"/>
            </w:tcBorders>
            <w:vAlign w:val="center"/>
          </w:tcPr>
          <w:p w14:paraId="310C609D"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15</w:t>
            </w:r>
          </w:p>
        </w:tc>
        <w:tc>
          <w:tcPr>
            <w:tcW w:w="310" w:type="pct"/>
            <w:tcBorders>
              <w:top w:val="single" w:sz="2" w:space="0" w:color="auto"/>
              <w:left w:val="single" w:sz="2" w:space="0" w:color="auto"/>
              <w:bottom w:val="single" w:sz="2" w:space="0" w:color="auto"/>
              <w:right w:val="single" w:sz="2" w:space="0" w:color="auto"/>
            </w:tcBorders>
            <w:vAlign w:val="center"/>
          </w:tcPr>
          <w:p w14:paraId="42E3320A"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15</w:t>
            </w:r>
          </w:p>
        </w:tc>
        <w:tc>
          <w:tcPr>
            <w:tcW w:w="375" w:type="pct"/>
            <w:tcBorders>
              <w:top w:val="single" w:sz="2" w:space="0" w:color="auto"/>
              <w:left w:val="single" w:sz="2" w:space="0" w:color="auto"/>
              <w:bottom w:val="single" w:sz="2" w:space="0" w:color="auto"/>
              <w:right w:val="single" w:sz="2" w:space="0" w:color="auto"/>
            </w:tcBorders>
            <w:vAlign w:val="center"/>
          </w:tcPr>
          <w:p w14:paraId="21037CA8"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15</w:t>
            </w:r>
          </w:p>
        </w:tc>
        <w:tc>
          <w:tcPr>
            <w:tcW w:w="503" w:type="pct"/>
            <w:tcBorders>
              <w:top w:val="single" w:sz="2" w:space="0" w:color="auto"/>
              <w:left w:val="single" w:sz="2" w:space="0" w:color="auto"/>
              <w:bottom w:val="single" w:sz="2" w:space="0" w:color="auto"/>
              <w:right w:val="single" w:sz="2" w:space="0" w:color="auto"/>
            </w:tcBorders>
            <w:vAlign w:val="center"/>
          </w:tcPr>
          <w:p w14:paraId="1DD1F666"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4</w:t>
            </w:r>
          </w:p>
        </w:tc>
      </w:tr>
      <w:tr w:rsidR="004E3FDC" w:rsidRPr="0077700D" w14:paraId="5C776EE8" w14:textId="77777777" w:rsidTr="00450B7A">
        <w:trPr>
          <w:cantSplit/>
          <w:jc w:val="center"/>
        </w:trPr>
        <w:tc>
          <w:tcPr>
            <w:tcW w:w="1605" w:type="pct"/>
            <w:tcBorders>
              <w:top w:val="single" w:sz="2" w:space="0" w:color="auto"/>
              <w:left w:val="single" w:sz="2" w:space="0" w:color="auto"/>
              <w:bottom w:val="single" w:sz="2" w:space="0" w:color="auto"/>
              <w:right w:val="single" w:sz="2" w:space="0" w:color="auto"/>
            </w:tcBorders>
            <w:vAlign w:val="center"/>
          </w:tcPr>
          <w:p w14:paraId="168FD284" w14:textId="77777777" w:rsidR="004E3FDC" w:rsidRPr="00671B0E" w:rsidRDefault="004E3FDC" w:rsidP="00450B7A">
            <w:pPr>
              <w:spacing w:after="0" w:line="240" w:lineRule="auto"/>
              <w:rPr>
                <w:rFonts w:ascii="Cambria" w:eastAsia="Times New Roman" w:hAnsi="Cambria"/>
                <w:b/>
                <w:lang w:val="hr-HR"/>
              </w:rPr>
            </w:pPr>
            <w:r w:rsidRPr="00671B0E">
              <w:rPr>
                <w:rFonts w:ascii="Cambria" w:eastAsia="Times New Roman" w:hAnsi="Cambria"/>
                <w:b/>
                <w:lang w:val="hr-HR"/>
              </w:rPr>
              <w:t>288183</w:t>
            </w:r>
          </w:p>
          <w:p w14:paraId="268BC4E8" w14:textId="77777777" w:rsidR="004E3FDC" w:rsidRPr="00671B0E" w:rsidRDefault="004E3FDC" w:rsidP="00450B7A">
            <w:pPr>
              <w:spacing w:after="0" w:line="240" w:lineRule="auto"/>
              <w:rPr>
                <w:rFonts w:ascii="Cambria" w:eastAsia="Times New Roman" w:hAnsi="Cambria"/>
                <w:lang w:val="hr-HR"/>
              </w:rPr>
            </w:pPr>
            <w:r w:rsidRPr="00671B0E">
              <w:rPr>
                <w:rFonts w:ascii="Cambria" w:eastAsia="Times New Roman" w:hAnsi="Cambria"/>
                <w:lang w:val="hr-HR"/>
              </w:rPr>
              <w:t>Likovna kultura</w:t>
            </w:r>
          </w:p>
        </w:tc>
        <w:tc>
          <w:tcPr>
            <w:tcW w:w="1897" w:type="pct"/>
            <w:tcBorders>
              <w:top w:val="single" w:sz="2" w:space="0" w:color="auto"/>
              <w:left w:val="single" w:sz="2" w:space="0" w:color="auto"/>
              <w:bottom w:val="single" w:sz="2" w:space="0" w:color="auto"/>
              <w:right w:val="single" w:sz="2" w:space="0" w:color="auto"/>
            </w:tcBorders>
            <w:shd w:val="clear" w:color="auto" w:fill="FFFFFF"/>
            <w:vAlign w:val="center"/>
          </w:tcPr>
          <w:p w14:paraId="5B0DBF89" w14:textId="77777777" w:rsidR="004E3FDC" w:rsidRPr="0077700D" w:rsidRDefault="004E3FDC" w:rsidP="00450B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mbria" w:eastAsia="Times New Roman" w:hAnsi="Cambria"/>
                <w:lang w:val="hr-HR"/>
              </w:rPr>
            </w:pPr>
            <w:r w:rsidRPr="0077700D">
              <w:rPr>
                <w:rFonts w:ascii="Cambria" w:eastAsia="Times New Roman" w:hAnsi="Cambria"/>
                <w:lang w:val="hr-HR"/>
              </w:rPr>
              <w:t xml:space="preserve">izv. prof. art. Aleksandra </w:t>
            </w:r>
            <w:proofErr w:type="spellStart"/>
            <w:r w:rsidRPr="0077700D">
              <w:rPr>
                <w:rFonts w:ascii="Cambria" w:eastAsia="Times New Roman" w:hAnsi="Cambria"/>
                <w:lang w:val="hr-HR"/>
              </w:rPr>
              <w:t>Rotar</w:t>
            </w:r>
            <w:proofErr w:type="spellEnd"/>
          </w:p>
        </w:tc>
        <w:tc>
          <w:tcPr>
            <w:tcW w:w="310" w:type="pct"/>
            <w:tcBorders>
              <w:top w:val="single" w:sz="2" w:space="0" w:color="auto"/>
              <w:left w:val="single" w:sz="2" w:space="0" w:color="auto"/>
              <w:bottom w:val="single" w:sz="2" w:space="0" w:color="auto"/>
              <w:right w:val="single" w:sz="2" w:space="0" w:color="auto"/>
            </w:tcBorders>
            <w:vAlign w:val="center"/>
          </w:tcPr>
          <w:p w14:paraId="3979E102"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30</w:t>
            </w:r>
          </w:p>
        </w:tc>
        <w:tc>
          <w:tcPr>
            <w:tcW w:w="310" w:type="pct"/>
            <w:tcBorders>
              <w:top w:val="single" w:sz="2" w:space="0" w:color="auto"/>
              <w:left w:val="single" w:sz="2" w:space="0" w:color="auto"/>
              <w:bottom w:val="single" w:sz="2" w:space="0" w:color="auto"/>
              <w:right w:val="single" w:sz="2" w:space="0" w:color="auto"/>
            </w:tcBorders>
            <w:vAlign w:val="center"/>
          </w:tcPr>
          <w:p w14:paraId="13B9D555"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0</w:t>
            </w:r>
          </w:p>
        </w:tc>
        <w:tc>
          <w:tcPr>
            <w:tcW w:w="375" w:type="pct"/>
            <w:tcBorders>
              <w:top w:val="single" w:sz="2" w:space="0" w:color="auto"/>
              <w:left w:val="single" w:sz="2" w:space="0" w:color="auto"/>
              <w:bottom w:val="single" w:sz="2" w:space="0" w:color="auto"/>
              <w:right w:val="single" w:sz="2" w:space="0" w:color="auto"/>
            </w:tcBorders>
            <w:vAlign w:val="center"/>
          </w:tcPr>
          <w:p w14:paraId="5B39DBEB"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30</w:t>
            </w:r>
          </w:p>
        </w:tc>
        <w:tc>
          <w:tcPr>
            <w:tcW w:w="503" w:type="pct"/>
            <w:tcBorders>
              <w:top w:val="single" w:sz="2" w:space="0" w:color="auto"/>
              <w:left w:val="single" w:sz="2" w:space="0" w:color="auto"/>
              <w:bottom w:val="single" w:sz="2" w:space="0" w:color="auto"/>
              <w:right w:val="single" w:sz="2" w:space="0" w:color="auto"/>
            </w:tcBorders>
            <w:vAlign w:val="center"/>
          </w:tcPr>
          <w:p w14:paraId="55B6AF7F"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5</w:t>
            </w:r>
          </w:p>
        </w:tc>
      </w:tr>
      <w:tr w:rsidR="004E3FDC" w:rsidRPr="0077700D" w14:paraId="70DC69E0" w14:textId="77777777" w:rsidTr="00450B7A">
        <w:trPr>
          <w:cantSplit/>
          <w:jc w:val="center"/>
        </w:trPr>
        <w:tc>
          <w:tcPr>
            <w:tcW w:w="1605" w:type="pct"/>
            <w:tcBorders>
              <w:top w:val="single" w:sz="2" w:space="0" w:color="auto"/>
              <w:left w:val="single" w:sz="2" w:space="0" w:color="auto"/>
              <w:bottom w:val="single" w:sz="2" w:space="0" w:color="auto"/>
              <w:right w:val="single" w:sz="2" w:space="0" w:color="auto"/>
            </w:tcBorders>
            <w:vAlign w:val="center"/>
          </w:tcPr>
          <w:p w14:paraId="6CE696F7" w14:textId="77777777" w:rsidR="004E3FDC" w:rsidRPr="00671B0E" w:rsidRDefault="004E3FDC" w:rsidP="00450B7A">
            <w:pPr>
              <w:spacing w:after="0" w:line="240" w:lineRule="auto"/>
              <w:rPr>
                <w:rFonts w:ascii="Cambria" w:eastAsia="Times New Roman" w:hAnsi="Cambria"/>
                <w:b/>
                <w:lang w:val="hr-HR"/>
              </w:rPr>
            </w:pPr>
            <w:r w:rsidRPr="00671B0E">
              <w:rPr>
                <w:rFonts w:ascii="Cambria" w:eastAsia="Times New Roman" w:hAnsi="Cambria"/>
                <w:b/>
                <w:lang w:val="hr-HR"/>
              </w:rPr>
              <w:t>288190</w:t>
            </w:r>
          </w:p>
          <w:p w14:paraId="653A7604" w14:textId="77777777" w:rsidR="004E3FDC" w:rsidRPr="00671B0E" w:rsidRDefault="004E3FDC" w:rsidP="00450B7A">
            <w:pPr>
              <w:spacing w:after="0" w:line="240" w:lineRule="auto"/>
              <w:rPr>
                <w:rFonts w:ascii="Cambria" w:eastAsia="Times New Roman" w:hAnsi="Cambria"/>
                <w:lang w:val="hr-HR"/>
              </w:rPr>
            </w:pPr>
            <w:r w:rsidRPr="00671B0E">
              <w:rPr>
                <w:rFonts w:ascii="Cambria" w:eastAsia="Times New Roman" w:hAnsi="Cambria"/>
                <w:lang w:val="hr-HR"/>
              </w:rPr>
              <w:t>Metodika nastave hrvatskog jezika I</w:t>
            </w:r>
          </w:p>
        </w:tc>
        <w:tc>
          <w:tcPr>
            <w:tcW w:w="1897" w:type="pct"/>
            <w:tcBorders>
              <w:top w:val="single" w:sz="2" w:space="0" w:color="auto"/>
              <w:left w:val="single" w:sz="2" w:space="0" w:color="auto"/>
              <w:bottom w:val="single" w:sz="2" w:space="0" w:color="auto"/>
              <w:right w:val="single" w:sz="2" w:space="0" w:color="auto"/>
            </w:tcBorders>
            <w:shd w:val="clear" w:color="auto" w:fill="FFFFFF"/>
            <w:vAlign w:val="center"/>
          </w:tcPr>
          <w:p w14:paraId="0ECE7410" w14:textId="77777777" w:rsidR="004E3FDC" w:rsidRPr="0077700D" w:rsidRDefault="004E3FDC" w:rsidP="00450B7A">
            <w:pPr>
              <w:spacing w:after="0" w:line="240" w:lineRule="auto"/>
              <w:rPr>
                <w:rFonts w:ascii="Cambria" w:eastAsia="Times New Roman" w:hAnsi="Cambria"/>
                <w:lang w:val="hr-HR"/>
              </w:rPr>
            </w:pPr>
            <w:r>
              <w:rPr>
                <w:rFonts w:ascii="Cambria" w:eastAsia="Times New Roman" w:hAnsi="Cambria"/>
                <w:lang w:val="hr-HR"/>
              </w:rPr>
              <w:t>prof. dr. sc. Vjekoslava Jurdana</w:t>
            </w:r>
          </w:p>
          <w:p w14:paraId="456BAD07" w14:textId="38FF2BBA" w:rsidR="004E3FDC" w:rsidRPr="00EB36B4" w:rsidRDefault="004E3FDC" w:rsidP="00450B7A">
            <w:pPr>
              <w:spacing w:after="0" w:line="240" w:lineRule="auto"/>
              <w:rPr>
                <w:rFonts w:ascii="Cambria" w:eastAsia="Times New Roman" w:hAnsi="Cambria"/>
                <w:lang w:val="hr-HR"/>
              </w:rPr>
            </w:pPr>
          </w:p>
        </w:tc>
        <w:tc>
          <w:tcPr>
            <w:tcW w:w="310" w:type="pct"/>
            <w:tcBorders>
              <w:top w:val="single" w:sz="2" w:space="0" w:color="auto"/>
              <w:left w:val="single" w:sz="2" w:space="0" w:color="auto"/>
              <w:bottom w:val="single" w:sz="2" w:space="0" w:color="auto"/>
              <w:right w:val="single" w:sz="2" w:space="0" w:color="auto"/>
            </w:tcBorders>
            <w:vAlign w:val="center"/>
          </w:tcPr>
          <w:p w14:paraId="4ED9C826"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30</w:t>
            </w:r>
          </w:p>
        </w:tc>
        <w:tc>
          <w:tcPr>
            <w:tcW w:w="310" w:type="pct"/>
            <w:tcBorders>
              <w:top w:val="single" w:sz="2" w:space="0" w:color="auto"/>
              <w:left w:val="single" w:sz="2" w:space="0" w:color="auto"/>
              <w:bottom w:val="single" w:sz="2" w:space="0" w:color="auto"/>
              <w:right w:val="single" w:sz="2" w:space="0" w:color="auto"/>
            </w:tcBorders>
            <w:vAlign w:val="center"/>
          </w:tcPr>
          <w:p w14:paraId="13E03525"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0</w:t>
            </w:r>
          </w:p>
        </w:tc>
        <w:tc>
          <w:tcPr>
            <w:tcW w:w="375" w:type="pct"/>
            <w:tcBorders>
              <w:top w:val="single" w:sz="2" w:space="0" w:color="auto"/>
              <w:left w:val="single" w:sz="2" w:space="0" w:color="auto"/>
              <w:bottom w:val="single" w:sz="2" w:space="0" w:color="auto"/>
              <w:right w:val="single" w:sz="2" w:space="0" w:color="auto"/>
            </w:tcBorders>
            <w:vAlign w:val="center"/>
          </w:tcPr>
          <w:p w14:paraId="1B639007"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15</w:t>
            </w:r>
          </w:p>
        </w:tc>
        <w:tc>
          <w:tcPr>
            <w:tcW w:w="503" w:type="pct"/>
            <w:tcBorders>
              <w:top w:val="single" w:sz="2" w:space="0" w:color="auto"/>
              <w:left w:val="single" w:sz="2" w:space="0" w:color="auto"/>
              <w:bottom w:val="single" w:sz="2" w:space="0" w:color="auto"/>
              <w:right w:val="single" w:sz="2" w:space="0" w:color="auto"/>
            </w:tcBorders>
            <w:vAlign w:val="center"/>
          </w:tcPr>
          <w:p w14:paraId="5599303D"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4</w:t>
            </w:r>
          </w:p>
        </w:tc>
      </w:tr>
      <w:tr w:rsidR="004E3FDC" w:rsidRPr="0077700D" w14:paraId="6A2D3357" w14:textId="77777777" w:rsidTr="00450B7A">
        <w:trPr>
          <w:cantSplit/>
          <w:jc w:val="center"/>
        </w:trPr>
        <w:tc>
          <w:tcPr>
            <w:tcW w:w="1605" w:type="pct"/>
            <w:tcBorders>
              <w:top w:val="single" w:sz="2" w:space="0" w:color="auto"/>
              <w:left w:val="single" w:sz="2" w:space="0" w:color="auto"/>
              <w:bottom w:val="single" w:sz="2" w:space="0" w:color="auto"/>
              <w:right w:val="single" w:sz="2" w:space="0" w:color="auto"/>
            </w:tcBorders>
            <w:vAlign w:val="center"/>
          </w:tcPr>
          <w:p w14:paraId="52D6AEC9" w14:textId="77777777" w:rsidR="004E3FDC" w:rsidRPr="00671B0E" w:rsidRDefault="004E3FDC" w:rsidP="00450B7A">
            <w:pPr>
              <w:spacing w:after="0" w:line="240" w:lineRule="auto"/>
              <w:rPr>
                <w:rFonts w:ascii="Cambria" w:eastAsia="Times New Roman" w:hAnsi="Cambria"/>
                <w:b/>
                <w:lang w:val="hr-HR"/>
              </w:rPr>
            </w:pPr>
            <w:r w:rsidRPr="00671B0E">
              <w:rPr>
                <w:rFonts w:ascii="Cambria" w:eastAsia="Times New Roman" w:hAnsi="Cambria"/>
                <w:b/>
                <w:lang w:val="hr-HR"/>
              </w:rPr>
              <w:t>288191</w:t>
            </w:r>
          </w:p>
          <w:p w14:paraId="10FC2AF7" w14:textId="77777777" w:rsidR="004E3FDC" w:rsidRPr="00671B0E" w:rsidRDefault="004E3FDC" w:rsidP="00450B7A">
            <w:pPr>
              <w:spacing w:after="0" w:line="240" w:lineRule="auto"/>
              <w:rPr>
                <w:rFonts w:ascii="Cambria" w:eastAsia="Times New Roman" w:hAnsi="Cambria"/>
                <w:lang w:val="hr-HR"/>
              </w:rPr>
            </w:pPr>
            <w:r w:rsidRPr="00671B0E">
              <w:rPr>
                <w:rFonts w:ascii="Cambria" w:eastAsia="Times New Roman" w:hAnsi="Cambria"/>
                <w:lang w:val="hr-HR"/>
              </w:rPr>
              <w:t>Metodika glazbene kulture I</w:t>
            </w:r>
          </w:p>
        </w:tc>
        <w:tc>
          <w:tcPr>
            <w:tcW w:w="1897" w:type="pct"/>
            <w:tcBorders>
              <w:top w:val="single" w:sz="2" w:space="0" w:color="auto"/>
              <w:left w:val="single" w:sz="2" w:space="0" w:color="auto"/>
              <w:bottom w:val="single" w:sz="2" w:space="0" w:color="auto"/>
              <w:right w:val="single" w:sz="2" w:space="0" w:color="auto"/>
            </w:tcBorders>
            <w:shd w:val="clear" w:color="auto" w:fill="FFFFFF"/>
            <w:vAlign w:val="center"/>
          </w:tcPr>
          <w:p w14:paraId="35090652" w14:textId="77777777" w:rsidR="004E3FDC" w:rsidRPr="0077700D" w:rsidRDefault="004E3FDC" w:rsidP="00450B7A">
            <w:pPr>
              <w:spacing w:after="0" w:line="240" w:lineRule="auto"/>
              <w:rPr>
                <w:rFonts w:ascii="Cambria" w:eastAsia="Times New Roman" w:hAnsi="Cambria"/>
                <w:lang w:val="hr-HR"/>
              </w:rPr>
            </w:pPr>
            <w:r w:rsidRPr="0077700D">
              <w:rPr>
                <w:rFonts w:ascii="Cambria" w:eastAsia="Times New Roman" w:hAnsi="Cambria"/>
                <w:lang w:val="hr-HR"/>
              </w:rPr>
              <w:t xml:space="preserve">naslovna doc. dr. sc. Anita </w:t>
            </w:r>
            <w:proofErr w:type="spellStart"/>
            <w:r w:rsidRPr="0077700D">
              <w:rPr>
                <w:rFonts w:ascii="Cambria" w:eastAsia="Times New Roman" w:hAnsi="Cambria"/>
                <w:lang w:val="hr-HR"/>
              </w:rPr>
              <w:t>Gergorić</w:t>
            </w:r>
            <w:proofErr w:type="spellEnd"/>
          </w:p>
          <w:p w14:paraId="3644414B" w14:textId="77777777" w:rsidR="004E3FDC" w:rsidRPr="0077700D" w:rsidRDefault="004E3FDC" w:rsidP="00450B7A">
            <w:pPr>
              <w:spacing w:after="0" w:line="240" w:lineRule="auto"/>
              <w:rPr>
                <w:rFonts w:ascii="Cambria" w:eastAsia="Times New Roman" w:hAnsi="Cambria"/>
                <w:lang w:val="hr-HR"/>
              </w:rPr>
            </w:pPr>
            <w:r w:rsidRPr="0077700D">
              <w:rPr>
                <w:rFonts w:ascii="Cambria" w:eastAsia="Times New Roman" w:hAnsi="Cambria"/>
                <w:lang w:val="hr-HR"/>
              </w:rPr>
              <w:t xml:space="preserve">mr. sc. Branko Radić, pred. </w:t>
            </w:r>
          </w:p>
        </w:tc>
        <w:tc>
          <w:tcPr>
            <w:tcW w:w="310" w:type="pct"/>
            <w:tcBorders>
              <w:top w:val="single" w:sz="2" w:space="0" w:color="auto"/>
              <w:left w:val="single" w:sz="2" w:space="0" w:color="auto"/>
              <w:bottom w:val="single" w:sz="2" w:space="0" w:color="auto"/>
              <w:right w:val="single" w:sz="2" w:space="0" w:color="auto"/>
            </w:tcBorders>
            <w:vAlign w:val="center"/>
          </w:tcPr>
          <w:p w14:paraId="7389BB5A"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45</w:t>
            </w:r>
          </w:p>
        </w:tc>
        <w:tc>
          <w:tcPr>
            <w:tcW w:w="310" w:type="pct"/>
            <w:tcBorders>
              <w:top w:val="single" w:sz="2" w:space="0" w:color="auto"/>
              <w:left w:val="single" w:sz="2" w:space="0" w:color="auto"/>
              <w:bottom w:val="single" w:sz="2" w:space="0" w:color="auto"/>
              <w:right w:val="single" w:sz="2" w:space="0" w:color="auto"/>
            </w:tcBorders>
            <w:vAlign w:val="center"/>
          </w:tcPr>
          <w:p w14:paraId="05E55520"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0</w:t>
            </w:r>
          </w:p>
        </w:tc>
        <w:tc>
          <w:tcPr>
            <w:tcW w:w="375" w:type="pct"/>
            <w:tcBorders>
              <w:top w:val="single" w:sz="2" w:space="0" w:color="auto"/>
              <w:left w:val="single" w:sz="2" w:space="0" w:color="auto"/>
              <w:bottom w:val="single" w:sz="2" w:space="0" w:color="auto"/>
              <w:right w:val="single" w:sz="2" w:space="0" w:color="auto"/>
            </w:tcBorders>
            <w:vAlign w:val="center"/>
          </w:tcPr>
          <w:p w14:paraId="49FF4F9E"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15</w:t>
            </w:r>
          </w:p>
        </w:tc>
        <w:tc>
          <w:tcPr>
            <w:tcW w:w="503" w:type="pct"/>
            <w:tcBorders>
              <w:top w:val="single" w:sz="2" w:space="0" w:color="auto"/>
              <w:left w:val="single" w:sz="2" w:space="0" w:color="auto"/>
              <w:bottom w:val="single" w:sz="2" w:space="0" w:color="auto"/>
              <w:right w:val="single" w:sz="2" w:space="0" w:color="auto"/>
            </w:tcBorders>
            <w:vAlign w:val="center"/>
          </w:tcPr>
          <w:p w14:paraId="629E3391"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5</w:t>
            </w:r>
          </w:p>
        </w:tc>
      </w:tr>
      <w:tr w:rsidR="004E3FDC" w:rsidRPr="0077700D" w14:paraId="0FF0A942" w14:textId="77777777" w:rsidTr="00450B7A">
        <w:trPr>
          <w:cantSplit/>
          <w:jc w:val="center"/>
        </w:trPr>
        <w:tc>
          <w:tcPr>
            <w:tcW w:w="1605" w:type="pct"/>
            <w:tcBorders>
              <w:top w:val="single" w:sz="2" w:space="0" w:color="auto"/>
              <w:left w:val="single" w:sz="2" w:space="0" w:color="auto"/>
              <w:bottom w:val="single" w:sz="2" w:space="0" w:color="auto"/>
              <w:right w:val="single" w:sz="2" w:space="0" w:color="auto"/>
            </w:tcBorders>
            <w:vAlign w:val="center"/>
            <w:hideMark/>
          </w:tcPr>
          <w:p w14:paraId="63177F7F" w14:textId="77777777" w:rsidR="004E3FDC" w:rsidRPr="0077700D" w:rsidRDefault="004E3FDC" w:rsidP="00450B7A">
            <w:pPr>
              <w:widowControl w:val="0"/>
              <w:spacing w:after="0" w:line="240" w:lineRule="auto"/>
              <w:rPr>
                <w:rFonts w:ascii="Cambria" w:eastAsia="Times New Roman" w:hAnsi="Cambria"/>
                <w:b/>
                <w:lang w:val="hr-HR"/>
              </w:rPr>
            </w:pPr>
            <w:r w:rsidRPr="0077700D">
              <w:rPr>
                <w:rFonts w:ascii="Cambria" w:eastAsia="Times New Roman" w:hAnsi="Cambria"/>
                <w:b/>
                <w:lang w:val="hr-HR"/>
              </w:rPr>
              <w:t>66278</w:t>
            </w:r>
          </w:p>
          <w:p w14:paraId="178324C0" w14:textId="77777777" w:rsidR="004E3FDC" w:rsidRPr="0077700D" w:rsidRDefault="004E3FDC" w:rsidP="00450B7A">
            <w:pPr>
              <w:spacing w:after="0" w:line="240" w:lineRule="auto"/>
              <w:rPr>
                <w:rFonts w:ascii="Cambria" w:eastAsia="Times New Roman" w:hAnsi="Cambria"/>
                <w:lang w:val="hr-HR"/>
              </w:rPr>
            </w:pPr>
            <w:r w:rsidRPr="0077700D">
              <w:rPr>
                <w:rFonts w:ascii="Cambria" w:eastAsia="Times New Roman" w:hAnsi="Cambria"/>
                <w:lang w:val="hr-HR"/>
              </w:rPr>
              <w:t>Stručna praksa III</w:t>
            </w:r>
          </w:p>
        </w:tc>
        <w:tc>
          <w:tcPr>
            <w:tcW w:w="1897" w:type="pct"/>
            <w:tcBorders>
              <w:top w:val="single" w:sz="2" w:space="0" w:color="auto"/>
              <w:left w:val="single" w:sz="2" w:space="0" w:color="auto"/>
              <w:bottom w:val="single" w:sz="2" w:space="0" w:color="auto"/>
              <w:right w:val="single" w:sz="2" w:space="0" w:color="auto"/>
            </w:tcBorders>
            <w:shd w:val="clear" w:color="auto" w:fill="FFFFFF"/>
            <w:vAlign w:val="center"/>
            <w:hideMark/>
          </w:tcPr>
          <w:p w14:paraId="1D2585A9" w14:textId="77777777" w:rsidR="004E3FDC" w:rsidRPr="0077700D" w:rsidRDefault="004E3FDC" w:rsidP="00450B7A">
            <w:pPr>
              <w:widowControl w:val="0"/>
              <w:spacing w:after="0" w:line="240" w:lineRule="auto"/>
              <w:rPr>
                <w:rFonts w:ascii="Cambria" w:eastAsia="Times New Roman" w:hAnsi="Cambria"/>
                <w:lang w:val="hr-HR"/>
              </w:rPr>
            </w:pPr>
            <w:r w:rsidRPr="0077700D">
              <w:rPr>
                <w:rFonts w:ascii="Cambria" w:eastAsia="Times New Roman" w:hAnsi="Cambria"/>
                <w:lang w:val="hr-HR"/>
              </w:rPr>
              <w:t>doc. dr. sc. Irena Kiss</w:t>
            </w:r>
          </w:p>
        </w:tc>
        <w:tc>
          <w:tcPr>
            <w:tcW w:w="995" w:type="pct"/>
            <w:gridSpan w:val="3"/>
            <w:tcBorders>
              <w:top w:val="single" w:sz="2" w:space="0" w:color="auto"/>
              <w:left w:val="single" w:sz="2" w:space="0" w:color="auto"/>
              <w:bottom w:val="single" w:sz="2" w:space="0" w:color="auto"/>
              <w:right w:val="single" w:sz="2" w:space="0" w:color="auto"/>
            </w:tcBorders>
            <w:vAlign w:val="center"/>
          </w:tcPr>
          <w:p w14:paraId="438568CE" w14:textId="77777777" w:rsidR="004E3FDC" w:rsidRPr="0077700D" w:rsidRDefault="004E3FDC" w:rsidP="00450B7A">
            <w:pPr>
              <w:widowControl w:val="0"/>
              <w:spacing w:after="0" w:line="240" w:lineRule="auto"/>
              <w:jc w:val="center"/>
              <w:rPr>
                <w:rFonts w:ascii="Cambria" w:eastAsia="Times New Roman" w:hAnsi="Cambria"/>
                <w:lang w:val="hr-HR"/>
              </w:rPr>
            </w:pPr>
            <w:r w:rsidRPr="0077700D">
              <w:rPr>
                <w:rFonts w:ascii="Cambria" w:eastAsia="Times New Roman" w:hAnsi="Cambria"/>
                <w:lang w:val="hr-HR"/>
              </w:rPr>
              <w:t>dva tjedna u veljači (50 sati)</w:t>
            </w:r>
          </w:p>
        </w:tc>
        <w:tc>
          <w:tcPr>
            <w:tcW w:w="503" w:type="pct"/>
            <w:tcBorders>
              <w:top w:val="single" w:sz="2" w:space="0" w:color="auto"/>
              <w:left w:val="single" w:sz="2" w:space="0" w:color="auto"/>
              <w:bottom w:val="single" w:sz="2" w:space="0" w:color="auto"/>
              <w:right w:val="single" w:sz="2" w:space="0" w:color="auto"/>
            </w:tcBorders>
            <w:vAlign w:val="center"/>
            <w:hideMark/>
          </w:tcPr>
          <w:p w14:paraId="70127A74"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2</w:t>
            </w:r>
          </w:p>
        </w:tc>
      </w:tr>
      <w:tr w:rsidR="004E3FDC" w:rsidRPr="0077700D" w14:paraId="4A5AE84F" w14:textId="77777777" w:rsidTr="00450B7A">
        <w:trPr>
          <w:cantSplit/>
          <w:jc w:val="center"/>
        </w:trPr>
        <w:tc>
          <w:tcPr>
            <w:tcW w:w="1605" w:type="pct"/>
            <w:tcBorders>
              <w:top w:val="single" w:sz="2" w:space="0" w:color="auto"/>
              <w:left w:val="single" w:sz="2" w:space="0" w:color="auto"/>
              <w:bottom w:val="single" w:sz="2" w:space="0" w:color="auto"/>
              <w:right w:val="single" w:sz="2" w:space="0" w:color="auto"/>
            </w:tcBorders>
            <w:vAlign w:val="center"/>
          </w:tcPr>
          <w:p w14:paraId="1E99F8DC" w14:textId="77777777" w:rsidR="004E3FDC" w:rsidRPr="0077700D" w:rsidRDefault="004E3FDC" w:rsidP="00450B7A">
            <w:pPr>
              <w:spacing w:after="0" w:line="240" w:lineRule="auto"/>
              <w:rPr>
                <w:rFonts w:ascii="Cambria" w:eastAsia="Times New Roman" w:hAnsi="Cambria"/>
                <w:lang w:val="hr-HR"/>
              </w:rPr>
            </w:pPr>
            <w:r w:rsidRPr="0077700D">
              <w:rPr>
                <w:rFonts w:ascii="Cambria" w:eastAsia="Times New Roman" w:hAnsi="Cambria"/>
                <w:lang w:val="hr-HR"/>
              </w:rPr>
              <w:t>Izborni kolegij I</w:t>
            </w:r>
          </w:p>
        </w:tc>
        <w:tc>
          <w:tcPr>
            <w:tcW w:w="1897" w:type="pct"/>
            <w:tcBorders>
              <w:top w:val="single" w:sz="2" w:space="0" w:color="auto"/>
              <w:left w:val="single" w:sz="2" w:space="0" w:color="auto"/>
              <w:bottom w:val="single" w:sz="2" w:space="0" w:color="auto"/>
              <w:right w:val="single" w:sz="2" w:space="0" w:color="auto"/>
            </w:tcBorders>
            <w:vAlign w:val="center"/>
          </w:tcPr>
          <w:p w14:paraId="13ECC606" w14:textId="77777777" w:rsidR="004E3FDC" w:rsidRPr="0077700D" w:rsidRDefault="004E3FDC" w:rsidP="00450B7A">
            <w:pPr>
              <w:spacing w:after="0" w:line="240" w:lineRule="auto"/>
              <w:rPr>
                <w:rFonts w:ascii="Cambria" w:eastAsia="Times New Roman" w:hAnsi="Cambria"/>
                <w:lang w:val="hr-HR"/>
              </w:rPr>
            </w:pPr>
          </w:p>
        </w:tc>
        <w:tc>
          <w:tcPr>
            <w:tcW w:w="310" w:type="pct"/>
            <w:tcBorders>
              <w:top w:val="single" w:sz="2" w:space="0" w:color="auto"/>
              <w:left w:val="single" w:sz="2" w:space="0" w:color="auto"/>
              <w:bottom w:val="single" w:sz="2" w:space="0" w:color="auto"/>
              <w:right w:val="single" w:sz="2" w:space="0" w:color="auto"/>
            </w:tcBorders>
            <w:vAlign w:val="center"/>
          </w:tcPr>
          <w:p w14:paraId="7D758D32" w14:textId="77777777" w:rsidR="004E3FDC" w:rsidRPr="0077700D" w:rsidRDefault="004E3FDC" w:rsidP="00450B7A">
            <w:pPr>
              <w:spacing w:after="0" w:line="240" w:lineRule="auto"/>
              <w:jc w:val="center"/>
              <w:rPr>
                <w:rFonts w:ascii="Cambria" w:eastAsia="Times New Roman" w:hAnsi="Cambria"/>
                <w:lang w:val="hr-HR"/>
              </w:rPr>
            </w:pPr>
          </w:p>
        </w:tc>
        <w:tc>
          <w:tcPr>
            <w:tcW w:w="310" w:type="pct"/>
            <w:tcBorders>
              <w:top w:val="single" w:sz="2" w:space="0" w:color="auto"/>
              <w:left w:val="single" w:sz="2" w:space="0" w:color="auto"/>
              <w:bottom w:val="single" w:sz="2" w:space="0" w:color="auto"/>
              <w:right w:val="single" w:sz="2" w:space="0" w:color="auto"/>
            </w:tcBorders>
          </w:tcPr>
          <w:p w14:paraId="21B6C023" w14:textId="77777777" w:rsidR="004E3FDC" w:rsidRPr="0077700D" w:rsidRDefault="004E3FDC" w:rsidP="00450B7A">
            <w:pPr>
              <w:spacing w:after="0" w:line="240" w:lineRule="auto"/>
              <w:jc w:val="center"/>
              <w:rPr>
                <w:rFonts w:ascii="Cambria" w:eastAsia="Times New Roman" w:hAnsi="Cambria"/>
                <w:lang w:val="hr-HR"/>
              </w:rPr>
            </w:pPr>
          </w:p>
        </w:tc>
        <w:tc>
          <w:tcPr>
            <w:tcW w:w="375" w:type="pct"/>
            <w:tcBorders>
              <w:top w:val="single" w:sz="2" w:space="0" w:color="auto"/>
              <w:left w:val="single" w:sz="2" w:space="0" w:color="auto"/>
              <w:bottom w:val="single" w:sz="2" w:space="0" w:color="auto"/>
              <w:right w:val="single" w:sz="2" w:space="0" w:color="auto"/>
            </w:tcBorders>
            <w:vAlign w:val="center"/>
          </w:tcPr>
          <w:p w14:paraId="7AF5B3B0" w14:textId="77777777" w:rsidR="004E3FDC" w:rsidRPr="0077700D" w:rsidRDefault="004E3FDC" w:rsidP="00450B7A">
            <w:pPr>
              <w:spacing w:after="0" w:line="240" w:lineRule="auto"/>
              <w:jc w:val="center"/>
              <w:rPr>
                <w:rFonts w:ascii="Cambria" w:eastAsia="Times New Roman" w:hAnsi="Cambria"/>
                <w:lang w:val="hr-HR"/>
              </w:rPr>
            </w:pPr>
          </w:p>
        </w:tc>
        <w:tc>
          <w:tcPr>
            <w:tcW w:w="503" w:type="pct"/>
            <w:tcBorders>
              <w:top w:val="single" w:sz="2" w:space="0" w:color="auto"/>
              <w:left w:val="single" w:sz="2" w:space="0" w:color="auto"/>
              <w:bottom w:val="single" w:sz="2" w:space="0" w:color="auto"/>
              <w:right w:val="single" w:sz="2" w:space="0" w:color="auto"/>
            </w:tcBorders>
            <w:vAlign w:val="center"/>
          </w:tcPr>
          <w:p w14:paraId="3EFB50E3"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3</w:t>
            </w:r>
          </w:p>
        </w:tc>
      </w:tr>
      <w:tr w:rsidR="004E3FDC" w:rsidRPr="0077700D" w14:paraId="3309C1F5" w14:textId="77777777" w:rsidTr="00450B7A">
        <w:trPr>
          <w:cantSplit/>
          <w:jc w:val="center"/>
        </w:trPr>
        <w:tc>
          <w:tcPr>
            <w:tcW w:w="1605" w:type="pct"/>
            <w:tcBorders>
              <w:top w:val="single" w:sz="2" w:space="0" w:color="auto"/>
              <w:left w:val="single" w:sz="2" w:space="0" w:color="auto"/>
              <w:bottom w:val="single" w:sz="2" w:space="0" w:color="auto"/>
              <w:right w:val="single" w:sz="2" w:space="0" w:color="auto"/>
            </w:tcBorders>
            <w:vAlign w:val="center"/>
            <w:hideMark/>
          </w:tcPr>
          <w:p w14:paraId="1C8F025B" w14:textId="77777777" w:rsidR="004E3FDC" w:rsidRPr="0077700D" w:rsidRDefault="004E3FDC" w:rsidP="00450B7A">
            <w:pPr>
              <w:spacing w:after="0" w:line="240" w:lineRule="auto"/>
              <w:rPr>
                <w:rFonts w:ascii="Cambria" w:eastAsia="Times New Roman" w:hAnsi="Cambria"/>
                <w:b/>
                <w:lang w:val="hr-HR"/>
              </w:rPr>
            </w:pPr>
            <w:r w:rsidRPr="0077700D">
              <w:rPr>
                <w:rFonts w:ascii="Cambria" w:eastAsia="Times New Roman" w:hAnsi="Cambria"/>
                <w:b/>
                <w:lang w:val="hr-HR"/>
              </w:rPr>
              <w:t>Ukupno</w:t>
            </w:r>
          </w:p>
        </w:tc>
        <w:tc>
          <w:tcPr>
            <w:tcW w:w="1897" w:type="pct"/>
            <w:tcBorders>
              <w:top w:val="single" w:sz="2" w:space="0" w:color="auto"/>
              <w:left w:val="single" w:sz="2" w:space="0" w:color="auto"/>
              <w:bottom w:val="single" w:sz="2" w:space="0" w:color="auto"/>
              <w:right w:val="single" w:sz="2" w:space="0" w:color="auto"/>
            </w:tcBorders>
            <w:vAlign w:val="center"/>
          </w:tcPr>
          <w:p w14:paraId="355A26DD" w14:textId="77777777" w:rsidR="004E3FDC" w:rsidRPr="0077700D" w:rsidRDefault="004E3FDC" w:rsidP="00450B7A">
            <w:pPr>
              <w:spacing w:after="0" w:line="240" w:lineRule="auto"/>
              <w:rPr>
                <w:rFonts w:ascii="Cambria" w:eastAsia="Times New Roman" w:hAnsi="Cambria"/>
                <w:b/>
                <w:lang w:val="hr-HR"/>
              </w:rPr>
            </w:pPr>
          </w:p>
        </w:tc>
        <w:tc>
          <w:tcPr>
            <w:tcW w:w="310" w:type="pct"/>
            <w:tcBorders>
              <w:top w:val="single" w:sz="2" w:space="0" w:color="auto"/>
              <w:left w:val="single" w:sz="2" w:space="0" w:color="auto"/>
              <w:bottom w:val="single" w:sz="2" w:space="0" w:color="auto"/>
              <w:right w:val="single" w:sz="2" w:space="0" w:color="auto"/>
            </w:tcBorders>
            <w:vAlign w:val="center"/>
          </w:tcPr>
          <w:p w14:paraId="5E91C2E7" w14:textId="77777777" w:rsidR="004E3FDC" w:rsidRPr="0077700D" w:rsidRDefault="004E3FDC" w:rsidP="00450B7A">
            <w:pPr>
              <w:spacing w:after="0" w:line="240" w:lineRule="auto"/>
              <w:jc w:val="center"/>
              <w:rPr>
                <w:rFonts w:ascii="Cambria" w:eastAsia="Times New Roman" w:hAnsi="Cambria"/>
                <w:b/>
                <w:lang w:val="hr-HR"/>
              </w:rPr>
            </w:pPr>
          </w:p>
        </w:tc>
        <w:tc>
          <w:tcPr>
            <w:tcW w:w="310" w:type="pct"/>
            <w:tcBorders>
              <w:top w:val="single" w:sz="2" w:space="0" w:color="auto"/>
              <w:left w:val="single" w:sz="2" w:space="0" w:color="auto"/>
              <w:bottom w:val="single" w:sz="2" w:space="0" w:color="auto"/>
              <w:right w:val="single" w:sz="2" w:space="0" w:color="auto"/>
            </w:tcBorders>
          </w:tcPr>
          <w:p w14:paraId="18EEF0DC" w14:textId="77777777" w:rsidR="004E3FDC" w:rsidRPr="0077700D" w:rsidRDefault="004E3FDC" w:rsidP="00450B7A">
            <w:pPr>
              <w:spacing w:after="0" w:line="240" w:lineRule="auto"/>
              <w:jc w:val="center"/>
              <w:rPr>
                <w:rFonts w:ascii="Cambria" w:eastAsia="Times New Roman" w:hAnsi="Cambria"/>
                <w:b/>
                <w:lang w:val="hr-HR"/>
              </w:rPr>
            </w:pPr>
          </w:p>
        </w:tc>
        <w:tc>
          <w:tcPr>
            <w:tcW w:w="375" w:type="pct"/>
            <w:tcBorders>
              <w:top w:val="single" w:sz="2" w:space="0" w:color="auto"/>
              <w:left w:val="single" w:sz="2" w:space="0" w:color="auto"/>
              <w:bottom w:val="single" w:sz="2" w:space="0" w:color="auto"/>
              <w:right w:val="single" w:sz="2" w:space="0" w:color="auto"/>
            </w:tcBorders>
            <w:vAlign w:val="center"/>
          </w:tcPr>
          <w:p w14:paraId="219AF2B4" w14:textId="77777777" w:rsidR="004E3FDC" w:rsidRPr="0077700D" w:rsidRDefault="004E3FDC" w:rsidP="00450B7A">
            <w:pPr>
              <w:spacing w:after="0" w:line="240" w:lineRule="auto"/>
              <w:jc w:val="center"/>
              <w:rPr>
                <w:rFonts w:ascii="Cambria" w:eastAsia="Times New Roman" w:hAnsi="Cambria"/>
                <w:b/>
                <w:lang w:val="hr-HR"/>
              </w:rPr>
            </w:pPr>
          </w:p>
        </w:tc>
        <w:tc>
          <w:tcPr>
            <w:tcW w:w="503" w:type="pct"/>
            <w:tcBorders>
              <w:top w:val="single" w:sz="2" w:space="0" w:color="auto"/>
              <w:left w:val="single" w:sz="2" w:space="0" w:color="auto"/>
              <w:bottom w:val="single" w:sz="2" w:space="0" w:color="auto"/>
              <w:right w:val="single" w:sz="2" w:space="0" w:color="auto"/>
            </w:tcBorders>
            <w:vAlign w:val="center"/>
            <w:hideMark/>
          </w:tcPr>
          <w:p w14:paraId="505DA181" w14:textId="77777777" w:rsidR="004E3FDC" w:rsidRPr="0077700D" w:rsidRDefault="004E3FDC" w:rsidP="00450B7A">
            <w:pPr>
              <w:spacing w:after="0" w:line="240" w:lineRule="auto"/>
              <w:jc w:val="center"/>
              <w:rPr>
                <w:rFonts w:ascii="Cambria" w:eastAsia="Times New Roman" w:hAnsi="Cambria"/>
                <w:b/>
                <w:lang w:val="hr-HR"/>
              </w:rPr>
            </w:pPr>
            <w:r w:rsidRPr="0077700D">
              <w:rPr>
                <w:rFonts w:ascii="Cambria" w:eastAsia="Times New Roman" w:hAnsi="Cambria"/>
                <w:b/>
                <w:lang w:val="hr-HR"/>
              </w:rPr>
              <w:t>30</w:t>
            </w:r>
          </w:p>
        </w:tc>
      </w:tr>
    </w:tbl>
    <w:p w14:paraId="1862A3A8" w14:textId="77777777" w:rsidR="004E3FDC" w:rsidRPr="0077700D" w:rsidRDefault="004E3FDC" w:rsidP="004E3FDC">
      <w:pPr>
        <w:spacing w:after="0" w:line="240" w:lineRule="auto"/>
        <w:rPr>
          <w:rFonts w:ascii="Cambria" w:eastAsia="Times New Roman" w:hAnsi="Cambria"/>
          <w:lang w:val="hr-HR"/>
        </w:rPr>
      </w:pPr>
    </w:p>
    <w:tbl>
      <w:tblPr>
        <w:tblW w:w="4866"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3136"/>
        <w:gridCol w:w="3720"/>
        <w:gridCol w:w="611"/>
        <w:gridCol w:w="613"/>
        <w:gridCol w:w="611"/>
        <w:gridCol w:w="1074"/>
      </w:tblGrid>
      <w:tr w:rsidR="004E3FDC" w:rsidRPr="0077700D" w14:paraId="2C674257" w14:textId="77777777" w:rsidTr="00450B7A">
        <w:trPr>
          <w:cantSplit/>
          <w:jc w:val="center"/>
        </w:trPr>
        <w:tc>
          <w:tcPr>
            <w:tcW w:w="5000" w:type="pct"/>
            <w:gridSpan w:val="6"/>
            <w:tcBorders>
              <w:top w:val="single" w:sz="2" w:space="0" w:color="auto"/>
              <w:left w:val="single" w:sz="2" w:space="0" w:color="auto"/>
              <w:bottom w:val="single" w:sz="2" w:space="0" w:color="auto"/>
              <w:right w:val="single" w:sz="2" w:space="0" w:color="auto"/>
            </w:tcBorders>
            <w:vAlign w:val="center"/>
            <w:hideMark/>
          </w:tcPr>
          <w:p w14:paraId="1B2D1ABB" w14:textId="77777777" w:rsidR="004E3FDC" w:rsidRPr="0077700D" w:rsidRDefault="004E3FDC" w:rsidP="00450B7A">
            <w:pPr>
              <w:widowControl w:val="0"/>
              <w:spacing w:after="0" w:line="240" w:lineRule="auto"/>
              <w:jc w:val="center"/>
              <w:rPr>
                <w:rFonts w:ascii="Cambria" w:eastAsia="Times New Roman" w:hAnsi="Cambria"/>
                <w:b/>
                <w:lang w:val="hr-HR"/>
              </w:rPr>
            </w:pPr>
            <w:r w:rsidRPr="0077700D">
              <w:rPr>
                <w:rFonts w:ascii="Cambria" w:eastAsia="Times New Roman" w:hAnsi="Cambria"/>
                <w:b/>
                <w:lang w:val="hr-HR"/>
              </w:rPr>
              <w:t>Izborni kolegiji</w:t>
            </w:r>
          </w:p>
        </w:tc>
      </w:tr>
      <w:tr w:rsidR="004E3FDC" w:rsidRPr="0077700D" w14:paraId="014F4062" w14:textId="77777777" w:rsidTr="00450B7A">
        <w:trPr>
          <w:cantSplit/>
          <w:jc w:val="center"/>
        </w:trPr>
        <w:tc>
          <w:tcPr>
            <w:tcW w:w="1605" w:type="pct"/>
            <w:tcBorders>
              <w:top w:val="single" w:sz="2" w:space="0" w:color="auto"/>
              <w:left w:val="single" w:sz="2" w:space="0" w:color="auto"/>
              <w:bottom w:val="single" w:sz="2" w:space="0" w:color="auto"/>
              <w:right w:val="single" w:sz="2" w:space="0" w:color="auto"/>
            </w:tcBorders>
            <w:vAlign w:val="center"/>
            <w:hideMark/>
          </w:tcPr>
          <w:p w14:paraId="1068C53F" w14:textId="77777777" w:rsidR="004E3FDC" w:rsidRPr="0077700D" w:rsidRDefault="004E3FDC" w:rsidP="00450B7A">
            <w:pPr>
              <w:widowControl w:val="0"/>
              <w:spacing w:after="0" w:line="240" w:lineRule="auto"/>
              <w:rPr>
                <w:rFonts w:ascii="Cambria" w:eastAsia="Times New Roman" w:hAnsi="Cambria"/>
                <w:b/>
                <w:lang w:val="hr-HR"/>
              </w:rPr>
            </w:pPr>
            <w:r w:rsidRPr="0077700D">
              <w:rPr>
                <w:rFonts w:ascii="Cambria" w:eastAsia="Times New Roman" w:hAnsi="Cambria"/>
                <w:b/>
                <w:lang w:val="hr-HR"/>
              </w:rPr>
              <w:t>Izborni kolegij</w:t>
            </w:r>
          </w:p>
        </w:tc>
        <w:tc>
          <w:tcPr>
            <w:tcW w:w="1905" w:type="pct"/>
            <w:tcBorders>
              <w:top w:val="single" w:sz="2" w:space="0" w:color="auto"/>
              <w:left w:val="single" w:sz="2" w:space="0" w:color="auto"/>
              <w:bottom w:val="single" w:sz="2" w:space="0" w:color="auto"/>
              <w:right w:val="single" w:sz="2" w:space="0" w:color="auto"/>
            </w:tcBorders>
            <w:vAlign w:val="center"/>
            <w:hideMark/>
          </w:tcPr>
          <w:p w14:paraId="1E63B9DC" w14:textId="77777777" w:rsidR="004E3FDC" w:rsidRPr="0077700D" w:rsidRDefault="004E3FDC" w:rsidP="00450B7A">
            <w:pPr>
              <w:widowControl w:val="0"/>
              <w:spacing w:after="0" w:line="240" w:lineRule="auto"/>
              <w:rPr>
                <w:rFonts w:ascii="Cambria" w:eastAsia="Times New Roman" w:hAnsi="Cambria"/>
                <w:b/>
                <w:lang w:val="hr-HR"/>
              </w:rPr>
            </w:pPr>
            <w:r w:rsidRPr="0077700D">
              <w:rPr>
                <w:rFonts w:ascii="Cambria" w:eastAsia="Times New Roman" w:hAnsi="Cambria"/>
                <w:b/>
                <w:lang w:val="hr-HR"/>
              </w:rPr>
              <w:t>Nastavnik/</w:t>
            </w:r>
            <w:proofErr w:type="spellStart"/>
            <w:r w:rsidRPr="0077700D">
              <w:rPr>
                <w:rFonts w:ascii="Cambria" w:eastAsia="Times New Roman" w:hAnsi="Cambria"/>
                <w:b/>
                <w:lang w:val="hr-HR"/>
              </w:rPr>
              <w:t>ica</w:t>
            </w:r>
            <w:proofErr w:type="spellEnd"/>
          </w:p>
        </w:tc>
        <w:tc>
          <w:tcPr>
            <w:tcW w:w="313" w:type="pct"/>
            <w:tcBorders>
              <w:top w:val="single" w:sz="2" w:space="0" w:color="auto"/>
              <w:left w:val="single" w:sz="2" w:space="0" w:color="auto"/>
              <w:bottom w:val="single" w:sz="2" w:space="0" w:color="auto"/>
              <w:right w:val="single" w:sz="2" w:space="0" w:color="auto"/>
            </w:tcBorders>
            <w:shd w:val="clear" w:color="auto" w:fill="FFFFFF"/>
            <w:vAlign w:val="center"/>
            <w:hideMark/>
          </w:tcPr>
          <w:p w14:paraId="72DDFAB2" w14:textId="77777777" w:rsidR="004E3FDC" w:rsidRPr="0077700D" w:rsidRDefault="004E3FDC" w:rsidP="00450B7A">
            <w:pPr>
              <w:spacing w:after="0" w:line="240" w:lineRule="auto"/>
              <w:jc w:val="center"/>
              <w:rPr>
                <w:rFonts w:ascii="Cambria" w:eastAsia="Times New Roman" w:hAnsi="Cambria"/>
                <w:b/>
                <w:bCs/>
                <w:caps/>
                <w:lang w:val="hr-HR"/>
              </w:rPr>
            </w:pPr>
            <w:bookmarkStart w:id="48" w:name="_Toc208904381"/>
            <w:bookmarkStart w:id="49" w:name="_Toc209340484"/>
            <w:bookmarkStart w:id="50" w:name="_Toc209420862"/>
            <w:bookmarkStart w:id="51" w:name="_Toc209421243"/>
            <w:bookmarkStart w:id="52" w:name="_Toc209789838"/>
            <w:r w:rsidRPr="0077700D">
              <w:rPr>
                <w:rFonts w:ascii="Cambria" w:eastAsia="Times New Roman" w:hAnsi="Cambria"/>
                <w:b/>
                <w:bCs/>
                <w:caps/>
                <w:lang w:val="hr-HR"/>
              </w:rPr>
              <w:t>P</w:t>
            </w:r>
            <w:bookmarkEnd w:id="48"/>
            <w:bookmarkEnd w:id="49"/>
            <w:bookmarkEnd w:id="50"/>
            <w:bookmarkEnd w:id="51"/>
            <w:bookmarkEnd w:id="52"/>
          </w:p>
        </w:tc>
        <w:tc>
          <w:tcPr>
            <w:tcW w:w="314" w:type="pct"/>
            <w:tcBorders>
              <w:top w:val="single" w:sz="2" w:space="0" w:color="auto"/>
              <w:left w:val="single" w:sz="2" w:space="0" w:color="auto"/>
              <w:bottom w:val="single" w:sz="2" w:space="0" w:color="auto"/>
              <w:right w:val="single" w:sz="2" w:space="0" w:color="auto"/>
            </w:tcBorders>
            <w:shd w:val="clear" w:color="auto" w:fill="FFFFFF"/>
            <w:vAlign w:val="center"/>
          </w:tcPr>
          <w:p w14:paraId="48E76D55" w14:textId="77777777" w:rsidR="004E3FDC" w:rsidRPr="0077700D" w:rsidRDefault="004E3FDC" w:rsidP="00450B7A">
            <w:pPr>
              <w:widowControl w:val="0"/>
              <w:spacing w:after="0" w:line="240" w:lineRule="auto"/>
              <w:jc w:val="center"/>
              <w:rPr>
                <w:rFonts w:ascii="Cambria" w:eastAsia="Times New Roman" w:hAnsi="Cambria"/>
                <w:b/>
                <w:bCs/>
                <w:lang w:val="hr-HR"/>
              </w:rPr>
            </w:pPr>
            <w:r w:rsidRPr="0077700D">
              <w:rPr>
                <w:rFonts w:ascii="Cambria" w:eastAsia="Times New Roman" w:hAnsi="Cambria"/>
                <w:b/>
                <w:bCs/>
                <w:lang w:val="hr-HR"/>
              </w:rPr>
              <w:t>S</w:t>
            </w:r>
          </w:p>
        </w:tc>
        <w:tc>
          <w:tcPr>
            <w:tcW w:w="313" w:type="pct"/>
            <w:tcBorders>
              <w:top w:val="single" w:sz="2" w:space="0" w:color="auto"/>
              <w:left w:val="single" w:sz="2" w:space="0" w:color="auto"/>
              <w:bottom w:val="single" w:sz="2" w:space="0" w:color="auto"/>
              <w:right w:val="single" w:sz="2" w:space="0" w:color="auto"/>
            </w:tcBorders>
            <w:shd w:val="clear" w:color="auto" w:fill="FFFFFF"/>
            <w:vAlign w:val="center"/>
            <w:hideMark/>
          </w:tcPr>
          <w:p w14:paraId="715A3AA8" w14:textId="77777777" w:rsidR="004E3FDC" w:rsidRPr="0077700D" w:rsidRDefault="004E3FDC" w:rsidP="00450B7A">
            <w:pPr>
              <w:widowControl w:val="0"/>
              <w:spacing w:after="0" w:line="240" w:lineRule="auto"/>
              <w:jc w:val="center"/>
              <w:rPr>
                <w:rFonts w:ascii="Cambria" w:eastAsia="Times New Roman" w:hAnsi="Cambria"/>
                <w:b/>
                <w:bCs/>
                <w:lang w:val="hr-HR"/>
              </w:rPr>
            </w:pPr>
            <w:r w:rsidRPr="0077700D">
              <w:rPr>
                <w:rFonts w:ascii="Cambria" w:eastAsia="Times New Roman" w:hAnsi="Cambria"/>
                <w:b/>
                <w:bCs/>
                <w:lang w:val="hr-HR"/>
              </w:rPr>
              <w:t>V</w:t>
            </w:r>
          </w:p>
        </w:tc>
        <w:tc>
          <w:tcPr>
            <w:tcW w:w="550" w:type="pct"/>
            <w:tcBorders>
              <w:top w:val="single" w:sz="2" w:space="0" w:color="auto"/>
              <w:left w:val="single" w:sz="2" w:space="0" w:color="auto"/>
              <w:bottom w:val="single" w:sz="2" w:space="0" w:color="auto"/>
              <w:right w:val="single" w:sz="2" w:space="0" w:color="auto"/>
            </w:tcBorders>
            <w:vAlign w:val="center"/>
            <w:hideMark/>
          </w:tcPr>
          <w:p w14:paraId="2D8924A3" w14:textId="77777777" w:rsidR="004E3FDC" w:rsidRPr="0077700D" w:rsidRDefault="004E3FDC" w:rsidP="00450B7A">
            <w:pPr>
              <w:widowControl w:val="0"/>
              <w:spacing w:after="0" w:line="240" w:lineRule="auto"/>
              <w:jc w:val="center"/>
              <w:rPr>
                <w:rFonts w:ascii="Cambria" w:eastAsia="Times New Roman" w:hAnsi="Cambria"/>
                <w:b/>
                <w:lang w:val="hr-HR"/>
              </w:rPr>
            </w:pPr>
            <w:r w:rsidRPr="0077700D">
              <w:rPr>
                <w:rFonts w:ascii="Cambria" w:eastAsia="Times New Roman" w:hAnsi="Cambria"/>
                <w:b/>
                <w:lang w:val="hr-HR"/>
              </w:rPr>
              <w:t>ECTS</w:t>
            </w:r>
          </w:p>
        </w:tc>
      </w:tr>
      <w:tr w:rsidR="004E3FDC" w:rsidRPr="0077700D" w14:paraId="73C698E5" w14:textId="77777777" w:rsidTr="00450B7A">
        <w:trPr>
          <w:cantSplit/>
          <w:jc w:val="center"/>
        </w:trPr>
        <w:tc>
          <w:tcPr>
            <w:tcW w:w="1605" w:type="pct"/>
            <w:tcBorders>
              <w:top w:val="single" w:sz="2" w:space="0" w:color="auto"/>
              <w:left w:val="single" w:sz="2" w:space="0" w:color="auto"/>
              <w:bottom w:val="single" w:sz="2" w:space="0" w:color="auto"/>
              <w:right w:val="single" w:sz="2" w:space="0" w:color="auto"/>
            </w:tcBorders>
            <w:vAlign w:val="center"/>
          </w:tcPr>
          <w:p w14:paraId="5865A7CC" w14:textId="77777777" w:rsidR="004E3FDC" w:rsidRPr="00B72EE7" w:rsidRDefault="004E3FDC" w:rsidP="00450B7A">
            <w:pPr>
              <w:spacing w:after="0" w:line="240" w:lineRule="auto"/>
              <w:rPr>
                <w:rFonts w:ascii="Cambria" w:eastAsia="Times New Roman" w:hAnsi="Cambria"/>
                <w:b/>
                <w:lang w:val="hr-HR"/>
              </w:rPr>
            </w:pPr>
            <w:r w:rsidRPr="008B5777">
              <w:rPr>
                <w:rFonts w:ascii="Cambria" w:eastAsia="Times New Roman" w:hAnsi="Cambria"/>
                <w:b/>
                <w:lang w:val="hr-HR"/>
              </w:rPr>
              <w:t>nova šifr</w:t>
            </w:r>
            <w:r>
              <w:rPr>
                <w:rFonts w:ascii="Cambria" w:eastAsia="Times New Roman" w:hAnsi="Cambria"/>
                <w:b/>
                <w:lang w:val="hr-HR"/>
              </w:rPr>
              <w:t>a</w:t>
            </w:r>
          </w:p>
          <w:p w14:paraId="4EE31FCA" w14:textId="77777777" w:rsidR="004E3FDC" w:rsidRPr="0077700D" w:rsidRDefault="004E3FDC" w:rsidP="00450B7A">
            <w:pPr>
              <w:spacing w:after="0" w:line="240" w:lineRule="auto"/>
              <w:rPr>
                <w:rFonts w:ascii="Cambria" w:eastAsia="Times New Roman" w:hAnsi="Cambria"/>
                <w:lang w:val="hr-HR"/>
              </w:rPr>
            </w:pPr>
            <w:r w:rsidRPr="0077700D">
              <w:rPr>
                <w:rFonts w:ascii="Cambria" w:eastAsia="Times New Roman" w:hAnsi="Cambria"/>
                <w:lang w:val="hr-HR"/>
              </w:rPr>
              <w:t>Usmena zavičajna baština</w:t>
            </w:r>
          </w:p>
        </w:tc>
        <w:tc>
          <w:tcPr>
            <w:tcW w:w="1905" w:type="pct"/>
            <w:tcBorders>
              <w:top w:val="single" w:sz="2" w:space="0" w:color="auto"/>
              <w:left w:val="single" w:sz="2" w:space="0" w:color="auto"/>
              <w:bottom w:val="single" w:sz="2" w:space="0" w:color="auto"/>
              <w:right w:val="single" w:sz="2" w:space="0" w:color="auto"/>
            </w:tcBorders>
            <w:vAlign w:val="center"/>
          </w:tcPr>
          <w:p w14:paraId="7A477626" w14:textId="77777777" w:rsidR="004E3FDC" w:rsidRDefault="004E3FDC" w:rsidP="00450B7A">
            <w:pPr>
              <w:widowControl w:val="0"/>
              <w:spacing w:after="0" w:line="240" w:lineRule="auto"/>
              <w:rPr>
                <w:rFonts w:ascii="Cambria" w:eastAsia="Times New Roman" w:hAnsi="Cambria"/>
                <w:lang w:val="hr-HR"/>
              </w:rPr>
            </w:pPr>
            <w:r w:rsidRPr="0077700D">
              <w:rPr>
                <w:rFonts w:ascii="Cambria" w:eastAsia="Times New Roman" w:hAnsi="Cambria"/>
                <w:lang w:val="hr-HR"/>
              </w:rPr>
              <w:t>prof. dr. sc. Vjekoslava Jurdana</w:t>
            </w:r>
          </w:p>
          <w:p w14:paraId="228C93FB" w14:textId="77777777" w:rsidR="004E3FDC" w:rsidRPr="0077700D" w:rsidRDefault="004E3FDC" w:rsidP="00450B7A">
            <w:pPr>
              <w:widowControl w:val="0"/>
              <w:spacing w:after="0" w:line="240" w:lineRule="auto"/>
              <w:rPr>
                <w:rFonts w:ascii="Cambria" w:eastAsia="Times New Roman" w:hAnsi="Cambria"/>
                <w:lang w:val="hr-HR"/>
              </w:rPr>
            </w:pPr>
            <w:r w:rsidRPr="00671B0E">
              <w:rPr>
                <w:rFonts w:ascii="Cambria" w:eastAsia="Times New Roman" w:hAnsi="Cambria"/>
                <w:lang w:val="hr-HR"/>
              </w:rPr>
              <w:t xml:space="preserve">Alen </w:t>
            </w:r>
            <w:proofErr w:type="spellStart"/>
            <w:r w:rsidRPr="00671B0E">
              <w:rPr>
                <w:rFonts w:ascii="Cambria" w:eastAsia="Times New Roman" w:hAnsi="Cambria"/>
                <w:lang w:val="hr-HR"/>
              </w:rPr>
              <w:t>Klančar</w:t>
            </w:r>
            <w:proofErr w:type="spellEnd"/>
            <w:r w:rsidRPr="00671B0E">
              <w:rPr>
                <w:rFonts w:ascii="Cambria" w:eastAsia="Times New Roman" w:hAnsi="Cambria"/>
                <w:lang w:val="hr-HR"/>
              </w:rPr>
              <w:t>, naslovni asistent</w:t>
            </w:r>
          </w:p>
        </w:tc>
        <w:tc>
          <w:tcPr>
            <w:tcW w:w="313" w:type="pct"/>
            <w:tcBorders>
              <w:top w:val="single" w:sz="2" w:space="0" w:color="auto"/>
              <w:left w:val="single" w:sz="2" w:space="0" w:color="auto"/>
              <w:bottom w:val="single" w:sz="2" w:space="0" w:color="auto"/>
              <w:right w:val="single" w:sz="2" w:space="0" w:color="auto"/>
            </w:tcBorders>
            <w:shd w:val="clear" w:color="auto" w:fill="FFFFFF"/>
            <w:vAlign w:val="center"/>
          </w:tcPr>
          <w:p w14:paraId="0615C78C" w14:textId="77777777" w:rsidR="004E3FDC" w:rsidRPr="0077700D" w:rsidRDefault="004E3FDC" w:rsidP="00450B7A">
            <w:pPr>
              <w:spacing w:after="0" w:line="240" w:lineRule="auto"/>
              <w:ind w:hanging="22"/>
              <w:jc w:val="center"/>
              <w:rPr>
                <w:rFonts w:ascii="Cambria" w:eastAsia="Times New Roman" w:hAnsi="Cambria"/>
                <w:lang w:val="hr-HR"/>
              </w:rPr>
            </w:pPr>
            <w:r w:rsidRPr="0077700D">
              <w:rPr>
                <w:rFonts w:ascii="Cambria" w:eastAsia="Times New Roman" w:hAnsi="Cambria"/>
                <w:lang w:val="hr-HR"/>
              </w:rPr>
              <w:t>15</w:t>
            </w:r>
          </w:p>
        </w:tc>
        <w:tc>
          <w:tcPr>
            <w:tcW w:w="314" w:type="pct"/>
            <w:tcBorders>
              <w:top w:val="single" w:sz="2" w:space="0" w:color="auto"/>
              <w:left w:val="single" w:sz="2" w:space="0" w:color="auto"/>
              <w:bottom w:val="single" w:sz="2" w:space="0" w:color="auto"/>
              <w:right w:val="single" w:sz="2" w:space="0" w:color="auto"/>
            </w:tcBorders>
            <w:shd w:val="clear" w:color="auto" w:fill="FFFFFF"/>
            <w:vAlign w:val="center"/>
          </w:tcPr>
          <w:p w14:paraId="0C9504A7"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15</w:t>
            </w:r>
          </w:p>
        </w:tc>
        <w:tc>
          <w:tcPr>
            <w:tcW w:w="313" w:type="pct"/>
            <w:tcBorders>
              <w:top w:val="single" w:sz="2" w:space="0" w:color="auto"/>
              <w:left w:val="single" w:sz="2" w:space="0" w:color="auto"/>
              <w:bottom w:val="single" w:sz="2" w:space="0" w:color="auto"/>
              <w:right w:val="single" w:sz="2" w:space="0" w:color="auto"/>
            </w:tcBorders>
            <w:shd w:val="clear" w:color="auto" w:fill="FFFFFF"/>
            <w:vAlign w:val="center"/>
          </w:tcPr>
          <w:p w14:paraId="4BE03663"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0</w:t>
            </w:r>
          </w:p>
        </w:tc>
        <w:tc>
          <w:tcPr>
            <w:tcW w:w="550" w:type="pct"/>
            <w:tcBorders>
              <w:top w:val="single" w:sz="2" w:space="0" w:color="auto"/>
              <w:left w:val="single" w:sz="2" w:space="0" w:color="auto"/>
              <w:bottom w:val="single" w:sz="2" w:space="0" w:color="auto"/>
              <w:right w:val="single" w:sz="2" w:space="0" w:color="auto"/>
            </w:tcBorders>
            <w:vAlign w:val="center"/>
          </w:tcPr>
          <w:p w14:paraId="739344E2"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3</w:t>
            </w:r>
          </w:p>
        </w:tc>
      </w:tr>
      <w:tr w:rsidR="004E3FDC" w:rsidRPr="0077700D" w14:paraId="4BD1B181" w14:textId="77777777" w:rsidTr="00450B7A">
        <w:trPr>
          <w:cantSplit/>
          <w:jc w:val="center"/>
        </w:trPr>
        <w:tc>
          <w:tcPr>
            <w:tcW w:w="1605" w:type="pct"/>
            <w:tcBorders>
              <w:top w:val="single" w:sz="2" w:space="0" w:color="auto"/>
              <w:left w:val="single" w:sz="2" w:space="0" w:color="auto"/>
              <w:bottom w:val="single" w:sz="4" w:space="0" w:color="auto"/>
              <w:right w:val="single" w:sz="2" w:space="0" w:color="auto"/>
            </w:tcBorders>
            <w:vAlign w:val="center"/>
          </w:tcPr>
          <w:p w14:paraId="24E480B4" w14:textId="77777777" w:rsidR="004E3FDC" w:rsidRPr="00B72EE7" w:rsidRDefault="004E3FDC" w:rsidP="00450B7A">
            <w:pPr>
              <w:spacing w:after="0" w:line="240" w:lineRule="auto"/>
              <w:rPr>
                <w:rFonts w:ascii="Cambria" w:eastAsia="Times New Roman" w:hAnsi="Cambria"/>
                <w:b/>
                <w:lang w:val="hr-HR"/>
              </w:rPr>
            </w:pPr>
            <w:r w:rsidRPr="008B5777">
              <w:rPr>
                <w:rFonts w:ascii="Cambria" w:eastAsia="Times New Roman" w:hAnsi="Cambria"/>
                <w:b/>
                <w:lang w:val="hr-HR"/>
              </w:rPr>
              <w:lastRenderedPageBreak/>
              <w:t>nova šifra</w:t>
            </w:r>
          </w:p>
          <w:p w14:paraId="6D2A4870" w14:textId="77777777" w:rsidR="004E3FDC" w:rsidRPr="0077700D" w:rsidRDefault="004E3FDC" w:rsidP="00450B7A">
            <w:pPr>
              <w:spacing w:after="0" w:line="240" w:lineRule="auto"/>
              <w:rPr>
                <w:rFonts w:ascii="Cambria" w:eastAsia="Times New Roman" w:hAnsi="Cambria"/>
                <w:lang w:val="hr-HR"/>
              </w:rPr>
            </w:pPr>
            <w:r w:rsidRPr="0077700D">
              <w:rPr>
                <w:rFonts w:ascii="Cambria" w:eastAsia="Times New Roman" w:hAnsi="Cambria"/>
                <w:lang w:val="hr-HR"/>
              </w:rPr>
              <w:t>Akademska komunikacija</w:t>
            </w:r>
          </w:p>
        </w:tc>
        <w:tc>
          <w:tcPr>
            <w:tcW w:w="1905" w:type="pct"/>
            <w:tcBorders>
              <w:top w:val="single" w:sz="2" w:space="0" w:color="auto"/>
              <w:left w:val="single" w:sz="2" w:space="0" w:color="auto"/>
              <w:bottom w:val="single" w:sz="4" w:space="0" w:color="auto"/>
              <w:right w:val="single" w:sz="2" w:space="0" w:color="auto"/>
            </w:tcBorders>
            <w:vAlign w:val="center"/>
          </w:tcPr>
          <w:p w14:paraId="0A29E2BB" w14:textId="77777777" w:rsidR="004E3FDC" w:rsidRPr="0077700D" w:rsidRDefault="004E3FDC" w:rsidP="00450B7A">
            <w:pPr>
              <w:widowControl w:val="0"/>
              <w:spacing w:after="0" w:line="240" w:lineRule="auto"/>
              <w:rPr>
                <w:rFonts w:ascii="Cambria" w:eastAsia="Times New Roman" w:hAnsi="Cambria"/>
                <w:lang w:val="hr-HR"/>
              </w:rPr>
            </w:pPr>
            <w:r w:rsidRPr="0077700D">
              <w:rPr>
                <w:rFonts w:ascii="Cambria" w:eastAsia="Times New Roman" w:hAnsi="Cambria"/>
                <w:lang w:val="hr-HR"/>
              </w:rPr>
              <w:t xml:space="preserve">prof. dr. sc. Kristina </w:t>
            </w:r>
            <w:proofErr w:type="spellStart"/>
            <w:r w:rsidRPr="0077700D">
              <w:rPr>
                <w:rFonts w:ascii="Cambria" w:eastAsia="Times New Roman" w:hAnsi="Cambria"/>
                <w:lang w:val="hr-HR"/>
              </w:rPr>
              <w:t>Riman</w:t>
            </w:r>
            <w:proofErr w:type="spellEnd"/>
          </w:p>
        </w:tc>
        <w:tc>
          <w:tcPr>
            <w:tcW w:w="313" w:type="pct"/>
            <w:tcBorders>
              <w:top w:val="single" w:sz="2" w:space="0" w:color="auto"/>
              <w:left w:val="single" w:sz="2" w:space="0" w:color="auto"/>
              <w:bottom w:val="single" w:sz="4" w:space="0" w:color="auto"/>
              <w:right w:val="single" w:sz="2" w:space="0" w:color="auto"/>
            </w:tcBorders>
            <w:shd w:val="clear" w:color="auto" w:fill="FFFFFF"/>
            <w:vAlign w:val="center"/>
          </w:tcPr>
          <w:p w14:paraId="03EBE519"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15</w:t>
            </w:r>
          </w:p>
        </w:tc>
        <w:tc>
          <w:tcPr>
            <w:tcW w:w="314" w:type="pct"/>
            <w:tcBorders>
              <w:top w:val="single" w:sz="2" w:space="0" w:color="auto"/>
              <w:left w:val="single" w:sz="2" w:space="0" w:color="auto"/>
              <w:bottom w:val="single" w:sz="4" w:space="0" w:color="auto"/>
              <w:right w:val="single" w:sz="2" w:space="0" w:color="auto"/>
            </w:tcBorders>
            <w:shd w:val="clear" w:color="auto" w:fill="FFFFFF"/>
            <w:vAlign w:val="center"/>
          </w:tcPr>
          <w:p w14:paraId="0BC0964D"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0</w:t>
            </w:r>
          </w:p>
        </w:tc>
        <w:tc>
          <w:tcPr>
            <w:tcW w:w="313" w:type="pct"/>
            <w:tcBorders>
              <w:top w:val="single" w:sz="2" w:space="0" w:color="auto"/>
              <w:left w:val="single" w:sz="2" w:space="0" w:color="auto"/>
              <w:bottom w:val="single" w:sz="4" w:space="0" w:color="auto"/>
              <w:right w:val="single" w:sz="2" w:space="0" w:color="auto"/>
            </w:tcBorders>
            <w:shd w:val="clear" w:color="auto" w:fill="FFFFFF"/>
            <w:vAlign w:val="center"/>
          </w:tcPr>
          <w:p w14:paraId="7652AD82"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15</w:t>
            </w:r>
          </w:p>
        </w:tc>
        <w:tc>
          <w:tcPr>
            <w:tcW w:w="550" w:type="pct"/>
            <w:tcBorders>
              <w:top w:val="single" w:sz="2" w:space="0" w:color="auto"/>
              <w:left w:val="single" w:sz="2" w:space="0" w:color="auto"/>
              <w:bottom w:val="single" w:sz="4" w:space="0" w:color="auto"/>
              <w:right w:val="single" w:sz="2" w:space="0" w:color="auto"/>
            </w:tcBorders>
            <w:vAlign w:val="center"/>
          </w:tcPr>
          <w:p w14:paraId="5CD75481"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3</w:t>
            </w:r>
          </w:p>
        </w:tc>
      </w:tr>
      <w:tr w:rsidR="004E3FDC" w:rsidRPr="0077700D" w14:paraId="7279AADC" w14:textId="77777777" w:rsidTr="00450B7A">
        <w:trPr>
          <w:cantSplit/>
          <w:jc w:val="center"/>
        </w:trPr>
        <w:tc>
          <w:tcPr>
            <w:tcW w:w="1605" w:type="pct"/>
            <w:tcBorders>
              <w:top w:val="single" w:sz="4" w:space="0" w:color="auto"/>
              <w:left w:val="single" w:sz="4" w:space="0" w:color="auto"/>
              <w:bottom w:val="single" w:sz="4" w:space="0" w:color="auto"/>
              <w:right w:val="single" w:sz="2" w:space="0" w:color="auto"/>
            </w:tcBorders>
            <w:vAlign w:val="center"/>
          </w:tcPr>
          <w:p w14:paraId="46937722" w14:textId="77777777" w:rsidR="004E3FDC" w:rsidRPr="00B72EE7" w:rsidRDefault="004E3FDC" w:rsidP="00450B7A">
            <w:pPr>
              <w:spacing w:after="0" w:line="240" w:lineRule="auto"/>
              <w:rPr>
                <w:rFonts w:ascii="Cambria" w:eastAsia="Times New Roman" w:hAnsi="Cambria"/>
                <w:b/>
                <w:lang w:val="hr-HR"/>
              </w:rPr>
            </w:pPr>
            <w:r w:rsidRPr="008B5777">
              <w:rPr>
                <w:rFonts w:ascii="Cambria" w:eastAsia="Times New Roman" w:hAnsi="Cambria"/>
                <w:b/>
                <w:lang w:val="hr-HR"/>
              </w:rPr>
              <w:t>nova šifra</w:t>
            </w:r>
          </w:p>
          <w:p w14:paraId="224E21F4" w14:textId="77777777" w:rsidR="004E3FDC" w:rsidRPr="0077700D" w:rsidRDefault="004E3FDC" w:rsidP="00450B7A">
            <w:pPr>
              <w:spacing w:after="0" w:line="240" w:lineRule="auto"/>
              <w:rPr>
                <w:rFonts w:ascii="Cambria" w:eastAsia="Times New Roman" w:hAnsi="Cambria"/>
                <w:lang w:val="hr-HR"/>
              </w:rPr>
            </w:pPr>
            <w:r w:rsidRPr="0077700D">
              <w:rPr>
                <w:rFonts w:ascii="Cambria" w:eastAsia="Times New Roman" w:hAnsi="Cambria"/>
                <w:lang w:val="hr-HR"/>
              </w:rPr>
              <w:t>Uspostava i upravljanje projektima u obrazovanju</w:t>
            </w:r>
          </w:p>
        </w:tc>
        <w:tc>
          <w:tcPr>
            <w:tcW w:w="1905" w:type="pct"/>
            <w:tcBorders>
              <w:top w:val="single" w:sz="4" w:space="0" w:color="auto"/>
              <w:left w:val="single" w:sz="2" w:space="0" w:color="auto"/>
              <w:bottom w:val="single" w:sz="4" w:space="0" w:color="auto"/>
              <w:right w:val="single" w:sz="2" w:space="0" w:color="auto"/>
            </w:tcBorders>
            <w:vAlign w:val="center"/>
          </w:tcPr>
          <w:p w14:paraId="2A7955E0" w14:textId="77777777" w:rsidR="004E3FDC" w:rsidRPr="0077700D" w:rsidRDefault="004E3FDC" w:rsidP="00450B7A">
            <w:pPr>
              <w:widowControl w:val="0"/>
              <w:spacing w:after="0" w:line="240" w:lineRule="auto"/>
              <w:rPr>
                <w:rFonts w:ascii="Cambria" w:eastAsia="Times New Roman" w:hAnsi="Cambria"/>
                <w:lang w:val="hr-HR"/>
              </w:rPr>
            </w:pPr>
            <w:r w:rsidRPr="0077700D">
              <w:rPr>
                <w:rFonts w:ascii="Cambria" w:eastAsia="Times New Roman" w:hAnsi="Cambria"/>
                <w:lang w:val="hr-HR"/>
              </w:rPr>
              <w:t xml:space="preserve">doc. dr. sc. </w:t>
            </w:r>
            <w:proofErr w:type="spellStart"/>
            <w:r w:rsidRPr="0077700D">
              <w:rPr>
                <w:rFonts w:ascii="Cambria" w:eastAsia="Times New Roman" w:hAnsi="Cambria"/>
                <w:lang w:val="hr-HR"/>
              </w:rPr>
              <w:t>Marlena</w:t>
            </w:r>
            <w:proofErr w:type="spellEnd"/>
            <w:r w:rsidRPr="0077700D">
              <w:rPr>
                <w:rFonts w:ascii="Cambria" w:eastAsia="Times New Roman" w:hAnsi="Cambria"/>
                <w:lang w:val="hr-HR"/>
              </w:rPr>
              <w:t xml:space="preserve"> Plavšić</w:t>
            </w:r>
          </w:p>
        </w:tc>
        <w:tc>
          <w:tcPr>
            <w:tcW w:w="313" w:type="pct"/>
            <w:tcBorders>
              <w:top w:val="single" w:sz="4" w:space="0" w:color="auto"/>
              <w:left w:val="single" w:sz="2" w:space="0" w:color="auto"/>
              <w:bottom w:val="single" w:sz="4" w:space="0" w:color="auto"/>
              <w:right w:val="single" w:sz="2" w:space="0" w:color="auto"/>
            </w:tcBorders>
            <w:shd w:val="clear" w:color="auto" w:fill="FFFFFF"/>
            <w:vAlign w:val="center"/>
          </w:tcPr>
          <w:p w14:paraId="0BE029C0"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15</w:t>
            </w:r>
          </w:p>
        </w:tc>
        <w:tc>
          <w:tcPr>
            <w:tcW w:w="314" w:type="pct"/>
            <w:tcBorders>
              <w:top w:val="single" w:sz="4" w:space="0" w:color="auto"/>
              <w:left w:val="single" w:sz="2" w:space="0" w:color="auto"/>
              <w:bottom w:val="single" w:sz="4" w:space="0" w:color="auto"/>
              <w:right w:val="single" w:sz="2" w:space="0" w:color="auto"/>
            </w:tcBorders>
            <w:shd w:val="clear" w:color="auto" w:fill="FFFFFF"/>
            <w:vAlign w:val="center"/>
          </w:tcPr>
          <w:p w14:paraId="31AE6725"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0</w:t>
            </w:r>
          </w:p>
        </w:tc>
        <w:tc>
          <w:tcPr>
            <w:tcW w:w="313" w:type="pct"/>
            <w:tcBorders>
              <w:top w:val="single" w:sz="4" w:space="0" w:color="auto"/>
              <w:left w:val="single" w:sz="2" w:space="0" w:color="auto"/>
              <w:bottom w:val="single" w:sz="4" w:space="0" w:color="auto"/>
              <w:right w:val="single" w:sz="2" w:space="0" w:color="auto"/>
            </w:tcBorders>
            <w:shd w:val="clear" w:color="auto" w:fill="FFFFFF"/>
            <w:vAlign w:val="center"/>
          </w:tcPr>
          <w:p w14:paraId="0AB7B95B"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15</w:t>
            </w:r>
          </w:p>
        </w:tc>
        <w:tc>
          <w:tcPr>
            <w:tcW w:w="550" w:type="pct"/>
            <w:tcBorders>
              <w:top w:val="single" w:sz="4" w:space="0" w:color="auto"/>
              <w:left w:val="single" w:sz="2" w:space="0" w:color="auto"/>
              <w:bottom w:val="single" w:sz="4" w:space="0" w:color="auto"/>
              <w:right w:val="single" w:sz="4" w:space="0" w:color="auto"/>
            </w:tcBorders>
            <w:vAlign w:val="center"/>
          </w:tcPr>
          <w:p w14:paraId="454E9367"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3</w:t>
            </w:r>
          </w:p>
        </w:tc>
      </w:tr>
    </w:tbl>
    <w:p w14:paraId="409CAEF6" w14:textId="77777777" w:rsidR="004E3FDC" w:rsidRDefault="004E3FDC" w:rsidP="004E3FDC">
      <w:pPr>
        <w:widowControl w:val="0"/>
        <w:spacing w:after="0" w:line="240" w:lineRule="auto"/>
        <w:rPr>
          <w:rFonts w:ascii="Cambria" w:eastAsia="Times New Roman" w:hAnsi="Cambria"/>
          <w:lang w:val="hr-HR"/>
        </w:rPr>
      </w:pPr>
      <w:r>
        <w:rPr>
          <w:rFonts w:ascii="Cambria" w:eastAsia="Times New Roman" w:hAnsi="Cambria"/>
          <w:lang w:val="hr-HR"/>
        </w:rPr>
        <w:t xml:space="preserve">  </w:t>
      </w:r>
    </w:p>
    <w:p w14:paraId="55F0E2B7" w14:textId="77777777" w:rsidR="004E3FDC" w:rsidRPr="0077700D" w:rsidRDefault="004E3FDC" w:rsidP="004E3FDC">
      <w:pPr>
        <w:widowControl w:val="0"/>
        <w:spacing w:after="0" w:line="240" w:lineRule="auto"/>
        <w:rPr>
          <w:rFonts w:ascii="Cambria" w:eastAsia="Times New Roman" w:hAnsi="Cambria"/>
          <w:lang w:val="hr-HR"/>
        </w:rPr>
      </w:pPr>
    </w:p>
    <w:tbl>
      <w:tblPr>
        <w:tblW w:w="4866"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3136"/>
        <w:gridCol w:w="3722"/>
        <w:gridCol w:w="613"/>
        <w:gridCol w:w="613"/>
        <w:gridCol w:w="615"/>
        <w:gridCol w:w="1066"/>
      </w:tblGrid>
      <w:tr w:rsidR="004E3FDC" w:rsidRPr="0077700D" w14:paraId="642803CB" w14:textId="77777777" w:rsidTr="00450B7A">
        <w:trPr>
          <w:cantSplit/>
          <w:jc w:val="center"/>
        </w:trPr>
        <w:tc>
          <w:tcPr>
            <w:tcW w:w="5000" w:type="pct"/>
            <w:gridSpan w:val="6"/>
            <w:tcBorders>
              <w:top w:val="single" w:sz="2" w:space="0" w:color="auto"/>
              <w:left w:val="single" w:sz="2" w:space="0" w:color="auto"/>
              <w:bottom w:val="single" w:sz="2" w:space="0" w:color="auto"/>
              <w:right w:val="single" w:sz="2" w:space="0" w:color="auto"/>
            </w:tcBorders>
            <w:shd w:val="clear" w:color="auto" w:fill="33CCCC"/>
            <w:vAlign w:val="center"/>
            <w:hideMark/>
          </w:tcPr>
          <w:p w14:paraId="15366E09" w14:textId="77777777" w:rsidR="004E3FDC" w:rsidRPr="0077700D" w:rsidRDefault="004E3FDC" w:rsidP="00450B7A">
            <w:pPr>
              <w:spacing w:after="0" w:line="240" w:lineRule="auto"/>
              <w:jc w:val="center"/>
              <w:rPr>
                <w:rFonts w:ascii="Cambria" w:eastAsia="Times New Roman" w:hAnsi="Cambria"/>
                <w:b/>
                <w:bCs/>
                <w:lang w:val="hr-HR"/>
              </w:rPr>
            </w:pPr>
            <w:bookmarkStart w:id="53" w:name="_Toc209340482"/>
            <w:bookmarkStart w:id="54" w:name="_Toc209420860"/>
            <w:bookmarkStart w:id="55" w:name="_Toc209421241"/>
            <w:bookmarkStart w:id="56" w:name="_Toc209789836"/>
            <w:r w:rsidRPr="0077700D">
              <w:rPr>
                <w:rFonts w:ascii="Cambria" w:eastAsia="Times New Roman" w:hAnsi="Cambria"/>
                <w:b/>
                <w:bCs/>
                <w:lang w:val="hr-HR"/>
              </w:rPr>
              <w:t>VI. semestar</w:t>
            </w:r>
            <w:bookmarkEnd w:id="53"/>
            <w:bookmarkEnd w:id="54"/>
            <w:bookmarkEnd w:id="55"/>
            <w:bookmarkEnd w:id="56"/>
          </w:p>
        </w:tc>
      </w:tr>
      <w:tr w:rsidR="004E3FDC" w:rsidRPr="0077700D" w14:paraId="5E9D5804" w14:textId="77777777" w:rsidTr="00450B7A">
        <w:trPr>
          <w:cantSplit/>
          <w:jc w:val="center"/>
        </w:trPr>
        <w:tc>
          <w:tcPr>
            <w:tcW w:w="1605" w:type="pct"/>
            <w:tcBorders>
              <w:top w:val="single" w:sz="2" w:space="0" w:color="auto"/>
              <w:left w:val="single" w:sz="2" w:space="0" w:color="auto"/>
              <w:bottom w:val="single" w:sz="2" w:space="0" w:color="auto"/>
              <w:right w:val="single" w:sz="2" w:space="0" w:color="auto"/>
            </w:tcBorders>
            <w:vAlign w:val="center"/>
            <w:hideMark/>
          </w:tcPr>
          <w:p w14:paraId="6E26693F" w14:textId="77777777" w:rsidR="004E3FDC" w:rsidRPr="0077700D" w:rsidRDefault="004E3FDC" w:rsidP="00450B7A">
            <w:pPr>
              <w:widowControl w:val="0"/>
              <w:spacing w:after="0" w:line="240" w:lineRule="auto"/>
              <w:rPr>
                <w:rFonts w:ascii="Cambria" w:eastAsia="Times New Roman" w:hAnsi="Cambria"/>
                <w:b/>
                <w:lang w:val="hr-HR"/>
              </w:rPr>
            </w:pPr>
            <w:r w:rsidRPr="0077700D">
              <w:rPr>
                <w:rFonts w:ascii="Cambria" w:eastAsia="Times New Roman" w:hAnsi="Cambria"/>
                <w:b/>
                <w:lang w:val="hr-HR"/>
              </w:rPr>
              <w:t>Predmet</w:t>
            </w:r>
          </w:p>
        </w:tc>
        <w:tc>
          <w:tcPr>
            <w:tcW w:w="1906" w:type="pct"/>
            <w:tcBorders>
              <w:top w:val="single" w:sz="2" w:space="0" w:color="auto"/>
              <w:left w:val="single" w:sz="2" w:space="0" w:color="auto"/>
              <w:bottom w:val="single" w:sz="2" w:space="0" w:color="auto"/>
              <w:right w:val="single" w:sz="2" w:space="0" w:color="auto"/>
            </w:tcBorders>
            <w:vAlign w:val="center"/>
            <w:hideMark/>
          </w:tcPr>
          <w:p w14:paraId="52A0824F" w14:textId="77777777" w:rsidR="004E3FDC" w:rsidRPr="0077700D" w:rsidRDefault="004E3FDC" w:rsidP="00450B7A">
            <w:pPr>
              <w:widowControl w:val="0"/>
              <w:spacing w:after="0" w:line="240" w:lineRule="auto"/>
              <w:rPr>
                <w:rFonts w:ascii="Cambria" w:eastAsia="Times New Roman" w:hAnsi="Cambria"/>
                <w:b/>
                <w:lang w:val="hr-HR"/>
              </w:rPr>
            </w:pPr>
            <w:r w:rsidRPr="0077700D">
              <w:rPr>
                <w:rFonts w:ascii="Cambria" w:eastAsia="Times New Roman" w:hAnsi="Cambria"/>
                <w:b/>
                <w:lang w:val="hr-HR"/>
              </w:rPr>
              <w:t>Nastavnik/</w:t>
            </w:r>
            <w:proofErr w:type="spellStart"/>
            <w:r w:rsidRPr="0077700D">
              <w:rPr>
                <w:rFonts w:ascii="Cambria" w:eastAsia="Times New Roman" w:hAnsi="Cambria"/>
                <w:b/>
                <w:lang w:val="hr-HR"/>
              </w:rPr>
              <w:t>ica</w:t>
            </w:r>
            <w:proofErr w:type="spellEnd"/>
          </w:p>
        </w:tc>
        <w:tc>
          <w:tcPr>
            <w:tcW w:w="314" w:type="pct"/>
            <w:tcBorders>
              <w:top w:val="single" w:sz="2" w:space="0" w:color="auto"/>
              <w:left w:val="single" w:sz="2" w:space="0" w:color="auto"/>
              <w:bottom w:val="single" w:sz="2" w:space="0" w:color="auto"/>
              <w:right w:val="single" w:sz="2" w:space="0" w:color="auto"/>
            </w:tcBorders>
            <w:vAlign w:val="center"/>
            <w:hideMark/>
          </w:tcPr>
          <w:p w14:paraId="72B3E43E" w14:textId="77777777" w:rsidR="004E3FDC" w:rsidRPr="0077700D" w:rsidRDefault="004E3FDC" w:rsidP="00450B7A">
            <w:pPr>
              <w:spacing w:after="0" w:line="240" w:lineRule="auto"/>
              <w:jc w:val="center"/>
              <w:rPr>
                <w:rFonts w:ascii="Cambria" w:eastAsia="Times New Roman" w:hAnsi="Cambria"/>
                <w:b/>
                <w:bCs/>
                <w:caps/>
                <w:lang w:val="hr-HR"/>
              </w:rPr>
            </w:pPr>
            <w:bookmarkStart w:id="57" w:name="_Toc208818029"/>
            <w:bookmarkStart w:id="58" w:name="_Toc208819687"/>
            <w:bookmarkStart w:id="59" w:name="_Toc208904380"/>
            <w:bookmarkStart w:id="60" w:name="_Toc209340483"/>
            <w:bookmarkStart w:id="61" w:name="_Toc209420861"/>
            <w:bookmarkStart w:id="62" w:name="_Toc209421242"/>
            <w:bookmarkStart w:id="63" w:name="_Toc209789837"/>
            <w:r w:rsidRPr="0077700D">
              <w:rPr>
                <w:rFonts w:ascii="Cambria" w:eastAsia="Times New Roman" w:hAnsi="Cambria"/>
                <w:b/>
                <w:bCs/>
                <w:caps/>
                <w:lang w:val="hr-HR"/>
              </w:rPr>
              <w:t>P</w:t>
            </w:r>
            <w:bookmarkEnd w:id="57"/>
            <w:bookmarkEnd w:id="58"/>
            <w:bookmarkEnd w:id="59"/>
            <w:bookmarkEnd w:id="60"/>
            <w:bookmarkEnd w:id="61"/>
            <w:bookmarkEnd w:id="62"/>
            <w:bookmarkEnd w:id="63"/>
          </w:p>
        </w:tc>
        <w:tc>
          <w:tcPr>
            <w:tcW w:w="314" w:type="pct"/>
            <w:tcBorders>
              <w:top w:val="single" w:sz="2" w:space="0" w:color="auto"/>
              <w:left w:val="single" w:sz="2" w:space="0" w:color="auto"/>
              <w:bottom w:val="single" w:sz="2" w:space="0" w:color="auto"/>
              <w:right w:val="single" w:sz="2" w:space="0" w:color="auto"/>
            </w:tcBorders>
            <w:vAlign w:val="center"/>
          </w:tcPr>
          <w:p w14:paraId="7A480CAA" w14:textId="77777777" w:rsidR="004E3FDC" w:rsidRPr="0077700D" w:rsidRDefault="004E3FDC" w:rsidP="00450B7A">
            <w:pPr>
              <w:spacing w:after="0" w:line="240" w:lineRule="auto"/>
              <w:jc w:val="center"/>
              <w:rPr>
                <w:rFonts w:ascii="Cambria" w:eastAsia="Times New Roman" w:hAnsi="Cambria"/>
                <w:b/>
                <w:bCs/>
                <w:caps/>
                <w:lang w:val="hr-HR"/>
              </w:rPr>
            </w:pPr>
            <w:r w:rsidRPr="0077700D">
              <w:rPr>
                <w:rFonts w:ascii="Cambria" w:eastAsia="Times New Roman" w:hAnsi="Cambria"/>
                <w:b/>
                <w:bCs/>
                <w:caps/>
                <w:lang w:val="hr-HR"/>
              </w:rPr>
              <w:t>S</w:t>
            </w:r>
          </w:p>
        </w:tc>
        <w:tc>
          <w:tcPr>
            <w:tcW w:w="315" w:type="pct"/>
            <w:tcBorders>
              <w:top w:val="single" w:sz="2" w:space="0" w:color="auto"/>
              <w:left w:val="single" w:sz="2" w:space="0" w:color="auto"/>
              <w:bottom w:val="single" w:sz="2" w:space="0" w:color="auto"/>
              <w:right w:val="single" w:sz="2" w:space="0" w:color="auto"/>
            </w:tcBorders>
            <w:vAlign w:val="center"/>
            <w:hideMark/>
          </w:tcPr>
          <w:p w14:paraId="391AD68F" w14:textId="77777777" w:rsidR="004E3FDC" w:rsidRPr="0077700D" w:rsidRDefault="004E3FDC" w:rsidP="00450B7A">
            <w:pPr>
              <w:spacing w:after="0" w:line="240" w:lineRule="auto"/>
              <w:jc w:val="center"/>
              <w:rPr>
                <w:rFonts w:ascii="Cambria" w:eastAsia="Times New Roman" w:hAnsi="Cambria"/>
                <w:b/>
                <w:bCs/>
                <w:caps/>
                <w:lang w:val="hr-HR"/>
              </w:rPr>
            </w:pPr>
            <w:r w:rsidRPr="0077700D">
              <w:rPr>
                <w:rFonts w:ascii="Cambria" w:eastAsia="Times New Roman" w:hAnsi="Cambria"/>
                <w:b/>
                <w:bCs/>
                <w:caps/>
                <w:lang w:val="hr-HR"/>
              </w:rPr>
              <w:t>V</w:t>
            </w:r>
          </w:p>
        </w:tc>
        <w:tc>
          <w:tcPr>
            <w:tcW w:w="546" w:type="pct"/>
            <w:tcBorders>
              <w:top w:val="single" w:sz="2" w:space="0" w:color="auto"/>
              <w:left w:val="single" w:sz="2" w:space="0" w:color="auto"/>
              <w:bottom w:val="single" w:sz="2" w:space="0" w:color="auto"/>
              <w:right w:val="single" w:sz="2" w:space="0" w:color="auto"/>
            </w:tcBorders>
            <w:vAlign w:val="center"/>
            <w:hideMark/>
          </w:tcPr>
          <w:p w14:paraId="55A60F14" w14:textId="77777777" w:rsidR="004E3FDC" w:rsidRPr="0077700D" w:rsidRDefault="004E3FDC" w:rsidP="00450B7A">
            <w:pPr>
              <w:spacing w:after="0" w:line="240" w:lineRule="auto"/>
              <w:jc w:val="center"/>
              <w:rPr>
                <w:rFonts w:ascii="Cambria" w:eastAsia="Times New Roman" w:hAnsi="Cambria"/>
                <w:b/>
                <w:bCs/>
                <w:caps/>
                <w:lang w:val="hr-HR"/>
              </w:rPr>
            </w:pPr>
            <w:r w:rsidRPr="0077700D">
              <w:rPr>
                <w:rFonts w:ascii="Cambria" w:eastAsia="Times New Roman" w:hAnsi="Cambria"/>
                <w:b/>
                <w:bCs/>
                <w:caps/>
                <w:lang w:val="hr-HR"/>
              </w:rPr>
              <w:t>ECTS</w:t>
            </w:r>
          </w:p>
        </w:tc>
      </w:tr>
      <w:tr w:rsidR="004E3FDC" w:rsidRPr="0077700D" w14:paraId="03442343" w14:textId="77777777" w:rsidTr="00450B7A">
        <w:trPr>
          <w:cantSplit/>
          <w:jc w:val="center"/>
        </w:trPr>
        <w:tc>
          <w:tcPr>
            <w:tcW w:w="1605" w:type="pct"/>
            <w:tcBorders>
              <w:top w:val="single" w:sz="2" w:space="0" w:color="auto"/>
              <w:left w:val="single" w:sz="2" w:space="0" w:color="auto"/>
              <w:bottom w:val="single" w:sz="2" w:space="0" w:color="auto"/>
              <w:right w:val="single" w:sz="2" w:space="0" w:color="auto"/>
            </w:tcBorders>
            <w:vAlign w:val="center"/>
          </w:tcPr>
          <w:p w14:paraId="554684EB" w14:textId="77777777" w:rsidR="004E3FDC" w:rsidRPr="0077700D" w:rsidRDefault="004E3FDC" w:rsidP="00450B7A">
            <w:pPr>
              <w:spacing w:after="0" w:line="240" w:lineRule="auto"/>
              <w:rPr>
                <w:rFonts w:ascii="Cambria" w:eastAsia="Times New Roman" w:hAnsi="Cambria"/>
                <w:b/>
                <w:lang w:val="hr-HR"/>
              </w:rPr>
            </w:pPr>
            <w:r w:rsidRPr="0077700D">
              <w:rPr>
                <w:rFonts w:ascii="Cambria" w:eastAsia="Times New Roman" w:hAnsi="Cambria"/>
                <w:b/>
                <w:lang w:val="hr-HR"/>
              </w:rPr>
              <w:t>85800</w:t>
            </w:r>
          </w:p>
          <w:p w14:paraId="0D6601B1" w14:textId="77777777" w:rsidR="004E3FDC" w:rsidRPr="0077700D" w:rsidRDefault="004E3FDC" w:rsidP="00450B7A">
            <w:pPr>
              <w:spacing w:after="0" w:line="240" w:lineRule="auto"/>
              <w:rPr>
                <w:rFonts w:ascii="Cambria" w:eastAsia="Times New Roman" w:hAnsi="Cambria"/>
                <w:lang w:val="hr-HR"/>
              </w:rPr>
            </w:pPr>
            <w:r w:rsidRPr="0077700D">
              <w:rPr>
                <w:rFonts w:ascii="Cambria" w:eastAsia="Times New Roman" w:hAnsi="Cambria"/>
                <w:lang w:val="hr-HR"/>
              </w:rPr>
              <w:t>Medijska kultura</w:t>
            </w:r>
          </w:p>
        </w:tc>
        <w:tc>
          <w:tcPr>
            <w:tcW w:w="1906" w:type="pct"/>
            <w:tcBorders>
              <w:top w:val="single" w:sz="2" w:space="0" w:color="auto"/>
              <w:left w:val="single" w:sz="2" w:space="0" w:color="auto"/>
              <w:bottom w:val="single" w:sz="2" w:space="0" w:color="auto"/>
              <w:right w:val="single" w:sz="2" w:space="0" w:color="auto"/>
            </w:tcBorders>
            <w:vAlign w:val="center"/>
          </w:tcPr>
          <w:p w14:paraId="1D5BA05F" w14:textId="77777777" w:rsidR="004E3FDC" w:rsidRPr="0077700D" w:rsidRDefault="004E3FDC" w:rsidP="00450B7A">
            <w:pPr>
              <w:spacing w:after="0" w:line="240" w:lineRule="auto"/>
              <w:rPr>
                <w:rFonts w:ascii="Cambria" w:eastAsia="Times New Roman" w:hAnsi="Cambria"/>
                <w:lang w:val="hr-HR"/>
              </w:rPr>
            </w:pPr>
            <w:r w:rsidRPr="0077700D">
              <w:rPr>
                <w:rFonts w:ascii="Cambria" w:eastAsia="Times New Roman" w:hAnsi="Cambria"/>
                <w:lang w:val="hr-HR"/>
              </w:rPr>
              <w:t xml:space="preserve">prof. dr. sc. Kristina </w:t>
            </w:r>
            <w:proofErr w:type="spellStart"/>
            <w:r w:rsidRPr="0077700D">
              <w:rPr>
                <w:rFonts w:ascii="Cambria" w:eastAsia="Times New Roman" w:hAnsi="Cambria"/>
                <w:lang w:val="hr-HR"/>
              </w:rPr>
              <w:t>Riman</w:t>
            </w:r>
            <w:proofErr w:type="spellEnd"/>
          </w:p>
        </w:tc>
        <w:tc>
          <w:tcPr>
            <w:tcW w:w="314" w:type="pct"/>
            <w:tcBorders>
              <w:top w:val="single" w:sz="2" w:space="0" w:color="auto"/>
              <w:left w:val="single" w:sz="2" w:space="0" w:color="auto"/>
              <w:bottom w:val="single" w:sz="2" w:space="0" w:color="auto"/>
              <w:right w:val="single" w:sz="2" w:space="0" w:color="auto"/>
            </w:tcBorders>
            <w:vAlign w:val="center"/>
          </w:tcPr>
          <w:p w14:paraId="5F241169"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15</w:t>
            </w:r>
          </w:p>
        </w:tc>
        <w:tc>
          <w:tcPr>
            <w:tcW w:w="314" w:type="pct"/>
            <w:tcBorders>
              <w:top w:val="single" w:sz="2" w:space="0" w:color="auto"/>
              <w:left w:val="single" w:sz="2" w:space="0" w:color="auto"/>
              <w:bottom w:val="single" w:sz="2" w:space="0" w:color="auto"/>
              <w:right w:val="single" w:sz="2" w:space="0" w:color="auto"/>
            </w:tcBorders>
            <w:vAlign w:val="center"/>
          </w:tcPr>
          <w:p w14:paraId="05BCCC21"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30</w:t>
            </w:r>
          </w:p>
        </w:tc>
        <w:tc>
          <w:tcPr>
            <w:tcW w:w="315" w:type="pct"/>
            <w:tcBorders>
              <w:top w:val="single" w:sz="2" w:space="0" w:color="auto"/>
              <w:left w:val="single" w:sz="2" w:space="0" w:color="auto"/>
              <w:bottom w:val="single" w:sz="2" w:space="0" w:color="auto"/>
              <w:right w:val="single" w:sz="2" w:space="0" w:color="auto"/>
            </w:tcBorders>
            <w:vAlign w:val="center"/>
          </w:tcPr>
          <w:p w14:paraId="36EFBF71"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0</w:t>
            </w:r>
          </w:p>
        </w:tc>
        <w:tc>
          <w:tcPr>
            <w:tcW w:w="546" w:type="pct"/>
            <w:tcBorders>
              <w:top w:val="single" w:sz="2" w:space="0" w:color="auto"/>
              <w:left w:val="single" w:sz="2" w:space="0" w:color="auto"/>
              <w:bottom w:val="single" w:sz="2" w:space="0" w:color="auto"/>
              <w:right w:val="single" w:sz="2" w:space="0" w:color="auto"/>
            </w:tcBorders>
            <w:vAlign w:val="center"/>
          </w:tcPr>
          <w:p w14:paraId="26902765"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4</w:t>
            </w:r>
          </w:p>
        </w:tc>
      </w:tr>
      <w:tr w:rsidR="004E3FDC" w:rsidRPr="0077700D" w14:paraId="198052A1" w14:textId="77777777" w:rsidTr="00450B7A">
        <w:trPr>
          <w:cantSplit/>
          <w:jc w:val="center"/>
        </w:trPr>
        <w:tc>
          <w:tcPr>
            <w:tcW w:w="1605" w:type="pct"/>
            <w:tcBorders>
              <w:top w:val="single" w:sz="2" w:space="0" w:color="auto"/>
              <w:left w:val="single" w:sz="2" w:space="0" w:color="auto"/>
              <w:bottom w:val="single" w:sz="2" w:space="0" w:color="auto"/>
              <w:right w:val="single" w:sz="2" w:space="0" w:color="auto"/>
            </w:tcBorders>
            <w:vAlign w:val="center"/>
          </w:tcPr>
          <w:p w14:paraId="68098573" w14:textId="77777777" w:rsidR="004E3FDC" w:rsidRPr="00671B0E" w:rsidRDefault="004E3FDC" w:rsidP="00450B7A">
            <w:pPr>
              <w:spacing w:after="0" w:line="240" w:lineRule="auto"/>
              <w:rPr>
                <w:rFonts w:ascii="Cambria" w:eastAsia="Times New Roman" w:hAnsi="Cambria"/>
                <w:b/>
                <w:lang w:val="hr-HR"/>
              </w:rPr>
            </w:pPr>
            <w:r w:rsidRPr="00671B0E">
              <w:rPr>
                <w:rFonts w:ascii="Cambria" w:eastAsia="Times New Roman" w:hAnsi="Cambria"/>
                <w:b/>
                <w:lang w:val="hr-HR"/>
              </w:rPr>
              <w:t>288195</w:t>
            </w:r>
          </w:p>
          <w:p w14:paraId="50516AE4" w14:textId="77777777" w:rsidR="004E3FDC" w:rsidRPr="00671B0E" w:rsidRDefault="004E3FDC" w:rsidP="00450B7A">
            <w:pPr>
              <w:spacing w:after="0" w:line="240" w:lineRule="auto"/>
              <w:rPr>
                <w:rFonts w:ascii="Cambria" w:eastAsia="Times New Roman" w:hAnsi="Cambria"/>
                <w:lang w:val="hr-HR"/>
              </w:rPr>
            </w:pPr>
            <w:r w:rsidRPr="00671B0E">
              <w:rPr>
                <w:rFonts w:ascii="Cambria" w:eastAsia="Times New Roman" w:hAnsi="Cambria"/>
                <w:lang w:val="hr-HR"/>
              </w:rPr>
              <w:t>Osnove ekologije</w:t>
            </w:r>
          </w:p>
        </w:tc>
        <w:tc>
          <w:tcPr>
            <w:tcW w:w="1906" w:type="pct"/>
            <w:tcBorders>
              <w:top w:val="single" w:sz="2" w:space="0" w:color="auto"/>
              <w:left w:val="single" w:sz="2" w:space="0" w:color="auto"/>
              <w:bottom w:val="single" w:sz="2" w:space="0" w:color="auto"/>
              <w:right w:val="single" w:sz="2" w:space="0" w:color="auto"/>
            </w:tcBorders>
            <w:vAlign w:val="center"/>
          </w:tcPr>
          <w:p w14:paraId="5E7E7CB3" w14:textId="77777777" w:rsidR="004E3FDC" w:rsidRPr="0077700D" w:rsidRDefault="004E3FDC" w:rsidP="00450B7A">
            <w:pPr>
              <w:spacing w:after="0" w:line="240" w:lineRule="auto"/>
              <w:rPr>
                <w:rFonts w:ascii="Cambria" w:eastAsia="Times New Roman" w:hAnsi="Cambria"/>
                <w:lang w:val="hr-HR"/>
              </w:rPr>
            </w:pPr>
            <w:r w:rsidRPr="0077700D">
              <w:rPr>
                <w:rFonts w:ascii="Cambria" w:eastAsia="Times New Roman" w:hAnsi="Cambria"/>
                <w:lang w:val="hr-HR"/>
              </w:rPr>
              <w:t xml:space="preserve">prof. dr. sc. Mauro </w:t>
            </w:r>
            <w:proofErr w:type="spellStart"/>
            <w:r w:rsidRPr="0077700D">
              <w:rPr>
                <w:rFonts w:ascii="Cambria" w:eastAsia="Times New Roman" w:hAnsi="Cambria"/>
                <w:lang w:val="hr-HR"/>
              </w:rPr>
              <w:t>Štifanić</w:t>
            </w:r>
            <w:proofErr w:type="spellEnd"/>
          </w:p>
        </w:tc>
        <w:tc>
          <w:tcPr>
            <w:tcW w:w="314" w:type="pct"/>
            <w:tcBorders>
              <w:top w:val="single" w:sz="2" w:space="0" w:color="auto"/>
              <w:left w:val="single" w:sz="2" w:space="0" w:color="auto"/>
              <w:bottom w:val="single" w:sz="2" w:space="0" w:color="auto"/>
              <w:right w:val="single" w:sz="2" w:space="0" w:color="auto"/>
            </w:tcBorders>
            <w:vAlign w:val="center"/>
          </w:tcPr>
          <w:p w14:paraId="3582D0FF"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30</w:t>
            </w:r>
          </w:p>
        </w:tc>
        <w:tc>
          <w:tcPr>
            <w:tcW w:w="314" w:type="pct"/>
            <w:tcBorders>
              <w:top w:val="single" w:sz="2" w:space="0" w:color="auto"/>
              <w:left w:val="single" w:sz="2" w:space="0" w:color="auto"/>
              <w:bottom w:val="single" w:sz="2" w:space="0" w:color="auto"/>
              <w:right w:val="single" w:sz="2" w:space="0" w:color="auto"/>
            </w:tcBorders>
            <w:vAlign w:val="center"/>
          </w:tcPr>
          <w:p w14:paraId="769884AD"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15</w:t>
            </w:r>
          </w:p>
        </w:tc>
        <w:tc>
          <w:tcPr>
            <w:tcW w:w="315" w:type="pct"/>
            <w:tcBorders>
              <w:top w:val="single" w:sz="2" w:space="0" w:color="auto"/>
              <w:left w:val="single" w:sz="2" w:space="0" w:color="auto"/>
              <w:bottom w:val="single" w:sz="2" w:space="0" w:color="auto"/>
              <w:right w:val="single" w:sz="2" w:space="0" w:color="auto"/>
            </w:tcBorders>
            <w:vAlign w:val="center"/>
          </w:tcPr>
          <w:p w14:paraId="5426C9F9"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0</w:t>
            </w:r>
          </w:p>
        </w:tc>
        <w:tc>
          <w:tcPr>
            <w:tcW w:w="546" w:type="pct"/>
            <w:tcBorders>
              <w:top w:val="single" w:sz="2" w:space="0" w:color="auto"/>
              <w:left w:val="single" w:sz="2" w:space="0" w:color="auto"/>
              <w:bottom w:val="single" w:sz="2" w:space="0" w:color="auto"/>
              <w:right w:val="single" w:sz="2" w:space="0" w:color="auto"/>
            </w:tcBorders>
            <w:vAlign w:val="center"/>
          </w:tcPr>
          <w:p w14:paraId="6F1F294D"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3</w:t>
            </w:r>
          </w:p>
        </w:tc>
      </w:tr>
      <w:tr w:rsidR="004E3FDC" w:rsidRPr="0077700D" w14:paraId="79E93E52" w14:textId="77777777" w:rsidTr="00450B7A">
        <w:trPr>
          <w:cantSplit/>
          <w:jc w:val="center"/>
        </w:trPr>
        <w:tc>
          <w:tcPr>
            <w:tcW w:w="1605" w:type="pct"/>
            <w:tcBorders>
              <w:top w:val="single" w:sz="2" w:space="0" w:color="auto"/>
              <w:left w:val="single" w:sz="2" w:space="0" w:color="auto"/>
              <w:bottom w:val="single" w:sz="2" w:space="0" w:color="auto"/>
              <w:right w:val="single" w:sz="2" w:space="0" w:color="auto"/>
            </w:tcBorders>
            <w:vAlign w:val="center"/>
          </w:tcPr>
          <w:p w14:paraId="6AEEB471" w14:textId="77777777" w:rsidR="004E3FDC" w:rsidRPr="00671B0E" w:rsidRDefault="004E3FDC" w:rsidP="00450B7A">
            <w:pPr>
              <w:spacing w:after="0" w:line="240" w:lineRule="auto"/>
              <w:rPr>
                <w:rFonts w:ascii="Cambria" w:eastAsia="Times New Roman" w:hAnsi="Cambria"/>
                <w:b/>
                <w:lang w:val="hr-HR"/>
              </w:rPr>
            </w:pPr>
            <w:r w:rsidRPr="00671B0E">
              <w:rPr>
                <w:rFonts w:ascii="Cambria" w:eastAsia="Times New Roman" w:hAnsi="Cambria"/>
                <w:b/>
                <w:lang w:val="hr-HR"/>
              </w:rPr>
              <w:t>288196</w:t>
            </w:r>
          </w:p>
          <w:p w14:paraId="628D379A" w14:textId="77777777" w:rsidR="004E3FDC" w:rsidRPr="00671B0E" w:rsidRDefault="004E3FDC" w:rsidP="00450B7A">
            <w:pPr>
              <w:spacing w:after="0" w:line="240" w:lineRule="auto"/>
              <w:rPr>
                <w:rFonts w:ascii="Cambria" w:eastAsia="Times New Roman" w:hAnsi="Cambria"/>
                <w:lang w:val="hr-HR"/>
              </w:rPr>
            </w:pPr>
            <w:r w:rsidRPr="00671B0E">
              <w:rPr>
                <w:rFonts w:ascii="Cambria" w:eastAsia="Times New Roman" w:hAnsi="Cambria"/>
                <w:lang w:val="hr-HR"/>
              </w:rPr>
              <w:t>Metodika nastave hrvatskoga jezika II</w:t>
            </w:r>
          </w:p>
        </w:tc>
        <w:tc>
          <w:tcPr>
            <w:tcW w:w="1906" w:type="pct"/>
            <w:tcBorders>
              <w:top w:val="single" w:sz="2" w:space="0" w:color="auto"/>
              <w:left w:val="single" w:sz="2" w:space="0" w:color="auto"/>
              <w:bottom w:val="single" w:sz="2" w:space="0" w:color="auto"/>
              <w:right w:val="single" w:sz="2" w:space="0" w:color="auto"/>
            </w:tcBorders>
            <w:vAlign w:val="center"/>
          </w:tcPr>
          <w:p w14:paraId="5E9B0628" w14:textId="77777777" w:rsidR="004E3FDC" w:rsidRPr="0077700D" w:rsidRDefault="004E3FDC" w:rsidP="00450B7A">
            <w:pPr>
              <w:spacing w:after="0" w:line="240" w:lineRule="auto"/>
              <w:rPr>
                <w:rFonts w:ascii="Cambria" w:eastAsia="Times New Roman" w:hAnsi="Cambria"/>
                <w:lang w:val="hr-HR"/>
              </w:rPr>
            </w:pPr>
            <w:r>
              <w:rPr>
                <w:rFonts w:ascii="Cambria" w:eastAsia="Times New Roman" w:hAnsi="Cambria"/>
                <w:lang w:val="hr-HR"/>
              </w:rPr>
              <w:t>prof. dr. sc. Vjekoslava Jurdana</w:t>
            </w:r>
          </w:p>
          <w:p w14:paraId="721ADCD4" w14:textId="49E546DE" w:rsidR="004E3FDC" w:rsidRPr="0077700D" w:rsidRDefault="004E3FDC" w:rsidP="00450B7A">
            <w:pPr>
              <w:spacing w:after="0" w:line="240" w:lineRule="auto"/>
              <w:rPr>
                <w:rFonts w:ascii="Cambria" w:eastAsia="Times New Roman" w:hAnsi="Cambria"/>
                <w:lang w:val="hr-HR"/>
              </w:rPr>
            </w:pPr>
          </w:p>
        </w:tc>
        <w:tc>
          <w:tcPr>
            <w:tcW w:w="314" w:type="pct"/>
            <w:tcBorders>
              <w:top w:val="single" w:sz="2" w:space="0" w:color="auto"/>
              <w:left w:val="single" w:sz="2" w:space="0" w:color="auto"/>
              <w:bottom w:val="single" w:sz="2" w:space="0" w:color="auto"/>
              <w:right w:val="single" w:sz="2" w:space="0" w:color="auto"/>
            </w:tcBorders>
            <w:vAlign w:val="center"/>
          </w:tcPr>
          <w:p w14:paraId="0B969F17"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15</w:t>
            </w:r>
          </w:p>
        </w:tc>
        <w:tc>
          <w:tcPr>
            <w:tcW w:w="314" w:type="pct"/>
            <w:tcBorders>
              <w:top w:val="single" w:sz="2" w:space="0" w:color="auto"/>
              <w:left w:val="single" w:sz="2" w:space="0" w:color="auto"/>
              <w:bottom w:val="single" w:sz="2" w:space="0" w:color="auto"/>
              <w:right w:val="single" w:sz="2" w:space="0" w:color="auto"/>
            </w:tcBorders>
            <w:vAlign w:val="center"/>
          </w:tcPr>
          <w:p w14:paraId="2C61E264"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0</w:t>
            </w:r>
          </w:p>
        </w:tc>
        <w:tc>
          <w:tcPr>
            <w:tcW w:w="315" w:type="pct"/>
            <w:tcBorders>
              <w:top w:val="single" w:sz="2" w:space="0" w:color="auto"/>
              <w:left w:val="single" w:sz="2" w:space="0" w:color="auto"/>
              <w:bottom w:val="single" w:sz="2" w:space="0" w:color="auto"/>
              <w:right w:val="single" w:sz="2" w:space="0" w:color="auto"/>
            </w:tcBorders>
            <w:vAlign w:val="center"/>
          </w:tcPr>
          <w:p w14:paraId="4236D02C"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30</w:t>
            </w:r>
          </w:p>
        </w:tc>
        <w:tc>
          <w:tcPr>
            <w:tcW w:w="546" w:type="pct"/>
            <w:tcBorders>
              <w:top w:val="single" w:sz="2" w:space="0" w:color="auto"/>
              <w:left w:val="single" w:sz="2" w:space="0" w:color="auto"/>
              <w:bottom w:val="single" w:sz="2" w:space="0" w:color="auto"/>
              <w:right w:val="single" w:sz="2" w:space="0" w:color="auto"/>
            </w:tcBorders>
            <w:vAlign w:val="center"/>
          </w:tcPr>
          <w:p w14:paraId="4BDD0A84"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4</w:t>
            </w:r>
          </w:p>
        </w:tc>
      </w:tr>
      <w:tr w:rsidR="004E3FDC" w:rsidRPr="0077700D" w14:paraId="4238F56C" w14:textId="77777777" w:rsidTr="00450B7A">
        <w:trPr>
          <w:cantSplit/>
          <w:jc w:val="center"/>
        </w:trPr>
        <w:tc>
          <w:tcPr>
            <w:tcW w:w="1605" w:type="pct"/>
            <w:tcBorders>
              <w:top w:val="single" w:sz="2" w:space="0" w:color="auto"/>
              <w:left w:val="single" w:sz="2" w:space="0" w:color="auto"/>
              <w:bottom w:val="single" w:sz="2" w:space="0" w:color="auto"/>
              <w:right w:val="single" w:sz="2" w:space="0" w:color="auto"/>
            </w:tcBorders>
            <w:vAlign w:val="center"/>
          </w:tcPr>
          <w:p w14:paraId="0408BDDD" w14:textId="77777777" w:rsidR="004E3FDC" w:rsidRPr="00671B0E" w:rsidRDefault="004E3FDC" w:rsidP="00450B7A">
            <w:pPr>
              <w:spacing w:after="0" w:line="240" w:lineRule="auto"/>
              <w:rPr>
                <w:rFonts w:ascii="Cambria" w:eastAsia="Times New Roman" w:hAnsi="Cambria"/>
                <w:b/>
                <w:lang w:val="hr-HR"/>
              </w:rPr>
            </w:pPr>
            <w:r w:rsidRPr="00671B0E">
              <w:rPr>
                <w:rFonts w:ascii="Cambria" w:eastAsia="Times New Roman" w:hAnsi="Cambria"/>
                <w:b/>
                <w:lang w:val="hr-HR"/>
              </w:rPr>
              <w:t>288198</w:t>
            </w:r>
          </w:p>
          <w:p w14:paraId="5E687451" w14:textId="77777777" w:rsidR="004E3FDC" w:rsidRPr="00671B0E" w:rsidRDefault="004E3FDC" w:rsidP="00450B7A">
            <w:pPr>
              <w:spacing w:after="0" w:line="240" w:lineRule="auto"/>
              <w:rPr>
                <w:rFonts w:ascii="Cambria" w:eastAsia="Times New Roman" w:hAnsi="Cambria"/>
                <w:lang w:val="hr-HR"/>
              </w:rPr>
            </w:pPr>
            <w:r w:rsidRPr="00671B0E">
              <w:rPr>
                <w:rFonts w:ascii="Cambria" w:eastAsia="Times New Roman" w:hAnsi="Cambria"/>
                <w:lang w:val="hr-HR"/>
              </w:rPr>
              <w:t>Metodika nastave matematike I</w:t>
            </w:r>
          </w:p>
        </w:tc>
        <w:tc>
          <w:tcPr>
            <w:tcW w:w="1906" w:type="pct"/>
            <w:tcBorders>
              <w:top w:val="single" w:sz="2" w:space="0" w:color="auto"/>
              <w:left w:val="single" w:sz="2" w:space="0" w:color="auto"/>
              <w:bottom w:val="single" w:sz="2" w:space="0" w:color="auto"/>
              <w:right w:val="single" w:sz="2" w:space="0" w:color="auto"/>
            </w:tcBorders>
            <w:vAlign w:val="center"/>
          </w:tcPr>
          <w:p w14:paraId="684327A2" w14:textId="77777777" w:rsidR="004E3FDC" w:rsidRPr="0077700D" w:rsidRDefault="004E3FDC" w:rsidP="00450B7A">
            <w:pPr>
              <w:widowControl w:val="0"/>
              <w:spacing w:after="0" w:line="240" w:lineRule="auto"/>
              <w:rPr>
                <w:rFonts w:ascii="Cambria" w:eastAsia="Times New Roman" w:hAnsi="Cambria"/>
                <w:lang w:val="hr-HR"/>
              </w:rPr>
            </w:pPr>
            <w:r w:rsidRPr="0077700D">
              <w:rPr>
                <w:rFonts w:ascii="Cambria" w:eastAsia="Times New Roman" w:hAnsi="Cambria"/>
                <w:lang w:val="hr-HR"/>
              </w:rPr>
              <w:t>doc. dr. sc. Siniša Miličić</w:t>
            </w:r>
          </w:p>
          <w:p w14:paraId="73545461" w14:textId="77777777" w:rsidR="004E3FDC" w:rsidRPr="0077700D" w:rsidRDefault="004E3FDC" w:rsidP="00450B7A">
            <w:pPr>
              <w:spacing w:after="0" w:line="240" w:lineRule="auto"/>
              <w:rPr>
                <w:rFonts w:ascii="Cambria" w:eastAsia="Times New Roman" w:hAnsi="Cambria"/>
                <w:lang w:val="hr-HR"/>
              </w:rPr>
            </w:pPr>
            <w:r w:rsidRPr="0077700D">
              <w:rPr>
                <w:rFonts w:ascii="Cambria" w:eastAsia="Times New Roman" w:hAnsi="Cambria"/>
                <w:lang w:val="hr-HR"/>
              </w:rPr>
              <w:t>dr. sc. Branka Antunović, viša asistentica</w:t>
            </w:r>
          </w:p>
        </w:tc>
        <w:tc>
          <w:tcPr>
            <w:tcW w:w="314" w:type="pct"/>
            <w:tcBorders>
              <w:top w:val="single" w:sz="2" w:space="0" w:color="auto"/>
              <w:left w:val="single" w:sz="2" w:space="0" w:color="auto"/>
              <w:bottom w:val="single" w:sz="2" w:space="0" w:color="auto"/>
              <w:right w:val="single" w:sz="2" w:space="0" w:color="auto"/>
            </w:tcBorders>
            <w:vAlign w:val="center"/>
          </w:tcPr>
          <w:p w14:paraId="053607FA"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15</w:t>
            </w:r>
          </w:p>
        </w:tc>
        <w:tc>
          <w:tcPr>
            <w:tcW w:w="314" w:type="pct"/>
            <w:tcBorders>
              <w:top w:val="single" w:sz="2" w:space="0" w:color="auto"/>
              <w:left w:val="single" w:sz="2" w:space="0" w:color="auto"/>
              <w:bottom w:val="single" w:sz="2" w:space="0" w:color="auto"/>
              <w:right w:val="single" w:sz="2" w:space="0" w:color="auto"/>
            </w:tcBorders>
            <w:vAlign w:val="center"/>
          </w:tcPr>
          <w:p w14:paraId="04DCA351"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0</w:t>
            </w:r>
          </w:p>
        </w:tc>
        <w:tc>
          <w:tcPr>
            <w:tcW w:w="315" w:type="pct"/>
            <w:tcBorders>
              <w:top w:val="single" w:sz="2" w:space="0" w:color="auto"/>
              <w:left w:val="single" w:sz="2" w:space="0" w:color="auto"/>
              <w:bottom w:val="single" w:sz="2" w:space="0" w:color="auto"/>
              <w:right w:val="single" w:sz="2" w:space="0" w:color="auto"/>
            </w:tcBorders>
            <w:vAlign w:val="center"/>
          </w:tcPr>
          <w:p w14:paraId="1F721552"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30</w:t>
            </w:r>
          </w:p>
        </w:tc>
        <w:tc>
          <w:tcPr>
            <w:tcW w:w="546" w:type="pct"/>
            <w:tcBorders>
              <w:top w:val="single" w:sz="2" w:space="0" w:color="auto"/>
              <w:left w:val="single" w:sz="2" w:space="0" w:color="auto"/>
              <w:bottom w:val="single" w:sz="2" w:space="0" w:color="auto"/>
              <w:right w:val="single" w:sz="2" w:space="0" w:color="auto"/>
            </w:tcBorders>
            <w:vAlign w:val="center"/>
          </w:tcPr>
          <w:p w14:paraId="76A8BBC9"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4</w:t>
            </w:r>
          </w:p>
        </w:tc>
      </w:tr>
      <w:tr w:rsidR="004E3FDC" w:rsidRPr="0077700D" w14:paraId="7F6DBD25" w14:textId="77777777" w:rsidTr="00450B7A">
        <w:trPr>
          <w:cantSplit/>
          <w:jc w:val="center"/>
        </w:trPr>
        <w:tc>
          <w:tcPr>
            <w:tcW w:w="1605" w:type="pct"/>
            <w:tcBorders>
              <w:top w:val="single" w:sz="2" w:space="0" w:color="auto"/>
              <w:left w:val="single" w:sz="2" w:space="0" w:color="auto"/>
              <w:bottom w:val="single" w:sz="2" w:space="0" w:color="auto"/>
              <w:right w:val="single" w:sz="2" w:space="0" w:color="auto"/>
            </w:tcBorders>
            <w:vAlign w:val="center"/>
          </w:tcPr>
          <w:p w14:paraId="1E2BFD30" w14:textId="77777777" w:rsidR="004E3FDC" w:rsidRPr="00671B0E" w:rsidRDefault="004E3FDC" w:rsidP="00450B7A">
            <w:pPr>
              <w:spacing w:after="0" w:line="240" w:lineRule="auto"/>
              <w:rPr>
                <w:rFonts w:ascii="Cambria" w:eastAsia="Times New Roman" w:hAnsi="Cambria"/>
                <w:b/>
                <w:lang w:val="hr-HR"/>
              </w:rPr>
            </w:pPr>
            <w:r w:rsidRPr="00671B0E">
              <w:rPr>
                <w:rFonts w:ascii="Cambria" w:eastAsia="Times New Roman" w:hAnsi="Cambria"/>
                <w:b/>
                <w:lang w:val="hr-HR"/>
              </w:rPr>
              <w:t>288199</w:t>
            </w:r>
          </w:p>
          <w:p w14:paraId="189CE2D2" w14:textId="77777777" w:rsidR="004E3FDC" w:rsidRPr="00671B0E" w:rsidRDefault="004E3FDC" w:rsidP="00450B7A">
            <w:pPr>
              <w:spacing w:after="0" w:line="240" w:lineRule="auto"/>
              <w:rPr>
                <w:rFonts w:ascii="Cambria" w:eastAsia="Times New Roman" w:hAnsi="Cambria"/>
                <w:lang w:val="hr-HR"/>
              </w:rPr>
            </w:pPr>
            <w:r w:rsidRPr="00671B0E">
              <w:rPr>
                <w:rFonts w:ascii="Cambria" w:eastAsia="Times New Roman" w:hAnsi="Cambria"/>
                <w:lang w:val="hr-HR"/>
              </w:rPr>
              <w:t>Metodika nastave glazbene kulture II</w:t>
            </w:r>
          </w:p>
        </w:tc>
        <w:tc>
          <w:tcPr>
            <w:tcW w:w="1906" w:type="pct"/>
            <w:tcBorders>
              <w:top w:val="single" w:sz="2" w:space="0" w:color="auto"/>
              <w:left w:val="single" w:sz="2" w:space="0" w:color="auto"/>
              <w:bottom w:val="single" w:sz="2" w:space="0" w:color="auto"/>
              <w:right w:val="single" w:sz="2" w:space="0" w:color="auto"/>
            </w:tcBorders>
            <w:vAlign w:val="center"/>
          </w:tcPr>
          <w:p w14:paraId="55B65799" w14:textId="77777777" w:rsidR="004E3FDC" w:rsidRPr="0077700D" w:rsidRDefault="004E3FDC" w:rsidP="00450B7A">
            <w:pPr>
              <w:spacing w:after="0" w:line="240" w:lineRule="auto"/>
              <w:rPr>
                <w:rFonts w:ascii="Cambria" w:eastAsia="Times New Roman" w:hAnsi="Cambria"/>
                <w:lang w:val="hr-HR"/>
              </w:rPr>
            </w:pPr>
            <w:r w:rsidRPr="0077700D">
              <w:rPr>
                <w:rFonts w:ascii="Cambria" w:eastAsia="Times New Roman" w:hAnsi="Cambria"/>
                <w:lang w:val="hr-HR"/>
              </w:rPr>
              <w:t xml:space="preserve">naslovna doc. dr. sc. Anita </w:t>
            </w:r>
            <w:proofErr w:type="spellStart"/>
            <w:r w:rsidRPr="0077700D">
              <w:rPr>
                <w:rFonts w:ascii="Cambria" w:eastAsia="Times New Roman" w:hAnsi="Cambria"/>
                <w:lang w:val="hr-HR"/>
              </w:rPr>
              <w:t>Gergorić</w:t>
            </w:r>
            <w:proofErr w:type="spellEnd"/>
          </w:p>
          <w:p w14:paraId="4F4B6318" w14:textId="77777777" w:rsidR="004E3FDC" w:rsidRPr="0077700D" w:rsidRDefault="004E3FDC" w:rsidP="00450B7A">
            <w:pPr>
              <w:spacing w:after="0" w:line="240" w:lineRule="auto"/>
              <w:rPr>
                <w:rFonts w:ascii="Cambria" w:eastAsia="Times New Roman" w:hAnsi="Cambria"/>
                <w:lang w:val="hr-HR"/>
              </w:rPr>
            </w:pPr>
            <w:r w:rsidRPr="0077700D">
              <w:rPr>
                <w:rFonts w:ascii="Cambria" w:eastAsia="Times New Roman" w:hAnsi="Cambria"/>
                <w:lang w:val="hr-HR"/>
              </w:rPr>
              <w:t>mr. sc. Branko Radić, pred.</w:t>
            </w:r>
          </w:p>
        </w:tc>
        <w:tc>
          <w:tcPr>
            <w:tcW w:w="314" w:type="pct"/>
            <w:tcBorders>
              <w:top w:val="single" w:sz="2" w:space="0" w:color="auto"/>
              <w:left w:val="single" w:sz="2" w:space="0" w:color="auto"/>
              <w:bottom w:val="single" w:sz="2" w:space="0" w:color="auto"/>
              <w:right w:val="single" w:sz="2" w:space="0" w:color="auto"/>
            </w:tcBorders>
            <w:vAlign w:val="center"/>
          </w:tcPr>
          <w:p w14:paraId="1A2579BF"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30</w:t>
            </w:r>
          </w:p>
        </w:tc>
        <w:tc>
          <w:tcPr>
            <w:tcW w:w="314" w:type="pct"/>
            <w:tcBorders>
              <w:top w:val="single" w:sz="2" w:space="0" w:color="auto"/>
              <w:left w:val="single" w:sz="2" w:space="0" w:color="auto"/>
              <w:bottom w:val="single" w:sz="2" w:space="0" w:color="auto"/>
              <w:right w:val="single" w:sz="2" w:space="0" w:color="auto"/>
            </w:tcBorders>
            <w:vAlign w:val="center"/>
          </w:tcPr>
          <w:p w14:paraId="2ABC48B0"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0</w:t>
            </w:r>
          </w:p>
        </w:tc>
        <w:tc>
          <w:tcPr>
            <w:tcW w:w="315" w:type="pct"/>
            <w:tcBorders>
              <w:top w:val="single" w:sz="2" w:space="0" w:color="auto"/>
              <w:left w:val="single" w:sz="2" w:space="0" w:color="auto"/>
              <w:bottom w:val="single" w:sz="2" w:space="0" w:color="auto"/>
              <w:right w:val="single" w:sz="2" w:space="0" w:color="auto"/>
            </w:tcBorders>
            <w:vAlign w:val="center"/>
          </w:tcPr>
          <w:p w14:paraId="143D598A"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30</w:t>
            </w:r>
          </w:p>
        </w:tc>
        <w:tc>
          <w:tcPr>
            <w:tcW w:w="546" w:type="pct"/>
            <w:tcBorders>
              <w:top w:val="single" w:sz="2" w:space="0" w:color="auto"/>
              <w:left w:val="single" w:sz="2" w:space="0" w:color="auto"/>
              <w:bottom w:val="single" w:sz="2" w:space="0" w:color="auto"/>
              <w:right w:val="single" w:sz="2" w:space="0" w:color="auto"/>
            </w:tcBorders>
            <w:vAlign w:val="center"/>
          </w:tcPr>
          <w:p w14:paraId="10A0AF32"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5</w:t>
            </w:r>
          </w:p>
        </w:tc>
      </w:tr>
      <w:tr w:rsidR="004E3FDC" w:rsidRPr="0077700D" w14:paraId="5AE46BF6" w14:textId="77777777" w:rsidTr="00450B7A">
        <w:trPr>
          <w:cantSplit/>
          <w:jc w:val="center"/>
        </w:trPr>
        <w:tc>
          <w:tcPr>
            <w:tcW w:w="1605" w:type="pct"/>
            <w:tcBorders>
              <w:top w:val="single" w:sz="2" w:space="0" w:color="auto"/>
              <w:left w:val="single" w:sz="2" w:space="0" w:color="auto"/>
              <w:bottom w:val="single" w:sz="2" w:space="0" w:color="auto"/>
              <w:right w:val="single" w:sz="2" w:space="0" w:color="auto"/>
            </w:tcBorders>
            <w:vAlign w:val="center"/>
          </w:tcPr>
          <w:p w14:paraId="2FFE262F" w14:textId="77777777" w:rsidR="004E3FDC" w:rsidRPr="0077700D" w:rsidRDefault="004E3FDC" w:rsidP="00450B7A">
            <w:pPr>
              <w:spacing w:after="0" w:line="240" w:lineRule="auto"/>
              <w:rPr>
                <w:rFonts w:ascii="Cambria" w:eastAsia="Times New Roman" w:hAnsi="Cambria"/>
                <w:lang w:val="hr-HR"/>
              </w:rPr>
            </w:pPr>
            <w:r w:rsidRPr="0077700D">
              <w:rPr>
                <w:rFonts w:ascii="Cambria" w:eastAsia="Times New Roman" w:hAnsi="Cambria"/>
                <w:lang w:val="hr-HR"/>
              </w:rPr>
              <w:t>96518</w:t>
            </w:r>
          </w:p>
          <w:p w14:paraId="440BA8B9" w14:textId="77777777" w:rsidR="004E3FDC" w:rsidRPr="0077700D" w:rsidRDefault="004E3FDC" w:rsidP="00450B7A">
            <w:pPr>
              <w:spacing w:after="0" w:line="240" w:lineRule="auto"/>
              <w:rPr>
                <w:rFonts w:ascii="Cambria" w:eastAsia="Times New Roman" w:hAnsi="Cambria"/>
                <w:lang w:val="hr-HR"/>
              </w:rPr>
            </w:pPr>
            <w:r w:rsidRPr="0077700D">
              <w:rPr>
                <w:rFonts w:ascii="Cambria" w:eastAsia="Times New Roman" w:hAnsi="Cambria"/>
                <w:lang w:val="hr-HR"/>
              </w:rPr>
              <w:t>Kineziološka metodika I</w:t>
            </w:r>
          </w:p>
        </w:tc>
        <w:tc>
          <w:tcPr>
            <w:tcW w:w="1906" w:type="pct"/>
            <w:tcBorders>
              <w:top w:val="single" w:sz="2" w:space="0" w:color="auto"/>
              <w:left w:val="single" w:sz="2" w:space="0" w:color="auto"/>
              <w:bottom w:val="single" w:sz="2" w:space="0" w:color="auto"/>
              <w:right w:val="single" w:sz="2" w:space="0" w:color="auto"/>
            </w:tcBorders>
            <w:vAlign w:val="center"/>
          </w:tcPr>
          <w:p w14:paraId="0E549E45" w14:textId="77777777" w:rsidR="004E3FDC" w:rsidRPr="0077700D" w:rsidRDefault="004E3FDC" w:rsidP="00450B7A">
            <w:pPr>
              <w:spacing w:after="0" w:line="240" w:lineRule="auto"/>
              <w:rPr>
                <w:rFonts w:ascii="Cambria" w:eastAsia="Times New Roman" w:hAnsi="Cambria"/>
                <w:lang w:val="hr-HR"/>
              </w:rPr>
            </w:pPr>
            <w:r w:rsidRPr="0077700D">
              <w:rPr>
                <w:rFonts w:ascii="Cambria" w:eastAsia="Times New Roman" w:hAnsi="Cambria"/>
                <w:lang w:val="hr-HR"/>
              </w:rPr>
              <w:t>prof. dr. sc. Iva Blažević</w:t>
            </w:r>
          </w:p>
        </w:tc>
        <w:tc>
          <w:tcPr>
            <w:tcW w:w="314" w:type="pct"/>
            <w:tcBorders>
              <w:top w:val="single" w:sz="2" w:space="0" w:color="auto"/>
              <w:left w:val="single" w:sz="2" w:space="0" w:color="auto"/>
              <w:bottom w:val="single" w:sz="2" w:space="0" w:color="auto"/>
              <w:right w:val="single" w:sz="2" w:space="0" w:color="auto"/>
            </w:tcBorders>
            <w:vAlign w:val="center"/>
          </w:tcPr>
          <w:p w14:paraId="5F488778"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30</w:t>
            </w:r>
          </w:p>
        </w:tc>
        <w:tc>
          <w:tcPr>
            <w:tcW w:w="314" w:type="pct"/>
            <w:tcBorders>
              <w:top w:val="single" w:sz="2" w:space="0" w:color="auto"/>
              <w:left w:val="single" w:sz="2" w:space="0" w:color="auto"/>
              <w:bottom w:val="single" w:sz="2" w:space="0" w:color="auto"/>
              <w:right w:val="single" w:sz="2" w:space="0" w:color="auto"/>
            </w:tcBorders>
            <w:vAlign w:val="center"/>
          </w:tcPr>
          <w:p w14:paraId="7C81EE97"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0</w:t>
            </w:r>
          </w:p>
        </w:tc>
        <w:tc>
          <w:tcPr>
            <w:tcW w:w="315" w:type="pct"/>
            <w:tcBorders>
              <w:top w:val="single" w:sz="2" w:space="0" w:color="auto"/>
              <w:left w:val="single" w:sz="2" w:space="0" w:color="auto"/>
              <w:bottom w:val="single" w:sz="2" w:space="0" w:color="auto"/>
              <w:right w:val="single" w:sz="2" w:space="0" w:color="auto"/>
            </w:tcBorders>
            <w:vAlign w:val="center"/>
          </w:tcPr>
          <w:p w14:paraId="1FAB1B8E"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15</w:t>
            </w:r>
          </w:p>
        </w:tc>
        <w:tc>
          <w:tcPr>
            <w:tcW w:w="546" w:type="pct"/>
            <w:tcBorders>
              <w:top w:val="single" w:sz="2" w:space="0" w:color="auto"/>
              <w:left w:val="single" w:sz="2" w:space="0" w:color="auto"/>
              <w:bottom w:val="single" w:sz="2" w:space="0" w:color="auto"/>
              <w:right w:val="single" w:sz="2" w:space="0" w:color="auto"/>
            </w:tcBorders>
            <w:vAlign w:val="center"/>
          </w:tcPr>
          <w:p w14:paraId="024CE471"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4</w:t>
            </w:r>
          </w:p>
        </w:tc>
      </w:tr>
      <w:tr w:rsidR="004E3FDC" w:rsidRPr="0077700D" w14:paraId="2CC18D9A" w14:textId="77777777" w:rsidTr="00450B7A">
        <w:trPr>
          <w:cantSplit/>
          <w:jc w:val="center"/>
        </w:trPr>
        <w:tc>
          <w:tcPr>
            <w:tcW w:w="1605" w:type="pct"/>
            <w:tcBorders>
              <w:top w:val="single" w:sz="2" w:space="0" w:color="auto"/>
              <w:left w:val="single" w:sz="2" w:space="0" w:color="auto"/>
              <w:bottom w:val="single" w:sz="4" w:space="0" w:color="auto"/>
              <w:right w:val="single" w:sz="2" w:space="0" w:color="auto"/>
            </w:tcBorders>
            <w:vAlign w:val="center"/>
          </w:tcPr>
          <w:p w14:paraId="080E9CF5" w14:textId="77777777" w:rsidR="004E3FDC" w:rsidRPr="0077700D" w:rsidRDefault="004E3FDC" w:rsidP="00450B7A">
            <w:pPr>
              <w:spacing w:after="0" w:line="240" w:lineRule="auto"/>
              <w:rPr>
                <w:rFonts w:ascii="Cambria" w:eastAsia="Times New Roman" w:hAnsi="Cambria"/>
                <w:lang w:val="hr-HR"/>
              </w:rPr>
            </w:pPr>
            <w:r w:rsidRPr="0077700D">
              <w:rPr>
                <w:rFonts w:ascii="Cambria" w:eastAsia="Times New Roman" w:hAnsi="Cambria"/>
                <w:lang w:val="hr-HR"/>
              </w:rPr>
              <w:t>Izborni kolegij I</w:t>
            </w:r>
          </w:p>
        </w:tc>
        <w:tc>
          <w:tcPr>
            <w:tcW w:w="1906" w:type="pct"/>
            <w:tcBorders>
              <w:top w:val="single" w:sz="2" w:space="0" w:color="auto"/>
              <w:left w:val="single" w:sz="2" w:space="0" w:color="auto"/>
              <w:bottom w:val="single" w:sz="4" w:space="0" w:color="auto"/>
              <w:right w:val="single" w:sz="2" w:space="0" w:color="auto"/>
            </w:tcBorders>
            <w:vAlign w:val="center"/>
          </w:tcPr>
          <w:p w14:paraId="33A80C4A" w14:textId="77777777" w:rsidR="004E3FDC" w:rsidRPr="0077700D" w:rsidRDefault="004E3FDC" w:rsidP="00450B7A">
            <w:pPr>
              <w:spacing w:after="0" w:line="240" w:lineRule="auto"/>
              <w:rPr>
                <w:rFonts w:ascii="Cambria" w:eastAsia="Times New Roman" w:hAnsi="Cambria"/>
                <w:lang w:val="hr-HR"/>
              </w:rPr>
            </w:pPr>
          </w:p>
        </w:tc>
        <w:tc>
          <w:tcPr>
            <w:tcW w:w="314" w:type="pct"/>
            <w:tcBorders>
              <w:top w:val="single" w:sz="2" w:space="0" w:color="auto"/>
              <w:left w:val="single" w:sz="2" w:space="0" w:color="auto"/>
              <w:bottom w:val="single" w:sz="4" w:space="0" w:color="auto"/>
              <w:right w:val="single" w:sz="2" w:space="0" w:color="auto"/>
            </w:tcBorders>
            <w:vAlign w:val="center"/>
          </w:tcPr>
          <w:p w14:paraId="50EC4FF1" w14:textId="77777777" w:rsidR="004E3FDC" w:rsidRPr="0077700D" w:rsidRDefault="004E3FDC" w:rsidP="00450B7A">
            <w:pPr>
              <w:spacing w:after="0" w:line="240" w:lineRule="auto"/>
              <w:jc w:val="center"/>
              <w:rPr>
                <w:rFonts w:ascii="Cambria" w:eastAsia="Times New Roman" w:hAnsi="Cambria"/>
                <w:lang w:val="hr-HR"/>
              </w:rPr>
            </w:pPr>
          </w:p>
        </w:tc>
        <w:tc>
          <w:tcPr>
            <w:tcW w:w="314" w:type="pct"/>
            <w:tcBorders>
              <w:top w:val="single" w:sz="2" w:space="0" w:color="auto"/>
              <w:left w:val="single" w:sz="2" w:space="0" w:color="auto"/>
              <w:bottom w:val="single" w:sz="4" w:space="0" w:color="auto"/>
              <w:right w:val="single" w:sz="2" w:space="0" w:color="auto"/>
            </w:tcBorders>
          </w:tcPr>
          <w:p w14:paraId="14C3C152" w14:textId="77777777" w:rsidR="004E3FDC" w:rsidRPr="0077700D" w:rsidRDefault="004E3FDC" w:rsidP="00450B7A">
            <w:pPr>
              <w:spacing w:after="0" w:line="240" w:lineRule="auto"/>
              <w:jc w:val="center"/>
              <w:rPr>
                <w:rFonts w:ascii="Cambria" w:eastAsia="Times New Roman" w:hAnsi="Cambria"/>
                <w:lang w:val="hr-HR"/>
              </w:rPr>
            </w:pPr>
          </w:p>
        </w:tc>
        <w:tc>
          <w:tcPr>
            <w:tcW w:w="315" w:type="pct"/>
            <w:tcBorders>
              <w:top w:val="single" w:sz="2" w:space="0" w:color="auto"/>
              <w:left w:val="single" w:sz="2" w:space="0" w:color="auto"/>
              <w:bottom w:val="single" w:sz="4" w:space="0" w:color="auto"/>
              <w:right w:val="single" w:sz="2" w:space="0" w:color="auto"/>
            </w:tcBorders>
            <w:vAlign w:val="center"/>
          </w:tcPr>
          <w:p w14:paraId="34DC286D" w14:textId="77777777" w:rsidR="004E3FDC" w:rsidRPr="0077700D" w:rsidRDefault="004E3FDC" w:rsidP="00450B7A">
            <w:pPr>
              <w:spacing w:after="0" w:line="240" w:lineRule="auto"/>
              <w:jc w:val="center"/>
              <w:rPr>
                <w:rFonts w:ascii="Cambria" w:eastAsia="Times New Roman" w:hAnsi="Cambria"/>
                <w:lang w:val="hr-HR"/>
              </w:rPr>
            </w:pPr>
          </w:p>
        </w:tc>
        <w:tc>
          <w:tcPr>
            <w:tcW w:w="546" w:type="pct"/>
            <w:tcBorders>
              <w:top w:val="single" w:sz="2" w:space="0" w:color="auto"/>
              <w:left w:val="single" w:sz="2" w:space="0" w:color="auto"/>
              <w:bottom w:val="single" w:sz="4" w:space="0" w:color="auto"/>
              <w:right w:val="single" w:sz="2" w:space="0" w:color="auto"/>
            </w:tcBorders>
            <w:vAlign w:val="center"/>
          </w:tcPr>
          <w:p w14:paraId="7D07BBEE"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3</w:t>
            </w:r>
          </w:p>
        </w:tc>
      </w:tr>
      <w:tr w:rsidR="004E3FDC" w:rsidRPr="0077700D" w14:paraId="148AFE0B" w14:textId="77777777" w:rsidTr="00450B7A">
        <w:trPr>
          <w:cantSplit/>
          <w:jc w:val="center"/>
        </w:trPr>
        <w:tc>
          <w:tcPr>
            <w:tcW w:w="1605" w:type="pct"/>
            <w:tcBorders>
              <w:top w:val="single" w:sz="4" w:space="0" w:color="auto"/>
              <w:left w:val="single" w:sz="4" w:space="0" w:color="auto"/>
              <w:bottom w:val="single" w:sz="4" w:space="0" w:color="auto"/>
              <w:right w:val="single" w:sz="4" w:space="0" w:color="auto"/>
            </w:tcBorders>
            <w:vAlign w:val="center"/>
          </w:tcPr>
          <w:p w14:paraId="18621567" w14:textId="77777777" w:rsidR="004E3FDC" w:rsidRPr="0077700D" w:rsidRDefault="004E3FDC" w:rsidP="00450B7A">
            <w:pPr>
              <w:spacing w:after="0" w:line="240" w:lineRule="auto"/>
              <w:rPr>
                <w:rFonts w:ascii="Cambria" w:eastAsia="Times New Roman" w:hAnsi="Cambria"/>
                <w:lang w:val="hr-HR"/>
              </w:rPr>
            </w:pPr>
            <w:r w:rsidRPr="0077700D">
              <w:rPr>
                <w:rFonts w:ascii="Cambria" w:eastAsia="Times New Roman" w:hAnsi="Cambria"/>
                <w:lang w:val="hr-HR"/>
              </w:rPr>
              <w:t>Izborni kolegij II</w:t>
            </w:r>
          </w:p>
        </w:tc>
        <w:tc>
          <w:tcPr>
            <w:tcW w:w="1906" w:type="pct"/>
            <w:tcBorders>
              <w:top w:val="single" w:sz="4" w:space="0" w:color="auto"/>
              <w:left w:val="single" w:sz="4" w:space="0" w:color="auto"/>
              <w:bottom w:val="single" w:sz="4" w:space="0" w:color="auto"/>
              <w:right w:val="single" w:sz="4" w:space="0" w:color="auto"/>
            </w:tcBorders>
            <w:vAlign w:val="center"/>
          </w:tcPr>
          <w:p w14:paraId="05DBDCB3" w14:textId="77777777" w:rsidR="004E3FDC" w:rsidRPr="0077700D" w:rsidRDefault="004E3FDC" w:rsidP="00450B7A">
            <w:pPr>
              <w:spacing w:after="0" w:line="240" w:lineRule="auto"/>
              <w:rPr>
                <w:rFonts w:ascii="Cambria" w:eastAsia="Times New Roman" w:hAnsi="Cambria"/>
                <w:lang w:val="hr-HR"/>
              </w:rPr>
            </w:pPr>
          </w:p>
        </w:tc>
        <w:tc>
          <w:tcPr>
            <w:tcW w:w="314" w:type="pct"/>
            <w:tcBorders>
              <w:top w:val="single" w:sz="4" w:space="0" w:color="auto"/>
              <w:left w:val="single" w:sz="4" w:space="0" w:color="auto"/>
              <w:bottom w:val="single" w:sz="4" w:space="0" w:color="auto"/>
              <w:right w:val="single" w:sz="4" w:space="0" w:color="auto"/>
            </w:tcBorders>
            <w:vAlign w:val="center"/>
          </w:tcPr>
          <w:p w14:paraId="5EAE6F0E" w14:textId="77777777" w:rsidR="004E3FDC" w:rsidRPr="0077700D" w:rsidRDefault="004E3FDC" w:rsidP="00450B7A">
            <w:pPr>
              <w:spacing w:after="0" w:line="240" w:lineRule="auto"/>
              <w:jc w:val="center"/>
              <w:rPr>
                <w:rFonts w:ascii="Cambria" w:eastAsia="Times New Roman" w:hAnsi="Cambria"/>
                <w:lang w:val="hr-HR"/>
              </w:rPr>
            </w:pPr>
          </w:p>
        </w:tc>
        <w:tc>
          <w:tcPr>
            <w:tcW w:w="314" w:type="pct"/>
            <w:tcBorders>
              <w:top w:val="single" w:sz="4" w:space="0" w:color="auto"/>
              <w:left w:val="single" w:sz="4" w:space="0" w:color="auto"/>
              <w:bottom w:val="single" w:sz="4" w:space="0" w:color="auto"/>
              <w:right w:val="single" w:sz="4" w:space="0" w:color="auto"/>
            </w:tcBorders>
          </w:tcPr>
          <w:p w14:paraId="64E7567B" w14:textId="77777777" w:rsidR="004E3FDC" w:rsidRPr="0077700D" w:rsidRDefault="004E3FDC" w:rsidP="00450B7A">
            <w:pPr>
              <w:spacing w:after="0" w:line="240" w:lineRule="auto"/>
              <w:jc w:val="center"/>
              <w:rPr>
                <w:rFonts w:ascii="Cambria" w:eastAsia="Times New Roman" w:hAnsi="Cambria"/>
                <w:lang w:val="hr-HR"/>
              </w:rPr>
            </w:pPr>
          </w:p>
        </w:tc>
        <w:tc>
          <w:tcPr>
            <w:tcW w:w="315" w:type="pct"/>
            <w:tcBorders>
              <w:top w:val="single" w:sz="4" w:space="0" w:color="auto"/>
              <w:left w:val="single" w:sz="4" w:space="0" w:color="auto"/>
              <w:bottom w:val="single" w:sz="4" w:space="0" w:color="auto"/>
              <w:right w:val="single" w:sz="4" w:space="0" w:color="auto"/>
            </w:tcBorders>
            <w:vAlign w:val="center"/>
          </w:tcPr>
          <w:p w14:paraId="19EDAA31" w14:textId="77777777" w:rsidR="004E3FDC" w:rsidRPr="0077700D" w:rsidRDefault="004E3FDC" w:rsidP="00450B7A">
            <w:pPr>
              <w:spacing w:after="0" w:line="240" w:lineRule="auto"/>
              <w:jc w:val="center"/>
              <w:rPr>
                <w:rFonts w:ascii="Cambria" w:eastAsia="Times New Roman" w:hAnsi="Cambria"/>
                <w:lang w:val="hr-HR"/>
              </w:rPr>
            </w:pPr>
          </w:p>
        </w:tc>
        <w:tc>
          <w:tcPr>
            <w:tcW w:w="546" w:type="pct"/>
            <w:tcBorders>
              <w:top w:val="single" w:sz="4" w:space="0" w:color="auto"/>
              <w:left w:val="single" w:sz="4" w:space="0" w:color="auto"/>
              <w:bottom w:val="single" w:sz="4" w:space="0" w:color="auto"/>
              <w:right w:val="single" w:sz="4" w:space="0" w:color="auto"/>
            </w:tcBorders>
            <w:vAlign w:val="center"/>
          </w:tcPr>
          <w:p w14:paraId="4DA6D6CB"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3</w:t>
            </w:r>
          </w:p>
        </w:tc>
      </w:tr>
      <w:tr w:rsidR="004E3FDC" w:rsidRPr="0077700D" w14:paraId="0DEAC667" w14:textId="77777777" w:rsidTr="00450B7A">
        <w:trPr>
          <w:cantSplit/>
          <w:jc w:val="center"/>
        </w:trPr>
        <w:tc>
          <w:tcPr>
            <w:tcW w:w="1605" w:type="pct"/>
            <w:tcBorders>
              <w:top w:val="single" w:sz="4" w:space="0" w:color="auto"/>
              <w:left w:val="single" w:sz="4" w:space="0" w:color="auto"/>
              <w:bottom w:val="single" w:sz="4" w:space="0" w:color="auto"/>
              <w:right w:val="single" w:sz="4" w:space="0" w:color="auto"/>
            </w:tcBorders>
            <w:vAlign w:val="center"/>
            <w:hideMark/>
          </w:tcPr>
          <w:p w14:paraId="3340ACBC" w14:textId="77777777" w:rsidR="004E3FDC" w:rsidRPr="0077700D" w:rsidRDefault="004E3FDC" w:rsidP="00450B7A">
            <w:pPr>
              <w:widowControl w:val="0"/>
              <w:spacing w:after="0" w:line="240" w:lineRule="auto"/>
              <w:rPr>
                <w:rFonts w:ascii="Cambria" w:eastAsia="Times New Roman" w:hAnsi="Cambria"/>
                <w:b/>
                <w:lang w:val="hr-HR"/>
              </w:rPr>
            </w:pPr>
            <w:r w:rsidRPr="0077700D">
              <w:rPr>
                <w:rFonts w:ascii="Cambria" w:eastAsia="Times New Roman" w:hAnsi="Cambria"/>
                <w:b/>
                <w:lang w:val="hr-HR"/>
              </w:rPr>
              <w:t>Ukupno</w:t>
            </w:r>
          </w:p>
        </w:tc>
        <w:tc>
          <w:tcPr>
            <w:tcW w:w="1906" w:type="pct"/>
            <w:tcBorders>
              <w:top w:val="single" w:sz="4" w:space="0" w:color="auto"/>
              <w:left w:val="single" w:sz="4" w:space="0" w:color="auto"/>
              <w:bottom w:val="single" w:sz="4" w:space="0" w:color="auto"/>
              <w:right w:val="single" w:sz="4" w:space="0" w:color="auto"/>
            </w:tcBorders>
            <w:vAlign w:val="center"/>
          </w:tcPr>
          <w:p w14:paraId="532F7FBD" w14:textId="77777777" w:rsidR="004E3FDC" w:rsidRPr="0077700D" w:rsidRDefault="004E3FDC" w:rsidP="00450B7A">
            <w:pPr>
              <w:widowControl w:val="0"/>
              <w:spacing w:after="0" w:line="240" w:lineRule="auto"/>
              <w:rPr>
                <w:rFonts w:ascii="Cambria" w:eastAsia="Times New Roman" w:hAnsi="Cambria"/>
                <w:b/>
                <w:lang w:val="hr-HR"/>
              </w:rPr>
            </w:pPr>
          </w:p>
        </w:tc>
        <w:tc>
          <w:tcPr>
            <w:tcW w:w="314" w:type="pct"/>
            <w:tcBorders>
              <w:top w:val="single" w:sz="4" w:space="0" w:color="auto"/>
              <w:left w:val="single" w:sz="4" w:space="0" w:color="auto"/>
              <w:bottom w:val="single" w:sz="4" w:space="0" w:color="auto"/>
              <w:right w:val="single" w:sz="4" w:space="0" w:color="auto"/>
            </w:tcBorders>
            <w:vAlign w:val="center"/>
          </w:tcPr>
          <w:p w14:paraId="60444E86" w14:textId="77777777" w:rsidR="004E3FDC" w:rsidRPr="0077700D" w:rsidRDefault="004E3FDC" w:rsidP="00450B7A">
            <w:pPr>
              <w:spacing w:after="0" w:line="240" w:lineRule="auto"/>
              <w:jc w:val="center"/>
              <w:rPr>
                <w:rFonts w:ascii="Cambria" w:eastAsia="Times New Roman" w:hAnsi="Cambria"/>
                <w:lang w:val="hr-HR"/>
              </w:rPr>
            </w:pPr>
          </w:p>
        </w:tc>
        <w:tc>
          <w:tcPr>
            <w:tcW w:w="314" w:type="pct"/>
            <w:tcBorders>
              <w:top w:val="single" w:sz="4" w:space="0" w:color="auto"/>
              <w:left w:val="single" w:sz="4" w:space="0" w:color="auto"/>
              <w:bottom w:val="single" w:sz="4" w:space="0" w:color="auto"/>
              <w:right w:val="single" w:sz="4" w:space="0" w:color="auto"/>
            </w:tcBorders>
          </w:tcPr>
          <w:p w14:paraId="378554DB" w14:textId="77777777" w:rsidR="004E3FDC" w:rsidRPr="0077700D" w:rsidRDefault="004E3FDC" w:rsidP="00450B7A">
            <w:pPr>
              <w:spacing w:after="0" w:line="240" w:lineRule="auto"/>
              <w:jc w:val="center"/>
              <w:rPr>
                <w:rFonts w:ascii="Cambria" w:eastAsia="Times New Roman" w:hAnsi="Cambria"/>
                <w:lang w:val="hr-HR"/>
              </w:rPr>
            </w:pPr>
          </w:p>
        </w:tc>
        <w:tc>
          <w:tcPr>
            <w:tcW w:w="315" w:type="pct"/>
            <w:tcBorders>
              <w:top w:val="single" w:sz="4" w:space="0" w:color="auto"/>
              <w:left w:val="single" w:sz="4" w:space="0" w:color="auto"/>
              <w:bottom w:val="single" w:sz="4" w:space="0" w:color="auto"/>
              <w:right w:val="single" w:sz="4" w:space="0" w:color="auto"/>
            </w:tcBorders>
            <w:vAlign w:val="center"/>
          </w:tcPr>
          <w:p w14:paraId="111517CC" w14:textId="77777777" w:rsidR="004E3FDC" w:rsidRPr="0077700D" w:rsidRDefault="004E3FDC" w:rsidP="00450B7A">
            <w:pPr>
              <w:spacing w:after="0" w:line="240" w:lineRule="auto"/>
              <w:jc w:val="center"/>
              <w:rPr>
                <w:rFonts w:ascii="Cambria" w:eastAsia="Times New Roman" w:hAnsi="Cambria"/>
                <w:lang w:val="hr-HR"/>
              </w:rPr>
            </w:pPr>
          </w:p>
        </w:tc>
        <w:tc>
          <w:tcPr>
            <w:tcW w:w="546" w:type="pct"/>
            <w:tcBorders>
              <w:top w:val="single" w:sz="4" w:space="0" w:color="auto"/>
              <w:left w:val="single" w:sz="4" w:space="0" w:color="auto"/>
              <w:bottom w:val="single" w:sz="4" w:space="0" w:color="auto"/>
              <w:right w:val="single" w:sz="4" w:space="0" w:color="auto"/>
            </w:tcBorders>
            <w:vAlign w:val="center"/>
            <w:hideMark/>
          </w:tcPr>
          <w:p w14:paraId="713EB676" w14:textId="77777777" w:rsidR="004E3FDC" w:rsidRPr="0077700D" w:rsidRDefault="004E3FDC" w:rsidP="00450B7A">
            <w:pPr>
              <w:spacing w:after="0" w:line="240" w:lineRule="auto"/>
              <w:jc w:val="center"/>
              <w:rPr>
                <w:rFonts w:ascii="Cambria" w:eastAsia="Times New Roman" w:hAnsi="Cambria"/>
                <w:b/>
                <w:lang w:val="hr-HR"/>
              </w:rPr>
            </w:pPr>
            <w:r w:rsidRPr="0077700D">
              <w:rPr>
                <w:rFonts w:ascii="Cambria" w:eastAsia="Times New Roman" w:hAnsi="Cambria"/>
                <w:b/>
                <w:lang w:val="hr-HR"/>
              </w:rPr>
              <w:t>30</w:t>
            </w:r>
          </w:p>
        </w:tc>
      </w:tr>
    </w:tbl>
    <w:p w14:paraId="02CA28E0" w14:textId="77777777" w:rsidR="004E3FDC" w:rsidRPr="0077700D" w:rsidRDefault="004E3FDC" w:rsidP="004E3FDC">
      <w:pPr>
        <w:widowControl w:val="0"/>
        <w:spacing w:after="0" w:line="240" w:lineRule="auto"/>
        <w:rPr>
          <w:rFonts w:ascii="Cambria" w:eastAsia="Times New Roman" w:hAnsi="Cambria"/>
          <w:lang w:val="hr-HR"/>
        </w:rPr>
      </w:pPr>
    </w:p>
    <w:tbl>
      <w:tblPr>
        <w:tblW w:w="4866"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985"/>
        <w:gridCol w:w="3922"/>
        <w:gridCol w:w="568"/>
        <w:gridCol w:w="613"/>
        <w:gridCol w:w="613"/>
        <w:gridCol w:w="1064"/>
      </w:tblGrid>
      <w:tr w:rsidR="004E3FDC" w:rsidRPr="0077700D" w14:paraId="20D43EB1" w14:textId="77777777" w:rsidTr="00450B7A">
        <w:trPr>
          <w:cantSplit/>
          <w:jc w:val="center"/>
        </w:trPr>
        <w:tc>
          <w:tcPr>
            <w:tcW w:w="5000" w:type="pct"/>
            <w:gridSpan w:val="6"/>
            <w:tcBorders>
              <w:top w:val="single" w:sz="2" w:space="0" w:color="auto"/>
              <w:left w:val="single" w:sz="2" w:space="0" w:color="auto"/>
              <w:bottom w:val="single" w:sz="2" w:space="0" w:color="auto"/>
              <w:right w:val="single" w:sz="2" w:space="0" w:color="auto"/>
            </w:tcBorders>
            <w:vAlign w:val="center"/>
            <w:hideMark/>
          </w:tcPr>
          <w:p w14:paraId="208EC97B" w14:textId="77777777" w:rsidR="004E3FDC" w:rsidRPr="0077700D" w:rsidRDefault="004E3FDC" w:rsidP="00450B7A">
            <w:pPr>
              <w:widowControl w:val="0"/>
              <w:spacing w:after="0" w:line="240" w:lineRule="auto"/>
              <w:jc w:val="center"/>
              <w:rPr>
                <w:rFonts w:ascii="Cambria" w:eastAsia="Times New Roman" w:hAnsi="Cambria"/>
                <w:b/>
                <w:lang w:val="hr-HR"/>
              </w:rPr>
            </w:pPr>
            <w:r w:rsidRPr="0077700D">
              <w:rPr>
                <w:rFonts w:ascii="Cambria" w:eastAsia="Times New Roman" w:hAnsi="Cambria"/>
                <w:b/>
                <w:lang w:val="hr-HR"/>
              </w:rPr>
              <w:t xml:space="preserve">Izborni </w:t>
            </w:r>
            <w:r>
              <w:rPr>
                <w:rFonts w:ascii="Cambria" w:eastAsia="Times New Roman" w:hAnsi="Cambria"/>
                <w:b/>
                <w:lang w:val="hr-HR"/>
              </w:rPr>
              <w:t>kolegiji</w:t>
            </w:r>
          </w:p>
        </w:tc>
      </w:tr>
      <w:tr w:rsidR="004E3FDC" w:rsidRPr="0077700D" w14:paraId="5409940A" w14:textId="77777777" w:rsidTr="00450B7A">
        <w:trPr>
          <w:cantSplit/>
          <w:jc w:val="center"/>
        </w:trPr>
        <w:tc>
          <w:tcPr>
            <w:tcW w:w="1528" w:type="pct"/>
            <w:tcBorders>
              <w:top w:val="single" w:sz="2" w:space="0" w:color="auto"/>
              <w:left w:val="single" w:sz="2" w:space="0" w:color="auto"/>
              <w:bottom w:val="single" w:sz="2" w:space="0" w:color="auto"/>
              <w:right w:val="single" w:sz="2" w:space="0" w:color="auto"/>
            </w:tcBorders>
            <w:vAlign w:val="center"/>
            <w:hideMark/>
          </w:tcPr>
          <w:p w14:paraId="0975CFF7" w14:textId="77777777" w:rsidR="004E3FDC" w:rsidRPr="0077700D" w:rsidRDefault="004E3FDC" w:rsidP="00450B7A">
            <w:pPr>
              <w:widowControl w:val="0"/>
              <w:spacing w:after="0" w:line="240" w:lineRule="auto"/>
              <w:rPr>
                <w:rFonts w:ascii="Cambria" w:eastAsia="Times New Roman" w:hAnsi="Cambria"/>
                <w:b/>
                <w:lang w:val="hr-HR"/>
              </w:rPr>
            </w:pPr>
            <w:r w:rsidRPr="0077700D">
              <w:rPr>
                <w:rFonts w:ascii="Cambria" w:eastAsia="Times New Roman" w:hAnsi="Cambria"/>
                <w:b/>
                <w:lang w:val="hr-HR"/>
              </w:rPr>
              <w:t>Izborni kolegij</w:t>
            </w:r>
          </w:p>
        </w:tc>
        <w:tc>
          <w:tcPr>
            <w:tcW w:w="2008" w:type="pct"/>
            <w:tcBorders>
              <w:top w:val="single" w:sz="2" w:space="0" w:color="auto"/>
              <w:left w:val="single" w:sz="2" w:space="0" w:color="auto"/>
              <w:bottom w:val="single" w:sz="2" w:space="0" w:color="auto"/>
              <w:right w:val="single" w:sz="2" w:space="0" w:color="auto"/>
            </w:tcBorders>
            <w:vAlign w:val="center"/>
            <w:hideMark/>
          </w:tcPr>
          <w:p w14:paraId="07B7EB09" w14:textId="77777777" w:rsidR="004E3FDC" w:rsidRPr="0077700D" w:rsidRDefault="004E3FDC" w:rsidP="00450B7A">
            <w:pPr>
              <w:widowControl w:val="0"/>
              <w:spacing w:after="0" w:line="240" w:lineRule="auto"/>
              <w:rPr>
                <w:rFonts w:ascii="Cambria" w:eastAsia="Times New Roman" w:hAnsi="Cambria"/>
                <w:b/>
                <w:lang w:val="hr-HR"/>
              </w:rPr>
            </w:pPr>
            <w:r w:rsidRPr="0077700D">
              <w:rPr>
                <w:rFonts w:ascii="Cambria" w:eastAsia="Times New Roman" w:hAnsi="Cambria"/>
                <w:b/>
                <w:lang w:val="hr-HR"/>
              </w:rPr>
              <w:t>Nastavnik/</w:t>
            </w:r>
            <w:proofErr w:type="spellStart"/>
            <w:r w:rsidRPr="0077700D">
              <w:rPr>
                <w:rFonts w:ascii="Cambria" w:eastAsia="Times New Roman" w:hAnsi="Cambria"/>
                <w:b/>
                <w:lang w:val="hr-HR"/>
              </w:rPr>
              <w:t>ica</w:t>
            </w:r>
            <w:proofErr w:type="spellEnd"/>
          </w:p>
        </w:tc>
        <w:tc>
          <w:tcPr>
            <w:tcW w:w="291" w:type="pct"/>
            <w:tcBorders>
              <w:top w:val="single" w:sz="2" w:space="0" w:color="auto"/>
              <w:left w:val="single" w:sz="2" w:space="0" w:color="auto"/>
              <w:bottom w:val="single" w:sz="2" w:space="0" w:color="auto"/>
              <w:right w:val="single" w:sz="2" w:space="0" w:color="auto"/>
            </w:tcBorders>
            <w:shd w:val="clear" w:color="auto" w:fill="FFFFFF"/>
            <w:vAlign w:val="center"/>
            <w:hideMark/>
          </w:tcPr>
          <w:p w14:paraId="35C06381" w14:textId="77777777" w:rsidR="004E3FDC" w:rsidRPr="0077700D" w:rsidRDefault="004E3FDC" w:rsidP="00450B7A">
            <w:pPr>
              <w:spacing w:after="0" w:line="240" w:lineRule="auto"/>
              <w:jc w:val="center"/>
              <w:rPr>
                <w:rFonts w:ascii="Cambria" w:eastAsia="Times New Roman" w:hAnsi="Cambria"/>
                <w:b/>
                <w:bCs/>
                <w:caps/>
                <w:lang w:val="hr-HR"/>
              </w:rPr>
            </w:pPr>
            <w:bookmarkStart w:id="64" w:name="_Toc208904377"/>
            <w:bookmarkStart w:id="65" w:name="_Toc209340480"/>
            <w:bookmarkStart w:id="66" w:name="_Toc209420858"/>
            <w:bookmarkStart w:id="67" w:name="_Toc209421239"/>
            <w:bookmarkStart w:id="68" w:name="_Toc209789834"/>
            <w:r w:rsidRPr="0077700D">
              <w:rPr>
                <w:rFonts w:ascii="Cambria" w:eastAsia="Times New Roman" w:hAnsi="Cambria"/>
                <w:b/>
                <w:bCs/>
                <w:caps/>
                <w:lang w:val="hr-HR"/>
              </w:rPr>
              <w:t>P</w:t>
            </w:r>
            <w:bookmarkEnd w:id="64"/>
            <w:bookmarkEnd w:id="65"/>
            <w:bookmarkEnd w:id="66"/>
            <w:bookmarkEnd w:id="67"/>
            <w:bookmarkEnd w:id="68"/>
          </w:p>
        </w:tc>
        <w:tc>
          <w:tcPr>
            <w:tcW w:w="314" w:type="pct"/>
            <w:tcBorders>
              <w:top w:val="single" w:sz="2" w:space="0" w:color="auto"/>
              <w:left w:val="single" w:sz="2" w:space="0" w:color="auto"/>
              <w:bottom w:val="single" w:sz="2" w:space="0" w:color="auto"/>
              <w:right w:val="single" w:sz="2" w:space="0" w:color="auto"/>
            </w:tcBorders>
            <w:shd w:val="clear" w:color="auto" w:fill="FFFFFF"/>
            <w:vAlign w:val="center"/>
          </w:tcPr>
          <w:p w14:paraId="30B61E49" w14:textId="77777777" w:rsidR="004E3FDC" w:rsidRPr="0077700D" w:rsidRDefault="004E3FDC" w:rsidP="00450B7A">
            <w:pPr>
              <w:spacing w:after="0" w:line="240" w:lineRule="auto"/>
              <w:jc w:val="center"/>
              <w:rPr>
                <w:rFonts w:ascii="Cambria" w:eastAsia="Times New Roman" w:hAnsi="Cambria"/>
                <w:b/>
                <w:bCs/>
                <w:caps/>
                <w:lang w:val="hr-HR"/>
              </w:rPr>
            </w:pPr>
            <w:r w:rsidRPr="0077700D">
              <w:rPr>
                <w:rFonts w:ascii="Cambria" w:eastAsia="Times New Roman" w:hAnsi="Cambria"/>
                <w:b/>
                <w:bCs/>
                <w:caps/>
                <w:lang w:val="hr-HR"/>
              </w:rPr>
              <w:t>S</w:t>
            </w:r>
          </w:p>
        </w:tc>
        <w:tc>
          <w:tcPr>
            <w:tcW w:w="314" w:type="pct"/>
            <w:tcBorders>
              <w:top w:val="single" w:sz="2" w:space="0" w:color="auto"/>
              <w:left w:val="single" w:sz="2" w:space="0" w:color="auto"/>
              <w:bottom w:val="single" w:sz="2" w:space="0" w:color="auto"/>
              <w:right w:val="single" w:sz="2" w:space="0" w:color="auto"/>
            </w:tcBorders>
            <w:shd w:val="clear" w:color="auto" w:fill="FFFFFF"/>
            <w:vAlign w:val="center"/>
            <w:hideMark/>
          </w:tcPr>
          <w:p w14:paraId="55B4A8DD" w14:textId="77777777" w:rsidR="004E3FDC" w:rsidRPr="0077700D" w:rsidRDefault="004E3FDC" w:rsidP="00450B7A">
            <w:pPr>
              <w:spacing w:after="0" w:line="240" w:lineRule="auto"/>
              <w:jc w:val="center"/>
              <w:rPr>
                <w:rFonts w:ascii="Cambria" w:eastAsia="Times New Roman" w:hAnsi="Cambria"/>
                <w:b/>
                <w:bCs/>
                <w:caps/>
                <w:lang w:val="hr-HR"/>
              </w:rPr>
            </w:pPr>
            <w:r w:rsidRPr="0077700D">
              <w:rPr>
                <w:rFonts w:ascii="Cambria" w:eastAsia="Times New Roman" w:hAnsi="Cambria"/>
                <w:b/>
                <w:bCs/>
                <w:caps/>
                <w:lang w:val="hr-HR"/>
              </w:rPr>
              <w:t>V</w:t>
            </w:r>
          </w:p>
        </w:tc>
        <w:tc>
          <w:tcPr>
            <w:tcW w:w="545" w:type="pct"/>
            <w:tcBorders>
              <w:top w:val="single" w:sz="2" w:space="0" w:color="auto"/>
              <w:left w:val="single" w:sz="2" w:space="0" w:color="auto"/>
              <w:bottom w:val="single" w:sz="2" w:space="0" w:color="auto"/>
              <w:right w:val="single" w:sz="2" w:space="0" w:color="auto"/>
            </w:tcBorders>
            <w:vAlign w:val="center"/>
            <w:hideMark/>
          </w:tcPr>
          <w:p w14:paraId="0EBF1808" w14:textId="77777777" w:rsidR="004E3FDC" w:rsidRPr="0077700D" w:rsidRDefault="004E3FDC" w:rsidP="00450B7A">
            <w:pPr>
              <w:spacing w:after="0" w:line="240" w:lineRule="auto"/>
              <w:jc w:val="center"/>
              <w:rPr>
                <w:rFonts w:ascii="Cambria" w:eastAsia="Times New Roman" w:hAnsi="Cambria"/>
                <w:b/>
                <w:bCs/>
                <w:caps/>
                <w:lang w:val="hr-HR"/>
              </w:rPr>
            </w:pPr>
            <w:r w:rsidRPr="0077700D">
              <w:rPr>
                <w:rFonts w:ascii="Cambria" w:eastAsia="Times New Roman" w:hAnsi="Cambria"/>
                <w:b/>
                <w:bCs/>
                <w:caps/>
                <w:lang w:val="hr-HR"/>
              </w:rPr>
              <w:t>ECTS</w:t>
            </w:r>
          </w:p>
        </w:tc>
      </w:tr>
      <w:tr w:rsidR="004E3FDC" w:rsidRPr="0077700D" w14:paraId="31B82FF5" w14:textId="77777777" w:rsidTr="00450B7A">
        <w:trPr>
          <w:cantSplit/>
          <w:jc w:val="center"/>
        </w:trPr>
        <w:tc>
          <w:tcPr>
            <w:tcW w:w="1528" w:type="pct"/>
            <w:tcBorders>
              <w:top w:val="single" w:sz="2" w:space="0" w:color="auto"/>
              <w:left w:val="single" w:sz="2" w:space="0" w:color="auto"/>
              <w:bottom w:val="single" w:sz="2" w:space="0" w:color="auto"/>
              <w:right w:val="single" w:sz="2" w:space="0" w:color="auto"/>
            </w:tcBorders>
            <w:vAlign w:val="center"/>
          </w:tcPr>
          <w:p w14:paraId="0E813920" w14:textId="77777777" w:rsidR="004E3FDC" w:rsidRPr="0077700D" w:rsidRDefault="004E3FDC" w:rsidP="00450B7A">
            <w:pPr>
              <w:spacing w:after="0" w:line="240" w:lineRule="auto"/>
              <w:rPr>
                <w:rFonts w:ascii="Cambria" w:eastAsia="Times New Roman" w:hAnsi="Cambria"/>
                <w:b/>
                <w:lang w:val="hr-HR"/>
              </w:rPr>
            </w:pPr>
            <w:r w:rsidRPr="0077700D">
              <w:rPr>
                <w:rFonts w:ascii="Cambria" w:eastAsia="Times New Roman" w:hAnsi="Cambria"/>
                <w:b/>
                <w:lang w:val="hr-HR"/>
              </w:rPr>
              <w:t>241307</w:t>
            </w:r>
          </w:p>
          <w:p w14:paraId="0E792CE9" w14:textId="77777777" w:rsidR="004E3FDC" w:rsidRPr="0077700D" w:rsidRDefault="004E3FDC" w:rsidP="00450B7A">
            <w:pPr>
              <w:spacing w:after="0" w:line="240" w:lineRule="auto"/>
              <w:rPr>
                <w:rFonts w:ascii="Cambria" w:eastAsia="Times New Roman" w:hAnsi="Cambria"/>
                <w:lang w:val="hr-HR"/>
              </w:rPr>
            </w:pPr>
            <w:r w:rsidRPr="0077700D">
              <w:rPr>
                <w:rFonts w:ascii="Cambria" w:eastAsia="Times New Roman" w:hAnsi="Cambria"/>
                <w:lang w:val="hr-HR"/>
              </w:rPr>
              <w:t>Hrvatski dječji roman</w:t>
            </w:r>
          </w:p>
        </w:tc>
        <w:tc>
          <w:tcPr>
            <w:tcW w:w="2008" w:type="pct"/>
            <w:tcBorders>
              <w:top w:val="single" w:sz="2" w:space="0" w:color="auto"/>
              <w:left w:val="single" w:sz="2" w:space="0" w:color="auto"/>
              <w:bottom w:val="single" w:sz="2" w:space="0" w:color="auto"/>
              <w:right w:val="single" w:sz="2" w:space="0" w:color="auto"/>
            </w:tcBorders>
            <w:vAlign w:val="center"/>
          </w:tcPr>
          <w:p w14:paraId="59BCA788" w14:textId="77777777" w:rsidR="004E3FDC" w:rsidRPr="0077700D" w:rsidRDefault="004E3FDC" w:rsidP="00450B7A">
            <w:pPr>
              <w:widowControl w:val="0"/>
              <w:spacing w:after="0" w:line="240" w:lineRule="auto"/>
              <w:rPr>
                <w:rFonts w:ascii="Cambria" w:eastAsia="Times New Roman" w:hAnsi="Cambria"/>
                <w:lang w:val="hr-HR"/>
              </w:rPr>
            </w:pPr>
            <w:r w:rsidRPr="0077700D">
              <w:rPr>
                <w:rFonts w:ascii="Cambria" w:eastAsia="Times New Roman" w:hAnsi="Cambria"/>
                <w:lang w:val="hr-HR"/>
              </w:rPr>
              <w:t xml:space="preserve">prof. dr. sc. Kristina </w:t>
            </w:r>
            <w:proofErr w:type="spellStart"/>
            <w:r w:rsidRPr="0077700D">
              <w:rPr>
                <w:rFonts w:ascii="Cambria" w:eastAsia="Times New Roman" w:hAnsi="Cambria"/>
                <w:lang w:val="hr-HR"/>
              </w:rPr>
              <w:t>Riman</w:t>
            </w:r>
            <w:proofErr w:type="spellEnd"/>
          </w:p>
        </w:tc>
        <w:tc>
          <w:tcPr>
            <w:tcW w:w="291" w:type="pct"/>
            <w:tcBorders>
              <w:top w:val="single" w:sz="4" w:space="0" w:color="auto"/>
              <w:left w:val="single" w:sz="2" w:space="0" w:color="auto"/>
              <w:bottom w:val="single" w:sz="4" w:space="0" w:color="auto"/>
              <w:right w:val="single" w:sz="2" w:space="0" w:color="auto"/>
            </w:tcBorders>
            <w:shd w:val="clear" w:color="auto" w:fill="FFFFFF"/>
            <w:vAlign w:val="center"/>
          </w:tcPr>
          <w:p w14:paraId="3573F1C9"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15</w:t>
            </w:r>
          </w:p>
        </w:tc>
        <w:tc>
          <w:tcPr>
            <w:tcW w:w="314" w:type="pct"/>
            <w:tcBorders>
              <w:top w:val="single" w:sz="4" w:space="0" w:color="auto"/>
              <w:left w:val="single" w:sz="2" w:space="0" w:color="auto"/>
              <w:bottom w:val="single" w:sz="4" w:space="0" w:color="auto"/>
              <w:right w:val="single" w:sz="2" w:space="0" w:color="auto"/>
            </w:tcBorders>
            <w:shd w:val="clear" w:color="auto" w:fill="FFFFFF"/>
            <w:vAlign w:val="center"/>
          </w:tcPr>
          <w:p w14:paraId="3C0F7CA5"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15</w:t>
            </w:r>
          </w:p>
        </w:tc>
        <w:tc>
          <w:tcPr>
            <w:tcW w:w="314" w:type="pct"/>
            <w:tcBorders>
              <w:top w:val="single" w:sz="4" w:space="0" w:color="auto"/>
              <w:left w:val="single" w:sz="2" w:space="0" w:color="auto"/>
              <w:bottom w:val="single" w:sz="4" w:space="0" w:color="auto"/>
              <w:right w:val="single" w:sz="2" w:space="0" w:color="auto"/>
            </w:tcBorders>
            <w:shd w:val="clear" w:color="auto" w:fill="FFFFFF"/>
            <w:vAlign w:val="center"/>
          </w:tcPr>
          <w:p w14:paraId="392D8A80"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0</w:t>
            </w:r>
          </w:p>
        </w:tc>
        <w:tc>
          <w:tcPr>
            <w:tcW w:w="545" w:type="pct"/>
            <w:tcBorders>
              <w:top w:val="single" w:sz="4" w:space="0" w:color="auto"/>
              <w:left w:val="single" w:sz="2" w:space="0" w:color="auto"/>
              <w:bottom w:val="single" w:sz="4" w:space="0" w:color="auto"/>
              <w:right w:val="single" w:sz="4" w:space="0" w:color="auto"/>
            </w:tcBorders>
            <w:vAlign w:val="center"/>
          </w:tcPr>
          <w:p w14:paraId="2327320F"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3</w:t>
            </w:r>
          </w:p>
        </w:tc>
      </w:tr>
      <w:tr w:rsidR="004E3FDC" w:rsidRPr="0077700D" w14:paraId="2A3D8C57" w14:textId="77777777" w:rsidTr="00450B7A">
        <w:trPr>
          <w:cantSplit/>
          <w:jc w:val="center"/>
        </w:trPr>
        <w:tc>
          <w:tcPr>
            <w:tcW w:w="1528" w:type="pct"/>
            <w:tcBorders>
              <w:top w:val="single" w:sz="2" w:space="0" w:color="auto"/>
              <w:left w:val="single" w:sz="2" w:space="0" w:color="auto"/>
              <w:bottom w:val="single" w:sz="4" w:space="0" w:color="auto"/>
              <w:right w:val="single" w:sz="2" w:space="0" w:color="auto"/>
            </w:tcBorders>
            <w:vAlign w:val="center"/>
          </w:tcPr>
          <w:p w14:paraId="0214A0ED" w14:textId="77777777" w:rsidR="004E3FDC" w:rsidRPr="000A711F" w:rsidRDefault="004E3FDC" w:rsidP="00450B7A">
            <w:pPr>
              <w:spacing w:after="0" w:line="240" w:lineRule="auto"/>
              <w:rPr>
                <w:rFonts w:ascii="Cambria" w:eastAsia="Times New Roman" w:hAnsi="Cambria"/>
                <w:b/>
                <w:lang w:val="hr-HR"/>
              </w:rPr>
            </w:pPr>
            <w:r w:rsidRPr="000A711F">
              <w:rPr>
                <w:rFonts w:ascii="Cambria" w:eastAsia="Times New Roman" w:hAnsi="Cambria"/>
                <w:b/>
                <w:lang w:val="hr-HR"/>
              </w:rPr>
              <w:t>199919</w:t>
            </w:r>
          </w:p>
          <w:p w14:paraId="6C6E4C2F" w14:textId="77777777" w:rsidR="004E3FDC" w:rsidRPr="0077700D" w:rsidRDefault="004E3FDC" w:rsidP="00450B7A">
            <w:pPr>
              <w:spacing w:after="0" w:line="240" w:lineRule="auto"/>
              <w:rPr>
                <w:rFonts w:ascii="Cambria" w:eastAsia="Times New Roman" w:hAnsi="Cambria"/>
                <w:lang w:val="hr-HR"/>
              </w:rPr>
            </w:pPr>
            <w:r>
              <w:rPr>
                <w:rFonts w:ascii="Cambria" w:eastAsia="Times New Roman" w:hAnsi="Cambria"/>
                <w:lang w:val="hr-HR"/>
              </w:rPr>
              <w:t>Osnove zbornog pjevanja</w:t>
            </w:r>
          </w:p>
        </w:tc>
        <w:tc>
          <w:tcPr>
            <w:tcW w:w="2008" w:type="pct"/>
            <w:tcBorders>
              <w:top w:val="single" w:sz="2" w:space="0" w:color="auto"/>
              <w:left w:val="single" w:sz="2" w:space="0" w:color="auto"/>
              <w:bottom w:val="single" w:sz="4" w:space="0" w:color="auto"/>
              <w:right w:val="single" w:sz="2" w:space="0" w:color="auto"/>
            </w:tcBorders>
            <w:vAlign w:val="center"/>
          </w:tcPr>
          <w:p w14:paraId="5E6D87BC" w14:textId="77777777" w:rsidR="004E3FDC" w:rsidRPr="0077700D" w:rsidRDefault="004E3FDC" w:rsidP="00450B7A">
            <w:pPr>
              <w:widowControl w:val="0"/>
              <w:spacing w:after="0" w:line="240" w:lineRule="auto"/>
              <w:rPr>
                <w:rFonts w:ascii="Cambria" w:eastAsia="Times New Roman" w:hAnsi="Cambria"/>
                <w:lang w:val="hr-HR"/>
              </w:rPr>
            </w:pPr>
            <w:r w:rsidRPr="0077700D">
              <w:rPr>
                <w:rFonts w:ascii="Cambria" w:eastAsia="Times New Roman" w:hAnsi="Cambria"/>
                <w:lang w:val="hr-HR"/>
              </w:rPr>
              <w:t>prof. dr. sc. Ivana Paula Gortan-Carlin</w:t>
            </w:r>
          </w:p>
          <w:p w14:paraId="2AFD0DFE" w14:textId="77777777" w:rsidR="004E3FDC" w:rsidRPr="0077700D" w:rsidRDefault="004E3FDC" w:rsidP="00450B7A">
            <w:pPr>
              <w:widowControl w:val="0"/>
              <w:spacing w:after="0" w:line="240" w:lineRule="auto"/>
              <w:rPr>
                <w:rFonts w:ascii="Cambria" w:eastAsia="Times New Roman" w:hAnsi="Cambria"/>
                <w:lang w:val="hr-HR"/>
              </w:rPr>
            </w:pPr>
            <w:r w:rsidRPr="0077700D">
              <w:rPr>
                <w:rFonts w:ascii="Cambria" w:eastAsia="Times New Roman" w:hAnsi="Cambria"/>
                <w:lang w:val="hr-HR"/>
              </w:rPr>
              <w:t>mr. sc. Branko Radić, pred.</w:t>
            </w:r>
          </w:p>
        </w:tc>
        <w:tc>
          <w:tcPr>
            <w:tcW w:w="291" w:type="pct"/>
            <w:tcBorders>
              <w:top w:val="single" w:sz="4" w:space="0" w:color="auto"/>
              <w:left w:val="single" w:sz="2" w:space="0" w:color="auto"/>
              <w:bottom w:val="single" w:sz="4" w:space="0" w:color="auto"/>
              <w:right w:val="single" w:sz="2" w:space="0" w:color="auto"/>
            </w:tcBorders>
            <w:shd w:val="clear" w:color="auto" w:fill="FFFFFF"/>
            <w:vAlign w:val="center"/>
          </w:tcPr>
          <w:p w14:paraId="490E82D1"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15</w:t>
            </w:r>
          </w:p>
        </w:tc>
        <w:tc>
          <w:tcPr>
            <w:tcW w:w="314" w:type="pct"/>
            <w:tcBorders>
              <w:top w:val="single" w:sz="4" w:space="0" w:color="auto"/>
              <w:left w:val="single" w:sz="2" w:space="0" w:color="auto"/>
              <w:bottom w:val="single" w:sz="4" w:space="0" w:color="auto"/>
              <w:right w:val="single" w:sz="2" w:space="0" w:color="auto"/>
            </w:tcBorders>
            <w:shd w:val="clear" w:color="auto" w:fill="FFFFFF"/>
            <w:vAlign w:val="center"/>
          </w:tcPr>
          <w:p w14:paraId="4CBD78F2"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0</w:t>
            </w:r>
          </w:p>
        </w:tc>
        <w:tc>
          <w:tcPr>
            <w:tcW w:w="314" w:type="pct"/>
            <w:tcBorders>
              <w:top w:val="single" w:sz="4" w:space="0" w:color="auto"/>
              <w:left w:val="single" w:sz="2" w:space="0" w:color="auto"/>
              <w:bottom w:val="single" w:sz="4" w:space="0" w:color="auto"/>
              <w:right w:val="single" w:sz="2" w:space="0" w:color="auto"/>
            </w:tcBorders>
            <w:shd w:val="clear" w:color="auto" w:fill="FFFFFF"/>
            <w:vAlign w:val="center"/>
          </w:tcPr>
          <w:p w14:paraId="1BD5C0C5" w14:textId="77777777" w:rsidR="004E3FDC" w:rsidRPr="0077700D" w:rsidRDefault="004E3FDC" w:rsidP="00450B7A">
            <w:pPr>
              <w:spacing w:after="0" w:line="240" w:lineRule="auto"/>
              <w:jc w:val="center"/>
              <w:rPr>
                <w:rFonts w:ascii="Cambria" w:eastAsia="Times New Roman" w:hAnsi="Cambria"/>
                <w:lang w:val="hr-HR"/>
              </w:rPr>
            </w:pPr>
            <w:r>
              <w:rPr>
                <w:rFonts w:ascii="Cambria" w:eastAsia="Times New Roman" w:hAnsi="Cambria"/>
                <w:lang w:val="hr-HR"/>
              </w:rPr>
              <w:t>15</w:t>
            </w:r>
          </w:p>
        </w:tc>
        <w:tc>
          <w:tcPr>
            <w:tcW w:w="545" w:type="pct"/>
            <w:tcBorders>
              <w:top w:val="single" w:sz="4" w:space="0" w:color="auto"/>
              <w:left w:val="single" w:sz="2" w:space="0" w:color="auto"/>
              <w:bottom w:val="single" w:sz="4" w:space="0" w:color="auto"/>
              <w:right w:val="single" w:sz="4" w:space="0" w:color="auto"/>
            </w:tcBorders>
            <w:vAlign w:val="center"/>
          </w:tcPr>
          <w:p w14:paraId="72510BC5"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3</w:t>
            </w:r>
          </w:p>
        </w:tc>
      </w:tr>
      <w:tr w:rsidR="004E3FDC" w:rsidRPr="0077700D" w14:paraId="752E6FA8" w14:textId="77777777" w:rsidTr="00450B7A">
        <w:trPr>
          <w:cantSplit/>
          <w:jc w:val="center"/>
        </w:trPr>
        <w:tc>
          <w:tcPr>
            <w:tcW w:w="1528" w:type="pct"/>
            <w:tcBorders>
              <w:top w:val="single" w:sz="4" w:space="0" w:color="auto"/>
              <w:left w:val="single" w:sz="4" w:space="0" w:color="auto"/>
              <w:bottom w:val="single" w:sz="4" w:space="0" w:color="auto"/>
              <w:right w:val="single" w:sz="2" w:space="0" w:color="auto"/>
            </w:tcBorders>
            <w:vAlign w:val="center"/>
          </w:tcPr>
          <w:p w14:paraId="163D9E2E" w14:textId="77777777" w:rsidR="004E3FDC" w:rsidRPr="00CB6EAE" w:rsidRDefault="004E3FDC" w:rsidP="00450B7A">
            <w:pPr>
              <w:spacing w:after="0" w:line="240" w:lineRule="auto"/>
              <w:rPr>
                <w:rFonts w:ascii="Cambria" w:eastAsia="Times New Roman" w:hAnsi="Cambria"/>
                <w:b/>
                <w:lang w:val="hr-HR"/>
              </w:rPr>
            </w:pPr>
            <w:r w:rsidRPr="008B5777">
              <w:rPr>
                <w:rFonts w:ascii="Cambria" w:eastAsia="Times New Roman" w:hAnsi="Cambria"/>
                <w:b/>
                <w:lang w:val="hr-HR"/>
              </w:rPr>
              <w:t>nova šifra</w:t>
            </w:r>
          </w:p>
          <w:p w14:paraId="54EA0381" w14:textId="77777777" w:rsidR="004E3FDC" w:rsidRPr="0077700D" w:rsidRDefault="004E3FDC" w:rsidP="00450B7A">
            <w:pPr>
              <w:spacing w:after="0" w:line="240" w:lineRule="auto"/>
              <w:rPr>
                <w:rFonts w:ascii="Cambria" w:eastAsia="Times New Roman" w:hAnsi="Cambria"/>
                <w:lang w:val="hr-HR"/>
              </w:rPr>
            </w:pPr>
            <w:r w:rsidRPr="0077700D">
              <w:rPr>
                <w:rFonts w:ascii="Cambria" w:eastAsia="Times New Roman" w:hAnsi="Cambria"/>
                <w:lang w:val="hr-HR"/>
              </w:rPr>
              <w:t>Motorički razvoj djece</w:t>
            </w:r>
          </w:p>
        </w:tc>
        <w:tc>
          <w:tcPr>
            <w:tcW w:w="2008" w:type="pct"/>
            <w:tcBorders>
              <w:top w:val="single" w:sz="4" w:space="0" w:color="auto"/>
              <w:left w:val="single" w:sz="2" w:space="0" w:color="auto"/>
              <w:bottom w:val="single" w:sz="4" w:space="0" w:color="auto"/>
              <w:right w:val="single" w:sz="2" w:space="0" w:color="auto"/>
            </w:tcBorders>
            <w:vAlign w:val="center"/>
          </w:tcPr>
          <w:p w14:paraId="30955FEE" w14:textId="77777777" w:rsidR="004E3FDC" w:rsidRPr="0077700D" w:rsidRDefault="004E3FDC" w:rsidP="00450B7A">
            <w:pPr>
              <w:widowControl w:val="0"/>
              <w:spacing w:after="0" w:line="240" w:lineRule="auto"/>
              <w:rPr>
                <w:rFonts w:ascii="Cambria" w:eastAsia="Times New Roman" w:hAnsi="Cambria"/>
                <w:lang w:val="hr-HR"/>
              </w:rPr>
            </w:pPr>
            <w:r w:rsidRPr="0077700D">
              <w:rPr>
                <w:rFonts w:ascii="Cambria" w:eastAsia="Times New Roman" w:hAnsi="Cambria"/>
                <w:lang w:val="hr-HR"/>
              </w:rPr>
              <w:t>prof. dr. sc. Iva Blažević</w:t>
            </w:r>
          </w:p>
        </w:tc>
        <w:tc>
          <w:tcPr>
            <w:tcW w:w="291" w:type="pct"/>
            <w:tcBorders>
              <w:top w:val="single" w:sz="4" w:space="0" w:color="auto"/>
              <w:left w:val="single" w:sz="2" w:space="0" w:color="auto"/>
              <w:bottom w:val="single" w:sz="4" w:space="0" w:color="auto"/>
              <w:right w:val="single" w:sz="2" w:space="0" w:color="auto"/>
            </w:tcBorders>
            <w:shd w:val="clear" w:color="auto" w:fill="FFFFFF"/>
            <w:vAlign w:val="center"/>
          </w:tcPr>
          <w:p w14:paraId="6D8DEECC"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15</w:t>
            </w:r>
          </w:p>
        </w:tc>
        <w:tc>
          <w:tcPr>
            <w:tcW w:w="314" w:type="pct"/>
            <w:tcBorders>
              <w:top w:val="single" w:sz="4" w:space="0" w:color="auto"/>
              <w:left w:val="single" w:sz="2" w:space="0" w:color="auto"/>
              <w:bottom w:val="single" w:sz="4" w:space="0" w:color="auto"/>
              <w:right w:val="single" w:sz="2" w:space="0" w:color="auto"/>
            </w:tcBorders>
            <w:shd w:val="clear" w:color="auto" w:fill="FFFFFF"/>
            <w:vAlign w:val="center"/>
          </w:tcPr>
          <w:p w14:paraId="790EF0EE"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0</w:t>
            </w:r>
          </w:p>
        </w:tc>
        <w:tc>
          <w:tcPr>
            <w:tcW w:w="314" w:type="pct"/>
            <w:tcBorders>
              <w:top w:val="single" w:sz="4" w:space="0" w:color="auto"/>
              <w:left w:val="single" w:sz="2" w:space="0" w:color="auto"/>
              <w:bottom w:val="single" w:sz="4" w:space="0" w:color="auto"/>
              <w:right w:val="single" w:sz="2" w:space="0" w:color="auto"/>
            </w:tcBorders>
            <w:shd w:val="clear" w:color="auto" w:fill="FFFFFF"/>
            <w:vAlign w:val="center"/>
          </w:tcPr>
          <w:p w14:paraId="4D3DDF29"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15</w:t>
            </w:r>
          </w:p>
        </w:tc>
        <w:tc>
          <w:tcPr>
            <w:tcW w:w="545" w:type="pct"/>
            <w:tcBorders>
              <w:top w:val="single" w:sz="4" w:space="0" w:color="auto"/>
              <w:left w:val="single" w:sz="2" w:space="0" w:color="auto"/>
              <w:bottom w:val="single" w:sz="4" w:space="0" w:color="auto"/>
              <w:right w:val="single" w:sz="4" w:space="0" w:color="auto"/>
            </w:tcBorders>
            <w:vAlign w:val="center"/>
          </w:tcPr>
          <w:p w14:paraId="59A6F5BE"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3</w:t>
            </w:r>
          </w:p>
        </w:tc>
      </w:tr>
    </w:tbl>
    <w:p w14:paraId="117E86FB" w14:textId="77777777" w:rsidR="004E3FDC" w:rsidRPr="0077700D" w:rsidRDefault="004E3FDC" w:rsidP="004E3FDC">
      <w:pPr>
        <w:widowControl w:val="0"/>
        <w:spacing w:after="120" w:line="240" w:lineRule="auto"/>
        <w:jc w:val="center"/>
        <w:rPr>
          <w:rFonts w:ascii="Cambria" w:eastAsia="Times New Roman" w:hAnsi="Cambria"/>
          <w:b/>
          <w:lang w:val="hr-HR"/>
        </w:rPr>
      </w:pPr>
    </w:p>
    <w:p w14:paraId="3E0D03E8" w14:textId="77777777" w:rsidR="004E3FDC" w:rsidRPr="0077700D" w:rsidRDefault="004E3FDC" w:rsidP="004E3FDC">
      <w:pPr>
        <w:widowControl w:val="0"/>
        <w:spacing w:after="120" w:line="240" w:lineRule="auto"/>
        <w:jc w:val="center"/>
        <w:rPr>
          <w:rFonts w:ascii="Cambria" w:eastAsia="Times New Roman" w:hAnsi="Cambria"/>
          <w:b/>
          <w:lang w:val="hr-HR"/>
        </w:rPr>
      </w:pPr>
      <w:r w:rsidRPr="0077700D">
        <w:rPr>
          <w:rFonts w:ascii="Cambria" w:eastAsia="Times New Roman" w:hAnsi="Cambria"/>
          <w:b/>
          <w:lang w:val="hr-HR"/>
        </w:rPr>
        <w:t>4. GODINA</w:t>
      </w:r>
    </w:p>
    <w:tbl>
      <w:tblPr>
        <w:tblW w:w="4866"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979"/>
        <w:gridCol w:w="3875"/>
        <w:gridCol w:w="613"/>
        <w:gridCol w:w="613"/>
        <w:gridCol w:w="615"/>
        <w:gridCol w:w="1070"/>
      </w:tblGrid>
      <w:tr w:rsidR="004E3FDC" w:rsidRPr="0077700D" w14:paraId="1A6338EA" w14:textId="77777777" w:rsidTr="00450B7A">
        <w:trPr>
          <w:cantSplit/>
          <w:jc w:val="center"/>
        </w:trPr>
        <w:tc>
          <w:tcPr>
            <w:tcW w:w="5000" w:type="pct"/>
            <w:gridSpan w:val="6"/>
            <w:tcBorders>
              <w:top w:val="single" w:sz="2" w:space="0" w:color="auto"/>
              <w:left w:val="single" w:sz="2" w:space="0" w:color="auto"/>
              <w:bottom w:val="single" w:sz="2" w:space="0" w:color="auto"/>
              <w:right w:val="single" w:sz="2" w:space="0" w:color="auto"/>
            </w:tcBorders>
            <w:shd w:val="clear" w:color="auto" w:fill="33CCCC"/>
            <w:vAlign w:val="center"/>
            <w:hideMark/>
          </w:tcPr>
          <w:p w14:paraId="145BA204" w14:textId="77777777" w:rsidR="004E3FDC" w:rsidRPr="0077700D" w:rsidRDefault="004E3FDC" w:rsidP="00450B7A">
            <w:pPr>
              <w:spacing w:after="0" w:line="240" w:lineRule="auto"/>
              <w:jc w:val="center"/>
              <w:rPr>
                <w:rFonts w:ascii="Cambria" w:eastAsia="Times New Roman" w:hAnsi="Cambria"/>
                <w:b/>
                <w:bCs/>
                <w:lang w:val="hr-HR"/>
              </w:rPr>
            </w:pPr>
            <w:bookmarkStart w:id="69" w:name="_Toc209340487"/>
            <w:bookmarkStart w:id="70" w:name="_Toc209420865"/>
            <w:bookmarkStart w:id="71" w:name="_Toc209421246"/>
            <w:bookmarkStart w:id="72" w:name="_Toc209789840"/>
            <w:r w:rsidRPr="0077700D">
              <w:rPr>
                <w:rFonts w:ascii="Cambria" w:eastAsia="Times New Roman" w:hAnsi="Cambria"/>
                <w:b/>
                <w:bCs/>
                <w:lang w:val="hr-HR"/>
              </w:rPr>
              <w:t>VII. semestar</w:t>
            </w:r>
            <w:bookmarkEnd w:id="69"/>
            <w:bookmarkEnd w:id="70"/>
            <w:bookmarkEnd w:id="71"/>
            <w:bookmarkEnd w:id="72"/>
          </w:p>
        </w:tc>
      </w:tr>
      <w:tr w:rsidR="004E3FDC" w:rsidRPr="0077700D" w14:paraId="176BA5B7" w14:textId="77777777" w:rsidTr="00450B7A">
        <w:trPr>
          <w:cantSplit/>
          <w:jc w:val="center"/>
        </w:trPr>
        <w:tc>
          <w:tcPr>
            <w:tcW w:w="1525" w:type="pct"/>
            <w:tcBorders>
              <w:top w:val="single" w:sz="2" w:space="0" w:color="auto"/>
              <w:left w:val="single" w:sz="2" w:space="0" w:color="auto"/>
              <w:bottom w:val="single" w:sz="2" w:space="0" w:color="auto"/>
              <w:right w:val="single" w:sz="2" w:space="0" w:color="auto"/>
            </w:tcBorders>
            <w:vAlign w:val="center"/>
            <w:hideMark/>
          </w:tcPr>
          <w:p w14:paraId="6B8B2B18" w14:textId="77777777" w:rsidR="004E3FDC" w:rsidRPr="0077700D" w:rsidRDefault="004E3FDC" w:rsidP="00450B7A">
            <w:pPr>
              <w:widowControl w:val="0"/>
              <w:spacing w:after="0" w:line="240" w:lineRule="auto"/>
              <w:rPr>
                <w:rFonts w:ascii="Cambria" w:eastAsia="Times New Roman" w:hAnsi="Cambria"/>
                <w:b/>
                <w:lang w:val="hr-HR"/>
              </w:rPr>
            </w:pPr>
            <w:r w:rsidRPr="0077700D">
              <w:rPr>
                <w:rFonts w:ascii="Cambria" w:eastAsia="Times New Roman" w:hAnsi="Cambria"/>
                <w:b/>
                <w:lang w:val="hr-HR"/>
              </w:rPr>
              <w:t>Predmet</w:t>
            </w:r>
          </w:p>
        </w:tc>
        <w:tc>
          <w:tcPr>
            <w:tcW w:w="1984" w:type="pct"/>
            <w:tcBorders>
              <w:top w:val="single" w:sz="2" w:space="0" w:color="auto"/>
              <w:left w:val="single" w:sz="2" w:space="0" w:color="auto"/>
              <w:bottom w:val="single" w:sz="2" w:space="0" w:color="auto"/>
              <w:right w:val="single" w:sz="2" w:space="0" w:color="auto"/>
            </w:tcBorders>
            <w:vAlign w:val="center"/>
            <w:hideMark/>
          </w:tcPr>
          <w:p w14:paraId="55011980" w14:textId="77777777" w:rsidR="004E3FDC" w:rsidRPr="0077700D" w:rsidRDefault="004E3FDC" w:rsidP="00450B7A">
            <w:pPr>
              <w:widowControl w:val="0"/>
              <w:spacing w:after="0" w:line="240" w:lineRule="auto"/>
              <w:rPr>
                <w:rFonts w:ascii="Cambria" w:eastAsia="Times New Roman" w:hAnsi="Cambria"/>
                <w:b/>
                <w:lang w:val="hr-HR"/>
              </w:rPr>
            </w:pPr>
            <w:r w:rsidRPr="0077700D">
              <w:rPr>
                <w:rFonts w:ascii="Cambria" w:eastAsia="Times New Roman" w:hAnsi="Cambria"/>
                <w:b/>
                <w:lang w:val="hr-HR"/>
              </w:rPr>
              <w:t>Nastavnik/</w:t>
            </w:r>
            <w:proofErr w:type="spellStart"/>
            <w:r w:rsidRPr="0077700D">
              <w:rPr>
                <w:rFonts w:ascii="Cambria" w:eastAsia="Times New Roman" w:hAnsi="Cambria"/>
                <w:b/>
                <w:lang w:val="hr-HR"/>
              </w:rPr>
              <w:t>ica</w:t>
            </w:r>
            <w:proofErr w:type="spellEnd"/>
          </w:p>
        </w:tc>
        <w:tc>
          <w:tcPr>
            <w:tcW w:w="314" w:type="pct"/>
            <w:tcBorders>
              <w:top w:val="single" w:sz="2" w:space="0" w:color="auto"/>
              <w:left w:val="single" w:sz="2" w:space="0" w:color="auto"/>
              <w:bottom w:val="single" w:sz="2" w:space="0" w:color="auto"/>
              <w:right w:val="single" w:sz="2" w:space="0" w:color="auto"/>
            </w:tcBorders>
            <w:vAlign w:val="center"/>
            <w:hideMark/>
          </w:tcPr>
          <w:p w14:paraId="263C1EFD" w14:textId="77777777" w:rsidR="004E3FDC" w:rsidRPr="0077700D" w:rsidRDefault="004E3FDC" w:rsidP="00450B7A">
            <w:pPr>
              <w:spacing w:after="0" w:line="240" w:lineRule="auto"/>
              <w:jc w:val="center"/>
              <w:rPr>
                <w:rFonts w:ascii="Cambria" w:eastAsia="Times New Roman" w:hAnsi="Cambria"/>
                <w:b/>
                <w:bCs/>
                <w:caps/>
                <w:lang w:val="hr-HR"/>
              </w:rPr>
            </w:pPr>
            <w:bookmarkStart w:id="73" w:name="_Toc208818031"/>
            <w:bookmarkStart w:id="74" w:name="_Toc208819689"/>
            <w:bookmarkStart w:id="75" w:name="_Toc208904384"/>
            <w:bookmarkStart w:id="76" w:name="_Toc209340488"/>
            <w:bookmarkStart w:id="77" w:name="_Toc209420866"/>
            <w:bookmarkStart w:id="78" w:name="_Toc209421247"/>
            <w:bookmarkStart w:id="79" w:name="_Toc209789841"/>
            <w:r w:rsidRPr="0077700D">
              <w:rPr>
                <w:rFonts w:ascii="Cambria" w:eastAsia="Times New Roman" w:hAnsi="Cambria"/>
                <w:b/>
                <w:bCs/>
                <w:caps/>
                <w:lang w:val="hr-HR"/>
              </w:rPr>
              <w:t>P</w:t>
            </w:r>
            <w:bookmarkEnd w:id="73"/>
            <w:bookmarkEnd w:id="74"/>
            <w:bookmarkEnd w:id="75"/>
            <w:bookmarkEnd w:id="76"/>
            <w:bookmarkEnd w:id="77"/>
            <w:bookmarkEnd w:id="78"/>
            <w:bookmarkEnd w:id="79"/>
          </w:p>
        </w:tc>
        <w:tc>
          <w:tcPr>
            <w:tcW w:w="314" w:type="pct"/>
            <w:tcBorders>
              <w:top w:val="single" w:sz="2" w:space="0" w:color="auto"/>
              <w:left w:val="single" w:sz="2" w:space="0" w:color="auto"/>
              <w:bottom w:val="single" w:sz="2" w:space="0" w:color="auto"/>
              <w:right w:val="single" w:sz="2" w:space="0" w:color="auto"/>
            </w:tcBorders>
            <w:vAlign w:val="center"/>
          </w:tcPr>
          <w:p w14:paraId="6B7DA16E" w14:textId="77777777" w:rsidR="004E3FDC" w:rsidRPr="0077700D" w:rsidRDefault="004E3FDC" w:rsidP="00450B7A">
            <w:pPr>
              <w:spacing w:after="0" w:line="240" w:lineRule="auto"/>
              <w:jc w:val="center"/>
              <w:rPr>
                <w:rFonts w:ascii="Cambria" w:eastAsia="Times New Roman" w:hAnsi="Cambria"/>
                <w:b/>
                <w:bCs/>
                <w:caps/>
                <w:lang w:val="hr-HR"/>
              </w:rPr>
            </w:pPr>
            <w:r w:rsidRPr="0077700D">
              <w:rPr>
                <w:rFonts w:ascii="Cambria" w:eastAsia="Times New Roman" w:hAnsi="Cambria"/>
                <w:b/>
                <w:bCs/>
                <w:caps/>
                <w:lang w:val="hr-HR"/>
              </w:rPr>
              <w:t>S</w:t>
            </w:r>
          </w:p>
        </w:tc>
        <w:tc>
          <w:tcPr>
            <w:tcW w:w="315" w:type="pct"/>
            <w:tcBorders>
              <w:top w:val="single" w:sz="2" w:space="0" w:color="auto"/>
              <w:left w:val="single" w:sz="2" w:space="0" w:color="auto"/>
              <w:bottom w:val="single" w:sz="2" w:space="0" w:color="auto"/>
              <w:right w:val="single" w:sz="2" w:space="0" w:color="auto"/>
            </w:tcBorders>
            <w:vAlign w:val="center"/>
            <w:hideMark/>
          </w:tcPr>
          <w:p w14:paraId="4DA6EAC7" w14:textId="77777777" w:rsidR="004E3FDC" w:rsidRPr="0077700D" w:rsidRDefault="004E3FDC" w:rsidP="00450B7A">
            <w:pPr>
              <w:spacing w:after="0" w:line="240" w:lineRule="auto"/>
              <w:jc w:val="center"/>
              <w:rPr>
                <w:rFonts w:ascii="Cambria" w:eastAsia="Times New Roman" w:hAnsi="Cambria"/>
                <w:b/>
                <w:bCs/>
                <w:caps/>
                <w:lang w:val="hr-HR"/>
              </w:rPr>
            </w:pPr>
            <w:r w:rsidRPr="0077700D">
              <w:rPr>
                <w:rFonts w:ascii="Cambria" w:eastAsia="Times New Roman" w:hAnsi="Cambria"/>
                <w:b/>
                <w:bCs/>
                <w:caps/>
                <w:lang w:val="hr-HR"/>
              </w:rPr>
              <w:t>V</w:t>
            </w:r>
          </w:p>
        </w:tc>
        <w:tc>
          <w:tcPr>
            <w:tcW w:w="548" w:type="pct"/>
            <w:tcBorders>
              <w:top w:val="single" w:sz="2" w:space="0" w:color="auto"/>
              <w:left w:val="single" w:sz="2" w:space="0" w:color="auto"/>
              <w:bottom w:val="single" w:sz="2" w:space="0" w:color="auto"/>
              <w:right w:val="single" w:sz="2" w:space="0" w:color="auto"/>
            </w:tcBorders>
            <w:vAlign w:val="center"/>
            <w:hideMark/>
          </w:tcPr>
          <w:p w14:paraId="1789AAD7" w14:textId="77777777" w:rsidR="004E3FDC" w:rsidRPr="0077700D" w:rsidRDefault="004E3FDC" w:rsidP="00450B7A">
            <w:pPr>
              <w:spacing w:after="0" w:line="240" w:lineRule="auto"/>
              <w:jc w:val="center"/>
              <w:rPr>
                <w:rFonts w:ascii="Cambria" w:eastAsia="Times New Roman" w:hAnsi="Cambria"/>
                <w:b/>
                <w:bCs/>
                <w:caps/>
                <w:lang w:val="hr-HR"/>
              </w:rPr>
            </w:pPr>
            <w:r w:rsidRPr="0077700D">
              <w:rPr>
                <w:rFonts w:ascii="Cambria" w:eastAsia="Times New Roman" w:hAnsi="Cambria"/>
                <w:b/>
                <w:bCs/>
                <w:caps/>
                <w:lang w:val="hr-HR"/>
              </w:rPr>
              <w:t>ECTS</w:t>
            </w:r>
          </w:p>
        </w:tc>
      </w:tr>
      <w:tr w:rsidR="004E3FDC" w:rsidRPr="0077700D" w14:paraId="29C2B083" w14:textId="77777777" w:rsidTr="00450B7A">
        <w:trPr>
          <w:cantSplit/>
          <w:jc w:val="center"/>
        </w:trPr>
        <w:tc>
          <w:tcPr>
            <w:tcW w:w="1525" w:type="pct"/>
            <w:tcBorders>
              <w:top w:val="single" w:sz="2" w:space="0" w:color="auto"/>
              <w:left w:val="single" w:sz="2" w:space="0" w:color="auto"/>
              <w:bottom w:val="single" w:sz="2" w:space="0" w:color="auto"/>
              <w:right w:val="single" w:sz="2" w:space="0" w:color="auto"/>
            </w:tcBorders>
            <w:vAlign w:val="center"/>
            <w:hideMark/>
          </w:tcPr>
          <w:p w14:paraId="17C12C62" w14:textId="77777777" w:rsidR="004E3FDC" w:rsidRPr="0077700D" w:rsidRDefault="004E3FDC" w:rsidP="00450B7A">
            <w:pPr>
              <w:widowControl w:val="0"/>
              <w:spacing w:after="0" w:line="240" w:lineRule="auto"/>
              <w:rPr>
                <w:rFonts w:ascii="Cambria" w:eastAsia="Times New Roman" w:hAnsi="Cambria"/>
                <w:b/>
                <w:lang w:val="hr-HR"/>
              </w:rPr>
            </w:pPr>
            <w:r w:rsidRPr="0077700D">
              <w:rPr>
                <w:rFonts w:ascii="Cambria" w:eastAsia="Times New Roman" w:hAnsi="Cambria"/>
                <w:b/>
                <w:lang w:val="hr-HR"/>
              </w:rPr>
              <w:t>96500</w:t>
            </w:r>
          </w:p>
          <w:p w14:paraId="68D06957" w14:textId="77777777" w:rsidR="004E3FDC" w:rsidRPr="0077700D" w:rsidRDefault="004E3FDC" w:rsidP="00450B7A">
            <w:pPr>
              <w:spacing w:after="0" w:line="240" w:lineRule="auto"/>
              <w:rPr>
                <w:rFonts w:ascii="Cambria" w:eastAsia="Times New Roman" w:hAnsi="Cambria"/>
                <w:lang w:val="hr-HR"/>
              </w:rPr>
            </w:pPr>
            <w:r w:rsidRPr="0077700D">
              <w:rPr>
                <w:rFonts w:ascii="Cambria" w:eastAsia="Times New Roman" w:hAnsi="Cambria"/>
                <w:lang w:val="hr-HR"/>
              </w:rPr>
              <w:t>Metodika nastave hrvatskog jezika II</w:t>
            </w:r>
          </w:p>
        </w:tc>
        <w:tc>
          <w:tcPr>
            <w:tcW w:w="1984" w:type="pct"/>
            <w:tcBorders>
              <w:top w:val="single" w:sz="2" w:space="0" w:color="auto"/>
              <w:left w:val="single" w:sz="2" w:space="0" w:color="auto"/>
              <w:bottom w:val="single" w:sz="2" w:space="0" w:color="auto"/>
              <w:right w:val="single" w:sz="2" w:space="0" w:color="auto"/>
            </w:tcBorders>
            <w:vAlign w:val="center"/>
            <w:hideMark/>
          </w:tcPr>
          <w:p w14:paraId="1E662239" w14:textId="77777777" w:rsidR="004E3FDC" w:rsidRPr="0077700D" w:rsidRDefault="004E3FDC" w:rsidP="00450B7A">
            <w:pPr>
              <w:spacing w:after="0" w:line="240" w:lineRule="auto"/>
              <w:rPr>
                <w:rFonts w:ascii="Cambria" w:eastAsia="Times New Roman" w:hAnsi="Cambria"/>
                <w:lang w:val="hr-HR"/>
              </w:rPr>
            </w:pPr>
            <w:r>
              <w:rPr>
                <w:rFonts w:ascii="Cambria" w:eastAsia="Times New Roman" w:hAnsi="Cambria"/>
                <w:lang w:val="hr-HR"/>
              </w:rPr>
              <w:t xml:space="preserve">doc. dr. sc. Ivana </w:t>
            </w:r>
            <w:proofErr w:type="spellStart"/>
            <w:r>
              <w:rPr>
                <w:rFonts w:ascii="Cambria" w:eastAsia="Times New Roman" w:hAnsi="Cambria"/>
                <w:lang w:val="hr-HR"/>
              </w:rPr>
              <w:t>Nežić</w:t>
            </w:r>
            <w:proofErr w:type="spellEnd"/>
          </w:p>
          <w:p w14:paraId="4F3BA299" w14:textId="77777777" w:rsidR="004E3FDC" w:rsidRPr="0077700D" w:rsidRDefault="004E3FDC" w:rsidP="00450B7A">
            <w:pPr>
              <w:widowControl w:val="0"/>
              <w:spacing w:after="0" w:line="240" w:lineRule="auto"/>
              <w:rPr>
                <w:rFonts w:ascii="Cambria" w:eastAsia="Times New Roman" w:hAnsi="Cambria"/>
                <w:lang w:val="hr-HR"/>
              </w:rPr>
            </w:pPr>
            <w:r w:rsidRPr="0077700D">
              <w:rPr>
                <w:rFonts w:ascii="Cambria" w:eastAsia="Times New Roman" w:hAnsi="Cambria"/>
                <w:lang w:val="hr-HR"/>
              </w:rPr>
              <w:t xml:space="preserve">dr. sc. Samanta </w:t>
            </w:r>
            <w:proofErr w:type="spellStart"/>
            <w:r w:rsidRPr="0077700D">
              <w:rPr>
                <w:rFonts w:ascii="Cambria" w:eastAsia="Times New Roman" w:hAnsi="Cambria"/>
                <w:lang w:val="hr-HR"/>
              </w:rPr>
              <w:t>Paronić</w:t>
            </w:r>
            <w:proofErr w:type="spellEnd"/>
            <w:r w:rsidRPr="0077700D">
              <w:rPr>
                <w:rFonts w:ascii="Cambria" w:eastAsia="Times New Roman" w:hAnsi="Cambria"/>
                <w:lang w:val="hr-HR"/>
              </w:rPr>
              <w:t>, naslovna pred.</w:t>
            </w:r>
          </w:p>
        </w:tc>
        <w:tc>
          <w:tcPr>
            <w:tcW w:w="314" w:type="pct"/>
            <w:tcBorders>
              <w:top w:val="single" w:sz="2" w:space="0" w:color="auto"/>
              <w:left w:val="single" w:sz="2" w:space="0" w:color="auto"/>
              <w:bottom w:val="single" w:sz="2" w:space="0" w:color="auto"/>
              <w:right w:val="single" w:sz="2" w:space="0" w:color="auto"/>
            </w:tcBorders>
            <w:vAlign w:val="center"/>
            <w:hideMark/>
          </w:tcPr>
          <w:p w14:paraId="3DD9A2C5" w14:textId="77777777" w:rsidR="004E3FDC" w:rsidRPr="0077700D" w:rsidRDefault="004E3FDC" w:rsidP="00450B7A">
            <w:pPr>
              <w:widowControl w:val="0"/>
              <w:spacing w:after="0" w:line="240" w:lineRule="auto"/>
              <w:jc w:val="center"/>
              <w:rPr>
                <w:rFonts w:ascii="Cambria" w:eastAsia="Times New Roman" w:hAnsi="Cambria"/>
                <w:lang w:val="hr-HR"/>
              </w:rPr>
            </w:pPr>
            <w:r w:rsidRPr="0077700D">
              <w:rPr>
                <w:rFonts w:ascii="Cambria" w:eastAsia="Times New Roman" w:hAnsi="Cambria"/>
                <w:lang w:val="hr-HR"/>
              </w:rPr>
              <w:t>30</w:t>
            </w:r>
          </w:p>
        </w:tc>
        <w:tc>
          <w:tcPr>
            <w:tcW w:w="314" w:type="pct"/>
            <w:tcBorders>
              <w:top w:val="single" w:sz="2" w:space="0" w:color="auto"/>
              <w:left w:val="single" w:sz="2" w:space="0" w:color="auto"/>
              <w:bottom w:val="single" w:sz="2" w:space="0" w:color="auto"/>
              <w:right w:val="single" w:sz="2" w:space="0" w:color="auto"/>
            </w:tcBorders>
            <w:vAlign w:val="center"/>
          </w:tcPr>
          <w:p w14:paraId="61463B94" w14:textId="77777777" w:rsidR="004E3FDC" w:rsidRPr="0077700D" w:rsidRDefault="004E3FDC" w:rsidP="00450B7A">
            <w:pPr>
              <w:widowControl w:val="0"/>
              <w:spacing w:after="0" w:line="240" w:lineRule="auto"/>
              <w:jc w:val="center"/>
              <w:rPr>
                <w:rFonts w:ascii="Cambria" w:eastAsia="Times New Roman" w:hAnsi="Cambria"/>
                <w:lang w:val="hr-HR"/>
              </w:rPr>
            </w:pPr>
            <w:r w:rsidRPr="0077700D">
              <w:rPr>
                <w:rFonts w:ascii="Cambria" w:eastAsia="Times New Roman" w:hAnsi="Cambria"/>
                <w:lang w:val="hr-HR"/>
              </w:rPr>
              <w:t>0</w:t>
            </w:r>
          </w:p>
        </w:tc>
        <w:tc>
          <w:tcPr>
            <w:tcW w:w="315" w:type="pct"/>
            <w:tcBorders>
              <w:top w:val="single" w:sz="2" w:space="0" w:color="auto"/>
              <w:left w:val="single" w:sz="2" w:space="0" w:color="auto"/>
              <w:bottom w:val="single" w:sz="2" w:space="0" w:color="auto"/>
              <w:right w:val="single" w:sz="2" w:space="0" w:color="auto"/>
            </w:tcBorders>
            <w:vAlign w:val="center"/>
            <w:hideMark/>
          </w:tcPr>
          <w:p w14:paraId="5E6878B3" w14:textId="77777777" w:rsidR="004E3FDC" w:rsidRPr="0077700D" w:rsidRDefault="004E3FDC" w:rsidP="00450B7A">
            <w:pPr>
              <w:widowControl w:val="0"/>
              <w:spacing w:after="0" w:line="240" w:lineRule="auto"/>
              <w:jc w:val="center"/>
              <w:rPr>
                <w:rFonts w:ascii="Cambria" w:eastAsia="Times New Roman" w:hAnsi="Cambria"/>
                <w:lang w:val="hr-HR"/>
              </w:rPr>
            </w:pPr>
            <w:r w:rsidRPr="0077700D">
              <w:rPr>
                <w:rFonts w:ascii="Cambria" w:eastAsia="Times New Roman" w:hAnsi="Cambria"/>
                <w:lang w:val="hr-HR"/>
              </w:rPr>
              <w:t>30</w:t>
            </w:r>
          </w:p>
        </w:tc>
        <w:tc>
          <w:tcPr>
            <w:tcW w:w="548" w:type="pct"/>
            <w:tcBorders>
              <w:top w:val="single" w:sz="2" w:space="0" w:color="auto"/>
              <w:left w:val="single" w:sz="2" w:space="0" w:color="auto"/>
              <w:bottom w:val="single" w:sz="2" w:space="0" w:color="auto"/>
              <w:right w:val="single" w:sz="2" w:space="0" w:color="auto"/>
            </w:tcBorders>
            <w:vAlign w:val="center"/>
            <w:hideMark/>
          </w:tcPr>
          <w:p w14:paraId="68EB665B" w14:textId="77777777" w:rsidR="004E3FDC" w:rsidRPr="0077700D" w:rsidRDefault="004E3FDC" w:rsidP="00450B7A">
            <w:pPr>
              <w:widowControl w:val="0"/>
              <w:spacing w:after="0" w:line="240" w:lineRule="auto"/>
              <w:jc w:val="center"/>
              <w:rPr>
                <w:rFonts w:ascii="Cambria" w:eastAsia="Times New Roman" w:hAnsi="Cambria"/>
                <w:bCs/>
                <w:lang w:val="hr-HR"/>
              </w:rPr>
            </w:pPr>
            <w:r w:rsidRPr="0077700D">
              <w:rPr>
                <w:rFonts w:ascii="Cambria" w:eastAsia="Times New Roman" w:hAnsi="Cambria"/>
                <w:bCs/>
                <w:lang w:val="hr-HR"/>
              </w:rPr>
              <w:t>5</w:t>
            </w:r>
          </w:p>
        </w:tc>
      </w:tr>
      <w:tr w:rsidR="004E3FDC" w:rsidRPr="0077700D" w14:paraId="40B6CD95" w14:textId="77777777" w:rsidTr="00450B7A">
        <w:trPr>
          <w:cantSplit/>
          <w:jc w:val="center"/>
        </w:trPr>
        <w:tc>
          <w:tcPr>
            <w:tcW w:w="1525" w:type="pct"/>
            <w:tcBorders>
              <w:top w:val="single" w:sz="2" w:space="0" w:color="auto"/>
              <w:left w:val="single" w:sz="2" w:space="0" w:color="auto"/>
              <w:bottom w:val="single" w:sz="2" w:space="0" w:color="auto"/>
              <w:right w:val="single" w:sz="2" w:space="0" w:color="auto"/>
            </w:tcBorders>
            <w:vAlign w:val="center"/>
            <w:hideMark/>
          </w:tcPr>
          <w:p w14:paraId="2CFA6A4E" w14:textId="77777777" w:rsidR="004E3FDC" w:rsidRPr="0077700D" w:rsidRDefault="004E3FDC" w:rsidP="00450B7A">
            <w:pPr>
              <w:widowControl w:val="0"/>
              <w:spacing w:after="0" w:line="240" w:lineRule="auto"/>
              <w:rPr>
                <w:rFonts w:ascii="Cambria" w:eastAsia="Times New Roman" w:hAnsi="Cambria"/>
                <w:b/>
                <w:lang w:val="hr-HR"/>
              </w:rPr>
            </w:pPr>
            <w:r w:rsidRPr="0077700D">
              <w:rPr>
                <w:rFonts w:ascii="Cambria" w:eastAsia="Times New Roman" w:hAnsi="Cambria"/>
                <w:b/>
                <w:lang w:val="hr-HR"/>
              </w:rPr>
              <w:t>156756</w:t>
            </w:r>
          </w:p>
          <w:p w14:paraId="1DCD0E93" w14:textId="77777777" w:rsidR="004E3FDC" w:rsidRPr="0077700D" w:rsidRDefault="004E3FDC" w:rsidP="00450B7A">
            <w:pPr>
              <w:spacing w:after="0" w:line="240" w:lineRule="auto"/>
              <w:rPr>
                <w:rFonts w:ascii="Cambria" w:eastAsia="Times New Roman" w:hAnsi="Cambria"/>
                <w:lang w:val="hr-HR"/>
              </w:rPr>
            </w:pPr>
            <w:r w:rsidRPr="0077700D">
              <w:rPr>
                <w:rFonts w:ascii="Cambria" w:eastAsia="Times New Roman" w:hAnsi="Cambria"/>
                <w:lang w:val="hr-HR"/>
              </w:rPr>
              <w:t>Metodika nastave matematike I</w:t>
            </w:r>
          </w:p>
        </w:tc>
        <w:tc>
          <w:tcPr>
            <w:tcW w:w="1984" w:type="pct"/>
            <w:tcBorders>
              <w:top w:val="single" w:sz="2" w:space="0" w:color="auto"/>
              <w:left w:val="single" w:sz="2" w:space="0" w:color="auto"/>
              <w:bottom w:val="single" w:sz="2" w:space="0" w:color="auto"/>
              <w:right w:val="single" w:sz="2" w:space="0" w:color="auto"/>
            </w:tcBorders>
            <w:vAlign w:val="center"/>
            <w:hideMark/>
          </w:tcPr>
          <w:p w14:paraId="5EB4E7E1" w14:textId="77777777" w:rsidR="004E3FDC" w:rsidRPr="0077700D" w:rsidRDefault="004E3FDC" w:rsidP="00450B7A">
            <w:pPr>
              <w:widowControl w:val="0"/>
              <w:spacing w:after="0" w:line="240" w:lineRule="auto"/>
              <w:rPr>
                <w:rFonts w:ascii="Cambria" w:eastAsia="Times New Roman" w:hAnsi="Cambria"/>
                <w:lang w:val="hr-HR"/>
              </w:rPr>
            </w:pPr>
            <w:r w:rsidRPr="00A05E09">
              <w:rPr>
                <w:rFonts w:ascii="Cambria" w:eastAsia="Times New Roman" w:hAnsi="Cambria"/>
                <w:lang w:val="hr-HR"/>
              </w:rPr>
              <w:t xml:space="preserve">izv. prof. dr. sc. Sandra </w:t>
            </w:r>
            <w:proofErr w:type="spellStart"/>
            <w:r w:rsidRPr="00A05E09">
              <w:rPr>
                <w:rFonts w:ascii="Cambria" w:eastAsia="Times New Roman" w:hAnsi="Cambria"/>
                <w:lang w:val="hr-HR"/>
              </w:rPr>
              <w:t>Kadum</w:t>
            </w:r>
            <w:proofErr w:type="spellEnd"/>
          </w:p>
        </w:tc>
        <w:tc>
          <w:tcPr>
            <w:tcW w:w="314" w:type="pct"/>
            <w:tcBorders>
              <w:top w:val="single" w:sz="2" w:space="0" w:color="auto"/>
              <w:left w:val="single" w:sz="2" w:space="0" w:color="auto"/>
              <w:bottom w:val="single" w:sz="2" w:space="0" w:color="auto"/>
              <w:right w:val="single" w:sz="2" w:space="0" w:color="auto"/>
            </w:tcBorders>
            <w:vAlign w:val="center"/>
            <w:hideMark/>
          </w:tcPr>
          <w:p w14:paraId="5D3091B5" w14:textId="77777777" w:rsidR="004E3FDC" w:rsidRPr="0077700D" w:rsidRDefault="004E3FDC" w:rsidP="00450B7A">
            <w:pPr>
              <w:widowControl w:val="0"/>
              <w:spacing w:after="0" w:line="240" w:lineRule="auto"/>
              <w:jc w:val="center"/>
              <w:rPr>
                <w:rFonts w:ascii="Cambria" w:eastAsia="Times New Roman" w:hAnsi="Cambria"/>
                <w:lang w:val="hr-HR"/>
              </w:rPr>
            </w:pPr>
            <w:r w:rsidRPr="0077700D">
              <w:rPr>
                <w:rFonts w:ascii="Cambria" w:eastAsia="Times New Roman" w:hAnsi="Cambria"/>
                <w:lang w:val="hr-HR"/>
              </w:rPr>
              <w:t>30</w:t>
            </w:r>
          </w:p>
        </w:tc>
        <w:tc>
          <w:tcPr>
            <w:tcW w:w="314" w:type="pct"/>
            <w:tcBorders>
              <w:top w:val="single" w:sz="2" w:space="0" w:color="auto"/>
              <w:left w:val="single" w:sz="2" w:space="0" w:color="auto"/>
              <w:bottom w:val="single" w:sz="2" w:space="0" w:color="auto"/>
              <w:right w:val="single" w:sz="2" w:space="0" w:color="auto"/>
            </w:tcBorders>
            <w:vAlign w:val="center"/>
          </w:tcPr>
          <w:p w14:paraId="2B52A6F8" w14:textId="77777777" w:rsidR="004E3FDC" w:rsidRPr="0077700D" w:rsidRDefault="004E3FDC" w:rsidP="00450B7A">
            <w:pPr>
              <w:widowControl w:val="0"/>
              <w:spacing w:after="0" w:line="240" w:lineRule="auto"/>
              <w:jc w:val="center"/>
              <w:rPr>
                <w:rFonts w:ascii="Cambria" w:eastAsia="Times New Roman" w:hAnsi="Cambria"/>
                <w:lang w:val="hr-HR"/>
              </w:rPr>
            </w:pPr>
            <w:r w:rsidRPr="0077700D">
              <w:rPr>
                <w:rFonts w:ascii="Cambria" w:eastAsia="Times New Roman" w:hAnsi="Cambria"/>
                <w:lang w:val="hr-HR"/>
              </w:rPr>
              <w:t>0</w:t>
            </w:r>
          </w:p>
        </w:tc>
        <w:tc>
          <w:tcPr>
            <w:tcW w:w="315" w:type="pct"/>
            <w:tcBorders>
              <w:top w:val="single" w:sz="2" w:space="0" w:color="auto"/>
              <w:left w:val="single" w:sz="2" w:space="0" w:color="auto"/>
              <w:bottom w:val="single" w:sz="2" w:space="0" w:color="auto"/>
              <w:right w:val="single" w:sz="2" w:space="0" w:color="auto"/>
            </w:tcBorders>
            <w:vAlign w:val="center"/>
            <w:hideMark/>
          </w:tcPr>
          <w:p w14:paraId="1CDC463F" w14:textId="77777777" w:rsidR="004E3FDC" w:rsidRPr="0077700D" w:rsidRDefault="004E3FDC" w:rsidP="00450B7A">
            <w:pPr>
              <w:widowControl w:val="0"/>
              <w:spacing w:after="0" w:line="240" w:lineRule="auto"/>
              <w:jc w:val="center"/>
              <w:rPr>
                <w:rFonts w:ascii="Cambria" w:eastAsia="Times New Roman" w:hAnsi="Cambria"/>
                <w:lang w:val="hr-HR"/>
              </w:rPr>
            </w:pPr>
            <w:r w:rsidRPr="0077700D">
              <w:rPr>
                <w:rFonts w:ascii="Cambria" w:eastAsia="Times New Roman" w:hAnsi="Cambria"/>
                <w:lang w:val="hr-HR"/>
              </w:rPr>
              <w:t>15</w:t>
            </w:r>
          </w:p>
        </w:tc>
        <w:tc>
          <w:tcPr>
            <w:tcW w:w="548" w:type="pct"/>
            <w:tcBorders>
              <w:top w:val="single" w:sz="2" w:space="0" w:color="auto"/>
              <w:left w:val="single" w:sz="2" w:space="0" w:color="auto"/>
              <w:bottom w:val="single" w:sz="2" w:space="0" w:color="auto"/>
              <w:right w:val="single" w:sz="2" w:space="0" w:color="auto"/>
            </w:tcBorders>
            <w:vAlign w:val="center"/>
            <w:hideMark/>
          </w:tcPr>
          <w:p w14:paraId="497FA3AC" w14:textId="77777777" w:rsidR="004E3FDC" w:rsidRPr="0077700D" w:rsidRDefault="004E3FDC" w:rsidP="00450B7A">
            <w:pPr>
              <w:widowControl w:val="0"/>
              <w:spacing w:after="0" w:line="240" w:lineRule="auto"/>
              <w:jc w:val="center"/>
              <w:rPr>
                <w:rFonts w:ascii="Cambria" w:eastAsia="Times New Roman" w:hAnsi="Cambria"/>
                <w:bCs/>
                <w:lang w:val="hr-HR"/>
              </w:rPr>
            </w:pPr>
            <w:r w:rsidRPr="0077700D">
              <w:rPr>
                <w:rFonts w:ascii="Cambria" w:eastAsia="Times New Roman" w:hAnsi="Cambria"/>
                <w:bCs/>
                <w:lang w:val="hr-HR"/>
              </w:rPr>
              <w:t>5</w:t>
            </w:r>
          </w:p>
        </w:tc>
      </w:tr>
      <w:tr w:rsidR="004E3FDC" w:rsidRPr="0077700D" w14:paraId="5B71EA79" w14:textId="77777777" w:rsidTr="00450B7A">
        <w:trPr>
          <w:cantSplit/>
          <w:jc w:val="center"/>
        </w:trPr>
        <w:tc>
          <w:tcPr>
            <w:tcW w:w="1525" w:type="pct"/>
            <w:tcBorders>
              <w:top w:val="single" w:sz="2" w:space="0" w:color="auto"/>
              <w:left w:val="single" w:sz="2" w:space="0" w:color="auto"/>
              <w:bottom w:val="single" w:sz="2" w:space="0" w:color="auto"/>
              <w:right w:val="single" w:sz="2" w:space="0" w:color="auto"/>
            </w:tcBorders>
            <w:vAlign w:val="center"/>
            <w:hideMark/>
          </w:tcPr>
          <w:p w14:paraId="3FF9ADA3" w14:textId="77777777" w:rsidR="004E3FDC" w:rsidRPr="0077700D" w:rsidRDefault="004E3FDC" w:rsidP="00450B7A">
            <w:pPr>
              <w:widowControl w:val="0"/>
              <w:spacing w:after="0" w:line="240" w:lineRule="auto"/>
              <w:rPr>
                <w:rFonts w:ascii="Cambria" w:eastAsia="Times New Roman" w:hAnsi="Cambria"/>
                <w:b/>
                <w:lang w:val="hr-HR"/>
              </w:rPr>
            </w:pPr>
            <w:r w:rsidRPr="0077700D">
              <w:rPr>
                <w:rFonts w:ascii="Cambria" w:eastAsia="Times New Roman" w:hAnsi="Cambria"/>
                <w:b/>
                <w:lang w:val="hr-HR"/>
              </w:rPr>
              <w:t>96502</w:t>
            </w:r>
          </w:p>
          <w:p w14:paraId="68871E41" w14:textId="77777777" w:rsidR="004E3FDC" w:rsidRPr="0077700D" w:rsidRDefault="004E3FDC" w:rsidP="00450B7A">
            <w:pPr>
              <w:spacing w:after="0" w:line="240" w:lineRule="auto"/>
              <w:rPr>
                <w:rFonts w:ascii="Cambria" w:eastAsia="Times New Roman" w:hAnsi="Cambria"/>
                <w:lang w:val="hr-HR"/>
              </w:rPr>
            </w:pPr>
            <w:r w:rsidRPr="0077700D">
              <w:rPr>
                <w:rFonts w:ascii="Cambria" w:eastAsia="Times New Roman" w:hAnsi="Cambria"/>
                <w:lang w:val="hr-HR"/>
              </w:rPr>
              <w:t>Metodika glazbene kulture II</w:t>
            </w:r>
          </w:p>
        </w:tc>
        <w:tc>
          <w:tcPr>
            <w:tcW w:w="1984" w:type="pct"/>
            <w:tcBorders>
              <w:top w:val="single" w:sz="2" w:space="0" w:color="auto"/>
              <w:left w:val="single" w:sz="2" w:space="0" w:color="auto"/>
              <w:bottom w:val="single" w:sz="2" w:space="0" w:color="auto"/>
              <w:right w:val="single" w:sz="2" w:space="0" w:color="auto"/>
            </w:tcBorders>
            <w:vAlign w:val="center"/>
            <w:hideMark/>
          </w:tcPr>
          <w:p w14:paraId="22A08DDD" w14:textId="77777777" w:rsidR="004E3FDC" w:rsidRPr="0077700D" w:rsidRDefault="004E3FDC" w:rsidP="00450B7A">
            <w:pPr>
              <w:spacing w:after="0" w:line="240" w:lineRule="auto"/>
              <w:rPr>
                <w:rFonts w:ascii="Cambria" w:eastAsia="Times New Roman" w:hAnsi="Cambria"/>
                <w:lang w:val="hr-HR"/>
              </w:rPr>
            </w:pPr>
            <w:r w:rsidRPr="0077700D">
              <w:rPr>
                <w:rFonts w:ascii="Cambria" w:eastAsia="Times New Roman" w:hAnsi="Cambria"/>
                <w:lang w:val="hr-HR"/>
              </w:rPr>
              <w:t xml:space="preserve">naslovna doc. dr. sc. Anita </w:t>
            </w:r>
            <w:proofErr w:type="spellStart"/>
            <w:r w:rsidRPr="0077700D">
              <w:rPr>
                <w:rFonts w:ascii="Cambria" w:eastAsia="Times New Roman" w:hAnsi="Cambria"/>
                <w:lang w:val="hr-HR"/>
              </w:rPr>
              <w:t>Gergorić</w:t>
            </w:r>
            <w:proofErr w:type="spellEnd"/>
          </w:p>
          <w:p w14:paraId="046F207E" w14:textId="77777777" w:rsidR="004E3FDC" w:rsidRPr="0077700D" w:rsidRDefault="004E3FDC" w:rsidP="00450B7A">
            <w:pPr>
              <w:widowControl w:val="0"/>
              <w:spacing w:after="0" w:line="240" w:lineRule="auto"/>
              <w:rPr>
                <w:rFonts w:ascii="Cambria" w:eastAsia="Times New Roman" w:hAnsi="Cambria"/>
                <w:lang w:val="hr-HR"/>
              </w:rPr>
            </w:pPr>
            <w:r w:rsidRPr="0077700D">
              <w:rPr>
                <w:rFonts w:ascii="Cambria" w:eastAsia="Times New Roman" w:hAnsi="Cambria"/>
                <w:lang w:val="hr-HR"/>
              </w:rPr>
              <w:t>mr. sc. Branko Radić, pred.</w:t>
            </w:r>
          </w:p>
        </w:tc>
        <w:tc>
          <w:tcPr>
            <w:tcW w:w="314" w:type="pct"/>
            <w:tcBorders>
              <w:top w:val="single" w:sz="2" w:space="0" w:color="auto"/>
              <w:left w:val="single" w:sz="2" w:space="0" w:color="auto"/>
              <w:bottom w:val="single" w:sz="2" w:space="0" w:color="auto"/>
              <w:right w:val="single" w:sz="2" w:space="0" w:color="auto"/>
            </w:tcBorders>
            <w:vAlign w:val="center"/>
            <w:hideMark/>
          </w:tcPr>
          <w:p w14:paraId="363E4702" w14:textId="77777777" w:rsidR="004E3FDC" w:rsidRPr="0077700D" w:rsidRDefault="004E3FDC" w:rsidP="00450B7A">
            <w:pPr>
              <w:widowControl w:val="0"/>
              <w:spacing w:after="0" w:line="240" w:lineRule="auto"/>
              <w:jc w:val="center"/>
              <w:rPr>
                <w:rFonts w:ascii="Cambria" w:eastAsia="Times New Roman" w:hAnsi="Cambria"/>
                <w:lang w:val="hr-HR"/>
              </w:rPr>
            </w:pPr>
            <w:r w:rsidRPr="0077700D">
              <w:rPr>
                <w:rFonts w:ascii="Cambria" w:eastAsia="Times New Roman" w:hAnsi="Cambria"/>
                <w:lang w:val="hr-HR"/>
              </w:rPr>
              <w:t>30</w:t>
            </w:r>
          </w:p>
        </w:tc>
        <w:tc>
          <w:tcPr>
            <w:tcW w:w="314" w:type="pct"/>
            <w:tcBorders>
              <w:top w:val="single" w:sz="2" w:space="0" w:color="auto"/>
              <w:left w:val="single" w:sz="2" w:space="0" w:color="auto"/>
              <w:bottom w:val="single" w:sz="2" w:space="0" w:color="auto"/>
              <w:right w:val="single" w:sz="2" w:space="0" w:color="auto"/>
            </w:tcBorders>
            <w:vAlign w:val="center"/>
          </w:tcPr>
          <w:p w14:paraId="0E36EB46" w14:textId="77777777" w:rsidR="004E3FDC" w:rsidRPr="0077700D" w:rsidRDefault="004E3FDC" w:rsidP="00450B7A">
            <w:pPr>
              <w:widowControl w:val="0"/>
              <w:spacing w:after="0" w:line="240" w:lineRule="auto"/>
              <w:jc w:val="center"/>
              <w:rPr>
                <w:rFonts w:ascii="Cambria" w:eastAsia="Times New Roman" w:hAnsi="Cambria"/>
                <w:lang w:val="hr-HR"/>
              </w:rPr>
            </w:pPr>
            <w:r w:rsidRPr="0077700D">
              <w:rPr>
                <w:rFonts w:ascii="Cambria" w:eastAsia="Times New Roman" w:hAnsi="Cambria"/>
                <w:lang w:val="hr-HR"/>
              </w:rPr>
              <w:t>0</w:t>
            </w:r>
          </w:p>
        </w:tc>
        <w:tc>
          <w:tcPr>
            <w:tcW w:w="315" w:type="pct"/>
            <w:tcBorders>
              <w:top w:val="single" w:sz="2" w:space="0" w:color="auto"/>
              <w:left w:val="single" w:sz="2" w:space="0" w:color="auto"/>
              <w:bottom w:val="single" w:sz="2" w:space="0" w:color="auto"/>
              <w:right w:val="single" w:sz="2" w:space="0" w:color="auto"/>
            </w:tcBorders>
            <w:vAlign w:val="center"/>
            <w:hideMark/>
          </w:tcPr>
          <w:p w14:paraId="6BECA435" w14:textId="77777777" w:rsidR="004E3FDC" w:rsidRPr="0077700D" w:rsidRDefault="004E3FDC" w:rsidP="00450B7A">
            <w:pPr>
              <w:widowControl w:val="0"/>
              <w:spacing w:after="0" w:line="240" w:lineRule="auto"/>
              <w:jc w:val="center"/>
              <w:rPr>
                <w:rFonts w:ascii="Cambria" w:eastAsia="Times New Roman" w:hAnsi="Cambria"/>
                <w:lang w:val="hr-HR"/>
              </w:rPr>
            </w:pPr>
            <w:r w:rsidRPr="0077700D">
              <w:rPr>
                <w:rFonts w:ascii="Cambria" w:eastAsia="Times New Roman" w:hAnsi="Cambria"/>
                <w:lang w:val="hr-HR"/>
              </w:rPr>
              <w:t>15</w:t>
            </w:r>
          </w:p>
        </w:tc>
        <w:tc>
          <w:tcPr>
            <w:tcW w:w="548" w:type="pct"/>
            <w:tcBorders>
              <w:top w:val="single" w:sz="2" w:space="0" w:color="auto"/>
              <w:left w:val="single" w:sz="2" w:space="0" w:color="auto"/>
              <w:bottom w:val="single" w:sz="2" w:space="0" w:color="auto"/>
              <w:right w:val="single" w:sz="2" w:space="0" w:color="auto"/>
            </w:tcBorders>
            <w:vAlign w:val="center"/>
            <w:hideMark/>
          </w:tcPr>
          <w:p w14:paraId="706485E7" w14:textId="77777777" w:rsidR="004E3FDC" w:rsidRPr="0077700D" w:rsidRDefault="004E3FDC" w:rsidP="00450B7A">
            <w:pPr>
              <w:widowControl w:val="0"/>
              <w:spacing w:after="0" w:line="240" w:lineRule="auto"/>
              <w:jc w:val="center"/>
              <w:rPr>
                <w:rFonts w:ascii="Cambria" w:eastAsia="Times New Roman" w:hAnsi="Cambria"/>
                <w:bCs/>
                <w:lang w:val="hr-HR"/>
              </w:rPr>
            </w:pPr>
            <w:r w:rsidRPr="0077700D">
              <w:rPr>
                <w:rFonts w:ascii="Cambria" w:eastAsia="Times New Roman" w:hAnsi="Cambria"/>
                <w:bCs/>
                <w:lang w:val="hr-HR"/>
              </w:rPr>
              <w:t>4</w:t>
            </w:r>
          </w:p>
        </w:tc>
      </w:tr>
      <w:tr w:rsidR="004E3FDC" w:rsidRPr="0077700D" w14:paraId="59CB5460" w14:textId="77777777" w:rsidTr="00450B7A">
        <w:trPr>
          <w:cantSplit/>
          <w:jc w:val="center"/>
        </w:trPr>
        <w:tc>
          <w:tcPr>
            <w:tcW w:w="1525" w:type="pct"/>
            <w:tcBorders>
              <w:top w:val="single" w:sz="2" w:space="0" w:color="auto"/>
              <w:left w:val="single" w:sz="2" w:space="0" w:color="auto"/>
              <w:bottom w:val="single" w:sz="2" w:space="0" w:color="auto"/>
              <w:right w:val="single" w:sz="2" w:space="0" w:color="auto"/>
            </w:tcBorders>
            <w:vAlign w:val="center"/>
            <w:hideMark/>
          </w:tcPr>
          <w:p w14:paraId="3C3D1207" w14:textId="77777777" w:rsidR="004E3FDC" w:rsidRPr="0077700D" w:rsidRDefault="004E3FDC" w:rsidP="00450B7A">
            <w:pPr>
              <w:widowControl w:val="0"/>
              <w:spacing w:after="0" w:line="240" w:lineRule="auto"/>
              <w:rPr>
                <w:rFonts w:ascii="Cambria" w:eastAsia="Times New Roman" w:hAnsi="Cambria"/>
                <w:b/>
                <w:lang w:val="hr-HR"/>
              </w:rPr>
            </w:pPr>
            <w:r w:rsidRPr="0077700D">
              <w:rPr>
                <w:rFonts w:ascii="Cambria" w:eastAsia="Times New Roman" w:hAnsi="Cambria"/>
                <w:b/>
                <w:lang w:val="hr-HR"/>
              </w:rPr>
              <w:t>96503</w:t>
            </w:r>
          </w:p>
          <w:p w14:paraId="0DE969DE" w14:textId="77777777" w:rsidR="004E3FDC" w:rsidRPr="0077700D" w:rsidRDefault="004E3FDC" w:rsidP="00450B7A">
            <w:pPr>
              <w:spacing w:after="0" w:line="240" w:lineRule="auto"/>
              <w:rPr>
                <w:rFonts w:ascii="Cambria" w:eastAsia="Times New Roman" w:hAnsi="Cambria"/>
                <w:lang w:val="hr-HR"/>
              </w:rPr>
            </w:pPr>
            <w:r w:rsidRPr="0077700D">
              <w:rPr>
                <w:rFonts w:ascii="Cambria" w:eastAsia="Times New Roman" w:hAnsi="Cambria"/>
                <w:lang w:val="hr-HR"/>
              </w:rPr>
              <w:t>Metodika likovne kulture I</w:t>
            </w:r>
          </w:p>
        </w:tc>
        <w:tc>
          <w:tcPr>
            <w:tcW w:w="1984" w:type="pct"/>
            <w:tcBorders>
              <w:top w:val="single" w:sz="2" w:space="0" w:color="auto"/>
              <w:left w:val="single" w:sz="2" w:space="0" w:color="auto"/>
              <w:bottom w:val="single" w:sz="2" w:space="0" w:color="auto"/>
              <w:right w:val="single" w:sz="2" w:space="0" w:color="auto"/>
            </w:tcBorders>
            <w:vAlign w:val="center"/>
            <w:hideMark/>
          </w:tcPr>
          <w:p w14:paraId="4E8F1C86" w14:textId="77777777" w:rsidR="004E3FDC" w:rsidRPr="0077700D" w:rsidRDefault="004E3FDC" w:rsidP="00450B7A">
            <w:pPr>
              <w:spacing w:after="0" w:line="240" w:lineRule="auto"/>
              <w:rPr>
                <w:rFonts w:ascii="Cambria" w:eastAsia="Times New Roman" w:hAnsi="Cambria"/>
                <w:lang w:val="hr-HR"/>
              </w:rPr>
            </w:pPr>
            <w:r w:rsidRPr="0077700D">
              <w:rPr>
                <w:rFonts w:ascii="Cambria" w:eastAsia="Times New Roman" w:hAnsi="Cambria"/>
                <w:lang w:val="hr-HR"/>
              </w:rPr>
              <w:t xml:space="preserve">izv. prof. art. Aleksandra </w:t>
            </w:r>
            <w:proofErr w:type="spellStart"/>
            <w:r w:rsidRPr="0077700D">
              <w:rPr>
                <w:rFonts w:ascii="Cambria" w:eastAsia="Times New Roman" w:hAnsi="Cambria"/>
                <w:lang w:val="hr-HR"/>
              </w:rPr>
              <w:t>Rotar</w:t>
            </w:r>
            <w:proofErr w:type="spellEnd"/>
          </w:p>
        </w:tc>
        <w:tc>
          <w:tcPr>
            <w:tcW w:w="314" w:type="pct"/>
            <w:tcBorders>
              <w:top w:val="single" w:sz="2" w:space="0" w:color="auto"/>
              <w:left w:val="single" w:sz="2" w:space="0" w:color="auto"/>
              <w:bottom w:val="single" w:sz="2" w:space="0" w:color="auto"/>
              <w:right w:val="single" w:sz="2" w:space="0" w:color="auto"/>
            </w:tcBorders>
            <w:vAlign w:val="center"/>
            <w:hideMark/>
          </w:tcPr>
          <w:p w14:paraId="63462754" w14:textId="77777777" w:rsidR="004E3FDC" w:rsidRPr="0077700D" w:rsidRDefault="004E3FDC" w:rsidP="00450B7A">
            <w:pPr>
              <w:widowControl w:val="0"/>
              <w:spacing w:after="0" w:line="240" w:lineRule="auto"/>
              <w:jc w:val="center"/>
              <w:rPr>
                <w:rFonts w:ascii="Cambria" w:eastAsia="Times New Roman" w:hAnsi="Cambria"/>
                <w:lang w:val="hr-HR"/>
              </w:rPr>
            </w:pPr>
            <w:r w:rsidRPr="0077700D">
              <w:rPr>
                <w:rFonts w:ascii="Cambria" w:eastAsia="Times New Roman" w:hAnsi="Cambria"/>
                <w:lang w:val="hr-HR"/>
              </w:rPr>
              <w:t>30</w:t>
            </w:r>
          </w:p>
        </w:tc>
        <w:tc>
          <w:tcPr>
            <w:tcW w:w="314" w:type="pct"/>
            <w:tcBorders>
              <w:top w:val="single" w:sz="2" w:space="0" w:color="auto"/>
              <w:left w:val="single" w:sz="2" w:space="0" w:color="auto"/>
              <w:bottom w:val="single" w:sz="2" w:space="0" w:color="auto"/>
              <w:right w:val="single" w:sz="2" w:space="0" w:color="auto"/>
            </w:tcBorders>
            <w:vAlign w:val="center"/>
          </w:tcPr>
          <w:p w14:paraId="155FBBE0" w14:textId="77777777" w:rsidR="004E3FDC" w:rsidRPr="0077700D" w:rsidRDefault="004E3FDC" w:rsidP="00450B7A">
            <w:pPr>
              <w:widowControl w:val="0"/>
              <w:spacing w:after="0" w:line="240" w:lineRule="auto"/>
              <w:jc w:val="center"/>
              <w:rPr>
                <w:rFonts w:ascii="Cambria" w:eastAsia="Times New Roman" w:hAnsi="Cambria"/>
                <w:lang w:val="hr-HR"/>
              </w:rPr>
            </w:pPr>
            <w:r w:rsidRPr="0077700D">
              <w:rPr>
                <w:rFonts w:ascii="Cambria" w:eastAsia="Times New Roman" w:hAnsi="Cambria"/>
                <w:lang w:val="hr-HR"/>
              </w:rPr>
              <w:t>0</w:t>
            </w:r>
          </w:p>
        </w:tc>
        <w:tc>
          <w:tcPr>
            <w:tcW w:w="315" w:type="pct"/>
            <w:tcBorders>
              <w:top w:val="single" w:sz="2" w:space="0" w:color="auto"/>
              <w:left w:val="single" w:sz="2" w:space="0" w:color="auto"/>
              <w:bottom w:val="single" w:sz="2" w:space="0" w:color="auto"/>
              <w:right w:val="single" w:sz="2" w:space="0" w:color="auto"/>
            </w:tcBorders>
            <w:vAlign w:val="center"/>
            <w:hideMark/>
          </w:tcPr>
          <w:p w14:paraId="14B74B9B" w14:textId="77777777" w:rsidR="004E3FDC" w:rsidRPr="0077700D" w:rsidRDefault="004E3FDC" w:rsidP="00450B7A">
            <w:pPr>
              <w:widowControl w:val="0"/>
              <w:spacing w:after="0" w:line="240" w:lineRule="auto"/>
              <w:jc w:val="center"/>
              <w:rPr>
                <w:rFonts w:ascii="Cambria" w:eastAsia="Times New Roman" w:hAnsi="Cambria"/>
                <w:lang w:val="hr-HR"/>
              </w:rPr>
            </w:pPr>
            <w:r w:rsidRPr="0077700D">
              <w:rPr>
                <w:rFonts w:ascii="Cambria" w:eastAsia="Times New Roman" w:hAnsi="Cambria"/>
                <w:lang w:val="hr-HR"/>
              </w:rPr>
              <w:t>15</w:t>
            </w:r>
          </w:p>
        </w:tc>
        <w:tc>
          <w:tcPr>
            <w:tcW w:w="548" w:type="pct"/>
            <w:tcBorders>
              <w:top w:val="single" w:sz="2" w:space="0" w:color="auto"/>
              <w:left w:val="single" w:sz="2" w:space="0" w:color="auto"/>
              <w:bottom w:val="single" w:sz="2" w:space="0" w:color="auto"/>
              <w:right w:val="single" w:sz="2" w:space="0" w:color="auto"/>
            </w:tcBorders>
            <w:vAlign w:val="center"/>
            <w:hideMark/>
          </w:tcPr>
          <w:p w14:paraId="56DC3ADF" w14:textId="77777777" w:rsidR="004E3FDC" w:rsidRPr="0077700D" w:rsidRDefault="004E3FDC" w:rsidP="00450B7A">
            <w:pPr>
              <w:widowControl w:val="0"/>
              <w:spacing w:after="0" w:line="240" w:lineRule="auto"/>
              <w:jc w:val="center"/>
              <w:rPr>
                <w:rFonts w:ascii="Cambria" w:eastAsia="Times New Roman" w:hAnsi="Cambria"/>
                <w:bCs/>
                <w:lang w:val="hr-HR"/>
              </w:rPr>
            </w:pPr>
            <w:r w:rsidRPr="0077700D">
              <w:rPr>
                <w:rFonts w:ascii="Cambria" w:eastAsia="Times New Roman" w:hAnsi="Cambria"/>
                <w:bCs/>
                <w:lang w:val="hr-HR"/>
              </w:rPr>
              <w:t>4</w:t>
            </w:r>
          </w:p>
        </w:tc>
      </w:tr>
      <w:tr w:rsidR="004E3FDC" w:rsidRPr="0077700D" w14:paraId="0B81D170" w14:textId="77777777" w:rsidTr="00450B7A">
        <w:trPr>
          <w:cantSplit/>
          <w:jc w:val="center"/>
        </w:trPr>
        <w:tc>
          <w:tcPr>
            <w:tcW w:w="1525" w:type="pct"/>
            <w:tcBorders>
              <w:top w:val="single" w:sz="2" w:space="0" w:color="auto"/>
              <w:left w:val="single" w:sz="2" w:space="0" w:color="auto"/>
              <w:bottom w:val="single" w:sz="2" w:space="0" w:color="auto"/>
              <w:right w:val="single" w:sz="2" w:space="0" w:color="auto"/>
            </w:tcBorders>
            <w:vAlign w:val="center"/>
            <w:hideMark/>
          </w:tcPr>
          <w:p w14:paraId="6870DF22" w14:textId="77777777" w:rsidR="004E3FDC" w:rsidRPr="0077700D" w:rsidRDefault="004E3FDC" w:rsidP="00450B7A">
            <w:pPr>
              <w:widowControl w:val="0"/>
              <w:spacing w:after="0" w:line="240" w:lineRule="auto"/>
              <w:rPr>
                <w:rFonts w:ascii="Cambria" w:eastAsia="Times New Roman" w:hAnsi="Cambria"/>
                <w:b/>
                <w:lang w:val="hr-HR"/>
              </w:rPr>
            </w:pPr>
            <w:r w:rsidRPr="0077700D">
              <w:rPr>
                <w:rFonts w:ascii="Cambria" w:eastAsia="Times New Roman" w:hAnsi="Cambria"/>
                <w:b/>
                <w:lang w:val="hr-HR"/>
              </w:rPr>
              <w:t>96504</w:t>
            </w:r>
          </w:p>
          <w:p w14:paraId="4D2D09A5" w14:textId="77777777" w:rsidR="004E3FDC" w:rsidRPr="0077700D" w:rsidRDefault="004E3FDC" w:rsidP="00450B7A">
            <w:pPr>
              <w:spacing w:after="0" w:line="240" w:lineRule="auto"/>
              <w:rPr>
                <w:rFonts w:ascii="Cambria" w:eastAsia="Times New Roman" w:hAnsi="Cambria"/>
                <w:lang w:val="hr-HR"/>
              </w:rPr>
            </w:pPr>
            <w:r w:rsidRPr="0077700D">
              <w:rPr>
                <w:rFonts w:ascii="Cambria" w:eastAsia="Times New Roman" w:hAnsi="Cambria"/>
                <w:lang w:val="hr-HR"/>
              </w:rPr>
              <w:t>Programiranje rada razrednika</w:t>
            </w:r>
          </w:p>
        </w:tc>
        <w:tc>
          <w:tcPr>
            <w:tcW w:w="1984" w:type="pct"/>
            <w:tcBorders>
              <w:top w:val="single" w:sz="2" w:space="0" w:color="auto"/>
              <w:left w:val="single" w:sz="2" w:space="0" w:color="auto"/>
              <w:bottom w:val="single" w:sz="2" w:space="0" w:color="auto"/>
              <w:right w:val="single" w:sz="2" w:space="0" w:color="auto"/>
            </w:tcBorders>
            <w:vAlign w:val="center"/>
            <w:hideMark/>
          </w:tcPr>
          <w:p w14:paraId="53D7E72A" w14:textId="77777777" w:rsidR="004E3FDC" w:rsidRPr="0077700D" w:rsidRDefault="004E3FDC" w:rsidP="00450B7A">
            <w:pPr>
              <w:spacing w:after="0" w:line="240" w:lineRule="auto"/>
              <w:rPr>
                <w:rFonts w:ascii="Cambria" w:eastAsia="Times New Roman" w:hAnsi="Cambria"/>
                <w:strike/>
                <w:highlight w:val="yellow"/>
                <w:lang w:val="hr-HR"/>
              </w:rPr>
            </w:pPr>
          </w:p>
          <w:p w14:paraId="1CCC2980" w14:textId="77777777" w:rsidR="004E3FDC" w:rsidRPr="0077700D" w:rsidRDefault="004E3FDC" w:rsidP="00450B7A">
            <w:pPr>
              <w:spacing w:after="0" w:line="240" w:lineRule="auto"/>
              <w:rPr>
                <w:rFonts w:ascii="Cambria" w:eastAsia="Times New Roman" w:hAnsi="Cambria"/>
                <w:lang w:val="hr-HR"/>
              </w:rPr>
            </w:pPr>
            <w:r w:rsidRPr="0077700D">
              <w:rPr>
                <w:rFonts w:ascii="Cambria" w:eastAsia="Times New Roman" w:hAnsi="Cambria"/>
                <w:lang w:val="hr-HR"/>
              </w:rPr>
              <w:t xml:space="preserve">izv. prof. dr. sc. Sandra </w:t>
            </w:r>
            <w:proofErr w:type="spellStart"/>
            <w:r w:rsidRPr="0077700D">
              <w:rPr>
                <w:rFonts w:ascii="Cambria" w:eastAsia="Times New Roman" w:hAnsi="Cambria"/>
                <w:lang w:val="hr-HR"/>
              </w:rPr>
              <w:t>Kadum</w:t>
            </w:r>
            <w:proofErr w:type="spellEnd"/>
          </w:p>
        </w:tc>
        <w:tc>
          <w:tcPr>
            <w:tcW w:w="314" w:type="pct"/>
            <w:tcBorders>
              <w:top w:val="single" w:sz="2" w:space="0" w:color="auto"/>
              <w:left w:val="single" w:sz="2" w:space="0" w:color="auto"/>
              <w:bottom w:val="single" w:sz="2" w:space="0" w:color="auto"/>
              <w:right w:val="single" w:sz="2" w:space="0" w:color="auto"/>
            </w:tcBorders>
            <w:vAlign w:val="center"/>
            <w:hideMark/>
          </w:tcPr>
          <w:p w14:paraId="5F60D4E9" w14:textId="77777777" w:rsidR="004E3FDC" w:rsidRPr="0077700D" w:rsidRDefault="004E3FDC" w:rsidP="00450B7A">
            <w:pPr>
              <w:widowControl w:val="0"/>
              <w:spacing w:after="0" w:line="240" w:lineRule="auto"/>
              <w:jc w:val="center"/>
              <w:rPr>
                <w:rFonts w:ascii="Cambria" w:eastAsia="Times New Roman" w:hAnsi="Cambria"/>
                <w:lang w:val="hr-HR"/>
              </w:rPr>
            </w:pPr>
            <w:r w:rsidRPr="0077700D">
              <w:rPr>
                <w:rFonts w:ascii="Cambria" w:eastAsia="Times New Roman" w:hAnsi="Cambria"/>
                <w:lang w:val="hr-HR"/>
              </w:rPr>
              <w:t>15</w:t>
            </w:r>
          </w:p>
        </w:tc>
        <w:tc>
          <w:tcPr>
            <w:tcW w:w="314" w:type="pct"/>
            <w:tcBorders>
              <w:top w:val="single" w:sz="2" w:space="0" w:color="auto"/>
              <w:left w:val="single" w:sz="2" w:space="0" w:color="auto"/>
              <w:bottom w:val="single" w:sz="2" w:space="0" w:color="auto"/>
              <w:right w:val="single" w:sz="2" w:space="0" w:color="auto"/>
            </w:tcBorders>
            <w:vAlign w:val="center"/>
          </w:tcPr>
          <w:p w14:paraId="20D4DE71" w14:textId="77777777" w:rsidR="004E3FDC" w:rsidRPr="0077700D" w:rsidRDefault="004E3FDC" w:rsidP="00450B7A">
            <w:pPr>
              <w:widowControl w:val="0"/>
              <w:spacing w:after="0" w:line="240" w:lineRule="auto"/>
              <w:jc w:val="center"/>
              <w:rPr>
                <w:rFonts w:ascii="Cambria" w:eastAsia="Times New Roman" w:hAnsi="Cambria"/>
                <w:lang w:val="hr-HR"/>
              </w:rPr>
            </w:pPr>
            <w:r w:rsidRPr="0077700D">
              <w:rPr>
                <w:rFonts w:ascii="Cambria" w:eastAsia="Times New Roman" w:hAnsi="Cambria"/>
                <w:lang w:val="hr-HR"/>
              </w:rPr>
              <w:t>0</w:t>
            </w:r>
          </w:p>
        </w:tc>
        <w:tc>
          <w:tcPr>
            <w:tcW w:w="315" w:type="pct"/>
            <w:tcBorders>
              <w:top w:val="single" w:sz="2" w:space="0" w:color="auto"/>
              <w:left w:val="single" w:sz="2" w:space="0" w:color="auto"/>
              <w:bottom w:val="single" w:sz="2" w:space="0" w:color="auto"/>
              <w:right w:val="single" w:sz="2" w:space="0" w:color="auto"/>
            </w:tcBorders>
            <w:vAlign w:val="center"/>
            <w:hideMark/>
          </w:tcPr>
          <w:p w14:paraId="216648D4" w14:textId="77777777" w:rsidR="004E3FDC" w:rsidRPr="0077700D" w:rsidRDefault="004E3FDC" w:rsidP="00450B7A">
            <w:pPr>
              <w:widowControl w:val="0"/>
              <w:spacing w:after="0" w:line="240" w:lineRule="auto"/>
              <w:jc w:val="center"/>
              <w:rPr>
                <w:rFonts w:ascii="Cambria" w:eastAsia="Times New Roman" w:hAnsi="Cambria"/>
                <w:lang w:val="hr-HR"/>
              </w:rPr>
            </w:pPr>
            <w:r w:rsidRPr="0077700D">
              <w:rPr>
                <w:rFonts w:ascii="Cambria" w:eastAsia="Times New Roman" w:hAnsi="Cambria"/>
                <w:lang w:val="hr-HR"/>
              </w:rPr>
              <w:t>15</w:t>
            </w:r>
          </w:p>
        </w:tc>
        <w:tc>
          <w:tcPr>
            <w:tcW w:w="548" w:type="pct"/>
            <w:tcBorders>
              <w:top w:val="single" w:sz="2" w:space="0" w:color="auto"/>
              <w:left w:val="single" w:sz="2" w:space="0" w:color="auto"/>
              <w:bottom w:val="single" w:sz="2" w:space="0" w:color="auto"/>
              <w:right w:val="single" w:sz="2" w:space="0" w:color="auto"/>
            </w:tcBorders>
            <w:vAlign w:val="center"/>
            <w:hideMark/>
          </w:tcPr>
          <w:p w14:paraId="6C04B432" w14:textId="77777777" w:rsidR="004E3FDC" w:rsidRPr="0077700D" w:rsidRDefault="004E3FDC" w:rsidP="00450B7A">
            <w:pPr>
              <w:widowControl w:val="0"/>
              <w:spacing w:after="0" w:line="240" w:lineRule="auto"/>
              <w:jc w:val="center"/>
              <w:rPr>
                <w:rFonts w:ascii="Cambria" w:eastAsia="Times New Roman" w:hAnsi="Cambria"/>
                <w:bCs/>
                <w:lang w:val="hr-HR"/>
              </w:rPr>
            </w:pPr>
            <w:r w:rsidRPr="0077700D">
              <w:rPr>
                <w:rFonts w:ascii="Cambria" w:eastAsia="Times New Roman" w:hAnsi="Cambria"/>
                <w:bCs/>
                <w:lang w:val="hr-HR"/>
              </w:rPr>
              <w:t>2</w:t>
            </w:r>
          </w:p>
        </w:tc>
      </w:tr>
      <w:tr w:rsidR="004E3FDC" w:rsidRPr="0077700D" w14:paraId="7659236C" w14:textId="77777777" w:rsidTr="00450B7A">
        <w:trPr>
          <w:cantSplit/>
          <w:jc w:val="center"/>
        </w:trPr>
        <w:tc>
          <w:tcPr>
            <w:tcW w:w="1525" w:type="pct"/>
            <w:tcBorders>
              <w:top w:val="single" w:sz="2" w:space="0" w:color="auto"/>
              <w:left w:val="single" w:sz="2" w:space="0" w:color="auto"/>
              <w:bottom w:val="single" w:sz="2" w:space="0" w:color="auto"/>
              <w:right w:val="single" w:sz="2" w:space="0" w:color="auto"/>
            </w:tcBorders>
            <w:vAlign w:val="center"/>
            <w:hideMark/>
          </w:tcPr>
          <w:p w14:paraId="0E4C5F20" w14:textId="77777777" w:rsidR="004E3FDC" w:rsidRPr="0077700D" w:rsidRDefault="004E3FDC" w:rsidP="00450B7A">
            <w:pPr>
              <w:widowControl w:val="0"/>
              <w:spacing w:after="0" w:line="240" w:lineRule="auto"/>
              <w:rPr>
                <w:rFonts w:ascii="Cambria" w:eastAsia="Times New Roman" w:hAnsi="Cambria"/>
                <w:b/>
                <w:lang w:val="hr-HR"/>
              </w:rPr>
            </w:pPr>
            <w:r w:rsidRPr="0077700D">
              <w:rPr>
                <w:rFonts w:ascii="Cambria" w:eastAsia="Times New Roman" w:hAnsi="Cambria"/>
                <w:b/>
                <w:lang w:val="hr-HR"/>
              </w:rPr>
              <w:lastRenderedPageBreak/>
              <w:t>97830</w:t>
            </w:r>
          </w:p>
          <w:p w14:paraId="22EA1343" w14:textId="77777777" w:rsidR="004E3FDC" w:rsidRPr="0077700D" w:rsidRDefault="004E3FDC" w:rsidP="00450B7A">
            <w:pPr>
              <w:spacing w:after="0" w:line="240" w:lineRule="auto"/>
              <w:rPr>
                <w:rFonts w:ascii="Cambria" w:eastAsia="Times New Roman" w:hAnsi="Cambria"/>
                <w:lang w:val="hr-HR"/>
              </w:rPr>
            </w:pPr>
            <w:r w:rsidRPr="0077700D">
              <w:rPr>
                <w:rFonts w:ascii="Cambria" w:eastAsia="Times New Roman" w:hAnsi="Cambria"/>
                <w:lang w:val="hr-HR"/>
              </w:rPr>
              <w:t>Stručna praksa IV</w:t>
            </w:r>
          </w:p>
        </w:tc>
        <w:tc>
          <w:tcPr>
            <w:tcW w:w="1984" w:type="pct"/>
            <w:tcBorders>
              <w:top w:val="single" w:sz="2" w:space="0" w:color="auto"/>
              <w:left w:val="single" w:sz="2" w:space="0" w:color="auto"/>
              <w:bottom w:val="single" w:sz="2" w:space="0" w:color="auto"/>
              <w:right w:val="single" w:sz="2" w:space="0" w:color="auto"/>
            </w:tcBorders>
            <w:vAlign w:val="center"/>
            <w:hideMark/>
          </w:tcPr>
          <w:p w14:paraId="08F1B381" w14:textId="77777777" w:rsidR="004E3FDC" w:rsidRPr="0077700D" w:rsidRDefault="004E3FDC" w:rsidP="00450B7A">
            <w:pPr>
              <w:widowControl w:val="0"/>
              <w:spacing w:after="0" w:line="240" w:lineRule="auto"/>
              <w:rPr>
                <w:rFonts w:ascii="Cambria" w:eastAsia="Times New Roman" w:hAnsi="Cambria"/>
                <w:lang w:val="hr-HR"/>
              </w:rPr>
            </w:pPr>
            <w:r w:rsidRPr="0077700D">
              <w:rPr>
                <w:rFonts w:ascii="Cambria" w:eastAsia="Times New Roman" w:hAnsi="Cambria"/>
                <w:lang w:val="hr-HR"/>
              </w:rPr>
              <w:t>doc. dr. sc. Irena Kiss</w:t>
            </w:r>
          </w:p>
        </w:tc>
        <w:tc>
          <w:tcPr>
            <w:tcW w:w="943" w:type="pct"/>
            <w:gridSpan w:val="3"/>
            <w:tcBorders>
              <w:top w:val="single" w:sz="2" w:space="0" w:color="auto"/>
              <w:left w:val="single" w:sz="2" w:space="0" w:color="auto"/>
              <w:bottom w:val="single" w:sz="2" w:space="0" w:color="auto"/>
              <w:right w:val="single" w:sz="2" w:space="0" w:color="auto"/>
            </w:tcBorders>
            <w:vAlign w:val="center"/>
            <w:hideMark/>
          </w:tcPr>
          <w:p w14:paraId="3B801E40" w14:textId="77777777" w:rsidR="004E3FDC" w:rsidRPr="0077700D" w:rsidRDefault="004E3FDC" w:rsidP="00450B7A">
            <w:pPr>
              <w:widowControl w:val="0"/>
              <w:spacing w:after="0" w:line="240" w:lineRule="auto"/>
              <w:jc w:val="center"/>
              <w:rPr>
                <w:rFonts w:ascii="Cambria" w:eastAsia="Times New Roman" w:hAnsi="Cambria"/>
                <w:lang w:val="hr-HR"/>
              </w:rPr>
            </w:pPr>
            <w:r w:rsidRPr="0077700D">
              <w:rPr>
                <w:rFonts w:ascii="Cambria" w:eastAsia="Times New Roman" w:hAnsi="Cambria"/>
                <w:lang w:val="hr-HR"/>
              </w:rPr>
              <w:t xml:space="preserve">dva tjedna tijekom semestra </w:t>
            </w:r>
            <w:r>
              <w:rPr>
                <w:rFonts w:ascii="Cambria" w:eastAsia="Times New Roman" w:hAnsi="Cambria"/>
                <w:lang w:val="hr-HR"/>
              </w:rPr>
              <w:t>+</w:t>
            </w:r>
            <w:r w:rsidRPr="0077700D">
              <w:rPr>
                <w:rFonts w:ascii="Cambria" w:eastAsia="Times New Roman" w:hAnsi="Cambria"/>
                <w:lang w:val="hr-HR"/>
              </w:rPr>
              <w:t xml:space="preserve"> dva tjedna u veljači</w:t>
            </w:r>
            <w:r>
              <w:rPr>
                <w:rFonts w:ascii="Cambria" w:eastAsia="Times New Roman" w:hAnsi="Cambria"/>
                <w:lang w:val="hr-HR"/>
              </w:rPr>
              <w:t xml:space="preserve"> (100 sati)</w:t>
            </w:r>
          </w:p>
        </w:tc>
        <w:tc>
          <w:tcPr>
            <w:tcW w:w="548" w:type="pct"/>
            <w:tcBorders>
              <w:top w:val="single" w:sz="2" w:space="0" w:color="auto"/>
              <w:left w:val="single" w:sz="2" w:space="0" w:color="auto"/>
              <w:bottom w:val="single" w:sz="2" w:space="0" w:color="auto"/>
              <w:right w:val="single" w:sz="2" w:space="0" w:color="auto"/>
            </w:tcBorders>
            <w:vAlign w:val="center"/>
            <w:hideMark/>
          </w:tcPr>
          <w:p w14:paraId="3D15548B" w14:textId="77777777" w:rsidR="004E3FDC" w:rsidRPr="0077700D" w:rsidRDefault="004E3FDC" w:rsidP="00450B7A">
            <w:pPr>
              <w:widowControl w:val="0"/>
              <w:spacing w:after="0" w:line="240" w:lineRule="auto"/>
              <w:jc w:val="center"/>
              <w:rPr>
                <w:rFonts w:ascii="Cambria" w:eastAsia="Times New Roman" w:hAnsi="Cambria"/>
                <w:bCs/>
                <w:lang w:val="hr-HR"/>
              </w:rPr>
            </w:pPr>
            <w:r w:rsidRPr="0077700D">
              <w:rPr>
                <w:rFonts w:ascii="Cambria" w:eastAsia="Times New Roman" w:hAnsi="Cambria"/>
                <w:bCs/>
                <w:lang w:val="hr-HR"/>
              </w:rPr>
              <w:t>3</w:t>
            </w:r>
          </w:p>
        </w:tc>
      </w:tr>
      <w:tr w:rsidR="004E3FDC" w:rsidRPr="0077700D" w14:paraId="7600AFAB" w14:textId="77777777" w:rsidTr="00450B7A">
        <w:trPr>
          <w:cantSplit/>
          <w:jc w:val="center"/>
        </w:trPr>
        <w:tc>
          <w:tcPr>
            <w:tcW w:w="1525" w:type="pct"/>
            <w:tcBorders>
              <w:top w:val="single" w:sz="2" w:space="0" w:color="auto"/>
              <w:left w:val="single" w:sz="2" w:space="0" w:color="auto"/>
              <w:bottom w:val="single" w:sz="2" w:space="0" w:color="auto"/>
              <w:right w:val="single" w:sz="2" w:space="0" w:color="auto"/>
            </w:tcBorders>
            <w:vAlign w:val="center"/>
            <w:hideMark/>
          </w:tcPr>
          <w:p w14:paraId="54B0D8A6" w14:textId="77777777" w:rsidR="004E3FDC" w:rsidRPr="0077700D" w:rsidRDefault="004E3FDC" w:rsidP="00450B7A">
            <w:pPr>
              <w:spacing w:after="0" w:line="240" w:lineRule="auto"/>
              <w:rPr>
                <w:rFonts w:ascii="Cambria" w:eastAsia="Times New Roman" w:hAnsi="Cambria"/>
                <w:lang w:val="hr-HR"/>
              </w:rPr>
            </w:pPr>
            <w:r w:rsidRPr="0077700D">
              <w:rPr>
                <w:rFonts w:ascii="Cambria" w:eastAsia="Times New Roman" w:hAnsi="Cambria"/>
                <w:lang w:val="hr-HR"/>
              </w:rPr>
              <w:t>Izborni modul I</w:t>
            </w:r>
          </w:p>
        </w:tc>
        <w:tc>
          <w:tcPr>
            <w:tcW w:w="1984" w:type="pct"/>
            <w:tcBorders>
              <w:top w:val="single" w:sz="2" w:space="0" w:color="auto"/>
              <w:left w:val="single" w:sz="2" w:space="0" w:color="auto"/>
              <w:bottom w:val="single" w:sz="2" w:space="0" w:color="auto"/>
              <w:right w:val="single" w:sz="2" w:space="0" w:color="auto"/>
            </w:tcBorders>
            <w:vAlign w:val="center"/>
          </w:tcPr>
          <w:p w14:paraId="1F74403C" w14:textId="77777777" w:rsidR="004E3FDC" w:rsidRPr="0077700D" w:rsidRDefault="004E3FDC" w:rsidP="00450B7A">
            <w:pPr>
              <w:widowControl w:val="0"/>
              <w:spacing w:after="0" w:line="240" w:lineRule="auto"/>
              <w:rPr>
                <w:rFonts w:ascii="Cambria" w:eastAsia="Times New Roman" w:hAnsi="Cambria"/>
                <w:lang w:val="hr-HR"/>
              </w:rPr>
            </w:pPr>
          </w:p>
        </w:tc>
        <w:tc>
          <w:tcPr>
            <w:tcW w:w="314" w:type="pct"/>
            <w:tcBorders>
              <w:top w:val="single" w:sz="2" w:space="0" w:color="auto"/>
              <w:left w:val="single" w:sz="2" w:space="0" w:color="auto"/>
              <w:bottom w:val="single" w:sz="2" w:space="0" w:color="auto"/>
              <w:right w:val="single" w:sz="2" w:space="0" w:color="auto"/>
            </w:tcBorders>
            <w:vAlign w:val="center"/>
          </w:tcPr>
          <w:p w14:paraId="49D0EECD" w14:textId="77777777" w:rsidR="004E3FDC" w:rsidRPr="0077700D" w:rsidRDefault="004E3FDC" w:rsidP="00450B7A">
            <w:pPr>
              <w:widowControl w:val="0"/>
              <w:spacing w:after="0" w:line="240" w:lineRule="auto"/>
              <w:jc w:val="center"/>
              <w:rPr>
                <w:rFonts w:ascii="Cambria" w:eastAsia="Times New Roman" w:hAnsi="Cambria"/>
                <w:lang w:val="hr-HR"/>
              </w:rPr>
            </w:pPr>
          </w:p>
        </w:tc>
        <w:tc>
          <w:tcPr>
            <w:tcW w:w="314" w:type="pct"/>
            <w:tcBorders>
              <w:top w:val="single" w:sz="2" w:space="0" w:color="auto"/>
              <w:left w:val="single" w:sz="2" w:space="0" w:color="auto"/>
              <w:bottom w:val="single" w:sz="2" w:space="0" w:color="auto"/>
              <w:right w:val="single" w:sz="2" w:space="0" w:color="auto"/>
            </w:tcBorders>
            <w:vAlign w:val="center"/>
          </w:tcPr>
          <w:p w14:paraId="6F66005E" w14:textId="77777777" w:rsidR="004E3FDC" w:rsidRPr="0077700D" w:rsidRDefault="004E3FDC" w:rsidP="00450B7A">
            <w:pPr>
              <w:widowControl w:val="0"/>
              <w:spacing w:after="0" w:line="240" w:lineRule="auto"/>
              <w:jc w:val="center"/>
              <w:rPr>
                <w:rFonts w:ascii="Cambria" w:eastAsia="Times New Roman" w:hAnsi="Cambria"/>
                <w:lang w:val="hr-HR"/>
              </w:rPr>
            </w:pPr>
          </w:p>
        </w:tc>
        <w:tc>
          <w:tcPr>
            <w:tcW w:w="315" w:type="pct"/>
            <w:tcBorders>
              <w:top w:val="single" w:sz="2" w:space="0" w:color="auto"/>
              <w:left w:val="single" w:sz="2" w:space="0" w:color="auto"/>
              <w:bottom w:val="single" w:sz="2" w:space="0" w:color="auto"/>
              <w:right w:val="single" w:sz="2" w:space="0" w:color="auto"/>
            </w:tcBorders>
            <w:vAlign w:val="center"/>
          </w:tcPr>
          <w:p w14:paraId="37290472" w14:textId="77777777" w:rsidR="004E3FDC" w:rsidRPr="0077700D" w:rsidRDefault="004E3FDC" w:rsidP="00450B7A">
            <w:pPr>
              <w:widowControl w:val="0"/>
              <w:spacing w:after="0" w:line="240" w:lineRule="auto"/>
              <w:jc w:val="center"/>
              <w:rPr>
                <w:rFonts w:ascii="Cambria" w:eastAsia="Times New Roman" w:hAnsi="Cambria"/>
                <w:lang w:val="hr-HR"/>
              </w:rPr>
            </w:pPr>
          </w:p>
        </w:tc>
        <w:tc>
          <w:tcPr>
            <w:tcW w:w="548" w:type="pct"/>
            <w:tcBorders>
              <w:top w:val="single" w:sz="2" w:space="0" w:color="auto"/>
              <w:left w:val="single" w:sz="2" w:space="0" w:color="auto"/>
              <w:bottom w:val="single" w:sz="2" w:space="0" w:color="auto"/>
              <w:right w:val="single" w:sz="2" w:space="0" w:color="auto"/>
            </w:tcBorders>
            <w:vAlign w:val="center"/>
            <w:hideMark/>
          </w:tcPr>
          <w:p w14:paraId="3B9C4B47" w14:textId="77777777" w:rsidR="004E3FDC" w:rsidRPr="0077700D" w:rsidRDefault="004E3FDC" w:rsidP="00450B7A">
            <w:pPr>
              <w:widowControl w:val="0"/>
              <w:spacing w:after="0" w:line="240" w:lineRule="auto"/>
              <w:jc w:val="center"/>
              <w:rPr>
                <w:rFonts w:ascii="Cambria" w:eastAsia="Times New Roman" w:hAnsi="Cambria"/>
                <w:bCs/>
                <w:lang w:val="hr-HR"/>
              </w:rPr>
            </w:pPr>
            <w:r w:rsidRPr="0077700D">
              <w:rPr>
                <w:rFonts w:ascii="Cambria" w:eastAsia="Times New Roman" w:hAnsi="Cambria"/>
                <w:bCs/>
                <w:lang w:val="hr-HR"/>
              </w:rPr>
              <w:t>7</w:t>
            </w:r>
          </w:p>
        </w:tc>
      </w:tr>
      <w:tr w:rsidR="004E3FDC" w:rsidRPr="0077700D" w14:paraId="14040BE8" w14:textId="77777777" w:rsidTr="00450B7A">
        <w:trPr>
          <w:cantSplit/>
          <w:jc w:val="center"/>
        </w:trPr>
        <w:tc>
          <w:tcPr>
            <w:tcW w:w="1525" w:type="pct"/>
            <w:tcBorders>
              <w:top w:val="single" w:sz="2" w:space="0" w:color="auto"/>
              <w:left w:val="single" w:sz="2" w:space="0" w:color="auto"/>
              <w:bottom w:val="single" w:sz="2" w:space="0" w:color="auto"/>
              <w:right w:val="single" w:sz="2" w:space="0" w:color="auto"/>
            </w:tcBorders>
            <w:vAlign w:val="center"/>
            <w:hideMark/>
          </w:tcPr>
          <w:p w14:paraId="13601AE6" w14:textId="77777777" w:rsidR="004E3FDC" w:rsidRPr="0077700D" w:rsidRDefault="004E3FDC" w:rsidP="00450B7A">
            <w:pPr>
              <w:spacing w:after="0" w:line="240" w:lineRule="auto"/>
              <w:rPr>
                <w:rFonts w:ascii="Cambria" w:eastAsia="Times New Roman" w:hAnsi="Cambria"/>
                <w:lang w:val="hr-HR"/>
              </w:rPr>
            </w:pPr>
            <w:r w:rsidRPr="0077700D">
              <w:rPr>
                <w:rFonts w:ascii="Cambria" w:eastAsia="Times New Roman" w:hAnsi="Cambria"/>
                <w:lang w:val="hr-HR"/>
              </w:rPr>
              <w:t>Izborni modul II</w:t>
            </w:r>
          </w:p>
        </w:tc>
        <w:tc>
          <w:tcPr>
            <w:tcW w:w="1984" w:type="pct"/>
            <w:tcBorders>
              <w:top w:val="single" w:sz="2" w:space="0" w:color="auto"/>
              <w:left w:val="single" w:sz="2" w:space="0" w:color="auto"/>
              <w:bottom w:val="single" w:sz="2" w:space="0" w:color="auto"/>
              <w:right w:val="single" w:sz="2" w:space="0" w:color="auto"/>
            </w:tcBorders>
            <w:vAlign w:val="center"/>
          </w:tcPr>
          <w:p w14:paraId="68F4B30F" w14:textId="77777777" w:rsidR="004E3FDC" w:rsidRPr="0077700D" w:rsidRDefault="004E3FDC" w:rsidP="00450B7A">
            <w:pPr>
              <w:widowControl w:val="0"/>
              <w:spacing w:after="0" w:line="240" w:lineRule="auto"/>
              <w:rPr>
                <w:rFonts w:ascii="Cambria" w:eastAsia="Times New Roman" w:hAnsi="Cambria"/>
                <w:lang w:val="hr-HR"/>
              </w:rPr>
            </w:pPr>
          </w:p>
        </w:tc>
        <w:tc>
          <w:tcPr>
            <w:tcW w:w="314" w:type="pct"/>
            <w:tcBorders>
              <w:top w:val="single" w:sz="2" w:space="0" w:color="auto"/>
              <w:left w:val="single" w:sz="2" w:space="0" w:color="auto"/>
              <w:bottom w:val="single" w:sz="2" w:space="0" w:color="auto"/>
              <w:right w:val="single" w:sz="2" w:space="0" w:color="auto"/>
            </w:tcBorders>
            <w:vAlign w:val="center"/>
          </w:tcPr>
          <w:p w14:paraId="0E86278F" w14:textId="77777777" w:rsidR="004E3FDC" w:rsidRPr="0077700D" w:rsidRDefault="004E3FDC" w:rsidP="00450B7A">
            <w:pPr>
              <w:widowControl w:val="0"/>
              <w:spacing w:after="0" w:line="240" w:lineRule="auto"/>
              <w:jc w:val="center"/>
              <w:rPr>
                <w:rFonts w:ascii="Cambria" w:eastAsia="Times New Roman" w:hAnsi="Cambria"/>
                <w:lang w:val="hr-HR"/>
              </w:rPr>
            </w:pPr>
          </w:p>
        </w:tc>
        <w:tc>
          <w:tcPr>
            <w:tcW w:w="314" w:type="pct"/>
            <w:tcBorders>
              <w:top w:val="single" w:sz="2" w:space="0" w:color="auto"/>
              <w:left w:val="single" w:sz="2" w:space="0" w:color="auto"/>
              <w:bottom w:val="single" w:sz="2" w:space="0" w:color="auto"/>
              <w:right w:val="single" w:sz="2" w:space="0" w:color="auto"/>
            </w:tcBorders>
            <w:vAlign w:val="center"/>
          </w:tcPr>
          <w:p w14:paraId="4BA85C02" w14:textId="77777777" w:rsidR="004E3FDC" w:rsidRPr="0077700D" w:rsidRDefault="004E3FDC" w:rsidP="00450B7A">
            <w:pPr>
              <w:widowControl w:val="0"/>
              <w:spacing w:after="0" w:line="240" w:lineRule="auto"/>
              <w:jc w:val="center"/>
              <w:rPr>
                <w:rFonts w:ascii="Cambria" w:eastAsia="Times New Roman" w:hAnsi="Cambria"/>
                <w:lang w:val="hr-HR"/>
              </w:rPr>
            </w:pPr>
          </w:p>
        </w:tc>
        <w:tc>
          <w:tcPr>
            <w:tcW w:w="315" w:type="pct"/>
            <w:tcBorders>
              <w:top w:val="single" w:sz="2" w:space="0" w:color="auto"/>
              <w:left w:val="single" w:sz="2" w:space="0" w:color="auto"/>
              <w:bottom w:val="single" w:sz="2" w:space="0" w:color="auto"/>
              <w:right w:val="single" w:sz="2" w:space="0" w:color="auto"/>
            </w:tcBorders>
            <w:vAlign w:val="center"/>
          </w:tcPr>
          <w:p w14:paraId="14DEA85F" w14:textId="77777777" w:rsidR="004E3FDC" w:rsidRPr="0077700D" w:rsidRDefault="004E3FDC" w:rsidP="00450B7A">
            <w:pPr>
              <w:widowControl w:val="0"/>
              <w:spacing w:after="0" w:line="240" w:lineRule="auto"/>
              <w:jc w:val="center"/>
              <w:rPr>
                <w:rFonts w:ascii="Cambria" w:eastAsia="Times New Roman" w:hAnsi="Cambria"/>
                <w:lang w:val="hr-HR"/>
              </w:rPr>
            </w:pPr>
          </w:p>
        </w:tc>
        <w:tc>
          <w:tcPr>
            <w:tcW w:w="548" w:type="pct"/>
            <w:tcBorders>
              <w:top w:val="single" w:sz="2" w:space="0" w:color="auto"/>
              <w:left w:val="single" w:sz="2" w:space="0" w:color="auto"/>
              <w:bottom w:val="single" w:sz="2" w:space="0" w:color="auto"/>
              <w:right w:val="single" w:sz="2" w:space="0" w:color="auto"/>
            </w:tcBorders>
            <w:vAlign w:val="center"/>
            <w:hideMark/>
          </w:tcPr>
          <w:p w14:paraId="3CEE10B7" w14:textId="77777777" w:rsidR="004E3FDC" w:rsidRPr="0077700D" w:rsidRDefault="004E3FDC" w:rsidP="00450B7A">
            <w:pPr>
              <w:widowControl w:val="0"/>
              <w:spacing w:after="0" w:line="240" w:lineRule="auto"/>
              <w:jc w:val="center"/>
              <w:rPr>
                <w:rFonts w:ascii="Cambria" w:eastAsia="Times New Roman" w:hAnsi="Cambria"/>
                <w:bCs/>
                <w:lang w:val="hr-HR"/>
              </w:rPr>
            </w:pPr>
            <w:r w:rsidRPr="0077700D">
              <w:rPr>
                <w:rFonts w:ascii="Cambria" w:eastAsia="Times New Roman" w:hAnsi="Cambria"/>
                <w:bCs/>
                <w:lang w:val="hr-HR"/>
              </w:rPr>
              <w:t>7</w:t>
            </w:r>
          </w:p>
        </w:tc>
      </w:tr>
      <w:tr w:rsidR="004E3FDC" w:rsidRPr="0077700D" w14:paraId="5B346AD6" w14:textId="77777777" w:rsidTr="00450B7A">
        <w:trPr>
          <w:cantSplit/>
          <w:jc w:val="center"/>
        </w:trPr>
        <w:tc>
          <w:tcPr>
            <w:tcW w:w="1525" w:type="pct"/>
            <w:tcBorders>
              <w:top w:val="single" w:sz="2" w:space="0" w:color="auto"/>
              <w:left w:val="single" w:sz="2" w:space="0" w:color="auto"/>
              <w:bottom w:val="single" w:sz="2" w:space="0" w:color="auto"/>
              <w:right w:val="single" w:sz="2" w:space="0" w:color="auto"/>
            </w:tcBorders>
            <w:vAlign w:val="center"/>
            <w:hideMark/>
          </w:tcPr>
          <w:p w14:paraId="7A498B6F" w14:textId="77777777" w:rsidR="004E3FDC" w:rsidRPr="0077700D" w:rsidRDefault="004E3FDC" w:rsidP="00450B7A">
            <w:pPr>
              <w:widowControl w:val="0"/>
              <w:spacing w:after="0" w:line="240" w:lineRule="auto"/>
              <w:rPr>
                <w:rFonts w:ascii="Cambria" w:eastAsia="Times New Roman" w:hAnsi="Cambria"/>
                <w:b/>
                <w:lang w:val="hr-HR"/>
              </w:rPr>
            </w:pPr>
            <w:r w:rsidRPr="0077700D">
              <w:rPr>
                <w:rFonts w:ascii="Cambria" w:eastAsia="Times New Roman" w:hAnsi="Cambria"/>
                <w:b/>
                <w:lang w:val="hr-HR"/>
              </w:rPr>
              <w:t>Ukupno</w:t>
            </w:r>
          </w:p>
        </w:tc>
        <w:tc>
          <w:tcPr>
            <w:tcW w:w="1984" w:type="pct"/>
            <w:tcBorders>
              <w:top w:val="single" w:sz="2" w:space="0" w:color="auto"/>
              <w:left w:val="single" w:sz="2" w:space="0" w:color="auto"/>
              <w:bottom w:val="single" w:sz="2" w:space="0" w:color="auto"/>
              <w:right w:val="single" w:sz="2" w:space="0" w:color="auto"/>
            </w:tcBorders>
            <w:vAlign w:val="center"/>
          </w:tcPr>
          <w:p w14:paraId="72771E74" w14:textId="77777777" w:rsidR="004E3FDC" w:rsidRPr="0077700D" w:rsidRDefault="004E3FDC" w:rsidP="00450B7A">
            <w:pPr>
              <w:widowControl w:val="0"/>
              <w:spacing w:after="0" w:line="240" w:lineRule="auto"/>
              <w:rPr>
                <w:rFonts w:ascii="Cambria" w:eastAsia="Times New Roman" w:hAnsi="Cambria"/>
                <w:b/>
                <w:lang w:val="hr-HR"/>
              </w:rPr>
            </w:pPr>
          </w:p>
        </w:tc>
        <w:tc>
          <w:tcPr>
            <w:tcW w:w="314" w:type="pct"/>
            <w:tcBorders>
              <w:top w:val="single" w:sz="2" w:space="0" w:color="auto"/>
              <w:left w:val="single" w:sz="2" w:space="0" w:color="auto"/>
              <w:bottom w:val="single" w:sz="2" w:space="0" w:color="auto"/>
              <w:right w:val="single" w:sz="2" w:space="0" w:color="auto"/>
            </w:tcBorders>
            <w:vAlign w:val="center"/>
          </w:tcPr>
          <w:p w14:paraId="5ED82F2A" w14:textId="77777777" w:rsidR="004E3FDC" w:rsidRPr="0077700D" w:rsidRDefault="004E3FDC" w:rsidP="00450B7A">
            <w:pPr>
              <w:widowControl w:val="0"/>
              <w:spacing w:after="0" w:line="240" w:lineRule="auto"/>
              <w:jc w:val="center"/>
              <w:rPr>
                <w:rFonts w:ascii="Cambria" w:eastAsia="Times New Roman" w:hAnsi="Cambria"/>
                <w:b/>
                <w:lang w:val="hr-HR"/>
              </w:rPr>
            </w:pPr>
          </w:p>
        </w:tc>
        <w:tc>
          <w:tcPr>
            <w:tcW w:w="314" w:type="pct"/>
            <w:tcBorders>
              <w:top w:val="single" w:sz="2" w:space="0" w:color="auto"/>
              <w:left w:val="single" w:sz="2" w:space="0" w:color="auto"/>
              <w:bottom w:val="single" w:sz="2" w:space="0" w:color="auto"/>
              <w:right w:val="single" w:sz="2" w:space="0" w:color="auto"/>
            </w:tcBorders>
            <w:vAlign w:val="center"/>
          </w:tcPr>
          <w:p w14:paraId="2696552C" w14:textId="77777777" w:rsidR="004E3FDC" w:rsidRPr="0077700D" w:rsidRDefault="004E3FDC" w:rsidP="00450B7A">
            <w:pPr>
              <w:widowControl w:val="0"/>
              <w:spacing w:after="0" w:line="240" w:lineRule="auto"/>
              <w:jc w:val="center"/>
              <w:rPr>
                <w:rFonts w:ascii="Cambria" w:eastAsia="Times New Roman" w:hAnsi="Cambria"/>
                <w:b/>
                <w:lang w:val="hr-HR"/>
              </w:rPr>
            </w:pPr>
          </w:p>
        </w:tc>
        <w:tc>
          <w:tcPr>
            <w:tcW w:w="315" w:type="pct"/>
            <w:tcBorders>
              <w:top w:val="single" w:sz="2" w:space="0" w:color="auto"/>
              <w:left w:val="single" w:sz="2" w:space="0" w:color="auto"/>
              <w:bottom w:val="single" w:sz="2" w:space="0" w:color="auto"/>
              <w:right w:val="single" w:sz="2" w:space="0" w:color="auto"/>
            </w:tcBorders>
            <w:vAlign w:val="center"/>
          </w:tcPr>
          <w:p w14:paraId="704E3693" w14:textId="77777777" w:rsidR="004E3FDC" w:rsidRPr="0077700D" w:rsidRDefault="004E3FDC" w:rsidP="00450B7A">
            <w:pPr>
              <w:widowControl w:val="0"/>
              <w:spacing w:after="0" w:line="240" w:lineRule="auto"/>
              <w:jc w:val="center"/>
              <w:rPr>
                <w:rFonts w:ascii="Cambria" w:eastAsia="Times New Roman" w:hAnsi="Cambria"/>
                <w:b/>
                <w:lang w:val="hr-HR"/>
              </w:rPr>
            </w:pPr>
          </w:p>
        </w:tc>
        <w:tc>
          <w:tcPr>
            <w:tcW w:w="548" w:type="pct"/>
            <w:tcBorders>
              <w:top w:val="single" w:sz="2" w:space="0" w:color="auto"/>
              <w:left w:val="single" w:sz="2" w:space="0" w:color="auto"/>
              <w:bottom w:val="single" w:sz="2" w:space="0" w:color="auto"/>
              <w:right w:val="single" w:sz="2" w:space="0" w:color="auto"/>
            </w:tcBorders>
            <w:vAlign w:val="center"/>
            <w:hideMark/>
          </w:tcPr>
          <w:p w14:paraId="03908B16" w14:textId="77777777" w:rsidR="004E3FDC" w:rsidRPr="0077700D" w:rsidRDefault="004E3FDC" w:rsidP="00450B7A">
            <w:pPr>
              <w:widowControl w:val="0"/>
              <w:spacing w:after="0" w:line="240" w:lineRule="auto"/>
              <w:jc w:val="center"/>
              <w:rPr>
                <w:rFonts w:ascii="Cambria" w:eastAsia="Times New Roman" w:hAnsi="Cambria"/>
                <w:b/>
                <w:bCs/>
                <w:lang w:val="hr-HR"/>
              </w:rPr>
            </w:pPr>
            <w:r w:rsidRPr="0077700D">
              <w:rPr>
                <w:rFonts w:ascii="Cambria" w:eastAsia="Times New Roman" w:hAnsi="Cambria"/>
                <w:b/>
                <w:bCs/>
                <w:lang w:val="hr-HR"/>
              </w:rPr>
              <w:t>30</w:t>
            </w:r>
          </w:p>
        </w:tc>
      </w:tr>
    </w:tbl>
    <w:p w14:paraId="04F37527" w14:textId="77777777" w:rsidR="004E3FDC" w:rsidRPr="0077700D" w:rsidRDefault="004E3FDC" w:rsidP="004E3FDC">
      <w:pPr>
        <w:spacing w:after="0" w:line="240" w:lineRule="auto"/>
        <w:rPr>
          <w:rFonts w:ascii="Cambria" w:eastAsia="Times New Roman" w:hAnsi="Cambria"/>
          <w:lang w:val="hr-HR"/>
        </w:rPr>
      </w:pPr>
    </w:p>
    <w:tbl>
      <w:tblPr>
        <w:tblW w:w="4884"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000"/>
        <w:gridCol w:w="4036"/>
        <w:gridCol w:w="610"/>
        <w:gridCol w:w="610"/>
        <w:gridCol w:w="696"/>
        <w:gridCol w:w="849"/>
      </w:tblGrid>
      <w:tr w:rsidR="004E3FDC" w:rsidRPr="0077700D" w14:paraId="1DCF5ED2" w14:textId="77777777" w:rsidTr="00450B7A">
        <w:trPr>
          <w:cantSplit/>
          <w:jc w:val="center"/>
        </w:trPr>
        <w:tc>
          <w:tcPr>
            <w:tcW w:w="5000" w:type="pct"/>
            <w:gridSpan w:val="6"/>
            <w:tcBorders>
              <w:top w:val="single" w:sz="2" w:space="0" w:color="auto"/>
              <w:left w:val="single" w:sz="2" w:space="0" w:color="auto"/>
              <w:bottom w:val="single" w:sz="2" w:space="0" w:color="auto"/>
              <w:right w:val="single" w:sz="2" w:space="0" w:color="auto"/>
            </w:tcBorders>
            <w:vAlign w:val="center"/>
            <w:hideMark/>
          </w:tcPr>
          <w:p w14:paraId="0AE211BE" w14:textId="77777777" w:rsidR="004E3FDC" w:rsidRPr="0077700D" w:rsidRDefault="004E3FDC" w:rsidP="00450B7A">
            <w:pPr>
              <w:widowControl w:val="0"/>
              <w:spacing w:after="0" w:line="240" w:lineRule="auto"/>
              <w:jc w:val="center"/>
              <w:rPr>
                <w:rFonts w:ascii="Cambria" w:eastAsia="Times New Roman" w:hAnsi="Cambria"/>
                <w:b/>
                <w:lang w:val="hr-HR"/>
              </w:rPr>
            </w:pPr>
            <w:r w:rsidRPr="0077700D">
              <w:rPr>
                <w:rFonts w:ascii="Cambria" w:eastAsia="Times New Roman" w:hAnsi="Cambria"/>
                <w:b/>
                <w:lang w:val="hr-HR"/>
              </w:rPr>
              <w:t>Izborni moduli</w:t>
            </w:r>
          </w:p>
        </w:tc>
      </w:tr>
      <w:tr w:rsidR="004E3FDC" w:rsidRPr="0077700D" w14:paraId="59E9FA72" w14:textId="77777777" w:rsidTr="00450B7A">
        <w:trPr>
          <w:cantSplit/>
          <w:jc w:val="center"/>
        </w:trPr>
        <w:tc>
          <w:tcPr>
            <w:tcW w:w="1531" w:type="pct"/>
            <w:tcBorders>
              <w:top w:val="single" w:sz="2" w:space="0" w:color="auto"/>
              <w:left w:val="single" w:sz="2" w:space="0" w:color="auto"/>
              <w:bottom w:val="single" w:sz="2" w:space="0" w:color="auto"/>
              <w:right w:val="single" w:sz="2" w:space="0" w:color="auto"/>
            </w:tcBorders>
            <w:vAlign w:val="center"/>
            <w:hideMark/>
          </w:tcPr>
          <w:p w14:paraId="37756BFE" w14:textId="77777777" w:rsidR="004E3FDC" w:rsidRPr="0077700D" w:rsidRDefault="004E3FDC" w:rsidP="00450B7A">
            <w:pPr>
              <w:widowControl w:val="0"/>
              <w:spacing w:after="0" w:line="240" w:lineRule="auto"/>
              <w:rPr>
                <w:rFonts w:ascii="Cambria" w:eastAsia="Times New Roman" w:hAnsi="Cambria"/>
                <w:b/>
                <w:lang w:val="hr-HR"/>
              </w:rPr>
            </w:pPr>
            <w:r w:rsidRPr="0077700D">
              <w:rPr>
                <w:rFonts w:ascii="Cambria" w:eastAsia="Times New Roman" w:hAnsi="Cambria"/>
                <w:b/>
                <w:lang w:val="hr-HR"/>
              </w:rPr>
              <w:t>Izborni modul I: 8217</w:t>
            </w:r>
          </w:p>
        </w:tc>
        <w:tc>
          <w:tcPr>
            <w:tcW w:w="2059" w:type="pct"/>
            <w:tcBorders>
              <w:top w:val="single" w:sz="2" w:space="0" w:color="auto"/>
              <w:left w:val="single" w:sz="2" w:space="0" w:color="auto"/>
              <w:bottom w:val="single" w:sz="2" w:space="0" w:color="auto"/>
              <w:right w:val="single" w:sz="2" w:space="0" w:color="auto"/>
            </w:tcBorders>
            <w:vAlign w:val="center"/>
            <w:hideMark/>
          </w:tcPr>
          <w:p w14:paraId="2EBCB09D" w14:textId="77777777" w:rsidR="004E3FDC" w:rsidRPr="0077700D" w:rsidRDefault="004E3FDC" w:rsidP="00450B7A">
            <w:pPr>
              <w:widowControl w:val="0"/>
              <w:spacing w:after="0" w:line="240" w:lineRule="auto"/>
              <w:rPr>
                <w:rFonts w:ascii="Cambria" w:eastAsia="Times New Roman" w:hAnsi="Cambria"/>
                <w:b/>
                <w:lang w:val="hr-HR"/>
              </w:rPr>
            </w:pPr>
            <w:r w:rsidRPr="0077700D">
              <w:rPr>
                <w:rFonts w:ascii="Cambria" w:eastAsia="Times New Roman" w:hAnsi="Cambria"/>
                <w:b/>
                <w:lang w:val="hr-HR"/>
              </w:rPr>
              <w:t>Nastavnik/</w:t>
            </w:r>
            <w:proofErr w:type="spellStart"/>
            <w:r w:rsidRPr="0077700D">
              <w:rPr>
                <w:rFonts w:ascii="Cambria" w:eastAsia="Times New Roman" w:hAnsi="Cambria"/>
                <w:b/>
                <w:lang w:val="hr-HR"/>
              </w:rPr>
              <w:t>ica</w:t>
            </w:r>
            <w:proofErr w:type="spellEnd"/>
          </w:p>
        </w:tc>
        <w:tc>
          <w:tcPr>
            <w:tcW w:w="311" w:type="pct"/>
            <w:tcBorders>
              <w:top w:val="single" w:sz="2" w:space="0" w:color="auto"/>
              <w:left w:val="single" w:sz="2" w:space="0" w:color="auto"/>
              <w:bottom w:val="single" w:sz="2" w:space="0" w:color="auto"/>
              <w:right w:val="single" w:sz="2" w:space="0" w:color="auto"/>
            </w:tcBorders>
            <w:vAlign w:val="center"/>
            <w:hideMark/>
          </w:tcPr>
          <w:p w14:paraId="17D03980" w14:textId="77777777" w:rsidR="004E3FDC" w:rsidRPr="0077700D" w:rsidRDefault="004E3FDC" w:rsidP="00450B7A">
            <w:pPr>
              <w:spacing w:after="0" w:line="240" w:lineRule="auto"/>
              <w:jc w:val="center"/>
              <w:rPr>
                <w:rFonts w:ascii="Cambria" w:eastAsia="Times New Roman" w:hAnsi="Cambria"/>
                <w:b/>
                <w:bCs/>
                <w:caps/>
                <w:lang w:val="hr-HR"/>
              </w:rPr>
            </w:pPr>
            <w:bookmarkStart w:id="80" w:name="_Toc208904385"/>
            <w:bookmarkStart w:id="81" w:name="_Toc209340489"/>
            <w:bookmarkStart w:id="82" w:name="_Toc209420867"/>
            <w:bookmarkStart w:id="83" w:name="_Toc209421248"/>
            <w:bookmarkStart w:id="84" w:name="_Toc209789842"/>
            <w:r w:rsidRPr="0077700D">
              <w:rPr>
                <w:rFonts w:ascii="Cambria" w:eastAsia="Times New Roman" w:hAnsi="Cambria"/>
                <w:b/>
                <w:bCs/>
                <w:caps/>
                <w:lang w:val="hr-HR"/>
              </w:rPr>
              <w:t>P</w:t>
            </w:r>
            <w:bookmarkEnd w:id="80"/>
            <w:bookmarkEnd w:id="81"/>
            <w:bookmarkEnd w:id="82"/>
            <w:bookmarkEnd w:id="83"/>
            <w:bookmarkEnd w:id="84"/>
          </w:p>
        </w:tc>
        <w:tc>
          <w:tcPr>
            <w:tcW w:w="311" w:type="pct"/>
            <w:tcBorders>
              <w:top w:val="single" w:sz="2" w:space="0" w:color="auto"/>
              <w:left w:val="single" w:sz="2" w:space="0" w:color="auto"/>
              <w:bottom w:val="single" w:sz="2" w:space="0" w:color="auto"/>
              <w:right w:val="single" w:sz="2" w:space="0" w:color="auto"/>
            </w:tcBorders>
            <w:vAlign w:val="center"/>
          </w:tcPr>
          <w:p w14:paraId="2A3A9B66" w14:textId="77777777" w:rsidR="004E3FDC" w:rsidRPr="0077700D" w:rsidRDefault="004E3FDC" w:rsidP="00450B7A">
            <w:pPr>
              <w:spacing w:after="0" w:line="240" w:lineRule="auto"/>
              <w:jc w:val="center"/>
              <w:rPr>
                <w:rFonts w:ascii="Cambria" w:eastAsia="Times New Roman" w:hAnsi="Cambria"/>
                <w:b/>
                <w:bCs/>
                <w:caps/>
                <w:lang w:val="hr-HR"/>
              </w:rPr>
            </w:pPr>
            <w:r w:rsidRPr="0077700D">
              <w:rPr>
                <w:rFonts w:ascii="Cambria" w:eastAsia="Times New Roman" w:hAnsi="Cambria"/>
                <w:b/>
                <w:bCs/>
                <w:caps/>
                <w:lang w:val="hr-HR"/>
              </w:rPr>
              <w:t>S</w:t>
            </w:r>
          </w:p>
        </w:tc>
        <w:tc>
          <w:tcPr>
            <w:tcW w:w="355" w:type="pct"/>
            <w:tcBorders>
              <w:top w:val="single" w:sz="2" w:space="0" w:color="auto"/>
              <w:left w:val="single" w:sz="2" w:space="0" w:color="auto"/>
              <w:bottom w:val="single" w:sz="2" w:space="0" w:color="auto"/>
              <w:right w:val="single" w:sz="2" w:space="0" w:color="auto"/>
            </w:tcBorders>
            <w:vAlign w:val="center"/>
            <w:hideMark/>
          </w:tcPr>
          <w:p w14:paraId="25685EDD" w14:textId="77777777" w:rsidR="004E3FDC" w:rsidRPr="0077700D" w:rsidRDefault="004E3FDC" w:rsidP="00450B7A">
            <w:pPr>
              <w:spacing w:after="0" w:line="240" w:lineRule="auto"/>
              <w:jc w:val="center"/>
              <w:rPr>
                <w:rFonts w:ascii="Cambria" w:eastAsia="Times New Roman" w:hAnsi="Cambria"/>
                <w:b/>
                <w:bCs/>
                <w:caps/>
                <w:lang w:val="hr-HR"/>
              </w:rPr>
            </w:pPr>
            <w:r w:rsidRPr="0077700D">
              <w:rPr>
                <w:rFonts w:ascii="Cambria" w:eastAsia="Times New Roman" w:hAnsi="Cambria"/>
                <w:b/>
                <w:bCs/>
                <w:caps/>
                <w:lang w:val="hr-HR"/>
              </w:rPr>
              <w:t>V</w:t>
            </w:r>
          </w:p>
        </w:tc>
        <w:tc>
          <w:tcPr>
            <w:tcW w:w="433" w:type="pct"/>
            <w:tcBorders>
              <w:top w:val="single" w:sz="2" w:space="0" w:color="auto"/>
              <w:left w:val="single" w:sz="2" w:space="0" w:color="auto"/>
              <w:bottom w:val="single" w:sz="2" w:space="0" w:color="auto"/>
              <w:right w:val="single" w:sz="2" w:space="0" w:color="auto"/>
            </w:tcBorders>
            <w:vAlign w:val="center"/>
            <w:hideMark/>
          </w:tcPr>
          <w:p w14:paraId="300C10B7" w14:textId="77777777" w:rsidR="004E3FDC" w:rsidRPr="0077700D" w:rsidRDefault="004E3FDC" w:rsidP="00450B7A">
            <w:pPr>
              <w:spacing w:after="0" w:line="240" w:lineRule="auto"/>
              <w:jc w:val="center"/>
              <w:rPr>
                <w:rFonts w:ascii="Cambria" w:eastAsia="Times New Roman" w:hAnsi="Cambria"/>
                <w:b/>
                <w:bCs/>
                <w:caps/>
                <w:lang w:val="hr-HR"/>
              </w:rPr>
            </w:pPr>
            <w:r w:rsidRPr="0077700D">
              <w:rPr>
                <w:rFonts w:ascii="Cambria" w:eastAsia="Times New Roman" w:hAnsi="Cambria"/>
                <w:b/>
                <w:bCs/>
                <w:caps/>
                <w:lang w:val="hr-HR"/>
              </w:rPr>
              <w:t>ECTS</w:t>
            </w:r>
          </w:p>
        </w:tc>
      </w:tr>
      <w:tr w:rsidR="004E3FDC" w:rsidRPr="0077700D" w14:paraId="5F25BCA3" w14:textId="77777777" w:rsidTr="00450B7A">
        <w:trPr>
          <w:cantSplit/>
          <w:jc w:val="center"/>
        </w:trPr>
        <w:tc>
          <w:tcPr>
            <w:tcW w:w="1531" w:type="pct"/>
            <w:tcBorders>
              <w:top w:val="single" w:sz="2" w:space="0" w:color="auto"/>
              <w:left w:val="single" w:sz="2" w:space="0" w:color="auto"/>
              <w:bottom w:val="single" w:sz="2" w:space="0" w:color="auto"/>
              <w:right w:val="single" w:sz="2" w:space="0" w:color="auto"/>
            </w:tcBorders>
            <w:vAlign w:val="center"/>
            <w:hideMark/>
          </w:tcPr>
          <w:p w14:paraId="0039C993" w14:textId="77777777" w:rsidR="004E3FDC" w:rsidRPr="0077700D" w:rsidRDefault="004E3FDC" w:rsidP="00450B7A">
            <w:pPr>
              <w:spacing w:before="20" w:after="20" w:line="240" w:lineRule="auto"/>
              <w:rPr>
                <w:rFonts w:ascii="Cambria" w:eastAsia="Times New Roman" w:hAnsi="Cambria"/>
                <w:b/>
                <w:lang w:val="hr-HR"/>
              </w:rPr>
            </w:pPr>
            <w:r w:rsidRPr="0077700D">
              <w:rPr>
                <w:rFonts w:ascii="Cambria" w:eastAsia="Times New Roman" w:hAnsi="Cambria"/>
                <w:b/>
                <w:lang w:val="hr-HR"/>
              </w:rPr>
              <w:t>169171</w:t>
            </w:r>
          </w:p>
          <w:p w14:paraId="43F6BDEE" w14:textId="77777777" w:rsidR="004E3FDC" w:rsidRPr="0077700D" w:rsidRDefault="004E3FDC" w:rsidP="00450B7A">
            <w:pPr>
              <w:spacing w:after="0" w:line="240" w:lineRule="auto"/>
              <w:rPr>
                <w:rFonts w:ascii="Cambria" w:eastAsia="Times New Roman" w:hAnsi="Cambria"/>
                <w:lang w:val="hr-HR"/>
              </w:rPr>
            </w:pPr>
            <w:r w:rsidRPr="0077700D">
              <w:rPr>
                <w:rFonts w:ascii="Cambria" w:eastAsia="Times New Roman" w:hAnsi="Cambria"/>
                <w:lang w:val="hr-HR"/>
              </w:rPr>
              <w:t>Suvremeni engleski jezik IV</w:t>
            </w:r>
          </w:p>
        </w:tc>
        <w:tc>
          <w:tcPr>
            <w:tcW w:w="2059" w:type="pct"/>
            <w:tcBorders>
              <w:top w:val="single" w:sz="2" w:space="0" w:color="auto"/>
              <w:left w:val="single" w:sz="2" w:space="0" w:color="auto"/>
              <w:bottom w:val="single" w:sz="2" w:space="0" w:color="auto"/>
              <w:right w:val="single" w:sz="2" w:space="0" w:color="auto"/>
            </w:tcBorders>
            <w:vAlign w:val="center"/>
            <w:hideMark/>
          </w:tcPr>
          <w:p w14:paraId="6BE12FC6" w14:textId="77777777" w:rsidR="004E3FDC" w:rsidRPr="0077700D" w:rsidRDefault="004E3FDC" w:rsidP="00450B7A">
            <w:pPr>
              <w:spacing w:after="0" w:line="240" w:lineRule="auto"/>
              <w:rPr>
                <w:rFonts w:ascii="Cambria" w:eastAsia="Times New Roman" w:hAnsi="Cambria"/>
                <w:lang w:val="hr-HR"/>
              </w:rPr>
            </w:pPr>
            <w:r w:rsidRPr="0077700D">
              <w:rPr>
                <w:rFonts w:ascii="Cambria" w:eastAsia="Times New Roman" w:hAnsi="Cambria"/>
                <w:lang w:val="hr-HR"/>
              </w:rPr>
              <w:t>naslovna prof. dr. sc. Silva</w:t>
            </w:r>
          </w:p>
          <w:p w14:paraId="38F29EC4" w14:textId="77777777" w:rsidR="004E3FDC" w:rsidRPr="0077700D" w:rsidRDefault="004E3FDC" w:rsidP="00450B7A">
            <w:pPr>
              <w:spacing w:after="0" w:line="240" w:lineRule="auto"/>
              <w:rPr>
                <w:rFonts w:ascii="Cambria" w:eastAsia="Times New Roman" w:hAnsi="Cambria"/>
                <w:lang w:val="hr-HR"/>
              </w:rPr>
            </w:pPr>
            <w:proofErr w:type="spellStart"/>
            <w:r w:rsidRPr="0077700D">
              <w:rPr>
                <w:rFonts w:ascii="Cambria" w:eastAsia="Times New Roman" w:hAnsi="Cambria"/>
                <w:lang w:val="hr-HR"/>
              </w:rPr>
              <w:t>Bratož</w:t>
            </w:r>
            <w:proofErr w:type="spellEnd"/>
          </w:p>
          <w:p w14:paraId="4EC184F7" w14:textId="77777777" w:rsidR="004E3FDC" w:rsidRPr="0077700D" w:rsidRDefault="004E3FDC" w:rsidP="00450B7A">
            <w:pPr>
              <w:widowControl w:val="0"/>
              <w:spacing w:after="0" w:line="240" w:lineRule="auto"/>
              <w:rPr>
                <w:rFonts w:ascii="Cambria" w:eastAsia="Times New Roman" w:hAnsi="Cambria"/>
                <w:lang w:val="hr-HR"/>
              </w:rPr>
            </w:pPr>
            <w:r w:rsidRPr="00671B0E">
              <w:rPr>
                <w:rFonts w:ascii="Cambria" w:eastAsia="Times New Roman" w:hAnsi="Cambria"/>
                <w:lang w:val="hr-HR"/>
              </w:rPr>
              <w:t xml:space="preserve">Ivan </w:t>
            </w:r>
            <w:proofErr w:type="spellStart"/>
            <w:r w:rsidRPr="00671B0E">
              <w:rPr>
                <w:rFonts w:ascii="Cambria" w:eastAsia="Times New Roman" w:hAnsi="Cambria"/>
                <w:lang w:val="hr-HR"/>
              </w:rPr>
              <w:t>Žufić</w:t>
            </w:r>
            <w:proofErr w:type="spellEnd"/>
            <w:r w:rsidRPr="00671B0E">
              <w:rPr>
                <w:rFonts w:ascii="Cambria" w:eastAsia="Times New Roman" w:hAnsi="Cambria"/>
                <w:lang w:val="hr-HR"/>
              </w:rPr>
              <w:t>, naslovni pred.</w:t>
            </w:r>
          </w:p>
        </w:tc>
        <w:tc>
          <w:tcPr>
            <w:tcW w:w="311" w:type="pct"/>
            <w:tcBorders>
              <w:top w:val="single" w:sz="2" w:space="0" w:color="auto"/>
              <w:left w:val="single" w:sz="2" w:space="0" w:color="auto"/>
              <w:bottom w:val="single" w:sz="2" w:space="0" w:color="auto"/>
              <w:right w:val="single" w:sz="2" w:space="0" w:color="auto"/>
            </w:tcBorders>
            <w:vAlign w:val="center"/>
            <w:hideMark/>
          </w:tcPr>
          <w:p w14:paraId="7116E7AC"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15</w:t>
            </w:r>
          </w:p>
        </w:tc>
        <w:tc>
          <w:tcPr>
            <w:tcW w:w="311" w:type="pct"/>
            <w:tcBorders>
              <w:top w:val="single" w:sz="2" w:space="0" w:color="auto"/>
              <w:left w:val="single" w:sz="2" w:space="0" w:color="auto"/>
              <w:bottom w:val="single" w:sz="2" w:space="0" w:color="auto"/>
              <w:right w:val="single" w:sz="2" w:space="0" w:color="auto"/>
            </w:tcBorders>
            <w:vAlign w:val="center"/>
          </w:tcPr>
          <w:p w14:paraId="16C29990"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0</w:t>
            </w:r>
          </w:p>
        </w:tc>
        <w:tc>
          <w:tcPr>
            <w:tcW w:w="355" w:type="pct"/>
            <w:tcBorders>
              <w:top w:val="single" w:sz="2" w:space="0" w:color="auto"/>
              <w:left w:val="single" w:sz="2" w:space="0" w:color="auto"/>
              <w:bottom w:val="single" w:sz="2" w:space="0" w:color="auto"/>
              <w:right w:val="single" w:sz="2" w:space="0" w:color="auto"/>
            </w:tcBorders>
            <w:vAlign w:val="center"/>
            <w:hideMark/>
          </w:tcPr>
          <w:p w14:paraId="4289E854"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30</w:t>
            </w:r>
          </w:p>
        </w:tc>
        <w:tc>
          <w:tcPr>
            <w:tcW w:w="433" w:type="pct"/>
            <w:tcBorders>
              <w:top w:val="single" w:sz="2" w:space="0" w:color="auto"/>
              <w:left w:val="single" w:sz="2" w:space="0" w:color="auto"/>
              <w:bottom w:val="single" w:sz="2" w:space="0" w:color="auto"/>
              <w:right w:val="single" w:sz="2" w:space="0" w:color="auto"/>
            </w:tcBorders>
            <w:vAlign w:val="center"/>
            <w:hideMark/>
          </w:tcPr>
          <w:p w14:paraId="3FA2AF24" w14:textId="77777777" w:rsidR="004E3FDC" w:rsidRPr="0077700D" w:rsidRDefault="004E3FDC" w:rsidP="00450B7A">
            <w:pPr>
              <w:spacing w:after="0" w:line="240" w:lineRule="auto"/>
              <w:jc w:val="center"/>
              <w:rPr>
                <w:rFonts w:ascii="Cambria" w:eastAsia="Times New Roman" w:hAnsi="Cambria"/>
                <w:bCs/>
                <w:lang w:val="hr-HR"/>
              </w:rPr>
            </w:pPr>
            <w:r w:rsidRPr="0077700D">
              <w:rPr>
                <w:rFonts w:ascii="Cambria" w:eastAsia="Times New Roman" w:hAnsi="Cambria"/>
                <w:bCs/>
                <w:lang w:val="hr-HR"/>
              </w:rPr>
              <w:t>2</w:t>
            </w:r>
          </w:p>
        </w:tc>
      </w:tr>
      <w:tr w:rsidR="004E3FDC" w:rsidRPr="0077700D" w14:paraId="169622A3" w14:textId="77777777" w:rsidTr="00450B7A">
        <w:trPr>
          <w:cantSplit/>
          <w:trHeight w:val="440"/>
          <w:jc w:val="center"/>
        </w:trPr>
        <w:tc>
          <w:tcPr>
            <w:tcW w:w="1531" w:type="pct"/>
            <w:tcBorders>
              <w:top w:val="single" w:sz="2" w:space="0" w:color="auto"/>
              <w:left w:val="single" w:sz="2" w:space="0" w:color="auto"/>
              <w:bottom w:val="single" w:sz="4" w:space="0" w:color="auto"/>
              <w:right w:val="single" w:sz="2" w:space="0" w:color="auto"/>
            </w:tcBorders>
            <w:vAlign w:val="center"/>
            <w:hideMark/>
          </w:tcPr>
          <w:p w14:paraId="45C29AC5" w14:textId="77777777" w:rsidR="004E3FDC" w:rsidRPr="0077700D" w:rsidRDefault="004E3FDC" w:rsidP="00450B7A">
            <w:pPr>
              <w:spacing w:before="20" w:after="20" w:line="240" w:lineRule="auto"/>
              <w:rPr>
                <w:rFonts w:ascii="Cambria" w:eastAsia="Times New Roman" w:hAnsi="Cambria"/>
                <w:b/>
                <w:lang w:val="hr-HR"/>
              </w:rPr>
            </w:pPr>
            <w:r w:rsidRPr="0077700D">
              <w:rPr>
                <w:rFonts w:ascii="Cambria" w:eastAsia="Times New Roman" w:hAnsi="Cambria"/>
                <w:b/>
                <w:lang w:val="hr-HR"/>
              </w:rPr>
              <w:t>96505</w:t>
            </w:r>
          </w:p>
          <w:p w14:paraId="55B86470" w14:textId="77777777" w:rsidR="004E3FDC" w:rsidRPr="0077700D" w:rsidRDefault="004E3FDC" w:rsidP="00450B7A">
            <w:pPr>
              <w:spacing w:after="0" w:line="240" w:lineRule="auto"/>
              <w:rPr>
                <w:rFonts w:ascii="Cambria" w:eastAsia="Times New Roman" w:hAnsi="Cambria"/>
                <w:lang w:val="hr-HR"/>
              </w:rPr>
            </w:pPr>
            <w:r w:rsidRPr="0077700D">
              <w:rPr>
                <w:rFonts w:ascii="Cambria" w:eastAsia="Times New Roman" w:hAnsi="Cambria"/>
                <w:lang w:val="hr-HR"/>
              </w:rPr>
              <w:t>Dječja književnost na engleskom jeziku I</w:t>
            </w:r>
          </w:p>
        </w:tc>
        <w:tc>
          <w:tcPr>
            <w:tcW w:w="2059" w:type="pct"/>
            <w:tcBorders>
              <w:top w:val="single" w:sz="2" w:space="0" w:color="auto"/>
              <w:left w:val="single" w:sz="2" w:space="0" w:color="auto"/>
              <w:bottom w:val="single" w:sz="4" w:space="0" w:color="auto"/>
              <w:right w:val="single" w:sz="2" w:space="0" w:color="auto"/>
            </w:tcBorders>
            <w:vAlign w:val="center"/>
            <w:hideMark/>
          </w:tcPr>
          <w:p w14:paraId="1DF1F39B" w14:textId="77777777" w:rsidR="004E3FDC" w:rsidRPr="0077700D" w:rsidRDefault="004E3FDC" w:rsidP="00450B7A">
            <w:pPr>
              <w:spacing w:after="0" w:line="240" w:lineRule="auto"/>
              <w:rPr>
                <w:rFonts w:ascii="Cambria" w:eastAsia="Times New Roman" w:hAnsi="Cambria"/>
                <w:lang w:val="hr-HR"/>
              </w:rPr>
            </w:pPr>
            <w:r w:rsidRPr="0077700D">
              <w:rPr>
                <w:rFonts w:ascii="Cambria" w:eastAsia="Times New Roman" w:hAnsi="Cambria"/>
                <w:lang w:val="hr-HR"/>
              </w:rPr>
              <w:t>naslovna doc. dr. sc. Ester Vidović</w:t>
            </w:r>
          </w:p>
        </w:tc>
        <w:tc>
          <w:tcPr>
            <w:tcW w:w="311" w:type="pct"/>
            <w:tcBorders>
              <w:top w:val="single" w:sz="2" w:space="0" w:color="auto"/>
              <w:left w:val="single" w:sz="2" w:space="0" w:color="auto"/>
              <w:bottom w:val="single" w:sz="4" w:space="0" w:color="auto"/>
              <w:right w:val="single" w:sz="2" w:space="0" w:color="auto"/>
            </w:tcBorders>
            <w:vAlign w:val="center"/>
            <w:hideMark/>
          </w:tcPr>
          <w:p w14:paraId="661B4FC2"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45</w:t>
            </w:r>
          </w:p>
        </w:tc>
        <w:tc>
          <w:tcPr>
            <w:tcW w:w="311" w:type="pct"/>
            <w:tcBorders>
              <w:top w:val="single" w:sz="2" w:space="0" w:color="auto"/>
              <w:left w:val="single" w:sz="2" w:space="0" w:color="auto"/>
              <w:bottom w:val="single" w:sz="4" w:space="0" w:color="auto"/>
              <w:right w:val="single" w:sz="2" w:space="0" w:color="auto"/>
            </w:tcBorders>
            <w:vAlign w:val="center"/>
          </w:tcPr>
          <w:p w14:paraId="40CFA622"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30</w:t>
            </w:r>
          </w:p>
        </w:tc>
        <w:tc>
          <w:tcPr>
            <w:tcW w:w="355" w:type="pct"/>
            <w:tcBorders>
              <w:top w:val="single" w:sz="2" w:space="0" w:color="auto"/>
              <w:left w:val="single" w:sz="2" w:space="0" w:color="auto"/>
              <w:bottom w:val="single" w:sz="4" w:space="0" w:color="auto"/>
              <w:right w:val="single" w:sz="2" w:space="0" w:color="auto"/>
            </w:tcBorders>
            <w:vAlign w:val="center"/>
            <w:hideMark/>
          </w:tcPr>
          <w:p w14:paraId="79254C53"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0</w:t>
            </w:r>
          </w:p>
        </w:tc>
        <w:tc>
          <w:tcPr>
            <w:tcW w:w="433" w:type="pct"/>
            <w:tcBorders>
              <w:top w:val="single" w:sz="2" w:space="0" w:color="auto"/>
              <w:left w:val="single" w:sz="2" w:space="0" w:color="auto"/>
              <w:bottom w:val="single" w:sz="4" w:space="0" w:color="auto"/>
              <w:right w:val="single" w:sz="2" w:space="0" w:color="auto"/>
            </w:tcBorders>
            <w:vAlign w:val="center"/>
            <w:hideMark/>
          </w:tcPr>
          <w:p w14:paraId="26EE1486" w14:textId="77777777" w:rsidR="004E3FDC" w:rsidRPr="0077700D" w:rsidRDefault="004E3FDC" w:rsidP="00450B7A">
            <w:pPr>
              <w:spacing w:after="0" w:line="240" w:lineRule="auto"/>
              <w:jc w:val="center"/>
              <w:rPr>
                <w:rFonts w:ascii="Cambria" w:eastAsia="Times New Roman" w:hAnsi="Cambria"/>
                <w:bCs/>
                <w:lang w:val="hr-HR"/>
              </w:rPr>
            </w:pPr>
            <w:r w:rsidRPr="0077700D">
              <w:rPr>
                <w:rFonts w:ascii="Cambria" w:eastAsia="Times New Roman" w:hAnsi="Cambria"/>
                <w:bCs/>
                <w:lang w:val="hr-HR"/>
              </w:rPr>
              <w:t>3</w:t>
            </w:r>
          </w:p>
        </w:tc>
      </w:tr>
      <w:tr w:rsidR="004E3FDC" w:rsidRPr="0077700D" w14:paraId="5DE5A2E7" w14:textId="77777777" w:rsidTr="00450B7A">
        <w:trPr>
          <w:cantSplit/>
          <w:trHeight w:val="75"/>
          <w:jc w:val="center"/>
        </w:trPr>
        <w:tc>
          <w:tcPr>
            <w:tcW w:w="1531" w:type="pct"/>
            <w:tcBorders>
              <w:top w:val="single" w:sz="4" w:space="0" w:color="auto"/>
              <w:left w:val="single" w:sz="4" w:space="0" w:color="auto"/>
              <w:bottom w:val="single" w:sz="4" w:space="0" w:color="auto"/>
              <w:right w:val="single" w:sz="2" w:space="0" w:color="auto"/>
            </w:tcBorders>
            <w:vAlign w:val="center"/>
            <w:hideMark/>
          </w:tcPr>
          <w:p w14:paraId="18BB8568" w14:textId="77777777" w:rsidR="004E3FDC" w:rsidRPr="0077700D" w:rsidRDefault="004E3FDC" w:rsidP="00450B7A">
            <w:pPr>
              <w:spacing w:before="20" w:after="20" w:line="240" w:lineRule="auto"/>
              <w:rPr>
                <w:rFonts w:ascii="Cambria" w:eastAsia="Times New Roman" w:hAnsi="Cambria"/>
                <w:b/>
                <w:lang w:val="hr-HR"/>
              </w:rPr>
            </w:pPr>
            <w:r w:rsidRPr="0077700D">
              <w:rPr>
                <w:rFonts w:ascii="Cambria" w:eastAsia="Times New Roman" w:hAnsi="Cambria"/>
                <w:b/>
                <w:lang w:val="hr-HR"/>
              </w:rPr>
              <w:t>169181</w:t>
            </w:r>
          </w:p>
          <w:p w14:paraId="6CF9B77A" w14:textId="77777777" w:rsidR="004E3FDC" w:rsidRPr="0077700D" w:rsidRDefault="004E3FDC" w:rsidP="00450B7A">
            <w:pPr>
              <w:spacing w:after="0" w:line="240" w:lineRule="auto"/>
              <w:rPr>
                <w:rFonts w:ascii="Cambria" w:eastAsia="Times New Roman" w:hAnsi="Cambria"/>
                <w:lang w:val="hr-HR"/>
              </w:rPr>
            </w:pPr>
            <w:r w:rsidRPr="0077700D">
              <w:rPr>
                <w:rFonts w:ascii="Cambria" w:eastAsia="Times New Roman" w:hAnsi="Cambria"/>
                <w:lang w:val="hr-HR"/>
              </w:rPr>
              <w:t>Govorne vježbe IV</w:t>
            </w:r>
          </w:p>
        </w:tc>
        <w:tc>
          <w:tcPr>
            <w:tcW w:w="2059" w:type="pct"/>
            <w:tcBorders>
              <w:top w:val="single" w:sz="4" w:space="0" w:color="auto"/>
              <w:left w:val="single" w:sz="2" w:space="0" w:color="auto"/>
              <w:bottom w:val="single" w:sz="4" w:space="0" w:color="auto"/>
              <w:right w:val="single" w:sz="2" w:space="0" w:color="auto"/>
            </w:tcBorders>
            <w:vAlign w:val="center"/>
          </w:tcPr>
          <w:p w14:paraId="4300B536" w14:textId="77777777" w:rsidR="004E3FDC" w:rsidRPr="0077700D" w:rsidRDefault="004E3FDC" w:rsidP="00450B7A">
            <w:pPr>
              <w:spacing w:after="0" w:line="240" w:lineRule="auto"/>
              <w:rPr>
                <w:rFonts w:ascii="Cambria" w:eastAsia="Times New Roman" w:hAnsi="Cambria"/>
                <w:lang w:val="hr-HR"/>
              </w:rPr>
            </w:pPr>
            <w:r w:rsidRPr="0077700D">
              <w:rPr>
                <w:rFonts w:ascii="Cambria" w:eastAsia="Times New Roman" w:hAnsi="Cambria"/>
                <w:lang w:val="hr-HR"/>
              </w:rPr>
              <w:t xml:space="preserve">prof. dr. sc. </w:t>
            </w:r>
            <w:proofErr w:type="spellStart"/>
            <w:r w:rsidRPr="0077700D">
              <w:rPr>
                <w:rFonts w:ascii="Cambria" w:eastAsia="Times New Roman" w:hAnsi="Cambria"/>
                <w:lang w:val="hr-HR"/>
              </w:rPr>
              <w:t>Moira</w:t>
            </w:r>
            <w:proofErr w:type="spellEnd"/>
            <w:r w:rsidRPr="0077700D">
              <w:rPr>
                <w:rFonts w:ascii="Cambria" w:eastAsia="Times New Roman" w:hAnsi="Cambria"/>
                <w:lang w:val="hr-HR"/>
              </w:rPr>
              <w:t xml:space="preserve"> Kostić </w:t>
            </w:r>
            <w:proofErr w:type="spellStart"/>
            <w:r w:rsidRPr="0077700D">
              <w:rPr>
                <w:rFonts w:ascii="Cambria" w:eastAsia="Times New Roman" w:hAnsi="Cambria"/>
                <w:lang w:val="hr-HR"/>
              </w:rPr>
              <w:t>Bobanović</w:t>
            </w:r>
            <w:proofErr w:type="spellEnd"/>
          </w:p>
          <w:p w14:paraId="0D34B60E" w14:textId="77777777" w:rsidR="004E3FDC" w:rsidRPr="0077700D" w:rsidRDefault="004E3FDC" w:rsidP="00450B7A">
            <w:pPr>
              <w:widowControl w:val="0"/>
              <w:spacing w:after="0" w:line="240" w:lineRule="auto"/>
              <w:rPr>
                <w:rFonts w:ascii="Cambria" w:eastAsia="Times New Roman" w:hAnsi="Cambria"/>
                <w:strike/>
                <w:lang w:val="hr-HR"/>
              </w:rPr>
            </w:pPr>
            <w:r w:rsidRPr="0077700D">
              <w:rPr>
                <w:rFonts w:ascii="Cambria" w:eastAsia="Times New Roman" w:hAnsi="Cambria"/>
                <w:lang w:val="hr-HR"/>
              </w:rPr>
              <w:t xml:space="preserve">Ivan </w:t>
            </w:r>
            <w:proofErr w:type="spellStart"/>
            <w:r w:rsidRPr="0077700D">
              <w:rPr>
                <w:rFonts w:ascii="Cambria" w:eastAsia="Times New Roman" w:hAnsi="Cambria"/>
                <w:lang w:val="hr-HR"/>
              </w:rPr>
              <w:t>Žufić</w:t>
            </w:r>
            <w:proofErr w:type="spellEnd"/>
            <w:r w:rsidRPr="0077700D">
              <w:rPr>
                <w:rFonts w:ascii="Cambria" w:eastAsia="Times New Roman" w:hAnsi="Cambria"/>
                <w:lang w:val="hr-HR"/>
              </w:rPr>
              <w:t>, naslovni pred.</w:t>
            </w:r>
          </w:p>
        </w:tc>
        <w:tc>
          <w:tcPr>
            <w:tcW w:w="311" w:type="pct"/>
            <w:tcBorders>
              <w:top w:val="single" w:sz="4" w:space="0" w:color="auto"/>
              <w:left w:val="single" w:sz="2" w:space="0" w:color="auto"/>
              <w:bottom w:val="single" w:sz="4" w:space="0" w:color="auto"/>
              <w:right w:val="single" w:sz="2" w:space="0" w:color="auto"/>
            </w:tcBorders>
            <w:vAlign w:val="center"/>
            <w:hideMark/>
          </w:tcPr>
          <w:p w14:paraId="3A38FDF8" w14:textId="77777777" w:rsidR="004E3FDC" w:rsidRPr="0077700D" w:rsidRDefault="004E3FDC" w:rsidP="00450B7A">
            <w:pPr>
              <w:tabs>
                <w:tab w:val="center" w:pos="4536"/>
                <w:tab w:val="right" w:pos="9072"/>
              </w:tabs>
              <w:spacing w:after="0" w:line="240" w:lineRule="auto"/>
              <w:jc w:val="center"/>
              <w:rPr>
                <w:rFonts w:ascii="Cambria" w:eastAsia="Times New Roman" w:hAnsi="Cambria"/>
                <w:lang w:val="hr-HR" w:eastAsia="hr-HR"/>
              </w:rPr>
            </w:pPr>
            <w:r w:rsidRPr="0077700D">
              <w:rPr>
                <w:rFonts w:ascii="Cambria" w:eastAsia="Times New Roman" w:hAnsi="Cambria"/>
                <w:lang w:val="hr-HR" w:eastAsia="hr-HR"/>
              </w:rPr>
              <w:t>0</w:t>
            </w:r>
          </w:p>
        </w:tc>
        <w:tc>
          <w:tcPr>
            <w:tcW w:w="311" w:type="pct"/>
            <w:tcBorders>
              <w:top w:val="single" w:sz="4" w:space="0" w:color="auto"/>
              <w:left w:val="single" w:sz="2" w:space="0" w:color="auto"/>
              <w:bottom w:val="single" w:sz="4" w:space="0" w:color="auto"/>
              <w:right w:val="single" w:sz="2" w:space="0" w:color="auto"/>
            </w:tcBorders>
            <w:vAlign w:val="center"/>
          </w:tcPr>
          <w:p w14:paraId="3773E67D" w14:textId="77777777" w:rsidR="004E3FDC" w:rsidRPr="0077700D" w:rsidRDefault="004E3FDC" w:rsidP="00450B7A">
            <w:pPr>
              <w:tabs>
                <w:tab w:val="center" w:pos="4536"/>
                <w:tab w:val="right" w:pos="9072"/>
              </w:tabs>
              <w:spacing w:after="0" w:line="240" w:lineRule="auto"/>
              <w:jc w:val="center"/>
              <w:rPr>
                <w:rFonts w:ascii="Cambria" w:eastAsia="Times New Roman" w:hAnsi="Cambria"/>
                <w:lang w:val="hr-HR" w:eastAsia="hr-HR"/>
              </w:rPr>
            </w:pPr>
            <w:r w:rsidRPr="0077700D">
              <w:rPr>
                <w:rFonts w:ascii="Cambria" w:eastAsia="Times New Roman" w:hAnsi="Cambria"/>
                <w:lang w:val="hr-HR" w:eastAsia="hr-HR"/>
              </w:rPr>
              <w:t>0</w:t>
            </w:r>
          </w:p>
        </w:tc>
        <w:tc>
          <w:tcPr>
            <w:tcW w:w="355" w:type="pct"/>
            <w:tcBorders>
              <w:top w:val="single" w:sz="4" w:space="0" w:color="auto"/>
              <w:left w:val="single" w:sz="2" w:space="0" w:color="auto"/>
              <w:bottom w:val="single" w:sz="4" w:space="0" w:color="auto"/>
              <w:right w:val="single" w:sz="2" w:space="0" w:color="auto"/>
            </w:tcBorders>
            <w:vAlign w:val="center"/>
            <w:hideMark/>
          </w:tcPr>
          <w:p w14:paraId="745E299D" w14:textId="77777777" w:rsidR="004E3FDC" w:rsidRPr="0077700D" w:rsidRDefault="004E3FDC" w:rsidP="00450B7A">
            <w:pPr>
              <w:tabs>
                <w:tab w:val="center" w:pos="4536"/>
                <w:tab w:val="right" w:pos="9072"/>
              </w:tabs>
              <w:spacing w:after="0" w:line="240" w:lineRule="auto"/>
              <w:jc w:val="center"/>
              <w:rPr>
                <w:rFonts w:ascii="Cambria" w:eastAsia="Times New Roman" w:hAnsi="Cambria"/>
                <w:lang w:val="hr-HR" w:eastAsia="hr-HR"/>
              </w:rPr>
            </w:pPr>
            <w:r w:rsidRPr="0077700D">
              <w:rPr>
                <w:rFonts w:ascii="Cambria" w:eastAsia="Times New Roman" w:hAnsi="Cambria"/>
                <w:lang w:val="hr-HR" w:eastAsia="hr-HR"/>
              </w:rPr>
              <w:t>30</w:t>
            </w:r>
          </w:p>
        </w:tc>
        <w:tc>
          <w:tcPr>
            <w:tcW w:w="433" w:type="pct"/>
            <w:tcBorders>
              <w:top w:val="single" w:sz="4" w:space="0" w:color="auto"/>
              <w:left w:val="single" w:sz="2" w:space="0" w:color="auto"/>
              <w:bottom w:val="single" w:sz="4" w:space="0" w:color="auto"/>
              <w:right w:val="single" w:sz="4" w:space="0" w:color="auto"/>
            </w:tcBorders>
            <w:vAlign w:val="center"/>
            <w:hideMark/>
          </w:tcPr>
          <w:p w14:paraId="5B6F74EE"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2</w:t>
            </w:r>
          </w:p>
        </w:tc>
      </w:tr>
      <w:tr w:rsidR="004E3FDC" w:rsidRPr="0077700D" w14:paraId="3A148626" w14:textId="77777777" w:rsidTr="00450B7A">
        <w:trPr>
          <w:cantSplit/>
          <w:trHeight w:val="75"/>
          <w:jc w:val="center"/>
        </w:trPr>
        <w:tc>
          <w:tcPr>
            <w:tcW w:w="1531" w:type="pct"/>
            <w:tcBorders>
              <w:top w:val="single" w:sz="4" w:space="0" w:color="auto"/>
              <w:left w:val="nil"/>
              <w:bottom w:val="single" w:sz="4" w:space="0" w:color="auto"/>
              <w:right w:val="nil"/>
            </w:tcBorders>
            <w:vAlign w:val="center"/>
          </w:tcPr>
          <w:p w14:paraId="4DA76CF5" w14:textId="77777777" w:rsidR="004E3FDC" w:rsidRPr="0077700D" w:rsidRDefault="004E3FDC" w:rsidP="00450B7A">
            <w:pPr>
              <w:widowControl w:val="0"/>
              <w:tabs>
                <w:tab w:val="left" w:pos="8208"/>
              </w:tabs>
              <w:spacing w:after="0" w:line="240" w:lineRule="auto"/>
              <w:rPr>
                <w:rFonts w:ascii="Cambria" w:eastAsia="Times New Roman" w:hAnsi="Cambria"/>
                <w:b/>
                <w:lang w:val="hr-HR"/>
              </w:rPr>
            </w:pPr>
          </w:p>
        </w:tc>
        <w:tc>
          <w:tcPr>
            <w:tcW w:w="2059" w:type="pct"/>
            <w:tcBorders>
              <w:top w:val="single" w:sz="4" w:space="0" w:color="auto"/>
              <w:left w:val="nil"/>
              <w:bottom w:val="single" w:sz="4" w:space="0" w:color="auto"/>
              <w:right w:val="nil"/>
            </w:tcBorders>
            <w:vAlign w:val="center"/>
          </w:tcPr>
          <w:p w14:paraId="2B0BC234" w14:textId="77777777" w:rsidR="004E3FDC" w:rsidRPr="0077700D" w:rsidRDefault="004E3FDC" w:rsidP="00450B7A">
            <w:pPr>
              <w:spacing w:after="0" w:line="240" w:lineRule="auto"/>
              <w:rPr>
                <w:rFonts w:ascii="Cambria" w:eastAsia="Times New Roman" w:hAnsi="Cambria"/>
                <w:lang w:val="hr-HR"/>
              </w:rPr>
            </w:pPr>
          </w:p>
        </w:tc>
        <w:tc>
          <w:tcPr>
            <w:tcW w:w="311" w:type="pct"/>
            <w:tcBorders>
              <w:top w:val="single" w:sz="4" w:space="0" w:color="auto"/>
              <w:left w:val="nil"/>
              <w:bottom w:val="single" w:sz="4" w:space="0" w:color="auto"/>
              <w:right w:val="nil"/>
            </w:tcBorders>
            <w:vAlign w:val="center"/>
          </w:tcPr>
          <w:p w14:paraId="7D261E80" w14:textId="77777777" w:rsidR="004E3FDC" w:rsidRPr="0077700D" w:rsidRDefault="004E3FDC" w:rsidP="00450B7A">
            <w:pPr>
              <w:tabs>
                <w:tab w:val="center" w:pos="4536"/>
                <w:tab w:val="right" w:pos="9072"/>
              </w:tabs>
              <w:spacing w:after="0" w:line="240" w:lineRule="auto"/>
              <w:rPr>
                <w:rFonts w:ascii="Cambria" w:eastAsia="Times New Roman" w:hAnsi="Cambria"/>
                <w:lang w:val="hr-HR" w:eastAsia="hr-HR"/>
              </w:rPr>
            </w:pPr>
          </w:p>
        </w:tc>
        <w:tc>
          <w:tcPr>
            <w:tcW w:w="311" w:type="pct"/>
            <w:tcBorders>
              <w:top w:val="single" w:sz="4" w:space="0" w:color="auto"/>
              <w:left w:val="nil"/>
              <w:bottom w:val="single" w:sz="4" w:space="0" w:color="auto"/>
              <w:right w:val="nil"/>
            </w:tcBorders>
            <w:vAlign w:val="center"/>
          </w:tcPr>
          <w:p w14:paraId="3A6D1DFE" w14:textId="77777777" w:rsidR="004E3FDC" w:rsidRPr="0077700D" w:rsidRDefault="004E3FDC" w:rsidP="00450B7A">
            <w:pPr>
              <w:tabs>
                <w:tab w:val="center" w:pos="4536"/>
                <w:tab w:val="right" w:pos="9072"/>
              </w:tabs>
              <w:spacing w:after="0" w:line="240" w:lineRule="auto"/>
              <w:rPr>
                <w:rFonts w:ascii="Cambria" w:eastAsia="Times New Roman" w:hAnsi="Cambria"/>
                <w:lang w:val="hr-HR" w:eastAsia="hr-HR"/>
              </w:rPr>
            </w:pPr>
          </w:p>
        </w:tc>
        <w:tc>
          <w:tcPr>
            <w:tcW w:w="355" w:type="pct"/>
            <w:tcBorders>
              <w:top w:val="single" w:sz="4" w:space="0" w:color="auto"/>
              <w:left w:val="nil"/>
              <w:bottom w:val="single" w:sz="4" w:space="0" w:color="auto"/>
              <w:right w:val="nil"/>
            </w:tcBorders>
            <w:vAlign w:val="center"/>
          </w:tcPr>
          <w:p w14:paraId="07247F1B" w14:textId="77777777" w:rsidR="004E3FDC" w:rsidRPr="0077700D" w:rsidRDefault="004E3FDC" w:rsidP="00450B7A">
            <w:pPr>
              <w:tabs>
                <w:tab w:val="center" w:pos="4536"/>
                <w:tab w:val="right" w:pos="9072"/>
              </w:tabs>
              <w:spacing w:after="0" w:line="240" w:lineRule="auto"/>
              <w:rPr>
                <w:rFonts w:ascii="Cambria" w:eastAsia="Times New Roman" w:hAnsi="Cambria"/>
                <w:lang w:val="hr-HR" w:eastAsia="hr-HR"/>
              </w:rPr>
            </w:pPr>
          </w:p>
        </w:tc>
        <w:tc>
          <w:tcPr>
            <w:tcW w:w="433" w:type="pct"/>
            <w:tcBorders>
              <w:top w:val="single" w:sz="4" w:space="0" w:color="auto"/>
              <w:left w:val="nil"/>
              <w:bottom w:val="single" w:sz="4" w:space="0" w:color="auto"/>
              <w:right w:val="nil"/>
            </w:tcBorders>
            <w:vAlign w:val="center"/>
          </w:tcPr>
          <w:p w14:paraId="1E2CDC84" w14:textId="77777777" w:rsidR="004E3FDC" w:rsidRPr="0077700D" w:rsidRDefault="004E3FDC" w:rsidP="00450B7A">
            <w:pPr>
              <w:spacing w:after="0" w:line="240" w:lineRule="auto"/>
              <w:rPr>
                <w:rFonts w:ascii="Cambria" w:eastAsia="Times New Roman" w:hAnsi="Cambria"/>
                <w:lang w:val="hr-HR"/>
              </w:rPr>
            </w:pPr>
          </w:p>
        </w:tc>
      </w:tr>
      <w:tr w:rsidR="004E3FDC" w:rsidRPr="0077700D" w14:paraId="7C3B2E4E" w14:textId="77777777" w:rsidTr="00450B7A">
        <w:trPr>
          <w:cantSplit/>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406B439C" w14:textId="77777777" w:rsidR="004E3FDC" w:rsidRPr="0077700D" w:rsidRDefault="004E3FDC" w:rsidP="00450B7A">
            <w:pPr>
              <w:spacing w:after="0" w:line="240" w:lineRule="auto"/>
              <w:rPr>
                <w:rFonts w:ascii="Cambria" w:eastAsia="Times New Roman" w:hAnsi="Cambria"/>
                <w:b/>
                <w:lang w:val="hr-HR"/>
              </w:rPr>
            </w:pPr>
            <w:r w:rsidRPr="0077700D">
              <w:rPr>
                <w:rFonts w:ascii="Cambria" w:eastAsia="Times New Roman" w:hAnsi="Cambria"/>
                <w:b/>
                <w:lang w:val="hr-HR"/>
              </w:rPr>
              <w:t>Izborni modul II: 8218</w:t>
            </w:r>
          </w:p>
        </w:tc>
        <w:tc>
          <w:tcPr>
            <w:tcW w:w="2059" w:type="pct"/>
            <w:tcBorders>
              <w:top w:val="single" w:sz="4" w:space="0" w:color="auto"/>
              <w:left w:val="single" w:sz="4" w:space="0" w:color="auto"/>
              <w:bottom w:val="single" w:sz="4" w:space="0" w:color="auto"/>
              <w:right w:val="single" w:sz="4" w:space="0" w:color="auto"/>
            </w:tcBorders>
            <w:vAlign w:val="center"/>
          </w:tcPr>
          <w:p w14:paraId="6E0D8F69" w14:textId="77777777" w:rsidR="004E3FDC" w:rsidRPr="0077700D" w:rsidRDefault="004E3FDC" w:rsidP="00450B7A">
            <w:pPr>
              <w:spacing w:after="0" w:line="240" w:lineRule="auto"/>
              <w:rPr>
                <w:rFonts w:ascii="Cambria" w:eastAsia="Times New Roman" w:hAnsi="Cambria"/>
                <w:lang w:val="hr-HR"/>
              </w:rPr>
            </w:pPr>
            <w:r w:rsidRPr="0077700D">
              <w:rPr>
                <w:rFonts w:ascii="Cambria" w:eastAsia="Times New Roman" w:hAnsi="Cambria"/>
                <w:b/>
                <w:lang w:val="hr-HR"/>
              </w:rPr>
              <w:t>Nastavnik/</w:t>
            </w:r>
            <w:proofErr w:type="spellStart"/>
            <w:r w:rsidRPr="0077700D">
              <w:rPr>
                <w:rFonts w:ascii="Cambria" w:eastAsia="Times New Roman" w:hAnsi="Cambria"/>
                <w:b/>
                <w:lang w:val="hr-HR"/>
              </w:rPr>
              <w:t>ica</w:t>
            </w:r>
            <w:proofErr w:type="spellEnd"/>
          </w:p>
        </w:tc>
        <w:tc>
          <w:tcPr>
            <w:tcW w:w="311" w:type="pct"/>
            <w:tcBorders>
              <w:top w:val="single" w:sz="4" w:space="0" w:color="auto"/>
              <w:left w:val="single" w:sz="4" w:space="0" w:color="auto"/>
              <w:bottom w:val="single" w:sz="4" w:space="0" w:color="auto"/>
              <w:right w:val="single" w:sz="4" w:space="0" w:color="auto"/>
            </w:tcBorders>
            <w:shd w:val="clear" w:color="auto" w:fill="FFFFFF"/>
            <w:vAlign w:val="center"/>
          </w:tcPr>
          <w:p w14:paraId="1943A3E3"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b/>
                <w:bCs/>
                <w:caps/>
                <w:lang w:val="hr-HR"/>
              </w:rPr>
              <w:t>P</w:t>
            </w:r>
          </w:p>
        </w:tc>
        <w:tc>
          <w:tcPr>
            <w:tcW w:w="311" w:type="pct"/>
            <w:tcBorders>
              <w:top w:val="single" w:sz="4" w:space="0" w:color="auto"/>
              <w:left w:val="single" w:sz="4" w:space="0" w:color="auto"/>
              <w:bottom w:val="single" w:sz="4" w:space="0" w:color="auto"/>
              <w:right w:val="single" w:sz="4" w:space="0" w:color="auto"/>
            </w:tcBorders>
            <w:shd w:val="clear" w:color="auto" w:fill="FFFFFF"/>
            <w:vAlign w:val="center"/>
          </w:tcPr>
          <w:p w14:paraId="52F2EEF1"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b/>
                <w:bCs/>
                <w:lang w:val="hr-HR"/>
              </w:rPr>
              <w:t>S</w:t>
            </w:r>
          </w:p>
        </w:tc>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4CC56539"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b/>
                <w:bCs/>
                <w:lang w:val="hr-HR"/>
              </w:rPr>
              <w:t>V</w:t>
            </w:r>
          </w:p>
        </w:tc>
        <w:tc>
          <w:tcPr>
            <w:tcW w:w="433" w:type="pct"/>
            <w:tcBorders>
              <w:top w:val="single" w:sz="4" w:space="0" w:color="auto"/>
              <w:left w:val="single" w:sz="4" w:space="0" w:color="auto"/>
              <w:bottom w:val="single" w:sz="4" w:space="0" w:color="auto"/>
              <w:right w:val="single" w:sz="4" w:space="0" w:color="auto"/>
            </w:tcBorders>
            <w:vAlign w:val="center"/>
          </w:tcPr>
          <w:p w14:paraId="4BC91519" w14:textId="77777777" w:rsidR="004E3FDC" w:rsidRPr="0077700D" w:rsidRDefault="004E3FDC" w:rsidP="00450B7A">
            <w:pPr>
              <w:spacing w:after="0" w:line="240" w:lineRule="auto"/>
              <w:jc w:val="center"/>
              <w:rPr>
                <w:rFonts w:ascii="Cambria" w:eastAsia="Times New Roman" w:hAnsi="Cambria"/>
                <w:bCs/>
                <w:lang w:val="hr-HR"/>
              </w:rPr>
            </w:pPr>
            <w:r w:rsidRPr="0077700D">
              <w:rPr>
                <w:rFonts w:ascii="Cambria" w:eastAsia="Times New Roman" w:hAnsi="Cambria"/>
                <w:b/>
                <w:lang w:val="hr-HR"/>
              </w:rPr>
              <w:t>ECTS</w:t>
            </w:r>
          </w:p>
        </w:tc>
      </w:tr>
      <w:tr w:rsidR="004E3FDC" w:rsidRPr="0077700D" w14:paraId="7D4F127A" w14:textId="77777777" w:rsidTr="00450B7A">
        <w:trPr>
          <w:cantSplit/>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056C5875" w14:textId="77777777" w:rsidR="004E3FDC" w:rsidRPr="0077700D" w:rsidRDefault="004E3FDC" w:rsidP="00450B7A">
            <w:pPr>
              <w:spacing w:before="20" w:after="20" w:line="240" w:lineRule="auto"/>
              <w:rPr>
                <w:rFonts w:ascii="Cambria" w:eastAsia="Times New Roman" w:hAnsi="Cambria"/>
                <w:b/>
                <w:lang w:val="hr-HR"/>
              </w:rPr>
            </w:pPr>
            <w:r w:rsidRPr="0077700D">
              <w:rPr>
                <w:rFonts w:ascii="Cambria" w:eastAsia="Times New Roman" w:hAnsi="Cambria"/>
                <w:b/>
                <w:lang w:val="hr-HR"/>
              </w:rPr>
              <w:t>149206</w:t>
            </w:r>
          </w:p>
          <w:p w14:paraId="288A2632" w14:textId="77777777" w:rsidR="004E3FDC" w:rsidRPr="0077700D" w:rsidRDefault="004E3FDC" w:rsidP="00450B7A">
            <w:pPr>
              <w:spacing w:after="0" w:line="240" w:lineRule="auto"/>
              <w:rPr>
                <w:rFonts w:ascii="Cambria" w:eastAsia="Times New Roman" w:hAnsi="Cambria"/>
                <w:lang w:val="hr-HR"/>
              </w:rPr>
            </w:pPr>
            <w:r w:rsidRPr="0077700D">
              <w:rPr>
                <w:rFonts w:ascii="Cambria" w:eastAsia="Times New Roman" w:hAnsi="Cambria"/>
                <w:lang w:val="hr-HR"/>
              </w:rPr>
              <w:t>Izrada web stranica</w:t>
            </w:r>
          </w:p>
        </w:tc>
        <w:tc>
          <w:tcPr>
            <w:tcW w:w="2059" w:type="pct"/>
            <w:tcBorders>
              <w:top w:val="single" w:sz="4" w:space="0" w:color="auto"/>
              <w:left w:val="single" w:sz="4" w:space="0" w:color="auto"/>
              <w:bottom w:val="single" w:sz="4" w:space="0" w:color="auto"/>
              <w:right w:val="single" w:sz="4" w:space="0" w:color="auto"/>
            </w:tcBorders>
            <w:vAlign w:val="center"/>
            <w:hideMark/>
          </w:tcPr>
          <w:p w14:paraId="56E80DA6" w14:textId="77777777" w:rsidR="004E3FDC" w:rsidRPr="0077700D" w:rsidRDefault="004E3FDC" w:rsidP="00450B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mbria" w:eastAsia="Times New Roman" w:hAnsi="Cambria"/>
                <w:lang w:val="hr-HR"/>
              </w:rPr>
            </w:pPr>
            <w:r w:rsidRPr="0077700D">
              <w:rPr>
                <w:rFonts w:ascii="Cambria" w:eastAsia="Times New Roman" w:hAnsi="Cambria"/>
                <w:lang w:val="hr-HR"/>
              </w:rPr>
              <w:t xml:space="preserve">naslovna doc. dr. sc. Elena </w:t>
            </w:r>
            <w:proofErr w:type="spellStart"/>
            <w:r w:rsidRPr="0077700D">
              <w:rPr>
                <w:rFonts w:ascii="Cambria" w:eastAsia="Times New Roman" w:hAnsi="Cambria"/>
                <w:lang w:val="hr-HR"/>
              </w:rPr>
              <w:t>Krelja</w:t>
            </w:r>
            <w:proofErr w:type="spellEnd"/>
          </w:p>
          <w:p w14:paraId="1F609011" w14:textId="77777777" w:rsidR="004E3FDC" w:rsidRPr="0077700D" w:rsidRDefault="004E3FDC" w:rsidP="00450B7A">
            <w:pPr>
              <w:spacing w:after="0" w:line="240" w:lineRule="auto"/>
              <w:rPr>
                <w:rFonts w:ascii="Cambria" w:eastAsia="Times New Roman" w:hAnsi="Cambria"/>
                <w:lang w:val="hr-HR"/>
              </w:rPr>
            </w:pPr>
            <w:proofErr w:type="spellStart"/>
            <w:r w:rsidRPr="0077700D">
              <w:rPr>
                <w:rFonts w:ascii="Cambria" w:eastAsia="Times New Roman" w:hAnsi="Cambria"/>
                <w:lang w:val="hr-HR"/>
              </w:rPr>
              <w:t>Kurelović</w:t>
            </w:r>
            <w:proofErr w:type="spellEnd"/>
          </w:p>
          <w:p w14:paraId="5683B231" w14:textId="77777777" w:rsidR="004E3FDC" w:rsidRPr="0077700D" w:rsidRDefault="004E3FDC" w:rsidP="00450B7A">
            <w:pPr>
              <w:spacing w:after="0" w:line="240" w:lineRule="auto"/>
              <w:rPr>
                <w:rFonts w:ascii="Cambria" w:eastAsia="Times New Roman" w:hAnsi="Cambria"/>
                <w:lang w:val="hr-HR"/>
              </w:rPr>
            </w:pPr>
            <w:r w:rsidRPr="0077700D">
              <w:rPr>
                <w:rFonts w:ascii="Cambria" w:eastAsia="Times New Roman" w:hAnsi="Cambria"/>
                <w:lang w:val="hr-HR"/>
              </w:rPr>
              <w:t xml:space="preserve">naslovni Igor </w:t>
            </w:r>
            <w:proofErr w:type="spellStart"/>
            <w:r w:rsidRPr="0077700D">
              <w:rPr>
                <w:rFonts w:ascii="Cambria" w:eastAsia="Times New Roman" w:hAnsi="Cambria"/>
                <w:lang w:val="hr-HR"/>
              </w:rPr>
              <w:t>Dobrača</w:t>
            </w:r>
            <w:proofErr w:type="spellEnd"/>
            <w:r w:rsidRPr="0077700D">
              <w:rPr>
                <w:rFonts w:ascii="Cambria" w:eastAsia="Times New Roman" w:hAnsi="Cambria"/>
                <w:lang w:val="hr-HR"/>
              </w:rPr>
              <w:t>, v. pred.</w:t>
            </w:r>
          </w:p>
        </w:tc>
        <w:tc>
          <w:tcPr>
            <w:tcW w:w="311" w:type="pct"/>
            <w:tcBorders>
              <w:top w:val="single" w:sz="4" w:space="0" w:color="auto"/>
              <w:left w:val="single" w:sz="4" w:space="0" w:color="auto"/>
              <w:bottom w:val="single" w:sz="4" w:space="0" w:color="auto"/>
              <w:right w:val="single" w:sz="4" w:space="0" w:color="auto"/>
            </w:tcBorders>
            <w:vAlign w:val="center"/>
            <w:hideMark/>
          </w:tcPr>
          <w:p w14:paraId="1557EFB9"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15</w:t>
            </w:r>
          </w:p>
        </w:tc>
        <w:tc>
          <w:tcPr>
            <w:tcW w:w="311" w:type="pct"/>
            <w:tcBorders>
              <w:top w:val="single" w:sz="4" w:space="0" w:color="auto"/>
              <w:left w:val="single" w:sz="4" w:space="0" w:color="auto"/>
              <w:bottom w:val="single" w:sz="4" w:space="0" w:color="auto"/>
              <w:right w:val="single" w:sz="4" w:space="0" w:color="auto"/>
            </w:tcBorders>
            <w:vAlign w:val="center"/>
          </w:tcPr>
          <w:p w14:paraId="69945197"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0</w:t>
            </w:r>
          </w:p>
        </w:tc>
        <w:tc>
          <w:tcPr>
            <w:tcW w:w="355" w:type="pct"/>
            <w:tcBorders>
              <w:top w:val="single" w:sz="4" w:space="0" w:color="auto"/>
              <w:left w:val="single" w:sz="4" w:space="0" w:color="auto"/>
              <w:bottom w:val="single" w:sz="4" w:space="0" w:color="auto"/>
              <w:right w:val="single" w:sz="4" w:space="0" w:color="auto"/>
            </w:tcBorders>
            <w:vAlign w:val="center"/>
            <w:hideMark/>
          </w:tcPr>
          <w:p w14:paraId="7A0AEF55"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60</w:t>
            </w:r>
          </w:p>
        </w:tc>
        <w:tc>
          <w:tcPr>
            <w:tcW w:w="433" w:type="pct"/>
            <w:tcBorders>
              <w:top w:val="single" w:sz="4" w:space="0" w:color="auto"/>
              <w:left w:val="single" w:sz="4" w:space="0" w:color="auto"/>
              <w:bottom w:val="single" w:sz="4" w:space="0" w:color="auto"/>
              <w:right w:val="single" w:sz="4" w:space="0" w:color="auto"/>
            </w:tcBorders>
            <w:vAlign w:val="center"/>
            <w:hideMark/>
          </w:tcPr>
          <w:p w14:paraId="108C9C26" w14:textId="77777777" w:rsidR="004E3FDC" w:rsidRPr="0077700D" w:rsidRDefault="004E3FDC" w:rsidP="00450B7A">
            <w:pPr>
              <w:spacing w:after="0" w:line="240" w:lineRule="auto"/>
              <w:jc w:val="center"/>
              <w:rPr>
                <w:rFonts w:ascii="Cambria" w:eastAsia="Times New Roman" w:hAnsi="Cambria"/>
                <w:bCs/>
                <w:lang w:val="hr-HR"/>
              </w:rPr>
            </w:pPr>
            <w:r w:rsidRPr="0077700D">
              <w:rPr>
                <w:rFonts w:ascii="Cambria" w:eastAsia="Times New Roman" w:hAnsi="Cambria"/>
                <w:bCs/>
                <w:lang w:val="hr-HR"/>
              </w:rPr>
              <w:t>7</w:t>
            </w:r>
          </w:p>
        </w:tc>
      </w:tr>
    </w:tbl>
    <w:p w14:paraId="5D84C6C2" w14:textId="77777777" w:rsidR="004E3FDC" w:rsidRPr="0077700D" w:rsidRDefault="004E3FDC" w:rsidP="004E3FDC">
      <w:pPr>
        <w:rPr>
          <w:rFonts w:ascii="Cambria" w:eastAsia="Times New Roman" w:hAnsi="Cambria"/>
          <w:lang w:val="hr-HR"/>
        </w:rPr>
      </w:pPr>
    </w:p>
    <w:tbl>
      <w:tblPr>
        <w:tblW w:w="4866"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93"/>
        <w:gridCol w:w="3957"/>
        <w:gridCol w:w="611"/>
        <w:gridCol w:w="613"/>
        <w:gridCol w:w="613"/>
        <w:gridCol w:w="1078"/>
      </w:tblGrid>
      <w:tr w:rsidR="004E3FDC" w:rsidRPr="0077700D" w14:paraId="615B94FE" w14:textId="77777777" w:rsidTr="00450B7A">
        <w:trPr>
          <w:cantSplit/>
          <w:jc w:val="center"/>
        </w:trPr>
        <w:tc>
          <w:tcPr>
            <w:tcW w:w="5000" w:type="pct"/>
            <w:gridSpan w:val="6"/>
            <w:tcBorders>
              <w:top w:val="single" w:sz="2" w:space="0" w:color="auto"/>
              <w:left w:val="single" w:sz="2" w:space="0" w:color="auto"/>
              <w:bottom w:val="single" w:sz="2" w:space="0" w:color="auto"/>
              <w:right w:val="single" w:sz="2" w:space="0" w:color="auto"/>
            </w:tcBorders>
            <w:shd w:val="clear" w:color="auto" w:fill="33CCCC"/>
            <w:vAlign w:val="center"/>
            <w:hideMark/>
          </w:tcPr>
          <w:p w14:paraId="49C9E4CE" w14:textId="77777777" w:rsidR="004E3FDC" w:rsidRPr="0077700D" w:rsidRDefault="004E3FDC" w:rsidP="00450B7A">
            <w:pPr>
              <w:spacing w:after="0" w:line="240" w:lineRule="auto"/>
              <w:jc w:val="center"/>
              <w:rPr>
                <w:rFonts w:ascii="Cambria" w:eastAsia="Times New Roman" w:hAnsi="Cambria"/>
                <w:b/>
                <w:bCs/>
                <w:lang w:val="hr-HR"/>
              </w:rPr>
            </w:pPr>
            <w:bookmarkStart w:id="85" w:name="_Toc209340490"/>
            <w:bookmarkStart w:id="86" w:name="_Toc209420868"/>
            <w:bookmarkStart w:id="87" w:name="_Toc209421249"/>
            <w:bookmarkStart w:id="88" w:name="_Toc209789843"/>
            <w:r w:rsidRPr="0077700D">
              <w:rPr>
                <w:rFonts w:ascii="Cambria" w:eastAsia="Times New Roman" w:hAnsi="Cambria"/>
                <w:b/>
                <w:bCs/>
                <w:lang w:val="hr-HR"/>
              </w:rPr>
              <w:t>VIII. semestar</w:t>
            </w:r>
            <w:bookmarkEnd w:id="85"/>
            <w:bookmarkEnd w:id="86"/>
            <w:bookmarkEnd w:id="87"/>
            <w:bookmarkEnd w:id="88"/>
          </w:p>
        </w:tc>
      </w:tr>
      <w:tr w:rsidR="004E3FDC" w:rsidRPr="0077700D" w14:paraId="2E2AF4EF" w14:textId="77777777" w:rsidTr="00450B7A">
        <w:trPr>
          <w:cantSplit/>
          <w:jc w:val="center"/>
        </w:trPr>
        <w:tc>
          <w:tcPr>
            <w:tcW w:w="1481" w:type="pct"/>
            <w:tcBorders>
              <w:top w:val="single" w:sz="2" w:space="0" w:color="auto"/>
              <w:left w:val="single" w:sz="2" w:space="0" w:color="auto"/>
              <w:bottom w:val="single" w:sz="2" w:space="0" w:color="auto"/>
              <w:right w:val="single" w:sz="2" w:space="0" w:color="auto"/>
            </w:tcBorders>
            <w:vAlign w:val="center"/>
            <w:hideMark/>
          </w:tcPr>
          <w:p w14:paraId="116FAC2B" w14:textId="77777777" w:rsidR="004E3FDC" w:rsidRPr="0077700D" w:rsidRDefault="004E3FDC" w:rsidP="00450B7A">
            <w:pPr>
              <w:widowControl w:val="0"/>
              <w:spacing w:after="0" w:line="240" w:lineRule="auto"/>
              <w:rPr>
                <w:rFonts w:ascii="Cambria" w:eastAsia="Times New Roman" w:hAnsi="Cambria"/>
                <w:b/>
                <w:lang w:val="hr-HR"/>
              </w:rPr>
            </w:pPr>
            <w:r w:rsidRPr="0077700D">
              <w:rPr>
                <w:rFonts w:ascii="Cambria" w:eastAsia="Times New Roman" w:hAnsi="Cambria"/>
                <w:b/>
                <w:lang w:val="hr-HR"/>
              </w:rPr>
              <w:t>Predmet</w:t>
            </w:r>
          </w:p>
        </w:tc>
        <w:tc>
          <w:tcPr>
            <w:tcW w:w="2026" w:type="pct"/>
            <w:tcBorders>
              <w:top w:val="single" w:sz="2" w:space="0" w:color="auto"/>
              <w:left w:val="single" w:sz="2" w:space="0" w:color="auto"/>
              <w:bottom w:val="single" w:sz="2" w:space="0" w:color="auto"/>
              <w:right w:val="single" w:sz="2" w:space="0" w:color="auto"/>
            </w:tcBorders>
            <w:vAlign w:val="center"/>
            <w:hideMark/>
          </w:tcPr>
          <w:p w14:paraId="042CA393" w14:textId="77777777" w:rsidR="004E3FDC" w:rsidRPr="0077700D" w:rsidRDefault="004E3FDC" w:rsidP="00450B7A">
            <w:pPr>
              <w:widowControl w:val="0"/>
              <w:spacing w:after="0" w:line="240" w:lineRule="auto"/>
              <w:rPr>
                <w:rFonts w:ascii="Cambria" w:eastAsia="Times New Roman" w:hAnsi="Cambria"/>
                <w:b/>
                <w:lang w:val="hr-HR"/>
              </w:rPr>
            </w:pPr>
            <w:r w:rsidRPr="0077700D">
              <w:rPr>
                <w:rFonts w:ascii="Cambria" w:eastAsia="Times New Roman" w:hAnsi="Cambria"/>
                <w:b/>
                <w:lang w:val="hr-HR"/>
              </w:rPr>
              <w:t>Nastavnik/</w:t>
            </w:r>
            <w:proofErr w:type="spellStart"/>
            <w:r w:rsidRPr="0077700D">
              <w:rPr>
                <w:rFonts w:ascii="Cambria" w:eastAsia="Times New Roman" w:hAnsi="Cambria"/>
                <w:b/>
                <w:lang w:val="hr-HR"/>
              </w:rPr>
              <w:t>ica</w:t>
            </w:r>
            <w:proofErr w:type="spellEnd"/>
          </w:p>
        </w:tc>
        <w:tc>
          <w:tcPr>
            <w:tcW w:w="313" w:type="pct"/>
            <w:tcBorders>
              <w:top w:val="single" w:sz="2" w:space="0" w:color="auto"/>
              <w:left w:val="single" w:sz="2" w:space="0" w:color="auto"/>
              <w:bottom w:val="single" w:sz="2" w:space="0" w:color="auto"/>
              <w:right w:val="single" w:sz="2" w:space="0" w:color="auto"/>
            </w:tcBorders>
            <w:vAlign w:val="center"/>
            <w:hideMark/>
          </w:tcPr>
          <w:p w14:paraId="3F8BE97D" w14:textId="77777777" w:rsidR="004E3FDC" w:rsidRPr="0077700D" w:rsidRDefault="004E3FDC" w:rsidP="00450B7A">
            <w:pPr>
              <w:spacing w:after="0" w:line="240" w:lineRule="auto"/>
              <w:jc w:val="center"/>
              <w:rPr>
                <w:rFonts w:ascii="Cambria" w:eastAsia="Times New Roman" w:hAnsi="Cambria"/>
                <w:b/>
                <w:bCs/>
                <w:caps/>
                <w:lang w:val="hr-HR"/>
              </w:rPr>
            </w:pPr>
            <w:bookmarkStart w:id="89" w:name="_Toc208818033"/>
            <w:bookmarkStart w:id="90" w:name="_Toc208819691"/>
            <w:bookmarkStart w:id="91" w:name="_Toc208904387"/>
            <w:bookmarkStart w:id="92" w:name="_Toc209340491"/>
            <w:bookmarkStart w:id="93" w:name="_Toc209420869"/>
            <w:bookmarkStart w:id="94" w:name="_Toc209421250"/>
            <w:bookmarkStart w:id="95" w:name="_Toc209789844"/>
            <w:r w:rsidRPr="0077700D">
              <w:rPr>
                <w:rFonts w:ascii="Cambria" w:eastAsia="Times New Roman" w:hAnsi="Cambria"/>
                <w:b/>
                <w:bCs/>
                <w:caps/>
                <w:lang w:val="hr-HR"/>
              </w:rPr>
              <w:t>P</w:t>
            </w:r>
            <w:bookmarkEnd w:id="89"/>
            <w:bookmarkEnd w:id="90"/>
            <w:bookmarkEnd w:id="91"/>
            <w:bookmarkEnd w:id="92"/>
            <w:bookmarkEnd w:id="93"/>
            <w:bookmarkEnd w:id="94"/>
            <w:bookmarkEnd w:id="95"/>
          </w:p>
        </w:tc>
        <w:tc>
          <w:tcPr>
            <w:tcW w:w="314" w:type="pct"/>
            <w:tcBorders>
              <w:top w:val="single" w:sz="2" w:space="0" w:color="auto"/>
              <w:left w:val="single" w:sz="2" w:space="0" w:color="auto"/>
              <w:bottom w:val="single" w:sz="2" w:space="0" w:color="auto"/>
              <w:right w:val="single" w:sz="2" w:space="0" w:color="auto"/>
            </w:tcBorders>
            <w:vAlign w:val="center"/>
          </w:tcPr>
          <w:p w14:paraId="758924E4" w14:textId="77777777" w:rsidR="004E3FDC" w:rsidRPr="0077700D" w:rsidRDefault="004E3FDC" w:rsidP="00450B7A">
            <w:pPr>
              <w:spacing w:after="0" w:line="240" w:lineRule="auto"/>
              <w:jc w:val="center"/>
              <w:rPr>
                <w:rFonts w:ascii="Cambria" w:eastAsia="Times New Roman" w:hAnsi="Cambria"/>
                <w:b/>
                <w:bCs/>
                <w:caps/>
                <w:lang w:val="hr-HR"/>
              </w:rPr>
            </w:pPr>
            <w:r w:rsidRPr="0077700D">
              <w:rPr>
                <w:rFonts w:ascii="Cambria" w:eastAsia="Times New Roman" w:hAnsi="Cambria"/>
                <w:b/>
                <w:bCs/>
                <w:caps/>
                <w:lang w:val="hr-HR"/>
              </w:rPr>
              <w:t>S</w:t>
            </w:r>
          </w:p>
        </w:tc>
        <w:tc>
          <w:tcPr>
            <w:tcW w:w="314" w:type="pct"/>
            <w:tcBorders>
              <w:top w:val="single" w:sz="2" w:space="0" w:color="auto"/>
              <w:left w:val="single" w:sz="2" w:space="0" w:color="auto"/>
              <w:bottom w:val="single" w:sz="2" w:space="0" w:color="auto"/>
              <w:right w:val="single" w:sz="2" w:space="0" w:color="auto"/>
            </w:tcBorders>
            <w:vAlign w:val="center"/>
            <w:hideMark/>
          </w:tcPr>
          <w:p w14:paraId="29593FC8" w14:textId="77777777" w:rsidR="004E3FDC" w:rsidRPr="0077700D" w:rsidRDefault="004E3FDC" w:rsidP="00450B7A">
            <w:pPr>
              <w:spacing w:after="0" w:line="240" w:lineRule="auto"/>
              <w:jc w:val="center"/>
              <w:rPr>
                <w:rFonts w:ascii="Cambria" w:eastAsia="Times New Roman" w:hAnsi="Cambria"/>
                <w:b/>
                <w:bCs/>
                <w:caps/>
                <w:lang w:val="hr-HR"/>
              </w:rPr>
            </w:pPr>
            <w:r w:rsidRPr="0077700D">
              <w:rPr>
                <w:rFonts w:ascii="Cambria" w:eastAsia="Times New Roman" w:hAnsi="Cambria"/>
                <w:b/>
                <w:bCs/>
                <w:caps/>
                <w:lang w:val="hr-HR"/>
              </w:rPr>
              <w:t>V</w:t>
            </w:r>
          </w:p>
        </w:tc>
        <w:tc>
          <w:tcPr>
            <w:tcW w:w="551" w:type="pct"/>
            <w:tcBorders>
              <w:top w:val="single" w:sz="2" w:space="0" w:color="auto"/>
              <w:left w:val="single" w:sz="2" w:space="0" w:color="auto"/>
              <w:bottom w:val="single" w:sz="2" w:space="0" w:color="auto"/>
              <w:right w:val="single" w:sz="2" w:space="0" w:color="auto"/>
            </w:tcBorders>
            <w:vAlign w:val="center"/>
            <w:hideMark/>
          </w:tcPr>
          <w:p w14:paraId="5FF0A65C" w14:textId="77777777" w:rsidR="004E3FDC" w:rsidRPr="0077700D" w:rsidRDefault="004E3FDC" w:rsidP="00450B7A">
            <w:pPr>
              <w:spacing w:after="0" w:line="240" w:lineRule="auto"/>
              <w:jc w:val="center"/>
              <w:rPr>
                <w:rFonts w:ascii="Cambria" w:eastAsia="Times New Roman" w:hAnsi="Cambria"/>
                <w:b/>
                <w:bCs/>
                <w:caps/>
                <w:lang w:val="hr-HR"/>
              </w:rPr>
            </w:pPr>
            <w:r w:rsidRPr="0077700D">
              <w:rPr>
                <w:rFonts w:ascii="Cambria" w:eastAsia="Times New Roman" w:hAnsi="Cambria"/>
                <w:b/>
                <w:bCs/>
                <w:caps/>
                <w:lang w:val="hr-HR"/>
              </w:rPr>
              <w:t>ECTS</w:t>
            </w:r>
          </w:p>
        </w:tc>
      </w:tr>
      <w:tr w:rsidR="004E3FDC" w:rsidRPr="0077700D" w14:paraId="421BC7C8" w14:textId="77777777" w:rsidTr="00450B7A">
        <w:trPr>
          <w:cantSplit/>
          <w:jc w:val="center"/>
        </w:trPr>
        <w:tc>
          <w:tcPr>
            <w:tcW w:w="1481" w:type="pct"/>
            <w:tcBorders>
              <w:top w:val="single" w:sz="2" w:space="0" w:color="auto"/>
              <w:left w:val="single" w:sz="2" w:space="0" w:color="auto"/>
              <w:bottom w:val="single" w:sz="2" w:space="0" w:color="auto"/>
              <w:right w:val="single" w:sz="2" w:space="0" w:color="auto"/>
            </w:tcBorders>
            <w:vAlign w:val="center"/>
            <w:hideMark/>
          </w:tcPr>
          <w:p w14:paraId="410342AD" w14:textId="77777777" w:rsidR="004E3FDC" w:rsidRPr="0077700D" w:rsidRDefault="004E3FDC" w:rsidP="00450B7A">
            <w:pPr>
              <w:widowControl w:val="0"/>
              <w:spacing w:after="0" w:line="240" w:lineRule="auto"/>
              <w:rPr>
                <w:rFonts w:ascii="Cambria" w:eastAsia="Times New Roman" w:hAnsi="Cambria"/>
                <w:b/>
                <w:lang w:val="hr-HR"/>
              </w:rPr>
            </w:pPr>
            <w:r w:rsidRPr="0077700D">
              <w:rPr>
                <w:rFonts w:ascii="Cambria" w:eastAsia="Times New Roman" w:hAnsi="Cambria"/>
                <w:b/>
                <w:lang w:val="hr-HR"/>
              </w:rPr>
              <w:t>96509</w:t>
            </w:r>
          </w:p>
          <w:p w14:paraId="3521B61F" w14:textId="77777777" w:rsidR="004E3FDC" w:rsidRPr="0077700D" w:rsidRDefault="004E3FDC" w:rsidP="00450B7A">
            <w:pPr>
              <w:spacing w:after="0" w:line="240" w:lineRule="auto"/>
              <w:rPr>
                <w:rFonts w:ascii="Cambria" w:eastAsia="Times New Roman" w:hAnsi="Cambria"/>
                <w:lang w:val="hr-HR"/>
              </w:rPr>
            </w:pPr>
            <w:r w:rsidRPr="0077700D">
              <w:rPr>
                <w:rFonts w:ascii="Cambria" w:eastAsia="Times New Roman" w:hAnsi="Cambria"/>
                <w:lang w:val="hr-HR"/>
              </w:rPr>
              <w:t>Metodika nastave hrvatskog jezika III</w:t>
            </w:r>
          </w:p>
        </w:tc>
        <w:tc>
          <w:tcPr>
            <w:tcW w:w="2026" w:type="pct"/>
            <w:tcBorders>
              <w:top w:val="single" w:sz="2" w:space="0" w:color="auto"/>
              <w:left w:val="single" w:sz="2" w:space="0" w:color="auto"/>
              <w:bottom w:val="single" w:sz="2" w:space="0" w:color="auto"/>
              <w:right w:val="single" w:sz="2" w:space="0" w:color="auto"/>
            </w:tcBorders>
            <w:vAlign w:val="center"/>
            <w:hideMark/>
          </w:tcPr>
          <w:p w14:paraId="6954A3D8" w14:textId="77777777" w:rsidR="004E3FDC" w:rsidRPr="007D0C49" w:rsidRDefault="004E3FDC" w:rsidP="00450B7A">
            <w:pPr>
              <w:spacing w:after="0" w:line="240" w:lineRule="auto"/>
              <w:rPr>
                <w:rFonts w:ascii="Cambria" w:eastAsia="Times New Roman" w:hAnsi="Cambria"/>
                <w:lang w:val="hr-HR"/>
              </w:rPr>
            </w:pPr>
            <w:r w:rsidRPr="00671B0E">
              <w:rPr>
                <w:rFonts w:ascii="Cambria" w:eastAsia="Times New Roman" w:hAnsi="Cambria"/>
                <w:lang w:val="hr-HR"/>
              </w:rPr>
              <w:t xml:space="preserve">doc. dr. sc. Ivana </w:t>
            </w:r>
            <w:proofErr w:type="spellStart"/>
            <w:r w:rsidRPr="00671B0E">
              <w:rPr>
                <w:rFonts w:ascii="Cambria" w:eastAsia="Times New Roman" w:hAnsi="Cambria"/>
                <w:lang w:val="hr-HR"/>
              </w:rPr>
              <w:t>Nežić</w:t>
            </w:r>
            <w:proofErr w:type="spellEnd"/>
          </w:p>
          <w:p w14:paraId="6F1E747A" w14:textId="77777777" w:rsidR="004E3FDC" w:rsidRPr="0077700D" w:rsidRDefault="004E3FDC" w:rsidP="00450B7A">
            <w:pPr>
              <w:spacing w:after="0" w:line="240" w:lineRule="auto"/>
              <w:rPr>
                <w:rFonts w:ascii="Cambria" w:eastAsia="Times New Roman" w:hAnsi="Cambria"/>
                <w:lang w:val="hr-HR"/>
              </w:rPr>
            </w:pPr>
            <w:r w:rsidRPr="0077700D">
              <w:rPr>
                <w:rFonts w:ascii="Cambria" w:eastAsia="Times New Roman" w:hAnsi="Cambria"/>
                <w:lang w:val="hr-HR"/>
              </w:rPr>
              <w:t xml:space="preserve">dr. sc. Samanta </w:t>
            </w:r>
            <w:proofErr w:type="spellStart"/>
            <w:r w:rsidRPr="0077700D">
              <w:rPr>
                <w:rFonts w:ascii="Cambria" w:eastAsia="Times New Roman" w:hAnsi="Cambria"/>
                <w:lang w:val="hr-HR"/>
              </w:rPr>
              <w:t>Paronić</w:t>
            </w:r>
            <w:proofErr w:type="spellEnd"/>
            <w:r w:rsidRPr="0077700D">
              <w:rPr>
                <w:rFonts w:ascii="Cambria" w:eastAsia="Times New Roman" w:hAnsi="Cambria"/>
                <w:lang w:val="hr-HR"/>
              </w:rPr>
              <w:t>, naslovna pred.</w:t>
            </w:r>
          </w:p>
        </w:tc>
        <w:tc>
          <w:tcPr>
            <w:tcW w:w="313" w:type="pct"/>
            <w:tcBorders>
              <w:top w:val="single" w:sz="2" w:space="0" w:color="auto"/>
              <w:left w:val="single" w:sz="2" w:space="0" w:color="auto"/>
              <w:bottom w:val="single" w:sz="2" w:space="0" w:color="auto"/>
              <w:right w:val="single" w:sz="2" w:space="0" w:color="auto"/>
            </w:tcBorders>
            <w:vAlign w:val="center"/>
            <w:hideMark/>
          </w:tcPr>
          <w:p w14:paraId="7E675272"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15</w:t>
            </w:r>
          </w:p>
        </w:tc>
        <w:tc>
          <w:tcPr>
            <w:tcW w:w="314" w:type="pct"/>
            <w:tcBorders>
              <w:top w:val="single" w:sz="2" w:space="0" w:color="auto"/>
              <w:left w:val="single" w:sz="2" w:space="0" w:color="auto"/>
              <w:bottom w:val="single" w:sz="2" w:space="0" w:color="auto"/>
              <w:right w:val="single" w:sz="2" w:space="0" w:color="auto"/>
            </w:tcBorders>
            <w:vAlign w:val="center"/>
          </w:tcPr>
          <w:p w14:paraId="5CD2CF6E"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0</w:t>
            </w:r>
          </w:p>
        </w:tc>
        <w:tc>
          <w:tcPr>
            <w:tcW w:w="314" w:type="pct"/>
            <w:tcBorders>
              <w:top w:val="single" w:sz="2" w:space="0" w:color="auto"/>
              <w:left w:val="single" w:sz="2" w:space="0" w:color="auto"/>
              <w:bottom w:val="single" w:sz="2" w:space="0" w:color="auto"/>
              <w:right w:val="single" w:sz="2" w:space="0" w:color="auto"/>
            </w:tcBorders>
            <w:vAlign w:val="center"/>
            <w:hideMark/>
          </w:tcPr>
          <w:p w14:paraId="1E6C9E15"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45</w:t>
            </w:r>
          </w:p>
        </w:tc>
        <w:tc>
          <w:tcPr>
            <w:tcW w:w="551" w:type="pct"/>
            <w:tcBorders>
              <w:top w:val="single" w:sz="2" w:space="0" w:color="auto"/>
              <w:left w:val="single" w:sz="2" w:space="0" w:color="auto"/>
              <w:bottom w:val="single" w:sz="2" w:space="0" w:color="auto"/>
              <w:right w:val="single" w:sz="2" w:space="0" w:color="auto"/>
            </w:tcBorders>
            <w:vAlign w:val="center"/>
            <w:hideMark/>
          </w:tcPr>
          <w:p w14:paraId="47F94D6A"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5</w:t>
            </w:r>
          </w:p>
        </w:tc>
      </w:tr>
      <w:tr w:rsidR="004E3FDC" w:rsidRPr="0077700D" w14:paraId="7D1C3615" w14:textId="77777777" w:rsidTr="00450B7A">
        <w:trPr>
          <w:cantSplit/>
          <w:jc w:val="center"/>
        </w:trPr>
        <w:tc>
          <w:tcPr>
            <w:tcW w:w="1481" w:type="pct"/>
            <w:tcBorders>
              <w:top w:val="single" w:sz="2" w:space="0" w:color="auto"/>
              <w:left w:val="single" w:sz="2" w:space="0" w:color="auto"/>
              <w:bottom w:val="single" w:sz="2" w:space="0" w:color="auto"/>
              <w:right w:val="single" w:sz="2" w:space="0" w:color="auto"/>
            </w:tcBorders>
            <w:vAlign w:val="center"/>
            <w:hideMark/>
          </w:tcPr>
          <w:p w14:paraId="3ECC0931" w14:textId="77777777" w:rsidR="004E3FDC" w:rsidRPr="0077700D" w:rsidRDefault="004E3FDC" w:rsidP="00450B7A">
            <w:pPr>
              <w:widowControl w:val="0"/>
              <w:spacing w:after="0" w:line="240" w:lineRule="auto"/>
              <w:rPr>
                <w:rFonts w:ascii="Cambria" w:eastAsia="Times New Roman" w:hAnsi="Cambria"/>
                <w:b/>
                <w:lang w:val="hr-HR"/>
              </w:rPr>
            </w:pPr>
            <w:r w:rsidRPr="0077700D">
              <w:rPr>
                <w:rFonts w:ascii="Cambria" w:eastAsia="Times New Roman" w:hAnsi="Cambria"/>
                <w:b/>
                <w:lang w:val="hr-HR"/>
              </w:rPr>
              <w:t>156757</w:t>
            </w:r>
          </w:p>
          <w:p w14:paraId="348965DB" w14:textId="77777777" w:rsidR="004E3FDC" w:rsidRPr="0077700D" w:rsidRDefault="004E3FDC" w:rsidP="00450B7A">
            <w:pPr>
              <w:widowControl w:val="0"/>
              <w:spacing w:after="0" w:line="240" w:lineRule="auto"/>
              <w:rPr>
                <w:rFonts w:ascii="Cambria" w:eastAsia="Times New Roman" w:hAnsi="Cambria"/>
                <w:lang w:val="hr-HR"/>
              </w:rPr>
            </w:pPr>
            <w:r w:rsidRPr="0077700D">
              <w:rPr>
                <w:rFonts w:ascii="Cambria" w:eastAsia="Times New Roman" w:hAnsi="Cambria"/>
                <w:lang w:val="hr-HR"/>
              </w:rPr>
              <w:t>Metodika nastave matematike II</w:t>
            </w:r>
          </w:p>
        </w:tc>
        <w:tc>
          <w:tcPr>
            <w:tcW w:w="2026" w:type="pct"/>
            <w:tcBorders>
              <w:top w:val="single" w:sz="2" w:space="0" w:color="auto"/>
              <w:left w:val="single" w:sz="2" w:space="0" w:color="auto"/>
              <w:bottom w:val="single" w:sz="2" w:space="0" w:color="auto"/>
              <w:right w:val="single" w:sz="2" w:space="0" w:color="auto"/>
            </w:tcBorders>
            <w:vAlign w:val="center"/>
            <w:hideMark/>
          </w:tcPr>
          <w:p w14:paraId="16156039" w14:textId="77777777" w:rsidR="004E3FDC" w:rsidRPr="0077700D" w:rsidRDefault="004E3FDC" w:rsidP="00450B7A">
            <w:pPr>
              <w:widowControl w:val="0"/>
              <w:spacing w:after="0" w:line="240" w:lineRule="auto"/>
              <w:rPr>
                <w:rFonts w:ascii="Cambria" w:eastAsia="Times New Roman" w:hAnsi="Cambria"/>
                <w:lang w:val="hr-HR"/>
              </w:rPr>
            </w:pPr>
            <w:r w:rsidRPr="0077700D">
              <w:rPr>
                <w:rFonts w:ascii="Cambria" w:eastAsia="Times New Roman" w:hAnsi="Cambria"/>
                <w:lang w:val="hr-HR"/>
              </w:rPr>
              <w:t>doc. dr. sc. Siniša Miličić</w:t>
            </w:r>
          </w:p>
          <w:p w14:paraId="4D192021" w14:textId="77777777" w:rsidR="004E3FDC" w:rsidRPr="0077700D" w:rsidRDefault="004E3FDC" w:rsidP="00450B7A">
            <w:pPr>
              <w:widowControl w:val="0"/>
              <w:spacing w:after="0" w:line="240" w:lineRule="auto"/>
              <w:rPr>
                <w:rFonts w:ascii="Cambria" w:eastAsia="Times New Roman" w:hAnsi="Cambria"/>
                <w:lang w:val="hr-HR"/>
              </w:rPr>
            </w:pPr>
            <w:r w:rsidRPr="0077700D">
              <w:rPr>
                <w:rFonts w:ascii="Cambria" w:eastAsia="Times New Roman" w:hAnsi="Cambria"/>
                <w:lang w:val="hr-HR"/>
              </w:rPr>
              <w:t>dr. sc. Branka Antunović, viša asistentica</w:t>
            </w:r>
          </w:p>
        </w:tc>
        <w:tc>
          <w:tcPr>
            <w:tcW w:w="313" w:type="pct"/>
            <w:tcBorders>
              <w:top w:val="single" w:sz="2" w:space="0" w:color="auto"/>
              <w:left w:val="single" w:sz="2" w:space="0" w:color="auto"/>
              <w:bottom w:val="single" w:sz="2" w:space="0" w:color="auto"/>
              <w:right w:val="single" w:sz="2" w:space="0" w:color="auto"/>
            </w:tcBorders>
            <w:vAlign w:val="center"/>
            <w:hideMark/>
          </w:tcPr>
          <w:p w14:paraId="57F27F62" w14:textId="77777777" w:rsidR="004E3FDC" w:rsidRPr="0077700D" w:rsidRDefault="004E3FDC" w:rsidP="00450B7A">
            <w:pPr>
              <w:widowControl w:val="0"/>
              <w:spacing w:after="0" w:line="240" w:lineRule="auto"/>
              <w:jc w:val="center"/>
              <w:rPr>
                <w:rFonts w:ascii="Cambria" w:eastAsia="Times New Roman" w:hAnsi="Cambria"/>
                <w:lang w:val="hr-HR"/>
              </w:rPr>
            </w:pPr>
            <w:r w:rsidRPr="0077700D">
              <w:rPr>
                <w:rFonts w:ascii="Cambria" w:eastAsia="Times New Roman" w:hAnsi="Cambria"/>
                <w:lang w:val="hr-HR"/>
              </w:rPr>
              <w:t>30</w:t>
            </w:r>
          </w:p>
        </w:tc>
        <w:tc>
          <w:tcPr>
            <w:tcW w:w="314" w:type="pct"/>
            <w:tcBorders>
              <w:top w:val="single" w:sz="2" w:space="0" w:color="auto"/>
              <w:left w:val="single" w:sz="2" w:space="0" w:color="auto"/>
              <w:bottom w:val="single" w:sz="2" w:space="0" w:color="auto"/>
              <w:right w:val="single" w:sz="2" w:space="0" w:color="auto"/>
            </w:tcBorders>
            <w:vAlign w:val="center"/>
          </w:tcPr>
          <w:p w14:paraId="0D0DB3F0" w14:textId="77777777" w:rsidR="004E3FDC" w:rsidRPr="0077700D" w:rsidRDefault="004E3FDC" w:rsidP="00450B7A">
            <w:pPr>
              <w:widowControl w:val="0"/>
              <w:spacing w:after="0" w:line="240" w:lineRule="auto"/>
              <w:jc w:val="center"/>
              <w:rPr>
                <w:rFonts w:ascii="Cambria" w:eastAsia="Times New Roman" w:hAnsi="Cambria"/>
                <w:lang w:val="hr-HR"/>
              </w:rPr>
            </w:pPr>
            <w:r w:rsidRPr="0077700D">
              <w:rPr>
                <w:rFonts w:ascii="Cambria" w:eastAsia="Times New Roman" w:hAnsi="Cambria"/>
                <w:lang w:val="hr-HR"/>
              </w:rPr>
              <w:t>0</w:t>
            </w:r>
          </w:p>
        </w:tc>
        <w:tc>
          <w:tcPr>
            <w:tcW w:w="314" w:type="pct"/>
            <w:tcBorders>
              <w:top w:val="single" w:sz="2" w:space="0" w:color="auto"/>
              <w:left w:val="single" w:sz="2" w:space="0" w:color="auto"/>
              <w:bottom w:val="single" w:sz="2" w:space="0" w:color="auto"/>
              <w:right w:val="single" w:sz="2" w:space="0" w:color="auto"/>
            </w:tcBorders>
            <w:vAlign w:val="center"/>
            <w:hideMark/>
          </w:tcPr>
          <w:p w14:paraId="61BCAFCA" w14:textId="77777777" w:rsidR="004E3FDC" w:rsidRPr="0077700D" w:rsidRDefault="004E3FDC" w:rsidP="00450B7A">
            <w:pPr>
              <w:widowControl w:val="0"/>
              <w:spacing w:after="0" w:line="240" w:lineRule="auto"/>
              <w:jc w:val="center"/>
              <w:rPr>
                <w:rFonts w:ascii="Cambria" w:eastAsia="Times New Roman" w:hAnsi="Cambria"/>
                <w:lang w:val="hr-HR"/>
              </w:rPr>
            </w:pPr>
            <w:r w:rsidRPr="0077700D">
              <w:rPr>
                <w:rFonts w:ascii="Cambria" w:eastAsia="Times New Roman" w:hAnsi="Cambria"/>
                <w:lang w:val="hr-HR"/>
              </w:rPr>
              <w:t>30</w:t>
            </w:r>
          </w:p>
        </w:tc>
        <w:tc>
          <w:tcPr>
            <w:tcW w:w="551" w:type="pct"/>
            <w:tcBorders>
              <w:top w:val="single" w:sz="2" w:space="0" w:color="auto"/>
              <w:left w:val="single" w:sz="2" w:space="0" w:color="auto"/>
              <w:bottom w:val="single" w:sz="2" w:space="0" w:color="auto"/>
              <w:right w:val="single" w:sz="2" w:space="0" w:color="auto"/>
            </w:tcBorders>
            <w:vAlign w:val="center"/>
            <w:hideMark/>
          </w:tcPr>
          <w:p w14:paraId="1EB0BBAA"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5</w:t>
            </w:r>
          </w:p>
        </w:tc>
      </w:tr>
      <w:tr w:rsidR="004E3FDC" w:rsidRPr="0077700D" w14:paraId="5375FAFD" w14:textId="77777777" w:rsidTr="00450B7A">
        <w:trPr>
          <w:cantSplit/>
          <w:jc w:val="center"/>
        </w:trPr>
        <w:tc>
          <w:tcPr>
            <w:tcW w:w="1481" w:type="pct"/>
            <w:tcBorders>
              <w:top w:val="single" w:sz="2" w:space="0" w:color="auto"/>
              <w:left w:val="single" w:sz="2" w:space="0" w:color="auto"/>
              <w:bottom w:val="single" w:sz="2" w:space="0" w:color="auto"/>
              <w:right w:val="single" w:sz="2" w:space="0" w:color="auto"/>
            </w:tcBorders>
            <w:vAlign w:val="center"/>
            <w:hideMark/>
          </w:tcPr>
          <w:p w14:paraId="3E53AEDA" w14:textId="77777777" w:rsidR="004E3FDC" w:rsidRPr="0077700D" w:rsidRDefault="004E3FDC" w:rsidP="00450B7A">
            <w:pPr>
              <w:widowControl w:val="0"/>
              <w:spacing w:after="0" w:line="240" w:lineRule="auto"/>
              <w:rPr>
                <w:rFonts w:ascii="Cambria" w:eastAsia="Times New Roman" w:hAnsi="Cambria"/>
                <w:b/>
                <w:lang w:val="hr-HR"/>
              </w:rPr>
            </w:pPr>
            <w:r w:rsidRPr="0077700D">
              <w:rPr>
                <w:rFonts w:ascii="Cambria" w:eastAsia="Times New Roman" w:hAnsi="Cambria"/>
                <w:b/>
                <w:lang w:val="hr-HR"/>
              </w:rPr>
              <w:t>156758</w:t>
            </w:r>
          </w:p>
          <w:p w14:paraId="2B67B857" w14:textId="77777777" w:rsidR="004E3FDC" w:rsidRPr="0077700D" w:rsidRDefault="004E3FDC" w:rsidP="00450B7A">
            <w:pPr>
              <w:widowControl w:val="0"/>
              <w:spacing w:after="0" w:line="240" w:lineRule="auto"/>
              <w:rPr>
                <w:rFonts w:ascii="Cambria" w:eastAsia="Times New Roman" w:hAnsi="Cambria"/>
                <w:lang w:val="hr-HR"/>
              </w:rPr>
            </w:pPr>
            <w:r w:rsidRPr="0077700D">
              <w:rPr>
                <w:rFonts w:ascii="Cambria" w:eastAsia="Times New Roman" w:hAnsi="Cambria"/>
                <w:lang w:val="hr-HR"/>
              </w:rPr>
              <w:t>Metodika nastave prirode i društva I</w:t>
            </w:r>
          </w:p>
        </w:tc>
        <w:tc>
          <w:tcPr>
            <w:tcW w:w="2026" w:type="pct"/>
            <w:tcBorders>
              <w:top w:val="single" w:sz="2" w:space="0" w:color="auto"/>
              <w:left w:val="single" w:sz="2" w:space="0" w:color="auto"/>
              <w:bottom w:val="single" w:sz="2" w:space="0" w:color="auto"/>
              <w:right w:val="single" w:sz="2" w:space="0" w:color="auto"/>
            </w:tcBorders>
            <w:vAlign w:val="center"/>
            <w:hideMark/>
          </w:tcPr>
          <w:p w14:paraId="45179E99" w14:textId="77777777" w:rsidR="004E3FDC" w:rsidRDefault="004E3FDC" w:rsidP="00450B7A">
            <w:pPr>
              <w:spacing w:after="0" w:line="240" w:lineRule="auto"/>
              <w:rPr>
                <w:rFonts w:ascii="Cambria" w:eastAsia="Times New Roman" w:hAnsi="Cambria"/>
                <w:lang w:val="hr-HR"/>
              </w:rPr>
            </w:pPr>
            <w:r>
              <w:rPr>
                <w:rFonts w:ascii="Cambria" w:eastAsia="Times New Roman" w:hAnsi="Cambria"/>
                <w:lang w:val="hr-HR"/>
              </w:rPr>
              <w:t>izv.</w:t>
            </w:r>
            <w:r w:rsidRPr="0077700D">
              <w:rPr>
                <w:rFonts w:ascii="Cambria" w:eastAsia="Times New Roman" w:hAnsi="Cambria"/>
                <w:lang w:val="hr-HR"/>
              </w:rPr>
              <w:t xml:space="preserve"> </w:t>
            </w:r>
            <w:r>
              <w:rPr>
                <w:rFonts w:ascii="Cambria" w:eastAsia="Times New Roman" w:hAnsi="Cambria"/>
                <w:lang w:val="hr-HR"/>
              </w:rPr>
              <w:t xml:space="preserve">prof. </w:t>
            </w:r>
            <w:r w:rsidRPr="0077700D">
              <w:rPr>
                <w:rFonts w:ascii="Cambria" w:eastAsia="Times New Roman" w:hAnsi="Cambria"/>
                <w:lang w:val="hr-HR"/>
              </w:rPr>
              <w:t>dr. sc. I</w:t>
            </w:r>
            <w:r>
              <w:rPr>
                <w:rFonts w:ascii="Cambria" w:eastAsia="Times New Roman" w:hAnsi="Cambria"/>
                <w:lang w:val="hr-HR"/>
              </w:rPr>
              <w:t>nes Kovačić</w:t>
            </w:r>
          </w:p>
          <w:p w14:paraId="362C27E1" w14:textId="77777777" w:rsidR="004E3FDC" w:rsidRPr="003C32F1" w:rsidRDefault="004E3FDC" w:rsidP="00450B7A">
            <w:pPr>
              <w:spacing w:after="0" w:line="240" w:lineRule="auto"/>
              <w:rPr>
                <w:rFonts w:ascii="Cambria" w:eastAsia="Times New Roman" w:hAnsi="Cambria"/>
                <w:lang w:val="hr-HR"/>
              </w:rPr>
            </w:pPr>
            <w:r>
              <w:rPr>
                <w:rFonts w:ascii="Cambria" w:eastAsia="Times New Roman" w:hAnsi="Cambria"/>
                <w:lang w:val="hr-HR"/>
              </w:rPr>
              <w:t>**</w:t>
            </w:r>
          </w:p>
        </w:tc>
        <w:tc>
          <w:tcPr>
            <w:tcW w:w="313" w:type="pct"/>
            <w:tcBorders>
              <w:top w:val="single" w:sz="2" w:space="0" w:color="auto"/>
              <w:left w:val="single" w:sz="2" w:space="0" w:color="auto"/>
              <w:bottom w:val="single" w:sz="2" w:space="0" w:color="auto"/>
              <w:right w:val="single" w:sz="2" w:space="0" w:color="auto"/>
            </w:tcBorders>
            <w:vAlign w:val="center"/>
            <w:hideMark/>
          </w:tcPr>
          <w:p w14:paraId="5702A37A" w14:textId="77777777" w:rsidR="004E3FDC" w:rsidRPr="0077700D" w:rsidRDefault="004E3FDC" w:rsidP="00450B7A">
            <w:pPr>
              <w:widowControl w:val="0"/>
              <w:spacing w:after="0" w:line="240" w:lineRule="auto"/>
              <w:jc w:val="center"/>
              <w:rPr>
                <w:rFonts w:ascii="Cambria" w:eastAsia="Times New Roman" w:hAnsi="Cambria"/>
                <w:lang w:val="hr-HR"/>
              </w:rPr>
            </w:pPr>
            <w:r w:rsidRPr="0077700D">
              <w:rPr>
                <w:rFonts w:ascii="Cambria" w:eastAsia="Times New Roman" w:hAnsi="Cambria"/>
                <w:lang w:val="hr-HR"/>
              </w:rPr>
              <w:t>30</w:t>
            </w:r>
          </w:p>
        </w:tc>
        <w:tc>
          <w:tcPr>
            <w:tcW w:w="314" w:type="pct"/>
            <w:tcBorders>
              <w:top w:val="single" w:sz="2" w:space="0" w:color="auto"/>
              <w:left w:val="single" w:sz="2" w:space="0" w:color="auto"/>
              <w:bottom w:val="single" w:sz="2" w:space="0" w:color="auto"/>
              <w:right w:val="single" w:sz="2" w:space="0" w:color="auto"/>
            </w:tcBorders>
            <w:vAlign w:val="center"/>
          </w:tcPr>
          <w:p w14:paraId="1B4656C4" w14:textId="77777777" w:rsidR="004E3FDC" w:rsidRPr="0077700D" w:rsidRDefault="004E3FDC" w:rsidP="00450B7A">
            <w:pPr>
              <w:widowControl w:val="0"/>
              <w:spacing w:after="0" w:line="240" w:lineRule="auto"/>
              <w:jc w:val="center"/>
              <w:rPr>
                <w:rFonts w:ascii="Cambria" w:eastAsia="Times New Roman" w:hAnsi="Cambria"/>
                <w:lang w:val="hr-HR"/>
              </w:rPr>
            </w:pPr>
            <w:r w:rsidRPr="0077700D">
              <w:rPr>
                <w:rFonts w:ascii="Cambria" w:eastAsia="Times New Roman" w:hAnsi="Cambria"/>
                <w:lang w:val="hr-HR"/>
              </w:rPr>
              <w:t>0</w:t>
            </w:r>
          </w:p>
        </w:tc>
        <w:tc>
          <w:tcPr>
            <w:tcW w:w="314" w:type="pct"/>
            <w:tcBorders>
              <w:top w:val="single" w:sz="2" w:space="0" w:color="auto"/>
              <w:left w:val="single" w:sz="2" w:space="0" w:color="auto"/>
              <w:bottom w:val="single" w:sz="2" w:space="0" w:color="auto"/>
              <w:right w:val="single" w:sz="2" w:space="0" w:color="auto"/>
            </w:tcBorders>
            <w:vAlign w:val="center"/>
            <w:hideMark/>
          </w:tcPr>
          <w:p w14:paraId="747B4FB4" w14:textId="77777777" w:rsidR="004E3FDC" w:rsidRPr="0077700D" w:rsidRDefault="004E3FDC" w:rsidP="00450B7A">
            <w:pPr>
              <w:widowControl w:val="0"/>
              <w:spacing w:after="0" w:line="240" w:lineRule="auto"/>
              <w:jc w:val="center"/>
              <w:rPr>
                <w:rFonts w:ascii="Cambria" w:eastAsia="Times New Roman" w:hAnsi="Cambria"/>
                <w:lang w:val="hr-HR"/>
              </w:rPr>
            </w:pPr>
            <w:r w:rsidRPr="0077700D">
              <w:rPr>
                <w:rFonts w:ascii="Cambria" w:eastAsia="Times New Roman" w:hAnsi="Cambria"/>
                <w:lang w:val="hr-HR"/>
              </w:rPr>
              <w:t>15</w:t>
            </w:r>
          </w:p>
        </w:tc>
        <w:tc>
          <w:tcPr>
            <w:tcW w:w="551" w:type="pct"/>
            <w:tcBorders>
              <w:top w:val="single" w:sz="2" w:space="0" w:color="auto"/>
              <w:left w:val="single" w:sz="2" w:space="0" w:color="auto"/>
              <w:bottom w:val="single" w:sz="2" w:space="0" w:color="auto"/>
              <w:right w:val="single" w:sz="2" w:space="0" w:color="auto"/>
            </w:tcBorders>
            <w:vAlign w:val="center"/>
            <w:hideMark/>
          </w:tcPr>
          <w:p w14:paraId="39AD9691"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5</w:t>
            </w:r>
          </w:p>
        </w:tc>
      </w:tr>
      <w:tr w:rsidR="004E3FDC" w:rsidRPr="0077700D" w14:paraId="1BEBB228" w14:textId="77777777" w:rsidTr="00450B7A">
        <w:trPr>
          <w:cantSplit/>
          <w:jc w:val="center"/>
        </w:trPr>
        <w:tc>
          <w:tcPr>
            <w:tcW w:w="1481" w:type="pct"/>
            <w:tcBorders>
              <w:top w:val="single" w:sz="2" w:space="0" w:color="auto"/>
              <w:left w:val="single" w:sz="2" w:space="0" w:color="auto"/>
              <w:bottom w:val="single" w:sz="2" w:space="0" w:color="auto"/>
              <w:right w:val="single" w:sz="2" w:space="0" w:color="auto"/>
            </w:tcBorders>
            <w:vAlign w:val="center"/>
            <w:hideMark/>
          </w:tcPr>
          <w:p w14:paraId="702A8C3B" w14:textId="77777777" w:rsidR="004E3FDC" w:rsidRPr="0077700D" w:rsidRDefault="004E3FDC" w:rsidP="00450B7A">
            <w:pPr>
              <w:widowControl w:val="0"/>
              <w:spacing w:after="0" w:line="240" w:lineRule="auto"/>
              <w:rPr>
                <w:rFonts w:ascii="Cambria" w:eastAsia="Times New Roman" w:hAnsi="Cambria"/>
                <w:b/>
                <w:lang w:val="hr-HR"/>
              </w:rPr>
            </w:pPr>
            <w:r w:rsidRPr="0077700D">
              <w:rPr>
                <w:rFonts w:ascii="Cambria" w:eastAsia="Times New Roman" w:hAnsi="Cambria"/>
                <w:b/>
                <w:lang w:val="hr-HR"/>
              </w:rPr>
              <w:t>96514</w:t>
            </w:r>
          </w:p>
          <w:p w14:paraId="2B52A8D9" w14:textId="77777777" w:rsidR="004E3FDC" w:rsidRPr="0077700D" w:rsidRDefault="004E3FDC" w:rsidP="00450B7A">
            <w:pPr>
              <w:spacing w:after="0" w:line="240" w:lineRule="auto"/>
              <w:rPr>
                <w:rFonts w:ascii="Cambria" w:eastAsia="Times New Roman" w:hAnsi="Cambria"/>
                <w:lang w:val="hr-HR"/>
              </w:rPr>
            </w:pPr>
            <w:r w:rsidRPr="0077700D">
              <w:rPr>
                <w:rFonts w:ascii="Cambria" w:eastAsia="Times New Roman" w:hAnsi="Cambria"/>
                <w:lang w:val="hr-HR"/>
              </w:rPr>
              <w:t>Metodika glazbene kulture III</w:t>
            </w:r>
          </w:p>
        </w:tc>
        <w:tc>
          <w:tcPr>
            <w:tcW w:w="2026" w:type="pct"/>
            <w:tcBorders>
              <w:top w:val="single" w:sz="2" w:space="0" w:color="auto"/>
              <w:left w:val="single" w:sz="2" w:space="0" w:color="auto"/>
              <w:bottom w:val="single" w:sz="2" w:space="0" w:color="auto"/>
              <w:right w:val="single" w:sz="2" w:space="0" w:color="auto"/>
            </w:tcBorders>
            <w:vAlign w:val="center"/>
            <w:hideMark/>
          </w:tcPr>
          <w:p w14:paraId="1D245896" w14:textId="77777777" w:rsidR="004E3FDC" w:rsidRPr="0077700D" w:rsidRDefault="004E3FDC" w:rsidP="00450B7A">
            <w:pPr>
              <w:spacing w:after="0" w:line="240" w:lineRule="auto"/>
              <w:rPr>
                <w:rFonts w:ascii="Cambria" w:eastAsia="Times New Roman" w:hAnsi="Cambria"/>
                <w:lang w:val="hr-HR"/>
              </w:rPr>
            </w:pPr>
            <w:r>
              <w:rPr>
                <w:rFonts w:ascii="Cambria" w:eastAsia="Times New Roman" w:hAnsi="Cambria"/>
                <w:lang w:val="hr-HR"/>
              </w:rPr>
              <w:t>prof. dr. sc. Ivana Paula Gortan-Carlin</w:t>
            </w:r>
          </w:p>
          <w:p w14:paraId="16673E79" w14:textId="77777777" w:rsidR="004E3FDC" w:rsidRPr="0077700D" w:rsidRDefault="004E3FDC" w:rsidP="00450B7A">
            <w:pPr>
              <w:spacing w:after="0" w:line="240" w:lineRule="auto"/>
              <w:rPr>
                <w:rFonts w:ascii="Cambria" w:eastAsia="Times New Roman" w:hAnsi="Cambria"/>
                <w:lang w:val="hr-HR"/>
              </w:rPr>
            </w:pPr>
            <w:r w:rsidRPr="0077700D">
              <w:rPr>
                <w:rFonts w:ascii="Cambria" w:eastAsia="Times New Roman" w:hAnsi="Cambria"/>
                <w:lang w:val="hr-HR"/>
              </w:rPr>
              <w:t>mr. sc. Branko Radić, pred.</w:t>
            </w:r>
          </w:p>
        </w:tc>
        <w:tc>
          <w:tcPr>
            <w:tcW w:w="313" w:type="pct"/>
            <w:tcBorders>
              <w:top w:val="single" w:sz="2" w:space="0" w:color="auto"/>
              <w:left w:val="single" w:sz="2" w:space="0" w:color="auto"/>
              <w:bottom w:val="single" w:sz="2" w:space="0" w:color="auto"/>
              <w:right w:val="single" w:sz="2" w:space="0" w:color="auto"/>
            </w:tcBorders>
            <w:vAlign w:val="center"/>
            <w:hideMark/>
          </w:tcPr>
          <w:p w14:paraId="11D4627B"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15</w:t>
            </w:r>
          </w:p>
        </w:tc>
        <w:tc>
          <w:tcPr>
            <w:tcW w:w="314" w:type="pct"/>
            <w:tcBorders>
              <w:top w:val="single" w:sz="2" w:space="0" w:color="auto"/>
              <w:left w:val="single" w:sz="2" w:space="0" w:color="auto"/>
              <w:bottom w:val="single" w:sz="2" w:space="0" w:color="auto"/>
              <w:right w:val="single" w:sz="2" w:space="0" w:color="auto"/>
            </w:tcBorders>
            <w:vAlign w:val="center"/>
          </w:tcPr>
          <w:p w14:paraId="1BD2B6D8"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0</w:t>
            </w:r>
          </w:p>
        </w:tc>
        <w:tc>
          <w:tcPr>
            <w:tcW w:w="314" w:type="pct"/>
            <w:tcBorders>
              <w:top w:val="single" w:sz="2" w:space="0" w:color="auto"/>
              <w:left w:val="single" w:sz="2" w:space="0" w:color="auto"/>
              <w:bottom w:val="single" w:sz="2" w:space="0" w:color="auto"/>
              <w:right w:val="single" w:sz="2" w:space="0" w:color="auto"/>
            </w:tcBorders>
            <w:vAlign w:val="center"/>
            <w:hideMark/>
          </w:tcPr>
          <w:p w14:paraId="7DBD2BBF"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45</w:t>
            </w:r>
          </w:p>
        </w:tc>
        <w:tc>
          <w:tcPr>
            <w:tcW w:w="551" w:type="pct"/>
            <w:tcBorders>
              <w:top w:val="single" w:sz="2" w:space="0" w:color="auto"/>
              <w:left w:val="single" w:sz="2" w:space="0" w:color="auto"/>
              <w:bottom w:val="single" w:sz="2" w:space="0" w:color="auto"/>
              <w:right w:val="single" w:sz="2" w:space="0" w:color="auto"/>
            </w:tcBorders>
            <w:vAlign w:val="center"/>
            <w:hideMark/>
          </w:tcPr>
          <w:p w14:paraId="5D442FD4"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3</w:t>
            </w:r>
          </w:p>
        </w:tc>
      </w:tr>
      <w:tr w:rsidR="004E3FDC" w:rsidRPr="0077700D" w14:paraId="1A3F0E4B" w14:textId="77777777" w:rsidTr="00450B7A">
        <w:trPr>
          <w:cantSplit/>
          <w:jc w:val="center"/>
        </w:trPr>
        <w:tc>
          <w:tcPr>
            <w:tcW w:w="1481" w:type="pct"/>
            <w:tcBorders>
              <w:top w:val="single" w:sz="2" w:space="0" w:color="auto"/>
              <w:left w:val="single" w:sz="2" w:space="0" w:color="auto"/>
              <w:bottom w:val="single" w:sz="2" w:space="0" w:color="auto"/>
              <w:right w:val="single" w:sz="2" w:space="0" w:color="auto"/>
            </w:tcBorders>
            <w:vAlign w:val="center"/>
            <w:hideMark/>
          </w:tcPr>
          <w:p w14:paraId="3C1E6FB7" w14:textId="77777777" w:rsidR="004E3FDC" w:rsidRPr="0077700D" w:rsidRDefault="004E3FDC" w:rsidP="00450B7A">
            <w:pPr>
              <w:widowControl w:val="0"/>
              <w:spacing w:after="0" w:line="240" w:lineRule="auto"/>
              <w:rPr>
                <w:rFonts w:ascii="Cambria" w:eastAsia="Times New Roman" w:hAnsi="Cambria"/>
                <w:b/>
                <w:lang w:val="hr-HR"/>
              </w:rPr>
            </w:pPr>
            <w:r w:rsidRPr="0077700D">
              <w:rPr>
                <w:rFonts w:ascii="Cambria" w:eastAsia="Times New Roman" w:hAnsi="Cambria"/>
                <w:b/>
                <w:lang w:val="hr-HR"/>
              </w:rPr>
              <w:t>96515</w:t>
            </w:r>
          </w:p>
          <w:p w14:paraId="76B08862" w14:textId="77777777" w:rsidR="004E3FDC" w:rsidRPr="0077700D" w:rsidRDefault="004E3FDC" w:rsidP="00450B7A">
            <w:pPr>
              <w:spacing w:after="0" w:line="240" w:lineRule="auto"/>
              <w:rPr>
                <w:rFonts w:ascii="Cambria" w:eastAsia="Times New Roman" w:hAnsi="Cambria"/>
                <w:lang w:val="hr-HR"/>
              </w:rPr>
            </w:pPr>
            <w:r w:rsidRPr="0077700D">
              <w:rPr>
                <w:rFonts w:ascii="Cambria" w:eastAsia="Times New Roman" w:hAnsi="Cambria"/>
                <w:lang w:val="hr-HR"/>
              </w:rPr>
              <w:t>Metodika likovne kulture II</w:t>
            </w:r>
          </w:p>
        </w:tc>
        <w:tc>
          <w:tcPr>
            <w:tcW w:w="2026" w:type="pct"/>
            <w:tcBorders>
              <w:top w:val="single" w:sz="2" w:space="0" w:color="auto"/>
              <w:left w:val="single" w:sz="2" w:space="0" w:color="auto"/>
              <w:bottom w:val="single" w:sz="2" w:space="0" w:color="auto"/>
              <w:right w:val="single" w:sz="2" w:space="0" w:color="auto"/>
            </w:tcBorders>
            <w:vAlign w:val="center"/>
            <w:hideMark/>
          </w:tcPr>
          <w:p w14:paraId="6D6D0DB0" w14:textId="77777777" w:rsidR="004E3FDC" w:rsidRPr="0077700D" w:rsidRDefault="004E3FDC" w:rsidP="00450B7A">
            <w:pPr>
              <w:spacing w:after="0" w:line="240" w:lineRule="auto"/>
              <w:rPr>
                <w:rFonts w:ascii="Cambria" w:eastAsia="Times New Roman" w:hAnsi="Cambria"/>
                <w:lang w:val="hr-HR"/>
              </w:rPr>
            </w:pPr>
            <w:r w:rsidRPr="0077700D">
              <w:rPr>
                <w:rFonts w:ascii="Cambria" w:eastAsia="Times New Roman" w:hAnsi="Cambria"/>
                <w:lang w:val="hr-HR"/>
              </w:rPr>
              <w:t xml:space="preserve">izv. prof. art. Aleksandra </w:t>
            </w:r>
            <w:proofErr w:type="spellStart"/>
            <w:r w:rsidRPr="0077700D">
              <w:rPr>
                <w:rFonts w:ascii="Cambria" w:eastAsia="Times New Roman" w:hAnsi="Cambria"/>
                <w:lang w:val="hr-HR"/>
              </w:rPr>
              <w:t>Rotar</w:t>
            </w:r>
            <w:proofErr w:type="spellEnd"/>
          </w:p>
        </w:tc>
        <w:tc>
          <w:tcPr>
            <w:tcW w:w="313" w:type="pct"/>
            <w:tcBorders>
              <w:top w:val="single" w:sz="2" w:space="0" w:color="auto"/>
              <w:left w:val="single" w:sz="2" w:space="0" w:color="auto"/>
              <w:bottom w:val="single" w:sz="2" w:space="0" w:color="auto"/>
              <w:right w:val="single" w:sz="2" w:space="0" w:color="auto"/>
            </w:tcBorders>
            <w:vAlign w:val="center"/>
            <w:hideMark/>
          </w:tcPr>
          <w:p w14:paraId="0BB2FCF8"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30</w:t>
            </w:r>
          </w:p>
        </w:tc>
        <w:tc>
          <w:tcPr>
            <w:tcW w:w="314" w:type="pct"/>
            <w:tcBorders>
              <w:top w:val="single" w:sz="2" w:space="0" w:color="auto"/>
              <w:left w:val="single" w:sz="2" w:space="0" w:color="auto"/>
              <w:bottom w:val="single" w:sz="2" w:space="0" w:color="auto"/>
              <w:right w:val="single" w:sz="2" w:space="0" w:color="auto"/>
            </w:tcBorders>
            <w:vAlign w:val="center"/>
          </w:tcPr>
          <w:p w14:paraId="6C9F7C73"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0</w:t>
            </w:r>
          </w:p>
        </w:tc>
        <w:tc>
          <w:tcPr>
            <w:tcW w:w="314" w:type="pct"/>
            <w:tcBorders>
              <w:top w:val="single" w:sz="2" w:space="0" w:color="auto"/>
              <w:left w:val="single" w:sz="2" w:space="0" w:color="auto"/>
              <w:bottom w:val="single" w:sz="2" w:space="0" w:color="auto"/>
              <w:right w:val="single" w:sz="2" w:space="0" w:color="auto"/>
            </w:tcBorders>
            <w:vAlign w:val="center"/>
            <w:hideMark/>
          </w:tcPr>
          <w:p w14:paraId="3D76371F"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15</w:t>
            </w:r>
          </w:p>
        </w:tc>
        <w:tc>
          <w:tcPr>
            <w:tcW w:w="551" w:type="pct"/>
            <w:tcBorders>
              <w:top w:val="single" w:sz="2" w:space="0" w:color="auto"/>
              <w:left w:val="single" w:sz="2" w:space="0" w:color="auto"/>
              <w:bottom w:val="single" w:sz="2" w:space="0" w:color="auto"/>
              <w:right w:val="single" w:sz="2" w:space="0" w:color="auto"/>
            </w:tcBorders>
            <w:vAlign w:val="center"/>
            <w:hideMark/>
          </w:tcPr>
          <w:p w14:paraId="7B2D771A"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4</w:t>
            </w:r>
          </w:p>
        </w:tc>
      </w:tr>
      <w:tr w:rsidR="004E3FDC" w:rsidRPr="0077700D" w14:paraId="2290E76F" w14:textId="77777777" w:rsidTr="00450B7A">
        <w:trPr>
          <w:cantSplit/>
          <w:jc w:val="center"/>
        </w:trPr>
        <w:tc>
          <w:tcPr>
            <w:tcW w:w="1481" w:type="pct"/>
            <w:tcBorders>
              <w:top w:val="single" w:sz="2" w:space="0" w:color="auto"/>
              <w:left w:val="single" w:sz="2" w:space="0" w:color="auto"/>
              <w:bottom w:val="single" w:sz="2" w:space="0" w:color="auto"/>
              <w:right w:val="single" w:sz="2" w:space="0" w:color="auto"/>
            </w:tcBorders>
            <w:vAlign w:val="center"/>
            <w:hideMark/>
          </w:tcPr>
          <w:p w14:paraId="001411D1" w14:textId="77777777" w:rsidR="004E3FDC" w:rsidRPr="0077700D" w:rsidRDefault="004E3FDC" w:rsidP="00450B7A">
            <w:pPr>
              <w:widowControl w:val="0"/>
              <w:spacing w:after="0" w:line="240" w:lineRule="auto"/>
              <w:rPr>
                <w:rFonts w:ascii="Cambria" w:eastAsia="Times New Roman" w:hAnsi="Cambria"/>
                <w:b/>
                <w:lang w:val="hr-HR"/>
              </w:rPr>
            </w:pPr>
            <w:r w:rsidRPr="0077700D">
              <w:rPr>
                <w:rFonts w:ascii="Cambria" w:eastAsia="Times New Roman" w:hAnsi="Cambria"/>
                <w:b/>
                <w:lang w:val="hr-HR"/>
              </w:rPr>
              <w:t>96518</w:t>
            </w:r>
          </w:p>
          <w:p w14:paraId="1CFC25BE" w14:textId="77777777" w:rsidR="004E3FDC" w:rsidRPr="0077700D" w:rsidRDefault="004E3FDC" w:rsidP="00450B7A">
            <w:pPr>
              <w:widowControl w:val="0"/>
              <w:spacing w:after="0" w:line="240" w:lineRule="auto"/>
              <w:rPr>
                <w:rFonts w:ascii="Cambria" w:eastAsia="Times New Roman" w:hAnsi="Cambria"/>
                <w:lang w:val="hr-HR"/>
              </w:rPr>
            </w:pPr>
            <w:r w:rsidRPr="0077700D">
              <w:rPr>
                <w:rFonts w:ascii="Cambria" w:eastAsia="Times New Roman" w:hAnsi="Cambria"/>
                <w:lang w:val="hr-HR"/>
              </w:rPr>
              <w:t>Kineziološka metodika I</w:t>
            </w:r>
          </w:p>
        </w:tc>
        <w:tc>
          <w:tcPr>
            <w:tcW w:w="2026" w:type="pct"/>
            <w:tcBorders>
              <w:top w:val="single" w:sz="2" w:space="0" w:color="auto"/>
              <w:left w:val="single" w:sz="2" w:space="0" w:color="auto"/>
              <w:bottom w:val="single" w:sz="2" w:space="0" w:color="auto"/>
              <w:right w:val="single" w:sz="2" w:space="0" w:color="auto"/>
            </w:tcBorders>
            <w:vAlign w:val="center"/>
            <w:hideMark/>
          </w:tcPr>
          <w:p w14:paraId="1040A0F3" w14:textId="77777777" w:rsidR="004E3FDC" w:rsidRPr="0077700D" w:rsidRDefault="004E3FDC" w:rsidP="00450B7A">
            <w:pPr>
              <w:spacing w:after="0" w:line="240" w:lineRule="auto"/>
              <w:rPr>
                <w:rFonts w:ascii="Cambria" w:eastAsia="Times New Roman" w:hAnsi="Cambria"/>
                <w:lang w:val="hr-HR"/>
              </w:rPr>
            </w:pPr>
            <w:r w:rsidRPr="0077700D">
              <w:rPr>
                <w:rFonts w:ascii="Cambria" w:eastAsia="Times New Roman" w:hAnsi="Cambria"/>
                <w:lang w:val="hr-HR"/>
              </w:rPr>
              <w:t>prof. dr. sc. Iva Blažević</w:t>
            </w:r>
          </w:p>
        </w:tc>
        <w:tc>
          <w:tcPr>
            <w:tcW w:w="313" w:type="pct"/>
            <w:tcBorders>
              <w:top w:val="single" w:sz="2" w:space="0" w:color="auto"/>
              <w:left w:val="single" w:sz="2" w:space="0" w:color="auto"/>
              <w:bottom w:val="single" w:sz="2" w:space="0" w:color="auto"/>
              <w:right w:val="single" w:sz="2" w:space="0" w:color="auto"/>
            </w:tcBorders>
            <w:vAlign w:val="center"/>
            <w:hideMark/>
          </w:tcPr>
          <w:p w14:paraId="1A6B50DD" w14:textId="77777777" w:rsidR="004E3FDC" w:rsidRPr="0077700D" w:rsidRDefault="004E3FDC" w:rsidP="00450B7A">
            <w:pPr>
              <w:widowControl w:val="0"/>
              <w:spacing w:after="0" w:line="240" w:lineRule="auto"/>
              <w:jc w:val="center"/>
              <w:rPr>
                <w:rFonts w:ascii="Cambria" w:eastAsia="Times New Roman" w:hAnsi="Cambria"/>
                <w:lang w:val="hr-HR"/>
              </w:rPr>
            </w:pPr>
            <w:r w:rsidRPr="0077700D">
              <w:rPr>
                <w:rFonts w:ascii="Cambria" w:eastAsia="Times New Roman" w:hAnsi="Cambria"/>
                <w:lang w:val="hr-HR"/>
              </w:rPr>
              <w:t>30</w:t>
            </w:r>
          </w:p>
        </w:tc>
        <w:tc>
          <w:tcPr>
            <w:tcW w:w="314" w:type="pct"/>
            <w:tcBorders>
              <w:top w:val="single" w:sz="2" w:space="0" w:color="auto"/>
              <w:left w:val="single" w:sz="2" w:space="0" w:color="auto"/>
              <w:bottom w:val="single" w:sz="2" w:space="0" w:color="auto"/>
              <w:right w:val="single" w:sz="2" w:space="0" w:color="auto"/>
            </w:tcBorders>
            <w:vAlign w:val="center"/>
          </w:tcPr>
          <w:p w14:paraId="2209E5CF" w14:textId="77777777" w:rsidR="004E3FDC" w:rsidRPr="0077700D" w:rsidRDefault="004E3FDC" w:rsidP="00450B7A">
            <w:pPr>
              <w:widowControl w:val="0"/>
              <w:spacing w:after="0" w:line="240" w:lineRule="auto"/>
              <w:jc w:val="center"/>
              <w:rPr>
                <w:rFonts w:ascii="Cambria" w:eastAsia="Times New Roman" w:hAnsi="Cambria"/>
                <w:lang w:val="hr-HR"/>
              </w:rPr>
            </w:pPr>
            <w:r w:rsidRPr="0077700D">
              <w:rPr>
                <w:rFonts w:ascii="Cambria" w:eastAsia="Times New Roman" w:hAnsi="Cambria"/>
                <w:lang w:val="hr-HR"/>
              </w:rPr>
              <w:t>0</w:t>
            </w:r>
          </w:p>
        </w:tc>
        <w:tc>
          <w:tcPr>
            <w:tcW w:w="314" w:type="pct"/>
            <w:tcBorders>
              <w:top w:val="single" w:sz="2" w:space="0" w:color="auto"/>
              <w:left w:val="single" w:sz="2" w:space="0" w:color="auto"/>
              <w:bottom w:val="single" w:sz="2" w:space="0" w:color="auto"/>
              <w:right w:val="single" w:sz="2" w:space="0" w:color="auto"/>
            </w:tcBorders>
            <w:vAlign w:val="center"/>
            <w:hideMark/>
          </w:tcPr>
          <w:p w14:paraId="70C20087" w14:textId="77777777" w:rsidR="004E3FDC" w:rsidRPr="0077700D" w:rsidRDefault="004E3FDC" w:rsidP="00450B7A">
            <w:pPr>
              <w:widowControl w:val="0"/>
              <w:spacing w:after="0" w:line="240" w:lineRule="auto"/>
              <w:jc w:val="center"/>
              <w:rPr>
                <w:rFonts w:ascii="Cambria" w:eastAsia="Times New Roman" w:hAnsi="Cambria"/>
                <w:lang w:val="hr-HR"/>
              </w:rPr>
            </w:pPr>
            <w:r w:rsidRPr="0077700D">
              <w:rPr>
                <w:rFonts w:ascii="Cambria" w:eastAsia="Times New Roman" w:hAnsi="Cambria"/>
                <w:lang w:val="hr-HR"/>
              </w:rPr>
              <w:t>15</w:t>
            </w:r>
          </w:p>
        </w:tc>
        <w:tc>
          <w:tcPr>
            <w:tcW w:w="551" w:type="pct"/>
            <w:tcBorders>
              <w:top w:val="single" w:sz="2" w:space="0" w:color="auto"/>
              <w:left w:val="single" w:sz="2" w:space="0" w:color="auto"/>
              <w:bottom w:val="single" w:sz="2" w:space="0" w:color="auto"/>
              <w:right w:val="single" w:sz="2" w:space="0" w:color="auto"/>
            </w:tcBorders>
            <w:vAlign w:val="center"/>
            <w:hideMark/>
          </w:tcPr>
          <w:p w14:paraId="5D9B1C13"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4</w:t>
            </w:r>
          </w:p>
        </w:tc>
      </w:tr>
      <w:tr w:rsidR="004E3FDC" w:rsidRPr="0077700D" w14:paraId="34A97013" w14:textId="77777777" w:rsidTr="00450B7A">
        <w:trPr>
          <w:cantSplit/>
          <w:jc w:val="center"/>
        </w:trPr>
        <w:tc>
          <w:tcPr>
            <w:tcW w:w="1481" w:type="pct"/>
            <w:tcBorders>
              <w:top w:val="single" w:sz="2" w:space="0" w:color="auto"/>
              <w:left w:val="single" w:sz="2" w:space="0" w:color="auto"/>
              <w:bottom w:val="single" w:sz="2" w:space="0" w:color="auto"/>
              <w:right w:val="single" w:sz="2" w:space="0" w:color="auto"/>
            </w:tcBorders>
            <w:vAlign w:val="center"/>
            <w:hideMark/>
          </w:tcPr>
          <w:p w14:paraId="2C0B61B2" w14:textId="77777777" w:rsidR="004E3FDC" w:rsidRPr="0077700D" w:rsidRDefault="004E3FDC" w:rsidP="00450B7A">
            <w:pPr>
              <w:spacing w:after="0" w:line="240" w:lineRule="auto"/>
              <w:rPr>
                <w:rFonts w:ascii="Cambria" w:eastAsia="Times New Roman" w:hAnsi="Cambria"/>
                <w:lang w:val="hr-HR"/>
              </w:rPr>
            </w:pPr>
            <w:r w:rsidRPr="0077700D">
              <w:rPr>
                <w:rFonts w:ascii="Cambria" w:eastAsia="Times New Roman" w:hAnsi="Cambria"/>
                <w:lang w:val="hr-HR"/>
              </w:rPr>
              <w:t>Izborni modul I</w:t>
            </w:r>
          </w:p>
        </w:tc>
        <w:tc>
          <w:tcPr>
            <w:tcW w:w="2026" w:type="pct"/>
            <w:tcBorders>
              <w:top w:val="single" w:sz="2" w:space="0" w:color="auto"/>
              <w:left w:val="single" w:sz="2" w:space="0" w:color="auto"/>
              <w:bottom w:val="single" w:sz="2" w:space="0" w:color="auto"/>
              <w:right w:val="single" w:sz="2" w:space="0" w:color="auto"/>
            </w:tcBorders>
            <w:vAlign w:val="center"/>
          </w:tcPr>
          <w:p w14:paraId="4BAFB15F" w14:textId="77777777" w:rsidR="004E3FDC" w:rsidRPr="0077700D" w:rsidRDefault="004E3FDC" w:rsidP="00450B7A">
            <w:pPr>
              <w:spacing w:after="0" w:line="240" w:lineRule="auto"/>
              <w:rPr>
                <w:rFonts w:ascii="Cambria" w:eastAsia="Times New Roman" w:hAnsi="Cambria"/>
                <w:lang w:val="hr-HR"/>
              </w:rPr>
            </w:pPr>
          </w:p>
        </w:tc>
        <w:tc>
          <w:tcPr>
            <w:tcW w:w="313" w:type="pct"/>
            <w:tcBorders>
              <w:top w:val="single" w:sz="2" w:space="0" w:color="auto"/>
              <w:left w:val="single" w:sz="2" w:space="0" w:color="auto"/>
              <w:bottom w:val="single" w:sz="2" w:space="0" w:color="auto"/>
              <w:right w:val="single" w:sz="2" w:space="0" w:color="auto"/>
            </w:tcBorders>
            <w:vAlign w:val="center"/>
          </w:tcPr>
          <w:p w14:paraId="2E345CD5" w14:textId="77777777" w:rsidR="004E3FDC" w:rsidRPr="0077700D" w:rsidRDefault="004E3FDC" w:rsidP="00450B7A">
            <w:pPr>
              <w:widowControl w:val="0"/>
              <w:spacing w:after="0" w:line="240" w:lineRule="auto"/>
              <w:jc w:val="center"/>
              <w:rPr>
                <w:rFonts w:ascii="Cambria" w:eastAsia="Times New Roman" w:hAnsi="Cambria"/>
                <w:lang w:val="hr-HR"/>
              </w:rPr>
            </w:pPr>
          </w:p>
        </w:tc>
        <w:tc>
          <w:tcPr>
            <w:tcW w:w="314" w:type="pct"/>
            <w:tcBorders>
              <w:top w:val="single" w:sz="2" w:space="0" w:color="auto"/>
              <w:left w:val="single" w:sz="2" w:space="0" w:color="auto"/>
              <w:bottom w:val="single" w:sz="2" w:space="0" w:color="auto"/>
              <w:right w:val="single" w:sz="2" w:space="0" w:color="auto"/>
            </w:tcBorders>
            <w:vAlign w:val="center"/>
          </w:tcPr>
          <w:p w14:paraId="29DA309F" w14:textId="77777777" w:rsidR="004E3FDC" w:rsidRPr="0077700D" w:rsidRDefault="004E3FDC" w:rsidP="00450B7A">
            <w:pPr>
              <w:widowControl w:val="0"/>
              <w:spacing w:after="0" w:line="240" w:lineRule="auto"/>
              <w:jc w:val="center"/>
              <w:rPr>
                <w:rFonts w:ascii="Cambria" w:eastAsia="Times New Roman" w:hAnsi="Cambria"/>
                <w:lang w:val="hr-HR"/>
              </w:rPr>
            </w:pPr>
          </w:p>
        </w:tc>
        <w:tc>
          <w:tcPr>
            <w:tcW w:w="314" w:type="pct"/>
            <w:tcBorders>
              <w:top w:val="single" w:sz="2" w:space="0" w:color="auto"/>
              <w:left w:val="single" w:sz="2" w:space="0" w:color="auto"/>
              <w:bottom w:val="single" w:sz="2" w:space="0" w:color="auto"/>
              <w:right w:val="single" w:sz="2" w:space="0" w:color="auto"/>
            </w:tcBorders>
            <w:vAlign w:val="center"/>
          </w:tcPr>
          <w:p w14:paraId="3288040D" w14:textId="77777777" w:rsidR="004E3FDC" w:rsidRPr="0077700D" w:rsidRDefault="004E3FDC" w:rsidP="00450B7A">
            <w:pPr>
              <w:widowControl w:val="0"/>
              <w:spacing w:after="0" w:line="240" w:lineRule="auto"/>
              <w:jc w:val="center"/>
              <w:rPr>
                <w:rFonts w:ascii="Cambria" w:eastAsia="Times New Roman" w:hAnsi="Cambria"/>
                <w:lang w:val="hr-HR"/>
              </w:rPr>
            </w:pPr>
          </w:p>
        </w:tc>
        <w:tc>
          <w:tcPr>
            <w:tcW w:w="551" w:type="pct"/>
            <w:tcBorders>
              <w:top w:val="single" w:sz="2" w:space="0" w:color="auto"/>
              <w:left w:val="single" w:sz="2" w:space="0" w:color="auto"/>
              <w:bottom w:val="single" w:sz="2" w:space="0" w:color="auto"/>
              <w:right w:val="single" w:sz="2" w:space="0" w:color="auto"/>
            </w:tcBorders>
            <w:vAlign w:val="center"/>
            <w:hideMark/>
          </w:tcPr>
          <w:p w14:paraId="27103AB8"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2+2</w:t>
            </w:r>
          </w:p>
        </w:tc>
      </w:tr>
      <w:tr w:rsidR="004E3FDC" w:rsidRPr="0077700D" w14:paraId="2B7EDAE8" w14:textId="77777777" w:rsidTr="00450B7A">
        <w:trPr>
          <w:cantSplit/>
          <w:jc w:val="center"/>
        </w:trPr>
        <w:tc>
          <w:tcPr>
            <w:tcW w:w="1481" w:type="pct"/>
            <w:tcBorders>
              <w:top w:val="single" w:sz="2" w:space="0" w:color="auto"/>
              <w:left w:val="single" w:sz="2" w:space="0" w:color="auto"/>
              <w:bottom w:val="single" w:sz="2" w:space="0" w:color="auto"/>
              <w:right w:val="single" w:sz="2" w:space="0" w:color="auto"/>
            </w:tcBorders>
            <w:vAlign w:val="center"/>
            <w:hideMark/>
          </w:tcPr>
          <w:p w14:paraId="633D4A76" w14:textId="77777777" w:rsidR="004E3FDC" w:rsidRPr="0077700D" w:rsidRDefault="004E3FDC" w:rsidP="00450B7A">
            <w:pPr>
              <w:spacing w:after="0" w:line="240" w:lineRule="auto"/>
              <w:rPr>
                <w:rFonts w:ascii="Cambria" w:eastAsia="Times New Roman" w:hAnsi="Cambria"/>
                <w:lang w:val="hr-HR"/>
              </w:rPr>
            </w:pPr>
            <w:r w:rsidRPr="0077700D">
              <w:rPr>
                <w:rFonts w:ascii="Cambria" w:eastAsia="Times New Roman" w:hAnsi="Cambria"/>
                <w:lang w:val="hr-HR"/>
              </w:rPr>
              <w:t>Izborni modul II</w:t>
            </w:r>
          </w:p>
        </w:tc>
        <w:tc>
          <w:tcPr>
            <w:tcW w:w="2026" w:type="pct"/>
            <w:tcBorders>
              <w:top w:val="single" w:sz="2" w:space="0" w:color="auto"/>
              <w:left w:val="single" w:sz="2" w:space="0" w:color="auto"/>
              <w:bottom w:val="single" w:sz="2" w:space="0" w:color="auto"/>
              <w:right w:val="single" w:sz="2" w:space="0" w:color="auto"/>
            </w:tcBorders>
            <w:vAlign w:val="center"/>
          </w:tcPr>
          <w:p w14:paraId="415E8E99" w14:textId="77777777" w:rsidR="004E3FDC" w:rsidRPr="0077700D" w:rsidRDefault="004E3FDC" w:rsidP="00450B7A">
            <w:pPr>
              <w:spacing w:after="0" w:line="240" w:lineRule="auto"/>
              <w:rPr>
                <w:rFonts w:ascii="Cambria" w:eastAsia="Times New Roman" w:hAnsi="Cambria"/>
                <w:lang w:val="hr-HR"/>
              </w:rPr>
            </w:pPr>
          </w:p>
        </w:tc>
        <w:tc>
          <w:tcPr>
            <w:tcW w:w="313" w:type="pct"/>
            <w:tcBorders>
              <w:top w:val="single" w:sz="2" w:space="0" w:color="auto"/>
              <w:left w:val="single" w:sz="2" w:space="0" w:color="auto"/>
              <w:bottom w:val="single" w:sz="2" w:space="0" w:color="auto"/>
              <w:right w:val="single" w:sz="2" w:space="0" w:color="auto"/>
            </w:tcBorders>
            <w:vAlign w:val="center"/>
          </w:tcPr>
          <w:p w14:paraId="6391557A" w14:textId="77777777" w:rsidR="004E3FDC" w:rsidRPr="0077700D" w:rsidRDefault="004E3FDC" w:rsidP="00450B7A">
            <w:pPr>
              <w:widowControl w:val="0"/>
              <w:spacing w:after="0" w:line="240" w:lineRule="auto"/>
              <w:jc w:val="center"/>
              <w:rPr>
                <w:rFonts w:ascii="Cambria" w:eastAsia="Times New Roman" w:hAnsi="Cambria"/>
                <w:lang w:val="hr-HR"/>
              </w:rPr>
            </w:pPr>
          </w:p>
        </w:tc>
        <w:tc>
          <w:tcPr>
            <w:tcW w:w="314" w:type="pct"/>
            <w:tcBorders>
              <w:top w:val="single" w:sz="2" w:space="0" w:color="auto"/>
              <w:left w:val="single" w:sz="2" w:space="0" w:color="auto"/>
              <w:bottom w:val="single" w:sz="2" w:space="0" w:color="auto"/>
              <w:right w:val="single" w:sz="2" w:space="0" w:color="auto"/>
            </w:tcBorders>
            <w:vAlign w:val="center"/>
          </w:tcPr>
          <w:p w14:paraId="5989179D" w14:textId="77777777" w:rsidR="004E3FDC" w:rsidRPr="0077700D" w:rsidRDefault="004E3FDC" w:rsidP="00450B7A">
            <w:pPr>
              <w:widowControl w:val="0"/>
              <w:spacing w:after="0" w:line="240" w:lineRule="auto"/>
              <w:jc w:val="center"/>
              <w:rPr>
                <w:rFonts w:ascii="Cambria" w:eastAsia="Times New Roman" w:hAnsi="Cambria"/>
                <w:lang w:val="hr-HR"/>
              </w:rPr>
            </w:pPr>
          </w:p>
        </w:tc>
        <w:tc>
          <w:tcPr>
            <w:tcW w:w="314" w:type="pct"/>
            <w:tcBorders>
              <w:top w:val="single" w:sz="2" w:space="0" w:color="auto"/>
              <w:left w:val="single" w:sz="2" w:space="0" w:color="auto"/>
              <w:bottom w:val="single" w:sz="2" w:space="0" w:color="auto"/>
              <w:right w:val="single" w:sz="2" w:space="0" w:color="auto"/>
            </w:tcBorders>
            <w:vAlign w:val="center"/>
          </w:tcPr>
          <w:p w14:paraId="7B5BCA42" w14:textId="77777777" w:rsidR="004E3FDC" w:rsidRPr="0077700D" w:rsidRDefault="004E3FDC" w:rsidP="00450B7A">
            <w:pPr>
              <w:widowControl w:val="0"/>
              <w:spacing w:after="0" w:line="240" w:lineRule="auto"/>
              <w:jc w:val="center"/>
              <w:rPr>
                <w:rFonts w:ascii="Cambria" w:eastAsia="Times New Roman" w:hAnsi="Cambria"/>
                <w:lang w:val="hr-HR"/>
              </w:rPr>
            </w:pPr>
          </w:p>
        </w:tc>
        <w:tc>
          <w:tcPr>
            <w:tcW w:w="551" w:type="pct"/>
            <w:tcBorders>
              <w:top w:val="single" w:sz="2" w:space="0" w:color="auto"/>
              <w:left w:val="single" w:sz="2" w:space="0" w:color="auto"/>
              <w:bottom w:val="single" w:sz="2" w:space="0" w:color="auto"/>
              <w:right w:val="single" w:sz="2" w:space="0" w:color="auto"/>
            </w:tcBorders>
            <w:vAlign w:val="center"/>
            <w:hideMark/>
          </w:tcPr>
          <w:p w14:paraId="0B6B3938"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2+2</w:t>
            </w:r>
          </w:p>
        </w:tc>
      </w:tr>
      <w:tr w:rsidR="004E3FDC" w:rsidRPr="0077700D" w14:paraId="73FEEDD4" w14:textId="77777777" w:rsidTr="00450B7A">
        <w:trPr>
          <w:cantSplit/>
          <w:jc w:val="center"/>
        </w:trPr>
        <w:tc>
          <w:tcPr>
            <w:tcW w:w="1481" w:type="pct"/>
            <w:tcBorders>
              <w:top w:val="single" w:sz="2" w:space="0" w:color="auto"/>
              <w:left w:val="single" w:sz="2" w:space="0" w:color="auto"/>
              <w:bottom w:val="single" w:sz="2" w:space="0" w:color="auto"/>
              <w:right w:val="single" w:sz="2" w:space="0" w:color="auto"/>
            </w:tcBorders>
            <w:vAlign w:val="center"/>
            <w:hideMark/>
          </w:tcPr>
          <w:p w14:paraId="3CA0CDA6" w14:textId="77777777" w:rsidR="004E3FDC" w:rsidRPr="0077700D" w:rsidRDefault="004E3FDC" w:rsidP="00450B7A">
            <w:pPr>
              <w:widowControl w:val="0"/>
              <w:spacing w:after="0" w:line="240" w:lineRule="auto"/>
              <w:rPr>
                <w:rFonts w:ascii="Cambria" w:eastAsia="Times New Roman" w:hAnsi="Cambria"/>
                <w:b/>
                <w:lang w:val="hr-HR"/>
              </w:rPr>
            </w:pPr>
            <w:r w:rsidRPr="0077700D">
              <w:rPr>
                <w:rFonts w:ascii="Cambria" w:eastAsia="Times New Roman" w:hAnsi="Cambria"/>
                <w:b/>
                <w:lang w:val="hr-HR"/>
              </w:rPr>
              <w:t>Ukupno</w:t>
            </w:r>
          </w:p>
        </w:tc>
        <w:tc>
          <w:tcPr>
            <w:tcW w:w="2026" w:type="pct"/>
            <w:tcBorders>
              <w:top w:val="single" w:sz="2" w:space="0" w:color="auto"/>
              <w:left w:val="single" w:sz="2" w:space="0" w:color="auto"/>
              <w:bottom w:val="single" w:sz="2" w:space="0" w:color="auto"/>
              <w:right w:val="single" w:sz="2" w:space="0" w:color="auto"/>
            </w:tcBorders>
            <w:vAlign w:val="center"/>
          </w:tcPr>
          <w:p w14:paraId="7FFE2B33" w14:textId="77777777" w:rsidR="004E3FDC" w:rsidRPr="0077700D" w:rsidRDefault="004E3FDC" w:rsidP="00450B7A">
            <w:pPr>
              <w:widowControl w:val="0"/>
              <w:spacing w:after="0" w:line="240" w:lineRule="auto"/>
              <w:rPr>
                <w:rFonts w:ascii="Cambria" w:eastAsia="Times New Roman" w:hAnsi="Cambria"/>
                <w:b/>
                <w:lang w:val="hr-HR"/>
              </w:rPr>
            </w:pPr>
          </w:p>
        </w:tc>
        <w:tc>
          <w:tcPr>
            <w:tcW w:w="941" w:type="pct"/>
            <w:gridSpan w:val="3"/>
            <w:tcBorders>
              <w:top w:val="single" w:sz="2" w:space="0" w:color="auto"/>
              <w:left w:val="single" w:sz="2" w:space="0" w:color="auto"/>
              <w:bottom w:val="single" w:sz="2" w:space="0" w:color="auto"/>
              <w:right w:val="single" w:sz="2" w:space="0" w:color="auto"/>
            </w:tcBorders>
            <w:vAlign w:val="center"/>
          </w:tcPr>
          <w:p w14:paraId="54CC31D2" w14:textId="77777777" w:rsidR="004E3FDC" w:rsidRPr="0077700D" w:rsidRDefault="004E3FDC" w:rsidP="00450B7A">
            <w:pPr>
              <w:widowControl w:val="0"/>
              <w:spacing w:after="0" w:line="240" w:lineRule="auto"/>
              <w:jc w:val="center"/>
              <w:rPr>
                <w:rFonts w:ascii="Cambria" w:eastAsia="Times New Roman" w:hAnsi="Cambria"/>
                <w:b/>
                <w:lang w:val="hr-HR"/>
              </w:rPr>
            </w:pPr>
          </w:p>
        </w:tc>
        <w:tc>
          <w:tcPr>
            <w:tcW w:w="551" w:type="pct"/>
            <w:tcBorders>
              <w:top w:val="single" w:sz="2" w:space="0" w:color="auto"/>
              <w:left w:val="single" w:sz="2" w:space="0" w:color="auto"/>
              <w:bottom w:val="single" w:sz="2" w:space="0" w:color="auto"/>
              <w:right w:val="single" w:sz="2" w:space="0" w:color="auto"/>
            </w:tcBorders>
            <w:vAlign w:val="center"/>
            <w:hideMark/>
          </w:tcPr>
          <w:p w14:paraId="38A02D84" w14:textId="77777777" w:rsidR="004E3FDC" w:rsidRPr="0077700D" w:rsidRDefault="004E3FDC" w:rsidP="00450B7A">
            <w:pPr>
              <w:widowControl w:val="0"/>
              <w:spacing w:after="0" w:line="240" w:lineRule="auto"/>
              <w:jc w:val="center"/>
              <w:rPr>
                <w:rFonts w:ascii="Cambria" w:eastAsia="Times New Roman" w:hAnsi="Cambria"/>
                <w:b/>
                <w:bCs/>
                <w:lang w:val="hr-HR"/>
              </w:rPr>
            </w:pPr>
            <w:r w:rsidRPr="0077700D">
              <w:rPr>
                <w:rFonts w:ascii="Cambria" w:eastAsia="Times New Roman" w:hAnsi="Cambria"/>
                <w:b/>
                <w:bCs/>
                <w:lang w:val="hr-HR"/>
              </w:rPr>
              <w:t>30</w:t>
            </w:r>
          </w:p>
        </w:tc>
      </w:tr>
    </w:tbl>
    <w:p w14:paraId="15F6C5CB" w14:textId="77777777" w:rsidR="004E3FDC" w:rsidRPr="0077700D" w:rsidRDefault="004E3FDC" w:rsidP="004E3FDC">
      <w:pPr>
        <w:spacing w:after="0" w:line="240" w:lineRule="auto"/>
        <w:rPr>
          <w:rFonts w:ascii="Cambria" w:eastAsia="Times New Roman" w:hAnsi="Cambria"/>
          <w:lang w:val="hr-HR"/>
        </w:rPr>
      </w:pPr>
    </w:p>
    <w:tbl>
      <w:tblPr>
        <w:tblW w:w="4866"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93"/>
        <w:gridCol w:w="3959"/>
        <w:gridCol w:w="613"/>
        <w:gridCol w:w="611"/>
        <w:gridCol w:w="613"/>
        <w:gridCol w:w="1076"/>
      </w:tblGrid>
      <w:tr w:rsidR="004E3FDC" w:rsidRPr="0077700D" w14:paraId="4CD8665B" w14:textId="77777777" w:rsidTr="00450B7A">
        <w:trPr>
          <w:cantSplit/>
          <w:jc w:val="center"/>
        </w:trPr>
        <w:tc>
          <w:tcPr>
            <w:tcW w:w="5000" w:type="pct"/>
            <w:gridSpan w:val="6"/>
            <w:tcBorders>
              <w:top w:val="single" w:sz="2" w:space="0" w:color="auto"/>
              <w:left w:val="single" w:sz="2" w:space="0" w:color="auto"/>
              <w:bottom w:val="single" w:sz="2" w:space="0" w:color="auto"/>
              <w:right w:val="single" w:sz="2" w:space="0" w:color="auto"/>
            </w:tcBorders>
            <w:vAlign w:val="center"/>
            <w:hideMark/>
          </w:tcPr>
          <w:p w14:paraId="370EC640" w14:textId="77777777" w:rsidR="004E3FDC" w:rsidRPr="0077700D" w:rsidRDefault="004E3FDC" w:rsidP="00450B7A">
            <w:pPr>
              <w:widowControl w:val="0"/>
              <w:spacing w:after="0" w:line="240" w:lineRule="auto"/>
              <w:jc w:val="center"/>
              <w:rPr>
                <w:rFonts w:ascii="Cambria" w:eastAsia="Times New Roman" w:hAnsi="Cambria"/>
                <w:b/>
                <w:lang w:val="hr-HR"/>
              </w:rPr>
            </w:pPr>
            <w:r w:rsidRPr="0077700D">
              <w:rPr>
                <w:rFonts w:ascii="Cambria" w:eastAsia="Times New Roman" w:hAnsi="Cambria"/>
                <w:b/>
                <w:lang w:val="hr-HR"/>
              </w:rPr>
              <w:t>Izborni moduli</w:t>
            </w:r>
          </w:p>
        </w:tc>
      </w:tr>
      <w:tr w:rsidR="004E3FDC" w:rsidRPr="0077700D" w14:paraId="187898D6" w14:textId="77777777" w:rsidTr="00450B7A">
        <w:trPr>
          <w:cantSplit/>
          <w:jc w:val="center"/>
        </w:trPr>
        <w:tc>
          <w:tcPr>
            <w:tcW w:w="1481" w:type="pct"/>
            <w:tcBorders>
              <w:top w:val="single" w:sz="2" w:space="0" w:color="auto"/>
              <w:left w:val="single" w:sz="2" w:space="0" w:color="auto"/>
              <w:bottom w:val="single" w:sz="2" w:space="0" w:color="auto"/>
              <w:right w:val="single" w:sz="2" w:space="0" w:color="auto"/>
            </w:tcBorders>
            <w:vAlign w:val="center"/>
            <w:hideMark/>
          </w:tcPr>
          <w:p w14:paraId="24DB9A7C" w14:textId="77777777" w:rsidR="004E3FDC" w:rsidRPr="0077700D" w:rsidRDefault="004E3FDC" w:rsidP="00450B7A">
            <w:pPr>
              <w:widowControl w:val="0"/>
              <w:spacing w:after="0" w:line="240" w:lineRule="auto"/>
              <w:rPr>
                <w:rFonts w:ascii="Cambria" w:eastAsia="Times New Roman" w:hAnsi="Cambria"/>
                <w:b/>
                <w:lang w:val="hr-HR"/>
              </w:rPr>
            </w:pPr>
            <w:r w:rsidRPr="0077700D">
              <w:rPr>
                <w:rFonts w:ascii="Cambria" w:eastAsia="Times New Roman" w:hAnsi="Cambria"/>
                <w:b/>
                <w:lang w:val="hr-HR"/>
              </w:rPr>
              <w:t>Izborni modul I: 8221</w:t>
            </w:r>
          </w:p>
        </w:tc>
        <w:tc>
          <w:tcPr>
            <w:tcW w:w="2027" w:type="pct"/>
            <w:tcBorders>
              <w:top w:val="single" w:sz="2" w:space="0" w:color="auto"/>
              <w:left w:val="single" w:sz="2" w:space="0" w:color="auto"/>
              <w:bottom w:val="single" w:sz="2" w:space="0" w:color="auto"/>
              <w:right w:val="single" w:sz="2" w:space="0" w:color="auto"/>
            </w:tcBorders>
            <w:vAlign w:val="center"/>
            <w:hideMark/>
          </w:tcPr>
          <w:p w14:paraId="17C25054" w14:textId="77777777" w:rsidR="004E3FDC" w:rsidRPr="0077700D" w:rsidRDefault="004E3FDC" w:rsidP="00450B7A">
            <w:pPr>
              <w:widowControl w:val="0"/>
              <w:spacing w:after="0" w:line="240" w:lineRule="auto"/>
              <w:rPr>
                <w:rFonts w:ascii="Cambria" w:eastAsia="Times New Roman" w:hAnsi="Cambria"/>
                <w:b/>
                <w:lang w:val="hr-HR"/>
              </w:rPr>
            </w:pPr>
            <w:r w:rsidRPr="0077700D">
              <w:rPr>
                <w:rFonts w:ascii="Cambria" w:eastAsia="Times New Roman" w:hAnsi="Cambria"/>
                <w:b/>
                <w:lang w:val="hr-HR"/>
              </w:rPr>
              <w:t>Nastavnik/</w:t>
            </w:r>
            <w:proofErr w:type="spellStart"/>
            <w:r w:rsidRPr="0077700D">
              <w:rPr>
                <w:rFonts w:ascii="Cambria" w:eastAsia="Times New Roman" w:hAnsi="Cambria"/>
                <w:b/>
                <w:lang w:val="hr-HR"/>
              </w:rPr>
              <w:t>ica</w:t>
            </w:r>
            <w:proofErr w:type="spellEnd"/>
          </w:p>
        </w:tc>
        <w:tc>
          <w:tcPr>
            <w:tcW w:w="314" w:type="pct"/>
            <w:tcBorders>
              <w:top w:val="single" w:sz="2" w:space="0" w:color="auto"/>
              <w:left w:val="single" w:sz="2" w:space="0" w:color="auto"/>
              <w:bottom w:val="single" w:sz="2" w:space="0" w:color="auto"/>
              <w:right w:val="single" w:sz="2" w:space="0" w:color="auto"/>
            </w:tcBorders>
            <w:vAlign w:val="center"/>
            <w:hideMark/>
          </w:tcPr>
          <w:p w14:paraId="149072B8" w14:textId="77777777" w:rsidR="004E3FDC" w:rsidRPr="0077700D" w:rsidRDefault="004E3FDC" w:rsidP="00450B7A">
            <w:pPr>
              <w:spacing w:after="0" w:line="240" w:lineRule="auto"/>
              <w:jc w:val="center"/>
              <w:rPr>
                <w:rFonts w:ascii="Cambria" w:eastAsia="Times New Roman" w:hAnsi="Cambria"/>
                <w:b/>
                <w:bCs/>
                <w:caps/>
                <w:lang w:val="hr-HR"/>
              </w:rPr>
            </w:pPr>
            <w:bookmarkStart w:id="96" w:name="_Toc208904388"/>
            <w:bookmarkStart w:id="97" w:name="_Toc209340492"/>
            <w:bookmarkStart w:id="98" w:name="_Toc209420870"/>
            <w:bookmarkStart w:id="99" w:name="_Toc209421251"/>
            <w:bookmarkStart w:id="100" w:name="_Toc209789845"/>
            <w:r w:rsidRPr="0077700D">
              <w:rPr>
                <w:rFonts w:ascii="Cambria" w:eastAsia="Times New Roman" w:hAnsi="Cambria"/>
                <w:b/>
                <w:bCs/>
                <w:caps/>
                <w:lang w:val="hr-HR"/>
              </w:rPr>
              <w:t>P</w:t>
            </w:r>
            <w:bookmarkEnd w:id="96"/>
            <w:bookmarkEnd w:id="97"/>
            <w:bookmarkEnd w:id="98"/>
            <w:bookmarkEnd w:id="99"/>
            <w:bookmarkEnd w:id="100"/>
          </w:p>
        </w:tc>
        <w:tc>
          <w:tcPr>
            <w:tcW w:w="313" w:type="pct"/>
            <w:tcBorders>
              <w:top w:val="single" w:sz="2" w:space="0" w:color="auto"/>
              <w:left w:val="single" w:sz="2" w:space="0" w:color="auto"/>
              <w:bottom w:val="single" w:sz="2" w:space="0" w:color="auto"/>
              <w:right w:val="single" w:sz="2" w:space="0" w:color="auto"/>
            </w:tcBorders>
            <w:vAlign w:val="center"/>
          </w:tcPr>
          <w:p w14:paraId="048DCC46" w14:textId="77777777" w:rsidR="004E3FDC" w:rsidRPr="0077700D" w:rsidRDefault="004E3FDC" w:rsidP="00450B7A">
            <w:pPr>
              <w:spacing w:after="0" w:line="240" w:lineRule="auto"/>
              <w:jc w:val="center"/>
              <w:rPr>
                <w:rFonts w:ascii="Cambria" w:eastAsia="Times New Roman" w:hAnsi="Cambria"/>
                <w:b/>
                <w:bCs/>
                <w:caps/>
                <w:lang w:val="hr-HR"/>
              </w:rPr>
            </w:pPr>
            <w:r w:rsidRPr="0077700D">
              <w:rPr>
                <w:rFonts w:ascii="Cambria" w:eastAsia="Times New Roman" w:hAnsi="Cambria"/>
                <w:b/>
                <w:bCs/>
                <w:caps/>
                <w:lang w:val="hr-HR"/>
              </w:rPr>
              <w:t>S</w:t>
            </w:r>
          </w:p>
        </w:tc>
        <w:tc>
          <w:tcPr>
            <w:tcW w:w="314" w:type="pct"/>
            <w:tcBorders>
              <w:top w:val="single" w:sz="2" w:space="0" w:color="auto"/>
              <w:left w:val="single" w:sz="2" w:space="0" w:color="auto"/>
              <w:bottom w:val="single" w:sz="2" w:space="0" w:color="auto"/>
              <w:right w:val="single" w:sz="2" w:space="0" w:color="auto"/>
            </w:tcBorders>
            <w:vAlign w:val="center"/>
            <w:hideMark/>
          </w:tcPr>
          <w:p w14:paraId="4EE23B39" w14:textId="77777777" w:rsidR="004E3FDC" w:rsidRPr="0077700D" w:rsidRDefault="004E3FDC" w:rsidP="00450B7A">
            <w:pPr>
              <w:spacing w:after="0" w:line="240" w:lineRule="auto"/>
              <w:jc w:val="center"/>
              <w:rPr>
                <w:rFonts w:ascii="Cambria" w:eastAsia="Times New Roman" w:hAnsi="Cambria"/>
                <w:b/>
                <w:bCs/>
                <w:caps/>
                <w:lang w:val="hr-HR"/>
              </w:rPr>
            </w:pPr>
            <w:r w:rsidRPr="0077700D">
              <w:rPr>
                <w:rFonts w:ascii="Cambria" w:eastAsia="Times New Roman" w:hAnsi="Cambria"/>
                <w:b/>
                <w:bCs/>
                <w:caps/>
                <w:lang w:val="hr-HR"/>
              </w:rPr>
              <w:t>V</w:t>
            </w:r>
          </w:p>
        </w:tc>
        <w:tc>
          <w:tcPr>
            <w:tcW w:w="550" w:type="pct"/>
            <w:tcBorders>
              <w:top w:val="single" w:sz="2" w:space="0" w:color="auto"/>
              <w:left w:val="single" w:sz="2" w:space="0" w:color="auto"/>
              <w:bottom w:val="single" w:sz="2" w:space="0" w:color="auto"/>
              <w:right w:val="single" w:sz="2" w:space="0" w:color="auto"/>
            </w:tcBorders>
            <w:vAlign w:val="center"/>
            <w:hideMark/>
          </w:tcPr>
          <w:p w14:paraId="5806D079" w14:textId="77777777" w:rsidR="004E3FDC" w:rsidRPr="0077700D" w:rsidRDefault="004E3FDC" w:rsidP="00450B7A">
            <w:pPr>
              <w:spacing w:after="0" w:line="240" w:lineRule="auto"/>
              <w:jc w:val="center"/>
              <w:rPr>
                <w:rFonts w:ascii="Cambria" w:eastAsia="Times New Roman" w:hAnsi="Cambria"/>
                <w:b/>
                <w:bCs/>
                <w:caps/>
                <w:lang w:val="hr-HR"/>
              </w:rPr>
            </w:pPr>
            <w:r w:rsidRPr="0077700D">
              <w:rPr>
                <w:rFonts w:ascii="Cambria" w:eastAsia="Times New Roman" w:hAnsi="Cambria"/>
                <w:b/>
                <w:bCs/>
                <w:caps/>
                <w:lang w:val="hr-HR"/>
              </w:rPr>
              <w:t>ECTS</w:t>
            </w:r>
          </w:p>
        </w:tc>
      </w:tr>
      <w:tr w:rsidR="004E3FDC" w:rsidRPr="0077700D" w14:paraId="64DF008B" w14:textId="77777777" w:rsidTr="00450B7A">
        <w:trPr>
          <w:cantSplit/>
          <w:jc w:val="center"/>
        </w:trPr>
        <w:tc>
          <w:tcPr>
            <w:tcW w:w="1481" w:type="pct"/>
            <w:tcBorders>
              <w:top w:val="single" w:sz="2" w:space="0" w:color="auto"/>
              <w:left w:val="single" w:sz="2" w:space="0" w:color="auto"/>
              <w:bottom w:val="single" w:sz="4" w:space="0" w:color="auto"/>
              <w:right w:val="single" w:sz="2" w:space="0" w:color="auto"/>
            </w:tcBorders>
            <w:vAlign w:val="center"/>
            <w:hideMark/>
          </w:tcPr>
          <w:p w14:paraId="658C0C47" w14:textId="77777777" w:rsidR="004E3FDC" w:rsidRPr="0077700D" w:rsidRDefault="004E3FDC" w:rsidP="00450B7A">
            <w:pPr>
              <w:spacing w:before="20" w:after="20" w:line="240" w:lineRule="auto"/>
              <w:rPr>
                <w:rFonts w:ascii="Cambria" w:eastAsia="Times New Roman" w:hAnsi="Cambria"/>
                <w:b/>
                <w:lang w:val="hr-HR"/>
              </w:rPr>
            </w:pPr>
            <w:r w:rsidRPr="0077700D">
              <w:rPr>
                <w:rFonts w:ascii="Cambria" w:eastAsia="Times New Roman" w:hAnsi="Cambria"/>
                <w:b/>
                <w:lang w:val="hr-HR"/>
              </w:rPr>
              <w:t>96519</w:t>
            </w:r>
          </w:p>
          <w:p w14:paraId="48BFE505" w14:textId="77777777" w:rsidR="004E3FDC" w:rsidRPr="0077700D" w:rsidRDefault="004E3FDC" w:rsidP="00450B7A">
            <w:pPr>
              <w:spacing w:after="0" w:line="240" w:lineRule="auto"/>
              <w:rPr>
                <w:rFonts w:ascii="Cambria" w:eastAsia="Times New Roman" w:hAnsi="Cambria"/>
                <w:lang w:val="hr-HR"/>
              </w:rPr>
            </w:pPr>
            <w:r w:rsidRPr="0077700D">
              <w:rPr>
                <w:rFonts w:ascii="Cambria" w:eastAsia="Times New Roman" w:hAnsi="Cambria"/>
                <w:lang w:val="hr-HR"/>
              </w:rPr>
              <w:t>Dječja književnost na engleskom jeziku II</w:t>
            </w:r>
          </w:p>
        </w:tc>
        <w:tc>
          <w:tcPr>
            <w:tcW w:w="2027" w:type="pct"/>
            <w:tcBorders>
              <w:top w:val="single" w:sz="2" w:space="0" w:color="auto"/>
              <w:left w:val="single" w:sz="2" w:space="0" w:color="auto"/>
              <w:bottom w:val="single" w:sz="4" w:space="0" w:color="auto"/>
              <w:right w:val="single" w:sz="2" w:space="0" w:color="auto"/>
            </w:tcBorders>
            <w:vAlign w:val="center"/>
            <w:hideMark/>
          </w:tcPr>
          <w:p w14:paraId="04C1D9DF" w14:textId="77777777" w:rsidR="004E3FDC" w:rsidRPr="0077700D" w:rsidRDefault="004E3FDC" w:rsidP="00450B7A">
            <w:pPr>
              <w:spacing w:after="0" w:line="240" w:lineRule="auto"/>
              <w:rPr>
                <w:rFonts w:ascii="Cambria" w:eastAsia="Times New Roman" w:hAnsi="Cambria"/>
                <w:lang w:val="hr-HR"/>
              </w:rPr>
            </w:pPr>
            <w:r w:rsidRPr="0077700D">
              <w:rPr>
                <w:rFonts w:ascii="Cambria" w:eastAsia="Times New Roman" w:hAnsi="Cambria"/>
                <w:lang w:val="hr-HR"/>
              </w:rPr>
              <w:t>naslovna doc. dr. sc. Ester Vidović</w:t>
            </w:r>
          </w:p>
        </w:tc>
        <w:tc>
          <w:tcPr>
            <w:tcW w:w="314" w:type="pct"/>
            <w:tcBorders>
              <w:top w:val="single" w:sz="2" w:space="0" w:color="auto"/>
              <w:left w:val="single" w:sz="2" w:space="0" w:color="auto"/>
              <w:bottom w:val="single" w:sz="4" w:space="0" w:color="auto"/>
              <w:right w:val="single" w:sz="2" w:space="0" w:color="auto"/>
            </w:tcBorders>
            <w:vAlign w:val="center"/>
            <w:hideMark/>
          </w:tcPr>
          <w:p w14:paraId="1BCFE674"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15</w:t>
            </w:r>
          </w:p>
        </w:tc>
        <w:tc>
          <w:tcPr>
            <w:tcW w:w="313" w:type="pct"/>
            <w:tcBorders>
              <w:top w:val="single" w:sz="2" w:space="0" w:color="auto"/>
              <w:left w:val="single" w:sz="2" w:space="0" w:color="auto"/>
              <w:bottom w:val="single" w:sz="4" w:space="0" w:color="auto"/>
              <w:right w:val="single" w:sz="2" w:space="0" w:color="auto"/>
            </w:tcBorders>
            <w:vAlign w:val="center"/>
          </w:tcPr>
          <w:p w14:paraId="11C8AA96"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15</w:t>
            </w:r>
          </w:p>
        </w:tc>
        <w:tc>
          <w:tcPr>
            <w:tcW w:w="314" w:type="pct"/>
            <w:tcBorders>
              <w:top w:val="single" w:sz="2" w:space="0" w:color="auto"/>
              <w:left w:val="single" w:sz="2" w:space="0" w:color="auto"/>
              <w:bottom w:val="single" w:sz="4" w:space="0" w:color="auto"/>
              <w:right w:val="single" w:sz="2" w:space="0" w:color="auto"/>
            </w:tcBorders>
            <w:vAlign w:val="center"/>
            <w:hideMark/>
          </w:tcPr>
          <w:p w14:paraId="5A450A0B"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0</w:t>
            </w:r>
          </w:p>
        </w:tc>
        <w:tc>
          <w:tcPr>
            <w:tcW w:w="550" w:type="pct"/>
            <w:tcBorders>
              <w:top w:val="single" w:sz="2" w:space="0" w:color="auto"/>
              <w:left w:val="single" w:sz="2" w:space="0" w:color="auto"/>
              <w:bottom w:val="single" w:sz="4" w:space="0" w:color="auto"/>
              <w:right w:val="single" w:sz="2" w:space="0" w:color="auto"/>
            </w:tcBorders>
            <w:vAlign w:val="center"/>
            <w:hideMark/>
          </w:tcPr>
          <w:p w14:paraId="259F21C3" w14:textId="77777777" w:rsidR="004E3FDC" w:rsidRPr="0077700D" w:rsidRDefault="004E3FDC" w:rsidP="00450B7A">
            <w:pPr>
              <w:spacing w:after="0" w:line="240" w:lineRule="auto"/>
              <w:jc w:val="center"/>
              <w:rPr>
                <w:rFonts w:ascii="Cambria" w:eastAsia="Times New Roman" w:hAnsi="Cambria"/>
                <w:bCs/>
                <w:lang w:val="hr-HR"/>
              </w:rPr>
            </w:pPr>
            <w:r w:rsidRPr="0077700D">
              <w:rPr>
                <w:rFonts w:ascii="Cambria" w:eastAsia="Times New Roman" w:hAnsi="Cambria"/>
                <w:bCs/>
                <w:lang w:val="hr-HR"/>
              </w:rPr>
              <w:t>2</w:t>
            </w:r>
          </w:p>
        </w:tc>
      </w:tr>
      <w:tr w:rsidR="004E3FDC" w:rsidRPr="0077700D" w14:paraId="41E8B46C" w14:textId="77777777" w:rsidTr="00450B7A">
        <w:trPr>
          <w:cantSplit/>
          <w:jc w:val="center"/>
        </w:trPr>
        <w:tc>
          <w:tcPr>
            <w:tcW w:w="1481" w:type="pct"/>
            <w:tcBorders>
              <w:top w:val="single" w:sz="4" w:space="0" w:color="auto"/>
              <w:left w:val="single" w:sz="4" w:space="0" w:color="auto"/>
              <w:bottom w:val="single" w:sz="4" w:space="0" w:color="auto"/>
              <w:right w:val="single" w:sz="2" w:space="0" w:color="auto"/>
            </w:tcBorders>
            <w:vAlign w:val="center"/>
            <w:hideMark/>
          </w:tcPr>
          <w:p w14:paraId="5A24B201" w14:textId="77777777" w:rsidR="004E3FDC" w:rsidRPr="0077700D" w:rsidRDefault="004E3FDC" w:rsidP="00450B7A">
            <w:pPr>
              <w:spacing w:before="20" w:after="20" w:line="240" w:lineRule="auto"/>
              <w:rPr>
                <w:rFonts w:ascii="Cambria" w:eastAsia="Times New Roman" w:hAnsi="Cambria"/>
                <w:b/>
                <w:lang w:val="hr-HR"/>
              </w:rPr>
            </w:pPr>
            <w:r w:rsidRPr="0077700D">
              <w:rPr>
                <w:rFonts w:ascii="Cambria" w:eastAsia="Times New Roman" w:hAnsi="Cambria"/>
                <w:b/>
                <w:lang w:val="hr-HR"/>
              </w:rPr>
              <w:lastRenderedPageBreak/>
              <w:t>247985</w:t>
            </w:r>
          </w:p>
          <w:p w14:paraId="4CCDC494" w14:textId="77777777" w:rsidR="004E3FDC" w:rsidRPr="0077700D" w:rsidRDefault="004E3FDC" w:rsidP="00450B7A">
            <w:pPr>
              <w:spacing w:after="0" w:line="240" w:lineRule="auto"/>
              <w:rPr>
                <w:rFonts w:ascii="Cambria" w:eastAsia="Times New Roman" w:hAnsi="Cambria"/>
                <w:lang w:val="hr-HR"/>
              </w:rPr>
            </w:pPr>
            <w:r w:rsidRPr="0077700D">
              <w:rPr>
                <w:rFonts w:ascii="Cambria" w:eastAsia="Times New Roman" w:hAnsi="Cambria"/>
                <w:lang w:val="hr-HR"/>
              </w:rPr>
              <w:t>Metodika nastave engleskog jezika I</w:t>
            </w:r>
          </w:p>
        </w:tc>
        <w:tc>
          <w:tcPr>
            <w:tcW w:w="2027" w:type="pct"/>
            <w:tcBorders>
              <w:top w:val="single" w:sz="4" w:space="0" w:color="auto"/>
              <w:left w:val="single" w:sz="2" w:space="0" w:color="auto"/>
              <w:bottom w:val="single" w:sz="4" w:space="0" w:color="auto"/>
              <w:right w:val="single" w:sz="2" w:space="0" w:color="auto"/>
            </w:tcBorders>
            <w:vAlign w:val="center"/>
            <w:hideMark/>
          </w:tcPr>
          <w:p w14:paraId="0CFB310B" w14:textId="77777777" w:rsidR="004E3FDC" w:rsidRPr="0077700D" w:rsidRDefault="004E3FDC" w:rsidP="00450B7A">
            <w:pPr>
              <w:spacing w:after="0" w:line="240" w:lineRule="auto"/>
              <w:rPr>
                <w:rFonts w:ascii="Cambria" w:eastAsia="Times New Roman" w:hAnsi="Cambria"/>
                <w:lang w:val="hr-HR"/>
              </w:rPr>
            </w:pPr>
            <w:r w:rsidRPr="0077700D">
              <w:rPr>
                <w:rFonts w:ascii="Cambria" w:eastAsia="Times New Roman" w:hAnsi="Cambria"/>
                <w:lang w:val="hr-HR"/>
              </w:rPr>
              <w:t xml:space="preserve">naslovna doc. dr. sc. Marina Jajić </w:t>
            </w:r>
            <w:proofErr w:type="spellStart"/>
            <w:r w:rsidRPr="0077700D">
              <w:rPr>
                <w:rFonts w:ascii="Cambria" w:eastAsia="Times New Roman" w:hAnsi="Cambria"/>
                <w:lang w:val="hr-HR"/>
              </w:rPr>
              <w:t>Novogradec</w:t>
            </w:r>
            <w:proofErr w:type="spellEnd"/>
            <w:r w:rsidRPr="0077700D">
              <w:rPr>
                <w:rFonts w:ascii="Cambria" w:eastAsia="Times New Roman" w:hAnsi="Cambria"/>
                <w:lang w:val="hr-HR"/>
              </w:rPr>
              <w:t xml:space="preserve">  </w:t>
            </w:r>
          </w:p>
          <w:p w14:paraId="1B952D38" w14:textId="77777777" w:rsidR="004E3FDC" w:rsidRPr="0077700D" w:rsidRDefault="004E3FDC" w:rsidP="00450B7A">
            <w:pPr>
              <w:widowControl w:val="0"/>
              <w:spacing w:after="0" w:line="240" w:lineRule="auto"/>
              <w:rPr>
                <w:rFonts w:ascii="Cambria" w:eastAsia="Times New Roman" w:hAnsi="Cambria"/>
                <w:lang w:val="hr-HR"/>
              </w:rPr>
            </w:pPr>
            <w:r w:rsidRPr="0077700D">
              <w:rPr>
                <w:rFonts w:ascii="Cambria" w:eastAsia="Times New Roman" w:hAnsi="Cambria"/>
                <w:lang w:val="hr-HR"/>
              </w:rPr>
              <w:t>Jelena Gugić, asistentica</w:t>
            </w:r>
          </w:p>
        </w:tc>
        <w:tc>
          <w:tcPr>
            <w:tcW w:w="314" w:type="pct"/>
            <w:tcBorders>
              <w:top w:val="single" w:sz="4" w:space="0" w:color="auto"/>
              <w:left w:val="single" w:sz="2" w:space="0" w:color="auto"/>
              <w:bottom w:val="single" w:sz="4" w:space="0" w:color="auto"/>
              <w:right w:val="single" w:sz="2" w:space="0" w:color="auto"/>
            </w:tcBorders>
            <w:vAlign w:val="center"/>
            <w:hideMark/>
          </w:tcPr>
          <w:p w14:paraId="44F475FD"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15</w:t>
            </w:r>
          </w:p>
        </w:tc>
        <w:tc>
          <w:tcPr>
            <w:tcW w:w="313" w:type="pct"/>
            <w:tcBorders>
              <w:top w:val="single" w:sz="4" w:space="0" w:color="auto"/>
              <w:left w:val="single" w:sz="2" w:space="0" w:color="auto"/>
              <w:bottom w:val="single" w:sz="4" w:space="0" w:color="auto"/>
              <w:right w:val="single" w:sz="2" w:space="0" w:color="auto"/>
            </w:tcBorders>
            <w:vAlign w:val="center"/>
          </w:tcPr>
          <w:p w14:paraId="715F5109"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15</w:t>
            </w:r>
          </w:p>
        </w:tc>
        <w:tc>
          <w:tcPr>
            <w:tcW w:w="314" w:type="pct"/>
            <w:tcBorders>
              <w:top w:val="single" w:sz="4" w:space="0" w:color="auto"/>
              <w:left w:val="single" w:sz="2" w:space="0" w:color="auto"/>
              <w:bottom w:val="single" w:sz="4" w:space="0" w:color="auto"/>
              <w:right w:val="single" w:sz="2" w:space="0" w:color="auto"/>
            </w:tcBorders>
            <w:vAlign w:val="center"/>
            <w:hideMark/>
          </w:tcPr>
          <w:p w14:paraId="70B4B636"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0</w:t>
            </w:r>
          </w:p>
        </w:tc>
        <w:tc>
          <w:tcPr>
            <w:tcW w:w="550" w:type="pct"/>
            <w:tcBorders>
              <w:top w:val="single" w:sz="4" w:space="0" w:color="auto"/>
              <w:left w:val="single" w:sz="2" w:space="0" w:color="auto"/>
              <w:bottom w:val="single" w:sz="4" w:space="0" w:color="auto"/>
              <w:right w:val="single" w:sz="4" w:space="0" w:color="auto"/>
            </w:tcBorders>
            <w:vAlign w:val="center"/>
            <w:hideMark/>
          </w:tcPr>
          <w:p w14:paraId="5FBF1DD7" w14:textId="77777777" w:rsidR="004E3FDC" w:rsidRPr="0077700D" w:rsidRDefault="004E3FDC" w:rsidP="00450B7A">
            <w:pPr>
              <w:spacing w:after="0" w:line="240" w:lineRule="auto"/>
              <w:jc w:val="center"/>
              <w:rPr>
                <w:rFonts w:ascii="Cambria" w:eastAsia="Times New Roman" w:hAnsi="Cambria"/>
                <w:bCs/>
                <w:lang w:val="hr-HR"/>
              </w:rPr>
            </w:pPr>
            <w:r w:rsidRPr="0077700D">
              <w:rPr>
                <w:rFonts w:ascii="Cambria" w:eastAsia="Times New Roman" w:hAnsi="Cambria"/>
                <w:bCs/>
                <w:lang w:val="hr-HR"/>
              </w:rPr>
              <w:t>2</w:t>
            </w:r>
          </w:p>
        </w:tc>
      </w:tr>
      <w:tr w:rsidR="004E3FDC" w:rsidRPr="0077700D" w14:paraId="75A73B1C" w14:textId="77777777" w:rsidTr="00450B7A">
        <w:trPr>
          <w:cantSplit/>
          <w:jc w:val="center"/>
        </w:trPr>
        <w:tc>
          <w:tcPr>
            <w:tcW w:w="1481" w:type="pct"/>
            <w:tcBorders>
              <w:top w:val="single" w:sz="4" w:space="0" w:color="auto"/>
              <w:left w:val="nil"/>
              <w:bottom w:val="single" w:sz="4" w:space="0" w:color="auto"/>
              <w:right w:val="nil"/>
            </w:tcBorders>
            <w:vAlign w:val="center"/>
          </w:tcPr>
          <w:p w14:paraId="175E5B9E" w14:textId="77777777" w:rsidR="004E3FDC" w:rsidRPr="0077700D" w:rsidRDefault="004E3FDC" w:rsidP="00450B7A">
            <w:pPr>
              <w:widowControl w:val="0"/>
              <w:tabs>
                <w:tab w:val="left" w:pos="8208"/>
              </w:tabs>
              <w:spacing w:after="0" w:line="240" w:lineRule="auto"/>
              <w:rPr>
                <w:rFonts w:ascii="Cambria" w:eastAsia="Times New Roman" w:hAnsi="Cambria"/>
                <w:b/>
                <w:lang w:val="hr-HR"/>
              </w:rPr>
            </w:pPr>
          </w:p>
        </w:tc>
        <w:tc>
          <w:tcPr>
            <w:tcW w:w="2027" w:type="pct"/>
            <w:tcBorders>
              <w:top w:val="single" w:sz="4" w:space="0" w:color="auto"/>
              <w:left w:val="nil"/>
              <w:bottom w:val="single" w:sz="4" w:space="0" w:color="auto"/>
              <w:right w:val="nil"/>
            </w:tcBorders>
            <w:vAlign w:val="center"/>
          </w:tcPr>
          <w:p w14:paraId="19ED81B6" w14:textId="77777777" w:rsidR="004E3FDC" w:rsidRPr="0077700D" w:rsidRDefault="004E3FDC" w:rsidP="00450B7A">
            <w:pPr>
              <w:spacing w:after="0" w:line="240" w:lineRule="auto"/>
              <w:rPr>
                <w:rFonts w:ascii="Cambria" w:eastAsia="Times New Roman" w:hAnsi="Cambria"/>
                <w:lang w:val="hr-HR"/>
              </w:rPr>
            </w:pPr>
          </w:p>
        </w:tc>
        <w:tc>
          <w:tcPr>
            <w:tcW w:w="314" w:type="pct"/>
            <w:tcBorders>
              <w:top w:val="single" w:sz="4" w:space="0" w:color="auto"/>
              <w:left w:val="nil"/>
              <w:bottom w:val="single" w:sz="4" w:space="0" w:color="auto"/>
              <w:right w:val="nil"/>
            </w:tcBorders>
            <w:vAlign w:val="center"/>
          </w:tcPr>
          <w:p w14:paraId="4795D744" w14:textId="77777777" w:rsidR="004E3FDC" w:rsidRPr="0077700D" w:rsidRDefault="004E3FDC" w:rsidP="00450B7A">
            <w:pPr>
              <w:spacing w:after="0" w:line="240" w:lineRule="auto"/>
              <w:jc w:val="center"/>
              <w:rPr>
                <w:rFonts w:ascii="Cambria" w:eastAsia="Times New Roman" w:hAnsi="Cambria"/>
                <w:lang w:val="hr-HR"/>
              </w:rPr>
            </w:pPr>
          </w:p>
        </w:tc>
        <w:tc>
          <w:tcPr>
            <w:tcW w:w="313" w:type="pct"/>
            <w:tcBorders>
              <w:top w:val="single" w:sz="4" w:space="0" w:color="auto"/>
              <w:left w:val="nil"/>
              <w:bottom w:val="single" w:sz="4" w:space="0" w:color="auto"/>
              <w:right w:val="nil"/>
            </w:tcBorders>
            <w:vAlign w:val="center"/>
          </w:tcPr>
          <w:p w14:paraId="5A7035BA" w14:textId="77777777" w:rsidR="004E3FDC" w:rsidRPr="0077700D" w:rsidRDefault="004E3FDC" w:rsidP="00450B7A">
            <w:pPr>
              <w:spacing w:after="0" w:line="240" w:lineRule="auto"/>
              <w:jc w:val="center"/>
              <w:rPr>
                <w:rFonts w:ascii="Cambria" w:eastAsia="Times New Roman" w:hAnsi="Cambria"/>
                <w:lang w:val="hr-HR"/>
              </w:rPr>
            </w:pPr>
          </w:p>
        </w:tc>
        <w:tc>
          <w:tcPr>
            <w:tcW w:w="314" w:type="pct"/>
            <w:tcBorders>
              <w:top w:val="single" w:sz="4" w:space="0" w:color="auto"/>
              <w:left w:val="nil"/>
              <w:bottom w:val="single" w:sz="4" w:space="0" w:color="auto"/>
              <w:right w:val="nil"/>
            </w:tcBorders>
            <w:vAlign w:val="center"/>
          </w:tcPr>
          <w:p w14:paraId="1DC9FB3C" w14:textId="77777777" w:rsidR="004E3FDC" w:rsidRPr="0077700D" w:rsidRDefault="004E3FDC" w:rsidP="00450B7A">
            <w:pPr>
              <w:spacing w:after="0" w:line="240" w:lineRule="auto"/>
              <w:jc w:val="center"/>
              <w:rPr>
                <w:rFonts w:ascii="Cambria" w:eastAsia="Times New Roman" w:hAnsi="Cambria"/>
                <w:lang w:val="hr-HR"/>
              </w:rPr>
            </w:pPr>
          </w:p>
        </w:tc>
        <w:tc>
          <w:tcPr>
            <w:tcW w:w="550" w:type="pct"/>
            <w:tcBorders>
              <w:top w:val="single" w:sz="4" w:space="0" w:color="auto"/>
              <w:left w:val="nil"/>
              <w:bottom w:val="single" w:sz="4" w:space="0" w:color="auto"/>
              <w:right w:val="nil"/>
            </w:tcBorders>
            <w:vAlign w:val="center"/>
          </w:tcPr>
          <w:p w14:paraId="68B7FE64" w14:textId="77777777" w:rsidR="004E3FDC" w:rsidRPr="0077700D" w:rsidRDefault="004E3FDC" w:rsidP="00450B7A">
            <w:pPr>
              <w:spacing w:after="0" w:line="240" w:lineRule="auto"/>
              <w:jc w:val="center"/>
              <w:rPr>
                <w:rFonts w:ascii="Cambria" w:eastAsia="Times New Roman" w:hAnsi="Cambria"/>
                <w:bCs/>
                <w:lang w:val="hr-HR"/>
              </w:rPr>
            </w:pPr>
          </w:p>
        </w:tc>
      </w:tr>
      <w:tr w:rsidR="004E3FDC" w:rsidRPr="0077700D" w14:paraId="6B86FE14" w14:textId="77777777" w:rsidTr="00450B7A">
        <w:trPr>
          <w:cantSplit/>
          <w:jc w:val="center"/>
        </w:trPr>
        <w:tc>
          <w:tcPr>
            <w:tcW w:w="1481" w:type="pct"/>
            <w:tcBorders>
              <w:top w:val="single" w:sz="4" w:space="0" w:color="auto"/>
              <w:left w:val="single" w:sz="4" w:space="0" w:color="auto"/>
              <w:bottom w:val="single" w:sz="4" w:space="0" w:color="auto"/>
              <w:right w:val="single" w:sz="2" w:space="0" w:color="auto"/>
            </w:tcBorders>
            <w:vAlign w:val="center"/>
            <w:hideMark/>
          </w:tcPr>
          <w:p w14:paraId="2B9399E2" w14:textId="77777777" w:rsidR="004E3FDC" w:rsidRPr="0077700D" w:rsidRDefault="004E3FDC" w:rsidP="00450B7A">
            <w:pPr>
              <w:spacing w:after="0" w:line="240" w:lineRule="auto"/>
              <w:rPr>
                <w:rFonts w:ascii="Cambria" w:eastAsia="Times New Roman" w:hAnsi="Cambria"/>
                <w:b/>
                <w:lang w:val="hr-HR"/>
              </w:rPr>
            </w:pPr>
            <w:r w:rsidRPr="0077700D">
              <w:rPr>
                <w:rFonts w:ascii="Cambria" w:eastAsia="Times New Roman" w:hAnsi="Cambria"/>
                <w:b/>
                <w:lang w:val="hr-HR"/>
              </w:rPr>
              <w:t>Izborni modul II: 8222</w:t>
            </w:r>
          </w:p>
        </w:tc>
        <w:tc>
          <w:tcPr>
            <w:tcW w:w="2027" w:type="pct"/>
            <w:tcBorders>
              <w:top w:val="single" w:sz="2" w:space="0" w:color="auto"/>
              <w:left w:val="single" w:sz="2" w:space="0" w:color="auto"/>
              <w:bottom w:val="single" w:sz="2" w:space="0" w:color="auto"/>
              <w:right w:val="single" w:sz="2" w:space="0" w:color="auto"/>
            </w:tcBorders>
            <w:vAlign w:val="center"/>
          </w:tcPr>
          <w:p w14:paraId="58833E8E" w14:textId="77777777" w:rsidR="004E3FDC" w:rsidRPr="0077700D" w:rsidRDefault="004E3FDC" w:rsidP="00450B7A">
            <w:pPr>
              <w:spacing w:after="0" w:line="240" w:lineRule="auto"/>
              <w:rPr>
                <w:rFonts w:ascii="Cambria" w:eastAsia="Times New Roman" w:hAnsi="Cambria"/>
                <w:lang w:val="hr-HR"/>
              </w:rPr>
            </w:pPr>
            <w:r w:rsidRPr="0077700D">
              <w:rPr>
                <w:rFonts w:ascii="Cambria" w:eastAsia="Times New Roman" w:hAnsi="Cambria"/>
                <w:b/>
                <w:lang w:val="hr-HR"/>
              </w:rPr>
              <w:t>Nastavnik/</w:t>
            </w:r>
            <w:proofErr w:type="spellStart"/>
            <w:r w:rsidRPr="0077700D">
              <w:rPr>
                <w:rFonts w:ascii="Cambria" w:eastAsia="Times New Roman" w:hAnsi="Cambria"/>
                <w:b/>
                <w:lang w:val="hr-HR"/>
              </w:rPr>
              <w:t>ica</w:t>
            </w:r>
            <w:proofErr w:type="spellEnd"/>
          </w:p>
        </w:tc>
        <w:tc>
          <w:tcPr>
            <w:tcW w:w="314" w:type="pct"/>
            <w:tcBorders>
              <w:top w:val="single" w:sz="2" w:space="0" w:color="auto"/>
              <w:left w:val="single" w:sz="2" w:space="0" w:color="auto"/>
              <w:bottom w:val="single" w:sz="2" w:space="0" w:color="auto"/>
              <w:right w:val="single" w:sz="2" w:space="0" w:color="auto"/>
            </w:tcBorders>
            <w:shd w:val="clear" w:color="auto" w:fill="FFFFFF"/>
            <w:vAlign w:val="center"/>
          </w:tcPr>
          <w:p w14:paraId="3E03A40E"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b/>
                <w:bCs/>
                <w:caps/>
                <w:lang w:val="hr-HR"/>
              </w:rPr>
              <w:t>P</w:t>
            </w:r>
          </w:p>
        </w:tc>
        <w:tc>
          <w:tcPr>
            <w:tcW w:w="313" w:type="pct"/>
            <w:tcBorders>
              <w:top w:val="single" w:sz="2" w:space="0" w:color="auto"/>
              <w:left w:val="single" w:sz="2" w:space="0" w:color="auto"/>
              <w:bottom w:val="single" w:sz="2" w:space="0" w:color="auto"/>
              <w:right w:val="single" w:sz="2" w:space="0" w:color="auto"/>
            </w:tcBorders>
            <w:shd w:val="clear" w:color="auto" w:fill="FFFFFF"/>
            <w:vAlign w:val="center"/>
          </w:tcPr>
          <w:p w14:paraId="2CB97817"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b/>
                <w:bCs/>
                <w:lang w:val="hr-HR"/>
              </w:rPr>
              <w:t>S</w:t>
            </w:r>
          </w:p>
        </w:tc>
        <w:tc>
          <w:tcPr>
            <w:tcW w:w="314" w:type="pct"/>
            <w:tcBorders>
              <w:top w:val="single" w:sz="2" w:space="0" w:color="auto"/>
              <w:left w:val="single" w:sz="2" w:space="0" w:color="auto"/>
              <w:bottom w:val="single" w:sz="2" w:space="0" w:color="auto"/>
              <w:right w:val="single" w:sz="2" w:space="0" w:color="auto"/>
            </w:tcBorders>
            <w:shd w:val="clear" w:color="auto" w:fill="FFFFFF"/>
            <w:vAlign w:val="center"/>
          </w:tcPr>
          <w:p w14:paraId="6240DD60"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b/>
                <w:bCs/>
                <w:lang w:val="hr-HR"/>
              </w:rPr>
              <w:t>V</w:t>
            </w:r>
          </w:p>
        </w:tc>
        <w:tc>
          <w:tcPr>
            <w:tcW w:w="550" w:type="pct"/>
            <w:tcBorders>
              <w:top w:val="single" w:sz="2" w:space="0" w:color="auto"/>
              <w:left w:val="single" w:sz="2" w:space="0" w:color="auto"/>
              <w:bottom w:val="single" w:sz="2" w:space="0" w:color="auto"/>
              <w:right w:val="single" w:sz="2" w:space="0" w:color="auto"/>
            </w:tcBorders>
            <w:vAlign w:val="center"/>
          </w:tcPr>
          <w:p w14:paraId="6D798F9A" w14:textId="77777777" w:rsidR="004E3FDC" w:rsidRPr="0077700D" w:rsidRDefault="004E3FDC" w:rsidP="00450B7A">
            <w:pPr>
              <w:spacing w:after="0" w:line="240" w:lineRule="auto"/>
              <w:jc w:val="center"/>
              <w:rPr>
                <w:rFonts w:ascii="Cambria" w:eastAsia="Times New Roman" w:hAnsi="Cambria"/>
                <w:bCs/>
                <w:lang w:val="hr-HR"/>
              </w:rPr>
            </w:pPr>
            <w:r w:rsidRPr="0077700D">
              <w:rPr>
                <w:rFonts w:ascii="Cambria" w:eastAsia="Times New Roman" w:hAnsi="Cambria"/>
                <w:b/>
                <w:lang w:val="hr-HR"/>
              </w:rPr>
              <w:t>ECTS</w:t>
            </w:r>
          </w:p>
        </w:tc>
      </w:tr>
      <w:tr w:rsidR="004E3FDC" w:rsidRPr="0077700D" w14:paraId="1F82AFA9" w14:textId="77777777" w:rsidTr="00450B7A">
        <w:trPr>
          <w:cantSplit/>
          <w:trHeight w:val="742"/>
          <w:jc w:val="center"/>
        </w:trPr>
        <w:tc>
          <w:tcPr>
            <w:tcW w:w="1481" w:type="pct"/>
            <w:tcBorders>
              <w:top w:val="single" w:sz="4" w:space="0" w:color="auto"/>
              <w:left w:val="single" w:sz="2" w:space="0" w:color="auto"/>
              <w:bottom w:val="single" w:sz="4" w:space="0" w:color="auto"/>
              <w:right w:val="single" w:sz="2" w:space="0" w:color="auto"/>
            </w:tcBorders>
            <w:vAlign w:val="center"/>
            <w:hideMark/>
          </w:tcPr>
          <w:p w14:paraId="34CE3E47" w14:textId="77777777" w:rsidR="004E3FDC" w:rsidRPr="0077700D" w:rsidRDefault="004E3FDC" w:rsidP="00450B7A">
            <w:pPr>
              <w:spacing w:before="20" w:after="20" w:line="240" w:lineRule="auto"/>
              <w:rPr>
                <w:rFonts w:ascii="Cambria" w:eastAsia="Times New Roman" w:hAnsi="Cambria"/>
                <w:b/>
                <w:lang w:val="hr-HR"/>
              </w:rPr>
            </w:pPr>
            <w:r w:rsidRPr="0077700D">
              <w:rPr>
                <w:rFonts w:ascii="Cambria" w:eastAsia="Times New Roman" w:hAnsi="Cambria"/>
                <w:b/>
                <w:lang w:val="hr-HR"/>
              </w:rPr>
              <w:t>96521</w:t>
            </w:r>
          </w:p>
          <w:p w14:paraId="6737EAC1" w14:textId="77777777" w:rsidR="004E3FDC" w:rsidRPr="0077700D" w:rsidRDefault="004E3FDC" w:rsidP="00450B7A">
            <w:pPr>
              <w:spacing w:after="0" w:line="240" w:lineRule="auto"/>
              <w:rPr>
                <w:rFonts w:ascii="Cambria" w:eastAsia="Times New Roman" w:hAnsi="Cambria"/>
                <w:lang w:val="hr-HR"/>
              </w:rPr>
            </w:pPr>
            <w:r w:rsidRPr="0077700D">
              <w:rPr>
                <w:rFonts w:ascii="Cambria" w:eastAsia="Times New Roman" w:hAnsi="Cambria"/>
                <w:lang w:val="hr-HR"/>
              </w:rPr>
              <w:t>Metodika nastave informatike I</w:t>
            </w:r>
          </w:p>
        </w:tc>
        <w:tc>
          <w:tcPr>
            <w:tcW w:w="2027" w:type="pct"/>
            <w:tcBorders>
              <w:top w:val="single" w:sz="4" w:space="0" w:color="auto"/>
              <w:left w:val="single" w:sz="2" w:space="0" w:color="auto"/>
              <w:bottom w:val="single" w:sz="4" w:space="0" w:color="auto"/>
              <w:right w:val="single" w:sz="2" w:space="0" w:color="auto"/>
            </w:tcBorders>
            <w:vAlign w:val="center"/>
            <w:hideMark/>
          </w:tcPr>
          <w:p w14:paraId="6735DA75" w14:textId="77777777" w:rsidR="004E3FDC" w:rsidRPr="0077700D" w:rsidRDefault="004E3FDC" w:rsidP="00450B7A">
            <w:pPr>
              <w:spacing w:after="0" w:line="240" w:lineRule="auto"/>
              <w:rPr>
                <w:rFonts w:ascii="Cambria" w:eastAsia="Times New Roman" w:hAnsi="Cambria"/>
                <w:lang w:val="hr-HR"/>
              </w:rPr>
            </w:pPr>
            <w:r w:rsidRPr="0077700D">
              <w:rPr>
                <w:rFonts w:ascii="Cambria" w:eastAsia="Times New Roman" w:hAnsi="Cambria"/>
                <w:lang w:val="hr-HR"/>
              </w:rPr>
              <w:t>prof. dr. sc. Maja Ružić</w:t>
            </w:r>
          </w:p>
        </w:tc>
        <w:tc>
          <w:tcPr>
            <w:tcW w:w="314" w:type="pct"/>
            <w:tcBorders>
              <w:top w:val="single" w:sz="4" w:space="0" w:color="auto"/>
              <w:left w:val="single" w:sz="2" w:space="0" w:color="auto"/>
              <w:bottom w:val="single" w:sz="4" w:space="0" w:color="auto"/>
              <w:right w:val="single" w:sz="2" w:space="0" w:color="auto"/>
            </w:tcBorders>
            <w:vAlign w:val="center"/>
            <w:hideMark/>
          </w:tcPr>
          <w:p w14:paraId="180AAD5F"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15</w:t>
            </w:r>
          </w:p>
        </w:tc>
        <w:tc>
          <w:tcPr>
            <w:tcW w:w="313" w:type="pct"/>
            <w:tcBorders>
              <w:top w:val="single" w:sz="4" w:space="0" w:color="auto"/>
              <w:left w:val="single" w:sz="2" w:space="0" w:color="auto"/>
              <w:bottom w:val="single" w:sz="4" w:space="0" w:color="auto"/>
              <w:right w:val="single" w:sz="2" w:space="0" w:color="auto"/>
            </w:tcBorders>
            <w:vAlign w:val="center"/>
          </w:tcPr>
          <w:p w14:paraId="6CA9DA71"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15</w:t>
            </w:r>
          </w:p>
        </w:tc>
        <w:tc>
          <w:tcPr>
            <w:tcW w:w="314" w:type="pct"/>
            <w:tcBorders>
              <w:top w:val="single" w:sz="4" w:space="0" w:color="auto"/>
              <w:left w:val="single" w:sz="2" w:space="0" w:color="auto"/>
              <w:bottom w:val="single" w:sz="4" w:space="0" w:color="auto"/>
              <w:right w:val="single" w:sz="2" w:space="0" w:color="auto"/>
            </w:tcBorders>
            <w:vAlign w:val="center"/>
            <w:hideMark/>
          </w:tcPr>
          <w:p w14:paraId="4B2E2573"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0</w:t>
            </w:r>
          </w:p>
        </w:tc>
        <w:tc>
          <w:tcPr>
            <w:tcW w:w="550" w:type="pct"/>
            <w:tcBorders>
              <w:top w:val="single" w:sz="4" w:space="0" w:color="auto"/>
              <w:left w:val="single" w:sz="2" w:space="0" w:color="auto"/>
              <w:bottom w:val="single" w:sz="4" w:space="0" w:color="auto"/>
              <w:right w:val="single" w:sz="2" w:space="0" w:color="auto"/>
            </w:tcBorders>
            <w:vAlign w:val="center"/>
            <w:hideMark/>
          </w:tcPr>
          <w:p w14:paraId="445F851E" w14:textId="77777777" w:rsidR="004E3FDC" w:rsidRPr="0077700D" w:rsidRDefault="004E3FDC" w:rsidP="00450B7A">
            <w:pPr>
              <w:spacing w:after="0" w:line="240" w:lineRule="auto"/>
              <w:jc w:val="center"/>
              <w:rPr>
                <w:rFonts w:ascii="Cambria" w:eastAsia="Times New Roman" w:hAnsi="Cambria"/>
                <w:bCs/>
                <w:lang w:val="hr-HR"/>
              </w:rPr>
            </w:pPr>
            <w:r w:rsidRPr="0077700D">
              <w:rPr>
                <w:rFonts w:ascii="Cambria" w:eastAsia="Times New Roman" w:hAnsi="Cambria"/>
                <w:bCs/>
                <w:lang w:val="hr-HR"/>
              </w:rPr>
              <w:t>2</w:t>
            </w:r>
          </w:p>
        </w:tc>
      </w:tr>
      <w:tr w:rsidR="004E3FDC" w:rsidRPr="0077700D" w14:paraId="64668784" w14:textId="77777777" w:rsidTr="00450B7A">
        <w:trPr>
          <w:cantSplit/>
          <w:trHeight w:val="555"/>
          <w:jc w:val="center"/>
        </w:trPr>
        <w:tc>
          <w:tcPr>
            <w:tcW w:w="1481" w:type="pct"/>
            <w:tcBorders>
              <w:top w:val="single" w:sz="2" w:space="0" w:color="auto"/>
              <w:left w:val="single" w:sz="2" w:space="0" w:color="auto"/>
              <w:bottom w:val="single" w:sz="2" w:space="0" w:color="auto"/>
              <w:right w:val="single" w:sz="2" w:space="0" w:color="auto"/>
            </w:tcBorders>
            <w:vAlign w:val="center"/>
            <w:hideMark/>
          </w:tcPr>
          <w:p w14:paraId="73999F1D" w14:textId="77777777" w:rsidR="004E3FDC" w:rsidRPr="0077700D" w:rsidRDefault="004E3FDC" w:rsidP="00450B7A">
            <w:pPr>
              <w:spacing w:before="20" w:after="20" w:line="240" w:lineRule="auto"/>
              <w:rPr>
                <w:rFonts w:ascii="Cambria" w:eastAsia="Times New Roman" w:hAnsi="Cambria"/>
                <w:b/>
                <w:lang w:val="hr-HR"/>
              </w:rPr>
            </w:pPr>
            <w:r w:rsidRPr="0077700D">
              <w:rPr>
                <w:rFonts w:ascii="Cambria" w:eastAsia="Times New Roman" w:hAnsi="Cambria"/>
                <w:b/>
                <w:lang w:val="hr-HR"/>
              </w:rPr>
              <w:t>85806</w:t>
            </w:r>
          </w:p>
          <w:p w14:paraId="677A08A1" w14:textId="77777777" w:rsidR="004E3FDC" w:rsidRPr="0077700D" w:rsidRDefault="004E3FDC" w:rsidP="00450B7A">
            <w:pPr>
              <w:spacing w:after="0" w:line="240" w:lineRule="auto"/>
              <w:rPr>
                <w:rFonts w:ascii="Cambria" w:eastAsia="Times New Roman" w:hAnsi="Cambria"/>
                <w:lang w:val="hr-HR"/>
              </w:rPr>
            </w:pPr>
            <w:r w:rsidRPr="0077700D">
              <w:rPr>
                <w:rFonts w:ascii="Cambria" w:eastAsia="Times New Roman" w:hAnsi="Cambria"/>
                <w:lang w:val="hr-HR"/>
              </w:rPr>
              <w:t>Baze podataka</w:t>
            </w:r>
          </w:p>
        </w:tc>
        <w:tc>
          <w:tcPr>
            <w:tcW w:w="2027" w:type="pct"/>
            <w:tcBorders>
              <w:top w:val="single" w:sz="2" w:space="0" w:color="auto"/>
              <w:left w:val="single" w:sz="2" w:space="0" w:color="auto"/>
              <w:bottom w:val="single" w:sz="2" w:space="0" w:color="auto"/>
              <w:right w:val="single" w:sz="2" w:space="0" w:color="auto"/>
            </w:tcBorders>
            <w:vAlign w:val="center"/>
            <w:hideMark/>
          </w:tcPr>
          <w:p w14:paraId="4FA9F44F" w14:textId="77777777" w:rsidR="004E3FDC" w:rsidRPr="00671B0E" w:rsidRDefault="004E3FDC" w:rsidP="00450B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mbria" w:eastAsia="Times New Roman" w:hAnsi="Cambria"/>
                <w:lang w:val="hr-HR"/>
              </w:rPr>
            </w:pPr>
            <w:r w:rsidRPr="00671B0E">
              <w:rPr>
                <w:rFonts w:ascii="Cambria" w:eastAsia="Times New Roman" w:hAnsi="Cambria"/>
                <w:lang w:val="hr-HR"/>
              </w:rPr>
              <w:t xml:space="preserve">naslovna doc. dr. sc. Elena </w:t>
            </w:r>
            <w:proofErr w:type="spellStart"/>
            <w:r w:rsidRPr="00671B0E">
              <w:rPr>
                <w:rFonts w:ascii="Cambria" w:eastAsia="Times New Roman" w:hAnsi="Cambria"/>
                <w:lang w:val="hr-HR"/>
              </w:rPr>
              <w:t>Krelja</w:t>
            </w:r>
            <w:proofErr w:type="spellEnd"/>
            <w:r w:rsidRPr="00671B0E">
              <w:rPr>
                <w:rFonts w:ascii="Cambria" w:eastAsia="Times New Roman" w:hAnsi="Cambria"/>
                <w:lang w:val="hr-HR"/>
              </w:rPr>
              <w:t xml:space="preserve"> </w:t>
            </w:r>
            <w:proofErr w:type="spellStart"/>
            <w:r w:rsidRPr="00671B0E">
              <w:rPr>
                <w:rFonts w:ascii="Cambria" w:eastAsia="Times New Roman" w:hAnsi="Cambria"/>
                <w:lang w:val="hr-HR"/>
              </w:rPr>
              <w:t>Kurelović</w:t>
            </w:r>
            <w:proofErr w:type="spellEnd"/>
          </w:p>
          <w:p w14:paraId="460E6326" w14:textId="77777777" w:rsidR="004E3FDC" w:rsidRPr="0077700D" w:rsidRDefault="004E3FDC" w:rsidP="00450B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mbria" w:eastAsia="Times New Roman" w:hAnsi="Cambria"/>
                <w:lang w:val="hr-HR"/>
              </w:rPr>
            </w:pPr>
            <w:r w:rsidRPr="00671B0E">
              <w:rPr>
                <w:rFonts w:ascii="Cambria" w:eastAsia="Times New Roman" w:hAnsi="Cambria"/>
                <w:lang w:val="hr-HR"/>
              </w:rPr>
              <w:t xml:space="preserve">naslovni Igor </w:t>
            </w:r>
            <w:proofErr w:type="spellStart"/>
            <w:r w:rsidRPr="00671B0E">
              <w:rPr>
                <w:rFonts w:ascii="Cambria" w:eastAsia="Times New Roman" w:hAnsi="Cambria"/>
                <w:lang w:val="hr-HR"/>
              </w:rPr>
              <w:t>Dobrača</w:t>
            </w:r>
            <w:proofErr w:type="spellEnd"/>
            <w:r w:rsidRPr="00671B0E">
              <w:rPr>
                <w:rFonts w:ascii="Cambria" w:eastAsia="Times New Roman" w:hAnsi="Cambria"/>
                <w:lang w:val="hr-HR"/>
              </w:rPr>
              <w:t>, v. pred.</w:t>
            </w:r>
          </w:p>
        </w:tc>
        <w:tc>
          <w:tcPr>
            <w:tcW w:w="314" w:type="pct"/>
            <w:tcBorders>
              <w:top w:val="single" w:sz="2" w:space="0" w:color="auto"/>
              <w:left w:val="single" w:sz="2" w:space="0" w:color="auto"/>
              <w:bottom w:val="single" w:sz="2" w:space="0" w:color="auto"/>
              <w:right w:val="single" w:sz="2" w:space="0" w:color="auto"/>
            </w:tcBorders>
            <w:vAlign w:val="center"/>
            <w:hideMark/>
          </w:tcPr>
          <w:p w14:paraId="30FE8A96"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15</w:t>
            </w:r>
          </w:p>
        </w:tc>
        <w:tc>
          <w:tcPr>
            <w:tcW w:w="313" w:type="pct"/>
            <w:tcBorders>
              <w:top w:val="single" w:sz="2" w:space="0" w:color="auto"/>
              <w:left w:val="single" w:sz="2" w:space="0" w:color="auto"/>
              <w:bottom w:val="single" w:sz="2" w:space="0" w:color="auto"/>
              <w:right w:val="single" w:sz="2" w:space="0" w:color="auto"/>
            </w:tcBorders>
            <w:vAlign w:val="center"/>
          </w:tcPr>
          <w:p w14:paraId="301777E8"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0</w:t>
            </w:r>
          </w:p>
        </w:tc>
        <w:tc>
          <w:tcPr>
            <w:tcW w:w="314" w:type="pct"/>
            <w:tcBorders>
              <w:top w:val="single" w:sz="2" w:space="0" w:color="auto"/>
              <w:left w:val="single" w:sz="2" w:space="0" w:color="auto"/>
              <w:bottom w:val="single" w:sz="2" w:space="0" w:color="auto"/>
              <w:right w:val="single" w:sz="2" w:space="0" w:color="auto"/>
            </w:tcBorders>
            <w:vAlign w:val="center"/>
            <w:hideMark/>
          </w:tcPr>
          <w:p w14:paraId="0F5FC9D7"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15</w:t>
            </w:r>
          </w:p>
        </w:tc>
        <w:tc>
          <w:tcPr>
            <w:tcW w:w="550" w:type="pct"/>
            <w:tcBorders>
              <w:top w:val="single" w:sz="2" w:space="0" w:color="auto"/>
              <w:left w:val="single" w:sz="2" w:space="0" w:color="auto"/>
              <w:bottom w:val="single" w:sz="2" w:space="0" w:color="auto"/>
              <w:right w:val="single" w:sz="2" w:space="0" w:color="auto"/>
            </w:tcBorders>
            <w:vAlign w:val="center"/>
            <w:hideMark/>
          </w:tcPr>
          <w:p w14:paraId="68CEE650" w14:textId="77777777" w:rsidR="004E3FDC" w:rsidRPr="0077700D" w:rsidRDefault="004E3FDC" w:rsidP="00450B7A">
            <w:pPr>
              <w:spacing w:after="0" w:line="240" w:lineRule="auto"/>
              <w:jc w:val="center"/>
              <w:rPr>
                <w:rFonts w:ascii="Cambria" w:eastAsia="Times New Roman" w:hAnsi="Cambria"/>
                <w:bCs/>
                <w:lang w:val="hr-HR"/>
              </w:rPr>
            </w:pPr>
            <w:r w:rsidRPr="0077700D">
              <w:rPr>
                <w:rFonts w:ascii="Cambria" w:eastAsia="Times New Roman" w:hAnsi="Cambria"/>
                <w:bCs/>
                <w:lang w:val="hr-HR"/>
              </w:rPr>
              <w:t>2</w:t>
            </w:r>
          </w:p>
        </w:tc>
      </w:tr>
    </w:tbl>
    <w:p w14:paraId="4C69C7D7" w14:textId="77777777" w:rsidR="004E3FDC" w:rsidRPr="003C32F1" w:rsidRDefault="004E3FDC" w:rsidP="004E3FDC">
      <w:pPr>
        <w:rPr>
          <w:rFonts w:ascii="Cambria" w:eastAsia="Times New Roman" w:hAnsi="Cambria"/>
          <w:lang w:val="hr-HR"/>
        </w:rPr>
      </w:pPr>
      <w:r>
        <w:rPr>
          <w:rFonts w:ascii="Cambria" w:eastAsia="Times New Roman" w:hAnsi="Cambria"/>
          <w:b/>
          <w:lang w:val="hr-HR"/>
        </w:rPr>
        <w:t xml:space="preserve">  </w:t>
      </w:r>
      <w:r w:rsidRPr="003C32F1">
        <w:rPr>
          <w:rFonts w:ascii="Cambria" w:eastAsia="Times New Roman" w:hAnsi="Cambria"/>
          <w:lang w:val="hr-HR"/>
        </w:rPr>
        <w:t>** natječaj je u tijeku</w:t>
      </w:r>
    </w:p>
    <w:p w14:paraId="11246ABC" w14:textId="77777777" w:rsidR="004E3FDC" w:rsidRPr="0077700D" w:rsidRDefault="004E3FDC" w:rsidP="004E3FDC">
      <w:pPr>
        <w:widowControl w:val="0"/>
        <w:spacing w:after="120" w:line="240" w:lineRule="auto"/>
        <w:jc w:val="center"/>
        <w:rPr>
          <w:rFonts w:ascii="Cambria" w:eastAsia="Times New Roman" w:hAnsi="Cambria"/>
          <w:b/>
          <w:lang w:val="hr-HR"/>
        </w:rPr>
      </w:pPr>
      <w:r w:rsidRPr="0077700D">
        <w:rPr>
          <w:rFonts w:ascii="Cambria" w:eastAsia="Times New Roman" w:hAnsi="Cambria"/>
          <w:b/>
          <w:lang w:val="hr-HR"/>
        </w:rPr>
        <w:t>5. GODINA</w:t>
      </w:r>
    </w:p>
    <w:tbl>
      <w:tblPr>
        <w:tblW w:w="4866"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893"/>
        <w:gridCol w:w="3949"/>
        <w:gridCol w:w="625"/>
        <w:gridCol w:w="613"/>
        <w:gridCol w:w="615"/>
        <w:gridCol w:w="1070"/>
      </w:tblGrid>
      <w:tr w:rsidR="004E3FDC" w:rsidRPr="0077700D" w14:paraId="792A4CC3" w14:textId="77777777" w:rsidTr="00450B7A">
        <w:trPr>
          <w:cantSplit/>
          <w:jc w:val="center"/>
        </w:trPr>
        <w:tc>
          <w:tcPr>
            <w:tcW w:w="5000" w:type="pct"/>
            <w:gridSpan w:val="6"/>
            <w:tcBorders>
              <w:top w:val="single" w:sz="2" w:space="0" w:color="auto"/>
              <w:left w:val="single" w:sz="2" w:space="0" w:color="auto"/>
              <w:bottom w:val="single" w:sz="2" w:space="0" w:color="auto"/>
              <w:right w:val="single" w:sz="2" w:space="0" w:color="auto"/>
            </w:tcBorders>
            <w:shd w:val="clear" w:color="auto" w:fill="33CCCC"/>
            <w:vAlign w:val="center"/>
            <w:hideMark/>
          </w:tcPr>
          <w:p w14:paraId="3D1F69CA" w14:textId="77777777" w:rsidR="004E3FDC" w:rsidRPr="0077700D" w:rsidRDefault="004E3FDC" w:rsidP="00450B7A">
            <w:pPr>
              <w:spacing w:after="0" w:line="240" w:lineRule="auto"/>
              <w:jc w:val="center"/>
              <w:rPr>
                <w:rFonts w:ascii="Cambria" w:eastAsia="Times New Roman" w:hAnsi="Cambria"/>
                <w:b/>
                <w:bCs/>
                <w:lang w:val="hr-HR"/>
              </w:rPr>
            </w:pPr>
            <w:r w:rsidRPr="0077700D">
              <w:rPr>
                <w:rFonts w:ascii="Cambria" w:eastAsia="Times New Roman" w:hAnsi="Cambria"/>
                <w:b/>
                <w:bCs/>
                <w:lang w:val="hr-HR"/>
              </w:rPr>
              <w:t>IX. semestar</w:t>
            </w:r>
          </w:p>
        </w:tc>
      </w:tr>
      <w:tr w:rsidR="004E3FDC" w:rsidRPr="0077700D" w14:paraId="7FF05E50" w14:textId="77777777" w:rsidTr="00450B7A">
        <w:trPr>
          <w:cantSplit/>
          <w:jc w:val="center"/>
        </w:trPr>
        <w:tc>
          <w:tcPr>
            <w:tcW w:w="1481" w:type="pct"/>
            <w:tcBorders>
              <w:top w:val="single" w:sz="2" w:space="0" w:color="auto"/>
              <w:left w:val="single" w:sz="2" w:space="0" w:color="auto"/>
              <w:bottom w:val="single" w:sz="2" w:space="0" w:color="auto"/>
              <w:right w:val="single" w:sz="2" w:space="0" w:color="auto"/>
            </w:tcBorders>
            <w:vAlign w:val="center"/>
            <w:hideMark/>
          </w:tcPr>
          <w:p w14:paraId="66CFC1A2" w14:textId="77777777" w:rsidR="004E3FDC" w:rsidRPr="0077700D" w:rsidRDefault="004E3FDC" w:rsidP="00450B7A">
            <w:pPr>
              <w:widowControl w:val="0"/>
              <w:spacing w:after="0" w:line="240" w:lineRule="auto"/>
              <w:rPr>
                <w:rFonts w:ascii="Cambria" w:eastAsia="Times New Roman" w:hAnsi="Cambria"/>
                <w:b/>
                <w:lang w:val="hr-HR"/>
              </w:rPr>
            </w:pPr>
            <w:r w:rsidRPr="0077700D">
              <w:rPr>
                <w:rFonts w:ascii="Cambria" w:eastAsia="Times New Roman" w:hAnsi="Cambria"/>
                <w:b/>
                <w:lang w:val="hr-HR"/>
              </w:rPr>
              <w:t>Predmet</w:t>
            </w:r>
          </w:p>
        </w:tc>
        <w:tc>
          <w:tcPr>
            <w:tcW w:w="2022" w:type="pct"/>
            <w:tcBorders>
              <w:top w:val="single" w:sz="2" w:space="0" w:color="auto"/>
              <w:left w:val="single" w:sz="2" w:space="0" w:color="auto"/>
              <w:bottom w:val="single" w:sz="2" w:space="0" w:color="auto"/>
              <w:right w:val="single" w:sz="2" w:space="0" w:color="auto"/>
            </w:tcBorders>
            <w:vAlign w:val="center"/>
            <w:hideMark/>
          </w:tcPr>
          <w:p w14:paraId="4B445A2A" w14:textId="77777777" w:rsidR="004E3FDC" w:rsidRPr="0077700D" w:rsidRDefault="004E3FDC" w:rsidP="00450B7A">
            <w:pPr>
              <w:widowControl w:val="0"/>
              <w:spacing w:after="0" w:line="240" w:lineRule="auto"/>
              <w:rPr>
                <w:rFonts w:ascii="Cambria" w:eastAsia="Times New Roman" w:hAnsi="Cambria"/>
                <w:b/>
                <w:lang w:val="hr-HR"/>
              </w:rPr>
            </w:pPr>
            <w:r w:rsidRPr="0077700D">
              <w:rPr>
                <w:rFonts w:ascii="Cambria" w:eastAsia="Times New Roman" w:hAnsi="Cambria"/>
                <w:b/>
                <w:lang w:val="hr-HR"/>
              </w:rPr>
              <w:t>Nastavnik/</w:t>
            </w:r>
            <w:proofErr w:type="spellStart"/>
            <w:r w:rsidRPr="0077700D">
              <w:rPr>
                <w:rFonts w:ascii="Cambria" w:eastAsia="Times New Roman" w:hAnsi="Cambria"/>
                <w:b/>
                <w:lang w:val="hr-HR"/>
              </w:rPr>
              <w:t>ica</w:t>
            </w:r>
            <w:proofErr w:type="spellEnd"/>
          </w:p>
        </w:tc>
        <w:tc>
          <w:tcPr>
            <w:tcW w:w="320" w:type="pct"/>
            <w:tcBorders>
              <w:top w:val="single" w:sz="2" w:space="0" w:color="auto"/>
              <w:left w:val="single" w:sz="2" w:space="0" w:color="auto"/>
              <w:bottom w:val="single" w:sz="2" w:space="0" w:color="auto"/>
              <w:right w:val="single" w:sz="2" w:space="0" w:color="auto"/>
            </w:tcBorders>
            <w:vAlign w:val="center"/>
            <w:hideMark/>
          </w:tcPr>
          <w:p w14:paraId="1843CFD5" w14:textId="77777777" w:rsidR="004E3FDC" w:rsidRPr="0077700D" w:rsidRDefault="004E3FDC" w:rsidP="00450B7A">
            <w:pPr>
              <w:spacing w:after="0" w:line="240" w:lineRule="auto"/>
              <w:jc w:val="center"/>
              <w:rPr>
                <w:rFonts w:ascii="Cambria" w:eastAsia="Times New Roman" w:hAnsi="Cambria"/>
                <w:b/>
                <w:bCs/>
                <w:caps/>
                <w:lang w:val="hr-HR"/>
              </w:rPr>
            </w:pPr>
            <w:r w:rsidRPr="0077700D">
              <w:rPr>
                <w:rFonts w:ascii="Cambria" w:eastAsia="Times New Roman" w:hAnsi="Cambria"/>
                <w:b/>
                <w:bCs/>
                <w:caps/>
                <w:lang w:val="hr-HR"/>
              </w:rPr>
              <w:t>P</w:t>
            </w:r>
          </w:p>
        </w:tc>
        <w:tc>
          <w:tcPr>
            <w:tcW w:w="314" w:type="pct"/>
            <w:tcBorders>
              <w:top w:val="single" w:sz="2" w:space="0" w:color="auto"/>
              <w:left w:val="single" w:sz="2" w:space="0" w:color="auto"/>
              <w:bottom w:val="single" w:sz="2" w:space="0" w:color="auto"/>
              <w:right w:val="single" w:sz="2" w:space="0" w:color="auto"/>
            </w:tcBorders>
            <w:vAlign w:val="center"/>
          </w:tcPr>
          <w:p w14:paraId="7C88D84C" w14:textId="77777777" w:rsidR="004E3FDC" w:rsidRPr="0077700D" w:rsidRDefault="004E3FDC" w:rsidP="00450B7A">
            <w:pPr>
              <w:spacing w:after="0" w:line="240" w:lineRule="auto"/>
              <w:jc w:val="center"/>
              <w:rPr>
                <w:rFonts w:ascii="Cambria" w:eastAsia="Times New Roman" w:hAnsi="Cambria"/>
                <w:b/>
                <w:bCs/>
                <w:caps/>
                <w:lang w:val="hr-HR"/>
              </w:rPr>
            </w:pPr>
            <w:r w:rsidRPr="0077700D">
              <w:rPr>
                <w:rFonts w:ascii="Cambria" w:eastAsia="Times New Roman" w:hAnsi="Cambria"/>
                <w:b/>
                <w:bCs/>
                <w:caps/>
                <w:lang w:val="hr-HR"/>
              </w:rPr>
              <w:t>S</w:t>
            </w:r>
          </w:p>
        </w:tc>
        <w:tc>
          <w:tcPr>
            <w:tcW w:w="315" w:type="pct"/>
            <w:tcBorders>
              <w:top w:val="single" w:sz="2" w:space="0" w:color="auto"/>
              <w:left w:val="single" w:sz="2" w:space="0" w:color="auto"/>
              <w:bottom w:val="single" w:sz="2" w:space="0" w:color="auto"/>
              <w:right w:val="single" w:sz="2" w:space="0" w:color="auto"/>
            </w:tcBorders>
            <w:vAlign w:val="center"/>
            <w:hideMark/>
          </w:tcPr>
          <w:p w14:paraId="28DEC51C" w14:textId="77777777" w:rsidR="004E3FDC" w:rsidRPr="0077700D" w:rsidRDefault="004E3FDC" w:rsidP="00450B7A">
            <w:pPr>
              <w:spacing w:after="0" w:line="240" w:lineRule="auto"/>
              <w:jc w:val="center"/>
              <w:rPr>
                <w:rFonts w:ascii="Cambria" w:eastAsia="Times New Roman" w:hAnsi="Cambria"/>
                <w:b/>
                <w:bCs/>
                <w:caps/>
                <w:lang w:val="hr-HR"/>
              </w:rPr>
            </w:pPr>
            <w:r w:rsidRPr="0077700D">
              <w:rPr>
                <w:rFonts w:ascii="Cambria" w:eastAsia="Times New Roman" w:hAnsi="Cambria"/>
                <w:b/>
                <w:bCs/>
                <w:caps/>
                <w:lang w:val="hr-HR"/>
              </w:rPr>
              <w:t>V</w:t>
            </w:r>
          </w:p>
        </w:tc>
        <w:tc>
          <w:tcPr>
            <w:tcW w:w="548" w:type="pct"/>
            <w:tcBorders>
              <w:top w:val="single" w:sz="2" w:space="0" w:color="auto"/>
              <w:left w:val="single" w:sz="2" w:space="0" w:color="auto"/>
              <w:bottom w:val="single" w:sz="2" w:space="0" w:color="auto"/>
              <w:right w:val="single" w:sz="2" w:space="0" w:color="auto"/>
            </w:tcBorders>
            <w:vAlign w:val="center"/>
            <w:hideMark/>
          </w:tcPr>
          <w:p w14:paraId="053C936D" w14:textId="77777777" w:rsidR="004E3FDC" w:rsidRPr="0077700D" w:rsidRDefault="004E3FDC" w:rsidP="00450B7A">
            <w:pPr>
              <w:spacing w:after="0" w:line="240" w:lineRule="auto"/>
              <w:jc w:val="center"/>
              <w:rPr>
                <w:rFonts w:ascii="Cambria" w:eastAsia="Times New Roman" w:hAnsi="Cambria"/>
                <w:b/>
                <w:bCs/>
                <w:caps/>
                <w:lang w:val="hr-HR"/>
              </w:rPr>
            </w:pPr>
            <w:r w:rsidRPr="0077700D">
              <w:rPr>
                <w:rFonts w:ascii="Cambria" w:eastAsia="Times New Roman" w:hAnsi="Cambria"/>
                <w:b/>
                <w:bCs/>
                <w:caps/>
                <w:lang w:val="hr-HR"/>
              </w:rPr>
              <w:t>ECTS</w:t>
            </w:r>
          </w:p>
        </w:tc>
      </w:tr>
      <w:tr w:rsidR="004E3FDC" w:rsidRPr="0077700D" w14:paraId="2253165A" w14:textId="77777777" w:rsidTr="00450B7A">
        <w:trPr>
          <w:cantSplit/>
          <w:jc w:val="center"/>
        </w:trPr>
        <w:tc>
          <w:tcPr>
            <w:tcW w:w="1481" w:type="pct"/>
            <w:tcBorders>
              <w:top w:val="single" w:sz="2" w:space="0" w:color="auto"/>
              <w:left w:val="single" w:sz="2" w:space="0" w:color="auto"/>
              <w:bottom w:val="single" w:sz="2" w:space="0" w:color="auto"/>
              <w:right w:val="single" w:sz="2" w:space="0" w:color="auto"/>
            </w:tcBorders>
            <w:vAlign w:val="center"/>
            <w:hideMark/>
          </w:tcPr>
          <w:p w14:paraId="435F1939" w14:textId="77777777" w:rsidR="004E3FDC" w:rsidRPr="0077700D" w:rsidRDefault="004E3FDC" w:rsidP="00450B7A">
            <w:pPr>
              <w:widowControl w:val="0"/>
              <w:spacing w:after="0" w:line="240" w:lineRule="auto"/>
              <w:rPr>
                <w:rFonts w:ascii="Cambria" w:eastAsia="Times New Roman" w:hAnsi="Cambria"/>
                <w:b/>
                <w:lang w:val="hr-HR"/>
              </w:rPr>
            </w:pPr>
            <w:r w:rsidRPr="0077700D">
              <w:rPr>
                <w:rFonts w:ascii="Cambria" w:eastAsia="Times New Roman" w:hAnsi="Cambria"/>
                <w:b/>
                <w:lang w:val="hr-HR"/>
              </w:rPr>
              <w:t>118962</w:t>
            </w:r>
          </w:p>
          <w:p w14:paraId="32578AC8" w14:textId="77777777" w:rsidR="004E3FDC" w:rsidRPr="0077700D" w:rsidRDefault="004E3FDC" w:rsidP="00450B7A">
            <w:pPr>
              <w:spacing w:after="0" w:line="240" w:lineRule="auto"/>
              <w:rPr>
                <w:rFonts w:ascii="Cambria" w:eastAsia="Times New Roman" w:hAnsi="Cambria"/>
                <w:lang w:val="hr-HR"/>
              </w:rPr>
            </w:pPr>
            <w:r w:rsidRPr="0077700D">
              <w:rPr>
                <w:rFonts w:ascii="Cambria" w:eastAsia="Times New Roman" w:hAnsi="Cambria"/>
                <w:lang w:val="hr-HR"/>
              </w:rPr>
              <w:t>Metodika nastave matematike III</w:t>
            </w:r>
          </w:p>
        </w:tc>
        <w:tc>
          <w:tcPr>
            <w:tcW w:w="2022" w:type="pct"/>
            <w:tcBorders>
              <w:top w:val="single" w:sz="2" w:space="0" w:color="auto"/>
              <w:left w:val="single" w:sz="2" w:space="0" w:color="auto"/>
              <w:bottom w:val="single" w:sz="2" w:space="0" w:color="auto"/>
              <w:right w:val="single" w:sz="2" w:space="0" w:color="auto"/>
            </w:tcBorders>
            <w:vAlign w:val="center"/>
            <w:hideMark/>
          </w:tcPr>
          <w:p w14:paraId="6373E3C9" w14:textId="77777777" w:rsidR="004E3FDC" w:rsidRPr="0077700D" w:rsidRDefault="004E3FDC" w:rsidP="00450B7A">
            <w:pPr>
              <w:widowControl w:val="0"/>
              <w:spacing w:after="0" w:line="240" w:lineRule="auto"/>
              <w:rPr>
                <w:rFonts w:ascii="Cambria" w:eastAsia="Times New Roman" w:hAnsi="Cambria"/>
                <w:lang w:val="hr-HR"/>
              </w:rPr>
            </w:pPr>
            <w:r w:rsidRPr="0077700D">
              <w:rPr>
                <w:rFonts w:ascii="Cambria" w:eastAsia="Times New Roman" w:hAnsi="Cambria"/>
                <w:lang w:val="hr-HR"/>
              </w:rPr>
              <w:t>doc. dr. sc. Siniša Miličić</w:t>
            </w:r>
          </w:p>
          <w:p w14:paraId="6FF67AA5" w14:textId="77777777" w:rsidR="004E3FDC" w:rsidRPr="0077700D" w:rsidRDefault="004E3FDC" w:rsidP="00450B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mbria" w:eastAsia="Times New Roman" w:hAnsi="Cambria"/>
                <w:lang w:val="hr-HR"/>
              </w:rPr>
            </w:pPr>
            <w:r w:rsidRPr="0077700D">
              <w:rPr>
                <w:rFonts w:ascii="Cambria" w:eastAsia="Times New Roman" w:hAnsi="Cambria"/>
                <w:lang w:val="hr-HR"/>
              </w:rPr>
              <w:t>dr. sc. Branka Antunović, viša asistentica</w:t>
            </w:r>
          </w:p>
        </w:tc>
        <w:tc>
          <w:tcPr>
            <w:tcW w:w="320" w:type="pct"/>
            <w:tcBorders>
              <w:top w:val="single" w:sz="2" w:space="0" w:color="auto"/>
              <w:left w:val="single" w:sz="2" w:space="0" w:color="auto"/>
              <w:bottom w:val="single" w:sz="2" w:space="0" w:color="auto"/>
              <w:right w:val="single" w:sz="2" w:space="0" w:color="auto"/>
            </w:tcBorders>
            <w:vAlign w:val="center"/>
            <w:hideMark/>
          </w:tcPr>
          <w:p w14:paraId="5DCC09F8" w14:textId="77777777" w:rsidR="004E3FDC" w:rsidRPr="0077700D" w:rsidRDefault="004E3FDC" w:rsidP="00450B7A">
            <w:pPr>
              <w:widowControl w:val="0"/>
              <w:spacing w:after="0" w:line="240" w:lineRule="auto"/>
              <w:jc w:val="center"/>
              <w:rPr>
                <w:rFonts w:ascii="Cambria" w:eastAsia="Times New Roman" w:hAnsi="Cambria"/>
                <w:lang w:val="hr-HR"/>
              </w:rPr>
            </w:pPr>
            <w:r w:rsidRPr="0077700D">
              <w:rPr>
                <w:rFonts w:ascii="Cambria" w:eastAsia="Times New Roman" w:hAnsi="Cambria"/>
                <w:lang w:val="hr-HR"/>
              </w:rPr>
              <w:t>15</w:t>
            </w:r>
          </w:p>
        </w:tc>
        <w:tc>
          <w:tcPr>
            <w:tcW w:w="314" w:type="pct"/>
            <w:tcBorders>
              <w:top w:val="single" w:sz="2" w:space="0" w:color="auto"/>
              <w:left w:val="single" w:sz="2" w:space="0" w:color="auto"/>
              <w:bottom w:val="single" w:sz="2" w:space="0" w:color="auto"/>
              <w:right w:val="single" w:sz="2" w:space="0" w:color="auto"/>
            </w:tcBorders>
            <w:vAlign w:val="center"/>
          </w:tcPr>
          <w:p w14:paraId="77A75D03" w14:textId="77777777" w:rsidR="004E3FDC" w:rsidRPr="0077700D" w:rsidRDefault="004E3FDC" w:rsidP="00450B7A">
            <w:pPr>
              <w:widowControl w:val="0"/>
              <w:spacing w:after="0" w:line="240" w:lineRule="auto"/>
              <w:jc w:val="center"/>
              <w:rPr>
                <w:rFonts w:ascii="Cambria" w:eastAsia="Times New Roman" w:hAnsi="Cambria"/>
                <w:lang w:val="hr-HR"/>
              </w:rPr>
            </w:pPr>
            <w:r w:rsidRPr="0077700D">
              <w:rPr>
                <w:rFonts w:ascii="Cambria" w:eastAsia="Times New Roman" w:hAnsi="Cambria"/>
                <w:lang w:val="hr-HR"/>
              </w:rPr>
              <w:t>0</w:t>
            </w:r>
          </w:p>
        </w:tc>
        <w:tc>
          <w:tcPr>
            <w:tcW w:w="315" w:type="pct"/>
            <w:tcBorders>
              <w:top w:val="single" w:sz="2" w:space="0" w:color="auto"/>
              <w:left w:val="single" w:sz="2" w:space="0" w:color="auto"/>
              <w:bottom w:val="single" w:sz="2" w:space="0" w:color="auto"/>
              <w:right w:val="single" w:sz="2" w:space="0" w:color="auto"/>
            </w:tcBorders>
            <w:vAlign w:val="center"/>
            <w:hideMark/>
          </w:tcPr>
          <w:p w14:paraId="6AA827D6" w14:textId="77777777" w:rsidR="004E3FDC" w:rsidRPr="0077700D" w:rsidRDefault="004E3FDC" w:rsidP="00450B7A">
            <w:pPr>
              <w:widowControl w:val="0"/>
              <w:spacing w:after="0" w:line="240" w:lineRule="auto"/>
              <w:jc w:val="center"/>
              <w:rPr>
                <w:rFonts w:ascii="Cambria" w:eastAsia="Times New Roman" w:hAnsi="Cambria"/>
                <w:lang w:val="hr-HR"/>
              </w:rPr>
            </w:pPr>
            <w:r w:rsidRPr="0077700D">
              <w:rPr>
                <w:rFonts w:ascii="Cambria" w:eastAsia="Times New Roman" w:hAnsi="Cambria"/>
                <w:lang w:val="hr-HR"/>
              </w:rPr>
              <w:t>45</w:t>
            </w:r>
          </w:p>
        </w:tc>
        <w:tc>
          <w:tcPr>
            <w:tcW w:w="548" w:type="pct"/>
            <w:tcBorders>
              <w:top w:val="single" w:sz="2" w:space="0" w:color="auto"/>
              <w:left w:val="single" w:sz="2" w:space="0" w:color="auto"/>
              <w:bottom w:val="single" w:sz="2" w:space="0" w:color="auto"/>
              <w:right w:val="single" w:sz="2" w:space="0" w:color="auto"/>
            </w:tcBorders>
            <w:vAlign w:val="center"/>
            <w:hideMark/>
          </w:tcPr>
          <w:p w14:paraId="500D1E60" w14:textId="77777777" w:rsidR="004E3FDC" w:rsidRPr="0077700D" w:rsidRDefault="004E3FDC" w:rsidP="00450B7A">
            <w:pPr>
              <w:widowControl w:val="0"/>
              <w:spacing w:after="0" w:line="240" w:lineRule="auto"/>
              <w:jc w:val="center"/>
              <w:rPr>
                <w:rFonts w:ascii="Cambria" w:eastAsia="Times New Roman" w:hAnsi="Cambria"/>
                <w:bCs/>
                <w:lang w:val="hr-HR"/>
              </w:rPr>
            </w:pPr>
            <w:r w:rsidRPr="0077700D">
              <w:rPr>
                <w:rFonts w:ascii="Cambria" w:eastAsia="Times New Roman" w:hAnsi="Cambria"/>
                <w:bCs/>
                <w:lang w:val="hr-HR"/>
              </w:rPr>
              <w:t>4</w:t>
            </w:r>
          </w:p>
        </w:tc>
      </w:tr>
      <w:tr w:rsidR="004E3FDC" w:rsidRPr="0077700D" w14:paraId="305CE4E0" w14:textId="77777777" w:rsidTr="00450B7A">
        <w:trPr>
          <w:cantSplit/>
          <w:jc w:val="center"/>
        </w:trPr>
        <w:tc>
          <w:tcPr>
            <w:tcW w:w="1481" w:type="pct"/>
            <w:tcBorders>
              <w:top w:val="single" w:sz="2" w:space="0" w:color="auto"/>
              <w:left w:val="single" w:sz="2" w:space="0" w:color="auto"/>
              <w:bottom w:val="single" w:sz="2" w:space="0" w:color="auto"/>
              <w:right w:val="single" w:sz="2" w:space="0" w:color="auto"/>
            </w:tcBorders>
            <w:vAlign w:val="center"/>
            <w:hideMark/>
          </w:tcPr>
          <w:p w14:paraId="688D4D7D" w14:textId="77777777" w:rsidR="004E3FDC" w:rsidRPr="0077700D" w:rsidRDefault="004E3FDC" w:rsidP="00450B7A">
            <w:pPr>
              <w:widowControl w:val="0"/>
              <w:spacing w:after="0" w:line="240" w:lineRule="auto"/>
              <w:rPr>
                <w:rFonts w:ascii="Cambria" w:eastAsia="Times New Roman" w:hAnsi="Cambria"/>
                <w:b/>
                <w:lang w:val="hr-HR"/>
              </w:rPr>
            </w:pPr>
            <w:r w:rsidRPr="0077700D">
              <w:rPr>
                <w:rFonts w:ascii="Cambria" w:eastAsia="Times New Roman" w:hAnsi="Cambria"/>
                <w:b/>
                <w:lang w:val="hr-HR"/>
              </w:rPr>
              <w:t>118950</w:t>
            </w:r>
          </w:p>
          <w:p w14:paraId="0FE2A99A" w14:textId="77777777" w:rsidR="004E3FDC" w:rsidRPr="0077700D" w:rsidRDefault="004E3FDC" w:rsidP="00450B7A">
            <w:pPr>
              <w:spacing w:after="0" w:line="240" w:lineRule="auto"/>
              <w:rPr>
                <w:rFonts w:ascii="Cambria" w:eastAsia="Times New Roman" w:hAnsi="Cambria"/>
                <w:lang w:val="hr-HR"/>
              </w:rPr>
            </w:pPr>
            <w:r w:rsidRPr="0077700D">
              <w:rPr>
                <w:rFonts w:ascii="Cambria" w:eastAsia="Times New Roman" w:hAnsi="Cambria"/>
                <w:lang w:val="hr-HR"/>
              </w:rPr>
              <w:t>Metodika nastave prirode i društva II</w:t>
            </w:r>
          </w:p>
        </w:tc>
        <w:tc>
          <w:tcPr>
            <w:tcW w:w="2022" w:type="pct"/>
            <w:tcBorders>
              <w:top w:val="single" w:sz="2" w:space="0" w:color="auto"/>
              <w:left w:val="single" w:sz="2" w:space="0" w:color="auto"/>
              <w:bottom w:val="single" w:sz="2" w:space="0" w:color="auto"/>
              <w:right w:val="single" w:sz="2" w:space="0" w:color="auto"/>
            </w:tcBorders>
            <w:vAlign w:val="center"/>
            <w:hideMark/>
          </w:tcPr>
          <w:p w14:paraId="05912FB9" w14:textId="77777777" w:rsidR="004E3FDC" w:rsidRPr="0077700D" w:rsidRDefault="004E3FDC" w:rsidP="00450B7A">
            <w:pPr>
              <w:widowControl w:val="0"/>
              <w:spacing w:after="0" w:line="240" w:lineRule="auto"/>
              <w:rPr>
                <w:rFonts w:ascii="Cambria" w:eastAsia="Times New Roman" w:hAnsi="Cambria"/>
                <w:lang w:val="hr-HR"/>
              </w:rPr>
            </w:pPr>
            <w:r>
              <w:rPr>
                <w:rFonts w:ascii="Cambria" w:eastAsia="Times New Roman" w:hAnsi="Cambria"/>
                <w:lang w:val="hr-HR"/>
              </w:rPr>
              <w:t xml:space="preserve">izv. prof. dr. sc. Marina </w:t>
            </w:r>
            <w:proofErr w:type="spellStart"/>
            <w:r>
              <w:rPr>
                <w:rFonts w:ascii="Cambria" w:eastAsia="Times New Roman" w:hAnsi="Cambria"/>
                <w:lang w:val="hr-HR"/>
              </w:rPr>
              <w:t>Diković</w:t>
            </w:r>
            <w:proofErr w:type="spellEnd"/>
          </w:p>
        </w:tc>
        <w:tc>
          <w:tcPr>
            <w:tcW w:w="320" w:type="pct"/>
            <w:tcBorders>
              <w:top w:val="single" w:sz="2" w:space="0" w:color="auto"/>
              <w:left w:val="single" w:sz="2" w:space="0" w:color="auto"/>
              <w:bottom w:val="single" w:sz="2" w:space="0" w:color="auto"/>
              <w:right w:val="single" w:sz="2" w:space="0" w:color="auto"/>
            </w:tcBorders>
            <w:vAlign w:val="center"/>
            <w:hideMark/>
          </w:tcPr>
          <w:p w14:paraId="2DE07738" w14:textId="77777777" w:rsidR="004E3FDC" w:rsidRPr="0077700D" w:rsidRDefault="004E3FDC" w:rsidP="00450B7A">
            <w:pPr>
              <w:widowControl w:val="0"/>
              <w:spacing w:after="0" w:line="240" w:lineRule="auto"/>
              <w:jc w:val="center"/>
              <w:rPr>
                <w:rFonts w:ascii="Cambria" w:eastAsia="Times New Roman" w:hAnsi="Cambria"/>
                <w:lang w:val="hr-HR"/>
              </w:rPr>
            </w:pPr>
            <w:r w:rsidRPr="0077700D">
              <w:rPr>
                <w:rFonts w:ascii="Cambria" w:eastAsia="Times New Roman" w:hAnsi="Cambria"/>
                <w:lang w:val="hr-HR"/>
              </w:rPr>
              <w:t>30</w:t>
            </w:r>
          </w:p>
        </w:tc>
        <w:tc>
          <w:tcPr>
            <w:tcW w:w="314" w:type="pct"/>
            <w:tcBorders>
              <w:top w:val="single" w:sz="2" w:space="0" w:color="auto"/>
              <w:left w:val="single" w:sz="2" w:space="0" w:color="auto"/>
              <w:bottom w:val="single" w:sz="2" w:space="0" w:color="auto"/>
              <w:right w:val="single" w:sz="2" w:space="0" w:color="auto"/>
            </w:tcBorders>
            <w:vAlign w:val="center"/>
          </w:tcPr>
          <w:p w14:paraId="174A5CDD" w14:textId="77777777" w:rsidR="004E3FDC" w:rsidRPr="0077700D" w:rsidRDefault="004E3FDC" w:rsidP="00450B7A">
            <w:pPr>
              <w:widowControl w:val="0"/>
              <w:spacing w:after="0" w:line="240" w:lineRule="auto"/>
              <w:jc w:val="center"/>
              <w:rPr>
                <w:rFonts w:ascii="Cambria" w:eastAsia="Times New Roman" w:hAnsi="Cambria"/>
                <w:lang w:val="hr-HR"/>
              </w:rPr>
            </w:pPr>
            <w:r w:rsidRPr="0077700D">
              <w:rPr>
                <w:rFonts w:ascii="Cambria" w:eastAsia="Times New Roman" w:hAnsi="Cambria"/>
                <w:lang w:val="hr-HR"/>
              </w:rPr>
              <w:t>0</w:t>
            </w:r>
          </w:p>
        </w:tc>
        <w:tc>
          <w:tcPr>
            <w:tcW w:w="315" w:type="pct"/>
            <w:tcBorders>
              <w:top w:val="single" w:sz="2" w:space="0" w:color="auto"/>
              <w:left w:val="single" w:sz="2" w:space="0" w:color="auto"/>
              <w:bottom w:val="single" w:sz="2" w:space="0" w:color="auto"/>
              <w:right w:val="single" w:sz="2" w:space="0" w:color="auto"/>
            </w:tcBorders>
            <w:vAlign w:val="center"/>
            <w:hideMark/>
          </w:tcPr>
          <w:p w14:paraId="1AD942A2" w14:textId="77777777" w:rsidR="004E3FDC" w:rsidRPr="0077700D" w:rsidRDefault="004E3FDC" w:rsidP="00450B7A">
            <w:pPr>
              <w:widowControl w:val="0"/>
              <w:spacing w:after="0" w:line="240" w:lineRule="auto"/>
              <w:jc w:val="center"/>
              <w:rPr>
                <w:rFonts w:ascii="Cambria" w:eastAsia="Times New Roman" w:hAnsi="Cambria"/>
                <w:lang w:val="hr-HR"/>
              </w:rPr>
            </w:pPr>
            <w:r w:rsidRPr="0077700D">
              <w:rPr>
                <w:rFonts w:ascii="Cambria" w:eastAsia="Times New Roman" w:hAnsi="Cambria"/>
                <w:lang w:val="hr-HR"/>
              </w:rPr>
              <w:t>30</w:t>
            </w:r>
          </w:p>
        </w:tc>
        <w:tc>
          <w:tcPr>
            <w:tcW w:w="548" w:type="pct"/>
            <w:tcBorders>
              <w:top w:val="single" w:sz="2" w:space="0" w:color="auto"/>
              <w:left w:val="single" w:sz="2" w:space="0" w:color="auto"/>
              <w:bottom w:val="single" w:sz="2" w:space="0" w:color="auto"/>
              <w:right w:val="single" w:sz="2" w:space="0" w:color="auto"/>
            </w:tcBorders>
            <w:vAlign w:val="center"/>
            <w:hideMark/>
          </w:tcPr>
          <w:p w14:paraId="1BDE0B1C" w14:textId="77777777" w:rsidR="004E3FDC" w:rsidRPr="0077700D" w:rsidRDefault="004E3FDC" w:rsidP="00450B7A">
            <w:pPr>
              <w:widowControl w:val="0"/>
              <w:spacing w:after="0" w:line="240" w:lineRule="auto"/>
              <w:jc w:val="center"/>
              <w:rPr>
                <w:rFonts w:ascii="Cambria" w:eastAsia="Times New Roman" w:hAnsi="Cambria"/>
                <w:bCs/>
                <w:lang w:val="hr-HR"/>
              </w:rPr>
            </w:pPr>
            <w:r w:rsidRPr="0077700D">
              <w:rPr>
                <w:rFonts w:ascii="Cambria" w:eastAsia="Times New Roman" w:hAnsi="Cambria"/>
                <w:bCs/>
                <w:lang w:val="hr-HR"/>
              </w:rPr>
              <w:t>5</w:t>
            </w:r>
          </w:p>
        </w:tc>
      </w:tr>
      <w:tr w:rsidR="004E3FDC" w:rsidRPr="0077700D" w14:paraId="1A2F5238" w14:textId="77777777" w:rsidTr="00450B7A">
        <w:trPr>
          <w:cantSplit/>
          <w:jc w:val="center"/>
        </w:trPr>
        <w:tc>
          <w:tcPr>
            <w:tcW w:w="1481" w:type="pct"/>
            <w:tcBorders>
              <w:top w:val="single" w:sz="2" w:space="0" w:color="auto"/>
              <w:left w:val="single" w:sz="2" w:space="0" w:color="auto"/>
              <w:bottom w:val="single" w:sz="2" w:space="0" w:color="auto"/>
              <w:right w:val="single" w:sz="2" w:space="0" w:color="auto"/>
            </w:tcBorders>
            <w:vAlign w:val="center"/>
            <w:hideMark/>
          </w:tcPr>
          <w:p w14:paraId="76C52596" w14:textId="77777777" w:rsidR="004E3FDC" w:rsidRPr="0077700D" w:rsidRDefault="004E3FDC" w:rsidP="00450B7A">
            <w:pPr>
              <w:widowControl w:val="0"/>
              <w:spacing w:after="0" w:line="240" w:lineRule="auto"/>
              <w:rPr>
                <w:rFonts w:ascii="Cambria" w:eastAsia="Times New Roman" w:hAnsi="Cambria"/>
                <w:b/>
                <w:lang w:val="hr-HR"/>
              </w:rPr>
            </w:pPr>
            <w:r w:rsidRPr="0077700D">
              <w:rPr>
                <w:rFonts w:ascii="Cambria" w:eastAsia="Times New Roman" w:hAnsi="Cambria"/>
                <w:b/>
                <w:lang w:val="hr-HR"/>
              </w:rPr>
              <w:t>118951</w:t>
            </w:r>
          </w:p>
          <w:p w14:paraId="043FDEE3" w14:textId="77777777" w:rsidR="004E3FDC" w:rsidRPr="0077700D" w:rsidRDefault="004E3FDC" w:rsidP="00450B7A">
            <w:pPr>
              <w:spacing w:after="0" w:line="240" w:lineRule="auto"/>
              <w:rPr>
                <w:rFonts w:ascii="Cambria" w:eastAsia="Times New Roman" w:hAnsi="Cambria"/>
                <w:lang w:val="hr-HR"/>
              </w:rPr>
            </w:pPr>
            <w:r w:rsidRPr="0077700D">
              <w:rPr>
                <w:rFonts w:ascii="Cambria" w:eastAsia="Times New Roman" w:hAnsi="Cambria"/>
                <w:lang w:val="hr-HR"/>
              </w:rPr>
              <w:t>Metodika likovne kulture III</w:t>
            </w:r>
          </w:p>
        </w:tc>
        <w:tc>
          <w:tcPr>
            <w:tcW w:w="2022" w:type="pct"/>
            <w:tcBorders>
              <w:top w:val="single" w:sz="2" w:space="0" w:color="auto"/>
              <w:left w:val="single" w:sz="2" w:space="0" w:color="auto"/>
              <w:bottom w:val="single" w:sz="2" w:space="0" w:color="auto"/>
              <w:right w:val="single" w:sz="2" w:space="0" w:color="auto"/>
            </w:tcBorders>
            <w:vAlign w:val="center"/>
            <w:hideMark/>
          </w:tcPr>
          <w:p w14:paraId="21565374" w14:textId="77777777" w:rsidR="004E3FDC" w:rsidRPr="0077700D" w:rsidRDefault="004E3FDC" w:rsidP="00450B7A">
            <w:pPr>
              <w:spacing w:after="0" w:line="240" w:lineRule="auto"/>
              <w:rPr>
                <w:rFonts w:ascii="Cambria" w:eastAsia="Times New Roman" w:hAnsi="Cambria"/>
                <w:lang w:val="hr-HR"/>
              </w:rPr>
            </w:pPr>
            <w:r w:rsidRPr="0077700D">
              <w:rPr>
                <w:rFonts w:ascii="Cambria" w:eastAsia="Times New Roman" w:hAnsi="Cambria"/>
                <w:lang w:val="hr-HR"/>
              </w:rPr>
              <w:t xml:space="preserve">izv. prof. art. Aleksandra </w:t>
            </w:r>
            <w:proofErr w:type="spellStart"/>
            <w:r w:rsidRPr="0077700D">
              <w:rPr>
                <w:rFonts w:ascii="Cambria" w:eastAsia="Times New Roman" w:hAnsi="Cambria"/>
                <w:lang w:val="hr-HR"/>
              </w:rPr>
              <w:t>Rotar</w:t>
            </w:r>
            <w:proofErr w:type="spellEnd"/>
          </w:p>
        </w:tc>
        <w:tc>
          <w:tcPr>
            <w:tcW w:w="320" w:type="pct"/>
            <w:tcBorders>
              <w:top w:val="single" w:sz="2" w:space="0" w:color="auto"/>
              <w:left w:val="single" w:sz="2" w:space="0" w:color="auto"/>
              <w:bottom w:val="single" w:sz="2" w:space="0" w:color="auto"/>
              <w:right w:val="single" w:sz="2" w:space="0" w:color="auto"/>
            </w:tcBorders>
            <w:vAlign w:val="center"/>
            <w:hideMark/>
          </w:tcPr>
          <w:p w14:paraId="07CC4A55" w14:textId="77777777" w:rsidR="004E3FDC" w:rsidRPr="0077700D" w:rsidRDefault="004E3FDC" w:rsidP="00450B7A">
            <w:pPr>
              <w:widowControl w:val="0"/>
              <w:spacing w:after="0" w:line="240" w:lineRule="auto"/>
              <w:jc w:val="center"/>
              <w:rPr>
                <w:rFonts w:ascii="Cambria" w:eastAsia="Times New Roman" w:hAnsi="Cambria"/>
                <w:lang w:val="hr-HR"/>
              </w:rPr>
            </w:pPr>
            <w:r w:rsidRPr="0077700D">
              <w:rPr>
                <w:rFonts w:ascii="Cambria" w:eastAsia="Times New Roman" w:hAnsi="Cambria"/>
                <w:lang w:val="hr-HR"/>
              </w:rPr>
              <w:t>15</w:t>
            </w:r>
          </w:p>
        </w:tc>
        <w:tc>
          <w:tcPr>
            <w:tcW w:w="314" w:type="pct"/>
            <w:tcBorders>
              <w:top w:val="single" w:sz="2" w:space="0" w:color="auto"/>
              <w:left w:val="single" w:sz="2" w:space="0" w:color="auto"/>
              <w:bottom w:val="single" w:sz="2" w:space="0" w:color="auto"/>
              <w:right w:val="single" w:sz="2" w:space="0" w:color="auto"/>
            </w:tcBorders>
            <w:vAlign w:val="center"/>
          </w:tcPr>
          <w:p w14:paraId="434C5367" w14:textId="77777777" w:rsidR="004E3FDC" w:rsidRPr="0077700D" w:rsidRDefault="004E3FDC" w:rsidP="00450B7A">
            <w:pPr>
              <w:widowControl w:val="0"/>
              <w:spacing w:after="0" w:line="240" w:lineRule="auto"/>
              <w:jc w:val="center"/>
              <w:rPr>
                <w:rFonts w:ascii="Cambria" w:eastAsia="Times New Roman" w:hAnsi="Cambria"/>
                <w:lang w:val="hr-HR"/>
              </w:rPr>
            </w:pPr>
            <w:r w:rsidRPr="0077700D">
              <w:rPr>
                <w:rFonts w:ascii="Cambria" w:eastAsia="Times New Roman" w:hAnsi="Cambria"/>
                <w:lang w:val="hr-HR"/>
              </w:rPr>
              <w:t>0</w:t>
            </w:r>
          </w:p>
        </w:tc>
        <w:tc>
          <w:tcPr>
            <w:tcW w:w="315" w:type="pct"/>
            <w:tcBorders>
              <w:top w:val="single" w:sz="2" w:space="0" w:color="auto"/>
              <w:left w:val="single" w:sz="2" w:space="0" w:color="auto"/>
              <w:bottom w:val="single" w:sz="2" w:space="0" w:color="auto"/>
              <w:right w:val="single" w:sz="2" w:space="0" w:color="auto"/>
            </w:tcBorders>
            <w:vAlign w:val="center"/>
            <w:hideMark/>
          </w:tcPr>
          <w:p w14:paraId="62287CEB" w14:textId="77777777" w:rsidR="004E3FDC" w:rsidRPr="0077700D" w:rsidRDefault="004E3FDC" w:rsidP="00450B7A">
            <w:pPr>
              <w:widowControl w:val="0"/>
              <w:spacing w:after="0" w:line="240" w:lineRule="auto"/>
              <w:jc w:val="center"/>
              <w:rPr>
                <w:rFonts w:ascii="Cambria" w:eastAsia="Times New Roman" w:hAnsi="Cambria"/>
                <w:lang w:val="hr-HR"/>
              </w:rPr>
            </w:pPr>
            <w:r w:rsidRPr="0077700D">
              <w:rPr>
                <w:rFonts w:ascii="Cambria" w:eastAsia="Times New Roman" w:hAnsi="Cambria"/>
                <w:lang w:val="hr-HR"/>
              </w:rPr>
              <w:t>45</w:t>
            </w:r>
          </w:p>
        </w:tc>
        <w:tc>
          <w:tcPr>
            <w:tcW w:w="548" w:type="pct"/>
            <w:tcBorders>
              <w:top w:val="single" w:sz="2" w:space="0" w:color="auto"/>
              <w:left w:val="single" w:sz="2" w:space="0" w:color="auto"/>
              <w:bottom w:val="single" w:sz="2" w:space="0" w:color="auto"/>
              <w:right w:val="single" w:sz="2" w:space="0" w:color="auto"/>
            </w:tcBorders>
            <w:vAlign w:val="center"/>
            <w:hideMark/>
          </w:tcPr>
          <w:p w14:paraId="464D2FCB" w14:textId="77777777" w:rsidR="004E3FDC" w:rsidRPr="0077700D" w:rsidRDefault="004E3FDC" w:rsidP="00450B7A">
            <w:pPr>
              <w:widowControl w:val="0"/>
              <w:spacing w:after="0" w:line="240" w:lineRule="auto"/>
              <w:jc w:val="center"/>
              <w:rPr>
                <w:rFonts w:ascii="Cambria" w:eastAsia="Times New Roman" w:hAnsi="Cambria"/>
                <w:bCs/>
                <w:lang w:val="hr-HR"/>
              </w:rPr>
            </w:pPr>
            <w:r w:rsidRPr="0077700D">
              <w:rPr>
                <w:rFonts w:ascii="Cambria" w:eastAsia="Times New Roman" w:hAnsi="Cambria"/>
                <w:bCs/>
                <w:lang w:val="hr-HR"/>
              </w:rPr>
              <w:t>3</w:t>
            </w:r>
          </w:p>
        </w:tc>
      </w:tr>
      <w:tr w:rsidR="004E3FDC" w:rsidRPr="0077700D" w14:paraId="37DDBDF2" w14:textId="77777777" w:rsidTr="00450B7A">
        <w:trPr>
          <w:cantSplit/>
          <w:jc w:val="center"/>
        </w:trPr>
        <w:tc>
          <w:tcPr>
            <w:tcW w:w="1481" w:type="pct"/>
            <w:tcBorders>
              <w:top w:val="single" w:sz="2" w:space="0" w:color="auto"/>
              <w:left w:val="single" w:sz="2" w:space="0" w:color="auto"/>
              <w:bottom w:val="single" w:sz="2" w:space="0" w:color="auto"/>
              <w:right w:val="single" w:sz="2" w:space="0" w:color="auto"/>
            </w:tcBorders>
            <w:vAlign w:val="center"/>
            <w:hideMark/>
          </w:tcPr>
          <w:p w14:paraId="2471EF29" w14:textId="77777777" w:rsidR="004E3FDC" w:rsidRPr="0077700D" w:rsidRDefault="004E3FDC" w:rsidP="00450B7A">
            <w:pPr>
              <w:widowControl w:val="0"/>
              <w:spacing w:after="0" w:line="240" w:lineRule="auto"/>
              <w:rPr>
                <w:rFonts w:ascii="Cambria" w:eastAsia="Times New Roman" w:hAnsi="Cambria"/>
                <w:b/>
                <w:lang w:val="hr-HR"/>
              </w:rPr>
            </w:pPr>
            <w:r w:rsidRPr="0077700D">
              <w:rPr>
                <w:rFonts w:ascii="Cambria" w:eastAsia="Times New Roman" w:hAnsi="Cambria"/>
                <w:b/>
                <w:lang w:val="hr-HR"/>
              </w:rPr>
              <w:t>118952</w:t>
            </w:r>
          </w:p>
          <w:p w14:paraId="41F0AFF1" w14:textId="77777777" w:rsidR="004E3FDC" w:rsidRPr="0077700D" w:rsidRDefault="004E3FDC" w:rsidP="00450B7A">
            <w:pPr>
              <w:spacing w:after="0" w:line="240" w:lineRule="auto"/>
              <w:rPr>
                <w:rFonts w:ascii="Cambria" w:eastAsia="Times New Roman" w:hAnsi="Cambria"/>
                <w:lang w:val="hr-HR"/>
              </w:rPr>
            </w:pPr>
            <w:r w:rsidRPr="0077700D">
              <w:rPr>
                <w:rFonts w:ascii="Cambria" w:eastAsia="Times New Roman" w:hAnsi="Cambria"/>
                <w:lang w:val="hr-HR"/>
              </w:rPr>
              <w:t>Kineziološka metodika II</w:t>
            </w:r>
          </w:p>
        </w:tc>
        <w:tc>
          <w:tcPr>
            <w:tcW w:w="2022" w:type="pct"/>
            <w:tcBorders>
              <w:top w:val="single" w:sz="2" w:space="0" w:color="auto"/>
              <w:left w:val="single" w:sz="2" w:space="0" w:color="auto"/>
              <w:bottom w:val="single" w:sz="2" w:space="0" w:color="auto"/>
              <w:right w:val="single" w:sz="2" w:space="0" w:color="auto"/>
            </w:tcBorders>
            <w:vAlign w:val="center"/>
            <w:hideMark/>
          </w:tcPr>
          <w:p w14:paraId="499A854B" w14:textId="77777777" w:rsidR="004E3FDC" w:rsidRPr="0077700D" w:rsidRDefault="004E3FDC" w:rsidP="00450B7A">
            <w:pPr>
              <w:spacing w:after="0" w:line="240" w:lineRule="auto"/>
              <w:rPr>
                <w:rFonts w:ascii="Cambria" w:eastAsia="Times New Roman" w:hAnsi="Cambria"/>
                <w:lang w:val="hr-HR"/>
              </w:rPr>
            </w:pPr>
            <w:r w:rsidRPr="0077700D">
              <w:rPr>
                <w:rFonts w:ascii="Cambria" w:eastAsia="Times New Roman" w:hAnsi="Cambria"/>
                <w:lang w:val="hr-HR"/>
              </w:rPr>
              <w:t>prof. dr. sc. Iva Blažević</w:t>
            </w:r>
          </w:p>
        </w:tc>
        <w:tc>
          <w:tcPr>
            <w:tcW w:w="320" w:type="pct"/>
            <w:tcBorders>
              <w:top w:val="single" w:sz="2" w:space="0" w:color="auto"/>
              <w:left w:val="single" w:sz="2" w:space="0" w:color="auto"/>
              <w:bottom w:val="single" w:sz="2" w:space="0" w:color="auto"/>
              <w:right w:val="single" w:sz="2" w:space="0" w:color="auto"/>
            </w:tcBorders>
            <w:vAlign w:val="center"/>
            <w:hideMark/>
          </w:tcPr>
          <w:p w14:paraId="47F878CB" w14:textId="77777777" w:rsidR="004E3FDC" w:rsidRPr="0077700D" w:rsidRDefault="004E3FDC" w:rsidP="00450B7A">
            <w:pPr>
              <w:widowControl w:val="0"/>
              <w:spacing w:after="0" w:line="240" w:lineRule="auto"/>
              <w:jc w:val="center"/>
              <w:rPr>
                <w:rFonts w:ascii="Cambria" w:eastAsia="Times New Roman" w:hAnsi="Cambria"/>
                <w:lang w:val="hr-HR"/>
              </w:rPr>
            </w:pPr>
            <w:r w:rsidRPr="0077700D">
              <w:rPr>
                <w:rFonts w:ascii="Cambria" w:eastAsia="Times New Roman" w:hAnsi="Cambria"/>
                <w:lang w:val="hr-HR"/>
              </w:rPr>
              <w:t>30</w:t>
            </w:r>
          </w:p>
        </w:tc>
        <w:tc>
          <w:tcPr>
            <w:tcW w:w="314" w:type="pct"/>
            <w:tcBorders>
              <w:top w:val="single" w:sz="2" w:space="0" w:color="auto"/>
              <w:left w:val="single" w:sz="2" w:space="0" w:color="auto"/>
              <w:bottom w:val="single" w:sz="2" w:space="0" w:color="auto"/>
              <w:right w:val="single" w:sz="2" w:space="0" w:color="auto"/>
            </w:tcBorders>
            <w:vAlign w:val="center"/>
          </w:tcPr>
          <w:p w14:paraId="223EE8D4" w14:textId="77777777" w:rsidR="004E3FDC" w:rsidRPr="0077700D" w:rsidRDefault="004E3FDC" w:rsidP="00450B7A">
            <w:pPr>
              <w:widowControl w:val="0"/>
              <w:spacing w:after="0" w:line="240" w:lineRule="auto"/>
              <w:jc w:val="center"/>
              <w:rPr>
                <w:rFonts w:ascii="Cambria" w:eastAsia="Times New Roman" w:hAnsi="Cambria"/>
                <w:lang w:val="hr-HR"/>
              </w:rPr>
            </w:pPr>
            <w:r w:rsidRPr="0077700D">
              <w:rPr>
                <w:rFonts w:ascii="Cambria" w:eastAsia="Times New Roman" w:hAnsi="Cambria"/>
                <w:lang w:val="hr-HR"/>
              </w:rPr>
              <w:t>0</w:t>
            </w:r>
          </w:p>
        </w:tc>
        <w:tc>
          <w:tcPr>
            <w:tcW w:w="315" w:type="pct"/>
            <w:tcBorders>
              <w:top w:val="single" w:sz="2" w:space="0" w:color="auto"/>
              <w:left w:val="single" w:sz="2" w:space="0" w:color="auto"/>
              <w:bottom w:val="single" w:sz="2" w:space="0" w:color="auto"/>
              <w:right w:val="single" w:sz="2" w:space="0" w:color="auto"/>
            </w:tcBorders>
            <w:vAlign w:val="center"/>
            <w:hideMark/>
          </w:tcPr>
          <w:p w14:paraId="6276C1C3" w14:textId="77777777" w:rsidR="004E3FDC" w:rsidRPr="0077700D" w:rsidRDefault="004E3FDC" w:rsidP="00450B7A">
            <w:pPr>
              <w:widowControl w:val="0"/>
              <w:spacing w:after="0" w:line="240" w:lineRule="auto"/>
              <w:jc w:val="center"/>
              <w:rPr>
                <w:rFonts w:ascii="Cambria" w:eastAsia="Times New Roman" w:hAnsi="Cambria"/>
                <w:lang w:val="hr-HR"/>
              </w:rPr>
            </w:pPr>
            <w:r w:rsidRPr="0077700D">
              <w:rPr>
                <w:rFonts w:ascii="Cambria" w:eastAsia="Times New Roman" w:hAnsi="Cambria"/>
                <w:lang w:val="hr-HR"/>
              </w:rPr>
              <w:t>15</w:t>
            </w:r>
          </w:p>
        </w:tc>
        <w:tc>
          <w:tcPr>
            <w:tcW w:w="548" w:type="pct"/>
            <w:tcBorders>
              <w:top w:val="single" w:sz="2" w:space="0" w:color="auto"/>
              <w:left w:val="single" w:sz="2" w:space="0" w:color="auto"/>
              <w:bottom w:val="single" w:sz="2" w:space="0" w:color="auto"/>
              <w:right w:val="single" w:sz="2" w:space="0" w:color="auto"/>
            </w:tcBorders>
            <w:vAlign w:val="center"/>
            <w:hideMark/>
          </w:tcPr>
          <w:p w14:paraId="00F45140" w14:textId="77777777" w:rsidR="004E3FDC" w:rsidRPr="0077700D" w:rsidRDefault="004E3FDC" w:rsidP="00450B7A">
            <w:pPr>
              <w:widowControl w:val="0"/>
              <w:spacing w:after="0" w:line="240" w:lineRule="auto"/>
              <w:jc w:val="center"/>
              <w:rPr>
                <w:rFonts w:ascii="Cambria" w:eastAsia="Times New Roman" w:hAnsi="Cambria"/>
                <w:bCs/>
                <w:lang w:val="hr-HR"/>
              </w:rPr>
            </w:pPr>
            <w:r w:rsidRPr="0077700D">
              <w:rPr>
                <w:rFonts w:ascii="Cambria" w:eastAsia="Times New Roman" w:hAnsi="Cambria"/>
                <w:bCs/>
                <w:lang w:val="hr-HR"/>
              </w:rPr>
              <w:t>4</w:t>
            </w:r>
          </w:p>
        </w:tc>
      </w:tr>
      <w:tr w:rsidR="004E3FDC" w:rsidRPr="0077700D" w14:paraId="4F3E1DAF" w14:textId="77777777" w:rsidTr="00450B7A">
        <w:trPr>
          <w:cantSplit/>
          <w:jc w:val="center"/>
        </w:trPr>
        <w:tc>
          <w:tcPr>
            <w:tcW w:w="1481" w:type="pct"/>
            <w:tcBorders>
              <w:top w:val="single" w:sz="2" w:space="0" w:color="auto"/>
              <w:left w:val="single" w:sz="2" w:space="0" w:color="auto"/>
              <w:bottom w:val="single" w:sz="2" w:space="0" w:color="auto"/>
              <w:right w:val="single" w:sz="2" w:space="0" w:color="auto"/>
            </w:tcBorders>
            <w:vAlign w:val="center"/>
            <w:hideMark/>
          </w:tcPr>
          <w:p w14:paraId="50CCC182" w14:textId="77777777" w:rsidR="004E3FDC" w:rsidRPr="0077700D" w:rsidRDefault="004E3FDC" w:rsidP="00450B7A">
            <w:pPr>
              <w:widowControl w:val="0"/>
              <w:spacing w:after="0" w:line="240" w:lineRule="auto"/>
              <w:rPr>
                <w:rFonts w:ascii="Cambria" w:eastAsia="Times New Roman" w:hAnsi="Cambria"/>
                <w:b/>
                <w:lang w:val="hr-HR"/>
              </w:rPr>
            </w:pPr>
            <w:r w:rsidRPr="0077700D">
              <w:rPr>
                <w:rFonts w:ascii="Cambria" w:eastAsia="Times New Roman" w:hAnsi="Cambria"/>
                <w:b/>
                <w:lang w:val="hr-HR"/>
              </w:rPr>
              <w:t>118953</w:t>
            </w:r>
          </w:p>
          <w:p w14:paraId="5A28804D" w14:textId="77777777" w:rsidR="004E3FDC" w:rsidRPr="0077700D" w:rsidRDefault="004E3FDC" w:rsidP="00450B7A">
            <w:pPr>
              <w:spacing w:after="0" w:line="240" w:lineRule="auto"/>
              <w:rPr>
                <w:rFonts w:ascii="Cambria" w:eastAsia="Times New Roman" w:hAnsi="Cambria"/>
                <w:lang w:val="hr-HR"/>
              </w:rPr>
            </w:pPr>
            <w:r w:rsidRPr="0077700D">
              <w:rPr>
                <w:rFonts w:ascii="Cambria" w:eastAsia="Times New Roman" w:hAnsi="Cambria"/>
                <w:lang w:val="hr-HR"/>
              </w:rPr>
              <w:t>Stručna praksa V</w:t>
            </w:r>
          </w:p>
        </w:tc>
        <w:tc>
          <w:tcPr>
            <w:tcW w:w="2022" w:type="pct"/>
            <w:tcBorders>
              <w:top w:val="single" w:sz="2" w:space="0" w:color="auto"/>
              <w:left w:val="single" w:sz="2" w:space="0" w:color="auto"/>
              <w:bottom w:val="single" w:sz="2" w:space="0" w:color="auto"/>
              <w:right w:val="single" w:sz="2" w:space="0" w:color="auto"/>
            </w:tcBorders>
            <w:vAlign w:val="center"/>
            <w:hideMark/>
          </w:tcPr>
          <w:p w14:paraId="5ECEEF46" w14:textId="77777777" w:rsidR="004E3FDC" w:rsidRPr="0077700D" w:rsidRDefault="004E3FDC" w:rsidP="00450B7A">
            <w:pPr>
              <w:widowControl w:val="0"/>
              <w:spacing w:after="0" w:line="240" w:lineRule="auto"/>
              <w:rPr>
                <w:rFonts w:ascii="Cambria" w:eastAsia="Times New Roman" w:hAnsi="Cambria"/>
                <w:lang w:val="hr-HR"/>
              </w:rPr>
            </w:pPr>
            <w:r w:rsidRPr="0077700D">
              <w:rPr>
                <w:rFonts w:ascii="Cambria" w:eastAsia="Times New Roman" w:hAnsi="Cambria"/>
                <w:lang w:val="hr-HR"/>
              </w:rPr>
              <w:t>doc. dr. sc. Irena Kiss</w:t>
            </w:r>
          </w:p>
        </w:tc>
        <w:tc>
          <w:tcPr>
            <w:tcW w:w="949" w:type="pct"/>
            <w:gridSpan w:val="3"/>
            <w:tcBorders>
              <w:top w:val="single" w:sz="2" w:space="0" w:color="auto"/>
              <w:left w:val="single" w:sz="2" w:space="0" w:color="auto"/>
              <w:bottom w:val="single" w:sz="2" w:space="0" w:color="auto"/>
              <w:right w:val="single" w:sz="2" w:space="0" w:color="auto"/>
            </w:tcBorders>
            <w:vAlign w:val="center"/>
            <w:hideMark/>
          </w:tcPr>
          <w:p w14:paraId="43BE4073" w14:textId="77777777" w:rsidR="004E3FDC" w:rsidRPr="0077700D" w:rsidRDefault="004E3FDC" w:rsidP="00450B7A">
            <w:pPr>
              <w:widowControl w:val="0"/>
              <w:spacing w:after="0" w:line="240" w:lineRule="auto"/>
              <w:jc w:val="center"/>
              <w:rPr>
                <w:rFonts w:ascii="Cambria" w:eastAsia="Times New Roman" w:hAnsi="Cambria"/>
                <w:lang w:val="hr-HR"/>
              </w:rPr>
            </w:pPr>
            <w:r w:rsidRPr="0077700D">
              <w:rPr>
                <w:rFonts w:ascii="Cambria" w:eastAsia="Times New Roman" w:hAnsi="Cambria"/>
                <w:lang w:val="hr-HR"/>
              </w:rPr>
              <w:t xml:space="preserve">dva tjedna tijekom semestra </w:t>
            </w:r>
            <w:r>
              <w:rPr>
                <w:rFonts w:ascii="Cambria" w:eastAsia="Times New Roman" w:hAnsi="Cambria"/>
                <w:lang w:val="hr-HR"/>
              </w:rPr>
              <w:t>+</w:t>
            </w:r>
            <w:r w:rsidRPr="0077700D">
              <w:rPr>
                <w:rFonts w:ascii="Cambria" w:eastAsia="Times New Roman" w:hAnsi="Cambria"/>
                <w:lang w:val="hr-HR"/>
              </w:rPr>
              <w:t xml:space="preserve"> dva tjedna u veljači</w:t>
            </w:r>
            <w:r>
              <w:rPr>
                <w:rFonts w:ascii="Cambria" w:eastAsia="Times New Roman" w:hAnsi="Cambria"/>
                <w:lang w:val="hr-HR"/>
              </w:rPr>
              <w:t xml:space="preserve"> (100 sati)</w:t>
            </w:r>
          </w:p>
        </w:tc>
        <w:tc>
          <w:tcPr>
            <w:tcW w:w="548" w:type="pct"/>
            <w:tcBorders>
              <w:top w:val="single" w:sz="2" w:space="0" w:color="auto"/>
              <w:left w:val="single" w:sz="2" w:space="0" w:color="auto"/>
              <w:bottom w:val="single" w:sz="2" w:space="0" w:color="auto"/>
              <w:right w:val="single" w:sz="2" w:space="0" w:color="auto"/>
            </w:tcBorders>
            <w:vAlign w:val="center"/>
            <w:hideMark/>
          </w:tcPr>
          <w:p w14:paraId="74BB4474" w14:textId="77777777" w:rsidR="004E3FDC" w:rsidRPr="0077700D" w:rsidRDefault="004E3FDC" w:rsidP="00450B7A">
            <w:pPr>
              <w:widowControl w:val="0"/>
              <w:spacing w:after="0" w:line="240" w:lineRule="auto"/>
              <w:jc w:val="center"/>
              <w:rPr>
                <w:rFonts w:ascii="Cambria" w:eastAsia="Times New Roman" w:hAnsi="Cambria"/>
                <w:bCs/>
                <w:lang w:val="hr-HR"/>
              </w:rPr>
            </w:pPr>
            <w:r w:rsidRPr="0077700D">
              <w:rPr>
                <w:rFonts w:ascii="Cambria" w:eastAsia="Times New Roman" w:hAnsi="Cambria"/>
                <w:bCs/>
                <w:lang w:val="hr-HR"/>
              </w:rPr>
              <w:t>4</w:t>
            </w:r>
          </w:p>
        </w:tc>
      </w:tr>
      <w:tr w:rsidR="004E3FDC" w:rsidRPr="0077700D" w14:paraId="014E6D73" w14:textId="77777777" w:rsidTr="00450B7A">
        <w:trPr>
          <w:cantSplit/>
          <w:jc w:val="center"/>
        </w:trPr>
        <w:tc>
          <w:tcPr>
            <w:tcW w:w="1481" w:type="pct"/>
            <w:tcBorders>
              <w:top w:val="single" w:sz="2" w:space="0" w:color="auto"/>
              <w:left w:val="single" w:sz="2" w:space="0" w:color="auto"/>
              <w:bottom w:val="single" w:sz="2" w:space="0" w:color="auto"/>
              <w:right w:val="single" w:sz="2" w:space="0" w:color="auto"/>
            </w:tcBorders>
            <w:vAlign w:val="center"/>
            <w:hideMark/>
          </w:tcPr>
          <w:p w14:paraId="1D05B30B" w14:textId="77777777" w:rsidR="004E3FDC" w:rsidRPr="0077700D" w:rsidRDefault="004E3FDC" w:rsidP="00450B7A">
            <w:pPr>
              <w:spacing w:after="0" w:line="240" w:lineRule="auto"/>
              <w:rPr>
                <w:rFonts w:ascii="Cambria" w:eastAsia="Times New Roman" w:hAnsi="Cambria"/>
                <w:lang w:val="hr-HR"/>
              </w:rPr>
            </w:pPr>
            <w:r w:rsidRPr="0077700D">
              <w:rPr>
                <w:rFonts w:ascii="Cambria" w:eastAsia="Times New Roman" w:hAnsi="Cambria"/>
                <w:lang w:val="hr-HR"/>
              </w:rPr>
              <w:t>Izborni kolegij 1</w:t>
            </w:r>
          </w:p>
        </w:tc>
        <w:tc>
          <w:tcPr>
            <w:tcW w:w="2022" w:type="pct"/>
            <w:tcBorders>
              <w:top w:val="single" w:sz="2" w:space="0" w:color="auto"/>
              <w:left w:val="single" w:sz="2" w:space="0" w:color="auto"/>
              <w:bottom w:val="single" w:sz="2" w:space="0" w:color="auto"/>
              <w:right w:val="single" w:sz="2" w:space="0" w:color="auto"/>
            </w:tcBorders>
            <w:vAlign w:val="center"/>
          </w:tcPr>
          <w:p w14:paraId="7EB2791F" w14:textId="77777777" w:rsidR="004E3FDC" w:rsidRPr="0077700D" w:rsidRDefault="004E3FDC" w:rsidP="00450B7A">
            <w:pPr>
              <w:widowControl w:val="0"/>
              <w:spacing w:after="0" w:line="240" w:lineRule="auto"/>
              <w:rPr>
                <w:rFonts w:ascii="Cambria" w:eastAsia="Times New Roman" w:hAnsi="Cambria"/>
                <w:lang w:val="hr-HR"/>
              </w:rPr>
            </w:pPr>
          </w:p>
        </w:tc>
        <w:tc>
          <w:tcPr>
            <w:tcW w:w="320" w:type="pct"/>
            <w:tcBorders>
              <w:top w:val="single" w:sz="2" w:space="0" w:color="auto"/>
              <w:left w:val="single" w:sz="2" w:space="0" w:color="auto"/>
              <w:bottom w:val="single" w:sz="2" w:space="0" w:color="auto"/>
              <w:right w:val="single" w:sz="2" w:space="0" w:color="auto"/>
            </w:tcBorders>
            <w:vAlign w:val="center"/>
          </w:tcPr>
          <w:p w14:paraId="1FDD8915" w14:textId="77777777" w:rsidR="004E3FDC" w:rsidRPr="0077700D" w:rsidRDefault="004E3FDC" w:rsidP="00450B7A">
            <w:pPr>
              <w:widowControl w:val="0"/>
              <w:spacing w:after="0" w:line="240" w:lineRule="auto"/>
              <w:jc w:val="center"/>
              <w:rPr>
                <w:rFonts w:ascii="Cambria" w:eastAsia="Times New Roman" w:hAnsi="Cambria"/>
                <w:lang w:val="hr-HR"/>
              </w:rPr>
            </w:pPr>
          </w:p>
        </w:tc>
        <w:tc>
          <w:tcPr>
            <w:tcW w:w="314" w:type="pct"/>
            <w:tcBorders>
              <w:top w:val="single" w:sz="2" w:space="0" w:color="auto"/>
              <w:left w:val="single" w:sz="2" w:space="0" w:color="auto"/>
              <w:bottom w:val="single" w:sz="2" w:space="0" w:color="auto"/>
              <w:right w:val="single" w:sz="2" w:space="0" w:color="auto"/>
            </w:tcBorders>
            <w:vAlign w:val="center"/>
          </w:tcPr>
          <w:p w14:paraId="10E0B6FC" w14:textId="77777777" w:rsidR="004E3FDC" w:rsidRPr="0077700D" w:rsidRDefault="004E3FDC" w:rsidP="00450B7A">
            <w:pPr>
              <w:widowControl w:val="0"/>
              <w:spacing w:after="0" w:line="240" w:lineRule="auto"/>
              <w:jc w:val="center"/>
              <w:rPr>
                <w:rFonts w:ascii="Cambria" w:eastAsia="Times New Roman" w:hAnsi="Cambria"/>
                <w:lang w:val="hr-HR"/>
              </w:rPr>
            </w:pPr>
          </w:p>
        </w:tc>
        <w:tc>
          <w:tcPr>
            <w:tcW w:w="315" w:type="pct"/>
            <w:tcBorders>
              <w:top w:val="single" w:sz="2" w:space="0" w:color="auto"/>
              <w:left w:val="single" w:sz="2" w:space="0" w:color="auto"/>
              <w:bottom w:val="single" w:sz="2" w:space="0" w:color="auto"/>
              <w:right w:val="single" w:sz="2" w:space="0" w:color="auto"/>
            </w:tcBorders>
            <w:vAlign w:val="center"/>
          </w:tcPr>
          <w:p w14:paraId="17D8988C" w14:textId="77777777" w:rsidR="004E3FDC" w:rsidRPr="0077700D" w:rsidRDefault="004E3FDC" w:rsidP="00450B7A">
            <w:pPr>
              <w:widowControl w:val="0"/>
              <w:spacing w:after="0" w:line="240" w:lineRule="auto"/>
              <w:jc w:val="center"/>
              <w:rPr>
                <w:rFonts w:ascii="Cambria" w:eastAsia="Times New Roman" w:hAnsi="Cambria"/>
                <w:lang w:val="hr-HR"/>
              </w:rPr>
            </w:pPr>
          </w:p>
        </w:tc>
        <w:tc>
          <w:tcPr>
            <w:tcW w:w="548" w:type="pct"/>
            <w:tcBorders>
              <w:top w:val="single" w:sz="2" w:space="0" w:color="auto"/>
              <w:left w:val="single" w:sz="2" w:space="0" w:color="auto"/>
              <w:bottom w:val="single" w:sz="2" w:space="0" w:color="auto"/>
              <w:right w:val="single" w:sz="2" w:space="0" w:color="auto"/>
            </w:tcBorders>
            <w:vAlign w:val="center"/>
            <w:hideMark/>
          </w:tcPr>
          <w:p w14:paraId="6B60F2C5" w14:textId="77777777" w:rsidR="004E3FDC" w:rsidRPr="0077700D" w:rsidRDefault="004E3FDC" w:rsidP="00450B7A">
            <w:pPr>
              <w:widowControl w:val="0"/>
              <w:spacing w:after="0" w:line="240" w:lineRule="auto"/>
              <w:jc w:val="center"/>
              <w:rPr>
                <w:rFonts w:ascii="Cambria" w:eastAsia="Times New Roman" w:hAnsi="Cambria"/>
                <w:bCs/>
                <w:lang w:val="hr-HR"/>
              </w:rPr>
            </w:pPr>
            <w:r w:rsidRPr="0077700D">
              <w:rPr>
                <w:rFonts w:ascii="Cambria" w:eastAsia="Times New Roman" w:hAnsi="Cambria"/>
                <w:bCs/>
                <w:lang w:val="hr-HR"/>
              </w:rPr>
              <w:t>2</w:t>
            </w:r>
          </w:p>
        </w:tc>
      </w:tr>
      <w:tr w:rsidR="004E3FDC" w:rsidRPr="0077700D" w14:paraId="7897EA67" w14:textId="77777777" w:rsidTr="00450B7A">
        <w:trPr>
          <w:cantSplit/>
          <w:jc w:val="center"/>
        </w:trPr>
        <w:tc>
          <w:tcPr>
            <w:tcW w:w="1481" w:type="pct"/>
            <w:tcBorders>
              <w:top w:val="single" w:sz="2" w:space="0" w:color="auto"/>
              <w:left w:val="single" w:sz="2" w:space="0" w:color="auto"/>
              <w:bottom w:val="single" w:sz="2" w:space="0" w:color="auto"/>
              <w:right w:val="single" w:sz="2" w:space="0" w:color="auto"/>
            </w:tcBorders>
            <w:vAlign w:val="center"/>
            <w:hideMark/>
          </w:tcPr>
          <w:p w14:paraId="38C98E40" w14:textId="77777777" w:rsidR="004E3FDC" w:rsidRPr="0077700D" w:rsidRDefault="004E3FDC" w:rsidP="00450B7A">
            <w:pPr>
              <w:spacing w:after="0" w:line="240" w:lineRule="auto"/>
              <w:rPr>
                <w:rFonts w:ascii="Cambria" w:eastAsia="Times New Roman" w:hAnsi="Cambria"/>
                <w:lang w:val="hr-HR"/>
              </w:rPr>
            </w:pPr>
            <w:r w:rsidRPr="0077700D">
              <w:rPr>
                <w:rFonts w:ascii="Cambria" w:eastAsia="Times New Roman" w:hAnsi="Cambria"/>
                <w:lang w:val="hr-HR"/>
              </w:rPr>
              <w:t>Izborni modul</w:t>
            </w:r>
          </w:p>
        </w:tc>
        <w:tc>
          <w:tcPr>
            <w:tcW w:w="2022" w:type="pct"/>
            <w:tcBorders>
              <w:top w:val="single" w:sz="2" w:space="0" w:color="auto"/>
              <w:left w:val="single" w:sz="2" w:space="0" w:color="auto"/>
              <w:bottom w:val="single" w:sz="2" w:space="0" w:color="auto"/>
              <w:right w:val="single" w:sz="2" w:space="0" w:color="auto"/>
            </w:tcBorders>
            <w:vAlign w:val="center"/>
          </w:tcPr>
          <w:p w14:paraId="2762ECF1" w14:textId="77777777" w:rsidR="004E3FDC" w:rsidRPr="0077700D" w:rsidRDefault="004E3FDC" w:rsidP="00450B7A">
            <w:pPr>
              <w:widowControl w:val="0"/>
              <w:spacing w:after="0" w:line="240" w:lineRule="auto"/>
              <w:rPr>
                <w:rFonts w:ascii="Cambria" w:eastAsia="Times New Roman" w:hAnsi="Cambria"/>
                <w:lang w:val="hr-HR"/>
              </w:rPr>
            </w:pPr>
          </w:p>
        </w:tc>
        <w:tc>
          <w:tcPr>
            <w:tcW w:w="320" w:type="pct"/>
            <w:tcBorders>
              <w:top w:val="single" w:sz="2" w:space="0" w:color="auto"/>
              <w:left w:val="single" w:sz="2" w:space="0" w:color="auto"/>
              <w:bottom w:val="single" w:sz="2" w:space="0" w:color="auto"/>
              <w:right w:val="single" w:sz="2" w:space="0" w:color="auto"/>
            </w:tcBorders>
            <w:vAlign w:val="center"/>
          </w:tcPr>
          <w:p w14:paraId="1928A7A1" w14:textId="77777777" w:rsidR="004E3FDC" w:rsidRPr="0077700D" w:rsidRDefault="004E3FDC" w:rsidP="00450B7A">
            <w:pPr>
              <w:widowControl w:val="0"/>
              <w:spacing w:after="0" w:line="240" w:lineRule="auto"/>
              <w:jc w:val="center"/>
              <w:rPr>
                <w:rFonts w:ascii="Cambria" w:eastAsia="Times New Roman" w:hAnsi="Cambria"/>
                <w:lang w:val="hr-HR"/>
              </w:rPr>
            </w:pPr>
          </w:p>
        </w:tc>
        <w:tc>
          <w:tcPr>
            <w:tcW w:w="314" w:type="pct"/>
            <w:tcBorders>
              <w:top w:val="single" w:sz="2" w:space="0" w:color="auto"/>
              <w:left w:val="single" w:sz="2" w:space="0" w:color="auto"/>
              <w:bottom w:val="single" w:sz="2" w:space="0" w:color="auto"/>
              <w:right w:val="single" w:sz="2" w:space="0" w:color="auto"/>
            </w:tcBorders>
            <w:vAlign w:val="center"/>
          </w:tcPr>
          <w:p w14:paraId="47B3894E" w14:textId="77777777" w:rsidR="004E3FDC" w:rsidRPr="0077700D" w:rsidRDefault="004E3FDC" w:rsidP="00450B7A">
            <w:pPr>
              <w:widowControl w:val="0"/>
              <w:spacing w:after="0" w:line="240" w:lineRule="auto"/>
              <w:jc w:val="center"/>
              <w:rPr>
                <w:rFonts w:ascii="Cambria" w:eastAsia="Times New Roman" w:hAnsi="Cambria"/>
                <w:lang w:val="hr-HR"/>
              </w:rPr>
            </w:pPr>
          </w:p>
        </w:tc>
        <w:tc>
          <w:tcPr>
            <w:tcW w:w="315" w:type="pct"/>
            <w:tcBorders>
              <w:top w:val="single" w:sz="2" w:space="0" w:color="auto"/>
              <w:left w:val="single" w:sz="2" w:space="0" w:color="auto"/>
              <w:bottom w:val="single" w:sz="2" w:space="0" w:color="auto"/>
              <w:right w:val="single" w:sz="2" w:space="0" w:color="auto"/>
            </w:tcBorders>
            <w:vAlign w:val="center"/>
          </w:tcPr>
          <w:p w14:paraId="4DA7498E" w14:textId="77777777" w:rsidR="004E3FDC" w:rsidRPr="0077700D" w:rsidRDefault="004E3FDC" w:rsidP="00450B7A">
            <w:pPr>
              <w:widowControl w:val="0"/>
              <w:spacing w:after="0" w:line="240" w:lineRule="auto"/>
              <w:jc w:val="center"/>
              <w:rPr>
                <w:rFonts w:ascii="Cambria" w:eastAsia="Times New Roman" w:hAnsi="Cambria"/>
                <w:lang w:val="hr-HR"/>
              </w:rPr>
            </w:pPr>
          </w:p>
        </w:tc>
        <w:tc>
          <w:tcPr>
            <w:tcW w:w="548" w:type="pct"/>
            <w:tcBorders>
              <w:top w:val="single" w:sz="2" w:space="0" w:color="auto"/>
              <w:left w:val="single" w:sz="2" w:space="0" w:color="auto"/>
              <w:bottom w:val="single" w:sz="2" w:space="0" w:color="auto"/>
              <w:right w:val="single" w:sz="2" w:space="0" w:color="auto"/>
            </w:tcBorders>
            <w:vAlign w:val="center"/>
            <w:hideMark/>
          </w:tcPr>
          <w:p w14:paraId="25BDACB9" w14:textId="77777777" w:rsidR="004E3FDC" w:rsidRPr="0077700D" w:rsidRDefault="004E3FDC" w:rsidP="00450B7A">
            <w:pPr>
              <w:widowControl w:val="0"/>
              <w:spacing w:after="0" w:line="240" w:lineRule="auto"/>
              <w:jc w:val="center"/>
              <w:rPr>
                <w:rFonts w:ascii="Cambria" w:eastAsia="Times New Roman" w:hAnsi="Cambria"/>
                <w:bCs/>
                <w:lang w:val="hr-HR"/>
              </w:rPr>
            </w:pPr>
            <w:r w:rsidRPr="0077700D">
              <w:rPr>
                <w:rFonts w:ascii="Cambria" w:eastAsia="Times New Roman" w:hAnsi="Cambria"/>
                <w:bCs/>
                <w:lang w:val="hr-HR"/>
              </w:rPr>
              <w:t>8</w:t>
            </w:r>
          </w:p>
        </w:tc>
      </w:tr>
      <w:tr w:rsidR="004E3FDC" w:rsidRPr="0077700D" w14:paraId="0B23E846" w14:textId="77777777" w:rsidTr="00450B7A">
        <w:trPr>
          <w:cantSplit/>
          <w:jc w:val="center"/>
        </w:trPr>
        <w:tc>
          <w:tcPr>
            <w:tcW w:w="1481" w:type="pct"/>
            <w:tcBorders>
              <w:top w:val="single" w:sz="2" w:space="0" w:color="auto"/>
              <w:left w:val="single" w:sz="2" w:space="0" w:color="auto"/>
              <w:bottom w:val="single" w:sz="2" w:space="0" w:color="auto"/>
              <w:right w:val="single" w:sz="2" w:space="0" w:color="auto"/>
            </w:tcBorders>
            <w:vAlign w:val="center"/>
            <w:hideMark/>
          </w:tcPr>
          <w:p w14:paraId="77087045" w14:textId="77777777" w:rsidR="004E3FDC" w:rsidRPr="0077700D" w:rsidRDefault="004E3FDC" w:rsidP="00450B7A">
            <w:pPr>
              <w:widowControl w:val="0"/>
              <w:spacing w:after="0" w:line="240" w:lineRule="auto"/>
              <w:rPr>
                <w:rFonts w:ascii="Cambria" w:eastAsia="Times New Roman" w:hAnsi="Cambria"/>
                <w:b/>
                <w:lang w:val="hr-HR"/>
              </w:rPr>
            </w:pPr>
            <w:r w:rsidRPr="0077700D">
              <w:rPr>
                <w:rFonts w:ascii="Cambria" w:eastAsia="Times New Roman" w:hAnsi="Cambria"/>
                <w:b/>
                <w:lang w:val="hr-HR"/>
              </w:rPr>
              <w:t>Ukupno</w:t>
            </w:r>
          </w:p>
        </w:tc>
        <w:tc>
          <w:tcPr>
            <w:tcW w:w="2022" w:type="pct"/>
            <w:tcBorders>
              <w:top w:val="single" w:sz="2" w:space="0" w:color="auto"/>
              <w:left w:val="single" w:sz="2" w:space="0" w:color="auto"/>
              <w:bottom w:val="single" w:sz="2" w:space="0" w:color="auto"/>
              <w:right w:val="single" w:sz="2" w:space="0" w:color="auto"/>
            </w:tcBorders>
            <w:vAlign w:val="center"/>
          </w:tcPr>
          <w:p w14:paraId="19C7F4D7" w14:textId="77777777" w:rsidR="004E3FDC" w:rsidRPr="0077700D" w:rsidRDefault="004E3FDC" w:rsidP="00450B7A">
            <w:pPr>
              <w:widowControl w:val="0"/>
              <w:spacing w:after="0" w:line="240" w:lineRule="auto"/>
              <w:rPr>
                <w:rFonts w:ascii="Cambria" w:eastAsia="Times New Roman" w:hAnsi="Cambria"/>
                <w:b/>
                <w:lang w:val="hr-HR"/>
              </w:rPr>
            </w:pPr>
          </w:p>
        </w:tc>
        <w:tc>
          <w:tcPr>
            <w:tcW w:w="320" w:type="pct"/>
            <w:tcBorders>
              <w:top w:val="single" w:sz="2" w:space="0" w:color="auto"/>
              <w:left w:val="single" w:sz="2" w:space="0" w:color="auto"/>
              <w:bottom w:val="single" w:sz="2" w:space="0" w:color="auto"/>
              <w:right w:val="single" w:sz="2" w:space="0" w:color="auto"/>
            </w:tcBorders>
            <w:vAlign w:val="center"/>
          </w:tcPr>
          <w:p w14:paraId="270893A1" w14:textId="77777777" w:rsidR="004E3FDC" w:rsidRPr="0077700D" w:rsidRDefault="004E3FDC" w:rsidP="00450B7A">
            <w:pPr>
              <w:widowControl w:val="0"/>
              <w:spacing w:after="0" w:line="240" w:lineRule="auto"/>
              <w:jc w:val="center"/>
              <w:rPr>
                <w:rFonts w:ascii="Cambria" w:eastAsia="Times New Roman" w:hAnsi="Cambria"/>
                <w:b/>
                <w:lang w:val="hr-HR"/>
              </w:rPr>
            </w:pPr>
          </w:p>
        </w:tc>
        <w:tc>
          <w:tcPr>
            <w:tcW w:w="314" w:type="pct"/>
            <w:tcBorders>
              <w:top w:val="single" w:sz="2" w:space="0" w:color="auto"/>
              <w:left w:val="single" w:sz="2" w:space="0" w:color="auto"/>
              <w:bottom w:val="single" w:sz="2" w:space="0" w:color="auto"/>
              <w:right w:val="single" w:sz="2" w:space="0" w:color="auto"/>
            </w:tcBorders>
            <w:vAlign w:val="center"/>
          </w:tcPr>
          <w:p w14:paraId="0F1451D2" w14:textId="77777777" w:rsidR="004E3FDC" w:rsidRPr="0077700D" w:rsidRDefault="004E3FDC" w:rsidP="00450B7A">
            <w:pPr>
              <w:widowControl w:val="0"/>
              <w:spacing w:after="0" w:line="240" w:lineRule="auto"/>
              <w:jc w:val="center"/>
              <w:rPr>
                <w:rFonts w:ascii="Cambria" w:eastAsia="Times New Roman" w:hAnsi="Cambria"/>
                <w:b/>
                <w:lang w:val="hr-HR"/>
              </w:rPr>
            </w:pPr>
          </w:p>
        </w:tc>
        <w:tc>
          <w:tcPr>
            <w:tcW w:w="315" w:type="pct"/>
            <w:tcBorders>
              <w:top w:val="single" w:sz="2" w:space="0" w:color="auto"/>
              <w:left w:val="single" w:sz="2" w:space="0" w:color="auto"/>
              <w:bottom w:val="single" w:sz="2" w:space="0" w:color="auto"/>
              <w:right w:val="single" w:sz="2" w:space="0" w:color="auto"/>
            </w:tcBorders>
            <w:vAlign w:val="center"/>
          </w:tcPr>
          <w:p w14:paraId="19939FF6" w14:textId="77777777" w:rsidR="004E3FDC" w:rsidRPr="0077700D" w:rsidRDefault="004E3FDC" w:rsidP="00450B7A">
            <w:pPr>
              <w:widowControl w:val="0"/>
              <w:spacing w:after="0" w:line="240" w:lineRule="auto"/>
              <w:jc w:val="center"/>
              <w:rPr>
                <w:rFonts w:ascii="Cambria" w:eastAsia="Times New Roman" w:hAnsi="Cambria"/>
                <w:b/>
                <w:lang w:val="hr-HR"/>
              </w:rPr>
            </w:pPr>
          </w:p>
        </w:tc>
        <w:tc>
          <w:tcPr>
            <w:tcW w:w="548" w:type="pct"/>
            <w:tcBorders>
              <w:top w:val="single" w:sz="2" w:space="0" w:color="auto"/>
              <w:left w:val="single" w:sz="2" w:space="0" w:color="auto"/>
              <w:bottom w:val="single" w:sz="2" w:space="0" w:color="auto"/>
              <w:right w:val="single" w:sz="2" w:space="0" w:color="auto"/>
            </w:tcBorders>
            <w:vAlign w:val="center"/>
            <w:hideMark/>
          </w:tcPr>
          <w:p w14:paraId="4F6C5C76" w14:textId="77777777" w:rsidR="004E3FDC" w:rsidRPr="0077700D" w:rsidRDefault="004E3FDC" w:rsidP="00450B7A">
            <w:pPr>
              <w:widowControl w:val="0"/>
              <w:spacing w:after="0" w:line="240" w:lineRule="auto"/>
              <w:jc w:val="center"/>
              <w:rPr>
                <w:rFonts w:ascii="Cambria" w:eastAsia="Times New Roman" w:hAnsi="Cambria"/>
                <w:b/>
                <w:bCs/>
                <w:lang w:val="hr-HR"/>
              </w:rPr>
            </w:pPr>
            <w:r w:rsidRPr="0077700D">
              <w:rPr>
                <w:rFonts w:ascii="Cambria" w:eastAsia="Times New Roman" w:hAnsi="Cambria"/>
                <w:b/>
                <w:bCs/>
                <w:lang w:val="hr-HR"/>
              </w:rPr>
              <w:t>30</w:t>
            </w:r>
          </w:p>
        </w:tc>
      </w:tr>
    </w:tbl>
    <w:p w14:paraId="7B926AE4" w14:textId="77777777" w:rsidR="004E3FDC" w:rsidRPr="0077700D" w:rsidRDefault="004E3FDC" w:rsidP="004E3FDC">
      <w:pPr>
        <w:spacing w:after="0" w:line="240" w:lineRule="auto"/>
        <w:rPr>
          <w:rFonts w:ascii="Cambria" w:eastAsia="Times New Roman" w:hAnsi="Cambria"/>
          <w:lang w:val="hr-HR"/>
        </w:rPr>
      </w:pPr>
      <w:r w:rsidRPr="0077700D">
        <w:rPr>
          <w:rFonts w:ascii="Cambria" w:eastAsia="Times New Roman" w:hAnsi="Cambria"/>
          <w:lang w:val="hr-HR"/>
        </w:rPr>
        <w:t xml:space="preserve"> </w:t>
      </w:r>
    </w:p>
    <w:p w14:paraId="3B1BA623" w14:textId="77777777" w:rsidR="004E3FDC" w:rsidRPr="0077700D" w:rsidRDefault="004E3FDC" w:rsidP="004E3FDC">
      <w:pPr>
        <w:spacing w:after="0" w:line="240" w:lineRule="auto"/>
        <w:rPr>
          <w:rFonts w:ascii="Cambria" w:eastAsia="Times New Roman" w:hAnsi="Cambria"/>
          <w:lang w:val="hr-HR"/>
        </w:rPr>
      </w:pPr>
    </w:p>
    <w:tbl>
      <w:tblPr>
        <w:tblW w:w="4924"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951"/>
        <w:gridCol w:w="3931"/>
        <w:gridCol w:w="652"/>
        <w:gridCol w:w="666"/>
        <w:gridCol w:w="707"/>
        <w:gridCol w:w="974"/>
      </w:tblGrid>
      <w:tr w:rsidR="004E3FDC" w:rsidRPr="0077700D" w14:paraId="4CFB2216" w14:textId="77777777" w:rsidTr="00450B7A">
        <w:trPr>
          <w:cantSplit/>
          <w:jc w:val="center"/>
        </w:trPr>
        <w:tc>
          <w:tcPr>
            <w:tcW w:w="5000" w:type="pct"/>
            <w:gridSpan w:val="6"/>
            <w:tcBorders>
              <w:top w:val="single" w:sz="2" w:space="0" w:color="auto"/>
              <w:left w:val="single" w:sz="2" w:space="0" w:color="auto"/>
              <w:bottom w:val="single" w:sz="2" w:space="0" w:color="auto"/>
              <w:right w:val="single" w:sz="2" w:space="0" w:color="auto"/>
            </w:tcBorders>
            <w:vAlign w:val="center"/>
            <w:hideMark/>
          </w:tcPr>
          <w:p w14:paraId="2EC1698D" w14:textId="77777777" w:rsidR="004E3FDC" w:rsidRPr="0077700D" w:rsidRDefault="004E3FDC" w:rsidP="00450B7A">
            <w:pPr>
              <w:widowControl w:val="0"/>
              <w:spacing w:after="0" w:line="240" w:lineRule="auto"/>
              <w:jc w:val="center"/>
              <w:rPr>
                <w:rFonts w:ascii="Cambria" w:eastAsia="Times New Roman" w:hAnsi="Cambria"/>
                <w:b/>
                <w:lang w:val="hr-HR"/>
              </w:rPr>
            </w:pPr>
            <w:r w:rsidRPr="0077700D">
              <w:rPr>
                <w:rFonts w:ascii="Cambria" w:eastAsia="Times New Roman" w:hAnsi="Cambria"/>
                <w:b/>
                <w:lang w:val="hr-HR"/>
              </w:rPr>
              <w:t>Izborni moduli</w:t>
            </w:r>
          </w:p>
        </w:tc>
      </w:tr>
      <w:tr w:rsidR="004E3FDC" w:rsidRPr="0077700D" w14:paraId="2C15FBA5" w14:textId="77777777" w:rsidTr="00450B7A">
        <w:trPr>
          <w:cantSplit/>
          <w:jc w:val="center"/>
        </w:trPr>
        <w:tc>
          <w:tcPr>
            <w:tcW w:w="1493" w:type="pct"/>
            <w:tcBorders>
              <w:top w:val="single" w:sz="2" w:space="0" w:color="auto"/>
              <w:left w:val="single" w:sz="2" w:space="0" w:color="auto"/>
              <w:bottom w:val="single" w:sz="2" w:space="0" w:color="auto"/>
              <w:right w:val="single" w:sz="2" w:space="0" w:color="auto"/>
            </w:tcBorders>
            <w:vAlign w:val="center"/>
            <w:hideMark/>
          </w:tcPr>
          <w:p w14:paraId="595773FE" w14:textId="77777777" w:rsidR="004E3FDC" w:rsidRPr="0077700D" w:rsidRDefault="004E3FDC" w:rsidP="00450B7A">
            <w:pPr>
              <w:widowControl w:val="0"/>
              <w:spacing w:after="0" w:line="240" w:lineRule="auto"/>
              <w:rPr>
                <w:rFonts w:ascii="Cambria" w:eastAsia="Times New Roman" w:hAnsi="Cambria"/>
                <w:b/>
                <w:lang w:val="hr-HR"/>
              </w:rPr>
            </w:pPr>
            <w:r w:rsidRPr="0077700D">
              <w:rPr>
                <w:rFonts w:ascii="Cambria" w:eastAsia="Times New Roman" w:hAnsi="Cambria"/>
                <w:b/>
                <w:lang w:val="hr-HR"/>
              </w:rPr>
              <w:t>Izborni modul I: 10912</w:t>
            </w:r>
          </w:p>
        </w:tc>
        <w:tc>
          <w:tcPr>
            <w:tcW w:w="1989" w:type="pct"/>
            <w:tcBorders>
              <w:top w:val="single" w:sz="2" w:space="0" w:color="auto"/>
              <w:left w:val="single" w:sz="2" w:space="0" w:color="auto"/>
              <w:bottom w:val="single" w:sz="2" w:space="0" w:color="auto"/>
              <w:right w:val="single" w:sz="2" w:space="0" w:color="auto"/>
            </w:tcBorders>
            <w:vAlign w:val="center"/>
            <w:hideMark/>
          </w:tcPr>
          <w:p w14:paraId="0B09B47D" w14:textId="77777777" w:rsidR="004E3FDC" w:rsidRPr="0077700D" w:rsidRDefault="004E3FDC" w:rsidP="00450B7A">
            <w:pPr>
              <w:widowControl w:val="0"/>
              <w:spacing w:after="0" w:line="240" w:lineRule="auto"/>
              <w:rPr>
                <w:rFonts w:ascii="Cambria" w:eastAsia="Times New Roman" w:hAnsi="Cambria"/>
                <w:b/>
                <w:lang w:val="hr-HR"/>
              </w:rPr>
            </w:pPr>
            <w:r w:rsidRPr="0077700D">
              <w:rPr>
                <w:rFonts w:ascii="Cambria" w:eastAsia="Times New Roman" w:hAnsi="Cambria"/>
                <w:b/>
                <w:lang w:val="hr-HR"/>
              </w:rPr>
              <w:t>Nastavnik/</w:t>
            </w:r>
            <w:proofErr w:type="spellStart"/>
            <w:r w:rsidRPr="0077700D">
              <w:rPr>
                <w:rFonts w:ascii="Cambria" w:eastAsia="Times New Roman" w:hAnsi="Cambria"/>
                <w:b/>
                <w:lang w:val="hr-HR"/>
              </w:rPr>
              <w:t>ica</w:t>
            </w:r>
            <w:proofErr w:type="spellEnd"/>
          </w:p>
        </w:tc>
        <w:tc>
          <w:tcPr>
            <w:tcW w:w="330" w:type="pct"/>
            <w:tcBorders>
              <w:top w:val="single" w:sz="2" w:space="0" w:color="auto"/>
              <w:left w:val="single" w:sz="2" w:space="0" w:color="auto"/>
              <w:bottom w:val="single" w:sz="2" w:space="0" w:color="auto"/>
              <w:right w:val="single" w:sz="2" w:space="0" w:color="auto"/>
            </w:tcBorders>
            <w:vAlign w:val="center"/>
            <w:hideMark/>
          </w:tcPr>
          <w:p w14:paraId="0E5DD164" w14:textId="77777777" w:rsidR="004E3FDC" w:rsidRPr="0077700D" w:rsidRDefault="004E3FDC" w:rsidP="00450B7A">
            <w:pPr>
              <w:spacing w:after="0" w:line="240" w:lineRule="auto"/>
              <w:jc w:val="center"/>
              <w:rPr>
                <w:rFonts w:ascii="Cambria" w:eastAsia="Times New Roman" w:hAnsi="Cambria"/>
                <w:b/>
                <w:bCs/>
                <w:caps/>
                <w:lang w:val="hr-HR"/>
              </w:rPr>
            </w:pPr>
            <w:r w:rsidRPr="0077700D">
              <w:rPr>
                <w:rFonts w:ascii="Cambria" w:eastAsia="Times New Roman" w:hAnsi="Cambria"/>
                <w:b/>
                <w:bCs/>
                <w:caps/>
                <w:lang w:val="hr-HR"/>
              </w:rPr>
              <w:t>P</w:t>
            </w:r>
          </w:p>
        </w:tc>
        <w:tc>
          <w:tcPr>
            <w:tcW w:w="337" w:type="pct"/>
            <w:tcBorders>
              <w:top w:val="single" w:sz="2" w:space="0" w:color="auto"/>
              <w:left w:val="single" w:sz="2" w:space="0" w:color="auto"/>
              <w:bottom w:val="single" w:sz="2" w:space="0" w:color="auto"/>
              <w:right w:val="single" w:sz="2" w:space="0" w:color="auto"/>
            </w:tcBorders>
            <w:vAlign w:val="center"/>
          </w:tcPr>
          <w:p w14:paraId="4036A2B9" w14:textId="77777777" w:rsidR="004E3FDC" w:rsidRPr="0077700D" w:rsidRDefault="004E3FDC" w:rsidP="00450B7A">
            <w:pPr>
              <w:spacing w:after="0" w:line="240" w:lineRule="auto"/>
              <w:jc w:val="center"/>
              <w:rPr>
                <w:rFonts w:ascii="Cambria" w:eastAsia="Times New Roman" w:hAnsi="Cambria"/>
                <w:b/>
                <w:bCs/>
                <w:caps/>
                <w:lang w:val="hr-HR"/>
              </w:rPr>
            </w:pPr>
            <w:r w:rsidRPr="0077700D">
              <w:rPr>
                <w:rFonts w:ascii="Cambria" w:eastAsia="Times New Roman" w:hAnsi="Cambria"/>
                <w:b/>
                <w:bCs/>
                <w:caps/>
                <w:lang w:val="hr-HR"/>
              </w:rPr>
              <w:t>S</w:t>
            </w:r>
          </w:p>
        </w:tc>
        <w:tc>
          <w:tcPr>
            <w:tcW w:w="358" w:type="pct"/>
            <w:tcBorders>
              <w:top w:val="single" w:sz="2" w:space="0" w:color="auto"/>
              <w:left w:val="single" w:sz="2" w:space="0" w:color="auto"/>
              <w:bottom w:val="single" w:sz="2" w:space="0" w:color="auto"/>
              <w:right w:val="single" w:sz="2" w:space="0" w:color="auto"/>
            </w:tcBorders>
            <w:vAlign w:val="center"/>
            <w:hideMark/>
          </w:tcPr>
          <w:p w14:paraId="0B0D724B" w14:textId="77777777" w:rsidR="004E3FDC" w:rsidRPr="0077700D" w:rsidRDefault="004E3FDC" w:rsidP="00450B7A">
            <w:pPr>
              <w:spacing w:after="0" w:line="240" w:lineRule="auto"/>
              <w:jc w:val="center"/>
              <w:rPr>
                <w:rFonts w:ascii="Cambria" w:eastAsia="Times New Roman" w:hAnsi="Cambria"/>
                <w:b/>
                <w:bCs/>
                <w:caps/>
                <w:lang w:val="hr-HR"/>
              </w:rPr>
            </w:pPr>
            <w:r w:rsidRPr="0077700D">
              <w:rPr>
                <w:rFonts w:ascii="Cambria" w:eastAsia="Times New Roman" w:hAnsi="Cambria"/>
                <w:b/>
                <w:bCs/>
                <w:caps/>
                <w:lang w:val="hr-HR"/>
              </w:rPr>
              <w:t>V</w:t>
            </w:r>
          </w:p>
        </w:tc>
        <w:tc>
          <w:tcPr>
            <w:tcW w:w="492" w:type="pct"/>
            <w:tcBorders>
              <w:top w:val="single" w:sz="2" w:space="0" w:color="auto"/>
              <w:left w:val="single" w:sz="2" w:space="0" w:color="auto"/>
              <w:bottom w:val="single" w:sz="2" w:space="0" w:color="auto"/>
              <w:right w:val="single" w:sz="2" w:space="0" w:color="auto"/>
            </w:tcBorders>
            <w:vAlign w:val="center"/>
            <w:hideMark/>
          </w:tcPr>
          <w:p w14:paraId="1DE66DFB" w14:textId="77777777" w:rsidR="004E3FDC" w:rsidRPr="0077700D" w:rsidRDefault="004E3FDC" w:rsidP="00450B7A">
            <w:pPr>
              <w:spacing w:after="0" w:line="240" w:lineRule="auto"/>
              <w:jc w:val="center"/>
              <w:rPr>
                <w:rFonts w:ascii="Cambria" w:eastAsia="Times New Roman" w:hAnsi="Cambria"/>
                <w:b/>
                <w:bCs/>
                <w:caps/>
                <w:lang w:val="hr-HR"/>
              </w:rPr>
            </w:pPr>
            <w:r w:rsidRPr="0077700D">
              <w:rPr>
                <w:rFonts w:ascii="Cambria" w:eastAsia="Times New Roman" w:hAnsi="Cambria"/>
                <w:b/>
                <w:bCs/>
                <w:caps/>
                <w:lang w:val="hr-HR"/>
              </w:rPr>
              <w:t>ECTS</w:t>
            </w:r>
          </w:p>
        </w:tc>
      </w:tr>
      <w:tr w:rsidR="004E3FDC" w:rsidRPr="0077700D" w14:paraId="46414DAA" w14:textId="77777777" w:rsidTr="00450B7A">
        <w:trPr>
          <w:cantSplit/>
          <w:jc w:val="center"/>
        </w:trPr>
        <w:tc>
          <w:tcPr>
            <w:tcW w:w="1493" w:type="pct"/>
            <w:tcBorders>
              <w:top w:val="single" w:sz="2" w:space="0" w:color="auto"/>
              <w:left w:val="single" w:sz="2" w:space="0" w:color="auto"/>
              <w:bottom w:val="single" w:sz="2" w:space="0" w:color="auto"/>
              <w:right w:val="single" w:sz="2" w:space="0" w:color="auto"/>
            </w:tcBorders>
            <w:vAlign w:val="center"/>
            <w:hideMark/>
          </w:tcPr>
          <w:p w14:paraId="6263AB07" w14:textId="77777777" w:rsidR="004E3FDC" w:rsidRPr="0077700D" w:rsidRDefault="004E3FDC" w:rsidP="00450B7A">
            <w:pPr>
              <w:spacing w:before="20" w:after="20" w:line="240" w:lineRule="auto"/>
              <w:rPr>
                <w:rFonts w:ascii="Cambria" w:eastAsia="Times New Roman" w:hAnsi="Cambria"/>
                <w:b/>
                <w:lang w:val="hr-HR"/>
              </w:rPr>
            </w:pPr>
            <w:r w:rsidRPr="0077700D">
              <w:rPr>
                <w:rFonts w:ascii="Cambria" w:eastAsia="Times New Roman" w:hAnsi="Cambria"/>
                <w:b/>
                <w:lang w:val="hr-HR"/>
              </w:rPr>
              <w:t>118954</w:t>
            </w:r>
          </w:p>
          <w:p w14:paraId="24A50D54" w14:textId="77777777" w:rsidR="004E3FDC" w:rsidRPr="0077700D" w:rsidRDefault="004E3FDC" w:rsidP="00450B7A">
            <w:pPr>
              <w:spacing w:after="0" w:line="240" w:lineRule="auto"/>
              <w:rPr>
                <w:rFonts w:ascii="Cambria" w:eastAsia="Times New Roman" w:hAnsi="Cambria"/>
                <w:lang w:val="hr-HR"/>
              </w:rPr>
            </w:pPr>
            <w:r w:rsidRPr="0077700D">
              <w:rPr>
                <w:rFonts w:ascii="Cambria" w:eastAsia="Times New Roman" w:hAnsi="Cambria"/>
                <w:lang w:val="hr-HR"/>
              </w:rPr>
              <w:t>Dječja književnost na engleskom jeziku III</w:t>
            </w:r>
          </w:p>
        </w:tc>
        <w:tc>
          <w:tcPr>
            <w:tcW w:w="1989" w:type="pct"/>
            <w:tcBorders>
              <w:top w:val="single" w:sz="2" w:space="0" w:color="auto"/>
              <w:left w:val="single" w:sz="2" w:space="0" w:color="auto"/>
              <w:bottom w:val="single" w:sz="2" w:space="0" w:color="auto"/>
              <w:right w:val="single" w:sz="2" w:space="0" w:color="auto"/>
            </w:tcBorders>
            <w:vAlign w:val="center"/>
            <w:hideMark/>
          </w:tcPr>
          <w:p w14:paraId="6AFD0490" w14:textId="77777777" w:rsidR="004E3FDC" w:rsidRPr="0077700D" w:rsidRDefault="004E3FDC" w:rsidP="00450B7A">
            <w:pPr>
              <w:spacing w:after="0" w:line="240" w:lineRule="auto"/>
              <w:rPr>
                <w:rFonts w:ascii="Cambria" w:eastAsia="Times New Roman" w:hAnsi="Cambria"/>
                <w:lang w:val="hr-HR"/>
              </w:rPr>
            </w:pPr>
            <w:r w:rsidRPr="0077700D">
              <w:rPr>
                <w:rFonts w:ascii="Cambria" w:eastAsia="Times New Roman" w:hAnsi="Cambria"/>
                <w:lang w:val="hr-HR"/>
              </w:rPr>
              <w:t>naslovna doc. dr. sc. Ester Vidović</w:t>
            </w:r>
          </w:p>
          <w:p w14:paraId="07A4F93C" w14:textId="77777777" w:rsidR="004E3FDC" w:rsidRPr="0077700D" w:rsidRDefault="004E3FDC" w:rsidP="00450B7A">
            <w:pPr>
              <w:spacing w:after="0" w:line="240" w:lineRule="auto"/>
              <w:rPr>
                <w:rFonts w:ascii="Cambria" w:eastAsia="Times New Roman" w:hAnsi="Cambria"/>
                <w:lang w:val="hr-HR"/>
              </w:rPr>
            </w:pPr>
          </w:p>
        </w:tc>
        <w:tc>
          <w:tcPr>
            <w:tcW w:w="330" w:type="pct"/>
            <w:tcBorders>
              <w:top w:val="single" w:sz="2" w:space="0" w:color="auto"/>
              <w:left w:val="single" w:sz="2" w:space="0" w:color="auto"/>
              <w:bottom w:val="single" w:sz="2" w:space="0" w:color="auto"/>
              <w:right w:val="single" w:sz="2" w:space="0" w:color="auto"/>
            </w:tcBorders>
            <w:vAlign w:val="center"/>
            <w:hideMark/>
          </w:tcPr>
          <w:p w14:paraId="5EFA1C15"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15</w:t>
            </w:r>
          </w:p>
        </w:tc>
        <w:tc>
          <w:tcPr>
            <w:tcW w:w="337" w:type="pct"/>
            <w:tcBorders>
              <w:top w:val="single" w:sz="2" w:space="0" w:color="auto"/>
              <w:left w:val="single" w:sz="2" w:space="0" w:color="auto"/>
              <w:bottom w:val="single" w:sz="2" w:space="0" w:color="auto"/>
              <w:right w:val="single" w:sz="2" w:space="0" w:color="auto"/>
            </w:tcBorders>
            <w:vAlign w:val="center"/>
          </w:tcPr>
          <w:p w14:paraId="3C142EB1"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15</w:t>
            </w:r>
          </w:p>
        </w:tc>
        <w:tc>
          <w:tcPr>
            <w:tcW w:w="358" w:type="pct"/>
            <w:tcBorders>
              <w:top w:val="single" w:sz="2" w:space="0" w:color="auto"/>
              <w:left w:val="single" w:sz="2" w:space="0" w:color="auto"/>
              <w:bottom w:val="single" w:sz="2" w:space="0" w:color="auto"/>
              <w:right w:val="single" w:sz="2" w:space="0" w:color="auto"/>
            </w:tcBorders>
            <w:vAlign w:val="center"/>
            <w:hideMark/>
          </w:tcPr>
          <w:p w14:paraId="6D5006B4"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0</w:t>
            </w:r>
          </w:p>
        </w:tc>
        <w:tc>
          <w:tcPr>
            <w:tcW w:w="492" w:type="pct"/>
            <w:tcBorders>
              <w:top w:val="single" w:sz="2" w:space="0" w:color="auto"/>
              <w:left w:val="single" w:sz="2" w:space="0" w:color="auto"/>
              <w:bottom w:val="single" w:sz="2" w:space="0" w:color="auto"/>
              <w:right w:val="single" w:sz="2" w:space="0" w:color="auto"/>
            </w:tcBorders>
            <w:vAlign w:val="center"/>
            <w:hideMark/>
          </w:tcPr>
          <w:p w14:paraId="321E0F64" w14:textId="77777777" w:rsidR="004E3FDC" w:rsidRPr="0077700D" w:rsidRDefault="004E3FDC" w:rsidP="00450B7A">
            <w:pPr>
              <w:spacing w:after="0" w:line="240" w:lineRule="auto"/>
              <w:jc w:val="center"/>
              <w:rPr>
                <w:rFonts w:ascii="Cambria" w:eastAsia="Times New Roman" w:hAnsi="Cambria"/>
                <w:bCs/>
                <w:lang w:val="hr-HR"/>
              </w:rPr>
            </w:pPr>
            <w:r w:rsidRPr="0077700D">
              <w:rPr>
                <w:rFonts w:ascii="Cambria" w:eastAsia="Times New Roman" w:hAnsi="Cambria"/>
                <w:bCs/>
                <w:lang w:val="hr-HR"/>
              </w:rPr>
              <w:t>3</w:t>
            </w:r>
          </w:p>
        </w:tc>
      </w:tr>
      <w:tr w:rsidR="004E3FDC" w:rsidRPr="0077700D" w14:paraId="2D53ED17" w14:textId="77777777" w:rsidTr="00450B7A">
        <w:trPr>
          <w:cantSplit/>
          <w:trHeight w:val="440"/>
          <w:jc w:val="center"/>
        </w:trPr>
        <w:tc>
          <w:tcPr>
            <w:tcW w:w="1493" w:type="pct"/>
            <w:tcBorders>
              <w:top w:val="single" w:sz="2" w:space="0" w:color="auto"/>
              <w:left w:val="single" w:sz="2" w:space="0" w:color="auto"/>
              <w:bottom w:val="single" w:sz="4" w:space="0" w:color="auto"/>
              <w:right w:val="single" w:sz="2" w:space="0" w:color="auto"/>
            </w:tcBorders>
            <w:vAlign w:val="center"/>
            <w:hideMark/>
          </w:tcPr>
          <w:p w14:paraId="524D4088" w14:textId="77777777" w:rsidR="004E3FDC" w:rsidRPr="0077700D" w:rsidRDefault="004E3FDC" w:rsidP="00450B7A">
            <w:pPr>
              <w:spacing w:before="20" w:after="20" w:line="240" w:lineRule="auto"/>
              <w:rPr>
                <w:rFonts w:ascii="Cambria" w:eastAsia="Times New Roman" w:hAnsi="Cambria"/>
                <w:b/>
                <w:lang w:val="hr-HR"/>
              </w:rPr>
            </w:pPr>
            <w:r w:rsidRPr="0077700D">
              <w:rPr>
                <w:rFonts w:ascii="Cambria" w:eastAsia="Times New Roman" w:hAnsi="Cambria"/>
                <w:b/>
                <w:lang w:val="hr-HR"/>
              </w:rPr>
              <w:t>118955</w:t>
            </w:r>
          </w:p>
          <w:p w14:paraId="78B19012" w14:textId="77777777" w:rsidR="004E3FDC" w:rsidRPr="0077700D" w:rsidRDefault="004E3FDC" w:rsidP="00450B7A">
            <w:pPr>
              <w:spacing w:after="0" w:line="240" w:lineRule="auto"/>
              <w:rPr>
                <w:rFonts w:ascii="Cambria" w:eastAsia="Times New Roman" w:hAnsi="Cambria"/>
                <w:lang w:val="hr-HR"/>
              </w:rPr>
            </w:pPr>
            <w:r w:rsidRPr="0077700D">
              <w:rPr>
                <w:rFonts w:ascii="Cambria" w:eastAsia="Times New Roman" w:hAnsi="Cambria"/>
                <w:lang w:val="hr-HR"/>
              </w:rPr>
              <w:t>Metodika nastave engleskog jezika II</w:t>
            </w:r>
          </w:p>
        </w:tc>
        <w:tc>
          <w:tcPr>
            <w:tcW w:w="1989" w:type="pct"/>
            <w:tcBorders>
              <w:top w:val="single" w:sz="2" w:space="0" w:color="auto"/>
              <w:left w:val="single" w:sz="2" w:space="0" w:color="auto"/>
              <w:bottom w:val="single" w:sz="4" w:space="0" w:color="auto"/>
              <w:right w:val="single" w:sz="2" w:space="0" w:color="auto"/>
            </w:tcBorders>
            <w:vAlign w:val="center"/>
            <w:hideMark/>
          </w:tcPr>
          <w:p w14:paraId="4EF10D9B" w14:textId="77777777" w:rsidR="004E3FDC" w:rsidRPr="0077700D" w:rsidRDefault="004E3FDC" w:rsidP="00450B7A">
            <w:pPr>
              <w:spacing w:after="0" w:line="240" w:lineRule="auto"/>
              <w:rPr>
                <w:rFonts w:ascii="Cambria" w:eastAsia="Times New Roman" w:hAnsi="Cambria"/>
                <w:lang w:val="hr-HR"/>
              </w:rPr>
            </w:pPr>
            <w:r w:rsidRPr="0077700D">
              <w:rPr>
                <w:rFonts w:ascii="Cambria" w:eastAsia="Times New Roman" w:hAnsi="Cambria"/>
                <w:lang w:val="hr-HR"/>
              </w:rPr>
              <w:t xml:space="preserve">naslovna doc. dr. sc. Marina Jajić </w:t>
            </w:r>
            <w:proofErr w:type="spellStart"/>
            <w:r w:rsidRPr="0077700D">
              <w:rPr>
                <w:rFonts w:ascii="Cambria" w:eastAsia="Times New Roman" w:hAnsi="Cambria"/>
                <w:lang w:val="hr-HR"/>
              </w:rPr>
              <w:t>Novogradec</w:t>
            </w:r>
            <w:proofErr w:type="spellEnd"/>
            <w:r w:rsidRPr="0077700D">
              <w:rPr>
                <w:rFonts w:ascii="Cambria" w:eastAsia="Times New Roman" w:hAnsi="Cambria"/>
                <w:lang w:val="hr-HR"/>
              </w:rPr>
              <w:t xml:space="preserve">  </w:t>
            </w:r>
          </w:p>
          <w:p w14:paraId="10A3D1F2" w14:textId="77777777" w:rsidR="004E3FDC" w:rsidRPr="0077700D" w:rsidRDefault="004E3FDC" w:rsidP="00450B7A">
            <w:pPr>
              <w:widowControl w:val="0"/>
              <w:spacing w:after="0" w:line="240" w:lineRule="auto"/>
              <w:rPr>
                <w:rFonts w:ascii="Cambria" w:eastAsia="Times New Roman" w:hAnsi="Cambria"/>
                <w:lang w:val="hr-HR"/>
              </w:rPr>
            </w:pPr>
            <w:r w:rsidRPr="0077700D">
              <w:rPr>
                <w:rFonts w:ascii="Cambria" w:eastAsia="Times New Roman" w:hAnsi="Cambria"/>
                <w:lang w:val="hr-HR"/>
              </w:rPr>
              <w:t>Jelena Gugić, asistentica</w:t>
            </w:r>
          </w:p>
        </w:tc>
        <w:tc>
          <w:tcPr>
            <w:tcW w:w="330" w:type="pct"/>
            <w:tcBorders>
              <w:top w:val="single" w:sz="2" w:space="0" w:color="auto"/>
              <w:left w:val="single" w:sz="2" w:space="0" w:color="auto"/>
              <w:bottom w:val="single" w:sz="4" w:space="0" w:color="auto"/>
              <w:right w:val="single" w:sz="2" w:space="0" w:color="auto"/>
            </w:tcBorders>
            <w:vAlign w:val="center"/>
            <w:hideMark/>
          </w:tcPr>
          <w:p w14:paraId="77B9F432"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15</w:t>
            </w:r>
          </w:p>
        </w:tc>
        <w:tc>
          <w:tcPr>
            <w:tcW w:w="337" w:type="pct"/>
            <w:tcBorders>
              <w:top w:val="single" w:sz="2" w:space="0" w:color="auto"/>
              <w:left w:val="single" w:sz="2" w:space="0" w:color="auto"/>
              <w:bottom w:val="single" w:sz="4" w:space="0" w:color="auto"/>
              <w:right w:val="single" w:sz="2" w:space="0" w:color="auto"/>
            </w:tcBorders>
            <w:vAlign w:val="center"/>
          </w:tcPr>
          <w:p w14:paraId="33DA26B7"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0</w:t>
            </w:r>
          </w:p>
        </w:tc>
        <w:tc>
          <w:tcPr>
            <w:tcW w:w="358" w:type="pct"/>
            <w:tcBorders>
              <w:top w:val="single" w:sz="2" w:space="0" w:color="auto"/>
              <w:left w:val="single" w:sz="2" w:space="0" w:color="auto"/>
              <w:bottom w:val="single" w:sz="4" w:space="0" w:color="auto"/>
              <w:right w:val="single" w:sz="2" w:space="0" w:color="auto"/>
            </w:tcBorders>
            <w:vAlign w:val="center"/>
            <w:hideMark/>
          </w:tcPr>
          <w:p w14:paraId="530BFA65"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30</w:t>
            </w:r>
          </w:p>
        </w:tc>
        <w:tc>
          <w:tcPr>
            <w:tcW w:w="492" w:type="pct"/>
            <w:tcBorders>
              <w:top w:val="single" w:sz="2" w:space="0" w:color="auto"/>
              <w:left w:val="single" w:sz="2" w:space="0" w:color="auto"/>
              <w:bottom w:val="single" w:sz="4" w:space="0" w:color="auto"/>
              <w:right w:val="single" w:sz="2" w:space="0" w:color="auto"/>
            </w:tcBorders>
            <w:vAlign w:val="center"/>
            <w:hideMark/>
          </w:tcPr>
          <w:p w14:paraId="0D91CC36" w14:textId="77777777" w:rsidR="004E3FDC" w:rsidRPr="0077700D" w:rsidRDefault="004E3FDC" w:rsidP="00450B7A">
            <w:pPr>
              <w:spacing w:after="0" w:line="240" w:lineRule="auto"/>
              <w:jc w:val="center"/>
              <w:rPr>
                <w:rFonts w:ascii="Cambria" w:eastAsia="Times New Roman" w:hAnsi="Cambria"/>
                <w:bCs/>
                <w:lang w:val="hr-HR"/>
              </w:rPr>
            </w:pPr>
            <w:r w:rsidRPr="0077700D">
              <w:rPr>
                <w:rFonts w:ascii="Cambria" w:eastAsia="Times New Roman" w:hAnsi="Cambria"/>
                <w:bCs/>
                <w:lang w:val="hr-HR"/>
              </w:rPr>
              <w:t>3</w:t>
            </w:r>
          </w:p>
        </w:tc>
      </w:tr>
      <w:tr w:rsidR="004E3FDC" w:rsidRPr="0077700D" w14:paraId="6E04516D" w14:textId="77777777" w:rsidTr="00450B7A">
        <w:trPr>
          <w:cantSplit/>
          <w:trHeight w:val="75"/>
          <w:jc w:val="center"/>
        </w:trPr>
        <w:tc>
          <w:tcPr>
            <w:tcW w:w="1493" w:type="pct"/>
            <w:tcBorders>
              <w:top w:val="single" w:sz="4" w:space="0" w:color="auto"/>
              <w:left w:val="single" w:sz="4" w:space="0" w:color="auto"/>
              <w:bottom w:val="single" w:sz="4" w:space="0" w:color="auto"/>
              <w:right w:val="single" w:sz="2" w:space="0" w:color="auto"/>
            </w:tcBorders>
            <w:vAlign w:val="center"/>
            <w:hideMark/>
          </w:tcPr>
          <w:p w14:paraId="07BB4B0C" w14:textId="77777777" w:rsidR="004E3FDC" w:rsidRPr="0077700D" w:rsidRDefault="004E3FDC" w:rsidP="00450B7A">
            <w:pPr>
              <w:spacing w:before="20" w:after="20" w:line="240" w:lineRule="auto"/>
              <w:rPr>
                <w:rFonts w:ascii="Cambria" w:eastAsia="Times New Roman" w:hAnsi="Cambria"/>
                <w:b/>
                <w:lang w:val="hr-HR"/>
              </w:rPr>
            </w:pPr>
            <w:r w:rsidRPr="0077700D">
              <w:rPr>
                <w:rFonts w:ascii="Cambria" w:eastAsia="Times New Roman" w:hAnsi="Cambria"/>
                <w:b/>
                <w:lang w:val="hr-HR"/>
              </w:rPr>
              <w:t>118957</w:t>
            </w:r>
          </w:p>
          <w:p w14:paraId="373ACDF9" w14:textId="77777777" w:rsidR="004E3FDC" w:rsidRPr="0077700D" w:rsidRDefault="004E3FDC" w:rsidP="00450B7A">
            <w:pPr>
              <w:spacing w:after="0" w:line="240" w:lineRule="auto"/>
              <w:rPr>
                <w:rFonts w:ascii="Cambria" w:eastAsia="Times New Roman" w:hAnsi="Cambria"/>
                <w:lang w:val="hr-HR"/>
              </w:rPr>
            </w:pPr>
            <w:r w:rsidRPr="0077700D">
              <w:rPr>
                <w:rFonts w:ascii="Cambria" w:eastAsia="Times New Roman" w:hAnsi="Cambria"/>
                <w:lang w:val="hr-HR"/>
              </w:rPr>
              <w:t>Čitanje stručne literature na engleskom jeziku</w:t>
            </w:r>
          </w:p>
        </w:tc>
        <w:tc>
          <w:tcPr>
            <w:tcW w:w="1989" w:type="pct"/>
            <w:tcBorders>
              <w:top w:val="single" w:sz="4" w:space="0" w:color="auto"/>
              <w:left w:val="single" w:sz="2" w:space="0" w:color="auto"/>
              <w:bottom w:val="single" w:sz="4" w:space="0" w:color="auto"/>
              <w:right w:val="single" w:sz="2" w:space="0" w:color="auto"/>
            </w:tcBorders>
            <w:vAlign w:val="center"/>
            <w:hideMark/>
          </w:tcPr>
          <w:p w14:paraId="65FC8F4A" w14:textId="77777777" w:rsidR="004E3FDC" w:rsidRPr="0077700D" w:rsidRDefault="004E3FDC" w:rsidP="00450B7A">
            <w:pPr>
              <w:spacing w:after="0" w:line="240" w:lineRule="auto"/>
              <w:rPr>
                <w:rFonts w:ascii="Cambria" w:eastAsia="Times New Roman" w:hAnsi="Cambria"/>
                <w:lang w:val="hr-HR"/>
              </w:rPr>
            </w:pPr>
            <w:r w:rsidRPr="0077700D">
              <w:rPr>
                <w:rFonts w:ascii="Cambria" w:eastAsia="Times New Roman" w:hAnsi="Cambria"/>
                <w:lang w:val="hr-HR"/>
              </w:rPr>
              <w:t xml:space="preserve">naslovna prof. dr. sc. Silva </w:t>
            </w:r>
            <w:proofErr w:type="spellStart"/>
            <w:r w:rsidRPr="0077700D">
              <w:rPr>
                <w:rFonts w:ascii="Cambria" w:eastAsia="Times New Roman" w:hAnsi="Cambria"/>
                <w:lang w:val="hr-HR"/>
              </w:rPr>
              <w:t>Bratož</w:t>
            </w:r>
            <w:proofErr w:type="spellEnd"/>
          </w:p>
          <w:p w14:paraId="2511EED0" w14:textId="77777777" w:rsidR="004E3FDC" w:rsidRPr="0077700D" w:rsidRDefault="004E3FDC" w:rsidP="00450B7A">
            <w:pPr>
              <w:widowControl w:val="0"/>
              <w:spacing w:after="0" w:line="240" w:lineRule="auto"/>
              <w:rPr>
                <w:rFonts w:ascii="Cambria" w:eastAsia="Times New Roman" w:hAnsi="Cambria"/>
                <w:lang w:val="hr-HR"/>
              </w:rPr>
            </w:pPr>
            <w:r w:rsidRPr="0077700D">
              <w:rPr>
                <w:rFonts w:ascii="Cambria" w:eastAsia="Times New Roman" w:hAnsi="Cambria"/>
                <w:lang w:val="hr-HR"/>
              </w:rPr>
              <w:t>Jelena Gugić, asistentica</w:t>
            </w:r>
          </w:p>
        </w:tc>
        <w:tc>
          <w:tcPr>
            <w:tcW w:w="330" w:type="pct"/>
            <w:tcBorders>
              <w:top w:val="single" w:sz="4" w:space="0" w:color="auto"/>
              <w:left w:val="single" w:sz="2" w:space="0" w:color="auto"/>
              <w:bottom w:val="single" w:sz="4" w:space="0" w:color="auto"/>
              <w:right w:val="single" w:sz="2" w:space="0" w:color="auto"/>
            </w:tcBorders>
            <w:vAlign w:val="center"/>
            <w:hideMark/>
          </w:tcPr>
          <w:p w14:paraId="3C036EBD"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0</w:t>
            </w:r>
          </w:p>
        </w:tc>
        <w:tc>
          <w:tcPr>
            <w:tcW w:w="337" w:type="pct"/>
            <w:tcBorders>
              <w:top w:val="single" w:sz="4" w:space="0" w:color="auto"/>
              <w:left w:val="single" w:sz="2" w:space="0" w:color="auto"/>
              <w:bottom w:val="single" w:sz="4" w:space="0" w:color="auto"/>
              <w:right w:val="single" w:sz="2" w:space="0" w:color="auto"/>
            </w:tcBorders>
            <w:vAlign w:val="center"/>
          </w:tcPr>
          <w:p w14:paraId="6ABC25F2"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0</w:t>
            </w:r>
          </w:p>
        </w:tc>
        <w:tc>
          <w:tcPr>
            <w:tcW w:w="358" w:type="pct"/>
            <w:tcBorders>
              <w:top w:val="single" w:sz="4" w:space="0" w:color="auto"/>
              <w:left w:val="single" w:sz="2" w:space="0" w:color="auto"/>
              <w:bottom w:val="single" w:sz="4" w:space="0" w:color="auto"/>
              <w:right w:val="single" w:sz="2" w:space="0" w:color="auto"/>
            </w:tcBorders>
            <w:vAlign w:val="center"/>
            <w:hideMark/>
          </w:tcPr>
          <w:p w14:paraId="4F089439"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30</w:t>
            </w:r>
          </w:p>
        </w:tc>
        <w:tc>
          <w:tcPr>
            <w:tcW w:w="492" w:type="pct"/>
            <w:tcBorders>
              <w:top w:val="single" w:sz="4" w:space="0" w:color="auto"/>
              <w:left w:val="single" w:sz="2" w:space="0" w:color="auto"/>
              <w:bottom w:val="single" w:sz="4" w:space="0" w:color="auto"/>
              <w:right w:val="single" w:sz="4" w:space="0" w:color="auto"/>
            </w:tcBorders>
            <w:vAlign w:val="center"/>
            <w:hideMark/>
          </w:tcPr>
          <w:p w14:paraId="172B2A59" w14:textId="77777777" w:rsidR="004E3FDC" w:rsidRPr="0077700D" w:rsidRDefault="004E3FDC" w:rsidP="00450B7A">
            <w:pPr>
              <w:spacing w:after="0" w:line="240" w:lineRule="auto"/>
              <w:jc w:val="center"/>
              <w:rPr>
                <w:rFonts w:ascii="Cambria" w:eastAsia="Times New Roman" w:hAnsi="Cambria"/>
                <w:bCs/>
                <w:lang w:val="hr-HR"/>
              </w:rPr>
            </w:pPr>
            <w:r w:rsidRPr="0077700D">
              <w:rPr>
                <w:rFonts w:ascii="Cambria" w:eastAsia="Times New Roman" w:hAnsi="Cambria"/>
                <w:bCs/>
                <w:lang w:val="hr-HR"/>
              </w:rPr>
              <w:t>2</w:t>
            </w:r>
          </w:p>
        </w:tc>
      </w:tr>
      <w:tr w:rsidR="004E3FDC" w:rsidRPr="0077700D" w14:paraId="76739C6A" w14:textId="77777777" w:rsidTr="00450B7A">
        <w:trPr>
          <w:cantSplit/>
          <w:trHeight w:val="75"/>
          <w:jc w:val="center"/>
        </w:trPr>
        <w:tc>
          <w:tcPr>
            <w:tcW w:w="1493" w:type="pct"/>
            <w:tcBorders>
              <w:top w:val="single" w:sz="4" w:space="0" w:color="auto"/>
              <w:left w:val="single" w:sz="4" w:space="0" w:color="auto"/>
              <w:bottom w:val="single" w:sz="4" w:space="0" w:color="auto"/>
              <w:right w:val="single" w:sz="2" w:space="0" w:color="auto"/>
            </w:tcBorders>
            <w:vAlign w:val="center"/>
          </w:tcPr>
          <w:p w14:paraId="36B4AC2C" w14:textId="77777777" w:rsidR="004E3FDC" w:rsidRPr="0077700D" w:rsidRDefault="004E3FDC" w:rsidP="00450B7A">
            <w:pPr>
              <w:spacing w:before="20" w:after="20" w:line="240" w:lineRule="auto"/>
              <w:rPr>
                <w:rFonts w:ascii="Cambria" w:eastAsia="Times New Roman" w:hAnsi="Cambria"/>
                <w:b/>
                <w:lang w:val="hr-HR"/>
              </w:rPr>
            </w:pPr>
            <w:r w:rsidRPr="0077700D">
              <w:rPr>
                <w:rFonts w:ascii="Cambria" w:eastAsia="Times New Roman" w:hAnsi="Cambria"/>
                <w:b/>
                <w:lang w:val="hr-HR"/>
              </w:rPr>
              <w:t>Izborni modul II: 10915</w:t>
            </w:r>
          </w:p>
        </w:tc>
        <w:tc>
          <w:tcPr>
            <w:tcW w:w="1989" w:type="pct"/>
            <w:tcBorders>
              <w:top w:val="single" w:sz="4" w:space="0" w:color="auto"/>
              <w:left w:val="single" w:sz="2" w:space="0" w:color="auto"/>
              <w:bottom w:val="single" w:sz="4" w:space="0" w:color="auto"/>
              <w:right w:val="single" w:sz="2" w:space="0" w:color="auto"/>
            </w:tcBorders>
            <w:vAlign w:val="center"/>
          </w:tcPr>
          <w:p w14:paraId="4C3DEB47" w14:textId="77777777" w:rsidR="004E3FDC" w:rsidRPr="0077700D" w:rsidRDefault="004E3FDC" w:rsidP="00450B7A">
            <w:pPr>
              <w:spacing w:after="0" w:line="240" w:lineRule="auto"/>
              <w:rPr>
                <w:rFonts w:ascii="Cambria" w:eastAsia="Times New Roman" w:hAnsi="Cambria"/>
                <w:lang w:val="hr-HR"/>
              </w:rPr>
            </w:pPr>
          </w:p>
        </w:tc>
        <w:tc>
          <w:tcPr>
            <w:tcW w:w="330" w:type="pct"/>
            <w:tcBorders>
              <w:top w:val="single" w:sz="4" w:space="0" w:color="auto"/>
              <w:left w:val="single" w:sz="2" w:space="0" w:color="auto"/>
              <w:bottom w:val="single" w:sz="4" w:space="0" w:color="auto"/>
              <w:right w:val="single" w:sz="2" w:space="0" w:color="auto"/>
            </w:tcBorders>
            <w:vAlign w:val="center"/>
          </w:tcPr>
          <w:p w14:paraId="7E77CDB8" w14:textId="77777777" w:rsidR="004E3FDC" w:rsidRPr="0077700D" w:rsidRDefault="004E3FDC" w:rsidP="00450B7A">
            <w:pPr>
              <w:spacing w:after="0" w:line="240" w:lineRule="auto"/>
              <w:jc w:val="center"/>
              <w:rPr>
                <w:rFonts w:ascii="Cambria" w:eastAsia="Times New Roman" w:hAnsi="Cambria"/>
                <w:lang w:val="hr-HR"/>
              </w:rPr>
            </w:pPr>
          </w:p>
        </w:tc>
        <w:tc>
          <w:tcPr>
            <w:tcW w:w="337" w:type="pct"/>
            <w:tcBorders>
              <w:top w:val="single" w:sz="4" w:space="0" w:color="auto"/>
              <w:left w:val="single" w:sz="2" w:space="0" w:color="auto"/>
              <w:bottom w:val="single" w:sz="4" w:space="0" w:color="auto"/>
              <w:right w:val="single" w:sz="2" w:space="0" w:color="auto"/>
            </w:tcBorders>
            <w:vAlign w:val="center"/>
          </w:tcPr>
          <w:p w14:paraId="551BFE42" w14:textId="77777777" w:rsidR="004E3FDC" w:rsidRPr="0077700D" w:rsidRDefault="004E3FDC" w:rsidP="00450B7A">
            <w:pPr>
              <w:spacing w:after="0" w:line="240" w:lineRule="auto"/>
              <w:jc w:val="center"/>
              <w:rPr>
                <w:rFonts w:ascii="Cambria" w:eastAsia="Times New Roman" w:hAnsi="Cambria"/>
                <w:lang w:val="hr-HR"/>
              </w:rPr>
            </w:pPr>
          </w:p>
        </w:tc>
        <w:tc>
          <w:tcPr>
            <w:tcW w:w="358" w:type="pct"/>
            <w:tcBorders>
              <w:top w:val="single" w:sz="4" w:space="0" w:color="auto"/>
              <w:left w:val="single" w:sz="2" w:space="0" w:color="auto"/>
              <w:bottom w:val="single" w:sz="4" w:space="0" w:color="auto"/>
              <w:right w:val="single" w:sz="2" w:space="0" w:color="auto"/>
            </w:tcBorders>
            <w:vAlign w:val="center"/>
          </w:tcPr>
          <w:p w14:paraId="2DF611E7" w14:textId="77777777" w:rsidR="004E3FDC" w:rsidRPr="0077700D" w:rsidRDefault="004E3FDC" w:rsidP="00450B7A">
            <w:pPr>
              <w:spacing w:after="0" w:line="240" w:lineRule="auto"/>
              <w:jc w:val="center"/>
              <w:rPr>
                <w:rFonts w:ascii="Cambria" w:eastAsia="Times New Roman" w:hAnsi="Cambria"/>
                <w:lang w:val="hr-HR"/>
              </w:rPr>
            </w:pPr>
          </w:p>
        </w:tc>
        <w:tc>
          <w:tcPr>
            <w:tcW w:w="492" w:type="pct"/>
            <w:tcBorders>
              <w:top w:val="single" w:sz="4" w:space="0" w:color="auto"/>
              <w:left w:val="single" w:sz="2" w:space="0" w:color="auto"/>
              <w:bottom w:val="single" w:sz="4" w:space="0" w:color="auto"/>
              <w:right w:val="single" w:sz="4" w:space="0" w:color="auto"/>
            </w:tcBorders>
            <w:vAlign w:val="center"/>
          </w:tcPr>
          <w:p w14:paraId="5419A249" w14:textId="77777777" w:rsidR="004E3FDC" w:rsidRPr="0077700D" w:rsidRDefault="004E3FDC" w:rsidP="00450B7A">
            <w:pPr>
              <w:spacing w:after="0" w:line="240" w:lineRule="auto"/>
              <w:jc w:val="center"/>
              <w:rPr>
                <w:rFonts w:ascii="Cambria" w:eastAsia="Times New Roman" w:hAnsi="Cambria"/>
                <w:bCs/>
                <w:lang w:val="hr-HR"/>
              </w:rPr>
            </w:pPr>
          </w:p>
        </w:tc>
      </w:tr>
      <w:tr w:rsidR="004E3FDC" w:rsidRPr="0077700D" w14:paraId="3D82B16C" w14:textId="77777777" w:rsidTr="00450B7A">
        <w:trPr>
          <w:cantSplit/>
          <w:trHeight w:val="75"/>
          <w:jc w:val="center"/>
        </w:trPr>
        <w:tc>
          <w:tcPr>
            <w:tcW w:w="1493" w:type="pct"/>
            <w:tcBorders>
              <w:top w:val="single" w:sz="4" w:space="0" w:color="auto"/>
              <w:left w:val="single" w:sz="4" w:space="0" w:color="auto"/>
              <w:bottom w:val="single" w:sz="4" w:space="0" w:color="auto"/>
              <w:right w:val="single" w:sz="2" w:space="0" w:color="auto"/>
            </w:tcBorders>
            <w:vAlign w:val="center"/>
          </w:tcPr>
          <w:p w14:paraId="4C447CCD" w14:textId="77777777" w:rsidR="004E3FDC" w:rsidRPr="0077700D" w:rsidRDefault="004E3FDC" w:rsidP="00450B7A">
            <w:pPr>
              <w:spacing w:before="20" w:after="20" w:line="240" w:lineRule="auto"/>
              <w:rPr>
                <w:rFonts w:ascii="Cambria" w:eastAsia="Times New Roman" w:hAnsi="Cambria"/>
                <w:b/>
                <w:lang w:val="hr-HR"/>
              </w:rPr>
            </w:pPr>
            <w:r w:rsidRPr="0077700D">
              <w:rPr>
                <w:rFonts w:ascii="Cambria" w:eastAsia="Times New Roman" w:hAnsi="Cambria"/>
                <w:b/>
                <w:lang w:val="hr-HR"/>
              </w:rPr>
              <w:t>118958</w:t>
            </w:r>
          </w:p>
          <w:p w14:paraId="7A74ACB2" w14:textId="77777777" w:rsidR="004E3FDC" w:rsidRPr="0077700D" w:rsidRDefault="004E3FDC" w:rsidP="00450B7A">
            <w:pPr>
              <w:spacing w:before="20" w:after="20" w:line="240" w:lineRule="auto"/>
              <w:rPr>
                <w:rFonts w:ascii="Cambria" w:eastAsia="Times New Roman" w:hAnsi="Cambria"/>
                <w:b/>
                <w:lang w:val="hr-HR"/>
              </w:rPr>
            </w:pPr>
            <w:r w:rsidRPr="0077700D">
              <w:rPr>
                <w:rFonts w:ascii="Cambria" w:eastAsia="Times New Roman" w:hAnsi="Cambria"/>
                <w:lang w:val="hr-HR"/>
              </w:rPr>
              <w:t>Metodika nastave informatike II</w:t>
            </w:r>
          </w:p>
        </w:tc>
        <w:tc>
          <w:tcPr>
            <w:tcW w:w="1989" w:type="pct"/>
            <w:tcBorders>
              <w:top w:val="single" w:sz="4" w:space="0" w:color="auto"/>
              <w:left w:val="single" w:sz="2" w:space="0" w:color="auto"/>
              <w:bottom w:val="single" w:sz="4" w:space="0" w:color="auto"/>
              <w:right w:val="single" w:sz="2" w:space="0" w:color="auto"/>
            </w:tcBorders>
            <w:vAlign w:val="center"/>
          </w:tcPr>
          <w:p w14:paraId="69121BE7" w14:textId="77777777" w:rsidR="004E3FDC" w:rsidRDefault="004E3FDC" w:rsidP="00450B7A">
            <w:pPr>
              <w:spacing w:after="0" w:line="240" w:lineRule="auto"/>
              <w:rPr>
                <w:rFonts w:ascii="Cambria" w:eastAsia="Times New Roman" w:hAnsi="Cambria"/>
                <w:lang w:val="hr-HR"/>
              </w:rPr>
            </w:pPr>
            <w:r w:rsidRPr="0077700D">
              <w:rPr>
                <w:rFonts w:ascii="Cambria" w:eastAsia="Times New Roman" w:hAnsi="Cambria"/>
                <w:lang w:val="hr-HR"/>
              </w:rPr>
              <w:t>prof. dr. sc. Maja Ružić</w:t>
            </w:r>
          </w:p>
          <w:p w14:paraId="76C554D7" w14:textId="77777777" w:rsidR="004E3FDC" w:rsidRPr="0077700D" w:rsidRDefault="004E3FDC" w:rsidP="00450B7A">
            <w:pPr>
              <w:spacing w:after="0" w:line="240" w:lineRule="auto"/>
              <w:rPr>
                <w:rFonts w:ascii="Cambria" w:eastAsia="Times New Roman" w:hAnsi="Cambria"/>
                <w:lang w:val="hr-HR"/>
              </w:rPr>
            </w:pPr>
            <w:r w:rsidRPr="00CF6A90">
              <w:rPr>
                <w:rFonts w:ascii="Cambria" w:eastAsia="Times New Roman" w:hAnsi="Cambria"/>
                <w:lang w:val="hr-HR"/>
              </w:rPr>
              <w:t xml:space="preserve">Janko </w:t>
            </w:r>
            <w:proofErr w:type="spellStart"/>
            <w:r w:rsidRPr="00CF6A90">
              <w:rPr>
                <w:rFonts w:ascii="Cambria" w:eastAsia="Times New Roman" w:hAnsi="Cambria"/>
                <w:lang w:val="hr-HR"/>
              </w:rPr>
              <w:t>Žufić</w:t>
            </w:r>
            <w:proofErr w:type="spellEnd"/>
            <w:r w:rsidRPr="00CF6A90">
              <w:rPr>
                <w:rFonts w:ascii="Cambria" w:eastAsia="Times New Roman" w:hAnsi="Cambria"/>
                <w:lang w:val="hr-HR"/>
              </w:rPr>
              <w:t>, v. pred.</w:t>
            </w:r>
          </w:p>
        </w:tc>
        <w:tc>
          <w:tcPr>
            <w:tcW w:w="330" w:type="pct"/>
            <w:tcBorders>
              <w:top w:val="single" w:sz="4" w:space="0" w:color="auto"/>
              <w:left w:val="single" w:sz="2" w:space="0" w:color="auto"/>
              <w:bottom w:val="single" w:sz="4" w:space="0" w:color="auto"/>
              <w:right w:val="single" w:sz="2" w:space="0" w:color="auto"/>
            </w:tcBorders>
            <w:vAlign w:val="center"/>
          </w:tcPr>
          <w:p w14:paraId="0B54B9D7"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15</w:t>
            </w:r>
          </w:p>
        </w:tc>
        <w:tc>
          <w:tcPr>
            <w:tcW w:w="337" w:type="pct"/>
            <w:tcBorders>
              <w:top w:val="single" w:sz="4" w:space="0" w:color="auto"/>
              <w:left w:val="single" w:sz="2" w:space="0" w:color="auto"/>
              <w:bottom w:val="single" w:sz="4" w:space="0" w:color="auto"/>
              <w:right w:val="single" w:sz="2" w:space="0" w:color="auto"/>
            </w:tcBorders>
            <w:vAlign w:val="center"/>
          </w:tcPr>
          <w:p w14:paraId="4C6A18CA"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0</w:t>
            </w:r>
          </w:p>
        </w:tc>
        <w:tc>
          <w:tcPr>
            <w:tcW w:w="358" w:type="pct"/>
            <w:tcBorders>
              <w:top w:val="single" w:sz="4" w:space="0" w:color="auto"/>
              <w:left w:val="single" w:sz="2" w:space="0" w:color="auto"/>
              <w:bottom w:val="single" w:sz="4" w:space="0" w:color="auto"/>
              <w:right w:val="single" w:sz="2" w:space="0" w:color="auto"/>
            </w:tcBorders>
            <w:vAlign w:val="center"/>
          </w:tcPr>
          <w:p w14:paraId="1D45D341"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45</w:t>
            </w:r>
          </w:p>
        </w:tc>
        <w:tc>
          <w:tcPr>
            <w:tcW w:w="492" w:type="pct"/>
            <w:tcBorders>
              <w:top w:val="single" w:sz="4" w:space="0" w:color="auto"/>
              <w:left w:val="single" w:sz="2" w:space="0" w:color="auto"/>
              <w:bottom w:val="single" w:sz="4" w:space="0" w:color="auto"/>
              <w:right w:val="single" w:sz="4" w:space="0" w:color="auto"/>
            </w:tcBorders>
            <w:vAlign w:val="center"/>
          </w:tcPr>
          <w:p w14:paraId="1AC61E3C" w14:textId="77777777" w:rsidR="004E3FDC" w:rsidRPr="0077700D" w:rsidRDefault="004E3FDC" w:rsidP="00450B7A">
            <w:pPr>
              <w:spacing w:after="0" w:line="240" w:lineRule="auto"/>
              <w:jc w:val="center"/>
              <w:rPr>
                <w:rFonts w:ascii="Cambria" w:eastAsia="Times New Roman" w:hAnsi="Cambria"/>
                <w:bCs/>
                <w:lang w:val="hr-HR"/>
              </w:rPr>
            </w:pPr>
            <w:r w:rsidRPr="0077700D">
              <w:rPr>
                <w:rFonts w:ascii="Cambria" w:eastAsia="Times New Roman" w:hAnsi="Cambria"/>
                <w:bCs/>
                <w:lang w:val="hr-HR"/>
              </w:rPr>
              <w:t>4</w:t>
            </w:r>
          </w:p>
        </w:tc>
      </w:tr>
      <w:tr w:rsidR="004E3FDC" w:rsidRPr="0077700D" w14:paraId="2F990FBB" w14:textId="77777777" w:rsidTr="00450B7A">
        <w:trPr>
          <w:cantSplit/>
          <w:trHeight w:val="75"/>
          <w:jc w:val="center"/>
        </w:trPr>
        <w:tc>
          <w:tcPr>
            <w:tcW w:w="1493" w:type="pct"/>
            <w:tcBorders>
              <w:top w:val="single" w:sz="4" w:space="0" w:color="auto"/>
              <w:left w:val="single" w:sz="4" w:space="0" w:color="auto"/>
              <w:bottom w:val="single" w:sz="4" w:space="0" w:color="auto"/>
              <w:right w:val="single" w:sz="2" w:space="0" w:color="auto"/>
            </w:tcBorders>
            <w:vAlign w:val="center"/>
          </w:tcPr>
          <w:p w14:paraId="59DD5CF7" w14:textId="77777777" w:rsidR="004E3FDC" w:rsidRPr="0077700D" w:rsidRDefault="004E3FDC" w:rsidP="00450B7A">
            <w:pPr>
              <w:spacing w:before="20" w:after="20" w:line="240" w:lineRule="auto"/>
              <w:rPr>
                <w:rFonts w:ascii="Cambria" w:eastAsia="Times New Roman" w:hAnsi="Cambria"/>
                <w:b/>
                <w:lang w:val="hr-HR"/>
              </w:rPr>
            </w:pPr>
            <w:r w:rsidRPr="0077700D">
              <w:rPr>
                <w:rFonts w:ascii="Cambria" w:eastAsia="Times New Roman" w:hAnsi="Cambria"/>
                <w:b/>
                <w:lang w:val="hr-HR"/>
              </w:rPr>
              <w:lastRenderedPageBreak/>
              <w:t>118959</w:t>
            </w:r>
          </w:p>
          <w:p w14:paraId="1C445CAE" w14:textId="77777777" w:rsidR="004E3FDC" w:rsidRPr="0077700D" w:rsidRDefault="004E3FDC" w:rsidP="00450B7A">
            <w:pPr>
              <w:spacing w:before="20" w:after="20" w:line="240" w:lineRule="auto"/>
              <w:rPr>
                <w:rFonts w:ascii="Cambria" w:eastAsia="Times New Roman" w:hAnsi="Cambria"/>
                <w:b/>
                <w:lang w:val="hr-HR"/>
              </w:rPr>
            </w:pPr>
            <w:r w:rsidRPr="0077700D">
              <w:rPr>
                <w:rFonts w:ascii="Cambria" w:eastAsia="Times New Roman" w:hAnsi="Cambria"/>
                <w:lang w:val="hr-HR"/>
              </w:rPr>
              <w:t>Računalni praktikum</w:t>
            </w:r>
          </w:p>
        </w:tc>
        <w:tc>
          <w:tcPr>
            <w:tcW w:w="1989" w:type="pct"/>
            <w:tcBorders>
              <w:top w:val="single" w:sz="4" w:space="0" w:color="auto"/>
              <w:left w:val="single" w:sz="2" w:space="0" w:color="auto"/>
              <w:bottom w:val="single" w:sz="4" w:space="0" w:color="auto"/>
              <w:right w:val="single" w:sz="2" w:space="0" w:color="auto"/>
            </w:tcBorders>
            <w:vAlign w:val="center"/>
          </w:tcPr>
          <w:p w14:paraId="05A436BD" w14:textId="77777777" w:rsidR="004E3FDC" w:rsidRPr="00D2758E" w:rsidRDefault="004E3FDC" w:rsidP="00450B7A">
            <w:pPr>
              <w:spacing w:after="0" w:line="240" w:lineRule="auto"/>
              <w:rPr>
                <w:rFonts w:ascii="Cambria" w:eastAsia="Times New Roman" w:hAnsi="Cambria"/>
                <w:lang w:val="hr-HR"/>
              </w:rPr>
            </w:pPr>
            <w:r>
              <w:rPr>
                <w:rFonts w:ascii="Cambria" w:eastAsia="Times New Roman" w:hAnsi="Cambria"/>
                <w:lang w:val="hr-HR"/>
              </w:rPr>
              <w:t xml:space="preserve">naslovna </w:t>
            </w:r>
            <w:r w:rsidRPr="00B22A97">
              <w:rPr>
                <w:rFonts w:ascii="Cambria" w:eastAsia="Times New Roman" w:hAnsi="Cambria"/>
                <w:lang w:val="hr-HR"/>
              </w:rPr>
              <w:t xml:space="preserve">doc. dr. sc. Elena </w:t>
            </w:r>
            <w:proofErr w:type="spellStart"/>
            <w:r w:rsidRPr="00B22A97">
              <w:rPr>
                <w:rFonts w:ascii="Cambria" w:eastAsia="Times New Roman" w:hAnsi="Cambria"/>
                <w:lang w:val="hr-HR"/>
              </w:rPr>
              <w:t>Krelja</w:t>
            </w:r>
            <w:proofErr w:type="spellEnd"/>
            <w:r w:rsidRPr="00B22A97">
              <w:rPr>
                <w:rFonts w:ascii="Cambria" w:eastAsia="Times New Roman" w:hAnsi="Cambria"/>
                <w:lang w:val="hr-HR"/>
              </w:rPr>
              <w:t xml:space="preserve"> </w:t>
            </w:r>
            <w:proofErr w:type="spellStart"/>
            <w:r w:rsidRPr="00B22A97">
              <w:rPr>
                <w:rFonts w:ascii="Cambria" w:eastAsia="Times New Roman" w:hAnsi="Cambria"/>
                <w:lang w:val="hr-HR"/>
              </w:rPr>
              <w:t>Kurelović</w:t>
            </w:r>
            <w:proofErr w:type="spellEnd"/>
          </w:p>
          <w:p w14:paraId="07D494A1" w14:textId="77777777" w:rsidR="004E3FDC" w:rsidRPr="0077700D" w:rsidRDefault="004E3FDC" w:rsidP="00450B7A">
            <w:pPr>
              <w:spacing w:after="0" w:line="240" w:lineRule="auto"/>
              <w:rPr>
                <w:rFonts w:ascii="Cambria" w:eastAsia="Times New Roman" w:hAnsi="Cambria"/>
                <w:lang w:val="hr-HR"/>
              </w:rPr>
            </w:pPr>
            <w:r w:rsidRPr="0077700D">
              <w:rPr>
                <w:rFonts w:ascii="Cambria" w:eastAsia="Times New Roman" w:hAnsi="Cambria"/>
                <w:lang w:val="hr-HR"/>
              </w:rPr>
              <w:t xml:space="preserve">Janko </w:t>
            </w:r>
            <w:proofErr w:type="spellStart"/>
            <w:r w:rsidRPr="0077700D">
              <w:rPr>
                <w:rFonts w:ascii="Cambria" w:eastAsia="Times New Roman" w:hAnsi="Cambria"/>
                <w:lang w:val="hr-HR"/>
              </w:rPr>
              <w:t>Žufić</w:t>
            </w:r>
            <w:proofErr w:type="spellEnd"/>
            <w:r w:rsidRPr="0077700D">
              <w:rPr>
                <w:rFonts w:ascii="Cambria" w:eastAsia="Times New Roman" w:hAnsi="Cambria"/>
                <w:lang w:val="hr-HR"/>
              </w:rPr>
              <w:t>, v. pred.</w:t>
            </w:r>
          </w:p>
        </w:tc>
        <w:tc>
          <w:tcPr>
            <w:tcW w:w="330" w:type="pct"/>
            <w:tcBorders>
              <w:top w:val="single" w:sz="4" w:space="0" w:color="auto"/>
              <w:left w:val="single" w:sz="2" w:space="0" w:color="auto"/>
              <w:bottom w:val="single" w:sz="4" w:space="0" w:color="auto"/>
              <w:right w:val="single" w:sz="2" w:space="0" w:color="auto"/>
            </w:tcBorders>
            <w:vAlign w:val="center"/>
          </w:tcPr>
          <w:p w14:paraId="01569F29"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15</w:t>
            </w:r>
          </w:p>
        </w:tc>
        <w:tc>
          <w:tcPr>
            <w:tcW w:w="337" w:type="pct"/>
            <w:tcBorders>
              <w:top w:val="single" w:sz="4" w:space="0" w:color="auto"/>
              <w:left w:val="single" w:sz="2" w:space="0" w:color="auto"/>
              <w:bottom w:val="single" w:sz="4" w:space="0" w:color="auto"/>
              <w:right w:val="single" w:sz="2" w:space="0" w:color="auto"/>
            </w:tcBorders>
            <w:vAlign w:val="center"/>
          </w:tcPr>
          <w:p w14:paraId="7324A3FC"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0</w:t>
            </w:r>
          </w:p>
        </w:tc>
        <w:tc>
          <w:tcPr>
            <w:tcW w:w="358" w:type="pct"/>
            <w:tcBorders>
              <w:top w:val="single" w:sz="4" w:space="0" w:color="auto"/>
              <w:left w:val="single" w:sz="2" w:space="0" w:color="auto"/>
              <w:bottom w:val="single" w:sz="4" w:space="0" w:color="auto"/>
              <w:right w:val="single" w:sz="2" w:space="0" w:color="auto"/>
            </w:tcBorders>
            <w:vAlign w:val="center"/>
          </w:tcPr>
          <w:p w14:paraId="5FB3EE50"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30</w:t>
            </w:r>
          </w:p>
        </w:tc>
        <w:tc>
          <w:tcPr>
            <w:tcW w:w="492" w:type="pct"/>
            <w:tcBorders>
              <w:top w:val="single" w:sz="4" w:space="0" w:color="auto"/>
              <w:left w:val="single" w:sz="2" w:space="0" w:color="auto"/>
              <w:bottom w:val="single" w:sz="4" w:space="0" w:color="auto"/>
              <w:right w:val="single" w:sz="4" w:space="0" w:color="auto"/>
            </w:tcBorders>
            <w:vAlign w:val="center"/>
          </w:tcPr>
          <w:p w14:paraId="14CA4A82" w14:textId="77777777" w:rsidR="004E3FDC" w:rsidRPr="0077700D" w:rsidRDefault="004E3FDC" w:rsidP="00450B7A">
            <w:pPr>
              <w:spacing w:after="0" w:line="240" w:lineRule="auto"/>
              <w:jc w:val="center"/>
              <w:rPr>
                <w:rFonts w:ascii="Cambria" w:eastAsia="Times New Roman" w:hAnsi="Cambria"/>
                <w:bCs/>
                <w:lang w:val="hr-HR"/>
              </w:rPr>
            </w:pPr>
            <w:r w:rsidRPr="0077700D">
              <w:rPr>
                <w:rFonts w:ascii="Cambria" w:eastAsia="Times New Roman" w:hAnsi="Cambria"/>
                <w:bCs/>
                <w:lang w:val="hr-HR"/>
              </w:rPr>
              <w:t>4</w:t>
            </w:r>
          </w:p>
        </w:tc>
      </w:tr>
    </w:tbl>
    <w:p w14:paraId="1DFD3CBF" w14:textId="77777777" w:rsidR="004E3FDC" w:rsidRPr="0077700D" w:rsidRDefault="004E3FDC" w:rsidP="004E3FDC">
      <w:pPr>
        <w:rPr>
          <w:rFonts w:ascii="Cambria" w:hAnsi="Cambria"/>
        </w:rPr>
      </w:pPr>
    </w:p>
    <w:tbl>
      <w:tblPr>
        <w:tblW w:w="4924"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082"/>
        <w:gridCol w:w="1868"/>
        <w:gridCol w:w="3937"/>
        <w:gridCol w:w="8"/>
        <w:gridCol w:w="628"/>
        <w:gridCol w:w="16"/>
        <w:gridCol w:w="611"/>
        <w:gridCol w:w="55"/>
        <w:gridCol w:w="707"/>
        <w:gridCol w:w="22"/>
        <w:gridCol w:w="947"/>
      </w:tblGrid>
      <w:tr w:rsidR="004E3FDC" w:rsidRPr="0077700D" w14:paraId="62B31C7A" w14:textId="77777777" w:rsidTr="00450B7A">
        <w:trPr>
          <w:cantSplit/>
          <w:jc w:val="center"/>
        </w:trPr>
        <w:tc>
          <w:tcPr>
            <w:tcW w:w="5000" w:type="pct"/>
            <w:gridSpan w:val="11"/>
            <w:tcBorders>
              <w:top w:val="single" w:sz="2" w:space="0" w:color="auto"/>
              <w:left w:val="single" w:sz="2" w:space="0" w:color="auto"/>
              <w:bottom w:val="single" w:sz="2" w:space="0" w:color="auto"/>
              <w:right w:val="single" w:sz="2" w:space="0" w:color="auto"/>
            </w:tcBorders>
            <w:shd w:val="clear" w:color="auto" w:fill="33CCCC"/>
            <w:vAlign w:val="center"/>
            <w:hideMark/>
          </w:tcPr>
          <w:p w14:paraId="17102DA0" w14:textId="77777777" w:rsidR="004E3FDC" w:rsidRPr="0077700D" w:rsidRDefault="004E3FDC" w:rsidP="00450B7A">
            <w:pPr>
              <w:spacing w:after="0" w:line="240" w:lineRule="auto"/>
              <w:jc w:val="center"/>
              <w:rPr>
                <w:rFonts w:ascii="Cambria" w:eastAsia="Times New Roman" w:hAnsi="Cambria"/>
                <w:b/>
                <w:bCs/>
                <w:lang w:val="hr-HR"/>
              </w:rPr>
            </w:pPr>
            <w:r w:rsidRPr="0077700D">
              <w:rPr>
                <w:rFonts w:ascii="Cambria" w:eastAsia="Times New Roman" w:hAnsi="Cambria"/>
                <w:b/>
                <w:bCs/>
                <w:lang w:val="hr-HR"/>
              </w:rPr>
              <w:t>X. semestar</w:t>
            </w:r>
          </w:p>
        </w:tc>
      </w:tr>
      <w:tr w:rsidR="004E3FDC" w:rsidRPr="0077700D" w14:paraId="468A7B96" w14:textId="77777777" w:rsidTr="00450B7A">
        <w:trPr>
          <w:cantSplit/>
          <w:jc w:val="center"/>
        </w:trPr>
        <w:tc>
          <w:tcPr>
            <w:tcW w:w="1493" w:type="pct"/>
            <w:gridSpan w:val="2"/>
            <w:tcBorders>
              <w:top w:val="single" w:sz="2" w:space="0" w:color="auto"/>
              <w:left w:val="single" w:sz="2" w:space="0" w:color="auto"/>
              <w:bottom w:val="single" w:sz="2" w:space="0" w:color="auto"/>
              <w:right w:val="single" w:sz="2" w:space="0" w:color="auto"/>
            </w:tcBorders>
            <w:vAlign w:val="center"/>
            <w:hideMark/>
          </w:tcPr>
          <w:p w14:paraId="0C586DDC" w14:textId="77777777" w:rsidR="004E3FDC" w:rsidRPr="0077700D" w:rsidRDefault="004E3FDC" w:rsidP="00450B7A">
            <w:pPr>
              <w:widowControl w:val="0"/>
              <w:spacing w:after="0" w:line="240" w:lineRule="auto"/>
              <w:rPr>
                <w:rFonts w:ascii="Cambria" w:eastAsia="Times New Roman" w:hAnsi="Cambria"/>
                <w:b/>
                <w:lang w:val="hr-HR"/>
              </w:rPr>
            </w:pPr>
            <w:r w:rsidRPr="0077700D">
              <w:rPr>
                <w:rFonts w:ascii="Cambria" w:eastAsia="Times New Roman" w:hAnsi="Cambria"/>
                <w:b/>
                <w:lang w:val="hr-HR"/>
              </w:rPr>
              <w:t>Predmet</w:t>
            </w:r>
          </w:p>
        </w:tc>
        <w:tc>
          <w:tcPr>
            <w:tcW w:w="1992" w:type="pct"/>
            <w:tcBorders>
              <w:top w:val="single" w:sz="2" w:space="0" w:color="auto"/>
              <w:left w:val="single" w:sz="2" w:space="0" w:color="auto"/>
              <w:bottom w:val="single" w:sz="2" w:space="0" w:color="auto"/>
              <w:right w:val="single" w:sz="2" w:space="0" w:color="auto"/>
            </w:tcBorders>
            <w:vAlign w:val="center"/>
            <w:hideMark/>
          </w:tcPr>
          <w:p w14:paraId="377B35DD" w14:textId="77777777" w:rsidR="004E3FDC" w:rsidRPr="0077700D" w:rsidRDefault="004E3FDC" w:rsidP="00450B7A">
            <w:pPr>
              <w:widowControl w:val="0"/>
              <w:spacing w:after="0" w:line="240" w:lineRule="auto"/>
              <w:rPr>
                <w:rFonts w:ascii="Cambria" w:eastAsia="Times New Roman" w:hAnsi="Cambria"/>
                <w:b/>
                <w:lang w:val="hr-HR"/>
              </w:rPr>
            </w:pPr>
            <w:r w:rsidRPr="0077700D">
              <w:rPr>
                <w:rFonts w:ascii="Cambria" w:eastAsia="Times New Roman" w:hAnsi="Cambria"/>
                <w:b/>
                <w:lang w:val="hr-HR"/>
              </w:rPr>
              <w:t>Nastavnik/</w:t>
            </w:r>
            <w:proofErr w:type="spellStart"/>
            <w:r w:rsidRPr="0077700D">
              <w:rPr>
                <w:rFonts w:ascii="Cambria" w:eastAsia="Times New Roman" w:hAnsi="Cambria"/>
                <w:b/>
                <w:lang w:val="hr-HR"/>
              </w:rPr>
              <w:t>ica</w:t>
            </w:r>
            <w:proofErr w:type="spellEnd"/>
          </w:p>
        </w:tc>
        <w:tc>
          <w:tcPr>
            <w:tcW w:w="330" w:type="pct"/>
            <w:gridSpan w:val="3"/>
            <w:tcBorders>
              <w:top w:val="single" w:sz="2" w:space="0" w:color="auto"/>
              <w:left w:val="single" w:sz="2" w:space="0" w:color="auto"/>
              <w:bottom w:val="single" w:sz="2" w:space="0" w:color="auto"/>
              <w:right w:val="single" w:sz="2" w:space="0" w:color="auto"/>
            </w:tcBorders>
            <w:vAlign w:val="center"/>
            <w:hideMark/>
          </w:tcPr>
          <w:p w14:paraId="0CCE27D2" w14:textId="77777777" w:rsidR="004E3FDC" w:rsidRPr="0077700D" w:rsidRDefault="004E3FDC" w:rsidP="00450B7A">
            <w:pPr>
              <w:spacing w:after="0" w:line="240" w:lineRule="auto"/>
              <w:jc w:val="center"/>
              <w:rPr>
                <w:rFonts w:ascii="Cambria" w:eastAsia="Times New Roman" w:hAnsi="Cambria"/>
                <w:b/>
                <w:bCs/>
                <w:caps/>
                <w:lang w:val="hr-HR"/>
              </w:rPr>
            </w:pPr>
            <w:r w:rsidRPr="0077700D">
              <w:rPr>
                <w:rFonts w:ascii="Cambria" w:eastAsia="Times New Roman" w:hAnsi="Cambria"/>
                <w:b/>
                <w:bCs/>
                <w:caps/>
                <w:lang w:val="hr-HR"/>
              </w:rPr>
              <w:t>P</w:t>
            </w:r>
          </w:p>
        </w:tc>
        <w:tc>
          <w:tcPr>
            <w:tcW w:w="337" w:type="pct"/>
            <w:gridSpan w:val="2"/>
            <w:tcBorders>
              <w:top w:val="single" w:sz="2" w:space="0" w:color="auto"/>
              <w:left w:val="single" w:sz="2" w:space="0" w:color="auto"/>
              <w:bottom w:val="single" w:sz="2" w:space="0" w:color="auto"/>
              <w:right w:val="single" w:sz="2" w:space="0" w:color="auto"/>
            </w:tcBorders>
            <w:vAlign w:val="center"/>
          </w:tcPr>
          <w:p w14:paraId="5BDA502B" w14:textId="77777777" w:rsidR="004E3FDC" w:rsidRPr="0077700D" w:rsidRDefault="004E3FDC" w:rsidP="00450B7A">
            <w:pPr>
              <w:spacing w:after="0" w:line="240" w:lineRule="auto"/>
              <w:jc w:val="center"/>
              <w:rPr>
                <w:rFonts w:ascii="Cambria" w:eastAsia="Times New Roman" w:hAnsi="Cambria"/>
                <w:b/>
                <w:bCs/>
                <w:caps/>
                <w:lang w:val="hr-HR"/>
              </w:rPr>
            </w:pPr>
            <w:r w:rsidRPr="0077700D">
              <w:rPr>
                <w:rFonts w:ascii="Cambria" w:eastAsia="Times New Roman" w:hAnsi="Cambria"/>
                <w:b/>
                <w:bCs/>
                <w:caps/>
                <w:lang w:val="hr-HR"/>
              </w:rPr>
              <w:t>S</w:t>
            </w:r>
          </w:p>
        </w:tc>
        <w:tc>
          <w:tcPr>
            <w:tcW w:w="358" w:type="pct"/>
            <w:tcBorders>
              <w:top w:val="single" w:sz="2" w:space="0" w:color="auto"/>
              <w:left w:val="single" w:sz="2" w:space="0" w:color="auto"/>
              <w:bottom w:val="single" w:sz="2" w:space="0" w:color="auto"/>
              <w:right w:val="single" w:sz="2" w:space="0" w:color="auto"/>
            </w:tcBorders>
            <w:vAlign w:val="center"/>
            <w:hideMark/>
          </w:tcPr>
          <w:p w14:paraId="61427A41" w14:textId="77777777" w:rsidR="004E3FDC" w:rsidRPr="0077700D" w:rsidRDefault="004E3FDC" w:rsidP="00450B7A">
            <w:pPr>
              <w:spacing w:after="0" w:line="240" w:lineRule="auto"/>
              <w:jc w:val="center"/>
              <w:rPr>
                <w:rFonts w:ascii="Cambria" w:eastAsia="Times New Roman" w:hAnsi="Cambria"/>
                <w:b/>
                <w:bCs/>
                <w:caps/>
                <w:lang w:val="hr-HR"/>
              </w:rPr>
            </w:pPr>
            <w:r w:rsidRPr="0077700D">
              <w:rPr>
                <w:rFonts w:ascii="Cambria" w:eastAsia="Times New Roman" w:hAnsi="Cambria"/>
                <w:b/>
                <w:bCs/>
                <w:caps/>
                <w:lang w:val="hr-HR"/>
              </w:rPr>
              <w:t>V</w:t>
            </w:r>
          </w:p>
        </w:tc>
        <w:tc>
          <w:tcPr>
            <w:tcW w:w="490" w:type="pct"/>
            <w:gridSpan w:val="2"/>
            <w:tcBorders>
              <w:top w:val="single" w:sz="2" w:space="0" w:color="auto"/>
              <w:left w:val="single" w:sz="2" w:space="0" w:color="auto"/>
              <w:bottom w:val="single" w:sz="2" w:space="0" w:color="auto"/>
              <w:right w:val="single" w:sz="2" w:space="0" w:color="auto"/>
            </w:tcBorders>
            <w:vAlign w:val="center"/>
            <w:hideMark/>
          </w:tcPr>
          <w:p w14:paraId="4E58FA63" w14:textId="77777777" w:rsidR="004E3FDC" w:rsidRPr="0077700D" w:rsidRDefault="004E3FDC" w:rsidP="00450B7A">
            <w:pPr>
              <w:spacing w:after="0" w:line="240" w:lineRule="auto"/>
              <w:jc w:val="center"/>
              <w:rPr>
                <w:rFonts w:ascii="Cambria" w:eastAsia="Times New Roman" w:hAnsi="Cambria"/>
                <w:b/>
                <w:bCs/>
                <w:caps/>
                <w:lang w:val="hr-HR"/>
              </w:rPr>
            </w:pPr>
            <w:r w:rsidRPr="0077700D">
              <w:rPr>
                <w:rFonts w:ascii="Cambria" w:eastAsia="Times New Roman" w:hAnsi="Cambria"/>
                <w:b/>
                <w:bCs/>
                <w:caps/>
                <w:lang w:val="hr-HR"/>
              </w:rPr>
              <w:t>ECTS</w:t>
            </w:r>
          </w:p>
        </w:tc>
      </w:tr>
      <w:tr w:rsidR="004E3FDC" w:rsidRPr="0077700D" w14:paraId="65758EBB" w14:textId="77777777" w:rsidTr="00450B7A">
        <w:trPr>
          <w:cantSplit/>
          <w:jc w:val="center"/>
        </w:trPr>
        <w:tc>
          <w:tcPr>
            <w:tcW w:w="1493" w:type="pct"/>
            <w:gridSpan w:val="2"/>
            <w:tcBorders>
              <w:top w:val="single" w:sz="2" w:space="0" w:color="auto"/>
              <w:left w:val="single" w:sz="2" w:space="0" w:color="auto"/>
              <w:bottom w:val="single" w:sz="2" w:space="0" w:color="auto"/>
              <w:right w:val="single" w:sz="2" w:space="0" w:color="auto"/>
            </w:tcBorders>
            <w:vAlign w:val="center"/>
            <w:hideMark/>
          </w:tcPr>
          <w:p w14:paraId="49B3F83E" w14:textId="77777777" w:rsidR="004E3FDC" w:rsidRPr="0077700D" w:rsidRDefault="004E3FDC" w:rsidP="00450B7A">
            <w:pPr>
              <w:widowControl w:val="0"/>
              <w:spacing w:after="0" w:line="240" w:lineRule="auto"/>
              <w:rPr>
                <w:rFonts w:ascii="Cambria" w:eastAsia="Times New Roman" w:hAnsi="Cambria"/>
                <w:b/>
                <w:lang w:val="hr-HR"/>
              </w:rPr>
            </w:pPr>
            <w:r w:rsidRPr="0077700D">
              <w:rPr>
                <w:rFonts w:ascii="Cambria" w:eastAsia="Times New Roman" w:hAnsi="Cambria"/>
                <w:b/>
                <w:lang w:val="hr-HR"/>
              </w:rPr>
              <w:t>118961</w:t>
            </w:r>
          </w:p>
          <w:p w14:paraId="184738B2" w14:textId="77777777" w:rsidR="004E3FDC" w:rsidRPr="0077700D" w:rsidRDefault="004E3FDC" w:rsidP="00450B7A">
            <w:pPr>
              <w:spacing w:after="0" w:line="240" w:lineRule="auto"/>
              <w:rPr>
                <w:rFonts w:ascii="Cambria" w:eastAsia="Times New Roman" w:hAnsi="Cambria"/>
                <w:lang w:val="hr-HR"/>
              </w:rPr>
            </w:pPr>
            <w:r w:rsidRPr="0077700D">
              <w:rPr>
                <w:rFonts w:ascii="Cambria" w:eastAsia="Times New Roman" w:hAnsi="Cambria"/>
                <w:lang w:val="hr-HR"/>
              </w:rPr>
              <w:t>Metodika nastave prirode i društva III</w:t>
            </w:r>
          </w:p>
        </w:tc>
        <w:tc>
          <w:tcPr>
            <w:tcW w:w="1992" w:type="pct"/>
            <w:tcBorders>
              <w:top w:val="single" w:sz="2" w:space="0" w:color="auto"/>
              <w:left w:val="single" w:sz="2" w:space="0" w:color="auto"/>
              <w:bottom w:val="single" w:sz="2" w:space="0" w:color="auto"/>
              <w:right w:val="single" w:sz="2" w:space="0" w:color="auto"/>
            </w:tcBorders>
            <w:vAlign w:val="center"/>
            <w:hideMark/>
          </w:tcPr>
          <w:p w14:paraId="7F56B3CA" w14:textId="77777777" w:rsidR="004E3FDC" w:rsidRPr="0077700D" w:rsidRDefault="004E3FDC" w:rsidP="00450B7A">
            <w:pPr>
              <w:spacing w:after="0" w:line="240" w:lineRule="auto"/>
              <w:rPr>
                <w:rFonts w:ascii="Cambria" w:eastAsia="Times New Roman" w:hAnsi="Cambria"/>
                <w:lang w:val="hr-HR"/>
              </w:rPr>
            </w:pPr>
            <w:r>
              <w:rPr>
                <w:rFonts w:ascii="Cambria" w:eastAsia="Times New Roman" w:hAnsi="Cambria"/>
                <w:lang w:val="hr-HR"/>
              </w:rPr>
              <w:t>izv. prof. dr. sc. Ines Kovačić</w:t>
            </w:r>
          </w:p>
          <w:p w14:paraId="3C3C5640" w14:textId="77777777" w:rsidR="004E3FDC" w:rsidRPr="007E1ED2" w:rsidRDefault="004E3FDC" w:rsidP="00450B7A">
            <w:pPr>
              <w:widowControl w:val="0"/>
              <w:spacing w:after="0" w:line="240" w:lineRule="auto"/>
              <w:rPr>
                <w:rFonts w:ascii="Cambria" w:eastAsia="Times New Roman" w:hAnsi="Cambria"/>
                <w:lang w:val="hr-HR"/>
              </w:rPr>
            </w:pPr>
            <w:r w:rsidRPr="007E1ED2">
              <w:rPr>
                <w:rFonts w:ascii="Cambria" w:eastAsia="Times New Roman" w:hAnsi="Cambria"/>
                <w:lang w:val="hr-HR"/>
              </w:rPr>
              <w:t>**</w:t>
            </w:r>
          </w:p>
        </w:tc>
        <w:tc>
          <w:tcPr>
            <w:tcW w:w="330" w:type="pct"/>
            <w:gridSpan w:val="3"/>
            <w:tcBorders>
              <w:top w:val="single" w:sz="2" w:space="0" w:color="auto"/>
              <w:left w:val="single" w:sz="2" w:space="0" w:color="auto"/>
              <w:bottom w:val="single" w:sz="2" w:space="0" w:color="auto"/>
              <w:right w:val="single" w:sz="2" w:space="0" w:color="auto"/>
            </w:tcBorders>
            <w:vAlign w:val="center"/>
            <w:hideMark/>
          </w:tcPr>
          <w:p w14:paraId="71C5B77A"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15</w:t>
            </w:r>
          </w:p>
        </w:tc>
        <w:tc>
          <w:tcPr>
            <w:tcW w:w="337" w:type="pct"/>
            <w:gridSpan w:val="2"/>
            <w:tcBorders>
              <w:top w:val="single" w:sz="2" w:space="0" w:color="auto"/>
              <w:left w:val="single" w:sz="2" w:space="0" w:color="auto"/>
              <w:bottom w:val="single" w:sz="2" w:space="0" w:color="auto"/>
              <w:right w:val="single" w:sz="2" w:space="0" w:color="auto"/>
            </w:tcBorders>
            <w:vAlign w:val="center"/>
          </w:tcPr>
          <w:p w14:paraId="491CC88B"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0</w:t>
            </w:r>
          </w:p>
        </w:tc>
        <w:tc>
          <w:tcPr>
            <w:tcW w:w="358" w:type="pct"/>
            <w:tcBorders>
              <w:top w:val="single" w:sz="2" w:space="0" w:color="auto"/>
              <w:left w:val="single" w:sz="2" w:space="0" w:color="auto"/>
              <w:bottom w:val="single" w:sz="2" w:space="0" w:color="auto"/>
              <w:right w:val="single" w:sz="2" w:space="0" w:color="auto"/>
            </w:tcBorders>
            <w:vAlign w:val="center"/>
            <w:hideMark/>
          </w:tcPr>
          <w:p w14:paraId="704654D5"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45</w:t>
            </w:r>
          </w:p>
        </w:tc>
        <w:tc>
          <w:tcPr>
            <w:tcW w:w="490" w:type="pct"/>
            <w:gridSpan w:val="2"/>
            <w:tcBorders>
              <w:top w:val="single" w:sz="2" w:space="0" w:color="auto"/>
              <w:left w:val="single" w:sz="2" w:space="0" w:color="auto"/>
              <w:bottom w:val="single" w:sz="2" w:space="0" w:color="auto"/>
              <w:right w:val="single" w:sz="2" w:space="0" w:color="auto"/>
            </w:tcBorders>
            <w:vAlign w:val="center"/>
            <w:hideMark/>
          </w:tcPr>
          <w:p w14:paraId="55317580"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4</w:t>
            </w:r>
          </w:p>
        </w:tc>
      </w:tr>
      <w:tr w:rsidR="004E3FDC" w:rsidRPr="0077700D" w14:paraId="0B372D96" w14:textId="77777777" w:rsidTr="00450B7A">
        <w:trPr>
          <w:cantSplit/>
          <w:jc w:val="center"/>
        </w:trPr>
        <w:tc>
          <w:tcPr>
            <w:tcW w:w="1493" w:type="pct"/>
            <w:gridSpan w:val="2"/>
            <w:tcBorders>
              <w:top w:val="single" w:sz="2" w:space="0" w:color="auto"/>
              <w:left w:val="single" w:sz="2" w:space="0" w:color="auto"/>
              <w:bottom w:val="single" w:sz="2" w:space="0" w:color="auto"/>
              <w:right w:val="single" w:sz="2" w:space="0" w:color="auto"/>
            </w:tcBorders>
            <w:vAlign w:val="center"/>
            <w:hideMark/>
          </w:tcPr>
          <w:p w14:paraId="69F196F7" w14:textId="77777777" w:rsidR="004E3FDC" w:rsidRPr="0077700D" w:rsidRDefault="004E3FDC" w:rsidP="00450B7A">
            <w:pPr>
              <w:widowControl w:val="0"/>
              <w:spacing w:after="0" w:line="240" w:lineRule="auto"/>
              <w:rPr>
                <w:rFonts w:ascii="Cambria" w:eastAsia="Times New Roman" w:hAnsi="Cambria"/>
                <w:b/>
                <w:lang w:val="hr-HR"/>
              </w:rPr>
            </w:pPr>
            <w:r w:rsidRPr="0077700D">
              <w:rPr>
                <w:rFonts w:ascii="Cambria" w:eastAsia="Times New Roman" w:hAnsi="Cambria"/>
                <w:b/>
                <w:lang w:val="hr-HR"/>
              </w:rPr>
              <w:t>118963</w:t>
            </w:r>
          </w:p>
          <w:p w14:paraId="7439654F" w14:textId="77777777" w:rsidR="004E3FDC" w:rsidRPr="0077700D" w:rsidRDefault="004E3FDC" w:rsidP="00450B7A">
            <w:pPr>
              <w:widowControl w:val="0"/>
              <w:spacing w:after="0" w:line="240" w:lineRule="auto"/>
              <w:rPr>
                <w:rFonts w:ascii="Cambria" w:eastAsia="Times New Roman" w:hAnsi="Cambria"/>
                <w:lang w:val="hr-HR"/>
              </w:rPr>
            </w:pPr>
            <w:r w:rsidRPr="0077700D">
              <w:rPr>
                <w:rFonts w:ascii="Cambria" w:eastAsia="Times New Roman" w:hAnsi="Cambria"/>
                <w:lang w:val="hr-HR"/>
              </w:rPr>
              <w:t>Kineziološka metodika III</w:t>
            </w:r>
          </w:p>
        </w:tc>
        <w:tc>
          <w:tcPr>
            <w:tcW w:w="1992" w:type="pct"/>
            <w:tcBorders>
              <w:top w:val="single" w:sz="2" w:space="0" w:color="auto"/>
              <w:left w:val="single" w:sz="2" w:space="0" w:color="auto"/>
              <w:bottom w:val="single" w:sz="2" w:space="0" w:color="auto"/>
              <w:right w:val="single" w:sz="2" w:space="0" w:color="auto"/>
            </w:tcBorders>
            <w:vAlign w:val="center"/>
            <w:hideMark/>
          </w:tcPr>
          <w:p w14:paraId="58F070E6" w14:textId="77777777" w:rsidR="004E3FDC" w:rsidRPr="0077700D" w:rsidRDefault="004E3FDC" w:rsidP="00450B7A">
            <w:pPr>
              <w:spacing w:after="0" w:line="240" w:lineRule="auto"/>
              <w:rPr>
                <w:rFonts w:ascii="Cambria" w:eastAsia="Times New Roman" w:hAnsi="Cambria"/>
                <w:lang w:val="hr-HR"/>
              </w:rPr>
            </w:pPr>
            <w:r w:rsidRPr="0077700D">
              <w:rPr>
                <w:rFonts w:ascii="Cambria" w:eastAsia="Times New Roman" w:hAnsi="Cambria"/>
                <w:lang w:val="hr-HR"/>
              </w:rPr>
              <w:t>prof. dr. sc. Iva Blažević</w:t>
            </w:r>
          </w:p>
        </w:tc>
        <w:tc>
          <w:tcPr>
            <w:tcW w:w="330" w:type="pct"/>
            <w:gridSpan w:val="3"/>
            <w:tcBorders>
              <w:top w:val="single" w:sz="2" w:space="0" w:color="auto"/>
              <w:left w:val="single" w:sz="2" w:space="0" w:color="auto"/>
              <w:bottom w:val="single" w:sz="2" w:space="0" w:color="auto"/>
              <w:right w:val="single" w:sz="2" w:space="0" w:color="auto"/>
            </w:tcBorders>
            <w:vAlign w:val="center"/>
            <w:hideMark/>
          </w:tcPr>
          <w:p w14:paraId="1B28024C" w14:textId="77777777" w:rsidR="004E3FDC" w:rsidRPr="0077700D" w:rsidRDefault="004E3FDC" w:rsidP="00450B7A">
            <w:pPr>
              <w:widowControl w:val="0"/>
              <w:spacing w:after="0" w:line="240" w:lineRule="auto"/>
              <w:jc w:val="center"/>
              <w:rPr>
                <w:rFonts w:ascii="Cambria" w:eastAsia="Times New Roman" w:hAnsi="Cambria"/>
                <w:lang w:val="hr-HR"/>
              </w:rPr>
            </w:pPr>
            <w:r w:rsidRPr="0077700D">
              <w:rPr>
                <w:rFonts w:ascii="Cambria" w:eastAsia="Times New Roman" w:hAnsi="Cambria"/>
                <w:lang w:val="hr-HR"/>
              </w:rPr>
              <w:t>15</w:t>
            </w:r>
          </w:p>
        </w:tc>
        <w:tc>
          <w:tcPr>
            <w:tcW w:w="337" w:type="pct"/>
            <w:gridSpan w:val="2"/>
            <w:tcBorders>
              <w:top w:val="single" w:sz="2" w:space="0" w:color="auto"/>
              <w:left w:val="single" w:sz="2" w:space="0" w:color="auto"/>
              <w:bottom w:val="single" w:sz="2" w:space="0" w:color="auto"/>
              <w:right w:val="single" w:sz="2" w:space="0" w:color="auto"/>
            </w:tcBorders>
            <w:vAlign w:val="center"/>
          </w:tcPr>
          <w:p w14:paraId="68ECCFCF" w14:textId="77777777" w:rsidR="004E3FDC" w:rsidRPr="0077700D" w:rsidRDefault="004E3FDC" w:rsidP="00450B7A">
            <w:pPr>
              <w:widowControl w:val="0"/>
              <w:spacing w:after="0" w:line="240" w:lineRule="auto"/>
              <w:jc w:val="center"/>
              <w:rPr>
                <w:rFonts w:ascii="Cambria" w:eastAsia="Times New Roman" w:hAnsi="Cambria"/>
                <w:lang w:val="hr-HR"/>
              </w:rPr>
            </w:pPr>
            <w:r w:rsidRPr="0077700D">
              <w:rPr>
                <w:rFonts w:ascii="Cambria" w:eastAsia="Times New Roman" w:hAnsi="Cambria"/>
                <w:lang w:val="hr-HR"/>
              </w:rPr>
              <w:t>0</w:t>
            </w:r>
          </w:p>
        </w:tc>
        <w:tc>
          <w:tcPr>
            <w:tcW w:w="358" w:type="pct"/>
            <w:tcBorders>
              <w:top w:val="single" w:sz="2" w:space="0" w:color="auto"/>
              <w:left w:val="single" w:sz="2" w:space="0" w:color="auto"/>
              <w:bottom w:val="single" w:sz="2" w:space="0" w:color="auto"/>
              <w:right w:val="single" w:sz="2" w:space="0" w:color="auto"/>
            </w:tcBorders>
            <w:vAlign w:val="center"/>
            <w:hideMark/>
          </w:tcPr>
          <w:p w14:paraId="5FED2CDC" w14:textId="77777777" w:rsidR="004E3FDC" w:rsidRPr="0077700D" w:rsidRDefault="004E3FDC" w:rsidP="00450B7A">
            <w:pPr>
              <w:widowControl w:val="0"/>
              <w:spacing w:after="0" w:line="240" w:lineRule="auto"/>
              <w:jc w:val="center"/>
              <w:rPr>
                <w:rFonts w:ascii="Cambria" w:eastAsia="Times New Roman" w:hAnsi="Cambria"/>
                <w:lang w:val="hr-HR"/>
              </w:rPr>
            </w:pPr>
            <w:r w:rsidRPr="0077700D">
              <w:rPr>
                <w:rFonts w:ascii="Cambria" w:eastAsia="Times New Roman" w:hAnsi="Cambria"/>
                <w:lang w:val="hr-HR"/>
              </w:rPr>
              <w:t>45</w:t>
            </w:r>
          </w:p>
        </w:tc>
        <w:tc>
          <w:tcPr>
            <w:tcW w:w="490" w:type="pct"/>
            <w:gridSpan w:val="2"/>
            <w:tcBorders>
              <w:top w:val="single" w:sz="2" w:space="0" w:color="auto"/>
              <w:left w:val="single" w:sz="2" w:space="0" w:color="auto"/>
              <w:bottom w:val="single" w:sz="2" w:space="0" w:color="auto"/>
              <w:right w:val="single" w:sz="2" w:space="0" w:color="auto"/>
            </w:tcBorders>
            <w:vAlign w:val="center"/>
            <w:hideMark/>
          </w:tcPr>
          <w:p w14:paraId="28DEED02"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3</w:t>
            </w:r>
          </w:p>
        </w:tc>
      </w:tr>
      <w:tr w:rsidR="004E3FDC" w:rsidRPr="0077700D" w14:paraId="74E405D4" w14:textId="77777777" w:rsidTr="00450B7A">
        <w:trPr>
          <w:cantSplit/>
          <w:jc w:val="center"/>
        </w:trPr>
        <w:tc>
          <w:tcPr>
            <w:tcW w:w="1493" w:type="pct"/>
            <w:gridSpan w:val="2"/>
            <w:tcBorders>
              <w:top w:val="single" w:sz="2" w:space="0" w:color="auto"/>
              <w:left w:val="single" w:sz="2" w:space="0" w:color="auto"/>
              <w:bottom w:val="single" w:sz="2" w:space="0" w:color="auto"/>
              <w:right w:val="single" w:sz="2" w:space="0" w:color="auto"/>
            </w:tcBorders>
            <w:vAlign w:val="center"/>
          </w:tcPr>
          <w:p w14:paraId="5EDC8E62" w14:textId="77777777" w:rsidR="004E3FDC" w:rsidRPr="0077700D" w:rsidRDefault="004E3FDC" w:rsidP="00450B7A">
            <w:pPr>
              <w:spacing w:after="0" w:line="240" w:lineRule="auto"/>
              <w:rPr>
                <w:rFonts w:ascii="Cambria" w:eastAsia="Times New Roman" w:hAnsi="Cambria"/>
                <w:lang w:val="hr-HR"/>
              </w:rPr>
            </w:pPr>
            <w:r w:rsidRPr="0077700D">
              <w:rPr>
                <w:rFonts w:ascii="Cambria" w:eastAsia="Times New Roman" w:hAnsi="Cambria"/>
                <w:lang w:val="hr-HR"/>
              </w:rPr>
              <w:t>Izborni kolegij 2</w:t>
            </w:r>
          </w:p>
        </w:tc>
        <w:tc>
          <w:tcPr>
            <w:tcW w:w="1992" w:type="pct"/>
            <w:tcBorders>
              <w:top w:val="single" w:sz="2" w:space="0" w:color="auto"/>
              <w:left w:val="single" w:sz="2" w:space="0" w:color="auto"/>
              <w:bottom w:val="single" w:sz="2" w:space="0" w:color="auto"/>
              <w:right w:val="single" w:sz="2" w:space="0" w:color="auto"/>
            </w:tcBorders>
            <w:vAlign w:val="center"/>
          </w:tcPr>
          <w:p w14:paraId="4E4F3CF6" w14:textId="77777777" w:rsidR="004E3FDC" w:rsidRPr="0077700D" w:rsidRDefault="004E3FDC" w:rsidP="00450B7A">
            <w:pPr>
              <w:spacing w:after="0" w:line="240" w:lineRule="auto"/>
              <w:rPr>
                <w:rFonts w:ascii="Cambria" w:eastAsia="Times New Roman" w:hAnsi="Cambria"/>
                <w:lang w:val="hr-HR"/>
              </w:rPr>
            </w:pPr>
          </w:p>
        </w:tc>
        <w:tc>
          <w:tcPr>
            <w:tcW w:w="330" w:type="pct"/>
            <w:gridSpan w:val="3"/>
            <w:tcBorders>
              <w:top w:val="single" w:sz="2" w:space="0" w:color="auto"/>
              <w:left w:val="single" w:sz="2" w:space="0" w:color="auto"/>
              <w:bottom w:val="single" w:sz="2" w:space="0" w:color="auto"/>
              <w:right w:val="single" w:sz="2" w:space="0" w:color="auto"/>
            </w:tcBorders>
            <w:vAlign w:val="center"/>
          </w:tcPr>
          <w:p w14:paraId="50E290C4" w14:textId="77777777" w:rsidR="004E3FDC" w:rsidRPr="0077700D" w:rsidRDefault="004E3FDC" w:rsidP="00450B7A">
            <w:pPr>
              <w:spacing w:after="0" w:line="240" w:lineRule="auto"/>
              <w:jc w:val="center"/>
              <w:rPr>
                <w:rFonts w:ascii="Cambria" w:eastAsia="Times New Roman" w:hAnsi="Cambria"/>
                <w:lang w:val="hr-HR"/>
              </w:rPr>
            </w:pPr>
          </w:p>
        </w:tc>
        <w:tc>
          <w:tcPr>
            <w:tcW w:w="337" w:type="pct"/>
            <w:gridSpan w:val="2"/>
            <w:tcBorders>
              <w:top w:val="single" w:sz="2" w:space="0" w:color="auto"/>
              <w:left w:val="single" w:sz="2" w:space="0" w:color="auto"/>
              <w:bottom w:val="single" w:sz="2" w:space="0" w:color="auto"/>
              <w:right w:val="single" w:sz="2" w:space="0" w:color="auto"/>
            </w:tcBorders>
            <w:vAlign w:val="center"/>
          </w:tcPr>
          <w:p w14:paraId="1ED8A285" w14:textId="77777777" w:rsidR="004E3FDC" w:rsidRPr="0077700D" w:rsidRDefault="004E3FDC" w:rsidP="00450B7A">
            <w:pPr>
              <w:spacing w:after="0" w:line="240" w:lineRule="auto"/>
              <w:jc w:val="center"/>
              <w:rPr>
                <w:rFonts w:ascii="Cambria" w:eastAsia="Times New Roman" w:hAnsi="Cambria"/>
                <w:lang w:val="hr-HR"/>
              </w:rPr>
            </w:pPr>
          </w:p>
        </w:tc>
        <w:tc>
          <w:tcPr>
            <w:tcW w:w="358" w:type="pct"/>
            <w:tcBorders>
              <w:top w:val="single" w:sz="2" w:space="0" w:color="auto"/>
              <w:left w:val="single" w:sz="2" w:space="0" w:color="auto"/>
              <w:bottom w:val="single" w:sz="2" w:space="0" w:color="auto"/>
              <w:right w:val="single" w:sz="2" w:space="0" w:color="auto"/>
            </w:tcBorders>
            <w:vAlign w:val="center"/>
          </w:tcPr>
          <w:p w14:paraId="77DF90B2" w14:textId="77777777" w:rsidR="004E3FDC" w:rsidRPr="0077700D" w:rsidRDefault="004E3FDC" w:rsidP="00450B7A">
            <w:pPr>
              <w:spacing w:after="0" w:line="240" w:lineRule="auto"/>
              <w:jc w:val="center"/>
              <w:rPr>
                <w:rFonts w:ascii="Cambria" w:eastAsia="Times New Roman" w:hAnsi="Cambria"/>
                <w:lang w:val="hr-HR"/>
              </w:rPr>
            </w:pPr>
          </w:p>
        </w:tc>
        <w:tc>
          <w:tcPr>
            <w:tcW w:w="490" w:type="pct"/>
            <w:gridSpan w:val="2"/>
            <w:tcBorders>
              <w:top w:val="single" w:sz="2" w:space="0" w:color="auto"/>
              <w:left w:val="single" w:sz="2" w:space="0" w:color="auto"/>
              <w:bottom w:val="single" w:sz="2" w:space="0" w:color="auto"/>
              <w:right w:val="single" w:sz="2" w:space="0" w:color="auto"/>
            </w:tcBorders>
            <w:vAlign w:val="center"/>
          </w:tcPr>
          <w:p w14:paraId="56BEE856"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2</w:t>
            </w:r>
          </w:p>
        </w:tc>
      </w:tr>
      <w:tr w:rsidR="004E3FDC" w:rsidRPr="0077700D" w14:paraId="2AEB74C4" w14:textId="77777777" w:rsidTr="00450B7A">
        <w:trPr>
          <w:cantSplit/>
          <w:jc w:val="center"/>
        </w:trPr>
        <w:tc>
          <w:tcPr>
            <w:tcW w:w="1493" w:type="pct"/>
            <w:gridSpan w:val="2"/>
            <w:tcBorders>
              <w:top w:val="single" w:sz="2" w:space="0" w:color="auto"/>
              <w:left w:val="single" w:sz="2" w:space="0" w:color="auto"/>
              <w:bottom w:val="single" w:sz="2" w:space="0" w:color="auto"/>
              <w:right w:val="single" w:sz="2" w:space="0" w:color="auto"/>
            </w:tcBorders>
            <w:vAlign w:val="center"/>
          </w:tcPr>
          <w:p w14:paraId="6AC08701" w14:textId="77777777" w:rsidR="004E3FDC" w:rsidRPr="0077700D" w:rsidRDefault="004E3FDC" w:rsidP="00450B7A">
            <w:pPr>
              <w:widowControl w:val="0"/>
              <w:spacing w:after="0" w:line="240" w:lineRule="auto"/>
              <w:rPr>
                <w:rFonts w:ascii="Cambria" w:eastAsia="Times New Roman" w:hAnsi="Cambria"/>
                <w:lang w:val="hr-HR"/>
              </w:rPr>
            </w:pPr>
            <w:r w:rsidRPr="0077700D">
              <w:rPr>
                <w:rFonts w:ascii="Cambria" w:eastAsia="Times New Roman" w:hAnsi="Cambria"/>
                <w:lang w:val="hr-HR"/>
              </w:rPr>
              <w:t>Izborni kolegij 3</w:t>
            </w:r>
          </w:p>
        </w:tc>
        <w:tc>
          <w:tcPr>
            <w:tcW w:w="1992" w:type="pct"/>
            <w:tcBorders>
              <w:top w:val="single" w:sz="2" w:space="0" w:color="auto"/>
              <w:left w:val="single" w:sz="2" w:space="0" w:color="auto"/>
              <w:bottom w:val="single" w:sz="2" w:space="0" w:color="auto"/>
              <w:right w:val="single" w:sz="2" w:space="0" w:color="auto"/>
            </w:tcBorders>
            <w:vAlign w:val="center"/>
          </w:tcPr>
          <w:p w14:paraId="77082E44" w14:textId="77777777" w:rsidR="004E3FDC" w:rsidRPr="0077700D" w:rsidRDefault="004E3FDC" w:rsidP="00450B7A">
            <w:pPr>
              <w:widowControl w:val="0"/>
              <w:spacing w:after="0" w:line="240" w:lineRule="auto"/>
              <w:rPr>
                <w:rFonts w:ascii="Cambria" w:eastAsia="Times New Roman" w:hAnsi="Cambria"/>
                <w:lang w:val="hr-HR"/>
              </w:rPr>
            </w:pPr>
          </w:p>
        </w:tc>
        <w:tc>
          <w:tcPr>
            <w:tcW w:w="330" w:type="pct"/>
            <w:gridSpan w:val="3"/>
            <w:tcBorders>
              <w:top w:val="single" w:sz="2" w:space="0" w:color="auto"/>
              <w:left w:val="single" w:sz="2" w:space="0" w:color="auto"/>
              <w:bottom w:val="single" w:sz="2" w:space="0" w:color="auto"/>
              <w:right w:val="single" w:sz="2" w:space="0" w:color="auto"/>
            </w:tcBorders>
            <w:vAlign w:val="center"/>
          </w:tcPr>
          <w:p w14:paraId="0FE3DF0B" w14:textId="77777777" w:rsidR="004E3FDC" w:rsidRPr="0077700D" w:rsidRDefault="004E3FDC" w:rsidP="00450B7A">
            <w:pPr>
              <w:widowControl w:val="0"/>
              <w:spacing w:after="0" w:line="240" w:lineRule="auto"/>
              <w:jc w:val="center"/>
              <w:rPr>
                <w:rFonts w:ascii="Cambria" w:eastAsia="Times New Roman" w:hAnsi="Cambria"/>
                <w:lang w:val="hr-HR"/>
              </w:rPr>
            </w:pPr>
          </w:p>
        </w:tc>
        <w:tc>
          <w:tcPr>
            <w:tcW w:w="337" w:type="pct"/>
            <w:gridSpan w:val="2"/>
            <w:tcBorders>
              <w:top w:val="single" w:sz="2" w:space="0" w:color="auto"/>
              <w:left w:val="single" w:sz="2" w:space="0" w:color="auto"/>
              <w:bottom w:val="single" w:sz="2" w:space="0" w:color="auto"/>
              <w:right w:val="single" w:sz="2" w:space="0" w:color="auto"/>
            </w:tcBorders>
            <w:vAlign w:val="center"/>
          </w:tcPr>
          <w:p w14:paraId="33F051AF" w14:textId="77777777" w:rsidR="004E3FDC" w:rsidRPr="0077700D" w:rsidRDefault="004E3FDC" w:rsidP="00450B7A">
            <w:pPr>
              <w:widowControl w:val="0"/>
              <w:spacing w:after="0" w:line="240" w:lineRule="auto"/>
              <w:jc w:val="center"/>
              <w:rPr>
                <w:rFonts w:ascii="Cambria" w:eastAsia="Times New Roman" w:hAnsi="Cambria"/>
                <w:lang w:val="hr-HR"/>
              </w:rPr>
            </w:pPr>
          </w:p>
        </w:tc>
        <w:tc>
          <w:tcPr>
            <w:tcW w:w="358" w:type="pct"/>
            <w:tcBorders>
              <w:top w:val="single" w:sz="2" w:space="0" w:color="auto"/>
              <w:left w:val="single" w:sz="2" w:space="0" w:color="auto"/>
              <w:bottom w:val="single" w:sz="2" w:space="0" w:color="auto"/>
              <w:right w:val="single" w:sz="2" w:space="0" w:color="auto"/>
            </w:tcBorders>
            <w:vAlign w:val="center"/>
          </w:tcPr>
          <w:p w14:paraId="257A7241" w14:textId="77777777" w:rsidR="004E3FDC" w:rsidRPr="0077700D" w:rsidRDefault="004E3FDC" w:rsidP="00450B7A">
            <w:pPr>
              <w:widowControl w:val="0"/>
              <w:spacing w:after="0" w:line="240" w:lineRule="auto"/>
              <w:jc w:val="center"/>
              <w:rPr>
                <w:rFonts w:ascii="Cambria" w:eastAsia="Times New Roman" w:hAnsi="Cambria"/>
                <w:lang w:val="hr-HR"/>
              </w:rPr>
            </w:pPr>
          </w:p>
        </w:tc>
        <w:tc>
          <w:tcPr>
            <w:tcW w:w="490" w:type="pct"/>
            <w:gridSpan w:val="2"/>
            <w:tcBorders>
              <w:top w:val="single" w:sz="2" w:space="0" w:color="auto"/>
              <w:left w:val="single" w:sz="2" w:space="0" w:color="auto"/>
              <w:bottom w:val="single" w:sz="2" w:space="0" w:color="auto"/>
              <w:right w:val="single" w:sz="2" w:space="0" w:color="auto"/>
            </w:tcBorders>
            <w:vAlign w:val="center"/>
          </w:tcPr>
          <w:p w14:paraId="657DEC9F"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2</w:t>
            </w:r>
          </w:p>
        </w:tc>
      </w:tr>
      <w:tr w:rsidR="004E3FDC" w:rsidRPr="0077700D" w14:paraId="2BF602BC" w14:textId="77777777" w:rsidTr="00450B7A">
        <w:trPr>
          <w:cantSplit/>
          <w:jc w:val="center"/>
        </w:trPr>
        <w:tc>
          <w:tcPr>
            <w:tcW w:w="1493" w:type="pct"/>
            <w:gridSpan w:val="2"/>
            <w:tcBorders>
              <w:top w:val="single" w:sz="2" w:space="0" w:color="auto"/>
              <w:left w:val="single" w:sz="2" w:space="0" w:color="auto"/>
              <w:bottom w:val="single" w:sz="2" w:space="0" w:color="auto"/>
              <w:right w:val="single" w:sz="2" w:space="0" w:color="auto"/>
            </w:tcBorders>
            <w:vAlign w:val="center"/>
            <w:hideMark/>
          </w:tcPr>
          <w:p w14:paraId="25EB5759" w14:textId="77777777" w:rsidR="004E3FDC" w:rsidRPr="0077700D" w:rsidRDefault="004E3FDC" w:rsidP="00450B7A">
            <w:pPr>
              <w:spacing w:after="0" w:line="240" w:lineRule="auto"/>
              <w:rPr>
                <w:rFonts w:ascii="Cambria" w:eastAsia="Times New Roman" w:hAnsi="Cambria"/>
                <w:lang w:val="hr-HR"/>
              </w:rPr>
            </w:pPr>
            <w:r w:rsidRPr="0077700D">
              <w:rPr>
                <w:rFonts w:ascii="Cambria" w:eastAsia="Times New Roman" w:hAnsi="Cambria"/>
                <w:lang w:val="hr-HR"/>
              </w:rPr>
              <w:t>Izborni kolegij 4</w:t>
            </w:r>
          </w:p>
        </w:tc>
        <w:tc>
          <w:tcPr>
            <w:tcW w:w="1992" w:type="pct"/>
            <w:tcBorders>
              <w:top w:val="single" w:sz="2" w:space="0" w:color="auto"/>
              <w:left w:val="single" w:sz="2" w:space="0" w:color="auto"/>
              <w:bottom w:val="single" w:sz="2" w:space="0" w:color="auto"/>
              <w:right w:val="single" w:sz="2" w:space="0" w:color="auto"/>
            </w:tcBorders>
            <w:vAlign w:val="center"/>
          </w:tcPr>
          <w:p w14:paraId="5082CA7F" w14:textId="77777777" w:rsidR="004E3FDC" w:rsidRPr="0077700D" w:rsidRDefault="004E3FDC" w:rsidP="00450B7A">
            <w:pPr>
              <w:spacing w:after="0" w:line="240" w:lineRule="auto"/>
              <w:rPr>
                <w:rFonts w:ascii="Cambria" w:eastAsia="Times New Roman" w:hAnsi="Cambria"/>
                <w:lang w:val="hr-HR"/>
              </w:rPr>
            </w:pPr>
          </w:p>
        </w:tc>
        <w:tc>
          <w:tcPr>
            <w:tcW w:w="330" w:type="pct"/>
            <w:gridSpan w:val="3"/>
            <w:tcBorders>
              <w:top w:val="single" w:sz="2" w:space="0" w:color="auto"/>
              <w:left w:val="single" w:sz="2" w:space="0" w:color="auto"/>
              <w:bottom w:val="single" w:sz="2" w:space="0" w:color="auto"/>
              <w:right w:val="single" w:sz="2" w:space="0" w:color="auto"/>
            </w:tcBorders>
            <w:vAlign w:val="center"/>
            <w:hideMark/>
          </w:tcPr>
          <w:p w14:paraId="449F49D2" w14:textId="77777777" w:rsidR="004E3FDC" w:rsidRPr="0077700D" w:rsidRDefault="004E3FDC" w:rsidP="00450B7A">
            <w:pPr>
              <w:spacing w:after="0" w:line="240" w:lineRule="auto"/>
              <w:jc w:val="center"/>
              <w:rPr>
                <w:rFonts w:ascii="Cambria" w:eastAsia="Times New Roman" w:hAnsi="Cambria"/>
                <w:lang w:val="hr-HR"/>
              </w:rPr>
            </w:pPr>
          </w:p>
        </w:tc>
        <w:tc>
          <w:tcPr>
            <w:tcW w:w="337" w:type="pct"/>
            <w:gridSpan w:val="2"/>
            <w:tcBorders>
              <w:top w:val="single" w:sz="2" w:space="0" w:color="auto"/>
              <w:left w:val="single" w:sz="2" w:space="0" w:color="auto"/>
              <w:bottom w:val="single" w:sz="2" w:space="0" w:color="auto"/>
              <w:right w:val="single" w:sz="2" w:space="0" w:color="auto"/>
            </w:tcBorders>
            <w:vAlign w:val="center"/>
          </w:tcPr>
          <w:p w14:paraId="2DDFD568" w14:textId="77777777" w:rsidR="004E3FDC" w:rsidRPr="0077700D" w:rsidRDefault="004E3FDC" w:rsidP="00450B7A">
            <w:pPr>
              <w:spacing w:after="0" w:line="240" w:lineRule="auto"/>
              <w:jc w:val="center"/>
              <w:rPr>
                <w:rFonts w:ascii="Cambria" w:eastAsia="Times New Roman" w:hAnsi="Cambria"/>
                <w:lang w:val="hr-HR"/>
              </w:rPr>
            </w:pPr>
          </w:p>
        </w:tc>
        <w:tc>
          <w:tcPr>
            <w:tcW w:w="358" w:type="pct"/>
            <w:tcBorders>
              <w:top w:val="single" w:sz="2" w:space="0" w:color="auto"/>
              <w:left w:val="single" w:sz="2" w:space="0" w:color="auto"/>
              <w:bottom w:val="single" w:sz="2" w:space="0" w:color="auto"/>
              <w:right w:val="single" w:sz="2" w:space="0" w:color="auto"/>
            </w:tcBorders>
            <w:vAlign w:val="center"/>
            <w:hideMark/>
          </w:tcPr>
          <w:p w14:paraId="7F0AC1A2" w14:textId="77777777" w:rsidR="004E3FDC" w:rsidRPr="0077700D" w:rsidRDefault="004E3FDC" w:rsidP="00450B7A">
            <w:pPr>
              <w:spacing w:after="0" w:line="240" w:lineRule="auto"/>
              <w:jc w:val="center"/>
              <w:rPr>
                <w:rFonts w:ascii="Cambria" w:eastAsia="Times New Roman" w:hAnsi="Cambria"/>
                <w:lang w:val="hr-HR"/>
              </w:rPr>
            </w:pPr>
          </w:p>
        </w:tc>
        <w:tc>
          <w:tcPr>
            <w:tcW w:w="490" w:type="pct"/>
            <w:gridSpan w:val="2"/>
            <w:tcBorders>
              <w:top w:val="single" w:sz="2" w:space="0" w:color="auto"/>
              <w:left w:val="single" w:sz="2" w:space="0" w:color="auto"/>
              <w:bottom w:val="single" w:sz="2" w:space="0" w:color="auto"/>
              <w:right w:val="single" w:sz="2" w:space="0" w:color="auto"/>
            </w:tcBorders>
            <w:vAlign w:val="center"/>
            <w:hideMark/>
          </w:tcPr>
          <w:p w14:paraId="5AB34F4C"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2</w:t>
            </w:r>
          </w:p>
        </w:tc>
      </w:tr>
      <w:tr w:rsidR="004E3FDC" w:rsidRPr="0077700D" w14:paraId="09C13515" w14:textId="77777777" w:rsidTr="00450B7A">
        <w:trPr>
          <w:cantSplit/>
          <w:jc w:val="center"/>
        </w:trPr>
        <w:tc>
          <w:tcPr>
            <w:tcW w:w="1493" w:type="pct"/>
            <w:gridSpan w:val="2"/>
            <w:tcBorders>
              <w:top w:val="single" w:sz="2" w:space="0" w:color="auto"/>
              <w:left w:val="single" w:sz="2" w:space="0" w:color="auto"/>
              <w:bottom w:val="single" w:sz="2" w:space="0" w:color="auto"/>
              <w:right w:val="single" w:sz="2" w:space="0" w:color="auto"/>
            </w:tcBorders>
            <w:vAlign w:val="center"/>
            <w:hideMark/>
          </w:tcPr>
          <w:p w14:paraId="17D39DE5" w14:textId="77777777" w:rsidR="004E3FDC" w:rsidRPr="0077700D" w:rsidRDefault="004E3FDC" w:rsidP="00450B7A">
            <w:pPr>
              <w:widowControl w:val="0"/>
              <w:spacing w:after="0" w:line="240" w:lineRule="auto"/>
              <w:rPr>
                <w:rFonts w:ascii="Cambria" w:eastAsia="Times New Roman" w:hAnsi="Cambria"/>
                <w:lang w:val="hr-HR"/>
              </w:rPr>
            </w:pPr>
            <w:r w:rsidRPr="0077700D">
              <w:rPr>
                <w:rFonts w:ascii="Cambria" w:eastAsia="Times New Roman" w:hAnsi="Cambria"/>
                <w:lang w:val="hr-HR"/>
              </w:rPr>
              <w:t>Diplomski rad</w:t>
            </w:r>
          </w:p>
        </w:tc>
        <w:tc>
          <w:tcPr>
            <w:tcW w:w="1992" w:type="pct"/>
            <w:tcBorders>
              <w:top w:val="single" w:sz="2" w:space="0" w:color="auto"/>
              <w:left w:val="single" w:sz="2" w:space="0" w:color="auto"/>
              <w:bottom w:val="single" w:sz="2" w:space="0" w:color="auto"/>
              <w:right w:val="single" w:sz="2" w:space="0" w:color="auto"/>
            </w:tcBorders>
            <w:vAlign w:val="center"/>
          </w:tcPr>
          <w:p w14:paraId="2C5D2B7D" w14:textId="77777777" w:rsidR="004E3FDC" w:rsidRPr="0077700D" w:rsidRDefault="004E3FDC" w:rsidP="00450B7A">
            <w:pPr>
              <w:widowControl w:val="0"/>
              <w:spacing w:after="0" w:line="240" w:lineRule="auto"/>
              <w:rPr>
                <w:rFonts w:ascii="Cambria" w:eastAsia="Times New Roman" w:hAnsi="Cambria"/>
                <w:lang w:val="hr-HR"/>
              </w:rPr>
            </w:pPr>
          </w:p>
        </w:tc>
        <w:tc>
          <w:tcPr>
            <w:tcW w:w="330" w:type="pct"/>
            <w:gridSpan w:val="3"/>
            <w:tcBorders>
              <w:top w:val="single" w:sz="2" w:space="0" w:color="auto"/>
              <w:left w:val="single" w:sz="2" w:space="0" w:color="auto"/>
              <w:bottom w:val="single" w:sz="2" w:space="0" w:color="auto"/>
              <w:right w:val="single" w:sz="2" w:space="0" w:color="auto"/>
            </w:tcBorders>
            <w:vAlign w:val="center"/>
          </w:tcPr>
          <w:p w14:paraId="0D5A3753" w14:textId="77777777" w:rsidR="004E3FDC" w:rsidRPr="0077700D" w:rsidRDefault="004E3FDC" w:rsidP="00450B7A">
            <w:pPr>
              <w:widowControl w:val="0"/>
              <w:spacing w:after="0" w:line="240" w:lineRule="auto"/>
              <w:jc w:val="center"/>
              <w:rPr>
                <w:rFonts w:ascii="Cambria" w:eastAsia="Times New Roman" w:hAnsi="Cambria"/>
                <w:lang w:val="hr-HR"/>
              </w:rPr>
            </w:pPr>
          </w:p>
        </w:tc>
        <w:tc>
          <w:tcPr>
            <w:tcW w:w="337" w:type="pct"/>
            <w:gridSpan w:val="2"/>
            <w:tcBorders>
              <w:top w:val="single" w:sz="2" w:space="0" w:color="auto"/>
              <w:left w:val="single" w:sz="2" w:space="0" w:color="auto"/>
              <w:bottom w:val="single" w:sz="2" w:space="0" w:color="auto"/>
              <w:right w:val="single" w:sz="2" w:space="0" w:color="auto"/>
            </w:tcBorders>
          </w:tcPr>
          <w:p w14:paraId="5909279E" w14:textId="77777777" w:rsidR="004E3FDC" w:rsidRPr="0077700D" w:rsidRDefault="004E3FDC" w:rsidP="00450B7A">
            <w:pPr>
              <w:widowControl w:val="0"/>
              <w:spacing w:after="0" w:line="240" w:lineRule="auto"/>
              <w:jc w:val="center"/>
              <w:rPr>
                <w:rFonts w:ascii="Cambria" w:eastAsia="Times New Roman" w:hAnsi="Cambria"/>
                <w:lang w:val="hr-HR"/>
              </w:rPr>
            </w:pPr>
          </w:p>
        </w:tc>
        <w:tc>
          <w:tcPr>
            <w:tcW w:w="358" w:type="pct"/>
            <w:tcBorders>
              <w:top w:val="single" w:sz="2" w:space="0" w:color="auto"/>
              <w:left w:val="single" w:sz="2" w:space="0" w:color="auto"/>
              <w:bottom w:val="single" w:sz="2" w:space="0" w:color="auto"/>
              <w:right w:val="single" w:sz="2" w:space="0" w:color="auto"/>
            </w:tcBorders>
            <w:vAlign w:val="center"/>
          </w:tcPr>
          <w:p w14:paraId="4F41C8A4" w14:textId="77777777" w:rsidR="004E3FDC" w:rsidRPr="0077700D" w:rsidRDefault="004E3FDC" w:rsidP="00450B7A">
            <w:pPr>
              <w:widowControl w:val="0"/>
              <w:spacing w:after="0" w:line="240" w:lineRule="auto"/>
              <w:jc w:val="center"/>
              <w:rPr>
                <w:rFonts w:ascii="Cambria" w:eastAsia="Times New Roman" w:hAnsi="Cambria"/>
                <w:lang w:val="hr-HR"/>
              </w:rPr>
            </w:pPr>
          </w:p>
        </w:tc>
        <w:tc>
          <w:tcPr>
            <w:tcW w:w="490" w:type="pct"/>
            <w:gridSpan w:val="2"/>
            <w:tcBorders>
              <w:top w:val="single" w:sz="2" w:space="0" w:color="auto"/>
              <w:left w:val="single" w:sz="2" w:space="0" w:color="auto"/>
              <w:bottom w:val="single" w:sz="2" w:space="0" w:color="auto"/>
              <w:right w:val="single" w:sz="2" w:space="0" w:color="auto"/>
            </w:tcBorders>
            <w:vAlign w:val="center"/>
            <w:hideMark/>
          </w:tcPr>
          <w:p w14:paraId="29BB192A"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10</w:t>
            </w:r>
          </w:p>
        </w:tc>
      </w:tr>
      <w:tr w:rsidR="004E3FDC" w:rsidRPr="0077700D" w14:paraId="301D669C" w14:textId="77777777" w:rsidTr="00450B7A">
        <w:trPr>
          <w:cantSplit/>
          <w:jc w:val="center"/>
        </w:trPr>
        <w:tc>
          <w:tcPr>
            <w:tcW w:w="1493" w:type="pct"/>
            <w:gridSpan w:val="2"/>
            <w:tcBorders>
              <w:top w:val="single" w:sz="2" w:space="0" w:color="auto"/>
              <w:left w:val="single" w:sz="2" w:space="0" w:color="auto"/>
              <w:bottom w:val="single" w:sz="2" w:space="0" w:color="auto"/>
              <w:right w:val="single" w:sz="2" w:space="0" w:color="auto"/>
            </w:tcBorders>
            <w:vAlign w:val="center"/>
            <w:hideMark/>
          </w:tcPr>
          <w:p w14:paraId="541E0B6B" w14:textId="77777777" w:rsidR="004E3FDC" w:rsidRPr="0077700D" w:rsidRDefault="004E3FDC" w:rsidP="00450B7A">
            <w:pPr>
              <w:spacing w:after="0" w:line="240" w:lineRule="auto"/>
              <w:rPr>
                <w:rFonts w:ascii="Cambria" w:eastAsia="Times New Roman" w:hAnsi="Cambria"/>
                <w:lang w:val="hr-HR"/>
              </w:rPr>
            </w:pPr>
            <w:r w:rsidRPr="0077700D">
              <w:rPr>
                <w:rFonts w:ascii="Cambria" w:eastAsia="Times New Roman" w:hAnsi="Cambria"/>
                <w:lang w:val="hr-HR"/>
              </w:rPr>
              <w:t>Izborni modul</w:t>
            </w:r>
          </w:p>
        </w:tc>
        <w:tc>
          <w:tcPr>
            <w:tcW w:w="1992" w:type="pct"/>
            <w:tcBorders>
              <w:top w:val="single" w:sz="2" w:space="0" w:color="auto"/>
              <w:left w:val="single" w:sz="2" w:space="0" w:color="auto"/>
              <w:bottom w:val="single" w:sz="2" w:space="0" w:color="auto"/>
              <w:right w:val="single" w:sz="2" w:space="0" w:color="auto"/>
            </w:tcBorders>
            <w:vAlign w:val="center"/>
          </w:tcPr>
          <w:p w14:paraId="1FA8E8D5" w14:textId="77777777" w:rsidR="004E3FDC" w:rsidRPr="0077700D" w:rsidRDefault="004E3FDC" w:rsidP="00450B7A">
            <w:pPr>
              <w:spacing w:after="0" w:line="240" w:lineRule="auto"/>
              <w:rPr>
                <w:rFonts w:ascii="Cambria" w:eastAsia="Times New Roman" w:hAnsi="Cambria"/>
                <w:lang w:val="hr-HR"/>
              </w:rPr>
            </w:pPr>
          </w:p>
        </w:tc>
        <w:tc>
          <w:tcPr>
            <w:tcW w:w="330" w:type="pct"/>
            <w:gridSpan w:val="3"/>
            <w:tcBorders>
              <w:top w:val="single" w:sz="2" w:space="0" w:color="auto"/>
              <w:left w:val="single" w:sz="2" w:space="0" w:color="auto"/>
              <w:bottom w:val="single" w:sz="2" w:space="0" w:color="auto"/>
              <w:right w:val="single" w:sz="2" w:space="0" w:color="auto"/>
            </w:tcBorders>
            <w:vAlign w:val="center"/>
          </w:tcPr>
          <w:p w14:paraId="2DF8E881" w14:textId="77777777" w:rsidR="004E3FDC" w:rsidRPr="0077700D" w:rsidRDefault="004E3FDC" w:rsidP="00450B7A">
            <w:pPr>
              <w:widowControl w:val="0"/>
              <w:spacing w:after="0" w:line="240" w:lineRule="auto"/>
              <w:jc w:val="center"/>
              <w:rPr>
                <w:rFonts w:ascii="Cambria" w:eastAsia="Times New Roman" w:hAnsi="Cambria"/>
                <w:lang w:val="hr-HR"/>
              </w:rPr>
            </w:pPr>
          </w:p>
        </w:tc>
        <w:tc>
          <w:tcPr>
            <w:tcW w:w="337" w:type="pct"/>
            <w:gridSpan w:val="2"/>
            <w:tcBorders>
              <w:top w:val="single" w:sz="2" w:space="0" w:color="auto"/>
              <w:left w:val="single" w:sz="2" w:space="0" w:color="auto"/>
              <w:bottom w:val="single" w:sz="2" w:space="0" w:color="auto"/>
              <w:right w:val="single" w:sz="2" w:space="0" w:color="auto"/>
            </w:tcBorders>
          </w:tcPr>
          <w:p w14:paraId="40FC6E63" w14:textId="77777777" w:rsidR="004E3FDC" w:rsidRPr="0077700D" w:rsidRDefault="004E3FDC" w:rsidP="00450B7A">
            <w:pPr>
              <w:widowControl w:val="0"/>
              <w:spacing w:after="0" w:line="240" w:lineRule="auto"/>
              <w:jc w:val="center"/>
              <w:rPr>
                <w:rFonts w:ascii="Cambria" w:eastAsia="Times New Roman" w:hAnsi="Cambria"/>
                <w:lang w:val="hr-HR"/>
              </w:rPr>
            </w:pPr>
          </w:p>
        </w:tc>
        <w:tc>
          <w:tcPr>
            <w:tcW w:w="358" w:type="pct"/>
            <w:tcBorders>
              <w:top w:val="single" w:sz="2" w:space="0" w:color="auto"/>
              <w:left w:val="single" w:sz="2" w:space="0" w:color="auto"/>
              <w:bottom w:val="single" w:sz="2" w:space="0" w:color="auto"/>
              <w:right w:val="single" w:sz="2" w:space="0" w:color="auto"/>
            </w:tcBorders>
            <w:vAlign w:val="center"/>
          </w:tcPr>
          <w:p w14:paraId="2F23976B" w14:textId="77777777" w:rsidR="004E3FDC" w:rsidRPr="0077700D" w:rsidRDefault="004E3FDC" w:rsidP="00450B7A">
            <w:pPr>
              <w:widowControl w:val="0"/>
              <w:spacing w:after="0" w:line="240" w:lineRule="auto"/>
              <w:jc w:val="center"/>
              <w:rPr>
                <w:rFonts w:ascii="Cambria" w:eastAsia="Times New Roman" w:hAnsi="Cambria"/>
                <w:lang w:val="hr-HR"/>
              </w:rPr>
            </w:pPr>
          </w:p>
        </w:tc>
        <w:tc>
          <w:tcPr>
            <w:tcW w:w="490" w:type="pct"/>
            <w:gridSpan w:val="2"/>
            <w:tcBorders>
              <w:top w:val="single" w:sz="2" w:space="0" w:color="auto"/>
              <w:left w:val="single" w:sz="2" w:space="0" w:color="auto"/>
              <w:bottom w:val="single" w:sz="2" w:space="0" w:color="auto"/>
              <w:right w:val="single" w:sz="2" w:space="0" w:color="auto"/>
            </w:tcBorders>
            <w:vAlign w:val="center"/>
            <w:hideMark/>
          </w:tcPr>
          <w:p w14:paraId="0374BA58"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7</w:t>
            </w:r>
          </w:p>
        </w:tc>
      </w:tr>
      <w:tr w:rsidR="004E3FDC" w:rsidRPr="0077700D" w14:paraId="3F8EF1D5" w14:textId="77777777" w:rsidTr="00450B7A">
        <w:trPr>
          <w:cantSplit/>
          <w:jc w:val="center"/>
        </w:trPr>
        <w:tc>
          <w:tcPr>
            <w:tcW w:w="1493" w:type="pct"/>
            <w:gridSpan w:val="2"/>
            <w:tcBorders>
              <w:top w:val="single" w:sz="2" w:space="0" w:color="auto"/>
              <w:left w:val="single" w:sz="2" w:space="0" w:color="auto"/>
              <w:bottom w:val="single" w:sz="2" w:space="0" w:color="auto"/>
              <w:right w:val="single" w:sz="2" w:space="0" w:color="auto"/>
            </w:tcBorders>
            <w:vAlign w:val="center"/>
            <w:hideMark/>
          </w:tcPr>
          <w:p w14:paraId="72F641B1" w14:textId="77777777" w:rsidR="004E3FDC" w:rsidRPr="0077700D" w:rsidRDefault="004E3FDC" w:rsidP="00450B7A">
            <w:pPr>
              <w:widowControl w:val="0"/>
              <w:spacing w:after="0" w:line="240" w:lineRule="auto"/>
              <w:rPr>
                <w:rFonts w:ascii="Cambria" w:eastAsia="Times New Roman" w:hAnsi="Cambria"/>
                <w:b/>
                <w:lang w:val="hr-HR"/>
              </w:rPr>
            </w:pPr>
            <w:r w:rsidRPr="0077700D">
              <w:rPr>
                <w:rFonts w:ascii="Cambria" w:eastAsia="Times New Roman" w:hAnsi="Cambria"/>
                <w:b/>
                <w:lang w:val="hr-HR"/>
              </w:rPr>
              <w:t>Ukupno</w:t>
            </w:r>
          </w:p>
        </w:tc>
        <w:tc>
          <w:tcPr>
            <w:tcW w:w="1992" w:type="pct"/>
            <w:tcBorders>
              <w:top w:val="single" w:sz="2" w:space="0" w:color="auto"/>
              <w:left w:val="single" w:sz="2" w:space="0" w:color="auto"/>
              <w:bottom w:val="single" w:sz="2" w:space="0" w:color="auto"/>
              <w:right w:val="single" w:sz="2" w:space="0" w:color="auto"/>
            </w:tcBorders>
            <w:vAlign w:val="center"/>
          </w:tcPr>
          <w:p w14:paraId="6C430707" w14:textId="77777777" w:rsidR="004E3FDC" w:rsidRPr="0077700D" w:rsidRDefault="004E3FDC" w:rsidP="00450B7A">
            <w:pPr>
              <w:widowControl w:val="0"/>
              <w:spacing w:after="0" w:line="240" w:lineRule="auto"/>
              <w:rPr>
                <w:rFonts w:ascii="Cambria" w:eastAsia="Times New Roman" w:hAnsi="Cambria"/>
                <w:b/>
                <w:lang w:val="hr-HR"/>
              </w:rPr>
            </w:pPr>
          </w:p>
        </w:tc>
        <w:tc>
          <w:tcPr>
            <w:tcW w:w="1025" w:type="pct"/>
            <w:gridSpan w:val="6"/>
            <w:tcBorders>
              <w:top w:val="single" w:sz="2" w:space="0" w:color="auto"/>
              <w:left w:val="single" w:sz="2" w:space="0" w:color="auto"/>
              <w:bottom w:val="single" w:sz="2" w:space="0" w:color="auto"/>
              <w:right w:val="single" w:sz="2" w:space="0" w:color="auto"/>
            </w:tcBorders>
            <w:vAlign w:val="center"/>
          </w:tcPr>
          <w:p w14:paraId="62718EC1" w14:textId="77777777" w:rsidR="004E3FDC" w:rsidRPr="0077700D" w:rsidRDefault="004E3FDC" w:rsidP="00450B7A">
            <w:pPr>
              <w:widowControl w:val="0"/>
              <w:spacing w:after="0" w:line="240" w:lineRule="auto"/>
              <w:jc w:val="center"/>
              <w:rPr>
                <w:rFonts w:ascii="Cambria" w:eastAsia="Times New Roman" w:hAnsi="Cambria"/>
                <w:b/>
                <w:lang w:val="hr-HR"/>
              </w:rPr>
            </w:pPr>
          </w:p>
        </w:tc>
        <w:tc>
          <w:tcPr>
            <w:tcW w:w="490" w:type="pct"/>
            <w:gridSpan w:val="2"/>
            <w:tcBorders>
              <w:top w:val="single" w:sz="2" w:space="0" w:color="auto"/>
              <w:left w:val="single" w:sz="2" w:space="0" w:color="auto"/>
              <w:bottom w:val="single" w:sz="2" w:space="0" w:color="auto"/>
              <w:right w:val="single" w:sz="2" w:space="0" w:color="auto"/>
            </w:tcBorders>
            <w:vAlign w:val="center"/>
            <w:hideMark/>
          </w:tcPr>
          <w:p w14:paraId="397E5BA7" w14:textId="77777777" w:rsidR="004E3FDC" w:rsidRPr="0077700D" w:rsidRDefault="004E3FDC" w:rsidP="00450B7A">
            <w:pPr>
              <w:widowControl w:val="0"/>
              <w:spacing w:after="0" w:line="240" w:lineRule="auto"/>
              <w:jc w:val="center"/>
              <w:rPr>
                <w:rFonts w:ascii="Cambria" w:eastAsia="Times New Roman" w:hAnsi="Cambria"/>
                <w:b/>
                <w:bCs/>
                <w:lang w:val="hr-HR"/>
              </w:rPr>
            </w:pPr>
            <w:r w:rsidRPr="0077700D">
              <w:rPr>
                <w:rFonts w:ascii="Cambria" w:eastAsia="Times New Roman" w:hAnsi="Cambria"/>
                <w:b/>
                <w:bCs/>
                <w:lang w:val="hr-HR"/>
              </w:rPr>
              <w:t>30</w:t>
            </w:r>
          </w:p>
        </w:tc>
      </w:tr>
      <w:tr w:rsidR="004E3FDC" w:rsidRPr="0077700D" w14:paraId="5678E1AF" w14:textId="77777777" w:rsidTr="00450B7A">
        <w:trPr>
          <w:cantSplit/>
          <w:jc w:val="center"/>
        </w:trPr>
        <w:tc>
          <w:tcPr>
            <w:tcW w:w="1493" w:type="pct"/>
            <w:gridSpan w:val="2"/>
            <w:tcBorders>
              <w:top w:val="single" w:sz="4" w:space="0" w:color="auto"/>
              <w:left w:val="single" w:sz="4" w:space="0" w:color="auto"/>
              <w:bottom w:val="single" w:sz="4" w:space="0" w:color="auto"/>
              <w:right w:val="nil"/>
            </w:tcBorders>
          </w:tcPr>
          <w:p w14:paraId="69E03BE3" w14:textId="77777777" w:rsidR="004E3FDC" w:rsidRPr="0077700D" w:rsidRDefault="004E3FDC" w:rsidP="00450B7A">
            <w:pPr>
              <w:spacing w:after="0" w:line="240" w:lineRule="auto"/>
              <w:rPr>
                <w:rFonts w:ascii="Cambria" w:eastAsia="Times New Roman" w:hAnsi="Cambria"/>
                <w:lang w:val="hr-HR"/>
              </w:rPr>
            </w:pPr>
          </w:p>
        </w:tc>
        <w:tc>
          <w:tcPr>
            <w:tcW w:w="1992" w:type="pct"/>
            <w:tcBorders>
              <w:top w:val="single" w:sz="4" w:space="0" w:color="auto"/>
              <w:left w:val="nil"/>
              <w:bottom w:val="single" w:sz="4" w:space="0" w:color="auto"/>
              <w:right w:val="nil"/>
            </w:tcBorders>
          </w:tcPr>
          <w:p w14:paraId="5A66668E" w14:textId="77777777" w:rsidR="004E3FDC" w:rsidRPr="0077700D" w:rsidRDefault="004E3FDC" w:rsidP="00450B7A">
            <w:pPr>
              <w:spacing w:after="0" w:line="240" w:lineRule="auto"/>
              <w:rPr>
                <w:rFonts w:ascii="Cambria" w:eastAsia="Times New Roman" w:hAnsi="Cambria"/>
                <w:lang w:val="hr-HR"/>
              </w:rPr>
            </w:pPr>
            <w:r w:rsidRPr="0077700D">
              <w:rPr>
                <w:rFonts w:ascii="Cambria" w:eastAsia="Times New Roman" w:hAnsi="Cambria"/>
                <w:b/>
                <w:lang w:val="hr-HR"/>
              </w:rPr>
              <w:t>Izborni moduli</w:t>
            </w:r>
          </w:p>
        </w:tc>
        <w:tc>
          <w:tcPr>
            <w:tcW w:w="330" w:type="pct"/>
            <w:gridSpan w:val="3"/>
            <w:tcBorders>
              <w:top w:val="single" w:sz="4" w:space="0" w:color="auto"/>
              <w:left w:val="nil"/>
              <w:bottom w:val="single" w:sz="4" w:space="0" w:color="auto"/>
              <w:right w:val="nil"/>
            </w:tcBorders>
          </w:tcPr>
          <w:p w14:paraId="25792F6D" w14:textId="77777777" w:rsidR="004E3FDC" w:rsidRPr="0077700D" w:rsidRDefault="004E3FDC" w:rsidP="00450B7A">
            <w:pPr>
              <w:spacing w:after="0" w:line="240" w:lineRule="auto"/>
              <w:rPr>
                <w:rFonts w:ascii="Cambria" w:eastAsia="Times New Roman" w:hAnsi="Cambria"/>
                <w:lang w:val="hr-HR"/>
              </w:rPr>
            </w:pPr>
          </w:p>
        </w:tc>
        <w:tc>
          <w:tcPr>
            <w:tcW w:w="337" w:type="pct"/>
            <w:gridSpan w:val="2"/>
            <w:tcBorders>
              <w:top w:val="single" w:sz="4" w:space="0" w:color="auto"/>
              <w:left w:val="nil"/>
              <w:bottom w:val="single" w:sz="4" w:space="0" w:color="auto"/>
              <w:right w:val="nil"/>
            </w:tcBorders>
          </w:tcPr>
          <w:p w14:paraId="351D3A45" w14:textId="77777777" w:rsidR="004E3FDC" w:rsidRPr="0077700D" w:rsidRDefault="004E3FDC" w:rsidP="00450B7A">
            <w:pPr>
              <w:spacing w:after="0" w:line="240" w:lineRule="auto"/>
              <w:rPr>
                <w:rFonts w:ascii="Cambria" w:eastAsia="Times New Roman" w:hAnsi="Cambria"/>
                <w:lang w:val="hr-HR"/>
              </w:rPr>
            </w:pPr>
          </w:p>
        </w:tc>
        <w:tc>
          <w:tcPr>
            <w:tcW w:w="358" w:type="pct"/>
            <w:tcBorders>
              <w:top w:val="single" w:sz="4" w:space="0" w:color="auto"/>
              <w:left w:val="nil"/>
              <w:bottom w:val="single" w:sz="4" w:space="0" w:color="auto"/>
              <w:right w:val="nil"/>
            </w:tcBorders>
          </w:tcPr>
          <w:p w14:paraId="3D514275" w14:textId="77777777" w:rsidR="004E3FDC" w:rsidRPr="0077700D" w:rsidRDefault="004E3FDC" w:rsidP="00450B7A">
            <w:pPr>
              <w:spacing w:after="0" w:line="240" w:lineRule="auto"/>
              <w:rPr>
                <w:rFonts w:ascii="Cambria" w:eastAsia="Times New Roman" w:hAnsi="Cambria"/>
                <w:lang w:val="hr-HR"/>
              </w:rPr>
            </w:pPr>
          </w:p>
        </w:tc>
        <w:tc>
          <w:tcPr>
            <w:tcW w:w="490" w:type="pct"/>
            <w:gridSpan w:val="2"/>
            <w:tcBorders>
              <w:top w:val="single" w:sz="4" w:space="0" w:color="auto"/>
              <w:left w:val="nil"/>
              <w:bottom w:val="single" w:sz="4" w:space="0" w:color="auto"/>
              <w:right w:val="single" w:sz="4" w:space="0" w:color="auto"/>
            </w:tcBorders>
          </w:tcPr>
          <w:p w14:paraId="716F50BA" w14:textId="77777777" w:rsidR="004E3FDC" w:rsidRPr="0077700D" w:rsidRDefault="004E3FDC" w:rsidP="00450B7A">
            <w:pPr>
              <w:spacing w:after="0" w:line="240" w:lineRule="auto"/>
              <w:rPr>
                <w:rFonts w:ascii="Cambria" w:eastAsia="Times New Roman" w:hAnsi="Cambria"/>
                <w:lang w:val="hr-HR"/>
              </w:rPr>
            </w:pPr>
          </w:p>
        </w:tc>
      </w:tr>
      <w:tr w:rsidR="004E3FDC" w:rsidRPr="0077700D" w14:paraId="223D17A7" w14:textId="77777777" w:rsidTr="00450B7A">
        <w:trPr>
          <w:cantSplit/>
          <w:jc w:val="center"/>
        </w:trPr>
        <w:tc>
          <w:tcPr>
            <w:tcW w:w="1493" w:type="pct"/>
            <w:gridSpan w:val="2"/>
            <w:tcBorders>
              <w:top w:val="single" w:sz="4" w:space="0" w:color="auto"/>
              <w:left w:val="single" w:sz="2" w:space="0" w:color="auto"/>
              <w:bottom w:val="single" w:sz="2" w:space="0" w:color="auto"/>
              <w:right w:val="single" w:sz="2" w:space="0" w:color="auto"/>
            </w:tcBorders>
            <w:vAlign w:val="center"/>
            <w:hideMark/>
          </w:tcPr>
          <w:p w14:paraId="7676E8FD" w14:textId="77777777" w:rsidR="004E3FDC" w:rsidRPr="0077700D" w:rsidRDefault="004E3FDC" w:rsidP="00450B7A">
            <w:pPr>
              <w:widowControl w:val="0"/>
              <w:spacing w:after="0" w:line="240" w:lineRule="auto"/>
              <w:rPr>
                <w:rFonts w:ascii="Cambria" w:eastAsia="Times New Roman" w:hAnsi="Cambria"/>
                <w:b/>
                <w:lang w:val="hr-HR"/>
              </w:rPr>
            </w:pPr>
            <w:r w:rsidRPr="0077700D">
              <w:rPr>
                <w:rFonts w:ascii="Cambria" w:eastAsia="Times New Roman" w:hAnsi="Cambria"/>
                <w:b/>
                <w:lang w:val="hr-HR"/>
              </w:rPr>
              <w:t>Izborni modul I: 10916</w:t>
            </w:r>
          </w:p>
        </w:tc>
        <w:tc>
          <w:tcPr>
            <w:tcW w:w="1992" w:type="pct"/>
            <w:tcBorders>
              <w:top w:val="single" w:sz="4" w:space="0" w:color="auto"/>
              <w:left w:val="single" w:sz="2" w:space="0" w:color="auto"/>
              <w:bottom w:val="single" w:sz="2" w:space="0" w:color="auto"/>
              <w:right w:val="single" w:sz="2" w:space="0" w:color="auto"/>
            </w:tcBorders>
            <w:vAlign w:val="center"/>
            <w:hideMark/>
          </w:tcPr>
          <w:p w14:paraId="4AD519C3" w14:textId="77777777" w:rsidR="004E3FDC" w:rsidRPr="0077700D" w:rsidRDefault="004E3FDC" w:rsidP="00450B7A">
            <w:pPr>
              <w:widowControl w:val="0"/>
              <w:spacing w:after="0" w:line="240" w:lineRule="auto"/>
              <w:rPr>
                <w:rFonts w:ascii="Cambria" w:eastAsia="Times New Roman" w:hAnsi="Cambria"/>
                <w:b/>
                <w:lang w:val="hr-HR"/>
              </w:rPr>
            </w:pPr>
            <w:r w:rsidRPr="0077700D">
              <w:rPr>
                <w:rFonts w:ascii="Cambria" w:eastAsia="Times New Roman" w:hAnsi="Cambria"/>
                <w:b/>
                <w:lang w:val="hr-HR"/>
              </w:rPr>
              <w:t>Nastavnik/</w:t>
            </w:r>
            <w:proofErr w:type="spellStart"/>
            <w:r w:rsidRPr="0077700D">
              <w:rPr>
                <w:rFonts w:ascii="Cambria" w:eastAsia="Times New Roman" w:hAnsi="Cambria"/>
                <w:b/>
                <w:lang w:val="hr-HR"/>
              </w:rPr>
              <w:t>ica</w:t>
            </w:r>
            <w:proofErr w:type="spellEnd"/>
          </w:p>
        </w:tc>
        <w:tc>
          <w:tcPr>
            <w:tcW w:w="330" w:type="pct"/>
            <w:gridSpan w:val="3"/>
            <w:tcBorders>
              <w:top w:val="single" w:sz="4" w:space="0" w:color="auto"/>
              <w:left w:val="single" w:sz="2" w:space="0" w:color="auto"/>
              <w:bottom w:val="single" w:sz="2" w:space="0" w:color="auto"/>
              <w:right w:val="single" w:sz="2" w:space="0" w:color="auto"/>
            </w:tcBorders>
            <w:vAlign w:val="center"/>
            <w:hideMark/>
          </w:tcPr>
          <w:p w14:paraId="6C4A1E63" w14:textId="77777777" w:rsidR="004E3FDC" w:rsidRPr="0077700D" w:rsidRDefault="004E3FDC" w:rsidP="00450B7A">
            <w:pPr>
              <w:spacing w:after="0" w:line="240" w:lineRule="auto"/>
              <w:jc w:val="center"/>
              <w:rPr>
                <w:rFonts w:ascii="Cambria" w:eastAsia="Times New Roman" w:hAnsi="Cambria"/>
                <w:b/>
                <w:bCs/>
                <w:caps/>
                <w:lang w:val="hr-HR"/>
              </w:rPr>
            </w:pPr>
            <w:r w:rsidRPr="0077700D">
              <w:rPr>
                <w:rFonts w:ascii="Cambria" w:eastAsia="Times New Roman" w:hAnsi="Cambria"/>
                <w:b/>
                <w:bCs/>
                <w:caps/>
                <w:lang w:val="hr-HR"/>
              </w:rPr>
              <w:t>P</w:t>
            </w:r>
          </w:p>
        </w:tc>
        <w:tc>
          <w:tcPr>
            <w:tcW w:w="337" w:type="pct"/>
            <w:gridSpan w:val="2"/>
            <w:tcBorders>
              <w:top w:val="single" w:sz="4" w:space="0" w:color="auto"/>
              <w:left w:val="single" w:sz="2" w:space="0" w:color="auto"/>
              <w:bottom w:val="single" w:sz="2" w:space="0" w:color="auto"/>
              <w:right w:val="single" w:sz="2" w:space="0" w:color="auto"/>
            </w:tcBorders>
            <w:vAlign w:val="center"/>
          </w:tcPr>
          <w:p w14:paraId="727C9FEB" w14:textId="77777777" w:rsidR="004E3FDC" w:rsidRPr="0077700D" w:rsidRDefault="004E3FDC" w:rsidP="00450B7A">
            <w:pPr>
              <w:spacing w:after="0" w:line="240" w:lineRule="auto"/>
              <w:jc w:val="center"/>
              <w:rPr>
                <w:rFonts w:ascii="Cambria" w:eastAsia="Times New Roman" w:hAnsi="Cambria"/>
                <w:b/>
                <w:bCs/>
                <w:caps/>
                <w:lang w:val="hr-HR"/>
              </w:rPr>
            </w:pPr>
            <w:r w:rsidRPr="0077700D">
              <w:rPr>
                <w:rFonts w:ascii="Cambria" w:eastAsia="Times New Roman" w:hAnsi="Cambria"/>
                <w:b/>
                <w:bCs/>
                <w:caps/>
                <w:lang w:val="hr-HR"/>
              </w:rPr>
              <w:t>S</w:t>
            </w:r>
          </w:p>
        </w:tc>
        <w:tc>
          <w:tcPr>
            <w:tcW w:w="358" w:type="pct"/>
            <w:tcBorders>
              <w:top w:val="single" w:sz="4" w:space="0" w:color="auto"/>
              <w:left w:val="single" w:sz="2" w:space="0" w:color="auto"/>
              <w:bottom w:val="single" w:sz="2" w:space="0" w:color="auto"/>
              <w:right w:val="single" w:sz="2" w:space="0" w:color="auto"/>
            </w:tcBorders>
            <w:vAlign w:val="center"/>
            <w:hideMark/>
          </w:tcPr>
          <w:p w14:paraId="320FE033" w14:textId="77777777" w:rsidR="004E3FDC" w:rsidRPr="0077700D" w:rsidRDefault="004E3FDC" w:rsidP="00450B7A">
            <w:pPr>
              <w:spacing w:after="0" w:line="240" w:lineRule="auto"/>
              <w:jc w:val="center"/>
              <w:rPr>
                <w:rFonts w:ascii="Cambria" w:eastAsia="Times New Roman" w:hAnsi="Cambria"/>
                <w:b/>
                <w:bCs/>
                <w:caps/>
                <w:lang w:val="hr-HR"/>
              </w:rPr>
            </w:pPr>
            <w:r w:rsidRPr="0077700D">
              <w:rPr>
                <w:rFonts w:ascii="Cambria" w:eastAsia="Times New Roman" w:hAnsi="Cambria"/>
                <w:b/>
                <w:bCs/>
                <w:caps/>
                <w:lang w:val="hr-HR"/>
              </w:rPr>
              <w:t>V</w:t>
            </w:r>
          </w:p>
        </w:tc>
        <w:tc>
          <w:tcPr>
            <w:tcW w:w="490" w:type="pct"/>
            <w:gridSpan w:val="2"/>
            <w:tcBorders>
              <w:top w:val="single" w:sz="4" w:space="0" w:color="auto"/>
              <w:left w:val="single" w:sz="2" w:space="0" w:color="auto"/>
              <w:bottom w:val="single" w:sz="2" w:space="0" w:color="auto"/>
              <w:right w:val="single" w:sz="2" w:space="0" w:color="auto"/>
            </w:tcBorders>
            <w:vAlign w:val="center"/>
            <w:hideMark/>
          </w:tcPr>
          <w:p w14:paraId="2618D8AC" w14:textId="77777777" w:rsidR="004E3FDC" w:rsidRPr="0077700D" w:rsidRDefault="004E3FDC" w:rsidP="00450B7A">
            <w:pPr>
              <w:spacing w:after="0" w:line="240" w:lineRule="auto"/>
              <w:jc w:val="center"/>
              <w:rPr>
                <w:rFonts w:ascii="Cambria" w:eastAsia="Times New Roman" w:hAnsi="Cambria"/>
                <w:b/>
                <w:bCs/>
                <w:caps/>
                <w:lang w:val="hr-HR"/>
              </w:rPr>
            </w:pPr>
            <w:r w:rsidRPr="0077700D">
              <w:rPr>
                <w:rFonts w:ascii="Cambria" w:eastAsia="Times New Roman" w:hAnsi="Cambria"/>
                <w:b/>
                <w:bCs/>
                <w:caps/>
                <w:lang w:val="hr-HR"/>
              </w:rPr>
              <w:t>ECTS</w:t>
            </w:r>
          </w:p>
        </w:tc>
      </w:tr>
      <w:tr w:rsidR="004E3FDC" w:rsidRPr="0077700D" w14:paraId="2E7B4CED" w14:textId="77777777" w:rsidTr="00450B7A">
        <w:trPr>
          <w:cantSplit/>
          <w:jc w:val="center"/>
        </w:trPr>
        <w:tc>
          <w:tcPr>
            <w:tcW w:w="1493" w:type="pct"/>
            <w:gridSpan w:val="2"/>
            <w:tcBorders>
              <w:top w:val="single" w:sz="2" w:space="0" w:color="auto"/>
              <w:left w:val="single" w:sz="2" w:space="0" w:color="auto"/>
              <w:bottom w:val="single" w:sz="2" w:space="0" w:color="auto"/>
              <w:right w:val="single" w:sz="2" w:space="0" w:color="auto"/>
            </w:tcBorders>
            <w:vAlign w:val="center"/>
            <w:hideMark/>
          </w:tcPr>
          <w:p w14:paraId="1CC11AFE" w14:textId="77777777" w:rsidR="004E3FDC" w:rsidRPr="0077700D" w:rsidRDefault="004E3FDC" w:rsidP="00450B7A">
            <w:pPr>
              <w:spacing w:before="20" w:after="20" w:line="240" w:lineRule="auto"/>
              <w:rPr>
                <w:rFonts w:ascii="Cambria" w:eastAsia="Times New Roman" w:hAnsi="Cambria"/>
                <w:b/>
                <w:lang w:val="hr-HR"/>
              </w:rPr>
            </w:pPr>
            <w:r w:rsidRPr="0077700D">
              <w:rPr>
                <w:rFonts w:ascii="Cambria" w:eastAsia="Times New Roman" w:hAnsi="Cambria"/>
                <w:b/>
                <w:lang w:val="hr-HR"/>
              </w:rPr>
              <w:t>118974</w:t>
            </w:r>
          </w:p>
          <w:p w14:paraId="37353407" w14:textId="77777777" w:rsidR="004E3FDC" w:rsidRPr="0077700D" w:rsidRDefault="004E3FDC" w:rsidP="00450B7A">
            <w:pPr>
              <w:spacing w:after="0" w:line="240" w:lineRule="auto"/>
              <w:rPr>
                <w:rFonts w:ascii="Cambria" w:eastAsia="Times New Roman" w:hAnsi="Cambria"/>
                <w:lang w:val="hr-HR"/>
              </w:rPr>
            </w:pPr>
            <w:r w:rsidRPr="0077700D">
              <w:rPr>
                <w:rFonts w:ascii="Cambria" w:eastAsia="Times New Roman" w:hAnsi="Cambria"/>
                <w:lang w:val="hr-HR"/>
              </w:rPr>
              <w:t>Metodika nastave engleskog jezika III</w:t>
            </w:r>
          </w:p>
        </w:tc>
        <w:tc>
          <w:tcPr>
            <w:tcW w:w="1992" w:type="pct"/>
            <w:tcBorders>
              <w:top w:val="single" w:sz="2" w:space="0" w:color="auto"/>
              <w:left w:val="single" w:sz="2" w:space="0" w:color="auto"/>
              <w:bottom w:val="single" w:sz="2" w:space="0" w:color="auto"/>
              <w:right w:val="single" w:sz="2" w:space="0" w:color="auto"/>
            </w:tcBorders>
            <w:vAlign w:val="center"/>
            <w:hideMark/>
          </w:tcPr>
          <w:p w14:paraId="0F19BB66" w14:textId="77777777" w:rsidR="004E3FDC" w:rsidRPr="0077700D" w:rsidRDefault="004E3FDC" w:rsidP="00450B7A">
            <w:pPr>
              <w:spacing w:after="0" w:line="240" w:lineRule="auto"/>
              <w:rPr>
                <w:rFonts w:ascii="Cambria" w:eastAsia="Times New Roman" w:hAnsi="Cambria"/>
                <w:lang w:val="hr-HR"/>
              </w:rPr>
            </w:pPr>
            <w:r w:rsidRPr="0077700D">
              <w:rPr>
                <w:rFonts w:ascii="Cambria" w:eastAsia="Times New Roman" w:hAnsi="Cambria"/>
                <w:lang w:val="hr-HR"/>
              </w:rPr>
              <w:t xml:space="preserve">naslovna doc. dr. sc. Marina Jajić </w:t>
            </w:r>
            <w:proofErr w:type="spellStart"/>
            <w:r w:rsidRPr="0077700D">
              <w:rPr>
                <w:rFonts w:ascii="Cambria" w:eastAsia="Times New Roman" w:hAnsi="Cambria"/>
                <w:lang w:val="hr-HR"/>
              </w:rPr>
              <w:t>Novogradec</w:t>
            </w:r>
            <w:proofErr w:type="spellEnd"/>
          </w:p>
          <w:p w14:paraId="6936FD23" w14:textId="77777777" w:rsidR="004E3FDC" w:rsidRPr="0077700D" w:rsidRDefault="004E3FDC" w:rsidP="00450B7A">
            <w:pPr>
              <w:widowControl w:val="0"/>
              <w:spacing w:after="0" w:line="240" w:lineRule="auto"/>
              <w:rPr>
                <w:rFonts w:ascii="Cambria" w:eastAsia="Times New Roman" w:hAnsi="Cambria"/>
                <w:lang w:val="hr-HR"/>
              </w:rPr>
            </w:pPr>
            <w:r w:rsidRPr="0077700D">
              <w:rPr>
                <w:rFonts w:ascii="Cambria" w:eastAsia="Times New Roman" w:hAnsi="Cambria"/>
                <w:lang w:val="hr-HR"/>
              </w:rPr>
              <w:t>Jelena Gugić, asistentica</w:t>
            </w:r>
          </w:p>
        </w:tc>
        <w:tc>
          <w:tcPr>
            <w:tcW w:w="330" w:type="pct"/>
            <w:gridSpan w:val="3"/>
            <w:tcBorders>
              <w:top w:val="single" w:sz="2" w:space="0" w:color="auto"/>
              <w:left w:val="single" w:sz="2" w:space="0" w:color="auto"/>
              <w:bottom w:val="single" w:sz="2" w:space="0" w:color="auto"/>
              <w:right w:val="single" w:sz="2" w:space="0" w:color="auto"/>
            </w:tcBorders>
            <w:vAlign w:val="center"/>
            <w:hideMark/>
          </w:tcPr>
          <w:p w14:paraId="7D9A13AF"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15</w:t>
            </w:r>
          </w:p>
        </w:tc>
        <w:tc>
          <w:tcPr>
            <w:tcW w:w="337" w:type="pct"/>
            <w:gridSpan w:val="2"/>
            <w:tcBorders>
              <w:top w:val="single" w:sz="2" w:space="0" w:color="auto"/>
              <w:left w:val="single" w:sz="2" w:space="0" w:color="auto"/>
              <w:bottom w:val="single" w:sz="2" w:space="0" w:color="auto"/>
              <w:right w:val="single" w:sz="2" w:space="0" w:color="auto"/>
            </w:tcBorders>
            <w:vAlign w:val="center"/>
          </w:tcPr>
          <w:p w14:paraId="1AF216F7"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0</w:t>
            </w:r>
          </w:p>
        </w:tc>
        <w:tc>
          <w:tcPr>
            <w:tcW w:w="358" w:type="pct"/>
            <w:tcBorders>
              <w:top w:val="single" w:sz="2" w:space="0" w:color="auto"/>
              <w:left w:val="single" w:sz="2" w:space="0" w:color="auto"/>
              <w:bottom w:val="single" w:sz="2" w:space="0" w:color="auto"/>
              <w:right w:val="single" w:sz="2" w:space="0" w:color="auto"/>
            </w:tcBorders>
            <w:vAlign w:val="center"/>
            <w:hideMark/>
          </w:tcPr>
          <w:p w14:paraId="5467B4E8"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30</w:t>
            </w:r>
          </w:p>
        </w:tc>
        <w:tc>
          <w:tcPr>
            <w:tcW w:w="490" w:type="pct"/>
            <w:gridSpan w:val="2"/>
            <w:tcBorders>
              <w:top w:val="single" w:sz="2" w:space="0" w:color="auto"/>
              <w:left w:val="single" w:sz="2" w:space="0" w:color="auto"/>
              <w:bottom w:val="single" w:sz="2" w:space="0" w:color="auto"/>
              <w:right w:val="single" w:sz="2" w:space="0" w:color="auto"/>
            </w:tcBorders>
            <w:vAlign w:val="center"/>
            <w:hideMark/>
          </w:tcPr>
          <w:p w14:paraId="29940472" w14:textId="77777777" w:rsidR="004E3FDC" w:rsidRPr="0077700D" w:rsidRDefault="004E3FDC" w:rsidP="00450B7A">
            <w:pPr>
              <w:spacing w:after="0" w:line="240" w:lineRule="auto"/>
              <w:jc w:val="center"/>
              <w:rPr>
                <w:rFonts w:ascii="Cambria" w:eastAsia="Times New Roman" w:hAnsi="Cambria"/>
                <w:bCs/>
                <w:lang w:val="hr-HR"/>
              </w:rPr>
            </w:pPr>
            <w:r w:rsidRPr="0077700D">
              <w:rPr>
                <w:rFonts w:ascii="Cambria" w:eastAsia="Times New Roman" w:hAnsi="Cambria"/>
                <w:bCs/>
                <w:lang w:val="hr-HR"/>
              </w:rPr>
              <w:t>4</w:t>
            </w:r>
          </w:p>
        </w:tc>
      </w:tr>
      <w:tr w:rsidR="004E3FDC" w:rsidRPr="0077700D" w14:paraId="12FB5DBF" w14:textId="77777777" w:rsidTr="00450B7A">
        <w:trPr>
          <w:cantSplit/>
          <w:jc w:val="center"/>
        </w:trPr>
        <w:tc>
          <w:tcPr>
            <w:tcW w:w="1493" w:type="pct"/>
            <w:gridSpan w:val="2"/>
            <w:tcBorders>
              <w:top w:val="single" w:sz="2" w:space="0" w:color="auto"/>
              <w:left w:val="single" w:sz="2" w:space="0" w:color="auto"/>
              <w:bottom w:val="single" w:sz="2" w:space="0" w:color="auto"/>
              <w:right w:val="single" w:sz="2" w:space="0" w:color="auto"/>
            </w:tcBorders>
            <w:vAlign w:val="center"/>
            <w:hideMark/>
          </w:tcPr>
          <w:p w14:paraId="4B42ECD3" w14:textId="77777777" w:rsidR="004E3FDC" w:rsidRPr="0077700D" w:rsidRDefault="004E3FDC" w:rsidP="00450B7A">
            <w:pPr>
              <w:spacing w:before="20" w:after="20" w:line="240" w:lineRule="auto"/>
              <w:rPr>
                <w:rFonts w:ascii="Cambria" w:eastAsia="Times New Roman" w:hAnsi="Cambria"/>
                <w:b/>
                <w:lang w:val="hr-HR"/>
              </w:rPr>
            </w:pPr>
            <w:r w:rsidRPr="0077700D">
              <w:rPr>
                <w:rFonts w:ascii="Cambria" w:eastAsia="Times New Roman" w:hAnsi="Cambria"/>
                <w:b/>
                <w:lang w:val="hr-HR"/>
              </w:rPr>
              <w:t>169173</w:t>
            </w:r>
          </w:p>
          <w:p w14:paraId="6184347D" w14:textId="77777777" w:rsidR="004E3FDC" w:rsidRPr="0077700D" w:rsidRDefault="004E3FDC" w:rsidP="00450B7A">
            <w:pPr>
              <w:spacing w:after="0" w:line="240" w:lineRule="auto"/>
              <w:rPr>
                <w:rFonts w:ascii="Cambria" w:eastAsia="Times New Roman" w:hAnsi="Cambria"/>
                <w:lang w:val="hr-HR"/>
              </w:rPr>
            </w:pPr>
            <w:r w:rsidRPr="0077700D">
              <w:rPr>
                <w:rFonts w:ascii="Cambria" w:eastAsia="Times New Roman" w:hAnsi="Cambria"/>
                <w:lang w:val="hr-HR"/>
              </w:rPr>
              <w:t>Temelji lingvistike engleskog jezika</w:t>
            </w:r>
          </w:p>
        </w:tc>
        <w:tc>
          <w:tcPr>
            <w:tcW w:w="1992" w:type="pct"/>
            <w:tcBorders>
              <w:top w:val="single" w:sz="2" w:space="0" w:color="auto"/>
              <w:left w:val="single" w:sz="2" w:space="0" w:color="auto"/>
              <w:bottom w:val="single" w:sz="2" w:space="0" w:color="auto"/>
              <w:right w:val="single" w:sz="2" w:space="0" w:color="auto"/>
            </w:tcBorders>
            <w:vAlign w:val="center"/>
            <w:hideMark/>
          </w:tcPr>
          <w:p w14:paraId="27DE9772" w14:textId="77777777" w:rsidR="004E3FDC" w:rsidRPr="0077700D" w:rsidRDefault="004E3FDC" w:rsidP="00450B7A">
            <w:pPr>
              <w:spacing w:after="0" w:line="240" w:lineRule="auto"/>
              <w:rPr>
                <w:rFonts w:ascii="Cambria" w:eastAsia="Times New Roman" w:hAnsi="Cambria"/>
                <w:lang w:val="hr-HR"/>
              </w:rPr>
            </w:pPr>
            <w:r w:rsidRPr="0077700D">
              <w:rPr>
                <w:rFonts w:ascii="Cambria" w:eastAsia="Times New Roman" w:hAnsi="Cambria"/>
                <w:lang w:val="hr-HR"/>
              </w:rPr>
              <w:t xml:space="preserve">naslovna prof. dr. sc. Silva </w:t>
            </w:r>
            <w:proofErr w:type="spellStart"/>
            <w:r w:rsidRPr="0077700D">
              <w:rPr>
                <w:rFonts w:ascii="Cambria" w:eastAsia="Times New Roman" w:hAnsi="Cambria"/>
                <w:lang w:val="hr-HR"/>
              </w:rPr>
              <w:t>Bratož</w:t>
            </w:r>
            <w:proofErr w:type="spellEnd"/>
          </w:p>
          <w:p w14:paraId="2164C9CE" w14:textId="77777777" w:rsidR="004E3FDC" w:rsidRPr="0077700D" w:rsidRDefault="004E3FDC" w:rsidP="00450B7A">
            <w:pPr>
              <w:spacing w:before="20" w:after="20" w:line="240" w:lineRule="auto"/>
              <w:rPr>
                <w:rFonts w:ascii="Cambria" w:eastAsia="Times New Roman" w:hAnsi="Cambria"/>
                <w:lang w:val="hr-HR" w:eastAsia="hr-HR"/>
              </w:rPr>
            </w:pPr>
            <w:r w:rsidRPr="0077700D">
              <w:rPr>
                <w:rFonts w:ascii="Cambria" w:eastAsia="Times New Roman" w:hAnsi="Cambria"/>
                <w:lang w:val="hr-HR" w:eastAsia="hr-HR"/>
              </w:rPr>
              <w:t>Viktor Vojnić, naslovni pred.</w:t>
            </w:r>
          </w:p>
        </w:tc>
        <w:tc>
          <w:tcPr>
            <w:tcW w:w="330" w:type="pct"/>
            <w:gridSpan w:val="3"/>
            <w:tcBorders>
              <w:top w:val="single" w:sz="2" w:space="0" w:color="auto"/>
              <w:left w:val="single" w:sz="2" w:space="0" w:color="auto"/>
              <w:bottom w:val="single" w:sz="2" w:space="0" w:color="auto"/>
              <w:right w:val="single" w:sz="2" w:space="0" w:color="auto"/>
            </w:tcBorders>
            <w:vAlign w:val="center"/>
            <w:hideMark/>
          </w:tcPr>
          <w:p w14:paraId="329EB210"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30</w:t>
            </w:r>
          </w:p>
        </w:tc>
        <w:tc>
          <w:tcPr>
            <w:tcW w:w="337" w:type="pct"/>
            <w:gridSpan w:val="2"/>
            <w:tcBorders>
              <w:top w:val="single" w:sz="2" w:space="0" w:color="auto"/>
              <w:left w:val="single" w:sz="2" w:space="0" w:color="auto"/>
              <w:bottom w:val="single" w:sz="2" w:space="0" w:color="auto"/>
              <w:right w:val="single" w:sz="2" w:space="0" w:color="auto"/>
            </w:tcBorders>
            <w:vAlign w:val="center"/>
          </w:tcPr>
          <w:p w14:paraId="0D21DB92"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15</w:t>
            </w:r>
          </w:p>
        </w:tc>
        <w:tc>
          <w:tcPr>
            <w:tcW w:w="358" w:type="pct"/>
            <w:tcBorders>
              <w:top w:val="single" w:sz="2" w:space="0" w:color="auto"/>
              <w:left w:val="single" w:sz="2" w:space="0" w:color="auto"/>
              <w:bottom w:val="single" w:sz="2" w:space="0" w:color="auto"/>
              <w:right w:val="single" w:sz="2" w:space="0" w:color="auto"/>
            </w:tcBorders>
            <w:vAlign w:val="center"/>
            <w:hideMark/>
          </w:tcPr>
          <w:p w14:paraId="66F115A7"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0</w:t>
            </w:r>
          </w:p>
        </w:tc>
        <w:tc>
          <w:tcPr>
            <w:tcW w:w="490" w:type="pct"/>
            <w:gridSpan w:val="2"/>
            <w:tcBorders>
              <w:top w:val="single" w:sz="2" w:space="0" w:color="auto"/>
              <w:left w:val="single" w:sz="2" w:space="0" w:color="auto"/>
              <w:bottom w:val="single" w:sz="2" w:space="0" w:color="auto"/>
              <w:right w:val="single" w:sz="2" w:space="0" w:color="auto"/>
            </w:tcBorders>
            <w:vAlign w:val="center"/>
            <w:hideMark/>
          </w:tcPr>
          <w:p w14:paraId="49D8888D" w14:textId="77777777" w:rsidR="004E3FDC" w:rsidRPr="0077700D" w:rsidRDefault="004E3FDC" w:rsidP="00450B7A">
            <w:pPr>
              <w:spacing w:after="0" w:line="240" w:lineRule="auto"/>
              <w:jc w:val="center"/>
              <w:rPr>
                <w:rFonts w:ascii="Cambria" w:eastAsia="Times New Roman" w:hAnsi="Cambria"/>
                <w:bCs/>
                <w:lang w:val="hr-HR"/>
              </w:rPr>
            </w:pPr>
            <w:r w:rsidRPr="0077700D">
              <w:rPr>
                <w:rFonts w:ascii="Cambria" w:eastAsia="Times New Roman" w:hAnsi="Cambria"/>
                <w:bCs/>
                <w:lang w:val="hr-HR"/>
              </w:rPr>
              <w:t>3</w:t>
            </w:r>
          </w:p>
        </w:tc>
      </w:tr>
      <w:tr w:rsidR="004E3FDC" w:rsidRPr="0077700D" w14:paraId="46149861" w14:textId="77777777" w:rsidTr="00450B7A">
        <w:trPr>
          <w:cantSplit/>
          <w:jc w:val="center"/>
        </w:trPr>
        <w:tc>
          <w:tcPr>
            <w:tcW w:w="1493" w:type="pct"/>
            <w:gridSpan w:val="2"/>
            <w:tcBorders>
              <w:top w:val="single" w:sz="2" w:space="0" w:color="auto"/>
              <w:left w:val="single" w:sz="2" w:space="0" w:color="auto"/>
              <w:bottom w:val="single" w:sz="2" w:space="0" w:color="auto"/>
              <w:right w:val="single" w:sz="2" w:space="0" w:color="auto"/>
            </w:tcBorders>
            <w:vAlign w:val="center"/>
            <w:hideMark/>
          </w:tcPr>
          <w:p w14:paraId="504817AA" w14:textId="77777777" w:rsidR="004E3FDC" w:rsidRPr="0077700D" w:rsidRDefault="004E3FDC" w:rsidP="00450B7A">
            <w:pPr>
              <w:spacing w:after="0" w:line="240" w:lineRule="auto"/>
              <w:rPr>
                <w:rFonts w:ascii="Cambria" w:eastAsia="Times New Roman" w:hAnsi="Cambria"/>
                <w:b/>
                <w:lang w:val="hr-HR"/>
              </w:rPr>
            </w:pPr>
            <w:r w:rsidRPr="0077700D">
              <w:rPr>
                <w:rFonts w:ascii="Cambria" w:eastAsia="Times New Roman" w:hAnsi="Cambria"/>
                <w:b/>
                <w:lang w:val="hr-HR"/>
              </w:rPr>
              <w:t>Izborni modul II: 10917</w:t>
            </w:r>
          </w:p>
        </w:tc>
        <w:tc>
          <w:tcPr>
            <w:tcW w:w="1992" w:type="pct"/>
            <w:tcBorders>
              <w:top w:val="single" w:sz="2" w:space="0" w:color="auto"/>
              <w:left w:val="single" w:sz="2" w:space="0" w:color="auto"/>
              <w:bottom w:val="single" w:sz="2" w:space="0" w:color="auto"/>
              <w:right w:val="single" w:sz="2" w:space="0" w:color="auto"/>
            </w:tcBorders>
            <w:vAlign w:val="center"/>
          </w:tcPr>
          <w:p w14:paraId="78C0C632" w14:textId="77777777" w:rsidR="004E3FDC" w:rsidRPr="0077700D" w:rsidRDefault="004E3FDC" w:rsidP="00450B7A">
            <w:pPr>
              <w:spacing w:after="0" w:line="240" w:lineRule="auto"/>
              <w:rPr>
                <w:rFonts w:ascii="Cambria" w:eastAsia="Times New Roman" w:hAnsi="Cambria"/>
                <w:lang w:val="hr-HR"/>
              </w:rPr>
            </w:pPr>
            <w:r w:rsidRPr="0077700D">
              <w:rPr>
                <w:rFonts w:ascii="Cambria" w:eastAsia="Times New Roman" w:hAnsi="Cambria"/>
                <w:b/>
                <w:lang w:val="hr-HR"/>
              </w:rPr>
              <w:t>Nastavnik/</w:t>
            </w:r>
            <w:proofErr w:type="spellStart"/>
            <w:r w:rsidRPr="0077700D">
              <w:rPr>
                <w:rFonts w:ascii="Cambria" w:eastAsia="Times New Roman" w:hAnsi="Cambria"/>
                <w:b/>
                <w:lang w:val="hr-HR"/>
              </w:rPr>
              <w:t>ica</w:t>
            </w:r>
            <w:proofErr w:type="spellEnd"/>
          </w:p>
        </w:tc>
        <w:tc>
          <w:tcPr>
            <w:tcW w:w="330" w:type="pct"/>
            <w:gridSpan w:val="3"/>
            <w:tcBorders>
              <w:top w:val="single" w:sz="2" w:space="0" w:color="auto"/>
              <w:left w:val="single" w:sz="2" w:space="0" w:color="auto"/>
              <w:bottom w:val="single" w:sz="2" w:space="0" w:color="auto"/>
              <w:right w:val="single" w:sz="2" w:space="0" w:color="auto"/>
            </w:tcBorders>
            <w:shd w:val="clear" w:color="auto" w:fill="FFFFFF"/>
            <w:vAlign w:val="center"/>
          </w:tcPr>
          <w:p w14:paraId="16806C85"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b/>
                <w:bCs/>
                <w:caps/>
                <w:lang w:val="hr-HR"/>
              </w:rPr>
              <w:t>P</w:t>
            </w:r>
          </w:p>
        </w:tc>
        <w:tc>
          <w:tcPr>
            <w:tcW w:w="337" w:type="pct"/>
            <w:gridSpan w:val="2"/>
            <w:tcBorders>
              <w:top w:val="single" w:sz="2" w:space="0" w:color="auto"/>
              <w:left w:val="single" w:sz="2" w:space="0" w:color="auto"/>
              <w:bottom w:val="single" w:sz="2" w:space="0" w:color="auto"/>
              <w:right w:val="single" w:sz="2" w:space="0" w:color="auto"/>
            </w:tcBorders>
            <w:shd w:val="clear" w:color="auto" w:fill="FFFFFF"/>
            <w:vAlign w:val="center"/>
          </w:tcPr>
          <w:p w14:paraId="57CFE3A3"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b/>
                <w:bCs/>
                <w:lang w:val="hr-HR"/>
              </w:rPr>
              <w:t>S</w:t>
            </w:r>
          </w:p>
        </w:tc>
        <w:tc>
          <w:tcPr>
            <w:tcW w:w="358" w:type="pct"/>
            <w:tcBorders>
              <w:top w:val="single" w:sz="2" w:space="0" w:color="auto"/>
              <w:left w:val="single" w:sz="2" w:space="0" w:color="auto"/>
              <w:bottom w:val="single" w:sz="2" w:space="0" w:color="auto"/>
              <w:right w:val="single" w:sz="2" w:space="0" w:color="auto"/>
            </w:tcBorders>
            <w:shd w:val="clear" w:color="auto" w:fill="FFFFFF"/>
            <w:vAlign w:val="center"/>
          </w:tcPr>
          <w:p w14:paraId="5D5CBC54"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b/>
                <w:bCs/>
                <w:lang w:val="hr-HR"/>
              </w:rPr>
              <w:t>V</w:t>
            </w:r>
          </w:p>
        </w:tc>
        <w:tc>
          <w:tcPr>
            <w:tcW w:w="490" w:type="pct"/>
            <w:gridSpan w:val="2"/>
            <w:tcBorders>
              <w:top w:val="single" w:sz="2" w:space="0" w:color="auto"/>
              <w:left w:val="single" w:sz="2" w:space="0" w:color="auto"/>
              <w:bottom w:val="single" w:sz="2" w:space="0" w:color="auto"/>
              <w:right w:val="single" w:sz="2" w:space="0" w:color="auto"/>
            </w:tcBorders>
            <w:vAlign w:val="center"/>
          </w:tcPr>
          <w:p w14:paraId="49B1D3BB" w14:textId="77777777" w:rsidR="004E3FDC" w:rsidRPr="0077700D" w:rsidRDefault="004E3FDC" w:rsidP="00450B7A">
            <w:pPr>
              <w:spacing w:after="0" w:line="240" w:lineRule="auto"/>
              <w:jc w:val="center"/>
              <w:rPr>
                <w:rFonts w:ascii="Cambria" w:eastAsia="Times New Roman" w:hAnsi="Cambria"/>
                <w:bCs/>
                <w:lang w:val="hr-HR"/>
              </w:rPr>
            </w:pPr>
            <w:r w:rsidRPr="0077700D">
              <w:rPr>
                <w:rFonts w:ascii="Cambria" w:eastAsia="Times New Roman" w:hAnsi="Cambria"/>
                <w:b/>
                <w:lang w:val="hr-HR"/>
              </w:rPr>
              <w:t>ECTS</w:t>
            </w:r>
          </w:p>
        </w:tc>
      </w:tr>
      <w:tr w:rsidR="004E3FDC" w:rsidRPr="0077700D" w14:paraId="793CB75A" w14:textId="77777777" w:rsidTr="00450B7A">
        <w:trPr>
          <w:cantSplit/>
          <w:jc w:val="center"/>
        </w:trPr>
        <w:tc>
          <w:tcPr>
            <w:tcW w:w="1493" w:type="pct"/>
            <w:gridSpan w:val="2"/>
            <w:tcBorders>
              <w:top w:val="single" w:sz="2" w:space="0" w:color="auto"/>
              <w:left w:val="single" w:sz="2" w:space="0" w:color="auto"/>
              <w:bottom w:val="single" w:sz="2" w:space="0" w:color="auto"/>
              <w:right w:val="single" w:sz="2" w:space="0" w:color="auto"/>
            </w:tcBorders>
            <w:vAlign w:val="center"/>
            <w:hideMark/>
          </w:tcPr>
          <w:p w14:paraId="1F26AD36" w14:textId="77777777" w:rsidR="004E3FDC" w:rsidRPr="0077700D" w:rsidRDefault="004E3FDC" w:rsidP="00450B7A">
            <w:pPr>
              <w:spacing w:before="20" w:after="20" w:line="240" w:lineRule="auto"/>
              <w:rPr>
                <w:rFonts w:ascii="Cambria" w:eastAsia="Times New Roman" w:hAnsi="Cambria"/>
                <w:b/>
                <w:lang w:val="hr-HR"/>
              </w:rPr>
            </w:pPr>
            <w:r w:rsidRPr="0077700D">
              <w:rPr>
                <w:rFonts w:ascii="Cambria" w:eastAsia="Times New Roman" w:hAnsi="Cambria"/>
                <w:b/>
                <w:lang w:val="hr-HR"/>
              </w:rPr>
              <w:t>132980</w:t>
            </w:r>
          </w:p>
          <w:p w14:paraId="29CFC0A4" w14:textId="77777777" w:rsidR="004E3FDC" w:rsidRPr="0077700D" w:rsidRDefault="004E3FDC" w:rsidP="00450B7A">
            <w:pPr>
              <w:spacing w:after="0" w:line="240" w:lineRule="auto"/>
              <w:rPr>
                <w:rFonts w:ascii="Cambria" w:eastAsia="Times New Roman" w:hAnsi="Cambria"/>
                <w:lang w:val="hr-HR"/>
              </w:rPr>
            </w:pPr>
            <w:r w:rsidRPr="0077700D">
              <w:rPr>
                <w:rFonts w:ascii="Cambria" w:eastAsia="Times New Roman" w:hAnsi="Cambria"/>
                <w:lang w:val="hr-HR"/>
              </w:rPr>
              <w:t>Metodika nastave informatike III</w:t>
            </w:r>
          </w:p>
        </w:tc>
        <w:tc>
          <w:tcPr>
            <w:tcW w:w="1992" w:type="pct"/>
            <w:tcBorders>
              <w:top w:val="single" w:sz="2" w:space="0" w:color="auto"/>
              <w:left w:val="single" w:sz="2" w:space="0" w:color="auto"/>
              <w:bottom w:val="single" w:sz="2" w:space="0" w:color="auto"/>
              <w:right w:val="single" w:sz="2" w:space="0" w:color="auto"/>
            </w:tcBorders>
            <w:vAlign w:val="center"/>
            <w:hideMark/>
          </w:tcPr>
          <w:p w14:paraId="221E2D1F" w14:textId="77777777" w:rsidR="004E3FDC" w:rsidRPr="0077700D" w:rsidRDefault="004E3FDC" w:rsidP="00450B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mbria" w:eastAsia="Times New Roman" w:hAnsi="Cambria"/>
                <w:lang w:val="hr-HR"/>
              </w:rPr>
            </w:pPr>
            <w:r>
              <w:rPr>
                <w:rFonts w:ascii="Cambria" w:eastAsia="Times New Roman" w:hAnsi="Cambria"/>
                <w:lang w:val="hr-HR"/>
              </w:rPr>
              <w:t>prof. dr. sc. Maja Ružić</w:t>
            </w:r>
          </w:p>
          <w:p w14:paraId="7AB5B40F" w14:textId="77777777" w:rsidR="004E3FDC" w:rsidRPr="0077700D" w:rsidRDefault="004E3FDC" w:rsidP="00450B7A">
            <w:pPr>
              <w:spacing w:after="0" w:line="240" w:lineRule="auto"/>
              <w:rPr>
                <w:rFonts w:ascii="Cambria" w:eastAsia="Times New Roman" w:hAnsi="Cambria"/>
                <w:lang w:val="hr-HR"/>
              </w:rPr>
            </w:pPr>
            <w:r w:rsidRPr="0077700D">
              <w:rPr>
                <w:rFonts w:ascii="Cambria" w:eastAsia="Times New Roman" w:hAnsi="Cambria"/>
                <w:lang w:val="hr-HR"/>
              </w:rPr>
              <w:t xml:space="preserve">Janko </w:t>
            </w:r>
            <w:proofErr w:type="spellStart"/>
            <w:r w:rsidRPr="0077700D">
              <w:rPr>
                <w:rFonts w:ascii="Cambria" w:eastAsia="Times New Roman" w:hAnsi="Cambria"/>
                <w:lang w:val="hr-HR"/>
              </w:rPr>
              <w:t>Žufić</w:t>
            </w:r>
            <w:proofErr w:type="spellEnd"/>
            <w:r w:rsidRPr="0077700D">
              <w:rPr>
                <w:rFonts w:ascii="Cambria" w:eastAsia="Times New Roman" w:hAnsi="Cambria"/>
                <w:lang w:val="hr-HR"/>
              </w:rPr>
              <w:t>, v. pred.</w:t>
            </w:r>
          </w:p>
        </w:tc>
        <w:tc>
          <w:tcPr>
            <w:tcW w:w="330" w:type="pct"/>
            <w:gridSpan w:val="3"/>
            <w:tcBorders>
              <w:top w:val="single" w:sz="2" w:space="0" w:color="auto"/>
              <w:left w:val="single" w:sz="2" w:space="0" w:color="auto"/>
              <w:bottom w:val="single" w:sz="2" w:space="0" w:color="auto"/>
              <w:right w:val="single" w:sz="2" w:space="0" w:color="auto"/>
            </w:tcBorders>
            <w:vAlign w:val="center"/>
            <w:hideMark/>
          </w:tcPr>
          <w:p w14:paraId="27C98D53"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15</w:t>
            </w:r>
          </w:p>
        </w:tc>
        <w:tc>
          <w:tcPr>
            <w:tcW w:w="337" w:type="pct"/>
            <w:gridSpan w:val="2"/>
            <w:tcBorders>
              <w:top w:val="single" w:sz="2" w:space="0" w:color="auto"/>
              <w:left w:val="single" w:sz="2" w:space="0" w:color="auto"/>
              <w:bottom w:val="single" w:sz="2" w:space="0" w:color="auto"/>
              <w:right w:val="single" w:sz="2" w:space="0" w:color="auto"/>
            </w:tcBorders>
            <w:vAlign w:val="center"/>
          </w:tcPr>
          <w:p w14:paraId="7A3F75F3"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0</w:t>
            </w:r>
          </w:p>
        </w:tc>
        <w:tc>
          <w:tcPr>
            <w:tcW w:w="358" w:type="pct"/>
            <w:tcBorders>
              <w:top w:val="single" w:sz="2" w:space="0" w:color="auto"/>
              <w:left w:val="single" w:sz="2" w:space="0" w:color="auto"/>
              <w:bottom w:val="single" w:sz="2" w:space="0" w:color="auto"/>
              <w:right w:val="single" w:sz="2" w:space="0" w:color="auto"/>
            </w:tcBorders>
            <w:vAlign w:val="center"/>
            <w:hideMark/>
          </w:tcPr>
          <w:p w14:paraId="6F9CF272"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45</w:t>
            </w:r>
          </w:p>
        </w:tc>
        <w:tc>
          <w:tcPr>
            <w:tcW w:w="490" w:type="pct"/>
            <w:gridSpan w:val="2"/>
            <w:tcBorders>
              <w:top w:val="single" w:sz="2" w:space="0" w:color="auto"/>
              <w:left w:val="single" w:sz="2" w:space="0" w:color="auto"/>
              <w:bottom w:val="single" w:sz="2" w:space="0" w:color="auto"/>
              <w:right w:val="single" w:sz="2" w:space="0" w:color="auto"/>
            </w:tcBorders>
            <w:vAlign w:val="center"/>
            <w:hideMark/>
          </w:tcPr>
          <w:p w14:paraId="730DF353" w14:textId="77777777" w:rsidR="004E3FDC" w:rsidRPr="0077700D" w:rsidRDefault="004E3FDC" w:rsidP="00450B7A">
            <w:pPr>
              <w:spacing w:after="0" w:line="240" w:lineRule="auto"/>
              <w:jc w:val="center"/>
              <w:rPr>
                <w:rFonts w:ascii="Cambria" w:eastAsia="Times New Roman" w:hAnsi="Cambria"/>
                <w:bCs/>
                <w:lang w:val="hr-HR"/>
              </w:rPr>
            </w:pPr>
            <w:r w:rsidRPr="0077700D">
              <w:rPr>
                <w:rFonts w:ascii="Cambria" w:eastAsia="Times New Roman" w:hAnsi="Cambria"/>
                <w:bCs/>
                <w:lang w:val="hr-HR"/>
              </w:rPr>
              <w:t>5</w:t>
            </w:r>
          </w:p>
        </w:tc>
      </w:tr>
      <w:tr w:rsidR="004E3FDC" w:rsidRPr="0077700D" w14:paraId="6D31A7CB" w14:textId="77777777" w:rsidTr="00450B7A">
        <w:trPr>
          <w:cantSplit/>
          <w:jc w:val="center"/>
        </w:trPr>
        <w:tc>
          <w:tcPr>
            <w:tcW w:w="1493" w:type="pct"/>
            <w:gridSpan w:val="2"/>
            <w:tcBorders>
              <w:top w:val="single" w:sz="2" w:space="0" w:color="auto"/>
              <w:left w:val="single" w:sz="2" w:space="0" w:color="auto"/>
              <w:bottom w:val="single" w:sz="2" w:space="0" w:color="auto"/>
              <w:right w:val="single" w:sz="2" w:space="0" w:color="auto"/>
            </w:tcBorders>
            <w:vAlign w:val="center"/>
            <w:hideMark/>
          </w:tcPr>
          <w:p w14:paraId="2952EFCF" w14:textId="77777777" w:rsidR="004E3FDC" w:rsidRPr="0077700D" w:rsidRDefault="004E3FDC" w:rsidP="00450B7A">
            <w:pPr>
              <w:spacing w:before="20" w:after="20" w:line="240" w:lineRule="auto"/>
              <w:rPr>
                <w:rFonts w:ascii="Cambria" w:eastAsia="Times New Roman" w:hAnsi="Cambria"/>
                <w:b/>
                <w:lang w:val="hr-HR"/>
              </w:rPr>
            </w:pPr>
            <w:r w:rsidRPr="0077700D">
              <w:rPr>
                <w:rFonts w:ascii="Cambria" w:eastAsia="Times New Roman" w:hAnsi="Cambria"/>
                <w:b/>
                <w:lang w:val="hr-HR"/>
              </w:rPr>
              <w:t>145493</w:t>
            </w:r>
          </w:p>
          <w:p w14:paraId="6DC69244" w14:textId="77777777" w:rsidR="004E3FDC" w:rsidRPr="0077700D" w:rsidRDefault="004E3FDC" w:rsidP="00450B7A">
            <w:pPr>
              <w:spacing w:after="0" w:line="240" w:lineRule="auto"/>
              <w:rPr>
                <w:rFonts w:ascii="Cambria" w:eastAsia="Times New Roman" w:hAnsi="Cambria"/>
                <w:lang w:val="hr-HR"/>
              </w:rPr>
            </w:pPr>
            <w:r w:rsidRPr="0077700D">
              <w:rPr>
                <w:rFonts w:ascii="Cambria" w:eastAsia="Times New Roman" w:hAnsi="Cambria"/>
                <w:lang w:val="hr-HR"/>
              </w:rPr>
              <w:t>Web 2.0 alati</w:t>
            </w:r>
          </w:p>
        </w:tc>
        <w:tc>
          <w:tcPr>
            <w:tcW w:w="1992" w:type="pct"/>
            <w:tcBorders>
              <w:top w:val="single" w:sz="2" w:space="0" w:color="auto"/>
              <w:left w:val="single" w:sz="2" w:space="0" w:color="auto"/>
              <w:bottom w:val="single" w:sz="2" w:space="0" w:color="auto"/>
              <w:right w:val="single" w:sz="2" w:space="0" w:color="auto"/>
            </w:tcBorders>
            <w:vAlign w:val="center"/>
          </w:tcPr>
          <w:p w14:paraId="75E63223" w14:textId="77777777" w:rsidR="004E3FDC" w:rsidRDefault="004E3FDC" w:rsidP="00450B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mbria" w:eastAsia="Times New Roman" w:hAnsi="Cambria"/>
                <w:lang w:val="hr-HR"/>
              </w:rPr>
            </w:pPr>
            <w:r w:rsidRPr="0077700D">
              <w:rPr>
                <w:rFonts w:ascii="Cambria" w:eastAsia="Times New Roman" w:hAnsi="Cambria"/>
                <w:lang w:val="hr-HR"/>
              </w:rPr>
              <w:t xml:space="preserve">naslovna doc. dr. sc. Elena </w:t>
            </w:r>
            <w:proofErr w:type="spellStart"/>
            <w:r w:rsidRPr="0077700D">
              <w:rPr>
                <w:rFonts w:ascii="Cambria" w:eastAsia="Times New Roman" w:hAnsi="Cambria"/>
                <w:lang w:val="hr-HR"/>
              </w:rPr>
              <w:t>Krelja</w:t>
            </w:r>
            <w:proofErr w:type="spellEnd"/>
            <w:r w:rsidRPr="0077700D">
              <w:rPr>
                <w:rFonts w:ascii="Cambria" w:eastAsia="Times New Roman" w:hAnsi="Cambria"/>
                <w:lang w:val="hr-HR"/>
              </w:rPr>
              <w:t xml:space="preserve"> </w:t>
            </w:r>
            <w:proofErr w:type="spellStart"/>
            <w:r w:rsidRPr="0077700D">
              <w:rPr>
                <w:rFonts w:ascii="Cambria" w:eastAsia="Times New Roman" w:hAnsi="Cambria"/>
                <w:lang w:val="hr-HR"/>
              </w:rPr>
              <w:t>Kurelović</w:t>
            </w:r>
            <w:proofErr w:type="spellEnd"/>
          </w:p>
          <w:p w14:paraId="1B1E573D" w14:textId="77777777" w:rsidR="004E3FDC" w:rsidRPr="0077700D" w:rsidRDefault="004E3FDC" w:rsidP="00450B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mbria" w:eastAsia="Times New Roman" w:hAnsi="Cambria"/>
                <w:lang w:val="hr-HR"/>
              </w:rPr>
            </w:pPr>
            <w:r>
              <w:rPr>
                <w:rFonts w:ascii="Cambria" w:eastAsia="Times New Roman" w:hAnsi="Cambria"/>
                <w:lang w:val="hr-HR"/>
              </w:rPr>
              <w:t xml:space="preserve">Janko </w:t>
            </w:r>
            <w:proofErr w:type="spellStart"/>
            <w:r>
              <w:rPr>
                <w:rFonts w:ascii="Cambria" w:eastAsia="Times New Roman" w:hAnsi="Cambria"/>
                <w:lang w:val="hr-HR"/>
              </w:rPr>
              <w:t>Žufić</w:t>
            </w:r>
            <w:proofErr w:type="spellEnd"/>
            <w:r>
              <w:rPr>
                <w:rFonts w:ascii="Cambria" w:eastAsia="Times New Roman" w:hAnsi="Cambria"/>
                <w:lang w:val="hr-HR"/>
              </w:rPr>
              <w:t xml:space="preserve">, v. pred. </w:t>
            </w:r>
          </w:p>
        </w:tc>
        <w:tc>
          <w:tcPr>
            <w:tcW w:w="330" w:type="pct"/>
            <w:gridSpan w:val="3"/>
            <w:tcBorders>
              <w:top w:val="single" w:sz="2" w:space="0" w:color="auto"/>
              <w:left w:val="single" w:sz="2" w:space="0" w:color="auto"/>
              <w:bottom w:val="single" w:sz="2" w:space="0" w:color="auto"/>
              <w:right w:val="single" w:sz="2" w:space="0" w:color="auto"/>
            </w:tcBorders>
            <w:vAlign w:val="center"/>
            <w:hideMark/>
          </w:tcPr>
          <w:p w14:paraId="76056FA3"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15</w:t>
            </w:r>
          </w:p>
        </w:tc>
        <w:tc>
          <w:tcPr>
            <w:tcW w:w="337" w:type="pct"/>
            <w:gridSpan w:val="2"/>
            <w:tcBorders>
              <w:top w:val="single" w:sz="2" w:space="0" w:color="auto"/>
              <w:left w:val="single" w:sz="2" w:space="0" w:color="auto"/>
              <w:bottom w:val="single" w:sz="2" w:space="0" w:color="auto"/>
              <w:right w:val="single" w:sz="2" w:space="0" w:color="auto"/>
            </w:tcBorders>
            <w:vAlign w:val="center"/>
          </w:tcPr>
          <w:p w14:paraId="4998AE0F"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15</w:t>
            </w:r>
          </w:p>
        </w:tc>
        <w:tc>
          <w:tcPr>
            <w:tcW w:w="358" w:type="pct"/>
            <w:tcBorders>
              <w:top w:val="single" w:sz="2" w:space="0" w:color="auto"/>
              <w:left w:val="single" w:sz="2" w:space="0" w:color="auto"/>
              <w:bottom w:val="single" w:sz="2" w:space="0" w:color="auto"/>
              <w:right w:val="single" w:sz="2" w:space="0" w:color="auto"/>
            </w:tcBorders>
            <w:vAlign w:val="center"/>
            <w:hideMark/>
          </w:tcPr>
          <w:p w14:paraId="015A5A62"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0</w:t>
            </w:r>
          </w:p>
        </w:tc>
        <w:tc>
          <w:tcPr>
            <w:tcW w:w="490" w:type="pct"/>
            <w:gridSpan w:val="2"/>
            <w:tcBorders>
              <w:top w:val="single" w:sz="2" w:space="0" w:color="auto"/>
              <w:left w:val="single" w:sz="2" w:space="0" w:color="auto"/>
              <w:bottom w:val="single" w:sz="2" w:space="0" w:color="auto"/>
              <w:right w:val="single" w:sz="2" w:space="0" w:color="auto"/>
            </w:tcBorders>
            <w:vAlign w:val="center"/>
            <w:hideMark/>
          </w:tcPr>
          <w:p w14:paraId="024A086B" w14:textId="77777777" w:rsidR="004E3FDC" w:rsidRPr="0077700D" w:rsidRDefault="004E3FDC" w:rsidP="00450B7A">
            <w:pPr>
              <w:spacing w:after="0" w:line="240" w:lineRule="auto"/>
              <w:jc w:val="center"/>
              <w:rPr>
                <w:rFonts w:ascii="Cambria" w:eastAsia="Times New Roman" w:hAnsi="Cambria"/>
                <w:bCs/>
                <w:lang w:val="hr-HR"/>
              </w:rPr>
            </w:pPr>
            <w:r w:rsidRPr="0077700D">
              <w:rPr>
                <w:rFonts w:ascii="Cambria" w:eastAsia="Times New Roman" w:hAnsi="Cambria"/>
                <w:bCs/>
                <w:lang w:val="hr-HR"/>
              </w:rPr>
              <w:t>2</w:t>
            </w:r>
          </w:p>
        </w:tc>
      </w:tr>
      <w:tr w:rsidR="004E3FDC" w:rsidRPr="0077700D" w14:paraId="65EB77FB" w14:textId="77777777" w:rsidTr="00450B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000" w:type="pct"/>
            <w:gridSpan w:val="11"/>
            <w:shd w:val="clear" w:color="auto" w:fill="33CCCC"/>
            <w:vAlign w:val="center"/>
            <w:hideMark/>
          </w:tcPr>
          <w:p w14:paraId="24FF018E" w14:textId="77777777" w:rsidR="004E3FDC" w:rsidRPr="0077700D" w:rsidRDefault="004E3FDC" w:rsidP="00450B7A">
            <w:pPr>
              <w:widowControl w:val="0"/>
              <w:spacing w:after="0" w:line="240" w:lineRule="auto"/>
              <w:jc w:val="center"/>
              <w:rPr>
                <w:rFonts w:ascii="Cambria" w:eastAsia="Times New Roman" w:hAnsi="Cambria"/>
                <w:b/>
                <w:lang w:val="hr-HR"/>
              </w:rPr>
            </w:pPr>
            <w:r w:rsidRPr="0077700D">
              <w:rPr>
                <w:rFonts w:ascii="Cambria" w:eastAsia="Times New Roman" w:hAnsi="Cambria"/>
                <w:b/>
                <w:lang w:val="hr-HR"/>
              </w:rPr>
              <w:t>Slobodni izborni kolegiji: zimski (10920), ljetni (10923)</w:t>
            </w:r>
          </w:p>
        </w:tc>
      </w:tr>
      <w:tr w:rsidR="004E3FDC" w:rsidRPr="0077700D" w14:paraId="6FF7C889" w14:textId="77777777" w:rsidTr="00450B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48" w:type="pct"/>
            <w:vAlign w:val="center"/>
          </w:tcPr>
          <w:p w14:paraId="1566B865" w14:textId="77777777" w:rsidR="004E3FDC" w:rsidRPr="0077700D" w:rsidRDefault="004E3FDC" w:rsidP="00450B7A">
            <w:pPr>
              <w:widowControl w:val="0"/>
              <w:spacing w:after="0" w:line="240" w:lineRule="auto"/>
              <w:rPr>
                <w:rFonts w:ascii="Cambria" w:eastAsia="Times New Roman" w:hAnsi="Cambria"/>
                <w:b/>
                <w:lang w:val="hr-HR"/>
              </w:rPr>
            </w:pPr>
            <w:proofErr w:type="spellStart"/>
            <w:r w:rsidRPr="0077700D">
              <w:rPr>
                <w:rFonts w:ascii="Cambria" w:eastAsia="Times New Roman" w:hAnsi="Cambria"/>
                <w:b/>
                <w:lang w:val="hr-HR"/>
              </w:rPr>
              <w:t>Sem</w:t>
            </w:r>
            <w:proofErr w:type="spellEnd"/>
            <w:r w:rsidRPr="0077700D">
              <w:rPr>
                <w:rFonts w:ascii="Cambria" w:eastAsia="Times New Roman" w:hAnsi="Cambria"/>
                <w:b/>
                <w:lang w:val="hr-HR"/>
              </w:rPr>
              <w:t>.</w:t>
            </w:r>
          </w:p>
        </w:tc>
        <w:tc>
          <w:tcPr>
            <w:tcW w:w="945" w:type="pct"/>
            <w:vAlign w:val="center"/>
            <w:hideMark/>
          </w:tcPr>
          <w:p w14:paraId="20BCB6DC" w14:textId="77777777" w:rsidR="004E3FDC" w:rsidRPr="0077700D" w:rsidRDefault="004E3FDC" w:rsidP="00450B7A">
            <w:pPr>
              <w:widowControl w:val="0"/>
              <w:spacing w:after="0" w:line="240" w:lineRule="auto"/>
              <w:rPr>
                <w:rFonts w:ascii="Cambria" w:eastAsia="Times New Roman" w:hAnsi="Cambria"/>
                <w:b/>
                <w:lang w:val="hr-HR"/>
              </w:rPr>
            </w:pPr>
            <w:r w:rsidRPr="0077700D">
              <w:rPr>
                <w:rFonts w:ascii="Cambria" w:eastAsia="Times New Roman" w:hAnsi="Cambria"/>
                <w:b/>
                <w:lang w:val="hr-HR"/>
              </w:rPr>
              <w:t>Kolegij</w:t>
            </w:r>
          </w:p>
        </w:tc>
        <w:tc>
          <w:tcPr>
            <w:tcW w:w="1996" w:type="pct"/>
            <w:gridSpan w:val="2"/>
            <w:vAlign w:val="center"/>
            <w:hideMark/>
          </w:tcPr>
          <w:p w14:paraId="02BFEA4C" w14:textId="77777777" w:rsidR="004E3FDC" w:rsidRPr="0077700D" w:rsidRDefault="004E3FDC" w:rsidP="00450B7A">
            <w:pPr>
              <w:widowControl w:val="0"/>
              <w:spacing w:after="0" w:line="240" w:lineRule="auto"/>
              <w:rPr>
                <w:rFonts w:ascii="Cambria" w:eastAsia="Times New Roman" w:hAnsi="Cambria"/>
                <w:b/>
                <w:lang w:val="hr-HR"/>
              </w:rPr>
            </w:pPr>
            <w:r w:rsidRPr="0077700D">
              <w:rPr>
                <w:rFonts w:ascii="Cambria" w:eastAsia="Times New Roman" w:hAnsi="Cambria"/>
                <w:b/>
                <w:lang w:val="hr-HR"/>
              </w:rPr>
              <w:t>Nastavnik/</w:t>
            </w:r>
            <w:proofErr w:type="spellStart"/>
            <w:r w:rsidRPr="0077700D">
              <w:rPr>
                <w:rFonts w:ascii="Cambria" w:eastAsia="Times New Roman" w:hAnsi="Cambria"/>
                <w:b/>
                <w:lang w:val="hr-HR"/>
              </w:rPr>
              <w:t>ica</w:t>
            </w:r>
            <w:proofErr w:type="spellEnd"/>
          </w:p>
        </w:tc>
        <w:tc>
          <w:tcPr>
            <w:tcW w:w="318" w:type="pct"/>
            <w:vAlign w:val="center"/>
            <w:hideMark/>
          </w:tcPr>
          <w:p w14:paraId="178C06F5" w14:textId="77777777" w:rsidR="004E3FDC" w:rsidRPr="0077700D" w:rsidRDefault="004E3FDC" w:rsidP="00450B7A">
            <w:pPr>
              <w:spacing w:after="0" w:line="240" w:lineRule="auto"/>
              <w:jc w:val="center"/>
              <w:rPr>
                <w:rFonts w:ascii="Cambria" w:eastAsia="Times New Roman" w:hAnsi="Cambria"/>
                <w:b/>
                <w:bCs/>
                <w:caps/>
                <w:lang w:val="hr-HR"/>
              </w:rPr>
            </w:pPr>
            <w:r w:rsidRPr="0077700D">
              <w:rPr>
                <w:rFonts w:ascii="Cambria" w:eastAsia="Times New Roman" w:hAnsi="Cambria"/>
                <w:b/>
                <w:bCs/>
                <w:caps/>
                <w:lang w:val="hr-HR"/>
              </w:rPr>
              <w:t>P</w:t>
            </w:r>
          </w:p>
        </w:tc>
        <w:tc>
          <w:tcPr>
            <w:tcW w:w="317" w:type="pct"/>
            <w:gridSpan w:val="2"/>
            <w:vAlign w:val="center"/>
          </w:tcPr>
          <w:p w14:paraId="71F391F6" w14:textId="77777777" w:rsidR="004E3FDC" w:rsidRPr="0077700D" w:rsidRDefault="004E3FDC" w:rsidP="00450B7A">
            <w:pPr>
              <w:spacing w:after="0" w:line="240" w:lineRule="auto"/>
              <w:jc w:val="center"/>
              <w:rPr>
                <w:rFonts w:ascii="Cambria" w:eastAsia="Times New Roman" w:hAnsi="Cambria"/>
                <w:b/>
                <w:bCs/>
                <w:caps/>
                <w:lang w:val="hr-HR"/>
              </w:rPr>
            </w:pPr>
            <w:r w:rsidRPr="0077700D">
              <w:rPr>
                <w:rFonts w:ascii="Cambria" w:eastAsia="Times New Roman" w:hAnsi="Cambria"/>
                <w:b/>
                <w:bCs/>
                <w:caps/>
                <w:lang w:val="hr-HR"/>
              </w:rPr>
              <w:t>S</w:t>
            </w:r>
          </w:p>
        </w:tc>
        <w:tc>
          <w:tcPr>
            <w:tcW w:w="397" w:type="pct"/>
            <w:gridSpan w:val="3"/>
            <w:vAlign w:val="center"/>
            <w:hideMark/>
          </w:tcPr>
          <w:p w14:paraId="28337A9D" w14:textId="77777777" w:rsidR="004E3FDC" w:rsidRPr="0077700D" w:rsidRDefault="004E3FDC" w:rsidP="00450B7A">
            <w:pPr>
              <w:spacing w:after="0" w:line="240" w:lineRule="auto"/>
              <w:jc w:val="center"/>
              <w:rPr>
                <w:rFonts w:ascii="Cambria" w:eastAsia="Times New Roman" w:hAnsi="Cambria"/>
                <w:b/>
                <w:bCs/>
                <w:caps/>
                <w:lang w:val="hr-HR"/>
              </w:rPr>
            </w:pPr>
            <w:r w:rsidRPr="0077700D">
              <w:rPr>
                <w:rFonts w:ascii="Cambria" w:eastAsia="Times New Roman" w:hAnsi="Cambria"/>
                <w:b/>
                <w:bCs/>
                <w:caps/>
                <w:lang w:val="hr-HR"/>
              </w:rPr>
              <w:t>V</w:t>
            </w:r>
          </w:p>
        </w:tc>
        <w:tc>
          <w:tcPr>
            <w:tcW w:w="479" w:type="pct"/>
            <w:vAlign w:val="center"/>
            <w:hideMark/>
          </w:tcPr>
          <w:p w14:paraId="59F39068" w14:textId="77777777" w:rsidR="004E3FDC" w:rsidRPr="0077700D" w:rsidRDefault="004E3FDC" w:rsidP="00450B7A">
            <w:pPr>
              <w:spacing w:after="0" w:line="240" w:lineRule="auto"/>
              <w:jc w:val="center"/>
              <w:rPr>
                <w:rFonts w:ascii="Cambria" w:eastAsia="Times New Roman" w:hAnsi="Cambria"/>
                <w:b/>
                <w:bCs/>
                <w:caps/>
                <w:lang w:val="hr-HR"/>
              </w:rPr>
            </w:pPr>
            <w:r w:rsidRPr="0077700D">
              <w:rPr>
                <w:rFonts w:ascii="Cambria" w:eastAsia="Times New Roman" w:hAnsi="Cambria"/>
                <w:b/>
                <w:bCs/>
                <w:caps/>
                <w:lang w:val="hr-HR"/>
              </w:rPr>
              <w:t>ECTS</w:t>
            </w:r>
          </w:p>
        </w:tc>
      </w:tr>
      <w:tr w:rsidR="004E3FDC" w:rsidRPr="0077700D" w14:paraId="3D6A2DD1" w14:textId="77777777" w:rsidTr="00450B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48" w:type="pct"/>
            <w:vAlign w:val="center"/>
          </w:tcPr>
          <w:p w14:paraId="0FD5190C" w14:textId="77777777" w:rsidR="004E3FDC" w:rsidRPr="0077700D" w:rsidRDefault="004E3FDC" w:rsidP="00450B7A">
            <w:pPr>
              <w:spacing w:after="0" w:line="240" w:lineRule="auto"/>
              <w:rPr>
                <w:rFonts w:ascii="Cambria" w:eastAsia="Times New Roman" w:hAnsi="Cambria"/>
                <w:lang w:val="hr-HR"/>
              </w:rPr>
            </w:pPr>
            <w:r w:rsidRPr="0077700D">
              <w:rPr>
                <w:rFonts w:ascii="Cambria" w:eastAsia="Times New Roman" w:hAnsi="Cambria"/>
                <w:lang w:val="hr-HR"/>
              </w:rPr>
              <w:t>Zimski</w:t>
            </w:r>
          </w:p>
        </w:tc>
        <w:tc>
          <w:tcPr>
            <w:tcW w:w="945" w:type="pct"/>
            <w:vAlign w:val="center"/>
            <w:hideMark/>
          </w:tcPr>
          <w:p w14:paraId="7D2E9CC6" w14:textId="77777777" w:rsidR="004E3FDC" w:rsidRPr="0077700D" w:rsidRDefault="004E3FDC" w:rsidP="00450B7A">
            <w:pPr>
              <w:spacing w:before="20" w:after="20" w:line="240" w:lineRule="auto"/>
              <w:rPr>
                <w:rFonts w:ascii="Cambria" w:eastAsia="Times New Roman" w:hAnsi="Cambria"/>
                <w:b/>
                <w:lang w:val="hr-HR"/>
              </w:rPr>
            </w:pPr>
            <w:r w:rsidRPr="0077700D">
              <w:rPr>
                <w:rFonts w:ascii="Cambria" w:eastAsia="Times New Roman" w:hAnsi="Cambria"/>
                <w:b/>
                <w:lang w:val="hr-HR"/>
              </w:rPr>
              <w:t>118970</w:t>
            </w:r>
          </w:p>
          <w:p w14:paraId="004159B6" w14:textId="77777777" w:rsidR="004E3FDC" w:rsidRPr="0077700D" w:rsidRDefault="004E3FDC" w:rsidP="00450B7A">
            <w:pPr>
              <w:spacing w:after="0" w:line="240" w:lineRule="auto"/>
              <w:rPr>
                <w:rFonts w:ascii="Cambria" w:eastAsia="Times New Roman" w:hAnsi="Cambria"/>
                <w:lang w:val="hr-HR"/>
              </w:rPr>
            </w:pPr>
            <w:r w:rsidRPr="0077700D">
              <w:rPr>
                <w:rFonts w:ascii="Cambria" w:eastAsia="Times New Roman" w:hAnsi="Cambria"/>
                <w:lang w:val="hr-HR"/>
              </w:rPr>
              <w:t>Trening socijalnih vještina</w:t>
            </w:r>
          </w:p>
        </w:tc>
        <w:tc>
          <w:tcPr>
            <w:tcW w:w="1996" w:type="pct"/>
            <w:gridSpan w:val="2"/>
            <w:vAlign w:val="center"/>
            <w:hideMark/>
          </w:tcPr>
          <w:p w14:paraId="661B3F4E" w14:textId="77777777" w:rsidR="004E3FDC" w:rsidRPr="0077700D" w:rsidRDefault="004E3FDC" w:rsidP="00450B7A">
            <w:pPr>
              <w:spacing w:after="0" w:line="240" w:lineRule="auto"/>
              <w:rPr>
                <w:rFonts w:ascii="Cambria" w:eastAsia="Times New Roman" w:hAnsi="Cambria"/>
                <w:lang w:val="hr-HR"/>
              </w:rPr>
            </w:pPr>
            <w:r w:rsidRPr="0077700D">
              <w:rPr>
                <w:rFonts w:ascii="Cambria" w:eastAsia="Times New Roman" w:hAnsi="Cambria"/>
                <w:lang w:val="hr-HR"/>
              </w:rPr>
              <w:t xml:space="preserve">prof. dr. sc. Mirjana </w:t>
            </w:r>
            <w:proofErr w:type="spellStart"/>
            <w:r w:rsidRPr="0077700D">
              <w:rPr>
                <w:rFonts w:ascii="Cambria" w:eastAsia="Times New Roman" w:hAnsi="Cambria"/>
                <w:lang w:val="hr-HR"/>
              </w:rPr>
              <w:t>Radetić</w:t>
            </w:r>
            <w:proofErr w:type="spellEnd"/>
            <w:r w:rsidRPr="0077700D">
              <w:rPr>
                <w:rFonts w:ascii="Cambria" w:eastAsia="Times New Roman" w:hAnsi="Cambria"/>
                <w:lang w:val="hr-HR"/>
              </w:rPr>
              <w:t>-Paić</w:t>
            </w:r>
          </w:p>
        </w:tc>
        <w:tc>
          <w:tcPr>
            <w:tcW w:w="318" w:type="pct"/>
            <w:vAlign w:val="center"/>
            <w:hideMark/>
          </w:tcPr>
          <w:p w14:paraId="3E588946"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15</w:t>
            </w:r>
          </w:p>
        </w:tc>
        <w:tc>
          <w:tcPr>
            <w:tcW w:w="317" w:type="pct"/>
            <w:gridSpan w:val="2"/>
            <w:vAlign w:val="center"/>
          </w:tcPr>
          <w:p w14:paraId="659726E8"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0</w:t>
            </w:r>
          </w:p>
        </w:tc>
        <w:tc>
          <w:tcPr>
            <w:tcW w:w="397" w:type="pct"/>
            <w:gridSpan w:val="3"/>
            <w:vAlign w:val="center"/>
            <w:hideMark/>
          </w:tcPr>
          <w:p w14:paraId="72BC825F"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15</w:t>
            </w:r>
          </w:p>
        </w:tc>
        <w:tc>
          <w:tcPr>
            <w:tcW w:w="479" w:type="pct"/>
            <w:vAlign w:val="center"/>
            <w:hideMark/>
          </w:tcPr>
          <w:p w14:paraId="44E26C86" w14:textId="77777777" w:rsidR="004E3FDC" w:rsidRPr="0077700D" w:rsidRDefault="004E3FDC" w:rsidP="00450B7A">
            <w:pPr>
              <w:spacing w:after="0" w:line="240" w:lineRule="auto"/>
              <w:jc w:val="center"/>
              <w:rPr>
                <w:rFonts w:ascii="Cambria" w:eastAsia="Times New Roman" w:hAnsi="Cambria"/>
                <w:bCs/>
                <w:lang w:val="hr-HR"/>
              </w:rPr>
            </w:pPr>
            <w:r w:rsidRPr="0077700D">
              <w:rPr>
                <w:rFonts w:ascii="Cambria" w:eastAsia="Times New Roman" w:hAnsi="Cambria"/>
                <w:bCs/>
                <w:lang w:val="hr-HR"/>
              </w:rPr>
              <w:t>2</w:t>
            </w:r>
          </w:p>
        </w:tc>
      </w:tr>
      <w:tr w:rsidR="004E3FDC" w:rsidRPr="0077700D" w14:paraId="625646A8" w14:textId="77777777" w:rsidTr="00450B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48" w:type="pct"/>
            <w:vAlign w:val="center"/>
          </w:tcPr>
          <w:p w14:paraId="2D6C7C4D" w14:textId="77777777" w:rsidR="004E3FDC" w:rsidRPr="0077700D" w:rsidRDefault="004E3FDC" w:rsidP="00450B7A">
            <w:pPr>
              <w:spacing w:after="0" w:line="240" w:lineRule="auto"/>
              <w:rPr>
                <w:rFonts w:ascii="Cambria" w:eastAsia="Times New Roman" w:hAnsi="Cambria"/>
                <w:lang w:val="hr-HR"/>
              </w:rPr>
            </w:pPr>
            <w:r w:rsidRPr="0077700D">
              <w:rPr>
                <w:rFonts w:ascii="Cambria" w:eastAsia="Times New Roman" w:hAnsi="Cambria"/>
                <w:lang w:val="hr-HR"/>
              </w:rPr>
              <w:t>Zimski</w:t>
            </w:r>
          </w:p>
        </w:tc>
        <w:tc>
          <w:tcPr>
            <w:tcW w:w="945" w:type="pct"/>
            <w:vAlign w:val="center"/>
            <w:hideMark/>
          </w:tcPr>
          <w:p w14:paraId="35E9537D" w14:textId="77777777" w:rsidR="004E3FDC" w:rsidRPr="0077700D" w:rsidRDefault="004E3FDC" w:rsidP="00450B7A">
            <w:pPr>
              <w:spacing w:before="20" w:after="20" w:line="240" w:lineRule="auto"/>
              <w:rPr>
                <w:rFonts w:ascii="Cambria" w:eastAsia="Times New Roman" w:hAnsi="Cambria"/>
                <w:b/>
                <w:lang w:val="hr-HR"/>
              </w:rPr>
            </w:pPr>
            <w:r w:rsidRPr="0077700D">
              <w:rPr>
                <w:rFonts w:ascii="Cambria" w:eastAsia="Times New Roman" w:hAnsi="Cambria"/>
                <w:b/>
                <w:lang w:val="hr-HR"/>
              </w:rPr>
              <w:t>212639</w:t>
            </w:r>
          </w:p>
          <w:p w14:paraId="5334C11E" w14:textId="77777777" w:rsidR="004E3FDC" w:rsidRPr="0077700D" w:rsidRDefault="004E3FDC" w:rsidP="00450B7A">
            <w:pPr>
              <w:spacing w:after="0" w:line="240" w:lineRule="auto"/>
              <w:rPr>
                <w:rFonts w:ascii="Cambria" w:eastAsia="Times New Roman" w:hAnsi="Cambria"/>
                <w:lang w:val="hr-HR"/>
              </w:rPr>
            </w:pPr>
            <w:r w:rsidRPr="0077700D">
              <w:rPr>
                <w:rFonts w:ascii="Cambria" w:eastAsia="Times New Roman" w:hAnsi="Cambria"/>
                <w:lang w:val="hr-HR"/>
              </w:rPr>
              <w:t xml:space="preserve">Odgoj i obrazovanje za ljudska prava </w:t>
            </w:r>
          </w:p>
        </w:tc>
        <w:tc>
          <w:tcPr>
            <w:tcW w:w="1996" w:type="pct"/>
            <w:gridSpan w:val="2"/>
            <w:vAlign w:val="center"/>
            <w:hideMark/>
          </w:tcPr>
          <w:p w14:paraId="29E18C84" w14:textId="77777777" w:rsidR="004E3FDC" w:rsidRPr="0077700D" w:rsidRDefault="004E3FDC" w:rsidP="00450B7A">
            <w:pPr>
              <w:spacing w:after="0" w:line="240" w:lineRule="auto"/>
              <w:rPr>
                <w:rFonts w:ascii="Cambria" w:eastAsia="Times New Roman" w:hAnsi="Cambria"/>
                <w:lang w:val="hr-HR"/>
              </w:rPr>
            </w:pPr>
            <w:r w:rsidRPr="0077700D">
              <w:rPr>
                <w:rFonts w:ascii="Cambria" w:eastAsia="Times New Roman" w:hAnsi="Cambria"/>
                <w:lang w:val="hr-HR"/>
              </w:rPr>
              <w:t xml:space="preserve">izv. prof. dr. sc. Marina </w:t>
            </w:r>
            <w:proofErr w:type="spellStart"/>
            <w:r w:rsidRPr="0077700D">
              <w:rPr>
                <w:rFonts w:ascii="Cambria" w:eastAsia="Times New Roman" w:hAnsi="Cambria"/>
                <w:lang w:val="hr-HR"/>
              </w:rPr>
              <w:t>Diković</w:t>
            </w:r>
            <w:proofErr w:type="spellEnd"/>
          </w:p>
          <w:p w14:paraId="4CD87E04" w14:textId="77777777" w:rsidR="004E3FDC" w:rsidRPr="0077700D" w:rsidRDefault="004E3FDC" w:rsidP="00450B7A">
            <w:pPr>
              <w:spacing w:after="0" w:line="240" w:lineRule="auto"/>
              <w:rPr>
                <w:rFonts w:ascii="Cambria" w:eastAsia="Times New Roman" w:hAnsi="Cambria"/>
                <w:lang w:val="hr-HR"/>
              </w:rPr>
            </w:pPr>
            <w:r w:rsidRPr="0077700D">
              <w:rPr>
                <w:rFonts w:ascii="Cambria" w:eastAsia="Times New Roman" w:hAnsi="Cambria"/>
                <w:lang w:val="hr-HR"/>
              </w:rPr>
              <w:t xml:space="preserve">doc. dr. sc. </w:t>
            </w:r>
            <w:proofErr w:type="spellStart"/>
            <w:r w:rsidRPr="0077700D">
              <w:rPr>
                <w:rFonts w:ascii="Cambria" w:eastAsia="Times New Roman" w:hAnsi="Cambria"/>
                <w:lang w:val="hr-HR"/>
              </w:rPr>
              <w:t>Marlena</w:t>
            </w:r>
            <w:proofErr w:type="spellEnd"/>
            <w:r w:rsidRPr="0077700D">
              <w:rPr>
                <w:rFonts w:ascii="Cambria" w:eastAsia="Times New Roman" w:hAnsi="Cambria"/>
                <w:lang w:val="hr-HR"/>
              </w:rPr>
              <w:t xml:space="preserve"> Plavšić</w:t>
            </w:r>
          </w:p>
        </w:tc>
        <w:tc>
          <w:tcPr>
            <w:tcW w:w="318" w:type="pct"/>
            <w:vAlign w:val="center"/>
            <w:hideMark/>
          </w:tcPr>
          <w:p w14:paraId="28674608"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15</w:t>
            </w:r>
          </w:p>
        </w:tc>
        <w:tc>
          <w:tcPr>
            <w:tcW w:w="317" w:type="pct"/>
            <w:gridSpan w:val="2"/>
            <w:vAlign w:val="center"/>
          </w:tcPr>
          <w:p w14:paraId="1CF66DEF"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15</w:t>
            </w:r>
          </w:p>
        </w:tc>
        <w:tc>
          <w:tcPr>
            <w:tcW w:w="397" w:type="pct"/>
            <w:gridSpan w:val="3"/>
            <w:vAlign w:val="center"/>
            <w:hideMark/>
          </w:tcPr>
          <w:p w14:paraId="34E4392D"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0</w:t>
            </w:r>
          </w:p>
        </w:tc>
        <w:tc>
          <w:tcPr>
            <w:tcW w:w="479" w:type="pct"/>
            <w:vAlign w:val="center"/>
            <w:hideMark/>
          </w:tcPr>
          <w:p w14:paraId="32723489" w14:textId="77777777" w:rsidR="004E3FDC" w:rsidRPr="0077700D" w:rsidRDefault="004E3FDC" w:rsidP="00450B7A">
            <w:pPr>
              <w:spacing w:after="0" w:line="240" w:lineRule="auto"/>
              <w:jc w:val="center"/>
              <w:rPr>
                <w:rFonts w:ascii="Cambria" w:eastAsia="Times New Roman" w:hAnsi="Cambria"/>
                <w:bCs/>
                <w:lang w:val="hr-HR"/>
              </w:rPr>
            </w:pPr>
            <w:r w:rsidRPr="0077700D">
              <w:rPr>
                <w:rFonts w:ascii="Cambria" w:eastAsia="Times New Roman" w:hAnsi="Cambria"/>
                <w:bCs/>
                <w:lang w:val="hr-HR"/>
              </w:rPr>
              <w:t>3</w:t>
            </w:r>
          </w:p>
        </w:tc>
      </w:tr>
      <w:tr w:rsidR="004E3FDC" w:rsidRPr="0077700D" w14:paraId="138AA9DB" w14:textId="77777777" w:rsidTr="00450B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48" w:type="pct"/>
            <w:vAlign w:val="center"/>
          </w:tcPr>
          <w:p w14:paraId="22E18189" w14:textId="77777777" w:rsidR="004E3FDC" w:rsidRPr="0077700D" w:rsidRDefault="004E3FDC" w:rsidP="00450B7A">
            <w:pPr>
              <w:spacing w:after="0" w:line="240" w:lineRule="auto"/>
              <w:rPr>
                <w:rFonts w:ascii="Cambria" w:eastAsia="Times New Roman" w:hAnsi="Cambria"/>
                <w:lang w:val="hr-HR"/>
              </w:rPr>
            </w:pPr>
            <w:r w:rsidRPr="0077700D">
              <w:rPr>
                <w:rFonts w:ascii="Cambria" w:eastAsia="Times New Roman" w:hAnsi="Cambria"/>
                <w:lang w:val="hr-HR"/>
              </w:rPr>
              <w:t>Zimski</w:t>
            </w:r>
          </w:p>
        </w:tc>
        <w:tc>
          <w:tcPr>
            <w:tcW w:w="945" w:type="pct"/>
            <w:vAlign w:val="center"/>
          </w:tcPr>
          <w:p w14:paraId="40332AD4" w14:textId="77777777" w:rsidR="004E3FDC" w:rsidRPr="0077700D" w:rsidRDefault="004E3FDC" w:rsidP="00450B7A">
            <w:pPr>
              <w:spacing w:before="20" w:after="20" w:line="240" w:lineRule="auto"/>
              <w:rPr>
                <w:rFonts w:ascii="Cambria" w:eastAsia="Times New Roman" w:hAnsi="Cambria"/>
                <w:b/>
                <w:lang w:val="hr-HR"/>
              </w:rPr>
            </w:pPr>
            <w:r w:rsidRPr="0077700D">
              <w:rPr>
                <w:rFonts w:ascii="Cambria" w:eastAsia="Times New Roman" w:hAnsi="Cambria"/>
                <w:b/>
                <w:lang w:val="hr-HR"/>
              </w:rPr>
              <w:t>208860</w:t>
            </w:r>
          </w:p>
          <w:p w14:paraId="05FEDA7D" w14:textId="77777777" w:rsidR="004E3FDC" w:rsidRPr="0077700D" w:rsidRDefault="004E3FDC" w:rsidP="00450B7A">
            <w:pPr>
              <w:spacing w:after="0" w:line="240" w:lineRule="auto"/>
              <w:rPr>
                <w:rFonts w:ascii="Cambria" w:eastAsia="Times New Roman" w:hAnsi="Cambria"/>
                <w:lang w:val="hr-HR"/>
              </w:rPr>
            </w:pPr>
            <w:r w:rsidRPr="0077700D">
              <w:rPr>
                <w:rFonts w:ascii="Cambria" w:eastAsia="Times New Roman" w:hAnsi="Cambria"/>
                <w:lang w:val="hr-HR"/>
              </w:rPr>
              <w:t>Usmena zavičajna baština</w:t>
            </w:r>
          </w:p>
        </w:tc>
        <w:tc>
          <w:tcPr>
            <w:tcW w:w="1996" w:type="pct"/>
            <w:gridSpan w:val="2"/>
            <w:vAlign w:val="center"/>
          </w:tcPr>
          <w:p w14:paraId="1D10AE3A" w14:textId="77777777" w:rsidR="004E3FDC" w:rsidRDefault="004E3FDC" w:rsidP="00450B7A">
            <w:pPr>
              <w:spacing w:after="0" w:line="240" w:lineRule="auto"/>
              <w:rPr>
                <w:rFonts w:ascii="Cambria" w:eastAsia="Times New Roman" w:hAnsi="Cambria"/>
                <w:lang w:val="hr-HR"/>
              </w:rPr>
            </w:pPr>
            <w:r w:rsidRPr="0077700D">
              <w:rPr>
                <w:rFonts w:ascii="Cambria" w:eastAsia="Times New Roman" w:hAnsi="Cambria"/>
                <w:lang w:val="hr-HR"/>
              </w:rPr>
              <w:t>prof. dr. sc. Vjekoslava Jurdana</w:t>
            </w:r>
          </w:p>
          <w:p w14:paraId="23F89F1E" w14:textId="77777777" w:rsidR="004E3FDC" w:rsidRPr="0077700D" w:rsidRDefault="004E3FDC" w:rsidP="00450B7A">
            <w:pPr>
              <w:spacing w:after="0" w:line="240" w:lineRule="auto"/>
              <w:rPr>
                <w:rFonts w:ascii="Cambria" w:eastAsia="Times New Roman" w:hAnsi="Cambria"/>
                <w:lang w:val="hr-HR"/>
              </w:rPr>
            </w:pPr>
            <w:r w:rsidRPr="00671B0E">
              <w:rPr>
                <w:rFonts w:ascii="Cambria" w:eastAsia="Times New Roman" w:hAnsi="Cambria"/>
                <w:lang w:val="hr-HR"/>
              </w:rPr>
              <w:t xml:space="preserve">Alen </w:t>
            </w:r>
            <w:proofErr w:type="spellStart"/>
            <w:r w:rsidRPr="00671B0E">
              <w:rPr>
                <w:rFonts w:ascii="Cambria" w:eastAsia="Times New Roman" w:hAnsi="Cambria"/>
                <w:lang w:val="hr-HR"/>
              </w:rPr>
              <w:t>Klančar</w:t>
            </w:r>
            <w:proofErr w:type="spellEnd"/>
            <w:r w:rsidRPr="00671B0E">
              <w:rPr>
                <w:rFonts w:ascii="Cambria" w:eastAsia="Times New Roman" w:hAnsi="Cambria"/>
                <w:lang w:val="hr-HR"/>
              </w:rPr>
              <w:t>, naslovni asistent</w:t>
            </w:r>
          </w:p>
        </w:tc>
        <w:tc>
          <w:tcPr>
            <w:tcW w:w="318" w:type="pct"/>
            <w:vAlign w:val="center"/>
          </w:tcPr>
          <w:p w14:paraId="13FD16A5"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15</w:t>
            </w:r>
          </w:p>
        </w:tc>
        <w:tc>
          <w:tcPr>
            <w:tcW w:w="317" w:type="pct"/>
            <w:gridSpan w:val="2"/>
            <w:vAlign w:val="center"/>
          </w:tcPr>
          <w:p w14:paraId="6F5A7C20"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15</w:t>
            </w:r>
          </w:p>
        </w:tc>
        <w:tc>
          <w:tcPr>
            <w:tcW w:w="397" w:type="pct"/>
            <w:gridSpan w:val="3"/>
            <w:vAlign w:val="center"/>
          </w:tcPr>
          <w:p w14:paraId="7D58BCB3"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0</w:t>
            </w:r>
          </w:p>
        </w:tc>
        <w:tc>
          <w:tcPr>
            <w:tcW w:w="479" w:type="pct"/>
            <w:vAlign w:val="center"/>
          </w:tcPr>
          <w:p w14:paraId="504C2094" w14:textId="77777777" w:rsidR="004E3FDC" w:rsidRPr="0077700D" w:rsidRDefault="004E3FDC" w:rsidP="00450B7A">
            <w:pPr>
              <w:spacing w:after="0" w:line="240" w:lineRule="auto"/>
              <w:jc w:val="center"/>
              <w:rPr>
                <w:rFonts w:ascii="Cambria" w:eastAsia="Times New Roman" w:hAnsi="Cambria"/>
                <w:bCs/>
                <w:lang w:val="hr-HR"/>
              </w:rPr>
            </w:pPr>
            <w:r w:rsidRPr="0077700D">
              <w:rPr>
                <w:rFonts w:ascii="Cambria" w:eastAsia="Times New Roman" w:hAnsi="Cambria"/>
                <w:bCs/>
                <w:lang w:val="hr-HR"/>
              </w:rPr>
              <w:t>2</w:t>
            </w:r>
          </w:p>
        </w:tc>
      </w:tr>
      <w:tr w:rsidR="004E3FDC" w:rsidRPr="0077700D" w14:paraId="1A6EE2D8" w14:textId="77777777" w:rsidTr="00450B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48" w:type="pct"/>
            <w:vAlign w:val="center"/>
          </w:tcPr>
          <w:p w14:paraId="49A2F31A" w14:textId="77777777" w:rsidR="004E3FDC" w:rsidRPr="0077700D" w:rsidRDefault="004E3FDC" w:rsidP="00450B7A">
            <w:pPr>
              <w:spacing w:after="0" w:line="240" w:lineRule="auto"/>
              <w:rPr>
                <w:rFonts w:ascii="Cambria" w:eastAsia="Times New Roman" w:hAnsi="Cambria"/>
                <w:lang w:val="hr-HR"/>
              </w:rPr>
            </w:pPr>
            <w:r w:rsidRPr="0077700D">
              <w:rPr>
                <w:rFonts w:ascii="Cambria" w:eastAsia="Times New Roman" w:hAnsi="Cambria"/>
                <w:lang w:val="hr-HR"/>
              </w:rPr>
              <w:t>Zimski</w:t>
            </w:r>
          </w:p>
        </w:tc>
        <w:tc>
          <w:tcPr>
            <w:tcW w:w="945" w:type="pct"/>
            <w:vAlign w:val="center"/>
          </w:tcPr>
          <w:p w14:paraId="0B54FD4C" w14:textId="77777777" w:rsidR="004E3FDC" w:rsidRPr="0077700D" w:rsidRDefault="004E3FDC" w:rsidP="00450B7A">
            <w:pPr>
              <w:spacing w:after="0" w:line="240" w:lineRule="auto"/>
              <w:rPr>
                <w:rFonts w:ascii="Cambria" w:eastAsia="Times New Roman" w:hAnsi="Cambria"/>
                <w:lang w:val="hr-HR"/>
              </w:rPr>
            </w:pPr>
            <w:r w:rsidRPr="0077700D">
              <w:rPr>
                <w:rFonts w:ascii="Cambria" w:eastAsia="Times New Roman" w:hAnsi="Cambria"/>
                <w:lang w:val="hr-HR"/>
              </w:rPr>
              <w:t>Stručni izrazi u razrednoj nastavi</w:t>
            </w:r>
          </w:p>
        </w:tc>
        <w:tc>
          <w:tcPr>
            <w:tcW w:w="1996" w:type="pct"/>
            <w:gridSpan w:val="2"/>
            <w:vAlign w:val="center"/>
          </w:tcPr>
          <w:p w14:paraId="5685FFB6" w14:textId="77777777" w:rsidR="004E3FDC" w:rsidRPr="0077700D" w:rsidRDefault="004E3FDC" w:rsidP="00450B7A">
            <w:pPr>
              <w:spacing w:after="0" w:line="240" w:lineRule="auto"/>
              <w:rPr>
                <w:rFonts w:ascii="Cambria" w:eastAsia="Times New Roman" w:hAnsi="Cambria"/>
                <w:lang w:val="hr-HR"/>
              </w:rPr>
            </w:pPr>
            <w:r w:rsidRPr="0077700D">
              <w:rPr>
                <w:rFonts w:ascii="Cambria" w:eastAsia="Times New Roman" w:hAnsi="Cambria"/>
                <w:lang w:val="hr-HR"/>
              </w:rPr>
              <w:t>izv. prof. dr. sc. Helena Pavletić</w:t>
            </w:r>
          </w:p>
        </w:tc>
        <w:tc>
          <w:tcPr>
            <w:tcW w:w="318" w:type="pct"/>
            <w:vAlign w:val="center"/>
          </w:tcPr>
          <w:p w14:paraId="6DAFBE4F"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15</w:t>
            </w:r>
          </w:p>
        </w:tc>
        <w:tc>
          <w:tcPr>
            <w:tcW w:w="317" w:type="pct"/>
            <w:gridSpan w:val="2"/>
            <w:vAlign w:val="center"/>
          </w:tcPr>
          <w:p w14:paraId="0A24CAB3"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15</w:t>
            </w:r>
          </w:p>
        </w:tc>
        <w:tc>
          <w:tcPr>
            <w:tcW w:w="397" w:type="pct"/>
            <w:gridSpan w:val="3"/>
            <w:vAlign w:val="center"/>
          </w:tcPr>
          <w:p w14:paraId="4080DB04"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0</w:t>
            </w:r>
          </w:p>
        </w:tc>
        <w:tc>
          <w:tcPr>
            <w:tcW w:w="479" w:type="pct"/>
            <w:vAlign w:val="center"/>
          </w:tcPr>
          <w:p w14:paraId="2A5F05D1" w14:textId="77777777" w:rsidR="004E3FDC" w:rsidRPr="0077700D" w:rsidRDefault="004E3FDC" w:rsidP="00450B7A">
            <w:pPr>
              <w:spacing w:after="0" w:line="240" w:lineRule="auto"/>
              <w:jc w:val="center"/>
              <w:rPr>
                <w:rFonts w:ascii="Cambria" w:eastAsia="Times New Roman" w:hAnsi="Cambria"/>
                <w:bCs/>
                <w:lang w:val="hr-HR"/>
              </w:rPr>
            </w:pPr>
            <w:r w:rsidRPr="0077700D">
              <w:rPr>
                <w:rFonts w:ascii="Cambria" w:eastAsia="Times New Roman" w:hAnsi="Cambria"/>
                <w:bCs/>
                <w:lang w:val="hr-HR"/>
              </w:rPr>
              <w:t>2</w:t>
            </w:r>
          </w:p>
        </w:tc>
      </w:tr>
      <w:tr w:rsidR="004E3FDC" w:rsidRPr="0077700D" w14:paraId="4310B71A" w14:textId="77777777" w:rsidTr="00450B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48" w:type="pct"/>
            <w:vAlign w:val="center"/>
          </w:tcPr>
          <w:p w14:paraId="2B0129A0" w14:textId="77777777" w:rsidR="004E3FDC" w:rsidRPr="0077700D" w:rsidRDefault="004E3FDC" w:rsidP="00450B7A">
            <w:pPr>
              <w:spacing w:after="0" w:line="240" w:lineRule="auto"/>
              <w:rPr>
                <w:rFonts w:ascii="Cambria" w:eastAsia="Times New Roman" w:hAnsi="Cambria"/>
                <w:lang w:val="hr-HR"/>
              </w:rPr>
            </w:pPr>
            <w:r w:rsidRPr="0077700D">
              <w:rPr>
                <w:rFonts w:ascii="Cambria" w:eastAsia="Times New Roman" w:hAnsi="Cambria"/>
                <w:lang w:val="hr-HR"/>
              </w:rPr>
              <w:t>Zimski</w:t>
            </w:r>
          </w:p>
        </w:tc>
        <w:tc>
          <w:tcPr>
            <w:tcW w:w="945" w:type="pct"/>
            <w:vAlign w:val="center"/>
          </w:tcPr>
          <w:p w14:paraId="66A69898" w14:textId="77777777" w:rsidR="004E3FDC" w:rsidRPr="0077700D" w:rsidRDefault="004E3FDC" w:rsidP="00450B7A">
            <w:pPr>
              <w:spacing w:before="20" w:after="20" w:line="240" w:lineRule="auto"/>
              <w:rPr>
                <w:rFonts w:ascii="Cambria" w:eastAsia="Times New Roman" w:hAnsi="Cambria"/>
                <w:b/>
                <w:lang w:val="hr-HR"/>
              </w:rPr>
            </w:pPr>
            <w:r w:rsidRPr="0077700D">
              <w:rPr>
                <w:rFonts w:ascii="Cambria" w:eastAsia="Times New Roman" w:hAnsi="Cambria"/>
                <w:b/>
                <w:lang w:val="hr-HR"/>
              </w:rPr>
              <w:t>200035</w:t>
            </w:r>
          </w:p>
          <w:p w14:paraId="2038E546" w14:textId="77777777" w:rsidR="004E3FDC" w:rsidRPr="0077700D" w:rsidRDefault="004E3FDC" w:rsidP="00450B7A">
            <w:pPr>
              <w:spacing w:before="20" w:after="20" w:line="240" w:lineRule="auto"/>
              <w:rPr>
                <w:rFonts w:ascii="Cambria" w:eastAsia="Times New Roman" w:hAnsi="Cambria"/>
                <w:lang w:val="hr-HR"/>
              </w:rPr>
            </w:pPr>
            <w:r>
              <w:rPr>
                <w:rFonts w:ascii="Cambria" w:eastAsia="Times New Roman" w:hAnsi="Cambria"/>
                <w:lang w:val="hr-HR"/>
              </w:rPr>
              <w:t>Kreativna glazbena radionica</w:t>
            </w:r>
          </w:p>
        </w:tc>
        <w:tc>
          <w:tcPr>
            <w:tcW w:w="1996" w:type="pct"/>
            <w:gridSpan w:val="2"/>
            <w:vAlign w:val="center"/>
          </w:tcPr>
          <w:p w14:paraId="41C0710B" w14:textId="77777777" w:rsidR="004E3FDC" w:rsidRPr="0077700D" w:rsidRDefault="004E3FDC" w:rsidP="00450B7A">
            <w:pPr>
              <w:spacing w:after="0" w:line="240" w:lineRule="auto"/>
              <w:rPr>
                <w:rFonts w:ascii="Cambria" w:eastAsia="Times New Roman" w:hAnsi="Cambria"/>
                <w:lang w:val="hr-HR"/>
              </w:rPr>
            </w:pPr>
            <w:r w:rsidRPr="0077700D">
              <w:rPr>
                <w:rFonts w:ascii="Cambria" w:eastAsia="Times New Roman" w:hAnsi="Cambria"/>
                <w:lang w:val="hr-HR"/>
              </w:rPr>
              <w:t>prof. dr. sc. Ivana Paula Gortan-Carlin</w:t>
            </w:r>
          </w:p>
          <w:p w14:paraId="0EBD78D5" w14:textId="77777777" w:rsidR="004E3FDC" w:rsidRPr="0077700D" w:rsidRDefault="004E3FDC" w:rsidP="00450B7A">
            <w:pPr>
              <w:spacing w:after="0" w:line="240" w:lineRule="auto"/>
              <w:rPr>
                <w:rFonts w:ascii="Cambria" w:eastAsia="Times New Roman" w:hAnsi="Cambria"/>
                <w:lang w:val="hr-HR"/>
              </w:rPr>
            </w:pPr>
            <w:r w:rsidRPr="0077700D">
              <w:rPr>
                <w:rFonts w:ascii="Cambria" w:eastAsia="Times New Roman" w:hAnsi="Cambria"/>
                <w:lang w:val="hr-HR"/>
              </w:rPr>
              <w:t>mr. sc. Branko Radić, pred.</w:t>
            </w:r>
          </w:p>
        </w:tc>
        <w:tc>
          <w:tcPr>
            <w:tcW w:w="318" w:type="pct"/>
            <w:vAlign w:val="center"/>
          </w:tcPr>
          <w:p w14:paraId="15D141F2" w14:textId="77777777" w:rsidR="004E3FDC" w:rsidRPr="0077700D" w:rsidRDefault="004E3FDC" w:rsidP="00450B7A">
            <w:pPr>
              <w:spacing w:after="0" w:line="240" w:lineRule="auto"/>
              <w:jc w:val="center"/>
              <w:rPr>
                <w:rFonts w:ascii="Cambria" w:eastAsia="Times New Roman" w:hAnsi="Cambria"/>
                <w:lang w:val="hr-HR"/>
              </w:rPr>
            </w:pPr>
            <w:r>
              <w:rPr>
                <w:rFonts w:ascii="Cambria" w:eastAsia="Times New Roman" w:hAnsi="Cambria"/>
                <w:lang w:val="hr-HR"/>
              </w:rPr>
              <w:t>15</w:t>
            </w:r>
          </w:p>
        </w:tc>
        <w:tc>
          <w:tcPr>
            <w:tcW w:w="317" w:type="pct"/>
            <w:gridSpan w:val="2"/>
            <w:vAlign w:val="center"/>
          </w:tcPr>
          <w:p w14:paraId="17DBAE18"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0</w:t>
            </w:r>
          </w:p>
        </w:tc>
        <w:tc>
          <w:tcPr>
            <w:tcW w:w="397" w:type="pct"/>
            <w:gridSpan w:val="3"/>
            <w:vAlign w:val="center"/>
          </w:tcPr>
          <w:p w14:paraId="61B285A4" w14:textId="77777777" w:rsidR="004E3FDC" w:rsidRPr="0077700D" w:rsidRDefault="004E3FDC" w:rsidP="00450B7A">
            <w:pPr>
              <w:spacing w:after="0" w:line="240" w:lineRule="auto"/>
              <w:jc w:val="center"/>
              <w:rPr>
                <w:rFonts w:ascii="Cambria" w:eastAsia="Times New Roman" w:hAnsi="Cambria"/>
                <w:lang w:val="hr-HR"/>
              </w:rPr>
            </w:pPr>
            <w:r>
              <w:rPr>
                <w:rFonts w:ascii="Cambria" w:eastAsia="Times New Roman" w:hAnsi="Cambria"/>
                <w:lang w:val="hr-HR"/>
              </w:rPr>
              <w:t>15</w:t>
            </w:r>
          </w:p>
        </w:tc>
        <w:tc>
          <w:tcPr>
            <w:tcW w:w="479" w:type="pct"/>
            <w:vAlign w:val="center"/>
          </w:tcPr>
          <w:p w14:paraId="18BDC3E4" w14:textId="77777777" w:rsidR="004E3FDC" w:rsidRPr="0077700D" w:rsidRDefault="004E3FDC" w:rsidP="00450B7A">
            <w:pPr>
              <w:spacing w:after="0" w:line="240" w:lineRule="auto"/>
              <w:jc w:val="center"/>
              <w:rPr>
                <w:rFonts w:ascii="Cambria" w:eastAsia="Times New Roman" w:hAnsi="Cambria"/>
                <w:bCs/>
                <w:lang w:val="hr-HR"/>
              </w:rPr>
            </w:pPr>
            <w:r w:rsidRPr="0077700D">
              <w:rPr>
                <w:rFonts w:ascii="Cambria" w:eastAsia="Times New Roman" w:hAnsi="Cambria"/>
                <w:bCs/>
                <w:lang w:val="hr-HR"/>
              </w:rPr>
              <w:t>2</w:t>
            </w:r>
          </w:p>
        </w:tc>
      </w:tr>
      <w:tr w:rsidR="004E3FDC" w:rsidRPr="0077700D" w14:paraId="0A23C420" w14:textId="77777777" w:rsidTr="00450B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48" w:type="pct"/>
            <w:vAlign w:val="center"/>
          </w:tcPr>
          <w:p w14:paraId="734D3FE7" w14:textId="77777777" w:rsidR="004E3FDC" w:rsidRPr="0077700D" w:rsidRDefault="004E3FDC" w:rsidP="00450B7A">
            <w:pPr>
              <w:spacing w:before="240" w:after="0" w:line="240" w:lineRule="auto"/>
              <w:rPr>
                <w:rFonts w:ascii="Cambria" w:eastAsia="Times New Roman" w:hAnsi="Cambria"/>
                <w:lang w:val="hr-HR"/>
              </w:rPr>
            </w:pPr>
            <w:r w:rsidRPr="0077700D">
              <w:rPr>
                <w:rFonts w:ascii="Cambria" w:eastAsia="Times New Roman" w:hAnsi="Cambria"/>
                <w:lang w:val="hr-HR"/>
              </w:rPr>
              <w:lastRenderedPageBreak/>
              <w:t>Zimski</w:t>
            </w:r>
          </w:p>
        </w:tc>
        <w:tc>
          <w:tcPr>
            <w:tcW w:w="945" w:type="pct"/>
            <w:vAlign w:val="center"/>
            <w:hideMark/>
          </w:tcPr>
          <w:p w14:paraId="75996A7D" w14:textId="77777777" w:rsidR="004E3FDC" w:rsidRPr="0077700D" w:rsidRDefault="004E3FDC" w:rsidP="00450B7A">
            <w:pPr>
              <w:spacing w:before="20" w:after="20" w:line="240" w:lineRule="auto"/>
              <w:rPr>
                <w:rFonts w:ascii="Cambria" w:eastAsia="Times New Roman" w:hAnsi="Cambria"/>
                <w:b/>
                <w:lang w:val="hr-HR"/>
              </w:rPr>
            </w:pPr>
            <w:r w:rsidRPr="0077700D">
              <w:rPr>
                <w:rFonts w:ascii="Cambria" w:eastAsia="Times New Roman" w:hAnsi="Cambria"/>
                <w:b/>
                <w:lang w:val="hr-HR"/>
              </w:rPr>
              <w:t>118964</w:t>
            </w:r>
          </w:p>
          <w:p w14:paraId="19973B11" w14:textId="77777777" w:rsidR="004E3FDC" w:rsidRPr="0077700D" w:rsidRDefault="004E3FDC" w:rsidP="00450B7A">
            <w:pPr>
              <w:spacing w:after="0" w:line="240" w:lineRule="auto"/>
              <w:rPr>
                <w:rFonts w:ascii="Cambria" w:eastAsia="Times New Roman" w:hAnsi="Cambria"/>
                <w:lang w:val="hr-HR"/>
              </w:rPr>
            </w:pPr>
            <w:r w:rsidRPr="0077700D">
              <w:rPr>
                <w:rFonts w:ascii="Cambria" w:eastAsia="Times New Roman" w:hAnsi="Cambria"/>
                <w:lang w:val="hr-HR"/>
              </w:rPr>
              <w:t>Rad s darovitim učenicima</w:t>
            </w:r>
          </w:p>
        </w:tc>
        <w:tc>
          <w:tcPr>
            <w:tcW w:w="1996" w:type="pct"/>
            <w:gridSpan w:val="2"/>
            <w:vAlign w:val="center"/>
            <w:hideMark/>
          </w:tcPr>
          <w:p w14:paraId="59C1C62E" w14:textId="77777777" w:rsidR="004E3FDC" w:rsidRPr="0077700D" w:rsidRDefault="004E3FDC" w:rsidP="00450B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mbria" w:eastAsia="Times New Roman" w:hAnsi="Cambria"/>
                <w:lang w:val="hr-HR"/>
              </w:rPr>
            </w:pPr>
            <w:r w:rsidRPr="0077700D">
              <w:rPr>
                <w:rFonts w:ascii="Cambria" w:eastAsia="Times New Roman" w:hAnsi="Cambria"/>
                <w:lang w:val="hr-HR"/>
              </w:rPr>
              <w:t>izv. prof. dr. sc. Andrea Debeljuh</w:t>
            </w:r>
          </w:p>
        </w:tc>
        <w:tc>
          <w:tcPr>
            <w:tcW w:w="318" w:type="pct"/>
            <w:vAlign w:val="center"/>
            <w:hideMark/>
          </w:tcPr>
          <w:p w14:paraId="79DCA5BA"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15</w:t>
            </w:r>
          </w:p>
        </w:tc>
        <w:tc>
          <w:tcPr>
            <w:tcW w:w="317" w:type="pct"/>
            <w:gridSpan w:val="2"/>
            <w:vAlign w:val="center"/>
          </w:tcPr>
          <w:p w14:paraId="20CEDAAA"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0</w:t>
            </w:r>
          </w:p>
        </w:tc>
        <w:tc>
          <w:tcPr>
            <w:tcW w:w="397" w:type="pct"/>
            <w:gridSpan w:val="3"/>
            <w:vAlign w:val="center"/>
            <w:hideMark/>
          </w:tcPr>
          <w:p w14:paraId="3AA77C9B"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15</w:t>
            </w:r>
          </w:p>
        </w:tc>
        <w:tc>
          <w:tcPr>
            <w:tcW w:w="479" w:type="pct"/>
            <w:vAlign w:val="center"/>
            <w:hideMark/>
          </w:tcPr>
          <w:p w14:paraId="46641FC6" w14:textId="77777777" w:rsidR="004E3FDC" w:rsidRPr="0077700D" w:rsidRDefault="004E3FDC" w:rsidP="00450B7A">
            <w:pPr>
              <w:spacing w:after="0" w:line="240" w:lineRule="auto"/>
              <w:jc w:val="center"/>
              <w:rPr>
                <w:rFonts w:ascii="Cambria" w:eastAsia="Times New Roman" w:hAnsi="Cambria"/>
                <w:bCs/>
                <w:lang w:val="hr-HR"/>
              </w:rPr>
            </w:pPr>
            <w:r w:rsidRPr="0077700D">
              <w:rPr>
                <w:rFonts w:ascii="Cambria" w:eastAsia="Times New Roman" w:hAnsi="Cambria"/>
                <w:bCs/>
                <w:lang w:val="hr-HR"/>
              </w:rPr>
              <w:t>2</w:t>
            </w:r>
          </w:p>
        </w:tc>
      </w:tr>
      <w:tr w:rsidR="004E3FDC" w:rsidRPr="0077700D" w14:paraId="310E396F" w14:textId="77777777" w:rsidTr="00450B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9"/>
          <w:jc w:val="center"/>
        </w:trPr>
        <w:tc>
          <w:tcPr>
            <w:tcW w:w="548" w:type="pct"/>
            <w:vAlign w:val="center"/>
          </w:tcPr>
          <w:p w14:paraId="1927C742" w14:textId="77777777" w:rsidR="004E3FDC" w:rsidRPr="0077700D" w:rsidRDefault="004E3FDC" w:rsidP="00450B7A">
            <w:pPr>
              <w:spacing w:after="0" w:line="240" w:lineRule="auto"/>
              <w:rPr>
                <w:rFonts w:ascii="Cambria" w:eastAsia="Times New Roman" w:hAnsi="Cambria"/>
                <w:lang w:val="hr-HR"/>
              </w:rPr>
            </w:pPr>
            <w:r w:rsidRPr="0077700D">
              <w:rPr>
                <w:rFonts w:ascii="Cambria" w:eastAsia="Times New Roman" w:hAnsi="Cambria"/>
                <w:lang w:val="hr-HR"/>
              </w:rPr>
              <w:t>Ljetni</w:t>
            </w:r>
          </w:p>
        </w:tc>
        <w:tc>
          <w:tcPr>
            <w:tcW w:w="945" w:type="pct"/>
            <w:vAlign w:val="center"/>
            <w:hideMark/>
          </w:tcPr>
          <w:p w14:paraId="2613FB55" w14:textId="77777777" w:rsidR="004E3FDC" w:rsidRPr="0077700D" w:rsidRDefault="004E3FDC" w:rsidP="00450B7A">
            <w:pPr>
              <w:spacing w:before="20" w:after="20" w:line="240" w:lineRule="auto"/>
              <w:rPr>
                <w:rFonts w:ascii="Cambria" w:eastAsia="Times New Roman" w:hAnsi="Cambria"/>
                <w:b/>
                <w:lang w:val="hr-HR"/>
              </w:rPr>
            </w:pPr>
            <w:r w:rsidRPr="0077700D">
              <w:rPr>
                <w:rFonts w:ascii="Cambria" w:eastAsia="Times New Roman" w:hAnsi="Cambria"/>
                <w:b/>
                <w:lang w:val="hr-HR"/>
              </w:rPr>
              <w:t>118965</w:t>
            </w:r>
          </w:p>
          <w:p w14:paraId="679DA2E0" w14:textId="77777777" w:rsidR="004E3FDC" w:rsidRPr="0077700D" w:rsidRDefault="004E3FDC" w:rsidP="00450B7A">
            <w:pPr>
              <w:spacing w:after="0" w:line="240" w:lineRule="auto"/>
              <w:rPr>
                <w:rFonts w:ascii="Cambria" w:eastAsia="Times New Roman" w:hAnsi="Cambria"/>
                <w:lang w:val="hr-HR"/>
              </w:rPr>
            </w:pPr>
            <w:r w:rsidRPr="0077700D">
              <w:rPr>
                <w:rFonts w:ascii="Cambria" w:eastAsia="Times New Roman" w:hAnsi="Cambria"/>
                <w:lang w:val="hr-HR"/>
              </w:rPr>
              <w:t>Strategije aktivnog učenja</w:t>
            </w:r>
            <w:r>
              <w:rPr>
                <w:rFonts w:ascii="Cambria" w:eastAsia="Times New Roman" w:hAnsi="Cambria"/>
                <w:lang w:val="hr-HR"/>
              </w:rPr>
              <w:t>/</w:t>
            </w:r>
            <w:r w:rsidRPr="00A13F54">
              <w:rPr>
                <w:lang w:val="it-IT"/>
              </w:rPr>
              <w:t xml:space="preserve"> </w:t>
            </w:r>
            <w:proofErr w:type="spellStart"/>
            <w:r w:rsidRPr="00A13F54">
              <w:rPr>
                <w:rFonts w:ascii="Cambria" w:eastAsia="Times New Roman" w:hAnsi="Cambria"/>
                <w:lang w:val="hr-HR"/>
              </w:rPr>
              <w:t>Strategie</w:t>
            </w:r>
            <w:proofErr w:type="spellEnd"/>
            <w:r w:rsidRPr="00A13F54">
              <w:rPr>
                <w:rFonts w:ascii="Cambria" w:eastAsia="Times New Roman" w:hAnsi="Cambria"/>
                <w:lang w:val="hr-HR"/>
              </w:rPr>
              <w:t xml:space="preserve"> </w:t>
            </w:r>
            <w:proofErr w:type="spellStart"/>
            <w:r w:rsidRPr="00A13F54">
              <w:rPr>
                <w:rFonts w:ascii="Cambria" w:eastAsia="Times New Roman" w:hAnsi="Cambria"/>
                <w:lang w:val="hr-HR"/>
              </w:rPr>
              <w:t>attive</w:t>
            </w:r>
            <w:proofErr w:type="spellEnd"/>
            <w:r w:rsidRPr="00A13F54">
              <w:rPr>
                <w:rFonts w:ascii="Cambria" w:eastAsia="Times New Roman" w:hAnsi="Cambria"/>
                <w:lang w:val="hr-HR"/>
              </w:rPr>
              <w:t xml:space="preserve"> di </w:t>
            </w:r>
            <w:proofErr w:type="spellStart"/>
            <w:r w:rsidRPr="00A13F54">
              <w:rPr>
                <w:rFonts w:ascii="Cambria" w:eastAsia="Times New Roman" w:hAnsi="Cambria"/>
                <w:lang w:val="hr-HR"/>
              </w:rPr>
              <w:t>apprendimento</w:t>
            </w:r>
            <w:proofErr w:type="spellEnd"/>
            <w:r w:rsidRPr="0077700D">
              <w:rPr>
                <w:rFonts w:ascii="Cambria" w:eastAsia="Times New Roman" w:hAnsi="Cambria"/>
                <w:lang w:val="hr-HR"/>
              </w:rPr>
              <w:t>*</w:t>
            </w:r>
          </w:p>
        </w:tc>
        <w:tc>
          <w:tcPr>
            <w:tcW w:w="1996" w:type="pct"/>
            <w:gridSpan w:val="2"/>
            <w:vAlign w:val="center"/>
            <w:hideMark/>
          </w:tcPr>
          <w:p w14:paraId="257E51A7" w14:textId="77777777" w:rsidR="004E3FDC" w:rsidRPr="0077700D" w:rsidRDefault="004E3FDC" w:rsidP="00450B7A">
            <w:pPr>
              <w:spacing w:after="0" w:line="240" w:lineRule="auto"/>
              <w:rPr>
                <w:rFonts w:ascii="Cambria" w:eastAsia="Times New Roman" w:hAnsi="Cambria"/>
                <w:lang w:val="hr-HR"/>
              </w:rPr>
            </w:pPr>
            <w:r w:rsidRPr="0077700D">
              <w:rPr>
                <w:rFonts w:ascii="Cambria" w:eastAsia="Times New Roman" w:hAnsi="Cambria"/>
                <w:lang w:val="hr-HR"/>
              </w:rPr>
              <w:t>izv. prof. dr. sc. Andrea Debeljuh</w:t>
            </w:r>
          </w:p>
        </w:tc>
        <w:tc>
          <w:tcPr>
            <w:tcW w:w="318" w:type="pct"/>
            <w:vAlign w:val="center"/>
            <w:hideMark/>
          </w:tcPr>
          <w:p w14:paraId="7A0F4B2E"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15</w:t>
            </w:r>
          </w:p>
        </w:tc>
        <w:tc>
          <w:tcPr>
            <w:tcW w:w="317" w:type="pct"/>
            <w:gridSpan w:val="2"/>
            <w:vAlign w:val="center"/>
          </w:tcPr>
          <w:p w14:paraId="37C429E9"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0</w:t>
            </w:r>
          </w:p>
        </w:tc>
        <w:tc>
          <w:tcPr>
            <w:tcW w:w="397" w:type="pct"/>
            <w:gridSpan w:val="3"/>
            <w:vAlign w:val="center"/>
            <w:hideMark/>
          </w:tcPr>
          <w:p w14:paraId="7B888F68"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15</w:t>
            </w:r>
          </w:p>
        </w:tc>
        <w:tc>
          <w:tcPr>
            <w:tcW w:w="479" w:type="pct"/>
            <w:vAlign w:val="center"/>
            <w:hideMark/>
          </w:tcPr>
          <w:p w14:paraId="40F278B9" w14:textId="77777777" w:rsidR="004E3FDC" w:rsidRPr="0077700D" w:rsidRDefault="004E3FDC" w:rsidP="00450B7A">
            <w:pPr>
              <w:spacing w:after="0" w:line="240" w:lineRule="auto"/>
              <w:jc w:val="center"/>
              <w:rPr>
                <w:rFonts w:ascii="Cambria" w:eastAsia="Times New Roman" w:hAnsi="Cambria"/>
                <w:bCs/>
                <w:lang w:val="hr-HR"/>
              </w:rPr>
            </w:pPr>
            <w:r w:rsidRPr="0077700D">
              <w:rPr>
                <w:rFonts w:ascii="Cambria" w:eastAsia="Times New Roman" w:hAnsi="Cambria"/>
                <w:bCs/>
                <w:lang w:val="hr-HR"/>
              </w:rPr>
              <w:t>2</w:t>
            </w:r>
          </w:p>
        </w:tc>
      </w:tr>
      <w:tr w:rsidR="004E3FDC" w:rsidRPr="0077700D" w14:paraId="77F4F7E1" w14:textId="77777777" w:rsidTr="00450B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32"/>
          <w:jc w:val="center"/>
        </w:trPr>
        <w:tc>
          <w:tcPr>
            <w:tcW w:w="548" w:type="pct"/>
            <w:vAlign w:val="center"/>
          </w:tcPr>
          <w:p w14:paraId="09BE2434" w14:textId="77777777" w:rsidR="004E3FDC" w:rsidRPr="0077700D" w:rsidRDefault="004E3FDC" w:rsidP="00450B7A">
            <w:pPr>
              <w:spacing w:after="0" w:line="240" w:lineRule="auto"/>
              <w:rPr>
                <w:rFonts w:ascii="Cambria" w:eastAsia="Times New Roman" w:hAnsi="Cambria"/>
                <w:lang w:val="hr-HR"/>
              </w:rPr>
            </w:pPr>
            <w:r w:rsidRPr="0077700D">
              <w:rPr>
                <w:rFonts w:ascii="Cambria" w:eastAsia="Times New Roman" w:hAnsi="Cambria"/>
                <w:lang w:val="hr-HR"/>
              </w:rPr>
              <w:t>Ljetni</w:t>
            </w:r>
          </w:p>
        </w:tc>
        <w:tc>
          <w:tcPr>
            <w:tcW w:w="945" w:type="pct"/>
            <w:vAlign w:val="center"/>
            <w:hideMark/>
          </w:tcPr>
          <w:p w14:paraId="5E7FA04D" w14:textId="77777777" w:rsidR="004E3FDC" w:rsidRPr="0077700D" w:rsidRDefault="004E3FDC" w:rsidP="00450B7A">
            <w:pPr>
              <w:spacing w:before="20" w:after="20" w:line="240" w:lineRule="auto"/>
              <w:rPr>
                <w:rFonts w:ascii="Cambria" w:eastAsia="Times New Roman" w:hAnsi="Cambria"/>
                <w:b/>
                <w:lang w:val="hr-HR"/>
              </w:rPr>
            </w:pPr>
            <w:r w:rsidRPr="0077700D">
              <w:rPr>
                <w:rFonts w:ascii="Cambria" w:eastAsia="Times New Roman" w:hAnsi="Cambria"/>
                <w:b/>
                <w:lang w:val="hr-HR"/>
              </w:rPr>
              <w:t>118967</w:t>
            </w:r>
          </w:p>
          <w:p w14:paraId="613599C4" w14:textId="77777777" w:rsidR="004E3FDC" w:rsidRPr="0077700D" w:rsidRDefault="004E3FDC" w:rsidP="00450B7A">
            <w:pPr>
              <w:spacing w:after="0" w:line="240" w:lineRule="auto"/>
              <w:rPr>
                <w:rFonts w:ascii="Cambria" w:eastAsia="Times New Roman" w:hAnsi="Cambria"/>
                <w:lang w:val="hr-HR"/>
              </w:rPr>
            </w:pPr>
            <w:r w:rsidRPr="0077700D">
              <w:rPr>
                <w:rFonts w:ascii="Cambria" w:eastAsia="Times New Roman" w:hAnsi="Cambria"/>
                <w:lang w:val="hr-HR"/>
              </w:rPr>
              <w:t>Govorno izražavanje</w:t>
            </w:r>
          </w:p>
        </w:tc>
        <w:tc>
          <w:tcPr>
            <w:tcW w:w="1996" w:type="pct"/>
            <w:gridSpan w:val="2"/>
            <w:vAlign w:val="center"/>
            <w:hideMark/>
          </w:tcPr>
          <w:p w14:paraId="6058CE57" w14:textId="77777777" w:rsidR="004E3FDC" w:rsidRPr="00671B0E" w:rsidRDefault="004E3FDC" w:rsidP="00450B7A">
            <w:pPr>
              <w:spacing w:after="0" w:line="240" w:lineRule="auto"/>
              <w:rPr>
                <w:rFonts w:ascii="Cambria" w:eastAsia="Times New Roman" w:hAnsi="Cambria"/>
                <w:lang w:val="hr-HR"/>
              </w:rPr>
            </w:pPr>
            <w:r w:rsidRPr="00671B0E">
              <w:rPr>
                <w:rFonts w:ascii="Cambria" w:eastAsia="Times New Roman" w:hAnsi="Cambria"/>
                <w:lang w:val="hr-HR"/>
              </w:rPr>
              <w:t xml:space="preserve">prof. dr. sc. Kristina </w:t>
            </w:r>
            <w:proofErr w:type="spellStart"/>
            <w:r w:rsidRPr="00671B0E">
              <w:rPr>
                <w:rFonts w:ascii="Cambria" w:eastAsia="Times New Roman" w:hAnsi="Cambria"/>
                <w:lang w:val="hr-HR"/>
              </w:rPr>
              <w:t>Riman</w:t>
            </w:r>
            <w:proofErr w:type="spellEnd"/>
          </w:p>
          <w:p w14:paraId="49F0CD26" w14:textId="77777777" w:rsidR="004E3FDC" w:rsidRPr="00671B0E" w:rsidRDefault="004E3FDC" w:rsidP="00450B7A">
            <w:pPr>
              <w:spacing w:after="0" w:line="240" w:lineRule="auto"/>
              <w:rPr>
                <w:rFonts w:ascii="Cambria" w:eastAsia="Times New Roman" w:hAnsi="Cambria"/>
                <w:lang w:val="hr-HR"/>
              </w:rPr>
            </w:pPr>
            <w:r w:rsidRPr="00671B0E">
              <w:rPr>
                <w:rFonts w:ascii="Cambria" w:eastAsia="Times New Roman" w:hAnsi="Cambria"/>
                <w:lang w:val="hr-HR"/>
              </w:rPr>
              <w:t xml:space="preserve">dr. sc. Irena </w:t>
            </w:r>
            <w:proofErr w:type="spellStart"/>
            <w:r w:rsidRPr="00671B0E">
              <w:rPr>
                <w:rFonts w:ascii="Cambria" w:eastAsia="Times New Roman" w:hAnsi="Cambria"/>
                <w:lang w:val="hr-HR"/>
              </w:rPr>
              <w:t>Mikulaco</w:t>
            </w:r>
            <w:proofErr w:type="spellEnd"/>
            <w:r w:rsidRPr="00671B0E">
              <w:rPr>
                <w:rFonts w:ascii="Cambria" w:eastAsia="Times New Roman" w:hAnsi="Cambria"/>
                <w:lang w:val="hr-HR"/>
              </w:rPr>
              <w:t>, v. pred.</w:t>
            </w:r>
          </w:p>
        </w:tc>
        <w:tc>
          <w:tcPr>
            <w:tcW w:w="318" w:type="pct"/>
            <w:vAlign w:val="center"/>
            <w:hideMark/>
          </w:tcPr>
          <w:p w14:paraId="35FB1A13"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15</w:t>
            </w:r>
          </w:p>
        </w:tc>
        <w:tc>
          <w:tcPr>
            <w:tcW w:w="317" w:type="pct"/>
            <w:gridSpan w:val="2"/>
            <w:vAlign w:val="center"/>
          </w:tcPr>
          <w:p w14:paraId="7D241A9F"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0</w:t>
            </w:r>
          </w:p>
        </w:tc>
        <w:tc>
          <w:tcPr>
            <w:tcW w:w="397" w:type="pct"/>
            <w:gridSpan w:val="3"/>
            <w:vAlign w:val="center"/>
            <w:hideMark/>
          </w:tcPr>
          <w:p w14:paraId="6D1E5027"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15</w:t>
            </w:r>
          </w:p>
        </w:tc>
        <w:tc>
          <w:tcPr>
            <w:tcW w:w="479" w:type="pct"/>
            <w:vAlign w:val="center"/>
            <w:hideMark/>
          </w:tcPr>
          <w:p w14:paraId="3EF5D4E4" w14:textId="77777777" w:rsidR="004E3FDC" w:rsidRPr="0077700D" w:rsidRDefault="004E3FDC" w:rsidP="00450B7A">
            <w:pPr>
              <w:spacing w:after="0" w:line="240" w:lineRule="auto"/>
              <w:jc w:val="center"/>
              <w:rPr>
                <w:rFonts w:ascii="Cambria" w:eastAsia="Times New Roman" w:hAnsi="Cambria"/>
                <w:bCs/>
                <w:lang w:val="hr-HR"/>
              </w:rPr>
            </w:pPr>
            <w:r w:rsidRPr="0077700D">
              <w:rPr>
                <w:rFonts w:ascii="Cambria" w:eastAsia="Times New Roman" w:hAnsi="Cambria"/>
                <w:bCs/>
                <w:lang w:val="hr-HR"/>
              </w:rPr>
              <w:t>2</w:t>
            </w:r>
          </w:p>
        </w:tc>
      </w:tr>
      <w:tr w:rsidR="004E3FDC" w:rsidRPr="0077700D" w14:paraId="6DB21431" w14:textId="77777777" w:rsidTr="00450B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48" w:type="pct"/>
            <w:vAlign w:val="center"/>
          </w:tcPr>
          <w:p w14:paraId="0BD676C4" w14:textId="77777777" w:rsidR="004E3FDC" w:rsidRPr="0077700D" w:rsidRDefault="004E3FDC" w:rsidP="00450B7A">
            <w:pPr>
              <w:spacing w:after="0" w:line="240" w:lineRule="auto"/>
              <w:rPr>
                <w:rFonts w:ascii="Cambria" w:eastAsia="Times New Roman" w:hAnsi="Cambria"/>
                <w:lang w:val="hr-HR"/>
              </w:rPr>
            </w:pPr>
            <w:r w:rsidRPr="0077700D">
              <w:rPr>
                <w:rFonts w:ascii="Cambria" w:eastAsia="Times New Roman" w:hAnsi="Cambria"/>
                <w:lang w:val="hr-HR"/>
              </w:rPr>
              <w:t>Ljetni</w:t>
            </w:r>
          </w:p>
        </w:tc>
        <w:tc>
          <w:tcPr>
            <w:tcW w:w="945" w:type="pct"/>
            <w:vAlign w:val="center"/>
            <w:hideMark/>
          </w:tcPr>
          <w:p w14:paraId="3D96F2C7" w14:textId="77777777" w:rsidR="004E3FDC" w:rsidRPr="0077700D" w:rsidRDefault="004E3FDC" w:rsidP="00450B7A">
            <w:pPr>
              <w:spacing w:before="20" w:after="20" w:line="240" w:lineRule="auto"/>
              <w:rPr>
                <w:rFonts w:ascii="Cambria" w:eastAsia="Times New Roman" w:hAnsi="Cambria"/>
                <w:b/>
                <w:lang w:val="hr-HR"/>
              </w:rPr>
            </w:pPr>
            <w:r w:rsidRPr="0077700D">
              <w:rPr>
                <w:rFonts w:ascii="Cambria" w:eastAsia="Times New Roman" w:hAnsi="Cambria"/>
                <w:b/>
                <w:lang w:val="hr-HR"/>
              </w:rPr>
              <w:t>118968</w:t>
            </w:r>
          </w:p>
          <w:p w14:paraId="62EC9143" w14:textId="77777777" w:rsidR="004E3FDC" w:rsidRPr="0077700D" w:rsidRDefault="004E3FDC" w:rsidP="00450B7A">
            <w:pPr>
              <w:spacing w:after="0" w:line="240" w:lineRule="auto"/>
              <w:rPr>
                <w:rFonts w:ascii="Cambria" w:eastAsia="Times New Roman" w:hAnsi="Cambria"/>
                <w:lang w:val="hr-HR"/>
              </w:rPr>
            </w:pPr>
            <w:r w:rsidRPr="0077700D">
              <w:rPr>
                <w:rFonts w:ascii="Cambria" w:eastAsia="Times New Roman" w:hAnsi="Cambria"/>
                <w:lang w:val="hr-HR"/>
              </w:rPr>
              <w:t>Lektira u razrednoj nastavi</w:t>
            </w:r>
          </w:p>
        </w:tc>
        <w:tc>
          <w:tcPr>
            <w:tcW w:w="1996" w:type="pct"/>
            <w:gridSpan w:val="2"/>
            <w:vAlign w:val="center"/>
          </w:tcPr>
          <w:p w14:paraId="288D906E" w14:textId="77777777" w:rsidR="004E3FDC" w:rsidRPr="00671B0E" w:rsidRDefault="004E3FDC" w:rsidP="00450B7A">
            <w:pPr>
              <w:spacing w:after="0" w:line="240" w:lineRule="auto"/>
              <w:rPr>
                <w:rFonts w:ascii="Cambria" w:eastAsia="Times New Roman" w:hAnsi="Cambria"/>
                <w:lang w:val="hr-HR"/>
              </w:rPr>
            </w:pPr>
            <w:r w:rsidRPr="00671B0E">
              <w:rPr>
                <w:rFonts w:ascii="Cambria" w:eastAsia="Times New Roman" w:hAnsi="Cambria"/>
                <w:lang w:val="hr-HR"/>
              </w:rPr>
              <w:t>prof. dr. sc. Vjekoslava Jurdana</w:t>
            </w:r>
          </w:p>
          <w:p w14:paraId="59EAA4AD" w14:textId="77777777" w:rsidR="004E3FDC" w:rsidRPr="00671B0E" w:rsidRDefault="004E3FDC" w:rsidP="00450B7A">
            <w:pPr>
              <w:spacing w:after="0" w:line="240" w:lineRule="auto"/>
              <w:rPr>
                <w:rFonts w:ascii="Cambria" w:eastAsia="Times New Roman" w:hAnsi="Cambria"/>
                <w:lang w:val="hr-HR"/>
              </w:rPr>
            </w:pPr>
            <w:r w:rsidRPr="00671B0E">
              <w:rPr>
                <w:rFonts w:ascii="Cambria" w:eastAsia="Times New Roman" w:hAnsi="Cambria"/>
                <w:lang w:val="hr-HR"/>
              </w:rPr>
              <w:t xml:space="preserve">Alen </w:t>
            </w:r>
            <w:proofErr w:type="spellStart"/>
            <w:r w:rsidRPr="00671B0E">
              <w:rPr>
                <w:rFonts w:ascii="Cambria" w:eastAsia="Times New Roman" w:hAnsi="Cambria"/>
                <w:lang w:val="hr-HR"/>
              </w:rPr>
              <w:t>Klančar</w:t>
            </w:r>
            <w:proofErr w:type="spellEnd"/>
            <w:r w:rsidRPr="00671B0E">
              <w:rPr>
                <w:rFonts w:ascii="Cambria" w:eastAsia="Times New Roman" w:hAnsi="Cambria"/>
                <w:lang w:val="hr-HR"/>
              </w:rPr>
              <w:t>, naslovni asistent</w:t>
            </w:r>
          </w:p>
        </w:tc>
        <w:tc>
          <w:tcPr>
            <w:tcW w:w="318" w:type="pct"/>
            <w:vAlign w:val="center"/>
            <w:hideMark/>
          </w:tcPr>
          <w:p w14:paraId="19BC5D16"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15</w:t>
            </w:r>
          </w:p>
        </w:tc>
        <w:tc>
          <w:tcPr>
            <w:tcW w:w="317" w:type="pct"/>
            <w:gridSpan w:val="2"/>
            <w:vAlign w:val="center"/>
          </w:tcPr>
          <w:p w14:paraId="6A4BDF78"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0</w:t>
            </w:r>
          </w:p>
        </w:tc>
        <w:tc>
          <w:tcPr>
            <w:tcW w:w="397" w:type="pct"/>
            <w:gridSpan w:val="3"/>
            <w:vAlign w:val="center"/>
            <w:hideMark/>
          </w:tcPr>
          <w:p w14:paraId="7BC8ED8F"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15</w:t>
            </w:r>
          </w:p>
        </w:tc>
        <w:tc>
          <w:tcPr>
            <w:tcW w:w="479" w:type="pct"/>
            <w:vAlign w:val="center"/>
            <w:hideMark/>
          </w:tcPr>
          <w:p w14:paraId="664E8786" w14:textId="77777777" w:rsidR="004E3FDC" w:rsidRPr="0077700D" w:rsidRDefault="004E3FDC" w:rsidP="00450B7A">
            <w:pPr>
              <w:spacing w:after="0" w:line="240" w:lineRule="auto"/>
              <w:jc w:val="center"/>
              <w:rPr>
                <w:rFonts w:ascii="Cambria" w:eastAsia="Times New Roman" w:hAnsi="Cambria"/>
                <w:bCs/>
                <w:lang w:val="hr-HR"/>
              </w:rPr>
            </w:pPr>
            <w:r w:rsidRPr="0077700D">
              <w:rPr>
                <w:rFonts w:ascii="Cambria" w:eastAsia="Times New Roman" w:hAnsi="Cambria"/>
                <w:bCs/>
                <w:lang w:val="hr-HR"/>
              </w:rPr>
              <w:t>2</w:t>
            </w:r>
          </w:p>
        </w:tc>
      </w:tr>
      <w:tr w:rsidR="004E3FDC" w:rsidRPr="0077700D" w14:paraId="61738274" w14:textId="77777777" w:rsidTr="00450B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48" w:type="pct"/>
            <w:vAlign w:val="center"/>
          </w:tcPr>
          <w:p w14:paraId="63BD86F2" w14:textId="77777777" w:rsidR="004E3FDC" w:rsidRPr="0077700D" w:rsidRDefault="004E3FDC" w:rsidP="00450B7A">
            <w:pPr>
              <w:spacing w:after="0" w:line="240" w:lineRule="auto"/>
              <w:rPr>
                <w:rFonts w:ascii="Cambria" w:eastAsia="Times New Roman" w:hAnsi="Cambria"/>
                <w:lang w:val="hr-HR"/>
              </w:rPr>
            </w:pPr>
            <w:r w:rsidRPr="0077700D">
              <w:rPr>
                <w:rFonts w:ascii="Cambria" w:eastAsia="Times New Roman" w:hAnsi="Cambria"/>
                <w:lang w:val="hr-HR"/>
              </w:rPr>
              <w:t>Ljetni</w:t>
            </w:r>
          </w:p>
        </w:tc>
        <w:tc>
          <w:tcPr>
            <w:tcW w:w="945" w:type="pct"/>
            <w:vAlign w:val="center"/>
            <w:hideMark/>
          </w:tcPr>
          <w:p w14:paraId="78EEE886" w14:textId="77777777" w:rsidR="004E3FDC" w:rsidRPr="0077700D" w:rsidRDefault="004E3FDC" w:rsidP="00450B7A">
            <w:pPr>
              <w:spacing w:before="20" w:after="20" w:line="240" w:lineRule="auto"/>
              <w:rPr>
                <w:rFonts w:ascii="Cambria" w:eastAsia="Times New Roman" w:hAnsi="Cambria"/>
                <w:b/>
                <w:lang w:val="hr-HR"/>
              </w:rPr>
            </w:pPr>
            <w:r w:rsidRPr="0077700D">
              <w:rPr>
                <w:rFonts w:ascii="Cambria" w:eastAsia="Times New Roman" w:hAnsi="Cambria"/>
                <w:b/>
                <w:lang w:val="hr-HR"/>
              </w:rPr>
              <w:t>119168</w:t>
            </w:r>
          </w:p>
          <w:p w14:paraId="005B4B21" w14:textId="77777777" w:rsidR="004E3FDC" w:rsidRPr="0077700D" w:rsidRDefault="004E3FDC" w:rsidP="00450B7A">
            <w:pPr>
              <w:spacing w:before="20" w:after="20" w:line="240" w:lineRule="auto"/>
              <w:rPr>
                <w:rFonts w:ascii="Cambria" w:eastAsia="Times New Roman" w:hAnsi="Cambria"/>
                <w:lang w:val="hr-HR"/>
              </w:rPr>
            </w:pPr>
            <w:r w:rsidRPr="0077700D">
              <w:rPr>
                <w:rFonts w:ascii="Cambria" w:eastAsia="Times New Roman" w:hAnsi="Cambria"/>
                <w:lang w:val="hr-HR"/>
              </w:rPr>
              <w:t>Rana dvojezičnost i višejezičnost</w:t>
            </w:r>
            <w:r>
              <w:rPr>
                <w:rFonts w:ascii="Cambria" w:eastAsia="Times New Roman" w:hAnsi="Cambria"/>
                <w:lang w:val="hr-HR"/>
              </w:rPr>
              <w:t>/</w:t>
            </w:r>
            <w:r w:rsidRPr="00853699">
              <w:rPr>
                <w:lang w:val="it-IT"/>
              </w:rPr>
              <w:t xml:space="preserve"> </w:t>
            </w:r>
            <w:proofErr w:type="spellStart"/>
            <w:r w:rsidRPr="00853699">
              <w:rPr>
                <w:rFonts w:ascii="Cambria" w:eastAsia="Times New Roman" w:hAnsi="Cambria"/>
                <w:lang w:val="hr-HR"/>
              </w:rPr>
              <w:t>Bilinguismo</w:t>
            </w:r>
            <w:proofErr w:type="spellEnd"/>
            <w:r w:rsidRPr="00853699">
              <w:rPr>
                <w:rFonts w:ascii="Cambria" w:eastAsia="Times New Roman" w:hAnsi="Cambria"/>
                <w:lang w:val="hr-HR"/>
              </w:rPr>
              <w:t xml:space="preserve"> e </w:t>
            </w:r>
            <w:proofErr w:type="spellStart"/>
            <w:r w:rsidRPr="00853699">
              <w:rPr>
                <w:rFonts w:ascii="Cambria" w:eastAsia="Times New Roman" w:hAnsi="Cambria"/>
                <w:lang w:val="hr-HR"/>
              </w:rPr>
              <w:t>plurilinguism</w:t>
            </w:r>
            <w:r>
              <w:rPr>
                <w:rFonts w:ascii="Cambria" w:eastAsia="Times New Roman" w:hAnsi="Cambria"/>
                <w:lang w:val="hr-HR"/>
              </w:rPr>
              <w:t>o</w:t>
            </w:r>
            <w:proofErr w:type="spellEnd"/>
            <w:r w:rsidRPr="0077700D">
              <w:rPr>
                <w:rFonts w:ascii="Cambria" w:eastAsia="Times New Roman" w:hAnsi="Cambria"/>
                <w:lang w:val="hr-HR"/>
              </w:rPr>
              <w:t>*</w:t>
            </w:r>
          </w:p>
        </w:tc>
        <w:tc>
          <w:tcPr>
            <w:tcW w:w="1996" w:type="pct"/>
            <w:gridSpan w:val="2"/>
            <w:vAlign w:val="center"/>
            <w:hideMark/>
          </w:tcPr>
          <w:p w14:paraId="495DDA93" w14:textId="77777777" w:rsidR="004E3FDC" w:rsidRPr="0077700D" w:rsidRDefault="004E3FDC" w:rsidP="00450B7A">
            <w:pPr>
              <w:spacing w:before="20" w:after="20" w:line="240" w:lineRule="auto"/>
              <w:rPr>
                <w:rFonts w:ascii="Cambria" w:eastAsia="Times New Roman" w:hAnsi="Cambria"/>
                <w:lang w:val="hr-HR"/>
              </w:rPr>
            </w:pPr>
            <w:r w:rsidRPr="0077700D">
              <w:rPr>
                <w:rFonts w:ascii="Cambria" w:eastAsia="Times New Roman" w:hAnsi="Cambria"/>
                <w:lang w:val="hr-HR"/>
              </w:rPr>
              <w:t xml:space="preserve">izv. </w:t>
            </w:r>
            <w:r>
              <w:rPr>
                <w:rFonts w:ascii="Cambria" w:eastAsia="Times New Roman" w:hAnsi="Cambria"/>
                <w:lang w:val="hr-HR"/>
              </w:rPr>
              <w:t xml:space="preserve">prof. </w:t>
            </w:r>
            <w:r w:rsidRPr="0077700D">
              <w:rPr>
                <w:rFonts w:ascii="Cambria" w:eastAsia="Times New Roman" w:hAnsi="Cambria"/>
                <w:lang w:val="hr-HR"/>
              </w:rPr>
              <w:t xml:space="preserve">dr. sc. Nada Poropat </w:t>
            </w:r>
            <w:proofErr w:type="spellStart"/>
            <w:r w:rsidRPr="0077700D">
              <w:rPr>
                <w:rFonts w:ascii="Cambria" w:eastAsia="Times New Roman" w:hAnsi="Cambria"/>
                <w:lang w:val="hr-HR"/>
              </w:rPr>
              <w:t>Jeletić</w:t>
            </w:r>
            <w:proofErr w:type="spellEnd"/>
          </w:p>
        </w:tc>
        <w:tc>
          <w:tcPr>
            <w:tcW w:w="318" w:type="pct"/>
            <w:vAlign w:val="center"/>
            <w:hideMark/>
          </w:tcPr>
          <w:p w14:paraId="30970BFA"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15</w:t>
            </w:r>
          </w:p>
        </w:tc>
        <w:tc>
          <w:tcPr>
            <w:tcW w:w="317" w:type="pct"/>
            <w:gridSpan w:val="2"/>
            <w:vAlign w:val="center"/>
          </w:tcPr>
          <w:p w14:paraId="2DB33E21"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15</w:t>
            </w:r>
          </w:p>
        </w:tc>
        <w:tc>
          <w:tcPr>
            <w:tcW w:w="397" w:type="pct"/>
            <w:gridSpan w:val="3"/>
            <w:vAlign w:val="center"/>
            <w:hideMark/>
          </w:tcPr>
          <w:p w14:paraId="50633654"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0</w:t>
            </w:r>
          </w:p>
        </w:tc>
        <w:tc>
          <w:tcPr>
            <w:tcW w:w="479" w:type="pct"/>
            <w:vAlign w:val="center"/>
            <w:hideMark/>
          </w:tcPr>
          <w:p w14:paraId="09281327" w14:textId="77777777" w:rsidR="004E3FDC" w:rsidRPr="0077700D" w:rsidRDefault="004E3FDC" w:rsidP="00450B7A">
            <w:pPr>
              <w:spacing w:after="0" w:line="240" w:lineRule="auto"/>
              <w:jc w:val="center"/>
              <w:rPr>
                <w:rFonts w:ascii="Cambria" w:eastAsia="Times New Roman" w:hAnsi="Cambria"/>
                <w:bCs/>
                <w:lang w:val="hr-HR"/>
              </w:rPr>
            </w:pPr>
            <w:r w:rsidRPr="0077700D">
              <w:rPr>
                <w:rFonts w:ascii="Cambria" w:eastAsia="Times New Roman" w:hAnsi="Cambria"/>
                <w:bCs/>
                <w:lang w:val="hr-HR"/>
              </w:rPr>
              <w:t>2</w:t>
            </w:r>
          </w:p>
        </w:tc>
      </w:tr>
      <w:tr w:rsidR="004E3FDC" w:rsidRPr="0077700D" w14:paraId="0392AF6E" w14:textId="77777777" w:rsidTr="00450B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48" w:type="pct"/>
            <w:vAlign w:val="center"/>
          </w:tcPr>
          <w:p w14:paraId="27607A54" w14:textId="77777777" w:rsidR="004E3FDC" w:rsidRPr="0077700D" w:rsidRDefault="004E3FDC" w:rsidP="00450B7A">
            <w:pPr>
              <w:spacing w:after="0" w:line="240" w:lineRule="auto"/>
              <w:rPr>
                <w:rFonts w:ascii="Cambria" w:eastAsia="Times New Roman" w:hAnsi="Cambria"/>
                <w:lang w:val="hr-HR"/>
              </w:rPr>
            </w:pPr>
            <w:r w:rsidRPr="0077700D">
              <w:rPr>
                <w:rFonts w:ascii="Cambria" w:eastAsia="Times New Roman" w:hAnsi="Cambria"/>
                <w:lang w:val="hr-HR"/>
              </w:rPr>
              <w:t>Ljetni</w:t>
            </w:r>
          </w:p>
        </w:tc>
        <w:tc>
          <w:tcPr>
            <w:tcW w:w="945" w:type="pct"/>
            <w:vAlign w:val="center"/>
          </w:tcPr>
          <w:p w14:paraId="3B41A85B" w14:textId="77777777" w:rsidR="004E3FDC" w:rsidRPr="0077700D" w:rsidRDefault="004E3FDC" w:rsidP="00450B7A">
            <w:pPr>
              <w:spacing w:after="0" w:line="240" w:lineRule="auto"/>
              <w:rPr>
                <w:rFonts w:ascii="Cambria" w:eastAsia="Times New Roman" w:hAnsi="Cambria"/>
                <w:b/>
                <w:lang w:val="hr-HR"/>
              </w:rPr>
            </w:pPr>
            <w:r w:rsidRPr="0077700D">
              <w:rPr>
                <w:rFonts w:ascii="Cambria" w:eastAsia="Times New Roman" w:hAnsi="Cambria"/>
                <w:b/>
                <w:lang w:val="hr-HR"/>
              </w:rPr>
              <w:t>241307</w:t>
            </w:r>
          </w:p>
          <w:p w14:paraId="60E47B9B" w14:textId="77777777" w:rsidR="004E3FDC" w:rsidRPr="0077700D" w:rsidRDefault="004E3FDC" w:rsidP="00450B7A">
            <w:pPr>
              <w:spacing w:after="0" w:line="240" w:lineRule="auto"/>
              <w:rPr>
                <w:rFonts w:ascii="Cambria" w:eastAsia="Times New Roman" w:hAnsi="Cambria"/>
                <w:lang w:val="hr-HR"/>
              </w:rPr>
            </w:pPr>
            <w:r w:rsidRPr="0077700D">
              <w:rPr>
                <w:rFonts w:ascii="Cambria" w:eastAsia="Times New Roman" w:hAnsi="Cambria"/>
                <w:lang w:val="hr-HR"/>
              </w:rPr>
              <w:t>Hrvatski dječji roman</w:t>
            </w:r>
          </w:p>
        </w:tc>
        <w:tc>
          <w:tcPr>
            <w:tcW w:w="1996" w:type="pct"/>
            <w:gridSpan w:val="2"/>
            <w:vAlign w:val="center"/>
          </w:tcPr>
          <w:p w14:paraId="3866CD44" w14:textId="77777777" w:rsidR="004E3FDC" w:rsidRPr="0077700D" w:rsidRDefault="004E3FDC" w:rsidP="00450B7A">
            <w:pPr>
              <w:spacing w:after="0" w:line="240" w:lineRule="auto"/>
              <w:rPr>
                <w:rFonts w:ascii="Cambria" w:eastAsia="Times New Roman" w:hAnsi="Cambria"/>
                <w:lang w:val="hr-HR"/>
              </w:rPr>
            </w:pPr>
            <w:r w:rsidRPr="0077700D">
              <w:rPr>
                <w:rFonts w:ascii="Cambria" w:eastAsia="Times New Roman" w:hAnsi="Cambria"/>
                <w:lang w:val="hr-HR"/>
              </w:rPr>
              <w:t xml:space="preserve">prof. dr. sc. Kristina </w:t>
            </w:r>
            <w:proofErr w:type="spellStart"/>
            <w:r w:rsidRPr="0077700D">
              <w:rPr>
                <w:rFonts w:ascii="Cambria" w:eastAsia="Times New Roman" w:hAnsi="Cambria"/>
                <w:lang w:val="hr-HR"/>
              </w:rPr>
              <w:t>Riman</w:t>
            </w:r>
            <w:proofErr w:type="spellEnd"/>
          </w:p>
        </w:tc>
        <w:tc>
          <w:tcPr>
            <w:tcW w:w="318" w:type="pct"/>
            <w:vAlign w:val="center"/>
          </w:tcPr>
          <w:p w14:paraId="5ADD6904"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15</w:t>
            </w:r>
          </w:p>
        </w:tc>
        <w:tc>
          <w:tcPr>
            <w:tcW w:w="317" w:type="pct"/>
            <w:gridSpan w:val="2"/>
            <w:vAlign w:val="center"/>
          </w:tcPr>
          <w:p w14:paraId="7B12AAF2"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15</w:t>
            </w:r>
          </w:p>
        </w:tc>
        <w:tc>
          <w:tcPr>
            <w:tcW w:w="397" w:type="pct"/>
            <w:gridSpan w:val="3"/>
            <w:vAlign w:val="center"/>
          </w:tcPr>
          <w:p w14:paraId="163506B8"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0</w:t>
            </w:r>
          </w:p>
        </w:tc>
        <w:tc>
          <w:tcPr>
            <w:tcW w:w="479" w:type="pct"/>
            <w:vAlign w:val="center"/>
          </w:tcPr>
          <w:p w14:paraId="0B4F7D9D" w14:textId="77777777" w:rsidR="004E3FDC" w:rsidRPr="0077700D" w:rsidRDefault="004E3FDC" w:rsidP="00450B7A">
            <w:pPr>
              <w:spacing w:after="0" w:line="240" w:lineRule="auto"/>
              <w:jc w:val="center"/>
              <w:rPr>
                <w:rFonts w:ascii="Cambria" w:eastAsia="Times New Roman" w:hAnsi="Cambria"/>
                <w:bCs/>
                <w:lang w:val="hr-HR"/>
              </w:rPr>
            </w:pPr>
            <w:r w:rsidRPr="0077700D">
              <w:rPr>
                <w:rFonts w:ascii="Cambria" w:eastAsia="Times New Roman" w:hAnsi="Cambria"/>
                <w:bCs/>
                <w:lang w:val="hr-HR"/>
              </w:rPr>
              <w:t>2</w:t>
            </w:r>
          </w:p>
        </w:tc>
      </w:tr>
      <w:tr w:rsidR="004E3FDC" w:rsidRPr="0077700D" w14:paraId="663A0D81" w14:textId="77777777" w:rsidTr="00450B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48" w:type="pct"/>
            <w:vAlign w:val="center"/>
          </w:tcPr>
          <w:p w14:paraId="2D60B5B3" w14:textId="77777777" w:rsidR="004E3FDC" w:rsidRPr="0077700D" w:rsidRDefault="004E3FDC" w:rsidP="00450B7A">
            <w:pPr>
              <w:spacing w:after="0" w:line="240" w:lineRule="auto"/>
              <w:rPr>
                <w:rFonts w:ascii="Cambria" w:eastAsia="Times New Roman" w:hAnsi="Cambria"/>
                <w:lang w:val="hr-HR"/>
              </w:rPr>
            </w:pPr>
            <w:r w:rsidRPr="0077700D">
              <w:rPr>
                <w:rFonts w:ascii="Cambria" w:eastAsia="Times New Roman" w:hAnsi="Cambria"/>
                <w:lang w:val="hr-HR"/>
              </w:rPr>
              <w:t>Ljetni</w:t>
            </w:r>
          </w:p>
        </w:tc>
        <w:tc>
          <w:tcPr>
            <w:tcW w:w="945" w:type="pct"/>
            <w:vAlign w:val="center"/>
            <w:hideMark/>
          </w:tcPr>
          <w:p w14:paraId="72276A58" w14:textId="77777777" w:rsidR="004E3FDC" w:rsidRPr="0077700D" w:rsidRDefault="004E3FDC" w:rsidP="00450B7A">
            <w:pPr>
              <w:spacing w:before="20" w:after="20" w:line="240" w:lineRule="auto"/>
              <w:rPr>
                <w:rFonts w:ascii="Cambria" w:eastAsia="Times New Roman" w:hAnsi="Cambria"/>
                <w:b/>
                <w:lang w:val="hr-HR"/>
              </w:rPr>
            </w:pPr>
            <w:r w:rsidRPr="0077700D">
              <w:rPr>
                <w:rFonts w:ascii="Cambria" w:eastAsia="Times New Roman" w:hAnsi="Cambria"/>
                <w:b/>
                <w:lang w:val="hr-HR"/>
              </w:rPr>
              <w:t>156777</w:t>
            </w:r>
          </w:p>
          <w:p w14:paraId="6D279565" w14:textId="77777777" w:rsidR="004E3FDC" w:rsidRPr="0077700D" w:rsidRDefault="004E3FDC" w:rsidP="00450B7A">
            <w:pPr>
              <w:spacing w:after="0" w:line="240" w:lineRule="auto"/>
              <w:rPr>
                <w:rFonts w:ascii="Cambria" w:eastAsia="Times New Roman" w:hAnsi="Cambria"/>
                <w:lang w:val="hr-HR"/>
              </w:rPr>
            </w:pPr>
            <w:proofErr w:type="spellStart"/>
            <w:r w:rsidRPr="0077700D">
              <w:rPr>
                <w:rFonts w:ascii="Cambria" w:eastAsia="Times New Roman" w:hAnsi="Cambria"/>
                <w:lang w:val="hr-HR"/>
              </w:rPr>
              <w:t>Lutkarstvo</w:t>
            </w:r>
            <w:proofErr w:type="spellEnd"/>
            <w:r w:rsidRPr="0077700D">
              <w:rPr>
                <w:rFonts w:ascii="Cambria" w:eastAsia="Times New Roman" w:hAnsi="Cambria"/>
                <w:lang w:val="hr-HR"/>
              </w:rPr>
              <w:t xml:space="preserve"> i scenska kultura</w:t>
            </w:r>
          </w:p>
        </w:tc>
        <w:tc>
          <w:tcPr>
            <w:tcW w:w="1996" w:type="pct"/>
            <w:gridSpan w:val="2"/>
            <w:vAlign w:val="center"/>
            <w:hideMark/>
          </w:tcPr>
          <w:p w14:paraId="229B4565" w14:textId="77777777" w:rsidR="004E3FDC" w:rsidRPr="0077700D" w:rsidRDefault="004E3FDC" w:rsidP="00450B7A">
            <w:pPr>
              <w:spacing w:before="20" w:after="20" w:line="240" w:lineRule="auto"/>
              <w:rPr>
                <w:rFonts w:ascii="Cambria" w:eastAsia="Times New Roman" w:hAnsi="Cambria"/>
                <w:lang w:val="hr-HR"/>
              </w:rPr>
            </w:pPr>
            <w:r w:rsidRPr="0077700D">
              <w:rPr>
                <w:rFonts w:ascii="Cambria" w:eastAsia="Times New Roman" w:hAnsi="Cambria"/>
                <w:lang w:val="hr-HR"/>
              </w:rPr>
              <w:t xml:space="preserve">doc. art. Breza </w:t>
            </w:r>
            <w:proofErr w:type="spellStart"/>
            <w:r w:rsidRPr="0077700D">
              <w:rPr>
                <w:rFonts w:ascii="Cambria" w:eastAsia="Times New Roman" w:hAnsi="Cambria"/>
                <w:lang w:val="hr-HR"/>
              </w:rPr>
              <w:t>Žižović</w:t>
            </w:r>
            <w:proofErr w:type="spellEnd"/>
          </w:p>
        </w:tc>
        <w:tc>
          <w:tcPr>
            <w:tcW w:w="318" w:type="pct"/>
            <w:vAlign w:val="center"/>
            <w:hideMark/>
          </w:tcPr>
          <w:p w14:paraId="39C1F75A"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15</w:t>
            </w:r>
          </w:p>
        </w:tc>
        <w:tc>
          <w:tcPr>
            <w:tcW w:w="317" w:type="pct"/>
            <w:gridSpan w:val="2"/>
            <w:vAlign w:val="center"/>
          </w:tcPr>
          <w:p w14:paraId="613B125B"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0</w:t>
            </w:r>
          </w:p>
        </w:tc>
        <w:tc>
          <w:tcPr>
            <w:tcW w:w="397" w:type="pct"/>
            <w:gridSpan w:val="3"/>
            <w:vAlign w:val="center"/>
            <w:hideMark/>
          </w:tcPr>
          <w:p w14:paraId="323C2505" w14:textId="77777777" w:rsidR="004E3FDC" w:rsidRPr="0077700D" w:rsidRDefault="004E3FDC" w:rsidP="00450B7A">
            <w:pPr>
              <w:spacing w:after="0" w:line="240" w:lineRule="auto"/>
              <w:jc w:val="center"/>
              <w:rPr>
                <w:rFonts w:ascii="Cambria" w:eastAsia="Times New Roman" w:hAnsi="Cambria"/>
                <w:lang w:val="hr-HR"/>
              </w:rPr>
            </w:pPr>
            <w:r w:rsidRPr="0077700D">
              <w:rPr>
                <w:rFonts w:ascii="Cambria" w:eastAsia="Times New Roman" w:hAnsi="Cambria"/>
                <w:lang w:val="hr-HR"/>
              </w:rPr>
              <w:t>15</w:t>
            </w:r>
          </w:p>
        </w:tc>
        <w:tc>
          <w:tcPr>
            <w:tcW w:w="479" w:type="pct"/>
            <w:vAlign w:val="center"/>
            <w:hideMark/>
          </w:tcPr>
          <w:p w14:paraId="4865033D" w14:textId="77777777" w:rsidR="004E3FDC" w:rsidRPr="0077700D" w:rsidRDefault="004E3FDC" w:rsidP="00450B7A">
            <w:pPr>
              <w:spacing w:after="0" w:line="240" w:lineRule="auto"/>
              <w:jc w:val="center"/>
              <w:rPr>
                <w:rFonts w:ascii="Cambria" w:eastAsia="Times New Roman" w:hAnsi="Cambria"/>
                <w:bCs/>
                <w:lang w:val="hr-HR"/>
              </w:rPr>
            </w:pPr>
            <w:r w:rsidRPr="0077700D">
              <w:rPr>
                <w:rFonts w:ascii="Cambria" w:eastAsia="Times New Roman" w:hAnsi="Cambria"/>
                <w:bCs/>
                <w:lang w:val="hr-HR"/>
              </w:rPr>
              <w:t>2</w:t>
            </w:r>
          </w:p>
        </w:tc>
      </w:tr>
    </w:tbl>
    <w:p w14:paraId="5C24FF9A" w14:textId="77777777" w:rsidR="004E3FDC" w:rsidRDefault="004E3FDC" w:rsidP="004E3FDC">
      <w:pPr>
        <w:spacing w:after="0" w:line="240" w:lineRule="auto"/>
        <w:rPr>
          <w:rFonts w:ascii="Cambria" w:eastAsia="Times New Roman" w:hAnsi="Cambria"/>
          <w:lang w:val="hr-HR"/>
        </w:rPr>
      </w:pPr>
      <w:r w:rsidRPr="0077700D">
        <w:rPr>
          <w:rFonts w:ascii="Cambria" w:eastAsia="Times New Roman" w:hAnsi="Cambria"/>
          <w:lang w:val="hr-HR"/>
        </w:rPr>
        <w:t xml:space="preserve">* </w:t>
      </w:r>
      <w:r>
        <w:rPr>
          <w:rFonts w:ascii="Cambria" w:eastAsia="Times New Roman" w:hAnsi="Cambria"/>
          <w:lang w:val="hr-HR"/>
        </w:rPr>
        <w:t>nastava se</w:t>
      </w:r>
      <w:r w:rsidRPr="0077700D">
        <w:rPr>
          <w:rFonts w:ascii="Cambria" w:eastAsia="Times New Roman" w:hAnsi="Cambria"/>
          <w:lang w:val="hr-HR"/>
        </w:rPr>
        <w:t xml:space="preserve"> odvija na talijanskom jezik</w:t>
      </w:r>
      <w:r>
        <w:rPr>
          <w:rFonts w:ascii="Cambria" w:eastAsia="Times New Roman" w:hAnsi="Cambria"/>
          <w:lang w:val="hr-HR"/>
        </w:rPr>
        <w:t>u</w:t>
      </w:r>
    </w:p>
    <w:p w14:paraId="126EACD0" w14:textId="77777777" w:rsidR="004E3FDC" w:rsidRPr="0077700D" w:rsidRDefault="004E3FDC" w:rsidP="004E3FDC">
      <w:pPr>
        <w:spacing w:after="0" w:line="240" w:lineRule="auto"/>
        <w:rPr>
          <w:rFonts w:ascii="Cambria" w:eastAsia="Times New Roman" w:hAnsi="Cambria"/>
          <w:lang w:val="hr-HR"/>
        </w:rPr>
      </w:pPr>
      <w:r>
        <w:rPr>
          <w:rFonts w:ascii="Cambria" w:eastAsia="Times New Roman" w:hAnsi="Cambria"/>
          <w:lang w:val="hr-HR"/>
        </w:rPr>
        <w:t>**izbor/natječaj u tijeku</w:t>
      </w:r>
    </w:p>
    <w:p w14:paraId="35EE6362" w14:textId="5170BFA7" w:rsidR="004E3FDC" w:rsidRDefault="004E3FDC">
      <w:pPr>
        <w:rPr>
          <w:rFonts w:ascii="Cambria" w:eastAsia="Times New Roman" w:hAnsi="Cambria"/>
          <w:lang w:val="hr-HR"/>
        </w:rPr>
      </w:pPr>
      <w:r>
        <w:rPr>
          <w:rFonts w:ascii="Cambria" w:eastAsia="Times New Roman" w:hAnsi="Cambria"/>
          <w:lang w:val="hr-HR"/>
        </w:rPr>
        <w:br w:type="page"/>
      </w:r>
    </w:p>
    <w:p w14:paraId="6D7546CD" w14:textId="13C919E1" w:rsidR="00B13415" w:rsidRPr="00450B7A" w:rsidRDefault="00450B7A" w:rsidP="00450B7A">
      <w:pPr>
        <w:jc w:val="center"/>
        <w:rPr>
          <w:rFonts w:ascii="Cambria" w:eastAsia="Times New Roman" w:hAnsi="Cambria"/>
          <w:b/>
          <w:lang w:val="hr-HR"/>
        </w:rPr>
      </w:pPr>
      <w:r w:rsidRPr="00450B7A">
        <w:rPr>
          <w:rFonts w:ascii="Cambria" w:eastAsia="Times New Roman" w:hAnsi="Cambria"/>
          <w:b/>
          <w:lang w:val="hr-HR"/>
        </w:rPr>
        <w:lastRenderedPageBreak/>
        <w:t>I. semestar</w:t>
      </w:r>
    </w:p>
    <w:tbl>
      <w:tblPr>
        <w:tblW w:w="5000" w:type="pct"/>
        <w:tblLayout w:type="fixed"/>
        <w:tblCellMar>
          <w:left w:w="0" w:type="dxa"/>
          <w:right w:w="0" w:type="dxa"/>
        </w:tblCellMar>
        <w:tblLook w:val="0600" w:firstRow="0" w:lastRow="0" w:firstColumn="0" w:lastColumn="0" w:noHBand="1" w:noVBand="1"/>
      </w:tblPr>
      <w:tblGrid>
        <w:gridCol w:w="2814"/>
        <w:gridCol w:w="2669"/>
        <w:gridCol w:w="105"/>
        <w:gridCol w:w="1167"/>
        <w:gridCol w:w="297"/>
        <w:gridCol w:w="470"/>
        <w:gridCol w:w="1084"/>
        <w:gridCol w:w="1414"/>
      </w:tblGrid>
      <w:tr w:rsidR="00354E46" w:rsidRPr="00DF4CE5" w14:paraId="6FF3CAB8" w14:textId="77777777" w:rsidTr="00354E46">
        <w:tc>
          <w:tcPr>
            <w:tcW w:w="9360"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2A646B7" w14:textId="77777777" w:rsidR="00354E46" w:rsidRPr="00DF4CE5" w:rsidRDefault="00354E46">
            <w:pPr>
              <w:spacing w:after="0" w:line="240" w:lineRule="auto"/>
              <w:jc w:val="right"/>
              <w:rPr>
                <w:rFonts w:ascii="Cambria" w:hAnsi="Cambria" w:cstheme="minorHAnsi"/>
                <w:b/>
              </w:rPr>
            </w:pPr>
            <w:r w:rsidRPr="00DF4CE5">
              <w:rPr>
                <w:rFonts w:ascii="Cambria" w:hAnsi="Cambria" w:cstheme="minorHAnsi"/>
                <w:b/>
              </w:rPr>
              <w:t>IZVEDBENI PLAN NASTAVE KOLEGIJA</w:t>
            </w:r>
          </w:p>
        </w:tc>
      </w:tr>
      <w:tr w:rsidR="00354E46" w:rsidRPr="00DF4CE5" w14:paraId="29D4F924" w14:textId="77777777" w:rsidTr="00354E46">
        <w:tc>
          <w:tcPr>
            <w:tcW w:w="26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6B4F8F0" w14:textId="77777777" w:rsidR="00354E46" w:rsidRPr="00DF4CE5" w:rsidRDefault="00354E46">
            <w:pPr>
              <w:spacing w:after="0" w:line="240" w:lineRule="auto"/>
              <w:rPr>
                <w:rFonts w:ascii="Cambria" w:hAnsi="Cambria" w:cstheme="minorHAnsi"/>
              </w:rPr>
            </w:pPr>
            <w:proofErr w:type="spellStart"/>
            <w:r w:rsidRPr="00DF4CE5">
              <w:rPr>
                <w:rFonts w:ascii="Cambria" w:hAnsi="Cambria" w:cstheme="minorHAnsi"/>
              </w:rPr>
              <w:t>Kod</w:t>
            </w:r>
            <w:proofErr w:type="spellEnd"/>
            <w:r w:rsidRPr="00DF4CE5">
              <w:rPr>
                <w:rFonts w:ascii="Cambria" w:hAnsi="Cambria" w:cstheme="minorHAnsi"/>
              </w:rPr>
              <w:t xml:space="preserve"> </w:t>
            </w:r>
            <w:proofErr w:type="spellStart"/>
            <w:r w:rsidRPr="00DF4CE5">
              <w:rPr>
                <w:rFonts w:ascii="Cambria" w:hAnsi="Cambria" w:cstheme="minorHAnsi"/>
              </w:rPr>
              <w:t>i</w:t>
            </w:r>
            <w:proofErr w:type="spellEnd"/>
            <w:r w:rsidRPr="00DF4CE5">
              <w:rPr>
                <w:rFonts w:ascii="Cambria" w:hAnsi="Cambria" w:cstheme="minorHAnsi"/>
              </w:rPr>
              <w:t xml:space="preserve"> </w:t>
            </w:r>
            <w:proofErr w:type="spellStart"/>
            <w:r w:rsidRPr="00DF4CE5">
              <w:rPr>
                <w:rFonts w:ascii="Cambria" w:hAnsi="Cambria" w:cstheme="minorHAnsi"/>
              </w:rPr>
              <w:t>naziv</w:t>
            </w:r>
            <w:proofErr w:type="spellEnd"/>
            <w:r w:rsidRPr="00DF4CE5">
              <w:rPr>
                <w:rFonts w:ascii="Cambria" w:hAnsi="Cambria" w:cstheme="minorHAnsi"/>
              </w:rPr>
              <w:t xml:space="preserve"> </w:t>
            </w:r>
            <w:proofErr w:type="spellStart"/>
            <w:r w:rsidRPr="00DF4CE5">
              <w:rPr>
                <w:rFonts w:ascii="Cambria" w:hAnsi="Cambria" w:cstheme="minorHAnsi"/>
              </w:rPr>
              <w:t>kolegija</w:t>
            </w:r>
            <w:proofErr w:type="spellEnd"/>
          </w:p>
        </w:tc>
        <w:tc>
          <w:tcPr>
            <w:tcW w:w="6731"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7BF1862" w14:textId="77777777" w:rsidR="00354E46" w:rsidRPr="00DF4CE5" w:rsidRDefault="00354E46">
            <w:pPr>
              <w:spacing w:after="0" w:line="240" w:lineRule="auto"/>
              <w:rPr>
                <w:rFonts w:ascii="Cambria" w:hAnsi="Cambria" w:cstheme="minorHAnsi"/>
              </w:rPr>
            </w:pPr>
            <w:r w:rsidRPr="00DF4CE5">
              <w:rPr>
                <w:rFonts w:ascii="Cambria" w:hAnsi="Cambria" w:cstheme="minorHAnsi"/>
              </w:rPr>
              <w:t>257221</w:t>
            </w:r>
          </w:p>
          <w:p w14:paraId="1917318F" w14:textId="77777777" w:rsidR="00354E46" w:rsidRPr="00DF4CE5" w:rsidRDefault="00354E46">
            <w:pPr>
              <w:spacing w:after="0" w:line="240" w:lineRule="auto"/>
              <w:rPr>
                <w:rFonts w:ascii="Cambria" w:hAnsi="Cambria" w:cstheme="minorHAnsi"/>
              </w:rPr>
            </w:pPr>
            <w:proofErr w:type="spellStart"/>
            <w:r w:rsidRPr="00DF4CE5">
              <w:rPr>
                <w:rFonts w:ascii="Cambria" w:hAnsi="Cambria" w:cstheme="minorHAnsi"/>
              </w:rPr>
              <w:t>Pedagogija</w:t>
            </w:r>
            <w:proofErr w:type="spellEnd"/>
          </w:p>
        </w:tc>
      </w:tr>
      <w:tr w:rsidR="00354E46" w:rsidRPr="00DF4CE5" w14:paraId="22CCFB7C" w14:textId="77777777" w:rsidTr="00354E46">
        <w:tc>
          <w:tcPr>
            <w:tcW w:w="26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FB25FD1" w14:textId="7473958D" w:rsidR="00354E46" w:rsidRPr="00DF4CE5" w:rsidRDefault="00354E46">
            <w:pPr>
              <w:spacing w:after="0" w:line="240" w:lineRule="auto"/>
              <w:rPr>
                <w:rFonts w:ascii="Cambria" w:hAnsi="Cambria" w:cstheme="minorHAnsi"/>
              </w:rPr>
            </w:pPr>
            <w:proofErr w:type="spellStart"/>
            <w:r w:rsidRPr="00DF4CE5">
              <w:rPr>
                <w:rFonts w:ascii="Cambria" w:hAnsi="Cambria" w:cstheme="minorHAnsi"/>
              </w:rPr>
              <w:t>Nastavnica</w:t>
            </w:r>
            <w:proofErr w:type="spellEnd"/>
          </w:p>
        </w:tc>
        <w:tc>
          <w:tcPr>
            <w:tcW w:w="6731"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912D8B9" w14:textId="4BAF939D" w:rsidR="00354E46" w:rsidRPr="00DF4CE5" w:rsidRDefault="000B2D2C">
            <w:pPr>
              <w:spacing w:after="0" w:line="240" w:lineRule="auto"/>
              <w:rPr>
                <w:rFonts w:ascii="Cambria" w:hAnsi="Cambria" w:cstheme="minorHAnsi"/>
                <w:lang w:val="it-IT"/>
              </w:rPr>
            </w:pPr>
            <w:hyperlink r:id="rId9" w:history="1">
              <w:r w:rsidRPr="000B2D2C">
                <w:rPr>
                  <w:rStyle w:val="Hiperveza"/>
                  <w:rFonts w:ascii="Cambria" w:hAnsi="Cambria" w:cstheme="minorHAnsi"/>
                  <w:lang w:val="it-IT"/>
                </w:rPr>
                <w:t>Doc. dr. sc. Irena Kiss</w:t>
              </w:r>
            </w:hyperlink>
            <w:r w:rsidR="00354E46" w:rsidRPr="00DF4CE5">
              <w:rPr>
                <w:rFonts w:ascii="Cambria" w:hAnsi="Cambria" w:cstheme="minorHAnsi"/>
                <w:lang w:val="it-IT"/>
              </w:rPr>
              <w:t xml:space="preserve"> (</w:t>
            </w:r>
            <w:proofErr w:type="spellStart"/>
            <w:r w:rsidR="00354E46" w:rsidRPr="00DF4CE5">
              <w:rPr>
                <w:rFonts w:ascii="Cambria" w:hAnsi="Cambria" w:cstheme="minorHAnsi"/>
                <w:lang w:val="it-IT"/>
              </w:rPr>
              <w:t>nositeljica</w:t>
            </w:r>
            <w:proofErr w:type="spellEnd"/>
            <w:r w:rsidR="00354E46" w:rsidRPr="00DF4CE5">
              <w:rPr>
                <w:rFonts w:ascii="Cambria" w:hAnsi="Cambria" w:cstheme="minorHAnsi"/>
                <w:lang w:val="it-IT"/>
              </w:rPr>
              <w:t xml:space="preserve">) </w:t>
            </w:r>
          </w:p>
          <w:p w14:paraId="63111E87" w14:textId="3F41AAF7" w:rsidR="00354E46" w:rsidRPr="00DF4CE5" w:rsidRDefault="00354E46">
            <w:pPr>
              <w:spacing w:after="0" w:line="240" w:lineRule="auto"/>
              <w:rPr>
                <w:rFonts w:ascii="Cambria" w:hAnsi="Cambria" w:cstheme="minorHAnsi"/>
              </w:rPr>
            </w:pPr>
          </w:p>
        </w:tc>
      </w:tr>
      <w:tr w:rsidR="00354E46" w:rsidRPr="00DF4CE5" w14:paraId="22D733A3" w14:textId="77777777" w:rsidTr="00354E46">
        <w:tc>
          <w:tcPr>
            <w:tcW w:w="26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CD880BE" w14:textId="77777777" w:rsidR="00354E46" w:rsidRPr="00DF4CE5" w:rsidRDefault="00354E46">
            <w:pPr>
              <w:spacing w:after="0" w:line="240" w:lineRule="auto"/>
              <w:rPr>
                <w:rFonts w:ascii="Cambria" w:hAnsi="Cambria" w:cstheme="minorHAnsi"/>
              </w:rPr>
            </w:pPr>
            <w:proofErr w:type="spellStart"/>
            <w:r w:rsidRPr="00DF4CE5">
              <w:rPr>
                <w:rFonts w:ascii="Cambria" w:hAnsi="Cambria" w:cstheme="minorHAnsi"/>
              </w:rPr>
              <w:t>Studijski</w:t>
            </w:r>
            <w:proofErr w:type="spellEnd"/>
            <w:r w:rsidRPr="00DF4CE5">
              <w:rPr>
                <w:rFonts w:ascii="Cambria" w:hAnsi="Cambria" w:cstheme="minorHAnsi"/>
              </w:rPr>
              <w:t xml:space="preserve"> program</w:t>
            </w:r>
          </w:p>
        </w:tc>
        <w:tc>
          <w:tcPr>
            <w:tcW w:w="6731"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8CFB173" w14:textId="77777777" w:rsidR="00354E46" w:rsidRPr="00DF4CE5" w:rsidRDefault="00354E46">
            <w:pPr>
              <w:spacing w:after="0" w:line="240" w:lineRule="auto"/>
              <w:rPr>
                <w:rFonts w:ascii="Cambria" w:hAnsi="Cambria" w:cstheme="minorHAnsi"/>
              </w:rPr>
            </w:pPr>
            <w:proofErr w:type="spellStart"/>
            <w:r w:rsidRPr="00DF4CE5">
              <w:rPr>
                <w:rFonts w:ascii="Cambria" w:hAnsi="Cambria" w:cstheme="minorHAnsi"/>
              </w:rPr>
              <w:t>Sveučilišni</w:t>
            </w:r>
            <w:proofErr w:type="spellEnd"/>
            <w:r w:rsidRPr="00DF4CE5">
              <w:rPr>
                <w:rFonts w:ascii="Cambria" w:hAnsi="Cambria" w:cstheme="minorHAnsi"/>
              </w:rPr>
              <w:t xml:space="preserve"> </w:t>
            </w:r>
            <w:proofErr w:type="spellStart"/>
            <w:r w:rsidRPr="00DF4CE5">
              <w:rPr>
                <w:rFonts w:ascii="Cambria" w:hAnsi="Cambria" w:cstheme="minorHAnsi"/>
              </w:rPr>
              <w:t>integrirani</w:t>
            </w:r>
            <w:proofErr w:type="spellEnd"/>
            <w:r w:rsidRPr="00DF4CE5">
              <w:rPr>
                <w:rFonts w:ascii="Cambria" w:hAnsi="Cambria" w:cstheme="minorHAnsi"/>
              </w:rPr>
              <w:t xml:space="preserve"> </w:t>
            </w:r>
            <w:proofErr w:type="spellStart"/>
            <w:r w:rsidRPr="00DF4CE5">
              <w:rPr>
                <w:rFonts w:ascii="Cambria" w:hAnsi="Cambria" w:cstheme="minorHAnsi"/>
              </w:rPr>
              <w:t>prijediplomski</w:t>
            </w:r>
            <w:proofErr w:type="spellEnd"/>
            <w:r w:rsidRPr="00DF4CE5">
              <w:rPr>
                <w:rFonts w:ascii="Cambria" w:hAnsi="Cambria" w:cstheme="minorHAnsi"/>
              </w:rPr>
              <w:t xml:space="preserve"> </w:t>
            </w:r>
            <w:proofErr w:type="spellStart"/>
            <w:r w:rsidRPr="00DF4CE5">
              <w:rPr>
                <w:rFonts w:ascii="Cambria" w:hAnsi="Cambria" w:cstheme="minorHAnsi"/>
              </w:rPr>
              <w:t>i</w:t>
            </w:r>
            <w:proofErr w:type="spellEnd"/>
            <w:r w:rsidRPr="00DF4CE5">
              <w:rPr>
                <w:rFonts w:ascii="Cambria" w:hAnsi="Cambria" w:cstheme="minorHAnsi"/>
              </w:rPr>
              <w:t xml:space="preserve"> </w:t>
            </w:r>
            <w:proofErr w:type="spellStart"/>
            <w:r w:rsidRPr="00DF4CE5">
              <w:rPr>
                <w:rFonts w:ascii="Cambria" w:hAnsi="Cambria" w:cstheme="minorHAnsi"/>
              </w:rPr>
              <w:t>diplomski</w:t>
            </w:r>
            <w:proofErr w:type="spellEnd"/>
            <w:r w:rsidRPr="00DF4CE5">
              <w:rPr>
                <w:rFonts w:ascii="Cambria" w:hAnsi="Cambria" w:cstheme="minorHAnsi"/>
              </w:rPr>
              <w:t xml:space="preserve"> </w:t>
            </w:r>
            <w:proofErr w:type="spellStart"/>
            <w:r w:rsidRPr="00DF4CE5">
              <w:rPr>
                <w:rFonts w:ascii="Cambria" w:hAnsi="Cambria" w:cstheme="minorHAnsi"/>
              </w:rPr>
              <w:t>Učiteljski</w:t>
            </w:r>
            <w:proofErr w:type="spellEnd"/>
            <w:r w:rsidRPr="00DF4CE5">
              <w:rPr>
                <w:rFonts w:ascii="Cambria" w:hAnsi="Cambria" w:cstheme="minorHAnsi"/>
              </w:rPr>
              <w:t xml:space="preserve"> </w:t>
            </w:r>
            <w:proofErr w:type="spellStart"/>
            <w:r w:rsidRPr="00DF4CE5">
              <w:rPr>
                <w:rFonts w:ascii="Cambria" w:hAnsi="Cambria" w:cstheme="minorHAnsi"/>
              </w:rPr>
              <w:t>studij</w:t>
            </w:r>
            <w:proofErr w:type="spellEnd"/>
            <w:r w:rsidRPr="00DF4CE5">
              <w:rPr>
                <w:rFonts w:ascii="Cambria" w:hAnsi="Cambria" w:cstheme="minorHAnsi"/>
              </w:rPr>
              <w:t xml:space="preserve"> </w:t>
            </w:r>
            <w:proofErr w:type="spellStart"/>
            <w:r w:rsidRPr="00DF4CE5">
              <w:rPr>
                <w:rFonts w:ascii="Cambria" w:hAnsi="Cambria" w:cstheme="minorHAnsi"/>
              </w:rPr>
              <w:t>na</w:t>
            </w:r>
            <w:proofErr w:type="spellEnd"/>
            <w:r w:rsidRPr="00DF4CE5">
              <w:rPr>
                <w:rFonts w:ascii="Cambria" w:hAnsi="Cambria" w:cstheme="minorHAnsi"/>
              </w:rPr>
              <w:t xml:space="preserve"> </w:t>
            </w:r>
            <w:proofErr w:type="spellStart"/>
            <w:r w:rsidRPr="00DF4CE5">
              <w:rPr>
                <w:rFonts w:ascii="Cambria" w:hAnsi="Cambria" w:cstheme="minorHAnsi"/>
              </w:rPr>
              <w:t>hrvatskom</w:t>
            </w:r>
            <w:proofErr w:type="spellEnd"/>
            <w:r w:rsidRPr="00DF4CE5">
              <w:rPr>
                <w:rFonts w:ascii="Cambria" w:hAnsi="Cambria" w:cstheme="minorHAnsi"/>
              </w:rPr>
              <w:t xml:space="preserve"> </w:t>
            </w:r>
            <w:proofErr w:type="spellStart"/>
            <w:r w:rsidRPr="00DF4CE5">
              <w:rPr>
                <w:rFonts w:ascii="Cambria" w:hAnsi="Cambria" w:cstheme="minorHAnsi"/>
              </w:rPr>
              <w:t>jeziku</w:t>
            </w:r>
            <w:proofErr w:type="spellEnd"/>
          </w:p>
        </w:tc>
      </w:tr>
      <w:tr w:rsidR="00354E46" w:rsidRPr="00DF4CE5" w14:paraId="1E1C6AF1" w14:textId="77777777" w:rsidTr="00354E46">
        <w:tc>
          <w:tcPr>
            <w:tcW w:w="26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4E4CA29" w14:textId="77777777" w:rsidR="00354E46" w:rsidRPr="00DF4CE5" w:rsidRDefault="00354E46">
            <w:pPr>
              <w:spacing w:after="0" w:line="240" w:lineRule="auto"/>
              <w:rPr>
                <w:rFonts w:ascii="Cambria" w:hAnsi="Cambria" w:cstheme="minorHAnsi"/>
              </w:rPr>
            </w:pPr>
            <w:proofErr w:type="spellStart"/>
            <w:r w:rsidRPr="00DF4CE5">
              <w:rPr>
                <w:rFonts w:ascii="Cambria" w:hAnsi="Cambria" w:cstheme="minorHAnsi"/>
              </w:rPr>
              <w:t>Vrsta</w:t>
            </w:r>
            <w:proofErr w:type="spellEnd"/>
            <w:r w:rsidRPr="00DF4CE5">
              <w:rPr>
                <w:rFonts w:ascii="Cambria" w:hAnsi="Cambria" w:cstheme="minorHAnsi"/>
              </w:rPr>
              <w:t xml:space="preserve"> </w:t>
            </w:r>
            <w:proofErr w:type="spellStart"/>
            <w:r w:rsidRPr="00DF4CE5">
              <w:rPr>
                <w:rFonts w:ascii="Cambria" w:hAnsi="Cambria" w:cstheme="minorHAnsi"/>
              </w:rPr>
              <w:t>kolegija</w:t>
            </w:r>
            <w:proofErr w:type="spellEnd"/>
          </w:p>
        </w:tc>
        <w:tc>
          <w:tcPr>
            <w:tcW w:w="249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82C477C" w14:textId="77777777" w:rsidR="00354E46" w:rsidRPr="00DF4CE5" w:rsidRDefault="00354E46">
            <w:pPr>
              <w:spacing w:after="0" w:line="240" w:lineRule="auto"/>
              <w:rPr>
                <w:rFonts w:ascii="Cambria" w:hAnsi="Cambria" w:cstheme="minorHAnsi"/>
              </w:rPr>
            </w:pPr>
            <w:proofErr w:type="spellStart"/>
            <w:r w:rsidRPr="00DF4CE5">
              <w:rPr>
                <w:rFonts w:ascii="Cambria" w:hAnsi="Cambria" w:cstheme="minorHAnsi"/>
              </w:rPr>
              <w:t>obvezan</w:t>
            </w:r>
            <w:proofErr w:type="spellEnd"/>
            <w:r w:rsidRPr="00DF4CE5">
              <w:rPr>
                <w:rFonts w:ascii="Cambria" w:hAnsi="Cambria" w:cstheme="minorHAnsi"/>
              </w:rPr>
              <w:t xml:space="preserve"> </w:t>
            </w:r>
          </w:p>
        </w:tc>
        <w:tc>
          <w:tcPr>
            <w:tcW w:w="1465"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65BF298D" w14:textId="77777777" w:rsidR="00354E46" w:rsidRPr="00DF4CE5" w:rsidRDefault="00354E46">
            <w:pPr>
              <w:spacing w:after="0" w:line="240" w:lineRule="auto"/>
              <w:rPr>
                <w:rFonts w:ascii="Cambria" w:hAnsi="Cambria" w:cstheme="minorHAnsi"/>
              </w:rPr>
            </w:pPr>
            <w:r w:rsidRPr="00DF4CE5">
              <w:rPr>
                <w:rFonts w:ascii="Cambria" w:hAnsi="Cambria" w:cstheme="minorHAnsi"/>
              </w:rPr>
              <w:t xml:space="preserve">Razina </w:t>
            </w:r>
            <w:proofErr w:type="spellStart"/>
            <w:r w:rsidRPr="00DF4CE5">
              <w:rPr>
                <w:rFonts w:ascii="Cambria" w:hAnsi="Cambria" w:cstheme="minorHAnsi"/>
              </w:rPr>
              <w:t>kolegija</w:t>
            </w:r>
            <w:proofErr w:type="spellEnd"/>
          </w:p>
        </w:tc>
        <w:tc>
          <w:tcPr>
            <w:tcW w:w="2773"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1A9E754" w14:textId="77777777" w:rsidR="00354E46" w:rsidRPr="00DF4CE5" w:rsidRDefault="00354E46">
            <w:pPr>
              <w:spacing w:after="0" w:line="240" w:lineRule="auto"/>
              <w:rPr>
                <w:rFonts w:ascii="Cambria" w:hAnsi="Cambria" w:cstheme="minorHAnsi"/>
              </w:rPr>
            </w:pPr>
            <w:proofErr w:type="spellStart"/>
            <w:r w:rsidRPr="00DF4CE5">
              <w:rPr>
                <w:rFonts w:ascii="Cambria" w:hAnsi="Cambria" w:cstheme="minorHAnsi"/>
              </w:rPr>
              <w:t>integrirani</w:t>
            </w:r>
            <w:proofErr w:type="spellEnd"/>
            <w:r w:rsidRPr="00DF4CE5">
              <w:rPr>
                <w:rFonts w:ascii="Cambria" w:hAnsi="Cambria" w:cstheme="minorHAnsi"/>
              </w:rPr>
              <w:t xml:space="preserve"> </w:t>
            </w:r>
          </w:p>
        </w:tc>
      </w:tr>
      <w:tr w:rsidR="00354E46" w:rsidRPr="00DF4CE5" w14:paraId="1D477008" w14:textId="77777777" w:rsidTr="00354E46">
        <w:tc>
          <w:tcPr>
            <w:tcW w:w="26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33F68E8" w14:textId="77777777" w:rsidR="00354E46" w:rsidRPr="00DF4CE5" w:rsidRDefault="00354E46">
            <w:pPr>
              <w:spacing w:after="0" w:line="240" w:lineRule="auto"/>
              <w:rPr>
                <w:rFonts w:ascii="Cambria" w:hAnsi="Cambria" w:cstheme="minorHAnsi"/>
              </w:rPr>
            </w:pPr>
            <w:proofErr w:type="spellStart"/>
            <w:r w:rsidRPr="00DF4CE5">
              <w:rPr>
                <w:rFonts w:ascii="Cambria" w:hAnsi="Cambria" w:cstheme="minorHAnsi"/>
              </w:rPr>
              <w:t>Semestar</w:t>
            </w:r>
            <w:proofErr w:type="spellEnd"/>
          </w:p>
        </w:tc>
        <w:tc>
          <w:tcPr>
            <w:tcW w:w="249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2A85F73" w14:textId="6FF8C461" w:rsidR="00354E46" w:rsidRPr="00DF4CE5" w:rsidRDefault="00DF4CE5">
            <w:pPr>
              <w:spacing w:after="0" w:line="240" w:lineRule="auto"/>
              <w:rPr>
                <w:rFonts w:ascii="Cambria" w:hAnsi="Cambria" w:cstheme="minorHAnsi"/>
              </w:rPr>
            </w:pPr>
            <w:proofErr w:type="spellStart"/>
            <w:r w:rsidRPr="00DF4CE5">
              <w:rPr>
                <w:rFonts w:ascii="Cambria" w:hAnsi="Cambria" w:cstheme="minorHAnsi"/>
              </w:rPr>
              <w:t>z</w:t>
            </w:r>
            <w:r w:rsidR="00354E46" w:rsidRPr="00DF4CE5">
              <w:rPr>
                <w:rFonts w:ascii="Cambria" w:hAnsi="Cambria" w:cstheme="minorHAnsi"/>
              </w:rPr>
              <w:t>imski</w:t>
            </w:r>
            <w:proofErr w:type="spellEnd"/>
          </w:p>
        </w:tc>
        <w:tc>
          <w:tcPr>
            <w:tcW w:w="1465"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4062B072" w14:textId="77777777" w:rsidR="00354E46" w:rsidRPr="00DF4CE5" w:rsidRDefault="00354E46">
            <w:pPr>
              <w:spacing w:after="0" w:line="240" w:lineRule="auto"/>
              <w:rPr>
                <w:rFonts w:ascii="Cambria" w:hAnsi="Cambria" w:cstheme="minorHAnsi"/>
              </w:rPr>
            </w:pPr>
            <w:r w:rsidRPr="00DF4CE5">
              <w:rPr>
                <w:rFonts w:ascii="Cambria" w:hAnsi="Cambria" w:cstheme="minorHAnsi"/>
              </w:rPr>
              <w:t xml:space="preserve">Godina </w:t>
            </w:r>
            <w:proofErr w:type="spellStart"/>
            <w:r w:rsidRPr="00DF4CE5">
              <w:rPr>
                <w:rFonts w:ascii="Cambria" w:hAnsi="Cambria" w:cstheme="minorHAnsi"/>
              </w:rPr>
              <w:t>studija</w:t>
            </w:r>
            <w:proofErr w:type="spellEnd"/>
          </w:p>
        </w:tc>
        <w:tc>
          <w:tcPr>
            <w:tcW w:w="2773"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517CE06" w14:textId="77777777" w:rsidR="00354E46" w:rsidRPr="00DF4CE5" w:rsidRDefault="00354E46">
            <w:pPr>
              <w:spacing w:after="0" w:line="240" w:lineRule="auto"/>
              <w:rPr>
                <w:rFonts w:ascii="Cambria" w:hAnsi="Cambria" w:cstheme="minorHAnsi"/>
              </w:rPr>
            </w:pPr>
            <w:r w:rsidRPr="00DF4CE5">
              <w:rPr>
                <w:rFonts w:ascii="Cambria" w:hAnsi="Cambria" w:cstheme="minorHAnsi"/>
              </w:rPr>
              <w:t>I.</w:t>
            </w:r>
          </w:p>
        </w:tc>
      </w:tr>
      <w:tr w:rsidR="00354E46" w:rsidRPr="00DF4CE5" w14:paraId="5C35307F" w14:textId="77777777" w:rsidTr="00354E46">
        <w:tc>
          <w:tcPr>
            <w:tcW w:w="26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8A1B10E" w14:textId="77777777" w:rsidR="00354E46" w:rsidRPr="00DF4CE5" w:rsidRDefault="00354E46">
            <w:pPr>
              <w:spacing w:after="0" w:line="240" w:lineRule="auto"/>
              <w:rPr>
                <w:rFonts w:ascii="Cambria" w:hAnsi="Cambria" w:cstheme="minorHAnsi"/>
              </w:rPr>
            </w:pPr>
            <w:proofErr w:type="spellStart"/>
            <w:r w:rsidRPr="00DF4CE5">
              <w:rPr>
                <w:rFonts w:ascii="Cambria" w:hAnsi="Cambria" w:cstheme="minorHAnsi"/>
              </w:rPr>
              <w:t>Mjesto</w:t>
            </w:r>
            <w:proofErr w:type="spellEnd"/>
            <w:r w:rsidRPr="00DF4CE5">
              <w:rPr>
                <w:rFonts w:ascii="Cambria" w:hAnsi="Cambria" w:cstheme="minorHAnsi"/>
              </w:rPr>
              <w:t xml:space="preserve"> </w:t>
            </w:r>
            <w:proofErr w:type="spellStart"/>
            <w:r w:rsidRPr="00DF4CE5">
              <w:rPr>
                <w:rFonts w:ascii="Cambria" w:hAnsi="Cambria" w:cstheme="minorHAnsi"/>
              </w:rPr>
              <w:t>izvođenja</w:t>
            </w:r>
            <w:proofErr w:type="spellEnd"/>
          </w:p>
        </w:tc>
        <w:tc>
          <w:tcPr>
            <w:tcW w:w="249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E12513C" w14:textId="56B189DF" w:rsidR="00354E46" w:rsidRPr="00DF4CE5" w:rsidRDefault="00DF4CE5">
            <w:pPr>
              <w:spacing w:after="0" w:line="240" w:lineRule="auto"/>
              <w:rPr>
                <w:rFonts w:ascii="Cambria" w:hAnsi="Cambria" w:cstheme="minorHAnsi"/>
              </w:rPr>
            </w:pPr>
            <w:proofErr w:type="spellStart"/>
            <w:r w:rsidRPr="00DF4CE5">
              <w:rPr>
                <w:rFonts w:ascii="Cambria" w:hAnsi="Cambria" w:cstheme="minorHAnsi"/>
              </w:rPr>
              <w:t>d</w:t>
            </w:r>
            <w:r w:rsidR="00354E46" w:rsidRPr="00DF4CE5">
              <w:rPr>
                <w:rFonts w:ascii="Cambria" w:hAnsi="Cambria" w:cstheme="minorHAnsi"/>
              </w:rPr>
              <w:t>vorana</w:t>
            </w:r>
            <w:proofErr w:type="spellEnd"/>
          </w:p>
        </w:tc>
        <w:tc>
          <w:tcPr>
            <w:tcW w:w="1465"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2FC33AE6" w14:textId="77777777" w:rsidR="00354E46" w:rsidRPr="00DF4CE5" w:rsidRDefault="00354E46">
            <w:pPr>
              <w:spacing w:after="0" w:line="240" w:lineRule="auto"/>
              <w:rPr>
                <w:rFonts w:ascii="Cambria" w:hAnsi="Cambria" w:cstheme="minorHAnsi"/>
              </w:rPr>
            </w:pPr>
            <w:r w:rsidRPr="00DF4CE5">
              <w:rPr>
                <w:rFonts w:ascii="Cambria" w:hAnsi="Cambria" w:cstheme="minorHAnsi"/>
              </w:rPr>
              <w:t xml:space="preserve">Jezik </w:t>
            </w:r>
            <w:proofErr w:type="spellStart"/>
            <w:r w:rsidRPr="00DF4CE5">
              <w:rPr>
                <w:rFonts w:ascii="Cambria" w:hAnsi="Cambria" w:cstheme="minorHAnsi"/>
              </w:rPr>
              <w:t>izvođenja</w:t>
            </w:r>
            <w:proofErr w:type="spellEnd"/>
            <w:r w:rsidRPr="00DF4CE5">
              <w:rPr>
                <w:rFonts w:ascii="Cambria" w:hAnsi="Cambria" w:cstheme="minorHAnsi"/>
              </w:rPr>
              <w:t xml:space="preserve"> (</w:t>
            </w:r>
            <w:proofErr w:type="spellStart"/>
            <w:r w:rsidRPr="00DF4CE5">
              <w:rPr>
                <w:rFonts w:ascii="Cambria" w:hAnsi="Cambria" w:cstheme="minorHAnsi"/>
              </w:rPr>
              <w:t>drugi</w:t>
            </w:r>
            <w:proofErr w:type="spellEnd"/>
            <w:r w:rsidRPr="00DF4CE5">
              <w:rPr>
                <w:rFonts w:ascii="Cambria" w:hAnsi="Cambria" w:cstheme="minorHAnsi"/>
              </w:rPr>
              <w:t xml:space="preserve"> </w:t>
            </w:r>
            <w:proofErr w:type="spellStart"/>
            <w:r w:rsidRPr="00DF4CE5">
              <w:rPr>
                <w:rFonts w:ascii="Cambria" w:hAnsi="Cambria" w:cstheme="minorHAnsi"/>
              </w:rPr>
              <w:t>jezici</w:t>
            </w:r>
            <w:proofErr w:type="spellEnd"/>
            <w:r w:rsidRPr="00DF4CE5">
              <w:rPr>
                <w:rFonts w:ascii="Cambria" w:hAnsi="Cambria" w:cstheme="minorHAnsi"/>
              </w:rPr>
              <w:t>)</w:t>
            </w:r>
          </w:p>
        </w:tc>
        <w:tc>
          <w:tcPr>
            <w:tcW w:w="2773"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FB743B2" w14:textId="77777777" w:rsidR="00354E46" w:rsidRPr="00DF4CE5" w:rsidRDefault="00354E46">
            <w:pPr>
              <w:spacing w:after="0" w:line="240" w:lineRule="auto"/>
              <w:rPr>
                <w:rFonts w:ascii="Cambria" w:hAnsi="Cambria" w:cstheme="minorHAnsi"/>
              </w:rPr>
            </w:pPr>
            <w:proofErr w:type="spellStart"/>
            <w:r w:rsidRPr="00DF4CE5">
              <w:rPr>
                <w:rFonts w:ascii="Cambria" w:hAnsi="Cambria" w:cstheme="minorHAnsi"/>
              </w:rPr>
              <w:t>hrvatski</w:t>
            </w:r>
            <w:proofErr w:type="spellEnd"/>
            <w:r w:rsidRPr="00DF4CE5">
              <w:rPr>
                <w:rFonts w:ascii="Cambria" w:hAnsi="Cambria" w:cstheme="minorHAnsi"/>
              </w:rPr>
              <w:t xml:space="preserve"> </w:t>
            </w:r>
          </w:p>
          <w:p w14:paraId="64AD0211" w14:textId="77777777" w:rsidR="00354E46" w:rsidRPr="00DF4CE5" w:rsidRDefault="00354E46">
            <w:pPr>
              <w:spacing w:after="0" w:line="240" w:lineRule="auto"/>
              <w:rPr>
                <w:rFonts w:ascii="Cambria" w:hAnsi="Cambria" w:cstheme="minorHAnsi"/>
              </w:rPr>
            </w:pPr>
            <w:r w:rsidRPr="00DF4CE5">
              <w:rPr>
                <w:rFonts w:ascii="Cambria" w:hAnsi="Cambria" w:cstheme="minorHAnsi"/>
              </w:rPr>
              <w:t>(</w:t>
            </w:r>
            <w:proofErr w:type="spellStart"/>
            <w:r w:rsidRPr="00DF4CE5">
              <w:rPr>
                <w:rFonts w:ascii="Cambria" w:hAnsi="Cambria" w:cstheme="minorHAnsi"/>
              </w:rPr>
              <w:t>talijanski</w:t>
            </w:r>
            <w:proofErr w:type="spellEnd"/>
            <w:r w:rsidRPr="00DF4CE5">
              <w:rPr>
                <w:rFonts w:ascii="Cambria" w:hAnsi="Cambria" w:cstheme="minorHAnsi"/>
              </w:rPr>
              <w:t>)</w:t>
            </w:r>
          </w:p>
        </w:tc>
      </w:tr>
      <w:tr w:rsidR="00354E46" w:rsidRPr="00DF4CE5" w14:paraId="2AED7204" w14:textId="77777777" w:rsidTr="00354E46">
        <w:tc>
          <w:tcPr>
            <w:tcW w:w="26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F926EAB" w14:textId="77777777" w:rsidR="00354E46" w:rsidRPr="00DF4CE5" w:rsidRDefault="00354E46">
            <w:pPr>
              <w:spacing w:after="0" w:line="240" w:lineRule="auto"/>
              <w:rPr>
                <w:rFonts w:ascii="Cambria" w:hAnsi="Cambria" w:cstheme="minorHAnsi"/>
              </w:rPr>
            </w:pPr>
            <w:proofErr w:type="spellStart"/>
            <w:r w:rsidRPr="00DF4CE5">
              <w:rPr>
                <w:rFonts w:ascii="Cambria" w:hAnsi="Cambria" w:cstheme="minorHAnsi"/>
              </w:rPr>
              <w:t>Broj</w:t>
            </w:r>
            <w:proofErr w:type="spellEnd"/>
            <w:r w:rsidRPr="00DF4CE5">
              <w:rPr>
                <w:rFonts w:ascii="Cambria" w:hAnsi="Cambria" w:cstheme="minorHAnsi"/>
              </w:rPr>
              <w:t xml:space="preserve"> ECTS </w:t>
            </w:r>
            <w:proofErr w:type="spellStart"/>
            <w:r w:rsidRPr="00DF4CE5">
              <w:rPr>
                <w:rFonts w:ascii="Cambria" w:hAnsi="Cambria" w:cstheme="minorHAnsi"/>
              </w:rPr>
              <w:t>bodova</w:t>
            </w:r>
            <w:proofErr w:type="spellEnd"/>
          </w:p>
        </w:tc>
        <w:tc>
          <w:tcPr>
            <w:tcW w:w="249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FACA3F6" w14:textId="77777777" w:rsidR="00354E46" w:rsidRPr="00DF4CE5" w:rsidRDefault="00354E46">
            <w:pPr>
              <w:spacing w:after="0" w:line="240" w:lineRule="auto"/>
              <w:rPr>
                <w:rFonts w:ascii="Cambria" w:hAnsi="Cambria" w:cstheme="minorHAnsi"/>
              </w:rPr>
            </w:pPr>
            <w:r w:rsidRPr="00DF4CE5">
              <w:rPr>
                <w:rFonts w:ascii="Cambria" w:hAnsi="Cambria" w:cstheme="minorHAnsi"/>
              </w:rPr>
              <w:t>6</w:t>
            </w:r>
          </w:p>
        </w:tc>
        <w:tc>
          <w:tcPr>
            <w:tcW w:w="1465"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0D1AE85E" w14:textId="77777777" w:rsidR="00354E46" w:rsidRPr="00DF4CE5" w:rsidRDefault="00354E46">
            <w:pPr>
              <w:spacing w:after="0" w:line="240" w:lineRule="auto"/>
              <w:rPr>
                <w:rFonts w:ascii="Cambria" w:hAnsi="Cambria" w:cstheme="minorHAnsi"/>
              </w:rPr>
            </w:pPr>
            <w:proofErr w:type="spellStart"/>
            <w:r w:rsidRPr="00DF4CE5">
              <w:rPr>
                <w:rFonts w:ascii="Cambria" w:hAnsi="Cambria" w:cstheme="minorHAnsi"/>
              </w:rPr>
              <w:t>Broj</w:t>
            </w:r>
            <w:proofErr w:type="spellEnd"/>
            <w:r w:rsidRPr="00DF4CE5">
              <w:rPr>
                <w:rFonts w:ascii="Cambria" w:hAnsi="Cambria" w:cstheme="minorHAnsi"/>
              </w:rPr>
              <w:t xml:space="preserve"> sati u </w:t>
            </w:r>
            <w:proofErr w:type="spellStart"/>
            <w:r w:rsidRPr="00DF4CE5">
              <w:rPr>
                <w:rFonts w:ascii="Cambria" w:hAnsi="Cambria" w:cstheme="minorHAnsi"/>
              </w:rPr>
              <w:t>semestru</w:t>
            </w:r>
            <w:proofErr w:type="spellEnd"/>
          </w:p>
        </w:tc>
        <w:tc>
          <w:tcPr>
            <w:tcW w:w="2773"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C510303" w14:textId="76BD39C4" w:rsidR="00354E46" w:rsidRPr="00DF4CE5" w:rsidRDefault="00354E46">
            <w:pPr>
              <w:spacing w:after="0" w:line="240" w:lineRule="auto"/>
              <w:rPr>
                <w:rFonts w:ascii="Cambria" w:hAnsi="Cambria" w:cstheme="minorHAnsi"/>
              </w:rPr>
            </w:pPr>
            <w:r w:rsidRPr="00DF4CE5">
              <w:rPr>
                <w:rFonts w:ascii="Cambria" w:hAnsi="Cambria" w:cstheme="minorHAnsi"/>
              </w:rPr>
              <w:t>30P – 15</w:t>
            </w:r>
            <w:r w:rsidR="00B13415" w:rsidRPr="00DF4CE5">
              <w:rPr>
                <w:rFonts w:ascii="Cambria" w:hAnsi="Cambria" w:cstheme="minorHAnsi"/>
              </w:rPr>
              <w:t>S</w:t>
            </w:r>
            <w:r w:rsidRPr="00DF4CE5">
              <w:rPr>
                <w:rFonts w:ascii="Cambria" w:hAnsi="Cambria" w:cstheme="minorHAnsi"/>
              </w:rPr>
              <w:t xml:space="preserve"> – 15</w:t>
            </w:r>
            <w:r w:rsidR="00B13415" w:rsidRPr="00DF4CE5">
              <w:rPr>
                <w:rFonts w:ascii="Cambria" w:hAnsi="Cambria" w:cstheme="minorHAnsi"/>
              </w:rPr>
              <w:t>V</w:t>
            </w:r>
            <w:r w:rsidRPr="00DF4CE5">
              <w:rPr>
                <w:rFonts w:ascii="Cambria" w:hAnsi="Cambria" w:cstheme="minorHAnsi"/>
              </w:rPr>
              <w:t xml:space="preserve">   </w:t>
            </w:r>
          </w:p>
        </w:tc>
      </w:tr>
      <w:tr w:rsidR="00354E46" w:rsidRPr="00DF4CE5" w14:paraId="14170572" w14:textId="77777777" w:rsidTr="00354E46">
        <w:tc>
          <w:tcPr>
            <w:tcW w:w="26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23BDAD1" w14:textId="77777777" w:rsidR="00354E46" w:rsidRPr="00DF4CE5" w:rsidRDefault="00354E46">
            <w:pPr>
              <w:spacing w:after="0" w:line="240" w:lineRule="auto"/>
              <w:rPr>
                <w:rFonts w:ascii="Cambria" w:hAnsi="Cambria" w:cstheme="minorHAnsi"/>
                <w:lang w:val="it-IT"/>
              </w:rPr>
            </w:pPr>
            <w:proofErr w:type="spellStart"/>
            <w:r w:rsidRPr="00DF4CE5">
              <w:rPr>
                <w:rFonts w:ascii="Cambria" w:hAnsi="Cambria" w:cstheme="minorHAnsi"/>
                <w:lang w:val="it-IT"/>
              </w:rPr>
              <w:t>Preduvjeti</w:t>
            </w:r>
            <w:proofErr w:type="spellEnd"/>
            <w:r w:rsidRPr="00DF4CE5">
              <w:rPr>
                <w:rFonts w:ascii="Cambria" w:hAnsi="Cambria" w:cstheme="minorHAnsi"/>
                <w:lang w:val="it-IT"/>
              </w:rPr>
              <w:t xml:space="preserve"> za </w:t>
            </w:r>
            <w:proofErr w:type="spellStart"/>
            <w:r w:rsidRPr="00DF4CE5">
              <w:rPr>
                <w:rFonts w:ascii="Cambria" w:hAnsi="Cambria" w:cstheme="minorHAnsi"/>
                <w:lang w:val="it-IT"/>
              </w:rPr>
              <w:t>upis</w:t>
            </w:r>
            <w:proofErr w:type="spellEnd"/>
            <w:r w:rsidRPr="00DF4CE5">
              <w:rPr>
                <w:rFonts w:ascii="Cambria" w:hAnsi="Cambria" w:cstheme="minorHAnsi"/>
                <w:lang w:val="it-IT"/>
              </w:rPr>
              <w:t xml:space="preserve"> i za </w:t>
            </w:r>
            <w:proofErr w:type="spellStart"/>
            <w:r w:rsidRPr="00DF4CE5">
              <w:rPr>
                <w:rFonts w:ascii="Cambria" w:hAnsi="Cambria" w:cstheme="minorHAnsi"/>
                <w:lang w:val="it-IT"/>
              </w:rPr>
              <w:t>svladavanje</w:t>
            </w:r>
            <w:proofErr w:type="spellEnd"/>
          </w:p>
        </w:tc>
        <w:tc>
          <w:tcPr>
            <w:tcW w:w="6731"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D467C2F" w14:textId="77777777" w:rsidR="00354E46" w:rsidRPr="00DF4CE5" w:rsidRDefault="00354E46">
            <w:pPr>
              <w:spacing w:after="0" w:line="240" w:lineRule="auto"/>
              <w:rPr>
                <w:rFonts w:ascii="Cambria" w:hAnsi="Cambria" w:cstheme="minorHAnsi"/>
              </w:rPr>
            </w:pPr>
            <w:r w:rsidRPr="00DF4CE5">
              <w:rPr>
                <w:rFonts w:ascii="Cambria" w:hAnsi="Cambria" w:cstheme="minorHAnsi"/>
              </w:rPr>
              <w:t xml:space="preserve">Nema </w:t>
            </w:r>
            <w:proofErr w:type="spellStart"/>
            <w:r w:rsidRPr="00DF4CE5">
              <w:rPr>
                <w:rFonts w:ascii="Cambria" w:hAnsi="Cambria" w:cstheme="minorHAnsi"/>
              </w:rPr>
              <w:t>preduvjeta</w:t>
            </w:r>
            <w:proofErr w:type="spellEnd"/>
            <w:r w:rsidRPr="00DF4CE5">
              <w:rPr>
                <w:rFonts w:ascii="Cambria" w:hAnsi="Cambria" w:cstheme="minorHAnsi"/>
              </w:rPr>
              <w:t xml:space="preserve"> za </w:t>
            </w:r>
            <w:proofErr w:type="spellStart"/>
            <w:r w:rsidRPr="00DF4CE5">
              <w:rPr>
                <w:rFonts w:ascii="Cambria" w:hAnsi="Cambria" w:cstheme="minorHAnsi"/>
              </w:rPr>
              <w:t>upis</w:t>
            </w:r>
            <w:proofErr w:type="spellEnd"/>
            <w:r w:rsidRPr="00DF4CE5">
              <w:rPr>
                <w:rFonts w:ascii="Cambria" w:hAnsi="Cambria" w:cstheme="minorHAnsi"/>
              </w:rPr>
              <w:t>.</w:t>
            </w:r>
          </w:p>
        </w:tc>
      </w:tr>
      <w:tr w:rsidR="00354E46" w:rsidRPr="00DF4CE5" w14:paraId="25A9019F" w14:textId="77777777" w:rsidTr="00354E46">
        <w:tc>
          <w:tcPr>
            <w:tcW w:w="26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238AF52" w14:textId="77777777" w:rsidR="00354E46" w:rsidRPr="00DF4CE5" w:rsidRDefault="00354E46">
            <w:pPr>
              <w:spacing w:after="0" w:line="240" w:lineRule="auto"/>
              <w:rPr>
                <w:rFonts w:ascii="Cambria" w:hAnsi="Cambria" w:cstheme="minorHAnsi"/>
              </w:rPr>
            </w:pPr>
            <w:proofErr w:type="spellStart"/>
            <w:r w:rsidRPr="00DF4CE5">
              <w:rPr>
                <w:rFonts w:ascii="Cambria" w:hAnsi="Cambria" w:cstheme="minorHAnsi"/>
              </w:rPr>
              <w:t>Korelativnost</w:t>
            </w:r>
            <w:proofErr w:type="spellEnd"/>
          </w:p>
        </w:tc>
        <w:tc>
          <w:tcPr>
            <w:tcW w:w="6731"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3AAAC83" w14:textId="77777777" w:rsidR="00354E46" w:rsidRPr="00DF4CE5" w:rsidRDefault="00354E46">
            <w:pPr>
              <w:spacing w:after="0" w:line="240" w:lineRule="auto"/>
              <w:rPr>
                <w:rFonts w:ascii="Cambria" w:hAnsi="Cambria" w:cstheme="minorHAnsi"/>
              </w:rPr>
            </w:pPr>
            <w:proofErr w:type="spellStart"/>
            <w:r w:rsidRPr="00DF4CE5">
              <w:rPr>
                <w:rFonts w:ascii="Cambria" w:hAnsi="Cambria" w:cstheme="minorHAnsi"/>
              </w:rPr>
              <w:t>Opća</w:t>
            </w:r>
            <w:proofErr w:type="spellEnd"/>
            <w:r w:rsidRPr="00DF4CE5">
              <w:rPr>
                <w:rFonts w:ascii="Cambria" w:hAnsi="Cambria" w:cstheme="minorHAnsi"/>
              </w:rPr>
              <w:t xml:space="preserve"> </w:t>
            </w:r>
            <w:proofErr w:type="spellStart"/>
            <w:r w:rsidRPr="00DF4CE5">
              <w:rPr>
                <w:rFonts w:ascii="Cambria" w:hAnsi="Cambria" w:cstheme="minorHAnsi"/>
              </w:rPr>
              <w:t>psihologija</w:t>
            </w:r>
            <w:proofErr w:type="spellEnd"/>
            <w:r w:rsidRPr="00DF4CE5">
              <w:rPr>
                <w:rFonts w:ascii="Cambria" w:hAnsi="Cambria" w:cstheme="minorHAnsi"/>
              </w:rPr>
              <w:t xml:space="preserve">, </w:t>
            </w:r>
            <w:proofErr w:type="spellStart"/>
            <w:r w:rsidRPr="00DF4CE5">
              <w:rPr>
                <w:rFonts w:ascii="Cambria" w:hAnsi="Cambria" w:cstheme="minorHAnsi"/>
              </w:rPr>
              <w:t>Filozofija</w:t>
            </w:r>
            <w:proofErr w:type="spellEnd"/>
            <w:r w:rsidRPr="00DF4CE5">
              <w:rPr>
                <w:rFonts w:ascii="Cambria" w:hAnsi="Cambria" w:cstheme="minorHAnsi"/>
              </w:rPr>
              <w:t xml:space="preserve"> </w:t>
            </w:r>
            <w:proofErr w:type="spellStart"/>
            <w:r w:rsidRPr="00DF4CE5">
              <w:rPr>
                <w:rFonts w:ascii="Cambria" w:hAnsi="Cambria" w:cstheme="minorHAnsi"/>
              </w:rPr>
              <w:t>odgoja</w:t>
            </w:r>
            <w:proofErr w:type="spellEnd"/>
            <w:r w:rsidRPr="00DF4CE5">
              <w:rPr>
                <w:rFonts w:ascii="Cambria" w:hAnsi="Cambria" w:cstheme="minorHAnsi"/>
              </w:rPr>
              <w:t xml:space="preserve">, </w:t>
            </w:r>
            <w:proofErr w:type="spellStart"/>
            <w:r w:rsidRPr="00DF4CE5">
              <w:rPr>
                <w:rFonts w:ascii="Cambria" w:hAnsi="Cambria" w:cstheme="minorHAnsi"/>
              </w:rPr>
              <w:t>Sociologija</w:t>
            </w:r>
            <w:proofErr w:type="spellEnd"/>
            <w:r w:rsidRPr="00DF4CE5">
              <w:rPr>
                <w:rFonts w:ascii="Cambria" w:hAnsi="Cambria" w:cstheme="minorHAnsi"/>
              </w:rPr>
              <w:t xml:space="preserve"> </w:t>
            </w:r>
            <w:proofErr w:type="spellStart"/>
            <w:r w:rsidRPr="00DF4CE5">
              <w:rPr>
                <w:rFonts w:ascii="Cambria" w:hAnsi="Cambria" w:cstheme="minorHAnsi"/>
              </w:rPr>
              <w:t>odgoja</w:t>
            </w:r>
            <w:proofErr w:type="spellEnd"/>
            <w:r w:rsidRPr="00DF4CE5">
              <w:rPr>
                <w:rFonts w:ascii="Cambria" w:hAnsi="Cambria" w:cstheme="minorHAnsi"/>
              </w:rPr>
              <w:t xml:space="preserve"> </w:t>
            </w:r>
            <w:proofErr w:type="spellStart"/>
            <w:r w:rsidRPr="00DF4CE5">
              <w:rPr>
                <w:rFonts w:ascii="Cambria" w:hAnsi="Cambria" w:cstheme="minorHAnsi"/>
              </w:rPr>
              <w:t>i</w:t>
            </w:r>
            <w:proofErr w:type="spellEnd"/>
            <w:r w:rsidRPr="00DF4CE5">
              <w:rPr>
                <w:rFonts w:ascii="Cambria" w:hAnsi="Cambria" w:cstheme="minorHAnsi"/>
              </w:rPr>
              <w:t xml:space="preserve"> </w:t>
            </w:r>
            <w:proofErr w:type="spellStart"/>
            <w:r w:rsidRPr="00DF4CE5">
              <w:rPr>
                <w:rFonts w:ascii="Cambria" w:hAnsi="Cambria" w:cstheme="minorHAnsi"/>
              </w:rPr>
              <w:t>obrazovanja</w:t>
            </w:r>
            <w:proofErr w:type="spellEnd"/>
            <w:r w:rsidRPr="00DF4CE5">
              <w:rPr>
                <w:rFonts w:ascii="Cambria" w:hAnsi="Cambria" w:cstheme="minorHAnsi"/>
              </w:rPr>
              <w:t xml:space="preserve">, </w:t>
            </w:r>
            <w:proofErr w:type="spellStart"/>
            <w:r w:rsidRPr="00DF4CE5">
              <w:rPr>
                <w:rFonts w:ascii="Cambria" w:hAnsi="Cambria" w:cstheme="minorHAnsi"/>
              </w:rPr>
              <w:t>Obiteljska</w:t>
            </w:r>
            <w:proofErr w:type="spellEnd"/>
            <w:r w:rsidRPr="00DF4CE5">
              <w:rPr>
                <w:rFonts w:ascii="Cambria" w:hAnsi="Cambria" w:cstheme="minorHAnsi"/>
              </w:rPr>
              <w:t xml:space="preserve"> </w:t>
            </w:r>
            <w:proofErr w:type="spellStart"/>
            <w:r w:rsidRPr="00DF4CE5">
              <w:rPr>
                <w:rFonts w:ascii="Cambria" w:hAnsi="Cambria" w:cstheme="minorHAnsi"/>
              </w:rPr>
              <w:t>pedagogija</w:t>
            </w:r>
            <w:proofErr w:type="spellEnd"/>
          </w:p>
        </w:tc>
      </w:tr>
      <w:tr w:rsidR="00354E46" w:rsidRPr="00DF4CE5" w14:paraId="6BFC9C53" w14:textId="77777777" w:rsidTr="00354E46">
        <w:tc>
          <w:tcPr>
            <w:tcW w:w="26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FAFF70B" w14:textId="77777777" w:rsidR="00354E46" w:rsidRPr="00DF4CE5" w:rsidRDefault="00354E46">
            <w:pPr>
              <w:spacing w:after="0" w:line="240" w:lineRule="auto"/>
              <w:rPr>
                <w:rFonts w:ascii="Cambria" w:hAnsi="Cambria" w:cstheme="minorHAnsi"/>
              </w:rPr>
            </w:pPr>
            <w:proofErr w:type="spellStart"/>
            <w:r w:rsidRPr="00DF4CE5">
              <w:rPr>
                <w:rFonts w:ascii="Cambria" w:hAnsi="Cambria" w:cstheme="minorHAnsi"/>
              </w:rPr>
              <w:t>Cilj</w:t>
            </w:r>
            <w:proofErr w:type="spellEnd"/>
            <w:r w:rsidRPr="00DF4CE5">
              <w:rPr>
                <w:rFonts w:ascii="Cambria" w:hAnsi="Cambria" w:cstheme="minorHAnsi"/>
              </w:rPr>
              <w:t xml:space="preserve"> </w:t>
            </w:r>
            <w:proofErr w:type="spellStart"/>
            <w:r w:rsidRPr="00DF4CE5">
              <w:rPr>
                <w:rFonts w:ascii="Cambria" w:hAnsi="Cambria" w:cstheme="minorHAnsi"/>
              </w:rPr>
              <w:t>kolegija</w:t>
            </w:r>
            <w:proofErr w:type="spellEnd"/>
            <w:r w:rsidRPr="00DF4CE5">
              <w:rPr>
                <w:rFonts w:ascii="Cambria" w:hAnsi="Cambria" w:cstheme="minorHAnsi"/>
              </w:rPr>
              <w:t xml:space="preserve"> </w:t>
            </w:r>
          </w:p>
        </w:tc>
        <w:tc>
          <w:tcPr>
            <w:tcW w:w="6731"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CA5495E" w14:textId="77777777" w:rsidR="00354E46" w:rsidRPr="00DF4CE5" w:rsidRDefault="00354E46">
            <w:pPr>
              <w:spacing w:after="0" w:line="240" w:lineRule="auto"/>
              <w:rPr>
                <w:rFonts w:ascii="Cambria" w:hAnsi="Cambria" w:cstheme="minorHAnsi"/>
              </w:rPr>
            </w:pPr>
            <w:proofErr w:type="spellStart"/>
            <w:r w:rsidRPr="00DF4CE5">
              <w:rPr>
                <w:rFonts w:ascii="Cambria" w:hAnsi="Cambria" w:cstheme="minorHAnsi"/>
              </w:rPr>
              <w:t>usvojiti</w:t>
            </w:r>
            <w:proofErr w:type="spellEnd"/>
            <w:r w:rsidRPr="00DF4CE5">
              <w:rPr>
                <w:rFonts w:ascii="Cambria" w:hAnsi="Cambria" w:cstheme="minorHAnsi"/>
              </w:rPr>
              <w:t xml:space="preserve"> </w:t>
            </w:r>
            <w:proofErr w:type="spellStart"/>
            <w:r w:rsidRPr="00DF4CE5">
              <w:rPr>
                <w:rFonts w:ascii="Cambria" w:hAnsi="Cambria" w:cstheme="minorHAnsi"/>
              </w:rPr>
              <w:t>kompetencije</w:t>
            </w:r>
            <w:proofErr w:type="spellEnd"/>
            <w:r w:rsidRPr="00DF4CE5">
              <w:rPr>
                <w:rFonts w:ascii="Cambria" w:hAnsi="Cambria" w:cstheme="minorHAnsi"/>
              </w:rPr>
              <w:t xml:space="preserve"> za </w:t>
            </w:r>
            <w:proofErr w:type="spellStart"/>
            <w:r w:rsidRPr="00DF4CE5">
              <w:rPr>
                <w:rFonts w:ascii="Cambria" w:hAnsi="Cambria" w:cstheme="minorHAnsi"/>
              </w:rPr>
              <w:t>analiziranje</w:t>
            </w:r>
            <w:proofErr w:type="spellEnd"/>
            <w:r w:rsidRPr="00DF4CE5">
              <w:rPr>
                <w:rFonts w:ascii="Cambria" w:hAnsi="Cambria" w:cstheme="minorHAnsi"/>
              </w:rPr>
              <w:t xml:space="preserve"> </w:t>
            </w:r>
            <w:proofErr w:type="spellStart"/>
            <w:r w:rsidRPr="00DF4CE5">
              <w:rPr>
                <w:rFonts w:ascii="Cambria" w:hAnsi="Cambria" w:cstheme="minorHAnsi"/>
              </w:rPr>
              <w:t>temeljnih</w:t>
            </w:r>
            <w:proofErr w:type="spellEnd"/>
            <w:r w:rsidRPr="00DF4CE5">
              <w:rPr>
                <w:rFonts w:ascii="Cambria" w:hAnsi="Cambria" w:cstheme="minorHAnsi"/>
              </w:rPr>
              <w:t xml:space="preserve"> </w:t>
            </w:r>
            <w:proofErr w:type="spellStart"/>
            <w:r w:rsidRPr="00DF4CE5">
              <w:rPr>
                <w:rFonts w:ascii="Cambria" w:hAnsi="Cambria" w:cstheme="minorHAnsi"/>
              </w:rPr>
              <w:t>pedagogijskih</w:t>
            </w:r>
            <w:proofErr w:type="spellEnd"/>
            <w:r w:rsidRPr="00DF4CE5">
              <w:rPr>
                <w:rFonts w:ascii="Cambria" w:hAnsi="Cambria" w:cstheme="minorHAnsi"/>
              </w:rPr>
              <w:t xml:space="preserve"> </w:t>
            </w:r>
            <w:proofErr w:type="spellStart"/>
            <w:r w:rsidRPr="00DF4CE5">
              <w:rPr>
                <w:rFonts w:ascii="Cambria" w:hAnsi="Cambria" w:cstheme="minorHAnsi"/>
              </w:rPr>
              <w:t>pojmova</w:t>
            </w:r>
            <w:proofErr w:type="spellEnd"/>
            <w:r w:rsidRPr="00DF4CE5">
              <w:rPr>
                <w:rFonts w:ascii="Cambria" w:hAnsi="Cambria" w:cstheme="minorHAnsi"/>
              </w:rPr>
              <w:t xml:space="preserve"> </w:t>
            </w:r>
            <w:proofErr w:type="spellStart"/>
            <w:r w:rsidRPr="00DF4CE5">
              <w:rPr>
                <w:rFonts w:ascii="Cambria" w:hAnsi="Cambria" w:cstheme="minorHAnsi"/>
              </w:rPr>
              <w:t>radi</w:t>
            </w:r>
            <w:proofErr w:type="spellEnd"/>
            <w:r w:rsidRPr="00DF4CE5">
              <w:rPr>
                <w:rFonts w:ascii="Cambria" w:hAnsi="Cambria" w:cstheme="minorHAnsi"/>
              </w:rPr>
              <w:t xml:space="preserve"> </w:t>
            </w:r>
            <w:proofErr w:type="spellStart"/>
            <w:r w:rsidRPr="00DF4CE5">
              <w:rPr>
                <w:rFonts w:ascii="Cambria" w:hAnsi="Cambria" w:cstheme="minorHAnsi"/>
              </w:rPr>
              <w:t>njihovog</w:t>
            </w:r>
            <w:proofErr w:type="spellEnd"/>
            <w:r w:rsidRPr="00DF4CE5">
              <w:rPr>
                <w:rFonts w:ascii="Cambria" w:hAnsi="Cambria" w:cstheme="minorHAnsi"/>
              </w:rPr>
              <w:t xml:space="preserve"> </w:t>
            </w:r>
            <w:proofErr w:type="spellStart"/>
            <w:r w:rsidRPr="00DF4CE5">
              <w:rPr>
                <w:rFonts w:ascii="Cambria" w:hAnsi="Cambria" w:cstheme="minorHAnsi"/>
              </w:rPr>
              <w:t>implementiranja</w:t>
            </w:r>
            <w:proofErr w:type="spellEnd"/>
            <w:r w:rsidRPr="00DF4CE5">
              <w:rPr>
                <w:rFonts w:ascii="Cambria" w:hAnsi="Cambria" w:cstheme="minorHAnsi"/>
              </w:rPr>
              <w:t xml:space="preserve"> u </w:t>
            </w:r>
            <w:proofErr w:type="spellStart"/>
            <w:r w:rsidRPr="00DF4CE5">
              <w:rPr>
                <w:rFonts w:ascii="Cambria" w:hAnsi="Cambria" w:cstheme="minorHAnsi"/>
              </w:rPr>
              <w:t>odgojno-obrazovni</w:t>
            </w:r>
            <w:proofErr w:type="spellEnd"/>
            <w:r w:rsidRPr="00DF4CE5">
              <w:rPr>
                <w:rFonts w:ascii="Cambria" w:hAnsi="Cambria" w:cstheme="minorHAnsi"/>
              </w:rPr>
              <w:t xml:space="preserve"> </w:t>
            </w:r>
            <w:proofErr w:type="spellStart"/>
            <w:r w:rsidRPr="00DF4CE5">
              <w:rPr>
                <w:rFonts w:ascii="Cambria" w:hAnsi="Cambria" w:cstheme="minorHAnsi"/>
              </w:rPr>
              <w:t>sustav</w:t>
            </w:r>
            <w:proofErr w:type="spellEnd"/>
            <w:r w:rsidRPr="00DF4CE5">
              <w:rPr>
                <w:rFonts w:ascii="Cambria" w:hAnsi="Cambria" w:cstheme="minorHAnsi"/>
              </w:rPr>
              <w:t xml:space="preserve"> </w:t>
            </w:r>
            <w:proofErr w:type="spellStart"/>
            <w:r w:rsidRPr="00DF4CE5">
              <w:rPr>
                <w:rFonts w:ascii="Cambria" w:hAnsi="Cambria" w:cstheme="minorHAnsi"/>
              </w:rPr>
              <w:t>i</w:t>
            </w:r>
            <w:proofErr w:type="spellEnd"/>
            <w:r w:rsidRPr="00DF4CE5">
              <w:rPr>
                <w:rFonts w:ascii="Cambria" w:hAnsi="Cambria" w:cstheme="minorHAnsi"/>
              </w:rPr>
              <w:t xml:space="preserve"> </w:t>
            </w:r>
            <w:proofErr w:type="spellStart"/>
            <w:r w:rsidRPr="00DF4CE5">
              <w:rPr>
                <w:rFonts w:ascii="Cambria" w:hAnsi="Cambria" w:cstheme="minorHAnsi"/>
              </w:rPr>
              <w:t>integriranja</w:t>
            </w:r>
            <w:proofErr w:type="spellEnd"/>
            <w:r w:rsidRPr="00DF4CE5">
              <w:rPr>
                <w:rFonts w:ascii="Cambria" w:hAnsi="Cambria" w:cstheme="minorHAnsi"/>
              </w:rPr>
              <w:t xml:space="preserve"> u </w:t>
            </w:r>
            <w:proofErr w:type="spellStart"/>
            <w:r w:rsidRPr="00DF4CE5">
              <w:rPr>
                <w:rFonts w:ascii="Cambria" w:hAnsi="Cambria" w:cstheme="minorHAnsi"/>
              </w:rPr>
              <w:t>kontekst</w:t>
            </w:r>
            <w:proofErr w:type="spellEnd"/>
            <w:r w:rsidRPr="00DF4CE5">
              <w:rPr>
                <w:rFonts w:ascii="Cambria" w:hAnsi="Cambria" w:cstheme="minorHAnsi"/>
              </w:rPr>
              <w:t xml:space="preserve"> </w:t>
            </w:r>
            <w:proofErr w:type="spellStart"/>
            <w:r w:rsidRPr="00DF4CE5">
              <w:rPr>
                <w:rFonts w:ascii="Cambria" w:hAnsi="Cambria" w:cstheme="minorHAnsi"/>
              </w:rPr>
              <w:t>cjeloživotnog</w:t>
            </w:r>
            <w:proofErr w:type="spellEnd"/>
            <w:r w:rsidRPr="00DF4CE5">
              <w:rPr>
                <w:rFonts w:ascii="Cambria" w:hAnsi="Cambria" w:cstheme="minorHAnsi"/>
              </w:rPr>
              <w:t xml:space="preserve"> </w:t>
            </w:r>
            <w:proofErr w:type="spellStart"/>
            <w:r w:rsidRPr="00DF4CE5">
              <w:rPr>
                <w:rFonts w:ascii="Cambria" w:hAnsi="Cambria" w:cstheme="minorHAnsi"/>
              </w:rPr>
              <w:t>učenja</w:t>
            </w:r>
            <w:proofErr w:type="spellEnd"/>
          </w:p>
        </w:tc>
      </w:tr>
      <w:tr w:rsidR="00354E46" w:rsidRPr="00DF4CE5" w14:paraId="1B15B36D" w14:textId="77777777" w:rsidTr="00354E46">
        <w:tc>
          <w:tcPr>
            <w:tcW w:w="26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505FBAF" w14:textId="77777777" w:rsidR="00354E46" w:rsidRPr="00DF4CE5" w:rsidRDefault="00354E46">
            <w:pPr>
              <w:spacing w:after="0" w:line="240" w:lineRule="auto"/>
              <w:rPr>
                <w:rFonts w:ascii="Cambria" w:hAnsi="Cambria" w:cstheme="minorHAnsi"/>
              </w:rPr>
            </w:pPr>
            <w:proofErr w:type="spellStart"/>
            <w:r w:rsidRPr="00DF4CE5">
              <w:rPr>
                <w:rFonts w:ascii="Cambria" w:hAnsi="Cambria" w:cstheme="minorHAnsi"/>
              </w:rPr>
              <w:t>Ishodi</w:t>
            </w:r>
            <w:proofErr w:type="spellEnd"/>
            <w:r w:rsidRPr="00DF4CE5">
              <w:rPr>
                <w:rFonts w:ascii="Cambria" w:hAnsi="Cambria" w:cstheme="minorHAnsi"/>
              </w:rPr>
              <w:t xml:space="preserve"> </w:t>
            </w:r>
            <w:proofErr w:type="spellStart"/>
            <w:r w:rsidRPr="00DF4CE5">
              <w:rPr>
                <w:rFonts w:ascii="Cambria" w:hAnsi="Cambria" w:cstheme="minorHAnsi"/>
              </w:rPr>
              <w:t>učenja</w:t>
            </w:r>
            <w:proofErr w:type="spellEnd"/>
          </w:p>
        </w:tc>
        <w:tc>
          <w:tcPr>
            <w:tcW w:w="6731"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1955931" w14:textId="77777777" w:rsidR="00354E46" w:rsidRPr="00DF4CE5" w:rsidRDefault="00354E46">
            <w:pPr>
              <w:spacing w:after="0" w:line="240" w:lineRule="auto"/>
              <w:rPr>
                <w:rFonts w:ascii="Cambria" w:hAnsi="Cambria" w:cstheme="minorHAnsi"/>
                <w:lang w:val="it-IT"/>
              </w:rPr>
            </w:pPr>
            <w:r w:rsidRPr="00DF4CE5">
              <w:rPr>
                <w:rFonts w:ascii="Cambria" w:hAnsi="Cambria" w:cstheme="minorHAnsi"/>
                <w:lang w:val="it-IT"/>
              </w:rPr>
              <w:t xml:space="preserve">1. </w:t>
            </w:r>
            <w:proofErr w:type="spellStart"/>
            <w:r w:rsidRPr="00DF4CE5">
              <w:rPr>
                <w:rFonts w:ascii="Cambria" w:hAnsi="Cambria" w:cstheme="minorHAnsi"/>
                <w:lang w:val="it-IT"/>
              </w:rPr>
              <w:t>analizirati</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temeljne</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pojmove</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pedagogije</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kao</w:t>
            </w:r>
            <w:proofErr w:type="spellEnd"/>
            <w:r w:rsidRPr="00DF4CE5">
              <w:rPr>
                <w:rFonts w:ascii="Cambria" w:hAnsi="Cambria" w:cstheme="minorHAnsi"/>
                <w:lang w:val="it-IT"/>
              </w:rPr>
              <w:t xml:space="preserve"> i </w:t>
            </w:r>
            <w:proofErr w:type="spellStart"/>
            <w:r w:rsidRPr="00DF4CE5">
              <w:rPr>
                <w:rFonts w:ascii="Cambria" w:hAnsi="Cambria" w:cstheme="minorHAnsi"/>
                <w:lang w:val="it-IT"/>
              </w:rPr>
              <w:t>interdisciplinarni</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pristup</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pedagogijskoj</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znanosti</w:t>
            </w:r>
            <w:proofErr w:type="spellEnd"/>
          </w:p>
          <w:p w14:paraId="398B86DE" w14:textId="77777777" w:rsidR="00354E46" w:rsidRPr="00DF4CE5" w:rsidRDefault="00354E46">
            <w:pPr>
              <w:spacing w:after="0" w:line="240" w:lineRule="auto"/>
              <w:rPr>
                <w:rFonts w:ascii="Cambria" w:hAnsi="Cambria" w:cstheme="minorHAnsi"/>
                <w:lang w:val="it-IT"/>
              </w:rPr>
            </w:pPr>
            <w:r w:rsidRPr="00DF4CE5">
              <w:rPr>
                <w:rFonts w:ascii="Cambria" w:hAnsi="Cambria" w:cstheme="minorHAnsi"/>
                <w:lang w:val="it-IT"/>
              </w:rPr>
              <w:t xml:space="preserve">2. </w:t>
            </w:r>
            <w:proofErr w:type="spellStart"/>
            <w:r w:rsidRPr="00DF4CE5">
              <w:rPr>
                <w:rFonts w:ascii="Cambria" w:hAnsi="Cambria" w:cstheme="minorHAnsi"/>
                <w:lang w:val="it-IT"/>
              </w:rPr>
              <w:t>interpretirati</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kompetencije</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učitelja</w:t>
            </w:r>
            <w:proofErr w:type="spellEnd"/>
            <w:r w:rsidRPr="00DF4CE5">
              <w:rPr>
                <w:rFonts w:ascii="Cambria" w:hAnsi="Cambria" w:cstheme="minorHAnsi"/>
                <w:lang w:val="it-IT"/>
              </w:rPr>
              <w:t xml:space="preserve"> u </w:t>
            </w:r>
            <w:proofErr w:type="spellStart"/>
            <w:r w:rsidRPr="00DF4CE5">
              <w:rPr>
                <w:rFonts w:ascii="Cambria" w:hAnsi="Cambria" w:cstheme="minorHAnsi"/>
                <w:lang w:val="it-IT"/>
              </w:rPr>
              <w:t>kontekstu</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cjeloživotnog</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učenja</w:t>
            </w:r>
            <w:proofErr w:type="spellEnd"/>
          </w:p>
          <w:p w14:paraId="38C1B2DD" w14:textId="77777777" w:rsidR="00354E46" w:rsidRPr="00DF4CE5" w:rsidRDefault="00354E46">
            <w:pPr>
              <w:spacing w:after="0" w:line="240" w:lineRule="auto"/>
              <w:rPr>
                <w:rFonts w:ascii="Cambria" w:hAnsi="Cambria" w:cstheme="minorHAnsi"/>
                <w:lang w:val="it-IT"/>
              </w:rPr>
            </w:pPr>
            <w:r w:rsidRPr="00DF4CE5">
              <w:rPr>
                <w:rFonts w:ascii="Cambria" w:hAnsi="Cambria" w:cstheme="minorHAnsi"/>
                <w:lang w:val="it-IT"/>
              </w:rPr>
              <w:t xml:space="preserve">3. </w:t>
            </w:r>
            <w:proofErr w:type="spellStart"/>
            <w:r w:rsidRPr="00DF4CE5">
              <w:rPr>
                <w:rFonts w:ascii="Cambria" w:hAnsi="Cambria" w:cstheme="minorHAnsi"/>
                <w:lang w:val="it-IT"/>
              </w:rPr>
              <w:t>istražiti</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komunikaciju</w:t>
            </w:r>
            <w:proofErr w:type="spellEnd"/>
            <w:r w:rsidRPr="00DF4CE5">
              <w:rPr>
                <w:rFonts w:ascii="Cambria" w:hAnsi="Cambria" w:cstheme="minorHAnsi"/>
                <w:lang w:val="it-IT"/>
              </w:rPr>
              <w:t xml:space="preserve"> u </w:t>
            </w:r>
            <w:proofErr w:type="spellStart"/>
            <w:r w:rsidRPr="00DF4CE5">
              <w:rPr>
                <w:rFonts w:ascii="Cambria" w:hAnsi="Cambria" w:cstheme="minorHAnsi"/>
                <w:lang w:val="it-IT"/>
              </w:rPr>
              <w:t>odgoju</w:t>
            </w:r>
            <w:proofErr w:type="spellEnd"/>
            <w:r w:rsidRPr="00DF4CE5">
              <w:rPr>
                <w:rFonts w:ascii="Cambria" w:hAnsi="Cambria" w:cstheme="minorHAnsi"/>
                <w:lang w:val="it-IT"/>
              </w:rPr>
              <w:t xml:space="preserve"> i </w:t>
            </w:r>
            <w:proofErr w:type="spellStart"/>
            <w:r w:rsidRPr="00DF4CE5">
              <w:rPr>
                <w:rFonts w:ascii="Cambria" w:hAnsi="Cambria" w:cstheme="minorHAnsi"/>
                <w:lang w:val="it-IT"/>
              </w:rPr>
              <w:t>obrazovanju</w:t>
            </w:r>
            <w:proofErr w:type="spellEnd"/>
          </w:p>
          <w:p w14:paraId="79F7954F" w14:textId="77777777" w:rsidR="00354E46" w:rsidRPr="00DF4CE5" w:rsidRDefault="00354E46">
            <w:pPr>
              <w:spacing w:after="0" w:line="240" w:lineRule="auto"/>
              <w:rPr>
                <w:rFonts w:ascii="Cambria" w:hAnsi="Cambria" w:cstheme="minorHAnsi"/>
                <w:lang w:val="it-IT"/>
              </w:rPr>
            </w:pPr>
            <w:r w:rsidRPr="00DF4CE5">
              <w:rPr>
                <w:rFonts w:ascii="Cambria" w:hAnsi="Cambria" w:cstheme="minorHAnsi"/>
                <w:lang w:val="it-IT"/>
              </w:rPr>
              <w:t xml:space="preserve">4. </w:t>
            </w:r>
            <w:proofErr w:type="spellStart"/>
            <w:r w:rsidRPr="00DF4CE5">
              <w:rPr>
                <w:rFonts w:ascii="Cambria" w:hAnsi="Cambria" w:cstheme="minorHAnsi"/>
                <w:lang w:val="it-IT"/>
              </w:rPr>
              <w:t>analizirati</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strukturu</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kurikuluma</w:t>
            </w:r>
            <w:proofErr w:type="spellEnd"/>
            <w:r w:rsidRPr="00DF4CE5">
              <w:rPr>
                <w:rFonts w:ascii="Cambria" w:hAnsi="Cambria" w:cstheme="minorHAnsi"/>
                <w:lang w:val="it-IT"/>
              </w:rPr>
              <w:t xml:space="preserve"> </w:t>
            </w:r>
          </w:p>
          <w:p w14:paraId="2A27ED6A" w14:textId="77777777" w:rsidR="00354E46" w:rsidRPr="00DF4CE5" w:rsidRDefault="00354E46">
            <w:pPr>
              <w:spacing w:after="0" w:line="240" w:lineRule="auto"/>
              <w:rPr>
                <w:rFonts w:ascii="Cambria" w:hAnsi="Cambria" w:cstheme="minorHAnsi"/>
                <w:lang w:val="it-IT"/>
              </w:rPr>
            </w:pPr>
            <w:r w:rsidRPr="00DF4CE5">
              <w:rPr>
                <w:rFonts w:ascii="Cambria" w:hAnsi="Cambria" w:cstheme="minorHAnsi"/>
                <w:lang w:val="it-IT"/>
              </w:rPr>
              <w:t xml:space="preserve">5. </w:t>
            </w:r>
            <w:proofErr w:type="spellStart"/>
            <w:r w:rsidRPr="00DF4CE5">
              <w:rPr>
                <w:rFonts w:ascii="Cambria" w:hAnsi="Cambria" w:cstheme="minorHAnsi"/>
                <w:lang w:val="it-IT"/>
              </w:rPr>
              <w:t>analizirati</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normativnu</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osnovu</w:t>
            </w:r>
            <w:proofErr w:type="spellEnd"/>
            <w:r w:rsidRPr="00DF4CE5">
              <w:rPr>
                <w:rFonts w:ascii="Cambria" w:hAnsi="Cambria" w:cstheme="minorHAnsi"/>
                <w:lang w:val="it-IT"/>
              </w:rPr>
              <w:t xml:space="preserve"> u </w:t>
            </w:r>
            <w:proofErr w:type="spellStart"/>
            <w:r w:rsidRPr="00DF4CE5">
              <w:rPr>
                <w:rFonts w:ascii="Cambria" w:hAnsi="Cambria" w:cstheme="minorHAnsi"/>
                <w:lang w:val="it-IT"/>
              </w:rPr>
              <w:t>odgoju</w:t>
            </w:r>
            <w:proofErr w:type="spellEnd"/>
            <w:r w:rsidRPr="00DF4CE5">
              <w:rPr>
                <w:rFonts w:ascii="Cambria" w:hAnsi="Cambria" w:cstheme="minorHAnsi"/>
                <w:lang w:val="it-IT"/>
              </w:rPr>
              <w:t xml:space="preserve"> i </w:t>
            </w:r>
            <w:proofErr w:type="spellStart"/>
            <w:r w:rsidRPr="00DF4CE5">
              <w:rPr>
                <w:rFonts w:ascii="Cambria" w:hAnsi="Cambria" w:cstheme="minorHAnsi"/>
                <w:lang w:val="it-IT"/>
              </w:rPr>
              <w:t>obrazovanju</w:t>
            </w:r>
            <w:proofErr w:type="spellEnd"/>
          </w:p>
          <w:p w14:paraId="58CBBCC5" w14:textId="77777777" w:rsidR="00354E46" w:rsidRPr="00DF4CE5" w:rsidRDefault="00354E46">
            <w:pPr>
              <w:spacing w:after="0" w:line="240" w:lineRule="auto"/>
              <w:rPr>
                <w:rFonts w:ascii="Cambria" w:hAnsi="Cambria" w:cstheme="minorHAnsi"/>
              </w:rPr>
            </w:pPr>
            <w:r w:rsidRPr="00DF4CE5">
              <w:rPr>
                <w:rFonts w:ascii="Cambria" w:hAnsi="Cambria" w:cstheme="minorHAnsi"/>
              </w:rPr>
              <w:t xml:space="preserve">6. </w:t>
            </w:r>
            <w:proofErr w:type="spellStart"/>
            <w:r w:rsidRPr="00DF4CE5">
              <w:rPr>
                <w:rFonts w:ascii="Cambria" w:hAnsi="Cambria" w:cstheme="minorHAnsi"/>
              </w:rPr>
              <w:t>raspravljati</w:t>
            </w:r>
            <w:proofErr w:type="spellEnd"/>
            <w:r w:rsidRPr="00DF4CE5">
              <w:rPr>
                <w:rFonts w:ascii="Cambria" w:hAnsi="Cambria" w:cstheme="minorHAnsi"/>
              </w:rPr>
              <w:t xml:space="preserve"> o </w:t>
            </w:r>
            <w:proofErr w:type="spellStart"/>
            <w:r w:rsidRPr="00DF4CE5">
              <w:rPr>
                <w:rFonts w:ascii="Cambria" w:hAnsi="Cambria" w:cstheme="minorHAnsi"/>
              </w:rPr>
              <w:t>alternativnim</w:t>
            </w:r>
            <w:proofErr w:type="spellEnd"/>
            <w:r w:rsidRPr="00DF4CE5">
              <w:rPr>
                <w:rFonts w:ascii="Cambria" w:hAnsi="Cambria" w:cstheme="minorHAnsi"/>
              </w:rPr>
              <w:t xml:space="preserve"> </w:t>
            </w:r>
            <w:proofErr w:type="spellStart"/>
            <w:r w:rsidRPr="00DF4CE5">
              <w:rPr>
                <w:rFonts w:ascii="Cambria" w:hAnsi="Cambria" w:cstheme="minorHAnsi"/>
              </w:rPr>
              <w:t>školama</w:t>
            </w:r>
            <w:proofErr w:type="spellEnd"/>
          </w:p>
        </w:tc>
      </w:tr>
      <w:tr w:rsidR="00354E46" w:rsidRPr="00DF4CE5" w14:paraId="7617621C" w14:textId="77777777" w:rsidTr="00354E46">
        <w:tc>
          <w:tcPr>
            <w:tcW w:w="2629"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2A91189E" w14:textId="77777777" w:rsidR="00354E46" w:rsidRPr="00DF4CE5" w:rsidRDefault="00354E46">
            <w:pPr>
              <w:spacing w:after="0" w:line="240" w:lineRule="auto"/>
              <w:rPr>
                <w:rFonts w:ascii="Cambria" w:hAnsi="Cambria" w:cstheme="minorHAnsi"/>
              </w:rPr>
            </w:pPr>
            <w:proofErr w:type="spellStart"/>
            <w:r w:rsidRPr="00DF4CE5">
              <w:rPr>
                <w:rFonts w:ascii="Cambria" w:hAnsi="Cambria" w:cstheme="minorHAnsi"/>
              </w:rPr>
              <w:t>Sadržaj</w:t>
            </w:r>
            <w:proofErr w:type="spellEnd"/>
            <w:r w:rsidRPr="00DF4CE5">
              <w:rPr>
                <w:rFonts w:ascii="Cambria" w:hAnsi="Cambria" w:cstheme="minorHAnsi"/>
              </w:rPr>
              <w:t xml:space="preserve"> </w:t>
            </w:r>
            <w:proofErr w:type="spellStart"/>
            <w:r w:rsidRPr="00DF4CE5">
              <w:rPr>
                <w:rFonts w:ascii="Cambria" w:hAnsi="Cambria" w:cstheme="minorHAnsi"/>
              </w:rPr>
              <w:t>kolegija</w:t>
            </w:r>
            <w:proofErr w:type="spellEnd"/>
          </w:p>
        </w:tc>
        <w:tc>
          <w:tcPr>
            <w:tcW w:w="6731"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B6A2BD5" w14:textId="77777777" w:rsidR="00354E46" w:rsidRPr="00DF4CE5" w:rsidRDefault="00354E46">
            <w:pPr>
              <w:spacing w:after="0" w:line="240" w:lineRule="auto"/>
              <w:rPr>
                <w:rFonts w:ascii="Cambria" w:hAnsi="Cambria" w:cstheme="minorHAnsi"/>
                <w:lang w:val="it-IT"/>
              </w:rPr>
            </w:pPr>
            <w:r w:rsidRPr="00DF4CE5">
              <w:rPr>
                <w:rFonts w:ascii="Cambria" w:hAnsi="Cambria" w:cstheme="minorHAnsi"/>
                <w:lang w:val="it-IT"/>
              </w:rPr>
              <w:t xml:space="preserve">1. </w:t>
            </w:r>
            <w:proofErr w:type="spellStart"/>
            <w:r w:rsidRPr="00DF4CE5">
              <w:rPr>
                <w:rFonts w:ascii="Cambria" w:hAnsi="Cambria" w:cstheme="minorHAnsi"/>
                <w:lang w:val="it-IT"/>
              </w:rPr>
              <w:t>Temeljni</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pojmovi</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pedagogije</w:t>
            </w:r>
            <w:proofErr w:type="spellEnd"/>
            <w:r w:rsidRPr="00DF4CE5">
              <w:rPr>
                <w:rFonts w:ascii="Cambria" w:hAnsi="Cambria" w:cstheme="minorHAnsi"/>
                <w:lang w:val="it-IT"/>
              </w:rPr>
              <w:t xml:space="preserve"> </w:t>
            </w:r>
          </w:p>
          <w:p w14:paraId="53205A54" w14:textId="77777777" w:rsidR="00354E46" w:rsidRPr="00DF4CE5" w:rsidRDefault="00354E46">
            <w:pPr>
              <w:spacing w:after="0" w:line="240" w:lineRule="auto"/>
              <w:rPr>
                <w:rFonts w:ascii="Cambria" w:hAnsi="Cambria" w:cstheme="minorHAnsi"/>
                <w:lang w:val="it-IT"/>
              </w:rPr>
            </w:pPr>
            <w:r w:rsidRPr="00DF4CE5">
              <w:rPr>
                <w:rFonts w:ascii="Cambria" w:hAnsi="Cambria" w:cstheme="minorHAnsi"/>
                <w:lang w:val="it-IT"/>
              </w:rPr>
              <w:t xml:space="preserve">2. </w:t>
            </w:r>
            <w:proofErr w:type="spellStart"/>
            <w:r w:rsidRPr="00DF4CE5">
              <w:rPr>
                <w:rFonts w:ascii="Cambria" w:hAnsi="Cambria" w:cstheme="minorHAnsi"/>
                <w:lang w:val="it-IT"/>
              </w:rPr>
              <w:t>Interdisciplinarni</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pristup</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pedagogijskoj</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znanosti</w:t>
            </w:r>
            <w:proofErr w:type="spellEnd"/>
          </w:p>
          <w:p w14:paraId="1B361B17" w14:textId="77777777" w:rsidR="00354E46" w:rsidRPr="00DF4CE5" w:rsidRDefault="00354E46">
            <w:pPr>
              <w:spacing w:after="0" w:line="240" w:lineRule="auto"/>
              <w:rPr>
                <w:rFonts w:ascii="Cambria" w:hAnsi="Cambria" w:cstheme="minorHAnsi"/>
              </w:rPr>
            </w:pPr>
            <w:r w:rsidRPr="00DF4CE5">
              <w:rPr>
                <w:rFonts w:ascii="Cambria" w:hAnsi="Cambria" w:cstheme="minorHAnsi"/>
              </w:rPr>
              <w:t xml:space="preserve">3. </w:t>
            </w:r>
            <w:proofErr w:type="spellStart"/>
            <w:r w:rsidRPr="00DF4CE5">
              <w:rPr>
                <w:rFonts w:ascii="Cambria" w:hAnsi="Cambria" w:cstheme="minorHAnsi"/>
              </w:rPr>
              <w:t>Karakteristike</w:t>
            </w:r>
            <w:proofErr w:type="spellEnd"/>
            <w:r w:rsidRPr="00DF4CE5">
              <w:rPr>
                <w:rFonts w:ascii="Cambria" w:hAnsi="Cambria" w:cstheme="minorHAnsi"/>
              </w:rPr>
              <w:t xml:space="preserve"> </w:t>
            </w:r>
            <w:proofErr w:type="spellStart"/>
            <w:r w:rsidRPr="00DF4CE5">
              <w:rPr>
                <w:rFonts w:ascii="Cambria" w:hAnsi="Cambria" w:cstheme="minorHAnsi"/>
              </w:rPr>
              <w:t>odgojnih</w:t>
            </w:r>
            <w:proofErr w:type="spellEnd"/>
            <w:r w:rsidRPr="00DF4CE5">
              <w:rPr>
                <w:rFonts w:ascii="Cambria" w:hAnsi="Cambria" w:cstheme="minorHAnsi"/>
              </w:rPr>
              <w:t xml:space="preserve"> </w:t>
            </w:r>
            <w:proofErr w:type="spellStart"/>
            <w:r w:rsidRPr="00DF4CE5">
              <w:rPr>
                <w:rFonts w:ascii="Cambria" w:hAnsi="Cambria" w:cstheme="minorHAnsi"/>
              </w:rPr>
              <w:t>sredina</w:t>
            </w:r>
            <w:proofErr w:type="spellEnd"/>
            <w:r w:rsidRPr="00DF4CE5">
              <w:rPr>
                <w:rFonts w:ascii="Cambria" w:hAnsi="Cambria" w:cstheme="minorHAnsi"/>
              </w:rPr>
              <w:t xml:space="preserve"> </w:t>
            </w:r>
            <w:proofErr w:type="spellStart"/>
            <w:r w:rsidRPr="00DF4CE5">
              <w:rPr>
                <w:rFonts w:ascii="Cambria" w:hAnsi="Cambria" w:cstheme="minorHAnsi"/>
              </w:rPr>
              <w:t>i</w:t>
            </w:r>
            <w:proofErr w:type="spellEnd"/>
            <w:r w:rsidRPr="00DF4CE5">
              <w:rPr>
                <w:rFonts w:ascii="Cambria" w:hAnsi="Cambria" w:cstheme="minorHAnsi"/>
              </w:rPr>
              <w:t xml:space="preserve"> </w:t>
            </w:r>
            <w:proofErr w:type="spellStart"/>
            <w:r w:rsidRPr="00DF4CE5">
              <w:rPr>
                <w:rFonts w:ascii="Cambria" w:hAnsi="Cambria" w:cstheme="minorHAnsi"/>
              </w:rPr>
              <w:t>institucionalnog</w:t>
            </w:r>
            <w:proofErr w:type="spellEnd"/>
            <w:r w:rsidRPr="00DF4CE5">
              <w:rPr>
                <w:rFonts w:ascii="Cambria" w:hAnsi="Cambria" w:cstheme="minorHAnsi"/>
              </w:rPr>
              <w:t xml:space="preserve"> </w:t>
            </w:r>
            <w:proofErr w:type="spellStart"/>
            <w:r w:rsidRPr="00DF4CE5">
              <w:rPr>
                <w:rFonts w:ascii="Cambria" w:hAnsi="Cambria" w:cstheme="minorHAnsi"/>
              </w:rPr>
              <w:t>odgoja</w:t>
            </w:r>
            <w:proofErr w:type="spellEnd"/>
          </w:p>
          <w:p w14:paraId="68B9549A" w14:textId="77777777" w:rsidR="00B13415" w:rsidRPr="00DF4CE5" w:rsidRDefault="00354E46">
            <w:pPr>
              <w:spacing w:after="0" w:line="240" w:lineRule="auto"/>
              <w:rPr>
                <w:rFonts w:ascii="Cambria" w:hAnsi="Cambria" w:cstheme="minorHAnsi"/>
                <w:lang w:val="it-IT"/>
              </w:rPr>
            </w:pPr>
            <w:r w:rsidRPr="00DF4CE5">
              <w:rPr>
                <w:rFonts w:ascii="Cambria" w:hAnsi="Cambria" w:cstheme="minorHAnsi"/>
                <w:lang w:val="it-IT"/>
              </w:rPr>
              <w:t xml:space="preserve">4. </w:t>
            </w:r>
            <w:proofErr w:type="spellStart"/>
            <w:r w:rsidRPr="00DF4CE5">
              <w:rPr>
                <w:rFonts w:ascii="Cambria" w:hAnsi="Cambria" w:cstheme="minorHAnsi"/>
                <w:lang w:val="it-IT"/>
              </w:rPr>
              <w:t>Kompetencije</w:t>
            </w:r>
            <w:proofErr w:type="spellEnd"/>
            <w:r w:rsidRPr="00DF4CE5">
              <w:rPr>
                <w:rFonts w:ascii="Cambria" w:hAnsi="Cambria" w:cstheme="minorHAnsi"/>
                <w:lang w:val="it-IT"/>
              </w:rPr>
              <w:t xml:space="preserve"> i </w:t>
            </w:r>
            <w:proofErr w:type="spellStart"/>
            <w:r w:rsidRPr="00DF4CE5">
              <w:rPr>
                <w:rFonts w:ascii="Cambria" w:hAnsi="Cambria" w:cstheme="minorHAnsi"/>
                <w:lang w:val="it-IT"/>
              </w:rPr>
              <w:t>uloga</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učitelja</w:t>
            </w:r>
            <w:proofErr w:type="spellEnd"/>
            <w:r w:rsidRPr="00DF4CE5">
              <w:rPr>
                <w:rFonts w:ascii="Cambria" w:hAnsi="Cambria" w:cstheme="minorHAnsi"/>
                <w:lang w:val="it-IT"/>
              </w:rPr>
              <w:t xml:space="preserve"> i </w:t>
            </w:r>
            <w:proofErr w:type="spellStart"/>
            <w:r w:rsidRPr="00DF4CE5">
              <w:rPr>
                <w:rFonts w:ascii="Cambria" w:hAnsi="Cambria" w:cstheme="minorHAnsi"/>
                <w:lang w:val="it-IT"/>
              </w:rPr>
              <w:t>drugih</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dionika</w:t>
            </w:r>
            <w:proofErr w:type="spellEnd"/>
            <w:r w:rsidRPr="00DF4CE5">
              <w:rPr>
                <w:rFonts w:ascii="Cambria" w:hAnsi="Cambria" w:cstheme="minorHAnsi"/>
                <w:lang w:val="it-IT"/>
              </w:rPr>
              <w:t xml:space="preserve"> u </w:t>
            </w:r>
            <w:proofErr w:type="spellStart"/>
            <w:r w:rsidRPr="00DF4CE5">
              <w:rPr>
                <w:rFonts w:ascii="Cambria" w:hAnsi="Cambria" w:cstheme="minorHAnsi"/>
                <w:lang w:val="it-IT"/>
              </w:rPr>
              <w:t>odgoju</w:t>
            </w:r>
            <w:proofErr w:type="spellEnd"/>
            <w:r w:rsidRPr="00DF4CE5">
              <w:rPr>
                <w:rFonts w:ascii="Cambria" w:hAnsi="Cambria" w:cstheme="minorHAnsi"/>
                <w:lang w:val="it-IT"/>
              </w:rPr>
              <w:t xml:space="preserve"> i </w:t>
            </w:r>
            <w:proofErr w:type="spellStart"/>
            <w:r w:rsidRPr="00DF4CE5">
              <w:rPr>
                <w:rFonts w:ascii="Cambria" w:hAnsi="Cambria" w:cstheme="minorHAnsi"/>
                <w:lang w:val="it-IT"/>
              </w:rPr>
              <w:t>obrazovanju</w:t>
            </w:r>
            <w:proofErr w:type="spellEnd"/>
            <w:r w:rsidRPr="00DF4CE5">
              <w:rPr>
                <w:rFonts w:ascii="Cambria" w:hAnsi="Cambria" w:cstheme="minorHAnsi"/>
                <w:lang w:val="it-IT"/>
              </w:rPr>
              <w:t xml:space="preserve"> </w:t>
            </w:r>
          </w:p>
          <w:p w14:paraId="05B9FB47" w14:textId="41EE2975" w:rsidR="00354E46" w:rsidRPr="00DF4CE5" w:rsidRDefault="00354E46">
            <w:pPr>
              <w:spacing w:after="0" w:line="240" w:lineRule="auto"/>
              <w:rPr>
                <w:rFonts w:ascii="Cambria" w:hAnsi="Cambria" w:cstheme="minorHAnsi"/>
                <w:lang w:val="it-IT"/>
              </w:rPr>
            </w:pPr>
            <w:r w:rsidRPr="00DF4CE5">
              <w:rPr>
                <w:rFonts w:ascii="Cambria" w:hAnsi="Cambria" w:cstheme="minorHAnsi"/>
                <w:lang w:val="it-IT"/>
              </w:rPr>
              <w:t xml:space="preserve">5. </w:t>
            </w:r>
            <w:proofErr w:type="spellStart"/>
            <w:r w:rsidRPr="00DF4CE5">
              <w:rPr>
                <w:rFonts w:ascii="Cambria" w:hAnsi="Cambria" w:cstheme="minorHAnsi"/>
                <w:lang w:val="it-IT"/>
              </w:rPr>
              <w:t>Cjeloživotno</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učenje</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učitelja</w:t>
            </w:r>
            <w:proofErr w:type="spellEnd"/>
            <w:r w:rsidRPr="00DF4CE5">
              <w:rPr>
                <w:rFonts w:ascii="Cambria" w:hAnsi="Cambria" w:cstheme="minorHAnsi"/>
                <w:lang w:val="it-IT"/>
              </w:rPr>
              <w:t xml:space="preserve"> </w:t>
            </w:r>
          </w:p>
          <w:p w14:paraId="4AE995EE" w14:textId="77777777" w:rsidR="00354E46" w:rsidRPr="00DF4CE5" w:rsidRDefault="00354E46">
            <w:pPr>
              <w:spacing w:after="0" w:line="240" w:lineRule="auto"/>
              <w:rPr>
                <w:rFonts w:ascii="Cambria" w:hAnsi="Cambria" w:cstheme="minorHAnsi"/>
                <w:lang w:val="it-IT"/>
              </w:rPr>
            </w:pPr>
            <w:r w:rsidRPr="00DF4CE5">
              <w:rPr>
                <w:rFonts w:ascii="Cambria" w:hAnsi="Cambria" w:cstheme="minorHAnsi"/>
                <w:lang w:val="it-IT"/>
              </w:rPr>
              <w:t xml:space="preserve">6. </w:t>
            </w:r>
            <w:proofErr w:type="spellStart"/>
            <w:r w:rsidRPr="00DF4CE5">
              <w:rPr>
                <w:rFonts w:ascii="Cambria" w:hAnsi="Cambria" w:cstheme="minorHAnsi"/>
                <w:lang w:val="it-IT"/>
              </w:rPr>
              <w:t>Teorije</w:t>
            </w:r>
            <w:proofErr w:type="spellEnd"/>
            <w:r w:rsidRPr="00DF4CE5">
              <w:rPr>
                <w:rFonts w:ascii="Cambria" w:hAnsi="Cambria" w:cstheme="minorHAnsi"/>
                <w:lang w:val="it-IT"/>
              </w:rPr>
              <w:t>/</w:t>
            </w:r>
            <w:proofErr w:type="spellStart"/>
            <w:r w:rsidRPr="00DF4CE5">
              <w:rPr>
                <w:rFonts w:ascii="Cambria" w:hAnsi="Cambria" w:cstheme="minorHAnsi"/>
                <w:lang w:val="it-IT"/>
              </w:rPr>
              <w:t>modeli</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komunikacije</w:t>
            </w:r>
            <w:proofErr w:type="spellEnd"/>
            <w:r w:rsidRPr="00DF4CE5">
              <w:rPr>
                <w:rFonts w:ascii="Cambria" w:hAnsi="Cambria" w:cstheme="minorHAnsi"/>
                <w:lang w:val="it-IT"/>
              </w:rPr>
              <w:t xml:space="preserve"> i </w:t>
            </w:r>
            <w:proofErr w:type="spellStart"/>
            <w:r w:rsidRPr="00DF4CE5">
              <w:rPr>
                <w:rFonts w:ascii="Cambria" w:hAnsi="Cambria" w:cstheme="minorHAnsi"/>
                <w:lang w:val="it-IT"/>
              </w:rPr>
              <w:t>interakcije</w:t>
            </w:r>
            <w:proofErr w:type="spellEnd"/>
            <w:r w:rsidRPr="00DF4CE5">
              <w:rPr>
                <w:rFonts w:ascii="Cambria" w:hAnsi="Cambria" w:cstheme="minorHAnsi"/>
                <w:lang w:val="it-IT"/>
              </w:rPr>
              <w:t xml:space="preserve"> u </w:t>
            </w:r>
            <w:proofErr w:type="spellStart"/>
            <w:r w:rsidRPr="00DF4CE5">
              <w:rPr>
                <w:rFonts w:ascii="Cambria" w:hAnsi="Cambria" w:cstheme="minorHAnsi"/>
                <w:lang w:val="it-IT"/>
              </w:rPr>
              <w:t>odgojno-obrazovnom</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procesu</w:t>
            </w:r>
            <w:proofErr w:type="spellEnd"/>
          </w:p>
          <w:p w14:paraId="7E299BB5" w14:textId="77777777" w:rsidR="00354E46" w:rsidRPr="00DF4CE5" w:rsidRDefault="00354E46">
            <w:pPr>
              <w:spacing w:after="0" w:line="240" w:lineRule="auto"/>
              <w:rPr>
                <w:rFonts w:ascii="Cambria" w:hAnsi="Cambria" w:cstheme="minorHAnsi"/>
                <w:lang w:val="it-IT"/>
              </w:rPr>
            </w:pPr>
            <w:r w:rsidRPr="00DF4CE5">
              <w:rPr>
                <w:rFonts w:ascii="Cambria" w:hAnsi="Cambria" w:cstheme="minorHAnsi"/>
                <w:lang w:val="it-IT"/>
              </w:rPr>
              <w:t xml:space="preserve">7. </w:t>
            </w:r>
            <w:proofErr w:type="spellStart"/>
            <w:r w:rsidRPr="00DF4CE5">
              <w:rPr>
                <w:rFonts w:ascii="Cambria" w:hAnsi="Cambria" w:cstheme="minorHAnsi"/>
                <w:lang w:val="it-IT"/>
              </w:rPr>
              <w:t>Kurikulum</w:t>
            </w:r>
            <w:proofErr w:type="spellEnd"/>
            <w:r w:rsidRPr="00DF4CE5">
              <w:rPr>
                <w:rFonts w:ascii="Cambria" w:hAnsi="Cambria" w:cstheme="minorHAnsi"/>
                <w:lang w:val="it-IT"/>
              </w:rPr>
              <w:t xml:space="preserve"> </w:t>
            </w:r>
          </w:p>
          <w:p w14:paraId="1D475D33" w14:textId="77777777" w:rsidR="00354E46" w:rsidRPr="00DF4CE5" w:rsidRDefault="00354E46">
            <w:pPr>
              <w:spacing w:after="0" w:line="240" w:lineRule="auto"/>
              <w:rPr>
                <w:rFonts w:ascii="Cambria" w:hAnsi="Cambria" w:cstheme="minorHAnsi"/>
                <w:lang w:val="it-IT"/>
              </w:rPr>
            </w:pPr>
            <w:r w:rsidRPr="00DF4CE5">
              <w:rPr>
                <w:rFonts w:ascii="Cambria" w:hAnsi="Cambria" w:cstheme="minorHAnsi"/>
                <w:lang w:val="it-IT"/>
              </w:rPr>
              <w:t xml:space="preserve">8. </w:t>
            </w:r>
            <w:proofErr w:type="spellStart"/>
            <w:r w:rsidRPr="00DF4CE5">
              <w:rPr>
                <w:rFonts w:ascii="Cambria" w:hAnsi="Cambria" w:cstheme="minorHAnsi"/>
                <w:lang w:val="it-IT"/>
              </w:rPr>
              <w:t>Međupredmetne</w:t>
            </w:r>
            <w:proofErr w:type="spellEnd"/>
            <w:r w:rsidRPr="00DF4CE5">
              <w:rPr>
                <w:rFonts w:ascii="Cambria" w:hAnsi="Cambria" w:cstheme="minorHAnsi"/>
                <w:lang w:val="it-IT"/>
              </w:rPr>
              <w:t xml:space="preserve"> teme  </w:t>
            </w:r>
          </w:p>
          <w:p w14:paraId="55CF3D7A" w14:textId="77777777" w:rsidR="00354E46" w:rsidRPr="00DF4CE5" w:rsidRDefault="00354E46">
            <w:pPr>
              <w:spacing w:after="0" w:line="240" w:lineRule="auto"/>
              <w:rPr>
                <w:rFonts w:ascii="Cambria" w:hAnsi="Cambria" w:cstheme="minorHAnsi"/>
                <w:lang w:val="it-IT"/>
              </w:rPr>
            </w:pPr>
            <w:r w:rsidRPr="00DF4CE5">
              <w:rPr>
                <w:rFonts w:ascii="Cambria" w:hAnsi="Cambria" w:cstheme="minorHAnsi"/>
                <w:lang w:val="it-IT"/>
              </w:rPr>
              <w:t xml:space="preserve">9. </w:t>
            </w:r>
            <w:proofErr w:type="spellStart"/>
            <w:r w:rsidRPr="00DF4CE5">
              <w:rPr>
                <w:rFonts w:ascii="Cambria" w:hAnsi="Cambria" w:cstheme="minorHAnsi"/>
                <w:lang w:val="it-IT"/>
              </w:rPr>
              <w:t>Temeljni</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dokumenti</w:t>
            </w:r>
            <w:proofErr w:type="spellEnd"/>
            <w:r w:rsidRPr="00DF4CE5">
              <w:rPr>
                <w:rFonts w:ascii="Cambria" w:hAnsi="Cambria" w:cstheme="minorHAnsi"/>
                <w:lang w:val="it-IT"/>
              </w:rPr>
              <w:t xml:space="preserve"> o </w:t>
            </w:r>
            <w:proofErr w:type="spellStart"/>
            <w:r w:rsidRPr="00DF4CE5">
              <w:rPr>
                <w:rFonts w:ascii="Cambria" w:hAnsi="Cambria" w:cstheme="minorHAnsi"/>
                <w:lang w:val="it-IT"/>
              </w:rPr>
              <w:t>odgoju</w:t>
            </w:r>
            <w:proofErr w:type="spellEnd"/>
            <w:r w:rsidRPr="00DF4CE5">
              <w:rPr>
                <w:rFonts w:ascii="Cambria" w:hAnsi="Cambria" w:cstheme="minorHAnsi"/>
                <w:lang w:val="it-IT"/>
              </w:rPr>
              <w:t xml:space="preserve"> i </w:t>
            </w:r>
            <w:proofErr w:type="spellStart"/>
            <w:r w:rsidRPr="00DF4CE5">
              <w:rPr>
                <w:rFonts w:ascii="Cambria" w:hAnsi="Cambria" w:cstheme="minorHAnsi"/>
                <w:lang w:val="it-IT"/>
              </w:rPr>
              <w:t>obrazovanju</w:t>
            </w:r>
            <w:proofErr w:type="spellEnd"/>
            <w:r w:rsidRPr="00DF4CE5">
              <w:rPr>
                <w:rFonts w:ascii="Cambria" w:hAnsi="Cambria" w:cstheme="minorHAnsi"/>
                <w:lang w:val="it-IT"/>
              </w:rPr>
              <w:t xml:space="preserve"> u RH</w:t>
            </w:r>
          </w:p>
          <w:p w14:paraId="0A7643E5" w14:textId="77777777" w:rsidR="00354E46" w:rsidRPr="00DF4CE5" w:rsidRDefault="00354E46">
            <w:pPr>
              <w:spacing w:after="0" w:line="240" w:lineRule="auto"/>
              <w:rPr>
                <w:rFonts w:ascii="Cambria" w:hAnsi="Cambria" w:cstheme="minorHAnsi"/>
              </w:rPr>
            </w:pPr>
            <w:r w:rsidRPr="00DF4CE5">
              <w:rPr>
                <w:rFonts w:ascii="Cambria" w:hAnsi="Cambria" w:cstheme="minorHAnsi"/>
              </w:rPr>
              <w:t xml:space="preserve">10. </w:t>
            </w:r>
            <w:proofErr w:type="spellStart"/>
            <w:r w:rsidRPr="00DF4CE5">
              <w:rPr>
                <w:rFonts w:ascii="Cambria" w:hAnsi="Cambria" w:cstheme="minorHAnsi"/>
              </w:rPr>
              <w:t>Alternativne</w:t>
            </w:r>
            <w:proofErr w:type="spellEnd"/>
            <w:r w:rsidRPr="00DF4CE5">
              <w:rPr>
                <w:rFonts w:ascii="Cambria" w:hAnsi="Cambria" w:cstheme="minorHAnsi"/>
              </w:rPr>
              <w:t xml:space="preserve"> </w:t>
            </w:r>
            <w:proofErr w:type="spellStart"/>
            <w:r w:rsidRPr="00DF4CE5">
              <w:rPr>
                <w:rFonts w:ascii="Cambria" w:hAnsi="Cambria" w:cstheme="minorHAnsi"/>
              </w:rPr>
              <w:t>škole</w:t>
            </w:r>
            <w:proofErr w:type="spellEnd"/>
          </w:p>
        </w:tc>
      </w:tr>
      <w:tr w:rsidR="00354E46" w:rsidRPr="00DF4CE5" w14:paraId="61689260" w14:textId="77777777" w:rsidTr="00354E46">
        <w:tc>
          <w:tcPr>
            <w:tcW w:w="2629" w:type="dxa"/>
            <w:vMerge w:val="restart"/>
            <w:tcBorders>
              <w:top w:val="single" w:sz="8" w:space="0" w:color="000000"/>
              <w:left w:val="single" w:sz="8" w:space="0" w:color="000000"/>
              <w:bottom w:val="nil"/>
              <w:right w:val="single" w:sz="8" w:space="0" w:color="000000"/>
            </w:tcBorders>
            <w:shd w:val="clear" w:color="auto" w:fill="F2F2F2"/>
            <w:tcMar>
              <w:top w:w="15" w:type="dxa"/>
              <w:left w:w="108" w:type="dxa"/>
              <w:bottom w:w="0" w:type="dxa"/>
              <w:right w:w="108" w:type="dxa"/>
            </w:tcMar>
            <w:vAlign w:val="center"/>
            <w:hideMark/>
          </w:tcPr>
          <w:p w14:paraId="7A1BB5AB" w14:textId="77777777" w:rsidR="00354E46" w:rsidRPr="00DF4CE5" w:rsidRDefault="00354E46">
            <w:pPr>
              <w:spacing w:after="0" w:line="240" w:lineRule="auto"/>
              <w:rPr>
                <w:rFonts w:ascii="Cambria" w:hAnsi="Cambria" w:cstheme="minorHAnsi"/>
                <w:lang w:val="it-IT"/>
              </w:rPr>
            </w:pPr>
            <w:proofErr w:type="spellStart"/>
            <w:r w:rsidRPr="00DF4CE5">
              <w:rPr>
                <w:rFonts w:ascii="Cambria" w:hAnsi="Cambria" w:cstheme="minorHAnsi"/>
                <w:lang w:val="it-IT"/>
              </w:rPr>
              <w:t>Planirane</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aktivnosti</w:t>
            </w:r>
            <w:proofErr w:type="spellEnd"/>
            <w:r w:rsidRPr="00DF4CE5">
              <w:rPr>
                <w:rFonts w:ascii="Cambria" w:hAnsi="Cambria" w:cstheme="minorHAnsi"/>
                <w:lang w:val="it-IT"/>
              </w:rPr>
              <w:t>,</w:t>
            </w:r>
          </w:p>
          <w:p w14:paraId="141557BC" w14:textId="77777777" w:rsidR="00354E46" w:rsidRPr="00DF4CE5" w:rsidRDefault="00354E46">
            <w:pPr>
              <w:spacing w:after="0" w:line="240" w:lineRule="auto"/>
              <w:rPr>
                <w:rFonts w:ascii="Cambria" w:hAnsi="Cambria" w:cstheme="minorHAnsi"/>
                <w:lang w:val="it-IT"/>
              </w:rPr>
            </w:pPr>
            <w:proofErr w:type="spellStart"/>
            <w:r w:rsidRPr="00DF4CE5">
              <w:rPr>
                <w:rFonts w:ascii="Cambria" w:hAnsi="Cambria" w:cstheme="minorHAnsi"/>
                <w:lang w:val="it-IT"/>
              </w:rPr>
              <w:lastRenderedPageBreak/>
              <w:t>metode</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učenja</w:t>
            </w:r>
            <w:proofErr w:type="spellEnd"/>
            <w:r w:rsidRPr="00DF4CE5">
              <w:rPr>
                <w:rFonts w:ascii="Cambria" w:hAnsi="Cambria" w:cstheme="minorHAnsi"/>
                <w:lang w:val="it-IT"/>
              </w:rPr>
              <w:t xml:space="preserve"> i </w:t>
            </w:r>
            <w:proofErr w:type="spellStart"/>
            <w:r w:rsidRPr="00DF4CE5">
              <w:rPr>
                <w:rFonts w:ascii="Cambria" w:hAnsi="Cambria" w:cstheme="minorHAnsi"/>
                <w:lang w:val="it-IT"/>
              </w:rPr>
              <w:t>poučavanja</w:t>
            </w:r>
            <w:proofErr w:type="spellEnd"/>
            <w:r w:rsidRPr="00DF4CE5">
              <w:rPr>
                <w:rFonts w:ascii="Cambria" w:hAnsi="Cambria" w:cstheme="minorHAnsi"/>
                <w:lang w:val="it-IT"/>
              </w:rPr>
              <w:t xml:space="preserve"> i </w:t>
            </w:r>
            <w:proofErr w:type="spellStart"/>
            <w:r w:rsidRPr="00DF4CE5">
              <w:rPr>
                <w:rFonts w:ascii="Cambria" w:hAnsi="Cambria" w:cstheme="minorHAnsi"/>
                <w:lang w:val="it-IT"/>
              </w:rPr>
              <w:t>načini</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vrednovanja</w:t>
            </w:r>
            <w:proofErr w:type="spellEnd"/>
          </w:p>
        </w:tc>
        <w:tc>
          <w:tcPr>
            <w:tcW w:w="259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1D38F75" w14:textId="77777777" w:rsidR="00354E46" w:rsidRPr="00DF4CE5" w:rsidRDefault="00354E46">
            <w:pPr>
              <w:spacing w:after="0" w:line="240" w:lineRule="auto"/>
              <w:rPr>
                <w:rFonts w:ascii="Cambria" w:hAnsi="Cambria" w:cstheme="minorHAnsi"/>
              </w:rPr>
            </w:pPr>
            <w:proofErr w:type="spellStart"/>
            <w:r w:rsidRPr="00DF4CE5">
              <w:rPr>
                <w:rFonts w:ascii="Cambria" w:hAnsi="Cambria" w:cstheme="minorHAnsi"/>
                <w:bCs/>
              </w:rPr>
              <w:lastRenderedPageBreak/>
              <w:t>Obveze</w:t>
            </w:r>
            <w:proofErr w:type="spellEnd"/>
            <w:r w:rsidRPr="00DF4CE5">
              <w:rPr>
                <w:rFonts w:ascii="Cambria" w:hAnsi="Cambria" w:cstheme="minorHAnsi"/>
                <w:bCs/>
              </w:rPr>
              <w:t xml:space="preserve"> </w:t>
            </w:r>
          </w:p>
        </w:tc>
        <w:tc>
          <w:tcPr>
            <w:tcW w:w="109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C332BE7" w14:textId="77777777" w:rsidR="00354E46" w:rsidRPr="00DF4CE5" w:rsidRDefault="00354E46">
            <w:pPr>
              <w:spacing w:after="0" w:line="240" w:lineRule="auto"/>
              <w:rPr>
                <w:rFonts w:ascii="Cambria" w:hAnsi="Cambria" w:cstheme="minorHAnsi"/>
              </w:rPr>
            </w:pPr>
            <w:proofErr w:type="spellStart"/>
            <w:r w:rsidRPr="00DF4CE5">
              <w:rPr>
                <w:rFonts w:ascii="Cambria" w:hAnsi="Cambria" w:cstheme="minorHAnsi"/>
                <w:bCs/>
              </w:rPr>
              <w:t>Ishodi</w:t>
            </w:r>
            <w:proofErr w:type="spellEnd"/>
          </w:p>
        </w:tc>
        <w:tc>
          <w:tcPr>
            <w:tcW w:w="71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2284A28" w14:textId="77777777" w:rsidR="00354E46" w:rsidRPr="00DF4CE5" w:rsidRDefault="00354E46">
            <w:pPr>
              <w:spacing w:after="0" w:line="240" w:lineRule="auto"/>
              <w:rPr>
                <w:rFonts w:ascii="Cambria" w:hAnsi="Cambria" w:cstheme="minorHAnsi"/>
              </w:rPr>
            </w:pPr>
            <w:r w:rsidRPr="00DF4CE5">
              <w:rPr>
                <w:rFonts w:ascii="Cambria" w:hAnsi="Cambria" w:cstheme="minorHAnsi"/>
                <w:bCs/>
              </w:rPr>
              <w:t>Sati</w:t>
            </w:r>
          </w:p>
        </w:tc>
        <w:tc>
          <w:tcPr>
            <w:tcW w:w="101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EB1C981" w14:textId="77777777" w:rsidR="00354E46" w:rsidRPr="00DF4CE5" w:rsidRDefault="00354E46">
            <w:pPr>
              <w:spacing w:after="0" w:line="240" w:lineRule="auto"/>
              <w:rPr>
                <w:rFonts w:ascii="Cambria" w:hAnsi="Cambria" w:cstheme="minorHAnsi"/>
              </w:rPr>
            </w:pPr>
            <w:r w:rsidRPr="00DF4CE5">
              <w:rPr>
                <w:rFonts w:ascii="Cambria" w:hAnsi="Cambria" w:cstheme="minorHAnsi"/>
                <w:bCs/>
              </w:rPr>
              <w:t>ECTS</w:t>
            </w:r>
          </w:p>
        </w:tc>
        <w:tc>
          <w:tcPr>
            <w:tcW w:w="132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58C4610" w14:textId="77777777" w:rsidR="00354E46" w:rsidRPr="00DF4CE5" w:rsidRDefault="00354E46">
            <w:pPr>
              <w:spacing w:after="0" w:line="240" w:lineRule="auto"/>
              <w:rPr>
                <w:rFonts w:ascii="Cambria" w:hAnsi="Cambria" w:cstheme="minorHAnsi"/>
              </w:rPr>
            </w:pPr>
            <w:proofErr w:type="spellStart"/>
            <w:r w:rsidRPr="00DF4CE5">
              <w:rPr>
                <w:rFonts w:ascii="Cambria" w:hAnsi="Cambria" w:cstheme="minorHAnsi"/>
                <w:bCs/>
              </w:rPr>
              <w:t>Maksimalni</w:t>
            </w:r>
            <w:proofErr w:type="spellEnd"/>
            <w:r w:rsidRPr="00DF4CE5">
              <w:rPr>
                <w:rFonts w:ascii="Cambria" w:hAnsi="Cambria" w:cstheme="minorHAnsi"/>
                <w:bCs/>
              </w:rPr>
              <w:t xml:space="preserve"> </w:t>
            </w:r>
            <w:proofErr w:type="spellStart"/>
            <w:r w:rsidRPr="00DF4CE5">
              <w:rPr>
                <w:rFonts w:ascii="Cambria" w:hAnsi="Cambria" w:cstheme="minorHAnsi"/>
                <w:bCs/>
              </w:rPr>
              <w:t>udio</w:t>
            </w:r>
            <w:proofErr w:type="spellEnd"/>
            <w:r w:rsidRPr="00DF4CE5">
              <w:rPr>
                <w:rFonts w:ascii="Cambria" w:hAnsi="Cambria" w:cstheme="minorHAnsi"/>
                <w:bCs/>
              </w:rPr>
              <w:t xml:space="preserve"> u </w:t>
            </w:r>
            <w:proofErr w:type="spellStart"/>
            <w:r w:rsidRPr="00DF4CE5">
              <w:rPr>
                <w:rFonts w:ascii="Cambria" w:hAnsi="Cambria" w:cstheme="minorHAnsi"/>
                <w:bCs/>
              </w:rPr>
              <w:t>ocjeni</w:t>
            </w:r>
            <w:proofErr w:type="spellEnd"/>
            <w:r w:rsidRPr="00DF4CE5">
              <w:rPr>
                <w:rFonts w:ascii="Cambria" w:hAnsi="Cambria" w:cstheme="minorHAnsi"/>
                <w:bCs/>
              </w:rPr>
              <w:t xml:space="preserve"> (%)</w:t>
            </w:r>
          </w:p>
        </w:tc>
      </w:tr>
      <w:tr w:rsidR="00354E46" w:rsidRPr="00DF4CE5" w14:paraId="7D531518" w14:textId="77777777" w:rsidTr="00354E46">
        <w:tc>
          <w:tcPr>
            <w:tcW w:w="9360" w:type="dxa"/>
            <w:vMerge/>
            <w:tcBorders>
              <w:top w:val="single" w:sz="8" w:space="0" w:color="000000"/>
              <w:left w:val="single" w:sz="8" w:space="0" w:color="000000"/>
              <w:bottom w:val="nil"/>
              <w:right w:val="single" w:sz="8" w:space="0" w:color="000000"/>
            </w:tcBorders>
            <w:vAlign w:val="center"/>
            <w:hideMark/>
          </w:tcPr>
          <w:p w14:paraId="03C4606B" w14:textId="77777777" w:rsidR="00354E46" w:rsidRPr="00DF4CE5" w:rsidRDefault="00354E46">
            <w:pPr>
              <w:spacing w:after="0" w:line="240" w:lineRule="auto"/>
              <w:rPr>
                <w:rFonts w:ascii="Cambria" w:hAnsi="Cambria" w:cstheme="minorHAnsi"/>
              </w:rPr>
            </w:pPr>
          </w:p>
        </w:tc>
        <w:tc>
          <w:tcPr>
            <w:tcW w:w="259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FB39FCC" w14:textId="77777777" w:rsidR="00354E46" w:rsidRPr="00DF4CE5" w:rsidRDefault="00354E46">
            <w:pPr>
              <w:spacing w:after="0" w:line="240" w:lineRule="auto"/>
              <w:rPr>
                <w:rFonts w:ascii="Cambria" w:hAnsi="Cambria" w:cstheme="minorHAnsi"/>
                <w:lang w:val="it-IT"/>
              </w:rPr>
            </w:pPr>
            <w:proofErr w:type="spellStart"/>
            <w:r w:rsidRPr="00DF4CE5">
              <w:rPr>
                <w:rFonts w:ascii="Cambria" w:hAnsi="Cambria" w:cstheme="minorHAnsi"/>
                <w:lang w:val="it-IT"/>
              </w:rPr>
              <w:t>interaktivne</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aktivnosti</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na</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nastavi</w:t>
            </w:r>
            <w:proofErr w:type="spellEnd"/>
            <w:r w:rsidRPr="00DF4CE5">
              <w:rPr>
                <w:rFonts w:ascii="Cambria" w:hAnsi="Cambria" w:cstheme="minorHAnsi"/>
                <w:lang w:val="it-IT"/>
              </w:rPr>
              <w:t xml:space="preserve"> (P, V, S)</w:t>
            </w:r>
          </w:p>
        </w:tc>
        <w:tc>
          <w:tcPr>
            <w:tcW w:w="109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9060E0E" w14:textId="77777777" w:rsidR="00354E46" w:rsidRPr="00DF4CE5" w:rsidRDefault="00354E46">
            <w:pPr>
              <w:spacing w:after="0" w:line="240" w:lineRule="auto"/>
              <w:jc w:val="center"/>
              <w:rPr>
                <w:rFonts w:ascii="Cambria" w:hAnsi="Cambria" w:cstheme="minorHAnsi"/>
              </w:rPr>
            </w:pPr>
            <w:r w:rsidRPr="00DF4CE5">
              <w:rPr>
                <w:rFonts w:ascii="Cambria" w:hAnsi="Cambria" w:cstheme="minorHAnsi"/>
              </w:rPr>
              <w:t>1. – 6.</w:t>
            </w:r>
          </w:p>
        </w:tc>
        <w:tc>
          <w:tcPr>
            <w:tcW w:w="71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8560ABA" w14:textId="77777777" w:rsidR="00354E46" w:rsidRPr="00DF4CE5" w:rsidRDefault="00354E46">
            <w:pPr>
              <w:spacing w:after="0" w:line="240" w:lineRule="auto"/>
              <w:jc w:val="center"/>
              <w:rPr>
                <w:rFonts w:ascii="Cambria" w:hAnsi="Cambria" w:cstheme="minorHAnsi"/>
              </w:rPr>
            </w:pPr>
            <w:r w:rsidRPr="00DF4CE5">
              <w:rPr>
                <w:rFonts w:ascii="Cambria" w:hAnsi="Cambria" w:cstheme="minorHAnsi"/>
              </w:rPr>
              <w:t>45</w:t>
            </w:r>
          </w:p>
        </w:tc>
        <w:tc>
          <w:tcPr>
            <w:tcW w:w="101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7E63AAA" w14:textId="77777777" w:rsidR="00354E46" w:rsidRPr="00DF4CE5" w:rsidRDefault="00354E46">
            <w:pPr>
              <w:spacing w:after="0" w:line="240" w:lineRule="auto"/>
              <w:jc w:val="center"/>
              <w:rPr>
                <w:rFonts w:ascii="Cambria" w:hAnsi="Cambria" w:cstheme="minorHAnsi"/>
              </w:rPr>
            </w:pPr>
            <w:r w:rsidRPr="00DF4CE5">
              <w:rPr>
                <w:rFonts w:ascii="Cambria" w:hAnsi="Cambria" w:cstheme="minorHAnsi"/>
              </w:rPr>
              <w:t>1,5</w:t>
            </w:r>
          </w:p>
        </w:tc>
        <w:tc>
          <w:tcPr>
            <w:tcW w:w="132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6657556" w14:textId="77777777" w:rsidR="00354E46" w:rsidRPr="00DF4CE5" w:rsidRDefault="00354E46">
            <w:pPr>
              <w:spacing w:after="0" w:line="240" w:lineRule="auto"/>
              <w:jc w:val="center"/>
              <w:rPr>
                <w:rFonts w:ascii="Cambria" w:hAnsi="Cambria" w:cstheme="minorHAnsi"/>
              </w:rPr>
            </w:pPr>
            <w:r w:rsidRPr="00DF4CE5">
              <w:rPr>
                <w:rFonts w:ascii="Cambria" w:hAnsi="Cambria" w:cstheme="minorHAnsi"/>
              </w:rPr>
              <w:t>10%</w:t>
            </w:r>
          </w:p>
        </w:tc>
      </w:tr>
      <w:tr w:rsidR="00354E46" w:rsidRPr="00DF4CE5" w14:paraId="0285111F" w14:textId="77777777" w:rsidTr="00354E46">
        <w:tc>
          <w:tcPr>
            <w:tcW w:w="9360" w:type="dxa"/>
            <w:vMerge/>
            <w:tcBorders>
              <w:top w:val="single" w:sz="8" w:space="0" w:color="000000"/>
              <w:left w:val="single" w:sz="8" w:space="0" w:color="000000"/>
              <w:bottom w:val="nil"/>
              <w:right w:val="single" w:sz="8" w:space="0" w:color="000000"/>
            </w:tcBorders>
            <w:vAlign w:val="center"/>
            <w:hideMark/>
          </w:tcPr>
          <w:p w14:paraId="775D240A" w14:textId="77777777" w:rsidR="00354E46" w:rsidRPr="00DF4CE5" w:rsidRDefault="00354E46">
            <w:pPr>
              <w:spacing w:after="0" w:line="240" w:lineRule="auto"/>
              <w:rPr>
                <w:rFonts w:ascii="Cambria" w:hAnsi="Cambria" w:cstheme="minorHAnsi"/>
              </w:rPr>
            </w:pPr>
          </w:p>
        </w:tc>
        <w:tc>
          <w:tcPr>
            <w:tcW w:w="259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B3C8A3E" w14:textId="43D75F88" w:rsidR="00354E46" w:rsidRPr="00DF4CE5" w:rsidRDefault="00354E46">
            <w:pPr>
              <w:spacing w:after="0" w:line="240" w:lineRule="auto"/>
              <w:rPr>
                <w:rFonts w:ascii="Cambria" w:hAnsi="Cambria" w:cstheme="minorHAnsi"/>
              </w:rPr>
            </w:pPr>
            <w:proofErr w:type="spellStart"/>
            <w:r w:rsidRPr="00DF4CE5">
              <w:rPr>
                <w:rFonts w:ascii="Cambria" w:hAnsi="Cambria" w:cstheme="minorHAnsi"/>
              </w:rPr>
              <w:t>grupni</w:t>
            </w:r>
            <w:proofErr w:type="spellEnd"/>
            <w:r w:rsidRPr="00DF4CE5">
              <w:rPr>
                <w:rFonts w:ascii="Cambria" w:hAnsi="Cambria" w:cstheme="minorHAnsi"/>
              </w:rPr>
              <w:t xml:space="preserve"> </w:t>
            </w:r>
            <w:r w:rsidR="00B13415" w:rsidRPr="00DF4CE5">
              <w:rPr>
                <w:rFonts w:ascii="Cambria" w:hAnsi="Cambria" w:cstheme="minorHAnsi"/>
              </w:rPr>
              <w:t>project</w:t>
            </w:r>
          </w:p>
        </w:tc>
        <w:tc>
          <w:tcPr>
            <w:tcW w:w="109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C905B0A" w14:textId="77777777" w:rsidR="00354E46" w:rsidRPr="00DF4CE5" w:rsidRDefault="00354E46">
            <w:pPr>
              <w:spacing w:after="0" w:line="240" w:lineRule="auto"/>
              <w:jc w:val="center"/>
              <w:rPr>
                <w:rFonts w:ascii="Cambria" w:hAnsi="Cambria" w:cstheme="minorHAnsi"/>
              </w:rPr>
            </w:pPr>
            <w:r w:rsidRPr="00DF4CE5">
              <w:rPr>
                <w:rFonts w:ascii="Cambria" w:hAnsi="Cambria" w:cstheme="minorHAnsi"/>
              </w:rPr>
              <w:t>1. – 6.</w:t>
            </w:r>
          </w:p>
        </w:tc>
        <w:tc>
          <w:tcPr>
            <w:tcW w:w="71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9018BC3" w14:textId="77777777" w:rsidR="00354E46" w:rsidRPr="00DF4CE5" w:rsidRDefault="00354E46">
            <w:pPr>
              <w:spacing w:after="0" w:line="240" w:lineRule="auto"/>
              <w:jc w:val="center"/>
              <w:rPr>
                <w:rFonts w:ascii="Cambria" w:hAnsi="Cambria" w:cstheme="minorHAnsi"/>
              </w:rPr>
            </w:pPr>
            <w:r w:rsidRPr="00DF4CE5">
              <w:rPr>
                <w:rFonts w:ascii="Cambria" w:hAnsi="Cambria" w:cstheme="minorHAnsi"/>
              </w:rPr>
              <w:t>45</w:t>
            </w:r>
          </w:p>
        </w:tc>
        <w:tc>
          <w:tcPr>
            <w:tcW w:w="101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B5B9EDE" w14:textId="77777777" w:rsidR="00354E46" w:rsidRPr="00DF4CE5" w:rsidRDefault="00354E46">
            <w:pPr>
              <w:spacing w:after="0" w:line="240" w:lineRule="auto"/>
              <w:jc w:val="center"/>
              <w:rPr>
                <w:rFonts w:ascii="Cambria" w:hAnsi="Cambria" w:cstheme="minorHAnsi"/>
              </w:rPr>
            </w:pPr>
            <w:r w:rsidRPr="00DF4CE5">
              <w:rPr>
                <w:rFonts w:ascii="Cambria" w:hAnsi="Cambria" w:cstheme="minorHAnsi"/>
              </w:rPr>
              <w:t>1,5</w:t>
            </w:r>
          </w:p>
        </w:tc>
        <w:tc>
          <w:tcPr>
            <w:tcW w:w="132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4EA7B33" w14:textId="77777777" w:rsidR="00354E46" w:rsidRPr="00DF4CE5" w:rsidRDefault="00354E46">
            <w:pPr>
              <w:spacing w:after="0" w:line="240" w:lineRule="auto"/>
              <w:jc w:val="center"/>
              <w:rPr>
                <w:rFonts w:ascii="Cambria" w:hAnsi="Cambria" w:cstheme="minorHAnsi"/>
              </w:rPr>
            </w:pPr>
            <w:r w:rsidRPr="00DF4CE5">
              <w:rPr>
                <w:rFonts w:ascii="Cambria" w:hAnsi="Cambria" w:cstheme="minorHAnsi"/>
              </w:rPr>
              <w:t>20%</w:t>
            </w:r>
          </w:p>
        </w:tc>
      </w:tr>
      <w:tr w:rsidR="00354E46" w:rsidRPr="00DF4CE5" w14:paraId="544226CB" w14:textId="77777777" w:rsidTr="00354E46">
        <w:tc>
          <w:tcPr>
            <w:tcW w:w="9360" w:type="dxa"/>
            <w:vMerge/>
            <w:tcBorders>
              <w:top w:val="single" w:sz="8" w:space="0" w:color="000000"/>
              <w:left w:val="single" w:sz="8" w:space="0" w:color="000000"/>
              <w:bottom w:val="nil"/>
              <w:right w:val="single" w:sz="8" w:space="0" w:color="000000"/>
            </w:tcBorders>
            <w:vAlign w:val="center"/>
            <w:hideMark/>
          </w:tcPr>
          <w:p w14:paraId="45EE9193" w14:textId="77777777" w:rsidR="00354E46" w:rsidRPr="00DF4CE5" w:rsidRDefault="00354E46">
            <w:pPr>
              <w:spacing w:after="0" w:line="240" w:lineRule="auto"/>
              <w:rPr>
                <w:rFonts w:ascii="Cambria" w:hAnsi="Cambria" w:cstheme="minorHAnsi"/>
              </w:rPr>
            </w:pPr>
          </w:p>
        </w:tc>
        <w:tc>
          <w:tcPr>
            <w:tcW w:w="259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C53A0E6" w14:textId="77777777" w:rsidR="00354E46" w:rsidRPr="00DF4CE5" w:rsidRDefault="00354E46">
            <w:pPr>
              <w:spacing w:after="0" w:line="240" w:lineRule="auto"/>
              <w:rPr>
                <w:rFonts w:ascii="Cambria" w:hAnsi="Cambria" w:cstheme="minorHAnsi"/>
              </w:rPr>
            </w:pPr>
            <w:proofErr w:type="spellStart"/>
            <w:r w:rsidRPr="00DF4CE5">
              <w:rPr>
                <w:rFonts w:ascii="Cambria" w:hAnsi="Cambria" w:cstheme="minorHAnsi"/>
              </w:rPr>
              <w:t>istraživački</w:t>
            </w:r>
            <w:proofErr w:type="spellEnd"/>
            <w:r w:rsidRPr="00DF4CE5">
              <w:rPr>
                <w:rFonts w:ascii="Cambria" w:hAnsi="Cambria" w:cstheme="minorHAnsi"/>
              </w:rPr>
              <w:t xml:space="preserve"> </w:t>
            </w:r>
            <w:proofErr w:type="spellStart"/>
            <w:r w:rsidRPr="00DF4CE5">
              <w:rPr>
                <w:rFonts w:ascii="Cambria" w:hAnsi="Cambria" w:cstheme="minorHAnsi"/>
              </w:rPr>
              <w:t>individualni</w:t>
            </w:r>
            <w:proofErr w:type="spellEnd"/>
            <w:r w:rsidRPr="00DF4CE5">
              <w:rPr>
                <w:rFonts w:ascii="Cambria" w:hAnsi="Cambria" w:cstheme="minorHAnsi"/>
              </w:rPr>
              <w:t xml:space="preserve"> rad</w:t>
            </w:r>
          </w:p>
        </w:tc>
        <w:tc>
          <w:tcPr>
            <w:tcW w:w="109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F5088FF" w14:textId="77777777" w:rsidR="00354E46" w:rsidRPr="00DF4CE5" w:rsidRDefault="00354E46">
            <w:pPr>
              <w:spacing w:after="0" w:line="240" w:lineRule="auto"/>
              <w:jc w:val="center"/>
              <w:rPr>
                <w:rFonts w:ascii="Cambria" w:hAnsi="Cambria" w:cstheme="minorHAnsi"/>
              </w:rPr>
            </w:pPr>
            <w:r w:rsidRPr="00DF4CE5">
              <w:rPr>
                <w:rFonts w:ascii="Cambria" w:hAnsi="Cambria" w:cstheme="minorHAnsi"/>
              </w:rPr>
              <w:t>1. – 6.</w:t>
            </w:r>
          </w:p>
        </w:tc>
        <w:tc>
          <w:tcPr>
            <w:tcW w:w="71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FA478C7" w14:textId="77777777" w:rsidR="00354E46" w:rsidRPr="00DF4CE5" w:rsidRDefault="00354E46">
            <w:pPr>
              <w:spacing w:after="0" w:line="240" w:lineRule="auto"/>
              <w:jc w:val="center"/>
              <w:rPr>
                <w:rFonts w:ascii="Cambria" w:hAnsi="Cambria" w:cstheme="minorHAnsi"/>
              </w:rPr>
            </w:pPr>
            <w:r w:rsidRPr="00DF4CE5">
              <w:rPr>
                <w:rFonts w:ascii="Cambria" w:hAnsi="Cambria" w:cstheme="minorHAnsi"/>
              </w:rPr>
              <w:t>30</w:t>
            </w:r>
          </w:p>
        </w:tc>
        <w:tc>
          <w:tcPr>
            <w:tcW w:w="101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3BA3179" w14:textId="77777777" w:rsidR="00354E46" w:rsidRPr="00DF4CE5" w:rsidRDefault="00354E46">
            <w:pPr>
              <w:spacing w:after="0" w:line="240" w:lineRule="auto"/>
              <w:jc w:val="center"/>
              <w:rPr>
                <w:rFonts w:ascii="Cambria" w:hAnsi="Cambria" w:cstheme="minorHAnsi"/>
              </w:rPr>
            </w:pPr>
            <w:r w:rsidRPr="00DF4CE5">
              <w:rPr>
                <w:rFonts w:ascii="Cambria" w:hAnsi="Cambria" w:cstheme="minorHAnsi"/>
              </w:rPr>
              <w:t>1</w:t>
            </w:r>
          </w:p>
        </w:tc>
        <w:tc>
          <w:tcPr>
            <w:tcW w:w="132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908DE3A" w14:textId="77777777" w:rsidR="00354E46" w:rsidRPr="00DF4CE5" w:rsidRDefault="00354E46">
            <w:pPr>
              <w:spacing w:after="0" w:line="240" w:lineRule="auto"/>
              <w:jc w:val="center"/>
              <w:rPr>
                <w:rFonts w:ascii="Cambria" w:hAnsi="Cambria" w:cstheme="minorHAnsi"/>
              </w:rPr>
            </w:pPr>
            <w:r w:rsidRPr="00DF4CE5">
              <w:rPr>
                <w:rFonts w:ascii="Cambria" w:hAnsi="Cambria" w:cstheme="minorHAnsi"/>
              </w:rPr>
              <w:t>20%</w:t>
            </w:r>
          </w:p>
        </w:tc>
      </w:tr>
      <w:tr w:rsidR="00354E46" w:rsidRPr="00DF4CE5" w14:paraId="60B4C6C5" w14:textId="77777777" w:rsidTr="00354E46">
        <w:tc>
          <w:tcPr>
            <w:tcW w:w="9360" w:type="dxa"/>
            <w:vMerge/>
            <w:tcBorders>
              <w:top w:val="single" w:sz="8" w:space="0" w:color="000000"/>
              <w:left w:val="single" w:sz="8" w:space="0" w:color="000000"/>
              <w:bottom w:val="nil"/>
              <w:right w:val="single" w:sz="8" w:space="0" w:color="000000"/>
            </w:tcBorders>
            <w:vAlign w:val="center"/>
            <w:hideMark/>
          </w:tcPr>
          <w:p w14:paraId="08D71DC7" w14:textId="77777777" w:rsidR="00354E46" w:rsidRPr="00DF4CE5" w:rsidRDefault="00354E46">
            <w:pPr>
              <w:spacing w:after="0" w:line="240" w:lineRule="auto"/>
              <w:rPr>
                <w:rFonts w:ascii="Cambria" w:hAnsi="Cambria" w:cstheme="minorHAnsi"/>
              </w:rPr>
            </w:pPr>
          </w:p>
        </w:tc>
        <w:tc>
          <w:tcPr>
            <w:tcW w:w="259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F9E2193" w14:textId="77777777" w:rsidR="00354E46" w:rsidRPr="00DF4CE5" w:rsidRDefault="00354E46">
            <w:pPr>
              <w:spacing w:after="0" w:line="240" w:lineRule="auto"/>
              <w:rPr>
                <w:rFonts w:ascii="Cambria" w:hAnsi="Cambria" w:cstheme="minorHAnsi"/>
              </w:rPr>
            </w:pPr>
            <w:proofErr w:type="spellStart"/>
            <w:r w:rsidRPr="00DF4CE5">
              <w:rPr>
                <w:rFonts w:ascii="Cambria" w:hAnsi="Cambria" w:cstheme="minorHAnsi"/>
              </w:rPr>
              <w:t>terenska</w:t>
            </w:r>
            <w:proofErr w:type="spellEnd"/>
            <w:r w:rsidRPr="00DF4CE5">
              <w:rPr>
                <w:rFonts w:ascii="Cambria" w:hAnsi="Cambria" w:cstheme="minorHAnsi"/>
              </w:rPr>
              <w:t xml:space="preserve"> </w:t>
            </w:r>
            <w:proofErr w:type="spellStart"/>
            <w:r w:rsidRPr="00DF4CE5">
              <w:rPr>
                <w:rFonts w:ascii="Cambria" w:hAnsi="Cambria" w:cstheme="minorHAnsi"/>
              </w:rPr>
              <w:t>nastava</w:t>
            </w:r>
            <w:proofErr w:type="spellEnd"/>
          </w:p>
        </w:tc>
        <w:tc>
          <w:tcPr>
            <w:tcW w:w="109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07AECC7" w14:textId="77777777" w:rsidR="00354E46" w:rsidRPr="00DF4CE5" w:rsidRDefault="00354E46">
            <w:pPr>
              <w:spacing w:after="0" w:line="240" w:lineRule="auto"/>
              <w:jc w:val="center"/>
              <w:rPr>
                <w:rFonts w:ascii="Cambria" w:hAnsi="Cambria" w:cstheme="minorHAnsi"/>
              </w:rPr>
            </w:pPr>
            <w:r w:rsidRPr="00DF4CE5">
              <w:rPr>
                <w:rFonts w:ascii="Cambria" w:hAnsi="Cambria" w:cstheme="minorHAnsi"/>
              </w:rPr>
              <w:t>6.</w:t>
            </w:r>
          </w:p>
        </w:tc>
        <w:tc>
          <w:tcPr>
            <w:tcW w:w="71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6DA691A" w14:textId="77777777" w:rsidR="00354E46" w:rsidRPr="00DF4CE5" w:rsidRDefault="00354E46">
            <w:pPr>
              <w:spacing w:after="0" w:line="240" w:lineRule="auto"/>
              <w:jc w:val="center"/>
              <w:rPr>
                <w:rFonts w:ascii="Cambria" w:hAnsi="Cambria" w:cstheme="minorHAnsi"/>
              </w:rPr>
            </w:pPr>
            <w:r w:rsidRPr="00DF4CE5">
              <w:rPr>
                <w:rFonts w:ascii="Cambria" w:hAnsi="Cambria" w:cstheme="minorHAnsi"/>
              </w:rPr>
              <w:t>15</w:t>
            </w:r>
          </w:p>
        </w:tc>
        <w:tc>
          <w:tcPr>
            <w:tcW w:w="101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3FF1058" w14:textId="77777777" w:rsidR="00354E46" w:rsidRPr="00DF4CE5" w:rsidRDefault="00354E46">
            <w:pPr>
              <w:spacing w:after="0" w:line="240" w:lineRule="auto"/>
              <w:jc w:val="center"/>
              <w:rPr>
                <w:rFonts w:ascii="Cambria" w:hAnsi="Cambria" w:cstheme="minorHAnsi"/>
              </w:rPr>
            </w:pPr>
            <w:r w:rsidRPr="00DF4CE5">
              <w:rPr>
                <w:rFonts w:ascii="Cambria" w:hAnsi="Cambria" w:cstheme="minorHAnsi"/>
              </w:rPr>
              <w:t>0,5</w:t>
            </w:r>
          </w:p>
        </w:tc>
        <w:tc>
          <w:tcPr>
            <w:tcW w:w="132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B22CA39" w14:textId="77777777" w:rsidR="00354E46" w:rsidRPr="00DF4CE5" w:rsidRDefault="00354E46">
            <w:pPr>
              <w:spacing w:after="0" w:line="240" w:lineRule="auto"/>
              <w:jc w:val="center"/>
              <w:rPr>
                <w:rFonts w:ascii="Cambria" w:hAnsi="Cambria" w:cstheme="minorHAnsi"/>
              </w:rPr>
            </w:pPr>
            <w:r w:rsidRPr="00DF4CE5">
              <w:rPr>
                <w:rFonts w:ascii="Cambria" w:hAnsi="Cambria" w:cstheme="minorHAnsi"/>
              </w:rPr>
              <w:t>0%</w:t>
            </w:r>
          </w:p>
        </w:tc>
      </w:tr>
      <w:tr w:rsidR="00354E46" w:rsidRPr="00DF4CE5" w14:paraId="2538B1A9" w14:textId="77777777" w:rsidTr="00354E46">
        <w:tc>
          <w:tcPr>
            <w:tcW w:w="9360" w:type="dxa"/>
            <w:vMerge/>
            <w:tcBorders>
              <w:top w:val="single" w:sz="8" w:space="0" w:color="000000"/>
              <w:left w:val="single" w:sz="8" w:space="0" w:color="000000"/>
              <w:bottom w:val="nil"/>
              <w:right w:val="single" w:sz="8" w:space="0" w:color="000000"/>
            </w:tcBorders>
            <w:vAlign w:val="center"/>
            <w:hideMark/>
          </w:tcPr>
          <w:p w14:paraId="123A5A25" w14:textId="77777777" w:rsidR="00354E46" w:rsidRPr="00DF4CE5" w:rsidRDefault="00354E46">
            <w:pPr>
              <w:spacing w:after="0" w:line="240" w:lineRule="auto"/>
              <w:rPr>
                <w:rFonts w:ascii="Cambria" w:hAnsi="Cambria" w:cstheme="minorHAnsi"/>
              </w:rPr>
            </w:pPr>
          </w:p>
        </w:tc>
        <w:tc>
          <w:tcPr>
            <w:tcW w:w="259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3A10A77" w14:textId="77777777" w:rsidR="00354E46" w:rsidRPr="00DF4CE5" w:rsidRDefault="00354E46">
            <w:pPr>
              <w:spacing w:after="0" w:line="240" w:lineRule="auto"/>
              <w:rPr>
                <w:rFonts w:ascii="Cambria" w:hAnsi="Cambria" w:cstheme="minorHAnsi"/>
              </w:rPr>
            </w:pPr>
            <w:proofErr w:type="spellStart"/>
            <w:r w:rsidRPr="00DF4CE5">
              <w:rPr>
                <w:rFonts w:ascii="Cambria" w:hAnsi="Cambria" w:cstheme="minorHAnsi"/>
              </w:rPr>
              <w:t>pismeni</w:t>
            </w:r>
            <w:proofErr w:type="spellEnd"/>
            <w:r w:rsidRPr="00DF4CE5">
              <w:rPr>
                <w:rFonts w:ascii="Cambria" w:hAnsi="Cambria" w:cstheme="minorHAnsi"/>
              </w:rPr>
              <w:t xml:space="preserve"> </w:t>
            </w:r>
            <w:proofErr w:type="spellStart"/>
            <w:r w:rsidRPr="00DF4CE5">
              <w:rPr>
                <w:rFonts w:ascii="Cambria" w:hAnsi="Cambria" w:cstheme="minorHAnsi"/>
              </w:rPr>
              <w:t>ispit</w:t>
            </w:r>
            <w:proofErr w:type="spellEnd"/>
          </w:p>
        </w:tc>
        <w:tc>
          <w:tcPr>
            <w:tcW w:w="109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41B6CF2" w14:textId="77777777" w:rsidR="00354E46" w:rsidRPr="00DF4CE5" w:rsidRDefault="00354E46">
            <w:pPr>
              <w:spacing w:after="0" w:line="240" w:lineRule="auto"/>
              <w:jc w:val="center"/>
              <w:rPr>
                <w:rFonts w:ascii="Cambria" w:hAnsi="Cambria" w:cstheme="minorHAnsi"/>
              </w:rPr>
            </w:pPr>
            <w:r w:rsidRPr="00DF4CE5">
              <w:rPr>
                <w:rFonts w:ascii="Cambria" w:hAnsi="Cambria" w:cstheme="minorHAnsi"/>
              </w:rPr>
              <w:t xml:space="preserve">1. – 6. </w:t>
            </w:r>
          </w:p>
        </w:tc>
        <w:tc>
          <w:tcPr>
            <w:tcW w:w="71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B2F411B" w14:textId="77777777" w:rsidR="00354E46" w:rsidRPr="00DF4CE5" w:rsidRDefault="00354E46">
            <w:pPr>
              <w:spacing w:after="0" w:line="240" w:lineRule="auto"/>
              <w:jc w:val="center"/>
              <w:rPr>
                <w:rFonts w:ascii="Cambria" w:hAnsi="Cambria" w:cstheme="minorHAnsi"/>
              </w:rPr>
            </w:pPr>
            <w:r w:rsidRPr="00DF4CE5">
              <w:rPr>
                <w:rFonts w:ascii="Cambria" w:hAnsi="Cambria" w:cstheme="minorHAnsi"/>
              </w:rPr>
              <w:t>45</w:t>
            </w:r>
          </w:p>
        </w:tc>
        <w:tc>
          <w:tcPr>
            <w:tcW w:w="101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EE15D54" w14:textId="77777777" w:rsidR="00354E46" w:rsidRPr="00DF4CE5" w:rsidRDefault="00354E46">
            <w:pPr>
              <w:spacing w:after="0" w:line="240" w:lineRule="auto"/>
              <w:jc w:val="center"/>
              <w:rPr>
                <w:rFonts w:ascii="Cambria" w:hAnsi="Cambria" w:cstheme="minorHAnsi"/>
              </w:rPr>
            </w:pPr>
            <w:r w:rsidRPr="00DF4CE5">
              <w:rPr>
                <w:rFonts w:ascii="Cambria" w:hAnsi="Cambria" w:cstheme="minorHAnsi"/>
              </w:rPr>
              <w:t>1,5</w:t>
            </w:r>
          </w:p>
        </w:tc>
        <w:tc>
          <w:tcPr>
            <w:tcW w:w="132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6C66C62" w14:textId="77777777" w:rsidR="00354E46" w:rsidRPr="00DF4CE5" w:rsidRDefault="00354E46">
            <w:pPr>
              <w:spacing w:after="0" w:line="240" w:lineRule="auto"/>
              <w:jc w:val="center"/>
              <w:rPr>
                <w:rFonts w:ascii="Cambria" w:hAnsi="Cambria" w:cstheme="minorHAnsi"/>
              </w:rPr>
            </w:pPr>
            <w:r w:rsidRPr="00DF4CE5">
              <w:rPr>
                <w:rFonts w:ascii="Cambria" w:hAnsi="Cambria" w:cstheme="minorHAnsi"/>
              </w:rPr>
              <w:t>50%</w:t>
            </w:r>
          </w:p>
        </w:tc>
      </w:tr>
      <w:tr w:rsidR="00354E46" w:rsidRPr="00DF4CE5" w14:paraId="2118F782" w14:textId="77777777" w:rsidTr="00354E46">
        <w:tc>
          <w:tcPr>
            <w:tcW w:w="9360" w:type="dxa"/>
            <w:vMerge/>
            <w:tcBorders>
              <w:top w:val="single" w:sz="8" w:space="0" w:color="000000"/>
              <w:left w:val="single" w:sz="8" w:space="0" w:color="000000"/>
              <w:bottom w:val="nil"/>
              <w:right w:val="single" w:sz="8" w:space="0" w:color="000000"/>
            </w:tcBorders>
            <w:vAlign w:val="center"/>
            <w:hideMark/>
          </w:tcPr>
          <w:p w14:paraId="0B0473DE" w14:textId="77777777" w:rsidR="00354E46" w:rsidRPr="00DF4CE5" w:rsidRDefault="00354E46">
            <w:pPr>
              <w:spacing w:after="0" w:line="240" w:lineRule="auto"/>
              <w:rPr>
                <w:rFonts w:ascii="Cambria" w:hAnsi="Cambria" w:cstheme="minorHAnsi"/>
              </w:rPr>
            </w:pPr>
          </w:p>
        </w:tc>
        <w:tc>
          <w:tcPr>
            <w:tcW w:w="3681"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4DDCC76" w14:textId="662E9349" w:rsidR="00354E46" w:rsidRPr="00DF4CE5" w:rsidRDefault="0098327C">
            <w:pPr>
              <w:spacing w:after="0" w:line="240" w:lineRule="auto"/>
              <w:rPr>
                <w:rFonts w:ascii="Cambria" w:hAnsi="Cambria" w:cstheme="minorHAnsi"/>
              </w:rPr>
            </w:pPr>
            <w:proofErr w:type="spellStart"/>
            <w:r>
              <w:rPr>
                <w:rFonts w:ascii="Cambria" w:hAnsi="Cambria" w:cstheme="minorHAnsi"/>
                <w:lang w:val="it-IT"/>
              </w:rPr>
              <w:t>u</w:t>
            </w:r>
            <w:r w:rsidR="00354E46" w:rsidRPr="00DF4CE5">
              <w:rPr>
                <w:rFonts w:ascii="Cambria" w:hAnsi="Cambria" w:cstheme="minorHAnsi"/>
                <w:lang w:val="it-IT"/>
              </w:rPr>
              <w:t>kupno</w:t>
            </w:r>
            <w:proofErr w:type="spellEnd"/>
          </w:p>
        </w:tc>
        <w:tc>
          <w:tcPr>
            <w:tcW w:w="71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BF9A948" w14:textId="77777777" w:rsidR="00354E46" w:rsidRPr="00DF4CE5" w:rsidRDefault="00354E46">
            <w:pPr>
              <w:spacing w:after="0" w:line="240" w:lineRule="auto"/>
              <w:jc w:val="center"/>
              <w:rPr>
                <w:rFonts w:ascii="Cambria" w:hAnsi="Cambria" w:cstheme="minorHAnsi"/>
              </w:rPr>
            </w:pPr>
            <w:r w:rsidRPr="00DF4CE5">
              <w:rPr>
                <w:rFonts w:ascii="Cambria" w:hAnsi="Cambria" w:cstheme="minorHAnsi"/>
              </w:rPr>
              <w:t>180</w:t>
            </w:r>
          </w:p>
        </w:tc>
        <w:tc>
          <w:tcPr>
            <w:tcW w:w="101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3DFDD8A" w14:textId="77777777" w:rsidR="00354E46" w:rsidRPr="00DF4CE5" w:rsidRDefault="00354E46">
            <w:pPr>
              <w:spacing w:after="0" w:line="240" w:lineRule="auto"/>
              <w:jc w:val="center"/>
              <w:rPr>
                <w:rFonts w:ascii="Cambria" w:hAnsi="Cambria" w:cstheme="minorHAnsi"/>
              </w:rPr>
            </w:pPr>
            <w:r w:rsidRPr="00DF4CE5">
              <w:rPr>
                <w:rFonts w:ascii="Cambria" w:hAnsi="Cambria" w:cstheme="minorHAnsi"/>
              </w:rPr>
              <w:t>6</w:t>
            </w:r>
          </w:p>
        </w:tc>
        <w:tc>
          <w:tcPr>
            <w:tcW w:w="132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E42BB51" w14:textId="77777777" w:rsidR="00354E46" w:rsidRPr="00DF4CE5" w:rsidRDefault="00354E46">
            <w:pPr>
              <w:spacing w:after="0" w:line="240" w:lineRule="auto"/>
              <w:jc w:val="center"/>
              <w:rPr>
                <w:rFonts w:ascii="Cambria" w:hAnsi="Cambria" w:cstheme="minorHAnsi"/>
              </w:rPr>
            </w:pPr>
            <w:r w:rsidRPr="00DF4CE5">
              <w:rPr>
                <w:rFonts w:ascii="Cambria" w:hAnsi="Cambria" w:cstheme="minorHAnsi"/>
              </w:rPr>
              <w:t>100%</w:t>
            </w:r>
          </w:p>
        </w:tc>
      </w:tr>
      <w:tr w:rsidR="00354E46" w:rsidRPr="00D0399C" w14:paraId="52F02026" w14:textId="77777777" w:rsidTr="00354E46">
        <w:tc>
          <w:tcPr>
            <w:tcW w:w="2629" w:type="dxa"/>
            <w:tcBorders>
              <w:top w:val="nil"/>
              <w:left w:val="single" w:sz="8" w:space="0" w:color="000000"/>
              <w:bottom w:val="nil"/>
              <w:right w:val="single" w:sz="8" w:space="0" w:color="000000"/>
            </w:tcBorders>
            <w:shd w:val="clear" w:color="auto" w:fill="F2F2F2"/>
            <w:vAlign w:val="center"/>
          </w:tcPr>
          <w:p w14:paraId="55DBEAFA" w14:textId="77777777" w:rsidR="00354E46" w:rsidRPr="00DF4CE5" w:rsidRDefault="00354E46">
            <w:pPr>
              <w:spacing w:after="0" w:line="240" w:lineRule="auto"/>
              <w:rPr>
                <w:rFonts w:ascii="Cambria" w:hAnsi="Cambria" w:cstheme="minorHAnsi"/>
              </w:rPr>
            </w:pPr>
          </w:p>
        </w:tc>
        <w:tc>
          <w:tcPr>
            <w:tcW w:w="6731"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0D24DDC" w14:textId="77777777" w:rsidR="00354E46" w:rsidRPr="00DF4CE5" w:rsidRDefault="00354E46">
            <w:pPr>
              <w:spacing w:after="0" w:line="240" w:lineRule="auto"/>
              <w:rPr>
                <w:rFonts w:ascii="Cambria" w:hAnsi="Cambria" w:cstheme="minorHAnsi"/>
              </w:rPr>
            </w:pPr>
            <w:proofErr w:type="spellStart"/>
            <w:r w:rsidRPr="00DF4CE5">
              <w:rPr>
                <w:rFonts w:ascii="Cambria" w:hAnsi="Cambria" w:cstheme="minorHAnsi"/>
              </w:rPr>
              <w:t>Dodatna</w:t>
            </w:r>
            <w:proofErr w:type="spellEnd"/>
            <w:r w:rsidRPr="00DF4CE5">
              <w:rPr>
                <w:rFonts w:ascii="Cambria" w:hAnsi="Cambria" w:cstheme="minorHAnsi"/>
              </w:rPr>
              <w:t xml:space="preserve"> </w:t>
            </w:r>
            <w:proofErr w:type="spellStart"/>
            <w:r w:rsidRPr="00DF4CE5">
              <w:rPr>
                <w:rFonts w:ascii="Cambria" w:hAnsi="Cambria" w:cstheme="minorHAnsi"/>
              </w:rPr>
              <w:t>pojašnjenja</w:t>
            </w:r>
            <w:proofErr w:type="spellEnd"/>
            <w:r w:rsidRPr="00DF4CE5">
              <w:rPr>
                <w:rFonts w:ascii="Cambria" w:hAnsi="Cambria" w:cstheme="minorHAnsi"/>
              </w:rPr>
              <w:t xml:space="preserve"> (</w:t>
            </w:r>
            <w:proofErr w:type="spellStart"/>
            <w:r w:rsidRPr="00DF4CE5">
              <w:rPr>
                <w:rFonts w:ascii="Cambria" w:hAnsi="Cambria" w:cstheme="minorHAnsi"/>
              </w:rPr>
              <w:t>kriteriji</w:t>
            </w:r>
            <w:proofErr w:type="spellEnd"/>
            <w:r w:rsidRPr="00DF4CE5">
              <w:rPr>
                <w:rFonts w:ascii="Cambria" w:hAnsi="Cambria" w:cstheme="minorHAnsi"/>
              </w:rPr>
              <w:t xml:space="preserve"> </w:t>
            </w:r>
            <w:proofErr w:type="spellStart"/>
            <w:r w:rsidRPr="00DF4CE5">
              <w:rPr>
                <w:rFonts w:ascii="Cambria" w:hAnsi="Cambria" w:cstheme="minorHAnsi"/>
              </w:rPr>
              <w:t>ocjenjivanja</w:t>
            </w:r>
            <w:proofErr w:type="spellEnd"/>
            <w:r w:rsidRPr="00DF4CE5">
              <w:rPr>
                <w:rFonts w:ascii="Cambria" w:hAnsi="Cambria" w:cstheme="minorHAnsi"/>
              </w:rPr>
              <w:t>):</w:t>
            </w:r>
          </w:p>
          <w:p w14:paraId="4F01F758" w14:textId="77777777" w:rsidR="00354E46" w:rsidRPr="00DF4CE5" w:rsidRDefault="00354E46">
            <w:pPr>
              <w:spacing w:after="0" w:line="240" w:lineRule="auto"/>
              <w:rPr>
                <w:rFonts w:ascii="Cambria" w:hAnsi="Cambria" w:cstheme="minorHAnsi"/>
              </w:rPr>
            </w:pPr>
            <w:proofErr w:type="spellStart"/>
            <w:r w:rsidRPr="00DF4CE5">
              <w:rPr>
                <w:rFonts w:ascii="Cambria" w:hAnsi="Cambria" w:cstheme="minorHAnsi"/>
              </w:rPr>
              <w:t>Studenti</w:t>
            </w:r>
            <w:proofErr w:type="spellEnd"/>
            <w:r w:rsidRPr="00DF4CE5">
              <w:rPr>
                <w:rFonts w:ascii="Cambria" w:hAnsi="Cambria" w:cstheme="minorHAnsi"/>
              </w:rPr>
              <w:t>/</w:t>
            </w:r>
            <w:proofErr w:type="spellStart"/>
            <w:r w:rsidRPr="00DF4CE5">
              <w:rPr>
                <w:rFonts w:ascii="Cambria" w:hAnsi="Cambria" w:cstheme="minorHAnsi"/>
              </w:rPr>
              <w:t>studentice</w:t>
            </w:r>
            <w:proofErr w:type="spellEnd"/>
            <w:r w:rsidRPr="00DF4CE5">
              <w:rPr>
                <w:rFonts w:ascii="Cambria" w:hAnsi="Cambria" w:cstheme="minorHAnsi"/>
              </w:rPr>
              <w:t xml:space="preserve"> </w:t>
            </w:r>
            <w:proofErr w:type="spellStart"/>
            <w:r w:rsidRPr="00DF4CE5">
              <w:rPr>
                <w:rFonts w:ascii="Cambria" w:hAnsi="Cambria" w:cstheme="minorHAnsi"/>
              </w:rPr>
              <w:t>će</w:t>
            </w:r>
            <w:proofErr w:type="spellEnd"/>
            <w:r w:rsidRPr="00DF4CE5">
              <w:rPr>
                <w:rFonts w:ascii="Cambria" w:hAnsi="Cambria" w:cstheme="minorHAnsi"/>
              </w:rPr>
              <w:t xml:space="preserve"> </w:t>
            </w:r>
            <w:proofErr w:type="spellStart"/>
            <w:r w:rsidRPr="00DF4CE5">
              <w:rPr>
                <w:rFonts w:ascii="Cambria" w:hAnsi="Cambria" w:cstheme="minorHAnsi"/>
              </w:rPr>
              <w:t>grupni</w:t>
            </w:r>
            <w:proofErr w:type="spellEnd"/>
            <w:r w:rsidRPr="00DF4CE5">
              <w:rPr>
                <w:rFonts w:ascii="Cambria" w:hAnsi="Cambria" w:cstheme="minorHAnsi"/>
              </w:rPr>
              <w:t xml:space="preserve"> rad – </w:t>
            </w:r>
            <w:proofErr w:type="spellStart"/>
            <w:r w:rsidRPr="00DF4CE5">
              <w:rPr>
                <w:rFonts w:ascii="Cambria" w:hAnsi="Cambria" w:cstheme="minorHAnsi"/>
              </w:rPr>
              <w:t>napisati</w:t>
            </w:r>
            <w:proofErr w:type="spellEnd"/>
            <w:r w:rsidRPr="00DF4CE5">
              <w:rPr>
                <w:rFonts w:ascii="Cambria" w:hAnsi="Cambria" w:cstheme="minorHAnsi"/>
              </w:rPr>
              <w:t xml:space="preserve"> (10 %) </w:t>
            </w:r>
            <w:proofErr w:type="spellStart"/>
            <w:r w:rsidRPr="00DF4CE5">
              <w:rPr>
                <w:rFonts w:ascii="Cambria" w:hAnsi="Cambria" w:cstheme="minorHAnsi"/>
              </w:rPr>
              <w:t>i</w:t>
            </w:r>
            <w:proofErr w:type="spellEnd"/>
            <w:r w:rsidRPr="00DF4CE5">
              <w:rPr>
                <w:rFonts w:ascii="Cambria" w:hAnsi="Cambria" w:cstheme="minorHAnsi"/>
              </w:rPr>
              <w:t xml:space="preserve"> </w:t>
            </w:r>
            <w:proofErr w:type="spellStart"/>
            <w:r w:rsidRPr="00DF4CE5">
              <w:rPr>
                <w:rFonts w:ascii="Cambria" w:hAnsi="Cambria" w:cstheme="minorHAnsi"/>
              </w:rPr>
              <w:t>prikazati</w:t>
            </w:r>
            <w:proofErr w:type="spellEnd"/>
            <w:r w:rsidRPr="00DF4CE5">
              <w:rPr>
                <w:rFonts w:ascii="Cambria" w:hAnsi="Cambria" w:cstheme="minorHAnsi"/>
              </w:rPr>
              <w:t xml:space="preserve"> (10 %) pred </w:t>
            </w:r>
            <w:proofErr w:type="spellStart"/>
            <w:r w:rsidRPr="00DF4CE5">
              <w:rPr>
                <w:rFonts w:ascii="Cambria" w:hAnsi="Cambria" w:cstheme="minorHAnsi"/>
              </w:rPr>
              <w:t>skupinom</w:t>
            </w:r>
            <w:proofErr w:type="spellEnd"/>
            <w:r w:rsidRPr="00DF4CE5">
              <w:rPr>
                <w:rFonts w:ascii="Cambria" w:hAnsi="Cambria" w:cstheme="minorHAnsi"/>
              </w:rPr>
              <w:t xml:space="preserve"> </w:t>
            </w:r>
            <w:proofErr w:type="spellStart"/>
            <w:r w:rsidRPr="00DF4CE5">
              <w:rPr>
                <w:rFonts w:ascii="Cambria" w:hAnsi="Cambria" w:cstheme="minorHAnsi"/>
              </w:rPr>
              <w:t>studenata</w:t>
            </w:r>
            <w:proofErr w:type="spellEnd"/>
            <w:r w:rsidRPr="00DF4CE5">
              <w:rPr>
                <w:rFonts w:ascii="Cambria" w:hAnsi="Cambria" w:cstheme="minorHAnsi"/>
              </w:rPr>
              <w:t xml:space="preserve">. </w:t>
            </w:r>
          </w:p>
          <w:p w14:paraId="197ABFB7" w14:textId="77777777" w:rsidR="00354E46" w:rsidRPr="00DF4CE5" w:rsidRDefault="00354E46">
            <w:pPr>
              <w:spacing w:after="0" w:line="240" w:lineRule="auto"/>
              <w:rPr>
                <w:rFonts w:ascii="Cambria" w:hAnsi="Cambria" w:cstheme="minorHAnsi"/>
                <w:lang w:val="it-IT"/>
              </w:rPr>
            </w:pPr>
            <w:r w:rsidRPr="00DF4CE5">
              <w:rPr>
                <w:rFonts w:ascii="Cambria" w:hAnsi="Cambria" w:cstheme="minorHAnsi"/>
                <w:lang w:val="it-IT"/>
              </w:rPr>
              <w:t xml:space="preserve">Elementi </w:t>
            </w:r>
            <w:proofErr w:type="spellStart"/>
            <w:r w:rsidRPr="00DF4CE5">
              <w:rPr>
                <w:rFonts w:ascii="Cambria" w:hAnsi="Cambria" w:cstheme="minorHAnsi"/>
                <w:lang w:val="it-IT"/>
              </w:rPr>
              <w:t>ocjenjivanja</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pisanog</w:t>
            </w:r>
            <w:proofErr w:type="spellEnd"/>
            <w:r w:rsidRPr="00DF4CE5">
              <w:rPr>
                <w:rFonts w:ascii="Cambria" w:hAnsi="Cambria" w:cstheme="minorHAnsi"/>
                <w:lang w:val="it-IT"/>
              </w:rPr>
              <w:t xml:space="preserve"> (10%) </w:t>
            </w:r>
            <w:proofErr w:type="spellStart"/>
            <w:r w:rsidRPr="00DF4CE5">
              <w:rPr>
                <w:rFonts w:ascii="Cambria" w:hAnsi="Cambria" w:cstheme="minorHAnsi"/>
                <w:lang w:val="it-IT"/>
              </w:rPr>
              <w:t>grupnog</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projekta</w:t>
            </w:r>
            <w:proofErr w:type="spellEnd"/>
            <w:r w:rsidRPr="00DF4CE5">
              <w:rPr>
                <w:rFonts w:ascii="Cambria" w:hAnsi="Cambria" w:cstheme="minorHAnsi"/>
                <w:lang w:val="it-IT"/>
              </w:rPr>
              <w:t>:</w:t>
            </w:r>
          </w:p>
          <w:p w14:paraId="151993AB" w14:textId="77777777" w:rsidR="00354E46" w:rsidRPr="00DF4CE5" w:rsidRDefault="00354E46">
            <w:pPr>
              <w:spacing w:after="0" w:line="240" w:lineRule="auto"/>
              <w:rPr>
                <w:rFonts w:ascii="Cambria" w:hAnsi="Cambria" w:cstheme="minorHAnsi"/>
                <w:lang w:val="it-IT"/>
              </w:rPr>
            </w:pPr>
            <w:r w:rsidRPr="00DF4CE5">
              <w:rPr>
                <w:rFonts w:ascii="Cambria" w:hAnsi="Cambria" w:cstheme="minorHAnsi"/>
                <w:lang w:val="it-IT"/>
              </w:rPr>
              <w:t xml:space="preserve">- </w:t>
            </w:r>
            <w:proofErr w:type="spellStart"/>
            <w:r w:rsidRPr="00DF4CE5">
              <w:rPr>
                <w:rFonts w:ascii="Cambria" w:hAnsi="Cambria" w:cstheme="minorHAnsi"/>
                <w:lang w:val="it-IT"/>
              </w:rPr>
              <w:t>Struktura</w:t>
            </w:r>
            <w:proofErr w:type="spellEnd"/>
            <w:r w:rsidRPr="00DF4CE5">
              <w:rPr>
                <w:rFonts w:ascii="Cambria" w:hAnsi="Cambria" w:cstheme="minorHAnsi"/>
                <w:lang w:val="it-IT"/>
              </w:rPr>
              <w:t xml:space="preserve"> rada (2%)</w:t>
            </w:r>
          </w:p>
          <w:p w14:paraId="1142C5D7" w14:textId="77777777" w:rsidR="00354E46" w:rsidRPr="00DF4CE5" w:rsidRDefault="00354E46">
            <w:pPr>
              <w:spacing w:after="0" w:line="240" w:lineRule="auto"/>
              <w:rPr>
                <w:rFonts w:ascii="Cambria" w:hAnsi="Cambria" w:cstheme="minorHAnsi"/>
                <w:lang w:val="it-IT"/>
              </w:rPr>
            </w:pPr>
            <w:r w:rsidRPr="00DF4CE5">
              <w:rPr>
                <w:rFonts w:ascii="Cambria" w:hAnsi="Cambria" w:cstheme="minorHAnsi"/>
                <w:lang w:val="it-IT"/>
              </w:rPr>
              <w:t xml:space="preserve">- </w:t>
            </w:r>
            <w:proofErr w:type="spellStart"/>
            <w:r w:rsidRPr="00DF4CE5">
              <w:rPr>
                <w:rFonts w:ascii="Cambria" w:hAnsi="Cambria" w:cstheme="minorHAnsi"/>
                <w:lang w:val="it-IT"/>
              </w:rPr>
              <w:t>Smislenost</w:t>
            </w:r>
            <w:proofErr w:type="spellEnd"/>
            <w:r w:rsidRPr="00DF4CE5">
              <w:rPr>
                <w:rFonts w:ascii="Cambria" w:hAnsi="Cambria" w:cstheme="minorHAnsi"/>
                <w:lang w:val="it-IT"/>
              </w:rPr>
              <w:t xml:space="preserve"> i </w:t>
            </w:r>
            <w:proofErr w:type="spellStart"/>
            <w:r w:rsidRPr="00DF4CE5">
              <w:rPr>
                <w:rFonts w:ascii="Cambria" w:hAnsi="Cambria" w:cstheme="minorHAnsi"/>
                <w:lang w:val="it-IT"/>
              </w:rPr>
              <w:t>argumentacija</w:t>
            </w:r>
            <w:proofErr w:type="spellEnd"/>
            <w:r w:rsidRPr="00DF4CE5">
              <w:rPr>
                <w:rFonts w:ascii="Cambria" w:hAnsi="Cambria" w:cstheme="minorHAnsi"/>
                <w:lang w:val="it-IT"/>
              </w:rPr>
              <w:t xml:space="preserve"> teme (5%)</w:t>
            </w:r>
          </w:p>
          <w:p w14:paraId="49AC7DDB" w14:textId="77777777" w:rsidR="00354E46" w:rsidRPr="00DF4CE5" w:rsidRDefault="00354E46">
            <w:pPr>
              <w:spacing w:after="0" w:line="240" w:lineRule="auto"/>
              <w:rPr>
                <w:rFonts w:ascii="Cambria" w:hAnsi="Cambria" w:cstheme="minorHAnsi"/>
                <w:lang w:val="it-IT"/>
              </w:rPr>
            </w:pPr>
            <w:r w:rsidRPr="00DF4CE5">
              <w:rPr>
                <w:rFonts w:ascii="Cambria" w:hAnsi="Cambria" w:cstheme="minorHAnsi"/>
                <w:lang w:val="it-IT"/>
              </w:rPr>
              <w:t xml:space="preserve">- </w:t>
            </w:r>
            <w:proofErr w:type="spellStart"/>
            <w:r w:rsidRPr="00DF4CE5">
              <w:rPr>
                <w:rFonts w:ascii="Cambria" w:hAnsi="Cambria" w:cstheme="minorHAnsi"/>
                <w:lang w:val="it-IT"/>
              </w:rPr>
              <w:t>Stručno</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izražavanje</w:t>
            </w:r>
            <w:proofErr w:type="spellEnd"/>
            <w:r w:rsidRPr="00DF4CE5">
              <w:rPr>
                <w:rFonts w:ascii="Cambria" w:hAnsi="Cambria" w:cstheme="minorHAnsi"/>
                <w:lang w:val="it-IT"/>
              </w:rPr>
              <w:t xml:space="preserve"> te </w:t>
            </w:r>
            <w:proofErr w:type="spellStart"/>
            <w:r w:rsidRPr="00DF4CE5">
              <w:rPr>
                <w:rFonts w:ascii="Cambria" w:hAnsi="Cambria" w:cstheme="minorHAnsi"/>
                <w:lang w:val="it-IT"/>
              </w:rPr>
              <w:t>kritičko</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korištenje</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relevantne</w:t>
            </w:r>
            <w:proofErr w:type="spellEnd"/>
            <w:r w:rsidRPr="00DF4CE5">
              <w:rPr>
                <w:rFonts w:ascii="Cambria" w:hAnsi="Cambria" w:cstheme="minorHAnsi"/>
                <w:lang w:val="it-IT"/>
              </w:rPr>
              <w:t xml:space="preserve"> i </w:t>
            </w:r>
            <w:proofErr w:type="spellStart"/>
            <w:r w:rsidRPr="00DF4CE5">
              <w:rPr>
                <w:rFonts w:ascii="Cambria" w:hAnsi="Cambria" w:cstheme="minorHAnsi"/>
                <w:lang w:val="it-IT"/>
              </w:rPr>
              <w:t>recentne</w:t>
            </w:r>
            <w:proofErr w:type="spellEnd"/>
            <w:r w:rsidRPr="00DF4CE5">
              <w:rPr>
                <w:rFonts w:ascii="Cambria" w:hAnsi="Cambria" w:cstheme="minorHAnsi"/>
                <w:lang w:val="it-IT"/>
              </w:rPr>
              <w:t xml:space="preserve"> literature (3%)</w:t>
            </w:r>
          </w:p>
          <w:p w14:paraId="79650F99" w14:textId="77777777" w:rsidR="00354E46" w:rsidRPr="00DF4CE5" w:rsidRDefault="00354E46">
            <w:pPr>
              <w:spacing w:after="0" w:line="240" w:lineRule="auto"/>
              <w:rPr>
                <w:rFonts w:ascii="Cambria" w:hAnsi="Cambria" w:cstheme="minorHAnsi"/>
                <w:lang w:val="it-IT"/>
              </w:rPr>
            </w:pPr>
            <w:r w:rsidRPr="00DF4CE5">
              <w:rPr>
                <w:rFonts w:ascii="Cambria" w:hAnsi="Cambria" w:cstheme="minorHAnsi"/>
                <w:lang w:val="it-IT"/>
              </w:rPr>
              <w:t xml:space="preserve">Elementi </w:t>
            </w:r>
            <w:proofErr w:type="spellStart"/>
            <w:r w:rsidRPr="00DF4CE5">
              <w:rPr>
                <w:rFonts w:ascii="Cambria" w:hAnsi="Cambria" w:cstheme="minorHAnsi"/>
                <w:lang w:val="it-IT"/>
              </w:rPr>
              <w:t>ocjenjivanja</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izloženog</w:t>
            </w:r>
            <w:proofErr w:type="spellEnd"/>
            <w:r w:rsidRPr="00DF4CE5">
              <w:rPr>
                <w:rFonts w:ascii="Cambria" w:hAnsi="Cambria" w:cstheme="minorHAnsi"/>
                <w:lang w:val="it-IT"/>
              </w:rPr>
              <w:t xml:space="preserve"> (10%) </w:t>
            </w:r>
            <w:proofErr w:type="spellStart"/>
            <w:r w:rsidRPr="00DF4CE5">
              <w:rPr>
                <w:rFonts w:ascii="Cambria" w:hAnsi="Cambria" w:cstheme="minorHAnsi"/>
                <w:lang w:val="it-IT"/>
              </w:rPr>
              <w:t>grupnog</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projekta</w:t>
            </w:r>
            <w:proofErr w:type="spellEnd"/>
            <w:r w:rsidRPr="00DF4CE5">
              <w:rPr>
                <w:rFonts w:ascii="Cambria" w:hAnsi="Cambria" w:cstheme="minorHAnsi"/>
                <w:lang w:val="it-IT"/>
              </w:rPr>
              <w:t>:</w:t>
            </w:r>
          </w:p>
          <w:p w14:paraId="35146701" w14:textId="77777777" w:rsidR="00354E46" w:rsidRPr="00DF4CE5" w:rsidRDefault="00354E46">
            <w:pPr>
              <w:spacing w:after="0" w:line="240" w:lineRule="auto"/>
              <w:rPr>
                <w:rFonts w:ascii="Cambria" w:hAnsi="Cambria" w:cstheme="minorHAnsi"/>
                <w:lang w:val="it-IT"/>
              </w:rPr>
            </w:pPr>
            <w:r w:rsidRPr="00DF4CE5">
              <w:rPr>
                <w:rFonts w:ascii="Cambria" w:hAnsi="Cambria" w:cstheme="minorHAnsi"/>
                <w:lang w:val="it-IT"/>
              </w:rPr>
              <w:t xml:space="preserve">- </w:t>
            </w:r>
            <w:proofErr w:type="spellStart"/>
            <w:r w:rsidRPr="00DF4CE5">
              <w:rPr>
                <w:rFonts w:ascii="Cambria" w:hAnsi="Cambria" w:cstheme="minorHAnsi"/>
                <w:lang w:val="it-IT"/>
              </w:rPr>
              <w:t>Kreativnost</w:t>
            </w:r>
            <w:proofErr w:type="spellEnd"/>
            <w:r w:rsidRPr="00DF4CE5">
              <w:rPr>
                <w:rFonts w:ascii="Cambria" w:hAnsi="Cambria" w:cstheme="minorHAnsi"/>
                <w:lang w:val="it-IT"/>
              </w:rPr>
              <w:t xml:space="preserve"> u </w:t>
            </w:r>
            <w:proofErr w:type="spellStart"/>
            <w:r w:rsidRPr="00DF4CE5">
              <w:rPr>
                <w:rFonts w:ascii="Cambria" w:hAnsi="Cambria" w:cstheme="minorHAnsi"/>
                <w:lang w:val="it-IT"/>
              </w:rPr>
              <w:t>izlaganju</w:t>
            </w:r>
            <w:proofErr w:type="spellEnd"/>
            <w:r w:rsidRPr="00DF4CE5">
              <w:rPr>
                <w:rFonts w:ascii="Cambria" w:hAnsi="Cambria" w:cstheme="minorHAnsi"/>
                <w:lang w:val="it-IT"/>
              </w:rPr>
              <w:t xml:space="preserve"> (2%)</w:t>
            </w:r>
          </w:p>
          <w:p w14:paraId="6AC0661B" w14:textId="77777777" w:rsidR="00354E46" w:rsidRPr="00DF4CE5" w:rsidRDefault="00354E46">
            <w:pPr>
              <w:spacing w:after="0" w:line="240" w:lineRule="auto"/>
              <w:rPr>
                <w:rFonts w:ascii="Cambria" w:hAnsi="Cambria" w:cstheme="minorHAnsi"/>
                <w:lang w:val="it-IT"/>
              </w:rPr>
            </w:pPr>
            <w:r w:rsidRPr="00DF4CE5">
              <w:rPr>
                <w:rFonts w:ascii="Cambria" w:hAnsi="Cambria" w:cstheme="minorHAnsi"/>
                <w:lang w:val="it-IT"/>
              </w:rPr>
              <w:t xml:space="preserve">- </w:t>
            </w:r>
            <w:proofErr w:type="spellStart"/>
            <w:r w:rsidRPr="00DF4CE5">
              <w:rPr>
                <w:rFonts w:ascii="Cambria" w:hAnsi="Cambria" w:cstheme="minorHAnsi"/>
                <w:lang w:val="it-IT"/>
              </w:rPr>
              <w:t>Kvaliteta</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verbalne</w:t>
            </w:r>
            <w:proofErr w:type="spellEnd"/>
            <w:r w:rsidRPr="00DF4CE5">
              <w:rPr>
                <w:rFonts w:ascii="Cambria" w:hAnsi="Cambria" w:cstheme="minorHAnsi"/>
                <w:lang w:val="it-IT"/>
              </w:rPr>
              <w:t xml:space="preserve"> i </w:t>
            </w:r>
            <w:proofErr w:type="spellStart"/>
            <w:r w:rsidRPr="00DF4CE5">
              <w:rPr>
                <w:rFonts w:ascii="Cambria" w:hAnsi="Cambria" w:cstheme="minorHAnsi"/>
                <w:lang w:val="it-IT"/>
              </w:rPr>
              <w:t>neverbalne</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komunikacije</w:t>
            </w:r>
            <w:proofErr w:type="spellEnd"/>
            <w:r w:rsidRPr="00DF4CE5">
              <w:rPr>
                <w:rFonts w:ascii="Cambria" w:hAnsi="Cambria" w:cstheme="minorHAnsi"/>
                <w:lang w:val="it-IT"/>
              </w:rPr>
              <w:t xml:space="preserve"> (4%)</w:t>
            </w:r>
          </w:p>
          <w:p w14:paraId="721A045B" w14:textId="77777777" w:rsidR="00354E46" w:rsidRPr="00DF4CE5" w:rsidRDefault="00354E46">
            <w:pPr>
              <w:spacing w:after="0" w:line="240" w:lineRule="auto"/>
              <w:rPr>
                <w:rFonts w:ascii="Cambria" w:hAnsi="Cambria" w:cstheme="minorHAnsi"/>
                <w:lang w:val="it-IT"/>
              </w:rPr>
            </w:pPr>
            <w:r w:rsidRPr="00DF4CE5">
              <w:rPr>
                <w:rFonts w:ascii="Cambria" w:hAnsi="Cambria" w:cstheme="minorHAnsi"/>
                <w:lang w:val="it-IT"/>
              </w:rPr>
              <w:t xml:space="preserve">- </w:t>
            </w:r>
            <w:proofErr w:type="spellStart"/>
            <w:r w:rsidRPr="00DF4CE5">
              <w:rPr>
                <w:rFonts w:ascii="Cambria" w:hAnsi="Cambria" w:cstheme="minorHAnsi"/>
                <w:lang w:val="it-IT"/>
              </w:rPr>
              <w:t>Kvaliteta</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interakcije</w:t>
            </w:r>
            <w:proofErr w:type="spellEnd"/>
            <w:r w:rsidRPr="00DF4CE5">
              <w:rPr>
                <w:rFonts w:ascii="Cambria" w:hAnsi="Cambria" w:cstheme="minorHAnsi"/>
                <w:lang w:val="it-IT"/>
              </w:rPr>
              <w:t xml:space="preserve"> s </w:t>
            </w:r>
            <w:proofErr w:type="spellStart"/>
            <w:r w:rsidRPr="00DF4CE5">
              <w:rPr>
                <w:rFonts w:ascii="Cambria" w:hAnsi="Cambria" w:cstheme="minorHAnsi"/>
                <w:lang w:val="it-IT"/>
              </w:rPr>
              <w:t>publikom</w:t>
            </w:r>
            <w:proofErr w:type="spellEnd"/>
            <w:r w:rsidRPr="00DF4CE5">
              <w:rPr>
                <w:rFonts w:ascii="Cambria" w:hAnsi="Cambria" w:cstheme="minorHAnsi"/>
                <w:lang w:val="it-IT"/>
              </w:rPr>
              <w:t xml:space="preserve"> (2%)</w:t>
            </w:r>
          </w:p>
          <w:p w14:paraId="6B25FC22" w14:textId="77777777" w:rsidR="00354E46" w:rsidRPr="00DF4CE5" w:rsidRDefault="00354E46">
            <w:pPr>
              <w:spacing w:after="0" w:line="240" w:lineRule="auto"/>
              <w:rPr>
                <w:rFonts w:ascii="Cambria" w:hAnsi="Cambria" w:cstheme="minorHAnsi"/>
                <w:lang w:val="it-IT"/>
              </w:rPr>
            </w:pPr>
            <w:r w:rsidRPr="00DF4CE5">
              <w:rPr>
                <w:rFonts w:ascii="Cambria" w:hAnsi="Cambria" w:cstheme="minorHAnsi"/>
                <w:lang w:val="it-IT"/>
              </w:rPr>
              <w:t xml:space="preserve">- </w:t>
            </w:r>
            <w:proofErr w:type="spellStart"/>
            <w:r w:rsidRPr="00DF4CE5">
              <w:rPr>
                <w:rFonts w:ascii="Cambria" w:hAnsi="Cambria" w:cstheme="minorHAnsi"/>
                <w:lang w:val="it-IT"/>
              </w:rPr>
              <w:t>Korištenje</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digitalnih</w:t>
            </w:r>
            <w:proofErr w:type="spellEnd"/>
            <w:r w:rsidRPr="00DF4CE5">
              <w:rPr>
                <w:rFonts w:ascii="Cambria" w:hAnsi="Cambria" w:cstheme="minorHAnsi"/>
                <w:lang w:val="it-IT"/>
              </w:rPr>
              <w:t xml:space="preserve"> i/ili </w:t>
            </w:r>
            <w:proofErr w:type="spellStart"/>
            <w:r w:rsidRPr="00DF4CE5">
              <w:rPr>
                <w:rFonts w:ascii="Cambria" w:hAnsi="Cambria" w:cstheme="minorHAnsi"/>
                <w:lang w:val="it-IT"/>
              </w:rPr>
              <w:t>interaktivnih</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medija</w:t>
            </w:r>
            <w:proofErr w:type="spellEnd"/>
            <w:r w:rsidRPr="00DF4CE5">
              <w:rPr>
                <w:rFonts w:ascii="Cambria" w:hAnsi="Cambria" w:cstheme="minorHAnsi"/>
                <w:lang w:val="it-IT"/>
              </w:rPr>
              <w:t xml:space="preserve"> (2%)</w:t>
            </w:r>
          </w:p>
          <w:p w14:paraId="2B46A5E7" w14:textId="77777777" w:rsidR="00354E46" w:rsidRPr="00DF4CE5" w:rsidRDefault="00354E46">
            <w:pPr>
              <w:spacing w:after="0" w:line="240" w:lineRule="auto"/>
              <w:rPr>
                <w:rFonts w:ascii="Cambria" w:hAnsi="Cambria" w:cstheme="minorHAnsi"/>
                <w:lang w:val="it-IT"/>
              </w:rPr>
            </w:pPr>
            <w:r w:rsidRPr="00DF4CE5">
              <w:rPr>
                <w:rFonts w:ascii="Cambria" w:hAnsi="Cambria" w:cstheme="minorHAnsi"/>
                <w:lang w:val="it-IT"/>
              </w:rPr>
              <w:t>Studenti/</w:t>
            </w:r>
            <w:proofErr w:type="spellStart"/>
            <w:r w:rsidRPr="00DF4CE5">
              <w:rPr>
                <w:rFonts w:ascii="Cambria" w:hAnsi="Cambria" w:cstheme="minorHAnsi"/>
                <w:lang w:val="it-IT"/>
              </w:rPr>
              <w:t>studentice</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će</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individualni</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istraživački</w:t>
            </w:r>
            <w:proofErr w:type="spellEnd"/>
            <w:r w:rsidRPr="00DF4CE5">
              <w:rPr>
                <w:rFonts w:ascii="Cambria" w:hAnsi="Cambria" w:cstheme="minorHAnsi"/>
                <w:lang w:val="it-IT"/>
              </w:rPr>
              <w:t xml:space="preserve"> rad predati u </w:t>
            </w:r>
            <w:proofErr w:type="spellStart"/>
            <w:r w:rsidRPr="00DF4CE5">
              <w:rPr>
                <w:rFonts w:ascii="Cambria" w:hAnsi="Cambria" w:cstheme="minorHAnsi"/>
                <w:lang w:val="it-IT"/>
              </w:rPr>
              <w:t>pisanom</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obliku</w:t>
            </w:r>
            <w:proofErr w:type="spellEnd"/>
            <w:r w:rsidRPr="00DF4CE5">
              <w:rPr>
                <w:rFonts w:ascii="Cambria" w:hAnsi="Cambria" w:cstheme="minorHAnsi"/>
                <w:lang w:val="it-IT"/>
              </w:rPr>
              <w:t xml:space="preserve"> (20%). </w:t>
            </w:r>
          </w:p>
          <w:p w14:paraId="50576B01" w14:textId="77777777" w:rsidR="00354E46" w:rsidRPr="00DF4CE5" w:rsidRDefault="00354E46">
            <w:pPr>
              <w:spacing w:after="0" w:line="240" w:lineRule="auto"/>
              <w:rPr>
                <w:rFonts w:ascii="Cambria" w:hAnsi="Cambria" w:cstheme="minorHAnsi"/>
                <w:lang w:val="it-IT"/>
              </w:rPr>
            </w:pPr>
            <w:r w:rsidRPr="00DF4CE5">
              <w:rPr>
                <w:rFonts w:ascii="Cambria" w:hAnsi="Cambria" w:cstheme="minorHAnsi"/>
                <w:lang w:val="it-IT"/>
              </w:rPr>
              <w:t xml:space="preserve">Elementi </w:t>
            </w:r>
            <w:proofErr w:type="spellStart"/>
            <w:r w:rsidRPr="00DF4CE5">
              <w:rPr>
                <w:rFonts w:ascii="Cambria" w:hAnsi="Cambria" w:cstheme="minorHAnsi"/>
                <w:lang w:val="it-IT"/>
              </w:rPr>
              <w:t>ocjenjivanja</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istraživačkog</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individualnog</w:t>
            </w:r>
            <w:proofErr w:type="spellEnd"/>
            <w:r w:rsidRPr="00DF4CE5">
              <w:rPr>
                <w:rFonts w:ascii="Cambria" w:hAnsi="Cambria" w:cstheme="minorHAnsi"/>
                <w:lang w:val="it-IT"/>
              </w:rPr>
              <w:t xml:space="preserve"> rada (20%):</w:t>
            </w:r>
          </w:p>
          <w:p w14:paraId="44B0E845" w14:textId="77777777" w:rsidR="00354E46" w:rsidRPr="00DF4CE5" w:rsidRDefault="00354E46">
            <w:pPr>
              <w:spacing w:after="0" w:line="240" w:lineRule="auto"/>
              <w:rPr>
                <w:rFonts w:ascii="Cambria" w:hAnsi="Cambria" w:cstheme="minorHAnsi"/>
                <w:lang w:val="it-IT"/>
              </w:rPr>
            </w:pPr>
            <w:r w:rsidRPr="00DF4CE5">
              <w:rPr>
                <w:rFonts w:ascii="Cambria" w:hAnsi="Cambria" w:cstheme="minorHAnsi"/>
                <w:lang w:val="it-IT"/>
              </w:rPr>
              <w:t xml:space="preserve">- </w:t>
            </w:r>
            <w:proofErr w:type="spellStart"/>
            <w:r w:rsidRPr="00DF4CE5">
              <w:rPr>
                <w:rFonts w:ascii="Cambria" w:hAnsi="Cambria" w:cstheme="minorHAnsi"/>
                <w:lang w:val="it-IT"/>
              </w:rPr>
              <w:t>Struktura</w:t>
            </w:r>
            <w:proofErr w:type="spellEnd"/>
            <w:r w:rsidRPr="00DF4CE5">
              <w:rPr>
                <w:rFonts w:ascii="Cambria" w:hAnsi="Cambria" w:cstheme="minorHAnsi"/>
                <w:lang w:val="it-IT"/>
              </w:rPr>
              <w:t xml:space="preserve"> rada (3%)</w:t>
            </w:r>
          </w:p>
          <w:p w14:paraId="51CB6FEA" w14:textId="77777777" w:rsidR="00354E46" w:rsidRPr="00DF4CE5" w:rsidRDefault="00354E46">
            <w:pPr>
              <w:spacing w:after="0" w:line="240" w:lineRule="auto"/>
              <w:rPr>
                <w:rFonts w:ascii="Cambria" w:hAnsi="Cambria" w:cstheme="minorHAnsi"/>
                <w:lang w:val="it-IT"/>
              </w:rPr>
            </w:pPr>
            <w:r w:rsidRPr="00DF4CE5">
              <w:rPr>
                <w:rFonts w:ascii="Cambria" w:hAnsi="Cambria" w:cstheme="minorHAnsi"/>
                <w:lang w:val="it-IT"/>
              </w:rPr>
              <w:t xml:space="preserve">- </w:t>
            </w:r>
            <w:proofErr w:type="spellStart"/>
            <w:r w:rsidRPr="00DF4CE5">
              <w:rPr>
                <w:rFonts w:ascii="Cambria" w:hAnsi="Cambria" w:cstheme="minorHAnsi"/>
                <w:lang w:val="it-IT"/>
              </w:rPr>
              <w:t>Kvaliteta</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osmišljene</w:t>
            </w:r>
            <w:proofErr w:type="spellEnd"/>
            <w:r w:rsidRPr="00DF4CE5">
              <w:rPr>
                <w:rFonts w:ascii="Cambria" w:hAnsi="Cambria" w:cstheme="minorHAnsi"/>
                <w:lang w:val="it-IT"/>
              </w:rPr>
              <w:t xml:space="preserve"> i </w:t>
            </w:r>
            <w:proofErr w:type="spellStart"/>
            <w:r w:rsidRPr="00DF4CE5">
              <w:rPr>
                <w:rFonts w:ascii="Cambria" w:hAnsi="Cambria" w:cstheme="minorHAnsi"/>
                <w:lang w:val="it-IT"/>
              </w:rPr>
              <w:t>argumentirane</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kritičke</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teze</w:t>
            </w:r>
            <w:proofErr w:type="spellEnd"/>
            <w:r w:rsidRPr="00DF4CE5">
              <w:rPr>
                <w:rFonts w:ascii="Cambria" w:hAnsi="Cambria" w:cstheme="minorHAnsi"/>
                <w:lang w:val="it-IT"/>
              </w:rPr>
              <w:t xml:space="preserve"> (12%)</w:t>
            </w:r>
          </w:p>
          <w:p w14:paraId="04913D7A" w14:textId="77777777" w:rsidR="00354E46" w:rsidRPr="00DF4CE5" w:rsidRDefault="00354E46">
            <w:pPr>
              <w:spacing w:after="0" w:line="240" w:lineRule="auto"/>
              <w:rPr>
                <w:rFonts w:ascii="Cambria" w:hAnsi="Cambria" w:cstheme="minorHAnsi"/>
                <w:lang w:val="it-IT"/>
              </w:rPr>
            </w:pPr>
            <w:r w:rsidRPr="00DF4CE5">
              <w:rPr>
                <w:rFonts w:ascii="Cambria" w:hAnsi="Cambria" w:cstheme="minorHAnsi"/>
                <w:lang w:val="it-IT"/>
              </w:rPr>
              <w:t xml:space="preserve">- </w:t>
            </w:r>
            <w:proofErr w:type="spellStart"/>
            <w:r w:rsidRPr="00DF4CE5">
              <w:rPr>
                <w:rFonts w:ascii="Cambria" w:hAnsi="Cambria" w:cstheme="minorHAnsi"/>
                <w:lang w:val="it-IT"/>
              </w:rPr>
              <w:t>Stručno</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izražavanje</w:t>
            </w:r>
            <w:proofErr w:type="spellEnd"/>
            <w:r w:rsidRPr="00DF4CE5">
              <w:rPr>
                <w:rFonts w:ascii="Cambria" w:hAnsi="Cambria" w:cstheme="minorHAnsi"/>
                <w:lang w:val="it-IT"/>
              </w:rPr>
              <w:t xml:space="preserve"> te </w:t>
            </w:r>
            <w:proofErr w:type="spellStart"/>
            <w:r w:rsidRPr="00DF4CE5">
              <w:rPr>
                <w:rFonts w:ascii="Cambria" w:hAnsi="Cambria" w:cstheme="minorHAnsi"/>
                <w:lang w:val="it-IT"/>
              </w:rPr>
              <w:t>kritičko</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korištenje</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relevantne</w:t>
            </w:r>
            <w:proofErr w:type="spellEnd"/>
            <w:r w:rsidRPr="00DF4CE5">
              <w:rPr>
                <w:rFonts w:ascii="Cambria" w:hAnsi="Cambria" w:cstheme="minorHAnsi"/>
                <w:lang w:val="it-IT"/>
              </w:rPr>
              <w:t xml:space="preserve"> i </w:t>
            </w:r>
            <w:proofErr w:type="spellStart"/>
            <w:r w:rsidRPr="00DF4CE5">
              <w:rPr>
                <w:rFonts w:ascii="Cambria" w:hAnsi="Cambria" w:cstheme="minorHAnsi"/>
                <w:lang w:val="it-IT"/>
              </w:rPr>
              <w:t>recentne</w:t>
            </w:r>
            <w:proofErr w:type="spellEnd"/>
            <w:r w:rsidRPr="00DF4CE5">
              <w:rPr>
                <w:rFonts w:ascii="Cambria" w:hAnsi="Cambria" w:cstheme="minorHAnsi"/>
                <w:lang w:val="it-IT"/>
              </w:rPr>
              <w:t xml:space="preserve"> literature (5%)</w:t>
            </w:r>
          </w:p>
        </w:tc>
      </w:tr>
      <w:tr w:rsidR="00354E46" w:rsidRPr="00D0399C" w14:paraId="45270D07" w14:textId="77777777" w:rsidTr="00354E46">
        <w:tc>
          <w:tcPr>
            <w:tcW w:w="26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10E3FCC" w14:textId="77777777" w:rsidR="00354E46" w:rsidRPr="00DF4CE5" w:rsidRDefault="00354E46">
            <w:pPr>
              <w:spacing w:after="0" w:line="240" w:lineRule="auto"/>
              <w:rPr>
                <w:rFonts w:ascii="Cambria" w:hAnsi="Cambria" w:cstheme="minorHAnsi"/>
              </w:rPr>
            </w:pPr>
            <w:proofErr w:type="spellStart"/>
            <w:r w:rsidRPr="00DF4CE5">
              <w:rPr>
                <w:rFonts w:ascii="Cambria" w:hAnsi="Cambria" w:cstheme="minorHAnsi"/>
              </w:rPr>
              <w:t>Studentske</w:t>
            </w:r>
            <w:proofErr w:type="spellEnd"/>
            <w:r w:rsidRPr="00DF4CE5">
              <w:rPr>
                <w:rFonts w:ascii="Cambria" w:hAnsi="Cambria" w:cstheme="minorHAnsi"/>
              </w:rPr>
              <w:t xml:space="preserve"> </w:t>
            </w:r>
            <w:proofErr w:type="spellStart"/>
            <w:r w:rsidRPr="00DF4CE5">
              <w:rPr>
                <w:rFonts w:ascii="Cambria" w:hAnsi="Cambria" w:cstheme="minorHAnsi"/>
              </w:rPr>
              <w:t>obveze</w:t>
            </w:r>
            <w:proofErr w:type="spellEnd"/>
          </w:p>
        </w:tc>
        <w:tc>
          <w:tcPr>
            <w:tcW w:w="6731"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AB267D2" w14:textId="77777777" w:rsidR="00354E46" w:rsidRPr="00DF4CE5" w:rsidRDefault="00354E46">
            <w:pPr>
              <w:spacing w:after="0" w:line="240" w:lineRule="auto"/>
              <w:rPr>
                <w:rFonts w:ascii="Cambria" w:hAnsi="Cambria" w:cstheme="minorHAnsi"/>
                <w:lang w:val="it-IT"/>
              </w:rPr>
            </w:pPr>
            <w:r w:rsidRPr="00DF4CE5">
              <w:rPr>
                <w:rFonts w:ascii="Cambria" w:hAnsi="Cambria" w:cstheme="minorHAnsi"/>
                <w:lang w:val="it-IT"/>
              </w:rPr>
              <w:t xml:space="preserve">Da </w:t>
            </w:r>
            <w:proofErr w:type="spellStart"/>
            <w:r w:rsidRPr="00DF4CE5">
              <w:rPr>
                <w:rFonts w:ascii="Cambria" w:hAnsi="Cambria" w:cstheme="minorHAnsi"/>
                <w:lang w:val="it-IT"/>
              </w:rPr>
              <w:t>položi</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kolegij</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student</w:t>
            </w:r>
            <w:proofErr w:type="spellEnd"/>
            <w:r w:rsidRPr="00DF4CE5">
              <w:rPr>
                <w:rFonts w:ascii="Cambria" w:hAnsi="Cambria" w:cstheme="minorHAnsi"/>
                <w:lang w:val="it-IT"/>
              </w:rPr>
              <w:t>/</w:t>
            </w:r>
            <w:proofErr w:type="spellStart"/>
            <w:r w:rsidRPr="00DF4CE5">
              <w:rPr>
                <w:rFonts w:ascii="Cambria" w:hAnsi="Cambria" w:cstheme="minorHAnsi"/>
                <w:lang w:val="it-IT"/>
              </w:rPr>
              <w:t>studentica</w:t>
            </w:r>
            <w:proofErr w:type="spellEnd"/>
            <w:r w:rsidRPr="00DF4CE5">
              <w:rPr>
                <w:rFonts w:ascii="Cambria" w:hAnsi="Cambria" w:cstheme="minorHAnsi"/>
                <w:lang w:val="it-IT"/>
              </w:rPr>
              <w:t xml:space="preserve"> mora: </w:t>
            </w:r>
          </w:p>
          <w:p w14:paraId="2945E704" w14:textId="77777777" w:rsidR="00354E46" w:rsidRPr="00DF4CE5" w:rsidRDefault="00354E46">
            <w:pPr>
              <w:spacing w:after="0" w:line="240" w:lineRule="auto"/>
              <w:rPr>
                <w:rFonts w:ascii="Cambria" w:hAnsi="Cambria" w:cstheme="minorHAnsi"/>
                <w:lang w:val="it-IT"/>
              </w:rPr>
            </w:pPr>
            <w:r w:rsidRPr="00DF4CE5">
              <w:rPr>
                <w:rFonts w:ascii="Cambria" w:hAnsi="Cambria" w:cstheme="minorHAnsi"/>
                <w:lang w:val="it-IT"/>
              </w:rPr>
              <w:t xml:space="preserve">1. </w:t>
            </w:r>
            <w:proofErr w:type="spellStart"/>
            <w:r w:rsidRPr="00DF4CE5">
              <w:rPr>
                <w:rFonts w:ascii="Cambria" w:hAnsi="Cambria" w:cstheme="minorHAnsi"/>
                <w:lang w:val="it-IT"/>
              </w:rPr>
              <w:t>aktivno</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sudjelovati</w:t>
            </w:r>
            <w:proofErr w:type="spellEnd"/>
            <w:r w:rsidRPr="00DF4CE5">
              <w:rPr>
                <w:rFonts w:ascii="Cambria" w:hAnsi="Cambria" w:cstheme="minorHAnsi"/>
                <w:lang w:val="it-IT"/>
              </w:rPr>
              <w:t xml:space="preserve"> u </w:t>
            </w:r>
            <w:proofErr w:type="spellStart"/>
            <w:r w:rsidRPr="00DF4CE5">
              <w:rPr>
                <w:rFonts w:ascii="Cambria" w:hAnsi="Cambria" w:cstheme="minorHAnsi"/>
                <w:lang w:val="it-IT"/>
              </w:rPr>
              <w:t>interaktivnim</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aktivnostima</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na</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nastavi</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pedagoške</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radionice</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vježbe</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igre</w:t>
            </w:r>
            <w:proofErr w:type="spellEnd"/>
            <w:r w:rsidRPr="00DF4CE5">
              <w:rPr>
                <w:rFonts w:ascii="Cambria" w:hAnsi="Cambria" w:cstheme="minorHAnsi"/>
                <w:lang w:val="it-IT"/>
              </w:rPr>
              <w:t xml:space="preserve"> i </w:t>
            </w:r>
            <w:proofErr w:type="spellStart"/>
            <w:r w:rsidRPr="00DF4CE5">
              <w:rPr>
                <w:rFonts w:ascii="Cambria" w:hAnsi="Cambria" w:cstheme="minorHAnsi"/>
                <w:lang w:val="it-IT"/>
              </w:rPr>
              <w:t>sl</w:t>
            </w:r>
            <w:proofErr w:type="spellEnd"/>
            <w:r w:rsidRPr="00DF4CE5">
              <w:rPr>
                <w:rFonts w:ascii="Cambria" w:hAnsi="Cambria" w:cstheme="minorHAnsi"/>
                <w:lang w:val="it-IT"/>
              </w:rPr>
              <w:t>.)</w:t>
            </w:r>
          </w:p>
          <w:p w14:paraId="79BC4483" w14:textId="77777777" w:rsidR="00354E46" w:rsidRPr="00DF4CE5" w:rsidRDefault="00354E46">
            <w:pPr>
              <w:spacing w:after="0" w:line="240" w:lineRule="auto"/>
              <w:rPr>
                <w:rFonts w:ascii="Cambria" w:hAnsi="Cambria" w:cstheme="minorHAnsi"/>
                <w:lang w:val="it-IT"/>
              </w:rPr>
            </w:pPr>
            <w:r w:rsidRPr="00DF4CE5">
              <w:rPr>
                <w:rFonts w:ascii="Cambria" w:hAnsi="Cambria" w:cstheme="minorHAnsi"/>
                <w:lang w:val="it-IT"/>
              </w:rPr>
              <w:t xml:space="preserve">2. </w:t>
            </w:r>
            <w:proofErr w:type="spellStart"/>
            <w:r w:rsidRPr="00DF4CE5">
              <w:rPr>
                <w:rFonts w:ascii="Cambria" w:hAnsi="Cambria" w:cstheme="minorHAnsi"/>
                <w:lang w:val="it-IT"/>
              </w:rPr>
              <w:t>aktivno</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sudjelovati</w:t>
            </w:r>
            <w:proofErr w:type="spellEnd"/>
            <w:r w:rsidRPr="00DF4CE5">
              <w:rPr>
                <w:rFonts w:ascii="Cambria" w:hAnsi="Cambria" w:cstheme="minorHAnsi"/>
                <w:lang w:val="it-IT"/>
              </w:rPr>
              <w:t xml:space="preserve"> u </w:t>
            </w:r>
            <w:proofErr w:type="spellStart"/>
            <w:r w:rsidRPr="00DF4CE5">
              <w:rPr>
                <w:rFonts w:ascii="Cambria" w:hAnsi="Cambria" w:cstheme="minorHAnsi"/>
                <w:lang w:val="it-IT"/>
              </w:rPr>
              <w:t>grupnom</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projektu</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definiranje</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identificiranje</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raspravljanje</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izlaganje</w:t>
            </w:r>
            <w:proofErr w:type="spellEnd"/>
            <w:r w:rsidRPr="00DF4CE5">
              <w:rPr>
                <w:rFonts w:ascii="Cambria" w:hAnsi="Cambria" w:cstheme="minorHAnsi"/>
                <w:lang w:val="it-IT"/>
              </w:rPr>
              <w:t xml:space="preserve"> i </w:t>
            </w:r>
            <w:proofErr w:type="spellStart"/>
            <w:r w:rsidRPr="00DF4CE5">
              <w:rPr>
                <w:rFonts w:ascii="Cambria" w:hAnsi="Cambria" w:cstheme="minorHAnsi"/>
                <w:lang w:val="it-IT"/>
              </w:rPr>
              <w:t>razlučivanje</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teorijskih</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spoznaja</w:t>
            </w:r>
            <w:proofErr w:type="spellEnd"/>
            <w:r w:rsidRPr="00DF4CE5">
              <w:rPr>
                <w:rFonts w:ascii="Cambria" w:hAnsi="Cambria" w:cstheme="minorHAnsi"/>
                <w:lang w:val="it-IT"/>
              </w:rPr>
              <w:t xml:space="preserve"> u </w:t>
            </w:r>
            <w:proofErr w:type="spellStart"/>
            <w:r w:rsidRPr="00DF4CE5">
              <w:rPr>
                <w:rFonts w:ascii="Cambria" w:hAnsi="Cambria" w:cstheme="minorHAnsi"/>
                <w:lang w:val="it-IT"/>
              </w:rPr>
              <w:t>grupnom</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pismenom</w:t>
            </w:r>
            <w:proofErr w:type="spellEnd"/>
            <w:r w:rsidRPr="00DF4CE5">
              <w:rPr>
                <w:rFonts w:ascii="Cambria" w:hAnsi="Cambria" w:cstheme="minorHAnsi"/>
                <w:lang w:val="it-IT"/>
              </w:rPr>
              <w:t xml:space="preserve"> (10%) i </w:t>
            </w:r>
            <w:proofErr w:type="spellStart"/>
            <w:r w:rsidRPr="00DF4CE5">
              <w:rPr>
                <w:rFonts w:ascii="Cambria" w:hAnsi="Cambria" w:cstheme="minorHAnsi"/>
                <w:lang w:val="it-IT"/>
              </w:rPr>
              <w:t>usmenom</w:t>
            </w:r>
            <w:proofErr w:type="spellEnd"/>
            <w:r w:rsidRPr="00DF4CE5">
              <w:rPr>
                <w:rFonts w:ascii="Cambria" w:hAnsi="Cambria" w:cstheme="minorHAnsi"/>
                <w:lang w:val="it-IT"/>
              </w:rPr>
              <w:t xml:space="preserve"> (10%) </w:t>
            </w:r>
            <w:proofErr w:type="spellStart"/>
            <w:r w:rsidRPr="00DF4CE5">
              <w:rPr>
                <w:rFonts w:ascii="Cambria" w:hAnsi="Cambria" w:cstheme="minorHAnsi"/>
                <w:lang w:val="it-IT"/>
              </w:rPr>
              <w:t>prikazu</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pojedinih</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sadržaja</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kolegija</w:t>
            </w:r>
            <w:proofErr w:type="spellEnd"/>
            <w:r w:rsidRPr="00DF4CE5">
              <w:rPr>
                <w:rFonts w:ascii="Cambria" w:hAnsi="Cambria" w:cstheme="minorHAnsi"/>
                <w:lang w:val="it-IT"/>
              </w:rPr>
              <w:t xml:space="preserve"> o </w:t>
            </w:r>
            <w:proofErr w:type="spellStart"/>
            <w:r w:rsidRPr="00DF4CE5">
              <w:rPr>
                <w:rFonts w:ascii="Cambria" w:hAnsi="Cambria" w:cstheme="minorHAnsi"/>
                <w:lang w:val="it-IT"/>
              </w:rPr>
              <w:t>pedagogijskoj</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teoriji</w:t>
            </w:r>
            <w:proofErr w:type="spellEnd"/>
            <w:r w:rsidRPr="00DF4CE5">
              <w:rPr>
                <w:rFonts w:ascii="Cambria" w:hAnsi="Cambria" w:cstheme="minorHAnsi"/>
                <w:lang w:val="it-IT"/>
              </w:rPr>
              <w:t>)</w:t>
            </w:r>
          </w:p>
          <w:p w14:paraId="469D6168" w14:textId="77777777" w:rsidR="00354E46" w:rsidRPr="00DF4CE5" w:rsidRDefault="00354E46">
            <w:pPr>
              <w:spacing w:after="0" w:line="240" w:lineRule="auto"/>
              <w:rPr>
                <w:rFonts w:ascii="Cambria" w:hAnsi="Cambria" w:cstheme="minorHAnsi"/>
                <w:lang w:val="it-IT"/>
              </w:rPr>
            </w:pPr>
            <w:r w:rsidRPr="00DF4CE5">
              <w:rPr>
                <w:rFonts w:ascii="Cambria" w:hAnsi="Cambria" w:cstheme="minorHAnsi"/>
                <w:lang w:val="it-IT"/>
              </w:rPr>
              <w:t xml:space="preserve">3. </w:t>
            </w:r>
            <w:proofErr w:type="spellStart"/>
            <w:r w:rsidRPr="00DF4CE5">
              <w:rPr>
                <w:rFonts w:ascii="Cambria" w:hAnsi="Cambria" w:cstheme="minorHAnsi"/>
                <w:lang w:val="it-IT"/>
              </w:rPr>
              <w:t>izraditi</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istraživački</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individualni</w:t>
            </w:r>
            <w:proofErr w:type="spellEnd"/>
            <w:r w:rsidRPr="00DF4CE5">
              <w:rPr>
                <w:rFonts w:ascii="Cambria" w:hAnsi="Cambria" w:cstheme="minorHAnsi"/>
                <w:lang w:val="it-IT"/>
              </w:rPr>
              <w:t xml:space="preserve"> rad </w:t>
            </w:r>
            <w:proofErr w:type="spellStart"/>
            <w:r w:rsidRPr="00DF4CE5">
              <w:rPr>
                <w:rFonts w:ascii="Cambria" w:hAnsi="Cambria" w:cstheme="minorHAnsi"/>
                <w:lang w:val="it-IT"/>
              </w:rPr>
              <w:t>na</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izabranu</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temu</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iz</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područja</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pedagogije</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individualni</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kritički</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osvrt</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na</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recentni</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izvor</w:t>
            </w:r>
            <w:proofErr w:type="spellEnd"/>
            <w:r w:rsidRPr="00DF4CE5">
              <w:rPr>
                <w:rFonts w:ascii="Cambria" w:hAnsi="Cambria" w:cstheme="minorHAnsi"/>
                <w:lang w:val="it-IT"/>
              </w:rPr>
              <w:t xml:space="preserve"> literature o </w:t>
            </w:r>
            <w:proofErr w:type="spellStart"/>
            <w:r w:rsidRPr="00DF4CE5">
              <w:rPr>
                <w:rFonts w:ascii="Cambria" w:hAnsi="Cambria" w:cstheme="minorHAnsi"/>
                <w:lang w:val="it-IT"/>
              </w:rPr>
              <w:t>suvremenoj</w:t>
            </w:r>
            <w:proofErr w:type="spellEnd"/>
            <w:r w:rsidRPr="00DF4CE5">
              <w:rPr>
                <w:rFonts w:ascii="Cambria" w:hAnsi="Cambria" w:cstheme="minorHAnsi"/>
                <w:lang w:val="it-IT"/>
              </w:rPr>
              <w:t xml:space="preserve"> problematici </w:t>
            </w:r>
            <w:proofErr w:type="spellStart"/>
            <w:r w:rsidRPr="00DF4CE5">
              <w:rPr>
                <w:rFonts w:ascii="Cambria" w:hAnsi="Cambria" w:cstheme="minorHAnsi"/>
                <w:lang w:val="it-IT"/>
              </w:rPr>
              <w:t>pedagogijske</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znanosti</w:t>
            </w:r>
            <w:proofErr w:type="spellEnd"/>
            <w:r w:rsidRPr="00DF4CE5">
              <w:rPr>
                <w:rFonts w:ascii="Cambria" w:hAnsi="Cambria" w:cstheme="minorHAnsi"/>
                <w:lang w:val="it-IT"/>
              </w:rPr>
              <w:t>)</w:t>
            </w:r>
          </w:p>
          <w:p w14:paraId="1EAEAA86" w14:textId="77777777" w:rsidR="00354E46" w:rsidRPr="00DF4CE5" w:rsidRDefault="00354E46">
            <w:pPr>
              <w:spacing w:after="0" w:line="240" w:lineRule="auto"/>
              <w:rPr>
                <w:rFonts w:ascii="Cambria" w:hAnsi="Cambria" w:cstheme="minorHAnsi"/>
                <w:lang w:val="it-IT"/>
              </w:rPr>
            </w:pPr>
            <w:r w:rsidRPr="00DF4CE5">
              <w:rPr>
                <w:rFonts w:ascii="Cambria" w:hAnsi="Cambria" w:cstheme="minorHAnsi"/>
                <w:lang w:val="it-IT"/>
              </w:rPr>
              <w:t xml:space="preserve">4. </w:t>
            </w:r>
            <w:proofErr w:type="spellStart"/>
            <w:r w:rsidRPr="00DF4CE5">
              <w:rPr>
                <w:rFonts w:ascii="Cambria" w:hAnsi="Cambria" w:cstheme="minorHAnsi"/>
                <w:lang w:val="it-IT"/>
              </w:rPr>
              <w:t>sudjelovati</w:t>
            </w:r>
            <w:proofErr w:type="spellEnd"/>
            <w:r w:rsidRPr="00DF4CE5">
              <w:rPr>
                <w:rFonts w:ascii="Cambria" w:hAnsi="Cambria" w:cstheme="minorHAnsi"/>
                <w:lang w:val="it-IT"/>
              </w:rPr>
              <w:t xml:space="preserve"> u </w:t>
            </w:r>
            <w:proofErr w:type="spellStart"/>
            <w:r w:rsidRPr="00DF4CE5">
              <w:rPr>
                <w:rFonts w:ascii="Cambria" w:hAnsi="Cambria" w:cstheme="minorHAnsi"/>
                <w:lang w:val="it-IT"/>
              </w:rPr>
              <w:t>terenskoj</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nastavi</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alternativne</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škole</w:t>
            </w:r>
            <w:proofErr w:type="spellEnd"/>
          </w:p>
          <w:p w14:paraId="2DD0A50E" w14:textId="77777777" w:rsidR="00354E46" w:rsidRPr="00DF4CE5" w:rsidRDefault="00354E46">
            <w:pPr>
              <w:spacing w:after="0" w:line="240" w:lineRule="auto"/>
              <w:rPr>
                <w:rFonts w:ascii="Cambria" w:hAnsi="Cambria" w:cstheme="minorHAnsi"/>
                <w:lang w:val="it-IT"/>
              </w:rPr>
            </w:pPr>
            <w:r w:rsidRPr="00DF4CE5">
              <w:rPr>
                <w:rFonts w:ascii="Cambria" w:hAnsi="Cambria" w:cstheme="minorHAnsi"/>
                <w:lang w:val="it-IT"/>
              </w:rPr>
              <w:t xml:space="preserve">5. </w:t>
            </w:r>
            <w:proofErr w:type="spellStart"/>
            <w:r w:rsidRPr="00DF4CE5">
              <w:rPr>
                <w:rFonts w:ascii="Cambria" w:hAnsi="Cambria" w:cstheme="minorHAnsi"/>
                <w:lang w:val="it-IT"/>
              </w:rPr>
              <w:t>položiti</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pismeni</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ispit</w:t>
            </w:r>
            <w:proofErr w:type="spellEnd"/>
            <w:r w:rsidRPr="00DF4CE5">
              <w:rPr>
                <w:rFonts w:ascii="Cambria" w:hAnsi="Cambria" w:cstheme="minorHAnsi"/>
                <w:lang w:val="it-IT"/>
              </w:rPr>
              <w:t>.</w:t>
            </w:r>
          </w:p>
          <w:p w14:paraId="3858E3C7" w14:textId="77777777" w:rsidR="00354E46" w:rsidRPr="00DF4CE5" w:rsidRDefault="00354E46">
            <w:pPr>
              <w:spacing w:after="0" w:line="240" w:lineRule="auto"/>
              <w:rPr>
                <w:rFonts w:ascii="Cambria" w:hAnsi="Cambria" w:cstheme="minorHAnsi"/>
                <w:lang w:val="it-IT"/>
              </w:rPr>
            </w:pPr>
            <w:proofErr w:type="spellStart"/>
            <w:r w:rsidRPr="00DF4CE5">
              <w:rPr>
                <w:rFonts w:ascii="Cambria" w:hAnsi="Cambria" w:cstheme="minorHAnsi"/>
                <w:lang w:val="it-IT"/>
              </w:rPr>
              <w:t>Napomena</w:t>
            </w:r>
            <w:proofErr w:type="spellEnd"/>
            <w:r w:rsidRPr="00DF4CE5">
              <w:rPr>
                <w:rFonts w:ascii="Cambria" w:hAnsi="Cambria" w:cstheme="minorHAnsi"/>
                <w:lang w:val="it-IT"/>
              </w:rPr>
              <w:t>: (</w:t>
            </w:r>
            <w:proofErr w:type="spellStart"/>
            <w:r w:rsidRPr="00DF4CE5">
              <w:rPr>
                <w:rFonts w:ascii="Cambria" w:hAnsi="Cambria" w:cstheme="minorHAnsi"/>
                <w:lang w:val="it-IT"/>
              </w:rPr>
              <w:t>vrijedi</w:t>
            </w:r>
            <w:proofErr w:type="spellEnd"/>
            <w:r w:rsidRPr="00DF4CE5">
              <w:rPr>
                <w:rFonts w:ascii="Cambria" w:hAnsi="Cambria" w:cstheme="minorHAnsi"/>
                <w:lang w:val="it-IT"/>
              </w:rPr>
              <w:t xml:space="preserve"> za </w:t>
            </w:r>
            <w:proofErr w:type="spellStart"/>
            <w:r w:rsidRPr="00DF4CE5">
              <w:rPr>
                <w:rFonts w:ascii="Cambria" w:hAnsi="Cambria" w:cstheme="minorHAnsi"/>
                <w:lang w:val="it-IT"/>
              </w:rPr>
              <w:t>obveze</w:t>
            </w:r>
            <w:proofErr w:type="spellEnd"/>
            <w:r w:rsidRPr="00DF4CE5">
              <w:rPr>
                <w:rFonts w:ascii="Cambria" w:hAnsi="Cambria" w:cstheme="minorHAnsi"/>
                <w:lang w:val="it-IT"/>
              </w:rPr>
              <w:t xml:space="preserve"> 1., 2. i 3.) </w:t>
            </w:r>
            <w:proofErr w:type="spellStart"/>
            <w:r w:rsidRPr="00DF4CE5">
              <w:rPr>
                <w:rFonts w:ascii="Cambria" w:hAnsi="Cambria" w:cstheme="minorHAnsi"/>
                <w:lang w:val="it-IT"/>
              </w:rPr>
              <w:t>Student</w:t>
            </w:r>
            <w:proofErr w:type="spellEnd"/>
            <w:r w:rsidRPr="00DF4CE5">
              <w:rPr>
                <w:rFonts w:ascii="Cambria" w:hAnsi="Cambria" w:cstheme="minorHAnsi"/>
                <w:lang w:val="it-IT"/>
              </w:rPr>
              <w:t>/</w:t>
            </w:r>
            <w:proofErr w:type="spellStart"/>
            <w:r w:rsidRPr="00DF4CE5">
              <w:rPr>
                <w:rFonts w:ascii="Cambria" w:hAnsi="Cambria" w:cstheme="minorHAnsi"/>
                <w:lang w:val="it-IT"/>
              </w:rPr>
              <w:t>studentica</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treba</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aktivno</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sudjelovati</w:t>
            </w:r>
            <w:proofErr w:type="spellEnd"/>
            <w:r w:rsidRPr="00DF4CE5">
              <w:rPr>
                <w:rFonts w:ascii="Cambria" w:hAnsi="Cambria" w:cstheme="minorHAnsi"/>
                <w:lang w:val="it-IT"/>
              </w:rPr>
              <w:t xml:space="preserve"> u </w:t>
            </w:r>
            <w:proofErr w:type="spellStart"/>
            <w:r w:rsidRPr="00DF4CE5">
              <w:rPr>
                <w:rFonts w:ascii="Cambria" w:hAnsi="Cambria" w:cstheme="minorHAnsi"/>
                <w:lang w:val="it-IT"/>
              </w:rPr>
              <w:t>interaktivnim</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aktivnostima</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na</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nastavi</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predavanja</w:t>
            </w:r>
            <w:proofErr w:type="spellEnd"/>
            <w:r w:rsidRPr="00DF4CE5">
              <w:rPr>
                <w:rFonts w:ascii="Cambria" w:hAnsi="Cambria" w:cstheme="minorHAnsi"/>
                <w:lang w:val="it-IT"/>
              </w:rPr>
              <w:t xml:space="preserve"> i </w:t>
            </w:r>
            <w:proofErr w:type="spellStart"/>
            <w:r w:rsidRPr="00DF4CE5">
              <w:rPr>
                <w:rFonts w:ascii="Cambria" w:hAnsi="Cambria" w:cstheme="minorHAnsi"/>
                <w:lang w:val="it-IT"/>
              </w:rPr>
              <w:t>seminara</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najmanje</w:t>
            </w:r>
            <w:proofErr w:type="spellEnd"/>
            <w:r w:rsidRPr="00DF4CE5">
              <w:rPr>
                <w:rFonts w:ascii="Cambria" w:hAnsi="Cambria" w:cstheme="minorHAnsi"/>
                <w:lang w:val="it-IT"/>
              </w:rPr>
              <w:t xml:space="preserve"> 70%. Studenti </w:t>
            </w:r>
            <w:proofErr w:type="spellStart"/>
            <w:r w:rsidRPr="00DF4CE5">
              <w:rPr>
                <w:rFonts w:ascii="Cambria" w:hAnsi="Cambria" w:cstheme="minorHAnsi"/>
                <w:lang w:val="it-IT"/>
              </w:rPr>
              <w:t>trebaju</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riješiti</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obaveze</w:t>
            </w:r>
            <w:proofErr w:type="spellEnd"/>
            <w:r w:rsidRPr="00DF4CE5">
              <w:rPr>
                <w:rFonts w:ascii="Cambria" w:hAnsi="Cambria" w:cstheme="minorHAnsi"/>
                <w:lang w:val="it-IT"/>
              </w:rPr>
              <w:t xml:space="preserve"> do </w:t>
            </w:r>
            <w:proofErr w:type="spellStart"/>
            <w:r w:rsidRPr="00DF4CE5">
              <w:rPr>
                <w:rFonts w:ascii="Cambria" w:hAnsi="Cambria" w:cstheme="minorHAnsi"/>
                <w:lang w:val="it-IT"/>
              </w:rPr>
              <w:t>zadanog</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roka</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Rokovi</w:t>
            </w:r>
            <w:proofErr w:type="spellEnd"/>
            <w:r w:rsidRPr="00DF4CE5">
              <w:rPr>
                <w:rFonts w:ascii="Cambria" w:hAnsi="Cambria" w:cstheme="minorHAnsi"/>
                <w:lang w:val="it-IT"/>
              </w:rPr>
              <w:t xml:space="preserve"> se u </w:t>
            </w:r>
            <w:proofErr w:type="spellStart"/>
            <w:r w:rsidRPr="00DF4CE5">
              <w:rPr>
                <w:rFonts w:ascii="Cambria" w:hAnsi="Cambria" w:cstheme="minorHAnsi"/>
                <w:lang w:val="it-IT"/>
              </w:rPr>
              <w:t>ovome</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kolegiju</w:t>
            </w:r>
            <w:proofErr w:type="spellEnd"/>
            <w:r w:rsidRPr="00DF4CE5">
              <w:rPr>
                <w:rFonts w:ascii="Cambria" w:hAnsi="Cambria" w:cstheme="minorHAnsi"/>
                <w:lang w:val="it-IT"/>
              </w:rPr>
              <w:t xml:space="preserve"> u </w:t>
            </w:r>
            <w:proofErr w:type="spellStart"/>
            <w:r w:rsidRPr="00DF4CE5">
              <w:rPr>
                <w:rFonts w:ascii="Cambria" w:hAnsi="Cambria" w:cstheme="minorHAnsi"/>
                <w:lang w:val="it-IT"/>
              </w:rPr>
              <w:t>potpunosti</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poštuju</w:t>
            </w:r>
            <w:proofErr w:type="spellEnd"/>
            <w:r w:rsidRPr="00DF4CE5">
              <w:rPr>
                <w:rFonts w:ascii="Cambria" w:hAnsi="Cambria" w:cstheme="minorHAnsi"/>
                <w:lang w:val="it-IT"/>
              </w:rPr>
              <w:t>.</w:t>
            </w:r>
          </w:p>
        </w:tc>
      </w:tr>
      <w:tr w:rsidR="00354E46" w:rsidRPr="00DF4CE5" w14:paraId="03790F74" w14:textId="77777777" w:rsidTr="00354E46">
        <w:tc>
          <w:tcPr>
            <w:tcW w:w="26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62BA72E" w14:textId="77777777" w:rsidR="00354E46" w:rsidRPr="00DF4CE5" w:rsidRDefault="00354E46">
            <w:pPr>
              <w:spacing w:after="0" w:line="240" w:lineRule="auto"/>
              <w:rPr>
                <w:rFonts w:ascii="Cambria" w:hAnsi="Cambria" w:cstheme="minorHAnsi"/>
              </w:rPr>
            </w:pPr>
            <w:proofErr w:type="spellStart"/>
            <w:r w:rsidRPr="00DF4CE5">
              <w:rPr>
                <w:rFonts w:ascii="Cambria" w:hAnsi="Cambria" w:cstheme="minorHAnsi"/>
              </w:rPr>
              <w:t>Rokovi</w:t>
            </w:r>
            <w:proofErr w:type="spellEnd"/>
            <w:r w:rsidRPr="00DF4CE5">
              <w:rPr>
                <w:rFonts w:ascii="Cambria" w:hAnsi="Cambria" w:cstheme="minorHAnsi"/>
              </w:rPr>
              <w:t xml:space="preserve"> </w:t>
            </w:r>
            <w:proofErr w:type="spellStart"/>
            <w:r w:rsidRPr="00DF4CE5">
              <w:rPr>
                <w:rFonts w:ascii="Cambria" w:hAnsi="Cambria" w:cstheme="minorHAnsi"/>
              </w:rPr>
              <w:t>ispita</w:t>
            </w:r>
            <w:proofErr w:type="spellEnd"/>
          </w:p>
        </w:tc>
        <w:tc>
          <w:tcPr>
            <w:tcW w:w="6731"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3B936D3" w14:textId="77777777" w:rsidR="00354E46" w:rsidRPr="00DF4CE5" w:rsidRDefault="00354E46">
            <w:pPr>
              <w:spacing w:after="0" w:line="240" w:lineRule="auto"/>
              <w:rPr>
                <w:rFonts w:ascii="Cambria" w:hAnsi="Cambria" w:cstheme="minorHAnsi"/>
              </w:rPr>
            </w:pPr>
            <w:r w:rsidRPr="00DF4CE5">
              <w:rPr>
                <w:rFonts w:ascii="Cambria" w:hAnsi="Cambria" w:cstheme="minorHAnsi"/>
              </w:rPr>
              <w:t xml:space="preserve">Daju se </w:t>
            </w:r>
            <w:proofErr w:type="spellStart"/>
            <w:r w:rsidRPr="00DF4CE5">
              <w:rPr>
                <w:rFonts w:ascii="Cambria" w:hAnsi="Cambria" w:cstheme="minorHAnsi"/>
              </w:rPr>
              <w:t>na</w:t>
            </w:r>
            <w:proofErr w:type="spellEnd"/>
            <w:r w:rsidRPr="00DF4CE5">
              <w:rPr>
                <w:rFonts w:ascii="Cambria" w:hAnsi="Cambria" w:cstheme="minorHAnsi"/>
              </w:rPr>
              <w:t xml:space="preserve"> </w:t>
            </w:r>
            <w:proofErr w:type="spellStart"/>
            <w:r w:rsidRPr="00DF4CE5">
              <w:rPr>
                <w:rFonts w:ascii="Cambria" w:hAnsi="Cambria" w:cstheme="minorHAnsi"/>
              </w:rPr>
              <w:t>početku</w:t>
            </w:r>
            <w:proofErr w:type="spellEnd"/>
            <w:r w:rsidRPr="00DF4CE5">
              <w:rPr>
                <w:rFonts w:ascii="Cambria" w:hAnsi="Cambria" w:cstheme="minorHAnsi"/>
              </w:rPr>
              <w:t xml:space="preserve"> </w:t>
            </w:r>
            <w:proofErr w:type="spellStart"/>
            <w:r w:rsidRPr="00DF4CE5">
              <w:rPr>
                <w:rFonts w:ascii="Cambria" w:hAnsi="Cambria" w:cstheme="minorHAnsi"/>
              </w:rPr>
              <w:t>akademske</w:t>
            </w:r>
            <w:proofErr w:type="spellEnd"/>
            <w:r w:rsidRPr="00DF4CE5">
              <w:rPr>
                <w:rFonts w:ascii="Cambria" w:hAnsi="Cambria" w:cstheme="minorHAnsi"/>
              </w:rPr>
              <w:t xml:space="preserve"> </w:t>
            </w:r>
            <w:proofErr w:type="spellStart"/>
            <w:r w:rsidRPr="00DF4CE5">
              <w:rPr>
                <w:rFonts w:ascii="Cambria" w:hAnsi="Cambria" w:cstheme="minorHAnsi"/>
              </w:rPr>
              <w:t>godine</w:t>
            </w:r>
            <w:proofErr w:type="spellEnd"/>
            <w:r w:rsidRPr="00DF4CE5">
              <w:rPr>
                <w:rFonts w:ascii="Cambria" w:hAnsi="Cambria" w:cstheme="minorHAnsi"/>
              </w:rPr>
              <w:t xml:space="preserve">, </w:t>
            </w:r>
            <w:proofErr w:type="spellStart"/>
            <w:r w:rsidRPr="00DF4CE5">
              <w:rPr>
                <w:rFonts w:ascii="Cambria" w:hAnsi="Cambria" w:cstheme="minorHAnsi"/>
              </w:rPr>
              <w:t>objavljuju</w:t>
            </w:r>
            <w:proofErr w:type="spellEnd"/>
            <w:r w:rsidRPr="00DF4CE5">
              <w:rPr>
                <w:rFonts w:ascii="Cambria" w:hAnsi="Cambria" w:cstheme="minorHAnsi"/>
              </w:rPr>
              <w:t xml:space="preserve"> se </w:t>
            </w:r>
            <w:proofErr w:type="spellStart"/>
            <w:r w:rsidRPr="00DF4CE5">
              <w:rPr>
                <w:rFonts w:ascii="Cambria" w:hAnsi="Cambria" w:cstheme="minorHAnsi"/>
              </w:rPr>
              <w:t>na</w:t>
            </w:r>
            <w:proofErr w:type="spellEnd"/>
            <w:r w:rsidRPr="00DF4CE5">
              <w:rPr>
                <w:rFonts w:ascii="Cambria" w:hAnsi="Cambria" w:cstheme="minorHAnsi"/>
              </w:rPr>
              <w:t xml:space="preserve"> </w:t>
            </w:r>
            <w:proofErr w:type="spellStart"/>
            <w:r w:rsidRPr="00DF4CE5">
              <w:rPr>
                <w:rFonts w:ascii="Cambria" w:hAnsi="Cambria" w:cstheme="minorHAnsi"/>
              </w:rPr>
              <w:t>mrežnim</w:t>
            </w:r>
            <w:proofErr w:type="spellEnd"/>
            <w:r w:rsidRPr="00DF4CE5">
              <w:rPr>
                <w:rFonts w:ascii="Cambria" w:hAnsi="Cambria" w:cstheme="minorHAnsi"/>
              </w:rPr>
              <w:t xml:space="preserve"> </w:t>
            </w:r>
            <w:proofErr w:type="spellStart"/>
            <w:r w:rsidRPr="00DF4CE5">
              <w:rPr>
                <w:rFonts w:ascii="Cambria" w:hAnsi="Cambria" w:cstheme="minorHAnsi"/>
              </w:rPr>
              <w:t>stranicama</w:t>
            </w:r>
            <w:proofErr w:type="spellEnd"/>
            <w:r w:rsidRPr="00DF4CE5">
              <w:rPr>
                <w:rFonts w:ascii="Cambria" w:hAnsi="Cambria" w:cstheme="minorHAnsi"/>
              </w:rPr>
              <w:t xml:space="preserve"> </w:t>
            </w:r>
            <w:proofErr w:type="spellStart"/>
            <w:r w:rsidRPr="00DF4CE5">
              <w:rPr>
                <w:rFonts w:ascii="Cambria" w:hAnsi="Cambria" w:cstheme="minorHAnsi"/>
              </w:rPr>
              <w:t>Sveučilišta</w:t>
            </w:r>
            <w:proofErr w:type="spellEnd"/>
            <w:r w:rsidRPr="00DF4CE5">
              <w:rPr>
                <w:rFonts w:ascii="Cambria" w:hAnsi="Cambria" w:cstheme="minorHAnsi"/>
              </w:rPr>
              <w:t xml:space="preserve"> </w:t>
            </w:r>
            <w:proofErr w:type="spellStart"/>
            <w:r w:rsidRPr="00DF4CE5">
              <w:rPr>
                <w:rFonts w:ascii="Cambria" w:hAnsi="Cambria" w:cstheme="minorHAnsi"/>
              </w:rPr>
              <w:t>i</w:t>
            </w:r>
            <w:proofErr w:type="spellEnd"/>
            <w:r w:rsidRPr="00DF4CE5">
              <w:rPr>
                <w:rFonts w:ascii="Cambria" w:hAnsi="Cambria" w:cstheme="minorHAnsi"/>
              </w:rPr>
              <w:t xml:space="preserve"> u ISVU.</w:t>
            </w:r>
          </w:p>
        </w:tc>
      </w:tr>
      <w:tr w:rsidR="00354E46" w:rsidRPr="00DF4CE5" w14:paraId="297F31D1" w14:textId="77777777" w:rsidTr="00354E46">
        <w:tc>
          <w:tcPr>
            <w:tcW w:w="26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6527D9A" w14:textId="77777777" w:rsidR="00354E46" w:rsidRPr="00DF4CE5" w:rsidRDefault="00354E46">
            <w:pPr>
              <w:spacing w:after="0" w:line="240" w:lineRule="auto"/>
              <w:rPr>
                <w:rFonts w:ascii="Cambria" w:hAnsi="Cambria" w:cstheme="minorHAnsi"/>
                <w:lang w:val="it-IT"/>
              </w:rPr>
            </w:pPr>
            <w:r w:rsidRPr="00DF4CE5">
              <w:rPr>
                <w:rFonts w:ascii="Cambria" w:hAnsi="Cambria" w:cstheme="minorHAnsi"/>
                <w:lang w:val="it-IT"/>
              </w:rPr>
              <w:t xml:space="preserve">Ostale </w:t>
            </w:r>
            <w:proofErr w:type="spellStart"/>
            <w:r w:rsidRPr="00DF4CE5">
              <w:rPr>
                <w:rFonts w:ascii="Cambria" w:hAnsi="Cambria" w:cstheme="minorHAnsi"/>
                <w:lang w:val="it-IT"/>
              </w:rPr>
              <w:t>važne</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činjenice</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vezane</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uz</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kolegij</w:t>
            </w:r>
            <w:proofErr w:type="spellEnd"/>
          </w:p>
        </w:tc>
        <w:tc>
          <w:tcPr>
            <w:tcW w:w="6731"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5A95A15" w14:textId="77777777" w:rsidR="00354E46" w:rsidRPr="00DF4CE5" w:rsidRDefault="00354E46">
            <w:pPr>
              <w:spacing w:after="0" w:line="240" w:lineRule="auto"/>
              <w:rPr>
                <w:rFonts w:ascii="Cambria" w:hAnsi="Cambria" w:cstheme="minorHAnsi"/>
                <w:lang w:val="it-IT"/>
              </w:rPr>
            </w:pPr>
            <w:proofErr w:type="spellStart"/>
            <w:r w:rsidRPr="00DF4CE5">
              <w:rPr>
                <w:rFonts w:ascii="Cambria" w:hAnsi="Cambria" w:cstheme="minorHAnsi"/>
                <w:lang w:val="it-IT"/>
              </w:rPr>
              <w:t>Materijali</w:t>
            </w:r>
            <w:proofErr w:type="spellEnd"/>
            <w:r w:rsidRPr="00DF4CE5">
              <w:rPr>
                <w:rFonts w:ascii="Cambria" w:hAnsi="Cambria" w:cstheme="minorHAnsi"/>
                <w:lang w:val="it-IT"/>
              </w:rPr>
              <w:t xml:space="preserve"> za </w:t>
            </w:r>
            <w:proofErr w:type="spellStart"/>
            <w:r w:rsidRPr="00DF4CE5">
              <w:rPr>
                <w:rFonts w:ascii="Cambria" w:hAnsi="Cambria" w:cstheme="minorHAnsi"/>
                <w:lang w:val="it-IT"/>
              </w:rPr>
              <w:t>predavanja</w:t>
            </w:r>
            <w:proofErr w:type="spellEnd"/>
            <w:r w:rsidRPr="00DF4CE5">
              <w:rPr>
                <w:rFonts w:ascii="Cambria" w:hAnsi="Cambria" w:cstheme="minorHAnsi"/>
                <w:lang w:val="it-IT"/>
              </w:rPr>
              <w:t xml:space="preserve"> </w:t>
            </w:r>
            <w:proofErr w:type="gramStart"/>
            <w:r w:rsidRPr="00DF4CE5">
              <w:rPr>
                <w:rFonts w:ascii="Cambria" w:hAnsi="Cambria" w:cstheme="minorHAnsi"/>
                <w:lang w:val="it-IT"/>
              </w:rPr>
              <w:t>i seminare</w:t>
            </w:r>
            <w:proofErr w:type="gramEnd"/>
            <w:r w:rsidRPr="00DF4CE5">
              <w:rPr>
                <w:rFonts w:ascii="Cambria" w:hAnsi="Cambria" w:cstheme="minorHAnsi"/>
                <w:lang w:val="it-IT"/>
              </w:rPr>
              <w:t xml:space="preserve"> </w:t>
            </w:r>
            <w:proofErr w:type="spellStart"/>
            <w:r w:rsidRPr="00DF4CE5">
              <w:rPr>
                <w:rFonts w:ascii="Cambria" w:hAnsi="Cambria" w:cstheme="minorHAnsi"/>
                <w:lang w:val="it-IT"/>
              </w:rPr>
              <w:t>objavljuju</w:t>
            </w:r>
            <w:proofErr w:type="spellEnd"/>
            <w:r w:rsidRPr="00DF4CE5">
              <w:rPr>
                <w:rFonts w:ascii="Cambria" w:hAnsi="Cambria" w:cstheme="minorHAnsi"/>
                <w:lang w:val="it-IT"/>
              </w:rPr>
              <w:t xml:space="preserve"> se </w:t>
            </w:r>
            <w:proofErr w:type="spellStart"/>
            <w:r w:rsidRPr="00DF4CE5">
              <w:rPr>
                <w:rFonts w:ascii="Cambria" w:hAnsi="Cambria" w:cstheme="minorHAnsi"/>
                <w:lang w:val="it-IT"/>
              </w:rPr>
              <w:t>na</w:t>
            </w:r>
            <w:proofErr w:type="spellEnd"/>
            <w:r w:rsidRPr="00DF4CE5">
              <w:rPr>
                <w:rFonts w:ascii="Cambria" w:hAnsi="Cambria" w:cstheme="minorHAnsi"/>
                <w:lang w:val="it-IT"/>
              </w:rPr>
              <w:t xml:space="preserve"> e-</w:t>
            </w:r>
            <w:proofErr w:type="spellStart"/>
            <w:r w:rsidRPr="00DF4CE5">
              <w:rPr>
                <w:rFonts w:ascii="Cambria" w:hAnsi="Cambria" w:cstheme="minorHAnsi"/>
                <w:lang w:val="it-IT"/>
              </w:rPr>
              <w:t>učenju</w:t>
            </w:r>
            <w:proofErr w:type="spellEnd"/>
            <w:r w:rsidRPr="00DF4CE5">
              <w:rPr>
                <w:rFonts w:ascii="Cambria" w:hAnsi="Cambria" w:cstheme="minorHAnsi"/>
                <w:lang w:val="it-IT"/>
              </w:rPr>
              <w:t>.</w:t>
            </w:r>
          </w:p>
          <w:p w14:paraId="3CF1A900" w14:textId="77777777" w:rsidR="00354E46" w:rsidRPr="00DF4CE5" w:rsidRDefault="00354E46">
            <w:pPr>
              <w:spacing w:after="0" w:line="240" w:lineRule="auto"/>
              <w:rPr>
                <w:rFonts w:ascii="Cambria" w:hAnsi="Cambria" w:cstheme="minorHAnsi"/>
                <w:lang w:val="it-IT"/>
              </w:rPr>
            </w:pPr>
            <w:r w:rsidRPr="00DF4CE5">
              <w:rPr>
                <w:rFonts w:ascii="Cambria" w:hAnsi="Cambria" w:cstheme="minorHAnsi"/>
                <w:lang w:val="it-IT"/>
              </w:rPr>
              <w:t xml:space="preserve">U </w:t>
            </w:r>
            <w:proofErr w:type="spellStart"/>
            <w:r w:rsidRPr="00DF4CE5">
              <w:rPr>
                <w:rFonts w:ascii="Cambria" w:hAnsi="Cambria" w:cstheme="minorHAnsi"/>
                <w:lang w:val="it-IT"/>
              </w:rPr>
              <w:t>slučaju</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održavanja</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nastave</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na</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daljinu</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moguće</w:t>
            </w:r>
            <w:proofErr w:type="spellEnd"/>
            <w:r w:rsidRPr="00DF4CE5">
              <w:rPr>
                <w:rFonts w:ascii="Cambria" w:hAnsi="Cambria" w:cstheme="minorHAnsi"/>
                <w:lang w:val="it-IT"/>
              </w:rPr>
              <w:t xml:space="preserve"> je </w:t>
            </w:r>
            <w:proofErr w:type="spellStart"/>
            <w:r w:rsidRPr="00DF4CE5">
              <w:rPr>
                <w:rFonts w:ascii="Cambria" w:hAnsi="Cambria" w:cstheme="minorHAnsi"/>
                <w:lang w:val="it-IT"/>
              </w:rPr>
              <w:t>odstupanje</w:t>
            </w:r>
            <w:proofErr w:type="spellEnd"/>
            <w:r w:rsidRPr="00DF4CE5">
              <w:rPr>
                <w:rFonts w:ascii="Cambria" w:hAnsi="Cambria" w:cstheme="minorHAnsi"/>
                <w:lang w:val="it-IT"/>
              </w:rPr>
              <w:t xml:space="preserve"> u:</w:t>
            </w:r>
          </w:p>
          <w:p w14:paraId="1DED48E2" w14:textId="77777777" w:rsidR="00354E46" w:rsidRPr="00DF4CE5" w:rsidRDefault="00354E46">
            <w:pPr>
              <w:spacing w:after="0" w:line="240" w:lineRule="auto"/>
              <w:rPr>
                <w:rFonts w:ascii="Cambria" w:hAnsi="Cambria" w:cstheme="minorHAnsi"/>
                <w:lang w:val="it-IT"/>
              </w:rPr>
            </w:pPr>
            <w:r w:rsidRPr="00DF4CE5">
              <w:rPr>
                <w:rFonts w:ascii="Cambria" w:hAnsi="Cambria" w:cstheme="minorHAnsi"/>
                <w:lang w:val="it-IT"/>
              </w:rPr>
              <w:t xml:space="preserve">- </w:t>
            </w:r>
            <w:proofErr w:type="spellStart"/>
            <w:r w:rsidRPr="00DF4CE5">
              <w:rPr>
                <w:rFonts w:ascii="Cambria" w:hAnsi="Cambria" w:cstheme="minorHAnsi"/>
                <w:lang w:val="it-IT"/>
              </w:rPr>
              <w:t>mjestu</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izvođenja</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kolegija</w:t>
            </w:r>
            <w:proofErr w:type="spellEnd"/>
          </w:p>
          <w:p w14:paraId="3311BE73" w14:textId="77777777" w:rsidR="00354E46" w:rsidRPr="00DF4CE5" w:rsidRDefault="00354E46">
            <w:pPr>
              <w:spacing w:after="0" w:line="240" w:lineRule="auto"/>
              <w:rPr>
                <w:rFonts w:ascii="Cambria" w:hAnsi="Cambria" w:cstheme="minorHAnsi"/>
                <w:lang w:val="it-IT"/>
              </w:rPr>
            </w:pPr>
            <w:r w:rsidRPr="00DF4CE5">
              <w:rPr>
                <w:rFonts w:ascii="Cambria" w:hAnsi="Cambria" w:cstheme="minorHAnsi"/>
                <w:lang w:val="it-IT"/>
              </w:rPr>
              <w:t xml:space="preserve">- </w:t>
            </w:r>
            <w:proofErr w:type="spellStart"/>
            <w:r w:rsidRPr="00DF4CE5">
              <w:rPr>
                <w:rFonts w:ascii="Cambria" w:hAnsi="Cambria" w:cstheme="minorHAnsi"/>
                <w:lang w:val="it-IT"/>
              </w:rPr>
              <w:t>provedbi</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aktivnosti</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metodama</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tumačenja</w:t>
            </w:r>
            <w:proofErr w:type="spellEnd"/>
            <w:r w:rsidRPr="00DF4CE5">
              <w:rPr>
                <w:rFonts w:ascii="Cambria" w:hAnsi="Cambria" w:cstheme="minorHAnsi"/>
                <w:lang w:val="it-IT"/>
              </w:rPr>
              <w:t xml:space="preserve"> i </w:t>
            </w:r>
            <w:proofErr w:type="spellStart"/>
            <w:r w:rsidRPr="00DF4CE5">
              <w:rPr>
                <w:rFonts w:ascii="Cambria" w:hAnsi="Cambria" w:cstheme="minorHAnsi"/>
                <w:lang w:val="it-IT"/>
              </w:rPr>
              <w:t>poučavanja</w:t>
            </w:r>
            <w:proofErr w:type="spellEnd"/>
            <w:r w:rsidRPr="00DF4CE5">
              <w:rPr>
                <w:rFonts w:ascii="Cambria" w:hAnsi="Cambria" w:cstheme="minorHAnsi"/>
                <w:lang w:val="it-IT"/>
              </w:rPr>
              <w:t xml:space="preserve"> i </w:t>
            </w:r>
            <w:proofErr w:type="spellStart"/>
            <w:r w:rsidRPr="00DF4CE5">
              <w:rPr>
                <w:rFonts w:ascii="Cambria" w:hAnsi="Cambria" w:cstheme="minorHAnsi"/>
                <w:lang w:val="it-IT"/>
              </w:rPr>
              <w:t>načinima</w:t>
            </w:r>
            <w:proofErr w:type="spellEnd"/>
          </w:p>
          <w:p w14:paraId="4AC40C08" w14:textId="77777777" w:rsidR="00354E46" w:rsidRPr="00DF4CE5" w:rsidRDefault="00354E46">
            <w:pPr>
              <w:spacing w:after="0" w:line="240" w:lineRule="auto"/>
              <w:rPr>
                <w:rFonts w:ascii="Cambria" w:hAnsi="Cambria" w:cstheme="minorHAnsi"/>
                <w:lang w:val="it-IT"/>
              </w:rPr>
            </w:pPr>
            <w:proofErr w:type="spellStart"/>
            <w:r w:rsidRPr="00DF4CE5">
              <w:rPr>
                <w:rFonts w:ascii="Cambria" w:hAnsi="Cambria" w:cstheme="minorHAnsi"/>
                <w:lang w:val="it-IT"/>
              </w:rPr>
              <w:t>vrednovanja</w:t>
            </w:r>
            <w:proofErr w:type="spellEnd"/>
          </w:p>
          <w:p w14:paraId="5E0E68F8" w14:textId="77777777" w:rsidR="00354E46" w:rsidRPr="00DF4CE5" w:rsidRDefault="00354E46">
            <w:pPr>
              <w:spacing w:after="0" w:line="240" w:lineRule="auto"/>
              <w:rPr>
                <w:rFonts w:ascii="Cambria" w:hAnsi="Cambria" w:cstheme="minorHAnsi"/>
                <w:lang w:val="it-IT"/>
              </w:rPr>
            </w:pPr>
            <w:r w:rsidRPr="00DF4CE5">
              <w:rPr>
                <w:rFonts w:ascii="Cambria" w:hAnsi="Cambria" w:cstheme="minorHAnsi"/>
                <w:lang w:val="it-IT"/>
              </w:rPr>
              <w:lastRenderedPageBreak/>
              <w:t xml:space="preserve">- </w:t>
            </w:r>
            <w:proofErr w:type="spellStart"/>
            <w:r w:rsidRPr="00DF4CE5">
              <w:rPr>
                <w:rFonts w:ascii="Cambria" w:hAnsi="Cambria" w:cstheme="minorHAnsi"/>
                <w:lang w:val="it-IT"/>
              </w:rPr>
              <w:t>studentskim</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obvezama</w:t>
            </w:r>
            <w:proofErr w:type="spellEnd"/>
          </w:p>
          <w:p w14:paraId="69DDD8AB" w14:textId="77777777" w:rsidR="00354E46" w:rsidRPr="00DF4CE5" w:rsidRDefault="00354E46">
            <w:pPr>
              <w:spacing w:after="0" w:line="240" w:lineRule="auto"/>
              <w:rPr>
                <w:rFonts w:ascii="Cambria" w:hAnsi="Cambria" w:cstheme="minorHAnsi"/>
                <w:lang w:val="it-IT"/>
              </w:rPr>
            </w:pPr>
            <w:r w:rsidRPr="00DF4CE5">
              <w:rPr>
                <w:rFonts w:ascii="Cambria" w:hAnsi="Cambria" w:cstheme="minorHAnsi"/>
                <w:lang w:val="it-IT"/>
              </w:rPr>
              <w:t xml:space="preserve">- </w:t>
            </w:r>
            <w:proofErr w:type="spellStart"/>
            <w:r w:rsidRPr="00DF4CE5">
              <w:rPr>
                <w:rFonts w:ascii="Cambria" w:hAnsi="Cambria" w:cstheme="minorHAnsi"/>
                <w:lang w:val="it-IT"/>
              </w:rPr>
              <w:t>dostupnoj</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literaturi</w:t>
            </w:r>
            <w:proofErr w:type="spellEnd"/>
            <w:r w:rsidRPr="00DF4CE5">
              <w:rPr>
                <w:rFonts w:ascii="Cambria" w:hAnsi="Cambria" w:cstheme="minorHAnsi"/>
                <w:lang w:val="it-IT"/>
              </w:rPr>
              <w:t>.</w:t>
            </w:r>
          </w:p>
          <w:p w14:paraId="7ECE0B82" w14:textId="77777777" w:rsidR="00354E46" w:rsidRPr="00DF4CE5" w:rsidRDefault="00354E46">
            <w:pPr>
              <w:spacing w:after="0" w:line="240" w:lineRule="auto"/>
              <w:rPr>
                <w:rFonts w:ascii="Cambria" w:hAnsi="Cambria" w:cstheme="minorHAnsi"/>
                <w:lang w:val="it-IT"/>
              </w:rPr>
            </w:pPr>
            <w:r w:rsidRPr="00DF4CE5">
              <w:rPr>
                <w:rFonts w:ascii="Cambria" w:hAnsi="Cambria" w:cstheme="minorHAnsi"/>
                <w:lang w:val="it-IT"/>
              </w:rPr>
              <w:t xml:space="preserve">O tome </w:t>
            </w:r>
            <w:proofErr w:type="spellStart"/>
            <w:r w:rsidRPr="00DF4CE5">
              <w:rPr>
                <w:rFonts w:ascii="Cambria" w:hAnsi="Cambria" w:cstheme="minorHAnsi"/>
                <w:lang w:val="it-IT"/>
              </w:rPr>
              <w:t>će</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nositeljica</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kolegija</w:t>
            </w:r>
            <w:proofErr w:type="spellEnd"/>
            <w:r w:rsidRPr="00DF4CE5">
              <w:rPr>
                <w:rFonts w:ascii="Cambria" w:hAnsi="Cambria" w:cstheme="minorHAnsi"/>
                <w:lang w:val="it-IT"/>
              </w:rPr>
              <w:t xml:space="preserve"> i </w:t>
            </w:r>
            <w:proofErr w:type="spellStart"/>
            <w:r w:rsidRPr="00DF4CE5">
              <w:rPr>
                <w:rFonts w:ascii="Cambria" w:hAnsi="Cambria" w:cstheme="minorHAnsi"/>
                <w:lang w:val="it-IT"/>
              </w:rPr>
              <w:t>asistentica</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obavijestiti</w:t>
            </w:r>
            <w:proofErr w:type="spellEnd"/>
            <w:r w:rsidRPr="00DF4CE5">
              <w:rPr>
                <w:rFonts w:ascii="Cambria" w:hAnsi="Cambria" w:cstheme="minorHAnsi"/>
                <w:lang w:val="it-IT"/>
              </w:rPr>
              <w:t xml:space="preserve"> studente i </w:t>
            </w:r>
            <w:proofErr w:type="spellStart"/>
            <w:r w:rsidRPr="00DF4CE5">
              <w:rPr>
                <w:rFonts w:ascii="Cambria" w:hAnsi="Cambria" w:cstheme="minorHAnsi"/>
                <w:lang w:val="it-IT"/>
              </w:rPr>
              <w:t>studentice</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kad</w:t>
            </w:r>
            <w:proofErr w:type="spellEnd"/>
            <w:r w:rsidRPr="00DF4CE5">
              <w:rPr>
                <w:rFonts w:ascii="Cambria" w:hAnsi="Cambria" w:cstheme="minorHAnsi"/>
                <w:lang w:val="it-IT"/>
              </w:rPr>
              <w:t xml:space="preserve"> se </w:t>
            </w:r>
            <w:proofErr w:type="spellStart"/>
            <w:r w:rsidRPr="00DF4CE5">
              <w:rPr>
                <w:rFonts w:ascii="Cambria" w:hAnsi="Cambria" w:cstheme="minorHAnsi"/>
                <w:lang w:val="it-IT"/>
              </w:rPr>
              <w:t>nastava</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na</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daljinu</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počne</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održavati</w:t>
            </w:r>
            <w:proofErr w:type="spellEnd"/>
            <w:r w:rsidRPr="00DF4CE5">
              <w:rPr>
                <w:rFonts w:ascii="Cambria" w:hAnsi="Cambria" w:cstheme="minorHAnsi"/>
                <w:lang w:val="it-IT"/>
              </w:rPr>
              <w:t>.</w:t>
            </w:r>
          </w:p>
          <w:p w14:paraId="419C6FF0" w14:textId="77777777" w:rsidR="00354E46" w:rsidRPr="00DF4CE5" w:rsidRDefault="00354E46">
            <w:pPr>
              <w:spacing w:after="0" w:line="240" w:lineRule="auto"/>
              <w:rPr>
                <w:rFonts w:ascii="Cambria" w:hAnsi="Cambria" w:cstheme="minorHAnsi"/>
              </w:rPr>
            </w:pPr>
            <w:proofErr w:type="spellStart"/>
            <w:r w:rsidRPr="00DF4CE5">
              <w:rPr>
                <w:rFonts w:ascii="Cambria" w:hAnsi="Cambria" w:cstheme="minorHAnsi"/>
              </w:rPr>
              <w:t>Ishodi</w:t>
            </w:r>
            <w:proofErr w:type="spellEnd"/>
            <w:r w:rsidRPr="00DF4CE5">
              <w:rPr>
                <w:rFonts w:ascii="Cambria" w:hAnsi="Cambria" w:cstheme="minorHAnsi"/>
              </w:rPr>
              <w:t xml:space="preserve"> </w:t>
            </w:r>
            <w:proofErr w:type="spellStart"/>
            <w:r w:rsidRPr="00DF4CE5">
              <w:rPr>
                <w:rFonts w:ascii="Cambria" w:hAnsi="Cambria" w:cstheme="minorHAnsi"/>
              </w:rPr>
              <w:t>učenja</w:t>
            </w:r>
            <w:proofErr w:type="spellEnd"/>
            <w:r w:rsidRPr="00DF4CE5">
              <w:rPr>
                <w:rFonts w:ascii="Cambria" w:hAnsi="Cambria" w:cstheme="minorHAnsi"/>
              </w:rPr>
              <w:t xml:space="preserve"> </w:t>
            </w:r>
            <w:proofErr w:type="spellStart"/>
            <w:r w:rsidRPr="00DF4CE5">
              <w:rPr>
                <w:rFonts w:ascii="Cambria" w:hAnsi="Cambria" w:cstheme="minorHAnsi"/>
              </w:rPr>
              <w:t>ostaju</w:t>
            </w:r>
            <w:proofErr w:type="spellEnd"/>
            <w:r w:rsidRPr="00DF4CE5">
              <w:rPr>
                <w:rFonts w:ascii="Cambria" w:hAnsi="Cambria" w:cstheme="minorHAnsi"/>
              </w:rPr>
              <w:t xml:space="preserve"> </w:t>
            </w:r>
            <w:proofErr w:type="spellStart"/>
            <w:r w:rsidRPr="00DF4CE5">
              <w:rPr>
                <w:rFonts w:ascii="Cambria" w:hAnsi="Cambria" w:cstheme="minorHAnsi"/>
              </w:rPr>
              <w:t>nepromijenjeni</w:t>
            </w:r>
            <w:proofErr w:type="spellEnd"/>
            <w:r w:rsidRPr="00DF4CE5">
              <w:rPr>
                <w:rFonts w:ascii="Cambria" w:hAnsi="Cambria" w:cstheme="minorHAnsi"/>
              </w:rPr>
              <w:t>.</w:t>
            </w:r>
          </w:p>
        </w:tc>
      </w:tr>
      <w:tr w:rsidR="00354E46" w:rsidRPr="00D0399C" w14:paraId="0280E869" w14:textId="77777777" w:rsidTr="00354E46">
        <w:trPr>
          <w:trHeight w:val="343"/>
        </w:trPr>
        <w:tc>
          <w:tcPr>
            <w:tcW w:w="26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FA6DA6C" w14:textId="77777777" w:rsidR="00354E46" w:rsidRPr="00DF4CE5" w:rsidRDefault="00354E46">
            <w:pPr>
              <w:spacing w:after="0" w:line="240" w:lineRule="auto"/>
              <w:rPr>
                <w:rFonts w:ascii="Cambria" w:hAnsi="Cambria" w:cstheme="minorHAnsi"/>
              </w:rPr>
            </w:pPr>
            <w:proofErr w:type="spellStart"/>
            <w:r w:rsidRPr="00DF4CE5">
              <w:rPr>
                <w:rFonts w:ascii="Cambria" w:hAnsi="Cambria" w:cstheme="minorHAnsi"/>
              </w:rPr>
              <w:lastRenderedPageBreak/>
              <w:t>Literatura</w:t>
            </w:r>
            <w:proofErr w:type="spellEnd"/>
          </w:p>
        </w:tc>
        <w:tc>
          <w:tcPr>
            <w:tcW w:w="6731"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0F161D41" w14:textId="77777777" w:rsidR="00354E46" w:rsidRPr="00DF4CE5" w:rsidRDefault="00354E46">
            <w:pPr>
              <w:spacing w:after="0" w:line="240" w:lineRule="auto"/>
              <w:rPr>
                <w:rFonts w:ascii="Cambria" w:hAnsi="Cambria" w:cstheme="minorHAnsi"/>
                <w:lang w:val="it-IT"/>
              </w:rPr>
            </w:pPr>
            <w:proofErr w:type="spellStart"/>
            <w:r w:rsidRPr="00DF4CE5">
              <w:rPr>
                <w:rFonts w:ascii="Cambria" w:hAnsi="Cambria" w:cstheme="minorHAnsi"/>
                <w:lang w:val="it-IT"/>
              </w:rPr>
              <w:t>Obvezna</w:t>
            </w:r>
            <w:proofErr w:type="spellEnd"/>
            <w:r w:rsidRPr="00DF4CE5">
              <w:rPr>
                <w:rFonts w:ascii="Cambria" w:hAnsi="Cambria" w:cstheme="minorHAnsi"/>
                <w:lang w:val="it-IT"/>
              </w:rPr>
              <w:t xml:space="preserve">: </w:t>
            </w:r>
          </w:p>
          <w:p w14:paraId="5E6D0D0B" w14:textId="77777777" w:rsidR="00354E46" w:rsidRPr="00DF4CE5" w:rsidRDefault="00354E46">
            <w:pPr>
              <w:spacing w:after="0" w:line="240" w:lineRule="auto"/>
              <w:rPr>
                <w:rFonts w:ascii="Cambria" w:hAnsi="Cambria" w:cstheme="minorHAnsi"/>
                <w:lang w:val="it-IT"/>
              </w:rPr>
            </w:pPr>
            <w:r w:rsidRPr="00DF4CE5">
              <w:rPr>
                <w:rFonts w:ascii="Cambria" w:hAnsi="Cambria" w:cstheme="minorHAnsi"/>
                <w:lang w:val="it-IT"/>
              </w:rPr>
              <w:t xml:space="preserve">1. </w:t>
            </w:r>
            <w:proofErr w:type="spellStart"/>
            <w:r w:rsidRPr="00DF4CE5">
              <w:rPr>
                <w:rFonts w:ascii="Cambria" w:hAnsi="Cambria" w:cstheme="minorHAnsi"/>
                <w:lang w:val="it-IT"/>
              </w:rPr>
              <w:t>Buczynski</w:t>
            </w:r>
            <w:proofErr w:type="spellEnd"/>
            <w:r w:rsidRPr="00DF4CE5">
              <w:rPr>
                <w:rFonts w:ascii="Cambria" w:hAnsi="Cambria" w:cstheme="minorHAnsi"/>
                <w:lang w:val="it-IT"/>
              </w:rPr>
              <w:t xml:space="preserve">, N. i sur. (2019). </w:t>
            </w:r>
            <w:r w:rsidRPr="00C77768">
              <w:rPr>
                <w:rFonts w:ascii="Cambria" w:hAnsi="Cambria" w:cstheme="minorHAnsi"/>
                <w:i/>
                <w:lang w:val="it-IT"/>
              </w:rPr>
              <w:t xml:space="preserve">Montessori </w:t>
            </w:r>
            <w:proofErr w:type="spellStart"/>
            <w:r w:rsidRPr="00C77768">
              <w:rPr>
                <w:rFonts w:ascii="Cambria" w:hAnsi="Cambria" w:cstheme="minorHAnsi"/>
                <w:i/>
                <w:lang w:val="it-IT"/>
              </w:rPr>
              <w:t>Škrinjica</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Naklada</w:t>
            </w:r>
            <w:proofErr w:type="spellEnd"/>
            <w:r w:rsidRPr="00DF4CE5">
              <w:rPr>
                <w:rFonts w:ascii="Cambria" w:hAnsi="Cambria" w:cstheme="minorHAnsi"/>
                <w:lang w:val="it-IT"/>
              </w:rPr>
              <w:t xml:space="preserve"> Slap</w:t>
            </w:r>
          </w:p>
          <w:p w14:paraId="189A5550" w14:textId="77777777" w:rsidR="00354E46" w:rsidRPr="00DF4CE5" w:rsidRDefault="00354E46">
            <w:pPr>
              <w:spacing w:after="0" w:line="240" w:lineRule="auto"/>
              <w:rPr>
                <w:rFonts w:ascii="Cambria" w:hAnsi="Cambria" w:cstheme="minorHAnsi"/>
                <w:lang w:val="it-IT"/>
              </w:rPr>
            </w:pPr>
            <w:r w:rsidRPr="00DF4CE5">
              <w:rPr>
                <w:rFonts w:ascii="Cambria" w:hAnsi="Cambria" w:cstheme="minorHAnsi"/>
                <w:lang w:val="it-IT"/>
              </w:rPr>
              <w:t xml:space="preserve">2. </w:t>
            </w:r>
            <w:proofErr w:type="spellStart"/>
            <w:r w:rsidRPr="00DF4CE5">
              <w:rPr>
                <w:rFonts w:ascii="Cambria" w:hAnsi="Cambria" w:cstheme="minorHAnsi"/>
                <w:lang w:val="it-IT"/>
              </w:rPr>
              <w:t>Diković</w:t>
            </w:r>
            <w:proofErr w:type="spellEnd"/>
            <w:r w:rsidRPr="00DF4CE5">
              <w:rPr>
                <w:rFonts w:ascii="Cambria" w:hAnsi="Cambria" w:cstheme="minorHAnsi"/>
                <w:lang w:val="it-IT"/>
              </w:rPr>
              <w:t xml:space="preserve">, M., </w:t>
            </w:r>
            <w:proofErr w:type="spellStart"/>
            <w:r w:rsidRPr="00DF4CE5">
              <w:rPr>
                <w:rFonts w:ascii="Cambria" w:hAnsi="Cambria" w:cstheme="minorHAnsi"/>
                <w:lang w:val="it-IT"/>
              </w:rPr>
              <w:t>Plavšić</w:t>
            </w:r>
            <w:proofErr w:type="spellEnd"/>
            <w:r w:rsidRPr="00DF4CE5">
              <w:rPr>
                <w:rFonts w:ascii="Cambria" w:hAnsi="Cambria" w:cstheme="minorHAnsi"/>
                <w:lang w:val="it-IT"/>
              </w:rPr>
              <w:t xml:space="preserve">, M. (2019). </w:t>
            </w:r>
            <w:proofErr w:type="spellStart"/>
            <w:r w:rsidRPr="00DF4CE5">
              <w:rPr>
                <w:rFonts w:ascii="Cambria" w:hAnsi="Cambria" w:cstheme="minorHAnsi"/>
                <w:lang w:val="it-IT"/>
              </w:rPr>
              <w:t>Vrijednosti</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obrazovanja</w:t>
            </w:r>
            <w:proofErr w:type="spellEnd"/>
            <w:r w:rsidRPr="00DF4CE5">
              <w:rPr>
                <w:rFonts w:ascii="Cambria" w:hAnsi="Cambria" w:cstheme="minorHAnsi"/>
                <w:lang w:val="it-IT"/>
              </w:rPr>
              <w:t xml:space="preserve"> i </w:t>
            </w:r>
            <w:proofErr w:type="spellStart"/>
            <w:r w:rsidRPr="00DF4CE5">
              <w:rPr>
                <w:rFonts w:ascii="Cambria" w:hAnsi="Cambria" w:cstheme="minorHAnsi"/>
                <w:lang w:val="it-IT"/>
              </w:rPr>
              <w:t>nastavnički</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identitet</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iz</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učeničke</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roditeljske</w:t>
            </w:r>
            <w:proofErr w:type="spellEnd"/>
            <w:r w:rsidRPr="00DF4CE5">
              <w:rPr>
                <w:rFonts w:ascii="Cambria" w:hAnsi="Cambria" w:cstheme="minorHAnsi"/>
                <w:lang w:val="it-IT"/>
              </w:rPr>
              <w:t xml:space="preserve"> i </w:t>
            </w:r>
            <w:proofErr w:type="spellStart"/>
            <w:r w:rsidRPr="00DF4CE5">
              <w:rPr>
                <w:rFonts w:ascii="Cambria" w:hAnsi="Cambria" w:cstheme="minorHAnsi"/>
                <w:lang w:val="it-IT"/>
              </w:rPr>
              <w:t>nastavničke</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perspektive</w:t>
            </w:r>
            <w:proofErr w:type="spellEnd"/>
            <w:r w:rsidRPr="00DF4CE5">
              <w:rPr>
                <w:rFonts w:ascii="Cambria" w:hAnsi="Cambria" w:cstheme="minorHAnsi"/>
                <w:lang w:val="it-IT"/>
              </w:rPr>
              <w:t xml:space="preserve">. </w:t>
            </w:r>
            <w:proofErr w:type="spellStart"/>
            <w:r w:rsidRPr="00C77768">
              <w:rPr>
                <w:rFonts w:ascii="Cambria" w:hAnsi="Cambria" w:cstheme="minorHAnsi"/>
                <w:i/>
                <w:lang w:val="it-IT"/>
              </w:rPr>
              <w:t>Metodički</w:t>
            </w:r>
            <w:proofErr w:type="spellEnd"/>
            <w:r w:rsidRPr="00C77768">
              <w:rPr>
                <w:rFonts w:ascii="Cambria" w:hAnsi="Cambria" w:cstheme="minorHAnsi"/>
                <w:i/>
                <w:lang w:val="it-IT"/>
              </w:rPr>
              <w:t xml:space="preserve"> </w:t>
            </w:r>
            <w:proofErr w:type="spellStart"/>
            <w:r w:rsidRPr="00C77768">
              <w:rPr>
                <w:rFonts w:ascii="Cambria" w:hAnsi="Cambria" w:cstheme="minorHAnsi"/>
                <w:i/>
                <w:lang w:val="it-IT"/>
              </w:rPr>
              <w:t>ogledi</w:t>
            </w:r>
            <w:proofErr w:type="spellEnd"/>
            <w:r w:rsidRPr="00DF4CE5">
              <w:rPr>
                <w:rFonts w:ascii="Cambria" w:hAnsi="Cambria" w:cstheme="minorHAnsi"/>
                <w:lang w:val="it-IT"/>
              </w:rPr>
              <w:t>, 26(2019)1, 7-31.</w:t>
            </w:r>
          </w:p>
          <w:p w14:paraId="73C78A44" w14:textId="77777777" w:rsidR="00354E46" w:rsidRPr="00DF4CE5" w:rsidRDefault="00354E46">
            <w:pPr>
              <w:spacing w:after="0" w:line="240" w:lineRule="auto"/>
              <w:rPr>
                <w:rFonts w:ascii="Cambria" w:hAnsi="Cambria" w:cstheme="minorHAnsi"/>
                <w:lang w:val="it-IT"/>
              </w:rPr>
            </w:pPr>
            <w:r w:rsidRPr="00DF4CE5">
              <w:rPr>
                <w:rFonts w:ascii="Cambria" w:hAnsi="Cambria" w:cstheme="minorHAnsi"/>
                <w:lang w:val="it-IT"/>
              </w:rPr>
              <w:t xml:space="preserve">3. </w:t>
            </w:r>
            <w:proofErr w:type="spellStart"/>
            <w:r w:rsidRPr="00DF4CE5">
              <w:rPr>
                <w:rFonts w:ascii="Cambria" w:hAnsi="Cambria" w:cstheme="minorHAnsi"/>
                <w:lang w:val="it-IT"/>
              </w:rPr>
              <w:t>Jurčić</w:t>
            </w:r>
            <w:proofErr w:type="spellEnd"/>
            <w:r w:rsidRPr="00DF4CE5">
              <w:rPr>
                <w:rFonts w:ascii="Cambria" w:hAnsi="Cambria" w:cstheme="minorHAnsi"/>
                <w:lang w:val="it-IT"/>
              </w:rPr>
              <w:t xml:space="preserve">, M. (2012). </w:t>
            </w:r>
            <w:proofErr w:type="spellStart"/>
            <w:r w:rsidRPr="00C77768">
              <w:rPr>
                <w:rFonts w:ascii="Cambria" w:hAnsi="Cambria" w:cstheme="minorHAnsi"/>
                <w:i/>
                <w:lang w:val="it-IT"/>
              </w:rPr>
              <w:t>Pedagoške</w:t>
            </w:r>
            <w:proofErr w:type="spellEnd"/>
            <w:r w:rsidRPr="00C77768">
              <w:rPr>
                <w:rFonts w:ascii="Cambria" w:hAnsi="Cambria" w:cstheme="minorHAnsi"/>
                <w:i/>
                <w:lang w:val="it-IT"/>
              </w:rPr>
              <w:t xml:space="preserve"> </w:t>
            </w:r>
            <w:proofErr w:type="spellStart"/>
            <w:r w:rsidRPr="00C77768">
              <w:rPr>
                <w:rFonts w:ascii="Cambria" w:hAnsi="Cambria" w:cstheme="minorHAnsi"/>
                <w:i/>
                <w:lang w:val="it-IT"/>
              </w:rPr>
              <w:t>kompetencije</w:t>
            </w:r>
            <w:proofErr w:type="spellEnd"/>
            <w:r w:rsidRPr="00C77768">
              <w:rPr>
                <w:rFonts w:ascii="Cambria" w:hAnsi="Cambria" w:cstheme="minorHAnsi"/>
                <w:i/>
                <w:lang w:val="it-IT"/>
              </w:rPr>
              <w:t xml:space="preserve"> </w:t>
            </w:r>
            <w:proofErr w:type="spellStart"/>
            <w:r w:rsidRPr="00C77768">
              <w:rPr>
                <w:rFonts w:ascii="Cambria" w:hAnsi="Cambria" w:cstheme="minorHAnsi"/>
                <w:i/>
                <w:lang w:val="it-IT"/>
              </w:rPr>
              <w:t>suvremenog</w:t>
            </w:r>
            <w:proofErr w:type="spellEnd"/>
            <w:r w:rsidRPr="00C77768">
              <w:rPr>
                <w:rFonts w:ascii="Cambria" w:hAnsi="Cambria" w:cstheme="minorHAnsi"/>
                <w:i/>
                <w:lang w:val="it-IT"/>
              </w:rPr>
              <w:t xml:space="preserve"> </w:t>
            </w:r>
            <w:proofErr w:type="spellStart"/>
            <w:r w:rsidRPr="00C77768">
              <w:rPr>
                <w:rFonts w:ascii="Cambria" w:hAnsi="Cambria" w:cstheme="minorHAnsi"/>
                <w:i/>
                <w:lang w:val="it-IT"/>
              </w:rPr>
              <w:t>učitelja</w:t>
            </w:r>
            <w:proofErr w:type="spellEnd"/>
            <w:r w:rsidRPr="00DF4CE5">
              <w:rPr>
                <w:rFonts w:ascii="Cambria" w:hAnsi="Cambria" w:cstheme="minorHAnsi"/>
                <w:lang w:val="it-IT"/>
              </w:rPr>
              <w:t xml:space="preserve">. Recedo </w:t>
            </w:r>
            <w:proofErr w:type="spellStart"/>
            <w:r w:rsidRPr="00DF4CE5">
              <w:rPr>
                <w:rFonts w:ascii="Cambria" w:hAnsi="Cambria" w:cstheme="minorHAnsi"/>
                <w:lang w:val="it-IT"/>
              </w:rPr>
              <w:t>d.o.o</w:t>
            </w:r>
            <w:proofErr w:type="spellEnd"/>
            <w:r w:rsidRPr="00DF4CE5">
              <w:rPr>
                <w:rFonts w:ascii="Cambria" w:hAnsi="Cambria" w:cstheme="minorHAnsi"/>
                <w:lang w:val="it-IT"/>
              </w:rPr>
              <w:t>.</w:t>
            </w:r>
          </w:p>
          <w:p w14:paraId="49105959" w14:textId="77777777" w:rsidR="00354E46" w:rsidRPr="00DF4CE5" w:rsidRDefault="00354E46">
            <w:pPr>
              <w:spacing w:after="0" w:line="240" w:lineRule="auto"/>
              <w:rPr>
                <w:rFonts w:ascii="Cambria" w:hAnsi="Cambria" w:cstheme="minorHAnsi"/>
                <w:lang w:val="it-IT"/>
              </w:rPr>
            </w:pPr>
            <w:r w:rsidRPr="00DF4CE5">
              <w:rPr>
                <w:rFonts w:ascii="Cambria" w:hAnsi="Cambria" w:cstheme="minorHAnsi"/>
                <w:lang w:val="it-IT"/>
              </w:rPr>
              <w:t xml:space="preserve">4. </w:t>
            </w:r>
            <w:proofErr w:type="spellStart"/>
            <w:r w:rsidRPr="00DF4CE5">
              <w:rPr>
                <w:rFonts w:ascii="Cambria" w:hAnsi="Cambria" w:cstheme="minorHAnsi"/>
                <w:lang w:val="it-IT"/>
              </w:rPr>
              <w:t>Lukaš</w:t>
            </w:r>
            <w:proofErr w:type="spellEnd"/>
            <w:r w:rsidRPr="00DF4CE5">
              <w:rPr>
                <w:rFonts w:ascii="Cambria" w:hAnsi="Cambria" w:cstheme="minorHAnsi"/>
                <w:lang w:val="it-IT"/>
              </w:rPr>
              <w:t xml:space="preserve">, M., </w:t>
            </w:r>
            <w:proofErr w:type="spellStart"/>
            <w:r w:rsidRPr="00DF4CE5">
              <w:rPr>
                <w:rFonts w:ascii="Cambria" w:hAnsi="Cambria" w:cstheme="minorHAnsi"/>
                <w:lang w:val="it-IT"/>
              </w:rPr>
              <w:t>Mušanović</w:t>
            </w:r>
            <w:proofErr w:type="spellEnd"/>
            <w:r w:rsidRPr="00DF4CE5">
              <w:rPr>
                <w:rFonts w:ascii="Cambria" w:hAnsi="Cambria" w:cstheme="minorHAnsi"/>
                <w:lang w:val="it-IT"/>
              </w:rPr>
              <w:t xml:space="preserve">, M. (2020). </w:t>
            </w:r>
            <w:proofErr w:type="spellStart"/>
            <w:r w:rsidRPr="00C77768">
              <w:rPr>
                <w:rFonts w:ascii="Cambria" w:hAnsi="Cambria" w:cstheme="minorHAnsi"/>
                <w:i/>
                <w:lang w:val="it-IT"/>
              </w:rPr>
              <w:t>Osnove</w:t>
            </w:r>
            <w:proofErr w:type="spellEnd"/>
            <w:r w:rsidRPr="00C77768">
              <w:rPr>
                <w:rFonts w:ascii="Cambria" w:hAnsi="Cambria" w:cstheme="minorHAnsi"/>
                <w:i/>
                <w:lang w:val="it-IT"/>
              </w:rPr>
              <w:t xml:space="preserve"> </w:t>
            </w:r>
            <w:proofErr w:type="spellStart"/>
            <w:r w:rsidRPr="00C77768">
              <w:rPr>
                <w:rFonts w:ascii="Cambria" w:hAnsi="Cambria" w:cstheme="minorHAnsi"/>
                <w:i/>
                <w:lang w:val="it-IT"/>
              </w:rPr>
              <w:t>pedagogije</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Vl</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naklada</w:t>
            </w:r>
            <w:proofErr w:type="spellEnd"/>
            <w:r w:rsidRPr="00DF4CE5">
              <w:rPr>
                <w:rFonts w:ascii="Cambria" w:hAnsi="Cambria" w:cstheme="minorHAnsi"/>
                <w:lang w:val="it-IT"/>
              </w:rPr>
              <w:t>.</w:t>
            </w:r>
          </w:p>
          <w:p w14:paraId="134094E9" w14:textId="77777777" w:rsidR="00354E46" w:rsidRPr="00DF4CE5" w:rsidRDefault="00354E46">
            <w:pPr>
              <w:spacing w:after="0" w:line="240" w:lineRule="auto"/>
              <w:rPr>
                <w:rFonts w:ascii="Cambria" w:hAnsi="Cambria" w:cstheme="minorHAnsi"/>
                <w:lang w:val="it-IT"/>
              </w:rPr>
            </w:pPr>
            <w:r w:rsidRPr="00DF4CE5">
              <w:rPr>
                <w:rFonts w:ascii="Cambria" w:hAnsi="Cambria" w:cstheme="minorHAnsi"/>
                <w:lang w:val="it-IT"/>
              </w:rPr>
              <w:t xml:space="preserve">5. </w:t>
            </w:r>
            <w:proofErr w:type="spellStart"/>
            <w:r w:rsidRPr="00DF4CE5">
              <w:rPr>
                <w:rFonts w:ascii="Cambria" w:hAnsi="Cambria" w:cstheme="minorHAnsi"/>
                <w:lang w:val="it-IT"/>
              </w:rPr>
              <w:t>Mušanović</w:t>
            </w:r>
            <w:proofErr w:type="spellEnd"/>
            <w:r w:rsidRPr="00DF4CE5">
              <w:rPr>
                <w:rFonts w:ascii="Cambria" w:hAnsi="Cambria" w:cstheme="minorHAnsi"/>
                <w:lang w:val="it-IT"/>
              </w:rPr>
              <w:t xml:space="preserve">, M., </w:t>
            </w:r>
            <w:proofErr w:type="spellStart"/>
            <w:r w:rsidRPr="00DF4CE5">
              <w:rPr>
                <w:rFonts w:ascii="Cambria" w:hAnsi="Cambria" w:cstheme="minorHAnsi"/>
                <w:lang w:val="it-IT"/>
              </w:rPr>
              <w:t>Lukaš</w:t>
            </w:r>
            <w:proofErr w:type="spellEnd"/>
            <w:r w:rsidRPr="00DF4CE5">
              <w:rPr>
                <w:rFonts w:ascii="Cambria" w:hAnsi="Cambria" w:cstheme="minorHAnsi"/>
                <w:lang w:val="it-IT"/>
              </w:rPr>
              <w:t xml:space="preserve">, M. (2011). </w:t>
            </w:r>
            <w:proofErr w:type="spellStart"/>
            <w:r w:rsidRPr="00C77768">
              <w:rPr>
                <w:rFonts w:ascii="Cambria" w:hAnsi="Cambria" w:cstheme="minorHAnsi"/>
                <w:i/>
                <w:lang w:val="it-IT"/>
              </w:rPr>
              <w:t>Osnove</w:t>
            </w:r>
            <w:proofErr w:type="spellEnd"/>
            <w:r w:rsidRPr="00C77768">
              <w:rPr>
                <w:rFonts w:ascii="Cambria" w:hAnsi="Cambria" w:cstheme="minorHAnsi"/>
                <w:i/>
                <w:lang w:val="it-IT"/>
              </w:rPr>
              <w:t xml:space="preserve"> </w:t>
            </w:r>
            <w:proofErr w:type="spellStart"/>
            <w:r w:rsidRPr="00C77768">
              <w:rPr>
                <w:rFonts w:ascii="Cambria" w:hAnsi="Cambria" w:cstheme="minorHAnsi"/>
                <w:i/>
                <w:lang w:val="it-IT"/>
              </w:rPr>
              <w:t>pedagogije</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Hrvatsko</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futurološko</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društvo</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str</w:t>
            </w:r>
            <w:proofErr w:type="spellEnd"/>
            <w:r w:rsidRPr="00DF4CE5">
              <w:rPr>
                <w:rFonts w:ascii="Cambria" w:hAnsi="Cambria" w:cstheme="minorHAnsi"/>
                <w:lang w:val="it-IT"/>
              </w:rPr>
              <w:t>. 1-56).</w:t>
            </w:r>
          </w:p>
          <w:p w14:paraId="2F9D5F80" w14:textId="77777777" w:rsidR="00354E46" w:rsidRPr="00DF4CE5" w:rsidRDefault="00354E46">
            <w:pPr>
              <w:spacing w:after="0" w:line="240" w:lineRule="auto"/>
              <w:rPr>
                <w:rFonts w:ascii="Cambria" w:hAnsi="Cambria" w:cstheme="minorHAnsi"/>
                <w:lang w:val="it-IT"/>
              </w:rPr>
            </w:pPr>
            <w:r w:rsidRPr="00DF4CE5">
              <w:rPr>
                <w:rFonts w:ascii="Cambria" w:hAnsi="Cambria" w:cstheme="minorHAnsi"/>
                <w:lang w:val="it-IT"/>
              </w:rPr>
              <w:t xml:space="preserve">6. </w:t>
            </w:r>
            <w:proofErr w:type="spellStart"/>
            <w:r w:rsidRPr="00DF4CE5">
              <w:rPr>
                <w:rFonts w:ascii="Cambria" w:hAnsi="Cambria" w:cstheme="minorHAnsi"/>
                <w:lang w:val="it-IT"/>
              </w:rPr>
              <w:t>Matijević</w:t>
            </w:r>
            <w:proofErr w:type="spellEnd"/>
            <w:r w:rsidRPr="00DF4CE5">
              <w:rPr>
                <w:rFonts w:ascii="Cambria" w:hAnsi="Cambria" w:cstheme="minorHAnsi"/>
                <w:lang w:val="it-IT"/>
              </w:rPr>
              <w:t xml:space="preserve">, M. (2001). </w:t>
            </w:r>
            <w:proofErr w:type="spellStart"/>
            <w:r w:rsidRPr="00C77768">
              <w:rPr>
                <w:rFonts w:ascii="Cambria" w:hAnsi="Cambria" w:cstheme="minorHAnsi"/>
                <w:i/>
                <w:lang w:val="it-IT"/>
              </w:rPr>
              <w:t>Alternativne</w:t>
            </w:r>
            <w:proofErr w:type="spellEnd"/>
            <w:r w:rsidRPr="00C77768">
              <w:rPr>
                <w:rFonts w:ascii="Cambria" w:hAnsi="Cambria" w:cstheme="minorHAnsi"/>
                <w:i/>
                <w:lang w:val="it-IT"/>
              </w:rPr>
              <w:t xml:space="preserve"> </w:t>
            </w:r>
            <w:proofErr w:type="spellStart"/>
            <w:r w:rsidRPr="00C77768">
              <w:rPr>
                <w:rFonts w:ascii="Cambria" w:hAnsi="Cambria" w:cstheme="minorHAnsi"/>
                <w:i/>
                <w:lang w:val="it-IT"/>
              </w:rPr>
              <w:t>škole</w:t>
            </w:r>
            <w:proofErr w:type="spellEnd"/>
            <w:r w:rsidRPr="00C77768">
              <w:rPr>
                <w:rFonts w:ascii="Cambria" w:hAnsi="Cambria" w:cstheme="minorHAnsi"/>
                <w:i/>
                <w:lang w:val="it-IT"/>
              </w:rPr>
              <w:t xml:space="preserve">: </w:t>
            </w:r>
            <w:proofErr w:type="spellStart"/>
            <w:r w:rsidRPr="00C77768">
              <w:rPr>
                <w:rFonts w:ascii="Cambria" w:hAnsi="Cambria" w:cstheme="minorHAnsi"/>
                <w:i/>
                <w:lang w:val="it-IT"/>
              </w:rPr>
              <w:t>didaktičke</w:t>
            </w:r>
            <w:proofErr w:type="spellEnd"/>
            <w:r w:rsidRPr="00C77768">
              <w:rPr>
                <w:rFonts w:ascii="Cambria" w:hAnsi="Cambria" w:cstheme="minorHAnsi"/>
                <w:i/>
                <w:lang w:val="it-IT"/>
              </w:rPr>
              <w:t xml:space="preserve"> i </w:t>
            </w:r>
            <w:proofErr w:type="spellStart"/>
            <w:r w:rsidRPr="00C77768">
              <w:rPr>
                <w:rFonts w:ascii="Cambria" w:hAnsi="Cambria" w:cstheme="minorHAnsi"/>
                <w:i/>
                <w:lang w:val="it-IT"/>
              </w:rPr>
              <w:t>pedagoške</w:t>
            </w:r>
            <w:proofErr w:type="spellEnd"/>
            <w:r w:rsidRPr="00C77768">
              <w:rPr>
                <w:rFonts w:ascii="Cambria" w:hAnsi="Cambria" w:cstheme="minorHAnsi"/>
                <w:i/>
                <w:lang w:val="it-IT"/>
              </w:rPr>
              <w:t xml:space="preserve"> </w:t>
            </w:r>
            <w:proofErr w:type="spellStart"/>
            <w:r w:rsidRPr="00C77768">
              <w:rPr>
                <w:rFonts w:ascii="Cambria" w:hAnsi="Cambria" w:cstheme="minorHAnsi"/>
                <w:i/>
                <w:lang w:val="it-IT"/>
              </w:rPr>
              <w:t>koncepcije</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Tipex</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d.o.o</w:t>
            </w:r>
            <w:proofErr w:type="spellEnd"/>
            <w:r w:rsidRPr="00DF4CE5">
              <w:rPr>
                <w:rFonts w:ascii="Cambria" w:hAnsi="Cambria" w:cstheme="minorHAnsi"/>
                <w:lang w:val="it-IT"/>
              </w:rPr>
              <w:t>.</w:t>
            </w:r>
          </w:p>
          <w:p w14:paraId="43657576" w14:textId="77777777" w:rsidR="00354E46" w:rsidRPr="00DF4CE5" w:rsidRDefault="00354E46">
            <w:pPr>
              <w:spacing w:after="0" w:line="240" w:lineRule="auto"/>
              <w:rPr>
                <w:rFonts w:ascii="Cambria" w:hAnsi="Cambria" w:cstheme="minorHAnsi"/>
                <w:lang w:val="it-IT"/>
              </w:rPr>
            </w:pPr>
            <w:r w:rsidRPr="00DF4CE5">
              <w:rPr>
                <w:rFonts w:ascii="Cambria" w:hAnsi="Cambria" w:cstheme="minorHAnsi"/>
                <w:lang w:val="it-IT"/>
              </w:rPr>
              <w:t xml:space="preserve">7. </w:t>
            </w:r>
            <w:proofErr w:type="spellStart"/>
            <w:r w:rsidRPr="00DF4CE5">
              <w:rPr>
                <w:rFonts w:ascii="Cambria" w:hAnsi="Cambria" w:cstheme="minorHAnsi"/>
                <w:lang w:val="it-IT"/>
              </w:rPr>
              <w:t>Matijević</w:t>
            </w:r>
            <w:proofErr w:type="spellEnd"/>
            <w:r w:rsidRPr="00DF4CE5">
              <w:rPr>
                <w:rFonts w:ascii="Cambria" w:hAnsi="Cambria" w:cstheme="minorHAnsi"/>
                <w:lang w:val="it-IT"/>
              </w:rPr>
              <w:t xml:space="preserve">, M., </w:t>
            </w:r>
            <w:proofErr w:type="spellStart"/>
            <w:r w:rsidRPr="00DF4CE5">
              <w:rPr>
                <w:rFonts w:ascii="Cambria" w:hAnsi="Cambria" w:cstheme="minorHAnsi"/>
                <w:lang w:val="it-IT"/>
              </w:rPr>
              <w:t>Bilić</w:t>
            </w:r>
            <w:proofErr w:type="spellEnd"/>
            <w:r w:rsidRPr="00DF4CE5">
              <w:rPr>
                <w:rFonts w:ascii="Cambria" w:hAnsi="Cambria" w:cstheme="minorHAnsi"/>
                <w:lang w:val="it-IT"/>
              </w:rPr>
              <w:t xml:space="preserve">, V., </w:t>
            </w:r>
            <w:proofErr w:type="spellStart"/>
            <w:r w:rsidRPr="00DF4CE5">
              <w:rPr>
                <w:rFonts w:ascii="Cambria" w:hAnsi="Cambria" w:cstheme="minorHAnsi"/>
                <w:lang w:val="it-IT"/>
              </w:rPr>
              <w:t>Opić</w:t>
            </w:r>
            <w:proofErr w:type="spellEnd"/>
            <w:r w:rsidRPr="00DF4CE5">
              <w:rPr>
                <w:rFonts w:ascii="Cambria" w:hAnsi="Cambria" w:cstheme="minorHAnsi"/>
                <w:lang w:val="it-IT"/>
              </w:rPr>
              <w:t xml:space="preserve">, S. (2016). </w:t>
            </w:r>
            <w:proofErr w:type="spellStart"/>
            <w:r w:rsidRPr="00C77768">
              <w:rPr>
                <w:rFonts w:ascii="Cambria" w:hAnsi="Cambria" w:cstheme="minorHAnsi"/>
                <w:i/>
                <w:lang w:val="it-IT"/>
              </w:rPr>
              <w:t>Pedagogija</w:t>
            </w:r>
            <w:proofErr w:type="spellEnd"/>
            <w:r w:rsidRPr="00C77768">
              <w:rPr>
                <w:rFonts w:ascii="Cambria" w:hAnsi="Cambria" w:cstheme="minorHAnsi"/>
                <w:i/>
                <w:lang w:val="it-IT"/>
              </w:rPr>
              <w:t xml:space="preserve"> za </w:t>
            </w:r>
            <w:proofErr w:type="spellStart"/>
            <w:r w:rsidRPr="00C77768">
              <w:rPr>
                <w:rFonts w:ascii="Cambria" w:hAnsi="Cambria" w:cstheme="minorHAnsi"/>
                <w:i/>
                <w:lang w:val="it-IT"/>
              </w:rPr>
              <w:t>učitelje</w:t>
            </w:r>
            <w:proofErr w:type="spellEnd"/>
            <w:r w:rsidRPr="00C77768">
              <w:rPr>
                <w:rFonts w:ascii="Cambria" w:hAnsi="Cambria" w:cstheme="minorHAnsi"/>
                <w:i/>
                <w:lang w:val="it-IT"/>
              </w:rPr>
              <w:t xml:space="preserve"> i </w:t>
            </w:r>
            <w:proofErr w:type="spellStart"/>
            <w:r w:rsidRPr="00C77768">
              <w:rPr>
                <w:rFonts w:ascii="Cambria" w:hAnsi="Cambria" w:cstheme="minorHAnsi"/>
                <w:i/>
                <w:lang w:val="it-IT"/>
              </w:rPr>
              <w:t>nastavnike</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Školska</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knjiga</w:t>
            </w:r>
            <w:proofErr w:type="spellEnd"/>
            <w:r w:rsidRPr="00DF4CE5">
              <w:rPr>
                <w:rFonts w:ascii="Cambria" w:hAnsi="Cambria" w:cstheme="minorHAnsi"/>
                <w:lang w:val="it-IT"/>
              </w:rPr>
              <w:t>.</w:t>
            </w:r>
          </w:p>
          <w:p w14:paraId="2658000B" w14:textId="77777777" w:rsidR="00354E46" w:rsidRPr="00DF4CE5" w:rsidRDefault="00354E46">
            <w:pPr>
              <w:spacing w:after="0" w:line="240" w:lineRule="auto"/>
              <w:rPr>
                <w:rFonts w:ascii="Cambria" w:hAnsi="Cambria" w:cstheme="minorHAnsi"/>
                <w:lang w:val="it-IT"/>
              </w:rPr>
            </w:pPr>
            <w:r w:rsidRPr="00DF4CE5">
              <w:rPr>
                <w:rFonts w:ascii="Cambria" w:hAnsi="Cambria" w:cstheme="minorHAnsi"/>
                <w:lang w:val="it-IT"/>
              </w:rPr>
              <w:t xml:space="preserve">8. </w:t>
            </w:r>
            <w:proofErr w:type="spellStart"/>
            <w:r w:rsidRPr="00DF4CE5">
              <w:rPr>
                <w:rFonts w:ascii="Cambria" w:hAnsi="Cambria" w:cstheme="minorHAnsi"/>
                <w:lang w:val="it-IT"/>
              </w:rPr>
              <w:t>Tatković</w:t>
            </w:r>
            <w:proofErr w:type="spellEnd"/>
            <w:r w:rsidRPr="00DF4CE5">
              <w:rPr>
                <w:rFonts w:ascii="Cambria" w:hAnsi="Cambria" w:cstheme="minorHAnsi"/>
                <w:lang w:val="it-IT"/>
              </w:rPr>
              <w:t xml:space="preserve">, N., </w:t>
            </w:r>
            <w:proofErr w:type="spellStart"/>
            <w:r w:rsidRPr="00DF4CE5">
              <w:rPr>
                <w:rFonts w:ascii="Cambria" w:hAnsi="Cambria" w:cstheme="minorHAnsi"/>
                <w:lang w:val="it-IT"/>
              </w:rPr>
              <w:t>Diković</w:t>
            </w:r>
            <w:proofErr w:type="spellEnd"/>
            <w:r w:rsidRPr="00DF4CE5">
              <w:rPr>
                <w:rFonts w:ascii="Cambria" w:hAnsi="Cambria" w:cstheme="minorHAnsi"/>
                <w:lang w:val="it-IT"/>
              </w:rPr>
              <w:t xml:space="preserve">, M., </w:t>
            </w:r>
            <w:proofErr w:type="spellStart"/>
            <w:r w:rsidRPr="00DF4CE5">
              <w:rPr>
                <w:rFonts w:ascii="Cambria" w:hAnsi="Cambria" w:cstheme="minorHAnsi"/>
                <w:lang w:val="it-IT"/>
              </w:rPr>
              <w:t>Štifanić</w:t>
            </w:r>
            <w:proofErr w:type="spellEnd"/>
            <w:r w:rsidRPr="00DF4CE5">
              <w:rPr>
                <w:rFonts w:ascii="Cambria" w:hAnsi="Cambria" w:cstheme="minorHAnsi"/>
                <w:lang w:val="it-IT"/>
              </w:rPr>
              <w:t xml:space="preserve">, M. (2015). </w:t>
            </w:r>
            <w:proofErr w:type="spellStart"/>
            <w:r w:rsidRPr="00C77768">
              <w:rPr>
                <w:rFonts w:ascii="Cambria" w:hAnsi="Cambria" w:cstheme="minorHAnsi"/>
                <w:i/>
                <w:lang w:val="it-IT"/>
              </w:rPr>
              <w:t>Odgoj</w:t>
            </w:r>
            <w:proofErr w:type="spellEnd"/>
            <w:r w:rsidRPr="00C77768">
              <w:rPr>
                <w:rFonts w:ascii="Cambria" w:hAnsi="Cambria" w:cstheme="minorHAnsi"/>
                <w:i/>
                <w:lang w:val="it-IT"/>
              </w:rPr>
              <w:t xml:space="preserve"> i </w:t>
            </w:r>
            <w:proofErr w:type="spellStart"/>
            <w:r w:rsidRPr="00C77768">
              <w:rPr>
                <w:rFonts w:ascii="Cambria" w:hAnsi="Cambria" w:cstheme="minorHAnsi"/>
                <w:i/>
                <w:lang w:val="it-IT"/>
              </w:rPr>
              <w:t>obrazovanje</w:t>
            </w:r>
            <w:proofErr w:type="spellEnd"/>
            <w:r w:rsidRPr="00C77768">
              <w:rPr>
                <w:rFonts w:ascii="Cambria" w:hAnsi="Cambria" w:cstheme="minorHAnsi"/>
                <w:i/>
                <w:lang w:val="it-IT"/>
              </w:rPr>
              <w:t xml:space="preserve"> za </w:t>
            </w:r>
            <w:proofErr w:type="spellStart"/>
            <w:r w:rsidRPr="00C77768">
              <w:rPr>
                <w:rFonts w:ascii="Cambria" w:hAnsi="Cambria" w:cstheme="minorHAnsi"/>
                <w:i/>
                <w:lang w:val="it-IT"/>
              </w:rPr>
              <w:t>razvoj</w:t>
            </w:r>
            <w:proofErr w:type="spellEnd"/>
            <w:r w:rsidRPr="00C77768">
              <w:rPr>
                <w:rFonts w:ascii="Cambria" w:hAnsi="Cambria" w:cstheme="minorHAnsi"/>
                <w:i/>
                <w:lang w:val="it-IT"/>
              </w:rPr>
              <w:t xml:space="preserve"> </w:t>
            </w:r>
            <w:proofErr w:type="spellStart"/>
            <w:r w:rsidRPr="00C77768">
              <w:rPr>
                <w:rFonts w:ascii="Cambria" w:hAnsi="Cambria" w:cstheme="minorHAnsi"/>
                <w:i/>
                <w:lang w:val="it-IT"/>
              </w:rPr>
              <w:t>danas</w:t>
            </w:r>
            <w:proofErr w:type="spellEnd"/>
            <w:r w:rsidRPr="00C77768">
              <w:rPr>
                <w:rFonts w:ascii="Cambria" w:hAnsi="Cambria" w:cstheme="minorHAnsi"/>
                <w:i/>
                <w:lang w:val="it-IT"/>
              </w:rPr>
              <w:t xml:space="preserve"> i sutra. </w:t>
            </w:r>
            <w:proofErr w:type="spellStart"/>
            <w:r w:rsidRPr="00C77768">
              <w:rPr>
                <w:rFonts w:ascii="Cambria" w:hAnsi="Cambria" w:cstheme="minorHAnsi"/>
                <w:i/>
                <w:lang w:val="it-IT"/>
              </w:rPr>
              <w:t>Ekološke</w:t>
            </w:r>
            <w:proofErr w:type="spellEnd"/>
            <w:r w:rsidRPr="00C77768">
              <w:rPr>
                <w:rFonts w:ascii="Cambria" w:hAnsi="Cambria" w:cstheme="minorHAnsi"/>
                <w:i/>
                <w:lang w:val="it-IT"/>
              </w:rPr>
              <w:t xml:space="preserve"> i </w:t>
            </w:r>
            <w:proofErr w:type="spellStart"/>
            <w:r w:rsidRPr="00C77768">
              <w:rPr>
                <w:rFonts w:ascii="Cambria" w:hAnsi="Cambria" w:cstheme="minorHAnsi"/>
                <w:i/>
                <w:lang w:val="it-IT"/>
              </w:rPr>
              <w:t>društvene</w:t>
            </w:r>
            <w:proofErr w:type="spellEnd"/>
            <w:r w:rsidRPr="00C77768">
              <w:rPr>
                <w:rFonts w:ascii="Cambria" w:hAnsi="Cambria" w:cstheme="minorHAnsi"/>
                <w:i/>
                <w:lang w:val="it-IT"/>
              </w:rPr>
              <w:t xml:space="preserve"> </w:t>
            </w:r>
            <w:proofErr w:type="spellStart"/>
            <w:r w:rsidRPr="00C77768">
              <w:rPr>
                <w:rFonts w:ascii="Cambria" w:hAnsi="Cambria" w:cstheme="minorHAnsi"/>
                <w:i/>
                <w:lang w:val="it-IT"/>
              </w:rPr>
              <w:t>paradigme</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Sveučilište</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Jurja</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Dobrile</w:t>
            </w:r>
            <w:proofErr w:type="spellEnd"/>
            <w:r w:rsidRPr="00DF4CE5">
              <w:rPr>
                <w:rFonts w:ascii="Cambria" w:hAnsi="Cambria" w:cstheme="minorHAnsi"/>
                <w:lang w:val="it-IT"/>
              </w:rPr>
              <w:t xml:space="preserve"> u </w:t>
            </w:r>
            <w:proofErr w:type="spellStart"/>
            <w:r w:rsidRPr="00DF4CE5">
              <w:rPr>
                <w:rFonts w:ascii="Cambria" w:hAnsi="Cambria" w:cstheme="minorHAnsi"/>
                <w:lang w:val="it-IT"/>
              </w:rPr>
              <w:t>Puli</w:t>
            </w:r>
            <w:proofErr w:type="spellEnd"/>
            <w:r w:rsidRPr="00DF4CE5">
              <w:rPr>
                <w:rFonts w:ascii="Cambria" w:hAnsi="Cambria" w:cstheme="minorHAnsi"/>
                <w:lang w:val="it-IT"/>
              </w:rPr>
              <w:t xml:space="preserve">. </w:t>
            </w:r>
          </w:p>
          <w:p w14:paraId="1906671D" w14:textId="77777777" w:rsidR="00354E46" w:rsidRPr="00DF4CE5" w:rsidRDefault="00354E46">
            <w:pPr>
              <w:spacing w:after="0" w:line="240" w:lineRule="auto"/>
              <w:rPr>
                <w:rFonts w:ascii="Cambria" w:hAnsi="Cambria" w:cstheme="minorHAnsi"/>
                <w:lang w:val="it-IT"/>
              </w:rPr>
            </w:pPr>
            <w:r w:rsidRPr="00DF4CE5">
              <w:rPr>
                <w:rFonts w:ascii="Cambria" w:hAnsi="Cambria" w:cstheme="minorHAnsi"/>
                <w:lang w:val="it-IT"/>
              </w:rPr>
              <w:t xml:space="preserve">9. </w:t>
            </w:r>
            <w:proofErr w:type="spellStart"/>
            <w:r w:rsidRPr="00DF4CE5">
              <w:rPr>
                <w:rFonts w:ascii="Cambria" w:hAnsi="Cambria" w:cstheme="minorHAnsi"/>
                <w:lang w:val="it-IT"/>
              </w:rPr>
              <w:t>Tatković</w:t>
            </w:r>
            <w:proofErr w:type="spellEnd"/>
            <w:r w:rsidRPr="00DF4CE5">
              <w:rPr>
                <w:rFonts w:ascii="Cambria" w:hAnsi="Cambria" w:cstheme="minorHAnsi"/>
                <w:lang w:val="it-IT"/>
              </w:rPr>
              <w:t xml:space="preserve">, N., </w:t>
            </w:r>
            <w:proofErr w:type="spellStart"/>
            <w:r w:rsidRPr="00DF4CE5">
              <w:rPr>
                <w:rFonts w:ascii="Cambria" w:hAnsi="Cambria" w:cstheme="minorHAnsi"/>
                <w:lang w:val="it-IT"/>
              </w:rPr>
              <w:t>Diković</w:t>
            </w:r>
            <w:proofErr w:type="spellEnd"/>
            <w:r w:rsidRPr="00DF4CE5">
              <w:rPr>
                <w:rFonts w:ascii="Cambria" w:hAnsi="Cambria" w:cstheme="minorHAnsi"/>
                <w:lang w:val="it-IT"/>
              </w:rPr>
              <w:t xml:space="preserve">, M., </w:t>
            </w:r>
            <w:proofErr w:type="spellStart"/>
            <w:r w:rsidRPr="00DF4CE5">
              <w:rPr>
                <w:rFonts w:ascii="Cambria" w:hAnsi="Cambria" w:cstheme="minorHAnsi"/>
                <w:lang w:val="it-IT"/>
              </w:rPr>
              <w:t>Tatković</w:t>
            </w:r>
            <w:proofErr w:type="spellEnd"/>
            <w:r w:rsidRPr="00DF4CE5">
              <w:rPr>
                <w:rFonts w:ascii="Cambria" w:hAnsi="Cambria" w:cstheme="minorHAnsi"/>
                <w:lang w:val="it-IT"/>
              </w:rPr>
              <w:t xml:space="preserve">, S. (2016). </w:t>
            </w:r>
            <w:proofErr w:type="spellStart"/>
            <w:r w:rsidRPr="00C77768">
              <w:rPr>
                <w:rFonts w:ascii="Cambria" w:hAnsi="Cambria" w:cstheme="minorHAnsi"/>
                <w:i/>
                <w:lang w:val="it-IT"/>
              </w:rPr>
              <w:t>Pedagoško-psihološki</w:t>
            </w:r>
            <w:proofErr w:type="spellEnd"/>
            <w:r w:rsidRPr="00C77768">
              <w:rPr>
                <w:rFonts w:ascii="Cambria" w:hAnsi="Cambria" w:cstheme="minorHAnsi"/>
                <w:i/>
                <w:lang w:val="it-IT"/>
              </w:rPr>
              <w:t xml:space="preserve"> </w:t>
            </w:r>
            <w:proofErr w:type="spellStart"/>
            <w:r w:rsidRPr="00C77768">
              <w:rPr>
                <w:rFonts w:ascii="Cambria" w:hAnsi="Cambria" w:cstheme="minorHAnsi"/>
                <w:i/>
                <w:lang w:val="it-IT"/>
              </w:rPr>
              <w:t>aspekti</w:t>
            </w:r>
            <w:proofErr w:type="spellEnd"/>
            <w:r w:rsidRPr="00C77768">
              <w:rPr>
                <w:rFonts w:ascii="Cambria" w:hAnsi="Cambria" w:cstheme="minorHAnsi"/>
                <w:i/>
                <w:lang w:val="it-IT"/>
              </w:rPr>
              <w:t xml:space="preserve"> </w:t>
            </w:r>
            <w:proofErr w:type="spellStart"/>
            <w:r w:rsidRPr="00C77768">
              <w:rPr>
                <w:rFonts w:ascii="Cambria" w:hAnsi="Cambria" w:cstheme="minorHAnsi"/>
                <w:i/>
                <w:lang w:val="it-IT"/>
              </w:rPr>
              <w:t>komunikacije</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Sveučilište</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Jurja</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Dobrile</w:t>
            </w:r>
            <w:proofErr w:type="spellEnd"/>
            <w:r w:rsidRPr="00DF4CE5">
              <w:rPr>
                <w:rFonts w:ascii="Cambria" w:hAnsi="Cambria" w:cstheme="minorHAnsi"/>
                <w:lang w:val="it-IT"/>
              </w:rPr>
              <w:t xml:space="preserve"> u </w:t>
            </w:r>
            <w:proofErr w:type="spellStart"/>
            <w:r w:rsidRPr="00DF4CE5">
              <w:rPr>
                <w:rFonts w:ascii="Cambria" w:hAnsi="Cambria" w:cstheme="minorHAnsi"/>
                <w:lang w:val="it-IT"/>
              </w:rPr>
              <w:t>Puli</w:t>
            </w:r>
            <w:proofErr w:type="spellEnd"/>
            <w:r w:rsidRPr="00DF4CE5">
              <w:rPr>
                <w:rFonts w:ascii="Cambria" w:hAnsi="Cambria" w:cstheme="minorHAnsi"/>
                <w:lang w:val="it-IT"/>
              </w:rPr>
              <w:t>.</w:t>
            </w:r>
          </w:p>
          <w:p w14:paraId="25AE7118" w14:textId="77777777" w:rsidR="00354E46" w:rsidRPr="00DF4CE5" w:rsidRDefault="00354E46">
            <w:pPr>
              <w:spacing w:after="0" w:line="240" w:lineRule="auto"/>
              <w:rPr>
                <w:rFonts w:ascii="Cambria" w:hAnsi="Cambria" w:cstheme="minorHAnsi"/>
                <w:lang w:val="it-IT"/>
              </w:rPr>
            </w:pPr>
            <w:r w:rsidRPr="00DF4CE5">
              <w:rPr>
                <w:rFonts w:ascii="Cambria" w:hAnsi="Cambria" w:cstheme="minorHAnsi"/>
                <w:lang w:val="it-IT"/>
              </w:rPr>
              <w:t xml:space="preserve">10. </w:t>
            </w:r>
            <w:proofErr w:type="spellStart"/>
            <w:r w:rsidRPr="00DF4CE5">
              <w:rPr>
                <w:rFonts w:ascii="Cambria" w:hAnsi="Cambria" w:cstheme="minorHAnsi"/>
                <w:lang w:val="it-IT"/>
              </w:rPr>
              <w:t>Tatković</w:t>
            </w:r>
            <w:proofErr w:type="spellEnd"/>
            <w:r w:rsidRPr="00DF4CE5">
              <w:rPr>
                <w:rFonts w:ascii="Cambria" w:hAnsi="Cambria" w:cstheme="minorHAnsi"/>
                <w:lang w:val="it-IT"/>
              </w:rPr>
              <w:t xml:space="preserve">, N., </w:t>
            </w:r>
            <w:proofErr w:type="spellStart"/>
            <w:r w:rsidRPr="00DF4CE5">
              <w:rPr>
                <w:rFonts w:ascii="Cambria" w:hAnsi="Cambria" w:cstheme="minorHAnsi"/>
                <w:lang w:val="it-IT"/>
              </w:rPr>
              <w:t>Močinić</w:t>
            </w:r>
            <w:proofErr w:type="spellEnd"/>
            <w:r w:rsidRPr="00DF4CE5">
              <w:rPr>
                <w:rFonts w:ascii="Cambria" w:hAnsi="Cambria" w:cstheme="minorHAnsi"/>
                <w:lang w:val="it-IT"/>
              </w:rPr>
              <w:t xml:space="preserve">, S. (2012). </w:t>
            </w:r>
            <w:proofErr w:type="spellStart"/>
            <w:r w:rsidRPr="00C77768">
              <w:rPr>
                <w:rFonts w:ascii="Cambria" w:hAnsi="Cambria" w:cstheme="minorHAnsi"/>
                <w:i/>
                <w:lang w:val="it-IT"/>
              </w:rPr>
              <w:t>Učitelj</w:t>
            </w:r>
            <w:proofErr w:type="spellEnd"/>
            <w:r w:rsidRPr="00C77768">
              <w:rPr>
                <w:rFonts w:ascii="Cambria" w:hAnsi="Cambria" w:cstheme="minorHAnsi"/>
                <w:i/>
                <w:lang w:val="it-IT"/>
              </w:rPr>
              <w:t xml:space="preserve"> za </w:t>
            </w:r>
            <w:proofErr w:type="spellStart"/>
            <w:r w:rsidRPr="00C77768">
              <w:rPr>
                <w:rFonts w:ascii="Cambria" w:hAnsi="Cambria" w:cstheme="minorHAnsi"/>
                <w:i/>
                <w:lang w:val="it-IT"/>
              </w:rPr>
              <w:t>društvo</w:t>
            </w:r>
            <w:proofErr w:type="spellEnd"/>
            <w:r w:rsidRPr="00C77768">
              <w:rPr>
                <w:rFonts w:ascii="Cambria" w:hAnsi="Cambria" w:cstheme="minorHAnsi"/>
                <w:i/>
                <w:lang w:val="it-IT"/>
              </w:rPr>
              <w:t xml:space="preserve"> </w:t>
            </w:r>
            <w:proofErr w:type="spellStart"/>
            <w:r w:rsidRPr="00C77768">
              <w:rPr>
                <w:rFonts w:ascii="Cambria" w:hAnsi="Cambria" w:cstheme="minorHAnsi"/>
                <w:i/>
                <w:lang w:val="it-IT"/>
              </w:rPr>
              <w:t>znanja</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Sveučilište</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Jurja</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Dobrile</w:t>
            </w:r>
            <w:proofErr w:type="spellEnd"/>
            <w:r w:rsidRPr="00DF4CE5">
              <w:rPr>
                <w:rFonts w:ascii="Cambria" w:hAnsi="Cambria" w:cstheme="minorHAnsi"/>
                <w:lang w:val="it-IT"/>
              </w:rPr>
              <w:t xml:space="preserve"> u </w:t>
            </w:r>
            <w:proofErr w:type="spellStart"/>
            <w:r w:rsidRPr="00DF4CE5">
              <w:rPr>
                <w:rFonts w:ascii="Cambria" w:hAnsi="Cambria" w:cstheme="minorHAnsi"/>
                <w:lang w:val="it-IT"/>
              </w:rPr>
              <w:t>Puli</w:t>
            </w:r>
            <w:proofErr w:type="spellEnd"/>
            <w:r w:rsidRPr="00DF4CE5">
              <w:rPr>
                <w:rFonts w:ascii="Cambria" w:hAnsi="Cambria" w:cstheme="minorHAnsi"/>
                <w:lang w:val="it-IT"/>
              </w:rPr>
              <w:t>. (</w:t>
            </w:r>
            <w:proofErr w:type="spellStart"/>
            <w:r w:rsidRPr="00DF4CE5">
              <w:rPr>
                <w:rFonts w:ascii="Cambria" w:hAnsi="Cambria" w:cstheme="minorHAnsi"/>
                <w:lang w:val="it-IT"/>
              </w:rPr>
              <w:t>str</w:t>
            </w:r>
            <w:proofErr w:type="spellEnd"/>
            <w:r w:rsidRPr="00DF4CE5">
              <w:rPr>
                <w:rFonts w:ascii="Cambria" w:hAnsi="Cambria" w:cstheme="minorHAnsi"/>
                <w:lang w:val="it-IT"/>
              </w:rPr>
              <w:t xml:space="preserve">. 43-104). </w:t>
            </w:r>
          </w:p>
          <w:p w14:paraId="303569FB" w14:textId="77777777" w:rsidR="00354E46" w:rsidRPr="00DF4CE5" w:rsidRDefault="00354E46">
            <w:pPr>
              <w:spacing w:after="0" w:line="240" w:lineRule="auto"/>
              <w:rPr>
                <w:rFonts w:ascii="Cambria" w:hAnsi="Cambria" w:cstheme="minorHAnsi"/>
              </w:rPr>
            </w:pPr>
            <w:r w:rsidRPr="00DF4CE5">
              <w:rPr>
                <w:rFonts w:ascii="Cambria" w:hAnsi="Cambria" w:cstheme="minorHAnsi"/>
                <w:lang w:val="it-IT"/>
              </w:rPr>
              <w:t xml:space="preserve">11. Thomas, G. (2015). </w:t>
            </w:r>
            <w:proofErr w:type="spellStart"/>
            <w:r w:rsidRPr="00C77768">
              <w:rPr>
                <w:rFonts w:ascii="Cambria" w:hAnsi="Cambria" w:cstheme="minorHAnsi"/>
                <w:i/>
                <w:lang w:val="it-IT"/>
              </w:rPr>
              <w:t>Kratak</w:t>
            </w:r>
            <w:proofErr w:type="spellEnd"/>
            <w:r w:rsidRPr="00C77768">
              <w:rPr>
                <w:rFonts w:ascii="Cambria" w:hAnsi="Cambria" w:cstheme="minorHAnsi"/>
                <w:i/>
                <w:lang w:val="it-IT"/>
              </w:rPr>
              <w:t xml:space="preserve"> </w:t>
            </w:r>
            <w:proofErr w:type="spellStart"/>
            <w:r w:rsidRPr="00C77768">
              <w:rPr>
                <w:rFonts w:ascii="Cambria" w:hAnsi="Cambria" w:cstheme="minorHAnsi"/>
                <w:i/>
                <w:lang w:val="it-IT"/>
              </w:rPr>
              <w:t>uvod</w:t>
            </w:r>
            <w:proofErr w:type="spellEnd"/>
            <w:r w:rsidRPr="00C77768">
              <w:rPr>
                <w:rFonts w:ascii="Cambria" w:hAnsi="Cambria" w:cstheme="minorHAnsi"/>
                <w:i/>
                <w:lang w:val="it-IT"/>
              </w:rPr>
              <w:t xml:space="preserve"> u </w:t>
            </w:r>
            <w:proofErr w:type="spellStart"/>
            <w:r w:rsidRPr="00C77768">
              <w:rPr>
                <w:rFonts w:ascii="Cambria" w:hAnsi="Cambria" w:cstheme="minorHAnsi"/>
                <w:i/>
                <w:lang w:val="it-IT"/>
              </w:rPr>
              <w:t>pedagogiju</w:t>
            </w:r>
            <w:proofErr w:type="spellEnd"/>
            <w:r w:rsidRPr="00DF4CE5">
              <w:rPr>
                <w:rFonts w:ascii="Cambria" w:hAnsi="Cambria" w:cstheme="minorHAnsi"/>
                <w:lang w:val="it-IT"/>
              </w:rPr>
              <w:t xml:space="preserve">. </w:t>
            </w:r>
            <w:r w:rsidRPr="00DF4CE5">
              <w:rPr>
                <w:rFonts w:ascii="Cambria" w:hAnsi="Cambria" w:cstheme="minorHAnsi"/>
              </w:rPr>
              <w:t>Educa.</w:t>
            </w:r>
          </w:p>
          <w:p w14:paraId="0C2F87DF" w14:textId="77777777" w:rsidR="00354E46" w:rsidRPr="00DF4CE5" w:rsidRDefault="00354E46">
            <w:pPr>
              <w:spacing w:after="0" w:line="240" w:lineRule="auto"/>
              <w:rPr>
                <w:rFonts w:ascii="Cambria" w:hAnsi="Cambria" w:cstheme="minorHAnsi"/>
              </w:rPr>
            </w:pPr>
            <w:r w:rsidRPr="00DF4CE5">
              <w:rPr>
                <w:rFonts w:ascii="Cambria" w:hAnsi="Cambria" w:cstheme="minorHAnsi"/>
              </w:rPr>
              <w:t xml:space="preserve">12. Vican, D., </w:t>
            </w:r>
            <w:proofErr w:type="spellStart"/>
            <w:r w:rsidRPr="00DF4CE5">
              <w:rPr>
                <w:rFonts w:ascii="Cambria" w:hAnsi="Cambria" w:cstheme="minorHAnsi"/>
              </w:rPr>
              <w:t>Ledić</w:t>
            </w:r>
            <w:proofErr w:type="spellEnd"/>
            <w:r w:rsidRPr="00DF4CE5">
              <w:rPr>
                <w:rFonts w:ascii="Cambria" w:hAnsi="Cambria" w:cstheme="minorHAnsi"/>
              </w:rPr>
              <w:t xml:space="preserve">, J., </w:t>
            </w:r>
            <w:proofErr w:type="spellStart"/>
            <w:r w:rsidRPr="00DF4CE5">
              <w:rPr>
                <w:rFonts w:ascii="Cambria" w:hAnsi="Cambria" w:cstheme="minorHAnsi"/>
              </w:rPr>
              <w:t>Radeka</w:t>
            </w:r>
            <w:proofErr w:type="spellEnd"/>
            <w:r w:rsidRPr="00DF4CE5">
              <w:rPr>
                <w:rFonts w:ascii="Cambria" w:hAnsi="Cambria" w:cstheme="minorHAnsi"/>
              </w:rPr>
              <w:t>, I. (</w:t>
            </w:r>
            <w:proofErr w:type="spellStart"/>
            <w:r w:rsidRPr="00DF4CE5">
              <w:rPr>
                <w:rFonts w:ascii="Cambria" w:hAnsi="Cambria" w:cstheme="minorHAnsi"/>
              </w:rPr>
              <w:t>ur</w:t>
            </w:r>
            <w:proofErr w:type="spellEnd"/>
            <w:r w:rsidRPr="00DF4CE5">
              <w:rPr>
                <w:rFonts w:ascii="Cambria" w:hAnsi="Cambria" w:cstheme="minorHAnsi"/>
              </w:rPr>
              <w:t xml:space="preserve">.) (2022). </w:t>
            </w:r>
            <w:proofErr w:type="spellStart"/>
            <w:r w:rsidRPr="00C77768">
              <w:rPr>
                <w:rFonts w:ascii="Cambria" w:hAnsi="Cambria" w:cstheme="minorHAnsi"/>
                <w:i/>
              </w:rPr>
              <w:t>Odgojno-obrazovni</w:t>
            </w:r>
            <w:proofErr w:type="spellEnd"/>
            <w:r w:rsidRPr="00C77768">
              <w:rPr>
                <w:rFonts w:ascii="Cambria" w:hAnsi="Cambria" w:cstheme="minorHAnsi"/>
                <w:i/>
              </w:rPr>
              <w:t xml:space="preserve"> </w:t>
            </w:r>
            <w:proofErr w:type="spellStart"/>
            <w:r w:rsidRPr="00C77768">
              <w:rPr>
                <w:rFonts w:ascii="Cambria" w:hAnsi="Cambria" w:cstheme="minorHAnsi"/>
                <w:i/>
              </w:rPr>
              <w:t>diskurs</w:t>
            </w:r>
            <w:proofErr w:type="spellEnd"/>
            <w:r w:rsidRPr="00C77768">
              <w:rPr>
                <w:rFonts w:ascii="Cambria" w:hAnsi="Cambria" w:cstheme="minorHAnsi"/>
                <w:i/>
              </w:rPr>
              <w:t xml:space="preserve"> </w:t>
            </w:r>
            <w:proofErr w:type="spellStart"/>
            <w:r w:rsidRPr="00C77768">
              <w:rPr>
                <w:rFonts w:ascii="Cambria" w:hAnsi="Cambria" w:cstheme="minorHAnsi"/>
                <w:i/>
              </w:rPr>
              <w:t>pedagogije</w:t>
            </w:r>
            <w:proofErr w:type="spellEnd"/>
            <w:r w:rsidRPr="00DF4CE5">
              <w:rPr>
                <w:rFonts w:ascii="Cambria" w:hAnsi="Cambria" w:cstheme="minorHAnsi"/>
              </w:rPr>
              <w:t xml:space="preserve">. </w:t>
            </w:r>
            <w:proofErr w:type="spellStart"/>
            <w:r w:rsidRPr="00DF4CE5">
              <w:rPr>
                <w:rFonts w:ascii="Cambria" w:hAnsi="Cambria" w:cstheme="minorHAnsi"/>
              </w:rPr>
              <w:t>Sveučilište</w:t>
            </w:r>
            <w:proofErr w:type="spellEnd"/>
            <w:r w:rsidRPr="00DF4CE5">
              <w:rPr>
                <w:rFonts w:ascii="Cambria" w:hAnsi="Cambria" w:cstheme="minorHAnsi"/>
              </w:rPr>
              <w:t xml:space="preserve"> u </w:t>
            </w:r>
            <w:proofErr w:type="spellStart"/>
            <w:r w:rsidRPr="00DF4CE5">
              <w:rPr>
                <w:rFonts w:ascii="Cambria" w:hAnsi="Cambria" w:cstheme="minorHAnsi"/>
              </w:rPr>
              <w:t>Zadru</w:t>
            </w:r>
            <w:proofErr w:type="spellEnd"/>
            <w:r w:rsidRPr="00DF4CE5">
              <w:rPr>
                <w:rFonts w:ascii="Cambria" w:hAnsi="Cambria" w:cstheme="minorHAnsi"/>
              </w:rPr>
              <w:t>.</w:t>
            </w:r>
          </w:p>
          <w:p w14:paraId="167C26A5" w14:textId="77777777" w:rsidR="00354E46" w:rsidRPr="00DF4CE5" w:rsidRDefault="00354E46">
            <w:pPr>
              <w:spacing w:after="0" w:line="240" w:lineRule="auto"/>
              <w:rPr>
                <w:rFonts w:ascii="Cambria" w:hAnsi="Cambria" w:cstheme="minorHAnsi"/>
              </w:rPr>
            </w:pPr>
            <w:r w:rsidRPr="00DF4CE5">
              <w:rPr>
                <w:rFonts w:ascii="Cambria" w:hAnsi="Cambria" w:cstheme="minorHAnsi"/>
              </w:rPr>
              <w:t xml:space="preserve">13. </w:t>
            </w:r>
            <w:proofErr w:type="spellStart"/>
            <w:r w:rsidRPr="00DF4CE5">
              <w:rPr>
                <w:rFonts w:ascii="Cambria" w:hAnsi="Cambria" w:cstheme="minorHAnsi"/>
              </w:rPr>
              <w:t>Vrcelj</w:t>
            </w:r>
            <w:proofErr w:type="spellEnd"/>
            <w:r w:rsidRPr="00DF4CE5">
              <w:rPr>
                <w:rFonts w:ascii="Cambria" w:hAnsi="Cambria" w:cstheme="minorHAnsi"/>
              </w:rPr>
              <w:t xml:space="preserve">, S. (2018). </w:t>
            </w:r>
            <w:proofErr w:type="spellStart"/>
            <w:r w:rsidRPr="00C77768">
              <w:rPr>
                <w:rFonts w:ascii="Cambria" w:hAnsi="Cambria" w:cstheme="minorHAnsi"/>
                <w:i/>
              </w:rPr>
              <w:t>Što</w:t>
            </w:r>
            <w:proofErr w:type="spellEnd"/>
            <w:r w:rsidRPr="00C77768">
              <w:rPr>
                <w:rFonts w:ascii="Cambria" w:hAnsi="Cambria" w:cstheme="minorHAnsi"/>
                <w:i/>
              </w:rPr>
              <w:t xml:space="preserve"> </w:t>
            </w:r>
            <w:proofErr w:type="spellStart"/>
            <w:r w:rsidRPr="00C77768">
              <w:rPr>
                <w:rFonts w:ascii="Cambria" w:hAnsi="Cambria" w:cstheme="minorHAnsi"/>
                <w:i/>
              </w:rPr>
              <w:t>školu</w:t>
            </w:r>
            <w:proofErr w:type="spellEnd"/>
            <w:r w:rsidRPr="00C77768">
              <w:rPr>
                <w:rFonts w:ascii="Cambria" w:hAnsi="Cambria" w:cstheme="minorHAnsi"/>
                <w:i/>
              </w:rPr>
              <w:t xml:space="preserve"> </w:t>
            </w:r>
            <w:proofErr w:type="spellStart"/>
            <w:r w:rsidRPr="00C77768">
              <w:rPr>
                <w:rFonts w:ascii="Cambria" w:hAnsi="Cambria" w:cstheme="minorHAnsi"/>
                <w:i/>
              </w:rPr>
              <w:t>čini</w:t>
            </w:r>
            <w:proofErr w:type="spellEnd"/>
            <w:r w:rsidRPr="00C77768">
              <w:rPr>
                <w:rFonts w:ascii="Cambria" w:hAnsi="Cambria" w:cstheme="minorHAnsi"/>
                <w:i/>
              </w:rPr>
              <w:t xml:space="preserve"> </w:t>
            </w:r>
            <w:proofErr w:type="spellStart"/>
            <w:r w:rsidRPr="00C77768">
              <w:rPr>
                <w:rFonts w:ascii="Cambria" w:hAnsi="Cambria" w:cstheme="minorHAnsi"/>
                <w:i/>
              </w:rPr>
              <w:t>školom</w:t>
            </w:r>
            <w:proofErr w:type="spellEnd"/>
            <w:r w:rsidRPr="00C77768">
              <w:rPr>
                <w:rFonts w:ascii="Cambria" w:hAnsi="Cambria" w:cstheme="minorHAnsi"/>
                <w:i/>
              </w:rPr>
              <w:t>?</w:t>
            </w:r>
            <w:r w:rsidRPr="00DF4CE5">
              <w:rPr>
                <w:rFonts w:ascii="Cambria" w:hAnsi="Cambria" w:cstheme="minorHAnsi"/>
              </w:rPr>
              <w:t xml:space="preserve"> </w:t>
            </w:r>
            <w:proofErr w:type="spellStart"/>
            <w:r w:rsidRPr="00DF4CE5">
              <w:rPr>
                <w:rFonts w:ascii="Cambria" w:hAnsi="Cambria" w:cstheme="minorHAnsi"/>
              </w:rPr>
              <w:t>Filozofski</w:t>
            </w:r>
            <w:proofErr w:type="spellEnd"/>
            <w:r w:rsidRPr="00DF4CE5">
              <w:rPr>
                <w:rFonts w:ascii="Cambria" w:hAnsi="Cambria" w:cstheme="minorHAnsi"/>
              </w:rPr>
              <w:t xml:space="preserve"> </w:t>
            </w:r>
            <w:proofErr w:type="spellStart"/>
            <w:r w:rsidRPr="00DF4CE5">
              <w:rPr>
                <w:rFonts w:ascii="Cambria" w:hAnsi="Cambria" w:cstheme="minorHAnsi"/>
              </w:rPr>
              <w:t>fakultet</w:t>
            </w:r>
            <w:proofErr w:type="spellEnd"/>
            <w:r w:rsidRPr="00DF4CE5">
              <w:rPr>
                <w:rFonts w:ascii="Cambria" w:hAnsi="Cambria" w:cstheme="minorHAnsi"/>
              </w:rPr>
              <w:t xml:space="preserve"> u </w:t>
            </w:r>
            <w:proofErr w:type="spellStart"/>
            <w:r w:rsidRPr="00DF4CE5">
              <w:rPr>
                <w:rFonts w:ascii="Cambria" w:hAnsi="Cambria" w:cstheme="minorHAnsi"/>
              </w:rPr>
              <w:t>Rijeci</w:t>
            </w:r>
            <w:proofErr w:type="spellEnd"/>
            <w:r w:rsidRPr="00DF4CE5">
              <w:rPr>
                <w:rFonts w:ascii="Cambria" w:hAnsi="Cambria" w:cstheme="minorHAnsi"/>
              </w:rPr>
              <w:t>.</w:t>
            </w:r>
          </w:p>
          <w:p w14:paraId="33E336FF" w14:textId="77777777" w:rsidR="00354E46" w:rsidRPr="00DF4CE5" w:rsidRDefault="00354E46">
            <w:pPr>
              <w:spacing w:after="0" w:line="240" w:lineRule="auto"/>
              <w:rPr>
                <w:rFonts w:ascii="Cambria" w:hAnsi="Cambria" w:cstheme="minorHAnsi"/>
                <w:lang w:val="it-IT"/>
              </w:rPr>
            </w:pPr>
            <w:r w:rsidRPr="00DF4CE5">
              <w:rPr>
                <w:rFonts w:ascii="Cambria" w:hAnsi="Cambria" w:cstheme="minorHAnsi"/>
              </w:rPr>
              <w:t xml:space="preserve">14. Vukasović, A. (2001). </w:t>
            </w:r>
            <w:proofErr w:type="spellStart"/>
            <w:r w:rsidRPr="00C77768">
              <w:rPr>
                <w:rFonts w:ascii="Cambria" w:hAnsi="Cambria" w:cstheme="minorHAnsi"/>
                <w:i/>
                <w:lang w:val="it-IT"/>
              </w:rPr>
              <w:t>Pedagogija</w:t>
            </w:r>
            <w:proofErr w:type="spellEnd"/>
            <w:r w:rsidRPr="00DF4CE5">
              <w:rPr>
                <w:rFonts w:ascii="Cambria" w:hAnsi="Cambria" w:cstheme="minorHAnsi"/>
                <w:lang w:val="it-IT"/>
              </w:rPr>
              <w:t>. HKZ «MI».</w:t>
            </w:r>
          </w:p>
          <w:p w14:paraId="2EC1B12D" w14:textId="77777777" w:rsidR="00354E46" w:rsidRPr="00DF4CE5" w:rsidRDefault="00354E46">
            <w:pPr>
              <w:spacing w:after="0" w:line="240" w:lineRule="auto"/>
              <w:rPr>
                <w:rFonts w:ascii="Cambria" w:hAnsi="Cambria" w:cstheme="minorHAnsi"/>
                <w:lang w:val="it-IT"/>
              </w:rPr>
            </w:pPr>
            <w:proofErr w:type="spellStart"/>
            <w:r w:rsidRPr="00DF4CE5">
              <w:rPr>
                <w:rFonts w:ascii="Cambria" w:hAnsi="Cambria" w:cstheme="minorHAnsi"/>
                <w:lang w:val="it-IT"/>
              </w:rPr>
              <w:t>Izborna</w:t>
            </w:r>
            <w:proofErr w:type="spellEnd"/>
            <w:r w:rsidRPr="00DF4CE5">
              <w:rPr>
                <w:rFonts w:ascii="Cambria" w:hAnsi="Cambria" w:cstheme="minorHAnsi"/>
                <w:lang w:val="it-IT"/>
              </w:rPr>
              <w:t>:</w:t>
            </w:r>
          </w:p>
          <w:p w14:paraId="57B6CB56" w14:textId="77777777" w:rsidR="00354E46" w:rsidRPr="00DF4CE5" w:rsidRDefault="00354E46">
            <w:pPr>
              <w:spacing w:after="0" w:line="240" w:lineRule="auto"/>
              <w:rPr>
                <w:rFonts w:ascii="Cambria" w:hAnsi="Cambria" w:cstheme="minorHAnsi"/>
                <w:lang w:val="it-IT"/>
              </w:rPr>
            </w:pPr>
            <w:r w:rsidRPr="00DF4CE5">
              <w:rPr>
                <w:rFonts w:ascii="Cambria" w:hAnsi="Cambria" w:cstheme="minorHAnsi"/>
                <w:lang w:val="it-IT"/>
              </w:rPr>
              <w:t xml:space="preserve">1. </w:t>
            </w:r>
            <w:proofErr w:type="spellStart"/>
            <w:r w:rsidRPr="00DF4CE5">
              <w:rPr>
                <w:rFonts w:ascii="Cambria" w:hAnsi="Cambria" w:cstheme="minorHAnsi"/>
                <w:lang w:val="it-IT"/>
              </w:rPr>
              <w:t>Diković</w:t>
            </w:r>
            <w:proofErr w:type="spellEnd"/>
            <w:r w:rsidRPr="00DF4CE5">
              <w:rPr>
                <w:rFonts w:ascii="Cambria" w:hAnsi="Cambria" w:cstheme="minorHAnsi"/>
                <w:lang w:val="it-IT"/>
              </w:rPr>
              <w:t xml:space="preserve">, M., </w:t>
            </w:r>
            <w:proofErr w:type="spellStart"/>
            <w:r w:rsidRPr="00DF4CE5">
              <w:rPr>
                <w:rFonts w:ascii="Cambria" w:hAnsi="Cambria" w:cstheme="minorHAnsi"/>
                <w:lang w:val="it-IT"/>
              </w:rPr>
              <w:t>Plavšić</w:t>
            </w:r>
            <w:proofErr w:type="spellEnd"/>
            <w:r w:rsidRPr="00DF4CE5">
              <w:rPr>
                <w:rFonts w:ascii="Cambria" w:hAnsi="Cambria" w:cstheme="minorHAnsi"/>
                <w:lang w:val="it-IT"/>
              </w:rPr>
              <w:t xml:space="preserve">, M. (2022). </w:t>
            </w:r>
            <w:proofErr w:type="spellStart"/>
            <w:r w:rsidRPr="00DF4CE5">
              <w:rPr>
                <w:rFonts w:ascii="Cambria" w:hAnsi="Cambria" w:cstheme="minorHAnsi"/>
                <w:lang w:val="it-IT"/>
              </w:rPr>
              <w:t>Učiteljski</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posao</w:t>
            </w:r>
            <w:proofErr w:type="spellEnd"/>
            <w:r w:rsidRPr="00DF4CE5">
              <w:rPr>
                <w:rFonts w:ascii="Cambria" w:hAnsi="Cambria" w:cstheme="minorHAnsi"/>
                <w:lang w:val="it-IT"/>
              </w:rPr>
              <w:t xml:space="preserve"> i </w:t>
            </w:r>
            <w:proofErr w:type="spellStart"/>
            <w:r w:rsidRPr="00DF4CE5">
              <w:rPr>
                <w:rFonts w:ascii="Cambria" w:hAnsi="Cambria" w:cstheme="minorHAnsi"/>
                <w:lang w:val="it-IT"/>
              </w:rPr>
              <w:t>doprinos</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obrazovanja</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iz</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učiteljske</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studentske</w:t>
            </w:r>
            <w:proofErr w:type="spellEnd"/>
            <w:r w:rsidRPr="00DF4CE5">
              <w:rPr>
                <w:rFonts w:ascii="Cambria" w:hAnsi="Cambria" w:cstheme="minorHAnsi"/>
                <w:lang w:val="it-IT"/>
              </w:rPr>
              <w:t xml:space="preserve"> i </w:t>
            </w:r>
            <w:proofErr w:type="spellStart"/>
            <w:r w:rsidRPr="00DF4CE5">
              <w:rPr>
                <w:rFonts w:ascii="Cambria" w:hAnsi="Cambria" w:cstheme="minorHAnsi"/>
                <w:lang w:val="it-IT"/>
              </w:rPr>
              <w:t>akademske</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perspektive</w:t>
            </w:r>
            <w:proofErr w:type="spellEnd"/>
            <w:r w:rsidRPr="00DF4CE5">
              <w:rPr>
                <w:rFonts w:ascii="Cambria" w:hAnsi="Cambria" w:cstheme="minorHAnsi"/>
                <w:lang w:val="it-IT"/>
              </w:rPr>
              <w:t xml:space="preserve">. U: V. </w:t>
            </w:r>
            <w:proofErr w:type="spellStart"/>
            <w:r w:rsidRPr="00DF4CE5">
              <w:rPr>
                <w:rFonts w:ascii="Cambria" w:hAnsi="Cambria" w:cstheme="minorHAnsi"/>
                <w:lang w:val="it-IT"/>
              </w:rPr>
              <w:t>Strugar</w:t>
            </w:r>
            <w:proofErr w:type="spellEnd"/>
            <w:r w:rsidRPr="00DF4CE5">
              <w:rPr>
                <w:rFonts w:ascii="Cambria" w:hAnsi="Cambria" w:cstheme="minorHAnsi"/>
                <w:lang w:val="it-IT"/>
              </w:rPr>
              <w:t xml:space="preserve">, V. </w:t>
            </w:r>
            <w:proofErr w:type="spellStart"/>
            <w:r w:rsidRPr="00DF4CE5">
              <w:rPr>
                <w:rFonts w:ascii="Cambria" w:hAnsi="Cambria" w:cstheme="minorHAnsi"/>
                <w:lang w:val="it-IT"/>
              </w:rPr>
              <w:t>Rajić</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ur</w:t>
            </w:r>
            <w:proofErr w:type="spellEnd"/>
            <w:r w:rsidRPr="00DF4CE5">
              <w:rPr>
                <w:rFonts w:ascii="Cambria" w:hAnsi="Cambria" w:cstheme="minorHAnsi"/>
                <w:lang w:val="it-IT"/>
              </w:rPr>
              <w:t xml:space="preserve">.), </w:t>
            </w:r>
            <w:proofErr w:type="spellStart"/>
            <w:r w:rsidRPr="00B24B36">
              <w:rPr>
                <w:rFonts w:ascii="Cambria" w:hAnsi="Cambria" w:cstheme="minorHAnsi"/>
                <w:i/>
                <w:lang w:val="it-IT"/>
              </w:rPr>
              <w:t>Suvremeni</w:t>
            </w:r>
            <w:proofErr w:type="spellEnd"/>
            <w:r w:rsidRPr="00B24B36">
              <w:rPr>
                <w:rFonts w:ascii="Cambria" w:hAnsi="Cambria" w:cstheme="minorHAnsi"/>
                <w:i/>
                <w:lang w:val="it-IT"/>
              </w:rPr>
              <w:t xml:space="preserve"> </w:t>
            </w:r>
            <w:proofErr w:type="spellStart"/>
            <w:r w:rsidRPr="00B24B36">
              <w:rPr>
                <w:rFonts w:ascii="Cambria" w:hAnsi="Cambria" w:cstheme="minorHAnsi"/>
                <w:i/>
                <w:lang w:val="it-IT"/>
              </w:rPr>
              <w:t>pristup</w:t>
            </w:r>
            <w:proofErr w:type="spellEnd"/>
            <w:r w:rsidRPr="00B24B36">
              <w:rPr>
                <w:rFonts w:ascii="Cambria" w:hAnsi="Cambria" w:cstheme="minorHAnsi"/>
                <w:i/>
                <w:lang w:val="it-IT"/>
              </w:rPr>
              <w:t xml:space="preserve"> </w:t>
            </w:r>
            <w:proofErr w:type="spellStart"/>
            <w:r w:rsidRPr="00B24B36">
              <w:rPr>
                <w:rFonts w:ascii="Cambria" w:hAnsi="Cambria" w:cstheme="minorHAnsi"/>
                <w:i/>
                <w:lang w:val="it-IT"/>
              </w:rPr>
              <w:t>obrazovanju</w:t>
            </w:r>
            <w:proofErr w:type="spellEnd"/>
            <w:r w:rsidRPr="00B24B36">
              <w:rPr>
                <w:rFonts w:ascii="Cambria" w:hAnsi="Cambria" w:cstheme="minorHAnsi"/>
                <w:i/>
                <w:lang w:val="it-IT"/>
              </w:rPr>
              <w:t xml:space="preserve"> </w:t>
            </w:r>
            <w:proofErr w:type="spellStart"/>
            <w:r w:rsidRPr="00B24B36">
              <w:rPr>
                <w:rFonts w:ascii="Cambria" w:hAnsi="Cambria" w:cstheme="minorHAnsi"/>
                <w:i/>
                <w:lang w:val="it-IT"/>
              </w:rPr>
              <w:t>učitelja</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str</w:t>
            </w:r>
            <w:proofErr w:type="spellEnd"/>
            <w:r w:rsidRPr="00DF4CE5">
              <w:rPr>
                <w:rFonts w:ascii="Cambria" w:hAnsi="Cambria" w:cstheme="minorHAnsi"/>
                <w:lang w:val="it-IT"/>
              </w:rPr>
              <w:t xml:space="preserve">. 285-317). </w:t>
            </w:r>
            <w:proofErr w:type="spellStart"/>
            <w:r w:rsidRPr="00DF4CE5">
              <w:rPr>
                <w:rFonts w:ascii="Cambria" w:hAnsi="Cambria" w:cstheme="minorHAnsi"/>
                <w:lang w:val="it-IT"/>
              </w:rPr>
              <w:t>Hrvatska</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akademija</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znanosti</w:t>
            </w:r>
            <w:proofErr w:type="spellEnd"/>
            <w:r w:rsidRPr="00DF4CE5">
              <w:rPr>
                <w:rFonts w:ascii="Cambria" w:hAnsi="Cambria" w:cstheme="minorHAnsi"/>
                <w:lang w:val="it-IT"/>
              </w:rPr>
              <w:t xml:space="preserve"> i </w:t>
            </w:r>
            <w:proofErr w:type="spellStart"/>
            <w:r w:rsidRPr="00DF4CE5">
              <w:rPr>
                <w:rFonts w:ascii="Cambria" w:hAnsi="Cambria" w:cstheme="minorHAnsi"/>
                <w:lang w:val="it-IT"/>
              </w:rPr>
              <w:t>umjetnosti</w:t>
            </w:r>
            <w:proofErr w:type="spellEnd"/>
            <w:r w:rsidRPr="00DF4CE5">
              <w:rPr>
                <w:rFonts w:ascii="Cambria" w:hAnsi="Cambria" w:cstheme="minorHAnsi"/>
                <w:lang w:val="it-IT"/>
              </w:rPr>
              <w:t xml:space="preserve">, Zavod za </w:t>
            </w:r>
            <w:proofErr w:type="spellStart"/>
            <w:r w:rsidRPr="00DF4CE5">
              <w:rPr>
                <w:rFonts w:ascii="Cambria" w:hAnsi="Cambria" w:cstheme="minorHAnsi"/>
                <w:lang w:val="it-IT"/>
              </w:rPr>
              <w:t>znanstvenoistraživački</w:t>
            </w:r>
            <w:proofErr w:type="spellEnd"/>
            <w:r w:rsidRPr="00DF4CE5">
              <w:rPr>
                <w:rFonts w:ascii="Cambria" w:hAnsi="Cambria" w:cstheme="minorHAnsi"/>
                <w:lang w:val="it-IT"/>
              </w:rPr>
              <w:t xml:space="preserve"> i </w:t>
            </w:r>
            <w:proofErr w:type="spellStart"/>
            <w:r w:rsidRPr="00DF4CE5">
              <w:rPr>
                <w:rFonts w:ascii="Cambria" w:hAnsi="Cambria" w:cstheme="minorHAnsi"/>
                <w:lang w:val="it-IT"/>
              </w:rPr>
              <w:t>umjetnički</w:t>
            </w:r>
            <w:proofErr w:type="spellEnd"/>
            <w:r w:rsidRPr="00DF4CE5">
              <w:rPr>
                <w:rFonts w:ascii="Cambria" w:hAnsi="Cambria" w:cstheme="minorHAnsi"/>
                <w:lang w:val="it-IT"/>
              </w:rPr>
              <w:t xml:space="preserve"> rad u </w:t>
            </w:r>
            <w:proofErr w:type="spellStart"/>
            <w:r w:rsidRPr="00DF4CE5">
              <w:rPr>
                <w:rFonts w:ascii="Cambria" w:hAnsi="Cambria" w:cstheme="minorHAnsi"/>
                <w:lang w:val="it-IT"/>
              </w:rPr>
              <w:t>Bjelovaru</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Sveučilište</w:t>
            </w:r>
            <w:proofErr w:type="spellEnd"/>
            <w:r w:rsidRPr="00DF4CE5">
              <w:rPr>
                <w:rFonts w:ascii="Cambria" w:hAnsi="Cambria" w:cstheme="minorHAnsi"/>
                <w:lang w:val="it-IT"/>
              </w:rPr>
              <w:t xml:space="preserve"> u </w:t>
            </w:r>
            <w:proofErr w:type="spellStart"/>
            <w:r w:rsidRPr="00DF4CE5">
              <w:rPr>
                <w:rFonts w:ascii="Cambria" w:hAnsi="Cambria" w:cstheme="minorHAnsi"/>
                <w:lang w:val="it-IT"/>
              </w:rPr>
              <w:t>Zagrebu</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Učiteljski</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fakultet</w:t>
            </w:r>
            <w:proofErr w:type="spellEnd"/>
            <w:r w:rsidRPr="00DF4CE5">
              <w:rPr>
                <w:rFonts w:ascii="Cambria" w:hAnsi="Cambria" w:cstheme="minorHAnsi"/>
                <w:lang w:val="it-IT"/>
              </w:rPr>
              <w:t>.</w:t>
            </w:r>
          </w:p>
          <w:p w14:paraId="1AA380BB" w14:textId="77777777" w:rsidR="00354E46" w:rsidRPr="00DF4CE5" w:rsidRDefault="00354E46">
            <w:pPr>
              <w:spacing w:after="0" w:line="240" w:lineRule="auto"/>
              <w:rPr>
                <w:rFonts w:ascii="Cambria" w:hAnsi="Cambria" w:cstheme="minorHAnsi"/>
              </w:rPr>
            </w:pPr>
            <w:r w:rsidRPr="00DF4CE5">
              <w:rPr>
                <w:rFonts w:ascii="Cambria" w:hAnsi="Cambria" w:cstheme="minorHAnsi"/>
              </w:rPr>
              <w:t xml:space="preserve">2. </w:t>
            </w:r>
            <w:proofErr w:type="spellStart"/>
            <w:r w:rsidRPr="00DF4CE5">
              <w:rPr>
                <w:rFonts w:ascii="Cambria" w:hAnsi="Cambria" w:cstheme="minorHAnsi"/>
              </w:rPr>
              <w:t>Gudjons</w:t>
            </w:r>
            <w:proofErr w:type="spellEnd"/>
            <w:r w:rsidRPr="00DF4CE5">
              <w:rPr>
                <w:rFonts w:ascii="Cambria" w:hAnsi="Cambria" w:cstheme="minorHAnsi"/>
              </w:rPr>
              <w:t xml:space="preserve">, H. (1994). </w:t>
            </w:r>
            <w:proofErr w:type="spellStart"/>
            <w:r w:rsidRPr="00B24B36">
              <w:rPr>
                <w:rFonts w:ascii="Cambria" w:hAnsi="Cambria" w:cstheme="minorHAnsi"/>
                <w:i/>
              </w:rPr>
              <w:t>Pedagogija</w:t>
            </w:r>
            <w:proofErr w:type="spellEnd"/>
            <w:r w:rsidRPr="00B24B36">
              <w:rPr>
                <w:rFonts w:ascii="Cambria" w:hAnsi="Cambria" w:cstheme="minorHAnsi"/>
                <w:i/>
              </w:rPr>
              <w:t xml:space="preserve"> – </w:t>
            </w:r>
            <w:proofErr w:type="spellStart"/>
            <w:r w:rsidRPr="00B24B36">
              <w:rPr>
                <w:rFonts w:ascii="Cambria" w:hAnsi="Cambria" w:cstheme="minorHAnsi"/>
                <w:i/>
              </w:rPr>
              <w:t>temeljna</w:t>
            </w:r>
            <w:proofErr w:type="spellEnd"/>
            <w:r w:rsidRPr="00B24B36">
              <w:rPr>
                <w:rFonts w:ascii="Cambria" w:hAnsi="Cambria" w:cstheme="minorHAnsi"/>
                <w:i/>
              </w:rPr>
              <w:t xml:space="preserve"> </w:t>
            </w:r>
            <w:proofErr w:type="spellStart"/>
            <w:r w:rsidRPr="00B24B36">
              <w:rPr>
                <w:rFonts w:ascii="Cambria" w:hAnsi="Cambria" w:cstheme="minorHAnsi"/>
                <w:i/>
              </w:rPr>
              <w:t>znanja</w:t>
            </w:r>
            <w:proofErr w:type="spellEnd"/>
            <w:r w:rsidRPr="00DF4CE5">
              <w:rPr>
                <w:rFonts w:ascii="Cambria" w:hAnsi="Cambria" w:cstheme="minorHAnsi"/>
              </w:rPr>
              <w:t>. Educa.</w:t>
            </w:r>
          </w:p>
          <w:p w14:paraId="0D8E3B49" w14:textId="77777777" w:rsidR="00354E46" w:rsidRPr="00DF4CE5" w:rsidRDefault="00354E46">
            <w:pPr>
              <w:spacing w:after="0" w:line="240" w:lineRule="auto"/>
              <w:rPr>
                <w:rFonts w:ascii="Cambria" w:hAnsi="Cambria" w:cstheme="minorHAnsi"/>
                <w:lang w:val="it-IT"/>
              </w:rPr>
            </w:pPr>
            <w:r w:rsidRPr="00DF4CE5">
              <w:rPr>
                <w:rFonts w:ascii="Cambria" w:hAnsi="Cambria" w:cstheme="minorHAnsi"/>
                <w:lang w:val="it-IT"/>
              </w:rPr>
              <w:t xml:space="preserve">3. </w:t>
            </w:r>
            <w:proofErr w:type="spellStart"/>
            <w:r w:rsidRPr="00DF4CE5">
              <w:rPr>
                <w:rFonts w:ascii="Cambria" w:hAnsi="Cambria" w:cstheme="minorHAnsi"/>
                <w:lang w:val="it-IT"/>
              </w:rPr>
              <w:t>Ivon</w:t>
            </w:r>
            <w:proofErr w:type="spellEnd"/>
            <w:r w:rsidRPr="00DF4CE5">
              <w:rPr>
                <w:rFonts w:ascii="Cambria" w:hAnsi="Cambria" w:cstheme="minorHAnsi"/>
                <w:lang w:val="it-IT"/>
              </w:rPr>
              <w:t xml:space="preserve">, H., </w:t>
            </w:r>
            <w:proofErr w:type="spellStart"/>
            <w:r w:rsidRPr="00DF4CE5">
              <w:rPr>
                <w:rFonts w:ascii="Cambria" w:hAnsi="Cambria" w:cstheme="minorHAnsi"/>
                <w:lang w:val="it-IT"/>
              </w:rPr>
              <w:t>Krolo</w:t>
            </w:r>
            <w:proofErr w:type="spellEnd"/>
            <w:r w:rsidRPr="00DF4CE5">
              <w:rPr>
                <w:rFonts w:ascii="Cambria" w:hAnsi="Cambria" w:cstheme="minorHAnsi"/>
                <w:lang w:val="it-IT"/>
              </w:rPr>
              <w:t xml:space="preserve">, L., </w:t>
            </w:r>
            <w:proofErr w:type="spellStart"/>
            <w:r w:rsidRPr="00DF4CE5">
              <w:rPr>
                <w:rFonts w:ascii="Cambria" w:hAnsi="Cambria" w:cstheme="minorHAnsi"/>
                <w:lang w:val="it-IT"/>
              </w:rPr>
              <w:t>Mendeš</w:t>
            </w:r>
            <w:proofErr w:type="spellEnd"/>
            <w:r w:rsidRPr="00DF4CE5">
              <w:rPr>
                <w:rFonts w:ascii="Cambria" w:hAnsi="Cambria" w:cstheme="minorHAnsi"/>
                <w:lang w:val="it-IT"/>
              </w:rPr>
              <w:t>, B. (</w:t>
            </w:r>
            <w:proofErr w:type="spellStart"/>
            <w:r w:rsidRPr="00DF4CE5">
              <w:rPr>
                <w:rFonts w:ascii="Cambria" w:hAnsi="Cambria" w:cstheme="minorHAnsi"/>
                <w:lang w:val="it-IT"/>
              </w:rPr>
              <w:t>ur</w:t>
            </w:r>
            <w:proofErr w:type="spellEnd"/>
            <w:r w:rsidRPr="00DF4CE5">
              <w:rPr>
                <w:rFonts w:ascii="Cambria" w:hAnsi="Cambria" w:cstheme="minorHAnsi"/>
                <w:lang w:val="it-IT"/>
              </w:rPr>
              <w:t xml:space="preserve">.) (2011). </w:t>
            </w:r>
            <w:proofErr w:type="spellStart"/>
            <w:r w:rsidRPr="00B24B36">
              <w:rPr>
                <w:rFonts w:ascii="Cambria" w:hAnsi="Cambria" w:cstheme="minorHAnsi"/>
                <w:i/>
                <w:lang w:val="it-IT"/>
              </w:rPr>
              <w:t>Pedagogija</w:t>
            </w:r>
            <w:proofErr w:type="spellEnd"/>
            <w:r w:rsidRPr="00B24B36">
              <w:rPr>
                <w:rFonts w:ascii="Cambria" w:hAnsi="Cambria" w:cstheme="minorHAnsi"/>
                <w:i/>
                <w:lang w:val="it-IT"/>
              </w:rPr>
              <w:t xml:space="preserve"> </w:t>
            </w:r>
            <w:proofErr w:type="spellStart"/>
            <w:r w:rsidRPr="00B24B36">
              <w:rPr>
                <w:rFonts w:ascii="Cambria" w:hAnsi="Cambria" w:cstheme="minorHAnsi"/>
                <w:i/>
                <w:lang w:val="it-IT"/>
              </w:rPr>
              <w:t>Marije</w:t>
            </w:r>
            <w:proofErr w:type="spellEnd"/>
            <w:r w:rsidRPr="00B24B36">
              <w:rPr>
                <w:rFonts w:ascii="Cambria" w:hAnsi="Cambria" w:cstheme="minorHAnsi"/>
                <w:i/>
                <w:lang w:val="it-IT"/>
              </w:rPr>
              <w:t xml:space="preserve"> Montessori − </w:t>
            </w:r>
            <w:proofErr w:type="spellStart"/>
            <w:r w:rsidRPr="00B24B36">
              <w:rPr>
                <w:rFonts w:ascii="Cambria" w:hAnsi="Cambria" w:cstheme="minorHAnsi"/>
                <w:i/>
                <w:lang w:val="it-IT"/>
              </w:rPr>
              <w:t>Poticaj</w:t>
            </w:r>
            <w:proofErr w:type="spellEnd"/>
            <w:r w:rsidRPr="00B24B36">
              <w:rPr>
                <w:rFonts w:ascii="Cambria" w:hAnsi="Cambria" w:cstheme="minorHAnsi"/>
                <w:i/>
                <w:lang w:val="it-IT"/>
              </w:rPr>
              <w:t xml:space="preserve"> za </w:t>
            </w:r>
            <w:proofErr w:type="spellStart"/>
            <w:r w:rsidRPr="00B24B36">
              <w:rPr>
                <w:rFonts w:ascii="Cambria" w:hAnsi="Cambria" w:cstheme="minorHAnsi"/>
                <w:i/>
                <w:lang w:val="it-IT"/>
              </w:rPr>
              <w:t>razvoj</w:t>
            </w:r>
            <w:proofErr w:type="spellEnd"/>
            <w:r w:rsidRPr="00B24B36">
              <w:rPr>
                <w:rFonts w:ascii="Cambria" w:hAnsi="Cambria" w:cstheme="minorHAnsi"/>
                <w:i/>
                <w:lang w:val="it-IT"/>
              </w:rPr>
              <w:t xml:space="preserve"> </w:t>
            </w:r>
            <w:proofErr w:type="spellStart"/>
            <w:r w:rsidRPr="00B24B36">
              <w:rPr>
                <w:rFonts w:ascii="Cambria" w:hAnsi="Cambria" w:cstheme="minorHAnsi"/>
                <w:i/>
                <w:lang w:val="it-IT"/>
              </w:rPr>
              <w:t>pedagoškog</w:t>
            </w:r>
            <w:proofErr w:type="spellEnd"/>
            <w:r w:rsidRPr="00B24B36">
              <w:rPr>
                <w:rFonts w:ascii="Cambria" w:hAnsi="Cambria" w:cstheme="minorHAnsi"/>
                <w:i/>
                <w:lang w:val="it-IT"/>
              </w:rPr>
              <w:t xml:space="preserve"> </w:t>
            </w:r>
            <w:proofErr w:type="spellStart"/>
            <w:r w:rsidRPr="00B24B36">
              <w:rPr>
                <w:rFonts w:ascii="Cambria" w:hAnsi="Cambria" w:cstheme="minorHAnsi"/>
                <w:i/>
                <w:lang w:val="it-IT"/>
              </w:rPr>
              <w:t>pluralizma</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Dječji</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vrtić</w:t>
            </w:r>
            <w:proofErr w:type="spellEnd"/>
            <w:r w:rsidRPr="00DF4CE5">
              <w:rPr>
                <w:rFonts w:ascii="Cambria" w:hAnsi="Cambria" w:cstheme="minorHAnsi"/>
                <w:lang w:val="it-IT"/>
              </w:rPr>
              <w:t xml:space="preserve"> Montessori, </w:t>
            </w:r>
            <w:proofErr w:type="spellStart"/>
            <w:r w:rsidRPr="00DF4CE5">
              <w:rPr>
                <w:rFonts w:ascii="Cambria" w:hAnsi="Cambria" w:cstheme="minorHAnsi"/>
                <w:lang w:val="it-IT"/>
              </w:rPr>
              <w:t>Dječja</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kuća</w:t>
            </w:r>
            <w:proofErr w:type="spellEnd"/>
            <w:r w:rsidRPr="00DF4CE5">
              <w:rPr>
                <w:rFonts w:ascii="Cambria" w:hAnsi="Cambria" w:cstheme="minorHAnsi"/>
                <w:lang w:val="it-IT"/>
              </w:rPr>
              <w:t xml:space="preserve"> i </w:t>
            </w:r>
            <w:proofErr w:type="spellStart"/>
            <w:r w:rsidRPr="00DF4CE5">
              <w:rPr>
                <w:rFonts w:ascii="Cambria" w:hAnsi="Cambria" w:cstheme="minorHAnsi"/>
                <w:lang w:val="it-IT"/>
              </w:rPr>
              <w:t>Udruga</w:t>
            </w:r>
            <w:proofErr w:type="spellEnd"/>
            <w:r w:rsidRPr="00DF4CE5">
              <w:rPr>
                <w:rFonts w:ascii="Cambria" w:hAnsi="Cambria" w:cstheme="minorHAnsi"/>
                <w:lang w:val="it-IT"/>
              </w:rPr>
              <w:t xml:space="preserve"> Montessori </w:t>
            </w:r>
            <w:proofErr w:type="spellStart"/>
            <w:r w:rsidRPr="00DF4CE5">
              <w:rPr>
                <w:rFonts w:ascii="Cambria" w:hAnsi="Cambria" w:cstheme="minorHAnsi"/>
                <w:lang w:val="it-IT"/>
              </w:rPr>
              <w:t>pedagogije</w:t>
            </w:r>
            <w:proofErr w:type="spellEnd"/>
            <w:r w:rsidRPr="00DF4CE5">
              <w:rPr>
                <w:rFonts w:ascii="Cambria" w:hAnsi="Cambria" w:cstheme="minorHAnsi"/>
                <w:lang w:val="it-IT"/>
              </w:rPr>
              <w:t>.</w:t>
            </w:r>
          </w:p>
          <w:p w14:paraId="24851F96" w14:textId="77777777" w:rsidR="00354E46" w:rsidRPr="00DF4CE5" w:rsidRDefault="00354E46">
            <w:pPr>
              <w:spacing w:after="0" w:line="240" w:lineRule="auto"/>
              <w:rPr>
                <w:rFonts w:ascii="Cambria" w:hAnsi="Cambria" w:cstheme="minorHAnsi"/>
                <w:lang w:val="it-IT"/>
              </w:rPr>
            </w:pPr>
            <w:r w:rsidRPr="00DF4CE5">
              <w:rPr>
                <w:rFonts w:ascii="Cambria" w:hAnsi="Cambria" w:cstheme="minorHAnsi"/>
                <w:lang w:val="it-IT"/>
              </w:rPr>
              <w:t xml:space="preserve">4. </w:t>
            </w:r>
            <w:proofErr w:type="spellStart"/>
            <w:r w:rsidRPr="00DF4CE5">
              <w:rPr>
                <w:rFonts w:ascii="Cambria" w:hAnsi="Cambria" w:cstheme="minorHAnsi"/>
                <w:lang w:val="it-IT"/>
              </w:rPr>
              <w:t>Konig-Zedler</w:t>
            </w:r>
            <w:proofErr w:type="spellEnd"/>
            <w:r w:rsidRPr="00DF4CE5">
              <w:rPr>
                <w:rFonts w:ascii="Cambria" w:hAnsi="Cambria" w:cstheme="minorHAnsi"/>
                <w:lang w:val="it-IT"/>
              </w:rPr>
              <w:t xml:space="preserve"> (2001). </w:t>
            </w:r>
            <w:proofErr w:type="spellStart"/>
            <w:r w:rsidRPr="00B24B36">
              <w:rPr>
                <w:rFonts w:ascii="Cambria" w:hAnsi="Cambria" w:cstheme="minorHAnsi"/>
                <w:i/>
                <w:lang w:val="it-IT"/>
              </w:rPr>
              <w:t>Teorije</w:t>
            </w:r>
            <w:proofErr w:type="spellEnd"/>
            <w:r w:rsidRPr="00B24B36">
              <w:rPr>
                <w:rFonts w:ascii="Cambria" w:hAnsi="Cambria" w:cstheme="minorHAnsi"/>
                <w:i/>
                <w:lang w:val="it-IT"/>
              </w:rPr>
              <w:t xml:space="preserve"> </w:t>
            </w:r>
            <w:proofErr w:type="spellStart"/>
            <w:r w:rsidRPr="00B24B36">
              <w:rPr>
                <w:rFonts w:ascii="Cambria" w:hAnsi="Cambria" w:cstheme="minorHAnsi"/>
                <w:i/>
                <w:lang w:val="it-IT"/>
              </w:rPr>
              <w:t>znanosti</w:t>
            </w:r>
            <w:proofErr w:type="spellEnd"/>
            <w:r w:rsidRPr="00B24B36">
              <w:rPr>
                <w:rFonts w:ascii="Cambria" w:hAnsi="Cambria" w:cstheme="minorHAnsi"/>
                <w:i/>
                <w:lang w:val="it-IT"/>
              </w:rPr>
              <w:t xml:space="preserve"> o </w:t>
            </w:r>
            <w:proofErr w:type="spellStart"/>
            <w:r w:rsidRPr="00B24B36">
              <w:rPr>
                <w:rFonts w:ascii="Cambria" w:hAnsi="Cambria" w:cstheme="minorHAnsi"/>
                <w:i/>
                <w:lang w:val="it-IT"/>
              </w:rPr>
              <w:t>odgoju</w:t>
            </w:r>
            <w:proofErr w:type="spellEnd"/>
            <w:r w:rsidRPr="00DF4CE5">
              <w:rPr>
                <w:rFonts w:ascii="Cambria" w:hAnsi="Cambria" w:cstheme="minorHAnsi"/>
                <w:lang w:val="it-IT"/>
              </w:rPr>
              <w:t>. Educa.</w:t>
            </w:r>
          </w:p>
          <w:p w14:paraId="22197C95" w14:textId="77777777" w:rsidR="00354E46" w:rsidRPr="00DF4CE5" w:rsidRDefault="00354E46">
            <w:pPr>
              <w:spacing w:after="0" w:line="240" w:lineRule="auto"/>
              <w:rPr>
                <w:rFonts w:ascii="Cambria" w:hAnsi="Cambria" w:cstheme="minorHAnsi"/>
                <w:lang w:val="it-IT"/>
              </w:rPr>
            </w:pPr>
            <w:r w:rsidRPr="00DF4CE5">
              <w:rPr>
                <w:rFonts w:ascii="Cambria" w:hAnsi="Cambria" w:cstheme="minorHAnsi"/>
                <w:lang w:val="it-IT"/>
              </w:rPr>
              <w:t xml:space="preserve">5. </w:t>
            </w:r>
            <w:proofErr w:type="spellStart"/>
            <w:r w:rsidRPr="00DF4CE5">
              <w:rPr>
                <w:rFonts w:ascii="Cambria" w:hAnsi="Cambria" w:cstheme="minorHAnsi"/>
                <w:lang w:val="it-IT"/>
              </w:rPr>
              <w:t>Mandarić</w:t>
            </w:r>
            <w:proofErr w:type="spellEnd"/>
            <w:r w:rsidRPr="00DF4CE5">
              <w:rPr>
                <w:rFonts w:ascii="Cambria" w:hAnsi="Cambria" w:cstheme="minorHAnsi"/>
                <w:lang w:val="it-IT"/>
              </w:rPr>
              <w:t xml:space="preserve">, B. V., </w:t>
            </w:r>
            <w:proofErr w:type="spellStart"/>
            <w:r w:rsidRPr="00DF4CE5">
              <w:rPr>
                <w:rFonts w:ascii="Cambria" w:hAnsi="Cambria" w:cstheme="minorHAnsi"/>
                <w:lang w:val="it-IT"/>
              </w:rPr>
              <w:t>Razum</w:t>
            </w:r>
            <w:proofErr w:type="spellEnd"/>
            <w:r w:rsidRPr="00DF4CE5">
              <w:rPr>
                <w:rFonts w:ascii="Cambria" w:hAnsi="Cambria" w:cstheme="minorHAnsi"/>
                <w:lang w:val="it-IT"/>
              </w:rPr>
              <w:t xml:space="preserve">, R., </w:t>
            </w:r>
            <w:proofErr w:type="spellStart"/>
            <w:r w:rsidRPr="00DF4CE5">
              <w:rPr>
                <w:rFonts w:ascii="Cambria" w:hAnsi="Cambria" w:cstheme="minorHAnsi"/>
                <w:lang w:val="it-IT"/>
              </w:rPr>
              <w:t>Barić</w:t>
            </w:r>
            <w:proofErr w:type="spellEnd"/>
            <w:r w:rsidRPr="00DF4CE5">
              <w:rPr>
                <w:rFonts w:ascii="Cambria" w:hAnsi="Cambria" w:cstheme="minorHAnsi"/>
                <w:lang w:val="it-IT"/>
              </w:rPr>
              <w:t xml:space="preserve">, D. (2019). </w:t>
            </w:r>
            <w:proofErr w:type="spellStart"/>
            <w:r w:rsidRPr="00B24B36">
              <w:rPr>
                <w:rFonts w:ascii="Cambria" w:hAnsi="Cambria" w:cstheme="minorHAnsi"/>
                <w:i/>
                <w:lang w:val="it-IT"/>
              </w:rPr>
              <w:t>Nastavničke</w:t>
            </w:r>
            <w:proofErr w:type="spellEnd"/>
            <w:r w:rsidRPr="00B24B36">
              <w:rPr>
                <w:rFonts w:ascii="Cambria" w:hAnsi="Cambria" w:cstheme="minorHAnsi"/>
                <w:i/>
                <w:lang w:val="it-IT"/>
              </w:rPr>
              <w:t xml:space="preserve"> </w:t>
            </w:r>
            <w:proofErr w:type="spellStart"/>
            <w:r w:rsidRPr="00B24B36">
              <w:rPr>
                <w:rFonts w:ascii="Cambria" w:hAnsi="Cambria" w:cstheme="minorHAnsi"/>
                <w:i/>
                <w:lang w:val="it-IT"/>
              </w:rPr>
              <w:t>kompetencije</w:t>
            </w:r>
            <w:proofErr w:type="spellEnd"/>
            <w:r w:rsidRPr="00B24B36">
              <w:rPr>
                <w:rFonts w:ascii="Cambria" w:hAnsi="Cambria" w:cstheme="minorHAnsi"/>
                <w:i/>
                <w:lang w:val="it-IT"/>
              </w:rPr>
              <w:t xml:space="preserve">: </w:t>
            </w:r>
            <w:proofErr w:type="spellStart"/>
            <w:r w:rsidRPr="00B24B36">
              <w:rPr>
                <w:rFonts w:ascii="Cambria" w:hAnsi="Cambria" w:cstheme="minorHAnsi"/>
                <w:i/>
                <w:lang w:val="it-IT"/>
              </w:rPr>
              <w:t>zbornik</w:t>
            </w:r>
            <w:proofErr w:type="spellEnd"/>
            <w:r w:rsidRPr="00B24B36">
              <w:rPr>
                <w:rFonts w:ascii="Cambria" w:hAnsi="Cambria" w:cstheme="minorHAnsi"/>
                <w:i/>
                <w:lang w:val="it-IT"/>
              </w:rPr>
              <w:t xml:space="preserve"> </w:t>
            </w:r>
            <w:proofErr w:type="spellStart"/>
            <w:r w:rsidRPr="00B24B36">
              <w:rPr>
                <w:rFonts w:ascii="Cambria" w:hAnsi="Cambria" w:cstheme="minorHAnsi"/>
                <w:i/>
                <w:lang w:val="it-IT"/>
              </w:rPr>
              <w:t>radova</w:t>
            </w:r>
            <w:proofErr w:type="spellEnd"/>
            <w:r w:rsidRPr="00B24B36">
              <w:rPr>
                <w:rFonts w:ascii="Cambria" w:hAnsi="Cambria" w:cstheme="minorHAnsi"/>
                <w:i/>
                <w:lang w:val="it-IT"/>
              </w:rPr>
              <w:t>.</w:t>
            </w:r>
            <w:r w:rsidRPr="00DF4CE5">
              <w:rPr>
                <w:rFonts w:ascii="Cambria" w:hAnsi="Cambria" w:cstheme="minorHAnsi"/>
                <w:lang w:val="it-IT"/>
              </w:rPr>
              <w:t xml:space="preserve"> </w:t>
            </w:r>
            <w:proofErr w:type="spellStart"/>
            <w:r w:rsidRPr="00DF4CE5">
              <w:rPr>
                <w:rFonts w:ascii="Cambria" w:hAnsi="Cambria" w:cstheme="minorHAnsi"/>
                <w:lang w:val="it-IT"/>
              </w:rPr>
              <w:t>Katolički</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bogoslovni</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fakultet</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Kršćanska</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sadašnjost</w:t>
            </w:r>
            <w:proofErr w:type="spellEnd"/>
            <w:r w:rsidRPr="00DF4CE5">
              <w:rPr>
                <w:rFonts w:ascii="Cambria" w:hAnsi="Cambria" w:cstheme="minorHAnsi"/>
                <w:lang w:val="it-IT"/>
              </w:rPr>
              <w:t xml:space="preserve">.  </w:t>
            </w:r>
          </w:p>
          <w:p w14:paraId="46CD37B8" w14:textId="77777777" w:rsidR="00354E46" w:rsidRPr="00DF4CE5" w:rsidRDefault="00354E46">
            <w:pPr>
              <w:spacing w:after="0" w:line="240" w:lineRule="auto"/>
              <w:rPr>
                <w:rFonts w:ascii="Cambria" w:hAnsi="Cambria" w:cstheme="minorHAnsi"/>
              </w:rPr>
            </w:pPr>
            <w:r w:rsidRPr="00DF4CE5">
              <w:rPr>
                <w:rFonts w:ascii="Cambria" w:hAnsi="Cambria" w:cstheme="minorHAnsi"/>
              </w:rPr>
              <w:t xml:space="preserve">6. </w:t>
            </w:r>
            <w:proofErr w:type="spellStart"/>
            <w:r w:rsidRPr="00DF4CE5">
              <w:rPr>
                <w:rFonts w:ascii="Cambria" w:hAnsi="Cambria" w:cstheme="minorHAnsi"/>
              </w:rPr>
              <w:t>Plavšić</w:t>
            </w:r>
            <w:proofErr w:type="spellEnd"/>
            <w:r w:rsidRPr="00DF4CE5">
              <w:rPr>
                <w:rFonts w:ascii="Cambria" w:hAnsi="Cambria" w:cstheme="minorHAnsi"/>
              </w:rPr>
              <w:t xml:space="preserve">, M., Diković, M. (2019). </w:t>
            </w:r>
            <w:r w:rsidRPr="00B24B36">
              <w:rPr>
                <w:rFonts w:ascii="Cambria" w:hAnsi="Cambria" w:cstheme="minorHAnsi"/>
                <w:i/>
              </w:rPr>
              <w:t>What a Teacher Should not be Like</w:t>
            </w:r>
            <w:r w:rsidRPr="00DF4CE5">
              <w:rPr>
                <w:rFonts w:ascii="Cambria" w:hAnsi="Cambria" w:cstheme="minorHAnsi"/>
              </w:rPr>
              <w:t>. The New Educational Review, 55(1), 246-255.</w:t>
            </w:r>
          </w:p>
          <w:p w14:paraId="49DF74A5" w14:textId="77777777" w:rsidR="00354E46" w:rsidRPr="00DF4CE5" w:rsidRDefault="00354E46">
            <w:pPr>
              <w:spacing w:after="0" w:line="240" w:lineRule="auto"/>
              <w:rPr>
                <w:rFonts w:ascii="Cambria" w:hAnsi="Cambria" w:cstheme="minorHAnsi"/>
                <w:lang w:val="it-IT"/>
              </w:rPr>
            </w:pPr>
            <w:r w:rsidRPr="00DF4CE5">
              <w:rPr>
                <w:rFonts w:ascii="Cambria" w:hAnsi="Cambria" w:cstheme="minorHAnsi"/>
              </w:rPr>
              <w:t xml:space="preserve">7. </w:t>
            </w:r>
            <w:proofErr w:type="spellStart"/>
            <w:r w:rsidRPr="00DF4CE5">
              <w:rPr>
                <w:rFonts w:ascii="Cambria" w:hAnsi="Cambria" w:cstheme="minorHAnsi"/>
              </w:rPr>
              <w:t>Plavšić</w:t>
            </w:r>
            <w:proofErr w:type="spellEnd"/>
            <w:r w:rsidRPr="00DF4CE5">
              <w:rPr>
                <w:rFonts w:ascii="Cambria" w:hAnsi="Cambria" w:cstheme="minorHAnsi"/>
              </w:rPr>
              <w:t xml:space="preserve">, M., Diković, M. (2022). </w:t>
            </w:r>
            <w:r w:rsidRPr="00B24B36">
              <w:rPr>
                <w:rFonts w:ascii="Cambria" w:hAnsi="Cambria" w:cstheme="minorHAnsi"/>
                <w:i/>
              </w:rPr>
              <w:t>What is most difficult in a teacher's job from the perspective of teachers, students and parents?</w:t>
            </w:r>
            <w:r w:rsidRPr="00DF4CE5">
              <w:rPr>
                <w:rFonts w:ascii="Cambria" w:hAnsi="Cambria" w:cstheme="minorHAnsi"/>
              </w:rPr>
              <w:t xml:space="preserve"> </w:t>
            </w:r>
            <w:proofErr w:type="spellStart"/>
            <w:r w:rsidRPr="00DF4CE5">
              <w:rPr>
                <w:rFonts w:ascii="Cambria" w:hAnsi="Cambria" w:cstheme="minorHAnsi"/>
                <w:lang w:val="it-IT"/>
              </w:rPr>
              <w:t>Revija</w:t>
            </w:r>
            <w:proofErr w:type="spellEnd"/>
            <w:r w:rsidRPr="00DF4CE5">
              <w:rPr>
                <w:rFonts w:ascii="Cambria" w:hAnsi="Cambria" w:cstheme="minorHAnsi"/>
                <w:lang w:val="it-IT"/>
              </w:rPr>
              <w:t xml:space="preserve"> za </w:t>
            </w:r>
            <w:proofErr w:type="spellStart"/>
            <w:r w:rsidRPr="00DF4CE5">
              <w:rPr>
                <w:rFonts w:ascii="Cambria" w:hAnsi="Cambria" w:cstheme="minorHAnsi"/>
                <w:lang w:val="it-IT"/>
              </w:rPr>
              <w:t>elementarno</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izobraževanje</w:t>
            </w:r>
            <w:proofErr w:type="spellEnd"/>
            <w:r w:rsidRPr="00DF4CE5">
              <w:rPr>
                <w:rFonts w:ascii="Cambria" w:hAnsi="Cambria" w:cstheme="minorHAnsi"/>
                <w:lang w:val="it-IT"/>
              </w:rPr>
              <w:t>, 15(1), 31-50.</w:t>
            </w:r>
          </w:p>
          <w:p w14:paraId="1C8ABFE0" w14:textId="77777777" w:rsidR="00354E46" w:rsidRPr="00DF4CE5" w:rsidRDefault="00354E46">
            <w:pPr>
              <w:spacing w:after="0" w:line="240" w:lineRule="auto"/>
              <w:rPr>
                <w:rFonts w:ascii="Cambria" w:hAnsi="Cambria" w:cstheme="minorHAnsi"/>
                <w:lang w:val="it-IT"/>
              </w:rPr>
            </w:pPr>
            <w:r w:rsidRPr="00DF4CE5">
              <w:rPr>
                <w:rFonts w:ascii="Cambria" w:hAnsi="Cambria" w:cstheme="minorHAnsi"/>
                <w:lang w:val="it-IT"/>
              </w:rPr>
              <w:t xml:space="preserve">8. </w:t>
            </w:r>
            <w:proofErr w:type="spellStart"/>
            <w:r w:rsidRPr="00DF4CE5">
              <w:rPr>
                <w:rFonts w:ascii="Cambria" w:hAnsi="Cambria" w:cstheme="minorHAnsi"/>
                <w:lang w:val="it-IT"/>
              </w:rPr>
              <w:t>Rajić</w:t>
            </w:r>
            <w:proofErr w:type="spellEnd"/>
            <w:r w:rsidRPr="00DF4CE5">
              <w:rPr>
                <w:rFonts w:ascii="Cambria" w:hAnsi="Cambria" w:cstheme="minorHAnsi"/>
                <w:lang w:val="it-IT"/>
              </w:rPr>
              <w:t xml:space="preserve">, V., </w:t>
            </w:r>
            <w:proofErr w:type="spellStart"/>
            <w:r w:rsidRPr="00DF4CE5">
              <w:rPr>
                <w:rFonts w:ascii="Cambria" w:hAnsi="Cambria" w:cstheme="minorHAnsi"/>
                <w:lang w:val="it-IT"/>
              </w:rPr>
              <w:t>Letina</w:t>
            </w:r>
            <w:proofErr w:type="spellEnd"/>
            <w:r w:rsidRPr="00DF4CE5">
              <w:rPr>
                <w:rFonts w:ascii="Cambria" w:hAnsi="Cambria" w:cstheme="minorHAnsi"/>
                <w:lang w:val="it-IT"/>
              </w:rPr>
              <w:t xml:space="preserve">, A., </w:t>
            </w:r>
            <w:proofErr w:type="spellStart"/>
            <w:r w:rsidRPr="00DF4CE5">
              <w:rPr>
                <w:rFonts w:ascii="Cambria" w:hAnsi="Cambria" w:cstheme="minorHAnsi"/>
                <w:lang w:val="it-IT"/>
              </w:rPr>
              <w:t>Canjek-Androić</w:t>
            </w:r>
            <w:proofErr w:type="spellEnd"/>
            <w:r w:rsidRPr="00DF4CE5">
              <w:rPr>
                <w:rFonts w:ascii="Cambria" w:hAnsi="Cambria" w:cstheme="minorHAnsi"/>
                <w:lang w:val="it-IT"/>
              </w:rPr>
              <w:t xml:space="preserve">, S. (2022). </w:t>
            </w:r>
            <w:proofErr w:type="spellStart"/>
            <w:r w:rsidRPr="00DF4CE5">
              <w:rPr>
                <w:rFonts w:ascii="Cambria" w:hAnsi="Cambria" w:cstheme="minorHAnsi"/>
                <w:lang w:val="it-IT"/>
              </w:rPr>
              <w:t>Percepcija</w:t>
            </w:r>
            <w:proofErr w:type="spellEnd"/>
            <w:r w:rsidRPr="00DF4CE5">
              <w:rPr>
                <w:rFonts w:ascii="Cambria" w:hAnsi="Cambria" w:cstheme="minorHAnsi"/>
                <w:lang w:val="it-IT"/>
              </w:rPr>
              <w:t xml:space="preserve"> i </w:t>
            </w:r>
            <w:proofErr w:type="spellStart"/>
            <w:r w:rsidRPr="00DF4CE5">
              <w:rPr>
                <w:rFonts w:ascii="Cambria" w:hAnsi="Cambria" w:cstheme="minorHAnsi"/>
                <w:lang w:val="it-IT"/>
              </w:rPr>
              <w:t>poznavanje</w:t>
            </w:r>
            <w:proofErr w:type="spellEnd"/>
            <w:r w:rsidRPr="00DF4CE5">
              <w:rPr>
                <w:rFonts w:ascii="Cambria" w:hAnsi="Cambria" w:cstheme="minorHAnsi"/>
                <w:lang w:val="it-IT"/>
              </w:rPr>
              <w:t xml:space="preserve"> Montessori </w:t>
            </w:r>
            <w:proofErr w:type="spellStart"/>
            <w:r w:rsidRPr="00DF4CE5">
              <w:rPr>
                <w:rFonts w:ascii="Cambria" w:hAnsi="Cambria" w:cstheme="minorHAnsi"/>
                <w:lang w:val="it-IT"/>
              </w:rPr>
              <w:t>pedagogije</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među</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učiteljima</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primarnog</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obrazovanja</w:t>
            </w:r>
            <w:proofErr w:type="spellEnd"/>
            <w:r w:rsidRPr="00DF4CE5">
              <w:rPr>
                <w:rFonts w:ascii="Cambria" w:hAnsi="Cambria" w:cstheme="minorHAnsi"/>
                <w:lang w:val="it-IT"/>
              </w:rPr>
              <w:t xml:space="preserve">. U D. </w:t>
            </w:r>
            <w:proofErr w:type="spellStart"/>
            <w:r w:rsidRPr="00DF4CE5">
              <w:rPr>
                <w:rFonts w:ascii="Cambria" w:hAnsi="Cambria" w:cstheme="minorHAnsi"/>
                <w:lang w:val="it-IT"/>
              </w:rPr>
              <w:t>Velički</w:t>
            </w:r>
            <w:proofErr w:type="spellEnd"/>
            <w:r w:rsidRPr="00DF4CE5">
              <w:rPr>
                <w:rFonts w:ascii="Cambria" w:hAnsi="Cambria" w:cstheme="minorHAnsi"/>
                <w:lang w:val="it-IT"/>
              </w:rPr>
              <w:t xml:space="preserve">, M. </w:t>
            </w:r>
            <w:proofErr w:type="spellStart"/>
            <w:r w:rsidRPr="00DF4CE5">
              <w:rPr>
                <w:rFonts w:ascii="Cambria" w:hAnsi="Cambria" w:cstheme="minorHAnsi"/>
                <w:lang w:val="it-IT"/>
              </w:rPr>
              <w:t>Dumančić</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ur</w:t>
            </w:r>
            <w:proofErr w:type="spellEnd"/>
            <w:r w:rsidRPr="00DF4CE5">
              <w:rPr>
                <w:rFonts w:ascii="Cambria" w:hAnsi="Cambria" w:cstheme="minorHAnsi"/>
                <w:lang w:val="it-IT"/>
              </w:rPr>
              <w:t xml:space="preserve">.), </w:t>
            </w:r>
            <w:proofErr w:type="spellStart"/>
            <w:r w:rsidRPr="00B24B36">
              <w:rPr>
                <w:rFonts w:ascii="Cambria" w:hAnsi="Cambria" w:cstheme="minorHAnsi"/>
                <w:i/>
                <w:lang w:val="it-IT"/>
              </w:rPr>
              <w:t>Zbornik</w:t>
            </w:r>
            <w:proofErr w:type="spellEnd"/>
            <w:r w:rsidRPr="00B24B36">
              <w:rPr>
                <w:rFonts w:ascii="Cambria" w:hAnsi="Cambria" w:cstheme="minorHAnsi"/>
                <w:i/>
                <w:lang w:val="it-IT"/>
              </w:rPr>
              <w:t xml:space="preserve"> </w:t>
            </w:r>
            <w:proofErr w:type="spellStart"/>
            <w:r w:rsidRPr="00B24B36">
              <w:rPr>
                <w:rFonts w:ascii="Cambria" w:hAnsi="Cambria" w:cstheme="minorHAnsi"/>
                <w:i/>
                <w:lang w:val="it-IT"/>
              </w:rPr>
              <w:t>radova</w:t>
            </w:r>
            <w:proofErr w:type="spellEnd"/>
            <w:r w:rsidRPr="00B24B36">
              <w:rPr>
                <w:rFonts w:ascii="Cambria" w:hAnsi="Cambria" w:cstheme="minorHAnsi"/>
                <w:i/>
                <w:lang w:val="it-IT"/>
              </w:rPr>
              <w:t xml:space="preserve"> 2. </w:t>
            </w:r>
            <w:proofErr w:type="spellStart"/>
            <w:r w:rsidRPr="00B24B36">
              <w:rPr>
                <w:rFonts w:ascii="Cambria" w:hAnsi="Cambria" w:cstheme="minorHAnsi"/>
                <w:i/>
                <w:lang w:val="it-IT"/>
              </w:rPr>
              <w:t>međunarodne</w:t>
            </w:r>
            <w:proofErr w:type="spellEnd"/>
            <w:r w:rsidRPr="00B24B36">
              <w:rPr>
                <w:rFonts w:ascii="Cambria" w:hAnsi="Cambria" w:cstheme="minorHAnsi"/>
                <w:i/>
                <w:lang w:val="it-IT"/>
              </w:rPr>
              <w:t xml:space="preserve"> </w:t>
            </w:r>
            <w:proofErr w:type="spellStart"/>
            <w:r w:rsidRPr="00B24B36">
              <w:rPr>
                <w:rFonts w:ascii="Cambria" w:hAnsi="Cambria" w:cstheme="minorHAnsi"/>
                <w:i/>
                <w:lang w:val="it-IT"/>
              </w:rPr>
              <w:t>znanstvene</w:t>
            </w:r>
            <w:proofErr w:type="spellEnd"/>
            <w:r w:rsidRPr="00B24B36">
              <w:rPr>
                <w:rFonts w:ascii="Cambria" w:hAnsi="Cambria" w:cstheme="minorHAnsi"/>
                <w:i/>
                <w:lang w:val="it-IT"/>
              </w:rPr>
              <w:t xml:space="preserve"> i </w:t>
            </w:r>
            <w:proofErr w:type="spellStart"/>
            <w:r w:rsidRPr="00B24B36">
              <w:rPr>
                <w:rFonts w:ascii="Cambria" w:hAnsi="Cambria" w:cstheme="minorHAnsi"/>
                <w:i/>
                <w:lang w:val="it-IT"/>
              </w:rPr>
              <w:t>umjetničke</w:t>
            </w:r>
            <w:proofErr w:type="spellEnd"/>
            <w:r w:rsidRPr="00B24B36">
              <w:rPr>
                <w:rFonts w:ascii="Cambria" w:hAnsi="Cambria" w:cstheme="minorHAnsi"/>
                <w:i/>
                <w:lang w:val="it-IT"/>
              </w:rPr>
              <w:t xml:space="preserve"> </w:t>
            </w:r>
            <w:proofErr w:type="spellStart"/>
            <w:r w:rsidRPr="00B24B36">
              <w:rPr>
                <w:rFonts w:ascii="Cambria" w:hAnsi="Cambria" w:cstheme="minorHAnsi"/>
                <w:i/>
                <w:lang w:val="it-IT"/>
              </w:rPr>
              <w:t>konferencije</w:t>
            </w:r>
            <w:proofErr w:type="spellEnd"/>
            <w:r w:rsidRPr="00B24B36">
              <w:rPr>
                <w:rFonts w:ascii="Cambria" w:hAnsi="Cambria" w:cstheme="minorHAnsi"/>
                <w:i/>
                <w:lang w:val="it-IT"/>
              </w:rPr>
              <w:t xml:space="preserve"> </w:t>
            </w:r>
            <w:proofErr w:type="spellStart"/>
            <w:r w:rsidRPr="00B24B36">
              <w:rPr>
                <w:rFonts w:ascii="Cambria" w:hAnsi="Cambria" w:cstheme="minorHAnsi"/>
                <w:i/>
                <w:lang w:val="it-IT"/>
              </w:rPr>
              <w:t>Suvremene</w:t>
            </w:r>
            <w:proofErr w:type="spellEnd"/>
            <w:r w:rsidRPr="00B24B36">
              <w:rPr>
                <w:rFonts w:ascii="Cambria" w:hAnsi="Cambria" w:cstheme="minorHAnsi"/>
                <w:i/>
                <w:lang w:val="it-IT"/>
              </w:rPr>
              <w:t xml:space="preserve"> teme u </w:t>
            </w:r>
            <w:proofErr w:type="spellStart"/>
            <w:r w:rsidRPr="00B24B36">
              <w:rPr>
                <w:rFonts w:ascii="Cambria" w:hAnsi="Cambria" w:cstheme="minorHAnsi"/>
                <w:i/>
                <w:lang w:val="it-IT"/>
              </w:rPr>
              <w:t>odgoju</w:t>
            </w:r>
            <w:proofErr w:type="spellEnd"/>
            <w:r w:rsidRPr="00B24B36">
              <w:rPr>
                <w:rFonts w:ascii="Cambria" w:hAnsi="Cambria" w:cstheme="minorHAnsi"/>
                <w:i/>
                <w:lang w:val="it-IT"/>
              </w:rPr>
              <w:t xml:space="preserve"> i </w:t>
            </w:r>
            <w:proofErr w:type="spellStart"/>
            <w:r w:rsidRPr="00B24B36">
              <w:rPr>
                <w:rFonts w:ascii="Cambria" w:hAnsi="Cambria" w:cstheme="minorHAnsi"/>
                <w:i/>
                <w:lang w:val="it-IT"/>
              </w:rPr>
              <w:t>obrazovanju</w:t>
            </w:r>
            <w:proofErr w:type="spellEnd"/>
            <w:r w:rsidRPr="00B24B36">
              <w:rPr>
                <w:rFonts w:ascii="Cambria" w:hAnsi="Cambria" w:cstheme="minorHAnsi"/>
                <w:i/>
                <w:lang w:val="it-IT"/>
              </w:rPr>
              <w:t xml:space="preserve"> - STOO 2</w:t>
            </w:r>
            <w:r w:rsidRPr="00DF4CE5">
              <w:rPr>
                <w:rFonts w:ascii="Cambria" w:hAnsi="Cambria" w:cstheme="minorHAnsi"/>
                <w:lang w:val="it-IT"/>
              </w:rPr>
              <w:t xml:space="preserve">, </w:t>
            </w:r>
            <w:r w:rsidRPr="00DF4CE5">
              <w:rPr>
                <w:rFonts w:ascii="Cambria" w:hAnsi="Cambria" w:cstheme="minorHAnsi"/>
                <w:lang w:val="it-IT"/>
              </w:rPr>
              <w:lastRenderedPageBreak/>
              <w:t xml:space="preserve">In </w:t>
            </w:r>
            <w:proofErr w:type="spellStart"/>
            <w:r w:rsidRPr="00DF4CE5">
              <w:rPr>
                <w:rFonts w:ascii="Cambria" w:hAnsi="Cambria" w:cstheme="minorHAnsi"/>
                <w:lang w:val="it-IT"/>
              </w:rPr>
              <w:t>memoriam</w:t>
            </w:r>
            <w:proofErr w:type="spellEnd"/>
            <w:r w:rsidRPr="00DF4CE5">
              <w:rPr>
                <w:rFonts w:ascii="Cambria" w:hAnsi="Cambria" w:cstheme="minorHAnsi"/>
                <w:lang w:val="it-IT"/>
              </w:rPr>
              <w:t xml:space="preserve"> prof. </w:t>
            </w:r>
            <w:proofErr w:type="spellStart"/>
            <w:r w:rsidRPr="00DF4CE5">
              <w:rPr>
                <w:rFonts w:ascii="Cambria" w:hAnsi="Cambria" w:cstheme="minorHAnsi"/>
                <w:lang w:val="it-IT"/>
              </w:rPr>
              <w:t>emer</w:t>
            </w:r>
            <w:proofErr w:type="spellEnd"/>
            <w:r w:rsidRPr="00DF4CE5">
              <w:rPr>
                <w:rFonts w:ascii="Cambria" w:hAnsi="Cambria" w:cstheme="minorHAnsi"/>
                <w:lang w:val="it-IT"/>
              </w:rPr>
              <w:t xml:space="preserve">. dr. sc. Milan </w:t>
            </w:r>
            <w:proofErr w:type="spellStart"/>
            <w:r w:rsidRPr="00DF4CE5">
              <w:rPr>
                <w:rFonts w:ascii="Cambria" w:hAnsi="Cambria" w:cstheme="minorHAnsi"/>
                <w:lang w:val="it-IT"/>
              </w:rPr>
              <w:t>Matijević</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Učiteljski</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fakultet</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Sveučilišta</w:t>
            </w:r>
            <w:proofErr w:type="spellEnd"/>
            <w:r w:rsidRPr="00DF4CE5">
              <w:rPr>
                <w:rFonts w:ascii="Cambria" w:hAnsi="Cambria" w:cstheme="minorHAnsi"/>
                <w:lang w:val="it-IT"/>
              </w:rPr>
              <w:t xml:space="preserve"> u </w:t>
            </w:r>
            <w:proofErr w:type="spellStart"/>
            <w:r w:rsidRPr="00DF4CE5">
              <w:rPr>
                <w:rFonts w:ascii="Cambria" w:hAnsi="Cambria" w:cstheme="minorHAnsi"/>
                <w:lang w:val="it-IT"/>
              </w:rPr>
              <w:t>Zagrebu</w:t>
            </w:r>
            <w:proofErr w:type="spellEnd"/>
            <w:r w:rsidRPr="00DF4CE5">
              <w:rPr>
                <w:rFonts w:ascii="Cambria" w:hAnsi="Cambria" w:cstheme="minorHAnsi"/>
                <w:lang w:val="it-IT"/>
              </w:rPr>
              <w:t xml:space="preserve"> i Zavod za </w:t>
            </w:r>
            <w:proofErr w:type="spellStart"/>
            <w:r w:rsidRPr="00DF4CE5">
              <w:rPr>
                <w:rFonts w:ascii="Cambria" w:hAnsi="Cambria" w:cstheme="minorHAnsi"/>
                <w:lang w:val="it-IT"/>
              </w:rPr>
              <w:t>znanstvenoistraživački</w:t>
            </w:r>
            <w:proofErr w:type="spellEnd"/>
            <w:r w:rsidRPr="00DF4CE5">
              <w:rPr>
                <w:rFonts w:ascii="Cambria" w:hAnsi="Cambria" w:cstheme="minorHAnsi"/>
                <w:lang w:val="it-IT"/>
              </w:rPr>
              <w:t xml:space="preserve"> rad u </w:t>
            </w:r>
            <w:proofErr w:type="spellStart"/>
            <w:r w:rsidRPr="00DF4CE5">
              <w:rPr>
                <w:rFonts w:ascii="Cambria" w:hAnsi="Cambria" w:cstheme="minorHAnsi"/>
                <w:lang w:val="it-IT"/>
              </w:rPr>
              <w:t>Bjelovaru</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Hrvatske</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akademije</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znanosti</w:t>
            </w:r>
            <w:proofErr w:type="spellEnd"/>
            <w:r w:rsidRPr="00DF4CE5">
              <w:rPr>
                <w:rFonts w:ascii="Cambria" w:hAnsi="Cambria" w:cstheme="minorHAnsi"/>
                <w:lang w:val="it-IT"/>
              </w:rPr>
              <w:t xml:space="preserve"> i </w:t>
            </w:r>
            <w:proofErr w:type="spellStart"/>
            <w:r w:rsidRPr="00DF4CE5">
              <w:rPr>
                <w:rFonts w:ascii="Cambria" w:hAnsi="Cambria" w:cstheme="minorHAnsi"/>
                <w:lang w:val="it-IT"/>
              </w:rPr>
              <w:t>umjetnosti</w:t>
            </w:r>
            <w:proofErr w:type="spellEnd"/>
            <w:r w:rsidRPr="00DF4CE5">
              <w:rPr>
                <w:rFonts w:ascii="Cambria" w:hAnsi="Cambria" w:cstheme="minorHAnsi"/>
                <w:lang w:val="it-IT"/>
              </w:rPr>
              <w:t xml:space="preserve">. </w:t>
            </w:r>
          </w:p>
          <w:p w14:paraId="11EFB75D" w14:textId="77777777" w:rsidR="00354E46" w:rsidRPr="00DF4CE5" w:rsidRDefault="00354E46">
            <w:pPr>
              <w:spacing w:after="0" w:line="240" w:lineRule="auto"/>
              <w:rPr>
                <w:rFonts w:ascii="Cambria" w:hAnsi="Cambria" w:cstheme="minorHAnsi"/>
                <w:lang w:val="it-IT"/>
              </w:rPr>
            </w:pPr>
            <w:r w:rsidRPr="00DF4CE5">
              <w:rPr>
                <w:rFonts w:ascii="Cambria" w:hAnsi="Cambria" w:cstheme="minorHAnsi"/>
                <w:lang w:val="it-IT"/>
              </w:rPr>
              <w:t xml:space="preserve">9. </w:t>
            </w:r>
            <w:proofErr w:type="spellStart"/>
            <w:r w:rsidRPr="00DF4CE5">
              <w:rPr>
                <w:rFonts w:ascii="Cambria" w:hAnsi="Cambria" w:cstheme="minorHAnsi"/>
                <w:lang w:val="it-IT"/>
              </w:rPr>
              <w:t>Sahlberg</w:t>
            </w:r>
            <w:proofErr w:type="spellEnd"/>
            <w:r w:rsidRPr="00DF4CE5">
              <w:rPr>
                <w:rFonts w:ascii="Cambria" w:hAnsi="Cambria" w:cstheme="minorHAnsi"/>
                <w:lang w:val="it-IT"/>
              </w:rPr>
              <w:t xml:space="preserve">, P. (2012). </w:t>
            </w:r>
            <w:proofErr w:type="spellStart"/>
            <w:r w:rsidRPr="00B24B36">
              <w:rPr>
                <w:rFonts w:ascii="Cambria" w:hAnsi="Cambria" w:cstheme="minorHAnsi"/>
                <w:i/>
                <w:lang w:val="it-IT"/>
              </w:rPr>
              <w:t>Lekcije</w:t>
            </w:r>
            <w:proofErr w:type="spellEnd"/>
            <w:r w:rsidRPr="00B24B36">
              <w:rPr>
                <w:rFonts w:ascii="Cambria" w:hAnsi="Cambria" w:cstheme="minorHAnsi"/>
                <w:i/>
                <w:lang w:val="it-IT"/>
              </w:rPr>
              <w:t xml:space="preserve"> </w:t>
            </w:r>
            <w:proofErr w:type="spellStart"/>
            <w:r w:rsidRPr="00B24B36">
              <w:rPr>
                <w:rFonts w:ascii="Cambria" w:hAnsi="Cambria" w:cstheme="minorHAnsi"/>
                <w:i/>
                <w:lang w:val="it-IT"/>
              </w:rPr>
              <w:t>iz</w:t>
            </w:r>
            <w:proofErr w:type="spellEnd"/>
            <w:r w:rsidRPr="00B24B36">
              <w:rPr>
                <w:rFonts w:ascii="Cambria" w:hAnsi="Cambria" w:cstheme="minorHAnsi"/>
                <w:i/>
                <w:lang w:val="it-IT"/>
              </w:rPr>
              <w:t xml:space="preserve"> </w:t>
            </w:r>
            <w:proofErr w:type="spellStart"/>
            <w:r w:rsidRPr="00B24B36">
              <w:rPr>
                <w:rFonts w:ascii="Cambria" w:hAnsi="Cambria" w:cstheme="minorHAnsi"/>
                <w:i/>
                <w:lang w:val="it-IT"/>
              </w:rPr>
              <w:t>Finske</w:t>
            </w:r>
            <w:proofErr w:type="spellEnd"/>
            <w:r w:rsidRPr="00B24B36">
              <w:rPr>
                <w:rFonts w:ascii="Cambria" w:hAnsi="Cambria" w:cstheme="minorHAnsi"/>
                <w:i/>
                <w:lang w:val="it-IT"/>
              </w:rPr>
              <w:t xml:space="preserve"> – </w:t>
            </w:r>
            <w:proofErr w:type="spellStart"/>
            <w:r w:rsidRPr="00B24B36">
              <w:rPr>
                <w:rFonts w:ascii="Cambria" w:hAnsi="Cambria" w:cstheme="minorHAnsi"/>
                <w:i/>
                <w:lang w:val="it-IT"/>
              </w:rPr>
              <w:t>što</w:t>
            </w:r>
            <w:proofErr w:type="spellEnd"/>
            <w:r w:rsidRPr="00B24B36">
              <w:rPr>
                <w:rFonts w:ascii="Cambria" w:hAnsi="Cambria" w:cstheme="minorHAnsi"/>
                <w:i/>
                <w:lang w:val="it-IT"/>
              </w:rPr>
              <w:t xml:space="preserve"> </w:t>
            </w:r>
            <w:proofErr w:type="spellStart"/>
            <w:r w:rsidRPr="00B24B36">
              <w:rPr>
                <w:rFonts w:ascii="Cambria" w:hAnsi="Cambria" w:cstheme="minorHAnsi"/>
                <w:i/>
                <w:lang w:val="it-IT"/>
              </w:rPr>
              <w:t>svijet</w:t>
            </w:r>
            <w:proofErr w:type="spellEnd"/>
            <w:r w:rsidRPr="00B24B36">
              <w:rPr>
                <w:rFonts w:ascii="Cambria" w:hAnsi="Cambria" w:cstheme="minorHAnsi"/>
                <w:i/>
                <w:lang w:val="it-IT"/>
              </w:rPr>
              <w:t xml:space="preserve"> </w:t>
            </w:r>
            <w:proofErr w:type="spellStart"/>
            <w:r w:rsidRPr="00B24B36">
              <w:rPr>
                <w:rFonts w:ascii="Cambria" w:hAnsi="Cambria" w:cstheme="minorHAnsi"/>
                <w:i/>
                <w:lang w:val="it-IT"/>
              </w:rPr>
              <w:t>može</w:t>
            </w:r>
            <w:proofErr w:type="spellEnd"/>
            <w:r w:rsidRPr="00B24B36">
              <w:rPr>
                <w:rFonts w:ascii="Cambria" w:hAnsi="Cambria" w:cstheme="minorHAnsi"/>
                <w:i/>
                <w:lang w:val="it-IT"/>
              </w:rPr>
              <w:t xml:space="preserve"> </w:t>
            </w:r>
            <w:proofErr w:type="spellStart"/>
            <w:r w:rsidRPr="00B24B36">
              <w:rPr>
                <w:rFonts w:ascii="Cambria" w:hAnsi="Cambria" w:cstheme="minorHAnsi"/>
                <w:i/>
                <w:lang w:val="it-IT"/>
              </w:rPr>
              <w:t>naučiti</w:t>
            </w:r>
            <w:proofErr w:type="spellEnd"/>
            <w:r w:rsidRPr="00B24B36">
              <w:rPr>
                <w:rFonts w:ascii="Cambria" w:hAnsi="Cambria" w:cstheme="minorHAnsi"/>
                <w:i/>
                <w:lang w:val="it-IT"/>
              </w:rPr>
              <w:t xml:space="preserve"> </w:t>
            </w:r>
            <w:proofErr w:type="spellStart"/>
            <w:r w:rsidRPr="00B24B36">
              <w:rPr>
                <w:rFonts w:ascii="Cambria" w:hAnsi="Cambria" w:cstheme="minorHAnsi"/>
                <w:i/>
                <w:lang w:val="it-IT"/>
              </w:rPr>
              <w:t>iz</w:t>
            </w:r>
            <w:proofErr w:type="spellEnd"/>
            <w:r w:rsidRPr="00B24B36">
              <w:rPr>
                <w:rFonts w:ascii="Cambria" w:hAnsi="Cambria" w:cstheme="minorHAnsi"/>
                <w:i/>
                <w:lang w:val="it-IT"/>
              </w:rPr>
              <w:t xml:space="preserve"> </w:t>
            </w:r>
            <w:proofErr w:type="spellStart"/>
            <w:r w:rsidRPr="00B24B36">
              <w:rPr>
                <w:rFonts w:ascii="Cambria" w:hAnsi="Cambria" w:cstheme="minorHAnsi"/>
                <w:i/>
                <w:lang w:val="it-IT"/>
              </w:rPr>
              <w:t>obrazovne</w:t>
            </w:r>
            <w:proofErr w:type="spellEnd"/>
            <w:r w:rsidRPr="00B24B36">
              <w:rPr>
                <w:rFonts w:ascii="Cambria" w:hAnsi="Cambria" w:cstheme="minorHAnsi"/>
                <w:i/>
                <w:lang w:val="it-IT"/>
              </w:rPr>
              <w:t xml:space="preserve"> </w:t>
            </w:r>
            <w:proofErr w:type="spellStart"/>
            <w:r w:rsidRPr="00B24B36">
              <w:rPr>
                <w:rFonts w:ascii="Cambria" w:hAnsi="Cambria" w:cstheme="minorHAnsi"/>
                <w:i/>
                <w:lang w:val="it-IT"/>
              </w:rPr>
              <w:t>promjene</w:t>
            </w:r>
            <w:proofErr w:type="spellEnd"/>
            <w:r w:rsidRPr="00B24B36">
              <w:rPr>
                <w:rFonts w:ascii="Cambria" w:hAnsi="Cambria" w:cstheme="minorHAnsi"/>
                <w:i/>
                <w:lang w:val="it-IT"/>
              </w:rPr>
              <w:t xml:space="preserve"> u </w:t>
            </w:r>
            <w:proofErr w:type="spellStart"/>
            <w:r w:rsidRPr="00B24B36">
              <w:rPr>
                <w:rFonts w:ascii="Cambria" w:hAnsi="Cambria" w:cstheme="minorHAnsi"/>
                <w:i/>
                <w:lang w:val="it-IT"/>
              </w:rPr>
              <w:t>Finskoj</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Školska</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knjiga</w:t>
            </w:r>
            <w:proofErr w:type="spellEnd"/>
            <w:r w:rsidRPr="00DF4CE5">
              <w:rPr>
                <w:rFonts w:ascii="Cambria" w:hAnsi="Cambria" w:cstheme="minorHAnsi"/>
                <w:lang w:val="it-IT"/>
              </w:rPr>
              <w:t>.</w:t>
            </w:r>
          </w:p>
          <w:p w14:paraId="345A2D19" w14:textId="77777777" w:rsidR="00354E46" w:rsidRPr="00DF4CE5" w:rsidRDefault="00354E46">
            <w:pPr>
              <w:spacing w:after="0" w:line="240" w:lineRule="auto"/>
              <w:rPr>
                <w:rFonts w:ascii="Cambria" w:hAnsi="Cambria" w:cstheme="minorHAnsi"/>
                <w:lang w:val="it-IT"/>
              </w:rPr>
            </w:pPr>
            <w:r w:rsidRPr="00DF4CE5">
              <w:rPr>
                <w:rFonts w:ascii="Cambria" w:hAnsi="Cambria" w:cstheme="minorHAnsi"/>
                <w:lang w:val="it-IT"/>
              </w:rPr>
              <w:t xml:space="preserve">10. </w:t>
            </w:r>
            <w:proofErr w:type="spellStart"/>
            <w:r w:rsidRPr="00DF4CE5">
              <w:rPr>
                <w:rFonts w:ascii="Cambria" w:hAnsi="Cambria" w:cstheme="minorHAnsi"/>
                <w:lang w:val="it-IT"/>
              </w:rPr>
              <w:t>Strugar</w:t>
            </w:r>
            <w:proofErr w:type="spellEnd"/>
            <w:r w:rsidRPr="00DF4CE5">
              <w:rPr>
                <w:rFonts w:ascii="Cambria" w:hAnsi="Cambria" w:cstheme="minorHAnsi"/>
                <w:lang w:val="it-IT"/>
              </w:rPr>
              <w:t xml:space="preserve">, V., </w:t>
            </w:r>
            <w:proofErr w:type="spellStart"/>
            <w:r w:rsidRPr="00DF4CE5">
              <w:rPr>
                <w:rFonts w:ascii="Cambria" w:hAnsi="Cambria" w:cstheme="minorHAnsi"/>
                <w:lang w:val="it-IT"/>
              </w:rPr>
              <w:t>Rajić</w:t>
            </w:r>
            <w:proofErr w:type="spellEnd"/>
            <w:r w:rsidRPr="00DF4CE5">
              <w:rPr>
                <w:rFonts w:ascii="Cambria" w:hAnsi="Cambria" w:cstheme="minorHAnsi"/>
                <w:lang w:val="it-IT"/>
              </w:rPr>
              <w:t xml:space="preserve">, V. (2022). </w:t>
            </w:r>
            <w:proofErr w:type="spellStart"/>
            <w:r w:rsidRPr="00B24B36">
              <w:rPr>
                <w:rFonts w:ascii="Cambria" w:hAnsi="Cambria" w:cstheme="minorHAnsi"/>
                <w:i/>
                <w:lang w:val="it-IT"/>
              </w:rPr>
              <w:t>Suvremeni</w:t>
            </w:r>
            <w:proofErr w:type="spellEnd"/>
            <w:r w:rsidRPr="00B24B36">
              <w:rPr>
                <w:rFonts w:ascii="Cambria" w:hAnsi="Cambria" w:cstheme="minorHAnsi"/>
                <w:i/>
                <w:lang w:val="it-IT"/>
              </w:rPr>
              <w:t xml:space="preserve"> </w:t>
            </w:r>
            <w:proofErr w:type="spellStart"/>
            <w:r w:rsidRPr="00B24B36">
              <w:rPr>
                <w:rFonts w:ascii="Cambria" w:hAnsi="Cambria" w:cstheme="minorHAnsi"/>
                <w:i/>
                <w:lang w:val="it-IT"/>
              </w:rPr>
              <w:t>pristupi</w:t>
            </w:r>
            <w:proofErr w:type="spellEnd"/>
            <w:r w:rsidRPr="00B24B36">
              <w:rPr>
                <w:rFonts w:ascii="Cambria" w:hAnsi="Cambria" w:cstheme="minorHAnsi"/>
                <w:i/>
                <w:lang w:val="it-IT"/>
              </w:rPr>
              <w:t xml:space="preserve"> </w:t>
            </w:r>
            <w:proofErr w:type="spellStart"/>
            <w:r w:rsidRPr="00B24B36">
              <w:rPr>
                <w:rFonts w:ascii="Cambria" w:hAnsi="Cambria" w:cstheme="minorHAnsi"/>
                <w:i/>
                <w:lang w:val="it-IT"/>
              </w:rPr>
              <w:t>obrazovanju</w:t>
            </w:r>
            <w:proofErr w:type="spellEnd"/>
            <w:r w:rsidRPr="00B24B36">
              <w:rPr>
                <w:rFonts w:ascii="Cambria" w:hAnsi="Cambria" w:cstheme="minorHAnsi"/>
                <w:i/>
                <w:lang w:val="it-IT"/>
              </w:rPr>
              <w:t xml:space="preserve"> </w:t>
            </w:r>
            <w:proofErr w:type="spellStart"/>
            <w:r w:rsidRPr="00B24B36">
              <w:rPr>
                <w:rFonts w:ascii="Cambria" w:hAnsi="Cambria" w:cstheme="minorHAnsi"/>
                <w:i/>
                <w:lang w:val="it-IT"/>
              </w:rPr>
              <w:t>učitelja</w:t>
            </w:r>
            <w:proofErr w:type="spellEnd"/>
            <w:r w:rsidRPr="00B24B36">
              <w:rPr>
                <w:rFonts w:ascii="Cambria" w:hAnsi="Cambria" w:cstheme="minorHAnsi"/>
                <w:i/>
                <w:lang w:val="it-IT"/>
              </w:rPr>
              <w:t xml:space="preserve">: </w:t>
            </w:r>
            <w:proofErr w:type="spellStart"/>
            <w:r w:rsidRPr="00B24B36">
              <w:rPr>
                <w:rFonts w:ascii="Cambria" w:hAnsi="Cambria" w:cstheme="minorHAnsi"/>
                <w:i/>
                <w:lang w:val="it-IT"/>
              </w:rPr>
              <w:t>znanstvena</w:t>
            </w:r>
            <w:proofErr w:type="spellEnd"/>
            <w:r w:rsidRPr="00B24B36">
              <w:rPr>
                <w:rFonts w:ascii="Cambria" w:hAnsi="Cambria" w:cstheme="minorHAnsi"/>
                <w:i/>
                <w:lang w:val="it-IT"/>
              </w:rPr>
              <w:t xml:space="preserve"> </w:t>
            </w:r>
            <w:proofErr w:type="spellStart"/>
            <w:r w:rsidRPr="00B24B36">
              <w:rPr>
                <w:rFonts w:ascii="Cambria" w:hAnsi="Cambria" w:cstheme="minorHAnsi"/>
                <w:i/>
                <w:lang w:val="it-IT"/>
              </w:rPr>
              <w:t>monografija</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Hrvatska</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akademija</w:t>
            </w:r>
            <w:proofErr w:type="spellEnd"/>
            <w:r w:rsidRPr="00DF4CE5">
              <w:rPr>
                <w:rFonts w:ascii="Cambria" w:hAnsi="Cambria" w:cstheme="minorHAnsi"/>
                <w:lang w:val="it-IT"/>
              </w:rPr>
              <w:t xml:space="preserve"> </w:t>
            </w:r>
            <w:proofErr w:type="spellStart"/>
            <w:r w:rsidRPr="00DF4CE5">
              <w:rPr>
                <w:rFonts w:ascii="Cambria" w:hAnsi="Cambria" w:cstheme="minorHAnsi"/>
                <w:lang w:val="it-IT"/>
              </w:rPr>
              <w:t>znanosti</w:t>
            </w:r>
            <w:proofErr w:type="spellEnd"/>
            <w:r w:rsidRPr="00DF4CE5">
              <w:rPr>
                <w:rFonts w:ascii="Cambria" w:hAnsi="Cambria" w:cstheme="minorHAnsi"/>
                <w:lang w:val="it-IT"/>
              </w:rPr>
              <w:t xml:space="preserve"> i </w:t>
            </w:r>
            <w:proofErr w:type="spellStart"/>
            <w:r w:rsidRPr="00DF4CE5">
              <w:rPr>
                <w:rFonts w:ascii="Cambria" w:hAnsi="Cambria" w:cstheme="minorHAnsi"/>
                <w:lang w:val="it-IT"/>
              </w:rPr>
              <w:t>umjetnosti</w:t>
            </w:r>
            <w:proofErr w:type="spellEnd"/>
            <w:r w:rsidRPr="00DF4CE5">
              <w:rPr>
                <w:rFonts w:ascii="Cambria" w:hAnsi="Cambria" w:cstheme="minorHAnsi"/>
                <w:lang w:val="it-IT"/>
              </w:rPr>
              <w:t xml:space="preserve">, Zavod za </w:t>
            </w:r>
            <w:proofErr w:type="spellStart"/>
            <w:r w:rsidRPr="00DF4CE5">
              <w:rPr>
                <w:rFonts w:ascii="Cambria" w:hAnsi="Cambria" w:cstheme="minorHAnsi"/>
                <w:lang w:val="it-IT"/>
              </w:rPr>
              <w:t>znanstvenoistraživački</w:t>
            </w:r>
            <w:proofErr w:type="spellEnd"/>
            <w:r w:rsidRPr="00DF4CE5">
              <w:rPr>
                <w:rFonts w:ascii="Cambria" w:hAnsi="Cambria" w:cstheme="minorHAnsi"/>
                <w:lang w:val="it-IT"/>
              </w:rPr>
              <w:t xml:space="preserve"> i </w:t>
            </w:r>
            <w:proofErr w:type="spellStart"/>
            <w:r w:rsidRPr="00DF4CE5">
              <w:rPr>
                <w:rFonts w:ascii="Cambria" w:hAnsi="Cambria" w:cstheme="minorHAnsi"/>
                <w:lang w:val="it-IT"/>
              </w:rPr>
              <w:t>umjetnički</w:t>
            </w:r>
            <w:proofErr w:type="spellEnd"/>
            <w:r w:rsidRPr="00DF4CE5">
              <w:rPr>
                <w:rFonts w:ascii="Cambria" w:hAnsi="Cambria" w:cstheme="minorHAnsi"/>
                <w:lang w:val="it-IT"/>
              </w:rPr>
              <w:t xml:space="preserve"> rad.</w:t>
            </w:r>
          </w:p>
        </w:tc>
      </w:tr>
    </w:tbl>
    <w:p w14:paraId="2660ACD5" w14:textId="77777777" w:rsidR="00354E46" w:rsidRPr="00DF4CE5" w:rsidRDefault="00354E46" w:rsidP="00354E46">
      <w:pPr>
        <w:rPr>
          <w:rFonts w:ascii="Cambria" w:hAnsi="Cambria" w:cs="Times New Roman"/>
          <w:lang w:val="it-IT"/>
        </w:rPr>
      </w:pPr>
    </w:p>
    <w:p w14:paraId="3AEF7821" w14:textId="77777777" w:rsidR="001C42AA" w:rsidRPr="00DF4CE5" w:rsidRDefault="001C42AA">
      <w:pPr>
        <w:rPr>
          <w:rFonts w:ascii="Cambria" w:eastAsia="Times New Roman" w:hAnsi="Cambria" w:cs="Calibri"/>
          <w:lang w:val="hr-HR"/>
        </w:rPr>
      </w:pPr>
    </w:p>
    <w:p w14:paraId="2EE6C7BD" w14:textId="77777777" w:rsidR="001C42AA" w:rsidRPr="00DF4CE5" w:rsidRDefault="001C42AA">
      <w:pPr>
        <w:rPr>
          <w:rFonts w:ascii="Cambria" w:eastAsia="Times New Roman" w:hAnsi="Cambria" w:cs="Calibri"/>
          <w:lang w:val="hr-HR"/>
        </w:rPr>
      </w:pPr>
    </w:p>
    <w:p w14:paraId="42FF3811" w14:textId="77777777" w:rsidR="001C42AA" w:rsidRPr="00DF4CE5" w:rsidRDefault="001C42AA">
      <w:pPr>
        <w:rPr>
          <w:rFonts w:ascii="Cambria" w:eastAsia="Times New Roman" w:hAnsi="Cambria" w:cs="Calibri"/>
          <w:lang w:val="hr-HR"/>
        </w:rPr>
      </w:pPr>
    </w:p>
    <w:p w14:paraId="372DB7F2" w14:textId="77777777" w:rsidR="00B13415" w:rsidRPr="00DF4CE5" w:rsidRDefault="00B13415">
      <w:pPr>
        <w:rPr>
          <w:rFonts w:ascii="Cambria" w:eastAsia="Times New Roman" w:hAnsi="Cambria" w:cs="Calibri"/>
          <w:lang w:val="hr-HR"/>
        </w:rPr>
      </w:pPr>
    </w:p>
    <w:p w14:paraId="5F55380E" w14:textId="77777777" w:rsidR="00B13415" w:rsidRPr="00DF4CE5" w:rsidRDefault="00B13415">
      <w:pPr>
        <w:rPr>
          <w:rFonts w:ascii="Cambria" w:eastAsia="Times New Roman" w:hAnsi="Cambria" w:cs="Calibri"/>
          <w:lang w:val="hr-HR"/>
        </w:rPr>
      </w:pPr>
    </w:p>
    <w:p w14:paraId="366BD982" w14:textId="77777777" w:rsidR="00B13415" w:rsidRPr="00DF4CE5" w:rsidRDefault="00B13415">
      <w:pPr>
        <w:rPr>
          <w:rFonts w:ascii="Cambria" w:eastAsia="Times New Roman" w:hAnsi="Cambria" w:cs="Calibri"/>
          <w:lang w:val="hr-HR"/>
        </w:rPr>
      </w:pPr>
    </w:p>
    <w:p w14:paraId="027429AE" w14:textId="77777777" w:rsidR="00B13415" w:rsidRPr="00DF4CE5" w:rsidRDefault="00B13415">
      <w:pPr>
        <w:rPr>
          <w:rFonts w:ascii="Cambria" w:eastAsia="Times New Roman" w:hAnsi="Cambria" w:cs="Calibri"/>
          <w:lang w:val="hr-HR"/>
        </w:rPr>
      </w:pPr>
    </w:p>
    <w:p w14:paraId="00FA8687" w14:textId="77777777" w:rsidR="00B13415" w:rsidRPr="00DF4CE5" w:rsidRDefault="00B13415">
      <w:pPr>
        <w:rPr>
          <w:rFonts w:ascii="Cambria" w:eastAsia="Times New Roman" w:hAnsi="Cambria" w:cs="Calibri"/>
          <w:lang w:val="hr-HR"/>
        </w:rPr>
      </w:pPr>
    </w:p>
    <w:p w14:paraId="0E3FFE28" w14:textId="77777777" w:rsidR="00B13415" w:rsidRPr="00DF4CE5" w:rsidRDefault="00B13415">
      <w:pPr>
        <w:rPr>
          <w:rFonts w:ascii="Cambria" w:eastAsia="Times New Roman" w:hAnsi="Cambria" w:cs="Calibri"/>
          <w:lang w:val="hr-HR"/>
        </w:rPr>
      </w:pPr>
    </w:p>
    <w:p w14:paraId="26D8F40B" w14:textId="77777777" w:rsidR="00B13415" w:rsidRPr="00DF4CE5" w:rsidRDefault="00B13415">
      <w:pPr>
        <w:rPr>
          <w:rFonts w:ascii="Cambria" w:eastAsia="Times New Roman" w:hAnsi="Cambria" w:cs="Calibri"/>
          <w:lang w:val="hr-HR"/>
        </w:rPr>
      </w:pPr>
    </w:p>
    <w:p w14:paraId="4DC1062F" w14:textId="77777777" w:rsidR="00B13415" w:rsidRPr="00DF4CE5" w:rsidRDefault="00B13415">
      <w:pPr>
        <w:rPr>
          <w:rFonts w:ascii="Cambria" w:eastAsia="Times New Roman" w:hAnsi="Cambria" w:cs="Calibri"/>
          <w:lang w:val="hr-HR"/>
        </w:rPr>
      </w:pPr>
    </w:p>
    <w:p w14:paraId="6BE47C32" w14:textId="77777777" w:rsidR="00B13415" w:rsidRPr="00DF4CE5" w:rsidRDefault="00B13415">
      <w:pPr>
        <w:rPr>
          <w:rFonts w:ascii="Cambria" w:eastAsia="Times New Roman" w:hAnsi="Cambria" w:cs="Calibri"/>
          <w:lang w:val="hr-HR"/>
        </w:rPr>
      </w:pPr>
    </w:p>
    <w:p w14:paraId="657FDD73" w14:textId="77777777" w:rsidR="00B13415" w:rsidRPr="00DF4CE5" w:rsidRDefault="00B13415">
      <w:pPr>
        <w:rPr>
          <w:rFonts w:ascii="Cambria" w:eastAsia="Times New Roman" w:hAnsi="Cambria" w:cs="Calibri"/>
          <w:lang w:val="hr-HR"/>
        </w:rPr>
      </w:pPr>
    </w:p>
    <w:p w14:paraId="6B5B0FEA" w14:textId="77777777" w:rsidR="00B13415" w:rsidRPr="00DF4CE5" w:rsidRDefault="00B13415">
      <w:pPr>
        <w:rPr>
          <w:rFonts w:ascii="Cambria" w:eastAsia="Times New Roman" w:hAnsi="Cambria" w:cs="Calibri"/>
          <w:lang w:val="hr-HR"/>
        </w:rPr>
      </w:pPr>
    </w:p>
    <w:p w14:paraId="52B727F8" w14:textId="77777777" w:rsidR="00B13415" w:rsidRPr="00DF4CE5" w:rsidRDefault="00B13415">
      <w:pPr>
        <w:rPr>
          <w:rFonts w:ascii="Cambria" w:eastAsia="Times New Roman" w:hAnsi="Cambria" w:cs="Calibri"/>
          <w:lang w:val="hr-HR"/>
        </w:rPr>
      </w:pPr>
    </w:p>
    <w:p w14:paraId="2B46B9EC" w14:textId="77777777" w:rsidR="00B13415" w:rsidRPr="00DF4CE5" w:rsidRDefault="00B13415">
      <w:pPr>
        <w:rPr>
          <w:rFonts w:ascii="Cambria" w:eastAsia="Times New Roman" w:hAnsi="Cambria" w:cs="Calibri"/>
          <w:lang w:val="hr-HR"/>
        </w:rPr>
      </w:pPr>
    </w:p>
    <w:p w14:paraId="57276C09" w14:textId="77777777" w:rsidR="00B13415" w:rsidRPr="00DF4CE5" w:rsidRDefault="00B13415">
      <w:pPr>
        <w:rPr>
          <w:rFonts w:ascii="Cambria" w:eastAsia="Times New Roman" w:hAnsi="Cambria" w:cs="Calibri"/>
          <w:lang w:val="hr-HR"/>
        </w:rPr>
      </w:pPr>
    </w:p>
    <w:p w14:paraId="2B2D0C4C" w14:textId="77777777" w:rsidR="00B13415" w:rsidRPr="00DF4CE5" w:rsidRDefault="00B13415">
      <w:pPr>
        <w:rPr>
          <w:rFonts w:ascii="Cambria" w:eastAsia="Times New Roman" w:hAnsi="Cambria" w:cs="Calibri"/>
          <w:lang w:val="hr-HR"/>
        </w:rPr>
      </w:pPr>
    </w:p>
    <w:p w14:paraId="262C59DC" w14:textId="77777777" w:rsidR="00B13415" w:rsidRPr="00DF4CE5" w:rsidRDefault="00B13415">
      <w:pPr>
        <w:rPr>
          <w:rFonts w:ascii="Cambria" w:eastAsia="Times New Roman" w:hAnsi="Cambria" w:cs="Calibri"/>
          <w:lang w:val="hr-HR"/>
        </w:rPr>
      </w:pPr>
    </w:p>
    <w:p w14:paraId="621A3E04" w14:textId="77777777" w:rsidR="00B13415" w:rsidRPr="00DF4CE5" w:rsidRDefault="00B13415">
      <w:pPr>
        <w:rPr>
          <w:rFonts w:ascii="Cambria" w:eastAsia="Times New Roman" w:hAnsi="Cambria" w:cs="Calibri"/>
          <w:lang w:val="hr-HR"/>
        </w:rPr>
      </w:pPr>
    </w:p>
    <w:p w14:paraId="173C7A9C" w14:textId="77777777" w:rsidR="00B13415" w:rsidRPr="00DF4CE5" w:rsidRDefault="00B13415">
      <w:pPr>
        <w:rPr>
          <w:rFonts w:ascii="Cambria" w:eastAsia="Times New Roman" w:hAnsi="Cambria" w:cs="Calibri"/>
          <w:lang w:val="hr-HR"/>
        </w:rPr>
      </w:pPr>
    </w:p>
    <w:p w14:paraId="3E2940AA" w14:textId="77777777" w:rsidR="00B13415" w:rsidRPr="00DF4CE5" w:rsidRDefault="00B13415">
      <w:pPr>
        <w:rPr>
          <w:rFonts w:ascii="Cambria" w:eastAsia="Times New Roman" w:hAnsi="Cambria" w:cs="Calibri"/>
          <w:lang w:val="hr-HR"/>
        </w:rPr>
      </w:pPr>
    </w:p>
    <w:p w14:paraId="2B27A4B4" w14:textId="77777777" w:rsidR="00B13415" w:rsidRPr="00DF4CE5" w:rsidRDefault="00B13415">
      <w:pPr>
        <w:rPr>
          <w:rFonts w:ascii="Cambria" w:eastAsia="Times New Roman" w:hAnsi="Cambria" w:cs="Calibri"/>
          <w:lang w:val="hr-HR"/>
        </w:rPr>
      </w:pPr>
    </w:p>
    <w:p w14:paraId="083C3BBF" w14:textId="2062DB2C" w:rsidR="00B13415" w:rsidRPr="00DF4CE5" w:rsidRDefault="00DF4CE5">
      <w:pPr>
        <w:rPr>
          <w:rFonts w:ascii="Cambria" w:eastAsia="Times New Roman" w:hAnsi="Cambria" w:cs="Calibri"/>
          <w:lang w:val="hr-HR"/>
        </w:rPr>
      </w:pPr>
      <w:r>
        <w:rPr>
          <w:rFonts w:ascii="Cambria" w:eastAsia="Times New Roman" w:hAnsi="Cambria" w:cs="Calibri"/>
          <w:lang w:val="hr-HR"/>
        </w:rPr>
        <w:br w:type="page"/>
      </w:r>
    </w:p>
    <w:tbl>
      <w:tblPr>
        <w:tblW w:w="5000" w:type="pct"/>
        <w:tblLayout w:type="fixed"/>
        <w:tblCellMar>
          <w:left w:w="0" w:type="dxa"/>
          <w:right w:w="0" w:type="dxa"/>
        </w:tblCellMar>
        <w:tblLook w:val="0600" w:firstRow="0" w:lastRow="0" w:firstColumn="0" w:lastColumn="0" w:noHBand="1" w:noVBand="1"/>
      </w:tblPr>
      <w:tblGrid>
        <w:gridCol w:w="2657"/>
        <w:gridCol w:w="2814"/>
        <w:gridCol w:w="105"/>
        <w:gridCol w:w="1171"/>
        <w:gridCol w:w="300"/>
        <w:gridCol w:w="472"/>
        <w:gridCol w:w="944"/>
        <w:gridCol w:w="1557"/>
      </w:tblGrid>
      <w:tr w:rsidR="001F51C2" w:rsidRPr="00B24B36" w14:paraId="732E3527" w14:textId="77777777" w:rsidTr="00891E8C">
        <w:tc>
          <w:tcPr>
            <w:tcW w:w="9052"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2416E39" w14:textId="77777777" w:rsidR="001F51C2" w:rsidRPr="00B24B36" w:rsidRDefault="001F51C2" w:rsidP="00B24B36">
            <w:pPr>
              <w:pStyle w:val="Bezproreda"/>
              <w:jc w:val="right"/>
              <w:rPr>
                <w:rFonts w:ascii="Cambria" w:hAnsi="Cambria" w:cs="Calibri"/>
                <w:b/>
              </w:rPr>
            </w:pPr>
            <w:r w:rsidRPr="00B24B36">
              <w:rPr>
                <w:rFonts w:ascii="Cambria" w:hAnsi="Cambria" w:cs="Calibri"/>
                <w:b/>
              </w:rPr>
              <w:lastRenderedPageBreak/>
              <w:t>IZVEDBENI PLAN NASTAVE KOLEGIJA</w:t>
            </w:r>
          </w:p>
        </w:tc>
      </w:tr>
      <w:tr w:rsidR="001F51C2" w:rsidRPr="00B24B36" w14:paraId="09DD2BC3" w14:textId="77777777" w:rsidTr="00891E8C">
        <w:tc>
          <w:tcPr>
            <w:tcW w:w="24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EBA1F10" w14:textId="77777777" w:rsidR="001F51C2" w:rsidRPr="00B24B36" w:rsidRDefault="001F51C2" w:rsidP="00B24B36">
            <w:pPr>
              <w:pStyle w:val="Bezproreda"/>
              <w:rPr>
                <w:rFonts w:ascii="Cambria" w:hAnsi="Cambria" w:cs="Calibri"/>
              </w:rPr>
            </w:pPr>
            <w:r w:rsidRPr="00B24B36">
              <w:rPr>
                <w:rFonts w:ascii="Cambria" w:hAnsi="Cambria" w:cs="Calibri"/>
              </w:rPr>
              <w:t>Kod i naziv kolegija</w:t>
            </w:r>
          </w:p>
        </w:tc>
        <w:tc>
          <w:tcPr>
            <w:tcW w:w="6652"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546996E" w14:textId="77777777" w:rsidR="001F51C2" w:rsidRPr="00B24B36" w:rsidRDefault="001F51C2" w:rsidP="00B24B36">
            <w:pPr>
              <w:pStyle w:val="Naslov3"/>
              <w:numPr>
                <w:ilvl w:val="0"/>
                <w:numId w:val="0"/>
              </w:numPr>
              <w:spacing w:before="0" w:after="0"/>
              <w:rPr>
                <w:rFonts w:ascii="Cambria" w:hAnsi="Cambria" w:cs="Calibri"/>
                <w:b w:val="0"/>
                <w:bCs w:val="0"/>
                <w:sz w:val="22"/>
                <w:szCs w:val="22"/>
              </w:rPr>
            </w:pPr>
            <w:r w:rsidRPr="00B24B36">
              <w:rPr>
                <w:rFonts w:ascii="Cambria" w:hAnsi="Cambria" w:cs="Calibri"/>
                <w:b w:val="0"/>
                <w:bCs w:val="0"/>
                <w:sz w:val="22"/>
                <w:szCs w:val="22"/>
              </w:rPr>
              <w:t>257222</w:t>
            </w:r>
          </w:p>
          <w:p w14:paraId="1078EB07" w14:textId="77777777" w:rsidR="001F51C2" w:rsidRPr="00B24B36" w:rsidRDefault="001F51C2" w:rsidP="00B24B36">
            <w:pPr>
              <w:pStyle w:val="Naslov3"/>
              <w:numPr>
                <w:ilvl w:val="0"/>
                <w:numId w:val="0"/>
              </w:numPr>
              <w:spacing w:before="0" w:after="0"/>
              <w:rPr>
                <w:rFonts w:ascii="Cambria" w:hAnsi="Cambria" w:cs="Calibri"/>
                <w:b w:val="0"/>
                <w:sz w:val="22"/>
                <w:szCs w:val="22"/>
              </w:rPr>
            </w:pPr>
            <w:r w:rsidRPr="00B24B36">
              <w:rPr>
                <w:rFonts w:ascii="Cambria" w:hAnsi="Cambria" w:cs="Calibri"/>
                <w:b w:val="0"/>
                <w:sz w:val="22"/>
                <w:szCs w:val="22"/>
              </w:rPr>
              <w:t>Filozofija odgoja</w:t>
            </w:r>
            <w:r w:rsidRPr="00B24B36">
              <w:rPr>
                <w:rFonts w:ascii="Cambria" w:hAnsi="Cambria" w:cs="Calibri"/>
                <w:sz w:val="22"/>
                <w:szCs w:val="22"/>
              </w:rPr>
              <w:t xml:space="preserve"> </w:t>
            </w:r>
          </w:p>
        </w:tc>
      </w:tr>
      <w:tr w:rsidR="001F51C2" w:rsidRPr="00B24B36" w14:paraId="4587012B" w14:textId="77777777" w:rsidTr="00891E8C">
        <w:tc>
          <w:tcPr>
            <w:tcW w:w="24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0CE7B83" w14:textId="7C652DB9" w:rsidR="001F51C2" w:rsidRPr="00B24B36" w:rsidRDefault="001F51C2" w:rsidP="00B24B36">
            <w:pPr>
              <w:pStyle w:val="Bezproreda"/>
              <w:rPr>
                <w:rFonts w:ascii="Cambria" w:hAnsi="Cambria" w:cs="Calibri"/>
              </w:rPr>
            </w:pPr>
            <w:r w:rsidRPr="00B24B36">
              <w:rPr>
                <w:rFonts w:ascii="Cambria" w:hAnsi="Cambria" w:cs="Calibri"/>
              </w:rPr>
              <w:t>Nastavnik</w:t>
            </w:r>
          </w:p>
          <w:p w14:paraId="04E47E82" w14:textId="5B1E346F" w:rsidR="00B24B36" w:rsidRPr="00B24B36" w:rsidRDefault="00B24B36" w:rsidP="00B24B36">
            <w:pPr>
              <w:pStyle w:val="Bezproreda"/>
              <w:rPr>
                <w:rFonts w:ascii="Cambria" w:hAnsi="Cambria" w:cs="Calibri"/>
              </w:rPr>
            </w:pPr>
          </w:p>
        </w:tc>
        <w:tc>
          <w:tcPr>
            <w:tcW w:w="6652"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CD5EA36" w14:textId="6056833E" w:rsidR="001F51C2" w:rsidRPr="00B24B36" w:rsidRDefault="001F51C2" w:rsidP="00B24B36">
            <w:pPr>
              <w:pStyle w:val="Bezproreda"/>
              <w:rPr>
                <w:rFonts w:ascii="Cambria" w:hAnsi="Cambria" w:cs="Calibri"/>
              </w:rPr>
            </w:pPr>
            <w:hyperlink r:id="rId10" w:history="1">
              <w:r w:rsidRPr="00B24B36">
                <w:rPr>
                  <w:rFonts w:ascii="Cambria" w:eastAsia="Times New Roman" w:hAnsi="Cambria"/>
                  <w:color w:val="0000FF"/>
                  <w:u w:val="single"/>
                </w:rPr>
                <w:t>Doc. dr. sc. Alen Tafra</w:t>
              </w:r>
            </w:hyperlink>
            <w:r w:rsidRPr="00B24B36">
              <w:rPr>
                <w:rFonts w:ascii="Cambria" w:eastAsia="Times New Roman" w:hAnsi="Cambria"/>
              </w:rPr>
              <w:t xml:space="preserve"> (nositelj)</w:t>
            </w:r>
          </w:p>
        </w:tc>
      </w:tr>
      <w:tr w:rsidR="001F51C2" w:rsidRPr="00D0399C" w14:paraId="20FFB9FE" w14:textId="77777777" w:rsidTr="00891E8C">
        <w:tc>
          <w:tcPr>
            <w:tcW w:w="24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744A982" w14:textId="77777777" w:rsidR="001F51C2" w:rsidRPr="00B24B36" w:rsidRDefault="001F51C2" w:rsidP="00B24B36">
            <w:pPr>
              <w:pStyle w:val="Bezproreda"/>
              <w:rPr>
                <w:rFonts w:ascii="Cambria" w:hAnsi="Cambria" w:cs="Calibri"/>
              </w:rPr>
            </w:pPr>
            <w:r w:rsidRPr="00B24B36">
              <w:rPr>
                <w:rFonts w:ascii="Cambria" w:hAnsi="Cambria" w:cs="Calibri"/>
              </w:rPr>
              <w:t>Studijski program</w:t>
            </w:r>
          </w:p>
        </w:tc>
        <w:tc>
          <w:tcPr>
            <w:tcW w:w="6652"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027C6BA" w14:textId="77777777" w:rsidR="001F51C2" w:rsidRPr="00B24B36" w:rsidRDefault="001F51C2" w:rsidP="00B24B36">
            <w:pPr>
              <w:pStyle w:val="Bezproreda"/>
              <w:rPr>
                <w:rFonts w:ascii="Cambria" w:hAnsi="Cambria" w:cs="Calibri"/>
              </w:rPr>
            </w:pPr>
            <w:r w:rsidRPr="00B24B36">
              <w:rPr>
                <w:rFonts w:ascii="Cambria" w:hAnsi="Cambria" w:cs="Calibri"/>
              </w:rPr>
              <w:t>Sveučilišni integrirani prijediplomski i diplomski Učiteljski studij na hrvatskom jeziku</w:t>
            </w:r>
          </w:p>
        </w:tc>
      </w:tr>
      <w:tr w:rsidR="001F51C2" w:rsidRPr="00B24B36" w14:paraId="7E76D7CD" w14:textId="77777777" w:rsidTr="00891E8C">
        <w:tc>
          <w:tcPr>
            <w:tcW w:w="24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D8F18BF" w14:textId="77777777" w:rsidR="001F51C2" w:rsidRPr="00B24B36" w:rsidRDefault="001F51C2" w:rsidP="00B24B36">
            <w:pPr>
              <w:pStyle w:val="Bezproreda"/>
              <w:rPr>
                <w:rFonts w:ascii="Cambria" w:hAnsi="Cambria" w:cs="Calibri"/>
              </w:rPr>
            </w:pPr>
            <w:r w:rsidRPr="00B24B36">
              <w:rPr>
                <w:rFonts w:ascii="Cambria" w:hAnsi="Cambria" w:cs="Calibri"/>
              </w:rPr>
              <w:t>Vrsta kolegija</w:t>
            </w:r>
          </w:p>
        </w:tc>
        <w:tc>
          <w:tcPr>
            <w:tcW w:w="254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5B51833" w14:textId="77777777" w:rsidR="001F51C2" w:rsidRPr="00B24B36" w:rsidRDefault="001F51C2" w:rsidP="00B24B36">
            <w:pPr>
              <w:pStyle w:val="Bezproreda"/>
              <w:rPr>
                <w:rFonts w:ascii="Cambria" w:hAnsi="Cambria" w:cs="Calibri"/>
              </w:rPr>
            </w:pPr>
            <w:r w:rsidRPr="00B24B36">
              <w:rPr>
                <w:rFonts w:ascii="Cambria" w:hAnsi="Cambria" w:cs="Calibri"/>
              </w:rPr>
              <w:t xml:space="preserve">obvezan </w:t>
            </w:r>
          </w:p>
          <w:p w14:paraId="4F6E3AF0" w14:textId="77777777" w:rsidR="001F51C2" w:rsidRPr="00B24B36" w:rsidRDefault="001F51C2" w:rsidP="00B24B36">
            <w:pPr>
              <w:pStyle w:val="Bezproreda"/>
              <w:rPr>
                <w:rFonts w:ascii="Cambria" w:hAnsi="Cambria" w:cs="Calibri"/>
              </w:rPr>
            </w:pPr>
          </w:p>
        </w:tc>
        <w:tc>
          <w:tcPr>
            <w:tcW w:w="1424"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52D7DDEE" w14:textId="77777777" w:rsidR="001F51C2" w:rsidRPr="00B24B36" w:rsidRDefault="001F51C2" w:rsidP="00B24B36">
            <w:pPr>
              <w:pStyle w:val="Bezproreda"/>
              <w:rPr>
                <w:rFonts w:ascii="Cambria" w:hAnsi="Cambria" w:cs="Calibri"/>
              </w:rPr>
            </w:pPr>
            <w:r w:rsidRPr="00B24B36">
              <w:rPr>
                <w:rFonts w:ascii="Cambria" w:hAnsi="Cambria" w:cs="Calibri"/>
              </w:rPr>
              <w:t>Razina kolegija</w:t>
            </w:r>
          </w:p>
        </w:tc>
        <w:tc>
          <w:tcPr>
            <w:tcW w:w="2686"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E69DE02" w14:textId="77777777" w:rsidR="001F51C2" w:rsidRPr="00B24B36" w:rsidRDefault="001F51C2" w:rsidP="00B24B36">
            <w:pPr>
              <w:pStyle w:val="Bezproreda"/>
              <w:rPr>
                <w:rFonts w:ascii="Cambria" w:hAnsi="Cambria" w:cs="Calibri"/>
              </w:rPr>
            </w:pPr>
            <w:r w:rsidRPr="00B24B36">
              <w:rPr>
                <w:rFonts w:ascii="Cambria" w:hAnsi="Cambria" w:cs="Calibri"/>
              </w:rPr>
              <w:t>integrirani</w:t>
            </w:r>
          </w:p>
        </w:tc>
      </w:tr>
      <w:tr w:rsidR="001F51C2" w:rsidRPr="00B24B36" w14:paraId="770B0748" w14:textId="77777777" w:rsidTr="00891E8C">
        <w:tc>
          <w:tcPr>
            <w:tcW w:w="24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041D4F3" w14:textId="77777777" w:rsidR="001F51C2" w:rsidRPr="00B24B36" w:rsidRDefault="001F51C2" w:rsidP="00B24B36">
            <w:pPr>
              <w:pStyle w:val="Bezproreda"/>
              <w:rPr>
                <w:rFonts w:ascii="Cambria" w:hAnsi="Cambria" w:cs="Calibri"/>
              </w:rPr>
            </w:pPr>
            <w:r w:rsidRPr="00B24B36">
              <w:rPr>
                <w:rFonts w:ascii="Cambria" w:hAnsi="Cambria" w:cs="Calibri"/>
              </w:rPr>
              <w:t>Semestar</w:t>
            </w:r>
          </w:p>
        </w:tc>
        <w:tc>
          <w:tcPr>
            <w:tcW w:w="254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8934352" w14:textId="77777777" w:rsidR="001F51C2" w:rsidRPr="00B24B36" w:rsidRDefault="001F51C2" w:rsidP="00B24B36">
            <w:pPr>
              <w:pStyle w:val="Bezproreda"/>
              <w:rPr>
                <w:rFonts w:ascii="Cambria" w:hAnsi="Cambria" w:cs="Calibri"/>
              </w:rPr>
            </w:pPr>
            <w:r w:rsidRPr="00B24B36">
              <w:rPr>
                <w:rFonts w:ascii="Cambria" w:hAnsi="Cambria" w:cs="Calibri"/>
              </w:rPr>
              <w:t>Zimski</w:t>
            </w:r>
          </w:p>
        </w:tc>
        <w:tc>
          <w:tcPr>
            <w:tcW w:w="1424"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748A80D8" w14:textId="77777777" w:rsidR="001F51C2" w:rsidRPr="00B24B36" w:rsidRDefault="001F51C2" w:rsidP="00B24B36">
            <w:pPr>
              <w:pStyle w:val="Bezproreda"/>
              <w:rPr>
                <w:rFonts w:ascii="Cambria" w:hAnsi="Cambria" w:cs="Calibri"/>
              </w:rPr>
            </w:pPr>
            <w:r w:rsidRPr="00B24B36">
              <w:rPr>
                <w:rFonts w:ascii="Cambria" w:hAnsi="Cambria" w:cs="Calibri"/>
              </w:rPr>
              <w:t>Godina studija</w:t>
            </w:r>
          </w:p>
        </w:tc>
        <w:tc>
          <w:tcPr>
            <w:tcW w:w="2686"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07DD96E" w14:textId="77777777" w:rsidR="001F51C2" w:rsidRPr="00B24B36" w:rsidRDefault="001F51C2" w:rsidP="00B24B36">
            <w:pPr>
              <w:pStyle w:val="Bezproreda"/>
              <w:rPr>
                <w:rFonts w:ascii="Cambria" w:hAnsi="Cambria" w:cs="Calibri"/>
              </w:rPr>
            </w:pPr>
            <w:r w:rsidRPr="00B24B36">
              <w:rPr>
                <w:rFonts w:ascii="Cambria" w:hAnsi="Cambria" w:cs="Calibri"/>
              </w:rPr>
              <w:t>I.</w:t>
            </w:r>
          </w:p>
        </w:tc>
      </w:tr>
      <w:tr w:rsidR="001F51C2" w:rsidRPr="00B24B36" w14:paraId="474DE841" w14:textId="77777777" w:rsidTr="00891E8C">
        <w:tc>
          <w:tcPr>
            <w:tcW w:w="24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D234971" w14:textId="77777777" w:rsidR="001F51C2" w:rsidRPr="00B24B36" w:rsidRDefault="001F51C2" w:rsidP="00B24B36">
            <w:pPr>
              <w:pStyle w:val="Bezproreda"/>
              <w:rPr>
                <w:rFonts w:ascii="Cambria" w:hAnsi="Cambria" w:cs="Calibri"/>
              </w:rPr>
            </w:pPr>
            <w:proofErr w:type="spellStart"/>
            <w:r w:rsidRPr="00B24B36">
              <w:rPr>
                <w:rFonts w:ascii="Cambria" w:hAnsi="Cambria" w:cs="Calibri"/>
                <w:lang w:val="en-US"/>
              </w:rPr>
              <w:t>Mjesto</w:t>
            </w:r>
            <w:proofErr w:type="spellEnd"/>
            <w:r w:rsidRPr="00B24B36">
              <w:rPr>
                <w:rFonts w:ascii="Cambria" w:hAnsi="Cambria" w:cs="Calibri"/>
                <w:lang w:val="en-US"/>
              </w:rPr>
              <w:t xml:space="preserve"> </w:t>
            </w:r>
            <w:proofErr w:type="spellStart"/>
            <w:r w:rsidRPr="00B24B36">
              <w:rPr>
                <w:rFonts w:ascii="Cambria" w:hAnsi="Cambria" w:cs="Calibri"/>
                <w:lang w:val="en-US"/>
              </w:rPr>
              <w:t>izvođenja</w:t>
            </w:r>
            <w:proofErr w:type="spellEnd"/>
          </w:p>
        </w:tc>
        <w:tc>
          <w:tcPr>
            <w:tcW w:w="254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DC57C32" w14:textId="77777777" w:rsidR="001F51C2" w:rsidRPr="00B24B36" w:rsidRDefault="001F51C2" w:rsidP="00B24B36">
            <w:pPr>
              <w:pStyle w:val="Bezproreda"/>
              <w:rPr>
                <w:rFonts w:ascii="Cambria" w:hAnsi="Cambria" w:cs="Calibri"/>
              </w:rPr>
            </w:pPr>
            <w:r w:rsidRPr="00B24B36">
              <w:rPr>
                <w:rFonts w:ascii="Cambria" w:hAnsi="Cambria" w:cs="Calibri"/>
              </w:rPr>
              <w:t>Učionica</w:t>
            </w:r>
          </w:p>
        </w:tc>
        <w:tc>
          <w:tcPr>
            <w:tcW w:w="1424"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2C3A65A7" w14:textId="77777777" w:rsidR="001F51C2" w:rsidRPr="00B24B36" w:rsidRDefault="001F51C2" w:rsidP="00B24B36">
            <w:pPr>
              <w:pStyle w:val="Bezproreda"/>
              <w:rPr>
                <w:rFonts w:ascii="Cambria" w:hAnsi="Cambria" w:cs="Calibri"/>
              </w:rPr>
            </w:pPr>
            <w:r w:rsidRPr="00B24B36">
              <w:rPr>
                <w:rFonts w:ascii="Cambria" w:hAnsi="Cambria" w:cs="Calibri"/>
                <w:lang w:val="en-US"/>
              </w:rPr>
              <w:t>Jezik</w:t>
            </w:r>
            <w:r w:rsidRPr="00B24B36">
              <w:rPr>
                <w:rFonts w:ascii="Cambria" w:hAnsi="Cambria" w:cs="Calibri"/>
              </w:rPr>
              <w:t xml:space="preserve"> izvođenja</w:t>
            </w:r>
          </w:p>
        </w:tc>
        <w:tc>
          <w:tcPr>
            <w:tcW w:w="2686"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75A8930" w14:textId="77777777" w:rsidR="001F51C2" w:rsidRPr="00B24B36" w:rsidRDefault="001F51C2" w:rsidP="00B24B36">
            <w:pPr>
              <w:pStyle w:val="Bezproreda"/>
              <w:rPr>
                <w:rFonts w:ascii="Cambria" w:hAnsi="Cambria" w:cs="Calibri"/>
              </w:rPr>
            </w:pPr>
            <w:r w:rsidRPr="00B24B36">
              <w:rPr>
                <w:rFonts w:ascii="Cambria" w:hAnsi="Cambria" w:cs="Calibri"/>
              </w:rPr>
              <w:t>hrvatski</w:t>
            </w:r>
          </w:p>
        </w:tc>
      </w:tr>
      <w:tr w:rsidR="001F51C2" w:rsidRPr="00B24B36" w14:paraId="1C6F8CCC" w14:textId="77777777" w:rsidTr="00891E8C">
        <w:tc>
          <w:tcPr>
            <w:tcW w:w="24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2D3DC15" w14:textId="77777777" w:rsidR="001F51C2" w:rsidRPr="00B24B36" w:rsidRDefault="001F51C2" w:rsidP="00B24B36">
            <w:pPr>
              <w:pStyle w:val="Bezproreda"/>
              <w:rPr>
                <w:rFonts w:ascii="Cambria" w:hAnsi="Cambria" w:cs="Calibri"/>
              </w:rPr>
            </w:pPr>
            <w:r w:rsidRPr="00B24B36">
              <w:rPr>
                <w:rFonts w:ascii="Cambria" w:hAnsi="Cambria" w:cs="Calibri"/>
              </w:rPr>
              <w:t>Broj ECTS bodova</w:t>
            </w:r>
          </w:p>
        </w:tc>
        <w:tc>
          <w:tcPr>
            <w:tcW w:w="254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4AEDCA1" w14:textId="77777777" w:rsidR="001F51C2" w:rsidRPr="00B24B36" w:rsidRDefault="001F51C2" w:rsidP="00B24B36">
            <w:pPr>
              <w:pStyle w:val="Bezproreda"/>
              <w:rPr>
                <w:rFonts w:ascii="Cambria" w:hAnsi="Cambria" w:cs="Calibri"/>
              </w:rPr>
            </w:pPr>
            <w:r w:rsidRPr="00B24B36">
              <w:rPr>
                <w:rFonts w:ascii="Cambria" w:hAnsi="Cambria" w:cs="Calibri"/>
              </w:rPr>
              <w:t>5</w:t>
            </w:r>
          </w:p>
        </w:tc>
        <w:tc>
          <w:tcPr>
            <w:tcW w:w="1424"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235305E0" w14:textId="77777777" w:rsidR="001F51C2" w:rsidRPr="00B24B36" w:rsidRDefault="001F51C2" w:rsidP="00B24B36">
            <w:pPr>
              <w:pStyle w:val="Bezproreda"/>
              <w:rPr>
                <w:rFonts w:ascii="Cambria" w:hAnsi="Cambria" w:cs="Calibri"/>
              </w:rPr>
            </w:pPr>
            <w:r w:rsidRPr="00B24B36">
              <w:rPr>
                <w:rFonts w:ascii="Cambria" w:hAnsi="Cambria" w:cs="Calibri"/>
              </w:rPr>
              <w:t>Broj sati u semestru</w:t>
            </w:r>
          </w:p>
        </w:tc>
        <w:tc>
          <w:tcPr>
            <w:tcW w:w="2686"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3151FBE" w14:textId="7E40CADE" w:rsidR="001F51C2" w:rsidRPr="00B24B36" w:rsidRDefault="001F51C2" w:rsidP="00B24B36">
            <w:pPr>
              <w:pStyle w:val="Bezproreda"/>
              <w:rPr>
                <w:rFonts w:ascii="Cambria" w:hAnsi="Cambria" w:cs="Calibri"/>
              </w:rPr>
            </w:pPr>
            <w:r w:rsidRPr="00B24B36">
              <w:rPr>
                <w:rFonts w:ascii="Cambria" w:hAnsi="Cambria" w:cs="Calibri"/>
              </w:rPr>
              <w:t xml:space="preserve">30P – </w:t>
            </w:r>
            <w:r w:rsidR="00B13415" w:rsidRPr="00B24B36">
              <w:rPr>
                <w:rFonts w:ascii="Cambria" w:hAnsi="Cambria" w:cs="Calibri"/>
              </w:rPr>
              <w:t>3</w:t>
            </w:r>
            <w:r w:rsidRPr="00B24B36">
              <w:rPr>
                <w:rFonts w:ascii="Cambria" w:hAnsi="Cambria" w:cs="Calibri"/>
              </w:rPr>
              <w:t>0</w:t>
            </w:r>
            <w:r w:rsidR="00B13415" w:rsidRPr="00B24B36">
              <w:rPr>
                <w:rFonts w:ascii="Cambria" w:hAnsi="Cambria" w:cs="Calibri"/>
              </w:rPr>
              <w:t>S</w:t>
            </w:r>
            <w:r w:rsidR="00DF4CE5" w:rsidRPr="00B24B36">
              <w:rPr>
                <w:rFonts w:ascii="Cambria" w:hAnsi="Cambria" w:cs="Calibri"/>
              </w:rPr>
              <w:t xml:space="preserve"> </w:t>
            </w:r>
            <w:r w:rsidRPr="00B24B36">
              <w:rPr>
                <w:rFonts w:ascii="Cambria" w:hAnsi="Cambria" w:cs="Calibri"/>
              </w:rPr>
              <w:t xml:space="preserve">– </w:t>
            </w:r>
            <w:r w:rsidR="00B13415" w:rsidRPr="00B24B36">
              <w:rPr>
                <w:rFonts w:ascii="Cambria" w:hAnsi="Cambria" w:cs="Calibri"/>
              </w:rPr>
              <w:t>0V</w:t>
            </w:r>
            <w:r w:rsidRPr="00B24B36">
              <w:rPr>
                <w:rFonts w:ascii="Cambria" w:hAnsi="Cambria" w:cs="Calibri"/>
              </w:rPr>
              <w:t xml:space="preserve">   </w:t>
            </w:r>
          </w:p>
        </w:tc>
      </w:tr>
      <w:tr w:rsidR="001F51C2" w:rsidRPr="00B24B36" w14:paraId="6384E861" w14:textId="77777777" w:rsidTr="00891E8C">
        <w:tc>
          <w:tcPr>
            <w:tcW w:w="24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E79409A" w14:textId="77777777" w:rsidR="001F51C2" w:rsidRPr="00B24B36" w:rsidRDefault="001F51C2" w:rsidP="00B24B36">
            <w:pPr>
              <w:pStyle w:val="Bezproreda"/>
              <w:rPr>
                <w:rFonts w:ascii="Cambria" w:hAnsi="Cambria" w:cs="Calibri"/>
              </w:rPr>
            </w:pPr>
            <w:r w:rsidRPr="00B24B36">
              <w:rPr>
                <w:rFonts w:ascii="Cambria" w:hAnsi="Cambria" w:cs="Calibri"/>
              </w:rPr>
              <w:t>Preduvjeti za upis i za svladavanje</w:t>
            </w:r>
          </w:p>
        </w:tc>
        <w:tc>
          <w:tcPr>
            <w:tcW w:w="6652"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CB053A0" w14:textId="77777777" w:rsidR="001F51C2" w:rsidRPr="00B24B36" w:rsidRDefault="001F51C2" w:rsidP="00B24B36">
            <w:pPr>
              <w:pStyle w:val="Bezproreda"/>
              <w:rPr>
                <w:rFonts w:ascii="Cambria" w:hAnsi="Cambria" w:cs="Calibri"/>
              </w:rPr>
            </w:pPr>
            <w:r w:rsidRPr="00B24B36">
              <w:rPr>
                <w:rFonts w:ascii="Cambria" w:hAnsi="Cambria" w:cs="Calibri"/>
              </w:rPr>
              <w:t>nema preduvjeta za upis</w:t>
            </w:r>
          </w:p>
        </w:tc>
      </w:tr>
      <w:tr w:rsidR="001F51C2" w:rsidRPr="00B24B36" w14:paraId="677E6836" w14:textId="77777777" w:rsidTr="00891E8C">
        <w:tc>
          <w:tcPr>
            <w:tcW w:w="24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CD3C779" w14:textId="77777777" w:rsidR="001F51C2" w:rsidRPr="00B24B36" w:rsidRDefault="001F51C2" w:rsidP="00B24B36">
            <w:pPr>
              <w:pStyle w:val="Bezproreda"/>
              <w:rPr>
                <w:rFonts w:ascii="Cambria" w:hAnsi="Cambria" w:cs="Calibri"/>
              </w:rPr>
            </w:pPr>
            <w:proofErr w:type="spellStart"/>
            <w:r w:rsidRPr="00B24B36">
              <w:rPr>
                <w:rFonts w:ascii="Cambria" w:hAnsi="Cambria" w:cs="Calibri"/>
                <w:lang w:val="en-US"/>
              </w:rPr>
              <w:t>Korelativnost</w:t>
            </w:r>
            <w:proofErr w:type="spellEnd"/>
          </w:p>
        </w:tc>
        <w:tc>
          <w:tcPr>
            <w:tcW w:w="6652"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3985EEC" w14:textId="77777777" w:rsidR="001F51C2" w:rsidRPr="00B24B36" w:rsidRDefault="001F51C2" w:rsidP="00B24B36">
            <w:pPr>
              <w:pStyle w:val="Bezproreda"/>
              <w:rPr>
                <w:rFonts w:ascii="Cambria" w:hAnsi="Cambria" w:cs="Calibri"/>
              </w:rPr>
            </w:pPr>
            <w:r w:rsidRPr="00B24B36">
              <w:rPr>
                <w:rFonts w:ascii="Cambria" w:hAnsi="Cambria" w:cs="Calibri"/>
              </w:rPr>
              <w:t>Sociologija odgoja i obrazovanja</w:t>
            </w:r>
          </w:p>
        </w:tc>
      </w:tr>
      <w:tr w:rsidR="001F51C2" w:rsidRPr="00D0399C" w14:paraId="6D3D6456" w14:textId="77777777" w:rsidTr="00891E8C">
        <w:tc>
          <w:tcPr>
            <w:tcW w:w="24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770CFB5" w14:textId="77777777" w:rsidR="001F51C2" w:rsidRPr="00B24B36" w:rsidRDefault="001F51C2" w:rsidP="00B24B36">
            <w:pPr>
              <w:pStyle w:val="Bezproreda"/>
              <w:rPr>
                <w:rFonts w:ascii="Cambria" w:hAnsi="Cambria" w:cs="Calibri"/>
              </w:rPr>
            </w:pPr>
            <w:r w:rsidRPr="00B24B36">
              <w:rPr>
                <w:rFonts w:ascii="Cambria" w:hAnsi="Cambria" w:cs="Calibri"/>
              </w:rPr>
              <w:t xml:space="preserve">Cilj kolegija </w:t>
            </w:r>
          </w:p>
        </w:tc>
        <w:tc>
          <w:tcPr>
            <w:tcW w:w="6652"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DDD48C4" w14:textId="77777777" w:rsidR="001F51C2" w:rsidRPr="00B24B36" w:rsidRDefault="001F51C2" w:rsidP="00B24B36">
            <w:pPr>
              <w:pStyle w:val="Bezproreda"/>
              <w:rPr>
                <w:rFonts w:ascii="Cambria" w:hAnsi="Cambria" w:cs="Calibri"/>
              </w:rPr>
            </w:pPr>
            <w:bookmarkStart w:id="101" w:name="_Hlk164675135"/>
            <w:r w:rsidRPr="00B24B36">
              <w:rPr>
                <w:rFonts w:ascii="Cambria" w:hAnsi="Cambria"/>
              </w:rPr>
              <w:t>Usvojiti filozofske kompetencije za kritičko promišljanje teorije i prakse odgoja i obrazovanja kroz povijest i suvremenost</w:t>
            </w:r>
            <w:bookmarkEnd w:id="101"/>
          </w:p>
        </w:tc>
      </w:tr>
      <w:tr w:rsidR="001F51C2" w:rsidRPr="00D0399C" w14:paraId="75C3DB81" w14:textId="77777777" w:rsidTr="00891E8C">
        <w:tc>
          <w:tcPr>
            <w:tcW w:w="24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73F2EFA" w14:textId="77777777" w:rsidR="001F51C2" w:rsidRPr="00B24B36" w:rsidRDefault="001F51C2" w:rsidP="00B24B36">
            <w:pPr>
              <w:pStyle w:val="Bezproreda"/>
              <w:rPr>
                <w:rFonts w:ascii="Cambria" w:hAnsi="Cambria" w:cs="Calibri"/>
              </w:rPr>
            </w:pPr>
            <w:r w:rsidRPr="00B24B36">
              <w:rPr>
                <w:rFonts w:ascii="Cambria" w:hAnsi="Cambria" w:cs="Calibri"/>
              </w:rPr>
              <w:t>Ishodi učenja</w:t>
            </w:r>
          </w:p>
        </w:tc>
        <w:tc>
          <w:tcPr>
            <w:tcW w:w="6652"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DFA10D9" w14:textId="77777777" w:rsidR="001F51C2" w:rsidRPr="00B24B36" w:rsidRDefault="001F51C2" w:rsidP="00B24B36">
            <w:pPr>
              <w:pStyle w:val="Bezproreda"/>
              <w:numPr>
                <w:ilvl w:val="0"/>
                <w:numId w:val="5"/>
              </w:numPr>
              <w:rPr>
                <w:rFonts w:ascii="Cambria" w:hAnsi="Cambria" w:cs="Calibri"/>
              </w:rPr>
            </w:pPr>
            <w:r w:rsidRPr="00B24B36">
              <w:rPr>
                <w:rFonts w:ascii="Cambria" w:hAnsi="Cambria" w:cs="Calibri"/>
                <w:bCs/>
                <w:lang w:val="pl-PL"/>
              </w:rPr>
              <w:t xml:space="preserve">objasniti </w:t>
            </w:r>
            <w:r w:rsidRPr="00B24B36">
              <w:rPr>
                <w:rFonts w:ascii="Cambria" w:hAnsi="Cambria"/>
              </w:rPr>
              <w:t>osnovne pojmove iz područja filozofije odgoja i logike kako bi oblikovali i prepoznavali valjanu argumentaciju o odgojno-obrazovnoj praksi</w:t>
            </w:r>
          </w:p>
          <w:p w14:paraId="7D65417A" w14:textId="77777777" w:rsidR="001F51C2" w:rsidRPr="00B24B36" w:rsidRDefault="001F51C2" w:rsidP="00B24B36">
            <w:pPr>
              <w:pStyle w:val="Bezproreda"/>
              <w:numPr>
                <w:ilvl w:val="0"/>
                <w:numId w:val="5"/>
              </w:numPr>
              <w:rPr>
                <w:rFonts w:ascii="Cambria" w:hAnsi="Cambria" w:cs="Calibri"/>
              </w:rPr>
            </w:pPr>
            <w:r w:rsidRPr="00B24B36">
              <w:rPr>
                <w:rFonts w:ascii="Cambria" w:hAnsi="Cambria" w:cs="Calibri"/>
              </w:rPr>
              <w:t xml:space="preserve">prepoznati </w:t>
            </w:r>
            <w:r w:rsidRPr="00B24B36">
              <w:rPr>
                <w:rFonts w:ascii="Cambria" w:hAnsi="Cambria"/>
              </w:rPr>
              <w:t>bitne osobine filozofskog pristupa znanju i zbiljnosti kako bi razvili kritičko mišljenje kao bitno sredstvo odgojno-obrazovnog posredovanja</w:t>
            </w:r>
          </w:p>
          <w:p w14:paraId="308DCDD9" w14:textId="77777777" w:rsidR="001F51C2" w:rsidRPr="00B24B36" w:rsidRDefault="001F51C2" w:rsidP="00B24B36">
            <w:pPr>
              <w:pStyle w:val="Bezproreda"/>
              <w:numPr>
                <w:ilvl w:val="0"/>
                <w:numId w:val="5"/>
              </w:numPr>
              <w:rPr>
                <w:rFonts w:ascii="Cambria" w:hAnsi="Cambria" w:cs="Calibri"/>
              </w:rPr>
            </w:pPr>
            <w:r w:rsidRPr="00B24B36">
              <w:rPr>
                <w:rFonts w:ascii="Cambria" w:hAnsi="Cambria"/>
              </w:rPr>
              <w:t xml:space="preserve">interpretirati znanstveno znanje i edukacijske tehnologije iz kritičko-filozofske perspektive, a osobito s obzirom na društveno-povijesnu uvjetovanost odgojno-obrazovnih znanosti </w:t>
            </w:r>
          </w:p>
          <w:p w14:paraId="4B1EC04B" w14:textId="77777777" w:rsidR="001F51C2" w:rsidRPr="00B24B36" w:rsidRDefault="001F51C2" w:rsidP="00B24B36">
            <w:pPr>
              <w:pStyle w:val="Bezproreda"/>
              <w:numPr>
                <w:ilvl w:val="0"/>
                <w:numId w:val="5"/>
              </w:numPr>
              <w:rPr>
                <w:rFonts w:ascii="Cambria" w:hAnsi="Cambria" w:cs="Calibri"/>
              </w:rPr>
            </w:pPr>
            <w:r w:rsidRPr="00B24B36">
              <w:rPr>
                <w:rFonts w:ascii="Cambria" w:hAnsi="Cambria"/>
              </w:rPr>
              <w:t>vrednovati argumentiranu diskusiju i dijalog kao osnovno oruđe filozofskog promišljanja odgojno-obrazovne problematike i njene povijesnosti</w:t>
            </w:r>
          </w:p>
        </w:tc>
      </w:tr>
      <w:tr w:rsidR="001F51C2" w:rsidRPr="00D0399C" w14:paraId="78D85A13" w14:textId="77777777" w:rsidTr="00891E8C">
        <w:tc>
          <w:tcPr>
            <w:tcW w:w="2400"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75C8D108" w14:textId="77777777" w:rsidR="001F51C2" w:rsidRPr="00B24B36" w:rsidRDefault="001F51C2" w:rsidP="00B24B36">
            <w:pPr>
              <w:pStyle w:val="Bezproreda"/>
              <w:rPr>
                <w:rFonts w:ascii="Cambria" w:hAnsi="Cambria" w:cs="Calibri"/>
              </w:rPr>
            </w:pPr>
            <w:r w:rsidRPr="00B24B36">
              <w:rPr>
                <w:rFonts w:ascii="Cambria" w:hAnsi="Cambria" w:cs="Calibri"/>
              </w:rPr>
              <w:t>Sadržaj kolegija</w:t>
            </w:r>
          </w:p>
        </w:tc>
        <w:tc>
          <w:tcPr>
            <w:tcW w:w="6652"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40812C6" w14:textId="77777777" w:rsidR="001F51C2" w:rsidRPr="00B24B36" w:rsidRDefault="001F51C2" w:rsidP="00B24B36">
            <w:pPr>
              <w:pStyle w:val="Bezproreda"/>
              <w:numPr>
                <w:ilvl w:val="0"/>
                <w:numId w:val="6"/>
              </w:numPr>
              <w:rPr>
                <w:rFonts w:ascii="Cambria" w:hAnsi="Cambria" w:cs="Calibri"/>
              </w:rPr>
            </w:pPr>
            <w:r w:rsidRPr="00B24B36">
              <w:rPr>
                <w:rFonts w:ascii="Cambria" w:hAnsi="Cambria" w:cs="Calibri"/>
              </w:rPr>
              <w:t xml:space="preserve">Uvod </w:t>
            </w:r>
            <w:r w:rsidRPr="00B24B36">
              <w:rPr>
                <w:rFonts w:ascii="Cambria" w:hAnsi="Cambria"/>
              </w:rPr>
              <w:t>u filozofiju: pojam filozofije, izvori filozofiranja, osnovni filozofijski problemi i pojmovi, mjesto filozofije odgoja u filozofiji. Pokušaj razgraničenja filozofije u odnosu na znanost, religiju i umjetnost (s posebnim obzirom na odnos filozofije odgoja i odgojno-obrazovnih znanosti).</w:t>
            </w:r>
          </w:p>
          <w:p w14:paraId="34C4FAF1" w14:textId="77777777" w:rsidR="001F51C2" w:rsidRPr="00B24B36" w:rsidRDefault="001F51C2" w:rsidP="00B24B36">
            <w:pPr>
              <w:pStyle w:val="Bezproreda"/>
              <w:numPr>
                <w:ilvl w:val="0"/>
                <w:numId w:val="6"/>
              </w:numPr>
              <w:rPr>
                <w:rFonts w:ascii="Cambria" w:hAnsi="Cambria" w:cs="Calibri"/>
              </w:rPr>
            </w:pPr>
            <w:r w:rsidRPr="00B24B36">
              <w:rPr>
                <w:rFonts w:ascii="Cambria" w:hAnsi="Cambria"/>
              </w:rPr>
              <w:t xml:space="preserve">Filozofija odgoja i kritičko mišljenje: dobrobiti i prepreke. Osnove logike za odgoj i obrazovanje u razrednoj nastavi. </w:t>
            </w:r>
            <w:proofErr w:type="spellStart"/>
            <w:r w:rsidRPr="00B24B36">
              <w:rPr>
                <w:rFonts w:ascii="Cambria" w:hAnsi="Cambria"/>
              </w:rPr>
              <w:t>Multidimenzionalno</w:t>
            </w:r>
            <w:proofErr w:type="spellEnd"/>
            <w:r w:rsidRPr="00B24B36">
              <w:rPr>
                <w:rFonts w:ascii="Cambria" w:hAnsi="Cambria"/>
              </w:rPr>
              <w:t xml:space="preserve"> mišljenje u odgoju i obrazovanju:  odnos kritičkog, kreativnog i brižnog mišljenja (M. </w:t>
            </w:r>
            <w:proofErr w:type="spellStart"/>
            <w:r w:rsidRPr="00B24B36">
              <w:rPr>
                <w:rFonts w:ascii="Cambria" w:hAnsi="Cambria"/>
              </w:rPr>
              <w:t>Lipman</w:t>
            </w:r>
            <w:proofErr w:type="spellEnd"/>
            <w:r w:rsidRPr="00B24B36">
              <w:rPr>
                <w:rFonts w:ascii="Cambria" w:hAnsi="Cambria"/>
              </w:rPr>
              <w:t>). Filozofija djetinjstva i filozofija s djecom: etičko obrazovanje u razrednoj nastavi. Filozofija odgoja i dječja kreativnost.</w:t>
            </w:r>
          </w:p>
          <w:p w14:paraId="03DBAE32" w14:textId="77777777" w:rsidR="001F51C2" w:rsidRPr="00B24B36" w:rsidRDefault="001F51C2" w:rsidP="00B24B36">
            <w:pPr>
              <w:pStyle w:val="Bezproreda"/>
              <w:numPr>
                <w:ilvl w:val="0"/>
                <w:numId w:val="6"/>
              </w:numPr>
              <w:rPr>
                <w:rFonts w:ascii="Cambria" w:hAnsi="Cambria" w:cs="Calibri"/>
              </w:rPr>
            </w:pPr>
            <w:r w:rsidRPr="00B24B36">
              <w:rPr>
                <w:rFonts w:ascii="Cambria" w:hAnsi="Cambria"/>
              </w:rPr>
              <w:t xml:space="preserve">Pojmovno određenje i odnos odgoja i obrazovanja. Filozofska dimenzija odgojne prakse i odgojna dimenzija filozofije. Ideologijska </w:t>
            </w:r>
            <w:proofErr w:type="spellStart"/>
            <w:r w:rsidRPr="00B24B36">
              <w:rPr>
                <w:rFonts w:ascii="Cambria" w:hAnsi="Cambria"/>
              </w:rPr>
              <w:t>instrumentalizacija</w:t>
            </w:r>
            <w:proofErr w:type="spellEnd"/>
            <w:r w:rsidRPr="00B24B36">
              <w:rPr>
                <w:rFonts w:ascii="Cambria" w:hAnsi="Cambria"/>
              </w:rPr>
              <w:t xml:space="preserve"> odgoja kao manipulacija i indoktrinacija. Povijesnost odgoja i filozofije.</w:t>
            </w:r>
          </w:p>
          <w:p w14:paraId="1DB661F3" w14:textId="77777777" w:rsidR="001F51C2" w:rsidRPr="00B24B36" w:rsidRDefault="001F51C2" w:rsidP="00B24B36">
            <w:pPr>
              <w:pStyle w:val="Bezproreda"/>
              <w:numPr>
                <w:ilvl w:val="0"/>
                <w:numId w:val="6"/>
              </w:numPr>
              <w:rPr>
                <w:rFonts w:ascii="Cambria" w:hAnsi="Cambria" w:cs="Calibri"/>
              </w:rPr>
            </w:pPr>
            <w:r w:rsidRPr="00B24B36">
              <w:rPr>
                <w:rFonts w:ascii="Cambria" w:hAnsi="Cambria"/>
              </w:rPr>
              <w:lastRenderedPageBreak/>
              <w:t xml:space="preserve">Sokratova metoda kao povijesno utemeljenje kritičkog mišljenja i doprinos odgoju i obrazovanju u razrednoj nastavi. Platonova i Aristotelova filozofija odgoja. Filozofija odgoja u doba moderniteta (J.-J. Rousseau, F. Nietzsche, J. Dewey, P. </w:t>
            </w:r>
            <w:proofErr w:type="spellStart"/>
            <w:r w:rsidRPr="00B24B36">
              <w:rPr>
                <w:rFonts w:ascii="Cambria" w:hAnsi="Cambria"/>
              </w:rPr>
              <w:t>Freire</w:t>
            </w:r>
            <w:proofErr w:type="spellEnd"/>
            <w:r w:rsidRPr="00B24B36">
              <w:rPr>
                <w:rFonts w:ascii="Cambria" w:hAnsi="Cambria"/>
              </w:rPr>
              <w:t>) i njezin utjecaj na temeljne odgojno-obrazovne teorije.</w:t>
            </w:r>
          </w:p>
        </w:tc>
      </w:tr>
      <w:tr w:rsidR="001F51C2" w:rsidRPr="00B24B36" w14:paraId="2512BEA6" w14:textId="77777777" w:rsidTr="00891E8C">
        <w:tc>
          <w:tcPr>
            <w:tcW w:w="2400"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hideMark/>
          </w:tcPr>
          <w:p w14:paraId="1F0490F4" w14:textId="77777777" w:rsidR="001F51C2" w:rsidRPr="00B24B36" w:rsidRDefault="001F51C2" w:rsidP="00B24B36">
            <w:pPr>
              <w:pStyle w:val="Bezproreda"/>
              <w:rPr>
                <w:rFonts w:ascii="Cambria" w:hAnsi="Cambria" w:cs="Calibri"/>
              </w:rPr>
            </w:pPr>
            <w:r w:rsidRPr="00B24B36">
              <w:rPr>
                <w:rFonts w:ascii="Cambria" w:hAnsi="Cambria" w:cs="Calibri"/>
              </w:rPr>
              <w:lastRenderedPageBreak/>
              <w:t>Planirane aktivnosti</w:t>
            </w:r>
            <w:r w:rsidRPr="00B24B36">
              <w:rPr>
                <w:rFonts w:ascii="Cambria" w:hAnsi="Cambria" w:cs="Calibri"/>
                <w:lang w:val="it-IT"/>
              </w:rPr>
              <w:t>,</w:t>
            </w:r>
          </w:p>
          <w:p w14:paraId="0D399279" w14:textId="77777777" w:rsidR="001F51C2" w:rsidRPr="00B24B36" w:rsidRDefault="001F51C2" w:rsidP="00B24B36">
            <w:pPr>
              <w:pStyle w:val="Bezproreda"/>
              <w:rPr>
                <w:rFonts w:ascii="Cambria" w:hAnsi="Cambria" w:cs="Calibri"/>
              </w:rPr>
            </w:pPr>
            <w:proofErr w:type="spellStart"/>
            <w:r w:rsidRPr="00B24B36">
              <w:rPr>
                <w:rFonts w:ascii="Cambria" w:hAnsi="Cambria" w:cs="Calibri"/>
                <w:lang w:val="it-IT"/>
              </w:rPr>
              <w:t>metode</w:t>
            </w:r>
            <w:proofErr w:type="spellEnd"/>
            <w:r w:rsidRPr="00B24B36">
              <w:rPr>
                <w:rFonts w:ascii="Cambria" w:hAnsi="Cambria" w:cs="Calibri"/>
                <w:lang w:val="it-IT"/>
              </w:rPr>
              <w:t xml:space="preserve"> </w:t>
            </w:r>
            <w:r w:rsidRPr="00B24B36">
              <w:rPr>
                <w:rFonts w:ascii="Cambria" w:hAnsi="Cambria" w:cs="Calibri"/>
              </w:rPr>
              <w:t>učenja i poučavanja i načini vrednovanja</w:t>
            </w:r>
          </w:p>
          <w:p w14:paraId="74B4D76A" w14:textId="77777777" w:rsidR="001F51C2" w:rsidRPr="00B24B36" w:rsidRDefault="001F51C2" w:rsidP="00B24B36">
            <w:pPr>
              <w:pStyle w:val="Bezproreda"/>
              <w:rPr>
                <w:rFonts w:ascii="Cambria" w:hAnsi="Cambria" w:cs="Calibri"/>
              </w:rPr>
            </w:pPr>
          </w:p>
        </w:tc>
        <w:tc>
          <w:tcPr>
            <w:tcW w:w="263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8B8E4D5" w14:textId="77777777" w:rsidR="001F51C2" w:rsidRPr="00B24B36" w:rsidRDefault="001F51C2" w:rsidP="00B24B36">
            <w:pPr>
              <w:pStyle w:val="Bezproreda"/>
              <w:rPr>
                <w:rFonts w:ascii="Cambria" w:hAnsi="Cambria" w:cs="Calibri"/>
              </w:rPr>
            </w:pPr>
            <w:r w:rsidRPr="00B24B36">
              <w:rPr>
                <w:rFonts w:ascii="Cambria" w:hAnsi="Cambria" w:cs="Calibri"/>
              </w:rPr>
              <w:t>Obveze</w:t>
            </w:r>
          </w:p>
          <w:p w14:paraId="482FABCD" w14:textId="77777777" w:rsidR="001F51C2" w:rsidRPr="00B24B36" w:rsidRDefault="001F51C2" w:rsidP="00B24B36">
            <w:pPr>
              <w:pStyle w:val="Bezproreda"/>
              <w:rPr>
                <w:rFonts w:ascii="Cambria" w:hAnsi="Cambria" w:cs="Calibri"/>
              </w:rPr>
            </w:pPr>
          </w:p>
        </w:tc>
        <w:tc>
          <w:tcPr>
            <w:tcW w:w="1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7DEAAF1" w14:textId="77777777" w:rsidR="001F51C2" w:rsidRPr="00B24B36" w:rsidRDefault="001F51C2" w:rsidP="00B24B36">
            <w:pPr>
              <w:pStyle w:val="Bezproreda"/>
              <w:rPr>
                <w:rFonts w:ascii="Cambria" w:hAnsi="Cambria" w:cs="Calibri"/>
              </w:rPr>
            </w:pPr>
            <w:r w:rsidRPr="00B24B36">
              <w:rPr>
                <w:rFonts w:ascii="Cambria" w:hAnsi="Cambria" w:cs="Calibri"/>
              </w:rPr>
              <w:t>Ishodi</w:t>
            </w:r>
          </w:p>
        </w:tc>
        <w:tc>
          <w:tcPr>
            <w:tcW w:w="69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450C6BA" w14:textId="77777777" w:rsidR="001F51C2" w:rsidRPr="00B24B36" w:rsidRDefault="001F51C2" w:rsidP="00B24B36">
            <w:pPr>
              <w:pStyle w:val="Bezproreda"/>
              <w:rPr>
                <w:rFonts w:ascii="Cambria" w:hAnsi="Cambria" w:cs="Calibri"/>
              </w:rPr>
            </w:pPr>
            <w:r w:rsidRPr="00B24B36">
              <w:rPr>
                <w:rFonts w:ascii="Cambria" w:hAnsi="Cambria" w:cs="Calibri"/>
              </w:rPr>
              <w:t>Sati</w:t>
            </w:r>
          </w:p>
        </w:tc>
        <w:tc>
          <w:tcPr>
            <w:tcW w:w="85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9E4ABFC" w14:textId="77777777" w:rsidR="001F51C2" w:rsidRPr="00B24B36" w:rsidRDefault="001F51C2" w:rsidP="00B24B36">
            <w:pPr>
              <w:pStyle w:val="Bezproreda"/>
              <w:rPr>
                <w:rFonts w:ascii="Cambria" w:hAnsi="Cambria" w:cs="Calibri"/>
              </w:rPr>
            </w:pPr>
            <w:r w:rsidRPr="00B24B36">
              <w:rPr>
                <w:rFonts w:ascii="Cambria" w:hAnsi="Cambria" w:cs="Calibri"/>
              </w:rPr>
              <w:t>ECTS</w:t>
            </w:r>
          </w:p>
        </w:tc>
        <w:tc>
          <w:tcPr>
            <w:tcW w:w="14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4A690EE" w14:textId="77777777" w:rsidR="001F51C2" w:rsidRPr="00B24B36" w:rsidRDefault="001F51C2" w:rsidP="00B24B36">
            <w:pPr>
              <w:pStyle w:val="Bezproreda"/>
              <w:rPr>
                <w:rFonts w:ascii="Cambria" w:hAnsi="Cambria" w:cs="Calibri"/>
              </w:rPr>
            </w:pPr>
            <w:r w:rsidRPr="00B24B36">
              <w:rPr>
                <w:rFonts w:ascii="Cambria" w:hAnsi="Cambria" w:cs="Calibri"/>
              </w:rPr>
              <w:t>Maksimalni udio u ocjeni</w:t>
            </w:r>
            <w:r w:rsidRPr="00B24B36">
              <w:rPr>
                <w:rFonts w:ascii="Cambria" w:hAnsi="Cambria" w:cs="Calibri"/>
                <w:lang w:val="en-US"/>
              </w:rPr>
              <w:t xml:space="preserve"> (%)</w:t>
            </w:r>
          </w:p>
        </w:tc>
      </w:tr>
      <w:tr w:rsidR="001F51C2" w:rsidRPr="00B24B36" w14:paraId="72CD23F1" w14:textId="77777777" w:rsidTr="00891E8C">
        <w:tc>
          <w:tcPr>
            <w:tcW w:w="2400" w:type="dxa"/>
            <w:vMerge/>
            <w:tcBorders>
              <w:left w:val="single" w:sz="8" w:space="0" w:color="000000"/>
              <w:right w:val="single" w:sz="8" w:space="0" w:color="000000"/>
            </w:tcBorders>
            <w:vAlign w:val="center"/>
            <w:hideMark/>
          </w:tcPr>
          <w:p w14:paraId="5B28A505" w14:textId="77777777" w:rsidR="001F51C2" w:rsidRPr="00B24B36" w:rsidRDefault="001F51C2" w:rsidP="00B24B36">
            <w:pPr>
              <w:pStyle w:val="Bezproreda"/>
              <w:rPr>
                <w:rFonts w:ascii="Cambria" w:hAnsi="Cambria" w:cs="Calibri"/>
              </w:rPr>
            </w:pPr>
          </w:p>
        </w:tc>
        <w:tc>
          <w:tcPr>
            <w:tcW w:w="263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14F8BEE" w14:textId="77777777" w:rsidR="001F51C2" w:rsidRPr="00B24B36" w:rsidRDefault="001F51C2" w:rsidP="00B24B36">
            <w:pPr>
              <w:spacing w:after="0" w:line="240" w:lineRule="auto"/>
              <w:rPr>
                <w:rFonts w:ascii="Cambria" w:eastAsia="Calibri" w:hAnsi="Cambria" w:cs="Calibri"/>
                <w:lang w:val="it-IT"/>
              </w:rPr>
            </w:pPr>
            <w:proofErr w:type="spellStart"/>
            <w:r w:rsidRPr="00B24B36">
              <w:rPr>
                <w:rFonts w:ascii="Cambria" w:eastAsia="Calibri" w:hAnsi="Cambria" w:cs="Calibri"/>
                <w:lang w:val="it-IT"/>
              </w:rPr>
              <w:t>aktivnost</w:t>
            </w:r>
            <w:proofErr w:type="spellEnd"/>
            <w:r w:rsidRPr="00B24B36">
              <w:rPr>
                <w:rFonts w:ascii="Cambria" w:eastAsia="Calibri" w:hAnsi="Cambria" w:cs="Calibri"/>
                <w:lang w:val="it-IT"/>
              </w:rPr>
              <w:t xml:space="preserve"> </w:t>
            </w:r>
            <w:proofErr w:type="spellStart"/>
            <w:r w:rsidRPr="00B24B36">
              <w:rPr>
                <w:rFonts w:ascii="Cambria" w:eastAsia="Calibri" w:hAnsi="Cambria" w:cs="Calibri"/>
                <w:lang w:val="it-IT"/>
              </w:rPr>
              <w:t>na</w:t>
            </w:r>
            <w:proofErr w:type="spellEnd"/>
            <w:r w:rsidRPr="00B24B36">
              <w:rPr>
                <w:rFonts w:ascii="Cambria" w:eastAsia="Calibri" w:hAnsi="Cambria" w:cs="Calibri"/>
                <w:lang w:val="it-IT"/>
              </w:rPr>
              <w:t xml:space="preserve"> </w:t>
            </w:r>
            <w:proofErr w:type="spellStart"/>
            <w:r w:rsidRPr="00B24B36">
              <w:rPr>
                <w:rFonts w:ascii="Cambria" w:eastAsia="Calibri" w:hAnsi="Cambria" w:cs="Calibri"/>
                <w:lang w:val="it-IT"/>
              </w:rPr>
              <w:t>nastavi</w:t>
            </w:r>
            <w:proofErr w:type="spellEnd"/>
            <w:r w:rsidRPr="00B24B36">
              <w:rPr>
                <w:rFonts w:ascii="Cambria" w:eastAsia="Calibri" w:hAnsi="Cambria" w:cs="Calibri"/>
                <w:lang w:val="it-IT"/>
              </w:rPr>
              <w:t xml:space="preserve"> P, S </w:t>
            </w:r>
          </w:p>
        </w:tc>
        <w:tc>
          <w:tcPr>
            <w:tcW w:w="1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3B7FE82" w14:textId="4229C1FB" w:rsidR="001F51C2" w:rsidRPr="00B24B36" w:rsidRDefault="001F51C2" w:rsidP="00B24B36">
            <w:pPr>
              <w:spacing w:after="0" w:line="240" w:lineRule="auto"/>
              <w:rPr>
                <w:rFonts w:ascii="Cambria" w:eastAsia="Calibri" w:hAnsi="Cambria" w:cs="Calibri"/>
              </w:rPr>
            </w:pPr>
            <w:r w:rsidRPr="00B24B36">
              <w:rPr>
                <w:rFonts w:ascii="Cambria" w:eastAsia="Calibri" w:hAnsi="Cambria" w:cs="Calibri"/>
              </w:rPr>
              <w:t xml:space="preserve">1. </w:t>
            </w:r>
            <w:r w:rsidR="00B2232B">
              <w:rPr>
                <w:rFonts w:ascii="Cambria" w:eastAsia="Calibri" w:hAnsi="Cambria" w:cs="Calibri"/>
              </w:rPr>
              <w:t>–</w:t>
            </w:r>
            <w:r w:rsidRPr="00B24B36">
              <w:rPr>
                <w:rFonts w:ascii="Cambria" w:eastAsia="Calibri" w:hAnsi="Cambria" w:cs="Calibri"/>
              </w:rPr>
              <w:t xml:space="preserve"> 4. </w:t>
            </w:r>
          </w:p>
        </w:tc>
        <w:tc>
          <w:tcPr>
            <w:tcW w:w="69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4AB7AEB" w14:textId="2A3948FC" w:rsidR="001F51C2" w:rsidRPr="00B24B36" w:rsidRDefault="00B2232B" w:rsidP="00B24B36">
            <w:pPr>
              <w:spacing w:after="0" w:line="240" w:lineRule="auto"/>
              <w:rPr>
                <w:rFonts w:ascii="Cambria" w:eastAsia="Calibri" w:hAnsi="Cambria" w:cs="Calibri"/>
              </w:rPr>
            </w:pPr>
            <w:r w:rsidRPr="00B2232B">
              <w:rPr>
                <w:rFonts w:ascii="Cambria" w:eastAsia="Calibri" w:hAnsi="Cambria" w:cs="Calibri"/>
              </w:rPr>
              <w:t>45</w:t>
            </w:r>
          </w:p>
        </w:tc>
        <w:tc>
          <w:tcPr>
            <w:tcW w:w="85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1978455" w14:textId="5708574E" w:rsidR="001F51C2" w:rsidRPr="00B24B36" w:rsidRDefault="00B2232B" w:rsidP="00B24B36">
            <w:pPr>
              <w:spacing w:after="0" w:line="240" w:lineRule="auto"/>
              <w:rPr>
                <w:rFonts w:ascii="Cambria" w:eastAsia="Calibri" w:hAnsi="Cambria" w:cs="Calibri"/>
              </w:rPr>
            </w:pPr>
            <w:r>
              <w:rPr>
                <w:rFonts w:ascii="Cambria" w:eastAsia="Calibri" w:hAnsi="Cambria" w:cs="Calibri"/>
              </w:rPr>
              <w:t>1,5</w:t>
            </w:r>
          </w:p>
        </w:tc>
        <w:tc>
          <w:tcPr>
            <w:tcW w:w="14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CBC6720" w14:textId="16B39F49" w:rsidR="001F51C2" w:rsidRPr="00B24B36" w:rsidRDefault="001F51C2" w:rsidP="00B24B36">
            <w:pPr>
              <w:spacing w:after="0" w:line="240" w:lineRule="auto"/>
              <w:rPr>
                <w:rFonts w:ascii="Cambria" w:eastAsia="Calibri" w:hAnsi="Cambria" w:cs="Calibri"/>
              </w:rPr>
            </w:pPr>
            <w:r w:rsidRPr="00B24B36">
              <w:rPr>
                <w:rFonts w:ascii="Cambria" w:eastAsia="Calibri" w:hAnsi="Cambria" w:cs="Calibri"/>
              </w:rPr>
              <w:t>20%</w:t>
            </w:r>
          </w:p>
        </w:tc>
      </w:tr>
      <w:tr w:rsidR="001F51C2" w:rsidRPr="00B24B36" w14:paraId="2AA80665" w14:textId="77777777" w:rsidTr="00891E8C">
        <w:tc>
          <w:tcPr>
            <w:tcW w:w="2400" w:type="dxa"/>
            <w:vMerge/>
            <w:tcBorders>
              <w:left w:val="single" w:sz="8" w:space="0" w:color="000000"/>
              <w:right w:val="single" w:sz="8" w:space="0" w:color="000000"/>
            </w:tcBorders>
            <w:vAlign w:val="center"/>
            <w:hideMark/>
          </w:tcPr>
          <w:p w14:paraId="42E8D547" w14:textId="77777777" w:rsidR="001F51C2" w:rsidRPr="00B24B36" w:rsidRDefault="001F51C2" w:rsidP="00B24B36">
            <w:pPr>
              <w:pStyle w:val="Bezproreda"/>
              <w:rPr>
                <w:rFonts w:ascii="Cambria" w:hAnsi="Cambria" w:cs="Calibri"/>
              </w:rPr>
            </w:pPr>
          </w:p>
        </w:tc>
        <w:tc>
          <w:tcPr>
            <w:tcW w:w="263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94AE107" w14:textId="77777777" w:rsidR="001F51C2" w:rsidRPr="00B24B36" w:rsidRDefault="001F51C2" w:rsidP="00B24B36">
            <w:pPr>
              <w:spacing w:after="0" w:line="240" w:lineRule="auto"/>
              <w:rPr>
                <w:rFonts w:ascii="Cambria" w:eastAsia="Calibri" w:hAnsi="Cambria" w:cs="Calibri"/>
              </w:rPr>
            </w:pPr>
            <w:proofErr w:type="spellStart"/>
            <w:r w:rsidRPr="00B24B36">
              <w:rPr>
                <w:rFonts w:ascii="Cambria" w:eastAsia="Calibri" w:hAnsi="Cambria" w:cs="Calibri"/>
              </w:rPr>
              <w:t>pismeni</w:t>
            </w:r>
            <w:proofErr w:type="spellEnd"/>
            <w:r w:rsidRPr="00B24B36">
              <w:rPr>
                <w:rFonts w:ascii="Cambria" w:eastAsia="Calibri" w:hAnsi="Cambria" w:cs="Calibri"/>
              </w:rPr>
              <w:t xml:space="preserve"> </w:t>
            </w:r>
            <w:proofErr w:type="spellStart"/>
            <w:r w:rsidRPr="00B24B36">
              <w:rPr>
                <w:rFonts w:ascii="Cambria" w:eastAsia="Calibri" w:hAnsi="Cambria" w:cs="Calibri"/>
              </w:rPr>
              <w:t>radovi</w:t>
            </w:r>
            <w:proofErr w:type="spellEnd"/>
            <w:r w:rsidRPr="00B24B36">
              <w:rPr>
                <w:rFonts w:ascii="Cambria" w:eastAsia="Calibri" w:hAnsi="Cambria" w:cs="Calibri"/>
              </w:rPr>
              <w:t xml:space="preserve"> (</w:t>
            </w:r>
            <w:proofErr w:type="spellStart"/>
            <w:r w:rsidRPr="00B24B36">
              <w:rPr>
                <w:rFonts w:ascii="Cambria" w:eastAsia="Calibri" w:hAnsi="Cambria" w:cs="Calibri"/>
              </w:rPr>
              <w:t>seminarski</w:t>
            </w:r>
            <w:proofErr w:type="spellEnd"/>
            <w:r w:rsidRPr="00B24B36">
              <w:rPr>
                <w:rFonts w:ascii="Cambria" w:eastAsia="Calibri" w:hAnsi="Cambria" w:cs="Calibri"/>
              </w:rPr>
              <w:t>)</w:t>
            </w:r>
          </w:p>
        </w:tc>
        <w:tc>
          <w:tcPr>
            <w:tcW w:w="1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8A7BA63" w14:textId="77777777" w:rsidR="001F51C2" w:rsidRPr="00B24B36" w:rsidRDefault="001F51C2" w:rsidP="00B24B36">
            <w:pPr>
              <w:spacing w:after="0" w:line="240" w:lineRule="auto"/>
              <w:rPr>
                <w:rFonts w:ascii="Cambria" w:eastAsia="Calibri" w:hAnsi="Cambria" w:cs="Calibri"/>
              </w:rPr>
            </w:pPr>
            <w:r w:rsidRPr="00B24B36">
              <w:rPr>
                <w:rFonts w:ascii="Cambria" w:eastAsia="Calibri" w:hAnsi="Cambria" w:cs="Calibri"/>
              </w:rPr>
              <w:t>1., 3., 4.</w:t>
            </w:r>
          </w:p>
        </w:tc>
        <w:tc>
          <w:tcPr>
            <w:tcW w:w="69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5A630B8" w14:textId="30308A21" w:rsidR="001F51C2" w:rsidRPr="00B24B36" w:rsidRDefault="00B2232B" w:rsidP="00B24B36">
            <w:pPr>
              <w:spacing w:after="0" w:line="240" w:lineRule="auto"/>
              <w:rPr>
                <w:rFonts w:ascii="Cambria" w:eastAsia="Calibri" w:hAnsi="Cambria" w:cs="Calibri"/>
              </w:rPr>
            </w:pPr>
            <w:r>
              <w:rPr>
                <w:rFonts w:ascii="Cambria" w:eastAsia="Calibri" w:hAnsi="Cambria" w:cs="Calibri"/>
              </w:rPr>
              <w:t>30</w:t>
            </w:r>
          </w:p>
        </w:tc>
        <w:tc>
          <w:tcPr>
            <w:tcW w:w="85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3A7EAFF" w14:textId="42B3F07C" w:rsidR="001F51C2" w:rsidRPr="00B24B36" w:rsidRDefault="00B2232B" w:rsidP="00B24B36">
            <w:pPr>
              <w:spacing w:after="0" w:line="240" w:lineRule="auto"/>
              <w:rPr>
                <w:rFonts w:ascii="Cambria" w:eastAsia="Calibri" w:hAnsi="Cambria" w:cs="Calibri"/>
              </w:rPr>
            </w:pPr>
            <w:r>
              <w:rPr>
                <w:rFonts w:ascii="Cambria" w:eastAsia="Calibri" w:hAnsi="Cambria" w:cs="Calibri"/>
              </w:rPr>
              <w:t>1</w:t>
            </w:r>
          </w:p>
        </w:tc>
        <w:tc>
          <w:tcPr>
            <w:tcW w:w="14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BEEFE8B" w14:textId="03F27815" w:rsidR="001F51C2" w:rsidRPr="00B24B36" w:rsidRDefault="001F51C2" w:rsidP="00B24B36">
            <w:pPr>
              <w:spacing w:after="0" w:line="240" w:lineRule="auto"/>
              <w:rPr>
                <w:rFonts w:ascii="Cambria" w:eastAsia="Calibri" w:hAnsi="Cambria" w:cs="Calibri"/>
              </w:rPr>
            </w:pPr>
            <w:r w:rsidRPr="00B24B36">
              <w:rPr>
                <w:rFonts w:ascii="Cambria" w:eastAsia="Calibri" w:hAnsi="Cambria" w:cs="Calibri"/>
              </w:rPr>
              <w:t>30%</w:t>
            </w:r>
          </w:p>
        </w:tc>
      </w:tr>
      <w:tr w:rsidR="001F51C2" w:rsidRPr="00B24B36" w14:paraId="48DF8CEE" w14:textId="77777777" w:rsidTr="00891E8C">
        <w:tc>
          <w:tcPr>
            <w:tcW w:w="2400" w:type="dxa"/>
            <w:vMerge/>
            <w:tcBorders>
              <w:left w:val="single" w:sz="8" w:space="0" w:color="000000"/>
              <w:right w:val="single" w:sz="8" w:space="0" w:color="000000"/>
            </w:tcBorders>
            <w:vAlign w:val="center"/>
            <w:hideMark/>
          </w:tcPr>
          <w:p w14:paraId="0B0A19C0" w14:textId="77777777" w:rsidR="001F51C2" w:rsidRPr="00B24B36" w:rsidRDefault="001F51C2" w:rsidP="00B24B36">
            <w:pPr>
              <w:pStyle w:val="Bezproreda"/>
              <w:rPr>
                <w:rFonts w:ascii="Cambria" w:hAnsi="Cambria" w:cs="Calibri"/>
              </w:rPr>
            </w:pPr>
          </w:p>
        </w:tc>
        <w:tc>
          <w:tcPr>
            <w:tcW w:w="263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D8A920D" w14:textId="77777777" w:rsidR="001F51C2" w:rsidRPr="00B24B36" w:rsidRDefault="001F51C2" w:rsidP="00B24B36">
            <w:pPr>
              <w:spacing w:after="0" w:line="240" w:lineRule="auto"/>
              <w:rPr>
                <w:rFonts w:ascii="Cambria" w:eastAsia="Calibri" w:hAnsi="Cambria" w:cs="Calibri"/>
              </w:rPr>
            </w:pPr>
            <w:proofErr w:type="spellStart"/>
            <w:r w:rsidRPr="00B24B36">
              <w:rPr>
                <w:rFonts w:ascii="Cambria" w:eastAsia="Calibri" w:hAnsi="Cambria" w:cs="Calibri"/>
              </w:rPr>
              <w:t>ispit</w:t>
            </w:r>
            <w:proofErr w:type="spellEnd"/>
            <w:r w:rsidRPr="00B24B36">
              <w:rPr>
                <w:rFonts w:ascii="Cambria" w:eastAsia="Calibri" w:hAnsi="Cambria" w:cs="Calibri"/>
              </w:rPr>
              <w:t xml:space="preserve"> (</w:t>
            </w:r>
            <w:proofErr w:type="spellStart"/>
            <w:r w:rsidRPr="00B24B36">
              <w:rPr>
                <w:rFonts w:ascii="Cambria" w:eastAsia="Calibri" w:hAnsi="Cambria" w:cs="Calibri"/>
              </w:rPr>
              <w:t>usmeni</w:t>
            </w:r>
            <w:proofErr w:type="spellEnd"/>
            <w:r w:rsidRPr="00B24B36">
              <w:rPr>
                <w:rFonts w:ascii="Cambria" w:eastAsia="Calibri" w:hAnsi="Cambria" w:cs="Calibri"/>
              </w:rPr>
              <w:t>)</w:t>
            </w:r>
          </w:p>
        </w:tc>
        <w:tc>
          <w:tcPr>
            <w:tcW w:w="1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811B225" w14:textId="4D6DDB09" w:rsidR="001F51C2" w:rsidRPr="00B24B36" w:rsidRDefault="001F51C2" w:rsidP="00B24B36">
            <w:pPr>
              <w:spacing w:after="0" w:line="240" w:lineRule="auto"/>
              <w:rPr>
                <w:rFonts w:ascii="Cambria" w:eastAsia="Calibri" w:hAnsi="Cambria" w:cs="Calibri"/>
              </w:rPr>
            </w:pPr>
            <w:r w:rsidRPr="00B24B36">
              <w:rPr>
                <w:rFonts w:ascii="Cambria" w:eastAsia="Calibri" w:hAnsi="Cambria" w:cs="Calibri"/>
              </w:rPr>
              <w:t xml:space="preserve">1. </w:t>
            </w:r>
            <w:r w:rsidR="00B2232B">
              <w:rPr>
                <w:rFonts w:ascii="Cambria" w:eastAsia="Calibri" w:hAnsi="Cambria" w:cs="Calibri"/>
              </w:rPr>
              <w:t>–</w:t>
            </w:r>
            <w:r w:rsidRPr="00B24B36">
              <w:rPr>
                <w:rFonts w:ascii="Cambria" w:eastAsia="Calibri" w:hAnsi="Cambria" w:cs="Calibri"/>
              </w:rPr>
              <w:t xml:space="preserve"> 4. </w:t>
            </w:r>
          </w:p>
        </w:tc>
        <w:tc>
          <w:tcPr>
            <w:tcW w:w="69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9EC22D7" w14:textId="3C7F3C0B" w:rsidR="001F51C2" w:rsidRPr="00B24B36" w:rsidRDefault="001F51C2" w:rsidP="00B24B36">
            <w:pPr>
              <w:spacing w:after="0" w:line="240" w:lineRule="auto"/>
              <w:rPr>
                <w:rFonts w:ascii="Cambria" w:eastAsia="Calibri" w:hAnsi="Cambria" w:cs="Calibri"/>
              </w:rPr>
            </w:pPr>
            <w:r w:rsidRPr="00B24B36">
              <w:rPr>
                <w:rFonts w:ascii="Cambria" w:eastAsia="Calibri" w:hAnsi="Cambria" w:cs="Calibri"/>
              </w:rPr>
              <w:t>7</w:t>
            </w:r>
            <w:r w:rsidR="00B2232B">
              <w:rPr>
                <w:rFonts w:ascii="Cambria" w:eastAsia="Calibri" w:hAnsi="Cambria" w:cs="Calibri"/>
              </w:rPr>
              <w:t>5</w:t>
            </w:r>
          </w:p>
        </w:tc>
        <w:tc>
          <w:tcPr>
            <w:tcW w:w="85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3014D13" w14:textId="4A9C957B" w:rsidR="001F51C2" w:rsidRPr="00B24B36" w:rsidRDefault="001F51C2" w:rsidP="00B24B36">
            <w:pPr>
              <w:spacing w:after="0" w:line="240" w:lineRule="auto"/>
              <w:rPr>
                <w:rFonts w:ascii="Cambria" w:eastAsia="Calibri" w:hAnsi="Cambria" w:cs="Calibri"/>
              </w:rPr>
            </w:pPr>
            <w:r w:rsidRPr="00B24B36">
              <w:rPr>
                <w:rFonts w:ascii="Cambria" w:eastAsia="Calibri" w:hAnsi="Cambria" w:cs="Calibri"/>
              </w:rPr>
              <w:t>2</w:t>
            </w:r>
            <w:r w:rsidR="00DF4CE5" w:rsidRPr="00B24B36">
              <w:rPr>
                <w:rFonts w:ascii="Cambria" w:eastAsia="Calibri" w:hAnsi="Cambria" w:cs="Calibri"/>
              </w:rPr>
              <w:t>,</w:t>
            </w:r>
            <w:r w:rsidR="00B2232B">
              <w:rPr>
                <w:rFonts w:ascii="Cambria" w:eastAsia="Calibri" w:hAnsi="Cambria" w:cs="Calibri"/>
              </w:rPr>
              <w:t>5</w:t>
            </w:r>
          </w:p>
        </w:tc>
        <w:tc>
          <w:tcPr>
            <w:tcW w:w="14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3F6A9DF" w14:textId="741F731C" w:rsidR="001F51C2" w:rsidRPr="00B24B36" w:rsidRDefault="001F51C2" w:rsidP="00B24B36">
            <w:pPr>
              <w:spacing w:after="0" w:line="240" w:lineRule="auto"/>
              <w:rPr>
                <w:rFonts w:ascii="Cambria" w:eastAsia="Calibri" w:hAnsi="Cambria" w:cs="Calibri"/>
              </w:rPr>
            </w:pPr>
            <w:r w:rsidRPr="00B24B36">
              <w:rPr>
                <w:rFonts w:ascii="Cambria" w:eastAsia="Calibri" w:hAnsi="Cambria" w:cs="Calibri"/>
              </w:rPr>
              <w:t>50%</w:t>
            </w:r>
          </w:p>
        </w:tc>
      </w:tr>
      <w:tr w:rsidR="001F51C2" w:rsidRPr="00B24B36" w14:paraId="0310A5FA" w14:textId="77777777" w:rsidTr="00891E8C">
        <w:tc>
          <w:tcPr>
            <w:tcW w:w="2400" w:type="dxa"/>
            <w:vMerge/>
            <w:tcBorders>
              <w:left w:val="single" w:sz="8" w:space="0" w:color="000000"/>
              <w:right w:val="single" w:sz="8" w:space="0" w:color="000000"/>
            </w:tcBorders>
            <w:vAlign w:val="center"/>
            <w:hideMark/>
          </w:tcPr>
          <w:p w14:paraId="432E53C9" w14:textId="77777777" w:rsidR="001F51C2" w:rsidRPr="00B24B36" w:rsidRDefault="001F51C2" w:rsidP="00B24B36">
            <w:pPr>
              <w:pStyle w:val="Bezproreda"/>
              <w:rPr>
                <w:rFonts w:ascii="Cambria" w:hAnsi="Cambria" w:cs="Calibri"/>
              </w:rPr>
            </w:pPr>
          </w:p>
        </w:tc>
        <w:tc>
          <w:tcPr>
            <w:tcW w:w="263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351313D" w14:textId="3E82189D" w:rsidR="001F51C2" w:rsidRPr="00B24B36" w:rsidRDefault="0098327C" w:rsidP="00B24B36">
            <w:pPr>
              <w:spacing w:after="0" w:line="240" w:lineRule="auto"/>
              <w:rPr>
                <w:rFonts w:ascii="Cambria" w:eastAsia="Calibri" w:hAnsi="Cambria" w:cs="Calibri"/>
              </w:rPr>
            </w:pPr>
            <w:proofErr w:type="spellStart"/>
            <w:r>
              <w:rPr>
                <w:rFonts w:ascii="Cambria" w:eastAsia="Calibri" w:hAnsi="Cambria" w:cs="Calibri"/>
              </w:rPr>
              <w:t>u</w:t>
            </w:r>
            <w:r w:rsidR="001F51C2" w:rsidRPr="00B24B36">
              <w:rPr>
                <w:rFonts w:ascii="Cambria" w:eastAsia="Calibri" w:hAnsi="Cambria" w:cs="Calibri"/>
              </w:rPr>
              <w:t>kupno</w:t>
            </w:r>
            <w:proofErr w:type="spellEnd"/>
          </w:p>
        </w:tc>
        <w:tc>
          <w:tcPr>
            <w:tcW w:w="1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CDAEE97" w14:textId="77777777" w:rsidR="001F51C2" w:rsidRPr="00B24B36" w:rsidRDefault="001F51C2" w:rsidP="00B24B36">
            <w:pPr>
              <w:spacing w:after="0" w:line="240" w:lineRule="auto"/>
              <w:rPr>
                <w:rFonts w:ascii="Cambria" w:eastAsia="Calibri" w:hAnsi="Cambria" w:cs="Calibri"/>
              </w:rPr>
            </w:pPr>
          </w:p>
        </w:tc>
        <w:tc>
          <w:tcPr>
            <w:tcW w:w="69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5FFF33E" w14:textId="77777777" w:rsidR="001F51C2" w:rsidRPr="00B24B36" w:rsidRDefault="001F51C2" w:rsidP="00B24B36">
            <w:pPr>
              <w:spacing w:after="0" w:line="240" w:lineRule="auto"/>
              <w:rPr>
                <w:rFonts w:ascii="Cambria" w:eastAsia="Calibri" w:hAnsi="Cambria" w:cs="Calibri"/>
              </w:rPr>
            </w:pPr>
            <w:r w:rsidRPr="00B24B36">
              <w:rPr>
                <w:rFonts w:ascii="Cambria" w:eastAsia="Calibri" w:hAnsi="Cambria" w:cs="Calibri"/>
              </w:rPr>
              <w:t>150</w:t>
            </w:r>
          </w:p>
        </w:tc>
        <w:tc>
          <w:tcPr>
            <w:tcW w:w="85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72369F1" w14:textId="77777777" w:rsidR="001F51C2" w:rsidRPr="00B24B36" w:rsidRDefault="001F51C2" w:rsidP="00B24B36">
            <w:pPr>
              <w:spacing w:after="0" w:line="240" w:lineRule="auto"/>
              <w:rPr>
                <w:rFonts w:ascii="Cambria" w:eastAsia="Calibri" w:hAnsi="Cambria" w:cs="Calibri"/>
              </w:rPr>
            </w:pPr>
            <w:r w:rsidRPr="00B24B36">
              <w:rPr>
                <w:rFonts w:ascii="Cambria" w:eastAsia="Calibri" w:hAnsi="Cambria" w:cs="Calibri"/>
              </w:rPr>
              <w:t>5</w:t>
            </w:r>
          </w:p>
        </w:tc>
        <w:tc>
          <w:tcPr>
            <w:tcW w:w="14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4A402EA" w14:textId="6F28FD28" w:rsidR="001F51C2" w:rsidRPr="00B24B36" w:rsidRDefault="001F51C2" w:rsidP="00B24B36">
            <w:pPr>
              <w:pStyle w:val="Bezproreda"/>
              <w:rPr>
                <w:rFonts w:ascii="Cambria" w:hAnsi="Cambria" w:cs="Calibri"/>
              </w:rPr>
            </w:pPr>
            <w:r w:rsidRPr="00B24B36">
              <w:rPr>
                <w:rFonts w:ascii="Cambria" w:hAnsi="Cambria" w:cs="Calibri"/>
              </w:rPr>
              <w:t>100%</w:t>
            </w:r>
          </w:p>
        </w:tc>
      </w:tr>
      <w:tr w:rsidR="001F51C2" w:rsidRPr="00D0399C" w14:paraId="359C72BF" w14:textId="77777777" w:rsidTr="00891E8C">
        <w:tc>
          <w:tcPr>
            <w:tcW w:w="2400" w:type="dxa"/>
            <w:vMerge/>
            <w:tcBorders>
              <w:left w:val="single" w:sz="8" w:space="0" w:color="000000"/>
              <w:bottom w:val="single" w:sz="8" w:space="0" w:color="000000"/>
              <w:right w:val="single" w:sz="8" w:space="0" w:color="000000"/>
            </w:tcBorders>
            <w:vAlign w:val="center"/>
          </w:tcPr>
          <w:p w14:paraId="30BC0891" w14:textId="77777777" w:rsidR="001F51C2" w:rsidRPr="00B24B36" w:rsidRDefault="001F51C2" w:rsidP="00B24B36">
            <w:pPr>
              <w:pStyle w:val="Bezproreda"/>
              <w:rPr>
                <w:rFonts w:ascii="Cambria" w:hAnsi="Cambria" w:cs="Calibri"/>
              </w:rPr>
            </w:pPr>
          </w:p>
        </w:tc>
        <w:tc>
          <w:tcPr>
            <w:tcW w:w="6652"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29DC5E3" w14:textId="323EE415" w:rsidR="001F51C2" w:rsidRPr="00B24B36" w:rsidRDefault="001F51C2" w:rsidP="00B24B36">
            <w:pPr>
              <w:pStyle w:val="Bezproreda"/>
              <w:rPr>
                <w:rFonts w:ascii="Cambria" w:hAnsi="Cambria" w:cs="Calibri"/>
                <w:bCs/>
              </w:rPr>
            </w:pPr>
            <w:r w:rsidRPr="00B24B36">
              <w:rPr>
                <w:rFonts w:ascii="Cambria" w:hAnsi="Cambria" w:cs="Calibri"/>
                <w:bCs/>
              </w:rPr>
              <w:t>Dodatna pojašnjenja (kriteriji ocjenjivanja):</w:t>
            </w:r>
          </w:p>
          <w:p w14:paraId="19BD49B1" w14:textId="1284E4D0" w:rsidR="001F51C2" w:rsidRPr="00B24B36" w:rsidRDefault="001F51C2" w:rsidP="00B24B36">
            <w:pPr>
              <w:spacing w:after="0" w:line="240" w:lineRule="auto"/>
              <w:jc w:val="both"/>
              <w:rPr>
                <w:rFonts w:ascii="Cambria" w:hAnsi="Cambria"/>
                <w:kern w:val="2"/>
                <w:lang w:val="it-IT"/>
                <w14:ligatures w14:val="standardContextual"/>
              </w:rPr>
            </w:pPr>
            <w:r w:rsidRPr="00B24B36">
              <w:rPr>
                <w:rFonts w:ascii="Cambria" w:hAnsi="Cambria"/>
                <w:kern w:val="2"/>
                <w:lang w:val="it-IT"/>
                <w14:ligatures w14:val="standardContextual"/>
              </w:rPr>
              <w:t xml:space="preserve">Studenti / </w:t>
            </w:r>
            <w:proofErr w:type="spellStart"/>
            <w:r w:rsidRPr="00B24B36">
              <w:rPr>
                <w:rFonts w:ascii="Cambria" w:hAnsi="Cambria"/>
                <w:kern w:val="2"/>
                <w:lang w:val="it-IT"/>
                <w14:ligatures w14:val="standardContextual"/>
              </w:rPr>
              <w:t>studentice</w:t>
            </w:r>
            <w:proofErr w:type="spellEnd"/>
            <w:r w:rsidRPr="00B24B36">
              <w:rPr>
                <w:rFonts w:ascii="Cambria" w:hAnsi="Cambria"/>
                <w:kern w:val="2"/>
                <w:lang w:val="it-IT"/>
                <w14:ligatures w14:val="standardContextual"/>
              </w:rPr>
              <w:t xml:space="preserve"> </w:t>
            </w:r>
            <w:proofErr w:type="spellStart"/>
            <w:r w:rsidRPr="00B24B36">
              <w:rPr>
                <w:rFonts w:ascii="Cambria" w:hAnsi="Cambria"/>
                <w:kern w:val="2"/>
                <w:lang w:val="it-IT"/>
                <w14:ligatures w14:val="standardContextual"/>
              </w:rPr>
              <w:t>dužni</w:t>
            </w:r>
            <w:proofErr w:type="spellEnd"/>
            <w:r w:rsidRPr="00B24B36">
              <w:rPr>
                <w:rFonts w:ascii="Cambria" w:hAnsi="Cambria"/>
                <w:kern w:val="2"/>
                <w:lang w:val="it-IT"/>
                <w14:ligatures w14:val="standardContextual"/>
              </w:rPr>
              <w:t xml:space="preserve"> su </w:t>
            </w:r>
            <w:proofErr w:type="spellStart"/>
            <w:r w:rsidRPr="00B24B36">
              <w:rPr>
                <w:rFonts w:ascii="Cambria" w:hAnsi="Cambria"/>
                <w:kern w:val="2"/>
                <w:lang w:val="it-IT"/>
                <w14:ligatures w14:val="standardContextual"/>
              </w:rPr>
              <w:t>prisustvovati</w:t>
            </w:r>
            <w:proofErr w:type="spellEnd"/>
            <w:r w:rsidRPr="00B24B36">
              <w:rPr>
                <w:rFonts w:ascii="Cambria" w:hAnsi="Cambria"/>
                <w:kern w:val="2"/>
                <w:lang w:val="it-IT"/>
                <w14:ligatures w14:val="standardContextual"/>
              </w:rPr>
              <w:t xml:space="preserve"> </w:t>
            </w:r>
            <w:proofErr w:type="spellStart"/>
            <w:r w:rsidRPr="00B24B36">
              <w:rPr>
                <w:rFonts w:ascii="Cambria" w:hAnsi="Cambria"/>
                <w:kern w:val="2"/>
                <w:lang w:val="it-IT"/>
                <w14:ligatures w14:val="standardContextual"/>
              </w:rPr>
              <w:t>na</w:t>
            </w:r>
            <w:proofErr w:type="spellEnd"/>
            <w:r w:rsidRPr="00B24B36">
              <w:rPr>
                <w:rFonts w:ascii="Cambria" w:hAnsi="Cambria"/>
                <w:kern w:val="2"/>
                <w:lang w:val="it-IT"/>
                <w14:ligatures w14:val="standardContextual"/>
              </w:rPr>
              <w:t xml:space="preserve"> </w:t>
            </w:r>
            <w:proofErr w:type="spellStart"/>
            <w:r w:rsidRPr="00B24B36">
              <w:rPr>
                <w:rFonts w:ascii="Cambria" w:hAnsi="Cambria"/>
                <w:kern w:val="2"/>
                <w:lang w:val="it-IT"/>
                <w14:ligatures w14:val="standardContextual"/>
              </w:rPr>
              <w:t>najmanje</w:t>
            </w:r>
            <w:proofErr w:type="spellEnd"/>
            <w:r w:rsidRPr="00B24B36">
              <w:rPr>
                <w:rFonts w:ascii="Cambria" w:hAnsi="Cambria"/>
                <w:kern w:val="2"/>
                <w:lang w:val="it-IT"/>
                <w14:ligatures w14:val="standardContextual"/>
              </w:rPr>
              <w:t xml:space="preserve"> 70% </w:t>
            </w:r>
            <w:proofErr w:type="spellStart"/>
            <w:r w:rsidRPr="00B24B36">
              <w:rPr>
                <w:rFonts w:ascii="Cambria" w:hAnsi="Cambria"/>
                <w:kern w:val="2"/>
                <w:lang w:val="it-IT"/>
                <w14:ligatures w14:val="standardContextual"/>
              </w:rPr>
              <w:t>nastave</w:t>
            </w:r>
            <w:proofErr w:type="spellEnd"/>
            <w:r w:rsidRPr="00B24B36">
              <w:rPr>
                <w:rFonts w:ascii="Cambria" w:hAnsi="Cambria"/>
                <w:kern w:val="2"/>
                <w:lang w:val="it-IT"/>
                <w14:ligatures w14:val="standardContextual"/>
              </w:rPr>
              <w:t xml:space="preserve">. </w:t>
            </w:r>
            <w:proofErr w:type="spellStart"/>
            <w:r w:rsidRPr="00B24B36">
              <w:rPr>
                <w:rFonts w:ascii="Cambria" w:hAnsi="Cambria"/>
                <w:kern w:val="2"/>
                <w:lang w:val="it-IT"/>
                <w14:ligatures w14:val="standardContextual"/>
              </w:rPr>
              <w:t>Očekuje</w:t>
            </w:r>
            <w:proofErr w:type="spellEnd"/>
            <w:r w:rsidRPr="00B24B36">
              <w:rPr>
                <w:rFonts w:ascii="Cambria" w:hAnsi="Cambria"/>
                <w:kern w:val="2"/>
                <w:lang w:val="it-IT"/>
                <w14:ligatures w14:val="standardContextual"/>
              </w:rPr>
              <w:t xml:space="preserve"> se </w:t>
            </w:r>
            <w:proofErr w:type="spellStart"/>
            <w:r w:rsidRPr="00B24B36">
              <w:rPr>
                <w:rFonts w:ascii="Cambria" w:hAnsi="Cambria"/>
                <w:kern w:val="2"/>
                <w:lang w:val="it-IT"/>
                <w14:ligatures w14:val="standardContextual"/>
              </w:rPr>
              <w:t>aktivno</w:t>
            </w:r>
            <w:proofErr w:type="spellEnd"/>
            <w:r w:rsidRPr="00B24B36">
              <w:rPr>
                <w:rFonts w:ascii="Cambria" w:hAnsi="Cambria"/>
                <w:kern w:val="2"/>
                <w:lang w:val="it-IT"/>
                <w14:ligatures w14:val="standardContextual"/>
              </w:rPr>
              <w:t xml:space="preserve"> </w:t>
            </w:r>
            <w:proofErr w:type="spellStart"/>
            <w:r w:rsidRPr="00B24B36">
              <w:rPr>
                <w:rFonts w:ascii="Cambria" w:hAnsi="Cambria"/>
                <w:kern w:val="2"/>
                <w:lang w:val="it-IT"/>
                <w14:ligatures w14:val="standardContextual"/>
              </w:rPr>
              <w:t>sudjelovanje</w:t>
            </w:r>
            <w:proofErr w:type="spellEnd"/>
            <w:r w:rsidRPr="00B24B36">
              <w:rPr>
                <w:rFonts w:ascii="Cambria" w:hAnsi="Cambria"/>
                <w:kern w:val="2"/>
                <w:lang w:val="it-IT"/>
                <w14:ligatures w14:val="standardContextual"/>
              </w:rPr>
              <w:t xml:space="preserve"> u </w:t>
            </w:r>
            <w:proofErr w:type="spellStart"/>
            <w:r w:rsidRPr="00B24B36">
              <w:rPr>
                <w:rFonts w:ascii="Cambria" w:hAnsi="Cambria"/>
                <w:kern w:val="2"/>
                <w:lang w:val="it-IT"/>
                <w14:ligatures w14:val="standardContextual"/>
              </w:rPr>
              <w:t>nastavi</w:t>
            </w:r>
            <w:proofErr w:type="spellEnd"/>
            <w:r w:rsidRPr="00B24B36">
              <w:rPr>
                <w:rFonts w:ascii="Cambria" w:hAnsi="Cambria"/>
                <w:kern w:val="2"/>
                <w:lang w:val="it-IT"/>
                <w14:ligatures w14:val="standardContextual"/>
              </w:rPr>
              <w:t xml:space="preserve">, </w:t>
            </w:r>
            <w:proofErr w:type="spellStart"/>
            <w:r w:rsidRPr="00B24B36">
              <w:rPr>
                <w:rFonts w:ascii="Cambria" w:hAnsi="Cambria"/>
                <w:kern w:val="2"/>
                <w:lang w:val="it-IT"/>
                <w14:ligatures w14:val="standardContextual"/>
              </w:rPr>
              <w:t>koje</w:t>
            </w:r>
            <w:proofErr w:type="spellEnd"/>
            <w:r w:rsidRPr="00B24B36">
              <w:rPr>
                <w:rFonts w:ascii="Cambria" w:hAnsi="Cambria"/>
                <w:kern w:val="2"/>
                <w:lang w:val="it-IT"/>
                <w14:ligatures w14:val="standardContextual"/>
              </w:rPr>
              <w:t xml:space="preserve"> se </w:t>
            </w:r>
            <w:proofErr w:type="spellStart"/>
            <w:r w:rsidRPr="00B24B36">
              <w:rPr>
                <w:rFonts w:ascii="Cambria" w:hAnsi="Cambria"/>
                <w:kern w:val="2"/>
                <w:lang w:val="it-IT"/>
                <w14:ligatures w14:val="standardContextual"/>
              </w:rPr>
              <w:t>ocjenjuje</w:t>
            </w:r>
            <w:proofErr w:type="spellEnd"/>
            <w:r w:rsidRPr="00B24B36">
              <w:rPr>
                <w:rFonts w:ascii="Cambria" w:hAnsi="Cambria"/>
                <w:kern w:val="2"/>
                <w:lang w:val="it-IT"/>
                <w14:ligatures w14:val="standardContextual"/>
              </w:rPr>
              <w:t xml:space="preserve"> </w:t>
            </w:r>
            <w:proofErr w:type="spellStart"/>
            <w:r w:rsidRPr="00B24B36">
              <w:rPr>
                <w:rFonts w:ascii="Cambria" w:hAnsi="Cambria"/>
                <w:kern w:val="2"/>
                <w:lang w:val="it-IT"/>
                <w14:ligatures w14:val="standardContextual"/>
              </w:rPr>
              <w:t>na</w:t>
            </w:r>
            <w:proofErr w:type="spellEnd"/>
            <w:r w:rsidRPr="00B24B36">
              <w:rPr>
                <w:rFonts w:ascii="Cambria" w:hAnsi="Cambria"/>
                <w:kern w:val="2"/>
                <w:lang w:val="it-IT"/>
                <w14:ligatures w14:val="standardContextual"/>
              </w:rPr>
              <w:t xml:space="preserve"> </w:t>
            </w:r>
            <w:proofErr w:type="spellStart"/>
            <w:r w:rsidRPr="00B24B36">
              <w:rPr>
                <w:rFonts w:ascii="Cambria" w:hAnsi="Cambria"/>
                <w:kern w:val="2"/>
                <w:lang w:val="it-IT"/>
                <w14:ligatures w14:val="standardContextual"/>
              </w:rPr>
              <w:t>sljedeći</w:t>
            </w:r>
            <w:proofErr w:type="spellEnd"/>
            <w:r w:rsidRPr="00B24B36">
              <w:rPr>
                <w:rFonts w:ascii="Cambria" w:hAnsi="Cambria"/>
                <w:kern w:val="2"/>
                <w:lang w:val="it-IT"/>
                <w14:ligatures w14:val="standardContextual"/>
              </w:rPr>
              <w:t xml:space="preserve"> </w:t>
            </w:r>
            <w:proofErr w:type="spellStart"/>
            <w:r w:rsidRPr="00B24B36">
              <w:rPr>
                <w:rFonts w:ascii="Cambria" w:hAnsi="Cambria"/>
                <w:kern w:val="2"/>
                <w:lang w:val="it-IT"/>
                <w14:ligatures w14:val="standardContextual"/>
              </w:rPr>
              <w:t>način</w:t>
            </w:r>
            <w:proofErr w:type="spellEnd"/>
            <w:r w:rsidRPr="00B24B36">
              <w:rPr>
                <w:rFonts w:ascii="Cambria" w:hAnsi="Cambria"/>
                <w:kern w:val="2"/>
                <w:lang w:val="it-IT"/>
                <w14:ligatures w14:val="standardContextual"/>
              </w:rPr>
              <w:t>:</w:t>
            </w:r>
          </w:p>
          <w:p w14:paraId="0DC0D5EF" w14:textId="77777777" w:rsidR="001F51C2" w:rsidRPr="00B24B36" w:rsidRDefault="001F51C2" w:rsidP="00B24B36">
            <w:pPr>
              <w:spacing w:after="0" w:line="240" w:lineRule="auto"/>
              <w:rPr>
                <w:rFonts w:ascii="Cambria" w:hAnsi="Cambria"/>
                <w:lang w:val="it-IT"/>
              </w:rPr>
            </w:pPr>
            <w:r w:rsidRPr="00B24B36">
              <w:rPr>
                <w:rFonts w:ascii="Cambria" w:hAnsi="Cambria"/>
                <w:lang w:val="it-IT"/>
              </w:rPr>
              <w:t xml:space="preserve">0% = </w:t>
            </w:r>
            <w:proofErr w:type="spellStart"/>
            <w:r w:rsidRPr="00B24B36">
              <w:rPr>
                <w:rFonts w:ascii="Cambria" w:hAnsi="Cambria"/>
                <w:lang w:val="it-IT"/>
              </w:rPr>
              <w:t>više</w:t>
            </w:r>
            <w:proofErr w:type="spellEnd"/>
            <w:r w:rsidRPr="00B24B36">
              <w:rPr>
                <w:rFonts w:ascii="Cambria" w:hAnsi="Cambria"/>
                <w:lang w:val="it-IT"/>
              </w:rPr>
              <w:t xml:space="preserve"> </w:t>
            </w:r>
            <w:proofErr w:type="gramStart"/>
            <w:r w:rsidRPr="00B24B36">
              <w:rPr>
                <w:rFonts w:ascii="Cambria" w:hAnsi="Cambria"/>
                <w:lang w:val="it-IT"/>
              </w:rPr>
              <w:t>od</w:t>
            </w:r>
            <w:proofErr w:type="gramEnd"/>
            <w:r w:rsidRPr="00B24B36">
              <w:rPr>
                <w:rFonts w:ascii="Cambria" w:hAnsi="Cambria"/>
                <w:lang w:val="it-IT"/>
              </w:rPr>
              <w:t xml:space="preserve"> </w:t>
            </w:r>
            <w:proofErr w:type="spellStart"/>
            <w:r w:rsidRPr="00B24B36">
              <w:rPr>
                <w:rFonts w:ascii="Cambria" w:hAnsi="Cambria"/>
                <w:lang w:val="it-IT"/>
              </w:rPr>
              <w:t>dopuštenih</w:t>
            </w:r>
            <w:proofErr w:type="spellEnd"/>
            <w:r w:rsidRPr="00B24B36">
              <w:rPr>
                <w:rFonts w:ascii="Cambria" w:hAnsi="Cambria"/>
                <w:lang w:val="it-IT"/>
              </w:rPr>
              <w:t xml:space="preserve"> 30% </w:t>
            </w:r>
            <w:proofErr w:type="spellStart"/>
            <w:r w:rsidRPr="00B24B36">
              <w:rPr>
                <w:rFonts w:ascii="Cambria" w:hAnsi="Cambria"/>
                <w:lang w:val="it-IT"/>
              </w:rPr>
              <w:t>izostanaka</w:t>
            </w:r>
            <w:proofErr w:type="spellEnd"/>
          </w:p>
          <w:p w14:paraId="39DBE201" w14:textId="77777777" w:rsidR="001F51C2" w:rsidRPr="00B24B36" w:rsidRDefault="001F51C2" w:rsidP="00B24B36">
            <w:pPr>
              <w:spacing w:after="0" w:line="240" w:lineRule="auto"/>
              <w:rPr>
                <w:rFonts w:ascii="Cambria" w:hAnsi="Cambria"/>
                <w:lang w:val="it-IT"/>
              </w:rPr>
            </w:pPr>
            <w:r w:rsidRPr="00B24B36">
              <w:rPr>
                <w:rFonts w:ascii="Cambria" w:hAnsi="Cambria"/>
                <w:lang w:val="it-IT"/>
              </w:rPr>
              <w:t xml:space="preserve">5% = </w:t>
            </w:r>
            <w:proofErr w:type="spellStart"/>
            <w:r w:rsidRPr="00B24B36">
              <w:rPr>
                <w:rFonts w:ascii="Cambria" w:hAnsi="Cambria"/>
                <w:lang w:val="it-IT"/>
              </w:rPr>
              <w:t>prisustvuje</w:t>
            </w:r>
            <w:proofErr w:type="spellEnd"/>
            <w:r w:rsidRPr="00B24B36">
              <w:rPr>
                <w:rFonts w:ascii="Cambria" w:hAnsi="Cambria"/>
                <w:lang w:val="it-IT"/>
              </w:rPr>
              <w:t xml:space="preserve"> </w:t>
            </w:r>
            <w:proofErr w:type="spellStart"/>
            <w:r w:rsidRPr="00B24B36">
              <w:rPr>
                <w:rFonts w:ascii="Cambria" w:hAnsi="Cambria"/>
                <w:lang w:val="it-IT"/>
              </w:rPr>
              <w:t>nastavi</w:t>
            </w:r>
            <w:proofErr w:type="spellEnd"/>
            <w:r w:rsidRPr="00B24B36">
              <w:rPr>
                <w:rFonts w:ascii="Cambria" w:hAnsi="Cambria"/>
                <w:lang w:val="it-IT"/>
              </w:rPr>
              <w:t xml:space="preserve">, no ne </w:t>
            </w:r>
            <w:proofErr w:type="spellStart"/>
            <w:r w:rsidRPr="00B24B36">
              <w:rPr>
                <w:rFonts w:ascii="Cambria" w:hAnsi="Cambria"/>
                <w:lang w:val="it-IT"/>
              </w:rPr>
              <w:t>sudjeluje</w:t>
            </w:r>
            <w:proofErr w:type="spellEnd"/>
          </w:p>
          <w:p w14:paraId="437A1256" w14:textId="77777777" w:rsidR="001F51C2" w:rsidRPr="00B24B36" w:rsidRDefault="001F51C2" w:rsidP="00B24B36">
            <w:pPr>
              <w:spacing w:after="0" w:line="240" w:lineRule="auto"/>
              <w:rPr>
                <w:rFonts w:ascii="Cambria" w:hAnsi="Cambria"/>
                <w:lang w:val="it-IT"/>
              </w:rPr>
            </w:pPr>
            <w:r w:rsidRPr="00B24B36">
              <w:rPr>
                <w:rFonts w:ascii="Cambria" w:hAnsi="Cambria"/>
                <w:lang w:val="it-IT"/>
              </w:rPr>
              <w:t xml:space="preserve">10% = </w:t>
            </w:r>
            <w:proofErr w:type="spellStart"/>
            <w:r w:rsidRPr="00B24B36">
              <w:rPr>
                <w:rFonts w:ascii="Cambria" w:hAnsi="Cambria"/>
                <w:lang w:val="it-IT"/>
              </w:rPr>
              <w:t>sudjeluje</w:t>
            </w:r>
            <w:proofErr w:type="spellEnd"/>
            <w:r w:rsidRPr="00B24B36">
              <w:rPr>
                <w:rFonts w:ascii="Cambria" w:hAnsi="Cambria"/>
                <w:lang w:val="it-IT"/>
              </w:rPr>
              <w:t xml:space="preserve">, no </w:t>
            </w:r>
            <w:proofErr w:type="spellStart"/>
            <w:r w:rsidRPr="00B24B36">
              <w:rPr>
                <w:rFonts w:ascii="Cambria" w:hAnsi="Cambria"/>
                <w:lang w:val="it-IT"/>
              </w:rPr>
              <w:t>bez</w:t>
            </w:r>
            <w:proofErr w:type="spellEnd"/>
            <w:r w:rsidRPr="00B24B36">
              <w:rPr>
                <w:rFonts w:ascii="Cambria" w:hAnsi="Cambria"/>
                <w:lang w:val="it-IT"/>
              </w:rPr>
              <w:t xml:space="preserve"> </w:t>
            </w:r>
            <w:proofErr w:type="spellStart"/>
            <w:r w:rsidRPr="00B24B36">
              <w:rPr>
                <w:rFonts w:ascii="Cambria" w:hAnsi="Cambria"/>
                <w:lang w:val="it-IT"/>
              </w:rPr>
              <w:t>vlastite</w:t>
            </w:r>
            <w:proofErr w:type="spellEnd"/>
            <w:r w:rsidRPr="00B24B36">
              <w:rPr>
                <w:rFonts w:ascii="Cambria" w:hAnsi="Cambria"/>
                <w:lang w:val="it-IT"/>
              </w:rPr>
              <w:t xml:space="preserve"> </w:t>
            </w:r>
            <w:proofErr w:type="spellStart"/>
            <w:r w:rsidRPr="00B24B36">
              <w:rPr>
                <w:rFonts w:ascii="Cambria" w:hAnsi="Cambria"/>
                <w:lang w:val="it-IT"/>
              </w:rPr>
              <w:t>inicijative</w:t>
            </w:r>
            <w:proofErr w:type="spellEnd"/>
            <w:r w:rsidRPr="00B24B36">
              <w:rPr>
                <w:rFonts w:ascii="Cambria" w:hAnsi="Cambria"/>
                <w:lang w:val="it-IT"/>
              </w:rPr>
              <w:t xml:space="preserve"> i </w:t>
            </w:r>
            <w:proofErr w:type="spellStart"/>
            <w:r w:rsidRPr="00B24B36">
              <w:rPr>
                <w:rFonts w:ascii="Cambria" w:hAnsi="Cambria"/>
                <w:lang w:val="it-IT"/>
              </w:rPr>
              <w:t>adekvatne</w:t>
            </w:r>
            <w:proofErr w:type="spellEnd"/>
            <w:r w:rsidRPr="00B24B36">
              <w:rPr>
                <w:rFonts w:ascii="Cambria" w:hAnsi="Cambria"/>
                <w:lang w:val="it-IT"/>
              </w:rPr>
              <w:t xml:space="preserve"> </w:t>
            </w:r>
            <w:proofErr w:type="spellStart"/>
            <w:r w:rsidRPr="00B24B36">
              <w:rPr>
                <w:rFonts w:ascii="Cambria" w:hAnsi="Cambria"/>
                <w:lang w:val="it-IT"/>
              </w:rPr>
              <w:t>pripreme</w:t>
            </w:r>
            <w:proofErr w:type="spellEnd"/>
            <w:r w:rsidRPr="00B24B36">
              <w:rPr>
                <w:rFonts w:ascii="Cambria" w:hAnsi="Cambria"/>
                <w:lang w:val="it-IT"/>
              </w:rPr>
              <w:t xml:space="preserve"> </w:t>
            </w:r>
          </w:p>
          <w:p w14:paraId="3D1E3C24" w14:textId="77777777" w:rsidR="001F51C2" w:rsidRPr="00B24B36" w:rsidRDefault="001F51C2" w:rsidP="00B24B36">
            <w:pPr>
              <w:spacing w:after="0" w:line="240" w:lineRule="auto"/>
              <w:rPr>
                <w:rFonts w:ascii="Cambria" w:hAnsi="Cambria"/>
                <w:lang w:val="it-IT"/>
              </w:rPr>
            </w:pPr>
            <w:r w:rsidRPr="00B24B36">
              <w:rPr>
                <w:rFonts w:ascii="Cambria" w:hAnsi="Cambria"/>
                <w:lang w:val="it-IT"/>
              </w:rPr>
              <w:t xml:space="preserve">15% = </w:t>
            </w:r>
            <w:proofErr w:type="spellStart"/>
            <w:r w:rsidRPr="00B24B36">
              <w:rPr>
                <w:rFonts w:ascii="Cambria" w:hAnsi="Cambria"/>
                <w:lang w:val="it-IT"/>
              </w:rPr>
              <w:t>dobrovoljno</w:t>
            </w:r>
            <w:proofErr w:type="spellEnd"/>
            <w:r w:rsidRPr="00B24B36">
              <w:rPr>
                <w:rFonts w:ascii="Cambria" w:hAnsi="Cambria"/>
                <w:lang w:val="it-IT"/>
              </w:rPr>
              <w:t xml:space="preserve"> i </w:t>
            </w:r>
            <w:proofErr w:type="spellStart"/>
            <w:r w:rsidRPr="00B24B36">
              <w:rPr>
                <w:rFonts w:ascii="Cambria" w:hAnsi="Cambria"/>
                <w:lang w:val="it-IT"/>
              </w:rPr>
              <w:t>korektno</w:t>
            </w:r>
            <w:proofErr w:type="spellEnd"/>
            <w:r w:rsidRPr="00B24B36">
              <w:rPr>
                <w:rFonts w:ascii="Cambria" w:hAnsi="Cambria"/>
                <w:lang w:val="it-IT"/>
              </w:rPr>
              <w:t xml:space="preserve"> </w:t>
            </w:r>
            <w:proofErr w:type="spellStart"/>
            <w:r w:rsidRPr="00B24B36">
              <w:rPr>
                <w:rFonts w:ascii="Cambria" w:hAnsi="Cambria"/>
                <w:lang w:val="it-IT"/>
              </w:rPr>
              <w:t>pripremljen</w:t>
            </w:r>
            <w:proofErr w:type="spellEnd"/>
            <w:r w:rsidRPr="00B24B36">
              <w:rPr>
                <w:rFonts w:ascii="Cambria" w:hAnsi="Cambria"/>
                <w:lang w:val="it-IT"/>
              </w:rPr>
              <w:t>/-</w:t>
            </w:r>
            <w:proofErr w:type="spellStart"/>
            <w:r w:rsidRPr="00B24B36">
              <w:rPr>
                <w:rFonts w:ascii="Cambria" w:hAnsi="Cambria"/>
                <w:lang w:val="it-IT"/>
              </w:rPr>
              <w:t>na</w:t>
            </w:r>
            <w:proofErr w:type="spellEnd"/>
            <w:r w:rsidRPr="00B24B36">
              <w:rPr>
                <w:rFonts w:ascii="Cambria" w:hAnsi="Cambria"/>
                <w:lang w:val="it-IT"/>
              </w:rPr>
              <w:t xml:space="preserve"> </w:t>
            </w:r>
            <w:proofErr w:type="spellStart"/>
            <w:r w:rsidRPr="00B24B36">
              <w:rPr>
                <w:rFonts w:ascii="Cambria" w:hAnsi="Cambria"/>
                <w:lang w:val="it-IT"/>
              </w:rPr>
              <w:t>sudjeluje</w:t>
            </w:r>
            <w:proofErr w:type="spellEnd"/>
            <w:r w:rsidRPr="00B24B36">
              <w:rPr>
                <w:rFonts w:ascii="Cambria" w:hAnsi="Cambria"/>
                <w:lang w:val="it-IT"/>
              </w:rPr>
              <w:t xml:space="preserve"> u </w:t>
            </w:r>
            <w:proofErr w:type="spellStart"/>
            <w:r w:rsidRPr="00B24B36">
              <w:rPr>
                <w:rFonts w:ascii="Cambria" w:hAnsi="Cambria"/>
                <w:lang w:val="it-IT"/>
              </w:rPr>
              <w:t>nastavnome</w:t>
            </w:r>
            <w:proofErr w:type="spellEnd"/>
            <w:r w:rsidRPr="00B24B36">
              <w:rPr>
                <w:rFonts w:ascii="Cambria" w:hAnsi="Cambria"/>
                <w:lang w:val="it-IT"/>
              </w:rPr>
              <w:t xml:space="preserve"> </w:t>
            </w:r>
            <w:proofErr w:type="spellStart"/>
            <w:r w:rsidRPr="00B24B36">
              <w:rPr>
                <w:rFonts w:ascii="Cambria" w:hAnsi="Cambria"/>
                <w:lang w:val="it-IT"/>
              </w:rPr>
              <w:t>procesu</w:t>
            </w:r>
            <w:proofErr w:type="spellEnd"/>
          </w:p>
          <w:p w14:paraId="3A977953" w14:textId="31C0B7F8" w:rsidR="001F51C2" w:rsidRPr="00B24B36" w:rsidRDefault="001F51C2" w:rsidP="00B24B36">
            <w:pPr>
              <w:spacing w:after="0" w:line="240" w:lineRule="auto"/>
              <w:rPr>
                <w:rFonts w:ascii="Cambria" w:hAnsi="Cambria"/>
                <w:lang w:val="it-IT"/>
              </w:rPr>
            </w:pPr>
            <w:r w:rsidRPr="00B24B36">
              <w:rPr>
                <w:rFonts w:ascii="Cambria" w:hAnsi="Cambria"/>
                <w:lang w:val="it-IT"/>
              </w:rPr>
              <w:t xml:space="preserve">20% = </w:t>
            </w:r>
            <w:proofErr w:type="spellStart"/>
            <w:r w:rsidRPr="00B24B36">
              <w:rPr>
                <w:rFonts w:ascii="Cambria" w:hAnsi="Cambria"/>
                <w:lang w:val="it-IT"/>
              </w:rPr>
              <w:t>redovito</w:t>
            </w:r>
            <w:proofErr w:type="spellEnd"/>
            <w:r w:rsidRPr="00B24B36">
              <w:rPr>
                <w:rFonts w:ascii="Cambria" w:hAnsi="Cambria"/>
                <w:lang w:val="it-IT"/>
              </w:rPr>
              <w:t xml:space="preserve"> </w:t>
            </w:r>
            <w:proofErr w:type="spellStart"/>
            <w:r w:rsidRPr="00B24B36">
              <w:rPr>
                <w:rFonts w:ascii="Cambria" w:hAnsi="Cambria"/>
                <w:lang w:val="it-IT"/>
              </w:rPr>
              <w:t>pripremljen</w:t>
            </w:r>
            <w:proofErr w:type="spellEnd"/>
            <w:r w:rsidRPr="00B24B36">
              <w:rPr>
                <w:rFonts w:ascii="Cambria" w:hAnsi="Cambria"/>
                <w:lang w:val="it-IT"/>
              </w:rPr>
              <w:t>/-</w:t>
            </w:r>
            <w:proofErr w:type="spellStart"/>
            <w:r w:rsidRPr="00B24B36">
              <w:rPr>
                <w:rFonts w:ascii="Cambria" w:hAnsi="Cambria"/>
                <w:lang w:val="it-IT"/>
              </w:rPr>
              <w:t>na</w:t>
            </w:r>
            <w:proofErr w:type="spellEnd"/>
            <w:r w:rsidRPr="00B24B36">
              <w:rPr>
                <w:rFonts w:ascii="Cambria" w:hAnsi="Cambria"/>
                <w:lang w:val="it-IT"/>
              </w:rPr>
              <w:t xml:space="preserve">, </w:t>
            </w:r>
            <w:proofErr w:type="spellStart"/>
            <w:r w:rsidRPr="00B24B36">
              <w:rPr>
                <w:rFonts w:ascii="Cambria" w:hAnsi="Cambria"/>
                <w:lang w:val="it-IT"/>
              </w:rPr>
              <w:t>pokazuje</w:t>
            </w:r>
            <w:proofErr w:type="spellEnd"/>
            <w:r w:rsidRPr="00B24B36">
              <w:rPr>
                <w:rFonts w:ascii="Cambria" w:hAnsi="Cambria"/>
                <w:lang w:val="it-IT"/>
              </w:rPr>
              <w:t xml:space="preserve"> </w:t>
            </w:r>
            <w:proofErr w:type="spellStart"/>
            <w:r w:rsidRPr="00B24B36">
              <w:rPr>
                <w:rFonts w:ascii="Cambria" w:hAnsi="Cambria"/>
                <w:lang w:val="it-IT"/>
              </w:rPr>
              <w:t>visoku</w:t>
            </w:r>
            <w:proofErr w:type="spellEnd"/>
            <w:r w:rsidRPr="00B24B36">
              <w:rPr>
                <w:rFonts w:ascii="Cambria" w:hAnsi="Cambria"/>
                <w:lang w:val="it-IT"/>
              </w:rPr>
              <w:t xml:space="preserve"> </w:t>
            </w:r>
            <w:proofErr w:type="spellStart"/>
            <w:r w:rsidRPr="00B24B36">
              <w:rPr>
                <w:rFonts w:ascii="Cambria" w:hAnsi="Cambria"/>
                <w:lang w:val="it-IT"/>
              </w:rPr>
              <w:t>motiviranost</w:t>
            </w:r>
            <w:proofErr w:type="spellEnd"/>
            <w:r w:rsidRPr="00B24B36">
              <w:rPr>
                <w:rFonts w:ascii="Cambria" w:hAnsi="Cambria"/>
                <w:lang w:val="it-IT"/>
              </w:rPr>
              <w:t xml:space="preserve">, </w:t>
            </w:r>
            <w:proofErr w:type="spellStart"/>
            <w:r w:rsidRPr="00B24B36">
              <w:rPr>
                <w:rFonts w:ascii="Cambria" w:hAnsi="Cambria"/>
                <w:lang w:val="it-IT"/>
              </w:rPr>
              <w:t>doprinosi</w:t>
            </w:r>
            <w:proofErr w:type="spellEnd"/>
            <w:r w:rsidRPr="00B24B36">
              <w:rPr>
                <w:rFonts w:ascii="Cambria" w:hAnsi="Cambria"/>
                <w:lang w:val="it-IT"/>
              </w:rPr>
              <w:t xml:space="preserve"> </w:t>
            </w:r>
            <w:proofErr w:type="spellStart"/>
            <w:r w:rsidRPr="00B24B36">
              <w:rPr>
                <w:rFonts w:ascii="Cambria" w:hAnsi="Cambria"/>
                <w:lang w:val="it-IT"/>
              </w:rPr>
              <w:t>nastavi</w:t>
            </w:r>
            <w:proofErr w:type="spellEnd"/>
            <w:r w:rsidRPr="00B24B36">
              <w:rPr>
                <w:rFonts w:ascii="Cambria" w:hAnsi="Cambria"/>
                <w:lang w:val="it-IT"/>
              </w:rPr>
              <w:t xml:space="preserve"> </w:t>
            </w:r>
            <w:proofErr w:type="spellStart"/>
            <w:r w:rsidRPr="00B24B36">
              <w:rPr>
                <w:rFonts w:ascii="Cambria" w:hAnsi="Cambria"/>
                <w:lang w:val="it-IT"/>
              </w:rPr>
              <w:t>vlastitim</w:t>
            </w:r>
            <w:proofErr w:type="spellEnd"/>
            <w:r w:rsidRPr="00B24B36">
              <w:rPr>
                <w:rFonts w:ascii="Cambria" w:hAnsi="Cambria"/>
                <w:lang w:val="it-IT"/>
              </w:rPr>
              <w:t xml:space="preserve"> </w:t>
            </w:r>
            <w:proofErr w:type="spellStart"/>
            <w:r w:rsidRPr="00B24B36">
              <w:rPr>
                <w:rFonts w:ascii="Cambria" w:hAnsi="Cambria"/>
                <w:lang w:val="it-IT"/>
              </w:rPr>
              <w:t>idejama</w:t>
            </w:r>
            <w:proofErr w:type="spellEnd"/>
            <w:r w:rsidRPr="00B24B36">
              <w:rPr>
                <w:rFonts w:ascii="Cambria" w:hAnsi="Cambria"/>
                <w:lang w:val="it-IT"/>
              </w:rPr>
              <w:t xml:space="preserve"> i </w:t>
            </w:r>
            <w:proofErr w:type="spellStart"/>
            <w:r w:rsidRPr="00B24B36">
              <w:rPr>
                <w:rFonts w:ascii="Cambria" w:hAnsi="Cambria"/>
                <w:lang w:val="it-IT"/>
              </w:rPr>
              <w:t>prijedlozima</w:t>
            </w:r>
            <w:proofErr w:type="spellEnd"/>
          </w:p>
          <w:p w14:paraId="520AF5F8" w14:textId="55B5BE1A" w:rsidR="001F51C2" w:rsidRPr="00B24B36" w:rsidRDefault="001F51C2" w:rsidP="00B24B36">
            <w:pPr>
              <w:spacing w:after="0" w:line="240" w:lineRule="auto"/>
              <w:jc w:val="both"/>
              <w:rPr>
                <w:rFonts w:ascii="Cambria" w:hAnsi="Cambria"/>
                <w:lang w:val="it-IT"/>
              </w:rPr>
            </w:pPr>
            <w:r w:rsidRPr="00B24B36">
              <w:rPr>
                <w:rFonts w:ascii="Cambria" w:hAnsi="Cambria"/>
                <w:lang w:val="it-IT"/>
              </w:rPr>
              <w:t>Studenti /</w:t>
            </w:r>
            <w:proofErr w:type="spellStart"/>
            <w:r w:rsidRPr="00B24B36">
              <w:rPr>
                <w:rFonts w:ascii="Cambria" w:hAnsi="Cambria"/>
                <w:lang w:val="it-IT"/>
              </w:rPr>
              <w:t>studentice</w:t>
            </w:r>
            <w:proofErr w:type="spellEnd"/>
            <w:r w:rsidRPr="00B24B36">
              <w:rPr>
                <w:rFonts w:ascii="Cambria" w:hAnsi="Cambria"/>
                <w:lang w:val="it-IT"/>
              </w:rPr>
              <w:t xml:space="preserve"> </w:t>
            </w:r>
            <w:proofErr w:type="spellStart"/>
            <w:r w:rsidRPr="00B24B36">
              <w:rPr>
                <w:rFonts w:ascii="Cambria" w:hAnsi="Cambria"/>
                <w:lang w:val="it-IT"/>
              </w:rPr>
              <w:t>dužni</w:t>
            </w:r>
            <w:proofErr w:type="spellEnd"/>
            <w:r w:rsidRPr="00B24B36">
              <w:rPr>
                <w:rFonts w:ascii="Cambria" w:hAnsi="Cambria"/>
                <w:lang w:val="it-IT"/>
              </w:rPr>
              <w:t xml:space="preserve"> su </w:t>
            </w:r>
            <w:proofErr w:type="spellStart"/>
            <w:r w:rsidRPr="00B24B36">
              <w:rPr>
                <w:rFonts w:ascii="Cambria" w:hAnsi="Cambria"/>
                <w:lang w:val="it-IT"/>
              </w:rPr>
              <w:t>napisati</w:t>
            </w:r>
            <w:proofErr w:type="spellEnd"/>
            <w:r w:rsidRPr="00B24B36">
              <w:rPr>
                <w:rFonts w:ascii="Cambria" w:hAnsi="Cambria"/>
                <w:lang w:val="it-IT"/>
              </w:rPr>
              <w:t xml:space="preserve">, predati i </w:t>
            </w:r>
            <w:proofErr w:type="spellStart"/>
            <w:r w:rsidRPr="00B24B36">
              <w:rPr>
                <w:rFonts w:ascii="Cambria" w:hAnsi="Cambria"/>
                <w:lang w:val="it-IT"/>
              </w:rPr>
              <w:t>prezentirati</w:t>
            </w:r>
            <w:proofErr w:type="spellEnd"/>
            <w:r w:rsidRPr="00B24B36">
              <w:rPr>
                <w:rFonts w:ascii="Cambria" w:hAnsi="Cambria"/>
                <w:lang w:val="it-IT"/>
              </w:rPr>
              <w:t xml:space="preserve"> </w:t>
            </w:r>
            <w:proofErr w:type="spellStart"/>
            <w:r w:rsidRPr="00B24B36">
              <w:rPr>
                <w:rFonts w:ascii="Cambria" w:hAnsi="Cambria"/>
                <w:lang w:val="it-IT"/>
              </w:rPr>
              <w:t>seminarski</w:t>
            </w:r>
            <w:proofErr w:type="spellEnd"/>
            <w:r w:rsidRPr="00B24B36">
              <w:rPr>
                <w:rFonts w:ascii="Cambria" w:hAnsi="Cambria"/>
                <w:lang w:val="it-IT"/>
              </w:rPr>
              <w:t xml:space="preserve"> rad </w:t>
            </w:r>
            <w:proofErr w:type="spellStart"/>
            <w:r w:rsidRPr="00B24B36">
              <w:rPr>
                <w:rFonts w:ascii="Cambria" w:hAnsi="Cambria"/>
                <w:lang w:val="it-IT"/>
              </w:rPr>
              <w:t>na</w:t>
            </w:r>
            <w:proofErr w:type="spellEnd"/>
            <w:r w:rsidRPr="00B24B36">
              <w:rPr>
                <w:rFonts w:ascii="Cambria" w:hAnsi="Cambria"/>
                <w:lang w:val="it-IT"/>
              </w:rPr>
              <w:t xml:space="preserve"> </w:t>
            </w:r>
            <w:proofErr w:type="spellStart"/>
            <w:r w:rsidRPr="00B24B36">
              <w:rPr>
                <w:rFonts w:ascii="Cambria" w:hAnsi="Cambria"/>
                <w:lang w:val="it-IT"/>
              </w:rPr>
              <w:t>izabranu</w:t>
            </w:r>
            <w:proofErr w:type="spellEnd"/>
            <w:r w:rsidRPr="00B24B36">
              <w:rPr>
                <w:rFonts w:ascii="Cambria" w:hAnsi="Cambria"/>
                <w:lang w:val="it-IT"/>
              </w:rPr>
              <w:t xml:space="preserve"> </w:t>
            </w:r>
            <w:proofErr w:type="spellStart"/>
            <w:r w:rsidRPr="00B24B36">
              <w:rPr>
                <w:rFonts w:ascii="Cambria" w:hAnsi="Cambria"/>
                <w:lang w:val="it-IT"/>
              </w:rPr>
              <w:t>temu</w:t>
            </w:r>
            <w:proofErr w:type="spellEnd"/>
            <w:r w:rsidRPr="00B24B36">
              <w:rPr>
                <w:rFonts w:ascii="Cambria" w:hAnsi="Cambria"/>
                <w:lang w:val="it-IT"/>
              </w:rPr>
              <w:t xml:space="preserve"> (</w:t>
            </w:r>
            <w:proofErr w:type="spellStart"/>
            <w:r w:rsidRPr="00B24B36">
              <w:rPr>
                <w:rFonts w:ascii="Cambria" w:hAnsi="Cambria"/>
                <w:lang w:val="it-IT"/>
              </w:rPr>
              <w:t>uvjet</w:t>
            </w:r>
            <w:proofErr w:type="spellEnd"/>
            <w:r w:rsidRPr="00B24B36">
              <w:rPr>
                <w:rFonts w:ascii="Cambria" w:hAnsi="Cambria"/>
                <w:lang w:val="it-IT"/>
              </w:rPr>
              <w:t xml:space="preserve"> </w:t>
            </w:r>
            <w:proofErr w:type="spellStart"/>
            <w:r w:rsidRPr="00B24B36">
              <w:rPr>
                <w:rFonts w:ascii="Cambria" w:hAnsi="Cambria"/>
                <w:lang w:val="it-IT"/>
              </w:rPr>
              <w:t>pristupa</w:t>
            </w:r>
            <w:proofErr w:type="spellEnd"/>
            <w:r w:rsidRPr="00B24B36">
              <w:rPr>
                <w:rFonts w:ascii="Cambria" w:hAnsi="Cambria"/>
                <w:lang w:val="it-IT"/>
              </w:rPr>
              <w:t xml:space="preserve"> </w:t>
            </w:r>
            <w:proofErr w:type="spellStart"/>
            <w:r w:rsidRPr="00B24B36">
              <w:rPr>
                <w:rFonts w:ascii="Cambria" w:hAnsi="Cambria"/>
                <w:lang w:val="it-IT"/>
              </w:rPr>
              <w:t>ispitu</w:t>
            </w:r>
            <w:proofErr w:type="spellEnd"/>
            <w:r w:rsidRPr="00B24B36">
              <w:rPr>
                <w:rFonts w:ascii="Cambria" w:hAnsi="Cambria"/>
                <w:lang w:val="it-IT"/>
              </w:rPr>
              <w:t xml:space="preserve">). </w:t>
            </w:r>
            <w:proofErr w:type="spellStart"/>
            <w:r w:rsidRPr="00B24B36">
              <w:rPr>
                <w:rFonts w:ascii="Cambria" w:hAnsi="Cambria"/>
                <w:lang w:val="it-IT"/>
              </w:rPr>
              <w:t>Popis</w:t>
            </w:r>
            <w:proofErr w:type="spellEnd"/>
            <w:r w:rsidRPr="00B24B36">
              <w:rPr>
                <w:rFonts w:ascii="Cambria" w:hAnsi="Cambria"/>
                <w:lang w:val="it-IT"/>
              </w:rPr>
              <w:t xml:space="preserve"> </w:t>
            </w:r>
            <w:proofErr w:type="spellStart"/>
            <w:r w:rsidRPr="00B24B36">
              <w:rPr>
                <w:rFonts w:ascii="Cambria" w:hAnsi="Cambria"/>
                <w:lang w:val="it-IT"/>
              </w:rPr>
              <w:t>ponuđenih</w:t>
            </w:r>
            <w:proofErr w:type="spellEnd"/>
            <w:r w:rsidRPr="00B24B36">
              <w:rPr>
                <w:rFonts w:ascii="Cambria" w:hAnsi="Cambria"/>
                <w:lang w:val="it-IT"/>
              </w:rPr>
              <w:t xml:space="preserve"> tema </w:t>
            </w:r>
            <w:proofErr w:type="spellStart"/>
            <w:r w:rsidRPr="00B24B36">
              <w:rPr>
                <w:rFonts w:ascii="Cambria" w:hAnsi="Cambria"/>
                <w:lang w:val="it-IT"/>
              </w:rPr>
              <w:t>objavljuje</w:t>
            </w:r>
            <w:proofErr w:type="spellEnd"/>
            <w:r w:rsidRPr="00B24B36">
              <w:rPr>
                <w:rFonts w:ascii="Cambria" w:hAnsi="Cambria"/>
                <w:lang w:val="it-IT"/>
              </w:rPr>
              <w:t xml:space="preserve"> se </w:t>
            </w:r>
            <w:proofErr w:type="spellStart"/>
            <w:r w:rsidRPr="00B24B36">
              <w:rPr>
                <w:rFonts w:ascii="Cambria" w:hAnsi="Cambria"/>
                <w:lang w:val="it-IT"/>
              </w:rPr>
              <w:t>na</w:t>
            </w:r>
            <w:proofErr w:type="spellEnd"/>
            <w:r w:rsidRPr="00B24B36">
              <w:rPr>
                <w:rFonts w:ascii="Cambria" w:hAnsi="Cambria"/>
                <w:lang w:val="it-IT"/>
              </w:rPr>
              <w:t xml:space="preserve"> e-</w:t>
            </w:r>
            <w:proofErr w:type="spellStart"/>
            <w:r w:rsidRPr="00B24B36">
              <w:rPr>
                <w:rFonts w:ascii="Cambria" w:hAnsi="Cambria"/>
                <w:lang w:val="it-IT"/>
              </w:rPr>
              <w:t>učenju</w:t>
            </w:r>
            <w:proofErr w:type="spellEnd"/>
            <w:r w:rsidRPr="00B24B36">
              <w:rPr>
                <w:rFonts w:ascii="Cambria" w:hAnsi="Cambria"/>
                <w:lang w:val="it-IT"/>
              </w:rPr>
              <w:t xml:space="preserve">. Studenti / </w:t>
            </w:r>
            <w:proofErr w:type="spellStart"/>
            <w:r w:rsidRPr="00B24B36">
              <w:rPr>
                <w:rFonts w:ascii="Cambria" w:hAnsi="Cambria"/>
                <w:lang w:val="it-IT"/>
              </w:rPr>
              <w:t>studentice</w:t>
            </w:r>
            <w:proofErr w:type="spellEnd"/>
            <w:r w:rsidRPr="00B24B36">
              <w:rPr>
                <w:rFonts w:ascii="Cambria" w:hAnsi="Cambria"/>
                <w:lang w:val="it-IT"/>
              </w:rPr>
              <w:t xml:space="preserve"> </w:t>
            </w:r>
            <w:proofErr w:type="spellStart"/>
            <w:r w:rsidRPr="00B24B36">
              <w:rPr>
                <w:rFonts w:ascii="Cambria" w:hAnsi="Cambria"/>
                <w:lang w:val="it-IT"/>
              </w:rPr>
              <w:t>mogu</w:t>
            </w:r>
            <w:proofErr w:type="spellEnd"/>
            <w:r w:rsidRPr="00B24B36">
              <w:rPr>
                <w:rFonts w:ascii="Cambria" w:hAnsi="Cambria"/>
                <w:lang w:val="it-IT"/>
              </w:rPr>
              <w:t xml:space="preserve"> </w:t>
            </w:r>
            <w:proofErr w:type="spellStart"/>
            <w:r w:rsidRPr="00B24B36">
              <w:rPr>
                <w:rFonts w:ascii="Cambria" w:hAnsi="Cambria"/>
                <w:lang w:val="it-IT"/>
              </w:rPr>
              <w:t>predmetnom</w:t>
            </w:r>
            <w:proofErr w:type="spellEnd"/>
            <w:r w:rsidRPr="00B24B36">
              <w:rPr>
                <w:rFonts w:ascii="Cambria" w:hAnsi="Cambria"/>
                <w:lang w:val="it-IT"/>
              </w:rPr>
              <w:t xml:space="preserve"> </w:t>
            </w:r>
            <w:proofErr w:type="spellStart"/>
            <w:r w:rsidRPr="00B24B36">
              <w:rPr>
                <w:rFonts w:ascii="Cambria" w:hAnsi="Cambria"/>
                <w:lang w:val="it-IT"/>
              </w:rPr>
              <w:t>nastavniku</w:t>
            </w:r>
            <w:proofErr w:type="spellEnd"/>
            <w:r w:rsidRPr="00B24B36">
              <w:rPr>
                <w:rFonts w:ascii="Cambria" w:hAnsi="Cambria"/>
                <w:lang w:val="it-IT"/>
              </w:rPr>
              <w:t xml:space="preserve"> </w:t>
            </w:r>
            <w:proofErr w:type="spellStart"/>
            <w:r w:rsidRPr="00B24B36">
              <w:rPr>
                <w:rFonts w:ascii="Cambria" w:hAnsi="Cambria"/>
                <w:lang w:val="it-IT"/>
              </w:rPr>
              <w:t>predložiti</w:t>
            </w:r>
            <w:proofErr w:type="spellEnd"/>
            <w:r w:rsidRPr="00B24B36">
              <w:rPr>
                <w:rFonts w:ascii="Cambria" w:hAnsi="Cambria"/>
                <w:lang w:val="it-IT"/>
              </w:rPr>
              <w:t xml:space="preserve"> i </w:t>
            </w:r>
            <w:proofErr w:type="spellStart"/>
            <w:r w:rsidRPr="00B24B36">
              <w:rPr>
                <w:rFonts w:ascii="Cambria" w:hAnsi="Cambria"/>
                <w:lang w:val="it-IT"/>
              </w:rPr>
              <w:t>temu</w:t>
            </w:r>
            <w:proofErr w:type="spellEnd"/>
            <w:r w:rsidRPr="00B24B36">
              <w:rPr>
                <w:rFonts w:ascii="Cambria" w:hAnsi="Cambria"/>
                <w:lang w:val="it-IT"/>
              </w:rPr>
              <w:t xml:space="preserve"> </w:t>
            </w:r>
            <w:proofErr w:type="spellStart"/>
            <w:r w:rsidRPr="00B24B36">
              <w:rPr>
                <w:rFonts w:ascii="Cambria" w:hAnsi="Cambria"/>
                <w:lang w:val="it-IT"/>
              </w:rPr>
              <w:t>izvan</w:t>
            </w:r>
            <w:proofErr w:type="spellEnd"/>
            <w:r w:rsidRPr="00B24B36">
              <w:rPr>
                <w:rFonts w:ascii="Cambria" w:hAnsi="Cambria"/>
                <w:lang w:val="it-IT"/>
              </w:rPr>
              <w:t xml:space="preserve"> </w:t>
            </w:r>
            <w:proofErr w:type="spellStart"/>
            <w:r w:rsidRPr="00B24B36">
              <w:rPr>
                <w:rFonts w:ascii="Cambria" w:hAnsi="Cambria"/>
                <w:lang w:val="it-IT"/>
              </w:rPr>
              <w:t>popisa</w:t>
            </w:r>
            <w:proofErr w:type="spellEnd"/>
            <w:r w:rsidRPr="00B24B36">
              <w:rPr>
                <w:rFonts w:ascii="Cambria" w:hAnsi="Cambria"/>
                <w:lang w:val="it-IT"/>
              </w:rPr>
              <w:t xml:space="preserve">. </w:t>
            </w:r>
            <w:proofErr w:type="spellStart"/>
            <w:r w:rsidRPr="00B24B36">
              <w:rPr>
                <w:rFonts w:ascii="Cambria" w:hAnsi="Cambria"/>
                <w:lang w:val="it-IT"/>
              </w:rPr>
              <w:t>Seminarski</w:t>
            </w:r>
            <w:proofErr w:type="spellEnd"/>
            <w:r w:rsidRPr="00B24B36">
              <w:rPr>
                <w:rFonts w:ascii="Cambria" w:hAnsi="Cambria"/>
                <w:lang w:val="it-IT"/>
              </w:rPr>
              <w:t xml:space="preserve"> </w:t>
            </w:r>
            <w:proofErr w:type="spellStart"/>
            <w:r w:rsidRPr="00B24B36">
              <w:rPr>
                <w:rFonts w:ascii="Cambria" w:hAnsi="Cambria"/>
                <w:lang w:val="it-IT"/>
              </w:rPr>
              <w:t>radovi</w:t>
            </w:r>
            <w:proofErr w:type="spellEnd"/>
            <w:r w:rsidRPr="00B24B36">
              <w:rPr>
                <w:rFonts w:ascii="Cambria" w:hAnsi="Cambria"/>
                <w:lang w:val="it-IT"/>
              </w:rPr>
              <w:t xml:space="preserve"> </w:t>
            </w:r>
            <w:proofErr w:type="spellStart"/>
            <w:r w:rsidRPr="00B24B36">
              <w:rPr>
                <w:rFonts w:ascii="Cambria" w:hAnsi="Cambria"/>
                <w:lang w:val="it-IT"/>
              </w:rPr>
              <w:t>temelje</w:t>
            </w:r>
            <w:proofErr w:type="spellEnd"/>
            <w:r w:rsidRPr="00B24B36">
              <w:rPr>
                <w:rFonts w:ascii="Cambria" w:hAnsi="Cambria"/>
                <w:lang w:val="it-IT"/>
              </w:rPr>
              <w:t xml:space="preserve"> se </w:t>
            </w:r>
            <w:proofErr w:type="spellStart"/>
            <w:r w:rsidRPr="00B24B36">
              <w:rPr>
                <w:rFonts w:ascii="Cambria" w:hAnsi="Cambria"/>
                <w:lang w:val="it-IT"/>
              </w:rPr>
              <w:t>primarno</w:t>
            </w:r>
            <w:proofErr w:type="spellEnd"/>
            <w:r w:rsidRPr="00B24B36">
              <w:rPr>
                <w:rFonts w:ascii="Cambria" w:hAnsi="Cambria"/>
                <w:lang w:val="it-IT"/>
              </w:rPr>
              <w:t xml:space="preserve"> </w:t>
            </w:r>
            <w:proofErr w:type="spellStart"/>
            <w:r w:rsidRPr="00B24B36">
              <w:rPr>
                <w:rFonts w:ascii="Cambria" w:hAnsi="Cambria"/>
                <w:lang w:val="it-IT"/>
              </w:rPr>
              <w:t>na</w:t>
            </w:r>
            <w:proofErr w:type="spellEnd"/>
            <w:r w:rsidRPr="00B24B36">
              <w:rPr>
                <w:rFonts w:ascii="Cambria" w:hAnsi="Cambria"/>
                <w:lang w:val="it-IT"/>
              </w:rPr>
              <w:t xml:space="preserve"> </w:t>
            </w:r>
            <w:proofErr w:type="spellStart"/>
            <w:r w:rsidRPr="00B24B36">
              <w:rPr>
                <w:rFonts w:ascii="Cambria" w:hAnsi="Cambria"/>
                <w:lang w:val="it-IT"/>
              </w:rPr>
              <w:t>izbornoj</w:t>
            </w:r>
            <w:proofErr w:type="spellEnd"/>
            <w:r w:rsidRPr="00B24B36">
              <w:rPr>
                <w:rFonts w:ascii="Cambria" w:hAnsi="Cambria"/>
                <w:lang w:val="it-IT"/>
              </w:rPr>
              <w:t xml:space="preserve"> </w:t>
            </w:r>
            <w:proofErr w:type="spellStart"/>
            <w:r w:rsidRPr="00B24B36">
              <w:rPr>
                <w:rFonts w:ascii="Cambria" w:hAnsi="Cambria"/>
                <w:lang w:val="it-IT"/>
              </w:rPr>
              <w:t>literaturi</w:t>
            </w:r>
            <w:proofErr w:type="spellEnd"/>
            <w:r w:rsidRPr="00B24B36">
              <w:rPr>
                <w:rFonts w:ascii="Cambria" w:hAnsi="Cambria"/>
                <w:lang w:val="it-IT"/>
              </w:rPr>
              <w:t xml:space="preserve">, a za </w:t>
            </w:r>
            <w:proofErr w:type="spellStart"/>
            <w:r w:rsidRPr="00B24B36">
              <w:rPr>
                <w:rFonts w:ascii="Cambria" w:hAnsi="Cambria"/>
                <w:lang w:val="it-IT"/>
              </w:rPr>
              <w:t>svaku</w:t>
            </w:r>
            <w:proofErr w:type="spellEnd"/>
            <w:r w:rsidRPr="00B24B36">
              <w:rPr>
                <w:rFonts w:ascii="Cambria" w:hAnsi="Cambria"/>
                <w:lang w:val="it-IT"/>
              </w:rPr>
              <w:t xml:space="preserve"> </w:t>
            </w:r>
            <w:proofErr w:type="spellStart"/>
            <w:r w:rsidRPr="00B24B36">
              <w:rPr>
                <w:rFonts w:ascii="Cambria" w:hAnsi="Cambria"/>
                <w:lang w:val="it-IT"/>
              </w:rPr>
              <w:t>temu</w:t>
            </w:r>
            <w:proofErr w:type="spellEnd"/>
            <w:r w:rsidRPr="00B24B36">
              <w:rPr>
                <w:rFonts w:ascii="Cambria" w:hAnsi="Cambria"/>
                <w:lang w:val="it-IT"/>
              </w:rPr>
              <w:t xml:space="preserve"> bit </w:t>
            </w:r>
            <w:proofErr w:type="spellStart"/>
            <w:r w:rsidRPr="00B24B36">
              <w:rPr>
                <w:rFonts w:ascii="Cambria" w:hAnsi="Cambria"/>
                <w:lang w:val="it-IT"/>
              </w:rPr>
              <w:t>će</w:t>
            </w:r>
            <w:proofErr w:type="spellEnd"/>
            <w:r w:rsidRPr="00B24B36">
              <w:rPr>
                <w:rFonts w:ascii="Cambria" w:hAnsi="Cambria"/>
                <w:lang w:val="it-IT"/>
              </w:rPr>
              <w:t xml:space="preserve"> </w:t>
            </w:r>
            <w:proofErr w:type="spellStart"/>
            <w:r w:rsidRPr="00B24B36">
              <w:rPr>
                <w:rFonts w:ascii="Cambria" w:hAnsi="Cambria"/>
                <w:lang w:val="it-IT"/>
              </w:rPr>
              <w:t>preporučena</w:t>
            </w:r>
            <w:proofErr w:type="spellEnd"/>
            <w:r w:rsidRPr="00B24B36">
              <w:rPr>
                <w:rFonts w:ascii="Cambria" w:hAnsi="Cambria"/>
                <w:lang w:val="it-IT"/>
              </w:rPr>
              <w:t xml:space="preserve"> i </w:t>
            </w:r>
            <w:proofErr w:type="spellStart"/>
            <w:r w:rsidRPr="00B24B36">
              <w:rPr>
                <w:rFonts w:ascii="Cambria" w:hAnsi="Cambria"/>
                <w:lang w:val="it-IT"/>
              </w:rPr>
              <w:t>dodatna</w:t>
            </w:r>
            <w:proofErr w:type="spellEnd"/>
            <w:r w:rsidRPr="00B24B36">
              <w:rPr>
                <w:rFonts w:ascii="Cambria" w:hAnsi="Cambria"/>
                <w:lang w:val="it-IT"/>
              </w:rPr>
              <w:t xml:space="preserve"> </w:t>
            </w:r>
            <w:proofErr w:type="spellStart"/>
            <w:r w:rsidRPr="00B24B36">
              <w:rPr>
                <w:rFonts w:ascii="Cambria" w:hAnsi="Cambria"/>
                <w:lang w:val="it-IT"/>
              </w:rPr>
              <w:t>literatura</w:t>
            </w:r>
            <w:proofErr w:type="spellEnd"/>
            <w:r w:rsidRPr="00B24B36">
              <w:rPr>
                <w:rFonts w:ascii="Cambria" w:hAnsi="Cambria"/>
                <w:lang w:val="it-IT"/>
              </w:rPr>
              <w:t xml:space="preserve">. </w:t>
            </w:r>
            <w:proofErr w:type="spellStart"/>
            <w:r w:rsidRPr="00B24B36">
              <w:rPr>
                <w:rFonts w:ascii="Cambria" w:hAnsi="Cambria"/>
                <w:lang w:val="it-IT"/>
              </w:rPr>
              <w:t>Termin</w:t>
            </w:r>
            <w:proofErr w:type="spellEnd"/>
            <w:r w:rsidRPr="00B24B36">
              <w:rPr>
                <w:rFonts w:ascii="Cambria" w:hAnsi="Cambria"/>
                <w:lang w:val="it-IT"/>
              </w:rPr>
              <w:t xml:space="preserve"> </w:t>
            </w:r>
            <w:proofErr w:type="spellStart"/>
            <w:r w:rsidRPr="00B24B36">
              <w:rPr>
                <w:rFonts w:ascii="Cambria" w:hAnsi="Cambria"/>
                <w:lang w:val="it-IT"/>
              </w:rPr>
              <w:t>prezentacije</w:t>
            </w:r>
            <w:proofErr w:type="spellEnd"/>
            <w:r w:rsidRPr="00B24B36">
              <w:rPr>
                <w:rFonts w:ascii="Cambria" w:hAnsi="Cambria"/>
                <w:lang w:val="it-IT"/>
              </w:rPr>
              <w:t xml:space="preserve">, </w:t>
            </w:r>
            <w:proofErr w:type="spellStart"/>
            <w:r w:rsidRPr="00B24B36">
              <w:rPr>
                <w:rFonts w:ascii="Cambria" w:hAnsi="Cambria"/>
                <w:lang w:val="it-IT"/>
              </w:rPr>
              <w:t>kao</w:t>
            </w:r>
            <w:proofErr w:type="spellEnd"/>
            <w:r w:rsidRPr="00B24B36">
              <w:rPr>
                <w:rFonts w:ascii="Cambria" w:hAnsi="Cambria"/>
                <w:lang w:val="it-IT"/>
              </w:rPr>
              <w:t xml:space="preserve"> </w:t>
            </w:r>
            <w:proofErr w:type="gramStart"/>
            <w:r w:rsidRPr="00B24B36">
              <w:rPr>
                <w:rFonts w:ascii="Cambria" w:hAnsi="Cambria"/>
                <w:lang w:val="it-IT"/>
              </w:rPr>
              <w:t>i</w:t>
            </w:r>
            <w:proofErr w:type="gramEnd"/>
            <w:r w:rsidRPr="00B24B36">
              <w:rPr>
                <w:rFonts w:ascii="Cambria" w:hAnsi="Cambria"/>
                <w:lang w:val="it-IT"/>
              </w:rPr>
              <w:t xml:space="preserve"> ostali </w:t>
            </w:r>
            <w:proofErr w:type="spellStart"/>
            <w:r w:rsidRPr="00B24B36">
              <w:rPr>
                <w:rFonts w:ascii="Cambria" w:hAnsi="Cambria"/>
                <w:lang w:val="it-IT"/>
              </w:rPr>
              <w:t>formalni</w:t>
            </w:r>
            <w:proofErr w:type="spellEnd"/>
            <w:r w:rsidRPr="00B24B36">
              <w:rPr>
                <w:rFonts w:ascii="Cambria" w:hAnsi="Cambria"/>
                <w:lang w:val="it-IT"/>
              </w:rPr>
              <w:t xml:space="preserve"> i </w:t>
            </w:r>
            <w:proofErr w:type="spellStart"/>
            <w:r w:rsidRPr="00B24B36">
              <w:rPr>
                <w:rFonts w:ascii="Cambria" w:hAnsi="Cambria"/>
                <w:lang w:val="it-IT"/>
              </w:rPr>
              <w:t>sadržajni</w:t>
            </w:r>
            <w:proofErr w:type="spellEnd"/>
            <w:r w:rsidRPr="00B24B36">
              <w:rPr>
                <w:rFonts w:ascii="Cambria" w:hAnsi="Cambria"/>
                <w:lang w:val="it-IT"/>
              </w:rPr>
              <w:t xml:space="preserve"> </w:t>
            </w:r>
            <w:proofErr w:type="spellStart"/>
            <w:r w:rsidRPr="00B24B36">
              <w:rPr>
                <w:rFonts w:ascii="Cambria" w:hAnsi="Cambria"/>
                <w:lang w:val="it-IT"/>
              </w:rPr>
              <w:t>uvjeti</w:t>
            </w:r>
            <w:proofErr w:type="spellEnd"/>
            <w:r w:rsidRPr="00B24B36">
              <w:rPr>
                <w:rFonts w:ascii="Cambria" w:hAnsi="Cambria"/>
                <w:lang w:val="it-IT"/>
              </w:rPr>
              <w:t xml:space="preserve"> rada, </w:t>
            </w:r>
            <w:proofErr w:type="spellStart"/>
            <w:r w:rsidRPr="00B24B36">
              <w:rPr>
                <w:rFonts w:ascii="Cambria" w:hAnsi="Cambria"/>
                <w:lang w:val="it-IT"/>
              </w:rPr>
              <w:t>dogovaraju</w:t>
            </w:r>
            <w:proofErr w:type="spellEnd"/>
            <w:r w:rsidRPr="00B24B36">
              <w:rPr>
                <w:rFonts w:ascii="Cambria" w:hAnsi="Cambria"/>
                <w:lang w:val="it-IT"/>
              </w:rPr>
              <w:t xml:space="preserve"> se s </w:t>
            </w:r>
            <w:proofErr w:type="spellStart"/>
            <w:r w:rsidRPr="00B24B36">
              <w:rPr>
                <w:rFonts w:ascii="Cambria" w:hAnsi="Cambria"/>
                <w:lang w:val="it-IT"/>
              </w:rPr>
              <w:t>predmetnim</w:t>
            </w:r>
            <w:proofErr w:type="spellEnd"/>
            <w:r w:rsidRPr="00B24B36">
              <w:rPr>
                <w:rFonts w:ascii="Cambria" w:hAnsi="Cambria"/>
                <w:lang w:val="it-IT"/>
              </w:rPr>
              <w:t xml:space="preserve"> </w:t>
            </w:r>
            <w:proofErr w:type="spellStart"/>
            <w:r w:rsidRPr="00B24B36">
              <w:rPr>
                <w:rFonts w:ascii="Cambria" w:hAnsi="Cambria"/>
                <w:lang w:val="it-IT"/>
              </w:rPr>
              <w:t>nastavnikom</w:t>
            </w:r>
            <w:proofErr w:type="spellEnd"/>
            <w:r w:rsidRPr="00B24B36">
              <w:rPr>
                <w:rFonts w:ascii="Cambria" w:hAnsi="Cambria"/>
                <w:lang w:val="it-IT"/>
              </w:rPr>
              <w:t xml:space="preserve">. </w:t>
            </w:r>
            <w:proofErr w:type="spellStart"/>
            <w:r w:rsidRPr="00B24B36">
              <w:rPr>
                <w:rFonts w:ascii="Cambria" w:hAnsi="Cambria"/>
                <w:lang w:val="it-IT"/>
              </w:rPr>
              <w:t>Konačni</w:t>
            </w:r>
            <w:proofErr w:type="spellEnd"/>
            <w:r w:rsidRPr="00B24B36">
              <w:rPr>
                <w:rFonts w:ascii="Cambria" w:hAnsi="Cambria"/>
                <w:lang w:val="it-IT"/>
              </w:rPr>
              <w:t xml:space="preserve"> </w:t>
            </w:r>
            <w:proofErr w:type="spellStart"/>
            <w:r w:rsidRPr="00B24B36">
              <w:rPr>
                <w:rFonts w:ascii="Cambria" w:hAnsi="Cambria"/>
                <w:lang w:val="it-IT"/>
              </w:rPr>
              <w:t>oblik</w:t>
            </w:r>
            <w:proofErr w:type="spellEnd"/>
            <w:r w:rsidRPr="00B24B36">
              <w:rPr>
                <w:rFonts w:ascii="Cambria" w:hAnsi="Cambria"/>
                <w:lang w:val="it-IT"/>
              </w:rPr>
              <w:t xml:space="preserve"> rada </w:t>
            </w:r>
            <w:proofErr w:type="spellStart"/>
            <w:r w:rsidRPr="00B24B36">
              <w:rPr>
                <w:rFonts w:ascii="Cambria" w:hAnsi="Cambria"/>
                <w:lang w:val="it-IT"/>
              </w:rPr>
              <w:t>treba</w:t>
            </w:r>
            <w:proofErr w:type="spellEnd"/>
            <w:r w:rsidRPr="00B24B36">
              <w:rPr>
                <w:rFonts w:ascii="Cambria" w:hAnsi="Cambria"/>
                <w:lang w:val="it-IT"/>
              </w:rPr>
              <w:t xml:space="preserve"> predati </w:t>
            </w:r>
            <w:proofErr w:type="spellStart"/>
            <w:r w:rsidRPr="00B24B36">
              <w:rPr>
                <w:rFonts w:ascii="Cambria" w:hAnsi="Cambria"/>
                <w:lang w:val="it-IT"/>
              </w:rPr>
              <w:t>najmanje</w:t>
            </w:r>
            <w:proofErr w:type="spellEnd"/>
            <w:r w:rsidRPr="00B24B36">
              <w:rPr>
                <w:rFonts w:ascii="Cambria" w:hAnsi="Cambria"/>
                <w:lang w:val="it-IT"/>
              </w:rPr>
              <w:t xml:space="preserve"> </w:t>
            </w:r>
            <w:proofErr w:type="spellStart"/>
            <w:r w:rsidRPr="00B24B36">
              <w:rPr>
                <w:rFonts w:ascii="Cambria" w:hAnsi="Cambria"/>
                <w:lang w:val="it-IT"/>
              </w:rPr>
              <w:t>tjedan</w:t>
            </w:r>
            <w:proofErr w:type="spellEnd"/>
            <w:r w:rsidRPr="00B24B36">
              <w:rPr>
                <w:rFonts w:ascii="Cambria" w:hAnsi="Cambria"/>
                <w:lang w:val="it-IT"/>
              </w:rPr>
              <w:t xml:space="preserve"> </w:t>
            </w:r>
            <w:proofErr w:type="spellStart"/>
            <w:r w:rsidRPr="00B24B36">
              <w:rPr>
                <w:rFonts w:ascii="Cambria" w:hAnsi="Cambria"/>
                <w:lang w:val="it-IT"/>
              </w:rPr>
              <w:t>dana</w:t>
            </w:r>
            <w:proofErr w:type="spellEnd"/>
            <w:r w:rsidRPr="00B24B36">
              <w:rPr>
                <w:rFonts w:ascii="Cambria" w:hAnsi="Cambria"/>
                <w:lang w:val="it-IT"/>
              </w:rPr>
              <w:t xml:space="preserve"> </w:t>
            </w:r>
            <w:proofErr w:type="spellStart"/>
            <w:r w:rsidRPr="00B24B36">
              <w:rPr>
                <w:rFonts w:ascii="Cambria" w:hAnsi="Cambria"/>
                <w:lang w:val="it-IT"/>
              </w:rPr>
              <w:t>prije</w:t>
            </w:r>
            <w:proofErr w:type="spellEnd"/>
            <w:r w:rsidRPr="00B24B36">
              <w:rPr>
                <w:rFonts w:ascii="Cambria" w:hAnsi="Cambria"/>
                <w:lang w:val="it-IT"/>
              </w:rPr>
              <w:t xml:space="preserve"> </w:t>
            </w:r>
            <w:proofErr w:type="spellStart"/>
            <w:r w:rsidRPr="00B24B36">
              <w:rPr>
                <w:rFonts w:ascii="Cambria" w:hAnsi="Cambria"/>
                <w:lang w:val="it-IT"/>
              </w:rPr>
              <w:t>ispita</w:t>
            </w:r>
            <w:proofErr w:type="spellEnd"/>
            <w:r w:rsidRPr="00B24B36">
              <w:rPr>
                <w:rFonts w:ascii="Cambria" w:hAnsi="Cambria"/>
                <w:lang w:val="it-IT"/>
              </w:rPr>
              <w:t xml:space="preserve">. Pri </w:t>
            </w:r>
            <w:proofErr w:type="spellStart"/>
            <w:r w:rsidRPr="00B24B36">
              <w:rPr>
                <w:rFonts w:ascii="Cambria" w:hAnsi="Cambria"/>
                <w:lang w:val="it-IT"/>
              </w:rPr>
              <w:t>izradi</w:t>
            </w:r>
            <w:proofErr w:type="spellEnd"/>
            <w:r w:rsidRPr="00B24B36">
              <w:rPr>
                <w:rFonts w:ascii="Cambria" w:hAnsi="Cambria"/>
                <w:lang w:val="it-IT"/>
              </w:rPr>
              <w:t xml:space="preserve"> </w:t>
            </w:r>
            <w:proofErr w:type="spellStart"/>
            <w:r w:rsidRPr="00B24B36">
              <w:rPr>
                <w:rFonts w:ascii="Cambria" w:hAnsi="Cambria"/>
                <w:lang w:val="it-IT"/>
              </w:rPr>
              <w:t>seminarskog</w:t>
            </w:r>
            <w:proofErr w:type="spellEnd"/>
            <w:r w:rsidRPr="00B24B36">
              <w:rPr>
                <w:rFonts w:ascii="Cambria" w:hAnsi="Cambria"/>
                <w:lang w:val="it-IT"/>
              </w:rPr>
              <w:t xml:space="preserve"> rada </w:t>
            </w:r>
            <w:proofErr w:type="spellStart"/>
            <w:r w:rsidRPr="00B24B36">
              <w:rPr>
                <w:rFonts w:ascii="Cambria" w:hAnsi="Cambria"/>
                <w:lang w:val="it-IT"/>
              </w:rPr>
              <w:t>potrebno</w:t>
            </w:r>
            <w:proofErr w:type="spellEnd"/>
            <w:r w:rsidRPr="00B24B36">
              <w:rPr>
                <w:rFonts w:ascii="Cambria" w:hAnsi="Cambria"/>
                <w:lang w:val="it-IT"/>
              </w:rPr>
              <w:t xml:space="preserve"> je </w:t>
            </w:r>
            <w:proofErr w:type="spellStart"/>
            <w:r w:rsidRPr="00B24B36">
              <w:rPr>
                <w:rFonts w:ascii="Cambria" w:hAnsi="Cambria"/>
                <w:lang w:val="it-IT"/>
              </w:rPr>
              <w:t>poštovati</w:t>
            </w:r>
            <w:proofErr w:type="spellEnd"/>
            <w:r w:rsidRPr="00B24B36">
              <w:rPr>
                <w:rFonts w:ascii="Cambria" w:hAnsi="Cambria"/>
                <w:lang w:val="it-IT"/>
              </w:rPr>
              <w:t xml:space="preserve"> </w:t>
            </w:r>
            <w:proofErr w:type="spellStart"/>
            <w:r w:rsidRPr="00B24B36">
              <w:rPr>
                <w:rFonts w:ascii="Cambria" w:hAnsi="Cambria"/>
                <w:lang w:val="it-IT"/>
              </w:rPr>
              <w:t>objavljene</w:t>
            </w:r>
            <w:proofErr w:type="spellEnd"/>
            <w:r w:rsidRPr="00B24B36">
              <w:rPr>
                <w:rFonts w:ascii="Cambria" w:hAnsi="Cambria"/>
                <w:lang w:val="it-IT"/>
              </w:rPr>
              <w:t xml:space="preserve"> </w:t>
            </w:r>
            <w:proofErr w:type="spellStart"/>
            <w:r w:rsidRPr="00B2232B">
              <w:rPr>
                <w:rFonts w:ascii="Cambria" w:hAnsi="Cambria"/>
                <w:lang w:val="it-IT"/>
              </w:rPr>
              <w:t>Upute</w:t>
            </w:r>
            <w:proofErr w:type="spellEnd"/>
            <w:r w:rsidRPr="00B2232B">
              <w:rPr>
                <w:rFonts w:ascii="Cambria" w:hAnsi="Cambria"/>
                <w:lang w:val="it-IT"/>
              </w:rPr>
              <w:t xml:space="preserve"> za </w:t>
            </w:r>
            <w:proofErr w:type="spellStart"/>
            <w:r w:rsidRPr="00B2232B">
              <w:rPr>
                <w:rFonts w:ascii="Cambria" w:hAnsi="Cambria"/>
                <w:lang w:val="it-IT"/>
              </w:rPr>
              <w:t>pisanje</w:t>
            </w:r>
            <w:proofErr w:type="spellEnd"/>
            <w:r w:rsidRPr="00B2232B">
              <w:rPr>
                <w:rFonts w:ascii="Cambria" w:hAnsi="Cambria"/>
                <w:lang w:val="it-IT"/>
              </w:rPr>
              <w:t xml:space="preserve"> </w:t>
            </w:r>
            <w:proofErr w:type="spellStart"/>
            <w:r w:rsidRPr="00B2232B">
              <w:rPr>
                <w:rFonts w:ascii="Cambria" w:hAnsi="Cambria"/>
                <w:lang w:val="it-IT"/>
              </w:rPr>
              <w:t>seminarskih</w:t>
            </w:r>
            <w:proofErr w:type="spellEnd"/>
            <w:r w:rsidRPr="00B2232B">
              <w:rPr>
                <w:rFonts w:ascii="Cambria" w:hAnsi="Cambria"/>
                <w:lang w:val="it-IT"/>
              </w:rPr>
              <w:t xml:space="preserve"> </w:t>
            </w:r>
            <w:proofErr w:type="spellStart"/>
            <w:r w:rsidRPr="00B2232B">
              <w:rPr>
                <w:rFonts w:ascii="Cambria" w:hAnsi="Cambria"/>
                <w:lang w:val="it-IT"/>
              </w:rPr>
              <w:t>završnih</w:t>
            </w:r>
            <w:proofErr w:type="spellEnd"/>
            <w:r w:rsidRPr="00B2232B">
              <w:rPr>
                <w:rFonts w:ascii="Cambria" w:hAnsi="Cambria"/>
                <w:lang w:val="it-IT"/>
              </w:rPr>
              <w:t xml:space="preserve"> i </w:t>
            </w:r>
            <w:proofErr w:type="spellStart"/>
            <w:r w:rsidRPr="00B2232B">
              <w:rPr>
                <w:rFonts w:ascii="Cambria" w:hAnsi="Cambria"/>
                <w:lang w:val="it-IT"/>
              </w:rPr>
              <w:t>diplomskih</w:t>
            </w:r>
            <w:proofErr w:type="spellEnd"/>
            <w:r w:rsidRPr="00B2232B">
              <w:rPr>
                <w:rFonts w:ascii="Cambria" w:hAnsi="Cambria"/>
                <w:lang w:val="it-IT"/>
              </w:rPr>
              <w:t xml:space="preserve"> </w:t>
            </w:r>
            <w:proofErr w:type="spellStart"/>
            <w:r w:rsidRPr="00B2232B">
              <w:rPr>
                <w:rFonts w:ascii="Cambria" w:hAnsi="Cambria"/>
                <w:lang w:val="it-IT"/>
              </w:rPr>
              <w:t>radova</w:t>
            </w:r>
            <w:proofErr w:type="spellEnd"/>
            <w:r w:rsidRPr="00B2232B">
              <w:rPr>
                <w:rFonts w:ascii="Cambria" w:hAnsi="Cambria"/>
                <w:lang w:val="it-IT"/>
              </w:rPr>
              <w:t xml:space="preserve"> </w:t>
            </w:r>
            <w:proofErr w:type="spellStart"/>
            <w:r w:rsidRPr="00B2232B">
              <w:rPr>
                <w:rFonts w:ascii="Cambria" w:hAnsi="Cambria"/>
                <w:lang w:val="it-IT"/>
              </w:rPr>
              <w:t>na</w:t>
            </w:r>
            <w:proofErr w:type="spellEnd"/>
            <w:r w:rsidRPr="00B2232B">
              <w:rPr>
                <w:rFonts w:ascii="Cambria" w:hAnsi="Cambria"/>
                <w:lang w:val="it-IT"/>
              </w:rPr>
              <w:t xml:space="preserve"> </w:t>
            </w:r>
            <w:proofErr w:type="spellStart"/>
            <w:r w:rsidRPr="00B2232B">
              <w:rPr>
                <w:rFonts w:ascii="Cambria" w:hAnsi="Cambria"/>
                <w:lang w:val="it-IT"/>
              </w:rPr>
              <w:t>hrvatskom</w:t>
            </w:r>
            <w:proofErr w:type="spellEnd"/>
            <w:r w:rsidRPr="00B2232B">
              <w:rPr>
                <w:rFonts w:ascii="Cambria" w:hAnsi="Cambria"/>
                <w:lang w:val="it-IT"/>
              </w:rPr>
              <w:t xml:space="preserve"> </w:t>
            </w:r>
            <w:proofErr w:type="spellStart"/>
            <w:r w:rsidRPr="00B2232B">
              <w:rPr>
                <w:rFonts w:ascii="Cambria" w:hAnsi="Cambria"/>
                <w:lang w:val="it-IT"/>
              </w:rPr>
              <w:t>jeziku</w:t>
            </w:r>
            <w:proofErr w:type="spellEnd"/>
            <w:r w:rsidRPr="00B2232B">
              <w:rPr>
                <w:rFonts w:ascii="Cambria" w:hAnsi="Cambria"/>
                <w:lang w:val="it-IT"/>
              </w:rPr>
              <w:t xml:space="preserve">. </w:t>
            </w:r>
          </w:p>
          <w:p w14:paraId="098B071C" w14:textId="77777777" w:rsidR="001F51C2" w:rsidRPr="00B24B36" w:rsidRDefault="001F51C2" w:rsidP="00B24B36">
            <w:pPr>
              <w:spacing w:after="0" w:line="240" w:lineRule="auto"/>
              <w:jc w:val="both"/>
              <w:rPr>
                <w:rFonts w:ascii="Cambria" w:hAnsi="Cambria"/>
                <w:kern w:val="2"/>
                <w:lang w:val="it-IT"/>
                <w14:ligatures w14:val="standardContextual"/>
              </w:rPr>
            </w:pPr>
            <w:r w:rsidRPr="00B24B36">
              <w:rPr>
                <w:rFonts w:ascii="Cambria" w:hAnsi="Cambria"/>
                <w:kern w:val="2"/>
                <w:lang w:val="it-IT"/>
                <w14:ligatures w14:val="standardContextual"/>
              </w:rPr>
              <w:t xml:space="preserve">Pri </w:t>
            </w:r>
            <w:proofErr w:type="spellStart"/>
            <w:r w:rsidRPr="00B24B36">
              <w:rPr>
                <w:rFonts w:ascii="Cambria" w:hAnsi="Cambria"/>
                <w:kern w:val="2"/>
                <w:lang w:val="it-IT"/>
                <w14:ligatures w14:val="standardContextual"/>
              </w:rPr>
              <w:t>vrednovanju</w:t>
            </w:r>
            <w:proofErr w:type="spellEnd"/>
            <w:r w:rsidRPr="00B24B36">
              <w:rPr>
                <w:rFonts w:ascii="Cambria" w:hAnsi="Cambria"/>
                <w:kern w:val="2"/>
                <w:lang w:val="it-IT"/>
                <w14:ligatures w14:val="standardContextual"/>
              </w:rPr>
              <w:t xml:space="preserve"> </w:t>
            </w:r>
            <w:proofErr w:type="spellStart"/>
            <w:r w:rsidRPr="00B24B36">
              <w:rPr>
                <w:rFonts w:ascii="Cambria" w:hAnsi="Cambria"/>
                <w:kern w:val="2"/>
                <w:lang w:val="it-IT"/>
                <w14:ligatures w14:val="standardContextual"/>
              </w:rPr>
              <w:t>seminarskog</w:t>
            </w:r>
            <w:proofErr w:type="spellEnd"/>
            <w:r w:rsidRPr="00B24B36">
              <w:rPr>
                <w:rFonts w:ascii="Cambria" w:hAnsi="Cambria"/>
                <w:kern w:val="2"/>
                <w:lang w:val="it-IT"/>
                <w14:ligatures w14:val="standardContextual"/>
              </w:rPr>
              <w:t xml:space="preserve"> rada </w:t>
            </w:r>
            <w:proofErr w:type="spellStart"/>
            <w:r w:rsidRPr="00B24B36">
              <w:rPr>
                <w:rFonts w:ascii="Cambria" w:hAnsi="Cambria"/>
                <w:kern w:val="2"/>
                <w:lang w:val="it-IT"/>
                <w14:ligatures w14:val="standardContextual"/>
              </w:rPr>
              <w:t>važni</w:t>
            </w:r>
            <w:proofErr w:type="spellEnd"/>
            <w:r w:rsidRPr="00B24B36">
              <w:rPr>
                <w:rFonts w:ascii="Cambria" w:hAnsi="Cambria"/>
                <w:kern w:val="2"/>
                <w:lang w:val="it-IT"/>
                <w14:ligatures w14:val="standardContextual"/>
              </w:rPr>
              <w:t xml:space="preserve"> su </w:t>
            </w:r>
            <w:proofErr w:type="spellStart"/>
            <w:r w:rsidRPr="00B24B36">
              <w:rPr>
                <w:rFonts w:ascii="Cambria" w:hAnsi="Cambria"/>
                <w:kern w:val="2"/>
                <w:lang w:val="it-IT"/>
                <w14:ligatures w14:val="standardContextual"/>
              </w:rPr>
              <w:t>sljedeći</w:t>
            </w:r>
            <w:proofErr w:type="spellEnd"/>
            <w:r w:rsidRPr="00B24B36">
              <w:rPr>
                <w:rFonts w:ascii="Cambria" w:hAnsi="Cambria"/>
                <w:kern w:val="2"/>
                <w:lang w:val="it-IT"/>
                <w14:ligatures w14:val="standardContextual"/>
              </w:rPr>
              <w:t xml:space="preserve"> </w:t>
            </w:r>
            <w:proofErr w:type="spellStart"/>
            <w:r w:rsidRPr="00B24B36">
              <w:rPr>
                <w:rFonts w:ascii="Cambria" w:hAnsi="Cambria"/>
                <w:kern w:val="2"/>
                <w:lang w:val="it-IT"/>
                <w14:ligatures w14:val="standardContextual"/>
              </w:rPr>
              <w:t>kriteriji</w:t>
            </w:r>
            <w:proofErr w:type="spellEnd"/>
            <w:r w:rsidRPr="00B24B36">
              <w:rPr>
                <w:rFonts w:ascii="Cambria" w:hAnsi="Cambria"/>
                <w:kern w:val="2"/>
                <w:lang w:val="it-IT"/>
                <w14:ligatures w14:val="standardContextual"/>
              </w:rPr>
              <w:t xml:space="preserve">: a) </w:t>
            </w:r>
            <w:proofErr w:type="spellStart"/>
            <w:r w:rsidRPr="00B24B36">
              <w:rPr>
                <w:rFonts w:ascii="Cambria" w:hAnsi="Cambria"/>
                <w:kern w:val="2"/>
                <w:lang w:val="it-IT"/>
                <w14:ligatures w14:val="standardContextual"/>
              </w:rPr>
              <w:t>artikulacija</w:t>
            </w:r>
            <w:proofErr w:type="spellEnd"/>
            <w:r w:rsidRPr="00B24B36">
              <w:rPr>
                <w:rFonts w:ascii="Cambria" w:hAnsi="Cambria"/>
                <w:kern w:val="2"/>
                <w:lang w:val="it-IT"/>
                <w14:ligatures w14:val="standardContextual"/>
              </w:rPr>
              <w:t xml:space="preserve"> - </w:t>
            </w:r>
            <w:proofErr w:type="spellStart"/>
            <w:r w:rsidRPr="00B24B36">
              <w:rPr>
                <w:rFonts w:ascii="Cambria" w:hAnsi="Cambria"/>
                <w:kern w:val="2"/>
                <w:lang w:val="it-IT"/>
                <w14:ligatures w14:val="standardContextual"/>
              </w:rPr>
              <w:t>relevantnost</w:t>
            </w:r>
            <w:proofErr w:type="spellEnd"/>
            <w:r w:rsidRPr="00B24B36">
              <w:rPr>
                <w:rFonts w:ascii="Cambria" w:hAnsi="Cambria"/>
                <w:kern w:val="2"/>
                <w:lang w:val="it-IT"/>
                <w14:ligatures w14:val="standardContextual"/>
              </w:rPr>
              <w:t xml:space="preserve"> (</w:t>
            </w:r>
            <w:proofErr w:type="spellStart"/>
            <w:r w:rsidRPr="00B24B36">
              <w:rPr>
                <w:rFonts w:ascii="Cambria" w:hAnsi="Cambria"/>
                <w:kern w:val="2"/>
                <w:lang w:val="it-IT"/>
                <w14:ligatures w14:val="standardContextual"/>
              </w:rPr>
              <w:t>pokrivenost</w:t>
            </w:r>
            <w:proofErr w:type="spellEnd"/>
            <w:r w:rsidRPr="00B24B36">
              <w:rPr>
                <w:rFonts w:ascii="Cambria" w:hAnsi="Cambria"/>
                <w:kern w:val="2"/>
                <w:lang w:val="it-IT"/>
                <w14:ligatures w14:val="standardContextual"/>
              </w:rPr>
              <w:t xml:space="preserve"> teme), </w:t>
            </w:r>
            <w:proofErr w:type="spellStart"/>
            <w:r w:rsidRPr="00B24B36">
              <w:rPr>
                <w:rFonts w:ascii="Cambria" w:hAnsi="Cambria"/>
                <w:kern w:val="2"/>
                <w:lang w:val="it-IT"/>
                <w14:ligatures w14:val="standardContextual"/>
              </w:rPr>
              <w:t>organizacija</w:t>
            </w:r>
            <w:proofErr w:type="spellEnd"/>
            <w:r w:rsidRPr="00B24B36">
              <w:rPr>
                <w:rFonts w:ascii="Cambria" w:hAnsi="Cambria"/>
                <w:kern w:val="2"/>
                <w:lang w:val="it-IT"/>
                <w14:ligatures w14:val="standardContextual"/>
              </w:rPr>
              <w:t xml:space="preserve"> (</w:t>
            </w:r>
            <w:proofErr w:type="spellStart"/>
            <w:r w:rsidRPr="00B24B36">
              <w:rPr>
                <w:rFonts w:ascii="Cambria" w:hAnsi="Cambria"/>
                <w:kern w:val="2"/>
                <w:lang w:val="it-IT"/>
                <w14:ligatures w14:val="standardContextual"/>
              </w:rPr>
              <w:t>preglednost</w:t>
            </w:r>
            <w:proofErr w:type="spellEnd"/>
            <w:r w:rsidRPr="00B24B36">
              <w:rPr>
                <w:rFonts w:ascii="Cambria" w:hAnsi="Cambria"/>
                <w:kern w:val="2"/>
                <w:lang w:val="it-IT"/>
                <w14:ligatures w14:val="standardContextual"/>
              </w:rPr>
              <w:t xml:space="preserve"> i </w:t>
            </w:r>
            <w:proofErr w:type="spellStart"/>
            <w:r w:rsidRPr="00B24B36">
              <w:rPr>
                <w:rFonts w:ascii="Cambria" w:hAnsi="Cambria"/>
                <w:kern w:val="2"/>
                <w:lang w:val="it-IT"/>
                <w14:ligatures w14:val="standardContextual"/>
              </w:rPr>
              <w:t>povezanost</w:t>
            </w:r>
            <w:proofErr w:type="spellEnd"/>
            <w:r w:rsidRPr="00B24B36">
              <w:rPr>
                <w:rFonts w:ascii="Cambria" w:hAnsi="Cambria"/>
                <w:kern w:val="2"/>
                <w:lang w:val="it-IT"/>
                <w14:ligatures w14:val="standardContextual"/>
              </w:rPr>
              <w:t xml:space="preserve"> </w:t>
            </w:r>
            <w:proofErr w:type="spellStart"/>
            <w:r w:rsidRPr="00B24B36">
              <w:rPr>
                <w:rFonts w:ascii="Cambria" w:hAnsi="Cambria"/>
                <w:kern w:val="2"/>
                <w:lang w:val="it-IT"/>
                <w14:ligatures w14:val="standardContextual"/>
              </w:rPr>
              <w:t>strukture</w:t>
            </w:r>
            <w:proofErr w:type="spellEnd"/>
            <w:r w:rsidRPr="00B24B36">
              <w:rPr>
                <w:rFonts w:ascii="Cambria" w:hAnsi="Cambria"/>
                <w:kern w:val="2"/>
                <w:lang w:val="it-IT"/>
                <w14:ligatures w14:val="standardContextual"/>
              </w:rPr>
              <w:t xml:space="preserve">); b) </w:t>
            </w:r>
            <w:proofErr w:type="spellStart"/>
            <w:r w:rsidRPr="00B24B36">
              <w:rPr>
                <w:rFonts w:ascii="Cambria" w:hAnsi="Cambria"/>
                <w:kern w:val="2"/>
                <w:lang w:val="it-IT"/>
                <w14:ligatures w14:val="standardContextual"/>
              </w:rPr>
              <w:t>argumentacija</w:t>
            </w:r>
            <w:proofErr w:type="spellEnd"/>
            <w:r w:rsidRPr="00B24B36">
              <w:rPr>
                <w:rFonts w:ascii="Cambria" w:hAnsi="Cambria"/>
                <w:kern w:val="2"/>
                <w:lang w:val="it-IT"/>
                <w14:ligatures w14:val="standardContextual"/>
              </w:rPr>
              <w:t xml:space="preserve"> - </w:t>
            </w:r>
            <w:proofErr w:type="spellStart"/>
            <w:r w:rsidRPr="00B24B36">
              <w:rPr>
                <w:rFonts w:ascii="Cambria" w:hAnsi="Cambria"/>
                <w:kern w:val="2"/>
                <w:lang w:val="it-IT"/>
                <w14:ligatures w14:val="standardContextual"/>
              </w:rPr>
              <w:t>točnost</w:t>
            </w:r>
            <w:proofErr w:type="spellEnd"/>
            <w:r w:rsidRPr="00B24B36">
              <w:rPr>
                <w:rFonts w:ascii="Cambria" w:hAnsi="Cambria"/>
                <w:kern w:val="2"/>
                <w:lang w:val="it-IT"/>
                <w14:ligatures w14:val="standardContextual"/>
              </w:rPr>
              <w:t xml:space="preserve">, </w:t>
            </w:r>
            <w:proofErr w:type="spellStart"/>
            <w:r w:rsidRPr="00B24B36">
              <w:rPr>
                <w:rFonts w:ascii="Cambria" w:hAnsi="Cambria"/>
                <w:kern w:val="2"/>
                <w:lang w:val="it-IT"/>
                <w14:ligatures w14:val="standardContextual"/>
              </w:rPr>
              <w:t>obrazloženost</w:t>
            </w:r>
            <w:proofErr w:type="spellEnd"/>
            <w:r w:rsidRPr="00B24B36">
              <w:rPr>
                <w:rFonts w:ascii="Cambria" w:hAnsi="Cambria"/>
                <w:kern w:val="2"/>
                <w:lang w:val="it-IT"/>
                <w14:ligatures w14:val="standardContextual"/>
              </w:rPr>
              <w:t xml:space="preserve">, </w:t>
            </w:r>
            <w:proofErr w:type="spellStart"/>
            <w:r w:rsidRPr="00B24B36">
              <w:rPr>
                <w:rFonts w:ascii="Cambria" w:hAnsi="Cambria"/>
                <w:kern w:val="2"/>
                <w:lang w:val="it-IT"/>
                <w14:ligatures w14:val="standardContextual"/>
              </w:rPr>
              <w:t>iscrpnost</w:t>
            </w:r>
            <w:proofErr w:type="spellEnd"/>
            <w:r w:rsidRPr="00B24B36">
              <w:rPr>
                <w:rFonts w:ascii="Cambria" w:hAnsi="Cambria"/>
                <w:kern w:val="2"/>
                <w:lang w:val="it-IT"/>
                <w14:ligatures w14:val="standardContextual"/>
              </w:rPr>
              <w:t xml:space="preserve">, </w:t>
            </w:r>
            <w:proofErr w:type="spellStart"/>
            <w:r w:rsidRPr="00B24B36">
              <w:rPr>
                <w:rFonts w:ascii="Cambria" w:hAnsi="Cambria"/>
                <w:kern w:val="2"/>
                <w:lang w:val="it-IT"/>
                <w14:ligatures w14:val="standardContextual"/>
              </w:rPr>
              <w:t>razina</w:t>
            </w:r>
            <w:proofErr w:type="spellEnd"/>
            <w:r w:rsidRPr="00B24B36">
              <w:rPr>
                <w:rFonts w:ascii="Cambria" w:hAnsi="Cambria"/>
                <w:kern w:val="2"/>
                <w:lang w:val="it-IT"/>
                <w14:ligatures w14:val="standardContextual"/>
              </w:rPr>
              <w:t xml:space="preserve"> </w:t>
            </w:r>
            <w:proofErr w:type="spellStart"/>
            <w:r w:rsidRPr="00B24B36">
              <w:rPr>
                <w:rFonts w:ascii="Cambria" w:hAnsi="Cambria"/>
                <w:kern w:val="2"/>
                <w:lang w:val="it-IT"/>
                <w14:ligatures w14:val="standardContextual"/>
              </w:rPr>
              <w:t>kritičnosti</w:t>
            </w:r>
            <w:proofErr w:type="spellEnd"/>
            <w:r w:rsidRPr="00B24B36">
              <w:rPr>
                <w:rFonts w:ascii="Cambria" w:hAnsi="Cambria"/>
                <w:kern w:val="2"/>
                <w:lang w:val="it-IT"/>
                <w14:ligatures w14:val="standardContextual"/>
              </w:rPr>
              <w:t xml:space="preserve">; c) </w:t>
            </w:r>
            <w:proofErr w:type="spellStart"/>
            <w:r w:rsidRPr="00B24B36">
              <w:rPr>
                <w:rFonts w:ascii="Cambria" w:hAnsi="Cambria"/>
                <w:kern w:val="2"/>
                <w:lang w:val="it-IT"/>
                <w14:ligatures w14:val="standardContextual"/>
              </w:rPr>
              <w:t>potkrepa</w:t>
            </w:r>
            <w:proofErr w:type="spellEnd"/>
            <w:r w:rsidRPr="00B24B36">
              <w:rPr>
                <w:rFonts w:ascii="Cambria" w:hAnsi="Cambria"/>
                <w:kern w:val="2"/>
                <w:lang w:val="it-IT"/>
                <w14:ligatures w14:val="standardContextual"/>
              </w:rPr>
              <w:t xml:space="preserve"> - </w:t>
            </w:r>
            <w:proofErr w:type="spellStart"/>
            <w:r w:rsidRPr="00B24B36">
              <w:rPr>
                <w:rFonts w:ascii="Cambria" w:hAnsi="Cambria"/>
                <w:kern w:val="2"/>
                <w:lang w:val="it-IT"/>
                <w14:ligatures w14:val="standardContextual"/>
              </w:rPr>
              <w:t>primjereno</w:t>
            </w:r>
            <w:proofErr w:type="spellEnd"/>
            <w:r w:rsidRPr="00B24B36">
              <w:rPr>
                <w:rFonts w:ascii="Cambria" w:hAnsi="Cambria"/>
                <w:kern w:val="2"/>
                <w:lang w:val="it-IT"/>
                <w14:ligatures w14:val="standardContextual"/>
              </w:rPr>
              <w:t xml:space="preserve"> </w:t>
            </w:r>
            <w:proofErr w:type="spellStart"/>
            <w:r w:rsidRPr="00B24B36">
              <w:rPr>
                <w:rFonts w:ascii="Cambria" w:hAnsi="Cambria"/>
                <w:kern w:val="2"/>
                <w:lang w:val="it-IT"/>
                <w14:ligatures w14:val="standardContextual"/>
              </w:rPr>
              <w:t>korištenje</w:t>
            </w:r>
            <w:proofErr w:type="spellEnd"/>
            <w:r w:rsidRPr="00B24B36">
              <w:rPr>
                <w:rFonts w:ascii="Cambria" w:hAnsi="Cambria"/>
                <w:kern w:val="2"/>
                <w:lang w:val="it-IT"/>
                <w14:ligatures w14:val="standardContextual"/>
              </w:rPr>
              <w:t xml:space="preserve"> literature, </w:t>
            </w:r>
            <w:proofErr w:type="spellStart"/>
            <w:r w:rsidRPr="00B24B36">
              <w:rPr>
                <w:rFonts w:ascii="Cambria" w:hAnsi="Cambria"/>
                <w:kern w:val="2"/>
                <w:lang w:val="it-IT"/>
                <w14:ligatures w14:val="standardContextual"/>
              </w:rPr>
              <w:t>adekvatnost</w:t>
            </w:r>
            <w:proofErr w:type="spellEnd"/>
            <w:r w:rsidRPr="00B24B36">
              <w:rPr>
                <w:rFonts w:ascii="Cambria" w:hAnsi="Cambria"/>
                <w:kern w:val="2"/>
                <w:lang w:val="it-IT"/>
                <w14:ligatures w14:val="standardContextual"/>
              </w:rPr>
              <w:t xml:space="preserve"> </w:t>
            </w:r>
            <w:proofErr w:type="spellStart"/>
            <w:r w:rsidRPr="00B24B36">
              <w:rPr>
                <w:rFonts w:ascii="Cambria" w:hAnsi="Cambria"/>
                <w:kern w:val="2"/>
                <w:lang w:val="it-IT"/>
                <w14:ligatures w14:val="standardContextual"/>
              </w:rPr>
              <w:t>navoda</w:t>
            </w:r>
            <w:proofErr w:type="spellEnd"/>
            <w:r w:rsidRPr="00B24B36">
              <w:rPr>
                <w:rFonts w:ascii="Cambria" w:hAnsi="Cambria"/>
                <w:kern w:val="2"/>
                <w:lang w:val="it-IT"/>
                <w14:ligatures w14:val="standardContextual"/>
              </w:rPr>
              <w:t xml:space="preserve">; d) </w:t>
            </w:r>
            <w:proofErr w:type="spellStart"/>
            <w:r w:rsidRPr="00B24B36">
              <w:rPr>
                <w:rFonts w:ascii="Cambria" w:hAnsi="Cambria"/>
                <w:kern w:val="2"/>
                <w:lang w:val="it-IT"/>
                <w14:ligatures w14:val="standardContextual"/>
              </w:rPr>
              <w:t>izlaganje</w:t>
            </w:r>
            <w:proofErr w:type="spellEnd"/>
            <w:r w:rsidRPr="00B24B36">
              <w:rPr>
                <w:rFonts w:ascii="Cambria" w:hAnsi="Cambria"/>
                <w:kern w:val="2"/>
                <w:lang w:val="it-IT"/>
                <w14:ligatures w14:val="standardContextual"/>
              </w:rPr>
              <w:t xml:space="preserve"> - </w:t>
            </w:r>
            <w:proofErr w:type="spellStart"/>
            <w:r w:rsidRPr="00B24B36">
              <w:rPr>
                <w:rFonts w:ascii="Cambria" w:hAnsi="Cambria"/>
                <w:kern w:val="2"/>
                <w:lang w:val="it-IT"/>
                <w14:ligatures w14:val="standardContextual"/>
              </w:rPr>
              <w:t>jasnoća</w:t>
            </w:r>
            <w:proofErr w:type="spellEnd"/>
            <w:r w:rsidRPr="00B24B36">
              <w:rPr>
                <w:rFonts w:ascii="Cambria" w:hAnsi="Cambria"/>
                <w:kern w:val="2"/>
                <w:lang w:val="it-IT"/>
                <w14:ligatures w14:val="standardContextual"/>
              </w:rPr>
              <w:t xml:space="preserve">, </w:t>
            </w:r>
            <w:proofErr w:type="spellStart"/>
            <w:r w:rsidRPr="00B24B36">
              <w:rPr>
                <w:rFonts w:ascii="Cambria" w:hAnsi="Cambria"/>
                <w:kern w:val="2"/>
                <w:lang w:val="it-IT"/>
                <w14:ligatures w14:val="standardContextual"/>
              </w:rPr>
              <w:t>razumljivost</w:t>
            </w:r>
            <w:proofErr w:type="spellEnd"/>
            <w:r w:rsidRPr="00B24B36">
              <w:rPr>
                <w:rFonts w:ascii="Cambria" w:hAnsi="Cambria"/>
                <w:kern w:val="2"/>
                <w:lang w:val="it-IT"/>
                <w14:ligatures w14:val="standardContextual"/>
              </w:rPr>
              <w:t xml:space="preserve">, </w:t>
            </w:r>
            <w:proofErr w:type="spellStart"/>
            <w:r w:rsidRPr="00B24B36">
              <w:rPr>
                <w:rFonts w:ascii="Cambria" w:hAnsi="Cambria"/>
                <w:kern w:val="2"/>
                <w:lang w:val="it-IT"/>
                <w14:ligatures w14:val="standardContextual"/>
              </w:rPr>
              <w:t>sigurnost</w:t>
            </w:r>
            <w:proofErr w:type="spellEnd"/>
            <w:r w:rsidRPr="00B24B36">
              <w:rPr>
                <w:rFonts w:ascii="Cambria" w:hAnsi="Cambria"/>
                <w:kern w:val="2"/>
                <w:lang w:val="it-IT"/>
                <w14:ligatures w14:val="standardContextual"/>
              </w:rPr>
              <w:t xml:space="preserve">, </w:t>
            </w:r>
            <w:proofErr w:type="spellStart"/>
            <w:r w:rsidRPr="00B24B36">
              <w:rPr>
                <w:rFonts w:ascii="Cambria" w:hAnsi="Cambria"/>
                <w:kern w:val="2"/>
                <w:lang w:val="it-IT"/>
                <w14:ligatures w14:val="standardContextual"/>
              </w:rPr>
              <w:t>korištenje</w:t>
            </w:r>
            <w:proofErr w:type="spellEnd"/>
            <w:r w:rsidRPr="00B24B36">
              <w:rPr>
                <w:rFonts w:ascii="Cambria" w:hAnsi="Cambria"/>
                <w:kern w:val="2"/>
                <w:lang w:val="it-IT"/>
                <w14:ligatures w14:val="standardContextual"/>
              </w:rPr>
              <w:t xml:space="preserve"> </w:t>
            </w:r>
            <w:proofErr w:type="spellStart"/>
            <w:r w:rsidRPr="00B24B36">
              <w:rPr>
                <w:rFonts w:ascii="Cambria" w:hAnsi="Cambria"/>
                <w:kern w:val="2"/>
                <w:lang w:val="it-IT"/>
                <w14:ligatures w14:val="standardContextual"/>
              </w:rPr>
              <w:t>digitalnih</w:t>
            </w:r>
            <w:proofErr w:type="spellEnd"/>
            <w:r w:rsidRPr="00B24B36">
              <w:rPr>
                <w:rFonts w:ascii="Cambria" w:hAnsi="Cambria"/>
                <w:kern w:val="2"/>
                <w:lang w:val="it-IT"/>
                <w14:ligatures w14:val="standardContextual"/>
              </w:rPr>
              <w:t xml:space="preserve"> alata. </w:t>
            </w:r>
          </w:p>
        </w:tc>
      </w:tr>
      <w:tr w:rsidR="001F51C2" w:rsidRPr="00B24B36" w14:paraId="1258CF2A" w14:textId="77777777" w:rsidTr="00C76B98">
        <w:trPr>
          <w:trHeight w:val="1377"/>
        </w:trPr>
        <w:tc>
          <w:tcPr>
            <w:tcW w:w="24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DEADE5B" w14:textId="77777777" w:rsidR="001F51C2" w:rsidRPr="00B24B36" w:rsidRDefault="001F51C2" w:rsidP="00B24B36">
            <w:pPr>
              <w:pStyle w:val="Bezproreda"/>
              <w:rPr>
                <w:rFonts w:ascii="Cambria" w:hAnsi="Cambria" w:cs="Calibri"/>
              </w:rPr>
            </w:pPr>
            <w:r w:rsidRPr="00B24B36">
              <w:rPr>
                <w:rFonts w:ascii="Cambria" w:hAnsi="Cambria" w:cs="Calibri"/>
              </w:rPr>
              <w:t>Studentske obveze</w:t>
            </w:r>
          </w:p>
        </w:tc>
        <w:tc>
          <w:tcPr>
            <w:tcW w:w="6652"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8470DBA" w14:textId="77777777" w:rsidR="00D259BD" w:rsidRDefault="00D259BD" w:rsidP="00B24B36">
            <w:pPr>
              <w:suppressAutoHyphens/>
              <w:snapToGrid w:val="0"/>
              <w:spacing w:after="0" w:line="240" w:lineRule="auto"/>
              <w:rPr>
                <w:rFonts w:ascii="Cambria" w:hAnsi="Cambria" w:cs="Calibri"/>
                <w:lang w:val="it-IT"/>
              </w:rPr>
            </w:pPr>
            <w:r w:rsidRPr="00D259BD">
              <w:rPr>
                <w:rFonts w:ascii="Cambria" w:hAnsi="Cambria" w:cs="Calibri"/>
                <w:lang w:val="it-IT"/>
              </w:rPr>
              <w:t xml:space="preserve">Da </w:t>
            </w:r>
            <w:proofErr w:type="spellStart"/>
            <w:r w:rsidRPr="00D259BD">
              <w:rPr>
                <w:rFonts w:ascii="Cambria" w:hAnsi="Cambria" w:cs="Calibri"/>
                <w:lang w:val="it-IT"/>
              </w:rPr>
              <w:t>položi</w:t>
            </w:r>
            <w:proofErr w:type="spellEnd"/>
            <w:r w:rsidRPr="00D259BD">
              <w:rPr>
                <w:rFonts w:ascii="Cambria" w:hAnsi="Cambria" w:cs="Calibri"/>
                <w:lang w:val="it-IT"/>
              </w:rPr>
              <w:t xml:space="preserve"> </w:t>
            </w:r>
            <w:proofErr w:type="spellStart"/>
            <w:r w:rsidRPr="00D259BD">
              <w:rPr>
                <w:rFonts w:ascii="Cambria" w:hAnsi="Cambria" w:cs="Calibri"/>
                <w:lang w:val="it-IT"/>
              </w:rPr>
              <w:t>kolegij</w:t>
            </w:r>
            <w:proofErr w:type="spellEnd"/>
            <w:r w:rsidRPr="00D259BD">
              <w:rPr>
                <w:rFonts w:ascii="Cambria" w:hAnsi="Cambria" w:cs="Calibri"/>
                <w:lang w:val="it-IT"/>
              </w:rPr>
              <w:t xml:space="preserve">, </w:t>
            </w:r>
            <w:proofErr w:type="spellStart"/>
            <w:r w:rsidRPr="00D259BD">
              <w:rPr>
                <w:rFonts w:ascii="Cambria" w:hAnsi="Cambria" w:cs="Calibri"/>
                <w:lang w:val="it-IT"/>
              </w:rPr>
              <w:t>student</w:t>
            </w:r>
            <w:proofErr w:type="spellEnd"/>
            <w:r w:rsidRPr="00D259BD">
              <w:rPr>
                <w:rFonts w:ascii="Cambria" w:hAnsi="Cambria" w:cs="Calibri"/>
                <w:lang w:val="it-IT"/>
              </w:rPr>
              <w:t>/</w:t>
            </w:r>
            <w:proofErr w:type="spellStart"/>
            <w:r w:rsidRPr="00D259BD">
              <w:rPr>
                <w:rFonts w:ascii="Cambria" w:hAnsi="Cambria" w:cs="Calibri"/>
                <w:lang w:val="it-IT"/>
              </w:rPr>
              <w:t>studentica</w:t>
            </w:r>
            <w:proofErr w:type="spellEnd"/>
            <w:r w:rsidRPr="00D259BD">
              <w:rPr>
                <w:rFonts w:ascii="Cambria" w:hAnsi="Cambria" w:cs="Calibri"/>
                <w:lang w:val="it-IT"/>
              </w:rPr>
              <w:t xml:space="preserve"> mora:</w:t>
            </w:r>
          </w:p>
          <w:p w14:paraId="07B69E8F" w14:textId="503E120B" w:rsidR="001F51C2" w:rsidRPr="00B24B36" w:rsidRDefault="001F51C2" w:rsidP="00B24B36">
            <w:pPr>
              <w:suppressAutoHyphens/>
              <w:snapToGrid w:val="0"/>
              <w:spacing w:after="0" w:line="240" w:lineRule="auto"/>
              <w:rPr>
                <w:rFonts w:ascii="Cambria" w:hAnsi="Cambria" w:cs="Calibri"/>
                <w:lang w:val="it-IT"/>
              </w:rPr>
            </w:pPr>
            <w:r w:rsidRPr="00B24B36">
              <w:rPr>
                <w:rFonts w:ascii="Cambria" w:hAnsi="Cambria" w:cs="Calibri"/>
                <w:lang w:val="it-IT"/>
              </w:rPr>
              <w:t xml:space="preserve">1. </w:t>
            </w:r>
            <w:proofErr w:type="spellStart"/>
            <w:r w:rsidRPr="00B24B36">
              <w:rPr>
                <w:rFonts w:ascii="Cambria" w:hAnsi="Cambria" w:cs="Calibri"/>
                <w:lang w:val="it-IT"/>
              </w:rPr>
              <w:t>pohađati</w:t>
            </w:r>
            <w:proofErr w:type="spellEnd"/>
            <w:r w:rsidRPr="00B24B36">
              <w:rPr>
                <w:rFonts w:ascii="Cambria" w:hAnsi="Cambria" w:cs="Calibri"/>
                <w:lang w:val="it-IT"/>
              </w:rPr>
              <w:t xml:space="preserve"> </w:t>
            </w:r>
            <w:proofErr w:type="spellStart"/>
            <w:r w:rsidRPr="00B24B36">
              <w:rPr>
                <w:rFonts w:ascii="Cambria" w:hAnsi="Cambria" w:cs="Calibri"/>
                <w:lang w:val="it-IT"/>
              </w:rPr>
              <w:t>nastavu</w:t>
            </w:r>
            <w:proofErr w:type="spellEnd"/>
            <w:r w:rsidRPr="00B24B36">
              <w:rPr>
                <w:rFonts w:ascii="Cambria" w:hAnsi="Cambria" w:cs="Calibri"/>
                <w:lang w:val="it-IT"/>
              </w:rPr>
              <w:t xml:space="preserve"> (</w:t>
            </w:r>
            <w:proofErr w:type="spellStart"/>
            <w:r w:rsidRPr="00B24B36">
              <w:rPr>
                <w:rFonts w:ascii="Cambria" w:hAnsi="Cambria" w:cs="Calibri"/>
                <w:lang w:val="it-IT"/>
              </w:rPr>
              <w:t>tolerira</w:t>
            </w:r>
            <w:proofErr w:type="spellEnd"/>
            <w:r w:rsidRPr="00B24B36">
              <w:rPr>
                <w:rFonts w:ascii="Cambria" w:hAnsi="Cambria" w:cs="Calibri"/>
                <w:lang w:val="it-IT"/>
              </w:rPr>
              <w:t xml:space="preserve"> se 30% </w:t>
            </w:r>
            <w:proofErr w:type="spellStart"/>
            <w:r w:rsidRPr="00B24B36">
              <w:rPr>
                <w:rFonts w:ascii="Cambria" w:hAnsi="Cambria" w:cs="Calibri"/>
                <w:lang w:val="it-IT"/>
              </w:rPr>
              <w:t>izostanaka</w:t>
            </w:r>
            <w:proofErr w:type="spellEnd"/>
            <w:r w:rsidRPr="00B24B36">
              <w:rPr>
                <w:rFonts w:ascii="Cambria" w:hAnsi="Cambria" w:cs="Calibri"/>
                <w:lang w:val="it-IT"/>
              </w:rPr>
              <w:t>)</w:t>
            </w:r>
          </w:p>
          <w:p w14:paraId="03ED7812" w14:textId="77777777" w:rsidR="001F51C2" w:rsidRPr="00B24B36" w:rsidRDefault="001F51C2" w:rsidP="00B24B36">
            <w:pPr>
              <w:spacing w:after="0" w:line="240" w:lineRule="auto"/>
              <w:rPr>
                <w:rFonts w:ascii="Cambria" w:hAnsi="Cambria"/>
                <w:lang w:val="it-IT"/>
              </w:rPr>
            </w:pPr>
            <w:r w:rsidRPr="00B24B36">
              <w:rPr>
                <w:rFonts w:ascii="Cambria" w:hAnsi="Cambria"/>
                <w:lang w:val="it-IT"/>
              </w:rPr>
              <w:t xml:space="preserve">2. </w:t>
            </w:r>
            <w:proofErr w:type="spellStart"/>
            <w:r w:rsidRPr="00B24B36">
              <w:rPr>
                <w:rFonts w:ascii="Cambria" w:hAnsi="Cambria"/>
                <w:lang w:val="it-IT"/>
              </w:rPr>
              <w:t>aktivno</w:t>
            </w:r>
            <w:proofErr w:type="spellEnd"/>
            <w:r w:rsidRPr="00B24B36">
              <w:rPr>
                <w:rFonts w:ascii="Cambria" w:hAnsi="Cambria"/>
                <w:lang w:val="it-IT"/>
              </w:rPr>
              <w:t xml:space="preserve"> </w:t>
            </w:r>
            <w:proofErr w:type="spellStart"/>
            <w:r w:rsidRPr="00B24B36">
              <w:rPr>
                <w:rFonts w:ascii="Cambria" w:hAnsi="Cambria"/>
                <w:lang w:val="it-IT"/>
              </w:rPr>
              <w:t>sudjelovati</w:t>
            </w:r>
            <w:proofErr w:type="spellEnd"/>
            <w:r w:rsidRPr="00B24B36">
              <w:rPr>
                <w:rFonts w:ascii="Cambria" w:hAnsi="Cambria"/>
                <w:lang w:val="it-IT"/>
              </w:rPr>
              <w:t xml:space="preserve"> u </w:t>
            </w:r>
            <w:proofErr w:type="spellStart"/>
            <w:r w:rsidRPr="00B24B36">
              <w:rPr>
                <w:rFonts w:ascii="Cambria" w:hAnsi="Cambria"/>
                <w:lang w:val="it-IT"/>
              </w:rPr>
              <w:t>nastavnom</w:t>
            </w:r>
            <w:proofErr w:type="spellEnd"/>
            <w:r w:rsidRPr="00B24B36">
              <w:rPr>
                <w:rFonts w:ascii="Cambria" w:hAnsi="Cambria"/>
                <w:lang w:val="it-IT"/>
              </w:rPr>
              <w:t xml:space="preserve"> </w:t>
            </w:r>
            <w:proofErr w:type="spellStart"/>
            <w:r w:rsidRPr="00B24B36">
              <w:rPr>
                <w:rFonts w:ascii="Cambria" w:hAnsi="Cambria"/>
                <w:lang w:val="it-IT"/>
              </w:rPr>
              <w:t>procesu</w:t>
            </w:r>
            <w:proofErr w:type="spellEnd"/>
          </w:p>
          <w:p w14:paraId="4823ECC8" w14:textId="77777777" w:rsidR="001F51C2" w:rsidRPr="00B24B36" w:rsidRDefault="001F51C2" w:rsidP="00B24B36">
            <w:pPr>
              <w:spacing w:after="0" w:line="240" w:lineRule="auto"/>
              <w:rPr>
                <w:rFonts w:ascii="Cambria" w:hAnsi="Cambria"/>
                <w:lang w:val="it-IT"/>
              </w:rPr>
            </w:pPr>
            <w:r w:rsidRPr="00B24B36">
              <w:rPr>
                <w:rFonts w:ascii="Cambria" w:hAnsi="Cambria"/>
                <w:lang w:val="it-IT"/>
              </w:rPr>
              <w:t xml:space="preserve">3. </w:t>
            </w:r>
            <w:proofErr w:type="spellStart"/>
            <w:r w:rsidRPr="00B24B36">
              <w:rPr>
                <w:rFonts w:ascii="Cambria" w:hAnsi="Cambria"/>
                <w:lang w:val="it-IT"/>
              </w:rPr>
              <w:t>izraditi</w:t>
            </w:r>
            <w:proofErr w:type="spellEnd"/>
            <w:r w:rsidRPr="00B24B36">
              <w:rPr>
                <w:rFonts w:ascii="Cambria" w:hAnsi="Cambria"/>
                <w:lang w:val="it-IT"/>
              </w:rPr>
              <w:t xml:space="preserve">, predati i </w:t>
            </w:r>
            <w:proofErr w:type="spellStart"/>
            <w:r w:rsidRPr="00B24B36">
              <w:rPr>
                <w:rFonts w:ascii="Cambria" w:hAnsi="Cambria"/>
                <w:lang w:val="it-IT"/>
              </w:rPr>
              <w:t>prezentirati</w:t>
            </w:r>
            <w:proofErr w:type="spellEnd"/>
            <w:r w:rsidRPr="00B24B36">
              <w:rPr>
                <w:rFonts w:ascii="Cambria" w:hAnsi="Cambria"/>
                <w:lang w:val="it-IT"/>
              </w:rPr>
              <w:t xml:space="preserve"> </w:t>
            </w:r>
            <w:proofErr w:type="spellStart"/>
            <w:r w:rsidRPr="00B24B36">
              <w:rPr>
                <w:rFonts w:ascii="Cambria" w:hAnsi="Cambria"/>
                <w:lang w:val="it-IT"/>
              </w:rPr>
              <w:t>seminarski</w:t>
            </w:r>
            <w:proofErr w:type="spellEnd"/>
            <w:r w:rsidRPr="00B24B36">
              <w:rPr>
                <w:rFonts w:ascii="Cambria" w:hAnsi="Cambria"/>
                <w:lang w:val="it-IT"/>
              </w:rPr>
              <w:t xml:space="preserve"> rad</w:t>
            </w:r>
          </w:p>
          <w:p w14:paraId="253F8EDF" w14:textId="16C6AC71" w:rsidR="001F51C2" w:rsidRPr="00B24B36" w:rsidRDefault="001F51C2" w:rsidP="00B24B36">
            <w:pPr>
              <w:spacing w:after="0" w:line="240" w:lineRule="auto"/>
              <w:rPr>
                <w:rFonts w:ascii="Cambria" w:hAnsi="Cambria"/>
              </w:rPr>
            </w:pPr>
            <w:r w:rsidRPr="00B24B36">
              <w:rPr>
                <w:rFonts w:ascii="Cambria" w:hAnsi="Cambria"/>
              </w:rPr>
              <w:t xml:space="preserve">4. </w:t>
            </w:r>
            <w:proofErr w:type="spellStart"/>
            <w:r w:rsidRPr="00B24B36">
              <w:rPr>
                <w:rFonts w:ascii="Cambria" w:hAnsi="Cambria"/>
              </w:rPr>
              <w:t>položiti</w:t>
            </w:r>
            <w:proofErr w:type="spellEnd"/>
            <w:r w:rsidRPr="00B24B36">
              <w:rPr>
                <w:rFonts w:ascii="Cambria" w:hAnsi="Cambria"/>
              </w:rPr>
              <w:t xml:space="preserve"> </w:t>
            </w:r>
            <w:proofErr w:type="spellStart"/>
            <w:r w:rsidRPr="00B24B36">
              <w:rPr>
                <w:rFonts w:ascii="Cambria" w:hAnsi="Cambria"/>
              </w:rPr>
              <w:t>završni</w:t>
            </w:r>
            <w:proofErr w:type="spellEnd"/>
            <w:r w:rsidRPr="00B24B36">
              <w:rPr>
                <w:rFonts w:ascii="Cambria" w:hAnsi="Cambria"/>
              </w:rPr>
              <w:t xml:space="preserve"> </w:t>
            </w:r>
            <w:proofErr w:type="spellStart"/>
            <w:r w:rsidRPr="00B24B36">
              <w:rPr>
                <w:rFonts w:ascii="Cambria" w:hAnsi="Cambria"/>
              </w:rPr>
              <w:t>usmeni</w:t>
            </w:r>
            <w:proofErr w:type="spellEnd"/>
            <w:r w:rsidRPr="00B24B36">
              <w:rPr>
                <w:rFonts w:ascii="Cambria" w:hAnsi="Cambria"/>
              </w:rPr>
              <w:t xml:space="preserve"> </w:t>
            </w:r>
            <w:proofErr w:type="spellStart"/>
            <w:r w:rsidRPr="00B24B36">
              <w:rPr>
                <w:rFonts w:ascii="Cambria" w:hAnsi="Cambria"/>
              </w:rPr>
              <w:t>ispit</w:t>
            </w:r>
            <w:proofErr w:type="spellEnd"/>
            <w:r w:rsidR="00B2232B">
              <w:rPr>
                <w:rFonts w:ascii="Cambria" w:hAnsi="Cambria"/>
              </w:rPr>
              <w:t>.</w:t>
            </w:r>
          </w:p>
        </w:tc>
      </w:tr>
      <w:tr w:rsidR="001F51C2" w:rsidRPr="00D0399C" w14:paraId="3410F24D" w14:textId="77777777" w:rsidTr="00891E8C">
        <w:tc>
          <w:tcPr>
            <w:tcW w:w="24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410430A" w14:textId="77777777" w:rsidR="001F51C2" w:rsidRPr="00B24B36" w:rsidRDefault="001F51C2" w:rsidP="00B24B36">
            <w:pPr>
              <w:pStyle w:val="Bezproreda"/>
              <w:rPr>
                <w:rFonts w:ascii="Cambria" w:hAnsi="Cambria" w:cs="Calibri"/>
              </w:rPr>
            </w:pPr>
            <w:proofErr w:type="spellStart"/>
            <w:r w:rsidRPr="00B24B36">
              <w:rPr>
                <w:rFonts w:ascii="Cambria" w:hAnsi="Cambria" w:cs="Calibri"/>
                <w:lang w:val="en-US"/>
              </w:rPr>
              <w:t>Rokovi</w:t>
            </w:r>
            <w:proofErr w:type="spellEnd"/>
            <w:r w:rsidRPr="00B24B36">
              <w:rPr>
                <w:rFonts w:ascii="Cambria" w:hAnsi="Cambria" w:cs="Calibri"/>
                <w:lang w:val="en-US"/>
              </w:rPr>
              <w:t xml:space="preserve"> </w:t>
            </w:r>
            <w:proofErr w:type="spellStart"/>
            <w:r w:rsidRPr="00B24B36">
              <w:rPr>
                <w:rFonts w:ascii="Cambria" w:hAnsi="Cambria" w:cs="Calibri"/>
                <w:lang w:val="en-US"/>
              </w:rPr>
              <w:t>ispita</w:t>
            </w:r>
            <w:proofErr w:type="spellEnd"/>
            <w:r w:rsidRPr="00B24B36">
              <w:rPr>
                <w:rFonts w:ascii="Cambria" w:hAnsi="Cambria" w:cs="Calibri"/>
                <w:lang w:val="en-US"/>
              </w:rPr>
              <w:t xml:space="preserve"> </w:t>
            </w:r>
            <w:proofErr w:type="spellStart"/>
            <w:r w:rsidRPr="00B24B36">
              <w:rPr>
                <w:rFonts w:ascii="Cambria" w:hAnsi="Cambria" w:cs="Calibri"/>
                <w:lang w:val="en-US"/>
              </w:rPr>
              <w:t>i</w:t>
            </w:r>
            <w:proofErr w:type="spellEnd"/>
            <w:r w:rsidRPr="00B24B36">
              <w:rPr>
                <w:rFonts w:ascii="Cambria" w:hAnsi="Cambria" w:cs="Calibri"/>
                <w:lang w:val="en-US"/>
              </w:rPr>
              <w:t xml:space="preserve"> </w:t>
            </w:r>
            <w:proofErr w:type="spellStart"/>
            <w:r w:rsidRPr="00B24B36">
              <w:rPr>
                <w:rFonts w:ascii="Cambria" w:hAnsi="Cambria" w:cs="Calibri"/>
                <w:lang w:val="en-US"/>
              </w:rPr>
              <w:t>kolokvija</w:t>
            </w:r>
            <w:proofErr w:type="spellEnd"/>
          </w:p>
        </w:tc>
        <w:tc>
          <w:tcPr>
            <w:tcW w:w="6652"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EE8CD19" w14:textId="77777777" w:rsidR="001F51C2" w:rsidRPr="00B24B36" w:rsidRDefault="001F51C2" w:rsidP="00B24B36">
            <w:pPr>
              <w:pStyle w:val="Bezproreda"/>
              <w:rPr>
                <w:rFonts w:ascii="Cambria" w:hAnsi="Cambria" w:cs="Calibri"/>
              </w:rPr>
            </w:pPr>
            <w:r w:rsidRPr="00B24B36">
              <w:rPr>
                <w:rStyle w:val="markedcontent"/>
                <w:rFonts w:ascii="Cambria" w:hAnsi="Cambria" w:cs="Calibri"/>
              </w:rPr>
              <w:t xml:space="preserve">Objavljuju se u ISVU sustavu i u </w:t>
            </w:r>
            <w:proofErr w:type="spellStart"/>
            <w:r w:rsidRPr="00B24B36">
              <w:rPr>
                <w:rStyle w:val="markedcontent"/>
                <w:rFonts w:ascii="Cambria" w:hAnsi="Cambria" w:cs="Calibri"/>
              </w:rPr>
              <w:t>Studomatu</w:t>
            </w:r>
            <w:proofErr w:type="spellEnd"/>
            <w:r w:rsidRPr="00B24B36">
              <w:rPr>
                <w:rStyle w:val="markedcontent"/>
                <w:rFonts w:ascii="Cambria" w:hAnsi="Cambria" w:cs="Calibri"/>
              </w:rPr>
              <w:t>.</w:t>
            </w:r>
          </w:p>
        </w:tc>
      </w:tr>
      <w:tr w:rsidR="001F51C2" w:rsidRPr="00B24B36" w14:paraId="2521F00B" w14:textId="77777777" w:rsidTr="00891E8C">
        <w:tc>
          <w:tcPr>
            <w:tcW w:w="24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92C52FC" w14:textId="77777777" w:rsidR="001F51C2" w:rsidRPr="00B24B36" w:rsidRDefault="001F51C2" w:rsidP="00B24B36">
            <w:pPr>
              <w:pStyle w:val="Bezproreda"/>
              <w:rPr>
                <w:rFonts w:ascii="Cambria" w:hAnsi="Cambria" w:cs="Calibri"/>
              </w:rPr>
            </w:pPr>
            <w:r w:rsidRPr="00B24B36">
              <w:rPr>
                <w:rFonts w:ascii="Cambria" w:hAnsi="Cambria" w:cs="Calibri"/>
              </w:rPr>
              <w:t xml:space="preserve">Ostale važne činjenice </w:t>
            </w:r>
            <w:proofErr w:type="spellStart"/>
            <w:r w:rsidRPr="00B24B36">
              <w:rPr>
                <w:rFonts w:ascii="Cambria" w:hAnsi="Cambria" w:cs="Calibri"/>
                <w:lang w:val="it-IT"/>
              </w:rPr>
              <w:t>vezane</w:t>
            </w:r>
            <w:proofErr w:type="spellEnd"/>
            <w:r w:rsidRPr="00B24B36">
              <w:rPr>
                <w:rFonts w:ascii="Cambria" w:hAnsi="Cambria" w:cs="Calibri"/>
                <w:lang w:val="it-IT"/>
              </w:rPr>
              <w:t xml:space="preserve"> </w:t>
            </w:r>
            <w:proofErr w:type="spellStart"/>
            <w:r w:rsidRPr="00B24B36">
              <w:rPr>
                <w:rFonts w:ascii="Cambria" w:hAnsi="Cambria" w:cs="Calibri"/>
                <w:lang w:val="it-IT"/>
              </w:rPr>
              <w:t>uz</w:t>
            </w:r>
            <w:proofErr w:type="spellEnd"/>
            <w:r w:rsidRPr="00B24B36">
              <w:rPr>
                <w:rFonts w:ascii="Cambria" w:hAnsi="Cambria" w:cs="Calibri"/>
                <w:lang w:val="it-IT"/>
              </w:rPr>
              <w:t xml:space="preserve"> </w:t>
            </w:r>
            <w:proofErr w:type="spellStart"/>
            <w:r w:rsidRPr="00B24B36">
              <w:rPr>
                <w:rFonts w:ascii="Cambria" w:hAnsi="Cambria" w:cs="Calibri"/>
                <w:lang w:val="it-IT"/>
              </w:rPr>
              <w:t>kolegij</w:t>
            </w:r>
            <w:proofErr w:type="spellEnd"/>
          </w:p>
        </w:tc>
        <w:tc>
          <w:tcPr>
            <w:tcW w:w="6652"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4784D51" w14:textId="77777777" w:rsidR="001F51C2" w:rsidRPr="00B24B36" w:rsidRDefault="001F51C2" w:rsidP="00B24B36">
            <w:pPr>
              <w:spacing w:after="0" w:line="240" w:lineRule="auto"/>
              <w:jc w:val="both"/>
              <w:rPr>
                <w:rFonts w:ascii="Cambria" w:hAnsi="Cambria"/>
                <w:lang w:val="it-IT"/>
              </w:rPr>
            </w:pPr>
            <w:proofErr w:type="spellStart"/>
            <w:r w:rsidRPr="00B24B36">
              <w:rPr>
                <w:rFonts w:ascii="Cambria" w:hAnsi="Cambria"/>
                <w:lang w:val="it-IT"/>
              </w:rPr>
              <w:t>Materijali</w:t>
            </w:r>
            <w:proofErr w:type="spellEnd"/>
            <w:r w:rsidRPr="00B24B36">
              <w:rPr>
                <w:rFonts w:ascii="Cambria" w:hAnsi="Cambria"/>
                <w:lang w:val="it-IT"/>
              </w:rPr>
              <w:t xml:space="preserve"> za </w:t>
            </w:r>
            <w:proofErr w:type="spellStart"/>
            <w:r w:rsidRPr="00B24B36">
              <w:rPr>
                <w:rFonts w:ascii="Cambria" w:hAnsi="Cambria"/>
                <w:lang w:val="it-IT"/>
              </w:rPr>
              <w:t>predavanja</w:t>
            </w:r>
            <w:proofErr w:type="spellEnd"/>
            <w:r w:rsidRPr="00B24B36">
              <w:rPr>
                <w:rFonts w:ascii="Cambria" w:hAnsi="Cambria"/>
                <w:lang w:val="it-IT"/>
              </w:rPr>
              <w:t xml:space="preserve"> </w:t>
            </w:r>
            <w:proofErr w:type="gramStart"/>
            <w:r w:rsidRPr="00B24B36">
              <w:rPr>
                <w:rFonts w:ascii="Cambria" w:hAnsi="Cambria"/>
                <w:lang w:val="it-IT"/>
              </w:rPr>
              <w:t>i seminare</w:t>
            </w:r>
            <w:proofErr w:type="gramEnd"/>
            <w:r w:rsidRPr="00B24B36">
              <w:rPr>
                <w:rFonts w:ascii="Cambria" w:hAnsi="Cambria"/>
                <w:lang w:val="it-IT"/>
              </w:rPr>
              <w:t xml:space="preserve"> </w:t>
            </w:r>
            <w:proofErr w:type="spellStart"/>
            <w:r w:rsidRPr="00B24B36">
              <w:rPr>
                <w:rFonts w:ascii="Cambria" w:hAnsi="Cambria"/>
                <w:lang w:val="it-IT"/>
              </w:rPr>
              <w:t>objavljuju</w:t>
            </w:r>
            <w:proofErr w:type="spellEnd"/>
            <w:r w:rsidRPr="00B24B36">
              <w:rPr>
                <w:rFonts w:ascii="Cambria" w:hAnsi="Cambria"/>
                <w:lang w:val="it-IT"/>
              </w:rPr>
              <w:t xml:space="preserve"> se </w:t>
            </w:r>
            <w:proofErr w:type="spellStart"/>
            <w:r w:rsidRPr="00B24B36">
              <w:rPr>
                <w:rFonts w:ascii="Cambria" w:hAnsi="Cambria"/>
                <w:lang w:val="it-IT"/>
              </w:rPr>
              <w:t>na</w:t>
            </w:r>
            <w:proofErr w:type="spellEnd"/>
            <w:r w:rsidRPr="00B24B36">
              <w:rPr>
                <w:rFonts w:ascii="Cambria" w:hAnsi="Cambria"/>
                <w:lang w:val="it-IT"/>
              </w:rPr>
              <w:t xml:space="preserve"> e-</w:t>
            </w:r>
            <w:proofErr w:type="spellStart"/>
            <w:r w:rsidRPr="00B24B36">
              <w:rPr>
                <w:rFonts w:ascii="Cambria" w:hAnsi="Cambria"/>
                <w:lang w:val="it-IT"/>
              </w:rPr>
              <w:t>učenju</w:t>
            </w:r>
            <w:proofErr w:type="spellEnd"/>
            <w:r w:rsidRPr="00B24B36">
              <w:rPr>
                <w:rFonts w:ascii="Cambria" w:hAnsi="Cambria"/>
                <w:lang w:val="it-IT"/>
              </w:rPr>
              <w:t>.</w:t>
            </w:r>
          </w:p>
          <w:p w14:paraId="163ABFA5" w14:textId="77777777" w:rsidR="001F51C2" w:rsidRPr="00B24B36" w:rsidRDefault="001F51C2" w:rsidP="00B24B36">
            <w:pPr>
              <w:spacing w:after="0" w:line="240" w:lineRule="auto"/>
              <w:jc w:val="both"/>
              <w:rPr>
                <w:rFonts w:ascii="Cambria" w:hAnsi="Cambria"/>
                <w:lang w:val="it-IT"/>
              </w:rPr>
            </w:pPr>
            <w:r w:rsidRPr="00B24B36">
              <w:rPr>
                <w:rFonts w:ascii="Cambria" w:hAnsi="Cambria"/>
                <w:lang w:val="it-IT"/>
              </w:rPr>
              <w:t xml:space="preserve">U </w:t>
            </w:r>
            <w:proofErr w:type="spellStart"/>
            <w:r w:rsidRPr="00B24B36">
              <w:rPr>
                <w:rFonts w:ascii="Cambria" w:hAnsi="Cambria"/>
                <w:lang w:val="it-IT"/>
              </w:rPr>
              <w:t>slučaju</w:t>
            </w:r>
            <w:proofErr w:type="spellEnd"/>
            <w:r w:rsidRPr="00B24B36">
              <w:rPr>
                <w:rFonts w:ascii="Cambria" w:hAnsi="Cambria"/>
                <w:lang w:val="it-IT"/>
              </w:rPr>
              <w:t xml:space="preserve"> </w:t>
            </w:r>
            <w:proofErr w:type="spellStart"/>
            <w:r w:rsidRPr="00B24B36">
              <w:rPr>
                <w:rFonts w:ascii="Cambria" w:hAnsi="Cambria"/>
                <w:lang w:val="it-IT"/>
              </w:rPr>
              <w:t>održavanja</w:t>
            </w:r>
            <w:proofErr w:type="spellEnd"/>
            <w:r w:rsidRPr="00B24B36">
              <w:rPr>
                <w:rFonts w:ascii="Cambria" w:hAnsi="Cambria"/>
                <w:lang w:val="it-IT"/>
              </w:rPr>
              <w:t xml:space="preserve"> </w:t>
            </w:r>
            <w:proofErr w:type="spellStart"/>
            <w:r w:rsidRPr="00B24B36">
              <w:rPr>
                <w:rFonts w:ascii="Cambria" w:hAnsi="Cambria"/>
                <w:lang w:val="it-IT"/>
              </w:rPr>
              <w:t>nastave</w:t>
            </w:r>
            <w:proofErr w:type="spellEnd"/>
            <w:r w:rsidRPr="00B24B36">
              <w:rPr>
                <w:rFonts w:ascii="Cambria" w:hAnsi="Cambria"/>
                <w:lang w:val="it-IT"/>
              </w:rPr>
              <w:t xml:space="preserve"> </w:t>
            </w:r>
            <w:proofErr w:type="spellStart"/>
            <w:r w:rsidRPr="00B24B36">
              <w:rPr>
                <w:rFonts w:ascii="Cambria" w:hAnsi="Cambria"/>
                <w:lang w:val="it-IT"/>
              </w:rPr>
              <w:t>na</w:t>
            </w:r>
            <w:proofErr w:type="spellEnd"/>
            <w:r w:rsidRPr="00B24B36">
              <w:rPr>
                <w:rFonts w:ascii="Cambria" w:hAnsi="Cambria"/>
                <w:lang w:val="it-IT"/>
              </w:rPr>
              <w:t xml:space="preserve"> </w:t>
            </w:r>
            <w:proofErr w:type="spellStart"/>
            <w:r w:rsidRPr="00B24B36">
              <w:rPr>
                <w:rFonts w:ascii="Cambria" w:hAnsi="Cambria"/>
                <w:lang w:val="it-IT"/>
              </w:rPr>
              <w:t>daljinu</w:t>
            </w:r>
            <w:proofErr w:type="spellEnd"/>
            <w:r w:rsidRPr="00B24B36">
              <w:rPr>
                <w:rFonts w:ascii="Cambria" w:hAnsi="Cambria"/>
                <w:lang w:val="it-IT"/>
              </w:rPr>
              <w:t xml:space="preserve">, </w:t>
            </w:r>
            <w:proofErr w:type="spellStart"/>
            <w:r w:rsidRPr="00B24B36">
              <w:rPr>
                <w:rFonts w:ascii="Cambria" w:hAnsi="Cambria"/>
                <w:lang w:val="it-IT"/>
              </w:rPr>
              <w:t>moguće</w:t>
            </w:r>
            <w:proofErr w:type="spellEnd"/>
            <w:r w:rsidRPr="00B24B36">
              <w:rPr>
                <w:rFonts w:ascii="Cambria" w:hAnsi="Cambria"/>
                <w:lang w:val="it-IT"/>
              </w:rPr>
              <w:t xml:space="preserve"> je </w:t>
            </w:r>
            <w:proofErr w:type="spellStart"/>
            <w:r w:rsidRPr="00B24B36">
              <w:rPr>
                <w:rFonts w:ascii="Cambria" w:hAnsi="Cambria"/>
                <w:lang w:val="it-IT"/>
              </w:rPr>
              <w:t>odstupanje</w:t>
            </w:r>
            <w:proofErr w:type="spellEnd"/>
            <w:r w:rsidRPr="00B24B36">
              <w:rPr>
                <w:rFonts w:ascii="Cambria" w:hAnsi="Cambria"/>
                <w:lang w:val="it-IT"/>
              </w:rPr>
              <w:t xml:space="preserve"> u:</w:t>
            </w:r>
          </w:p>
          <w:p w14:paraId="66D6DEA7" w14:textId="77777777" w:rsidR="001F51C2" w:rsidRPr="00B24B36" w:rsidRDefault="001F51C2" w:rsidP="00B24B36">
            <w:pPr>
              <w:spacing w:after="0" w:line="240" w:lineRule="auto"/>
              <w:jc w:val="both"/>
              <w:rPr>
                <w:rFonts w:ascii="Cambria" w:hAnsi="Cambria"/>
                <w:lang w:val="it-IT"/>
              </w:rPr>
            </w:pPr>
            <w:r w:rsidRPr="00B24B36">
              <w:rPr>
                <w:rFonts w:ascii="Cambria" w:hAnsi="Cambria"/>
                <w:lang w:val="it-IT"/>
              </w:rPr>
              <w:t xml:space="preserve">- </w:t>
            </w:r>
            <w:proofErr w:type="spellStart"/>
            <w:r w:rsidRPr="00B24B36">
              <w:rPr>
                <w:rFonts w:ascii="Cambria" w:hAnsi="Cambria"/>
                <w:lang w:val="it-IT"/>
              </w:rPr>
              <w:t>mjestu</w:t>
            </w:r>
            <w:proofErr w:type="spellEnd"/>
            <w:r w:rsidRPr="00B24B36">
              <w:rPr>
                <w:rFonts w:ascii="Cambria" w:hAnsi="Cambria"/>
                <w:lang w:val="it-IT"/>
              </w:rPr>
              <w:t xml:space="preserve"> </w:t>
            </w:r>
            <w:proofErr w:type="spellStart"/>
            <w:r w:rsidRPr="00B24B36">
              <w:rPr>
                <w:rFonts w:ascii="Cambria" w:hAnsi="Cambria"/>
                <w:lang w:val="it-IT"/>
              </w:rPr>
              <w:t>izvođenja</w:t>
            </w:r>
            <w:proofErr w:type="spellEnd"/>
            <w:r w:rsidRPr="00B24B36">
              <w:rPr>
                <w:rFonts w:ascii="Cambria" w:hAnsi="Cambria"/>
                <w:lang w:val="it-IT"/>
              </w:rPr>
              <w:t xml:space="preserve"> </w:t>
            </w:r>
            <w:proofErr w:type="spellStart"/>
            <w:r w:rsidRPr="00B24B36">
              <w:rPr>
                <w:rFonts w:ascii="Cambria" w:hAnsi="Cambria"/>
                <w:lang w:val="it-IT"/>
              </w:rPr>
              <w:t>kolegija</w:t>
            </w:r>
            <w:proofErr w:type="spellEnd"/>
            <w:r w:rsidRPr="00B24B36">
              <w:rPr>
                <w:rFonts w:ascii="Cambria" w:hAnsi="Cambria"/>
                <w:lang w:val="it-IT"/>
              </w:rPr>
              <w:t>,</w:t>
            </w:r>
          </w:p>
          <w:p w14:paraId="5C2891F8" w14:textId="77777777" w:rsidR="001F51C2" w:rsidRPr="00B24B36" w:rsidRDefault="001F51C2" w:rsidP="00B24B36">
            <w:pPr>
              <w:spacing w:after="0" w:line="240" w:lineRule="auto"/>
              <w:jc w:val="both"/>
              <w:rPr>
                <w:rFonts w:ascii="Cambria" w:hAnsi="Cambria"/>
                <w:lang w:val="it-IT"/>
              </w:rPr>
            </w:pPr>
            <w:r w:rsidRPr="00B24B36">
              <w:rPr>
                <w:rFonts w:ascii="Cambria" w:hAnsi="Cambria"/>
                <w:lang w:val="it-IT"/>
              </w:rPr>
              <w:t xml:space="preserve">- </w:t>
            </w:r>
            <w:proofErr w:type="spellStart"/>
            <w:r w:rsidRPr="00B24B36">
              <w:rPr>
                <w:rFonts w:ascii="Cambria" w:hAnsi="Cambria"/>
                <w:lang w:val="it-IT"/>
              </w:rPr>
              <w:t>provedbi</w:t>
            </w:r>
            <w:proofErr w:type="spellEnd"/>
            <w:r w:rsidRPr="00B24B36">
              <w:rPr>
                <w:rFonts w:ascii="Cambria" w:hAnsi="Cambria"/>
                <w:lang w:val="it-IT"/>
              </w:rPr>
              <w:t xml:space="preserve"> </w:t>
            </w:r>
            <w:proofErr w:type="spellStart"/>
            <w:r w:rsidRPr="00B24B36">
              <w:rPr>
                <w:rFonts w:ascii="Cambria" w:hAnsi="Cambria"/>
                <w:lang w:val="it-IT"/>
              </w:rPr>
              <w:t>aktivnosti</w:t>
            </w:r>
            <w:proofErr w:type="spellEnd"/>
            <w:r w:rsidRPr="00B24B36">
              <w:rPr>
                <w:rFonts w:ascii="Cambria" w:hAnsi="Cambria"/>
                <w:lang w:val="it-IT"/>
              </w:rPr>
              <w:t>,</w:t>
            </w:r>
          </w:p>
          <w:p w14:paraId="1B74C71D" w14:textId="77777777" w:rsidR="001F51C2" w:rsidRPr="00B24B36" w:rsidRDefault="001F51C2" w:rsidP="00B24B36">
            <w:pPr>
              <w:spacing w:after="0" w:line="240" w:lineRule="auto"/>
              <w:jc w:val="both"/>
              <w:rPr>
                <w:rFonts w:ascii="Cambria" w:hAnsi="Cambria"/>
                <w:lang w:val="it-IT"/>
              </w:rPr>
            </w:pPr>
            <w:r w:rsidRPr="00B24B36">
              <w:rPr>
                <w:rFonts w:ascii="Cambria" w:hAnsi="Cambria"/>
                <w:lang w:val="it-IT"/>
              </w:rPr>
              <w:t xml:space="preserve">- </w:t>
            </w:r>
            <w:proofErr w:type="spellStart"/>
            <w:r w:rsidRPr="00B24B36">
              <w:rPr>
                <w:rFonts w:ascii="Cambria" w:hAnsi="Cambria"/>
                <w:lang w:val="it-IT"/>
              </w:rPr>
              <w:t>metodama</w:t>
            </w:r>
            <w:proofErr w:type="spellEnd"/>
            <w:r w:rsidRPr="00B24B36">
              <w:rPr>
                <w:rFonts w:ascii="Cambria" w:hAnsi="Cambria"/>
                <w:lang w:val="it-IT"/>
              </w:rPr>
              <w:t xml:space="preserve"> </w:t>
            </w:r>
            <w:proofErr w:type="spellStart"/>
            <w:r w:rsidRPr="00B24B36">
              <w:rPr>
                <w:rFonts w:ascii="Cambria" w:hAnsi="Cambria"/>
                <w:lang w:val="it-IT"/>
              </w:rPr>
              <w:t>tumačenja</w:t>
            </w:r>
            <w:proofErr w:type="spellEnd"/>
            <w:r w:rsidRPr="00B24B36">
              <w:rPr>
                <w:rFonts w:ascii="Cambria" w:hAnsi="Cambria"/>
                <w:lang w:val="it-IT"/>
              </w:rPr>
              <w:t xml:space="preserve"> i </w:t>
            </w:r>
            <w:proofErr w:type="spellStart"/>
            <w:r w:rsidRPr="00B24B36">
              <w:rPr>
                <w:rFonts w:ascii="Cambria" w:hAnsi="Cambria"/>
                <w:lang w:val="it-IT"/>
              </w:rPr>
              <w:t>poučavanja</w:t>
            </w:r>
            <w:proofErr w:type="spellEnd"/>
            <w:r w:rsidRPr="00B24B36">
              <w:rPr>
                <w:rFonts w:ascii="Cambria" w:hAnsi="Cambria"/>
                <w:lang w:val="it-IT"/>
              </w:rPr>
              <w:t xml:space="preserve"> i </w:t>
            </w:r>
            <w:proofErr w:type="spellStart"/>
            <w:r w:rsidRPr="00B24B36">
              <w:rPr>
                <w:rFonts w:ascii="Cambria" w:hAnsi="Cambria"/>
                <w:lang w:val="it-IT"/>
              </w:rPr>
              <w:t>načinima</w:t>
            </w:r>
            <w:proofErr w:type="spellEnd"/>
            <w:r w:rsidRPr="00B24B36">
              <w:rPr>
                <w:rFonts w:ascii="Cambria" w:hAnsi="Cambria"/>
                <w:lang w:val="it-IT"/>
              </w:rPr>
              <w:t xml:space="preserve"> </w:t>
            </w:r>
            <w:proofErr w:type="spellStart"/>
            <w:r w:rsidRPr="00B24B36">
              <w:rPr>
                <w:rFonts w:ascii="Cambria" w:hAnsi="Cambria"/>
                <w:lang w:val="it-IT"/>
              </w:rPr>
              <w:t>vrednovanja</w:t>
            </w:r>
            <w:proofErr w:type="spellEnd"/>
            <w:r w:rsidRPr="00B24B36">
              <w:rPr>
                <w:rFonts w:ascii="Cambria" w:hAnsi="Cambria"/>
                <w:lang w:val="it-IT"/>
              </w:rPr>
              <w:t>,</w:t>
            </w:r>
          </w:p>
          <w:p w14:paraId="6A076C37" w14:textId="77777777" w:rsidR="001F51C2" w:rsidRPr="00B24B36" w:rsidRDefault="001F51C2" w:rsidP="00B24B36">
            <w:pPr>
              <w:spacing w:after="0" w:line="240" w:lineRule="auto"/>
              <w:jc w:val="both"/>
              <w:rPr>
                <w:rFonts w:ascii="Cambria" w:hAnsi="Cambria"/>
                <w:lang w:val="it-IT"/>
              </w:rPr>
            </w:pPr>
            <w:r w:rsidRPr="00B24B36">
              <w:rPr>
                <w:rFonts w:ascii="Cambria" w:hAnsi="Cambria"/>
                <w:lang w:val="it-IT"/>
              </w:rPr>
              <w:t xml:space="preserve">- </w:t>
            </w:r>
            <w:proofErr w:type="spellStart"/>
            <w:r w:rsidRPr="00B24B36">
              <w:rPr>
                <w:rFonts w:ascii="Cambria" w:hAnsi="Cambria"/>
                <w:lang w:val="it-IT"/>
              </w:rPr>
              <w:t>studentskim</w:t>
            </w:r>
            <w:proofErr w:type="spellEnd"/>
            <w:r w:rsidRPr="00B24B36">
              <w:rPr>
                <w:rFonts w:ascii="Cambria" w:hAnsi="Cambria"/>
                <w:lang w:val="it-IT"/>
              </w:rPr>
              <w:t xml:space="preserve"> </w:t>
            </w:r>
            <w:proofErr w:type="spellStart"/>
            <w:r w:rsidRPr="00B24B36">
              <w:rPr>
                <w:rFonts w:ascii="Cambria" w:hAnsi="Cambria"/>
                <w:lang w:val="it-IT"/>
              </w:rPr>
              <w:t>obvezama</w:t>
            </w:r>
            <w:proofErr w:type="spellEnd"/>
            <w:r w:rsidRPr="00B24B36">
              <w:rPr>
                <w:rFonts w:ascii="Cambria" w:hAnsi="Cambria"/>
                <w:lang w:val="it-IT"/>
              </w:rPr>
              <w:t xml:space="preserve"> i </w:t>
            </w:r>
            <w:proofErr w:type="spellStart"/>
            <w:r w:rsidRPr="00B24B36">
              <w:rPr>
                <w:rFonts w:ascii="Cambria" w:hAnsi="Cambria"/>
                <w:lang w:val="it-IT"/>
              </w:rPr>
              <w:t>dostupnoj</w:t>
            </w:r>
            <w:proofErr w:type="spellEnd"/>
            <w:r w:rsidRPr="00B24B36">
              <w:rPr>
                <w:rFonts w:ascii="Cambria" w:hAnsi="Cambria"/>
                <w:lang w:val="it-IT"/>
              </w:rPr>
              <w:t xml:space="preserve"> </w:t>
            </w:r>
            <w:proofErr w:type="spellStart"/>
            <w:r w:rsidRPr="00B24B36">
              <w:rPr>
                <w:rFonts w:ascii="Cambria" w:hAnsi="Cambria"/>
                <w:lang w:val="it-IT"/>
              </w:rPr>
              <w:t>literaturi</w:t>
            </w:r>
            <w:proofErr w:type="spellEnd"/>
            <w:r w:rsidRPr="00B24B36">
              <w:rPr>
                <w:rFonts w:ascii="Cambria" w:hAnsi="Cambria"/>
                <w:lang w:val="it-IT"/>
              </w:rPr>
              <w:t>.</w:t>
            </w:r>
          </w:p>
          <w:p w14:paraId="39CF5B2A" w14:textId="77777777" w:rsidR="001F51C2" w:rsidRPr="00B24B36" w:rsidRDefault="001F51C2" w:rsidP="00B24B36">
            <w:pPr>
              <w:spacing w:after="0" w:line="240" w:lineRule="auto"/>
              <w:jc w:val="both"/>
              <w:rPr>
                <w:rFonts w:ascii="Cambria" w:hAnsi="Cambria"/>
                <w:lang w:val="it-IT"/>
              </w:rPr>
            </w:pPr>
            <w:r w:rsidRPr="00B24B36">
              <w:rPr>
                <w:rFonts w:ascii="Cambria" w:hAnsi="Cambria"/>
                <w:lang w:val="it-IT"/>
              </w:rPr>
              <w:lastRenderedPageBreak/>
              <w:t xml:space="preserve">O tome </w:t>
            </w:r>
            <w:proofErr w:type="spellStart"/>
            <w:r w:rsidRPr="00B24B36">
              <w:rPr>
                <w:rFonts w:ascii="Cambria" w:hAnsi="Cambria"/>
                <w:lang w:val="it-IT"/>
              </w:rPr>
              <w:t>će</w:t>
            </w:r>
            <w:proofErr w:type="spellEnd"/>
            <w:r w:rsidRPr="00B24B36">
              <w:rPr>
                <w:rFonts w:ascii="Cambria" w:hAnsi="Cambria"/>
                <w:lang w:val="it-IT"/>
              </w:rPr>
              <w:t xml:space="preserve"> </w:t>
            </w:r>
            <w:proofErr w:type="spellStart"/>
            <w:r w:rsidRPr="00B24B36">
              <w:rPr>
                <w:rFonts w:ascii="Cambria" w:hAnsi="Cambria"/>
                <w:lang w:val="it-IT"/>
              </w:rPr>
              <w:t>nositelj</w:t>
            </w:r>
            <w:proofErr w:type="spellEnd"/>
            <w:r w:rsidRPr="00B24B36">
              <w:rPr>
                <w:rFonts w:ascii="Cambria" w:hAnsi="Cambria"/>
                <w:lang w:val="it-IT"/>
              </w:rPr>
              <w:t xml:space="preserve"> </w:t>
            </w:r>
            <w:proofErr w:type="spellStart"/>
            <w:r w:rsidRPr="00B24B36">
              <w:rPr>
                <w:rFonts w:ascii="Cambria" w:hAnsi="Cambria"/>
                <w:lang w:val="it-IT"/>
              </w:rPr>
              <w:t>kolegija</w:t>
            </w:r>
            <w:proofErr w:type="spellEnd"/>
            <w:r w:rsidRPr="00B24B36">
              <w:rPr>
                <w:rFonts w:ascii="Cambria" w:hAnsi="Cambria"/>
                <w:lang w:val="it-IT"/>
              </w:rPr>
              <w:t xml:space="preserve"> </w:t>
            </w:r>
            <w:proofErr w:type="spellStart"/>
            <w:r w:rsidRPr="00B24B36">
              <w:rPr>
                <w:rFonts w:ascii="Cambria" w:hAnsi="Cambria"/>
                <w:lang w:val="it-IT"/>
              </w:rPr>
              <w:t>obavijestiti</w:t>
            </w:r>
            <w:proofErr w:type="spellEnd"/>
            <w:r w:rsidRPr="00B24B36">
              <w:rPr>
                <w:rFonts w:ascii="Cambria" w:hAnsi="Cambria"/>
                <w:lang w:val="it-IT"/>
              </w:rPr>
              <w:t xml:space="preserve"> studente i </w:t>
            </w:r>
            <w:proofErr w:type="spellStart"/>
            <w:r w:rsidRPr="00B24B36">
              <w:rPr>
                <w:rFonts w:ascii="Cambria" w:hAnsi="Cambria"/>
                <w:lang w:val="it-IT"/>
              </w:rPr>
              <w:t>studentice</w:t>
            </w:r>
            <w:proofErr w:type="spellEnd"/>
            <w:r w:rsidRPr="00B24B36">
              <w:rPr>
                <w:rFonts w:ascii="Cambria" w:hAnsi="Cambria"/>
                <w:lang w:val="it-IT"/>
              </w:rPr>
              <w:t xml:space="preserve"> </w:t>
            </w:r>
            <w:proofErr w:type="spellStart"/>
            <w:r w:rsidRPr="00B24B36">
              <w:rPr>
                <w:rFonts w:ascii="Cambria" w:hAnsi="Cambria"/>
                <w:lang w:val="it-IT"/>
              </w:rPr>
              <w:t>kad</w:t>
            </w:r>
            <w:proofErr w:type="spellEnd"/>
            <w:r w:rsidRPr="00B24B36">
              <w:rPr>
                <w:rFonts w:ascii="Cambria" w:hAnsi="Cambria"/>
                <w:lang w:val="it-IT"/>
              </w:rPr>
              <w:t xml:space="preserve"> se </w:t>
            </w:r>
            <w:proofErr w:type="spellStart"/>
            <w:r w:rsidRPr="00B24B36">
              <w:rPr>
                <w:rFonts w:ascii="Cambria" w:hAnsi="Cambria"/>
                <w:lang w:val="it-IT"/>
              </w:rPr>
              <w:t>nastava</w:t>
            </w:r>
            <w:proofErr w:type="spellEnd"/>
            <w:r w:rsidRPr="00B24B36">
              <w:rPr>
                <w:rFonts w:ascii="Cambria" w:hAnsi="Cambria"/>
                <w:lang w:val="it-IT"/>
              </w:rPr>
              <w:t xml:space="preserve"> </w:t>
            </w:r>
            <w:proofErr w:type="spellStart"/>
            <w:r w:rsidRPr="00B24B36">
              <w:rPr>
                <w:rFonts w:ascii="Cambria" w:hAnsi="Cambria"/>
                <w:lang w:val="it-IT"/>
              </w:rPr>
              <w:t>na</w:t>
            </w:r>
            <w:proofErr w:type="spellEnd"/>
            <w:r w:rsidRPr="00B24B36">
              <w:rPr>
                <w:rFonts w:ascii="Cambria" w:hAnsi="Cambria"/>
                <w:lang w:val="it-IT"/>
              </w:rPr>
              <w:t xml:space="preserve"> </w:t>
            </w:r>
            <w:proofErr w:type="spellStart"/>
            <w:r w:rsidRPr="00B24B36">
              <w:rPr>
                <w:rFonts w:ascii="Cambria" w:hAnsi="Cambria"/>
                <w:lang w:val="it-IT"/>
              </w:rPr>
              <w:t>daljinu</w:t>
            </w:r>
            <w:proofErr w:type="spellEnd"/>
            <w:r w:rsidRPr="00B24B36">
              <w:rPr>
                <w:rFonts w:ascii="Cambria" w:hAnsi="Cambria"/>
                <w:lang w:val="it-IT"/>
              </w:rPr>
              <w:t xml:space="preserve"> </w:t>
            </w:r>
            <w:proofErr w:type="spellStart"/>
            <w:r w:rsidRPr="00B24B36">
              <w:rPr>
                <w:rFonts w:ascii="Cambria" w:hAnsi="Cambria"/>
                <w:lang w:val="it-IT"/>
              </w:rPr>
              <w:t>počne</w:t>
            </w:r>
            <w:proofErr w:type="spellEnd"/>
            <w:r w:rsidRPr="00B24B36">
              <w:rPr>
                <w:rFonts w:ascii="Cambria" w:hAnsi="Cambria"/>
                <w:lang w:val="it-IT"/>
              </w:rPr>
              <w:t xml:space="preserve"> </w:t>
            </w:r>
            <w:proofErr w:type="spellStart"/>
            <w:r w:rsidRPr="00B24B36">
              <w:rPr>
                <w:rFonts w:ascii="Cambria" w:hAnsi="Cambria"/>
                <w:lang w:val="it-IT"/>
              </w:rPr>
              <w:t>održavati</w:t>
            </w:r>
            <w:proofErr w:type="spellEnd"/>
            <w:r w:rsidRPr="00B24B36">
              <w:rPr>
                <w:rFonts w:ascii="Cambria" w:hAnsi="Cambria"/>
                <w:lang w:val="it-IT"/>
              </w:rPr>
              <w:t>.</w:t>
            </w:r>
          </w:p>
          <w:p w14:paraId="62E92449" w14:textId="77777777" w:rsidR="001F51C2" w:rsidRPr="00B24B36" w:rsidRDefault="001F51C2" w:rsidP="00B24B36">
            <w:pPr>
              <w:pStyle w:val="Bezproreda"/>
              <w:jc w:val="both"/>
              <w:rPr>
                <w:rFonts w:ascii="Cambria" w:hAnsi="Cambria" w:cs="Calibri"/>
              </w:rPr>
            </w:pPr>
            <w:r w:rsidRPr="00B24B36">
              <w:rPr>
                <w:rFonts w:ascii="Cambria" w:hAnsi="Cambria"/>
              </w:rPr>
              <w:t>Ishodi učenja ostaju nepromijenjeni.</w:t>
            </w:r>
          </w:p>
        </w:tc>
      </w:tr>
      <w:tr w:rsidR="001F51C2" w:rsidRPr="00B24B36" w14:paraId="69863766" w14:textId="77777777" w:rsidTr="00891E8C">
        <w:trPr>
          <w:trHeight w:val="770"/>
        </w:trPr>
        <w:tc>
          <w:tcPr>
            <w:tcW w:w="24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202A293" w14:textId="77777777" w:rsidR="001F51C2" w:rsidRPr="00B24B36" w:rsidRDefault="001F51C2" w:rsidP="00B24B36">
            <w:pPr>
              <w:pStyle w:val="Bezproreda"/>
              <w:rPr>
                <w:rFonts w:ascii="Cambria" w:hAnsi="Cambria" w:cs="Calibri"/>
              </w:rPr>
            </w:pPr>
            <w:r w:rsidRPr="00B24B36">
              <w:rPr>
                <w:rFonts w:ascii="Cambria" w:hAnsi="Cambria" w:cs="Calibri"/>
              </w:rPr>
              <w:lastRenderedPageBreak/>
              <w:t>Literatura</w:t>
            </w:r>
          </w:p>
        </w:tc>
        <w:tc>
          <w:tcPr>
            <w:tcW w:w="6652"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5A23AD4E" w14:textId="77777777" w:rsidR="001F51C2" w:rsidRPr="00B24B36" w:rsidRDefault="001F51C2" w:rsidP="00B24B36">
            <w:pPr>
              <w:pStyle w:val="Bezproreda"/>
              <w:rPr>
                <w:rFonts w:ascii="Cambria" w:hAnsi="Cambria" w:cs="Calibri"/>
                <w:bCs/>
              </w:rPr>
            </w:pPr>
            <w:r w:rsidRPr="00B24B36">
              <w:rPr>
                <w:rFonts w:ascii="Cambria" w:hAnsi="Cambria" w:cs="Calibri"/>
                <w:bCs/>
              </w:rPr>
              <w:t>Obvezna:</w:t>
            </w:r>
          </w:p>
          <w:p w14:paraId="25BC6340" w14:textId="51B5449E" w:rsidR="001F51C2" w:rsidRPr="00F942C2" w:rsidRDefault="00B2232B" w:rsidP="00B2232B">
            <w:pPr>
              <w:spacing w:after="0" w:line="240" w:lineRule="auto"/>
              <w:rPr>
                <w:rFonts w:ascii="Cambria" w:hAnsi="Cambria" w:cs="Arial"/>
                <w:lang w:val="hr-HR"/>
              </w:rPr>
            </w:pPr>
            <w:r w:rsidRPr="00F942C2">
              <w:rPr>
                <w:rFonts w:ascii="Cambria" w:hAnsi="Cambria"/>
                <w:lang w:val="hr-HR"/>
              </w:rPr>
              <w:t xml:space="preserve">1. </w:t>
            </w:r>
            <w:proofErr w:type="spellStart"/>
            <w:r w:rsidR="001F51C2" w:rsidRPr="00F942C2">
              <w:rPr>
                <w:rFonts w:ascii="Cambria" w:hAnsi="Cambria"/>
                <w:lang w:val="hr-HR"/>
              </w:rPr>
              <w:t>Nida-Rümelin</w:t>
            </w:r>
            <w:proofErr w:type="spellEnd"/>
            <w:r w:rsidR="001F51C2" w:rsidRPr="00F942C2">
              <w:rPr>
                <w:rFonts w:ascii="Cambria" w:hAnsi="Cambria"/>
                <w:lang w:val="hr-HR"/>
              </w:rPr>
              <w:t>, J. (2020). Filozofija humanog obrazovanja. Zagreb: Školska knjiga.</w:t>
            </w:r>
          </w:p>
          <w:p w14:paraId="473866E4" w14:textId="7395943A" w:rsidR="001F51C2" w:rsidRPr="00F942C2" w:rsidRDefault="00B2232B" w:rsidP="00B2232B">
            <w:pPr>
              <w:spacing w:after="0" w:line="240" w:lineRule="auto"/>
              <w:rPr>
                <w:rFonts w:ascii="Cambria" w:hAnsi="Cambria" w:cs="Arial"/>
                <w:lang w:val="hr-HR"/>
              </w:rPr>
            </w:pPr>
            <w:r w:rsidRPr="00F942C2">
              <w:rPr>
                <w:rFonts w:ascii="Cambria" w:hAnsi="Cambria" w:cs="Arial"/>
                <w:lang w:val="hr-HR"/>
              </w:rPr>
              <w:t xml:space="preserve">2. </w:t>
            </w:r>
            <w:r w:rsidR="001F51C2" w:rsidRPr="00F942C2">
              <w:rPr>
                <w:rFonts w:ascii="Cambria" w:hAnsi="Cambria" w:cs="Arial"/>
                <w:lang w:val="hr-HR"/>
              </w:rPr>
              <w:t xml:space="preserve">Polić, M. </w:t>
            </w:r>
            <w:r w:rsidR="001F51C2" w:rsidRPr="00F942C2">
              <w:rPr>
                <w:rFonts w:ascii="Cambria" w:hAnsi="Cambria"/>
                <w:lang w:val="hr-HR"/>
              </w:rPr>
              <w:t>(1993). K filozofiji odgoja. Zagreb: Znamen i Institut za pedagogijska istraživanja.</w:t>
            </w:r>
          </w:p>
          <w:p w14:paraId="1DB9A3AF" w14:textId="2866771E" w:rsidR="001F51C2" w:rsidRPr="00B24B36" w:rsidRDefault="00B2232B" w:rsidP="00B2232B">
            <w:pPr>
              <w:pStyle w:val="Bezproreda"/>
              <w:suppressAutoHyphens/>
              <w:rPr>
                <w:rFonts w:ascii="Cambria" w:hAnsi="Cambria" w:cs="Calibri"/>
              </w:rPr>
            </w:pPr>
            <w:r>
              <w:rPr>
                <w:rFonts w:ascii="Cambria" w:hAnsi="Cambria" w:cs="Calibri"/>
                <w:lang w:val="it-IT"/>
              </w:rPr>
              <w:t xml:space="preserve">3. </w:t>
            </w:r>
            <w:proofErr w:type="spellStart"/>
            <w:r w:rsidR="001F51C2" w:rsidRPr="00B24B36">
              <w:rPr>
                <w:rFonts w:ascii="Cambria" w:hAnsi="Cambria" w:cs="Calibri"/>
                <w:lang w:val="it-IT"/>
              </w:rPr>
              <w:t>Šuran</w:t>
            </w:r>
            <w:proofErr w:type="spellEnd"/>
            <w:r w:rsidR="001F51C2" w:rsidRPr="00B24B36">
              <w:rPr>
                <w:rFonts w:ascii="Cambria" w:hAnsi="Cambria" w:cs="Calibri"/>
                <w:lang w:val="it-IT"/>
              </w:rPr>
              <w:t xml:space="preserve">, F. </w:t>
            </w:r>
            <w:r w:rsidR="001F51C2" w:rsidRPr="00B24B36">
              <w:rPr>
                <w:rFonts w:ascii="Cambria" w:hAnsi="Cambria" w:cs="Calibri"/>
              </w:rPr>
              <w:t>(2018). Nikakva nas reforma neće spasiti. Odgoj i obrazovanje kao elementi novog „humanizma“. Pula: Sveučilište Jurja Dobrile u Puli.</w:t>
            </w:r>
          </w:p>
          <w:p w14:paraId="75C938CD" w14:textId="77777777" w:rsidR="001F51C2" w:rsidRPr="00B24B36" w:rsidRDefault="001F51C2" w:rsidP="00B24B36">
            <w:pPr>
              <w:pStyle w:val="Bezproreda"/>
              <w:rPr>
                <w:rFonts w:ascii="Cambria" w:hAnsi="Cambria" w:cs="Calibri"/>
                <w:bCs/>
              </w:rPr>
            </w:pPr>
            <w:r w:rsidRPr="00B24B36">
              <w:rPr>
                <w:rFonts w:ascii="Cambria" w:hAnsi="Cambria" w:cs="Calibri"/>
                <w:bCs/>
              </w:rPr>
              <w:t>Izborna:</w:t>
            </w:r>
          </w:p>
          <w:p w14:paraId="43951492" w14:textId="77777777" w:rsidR="001F51C2" w:rsidRPr="00B24B36" w:rsidRDefault="001F51C2" w:rsidP="00B24B36">
            <w:pPr>
              <w:suppressAutoHyphens/>
              <w:spacing w:after="0" w:line="240" w:lineRule="auto"/>
              <w:rPr>
                <w:rFonts w:ascii="Cambria" w:hAnsi="Cambria"/>
                <w:lang w:val="it-IT"/>
              </w:rPr>
            </w:pPr>
            <w:r w:rsidRPr="00B24B36">
              <w:rPr>
                <w:rFonts w:ascii="Cambria" w:hAnsi="Cambria"/>
                <w:lang w:val="it-IT"/>
              </w:rPr>
              <w:t xml:space="preserve">1. </w:t>
            </w:r>
            <w:proofErr w:type="spellStart"/>
            <w:r w:rsidRPr="00B24B36">
              <w:rPr>
                <w:rFonts w:ascii="Cambria" w:hAnsi="Cambria"/>
                <w:lang w:val="it-IT"/>
              </w:rPr>
              <w:t>Barbarić</w:t>
            </w:r>
            <w:proofErr w:type="spellEnd"/>
            <w:r w:rsidRPr="00B24B36">
              <w:rPr>
                <w:rFonts w:ascii="Cambria" w:hAnsi="Cambria"/>
                <w:lang w:val="it-IT"/>
              </w:rPr>
              <w:t>, D. (</w:t>
            </w:r>
            <w:proofErr w:type="spellStart"/>
            <w:r w:rsidRPr="00B24B36">
              <w:rPr>
                <w:rFonts w:ascii="Cambria" w:hAnsi="Cambria"/>
                <w:lang w:val="it-IT"/>
              </w:rPr>
              <w:t>ur</w:t>
            </w:r>
            <w:proofErr w:type="spellEnd"/>
            <w:r w:rsidRPr="00B24B36">
              <w:rPr>
                <w:rFonts w:ascii="Cambria" w:hAnsi="Cambria"/>
                <w:lang w:val="it-IT"/>
              </w:rPr>
              <w:t xml:space="preserve">.) (2011). </w:t>
            </w:r>
            <w:proofErr w:type="spellStart"/>
            <w:r w:rsidRPr="00B24B36">
              <w:rPr>
                <w:rFonts w:ascii="Cambria" w:hAnsi="Cambria"/>
                <w:lang w:val="it-IT"/>
              </w:rPr>
              <w:t>Čemu</w:t>
            </w:r>
            <w:proofErr w:type="spellEnd"/>
            <w:r w:rsidRPr="00B24B36">
              <w:rPr>
                <w:rFonts w:ascii="Cambria" w:hAnsi="Cambria"/>
                <w:lang w:val="it-IT"/>
              </w:rPr>
              <w:t xml:space="preserve"> </w:t>
            </w:r>
            <w:proofErr w:type="spellStart"/>
            <w:r w:rsidRPr="00B24B36">
              <w:rPr>
                <w:rFonts w:ascii="Cambria" w:hAnsi="Cambria"/>
                <w:lang w:val="it-IT"/>
              </w:rPr>
              <w:t>obrazovanje</w:t>
            </w:r>
            <w:proofErr w:type="spellEnd"/>
            <w:r w:rsidRPr="00B24B36">
              <w:rPr>
                <w:rFonts w:ascii="Cambria" w:hAnsi="Cambria"/>
                <w:lang w:val="it-IT"/>
              </w:rPr>
              <w:t xml:space="preserve">. </w:t>
            </w:r>
            <w:proofErr w:type="spellStart"/>
            <w:r w:rsidRPr="00B24B36">
              <w:rPr>
                <w:rFonts w:ascii="Cambria" w:hAnsi="Cambria"/>
                <w:lang w:val="it-IT"/>
              </w:rPr>
              <w:t>Razmatranja</w:t>
            </w:r>
            <w:proofErr w:type="spellEnd"/>
            <w:r w:rsidRPr="00B24B36">
              <w:rPr>
                <w:rFonts w:ascii="Cambria" w:hAnsi="Cambria"/>
                <w:lang w:val="it-IT"/>
              </w:rPr>
              <w:t xml:space="preserve"> o </w:t>
            </w:r>
            <w:proofErr w:type="spellStart"/>
            <w:r w:rsidRPr="00B24B36">
              <w:rPr>
                <w:rFonts w:ascii="Cambria" w:hAnsi="Cambria"/>
                <w:lang w:val="it-IT"/>
              </w:rPr>
              <w:t>budućnosti</w:t>
            </w:r>
            <w:proofErr w:type="spellEnd"/>
            <w:r w:rsidRPr="00B24B36">
              <w:rPr>
                <w:rFonts w:ascii="Cambria" w:hAnsi="Cambria"/>
                <w:lang w:val="it-IT"/>
              </w:rPr>
              <w:t xml:space="preserve"> </w:t>
            </w:r>
            <w:proofErr w:type="spellStart"/>
            <w:r w:rsidRPr="00B24B36">
              <w:rPr>
                <w:rFonts w:ascii="Cambria" w:hAnsi="Cambria"/>
                <w:lang w:val="it-IT"/>
              </w:rPr>
              <w:t>sveučilišta</w:t>
            </w:r>
            <w:proofErr w:type="spellEnd"/>
            <w:r w:rsidRPr="00B24B36">
              <w:rPr>
                <w:rFonts w:ascii="Cambria" w:hAnsi="Cambria"/>
                <w:lang w:val="it-IT"/>
              </w:rPr>
              <w:t xml:space="preserve">. </w:t>
            </w:r>
            <w:proofErr w:type="spellStart"/>
            <w:r w:rsidRPr="00B24B36">
              <w:rPr>
                <w:rFonts w:ascii="Cambria" w:hAnsi="Cambria"/>
                <w:lang w:val="it-IT"/>
              </w:rPr>
              <w:t>Zagreb</w:t>
            </w:r>
            <w:proofErr w:type="spellEnd"/>
            <w:r w:rsidRPr="00B24B36">
              <w:rPr>
                <w:rFonts w:ascii="Cambria" w:hAnsi="Cambria"/>
                <w:lang w:val="it-IT"/>
              </w:rPr>
              <w:t xml:space="preserve">: </w:t>
            </w:r>
            <w:proofErr w:type="spellStart"/>
            <w:r w:rsidRPr="00B24B36">
              <w:rPr>
                <w:rFonts w:ascii="Cambria" w:hAnsi="Cambria"/>
                <w:lang w:val="it-IT"/>
              </w:rPr>
              <w:t>Matica</w:t>
            </w:r>
            <w:proofErr w:type="spellEnd"/>
            <w:r w:rsidRPr="00B24B36">
              <w:rPr>
                <w:rFonts w:ascii="Cambria" w:hAnsi="Cambria"/>
                <w:lang w:val="it-IT"/>
              </w:rPr>
              <w:t xml:space="preserve"> </w:t>
            </w:r>
            <w:proofErr w:type="spellStart"/>
            <w:r w:rsidRPr="00B24B36">
              <w:rPr>
                <w:rFonts w:ascii="Cambria" w:hAnsi="Cambria"/>
                <w:lang w:val="it-IT"/>
              </w:rPr>
              <w:t>hrvatska</w:t>
            </w:r>
            <w:proofErr w:type="spellEnd"/>
            <w:r w:rsidRPr="00B24B36">
              <w:rPr>
                <w:rFonts w:ascii="Cambria" w:hAnsi="Cambria"/>
                <w:lang w:val="it-IT"/>
              </w:rPr>
              <w:t>.</w:t>
            </w:r>
          </w:p>
          <w:p w14:paraId="494307DF" w14:textId="77777777" w:rsidR="001F51C2" w:rsidRPr="00B24B36" w:rsidRDefault="001F51C2" w:rsidP="00B24B36">
            <w:pPr>
              <w:spacing w:after="0" w:line="240" w:lineRule="auto"/>
              <w:jc w:val="both"/>
              <w:rPr>
                <w:rFonts w:ascii="Cambria" w:hAnsi="Cambria"/>
              </w:rPr>
            </w:pPr>
            <w:r w:rsidRPr="00B24B36">
              <w:rPr>
                <w:rFonts w:ascii="Cambria" w:hAnsi="Cambria"/>
                <w:lang w:val="it-IT"/>
              </w:rPr>
              <w:t xml:space="preserve">2. </w:t>
            </w:r>
            <w:proofErr w:type="spellStart"/>
            <w:r w:rsidRPr="00B24B36">
              <w:rPr>
                <w:rFonts w:ascii="Cambria" w:hAnsi="Cambria"/>
                <w:lang w:val="it-IT"/>
              </w:rPr>
              <w:t>Ćurko</w:t>
            </w:r>
            <w:proofErr w:type="spellEnd"/>
            <w:r w:rsidRPr="00B24B36">
              <w:rPr>
                <w:rFonts w:ascii="Cambria" w:hAnsi="Cambria"/>
                <w:lang w:val="it-IT"/>
              </w:rPr>
              <w:t xml:space="preserve"> B. i sur. (2015). </w:t>
            </w:r>
            <w:proofErr w:type="spellStart"/>
            <w:r w:rsidRPr="00B24B36">
              <w:rPr>
                <w:rFonts w:ascii="Cambria" w:hAnsi="Cambria"/>
                <w:lang w:val="it-IT"/>
              </w:rPr>
              <w:t>Etičko</w:t>
            </w:r>
            <w:proofErr w:type="spellEnd"/>
            <w:r w:rsidRPr="00B24B36">
              <w:rPr>
                <w:rFonts w:ascii="Cambria" w:hAnsi="Cambria"/>
                <w:lang w:val="it-IT"/>
              </w:rPr>
              <w:t xml:space="preserve"> </w:t>
            </w:r>
            <w:proofErr w:type="spellStart"/>
            <w:r w:rsidRPr="00B24B36">
              <w:rPr>
                <w:rFonts w:ascii="Cambria" w:hAnsi="Cambria"/>
                <w:lang w:val="it-IT"/>
              </w:rPr>
              <w:t>obrazovanje</w:t>
            </w:r>
            <w:proofErr w:type="spellEnd"/>
            <w:r w:rsidRPr="00B24B36">
              <w:rPr>
                <w:rFonts w:ascii="Cambria" w:hAnsi="Cambria"/>
                <w:lang w:val="it-IT"/>
              </w:rPr>
              <w:t xml:space="preserve"> i </w:t>
            </w:r>
            <w:proofErr w:type="spellStart"/>
            <w:r w:rsidRPr="00B24B36">
              <w:rPr>
                <w:rFonts w:ascii="Cambria" w:hAnsi="Cambria"/>
                <w:lang w:val="it-IT"/>
              </w:rPr>
              <w:t>učenje</w:t>
            </w:r>
            <w:proofErr w:type="spellEnd"/>
            <w:r w:rsidRPr="00B24B36">
              <w:rPr>
                <w:rFonts w:ascii="Cambria" w:hAnsi="Cambria"/>
                <w:lang w:val="it-IT"/>
              </w:rPr>
              <w:t xml:space="preserve"> o </w:t>
            </w:r>
            <w:proofErr w:type="spellStart"/>
            <w:r w:rsidRPr="00B24B36">
              <w:rPr>
                <w:rFonts w:ascii="Cambria" w:hAnsi="Cambria"/>
                <w:lang w:val="it-IT"/>
              </w:rPr>
              <w:t>vrijednostima</w:t>
            </w:r>
            <w:proofErr w:type="spellEnd"/>
            <w:r w:rsidRPr="00B24B36">
              <w:rPr>
                <w:rFonts w:ascii="Cambria" w:hAnsi="Cambria"/>
                <w:lang w:val="it-IT"/>
              </w:rPr>
              <w:t xml:space="preserve">. </w:t>
            </w:r>
            <w:proofErr w:type="spellStart"/>
            <w:r w:rsidRPr="00B24B36">
              <w:rPr>
                <w:rFonts w:ascii="Cambria" w:hAnsi="Cambria"/>
              </w:rPr>
              <w:t>Priručnik</w:t>
            </w:r>
            <w:proofErr w:type="spellEnd"/>
            <w:r w:rsidRPr="00B24B36">
              <w:rPr>
                <w:rFonts w:ascii="Cambria" w:hAnsi="Cambria"/>
              </w:rPr>
              <w:t xml:space="preserve"> za </w:t>
            </w:r>
            <w:proofErr w:type="spellStart"/>
            <w:r w:rsidRPr="00B24B36">
              <w:rPr>
                <w:rFonts w:ascii="Cambria" w:hAnsi="Cambria"/>
              </w:rPr>
              <w:t>učitelje</w:t>
            </w:r>
            <w:proofErr w:type="spellEnd"/>
            <w:r w:rsidRPr="00B24B36">
              <w:rPr>
                <w:rFonts w:ascii="Cambria" w:hAnsi="Cambria"/>
              </w:rPr>
              <w:t xml:space="preserve"> </w:t>
            </w:r>
            <w:proofErr w:type="spellStart"/>
            <w:r w:rsidRPr="00B24B36">
              <w:rPr>
                <w:rFonts w:ascii="Cambria" w:hAnsi="Cambria"/>
              </w:rPr>
              <w:t>i</w:t>
            </w:r>
            <w:proofErr w:type="spellEnd"/>
            <w:r w:rsidRPr="00B24B36">
              <w:rPr>
                <w:rFonts w:ascii="Cambria" w:hAnsi="Cambria"/>
              </w:rPr>
              <w:t xml:space="preserve"> </w:t>
            </w:r>
            <w:proofErr w:type="spellStart"/>
            <w:r w:rsidRPr="00B24B36">
              <w:rPr>
                <w:rFonts w:ascii="Cambria" w:hAnsi="Cambria"/>
              </w:rPr>
              <w:t>odgajatelje</w:t>
            </w:r>
            <w:proofErr w:type="spellEnd"/>
            <w:r w:rsidRPr="00B24B36">
              <w:rPr>
                <w:rFonts w:ascii="Cambria" w:hAnsi="Cambria"/>
              </w:rPr>
              <w:t>. Ljubljana: Project: ETHIKA - Ethics and values education in schools and kindergartens.</w:t>
            </w:r>
          </w:p>
          <w:p w14:paraId="2B91BFE5" w14:textId="77777777" w:rsidR="001F51C2" w:rsidRPr="00B24B36" w:rsidRDefault="001F51C2" w:rsidP="00B24B36">
            <w:pPr>
              <w:spacing w:after="0" w:line="240" w:lineRule="auto"/>
              <w:jc w:val="both"/>
              <w:rPr>
                <w:rFonts w:ascii="Cambria" w:hAnsi="Cambria"/>
              </w:rPr>
            </w:pPr>
            <w:r w:rsidRPr="00B24B36">
              <w:rPr>
                <w:rFonts w:ascii="Cambria" w:hAnsi="Cambria"/>
              </w:rPr>
              <w:t>(</w:t>
            </w:r>
            <w:hyperlink r:id="rId11" w:history="1">
              <w:r w:rsidRPr="00B24B36">
                <w:rPr>
                  <w:rFonts w:ascii="Cambria" w:hAnsi="Cambria"/>
                  <w:color w:val="0000FF"/>
                  <w:u w:val="single"/>
                </w:rPr>
                <w:t>https://ec.europa.eu/programmes/erasmus-plus/project-result-content/78cf8290-e6f6-4f2e-bfb6-b6dc88d71100/</w:t>
              </w:r>
              <w:r w:rsidRPr="00B24B36">
                <w:rPr>
                  <w:rFonts w:ascii="Cambria" w:hAnsi="Cambria"/>
                  <w:color w:val="0000FF"/>
                  <w:u w:val="single"/>
                </w:rPr>
                <w:br/>
                <w:t>Ethika_O1a_%20Manual%20for%20Teachers_HR.pdf</w:t>
              </w:r>
            </w:hyperlink>
            <w:r w:rsidRPr="00B24B36">
              <w:rPr>
                <w:rFonts w:ascii="Cambria" w:hAnsi="Cambria"/>
              </w:rPr>
              <w:t>)</w:t>
            </w:r>
          </w:p>
          <w:p w14:paraId="117B6B6B" w14:textId="77777777" w:rsidR="001F51C2" w:rsidRPr="00B24B36" w:rsidRDefault="001F51C2" w:rsidP="00B24B36">
            <w:pPr>
              <w:suppressAutoHyphens/>
              <w:spacing w:after="0" w:line="240" w:lineRule="auto"/>
              <w:rPr>
                <w:rFonts w:ascii="Cambria" w:hAnsi="Cambria" w:cs="Calibri"/>
              </w:rPr>
            </w:pPr>
            <w:r w:rsidRPr="00B24B36">
              <w:rPr>
                <w:rFonts w:ascii="Cambria" w:hAnsi="Cambria" w:cs="Calibri"/>
              </w:rPr>
              <w:t xml:space="preserve">3. </w:t>
            </w:r>
            <w:proofErr w:type="spellStart"/>
            <w:r w:rsidRPr="00B24B36">
              <w:rPr>
                <w:rFonts w:ascii="Cambria" w:hAnsi="Cambria" w:cs="Calibri"/>
              </w:rPr>
              <w:t>Ćurko</w:t>
            </w:r>
            <w:proofErr w:type="spellEnd"/>
            <w:r w:rsidRPr="00B24B36">
              <w:rPr>
                <w:rFonts w:ascii="Cambria" w:hAnsi="Cambria" w:cs="Calibri"/>
              </w:rPr>
              <w:t xml:space="preserve">, B. (2017). </w:t>
            </w:r>
            <w:proofErr w:type="spellStart"/>
            <w:r w:rsidRPr="00B24B36">
              <w:rPr>
                <w:rFonts w:ascii="Cambria" w:hAnsi="Cambria" w:cs="Calibri"/>
              </w:rPr>
              <w:t>Kritičko</w:t>
            </w:r>
            <w:proofErr w:type="spellEnd"/>
            <w:r w:rsidRPr="00B24B36">
              <w:rPr>
                <w:rFonts w:ascii="Cambria" w:hAnsi="Cambria" w:cs="Calibri"/>
              </w:rPr>
              <w:t xml:space="preserve"> </w:t>
            </w:r>
            <w:proofErr w:type="spellStart"/>
            <w:r w:rsidRPr="00B24B36">
              <w:rPr>
                <w:rFonts w:ascii="Cambria" w:hAnsi="Cambria" w:cs="Calibri"/>
              </w:rPr>
              <w:t>mišljenje</w:t>
            </w:r>
            <w:proofErr w:type="spellEnd"/>
            <w:r w:rsidRPr="00B24B36">
              <w:rPr>
                <w:rFonts w:ascii="Cambria" w:hAnsi="Cambria" w:cs="Calibri"/>
              </w:rPr>
              <w:t xml:space="preserve"> u </w:t>
            </w:r>
            <w:proofErr w:type="spellStart"/>
            <w:r w:rsidRPr="00B24B36">
              <w:rPr>
                <w:rFonts w:ascii="Cambria" w:hAnsi="Cambria" w:cs="Calibri"/>
              </w:rPr>
              <w:t>nastavi</w:t>
            </w:r>
            <w:proofErr w:type="spellEnd"/>
            <w:r w:rsidRPr="00B24B36">
              <w:rPr>
                <w:rFonts w:ascii="Cambria" w:hAnsi="Cambria" w:cs="Calibri"/>
              </w:rPr>
              <w:t xml:space="preserve"> </w:t>
            </w:r>
            <w:proofErr w:type="spellStart"/>
            <w:r w:rsidRPr="00B24B36">
              <w:rPr>
                <w:rFonts w:ascii="Cambria" w:hAnsi="Cambria" w:cs="Calibri"/>
              </w:rPr>
              <w:t>filozofije</w:t>
            </w:r>
            <w:proofErr w:type="spellEnd"/>
            <w:r w:rsidRPr="00B24B36">
              <w:rPr>
                <w:rFonts w:ascii="Cambria" w:hAnsi="Cambria" w:cs="Calibri"/>
              </w:rPr>
              <w:t xml:space="preserve">, </w:t>
            </w:r>
            <w:proofErr w:type="spellStart"/>
            <w:r w:rsidRPr="00B24B36">
              <w:rPr>
                <w:rFonts w:ascii="Cambria" w:hAnsi="Cambria" w:cs="Calibri"/>
              </w:rPr>
              <w:t>logike</w:t>
            </w:r>
            <w:proofErr w:type="spellEnd"/>
            <w:r w:rsidRPr="00B24B36">
              <w:rPr>
                <w:rFonts w:ascii="Cambria" w:hAnsi="Cambria" w:cs="Calibri"/>
              </w:rPr>
              <w:t xml:space="preserve"> </w:t>
            </w:r>
            <w:proofErr w:type="spellStart"/>
            <w:r w:rsidRPr="00B24B36">
              <w:rPr>
                <w:rFonts w:ascii="Cambria" w:hAnsi="Cambria" w:cs="Calibri"/>
              </w:rPr>
              <w:t>i</w:t>
            </w:r>
            <w:proofErr w:type="spellEnd"/>
            <w:r w:rsidRPr="00B24B36">
              <w:rPr>
                <w:rFonts w:ascii="Cambria" w:hAnsi="Cambria" w:cs="Calibri"/>
              </w:rPr>
              <w:t xml:space="preserve"> </w:t>
            </w:r>
            <w:proofErr w:type="spellStart"/>
            <w:r w:rsidRPr="00B24B36">
              <w:rPr>
                <w:rFonts w:ascii="Cambria" w:hAnsi="Cambria" w:cs="Calibri"/>
              </w:rPr>
              <w:t>etike</w:t>
            </w:r>
            <w:proofErr w:type="spellEnd"/>
            <w:r w:rsidRPr="00B24B36">
              <w:rPr>
                <w:rFonts w:ascii="Cambria" w:hAnsi="Cambria" w:cs="Calibri"/>
              </w:rPr>
              <w:t xml:space="preserve">. Zagreb: </w:t>
            </w:r>
            <w:proofErr w:type="spellStart"/>
            <w:r w:rsidRPr="00B24B36">
              <w:rPr>
                <w:rFonts w:ascii="Cambria" w:hAnsi="Cambria" w:cs="Calibri"/>
              </w:rPr>
              <w:t>Hrvatsko</w:t>
            </w:r>
            <w:proofErr w:type="spellEnd"/>
            <w:r w:rsidRPr="00B24B36">
              <w:rPr>
                <w:rFonts w:ascii="Cambria" w:hAnsi="Cambria" w:cs="Calibri"/>
              </w:rPr>
              <w:t xml:space="preserve"> </w:t>
            </w:r>
            <w:proofErr w:type="spellStart"/>
            <w:r w:rsidRPr="00B24B36">
              <w:rPr>
                <w:rFonts w:ascii="Cambria" w:hAnsi="Cambria" w:cs="Calibri"/>
              </w:rPr>
              <w:t>filozofsko</w:t>
            </w:r>
            <w:proofErr w:type="spellEnd"/>
            <w:r w:rsidRPr="00B24B36">
              <w:rPr>
                <w:rFonts w:ascii="Cambria" w:hAnsi="Cambria" w:cs="Calibri"/>
              </w:rPr>
              <w:t xml:space="preserve"> </w:t>
            </w:r>
            <w:proofErr w:type="spellStart"/>
            <w:r w:rsidRPr="00B24B36">
              <w:rPr>
                <w:rFonts w:ascii="Cambria" w:hAnsi="Cambria" w:cs="Calibri"/>
              </w:rPr>
              <w:t>društvo</w:t>
            </w:r>
            <w:proofErr w:type="spellEnd"/>
            <w:r w:rsidRPr="00B24B36">
              <w:rPr>
                <w:rFonts w:ascii="Cambria" w:hAnsi="Cambria" w:cs="Calibri"/>
              </w:rPr>
              <w:t>.</w:t>
            </w:r>
          </w:p>
          <w:p w14:paraId="46D49654" w14:textId="77777777" w:rsidR="001F51C2" w:rsidRPr="00B24B36" w:rsidRDefault="001F51C2" w:rsidP="00B24B36">
            <w:pPr>
              <w:suppressAutoHyphens/>
              <w:spacing w:after="0" w:line="240" w:lineRule="auto"/>
              <w:rPr>
                <w:rFonts w:ascii="Cambria" w:hAnsi="Cambria" w:cs="Calibri"/>
              </w:rPr>
            </w:pPr>
            <w:r w:rsidRPr="00B24B36">
              <w:rPr>
                <w:rFonts w:ascii="Cambria" w:hAnsi="Cambria" w:cs="Calibri"/>
              </w:rPr>
              <w:t xml:space="preserve">4. Freire, P. (2002). </w:t>
            </w:r>
            <w:proofErr w:type="spellStart"/>
            <w:r w:rsidRPr="00B24B36">
              <w:rPr>
                <w:rFonts w:ascii="Cambria" w:hAnsi="Cambria" w:cs="Calibri"/>
              </w:rPr>
              <w:t>Pedagogija</w:t>
            </w:r>
            <w:proofErr w:type="spellEnd"/>
            <w:r w:rsidRPr="00B24B36">
              <w:rPr>
                <w:rFonts w:ascii="Cambria" w:hAnsi="Cambria" w:cs="Calibri"/>
              </w:rPr>
              <w:t xml:space="preserve"> </w:t>
            </w:r>
            <w:proofErr w:type="spellStart"/>
            <w:r w:rsidRPr="00B24B36">
              <w:rPr>
                <w:rFonts w:ascii="Cambria" w:hAnsi="Cambria" w:cs="Calibri"/>
              </w:rPr>
              <w:t>obespravljenih</w:t>
            </w:r>
            <w:proofErr w:type="spellEnd"/>
            <w:r w:rsidRPr="00B24B36">
              <w:rPr>
                <w:rFonts w:ascii="Cambria" w:hAnsi="Cambria" w:cs="Calibri"/>
              </w:rPr>
              <w:t xml:space="preserve">. Zagreb: </w:t>
            </w:r>
            <w:proofErr w:type="spellStart"/>
            <w:r w:rsidRPr="00B24B36">
              <w:rPr>
                <w:rFonts w:ascii="Cambria" w:hAnsi="Cambria" w:cs="Calibri"/>
              </w:rPr>
              <w:t>Odraz</w:t>
            </w:r>
            <w:proofErr w:type="spellEnd"/>
            <w:r w:rsidRPr="00B24B36">
              <w:rPr>
                <w:rFonts w:ascii="Cambria" w:hAnsi="Cambria" w:cs="Calibri"/>
              </w:rPr>
              <w:t>.</w:t>
            </w:r>
          </w:p>
          <w:p w14:paraId="6497DFAB" w14:textId="77777777" w:rsidR="001F51C2" w:rsidRPr="00B24B36" w:rsidRDefault="001F51C2" w:rsidP="00B24B36">
            <w:pPr>
              <w:suppressAutoHyphens/>
              <w:spacing w:after="0" w:line="240" w:lineRule="auto"/>
              <w:rPr>
                <w:rFonts w:ascii="Cambria" w:hAnsi="Cambria" w:cs="Calibri"/>
              </w:rPr>
            </w:pPr>
            <w:r w:rsidRPr="00B24B36">
              <w:rPr>
                <w:rFonts w:ascii="Cambria" w:hAnsi="Cambria" w:cs="Calibri"/>
              </w:rPr>
              <w:t xml:space="preserve">5. Liessmann, K. P. (2019). </w:t>
            </w:r>
            <w:proofErr w:type="spellStart"/>
            <w:r w:rsidRPr="00B24B36">
              <w:rPr>
                <w:rFonts w:ascii="Cambria" w:hAnsi="Cambria" w:cs="Calibri"/>
              </w:rPr>
              <w:t>Obrazovanje</w:t>
            </w:r>
            <w:proofErr w:type="spellEnd"/>
            <w:r w:rsidRPr="00B24B36">
              <w:rPr>
                <w:rFonts w:ascii="Cambria" w:hAnsi="Cambria" w:cs="Calibri"/>
              </w:rPr>
              <w:t xml:space="preserve"> </w:t>
            </w:r>
            <w:proofErr w:type="spellStart"/>
            <w:r w:rsidRPr="00B24B36">
              <w:rPr>
                <w:rFonts w:ascii="Cambria" w:hAnsi="Cambria" w:cs="Calibri"/>
              </w:rPr>
              <w:t>kao</w:t>
            </w:r>
            <w:proofErr w:type="spellEnd"/>
            <w:r w:rsidRPr="00B24B36">
              <w:rPr>
                <w:rFonts w:ascii="Cambria" w:hAnsi="Cambria" w:cs="Calibri"/>
              </w:rPr>
              <w:t xml:space="preserve"> </w:t>
            </w:r>
            <w:proofErr w:type="spellStart"/>
            <w:r w:rsidRPr="00B24B36">
              <w:rPr>
                <w:rFonts w:ascii="Cambria" w:hAnsi="Cambria" w:cs="Calibri"/>
              </w:rPr>
              <w:t>izazov</w:t>
            </w:r>
            <w:proofErr w:type="spellEnd"/>
            <w:r w:rsidRPr="00B24B36">
              <w:rPr>
                <w:rFonts w:ascii="Cambria" w:hAnsi="Cambria" w:cs="Calibri"/>
              </w:rPr>
              <w:t xml:space="preserve">. Zagreb: </w:t>
            </w:r>
            <w:proofErr w:type="spellStart"/>
            <w:r w:rsidRPr="00B24B36">
              <w:rPr>
                <w:rFonts w:ascii="Cambria" w:hAnsi="Cambria" w:cs="Calibri"/>
              </w:rPr>
              <w:t>Školska</w:t>
            </w:r>
            <w:proofErr w:type="spellEnd"/>
            <w:r w:rsidRPr="00B24B36">
              <w:rPr>
                <w:rFonts w:ascii="Cambria" w:hAnsi="Cambria" w:cs="Calibri"/>
              </w:rPr>
              <w:t xml:space="preserve"> </w:t>
            </w:r>
            <w:proofErr w:type="spellStart"/>
            <w:r w:rsidRPr="00B24B36">
              <w:rPr>
                <w:rFonts w:ascii="Cambria" w:hAnsi="Cambria" w:cs="Calibri"/>
              </w:rPr>
              <w:t>knjiga</w:t>
            </w:r>
            <w:proofErr w:type="spellEnd"/>
            <w:r w:rsidRPr="00B24B36">
              <w:rPr>
                <w:rFonts w:ascii="Cambria" w:hAnsi="Cambria" w:cs="Calibri"/>
              </w:rPr>
              <w:t>.</w:t>
            </w:r>
          </w:p>
          <w:p w14:paraId="316C8414" w14:textId="77777777" w:rsidR="001F51C2" w:rsidRPr="00B24B36" w:rsidRDefault="001F51C2" w:rsidP="00B24B36">
            <w:pPr>
              <w:suppressAutoHyphens/>
              <w:spacing w:after="0" w:line="240" w:lineRule="auto"/>
              <w:rPr>
                <w:rFonts w:ascii="Cambria" w:hAnsi="Cambria" w:cs="Calibri"/>
                <w:lang w:val="it-IT"/>
              </w:rPr>
            </w:pPr>
            <w:r w:rsidRPr="00B24B36">
              <w:rPr>
                <w:rFonts w:ascii="Cambria" w:hAnsi="Cambria" w:cs="Calibri"/>
              </w:rPr>
              <w:t xml:space="preserve">6. Marinković, J. (2008). </w:t>
            </w:r>
            <w:proofErr w:type="spellStart"/>
            <w:r w:rsidRPr="00B24B36">
              <w:rPr>
                <w:rFonts w:ascii="Cambria" w:hAnsi="Cambria" w:cs="Calibri"/>
                <w:lang w:val="it-IT"/>
              </w:rPr>
              <w:t>Učiteljstvo</w:t>
            </w:r>
            <w:proofErr w:type="spellEnd"/>
            <w:r w:rsidRPr="00B24B36">
              <w:rPr>
                <w:rFonts w:ascii="Cambria" w:hAnsi="Cambria" w:cs="Calibri"/>
                <w:lang w:val="it-IT"/>
              </w:rPr>
              <w:t xml:space="preserve"> </w:t>
            </w:r>
            <w:proofErr w:type="spellStart"/>
            <w:r w:rsidRPr="00B24B36">
              <w:rPr>
                <w:rFonts w:ascii="Cambria" w:hAnsi="Cambria" w:cs="Calibri"/>
                <w:lang w:val="it-IT"/>
              </w:rPr>
              <w:t>kao</w:t>
            </w:r>
            <w:proofErr w:type="spellEnd"/>
            <w:r w:rsidRPr="00B24B36">
              <w:rPr>
                <w:rFonts w:ascii="Cambria" w:hAnsi="Cambria" w:cs="Calibri"/>
                <w:lang w:val="it-IT"/>
              </w:rPr>
              <w:t xml:space="preserve"> </w:t>
            </w:r>
            <w:proofErr w:type="spellStart"/>
            <w:r w:rsidRPr="00B24B36">
              <w:rPr>
                <w:rFonts w:ascii="Cambria" w:hAnsi="Cambria" w:cs="Calibri"/>
                <w:lang w:val="it-IT"/>
              </w:rPr>
              <w:t>poziv</w:t>
            </w:r>
            <w:proofErr w:type="spellEnd"/>
            <w:r w:rsidRPr="00B24B36">
              <w:rPr>
                <w:rFonts w:ascii="Cambria" w:hAnsi="Cambria" w:cs="Calibri"/>
                <w:lang w:val="it-IT"/>
              </w:rPr>
              <w:t xml:space="preserve">: </w:t>
            </w:r>
            <w:proofErr w:type="spellStart"/>
            <w:r w:rsidRPr="00B24B36">
              <w:rPr>
                <w:rFonts w:ascii="Cambria" w:hAnsi="Cambria" w:cs="Calibri"/>
                <w:lang w:val="it-IT"/>
              </w:rPr>
              <w:t>rastakanje</w:t>
            </w:r>
            <w:proofErr w:type="spellEnd"/>
            <w:r w:rsidRPr="00B24B36">
              <w:rPr>
                <w:rFonts w:ascii="Cambria" w:hAnsi="Cambria" w:cs="Calibri"/>
                <w:lang w:val="it-IT"/>
              </w:rPr>
              <w:t xml:space="preserve"> </w:t>
            </w:r>
            <w:proofErr w:type="spellStart"/>
            <w:r w:rsidRPr="00B24B36">
              <w:rPr>
                <w:rFonts w:ascii="Cambria" w:hAnsi="Cambria" w:cs="Calibri"/>
                <w:lang w:val="it-IT"/>
              </w:rPr>
              <w:t>pedagogije</w:t>
            </w:r>
            <w:proofErr w:type="spellEnd"/>
            <w:r w:rsidRPr="00B24B36">
              <w:rPr>
                <w:rFonts w:ascii="Cambria" w:hAnsi="Cambria" w:cs="Calibri"/>
                <w:lang w:val="it-IT"/>
              </w:rPr>
              <w:t xml:space="preserve"> i </w:t>
            </w:r>
            <w:proofErr w:type="spellStart"/>
            <w:r w:rsidRPr="00B24B36">
              <w:rPr>
                <w:rFonts w:ascii="Cambria" w:hAnsi="Cambria" w:cs="Calibri"/>
                <w:lang w:val="it-IT"/>
              </w:rPr>
              <w:t>potraga</w:t>
            </w:r>
            <w:proofErr w:type="spellEnd"/>
            <w:r w:rsidRPr="00B24B36">
              <w:rPr>
                <w:rFonts w:ascii="Cambria" w:hAnsi="Cambria" w:cs="Calibri"/>
                <w:lang w:val="it-IT"/>
              </w:rPr>
              <w:t xml:space="preserve"> za </w:t>
            </w:r>
            <w:proofErr w:type="spellStart"/>
            <w:r w:rsidRPr="00B24B36">
              <w:rPr>
                <w:rFonts w:ascii="Cambria" w:hAnsi="Cambria" w:cs="Calibri"/>
                <w:lang w:val="it-IT"/>
              </w:rPr>
              <w:t>smislom</w:t>
            </w:r>
            <w:proofErr w:type="spellEnd"/>
            <w:r w:rsidRPr="00B24B36">
              <w:rPr>
                <w:rFonts w:ascii="Cambria" w:hAnsi="Cambria" w:cs="Calibri"/>
                <w:lang w:val="it-IT"/>
              </w:rPr>
              <w:t xml:space="preserve">. </w:t>
            </w:r>
            <w:proofErr w:type="spellStart"/>
            <w:r w:rsidRPr="00B24B36">
              <w:rPr>
                <w:rFonts w:ascii="Cambria" w:hAnsi="Cambria" w:cs="Calibri"/>
                <w:lang w:val="it-IT"/>
              </w:rPr>
              <w:t>Zagreb</w:t>
            </w:r>
            <w:proofErr w:type="spellEnd"/>
            <w:r w:rsidRPr="00B24B36">
              <w:rPr>
                <w:rFonts w:ascii="Cambria" w:hAnsi="Cambria" w:cs="Calibri"/>
                <w:lang w:val="it-IT"/>
              </w:rPr>
              <w:t xml:space="preserve">: </w:t>
            </w:r>
            <w:proofErr w:type="spellStart"/>
            <w:r w:rsidRPr="00B24B36">
              <w:rPr>
                <w:rFonts w:ascii="Cambria" w:hAnsi="Cambria" w:cs="Calibri"/>
                <w:lang w:val="it-IT"/>
              </w:rPr>
              <w:t>Kruzak</w:t>
            </w:r>
            <w:proofErr w:type="spellEnd"/>
            <w:r w:rsidRPr="00B24B36">
              <w:rPr>
                <w:rFonts w:ascii="Cambria" w:hAnsi="Cambria" w:cs="Calibri"/>
                <w:lang w:val="it-IT"/>
              </w:rPr>
              <w:t xml:space="preserve">. </w:t>
            </w:r>
          </w:p>
          <w:p w14:paraId="2B13CEC1" w14:textId="77777777" w:rsidR="001F51C2" w:rsidRPr="00B24B36" w:rsidRDefault="001F51C2" w:rsidP="00B24B36">
            <w:pPr>
              <w:suppressAutoHyphens/>
              <w:spacing w:after="0" w:line="240" w:lineRule="auto"/>
              <w:rPr>
                <w:rFonts w:ascii="Cambria" w:hAnsi="Cambria" w:cs="Calibri"/>
                <w:lang w:val="it-IT"/>
              </w:rPr>
            </w:pPr>
            <w:r w:rsidRPr="00B24B36">
              <w:rPr>
                <w:rFonts w:ascii="Cambria" w:hAnsi="Cambria" w:cs="Calibri"/>
                <w:lang w:val="it-IT"/>
              </w:rPr>
              <w:t xml:space="preserve">7. Nietzsche, F. (2003). Schopenhauer </w:t>
            </w:r>
            <w:proofErr w:type="spellStart"/>
            <w:r w:rsidRPr="00B24B36">
              <w:rPr>
                <w:rFonts w:ascii="Cambria" w:hAnsi="Cambria" w:cs="Calibri"/>
                <w:lang w:val="it-IT"/>
              </w:rPr>
              <w:t>kao</w:t>
            </w:r>
            <w:proofErr w:type="spellEnd"/>
            <w:r w:rsidRPr="00B24B36">
              <w:rPr>
                <w:rFonts w:ascii="Cambria" w:hAnsi="Cambria" w:cs="Calibri"/>
                <w:lang w:val="it-IT"/>
              </w:rPr>
              <w:t xml:space="preserve"> </w:t>
            </w:r>
            <w:proofErr w:type="spellStart"/>
            <w:r w:rsidRPr="00B24B36">
              <w:rPr>
                <w:rFonts w:ascii="Cambria" w:hAnsi="Cambria" w:cs="Calibri"/>
                <w:lang w:val="it-IT"/>
              </w:rPr>
              <w:t>odgajatelj</w:t>
            </w:r>
            <w:proofErr w:type="spellEnd"/>
            <w:r w:rsidRPr="00B24B36">
              <w:rPr>
                <w:rFonts w:ascii="Cambria" w:hAnsi="Cambria" w:cs="Calibri"/>
                <w:lang w:val="it-IT"/>
              </w:rPr>
              <w:t xml:space="preserve">. </w:t>
            </w:r>
            <w:proofErr w:type="spellStart"/>
            <w:r w:rsidRPr="00B24B36">
              <w:rPr>
                <w:rFonts w:ascii="Cambria" w:hAnsi="Cambria" w:cs="Calibri"/>
                <w:lang w:val="it-IT"/>
              </w:rPr>
              <w:t>Zagreb</w:t>
            </w:r>
            <w:proofErr w:type="spellEnd"/>
            <w:r w:rsidRPr="00B24B36">
              <w:rPr>
                <w:rFonts w:ascii="Cambria" w:hAnsi="Cambria" w:cs="Calibri"/>
                <w:lang w:val="it-IT"/>
              </w:rPr>
              <w:t xml:space="preserve">: </w:t>
            </w:r>
            <w:proofErr w:type="spellStart"/>
            <w:r w:rsidRPr="00B24B36">
              <w:rPr>
                <w:rFonts w:ascii="Cambria" w:hAnsi="Cambria" w:cs="Calibri"/>
                <w:lang w:val="it-IT"/>
              </w:rPr>
              <w:t>Matica</w:t>
            </w:r>
            <w:proofErr w:type="spellEnd"/>
            <w:r w:rsidRPr="00B24B36">
              <w:rPr>
                <w:rFonts w:ascii="Cambria" w:hAnsi="Cambria" w:cs="Calibri"/>
                <w:lang w:val="it-IT"/>
              </w:rPr>
              <w:t xml:space="preserve"> </w:t>
            </w:r>
            <w:proofErr w:type="spellStart"/>
            <w:r w:rsidRPr="00B24B36">
              <w:rPr>
                <w:rFonts w:ascii="Cambria" w:hAnsi="Cambria" w:cs="Calibri"/>
                <w:lang w:val="it-IT"/>
              </w:rPr>
              <w:t>hrvatska</w:t>
            </w:r>
            <w:proofErr w:type="spellEnd"/>
            <w:r w:rsidRPr="00B24B36">
              <w:rPr>
                <w:rFonts w:ascii="Cambria" w:hAnsi="Cambria" w:cs="Calibri"/>
                <w:lang w:val="it-IT"/>
              </w:rPr>
              <w:t>.</w:t>
            </w:r>
          </w:p>
          <w:p w14:paraId="31EF93A3" w14:textId="77777777" w:rsidR="001F51C2" w:rsidRPr="00B24B36" w:rsidRDefault="001F51C2" w:rsidP="00B24B36">
            <w:pPr>
              <w:suppressAutoHyphens/>
              <w:spacing w:after="0" w:line="240" w:lineRule="auto"/>
              <w:rPr>
                <w:rFonts w:ascii="Cambria" w:hAnsi="Cambria" w:cs="Calibri"/>
                <w:lang w:val="it-IT"/>
              </w:rPr>
            </w:pPr>
            <w:r w:rsidRPr="00B24B36">
              <w:rPr>
                <w:rFonts w:ascii="Cambria" w:hAnsi="Cambria" w:cs="Calibri"/>
                <w:lang w:val="it-IT"/>
              </w:rPr>
              <w:t xml:space="preserve">8. </w:t>
            </w:r>
            <w:proofErr w:type="spellStart"/>
            <w:r w:rsidRPr="00B24B36">
              <w:rPr>
                <w:rFonts w:ascii="Cambria" w:hAnsi="Cambria" w:cs="Calibri"/>
                <w:lang w:val="it-IT"/>
              </w:rPr>
              <w:t>Pranjić</w:t>
            </w:r>
            <w:proofErr w:type="spellEnd"/>
            <w:r w:rsidRPr="00B24B36">
              <w:rPr>
                <w:rFonts w:ascii="Cambria" w:hAnsi="Cambria" w:cs="Calibri"/>
                <w:lang w:val="it-IT"/>
              </w:rPr>
              <w:t xml:space="preserve">. M. (2020). </w:t>
            </w:r>
            <w:proofErr w:type="spellStart"/>
            <w:r w:rsidRPr="00B24B36">
              <w:rPr>
                <w:rFonts w:ascii="Cambria" w:hAnsi="Cambria" w:cs="Calibri"/>
                <w:lang w:val="it-IT"/>
              </w:rPr>
              <w:t>Odgoj</w:t>
            </w:r>
            <w:proofErr w:type="spellEnd"/>
            <w:r w:rsidRPr="00B24B36">
              <w:rPr>
                <w:rFonts w:ascii="Cambria" w:hAnsi="Cambria" w:cs="Calibri"/>
                <w:lang w:val="it-IT"/>
              </w:rPr>
              <w:t xml:space="preserve"> u </w:t>
            </w:r>
            <w:proofErr w:type="spellStart"/>
            <w:r w:rsidRPr="00B24B36">
              <w:rPr>
                <w:rFonts w:ascii="Cambria" w:hAnsi="Cambria" w:cs="Calibri"/>
                <w:lang w:val="it-IT"/>
              </w:rPr>
              <w:t>vrijeme</w:t>
            </w:r>
            <w:proofErr w:type="spellEnd"/>
            <w:r w:rsidRPr="00B24B36">
              <w:rPr>
                <w:rFonts w:ascii="Cambria" w:hAnsi="Cambria" w:cs="Calibri"/>
                <w:lang w:val="it-IT"/>
              </w:rPr>
              <w:t xml:space="preserve"> </w:t>
            </w:r>
            <w:proofErr w:type="spellStart"/>
            <w:r w:rsidRPr="00B24B36">
              <w:rPr>
                <w:rFonts w:ascii="Cambria" w:hAnsi="Cambria" w:cs="Calibri"/>
                <w:lang w:val="it-IT"/>
              </w:rPr>
              <w:t>antike</w:t>
            </w:r>
            <w:proofErr w:type="spellEnd"/>
            <w:r w:rsidRPr="00B24B36">
              <w:rPr>
                <w:rFonts w:ascii="Cambria" w:hAnsi="Cambria" w:cs="Calibri"/>
                <w:lang w:val="it-IT"/>
              </w:rPr>
              <w:t xml:space="preserve">: </w:t>
            </w:r>
            <w:proofErr w:type="spellStart"/>
            <w:r w:rsidRPr="00B24B36">
              <w:rPr>
                <w:rFonts w:ascii="Cambria" w:hAnsi="Cambria" w:cs="Calibri"/>
                <w:lang w:val="it-IT"/>
              </w:rPr>
              <w:t>starogrčki</w:t>
            </w:r>
            <w:proofErr w:type="spellEnd"/>
            <w:r w:rsidRPr="00B24B36">
              <w:rPr>
                <w:rFonts w:ascii="Cambria" w:hAnsi="Cambria" w:cs="Calibri"/>
                <w:lang w:val="it-IT"/>
              </w:rPr>
              <w:t xml:space="preserve">, </w:t>
            </w:r>
            <w:proofErr w:type="spellStart"/>
            <w:r w:rsidRPr="00B24B36">
              <w:rPr>
                <w:rFonts w:ascii="Cambria" w:hAnsi="Cambria" w:cs="Calibri"/>
                <w:lang w:val="it-IT"/>
              </w:rPr>
              <w:t>starorimski</w:t>
            </w:r>
            <w:proofErr w:type="spellEnd"/>
            <w:r w:rsidRPr="00B24B36">
              <w:rPr>
                <w:rFonts w:ascii="Cambria" w:hAnsi="Cambria" w:cs="Calibri"/>
                <w:lang w:val="it-IT"/>
              </w:rPr>
              <w:t xml:space="preserve"> i </w:t>
            </w:r>
            <w:proofErr w:type="spellStart"/>
            <w:r w:rsidRPr="00B24B36">
              <w:rPr>
                <w:rFonts w:ascii="Cambria" w:hAnsi="Cambria" w:cs="Calibri"/>
                <w:lang w:val="it-IT"/>
              </w:rPr>
              <w:t>ranokršćanski</w:t>
            </w:r>
            <w:proofErr w:type="spellEnd"/>
            <w:r w:rsidRPr="00B24B36">
              <w:rPr>
                <w:rFonts w:ascii="Cambria" w:hAnsi="Cambria" w:cs="Calibri"/>
                <w:lang w:val="it-IT"/>
              </w:rPr>
              <w:t xml:space="preserve"> </w:t>
            </w:r>
            <w:proofErr w:type="spellStart"/>
            <w:r w:rsidRPr="00B24B36">
              <w:rPr>
                <w:rFonts w:ascii="Cambria" w:hAnsi="Cambria" w:cs="Calibri"/>
                <w:lang w:val="it-IT"/>
              </w:rPr>
              <w:t>odgoj</w:t>
            </w:r>
            <w:proofErr w:type="spellEnd"/>
            <w:r w:rsidRPr="00B24B36">
              <w:rPr>
                <w:rFonts w:ascii="Cambria" w:hAnsi="Cambria" w:cs="Calibri"/>
                <w:lang w:val="it-IT"/>
              </w:rPr>
              <w:t xml:space="preserve"> i </w:t>
            </w:r>
            <w:proofErr w:type="spellStart"/>
            <w:r w:rsidRPr="00B24B36">
              <w:rPr>
                <w:rFonts w:ascii="Cambria" w:hAnsi="Cambria" w:cs="Calibri"/>
                <w:lang w:val="it-IT"/>
              </w:rPr>
              <w:t>obrazovanje</w:t>
            </w:r>
            <w:proofErr w:type="spellEnd"/>
            <w:r w:rsidRPr="00B24B36">
              <w:rPr>
                <w:rFonts w:ascii="Cambria" w:hAnsi="Cambria" w:cs="Calibri"/>
                <w:lang w:val="it-IT"/>
              </w:rPr>
              <w:t xml:space="preserve">. </w:t>
            </w:r>
            <w:proofErr w:type="spellStart"/>
            <w:r w:rsidRPr="00B24B36">
              <w:rPr>
                <w:rFonts w:ascii="Cambria" w:hAnsi="Cambria" w:cs="Calibri"/>
                <w:lang w:val="it-IT"/>
              </w:rPr>
              <w:t>Zagreb</w:t>
            </w:r>
            <w:proofErr w:type="spellEnd"/>
            <w:r w:rsidRPr="00B24B36">
              <w:rPr>
                <w:rFonts w:ascii="Cambria" w:hAnsi="Cambria" w:cs="Calibri"/>
                <w:lang w:val="it-IT"/>
              </w:rPr>
              <w:t xml:space="preserve">: </w:t>
            </w:r>
            <w:proofErr w:type="spellStart"/>
            <w:r w:rsidRPr="00B24B36">
              <w:rPr>
                <w:rFonts w:ascii="Cambria" w:hAnsi="Cambria" w:cs="Calibri"/>
                <w:lang w:val="it-IT"/>
              </w:rPr>
              <w:t>Fakultet</w:t>
            </w:r>
            <w:proofErr w:type="spellEnd"/>
            <w:r w:rsidRPr="00B24B36">
              <w:rPr>
                <w:rFonts w:ascii="Cambria" w:hAnsi="Cambria" w:cs="Calibri"/>
                <w:lang w:val="it-IT"/>
              </w:rPr>
              <w:t xml:space="preserve"> </w:t>
            </w:r>
            <w:proofErr w:type="spellStart"/>
            <w:r w:rsidRPr="00B24B36">
              <w:rPr>
                <w:rFonts w:ascii="Cambria" w:hAnsi="Cambria" w:cs="Calibri"/>
                <w:lang w:val="it-IT"/>
              </w:rPr>
              <w:t>hrvatskih</w:t>
            </w:r>
            <w:proofErr w:type="spellEnd"/>
            <w:r w:rsidRPr="00B24B36">
              <w:rPr>
                <w:rFonts w:ascii="Cambria" w:hAnsi="Cambria" w:cs="Calibri"/>
                <w:lang w:val="it-IT"/>
              </w:rPr>
              <w:t xml:space="preserve"> </w:t>
            </w:r>
            <w:proofErr w:type="spellStart"/>
            <w:r w:rsidRPr="00B24B36">
              <w:rPr>
                <w:rFonts w:ascii="Cambria" w:hAnsi="Cambria" w:cs="Calibri"/>
                <w:lang w:val="it-IT"/>
              </w:rPr>
              <w:t>studija</w:t>
            </w:r>
            <w:proofErr w:type="spellEnd"/>
            <w:r w:rsidRPr="00B24B36">
              <w:rPr>
                <w:rFonts w:ascii="Cambria" w:hAnsi="Cambria" w:cs="Calibri"/>
                <w:lang w:val="it-IT"/>
              </w:rPr>
              <w:t xml:space="preserve"> </w:t>
            </w:r>
            <w:proofErr w:type="spellStart"/>
            <w:r w:rsidRPr="00B24B36">
              <w:rPr>
                <w:rFonts w:ascii="Cambria" w:hAnsi="Cambria" w:cs="Calibri"/>
                <w:lang w:val="it-IT"/>
              </w:rPr>
              <w:t>Sveučilišta</w:t>
            </w:r>
            <w:proofErr w:type="spellEnd"/>
            <w:r w:rsidRPr="00B24B36">
              <w:rPr>
                <w:rFonts w:ascii="Cambria" w:hAnsi="Cambria" w:cs="Calibri"/>
                <w:lang w:val="it-IT"/>
              </w:rPr>
              <w:t xml:space="preserve"> u </w:t>
            </w:r>
            <w:proofErr w:type="spellStart"/>
            <w:r w:rsidRPr="00B24B36">
              <w:rPr>
                <w:rFonts w:ascii="Cambria" w:hAnsi="Cambria" w:cs="Calibri"/>
                <w:lang w:val="it-IT"/>
              </w:rPr>
              <w:t>Zagrebu</w:t>
            </w:r>
            <w:proofErr w:type="spellEnd"/>
            <w:r w:rsidRPr="00B24B36">
              <w:rPr>
                <w:rFonts w:ascii="Cambria" w:hAnsi="Cambria" w:cs="Calibri"/>
                <w:lang w:val="it-IT"/>
              </w:rPr>
              <w:t>.</w:t>
            </w:r>
          </w:p>
          <w:p w14:paraId="4EFF9FAB" w14:textId="77777777" w:rsidR="001F51C2" w:rsidRPr="00B24B36" w:rsidRDefault="001F51C2" w:rsidP="00B24B36">
            <w:pPr>
              <w:suppressAutoHyphens/>
              <w:spacing w:after="0" w:line="240" w:lineRule="auto"/>
              <w:rPr>
                <w:rFonts w:ascii="Cambria" w:hAnsi="Cambria" w:cs="Calibri"/>
                <w:lang w:val="it-IT"/>
              </w:rPr>
            </w:pPr>
            <w:r w:rsidRPr="00B24B36">
              <w:rPr>
                <w:rFonts w:ascii="Cambria" w:hAnsi="Cambria" w:cs="Calibri"/>
                <w:lang w:val="it-IT"/>
              </w:rPr>
              <w:t xml:space="preserve">9. Ranciere, J. (2010). </w:t>
            </w:r>
            <w:proofErr w:type="spellStart"/>
            <w:r w:rsidRPr="00B24B36">
              <w:rPr>
                <w:rFonts w:ascii="Cambria" w:hAnsi="Cambria" w:cs="Calibri"/>
                <w:lang w:val="it-IT"/>
              </w:rPr>
              <w:t>Učitelj</w:t>
            </w:r>
            <w:proofErr w:type="spellEnd"/>
            <w:r w:rsidRPr="00B24B36">
              <w:rPr>
                <w:rFonts w:ascii="Cambria" w:hAnsi="Cambria" w:cs="Calibri"/>
                <w:lang w:val="it-IT"/>
              </w:rPr>
              <w:t xml:space="preserve"> </w:t>
            </w:r>
            <w:proofErr w:type="spellStart"/>
            <w:r w:rsidRPr="00B24B36">
              <w:rPr>
                <w:rFonts w:ascii="Cambria" w:hAnsi="Cambria" w:cs="Calibri"/>
                <w:lang w:val="it-IT"/>
              </w:rPr>
              <w:t>neznalica</w:t>
            </w:r>
            <w:proofErr w:type="spellEnd"/>
            <w:r w:rsidRPr="00B24B36">
              <w:rPr>
                <w:rFonts w:ascii="Cambria" w:hAnsi="Cambria" w:cs="Calibri"/>
                <w:lang w:val="it-IT"/>
              </w:rPr>
              <w:t xml:space="preserve">. </w:t>
            </w:r>
            <w:proofErr w:type="spellStart"/>
            <w:r w:rsidRPr="00B24B36">
              <w:rPr>
                <w:rFonts w:ascii="Cambria" w:hAnsi="Cambria" w:cs="Calibri"/>
                <w:lang w:val="it-IT"/>
              </w:rPr>
              <w:t>Zagreb</w:t>
            </w:r>
            <w:proofErr w:type="spellEnd"/>
            <w:r w:rsidRPr="00B24B36">
              <w:rPr>
                <w:rFonts w:ascii="Cambria" w:hAnsi="Cambria" w:cs="Calibri"/>
                <w:lang w:val="it-IT"/>
              </w:rPr>
              <w:t xml:space="preserve">: </w:t>
            </w:r>
            <w:proofErr w:type="spellStart"/>
            <w:r w:rsidRPr="00B24B36">
              <w:rPr>
                <w:rFonts w:ascii="Cambria" w:hAnsi="Cambria" w:cs="Calibri"/>
                <w:lang w:val="it-IT"/>
              </w:rPr>
              <w:t>Multimedijalni</w:t>
            </w:r>
            <w:proofErr w:type="spellEnd"/>
            <w:r w:rsidRPr="00B24B36">
              <w:rPr>
                <w:rFonts w:ascii="Cambria" w:hAnsi="Cambria" w:cs="Calibri"/>
                <w:lang w:val="it-IT"/>
              </w:rPr>
              <w:t xml:space="preserve"> institut. </w:t>
            </w:r>
          </w:p>
          <w:p w14:paraId="3F9D3997" w14:textId="77777777" w:rsidR="001F51C2" w:rsidRPr="00B24B36" w:rsidRDefault="001F51C2" w:rsidP="00B24B36">
            <w:pPr>
              <w:suppressAutoHyphens/>
              <w:spacing w:after="0" w:line="240" w:lineRule="auto"/>
              <w:rPr>
                <w:rFonts w:ascii="Cambria" w:hAnsi="Cambria" w:cs="Calibri"/>
                <w:lang w:val="it-IT"/>
              </w:rPr>
            </w:pPr>
            <w:r w:rsidRPr="00B24B36">
              <w:rPr>
                <w:rFonts w:ascii="Cambria" w:hAnsi="Cambria" w:cs="Calibri"/>
                <w:lang w:val="it-IT"/>
              </w:rPr>
              <w:t xml:space="preserve">10. </w:t>
            </w:r>
            <w:proofErr w:type="spellStart"/>
            <w:r w:rsidRPr="00B24B36">
              <w:rPr>
                <w:rFonts w:ascii="Cambria" w:hAnsi="Cambria" w:cs="Calibri"/>
                <w:lang w:val="it-IT"/>
              </w:rPr>
              <w:t>Stojadinović</w:t>
            </w:r>
            <w:proofErr w:type="spellEnd"/>
            <w:r w:rsidRPr="00B24B36">
              <w:rPr>
                <w:rFonts w:ascii="Cambria" w:hAnsi="Cambria" w:cs="Calibri"/>
                <w:lang w:val="it-IT"/>
              </w:rPr>
              <w:t xml:space="preserve">, P. (2016). </w:t>
            </w:r>
            <w:proofErr w:type="spellStart"/>
            <w:r w:rsidRPr="00B24B36">
              <w:rPr>
                <w:rFonts w:ascii="Cambria" w:hAnsi="Cambria" w:cs="Calibri"/>
                <w:lang w:val="it-IT"/>
              </w:rPr>
              <w:t>Logičke</w:t>
            </w:r>
            <w:proofErr w:type="spellEnd"/>
            <w:r w:rsidRPr="00B24B36">
              <w:rPr>
                <w:rFonts w:ascii="Cambria" w:hAnsi="Cambria" w:cs="Calibri"/>
                <w:lang w:val="it-IT"/>
              </w:rPr>
              <w:t xml:space="preserve"> </w:t>
            </w:r>
            <w:proofErr w:type="spellStart"/>
            <w:r w:rsidRPr="00B24B36">
              <w:rPr>
                <w:rFonts w:ascii="Cambria" w:hAnsi="Cambria" w:cs="Calibri"/>
                <w:lang w:val="it-IT"/>
              </w:rPr>
              <w:t>pogreške</w:t>
            </w:r>
            <w:proofErr w:type="spellEnd"/>
            <w:r w:rsidRPr="00B24B36">
              <w:rPr>
                <w:rFonts w:ascii="Cambria" w:hAnsi="Cambria" w:cs="Calibri"/>
                <w:lang w:val="it-IT"/>
              </w:rPr>
              <w:t xml:space="preserve"> za </w:t>
            </w:r>
            <w:proofErr w:type="spellStart"/>
            <w:r w:rsidRPr="00B24B36">
              <w:rPr>
                <w:rFonts w:ascii="Cambria" w:hAnsi="Cambria" w:cs="Calibri"/>
                <w:lang w:val="it-IT"/>
              </w:rPr>
              <w:t>koje</w:t>
            </w:r>
            <w:proofErr w:type="spellEnd"/>
            <w:r w:rsidRPr="00B24B36">
              <w:rPr>
                <w:rFonts w:ascii="Cambria" w:hAnsi="Cambria" w:cs="Calibri"/>
                <w:lang w:val="it-IT"/>
              </w:rPr>
              <w:t xml:space="preserve"> je </w:t>
            </w:r>
            <w:proofErr w:type="spellStart"/>
            <w:r w:rsidRPr="00B24B36">
              <w:rPr>
                <w:rFonts w:ascii="Cambria" w:hAnsi="Cambria" w:cs="Calibri"/>
                <w:lang w:val="it-IT"/>
              </w:rPr>
              <w:t>dobro</w:t>
            </w:r>
            <w:proofErr w:type="spellEnd"/>
            <w:r w:rsidRPr="00B24B36">
              <w:rPr>
                <w:rFonts w:ascii="Cambria" w:hAnsi="Cambria" w:cs="Calibri"/>
                <w:lang w:val="it-IT"/>
              </w:rPr>
              <w:t xml:space="preserve"> </w:t>
            </w:r>
            <w:proofErr w:type="spellStart"/>
            <w:r w:rsidRPr="00B24B36">
              <w:rPr>
                <w:rFonts w:ascii="Cambria" w:hAnsi="Cambria" w:cs="Calibri"/>
                <w:lang w:val="it-IT"/>
              </w:rPr>
              <w:t>znati</w:t>
            </w:r>
            <w:proofErr w:type="spellEnd"/>
            <w:r w:rsidRPr="00B24B36">
              <w:rPr>
                <w:rFonts w:ascii="Cambria" w:hAnsi="Cambria" w:cs="Calibri"/>
                <w:lang w:val="it-IT"/>
              </w:rPr>
              <w:t xml:space="preserve">. </w:t>
            </w:r>
            <w:proofErr w:type="spellStart"/>
            <w:r w:rsidRPr="00B24B36">
              <w:rPr>
                <w:rFonts w:ascii="Cambria" w:hAnsi="Cambria" w:cs="Calibri"/>
                <w:lang w:val="it-IT"/>
              </w:rPr>
              <w:t>Zagreb</w:t>
            </w:r>
            <w:proofErr w:type="spellEnd"/>
            <w:r w:rsidRPr="00B24B36">
              <w:rPr>
                <w:rFonts w:ascii="Cambria" w:hAnsi="Cambria" w:cs="Calibri"/>
                <w:lang w:val="it-IT"/>
              </w:rPr>
              <w:t xml:space="preserve">: </w:t>
            </w:r>
            <w:proofErr w:type="spellStart"/>
            <w:r w:rsidRPr="00B24B36">
              <w:rPr>
                <w:rFonts w:ascii="Cambria" w:hAnsi="Cambria" w:cs="Calibri"/>
                <w:lang w:val="it-IT"/>
              </w:rPr>
              <w:t>Naklada</w:t>
            </w:r>
            <w:proofErr w:type="spellEnd"/>
            <w:r w:rsidRPr="00B24B36">
              <w:rPr>
                <w:rFonts w:ascii="Cambria" w:hAnsi="Cambria" w:cs="Calibri"/>
                <w:lang w:val="it-IT"/>
              </w:rPr>
              <w:t xml:space="preserve"> </w:t>
            </w:r>
            <w:proofErr w:type="spellStart"/>
            <w:r w:rsidRPr="00B24B36">
              <w:rPr>
                <w:rFonts w:ascii="Cambria" w:hAnsi="Cambria" w:cs="Calibri"/>
                <w:lang w:val="it-IT"/>
              </w:rPr>
              <w:t>Jesenski</w:t>
            </w:r>
            <w:proofErr w:type="spellEnd"/>
            <w:r w:rsidRPr="00B24B36">
              <w:rPr>
                <w:rFonts w:ascii="Cambria" w:hAnsi="Cambria" w:cs="Calibri"/>
                <w:lang w:val="it-IT"/>
              </w:rPr>
              <w:t xml:space="preserve"> i Turk.</w:t>
            </w:r>
          </w:p>
          <w:p w14:paraId="0DB720DD" w14:textId="77777777" w:rsidR="001F51C2" w:rsidRPr="00B24B36" w:rsidRDefault="001F51C2" w:rsidP="00B24B36">
            <w:pPr>
              <w:suppressAutoHyphens/>
              <w:spacing w:after="0" w:line="240" w:lineRule="auto"/>
              <w:rPr>
                <w:rFonts w:ascii="Cambria" w:hAnsi="Cambria" w:cs="Calibri"/>
                <w:lang w:val="it-IT"/>
              </w:rPr>
            </w:pPr>
            <w:r w:rsidRPr="00B24B36">
              <w:rPr>
                <w:rFonts w:ascii="Cambria" w:hAnsi="Cambria" w:cs="Calibri"/>
                <w:lang w:val="it-IT"/>
              </w:rPr>
              <w:t xml:space="preserve">11. </w:t>
            </w:r>
            <w:proofErr w:type="spellStart"/>
            <w:r w:rsidRPr="00B24B36">
              <w:rPr>
                <w:rFonts w:ascii="Cambria" w:hAnsi="Cambria" w:cs="Calibri"/>
                <w:lang w:val="it-IT"/>
              </w:rPr>
              <w:t>Tomić</w:t>
            </w:r>
            <w:proofErr w:type="spellEnd"/>
            <w:r w:rsidRPr="00B24B36">
              <w:rPr>
                <w:rFonts w:ascii="Cambria" w:hAnsi="Cambria" w:cs="Calibri"/>
                <w:lang w:val="it-IT"/>
              </w:rPr>
              <w:t xml:space="preserve">, D. (2020). </w:t>
            </w:r>
            <w:proofErr w:type="spellStart"/>
            <w:r w:rsidRPr="00B24B36">
              <w:rPr>
                <w:rFonts w:ascii="Cambria" w:hAnsi="Cambria" w:cs="Calibri"/>
                <w:lang w:val="it-IT"/>
              </w:rPr>
              <w:t>Filozofija</w:t>
            </w:r>
            <w:proofErr w:type="spellEnd"/>
            <w:r w:rsidRPr="00B24B36">
              <w:rPr>
                <w:rFonts w:ascii="Cambria" w:hAnsi="Cambria" w:cs="Calibri"/>
                <w:lang w:val="it-IT"/>
              </w:rPr>
              <w:t xml:space="preserve"> i </w:t>
            </w:r>
            <w:proofErr w:type="spellStart"/>
            <w:r w:rsidRPr="00B24B36">
              <w:rPr>
                <w:rFonts w:ascii="Cambria" w:hAnsi="Cambria" w:cs="Calibri"/>
                <w:lang w:val="it-IT"/>
              </w:rPr>
              <w:t>odgoj</w:t>
            </w:r>
            <w:proofErr w:type="spellEnd"/>
            <w:r w:rsidRPr="00B24B36">
              <w:rPr>
                <w:rFonts w:ascii="Cambria" w:hAnsi="Cambria" w:cs="Calibri"/>
                <w:lang w:val="it-IT"/>
              </w:rPr>
              <w:t xml:space="preserve">. </w:t>
            </w:r>
            <w:proofErr w:type="spellStart"/>
            <w:r w:rsidRPr="00B24B36">
              <w:rPr>
                <w:rFonts w:ascii="Cambria" w:hAnsi="Cambria" w:cs="Calibri"/>
                <w:lang w:val="it-IT"/>
              </w:rPr>
              <w:t>Zagreb</w:t>
            </w:r>
            <w:proofErr w:type="spellEnd"/>
            <w:r w:rsidRPr="00B24B36">
              <w:rPr>
                <w:rFonts w:ascii="Cambria" w:hAnsi="Cambria" w:cs="Calibri"/>
                <w:lang w:val="it-IT"/>
              </w:rPr>
              <w:t xml:space="preserve">: </w:t>
            </w:r>
            <w:proofErr w:type="spellStart"/>
            <w:r w:rsidRPr="00B24B36">
              <w:rPr>
                <w:rFonts w:ascii="Cambria" w:hAnsi="Cambria" w:cs="Calibri"/>
                <w:lang w:val="it-IT"/>
              </w:rPr>
              <w:t>Sveučilište</w:t>
            </w:r>
            <w:proofErr w:type="spellEnd"/>
            <w:r w:rsidRPr="00B24B36">
              <w:rPr>
                <w:rFonts w:ascii="Cambria" w:hAnsi="Cambria" w:cs="Calibri"/>
                <w:lang w:val="it-IT"/>
              </w:rPr>
              <w:t xml:space="preserve"> u </w:t>
            </w:r>
            <w:proofErr w:type="spellStart"/>
            <w:r w:rsidRPr="00B24B36">
              <w:rPr>
                <w:rFonts w:ascii="Cambria" w:hAnsi="Cambria" w:cs="Calibri"/>
                <w:lang w:val="it-IT"/>
              </w:rPr>
              <w:t>Zagrebu</w:t>
            </w:r>
            <w:proofErr w:type="spellEnd"/>
            <w:r w:rsidRPr="00B24B36">
              <w:rPr>
                <w:rFonts w:ascii="Cambria" w:hAnsi="Cambria" w:cs="Calibri"/>
                <w:lang w:val="it-IT"/>
              </w:rPr>
              <w:t xml:space="preserve">, </w:t>
            </w:r>
            <w:proofErr w:type="spellStart"/>
            <w:r w:rsidRPr="00B24B36">
              <w:rPr>
                <w:rFonts w:ascii="Cambria" w:hAnsi="Cambria" w:cs="Calibri"/>
                <w:lang w:val="it-IT"/>
              </w:rPr>
              <w:t>Učiteljski</w:t>
            </w:r>
            <w:proofErr w:type="spellEnd"/>
            <w:r w:rsidRPr="00B24B36">
              <w:rPr>
                <w:rFonts w:ascii="Cambria" w:hAnsi="Cambria" w:cs="Calibri"/>
                <w:lang w:val="it-IT"/>
              </w:rPr>
              <w:t xml:space="preserve"> </w:t>
            </w:r>
            <w:proofErr w:type="spellStart"/>
            <w:r w:rsidRPr="00B24B36">
              <w:rPr>
                <w:rFonts w:ascii="Cambria" w:hAnsi="Cambria" w:cs="Calibri"/>
                <w:lang w:val="it-IT"/>
              </w:rPr>
              <w:t>fakultet</w:t>
            </w:r>
            <w:proofErr w:type="spellEnd"/>
            <w:r w:rsidRPr="00B24B36">
              <w:rPr>
                <w:rFonts w:ascii="Cambria" w:hAnsi="Cambria" w:cs="Calibri"/>
                <w:lang w:val="it-IT"/>
              </w:rPr>
              <w:t>.</w:t>
            </w:r>
          </w:p>
          <w:p w14:paraId="1E378348" w14:textId="6CDB6CD0" w:rsidR="001F51C2" w:rsidRPr="00B24B36" w:rsidRDefault="001F51C2" w:rsidP="00B24B36">
            <w:pPr>
              <w:suppressAutoHyphens/>
              <w:spacing w:after="0" w:line="240" w:lineRule="auto"/>
              <w:rPr>
                <w:rFonts w:ascii="Cambria" w:hAnsi="Cambria" w:cs="Calibri"/>
                <w:lang w:val="it-IT"/>
              </w:rPr>
            </w:pPr>
            <w:r w:rsidRPr="00B24B36">
              <w:rPr>
                <w:rFonts w:ascii="Cambria" w:hAnsi="Cambria" w:cs="Calibri"/>
                <w:lang w:val="it-IT"/>
              </w:rPr>
              <w:t xml:space="preserve">12. </w:t>
            </w:r>
            <w:proofErr w:type="spellStart"/>
            <w:r w:rsidRPr="00B24B36">
              <w:rPr>
                <w:rFonts w:ascii="Cambria" w:hAnsi="Cambria" w:cs="Calibri"/>
                <w:lang w:val="it-IT"/>
              </w:rPr>
              <w:t>Wollstonecraft</w:t>
            </w:r>
            <w:proofErr w:type="spellEnd"/>
            <w:r w:rsidRPr="00B24B36">
              <w:rPr>
                <w:rFonts w:ascii="Cambria" w:hAnsi="Cambria" w:cs="Calibri"/>
                <w:lang w:val="it-IT"/>
              </w:rPr>
              <w:t xml:space="preserve">, M. (1999). </w:t>
            </w:r>
            <w:proofErr w:type="spellStart"/>
            <w:r w:rsidRPr="00B24B36">
              <w:rPr>
                <w:rFonts w:ascii="Cambria" w:hAnsi="Cambria" w:cs="Calibri"/>
                <w:lang w:val="it-IT"/>
              </w:rPr>
              <w:t>Obrana</w:t>
            </w:r>
            <w:proofErr w:type="spellEnd"/>
            <w:r w:rsidRPr="00B24B36">
              <w:rPr>
                <w:rFonts w:ascii="Cambria" w:hAnsi="Cambria" w:cs="Calibri"/>
                <w:lang w:val="it-IT"/>
              </w:rPr>
              <w:t xml:space="preserve"> </w:t>
            </w:r>
            <w:proofErr w:type="spellStart"/>
            <w:r w:rsidRPr="00B24B36">
              <w:rPr>
                <w:rFonts w:ascii="Cambria" w:hAnsi="Cambria" w:cs="Calibri"/>
                <w:lang w:val="it-IT"/>
              </w:rPr>
              <w:t>ženskih</w:t>
            </w:r>
            <w:proofErr w:type="spellEnd"/>
            <w:r w:rsidRPr="00B24B36">
              <w:rPr>
                <w:rFonts w:ascii="Cambria" w:hAnsi="Cambria" w:cs="Calibri"/>
                <w:lang w:val="it-IT"/>
              </w:rPr>
              <w:t xml:space="preserve"> prava. </w:t>
            </w:r>
            <w:proofErr w:type="spellStart"/>
            <w:r w:rsidRPr="00B24B36">
              <w:rPr>
                <w:rFonts w:ascii="Cambria" w:hAnsi="Cambria" w:cs="Calibri"/>
                <w:lang w:val="it-IT"/>
              </w:rPr>
              <w:t>Zagreb</w:t>
            </w:r>
            <w:proofErr w:type="spellEnd"/>
            <w:r w:rsidRPr="00B24B36">
              <w:rPr>
                <w:rFonts w:ascii="Cambria" w:hAnsi="Cambria" w:cs="Calibri"/>
                <w:lang w:val="it-IT"/>
              </w:rPr>
              <w:t xml:space="preserve">: </w:t>
            </w:r>
            <w:proofErr w:type="spellStart"/>
            <w:r w:rsidRPr="00B24B36">
              <w:rPr>
                <w:rFonts w:ascii="Cambria" w:hAnsi="Cambria" w:cs="Calibri"/>
                <w:lang w:val="it-IT"/>
              </w:rPr>
              <w:t>Ženska</w:t>
            </w:r>
            <w:proofErr w:type="spellEnd"/>
            <w:r w:rsidRPr="00B24B36">
              <w:rPr>
                <w:rFonts w:ascii="Cambria" w:hAnsi="Cambria" w:cs="Calibri"/>
                <w:lang w:val="it-IT"/>
              </w:rPr>
              <w:t xml:space="preserve"> </w:t>
            </w:r>
            <w:proofErr w:type="spellStart"/>
            <w:r w:rsidRPr="00B24B36">
              <w:rPr>
                <w:rFonts w:ascii="Cambria" w:hAnsi="Cambria" w:cs="Calibri"/>
                <w:lang w:val="it-IT"/>
              </w:rPr>
              <w:t>Infoteka</w:t>
            </w:r>
            <w:proofErr w:type="spellEnd"/>
            <w:r w:rsidRPr="00B24B36">
              <w:rPr>
                <w:rFonts w:ascii="Cambria" w:hAnsi="Cambria" w:cs="Calibri"/>
                <w:lang w:val="it-IT"/>
              </w:rPr>
              <w:t>.</w:t>
            </w:r>
          </w:p>
          <w:p w14:paraId="52B431EE" w14:textId="77777777" w:rsidR="001F51C2" w:rsidRPr="00B24B36" w:rsidRDefault="001F51C2" w:rsidP="00B24B36">
            <w:pPr>
              <w:pStyle w:val="Bezproreda"/>
              <w:rPr>
                <w:rFonts w:ascii="Cambria" w:hAnsi="Cambria" w:cs="Calibri"/>
                <w:bCs/>
              </w:rPr>
            </w:pPr>
            <w:r w:rsidRPr="00B24B36">
              <w:rPr>
                <w:rFonts w:ascii="Cambria" w:hAnsi="Cambria" w:cs="Calibri"/>
                <w:bCs/>
              </w:rPr>
              <w:t>Priručna:</w:t>
            </w:r>
          </w:p>
          <w:p w14:paraId="65EC49F4" w14:textId="166861D4" w:rsidR="001F51C2" w:rsidRPr="00B24B36" w:rsidRDefault="00B2232B" w:rsidP="00B2232B">
            <w:pPr>
              <w:spacing w:after="0" w:line="240" w:lineRule="auto"/>
              <w:rPr>
                <w:rFonts w:ascii="Cambria" w:hAnsi="Cambria"/>
                <w:lang w:val="hr-HR"/>
              </w:rPr>
            </w:pPr>
            <w:r>
              <w:rPr>
                <w:rFonts w:ascii="Cambria" w:hAnsi="Cambria" w:cs="Calibri"/>
                <w:lang w:val="hr-HR" w:eastAsia="hr-HR"/>
              </w:rPr>
              <w:t xml:space="preserve">1. </w:t>
            </w:r>
            <w:r w:rsidR="001F51C2" w:rsidRPr="00B24B36">
              <w:rPr>
                <w:rFonts w:ascii="Cambria" w:hAnsi="Cambria" w:cs="Calibri"/>
                <w:lang w:val="hr-HR" w:eastAsia="hr-HR"/>
              </w:rPr>
              <w:t xml:space="preserve">Kalin, B. (2009). </w:t>
            </w:r>
            <w:r w:rsidR="001F51C2" w:rsidRPr="00B24B36">
              <w:rPr>
                <w:rFonts w:ascii="Cambria" w:hAnsi="Cambria"/>
                <w:lang w:val="hr-HR"/>
              </w:rPr>
              <w:t>Povijest filozofije. Zagreb: Školska knjiga.</w:t>
            </w:r>
          </w:p>
          <w:p w14:paraId="34DE1552" w14:textId="1B6DB98E" w:rsidR="001F51C2" w:rsidRPr="00B24B36" w:rsidRDefault="00B2232B" w:rsidP="00B2232B">
            <w:pPr>
              <w:spacing w:after="0" w:line="240" w:lineRule="auto"/>
              <w:rPr>
                <w:rFonts w:ascii="Cambria" w:hAnsi="Cambria"/>
              </w:rPr>
            </w:pPr>
            <w:r>
              <w:rPr>
                <w:rFonts w:ascii="Cambria" w:hAnsi="Cambria"/>
              </w:rPr>
              <w:t xml:space="preserve">2. </w:t>
            </w:r>
            <w:proofErr w:type="gramStart"/>
            <w:r w:rsidR="001F51C2" w:rsidRPr="00B24B36">
              <w:rPr>
                <w:rFonts w:ascii="Cambria" w:hAnsi="Cambria"/>
              </w:rPr>
              <w:t>Kunzmann,  P.</w:t>
            </w:r>
            <w:proofErr w:type="gramEnd"/>
            <w:r w:rsidR="001F51C2" w:rsidRPr="00B24B36">
              <w:rPr>
                <w:rFonts w:ascii="Cambria" w:hAnsi="Cambria"/>
              </w:rPr>
              <w:t xml:space="preserve"> </w:t>
            </w:r>
            <w:proofErr w:type="spellStart"/>
            <w:r w:rsidR="001F51C2" w:rsidRPr="00B24B36">
              <w:rPr>
                <w:rFonts w:ascii="Cambria" w:hAnsi="Cambria"/>
              </w:rPr>
              <w:t>i</w:t>
            </w:r>
            <w:proofErr w:type="spellEnd"/>
            <w:r w:rsidR="001F51C2" w:rsidRPr="00B24B36">
              <w:rPr>
                <w:rFonts w:ascii="Cambria" w:hAnsi="Cambria"/>
              </w:rPr>
              <w:t xml:space="preserve"> sur. (2001). Atlas </w:t>
            </w:r>
            <w:proofErr w:type="spellStart"/>
            <w:r w:rsidR="001F51C2" w:rsidRPr="00B24B36">
              <w:rPr>
                <w:rFonts w:ascii="Cambria" w:hAnsi="Cambria"/>
              </w:rPr>
              <w:t>filozofije</w:t>
            </w:r>
            <w:proofErr w:type="spellEnd"/>
            <w:r w:rsidR="001F51C2" w:rsidRPr="00B24B36">
              <w:rPr>
                <w:rFonts w:ascii="Cambria" w:hAnsi="Cambria"/>
              </w:rPr>
              <w:t>. Zagreb: Golden Marketing.</w:t>
            </w:r>
          </w:p>
          <w:p w14:paraId="46E4B20C" w14:textId="47054D24" w:rsidR="001F51C2" w:rsidRPr="00B24B36" w:rsidRDefault="00B2232B" w:rsidP="00B2232B">
            <w:pPr>
              <w:spacing w:after="0" w:line="240" w:lineRule="auto"/>
              <w:rPr>
                <w:rFonts w:ascii="Cambria" w:hAnsi="Cambria"/>
              </w:rPr>
            </w:pPr>
            <w:r>
              <w:rPr>
                <w:rFonts w:ascii="Cambria" w:hAnsi="Cambria"/>
              </w:rPr>
              <w:t xml:space="preserve">3. </w:t>
            </w:r>
            <w:r w:rsidR="001F51C2" w:rsidRPr="00B24B36">
              <w:rPr>
                <w:rFonts w:ascii="Cambria" w:hAnsi="Cambria"/>
              </w:rPr>
              <w:t xml:space="preserve">Maggie, B. (2010). </w:t>
            </w:r>
            <w:proofErr w:type="spellStart"/>
            <w:r w:rsidR="001F51C2" w:rsidRPr="00B24B36">
              <w:rPr>
                <w:rFonts w:ascii="Cambria" w:hAnsi="Cambria"/>
              </w:rPr>
              <w:t>Povijest</w:t>
            </w:r>
            <w:proofErr w:type="spellEnd"/>
            <w:r w:rsidR="001F51C2" w:rsidRPr="00B24B36">
              <w:rPr>
                <w:rFonts w:ascii="Cambria" w:hAnsi="Cambria"/>
              </w:rPr>
              <w:t xml:space="preserve"> </w:t>
            </w:r>
            <w:proofErr w:type="spellStart"/>
            <w:r w:rsidR="001F51C2" w:rsidRPr="00B24B36">
              <w:rPr>
                <w:rFonts w:ascii="Cambria" w:hAnsi="Cambria"/>
              </w:rPr>
              <w:t>filozofije</w:t>
            </w:r>
            <w:proofErr w:type="spellEnd"/>
            <w:r w:rsidR="001F51C2" w:rsidRPr="00B24B36">
              <w:rPr>
                <w:rFonts w:ascii="Cambria" w:hAnsi="Cambria"/>
              </w:rPr>
              <w:t xml:space="preserve">. Zagreb: </w:t>
            </w:r>
            <w:proofErr w:type="spellStart"/>
            <w:r w:rsidR="001F51C2" w:rsidRPr="00B24B36">
              <w:rPr>
                <w:rFonts w:ascii="Cambria" w:hAnsi="Cambria"/>
              </w:rPr>
              <w:t>Mozaik</w:t>
            </w:r>
            <w:proofErr w:type="spellEnd"/>
            <w:r w:rsidR="001F51C2" w:rsidRPr="00B24B36">
              <w:rPr>
                <w:rFonts w:ascii="Cambria" w:hAnsi="Cambria"/>
              </w:rPr>
              <w:t xml:space="preserve"> </w:t>
            </w:r>
            <w:proofErr w:type="spellStart"/>
            <w:r w:rsidR="001F51C2" w:rsidRPr="00B24B36">
              <w:rPr>
                <w:rFonts w:ascii="Cambria" w:hAnsi="Cambria"/>
              </w:rPr>
              <w:t>knjiga</w:t>
            </w:r>
            <w:proofErr w:type="spellEnd"/>
            <w:r w:rsidR="001F51C2" w:rsidRPr="00B24B36">
              <w:rPr>
                <w:rFonts w:ascii="Cambria" w:hAnsi="Cambria"/>
              </w:rPr>
              <w:t>.</w:t>
            </w:r>
          </w:p>
          <w:p w14:paraId="4E8F463B" w14:textId="50D6C2F7" w:rsidR="001F51C2" w:rsidRPr="00B24B36" w:rsidRDefault="00B2232B" w:rsidP="00B2232B">
            <w:pPr>
              <w:pStyle w:val="Bezproreda"/>
              <w:rPr>
                <w:rFonts w:ascii="Cambria" w:hAnsi="Cambria" w:cs="Calibri"/>
              </w:rPr>
            </w:pPr>
            <w:r>
              <w:rPr>
                <w:rFonts w:ascii="Cambria" w:hAnsi="Cambria"/>
              </w:rPr>
              <w:t xml:space="preserve">4. </w:t>
            </w:r>
            <w:r w:rsidR="001F51C2" w:rsidRPr="00B24B36">
              <w:rPr>
                <w:rFonts w:ascii="Cambria" w:hAnsi="Cambria"/>
              </w:rPr>
              <w:t xml:space="preserve">Polić, M. (1997). Čovjek, odgoj, svijet: mala filozofijsko-odgojna </w:t>
            </w:r>
            <w:proofErr w:type="spellStart"/>
            <w:r w:rsidR="001F51C2" w:rsidRPr="00B24B36">
              <w:rPr>
                <w:rFonts w:ascii="Cambria" w:hAnsi="Cambria"/>
              </w:rPr>
              <w:t>razložba</w:t>
            </w:r>
            <w:proofErr w:type="spellEnd"/>
            <w:r w:rsidR="001F51C2" w:rsidRPr="00B24B36">
              <w:rPr>
                <w:rFonts w:ascii="Cambria" w:hAnsi="Cambria"/>
              </w:rPr>
              <w:t xml:space="preserve">. Hrvatski Leskovac: </w:t>
            </w:r>
            <w:proofErr w:type="spellStart"/>
            <w:r w:rsidR="001F51C2" w:rsidRPr="00B24B36">
              <w:rPr>
                <w:rFonts w:ascii="Cambria" w:hAnsi="Cambria"/>
              </w:rPr>
              <w:t>Kruzak</w:t>
            </w:r>
            <w:proofErr w:type="spellEnd"/>
            <w:r w:rsidR="001F51C2" w:rsidRPr="00B24B36">
              <w:rPr>
                <w:rFonts w:ascii="Cambria" w:hAnsi="Cambria"/>
              </w:rPr>
              <w:t>.</w:t>
            </w:r>
          </w:p>
        </w:tc>
      </w:tr>
    </w:tbl>
    <w:p w14:paraId="2128703F" w14:textId="3B8D3D48" w:rsidR="00B24B36" w:rsidRDefault="00B24B36">
      <w:pPr>
        <w:rPr>
          <w:rFonts w:ascii="Cambria" w:eastAsia="Times New Roman" w:hAnsi="Cambria" w:cs="Calibri"/>
          <w:lang w:val="hr-HR"/>
        </w:rPr>
      </w:pPr>
    </w:p>
    <w:p w14:paraId="69213F7B" w14:textId="6C3F1457" w:rsidR="001C42AA" w:rsidRPr="00DF4CE5" w:rsidRDefault="00B24B36">
      <w:pPr>
        <w:rPr>
          <w:rFonts w:ascii="Cambria" w:eastAsia="Times New Roman" w:hAnsi="Cambria" w:cs="Calibri"/>
          <w:lang w:val="hr-HR"/>
        </w:rPr>
      </w:pPr>
      <w:r>
        <w:rPr>
          <w:rFonts w:ascii="Cambria" w:eastAsia="Times New Roman" w:hAnsi="Cambria" w:cs="Calibri"/>
          <w:lang w:val="hr-HR"/>
        </w:rPr>
        <w:br w:type="page"/>
      </w:r>
    </w:p>
    <w:tbl>
      <w:tblPr>
        <w:tblW w:w="5000" w:type="pct"/>
        <w:tblLayout w:type="fixed"/>
        <w:tblCellMar>
          <w:left w:w="0" w:type="dxa"/>
          <w:right w:w="0" w:type="dxa"/>
        </w:tblCellMar>
        <w:tblLook w:val="0600" w:firstRow="0" w:lastRow="0" w:firstColumn="0" w:lastColumn="0" w:noHBand="1" w:noVBand="1"/>
      </w:tblPr>
      <w:tblGrid>
        <w:gridCol w:w="2814"/>
        <w:gridCol w:w="2668"/>
        <w:gridCol w:w="105"/>
        <w:gridCol w:w="1167"/>
        <w:gridCol w:w="297"/>
        <w:gridCol w:w="470"/>
        <w:gridCol w:w="1085"/>
        <w:gridCol w:w="1414"/>
      </w:tblGrid>
      <w:tr w:rsidR="001C42AA" w:rsidRPr="00DF4CE5" w14:paraId="7EA1AB78" w14:textId="77777777" w:rsidTr="00B31C4B">
        <w:tc>
          <w:tcPr>
            <w:tcW w:w="10020" w:type="dxa"/>
            <w:gridSpan w:val="8"/>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Mar>
              <w:top w:w="72" w:type="dxa"/>
              <w:left w:w="144" w:type="dxa"/>
              <w:bottom w:w="72" w:type="dxa"/>
              <w:right w:w="144" w:type="dxa"/>
            </w:tcMar>
            <w:vAlign w:val="center"/>
          </w:tcPr>
          <w:p w14:paraId="6FC1F35A" w14:textId="3F0F8D39" w:rsidR="001C42AA" w:rsidRPr="00DF4CE5" w:rsidRDefault="001C42AA" w:rsidP="00B13415">
            <w:pPr>
              <w:spacing w:after="0" w:line="240" w:lineRule="atLeast"/>
              <w:jc w:val="right"/>
              <w:rPr>
                <w:rFonts w:ascii="Cambria" w:hAnsi="Cambria"/>
                <w:b/>
              </w:rPr>
            </w:pPr>
            <w:r w:rsidRPr="00DF4CE5">
              <w:rPr>
                <w:rFonts w:ascii="Cambria" w:hAnsi="Cambria"/>
                <w:b/>
              </w:rPr>
              <w:lastRenderedPageBreak/>
              <w:t>IZVEDBENI PLAN NASTAVE KOLEGIJA</w:t>
            </w:r>
          </w:p>
        </w:tc>
      </w:tr>
      <w:tr w:rsidR="001C42AA" w:rsidRPr="00DF4CE5" w14:paraId="18B73F46" w14:textId="77777777" w:rsidTr="00B31C4B">
        <w:tc>
          <w:tcPr>
            <w:tcW w:w="281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Mar>
              <w:top w:w="72" w:type="dxa"/>
              <w:left w:w="144" w:type="dxa"/>
              <w:bottom w:w="72" w:type="dxa"/>
              <w:right w:w="144" w:type="dxa"/>
            </w:tcMar>
            <w:vAlign w:val="center"/>
          </w:tcPr>
          <w:p w14:paraId="1B3C0A77" w14:textId="77777777" w:rsidR="001C42AA" w:rsidRPr="00DF4CE5" w:rsidRDefault="001C42AA" w:rsidP="001C42AA">
            <w:pPr>
              <w:spacing w:after="0" w:line="240" w:lineRule="atLeast"/>
              <w:rPr>
                <w:rFonts w:ascii="Cambria" w:hAnsi="Cambria"/>
              </w:rPr>
            </w:pPr>
            <w:proofErr w:type="spellStart"/>
            <w:r w:rsidRPr="00DF4CE5">
              <w:rPr>
                <w:rFonts w:ascii="Cambria" w:hAnsi="Cambria"/>
              </w:rPr>
              <w:t>Kod</w:t>
            </w:r>
            <w:proofErr w:type="spellEnd"/>
            <w:r w:rsidRPr="00DF4CE5">
              <w:rPr>
                <w:rFonts w:ascii="Cambria" w:hAnsi="Cambria"/>
              </w:rPr>
              <w:t xml:space="preserve"> </w:t>
            </w:r>
            <w:proofErr w:type="spellStart"/>
            <w:r w:rsidRPr="00DF4CE5">
              <w:rPr>
                <w:rFonts w:ascii="Cambria" w:hAnsi="Cambria"/>
              </w:rPr>
              <w:t>i</w:t>
            </w:r>
            <w:proofErr w:type="spellEnd"/>
            <w:r w:rsidRPr="00DF4CE5">
              <w:rPr>
                <w:rFonts w:ascii="Cambria" w:hAnsi="Cambria"/>
              </w:rPr>
              <w:t xml:space="preserve"> </w:t>
            </w:r>
            <w:proofErr w:type="spellStart"/>
            <w:r w:rsidRPr="00DF4CE5">
              <w:rPr>
                <w:rFonts w:ascii="Cambria" w:hAnsi="Cambria"/>
              </w:rPr>
              <w:t>naziv</w:t>
            </w:r>
            <w:proofErr w:type="spellEnd"/>
            <w:r w:rsidRPr="00DF4CE5">
              <w:rPr>
                <w:rFonts w:ascii="Cambria" w:hAnsi="Cambria"/>
              </w:rPr>
              <w:t xml:space="preserve"> </w:t>
            </w:r>
            <w:proofErr w:type="spellStart"/>
            <w:r w:rsidRPr="00DF4CE5">
              <w:rPr>
                <w:rFonts w:ascii="Cambria" w:hAnsi="Cambria"/>
              </w:rPr>
              <w:t>kolegija</w:t>
            </w:r>
            <w:proofErr w:type="spellEnd"/>
          </w:p>
        </w:tc>
        <w:tc>
          <w:tcPr>
            <w:tcW w:w="7206"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2" w:type="dxa"/>
              <w:left w:w="144" w:type="dxa"/>
              <w:bottom w:w="72" w:type="dxa"/>
              <w:right w:w="144" w:type="dxa"/>
            </w:tcMar>
            <w:vAlign w:val="center"/>
          </w:tcPr>
          <w:p w14:paraId="696A320C" w14:textId="63401A74" w:rsidR="001C42AA" w:rsidRPr="00DF4CE5" w:rsidRDefault="00A31664" w:rsidP="001C42AA">
            <w:pPr>
              <w:spacing w:after="0" w:line="240" w:lineRule="atLeast"/>
              <w:rPr>
                <w:rFonts w:ascii="Cambria" w:hAnsi="Cambria"/>
              </w:rPr>
            </w:pPr>
            <w:r w:rsidRPr="00DF4CE5">
              <w:rPr>
                <w:rFonts w:ascii="Cambria" w:hAnsi="Cambria"/>
              </w:rPr>
              <w:t>257223</w:t>
            </w:r>
          </w:p>
          <w:p w14:paraId="2A0EE6C1" w14:textId="77777777" w:rsidR="001C42AA" w:rsidRPr="00DF4CE5" w:rsidRDefault="001C42AA" w:rsidP="001C42AA">
            <w:pPr>
              <w:spacing w:after="0" w:line="240" w:lineRule="atLeast"/>
              <w:rPr>
                <w:rFonts w:ascii="Cambria" w:hAnsi="Cambria"/>
              </w:rPr>
            </w:pPr>
            <w:proofErr w:type="spellStart"/>
            <w:r w:rsidRPr="00DF4CE5">
              <w:rPr>
                <w:rFonts w:ascii="Cambria" w:hAnsi="Cambria"/>
              </w:rPr>
              <w:t>Opća</w:t>
            </w:r>
            <w:proofErr w:type="spellEnd"/>
            <w:r w:rsidRPr="00DF4CE5">
              <w:rPr>
                <w:rFonts w:ascii="Cambria" w:hAnsi="Cambria"/>
              </w:rPr>
              <w:t xml:space="preserve"> </w:t>
            </w:r>
            <w:proofErr w:type="spellStart"/>
            <w:r w:rsidRPr="00DF4CE5">
              <w:rPr>
                <w:rFonts w:ascii="Cambria" w:hAnsi="Cambria"/>
              </w:rPr>
              <w:t>psihologija</w:t>
            </w:r>
            <w:proofErr w:type="spellEnd"/>
          </w:p>
        </w:tc>
      </w:tr>
      <w:tr w:rsidR="001C42AA" w:rsidRPr="00DF4CE5" w14:paraId="5653BBB7" w14:textId="77777777" w:rsidTr="00B31C4B">
        <w:tc>
          <w:tcPr>
            <w:tcW w:w="281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Mar>
              <w:top w:w="72" w:type="dxa"/>
              <w:left w:w="144" w:type="dxa"/>
              <w:bottom w:w="72" w:type="dxa"/>
              <w:right w:w="144" w:type="dxa"/>
            </w:tcMar>
            <w:vAlign w:val="center"/>
          </w:tcPr>
          <w:p w14:paraId="49032D02" w14:textId="77777777" w:rsidR="001C42AA" w:rsidRPr="00DF4CE5" w:rsidRDefault="001C42AA" w:rsidP="001C42AA">
            <w:pPr>
              <w:spacing w:after="0" w:line="240" w:lineRule="atLeast"/>
              <w:rPr>
                <w:rFonts w:ascii="Cambria" w:hAnsi="Cambria"/>
              </w:rPr>
            </w:pPr>
            <w:proofErr w:type="spellStart"/>
            <w:r w:rsidRPr="00DF4CE5">
              <w:rPr>
                <w:rFonts w:ascii="Cambria" w:hAnsi="Cambria"/>
              </w:rPr>
              <w:t>Nastavnica</w:t>
            </w:r>
            <w:proofErr w:type="spellEnd"/>
            <w:r w:rsidRPr="00DF4CE5">
              <w:rPr>
                <w:rFonts w:ascii="Cambria" w:hAnsi="Cambria"/>
              </w:rPr>
              <w:t xml:space="preserve"> </w:t>
            </w:r>
          </w:p>
          <w:p w14:paraId="19E271A2" w14:textId="156300EE" w:rsidR="001C42AA" w:rsidRPr="00DF4CE5" w:rsidRDefault="001C42AA" w:rsidP="001C42AA">
            <w:pPr>
              <w:spacing w:after="0" w:line="240" w:lineRule="atLeast"/>
              <w:rPr>
                <w:rFonts w:ascii="Cambria" w:hAnsi="Cambria"/>
              </w:rPr>
            </w:pPr>
            <w:proofErr w:type="spellStart"/>
            <w:r w:rsidRPr="00DF4CE5">
              <w:rPr>
                <w:rFonts w:ascii="Cambria" w:hAnsi="Cambria"/>
              </w:rPr>
              <w:t>Suradnic</w:t>
            </w:r>
            <w:r w:rsidR="000B2D2C">
              <w:rPr>
                <w:rFonts w:ascii="Cambria" w:hAnsi="Cambria"/>
              </w:rPr>
              <w:t>a</w:t>
            </w:r>
            <w:proofErr w:type="spellEnd"/>
          </w:p>
        </w:tc>
        <w:tc>
          <w:tcPr>
            <w:tcW w:w="7206"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2" w:type="dxa"/>
              <w:left w:w="144" w:type="dxa"/>
              <w:bottom w:w="72" w:type="dxa"/>
              <w:right w:w="144" w:type="dxa"/>
            </w:tcMar>
            <w:vAlign w:val="center"/>
          </w:tcPr>
          <w:p w14:paraId="1F2E0768" w14:textId="69399B79" w:rsidR="001C42AA" w:rsidRPr="00DF4CE5" w:rsidRDefault="001C42AA" w:rsidP="001C42AA">
            <w:pPr>
              <w:spacing w:after="0" w:line="240" w:lineRule="atLeast"/>
              <w:rPr>
                <w:rStyle w:val="Hiperveza"/>
                <w:rFonts w:ascii="Cambria" w:hAnsi="Cambria"/>
                <w:color w:val="auto"/>
                <w:u w:val="none"/>
              </w:rPr>
            </w:pPr>
            <w:hyperlink r:id="rId12" w:history="1">
              <w:r w:rsidRPr="00DF4CE5">
                <w:rPr>
                  <w:rStyle w:val="Hiperveza"/>
                  <w:rFonts w:ascii="Cambria" w:hAnsi="Cambria"/>
                </w:rPr>
                <w:t xml:space="preserve">Doc. dr. sc. Marlena </w:t>
              </w:r>
              <w:proofErr w:type="spellStart"/>
              <w:r w:rsidRPr="00DF4CE5">
                <w:rPr>
                  <w:rStyle w:val="Hiperveza"/>
                  <w:rFonts w:ascii="Cambria" w:hAnsi="Cambria"/>
                </w:rPr>
                <w:t>Plavšić</w:t>
              </w:r>
              <w:proofErr w:type="spellEnd"/>
            </w:hyperlink>
            <w:r w:rsidR="00086BB0" w:rsidRPr="00DF4CE5">
              <w:rPr>
                <w:rStyle w:val="Hiperveza"/>
                <w:rFonts w:ascii="Cambria" w:hAnsi="Cambria"/>
                <w:u w:val="none"/>
              </w:rPr>
              <w:t xml:space="preserve"> </w:t>
            </w:r>
            <w:r w:rsidR="00086BB0" w:rsidRPr="00DF4CE5">
              <w:rPr>
                <w:rStyle w:val="Hiperveza"/>
                <w:rFonts w:ascii="Cambria" w:hAnsi="Cambria"/>
                <w:color w:val="auto"/>
                <w:u w:val="none"/>
              </w:rPr>
              <w:t>(</w:t>
            </w:r>
            <w:proofErr w:type="spellStart"/>
            <w:r w:rsidR="00086BB0" w:rsidRPr="00DF4CE5">
              <w:rPr>
                <w:rStyle w:val="Hiperveza"/>
                <w:rFonts w:ascii="Cambria" w:hAnsi="Cambria"/>
                <w:color w:val="auto"/>
                <w:u w:val="none"/>
              </w:rPr>
              <w:t>nositeljica</w:t>
            </w:r>
            <w:proofErr w:type="spellEnd"/>
            <w:r w:rsidR="00086BB0" w:rsidRPr="00DF4CE5">
              <w:rPr>
                <w:rStyle w:val="Hiperveza"/>
                <w:rFonts w:ascii="Cambria" w:hAnsi="Cambria"/>
                <w:color w:val="auto"/>
                <w:u w:val="none"/>
              </w:rPr>
              <w:t>)</w:t>
            </w:r>
          </w:p>
          <w:p w14:paraId="43DED30F" w14:textId="1CBE19CC" w:rsidR="00C76B98" w:rsidRPr="00DF4CE5" w:rsidRDefault="00C76B98" w:rsidP="00A31664">
            <w:pPr>
              <w:spacing w:after="0" w:line="240" w:lineRule="auto"/>
              <w:rPr>
                <w:rFonts w:ascii="Cambria" w:eastAsia="Times New Roman" w:hAnsi="Cambria" w:cs="Times New Roman"/>
                <w:lang w:val="hr-HR"/>
              </w:rPr>
            </w:pPr>
            <w:hyperlink r:id="rId13" w:history="1">
              <w:r w:rsidRPr="00C76B98">
                <w:rPr>
                  <w:rStyle w:val="Hiperveza"/>
                  <w:rFonts w:ascii="Cambria" w:eastAsia="Times New Roman" w:hAnsi="Cambria" w:cs="Times New Roman"/>
                  <w:lang w:val="hr-HR"/>
                </w:rPr>
                <w:t xml:space="preserve">Sanja </w:t>
              </w:r>
              <w:proofErr w:type="spellStart"/>
              <w:r w:rsidRPr="00C76B98">
                <w:rPr>
                  <w:rStyle w:val="Hiperveza"/>
                  <w:rFonts w:ascii="Cambria" w:eastAsia="Times New Roman" w:hAnsi="Cambria" w:cs="Times New Roman"/>
                  <w:lang w:val="hr-HR"/>
                </w:rPr>
                <w:t>Tatković</w:t>
              </w:r>
              <w:proofErr w:type="spellEnd"/>
              <w:r w:rsidRPr="00C76B98">
                <w:rPr>
                  <w:rStyle w:val="Hiperveza"/>
                  <w:rFonts w:ascii="Cambria" w:eastAsia="Times New Roman" w:hAnsi="Cambria" w:cs="Times New Roman"/>
                  <w:lang w:val="hr-HR"/>
                </w:rPr>
                <w:t>, asistentica</w:t>
              </w:r>
            </w:hyperlink>
          </w:p>
        </w:tc>
      </w:tr>
      <w:tr w:rsidR="001C42AA" w:rsidRPr="00DF4CE5" w14:paraId="1FD8B0AE" w14:textId="77777777" w:rsidTr="00B31C4B">
        <w:tc>
          <w:tcPr>
            <w:tcW w:w="281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Mar>
              <w:top w:w="72" w:type="dxa"/>
              <w:left w:w="144" w:type="dxa"/>
              <w:bottom w:w="72" w:type="dxa"/>
              <w:right w:w="144" w:type="dxa"/>
            </w:tcMar>
            <w:vAlign w:val="center"/>
          </w:tcPr>
          <w:p w14:paraId="65555071" w14:textId="77777777" w:rsidR="001C42AA" w:rsidRPr="00DF4CE5" w:rsidRDefault="001C42AA" w:rsidP="001C42AA">
            <w:pPr>
              <w:spacing w:after="0" w:line="240" w:lineRule="atLeast"/>
              <w:rPr>
                <w:rFonts w:ascii="Cambria" w:hAnsi="Cambria"/>
              </w:rPr>
            </w:pPr>
            <w:proofErr w:type="spellStart"/>
            <w:r w:rsidRPr="00DF4CE5">
              <w:rPr>
                <w:rFonts w:ascii="Cambria" w:hAnsi="Cambria"/>
              </w:rPr>
              <w:t>Studijski</w:t>
            </w:r>
            <w:proofErr w:type="spellEnd"/>
            <w:r w:rsidRPr="00DF4CE5">
              <w:rPr>
                <w:rFonts w:ascii="Cambria" w:hAnsi="Cambria"/>
              </w:rPr>
              <w:t xml:space="preserve"> </w:t>
            </w:r>
            <w:proofErr w:type="spellStart"/>
            <w:r w:rsidRPr="00DF4CE5">
              <w:rPr>
                <w:rFonts w:ascii="Cambria" w:hAnsi="Cambria"/>
              </w:rPr>
              <w:t>programi</w:t>
            </w:r>
            <w:proofErr w:type="spellEnd"/>
          </w:p>
        </w:tc>
        <w:tc>
          <w:tcPr>
            <w:tcW w:w="7206"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2" w:type="dxa"/>
              <w:left w:w="144" w:type="dxa"/>
              <w:bottom w:w="72" w:type="dxa"/>
              <w:right w:w="144" w:type="dxa"/>
            </w:tcMar>
            <w:vAlign w:val="center"/>
          </w:tcPr>
          <w:p w14:paraId="14FBEDA6" w14:textId="77777777" w:rsidR="001C42AA" w:rsidRPr="00DF4CE5" w:rsidRDefault="001C42AA" w:rsidP="001C42AA">
            <w:pPr>
              <w:spacing w:after="0" w:line="240" w:lineRule="atLeast"/>
              <w:rPr>
                <w:rFonts w:ascii="Cambria" w:hAnsi="Cambria"/>
              </w:rPr>
            </w:pPr>
            <w:proofErr w:type="spellStart"/>
            <w:r w:rsidRPr="00DF4CE5">
              <w:rPr>
                <w:rFonts w:ascii="Cambria" w:eastAsia="Calibri" w:hAnsi="Cambria" w:cs="Calibri"/>
              </w:rPr>
              <w:t>Sveučilišni</w:t>
            </w:r>
            <w:proofErr w:type="spellEnd"/>
            <w:r w:rsidRPr="00DF4CE5">
              <w:rPr>
                <w:rFonts w:ascii="Cambria" w:eastAsia="Calibri" w:hAnsi="Cambria" w:cs="Calibri"/>
              </w:rPr>
              <w:t xml:space="preserve"> </w:t>
            </w:r>
            <w:proofErr w:type="spellStart"/>
            <w:r w:rsidRPr="00DF4CE5">
              <w:rPr>
                <w:rFonts w:ascii="Cambria" w:eastAsia="Calibri" w:hAnsi="Cambria" w:cs="Calibri"/>
              </w:rPr>
              <w:t>integrirani</w:t>
            </w:r>
            <w:proofErr w:type="spellEnd"/>
            <w:r w:rsidRPr="00DF4CE5">
              <w:rPr>
                <w:rFonts w:ascii="Cambria" w:eastAsia="Calibri" w:hAnsi="Cambria" w:cs="Calibri"/>
              </w:rPr>
              <w:t xml:space="preserve"> </w:t>
            </w:r>
            <w:proofErr w:type="spellStart"/>
            <w:r w:rsidRPr="00DF4CE5">
              <w:rPr>
                <w:rFonts w:ascii="Cambria" w:eastAsia="Calibri" w:hAnsi="Cambria" w:cs="Calibri"/>
              </w:rPr>
              <w:t>prijediplomski</w:t>
            </w:r>
            <w:proofErr w:type="spellEnd"/>
            <w:r w:rsidRPr="00DF4CE5">
              <w:rPr>
                <w:rFonts w:ascii="Cambria" w:eastAsia="Calibri" w:hAnsi="Cambria" w:cs="Calibri"/>
              </w:rPr>
              <w:t xml:space="preserve"> </w:t>
            </w:r>
            <w:proofErr w:type="spellStart"/>
            <w:r w:rsidRPr="00DF4CE5">
              <w:rPr>
                <w:rFonts w:ascii="Cambria" w:eastAsia="Calibri" w:hAnsi="Cambria" w:cs="Calibri"/>
              </w:rPr>
              <w:t>i</w:t>
            </w:r>
            <w:proofErr w:type="spellEnd"/>
            <w:r w:rsidRPr="00DF4CE5">
              <w:rPr>
                <w:rFonts w:ascii="Cambria" w:eastAsia="Calibri" w:hAnsi="Cambria" w:cs="Calibri"/>
              </w:rPr>
              <w:t xml:space="preserve"> </w:t>
            </w:r>
            <w:proofErr w:type="spellStart"/>
            <w:r w:rsidRPr="00DF4CE5">
              <w:rPr>
                <w:rFonts w:ascii="Cambria" w:eastAsia="Calibri" w:hAnsi="Cambria" w:cs="Calibri"/>
              </w:rPr>
              <w:t>diplomski</w:t>
            </w:r>
            <w:proofErr w:type="spellEnd"/>
            <w:r w:rsidRPr="00DF4CE5">
              <w:rPr>
                <w:rFonts w:ascii="Cambria" w:eastAsia="Calibri" w:hAnsi="Cambria" w:cs="Calibri"/>
              </w:rPr>
              <w:t xml:space="preserve"> </w:t>
            </w:r>
            <w:proofErr w:type="spellStart"/>
            <w:r w:rsidRPr="00DF4CE5">
              <w:rPr>
                <w:rFonts w:ascii="Cambria" w:eastAsia="Calibri" w:hAnsi="Cambria" w:cs="Calibri"/>
              </w:rPr>
              <w:t>Učiteljski</w:t>
            </w:r>
            <w:proofErr w:type="spellEnd"/>
            <w:r w:rsidRPr="00DF4CE5">
              <w:rPr>
                <w:rFonts w:ascii="Cambria" w:eastAsia="Calibri" w:hAnsi="Cambria" w:cs="Calibri"/>
              </w:rPr>
              <w:t xml:space="preserve"> </w:t>
            </w:r>
            <w:proofErr w:type="spellStart"/>
            <w:r w:rsidRPr="00DF4CE5">
              <w:rPr>
                <w:rFonts w:ascii="Cambria" w:eastAsia="Calibri" w:hAnsi="Cambria" w:cs="Calibri"/>
              </w:rPr>
              <w:t>studij</w:t>
            </w:r>
            <w:proofErr w:type="spellEnd"/>
            <w:r w:rsidRPr="00DF4CE5">
              <w:rPr>
                <w:rFonts w:ascii="Cambria" w:eastAsia="Calibri" w:hAnsi="Cambria" w:cs="Calibri"/>
              </w:rPr>
              <w:t xml:space="preserve"> </w:t>
            </w:r>
            <w:proofErr w:type="spellStart"/>
            <w:r w:rsidRPr="00DF4CE5">
              <w:rPr>
                <w:rFonts w:ascii="Cambria" w:eastAsia="Calibri" w:hAnsi="Cambria" w:cs="Calibri"/>
              </w:rPr>
              <w:t>na</w:t>
            </w:r>
            <w:proofErr w:type="spellEnd"/>
            <w:r w:rsidRPr="00DF4CE5">
              <w:rPr>
                <w:rFonts w:ascii="Cambria" w:eastAsia="Calibri" w:hAnsi="Cambria" w:cs="Calibri"/>
              </w:rPr>
              <w:t xml:space="preserve"> </w:t>
            </w:r>
            <w:proofErr w:type="spellStart"/>
            <w:r w:rsidRPr="00DF4CE5">
              <w:rPr>
                <w:rFonts w:ascii="Cambria" w:eastAsia="Calibri" w:hAnsi="Cambria" w:cs="Calibri"/>
              </w:rPr>
              <w:t>hrvatskom</w:t>
            </w:r>
            <w:proofErr w:type="spellEnd"/>
            <w:r w:rsidRPr="00DF4CE5">
              <w:rPr>
                <w:rFonts w:ascii="Cambria" w:eastAsia="Calibri" w:hAnsi="Cambria" w:cs="Calibri"/>
              </w:rPr>
              <w:t xml:space="preserve"> </w:t>
            </w:r>
            <w:proofErr w:type="spellStart"/>
            <w:r w:rsidRPr="00DF4CE5">
              <w:rPr>
                <w:rFonts w:ascii="Cambria" w:eastAsia="Calibri" w:hAnsi="Cambria" w:cs="Calibri"/>
              </w:rPr>
              <w:t>jeziku</w:t>
            </w:r>
            <w:proofErr w:type="spellEnd"/>
          </w:p>
        </w:tc>
      </w:tr>
      <w:tr w:rsidR="001C42AA" w:rsidRPr="00DF4CE5" w14:paraId="648C614B" w14:textId="77777777" w:rsidTr="00B31C4B">
        <w:tc>
          <w:tcPr>
            <w:tcW w:w="281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Mar>
              <w:top w:w="72" w:type="dxa"/>
              <w:left w:w="144" w:type="dxa"/>
              <w:bottom w:w="72" w:type="dxa"/>
              <w:right w:w="144" w:type="dxa"/>
            </w:tcMar>
            <w:vAlign w:val="center"/>
          </w:tcPr>
          <w:p w14:paraId="56FEBF9A" w14:textId="77777777" w:rsidR="001C42AA" w:rsidRPr="00DF4CE5" w:rsidRDefault="001C42AA" w:rsidP="001C42AA">
            <w:pPr>
              <w:spacing w:after="0" w:line="240" w:lineRule="atLeast"/>
              <w:rPr>
                <w:rFonts w:ascii="Cambria" w:hAnsi="Cambria"/>
              </w:rPr>
            </w:pPr>
            <w:proofErr w:type="spellStart"/>
            <w:r w:rsidRPr="00DF4CE5">
              <w:rPr>
                <w:rFonts w:ascii="Cambria" w:hAnsi="Cambria"/>
              </w:rPr>
              <w:t>Vrsta</w:t>
            </w:r>
            <w:proofErr w:type="spellEnd"/>
            <w:r w:rsidRPr="00DF4CE5">
              <w:rPr>
                <w:rFonts w:ascii="Cambria" w:hAnsi="Cambria"/>
              </w:rPr>
              <w:t xml:space="preserve"> </w:t>
            </w:r>
            <w:proofErr w:type="spellStart"/>
            <w:r w:rsidRPr="00DF4CE5">
              <w:rPr>
                <w:rFonts w:ascii="Cambria" w:hAnsi="Cambria"/>
              </w:rPr>
              <w:t>kolegija</w:t>
            </w:r>
            <w:proofErr w:type="spellEnd"/>
          </w:p>
        </w:tc>
        <w:tc>
          <w:tcPr>
            <w:tcW w:w="26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2" w:type="dxa"/>
              <w:left w:w="144" w:type="dxa"/>
              <w:bottom w:w="72" w:type="dxa"/>
              <w:right w:w="144" w:type="dxa"/>
            </w:tcMar>
            <w:vAlign w:val="center"/>
          </w:tcPr>
          <w:p w14:paraId="06096039" w14:textId="7BC3B384" w:rsidR="001C42AA" w:rsidRPr="00DF4CE5" w:rsidRDefault="00C76B98" w:rsidP="001C42AA">
            <w:pPr>
              <w:spacing w:after="0" w:line="240" w:lineRule="atLeast"/>
              <w:rPr>
                <w:rFonts w:ascii="Cambria" w:hAnsi="Cambria"/>
              </w:rPr>
            </w:pPr>
            <w:proofErr w:type="spellStart"/>
            <w:r>
              <w:rPr>
                <w:rFonts w:ascii="Cambria" w:hAnsi="Cambria"/>
              </w:rPr>
              <w:t>o</w:t>
            </w:r>
            <w:r w:rsidR="001C42AA" w:rsidRPr="00DF4CE5">
              <w:rPr>
                <w:rFonts w:ascii="Cambria" w:hAnsi="Cambria"/>
              </w:rPr>
              <w:t>bvezan</w:t>
            </w:r>
            <w:proofErr w:type="spellEnd"/>
          </w:p>
        </w:tc>
        <w:tc>
          <w:tcPr>
            <w:tcW w:w="1569"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6E6E6"/>
            <w:tcMar>
              <w:top w:w="72" w:type="dxa"/>
              <w:left w:w="144" w:type="dxa"/>
              <w:bottom w:w="72" w:type="dxa"/>
              <w:right w:w="144" w:type="dxa"/>
            </w:tcMar>
            <w:vAlign w:val="center"/>
          </w:tcPr>
          <w:p w14:paraId="30BD260D" w14:textId="77777777" w:rsidR="001C42AA" w:rsidRPr="00DF4CE5" w:rsidRDefault="001C42AA" w:rsidP="001C42AA">
            <w:pPr>
              <w:spacing w:after="0" w:line="240" w:lineRule="atLeast"/>
              <w:rPr>
                <w:rFonts w:ascii="Cambria" w:hAnsi="Cambria"/>
              </w:rPr>
            </w:pPr>
            <w:r w:rsidRPr="00DF4CE5">
              <w:rPr>
                <w:rFonts w:ascii="Cambria" w:hAnsi="Cambria"/>
              </w:rPr>
              <w:t xml:space="preserve">Razina </w:t>
            </w:r>
            <w:proofErr w:type="spellStart"/>
            <w:r w:rsidRPr="00DF4CE5">
              <w:rPr>
                <w:rFonts w:ascii="Cambria" w:hAnsi="Cambria"/>
              </w:rPr>
              <w:t>kolegija</w:t>
            </w:r>
            <w:proofErr w:type="spellEnd"/>
          </w:p>
        </w:tc>
        <w:tc>
          <w:tcPr>
            <w:tcW w:w="2969"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2" w:type="dxa"/>
              <w:left w:w="144" w:type="dxa"/>
              <w:bottom w:w="72" w:type="dxa"/>
              <w:right w:w="144" w:type="dxa"/>
            </w:tcMar>
            <w:vAlign w:val="center"/>
          </w:tcPr>
          <w:p w14:paraId="6369952A" w14:textId="77777777" w:rsidR="001C42AA" w:rsidRPr="00DF4CE5" w:rsidRDefault="001C42AA" w:rsidP="001C42AA">
            <w:pPr>
              <w:spacing w:after="0" w:line="240" w:lineRule="atLeast"/>
              <w:rPr>
                <w:rFonts w:ascii="Cambria" w:hAnsi="Cambria"/>
              </w:rPr>
            </w:pPr>
            <w:proofErr w:type="spellStart"/>
            <w:r w:rsidRPr="00DF4CE5">
              <w:rPr>
                <w:rFonts w:ascii="Cambria" w:hAnsi="Cambria"/>
              </w:rPr>
              <w:t>integrirani</w:t>
            </w:r>
            <w:proofErr w:type="spellEnd"/>
          </w:p>
        </w:tc>
      </w:tr>
      <w:tr w:rsidR="001C42AA" w:rsidRPr="00DF4CE5" w14:paraId="1DB4F50F" w14:textId="77777777" w:rsidTr="00B31C4B">
        <w:tc>
          <w:tcPr>
            <w:tcW w:w="281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Mar>
              <w:top w:w="72" w:type="dxa"/>
              <w:left w:w="144" w:type="dxa"/>
              <w:bottom w:w="72" w:type="dxa"/>
              <w:right w:w="144" w:type="dxa"/>
            </w:tcMar>
            <w:vAlign w:val="center"/>
          </w:tcPr>
          <w:p w14:paraId="787D6FCE" w14:textId="77777777" w:rsidR="001C42AA" w:rsidRPr="00DF4CE5" w:rsidRDefault="001C42AA" w:rsidP="001C42AA">
            <w:pPr>
              <w:spacing w:after="0" w:line="240" w:lineRule="atLeast"/>
              <w:rPr>
                <w:rFonts w:ascii="Cambria" w:hAnsi="Cambria"/>
              </w:rPr>
            </w:pPr>
            <w:proofErr w:type="spellStart"/>
            <w:r w:rsidRPr="00DF4CE5">
              <w:rPr>
                <w:rFonts w:ascii="Cambria" w:hAnsi="Cambria"/>
              </w:rPr>
              <w:t>Semestar</w:t>
            </w:r>
            <w:proofErr w:type="spellEnd"/>
          </w:p>
        </w:tc>
        <w:tc>
          <w:tcPr>
            <w:tcW w:w="26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2" w:type="dxa"/>
              <w:left w:w="144" w:type="dxa"/>
              <w:bottom w:w="72" w:type="dxa"/>
              <w:right w:w="144" w:type="dxa"/>
            </w:tcMar>
            <w:vAlign w:val="center"/>
          </w:tcPr>
          <w:p w14:paraId="7F3731CF" w14:textId="058BC51C" w:rsidR="001C42AA" w:rsidRPr="00DF4CE5" w:rsidRDefault="00C76B98" w:rsidP="001C42AA">
            <w:pPr>
              <w:spacing w:after="0" w:line="240" w:lineRule="atLeast"/>
              <w:rPr>
                <w:rFonts w:ascii="Cambria" w:hAnsi="Cambria"/>
              </w:rPr>
            </w:pPr>
            <w:proofErr w:type="spellStart"/>
            <w:r>
              <w:rPr>
                <w:rFonts w:ascii="Cambria" w:hAnsi="Cambria"/>
              </w:rPr>
              <w:t>z</w:t>
            </w:r>
            <w:r w:rsidR="001C42AA" w:rsidRPr="00DF4CE5">
              <w:rPr>
                <w:rFonts w:ascii="Cambria" w:hAnsi="Cambria"/>
              </w:rPr>
              <w:t>imski</w:t>
            </w:r>
            <w:proofErr w:type="spellEnd"/>
          </w:p>
        </w:tc>
        <w:tc>
          <w:tcPr>
            <w:tcW w:w="1569"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6E6E6"/>
            <w:tcMar>
              <w:top w:w="72" w:type="dxa"/>
              <w:left w:w="144" w:type="dxa"/>
              <w:bottom w:w="72" w:type="dxa"/>
              <w:right w:w="144" w:type="dxa"/>
            </w:tcMar>
            <w:vAlign w:val="center"/>
          </w:tcPr>
          <w:p w14:paraId="037EDBB2" w14:textId="77777777" w:rsidR="001C42AA" w:rsidRPr="00DF4CE5" w:rsidRDefault="001C42AA" w:rsidP="001C42AA">
            <w:pPr>
              <w:spacing w:after="0" w:line="240" w:lineRule="atLeast"/>
              <w:rPr>
                <w:rFonts w:ascii="Cambria" w:hAnsi="Cambria"/>
              </w:rPr>
            </w:pPr>
            <w:r w:rsidRPr="00DF4CE5">
              <w:rPr>
                <w:rFonts w:ascii="Cambria" w:hAnsi="Cambria"/>
              </w:rPr>
              <w:t xml:space="preserve">Godina </w:t>
            </w:r>
            <w:proofErr w:type="spellStart"/>
            <w:r w:rsidRPr="00DF4CE5">
              <w:rPr>
                <w:rFonts w:ascii="Cambria" w:hAnsi="Cambria"/>
              </w:rPr>
              <w:t>studija</w:t>
            </w:r>
            <w:proofErr w:type="spellEnd"/>
          </w:p>
        </w:tc>
        <w:tc>
          <w:tcPr>
            <w:tcW w:w="2969"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2" w:type="dxa"/>
              <w:left w:w="144" w:type="dxa"/>
              <w:bottom w:w="72" w:type="dxa"/>
              <w:right w:w="144" w:type="dxa"/>
            </w:tcMar>
            <w:vAlign w:val="center"/>
          </w:tcPr>
          <w:p w14:paraId="34BEFB21" w14:textId="77777777" w:rsidR="001C42AA" w:rsidRPr="00DF4CE5" w:rsidRDefault="001C42AA" w:rsidP="001C42AA">
            <w:pPr>
              <w:spacing w:after="0" w:line="240" w:lineRule="atLeast"/>
              <w:rPr>
                <w:rFonts w:ascii="Cambria" w:hAnsi="Cambria"/>
              </w:rPr>
            </w:pPr>
            <w:r w:rsidRPr="00DF4CE5">
              <w:rPr>
                <w:rFonts w:ascii="Cambria" w:hAnsi="Cambria"/>
              </w:rPr>
              <w:t xml:space="preserve">I. </w:t>
            </w:r>
          </w:p>
        </w:tc>
      </w:tr>
      <w:tr w:rsidR="001C42AA" w:rsidRPr="00DF4CE5" w14:paraId="5937BACC" w14:textId="77777777" w:rsidTr="00B2232B">
        <w:trPr>
          <w:trHeight w:val="497"/>
        </w:trPr>
        <w:tc>
          <w:tcPr>
            <w:tcW w:w="281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Mar>
              <w:top w:w="72" w:type="dxa"/>
              <w:left w:w="144" w:type="dxa"/>
              <w:bottom w:w="72" w:type="dxa"/>
              <w:right w:w="144" w:type="dxa"/>
            </w:tcMar>
            <w:vAlign w:val="center"/>
          </w:tcPr>
          <w:p w14:paraId="422A12A5" w14:textId="77777777" w:rsidR="001C42AA" w:rsidRPr="00DF4CE5" w:rsidRDefault="001C42AA" w:rsidP="001C42AA">
            <w:pPr>
              <w:spacing w:after="0" w:line="240" w:lineRule="atLeast"/>
              <w:rPr>
                <w:rFonts w:ascii="Cambria" w:hAnsi="Cambria"/>
              </w:rPr>
            </w:pPr>
            <w:proofErr w:type="spellStart"/>
            <w:r w:rsidRPr="00DF4CE5">
              <w:rPr>
                <w:rFonts w:ascii="Cambria" w:hAnsi="Cambria"/>
              </w:rPr>
              <w:t>Mjesto</w:t>
            </w:r>
            <w:proofErr w:type="spellEnd"/>
            <w:r w:rsidRPr="00DF4CE5">
              <w:rPr>
                <w:rFonts w:ascii="Cambria" w:hAnsi="Cambria"/>
              </w:rPr>
              <w:t xml:space="preserve"> </w:t>
            </w:r>
            <w:proofErr w:type="spellStart"/>
            <w:r w:rsidRPr="00DF4CE5">
              <w:rPr>
                <w:rFonts w:ascii="Cambria" w:hAnsi="Cambria"/>
              </w:rPr>
              <w:t>izvođenja</w:t>
            </w:r>
            <w:proofErr w:type="spellEnd"/>
          </w:p>
        </w:tc>
        <w:tc>
          <w:tcPr>
            <w:tcW w:w="26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2" w:type="dxa"/>
              <w:left w:w="144" w:type="dxa"/>
              <w:bottom w:w="72" w:type="dxa"/>
              <w:right w:w="144" w:type="dxa"/>
            </w:tcMar>
            <w:vAlign w:val="center"/>
          </w:tcPr>
          <w:p w14:paraId="631A27BE" w14:textId="6217CC32" w:rsidR="001C42AA" w:rsidRPr="00DF4CE5" w:rsidRDefault="001C42AA" w:rsidP="001C42AA">
            <w:pPr>
              <w:spacing w:after="0" w:line="240" w:lineRule="atLeast"/>
              <w:rPr>
                <w:rFonts w:ascii="Cambria" w:hAnsi="Cambria"/>
              </w:rPr>
            </w:pPr>
            <w:proofErr w:type="spellStart"/>
            <w:r w:rsidRPr="00DF4CE5">
              <w:rPr>
                <w:rFonts w:ascii="Cambria" w:hAnsi="Cambria"/>
              </w:rPr>
              <w:t>učionica</w:t>
            </w:r>
            <w:proofErr w:type="spellEnd"/>
            <w:r w:rsidRPr="00DF4CE5">
              <w:rPr>
                <w:rFonts w:ascii="Cambria" w:hAnsi="Cambria"/>
              </w:rPr>
              <w:t xml:space="preserve"> </w:t>
            </w:r>
          </w:p>
        </w:tc>
        <w:tc>
          <w:tcPr>
            <w:tcW w:w="1569"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6E6E6"/>
            <w:tcMar>
              <w:top w:w="72" w:type="dxa"/>
              <w:left w:w="144" w:type="dxa"/>
              <w:bottom w:w="72" w:type="dxa"/>
              <w:right w:w="144" w:type="dxa"/>
            </w:tcMar>
            <w:vAlign w:val="center"/>
          </w:tcPr>
          <w:p w14:paraId="7D73A220" w14:textId="77777777" w:rsidR="001C42AA" w:rsidRPr="00DF4CE5" w:rsidRDefault="001C42AA" w:rsidP="001C42AA">
            <w:pPr>
              <w:spacing w:after="0" w:line="240" w:lineRule="atLeast"/>
              <w:rPr>
                <w:rFonts w:ascii="Cambria" w:hAnsi="Cambria"/>
              </w:rPr>
            </w:pPr>
            <w:r w:rsidRPr="00DF4CE5">
              <w:rPr>
                <w:rFonts w:ascii="Cambria" w:hAnsi="Cambria"/>
              </w:rPr>
              <w:t xml:space="preserve">Jezik </w:t>
            </w:r>
            <w:proofErr w:type="spellStart"/>
            <w:r w:rsidRPr="00DF4CE5">
              <w:rPr>
                <w:rFonts w:ascii="Cambria" w:hAnsi="Cambria"/>
              </w:rPr>
              <w:t>izvođenja</w:t>
            </w:r>
            <w:proofErr w:type="spellEnd"/>
            <w:r w:rsidRPr="00DF4CE5">
              <w:rPr>
                <w:rFonts w:ascii="Cambria" w:hAnsi="Cambria"/>
              </w:rPr>
              <w:t xml:space="preserve"> (</w:t>
            </w:r>
            <w:proofErr w:type="spellStart"/>
            <w:r w:rsidRPr="00DF4CE5">
              <w:rPr>
                <w:rFonts w:ascii="Cambria" w:hAnsi="Cambria"/>
              </w:rPr>
              <w:t>drugi</w:t>
            </w:r>
            <w:proofErr w:type="spellEnd"/>
            <w:r w:rsidRPr="00DF4CE5">
              <w:rPr>
                <w:rFonts w:ascii="Cambria" w:hAnsi="Cambria"/>
              </w:rPr>
              <w:t xml:space="preserve"> </w:t>
            </w:r>
            <w:proofErr w:type="spellStart"/>
            <w:r w:rsidRPr="00DF4CE5">
              <w:rPr>
                <w:rFonts w:ascii="Cambria" w:hAnsi="Cambria"/>
              </w:rPr>
              <w:t>jezici</w:t>
            </w:r>
            <w:proofErr w:type="spellEnd"/>
            <w:r w:rsidRPr="00DF4CE5">
              <w:rPr>
                <w:rFonts w:ascii="Cambria" w:hAnsi="Cambria"/>
              </w:rPr>
              <w:t>)</w:t>
            </w:r>
          </w:p>
        </w:tc>
        <w:tc>
          <w:tcPr>
            <w:tcW w:w="2969"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2" w:type="dxa"/>
              <w:left w:w="144" w:type="dxa"/>
              <w:bottom w:w="72" w:type="dxa"/>
              <w:right w:w="144" w:type="dxa"/>
            </w:tcMar>
            <w:vAlign w:val="center"/>
          </w:tcPr>
          <w:p w14:paraId="581F9A5D" w14:textId="77777777" w:rsidR="001C42AA" w:rsidRPr="00DF4CE5" w:rsidRDefault="001C42AA" w:rsidP="001C42AA">
            <w:pPr>
              <w:spacing w:after="0" w:line="240" w:lineRule="atLeast"/>
              <w:rPr>
                <w:rFonts w:ascii="Cambria" w:hAnsi="Cambria"/>
              </w:rPr>
            </w:pPr>
            <w:proofErr w:type="spellStart"/>
            <w:r w:rsidRPr="00DF4CE5">
              <w:rPr>
                <w:rFonts w:ascii="Cambria" w:hAnsi="Cambria"/>
              </w:rPr>
              <w:t>hrvatski</w:t>
            </w:r>
            <w:proofErr w:type="spellEnd"/>
            <w:r w:rsidRPr="00DF4CE5">
              <w:rPr>
                <w:rFonts w:ascii="Cambria" w:hAnsi="Cambria"/>
              </w:rPr>
              <w:t xml:space="preserve"> </w:t>
            </w:r>
          </w:p>
          <w:p w14:paraId="4F71BBA0" w14:textId="77777777" w:rsidR="001C42AA" w:rsidRPr="00DF4CE5" w:rsidRDefault="001C42AA" w:rsidP="001C42AA">
            <w:pPr>
              <w:spacing w:after="0" w:line="240" w:lineRule="atLeast"/>
              <w:rPr>
                <w:rFonts w:ascii="Cambria" w:hAnsi="Cambria"/>
              </w:rPr>
            </w:pPr>
            <w:r w:rsidRPr="00DF4CE5">
              <w:rPr>
                <w:rFonts w:ascii="Cambria" w:hAnsi="Cambria"/>
              </w:rPr>
              <w:t>(</w:t>
            </w:r>
            <w:proofErr w:type="spellStart"/>
            <w:r w:rsidRPr="00DF4CE5">
              <w:rPr>
                <w:rFonts w:ascii="Cambria" w:hAnsi="Cambria"/>
              </w:rPr>
              <w:t>engleski</w:t>
            </w:r>
            <w:proofErr w:type="spellEnd"/>
            <w:r w:rsidRPr="00DF4CE5">
              <w:rPr>
                <w:rFonts w:ascii="Cambria" w:hAnsi="Cambria"/>
              </w:rPr>
              <w:t>)</w:t>
            </w:r>
          </w:p>
        </w:tc>
      </w:tr>
      <w:tr w:rsidR="001C42AA" w:rsidRPr="00DF4CE5" w14:paraId="50805ADF" w14:textId="77777777" w:rsidTr="00B2232B">
        <w:trPr>
          <w:trHeight w:val="269"/>
        </w:trPr>
        <w:tc>
          <w:tcPr>
            <w:tcW w:w="281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Mar>
              <w:top w:w="72" w:type="dxa"/>
              <w:left w:w="144" w:type="dxa"/>
              <w:bottom w:w="72" w:type="dxa"/>
              <w:right w:w="144" w:type="dxa"/>
            </w:tcMar>
            <w:vAlign w:val="center"/>
          </w:tcPr>
          <w:p w14:paraId="4A05FD80" w14:textId="77777777" w:rsidR="001C42AA" w:rsidRPr="00DF4CE5" w:rsidRDefault="001C42AA" w:rsidP="001C42AA">
            <w:pPr>
              <w:spacing w:after="0" w:line="240" w:lineRule="atLeast"/>
              <w:rPr>
                <w:rFonts w:ascii="Cambria" w:hAnsi="Cambria"/>
              </w:rPr>
            </w:pPr>
            <w:proofErr w:type="spellStart"/>
            <w:r w:rsidRPr="00DF4CE5">
              <w:rPr>
                <w:rFonts w:ascii="Cambria" w:hAnsi="Cambria"/>
              </w:rPr>
              <w:t>Broj</w:t>
            </w:r>
            <w:proofErr w:type="spellEnd"/>
            <w:r w:rsidRPr="00DF4CE5">
              <w:rPr>
                <w:rFonts w:ascii="Cambria" w:hAnsi="Cambria"/>
              </w:rPr>
              <w:t xml:space="preserve"> ECTS </w:t>
            </w:r>
            <w:proofErr w:type="spellStart"/>
            <w:r w:rsidRPr="00DF4CE5">
              <w:rPr>
                <w:rFonts w:ascii="Cambria" w:hAnsi="Cambria"/>
              </w:rPr>
              <w:t>bodova</w:t>
            </w:r>
            <w:proofErr w:type="spellEnd"/>
          </w:p>
        </w:tc>
        <w:tc>
          <w:tcPr>
            <w:tcW w:w="26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2" w:type="dxa"/>
              <w:left w:w="144" w:type="dxa"/>
              <w:bottom w:w="72" w:type="dxa"/>
              <w:right w:w="144" w:type="dxa"/>
            </w:tcMar>
            <w:vAlign w:val="center"/>
          </w:tcPr>
          <w:p w14:paraId="62DAE5B9" w14:textId="77777777" w:rsidR="001C42AA" w:rsidRPr="00DF4CE5" w:rsidRDefault="001C42AA" w:rsidP="001C42AA">
            <w:pPr>
              <w:spacing w:after="0" w:line="240" w:lineRule="atLeast"/>
              <w:rPr>
                <w:rFonts w:ascii="Cambria" w:hAnsi="Cambria"/>
              </w:rPr>
            </w:pPr>
            <w:r w:rsidRPr="00DF4CE5">
              <w:rPr>
                <w:rFonts w:ascii="Cambria" w:hAnsi="Cambria"/>
              </w:rPr>
              <w:t>5</w:t>
            </w:r>
          </w:p>
        </w:tc>
        <w:tc>
          <w:tcPr>
            <w:tcW w:w="1569"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6E6E6"/>
            <w:tcMar>
              <w:top w:w="72" w:type="dxa"/>
              <w:left w:w="144" w:type="dxa"/>
              <w:bottom w:w="72" w:type="dxa"/>
              <w:right w:w="144" w:type="dxa"/>
            </w:tcMar>
            <w:vAlign w:val="center"/>
          </w:tcPr>
          <w:p w14:paraId="02ABDC54" w14:textId="77777777" w:rsidR="001C42AA" w:rsidRPr="00DF4CE5" w:rsidRDefault="001C42AA" w:rsidP="001C42AA">
            <w:pPr>
              <w:spacing w:after="0" w:line="240" w:lineRule="atLeast"/>
              <w:rPr>
                <w:rFonts w:ascii="Cambria" w:hAnsi="Cambria"/>
              </w:rPr>
            </w:pPr>
            <w:proofErr w:type="spellStart"/>
            <w:r w:rsidRPr="00DF4CE5">
              <w:rPr>
                <w:rFonts w:ascii="Cambria" w:hAnsi="Cambria"/>
              </w:rPr>
              <w:t>Broj</w:t>
            </w:r>
            <w:proofErr w:type="spellEnd"/>
            <w:r w:rsidRPr="00DF4CE5">
              <w:rPr>
                <w:rFonts w:ascii="Cambria" w:hAnsi="Cambria"/>
              </w:rPr>
              <w:t xml:space="preserve"> sati u </w:t>
            </w:r>
            <w:proofErr w:type="spellStart"/>
            <w:r w:rsidRPr="00DF4CE5">
              <w:rPr>
                <w:rFonts w:ascii="Cambria" w:hAnsi="Cambria"/>
              </w:rPr>
              <w:t>semestru</w:t>
            </w:r>
            <w:proofErr w:type="spellEnd"/>
          </w:p>
        </w:tc>
        <w:tc>
          <w:tcPr>
            <w:tcW w:w="2969"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2" w:type="dxa"/>
              <w:left w:w="144" w:type="dxa"/>
              <w:bottom w:w="72" w:type="dxa"/>
              <w:right w:w="144" w:type="dxa"/>
            </w:tcMar>
            <w:vAlign w:val="center"/>
          </w:tcPr>
          <w:p w14:paraId="16302822" w14:textId="5DB9A927" w:rsidR="001C42AA" w:rsidRPr="00DF4CE5" w:rsidRDefault="001C42AA" w:rsidP="001C42AA">
            <w:pPr>
              <w:spacing w:after="0" w:line="240" w:lineRule="atLeast"/>
              <w:rPr>
                <w:rFonts w:ascii="Cambria" w:hAnsi="Cambria"/>
              </w:rPr>
            </w:pPr>
            <w:r w:rsidRPr="00DF4CE5">
              <w:rPr>
                <w:rFonts w:ascii="Cambria" w:hAnsi="Cambria"/>
              </w:rPr>
              <w:t xml:space="preserve">30P – </w:t>
            </w:r>
            <w:r w:rsidR="00B13415" w:rsidRPr="00DF4CE5">
              <w:rPr>
                <w:rFonts w:ascii="Cambria" w:hAnsi="Cambria"/>
              </w:rPr>
              <w:t>3</w:t>
            </w:r>
            <w:r w:rsidRPr="00DF4CE5">
              <w:rPr>
                <w:rFonts w:ascii="Cambria" w:hAnsi="Cambria"/>
              </w:rPr>
              <w:t>0</w:t>
            </w:r>
            <w:r w:rsidR="00B13415" w:rsidRPr="00DF4CE5">
              <w:rPr>
                <w:rFonts w:ascii="Cambria" w:hAnsi="Cambria"/>
              </w:rPr>
              <w:t>S</w:t>
            </w:r>
            <w:r w:rsidRPr="00DF4CE5">
              <w:rPr>
                <w:rFonts w:ascii="Cambria" w:hAnsi="Cambria"/>
              </w:rPr>
              <w:t xml:space="preserve"> – </w:t>
            </w:r>
            <w:r w:rsidR="00B13415" w:rsidRPr="00DF4CE5">
              <w:rPr>
                <w:rFonts w:ascii="Cambria" w:hAnsi="Cambria"/>
              </w:rPr>
              <w:t>0V</w:t>
            </w:r>
          </w:p>
        </w:tc>
      </w:tr>
      <w:tr w:rsidR="001C42AA" w:rsidRPr="00DF4CE5" w14:paraId="265EEE3C" w14:textId="77777777" w:rsidTr="00B31C4B">
        <w:tc>
          <w:tcPr>
            <w:tcW w:w="281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Mar>
              <w:top w:w="72" w:type="dxa"/>
              <w:left w:w="144" w:type="dxa"/>
              <w:bottom w:w="72" w:type="dxa"/>
              <w:right w:w="144" w:type="dxa"/>
            </w:tcMar>
            <w:vAlign w:val="center"/>
          </w:tcPr>
          <w:p w14:paraId="672B0888" w14:textId="77777777" w:rsidR="001C42AA" w:rsidRPr="00DF4CE5" w:rsidRDefault="001C42AA" w:rsidP="001C42AA">
            <w:pPr>
              <w:spacing w:after="0" w:line="240" w:lineRule="atLeast"/>
              <w:rPr>
                <w:rFonts w:ascii="Cambria" w:hAnsi="Cambria"/>
                <w:lang w:val="it-IT"/>
              </w:rPr>
            </w:pPr>
            <w:proofErr w:type="spellStart"/>
            <w:r w:rsidRPr="00DF4CE5">
              <w:rPr>
                <w:rFonts w:ascii="Cambria" w:hAnsi="Cambria"/>
                <w:lang w:val="it-IT"/>
              </w:rPr>
              <w:t>Preduvjeti</w:t>
            </w:r>
            <w:proofErr w:type="spellEnd"/>
            <w:r w:rsidRPr="00DF4CE5">
              <w:rPr>
                <w:rFonts w:ascii="Cambria" w:hAnsi="Cambria"/>
                <w:lang w:val="it-IT"/>
              </w:rPr>
              <w:t xml:space="preserve"> za </w:t>
            </w:r>
            <w:proofErr w:type="spellStart"/>
            <w:r w:rsidRPr="00DF4CE5">
              <w:rPr>
                <w:rFonts w:ascii="Cambria" w:hAnsi="Cambria"/>
                <w:lang w:val="it-IT"/>
              </w:rPr>
              <w:t>upis</w:t>
            </w:r>
            <w:proofErr w:type="spellEnd"/>
            <w:r w:rsidRPr="00DF4CE5">
              <w:rPr>
                <w:rFonts w:ascii="Cambria" w:hAnsi="Cambria"/>
                <w:lang w:val="it-IT"/>
              </w:rPr>
              <w:t xml:space="preserve"> i za </w:t>
            </w:r>
            <w:proofErr w:type="spellStart"/>
            <w:r w:rsidRPr="00DF4CE5">
              <w:rPr>
                <w:rFonts w:ascii="Cambria" w:hAnsi="Cambria"/>
                <w:lang w:val="it-IT"/>
              </w:rPr>
              <w:t>svladavanje</w:t>
            </w:r>
            <w:proofErr w:type="spellEnd"/>
          </w:p>
        </w:tc>
        <w:tc>
          <w:tcPr>
            <w:tcW w:w="7206"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2" w:type="dxa"/>
              <w:left w:w="144" w:type="dxa"/>
              <w:bottom w:w="72" w:type="dxa"/>
              <w:right w:w="144" w:type="dxa"/>
            </w:tcMar>
            <w:vAlign w:val="center"/>
          </w:tcPr>
          <w:p w14:paraId="78F33C58" w14:textId="77777777" w:rsidR="001C42AA" w:rsidRPr="00DF4CE5" w:rsidRDefault="001C42AA" w:rsidP="001C42AA">
            <w:pPr>
              <w:spacing w:after="0" w:line="240" w:lineRule="atLeast"/>
              <w:rPr>
                <w:rFonts w:ascii="Cambria" w:hAnsi="Cambria"/>
              </w:rPr>
            </w:pPr>
            <w:r w:rsidRPr="00DF4CE5">
              <w:rPr>
                <w:rFonts w:ascii="Cambria" w:hAnsi="Cambria"/>
              </w:rPr>
              <w:t xml:space="preserve">Nema </w:t>
            </w:r>
            <w:proofErr w:type="spellStart"/>
            <w:r w:rsidRPr="00DF4CE5">
              <w:rPr>
                <w:rFonts w:ascii="Cambria" w:hAnsi="Cambria"/>
              </w:rPr>
              <w:t>preduvjeta</w:t>
            </w:r>
            <w:proofErr w:type="spellEnd"/>
          </w:p>
        </w:tc>
      </w:tr>
      <w:tr w:rsidR="001C42AA" w:rsidRPr="00DF4CE5" w14:paraId="3C22ACA3" w14:textId="77777777" w:rsidTr="00B31C4B">
        <w:tc>
          <w:tcPr>
            <w:tcW w:w="281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Mar>
              <w:top w:w="72" w:type="dxa"/>
              <w:left w:w="144" w:type="dxa"/>
              <w:bottom w:w="72" w:type="dxa"/>
              <w:right w:w="144" w:type="dxa"/>
            </w:tcMar>
            <w:vAlign w:val="center"/>
          </w:tcPr>
          <w:p w14:paraId="22E64DCA" w14:textId="77777777" w:rsidR="001C42AA" w:rsidRPr="00DF4CE5" w:rsidRDefault="001C42AA" w:rsidP="001C42AA">
            <w:pPr>
              <w:spacing w:after="0" w:line="240" w:lineRule="atLeast"/>
              <w:rPr>
                <w:rFonts w:ascii="Cambria" w:hAnsi="Cambria"/>
              </w:rPr>
            </w:pPr>
            <w:proofErr w:type="spellStart"/>
            <w:r w:rsidRPr="00DF4CE5">
              <w:rPr>
                <w:rFonts w:ascii="Cambria" w:hAnsi="Cambria"/>
              </w:rPr>
              <w:t>Korelativnost</w:t>
            </w:r>
            <w:proofErr w:type="spellEnd"/>
          </w:p>
        </w:tc>
        <w:tc>
          <w:tcPr>
            <w:tcW w:w="7206"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2" w:type="dxa"/>
              <w:left w:w="144" w:type="dxa"/>
              <w:bottom w:w="72" w:type="dxa"/>
              <w:right w:w="144" w:type="dxa"/>
            </w:tcMar>
            <w:vAlign w:val="center"/>
          </w:tcPr>
          <w:p w14:paraId="7842F7A0" w14:textId="0AED7C27" w:rsidR="001C42AA" w:rsidRPr="00DF4CE5" w:rsidRDefault="001C42AA" w:rsidP="001C42AA">
            <w:pPr>
              <w:spacing w:after="0" w:line="240" w:lineRule="atLeast"/>
              <w:rPr>
                <w:rFonts w:ascii="Cambria" w:hAnsi="Cambria"/>
                <w:lang w:val="it-IT"/>
              </w:rPr>
            </w:pPr>
            <w:proofErr w:type="spellStart"/>
            <w:r w:rsidRPr="00DF4CE5">
              <w:rPr>
                <w:rFonts w:ascii="Cambria" w:hAnsi="Cambria"/>
                <w:lang w:val="it-IT"/>
              </w:rPr>
              <w:t>Razvojna</w:t>
            </w:r>
            <w:proofErr w:type="spellEnd"/>
            <w:r w:rsidRPr="00DF4CE5">
              <w:rPr>
                <w:rFonts w:ascii="Cambria" w:hAnsi="Cambria"/>
                <w:lang w:val="it-IT"/>
              </w:rPr>
              <w:t xml:space="preserve"> </w:t>
            </w:r>
            <w:proofErr w:type="spellStart"/>
            <w:r w:rsidRPr="00DF4CE5">
              <w:rPr>
                <w:rFonts w:ascii="Cambria" w:hAnsi="Cambria"/>
                <w:lang w:val="it-IT"/>
              </w:rPr>
              <w:t>psihologija</w:t>
            </w:r>
            <w:proofErr w:type="spellEnd"/>
            <w:r w:rsidRPr="00DF4CE5">
              <w:rPr>
                <w:rFonts w:ascii="Cambria" w:hAnsi="Cambria"/>
                <w:lang w:val="it-IT"/>
              </w:rPr>
              <w:t xml:space="preserve">, </w:t>
            </w:r>
            <w:proofErr w:type="spellStart"/>
            <w:r w:rsidRPr="00DF4CE5">
              <w:rPr>
                <w:rFonts w:ascii="Cambria" w:hAnsi="Cambria"/>
                <w:lang w:val="it-IT"/>
              </w:rPr>
              <w:t>Edukacijska</w:t>
            </w:r>
            <w:proofErr w:type="spellEnd"/>
            <w:r w:rsidRPr="00DF4CE5">
              <w:rPr>
                <w:rFonts w:ascii="Cambria" w:hAnsi="Cambria"/>
                <w:lang w:val="it-IT"/>
              </w:rPr>
              <w:t xml:space="preserve"> </w:t>
            </w:r>
            <w:proofErr w:type="spellStart"/>
            <w:r w:rsidRPr="00DF4CE5">
              <w:rPr>
                <w:rFonts w:ascii="Cambria" w:hAnsi="Cambria"/>
                <w:lang w:val="it-IT"/>
              </w:rPr>
              <w:t>psihologija</w:t>
            </w:r>
            <w:proofErr w:type="spellEnd"/>
            <w:r w:rsidRPr="00DF4CE5">
              <w:rPr>
                <w:rFonts w:ascii="Cambria" w:hAnsi="Cambria"/>
                <w:lang w:val="it-IT"/>
              </w:rPr>
              <w:t xml:space="preserve"> </w:t>
            </w:r>
          </w:p>
        </w:tc>
      </w:tr>
      <w:tr w:rsidR="001C42AA" w:rsidRPr="00DF4CE5" w14:paraId="7472789C" w14:textId="77777777" w:rsidTr="00B31C4B">
        <w:tc>
          <w:tcPr>
            <w:tcW w:w="281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Mar>
              <w:top w:w="72" w:type="dxa"/>
              <w:left w:w="144" w:type="dxa"/>
              <w:bottom w:w="72" w:type="dxa"/>
              <w:right w:w="144" w:type="dxa"/>
            </w:tcMar>
            <w:vAlign w:val="center"/>
          </w:tcPr>
          <w:p w14:paraId="1945B844" w14:textId="77777777" w:rsidR="001C42AA" w:rsidRPr="00DF4CE5" w:rsidRDefault="001C42AA" w:rsidP="001C42AA">
            <w:pPr>
              <w:spacing w:after="0" w:line="240" w:lineRule="atLeast"/>
              <w:rPr>
                <w:rFonts w:ascii="Cambria" w:hAnsi="Cambria"/>
              </w:rPr>
            </w:pPr>
            <w:proofErr w:type="spellStart"/>
            <w:r w:rsidRPr="00DF4CE5">
              <w:rPr>
                <w:rFonts w:ascii="Cambria" w:hAnsi="Cambria"/>
              </w:rPr>
              <w:t>Cilj</w:t>
            </w:r>
            <w:proofErr w:type="spellEnd"/>
            <w:r w:rsidRPr="00DF4CE5">
              <w:rPr>
                <w:rFonts w:ascii="Cambria" w:hAnsi="Cambria"/>
              </w:rPr>
              <w:t xml:space="preserve"> </w:t>
            </w:r>
            <w:proofErr w:type="spellStart"/>
            <w:r w:rsidRPr="00DF4CE5">
              <w:rPr>
                <w:rFonts w:ascii="Cambria" w:hAnsi="Cambria"/>
              </w:rPr>
              <w:t>kolegija</w:t>
            </w:r>
            <w:proofErr w:type="spellEnd"/>
            <w:r w:rsidRPr="00DF4CE5">
              <w:rPr>
                <w:rFonts w:ascii="Cambria" w:hAnsi="Cambria"/>
              </w:rPr>
              <w:t xml:space="preserve"> </w:t>
            </w:r>
          </w:p>
        </w:tc>
        <w:tc>
          <w:tcPr>
            <w:tcW w:w="7206"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2" w:type="dxa"/>
              <w:left w:w="144" w:type="dxa"/>
              <w:bottom w:w="72" w:type="dxa"/>
              <w:right w:w="144" w:type="dxa"/>
            </w:tcMar>
            <w:vAlign w:val="center"/>
          </w:tcPr>
          <w:p w14:paraId="22BAD462" w14:textId="77777777" w:rsidR="001C42AA" w:rsidRPr="00DF4CE5" w:rsidRDefault="001C42AA" w:rsidP="001C42AA">
            <w:pPr>
              <w:spacing w:after="0" w:line="240" w:lineRule="atLeast"/>
              <w:rPr>
                <w:rFonts w:ascii="Cambria" w:hAnsi="Cambria"/>
              </w:rPr>
            </w:pPr>
            <w:proofErr w:type="spellStart"/>
            <w:r w:rsidRPr="00DF4CE5">
              <w:rPr>
                <w:rFonts w:ascii="Cambria" w:hAnsi="Cambria"/>
              </w:rPr>
              <w:t>Steći</w:t>
            </w:r>
            <w:proofErr w:type="spellEnd"/>
            <w:r w:rsidRPr="00DF4CE5">
              <w:rPr>
                <w:rFonts w:ascii="Cambria" w:hAnsi="Cambria"/>
              </w:rPr>
              <w:t xml:space="preserve"> </w:t>
            </w:r>
            <w:proofErr w:type="spellStart"/>
            <w:r w:rsidRPr="00DF4CE5">
              <w:rPr>
                <w:rFonts w:ascii="Cambria" w:hAnsi="Cambria"/>
              </w:rPr>
              <w:t>znanja</w:t>
            </w:r>
            <w:proofErr w:type="spellEnd"/>
            <w:r w:rsidRPr="00DF4CE5">
              <w:rPr>
                <w:rFonts w:ascii="Cambria" w:hAnsi="Cambria"/>
              </w:rPr>
              <w:t xml:space="preserve"> o </w:t>
            </w:r>
            <w:proofErr w:type="spellStart"/>
            <w:r w:rsidRPr="00DF4CE5">
              <w:rPr>
                <w:rFonts w:ascii="Cambria" w:hAnsi="Cambria"/>
              </w:rPr>
              <w:t>osnovnim</w:t>
            </w:r>
            <w:proofErr w:type="spellEnd"/>
            <w:r w:rsidRPr="00DF4CE5">
              <w:rPr>
                <w:rFonts w:ascii="Cambria" w:hAnsi="Cambria"/>
              </w:rPr>
              <w:t xml:space="preserve"> </w:t>
            </w:r>
            <w:proofErr w:type="spellStart"/>
            <w:r w:rsidRPr="00DF4CE5">
              <w:rPr>
                <w:rFonts w:ascii="Cambria" w:hAnsi="Cambria"/>
              </w:rPr>
              <w:t>procesima</w:t>
            </w:r>
            <w:proofErr w:type="spellEnd"/>
            <w:r w:rsidRPr="00DF4CE5">
              <w:rPr>
                <w:rFonts w:ascii="Cambria" w:hAnsi="Cambria"/>
              </w:rPr>
              <w:t xml:space="preserve"> </w:t>
            </w:r>
            <w:proofErr w:type="spellStart"/>
            <w:r w:rsidRPr="00DF4CE5">
              <w:rPr>
                <w:rFonts w:ascii="Cambria" w:hAnsi="Cambria"/>
              </w:rPr>
              <w:t>i</w:t>
            </w:r>
            <w:proofErr w:type="spellEnd"/>
            <w:r w:rsidRPr="00DF4CE5">
              <w:rPr>
                <w:rFonts w:ascii="Cambria" w:hAnsi="Cambria"/>
              </w:rPr>
              <w:t xml:space="preserve"> </w:t>
            </w:r>
            <w:proofErr w:type="spellStart"/>
            <w:r w:rsidRPr="00DF4CE5">
              <w:rPr>
                <w:rFonts w:ascii="Cambria" w:hAnsi="Cambria"/>
              </w:rPr>
              <w:t>obilježjima</w:t>
            </w:r>
            <w:proofErr w:type="spellEnd"/>
            <w:r w:rsidRPr="00DF4CE5">
              <w:rPr>
                <w:rFonts w:ascii="Cambria" w:hAnsi="Cambria"/>
              </w:rPr>
              <w:t xml:space="preserve"> </w:t>
            </w:r>
            <w:proofErr w:type="spellStart"/>
            <w:r w:rsidRPr="00DF4CE5">
              <w:rPr>
                <w:rFonts w:ascii="Cambria" w:hAnsi="Cambria"/>
              </w:rPr>
              <w:t>ljudskoga</w:t>
            </w:r>
            <w:proofErr w:type="spellEnd"/>
            <w:r w:rsidRPr="00DF4CE5">
              <w:rPr>
                <w:rFonts w:ascii="Cambria" w:hAnsi="Cambria"/>
              </w:rPr>
              <w:t xml:space="preserve"> </w:t>
            </w:r>
            <w:proofErr w:type="spellStart"/>
            <w:r w:rsidRPr="00DF4CE5">
              <w:rPr>
                <w:rFonts w:ascii="Cambria" w:hAnsi="Cambria"/>
              </w:rPr>
              <w:t>doživljavanja</w:t>
            </w:r>
            <w:proofErr w:type="spellEnd"/>
            <w:r w:rsidRPr="00DF4CE5">
              <w:rPr>
                <w:rFonts w:ascii="Cambria" w:hAnsi="Cambria"/>
              </w:rPr>
              <w:t xml:space="preserve"> </w:t>
            </w:r>
            <w:proofErr w:type="spellStart"/>
            <w:r w:rsidRPr="00DF4CE5">
              <w:rPr>
                <w:rFonts w:ascii="Cambria" w:hAnsi="Cambria"/>
              </w:rPr>
              <w:t>i</w:t>
            </w:r>
            <w:proofErr w:type="spellEnd"/>
            <w:r w:rsidRPr="00DF4CE5">
              <w:rPr>
                <w:rFonts w:ascii="Cambria" w:hAnsi="Cambria"/>
              </w:rPr>
              <w:t xml:space="preserve"> </w:t>
            </w:r>
            <w:proofErr w:type="spellStart"/>
            <w:r w:rsidRPr="00DF4CE5">
              <w:rPr>
                <w:rFonts w:ascii="Cambria" w:hAnsi="Cambria"/>
              </w:rPr>
              <w:t>ponašanja</w:t>
            </w:r>
            <w:proofErr w:type="spellEnd"/>
          </w:p>
        </w:tc>
      </w:tr>
      <w:tr w:rsidR="001C42AA" w:rsidRPr="00D0399C" w14:paraId="00093AA2" w14:textId="77777777" w:rsidTr="00B31C4B">
        <w:tc>
          <w:tcPr>
            <w:tcW w:w="281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Mar>
              <w:top w:w="72" w:type="dxa"/>
              <w:left w:w="144" w:type="dxa"/>
              <w:bottom w:w="72" w:type="dxa"/>
              <w:right w:w="144" w:type="dxa"/>
            </w:tcMar>
            <w:vAlign w:val="center"/>
          </w:tcPr>
          <w:p w14:paraId="6689DDAC" w14:textId="77777777" w:rsidR="001C42AA" w:rsidRPr="00DF4CE5" w:rsidRDefault="001C42AA" w:rsidP="001C42AA">
            <w:pPr>
              <w:spacing w:after="0" w:line="240" w:lineRule="atLeast"/>
              <w:rPr>
                <w:rFonts w:ascii="Cambria" w:hAnsi="Cambria"/>
              </w:rPr>
            </w:pPr>
            <w:proofErr w:type="spellStart"/>
            <w:r w:rsidRPr="00DF4CE5">
              <w:rPr>
                <w:rFonts w:ascii="Cambria" w:hAnsi="Cambria"/>
              </w:rPr>
              <w:t>Ishodi</w:t>
            </w:r>
            <w:proofErr w:type="spellEnd"/>
            <w:r w:rsidRPr="00DF4CE5">
              <w:rPr>
                <w:rFonts w:ascii="Cambria" w:hAnsi="Cambria"/>
              </w:rPr>
              <w:t xml:space="preserve"> </w:t>
            </w:r>
            <w:proofErr w:type="spellStart"/>
            <w:r w:rsidRPr="00DF4CE5">
              <w:rPr>
                <w:rFonts w:ascii="Cambria" w:hAnsi="Cambria"/>
              </w:rPr>
              <w:t>učenja</w:t>
            </w:r>
            <w:proofErr w:type="spellEnd"/>
          </w:p>
        </w:tc>
        <w:tc>
          <w:tcPr>
            <w:tcW w:w="7206"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2" w:type="dxa"/>
              <w:left w:w="144" w:type="dxa"/>
              <w:bottom w:w="72" w:type="dxa"/>
              <w:right w:w="144" w:type="dxa"/>
            </w:tcMar>
            <w:vAlign w:val="center"/>
          </w:tcPr>
          <w:p w14:paraId="520A09FE" w14:textId="77777777" w:rsidR="001C42AA" w:rsidRPr="00DF4CE5" w:rsidRDefault="001C42AA" w:rsidP="00A034E3">
            <w:pPr>
              <w:numPr>
                <w:ilvl w:val="0"/>
                <w:numId w:val="56"/>
              </w:numPr>
              <w:tabs>
                <w:tab w:val="clear" w:pos="360"/>
                <w:tab w:val="num" w:pos="431"/>
              </w:tabs>
              <w:spacing w:after="0" w:line="240" w:lineRule="atLeast"/>
              <w:ind w:hanging="289"/>
              <w:rPr>
                <w:rFonts w:ascii="Cambria" w:hAnsi="Cambria"/>
              </w:rPr>
            </w:pPr>
            <w:proofErr w:type="spellStart"/>
            <w:r w:rsidRPr="00DF4CE5">
              <w:rPr>
                <w:rFonts w:ascii="Cambria" w:hAnsi="Cambria"/>
              </w:rPr>
              <w:t>definirati</w:t>
            </w:r>
            <w:proofErr w:type="spellEnd"/>
            <w:r w:rsidRPr="00DF4CE5">
              <w:rPr>
                <w:rFonts w:ascii="Cambria" w:hAnsi="Cambria"/>
              </w:rPr>
              <w:t xml:space="preserve"> </w:t>
            </w:r>
            <w:proofErr w:type="spellStart"/>
            <w:r w:rsidRPr="00DF4CE5">
              <w:rPr>
                <w:rFonts w:ascii="Cambria" w:hAnsi="Cambria"/>
              </w:rPr>
              <w:t>osnovne</w:t>
            </w:r>
            <w:proofErr w:type="spellEnd"/>
            <w:r w:rsidRPr="00DF4CE5">
              <w:rPr>
                <w:rFonts w:ascii="Cambria" w:hAnsi="Cambria"/>
              </w:rPr>
              <w:t xml:space="preserve"> </w:t>
            </w:r>
            <w:proofErr w:type="spellStart"/>
            <w:r w:rsidRPr="00DF4CE5">
              <w:rPr>
                <w:rFonts w:ascii="Cambria" w:hAnsi="Cambria"/>
              </w:rPr>
              <w:t>pojmove</w:t>
            </w:r>
            <w:proofErr w:type="spellEnd"/>
            <w:r w:rsidRPr="00DF4CE5">
              <w:rPr>
                <w:rFonts w:ascii="Cambria" w:hAnsi="Cambria"/>
              </w:rPr>
              <w:t xml:space="preserve"> u </w:t>
            </w:r>
            <w:proofErr w:type="spellStart"/>
            <w:r w:rsidRPr="00DF4CE5">
              <w:rPr>
                <w:rFonts w:ascii="Cambria" w:hAnsi="Cambria"/>
              </w:rPr>
              <w:t>psihologiji</w:t>
            </w:r>
            <w:proofErr w:type="spellEnd"/>
          </w:p>
          <w:p w14:paraId="662E2E70" w14:textId="77777777" w:rsidR="001C42AA" w:rsidRPr="00DF4CE5" w:rsidRDefault="001C42AA" w:rsidP="00A034E3">
            <w:pPr>
              <w:numPr>
                <w:ilvl w:val="0"/>
                <w:numId w:val="56"/>
              </w:numPr>
              <w:tabs>
                <w:tab w:val="clear" w:pos="360"/>
                <w:tab w:val="num" w:pos="431"/>
              </w:tabs>
              <w:spacing w:after="0" w:line="240" w:lineRule="atLeast"/>
              <w:ind w:hanging="289"/>
              <w:rPr>
                <w:rFonts w:ascii="Cambria" w:hAnsi="Cambria"/>
                <w:lang w:val="it-IT"/>
              </w:rPr>
            </w:pPr>
            <w:proofErr w:type="spellStart"/>
            <w:r w:rsidRPr="00DF4CE5">
              <w:rPr>
                <w:rFonts w:ascii="Cambria" w:hAnsi="Cambria"/>
                <w:bCs/>
                <w:lang w:val="it-IT"/>
              </w:rPr>
              <w:t>uspoređivati</w:t>
            </w:r>
            <w:proofErr w:type="spellEnd"/>
            <w:r w:rsidRPr="00DF4CE5">
              <w:rPr>
                <w:rFonts w:ascii="Cambria" w:hAnsi="Cambria"/>
                <w:bCs/>
                <w:lang w:val="it-IT"/>
              </w:rPr>
              <w:t xml:space="preserve"> </w:t>
            </w:r>
            <w:proofErr w:type="spellStart"/>
            <w:r w:rsidRPr="00DF4CE5">
              <w:rPr>
                <w:rFonts w:ascii="Cambria" w:hAnsi="Cambria"/>
                <w:lang w:val="it-IT"/>
              </w:rPr>
              <w:t>različite</w:t>
            </w:r>
            <w:proofErr w:type="spellEnd"/>
            <w:r w:rsidRPr="00DF4CE5">
              <w:rPr>
                <w:rFonts w:ascii="Cambria" w:hAnsi="Cambria"/>
                <w:lang w:val="it-IT"/>
              </w:rPr>
              <w:t xml:space="preserve"> </w:t>
            </w:r>
            <w:proofErr w:type="spellStart"/>
            <w:r w:rsidRPr="00DF4CE5">
              <w:rPr>
                <w:rFonts w:ascii="Cambria" w:hAnsi="Cambria"/>
                <w:lang w:val="it-IT"/>
              </w:rPr>
              <w:t>teorije</w:t>
            </w:r>
            <w:proofErr w:type="spellEnd"/>
            <w:r w:rsidRPr="00DF4CE5">
              <w:rPr>
                <w:rFonts w:ascii="Cambria" w:hAnsi="Cambria"/>
                <w:lang w:val="it-IT"/>
              </w:rPr>
              <w:t xml:space="preserve"> i </w:t>
            </w:r>
            <w:proofErr w:type="spellStart"/>
            <w:r w:rsidRPr="00DF4CE5">
              <w:rPr>
                <w:rFonts w:ascii="Cambria" w:hAnsi="Cambria"/>
                <w:lang w:val="it-IT"/>
              </w:rPr>
              <w:t>modele</w:t>
            </w:r>
            <w:proofErr w:type="spellEnd"/>
            <w:r w:rsidRPr="00DF4CE5">
              <w:rPr>
                <w:rFonts w:ascii="Cambria" w:hAnsi="Cambria"/>
                <w:lang w:val="it-IT"/>
              </w:rPr>
              <w:t xml:space="preserve"> u </w:t>
            </w:r>
            <w:proofErr w:type="spellStart"/>
            <w:r w:rsidRPr="00DF4CE5">
              <w:rPr>
                <w:rFonts w:ascii="Cambria" w:hAnsi="Cambria"/>
                <w:lang w:val="it-IT"/>
              </w:rPr>
              <w:t>psihologiji</w:t>
            </w:r>
            <w:proofErr w:type="spellEnd"/>
          </w:p>
          <w:p w14:paraId="14B85E60" w14:textId="77777777" w:rsidR="001C42AA" w:rsidRPr="00DF4CE5" w:rsidRDefault="001C42AA" w:rsidP="00A034E3">
            <w:pPr>
              <w:numPr>
                <w:ilvl w:val="0"/>
                <w:numId w:val="56"/>
              </w:numPr>
              <w:tabs>
                <w:tab w:val="clear" w:pos="360"/>
                <w:tab w:val="num" w:pos="431"/>
              </w:tabs>
              <w:spacing w:after="0" w:line="240" w:lineRule="atLeast"/>
              <w:ind w:hanging="289"/>
              <w:rPr>
                <w:rFonts w:ascii="Cambria" w:hAnsi="Cambria"/>
                <w:lang w:val="it-IT"/>
              </w:rPr>
            </w:pPr>
            <w:proofErr w:type="spellStart"/>
            <w:r w:rsidRPr="00DF4CE5">
              <w:rPr>
                <w:rFonts w:ascii="Cambria" w:hAnsi="Cambria"/>
                <w:lang w:val="it-IT"/>
              </w:rPr>
              <w:t>analizirati</w:t>
            </w:r>
            <w:proofErr w:type="spellEnd"/>
            <w:r w:rsidRPr="00DF4CE5">
              <w:rPr>
                <w:rFonts w:ascii="Cambria" w:hAnsi="Cambria"/>
                <w:lang w:val="it-IT"/>
              </w:rPr>
              <w:t xml:space="preserve"> </w:t>
            </w:r>
            <w:proofErr w:type="spellStart"/>
            <w:r w:rsidRPr="00DF4CE5">
              <w:rPr>
                <w:rFonts w:ascii="Cambria" w:hAnsi="Cambria"/>
                <w:lang w:val="it-IT"/>
              </w:rPr>
              <w:t>osnovne</w:t>
            </w:r>
            <w:proofErr w:type="spellEnd"/>
            <w:r w:rsidRPr="00DF4CE5">
              <w:rPr>
                <w:rFonts w:ascii="Cambria" w:hAnsi="Cambria"/>
                <w:lang w:val="it-IT"/>
              </w:rPr>
              <w:t xml:space="preserve"> </w:t>
            </w:r>
            <w:proofErr w:type="spellStart"/>
            <w:r w:rsidRPr="00DF4CE5">
              <w:rPr>
                <w:rFonts w:ascii="Cambria" w:hAnsi="Cambria"/>
                <w:lang w:val="it-IT"/>
              </w:rPr>
              <w:t>procese</w:t>
            </w:r>
            <w:proofErr w:type="spellEnd"/>
            <w:r w:rsidRPr="00DF4CE5">
              <w:rPr>
                <w:rFonts w:ascii="Cambria" w:hAnsi="Cambria"/>
                <w:lang w:val="it-IT"/>
              </w:rPr>
              <w:t xml:space="preserve"> u </w:t>
            </w:r>
            <w:proofErr w:type="spellStart"/>
            <w:r w:rsidRPr="00DF4CE5">
              <w:rPr>
                <w:rFonts w:ascii="Cambria" w:hAnsi="Cambria"/>
                <w:lang w:val="it-IT"/>
              </w:rPr>
              <w:t>psihologiji</w:t>
            </w:r>
            <w:proofErr w:type="spellEnd"/>
          </w:p>
        </w:tc>
      </w:tr>
      <w:tr w:rsidR="001C42AA" w:rsidRPr="00DF4CE5" w14:paraId="677D8459" w14:textId="77777777" w:rsidTr="00B31C4B">
        <w:tc>
          <w:tcPr>
            <w:tcW w:w="281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Mar>
              <w:top w:w="15" w:type="dxa"/>
              <w:left w:w="108" w:type="dxa"/>
              <w:bottom w:w="0" w:type="dxa"/>
              <w:right w:w="108" w:type="dxa"/>
            </w:tcMar>
            <w:vAlign w:val="center"/>
          </w:tcPr>
          <w:p w14:paraId="7D1AFD57" w14:textId="77777777" w:rsidR="001C42AA" w:rsidRPr="00DF4CE5" w:rsidRDefault="001C42AA" w:rsidP="001C42AA">
            <w:pPr>
              <w:spacing w:after="0" w:line="240" w:lineRule="atLeast"/>
              <w:rPr>
                <w:rFonts w:ascii="Cambria" w:hAnsi="Cambria"/>
              </w:rPr>
            </w:pPr>
            <w:proofErr w:type="spellStart"/>
            <w:r w:rsidRPr="00DF4CE5">
              <w:rPr>
                <w:rFonts w:ascii="Cambria" w:hAnsi="Cambria"/>
              </w:rPr>
              <w:t>Sadržaj</w:t>
            </w:r>
            <w:proofErr w:type="spellEnd"/>
            <w:r w:rsidRPr="00DF4CE5">
              <w:rPr>
                <w:rFonts w:ascii="Cambria" w:hAnsi="Cambria"/>
              </w:rPr>
              <w:t xml:space="preserve"> </w:t>
            </w:r>
            <w:proofErr w:type="spellStart"/>
            <w:r w:rsidRPr="00DF4CE5">
              <w:rPr>
                <w:rFonts w:ascii="Cambria" w:hAnsi="Cambria"/>
              </w:rPr>
              <w:t>kolegija</w:t>
            </w:r>
            <w:proofErr w:type="spellEnd"/>
          </w:p>
        </w:tc>
        <w:tc>
          <w:tcPr>
            <w:tcW w:w="7206"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08" w:type="dxa"/>
              <w:bottom w:w="0" w:type="dxa"/>
              <w:right w:w="108" w:type="dxa"/>
            </w:tcMar>
            <w:vAlign w:val="center"/>
          </w:tcPr>
          <w:p w14:paraId="0F75DE0F" w14:textId="77777777" w:rsidR="001C42AA" w:rsidRPr="00DF4CE5" w:rsidRDefault="001C42AA" w:rsidP="00A034E3">
            <w:pPr>
              <w:numPr>
                <w:ilvl w:val="0"/>
                <w:numId w:val="57"/>
              </w:numPr>
              <w:tabs>
                <w:tab w:val="clear" w:pos="720"/>
                <w:tab w:val="num" w:pos="287"/>
                <w:tab w:val="num" w:pos="467"/>
              </w:tabs>
              <w:spacing w:after="0" w:line="240" w:lineRule="atLeast"/>
              <w:ind w:left="287" w:hanging="253"/>
              <w:jc w:val="both"/>
              <w:rPr>
                <w:rFonts w:ascii="Cambria" w:hAnsi="Cambria"/>
              </w:rPr>
            </w:pPr>
            <w:proofErr w:type="spellStart"/>
            <w:r w:rsidRPr="00DF4CE5">
              <w:rPr>
                <w:rFonts w:ascii="Cambria" w:hAnsi="Cambria"/>
              </w:rPr>
              <w:t>razvoj</w:t>
            </w:r>
            <w:proofErr w:type="spellEnd"/>
            <w:r w:rsidRPr="00DF4CE5">
              <w:rPr>
                <w:rFonts w:ascii="Cambria" w:hAnsi="Cambria"/>
              </w:rPr>
              <w:t xml:space="preserve">, </w:t>
            </w:r>
            <w:proofErr w:type="spellStart"/>
            <w:r w:rsidRPr="00DF4CE5">
              <w:rPr>
                <w:rFonts w:ascii="Cambria" w:hAnsi="Cambria"/>
              </w:rPr>
              <w:t>grane</w:t>
            </w:r>
            <w:proofErr w:type="spellEnd"/>
            <w:r w:rsidRPr="00DF4CE5">
              <w:rPr>
                <w:rFonts w:ascii="Cambria" w:hAnsi="Cambria"/>
              </w:rPr>
              <w:t xml:space="preserve"> </w:t>
            </w:r>
            <w:proofErr w:type="spellStart"/>
            <w:r w:rsidRPr="00DF4CE5">
              <w:rPr>
                <w:rFonts w:ascii="Cambria" w:hAnsi="Cambria"/>
              </w:rPr>
              <w:t>i</w:t>
            </w:r>
            <w:proofErr w:type="spellEnd"/>
            <w:r w:rsidRPr="00DF4CE5">
              <w:rPr>
                <w:rFonts w:ascii="Cambria" w:hAnsi="Cambria"/>
              </w:rPr>
              <w:t xml:space="preserve"> </w:t>
            </w:r>
            <w:proofErr w:type="spellStart"/>
            <w:r w:rsidRPr="00DF4CE5">
              <w:rPr>
                <w:rFonts w:ascii="Cambria" w:hAnsi="Cambria"/>
              </w:rPr>
              <w:t>pravci</w:t>
            </w:r>
            <w:proofErr w:type="spellEnd"/>
            <w:r w:rsidRPr="00DF4CE5">
              <w:rPr>
                <w:rFonts w:ascii="Cambria" w:hAnsi="Cambria"/>
              </w:rPr>
              <w:t xml:space="preserve"> </w:t>
            </w:r>
            <w:proofErr w:type="spellStart"/>
            <w:r w:rsidRPr="00DF4CE5">
              <w:rPr>
                <w:rFonts w:ascii="Cambria" w:hAnsi="Cambria"/>
              </w:rPr>
              <w:t>psihologije</w:t>
            </w:r>
            <w:proofErr w:type="spellEnd"/>
            <w:r w:rsidRPr="00DF4CE5">
              <w:rPr>
                <w:rFonts w:ascii="Cambria" w:hAnsi="Cambria"/>
              </w:rPr>
              <w:t xml:space="preserve"> </w:t>
            </w:r>
          </w:p>
          <w:p w14:paraId="37D4927B" w14:textId="77777777" w:rsidR="001C42AA" w:rsidRPr="00DF4CE5" w:rsidRDefault="001C42AA" w:rsidP="00A034E3">
            <w:pPr>
              <w:numPr>
                <w:ilvl w:val="0"/>
                <w:numId w:val="57"/>
              </w:numPr>
              <w:tabs>
                <w:tab w:val="clear" w:pos="720"/>
                <w:tab w:val="num" w:pos="287"/>
                <w:tab w:val="num" w:pos="467"/>
              </w:tabs>
              <w:spacing w:after="0" w:line="240" w:lineRule="atLeast"/>
              <w:ind w:left="287" w:hanging="253"/>
              <w:jc w:val="both"/>
              <w:rPr>
                <w:rFonts w:ascii="Cambria" w:hAnsi="Cambria"/>
              </w:rPr>
            </w:pPr>
            <w:proofErr w:type="spellStart"/>
            <w:r w:rsidRPr="00DF4CE5">
              <w:rPr>
                <w:rFonts w:ascii="Cambria" w:hAnsi="Cambria"/>
              </w:rPr>
              <w:t>metode</w:t>
            </w:r>
            <w:proofErr w:type="spellEnd"/>
            <w:r w:rsidRPr="00DF4CE5">
              <w:rPr>
                <w:rFonts w:ascii="Cambria" w:hAnsi="Cambria"/>
              </w:rPr>
              <w:t xml:space="preserve"> </w:t>
            </w:r>
            <w:proofErr w:type="spellStart"/>
            <w:r w:rsidRPr="00DF4CE5">
              <w:rPr>
                <w:rFonts w:ascii="Cambria" w:hAnsi="Cambria"/>
              </w:rPr>
              <w:t>istraživanja</w:t>
            </w:r>
            <w:proofErr w:type="spellEnd"/>
          </w:p>
          <w:p w14:paraId="710458E4" w14:textId="77777777" w:rsidR="001C42AA" w:rsidRPr="00DF4CE5" w:rsidRDefault="001C42AA" w:rsidP="00A034E3">
            <w:pPr>
              <w:numPr>
                <w:ilvl w:val="0"/>
                <w:numId w:val="57"/>
              </w:numPr>
              <w:tabs>
                <w:tab w:val="clear" w:pos="720"/>
                <w:tab w:val="num" w:pos="287"/>
                <w:tab w:val="num" w:pos="467"/>
              </w:tabs>
              <w:spacing w:after="0" w:line="240" w:lineRule="atLeast"/>
              <w:ind w:left="287" w:hanging="253"/>
              <w:jc w:val="both"/>
              <w:rPr>
                <w:rFonts w:ascii="Cambria" w:hAnsi="Cambria"/>
              </w:rPr>
            </w:pPr>
            <w:proofErr w:type="spellStart"/>
            <w:r w:rsidRPr="00DF4CE5">
              <w:rPr>
                <w:rFonts w:ascii="Cambria" w:hAnsi="Cambria"/>
              </w:rPr>
              <w:t>kognitivni</w:t>
            </w:r>
            <w:proofErr w:type="spellEnd"/>
            <w:r w:rsidRPr="00DF4CE5">
              <w:rPr>
                <w:rFonts w:ascii="Cambria" w:hAnsi="Cambria"/>
              </w:rPr>
              <w:t xml:space="preserve"> </w:t>
            </w:r>
            <w:proofErr w:type="spellStart"/>
            <w:r w:rsidRPr="00DF4CE5">
              <w:rPr>
                <w:rFonts w:ascii="Cambria" w:hAnsi="Cambria"/>
              </w:rPr>
              <w:t>procesi</w:t>
            </w:r>
            <w:proofErr w:type="spellEnd"/>
          </w:p>
          <w:p w14:paraId="4ED3055C" w14:textId="77777777" w:rsidR="001C42AA" w:rsidRPr="00DF4CE5" w:rsidRDefault="001C42AA" w:rsidP="00A034E3">
            <w:pPr>
              <w:numPr>
                <w:ilvl w:val="0"/>
                <w:numId w:val="57"/>
              </w:numPr>
              <w:tabs>
                <w:tab w:val="clear" w:pos="720"/>
                <w:tab w:val="num" w:pos="287"/>
                <w:tab w:val="num" w:pos="467"/>
              </w:tabs>
              <w:spacing w:after="0" w:line="240" w:lineRule="atLeast"/>
              <w:ind w:left="287" w:hanging="253"/>
              <w:jc w:val="both"/>
              <w:rPr>
                <w:rFonts w:ascii="Cambria" w:hAnsi="Cambria"/>
              </w:rPr>
            </w:pPr>
            <w:proofErr w:type="spellStart"/>
            <w:r w:rsidRPr="00DF4CE5">
              <w:rPr>
                <w:rFonts w:ascii="Cambria" w:hAnsi="Cambria"/>
              </w:rPr>
              <w:t>afektivno</w:t>
            </w:r>
            <w:proofErr w:type="spellEnd"/>
            <w:r w:rsidRPr="00DF4CE5">
              <w:rPr>
                <w:rFonts w:ascii="Cambria" w:hAnsi="Cambria"/>
              </w:rPr>
              <w:t xml:space="preserve"> – </w:t>
            </w:r>
            <w:proofErr w:type="spellStart"/>
            <w:r w:rsidRPr="00DF4CE5">
              <w:rPr>
                <w:rFonts w:ascii="Cambria" w:hAnsi="Cambria"/>
              </w:rPr>
              <w:t>motivacijski</w:t>
            </w:r>
            <w:proofErr w:type="spellEnd"/>
            <w:r w:rsidRPr="00DF4CE5">
              <w:rPr>
                <w:rFonts w:ascii="Cambria" w:hAnsi="Cambria"/>
              </w:rPr>
              <w:t xml:space="preserve"> </w:t>
            </w:r>
            <w:proofErr w:type="spellStart"/>
            <w:r w:rsidRPr="00DF4CE5">
              <w:rPr>
                <w:rFonts w:ascii="Cambria" w:hAnsi="Cambria"/>
              </w:rPr>
              <w:t>procesi</w:t>
            </w:r>
            <w:proofErr w:type="spellEnd"/>
          </w:p>
          <w:p w14:paraId="10816EDF" w14:textId="77777777" w:rsidR="001C42AA" w:rsidRPr="00DF4CE5" w:rsidRDefault="001C42AA" w:rsidP="00A034E3">
            <w:pPr>
              <w:numPr>
                <w:ilvl w:val="0"/>
                <w:numId w:val="57"/>
              </w:numPr>
              <w:tabs>
                <w:tab w:val="clear" w:pos="720"/>
                <w:tab w:val="num" w:pos="287"/>
                <w:tab w:val="num" w:pos="467"/>
              </w:tabs>
              <w:spacing w:after="0" w:line="240" w:lineRule="atLeast"/>
              <w:ind w:left="287" w:hanging="253"/>
              <w:jc w:val="both"/>
              <w:rPr>
                <w:rFonts w:ascii="Cambria" w:hAnsi="Cambria"/>
              </w:rPr>
            </w:pPr>
            <w:proofErr w:type="spellStart"/>
            <w:r w:rsidRPr="00DF4CE5">
              <w:rPr>
                <w:rFonts w:ascii="Cambria" w:hAnsi="Cambria"/>
              </w:rPr>
              <w:t>stres</w:t>
            </w:r>
            <w:proofErr w:type="spellEnd"/>
          </w:p>
          <w:p w14:paraId="50870953" w14:textId="77777777" w:rsidR="001C42AA" w:rsidRPr="00DF4CE5" w:rsidRDefault="001C42AA" w:rsidP="00A034E3">
            <w:pPr>
              <w:numPr>
                <w:ilvl w:val="0"/>
                <w:numId w:val="57"/>
              </w:numPr>
              <w:tabs>
                <w:tab w:val="clear" w:pos="720"/>
                <w:tab w:val="num" w:pos="287"/>
                <w:tab w:val="num" w:pos="467"/>
              </w:tabs>
              <w:spacing w:after="0" w:line="240" w:lineRule="atLeast"/>
              <w:ind w:left="287" w:hanging="253"/>
              <w:rPr>
                <w:rFonts w:ascii="Cambria" w:hAnsi="Cambria"/>
              </w:rPr>
            </w:pPr>
            <w:proofErr w:type="spellStart"/>
            <w:r w:rsidRPr="00DF4CE5">
              <w:rPr>
                <w:rFonts w:ascii="Cambria" w:hAnsi="Cambria"/>
              </w:rPr>
              <w:t>ličnost</w:t>
            </w:r>
            <w:proofErr w:type="spellEnd"/>
          </w:p>
        </w:tc>
      </w:tr>
      <w:tr w:rsidR="001C42AA" w:rsidRPr="00DF4CE5" w14:paraId="696E8ADF" w14:textId="77777777" w:rsidTr="00B31C4B">
        <w:tc>
          <w:tcPr>
            <w:tcW w:w="2814" w:type="dxa"/>
            <w:vMerge w:val="restart"/>
            <w:tcBorders>
              <w:top w:val="single" w:sz="8" w:space="0" w:color="000000" w:themeColor="text1"/>
              <w:left w:val="single" w:sz="4" w:space="0" w:color="auto"/>
              <w:right w:val="single" w:sz="8" w:space="0" w:color="000000" w:themeColor="text1"/>
            </w:tcBorders>
            <w:shd w:val="clear" w:color="auto" w:fill="F3F3F3"/>
            <w:tcMar>
              <w:top w:w="15" w:type="dxa"/>
              <w:left w:w="108" w:type="dxa"/>
              <w:bottom w:w="0" w:type="dxa"/>
              <w:right w:w="108" w:type="dxa"/>
            </w:tcMar>
            <w:vAlign w:val="center"/>
          </w:tcPr>
          <w:p w14:paraId="554B4A4F" w14:textId="77777777" w:rsidR="001C42AA" w:rsidRPr="00DF4CE5" w:rsidRDefault="001C42AA" w:rsidP="001C42AA">
            <w:pPr>
              <w:spacing w:after="0" w:line="240" w:lineRule="atLeast"/>
              <w:rPr>
                <w:rFonts w:ascii="Cambria" w:hAnsi="Cambria"/>
              </w:rPr>
            </w:pPr>
            <w:proofErr w:type="spellStart"/>
            <w:r w:rsidRPr="00DF4CE5">
              <w:rPr>
                <w:rFonts w:ascii="Cambria" w:hAnsi="Cambria"/>
              </w:rPr>
              <w:t>Planirane</w:t>
            </w:r>
            <w:proofErr w:type="spellEnd"/>
            <w:r w:rsidRPr="00DF4CE5">
              <w:rPr>
                <w:rFonts w:ascii="Cambria" w:hAnsi="Cambria"/>
              </w:rPr>
              <w:t xml:space="preserve"> </w:t>
            </w:r>
            <w:proofErr w:type="spellStart"/>
            <w:r w:rsidRPr="00DF4CE5">
              <w:rPr>
                <w:rFonts w:ascii="Cambria" w:hAnsi="Cambria"/>
              </w:rPr>
              <w:t>aktivnosti</w:t>
            </w:r>
            <w:proofErr w:type="spellEnd"/>
            <w:r w:rsidRPr="00DF4CE5">
              <w:rPr>
                <w:rFonts w:ascii="Cambria" w:hAnsi="Cambria"/>
              </w:rPr>
              <w:t>,</w:t>
            </w:r>
          </w:p>
          <w:p w14:paraId="446E9BD4" w14:textId="77777777" w:rsidR="001C42AA" w:rsidRPr="00DF4CE5" w:rsidRDefault="001C42AA" w:rsidP="001C42AA">
            <w:pPr>
              <w:spacing w:after="0" w:line="240" w:lineRule="atLeast"/>
              <w:rPr>
                <w:rFonts w:ascii="Cambria" w:hAnsi="Cambria"/>
                <w:lang w:val="it-IT"/>
              </w:rPr>
            </w:pPr>
            <w:proofErr w:type="spellStart"/>
            <w:r w:rsidRPr="00DF4CE5">
              <w:rPr>
                <w:rFonts w:ascii="Cambria" w:hAnsi="Cambria"/>
                <w:lang w:val="it-IT"/>
              </w:rPr>
              <w:t>metode</w:t>
            </w:r>
            <w:proofErr w:type="spellEnd"/>
            <w:r w:rsidRPr="00DF4CE5">
              <w:rPr>
                <w:rFonts w:ascii="Cambria" w:hAnsi="Cambria"/>
                <w:lang w:val="it-IT"/>
              </w:rPr>
              <w:t xml:space="preserve"> </w:t>
            </w:r>
            <w:proofErr w:type="spellStart"/>
            <w:r w:rsidRPr="00DF4CE5">
              <w:rPr>
                <w:rFonts w:ascii="Cambria" w:hAnsi="Cambria"/>
                <w:lang w:val="it-IT"/>
              </w:rPr>
              <w:t>učenja</w:t>
            </w:r>
            <w:proofErr w:type="spellEnd"/>
            <w:r w:rsidRPr="00DF4CE5">
              <w:rPr>
                <w:rFonts w:ascii="Cambria" w:hAnsi="Cambria"/>
                <w:lang w:val="it-IT"/>
              </w:rPr>
              <w:t xml:space="preserve"> i </w:t>
            </w:r>
            <w:proofErr w:type="spellStart"/>
            <w:r w:rsidRPr="00DF4CE5">
              <w:rPr>
                <w:rFonts w:ascii="Cambria" w:hAnsi="Cambria"/>
                <w:lang w:val="it-IT"/>
              </w:rPr>
              <w:t>poučavanja</w:t>
            </w:r>
            <w:proofErr w:type="spellEnd"/>
            <w:r w:rsidRPr="00DF4CE5">
              <w:rPr>
                <w:rFonts w:ascii="Cambria" w:hAnsi="Cambria"/>
                <w:lang w:val="it-IT"/>
              </w:rPr>
              <w:t xml:space="preserve"> i </w:t>
            </w:r>
            <w:proofErr w:type="spellStart"/>
            <w:r w:rsidRPr="00DF4CE5">
              <w:rPr>
                <w:rFonts w:ascii="Cambria" w:hAnsi="Cambria"/>
                <w:lang w:val="it-IT"/>
              </w:rPr>
              <w:t>načini</w:t>
            </w:r>
            <w:proofErr w:type="spellEnd"/>
            <w:r w:rsidRPr="00DF4CE5">
              <w:rPr>
                <w:rFonts w:ascii="Cambria" w:hAnsi="Cambria"/>
                <w:lang w:val="it-IT"/>
              </w:rPr>
              <w:t xml:space="preserve"> </w:t>
            </w:r>
            <w:proofErr w:type="spellStart"/>
            <w:r w:rsidRPr="00DF4CE5">
              <w:rPr>
                <w:rFonts w:ascii="Cambria" w:hAnsi="Cambria"/>
                <w:lang w:val="it-IT"/>
              </w:rPr>
              <w:t>vrednovanja</w:t>
            </w:r>
            <w:proofErr w:type="spellEnd"/>
          </w:p>
        </w:tc>
        <w:tc>
          <w:tcPr>
            <w:tcW w:w="277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08" w:type="dxa"/>
              <w:bottom w:w="0" w:type="dxa"/>
              <w:right w:w="108" w:type="dxa"/>
            </w:tcMar>
            <w:vAlign w:val="center"/>
          </w:tcPr>
          <w:p w14:paraId="625CF9C4" w14:textId="77777777" w:rsidR="001C42AA" w:rsidRPr="00DF4CE5" w:rsidRDefault="001C42AA" w:rsidP="001C42AA">
            <w:pPr>
              <w:spacing w:after="0" w:line="240" w:lineRule="atLeast"/>
              <w:rPr>
                <w:rFonts w:ascii="Cambria" w:hAnsi="Cambria"/>
              </w:rPr>
            </w:pPr>
            <w:proofErr w:type="spellStart"/>
            <w:r w:rsidRPr="00DF4CE5">
              <w:rPr>
                <w:rFonts w:ascii="Cambria" w:hAnsi="Cambria"/>
                <w:b/>
                <w:bCs/>
              </w:rPr>
              <w:t>Obveze</w:t>
            </w:r>
            <w:proofErr w:type="spellEnd"/>
          </w:p>
        </w:tc>
        <w:tc>
          <w:tcPr>
            <w:tcW w:w="11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08" w:type="dxa"/>
              <w:bottom w:w="0" w:type="dxa"/>
              <w:right w:w="108" w:type="dxa"/>
            </w:tcMar>
            <w:vAlign w:val="center"/>
          </w:tcPr>
          <w:p w14:paraId="23E6C7AB" w14:textId="77777777" w:rsidR="001C42AA" w:rsidRPr="00DF4CE5" w:rsidRDefault="001C42AA" w:rsidP="001C42AA">
            <w:pPr>
              <w:spacing w:after="0" w:line="240" w:lineRule="atLeast"/>
              <w:rPr>
                <w:rFonts w:ascii="Cambria" w:hAnsi="Cambria"/>
              </w:rPr>
            </w:pPr>
            <w:proofErr w:type="spellStart"/>
            <w:r w:rsidRPr="00DF4CE5">
              <w:rPr>
                <w:rFonts w:ascii="Cambria" w:hAnsi="Cambria"/>
                <w:b/>
                <w:bCs/>
              </w:rPr>
              <w:t>Ishodi</w:t>
            </w:r>
            <w:proofErr w:type="spellEnd"/>
          </w:p>
        </w:tc>
        <w:tc>
          <w:tcPr>
            <w:tcW w:w="76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08" w:type="dxa"/>
              <w:bottom w:w="0" w:type="dxa"/>
              <w:right w:w="108" w:type="dxa"/>
            </w:tcMar>
            <w:vAlign w:val="center"/>
          </w:tcPr>
          <w:p w14:paraId="6786C170" w14:textId="77777777" w:rsidR="001C42AA" w:rsidRPr="00DF4CE5" w:rsidRDefault="001C42AA" w:rsidP="001C42AA">
            <w:pPr>
              <w:spacing w:after="0" w:line="240" w:lineRule="atLeast"/>
              <w:rPr>
                <w:rFonts w:ascii="Cambria" w:hAnsi="Cambria"/>
              </w:rPr>
            </w:pPr>
            <w:r w:rsidRPr="00DF4CE5">
              <w:rPr>
                <w:rFonts w:ascii="Cambria" w:hAnsi="Cambria"/>
                <w:b/>
                <w:bCs/>
              </w:rPr>
              <w:t>Sati</w:t>
            </w:r>
          </w:p>
        </w:tc>
        <w:tc>
          <w:tcPr>
            <w:tcW w:w="10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08" w:type="dxa"/>
              <w:bottom w:w="0" w:type="dxa"/>
              <w:right w:w="108" w:type="dxa"/>
            </w:tcMar>
            <w:vAlign w:val="center"/>
          </w:tcPr>
          <w:p w14:paraId="37B7C91E" w14:textId="77777777" w:rsidR="001C42AA" w:rsidRPr="00DF4CE5" w:rsidRDefault="001C42AA" w:rsidP="001C42AA">
            <w:pPr>
              <w:spacing w:after="0" w:line="240" w:lineRule="atLeast"/>
              <w:rPr>
                <w:rFonts w:ascii="Cambria" w:hAnsi="Cambria"/>
              </w:rPr>
            </w:pPr>
            <w:r w:rsidRPr="00DF4CE5">
              <w:rPr>
                <w:rFonts w:ascii="Cambria" w:hAnsi="Cambria"/>
                <w:b/>
                <w:bCs/>
              </w:rPr>
              <w:t>ECTS</w:t>
            </w:r>
          </w:p>
        </w:tc>
        <w:tc>
          <w:tcPr>
            <w:tcW w:w="141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08" w:type="dxa"/>
              <w:bottom w:w="0" w:type="dxa"/>
              <w:right w:w="108" w:type="dxa"/>
            </w:tcMar>
            <w:vAlign w:val="center"/>
          </w:tcPr>
          <w:p w14:paraId="20AB5F2A" w14:textId="77777777" w:rsidR="001C42AA" w:rsidRPr="00DF4CE5" w:rsidRDefault="001C42AA" w:rsidP="001C42AA">
            <w:pPr>
              <w:spacing w:after="0" w:line="240" w:lineRule="atLeast"/>
              <w:rPr>
                <w:rFonts w:ascii="Cambria" w:hAnsi="Cambria"/>
              </w:rPr>
            </w:pPr>
            <w:proofErr w:type="spellStart"/>
            <w:r w:rsidRPr="00DF4CE5">
              <w:rPr>
                <w:rFonts w:ascii="Cambria" w:hAnsi="Cambria"/>
                <w:b/>
                <w:bCs/>
              </w:rPr>
              <w:t>Maksimalni</w:t>
            </w:r>
            <w:proofErr w:type="spellEnd"/>
            <w:r w:rsidRPr="00DF4CE5">
              <w:rPr>
                <w:rFonts w:ascii="Cambria" w:hAnsi="Cambria"/>
                <w:b/>
                <w:bCs/>
              </w:rPr>
              <w:t xml:space="preserve"> </w:t>
            </w:r>
            <w:proofErr w:type="spellStart"/>
            <w:r w:rsidRPr="00DF4CE5">
              <w:rPr>
                <w:rFonts w:ascii="Cambria" w:hAnsi="Cambria"/>
                <w:b/>
                <w:bCs/>
              </w:rPr>
              <w:t>udio</w:t>
            </w:r>
            <w:proofErr w:type="spellEnd"/>
            <w:r w:rsidRPr="00DF4CE5">
              <w:rPr>
                <w:rFonts w:ascii="Cambria" w:hAnsi="Cambria"/>
                <w:b/>
                <w:bCs/>
              </w:rPr>
              <w:t xml:space="preserve"> u </w:t>
            </w:r>
            <w:proofErr w:type="spellStart"/>
            <w:r w:rsidRPr="00DF4CE5">
              <w:rPr>
                <w:rFonts w:ascii="Cambria" w:hAnsi="Cambria"/>
                <w:b/>
                <w:bCs/>
              </w:rPr>
              <w:t>ocjeni</w:t>
            </w:r>
            <w:proofErr w:type="spellEnd"/>
            <w:r w:rsidRPr="00DF4CE5">
              <w:rPr>
                <w:rFonts w:ascii="Cambria" w:hAnsi="Cambria"/>
                <w:b/>
                <w:bCs/>
              </w:rPr>
              <w:t xml:space="preserve"> (%)</w:t>
            </w:r>
          </w:p>
        </w:tc>
      </w:tr>
      <w:tr w:rsidR="001C42AA" w:rsidRPr="00DF4CE5" w14:paraId="59823E72" w14:textId="77777777" w:rsidTr="00B31C4B">
        <w:tc>
          <w:tcPr>
            <w:tcW w:w="2814" w:type="dxa"/>
            <w:vMerge/>
            <w:tcBorders>
              <w:left w:val="single" w:sz="4" w:space="0" w:color="auto"/>
            </w:tcBorders>
            <w:vAlign w:val="center"/>
          </w:tcPr>
          <w:p w14:paraId="50D28B31" w14:textId="77777777" w:rsidR="001C42AA" w:rsidRPr="00DF4CE5" w:rsidRDefault="001C42AA" w:rsidP="001C42AA">
            <w:pPr>
              <w:spacing w:after="0" w:line="240" w:lineRule="atLeast"/>
              <w:rPr>
                <w:rFonts w:ascii="Cambria" w:hAnsi="Cambria"/>
              </w:rPr>
            </w:pPr>
          </w:p>
        </w:tc>
        <w:tc>
          <w:tcPr>
            <w:tcW w:w="277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08" w:type="dxa"/>
              <w:bottom w:w="0" w:type="dxa"/>
              <w:right w:w="108" w:type="dxa"/>
            </w:tcMar>
          </w:tcPr>
          <w:p w14:paraId="3832AC25" w14:textId="24848800" w:rsidR="001C42AA" w:rsidRPr="00DF4CE5" w:rsidRDefault="001C7FEE" w:rsidP="001C42AA">
            <w:pPr>
              <w:spacing w:after="0" w:line="240" w:lineRule="atLeast"/>
              <w:rPr>
                <w:rFonts w:ascii="Cambria" w:hAnsi="Cambria"/>
                <w:lang w:val="it-IT"/>
              </w:rPr>
            </w:pPr>
            <w:r w:rsidRPr="00DF4CE5">
              <w:rPr>
                <w:rFonts w:ascii="Cambria" w:hAnsi="Cambria"/>
                <w:lang w:val="pl-PL"/>
              </w:rPr>
              <w:t>aktivnost na nastavi</w:t>
            </w:r>
            <w:r w:rsidR="001C42AA" w:rsidRPr="00DF4CE5">
              <w:rPr>
                <w:rFonts w:ascii="Cambria" w:hAnsi="Cambria"/>
                <w:lang w:val="it-IT"/>
              </w:rPr>
              <w:t xml:space="preserve"> P</w:t>
            </w:r>
            <w:r w:rsidR="0031116F" w:rsidRPr="00DF4CE5">
              <w:rPr>
                <w:rFonts w:ascii="Cambria" w:hAnsi="Cambria"/>
                <w:lang w:val="it-IT"/>
              </w:rPr>
              <w:t>,</w:t>
            </w:r>
            <w:r w:rsidR="001C42AA" w:rsidRPr="00DF4CE5">
              <w:rPr>
                <w:rFonts w:ascii="Cambria" w:hAnsi="Cambria"/>
                <w:lang w:val="it-IT"/>
              </w:rPr>
              <w:t xml:space="preserve"> S</w:t>
            </w:r>
          </w:p>
        </w:tc>
        <w:tc>
          <w:tcPr>
            <w:tcW w:w="11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08" w:type="dxa"/>
              <w:bottom w:w="0" w:type="dxa"/>
              <w:right w:w="108" w:type="dxa"/>
            </w:tcMar>
            <w:vAlign w:val="center"/>
          </w:tcPr>
          <w:p w14:paraId="0B02DD03" w14:textId="77777777" w:rsidR="001C42AA" w:rsidRPr="00DF4CE5" w:rsidRDefault="001C42AA" w:rsidP="001C42AA">
            <w:pPr>
              <w:spacing w:after="0" w:line="240" w:lineRule="atLeast"/>
              <w:jc w:val="center"/>
              <w:rPr>
                <w:rFonts w:ascii="Cambria" w:hAnsi="Cambria"/>
              </w:rPr>
            </w:pPr>
            <w:r w:rsidRPr="00DF4CE5">
              <w:rPr>
                <w:rFonts w:ascii="Cambria" w:hAnsi="Cambria"/>
              </w:rPr>
              <w:t>1. – 3.</w:t>
            </w:r>
          </w:p>
        </w:tc>
        <w:tc>
          <w:tcPr>
            <w:tcW w:w="76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08" w:type="dxa"/>
              <w:bottom w:w="0" w:type="dxa"/>
              <w:right w:w="108" w:type="dxa"/>
            </w:tcMar>
            <w:vAlign w:val="center"/>
          </w:tcPr>
          <w:p w14:paraId="07E58034" w14:textId="77777777" w:rsidR="001C42AA" w:rsidRPr="00DF4CE5" w:rsidRDefault="001C42AA" w:rsidP="001C42AA">
            <w:pPr>
              <w:spacing w:after="0" w:line="240" w:lineRule="atLeast"/>
              <w:jc w:val="center"/>
              <w:rPr>
                <w:rFonts w:ascii="Cambria" w:hAnsi="Cambria"/>
              </w:rPr>
            </w:pPr>
            <w:r w:rsidRPr="00DF4CE5">
              <w:rPr>
                <w:rFonts w:ascii="Cambria" w:hAnsi="Cambria"/>
              </w:rPr>
              <w:t>45</w:t>
            </w:r>
          </w:p>
        </w:tc>
        <w:tc>
          <w:tcPr>
            <w:tcW w:w="10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08" w:type="dxa"/>
              <w:bottom w:w="0" w:type="dxa"/>
              <w:right w:w="108" w:type="dxa"/>
            </w:tcMar>
            <w:vAlign w:val="center"/>
          </w:tcPr>
          <w:p w14:paraId="0A7402A4" w14:textId="77777777" w:rsidR="001C42AA" w:rsidRPr="00DF4CE5" w:rsidRDefault="001C42AA" w:rsidP="001C42AA">
            <w:pPr>
              <w:spacing w:after="0" w:line="240" w:lineRule="atLeast"/>
              <w:jc w:val="center"/>
              <w:rPr>
                <w:rFonts w:ascii="Cambria" w:hAnsi="Cambria"/>
              </w:rPr>
            </w:pPr>
            <w:r w:rsidRPr="00DF4CE5">
              <w:rPr>
                <w:rFonts w:ascii="Cambria" w:hAnsi="Cambria"/>
              </w:rPr>
              <w:t>1,5</w:t>
            </w:r>
          </w:p>
        </w:tc>
        <w:tc>
          <w:tcPr>
            <w:tcW w:w="141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08" w:type="dxa"/>
              <w:bottom w:w="0" w:type="dxa"/>
              <w:right w:w="108" w:type="dxa"/>
            </w:tcMar>
            <w:vAlign w:val="center"/>
          </w:tcPr>
          <w:p w14:paraId="1F960673" w14:textId="1FD5F6B5" w:rsidR="001C42AA" w:rsidRPr="00DF4CE5" w:rsidRDefault="001C42AA" w:rsidP="001C42AA">
            <w:pPr>
              <w:spacing w:after="0" w:line="240" w:lineRule="atLeast"/>
              <w:jc w:val="center"/>
              <w:rPr>
                <w:rFonts w:ascii="Cambria" w:hAnsi="Cambria"/>
              </w:rPr>
            </w:pPr>
            <w:r w:rsidRPr="00DF4CE5">
              <w:rPr>
                <w:rFonts w:ascii="Cambria" w:hAnsi="Cambria"/>
              </w:rPr>
              <w:t>0%</w:t>
            </w:r>
          </w:p>
        </w:tc>
      </w:tr>
      <w:tr w:rsidR="001C42AA" w:rsidRPr="00DF4CE5" w14:paraId="4643DFAC" w14:textId="77777777" w:rsidTr="00B31C4B">
        <w:tc>
          <w:tcPr>
            <w:tcW w:w="2814" w:type="dxa"/>
            <w:vMerge/>
            <w:tcBorders>
              <w:left w:val="single" w:sz="4" w:space="0" w:color="auto"/>
            </w:tcBorders>
            <w:vAlign w:val="center"/>
          </w:tcPr>
          <w:p w14:paraId="74A27EFE" w14:textId="77777777" w:rsidR="001C42AA" w:rsidRPr="00DF4CE5" w:rsidRDefault="001C42AA" w:rsidP="001C42AA">
            <w:pPr>
              <w:spacing w:after="0" w:line="240" w:lineRule="atLeast"/>
              <w:rPr>
                <w:rFonts w:ascii="Cambria" w:hAnsi="Cambria"/>
              </w:rPr>
            </w:pPr>
          </w:p>
        </w:tc>
        <w:tc>
          <w:tcPr>
            <w:tcW w:w="277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08" w:type="dxa"/>
              <w:bottom w:w="0" w:type="dxa"/>
              <w:right w:w="108" w:type="dxa"/>
            </w:tcMar>
          </w:tcPr>
          <w:p w14:paraId="18EEBF7A" w14:textId="77777777" w:rsidR="001C42AA" w:rsidRPr="00DF4CE5" w:rsidRDefault="001C42AA" w:rsidP="001C42AA">
            <w:pPr>
              <w:spacing w:after="0" w:line="240" w:lineRule="atLeast"/>
              <w:rPr>
                <w:rFonts w:ascii="Cambria" w:hAnsi="Cambria"/>
              </w:rPr>
            </w:pPr>
            <w:proofErr w:type="spellStart"/>
            <w:r w:rsidRPr="00DF4CE5">
              <w:rPr>
                <w:rFonts w:ascii="Cambria" w:hAnsi="Cambria"/>
              </w:rPr>
              <w:t>priprema</w:t>
            </w:r>
            <w:proofErr w:type="spellEnd"/>
            <w:r w:rsidRPr="00DF4CE5">
              <w:rPr>
                <w:rFonts w:ascii="Cambria" w:hAnsi="Cambria"/>
              </w:rPr>
              <w:t xml:space="preserve"> </w:t>
            </w:r>
            <w:proofErr w:type="spellStart"/>
            <w:r w:rsidRPr="00DF4CE5">
              <w:rPr>
                <w:rFonts w:ascii="Cambria" w:hAnsi="Cambria"/>
              </w:rPr>
              <w:t>seminara</w:t>
            </w:r>
            <w:proofErr w:type="spellEnd"/>
          </w:p>
        </w:tc>
        <w:tc>
          <w:tcPr>
            <w:tcW w:w="11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08" w:type="dxa"/>
              <w:bottom w:w="0" w:type="dxa"/>
              <w:right w:w="108" w:type="dxa"/>
            </w:tcMar>
            <w:vAlign w:val="center"/>
          </w:tcPr>
          <w:p w14:paraId="1A345FB3" w14:textId="77777777" w:rsidR="001C42AA" w:rsidRPr="00DF4CE5" w:rsidRDefault="001C42AA" w:rsidP="001C42AA">
            <w:pPr>
              <w:spacing w:after="0" w:line="240" w:lineRule="atLeast"/>
              <w:jc w:val="center"/>
              <w:rPr>
                <w:rFonts w:ascii="Cambria" w:hAnsi="Cambria"/>
              </w:rPr>
            </w:pPr>
            <w:r w:rsidRPr="00DF4CE5">
              <w:rPr>
                <w:rFonts w:ascii="Cambria" w:hAnsi="Cambria"/>
              </w:rPr>
              <w:t>1. – 3.</w:t>
            </w:r>
          </w:p>
        </w:tc>
        <w:tc>
          <w:tcPr>
            <w:tcW w:w="76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08" w:type="dxa"/>
              <w:bottom w:w="0" w:type="dxa"/>
              <w:right w:w="108" w:type="dxa"/>
            </w:tcMar>
            <w:vAlign w:val="center"/>
          </w:tcPr>
          <w:p w14:paraId="6648083A" w14:textId="77777777" w:rsidR="001C42AA" w:rsidRPr="00DF4CE5" w:rsidRDefault="001C42AA" w:rsidP="001C42AA">
            <w:pPr>
              <w:spacing w:after="0" w:line="240" w:lineRule="atLeast"/>
              <w:jc w:val="center"/>
              <w:rPr>
                <w:rFonts w:ascii="Cambria" w:hAnsi="Cambria"/>
              </w:rPr>
            </w:pPr>
            <w:r w:rsidRPr="00DF4CE5">
              <w:rPr>
                <w:rFonts w:ascii="Cambria" w:hAnsi="Cambria"/>
              </w:rPr>
              <w:t>30</w:t>
            </w:r>
          </w:p>
        </w:tc>
        <w:tc>
          <w:tcPr>
            <w:tcW w:w="10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08" w:type="dxa"/>
              <w:bottom w:w="0" w:type="dxa"/>
              <w:right w:w="108" w:type="dxa"/>
            </w:tcMar>
            <w:vAlign w:val="center"/>
          </w:tcPr>
          <w:p w14:paraId="74708DBB" w14:textId="77777777" w:rsidR="001C42AA" w:rsidRPr="00DF4CE5" w:rsidRDefault="001C42AA" w:rsidP="001C42AA">
            <w:pPr>
              <w:spacing w:after="0" w:line="240" w:lineRule="atLeast"/>
              <w:jc w:val="center"/>
              <w:rPr>
                <w:rFonts w:ascii="Cambria" w:hAnsi="Cambria"/>
              </w:rPr>
            </w:pPr>
            <w:r w:rsidRPr="00DF4CE5">
              <w:rPr>
                <w:rFonts w:ascii="Cambria" w:hAnsi="Cambria"/>
              </w:rPr>
              <w:t>1</w:t>
            </w:r>
          </w:p>
        </w:tc>
        <w:tc>
          <w:tcPr>
            <w:tcW w:w="141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08" w:type="dxa"/>
              <w:bottom w:w="0" w:type="dxa"/>
              <w:right w:w="108" w:type="dxa"/>
            </w:tcMar>
            <w:vAlign w:val="center"/>
          </w:tcPr>
          <w:p w14:paraId="1CFA3805" w14:textId="6E663918" w:rsidR="001C42AA" w:rsidRPr="00DF4CE5" w:rsidRDefault="001C42AA" w:rsidP="001C42AA">
            <w:pPr>
              <w:spacing w:after="0" w:line="240" w:lineRule="atLeast"/>
              <w:jc w:val="center"/>
              <w:rPr>
                <w:rFonts w:ascii="Cambria" w:hAnsi="Cambria"/>
              </w:rPr>
            </w:pPr>
            <w:r w:rsidRPr="00DF4CE5">
              <w:rPr>
                <w:rFonts w:ascii="Cambria" w:hAnsi="Cambria"/>
              </w:rPr>
              <w:t>0%</w:t>
            </w:r>
          </w:p>
        </w:tc>
      </w:tr>
      <w:tr w:rsidR="001C42AA" w:rsidRPr="00DF4CE5" w14:paraId="7263BAA4" w14:textId="77777777" w:rsidTr="00B31C4B">
        <w:tc>
          <w:tcPr>
            <w:tcW w:w="2814" w:type="dxa"/>
            <w:vMerge/>
            <w:tcBorders>
              <w:left w:val="single" w:sz="4" w:space="0" w:color="auto"/>
            </w:tcBorders>
            <w:vAlign w:val="center"/>
          </w:tcPr>
          <w:p w14:paraId="34E8AABE" w14:textId="77777777" w:rsidR="001C42AA" w:rsidRPr="00DF4CE5" w:rsidRDefault="001C42AA" w:rsidP="001C42AA">
            <w:pPr>
              <w:spacing w:after="0" w:line="240" w:lineRule="atLeast"/>
              <w:rPr>
                <w:rFonts w:ascii="Cambria" w:hAnsi="Cambria"/>
              </w:rPr>
            </w:pPr>
          </w:p>
        </w:tc>
        <w:tc>
          <w:tcPr>
            <w:tcW w:w="277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08" w:type="dxa"/>
              <w:bottom w:w="0" w:type="dxa"/>
              <w:right w:w="108" w:type="dxa"/>
            </w:tcMar>
          </w:tcPr>
          <w:p w14:paraId="5CEB0C05" w14:textId="77777777" w:rsidR="001C42AA" w:rsidRPr="00DF4CE5" w:rsidRDefault="001C42AA" w:rsidP="001C42AA">
            <w:pPr>
              <w:spacing w:after="0" w:line="240" w:lineRule="atLeast"/>
              <w:rPr>
                <w:rFonts w:ascii="Cambria" w:hAnsi="Cambria"/>
              </w:rPr>
            </w:pPr>
            <w:proofErr w:type="spellStart"/>
            <w:r w:rsidRPr="00DF4CE5">
              <w:rPr>
                <w:rFonts w:ascii="Cambria" w:hAnsi="Cambria"/>
              </w:rPr>
              <w:t>kolokviji</w:t>
            </w:r>
            <w:proofErr w:type="spellEnd"/>
          </w:p>
        </w:tc>
        <w:tc>
          <w:tcPr>
            <w:tcW w:w="11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08" w:type="dxa"/>
              <w:bottom w:w="0" w:type="dxa"/>
              <w:right w:w="108" w:type="dxa"/>
            </w:tcMar>
            <w:vAlign w:val="center"/>
          </w:tcPr>
          <w:p w14:paraId="40390338" w14:textId="77777777" w:rsidR="001C42AA" w:rsidRPr="00DF4CE5" w:rsidRDefault="001C42AA" w:rsidP="001C42AA">
            <w:pPr>
              <w:spacing w:after="0" w:line="240" w:lineRule="atLeast"/>
              <w:jc w:val="center"/>
              <w:rPr>
                <w:rFonts w:ascii="Cambria" w:hAnsi="Cambria"/>
              </w:rPr>
            </w:pPr>
            <w:r w:rsidRPr="00DF4CE5">
              <w:rPr>
                <w:rFonts w:ascii="Cambria" w:hAnsi="Cambria"/>
              </w:rPr>
              <w:t>1. – 3.</w:t>
            </w:r>
          </w:p>
        </w:tc>
        <w:tc>
          <w:tcPr>
            <w:tcW w:w="76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08" w:type="dxa"/>
              <w:bottom w:w="0" w:type="dxa"/>
              <w:right w:w="108" w:type="dxa"/>
            </w:tcMar>
            <w:vAlign w:val="center"/>
          </w:tcPr>
          <w:p w14:paraId="663D484B" w14:textId="77777777" w:rsidR="001C42AA" w:rsidRPr="00DF4CE5" w:rsidRDefault="001C42AA" w:rsidP="001C42AA">
            <w:pPr>
              <w:spacing w:after="0" w:line="240" w:lineRule="atLeast"/>
              <w:jc w:val="center"/>
              <w:rPr>
                <w:rFonts w:ascii="Cambria" w:hAnsi="Cambria"/>
              </w:rPr>
            </w:pPr>
            <w:r w:rsidRPr="00DF4CE5">
              <w:rPr>
                <w:rFonts w:ascii="Cambria" w:hAnsi="Cambria"/>
              </w:rPr>
              <w:t>30</w:t>
            </w:r>
          </w:p>
        </w:tc>
        <w:tc>
          <w:tcPr>
            <w:tcW w:w="10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08" w:type="dxa"/>
              <w:bottom w:w="0" w:type="dxa"/>
              <w:right w:w="108" w:type="dxa"/>
            </w:tcMar>
            <w:vAlign w:val="center"/>
          </w:tcPr>
          <w:p w14:paraId="580B53FD" w14:textId="77777777" w:rsidR="001C42AA" w:rsidRPr="00DF4CE5" w:rsidRDefault="001C42AA" w:rsidP="001C42AA">
            <w:pPr>
              <w:spacing w:after="0" w:line="240" w:lineRule="atLeast"/>
              <w:jc w:val="center"/>
              <w:rPr>
                <w:rFonts w:ascii="Cambria" w:hAnsi="Cambria"/>
              </w:rPr>
            </w:pPr>
            <w:r w:rsidRPr="00DF4CE5">
              <w:rPr>
                <w:rFonts w:ascii="Cambria" w:hAnsi="Cambria"/>
              </w:rPr>
              <w:t>1</w:t>
            </w:r>
          </w:p>
        </w:tc>
        <w:tc>
          <w:tcPr>
            <w:tcW w:w="141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08" w:type="dxa"/>
              <w:bottom w:w="0" w:type="dxa"/>
              <w:right w:w="108" w:type="dxa"/>
            </w:tcMar>
            <w:vAlign w:val="center"/>
          </w:tcPr>
          <w:p w14:paraId="45A1FC95" w14:textId="62A94886" w:rsidR="001C42AA" w:rsidRPr="00DF4CE5" w:rsidRDefault="001C42AA" w:rsidP="001C42AA">
            <w:pPr>
              <w:spacing w:after="0" w:line="240" w:lineRule="atLeast"/>
              <w:jc w:val="center"/>
              <w:rPr>
                <w:rFonts w:ascii="Cambria" w:hAnsi="Cambria"/>
              </w:rPr>
            </w:pPr>
            <w:r w:rsidRPr="00DF4CE5">
              <w:rPr>
                <w:rFonts w:ascii="Cambria" w:hAnsi="Cambria"/>
              </w:rPr>
              <w:t>70%</w:t>
            </w:r>
          </w:p>
        </w:tc>
      </w:tr>
      <w:tr w:rsidR="001C42AA" w:rsidRPr="00DF4CE5" w14:paraId="2ACDF18C" w14:textId="77777777" w:rsidTr="00B31C4B">
        <w:tc>
          <w:tcPr>
            <w:tcW w:w="2814" w:type="dxa"/>
            <w:vMerge/>
            <w:tcBorders>
              <w:left w:val="single" w:sz="4" w:space="0" w:color="auto"/>
            </w:tcBorders>
            <w:vAlign w:val="center"/>
          </w:tcPr>
          <w:p w14:paraId="76FC0F99" w14:textId="77777777" w:rsidR="001C42AA" w:rsidRPr="00DF4CE5" w:rsidRDefault="001C42AA" w:rsidP="001C42AA">
            <w:pPr>
              <w:spacing w:after="0" w:line="240" w:lineRule="atLeast"/>
              <w:rPr>
                <w:rFonts w:ascii="Cambria" w:hAnsi="Cambria"/>
              </w:rPr>
            </w:pPr>
          </w:p>
        </w:tc>
        <w:tc>
          <w:tcPr>
            <w:tcW w:w="277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08" w:type="dxa"/>
              <w:bottom w:w="0" w:type="dxa"/>
              <w:right w:w="108" w:type="dxa"/>
            </w:tcMar>
          </w:tcPr>
          <w:p w14:paraId="3EEF61AF" w14:textId="77777777" w:rsidR="001C42AA" w:rsidRPr="00DF4CE5" w:rsidRDefault="001C42AA" w:rsidP="001C42AA">
            <w:pPr>
              <w:spacing w:after="0" w:line="240" w:lineRule="atLeast"/>
              <w:rPr>
                <w:rFonts w:ascii="Cambria" w:hAnsi="Cambria"/>
              </w:rPr>
            </w:pPr>
            <w:proofErr w:type="spellStart"/>
            <w:r w:rsidRPr="00DF4CE5">
              <w:rPr>
                <w:rFonts w:ascii="Cambria" w:hAnsi="Cambria"/>
              </w:rPr>
              <w:t>pismeni</w:t>
            </w:r>
            <w:proofErr w:type="spellEnd"/>
            <w:r w:rsidRPr="00DF4CE5">
              <w:rPr>
                <w:rFonts w:ascii="Cambria" w:hAnsi="Cambria"/>
              </w:rPr>
              <w:t xml:space="preserve"> </w:t>
            </w:r>
            <w:proofErr w:type="spellStart"/>
            <w:r w:rsidRPr="00DF4CE5">
              <w:rPr>
                <w:rFonts w:ascii="Cambria" w:hAnsi="Cambria"/>
              </w:rPr>
              <w:t>ispit</w:t>
            </w:r>
            <w:proofErr w:type="spellEnd"/>
          </w:p>
        </w:tc>
        <w:tc>
          <w:tcPr>
            <w:tcW w:w="11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08" w:type="dxa"/>
              <w:bottom w:w="0" w:type="dxa"/>
              <w:right w:w="108" w:type="dxa"/>
            </w:tcMar>
            <w:vAlign w:val="center"/>
          </w:tcPr>
          <w:p w14:paraId="00834F38" w14:textId="77777777" w:rsidR="001C42AA" w:rsidRPr="00DF4CE5" w:rsidRDefault="001C42AA" w:rsidP="001C42AA">
            <w:pPr>
              <w:spacing w:after="0" w:line="240" w:lineRule="atLeast"/>
              <w:jc w:val="center"/>
              <w:rPr>
                <w:rFonts w:ascii="Cambria" w:hAnsi="Cambria"/>
              </w:rPr>
            </w:pPr>
            <w:r w:rsidRPr="00DF4CE5">
              <w:rPr>
                <w:rFonts w:ascii="Cambria" w:hAnsi="Cambria"/>
              </w:rPr>
              <w:t>1. – 3.</w:t>
            </w:r>
          </w:p>
        </w:tc>
        <w:tc>
          <w:tcPr>
            <w:tcW w:w="76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08" w:type="dxa"/>
              <w:bottom w:w="0" w:type="dxa"/>
              <w:right w:w="108" w:type="dxa"/>
            </w:tcMar>
            <w:vAlign w:val="center"/>
          </w:tcPr>
          <w:p w14:paraId="4882C640" w14:textId="77777777" w:rsidR="001C42AA" w:rsidRPr="00DF4CE5" w:rsidRDefault="001C42AA" w:rsidP="001C42AA">
            <w:pPr>
              <w:spacing w:after="0" w:line="240" w:lineRule="atLeast"/>
              <w:jc w:val="center"/>
              <w:rPr>
                <w:rFonts w:ascii="Cambria" w:hAnsi="Cambria"/>
              </w:rPr>
            </w:pPr>
            <w:r w:rsidRPr="00DF4CE5">
              <w:rPr>
                <w:rFonts w:ascii="Cambria" w:hAnsi="Cambria"/>
              </w:rPr>
              <w:t>45</w:t>
            </w:r>
          </w:p>
        </w:tc>
        <w:tc>
          <w:tcPr>
            <w:tcW w:w="10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08" w:type="dxa"/>
              <w:bottom w:w="0" w:type="dxa"/>
              <w:right w:w="108" w:type="dxa"/>
            </w:tcMar>
            <w:vAlign w:val="center"/>
          </w:tcPr>
          <w:p w14:paraId="5BFC53D9" w14:textId="77777777" w:rsidR="001C42AA" w:rsidRPr="00DF4CE5" w:rsidRDefault="001C42AA" w:rsidP="001C42AA">
            <w:pPr>
              <w:spacing w:after="0" w:line="240" w:lineRule="atLeast"/>
              <w:jc w:val="center"/>
              <w:rPr>
                <w:rFonts w:ascii="Cambria" w:hAnsi="Cambria"/>
              </w:rPr>
            </w:pPr>
            <w:r w:rsidRPr="00DF4CE5">
              <w:rPr>
                <w:rFonts w:ascii="Cambria" w:hAnsi="Cambria"/>
              </w:rPr>
              <w:t>1,5</w:t>
            </w:r>
          </w:p>
        </w:tc>
        <w:tc>
          <w:tcPr>
            <w:tcW w:w="141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08" w:type="dxa"/>
              <w:bottom w:w="0" w:type="dxa"/>
              <w:right w:w="108" w:type="dxa"/>
            </w:tcMar>
            <w:vAlign w:val="center"/>
          </w:tcPr>
          <w:p w14:paraId="7A29A5E3" w14:textId="135031CC" w:rsidR="001C42AA" w:rsidRPr="00DF4CE5" w:rsidRDefault="001C42AA" w:rsidP="001C42AA">
            <w:pPr>
              <w:spacing w:after="0" w:line="240" w:lineRule="atLeast"/>
              <w:jc w:val="center"/>
              <w:rPr>
                <w:rFonts w:ascii="Cambria" w:hAnsi="Cambria"/>
              </w:rPr>
            </w:pPr>
            <w:r w:rsidRPr="00DF4CE5">
              <w:rPr>
                <w:rFonts w:ascii="Cambria" w:hAnsi="Cambria"/>
              </w:rPr>
              <w:t>30%</w:t>
            </w:r>
          </w:p>
        </w:tc>
      </w:tr>
      <w:tr w:rsidR="001C42AA" w:rsidRPr="00DF4CE5" w14:paraId="14331758" w14:textId="77777777" w:rsidTr="00B31C4B">
        <w:tc>
          <w:tcPr>
            <w:tcW w:w="2814" w:type="dxa"/>
            <w:vMerge/>
            <w:tcBorders>
              <w:left w:val="single" w:sz="4" w:space="0" w:color="auto"/>
            </w:tcBorders>
            <w:vAlign w:val="center"/>
          </w:tcPr>
          <w:p w14:paraId="39B859E8" w14:textId="77777777" w:rsidR="001C42AA" w:rsidRPr="00DF4CE5" w:rsidRDefault="001C42AA" w:rsidP="001C42AA">
            <w:pPr>
              <w:spacing w:after="0" w:line="240" w:lineRule="atLeast"/>
              <w:rPr>
                <w:rFonts w:ascii="Cambria" w:hAnsi="Cambria"/>
              </w:rPr>
            </w:pPr>
          </w:p>
        </w:tc>
        <w:tc>
          <w:tcPr>
            <w:tcW w:w="394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08" w:type="dxa"/>
              <w:bottom w:w="0" w:type="dxa"/>
              <w:right w:w="108" w:type="dxa"/>
            </w:tcMar>
          </w:tcPr>
          <w:p w14:paraId="705DEF25" w14:textId="5DDFFBB5" w:rsidR="001C42AA" w:rsidRPr="00DF4CE5" w:rsidRDefault="0098327C" w:rsidP="001C42AA">
            <w:pPr>
              <w:spacing w:after="0" w:line="240" w:lineRule="atLeast"/>
              <w:rPr>
                <w:rFonts w:ascii="Cambria" w:hAnsi="Cambria"/>
              </w:rPr>
            </w:pPr>
            <w:proofErr w:type="spellStart"/>
            <w:r>
              <w:rPr>
                <w:rFonts w:ascii="Cambria" w:hAnsi="Cambria"/>
              </w:rPr>
              <w:t>u</w:t>
            </w:r>
            <w:r w:rsidR="001C42AA" w:rsidRPr="00DF4CE5">
              <w:rPr>
                <w:rFonts w:ascii="Cambria" w:hAnsi="Cambria"/>
              </w:rPr>
              <w:t>kupno</w:t>
            </w:r>
            <w:proofErr w:type="spellEnd"/>
          </w:p>
        </w:tc>
        <w:tc>
          <w:tcPr>
            <w:tcW w:w="76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08" w:type="dxa"/>
              <w:bottom w:w="0" w:type="dxa"/>
              <w:right w:w="108" w:type="dxa"/>
            </w:tcMar>
            <w:vAlign w:val="center"/>
          </w:tcPr>
          <w:p w14:paraId="5EAC64C9" w14:textId="77777777" w:rsidR="001C42AA" w:rsidRPr="00DF4CE5" w:rsidRDefault="001C42AA" w:rsidP="001C42AA">
            <w:pPr>
              <w:spacing w:after="0" w:line="240" w:lineRule="atLeast"/>
              <w:jc w:val="center"/>
              <w:rPr>
                <w:rFonts w:ascii="Cambria" w:hAnsi="Cambria"/>
              </w:rPr>
            </w:pPr>
            <w:r w:rsidRPr="00DF4CE5">
              <w:rPr>
                <w:rFonts w:ascii="Cambria" w:hAnsi="Cambria"/>
              </w:rPr>
              <w:t>150</w:t>
            </w:r>
          </w:p>
        </w:tc>
        <w:tc>
          <w:tcPr>
            <w:tcW w:w="10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08" w:type="dxa"/>
              <w:bottom w:w="0" w:type="dxa"/>
              <w:right w:w="108" w:type="dxa"/>
            </w:tcMar>
            <w:vAlign w:val="center"/>
          </w:tcPr>
          <w:p w14:paraId="16A36716" w14:textId="77777777" w:rsidR="001C42AA" w:rsidRPr="00DF4CE5" w:rsidRDefault="001C42AA" w:rsidP="001C42AA">
            <w:pPr>
              <w:spacing w:after="0" w:line="240" w:lineRule="atLeast"/>
              <w:jc w:val="center"/>
              <w:rPr>
                <w:rFonts w:ascii="Cambria" w:hAnsi="Cambria"/>
              </w:rPr>
            </w:pPr>
            <w:r w:rsidRPr="00DF4CE5">
              <w:rPr>
                <w:rFonts w:ascii="Cambria" w:hAnsi="Cambria"/>
              </w:rPr>
              <w:t>5</w:t>
            </w:r>
          </w:p>
        </w:tc>
        <w:tc>
          <w:tcPr>
            <w:tcW w:w="141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08" w:type="dxa"/>
              <w:bottom w:w="0" w:type="dxa"/>
              <w:right w:w="108" w:type="dxa"/>
            </w:tcMar>
            <w:vAlign w:val="center"/>
          </w:tcPr>
          <w:p w14:paraId="15B67855" w14:textId="06930EEB" w:rsidR="001C42AA" w:rsidRPr="00DF4CE5" w:rsidRDefault="001C42AA" w:rsidP="001C42AA">
            <w:pPr>
              <w:spacing w:after="0" w:line="240" w:lineRule="atLeast"/>
              <w:jc w:val="center"/>
              <w:rPr>
                <w:rFonts w:ascii="Cambria" w:hAnsi="Cambria"/>
              </w:rPr>
            </w:pPr>
            <w:r w:rsidRPr="00DF4CE5">
              <w:rPr>
                <w:rFonts w:ascii="Cambria" w:hAnsi="Cambria"/>
              </w:rPr>
              <w:t>100%</w:t>
            </w:r>
          </w:p>
        </w:tc>
      </w:tr>
      <w:tr w:rsidR="001C42AA" w:rsidRPr="00D0399C" w14:paraId="7D52AD8B" w14:textId="77777777" w:rsidTr="00B31C4B">
        <w:tc>
          <w:tcPr>
            <w:tcW w:w="2814" w:type="dxa"/>
            <w:vMerge/>
            <w:tcBorders>
              <w:left w:val="single" w:sz="4" w:space="0" w:color="auto"/>
              <w:bottom w:val="single" w:sz="8" w:space="0" w:color="000000" w:themeColor="text1"/>
            </w:tcBorders>
            <w:vAlign w:val="center"/>
          </w:tcPr>
          <w:p w14:paraId="071342DE" w14:textId="77777777" w:rsidR="001C42AA" w:rsidRPr="00DF4CE5" w:rsidRDefault="001C42AA" w:rsidP="001C42AA">
            <w:pPr>
              <w:spacing w:after="0" w:line="240" w:lineRule="atLeast"/>
              <w:rPr>
                <w:rFonts w:ascii="Cambria" w:hAnsi="Cambria"/>
              </w:rPr>
            </w:pPr>
          </w:p>
        </w:tc>
        <w:tc>
          <w:tcPr>
            <w:tcW w:w="7206"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08" w:type="dxa"/>
              <w:bottom w:w="0" w:type="dxa"/>
              <w:right w:w="108" w:type="dxa"/>
            </w:tcMar>
          </w:tcPr>
          <w:p w14:paraId="08F90576" w14:textId="77777777" w:rsidR="001C42AA" w:rsidRPr="00DF4CE5" w:rsidRDefault="001C42AA" w:rsidP="001C42AA">
            <w:pPr>
              <w:spacing w:after="0" w:line="240" w:lineRule="atLeast"/>
              <w:rPr>
                <w:rFonts w:ascii="Cambria" w:hAnsi="Cambria"/>
              </w:rPr>
            </w:pPr>
            <w:proofErr w:type="spellStart"/>
            <w:r w:rsidRPr="00DF4CE5">
              <w:rPr>
                <w:rFonts w:ascii="Cambria" w:hAnsi="Cambria"/>
              </w:rPr>
              <w:t>Dodatna</w:t>
            </w:r>
            <w:proofErr w:type="spellEnd"/>
            <w:r w:rsidRPr="00DF4CE5">
              <w:rPr>
                <w:rFonts w:ascii="Cambria" w:hAnsi="Cambria"/>
              </w:rPr>
              <w:t xml:space="preserve"> </w:t>
            </w:r>
            <w:proofErr w:type="spellStart"/>
            <w:r w:rsidRPr="00DF4CE5">
              <w:rPr>
                <w:rFonts w:ascii="Cambria" w:hAnsi="Cambria"/>
              </w:rPr>
              <w:t>pojašnjenja</w:t>
            </w:r>
            <w:proofErr w:type="spellEnd"/>
            <w:r w:rsidRPr="00DF4CE5">
              <w:rPr>
                <w:rFonts w:ascii="Cambria" w:hAnsi="Cambria"/>
              </w:rPr>
              <w:t xml:space="preserve"> (</w:t>
            </w:r>
            <w:proofErr w:type="spellStart"/>
            <w:r w:rsidRPr="00DF4CE5">
              <w:rPr>
                <w:rFonts w:ascii="Cambria" w:hAnsi="Cambria"/>
              </w:rPr>
              <w:t>kriteriji</w:t>
            </w:r>
            <w:proofErr w:type="spellEnd"/>
            <w:r w:rsidRPr="00DF4CE5">
              <w:rPr>
                <w:rFonts w:ascii="Cambria" w:hAnsi="Cambria"/>
              </w:rPr>
              <w:t xml:space="preserve"> </w:t>
            </w:r>
            <w:proofErr w:type="spellStart"/>
            <w:r w:rsidRPr="00DF4CE5">
              <w:rPr>
                <w:rFonts w:ascii="Cambria" w:hAnsi="Cambria"/>
              </w:rPr>
              <w:t>ocjenjivanja</w:t>
            </w:r>
            <w:proofErr w:type="spellEnd"/>
            <w:r w:rsidRPr="00DF4CE5">
              <w:rPr>
                <w:rFonts w:ascii="Cambria" w:hAnsi="Cambria"/>
              </w:rPr>
              <w:t xml:space="preserve">): </w:t>
            </w:r>
          </w:p>
          <w:p w14:paraId="545325EE" w14:textId="77777777" w:rsidR="001C42AA" w:rsidRPr="00DF4CE5" w:rsidRDefault="001C42AA" w:rsidP="001C42AA">
            <w:pPr>
              <w:spacing w:after="0" w:line="240" w:lineRule="atLeast"/>
              <w:rPr>
                <w:rFonts w:ascii="Cambria" w:hAnsi="Cambria"/>
              </w:rPr>
            </w:pPr>
            <w:proofErr w:type="spellStart"/>
            <w:r w:rsidRPr="00DF4CE5">
              <w:rPr>
                <w:rFonts w:ascii="Cambria" w:hAnsi="Cambria"/>
              </w:rPr>
              <w:t>Kolokviji</w:t>
            </w:r>
            <w:proofErr w:type="spellEnd"/>
            <w:r w:rsidRPr="00DF4CE5">
              <w:rPr>
                <w:rFonts w:ascii="Cambria" w:hAnsi="Cambria"/>
              </w:rPr>
              <w:t xml:space="preserve"> se </w:t>
            </w:r>
            <w:proofErr w:type="spellStart"/>
            <w:r w:rsidRPr="00DF4CE5">
              <w:rPr>
                <w:rFonts w:ascii="Cambria" w:hAnsi="Cambria"/>
              </w:rPr>
              <w:t>sastoje</w:t>
            </w:r>
            <w:proofErr w:type="spellEnd"/>
            <w:r w:rsidRPr="00DF4CE5">
              <w:rPr>
                <w:rFonts w:ascii="Cambria" w:hAnsi="Cambria"/>
              </w:rPr>
              <w:t xml:space="preserve"> </w:t>
            </w:r>
            <w:proofErr w:type="spellStart"/>
            <w:r w:rsidRPr="00DF4CE5">
              <w:rPr>
                <w:rFonts w:ascii="Cambria" w:hAnsi="Cambria"/>
              </w:rPr>
              <w:t>svaki</w:t>
            </w:r>
            <w:proofErr w:type="spellEnd"/>
            <w:r w:rsidRPr="00DF4CE5">
              <w:rPr>
                <w:rFonts w:ascii="Cambria" w:hAnsi="Cambria"/>
              </w:rPr>
              <w:t xml:space="preserve"> od 35 </w:t>
            </w:r>
            <w:proofErr w:type="spellStart"/>
            <w:r w:rsidRPr="00DF4CE5">
              <w:rPr>
                <w:rFonts w:ascii="Cambria" w:hAnsi="Cambria"/>
              </w:rPr>
              <w:t>pitanja</w:t>
            </w:r>
            <w:proofErr w:type="spellEnd"/>
            <w:r w:rsidRPr="00DF4CE5">
              <w:rPr>
                <w:rFonts w:ascii="Cambria" w:hAnsi="Cambria"/>
              </w:rPr>
              <w:t xml:space="preserve"> </w:t>
            </w:r>
            <w:proofErr w:type="spellStart"/>
            <w:r w:rsidRPr="00DF4CE5">
              <w:rPr>
                <w:rFonts w:ascii="Cambria" w:hAnsi="Cambria"/>
              </w:rPr>
              <w:t>različitog</w:t>
            </w:r>
            <w:proofErr w:type="spellEnd"/>
            <w:r w:rsidRPr="00DF4CE5">
              <w:rPr>
                <w:rFonts w:ascii="Cambria" w:hAnsi="Cambria"/>
              </w:rPr>
              <w:t xml:space="preserve"> </w:t>
            </w:r>
            <w:proofErr w:type="spellStart"/>
            <w:r w:rsidRPr="00DF4CE5">
              <w:rPr>
                <w:rFonts w:ascii="Cambria" w:hAnsi="Cambria"/>
              </w:rPr>
              <w:t>tipa</w:t>
            </w:r>
            <w:proofErr w:type="spellEnd"/>
            <w:r w:rsidRPr="00DF4CE5">
              <w:rPr>
                <w:rFonts w:ascii="Cambria" w:hAnsi="Cambria"/>
              </w:rPr>
              <w:t xml:space="preserve">. </w:t>
            </w:r>
            <w:proofErr w:type="spellStart"/>
            <w:r w:rsidRPr="00DF4CE5">
              <w:rPr>
                <w:rFonts w:ascii="Cambria" w:hAnsi="Cambria"/>
                <w:lang w:val="it-IT"/>
              </w:rPr>
              <w:t>Prvi</w:t>
            </w:r>
            <w:proofErr w:type="spellEnd"/>
            <w:r w:rsidRPr="00DF4CE5">
              <w:rPr>
                <w:rFonts w:ascii="Cambria" w:hAnsi="Cambria"/>
                <w:lang w:val="it-IT"/>
              </w:rPr>
              <w:t xml:space="preserve"> </w:t>
            </w:r>
            <w:proofErr w:type="spellStart"/>
            <w:r w:rsidRPr="00DF4CE5">
              <w:rPr>
                <w:rFonts w:ascii="Cambria" w:hAnsi="Cambria"/>
                <w:lang w:val="it-IT"/>
              </w:rPr>
              <w:t>kolokvij</w:t>
            </w:r>
            <w:proofErr w:type="spellEnd"/>
            <w:r w:rsidRPr="00DF4CE5">
              <w:rPr>
                <w:rFonts w:ascii="Cambria" w:hAnsi="Cambria"/>
                <w:lang w:val="it-IT"/>
              </w:rPr>
              <w:t xml:space="preserve"> </w:t>
            </w:r>
            <w:proofErr w:type="spellStart"/>
            <w:r w:rsidRPr="00DF4CE5">
              <w:rPr>
                <w:rFonts w:ascii="Cambria" w:hAnsi="Cambria"/>
                <w:lang w:val="it-IT"/>
              </w:rPr>
              <w:t>obuhvaća</w:t>
            </w:r>
            <w:proofErr w:type="spellEnd"/>
            <w:r w:rsidRPr="00DF4CE5">
              <w:rPr>
                <w:rFonts w:ascii="Cambria" w:hAnsi="Cambria"/>
                <w:lang w:val="it-IT"/>
              </w:rPr>
              <w:t xml:space="preserve"> </w:t>
            </w:r>
            <w:proofErr w:type="spellStart"/>
            <w:r w:rsidRPr="00DF4CE5">
              <w:rPr>
                <w:rFonts w:ascii="Cambria" w:hAnsi="Cambria"/>
                <w:lang w:val="it-IT"/>
              </w:rPr>
              <w:t>prvu</w:t>
            </w:r>
            <w:proofErr w:type="spellEnd"/>
            <w:r w:rsidRPr="00DF4CE5">
              <w:rPr>
                <w:rFonts w:ascii="Cambria" w:hAnsi="Cambria"/>
                <w:lang w:val="it-IT"/>
              </w:rPr>
              <w:t xml:space="preserve"> </w:t>
            </w:r>
            <w:proofErr w:type="spellStart"/>
            <w:r w:rsidRPr="00DF4CE5">
              <w:rPr>
                <w:rFonts w:ascii="Cambria" w:hAnsi="Cambria"/>
                <w:lang w:val="it-IT"/>
              </w:rPr>
              <w:t>polovicu</w:t>
            </w:r>
            <w:proofErr w:type="spellEnd"/>
            <w:r w:rsidRPr="00DF4CE5">
              <w:rPr>
                <w:rFonts w:ascii="Cambria" w:hAnsi="Cambria"/>
                <w:lang w:val="it-IT"/>
              </w:rPr>
              <w:t xml:space="preserve"> gradiva, a </w:t>
            </w:r>
            <w:proofErr w:type="spellStart"/>
            <w:r w:rsidRPr="00DF4CE5">
              <w:rPr>
                <w:rFonts w:ascii="Cambria" w:hAnsi="Cambria"/>
                <w:lang w:val="it-IT"/>
              </w:rPr>
              <w:t>drugi</w:t>
            </w:r>
            <w:proofErr w:type="spellEnd"/>
            <w:r w:rsidRPr="00DF4CE5">
              <w:rPr>
                <w:rFonts w:ascii="Cambria" w:hAnsi="Cambria"/>
                <w:lang w:val="it-IT"/>
              </w:rPr>
              <w:t xml:space="preserve"> </w:t>
            </w:r>
            <w:proofErr w:type="spellStart"/>
            <w:r w:rsidRPr="00DF4CE5">
              <w:rPr>
                <w:rFonts w:ascii="Cambria" w:hAnsi="Cambria"/>
                <w:lang w:val="it-IT"/>
              </w:rPr>
              <w:t>drugu</w:t>
            </w:r>
            <w:proofErr w:type="spellEnd"/>
            <w:r w:rsidRPr="00DF4CE5">
              <w:rPr>
                <w:rFonts w:ascii="Cambria" w:hAnsi="Cambria"/>
                <w:lang w:val="it-IT"/>
              </w:rPr>
              <w:t xml:space="preserve">. </w:t>
            </w:r>
            <w:proofErr w:type="spellStart"/>
            <w:r w:rsidRPr="00DF4CE5">
              <w:rPr>
                <w:rFonts w:ascii="Cambria" w:hAnsi="Cambria"/>
              </w:rPr>
              <w:t>Udio</w:t>
            </w:r>
            <w:proofErr w:type="spellEnd"/>
            <w:r w:rsidRPr="00DF4CE5">
              <w:rPr>
                <w:rFonts w:ascii="Cambria" w:hAnsi="Cambria"/>
              </w:rPr>
              <w:t xml:space="preserve"> </w:t>
            </w:r>
            <w:proofErr w:type="spellStart"/>
            <w:r w:rsidRPr="00DF4CE5">
              <w:rPr>
                <w:rFonts w:ascii="Cambria" w:hAnsi="Cambria"/>
              </w:rPr>
              <w:t>pojedinog</w:t>
            </w:r>
            <w:proofErr w:type="spellEnd"/>
            <w:r w:rsidRPr="00DF4CE5">
              <w:rPr>
                <w:rFonts w:ascii="Cambria" w:hAnsi="Cambria"/>
              </w:rPr>
              <w:t xml:space="preserve"> </w:t>
            </w:r>
            <w:proofErr w:type="spellStart"/>
            <w:r w:rsidRPr="00DF4CE5">
              <w:rPr>
                <w:rFonts w:ascii="Cambria" w:hAnsi="Cambria"/>
              </w:rPr>
              <w:t>odgovora</w:t>
            </w:r>
            <w:proofErr w:type="spellEnd"/>
            <w:r w:rsidRPr="00DF4CE5">
              <w:rPr>
                <w:rFonts w:ascii="Cambria" w:hAnsi="Cambria"/>
              </w:rPr>
              <w:t xml:space="preserve"> u </w:t>
            </w:r>
            <w:proofErr w:type="spellStart"/>
            <w:r w:rsidRPr="00DF4CE5">
              <w:rPr>
                <w:rFonts w:ascii="Cambria" w:hAnsi="Cambria"/>
              </w:rPr>
              <w:t>ukupnoj</w:t>
            </w:r>
            <w:proofErr w:type="spellEnd"/>
            <w:r w:rsidRPr="00DF4CE5">
              <w:rPr>
                <w:rFonts w:ascii="Cambria" w:hAnsi="Cambria"/>
              </w:rPr>
              <w:t xml:space="preserve"> </w:t>
            </w:r>
            <w:proofErr w:type="spellStart"/>
            <w:r w:rsidRPr="00DF4CE5">
              <w:rPr>
                <w:rFonts w:ascii="Cambria" w:hAnsi="Cambria"/>
              </w:rPr>
              <w:t>ocjeni</w:t>
            </w:r>
            <w:proofErr w:type="spellEnd"/>
            <w:r w:rsidRPr="00DF4CE5">
              <w:rPr>
                <w:rFonts w:ascii="Cambria" w:hAnsi="Cambria"/>
              </w:rPr>
              <w:t xml:space="preserve"> </w:t>
            </w:r>
            <w:proofErr w:type="spellStart"/>
            <w:r w:rsidRPr="00DF4CE5">
              <w:rPr>
                <w:rFonts w:ascii="Cambria" w:hAnsi="Cambria"/>
              </w:rPr>
              <w:t>kolegija</w:t>
            </w:r>
            <w:proofErr w:type="spellEnd"/>
            <w:r w:rsidRPr="00DF4CE5">
              <w:rPr>
                <w:rFonts w:ascii="Cambria" w:hAnsi="Cambria"/>
              </w:rPr>
              <w:t xml:space="preserve"> je </w:t>
            </w:r>
            <w:proofErr w:type="spellStart"/>
            <w:r w:rsidRPr="00DF4CE5">
              <w:rPr>
                <w:rFonts w:ascii="Cambria" w:hAnsi="Cambria"/>
              </w:rPr>
              <w:t>sljedeći</w:t>
            </w:r>
            <w:proofErr w:type="spellEnd"/>
            <w:r w:rsidRPr="00DF4CE5">
              <w:rPr>
                <w:rFonts w:ascii="Cambria" w:hAnsi="Cambria"/>
              </w:rPr>
              <w:t>:</w:t>
            </w:r>
          </w:p>
          <w:p w14:paraId="14E2FFCB" w14:textId="77777777" w:rsidR="001C42AA" w:rsidRPr="00DF4CE5" w:rsidRDefault="001C42AA" w:rsidP="00A034E3">
            <w:pPr>
              <w:numPr>
                <w:ilvl w:val="0"/>
                <w:numId w:val="58"/>
              </w:numPr>
              <w:tabs>
                <w:tab w:val="clear" w:pos="1440"/>
                <w:tab w:val="num" w:pos="720"/>
              </w:tabs>
              <w:spacing w:after="0" w:line="240" w:lineRule="atLeast"/>
              <w:ind w:left="720"/>
              <w:jc w:val="both"/>
              <w:rPr>
                <w:rFonts w:ascii="Cambria" w:hAnsi="Cambria"/>
              </w:rPr>
            </w:pPr>
            <w:r w:rsidRPr="00DF4CE5">
              <w:rPr>
                <w:rFonts w:ascii="Cambria" w:hAnsi="Cambria"/>
              </w:rPr>
              <w:t xml:space="preserve">1 % </w:t>
            </w:r>
            <w:proofErr w:type="spellStart"/>
            <w:r w:rsidRPr="00DF4CE5">
              <w:rPr>
                <w:rFonts w:ascii="Cambria" w:hAnsi="Cambria"/>
              </w:rPr>
              <w:t>ako</w:t>
            </w:r>
            <w:proofErr w:type="spellEnd"/>
            <w:r w:rsidRPr="00DF4CE5">
              <w:rPr>
                <w:rFonts w:ascii="Cambria" w:hAnsi="Cambria"/>
              </w:rPr>
              <w:t xml:space="preserve"> je </w:t>
            </w:r>
            <w:proofErr w:type="spellStart"/>
            <w:r w:rsidRPr="00DF4CE5">
              <w:rPr>
                <w:rFonts w:ascii="Cambria" w:hAnsi="Cambria"/>
              </w:rPr>
              <w:t>odgovor</w:t>
            </w:r>
            <w:proofErr w:type="spellEnd"/>
            <w:r w:rsidRPr="00DF4CE5">
              <w:rPr>
                <w:rFonts w:ascii="Cambria" w:hAnsi="Cambria"/>
              </w:rPr>
              <w:t xml:space="preserve"> </w:t>
            </w:r>
            <w:proofErr w:type="spellStart"/>
            <w:r w:rsidRPr="00DF4CE5">
              <w:rPr>
                <w:rFonts w:ascii="Cambria" w:hAnsi="Cambria"/>
              </w:rPr>
              <w:t>točan</w:t>
            </w:r>
            <w:proofErr w:type="spellEnd"/>
          </w:p>
          <w:p w14:paraId="637BCA89" w14:textId="77777777" w:rsidR="001C42AA" w:rsidRPr="00DF4CE5" w:rsidRDefault="001C42AA" w:rsidP="00A034E3">
            <w:pPr>
              <w:numPr>
                <w:ilvl w:val="0"/>
                <w:numId w:val="58"/>
              </w:numPr>
              <w:tabs>
                <w:tab w:val="clear" w:pos="1440"/>
                <w:tab w:val="num" w:pos="720"/>
              </w:tabs>
              <w:spacing w:after="0" w:line="240" w:lineRule="atLeast"/>
              <w:ind w:left="720"/>
              <w:jc w:val="both"/>
              <w:rPr>
                <w:rFonts w:ascii="Cambria" w:hAnsi="Cambria"/>
                <w:lang w:val="it-IT"/>
              </w:rPr>
            </w:pPr>
            <w:r w:rsidRPr="00DF4CE5">
              <w:rPr>
                <w:rFonts w:ascii="Cambria" w:hAnsi="Cambria"/>
                <w:lang w:val="it-IT"/>
              </w:rPr>
              <w:t xml:space="preserve">0 </w:t>
            </w:r>
            <w:proofErr w:type="spellStart"/>
            <w:r w:rsidRPr="00DF4CE5">
              <w:rPr>
                <w:rFonts w:ascii="Cambria" w:hAnsi="Cambria"/>
                <w:lang w:val="it-IT"/>
              </w:rPr>
              <w:t>ako</w:t>
            </w:r>
            <w:proofErr w:type="spellEnd"/>
            <w:r w:rsidRPr="00DF4CE5">
              <w:rPr>
                <w:rFonts w:ascii="Cambria" w:hAnsi="Cambria"/>
                <w:lang w:val="it-IT"/>
              </w:rPr>
              <w:t xml:space="preserve"> </w:t>
            </w:r>
            <w:proofErr w:type="spellStart"/>
            <w:r w:rsidRPr="00DF4CE5">
              <w:rPr>
                <w:rFonts w:ascii="Cambria" w:hAnsi="Cambria"/>
                <w:lang w:val="it-IT"/>
              </w:rPr>
              <w:t>odgovora</w:t>
            </w:r>
            <w:proofErr w:type="spellEnd"/>
            <w:r w:rsidRPr="00DF4CE5">
              <w:rPr>
                <w:rFonts w:ascii="Cambria" w:hAnsi="Cambria"/>
                <w:lang w:val="it-IT"/>
              </w:rPr>
              <w:t xml:space="preserve"> </w:t>
            </w:r>
            <w:proofErr w:type="spellStart"/>
            <w:r w:rsidRPr="00DF4CE5">
              <w:rPr>
                <w:rFonts w:ascii="Cambria" w:hAnsi="Cambria"/>
                <w:lang w:val="it-IT"/>
              </w:rPr>
              <w:t>nema</w:t>
            </w:r>
            <w:proofErr w:type="spellEnd"/>
            <w:r w:rsidRPr="00DF4CE5">
              <w:rPr>
                <w:rFonts w:ascii="Cambria" w:hAnsi="Cambria"/>
                <w:lang w:val="it-IT"/>
              </w:rPr>
              <w:t xml:space="preserve"> ili </w:t>
            </w:r>
            <w:proofErr w:type="spellStart"/>
            <w:r w:rsidRPr="00DF4CE5">
              <w:rPr>
                <w:rFonts w:ascii="Cambria" w:hAnsi="Cambria"/>
                <w:lang w:val="it-IT"/>
              </w:rPr>
              <w:t>ako</w:t>
            </w:r>
            <w:proofErr w:type="spellEnd"/>
            <w:r w:rsidRPr="00DF4CE5">
              <w:rPr>
                <w:rFonts w:ascii="Cambria" w:hAnsi="Cambria"/>
                <w:lang w:val="it-IT"/>
              </w:rPr>
              <w:t xml:space="preserve"> je </w:t>
            </w:r>
            <w:proofErr w:type="spellStart"/>
            <w:r w:rsidRPr="00DF4CE5">
              <w:rPr>
                <w:rFonts w:ascii="Cambria" w:hAnsi="Cambria"/>
                <w:lang w:val="it-IT"/>
              </w:rPr>
              <w:t>netočan</w:t>
            </w:r>
            <w:proofErr w:type="spellEnd"/>
            <w:r w:rsidRPr="00DF4CE5">
              <w:rPr>
                <w:rFonts w:ascii="Cambria" w:hAnsi="Cambria"/>
                <w:lang w:val="it-IT"/>
              </w:rPr>
              <w:t xml:space="preserve">. </w:t>
            </w:r>
          </w:p>
          <w:p w14:paraId="26730A7E" w14:textId="6002AB60" w:rsidR="001C42AA" w:rsidRPr="00DF4CE5" w:rsidRDefault="001C42AA" w:rsidP="001C42AA">
            <w:pPr>
              <w:spacing w:after="0" w:line="240" w:lineRule="atLeast"/>
              <w:rPr>
                <w:rFonts w:ascii="Cambria" w:hAnsi="Cambria"/>
                <w:lang w:val="it-IT"/>
              </w:rPr>
            </w:pPr>
            <w:proofErr w:type="spellStart"/>
            <w:r w:rsidRPr="00DF4CE5">
              <w:rPr>
                <w:rFonts w:ascii="Cambria" w:hAnsi="Cambria"/>
                <w:lang w:val="it-IT"/>
              </w:rPr>
              <w:t>Ostvareni</w:t>
            </w:r>
            <w:proofErr w:type="spellEnd"/>
            <w:r w:rsidRPr="00DF4CE5">
              <w:rPr>
                <w:rFonts w:ascii="Cambria" w:hAnsi="Cambria"/>
                <w:lang w:val="it-IT"/>
              </w:rPr>
              <w:t xml:space="preserve"> </w:t>
            </w:r>
            <w:proofErr w:type="spellStart"/>
            <w:r w:rsidRPr="00DF4CE5">
              <w:rPr>
                <w:rFonts w:ascii="Cambria" w:hAnsi="Cambria"/>
                <w:lang w:val="it-IT"/>
              </w:rPr>
              <w:t>rezultati</w:t>
            </w:r>
            <w:proofErr w:type="spellEnd"/>
            <w:r w:rsidRPr="00DF4CE5">
              <w:rPr>
                <w:rFonts w:ascii="Cambria" w:hAnsi="Cambria"/>
                <w:lang w:val="it-IT"/>
              </w:rPr>
              <w:t xml:space="preserve"> su </w:t>
            </w:r>
            <w:proofErr w:type="spellStart"/>
            <w:r w:rsidRPr="00DF4CE5">
              <w:rPr>
                <w:rFonts w:ascii="Cambria" w:hAnsi="Cambria"/>
                <w:lang w:val="it-IT"/>
              </w:rPr>
              <w:t>konačni</w:t>
            </w:r>
            <w:proofErr w:type="spellEnd"/>
            <w:r w:rsidRPr="00DF4CE5">
              <w:rPr>
                <w:rFonts w:ascii="Cambria" w:hAnsi="Cambria"/>
                <w:lang w:val="it-IT"/>
              </w:rPr>
              <w:t xml:space="preserve"> i </w:t>
            </w:r>
            <w:proofErr w:type="spellStart"/>
            <w:r w:rsidRPr="00DF4CE5">
              <w:rPr>
                <w:rFonts w:ascii="Cambria" w:hAnsi="Cambria"/>
                <w:lang w:val="it-IT"/>
              </w:rPr>
              <w:t>sudjeluju</w:t>
            </w:r>
            <w:proofErr w:type="spellEnd"/>
            <w:r w:rsidRPr="00DF4CE5">
              <w:rPr>
                <w:rFonts w:ascii="Cambria" w:hAnsi="Cambria"/>
                <w:lang w:val="it-IT"/>
              </w:rPr>
              <w:t xml:space="preserve"> u </w:t>
            </w:r>
            <w:proofErr w:type="spellStart"/>
            <w:r w:rsidRPr="00DF4CE5">
              <w:rPr>
                <w:rFonts w:ascii="Cambria" w:hAnsi="Cambria"/>
                <w:lang w:val="it-IT"/>
              </w:rPr>
              <w:t>ukupnoj</w:t>
            </w:r>
            <w:proofErr w:type="spellEnd"/>
            <w:r w:rsidRPr="00DF4CE5">
              <w:rPr>
                <w:rFonts w:ascii="Cambria" w:hAnsi="Cambria"/>
                <w:lang w:val="it-IT"/>
              </w:rPr>
              <w:t xml:space="preserve"> </w:t>
            </w:r>
            <w:proofErr w:type="spellStart"/>
            <w:r w:rsidRPr="00DF4CE5">
              <w:rPr>
                <w:rFonts w:ascii="Cambria" w:hAnsi="Cambria"/>
                <w:lang w:val="it-IT"/>
              </w:rPr>
              <w:t>ocjeni</w:t>
            </w:r>
            <w:proofErr w:type="spellEnd"/>
            <w:r w:rsidRPr="00DF4CE5">
              <w:rPr>
                <w:rFonts w:ascii="Cambria" w:hAnsi="Cambria"/>
                <w:lang w:val="it-IT"/>
              </w:rPr>
              <w:t>.</w:t>
            </w:r>
          </w:p>
          <w:p w14:paraId="26665539" w14:textId="77777777" w:rsidR="001C42AA" w:rsidRPr="00DF4CE5" w:rsidRDefault="001C42AA" w:rsidP="001C42AA">
            <w:pPr>
              <w:spacing w:after="0" w:line="240" w:lineRule="atLeast"/>
              <w:rPr>
                <w:rFonts w:ascii="Cambria" w:hAnsi="Cambria"/>
                <w:lang w:val="it-IT"/>
              </w:rPr>
            </w:pPr>
            <w:proofErr w:type="spellStart"/>
            <w:r w:rsidRPr="00DF4CE5">
              <w:rPr>
                <w:rFonts w:ascii="Cambria" w:hAnsi="Cambria"/>
                <w:lang w:val="it-IT"/>
              </w:rPr>
              <w:lastRenderedPageBreak/>
              <w:t>Pismeni</w:t>
            </w:r>
            <w:proofErr w:type="spellEnd"/>
            <w:r w:rsidRPr="00DF4CE5">
              <w:rPr>
                <w:rFonts w:ascii="Cambria" w:hAnsi="Cambria"/>
                <w:lang w:val="it-IT"/>
              </w:rPr>
              <w:t xml:space="preserve"> </w:t>
            </w:r>
            <w:proofErr w:type="spellStart"/>
            <w:r w:rsidRPr="00DF4CE5">
              <w:rPr>
                <w:rFonts w:ascii="Cambria" w:hAnsi="Cambria"/>
                <w:lang w:val="it-IT"/>
              </w:rPr>
              <w:t>ispit</w:t>
            </w:r>
            <w:proofErr w:type="spellEnd"/>
            <w:r w:rsidRPr="00DF4CE5">
              <w:rPr>
                <w:rFonts w:ascii="Cambria" w:hAnsi="Cambria"/>
                <w:lang w:val="it-IT"/>
              </w:rPr>
              <w:t xml:space="preserve"> </w:t>
            </w:r>
            <w:proofErr w:type="spellStart"/>
            <w:r w:rsidRPr="00DF4CE5">
              <w:rPr>
                <w:rFonts w:ascii="Cambria" w:hAnsi="Cambria"/>
                <w:lang w:val="it-IT"/>
              </w:rPr>
              <w:t>sastoji</w:t>
            </w:r>
            <w:proofErr w:type="spellEnd"/>
            <w:r w:rsidRPr="00DF4CE5">
              <w:rPr>
                <w:rFonts w:ascii="Cambria" w:hAnsi="Cambria"/>
                <w:lang w:val="it-IT"/>
              </w:rPr>
              <w:t xml:space="preserve"> se </w:t>
            </w:r>
            <w:proofErr w:type="gramStart"/>
            <w:r w:rsidRPr="00DF4CE5">
              <w:rPr>
                <w:rFonts w:ascii="Cambria" w:hAnsi="Cambria"/>
                <w:lang w:val="it-IT"/>
              </w:rPr>
              <w:t>od</w:t>
            </w:r>
            <w:proofErr w:type="gramEnd"/>
            <w:r w:rsidRPr="00DF4CE5">
              <w:rPr>
                <w:rFonts w:ascii="Cambria" w:hAnsi="Cambria"/>
                <w:lang w:val="it-IT"/>
              </w:rPr>
              <w:t xml:space="preserve"> 30 </w:t>
            </w:r>
            <w:proofErr w:type="spellStart"/>
            <w:r w:rsidRPr="00DF4CE5">
              <w:rPr>
                <w:rFonts w:ascii="Cambria" w:hAnsi="Cambria"/>
                <w:lang w:val="it-IT"/>
              </w:rPr>
              <w:t>pitanja</w:t>
            </w:r>
            <w:proofErr w:type="spellEnd"/>
            <w:r w:rsidRPr="00DF4CE5">
              <w:rPr>
                <w:rFonts w:ascii="Cambria" w:hAnsi="Cambria"/>
                <w:lang w:val="it-IT"/>
              </w:rPr>
              <w:t xml:space="preserve"> </w:t>
            </w:r>
            <w:proofErr w:type="spellStart"/>
            <w:r w:rsidRPr="00DF4CE5">
              <w:rPr>
                <w:rFonts w:ascii="Cambria" w:hAnsi="Cambria"/>
                <w:lang w:val="it-IT"/>
              </w:rPr>
              <w:t>različitog</w:t>
            </w:r>
            <w:proofErr w:type="spellEnd"/>
            <w:r w:rsidRPr="00DF4CE5">
              <w:rPr>
                <w:rFonts w:ascii="Cambria" w:hAnsi="Cambria"/>
                <w:lang w:val="it-IT"/>
              </w:rPr>
              <w:t xml:space="preserve"> tipa (</w:t>
            </w:r>
            <w:proofErr w:type="spellStart"/>
            <w:r w:rsidRPr="00DF4CE5">
              <w:rPr>
                <w:rFonts w:ascii="Cambria" w:hAnsi="Cambria"/>
                <w:lang w:val="it-IT"/>
              </w:rPr>
              <w:t>višestruki</w:t>
            </w:r>
            <w:proofErr w:type="spellEnd"/>
            <w:r w:rsidRPr="00DF4CE5">
              <w:rPr>
                <w:rFonts w:ascii="Cambria" w:hAnsi="Cambria"/>
                <w:lang w:val="it-IT"/>
              </w:rPr>
              <w:t xml:space="preserve"> </w:t>
            </w:r>
            <w:proofErr w:type="spellStart"/>
            <w:r w:rsidRPr="00DF4CE5">
              <w:rPr>
                <w:rFonts w:ascii="Cambria" w:hAnsi="Cambria"/>
                <w:lang w:val="it-IT"/>
              </w:rPr>
              <w:t>izbor</w:t>
            </w:r>
            <w:proofErr w:type="spellEnd"/>
            <w:r w:rsidRPr="00DF4CE5">
              <w:rPr>
                <w:rFonts w:ascii="Cambria" w:hAnsi="Cambria"/>
                <w:lang w:val="it-IT"/>
              </w:rPr>
              <w:t xml:space="preserve"> i </w:t>
            </w:r>
            <w:proofErr w:type="spellStart"/>
            <w:r w:rsidRPr="00DF4CE5">
              <w:rPr>
                <w:rFonts w:ascii="Cambria" w:hAnsi="Cambria"/>
                <w:lang w:val="it-IT"/>
              </w:rPr>
              <w:t>tvrdnje</w:t>
            </w:r>
            <w:proofErr w:type="spellEnd"/>
            <w:r w:rsidRPr="00DF4CE5">
              <w:rPr>
                <w:rFonts w:ascii="Cambria" w:hAnsi="Cambria"/>
                <w:lang w:val="it-IT"/>
              </w:rPr>
              <w:t xml:space="preserve"> </w:t>
            </w:r>
            <w:proofErr w:type="spellStart"/>
            <w:r w:rsidRPr="00DF4CE5">
              <w:rPr>
                <w:rFonts w:ascii="Cambria" w:hAnsi="Cambria"/>
                <w:lang w:val="it-IT"/>
              </w:rPr>
              <w:t>koje</w:t>
            </w:r>
            <w:proofErr w:type="spellEnd"/>
            <w:r w:rsidRPr="00DF4CE5">
              <w:rPr>
                <w:rFonts w:ascii="Cambria" w:hAnsi="Cambria"/>
                <w:lang w:val="it-IT"/>
              </w:rPr>
              <w:t xml:space="preserve"> </w:t>
            </w:r>
            <w:proofErr w:type="spellStart"/>
            <w:r w:rsidRPr="00DF4CE5">
              <w:rPr>
                <w:rFonts w:ascii="Cambria" w:hAnsi="Cambria"/>
                <w:lang w:val="it-IT"/>
              </w:rPr>
              <w:t>treba</w:t>
            </w:r>
            <w:proofErr w:type="spellEnd"/>
            <w:r w:rsidRPr="00DF4CE5">
              <w:rPr>
                <w:rFonts w:ascii="Cambria" w:hAnsi="Cambria"/>
                <w:lang w:val="it-IT"/>
              </w:rPr>
              <w:t xml:space="preserve"> </w:t>
            </w:r>
            <w:proofErr w:type="spellStart"/>
            <w:r w:rsidRPr="00DF4CE5">
              <w:rPr>
                <w:rFonts w:ascii="Cambria" w:hAnsi="Cambria"/>
                <w:lang w:val="it-IT"/>
              </w:rPr>
              <w:t>dopuniti</w:t>
            </w:r>
            <w:proofErr w:type="spellEnd"/>
            <w:r w:rsidRPr="00DF4CE5">
              <w:rPr>
                <w:rFonts w:ascii="Cambria" w:hAnsi="Cambria"/>
                <w:lang w:val="it-IT"/>
              </w:rPr>
              <w:t xml:space="preserve">). </w:t>
            </w:r>
            <w:proofErr w:type="spellStart"/>
            <w:r w:rsidRPr="00DF4CE5">
              <w:rPr>
                <w:rFonts w:ascii="Cambria" w:hAnsi="Cambria"/>
                <w:lang w:val="it-IT"/>
              </w:rPr>
              <w:t>Ispit</w:t>
            </w:r>
            <w:proofErr w:type="spellEnd"/>
            <w:r w:rsidRPr="00DF4CE5">
              <w:rPr>
                <w:rFonts w:ascii="Cambria" w:hAnsi="Cambria"/>
                <w:lang w:val="it-IT"/>
              </w:rPr>
              <w:t xml:space="preserve"> </w:t>
            </w:r>
            <w:proofErr w:type="spellStart"/>
            <w:r w:rsidRPr="00DF4CE5">
              <w:rPr>
                <w:rFonts w:ascii="Cambria" w:hAnsi="Cambria"/>
                <w:lang w:val="it-IT"/>
              </w:rPr>
              <w:t>obuhvaća</w:t>
            </w:r>
            <w:proofErr w:type="spellEnd"/>
            <w:r w:rsidRPr="00DF4CE5">
              <w:rPr>
                <w:rFonts w:ascii="Cambria" w:hAnsi="Cambria"/>
                <w:lang w:val="it-IT"/>
              </w:rPr>
              <w:t xml:space="preserve"> gradivo </w:t>
            </w:r>
            <w:proofErr w:type="spellStart"/>
            <w:r w:rsidRPr="00DF4CE5">
              <w:rPr>
                <w:rFonts w:ascii="Cambria" w:hAnsi="Cambria"/>
                <w:lang w:val="it-IT"/>
              </w:rPr>
              <w:t>cijelog</w:t>
            </w:r>
            <w:proofErr w:type="spellEnd"/>
            <w:r w:rsidRPr="00DF4CE5">
              <w:rPr>
                <w:rFonts w:ascii="Cambria" w:hAnsi="Cambria"/>
                <w:lang w:val="it-IT"/>
              </w:rPr>
              <w:t xml:space="preserve"> </w:t>
            </w:r>
            <w:proofErr w:type="spellStart"/>
            <w:r w:rsidRPr="00DF4CE5">
              <w:rPr>
                <w:rFonts w:ascii="Cambria" w:hAnsi="Cambria"/>
                <w:lang w:val="it-IT"/>
              </w:rPr>
              <w:t>kolegija</w:t>
            </w:r>
            <w:proofErr w:type="spellEnd"/>
            <w:r w:rsidRPr="00DF4CE5">
              <w:rPr>
                <w:rFonts w:ascii="Cambria" w:hAnsi="Cambria"/>
                <w:lang w:val="it-IT"/>
              </w:rPr>
              <w:t xml:space="preserve">. </w:t>
            </w:r>
            <w:proofErr w:type="spellStart"/>
            <w:r w:rsidRPr="00DF4CE5">
              <w:rPr>
                <w:rFonts w:ascii="Cambria" w:hAnsi="Cambria"/>
                <w:lang w:val="it-IT"/>
              </w:rPr>
              <w:t>Udio</w:t>
            </w:r>
            <w:proofErr w:type="spellEnd"/>
            <w:r w:rsidRPr="00DF4CE5">
              <w:rPr>
                <w:rFonts w:ascii="Cambria" w:hAnsi="Cambria"/>
                <w:lang w:val="it-IT"/>
              </w:rPr>
              <w:t xml:space="preserve"> </w:t>
            </w:r>
            <w:proofErr w:type="spellStart"/>
            <w:r w:rsidRPr="00DF4CE5">
              <w:rPr>
                <w:rFonts w:ascii="Cambria" w:hAnsi="Cambria"/>
                <w:lang w:val="it-IT"/>
              </w:rPr>
              <w:t>pojedinog</w:t>
            </w:r>
            <w:proofErr w:type="spellEnd"/>
            <w:r w:rsidRPr="00DF4CE5">
              <w:rPr>
                <w:rFonts w:ascii="Cambria" w:hAnsi="Cambria"/>
                <w:lang w:val="it-IT"/>
              </w:rPr>
              <w:t xml:space="preserve"> </w:t>
            </w:r>
            <w:proofErr w:type="spellStart"/>
            <w:r w:rsidRPr="00DF4CE5">
              <w:rPr>
                <w:rFonts w:ascii="Cambria" w:hAnsi="Cambria"/>
                <w:lang w:val="it-IT"/>
              </w:rPr>
              <w:t>odgovora</w:t>
            </w:r>
            <w:proofErr w:type="spellEnd"/>
            <w:r w:rsidRPr="00DF4CE5">
              <w:rPr>
                <w:rFonts w:ascii="Cambria" w:hAnsi="Cambria"/>
                <w:lang w:val="it-IT"/>
              </w:rPr>
              <w:t xml:space="preserve"> u </w:t>
            </w:r>
            <w:proofErr w:type="spellStart"/>
            <w:r w:rsidRPr="00DF4CE5">
              <w:rPr>
                <w:rFonts w:ascii="Cambria" w:hAnsi="Cambria"/>
                <w:lang w:val="it-IT"/>
              </w:rPr>
              <w:t>ukupnoj</w:t>
            </w:r>
            <w:proofErr w:type="spellEnd"/>
            <w:r w:rsidRPr="00DF4CE5">
              <w:rPr>
                <w:rFonts w:ascii="Cambria" w:hAnsi="Cambria"/>
                <w:lang w:val="it-IT"/>
              </w:rPr>
              <w:t xml:space="preserve"> </w:t>
            </w:r>
            <w:proofErr w:type="spellStart"/>
            <w:r w:rsidRPr="00DF4CE5">
              <w:rPr>
                <w:rFonts w:ascii="Cambria" w:hAnsi="Cambria"/>
                <w:lang w:val="it-IT"/>
              </w:rPr>
              <w:t>ocjeni</w:t>
            </w:r>
            <w:proofErr w:type="spellEnd"/>
            <w:r w:rsidRPr="00DF4CE5">
              <w:rPr>
                <w:rFonts w:ascii="Cambria" w:hAnsi="Cambria"/>
                <w:lang w:val="it-IT"/>
              </w:rPr>
              <w:t xml:space="preserve"> </w:t>
            </w:r>
            <w:proofErr w:type="spellStart"/>
            <w:r w:rsidRPr="00DF4CE5">
              <w:rPr>
                <w:rFonts w:ascii="Cambria" w:hAnsi="Cambria"/>
                <w:lang w:val="it-IT"/>
              </w:rPr>
              <w:t>kolegija</w:t>
            </w:r>
            <w:proofErr w:type="spellEnd"/>
            <w:r w:rsidRPr="00DF4CE5">
              <w:rPr>
                <w:rFonts w:ascii="Cambria" w:hAnsi="Cambria"/>
                <w:lang w:val="it-IT"/>
              </w:rPr>
              <w:t xml:space="preserve"> je </w:t>
            </w:r>
            <w:proofErr w:type="spellStart"/>
            <w:r w:rsidRPr="00DF4CE5">
              <w:rPr>
                <w:rFonts w:ascii="Cambria" w:hAnsi="Cambria"/>
                <w:lang w:val="it-IT"/>
              </w:rPr>
              <w:t>sljedeći</w:t>
            </w:r>
            <w:proofErr w:type="spellEnd"/>
            <w:r w:rsidRPr="00DF4CE5">
              <w:rPr>
                <w:rFonts w:ascii="Cambria" w:hAnsi="Cambria"/>
                <w:lang w:val="it-IT"/>
              </w:rPr>
              <w:t>:</w:t>
            </w:r>
          </w:p>
          <w:p w14:paraId="3EE03031" w14:textId="77777777" w:rsidR="001C42AA" w:rsidRPr="00DF4CE5" w:rsidRDefault="001C42AA" w:rsidP="00A034E3">
            <w:pPr>
              <w:numPr>
                <w:ilvl w:val="0"/>
                <w:numId w:val="58"/>
              </w:numPr>
              <w:tabs>
                <w:tab w:val="clear" w:pos="1440"/>
                <w:tab w:val="num" w:pos="720"/>
              </w:tabs>
              <w:spacing w:after="0" w:line="240" w:lineRule="atLeast"/>
              <w:ind w:left="720"/>
              <w:jc w:val="both"/>
              <w:rPr>
                <w:rFonts w:ascii="Cambria" w:hAnsi="Cambria"/>
              </w:rPr>
            </w:pPr>
            <w:r w:rsidRPr="00DF4CE5">
              <w:rPr>
                <w:rFonts w:ascii="Cambria" w:hAnsi="Cambria"/>
              </w:rPr>
              <w:t xml:space="preserve">1 % </w:t>
            </w:r>
            <w:proofErr w:type="spellStart"/>
            <w:r w:rsidRPr="00DF4CE5">
              <w:rPr>
                <w:rFonts w:ascii="Cambria" w:hAnsi="Cambria"/>
              </w:rPr>
              <w:t>ako</w:t>
            </w:r>
            <w:proofErr w:type="spellEnd"/>
            <w:r w:rsidRPr="00DF4CE5">
              <w:rPr>
                <w:rFonts w:ascii="Cambria" w:hAnsi="Cambria"/>
              </w:rPr>
              <w:t xml:space="preserve"> je </w:t>
            </w:r>
            <w:proofErr w:type="spellStart"/>
            <w:r w:rsidRPr="00DF4CE5">
              <w:rPr>
                <w:rFonts w:ascii="Cambria" w:hAnsi="Cambria"/>
              </w:rPr>
              <w:t>odgovor</w:t>
            </w:r>
            <w:proofErr w:type="spellEnd"/>
            <w:r w:rsidRPr="00DF4CE5">
              <w:rPr>
                <w:rFonts w:ascii="Cambria" w:hAnsi="Cambria"/>
              </w:rPr>
              <w:t xml:space="preserve"> </w:t>
            </w:r>
            <w:proofErr w:type="spellStart"/>
            <w:r w:rsidRPr="00DF4CE5">
              <w:rPr>
                <w:rFonts w:ascii="Cambria" w:hAnsi="Cambria"/>
              </w:rPr>
              <w:t>točan</w:t>
            </w:r>
            <w:proofErr w:type="spellEnd"/>
          </w:p>
          <w:p w14:paraId="39A5A264" w14:textId="77777777" w:rsidR="001C42AA" w:rsidRPr="00DF4CE5" w:rsidRDefault="001C42AA" w:rsidP="00A034E3">
            <w:pPr>
              <w:numPr>
                <w:ilvl w:val="0"/>
                <w:numId w:val="58"/>
              </w:numPr>
              <w:tabs>
                <w:tab w:val="clear" w:pos="1440"/>
                <w:tab w:val="num" w:pos="720"/>
              </w:tabs>
              <w:spacing w:after="0" w:line="240" w:lineRule="atLeast"/>
              <w:ind w:left="720"/>
              <w:jc w:val="both"/>
              <w:rPr>
                <w:rFonts w:ascii="Cambria" w:hAnsi="Cambria"/>
                <w:lang w:val="it-IT"/>
              </w:rPr>
            </w:pPr>
            <w:r w:rsidRPr="00DF4CE5">
              <w:rPr>
                <w:rFonts w:ascii="Cambria" w:hAnsi="Cambria"/>
                <w:lang w:val="it-IT"/>
              </w:rPr>
              <w:t xml:space="preserve">0 </w:t>
            </w:r>
            <w:proofErr w:type="spellStart"/>
            <w:r w:rsidRPr="00DF4CE5">
              <w:rPr>
                <w:rFonts w:ascii="Cambria" w:hAnsi="Cambria"/>
                <w:lang w:val="it-IT"/>
              </w:rPr>
              <w:t>ako</w:t>
            </w:r>
            <w:proofErr w:type="spellEnd"/>
            <w:r w:rsidRPr="00DF4CE5">
              <w:rPr>
                <w:rFonts w:ascii="Cambria" w:hAnsi="Cambria"/>
                <w:lang w:val="it-IT"/>
              </w:rPr>
              <w:t xml:space="preserve"> </w:t>
            </w:r>
            <w:proofErr w:type="spellStart"/>
            <w:r w:rsidRPr="00DF4CE5">
              <w:rPr>
                <w:rFonts w:ascii="Cambria" w:hAnsi="Cambria"/>
                <w:lang w:val="it-IT"/>
              </w:rPr>
              <w:t>odgovora</w:t>
            </w:r>
            <w:proofErr w:type="spellEnd"/>
            <w:r w:rsidRPr="00DF4CE5">
              <w:rPr>
                <w:rFonts w:ascii="Cambria" w:hAnsi="Cambria"/>
                <w:lang w:val="it-IT"/>
              </w:rPr>
              <w:t xml:space="preserve"> </w:t>
            </w:r>
            <w:proofErr w:type="spellStart"/>
            <w:r w:rsidRPr="00DF4CE5">
              <w:rPr>
                <w:rFonts w:ascii="Cambria" w:hAnsi="Cambria"/>
                <w:lang w:val="it-IT"/>
              </w:rPr>
              <w:t>nema</w:t>
            </w:r>
            <w:proofErr w:type="spellEnd"/>
            <w:r w:rsidRPr="00DF4CE5">
              <w:rPr>
                <w:rFonts w:ascii="Cambria" w:hAnsi="Cambria"/>
                <w:lang w:val="it-IT"/>
              </w:rPr>
              <w:t xml:space="preserve"> ili </w:t>
            </w:r>
            <w:proofErr w:type="spellStart"/>
            <w:r w:rsidRPr="00DF4CE5">
              <w:rPr>
                <w:rFonts w:ascii="Cambria" w:hAnsi="Cambria"/>
                <w:lang w:val="it-IT"/>
              </w:rPr>
              <w:t>ako</w:t>
            </w:r>
            <w:proofErr w:type="spellEnd"/>
            <w:r w:rsidRPr="00DF4CE5">
              <w:rPr>
                <w:rFonts w:ascii="Cambria" w:hAnsi="Cambria"/>
                <w:lang w:val="it-IT"/>
              </w:rPr>
              <w:t xml:space="preserve"> je </w:t>
            </w:r>
            <w:proofErr w:type="spellStart"/>
            <w:r w:rsidRPr="00DF4CE5">
              <w:rPr>
                <w:rFonts w:ascii="Cambria" w:hAnsi="Cambria"/>
                <w:lang w:val="it-IT"/>
              </w:rPr>
              <w:t>netočan</w:t>
            </w:r>
            <w:proofErr w:type="spellEnd"/>
            <w:r w:rsidRPr="00DF4CE5">
              <w:rPr>
                <w:rFonts w:ascii="Cambria" w:hAnsi="Cambria"/>
                <w:lang w:val="it-IT"/>
              </w:rPr>
              <w:t xml:space="preserve"> </w:t>
            </w:r>
          </w:p>
          <w:p w14:paraId="2253A0F5" w14:textId="1897B41C" w:rsidR="001C42AA" w:rsidRPr="00DF4CE5" w:rsidRDefault="001C42AA" w:rsidP="001C42AA">
            <w:pPr>
              <w:spacing w:after="0" w:line="240" w:lineRule="atLeast"/>
              <w:rPr>
                <w:rFonts w:ascii="Cambria" w:hAnsi="Cambria"/>
                <w:lang w:val="it-IT"/>
              </w:rPr>
            </w:pPr>
            <w:proofErr w:type="spellStart"/>
            <w:r w:rsidRPr="00DF4CE5">
              <w:rPr>
                <w:rFonts w:ascii="Cambria" w:hAnsi="Cambria"/>
                <w:lang w:val="it-IT"/>
              </w:rPr>
              <w:t>Ako</w:t>
            </w:r>
            <w:proofErr w:type="spellEnd"/>
            <w:r w:rsidRPr="00DF4CE5">
              <w:rPr>
                <w:rFonts w:ascii="Cambria" w:hAnsi="Cambria"/>
                <w:lang w:val="it-IT"/>
              </w:rPr>
              <w:t xml:space="preserve"> je </w:t>
            </w:r>
            <w:proofErr w:type="spellStart"/>
            <w:r w:rsidRPr="00DF4CE5">
              <w:rPr>
                <w:rFonts w:ascii="Cambria" w:hAnsi="Cambria"/>
                <w:lang w:val="it-IT"/>
              </w:rPr>
              <w:t>manje</w:t>
            </w:r>
            <w:proofErr w:type="spellEnd"/>
            <w:r w:rsidRPr="00DF4CE5">
              <w:rPr>
                <w:rFonts w:ascii="Cambria" w:hAnsi="Cambria"/>
                <w:lang w:val="it-IT"/>
              </w:rPr>
              <w:t xml:space="preserve"> </w:t>
            </w:r>
            <w:proofErr w:type="gramStart"/>
            <w:r w:rsidRPr="00DF4CE5">
              <w:rPr>
                <w:rFonts w:ascii="Cambria" w:hAnsi="Cambria"/>
                <w:lang w:val="it-IT"/>
              </w:rPr>
              <w:t>od</w:t>
            </w:r>
            <w:proofErr w:type="gramEnd"/>
            <w:r w:rsidRPr="00DF4CE5">
              <w:rPr>
                <w:rFonts w:ascii="Cambria" w:hAnsi="Cambria"/>
                <w:lang w:val="it-IT"/>
              </w:rPr>
              <w:t xml:space="preserve"> </w:t>
            </w:r>
            <w:proofErr w:type="spellStart"/>
            <w:r w:rsidRPr="00DF4CE5">
              <w:rPr>
                <w:rFonts w:ascii="Cambria" w:hAnsi="Cambria"/>
                <w:lang w:val="it-IT"/>
              </w:rPr>
              <w:t>polovice</w:t>
            </w:r>
            <w:proofErr w:type="spellEnd"/>
            <w:r w:rsidRPr="00DF4CE5">
              <w:rPr>
                <w:rFonts w:ascii="Cambria" w:hAnsi="Cambria"/>
                <w:lang w:val="it-IT"/>
              </w:rPr>
              <w:t xml:space="preserve"> </w:t>
            </w:r>
            <w:proofErr w:type="spellStart"/>
            <w:r w:rsidRPr="00DF4CE5">
              <w:rPr>
                <w:rFonts w:ascii="Cambria" w:hAnsi="Cambria"/>
                <w:lang w:val="it-IT"/>
              </w:rPr>
              <w:t>točnih</w:t>
            </w:r>
            <w:proofErr w:type="spellEnd"/>
            <w:r w:rsidRPr="00DF4CE5">
              <w:rPr>
                <w:rFonts w:ascii="Cambria" w:hAnsi="Cambria"/>
                <w:lang w:val="it-IT"/>
              </w:rPr>
              <w:t xml:space="preserve"> </w:t>
            </w:r>
            <w:proofErr w:type="spellStart"/>
            <w:r w:rsidRPr="00DF4CE5">
              <w:rPr>
                <w:rFonts w:ascii="Cambria" w:hAnsi="Cambria"/>
                <w:lang w:val="it-IT"/>
              </w:rPr>
              <w:t>odgovora</w:t>
            </w:r>
            <w:proofErr w:type="spellEnd"/>
            <w:r w:rsidRPr="00DF4CE5">
              <w:rPr>
                <w:rFonts w:ascii="Cambria" w:hAnsi="Cambria"/>
                <w:lang w:val="it-IT"/>
              </w:rPr>
              <w:t xml:space="preserve"> u </w:t>
            </w:r>
            <w:proofErr w:type="spellStart"/>
            <w:r w:rsidRPr="00DF4CE5">
              <w:rPr>
                <w:rFonts w:ascii="Cambria" w:hAnsi="Cambria"/>
                <w:lang w:val="it-IT"/>
              </w:rPr>
              <w:t>ispitu</w:t>
            </w:r>
            <w:proofErr w:type="spellEnd"/>
            <w:r w:rsidRPr="00DF4CE5">
              <w:rPr>
                <w:rFonts w:ascii="Cambria" w:hAnsi="Cambria"/>
                <w:lang w:val="it-IT"/>
              </w:rPr>
              <w:t xml:space="preserve">, </w:t>
            </w:r>
            <w:proofErr w:type="spellStart"/>
            <w:r w:rsidRPr="00DF4CE5">
              <w:rPr>
                <w:rFonts w:ascii="Cambria" w:hAnsi="Cambria"/>
                <w:lang w:val="it-IT"/>
              </w:rPr>
              <w:t>ispit</w:t>
            </w:r>
            <w:proofErr w:type="spellEnd"/>
            <w:r w:rsidRPr="00DF4CE5">
              <w:rPr>
                <w:rFonts w:ascii="Cambria" w:hAnsi="Cambria"/>
                <w:lang w:val="it-IT"/>
              </w:rPr>
              <w:t xml:space="preserve"> </w:t>
            </w:r>
            <w:proofErr w:type="spellStart"/>
            <w:r w:rsidRPr="00DF4CE5">
              <w:rPr>
                <w:rFonts w:ascii="Cambria" w:hAnsi="Cambria"/>
                <w:lang w:val="it-IT"/>
              </w:rPr>
              <w:t>nije</w:t>
            </w:r>
            <w:proofErr w:type="spellEnd"/>
            <w:r w:rsidRPr="00DF4CE5">
              <w:rPr>
                <w:rFonts w:ascii="Cambria" w:hAnsi="Cambria"/>
                <w:lang w:val="it-IT"/>
              </w:rPr>
              <w:t xml:space="preserve"> </w:t>
            </w:r>
            <w:proofErr w:type="spellStart"/>
            <w:r w:rsidRPr="00DF4CE5">
              <w:rPr>
                <w:rFonts w:ascii="Cambria" w:hAnsi="Cambria"/>
                <w:lang w:val="it-IT"/>
              </w:rPr>
              <w:t>položen</w:t>
            </w:r>
            <w:proofErr w:type="spellEnd"/>
            <w:r w:rsidR="00C76B98">
              <w:rPr>
                <w:rFonts w:ascii="Cambria" w:hAnsi="Cambria"/>
                <w:lang w:val="it-IT"/>
              </w:rPr>
              <w:t xml:space="preserve"> (</w:t>
            </w:r>
            <w:proofErr w:type="spellStart"/>
            <w:r w:rsidRPr="00DF4CE5">
              <w:rPr>
                <w:rFonts w:ascii="Cambria" w:hAnsi="Cambria"/>
                <w:lang w:val="it-IT"/>
              </w:rPr>
              <w:t>polovica</w:t>
            </w:r>
            <w:proofErr w:type="spellEnd"/>
            <w:r w:rsidRPr="00DF4CE5">
              <w:rPr>
                <w:rFonts w:ascii="Cambria" w:hAnsi="Cambria"/>
                <w:lang w:val="it-IT"/>
              </w:rPr>
              <w:t xml:space="preserve"> </w:t>
            </w:r>
            <w:proofErr w:type="spellStart"/>
            <w:r w:rsidRPr="00DF4CE5">
              <w:rPr>
                <w:rFonts w:ascii="Cambria" w:hAnsi="Cambria"/>
                <w:lang w:val="it-IT"/>
              </w:rPr>
              <w:t>točnih</w:t>
            </w:r>
            <w:proofErr w:type="spellEnd"/>
            <w:r w:rsidRPr="00DF4CE5">
              <w:rPr>
                <w:rFonts w:ascii="Cambria" w:hAnsi="Cambria"/>
                <w:lang w:val="it-IT"/>
              </w:rPr>
              <w:t xml:space="preserve"> </w:t>
            </w:r>
            <w:proofErr w:type="spellStart"/>
            <w:r w:rsidRPr="00DF4CE5">
              <w:rPr>
                <w:rFonts w:ascii="Cambria" w:hAnsi="Cambria"/>
                <w:lang w:val="it-IT"/>
              </w:rPr>
              <w:t>odgovora</w:t>
            </w:r>
            <w:proofErr w:type="spellEnd"/>
            <w:r w:rsidRPr="00DF4CE5">
              <w:rPr>
                <w:rFonts w:ascii="Cambria" w:hAnsi="Cambria"/>
                <w:lang w:val="it-IT"/>
              </w:rPr>
              <w:t xml:space="preserve"> </w:t>
            </w:r>
            <w:proofErr w:type="spellStart"/>
            <w:r w:rsidRPr="00DF4CE5">
              <w:rPr>
                <w:rFonts w:ascii="Cambria" w:hAnsi="Cambria"/>
                <w:lang w:val="it-IT"/>
              </w:rPr>
              <w:t>nije</w:t>
            </w:r>
            <w:proofErr w:type="spellEnd"/>
            <w:r w:rsidRPr="00DF4CE5">
              <w:rPr>
                <w:rFonts w:ascii="Cambria" w:hAnsi="Cambria"/>
                <w:lang w:val="it-IT"/>
              </w:rPr>
              <w:t xml:space="preserve"> </w:t>
            </w:r>
            <w:proofErr w:type="spellStart"/>
            <w:r w:rsidRPr="00DF4CE5">
              <w:rPr>
                <w:rFonts w:ascii="Cambria" w:hAnsi="Cambria"/>
                <w:lang w:val="it-IT"/>
              </w:rPr>
              <w:t>garancija</w:t>
            </w:r>
            <w:proofErr w:type="spellEnd"/>
            <w:r w:rsidRPr="00DF4CE5">
              <w:rPr>
                <w:rFonts w:ascii="Cambria" w:hAnsi="Cambria"/>
                <w:lang w:val="it-IT"/>
              </w:rPr>
              <w:t xml:space="preserve"> </w:t>
            </w:r>
            <w:proofErr w:type="spellStart"/>
            <w:r w:rsidRPr="00DF4CE5">
              <w:rPr>
                <w:rFonts w:ascii="Cambria" w:hAnsi="Cambria"/>
                <w:lang w:val="it-IT"/>
              </w:rPr>
              <w:t>pozitivne</w:t>
            </w:r>
            <w:proofErr w:type="spellEnd"/>
            <w:r w:rsidRPr="00DF4CE5">
              <w:rPr>
                <w:rFonts w:ascii="Cambria" w:hAnsi="Cambria"/>
                <w:lang w:val="it-IT"/>
              </w:rPr>
              <w:t xml:space="preserve"> </w:t>
            </w:r>
            <w:proofErr w:type="spellStart"/>
            <w:r w:rsidRPr="00DF4CE5">
              <w:rPr>
                <w:rFonts w:ascii="Cambria" w:hAnsi="Cambria"/>
                <w:lang w:val="it-IT"/>
              </w:rPr>
              <w:t>ocjene</w:t>
            </w:r>
            <w:proofErr w:type="spellEnd"/>
            <w:r w:rsidRPr="00DF4CE5">
              <w:rPr>
                <w:rFonts w:ascii="Cambria" w:hAnsi="Cambria"/>
                <w:lang w:val="it-IT"/>
              </w:rPr>
              <w:t xml:space="preserve"> </w:t>
            </w:r>
            <w:proofErr w:type="spellStart"/>
            <w:r w:rsidRPr="00DF4CE5">
              <w:rPr>
                <w:rFonts w:ascii="Cambria" w:hAnsi="Cambria"/>
                <w:lang w:val="it-IT"/>
              </w:rPr>
              <w:t>iz</w:t>
            </w:r>
            <w:proofErr w:type="spellEnd"/>
            <w:r w:rsidRPr="00DF4CE5">
              <w:rPr>
                <w:rFonts w:ascii="Cambria" w:hAnsi="Cambria"/>
                <w:lang w:val="it-IT"/>
              </w:rPr>
              <w:t xml:space="preserve"> </w:t>
            </w:r>
            <w:proofErr w:type="spellStart"/>
            <w:r w:rsidRPr="00DF4CE5">
              <w:rPr>
                <w:rFonts w:ascii="Cambria" w:hAnsi="Cambria"/>
                <w:lang w:val="it-IT"/>
              </w:rPr>
              <w:t>kolegija</w:t>
            </w:r>
            <w:proofErr w:type="spellEnd"/>
            <w:r w:rsidRPr="00DF4CE5">
              <w:rPr>
                <w:rFonts w:ascii="Cambria" w:hAnsi="Cambria"/>
                <w:lang w:val="it-IT"/>
              </w:rPr>
              <w:t xml:space="preserve"> </w:t>
            </w:r>
            <w:proofErr w:type="spellStart"/>
            <w:r w:rsidRPr="00DF4CE5">
              <w:rPr>
                <w:rFonts w:ascii="Cambria" w:hAnsi="Cambria"/>
                <w:lang w:val="it-IT"/>
              </w:rPr>
              <w:t>jer</w:t>
            </w:r>
            <w:proofErr w:type="spellEnd"/>
            <w:r w:rsidRPr="00DF4CE5">
              <w:rPr>
                <w:rFonts w:ascii="Cambria" w:hAnsi="Cambria"/>
                <w:lang w:val="it-IT"/>
              </w:rPr>
              <w:t xml:space="preserve"> se </w:t>
            </w:r>
            <w:proofErr w:type="spellStart"/>
            <w:r w:rsidRPr="00DF4CE5">
              <w:rPr>
                <w:rFonts w:ascii="Cambria" w:hAnsi="Cambria"/>
                <w:lang w:val="it-IT"/>
              </w:rPr>
              <w:t>ukupna</w:t>
            </w:r>
            <w:proofErr w:type="spellEnd"/>
            <w:r w:rsidRPr="00DF4CE5">
              <w:rPr>
                <w:rFonts w:ascii="Cambria" w:hAnsi="Cambria"/>
                <w:lang w:val="it-IT"/>
              </w:rPr>
              <w:t xml:space="preserve"> </w:t>
            </w:r>
            <w:proofErr w:type="spellStart"/>
            <w:r w:rsidRPr="00DF4CE5">
              <w:rPr>
                <w:rFonts w:ascii="Cambria" w:hAnsi="Cambria"/>
                <w:lang w:val="it-IT"/>
              </w:rPr>
              <w:t>ocjena</w:t>
            </w:r>
            <w:proofErr w:type="spellEnd"/>
            <w:r w:rsidRPr="00DF4CE5">
              <w:rPr>
                <w:rFonts w:ascii="Cambria" w:hAnsi="Cambria"/>
                <w:lang w:val="it-IT"/>
              </w:rPr>
              <w:t xml:space="preserve"> </w:t>
            </w:r>
            <w:proofErr w:type="spellStart"/>
            <w:r w:rsidRPr="00DF4CE5">
              <w:rPr>
                <w:rFonts w:ascii="Cambria" w:hAnsi="Cambria"/>
                <w:lang w:val="it-IT"/>
              </w:rPr>
              <w:t>dobiva</w:t>
            </w:r>
            <w:proofErr w:type="spellEnd"/>
            <w:r w:rsidRPr="00DF4CE5">
              <w:rPr>
                <w:rFonts w:ascii="Cambria" w:hAnsi="Cambria"/>
                <w:lang w:val="it-IT"/>
              </w:rPr>
              <w:t xml:space="preserve"> </w:t>
            </w:r>
            <w:proofErr w:type="spellStart"/>
            <w:r w:rsidRPr="00DF4CE5">
              <w:rPr>
                <w:rFonts w:ascii="Cambria" w:hAnsi="Cambria"/>
                <w:lang w:val="it-IT"/>
              </w:rPr>
              <w:t>zbrajanjem</w:t>
            </w:r>
            <w:proofErr w:type="spellEnd"/>
            <w:r w:rsidRPr="00DF4CE5">
              <w:rPr>
                <w:rFonts w:ascii="Cambria" w:hAnsi="Cambria"/>
                <w:lang w:val="it-IT"/>
              </w:rPr>
              <w:t xml:space="preserve"> </w:t>
            </w:r>
            <w:proofErr w:type="spellStart"/>
            <w:r w:rsidRPr="00DF4CE5">
              <w:rPr>
                <w:rFonts w:ascii="Cambria" w:hAnsi="Cambria"/>
                <w:lang w:val="it-IT"/>
              </w:rPr>
              <w:t>svih</w:t>
            </w:r>
            <w:proofErr w:type="spellEnd"/>
            <w:r w:rsidRPr="00DF4CE5">
              <w:rPr>
                <w:rFonts w:ascii="Cambria" w:hAnsi="Cambria"/>
                <w:lang w:val="it-IT"/>
              </w:rPr>
              <w:t xml:space="preserve"> </w:t>
            </w:r>
            <w:proofErr w:type="spellStart"/>
            <w:r w:rsidRPr="00DF4CE5">
              <w:rPr>
                <w:rFonts w:ascii="Cambria" w:hAnsi="Cambria"/>
                <w:lang w:val="it-IT"/>
              </w:rPr>
              <w:t>postotaka</w:t>
            </w:r>
            <w:proofErr w:type="spellEnd"/>
            <w:r w:rsidR="00C76B98">
              <w:rPr>
                <w:rFonts w:ascii="Cambria" w:hAnsi="Cambria"/>
                <w:lang w:val="it-IT"/>
              </w:rPr>
              <w:t>)</w:t>
            </w:r>
            <w:r w:rsidRPr="00DF4CE5">
              <w:rPr>
                <w:rFonts w:ascii="Cambria" w:hAnsi="Cambria"/>
                <w:lang w:val="it-IT"/>
              </w:rPr>
              <w:t>.</w:t>
            </w:r>
          </w:p>
        </w:tc>
      </w:tr>
      <w:tr w:rsidR="001C42AA" w:rsidRPr="00D0399C" w14:paraId="5AFEC4BA" w14:textId="77777777" w:rsidTr="00B31C4B">
        <w:tc>
          <w:tcPr>
            <w:tcW w:w="281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Mar>
              <w:top w:w="72" w:type="dxa"/>
              <w:left w:w="144" w:type="dxa"/>
              <w:bottom w:w="72" w:type="dxa"/>
              <w:right w:w="144" w:type="dxa"/>
            </w:tcMar>
            <w:vAlign w:val="center"/>
          </w:tcPr>
          <w:p w14:paraId="67D8A5D4" w14:textId="77777777" w:rsidR="001C42AA" w:rsidRPr="00DF4CE5" w:rsidRDefault="001C42AA" w:rsidP="001C42AA">
            <w:pPr>
              <w:spacing w:after="0" w:line="240" w:lineRule="atLeast"/>
              <w:rPr>
                <w:rFonts w:ascii="Cambria" w:hAnsi="Cambria"/>
              </w:rPr>
            </w:pPr>
            <w:proofErr w:type="spellStart"/>
            <w:r w:rsidRPr="00DF4CE5">
              <w:rPr>
                <w:rFonts w:ascii="Cambria" w:hAnsi="Cambria"/>
              </w:rPr>
              <w:lastRenderedPageBreak/>
              <w:t>Studentske</w:t>
            </w:r>
            <w:proofErr w:type="spellEnd"/>
            <w:r w:rsidRPr="00DF4CE5">
              <w:rPr>
                <w:rFonts w:ascii="Cambria" w:hAnsi="Cambria"/>
              </w:rPr>
              <w:t xml:space="preserve"> </w:t>
            </w:r>
            <w:proofErr w:type="spellStart"/>
            <w:r w:rsidRPr="00DF4CE5">
              <w:rPr>
                <w:rFonts w:ascii="Cambria" w:hAnsi="Cambria"/>
              </w:rPr>
              <w:t>obveze</w:t>
            </w:r>
            <w:proofErr w:type="spellEnd"/>
          </w:p>
        </w:tc>
        <w:tc>
          <w:tcPr>
            <w:tcW w:w="7206"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2" w:type="dxa"/>
              <w:left w:w="144" w:type="dxa"/>
              <w:bottom w:w="72" w:type="dxa"/>
              <w:right w:w="144" w:type="dxa"/>
            </w:tcMar>
            <w:vAlign w:val="center"/>
          </w:tcPr>
          <w:p w14:paraId="7D5EAB6D" w14:textId="77777777" w:rsidR="001C42AA" w:rsidRPr="00DF4CE5" w:rsidRDefault="001C42AA" w:rsidP="001C42AA">
            <w:pPr>
              <w:spacing w:after="0" w:line="240" w:lineRule="atLeast"/>
              <w:rPr>
                <w:rFonts w:ascii="Cambria" w:hAnsi="Cambria"/>
                <w:lang w:val="it-IT"/>
              </w:rPr>
            </w:pPr>
            <w:r w:rsidRPr="00DF4CE5">
              <w:rPr>
                <w:rFonts w:ascii="Cambria" w:hAnsi="Cambria"/>
                <w:lang w:val="it-IT"/>
              </w:rPr>
              <w:t xml:space="preserve">Da </w:t>
            </w:r>
            <w:proofErr w:type="spellStart"/>
            <w:r w:rsidRPr="00DF4CE5">
              <w:rPr>
                <w:rFonts w:ascii="Cambria" w:hAnsi="Cambria"/>
                <w:lang w:val="it-IT"/>
              </w:rPr>
              <w:t>položi</w:t>
            </w:r>
            <w:proofErr w:type="spellEnd"/>
            <w:r w:rsidRPr="00DF4CE5">
              <w:rPr>
                <w:rFonts w:ascii="Cambria" w:hAnsi="Cambria"/>
                <w:lang w:val="it-IT"/>
              </w:rPr>
              <w:t xml:space="preserve"> </w:t>
            </w:r>
            <w:proofErr w:type="spellStart"/>
            <w:r w:rsidRPr="00DF4CE5">
              <w:rPr>
                <w:rFonts w:ascii="Cambria" w:hAnsi="Cambria"/>
                <w:lang w:val="it-IT"/>
              </w:rPr>
              <w:t>kolegij</w:t>
            </w:r>
            <w:proofErr w:type="spellEnd"/>
            <w:r w:rsidRPr="00DF4CE5">
              <w:rPr>
                <w:rFonts w:ascii="Cambria" w:hAnsi="Cambria"/>
                <w:lang w:val="it-IT"/>
              </w:rPr>
              <w:t xml:space="preserve">, </w:t>
            </w:r>
            <w:proofErr w:type="spellStart"/>
            <w:r w:rsidRPr="00DF4CE5">
              <w:rPr>
                <w:rFonts w:ascii="Cambria" w:hAnsi="Cambria"/>
                <w:lang w:val="it-IT"/>
              </w:rPr>
              <w:t>student</w:t>
            </w:r>
            <w:proofErr w:type="spellEnd"/>
            <w:r w:rsidRPr="00DF4CE5">
              <w:rPr>
                <w:rFonts w:ascii="Cambria" w:hAnsi="Cambria"/>
                <w:lang w:val="it-IT"/>
              </w:rPr>
              <w:t>/</w:t>
            </w:r>
            <w:proofErr w:type="spellStart"/>
            <w:r w:rsidRPr="00DF4CE5">
              <w:rPr>
                <w:rFonts w:ascii="Cambria" w:hAnsi="Cambria"/>
                <w:lang w:val="it-IT"/>
              </w:rPr>
              <w:t>studentica</w:t>
            </w:r>
            <w:proofErr w:type="spellEnd"/>
            <w:r w:rsidRPr="00DF4CE5">
              <w:rPr>
                <w:rFonts w:ascii="Cambria" w:hAnsi="Cambria"/>
                <w:lang w:val="it-IT"/>
              </w:rPr>
              <w:t xml:space="preserve"> mora: </w:t>
            </w:r>
          </w:p>
          <w:p w14:paraId="33E366A4" w14:textId="09DD9375" w:rsidR="001C42AA" w:rsidRPr="00DF4CE5" w:rsidRDefault="001C42AA" w:rsidP="001C42AA">
            <w:pPr>
              <w:spacing w:after="0" w:line="240" w:lineRule="atLeast"/>
              <w:rPr>
                <w:rFonts w:ascii="Cambria" w:hAnsi="Cambria"/>
                <w:lang w:val="it-IT"/>
              </w:rPr>
            </w:pPr>
            <w:r w:rsidRPr="00DF4CE5">
              <w:rPr>
                <w:rFonts w:ascii="Cambria" w:hAnsi="Cambria"/>
                <w:lang w:val="it-IT"/>
              </w:rPr>
              <w:t xml:space="preserve">1. </w:t>
            </w:r>
            <w:proofErr w:type="spellStart"/>
            <w:r w:rsidR="00086BB0" w:rsidRPr="00DF4CE5">
              <w:rPr>
                <w:rFonts w:ascii="Cambria" w:hAnsi="Cambria"/>
                <w:lang w:val="it-IT"/>
              </w:rPr>
              <w:t>p</w:t>
            </w:r>
            <w:r w:rsidRPr="00DF4CE5">
              <w:rPr>
                <w:rFonts w:ascii="Cambria" w:hAnsi="Cambria"/>
                <w:lang w:val="it-IT"/>
              </w:rPr>
              <w:t>ohađati</w:t>
            </w:r>
            <w:proofErr w:type="spellEnd"/>
            <w:r w:rsidRPr="00DF4CE5">
              <w:rPr>
                <w:rFonts w:ascii="Cambria" w:hAnsi="Cambria"/>
                <w:lang w:val="it-IT"/>
              </w:rPr>
              <w:t xml:space="preserve"> </w:t>
            </w:r>
            <w:proofErr w:type="spellStart"/>
            <w:r w:rsidRPr="00DF4CE5">
              <w:rPr>
                <w:rFonts w:ascii="Cambria" w:hAnsi="Cambria"/>
                <w:lang w:val="it-IT"/>
              </w:rPr>
              <w:t>minimalno</w:t>
            </w:r>
            <w:proofErr w:type="spellEnd"/>
            <w:r w:rsidRPr="00DF4CE5">
              <w:rPr>
                <w:rFonts w:ascii="Cambria" w:hAnsi="Cambria"/>
                <w:lang w:val="it-IT"/>
              </w:rPr>
              <w:t xml:space="preserve"> 50% </w:t>
            </w:r>
            <w:proofErr w:type="spellStart"/>
            <w:r w:rsidRPr="00DF4CE5">
              <w:rPr>
                <w:rFonts w:ascii="Cambria" w:hAnsi="Cambria"/>
                <w:lang w:val="it-IT"/>
              </w:rPr>
              <w:t>predavanja</w:t>
            </w:r>
            <w:proofErr w:type="spellEnd"/>
          </w:p>
          <w:p w14:paraId="35E566BD" w14:textId="7AB1963D" w:rsidR="001C42AA" w:rsidRPr="00DF4CE5" w:rsidRDefault="001C42AA" w:rsidP="001C42AA">
            <w:pPr>
              <w:spacing w:after="0" w:line="240" w:lineRule="atLeast"/>
              <w:rPr>
                <w:rFonts w:ascii="Cambria" w:hAnsi="Cambria"/>
                <w:lang w:val="it-IT"/>
              </w:rPr>
            </w:pPr>
            <w:r w:rsidRPr="00DF4CE5">
              <w:rPr>
                <w:rFonts w:ascii="Cambria" w:hAnsi="Cambria"/>
                <w:lang w:val="it-IT"/>
              </w:rPr>
              <w:t xml:space="preserve">2. </w:t>
            </w:r>
            <w:proofErr w:type="spellStart"/>
            <w:r w:rsidR="00086BB0" w:rsidRPr="00DF4CE5">
              <w:rPr>
                <w:rFonts w:ascii="Cambria" w:hAnsi="Cambria"/>
                <w:lang w:val="it-IT"/>
              </w:rPr>
              <w:t>p</w:t>
            </w:r>
            <w:r w:rsidRPr="00DF4CE5">
              <w:rPr>
                <w:rFonts w:ascii="Cambria" w:hAnsi="Cambria"/>
                <w:lang w:val="it-IT"/>
              </w:rPr>
              <w:t>ohađati</w:t>
            </w:r>
            <w:proofErr w:type="spellEnd"/>
            <w:r w:rsidRPr="00DF4CE5">
              <w:rPr>
                <w:rFonts w:ascii="Cambria" w:hAnsi="Cambria"/>
                <w:lang w:val="it-IT"/>
              </w:rPr>
              <w:t xml:space="preserve"> </w:t>
            </w:r>
            <w:proofErr w:type="spellStart"/>
            <w:r w:rsidRPr="00DF4CE5">
              <w:rPr>
                <w:rFonts w:ascii="Cambria" w:hAnsi="Cambria"/>
                <w:lang w:val="it-IT"/>
              </w:rPr>
              <w:t>minimalno</w:t>
            </w:r>
            <w:proofErr w:type="spellEnd"/>
            <w:r w:rsidRPr="00DF4CE5">
              <w:rPr>
                <w:rFonts w:ascii="Cambria" w:hAnsi="Cambria"/>
                <w:lang w:val="it-IT"/>
              </w:rPr>
              <w:t xml:space="preserve"> 70% </w:t>
            </w:r>
            <w:proofErr w:type="spellStart"/>
            <w:r w:rsidRPr="00DF4CE5">
              <w:rPr>
                <w:rFonts w:ascii="Cambria" w:hAnsi="Cambria"/>
                <w:lang w:val="it-IT"/>
              </w:rPr>
              <w:t>seminara</w:t>
            </w:r>
            <w:proofErr w:type="spellEnd"/>
          </w:p>
          <w:p w14:paraId="3CA32D3D" w14:textId="5E15858F" w:rsidR="001C42AA" w:rsidRPr="00DF4CE5" w:rsidRDefault="001C42AA" w:rsidP="001C42AA">
            <w:pPr>
              <w:spacing w:after="0" w:line="240" w:lineRule="atLeast"/>
              <w:rPr>
                <w:rFonts w:ascii="Cambria" w:hAnsi="Cambria"/>
                <w:lang w:val="it-IT"/>
              </w:rPr>
            </w:pPr>
            <w:r w:rsidRPr="00DF4CE5">
              <w:rPr>
                <w:rFonts w:ascii="Cambria" w:hAnsi="Cambria"/>
                <w:lang w:val="it-IT"/>
              </w:rPr>
              <w:t xml:space="preserve">3. </w:t>
            </w:r>
            <w:proofErr w:type="spellStart"/>
            <w:r w:rsidR="00086BB0" w:rsidRPr="00DF4CE5">
              <w:rPr>
                <w:rFonts w:ascii="Cambria" w:hAnsi="Cambria"/>
                <w:lang w:val="it-IT"/>
              </w:rPr>
              <w:t>p</w:t>
            </w:r>
            <w:r w:rsidRPr="00DF4CE5">
              <w:rPr>
                <w:rFonts w:ascii="Cambria" w:hAnsi="Cambria"/>
                <w:lang w:val="it-IT"/>
              </w:rPr>
              <w:t>olagati</w:t>
            </w:r>
            <w:proofErr w:type="spellEnd"/>
            <w:r w:rsidRPr="00DF4CE5">
              <w:rPr>
                <w:rFonts w:ascii="Cambria" w:hAnsi="Cambria"/>
                <w:lang w:val="it-IT"/>
              </w:rPr>
              <w:t xml:space="preserve"> </w:t>
            </w:r>
            <w:proofErr w:type="spellStart"/>
            <w:r w:rsidRPr="00DF4CE5">
              <w:rPr>
                <w:rFonts w:ascii="Cambria" w:hAnsi="Cambria"/>
                <w:lang w:val="it-IT"/>
              </w:rPr>
              <w:t>prvi</w:t>
            </w:r>
            <w:proofErr w:type="spellEnd"/>
            <w:r w:rsidRPr="00DF4CE5">
              <w:rPr>
                <w:rFonts w:ascii="Cambria" w:hAnsi="Cambria"/>
                <w:lang w:val="it-IT"/>
              </w:rPr>
              <w:t xml:space="preserve"> i </w:t>
            </w:r>
            <w:proofErr w:type="spellStart"/>
            <w:r w:rsidRPr="00DF4CE5">
              <w:rPr>
                <w:rFonts w:ascii="Cambria" w:hAnsi="Cambria"/>
                <w:lang w:val="it-IT"/>
              </w:rPr>
              <w:t>drugi</w:t>
            </w:r>
            <w:proofErr w:type="spellEnd"/>
            <w:r w:rsidRPr="00DF4CE5">
              <w:rPr>
                <w:rFonts w:ascii="Cambria" w:hAnsi="Cambria"/>
                <w:lang w:val="it-IT"/>
              </w:rPr>
              <w:t xml:space="preserve"> </w:t>
            </w:r>
            <w:proofErr w:type="spellStart"/>
            <w:r w:rsidRPr="00DF4CE5">
              <w:rPr>
                <w:rFonts w:ascii="Cambria" w:hAnsi="Cambria"/>
                <w:lang w:val="it-IT"/>
              </w:rPr>
              <w:t>kolokvij</w:t>
            </w:r>
            <w:proofErr w:type="spellEnd"/>
            <w:r w:rsidRPr="00DF4CE5">
              <w:rPr>
                <w:rFonts w:ascii="Cambria" w:hAnsi="Cambria"/>
                <w:lang w:val="it-IT"/>
              </w:rPr>
              <w:t xml:space="preserve"> </w:t>
            </w:r>
            <w:proofErr w:type="gramStart"/>
            <w:r w:rsidRPr="00DF4CE5">
              <w:rPr>
                <w:rFonts w:ascii="Cambria" w:hAnsi="Cambria"/>
                <w:lang w:val="it-IT"/>
              </w:rPr>
              <w:t>i u</w:t>
            </w:r>
            <w:proofErr w:type="gramEnd"/>
            <w:r w:rsidRPr="00DF4CE5">
              <w:rPr>
                <w:rFonts w:ascii="Cambria" w:hAnsi="Cambria"/>
                <w:lang w:val="it-IT"/>
              </w:rPr>
              <w:t xml:space="preserve"> </w:t>
            </w:r>
            <w:proofErr w:type="spellStart"/>
            <w:r w:rsidRPr="00DF4CE5">
              <w:rPr>
                <w:rFonts w:ascii="Cambria" w:hAnsi="Cambria"/>
                <w:lang w:val="it-IT"/>
              </w:rPr>
              <w:t>ukupnom</w:t>
            </w:r>
            <w:proofErr w:type="spellEnd"/>
            <w:r w:rsidRPr="00DF4CE5">
              <w:rPr>
                <w:rFonts w:ascii="Cambria" w:hAnsi="Cambria"/>
                <w:lang w:val="it-IT"/>
              </w:rPr>
              <w:t xml:space="preserve"> </w:t>
            </w:r>
            <w:proofErr w:type="spellStart"/>
            <w:r w:rsidRPr="00DF4CE5">
              <w:rPr>
                <w:rFonts w:ascii="Cambria" w:hAnsi="Cambria"/>
                <w:lang w:val="it-IT"/>
              </w:rPr>
              <w:t>zbroju</w:t>
            </w:r>
            <w:proofErr w:type="spellEnd"/>
            <w:r w:rsidRPr="00DF4CE5">
              <w:rPr>
                <w:rFonts w:ascii="Cambria" w:hAnsi="Cambria"/>
                <w:lang w:val="it-IT"/>
              </w:rPr>
              <w:t xml:space="preserve"> oba </w:t>
            </w:r>
            <w:proofErr w:type="spellStart"/>
            <w:r w:rsidRPr="00DF4CE5">
              <w:rPr>
                <w:rFonts w:ascii="Cambria" w:hAnsi="Cambria"/>
                <w:lang w:val="it-IT"/>
              </w:rPr>
              <w:t>kolokvija</w:t>
            </w:r>
            <w:proofErr w:type="spellEnd"/>
            <w:r w:rsidRPr="00DF4CE5">
              <w:rPr>
                <w:rFonts w:ascii="Cambria" w:hAnsi="Cambria"/>
                <w:lang w:val="it-IT"/>
              </w:rPr>
              <w:t xml:space="preserve"> </w:t>
            </w:r>
            <w:proofErr w:type="spellStart"/>
            <w:r w:rsidRPr="00DF4CE5">
              <w:rPr>
                <w:rFonts w:ascii="Cambria" w:hAnsi="Cambria"/>
                <w:lang w:val="it-IT"/>
              </w:rPr>
              <w:t>ostvariti</w:t>
            </w:r>
            <w:proofErr w:type="spellEnd"/>
            <w:r w:rsidRPr="00DF4CE5">
              <w:rPr>
                <w:rFonts w:ascii="Cambria" w:hAnsi="Cambria"/>
                <w:lang w:val="it-IT"/>
              </w:rPr>
              <w:t xml:space="preserve"> </w:t>
            </w:r>
            <w:proofErr w:type="spellStart"/>
            <w:r w:rsidRPr="00DF4CE5">
              <w:rPr>
                <w:rFonts w:ascii="Cambria" w:hAnsi="Cambria"/>
                <w:lang w:val="it-IT"/>
              </w:rPr>
              <w:t>najmanje</w:t>
            </w:r>
            <w:proofErr w:type="spellEnd"/>
            <w:r w:rsidRPr="00DF4CE5">
              <w:rPr>
                <w:rFonts w:ascii="Cambria" w:hAnsi="Cambria"/>
                <w:lang w:val="it-IT"/>
              </w:rPr>
              <w:t xml:space="preserve"> 20% </w:t>
            </w:r>
            <w:proofErr w:type="spellStart"/>
            <w:r w:rsidRPr="00DF4CE5">
              <w:rPr>
                <w:rFonts w:ascii="Cambria" w:hAnsi="Cambria"/>
                <w:lang w:val="it-IT"/>
              </w:rPr>
              <w:t>ukupne</w:t>
            </w:r>
            <w:proofErr w:type="spellEnd"/>
            <w:r w:rsidRPr="00DF4CE5">
              <w:rPr>
                <w:rFonts w:ascii="Cambria" w:hAnsi="Cambria"/>
                <w:lang w:val="it-IT"/>
              </w:rPr>
              <w:t xml:space="preserve"> </w:t>
            </w:r>
            <w:proofErr w:type="spellStart"/>
            <w:r w:rsidRPr="00DF4CE5">
              <w:rPr>
                <w:rFonts w:ascii="Cambria" w:hAnsi="Cambria"/>
                <w:lang w:val="it-IT"/>
              </w:rPr>
              <w:t>ocjene</w:t>
            </w:r>
            <w:proofErr w:type="spellEnd"/>
            <w:r w:rsidRPr="00DF4CE5">
              <w:rPr>
                <w:rFonts w:ascii="Cambria" w:hAnsi="Cambria"/>
                <w:lang w:val="it-IT"/>
              </w:rPr>
              <w:t xml:space="preserve"> </w:t>
            </w:r>
            <w:proofErr w:type="spellStart"/>
            <w:r w:rsidRPr="00DF4CE5">
              <w:rPr>
                <w:rFonts w:ascii="Cambria" w:hAnsi="Cambria"/>
                <w:lang w:val="it-IT"/>
              </w:rPr>
              <w:t>iz</w:t>
            </w:r>
            <w:proofErr w:type="spellEnd"/>
            <w:r w:rsidRPr="00DF4CE5">
              <w:rPr>
                <w:rFonts w:ascii="Cambria" w:hAnsi="Cambria"/>
                <w:lang w:val="it-IT"/>
              </w:rPr>
              <w:t xml:space="preserve"> </w:t>
            </w:r>
            <w:proofErr w:type="spellStart"/>
            <w:r w:rsidRPr="00DF4CE5">
              <w:rPr>
                <w:rFonts w:ascii="Cambria" w:hAnsi="Cambria"/>
                <w:lang w:val="it-IT"/>
              </w:rPr>
              <w:t>kolegija</w:t>
            </w:r>
            <w:proofErr w:type="spellEnd"/>
          </w:p>
          <w:p w14:paraId="2DD29423" w14:textId="77777777" w:rsidR="001C42AA" w:rsidRPr="00DF4CE5" w:rsidRDefault="001C42AA" w:rsidP="001C42AA">
            <w:pPr>
              <w:spacing w:after="0" w:line="240" w:lineRule="atLeast"/>
              <w:rPr>
                <w:rFonts w:ascii="Cambria" w:hAnsi="Cambria"/>
                <w:lang w:val="it-IT"/>
              </w:rPr>
            </w:pPr>
            <w:r w:rsidRPr="00DF4CE5">
              <w:rPr>
                <w:rFonts w:ascii="Cambria" w:hAnsi="Cambria"/>
                <w:lang w:val="it-IT"/>
              </w:rPr>
              <w:t xml:space="preserve">4. </w:t>
            </w:r>
            <w:proofErr w:type="spellStart"/>
            <w:r w:rsidR="00086BB0" w:rsidRPr="00DF4CE5">
              <w:rPr>
                <w:rFonts w:ascii="Cambria" w:hAnsi="Cambria"/>
                <w:lang w:val="it-IT"/>
              </w:rPr>
              <w:t>p</w:t>
            </w:r>
            <w:r w:rsidRPr="00DF4CE5">
              <w:rPr>
                <w:rFonts w:ascii="Cambria" w:hAnsi="Cambria"/>
                <w:lang w:val="it-IT"/>
              </w:rPr>
              <w:t>oložiti</w:t>
            </w:r>
            <w:proofErr w:type="spellEnd"/>
            <w:r w:rsidRPr="00DF4CE5">
              <w:rPr>
                <w:rFonts w:ascii="Cambria" w:hAnsi="Cambria"/>
                <w:lang w:val="it-IT"/>
              </w:rPr>
              <w:t xml:space="preserve"> </w:t>
            </w:r>
            <w:proofErr w:type="spellStart"/>
            <w:r w:rsidRPr="00DF4CE5">
              <w:rPr>
                <w:rFonts w:ascii="Cambria" w:hAnsi="Cambria"/>
                <w:lang w:val="it-IT"/>
              </w:rPr>
              <w:t>pismeni</w:t>
            </w:r>
            <w:proofErr w:type="spellEnd"/>
            <w:r w:rsidRPr="00DF4CE5">
              <w:rPr>
                <w:rFonts w:ascii="Cambria" w:hAnsi="Cambria"/>
                <w:lang w:val="it-IT"/>
              </w:rPr>
              <w:t xml:space="preserve"> </w:t>
            </w:r>
            <w:proofErr w:type="spellStart"/>
            <w:r w:rsidRPr="00DF4CE5">
              <w:rPr>
                <w:rFonts w:ascii="Cambria" w:hAnsi="Cambria"/>
                <w:lang w:val="it-IT"/>
              </w:rPr>
              <w:t>ispit</w:t>
            </w:r>
            <w:proofErr w:type="spellEnd"/>
            <w:r w:rsidRPr="00DF4CE5">
              <w:rPr>
                <w:rFonts w:ascii="Cambria" w:hAnsi="Cambria"/>
                <w:lang w:val="it-IT"/>
              </w:rPr>
              <w:t xml:space="preserve">. </w:t>
            </w:r>
          </w:p>
          <w:p w14:paraId="5B0B4910" w14:textId="5316CFCA" w:rsidR="00B31C4B" w:rsidRPr="00DF4CE5" w:rsidRDefault="00B31C4B" w:rsidP="001C42AA">
            <w:pPr>
              <w:spacing w:after="0" w:line="240" w:lineRule="atLeast"/>
              <w:rPr>
                <w:rFonts w:ascii="Cambria" w:hAnsi="Cambria"/>
                <w:lang w:val="it-IT"/>
              </w:rPr>
            </w:pPr>
            <w:proofErr w:type="spellStart"/>
            <w:r w:rsidRPr="00DF4CE5">
              <w:rPr>
                <w:rFonts w:ascii="Cambria" w:hAnsi="Cambria"/>
                <w:lang w:val="it-IT"/>
              </w:rPr>
              <w:t>Napomena</w:t>
            </w:r>
            <w:proofErr w:type="spellEnd"/>
            <w:r w:rsidRPr="00DF4CE5">
              <w:rPr>
                <w:rFonts w:ascii="Cambria" w:hAnsi="Cambria"/>
                <w:lang w:val="it-IT"/>
              </w:rPr>
              <w:t xml:space="preserve">: </w:t>
            </w:r>
            <w:proofErr w:type="spellStart"/>
            <w:r w:rsidRPr="00DF4CE5">
              <w:rPr>
                <w:rFonts w:ascii="Cambria" w:hAnsi="Cambria"/>
                <w:lang w:val="it-IT"/>
              </w:rPr>
              <w:t>Ako</w:t>
            </w:r>
            <w:proofErr w:type="spellEnd"/>
            <w:r w:rsidRPr="00DF4CE5">
              <w:rPr>
                <w:rFonts w:ascii="Cambria" w:hAnsi="Cambria"/>
                <w:lang w:val="it-IT"/>
              </w:rPr>
              <w:t xml:space="preserve"> </w:t>
            </w:r>
            <w:proofErr w:type="spellStart"/>
            <w:r w:rsidRPr="00DF4CE5">
              <w:rPr>
                <w:rFonts w:ascii="Cambria" w:hAnsi="Cambria"/>
                <w:lang w:val="it-IT"/>
              </w:rPr>
              <w:t>student</w:t>
            </w:r>
            <w:proofErr w:type="spellEnd"/>
            <w:r w:rsidRPr="00DF4CE5">
              <w:rPr>
                <w:rFonts w:ascii="Cambria" w:hAnsi="Cambria"/>
                <w:lang w:val="it-IT"/>
              </w:rPr>
              <w:t>/</w:t>
            </w:r>
            <w:proofErr w:type="spellStart"/>
            <w:r w:rsidRPr="00DF4CE5">
              <w:rPr>
                <w:rFonts w:ascii="Cambria" w:hAnsi="Cambria"/>
                <w:lang w:val="it-IT"/>
              </w:rPr>
              <w:t>studentica</w:t>
            </w:r>
            <w:proofErr w:type="spellEnd"/>
            <w:r w:rsidRPr="00DF4CE5">
              <w:rPr>
                <w:rFonts w:ascii="Cambria" w:hAnsi="Cambria"/>
                <w:lang w:val="it-IT"/>
              </w:rPr>
              <w:t xml:space="preserve"> ne </w:t>
            </w:r>
            <w:proofErr w:type="spellStart"/>
            <w:r w:rsidRPr="00DF4CE5">
              <w:rPr>
                <w:rFonts w:ascii="Cambria" w:hAnsi="Cambria"/>
                <w:lang w:val="it-IT"/>
              </w:rPr>
              <w:t>izvrši</w:t>
            </w:r>
            <w:proofErr w:type="spellEnd"/>
            <w:r w:rsidRPr="00DF4CE5">
              <w:rPr>
                <w:rFonts w:ascii="Cambria" w:hAnsi="Cambria"/>
                <w:lang w:val="it-IT"/>
              </w:rPr>
              <w:t xml:space="preserve"> </w:t>
            </w:r>
            <w:proofErr w:type="spellStart"/>
            <w:r w:rsidRPr="00DF4CE5">
              <w:rPr>
                <w:rFonts w:ascii="Cambria" w:hAnsi="Cambria"/>
                <w:lang w:val="it-IT"/>
              </w:rPr>
              <w:t>prethodno</w:t>
            </w:r>
            <w:proofErr w:type="spellEnd"/>
            <w:r w:rsidRPr="00DF4CE5">
              <w:rPr>
                <w:rFonts w:ascii="Cambria" w:hAnsi="Cambria"/>
                <w:lang w:val="it-IT"/>
              </w:rPr>
              <w:t xml:space="preserve"> </w:t>
            </w:r>
            <w:proofErr w:type="spellStart"/>
            <w:r w:rsidRPr="00DF4CE5">
              <w:rPr>
                <w:rFonts w:ascii="Cambria" w:hAnsi="Cambria"/>
                <w:lang w:val="it-IT"/>
              </w:rPr>
              <w:t>navedene</w:t>
            </w:r>
            <w:proofErr w:type="spellEnd"/>
            <w:r w:rsidRPr="00DF4CE5">
              <w:rPr>
                <w:rFonts w:ascii="Cambria" w:hAnsi="Cambria"/>
                <w:lang w:val="it-IT"/>
              </w:rPr>
              <w:t xml:space="preserve"> </w:t>
            </w:r>
            <w:proofErr w:type="spellStart"/>
            <w:r w:rsidRPr="00DF4CE5">
              <w:rPr>
                <w:rFonts w:ascii="Cambria" w:hAnsi="Cambria"/>
                <w:lang w:val="it-IT"/>
              </w:rPr>
              <w:t>studentske</w:t>
            </w:r>
            <w:proofErr w:type="spellEnd"/>
            <w:r w:rsidRPr="00DF4CE5">
              <w:rPr>
                <w:rFonts w:ascii="Cambria" w:hAnsi="Cambria"/>
                <w:lang w:val="it-IT"/>
              </w:rPr>
              <w:t xml:space="preserve"> </w:t>
            </w:r>
            <w:proofErr w:type="spellStart"/>
            <w:r w:rsidRPr="00DF4CE5">
              <w:rPr>
                <w:rFonts w:ascii="Cambria" w:hAnsi="Cambria"/>
                <w:lang w:val="it-IT"/>
              </w:rPr>
              <w:t>obveze</w:t>
            </w:r>
            <w:proofErr w:type="spellEnd"/>
            <w:r w:rsidRPr="00DF4CE5">
              <w:rPr>
                <w:rFonts w:ascii="Cambria" w:hAnsi="Cambria"/>
                <w:lang w:val="it-IT"/>
              </w:rPr>
              <w:t xml:space="preserve">, </w:t>
            </w:r>
            <w:proofErr w:type="spellStart"/>
            <w:r w:rsidRPr="00DF4CE5">
              <w:rPr>
                <w:rFonts w:ascii="Cambria" w:hAnsi="Cambria"/>
                <w:lang w:val="it-IT"/>
              </w:rPr>
              <w:t>morat</w:t>
            </w:r>
            <w:proofErr w:type="spellEnd"/>
            <w:r w:rsidRPr="00DF4CE5">
              <w:rPr>
                <w:rFonts w:ascii="Cambria" w:hAnsi="Cambria"/>
                <w:lang w:val="it-IT"/>
              </w:rPr>
              <w:t xml:space="preserve"> </w:t>
            </w:r>
            <w:proofErr w:type="spellStart"/>
            <w:r w:rsidRPr="00DF4CE5">
              <w:rPr>
                <w:rFonts w:ascii="Cambria" w:hAnsi="Cambria"/>
                <w:lang w:val="it-IT"/>
              </w:rPr>
              <w:t>će</w:t>
            </w:r>
            <w:proofErr w:type="spellEnd"/>
            <w:r w:rsidRPr="00DF4CE5">
              <w:rPr>
                <w:rFonts w:ascii="Cambria" w:hAnsi="Cambria"/>
                <w:lang w:val="it-IT"/>
              </w:rPr>
              <w:t xml:space="preserve"> </w:t>
            </w:r>
            <w:proofErr w:type="spellStart"/>
            <w:r w:rsidRPr="00DF4CE5">
              <w:rPr>
                <w:rFonts w:ascii="Cambria" w:hAnsi="Cambria"/>
                <w:lang w:val="it-IT"/>
              </w:rPr>
              <w:t>ponovno</w:t>
            </w:r>
            <w:proofErr w:type="spellEnd"/>
            <w:r w:rsidRPr="00DF4CE5">
              <w:rPr>
                <w:rFonts w:ascii="Cambria" w:hAnsi="Cambria"/>
                <w:lang w:val="it-IT"/>
              </w:rPr>
              <w:t xml:space="preserve"> </w:t>
            </w:r>
            <w:proofErr w:type="spellStart"/>
            <w:r w:rsidRPr="00DF4CE5">
              <w:rPr>
                <w:rFonts w:ascii="Cambria" w:hAnsi="Cambria"/>
                <w:lang w:val="it-IT"/>
              </w:rPr>
              <w:t>upisati</w:t>
            </w:r>
            <w:proofErr w:type="spellEnd"/>
            <w:r w:rsidRPr="00DF4CE5">
              <w:rPr>
                <w:rFonts w:ascii="Cambria" w:hAnsi="Cambria"/>
                <w:lang w:val="it-IT"/>
              </w:rPr>
              <w:t xml:space="preserve"> </w:t>
            </w:r>
            <w:proofErr w:type="spellStart"/>
            <w:r w:rsidRPr="00DF4CE5">
              <w:rPr>
                <w:rFonts w:ascii="Cambria" w:hAnsi="Cambria"/>
                <w:lang w:val="it-IT"/>
              </w:rPr>
              <w:t>kolegij</w:t>
            </w:r>
            <w:proofErr w:type="spellEnd"/>
            <w:r w:rsidRPr="00DF4CE5">
              <w:rPr>
                <w:rFonts w:ascii="Cambria" w:hAnsi="Cambria"/>
                <w:lang w:val="it-IT"/>
              </w:rPr>
              <w:t xml:space="preserve"> </w:t>
            </w:r>
            <w:proofErr w:type="spellStart"/>
            <w:r w:rsidRPr="00DF4CE5">
              <w:rPr>
                <w:rFonts w:ascii="Cambria" w:hAnsi="Cambria"/>
                <w:lang w:val="it-IT"/>
              </w:rPr>
              <w:t>sljedeće</w:t>
            </w:r>
            <w:proofErr w:type="spellEnd"/>
            <w:r w:rsidRPr="00DF4CE5">
              <w:rPr>
                <w:rFonts w:ascii="Cambria" w:hAnsi="Cambria"/>
                <w:lang w:val="it-IT"/>
              </w:rPr>
              <w:t xml:space="preserve"> </w:t>
            </w:r>
            <w:proofErr w:type="spellStart"/>
            <w:r w:rsidRPr="00DF4CE5">
              <w:rPr>
                <w:rFonts w:ascii="Cambria" w:hAnsi="Cambria"/>
                <w:lang w:val="it-IT"/>
              </w:rPr>
              <w:t>akademske</w:t>
            </w:r>
            <w:proofErr w:type="spellEnd"/>
            <w:r w:rsidRPr="00DF4CE5">
              <w:rPr>
                <w:rFonts w:ascii="Cambria" w:hAnsi="Cambria"/>
                <w:lang w:val="it-IT"/>
              </w:rPr>
              <w:t xml:space="preserve"> godine.</w:t>
            </w:r>
          </w:p>
        </w:tc>
      </w:tr>
      <w:tr w:rsidR="001C42AA" w:rsidRPr="00DF4CE5" w14:paraId="13BADB38" w14:textId="77777777" w:rsidTr="00B31C4B">
        <w:tc>
          <w:tcPr>
            <w:tcW w:w="281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Mar>
              <w:top w:w="72" w:type="dxa"/>
              <w:left w:w="144" w:type="dxa"/>
              <w:bottom w:w="72" w:type="dxa"/>
              <w:right w:w="144" w:type="dxa"/>
            </w:tcMar>
            <w:vAlign w:val="center"/>
          </w:tcPr>
          <w:p w14:paraId="7ACDEC35" w14:textId="77777777" w:rsidR="001C42AA" w:rsidRPr="00DF4CE5" w:rsidRDefault="001C42AA" w:rsidP="001C42AA">
            <w:pPr>
              <w:spacing w:after="0" w:line="240" w:lineRule="atLeast"/>
              <w:rPr>
                <w:rFonts w:ascii="Cambria" w:hAnsi="Cambria"/>
              </w:rPr>
            </w:pPr>
            <w:proofErr w:type="spellStart"/>
            <w:r w:rsidRPr="00DF4CE5">
              <w:rPr>
                <w:rFonts w:ascii="Cambria" w:hAnsi="Cambria"/>
              </w:rPr>
              <w:t>Rokovi</w:t>
            </w:r>
            <w:proofErr w:type="spellEnd"/>
            <w:r w:rsidRPr="00DF4CE5">
              <w:rPr>
                <w:rFonts w:ascii="Cambria" w:hAnsi="Cambria"/>
              </w:rPr>
              <w:t xml:space="preserve"> </w:t>
            </w:r>
            <w:proofErr w:type="spellStart"/>
            <w:r w:rsidRPr="00DF4CE5">
              <w:rPr>
                <w:rFonts w:ascii="Cambria" w:hAnsi="Cambria"/>
              </w:rPr>
              <w:t>ispita</w:t>
            </w:r>
            <w:proofErr w:type="spellEnd"/>
            <w:r w:rsidRPr="00DF4CE5">
              <w:rPr>
                <w:rFonts w:ascii="Cambria" w:hAnsi="Cambria"/>
              </w:rPr>
              <w:t xml:space="preserve"> </w:t>
            </w:r>
            <w:proofErr w:type="spellStart"/>
            <w:r w:rsidRPr="00DF4CE5">
              <w:rPr>
                <w:rFonts w:ascii="Cambria" w:hAnsi="Cambria"/>
              </w:rPr>
              <w:t>i</w:t>
            </w:r>
            <w:proofErr w:type="spellEnd"/>
            <w:r w:rsidRPr="00DF4CE5">
              <w:rPr>
                <w:rFonts w:ascii="Cambria" w:hAnsi="Cambria"/>
              </w:rPr>
              <w:t xml:space="preserve"> </w:t>
            </w:r>
            <w:proofErr w:type="spellStart"/>
            <w:r w:rsidRPr="00DF4CE5">
              <w:rPr>
                <w:rFonts w:ascii="Cambria" w:hAnsi="Cambria"/>
              </w:rPr>
              <w:t>kolokvija</w:t>
            </w:r>
            <w:proofErr w:type="spellEnd"/>
          </w:p>
        </w:tc>
        <w:tc>
          <w:tcPr>
            <w:tcW w:w="7206"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2" w:type="dxa"/>
              <w:left w:w="144" w:type="dxa"/>
              <w:bottom w:w="72" w:type="dxa"/>
              <w:right w:w="144" w:type="dxa"/>
            </w:tcMar>
            <w:vAlign w:val="center"/>
          </w:tcPr>
          <w:p w14:paraId="48EBA8E3" w14:textId="77777777" w:rsidR="001C42AA" w:rsidRPr="00DF4CE5" w:rsidRDefault="001C42AA" w:rsidP="001C42AA">
            <w:pPr>
              <w:spacing w:after="0" w:line="240" w:lineRule="atLeast"/>
              <w:rPr>
                <w:rFonts w:ascii="Cambria" w:hAnsi="Cambria"/>
              </w:rPr>
            </w:pPr>
            <w:r w:rsidRPr="00DF4CE5">
              <w:rPr>
                <w:rFonts w:ascii="Cambria" w:hAnsi="Cambria"/>
              </w:rPr>
              <w:t xml:space="preserve">Daju se </w:t>
            </w:r>
            <w:proofErr w:type="spellStart"/>
            <w:r w:rsidRPr="00DF4CE5">
              <w:rPr>
                <w:rFonts w:ascii="Cambria" w:hAnsi="Cambria"/>
              </w:rPr>
              <w:t>na</w:t>
            </w:r>
            <w:proofErr w:type="spellEnd"/>
            <w:r w:rsidRPr="00DF4CE5">
              <w:rPr>
                <w:rFonts w:ascii="Cambria" w:hAnsi="Cambria"/>
              </w:rPr>
              <w:t xml:space="preserve"> </w:t>
            </w:r>
            <w:proofErr w:type="spellStart"/>
            <w:r w:rsidRPr="00DF4CE5">
              <w:rPr>
                <w:rFonts w:ascii="Cambria" w:hAnsi="Cambria"/>
              </w:rPr>
              <w:t>početku</w:t>
            </w:r>
            <w:proofErr w:type="spellEnd"/>
            <w:r w:rsidRPr="00DF4CE5">
              <w:rPr>
                <w:rFonts w:ascii="Cambria" w:hAnsi="Cambria"/>
              </w:rPr>
              <w:t xml:space="preserve"> </w:t>
            </w:r>
            <w:proofErr w:type="spellStart"/>
            <w:r w:rsidRPr="00DF4CE5">
              <w:rPr>
                <w:rFonts w:ascii="Cambria" w:hAnsi="Cambria"/>
              </w:rPr>
              <w:t>akademske</w:t>
            </w:r>
            <w:proofErr w:type="spellEnd"/>
            <w:r w:rsidRPr="00DF4CE5">
              <w:rPr>
                <w:rFonts w:ascii="Cambria" w:hAnsi="Cambria"/>
              </w:rPr>
              <w:t xml:space="preserve"> </w:t>
            </w:r>
            <w:proofErr w:type="spellStart"/>
            <w:r w:rsidRPr="00DF4CE5">
              <w:rPr>
                <w:rFonts w:ascii="Cambria" w:hAnsi="Cambria"/>
              </w:rPr>
              <w:t>godine</w:t>
            </w:r>
            <w:proofErr w:type="spellEnd"/>
            <w:r w:rsidRPr="00DF4CE5">
              <w:rPr>
                <w:rFonts w:ascii="Cambria" w:hAnsi="Cambria"/>
              </w:rPr>
              <w:t xml:space="preserve">, </w:t>
            </w:r>
            <w:proofErr w:type="spellStart"/>
            <w:r w:rsidRPr="00DF4CE5">
              <w:rPr>
                <w:rFonts w:ascii="Cambria" w:hAnsi="Cambria"/>
              </w:rPr>
              <w:t>objavljuju</w:t>
            </w:r>
            <w:proofErr w:type="spellEnd"/>
            <w:r w:rsidRPr="00DF4CE5">
              <w:rPr>
                <w:rFonts w:ascii="Cambria" w:hAnsi="Cambria"/>
              </w:rPr>
              <w:t xml:space="preserve"> se </w:t>
            </w:r>
            <w:proofErr w:type="spellStart"/>
            <w:r w:rsidRPr="00DF4CE5">
              <w:rPr>
                <w:rFonts w:ascii="Cambria" w:hAnsi="Cambria"/>
              </w:rPr>
              <w:t>na</w:t>
            </w:r>
            <w:proofErr w:type="spellEnd"/>
            <w:r w:rsidRPr="00DF4CE5">
              <w:rPr>
                <w:rFonts w:ascii="Cambria" w:hAnsi="Cambria"/>
              </w:rPr>
              <w:t xml:space="preserve"> </w:t>
            </w:r>
            <w:proofErr w:type="spellStart"/>
            <w:r w:rsidRPr="00DF4CE5">
              <w:rPr>
                <w:rFonts w:ascii="Cambria" w:hAnsi="Cambria"/>
              </w:rPr>
              <w:t>mrežnim</w:t>
            </w:r>
            <w:proofErr w:type="spellEnd"/>
            <w:r w:rsidRPr="00DF4CE5">
              <w:rPr>
                <w:rFonts w:ascii="Cambria" w:hAnsi="Cambria"/>
              </w:rPr>
              <w:t xml:space="preserve"> </w:t>
            </w:r>
            <w:proofErr w:type="spellStart"/>
            <w:r w:rsidRPr="00DF4CE5">
              <w:rPr>
                <w:rFonts w:ascii="Cambria" w:hAnsi="Cambria"/>
              </w:rPr>
              <w:t>stranicama</w:t>
            </w:r>
            <w:proofErr w:type="spellEnd"/>
            <w:r w:rsidRPr="00DF4CE5">
              <w:rPr>
                <w:rFonts w:ascii="Cambria" w:hAnsi="Cambria"/>
              </w:rPr>
              <w:t xml:space="preserve"> </w:t>
            </w:r>
            <w:proofErr w:type="spellStart"/>
            <w:r w:rsidRPr="00DF4CE5">
              <w:rPr>
                <w:rFonts w:ascii="Cambria" w:hAnsi="Cambria"/>
              </w:rPr>
              <w:t>Sveučilišta</w:t>
            </w:r>
            <w:proofErr w:type="spellEnd"/>
            <w:r w:rsidRPr="00DF4CE5">
              <w:rPr>
                <w:rFonts w:ascii="Cambria" w:hAnsi="Cambria"/>
              </w:rPr>
              <w:t xml:space="preserve"> </w:t>
            </w:r>
            <w:proofErr w:type="spellStart"/>
            <w:r w:rsidRPr="00DF4CE5">
              <w:rPr>
                <w:rFonts w:ascii="Cambria" w:hAnsi="Cambria"/>
              </w:rPr>
              <w:t>i</w:t>
            </w:r>
            <w:proofErr w:type="spellEnd"/>
            <w:r w:rsidRPr="00DF4CE5">
              <w:rPr>
                <w:rFonts w:ascii="Cambria" w:hAnsi="Cambria"/>
              </w:rPr>
              <w:t xml:space="preserve"> u ISVU</w:t>
            </w:r>
          </w:p>
        </w:tc>
      </w:tr>
      <w:tr w:rsidR="001C42AA" w:rsidRPr="00DF4CE5" w14:paraId="5A574AC5" w14:textId="77777777" w:rsidTr="00B31C4B">
        <w:tc>
          <w:tcPr>
            <w:tcW w:w="281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Mar>
              <w:top w:w="72" w:type="dxa"/>
              <w:left w:w="144" w:type="dxa"/>
              <w:bottom w:w="72" w:type="dxa"/>
              <w:right w:w="144" w:type="dxa"/>
            </w:tcMar>
            <w:vAlign w:val="center"/>
          </w:tcPr>
          <w:p w14:paraId="0278A327" w14:textId="77777777" w:rsidR="001C42AA" w:rsidRPr="00DF4CE5" w:rsidRDefault="001C42AA" w:rsidP="001C42AA">
            <w:pPr>
              <w:spacing w:after="0" w:line="240" w:lineRule="atLeast"/>
              <w:rPr>
                <w:rFonts w:ascii="Cambria" w:hAnsi="Cambria"/>
                <w:lang w:val="it-IT"/>
              </w:rPr>
            </w:pPr>
            <w:r w:rsidRPr="00DF4CE5">
              <w:rPr>
                <w:rFonts w:ascii="Cambria" w:hAnsi="Cambria"/>
                <w:lang w:val="it-IT"/>
              </w:rPr>
              <w:t xml:space="preserve">Ostale </w:t>
            </w:r>
            <w:proofErr w:type="spellStart"/>
            <w:r w:rsidRPr="00DF4CE5">
              <w:rPr>
                <w:rFonts w:ascii="Cambria" w:hAnsi="Cambria"/>
                <w:lang w:val="it-IT"/>
              </w:rPr>
              <w:t>važne</w:t>
            </w:r>
            <w:proofErr w:type="spellEnd"/>
            <w:r w:rsidRPr="00DF4CE5">
              <w:rPr>
                <w:rFonts w:ascii="Cambria" w:hAnsi="Cambria"/>
                <w:lang w:val="it-IT"/>
              </w:rPr>
              <w:t xml:space="preserve"> </w:t>
            </w:r>
            <w:proofErr w:type="spellStart"/>
            <w:r w:rsidRPr="00DF4CE5">
              <w:rPr>
                <w:rFonts w:ascii="Cambria" w:hAnsi="Cambria"/>
                <w:lang w:val="it-IT"/>
              </w:rPr>
              <w:t>činjenice</w:t>
            </w:r>
            <w:proofErr w:type="spellEnd"/>
            <w:r w:rsidRPr="00DF4CE5">
              <w:rPr>
                <w:rFonts w:ascii="Cambria" w:hAnsi="Cambria"/>
                <w:lang w:val="it-IT"/>
              </w:rPr>
              <w:t xml:space="preserve"> </w:t>
            </w:r>
            <w:r w:rsidRPr="00DF4CE5">
              <w:rPr>
                <w:rFonts w:ascii="Cambria" w:hAnsi="Cambria"/>
                <w:lang w:val="pl-PL"/>
              </w:rPr>
              <w:t>vezane uz kolegij</w:t>
            </w:r>
          </w:p>
        </w:tc>
        <w:tc>
          <w:tcPr>
            <w:tcW w:w="7206"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2" w:type="dxa"/>
              <w:left w:w="144" w:type="dxa"/>
              <w:bottom w:w="72" w:type="dxa"/>
              <w:right w:w="144" w:type="dxa"/>
            </w:tcMar>
            <w:vAlign w:val="center"/>
          </w:tcPr>
          <w:p w14:paraId="6917BE4C" w14:textId="77777777" w:rsidR="001C42AA" w:rsidRPr="00DF4CE5" w:rsidRDefault="001C42AA" w:rsidP="001C42AA">
            <w:pPr>
              <w:spacing w:after="0" w:line="240" w:lineRule="atLeast"/>
              <w:rPr>
                <w:rFonts w:ascii="Cambria" w:hAnsi="Cambria"/>
                <w:lang w:val="it-IT"/>
              </w:rPr>
            </w:pPr>
            <w:proofErr w:type="spellStart"/>
            <w:r w:rsidRPr="00DF4CE5">
              <w:rPr>
                <w:rFonts w:ascii="Cambria" w:hAnsi="Cambria"/>
                <w:lang w:val="it-IT"/>
              </w:rPr>
              <w:t>Prezentacije</w:t>
            </w:r>
            <w:proofErr w:type="spellEnd"/>
            <w:r w:rsidRPr="00DF4CE5">
              <w:rPr>
                <w:rFonts w:ascii="Cambria" w:hAnsi="Cambria"/>
                <w:lang w:val="it-IT"/>
              </w:rPr>
              <w:t xml:space="preserve"> s </w:t>
            </w:r>
            <w:proofErr w:type="spellStart"/>
            <w:r w:rsidRPr="00DF4CE5">
              <w:rPr>
                <w:rFonts w:ascii="Cambria" w:hAnsi="Cambria"/>
                <w:lang w:val="it-IT"/>
              </w:rPr>
              <w:t>predavanja</w:t>
            </w:r>
            <w:proofErr w:type="spellEnd"/>
            <w:r w:rsidRPr="00DF4CE5">
              <w:rPr>
                <w:rFonts w:ascii="Cambria" w:hAnsi="Cambria"/>
                <w:lang w:val="it-IT"/>
              </w:rPr>
              <w:t xml:space="preserve"> </w:t>
            </w:r>
            <w:proofErr w:type="spellStart"/>
            <w:r w:rsidRPr="00DF4CE5">
              <w:rPr>
                <w:rFonts w:ascii="Cambria" w:hAnsi="Cambria"/>
                <w:lang w:val="it-IT"/>
              </w:rPr>
              <w:t>objavljuju</w:t>
            </w:r>
            <w:proofErr w:type="spellEnd"/>
            <w:r w:rsidRPr="00DF4CE5">
              <w:rPr>
                <w:rFonts w:ascii="Cambria" w:hAnsi="Cambria"/>
                <w:lang w:val="it-IT"/>
              </w:rPr>
              <w:t xml:space="preserve"> se </w:t>
            </w:r>
            <w:proofErr w:type="spellStart"/>
            <w:r w:rsidRPr="00DF4CE5">
              <w:rPr>
                <w:rFonts w:ascii="Cambria" w:hAnsi="Cambria"/>
                <w:lang w:val="it-IT"/>
              </w:rPr>
              <w:t>na</w:t>
            </w:r>
            <w:proofErr w:type="spellEnd"/>
            <w:r w:rsidRPr="00DF4CE5">
              <w:rPr>
                <w:rFonts w:ascii="Cambria" w:hAnsi="Cambria"/>
                <w:lang w:val="it-IT"/>
              </w:rPr>
              <w:t xml:space="preserve"> e-</w:t>
            </w:r>
            <w:proofErr w:type="spellStart"/>
            <w:r w:rsidRPr="00DF4CE5">
              <w:rPr>
                <w:rFonts w:ascii="Cambria" w:hAnsi="Cambria"/>
                <w:lang w:val="it-IT"/>
              </w:rPr>
              <w:t>učenju</w:t>
            </w:r>
            <w:proofErr w:type="spellEnd"/>
            <w:r w:rsidRPr="00DF4CE5">
              <w:rPr>
                <w:rFonts w:ascii="Cambria" w:hAnsi="Cambria"/>
                <w:lang w:val="it-IT"/>
              </w:rPr>
              <w:t>.</w:t>
            </w:r>
          </w:p>
          <w:p w14:paraId="4EEC4D1E" w14:textId="77777777" w:rsidR="001C42AA" w:rsidRPr="00DF4CE5" w:rsidRDefault="001C42AA" w:rsidP="001C42AA">
            <w:pPr>
              <w:spacing w:after="0" w:line="240" w:lineRule="atLeast"/>
              <w:rPr>
                <w:rFonts w:ascii="Cambria" w:eastAsiaTheme="minorEastAsia" w:hAnsi="Cambria"/>
                <w:color w:val="131313"/>
              </w:rPr>
            </w:pPr>
            <w:r w:rsidRPr="00DF4CE5">
              <w:rPr>
                <w:rFonts w:ascii="Cambria" w:eastAsiaTheme="minorEastAsia" w:hAnsi="Cambria"/>
                <w:color w:val="131313"/>
                <w:lang w:val="it-IT"/>
              </w:rPr>
              <w:t xml:space="preserve">U </w:t>
            </w:r>
            <w:proofErr w:type="spellStart"/>
            <w:r w:rsidRPr="00DF4CE5">
              <w:rPr>
                <w:rFonts w:ascii="Cambria" w:eastAsiaTheme="minorEastAsia" w:hAnsi="Cambria"/>
                <w:color w:val="131313"/>
                <w:lang w:val="it-IT"/>
              </w:rPr>
              <w:t>slučaju</w:t>
            </w:r>
            <w:proofErr w:type="spellEnd"/>
            <w:r w:rsidRPr="00DF4CE5">
              <w:rPr>
                <w:rFonts w:ascii="Cambria" w:eastAsiaTheme="minorEastAsia" w:hAnsi="Cambria"/>
                <w:color w:val="131313"/>
                <w:lang w:val="it-IT"/>
              </w:rPr>
              <w:t xml:space="preserve"> </w:t>
            </w:r>
            <w:proofErr w:type="spellStart"/>
            <w:r w:rsidRPr="00DF4CE5">
              <w:rPr>
                <w:rFonts w:ascii="Cambria" w:eastAsiaTheme="minorEastAsia" w:hAnsi="Cambria"/>
                <w:color w:val="131313"/>
                <w:lang w:val="it-IT"/>
              </w:rPr>
              <w:t>održavanja</w:t>
            </w:r>
            <w:proofErr w:type="spellEnd"/>
            <w:r w:rsidRPr="00DF4CE5">
              <w:rPr>
                <w:rFonts w:ascii="Cambria" w:eastAsiaTheme="minorEastAsia" w:hAnsi="Cambria"/>
                <w:color w:val="131313"/>
                <w:lang w:val="it-IT"/>
              </w:rPr>
              <w:t xml:space="preserve"> </w:t>
            </w:r>
            <w:proofErr w:type="spellStart"/>
            <w:r w:rsidRPr="00DF4CE5">
              <w:rPr>
                <w:rFonts w:ascii="Cambria" w:eastAsiaTheme="minorEastAsia" w:hAnsi="Cambria"/>
                <w:color w:val="131313"/>
                <w:lang w:val="it-IT"/>
              </w:rPr>
              <w:t>nastave</w:t>
            </w:r>
            <w:proofErr w:type="spellEnd"/>
            <w:r w:rsidRPr="00DF4CE5">
              <w:rPr>
                <w:rFonts w:ascii="Cambria" w:eastAsiaTheme="minorEastAsia" w:hAnsi="Cambria"/>
                <w:color w:val="131313"/>
                <w:lang w:val="it-IT"/>
              </w:rPr>
              <w:t xml:space="preserve"> </w:t>
            </w:r>
            <w:proofErr w:type="spellStart"/>
            <w:r w:rsidRPr="00DF4CE5">
              <w:rPr>
                <w:rFonts w:ascii="Cambria" w:eastAsiaTheme="minorEastAsia" w:hAnsi="Cambria"/>
                <w:color w:val="131313"/>
                <w:lang w:val="it-IT"/>
              </w:rPr>
              <w:t>na</w:t>
            </w:r>
            <w:proofErr w:type="spellEnd"/>
            <w:r w:rsidRPr="00DF4CE5">
              <w:rPr>
                <w:rFonts w:ascii="Cambria" w:eastAsiaTheme="minorEastAsia" w:hAnsi="Cambria"/>
                <w:color w:val="131313"/>
                <w:lang w:val="it-IT"/>
              </w:rPr>
              <w:t xml:space="preserve"> </w:t>
            </w:r>
            <w:proofErr w:type="spellStart"/>
            <w:r w:rsidRPr="00DF4CE5">
              <w:rPr>
                <w:rFonts w:ascii="Cambria" w:eastAsiaTheme="minorEastAsia" w:hAnsi="Cambria"/>
                <w:color w:val="131313"/>
                <w:lang w:val="it-IT"/>
              </w:rPr>
              <w:t>daljinu</w:t>
            </w:r>
            <w:proofErr w:type="spellEnd"/>
            <w:r w:rsidRPr="00DF4CE5">
              <w:rPr>
                <w:rFonts w:ascii="Cambria" w:eastAsiaTheme="minorEastAsia" w:hAnsi="Cambria"/>
                <w:color w:val="131313"/>
                <w:lang w:val="it-IT"/>
              </w:rPr>
              <w:t xml:space="preserve">, </w:t>
            </w:r>
            <w:proofErr w:type="spellStart"/>
            <w:r w:rsidRPr="00DF4CE5">
              <w:rPr>
                <w:rFonts w:ascii="Cambria" w:eastAsiaTheme="minorEastAsia" w:hAnsi="Cambria"/>
                <w:color w:val="131313"/>
                <w:lang w:val="it-IT"/>
              </w:rPr>
              <w:t>moguće</w:t>
            </w:r>
            <w:proofErr w:type="spellEnd"/>
            <w:r w:rsidRPr="00DF4CE5">
              <w:rPr>
                <w:rFonts w:ascii="Cambria" w:eastAsiaTheme="minorEastAsia" w:hAnsi="Cambria"/>
                <w:color w:val="131313"/>
                <w:lang w:val="it-IT"/>
              </w:rPr>
              <w:t xml:space="preserve"> je </w:t>
            </w:r>
            <w:proofErr w:type="spellStart"/>
            <w:r w:rsidRPr="00DF4CE5">
              <w:rPr>
                <w:rFonts w:ascii="Cambria" w:eastAsiaTheme="minorEastAsia" w:hAnsi="Cambria"/>
                <w:color w:val="131313"/>
                <w:lang w:val="it-IT"/>
              </w:rPr>
              <w:t>odstupanje</w:t>
            </w:r>
            <w:proofErr w:type="spellEnd"/>
            <w:r w:rsidRPr="00DF4CE5">
              <w:rPr>
                <w:rFonts w:ascii="Cambria" w:eastAsiaTheme="minorEastAsia" w:hAnsi="Cambria"/>
                <w:color w:val="131313"/>
                <w:lang w:val="it-IT"/>
              </w:rPr>
              <w:t xml:space="preserve"> u: </w:t>
            </w:r>
            <w:proofErr w:type="spellStart"/>
            <w:r w:rsidRPr="00DF4CE5">
              <w:rPr>
                <w:rFonts w:ascii="Cambria" w:eastAsiaTheme="minorEastAsia" w:hAnsi="Cambria"/>
                <w:color w:val="131313"/>
                <w:lang w:val="it-IT"/>
              </w:rPr>
              <w:t>mjestu</w:t>
            </w:r>
            <w:proofErr w:type="spellEnd"/>
            <w:r w:rsidRPr="00DF4CE5">
              <w:rPr>
                <w:rFonts w:ascii="Cambria" w:eastAsiaTheme="minorEastAsia" w:hAnsi="Cambria"/>
                <w:color w:val="131313"/>
                <w:lang w:val="it-IT"/>
              </w:rPr>
              <w:t xml:space="preserve"> </w:t>
            </w:r>
            <w:proofErr w:type="spellStart"/>
            <w:r w:rsidRPr="00DF4CE5">
              <w:rPr>
                <w:rFonts w:ascii="Cambria" w:eastAsiaTheme="minorEastAsia" w:hAnsi="Cambria"/>
                <w:color w:val="131313"/>
                <w:lang w:val="it-IT"/>
              </w:rPr>
              <w:t>izvođenja</w:t>
            </w:r>
            <w:proofErr w:type="spellEnd"/>
            <w:r w:rsidRPr="00DF4CE5">
              <w:rPr>
                <w:rFonts w:ascii="Cambria" w:eastAsiaTheme="minorEastAsia" w:hAnsi="Cambria"/>
                <w:color w:val="131313"/>
                <w:lang w:val="it-IT"/>
              </w:rPr>
              <w:t xml:space="preserve"> </w:t>
            </w:r>
            <w:proofErr w:type="spellStart"/>
            <w:r w:rsidRPr="00DF4CE5">
              <w:rPr>
                <w:rFonts w:ascii="Cambria" w:eastAsiaTheme="minorEastAsia" w:hAnsi="Cambria"/>
                <w:color w:val="131313"/>
                <w:lang w:val="it-IT"/>
              </w:rPr>
              <w:t>kolegija</w:t>
            </w:r>
            <w:proofErr w:type="spellEnd"/>
            <w:r w:rsidRPr="00DF4CE5">
              <w:rPr>
                <w:rFonts w:ascii="Cambria" w:eastAsiaTheme="minorEastAsia" w:hAnsi="Cambria"/>
                <w:color w:val="131313"/>
                <w:lang w:val="it-IT"/>
              </w:rPr>
              <w:t xml:space="preserve">, </w:t>
            </w:r>
            <w:proofErr w:type="spellStart"/>
            <w:r w:rsidRPr="00DF4CE5">
              <w:rPr>
                <w:rFonts w:ascii="Cambria" w:eastAsiaTheme="minorEastAsia" w:hAnsi="Cambria"/>
                <w:color w:val="131313"/>
                <w:lang w:val="it-IT"/>
              </w:rPr>
              <w:t>provedbi</w:t>
            </w:r>
            <w:proofErr w:type="spellEnd"/>
            <w:r w:rsidRPr="00DF4CE5">
              <w:rPr>
                <w:rFonts w:ascii="Cambria" w:eastAsiaTheme="minorEastAsia" w:hAnsi="Cambria"/>
                <w:color w:val="131313"/>
                <w:lang w:val="it-IT"/>
              </w:rPr>
              <w:t xml:space="preserve"> </w:t>
            </w:r>
            <w:proofErr w:type="spellStart"/>
            <w:r w:rsidRPr="00DF4CE5">
              <w:rPr>
                <w:rFonts w:ascii="Cambria" w:eastAsiaTheme="minorEastAsia" w:hAnsi="Cambria"/>
                <w:color w:val="131313"/>
                <w:lang w:val="it-IT"/>
              </w:rPr>
              <w:t>aktivnosti</w:t>
            </w:r>
            <w:proofErr w:type="spellEnd"/>
            <w:r w:rsidRPr="00DF4CE5">
              <w:rPr>
                <w:rFonts w:ascii="Cambria" w:eastAsiaTheme="minorEastAsia" w:hAnsi="Cambria"/>
                <w:color w:val="131313"/>
                <w:lang w:val="it-IT"/>
              </w:rPr>
              <w:t xml:space="preserve">, </w:t>
            </w:r>
            <w:proofErr w:type="spellStart"/>
            <w:r w:rsidRPr="00DF4CE5">
              <w:rPr>
                <w:rFonts w:ascii="Cambria" w:eastAsiaTheme="minorEastAsia" w:hAnsi="Cambria"/>
                <w:color w:val="131313"/>
                <w:lang w:val="it-IT"/>
              </w:rPr>
              <w:t>metoda</w:t>
            </w:r>
            <w:proofErr w:type="spellEnd"/>
            <w:r w:rsidRPr="00DF4CE5">
              <w:rPr>
                <w:rFonts w:ascii="Cambria" w:eastAsiaTheme="minorEastAsia" w:hAnsi="Cambria"/>
                <w:color w:val="131313"/>
                <w:lang w:val="it-IT"/>
              </w:rPr>
              <w:t xml:space="preserve"> </w:t>
            </w:r>
            <w:proofErr w:type="spellStart"/>
            <w:r w:rsidRPr="00DF4CE5">
              <w:rPr>
                <w:rFonts w:ascii="Cambria" w:eastAsiaTheme="minorEastAsia" w:hAnsi="Cambria"/>
                <w:color w:val="131313"/>
                <w:lang w:val="it-IT"/>
              </w:rPr>
              <w:t>tumačenja</w:t>
            </w:r>
            <w:proofErr w:type="spellEnd"/>
            <w:r w:rsidRPr="00DF4CE5">
              <w:rPr>
                <w:rFonts w:ascii="Cambria" w:eastAsiaTheme="minorEastAsia" w:hAnsi="Cambria"/>
                <w:color w:val="131313"/>
                <w:lang w:val="it-IT"/>
              </w:rPr>
              <w:t xml:space="preserve"> i </w:t>
            </w:r>
            <w:proofErr w:type="spellStart"/>
            <w:r w:rsidRPr="00DF4CE5">
              <w:rPr>
                <w:rFonts w:ascii="Cambria" w:eastAsiaTheme="minorEastAsia" w:hAnsi="Cambria"/>
                <w:color w:val="131313"/>
                <w:lang w:val="it-IT"/>
              </w:rPr>
              <w:t>poučavanja</w:t>
            </w:r>
            <w:proofErr w:type="spellEnd"/>
            <w:r w:rsidRPr="00DF4CE5">
              <w:rPr>
                <w:rFonts w:ascii="Cambria" w:eastAsiaTheme="minorEastAsia" w:hAnsi="Cambria"/>
                <w:color w:val="131313"/>
                <w:lang w:val="it-IT"/>
              </w:rPr>
              <w:t xml:space="preserve"> i </w:t>
            </w:r>
            <w:proofErr w:type="spellStart"/>
            <w:r w:rsidRPr="00DF4CE5">
              <w:rPr>
                <w:rFonts w:ascii="Cambria" w:eastAsiaTheme="minorEastAsia" w:hAnsi="Cambria"/>
                <w:color w:val="131313"/>
                <w:lang w:val="it-IT"/>
              </w:rPr>
              <w:t>načinima</w:t>
            </w:r>
            <w:proofErr w:type="spellEnd"/>
            <w:r w:rsidRPr="00DF4CE5">
              <w:rPr>
                <w:rFonts w:ascii="Cambria" w:eastAsiaTheme="minorEastAsia" w:hAnsi="Cambria"/>
                <w:color w:val="131313"/>
                <w:lang w:val="it-IT"/>
              </w:rPr>
              <w:t xml:space="preserve"> </w:t>
            </w:r>
            <w:proofErr w:type="spellStart"/>
            <w:r w:rsidRPr="00DF4CE5">
              <w:rPr>
                <w:rFonts w:ascii="Cambria" w:eastAsiaTheme="minorEastAsia" w:hAnsi="Cambria"/>
                <w:color w:val="131313"/>
                <w:lang w:val="it-IT"/>
              </w:rPr>
              <w:t>vrednovanja</w:t>
            </w:r>
            <w:proofErr w:type="spellEnd"/>
            <w:r w:rsidRPr="00DF4CE5">
              <w:rPr>
                <w:rFonts w:ascii="Cambria" w:eastAsiaTheme="minorEastAsia" w:hAnsi="Cambria"/>
                <w:color w:val="131313"/>
                <w:lang w:val="it-IT"/>
              </w:rPr>
              <w:t xml:space="preserve">, </w:t>
            </w:r>
            <w:proofErr w:type="spellStart"/>
            <w:r w:rsidRPr="00DF4CE5">
              <w:rPr>
                <w:rFonts w:ascii="Cambria" w:eastAsiaTheme="minorEastAsia" w:hAnsi="Cambria"/>
                <w:color w:val="131313"/>
                <w:lang w:val="it-IT"/>
              </w:rPr>
              <w:t>studentskim</w:t>
            </w:r>
            <w:proofErr w:type="spellEnd"/>
            <w:r w:rsidRPr="00DF4CE5">
              <w:rPr>
                <w:rFonts w:ascii="Cambria" w:eastAsiaTheme="minorEastAsia" w:hAnsi="Cambria"/>
                <w:color w:val="131313"/>
                <w:lang w:val="it-IT"/>
              </w:rPr>
              <w:t xml:space="preserve"> </w:t>
            </w:r>
            <w:proofErr w:type="spellStart"/>
            <w:r w:rsidRPr="00DF4CE5">
              <w:rPr>
                <w:rFonts w:ascii="Cambria" w:eastAsiaTheme="minorEastAsia" w:hAnsi="Cambria"/>
                <w:color w:val="131313"/>
                <w:lang w:val="it-IT"/>
              </w:rPr>
              <w:t>obvezama</w:t>
            </w:r>
            <w:proofErr w:type="spellEnd"/>
            <w:r w:rsidRPr="00DF4CE5">
              <w:rPr>
                <w:rFonts w:ascii="Cambria" w:eastAsiaTheme="minorEastAsia" w:hAnsi="Cambria"/>
                <w:color w:val="131313"/>
                <w:lang w:val="it-IT"/>
              </w:rPr>
              <w:t xml:space="preserve"> </w:t>
            </w:r>
            <w:proofErr w:type="gramStart"/>
            <w:r w:rsidRPr="00DF4CE5">
              <w:rPr>
                <w:rFonts w:ascii="Cambria" w:eastAsiaTheme="minorEastAsia" w:hAnsi="Cambria"/>
                <w:color w:val="131313"/>
                <w:lang w:val="it-IT"/>
              </w:rPr>
              <w:t xml:space="preserve">i  </w:t>
            </w:r>
            <w:proofErr w:type="spellStart"/>
            <w:r w:rsidRPr="00DF4CE5">
              <w:rPr>
                <w:rFonts w:ascii="Cambria" w:eastAsiaTheme="minorEastAsia" w:hAnsi="Cambria"/>
                <w:color w:val="131313"/>
                <w:lang w:val="it-IT"/>
              </w:rPr>
              <w:t>dostupnoj</w:t>
            </w:r>
            <w:proofErr w:type="spellEnd"/>
            <w:proofErr w:type="gramEnd"/>
            <w:r w:rsidRPr="00DF4CE5">
              <w:rPr>
                <w:rFonts w:ascii="Cambria" w:eastAsiaTheme="minorEastAsia" w:hAnsi="Cambria"/>
                <w:color w:val="131313"/>
                <w:lang w:val="it-IT"/>
              </w:rPr>
              <w:t xml:space="preserve"> </w:t>
            </w:r>
            <w:proofErr w:type="spellStart"/>
            <w:r w:rsidRPr="00DF4CE5">
              <w:rPr>
                <w:rFonts w:ascii="Cambria" w:eastAsiaTheme="minorEastAsia" w:hAnsi="Cambria"/>
                <w:color w:val="131313"/>
                <w:lang w:val="it-IT"/>
              </w:rPr>
              <w:t>literaturi</w:t>
            </w:r>
            <w:proofErr w:type="spellEnd"/>
            <w:r w:rsidRPr="00DF4CE5">
              <w:rPr>
                <w:rFonts w:ascii="Cambria" w:eastAsiaTheme="minorEastAsia" w:hAnsi="Cambria"/>
                <w:color w:val="131313"/>
                <w:lang w:val="it-IT"/>
              </w:rPr>
              <w:t xml:space="preserve">. O tome </w:t>
            </w:r>
            <w:proofErr w:type="spellStart"/>
            <w:r w:rsidRPr="00DF4CE5">
              <w:rPr>
                <w:rFonts w:ascii="Cambria" w:eastAsiaTheme="minorEastAsia" w:hAnsi="Cambria"/>
                <w:color w:val="131313"/>
                <w:lang w:val="it-IT"/>
              </w:rPr>
              <w:t>će</w:t>
            </w:r>
            <w:proofErr w:type="spellEnd"/>
            <w:r w:rsidRPr="00DF4CE5">
              <w:rPr>
                <w:rFonts w:ascii="Cambria" w:eastAsiaTheme="minorEastAsia" w:hAnsi="Cambria"/>
                <w:color w:val="131313"/>
                <w:lang w:val="it-IT"/>
              </w:rPr>
              <w:t xml:space="preserve"> </w:t>
            </w:r>
            <w:proofErr w:type="spellStart"/>
            <w:r w:rsidRPr="00DF4CE5">
              <w:rPr>
                <w:rFonts w:ascii="Cambria" w:eastAsiaTheme="minorEastAsia" w:hAnsi="Cambria"/>
                <w:color w:val="131313"/>
                <w:lang w:val="it-IT"/>
              </w:rPr>
              <w:t>nositeljica</w:t>
            </w:r>
            <w:proofErr w:type="spellEnd"/>
            <w:r w:rsidRPr="00DF4CE5">
              <w:rPr>
                <w:rFonts w:ascii="Cambria" w:eastAsiaTheme="minorEastAsia" w:hAnsi="Cambria"/>
                <w:color w:val="131313"/>
                <w:lang w:val="it-IT"/>
              </w:rPr>
              <w:t xml:space="preserve"> </w:t>
            </w:r>
            <w:proofErr w:type="spellStart"/>
            <w:r w:rsidRPr="00DF4CE5">
              <w:rPr>
                <w:rFonts w:ascii="Cambria" w:eastAsiaTheme="minorEastAsia" w:hAnsi="Cambria"/>
                <w:color w:val="131313"/>
                <w:lang w:val="it-IT"/>
              </w:rPr>
              <w:t>kolegija</w:t>
            </w:r>
            <w:proofErr w:type="spellEnd"/>
            <w:r w:rsidRPr="00DF4CE5">
              <w:rPr>
                <w:rFonts w:ascii="Cambria" w:eastAsiaTheme="minorEastAsia" w:hAnsi="Cambria"/>
                <w:color w:val="131313"/>
                <w:lang w:val="it-IT"/>
              </w:rPr>
              <w:t xml:space="preserve"> i </w:t>
            </w:r>
            <w:proofErr w:type="spellStart"/>
            <w:r w:rsidRPr="00DF4CE5">
              <w:rPr>
                <w:rFonts w:ascii="Cambria" w:eastAsiaTheme="minorEastAsia" w:hAnsi="Cambria"/>
                <w:color w:val="131313"/>
                <w:lang w:val="it-IT"/>
              </w:rPr>
              <w:t>suradnica</w:t>
            </w:r>
            <w:proofErr w:type="spellEnd"/>
            <w:r w:rsidRPr="00DF4CE5">
              <w:rPr>
                <w:rFonts w:ascii="Cambria" w:eastAsiaTheme="minorEastAsia" w:hAnsi="Cambria"/>
                <w:color w:val="131313"/>
                <w:lang w:val="it-IT"/>
              </w:rPr>
              <w:t xml:space="preserve"> </w:t>
            </w:r>
            <w:proofErr w:type="spellStart"/>
            <w:r w:rsidRPr="00DF4CE5">
              <w:rPr>
                <w:rFonts w:ascii="Cambria" w:eastAsiaTheme="minorEastAsia" w:hAnsi="Cambria"/>
                <w:color w:val="131313"/>
                <w:lang w:val="it-IT"/>
              </w:rPr>
              <w:t>obavijestiti</w:t>
            </w:r>
            <w:proofErr w:type="spellEnd"/>
            <w:r w:rsidRPr="00DF4CE5">
              <w:rPr>
                <w:rFonts w:ascii="Cambria" w:eastAsiaTheme="minorEastAsia" w:hAnsi="Cambria"/>
                <w:color w:val="131313"/>
                <w:lang w:val="it-IT"/>
              </w:rPr>
              <w:t xml:space="preserve"> studente i </w:t>
            </w:r>
            <w:proofErr w:type="spellStart"/>
            <w:r w:rsidRPr="00DF4CE5">
              <w:rPr>
                <w:rFonts w:ascii="Cambria" w:eastAsiaTheme="minorEastAsia" w:hAnsi="Cambria"/>
                <w:color w:val="131313"/>
                <w:lang w:val="it-IT"/>
              </w:rPr>
              <w:t>studentice</w:t>
            </w:r>
            <w:proofErr w:type="spellEnd"/>
            <w:r w:rsidRPr="00DF4CE5">
              <w:rPr>
                <w:rFonts w:ascii="Cambria" w:eastAsiaTheme="minorEastAsia" w:hAnsi="Cambria"/>
                <w:color w:val="131313"/>
                <w:lang w:val="it-IT"/>
              </w:rPr>
              <w:t xml:space="preserve"> </w:t>
            </w:r>
            <w:proofErr w:type="spellStart"/>
            <w:r w:rsidRPr="00DF4CE5">
              <w:rPr>
                <w:rFonts w:ascii="Cambria" w:eastAsiaTheme="minorEastAsia" w:hAnsi="Cambria"/>
                <w:color w:val="131313"/>
                <w:lang w:val="it-IT"/>
              </w:rPr>
              <w:t>kad</w:t>
            </w:r>
            <w:proofErr w:type="spellEnd"/>
            <w:r w:rsidRPr="00DF4CE5">
              <w:rPr>
                <w:rFonts w:ascii="Cambria" w:eastAsiaTheme="minorEastAsia" w:hAnsi="Cambria"/>
                <w:color w:val="131313"/>
                <w:lang w:val="it-IT"/>
              </w:rPr>
              <w:t xml:space="preserve"> se </w:t>
            </w:r>
            <w:proofErr w:type="spellStart"/>
            <w:r w:rsidRPr="00DF4CE5">
              <w:rPr>
                <w:rFonts w:ascii="Cambria" w:eastAsiaTheme="minorEastAsia" w:hAnsi="Cambria"/>
                <w:color w:val="131313"/>
                <w:lang w:val="it-IT"/>
              </w:rPr>
              <w:t>nastava</w:t>
            </w:r>
            <w:proofErr w:type="spellEnd"/>
            <w:r w:rsidRPr="00DF4CE5">
              <w:rPr>
                <w:rFonts w:ascii="Cambria" w:eastAsiaTheme="minorEastAsia" w:hAnsi="Cambria"/>
                <w:color w:val="131313"/>
                <w:lang w:val="it-IT"/>
              </w:rPr>
              <w:t xml:space="preserve"> </w:t>
            </w:r>
            <w:proofErr w:type="spellStart"/>
            <w:r w:rsidRPr="00DF4CE5">
              <w:rPr>
                <w:rFonts w:ascii="Cambria" w:eastAsiaTheme="minorEastAsia" w:hAnsi="Cambria"/>
                <w:color w:val="131313"/>
                <w:lang w:val="it-IT"/>
              </w:rPr>
              <w:t>na</w:t>
            </w:r>
            <w:proofErr w:type="spellEnd"/>
            <w:r w:rsidRPr="00DF4CE5">
              <w:rPr>
                <w:rFonts w:ascii="Cambria" w:eastAsiaTheme="minorEastAsia" w:hAnsi="Cambria"/>
                <w:color w:val="131313"/>
                <w:lang w:val="it-IT"/>
              </w:rPr>
              <w:t xml:space="preserve"> </w:t>
            </w:r>
            <w:proofErr w:type="spellStart"/>
            <w:r w:rsidRPr="00DF4CE5">
              <w:rPr>
                <w:rFonts w:ascii="Cambria" w:eastAsiaTheme="minorEastAsia" w:hAnsi="Cambria"/>
                <w:color w:val="131313"/>
                <w:lang w:val="it-IT"/>
              </w:rPr>
              <w:t>daljinu</w:t>
            </w:r>
            <w:proofErr w:type="spellEnd"/>
            <w:r w:rsidRPr="00DF4CE5">
              <w:rPr>
                <w:rFonts w:ascii="Cambria" w:eastAsiaTheme="minorEastAsia" w:hAnsi="Cambria"/>
                <w:color w:val="131313"/>
                <w:lang w:val="it-IT"/>
              </w:rPr>
              <w:t xml:space="preserve"> </w:t>
            </w:r>
            <w:proofErr w:type="spellStart"/>
            <w:r w:rsidRPr="00DF4CE5">
              <w:rPr>
                <w:rFonts w:ascii="Cambria" w:eastAsiaTheme="minorEastAsia" w:hAnsi="Cambria"/>
                <w:color w:val="131313"/>
                <w:lang w:val="it-IT"/>
              </w:rPr>
              <w:t>počne</w:t>
            </w:r>
            <w:proofErr w:type="spellEnd"/>
            <w:r w:rsidRPr="00DF4CE5">
              <w:rPr>
                <w:rFonts w:ascii="Cambria" w:eastAsiaTheme="minorEastAsia" w:hAnsi="Cambria"/>
                <w:color w:val="131313"/>
                <w:lang w:val="it-IT"/>
              </w:rPr>
              <w:t xml:space="preserve"> </w:t>
            </w:r>
            <w:proofErr w:type="spellStart"/>
            <w:r w:rsidRPr="00DF4CE5">
              <w:rPr>
                <w:rFonts w:ascii="Cambria" w:eastAsiaTheme="minorEastAsia" w:hAnsi="Cambria"/>
                <w:color w:val="131313"/>
                <w:lang w:val="it-IT"/>
              </w:rPr>
              <w:t>održavati</w:t>
            </w:r>
            <w:proofErr w:type="spellEnd"/>
            <w:r w:rsidRPr="00DF4CE5">
              <w:rPr>
                <w:rFonts w:ascii="Cambria" w:eastAsiaTheme="minorEastAsia" w:hAnsi="Cambria"/>
                <w:color w:val="131313"/>
                <w:lang w:val="it-IT"/>
              </w:rPr>
              <w:t xml:space="preserve">. </w:t>
            </w:r>
            <w:proofErr w:type="spellStart"/>
            <w:r w:rsidRPr="00DF4CE5">
              <w:rPr>
                <w:rFonts w:ascii="Cambria" w:eastAsiaTheme="minorEastAsia" w:hAnsi="Cambria"/>
                <w:color w:val="131313"/>
              </w:rPr>
              <w:t>Ishodi</w:t>
            </w:r>
            <w:proofErr w:type="spellEnd"/>
            <w:r w:rsidRPr="00DF4CE5">
              <w:rPr>
                <w:rFonts w:ascii="Cambria" w:eastAsiaTheme="minorEastAsia" w:hAnsi="Cambria"/>
                <w:color w:val="131313"/>
              </w:rPr>
              <w:t xml:space="preserve"> </w:t>
            </w:r>
            <w:proofErr w:type="spellStart"/>
            <w:r w:rsidRPr="00DF4CE5">
              <w:rPr>
                <w:rFonts w:ascii="Cambria" w:eastAsiaTheme="minorEastAsia" w:hAnsi="Cambria"/>
                <w:color w:val="131313"/>
              </w:rPr>
              <w:t>učenja</w:t>
            </w:r>
            <w:proofErr w:type="spellEnd"/>
            <w:r w:rsidRPr="00DF4CE5">
              <w:rPr>
                <w:rFonts w:ascii="Cambria" w:eastAsiaTheme="minorEastAsia" w:hAnsi="Cambria"/>
                <w:color w:val="131313"/>
              </w:rPr>
              <w:t xml:space="preserve"> </w:t>
            </w:r>
            <w:proofErr w:type="spellStart"/>
            <w:r w:rsidRPr="00DF4CE5">
              <w:rPr>
                <w:rFonts w:ascii="Cambria" w:eastAsiaTheme="minorEastAsia" w:hAnsi="Cambria"/>
                <w:color w:val="131313"/>
              </w:rPr>
              <w:t>ostaju</w:t>
            </w:r>
            <w:proofErr w:type="spellEnd"/>
            <w:r w:rsidRPr="00DF4CE5">
              <w:rPr>
                <w:rFonts w:ascii="Cambria" w:eastAsiaTheme="minorEastAsia" w:hAnsi="Cambria"/>
                <w:color w:val="131313"/>
              </w:rPr>
              <w:t xml:space="preserve"> </w:t>
            </w:r>
            <w:proofErr w:type="spellStart"/>
            <w:r w:rsidRPr="00DF4CE5">
              <w:rPr>
                <w:rFonts w:ascii="Cambria" w:eastAsiaTheme="minorEastAsia" w:hAnsi="Cambria"/>
                <w:color w:val="131313"/>
              </w:rPr>
              <w:t>nepromijenjeni</w:t>
            </w:r>
            <w:proofErr w:type="spellEnd"/>
            <w:r w:rsidRPr="00DF4CE5">
              <w:rPr>
                <w:rFonts w:ascii="Cambria" w:eastAsiaTheme="minorEastAsia" w:hAnsi="Cambria"/>
                <w:color w:val="131313"/>
              </w:rPr>
              <w:t>.</w:t>
            </w:r>
          </w:p>
        </w:tc>
      </w:tr>
      <w:tr w:rsidR="001C42AA" w:rsidRPr="00D0399C" w14:paraId="696EFE8B" w14:textId="77777777" w:rsidTr="00B2232B">
        <w:trPr>
          <w:trHeight w:val="334"/>
        </w:trPr>
        <w:tc>
          <w:tcPr>
            <w:tcW w:w="281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Mar>
              <w:top w:w="72" w:type="dxa"/>
              <w:left w:w="144" w:type="dxa"/>
              <w:bottom w:w="72" w:type="dxa"/>
              <w:right w:w="144" w:type="dxa"/>
            </w:tcMar>
            <w:vAlign w:val="center"/>
          </w:tcPr>
          <w:p w14:paraId="61DC3D5C" w14:textId="77777777" w:rsidR="001C42AA" w:rsidRPr="00DF4CE5" w:rsidRDefault="001C42AA" w:rsidP="001C42AA">
            <w:pPr>
              <w:spacing w:after="0" w:line="240" w:lineRule="atLeast"/>
              <w:rPr>
                <w:rFonts w:ascii="Cambria" w:hAnsi="Cambria"/>
              </w:rPr>
            </w:pPr>
            <w:proofErr w:type="spellStart"/>
            <w:r w:rsidRPr="00DF4CE5">
              <w:rPr>
                <w:rFonts w:ascii="Cambria" w:hAnsi="Cambria"/>
              </w:rPr>
              <w:t>Literatura</w:t>
            </w:r>
            <w:proofErr w:type="spellEnd"/>
          </w:p>
        </w:tc>
        <w:tc>
          <w:tcPr>
            <w:tcW w:w="7206"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vAlign w:val="center"/>
          </w:tcPr>
          <w:p w14:paraId="592ACB6F" w14:textId="77777777" w:rsidR="001C42AA" w:rsidRPr="00DF4CE5" w:rsidRDefault="001C42AA" w:rsidP="001C42AA">
            <w:pPr>
              <w:spacing w:after="0" w:line="240" w:lineRule="atLeast"/>
              <w:rPr>
                <w:rFonts w:ascii="Cambria" w:hAnsi="Cambria"/>
              </w:rPr>
            </w:pPr>
            <w:proofErr w:type="spellStart"/>
            <w:r w:rsidRPr="00DF4CE5">
              <w:rPr>
                <w:rFonts w:ascii="Cambria" w:hAnsi="Cambria"/>
              </w:rPr>
              <w:t>Obvezna</w:t>
            </w:r>
            <w:proofErr w:type="spellEnd"/>
            <w:r w:rsidRPr="00DF4CE5">
              <w:rPr>
                <w:rFonts w:ascii="Cambria" w:hAnsi="Cambria"/>
              </w:rPr>
              <w:t xml:space="preserve">: </w:t>
            </w:r>
          </w:p>
          <w:p w14:paraId="59CB596F" w14:textId="77777777" w:rsidR="001C42AA" w:rsidRPr="00DF4CE5" w:rsidRDefault="001C42AA" w:rsidP="001C42AA">
            <w:pPr>
              <w:spacing w:after="0" w:line="240" w:lineRule="atLeast"/>
              <w:ind w:left="71"/>
              <w:rPr>
                <w:rFonts w:ascii="Cambria" w:hAnsi="Cambria"/>
              </w:rPr>
            </w:pPr>
            <w:r w:rsidRPr="00DF4CE5">
              <w:rPr>
                <w:rFonts w:ascii="Cambria" w:hAnsi="Cambria"/>
              </w:rPr>
              <w:t xml:space="preserve">1. </w:t>
            </w:r>
            <w:proofErr w:type="spellStart"/>
            <w:r w:rsidRPr="00DF4CE5">
              <w:rPr>
                <w:rFonts w:ascii="Cambria" w:hAnsi="Cambria"/>
              </w:rPr>
              <w:t>Rathus</w:t>
            </w:r>
            <w:proofErr w:type="spellEnd"/>
            <w:r w:rsidRPr="00DF4CE5">
              <w:rPr>
                <w:rFonts w:ascii="Cambria" w:hAnsi="Cambria"/>
              </w:rPr>
              <w:t xml:space="preserve">, S. A. </w:t>
            </w:r>
            <w:proofErr w:type="spellStart"/>
            <w:r w:rsidRPr="00DF4CE5">
              <w:rPr>
                <w:rFonts w:ascii="Cambria" w:hAnsi="Cambria"/>
                <w:i/>
                <w:iCs/>
              </w:rPr>
              <w:t>Temelji</w:t>
            </w:r>
            <w:proofErr w:type="spellEnd"/>
            <w:r w:rsidRPr="00DF4CE5">
              <w:rPr>
                <w:rFonts w:ascii="Cambria" w:hAnsi="Cambria"/>
                <w:i/>
                <w:iCs/>
              </w:rPr>
              <w:t xml:space="preserve"> </w:t>
            </w:r>
            <w:proofErr w:type="spellStart"/>
            <w:r w:rsidRPr="00DF4CE5">
              <w:rPr>
                <w:rFonts w:ascii="Cambria" w:hAnsi="Cambria"/>
                <w:i/>
                <w:iCs/>
              </w:rPr>
              <w:t>psihologije</w:t>
            </w:r>
            <w:proofErr w:type="spellEnd"/>
            <w:r w:rsidRPr="00DF4CE5">
              <w:rPr>
                <w:rFonts w:ascii="Cambria" w:hAnsi="Cambria"/>
              </w:rPr>
              <w:t xml:space="preserve">. </w:t>
            </w:r>
            <w:proofErr w:type="spellStart"/>
            <w:r w:rsidRPr="00DF4CE5">
              <w:rPr>
                <w:rFonts w:ascii="Cambria" w:hAnsi="Cambria"/>
              </w:rPr>
              <w:t>Naklada</w:t>
            </w:r>
            <w:proofErr w:type="spellEnd"/>
            <w:r w:rsidRPr="00DF4CE5">
              <w:rPr>
                <w:rFonts w:ascii="Cambria" w:hAnsi="Cambria"/>
              </w:rPr>
              <w:t xml:space="preserve"> Slap, </w:t>
            </w:r>
            <w:proofErr w:type="spellStart"/>
            <w:r w:rsidRPr="00DF4CE5">
              <w:rPr>
                <w:rFonts w:ascii="Cambria" w:hAnsi="Cambria"/>
              </w:rPr>
              <w:t>Jastrebarsko</w:t>
            </w:r>
            <w:proofErr w:type="spellEnd"/>
            <w:r w:rsidRPr="00DF4CE5">
              <w:rPr>
                <w:rFonts w:ascii="Cambria" w:hAnsi="Cambria"/>
              </w:rPr>
              <w:t xml:space="preserve">, 2001. (str.: 15. – 22., 35. – 62., 122. – 157., 207. – </w:t>
            </w:r>
            <w:proofErr w:type="gramStart"/>
            <w:r w:rsidRPr="00DF4CE5">
              <w:rPr>
                <w:rFonts w:ascii="Cambria" w:hAnsi="Cambria"/>
              </w:rPr>
              <w:t>238 .</w:t>
            </w:r>
            <w:proofErr w:type="gramEnd"/>
            <w:r w:rsidRPr="00DF4CE5">
              <w:rPr>
                <w:rFonts w:ascii="Cambria" w:hAnsi="Cambria"/>
              </w:rPr>
              <w:t>, 247. – 278., 343. – 369., 377. – 386., 404. – 415., 469. – 495., 513. – 548., 605. – 620., 649. – 662.)</w:t>
            </w:r>
          </w:p>
          <w:p w14:paraId="6932D7AE" w14:textId="77777777" w:rsidR="001C42AA" w:rsidRPr="00DF4CE5" w:rsidRDefault="001C42AA" w:rsidP="001C42AA">
            <w:pPr>
              <w:spacing w:after="0" w:line="240" w:lineRule="atLeast"/>
              <w:rPr>
                <w:rFonts w:ascii="Cambria" w:hAnsi="Cambria"/>
              </w:rPr>
            </w:pPr>
            <w:r w:rsidRPr="00DF4CE5">
              <w:rPr>
                <w:rFonts w:ascii="Cambria" w:hAnsi="Cambria"/>
              </w:rPr>
              <w:t>ILI</w:t>
            </w:r>
          </w:p>
          <w:p w14:paraId="4D6AC556" w14:textId="6175593D" w:rsidR="001C42AA" w:rsidRPr="00B2232B" w:rsidRDefault="001C42AA" w:rsidP="001C42AA">
            <w:pPr>
              <w:spacing w:after="0" w:line="240" w:lineRule="atLeast"/>
              <w:rPr>
                <w:rFonts w:ascii="Cambria" w:hAnsi="Cambria"/>
                <w:lang w:val="it-IT"/>
              </w:rPr>
            </w:pPr>
            <w:r w:rsidRPr="00DF4CE5">
              <w:rPr>
                <w:rFonts w:ascii="Cambria" w:hAnsi="Cambria"/>
              </w:rPr>
              <w:t xml:space="preserve">1. Smith, E. </w:t>
            </w:r>
            <w:proofErr w:type="spellStart"/>
            <w:r w:rsidRPr="00DF4CE5">
              <w:rPr>
                <w:rFonts w:ascii="Cambria" w:hAnsi="Cambria"/>
              </w:rPr>
              <w:t>i</w:t>
            </w:r>
            <w:proofErr w:type="spellEnd"/>
            <w:r w:rsidRPr="00DF4CE5">
              <w:rPr>
                <w:rFonts w:ascii="Cambria" w:hAnsi="Cambria"/>
              </w:rPr>
              <w:t xml:space="preserve"> sur.: </w:t>
            </w:r>
            <w:r w:rsidRPr="00DF4CE5">
              <w:rPr>
                <w:rFonts w:ascii="Cambria" w:hAnsi="Cambria"/>
                <w:i/>
              </w:rPr>
              <w:t xml:space="preserve">Atkinson/Hilgard. </w:t>
            </w:r>
            <w:proofErr w:type="spellStart"/>
            <w:r w:rsidRPr="00DF4CE5">
              <w:rPr>
                <w:rFonts w:ascii="Cambria" w:hAnsi="Cambria"/>
                <w:i/>
              </w:rPr>
              <w:t>Uvod</w:t>
            </w:r>
            <w:proofErr w:type="spellEnd"/>
            <w:r w:rsidRPr="00DF4CE5">
              <w:rPr>
                <w:rFonts w:ascii="Cambria" w:hAnsi="Cambria"/>
                <w:i/>
              </w:rPr>
              <w:t xml:space="preserve"> u </w:t>
            </w:r>
            <w:proofErr w:type="spellStart"/>
            <w:r w:rsidRPr="00DF4CE5">
              <w:rPr>
                <w:rFonts w:ascii="Cambria" w:hAnsi="Cambria"/>
                <w:i/>
              </w:rPr>
              <w:t>psihologiju</w:t>
            </w:r>
            <w:proofErr w:type="spellEnd"/>
            <w:r w:rsidRPr="00DF4CE5">
              <w:rPr>
                <w:rFonts w:ascii="Cambria" w:hAnsi="Cambria"/>
              </w:rPr>
              <w:t xml:space="preserve">. </w:t>
            </w:r>
            <w:proofErr w:type="spellStart"/>
            <w:r w:rsidRPr="00DF4CE5">
              <w:rPr>
                <w:rFonts w:ascii="Cambria" w:hAnsi="Cambria"/>
              </w:rPr>
              <w:t>Naklada</w:t>
            </w:r>
            <w:proofErr w:type="spellEnd"/>
            <w:r w:rsidRPr="00DF4CE5">
              <w:rPr>
                <w:rFonts w:ascii="Cambria" w:hAnsi="Cambria"/>
              </w:rPr>
              <w:t xml:space="preserve"> Slap, </w:t>
            </w:r>
            <w:proofErr w:type="spellStart"/>
            <w:r w:rsidRPr="00DF4CE5">
              <w:rPr>
                <w:rFonts w:ascii="Cambria" w:hAnsi="Cambria"/>
              </w:rPr>
              <w:t>Jastrebarsko</w:t>
            </w:r>
            <w:proofErr w:type="spellEnd"/>
            <w:r w:rsidRPr="00DF4CE5">
              <w:rPr>
                <w:rFonts w:ascii="Cambria" w:hAnsi="Cambria"/>
              </w:rPr>
              <w:t xml:space="preserve">, 2007. </w:t>
            </w:r>
            <w:r w:rsidRPr="00DF4CE5">
              <w:rPr>
                <w:rFonts w:ascii="Cambria" w:hAnsi="Cambria"/>
                <w:lang w:val="it-IT"/>
              </w:rPr>
              <w:t>(</w:t>
            </w:r>
            <w:proofErr w:type="spellStart"/>
            <w:r w:rsidRPr="00DF4CE5">
              <w:rPr>
                <w:rFonts w:ascii="Cambria" w:hAnsi="Cambria"/>
                <w:lang w:val="it-IT"/>
              </w:rPr>
              <w:t>str</w:t>
            </w:r>
            <w:proofErr w:type="spellEnd"/>
            <w:r w:rsidRPr="00DF4CE5">
              <w:rPr>
                <w:rFonts w:ascii="Cambria" w:hAnsi="Cambria"/>
                <w:lang w:val="it-IT"/>
              </w:rPr>
              <w:t>.: 5. – 26., 116. – 139., 146. – 170., 232. – 255., 266. – 293., 326. – 348., 352. – 363., 388. – 410., 426. – 448., 452. – 481., 492. – 521., 526. – 562., 658. – 664.)</w:t>
            </w:r>
          </w:p>
          <w:p w14:paraId="14216310" w14:textId="77777777" w:rsidR="001C42AA" w:rsidRPr="00DF4CE5" w:rsidRDefault="001C42AA" w:rsidP="001C42AA">
            <w:pPr>
              <w:spacing w:after="0" w:line="240" w:lineRule="atLeast"/>
              <w:rPr>
                <w:rFonts w:ascii="Cambria" w:hAnsi="Cambria"/>
                <w:lang w:val="it-IT"/>
              </w:rPr>
            </w:pPr>
            <w:proofErr w:type="spellStart"/>
            <w:r w:rsidRPr="00DF4CE5">
              <w:rPr>
                <w:rFonts w:ascii="Cambria" w:hAnsi="Cambria"/>
                <w:lang w:val="it-IT"/>
              </w:rPr>
              <w:t>Izborna</w:t>
            </w:r>
            <w:proofErr w:type="spellEnd"/>
            <w:r w:rsidRPr="00DF4CE5">
              <w:rPr>
                <w:rFonts w:ascii="Cambria" w:hAnsi="Cambria"/>
                <w:lang w:val="it-IT"/>
              </w:rPr>
              <w:t>:</w:t>
            </w:r>
          </w:p>
          <w:p w14:paraId="5FE22916" w14:textId="77777777" w:rsidR="001C42AA" w:rsidRPr="00DF4CE5" w:rsidRDefault="001C42AA" w:rsidP="001C42AA">
            <w:pPr>
              <w:spacing w:after="0" w:line="240" w:lineRule="atLeast"/>
              <w:rPr>
                <w:rFonts w:ascii="Cambria" w:hAnsi="Cambria"/>
                <w:lang w:val="it-IT"/>
              </w:rPr>
            </w:pPr>
            <w:r w:rsidRPr="00DF4CE5">
              <w:rPr>
                <w:rFonts w:ascii="Cambria" w:hAnsi="Cambria"/>
                <w:lang w:val="it-IT"/>
              </w:rPr>
              <w:t xml:space="preserve">1. Bruce Goldstein, E. </w:t>
            </w:r>
            <w:proofErr w:type="spellStart"/>
            <w:r w:rsidRPr="00DF4CE5">
              <w:rPr>
                <w:rFonts w:ascii="Cambria" w:hAnsi="Cambria"/>
                <w:lang w:val="it-IT"/>
              </w:rPr>
              <w:t>Osjeti</w:t>
            </w:r>
            <w:proofErr w:type="spellEnd"/>
            <w:r w:rsidRPr="00DF4CE5">
              <w:rPr>
                <w:rFonts w:ascii="Cambria" w:hAnsi="Cambria"/>
                <w:lang w:val="it-IT"/>
              </w:rPr>
              <w:t xml:space="preserve"> i </w:t>
            </w:r>
            <w:proofErr w:type="spellStart"/>
            <w:r w:rsidRPr="00DF4CE5">
              <w:rPr>
                <w:rFonts w:ascii="Cambria" w:hAnsi="Cambria"/>
                <w:lang w:val="it-IT"/>
              </w:rPr>
              <w:t>percepcija</w:t>
            </w:r>
            <w:proofErr w:type="spellEnd"/>
            <w:r w:rsidRPr="00DF4CE5">
              <w:rPr>
                <w:rFonts w:ascii="Cambria" w:hAnsi="Cambria"/>
                <w:lang w:val="it-IT"/>
              </w:rPr>
              <w:t xml:space="preserve">. </w:t>
            </w:r>
            <w:proofErr w:type="spellStart"/>
            <w:r w:rsidRPr="00DF4CE5">
              <w:rPr>
                <w:rFonts w:ascii="Cambria" w:hAnsi="Cambria"/>
                <w:lang w:val="it-IT"/>
              </w:rPr>
              <w:t>Naklada</w:t>
            </w:r>
            <w:proofErr w:type="spellEnd"/>
            <w:r w:rsidRPr="00DF4CE5">
              <w:rPr>
                <w:rFonts w:ascii="Cambria" w:hAnsi="Cambria"/>
                <w:lang w:val="it-IT"/>
              </w:rPr>
              <w:t xml:space="preserve"> Slap, </w:t>
            </w:r>
            <w:proofErr w:type="spellStart"/>
            <w:r w:rsidRPr="00DF4CE5">
              <w:rPr>
                <w:rFonts w:ascii="Cambria" w:hAnsi="Cambria"/>
                <w:lang w:val="it-IT"/>
              </w:rPr>
              <w:t>Jastrebarsko</w:t>
            </w:r>
            <w:proofErr w:type="spellEnd"/>
            <w:r w:rsidRPr="00DF4CE5">
              <w:rPr>
                <w:rFonts w:ascii="Cambria" w:hAnsi="Cambria"/>
                <w:lang w:val="it-IT"/>
              </w:rPr>
              <w:t>, 2011.</w:t>
            </w:r>
          </w:p>
          <w:p w14:paraId="024F2DC0" w14:textId="77777777" w:rsidR="001C42AA" w:rsidRPr="00DF4CE5" w:rsidRDefault="001C42AA" w:rsidP="001C42AA">
            <w:pPr>
              <w:spacing w:after="0" w:line="240" w:lineRule="atLeast"/>
              <w:rPr>
                <w:rFonts w:ascii="Cambria" w:hAnsi="Cambria"/>
                <w:lang w:val="it-IT"/>
              </w:rPr>
            </w:pPr>
            <w:r w:rsidRPr="00DF4CE5">
              <w:rPr>
                <w:rFonts w:ascii="Cambria" w:hAnsi="Cambria"/>
                <w:lang w:val="it-IT"/>
              </w:rPr>
              <w:t xml:space="preserve">2. Davison, G. C., </w:t>
            </w:r>
            <w:proofErr w:type="spellStart"/>
            <w:r w:rsidRPr="00DF4CE5">
              <w:rPr>
                <w:rFonts w:ascii="Cambria" w:hAnsi="Cambria"/>
                <w:lang w:val="it-IT"/>
              </w:rPr>
              <w:t>Neale</w:t>
            </w:r>
            <w:proofErr w:type="spellEnd"/>
            <w:r w:rsidRPr="00DF4CE5">
              <w:rPr>
                <w:rFonts w:ascii="Cambria" w:hAnsi="Cambria"/>
                <w:lang w:val="it-IT"/>
              </w:rPr>
              <w:t xml:space="preserve">, J. M. </w:t>
            </w:r>
            <w:proofErr w:type="spellStart"/>
            <w:r w:rsidRPr="00DF4CE5">
              <w:rPr>
                <w:rFonts w:ascii="Cambria" w:hAnsi="Cambria"/>
                <w:lang w:val="it-IT"/>
              </w:rPr>
              <w:t>Psihologija</w:t>
            </w:r>
            <w:proofErr w:type="spellEnd"/>
            <w:r w:rsidRPr="00DF4CE5">
              <w:rPr>
                <w:rFonts w:ascii="Cambria" w:hAnsi="Cambria"/>
                <w:lang w:val="it-IT"/>
              </w:rPr>
              <w:t xml:space="preserve"> </w:t>
            </w:r>
            <w:proofErr w:type="spellStart"/>
            <w:r w:rsidRPr="00DF4CE5">
              <w:rPr>
                <w:rFonts w:ascii="Cambria" w:hAnsi="Cambria"/>
                <w:lang w:val="it-IT"/>
              </w:rPr>
              <w:t>abnormalnog</w:t>
            </w:r>
            <w:proofErr w:type="spellEnd"/>
            <w:r w:rsidRPr="00DF4CE5">
              <w:rPr>
                <w:rFonts w:ascii="Cambria" w:hAnsi="Cambria"/>
                <w:lang w:val="it-IT"/>
              </w:rPr>
              <w:t xml:space="preserve"> </w:t>
            </w:r>
            <w:proofErr w:type="spellStart"/>
            <w:r w:rsidRPr="00DF4CE5">
              <w:rPr>
                <w:rFonts w:ascii="Cambria" w:hAnsi="Cambria"/>
                <w:lang w:val="it-IT"/>
              </w:rPr>
              <w:t>doživljavanja</w:t>
            </w:r>
            <w:proofErr w:type="spellEnd"/>
            <w:r w:rsidRPr="00DF4CE5">
              <w:rPr>
                <w:rFonts w:ascii="Cambria" w:hAnsi="Cambria"/>
                <w:lang w:val="it-IT"/>
              </w:rPr>
              <w:t xml:space="preserve"> i </w:t>
            </w:r>
            <w:proofErr w:type="spellStart"/>
            <w:r w:rsidRPr="00DF4CE5">
              <w:rPr>
                <w:rFonts w:ascii="Cambria" w:hAnsi="Cambria"/>
                <w:lang w:val="it-IT"/>
              </w:rPr>
              <w:t>ponašanja</w:t>
            </w:r>
            <w:proofErr w:type="spellEnd"/>
            <w:r w:rsidRPr="00DF4CE5">
              <w:rPr>
                <w:rFonts w:ascii="Cambria" w:hAnsi="Cambria"/>
                <w:lang w:val="it-IT"/>
              </w:rPr>
              <w:t xml:space="preserve">. </w:t>
            </w:r>
            <w:proofErr w:type="spellStart"/>
            <w:r w:rsidRPr="00DF4CE5">
              <w:rPr>
                <w:rFonts w:ascii="Cambria" w:hAnsi="Cambria"/>
                <w:lang w:val="it-IT"/>
              </w:rPr>
              <w:t>Naklada</w:t>
            </w:r>
            <w:proofErr w:type="spellEnd"/>
            <w:r w:rsidRPr="00DF4CE5">
              <w:rPr>
                <w:rFonts w:ascii="Cambria" w:hAnsi="Cambria"/>
                <w:lang w:val="it-IT"/>
              </w:rPr>
              <w:t xml:space="preserve"> Slap, </w:t>
            </w:r>
            <w:proofErr w:type="spellStart"/>
            <w:r w:rsidRPr="00DF4CE5">
              <w:rPr>
                <w:rFonts w:ascii="Cambria" w:hAnsi="Cambria"/>
                <w:lang w:val="it-IT"/>
              </w:rPr>
              <w:t>Jastrebarsko</w:t>
            </w:r>
            <w:proofErr w:type="spellEnd"/>
            <w:r w:rsidRPr="00DF4CE5">
              <w:rPr>
                <w:rFonts w:ascii="Cambria" w:hAnsi="Cambria"/>
                <w:lang w:val="it-IT"/>
              </w:rPr>
              <w:t>, 2002.</w:t>
            </w:r>
          </w:p>
          <w:p w14:paraId="329AE2C9" w14:textId="77777777" w:rsidR="001C42AA" w:rsidRPr="00DF4CE5" w:rsidRDefault="001C42AA" w:rsidP="001C42AA">
            <w:pPr>
              <w:spacing w:after="0" w:line="240" w:lineRule="atLeast"/>
              <w:rPr>
                <w:rFonts w:ascii="Cambria" w:hAnsi="Cambria"/>
                <w:lang w:val="it-IT"/>
              </w:rPr>
            </w:pPr>
            <w:r w:rsidRPr="00DF4CE5">
              <w:rPr>
                <w:rFonts w:ascii="Cambria" w:hAnsi="Cambria"/>
                <w:lang w:val="it-IT"/>
              </w:rPr>
              <w:t xml:space="preserve">3. </w:t>
            </w:r>
            <w:proofErr w:type="spellStart"/>
            <w:r w:rsidRPr="00DF4CE5">
              <w:rPr>
                <w:rFonts w:ascii="Cambria" w:hAnsi="Cambria"/>
                <w:lang w:val="it-IT"/>
              </w:rPr>
              <w:t>Hudek-Knežević</w:t>
            </w:r>
            <w:proofErr w:type="spellEnd"/>
            <w:r w:rsidRPr="00DF4CE5">
              <w:rPr>
                <w:rFonts w:ascii="Cambria" w:hAnsi="Cambria"/>
                <w:lang w:val="it-IT"/>
              </w:rPr>
              <w:t xml:space="preserve">, J., </w:t>
            </w:r>
            <w:proofErr w:type="spellStart"/>
            <w:r w:rsidRPr="00DF4CE5">
              <w:rPr>
                <w:rFonts w:ascii="Cambria" w:hAnsi="Cambria"/>
                <w:lang w:val="it-IT"/>
              </w:rPr>
              <w:t>Kardum</w:t>
            </w:r>
            <w:proofErr w:type="spellEnd"/>
            <w:r w:rsidRPr="00DF4CE5">
              <w:rPr>
                <w:rFonts w:ascii="Cambria" w:hAnsi="Cambria"/>
                <w:lang w:val="it-IT"/>
              </w:rPr>
              <w:t xml:space="preserve">, I. </w:t>
            </w:r>
            <w:proofErr w:type="spellStart"/>
            <w:r w:rsidRPr="00DF4CE5">
              <w:rPr>
                <w:rFonts w:ascii="Cambria" w:hAnsi="Cambria"/>
                <w:lang w:val="it-IT"/>
              </w:rPr>
              <w:t>Stres</w:t>
            </w:r>
            <w:proofErr w:type="spellEnd"/>
            <w:r w:rsidRPr="00DF4CE5">
              <w:rPr>
                <w:rFonts w:ascii="Cambria" w:hAnsi="Cambria"/>
                <w:lang w:val="it-IT"/>
              </w:rPr>
              <w:t xml:space="preserve"> i </w:t>
            </w:r>
            <w:proofErr w:type="spellStart"/>
            <w:r w:rsidRPr="00DF4CE5">
              <w:rPr>
                <w:rFonts w:ascii="Cambria" w:hAnsi="Cambria"/>
                <w:lang w:val="it-IT"/>
              </w:rPr>
              <w:t>tjelesno</w:t>
            </w:r>
            <w:proofErr w:type="spellEnd"/>
            <w:r w:rsidRPr="00DF4CE5">
              <w:rPr>
                <w:rFonts w:ascii="Cambria" w:hAnsi="Cambria"/>
                <w:lang w:val="it-IT"/>
              </w:rPr>
              <w:t xml:space="preserve"> </w:t>
            </w:r>
            <w:proofErr w:type="spellStart"/>
            <w:r w:rsidRPr="00DF4CE5">
              <w:rPr>
                <w:rFonts w:ascii="Cambria" w:hAnsi="Cambria"/>
                <w:lang w:val="it-IT"/>
              </w:rPr>
              <w:t>zdravlje</w:t>
            </w:r>
            <w:proofErr w:type="spellEnd"/>
            <w:r w:rsidRPr="00DF4CE5">
              <w:rPr>
                <w:rFonts w:ascii="Cambria" w:hAnsi="Cambria"/>
                <w:lang w:val="it-IT"/>
              </w:rPr>
              <w:t xml:space="preserve">. </w:t>
            </w:r>
            <w:proofErr w:type="spellStart"/>
            <w:r w:rsidRPr="00DF4CE5">
              <w:rPr>
                <w:rFonts w:ascii="Cambria" w:hAnsi="Cambria"/>
                <w:lang w:val="it-IT"/>
              </w:rPr>
              <w:t>Naklada</w:t>
            </w:r>
            <w:proofErr w:type="spellEnd"/>
            <w:r w:rsidRPr="00DF4CE5">
              <w:rPr>
                <w:rFonts w:ascii="Cambria" w:hAnsi="Cambria"/>
                <w:lang w:val="it-IT"/>
              </w:rPr>
              <w:t xml:space="preserve"> Slap, </w:t>
            </w:r>
            <w:proofErr w:type="spellStart"/>
            <w:r w:rsidRPr="00DF4CE5">
              <w:rPr>
                <w:rFonts w:ascii="Cambria" w:hAnsi="Cambria"/>
                <w:lang w:val="it-IT"/>
              </w:rPr>
              <w:t>Jastrebarsko</w:t>
            </w:r>
            <w:proofErr w:type="spellEnd"/>
            <w:r w:rsidRPr="00DF4CE5">
              <w:rPr>
                <w:rFonts w:ascii="Cambria" w:hAnsi="Cambria"/>
                <w:lang w:val="it-IT"/>
              </w:rPr>
              <w:t>, 2006.</w:t>
            </w:r>
          </w:p>
          <w:p w14:paraId="7AFB1029" w14:textId="77777777" w:rsidR="001C42AA" w:rsidRPr="00DF4CE5" w:rsidRDefault="001C42AA" w:rsidP="001C42AA">
            <w:pPr>
              <w:spacing w:after="0" w:line="240" w:lineRule="atLeast"/>
              <w:rPr>
                <w:rFonts w:ascii="Cambria" w:hAnsi="Cambria"/>
                <w:lang w:val="it-IT"/>
              </w:rPr>
            </w:pPr>
            <w:r w:rsidRPr="00DF4CE5">
              <w:rPr>
                <w:rFonts w:ascii="Cambria" w:hAnsi="Cambria"/>
                <w:lang w:val="it-IT"/>
              </w:rPr>
              <w:t xml:space="preserve">4. </w:t>
            </w:r>
            <w:proofErr w:type="spellStart"/>
            <w:r w:rsidRPr="00DF4CE5">
              <w:rPr>
                <w:rFonts w:ascii="Cambria" w:hAnsi="Cambria"/>
                <w:lang w:val="it-IT"/>
              </w:rPr>
              <w:t>Lacković</w:t>
            </w:r>
            <w:proofErr w:type="spellEnd"/>
            <w:r w:rsidRPr="00DF4CE5">
              <w:rPr>
                <w:rFonts w:ascii="Cambria" w:hAnsi="Cambria"/>
                <w:lang w:val="it-IT"/>
              </w:rPr>
              <w:t xml:space="preserve"> </w:t>
            </w:r>
            <w:proofErr w:type="spellStart"/>
            <w:r w:rsidRPr="00DF4CE5">
              <w:rPr>
                <w:rFonts w:ascii="Cambria" w:hAnsi="Cambria"/>
                <w:lang w:val="it-IT"/>
              </w:rPr>
              <w:t>Grgin</w:t>
            </w:r>
            <w:proofErr w:type="spellEnd"/>
            <w:r w:rsidRPr="00DF4CE5">
              <w:rPr>
                <w:rFonts w:ascii="Cambria" w:hAnsi="Cambria"/>
                <w:lang w:val="it-IT"/>
              </w:rPr>
              <w:t xml:space="preserve">, K., </w:t>
            </w:r>
            <w:proofErr w:type="spellStart"/>
            <w:r w:rsidRPr="00DF4CE5">
              <w:rPr>
                <w:rFonts w:ascii="Cambria" w:hAnsi="Cambria"/>
                <w:lang w:val="it-IT"/>
              </w:rPr>
              <w:t>Penezić</w:t>
            </w:r>
            <w:proofErr w:type="spellEnd"/>
            <w:r w:rsidRPr="00DF4CE5">
              <w:rPr>
                <w:rFonts w:ascii="Cambria" w:hAnsi="Cambria"/>
                <w:lang w:val="it-IT"/>
              </w:rPr>
              <w:t xml:space="preserve">, Z. </w:t>
            </w:r>
            <w:proofErr w:type="spellStart"/>
            <w:r w:rsidRPr="00DF4CE5">
              <w:rPr>
                <w:rFonts w:ascii="Cambria" w:hAnsi="Cambria"/>
                <w:lang w:val="it-IT"/>
              </w:rPr>
              <w:t>Ličnost</w:t>
            </w:r>
            <w:proofErr w:type="spellEnd"/>
            <w:r w:rsidRPr="00DF4CE5">
              <w:rPr>
                <w:rFonts w:ascii="Cambria" w:hAnsi="Cambria"/>
                <w:lang w:val="it-IT"/>
              </w:rPr>
              <w:t xml:space="preserve">. </w:t>
            </w:r>
            <w:proofErr w:type="spellStart"/>
            <w:r w:rsidRPr="00DF4CE5">
              <w:rPr>
                <w:rFonts w:ascii="Cambria" w:hAnsi="Cambria"/>
                <w:lang w:val="it-IT"/>
              </w:rPr>
              <w:t>Jastrebarsko</w:t>
            </w:r>
            <w:proofErr w:type="spellEnd"/>
            <w:r w:rsidRPr="00DF4CE5">
              <w:rPr>
                <w:rFonts w:ascii="Cambria" w:hAnsi="Cambria"/>
                <w:lang w:val="it-IT"/>
              </w:rPr>
              <w:t xml:space="preserve">, </w:t>
            </w:r>
            <w:proofErr w:type="spellStart"/>
            <w:r w:rsidRPr="00DF4CE5">
              <w:rPr>
                <w:rFonts w:ascii="Cambria" w:hAnsi="Cambria"/>
                <w:lang w:val="it-IT"/>
              </w:rPr>
              <w:t>Naklada</w:t>
            </w:r>
            <w:proofErr w:type="spellEnd"/>
            <w:r w:rsidRPr="00DF4CE5">
              <w:rPr>
                <w:rFonts w:ascii="Cambria" w:hAnsi="Cambria"/>
                <w:lang w:val="it-IT"/>
              </w:rPr>
              <w:t xml:space="preserve"> Slap, 2018.</w:t>
            </w:r>
          </w:p>
          <w:p w14:paraId="0CA7EF42" w14:textId="77777777" w:rsidR="001C42AA" w:rsidRPr="00DF4CE5" w:rsidRDefault="001C42AA" w:rsidP="001C42AA">
            <w:pPr>
              <w:spacing w:after="0" w:line="240" w:lineRule="atLeast"/>
              <w:rPr>
                <w:rFonts w:ascii="Cambria" w:hAnsi="Cambria"/>
                <w:lang w:val="it-IT"/>
              </w:rPr>
            </w:pPr>
            <w:r w:rsidRPr="00DF4CE5">
              <w:rPr>
                <w:rFonts w:ascii="Cambria" w:hAnsi="Cambria"/>
                <w:lang w:val="it-IT"/>
              </w:rPr>
              <w:t xml:space="preserve">5. Reeve, J. </w:t>
            </w:r>
            <w:proofErr w:type="spellStart"/>
            <w:r w:rsidRPr="00DF4CE5">
              <w:rPr>
                <w:rFonts w:ascii="Cambria" w:hAnsi="Cambria"/>
                <w:lang w:val="it-IT"/>
              </w:rPr>
              <w:t>Razumijevanje</w:t>
            </w:r>
            <w:proofErr w:type="spellEnd"/>
            <w:r w:rsidRPr="00DF4CE5">
              <w:rPr>
                <w:rFonts w:ascii="Cambria" w:hAnsi="Cambria"/>
                <w:lang w:val="it-IT"/>
              </w:rPr>
              <w:t xml:space="preserve"> </w:t>
            </w:r>
            <w:proofErr w:type="spellStart"/>
            <w:r w:rsidRPr="00DF4CE5">
              <w:rPr>
                <w:rFonts w:ascii="Cambria" w:hAnsi="Cambria"/>
                <w:lang w:val="it-IT"/>
              </w:rPr>
              <w:t>motivacije</w:t>
            </w:r>
            <w:proofErr w:type="spellEnd"/>
            <w:r w:rsidRPr="00DF4CE5">
              <w:rPr>
                <w:rFonts w:ascii="Cambria" w:hAnsi="Cambria"/>
                <w:lang w:val="it-IT"/>
              </w:rPr>
              <w:t xml:space="preserve"> i </w:t>
            </w:r>
            <w:proofErr w:type="spellStart"/>
            <w:r w:rsidRPr="00DF4CE5">
              <w:rPr>
                <w:rFonts w:ascii="Cambria" w:hAnsi="Cambria"/>
                <w:lang w:val="it-IT"/>
              </w:rPr>
              <w:t>emocija</w:t>
            </w:r>
            <w:proofErr w:type="spellEnd"/>
            <w:r w:rsidRPr="00DF4CE5">
              <w:rPr>
                <w:rFonts w:ascii="Cambria" w:hAnsi="Cambria"/>
                <w:lang w:val="it-IT"/>
              </w:rPr>
              <w:t xml:space="preserve">. </w:t>
            </w:r>
            <w:proofErr w:type="spellStart"/>
            <w:r w:rsidRPr="00DF4CE5">
              <w:rPr>
                <w:rFonts w:ascii="Cambria" w:hAnsi="Cambria"/>
                <w:lang w:val="it-IT"/>
              </w:rPr>
              <w:t>Naklada</w:t>
            </w:r>
            <w:proofErr w:type="spellEnd"/>
            <w:r w:rsidRPr="00DF4CE5">
              <w:rPr>
                <w:rFonts w:ascii="Cambria" w:hAnsi="Cambria"/>
                <w:lang w:val="it-IT"/>
              </w:rPr>
              <w:t xml:space="preserve"> Slap, </w:t>
            </w:r>
            <w:proofErr w:type="spellStart"/>
            <w:r w:rsidRPr="00DF4CE5">
              <w:rPr>
                <w:rFonts w:ascii="Cambria" w:hAnsi="Cambria"/>
                <w:lang w:val="it-IT"/>
              </w:rPr>
              <w:t>Jastrebarsko</w:t>
            </w:r>
            <w:proofErr w:type="spellEnd"/>
            <w:r w:rsidRPr="00DF4CE5">
              <w:rPr>
                <w:rFonts w:ascii="Cambria" w:hAnsi="Cambria"/>
                <w:lang w:val="it-IT"/>
              </w:rPr>
              <w:t>, 2010.</w:t>
            </w:r>
          </w:p>
          <w:p w14:paraId="21925BEB" w14:textId="77777777" w:rsidR="001C42AA" w:rsidRPr="00DF4CE5" w:rsidRDefault="001C42AA" w:rsidP="001C42AA">
            <w:pPr>
              <w:spacing w:after="0" w:line="240" w:lineRule="atLeast"/>
              <w:rPr>
                <w:rFonts w:ascii="Cambria" w:hAnsi="Cambria"/>
                <w:lang w:val="it-IT"/>
              </w:rPr>
            </w:pPr>
            <w:r w:rsidRPr="00DF4CE5">
              <w:rPr>
                <w:rFonts w:ascii="Cambria" w:hAnsi="Cambria"/>
                <w:lang w:val="it-IT"/>
              </w:rPr>
              <w:t xml:space="preserve">6. </w:t>
            </w:r>
            <w:proofErr w:type="spellStart"/>
            <w:r w:rsidRPr="00DF4CE5">
              <w:rPr>
                <w:rFonts w:ascii="Cambria" w:hAnsi="Cambria"/>
                <w:lang w:val="it-IT"/>
              </w:rPr>
              <w:t>Zarevski</w:t>
            </w:r>
            <w:proofErr w:type="spellEnd"/>
            <w:r w:rsidRPr="00DF4CE5">
              <w:rPr>
                <w:rFonts w:ascii="Cambria" w:hAnsi="Cambria"/>
                <w:lang w:val="it-IT"/>
              </w:rPr>
              <w:t xml:space="preserve">, P. </w:t>
            </w:r>
            <w:proofErr w:type="spellStart"/>
            <w:r w:rsidRPr="00DF4CE5">
              <w:rPr>
                <w:rFonts w:ascii="Cambria" w:hAnsi="Cambria"/>
                <w:lang w:val="it-IT"/>
              </w:rPr>
              <w:t>Psihologija</w:t>
            </w:r>
            <w:proofErr w:type="spellEnd"/>
            <w:r w:rsidRPr="00DF4CE5">
              <w:rPr>
                <w:rFonts w:ascii="Cambria" w:hAnsi="Cambria"/>
                <w:lang w:val="it-IT"/>
              </w:rPr>
              <w:t xml:space="preserve"> </w:t>
            </w:r>
            <w:proofErr w:type="spellStart"/>
            <w:r w:rsidRPr="00DF4CE5">
              <w:rPr>
                <w:rFonts w:ascii="Cambria" w:hAnsi="Cambria"/>
                <w:lang w:val="it-IT"/>
              </w:rPr>
              <w:t>pamćenja</w:t>
            </w:r>
            <w:proofErr w:type="spellEnd"/>
            <w:r w:rsidRPr="00DF4CE5">
              <w:rPr>
                <w:rFonts w:ascii="Cambria" w:hAnsi="Cambria"/>
                <w:lang w:val="it-IT"/>
              </w:rPr>
              <w:t xml:space="preserve"> i </w:t>
            </w:r>
            <w:proofErr w:type="spellStart"/>
            <w:r w:rsidRPr="00DF4CE5">
              <w:rPr>
                <w:rFonts w:ascii="Cambria" w:hAnsi="Cambria"/>
                <w:lang w:val="it-IT"/>
              </w:rPr>
              <w:t>učenja</w:t>
            </w:r>
            <w:proofErr w:type="spellEnd"/>
            <w:r w:rsidRPr="00DF4CE5">
              <w:rPr>
                <w:rFonts w:ascii="Cambria" w:hAnsi="Cambria"/>
                <w:lang w:val="it-IT"/>
              </w:rPr>
              <w:t xml:space="preserve">. </w:t>
            </w:r>
            <w:proofErr w:type="spellStart"/>
            <w:r w:rsidRPr="00DF4CE5">
              <w:rPr>
                <w:rFonts w:ascii="Cambria" w:hAnsi="Cambria"/>
                <w:lang w:val="it-IT"/>
              </w:rPr>
              <w:t>Naklada</w:t>
            </w:r>
            <w:proofErr w:type="spellEnd"/>
            <w:r w:rsidRPr="00DF4CE5">
              <w:rPr>
                <w:rFonts w:ascii="Cambria" w:hAnsi="Cambria"/>
                <w:lang w:val="it-IT"/>
              </w:rPr>
              <w:t xml:space="preserve"> Slap, </w:t>
            </w:r>
            <w:proofErr w:type="spellStart"/>
            <w:r w:rsidRPr="00DF4CE5">
              <w:rPr>
                <w:rFonts w:ascii="Cambria" w:hAnsi="Cambria"/>
                <w:lang w:val="it-IT"/>
              </w:rPr>
              <w:t>Jastrebarsko</w:t>
            </w:r>
            <w:proofErr w:type="spellEnd"/>
            <w:r w:rsidRPr="00DF4CE5">
              <w:rPr>
                <w:rFonts w:ascii="Cambria" w:hAnsi="Cambria"/>
                <w:lang w:val="it-IT"/>
              </w:rPr>
              <w:t>, 2001.</w:t>
            </w:r>
          </w:p>
          <w:p w14:paraId="69918729" w14:textId="0D58E1F5" w:rsidR="001C42AA" w:rsidRPr="00B2232B" w:rsidRDefault="001C42AA" w:rsidP="001C42AA">
            <w:pPr>
              <w:spacing w:after="0" w:line="240" w:lineRule="atLeast"/>
              <w:rPr>
                <w:rFonts w:ascii="Cambria" w:hAnsi="Cambria"/>
                <w:lang w:val="it-IT"/>
              </w:rPr>
            </w:pPr>
            <w:r w:rsidRPr="00DF4CE5">
              <w:rPr>
                <w:rFonts w:ascii="Cambria" w:hAnsi="Cambria"/>
                <w:lang w:val="it-IT"/>
              </w:rPr>
              <w:t xml:space="preserve">7. </w:t>
            </w:r>
            <w:proofErr w:type="spellStart"/>
            <w:r w:rsidRPr="00DF4CE5">
              <w:rPr>
                <w:rFonts w:ascii="Cambria" w:hAnsi="Cambria"/>
                <w:lang w:val="it-IT"/>
              </w:rPr>
              <w:t>Zarevski</w:t>
            </w:r>
            <w:proofErr w:type="spellEnd"/>
            <w:r w:rsidRPr="00DF4CE5">
              <w:rPr>
                <w:rFonts w:ascii="Cambria" w:hAnsi="Cambria"/>
                <w:lang w:val="it-IT"/>
              </w:rPr>
              <w:t xml:space="preserve">, P. </w:t>
            </w:r>
            <w:proofErr w:type="spellStart"/>
            <w:r w:rsidRPr="00DF4CE5">
              <w:rPr>
                <w:rFonts w:ascii="Cambria" w:hAnsi="Cambria"/>
                <w:lang w:val="it-IT"/>
              </w:rPr>
              <w:t>Struktura</w:t>
            </w:r>
            <w:proofErr w:type="spellEnd"/>
            <w:r w:rsidRPr="00DF4CE5">
              <w:rPr>
                <w:rFonts w:ascii="Cambria" w:hAnsi="Cambria"/>
                <w:lang w:val="it-IT"/>
              </w:rPr>
              <w:t xml:space="preserve"> i </w:t>
            </w:r>
            <w:proofErr w:type="spellStart"/>
            <w:r w:rsidRPr="00DF4CE5">
              <w:rPr>
                <w:rFonts w:ascii="Cambria" w:hAnsi="Cambria"/>
                <w:lang w:val="it-IT"/>
              </w:rPr>
              <w:t>priroda</w:t>
            </w:r>
            <w:proofErr w:type="spellEnd"/>
            <w:r w:rsidRPr="00DF4CE5">
              <w:rPr>
                <w:rFonts w:ascii="Cambria" w:hAnsi="Cambria"/>
                <w:lang w:val="it-IT"/>
              </w:rPr>
              <w:t xml:space="preserve"> </w:t>
            </w:r>
            <w:proofErr w:type="spellStart"/>
            <w:r w:rsidRPr="00DF4CE5">
              <w:rPr>
                <w:rFonts w:ascii="Cambria" w:hAnsi="Cambria"/>
                <w:lang w:val="it-IT"/>
              </w:rPr>
              <w:t>inteligencije</w:t>
            </w:r>
            <w:proofErr w:type="spellEnd"/>
            <w:r w:rsidRPr="00DF4CE5">
              <w:rPr>
                <w:rFonts w:ascii="Cambria" w:hAnsi="Cambria"/>
                <w:lang w:val="it-IT"/>
              </w:rPr>
              <w:t xml:space="preserve">. </w:t>
            </w:r>
            <w:proofErr w:type="spellStart"/>
            <w:r w:rsidRPr="00DF4CE5">
              <w:rPr>
                <w:rFonts w:ascii="Cambria" w:hAnsi="Cambria"/>
                <w:lang w:val="it-IT"/>
              </w:rPr>
              <w:t>Naklada</w:t>
            </w:r>
            <w:proofErr w:type="spellEnd"/>
            <w:r w:rsidRPr="00DF4CE5">
              <w:rPr>
                <w:rFonts w:ascii="Cambria" w:hAnsi="Cambria"/>
                <w:lang w:val="it-IT"/>
              </w:rPr>
              <w:t xml:space="preserve"> Slap, </w:t>
            </w:r>
            <w:proofErr w:type="spellStart"/>
            <w:r w:rsidRPr="00DF4CE5">
              <w:rPr>
                <w:rFonts w:ascii="Cambria" w:hAnsi="Cambria"/>
                <w:lang w:val="it-IT"/>
              </w:rPr>
              <w:t>Jastrebarsko</w:t>
            </w:r>
            <w:proofErr w:type="spellEnd"/>
            <w:r w:rsidRPr="00DF4CE5">
              <w:rPr>
                <w:rFonts w:ascii="Cambria" w:hAnsi="Cambria"/>
                <w:lang w:val="it-IT"/>
              </w:rPr>
              <w:t>, 2000.</w:t>
            </w:r>
          </w:p>
          <w:p w14:paraId="0EFB2888" w14:textId="77777777" w:rsidR="001C42AA" w:rsidRPr="00DF4CE5" w:rsidRDefault="001C42AA" w:rsidP="001C42AA">
            <w:pPr>
              <w:spacing w:after="0" w:line="240" w:lineRule="atLeast"/>
              <w:rPr>
                <w:rFonts w:ascii="Cambria" w:hAnsi="Cambria"/>
                <w:lang w:val="it-IT"/>
              </w:rPr>
            </w:pPr>
            <w:proofErr w:type="spellStart"/>
            <w:r w:rsidRPr="00DF4CE5">
              <w:rPr>
                <w:rFonts w:ascii="Cambria" w:hAnsi="Cambria"/>
                <w:lang w:val="it-IT"/>
              </w:rPr>
              <w:t>Priručna</w:t>
            </w:r>
            <w:proofErr w:type="spellEnd"/>
            <w:r w:rsidRPr="00DF4CE5">
              <w:rPr>
                <w:rFonts w:ascii="Cambria" w:hAnsi="Cambria"/>
                <w:lang w:val="it-IT"/>
              </w:rPr>
              <w:t>:</w:t>
            </w:r>
          </w:p>
          <w:p w14:paraId="544EADD1" w14:textId="77777777" w:rsidR="001C42AA" w:rsidRPr="00DF4CE5" w:rsidRDefault="001C42AA" w:rsidP="001C42AA">
            <w:pPr>
              <w:spacing w:after="0" w:line="240" w:lineRule="atLeast"/>
              <w:ind w:left="10"/>
              <w:jc w:val="both"/>
              <w:rPr>
                <w:rFonts w:ascii="Cambria" w:hAnsi="Cambria"/>
                <w:lang w:val="it-IT"/>
              </w:rPr>
            </w:pPr>
            <w:r w:rsidRPr="00DF4CE5">
              <w:rPr>
                <w:rFonts w:ascii="Cambria" w:hAnsi="Cambria"/>
                <w:lang w:val="it-IT"/>
              </w:rPr>
              <w:t xml:space="preserve">1. </w:t>
            </w:r>
            <w:proofErr w:type="spellStart"/>
            <w:r w:rsidRPr="00DF4CE5">
              <w:rPr>
                <w:rFonts w:ascii="Cambria" w:hAnsi="Cambria"/>
                <w:lang w:val="it-IT"/>
              </w:rPr>
              <w:t>Petz</w:t>
            </w:r>
            <w:proofErr w:type="spellEnd"/>
            <w:r w:rsidRPr="00DF4CE5">
              <w:rPr>
                <w:rFonts w:ascii="Cambria" w:hAnsi="Cambria"/>
                <w:lang w:val="it-IT"/>
              </w:rPr>
              <w:t>, B. (</w:t>
            </w:r>
            <w:proofErr w:type="spellStart"/>
            <w:r w:rsidRPr="00DF4CE5">
              <w:rPr>
                <w:rFonts w:ascii="Cambria" w:hAnsi="Cambria"/>
                <w:lang w:val="it-IT"/>
              </w:rPr>
              <w:t>ur</w:t>
            </w:r>
            <w:proofErr w:type="spellEnd"/>
            <w:r w:rsidRPr="00DF4CE5">
              <w:rPr>
                <w:rFonts w:ascii="Cambria" w:hAnsi="Cambria"/>
                <w:lang w:val="it-IT"/>
              </w:rPr>
              <w:t xml:space="preserve">.). </w:t>
            </w:r>
            <w:proofErr w:type="spellStart"/>
            <w:r w:rsidRPr="00DF4CE5">
              <w:rPr>
                <w:rFonts w:ascii="Cambria" w:hAnsi="Cambria"/>
                <w:i/>
                <w:lang w:val="it-IT"/>
              </w:rPr>
              <w:t>Psihologijski</w:t>
            </w:r>
            <w:proofErr w:type="spellEnd"/>
            <w:r w:rsidRPr="00DF4CE5">
              <w:rPr>
                <w:rFonts w:ascii="Cambria" w:hAnsi="Cambria"/>
                <w:i/>
                <w:lang w:val="it-IT"/>
              </w:rPr>
              <w:t xml:space="preserve"> </w:t>
            </w:r>
            <w:proofErr w:type="spellStart"/>
            <w:r w:rsidRPr="00DF4CE5">
              <w:rPr>
                <w:rFonts w:ascii="Cambria" w:hAnsi="Cambria"/>
                <w:i/>
                <w:lang w:val="it-IT"/>
              </w:rPr>
              <w:t>rječnik</w:t>
            </w:r>
            <w:proofErr w:type="spellEnd"/>
            <w:r w:rsidRPr="00DF4CE5">
              <w:rPr>
                <w:rFonts w:ascii="Cambria" w:hAnsi="Cambria"/>
                <w:i/>
                <w:lang w:val="it-IT"/>
              </w:rPr>
              <w:t>.</w:t>
            </w:r>
            <w:r w:rsidRPr="00DF4CE5">
              <w:rPr>
                <w:rFonts w:ascii="Cambria" w:hAnsi="Cambria"/>
                <w:lang w:val="it-IT"/>
              </w:rPr>
              <w:t xml:space="preserve"> </w:t>
            </w:r>
            <w:proofErr w:type="spellStart"/>
            <w:r w:rsidRPr="00DF4CE5">
              <w:rPr>
                <w:rFonts w:ascii="Cambria" w:hAnsi="Cambria"/>
                <w:lang w:val="it-IT"/>
              </w:rPr>
              <w:t>Naklada</w:t>
            </w:r>
            <w:proofErr w:type="spellEnd"/>
            <w:r w:rsidRPr="00DF4CE5">
              <w:rPr>
                <w:rFonts w:ascii="Cambria" w:hAnsi="Cambria"/>
                <w:lang w:val="it-IT"/>
              </w:rPr>
              <w:t xml:space="preserve"> Slap, </w:t>
            </w:r>
            <w:proofErr w:type="spellStart"/>
            <w:r w:rsidRPr="00DF4CE5">
              <w:rPr>
                <w:rFonts w:ascii="Cambria" w:hAnsi="Cambria"/>
                <w:lang w:val="it-IT"/>
              </w:rPr>
              <w:t>Jastrebarsko</w:t>
            </w:r>
            <w:proofErr w:type="spellEnd"/>
            <w:r w:rsidRPr="00DF4CE5">
              <w:rPr>
                <w:rFonts w:ascii="Cambria" w:hAnsi="Cambria"/>
                <w:lang w:val="it-IT"/>
              </w:rPr>
              <w:t>, 2005.</w:t>
            </w:r>
          </w:p>
        </w:tc>
      </w:tr>
    </w:tbl>
    <w:p w14:paraId="0CEE1AFD" w14:textId="4CAF1692" w:rsidR="001C42AA" w:rsidRPr="00DF4CE5" w:rsidRDefault="001C42AA">
      <w:pPr>
        <w:rPr>
          <w:rFonts w:ascii="Cambria" w:eastAsia="Times New Roman" w:hAnsi="Cambria" w:cs="Calibri"/>
          <w:lang w:val="hr-HR"/>
        </w:rPr>
      </w:pPr>
    </w:p>
    <w:tbl>
      <w:tblPr>
        <w:tblW w:w="5000" w:type="pct"/>
        <w:tblLayout w:type="fixed"/>
        <w:tblCellMar>
          <w:left w:w="0" w:type="dxa"/>
          <w:right w:w="0" w:type="dxa"/>
        </w:tblCellMar>
        <w:tblLook w:val="0600" w:firstRow="0" w:lastRow="0" w:firstColumn="0" w:lastColumn="0" w:noHBand="1" w:noVBand="1"/>
      </w:tblPr>
      <w:tblGrid>
        <w:gridCol w:w="2807"/>
        <w:gridCol w:w="2663"/>
        <w:gridCol w:w="105"/>
        <w:gridCol w:w="1171"/>
        <w:gridCol w:w="300"/>
        <w:gridCol w:w="472"/>
        <w:gridCol w:w="1087"/>
        <w:gridCol w:w="1415"/>
      </w:tblGrid>
      <w:tr w:rsidR="001C42AA" w:rsidRPr="00DF4CE5" w14:paraId="0FE0B6BB" w14:textId="77777777" w:rsidTr="001C42AA">
        <w:tc>
          <w:tcPr>
            <w:tcW w:w="9052"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4A959A4" w14:textId="77777777" w:rsidR="001C42AA" w:rsidRPr="00DF4CE5" w:rsidRDefault="001C42AA" w:rsidP="001C42AA">
            <w:pPr>
              <w:spacing w:after="0" w:line="240" w:lineRule="auto"/>
              <w:jc w:val="right"/>
              <w:rPr>
                <w:rFonts w:ascii="Cambria" w:eastAsia="Times New Roman" w:hAnsi="Cambria" w:cs="Calibri"/>
                <w:b/>
              </w:rPr>
            </w:pPr>
            <w:r w:rsidRPr="00DF4CE5">
              <w:rPr>
                <w:rFonts w:ascii="Cambria" w:eastAsia="Times New Roman" w:hAnsi="Cambria" w:cs="Calibri"/>
                <w:b/>
              </w:rPr>
              <w:lastRenderedPageBreak/>
              <w:t>IZVEDBENI PLAN NASTAVE KOLEGIJA</w:t>
            </w:r>
          </w:p>
        </w:tc>
      </w:tr>
      <w:tr w:rsidR="001C42AA" w:rsidRPr="00DF4CE5" w14:paraId="05E8D77E" w14:textId="77777777" w:rsidTr="001C42AA">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ACEE8B8" w14:textId="77777777" w:rsidR="001C42AA" w:rsidRPr="00DF4CE5" w:rsidRDefault="001C42AA" w:rsidP="001C42AA">
            <w:pPr>
              <w:spacing w:after="0" w:line="240" w:lineRule="auto"/>
              <w:rPr>
                <w:rFonts w:ascii="Cambria" w:eastAsia="Times New Roman" w:hAnsi="Cambria" w:cs="Calibri"/>
              </w:rPr>
            </w:pPr>
            <w:proofErr w:type="spellStart"/>
            <w:r w:rsidRPr="00DF4CE5">
              <w:rPr>
                <w:rFonts w:ascii="Cambria" w:eastAsia="Times New Roman" w:hAnsi="Cambria" w:cs="Calibri"/>
              </w:rPr>
              <w:t>Kod</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i</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naziv</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kolegija</w:t>
            </w:r>
            <w:proofErr w:type="spellEnd"/>
          </w:p>
        </w:tc>
        <w:tc>
          <w:tcPr>
            <w:tcW w:w="651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EC2AAF2" w14:textId="5DC777CD" w:rsidR="001C42AA" w:rsidRPr="00DF4CE5" w:rsidRDefault="00A31664" w:rsidP="001C42AA">
            <w:pPr>
              <w:spacing w:after="0" w:line="240" w:lineRule="auto"/>
              <w:outlineLvl w:val="2"/>
              <w:rPr>
                <w:rFonts w:ascii="Cambria" w:eastAsia="Times New Roman" w:hAnsi="Cambria" w:cs="Calibri"/>
                <w:bCs/>
                <w:lang w:eastAsia="hr-HR"/>
              </w:rPr>
            </w:pPr>
            <w:r w:rsidRPr="00DF4CE5">
              <w:rPr>
                <w:rFonts w:ascii="Cambria" w:eastAsia="Times New Roman" w:hAnsi="Cambria" w:cs="Calibri"/>
                <w:bCs/>
                <w:lang w:eastAsia="hr-HR"/>
              </w:rPr>
              <w:t>257224</w:t>
            </w:r>
          </w:p>
          <w:p w14:paraId="7D24C00E" w14:textId="77777777" w:rsidR="001C42AA" w:rsidRPr="00DF4CE5" w:rsidRDefault="001C42AA" w:rsidP="001C42AA">
            <w:pPr>
              <w:spacing w:after="0" w:line="240" w:lineRule="auto"/>
              <w:outlineLvl w:val="2"/>
              <w:rPr>
                <w:rFonts w:ascii="Cambria" w:eastAsia="Times New Roman" w:hAnsi="Cambria" w:cs="Calibri"/>
                <w:bCs/>
                <w:lang w:eastAsia="hr-HR"/>
              </w:rPr>
            </w:pPr>
            <w:r w:rsidRPr="00DF4CE5">
              <w:rPr>
                <w:rFonts w:ascii="Cambria" w:eastAsia="Times New Roman" w:hAnsi="Cambria" w:cs="Calibri"/>
                <w:bCs/>
                <w:lang w:eastAsia="hr-HR"/>
              </w:rPr>
              <w:t xml:space="preserve">Hrvatski </w:t>
            </w:r>
            <w:proofErr w:type="spellStart"/>
            <w:r w:rsidRPr="00DF4CE5">
              <w:rPr>
                <w:rFonts w:ascii="Cambria" w:eastAsia="Times New Roman" w:hAnsi="Cambria" w:cs="Calibri"/>
                <w:bCs/>
                <w:lang w:eastAsia="hr-HR"/>
              </w:rPr>
              <w:t>jezik</w:t>
            </w:r>
            <w:proofErr w:type="spellEnd"/>
            <w:r w:rsidRPr="00DF4CE5">
              <w:rPr>
                <w:rFonts w:ascii="Cambria" w:eastAsia="Times New Roman" w:hAnsi="Cambria" w:cs="Calibri"/>
                <w:bCs/>
                <w:lang w:eastAsia="hr-HR"/>
              </w:rPr>
              <w:t xml:space="preserve"> 1</w:t>
            </w:r>
          </w:p>
        </w:tc>
      </w:tr>
      <w:tr w:rsidR="001C42AA" w:rsidRPr="00D0399C" w14:paraId="0CD60821" w14:textId="77777777" w:rsidTr="001C42AA">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09FC0BC" w14:textId="7401BB33" w:rsidR="001C42AA" w:rsidRDefault="001C42AA" w:rsidP="001C42AA">
            <w:pPr>
              <w:spacing w:after="0" w:line="240" w:lineRule="auto"/>
              <w:rPr>
                <w:rFonts w:ascii="Cambria" w:eastAsia="Times New Roman" w:hAnsi="Cambria" w:cs="Calibri"/>
              </w:rPr>
            </w:pPr>
            <w:proofErr w:type="spellStart"/>
            <w:r w:rsidRPr="00DF4CE5">
              <w:rPr>
                <w:rFonts w:ascii="Cambria" w:eastAsia="Times New Roman" w:hAnsi="Cambria" w:cs="Calibri"/>
              </w:rPr>
              <w:t>Nastavnica</w:t>
            </w:r>
            <w:proofErr w:type="spellEnd"/>
            <w:r w:rsidRPr="00DF4CE5">
              <w:rPr>
                <w:rFonts w:ascii="Cambria" w:eastAsia="Times New Roman" w:hAnsi="Cambria" w:cs="Calibri"/>
              </w:rPr>
              <w:t xml:space="preserve"> </w:t>
            </w:r>
          </w:p>
          <w:p w14:paraId="01777D68" w14:textId="176936BF" w:rsidR="00B2232B" w:rsidRPr="00DF4CE5" w:rsidRDefault="00B2232B" w:rsidP="001C42AA">
            <w:pPr>
              <w:spacing w:after="0" w:line="240" w:lineRule="auto"/>
              <w:rPr>
                <w:rFonts w:ascii="Cambria" w:eastAsia="Times New Roman" w:hAnsi="Cambria" w:cs="Calibri"/>
              </w:rPr>
            </w:pPr>
            <w:proofErr w:type="spellStart"/>
            <w:r>
              <w:rPr>
                <w:rFonts w:ascii="Cambria" w:eastAsia="Times New Roman" w:hAnsi="Cambria" w:cs="Calibri"/>
              </w:rPr>
              <w:t>Suradnica</w:t>
            </w:r>
            <w:proofErr w:type="spellEnd"/>
          </w:p>
          <w:p w14:paraId="1BB1BC79" w14:textId="77777777" w:rsidR="001C42AA" w:rsidRPr="00DF4CE5" w:rsidRDefault="001C42AA" w:rsidP="001C42AA">
            <w:pPr>
              <w:spacing w:after="0" w:line="240" w:lineRule="auto"/>
              <w:rPr>
                <w:rFonts w:ascii="Cambria" w:eastAsia="Times New Roman" w:hAnsi="Cambria" w:cs="Calibri"/>
              </w:rPr>
            </w:pPr>
          </w:p>
        </w:tc>
        <w:tc>
          <w:tcPr>
            <w:tcW w:w="651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C982F13" w14:textId="258E1B9A" w:rsidR="001C42AA" w:rsidRPr="00DF4CE5" w:rsidRDefault="001C42AA" w:rsidP="001C42AA">
            <w:pPr>
              <w:spacing w:after="0" w:line="240" w:lineRule="auto"/>
              <w:rPr>
                <w:rFonts w:ascii="Cambria" w:eastAsia="Times New Roman" w:hAnsi="Cambria" w:cs="Calibri"/>
                <w:color w:val="0000FF"/>
                <w:u w:val="single"/>
              </w:rPr>
            </w:pPr>
            <w:hyperlink r:id="rId14" w:history="1">
              <w:proofErr w:type="spellStart"/>
              <w:r w:rsidRPr="00DF4CE5">
                <w:rPr>
                  <w:rFonts w:ascii="Cambria" w:eastAsia="Times New Roman" w:hAnsi="Cambria" w:cs="Calibri"/>
                  <w:color w:val="0000FF"/>
                  <w:u w:val="single"/>
                </w:rPr>
                <w:t>Izv</w:t>
              </w:r>
              <w:proofErr w:type="spellEnd"/>
              <w:r w:rsidRPr="00DF4CE5">
                <w:rPr>
                  <w:rFonts w:ascii="Cambria" w:eastAsia="Times New Roman" w:hAnsi="Cambria" w:cs="Calibri"/>
                  <w:color w:val="0000FF"/>
                  <w:u w:val="single"/>
                </w:rPr>
                <w:t>. prof. dr. sc. Helena Pavletić</w:t>
              </w:r>
            </w:hyperlink>
            <w:r w:rsidRPr="00DF4CE5">
              <w:rPr>
                <w:rFonts w:ascii="Cambria" w:eastAsia="Times New Roman" w:hAnsi="Cambria" w:cs="Calibri"/>
                <w:color w:val="0000FF"/>
                <w:u w:val="single"/>
              </w:rPr>
              <w:t xml:space="preserve"> </w:t>
            </w:r>
            <w:r w:rsidRPr="00B2232B">
              <w:rPr>
                <w:rFonts w:ascii="Cambria" w:eastAsia="Times New Roman" w:hAnsi="Cambria" w:cs="Calibri"/>
                <w:color w:val="000000" w:themeColor="text1"/>
              </w:rPr>
              <w:t>(</w:t>
            </w:r>
            <w:proofErr w:type="spellStart"/>
            <w:r w:rsidRPr="00B2232B">
              <w:rPr>
                <w:rFonts w:ascii="Cambria" w:eastAsia="Times New Roman" w:hAnsi="Cambria" w:cs="Calibri"/>
                <w:color w:val="000000" w:themeColor="text1"/>
              </w:rPr>
              <w:t>nositeljica</w:t>
            </w:r>
            <w:proofErr w:type="spellEnd"/>
            <w:r w:rsidRPr="00B2232B">
              <w:rPr>
                <w:rFonts w:ascii="Cambria" w:eastAsia="Times New Roman" w:hAnsi="Cambria" w:cs="Calibri"/>
                <w:color w:val="000000" w:themeColor="text1"/>
              </w:rPr>
              <w:t>)</w:t>
            </w:r>
          </w:p>
          <w:p w14:paraId="45529975" w14:textId="69B25878" w:rsidR="001C42AA" w:rsidRPr="000B2D2C" w:rsidRDefault="000B2D2C" w:rsidP="001C42AA">
            <w:pPr>
              <w:spacing w:after="0" w:line="240" w:lineRule="auto"/>
              <w:rPr>
                <w:rFonts w:ascii="Cambria" w:eastAsia="Times New Roman" w:hAnsi="Cambria" w:cs="Calibri"/>
                <w:lang w:val="it-IT"/>
              </w:rPr>
            </w:pPr>
            <w:hyperlink r:id="rId15" w:history="1">
              <w:r w:rsidRPr="000B2D2C">
                <w:rPr>
                  <w:rStyle w:val="Hiperveza"/>
                  <w:rFonts w:ascii="Cambria" w:hAnsi="Cambria"/>
                  <w:lang w:val="it-IT"/>
                </w:rPr>
                <w:t xml:space="preserve">Doc. dr. sc. Ivana </w:t>
              </w:r>
              <w:proofErr w:type="spellStart"/>
              <w:r w:rsidRPr="000B2D2C">
                <w:rPr>
                  <w:rStyle w:val="Hiperveza"/>
                  <w:rFonts w:ascii="Cambria" w:hAnsi="Cambria"/>
                  <w:lang w:val="it-IT"/>
                </w:rPr>
                <w:t>Nežić</w:t>
              </w:r>
              <w:proofErr w:type="spellEnd"/>
            </w:hyperlink>
          </w:p>
        </w:tc>
      </w:tr>
      <w:tr w:rsidR="001C42AA" w:rsidRPr="00DF4CE5" w14:paraId="1FE5FDBE" w14:textId="77777777" w:rsidTr="001C42AA">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A029FAD" w14:textId="77777777" w:rsidR="001C42AA" w:rsidRPr="00DF4CE5" w:rsidRDefault="001C42AA" w:rsidP="001C42AA">
            <w:pPr>
              <w:spacing w:after="0" w:line="240" w:lineRule="auto"/>
              <w:rPr>
                <w:rFonts w:ascii="Cambria" w:eastAsia="Times New Roman" w:hAnsi="Cambria" w:cs="Calibri"/>
              </w:rPr>
            </w:pPr>
            <w:proofErr w:type="spellStart"/>
            <w:r w:rsidRPr="00DF4CE5">
              <w:rPr>
                <w:rFonts w:ascii="Cambria" w:eastAsia="Times New Roman" w:hAnsi="Cambria" w:cs="Calibri"/>
              </w:rPr>
              <w:t>Studijski</w:t>
            </w:r>
            <w:proofErr w:type="spellEnd"/>
            <w:r w:rsidRPr="00DF4CE5">
              <w:rPr>
                <w:rFonts w:ascii="Cambria" w:eastAsia="Times New Roman" w:hAnsi="Cambria" w:cs="Calibri"/>
              </w:rPr>
              <w:t xml:space="preserve"> program</w:t>
            </w:r>
          </w:p>
        </w:tc>
        <w:tc>
          <w:tcPr>
            <w:tcW w:w="651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1B4607A" w14:textId="77777777" w:rsidR="001C42AA" w:rsidRPr="00DF4CE5" w:rsidRDefault="001C42AA" w:rsidP="001C42AA">
            <w:pPr>
              <w:spacing w:after="0" w:line="240" w:lineRule="auto"/>
              <w:rPr>
                <w:rFonts w:ascii="Cambria" w:eastAsia="Times New Roman" w:hAnsi="Cambria" w:cs="Calibri"/>
              </w:rPr>
            </w:pPr>
            <w:proofErr w:type="spellStart"/>
            <w:r w:rsidRPr="00DF4CE5">
              <w:rPr>
                <w:rFonts w:ascii="Cambria" w:eastAsia="Calibri" w:hAnsi="Cambria" w:cs="Calibri"/>
              </w:rPr>
              <w:t>Sveučilišni</w:t>
            </w:r>
            <w:proofErr w:type="spellEnd"/>
            <w:r w:rsidRPr="00DF4CE5">
              <w:rPr>
                <w:rFonts w:ascii="Cambria" w:eastAsia="Calibri" w:hAnsi="Cambria" w:cs="Calibri"/>
              </w:rPr>
              <w:t xml:space="preserve"> </w:t>
            </w:r>
            <w:proofErr w:type="spellStart"/>
            <w:r w:rsidRPr="00DF4CE5">
              <w:rPr>
                <w:rFonts w:ascii="Cambria" w:eastAsia="Calibri" w:hAnsi="Cambria" w:cs="Calibri"/>
              </w:rPr>
              <w:t>integrirani</w:t>
            </w:r>
            <w:proofErr w:type="spellEnd"/>
            <w:r w:rsidRPr="00DF4CE5">
              <w:rPr>
                <w:rFonts w:ascii="Cambria" w:eastAsia="Calibri" w:hAnsi="Cambria" w:cs="Calibri"/>
              </w:rPr>
              <w:t xml:space="preserve"> </w:t>
            </w:r>
            <w:proofErr w:type="spellStart"/>
            <w:r w:rsidRPr="00DF4CE5">
              <w:rPr>
                <w:rFonts w:ascii="Cambria" w:eastAsia="Calibri" w:hAnsi="Cambria" w:cs="Calibri"/>
              </w:rPr>
              <w:t>prijediplomski</w:t>
            </w:r>
            <w:proofErr w:type="spellEnd"/>
            <w:r w:rsidRPr="00DF4CE5">
              <w:rPr>
                <w:rFonts w:ascii="Cambria" w:eastAsia="Calibri" w:hAnsi="Cambria" w:cs="Calibri"/>
              </w:rPr>
              <w:t xml:space="preserve"> </w:t>
            </w:r>
            <w:proofErr w:type="spellStart"/>
            <w:r w:rsidRPr="00DF4CE5">
              <w:rPr>
                <w:rFonts w:ascii="Cambria" w:eastAsia="Calibri" w:hAnsi="Cambria" w:cs="Calibri"/>
              </w:rPr>
              <w:t>i</w:t>
            </w:r>
            <w:proofErr w:type="spellEnd"/>
            <w:r w:rsidRPr="00DF4CE5">
              <w:rPr>
                <w:rFonts w:ascii="Cambria" w:eastAsia="Calibri" w:hAnsi="Cambria" w:cs="Calibri"/>
              </w:rPr>
              <w:t xml:space="preserve"> </w:t>
            </w:r>
            <w:proofErr w:type="spellStart"/>
            <w:r w:rsidRPr="00DF4CE5">
              <w:rPr>
                <w:rFonts w:ascii="Cambria" w:eastAsia="Calibri" w:hAnsi="Cambria" w:cs="Calibri"/>
              </w:rPr>
              <w:t>diplomski</w:t>
            </w:r>
            <w:proofErr w:type="spellEnd"/>
            <w:r w:rsidRPr="00DF4CE5">
              <w:rPr>
                <w:rFonts w:ascii="Cambria" w:eastAsia="Calibri" w:hAnsi="Cambria" w:cs="Calibri"/>
              </w:rPr>
              <w:t xml:space="preserve"> </w:t>
            </w:r>
            <w:proofErr w:type="spellStart"/>
            <w:r w:rsidRPr="00DF4CE5">
              <w:rPr>
                <w:rFonts w:ascii="Cambria" w:eastAsia="Calibri" w:hAnsi="Cambria" w:cs="Calibri"/>
              </w:rPr>
              <w:t>Učiteljski</w:t>
            </w:r>
            <w:proofErr w:type="spellEnd"/>
            <w:r w:rsidRPr="00DF4CE5">
              <w:rPr>
                <w:rFonts w:ascii="Cambria" w:eastAsia="Calibri" w:hAnsi="Cambria" w:cs="Calibri"/>
              </w:rPr>
              <w:t xml:space="preserve"> </w:t>
            </w:r>
            <w:proofErr w:type="spellStart"/>
            <w:r w:rsidRPr="00DF4CE5">
              <w:rPr>
                <w:rFonts w:ascii="Cambria" w:eastAsia="Calibri" w:hAnsi="Cambria" w:cs="Calibri"/>
              </w:rPr>
              <w:t>studij</w:t>
            </w:r>
            <w:proofErr w:type="spellEnd"/>
            <w:r w:rsidRPr="00DF4CE5">
              <w:rPr>
                <w:rFonts w:ascii="Cambria" w:eastAsia="Calibri" w:hAnsi="Cambria" w:cs="Calibri"/>
              </w:rPr>
              <w:t xml:space="preserve"> </w:t>
            </w:r>
            <w:proofErr w:type="spellStart"/>
            <w:r w:rsidRPr="00DF4CE5">
              <w:rPr>
                <w:rFonts w:ascii="Cambria" w:eastAsia="Calibri" w:hAnsi="Cambria" w:cs="Calibri"/>
              </w:rPr>
              <w:t>na</w:t>
            </w:r>
            <w:proofErr w:type="spellEnd"/>
            <w:r w:rsidRPr="00DF4CE5">
              <w:rPr>
                <w:rFonts w:ascii="Cambria" w:eastAsia="Calibri" w:hAnsi="Cambria" w:cs="Calibri"/>
              </w:rPr>
              <w:t xml:space="preserve"> </w:t>
            </w:r>
            <w:proofErr w:type="spellStart"/>
            <w:r w:rsidRPr="00DF4CE5">
              <w:rPr>
                <w:rFonts w:ascii="Cambria" w:eastAsia="Calibri" w:hAnsi="Cambria" w:cs="Calibri"/>
              </w:rPr>
              <w:t>hrvatskom</w:t>
            </w:r>
            <w:proofErr w:type="spellEnd"/>
            <w:r w:rsidRPr="00DF4CE5">
              <w:rPr>
                <w:rFonts w:ascii="Cambria" w:eastAsia="Calibri" w:hAnsi="Cambria" w:cs="Calibri"/>
              </w:rPr>
              <w:t xml:space="preserve"> </w:t>
            </w:r>
            <w:proofErr w:type="spellStart"/>
            <w:r w:rsidRPr="00DF4CE5">
              <w:rPr>
                <w:rFonts w:ascii="Cambria" w:eastAsia="Calibri" w:hAnsi="Cambria" w:cs="Calibri"/>
              </w:rPr>
              <w:t>jeziku</w:t>
            </w:r>
            <w:proofErr w:type="spellEnd"/>
          </w:p>
        </w:tc>
      </w:tr>
      <w:tr w:rsidR="001C42AA" w:rsidRPr="00DF4CE5" w14:paraId="4B5C274F" w14:textId="77777777" w:rsidTr="001C42AA">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5441832" w14:textId="77777777" w:rsidR="001C42AA" w:rsidRPr="00DF4CE5" w:rsidRDefault="001C42AA" w:rsidP="001C42AA">
            <w:pPr>
              <w:spacing w:after="0" w:line="240" w:lineRule="auto"/>
              <w:rPr>
                <w:rFonts w:ascii="Cambria" w:eastAsia="Times New Roman" w:hAnsi="Cambria" w:cs="Calibri"/>
              </w:rPr>
            </w:pPr>
            <w:proofErr w:type="spellStart"/>
            <w:r w:rsidRPr="00DF4CE5">
              <w:rPr>
                <w:rFonts w:ascii="Cambria" w:eastAsia="Times New Roman" w:hAnsi="Cambria" w:cs="Calibri"/>
              </w:rPr>
              <w:t>Vrsta</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kolegija</w:t>
            </w:r>
            <w:proofErr w:type="spellEnd"/>
          </w:p>
        </w:tc>
        <w:tc>
          <w:tcPr>
            <w:tcW w:w="240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0611C84" w14:textId="77777777" w:rsidR="001C42AA" w:rsidRPr="00DF4CE5" w:rsidRDefault="001C42AA" w:rsidP="001C42AA">
            <w:pPr>
              <w:spacing w:after="0" w:line="240" w:lineRule="auto"/>
              <w:rPr>
                <w:rFonts w:ascii="Cambria" w:eastAsia="Times New Roman" w:hAnsi="Cambria" w:cs="Calibri"/>
              </w:rPr>
            </w:pPr>
            <w:proofErr w:type="spellStart"/>
            <w:r w:rsidRPr="00DF4CE5">
              <w:rPr>
                <w:rFonts w:ascii="Cambria" w:eastAsia="Times New Roman" w:hAnsi="Cambria" w:cs="Calibri"/>
              </w:rPr>
              <w:t>obvezan</w:t>
            </w:r>
            <w:proofErr w:type="spellEnd"/>
            <w:r w:rsidRPr="00DF4CE5">
              <w:rPr>
                <w:rFonts w:ascii="Cambria" w:eastAsia="Times New Roman" w:hAnsi="Cambria" w:cs="Calibri"/>
              </w:rPr>
              <w:t xml:space="preserve"> </w:t>
            </w:r>
          </w:p>
          <w:p w14:paraId="188FD271" w14:textId="77777777" w:rsidR="001C42AA" w:rsidRPr="00DF4CE5" w:rsidRDefault="001C42AA" w:rsidP="001C42AA">
            <w:pPr>
              <w:spacing w:after="0" w:line="240" w:lineRule="auto"/>
              <w:rPr>
                <w:rFonts w:ascii="Cambria" w:eastAsia="Times New Roman" w:hAnsi="Cambria" w:cs="Calibri"/>
              </w:rPr>
            </w:pPr>
          </w:p>
        </w:tc>
        <w:tc>
          <w:tcPr>
            <w:tcW w:w="1424"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6088EE66" w14:textId="77777777" w:rsidR="001C42AA" w:rsidRPr="00DF4CE5" w:rsidRDefault="001C42AA" w:rsidP="001C42AA">
            <w:pPr>
              <w:spacing w:after="0" w:line="240" w:lineRule="auto"/>
              <w:rPr>
                <w:rFonts w:ascii="Cambria" w:eastAsia="Times New Roman" w:hAnsi="Cambria" w:cs="Calibri"/>
              </w:rPr>
            </w:pPr>
            <w:r w:rsidRPr="00DF4CE5">
              <w:rPr>
                <w:rFonts w:ascii="Cambria" w:eastAsia="Times New Roman" w:hAnsi="Cambria" w:cs="Calibri"/>
              </w:rPr>
              <w:t xml:space="preserve">Razina </w:t>
            </w:r>
            <w:proofErr w:type="spellStart"/>
            <w:r w:rsidRPr="00DF4CE5">
              <w:rPr>
                <w:rFonts w:ascii="Cambria" w:eastAsia="Times New Roman" w:hAnsi="Cambria" w:cs="Calibri"/>
              </w:rPr>
              <w:t>kolegija</w:t>
            </w:r>
            <w:proofErr w:type="spellEnd"/>
          </w:p>
        </w:tc>
        <w:tc>
          <w:tcPr>
            <w:tcW w:w="2686"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02EA57C" w14:textId="77777777" w:rsidR="001C42AA" w:rsidRPr="00DF4CE5" w:rsidRDefault="001C42AA" w:rsidP="001C42AA">
            <w:pPr>
              <w:spacing w:after="0" w:line="240" w:lineRule="auto"/>
              <w:rPr>
                <w:rFonts w:ascii="Cambria" w:eastAsia="Times New Roman" w:hAnsi="Cambria" w:cs="Calibri"/>
              </w:rPr>
            </w:pPr>
            <w:proofErr w:type="spellStart"/>
            <w:r w:rsidRPr="00DF4CE5">
              <w:rPr>
                <w:rFonts w:ascii="Cambria" w:eastAsia="Times New Roman" w:hAnsi="Cambria" w:cs="Calibri"/>
              </w:rPr>
              <w:t>integrirani</w:t>
            </w:r>
            <w:proofErr w:type="spellEnd"/>
          </w:p>
          <w:p w14:paraId="188F4524" w14:textId="77777777" w:rsidR="001C42AA" w:rsidRPr="00DF4CE5" w:rsidRDefault="001C42AA" w:rsidP="001C42AA">
            <w:pPr>
              <w:spacing w:after="0" w:line="240" w:lineRule="auto"/>
              <w:rPr>
                <w:rFonts w:ascii="Cambria" w:eastAsia="Times New Roman" w:hAnsi="Cambria" w:cs="Calibri"/>
              </w:rPr>
            </w:pPr>
          </w:p>
        </w:tc>
      </w:tr>
      <w:tr w:rsidR="001C42AA" w:rsidRPr="00DF4CE5" w14:paraId="7834855F" w14:textId="77777777" w:rsidTr="001C42AA">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95CD082" w14:textId="77777777" w:rsidR="001C42AA" w:rsidRPr="00DF4CE5" w:rsidRDefault="001C42AA" w:rsidP="001C42AA">
            <w:pPr>
              <w:spacing w:after="0" w:line="240" w:lineRule="auto"/>
              <w:rPr>
                <w:rFonts w:ascii="Cambria" w:eastAsia="Times New Roman" w:hAnsi="Cambria" w:cs="Calibri"/>
              </w:rPr>
            </w:pPr>
            <w:proofErr w:type="spellStart"/>
            <w:r w:rsidRPr="00DF4CE5">
              <w:rPr>
                <w:rFonts w:ascii="Cambria" w:eastAsia="Times New Roman" w:hAnsi="Cambria" w:cs="Calibri"/>
              </w:rPr>
              <w:t>Semestar</w:t>
            </w:r>
            <w:proofErr w:type="spellEnd"/>
          </w:p>
        </w:tc>
        <w:tc>
          <w:tcPr>
            <w:tcW w:w="240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8B7C9DD" w14:textId="77777777" w:rsidR="001C42AA" w:rsidRPr="00DF4CE5" w:rsidRDefault="001C42AA" w:rsidP="001C42AA">
            <w:pPr>
              <w:spacing w:after="0" w:line="240" w:lineRule="auto"/>
              <w:rPr>
                <w:rFonts w:ascii="Cambria" w:eastAsia="Times New Roman" w:hAnsi="Cambria" w:cs="Calibri"/>
              </w:rPr>
            </w:pPr>
            <w:proofErr w:type="spellStart"/>
            <w:r w:rsidRPr="00DF4CE5">
              <w:rPr>
                <w:rFonts w:ascii="Cambria" w:eastAsia="Times New Roman" w:hAnsi="Cambria" w:cs="Calibri"/>
              </w:rPr>
              <w:t>zimski</w:t>
            </w:r>
            <w:proofErr w:type="spellEnd"/>
          </w:p>
          <w:p w14:paraId="6DC81DCA" w14:textId="77777777" w:rsidR="001C42AA" w:rsidRPr="00DF4CE5" w:rsidRDefault="001C42AA" w:rsidP="001C42AA">
            <w:pPr>
              <w:spacing w:after="0" w:line="240" w:lineRule="auto"/>
              <w:rPr>
                <w:rFonts w:ascii="Cambria" w:eastAsia="Times New Roman" w:hAnsi="Cambria" w:cs="Calibri"/>
              </w:rPr>
            </w:pPr>
          </w:p>
        </w:tc>
        <w:tc>
          <w:tcPr>
            <w:tcW w:w="1424"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312BCDE9" w14:textId="77777777" w:rsidR="001C42AA" w:rsidRPr="00DF4CE5" w:rsidRDefault="001C42AA" w:rsidP="001C42AA">
            <w:pPr>
              <w:spacing w:after="0" w:line="240" w:lineRule="auto"/>
              <w:rPr>
                <w:rFonts w:ascii="Cambria" w:eastAsia="Times New Roman" w:hAnsi="Cambria" w:cs="Calibri"/>
              </w:rPr>
            </w:pPr>
            <w:r w:rsidRPr="00DF4CE5">
              <w:rPr>
                <w:rFonts w:ascii="Cambria" w:eastAsia="Times New Roman" w:hAnsi="Cambria" w:cs="Calibri"/>
              </w:rPr>
              <w:t xml:space="preserve">Godina </w:t>
            </w:r>
            <w:proofErr w:type="spellStart"/>
            <w:r w:rsidRPr="00DF4CE5">
              <w:rPr>
                <w:rFonts w:ascii="Cambria" w:eastAsia="Times New Roman" w:hAnsi="Cambria" w:cs="Calibri"/>
              </w:rPr>
              <w:t>studija</w:t>
            </w:r>
            <w:proofErr w:type="spellEnd"/>
          </w:p>
        </w:tc>
        <w:tc>
          <w:tcPr>
            <w:tcW w:w="2686"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887437A" w14:textId="77777777" w:rsidR="001C42AA" w:rsidRPr="00DF4CE5" w:rsidRDefault="001C42AA" w:rsidP="001C42AA">
            <w:pPr>
              <w:spacing w:after="0" w:line="240" w:lineRule="auto"/>
              <w:rPr>
                <w:rFonts w:ascii="Cambria" w:eastAsia="Times New Roman" w:hAnsi="Cambria" w:cs="Calibri"/>
              </w:rPr>
            </w:pPr>
            <w:r w:rsidRPr="00DF4CE5">
              <w:rPr>
                <w:rFonts w:ascii="Cambria" w:eastAsia="Times New Roman" w:hAnsi="Cambria" w:cs="Calibri"/>
              </w:rPr>
              <w:t>I.</w:t>
            </w:r>
          </w:p>
        </w:tc>
      </w:tr>
      <w:tr w:rsidR="001C42AA" w:rsidRPr="00DF4CE5" w14:paraId="1B72D4BB" w14:textId="77777777" w:rsidTr="001C42AA">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1ED76A4" w14:textId="77777777" w:rsidR="001C42AA" w:rsidRPr="00DF4CE5" w:rsidRDefault="001C42AA" w:rsidP="001C42AA">
            <w:pPr>
              <w:spacing w:after="0" w:line="240" w:lineRule="auto"/>
              <w:rPr>
                <w:rFonts w:ascii="Cambria" w:eastAsia="Times New Roman" w:hAnsi="Cambria" w:cs="Calibri"/>
              </w:rPr>
            </w:pPr>
            <w:proofErr w:type="spellStart"/>
            <w:r w:rsidRPr="00DF4CE5">
              <w:rPr>
                <w:rFonts w:ascii="Cambria" w:eastAsia="Times New Roman" w:hAnsi="Cambria" w:cs="Calibri"/>
              </w:rPr>
              <w:t>Mjesto</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izvođenja</w:t>
            </w:r>
            <w:proofErr w:type="spellEnd"/>
          </w:p>
        </w:tc>
        <w:tc>
          <w:tcPr>
            <w:tcW w:w="240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DED1F0F" w14:textId="7A46B16F" w:rsidR="001C42AA" w:rsidRPr="00DF4CE5" w:rsidRDefault="001C42AA" w:rsidP="001C42AA">
            <w:pPr>
              <w:spacing w:after="0" w:line="240" w:lineRule="auto"/>
              <w:rPr>
                <w:rFonts w:ascii="Cambria" w:eastAsia="Times New Roman" w:hAnsi="Cambria" w:cs="Calibri"/>
              </w:rPr>
            </w:pPr>
            <w:proofErr w:type="spellStart"/>
            <w:r w:rsidRPr="00DF4CE5">
              <w:rPr>
                <w:rFonts w:ascii="Cambria" w:eastAsia="Times New Roman" w:hAnsi="Cambria" w:cs="Calibri"/>
              </w:rPr>
              <w:t>učionica</w:t>
            </w:r>
            <w:proofErr w:type="spellEnd"/>
            <w:r w:rsidRPr="00DF4CE5">
              <w:rPr>
                <w:rFonts w:ascii="Cambria" w:eastAsia="Times New Roman" w:hAnsi="Cambria" w:cs="Calibri"/>
              </w:rPr>
              <w:t xml:space="preserve"> </w:t>
            </w:r>
          </w:p>
        </w:tc>
        <w:tc>
          <w:tcPr>
            <w:tcW w:w="1424"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6CCD661A" w14:textId="77777777" w:rsidR="001C42AA" w:rsidRPr="00DF4CE5" w:rsidRDefault="001C42AA" w:rsidP="001C42AA">
            <w:pPr>
              <w:spacing w:after="0" w:line="240" w:lineRule="auto"/>
              <w:rPr>
                <w:rFonts w:ascii="Cambria" w:eastAsia="Times New Roman" w:hAnsi="Cambria" w:cs="Calibri"/>
              </w:rPr>
            </w:pPr>
            <w:r w:rsidRPr="00DF4CE5">
              <w:rPr>
                <w:rFonts w:ascii="Cambria" w:eastAsia="Times New Roman" w:hAnsi="Cambria" w:cs="Calibri"/>
              </w:rPr>
              <w:t xml:space="preserve">Jezik </w:t>
            </w:r>
            <w:proofErr w:type="spellStart"/>
            <w:r w:rsidRPr="00DF4CE5">
              <w:rPr>
                <w:rFonts w:ascii="Cambria" w:eastAsia="Times New Roman" w:hAnsi="Cambria" w:cs="Calibri"/>
              </w:rPr>
              <w:t>izvođenja</w:t>
            </w:r>
            <w:proofErr w:type="spellEnd"/>
            <w:r w:rsidRPr="00DF4CE5">
              <w:rPr>
                <w:rFonts w:ascii="Cambria" w:eastAsia="Times New Roman" w:hAnsi="Cambria" w:cs="Calibri"/>
              </w:rPr>
              <w:t xml:space="preserve"> </w:t>
            </w:r>
          </w:p>
        </w:tc>
        <w:tc>
          <w:tcPr>
            <w:tcW w:w="2686"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ED2E39E" w14:textId="77777777" w:rsidR="001C42AA" w:rsidRPr="00DF4CE5" w:rsidRDefault="001C42AA" w:rsidP="001C42AA">
            <w:pPr>
              <w:spacing w:after="0" w:line="240" w:lineRule="auto"/>
              <w:rPr>
                <w:rFonts w:ascii="Cambria" w:eastAsia="Times New Roman" w:hAnsi="Cambria" w:cs="Calibri"/>
              </w:rPr>
            </w:pPr>
            <w:proofErr w:type="spellStart"/>
            <w:r w:rsidRPr="00DF4CE5">
              <w:rPr>
                <w:rFonts w:ascii="Cambria" w:eastAsia="Times New Roman" w:hAnsi="Cambria" w:cs="Calibri"/>
              </w:rPr>
              <w:t>hrvatski</w:t>
            </w:r>
            <w:proofErr w:type="spellEnd"/>
          </w:p>
        </w:tc>
      </w:tr>
      <w:tr w:rsidR="001C42AA" w:rsidRPr="00DF4CE5" w14:paraId="56AF5562" w14:textId="77777777" w:rsidTr="001C42AA">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F57C37B" w14:textId="77777777" w:rsidR="001C42AA" w:rsidRPr="00DF4CE5" w:rsidRDefault="001C42AA" w:rsidP="001C42AA">
            <w:pPr>
              <w:spacing w:after="0" w:line="240" w:lineRule="auto"/>
              <w:rPr>
                <w:rFonts w:ascii="Cambria" w:eastAsia="Times New Roman" w:hAnsi="Cambria" w:cs="Calibri"/>
              </w:rPr>
            </w:pPr>
            <w:proofErr w:type="spellStart"/>
            <w:r w:rsidRPr="00DF4CE5">
              <w:rPr>
                <w:rFonts w:ascii="Cambria" w:eastAsia="Times New Roman" w:hAnsi="Cambria" w:cs="Calibri"/>
              </w:rPr>
              <w:t>Broj</w:t>
            </w:r>
            <w:proofErr w:type="spellEnd"/>
            <w:r w:rsidRPr="00DF4CE5">
              <w:rPr>
                <w:rFonts w:ascii="Cambria" w:eastAsia="Times New Roman" w:hAnsi="Cambria" w:cs="Calibri"/>
              </w:rPr>
              <w:t xml:space="preserve"> ECTS </w:t>
            </w:r>
            <w:proofErr w:type="spellStart"/>
            <w:r w:rsidRPr="00DF4CE5">
              <w:rPr>
                <w:rFonts w:ascii="Cambria" w:eastAsia="Times New Roman" w:hAnsi="Cambria" w:cs="Calibri"/>
              </w:rPr>
              <w:t>bodova</w:t>
            </w:r>
            <w:proofErr w:type="spellEnd"/>
          </w:p>
        </w:tc>
        <w:tc>
          <w:tcPr>
            <w:tcW w:w="240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4F30C58" w14:textId="77777777" w:rsidR="001C42AA" w:rsidRPr="00DF4CE5" w:rsidRDefault="001C42AA" w:rsidP="001C42AA">
            <w:pPr>
              <w:spacing w:after="0" w:line="240" w:lineRule="auto"/>
              <w:rPr>
                <w:rFonts w:ascii="Cambria" w:eastAsia="Times New Roman" w:hAnsi="Cambria" w:cs="Calibri"/>
              </w:rPr>
            </w:pPr>
            <w:r w:rsidRPr="00DF4CE5">
              <w:rPr>
                <w:rFonts w:ascii="Cambria" w:eastAsia="Times New Roman" w:hAnsi="Cambria" w:cs="Calibri"/>
              </w:rPr>
              <w:t>4</w:t>
            </w:r>
          </w:p>
        </w:tc>
        <w:tc>
          <w:tcPr>
            <w:tcW w:w="1424"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7B2D4A75" w14:textId="77777777" w:rsidR="001C42AA" w:rsidRPr="00DF4CE5" w:rsidRDefault="001C42AA" w:rsidP="001C42AA">
            <w:pPr>
              <w:spacing w:after="0" w:line="240" w:lineRule="auto"/>
              <w:rPr>
                <w:rFonts w:ascii="Cambria" w:eastAsia="Times New Roman" w:hAnsi="Cambria" w:cs="Calibri"/>
              </w:rPr>
            </w:pPr>
            <w:proofErr w:type="spellStart"/>
            <w:r w:rsidRPr="00DF4CE5">
              <w:rPr>
                <w:rFonts w:ascii="Cambria" w:eastAsia="Times New Roman" w:hAnsi="Cambria" w:cs="Calibri"/>
              </w:rPr>
              <w:t>Broj</w:t>
            </w:r>
            <w:proofErr w:type="spellEnd"/>
            <w:r w:rsidRPr="00DF4CE5">
              <w:rPr>
                <w:rFonts w:ascii="Cambria" w:eastAsia="Times New Roman" w:hAnsi="Cambria" w:cs="Calibri"/>
              </w:rPr>
              <w:t xml:space="preserve"> sati u </w:t>
            </w:r>
            <w:proofErr w:type="spellStart"/>
            <w:r w:rsidRPr="00DF4CE5">
              <w:rPr>
                <w:rFonts w:ascii="Cambria" w:eastAsia="Times New Roman" w:hAnsi="Cambria" w:cs="Calibri"/>
              </w:rPr>
              <w:t>semestru</w:t>
            </w:r>
            <w:proofErr w:type="spellEnd"/>
          </w:p>
        </w:tc>
        <w:tc>
          <w:tcPr>
            <w:tcW w:w="2686"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38E5714" w14:textId="352D4FBB" w:rsidR="001C42AA" w:rsidRPr="00DF4CE5" w:rsidRDefault="001C42AA" w:rsidP="001C42AA">
            <w:pPr>
              <w:spacing w:after="0" w:line="240" w:lineRule="auto"/>
              <w:rPr>
                <w:rFonts w:ascii="Cambria" w:eastAsia="Times New Roman" w:hAnsi="Cambria" w:cs="Calibri"/>
              </w:rPr>
            </w:pPr>
            <w:r w:rsidRPr="00DF4CE5">
              <w:rPr>
                <w:rFonts w:ascii="Cambria" w:eastAsia="Times New Roman" w:hAnsi="Cambria" w:cs="Calibri"/>
              </w:rPr>
              <w:t>30P – 15</w:t>
            </w:r>
            <w:r w:rsidR="00B13415" w:rsidRPr="00DF4CE5">
              <w:rPr>
                <w:rFonts w:ascii="Cambria" w:eastAsia="Times New Roman" w:hAnsi="Cambria" w:cs="Calibri"/>
              </w:rPr>
              <w:t>S</w:t>
            </w:r>
            <w:r w:rsidRPr="00DF4CE5">
              <w:rPr>
                <w:rFonts w:ascii="Cambria" w:eastAsia="Times New Roman" w:hAnsi="Cambria" w:cs="Calibri"/>
              </w:rPr>
              <w:t xml:space="preserve"> – 15</w:t>
            </w:r>
            <w:r w:rsidR="00B13415" w:rsidRPr="00DF4CE5">
              <w:rPr>
                <w:rFonts w:ascii="Cambria" w:eastAsia="Times New Roman" w:hAnsi="Cambria" w:cs="Calibri"/>
              </w:rPr>
              <w:t>V</w:t>
            </w:r>
            <w:r w:rsidRPr="00DF4CE5">
              <w:rPr>
                <w:rFonts w:ascii="Cambria" w:eastAsia="Times New Roman" w:hAnsi="Cambria" w:cs="Calibri"/>
              </w:rPr>
              <w:t xml:space="preserve">   </w:t>
            </w:r>
          </w:p>
        </w:tc>
      </w:tr>
      <w:tr w:rsidR="001C42AA" w:rsidRPr="00D0399C" w14:paraId="485824FE" w14:textId="77777777" w:rsidTr="001C42AA">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F6B7682" w14:textId="77777777" w:rsidR="001C42AA" w:rsidRPr="00DF4CE5" w:rsidRDefault="001C42AA" w:rsidP="001C42AA">
            <w:pPr>
              <w:spacing w:after="0" w:line="240" w:lineRule="auto"/>
              <w:rPr>
                <w:rFonts w:ascii="Cambria" w:eastAsia="Times New Roman" w:hAnsi="Cambria" w:cs="Calibri"/>
                <w:lang w:val="it-IT"/>
              </w:rPr>
            </w:pPr>
            <w:proofErr w:type="spellStart"/>
            <w:r w:rsidRPr="00DF4CE5">
              <w:rPr>
                <w:rFonts w:ascii="Cambria" w:eastAsia="Times New Roman" w:hAnsi="Cambria" w:cs="Calibri"/>
                <w:lang w:val="it-IT"/>
              </w:rPr>
              <w:t>Preduvjeti</w:t>
            </w:r>
            <w:proofErr w:type="spellEnd"/>
            <w:r w:rsidRPr="00DF4CE5">
              <w:rPr>
                <w:rFonts w:ascii="Cambria" w:eastAsia="Times New Roman" w:hAnsi="Cambria" w:cs="Calibri"/>
                <w:lang w:val="it-IT"/>
              </w:rPr>
              <w:t xml:space="preserve"> za </w:t>
            </w:r>
            <w:proofErr w:type="spellStart"/>
            <w:r w:rsidRPr="00DF4CE5">
              <w:rPr>
                <w:rFonts w:ascii="Cambria" w:eastAsia="Times New Roman" w:hAnsi="Cambria" w:cs="Calibri"/>
                <w:lang w:val="it-IT"/>
              </w:rPr>
              <w:t>upis</w:t>
            </w:r>
            <w:proofErr w:type="spellEnd"/>
            <w:r w:rsidRPr="00DF4CE5">
              <w:rPr>
                <w:rFonts w:ascii="Cambria" w:eastAsia="Times New Roman" w:hAnsi="Cambria" w:cs="Calibri"/>
                <w:lang w:val="it-IT"/>
              </w:rPr>
              <w:t xml:space="preserve"> i za </w:t>
            </w:r>
            <w:proofErr w:type="spellStart"/>
            <w:r w:rsidRPr="00DF4CE5">
              <w:rPr>
                <w:rFonts w:ascii="Cambria" w:eastAsia="Times New Roman" w:hAnsi="Cambria" w:cs="Calibri"/>
                <w:lang w:val="it-IT"/>
              </w:rPr>
              <w:t>svladavanje</w:t>
            </w:r>
            <w:proofErr w:type="spellEnd"/>
          </w:p>
        </w:tc>
        <w:tc>
          <w:tcPr>
            <w:tcW w:w="651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8AE0DE6" w14:textId="77777777" w:rsidR="001C42AA" w:rsidRPr="00DF4CE5" w:rsidRDefault="001C42AA" w:rsidP="001C42AA">
            <w:pPr>
              <w:spacing w:after="0" w:line="240" w:lineRule="auto"/>
              <w:rPr>
                <w:rFonts w:ascii="Cambria" w:eastAsia="Times New Roman" w:hAnsi="Cambria" w:cs="Calibri"/>
                <w:lang w:val="it-IT"/>
              </w:rPr>
            </w:pPr>
            <w:r w:rsidRPr="00DF4CE5">
              <w:rPr>
                <w:rFonts w:ascii="Cambria" w:eastAsia="Times New Roman" w:hAnsi="Cambria" w:cs="Calibri"/>
                <w:lang w:val="it-IT"/>
              </w:rPr>
              <w:t xml:space="preserve">Nema </w:t>
            </w:r>
            <w:proofErr w:type="spellStart"/>
            <w:r w:rsidRPr="00DF4CE5">
              <w:rPr>
                <w:rFonts w:ascii="Cambria" w:eastAsia="Times New Roman" w:hAnsi="Cambria" w:cs="Calibri"/>
                <w:lang w:val="it-IT"/>
              </w:rPr>
              <w:t>preduvjeta</w:t>
            </w:r>
            <w:proofErr w:type="spellEnd"/>
            <w:r w:rsidRPr="00DF4CE5">
              <w:rPr>
                <w:rFonts w:ascii="Cambria" w:eastAsia="Times New Roman" w:hAnsi="Cambria" w:cs="Calibri"/>
                <w:lang w:val="it-IT"/>
              </w:rPr>
              <w:t xml:space="preserve"> za </w:t>
            </w:r>
            <w:proofErr w:type="spellStart"/>
            <w:r w:rsidRPr="00DF4CE5">
              <w:rPr>
                <w:rFonts w:ascii="Cambria" w:eastAsia="Times New Roman" w:hAnsi="Cambria" w:cs="Calibri"/>
                <w:lang w:val="it-IT"/>
              </w:rPr>
              <w:t>upis</w:t>
            </w:r>
            <w:proofErr w:type="spellEnd"/>
            <w:r w:rsidRPr="00DF4CE5">
              <w:rPr>
                <w:rFonts w:ascii="Cambria" w:eastAsia="Times New Roman" w:hAnsi="Cambria" w:cs="Calibri"/>
                <w:lang w:val="it-IT"/>
              </w:rPr>
              <w:t xml:space="preserve">, a za </w:t>
            </w:r>
            <w:proofErr w:type="spellStart"/>
            <w:r w:rsidRPr="00DF4CE5">
              <w:rPr>
                <w:rFonts w:ascii="Cambria" w:eastAsia="Times New Roman" w:hAnsi="Cambria" w:cs="Calibri"/>
                <w:lang w:val="it-IT"/>
              </w:rPr>
              <w:t>svladavanje</w:t>
            </w:r>
            <w:proofErr w:type="spellEnd"/>
            <w:r w:rsidRPr="00DF4CE5">
              <w:rPr>
                <w:rFonts w:ascii="Cambria" w:eastAsia="Times New Roman" w:hAnsi="Cambria" w:cs="Calibri"/>
                <w:lang w:val="it-IT"/>
              </w:rPr>
              <w:t xml:space="preserve"> je </w:t>
            </w:r>
            <w:proofErr w:type="spellStart"/>
            <w:r w:rsidRPr="00DF4CE5">
              <w:rPr>
                <w:rFonts w:ascii="Cambria" w:eastAsia="Times New Roman" w:hAnsi="Cambria" w:cs="Calibri"/>
                <w:lang w:val="it-IT"/>
              </w:rPr>
              <w:t>preduvjet</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upisati</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istoimeni</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kolegij</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na</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portalu</w:t>
            </w:r>
            <w:proofErr w:type="spellEnd"/>
            <w:r w:rsidRPr="00DF4CE5">
              <w:rPr>
                <w:rFonts w:ascii="Cambria" w:eastAsia="Times New Roman" w:hAnsi="Cambria" w:cs="Calibri"/>
                <w:lang w:val="it-IT"/>
              </w:rPr>
              <w:t xml:space="preserve"> za </w:t>
            </w:r>
            <w:proofErr w:type="spellStart"/>
            <w:r w:rsidRPr="00DF4CE5">
              <w:rPr>
                <w:rFonts w:ascii="Cambria" w:eastAsia="Times New Roman" w:hAnsi="Cambria" w:cs="Calibri"/>
                <w:lang w:val="it-IT"/>
              </w:rPr>
              <w:t>udaljeno</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učenje</w:t>
            </w:r>
            <w:proofErr w:type="spellEnd"/>
            <w:r w:rsidRPr="00DF4CE5">
              <w:rPr>
                <w:rFonts w:ascii="Cambria" w:eastAsia="Times New Roman" w:hAnsi="Cambria" w:cs="Calibri"/>
                <w:lang w:val="it-IT"/>
              </w:rPr>
              <w:t xml:space="preserve">.  </w:t>
            </w:r>
          </w:p>
        </w:tc>
      </w:tr>
      <w:tr w:rsidR="001C42AA" w:rsidRPr="00DF4CE5" w14:paraId="44A3637C" w14:textId="77777777" w:rsidTr="001C42AA">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8900899" w14:textId="77777777" w:rsidR="001C42AA" w:rsidRPr="00DF4CE5" w:rsidRDefault="001C42AA" w:rsidP="001C42AA">
            <w:pPr>
              <w:spacing w:after="0" w:line="240" w:lineRule="auto"/>
              <w:rPr>
                <w:rFonts w:ascii="Cambria" w:eastAsia="Times New Roman" w:hAnsi="Cambria" w:cs="Calibri"/>
              </w:rPr>
            </w:pPr>
            <w:proofErr w:type="spellStart"/>
            <w:r w:rsidRPr="00DF4CE5">
              <w:rPr>
                <w:rFonts w:ascii="Cambria" w:eastAsia="Times New Roman" w:hAnsi="Cambria" w:cs="Calibri"/>
              </w:rPr>
              <w:t>Korelativnost</w:t>
            </w:r>
            <w:proofErr w:type="spellEnd"/>
          </w:p>
        </w:tc>
        <w:tc>
          <w:tcPr>
            <w:tcW w:w="651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8A6DE1A" w14:textId="77777777" w:rsidR="001C42AA" w:rsidRPr="00DF4CE5" w:rsidRDefault="001C42AA" w:rsidP="001C42AA">
            <w:pPr>
              <w:spacing w:after="0" w:line="240" w:lineRule="auto"/>
              <w:rPr>
                <w:rFonts w:ascii="Cambria" w:eastAsia="Times New Roman" w:hAnsi="Cambria" w:cs="Calibri"/>
              </w:rPr>
            </w:pPr>
            <w:r w:rsidRPr="00DF4CE5">
              <w:rPr>
                <w:rFonts w:ascii="Cambria" w:eastAsia="Times New Roman" w:hAnsi="Cambria" w:cs="Calibri"/>
              </w:rPr>
              <w:t xml:space="preserve">Hrvatski </w:t>
            </w:r>
            <w:proofErr w:type="spellStart"/>
            <w:r w:rsidRPr="00DF4CE5">
              <w:rPr>
                <w:rFonts w:ascii="Cambria" w:eastAsia="Times New Roman" w:hAnsi="Cambria" w:cs="Calibri"/>
              </w:rPr>
              <w:t>jezik</w:t>
            </w:r>
            <w:proofErr w:type="spellEnd"/>
            <w:r w:rsidRPr="00DF4CE5">
              <w:rPr>
                <w:rFonts w:ascii="Cambria" w:eastAsia="Times New Roman" w:hAnsi="Cambria" w:cs="Calibri"/>
              </w:rPr>
              <w:t xml:space="preserve"> II., </w:t>
            </w:r>
            <w:proofErr w:type="spellStart"/>
            <w:r w:rsidRPr="00DF4CE5">
              <w:rPr>
                <w:rFonts w:ascii="Cambria" w:eastAsia="Times New Roman" w:hAnsi="Cambria" w:cs="Calibri"/>
              </w:rPr>
              <w:t>Dječja</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književnost</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Medijska</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kultura</w:t>
            </w:r>
            <w:proofErr w:type="spellEnd"/>
            <w:r w:rsidRPr="00DF4CE5">
              <w:rPr>
                <w:rFonts w:ascii="Cambria" w:eastAsia="Times New Roman" w:hAnsi="Cambria" w:cs="Calibri"/>
              </w:rPr>
              <w:t xml:space="preserve"> </w:t>
            </w:r>
          </w:p>
        </w:tc>
      </w:tr>
      <w:tr w:rsidR="001C42AA" w:rsidRPr="00DF4CE5" w14:paraId="6C82B928" w14:textId="77777777" w:rsidTr="001C42AA">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B2C764B" w14:textId="77777777" w:rsidR="001C42AA" w:rsidRPr="00DF4CE5" w:rsidRDefault="001C42AA" w:rsidP="001C42AA">
            <w:pPr>
              <w:spacing w:after="0" w:line="240" w:lineRule="auto"/>
              <w:rPr>
                <w:rFonts w:ascii="Cambria" w:eastAsia="Times New Roman" w:hAnsi="Cambria" w:cs="Calibri"/>
              </w:rPr>
            </w:pPr>
            <w:proofErr w:type="spellStart"/>
            <w:r w:rsidRPr="00DF4CE5">
              <w:rPr>
                <w:rFonts w:ascii="Cambria" w:eastAsia="Times New Roman" w:hAnsi="Cambria" w:cs="Calibri"/>
              </w:rPr>
              <w:t>Cilj</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kolegija</w:t>
            </w:r>
            <w:proofErr w:type="spellEnd"/>
            <w:r w:rsidRPr="00DF4CE5">
              <w:rPr>
                <w:rFonts w:ascii="Cambria" w:eastAsia="Times New Roman" w:hAnsi="Cambria" w:cs="Calibri"/>
              </w:rPr>
              <w:t xml:space="preserve"> </w:t>
            </w:r>
          </w:p>
        </w:tc>
        <w:tc>
          <w:tcPr>
            <w:tcW w:w="651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3C30AD1" w14:textId="77777777" w:rsidR="001C42AA" w:rsidRPr="00DF4CE5" w:rsidRDefault="001C42AA" w:rsidP="001C42AA">
            <w:pPr>
              <w:autoSpaceDE w:val="0"/>
              <w:autoSpaceDN w:val="0"/>
              <w:adjustRightInd w:val="0"/>
              <w:spacing w:after="0" w:line="240" w:lineRule="auto"/>
              <w:rPr>
                <w:rFonts w:ascii="Cambria" w:eastAsia="Times New Roman" w:hAnsi="Cambria" w:cs="Calibri"/>
              </w:rPr>
            </w:pPr>
            <w:proofErr w:type="spellStart"/>
            <w:r w:rsidRPr="00DF4CE5">
              <w:rPr>
                <w:rFonts w:ascii="Cambria" w:eastAsia="Calibri" w:hAnsi="Cambria" w:cs="Calibri"/>
              </w:rPr>
              <w:t>usvojiti</w:t>
            </w:r>
            <w:proofErr w:type="spellEnd"/>
            <w:r w:rsidRPr="00DF4CE5">
              <w:rPr>
                <w:rFonts w:ascii="Cambria" w:eastAsia="Calibri" w:hAnsi="Cambria" w:cs="Calibri"/>
              </w:rPr>
              <w:t xml:space="preserve"> </w:t>
            </w:r>
            <w:proofErr w:type="spellStart"/>
            <w:r w:rsidRPr="00DF4CE5">
              <w:rPr>
                <w:rFonts w:ascii="Cambria" w:eastAsia="Calibri" w:hAnsi="Cambria" w:cs="Calibri"/>
              </w:rPr>
              <w:t>kompetencije</w:t>
            </w:r>
            <w:proofErr w:type="spellEnd"/>
            <w:r w:rsidRPr="00DF4CE5">
              <w:rPr>
                <w:rFonts w:ascii="Cambria" w:eastAsia="Calibri" w:hAnsi="Cambria" w:cs="Calibri"/>
              </w:rPr>
              <w:t xml:space="preserve"> za </w:t>
            </w:r>
            <w:proofErr w:type="spellStart"/>
            <w:r w:rsidRPr="00DF4CE5">
              <w:rPr>
                <w:rFonts w:ascii="Cambria" w:eastAsia="Times New Roman" w:hAnsi="Cambria" w:cs="Calibri"/>
              </w:rPr>
              <w:t>pravilnu</w:t>
            </w:r>
            <w:proofErr w:type="spellEnd"/>
            <w:r w:rsidRPr="00DF4CE5">
              <w:rPr>
                <w:rFonts w:ascii="Cambria" w:eastAsia="Calibri" w:hAnsi="Cambria" w:cs="Calibri"/>
              </w:rPr>
              <w:t xml:space="preserve"> </w:t>
            </w:r>
            <w:proofErr w:type="spellStart"/>
            <w:r w:rsidRPr="00DF4CE5">
              <w:rPr>
                <w:rFonts w:ascii="Cambria" w:eastAsia="Calibri" w:hAnsi="Cambria" w:cs="Calibri"/>
              </w:rPr>
              <w:t>primjenu</w:t>
            </w:r>
            <w:proofErr w:type="spellEnd"/>
            <w:r w:rsidRPr="00DF4CE5">
              <w:rPr>
                <w:rFonts w:ascii="Cambria" w:eastAsia="Calibri" w:hAnsi="Cambria" w:cs="Calibri"/>
              </w:rPr>
              <w:t xml:space="preserve"> </w:t>
            </w:r>
            <w:proofErr w:type="spellStart"/>
            <w:r w:rsidRPr="00DF4CE5">
              <w:rPr>
                <w:rFonts w:ascii="Cambria" w:eastAsia="Calibri" w:hAnsi="Cambria" w:cs="Calibri"/>
              </w:rPr>
              <w:t>normi</w:t>
            </w:r>
            <w:proofErr w:type="spellEnd"/>
            <w:r w:rsidRPr="00DF4CE5">
              <w:rPr>
                <w:rFonts w:ascii="Cambria" w:eastAsia="Calibri" w:hAnsi="Cambria" w:cs="Calibri"/>
              </w:rPr>
              <w:t xml:space="preserve"> </w:t>
            </w:r>
            <w:proofErr w:type="spellStart"/>
            <w:r w:rsidRPr="00DF4CE5">
              <w:rPr>
                <w:rFonts w:ascii="Cambria" w:eastAsia="Calibri" w:hAnsi="Cambria" w:cs="Calibri"/>
              </w:rPr>
              <w:t>hrvatskoga</w:t>
            </w:r>
            <w:proofErr w:type="spellEnd"/>
            <w:r w:rsidRPr="00DF4CE5">
              <w:rPr>
                <w:rFonts w:ascii="Cambria" w:eastAsia="Calibri" w:hAnsi="Cambria" w:cs="Calibri"/>
              </w:rPr>
              <w:t xml:space="preserve"> </w:t>
            </w:r>
            <w:proofErr w:type="spellStart"/>
            <w:r w:rsidRPr="00DF4CE5">
              <w:rPr>
                <w:rFonts w:ascii="Cambria" w:eastAsia="Calibri" w:hAnsi="Cambria" w:cs="Calibri"/>
              </w:rPr>
              <w:t>standardnog</w:t>
            </w:r>
            <w:proofErr w:type="spellEnd"/>
            <w:r w:rsidRPr="00DF4CE5">
              <w:rPr>
                <w:rFonts w:ascii="Cambria" w:eastAsia="Calibri" w:hAnsi="Cambria" w:cs="Calibri"/>
              </w:rPr>
              <w:t xml:space="preserve"> </w:t>
            </w:r>
            <w:proofErr w:type="spellStart"/>
            <w:r w:rsidRPr="00DF4CE5">
              <w:rPr>
                <w:rFonts w:ascii="Cambria" w:eastAsia="Calibri" w:hAnsi="Cambria" w:cs="Calibri"/>
              </w:rPr>
              <w:t>jezika</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ortografska</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i</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fonološka</w:t>
            </w:r>
            <w:proofErr w:type="spellEnd"/>
            <w:r w:rsidRPr="00DF4CE5">
              <w:rPr>
                <w:rFonts w:ascii="Cambria" w:eastAsia="Times New Roman" w:hAnsi="Cambria" w:cs="Calibri"/>
              </w:rPr>
              <w:t xml:space="preserve"> norma) </w:t>
            </w:r>
          </w:p>
        </w:tc>
      </w:tr>
      <w:tr w:rsidR="001C42AA" w:rsidRPr="00D0399C" w14:paraId="6385875F" w14:textId="77777777" w:rsidTr="001C42AA">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E062D70" w14:textId="77777777" w:rsidR="001C42AA" w:rsidRPr="00DF4CE5" w:rsidRDefault="001C42AA" w:rsidP="001C42AA">
            <w:pPr>
              <w:spacing w:after="0" w:line="240" w:lineRule="auto"/>
              <w:rPr>
                <w:rFonts w:ascii="Cambria" w:eastAsia="Times New Roman" w:hAnsi="Cambria" w:cs="Calibri"/>
              </w:rPr>
            </w:pPr>
            <w:proofErr w:type="spellStart"/>
            <w:r w:rsidRPr="00DF4CE5">
              <w:rPr>
                <w:rFonts w:ascii="Cambria" w:eastAsia="Times New Roman" w:hAnsi="Cambria" w:cs="Calibri"/>
              </w:rPr>
              <w:t>Ishodi</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učenja</w:t>
            </w:r>
            <w:proofErr w:type="spellEnd"/>
          </w:p>
        </w:tc>
        <w:tc>
          <w:tcPr>
            <w:tcW w:w="651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E0A0FE7" w14:textId="77777777" w:rsidR="001C42AA" w:rsidRPr="00DF4CE5" w:rsidRDefault="001C42AA" w:rsidP="001C42AA">
            <w:pPr>
              <w:spacing w:after="0" w:line="240" w:lineRule="auto"/>
              <w:rPr>
                <w:rFonts w:ascii="Cambria" w:eastAsia="Times New Roman" w:hAnsi="Cambria" w:cs="Calibri"/>
                <w:lang w:val="it-IT"/>
              </w:rPr>
            </w:pPr>
            <w:r w:rsidRPr="00DF4CE5">
              <w:rPr>
                <w:rFonts w:ascii="Cambria" w:eastAsia="Times New Roman" w:hAnsi="Cambria" w:cs="Calibri"/>
                <w:lang w:val="it-IT"/>
              </w:rPr>
              <w:t xml:space="preserve">1. </w:t>
            </w:r>
            <w:proofErr w:type="spellStart"/>
            <w:r w:rsidRPr="00DF4CE5">
              <w:rPr>
                <w:rFonts w:ascii="Cambria" w:eastAsia="Times New Roman" w:hAnsi="Cambria" w:cs="Calibri"/>
                <w:lang w:val="it-IT"/>
              </w:rPr>
              <w:t>pravilno</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definirati</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pojam</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standardnoga</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jezika</w:t>
            </w:r>
            <w:proofErr w:type="spellEnd"/>
            <w:r w:rsidRPr="00DF4CE5">
              <w:rPr>
                <w:rFonts w:ascii="Cambria" w:eastAsia="Times New Roman" w:hAnsi="Cambria" w:cs="Calibri"/>
                <w:lang w:val="it-IT"/>
              </w:rPr>
              <w:t xml:space="preserve"> i </w:t>
            </w:r>
            <w:proofErr w:type="spellStart"/>
            <w:r w:rsidRPr="00DF4CE5">
              <w:rPr>
                <w:rFonts w:ascii="Cambria" w:eastAsia="Times New Roman" w:hAnsi="Cambria" w:cs="Calibri"/>
                <w:lang w:val="it-IT"/>
              </w:rPr>
              <w:t>jezičnih</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razina</w:t>
            </w:r>
            <w:proofErr w:type="spellEnd"/>
          </w:p>
          <w:p w14:paraId="6311189C" w14:textId="77777777" w:rsidR="001C42AA" w:rsidRPr="00DF4CE5" w:rsidRDefault="001C42AA" w:rsidP="001C42AA">
            <w:pPr>
              <w:spacing w:after="0" w:line="240" w:lineRule="auto"/>
              <w:rPr>
                <w:rFonts w:ascii="Cambria" w:eastAsia="Times New Roman" w:hAnsi="Cambria" w:cs="Calibri"/>
                <w:lang w:val="it-IT"/>
              </w:rPr>
            </w:pPr>
            <w:r w:rsidRPr="00DF4CE5">
              <w:rPr>
                <w:rFonts w:ascii="Cambria" w:eastAsia="Times New Roman" w:hAnsi="Cambria" w:cs="Calibri"/>
                <w:lang w:val="it-IT"/>
              </w:rPr>
              <w:t xml:space="preserve">2. </w:t>
            </w:r>
            <w:proofErr w:type="spellStart"/>
            <w:r w:rsidRPr="00DF4CE5">
              <w:rPr>
                <w:rFonts w:ascii="Cambria" w:eastAsia="Times New Roman" w:hAnsi="Cambria" w:cs="Calibri"/>
                <w:lang w:val="it-IT"/>
              </w:rPr>
              <w:t>objasniti</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odmak</w:t>
            </w:r>
            <w:proofErr w:type="spellEnd"/>
            <w:r w:rsidRPr="00DF4CE5">
              <w:rPr>
                <w:rFonts w:ascii="Cambria" w:eastAsia="Times New Roman" w:hAnsi="Cambria" w:cs="Calibri"/>
                <w:lang w:val="it-IT"/>
              </w:rPr>
              <w:t xml:space="preserve"> </w:t>
            </w:r>
            <w:proofErr w:type="gramStart"/>
            <w:r w:rsidRPr="00DF4CE5">
              <w:rPr>
                <w:rFonts w:ascii="Cambria" w:eastAsia="Times New Roman" w:hAnsi="Cambria" w:cs="Calibri"/>
                <w:lang w:val="it-IT"/>
              </w:rPr>
              <w:t>od</w:t>
            </w:r>
            <w:proofErr w:type="gram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standardnojezičnih</w:t>
            </w:r>
            <w:proofErr w:type="spellEnd"/>
            <w:r w:rsidRPr="00DF4CE5">
              <w:rPr>
                <w:rFonts w:ascii="Cambria" w:eastAsia="Times New Roman" w:hAnsi="Cambria" w:cs="Calibri"/>
                <w:lang w:val="it-IT"/>
              </w:rPr>
              <w:t xml:space="preserve"> normi</w:t>
            </w:r>
          </w:p>
          <w:p w14:paraId="21EA1714" w14:textId="77777777" w:rsidR="001C42AA" w:rsidRPr="00DF4CE5" w:rsidRDefault="001C42AA" w:rsidP="001C42AA">
            <w:pPr>
              <w:spacing w:after="0" w:line="240" w:lineRule="auto"/>
              <w:rPr>
                <w:rFonts w:ascii="Cambria" w:eastAsia="Times New Roman" w:hAnsi="Cambria" w:cs="Calibri"/>
                <w:lang w:val="it-IT"/>
              </w:rPr>
            </w:pPr>
            <w:r w:rsidRPr="00DF4CE5">
              <w:rPr>
                <w:rFonts w:ascii="Cambria" w:eastAsia="Times New Roman" w:hAnsi="Cambria" w:cs="Calibri"/>
                <w:lang w:val="it-IT"/>
              </w:rPr>
              <w:t xml:space="preserve">3. </w:t>
            </w:r>
            <w:proofErr w:type="spellStart"/>
            <w:r w:rsidRPr="00DF4CE5">
              <w:rPr>
                <w:rFonts w:ascii="Cambria" w:eastAsia="Times New Roman" w:hAnsi="Cambria" w:cs="Calibri"/>
                <w:lang w:val="it-IT"/>
              </w:rPr>
              <w:t>usporediti</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normativna</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pravila</w:t>
            </w:r>
            <w:proofErr w:type="spellEnd"/>
            <w:r w:rsidRPr="00DF4CE5">
              <w:rPr>
                <w:rFonts w:ascii="Cambria" w:eastAsia="Times New Roman" w:hAnsi="Cambria" w:cs="Calibri"/>
                <w:lang w:val="it-IT"/>
              </w:rPr>
              <w:t xml:space="preserve"> u </w:t>
            </w:r>
            <w:proofErr w:type="spellStart"/>
            <w:r w:rsidRPr="00DF4CE5">
              <w:rPr>
                <w:rFonts w:ascii="Cambria" w:eastAsia="Times New Roman" w:hAnsi="Cambria" w:cs="Calibri"/>
                <w:lang w:val="it-IT"/>
              </w:rPr>
              <w:t>pravopisnim</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priručnicima</w:t>
            </w:r>
            <w:proofErr w:type="spellEnd"/>
          </w:p>
          <w:p w14:paraId="2C841E27" w14:textId="77777777" w:rsidR="001C42AA" w:rsidRPr="00DF4CE5" w:rsidRDefault="001C42AA" w:rsidP="001C42AA">
            <w:pPr>
              <w:spacing w:after="0" w:line="240" w:lineRule="auto"/>
              <w:rPr>
                <w:rFonts w:ascii="Cambria" w:eastAsia="Times New Roman" w:hAnsi="Cambria" w:cs="Calibri"/>
                <w:lang w:val="it-IT"/>
              </w:rPr>
            </w:pPr>
            <w:r w:rsidRPr="00DF4CE5">
              <w:rPr>
                <w:rFonts w:ascii="Cambria" w:eastAsia="Times New Roman" w:hAnsi="Cambria" w:cs="Calibri"/>
                <w:lang w:val="it-IT"/>
              </w:rPr>
              <w:t xml:space="preserve">4. </w:t>
            </w:r>
            <w:proofErr w:type="spellStart"/>
            <w:r w:rsidRPr="00DF4CE5">
              <w:rPr>
                <w:rFonts w:ascii="Cambria" w:eastAsia="Times New Roman" w:hAnsi="Cambria" w:cs="Calibri"/>
                <w:lang w:val="it-IT"/>
              </w:rPr>
              <w:t>primjenjivati</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stečena</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znanja</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iz</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ortoepije</w:t>
            </w:r>
            <w:proofErr w:type="spellEnd"/>
            <w:r w:rsidRPr="00DF4CE5">
              <w:rPr>
                <w:rFonts w:ascii="Cambria" w:eastAsia="Times New Roman" w:hAnsi="Cambria" w:cs="Calibri"/>
                <w:lang w:val="it-IT"/>
              </w:rPr>
              <w:t xml:space="preserve"> i </w:t>
            </w:r>
            <w:proofErr w:type="spellStart"/>
            <w:r w:rsidRPr="00DF4CE5">
              <w:rPr>
                <w:rFonts w:ascii="Cambria" w:eastAsia="Times New Roman" w:hAnsi="Cambria" w:cs="Calibri"/>
                <w:lang w:val="it-IT"/>
              </w:rPr>
              <w:t>ortografije</w:t>
            </w:r>
            <w:proofErr w:type="spellEnd"/>
            <w:r w:rsidRPr="00DF4CE5">
              <w:rPr>
                <w:rFonts w:ascii="Cambria" w:eastAsia="Times New Roman" w:hAnsi="Cambria" w:cs="Calibri"/>
                <w:lang w:val="it-IT"/>
              </w:rPr>
              <w:t xml:space="preserve"> u </w:t>
            </w:r>
            <w:proofErr w:type="spellStart"/>
            <w:r w:rsidRPr="00DF4CE5">
              <w:rPr>
                <w:rFonts w:ascii="Cambria" w:eastAsia="Times New Roman" w:hAnsi="Cambria" w:cs="Calibri"/>
                <w:lang w:val="it-IT"/>
              </w:rPr>
              <w:t>izradi</w:t>
            </w:r>
            <w:proofErr w:type="spellEnd"/>
            <w:r w:rsidRPr="00DF4CE5">
              <w:rPr>
                <w:rFonts w:ascii="Cambria" w:eastAsia="Times New Roman" w:hAnsi="Cambria" w:cs="Calibri"/>
                <w:lang w:val="it-IT"/>
              </w:rPr>
              <w:t xml:space="preserve"> i </w:t>
            </w:r>
            <w:proofErr w:type="spellStart"/>
            <w:r w:rsidRPr="00DF4CE5">
              <w:rPr>
                <w:rFonts w:ascii="Cambria" w:eastAsia="Times New Roman" w:hAnsi="Cambria" w:cs="Calibri"/>
                <w:lang w:val="it-IT"/>
              </w:rPr>
              <w:t>prezentaciji</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usmenog</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izlaganja</w:t>
            </w:r>
            <w:proofErr w:type="spellEnd"/>
          </w:p>
        </w:tc>
      </w:tr>
      <w:tr w:rsidR="001C42AA" w:rsidRPr="00DF4CE5" w14:paraId="40B5754D" w14:textId="77777777" w:rsidTr="001C42AA">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14A7331D" w14:textId="77777777" w:rsidR="001C42AA" w:rsidRPr="00DF4CE5" w:rsidRDefault="001C42AA" w:rsidP="001C42AA">
            <w:pPr>
              <w:spacing w:after="0" w:line="240" w:lineRule="auto"/>
              <w:rPr>
                <w:rFonts w:ascii="Cambria" w:eastAsia="Times New Roman" w:hAnsi="Cambria" w:cs="Calibri"/>
              </w:rPr>
            </w:pPr>
            <w:proofErr w:type="spellStart"/>
            <w:r w:rsidRPr="00DF4CE5">
              <w:rPr>
                <w:rFonts w:ascii="Cambria" w:eastAsia="Times New Roman" w:hAnsi="Cambria" w:cs="Calibri"/>
              </w:rPr>
              <w:t>Sadržaj</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kolegija</w:t>
            </w:r>
            <w:proofErr w:type="spellEnd"/>
          </w:p>
        </w:tc>
        <w:tc>
          <w:tcPr>
            <w:tcW w:w="6516"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D608CB7" w14:textId="77777777" w:rsidR="001C42AA" w:rsidRPr="00DF4CE5" w:rsidRDefault="001C42AA" w:rsidP="001C42AA">
            <w:pPr>
              <w:autoSpaceDE w:val="0"/>
              <w:autoSpaceDN w:val="0"/>
              <w:adjustRightInd w:val="0"/>
              <w:spacing w:after="0" w:line="240" w:lineRule="auto"/>
              <w:rPr>
                <w:rFonts w:ascii="Cambria" w:eastAsia="Times New Roman" w:hAnsi="Cambria" w:cs="Calibri"/>
                <w:lang w:val="it-IT"/>
              </w:rPr>
            </w:pPr>
            <w:r w:rsidRPr="00DF4CE5">
              <w:rPr>
                <w:rFonts w:ascii="Cambria" w:eastAsia="Times New Roman" w:hAnsi="Cambria" w:cs="Calibri"/>
                <w:lang w:val="it-IT"/>
              </w:rPr>
              <w:t xml:space="preserve">1. </w:t>
            </w:r>
            <w:proofErr w:type="spellStart"/>
            <w:r w:rsidRPr="00DF4CE5">
              <w:rPr>
                <w:rFonts w:ascii="Cambria" w:eastAsia="Times New Roman" w:hAnsi="Cambria" w:cs="Calibri"/>
                <w:lang w:val="it-IT"/>
              </w:rPr>
              <w:t>Standardni</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jezik</w:t>
            </w:r>
            <w:proofErr w:type="spellEnd"/>
            <w:r w:rsidRPr="00DF4CE5">
              <w:rPr>
                <w:rFonts w:ascii="Cambria" w:eastAsia="Times New Roman" w:hAnsi="Cambria" w:cs="Calibri"/>
                <w:lang w:val="it-IT"/>
              </w:rPr>
              <w:t xml:space="preserve"> </w:t>
            </w:r>
            <w:proofErr w:type="gramStart"/>
            <w:r w:rsidRPr="00DF4CE5">
              <w:rPr>
                <w:rFonts w:ascii="Cambria" w:eastAsia="Times New Roman" w:hAnsi="Cambria" w:cs="Calibri"/>
                <w:lang w:val="it-IT"/>
              </w:rPr>
              <w:t>i norme</w:t>
            </w:r>
            <w:proofErr w:type="gramEnd"/>
          </w:p>
          <w:p w14:paraId="2C0336A0" w14:textId="77777777" w:rsidR="001C42AA" w:rsidRPr="00DF4CE5" w:rsidRDefault="001C42AA" w:rsidP="001C42AA">
            <w:pPr>
              <w:spacing w:after="0" w:line="240" w:lineRule="auto"/>
              <w:rPr>
                <w:rFonts w:ascii="Cambria" w:eastAsia="Times New Roman" w:hAnsi="Cambria" w:cs="Calibri"/>
                <w:lang w:val="it-IT"/>
              </w:rPr>
            </w:pPr>
            <w:r w:rsidRPr="00DF4CE5">
              <w:rPr>
                <w:rFonts w:ascii="Cambria" w:eastAsia="Times New Roman" w:hAnsi="Cambria" w:cs="Calibri"/>
                <w:lang w:val="it-IT"/>
              </w:rPr>
              <w:t xml:space="preserve">2. </w:t>
            </w:r>
            <w:proofErr w:type="spellStart"/>
            <w:r w:rsidRPr="00DF4CE5">
              <w:rPr>
                <w:rFonts w:ascii="Cambria" w:eastAsia="Times New Roman" w:hAnsi="Cambria" w:cs="Calibri"/>
                <w:lang w:val="it-IT"/>
              </w:rPr>
              <w:t>Normativni</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priručnici</w:t>
            </w:r>
            <w:proofErr w:type="spellEnd"/>
          </w:p>
          <w:p w14:paraId="12537291" w14:textId="77777777" w:rsidR="001C42AA" w:rsidRPr="00DF4CE5" w:rsidRDefault="001C42AA" w:rsidP="001C42AA">
            <w:pPr>
              <w:spacing w:after="0" w:line="240" w:lineRule="auto"/>
              <w:rPr>
                <w:rFonts w:ascii="Cambria" w:eastAsia="Times New Roman" w:hAnsi="Cambria" w:cs="Calibri"/>
                <w:lang w:val="it-IT"/>
              </w:rPr>
            </w:pPr>
            <w:r w:rsidRPr="00DF4CE5">
              <w:rPr>
                <w:rFonts w:ascii="Cambria" w:eastAsia="Times New Roman" w:hAnsi="Cambria" w:cs="Calibri"/>
                <w:lang w:val="it-IT"/>
              </w:rPr>
              <w:t xml:space="preserve">3. </w:t>
            </w:r>
            <w:proofErr w:type="spellStart"/>
            <w:r w:rsidRPr="00DF4CE5">
              <w:rPr>
                <w:rFonts w:ascii="Cambria" w:eastAsia="Times New Roman" w:hAnsi="Cambria" w:cs="Calibri"/>
                <w:lang w:val="it-IT"/>
              </w:rPr>
              <w:t>Pravopisi</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hrvatskoga</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jezika</w:t>
            </w:r>
            <w:proofErr w:type="spellEnd"/>
          </w:p>
          <w:p w14:paraId="265EE15F" w14:textId="77777777" w:rsidR="001C42AA" w:rsidRPr="00DF4CE5" w:rsidRDefault="001C42AA" w:rsidP="001C42AA">
            <w:pPr>
              <w:spacing w:after="0" w:line="240" w:lineRule="auto"/>
              <w:rPr>
                <w:rFonts w:ascii="Cambria" w:eastAsia="Times New Roman" w:hAnsi="Cambria" w:cs="Calibri"/>
                <w:lang w:val="it-IT"/>
              </w:rPr>
            </w:pPr>
            <w:r w:rsidRPr="00DF4CE5">
              <w:rPr>
                <w:rFonts w:ascii="Cambria" w:eastAsia="Times New Roman" w:hAnsi="Cambria" w:cs="Calibri"/>
                <w:lang w:val="it-IT"/>
              </w:rPr>
              <w:t xml:space="preserve">4. </w:t>
            </w:r>
            <w:proofErr w:type="spellStart"/>
            <w:r w:rsidRPr="00DF4CE5">
              <w:rPr>
                <w:rFonts w:ascii="Cambria" w:eastAsia="Times New Roman" w:hAnsi="Cambria" w:cs="Calibri"/>
                <w:lang w:val="it-IT"/>
              </w:rPr>
              <w:t>Pravopisna</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pravila</w:t>
            </w:r>
            <w:proofErr w:type="spellEnd"/>
          </w:p>
          <w:p w14:paraId="20F8B1EF" w14:textId="77777777" w:rsidR="001C42AA" w:rsidRPr="00DF4CE5" w:rsidRDefault="001C42AA" w:rsidP="001C42AA">
            <w:pPr>
              <w:spacing w:after="0" w:line="240" w:lineRule="auto"/>
              <w:rPr>
                <w:rFonts w:ascii="Cambria" w:eastAsia="Times New Roman" w:hAnsi="Cambria" w:cs="Calibri"/>
                <w:lang w:val="it-IT"/>
              </w:rPr>
            </w:pPr>
            <w:r w:rsidRPr="00DF4CE5">
              <w:rPr>
                <w:rFonts w:ascii="Cambria" w:eastAsia="Times New Roman" w:hAnsi="Cambria" w:cs="Calibri"/>
                <w:lang w:val="it-IT"/>
              </w:rPr>
              <w:t xml:space="preserve">5. </w:t>
            </w:r>
            <w:proofErr w:type="spellStart"/>
            <w:r w:rsidRPr="00DF4CE5">
              <w:rPr>
                <w:rFonts w:ascii="Cambria" w:eastAsia="Times New Roman" w:hAnsi="Cambria" w:cs="Calibri"/>
                <w:lang w:val="it-IT"/>
              </w:rPr>
              <w:t>Fonološko</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ustrojstvo</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hrvatskoga</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jezika</w:t>
            </w:r>
            <w:proofErr w:type="spellEnd"/>
          </w:p>
          <w:p w14:paraId="7FCEEF0B" w14:textId="77777777" w:rsidR="001C42AA" w:rsidRPr="00DF4CE5" w:rsidRDefault="001C42AA" w:rsidP="001C42AA">
            <w:pPr>
              <w:spacing w:after="0" w:line="240" w:lineRule="auto"/>
              <w:rPr>
                <w:rFonts w:ascii="Cambria" w:eastAsia="Times New Roman" w:hAnsi="Cambria" w:cs="Calibri"/>
              </w:rPr>
            </w:pPr>
            <w:r w:rsidRPr="00DF4CE5">
              <w:rPr>
                <w:rFonts w:ascii="Cambria" w:eastAsia="Times New Roman" w:hAnsi="Cambria" w:cs="Calibri"/>
              </w:rPr>
              <w:t xml:space="preserve">6. </w:t>
            </w:r>
            <w:proofErr w:type="spellStart"/>
            <w:r w:rsidRPr="00DF4CE5">
              <w:rPr>
                <w:rFonts w:ascii="Cambria" w:eastAsia="Times New Roman" w:hAnsi="Cambria" w:cs="Calibri"/>
              </w:rPr>
              <w:t>Glasovne</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promjene</w:t>
            </w:r>
            <w:proofErr w:type="spellEnd"/>
          </w:p>
        </w:tc>
      </w:tr>
      <w:tr w:rsidR="001C42AA" w:rsidRPr="00DF4CE5" w14:paraId="5BC8C53B" w14:textId="77777777" w:rsidTr="001C42AA">
        <w:tc>
          <w:tcPr>
            <w:tcW w:w="2536"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hideMark/>
          </w:tcPr>
          <w:p w14:paraId="0C61F201" w14:textId="77777777" w:rsidR="001C42AA" w:rsidRPr="00DF4CE5" w:rsidRDefault="001C42AA" w:rsidP="001C42AA">
            <w:pPr>
              <w:spacing w:after="0" w:line="240" w:lineRule="auto"/>
              <w:rPr>
                <w:rFonts w:ascii="Cambria" w:eastAsia="Times New Roman" w:hAnsi="Cambria" w:cs="Calibri"/>
                <w:lang w:val="it-IT"/>
              </w:rPr>
            </w:pPr>
            <w:proofErr w:type="spellStart"/>
            <w:r w:rsidRPr="00DF4CE5">
              <w:rPr>
                <w:rFonts w:ascii="Cambria" w:eastAsia="Times New Roman" w:hAnsi="Cambria" w:cs="Calibri"/>
                <w:lang w:val="it-IT"/>
              </w:rPr>
              <w:t>Planirane</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aktivnosti</w:t>
            </w:r>
            <w:proofErr w:type="spellEnd"/>
            <w:r w:rsidRPr="00DF4CE5">
              <w:rPr>
                <w:rFonts w:ascii="Cambria" w:eastAsia="Times New Roman" w:hAnsi="Cambria" w:cs="Calibri"/>
                <w:lang w:val="it-IT"/>
              </w:rPr>
              <w:t>,</w:t>
            </w:r>
          </w:p>
          <w:p w14:paraId="248DBA7A" w14:textId="77777777" w:rsidR="001C42AA" w:rsidRPr="00DF4CE5" w:rsidRDefault="001C42AA" w:rsidP="001C42AA">
            <w:pPr>
              <w:spacing w:after="0" w:line="240" w:lineRule="auto"/>
              <w:rPr>
                <w:rFonts w:ascii="Cambria" w:eastAsia="Times New Roman" w:hAnsi="Cambria" w:cs="Calibri"/>
                <w:lang w:val="it-IT"/>
              </w:rPr>
            </w:pPr>
            <w:proofErr w:type="spellStart"/>
            <w:r w:rsidRPr="00DF4CE5">
              <w:rPr>
                <w:rFonts w:ascii="Cambria" w:eastAsia="Times New Roman" w:hAnsi="Cambria" w:cs="Calibri"/>
                <w:lang w:val="it-IT"/>
              </w:rPr>
              <w:t>metode</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učenja</w:t>
            </w:r>
            <w:proofErr w:type="spellEnd"/>
            <w:r w:rsidRPr="00DF4CE5">
              <w:rPr>
                <w:rFonts w:ascii="Cambria" w:eastAsia="Times New Roman" w:hAnsi="Cambria" w:cs="Calibri"/>
                <w:lang w:val="it-IT"/>
              </w:rPr>
              <w:t xml:space="preserve"> i </w:t>
            </w:r>
            <w:proofErr w:type="spellStart"/>
            <w:r w:rsidRPr="00DF4CE5">
              <w:rPr>
                <w:rFonts w:ascii="Cambria" w:eastAsia="Times New Roman" w:hAnsi="Cambria" w:cs="Calibri"/>
                <w:lang w:val="it-IT"/>
              </w:rPr>
              <w:t>poučavanja</w:t>
            </w:r>
            <w:proofErr w:type="spellEnd"/>
            <w:r w:rsidRPr="00DF4CE5">
              <w:rPr>
                <w:rFonts w:ascii="Cambria" w:eastAsia="Times New Roman" w:hAnsi="Cambria" w:cs="Calibri"/>
                <w:lang w:val="it-IT"/>
              </w:rPr>
              <w:t xml:space="preserve"> i </w:t>
            </w:r>
            <w:proofErr w:type="spellStart"/>
            <w:r w:rsidRPr="00DF4CE5">
              <w:rPr>
                <w:rFonts w:ascii="Cambria" w:eastAsia="Times New Roman" w:hAnsi="Cambria" w:cs="Calibri"/>
                <w:lang w:val="it-IT"/>
              </w:rPr>
              <w:t>načini</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vrednovanja</w:t>
            </w:r>
            <w:proofErr w:type="spellEnd"/>
          </w:p>
          <w:p w14:paraId="6C3790F1" w14:textId="77777777" w:rsidR="001C42AA" w:rsidRPr="00DF4CE5" w:rsidRDefault="001C42AA" w:rsidP="001C42AA">
            <w:pPr>
              <w:spacing w:after="0" w:line="240" w:lineRule="auto"/>
              <w:rPr>
                <w:rFonts w:ascii="Cambria" w:eastAsia="Times New Roman" w:hAnsi="Cambria" w:cs="Calibri"/>
                <w:lang w:val="it-IT"/>
              </w:rPr>
            </w:pPr>
          </w:p>
        </w:tc>
        <w:tc>
          <w:tcPr>
            <w:tcW w:w="250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AC0575A" w14:textId="77777777" w:rsidR="001C42AA" w:rsidRPr="00DF4CE5" w:rsidRDefault="001C42AA" w:rsidP="001C42AA">
            <w:pPr>
              <w:spacing w:after="0" w:line="240" w:lineRule="auto"/>
              <w:rPr>
                <w:rFonts w:ascii="Cambria" w:eastAsia="Times New Roman" w:hAnsi="Cambria" w:cs="Calibri"/>
              </w:rPr>
            </w:pPr>
            <w:proofErr w:type="spellStart"/>
            <w:r w:rsidRPr="00DF4CE5">
              <w:rPr>
                <w:rFonts w:ascii="Cambria" w:eastAsia="Times New Roman" w:hAnsi="Cambria" w:cs="Calibri"/>
                <w:bCs/>
              </w:rPr>
              <w:t>Obveze</w:t>
            </w:r>
            <w:proofErr w:type="spellEnd"/>
          </w:p>
        </w:tc>
        <w:tc>
          <w:tcPr>
            <w:tcW w:w="1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FE3DD74" w14:textId="77777777" w:rsidR="001C42AA" w:rsidRPr="00DF4CE5" w:rsidRDefault="001C42AA" w:rsidP="001C42AA">
            <w:pPr>
              <w:spacing w:after="0" w:line="240" w:lineRule="auto"/>
              <w:rPr>
                <w:rFonts w:ascii="Cambria" w:eastAsia="Times New Roman" w:hAnsi="Cambria" w:cs="Calibri"/>
                <w:b/>
                <w:bCs/>
              </w:rPr>
            </w:pPr>
          </w:p>
          <w:p w14:paraId="53B3891A" w14:textId="77777777" w:rsidR="001C42AA" w:rsidRPr="00DF4CE5" w:rsidRDefault="001C42AA" w:rsidP="001C42AA">
            <w:pPr>
              <w:spacing w:after="0" w:line="240" w:lineRule="auto"/>
              <w:rPr>
                <w:rFonts w:ascii="Cambria" w:eastAsia="Times New Roman" w:hAnsi="Cambria" w:cs="Calibri"/>
              </w:rPr>
            </w:pPr>
            <w:proofErr w:type="spellStart"/>
            <w:r w:rsidRPr="00DF4CE5">
              <w:rPr>
                <w:rFonts w:ascii="Cambria" w:eastAsia="Times New Roman" w:hAnsi="Cambria" w:cs="Calibri"/>
                <w:bCs/>
              </w:rPr>
              <w:t>Ishodi</w:t>
            </w:r>
            <w:proofErr w:type="spellEnd"/>
          </w:p>
          <w:p w14:paraId="299F7BBF" w14:textId="77777777" w:rsidR="001C42AA" w:rsidRPr="00DF4CE5" w:rsidRDefault="001C42AA" w:rsidP="001C42AA">
            <w:pPr>
              <w:spacing w:after="0" w:line="240" w:lineRule="auto"/>
              <w:rPr>
                <w:rFonts w:ascii="Cambria" w:eastAsia="Times New Roman" w:hAnsi="Cambria" w:cs="Calibri"/>
              </w:rPr>
            </w:pPr>
          </w:p>
        </w:tc>
        <w:tc>
          <w:tcPr>
            <w:tcW w:w="69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65B04EF" w14:textId="77777777" w:rsidR="001C42AA" w:rsidRPr="00DF4CE5" w:rsidRDefault="001C42AA" w:rsidP="001C42AA">
            <w:pPr>
              <w:spacing w:after="0" w:line="240" w:lineRule="auto"/>
              <w:rPr>
                <w:rFonts w:ascii="Cambria" w:eastAsia="Times New Roman" w:hAnsi="Cambria" w:cs="Calibri"/>
              </w:rPr>
            </w:pPr>
            <w:r w:rsidRPr="00DF4CE5">
              <w:rPr>
                <w:rFonts w:ascii="Cambria" w:eastAsia="Times New Roman" w:hAnsi="Cambria" w:cs="Calibri"/>
                <w:bCs/>
              </w:rPr>
              <w:t>Sati</w:t>
            </w:r>
          </w:p>
        </w:tc>
        <w:tc>
          <w:tcPr>
            <w:tcW w:w="9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CD927A7" w14:textId="77777777" w:rsidR="001C42AA" w:rsidRPr="00DF4CE5" w:rsidRDefault="001C42AA" w:rsidP="001C42AA">
            <w:pPr>
              <w:spacing w:after="0" w:line="240" w:lineRule="auto"/>
              <w:rPr>
                <w:rFonts w:ascii="Cambria" w:eastAsia="Times New Roman" w:hAnsi="Cambria" w:cs="Calibri"/>
              </w:rPr>
            </w:pPr>
            <w:r w:rsidRPr="00DF4CE5">
              <w:rPr>
                <w:rFonts w:ascii="Cambria" w:eastAsia="Times New Roman" w:hAnsi="Cambria" w:cs="Calibri"/>
                <w:bCs/>
              </w:rPr>
              <w:t>ECTS</w:t>
            </w:r>
          </w:p>
        </w:tc>
        <w:tc>
          <w:tcPr>
            <w:tcW w:w="127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1D321E9" w14:textId="77777777" w:rsidR="001C42AA" w:rsidRPr="00DF4CE5" w:rsidRDefault="001C42AA" w:rsidP="001C42AA">
            <w:pPr>
              <w:spacing w:after="0" w:line="240" w:lineRule="auto"/>
              <w:rPr>
                <w:rFonts w:ascii="Cambria" w:eastAsia="Times New Roman" w:hAnsi="Cambria" w:cs="Calibri"/>
              </w:rPr>
            </w:pPr>
            <w:proofErr w:type="spellStart"/>
            <w:r w:rsidRPr="00DF4CE5">
              <w:rPr>
                <w:rFonts w:ascii="Cambria" w:eastAsia="Times New Roman" w:hAnsi="Cambria" w:cs="Calibri"/>
                <w:bCs/>
              </w:rPr>
              <w:t>Maksimalni</w:t>
            </w:r>
            <w:proofErr w:type="spellEnd"/>
            <w:r w:rsidRPr="00DF4CE5">
              <w:rPr>
                <w:rFonts w:ascii="Cambria" w:eastAsia="Times New Roman" w:hAnsi="Cambria" w:cs="Calibri"/>
                <w:bCs/>
              </w:rPr>
              <w:t xml:space="preserve"> </w:t>
            </w:r>
            <w:proofErr w:type="spellStart"/>
            <w:r w:rsidRPr="00DF4CE5">
              <w:rPr>
                <w:rFonts w:ascii="Cambria" w:eastAsia="Times New Roman" w:hAnsi="Cambria" w:cs="Calibri"/>
                <w:bCs/>
              </w:rPr>
              <w:t>udio</w:t>
            </w:r>
            <w:proofErr w:type="spellEnd"/>
            <w:r w:rsidRPr="00DF4CE5">
              <w:rPr>
                <w:rFonts w:ascii="Cambria" w:eastAsia="Times New Roman" w:hAnsi="Cambria" w:cs="Calibri"/>
                <w:bCs/>
              </w:rPr>
              <w:t xml:space="preserve"> u </w:t>
            </w:r>
            <w:proofErr w:type="spellStart"/>
            <w:r w:rsidRPr="00DF4CE5">
              <w:rPr>
                <w:rFonts w:ascii="Cambria" w:eastAsia="Times New Roman" w:hAnsi="Cambria" w:cs="Calibri"/>
                <w:bCs/>
              </w:rPr>
              <w:t>ocjeni</w:t>
            </w:r>
            <w:proofErr w:type="spellEnd"/>
            <w:r w:rsidRPr="00DF4CE5">
              <w:rPr>
                <w:rFonts w:ascii="Cambria" w:eastAsia="Times New Roman" w:hAnsi="Cambria" w:cs="Calibri"/>
                <w:bCs/>
              </w:rPr>
              <w:t xml:space="preserve"> (%)</w:t>
            </w:r>
          </w:p>
        </w:tc>
      </w:tr>
      <w:tr w:rsidR="001C42AA" w:rsidRPr="00DF4CE5" w14:paraId="1EC5B724" w14:textId="77777777" w:rsidTr="001C42AA">
        <w:trPr>
          <w:trHeight w:val="312"/>
        </w:trPr>
        <w:tc>
          <w:tcPr>
            <w:tcW w:w="2536" w:type="dxa"/>
            <w:vMerge/>
            <w:tcBorders>
              <w:left w:val="single" w:sz="8" w:space="0" w:color="000000"/>
              <w:right w:val="single" w:sz="8" w:space="0" w:color="000000"/>
            </w:tcBorders>
            <w:vAlign w:val="center"/>
            <w:hideMark/>
          </w:tcPr>
          <w:p w14:paraId="40433D41" w14:textId="77777777" w:rsidR="001C42AA" w:rsidRPr="00DF4CE5" w:rsidRDefault="001C42AA" w:rsidP="001C42AA">
            <w:pPr>
              <w:spacing w:after="0" w:line="240" w:lineRule="auto"/>
              <w:rPr>
                <w:rFonts w:ascii="Cambria" w:eastAsia="Times New Roman" w:hAnsi="Cambria" w:cs="Calibri"/>
              </w:rPr>
            </w:pPr>
          </w:p>
        </w:tc>
        <w:tc>
          <w:tcPr>
            <w:tcW w:w="250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E91B1C4" w14:textId="71A0C35D" w:rsidR="001C42AA" w:rsidRPr="00DF4CE5" w:rsidRDefault="001C7FEE" w:rsidP="001C42AA">
            <w:pPr>
              <w:spacing w:after="0" w:line="240" w:lineRule="auto"/>
              <w:rPr>
                <w:rFonts w:ascii="Cambria" w:eastAsia="Times New Roman" w:hAnsi="Cambria" w:cs="Calibri"/>
                <w:lang w:val="it-IT"/>
              </w:rPr>
            </w:pPr>
            <w:proofErr w:type="spellStart"/>
            <w:r w:rsidRPr="00DF4CE5">
              <w:rPr>
                <w:rFonts w:ascii="Cambria" w:eastAsia="Times New Roman" w:hAnsi="Cambria" w:cs="Calibri"/>
                <w:lang w:val="it-IT"/>
              </w:rPr>
              <w:t>aktivnost</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na</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nastavi</w:t>
            </w:r>
            <w:proofErr w:type="spellEnd"/>
            <w:r w:rsidR="001C42AA" w:rsidRPr="00DF4CE5">
              <w:rPr>
                <w:rFonts w:ascii="Cambria" w:eastAsia="Times New Roman" w:hAnsi="Cambria" w:cs="Calibri"/>
                <w:lang w:val="it-IT"/>
              </w:rPr>
              <w:t xml:space="preserve"> (</w:t>
            </w:r>
            <w:proofErr w:type="gramStart"/>
            <w:r w:rsidR="001C42AA" w:rsidRPr="00DF4CE5">
              <w:rPr>
                <w:rFonts w:ascii="Cambria" w:eastAsia="Times New Roman" w:hAnsi="Cambria" w:cs="Calibri"/>
                <w:lang w:val="it-IT"/>
              </w:rPr>
              <w:t>P,S</w:t>
            </w:r>
            <w:proofErr w:type="gramEnd"/>
            <w:r w:rsidR="001C42AA" w:rsidRPr="00DF4CE5">
              <w:rPr>
                <w:rFonts w:ascii="Cambria" w:eastAsia="Times New Roman" w:hAnsi="Cambria" w:cs="Calibri"/>
                <w:lang w:val="it-IT"/>
              </w:rPr>
              <w:t>)</w:t>
            </w:r>
          </w:p>
        </w:tc>
        <w:tc>
          <w:tcPr>
            <w:tcW w:w="1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65D8D29" w14:textId="77777777" w:rsidR="001C42AA" w:rsidRPr="00DF4CE5" w:rsidRDefault="001C42AA" w:rsidP="001C42AA">
            <w:pPr>
              <w:spacing w:after="0" w:line="240" w:lineRule="auto"/>
              <w:rPr>
                <w:rFonts w:ascii="Cambria" w:eastAsia="Times New Roman" w:hAnsi="Cambria" w:cs="Calibri"/>
              </w:rPr>
            </w:pPr>
            <w:r w:rsidRPr="00DF4CE5">
              <w:rPr>
                <w:rFonts w:ascii="Cambria" w:eastAsia="Times New Roman" w:hAnsi="Cambria" w:cs="Calibri"/>
                <w:lang w:val="it-IT"/>
              </w:rPr>
              <w:t> </w:t>
            </w:r>
            <w:r w:rsidRPr="00DF4CE5">
              <w:rPr>
                <w:rFonts w:ascii="Cambria" w:eastAsia="Times New Roman" w:hAnsi="Cambria" w:cs="Times New Roman"/>
                <w:lang w:val="it-IT"/>
              </w:rPr>
              <w:t> </w:t>
            </w:r>
            <w:r w:rsidRPr="00DF4CE5">
              <w:rPr>
                <w:rFonts w:ascii="Cambria" w:eastAsia="Times New Roman" w:hAnsi="Cambria" w:cs="Times New Roman"/>
              </w:rPr>
              <w:t>1. ‒ 4.</w:t>
            </w:r>
          </w:p>
        </w:tc>
        <w:tc>
          <w:tcPr>
            <w:tcW w:w="69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DFD3989" w14:textId="77777777" w:rsidR="001C42AA" w:rsidRPr="00DF4CE5" w:rsidRDefault="001C42AA" w:rsidP="001C42AA">
            <w:pPr>
              <w:spacing w:after="0" w:line="240" w:lineRule="auto"/>
              <w:rPr>
                <w:rFonts w:ascii="Cambria" w:eastAsia="Times New Roman" w:hAnsi="Cambria" w:cs="Calibri"/>
              </w:rPr>
            </w:pPr>
            <w:r w:rsidRPr="00DF4CE5">
              <w:rPr>
                <w:rFonts w:ascii="Cambria" w:eastAsia="Times New Roman" w:hAnsi="Cambria" w:cs="Calibri"/>
              </w:rPr>
              <w:t> 45</w:t>
            </w:r>
          </w:p>
        </w:tc>
        <w:tc>
          <w:tcPr>
            <w:tcW w:w="9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694F5DD" w14:textId="77777777" w:rsidR="001C42AA" w:rsidRPr="00DF4CE5" w:rsidRDefault="001C42AA" w:rsidP="001C42AA">
            <w:pPr>
              <w:spacing w:after="0" w:line="240" w:lineRule="auto"/>
              <w:rPr>
                <w:rFonts w:ascii="Cambria" w:eastAsia="Times New Roman" w:hAnsi="Cambria" w:cs="Calibri"/>
              </w:rPr>
            </w:pPr>
            <w:r w:rsidRPr="00DF4CE5">
              <w:rPr>
                <w:rFonts w:ascii="Cambria" w:eastAsia="Times New Roman" w:hAnsi="Cambria" w:cs="Calibri"/>
              </w:rPr>
              <w:t> 1,5</w:t>
            </w:r>
          </w:p>
        </w:tc>
        <w:tc>
          <w:tcPr>
            <w:tcW w:w="127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BA908DB" w14:textId="77777777" w:rsidR="001C42AA" w:rsidRPr="00DF4CE5" w:rsidRDefault="001C42AA" w:rsidP="001C42AA">
            <w:pPr>
              <w:spacing w:after="0" w:line="240" w:lineRule="auto"/>
              <w:rPr>
                <w:rFonts w:ascii="Cambria" w:eastAsia="Times New Roman" w:hAnsi="Cambria" w:cs="Calibri"/>
              </w:rPr>
            </w:pPr>
            <w:r w:rsidRPr="00DF4CE5">
              <w:rPr>
                <w:rFonts w:ascii="Cambria" w:eastAsia="Times New Roman" w:hAnsi="Cambria" w:cs="Calibri"/>
              </w:rPr>
              <w:t> 10%</w:t>
            </w:r>
          </w:p>
        </w:tc>
      </w:tr>
      <w:tr w:rsidR="001C42AA" w:rsidRPr="00DF4CE5" w14:paraId="3DD6F33E" w14:textId="77777777" w:rsidTr="001C42AA">
        <w:trPr>
          <w:trHeight w:val="222"/>
        </w:trPr>
        <w:tc>
          <w:tcPr>
            <w:tcW w:w="2536" w:type="dxa"/>
            <w:vMerge/>
            <w:tcBorders>
              <w:left w:val="single" w:sz="8" w:space="0" w:color="000000"/>
              <w:right w:val="single" w:sz="8" w:space="0" w:color="000000"/>
            </w:tcBorders>
            <w:vAlign w:val="center"/>
            <w:hideMark/>
          </w:tcPr>
          <w:p w14:paraId="220FA40A" w14:textId="77777777" w:rsidR="001C42AA" w:rsidRPr="00DF4CE5" w:rsidRDefault="001C42AA" w:rsidP="001C42AA">
            <w:pPr>
              <w:spacing w:after="0" w:line="240" w:lineRule="auto"/>
              <w:rPr>
                <w:rFonts w:ascii="Cambria" w:eastAsia="Times New Roman" w:hAnsi="Cambria" w:cs="Calibri"/>
              </w:rPr>
            </w:pPr>
          </w:p>
        </w:tc>
        <w:tc>
          <w:tcPr>
            <w:tcW w:w="250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D14E3CE" w14:textId="77777777" w:rsidR="001C42AA" w:rsidRPr="00DF4CE5" w:rsidRDefault="001C42AA" w:rsidP="001C42AA">
            <w:pPr>
              <w:spacing w:after="0" w:line="240" w:lineRule="auto"/>
              <w:rPr>
                <w:rFonts w:ascii="Cambria" w:eastAsia="Times New Roman" w:hAnsi="Cambria" w:cs="Calibri"/>
              </w:rPr>
            </w:pPr>
            <w:proofErr w:type="spellStart"/>
            <w:r w:rsidRPr="00DF4CE5">
              <w:rPr>
                <w:rFonts w:ascii="Cambria" w:eastAsia="Times New Roman" w:hAnsi="Cambria" w:cs="Calibri"/>
              </w:rPr>
              <w:t>samostalni</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zadatak</w:t>
            </w:r>
            <w:proofErr w:type="spellEnd"/>
            <w:r w:rsidRPr="00DF4CE5">
              <w:rPr>
                <w:rFonts w:ascii="Cambria" w:eastAsia="Times New Roman" w:hAnsi="Cambria" w:cs="Calibri"/>
              </w:rPr>
              <w:t xml:space="preserve"> </w:t>
            </w:r>
          </w:p>
        </w:tc>
        <w:tc>
          <w:tcPr>
            <w:tcW w:w="1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5743D50" w14:textId="77777777" w:rsidR="001C42AA" w:rsidRPr="00DF4CE5" w:rsidRDefault="001C42AA" w:rsidP="001C42AA">
            <w:pPr>
              <w:spacing w:after="0" w:line="240" w:lineRule="auto"/>
              <w:rPr>
                <w:rFonts w:ascii="Cambria" w:eastAsia="Times New Roman" w:hAnsi="Cambria" w:cs="Calibri"/>
              </w:rPr>
            </w:pPr>
            <w:r w:rsidRPr="00DF4CE5">
              <w:rPr>
                <w:rFonts w:ascii="Cambria" w:eastAsia="Times New Roman" w:hAnsi="Cambria" w:cs="Calibri"/>
              </w:rPr>
              <w:t xml:space="preserve"> </w:t>
            </w:r>
            <w:r w:rsidRPr="00DF4CE5">
              <w:rPr>
                <w:rFonts w:ascii="Cambria" w:eastAsia="Times New Roman" w:hAnsi="Cambria" w:cs="Times New Roman"/>
              </w:rPr>
              <w:t> </w:t>
            </w:r>
            <w:proofErr w:type="gramStart"/>
            <w:r w:rsidRPr="00DF4CE5">
              <w:rPr>
                <w:rFonts w:ascii="Cambria" w:eastAsia="Times New Roman" w:hAnsi="Cambria" w:cs="Times New Roman"/>
              </w:rPr>
              <w:t>1. ‒</w:t>
            </w:r>
            <w:proofErr w:type="gramEnd"/>
            <w:r w:rsidRPr="00DF4CE5">
              <w:rPr>
                <w:rFonts w:ascii="Cambria" w:eastAsia="Times New Roman" w:hAnsi="Cambria" w:cs="Times New Roman"/>
              </w:rPr>
              <w:t xml:space="preserve"> 2.</w:t>
            </w:r>
          </w:p>
        </w:tc>
        <w:tc>
          <w:tcPr>
            <w:tcW w:w="69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760F9FB" w14:textId="77777777" w:rsidR="001C42AA" w:rsidRPr="00DF4CE5" w:rsidRDefault="001C42AA" w:rsidP="001C42AA">
            <w:pPr>
              <w:spacing w:after="0" w:line="240" w:lineRule="auto"/>
              <w:rPr>
                <w:rFonts w:ascii="Cambria" w:eastAsia="Times New Roman" w:hAnsi="Cambria" w:cs="Calibri"/>
              </w:rPr>
            </w:pPr>
            <w:r w:rsidRPr="00DF4CE5">
              <w:rPr>
                <w:rFonts w:ascii="Cambria" w:eastAsia="Times New Roman" w:hAnsi="Cambria" w:cs="Calibri"/>
              </w:rPr>
              <w:t xml:space="preserve">  6</w:t>
            </w:r>
          </w:p>
        </w:tc>
        <w:tc>
          <w:tcPr>
            <w:tcW w:w="9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E62FCCE" w14:textId="77777777" w:rsidR="001C42AA" w:rsidRPr="00DF4CE5" w:rsidRDefault="001C42AA" w:rsidP="001C42AA">
            <w:pPr>
              <w:spacing w:after="0" w:line="240" w:lineRule="auto"/>
              <w:rPr>
                <w:rFonts w:ascii="Cambria" w:eastAsia="Times New Roman" w:hAnsi="Cambria" w:cs="Calibri"/>
              </w:rPr>
            </w:pPr>
            <w:r w:rsidRPr="00DF4CE5">
              <w:rPr>
                <w:rFonts w:ascii="Cambria" w:eastAsia="Times New Roman" w:hAnsi="Cambria" w:cs="Calibri"/>
              </w:rPr>
              <w:t xml:space="preserve"> 0,2</w:t>
            </w:r>
          </w:p>
        </w:tc>
        <w:tc>
          <w:tcPr>
            <w:tcW w:w="127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68956E1" w14:textId="77777777" w:rsidR="001C42AA" w:rsidRPr="00DF4CE5" w:rsidRDefault="001C42AA" w:rsidP="001C42AA">
            <w:pPr>
              <w:spacing w:after="0" w:line="240" w:lineRule="auto"/>
              <w:rPr>
                <w:rFonts w:ascii="Cambria" w:eastAsia="Times New Roman" w:hAnsi="Cambria" w:cs="Calibri"/>
              </w:rPr>
            </w:pPr>
            <w:r w:rsidRPr="00DF4CE5">
              <w:rPr>
                <w:rFonts w:ascii="Cambria" w:eastAsia="Times New Roman" w:hAnsi="Cambria" w:cs="Calibri"/>
              </w:rPr>
              <w:t xml:space="preserve"> 15%</w:t>
            </w:r>
          </w:p>
        </w:tc>
      </w:tr>
      <w:tr w:rsidR="001C42AA" w:rsidRPr="00DF4CE5" w14:paraId="4C671F2F" w14:textId="77777777" w:rsidTr="001C42AA">
        <w:trPr>
          <w:trHeight w:val="393"/>
        </w:trPr>
        <w:tc>
          <w:tcPr>
            <w:tcW w:w="2536" w:type="dxa"/>
            <w:vMerge/>
            <w:tcBorders>
              <w:left w:val="single" w:sz="8" w:space="0" w:color="000000"/>
              <w:right w:val="single" w:sz="8" w:space="0" w:color="000000"/>
            </w:tcBorders>
            <w:vAlign w:val="center"/>
            <w:hideMark/>
          </w:tcPr>
          <w:p w14:paraId="7A3E74E0" w14:textId="77777777" w:rsidR="001C42AA" w:rsidRPr="00DF4CE5" w:rsidRDefault="001C42AA" w:rsidP="001C42AA">
            <w:pPr>
              <w:spacing w:after="0" w:line="240" w:lineRule="auto"/>
              <w:rPr>
                <w:rFonts w:ascii="Cambria" w:eastAsia="Times New Roman" w:hAnsi="Cambria" w:cs="Calibri"/>
              </w:rPr>
            </w:pPr>
          </w:p>
        </w:tc>
        <w:tc>
          <w:tcPr>
            <w:tcW w:w="250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916B008" w14:textId="77777777" w:rsidR="001C42AA" w:rsidRPr="00DF4CE5" w:rsidRDefault="001C42AA" w:rsidP="001C42AA">
            <w:pPr>
              <w:spacing w:after="0" w:line="240" w:lineRule="auto"/>
              <w:rPr>
                <w:rFonts w:ascii="Cambria" w:eastAsia="Times New Roman" w:hAnsi="Cambria" w:cs="Calibri"/>
              </w:rPr>
            </w:pPr>
            <w:proofErr w:type="spellStart"/>
            <w:r w:rsidRPr="00DF4CE5">
              <w:rPr>
                <w:rFonts w:ascii="Cambria" w:eastAsia="Times New Roman" w:hAnsi="Cambria" w:cs="Calibri"/>
              </w:rPr>
              <w:t>istraživački</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zadatak</w:t>
            </w:r>
            <w:proofErr w:type="spellEnd"/>
            <w:r w:rsidRPr="00DF4CE5">
              <w:rPr>
                <w:rFonts w:ascii="Cambria" w:eastAsia="Times New Roman" w:hAnsi="Cambria" w:cs="Calibri"/>
              </w:rPr>
              <w:t xml:space="preserve"> + </w:t>
            </w:r>
            <w:proofErr w:type="spellStart"/>
            <w:r w:rsidRPr="00DF4CE5">
              <w:rPr>
                <w:rFonts w:ascii="Cambria" w:eastAsia="Times New Roman" w:hAnsi="Cambria" w:cs="Calibri"/>
              </w:rPr>
              <w:t>usmeno</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izlaganje</w:t>
            </w:r>
            <w:proofErr w:type="spellEnd"/>
            <w:r w:rsidRPr="00DF4CE5">
              <w:rPr>
                <w:rFonts w:ascii="Cambria" w:eastAsia="Times New Roman" w:hAnsi="Cambria" w:cs="Calibri"/>
              </w:rPr>
              <w:t xml:space="preserve"> </w:t>
            </w:r>
          </w:p>
        </w:tc>
        <w:tc>
          <w:tcPr>
            <w:tcW w:w="1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66C0A16" w14:textId="77777777" w:rsidR="001C42AA" w:rsidRPr="00DF4CE5" w:rsidRDefault="001C42AA" w:rsidP="001C42AA">
            <w:pPr>
              <w:spacing w:after="0" w:line="240" w:lineRule="auto"/>
              <w:rPr>
                <w:rFonts w:ascii="Cambria" w:eastAsia="Times New Roman" w:hAnsi="Cambria" w:cs="Calibri"/>
              </w:rPr>
            </w:pPr>
            <w:r w:rsidRPr="00DF4CE5">
              <w:rPr>
                <w:rFonts w:ascii="Cambria" w:eastAsia="Times New Roman" w:hAnsi="Cambria" w:cs="Calibri"/>
              </w:rPr>
              <w:t> </w:t>
            </w:r>
            <w:r w:rsidRPr="00DF4CE5">
              <w:rPr>
                <w:rFonts w:ascii="Cambria" w:eastAsia="Times New Roman" w:hAnsi="Cambria" w:cs="Times New Roman"/>
              </w:rPr>
              <w:t> 1. ‒ 4.</w:t>
            </w:r>
          </w:p>
        </w:tc>
        <w:tc>
          <w:tcPr>
            <w:tcW w:w="69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9CBA609" w14:textId="77777777" w:rsidR="001C42AA" w:rsidRPr="00DF4CE5" w:rsidRDefault="001C42AA" w:rsidP="001C42AA">
            <w:pPr>
              <w:spacing w:after="0" w:line="240" w:lineRule="auto"/>
              <w:rPr>
                <w:rFonts w:ascii="Cambria" w:eastAsia="Times New Roman" w:hAnsi="Cambria" w:cs="Calibri"/>
              </w:rPr>
            </w:pPr>
            <w:r w:rsidRPr="00DF4CE5">
              <w:rPr>
                <w:rFonts w:ascii="Cambria" w:eastAsia="Times New Roman" w:hAnsi="Cambria" w:cs="Calibri"/>
              </w:rPr>
              <w:t> 19</w:t>
            </w:r>
          </w:p>
        </w:tc>
        <w:tc>
          <w:tcPr>
            <w:tcW w:w="9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4ADA261" w14:textId="77777777" w:rsidR="001C42AA" w:rsidRPr="00DF4CE5" w:rsidRDefault="001C42AA" w:rsidP="001C42AA">
            <w:pPr>
              <w:spacing w:after="0" w:line="240" w:lineRule="auto"/>
              <w:rPr>
                <w:rFonts w:ascii="Cambria" w:eastAsia="Times New Roman" w:hAnsi="Cambria" w:cs="Calibri"/>
              </w:rPr>
            </w:pPr>
            <w:r w:rsidRPr="00DF4CE5">
              <w:rPr>
                <w:rFonts w:ascii="Cambria" w:eastAsia="Times New Roman" w:hAnsi="Cambria" w:cs="Calibri"/>
              </w:rPr>
              <w:t xml:space="preserve"> 0,6</w:t>
            </w:r>
          </w:p>
        </w:tc>
        <w:tc>
          <w:tcPr>
            <w:tcW w:w="127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43B277F" w14:textId="77777777" w:rsidR="001C42AA" w:rsidRPr="00DF4CE5" w:rsidRDefault="001C42AA" w:rsidP="001C42AA">
            <w:pPr>
              <w:spacing w:after="0" w:line="240" w:lineRule="auto"/>
              <w:rPr>
                <w:rFonts w:ascii="Cambria" w:eastAsia="Times New Roman" w:hAnsi="Cambria" w:cs="Calibri"/>
              </w:rPr>
            </w:pPr>
            <w:r w:rsidRPr="00DF4CE5">
              <w:rPr>
                <w:rFonts w:ascii="Cambria" w:eastAsia="Times New Roman" w:hAnsi="Cambria" w:cs="Calibri"/>
              </w:rPr>
              <w:t> 25%</w:t>
            </w:r>
          </w:p>
        </w:tc>
      </w:tr>
      <w:tr w:rsidR="001C42AA" w:rsidRPr="00DF4CE5" w14:paraId="3246883B" w14:textId="77777777" w:rsidTr="001C42AA">
        <w:trPr>
          <w:trHeight w:val="883"/>
        </w:trPr>
        <w:tc>
          <w:tcPr>
            <w:tcW w:w="2536" w:type="dxa"/>
            <w:vMerge/>
            <w:tcBorders>
              <w:left w:val="single" w:sz="8" w:space="0" w:color="000000"/>
              <w:right w:val="single" w:sz="8" w:space="0" w:color="000000"/>
            </w:tcBorders>
            <w:vAlign w:val="center"/>
            <w:hideMark/>
          </w:tcPr>
          <w:p w14:paraId="2B242511" w14:textId="77777777" w:rsidR="001C42AA" w:rsidRPr="00DF4CE5" w:rsidRDefault="001C42AA" w:rsidP="001C42AA">
            <w:pPr>
              <w:spacing w:after="0" w:line="240" w:lineRule="auto"/>
              <w:rPr>
                <w:rFonts w:ascii="Cambria" w:eastAsia="Times New Roman" w:hAnsi="Cambria" w:cs="Calibri"/>
              </w:rPr>
            </w:pPr>
          </w:p>
        </w:tc>
        <w:tc>
          <w:tcPr>
            <w:tcW w:w="250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4AED299" w14:textId="77777777" w:rsidR="001C42AA" w:rsidRPr="00DF4CE5" w:rsidRDefault="001C42AA" w:rsidP="001C42AA">
            <w:pPr>
              <w:spacing w:after="0" w:line="240" w:lineRule="auto"/>
              <w:rPr>
                <w:rFonts w:ascii="Cambria" w:eastAsia="Times New Roman" w:hAnsi="Cambria" w:cs="Calibri"/>
              </w:rPr>
            </w:pPr>
            <w:proofErr w:type="spellStart"/>
            <w:r w:rsidRPr="00DF4CE5">
              <w:rPr>
                <w:rFonts w:ascii="Cambria" w:eastAsia="Times New Roman" w:hAnsi="Cambria" w:cs="Calibri"/>
              </w:rPr>
              <w:t>dva</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kolokvija</w:t>
            </w:r>
            <w:proofErr w:type="spellEnd"/>
          </w:p>
        </w:tc>
        <w:tc>
          <w:tcPr>
            <w:tcW w:w="1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1D1EDC1" w14:textId="77777777" w:rsidR="001C42AA" w:rsidRPr="00DF4CE5" w:rsidRDefault="001C42AA" w:rsidP="001C42AA">
            <w:pPr>
              <w:spacing w:after="0" w:line="240" w:lineRule="auto"/>
              <w:rPr>
                <w:rFonts w:ascii="Cambria" w:eastAsia="Times New Roman" w:hAnsi="Cambria" w:cs="Calibri"/>
              </w:rPr>
            </w:pPr>
            <w:r w:rsidRPr="00DF4CE5">
              <w:rPr>
                <w:rFonts w:ascii="Cambria" w:eastAsia="Times New Roman" w:hAnsi="Cambria" w:cs="Calibri"/>
              </w:rPr>
              <w:t>  </w:t>
            </w:r>
            <w:r w:rsidRPr="00DF4CE5">
              <w:rPr>
                <w:rFonts w:ascii="Cambria" w:eastAsia="Times New Roman" w:hAnsi="Cambria" w:cs="Times New Roman"/>
              </w:rPr>
              <w:t> 1. ‒ 4.</w:t>
            </w:r>
          </w:p>
        </w:tc>
        <w:tc>
          <w:tcPr>
            <w:tcW w:w="69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D9AEB77" w14:textId="77777777" w:rsidR="001C42AA" w:rsidRPr="00DF4CE5" w:rsidRDefault="001C42AA" w:rsidP="001C42AA">
            <w:pPr>
              <w:spacing w:after="0" w:line="240" w:lineRule="auto"/>
              <w:rPr>
                <w:rFonts w:ascii="Cambria" w:eastAsia="Times New Roman" w:hAnsi="Cambria" w:cs="Calibri"/>
              </w:rPr>
            </w:pPr>
            <w:r w:rsidRPr="00DF4CE5">
              <w:rPr>
                <w:rFonts w:ascii="Cambria" w:eastAsia="Times New Roman" w:hAnsi="Cambria" w:cs="Calibri"/>
              </w:rPr>
              <w:t> 50</w:t>
            </w:r>
          </w:p>
        </w:tc>
        <w:tc>
          <w:tcPr>
            <w:tcW w:w="9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B4812B7" w14:textId="77777777" w:rsidR="001C42AA" w:rsidRPr="00DF4CE5" w:rsidRDefault="001C42AA" w:rsidP="001C42AA">
            <w:pPr>
              <w:spacing w:after="0" w:line="240" w:lineRule="auto"/>
              <w:rPr>
                <w:rFonts w:ascii="Cambria" w:eastAsia="Times New Roman" w:hAnsi="Cambria" w:cs="Calibri"/>
              </w:rPr>
            </w:pPr>
            <w:r w:rsidRPr="00DF4CE5">
              <w:rPr>
                <w:rFonts w:ascii="Cambria" w:eastAsia="Times New Roman" w:hAnsi="Cambria" w:cs="Calibri"/>
              </w:rPr>
              <w:t xml:space="preserve"> 1,7</w:t>
            </w:r>
          </w:p>
        </w:tc>
        <w:tc>
          <w:tcPr>
            <w:tcW w:w="127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702D232" w14:textId="77777777" w:rsidR="001C42AA" w:rsidRPr="00DF4CE5" w:rsidRDefault="001C42AA" w:rsidP="001C42AA">
            <w:pPr>
              <w:spacing w:after="0" w:line="240" w:lineRule="auto"/>
              <w:rPr>
                <w:rFonts w:ascii="Cambria" w:eastAsia="Times New Roman" w:hAnsi="Cambria" w:cs="Calibri"/>
              </w:rPr>
            </w:pPr>
            <w:r w:rsidRPr="00DF4CE5">
              <w:rPr>
                <w:rFonts w:ascii="Cambria" w:eastAsia="Times New Roman" w:hAnsi="Cambria" w:cs="Calibri"/>
              </w:rPr>
              <w:t> 25%+25%</w:t>
            </w:r>
          </w:p>
        </w:tc>
      </w:tr>
      <w:tr w:rsidR="001C42AA" w:rsidRPr="00DF4CE5" w14:paraId="0AFC7537" w14:textId="77777777" w:rsidTr="001C42AA">
        <w:trPr>
          <w:trHeight w:val="668"/>
        </w:trPr>
        <w:tc>
          <w:tcPr>
            <w:tcW w:w="2536" w:type="dxa"/>
            <w:vMerge/>
            <w:tcBorders>
              <w:left w:val="single" w:sz="8" w:space="0" w:color="000000"/>
              <w:right w:val="single" w:sz="8" w:space="0" w:color="000000"/>
            </w:tcBorders>
            <w:vAlign w:val="center"/>
            <w:hideMark/>
          </w:tcPr>
          <w:p w14:paraId="56E4FE86" w14:textId="77777777" w:rsidR="001C42AA" w:rsidRPr="00DF4CE5" w:rsidRDefault="001C42AA" w:rsidP="001C42AA">
            <w:pPr>
              <w:spacing w:after="0" w:line="240" w:lineRule="auto"/>
              <w:rPr>
                <w:rFonts w:ascii="Cambria" w:eastAsia="Times New Roman" w:hAnsi="Cambria" w:cs="Calibri"/>
              </w:rPr>
            </w:pPr>
          </w:p>
        </w:tc>
        <w:tc>
          <w:tcPr>
            <w:tcW w:w="3559"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A053246" w14:textId="5898A7E6" w:rsidR="001C42AA" w:rsidRPr="00DF4CE5" w:rsidRDefault="0098327C" w:rsidP="001C42AA">
            <w:pPr>
              <w:spacing w:after="0" w:line="240" w:lineRule="auto"/>
              <w:rPr>
                <w:rFonts w:ascii="Cambria" w:eastAsia="Times New Roman" w:hAnsi="Cambria" w:cs="Calibri"/>
              </w:rPr>
            </w:pPr>
            <w:proofErr w:type="spellStart"/>
            <w:r>
              <w:rPr>
                <w:rFonts w:ascii="Cambria" w:eastAsia="Times New Roman" w:hAnsi="Cambria" w:cs="Calibri"/>
              </w:rPr>
              <w:t>u</w:t>
            </w:r>
            <w:r w:rsidR="001C42AA" w:rsidRPr="00DF4CE5">
              <w:rPr>
                <w:rFonts w:ascii="Cambria" w:eastAsia="Times New Roman" w:hAnsi="Cambria" w:cs="Calibri"/>
              </w:rPr>
              <w:t>kupno</w:t>
            </w:r>
            <w:proofErr w:type="spellEnd"/>
          </w:p>
        </w:tc>
        <w:tc>
          <w:tcPr>
            <w:tcW w:w="69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46667DF" w14:textId="77777777" w:rsidR="001C42AA" w:rsidRPr="00DF4CE5" w:rsidRDefault="001C42AA" w:rsidP="001C42AA">
            <w:pPr>
              <w:spacing w:after="0" w:line="240" w:lineRule="auto"/>
              <w:rPr>
                <w:rFonts w:ascii="Cambria" w:eastAsia="Times New Roman" w:hAnsi="Cambria" w:cs="Calibri"/>
              </w:rPr>
            </w:pPr>
            <w:r w:rsidRPr="00DF4CE5">
              <w:rPr>
                <w:rFonts w:ascii="Cambria" w:eastAsia="Times New Roman" w:hAnsi="Cambria" w:cs="Calibri"/>
              </w:rPr>
              <w:t>120</w:t>
            </w:r>
          </w:p>
        </w:tc>
        <w:tc>
          <w:tcPr>
            <w:tcW w:w="9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7AB9195" w14:textId="77777777" w:rsidR="001C42AA" w:rsidRPr="00DF4CE5" w:rsidRDefault="001C42AA" w:rsidP="001C42AA">
            <w:pPr>
              <w:spacing w:after="0" w:line="240" w:lineRule="auto"/>
              <w:rPr>
                <w:rFonts w:ascii="Cambria" w:eastAsia="Times New Roman" w:hAnsi="Cambria" w:cs="Calibri"/>
              </w:rPr>
            </w:pPr>
            <w:r w:rsidRPr="00DF4CE5">
              <w:rPr>
                <w:rFonts w:ascii="Cambria" w:eastAsia="Times New Roman" w:hAnsi="Cambria" w:cs="Calibri"/>
              </w:rPr>
              <w:t xml:space="preserve"> 4</w:t>
            </w:r>
          </w:p>
        </w:tc>
        <w:tc>
          <w:tcPr>
            <w:tcW w:w="127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BFCC41D" w14:textId="77777777" w:rsidR="001C42AA" w:rsidRPr="00DF4CE5" w:rsidRDefault="001C42AA" w:rsidP="001C42AA">
            <w:pPr>
              <w:spacing w:after="0" w:line="240" w:lineRule="auto"/>
              <w:rPr>
                <w:rFonts w:ascii="Cambria" w:eastAsia="Times New Roman" w:hAnsi="Cambria" w:cs="Calibri"/>
              </w:rPr>
            </w:pPr>
            <w:r w:rsidRPr="00DF4CE5">
              <w:rPr>
                <w:rFonts w:ascii="Cambria" w:eastAsia="Times New Roman" w:hAnsi="Cambria" w:cs="Calibri"/>
              </w:rPr>
              <w:t>100%</w:t>
            </w:r>
          </w:p>
        </w:tc>
      </w:tr>
      <w:tr w:rsidR="001C42AA" w:rsidRPr="00D0399C" w14:paraId="425BF20E" w14:textId="77777777" w:rsidTr="001C42AA">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22968F2" w14:textId="77777777" w:rsidR="001C42AA" w:rsidRPr="00DF4CE5" w:rsidRDefault="001C42AA" w:rsidP="001C42AA">
            <w:pPr>
              <w:spacing w:after="0" w:line="240" w:lineRule="auto"/>
              <w:rPr>
                <w:rFonts w:ascii="Cambria" w:eastAsia="Times New Roman" w:hAnsi="Cambria" w:cs="Calibri"/>
              </w:rPr>
            </w:pPr>
            <w:proofErr w:type="spellStart"/>
            <w:r w:rsidRPr="00DF4CE5">
              <w:rPr>
                <w:rFonts w:ascii="Cambria" w:eastAsia="Times New Roman" w:hAnsi="Cambria" w:cs="Calibri"/>
              </w:rPr>
              <w:t>Studentske</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obveze</w:t>
            </w:r>
            <w:proofErr w:type="spellEnd"/>
          </w:p>
        </w:tc>
        <w:tc>
          <w:tcPr>
            <w:tcW w:w="651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9ABB499" w14:textId="77777777" w:rsidR="001C42AA" w:rsidRPr="00DF4CE5" w:rsidRDefault="001C42AA" w:rsidP="001C42AA">
            <w:pPr>
              <w:spacing w:after="0" w:line="240" w:lineRule="auto"/>
              <w:rPr>
                <w:rFonts w:ascii="Cambria" w:eastAsia="Times New Roman" w:hAnsi="Cambria" w:cs="Calibri"/>
                <w:lang w:val="it-IT"/>
              </w:rPr>
            </w:pPr>
            <w:r w:rsidRPr="00DF4CE5">
              <w:rPr>
                <w:rFonts w:ascii="Cambria" w:eastAsia="Times New Roman" w:hAnsi="Cambria" w:cs="Calibri"/>
                <w:lang w:val="it-IT"/>
              </w:rPr>
              <w:t xml:space="preserve">Da </w:t>
            </w:r>
            <w:proofErr w:type="spellStart"/>
            <w:r w:rsidRPr="00DF4CE5">
              <w:rPr>
                <w:rFonts w:ascii="Cambria" w:eastAsia="Times New Roman" w:hAnsi="Cambria" w:cs="Calibri"/>
                <w:lang w:val="it-IT"/>
              </w:rPr>
              <w:t>položi</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kolegij</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student</w:t>
            </w:r>
            <w:proofErr w:type="spellEnd"/>
            <w:r w:rsidRPr="00DF4CE5">
              <w:rPr>
                <w:rFonts w:ascii="Cambria" w:eastAsia="Times New Roman" w:hAnsi="Cambria" w:cs="Calibri"/>
                <w:lang w:val="it-IT"/>
              </w:rPr>
              <w:t>/</w:t>
            </w:r>
            <w:proofErr w:type="spellStart"/>
            <w:r w:rsidRPr="00DF4CE5">
              <w:rPr>
                <w:rFonts w:ascii="Cambria" w:eastAsia="Times New Roman" w:hAnsi="Cambria" w:cs="Calibri"/>
                <w:lang w:val="it-IT"/>
              </w:rPr>
              <w:t>studentica</w:t>
            </w:r>
            <w:proofErr w:type="spellEnd"/>
            <w:r w:rsidRPr="00DF4CE5">
              <w:rPr>
                <w:rFonts w:ascii="Cambria" w:eastAsia="Times New Roman" w:hAnsi="Cambria" w:cs="Calibri"/>
                <w:lang w:val="it-IT"/>
              </w:rPr>
              <w:t xml:space="preserve"> mora:</w:t>
            </w:r>
          </w:p>
          <w:p w14:paraId="2B3C43A0" w14:textId="4F0A8B01" w:rsidR="001C42AA" w:rsidRPr="00DF4CE5" w:rsidRDefault="001C42AA" w:rsidP="001C42AA">
            <w:pPr>
              <w:spacing w:after="0" w:line="240" w:lineRule="auto"/>
              <w:rPr>
                <w:rFonts w:ascii="Cambria" w:eastAsia="Times New Roman" w:hAnsi="Cambria" w:cs="Calibri"/>
                <w:lang w:val="it-IT"/>
              </w:rPr>
            </w:pPr>
            <w:r w:rsidRPr="00DF4CE5">
              <w:rPr>
                <w:rFonts w:ascii="Cambria" w:eastAsia="Times New Roman" w:hAnsi="Cambria" w:cs="Calibri"/>
                <w:lang w:val="it-IT"/>
              </w:rPr>
              <w:lastRenderedPageBreak/>
              <w:t xml:space="preserve">1. </w:t>
            </w:r>
            <w:proofErr w:type="spellStart"/>
            <w:r w:rsidR="00D259BD">
              <w:rPr>
                <w:rFonts w:ascii="Cambria" w:eastAsia="Times New Roman" w:hAnsi="Cambria" w:cs="Calibri"/>
                <w:lang w:val="it-IT"/>
              </w:rPr>
              <w:t>p</w:t>
            </w:r>
            <w:r w:rsidRPr="00DF4CE5">
              <w:rPr>
                <w:rFonts w:ascii="Cambria" w:eastAsia="Times New Roman" w:hAnsi="Cambria" w:cs="Calibri"/>
                <w:lang w:val="it-IT"/>
              </w:rPr>
              <w:t>ohađati</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nastavu</w:t>
            </w:r>
            <w:proofErr w:type="spellEnd"/>
          </w:p>
          <w:p w14:paraId="41FB1622" w14:textId="4B7127A4" w:rsidR="001C42AA" w:rsidRPr="00DF4CE5" w:rsidRDefault="001C42AA" w:rsidP="001C42AA">
            <w:pPr>
              <w:spacing w:after="0" w:line="240" w:lineRule="auto"/>
              <w:rPr>
                <w:rFonts w:ascii="Cambria" w:eastAsia="Times New Roman" w:hAnsi="Cambria" w:cs="Calibri"/>
                <w:lang w:val="it-IT"/>
              </w:rPr>
            </w:pPr>
            <w:r w:rsidRPr="00DF4CE5">
              <w:rPr>
                <w:rFonts w:ascii="Cambria" w:eastAsia="Times New Roman" w:hAnsi="Cambria" w:cs="Calibri"/>
                <w:lang w:val="it-IT"/>
              </w:rPr>
              <w:t xml:space="preserve">2. </w:t>
            </w:r>
            <w:proofErr w:type="spellStart"/>
            <w:r w:rsidR="00D259BD">
              <w:rPr>
                <w:rFonts w:ascii="Cambria" w:eastAsia="Times New Roman" w:hAnsi="Cambria" w:cs="Calibri"/>
                <w:lang w:val="it-IT"/>
              </w:rPr>
              <w:t>p</w:t>
            </w:r>
            <w:r w:rsidRPr="00DF4CE5">
              <w:rPr>
                <w:rFonts w:ascii="Cambria" w:eastAsia="Times New Roman" w:hAnsi="Cambria" w:cs="Calibri"/>
                <w:lang w:val="it-IT"/>
              </w:rPr>
              <w:t>rovesti</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istraživački</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zadatak</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na</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odabranu</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temu</w:t>
            </w:r>
            <w:proofErr w:type="spellEnd"/>
            <w:r w:rsidRPr="00DF4CE5">
              <w:rPr>
                <w:rFonts w:ascii="Cambria" w:eastAsia="Times New Roman" w:hAnsi="Cambria" w:cs="Calibri"/>
                <w:lang w:val="it-IT"/>
              </w:rPr>
              <w:t xml:space="preserve"> i </w:t>
            </w:r>
            <w:proofErr w:type="spellStart"/>
            <w:r w:rsidRPr="00DF4CE5">
              <w:rPr>
                <w:rFonts w:ascii="Cambria" w:eastAsia="Times New Roman" w:hAnsi="Cambria" w:cs="Calibri"/>
                <w:lang w:val="it-IT"/>
              </w:rPr>
              <w:t>usmeno</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ga</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prezentirati</w:t>
            </w:r>
            <w:proofErr w:type="spellEnd"/>
          </w:p>
          <w:p w14:paraId="588CFB5B" w14:textId="6B462D74" w:rsidR="001C42AA" w:rsidRPr="00DF4CE5" w:rsidRDefault="001C42AA" w:rsidP="001C42AA">
            <w:pPr>
              <w:spacing w:after="0" w:line="240" w:lineRule="auto"/>
              <w:rPr>
                <w:rFonts w:ascii="Cambria" w:eastAsia="Times New Roman" w:hAnsi="Cambria" w:cs="Calibri"/>
                <w:lang w:val="it-IT"/>
              </w:rPr>
            </w:pPr>
            <w:r w:rsidRPr="00DF4CE5">
              <w:rPr>
                <w:rFonts w:ascii="Cambria" w:eastAsia="Times New Roman" w:hAnsi="Cambria" w:cs="Calibri"/>
                <w:lang w:val="it-IT"/>
              </w:rPr>
              <w:t xml:space="preserve">3. </w:t>
            </w:r>
            <w:proofErr w:type="spellStart"/>
            <w:r w:rsidR="00D259BD">
              <w:rPr>
                <w:rFonts w:ascii="Cambria" w:eastAsia="Times New Roman" w:hAnsi="Cambria" w:cs="Calibri"/>
                <w:lang w:val="it-IT"/>
              </w:rPr>
              <w:t>i</w:t>
            </w:r>
            <w:r w:rsidRPr="00DF4CE5">
              <w:rPr>
                <w:rFonts w:ascii="Cambria" w:eastAsia="Times New Roman" w:hAnsi="Cambria" w:cs="Calibri"/>
                <w:lang w:val="it-IT"/>
              </w:rPr>
              <w:t>zraditi</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samostalan</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zadatak</w:t>
            </w:r>
            <w:proofErr w:type="spellEnd"/>
            <w:r w:rsidRPr="00DF4CE5">
              <w:rPr>
                <w:rFonts w:ascii="Cambria" w:eastAsia="Times New Roman" w:hAnsi="Cambria" w:cs="Calibri"/>
                <w:lang w:val="it-IT"/>
              </w:rPr>
              <w:t>.</w:t>
            </w:r>
          </w:p>
          <w:p w14:paraId="3393A634" w14:textId="13B73415" w:rsidR="001C42AA" w:rsidRPr="00DF4CE5" w:rsidRDefault="001C42AA" w:rsidP="001C42AA">
            <w:pPr>
              <w:spacing w:after="0" w:line="240" w:lineRule="auto"/>
              <w:rPr>
                <w:rFonts w:ascii="Cambria" w:eastAsia="Times New Roman" w:hAnsi="Cambria" w:cs="Calibri"/>
                <w:lang w:val="it-IT"/>
              </w:rPr>
            </w:pPr>
            <w:r w:rsidRPr="00DF4CE5">
              <w:rPr>
                <w:rFonts w:ascii="Cambria" w:eastAsia="Times New Roman" w:hAnsi="Cambria" w:cs="Calibri"/>
                <w:lang w:val="it-IT"/>
              </w:rPr>
              <w:t xml:space="preserve">4. </w:t>
            </w:r>
            <w:proofErr w:type="spellStart"/>
            <w:r w:rsidR="00D259BD">
              <w:rPr>
                <w:rFonts w:ascii="Cambria" w:eastAsia="Times New Roman" w:hAnsi="Cambria" w:cs="Calibri"/>
                <w:lang w:val="it-IT"/>
              </w:rPr>
              <w:t>p</w:t>
            </w:r>
            <w:r w:rsidRPr="00DF4CE5">
              <w:rPr>
                <w:rFonts w:ascii="Cambria" w:eastAsia="Times New Roman" w:hAnsi="Cambria" w:cs="Calibri"/>
                <w:lang w:val="it-IT"/>
              </w:rPr>
              <w:t>oložiti</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dva</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kolokvija</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koja</w:t>
            </w:r>
            <w:proofErr w:type="spellEnd"/>
            <w:r w:rsidRPr="00DF4CE5">
              <w:rPr>
                <w:rFonts w:ascii="Cambria" w:eastAsia="Times New Roman" w:hAnsi="Cambria" w:cs="Calibri"/>
                <w:lang w:val="it-IT"/>
              </w:rPr>
              <w:t xml:space="preserve"> se </w:t>
            </w:r>
            <w:proofErr w:type="spellStart"/>
            <w:r w:rsidRPr="00DF4CE5">
              <w:rPr>
                <w:rFonts w:ascii="Cambria" w:eastAsia="Times New Roman" w:hAnsi="Cambria" w:cs="Calibri"/>
                <w:lang w:val="it-IT"/>
              </w:rPr>
              <w:t>pišu</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tijekom</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nastave</w:t>
            </w:r>
            <w:proofErr w:type="spellEnd"/>
            <w:r w:rsidRPr="00DF4CE5">
              <w:rPr>
                <w:rFonts w:ascii="Cambria" w:eastAsia="Times New Roman" w:hAnsi="Cambria" w:cs="Calibri"/>
                <w:lang w:val="it-IT"/>
              </w:rPr>
              <w:t xml:space="preserve"> ili </w:t>
            </w:r>
            <w:proofErr w:type="spellStart"/>
            <w:r w:rsidRPr="00DF4CE5">
              <w:rPr>
                <w:rFonts w:ascii="Cambria" w:eastAsia="Times New Roman" w:hAnsi="Cambria" w:cs="Calibri"/>
                <w:lang w:val="it-IT"/>
              </w:rPr>
              <w:t>pismeni</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ispit</w:t>
            </w:r>
            <w:proofErr w:type="spellEnd"/>
            <w:r w:rsidRPr="00DF4CE5">
              <w:rPr>
                <w:rFonts w:ascii="Cambria" w:eastAsia="Times New Roman" w:hAnsi="Cambria" w:cs="Calibri"/>
                <w:lang w:val="it-IT"/>
              </w:rPr>
              <w:t>.</w:t>
            </w:r>
          </w:p>
        </w:tc>
      </w:tr>
      <w:tr w:rsidR="001C42AA" w:rsidRPr="00DF4CE5" w14:paraId="2E0D3F6E" w14:textId="77777777" w:rsidTr="001C42AA">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C61E2C5" w14:textId="77777777" w:rsidR="001C42AA" w:rsidRPr="00DF4CE5" w:rsidRDefault="001C42AA" w:rsidP="001C42AA">
            <w:pPr>
              <w:spacing w:after="0" w:line="240" w:lineRule="auto"/>
              <w:rPr>
                <w:rFonts w:ascii="Cambria" w:eastAsia="Times New Roman" w:hAnsi="Cambria" w:cs="Calibri"/>
              </w:rPr>
            </w:pPr>
            <w:proofErr w:type="spellStart"/>
            <w:r w:rsidRPr="00DF4CE5">
              <w:rPr>
                <w:rFonts w:ascii="Cambria" w:eastAsia="Times New Roman" w:hAnsi="Cambria" w:cs="Calibri"/>
              </w:rPr>
              <w:lastRenderedPageBreak/>
              <w:t>Rokovi</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ispita</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i</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kolokvija</w:t>
            </w:r>
            <w:proofErr w:type="spellEnd"/>
          </w:p>
        </w:tc>
        <w:tc>
          <w:tcPr>
            <w:tcW w:w="651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24577AF" w14:textId="77777777" w:rsidR="001C42AA" w:rsidRPr="00DF4CE5" w:rsidRDefault="001C42AA" w:rsidP="001C42AA">
            <w:pPr>
              <w:spacing w:after="0" w:line="240" w:lineRule="auto"/>
              <w:rPr>
                <w:rFonts w:ascii="Cambria" w:eastAsia="Times New Roman" w:hAnsi="Cambria" w:cs="Calibri"/>
              </w:rPr>
            </w:pPr>
            <w:proofErr w:type="spellStart"/>
            <w:r w:rsidRPr="00DF4CE5">
              <w:rPr>
                <w:rFonts w:ascii="Cambria" w:eastAsia="Times New Roman" w:hAnsi="Cambria" w:cs="Calibri"/>
              </w:rPr>
              <w:t>Rokovi</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ispita</w:t>
            </w:r>
            <w:proofErr w:type="spellEnd"/>
            <w:r w:rsidRPr="00DF4CE5">
              <w:rPr>
                <w:rFonts w:ascii="Cambria" w:eastAsia="Times New Roman" w:hAnsi="Cambria" w:cs="Calibri"/>
              </w:rPr>
              <w:t xml:space="preserve"> se </w:t>
            </w:r>
            <w:proofErr w:type="spellStart"/>
            <w:r w:rsidRPr="00DF4CE5">
              <w:rPr>
                <w:rFonts w:ascii="Cambria" w:eastAsia="Times New Roman" w:hAnsi="Cambria" w:cs="Calibri"/>
              </w:rPr>
              <w:t>objavljuju</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na</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početku</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akademske</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godine</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na</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mrežnim</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stranicama</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Sveučilišta</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i</w:t>
            </w:r>
            <w:proofErr w:type="spellEnd"/>
            <w:r w:rsidRPr="00DF4CE5">
              <w:rPr>
                <w:rFonts w:ascii="Cambria" w:eastAsia="Times New Roman" w:hAnsi="Cambria" w:cs="Calibri"/>
              </w:rPr>
              <w:t xml:space="preserve"> u ISVU </w:t>
            </w:r>
            <w:proofErr w:type="spellStart"/>
            <w:r w:rsidRPr="00DF4CE5">
              <w:rPr>
                <w:rFonts w:ascii="Cambria" w:eastAsia="Times New Roman" w:hAnsi="Cambria" w:cs="Calibri"/>
              </w:rPr>
              <w:t>sustavu</w:t>
            </w:r>
            <w:proofErr w:type="spellEnd"/>
            <w:r w:rsidRPr="00DF4CE5">
              <w:rPr>
                <w:rFonts w:ascii="Cambria" w:eastAsia="Times New Roman" w:hAnsi="Cambria" w:cs="Calibri"/>
              </w:rPr>
              <w:t>.</w:t>
            </w:r>
          </w:p>
        </w:tc>
      </w:tr>
      <w:tr w:rsidR="001C42AA" w:rsidRPr="00DF4CE5" w14:paraId="6B6B1FD9" w14:textId="77777777" w:rsidTr="001C42AA">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D47240B" w14:textId="77777777" w:rsidR="001C42AA" w:rsidRPr="00DF4CE5" w:rsidRDefault="001C42AA" w:rsidP="001C42AA">
            <w:pPr>
              <w:spacing w:after="0" w:line="240" w:lineRule="auto"/>
              <w:rPr>
                <w:rFonts w:ascii="Cambria" w:eastAsia="Times New Roman" w:hAnsi="Cambria" w:cs="Calibri"/>
                <w:lang w:val="it-IT"/>
              </w:rPr>
            </w:pPr>
            <w:r w:rsidRPr="00DF4CE5">
              <w:rPr>
                <w:rFonts w:ascii="Cambria" w:eastAsia="Times New Roman" w:hAnsi="Cambria" w:cs="Calibri"/>
                <w:lang w:val="it-IT"/>
              </w:rPr>
              <w:t xml:space="preserve">Ostale </w:t>
            </w:r>
            <w:proofErr w:type="spellStart"/>
            <w:r w:rsidRPr="00DF4CE5">
              <w:rPr>
                <w:rFonts w:ascii="Cambria" w:eastAsia="Times New Roman" w:hAnsi="Cambria" w:cs="Calibri"/>
                <w:lang w:val="it-IT"/>
              </w:rPr>
              <w:t>važne</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činjenice</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vezane</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uz</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kolegij</w:t>
            </w:r>
            <w:proofErr w:type="spellEnd"/>
          </w:p>
        </w:tc>
        <w:tc>
          <w:tcPr>
            <w:tcW w:w="651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D3EA5F8" w14:textId="77777777" w:rsidR="001C42AA" w:rsidRPr="00DF4CE5" w:rsidRDefault="001C42AA" w:rsidP="001C42AA">
            <w:pPr>
              <w:spacing w:after="0" w:line="240" w:lineRule="auto"/>
              <w:rPr>
                <w:rFonts w:ascii="Cambria" w:eastAsia="Times New Roman" w:hAnsi="Cambria" w:cs="Calibri"/>
                <w:lang w:val="it-IT"/>
              </w:rPr>
            </w:pPr>
            <w:proofErr w:type="spellStart"/>
            <w:r w:rsidRPr="00DF4CE5">
              <w:rPr>
                <w:rFonts w:ascii="Cambria" w:eastAsia="Times New Roman" w:hAnsi="Cambria" w:cs="Calibri"/>
                <w:lang w:val="it-IT"/>
              </w:rPr>
              <w:t>Materijali</w:t>
            </w:r>
            <w:proofErr w:type="spellEnd"/>
            <w:r w:rsidRPr="00DF4CE5">
              <w:rPr>
                <w:rFonts w:ascii="Cambria" w:eastAsia="Times New Roman" w:hAnsi="Cambria" w:cs="Calibri"/>
                <w:lang w:val="it-IT"/>
              </w:rPr>
              <w:t xml:space="preserve"> za </w:t>
            </w:r>
            <w:proofErr w:type="spellStart"/>
            <w:r w:rsidRPr="00DF4CE5">
              <w:rPr>
                <w:rFonts w:ascii="Cambria" w:eastAsia="Times New Roman" w:hAnsi="Cambria" w:cs="Calibri"/>
                <w:lang w:val="it-IT"/>
              </w:rPr>
              <w:t>predavanja</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izlaganja</w:t>
            </w:r>
            <w:proofErr w:type="spellEnd"/>
            <w:r w:rsidRPr="00DF4CE5">
              <w:rPr>
                <w:rFonts w:ascii="Cambria" w:eastAsia="Times New Roman" w:hAnsi="Cambria" w:cs="Calibri"/>
                <w:lang w:val="it-IT"/>
              </w:rPr>
              <w:t xml:space="preserve"> i </w:t>
            </w:r>
            <w:proofErr w:type="spellStart"/>
            <w:r w:rsidRPr="00DF4CE5">
              <w:rPr>
                <w:rFonts w:ascii="Cambria" w:eastAsia="Times New Roman" w:hAnsi="Cambria" w:cs="Calibri"/>
                <w:lang w:val="it-IT"/>
              </w:rPr>
              <w:t>izradu</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samostalnog</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zadatka</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objavljuju</w:t>
            </w:r>
            <w:proofErr w:type="spellEnd"/>
            <w:r w:rsidRPr="00DF4CE5">
              <w:rPr>
                <w:rFonts w:ascii="Cambria" w:eastAsia="Times New Roman" w:hAnsi="Cambria" w:cs="Calibri"/>
                <w:lang w:val="it-IT"/>
              </w:rPr>
              <w:t xml:space="preserve"> se </w:t>
            </w:r>
            <w:proofErr w:type="spellStart"/>
            <w:r w:rsidRPr="00DF4CE5">
              <w:rPr>
                <w:rFonts w:ascii="Cambria" w:eastAsia="Times New Roman" w:hAnsi="Cambria" w:cs="Calibri"/>
                <w:lang w:val="it-IT"/>
              </w:rPr>
              <w:t>na</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portalu</w:t>
            </w:r>
            <w:proofErr w:type="spellEnd"/>
            <w:r w:rsidRPr="00DF4CE5">
              <w:rPr>
                <w:rFonts w:ascii="Cambria" w:eastAsia="Times New Roman" w:hAnsi="Cambria" w:cs="Calibri"/>
                <w:lang w:val="it-IT"/>
              </w:rPr>
              <w:t xml:space="preserve"> za </w:t>
            </w:r>
            <w:proofErr w:type="spellStart"/>
            <w:r w:rsidRPr="00DF4CE5">
              <w:rPr>
                <w:rFonts w:ascii="Cambria" w:eastAsia="Times New Roman" w:hAnsi="Cambria" w:cs="Calibri"/>
                <w:lang w:val="it-IT"/>
              </w:rPr>
              <w:t>udaljeno</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učenje</w:t>
            </w:r>
            <w:proofErr w:type="spellEnd"/>
            <w:r w:rsidRPr="00DF4CE5">
              <w:rPr>
                <w:rFonts w:ascii="Cambria" w:eastAsia="Times New Roman" w:hAnsi="Cambria" w:cs="Calibri"/>
                <w:lang w:val="it-IT"/>
              </w:rPr>
              <w:t xml:space="preserve"> (e-</w:t>
            </w:r>
            <w:proofErr w:type="spellStart"/>
            <w:r w:rsidRPr="00DF4CE5">
              <w:rPr>
                <w:rFonts w:ascii="Cambria" w:eastAsia="Times New Roman" w:hAnsi="Cambria" w:cs="Calibri"/>
                <w:lang w:val="it-IT"/>
              </w:rPr>
              <w:t>učenju</w:t>
            </w:r>
            <w:proofErr w:type="spellEnd"/>
            <w:r w:rsidRPr="00DF4CE5">
              <w:rPr>
                <w:rFonts w:ascii="Cambria" w:eastAsia="Times New Roman" w:hAnsi="Cambria" w:cs="Calibri"/>
                <w:lang w:val="it-IT"/>
              </w:rPr>
              <w:t>).</w:t>
            </w:r>
          </w:p>
          <w:p w14:paraId="2771EB1E" w14:textId="77777777" w:rsidR="001C42AA" w:rsidRPr="00DF4CE5" w:rsidRDefault="001C42AA" w:rsidP="001C42AA">
            <w:pPr>
              <w:spacing w:after="0" w:line="240" w:lineRule="auto"/>
              <w:rPr>
                <w:rFonts w:ascii="Cambria" w:eastAsia="Times New Roman" w:hAnsi="Cambria" w:cs="Calibri"/>
                <w:lang w:val="it-IT"/>
              </w:rPr>
            </w:pPr>
            <w:proofErr w:type="spellStart"/>
            <w:r w:rsidRPr="00DF4CE5">
              <w:rPr>
                <w:rFonts w:ascii="Cambria" w:eastAsia="Times New Roman" w:hAnsi="Cambria" w:cs="Calibri"/>
                <w:lang w:val="it-IT"/>
              </w:rPr>
              <w:t>Bodovi</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koje</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student</w:t>
            </w:r>
            <w:proofErr w:type="spellEnd"/>
            <w:r w:rsidRPr="00DF4CE5">
              <w:rPr>
                <w:rFonts w:ascii="Cambria" w:eastAsia="Times New Roman" w:hAnsi="Cambria" w:cs="Calibri"/>
                <w:lang w:val="it-IT"/>
              </w:rPr>
              <w:t>/</w:t>
            </w:r>
            <w:proofErr w:type="spellStart"/>
            <w:r w:rsidRPr="00DF4CE5">
              <w:rPr>
                <w:rFonts w:ascii="Cambria" w:eastAsia="Times New Roman" w:hAnsi="Cambria" w:cs="Calibri"/>
                <w:lang w:val="it-IT"/>
              </w:rPr>
              <w:t>studentica</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postigne</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izvršavanjem</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zadataka</w:t>
            </w:r>
            <w:proofErr w:type="spellEnd"/>
            <w:r w:rsidRPr="00DF4CE5">
              <w:rPr>
                <w:rFonts w:ascii="Cambria" w:eastAsia="Times New Roman" w:hAnsi="Cambria" w:cs="Calibri"/>
                <w:lang w:val="it-IT"/>
              </w:rPr>
              <w:t xml:space="preserve"> i </w:t>
            </w:r>
            <w:proofErr w:type="spellStart"/>
            <w:r w:rsidRPr="00DF4CE5">
              <w:rPr>
                <w:rFonts w:ascii="Cambria" w:eastAsia="Times New Roman" w:hAnsi="Cambria" w:cs="Calibri"/>
                <w:lang w:val="it-IT"/>
              </w:rPr>
              <w:t>položenim</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kolokvijima</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vrijede</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najduže</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godinu</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dana</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nakon</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odslušanog</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kolegija</w:t>
            </w:r>
            <w:proofErr w:type="spellEnd"/>
            <w:r w:rsidRPr="00DF4CE5">
              <w:rPr>
                <w:rFonts w:ascii="Cambria" w:eastAsia="Times New Roman" w:hAnsi="Cambria" w:cs="Calibri"/>
                <w:lang w:val="it-IT"/>
              </w:rPr>
              <w:t>.</w:t>
            </w:r>
          </w:p>
          <w:p w14:paraId="5855B770" w14:textId="77777777" w:rsidR="001C42AA" w:rsidRPr="00DF4CE5" w:rsidRDefault="001C42AA" w:rsidP="001C42AA">
            <w:pPr>
              <w:spacing w:after="0" w:line="240" w:lineRule="auto"/>
              <w:rPr>
                <w:rFonts w:ascii="Cambria" w:eastAsia="Times New Roman" w:hAnsi="Cambria" w:cs="Calibri"/>
              </w:rPr>
            </w:pPr>
            <w:r w:rsidRPr="00DF4CE5">
              <w:rPr>
                <w:rFonts w:ascii="Cambria" w:eastAsia="Times New Roman" w:hAnsi="Cambria" w:cs="Calibri"/>
                <w:lang w:val="it-IT"/>
              </w:rPr>
              <w:t xml:space="preserve">U </w:t>
            </w:r>
            <w:proofErr w:type="spellStart"/>
            <w:r w:rsidRPr="00DF4CE5">
              <w:rPr>
                <w:rFonts w:ascii="Cambria" w:eastAsia="Times New Roman" w:hAnsi="Cambria" w:cs="Calibri"/>
                <w:lang w:val="it-IT"/>
              </w:rPr>
              <w:t>slučaju</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održavanja</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nastave</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na</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daljinu</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moguće</w:t>
            </w:r>
            <w:proofErr w:type="spellEnd"/>
            <w:r w:rsidRPr="00DF4CE5">
              <w:rPr>
                <w:rFonts w:ascii="Cambria" w:eastAsia="Times New Roman" w:hAnsi="Cambria" w:cs="Calibri"/>
                <w:lang w:val="it-IT"/>
              </w:rPr>
              <w:t xml:space="preserve"> je </w:t>
            </w:r>
            <w:proofErr w:type="spellStart"/>
            <w:r w:rsidRPr="00DF4CE5">
              <w:rPr>
                <w:rFonts w:ascii="Cambria" w:eastAsia="Times New Roman" w:hAnsi="Cambria" w:cs="Calibri"/>
                <w:lang w:val="it-IT"/>
              </w:rPr>
              <w:t>odstupanje</w:t>
            </w:r>
            <w:proofErr w:type="spellEnd"/>
            <w:r w:rsidRPr="00DF4CE5">
              <w:rPr>
                <w:rFonts w:ascii="Cambria" w:eastAsia="Times New Roman" w:hAnsi="Cambria" w:cs="Calibri"/>
                <w:lang w:val="it-IT"/>
              </w:rPr>
              <w:t xml:space="preserve"> u: </w:t>
            </w:r>
            <w:proofErr w:type="spellStart"/>
            <w:r w:rsidRPr="00DF4CE5">
              <w:rPr>
                <w:rFonts w:ascii="Cambria" w:eastAsia="Times New Roman" w:hAnsi="Cambria" w:cs="Calibri"/>
                <w:lang w:val="it-IT"/>
              </w:rPr>
              <w:t>mjestu</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izvođenja</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kolegija</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provedbi</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aktivnosti</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metoda</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tumačenja</w:t>
            </w:r>
            <w:proofErr w:type="spellEnd"/>
            <w:r w:rsidRPr="00DF4CE5">
              <w:rPr>
                <w:rFonts w:ascii="Cambria" w:eastAsia="Times New Roman" w:hAnsi="Cambria" w:cs="Calibri"/>
                <w:lang w:val="it-IT"/>
              </w:rPr>
              <w:t xml:space="preserve"> i </w:t>
            </w:r>
            <w:proofErr w:type="spellStart"/>
            <w:r w:rsidRPr="00DF4CE5">
              <w:rPr>
                <w:rFonts w:ascii="Cambria" w:eastAsia="Times New Roman" w:hAnsi="Cambria" w:cs="Calibri"/>
                <w:lang w:val="it-IT"/>
              </w:rPr>
              <w:t>poučavanja</w:t>
            </w:r>
            <w:proofErr w:type="spellEnd"/>
            <w:r w:rsidRPr="00DF4CE5">
              <w:rPr>
                <w:rFonts w:ascii="Cambria" w:eastAsia="Times New Roman" w:hAnsi="Cambria" w:cs="Calibri"/>
                <w:lang w:val="it-IT"/>
              </w:rPr>
              <w:t xml:space="preserve"> i </w:t>
            </w:r>
            <w:proofErr w:type="spellStart"/>
            <w:r w:rsidRPr="00DF4CE5">
              <w:rPr>
                <w:rFonts w:ascii="Cambria" w:eastAsia="Times New Roman" w:hAnsi="Cambria" w:cs="Calibri"/>
                <w:lang w:val="it-IT"/>
              </w:rPr>
              <w:t>načinima</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vrednovanja</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studentskim</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obvezama</w:t>
            </w:r>
            <w:proofErr w:type="spellEnd"/>
            <w:r w:rsidRPr="00DF4CE5">
              <w:rPr>
                <w:rFonts w:ascii="Cambria" w:eastAsia="Times New Roman" w:hAnsi="Cambria" w:cs="Calibri"/>
                <w:lang w:val="it-IT"/>
              </w:rPr>
              <w:t xml:space="preserve"> i </w:t>
            </w:r>
            <w:proofErr w:type="spellStart"/>
            <w:r w:rsidRPr="00DF4CE5">
              <w:rPr>
                <w:rFonts w:ascii="Cambria" w:eastAsia="Times New Roman" w:hAnsi="Cambria" w:cs="Calibri"/>
                <w:lang w:val="it-IT"/>
              </w:rPr>
              <w:t>dostupnoj</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literaturi</w:t>
            </w:r>
            <w:proofErr w:type="spellEnd"/>
            <w:r w:rsidRPr="00DF4CE5">
              <w:rPr>
                <w:rFonts w:ascii="Cambria" w:eastAsia="Times New Roman" w:hAnsi="Cambria" w:cs="Calibri"/>
                <w:lang w:val="it-IT"/>
              </w:rPr>
              <w:t xml:space="preserve">. O tome </w:t>
            </w:r>
            <w:proofErr w:type="spellStart"/>
            <w:r w:rsidRPr="00DF4CE5">
              <w:rPr>
                <w:rFonts w:ascii="Cambria" w:eastAsia="Times New Roman" w:hAnsi="Cambria" w:cs="Calibri"/>
                <w:lang w:val="it-IT"/>
              </w:rPr>
              <w:t>će</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nositeljica</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kolegija</w:t>
            </w:r>
            <w:proofErr w:type="spellEnd"/>
            <w:r w:rsidRPr="00DF4CE5">
              <w:rPr>
                <w:rFonts w:ascii="Cambria" w:eastAsia="Times New Roman" w:hAnsi="Cambria" w:cs="Calibri"/>
                <w:lang w:val="it-IT"/>
              </w:rPr>
              <w:t xml:space="preserve"> i </w:t>
            </w:r>
            <w:proofErr w:type="spellStart"/>
            <w:r w:rsidRPr="00DF4CE5">
              <w:rPr>
                <w:rFonts w:ascii="Cambria" w:eastAsia="Times New Roman" w:hAnsi="Cambria" w:cs="Calibri"/>
                <w:lang w:val="it-IT"/>
              </w:rPr>
              <w:t>asistentica</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obavijestiti</w:t>
            </w:r>
            <w:proofErr w:type="spellEnd"/>
            <w:r w:rsidRPr="00DF4CE5">
              <w:rPr>
                <w:rFonts w:ascii="Cambria" w:eastAsia="Times New Roman" w:hAnsi="Cambria" w:cs="Calibri"/>
                <w:lang w:val="it-IT"/>
              </w:rPr>
              <w:t xml:space="preserve"> studente i </w:t>
            </w:r>
            <w:proofErr w:type="spellStart"/>
            <w:r w:rsidRPr="00DF4CE5">
              <w:rPr>
                <w:rFonts w:ascii="Cambria" w:eastAsia="Times New Roman" w:hAnsi="Cambria" w:cs="Calibri"/>
                <w:lang w:val="it-IT"/>
              </w:rPr>
              <w:t>studentice</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kad</w:t>
            </w:r>
            <w:proofErr w:type="spellEnd"/>
            <w:r w:rsidRPr="00DF4CE5">
              <w:rPr>
                <w:rFonts w:ascii="Cambria" w:eastAsia="Times New Roman" w:hAnsi="Cambria" w:cs="Calibri"/>
                <w:lang w:val="it-IT"/>
              </w:rPr>
              <w:t xml:space="preserve"> se </w:t>
            </w:r>
            <w:proofErr w:type="spellStart"/>
            <w:r w:rsidRPr="00DF4CE5">
              <w:rPr>
                <w:rFonts w:ascii="Cambria" w:eastAsia="Times New Roman" w:hAnsi="Cambria" w:cs="Calibri"/>
                <w:lang w:val="it-IT"/>
              </w:rPr>
              <w:t>nastava</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na</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daljinu</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počne</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održavati</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rPr>
              <w:t>Ishodi</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učenja</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ostaju</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nepromijenjeni</w:t>
            </w:r>
            <w:proofErr w:type="spellEnd"/>
            <w:r w:rsidRPr="00DF4CE5">
              <w:rPr>
                <w:rFonts w:ascii="Cambria" w:eastAsia="Times New Roman" w:hAnsi="Cambria" w:cs="Calibri"/>
              </w:rPr>
              <w:t>.</w:t>
            </w:r>
          </w:p>
        </w:tc>
      </w:tr>
      <w:tr w:rsidR="001C42AA" w:rsidRPr="00DF4CE5" w14:paraId="36FDE293" w14:textId="77777777" w:rsidTr="001C42AA">
        <w:trPr>
          <w:trHeight w:val="770"/>
        </w:trPr>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7B1B1B6" w14:textId="77777777" w:rsidR="001C42AA" w:rsidRPr="00DF4CE5" w:rsidRDefault="001C42AA" w:rsidP="001C42AA">
            <w:pPr>
              <w:spacing w:after="0" w:line="240" w:lineRule="auto"/>
              <w:rPr>
                <w:rFonts w:ascii="Cambria" w:eastAsia="Times New Roman" w:hAnsi="Cambria" w:cs="Calibri"/>
              </w:rPr>
            </w:pPr>
            <w:proofErr w:type="spellStart"/>
            <w:r w:rsidRPr="00DF4CE5">
              <w:rPr>
                <w:rFonts w:ascii="Cambria" w:eastAsia="Times New Roman" w:hAnsi="Cambria" w:cs="Calibri"/>
              </w:rPr>
              <w:t>Literatura</w:t>
            </w:r>
            <w:proofErr w:type="spellEnd"/>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46FB398E" w14:textId="77777777" w:rsidR="001C42AA" w:rsidRPr="00DF4CE5" w:rsidRDefault="001C42AA" w:rsidP="001C42AA">
            <w:pPr>
              <w:spacing w:after="0" w:line="240" w:lineRule="auto"/>
              <w:rPr>
                <w:rFonts w:ascii="Cambria" w:eastAsia="Times New Roman" w:hAnsi="Cambria" w:cs="Calibri"/>
              </w:rPr>
            </w:pPr>
            <w:proofErr w:type="spellStart"/>
            <w:r w:rsidRPr="00DF4CE5">
              <w:rPr>
                <w:rFonts w:ascii="Cambria" w:eastAsia="Times New Roman" w:hAnsi="Cambria" w:cs="Calibri"/>
              </w:rPr>
              <w:t>Obvezna</w:t>
            </w:r>
            <w:proofErr w:type="spellEnd"/>
            <w:r w:rsidRPr="00DF4CE5">
              <w:rPr>
                <w:rFonts w:ascii="Cambria" w:eastAsia="Times New Roman" w:hAnsi="Cambria" w:cs="Calibri"/>
              </w:rPr>
              <w:t xml:space="preserve">: </w:t>
            </w:r>
          </w:p>
          <w:p w14:paraId="2EDBDD65" w14:textId="77777777" w:rsidR="001C42AA" w:rsidRPr="00DF4CE5" w:rsidRDefault="001C42AA" w:rsidP="001C42AA">
            <w:pPr>
              <w:autoSpaceDE w:val="0"/>
              <w:autoSpaceDN w:val="0"/>
              <w:adjustRightInd w:val="0"/>
              <w:spacing w:after="0" w:line="240" w:lineRule="auto"/>
              <w:rPr>
                <w:rFonts w:ascii="Cambria" w:eastAsia="Calibri" w:hAnsi="Cambria" w:cs="Calibri"/>
                <w:lang w:eastAsia="hr-HR"/>
              </w:rPr>
            </w:pPr>
            <w:r w:rsidRPr="00DF4CE5">
              <w:rPr>
                <w:rFonts w:ascii="Cambria" w:eastAsia="Calibri" w:hAnsi="Cambria" w:cs="Calibri"/>
                <w:lang w:eastAsia="hr-HR"/>
              </w:rPr>
              <w:t xml:space="preserve">1. Hrvatski </w:t>
            </w:r>
            <w:proofErr w:type="spellStart"/>
            <w:r w:rsidRPr="00DF4CE5">
              <w:rPr>
                <w:rFonts w:ascii="Cambria" w:eastAsia="Calibri" w:hAnsi="Cambria" w:cs="Calibri"/>
                <w:lang w:eastAsia="hr-HR"/>
              </w:rPr>
              <w:t>pravopis</w:t>
            </w:r>
            <w:proofErr w:type="spellEnd"/>
            <w:r w:rsidRPr="00DF4CE5">
              <w:rPr>
                <w:rFonts w:ascii="Cambria" w:eastAsia="Calibri" w:hAnsi="Cambria" w:cs="Calibri"/>
                <w:lang w:eastAsia="hr-HR"/>
              </w:rPr>
              <w:t xml:space="preserve">, </w:t>
            </w:r>
            <w:proofErr w:type="spellStart"/>
            <w:r w:rsidRPr="00DF4CE5">
              <w:rPr>
                <w:rFonts w:ascii="Cambria" w:eastAsia="Calibri" w:hAnsi="Cambria" w:cs="Calibri"/>
                <w:lang w:eastAsia="hr-HR"/>
              </w:rPr>
              <w:t>Institut</w:t>
            </w:r>
            <w:proofErr w:type="spellEnd"/>
            <w:r w:rsidRPr="00DF4CE5">
              <w:rPr>
                <w:rFonts w:ascii="Cambria" w:eastAsia="Calibri" w:hAnsi="Cambria" w:cs="Calibri"/>
                <w:lang w:eastAsia="hr-HR"/>
              </w:rPr>
              <w:t xml:space="preserve"> za </w:t>
            </w:r>
            <w:proofErr w:type="spellStart"/>
            <w:r w:rsidRPr="00DF4CE5">
              <w:rPr>
                <w:rFonts w:ascii="Cambria" w:eastAsia="Calibri" w:hAnsi="Cambria" w:cs="Calibri"/>
                <w:lang w:eastAsia="hr-HR"/>
              </w:rPr>
              <w:t>hrvatski</w:t>
            </w:r>
            <w:proofErr w:type="spellEnd"/>
            <w:r w:rsidRPr="00DF4CE5">
              <w:rPr>
                <w:rFonts w:ascii="Cambria" w:eastAsia="Calibri" w:hAnsi="Cambria" w:cs="Calibri"/>
                <w:lang w:eastAsia="hr-HR"/>
              </w:rPr>
              <w:t xml:space="preserve"> </w:t>
            </w:r>
            <w:proofErr w:type="spellStart"/>
            <w:r w:rsidRPr="00DF4CE5">
              <w:rPr>
                <w:rFonts w:ascii="Cambria" w:eastAsia="Calibri" w:hAnsi="Cambria" w:cs="Calibri"/>
                <w:lang w:eastAsia="hr-HR"/>
              </w:rPr>
              <w:t>jezik</w:t>
            </w:r>
            <w:proofErr w:type="spellEnd"/>
            <w:r w:rsidRPr="00DF4CE5">
              <w:rPr>
                <w:rFonts w:ascii="Cambria" w:eastAsia="Calibri" w:hAnsi="Cambria" w:cs="Calibri"/>
                <w:lang w:eastAsia="hr-HR"/>
              </w:rPr>
              <w:t xml:space="preserve"> </w:t>
            </w:r>
            <w:proofErr w:type="spellStart"/>
            <w:r w:rsidRPr="00DF4CE5">
              <w:rPr>
                <w:rFonts w:ascii="Cambria" w:eastAsia="Calibri" w:hAnsi="Cambria" w:cs="Calibri"/>
                <w:lang w:eastAsia="hr-HR"/>
              </w:rPr>
              <w:t>i</w:t>
            </w:r>
            <w:proofErr w:type="spellEnd"/>
            <w:r w:rsidRPr="00DF4CE5">
              <w:rPr>
                <w:rFonts w:ascii="Cambria" w:eastAsia="Calibri" w:hAnsi="Cambria" w:cs="Calibri"/>
                <w:lang w:eastAsia="hr-HR"/>
              </w:rPr>
              <w:t xml:space="preserve"> </w:t>
            </w:r>
            <w:proofErr w:type="spellStart"/>
            <w:r w:rsidRPr="00DF4CE5">
              <w:rPr>
                <w:rFonts w:ascii="Cambria" w:eastAsia="Calibri" w:hAnsi="Cambria" w:cs="Calibri"/>
                <w:lang w:eastAsia="hr-HR"/>
              </w:rPr>
              <w:t>jezikoslovlje</w:t>
            </w:r>
            <w:proofErr w:type="spellEnd"/>
            <w:r w:rsidRPr="00DF4CE5">
              <w:rPr>
                <w:rFonts w:ascii="Cambria" w:eastAsia="Calibri" w:hAnsi="Cambria" w:cs="Calibri"/>
                <w:lang w:eastAsia="hr-HR"/>
              </w:rPr>
              <w:t>, Zagreb, 2013.</w:t>
            </w:r>
          </w:p>
          <w:p w14:paraId="43C9393E" w14:textId="77777777" w:rsidR="001C42AA" w:rsidRPr="00DF4CE5" w:rsidRDefault="001C42AA" w:rsidP="001C42AA">
            <w:pPr>
              <w:autoSpaceDE w:val="0"/>
              <w:autoSpaceDN w:val="0"/>
              <w:adjustRightInd w:val="0"/>
              <w:spacing w:after="0" w:line="240" w:lineRule="auto"/>
              <w:rPr>
                <w:rFonts w:ascii="Cambria" w:eastAsia="Calibri" w:hAnsi="Cambria" w:cs="Calibri"/>
                <w:lang w:eastAsia="hr-HR"/>
              </w:rPr>
            </w:pPr>
            <w:r w:rsidRPr="00DF4CE5">
              <w:rPr>
                <w:rFonts w:ascii="Cambria" w:eastAsia="Calibri" w:hAnsi="Cambria" w:cs="Calibri"/>
                <w:lang w:eastAsia="hr-HR"/>
              </w:rPr>
              <w:t>2. E. Bari</w:t>
            </w:r>
            <w:r w:rsidRPr="00DF4CE5">
              <w:rPr>
                <w:rFonts w:ascii="Cambria" w:eastAsia="TimesNewRoman" w:hAnsi="Cambria" w:cs="Calibri"/>
                <w:lang w:eastAsia="hr-HR"/>
              </w:rPr>
              <w:t xml:space="preserve">ć </w:t>
            </w:r>
            <w:proofErr w:type="spellStart"/>
            <w:r w:rsidRPr="00DF4CE5">
              <w:rPr>
                <w:rFonts w:ascii="Cambria" w:eastAsia="Calibri" w:hAnsi="Cambria" w:cs="Calibri"/>
                <w:lang w:eastAsia="hr-HR"/>
              </w:rPr>
              <w:t>i</w:t>
            </w:r>
            <w:proofErr w:type="spellEnd"/>
            <w:r w:rsidRPr="00DF4CE5">
              <w:rPr>
                <w:rFonts w:ascii="Cambria" w:eastAsia="Calibri" w:hAnsi="Cambria" w:cs="Calibri"/>
                <w:lang w:eastAsia="hr-HR"/>
              </w:rPr>
              <w:t xml:space="preserve"> dr.: </w:t>
            </w:r>
            <w:r w:rsidRPr="00DF4CE5">
              <w:rPr>
                <w:rFonts w:ascii="Cambria" w:eastAsia="Calibri" w:hAnsi="Cambria" w:cs="Calibri"/>
                <w:iCs/>
                <w:lang w:eastAsia="hr-HR"/>
              </w:rPr>
              <w:t xml:space="preserve">Hrvatska </w:t>
            </w:r>
            <w:proofErr w:type="spellStart"/>
            <w:r w:rsidRPr="00DF4CE5">
              <w:rPr>
                <w:rFonts w:ascii="Cambria" w:eastAsia="Calibri" w:hAnsi="Cambria" w:cs="Calibri"/>
                <w:iCs/>
                <w:lang w:eastAsia="hr-HR"/>
              </w:rPr>
              <w:t>gramatika</w:t>
            </w:r>
            <w:proofErr w:type="spellEnd"/>
            <w:r w:rsidRPr="00DF4CE5">
              <w:rPr>
                <w:rFonts w:ascii="Cambria" w:eastAsia="Calibri" w:hAnsi="Cambria" w:cs="Calibri"/>
                <w:lang w:eastAsia="hr-HR"/>
              </w:rPr>
              <w:t>, ŠK, Zagreb, 1997.</w:t>
            </w:r>
            <w:r w:rsidRPr="00DF4CE5">
              <w:rPr>
                <w:rFonts w:ascii="Cambria" w:eastAsia="Times New Roman" w:hAnsi="Cambria" w:cs="Calibri"/>
                <w:lang w:eastAsia="hr-HR"/>
              </w:rPr>
              <w:t xml:space="preserve"> (str. 39-93)</w:t>
            </w:r>
          </w:p>
          <w:p w14:paraId="0A8DB697" w14:textId="58E6A1B0" w:rsidR="001C42AA" w:rsidRPr="00DF4CE5" w:rsidRDefault="001C42AA" w:rsidP="00D259BD">
            <w:pPr>
              <w:autoSpaceDE w:val="0"/>
              <w:autoSpaceDN w:val="0"/>
              <w:adjustRightInd w:val="0"/>
              <w:spacing w:after="0" w:line="240" w:lineRule="auto"/>
              <w:rPr>
                <w:rFonts w:ascii="Cambria" w:eastAsia="Times New Roman" w:hAnsi="Cambria" w:cs="Calibri"/>
                <w:lang w:eastAsia="hr-HR"/>
              </w:rPr>
            </w:pPr>
            <w:r w:rsidRPr="00DF4CE5">
              <w:rPr>
                <w:rFonts w:ascii="Cambria" w:eastAsia="Calibri" w:hAnsi="Cambria" w:cs="Calibri"/>
                <w:lang w:eastAsia="hr-HR"/>
              </w:rPr>
              <w:t xml:space="preserve">3. J. </w:t>
            </w:r>
            <w:proofErr w:type="spellStart"/>
            <w:r w:rsidRPr="00DF4CE5">
              <w:rPr>
                <w:rFonts w:ascii="Cambria" w:eastAsia="Calibri" w:hAnsi="Cambria" w:cs="Calibri"/>
                <w:lang w:eastAsia="hr-HR"/>
              </w:rPr>
              <w:t>Sili</w:t>
            </w:r>
            <w:r w:rsidRPr="00DF4CE5">
              <w:rPr>
                <w:rFonts w:ascii="Cambria" w:eastAsia="TimesNewRoman" w:hAnsi="Cambria" w:cs="Calibri"/>
                <w:lang w:eastAsia="hr-HR"/>
              </w:rPr>
              <w:t>ć</w:t>
            </w:r>
            <w:proofErr w:type="spellEnd"/>
            <w:r w:rsidRPr="00DF4CE5">
              <w:rPr>
                <w:rFonts w:ascii="Cambria" w:eastAsia="Calibri" w:hAnsi="Cambria" w:cs="Calibri"/>
                <w:lang w:eastAsia="hr-HR"/>
              </w:rPr>
              <w:t xml:space="preserve">, I. </w:t>
            </w:r>
            <w:proofErr w:type="spellStart"/>
            <w:r w:rsidRPr="00DF4CE5">
              <w:rPr>
                <w:rFonts w:ascii="Cambria" w:eastAsia="Calibri" w:hAnsi="Cambria" w:cs="Calibri"/>
                <w:lang w:eastAsia="hr-HR"/>
              </w:rPr>
              <w:t>Pranjkovi</w:t>
            </w:r>
            <w:r w:rsidRPr="00DF4CE5">
              <w:rPr>
                <w:rFonts w:ascii="Cambria" w:eastAsia="TimesNewRoman" w:hAnsi="Cambria" w:cs="Calibri"/>
                <w:lang w:eastAsia="hr-HR"/>
              </w:rPr>
              <w:t>ć</w:t>
            </w:r>
            <w:proofErr w:type="spellEnd"/>
            <w:r w:rsidRPr="00DF4CE5">
              <w:rPr>
                <w:rFonts w:ascii="Cambria" w:eastAsia="Calibri" w:hAnsi="Cambria" w:cs="Calibri"/>
                <w:lang w:eastAsia="hr-HR"/>
              </w:rPr>
              <w:t xml:space="preserve">: </w:t>
            </w:r>
            <w:r w:rsidRPr="00DF4CE5">
              <w:rPr>
                <w:rFonts w:ascii="Cambria" w:eastAsia="Calibri" w:hAnsi="Cambria" w:cs="Calibri"/>
                <w:iCs/>
                <w:lang w:eastAsia="hr-HR"/>
              </w:rPr>
              <w:t xml:space="preserve">Gramatika </w:t>
            </w:r>
            <w:proofErr w:type="spellStart"/>
            <w:r w:rsidRPr="00DF4CE5">
              <w:rPr>
                <w:rFonts w:ascii="Cambria" w:eastAsia="Calibri" w:hAnsi="Cambria" w:cs="Calibri"/>
                <w:iCs/>
                <w:lang w:eastAsia="hr-HR"/>
              </w:rPr>
              <w:t>hrvatskoga</w:t>
            </w:r>
            <w:proofErr w:type="spellEnd"/>
            <w:r w:rsidRPr="00DF4CE5">
              <w:rPr>
                <w:rFonts w:ascii="Cambria" w:eastAsia="Calibri" w:hAnsi="Cambria" w:cs="Calibri"/>
                <w:iCs/>
                <w:lang w:eastAsia="hr-HR"/>
              </w:rPr>
              <w:t xml:space="preserve"> </w:t>
            </w:r>
            <w:proofErr w:type="spellStart"/>
            <w:r w:rsidRPr="00DF4CE5">
              <w:rPr>
                <w:rFonts w:ascii="Cambria" w:eastAsia="Calibri" w:hAnsi="Cambria" w:cs="Calibri"/>
                <w:iCs/>
                <w:lang w:eastAsia="hr-HR"/>
              </w:rPr>
              <w:t>jezika</w:t>
            </w:r>
            <w:proofErr w:type="spellEnd"/>
            <w:r w:rsidRPr="00DF4CE5">
              <w:rPr>
                <w:rFonts w:ascii="Cambria" w:eastAsia="Calibri" w:hAnsi="Cambria" w:cs="Calibri"/>
                <w:lang w:eastAsia="hr-HR"/>
              </w:rPr>
              <w:t xml:space="preserve">, </w:t>
            </w:r>
            <w:proofErr w:type="spellStart"/>
            <w:r w:rsidRPr="00DF4CE5">
              <w:rPr>
                <w:rFonts w:ascii="Cambria" w:eastAsia="Calibri" w:hAnsi="Cambria" w:cs="Calibri"/>
                <w:lang w:eastAsia="hr-HR"/>
              </w:rPr>
              <w:t>Školska</w:t>
            </w:r>
            <w:proofErr w:type="spellEnd"/>
            <w:r w:rsidRPr="00DF4CE5">
              <w:rPr>
                <w:rFonts w:ascii="Cambria" w:eastAsia="Calibri" w:hAnsi="Cambria" w:cs="Calibri"/>
                <w:lang w:eastAsia="hr-HR"/>
              </w:rPr>
              <w:t xml:space="preserve"> </w:t>
            </w:r>
            <w:proofErr w:type="spellStart"/>
            <w:r w:rsidRPr="00DF4CE5">
              <w:rPr>
                <w:rFonts w:ascii="Cambria" w:eastAsia="Calibri" w:hAnsi="Cambria" w:cs="Calibri"/>
                <w:lang w:eastAsia="hr-HR"/>
              </w:rPr>
              <w:t>knjiga</w:t>
            </w:r>
            <w:proofErr w:type="spellEnd"/>
            <w:r w:rsidRPr="00DF4CE5">
              <w:rPr>
                <w:rFonts w:ascii="Cambria" w:eastAsia="Calibri" w:hAnsi="Cambria" w:cs="Calibri"/>
                <w:lang w:eastAsia="hr-HR"/>
              </w:rPr>
              <w:t>, Zagreb, 2005.</w:t>
            </w:r>
            <w:r w:rsidRPr="00DF4CE5">
              <w:rPr>
                <w:rFonts w:ascii="Cambria" w:eastAsia="Times New Roman" w:hAnsi="Cambria" w:cs="Calibri"/>
                <w:lang w:eastAsia="hr-HR"/>
              </w:rPr>
              <w:t xml:space="preserve"> (str. 11-33)</w:t>
            </w:r>
          </w:p>
          <w:p w14:paraId="79A27600" w14:textId="77777777" w:rsidR="001C42AA" w:rsidRPr="00DF4CE5" w:rsidRDefault="001C42AA" w:rsidP="001C42AA">
            <w:pPr>
              <w:spacing w:after="0" w:line="240" w:lineRule="auto"/>
              <w:rPr>
                <w:rFonts w:ascii="Cambria" w:eastAsia="Times New Roman" w:hAnsi="Cambria" w:cs="Calibri"/>
              </w:rPr>
            </w:pPr>
            <w:proofErr w:type="spellStart"/>
            <w:r w:rsidRPr="00DF4CE5">
              <w:rPr>
                <w:rFonts w:ascii="Cambria" w:eastAsia="Times New Roman" w:hAnsi="Cambria" w:cs="Calibri"/>
              </w:rPr>
              <w:t>Izborna</w:t>
            </w:r>
            <w:proofErr w:type="spellEnd"/>
            <w:r w:rsidRPr="00DF4CE5">
              <w:rPr>
                <w:rFonts w:ascii="Cambria" w:eastAsia="Times New Roman" w:hAnsi="Cambria" w:cs="Calibri"/>
              </w:rPr>
              <w:t>:</w:t>
            </w:r>
          </w:p>
          <w:p w14:paraId="6895D236" w14:textId="77777777" w:rsidR="001C42AA" w:rsidRPr="00DF4CE5" w:rsidRDefault="001C42AA" w:rsidP="001C42AA">
            <w:pPr>
              <w:spacing w:after="0" w:line="240" w:lineRule="auto"/>
              <w:rPr>
                <w:rFonts w:ascii="Cambria" w:eastAsia="Calibri" w:hAnsi="Cambria" w:cs="Calibri"/>
                <w:lang w:eastAsia="hr-HR"/>
              </w:rPr>
            </w:pPr>
            <w:r w:rsidRPr="00DF4CE5">
              <w:rPr>
                <w:rFonts w:ascii="Cambria" w:eastAsia="Calibri" w:hAnsi="Cambria" w:cs="Calibri"/>
                <w:lang w:eastAsia="hr-HR"/>
              </w:rPr>
              <w:t xml:space="preserve">1. V. Anić: </w:t>
            </w:r>
            <w:proofErr w:type="spellStart"/>
            <w:r w:rsidRPr="00DF4CE5">
              <w:rPr>
                <w:rFonts w:ascii="Cambria" w:eastAsia="Calibri" w:hAnsi="Cambria" w:cs="Calibri"/>
                <w:lang w:eastAsia="hr-HR"/>
              </w:rPr>
              <w:t>Veliki</w:t>
            </w:r>
            <w:proofErr w:type="spellEnd"/>
            <w:r w:rsidRPr="00DF4CE5">
              <w:rPr>
                <w:rFonts w:ascii="Cambria" w:eastAsia="Calibri" w:hAnsi="Cambria" w:cs="Calibri"/>
                <w:lang w:eastAsia="hr-HR"/>
              </w:rPr>
              <w:t xml:space="preserve"> </w:t>
            </w:r>
            <w:proofErr w:type="spellStart"/>
            <w:r w:rsidRPr="00DF4CE5">
              <w:rPr>
                <w:rFonts w:ascii="Cambria" w:eastAsia="Calibri" w:hAnsi="Cambria" w:cs="Calibri"/>
                <w:lang w:eastAsia="hr-HR"/>
              </w:rPr>
              <w:t>rječnik</w:t>
            </w:r>
            <w:proofErr w:type="spellEnd"/>
            <w:r w:rsidRPr="00DF4CE5">
              <w:rPr>
                <w:rFonts w:ascii="Cambria" w:eastAsia="Calibri" w:hAnsi="Cambria" w:cs="Calibri"/>
                <w:lang w:eastAsia="hr-HR"/>
              </w:rPr>
              <w:t xml:space="preserve"> </w:t>
            </w:r>
            <w:proofErr w:type="spellStart"/>
            <w:r w:rsidRPr="00DF4CE5">
              <w:rPr>
                <w:rFonts w:ascii="Cambria" w:eastAsia="Calibri" w:hAnsi="Cambria" w:cs="Calibri"/>
                <w:lang w:eastAsia="hr-HR"/>
              </w:rPr>
              <w:t>hrvatskoga</w:t>
            </w:r>
            <w:proofErr w:type="spellEnd"/>
            <w:r w:rsidRPr="00DF4CE5">
              <w:rPr>
                <w:rFonts w:ascii="Cambria" w:eastAsia="Calibri" w:hAnsi="Cambria" w:cs="Calibri"/>
                <w:lang w:eastAsia="hr-HR"/>
              </w:rPr>
              <w:t xml:space="preserve"> </w:t>
            </w:r>
            <w:proofErr w:type="spellStart"/>
            <w:r w:rsidRPr="00DF4CE5">
              <w:rPr>
                <w:rFonts w:ascii="Cambria" w:eastAsia="Calibri" w:hAnsi="Cambria" w:cs="Calibri"/>
                <w:lang w:eastAsia="hr-HR"/>
              </w:rPr>
              <w:t>jezika</w:t>
            </w:r>
            <w:proofErr w:type="spellEnd"/>
            <w:r w:rsidRPr="00DF4CE5">
              <w:rPr>
                <w:rFonts w:ascii="Cambria" w:eastAsia="Calibri" w:hAnsi="Cambria" w:cs="Calibri"/>
                <w:lang w:eastAsia="hr-HR"/>
              </w:rPr>
              <w:t>, NL, Zagreb, 2003.</w:t>
            </w:r>
          </w:p>
          <w:p w14:paraId="56AE5754" w14:textId="77777777" w:rsidR="001C42AA" w:rsidRPr="00DF4CE5" w:rsidRDefault="001C42AA" w:rsidP="001C42AA">
            <w:pPr>
              <w:spacing w:after="0" w:line="240" w:lineRule="auto"/>
              <w:rPr>
                <w:rFonts w:ascii="Cambria" w:eastAsia="Calibri" w:hAnsi="Cambria" w:cs="Calibri"/>
                <w:lang w:eastAsia="hr-HR"/>
              </w:rPr>
            </w:pPr>
            <w:r w:rsidRPr="00DF4CE5">
              <w:rPr>
                <w:rFonts w:ascii="Cambria" w:eastAsia="Calibri" w:hAnsi="Cambria" w:cs="Calibri"/>
                <w:lang w:eastAsia="hr-HR"/>
              </w:rPr>
              <w:t xml:space="preserve">2. S. Babić, B. Finka, M. </w:t>
            </w:r>
            <w:proofErr w:type="spellStart"/>
            <w:r w:rsidRPr="00DF4CE5">
              <w:rPr>
                <w:rFonts w:ascii="Cambria" w:eastAsia="Calibri" w:hAnsi="Cambria" w:cs="Calibri"/>
                <w:lang w:eastAsia="hr-HR"/>
              </w:rPr>
              <w:t>Moguš</w:t>
            </w:r>
            <w:proofErr w:type="spellEnd"/>
            <w:r w:rsidRPr="00DF4CE5">
              <w:rPr>
                <w:rFonts w:ascii="Cambria" w:eastAsia="Calibri" w:hAnsi="Cambria" w:cs="Calibri"/>
                <w:lang w:eastAsia="hr-HR"/>
              </w:rPr>
              <w:t xml:space="preserve">: Hrvatski </w:t>
            </w:r>
            <w:proofErr w:type="spellStart"/>
            <w:r w:rsidRPr="00DF4CE5">
              <w:rPr>
                <w:rFonts w:ascii="Cambria" w:eastAsia="Calibri" w:hAnsi="Cambria" w:cs="Calibri"/>
                <w:lang w:eastAsia="hr-HR"/>
              </w:rPr>
              <w:t>pravopis</w:t>
            </w:r>
            <w:proofErr w:type="spellEnd"/>
            <w:r w:rsidRPr="00DF4CE5">
              <w:rPr>
                <w:rFonts w:ascii="Cambria" w:eastAsia="Calibri" w:hAnsi="Cambria" w:cs="Calibri"/>
                <w:lang w:eastAsia="hr-HR"/>
              </w:rPr>
              <w:t>, ŠK, Zagreb, 1996. (</w:t>
            </w:r>
            <w:proofErr w:type="spellStart"/>
            <w:proofErr w:type="gramStart"/>
            <w:r w:rsidRPr="00DF4CE5">
              <w:rPr>
                <w:rFonts w:ascii="Cambria" w:eastAsia="Calibri" w:hAnsi="Cambria" w:cs="Calibri"/>
                <w:lang w:eastAsia="hr-HR"/>
              </w:rPr>
              <w:t>ili</w:t>
            </w:r>
            <w:proofErr w:type="spellEnd"/>
            <w:r w:rsidRPr="00DF4CE5">
              <w:rPr>
                <w:rFonts w:ascii="Cambria" w:eastAsia="Calibri" w:hAnsi="Cambria" w:cs="Calibri"/>
                <w:lang w:eastAsia="hr-HR"/>
              </w:rPr>
              <w:t xml:space="preserve">  </w:t>
            </w:r>
            <w:proofErr w:type="spellStart"/>
            <w:r w:rsidRPr="00DF4CE5">
              <w:rPr>
                <w:rFonts w:ascii="Cambria" w:eastAsia="Calibri" w:hAnsi="Cambria" w:cs="Calibri"/>
                <w:lang w:eastAsia="hr-HR"/>
              </w:rPr>
              <w:t>novija</w:t>
            </w:r>
            <w:proofErr w:type="spellEnd"/>
            <w:proofErr w:type="gramEnd"/>
            <w:r w:rsidRPr="00DF4CE5">
              <w:rPr>
                <w:rFonts w:ascii="Cambria" w:eastAsia="Calibri" w:hAnsi="Cambria" w:cs="Calibri"/>
                <w:lang w:eastAsia="hr-HR"/>
              </w:rPr>
              <w:t xml:space="preserve"> </w:t>
            </w:r>
            <w:proofErr w:type="spellStart"/>
            <w:r w:rsidRPr="00DF4CE5">
              <w:rPr>
                <w:rFonts w:ascii="Cambria" w:eastAsia="Calibri" w:hAnsi="Cambria" w:cs="Calibri"/>
                <w:lang w:eastAsia="hr-HR"/>
              </w:rPr>
              <w:t>izdanja</w:t>
            </w:r>
            <w:proofErr w:type="spellEnd"/>
            <w:r w:rsidRPr="00DF4CE5">
              <w:rPr>
                <w:rFonts w:ascii="Cambria" w:eastAsia="Calibri" w:hAnsi="Cambria" w:cs="Calibri"/>
                <w:lang w:eastAsia="hr-HR"/>
              </w:rPr>
              <w:t>)</w:t>
            </w:r>
          </w:p>
          <w:p w14:paraId="79591910" w14:textId="77777777" w:rsidR="001C42AA" w:rsidRPr="00DF4CE5" w:rsidRDefault="001C42AA" w:rsidP="001C42AA">
            <w:pPr>
              <w:spacing w:after="0" w:line="240" w:lineRule="auto"/>
              <w:rPr>
                <w:rFonts w:ascii="Cambria" w:eastAsia="Calibri" w:hAnsi="Cambria" w:cs="Calibri"/>
                <w:lang w:eastAsia="hr-HR"/>
              </w:rPr>
            </w:pPr>
            <w:r w:rsidRPr="00DF4CE5">
              <w:rPr>
                <w:rFonts w:ascii="Cambria" w:eastAsia="Calibri" w:hAnsi="Cambria" w:cs="Calibri"/>
                <w:lang w:eastAsia="hr-HR"/>
              </w:rPr>
              <w:t xml:space="preserve">3. E. Barić </w:t>
            </w:r>
            <w:proofErr w:type="spellStart"/>
            <w:r w:rsidRPr="00DF4CE5">
              <w:rPr>
                <w:rFonts w:ascii="Cambria" w:eastAsia="Calibri" w:hAnsi="Cambria" w:cs="Calibri"/>
                <w:lang w:eastAsia="hr-HR"/>
              </w:rPr>
              <w:t>i</w:t>
            </w:r>
            <w:proofErr w:type="spellEnd"/>
            <w:r w:rsidRPr="00DF4CE5">
              <w:rPr>
                <w:rFonts w:ascii="Cambria" w:eastAsia="Calibri" w:hAnsi="Cambria" w:cs="Calibri"/>
                <w:lang w:eastAsia="hr-HR"/>
              </w:rPr>
              <w:t xml:space="preserve"> dr.: Hrvatski </w:t>
            </w:r>
            <w:proofErr w:type="spellStart"/>
            <w:r w:rsidRPr="00DF4CE5">
              <w:rPr>
                <w:rFonts w:ascii="Cambria" w:eastAsia="Calibri" w:hAnsi="Cambria" w:cs="Calibri"/>
                <w:lang w:eastAsia="hr-HR"/>
              </w:rPr>
              <w:t>jezični</w:t>
            </w:r>
            <w:proofErr w:type="spellEnd"/>
            <w:r w:rsidRPr="00DF4CE5">
              <w:rPr>
                <w:rFonts w:ascii="Cambria" w:eastAsia="Calibri" w:hAnsi="Cambria" w:cs="Calibri"/>
                <w:lang w:eastAsia="hr-HR"/>
              </w:rPr>
              <w:t xml:space="preserve"> </w:t>
            </w:r>
            <w:proofErr w:type="spellStart"/>
            <w:r w:rsidRPr="00DF4CE5">
              <w:rPr>
                <w:rFonts w:ascii="Cambria" w:eastAsia="Calibri" w:hAnsi="Cambria" w:cs="Calibri"/>
                <w:lang w:eastAsia="hr-HR"/>
              </w:rPr>
              <w:t>savjetnik</w:t>
            </w:r>
            <w:proofErr w:type="spellEnd"/>
            <w:r w:rsidRPr="00DF4CE5">
              <w:rPr>
                <w:rFonts w:ascii="Cambria" w:eastAsia="Calibri" w:hAnsi="Cambria" w:cs="Calibri"/>
                <w:lang w:eastAsia="hr-HR"/>
              </w:rPr>
              <w:t xml:space="preserve">, </w:t>
            </w:r>
            <w:proofErr w:type="spellStart"/>
            <w:r w:rsidRPr="00DF4CE5">
              <w:rPr>
                <w:rFonts w:ascii="Cambria" w:eastAsia="Calibri" w:hAnsi="Cambria" w:cs="Calibri"/>
                <w:lang w:eastAsia="hr-HR"/>
              </w:rPr>
              <w:t>Institut</w:t>
            </w:r>
            <w:proofErr w:type="spellEnd"/>
            <w:r w:rsidRPr="00DF4CE5">
              <w:rPr>
                <w:rFonts w:ascii="Cambria" w:eastAsia="Calibri" w:hAnsi="Cambria" w:cs="Calibri"/>
                <w:lang w:eastAsia="hr-HR"/>
              </w:rPr>
              <w:t xml:space="preserve"> za </w:t>
            </w:r>
            <w:proofErr w:type="spellStart"/>
            <w:r w:rsidRPr="00DF4CE5">
              <w:rPr>
                <w:rFonts w:ascii="Cambria" w:eastAsia="Calibri" w:hAnsi="Cambria" w:cs="Calibri"/>
                <w:lang w:eastAsia="hr-HR"/>
              </w:rPr>
              <w:t>hrvatski</w:t>
            </w:r>
            <w:proofErr w:type="spellEnd"/>
            <w:r w:rsidRPr="00DF4CE5">
              <w:rPr>
                <w:rFonts w:ascii="Cambria" w:eastAsia="Calibri" w:hAnsi="Cambria" w:cs="Calibri"/>
                <w:lang w:eastAsia="hr-HR"/>
              </w:rPr>
              <w:t xml:space="preserve"> </w:t>
            </w:r>
            <w:proofErr w:type="spellStart"/>
            <w:r w:rsidRPr="00DF4CE5">
              <w:rPr>
                <w:rFonts w:ascii="Cambria" w:eastAsia="Calibri" w:hAnsi="Cambria" w:cs="Calibri"/>
                <w:lang w:eastAsia="hr-HR"/>
              </w:rPr>
              <w:t>jezik</w:t>
            </w:r>
            <w:proofErr w:type="spellEnd"/>
            <w:r w:rsidRPr="00DF4CE5">
              <w:rPr>
                <w:rFonts w:ascii="Cambria" w:eastAsia="Calibri" w:hAnsi="Cambria" w:cs="Calibri"/>
                <w:lang w:eastAsia="hr-HR"/>
              </w:rPr>
              <w:t xml:space="preserve"> </w:t>
            </w:r>
            <w:proofErr w:type="spellStart"/>
            <w:r w:rsidRPr="00DF4CE5">
              <w:rPr>
                <w:rFonts w:ascii="Cambria" w:eastAsia="Calibri" w:hAnsi="Cambria" w:cs="Calibri"/>
                <w:lang w:eastAsia="hr-HR"/>
              </w:rPr>
              <w:t>i</w:t>
            </w:r>
            <w:proofErr w:type="spellEnd"/>
            <w:r w:rsidRPr="00DF4CE5">
              <w:rPr>
                <w:rFonts w:ascii="Cambria" w:eastAsia="Calibri" w:hAnsi="Cambria" w:cs="Calibri"/>
                <w:lang w:eastAsia="hr-HR"/>
              </w:rPr>
              <w:t xml:space="preserve"> </w:t>
            </w:r>
            <w:proofErr w:type="spellStart"/>
            <w:r w:rsidRPr="00DF4CE5">
              <w:rPr>
                <w:rFonts w:ascii="Cambria" w:eastAsia="Calibri" w:hAnsi="Cambria" w:cs="Calibri"/>
                <w:lang w:eastAsia="hr-HR"/>
              </w:rPr>
              <w:t>jezikoslovlje</w:t>
            </w:r>
            <w:proofErr w:type="spellEnd"/>
            <w:r w:rsidRPr="00DF4CE5">
              <w:rPr>
                <w:rFonts w:ascii="Cambria" w:eastAsia="Calibri" w:hAnsi="Cambria" w:cs="Calibri"/>
                <w:lang w:eastAsia="hr-HR"/>
              </w:rPr>
              <w:t>, Zagreb, 1999.</w:t>
            </w:r>
          </w:p>
          <w:p w14:paraId="6A237C10" w14:textId="77777777" w:rsidR="001C42AA" w:rsidRPr="00DF4CE5" w:rsidRDefault="001C42AA" w:rsidP="001C42AA">
            <w:pPr>
              <w:spacing w:after="0" w:line="240" w:lineRule="auto"/>
              <w:rPr>
                <w:rFonts w:ascii="Cambria" w:eastAsia="Calibri" w:hAnsi="Cambria" w:cs="Calibri"/>
                <w:lang w:eastAsia="hr-HR"/>
              </w:rPr>
            </w:pPr>
            <w:r w:rsidRPr="00DF4CE5">
              <w:rPr>
                <w:rFonts w:ascii="Cambria" w:eastAsia="Calibri" w:hAnsi="Cambria" w:cs="Calibri"/>
                <w:lang w:eastAsia="hr-HR"/>
              </w:rPr>
              <w:t xml:space="preserve">4. A. Bičanić </w:t>
            </w:r>
            <w:proofErr w:type="spellStart"/>
            <w:r w:rsidRPr="00DF4CE5">
              <w:rPr>
                <w:rFonts w:ascii="Cambria" w:eastAsia="Calibri" w:hAnsi="Cambria" w:cs="Calibri"/>
                <w:lang w:eastAsia="hr-HR"/>
              </w:rPr>
              <w:t>i</w:t>
            </w:r>
            <w:proofErr w:type="spellEnd"/>
            <w:r w:rsidRPr="00DF4CE5">
              <w:rPr>
                <w:rFonts w:ascii="Cambria" w:eastAsia="Calibri" w:hAnsi="Cambria" w:cs="Calibri"/>
                <w:lang w:eastAsia="hr-HR"/>
              </w:rPr>
              <w:t xml:space="preserve"> </w:t>
            </w:r>
            <w:proofErr w:type="gramStart"/>
            <w:r w:rsidRPr="00DF4CE5">
              <w:rPr>
                <w:rFonts w:ascii="Cambria" w:eastAsia="Calibri" w:hAnsi="Cambria" w:cs="Calibri"/>
                <w:lang w:eastAsia="hr-HR"/>
              </w:rPr>
              <w:t>dr. :</w:t>
            </w:r>
            <w:proofErr w:type="gramEnd"/>
            <w:r w:rsidRPr="00DF4CE5">
              <w:rPr>
                <w:rFonts w:ascii="Cambria" w:eastAsia="Calibri" w:hAnsi="Cambria" w:cs="Calibri"/>
                <w:lang w:eastAsia="hr-HR"/>
              </w:rPr>
              <w:t xml:space="preserve"> A. Frančić, L. Hudeček, M. Mihaljević: </w:t>
            </w:r>
            <w:proofErr w:type="spellStart"/>
            <w:r w:rsidRPr="00DF4CE5">
              <w:rPr>
                <w:rFonts w:ascii="Cambria" w:eastAsia="Calibri" w:hAnsi="Cambria" w:cs="Calibri"/>
                <w:lang w:eastAsia="hr-HR"/>
              </w:rPr>
              <w:t>Pregled</w:t>
            </w:r>
            <w:proofErr w:type="spellEnd"/>
            <w:r w:rsidRPr="00DF4CE5">
              <w:rPr>
                <w:rFonts w:ascii="Cambria" w:eastAsia="Calibri" w:hAnsi="Cambria" w:cs="Calibri"/>
                <w:lang w:eastAsia="hr-HR"/>
              </w:rPr>
              <w:t xml:space="preserve"> </w:t>
            </w:r>
            <w:proofErr w:type="spellStart"/>
            <w:r w:rsidRPr="00DF4CE5">
              <w:rPr>
                <w:rFonts w:ascii="Cambria" w:eastAsia="Calibri" w:hAnsi="Cambria" w:cs="Calibri"/>
                <w:lang w:eastAsia="hr-HR"/>
              </w:rPr>
              <w:t>povijesti</w:t>
            </w:r>
            <w:proofErr w:type="spellEnd"/>
            <w:r w:rsidRPr="00DF4CE5">
              <w:rPr>
                <w:rFonts w:ascii="Cambria" w:eastAsia="Calibri" w:hAnsi="Cambria" w:cs="Calibri"/>
                <w:lang w:eastAsia="hr-HR"/>
              </w:rPr>
              <w:t xml:space="preserve">, </w:t>
            </w:r>
            <w:proofErr w:type="spellStart"/>
            <w:r w:rsidRPr="00DF4CE5">
              <w:rPr>
                <w:rFonts w:ascii="Cambria" w:eastAsia="Calibri" w:hAnsi="Cambria" w:cs="Calibri"/>
                <w:lang w:eastAsia="hr-HR"/>
              </w:rPr>
              <w:t>gramatike</w:t>
            </w:r>
            <w:proofErr w:type="spellEnd"/>
            <w:r w:rsidRPr="00DF4CE5">
              <w:rPr>
                <w:rFonts w:ascii="Cambria" w:eastAsia="Calibri" w:hAnsi="Cambria" w:cs="Calibri"/>
                <w:lang w:eastAsia="hr-HR"/>
              </w:rPr>
              <w:t xml:space="preserve"> </w:t>
            </w:r>
            <w:proofErr w:type="spellStart"/>
            <w:r w:rsidRPr="00DF4CE5">
              <w:rPr>
                <w:rFonts w:ascii="Cambria" w:eastAsia="Calibri" w:hAnsi="Cambria" w:cs="Calibri"/>
                <w:lang w:eastAsia="hr-HR"/>
              </w:rPr>
              <w:t>i</w:t>
            </w:r>
            <w:proofErr w:type="spellEnd"/>
            <w:r w:rsidRPr="00DF4CE5">
              <w:rPr>
                <w:rFonts w:ascii="Cambria" w:eastAsia="Calibri" w:hAnsi="Cambria" w:cs="Calibri"/>
                <w:lang w:eastAsia="hr-HR"/>
              </w:rPr>
              <w:t xml:space="preserve"> </w:t>
            </w:r>
            <w:proofErr w:type="spellStart"/>
            <w:r w:rsidRPr="00DF4CE5">
              <w:rPr>
                <w:rFonts w:ascii="Cambria" w:eastAsia="Calibri" w:hAnsi="Cambria" w:cs="Calibri"/>
                <w:lang w:eastAsia="hr-HR"/>
              </w:rPr>
              <w:t>pravopisa</w:t>
            </w:r>
            <w:proofErr w:type="spellEnd"/>
            <w:r w:rsidRPr="00DF4CE5">
              <w:rPr>
                <w:rFonts w:ascii="Cambria" w:eastAsia="Calibri" w:hAnsi="Cambria" w:cs="Calibri"/>
                <w:lang w:eastAsia="hr-HR"/>
              </w:rPr>
              <w:t xml:space="preserve"> </w:t>
            </w:r>
            <w:proofErr w:type="spellStart"/>
            <w:r w:rsidRPr="00DF4CE5">
              <w:rPr>
                <w:rFonts w:ascii="Cambria" w:eastAsia="Calibri" w:hAnsi="Cambria" w:cs="Calibri"/>
                <w:lang w:eastAsia="hr-HR"/>
              </w:rPr>
              <w:t>hrvatskoga</w:t>
            </w:r>
            <w:proofErr w:type="spellEnd"/>
            <w:r w:rsidRPr="00DF4CE5">
              <w:rPr>
                <w:rFonts w:ascii="Cambria" w:eastAsia="Calibri" w:hAnsi="Cambria" w:cs="Calibri"/>
                <w:lang w:eastAsia="hr-HR"/>
              </w:rPr>
              <w:t xml:space="preserve"> </w:t>
            </w:r>
            <w:proofErr w:type="spellStart"/>
            <w:r w:rsidRPr="00DF4CE5">
              <w:rPr>
                <w:rFonts w:ascii="Cambria" w:eastAsia="Calibri" w:hAnsi="Cambria" w:cs="Calibri"/>
                <w:lang w:eastAsia="hr-HR"/>
              </w:rPr>
              <w:t>jezika</w:t>
            </w:r>
            <w:proofErr w:type="spellEnd"/>
            <w:r w:rsidRPr="00DF4CE5">
              <w:rPr>
                <w:rFonts w:ascii="Cambria" w:eastAsia="Calibri" w:hAnsi="Cambria" w:cs="Calibri"/>
                <w:lang w:eastAsia="hr-HR"/>
              </w:rPr>
              <w:t xml:space="preserve">, </w:t>
            </w:r>
            <w:proofErr w:type="spellStart"/>
            <w:r w:rsidRPr="00DF4CE5">
              <w:rPr>
                <w:rFonts w:ascii="Cambria" w:eastAsia="Calibri" w:hAnsi="Cambria" w:cs="Calibri"/>
                <w:lang w:eastAsia="hr-HR"/>
              </w:rPr>
              <w:t>Croatica</w:t>
            </w:r>
            <w:proofErr w:type="spellEnd"/>
            <w:r w:rsidRPr="00DF4CE5">
              <w:rPr>
                <w:rFonts w:ascii="Cambria" w:eastAsia="Calibri" w:hAnsi="Cambria" w:cs="Calibri"/>
                <w:lang w:eastAsia="hr-HR"/>
              </w:rPr>
              <w:t>, Zagreb, 2013.</w:t>
            </w:r>
          </w:p>
          <w:p w14:paraId="6E5B5863" w14:textId="77777777" w:rsidR="001C42AA" w:rsidRPr="00DF4CE5" w:rsidRDefault="001C42AA" w:rsidP="001C42AA">
            <w:pPr>
              <w:spacing w:after="0" w:line="240" w:lineRule="auto"/>
              <w:rPr>
                <w:rFonts w:ascii="Cambria" w:eastAsia="Calibri" w:hAnsi="Cambria" w:cs="Calibri"/>
                <w:lang w:eastAsia="hr-HR"/>
              </w:rPr>
            </w:pPr>
            <w:r w:rsidRPr="00DF4CE5">
              <w:rPr>
                <w:rFonts w:ascii="Cambria" w:eastAsia="Calibri" w:hAnsi="Cambria" w:cs="Calibri"/>
                <w:lang w:eastAsia="hr-HR"/>
              </w:rPr>
              <w:t xml:space="preserve">5. </w:t>
            </w:r>
            <w:proofErr w:type="spellStart"/>
            <w:r w:rsidRPr="00DF4CE5">
              <w:rPr>
                <w:rFonts w:ascii="Cambria" w:eastAsia="Calibri" w:hAnsi="Cambria" w:cs="Calibri"/>
                <w:lang w:eastAsia="hr-HR"/>
              </w:rPr>
              <w:t>Birtić</w:t>
            </w:r>
            <w:proofErr w:type="spellEnd"/>
            <w:r w:rsidRPr="00DF4CE5">
              <w:rPr>
                <w:rFonts w:ascii="Cambria" w:eastAsia="Calibri" w:hAnsi="Cambria" w:cs="Calibri"/>
                <w:lang w:eastAsia="hr-HR"/>
              </w:rPr>
              <w:t xml:space="preserve">, M </w:t>
            </w:r>
            <w:proofErr w:type="spellStart"/>
            <w:r w:rsidRPr="00DF4CE5">
              <w:rPr>
                <w:rFonts w:ascii="Cambria" w:eastAsia="Calibri" w:hAnsi="Cambria" w:cs="Calibri"/>
                <w:lang w:eastAsia="hr-HR"/>
              </w:rPr>
              <w:t>i</w:t>
            </w:r>
            <w:proofErr w:type="spellEnd"/>
            <w:r w:rsidRPr="00DF4CE5">
              <w:rPr>
                <w:rFonts w:ascii="Cambria" w:eastAsia="Calibri" w:hAnsi="Cambria" w:cs="Calibri"/>
                <w:lang w:eastAsia="hr-HR"/>
              </w:rPr>
              <w:t xml:space="preserve"> dr.: </w:t>
            </w:r>
            <w:proofErr w:type="spellStart"/>
            <w:r w:rsidRPr="00DF4CE5">
              <w:rPr>
                <w:rFonts w:ascii="Cambria" w:eastAsia="Calibri" w:hAnsi="Cambria" w:cs="Calibri"/>
                <w:lang w:eastAsia="hr-HR"/>
              </w:rPr>
              <w:t>Školski</w:t>
            </w:r>
            <w:proofErr w:type="spellEnd"/>
            <w:r w:rsidRPr="00DF4CE5">
              <w:rPr>
                <w:rFonts w:ascii="Cambria" w:eastAsia="Calibri" w:hAnsi="Cambria" w:cs="Calibri"/>
                <w:lang w:eastAsia="hr-HR"/>
              </w:rPr>
              <w:t xml:space="preserve"> </w:t>
            </w:r>
            <w:proofErr w:type="spellStart"/>
            <w:r w:rsidRPr="00DF4CE5">
              <w:rPr>
                <w:rFonts w:ascii="Cambria" w:eastAsia="Calibri" w:hAnsi="Cambria" w:cs="Calibri"/>
                <w:lang w:eastAsia="hr-HR"/>
              </w:rPr>
              <w:t>rječnik</w:t>
            </w:r>
            <w:proofErr w:type="spellEnd"/>
            <w:r w:rsidRPr="00DF4CE5">
              <w:rPr>
                <w:rFonts w:ascii="Cambria" w:eastAsia="Calibri" w:hAnsi="Cambria" w:cs="Calibri"/>
                <w:lang w:eastAsia="hr-HR"/>
              </w:rPr>
              <w:t xml:space="preserve"> </w:t>
            </w:r>
            <w:proofErr w:type="spellStart"/>
            <w:r w:rsidRPr="00DF4CE5">
              <w:rPr>
                <w:rFonts w:ascii="Cambria" w:eastAsia="Calibri" w:hAnsi="Cambria" w:cs="Calibri"/>
                <w:lang w:eastAsia="hr-HR"/>
              </w:rPr>
              <w:t>hrvatskoga</w:t>
            </w:r>
            <w:proofErr w:type="spellEnd"/>
            <w:r w:rsidRPr="00DF4CE5">
              <w:rPr>
                <w:rFonts w:ascii="Cambria" w:eastAsia="Calibri" w:hAnsi="Cambria" w:cs="Calibri"/>
                <w:lang w:eastAsia="hr-HR"/>
              </w:rPr>
              <w:t xml:space="preserve"> </w:t>
            </w:r>
            <w:proofErr w:type="spellStart"/>
            <w:r w:rsidRPr="00DF4CE5">
              <w:rPr>
                <w:rFonts w:ascii="Cambria" w:eastAsia="Calibri" w:hAnsi="Cambria" w:cs="Calibri"/>
                <w:lang w:eastAsia="hr-HR"/>
              </w:rPr>
              <w:t>jezika</w:t>
            </w:r>
            <w:proofErr w:type="spellEnd"/>
            <w:r w:rsidRPr="00DF4CE5">
              <w:rPr>
                <w:rFonts w:ascii="Cambria" w:eastAsia="Calibri" w:hAnsi="Cambria" w:cs="Calibri"/>
                <w:lang w:eastAsia="hr-HR"/>
              </w:rPr>
              <w:t>, ŠK, IHJJ, Zagreb, 2012.</w:t>
            </w:r>
          </w:p>
          <w:p w14:paraId="415AC15B" w14:textId="77777777" w:rsidR="001C42AA" w:rsidRPr="00DF4CE5" w:rsidRDefault="001C42AA" w:rsidP="001C42AA">
            <w:pPr>
              <w:spacing w:after="0" w:line="240" w:lineRule="auto"/>
              <w:rPr>
                <w:rFonts w:ascii="Cambria" w:eastAsia="Calibri" w:hAnsi="Cambria" w:cs="Calibri"/>
                <w:lang w:eastAsia="hr-HR"/>
              </w:rPr>
            </w:pPr>
            <w:r w:rsidRPr="00DF4CE5">
              <w:rPr>
                <w:rFonts w:ascii="Cambria" w:eastAsia="Calibri" w:hAnsi="Cambria" w:cs="Calibri"/>
                <w:lang w:eastAsia="hr-HR"/>
              </w:rPr>
              <w:t xml:space="preserve">6. </w:t>
            </w:r>
            <w:proofErr w:type="spellStart"/>
            <w:r w:rsidRPr="00DF4CE5">
              <w:rPr>
                <w:rFonts w:ascii="Cambria" w:eastAsia="Calibri" w:hAnsi="Cambria" w:cs="Calibri"/>
                <w:lang w:eastAsia="hr-HR"/>
              </w:rPr>
              <w:t>Blagus</w:t>
            </w:r>
            <w:proofErr w:type="spellEnd"/>
            <w:r w:rsidRPr="00DF4CE5">
              <w:rPr>
                <w:rFonts w:ascii="Cambria" w:eastAsia="Calibri" w:hAnsi="Cambria" w:cs="Calibri"/>
                <w:lang w:eastAsia="hr-HR"/>
              </w:rPr>
              <w:t xml:space="preserve"> </w:t>
            </w:r>
            <w:proofErr w:type="spellStart"/>
            <w:r w:rsidRPr="00DF4CE5">
              <w:rPr>
                <w:rFonts w:ascii="Cambria" w:eastAsia="Calibri" w:hAnsi="Cambria" w:cs="Calibri"/>
                <w:lang w:eastAsia="hr-HR"/>
              </w:rPr>
              <w:t>Bartolec</w:t>
            </w:r>
            <w:proofErr w:type="spellEnd"/>
            <w:r w:rsidRPr="00DF4CE5">
              <w:rPr>
                <w:rFonts w:ascii="Cambria" w:eastAsia="Calibri" w:hAnsi="Cambria" w:cs="Calibri"/>
                <w:lang w:eastAsia="hr-HR"/>
              </w:rPr>
              <w:t xml:space="preserve">, G. </w:t>
            </w:r>
            <w:proofErr w:type="spellStart"/>
            <w:r w:rsidRPr="00DF4CE5">
              <w:rPr>
                <w:rFonts w:ascii="Cambria" w:eastAsia="Calibri" w:hAnsi="Cambria" w:cs="Calibri"/>
                <w:lang w:eastAsia="hr-HR"/>
              </w:rPr>
              <w:t>i</w:t>
            </w:r>
            <w:proofErr w:type="spellEnd"/>
            <w:r w:rsidRPr="00DF4CE5">
              <w:rPr>
                <w:rFonts w:ascii="Cambria" w:eastAsia="Calibri" w:hAnsi="Cambria" w:cs="Calibri"/>
                <w:lang w:eastAsia="hr-HR"/>
              </w:rPr>
              <w:t xml:space="preserve"> dr.: </w:t>
            </w:r>
            <w:proofErr w:type="spellStart"/>
            <w:r w:rsidRPr="00DF4CE5">
              <w:rPr>
                <w:rFonts w:ascii="Cambria" w:eastAsia="Calibri" w:hAnsi="Cambria" w:cs="Calibri"/>
                <w:lang w:eastAsia="hr-HR"/>
              </w:rPr>
              <w:t>Rječnik</w:t>
            </w:r>
            <w:proofErr w:type="spellEnd"/>
            <w:r w:rsidRPr="00DF4CE5">
              <w:rPr>
                <w:rFonts w:ascii="Cambria" w:eastAsia="Calibri" w:hAnsi="Cambria" w:cs="Calibri"/>
                <w:lang w:eastAsia="hr-HR"/>
              </w:rPr>
              <w:t xml:space="preserve"> </w:t>
            </w:r>
            <w:proofErr w:type="spellStart"/>
            <w:r w:rsidRPr="00DF4CE5">
              <w:rPr>
                <w:rFonts w:ascii="Cambria" w:eastAsia="Calibri" w:hAnsi="Cambria" w:cs="Calibri"/>
                <w:lang w:eastAsia="hr-HR"/>
              </w:rPr>
              <w:t>velikoga</w:t>
            </w:r>
            <w:proofErr w:type="spellEnd"/>
            <w:r w:rsidRPr="00DF4CE5">
              <w:rPr>
                <w:rFonts w:ascii="Cambria" w:eastAsia="Calibri" w:hAnsi="Cambria" w:cs="Calibri"/>
                <w:lang w:eastAsia="hr-HR"/>
              </w:rPr>
              <w:t xml:space="preserve"> </w:t>
            </w:r>
            <w:proofErr w:type="spellStart"/>
            <w:r w:rsidRPr="00DF4CE5">
              <w:rPr>
                <w:rFonts w:ascii="Cambria" w:eastAsia="Calibri" w:hAnsi="Cambria" w:cs="Calibri"/>
                <w:lang w:eastAsia="hr-HR"/>
              </w:rPr>
              <w:t>i</w:t>
            </w:r>
            <w:proofErr w:type="spellEnd"/>
            <w:r w:rsidRPr="00DF4CE5">
              <w:rPr>
                <w:rFonts w:ascii="Cambria" w:eastAsia="Calibri" w:hAnsi="Cambria" w:cs="Calibri"/>
                <w:lang w:eastAsia="hr-HR"/>
              </w:rPr>
              <w:t xml:space="preserve"> </w:t>
            </w:r>
            <w:proofErr w:type="spellStart"/>
            <w:r w:rsidRPr="00DF4CE5">
              <w:rPr>
                <w:rFonts w:ascii="Cambria" w:eastAsia="Calibri" w:hAnsi="Cambria" w:cs="Calibri"/>
                <w:lang w:eastAsia="hr-HR"/>
              </w:rPr>
              <w:t>maloga</w:t>
            </w:r>
            <w:proofErr w:type="spellEnd"/>
            <w:r w:rsidRPr="00DF4CE5">
              <w:rPr>
                <w:rFonts w:ascii="Cambria" w:eastAsia="Calibri" w:hAnsi="Cambria" w:cs="Calibri"/>
                <w:lang w:eastAsia="hr-HR"/>
              </w:rPr>
              <w:t xml:space="preserve"> </w:t>
            </w:r>
            <w:proofErr w:type="spellStart"/>
            <w:r w:rsidRPr="00DF4CE5">
              <w:rPr>
                <w:rFonts w:ascii="Cambria" w:eastAsia="Calibri" w:hAnsi="Cambria" w:cs="Calibri"/>
                <w:lang w:eastAsia="hr-HR"/>
              </w:rPr>
              <w:t>početnog</w:t>
            </w:r>
            <w:proofErr w:type="spellEnd"/>
            <w:r w:rsidRPr="00DF4CE5">
              <w:rPr>
                <w:rFonts w:ascii="Cambria" w:eastAsia="Calibri" w:hAnsi="Cambria" w:cs="Calibri"/>
                <w:lang w:eastAsia="hr-HR"/>
              </w:rPr>
              <w:t xml:space="preserve"> </w:t>
            </w:r>
            <w:proofErr w:type="spellStart"/>
            <w:r w:rsidRPr="00DF4CE5">
              <w:rPr>
                <w:rFonts w:ascii="Cambria" w:eastAsia="Calibri" w:hAnsi="Cambria" w:cs="Calibri"/>
                <w:lang w:eastAsia="hr-HR"/>
              </w:rPr>
              <w:t>slova</w:t>
            </w:r>
            <w:proofErr w:type="spellEnd"/>
            <w:r w:rsidRPr="00DF4CE5">
              <w:rPr>
                <w:rFonts w:ascii="Cambria" w:eastAsia="Calibri" w:hAnsi="Cambria" w:cs="Calibri"/>
                <w:lang w:eastAsia="hr-HR"/>
              </w:rPr>
              <w:t>, IHJJ, Zagreb, 2022.</w:t>
            </w:r>
          </w:p>
          <w:p w14:paraId="51B88F68" w14:textId="77777777" w:rsidR="001C42AA" w:rsidRPr="00DF4CE5" w:rsidRDefault="001C42AA" w:rsidP="001C42AA">
            <w:pPr>
              <w:spacing w:after="0" w:line="240" w:lineRule="auto"/>
              <w:rPr>
                <w:rFonts w:ascii="Cambria" w:eastAsia="Calibri" w:hAnsi="Cambria" w:cs="Calibri"/>
                <w:lang w:eastAsia="hr-HR"/>
              </w:rPr>
            </w:pPr>
            <w:r w:rsidRPr="00DF4CE5">
              <w:rPr>
                <w:rFonts w:ascii="Cambria" w:eastAsia="Calibri" w:hAnsi="Cambria" w:cs="Calibri"/>
                <w:lang w:eastAsia="hr-HR"/>
              </w:rPr>
              <w:t xml:space="preserve">7. L. Hudeček, M. Mihaljević: Hrvatska </w:t>
            </w:r>
            <w:proofErr w:type="spellStart"/>
            <w:r w:rsidRPr="00DF4CE5">
              <w:rPr>
                <w:rFonts w:ascii="Cambria" w:eastAsia="Calibri" w:hAnsi="Cambria" w:cs="Calibri"/>
                <w:lang w:eastAsia="hr-HR"/>
              </w:rPr>
              <w:t>školska</w:t>
            </w:r>
            <w:proofErr w:type="spellEnd"/>
            <w:r w:rsidRPr="00DF4CE5">
              <w:rPr>
                <w:rFonts w:ascii="Cambria" w:eastAsia="Calibri" w:hAnsi="Cambria" w:cs="Calibri"/>
                <w:lang w:eastAsia="hr-HR"/>
              </w:rPr>
              <w:t xml:space="preserve"> </w:t>
            </w:r>
            <w:proofErr w:type="spellStart"/>
            <w:r w:rsidRPr="00DF4CE5">
              <w:rPr>
                <w:rFonts w:ascii="Cambria" w:eastAsia="Calibri" w:hAnsi="Cambria" w:cs="Calibri"/>
                <w:lang w:eastAsia="hr-HR"/>
              </w:rPr>
              <w:t>gramatika</w:t>
            </w:r>
            <w:proofErr w:type="spellEnd"/>
            <w:r w:rsidRPr="00DF4CE5">
              <w:rPr>
                <w:rFonts w:ascii="Cambria" w:eastAsia="Calibri" w:hAnsi="Cambria" w:cs="Calibri"/>
                <w:lang w:eastAsia="hr-HR"/>
              </w:rPr>
              <w:t>, IHJJ, Zagreb, 2017.</w:t>
            </w:r>
          </w:p>
          <w:p w14:paraId="30627055" w14:textId="77777777" w:rsidR="001C42AA" w:rsidRPr="00DF4CE5" w:rsidRDefault="001C42AA" w:rsidP="001C42AA">
            <w:pPr>
              <w:spacing w:after="0" w:line="240" w:lineRule="auto"/>
              <w:rPr>
                <w:rFonts w:ascii="Cambria" w:eastAsia="Calibri" w:hAnsi="Cambria" w:cs="Calibri"/>
                <w:lang w:eastAsia="hr-HR"/>
              </w:rPr>
            </w:pPr>
            <w:r w:rsidRPr="00DF4CE5">
              <w:rPr>
                <w:rFonts w:ascii="Cambria" w:eastAsia="Calibri" w:hAnsi="Cambria" w:cs="Calibri"/>
                <w:lang w:eastAsia="hr-HR"/>
              </w:rPr>
              <w:t xml:space="preserve">8. Marković: Hrvatska </w:t>
            </w:r>
            <w:proofErr w:type="spellStart"/>
            <w:r w:rsidRPr="00DF4CE5">
              <w:rPr>
                <w:rFonts w:ascii="Cambria" w:eastAsia="Calibri" w:hAnsi="Cambria" w:cs="Calibri"/>
                <w:lang w:eastAsia="hr-HR"/>
              </w:rPr>
              <w:t>morfonologija</w:t>
            </w:r>
            <w:proofErr w:type="spellEnd"/>
            <w:r w:rsidRPr="00DF4CE5">
              <w:rPr>
                <w:rFonts w:ascii="Cambria" w:eastAsia="Calibri" w:hAnsi="Cambria" w:cs="Calibri"/>
                <w:lang w:eastAsia="hr-HR"/>
              </w:rPr>
              <w:t xml:space="preserve">, </w:t>
            </w:r>
            <w:proofErr w:type="spellStart"/>
            <w:r w:rsidRPr="00DF4CE5">
              <w:rPr>
                <w:rFonts w:ascii="Cambria" w:eastAsia="Calibri" w:hAnsi="Cambria" w:cs="Calibri"/>
                <w:lang w:eastAsia="hr-HR"/>
              </w:rPr>
              <w:t>Disput</w:t>
            </w:r>
            <w:proofErr w:type="spellEnd"/>
            <w:r w:rsidRPr="00DF4CE5">
              <w:rPr>
                <w:rFonts w:ascii="Cambria" w:eastAsia="Calibri" w:hAnsi="Cambria" w:cs="Calibri"/>
                <w:lang w:eastAsia="hr-HR"/>
              </w:rPr>
              <w:t>, Zagreb, 2013.</w:t>
            </w:r>
          </w:p>
          <w:p w14:paraId="4B7C47C4" w14:textId="77777777" w:rsidR="001C42AA" w:rsidRPr="00DF4CE5" w:rsidRDefault="001C42AA" w:rsidP="001C42AA">
            <w:pPr>
              <w:spacing w:after="0" w:line="240" w:lineRule="auto"/>
              <w:rPr>
                <w:rFonts w:ascii="Cambria" w:eastAsia="Calibri" w:hAnsi="Cambria" w:cs="Calibri"/>
                <w:lang w:eastAsia="hr-HR"/>
              </w:rPr>
            </w:pPr>
            <w:r w:rsidRPr="00DF4CE5">
              <w:rPr>
                <w:rFonts w:ascii="Cambria" w:eastAsia="Calibri" w:hAnsi="Cambria" w:cs="Calibri"/>
                <w:lang w:eastAsia="hr-HR"/>
              </w:rPr>
              <w:t xml:space="preserve">9. S. Težak, S. Babić: Gramatika </w:t>
            </w:r>
            <w:proofErr w:type="spellStart"/>
            <w:r w:rsidRPr="00DF4CE5">
              <w:rPr>
                <w:rFonts w:ascii="Cambria" w:eastAsia="Calibri" w:hAnsi="Cambria" w:cs="Calibri"/>
                <w:lang w:eastAsia="hr-HR"/>
              </w:rPr>
              <w:t>hrvatskoga</w:t>
            </w:r>
            <w:proofErr w:type="spellEnd"/>
            <w:r w:rsidRPr="00DF4CE5">
              <w:rPr>
                <w:rFonts w:ascii="Cambria" w:eastAsia="Calibri" w:hAnsi="Cambria" w:cs="Calibri"/>
                <w:lang w:eastAsia="hr-HR"/>
              </w:rPr>
              <w:t xml:space="preserve"> </w:t>
            </w:r>
            <w:proofErr w:type="spellStart"/>
            <w:r w:rsidRPr="00DF4CE5">
              <w:rPr>
                <w:rFonts w:ascii="Cambria" w:eastAsia="Calibri" w:hAnsi="Cambria" w:cs="Calibri"/>
                <w:lang w:eastAsia="hr-HR"/>
              </w:rPr>
              <w:t>jezika</w:t>
            </w:r>
            <w:proofErr w:type="spellEnd"/>
            <w:r w:rsidRPr="00DF4CE5">
              <w:rPr>
                <w:rFonts w:ascii="Cambria" w:eastAsia="Calibri" w:hAnsi="Cambria" w:cs="Calibri"/>
                <w:lang w:eastAsia="hr-HR"/>
              </w:rPr>
              <w:t>, ŠK, Zagreb, 2000.</w:t>
            </w:r>
          </w:p>
          <w:p w14:paraId="3DBFB5D0" w14:textId="22D5C65D" w:rsidR="001C42AA" w:rsidRPr="00D259BD" w:rsidRDefault="001C42AA" w:rsidP="00D259BD">
            <w:pPr>
              <w:autoSpaceDE w:val="0"/>
              <w:autoSpaceDN w:val="0"/>
              <w:adjustRightInd w:val="0"/>
              <w:spacing w:after="0" w:line="240" w:lineRule="auto"/>
              <w:rPr>
                <w:rFonts w:ascii="Cambria" w:eastAsia="Calibri" w:hAnsi="Cambria" w:cs="Calibri"/>
                <w:lang w:eastAsia="hr-HR"/>
              </w:rPr>
            </w:pPr>
            <w:r w:rsidRPr="00DF4CE5">
              <w:rPr>
                <w:rFonts w:ascii="Cambria" w:eastAsia="Calibri" w:hAnsi="Cambria" w:cs="Calibri"/>
                <w:lang w:eastAsia="hr-HR"/>
              </w:rPr>
              <w:t xml:space="preserve">10. </w:t>
            </w:r>
            <w:proofErr w:type="spellStart"/>
            <w:r w:rsidRPr="00DF4CE5">
              <w:rPr>
                <w:rFonts w:ascii="Cambria" w:eastAsia="Calibri" w:hAnsi="Cambria" w:cs="Calibri"/>
                <w:lang w:eastAsia="hr-HR"/>
              </w:rPr>
              <w:t>Časopis</w:t>
            </w:r>
            <w:proofErr w:type="spellEnd"/>
            <w:r w:rsidRPr="00DF4CE5">
              <w:rPr>
                <w:rFonts w:ascii="Cambria" w:eastAsia="Calibri" w:hAnsi="Cambria" w:cs="Calibri"/>
                <w:lang w:eastAsia="hr-HR"/>
              </w:rPr>
              <w:t xml:space="preserve"> Hrvatski </w:t>
            </w:r>
            <w:proofErr w:type="spellStart"/>
            <w:r w:rsidRPr="00DF4CE5">
              <w:rPr>
                <w:rFonts w:ascii="Cambria" w:eastAsia="Calibri" w:hAnsi="Cambria" w:cs="Calibri"/>
                <w:lang w:eastAsia="hr-HR"/>
              </w:rPr>
              <w:t>jezik</w:t>
            </w:r>
            <w:proofErr w:type="spellEnd"/>
            <w:r w:rsidRPr="00DF4CE5">
              <w:rPr>
                <w:rFonts w:ascii="Cambria" w:eastAsia="Calibri" w:hAnsi="Cambria" w:cs="Calibri"/>
                <w:lang w:eastAsia="hr-HR"/>
              </w:rPr>
              <w:t>, IHJJ, Zagreb.</w:t>
            </w:r>
          </w:p>
          <w:p w14:paraId="7EAEC01B" w14:textId="77777777" w:rsidR="001C42AA" w:rsidRPr="00DF4CE5" w:rsidRDefault="001C42AA" w:rsidP="001C42AA">
            <w:pPr>
              <w:spacing w:after="0" w:line="240" w:lineRule="auto"/>
              <w:rPr>
                <w:rFonts w:ascii="Cambria" w:eastAsia="Times New Roman" w:hAnsi="Cambria" w:cs="Calibri"/>
              </w:rPr>
            </w:pPr>
            <w:proofErr w:type="spellStart"/>
            <w:r w:rsidRPr="00DF4CE5">
              <w:rPr>
                <w:rFonts w:ascii="Cambria" w:eastAsia="Times New Roman" w:hAnsi="Cambria" w:cs="Calibri"/>
              </w:rPr>
              <w:t>Internetski</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izvori</w:t>
            </w:r>
            <w:proofErr w:type="spellEnd"/>
            <w:r w:rsidRPr="00DF4CE5">
              <w:rPr>
                <w:rFonts w:ascii="Cambria" w:eastAsia="Times New Roman" w:hAnsi="Cambria" w:cs="Calibri"/>
              </w:rPr>
              <w:t>:</w:t>
            </w:r>
          </w:p>
          <w:p w14:paraId="110CB9F5" w14:textId="77777777" w:rsidR="001C42AA" w:rsidRPr="00DF4CE5" w:rsidRDefault="001C42AA" w:rsidP="001C42AA">
            <w:pPr>
              <w:spacing w:after="0" w:line="240" w:lineRule="auto"/>
              <w:rPr>
                <w:rFonts w:ascii="Cambria" w:eastAsia="Times New Roman" w:hAnsi="Cambria" w:cs="Calibri"/>
              </w:rPr>
            </w:pPr>
            <w:hyperlink r:id="rId16" w:history="1">
              <w:r w:rsidRPr="00DF4CE5">
                <w:rPr>
                  <w:rFonts w:ascii="Cambria" w:eastAsia="Times New Roman" w:hAnsi="Cambria" w:cs="Calibri"/>
                  <w:color w:val="0000FF"/>
                  <w:u w:val="single"/>
                </w:rPr>
                <w:t>http://www.hrvatskiplus.org/</w:t>
              </w:r>
            </w:hyperlink>
          </w:p>
          <w:p w14:paraId="3046A015" w14:textId="77777777" w:rsidR="001C42AA" w:rsidRPr="00DF4CE5" w:rsidRDefault="001C42AA" w:rsidP="001C42AA">
            <w:pPr>
              <w:spacing w:after="0" w:line="240" w:lineRule="auto"/>
              <w:rPr>
                <w:rFonts w:ascii="Cambria" w:eastAsia="Times New Roman" w:hAnsi="Cambria" w:cs="Calibri"/>
                <w:color w:val="0000FF"/>
                <w:u w:val="single"/>
              </w:rPr>
            </w:pPr>
            <w:hyperlink r:id="rId17" w:history="1">
              <w:r w:rsidRPr="00DF4CE5">
                <w:rPr>
                  <w:rFonts w:ascii="Cambria" w:eastAsia="Times New Roman" w:hAnsi="Cambria" w:cs="Calibri"/>
                  <w:color w:val="0000FF"/>
                  <w:u w:val="single"/>
                </w:rPr>
                <w:t>http://savjetnik.ihjj.hr/</w:t>
              </w:r>
            </w:hyperlink>
          </w:p>
          <w:p w14:paraId="20780253" w14:textId="77777777" w:rsidR="001C42AA" w:rsidRPr="00DF4CE5" w:rsidRDefault="001C42AA" w:rsidP="001C42AA">
            <w:pPr>
              <w:spacing w:after="0" w:line="240" w:lineRule="auto"/>
              <w:rPr>
                <w:rFonts w:ascii="Cambria" w:eastAsia="Times New Roman" w:hAnsi="Cambria" w:cs="Calibri"/>
                <w:u w:val="single"/>
              </w:rPr>
            </w:pPr>
            <w:r w:rsidRPr="00DF4CE5">
              <w:rPr>
                <w:rFonts w:ascii="Cambria" w:eastAsia="Times New Roman" w:hAnsi="Cambria" w:cs="Calibri"/>
                <w:color w:val="0000FF"/>
                <w:u w:val="single"/>
              </w:rPr>
              <w:t xml:space="preserve"> http://gramatika.hr/</w:t>
            </w:r>
          </w:p>
        </w:tc>
      </w:tr>
    </w:tbl>
    <w:p w14:paraId="5E0DBA11" w14:textId="77777777" w:rsidR="001C42AA" w:rsidRPr="00DF4CE5" w:rsidRDefault="001C42AA">
      <w:pPr>
        <w:rPr>
          <w:rFonts w:ascii="Cambria" w:eastAsia="Times New Roman" w:hAnsi="Cambria" w:cs="Calibri"/>
          <w:lang w:val="hr-HR"/>
        </w:rPr>
      </w:pPr>
    </w:p>
    <w:p w14:paraId="7BD98C7D" w14:textId="0CE55241" w:rsidR="001C42AA" w:rsidRPr="00DF4CE5" w:rsidRDefault="001C42AA">
      <w:pPr>
        <w:rPr>
          <w:rFonts w:ascii="Cambria" w:eastAsia="Times New Roman" w:hAnsi="Cambria" w:cs="Calibri"/>
          <w:lang w:val="hr-HR"/>
        </w:rPr>
      </w:pPr>
    </w:p>
    <w:p w14:paraId="52410361" w14:textId="6EBA25A8" w:rsidR="00D259BD" w:rsidRDefault="00D259BD">
      <w:pPr>
        <w:rPr>
          <w:rFonts w:ascii="Cambria" w:eastAsia="Times New Roman" w:hAnsi="Cambria" w:cs="Calibri"/>
          <w:lang w:val="hr-HR"/>
        </w:rPr>
      </w:pPr>
    </w:p>
    <w:p w14:paraId="44BF0202" w14:textId="0B7EE135" w:rsidR="001C42AA" w:rsidRPr="00DF4CE5" w:rsidRDefault="00D259BD">
      <w:pPr>
        <w:rPr>
          <w:rFonts w:ascii="Cambria" w:eastAsia="Times New Roman" w:hAnsi="Cambria" w:cs="Calibri"/>
          <w:lang w:val="hr-HR"/>
        </w:rPr>
      </w:pPr>
      <w:r>
        <w:rPr>
          <w:rFonts w:ascii="Cambria" w:eastAsia="Times New Roman" w:hAnsi="Cambria" w:cs="Calibri"/>
          <w:lang w:val="hr-HR"/>
        </w:rPr>
        <w:br w:type="page"/>
      </w:r>
    </w:p>
    <w:tbl>
      <w:tblPr>
        <w:tblW w:w="5000" w:type="pct"/>
        <w:tblLayout w:type="fixed"/>
        <w:tblCellMar>
          <w:left w:w="0" w:type="dxa"/>
          <w:right w:w="0" w:type="dxa"/>
        </w:tblCellMar>
        <w:tblLook w:val="0600" w:firstRow="0" w:lastRow="0" w:firstColumn="0" w:lastColumn="0" w:noHBand="1" w:noVBand="1"/>
      </w:tblPr>
      <w:tblGrid>
        <w:gridCol w:w="2800"/>
        <w:gridCol w:w="2658"/>
        <w:gridCol w:w="105"/>
        <w:gridCol w:w="1176"/>
        <w:gridCol w:w="304"/>
        <w:gridCol w:w="473"/>
        <w:gridCol w:w="1089"/>
        <w:gridCol w:w="1415"/>
      </w:tblGrid>
      <w:tr w:rsidR="001C42AA" w:rsidRPr="00DF4CE5" w14:paraId="48C1CCE0" w14:textId="77777777" w:rsidTr="001C42AA">
        <w:tc>
          <w:tcPr>
            <w:tcW w:w="9340"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AE2C58E" w14:textId="77777777" w:rsidR="001C42AA" w:rsidRPr="00DF4CE5" w:rsidRDefault="001C42AA" w:rsidP="001C42AA">
            <w:pPr>
              <w:spacing w:after="0" w:line="240" w:lineRule="auto"/>
              <w:jc w:val="right"/>
              <w:rPr>
                <w:rFonts w:ascii="Cambria" w:eastAsia="Times New Roman" w:hAnsi="Cambria" w:cs="Calibri"/>
                <w:b/>
              </w:rPr>
            </w:pPr>
            <w:r w:rsidRPr="00DF4CE5">
              <w:rPr>
                <w:rFonts w:ascii="Cambria" w:eastAsia="Times New Roman" w:hAnsi="Cambria" w:cs="Calibri"/>
                <w:b/>
              </w:rPr>
              <w:lastRenderedPageBreak/>
              <w:t>IZVEDBENI PLAN NASTAVE KOLEGIJA</w:t>
            </w:r>
          </w:p>
        </w:tc>
      </w:tr>
      <w:tr w:rsidR="001C42AA" w:rsidRPr="00DF4CE5" w14:paraId="5529CDF1" w14:textId="77777777" w:rsidTr="001C42AA">
        <w:tc>
          <w:tcPr>
            <w:tcW w:w="261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DDD839E" w14:textId="77777777" w:rsidR="001C42AA" w:rsidRPr="00DF4CE5" w:rsidRDefault="001C42AA" w:rsidP="001C42AA">
            <w:pPr>
              <w:spacing w:after="0" w:line="240" w:lineRule="auto"/>
              <w:rPr>
                <w:rFonts w:ascii="Cambria" w:eastAsia="Times New Roman" w:hAnsi="Cambria" w:cs="Calibri"/>
              </w:rPr>
            </w:pPr>
            <w:proofErr w:type="spellStart"/>
            <w:r w:rsidRPr="00DF4CE5">
              <w:rPr>
                <w:rFonts w:ascii="Cambria" w:eastAsia="Times New Roman" w:hAnsi="Cambria" w:cs="Calibri"/>
              </w:rPr>
              <w:t>Kod</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i</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naziv</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kolegija</w:t>
            </w:r>
            <w:proofErr w:type="spellEnd"/>
          </w:p>
        </w:tc>
        <w:tc>
          <w:tcPr>
            <w:tcW w:w="6730"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60F20DC" w14:textId="49D426BB" w:rsidR="001C42AA" w:rsidRPr="00DF4CE5" w:rsidRDefault="00A31664" w:rsidP="001C42AA">
            <w:pPr>
              <w:spacing w:after="0" w:line="240" w:lineRule="auto"/>
              <w:rPr>
                <w:rFonts w:ascii="Cambria" w:eastAsia="Times New Roman" w:hAnsi="Cambria" w:cs="Calibri"/>
                <w:bCs/>
              </w:rPr>
            </w:pPr>
            <w:r w:rsidRPr="00DF4CE5">
              <w:rPr>
                <w:rFonts w:ascii="Cambria" w:eastAsia="Times New Roman" w:hAnsi="Cambria" w:cs="Calibri"/>
                <w:bCs/>
              </w:rPr>
              <w:t>257226</w:t>
            </w:r>
          </w:p>
          <w:p w14:paraId="4D6C774E" w14:textId="77777777" w:rsidR="001C42AA" w:rsidRPr="00DF4CE5" w:rsidRDefault="001C42AA" w:rsidP="001C42AA">
            <w:pPr>
              <w:spacing w:after="0" w:line="240" w:lineRule="auto"/>
              <w:rPr>
                <w:rFonts w:ascii="Cambria" w:eastAsia="Times New Roman" w:hAnsi="Cambria" w:cs="Calibri"/>
                <w:bCs/>
              </w:rPr>
            </w:pPr>
            <w:proofErr w:type="spellStart"/>
            <w:r w:rsidRPr="00DF4CE5">
              <w:rPr>
                <w:rFonts w:ascii="Cambria" w:eastAsia="Times New Roman" w:hAnsi="Cambria" w:cs="Calibri"/>
                <w:bCs/>
              </w:rPr>
              <w:t>Engleski</w:t>
            </w:r>
            <w:proofErr w:type="spellEnd"/>
            <w:r w:rsidRPr="00DF4CE5">
              <w:rPr>
                <w:rFonts w:ascii="Cambria" w:eastAsia="Times New Roman" w:hAnsi="Cambria" w:cs="Calibri"/>
                <w:bCs/>
              </w:rPr>
              <w:t xml:space="preserve"> </w:t>
            </w:r>
            <w:proofErr w:type="spellStart"/>
            <w:r w:rsidRPr="00DF4CE5">
              <w:rPr>
                <w:rFonts w:ascii="Cambria" w:eastAsia="Times New Roman" w:hAnsi="Cambria" w:cs="Calibri"/>
                <w:bCs/>
              </w:rPr>
              <w:t>jezik</w:t>
            </w:r>
            <w:proofErr w:type="spellEnd"/>
            <w:r w:rsidRPr="00DF4CE5">
              <w:rPr>
                <w:rFonts w:ascii="Cambria" w:eastAsia="Times New Roman" w:hAnsi="Cambria" w:cs="Calibri"/>
                <w:bCs/>
              </w:rPr>
              <w:t xml:space="preserve"> I</w:t>
            </w:r>
          </w:p>
        </w:tc>
      </w:tr>
      <w:tr w:rsidR="001C42AA" w:rsidRPr="00D0399C" w14:paraId="683F159A" w14:textId="77777777" w:rsidTr="001C42AA">
        <w:trPr>
          <w:trHeight w:val="670"/>
        </w:trPr>
        <w:tc>
          <w:tcPr>
            <w:tcW w:w="261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FCE71E4" w14:textId="77777777" w:rsidR="001C42AA" w:rsidRPr="00DF4CE5" w:rsidRDefault="001C42AA" w:rsidP="001C42AA">
            <w:pPr>
              <w:spacing w:after="0" w:line="240" w:lineRule="auto"/>
              <w:rPr>
                <w:rFonts w:ascii="Cambria" w:eastAsia="Times New Roman" w:hAnsi="Cambria" w:cs="Calibri"/>
              </w:rPr>
            </w:pPr>
            <w:proofErr w:type="spellStart"/>
            <w:r w:rsidRPr="00DF4CE5">
              <w:rPr>
                <w:rFonts w:ascii="Cambria" w:eastAsia="Times New Roman" w:hAnsi="Cambria" w:cs="Calibri"/>
              </w:rPr>
              <w:t>Nastavnica</w:t>
            </w:r>
            <w:proofErr w:type="spellEnd"/>
            <w:r w:rsidRPr="00DF4CE5">
              <w:rPr>
                <w:rFonts w:ascii="Cambria" w:eastAsia="Times New Roman" w:hAnsi="Cambria" w:cs="Calibri"/>
              </w:rPr>
              <w:t xml:space="preserve"> </w:t>
            </w:r>
          </w:p>
          <w:p w14:paraId="6DF3FB69" w14:textId="044291A7" w:rsidR="001C42AA" w:rsidRPr="00DF4CE5" w:rsidRDefault="001C42AA" w:rsidP="001C42AA">
            <w:pPr>
              <w:spacing w:after="0" w:line="240" w:lineRule="auto"/>
              <w:rPr>
                <w:rFonts w:ascii="Cambria" w:eastAsia="Times New Roman" w:hAnsi="Cambria" w:cs="Calibri"/>
              </w:rPr>
            </w:pPr>
            <w:proofErr w:type="spellStart"/>
            <w:r w:rsidRPr="00DF4CE5">
              <w:rPr>
                <w:rFonts w:ascii="Cambria" w:eastAsia="Times New Roman" w:hAnsi="Cambria" w:cs="Calibri"/>
              </w:rPr>
              <w:t>Suradnic</w:t>
            </w:r>
            <w:r w:rsidR="00505779" w:rsidRPr="00DF4CE5">
              <w:rPr>
                <w:rFonts w:ascii="Cambria" w:eastAsia="Times New Roman" w:hAnsi="Cambria" w:cs="Calibri"/>
              </w:rPr>
              <w:t>i</w:t>
            </w:r>
            <w:proofErr w:type="spellEnd"/>
          </w:p>
          <w:p w14:paraId="4400E534" w14:textId="77777777" w:rsidR="001C42AA" w:rsidRPr="00DF4CE5" w:rsidRDefault="001C42AA" w:rsidP="001C42AA">
            <w:pPr>
              <w:spacing w:after="0" w:line="240" w:lineRule="auto"/>
              <w:rPr>
                <w:rFonts w:ascii="Cambria" w:eastAsia="Times New Roman" w:hAnsi="Cambria" w:cs="Calibri"/>
              </w:rPr>
            </w:pPr>
          </w:p>
        </w:tc>
        <w:tc>
          <w:tcPr>
            <w:tcW w:w="6730"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715B7DF" w14:textId="111B11EC" w:rsidR="00E41EE4" w:rsidRPr="00DF4CE5" w:rsidRDefault="001C42AA" w:rsidP="001C42AA">
            <w:pPr>
              <w:spacing w:after="0" w:line="240" w:lineRule="auto"/>
              <w:rPr>
                <w:rFonts w:ascii="Cambria" w:eastAsia="Times New Roman" w:hAnsi="Cambria" w:cs="Calibri"/>
              </w:rPr>
            </w:pPr>
            <w:hyperlink r:id="rId18" w:history="1">
              <w:r w:rsidRPr="00DF4CE5">
                <w:rPr>
                  <w:rStyle w:val="Hiperveza"/>
                  <w:rFonts w:ascii="Cambria" w:hAnsi="Cambria" w:cs="Calibri"/>
                </w:rPr>
                <w:t>Prof. dr. sc. Moira Kostić Bobanović</w:t>
              </w:r>
            </w:hyperlink>
            <w:r w:rsidRPr="00DF4CE5">
              <w:rPr>
                <w:rFonts w:ascii="Cambria" w:eastAsia="Times New Roman" w:hAnsi="Cambria" w:cs="Calibri"/>
              </w:rPr>
              <w:t xml:space="preserve"> </w:t>
            </w:r>
            <w:r w:rsidR="00D259BD">
              <w:rPr>
                <w:rFonts w:ascii="Cambria" w:eastAsia="Times New Roman" w:hAnsi="Cambria" w:cs="Calibri"/>
              </w:rPr>
              <w:t>(</w:t>
            </w:r>
            <w:proofErr w:type="spellStart"/>
            <w:r w:rsidRPr="00DF4CE5">
              <w:rPr>
                <w:rFonts w:ascii="Cambria" w:eastAsia="Times New Roman" w:hAnsi="Cambria" w:cs="Calibri"/>
              </w:rPr>
              <w:t>nositeljica</w:t>
            </w:r>
            <w:proofErr w:type="spellEnd"/>
            <w:r w:rsidR="00D259BD">
              <w:rPr>
                <w:rFonts w:ascii="Cambria" w:eastAsia="Times New Roman" w:hAnsi="Cambria" w:cs="Calibri"/>
              </w:rPr>
              <w:t>)</w:t>
            </w:r>
          </w:p>
          <w:p w14:paraId="7165D1AE" w14:textId="2281E19A" w:rsidR="001C42AA" w:rsidRPr="00DF4CE5" w:rsidRDefault="00B6292C" w:rsidP="001C42AA">
            <w:pPr>
              <w:spacing w:after="0" w:line="240" w:lineRule="auto"/>
              <w:rPr>
                <w:rFonts w:ascii="Cambria" w:eastAsia="Times New Roman" w:hAnsi="Cambria" w:cs="Calibri"/>
                <w:lang w:val="it-IT"/>
              </w:rPr>
            </w:pPr>
            <w:hyperlink r:id="rId19" w:history="1">
              <w:r w:rsidRPr="00DF4CE5">
                <w:rPr>
                  <w:rStyle w:val="Hiperveza"/>
                  <w:rFonts w:ascii="Cambria" w:eastAsia="Times New Roman" w:hAnsi="Cambria" w:cs="Calibri"/>
                  <w:lang w:val="it-IT"/>
                </w:rPr>
                <w:t>I</w:t>
              </w:r>
              <w:r w:rsidR="00AE00CA" w:rsidRPr="00DF4CE5">
                <w:rPr>
                  <w:rStyle w:val="Hiperveza"/>
                  <w:rFonts w:ascii="Cambria" w:eastAsia="Times New Roman" w:hAnsi="Cambria" w:cs="Calibri"/>
                  <w:lang w:val="it-IT"/>
                </w:rPr>
                <w:t xml:space="preserve">van </w:t>
              </w:r>
              <w:proofErr w:type="spellStart"/>
              <w:r w:rsidR="00AE00CA" w:rsidRPr="00DF4CE5">
                <w:rPr>
                  <w:rStyle w:val="Hiperveza"/>
                  <w:rFonts w:ascii="Cambria" w:eastAsia="Times New Roman" w:hAnsi="Cambria" w:cs="Calibri"/>
                  <w:lang w:val="it-IT"/>
                </w:rPr>
                <w:t>Žufić</w:t>
              </w:r>
              <w:proofErr w:type="spellEnd"/>
              <w:r w:rsidR="00E41EE4" w:rsidRPr="00DF4CE5">
                <w:rPr>
                  <w:rStyle w:val="Hiperveza"/>
                  <w:rFonts w:ascii="Cambria" w:eastAsia="Times New Roman" w:hAnsi="Cambria" w:cs="Calibri"/>
                  <w:lang w:val="it-IT"/>
                </w:rPr>
                <w:t xml:space="preserve">, </w:t>
              </w:r>
              <w:proofErr w:type="spellStart"/>
              <w:r w:rsidR="00E41EE4" w:rsidRPr="00DF4CE5">
                <w:rPr>
                  <w:rStyle w:val="Hiperveza"/>
                  <w:rFonts w:ascii="Cambria" w:eastAsia="Times New Roman" w:hAnsi="Cambria" w:cs="Calibri"/>
                  <w:lang w:val="it-IT"/>
                </w:rPr>
                <w:t>naslovni</w:t>
              </w:r>
              <w:proofErr w:type="spellEnd"/>
              <w:r w:rsidR="00E41EE4" w:rsidRPr="00DF4CE5">
                <w:rPr>
                  <w:rStyle w:val="Hiperveza"/>
                  <w:rFonts w:ascii="Cambria" w:eastAsia="Times New Roman" w:hAnsi="Cambria" w:cs="Calibri"/>
                  <w:lang w:val="it-IT"/>
                </w:rPr>
                <w:t xml:space="preserve"> </w:t>
              </w:r>
              <w:proofErr w:type="spellStart"/>
              <w:r w:rsidR="00E41EE4" w:rsidRPr="00DF4CE5">
                <w:rPr>
                  <w:rStyle w:val="Hiperveza"/>
                  <w:rFonts w:ascii="Cambria" w:eastAsia="Times New Roman" w:hAnsi="Cambria" w:cs="Calibri"/>
                  <w:lang w:val="it-IT"/>
                </w:rPr>
                <w:t>pred</w:t>
              </w:r>
              <w:proofErr w:type="spellEnd"/>
              <w:r w:rsidR="00E41EE4" w:rsidRPr="00DF4CE5">
                <w:rPr>
                  <w:rStyle w:val="Hiperveza"/>
                  <w:rFonts w:ascii="Cambria" w:eastAsia="Times New Roman" w:hAnsi="Cambria" w:cs="Calibri"/>
                  <w:lang w:val="it-IT"/>
                </w:rPr>
                <w:t>.</w:t>
              </w:r>
            </w:hyperlink>
            <w:r w:rsidR="001C42AA" w:rsidRPr="00DF4CE5">
              <w:rPr>
                <w:rFonts w:ascii="Cambria" w:eastAsia="Times New Roman" w:hAnsi="Cambria" w:cs="Calibri"/>
                <w:lang w:val="it-IT"/>
              </w:rPr>
              <w:t xml:space="preserve"> </w:t>
            </w:r>
          </w:p>
          <w:p w14:paraId="6A29FF96" w14:textId="2CCEF167" w:rsidR="001C42AA" w:rsidRPr="00DF4CE5" w:rsidRDefault="001C42AA" w:rsidP="001C42AA">
            <w:pPr>
              <w:spacing w:after="0" w:line="360" w:lineRule="auto"/>
              <w:rPr>
                <w:rFonts w:ascii="Cambria" w:eastAsia="Times New Roman" w:hAnsi="Cambria" w:cs="Calibri"/>
                <w:lang w:val="it-IT"/>
              </w:rPr>
            </w:pPr>
            <w:hyperlink r:id="rId20" w:history="1">
              <w:r w:rsidRPr="00DF4CE5">
                <w:rPr>
                  <w:rStyle w:val="Hiperveza"/>
                  <w:rFonts w:ascii="Cambria" w:hAnsi="Cambria" w:cs="Calibri"/>
                  <w:lang w:val="it-IT"/>
                </w:rPr>
                <w:t xml:space="preserve">Jelena </w:t>
              </w:r>
              <w:proofErr w:type="spellStart"/>
              <w:r w:rsidRPr="00DF4CE5">
                <w:rPr>
                  <w:rStyle w:val="Hiperveza"/>
                  <w:rFonts w:ascii="Cambria" w:hAnsi="Cambria" w:cs="Calibri"/>
                  <w:lang w:val="it-IT"/>
                </w:rPr>
                <w:t>Gugić</w:t>
              </w:r>
              <w:proofErr w:type="spellEnd"/>
              <w:r w:rsidRPr="00DF4CE5">
                <w:rPr>
                  <w:rStyle w:val="Hiperveza"/>
                  <w:rFonts w:ascii="Cambria" w:eastAsia="Times New Roman" w:hAnsi="Cambria" w:cs="Calibri"/>
                  <w:lang w:val="it-IT"/>
                </w:rPr>
                <w:t xml:space="preserve">, </w:t>
              </w:r>
              <w:proofErr w:type="spellStart"/>
              <w:r w:rsidRPr="00DF4CE5">
                <w:rPr>
                  <w:rStyle w:val="Hiperveza"/>
                  <w:rFonts w:ascii="Cambria" w:eastAsia="Times New Roman" w:hAnsi="Cambria" w:cs="Calibri"/>
                  <w:lang w:val="it-IT"/>
                </w:rPr>
                <w:t>asistentica</w:t>
              </w:r>
              <w:proofErr w:type="spellEnd"/>
            </w:hyperlink>
          </w:p>
        </w:tc>
      </w:tr>
      <w:tr w:rsidR="001C42AA" w:rsidRPr="00DF4CE5" w14:paraId="1C200A2E" w14:textId="77777777" w:rsidTr="001C42AA">
        <w:tc>
          <w:tcPr>
            <w:tcW w:w="261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72C954D" w14:textId="77777777" w:rsidR="001C42AA" w:rsidRPr="00DF4CE5" w:rsidRDefault="001C42AA" w:rsidP="001C42AA">
            <w:pPr>
              <w:spacing w:after="0" w:line="240" w:lineRule="auto"/>
              <w:rPr>
                <w:rFonts w:ascii="Cambria" w:eastAsia="Times New Roman" w:hAnsi="Cambria" w:cs="Calibri"/>
              </w:rPr>
            </w:pPr>
            <w:proofErr w:type="spellStart"/>
            <w:r w:rsidRPr="00DF4CE5">
              <w:rPr>
                <w:rFonts w:ascii="Cambria" w:eastAsia="Times New Roman" w:hAnsi="Cambria" w:cs="Calibri"/>
              </w:rPr>
              <w:t>Studijski</w:t>
            </w:r>
            <w:proofErr w:type="spellEnd"/>
            <w:r w:rsidRPr="00DF4CE5">
              <w:rPr>
                <w:rFonts w:ascii="Cambria" w:eastAsia="Times New Roman" w:hAnsi="Cambria" w:cs="Calibri"/>
              </w:rPr>
              <w:t xml:space="preserve"> program</w:t>
            </w:r>
          </w:p>
        </w:tc>
        <w:tc>
          <w:tcPr>
            <w:tcW w:w="6730"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4689B70" w14:textId="77777777" w:rsidR="001C42AA" w:rsidRPr="00DF4CE5" w:rsidRDefault="001C42AA" w:rsidP="001C42AA">
            <w:pPr>
              <w:spacing w:after="0" w:line="240" w:lineRule="auto"/>
              <w:rPr>
                <w:rFonts w:ascii="Cambria" w:eastAsia="Times New Roman" w:hAnsi="Cambria" w:cs="Calibri"/>
              </w:rPr>
            </w:pPr>
            <w:proofErr w:type="spellStart"/>
            <w:r w:rsidRPr="00DF4CE5">
              <w:rPr>
                <w:rFonts w:ascii="Cambria" w:eastAsia="Calibri" w:hAnsi="Cambria" w:cs="Calibri"/>
              </w:rPr>
              <w:t>Sveučilišni</w:t>
            </w:r>
            <w:proofErr w:type="spellEnd"/>
            <w:r w:rsidRPr="00DF4CE5">
              <w:rPr>
                <w:rFonts w:ascii="Cambria" w:eastAsia="Calibri" w:hAnsi="Cambria" w:cs="Calibri"/>
              </w:rPr>
              <w:t xml:space="preserve"> </w:t>
            </w:r>
            <w:proofErr w:type="spellStart"/>
            <w:r w:rsidRPr="00DF4CE5">
              <w:rPr>
                <w:rFonts w:ascii="Cambria" w:eastAsia="Calibri" w:hAnsi="Cambria" w:cs="Calibri"/>
              </w:rPr>
              <w:t>integrirani</w:t>
            </w:r>
            <w:proofErr w:type="spellEnd"/>
            <w:r w:rsidRPr="00DF4CE5">
              <w:rPr>
                <w:rFonts w:ascii="Cambria" w:eastAsia="Calibri" w:hAnsi="Cambria" w:cs="Calibri"/>
              </w:rPr>
              <w:t xml:space="preserve"> </w:t>
            </w:r>
            <w:proofErr w:type="spellStart"/>
            <w:r w:rsidRPr="00DF4CE5">
              <w:rPr>
                <w:rFonts w:ascii="Cambria" w:eastAsia="Calibri" w:hAnsi="Cambria" w:cs="Calibri"/>
              </w:rPr>
              <w:t>prijediplomski</w:t>
            </w:r>
            <w:proofErr w:type="spellEnd"/>
            <w:r w:rsidRPr="00DF4CE5">
              <w:rPr>
                <w:rFonts w:ascii="Cambria" w:eastAsia="Calibri" w:hAnsi="Cambria" w:cs="Calibri"/>
              </w:rPr>
              <w:t xml:space="preserve"> </w:t>
            </w:r>
            <w:proofErr w:type="spellStart"/>
            <w:r w:rsidRPr="00DF4CE5">
              <w:rPr>
                <w:rFonts w:ascii="Cambria" w:eastAsia="Calibri" w:hAnsi="Cambria" w:cs="Calibri"/>
              </w:rPr>
              <w:t>i</w:t>
            </w:r>
            <w:proofErr w:type="spellEnd"/>
            <w:r w:rsidRPr="00DF4CE5">
              <w:rPr>
                <w:rFonts w:ascii="Cambria" w:eastAsia="Calibri" w:hAnsi="Cambria" w:cs="Calibri"/>
              </w:rPr>
              <w:t xml:space="preserve"> </w:t>
            </w:r>
            <w:proofErr w:type="spellStart"/>
            <w:r w:rsidRPr="00DF4CE5">
              <w:rPr>
                <w:rFonts w:ascii="Cambria" w:eastAsia="Calibri" w:hAnsi="Cambria" w:cs="Calibri"/>
              </w:rPr>
              <w:t>diplomski</w:t>
            </w:r>
            <w:proofErr w:type="spellEnd"/>
            <w:r w:rsidRPr="00DF4CE5">
              <w:rPr>
                <w:rFonts w:ascii="Cambria" w:eastAsia="Calibri" w:hAnsi="Cambria" w:cs="Calibri"/>
              </w:rPr>
              <w:t xml:space="preserve"> </w:t>
            </w:r>
            <w:proofErr w:type="spellStart"/>
            <w:r w:rsidRPr="00DF4CE5">
              <w:rPr>
                <w:rFonts w:ascii="Cambria" w:eastAsia="Calibri" w:hAnsi="Cambria" w:cs="Calibri"/>
              </w:rPr>
              <w:t>Učiteljski</w:t>
            </w:r>
            <w:proofErr w:type="spellEnd"/>
            <w:r w:rsidRPr="00DF4CE5">
              <w:rPr>
                <w:rFonts w:ascii="Cambria" w:eastAsia="Calibri" w:hAnsi="Cambria" w:cs="Calibri"/>
              </w:rPr>
              <w:t xml:space="preserve"> </w:t>
            </w:r>
            <w:proofErr w:type="spellStart"/>
            <w:r w:rsidRPr="00DF4CE5">
              <w:rPr>
                <w:rFonts w:ascii="Cambria" w:eastAsia="Calibri" w:hAnsi="Cambria" w:cs="Calibri"/>
              </w:rPr>
              <w:t>studij</w:t>
            </w:r>
            <w:proofErr w:type="spellEnd"/>
            <w:r w:rsidRPr="00DF4CE5">
              <w:rPr>
                <w:rFonts w:ascii="Cambria" w:eastAsia="Calibri" w:hAnsi="Cambria" w:cs="Calibri"/>
              </w:rPr>
              <w:t xml:space="preserve"> </w:t>
            </w:r>
            <w:proofErr w:type="spellStart"/>
            <w:r w:rsidRPr="00DF4CE5">
              <w:rPr>
                <w:rFonts w:ascii="Cambria" w:eastAsia="Calibri" w:hAnsi="Cambria" w:cs="Calibri"/>
              </w:rPr>
              <w:t>na</w:t>
            </w:r>
            <w:proofErr w:type="spellEnd"/>
            <w:r w:rsidRPr="00DF4CE5">
              <w:rPr>
                <w:rFonts w:ascii="Cambria" w:eastAsia="Calibri" w:hAnsi="Cambria" w:cs="Calibri"/>
              </w:rPr>
              <w:t xml:space="preserve"> </w:t>
            </w:r>
            <w:proofErr w:type="spellStart"/>
            <w:r w:rsidRPr="00DF4CE5">
              <w:rPr>
                <w:rFonts w:ascii="Cambria" w:eastAsia="Calibri" w:hAnsi="Cambria" w:cs="Calibri"/>
              </w:rPr>
              <w:t>hrvatskom</w:t>
            </w:r>
            <w:proofErr w:type="spellEnd"/>
            <w:r w:rsidRPr="00DF4CE5">
              <w:rPr>
                <w:rFonts w:ascii="Cambria" w:eastAsia="Calibri" w:hAnsi="Cambria" w:cs="Calibri"/>
              </w:rPr>
              <w:t xml:space="preserve"> </w:t>
            </w:r>
            <w:proofErr w:type="spellStart"/>
            <w:r w:rsidRPr="00DF4CE5">
              <w:rPr>
                <w:rFonts w:ascii="Cambria" w:eastAsia="Calibri" w:hAnsi="Cambria" w:cs="Calibri"/>
              </w:rPr>
              <w:t>jeziku</w:t>
            </w:r>
            <w:proofErr w:type="spellEnd"/>
          </w:p>
        </w:tc>
      </w:tr>
      <w:tr w:rsidR="001C42AA" w:rsidRPr="00DF4CE5" w14:paraId="5DBCE22E" w14:textId="77777777" w:rsidTr="001C42AA">
        <w:tc>
          <w:tcPr>
            <w:tcW w:w="261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4334F2B" w14:textId="77777777" w:rsidR="001C42AA" w:rsidRPr="00DF4CE5" w:rsidRDefault="001C42AA" w:rsidP="001C42AA">
            <w:pPr>
              <w:spacing w:after="0" w:line="240" w:lineRule="auto"/>
              <w:rPr>
                <w:rFonts w:ascii="Cambria" w:eastAsia="Times New Roman" w:hAnsi="Cambria" w:cs="Calibri"/>
              </w:rPr>
            </w:pPr>
            <w:proofErr w:type="spellStart"/>
            <w:r w:rsidRPr="00DF4CE5">
              <w:rPr>
                <w:rFonts w:ascii="Cambria" w:eastAsia="Times New Roman" w:hAnsi="Cambria" w:cs="Calibri"/>
              </w:rPr>
              <w:t>Vrsta</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kolegija</w:t>
            </w:r>
            <w:proofErr w:type="spellEnd"/>
          </w:p>
        </w:tc>
        <w:tc>
          <w:tcPr>
            <w:tcW w:w="247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F70F0E7" w14:textId="77777777" w:rsidR="001C42AA" w:rsidRPr="00DF4CE5" w:rsidRDefault="001C42AA" w:rsidP="001C42AA">
            <w:pPr>
              <w:spacing w:after="0" w:line="240" w:lineRule="auto"/>
              <w:rPr>
                <w:rFonts w:ascii="Cambria" w:eastAsia="Times New Roman" w:hAnsi="Cambria" w:cs="Calibri"/>
              </w:rPr>
            </w:pPr>
            <w:proofErr w:type="spellStart"/>
            <w:r w:rsidRPr="00DF4CE5">
              <w:rPr>
                <w:rFonts w:ascii="Cambria" w:eastAsia="Times New Roman" w:hAnsi="Cambria" w:cs="Calibri"/>
              </w:rPr>
              <w:t>obavezni</w:t>
            </w:r>
            <w:proofErr w:type="spellEnd"/>
          </w:p>
          <w:p w14:paraId="7AD67DF2" w14:textId="77777777" w:rsidR="001C42AA" w:rsidRPr="00DF4CE5" w:rsidRDefault="001C42AA" w:rsidP="001C42AA">
            <w:pPr>
              <w:spacing w:after="0" w:line="240" w:lineRule="auto"/>
              <w:rPr>
                <w:rFonts w:ascii="Cambria" w:eastAsia="Times New Roman" w:hAnsi="Cambria" w:cs="Calibri"/>
              </w:rPr>
            </w:pPr>
          </w:p>
        </w:tc>
        <w:tc>
          <w:tcPr>
            <w:tcW w:w="1477"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11AA9751" w14:textId="77777777" w:rsidR="001C42AA" w:rsidRPr="00DF4CE5" w:rsidRDefault="001C42AA" w:rsidP="001C42AA">
            <w:pPr>
              <w:spacing w:after="0" w:line="240" w:lineRule="auto"/>
              <w:rPr>
                <w:rFonts w:ascii="Cambria" w:eastAsia="Times New Roman" w:hAnsi="Cambria" w:cs="Calibri"/>
              </w:rPr>
            </w:pPr>
            <w:r w:rsidRPr="00DF4CE5">
              <w:rPr>
                <w:rFonts w:ascii="Cambria" w:eastAsia="Times New Roman" w:hAnsi="Cambria" w:cs="Calibri"/>
              </w:rPr>
              <w:t xml:space="preserve">Razina </w:t>
            </w:r>
            <w:proofErr w:type="spellStart"/>
            <w:r w:rsidRPr="00DF4CE5">
              <w:rPr>
                <w:rFonts w:ascii="Cambria" w:eastAsia="Times New Roman" w:hAnsi="Cambria" w:cs="Calibri"/>
              </w:rPr>
              <w:t>kolegija</w:t>
            </w:r>
            <w:proofErr w:type="spellEnd"/>
          </w:p>
        </w:tc>
        <w:tc>
          <w:tcPr>
            <w:tcW w:w="2775"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87BAF34" w14:textId="77777777" w:rsidR="001C42AA" w:rsidRPr="00DF4CE5" w:rsidRDefault="001C42AA" w:rsidP="001C42AA">
            <w:pPr>
              <w:spacing w:after="0" w:line="240" w:lineRule="auto"/>
              <w:rPr>
                <w:rFonts w:ascii="Cambria" w:eastAsia="Times New Roman" w:hAnsi="Cambria" w:cs="Calibri"/>
              </w:rPr>
            </w:pPr>
            <w:proofErr w:type="spellStart"/>
            <w:r w:rsidRPr="00DF4CE5">
              <w:rPr>
                <w:rFonts w:ascii="Cambria" w:eastAsia="Times New Roman" w:hAnsi="Cambria" w:cs="Calibri"/>
                <w:lang w:val="it-IT"/>
              </w:rPr>
              <w:t>integrirani</w:t>
            </w:r>
            <w:proofErr w:type="spellEnd"/>
          </w:p>
          <w:p w14:paraId="1BFD4140" w14:textId="77777777" w:rsidR="001C42AA" w:rsidRPr="00DF4CE5" w:rsidRDefault="001C42AA" w:rsidP="001C42AA">
            <w:pPr>
              <w:spacing w:after="0" w:line="240" w:lineRule="auto"/>
              <w:rPr>
                <w:rFonts w:ascii="Cambria" w:eastAsia="Times New Roman" w:hAnsi="Cambria" w:cs="Calibri"/>
              </w:rPr>
            </w:pPr>
          </w:p>
        </w:tc>
      </w:tr>
      <w:tr w:rsidR="001C42AA" w:rsidRPr="00DF4CE5" w14:paraId="2C47BD21" w14:textId="77777777" w:rsidTr="001C42AA">
        <w:tc>
          <w:tcPr>
            <w:tcW w:w="261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23DE5D0" w14:textId="77777777" w:rsidR="001C42AA" w:rsidRPr="00DF4CE5" w:rsidRDefault="001C42AA" w:rsidP="001C42AA">
            <w:pPr>
              <w:spacing w:after="0" w:line="240" w:lineRule="auto"/>
              <w:rPr>
                <w:rFonts w:ascii="Cambria" w:eastAsia="Times New Roman" w:hAnsi="Cambria" w:cs="Calibri"/>
              </w:rPr>
            </w:pPr>
            <w:proofErr w:type="spellStart"/>
            <w:r w:rsidRPr="00DF4CE5">
              <w:rPr>
                <w:rFonts w:ascii="Cambria" w:eastAsia="Times New Roman" w:hAnsi="Cambria" w:cs="Calibri"/>
              </w:rPr>
              <w:t>Semestar</w:t>
            </w:r>
            <w:proofErr w:type="spellEnd"/>
          </w:p>
        </w:tc>
        <w:tc>
          <w:tcPr>
            <w:tcW w:w="247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BA63402" w14:textId="77777777" w:rsidR="001C42AA" w:rsidRPr="00DF4CE5" w:rsidRDefault="001C42AA" w:rsidP="001C42AA">
            <w:pPr>
              <w:spacing w:after="0" w:line="240" w:lineRule="auto"/>
              <w:rPr>
                <w:rFonts w:ascii="Cambria" w:eastAsia="Times New Roman" w:hAnsi="Cambria" w:cs="Calibri"/>
              </w:rPr>
            </w:pPr>
            <w:proofErr w:type="spellStart"/>
            <w:r w:rsidRPr="00DF4CE5">
              <w:rPr>
                <w:rFonts w:ascii="Cambria" w:eastAsia="Times New Roman" w:hAnsi="Cambria" w:cs="Calibri"/>
              </w:rPr>
              <w:t>zimski</w:t>
            </w:r>
            <w:proofErr w:type="spellEnd"/>
          </w:p>
        </w:tc>
        <w:tc>
          <w:tcPr>
            <w:tcW w:w="1477"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0225E33B" w14:textId="77777777" w:rsidR="001C42AA" w:rsidRPr="00DF4CE5" w:rsidRDefault="001C42AA" w:rsidP="001C42AA">
            <w:pPr>
              <w:spacing w:after="0" w:line="240" w:lineRule="auto"/>
              <w:rPr>
                <w:rFonts w:ascii="Cambria" w:eastAsia="Times New Roman" w:hAnsi="Cambria" w:cs="Calibri"/>
              </w:rPr>
            </w:pPr>
            <w:r w:rsidRPr="00DF4CE5">
              <w:rPr>
                <w:rFonts w:ascii="Cambria" w:eastAsia="Times New Roman" w:hAnsi="Cambria" w:cs="Calibri"/>
              </w:rPr>
              <w:t xml:space="preserve">Godina </w:t>
            </w:r>
            <w:proofErr w:type="spellStart"/>
            <w:r w:rsidRPr="00DF4CE5">
              <w:rPr>
                <w:rFonts w:ascii="Cambria" w:eastAsia="Times New Roman" w:hAnsi="Cambria" w:cs="Calibri"/>
              </w:rPr>
              <w:t>studija</w:t>
            </w:r>
            <w:proofErr w:type="spellEnd"/>
          </w:p>
        </w:tc>
        <w:tc>
          <w:tcPr>
            <w:tcW w:w="2775"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28B123F" w14:textId="77777777" w:rsidR="001C42AA" w:rsidRPr="00DF4CE5" w:rsidRDefault="001C42AA" w:rsidP="001C42AA">
            <w:pPr>
              <w:spacing w:after="0" w:line="240" w:lineRule="auto"/>
              <w:rPr>
                <w:rFonts w:ascii="Cambria" w:eastAsia="Times New Roman" w:hAnsi="Cambria" w:cs="Calibri"/>
              </w:rPr>
            </w:pPr>
            <w:r w:rsidRPr="00DF4CE5">
              <w:rPr>
                <w:rFonts w:ascii="Cambria" w:eastAsia="Times New Roman" w:hAnsi="Cambria" w:cs="Calibri"/>
              </w:rPr>
              <w:t>I.</w:t>
            </w:r>
          </w:p>
        </w:tc>
      </w:tr>
      <w:tr w:rsidR="001C42AA" w:rsidRPr="00DF4CE5" w14:paraId="33173BA4" w14:textId="77777777" w:rsidTr="001C42AA">
        <w:tc>
          <w:tcPr>
            <w:tcW w:w="261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72F54FA" w14:textId="77777777" w:rsidR="001C42AA" w:rsidRPr="00DF4CE5" w:rsidRDefault="001C42AA" w:rsidP="001C42AA">
            <w:pPr>
              <w:spacing w:after="0" w:line="240" w:lineRule="auto"/>
              <w:rPr>
                <w:rFonts w:ascii="Cambria" w:eastAsia="Times New Roman" w:hAnsi="Cambria" w:cs="Calibri"/>
              </w:rPr>
            </w:pPr>
            <w:proofErr w:type="spellStart"/>
            <w:r w:rsidRPr="00DF4CE5">
              <w:rPr>
                <w:rFonts w:ascii="Cambria" w:eastAsia="Times New Roman" w:hAnsi="Cambria" w:cs="Calibri"/>
              </w:rPr>
              <w:t>Mjesto</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izvođenja</w:t>
            </w:r>
            <w:proofErr w:type="spellEnd"/>
          </w:p>
        </w:tc>
        <w:tc>
          <w:tcPr>
            <w:tcW w:w="247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DDBE3A5" w14:textId="3DDA0172" w:rsidR="001C42AA" w:rsidRPr="00DF4CE5" w:rsidRDefault="00951B31" w:rsidP="001C42AA">
            <w:pPr>
              <w:spacing w:after="0" w:line="240" w:lineRule="auto"/>
              <w:rPr>
                <w:rFonts w:ascii="Cambria" w:eastAsia="Times New Roman" w:hAnsi="Cambria" w:cs="Calibri"/>
              </w:rPr>
            </w:pPr>
            <w:proofErr w:type="spellStart"/>
            <w:r w:rsidRPr="00DF4CE5">
              <w:rPr>
                <w:rFonts w:ascii="Cambria" w:eastAsia="Times New Roman" w:hAnsi="Cambria" w:cs="Calibri"/>
              </w:rPr>
              <w:t>u</w:t>
            </w:r>
            <w:r w:rsidR="001C42AA" w:rsidRPr="00DF4CE5">
              <w:rPr>
                <w:rFonts w:ascii="Cambria" w:eastAsia="Times New Roman" w:hAnsi="Cambria" w:cs="Calibri"/>
              </w:rPr>
              <w:t>čionica</w:t>
            </w:r>
            <w:proofErr w:type="spellEnd"/>
          </w:p>
          <w:p w14:paraId="07B90F34" w14:textId="77777777" w:rsidR="001C42AA" w:rsidRPr="00DF4CE5" w:rsidRDefault="001C42AA" w:rsidP="001C42AA">
            <w:pPr>
              <w:spacing w:after="0" w:line="240" w:lineRule="auto"/>
              <w:rPr>
                <w:rFonts w:ascii="Cambria" w:eastAsia="Times New Roman" w:hAnsi="Cambria" w:cs="Calibri"/>
              </w:rPr>
            </w:pPr>
          </w:p>
        </w:tc>
        <w:tc>
          <w:tcPr>
            <w:tcW w:w="1477"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618904B2" w14:textId="77777777" w:rsidR="001C42AA" w:rsidRPr="00DF4CE5" w:rsidRDefault="001C42AA" w:rsidP="001C42AA">
            <w:pPr>
              <w:spacing w:after="0" w:line="240" w:lineRule="auto"/>
              <w:rPr>
                <w:rFonts w:ascii="Cambria" w:eastAsia="Times New Roman" w:hAnsi="Cambria" w:cs="Calibri"/>
              </w:rPr>
            </w:pPr>
            <w:r w:rsidRPr="00DF4CE5">
              <w:rPr>
                <w:rFonts w:ascii="Cambria" w:eastAsia="Times New Roman" w:hAnsi="Cambria" w:cs="Calibri"/>
              </w:rPr>
              <w:t xml:space="preserve">Jezik </w:t>
            </w:r>
            <w:proofErr w:type="spellStart"/>
            <w:r w:rsidRPr="00DF4CE5">
              <w:rPr>
                <w:rFonts w:ascii="Cambria" w:eastAsia="Times New Roman" w:hAnsi="Cambria" w:cs="Calibri"/>
              </w:rPr>
              <w:t>izvođenja</w:t>
            </w:r>
            <w:proofErr w:type="spellEnd"/>
            <w:r w:rsidRPr="00DF4CE5">
              <w:rPr>
                <w:rFonts w:ascii="Cambria" w:eastAsia="Times New Roman" w:hAnsi="Cambria" w:cs="Calibri"/>
              </w:rPr>
              <w:t xml:space="preserve"> </w:t>
            </w:r>
          </w:p>
        </w:tc>
        <w:tc>
          <w:tcPr>
            <w:tcW w:w="2775"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0861374" w14:textId="77777777" w:rsidR="001C42AA" w:rsidRPr="00DF4CE5" w:rsidRDefault="001C42AA" w:rsidP="001C42AA">
            <w:pPr>
              <w:spacing w:after="0" w:line="240" w:lineRule="auto"/>
              <w:rPr>
                <w:rFonts w:ascii="Cambria" w:eastAsia="Times New Roman" w:hAnsi="Cambria" w:cs="Calibri"/>
              </w:rPr>
            </w:pPr>
            <w:proofErr w:type="spellStart"/>
            <w:r w:rsidRPr="00DF4CE5">
              <w:rPr>
                <w:rFonts w:ascii="Cambria" w:eastAsia="Times New Roman" w:hAnsi="Cambria" w:cs="Calibri"/>
              </w:rPr>
              <w:t>engleski</w:t>
            </w:r>
            <w:proofErr w:type="spellEnd"/>
          </w:p>
          <w:p w14:paraId="12A52D79" w14:textId="77777777" w:rsidR="001C42AA" w:rsidRPr="00DF4CE5" w:rsidRDefault="001C42AA" w:rsidP="001C42AA">
            <w:pPr>
              <w:spacing w:after="0" w:line="240" w:lineRule="auto"/>
              <w:rPr>
                <w:rFonts w:ascii="Cambria" w:eastAsia="Times New Roman" w:hAnsi="Cambria" w:cs="Calibri"/>
              </w:rPr>
            </w:pPr>
          </w:p>
          <w:p w14:paraId="65CE36BF" w14:textId="77777777" w:rsidR="001C42AA" w:rsidRPr="00DF4CE5" w:rsidRDefault="001C42AA" w:rsidP="001C42AA">
            <w:pPr>
              <w:spacing w:after="0" w:line="240" w:lineRule="auto"/>
              <w:rPr>
                <w:rFonts w:ascii="Cambria" w:eastAsia="Times New Roman" w:hAnsi="Cambria" w:cs="Calibri"/>
              </w:rPr>
            </w:pPr>
          </w:p>
        </w:tc>
      </w:tr>
      <w:tr w:rsidR="001C42AA" w:rsidRPr="00DF4CE5" w14:paraId="145A124F" w14:textId="77777777" w:rsidTr="001C42AA">
        <w:tc>
          <w:tcPr>
            <w:tcW w:w="261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D57DEE4" w14:textId="77777777" w:rsidR="001C42AA" w:rsidRPr="00DF4CE5" w:rsidRDefault="001C42AA" w:rsidP="001C42AA">
            <w:pPr>
              <w:spacing w:after="0" w:line="240" w:lineRule="auto"/>
              <w:rPr>
                <w:rFonts w:ascii="Cambria" w:eastAsia="Times New Roman" w:hAnsi="Cambria" w:cs="Calibri"/>
              </w:rPr>
            </w:pPr>
            <w:proofErr w:type="spellStart"/>
            <w:r w:rsidRPr="00DF4CE5">
              <w:rPr>
                <w:rFonts w:ascii="Cambria" w:eastAsia="Times New Roman" w:hAnsi="Cambria" w:cs="Calibri"/>
              </w:rPr>
              <w:t>Broj</w:t>
            </w:r>
            <w:proofErr w:type="spellEnd"/>
            <w:r w:rsidRPr="00DF4CE5">
              <w:rPr>
                <w:rFonts w:ascii="Cambria" w:eastAsia="Times New Roman" w:hAnsi="Cambria" w:cs="Calibri"/>
              </w:rPr>
              <w:t xml:space="preserve"> ECTS </w:t>
            </w:r>
            <w:proofErr w:type="spellStart"/>
            <w:r w:rsidRPr="00DF4CE5">
              <w:rPr>
                <w:rFonts w:ascii="Cambria" w:eastAsia="Times New Roman" w:hAnsi="Cambria" w:cs="Calibri"/>
              </w:rPr>
              <w:t>bodova</w:t>
            </w:r>
            <w:proofErr w:type="spellEnd"/>
          </w:p>
        </w:tc>
        <w:tc>
          <w:tcPr>
            <w:tcW w:w="247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F0EA246" w14:textId="77777777" w:rsidR="001C42AA" w:rsidRPr="00DF4CE5" w:rsidRDefault="001C42AA" w:rsidP="001C42AA">
            <w:pPr>
              <w:spacing w:after="0" w:line="240" w:lineRule="auto"/>
              <w:rPr>
                <w:rFonts w:ascii="Cambria" w:eastAsia="Times New Roman" w:hAnsi="Cambria" w:cs="Calibri"/>
              </w:rPr>
            </w:pPr>
            <w:r w:rsidRPr="00DF4CE5">
              <w:rPr>
                <w:rFonts w:ascii="Cambria" w:eastAsia="Times New Roman" w:hAnsi="Cambria" w:cs="Calibri"/>
              </w:rPr>
              <w:t>5</w:t>
            </w:r>
          </w:p>
        </w:tc>
        <w:tc>
          <w:tcPr>
            <w:tcW w:w="1477"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7F744246" w14:textId="77777777" w:rsidR="001C42AA" w:rsidRPr="00DF4CE5" w:rsidRDefault="001C42AA" w:rsidP="001C42AA">
            <w:pPr>
              <w:spacing w:after="0" w:line="240" w:lineRule="auto"/>
              <w:rPr>
                <w:rFonts w:ascii="Cambria" w:eastAsia="Times New Roman" w:hAnsi="Cambria" w:cs="Calibri"/>
              </w:rPr>
            </w:pPr>
            <w:proofErr w:type="spellStart"/>
            <w:r w:rsidRPr="00DF4CE5">
              <w:rPr>
                <w:rFonts w:ascii="Cambria" w:eastAsia="Times New Roman" w:hAnsi="Cambria" w:cs="Calibri"/>
              </w:rPr>
              <w:t>Broj</w:t>
            </w:r>
            <w:proofErr w:type="spellEnd"/>
            <w:r w:rsidRPr="00DF4CE5">
              <w:rPr>
                <w:rFonts w:ascii="Cambria" w:eastAsia="Times New Roman" w:hAnsi="Cambria" w:cs="Calibri"/>
              </w:rPr>
              <w:t xml:space="preserve"> sati u </w:t>
            </w:r>
            <w:proofErr w:type="spellStart"/>
            <w:r w:rsidRPr="00DF4CE5">
              <w:rPr>
                <w:rFonts w:ascii="Cambria" w:eastAsia="Times New Roman" w:hAnsi="Cambria" w:cs="Calibri"/>
              </w:rPr>
              <w:t>semestru</w:t>
            </w:r>
            <w:proofErr w:type="spellEnd"/>
          </w:p>
        </w:tc>
        <w:tc>
          <w:tcPr>
            <w:tcW w:w="2775"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A1F7862" w14:textId="2381431D" w:rsidR="001C42AA" w:rsidRPr="00DF4CE5" w:rsidRDefault="001C42AA" w:rsidP="001C42AA">
            <w:pPr>
              <w:spacing w:after="0" w:line="240" w:lineRule="auto"/>
              <w:rPr>
                <w:rFonts w:ascii="Cambria" w:eastAsia="Times New Roman" w:hAnsi="Cambria" w:cs="Calibri"/>
              </w:rPr>
            </w:pPr>
            <w:r w:rsidRPr="00DF4CE5">
              <w:rPr>
                <w:rFonts w:ascii="Cambria" w:eastAsia="Calibri" w:hAnsi="Cambria" w:cs="Calibri"/>
              </w:rPr>
              <w:t xml:space="preserve">30P – </w:t>
            </w:r>
            <w:r w:rsidR="00760C3A" w:rsidRPr="00DF4CE5">
              <w:rPr>
                <w:rFonts w:ascii="Cambria" w:eastAsia="Calibri" w:hAnsi="Cambria" w:cs="Calibri"/>
              </w:rPr>
              <w:t>0S</w:t>
            </w:r>
            <w:r w:rsidRPr="00DF4CE5">
              <w:rPr>
                <w:rFonts w:ascii="Cambria" w:eastAsia="Calibri" w:hAnsi="Cambria" w:cs="Calibri"/>
              </w:rPr>
              <w:t xml:space="preserve"> – </w:t>
            </w:r>
            <w:r w:rsidR="00760C3A" w:rsidRPr="00DF4CE5">
              <w:rPr>
                <w:rFonts w:ascii="Cambria" w:eastAsia="Calibri" w:hAnsi="Cambria" w:cs="Calibri"/>
              </w:rPr>
              <w:t>30V</w:t>
            </w:r>
            <w:r w:rsidRPr="00DF4CE5">
              <w:rPr>
                <w:rFonts w:ascii="Cambria" w:eastAsia="Calibri" w:hAnsi="Cambria" w:cs="Calibri"/>
              </w:rPr>
              <w:t xml:space="preserve">   </w:t>
            </w:r>
          </w:p>
        </w:tc>
      </w:tr>
      <w:tr w:rsidR="001C42AA" w:rsidRPr="00D0399C" w14:paraId="67FBE1D9" w14:textId="77777777" w:rsidTr="001C42AA">
        <w:tc>
          <w:tcPr>
            <w:tcW w:w="261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E7D17D8" w14:textId="77777777" w:rsidR="001C42AA" w:rsidRPr="00DF4CE5" w:rsidRDefault="001C42AA" w:rsidP="001C42AA">
            <w:pPr>
              <w:spacing w:after="0" w:line="240" w:lineRule="auto"/>
              <w:rPr>
                <w:rFonts w:ascii="Cambria" w:eastAsia="Times New Roman" w:hAnsi="Cambria" w:cs="Calibri"/>
                <w:lang w:val="it-IT"/>
              </w:rPr>
            </w:pPr>
            <w:proofErr w:type="spellStart"/>
            <w:r w:rsidRPr="00DF4CE5">
              <w:rPr>
                <w:rFonts w:ascii="Cambria" w:eastAsia="Times New Roman" w:hAnsi="Cambria" w:cs="Calibri"/>
                <w:lang w:val="it-IT"/>
              </w:rPr>
              <w:t>Preduvjeti</w:t>
            </w:r>
            <w:proofErr w:type="spellEnd"/>
            <w:r w:rsidRPr="00DF4CE5">
              <w:rPr>
                <w:rFonts w:ascii="Cambria" w:eastAsia="Times New Roman" w:hAnsi="Cambria" w:cs="Calibri"/>
                <w:lang w:val="it-IT"/>
              </w:rPr>
              <w:t xml:space="preserve"> za </w:t>
            </w:r>
            <w:proofErr w:type="spellStart"/>
            <w:r w:rsidRPr="00DF4CE5">
              <w:rPr>
                <w:rFonts w:ascii="Cambria" w:eastAsia="Times New Roman" w:hAnsi="Cambria" w:cs="Calibri"/>
                <w:lang w:val="it-IT"/>
              </w:rPr>
              <w:t>upis</w:t>
            </w:r>
            <w:proofErr w:type="spellEnd"/>
            <w:r w:rsidRPr="00DF4CE5">
              <w:rPr>
                <w:rFonts w:ascii="Cambria" w:eastAsia="Times New Roman" w:hAnsi="Cambria" w:cs="Calibri"/>
                <w:lang w:val="it-IT"/>
              </w:rPr>
              <w:t xml:space="preserve"> i za </w:t>
            </w:r>
            <w:proofErr w:type="spellStart"/>
            <w:r w:rsidRPr="00DF4CE5">
              <w:rPr>
                <w:rFonts w:ascii="Cambria" w:eastAsia="Times New Roman" w:hAnsi="Cambria" w:cs="Calibri"/>
                <w:lang w:val="it-IT"/>
              </w:rPr>
              <w:t>svladavanje</w:t>
            </w:r>
            <w:proofErr w:type="spellEnd"/>
          </w:p>
        </w:tc>
        <w:tc>
          <w:tcPr>
            <w:tcW w:w="6730"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008ADB0" w14:textId="77777777" w:rsidR="001C42AA" w:rsidRPr="00DF4CE5" w:rsidRDefault="001C42AA" w:rsidP="001C42AA">
            <w:pPr>
              <w:spacing w:after="0" w:line="240" w:lineRule="auto"/>
              <w:rPr>
                <w:rFonts w:ascii="Cambria" w:eastAsia="Times New Roman" w:hAnsi="Cambria" w:cs="Calibri"/>
                <w:lang w:val="it-IT"/>
              </w:rPr>
            </w:pPr>
            <w:r w:rsidRPr="00DF4CE5">
              <w:rPr>
                <w:rFonts w:ascii="Cambria" w:eastAsia="Times New Roman" w:hAnsi="Cambria" w:cs="Calibri"/>
                <w:lang w:val="it-IT"/>
              </w:rPr>
              <w:t xml:space="preserve">Nema </w:t>
            </w:r>
            <w:proofErr w:type="spellStart"/>
            <w:r w:rsidRPr="00DF4CE5">
              <w:rPr>
                <w:rFonts w:ascii="Cambria" w:eastAsia="Times New Roman" w:hAnsi="Cambria" w:cs="Calibri"/>
                <w:lang w:val="it-IT"/>
              </w:rPr>
              <w:t>preduvjeta</w:t>
            </w:r>
            <w:proofErr w:type="spellEnd"/>
            <w:r w:rsidRPr="00DF4CE5">
              <w:rPr>
                <w:rFonts w:ascii="Cambria" w:eastAsia="Times New Roman" w:hAnsi="Cambria" w:cs="Calibri"/>
                <w:lang w:val="it-IT"/>
              </w:rPr>
              <w:t xml:space="preserve"> za </w:t>
            </w:r>
            <w:proofErr w:type="spellStart"/>
            <w:r w:rsidRPr="00DF4CE5">
              <w:rPr>
                <w:rFonts w:ascii="Cambria" w:eastAsia="Times New Roman" w:hAnsi="Cambria" w:cs="Calibri"/>
                <w:lang w:val="it-IT"/>
              </w:rPr>
              <w:t>upis</w:t>
            </w:r>
            <w:proofErr w:type="spellEnd"/>
            <w:r w:rsidRPr="00DF4CE5">
              <w:rPr>
                <w:rFonts w:ascii="Cambria" w:eastAsia="Times New Roman" w:hAnsi="Cambria" w:cs="Calibri"/>
                <w:lang w:val="it-IT"/>
              </w:rPr>
              <w:t xml:space="preserve">, a za </w:t>
            </w:r>
            <w:proofErr w:type="spellStart"/>
            <w:r w:rsidRPr="00DF4CE5">
              <w:rPr>
                <w:rFonts w:ascii="Cambria" w:eastAsia="Times New Roman" w:hAnsi="Cambria" w:cs="Calibri"/>
                <w:lang w:val="it-IT"/>
              </w:rPr>
              <w:t>svladavanje</w:t>
            </w:r>
            <w:proofErr w:type="spellEnd"/>
            <w:r w:rsidRPr="00DF4CE5">
              <w:rPr>
                <w:rFonts w:ascii="Cambria" w:eastAsia="Times New Roman" w:hAnsi="Cambria" w:cs="Calibri"/>
                <w:lang w:val="it-IT"/>
              </w:rPr>
              <w:t xml:space="preserve"> je </w:t>
            </w:r>
            <w:proofErr w:type="spellStart"/>
            <w:r w:rsidRPr="00DF4CE5">
              <w:rPr>
                <w:rFonts w:ascii="Cambria" w:eastAsia="Times New Roman" w:hAnsi="Cambria" w:cs="Calibri"/>
                <w:lang w:val="it-IT"/>
              </w:rPr>
              <w:t>preduvjet</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mogućnost</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praćenja</w:t>
            </w:r>
            <w:proofErr w:type="spellEnd"/>
            <w:r w:rsidRPr="00DF4CE5">
              <w:rPr>
                <w:rFonts w:ascii="Cambria" w:eastAsia="Times New Roman" w:hAnsi="Cambria" w:cs="Calibri"/>
                <w:lang w:val="it-IT"/>
              </w:rPr>
              <w:t xml:space="preserve"> literature </w:t>
            </w:r>
            <w:proofErr w:type="spellStart"/>
            <w:r w:rsidRPr="00DF4CE5">
              <w:rPr>
                <w:rFonts w:ascii="Cambria" w:eastAsia="Times New Roman" w:hAnsi="Cambria" w:cs="Calibri"/>
                <w:lang w:val="it-IT"/>
              </w:rPr>
              <w:t>na</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engleskom</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jeziku</w:t>
            </w:r>
            <w:proofErr w:type="spellEnd"/>
          </w:p>
        </w:tc>
      </w:tr>
      <w:tr w:rsidR="001C42AA" w:rsidRPr="00DF4CE5" w14:paraId="332CA58B" w14:textId="77777777" w:rsidTr="001C42AA">
        <w:tc>
          <w:tcPr>
            <w:tcW w:w="261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514226A" w14:textId="77777777" w:rsidR="001C42AA" w:rsidRPr="00DF4CE5" w:rsidRDefault="001C42AA" w:rsidP="001C42AA">
            <w:pPr>
              <w:spacing w:after="0" w:line="240" w:lineRule="auto"/>
              <w:rPr>
                <w:rFonts w:ascii="Cambria" w:eastAsia="Times New Roman" w:hAnsi="Cambria" w:cs="Calibri"/>
              </w:rPr>
            </w:pPr>
            <w:proofErr w:type="spellStart"/>
            <w:r w:rsidRPr="00DF4CE5">
              <w:rPr>
                <w:rFonts w:ascii="Cambria" w:eastAsia="Times New Roman" w:hAnsi="Cambria" w:cs="Calibri"/>
              </w:rPr>
              <w:t>Korelativnost</w:t>
            </w:r>
            <w:proofErr w:type="spellEnd"/>
          </w:p>
        </w:tc>
        <w:tc>
          <w:tcPr>
            <w:tcW w:w="6730"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0792928" w14:textId="77777777" w:rsidR="001C42AA" w:rsidRPr="00DF4CE5" w:rsidRDefault="001C42AA" w:rsidP="001C42AA">
            <w:pPr>
              <w:spacing w:after="0" w:line="240" w:lineRule="auto"/>
              <w:rPr>
                <w:rFonts w:ascii="Cambria" w:eastAsia="Times New Roman" w:hAnsi="Cambria" w:cs="Calibri"/>
              </w:rPr>
            </w:pPr>
            <w:r w:rsidRPr="00DF4CE5">
              <w:rPr>
                <w:rFonts w:ascii="Cambria" w:eastAsia="Times New Roman" w:hAnsi="Cambria" w:cs="Calibri"/>
              </w:rPr>
              <w:t xml:space="preserve">Hrvatski </w:t>
            </w:r>
            <w:proofErr w:type="spellStart"/>
            <w:r w:rsidRPr="00DF4CE5">
              <w:rPr>
                <w:rFonts w:ascii="Cambria" w:eastAsia="Times New Roman" w:hAnsi="Cambria" w:cs="Calibri"/>
              </w:rPr>
              <w:t>jezik</w:t>
            </w:r>
            <w:proofErr w:type="spellEnd"/>
            <w:r w:rsidRPr="00DF4CE5">
              <w:rPr>
                <w:rFonts w:ascii="Cambria" w:eastAsia="Times New Roman" w:hAnsi="Cambria" w:cs="Calibri"/>
              </w:rPr>
              <w:t xml:space="preserve"> I. </w:t>
            </w:r>
          </w:p>
        </w:tc>
      </w:tr>
      <w:tr w:rsidR="001C42AA" w:rsidRPr="00DF4CE5" w14:paraId="3A8085FA" w14:textId="77777777" w:rsidTr="001C42AA">
        <w:tc>
          <w:tcPr>
            <w:tcW w:w="261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2D7A04F" w14:textId="77777777" w:rsidR="001C42AA" w:rsidRPr="00DF4CE5" w:rsidRDefault="001C42AA" w:rsidP="001C42AA">
            <w:pPr>
              <w:spacing w:after="0" w:line="240" w:lineRule="auto"/>
              <w:rPr>
                <w:rFonts w:ascii="Cambria" w:eastAsia="Times New Roman" w:hAnsi="Cambria" w:cs="Calibri"/>
              </w:rPr>
            </w:pPr>
            <w:proofErr w:type="spellStart"/>
            <w:r w:rsidRPr="00DF4CE5">
              <w:rPr>
                <w:rFonts w:ascii="Cambria" w:eastAsia="Times New Roman" w:hAnsi="Cambria" w:cs="Calibri"/>
              </w:rPr>
              <w:t>Cilj</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kolegija</w:t>
            </w:r>
            <w:proofErr w:type="spellEnd"/>
            <w:r w:rsidRPr="00DF4CE5">
              <w:rPr>
                <w:rFonts w:ascii="Cambria" w:eastAsia="Times New Roman" w:hAnsi="Cambria" w:cs="Calibri"/>
              </w:rPr>
              <w:t xml:space="preserve"> </w:t>
            </w:r>
          </w:p>
        </w:tc>
        <w:tc>
          <w:tcPr>
            <w:tcW w:w="6730"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52DD63C" w14:textId="77777777" w:rsidR="001C42AA" w:rsidRPr="00DF4CE5" w:rsidRDefault="001C42AA" w:rsidP="001C42AA">
            <w:pPr>
              <w:autoSpaceDE w:val="0"/>
              <w:autoSpaceDN w:val="0"/>
              <w:adjustRightInd w:val="0"/>
              <w:spacing w:after="0" w:line="240" w:lineRule="auto"/>
              <w:rPr>
                <w:rFonts w:ascii="Cambria" w:eastAsia="Times New Roman" w:hAnsi="Cambria" w:cs="Calibri"/>
                <w:lang w:eastAsia="hr-HR"/>
              </w:rPr>
            </w:pPr>
            <w:proofErr w:type="spellStart"/>
            <w:r w:rsidRPr="00DF4CE5">
              <w:rPr>
                <w:rFonts w:ascii="Cambria" w:eastAsia="Times New Roman" w:hAnsi="Cambria" w:cs="Calibri"/>
              </w:rPr>
              <w:t>nadograditi</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prethodno</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stečeno</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znanje</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engleskog</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jezika</w:t>
            </w:r>
            <w:proofErr w:type="spellEnd"/>
            <w:r w:rsidRPr="00DF4CE5">
              <w:rPr>
                <w:rFonts w:ascii="Cambria" w:eastAsia="Times New Roman" w:hAnsi="Cambria" w:cs="Calibri"/>
              </w:rPr>
              <w:t xml:space="preserve"> s </w:t>
            </w:r>
            <w:proofErr w:type="spellStart"/>
            <w:r w:rsidRPr="00DF4CE5">
              <w:rPr>
                <w:rFonts w:ascii="Cambria" w:eastAsia="Times New Roman" w:hAnsi="Cambria" w:cs="Calibri"/>
              </w:rPr>
              <w:t>naglaskom</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na</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intenzivnom</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uvježbavanju</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svih</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četiriju</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jezičnih</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vještina</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slušanje</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govorenje</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čitanje</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i</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pisanje</w:t>
            </w:r>
            <w:proofErr w:type="spellEnd"/>
            <w:r w:rsidRPr="00DF4CE5">
              <w:rPr>
                <w:rFonts w:ascii="Cambria" w:eastAsia="Times New Roman" w:hAnsi="Cambria" w:cs="Calibri"/>
              </w:rPr>
              <w:t>)</w:t>
            </w:r>
          </w:p>
        </w:tc>
      </w:tr>
      <w:tr w:rsidR="001C42AA" w:rsidRPr="00D0399C" w14:paraId="1CA18382" w14:textId="77777777" w:rsidTr="001C42AA">
        <w:tc>
          <w:tcPr>
            <w:tcW w:w="261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FA09AEA" w14:textId="77777777" w:rsidR="001C42AA" w:rsidRPr="00DF4CE5" w:rsidRDefault="001C42AA" w:rsidP="001C42AA">
            <w:pPr>
              <w:spacing w:after="0" w:line="240" w:lineRule="auto"/>
              <w:rPr>
                <w:rFonts w:ascii="Cambria" w:eastAsia="Times New Roman" w:hAnsi="Cambria" w:cs="Calibri"/>
              </w:rPr>
            </w:pPr>
            <w:proofErr w:type="spellStart"/>
            <w:r w:rsidRPr="00DF4CE5">
              <w:rPr>
                <w:rFonts w:ascii="Cambria" w:eastAsia="Times New Roman" w:hAnsi="Cambria" w:cs="Calibri"/>
              </w:rPr>
              <w:t>Ishodi</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učenja</w:t>
            </w:r>
            <w:proofErr w:type="spellEnd"/>
          </w:p>
        </w:tc>
        <w:tc>
          <w:tcPr>
            <w:tcW w:w="6730"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F63EDB4" w14:textId="77777777" w:rsidR="001C42AA" w:rsidRPr="00DF4CE5" w:rsidRDefault="001C42AA" w:rsidP="001C42AA">
            <w:pPr>
              <w:numPr>
                <w:ilvl w:val="0"/>
                <w:numId w:val="3"/>
              </w:numPr>
              <w:spacing w:after="0" w:line="240" w:lineRule="auto"/>
              <w:contextualSpacing/>
              <w:rPr>
                <w:rFonts w:ascii="Cambria" w:eastAsia="Calibri" w:hAnsi="Cambria" w:cs="Calibri"/>
              </w:rPr>
            </w:pPr>
            <w:proofErr w:type="spellStart"/>
            <w:r w:rsidRPr="00DF4CE5">
              <w:rPr>
                <w:rFonts w:ascii="Cambria" w:eastAsia="Calibri" w:hAnsi="Cambria" w:cs="Calibri"/>
              </w:rPr>
              <w:t>razlikovati</w:t>
            </w:r>
            <w:proofErr w:type="spellEnd"/>
            <w:r w:rsidRPr="00DF4CE5">
              <w:rPr>
                <w:rFonts w:ascii="Cambria" w:eastAsia="Calibri" w:hAnsi="Cambria" w:cs="Calibri"/>
              </w:rPr>
              <w:t xml:space="preserve"> </w:t>
            </w:r>
            <w:proofErr w:type="spellStart"/>
            <w:r w:rsidRPr="00DF4CE5">
              <w:rPr>
                <w:rFonts w:ascii="Cambria" w:eastAsia="Calibri" w:hAnsi="Cambria" w:cs="Calibri"/>
              </w:rPr>
              <w:t>osnovne</w:t>
            </w:r>
            <w:proofErr w:type="spellEnd"/>
            <w:r w:rsidRPr="00DF4CE5">
              <w:rPr>
                <w:rFonts w:ascii="Cambria" w:eastAsia="Calibri" w:hAnsi="Cambria" w:cs="Calibri"/>
              </w:rPr>
              <w:t xml:space="preserve"> </w:t>
            </w:r>
            <w:proofErr w:type="spellStart"/>
            <w:r w:rsidRPr="00DF4CE5">
              <w:rPr>
                <w:rFonts w:ascii="Cambria" w:eastAsia="Calibri" w:hAnsi="Cambria" w:cs="Calibri"/>
              </w:rPr>
              <w:t>gramatičke</w:t>
            </w:r>
            <w:proofErr w:type="spellEnd"/>
            <w:r w:rsidRPr="00DF4CE5">
              <w:rPr>
                <w:rFonts w:ascii="Cambria" w:eastAsia="Calibri" w:hAnsi="Cambria" w:cs="Calibri"/>
              </w:rPr>
              <w:t xml:space="preserve"> </w:t>
            </w:r>
            <w:proofErr w:type="spellStart"/>
            <w:r w:rsidRPr="00DF4CE5">
              <w:rPr>
                <w:rFonts w:ascii="Cambria" w:eastAsia="Calibri" w:hAnsi="Cambria" w:cs="Calibri"/>
              </w:rPr>
              <w:t>strukture</w:t>
            </w:r>
            <w:proofErr w:type="spellEnd"/>
            <w:r w:rsidRPr="00DF4CE5">
              <w:rPr>
                <w:rFonts w:ascii="Cambria" w:eastAsia="Calibri" w:hAnsi="Cambria" w:cs="Calibri"/>
              </w:rPr>
              <w:t xml:space="preserve"> u </w:t>
            </w:r>
            <w:proofErr w:type="spellStart"/>
            <w:r w:rsidRPr="00DF4CE5">
              <w:rPr>
                <w:rFonts w:ascii="Cambria" w:eastAsia="Calibri" w:hAnsi="Cambria" w:cs="Calibri"/>
              </w:rPr>
              <w:t>engleskom</w:t>
            </w:r>
            <w:proofErr w:type="spellEnd"/>
            <w:r w:rsidRPr="00DF4CE5">
              <w:rPr>
                <w:rFonts w:ascii="Cambria" w:eastAsia="Calibri" w:hAnsi="Cambria" w:cs="Calibri"/>
              </w:rPr>
              <w:t xml:space="preserve"> </w:t>
            </w:r>
            <w:proofErr w:type="spellStart"/>
            <w:r w:rsidRPr="00DF4CE5">
              <w:rPr>
                <w:rFonts w:ascii="Cambria" w:eastAsia="Calibri" w:hAnsi="Cambria" w:cs="Calibri"/>
              </w:rPr>
              <w:t>jeziku</w:t>
            </w:r>
            <w:proofErr w:type="spellEnd"/>
            <w:r w:rsidRPr="00DF4CE5">
              <w:rPr>
                <w:rFonts w:ascii="Cambria" w:eastAsia="Calibri" w:hAnsi="Cambria" w:cs="Calibri"/>
              </w:rPr>
              <w:t xml:space="preserve"> </w:t>
            </w:r>
            <w:proofErr w:type="spellStart"/>
            <w:r w:rsidRPr="00DF4CE5">
              <w:rPr>
                <w:rFonts w:ascii="Cambria" w:eastAsia="Calibri" w:hAnsi="Cambria" w:cs="Calibri"/>
              </w:rPr>
              <w:t>neophodne</w:t>
            </w:r>
            <w:proofErr w:type="spellEnd"/>
            <w:r w:rsidRPr="00DF4CE5">
              <w:rPr>
                <w:rFonts w:ascii="Cambria" w:eastAsia="Calibri" w:hAnsi="Cambria" w:cs="Calibri"/>
              </w:rPr>
              <w:t xml:space="preserve"> za </w:t>
            </w:r>
            <w:proofErr w:type="spellStart"/>
            <w:r w:rsidRPr="00DF4CE5">
              <w:rPr>
                <w:rFonts w:ascii="Cambria" w:eastAsia="Calibri" w:hAnsi="Cambria" w:cs="Calibri"/>
              </w:rPr>
              <w:t>svakodnevnu</w:t>
            </w:r>
            <w:proofErr w:type="spellEnd"/>
            <w:r w:rsidRPr="00DF4CE5">
              <w:rPr>
                <w:rFonts w:ascii="Cambria" w:eastAsia="Calibri" w:hAnsi="Cambria" w:cs="Calibri"/>
              </w:rPr>
              <w:t xml:space="preserve"> </w:t>
            </w:r>
            <w:proofErr w:type="spellStart"/>
            <w:r w:rsidRPr="00DF4CE5">
              <w:rPr>
                <w:rFonts w:ascii="Cambria" w:eastAsia="Calibri" w:hAnsi="Cambria" w:cs="Calibri"/>
              </w:rPr>
              <w:t>pisanu</w:t>
            </w:r>
            <w:proofErr w:type="spellEnd"/>
            <w:r w:rsidRPr="00DF4CE5">
              <w:rPr>
                <w:rFonts w:ascii="Cambria" w:eastAsia="Calibri" w:hAnsi="Cambria" w:cs="Calibri"/>
              </w:rPr>
              <w:t xml:space="preserve"> </w:t>
            </w:r>
            <w:proofErr w:type="spellStart"/>
            <w:r w:rsidRPr="00DF4CE5">
              <w:rPr>
                <w:rFonts w:ascii="Cambria" w:eastAsia="Calibri" w:hAnsi="Cambria" w:cs="Calibri"/>
              </w:rPr>
              <w:t>ili</w:t>
            </w:r>
            <w:proofErr w:type="spellEnd"/>
            <w:r w:rsidRPr="00DF4CE5">
              <w:rPr>
                <w:rFonts w:ascii="Cambria" w:eastAsia="Calibri" w:hAnsi="Cambria" w:cs="Calibri"/>
              </w:rPr>
              <w:t xml:space="preserve"> </w:t>
            </w:r>
            <w:proofErr w:type="spellStart"/>
            <w:r w:rsidRPr="00DF4CE5">
              <w:rPr>
                <w:rFonts w:ascii="Cambria" w:eastAsia="Calibri" w:hAnsi="Cambria" w:cs="Calibri"/>
              </w:rPr>
              <w:t>govornu</w:t>
            </w:r>
            <w:proofErr w:type="spellEnd"/>
            <w:r w:rsidRPr="00DF4CE5">
              <w:rPr>
                <w:rFonts w:ascii="Cambria" w:eastAsia="Calibri" w:hAnsi="Cambria" w:cs="Calibri"/>
              </w:rPr>
              <w:t xml:space="preserve"> </w:t>
            </w:r>
            <w:proofErr w:type="spellStart"/>
            <w:r w:rsidRPr="00DF4CE5">
              <w:rPr>
                <w:rFonts w:ascii="Cambria" w:eastAsia="Calibri" w:hAnsi="Cambria" w:cs="Calibri"/>
              </w:rPr>
              <w:t>komunikaciju</w:t>
            </w:r>
            <w:proofErr w:type="spellEnd"/>
          </w:p>
          <w:p w14:paraId="37A30568" w14:textId="77777777" w:rsidR="001C42AA" w:rsidRPr="00DF4CE5" w:rsidRDefault="001C42AA" w:rsidP="001C42AA">
            <w:pPr>
              <w:numPr>
                <w:ilvl w:val="0"/>
                <w:numId w:val="3"/>
              </w:numPr>
              <w:spacing w:after="0" w:line="240" w:lineRule="auto"/>
              <w:contextualSpacing/>
              <w:rPr>
                <w:rFonts w:ascii="Cambria" w:eastAsia="Calibri" w:hAnsi="Cambria" w:cs="Calibri"/>
              </w:rPr>
            </w:pPr>
            <w:proofErr w:type="spellStart"/>
            <w:r w:rsidRPr="00DF4CE5">
              <w:rPr>
                <w:rFonts w:ascii="Cambria" w:eastAsia="Calibri" w:hAnsi="Cambria" w:cs="Calibri"/>
              </w:rPr>
              <w:t>primijeniti</w:t>
            </w:r>
            <w:proofErr w:type="spellEnd"/>
            <w:r w:rsidRPr="00DF4CE5">
              <w:rPr>
                <w:rFonts w:ascii="Cambria" w:eastAsia="Calibri" w:hAnsi="Cambria" w:cs="Calibri"/>
              </w:rPr>
              <w:t xml:space="preserve"> </w:t>
            </w:r>
            <w:proofErr w:type="spellStart"/>
            <w:r w:rsidRPr="00DF4CE5">
              <w:rPr>
                <w:rFonts w:ascii="Cambria" w:eastAsia="Calibri" w:hAnsi="Cambria" w:cs="Calibri"/>
              </w:rPr>
              <w:t>osnovne</w:t>
            </w:r>
            <w:proofErr w:type="spellEnd"/>
            <w:r w:rsidRPr="00DF4CE5">
              <w:rPr>
                <w:rFonts w:ascii="Cambria" w:eastAsia="Calibri" w:hAnsi="Cambria" w:cs="Calibri"/>
              </w:rPr>
              <w:t xml:space="preserve"> </w:t>
            </w:r>
            <w:proofErr w:type="spellStart"/>
            <w:r w:rsidRPr="00DF4CE5">
              <w:rPr>
                <w:rFonts w:ascii="Cambria" w:eastAsia="Calibri" w:hAnsi="Cambria" w:cs="Calibri"/>
              </w:rPr>
              <w:t>gramatičke</w:t>
            </w:r>
            <w:proofErr w:type="spellEnd"/>
            <w:r w:rsidRPr="00DF4CE5">
              <w:rPr>
                <w:rFonts w:ascii="Cambria" w:eastAsia="Calibri" w:hAnsi="Cambria" w:cs="Calibri"/>
              </w:rPr>
              <w:t xml:space="preserve"> </w:t>
            </w:r>
            <w:proofErr w:type="spellStart"/>
            <w:r w:rsidRPr="00DF4CE5">
              <w:rPr>
                <w:rFonts w:ascii="Cambria" w:eastAsia="Calibri" w:hAnsi="Cambria" w:cs="Calibri"/>
              </w:rPr>
              <w:t>strukture</w:t>
            </w:r>
            <w:proofErr w:type="spellEnd"/>
            <w:r w:rsidRPr="00DF4CE5">
              <w:rPr>
                <w:rFonts w:ascii="Cambria" w:eastAsia="Calibri" w:hAnsi="Cambria" w:cs="Calibri"/>
              </w:rPr>
              <w:t xml:space="preserve"> u </w:t>
            </w:r>
            <w:proofErr w:type="spellStart"/>
            <w:r w:rsidRPr="00DF4CE5">
              <w:rPr>
                <w:rFonts w:ascii="Cambria" w:eastAsia="Calibri" w:hAnsi="Cambria" w:cs="Calibri"/>
              </w:rPr>
              <w:t>zadanom</w:t>
            </w:r>
            <w:proofErr w:type="spellEnd"/>
            <w:r w:rsidRPr="00DF4CE5">
              <w:rPr>
                <w:rFonts w:ascii="Cambria" w:eastAsia="Calibri" w:hAnsi="Cambria" w:cs="Calibri"/>
              </w:rPr>
              <w:t xml:space="preserve"> </w:t>
            </w:r>
            <w:proofErr w:type="spellStart"/>
            <w:r w:rsidRPr="00DF4CE5">
              <w:rPr>
                <w:rFonts w:ascii="Cambria" w:eastAsia="Calibri" w:hAnsi="Cambria" w:cs="Calibri"/>
              </w:rPr>
              <w:t>kontekstu</w:t>
            </w:r>
            <w:proofErr w:type="spellEnd"/>
            <w:r w:rsidRPr="00DF4CE5">
              <w:rPr>
                <w:rFonts w:ascii="Cambria" w:eastAsia="Calibri" w:hAnsi="Cambria" w:cs="Calibri"/>
              </w:rPr>
              <w:t xml:space="preserve"> </w:t>
            </w:r>
            <w:proofErr w:type="spellStart"/>
            <w:r w:rsidRPr="00DF4CE5">
              <w:rPr>
                <w:rFonts w:ascii="Cambria" w:eastAsia="Calibri" w:hAnsi="Cambria" w:cs="Calibri"/>
              </w:rPr>
              <w:t>pisanog</w:t>
            </w:r>
            <w:proofErr w:type="spellEnd"/>
            <w:r w:rsidRPr="00DF4CE5">
              <w:rPr>
                <w:rFonts w:ascii="Cambria" w:eastAsia="Calibri" w:hAnsi="Cambria" w:cs="Calibri"/>
              </w:rPr>
              <w:t xml:space="preserve"> </w:t>
            </w:r>
            <w:proofErr w:type="spellStart"/>
            <w:r w:rsidRPr="00DF4CE5">
              <w:rPr>
                <w:rFonts w:ascii="Cambria" w:eastAsia="Calibri" w:hAnsi="Cambria" w:cs="Calibri"/>
              </w:rPr>
              <w:t>ili</w:t>
            </w:r>
            <w:proofErr w:type="spellEnd"/>
            <w:r w:rsidRPr="00DF4CE5">
              <w:rPr>
                <w:rFonts w:ascii="Cambria" w:eastAsia="Calibri" w:hAnsi="Cambria" w:cs="Calibri"/>
              </w:rPr>
              <w:t xml:space="preserve"> </w:t>
            </w:r>
            <w:proofErr w:type="spellStart"/>
            <w:r w:rsidRPr="00DF4CE5">
              <w:rPr>
                <w:rFonts w:ascii="Cambria" w:eastAsia="Calibri" w:hAnsi="Cambria" w:cs="Calibri"/>
              </w:rPr>
              <w:t>govornog</w:t>
            </w:r>
            <w:proofErr w:type="spellEnd"/>
            <w:r w:rsidRPr="00DF4CE5">
              <w:rPr>
                <w:rFonts w:ascii="Cambria" w:eastAsia="Calibri" w:hAnsi="Cambria" w:cs="Calibri"/>
              </w:rPr>
              <w:t xml:space="preserve"> </w:t>
            </w:r>
            <w:proofErr w:type="spellStart"/>
            <w:r w:rsidRPr="00DF4CE5">
              <w:rPr>
                <w:rFonts w:ascii="Cambria" w:eastAsia="Calibri" w:hAnsi="Cambria" w:cs="Calibri"/>
              </w:rPr>
              <w:t>engleskog</w:t>
            </w:r>
            <w:proofErr w:type="spellEnd"/>
            <w:r w:rsidRPr="00DF4CE5">
              <w:rPr>
                <w:rFonts w:ascii="Cambria" w:eastAsia="Calibri" w:hAnsi="Cambria" w:cs="Calibri"/>
              </w:rPr>
              <w:t xml:space="preserve"> </w:t>
            </w:r>
            <w:proofErr w:type="spellStart"/>
            <w:r w:rsidRPr="00DF4CE5">
              <w:rPr>
                <w:rFonts w:ascii="Cambria" w:eastAsia="Calibri" w:hAnsi="Cambria" w:cs="Calibri"/>
              </w:rPr>
              <w:t>jezika</w:t>
            </w:r>
            <w:proofErr w:type="spellEnd"/>
          </w:p>
          <w:p w14:paraId="041339BB" w14:textId="77777777" w:rsidR="001C42AA" w:rsidRPr="00DF4CE5" w:rsidRDefault="001C42AA" w:rsidP="001C42AA">
            <w:pPr>
              <w:numPr>
                <w:ilvl w:val="0"/>
                <w:numId w:val="3"/>
              </w:numPr>
              <w:spacing w:after="0" w:line="240" w:lineRule="auto"/>
              <w:contextualSpacing/>
              <w:rPr>
                <w:rFonts w:ascii="Cambria" w:eastAsia="Calibri" w:hAnsi="Cambria" w:cs="Calibri"/>
              </w:rPr>
            </w:pPr>
            <w:proofErr w:type="spellStart"/>
            <w:r w:rsidRPr="00DF4CE5">
              <w:rPr>
                <w:rFonts w:ascii="Cambria" w:eastAsia="Calibri" w:hAnsi="Cambria" w:cs="Calibri"/>
              </w:rPr>
              <w:t>koristiti</w:t>
            </w:r>
            <w:proofErr w:type="spellEnd"/>
            <w:r w:rsidRPr="00DF4CE5">
              <w:rPr>
                <w:rFonts w:ascii="Cambria" w:eastAsia="Calibri" w:hAnsi="Cambria" w:cs="Calibri"/>
              </w:rPr>
              <w:t xml:space="preserve"> </w:t>
            </w:r>
            <w:proofErr w:type="spellStart"/>
            <w:r w:rsidRPr="00DF4CE5">
              <w:rPr>
                <w:rFonts w:ascii="Cambria" w:eastAsia="Calibri" w:hAnsi="Cambria" w:cs="Calibri"/>
              </w:rPr>
              <w:t>vještinu</w:t>
            </w:r>
            <w:proofErr w:type="spellEnd"/>
            <w:r w:rsidRPr="00DF4CE5">
              <w:rPr>
                <w:rFonts w:ascii="Cambria" w:eastAsia="Calibri" w:hAnsi="Cambria" w:cs="Calibri"/>
              </w:rPr>
              <w:t xml:space="preserve"> </w:t>
            </w:r>
            <w:proofErr w:type="spellStart"/>
            <w:r w:rsidRPr="00DF4CE5">
              <w:rPr>
                <w:rFonts w:ascii="Cambria" w:eastAsia="Calibri" w:hAnsi="Cambria" w:cs="Calibri"/>
              </w:rPr>
              <w:t>slušanja</w:t>
            </w:r>
            <w:proofErr w:type="spellEnd"/>
            <w:r w:rsidRPr="00DF4CE5">
              <w:rPr>
                <w:rFonts w:ascii="Cambria" w:eastAsia="Calibri" w:hAnsi="Cambria" w:cs="Calibri"/>
              </w:rPr>
              <w:t xml:space="preserve"> </w:t>
            </w:r>
            <w:proofErr w:type="spellStart"/>
            <w:r w:rsidRPr="00DF4CE5">
              <w:rPr>
                <w:rFonts w:ascii="Cambria" w:eastAsia="Calibri" w:hAnsi="Cambria" w:cs="Calibri"/>
              </w:rPr>
              <w:t>i</w:t>
            </w:r>
            <w:proofErr w:type="spellEnd"/>
            <w:r w:rsidRPr="00DF4CE5">
              <w:rPr>
                <w:rFonts w:ascii="Cambria" w:eastAsia="Calibri" w:hAnsi="Cambria" w:cs="Calibri"/>
              </w:rPr>
              <w:t xml:space="preserve"> </w:t>
            </w:r>
            <w:proofErr w:type="spellStart"/>
            <w:r w:rsidRPr="00DF4CE5">
              <w:rPr>
                <w:rFonts w:ascii="Cambria" w:eastAsia="Calibri" w:hAnsi="Cambria" w:cs="Calibri"/>
              </w:rPr>
              <w:t>analiziranja</w:t>
            </w:r>
            <w:proofErr w:type="spellEnd"/>
            <w:r w:rsidRPr="00DF4CE5">
              <w:rPr>
                <w:rFonts w:ascii="Cambria" w:eastAsia="Calibri" w:hAnsi="Cambria" w:cs="Calibri"/>
              </w:rPr>
              <w:t xml:space="preserve"> </w:t>
            </w:r>
            <w:proofErr w:type="spellStart"/>
            <w:r w:rsidRPr="00DF4CE5">
              <w:rPr>
                <w:rFonts w:ascii="Cambria" w:eastAsia="Calibri" w:hAnsi="Cambria" w:cs="Calibri"/>
              </w:rPr>
              <w:t>sadržaja</w:t>
            </w:r>
            <w:proofErr w:type="spellEnd"/>
            <w:r w:rsidRPr="00DF4CE5">
              <w:rPr>
                <w:rFonts w:ascii="Cambria" w:eastAsia="Calibri" w:hAnsi="Cambria" w:cs="Calibri"/>
              </w:rPr>
              <w:t xml:space="preserve"> </w:t>
            </w:r>
            <w:proofErr w:type="spellStart"/>
            <w:r w:rsidRPr="00DF4CE5">
              <w:rPr>
                <w:rFonts w:ascii="Cambria" w:eastAsia="Calibri" w:hAnsi="Cambria" w:cs="Calibri"/>
              </w:rPr>
              <w:t>pomoću</w:t>
            </w:r>
            <w:proofErr w:type="spellEnd"/>
            <w:r w:rsidRPr="00DF4CE5">
              <w:rPr>
                <w:rFonts w:ascii="Cambria" w:eastAsia="Calibri" w:hAnsi="Cambria" w:cs="Calibri"/>
              </w:rPr>
              <w:t xml:space="preserve"> </w:t>
            </w:r>
            <w:proofErr w:type="spellStart"/>
            <w:r w:rsidRPr="00DF4CE5">
              <w:rPr>
                <w:rFonts w:ascii="Cambria" w:eastAsia="Calibri" w:hAnsi="Cambria" w:cs="Calibri"/>
              </w:rPr>
              <w:t>izvornih</w:t>
            </w:r>
            <w:proofErr w:type="spellEnd"/>
            <w:r w:rsidRPr="00DF4CE5">
              <w:rPr>
                <w:rFonts w:ascii="Cambria" w:eastAsia="Calibri" w:hAnsi="Cambria" w:cs="Calibri"/>
              </w:rPr>
              <w:t xml:space="preserve"> </w:t>
            </w:r>
            <w:proofErr w:type="spellStart"/>
            <w:r w:rsidRPr="00DF4CE5">
              <w:rPr>
                <w:rFonts w:ascii="Cambria" w:eastAsia="Calibri" w:hAnsi="Cambria" w:cs="Calibri"/>
              </w:rPr>
              <w:t>audiomaterijala</w:t>
            </w:r>
            <w:proofErr w:type="spellEnd"/>
          </w:p>
          <w:p w14:paraId="709A7154" w14:textId="77777777" w:rsidR="001C42AA" w:rsidRPr="00DF4CE5" w:rsidRDefault="001C42AA" w:rsidP="001C42AA">
            <w:pPr>
              <w:numPr>
                <w:ilvl w:val="0"/>
                <w:numId w:val="3"/>
              </w:numPr>
              <w:spacing w:after="0" w:line="240" w:lineRule="auto"/>
              <w:contextualSpacing/>
              <w:rPr>
                <w:rFonts w:ascii="Cambria" w:eastAsia="Calibri" w:hAnsi="Cambria" w:cs="Calibri"/>
                <w:lang w:val="it-IT"/>
              </w:rPr>
            </w:pPr>
            <w:proofErr w:type="spellStart"/>
            <w:r w:rsidRPr="00DF4CE5">
              <w:rPr>
                <w:rFonts w:ascii="Cambria" w:eastAsia="Calibri" w:hAnsi="Cambria" w:cs="Calibri"/>
                <w:lang w:val="it-IT"/>
              </w:rPr>
              <w:t>izraziti</w:t>
            </w:r>
            <w:proofErr w:type="spellEnd"/>
            <w:r w:rsidRPr="00DF4CE5">
              <w:rPr>
                <w:rFonts w:ascii="Cambria" w:eastAsia="Calibri" w:hAnsi="Cambria" w:cs="Calibri"/>
                <w:lang w:val="it-IT"/>
              </w:rPr>
              <w:t xml:space="preserve"> </w:t>
            </w:r>
            <w:proofErr w:type="spellStart"/>
            <w:r w:rsidRPr="00DF4CE5">
              <w:rPr>
                <w:rFonts w:ascii="Cambria" w:eastAsia="Calibri" w:hAnsi="Cambria" w:cs="Calibri"/>
                <w:lang w:val="it-IT"/>
              </w:rPr>
              <w:t>vlastito</w:t>
            </w:r>
            <w:proofErr w:type="spellEnd"/>
            <w:r w:rsidRPr="00DF4CE5">
              <w:rPr>
                <w:rFonts w:ascii="Cambria" w:eastAsia="Calibri" w:hAnsi="Cambria" w:cs="Calibri"/>
                <w:lang w:val="it-IT"/>
              </w:rPr>
              <w:t xml:space="preserve"> </w:t>
            </w:r>
            <w:proofErr w:type="spellStart"/>
            <w:r w:rsidRPr="00DF4CE5">
              <w:rPr>
                <w:rFonts w:ascii="Cambria" w:eastAsia="Calibri" w:hAnsi="Cambria" w:cs="Calibri"/>
                <w:lang w:val="it-IT"/>
              </w:rPr>
              <w:t>mišljenje</w:t>
            </w:r>
            <w:proofErr w:type="spellEnd"/>
            <w:r w:rsidRPr="00DF4CE5">
              <w:rPr>
                <w:rFonts w:ascii="Cambria" w:eastAsia="Calibri" w:hAnsi="Cambria" w:cs="Calibri"/>
                <w:lang w:val="it-IT"/>
              </w:rPr>
              <w:t xml:space="preserve"> u </w:t>
            </w:r>
            <w:proofErr w:type="spellStart"/>
            <w:r w:rsidRPr="00DF4CE5">
              <w:rPr>
                <w:rFonts w:ascii="Cambria" w:eastAsia="Calibri" w:hAnsi="Cambria" w:cs="Calibri"/>
                <w:lang w:val="it-IT"/>
              </w:rPr>
              <w:t>diskusijama</w:t>
            </w:r>
            <w:proofErr w:type="spellEnd"/>
            <w:r w:rsidRPr="00DF4CE5">
              <w:rPr>
                <w:rFonts w:ascii="Cambria" w:eastAsia="Calibri" w:hAnsi="Cambria" w:cs="Calibri"/>
                <w:lang w:val="it-IT"/>
              </w:rPr>
              <w:t xml:space="preserve"> i </w:t>
            </w:r>
            <w:proofErr w:type="spellStart"/>
            <w:r w:rsidRPr="00DF4CE5">
              <w:rPr>
                <w:rFonts w:ascii="Cambria" w:eastAsia="Calibri" w:hAnsi="Cambria" w:cs="Calibri"/>
                <w:lang w:val="it-IT"/>
              </w:rPr>
              <w:t>razgovorima</w:t>
            </w:r>
            <w:proofErr w:type="spellEnd"/>
          </w:p>
          <w:p w14:paraId="6FFA9EC5" w14:textId="77777777" w:rsidR="001C42AA" w:rsidRPr="00DF4CE5" w:rsidRDefault="001C42AA" w:rsidP="001C42AA">
            <w:pPr>
              <w:numPr>
                <w:ilvl w:val="0"/>
                <w:numId w:val="3"/>
              </w:numPr>
              <w:spacing w:after="0" w:line="240" w:lineRule="auto"/>
              <w:contextualSpacing/>
              <w:rPr>
                <w:rFonts w:ascii="Cambria" w:eastAsia="Calibri" w:hAnsi="Cambria" w:cs="Calibri"/>
                <w:lang w:val="it-IT"/>
              </w:rPr>
            </w:pPr>
            <w:proofErr w:type="spellStart"/>
            <w:r w:rsidRPr="00DF4CE5">
              <w:rPr>
                <w:rFonts w:ascii="Cambria" w:eastAsia="Calibri" w:hAnsi="Cambria" w:cs="Calibri"/>
                <w:lang w:val="it-IT"/>
              </w:rPr>
              <w:t>pravilno</w:t>
            </w:r>
            <w:proofErr w:type="spellEnd"/>
            <w:r w:rsidRPr="00DF4CE5">
              <w:rPr>
                <w:rFonts w:ascii="Cambria" w:eastAsia="Calibri" w:hAnsi="Cambria" w:cs="Calibri"/>
                <w:lang w:val="it-IT"/>
              </w:rPr>
              <w:t xml:space="preserve"> </w:t>
            </w:r>
            <w:proofErr w:type="spellStart"/>
            <w:r w:rsidRPr="00DF4CE5">
              <w:rPr>
                <w:rFonts w:ascii="Cambria" w:eastAsia="Calibri" w:hAnsi="Cambria" w:cs="Calibri"/>
                <w:lang w:val="it-IT"/>
              </w:rPr>
              <w:t>čitati</w:t>
            </w:r>
            <w:proofErr w:type="spellEnd"/>
            <w:r w:rsidRPr="00DF4CE5">
              <w:rPr>
                <w:rFonts w:ascii="Cambria" w:eastAsia="Calibri" w:hAnsi="Cambria" w:cs="Calibri"/>
                <w:lang w:val="it-IT"/>
              </w:rPr>
              <w:t xml:space="preserve"> i </w:t>
            </w:r>
            <w:proofErr w:type="spellStart"/>
            <w:r w:rsidRPr="00DF4CE5">
              <w:rPr>
                <w:rFonts w:ascii="Cambria" w:eastAsia="Calibri" w:hAnsi="Cambria" w:cs="Calibri"/>
                <w:lang w:val="it-IT"/>
              </w:rPr>
              <w:t>izgovarati</w:t>
            </w:r>
            <w:proofErr w:type="spellEnd"/>
            <w:r w:rsidRPr="00DF4CE5">
              <w:rPr>
                <w:rFonts w:ascii="Cambria" w:eastAsia="Calibri" w:hAnsi="Cambria" w:cs="Calibri"/>
                <w:lang w:val="it-IT"/>
              </w:rPr>
              <w:t xml:space="preserve"> </w:t>
            </w:r>
            <w:proofErr w:type="spellStart"/>
            <w:r w:rsidRPr="00DF4CE5">
              <w:rPr>
                <w:rFonts w:ascii="Cambria" w:eastAsia="Calibri" w:hAnsi="Cambria" w:cs="Calibri"/>
                <w:lang w:val="it-IT"/>
              </w:rPr>
              <w:t>tekstove</w:t>
            </w:r>
            <w:proofErr w:type="spellEnd"/>
            <w:r w:rsidRPr="00DF4CE5">
              <w:rPr>
                <w:rFonts w:ascii="Cambria" w:eastAsia="Calibri" w:hAnsi="Cambria" w:cs="Calibri"/>
                <w:lang w:val="it-IT"/>
              </w:rPr>
              <w:t xml:space="preserve"> </w:t>
            </w:r>
            <w:proofErr w:type="spellStart"/>
            <w:r w:rsidRPr="00DF4CE5">
              <w:rPr>
                <w:rFonts w:ascii="Cambria" w:eastAsia="Calibri" w:hAnsi="Cambria" w:cs="Calibri"/>
                <w:lang w:val="it-IT"/>
              </w:rPr>
              <w:t>na</w:t>
            </w:r>
            <w:proofErr w:type="spellEnd"/>
            <w:r w:rsidRPr="00DF4CE5">
              <w:rPr>
                <w:rFonts w:ascii="Cambria" w:eastAsia="Calibri" w:hAnsi="Cambria" w:cs="Calibri"/>
                <w:lang w:val="it-IT"/>
              </w:rPr>
              <w:t xml:space="preserve"> </w:t>
            </w:r>
            <w:proofErr w:type="spellStart"/>
            <w:r w:rsidRPr="00DF4CE5">
              <w:rPr>
                <w:rFonts w:ascii="Cambria" w:eastAsia="Calibri" w:hAnsi="Cambria" w:cs="Calibri"/>
                <w:lang w:val="it-IT"/>
              </w:rPr>
              <w:t>engleskom</w:t>
            </w:r>
            <w:proofErr w:type="spellEnd"/>
            <w:r w:rsidRPr="00DF4CE5">
              <w:rPr>
                <w:rFonts w:ascii="Cambria" w:eastAsia="Calibri" w:hAnsi="Cambria" w:cs="Calibri"/>
                <w:lang w:val="it-IT"/>
              </w:rPr>
              <w:t xml:space="preserve"> </w:t>
            </w:r>
            <w:proofErr w:type="spellStart"/>
            <w:r w:rsidRPr="00DF4CE5">
              <w:rPr>
                <w:rFonts w:ascii="Cambria" w:eastAsia="Calibri" w:hAnsi="Cambria" w:cs="Calibri"/>
                <w:lang w:val="it-IT"/>
              </w:rPr>
              <w:t>jeziku</w:t>
            </w:r>
            <w:proofErr w:type="spellEnd"/>
          </w:p>
          <w:p w14:paraId="7CA9E41F" w14:textId="77777777" w:rsidR="001C42AA" w:rsidRPr="00DF4CE5" w:rsidRDefault="001C42AA" w:rsidP="001C42AA">
            <w:pPr>
              <w:spacing w:after="0" w:line="240" w:lineRule="auto"/>
              <w:rPr>
                <w:rFonts w:ascii="Cambria" w:eastAsia="Times New Roman" w:hAnsi="Cambria" w:cs="Calibri"/>
                <w:lang w:val="it-IT"/>
              </w:rPr>
            </w:pPr>
            <w:r w:rsidRPr="00DF4CE5">
              <w:rPr>
                <w:rFonts w:ascii="Cambria" w:eastAsia="Times New Roman" w:hAnsi="Cambria" w:cs="Calibri"/>
                <w:lang w:val="it-IT"/>
              </w:rPr>
              <w:t xml:space="preserve">6.   </w:t>
            </w:r>
            <w:proofErr w:type="spellStart"/>
            <w:r w:rsidRPr="00DF4CE5">
              <w:rPr>
                <w:rFonts w:ascii="Cambria" w:eastAsia="Times New Roman" w:hAnsi="Cambria" w:cs="Calibri"/>
                <w:lang w:val="it-IT"/>
              </w:rPr>
              <w:t>pravilno</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napisati</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različite</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vrste</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tekstova</w:t>
            </w:r>
            <w:proofErr w:type="spellEnd"/>
          </w:p>
        </w:tc>
      </w:tr>
      <w:tr w:rsidR="001C42AA" w:rsidRPr="00DF4CE5" w14:paraId="47DA0C36" w14:textId="77777777" w:rsidTr="001C42AA">
        <w:trPr>
          <w:trHeight w:val="244"/>
        </w:trPr>
        <w:tc>
          <w:tcPr>
            <w:tcW w:w="2610"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7B3ECAA5" w14:textId="77777777" w:rsidR="001C42AA" w:rsidRPr="00DF4CE5" w:rsidRDefault="001C42AA" w:rsidP="001C42AA">
            <w:pPr>
              <w:spacing w:after="0" w:line="240" w:lineRule="auto"/>
              <w:rPr>
                <w:rFonts w:ascii="Cambria" w:eastAsia="Times New Roman" w:hAnsi="Cambria" w:cs="Calibri"/>
              </w:rPr>
            </w:pPr>
            <w:proofErr w:type="spellStart"/>
            <w:r w:rsidRPr="00DF4CE5">
              <w:rPr>
                <w:rFonts w:ascii="Cambria" w:eastAsia="Times New Roman" w:hAnsi="Cambria" w:cs="Calibri"/>
              </w:rPr>
              <w:t>Sadržaj</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kolegija</w:t>
            </w:r>
            <w:proofErr w:type="spellEnd"/>
          </w:p>
        </w:tc>
        <w:tc>
          <w:tcPr>
            <w:tcW w:w="6730"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2F11387" w14:textId="77777777" w:rsidR="001C42AA" w:rsidRPr="00DF4CE5" w:rsidRDefault="001C42AA" w:rsidP="001C42AA">
            <w:pPr>
              <w:numPr>
                <w:ilvl w:val="0"/>
                <w:numId w:val="4"/>
              </w:numPr>
              <w:spacing w:after="0" w:line="276" w:lineRule="auto"/>
              <w:ind w:left="357" w:hanging="357"/>
              <w:contextualSpacing/>
              <w:rPr>
                <w:rFonts w:ascii="Cambria" w:eastAsia="Calibri" w:hAnsi="Cambria" w:cs="Calibri"/>
              </w:rPr>
            </w:pPr>
            <w:r w:rsidRPr="00DF4CE5">
              <w:rPr>
                <w:rFonts w:ascii="Cambria" w:eastAsia="Calibri" w:hAnsi="Cambria" w:cs="Calibri"/>
              </w:rPr>
              <w:t>Present tenses, active and passive</w:t>
            </w:r>
          </w:p>
          <w:p w14:paraId="6586F7FC" w14:textId="77777777" w:rsidR="001C42AA" w:rsidRPr="00DF4CE5" w:rsidRDefault="001C42AA" w:rsidP="001C42AA">
            <w:pPr>
              <w:numPr>
                <w:ilvl w:val="0"/>
                <w:numId w:val="4"/>
              </w:numPr>
              <w:spacing w:after="0" w:line="276" w:lineRule="auto"/>
              <w:ind w:left="357" w:hanging="357"/>
              <w:contextualSpacing/>
              <w:rPr>
                <w:rFonts w:ascii="Cambria" w:eastAsia="Calibri" w:hAnsi="Cambria" w:cs="Calibri"/>
              </w:rPr>
            </w:pPr>
            <w:r w:rsidRPr="00DF4CE5">
              <w:rPr>
                <w:rFonts w:ascii="Cambria" w:eastAsia="Calibri" w:hAnsi="Cambria" w:cs="Calibri"/>
              </w:rPr>
              <w:t>Careers</w:t>
            </w:r>
          </w:p>
          <w:p w14:paraId="05E46581" w14:textId="77777777" w:rsidR="001C42AA" w:rsidRPr="00DF4CE5" w:rsidRDefault="001C42AA" w:rsidP="001C42AA">
            <w:pPr>
              <w:numPr>
                <w:ilvl w:val="0"/>
                <w:numId w:val="4"/>
              </w:numPr>
              <w:spacing w:after="0" w:line="276" w:lineRule="auto"/>
              <w:ind w:left="357" w:hanging="357"/>
              <w:contextualSpacing/>
              <w:rPr>
                <w:rFonts w:ascii="Cambria" w:eastAsia="Calibri" w:hAnsi="Cambria" w:cs="Calibri"/>
              </w:rPr>
            </w:pPr>
            <w:r w:rsidRPr="00DF4CE5">
              <w:rPr>
                <w:rFonts w:ascii="Cambria" w:eastAsia="Calibri" w:hAnsi="Cambria" w:cs="Calibri"/>
              </w:rPr>
              <w:t>Future tenses</w:t>
            </w:r>
          </w:p>
          <w:p w14:paraId="2616A902" w14:textId="77777777" w:rsidR="001C42AA" w:rsidRPr="00DF4CE5" w:rsidRDefault="001C42AA" w:rsidP="001C42AA">
            <w:pPr>
              <w:numPr>
                <w:ilvl w:val="0"/>
                <w:numId w:val="4"/>
              </w:numPr>
              <w:spacing w:after="0" w:line="276" w:lineRule="auto"/>
              <w:ind w:left="357" w:hanging="357"/>
              <w:contextualSpacing/>
              <w:rPr>
                <w:rFonts w:ascii="Cambria" w:eastAsia="Calibri" w:hAnsi="Cambria" w:cs="Calibri"/>
              </w:rPr>
            </w:pPr>
            <w:r w:rsidRPr="00DF4CE5">
              <w:rPr>
                <w:rFonts w:ascii="Cambria" w:eastAsia="Calibri" w:hAnsi="Cambria" w:cs="Calibri"/>
              </w:rPr>
              <w:t>Growth and development</w:t>
            </w:r>
          </w:p>
          <w:p w14:paraId="4E5E6C78" w14:textId="77777777" w:rsidR="001C42AA" w:rsidRPr="00DF4CE5" w:rsidRDefault="001C42AA" w:rsidP="001C42AA">
            <w:pPr>
              <w:numPr>
                <w:ilvl w:val="0"/>
                <w:numId w:val="4"/>
              </w:numPr>
              <w:spacing w:after="0" w:line="276" w:lineRule="auto"/>
              <w:ind w:left="357" w:hanging="357"/>
              <w:contextualSpacing/>
              <w:rPr>
                <w:rFonts w:ascii="Cambria" w:eastAsia="Calibri" w:hAnsi="Cambria" w:cs="Calibri"/>
              </w:rPr>
            </w:pPr>
            <w:r w:rsidRPr="00DF4CE5">
              <w:rPr>
                <w:rFonts w:ascii="Cambria" w:eastAsia="Calibri" w:hAnsi="Cambria" w:cs="Calibri"/>
              </w:rPr>
              <w:t>Present Perfect</w:t>
            </w:r>
          </w:p>
          <w:p w14:paraId="17742105" w14:textId="77777777" w:rsidR="001C42AA" w:rsidRPr="00DF4CE5" w:rsidRDefault="001C42AA" w:rsidP="001C42AA">
            <w:pPr>
              <w:numPr>
                <w:ilvl w:val="0"/>
                <w:numId w:val="4"/>
              </w:numPr>
              <w:spacing w:after="0" w:line="276" w:lineRule="auto"/>
              <w:ind w:left="357" w:hanging="357"/>
              <w:contextualSpacing/>
              <w:rPr>
                <w:rFonts w:ascii="Cambria" w:eastAsia="Calibri" w:hAnsi="Cambria" w:cs="Calibri"/>
              </w:rPr>
            </w:pPr>
            <w:r w:rsidRPr="00DF4CE5">
              <w:rPr>
                <w:rFonts w:ascii="Cambria" w:eastAsia="Calibri" w:hAnsi="Cambria" w:cs="Calibri"/>
              </w:rPr>
              <w:t>Success and failure</w:t>
            </w:r>
          </w:p>
          <w:p w14:paraId="5D238618" w14:textId="77777777" w:rsidR="001C42AA" w:rsidRPr="00DF4CE5" w:rsidRDefault="001C42AA" w:rsidP="001C42AA">
            <w:pPr>
              <w:numPr>
                <w:ilvl w:val="0"/>
                <w:numId w:val="4"/>
              </w:numPr>
              <w:spacing w:after="0" w:line="276" w:lineRule="auto"/>
              <w:ind w:left="357" w:hanging="357"/>
              <w:contextualSpacing/>
              <w:rPr>
                <w:rFonts w:ascii="Cambria" w:eastAsia="Calibri" w:hAnsi="Cambria" w:cs="Calibri"/>
              </w:rPr>
            </w:pPr>
            <w:r w:rsidRPr="00DF4CE5">
              <w:rPr>
                <w:rFonts w:ascii="Cambria" w:eastAsia="Calibri" w:hAnsi="Cambria" w:cs="Calibri"/>
              </w:rPr>
              <w:t>Narrative tenses</w:t>
            </w:r>
          </w:p>
          <w:p w14:paraId="36DC3949" w14:textId="77777777" w:rsidR="001C42AA" w:rsidRPr="00DF4CE5" w:rsidRDefault="001C42AA" w:rsidP="001C42AA">
            <w:pPr>
              <w:numPr>
                <w:ilvl w:val="0"/>
                <w:numId w:val="4"/>
              </w:numPr>
              <w:spacing w:after="0" w:line="276" w:lineRule="auto"/>
              <w:ind w:left="357" w:hanging="357"/>
              <w:contextualSpacing/>
              <w:rPr>
                <w:rFonts w:ascii="Cambria" w:eastAsia="Calibri" w:hAnsi="Cambria" w:cs="Calibri"/>
              </w:rPr>
            </w:pPr>
            <w:r w:rsidRPr="00DF4CE5">
              <w:rPr>
                <w:rFonts w:ascii="Cambria" w:eastAsia="Calibri" w:hAnsi="Cambria" w:cs="Calibri"/>
              </w:rPr>
              <w:t>Exercise</w:t>
            </w:r>
          </w:p>
          <w:p w14:paraId="398E74F2" w14:textId="77777777" w:rsidR="001C42AA" w:rsidRPr="00DF4CE5" w:rsidRDefault="001C42AA" w:rsidP="001C42AA">
            <w:pPr>
              <w:numPr>
                <w:ilvl w:val="0"/>
                <w:numId w:val="4"/>
              </w:numPr>
              <w:spacing w:after="0" w:line="276" w:lineRule="auto"/>
              <w:ind w:left="357" w:hanging="357"/>
              <w:contextualSpacing/>
              <w:rPr>
                <w:rFonts w:ascii="Cambria" w:eastAsia="Calibri" w:hAnsi="Cambria" w:cs="Calibri"/>
              </w:rPr>
            </w:pPr>
            <w:r w:rsidRPr="00DF4CE5">
              <w:rPr>
                <w:rFonts w:ascii="Cambria" w:eastAsia="Calibri" w:hAnsi="Cambria" w:cs="Calibri"/>
              </w:rPr>
              <w:t>Modal verbs</w:t>
            </w:r>
          </w:p>
          <w:p w14:paraId="29293012" w14:textId="77777777" w:rsidR="001C42AA" w:rsidRPr="00DF4CE5" w:rsidRDefault="001C42AA" w:rsidP="001C42AA">
            <w:pPr>
              <w:numPr>
                <w:ilvl w:val="0"/>
                <w:numId w:val="4"/>
              </w:numPr>
              <w:spacing w:after="0" w:line="276" w:lineRule="auto"/>
              <w:ind w:left="357" w:hanging="357"/>
              <w:contextualSpacing/>
              <w:rPr>
                <w:rFonts w:ascii="Cambria" w:eastAsia="Calibri" w:hAnsi="Cambria" w:cs="Calibri"/>
              </w:rPr>
            </w:pPr>
            <w:r w:rsidRPr="00DF4CE5">
              <w:rPr>
                <w:rFonts w:ascii="Cambria" w:eastAsia="Calibri" w:hAnsi="Cambria" w:cs="Calibri"/>
              </w:rPr>
              <w:t>Communication</w:t>
            </w:r>
          </w:p>
          <w:p w14:paraId="2C25F94F" w14:textId="77777777" w:rsidR="001C42AA" w:rsidRPr="00DF4CE5" w:rsidRDefault="001C42AA" w:rsidP="001C42AA">
            <w:pPr>
              <w:numPr>
                <w:ilvl w:val="0"/>
                <w:numId w:val="4"/>
              </w:numPr>
              <w:spacing w:after="0" w:line="276" w:lineRule="auto"/>
              <w:ind w:left="357" w:hanging="357"/>
              <w:contextualSpacing/>
              <w:rPr>
                <w:rFonts w:ascii="Cambria" w:eastAsia="Calibri" w:hAnsi="Cambria" w:cs="Calibri"/>
                <w:lang w:eastAsia="hr-HR"/>
              </w:rPr>
            </w:pPr>
            <w:r w:rsidRPr="00DF4CE5">
              <w:rPr>
                <w:rFonts w:ascii="Cambria" w:eastAsia="Calibri" w:hAnsi="Cambria" w:cs="Times New Roman"/>
              </w:rPr>
              <w:t>Conditional sentences 1, 2</w:t>
            </w:r>
          </w:p>
        </w:tc>
      </w:tr>
      <w:tr w:rsidR="001C42AA" w:rsidRPr="00DF4CE5" w14:paraId="23D5E4CF" w14:textId="77777777" w:rsidTr="001C42AA">
        <w:tc>
          <w:tcPr>
            <w:tcW w:w="2610"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hideMark/>
          </w:tcPr>
          <w:p w14:paraId="13135C85" w14:textId="77777777" w:rsidR="001C42AA" w:rsidRPr="00DF4CE5" w:rsidRDefault="001C42AA" w:rsidP="001C42AA">
            <w:pPr>
              <w:spacing w:after="0" w:line="240" w:lineRule="auto"/>
              <w:rPr>
                <w:rFonts w:ascii="Cambria" w:eastAsia="Times New Roman" w:hAnsi="Cambria" w:cs="Calibri"/>
              </w:rPr>
            </w:pPr>
            <w:proofErr w:type="spellStart"/>
            <w:r w:rsidRPr="00DF4CE5">
              <w:rPr>
                <w:rFonts w:ascii="Cambria" w:eastAsia="Times New Roman" w:hAnsi="Cambria" w:cs="Calibri"/>
              </w:rPr>
              <w:lastRenderedPageBreak/>
              <w:t>Planirane</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aktivnosti</w:t>
            </w:r>
            <w:proofErr w:type="spellEnd"/>
            <w:r w:rsidRPr="00DF4CE5">
              <w:rPr>
                <w:rFonts w:ascii="Cambria" w:eastAsia="Times New Roman" w:hAnsi="Cambria" w:cs="Calibri"/>
                <w:lang w:val="it-IT"/>
              </w:rPr>
              <w:t>,</w:t>
            </w:r>
          </w:p>
          <w:p w14:paraId="68D1192E" w14:textId="77777777" w:rsidR="001C42AA" w:rsidRPr="00DF4CE5" w:rsidRDefault="001C42AA" w:rsidP="001C42AA">
            <w:pPr>
              <w:spacing w:after="0" w:line="240" w:lineRule="auto"/>
              <w:rPr>
                <w:rFonts w:ascii="Cambria" w:eastAsia="Times New Roman" w:hAnsi="Cambria" w:cs="Calibri"/>
                <w:lang w:val="it-IT"/>
              </w:rPr>
            </w:pPr>
            <w:proofErr w:type="spellStart"/>
            <w:r w:rsidRPr="00DF4CE5">
              <w:rPr>
                <w:rFonts w:ascii="Cambria" w:eastAsia="Times New Roman" w:hAnsi="Cambria" w:cs="Calibri"/>
                <w:lang w:val="it-IT"/>
              </w:rPr>
              <w:t>metode</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učenja</w:t>
            </w:r>
            <w:proofErr w:type="spellEnd"/>
            <w:r w:rsidRPr="00DF4CE5">
              <w:rPr>
                <w:rFonts w:ascii="Cambria" w:eastAsia="Times New Roman" w:hAnsi="Cambria" w:cs="Calibri"/>
                <w:lang w:val="it-IT"/>
              </w:rPr>
              <w:t xml:space="preserve"> i </w:t>
            </w:r>
            <w:proofErr w:type="spellStart"/>
            <w:r w:rsidRPr="00DF4CE5">
              <w:rPr>
                <w:rFonts w:ascii="Cambria" w:eastAsia="Times New Roman" w:hAnsi="Cambria" w:cs="Calibri"/>
                <w:lang w:val="it-IT"/>
              </w:rPr>
              <w:t>poučavanja</w:t>
            </w:r>
            <w:proofErr w:type="spellEnd"/>
            <w:r w:rsidRPr="00DF4CE5">
              <w:rPr>
                <w:rFonts w:ascii="Cambria" w:eastAsia="Times New Roman" w:hAnsi="Cambria" w:cs="Calibri"/>
                <w:lang w:val="it-IT"/>
              </w:rPr>
              <w:t xml:space="preserve"> i </w:t>
            </w:r>
            <w:proofErr w:type="spellStart"/>
            <w:r w:rsidRPr="00DF4CE5">
              <w:rPr>
                <w:rFonts w:ascii="Cambria" w:eastAsia="Times New Roman" w:hAnsi="Cambria" w:cs="Calibri"/>
                <w:lang w:val="it-IT"/>
              </w:rPr>
              <w:t>načini</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vrednovanja</w:t>
            </w:r>
            <w:proofErr w:type="spellEnd"/>
          </w:p>
          <w:p w14:paraId="38BFE2C3" w14:textId="77777777" w:rsidR="001C42AA" w:rsidRPr="00DF4CE5" w:rsidRDefault="001C42AA" w:rsidP="001C42AA">
            <w:pPr>
              <w:spacing w:after="0" w:line="240" w:lineRule="auto"/>
              <w:rPr>
                <w:rFonts w:ascii="Cambria" w:eastAsia="Times New Roman" w:hAnsi="Cambria" w:cs="Calibri"/>
                <w:lang w:val="it-IT"/>
              </w:rPr>
            </w:pPr>
          </w:p>
        </w:tc>
        <w:tc>
          <w:tcPr>
            <w:tcW w:w="257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46B1FA4" w14:textId="77777777" w:rsidR="001C42AA" w:rsidRPr="00DF4CE5" w:rsidRDefault="001C42AA" w:rsidP="001C42AA">
            <w:pPr>
              <w:spacing w:after="0" w:line="240" w:lineRule="auto"/>
              <w:rPr>
                <w:rFonts w:ascii="Cambria" w:eastAsia="Times New Roman" w:hAnsi="Cambria" w:cs="Calibri"/>
                <w:bCs/>
                <w:lang w:val="it-IT"/>
              </w:rPr>
            </w:pPr>
          </w:p>
          <w:p w14:paraId="0CA9B764" w14:textId="77777777" w:rsidR="001C42AA" w:rsidRPr="00DF4CE5" w:rsidRDefault="001C42AA" w:rsidP="001C42AA">
            <w:pPr>
              <w:spacing w:after="0" w:line="240" w:lineRule="auto"/>
              <w:rPr>
                <w:rFonts w:ascii="Cambria" w:eastAsia="Times New Roman" w:hAnsi="Cambria" w:cs="Calibri"/>
              </w:rPr>
            </w:pPr>
            <w:proofErr w:type="spellStart"/>
            <w:r w:rsidRPr="00DF4CE5">
              <w:rPr>
                <w:rFonts w:ascii="Cambria" w:eastAsia="Times New Roman" w:hAnsi="Cambria" w:cs="Calibri"/>
                <w:bCs/>
              </w:rPr>
              <w:t>Obveze</w:t>
            </w:r>
            <w:proofErr w:type="spellEnd"/>
          </w:p>
          <w:p w14:paraId="65ED1E83" w14:textId="77777777" w:rsidR="001C42AA" w:rsidRPr="00DF4CE5" w:rsidRDefault="001C42AA" w:rsidP="001C42AA">
            <w:pPr>
              <w:spacing w:after="0" w:line="240" w:lineRule="auto"/>
              <w:rPr>
                <w:rFonts w:ascii="Cambria" w:eastAsia="Times New Roman" w:hAnsi="Cambria" w:cs="Calibri"/>
              </w:rPr>
            </w:pPr>
          </w:p>
        </w:tc>
        <w:tc>
          <w:tcPr>
            <w:tcW w:w="109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4B887B7" w14:textId="77777777" w:rsidR="001C42AA" w:rsidRPr="00DF4CE5" w:rsidRDefault="001C42AA" w:rsidP="001C42AA">
            <w:pPr>
              <w:spacing w:after="0" w:line="240" w:lineRule="auto"/>
              <w:rPr>
                <w:rFonts w:ascii="Cambria" w:eastAsia="Times New Roman" w:hAnsi="Cambria" w:cs="Calibri"/>
                <w:bCs/>
              </w:rPr>
            </w:pPr>
          </w:p>
          <w:p w14:paraId="463B688C" w14:textId="77777777" w:rsidR="001C42AA" w:rsidRPr="00DF4CE5" w:rsidRDefault="001C42AA" w:rsidP="001C42AA">
            <w:pPr>
              <w:spacing w:after="0" w:line="240" w:lineRule="auto"/>
              <w:rPr>
                <w:rFonts w:ascii="Cambria" w:eastAsia="Times New Roman" w:hAnsi="Cambria" w:cs="Calibri"/>
              </w:rPr>
            </w:pPr>
            <w:proofErr w:type="spellStart"/>
            <w:r w:rsidRPr="00DF4CE5">
              <w:rPr>
                <w:rFonts w:ascii="Cambria" w:eastAsia="Times New Roman" w:hAnsi="Cambria" w:cs="Calibri"/>
                <w:bCs/>
              </w:rPr>
              <w:t>Ishodi</w:t>
            </w:r>
            <w:proofErr w:type="spellEnd"/>
          </w:p>
          <w:p w14:paraId="7026A05E" w14:textId="77777777" w:rsidR="001C42AA" w:rsidRPr="00DF4CE5" w:rsidRDefault="001C42AA" w:rsidP="001C42AA">
            <w:pPr>
              <w:spacing w:after="0" w:line="240" w:lineRule="auto"/>
              <w:rPr>
                <w:rFonts w:ascii="Cambria" w:eastAsia="Times New Roman" w:hAnsi="Cambria" w:cs="Calibri"/>
              </w:rPr>
            </w:pPr>
          </w:p>
        </w:tc>
        <w:tc>
          <w:tcPr>
            <w:tcW w:w="724"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4E32A5D" w14:textId="77777777" w:rsidR="001C42AA" w:rsidRPr="00DF4CE5" w:rsidRDefault="001C42AA" w:rsidP="001C42AA">
            <w:pPr>
              <w:spacing w:after="0" w:line="240" w:lineRule="auto"/>
              <w:rPr>
                <w:rFonts w:ascii="Cambria" w:eastAsia="Times New Roman" w:hAnsi="Cambria" w:cs="Calibri"/>
              </w:rPr>
            </w:pPr>
            <w:r w:rsidRPr="00DF4CE5">
              <w:rPr>
                <w:rFonts w:ascii="Cambria" w:eastAsia="Times New Roman" w:hAnsi="Cambria" w:cs="Calibri"/>
                <w:bCs/>
              </w:rPr>
              <w:t>Sati</w:t>
            </w:r>
          </w:p>
        </w:tc>
        <w:tc>
          <w:tcPr>
            <w:tcW w:w="101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9DD0122" w14:textId="77777777" w:rsidR="001C42AA" w:rsidRPr="00DF4CE5" w:rsidRDefault="001C42AA" w:rsidP="001C42AA">
            <w:pPr>
              <w:spacing w:after="0" w:line="240" w:lineRule="auto"/>
              <w:rPr>
                <w:rFonts w:ascii="Cambria" w:eastAsia="Times New Roman" w:hAnsi="Cambria" w:cs="Calibri"/>
              </w:rPr>
            </w:pPr>
            <w:proofErr w:type="spellStart"/>
            <w:r w:rsidRPr="00DF4CE5">
              <w:rPr>
                <w:rFonts w:ascii="Cambria" w:eastAsia="Times New Roman" w:hAnsi="Cambria" w:cs="Calibri"/>
                <w:bCs/>
              </w:rPr>
              <w:t>Udio</w:t>
            </w:r>
            <w:proofErr w:type="spellEnd"/>
            <w:r w:rsidRPr="00DF4CE5">
              <w:rPr>
                <w:rFonts w:ascii="Cambria" w:eastAsia="Times New Roman" w:hAnsi="Cambria" w:cs="Calibri"/>
                <w:bCs/>
              </w:rPr>
              <w:t xml:space="preserve"> u ECTS</w:t>
            </w:r>
          </w:p>
        </w:tc>
        <w:tc>
          <w:tcPr>
            <w:tcW w:w="13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E815CE7" w14:textId="77777777" w:rsidR="001C42AA" w:rsidRPr="00DF4CE5" w:rsidRDefault="001C42AA" w:rsidP="001C42AA">
            <w:pPr>
              <w:spacing w:after="0" w:line="240" w:lineRule="auto"/>
              <w:rPr>
                <w:rFonts w:ascii="Cambria" w:eastAsia="Times New Roman" w:hAnsi="Cambria" w:cs="Calibri"/>
              </w:rPr>
            </w:pPr>
            <w:proofErr w:type="spellStart"/>
            <w:r w:rsidRPr="00DF4CE5">
              <w:rPr>
                <w:rFonts w:ascii="Cambria" w:eastAsia="Times New Roman" w:hAnsi="Cambria" w:cs="Calibri"/>
                <w:bCs/>
              </w:rPr>
              <w:t>Maksimalni</w:t>
            </w:r>
            <w:proofErr w:type="spellEnd"/>
            <w:r w:rsidRPr="00DF4CE5">
              <w:rPr>
                <w:rFonts w:ascii="Cambria" w:eastAsia="Times New Roman" w:hAnsi="Cambria" w:cs="Calibri"/>
                <w:bCs/>
              </w:rPr>
              <w:t xml:space="preserve"> </w:t>
            </w:r>
            <w:proofErr w:type="spellStart"/>
            <w:r w:rsidRPr="00DF4CE5">
              <w:rPr>
                <w:rFonts w:ascii="Cambria" w:eastAsia="Times New Roman" w:hAnsi="Cambria" w:cs="Calibri"/>
                <w:bCs/>
              </w:rPr>
              <w:t>udio</w:t>
            </w:r>
            <w:proofErr w:type="spellEnd"/>
            <w:r w:rsidRPr="00DF4CE5">
              <w:rPr>
                <w:rFonts w:ascii="Cambria" w:eastAsia="Times New Roman" w:hAnsi="Cambria" w:cs="Calibri"/>
                <w:bCs/>
              </w:rPr>
              <w:t xml:space="preserve"> u </w:t>
            </w:r>
            <w:proofErr w:type="spellStart"/>
            <w:r w:rsidRPr="00DF4CE5">
              <w:rPr>
                <w:rFonts w:ascii="Cambria" w:eastAsia="Times New Roman" w:hAnsi="Cambria" w:cs="Calibri"/>
                <w:bCs/>
              </w:rPr>
              <w:t>ocjeni</w:t>
            </w:r>
            <w:proofErr w:type="spellEnd"/>
            <w:r w:rsidRPr="00DF4CE5">
              <w:rPr>
                <w:rFonts w:ascii="Cambria" w:eastAsia="Times New Roman" w:hAnsi="Cambria" w:cs="Calibri"/>
                <w:bCs/>
              </w:rPr>
              <w:t xml:space="preserve"> (%)</w:t>
            </w:r>
          </w:p>
        </w:tc>
      </w:tr>
      <w:tr w:rsidR="001C42AA" w:rsidRPr="00DF4CE5" w14:paraId="59A02F3E" w14:textId="77777777" w:rsidTr="001C42AA">
        <w:tc>
          <w:tcPr>
            <w:tcW w:w="2610" w:type="dxa"/>
            <w:vMerge/>
            <w:tcBorders>
              <w:left w:val="single" w:sz="8" w:space="0" w:color="000000"/>
              <w:right w:val="single" w:sz="8" w:space="0" w:color="000000"/>
            </w:tcBorders>
            <w:vAlign w:val="center"/>
            <w:hideMark/>
          </w:tcPr>
          <w:p w14:paraId="5FB79956" w14:textId="77777777" w:rsidR="001C42AA" w:rsidRPr="00DF4CE5" w:rsidRDefault="001C42AA" w:rsidP="001C42AA">
            <w:pPr>
              <w:spacing w:after="0" w:line="240" w:lineRule="auto"/>
              <w:rPr>
                <w:rFonts w:ascii="Cambria" w:eastAsia="Times New Roman" w:hAnsi="Cambria" w:cs="Calibri"/>
              </w:rPr>
            </w:pPr>
          </w:p>
        </w:tc>
        <w:tc>
          <w:tcPr>
            <w:tcW w:w="257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18264AA" w14:textId="1F449E84" w:rsidR="001C42AA" w:rsidRPr="00DF4CE5" w:rsidRDefault="001C42AA" w:rsidP="001C42AA">
            <w:pPr>
              <w:spacing w:after="0" w:line="240" w:lineRule="auto"/>
              <w:rPr>
                <w:rFonts w:ascii="Cambria" w:eastAsia="Times New Roman" w:hAnsi="Cambria" w:cs="Calibri"/>
                <w:lang w:val="it-IT"/>
              </w:rPr>
            </w:pPr>
            <w:proofErr w:type="spellStart"/>
            <w:r w:rsidRPr="00DF4CE5">
              <w:rPr>
                <w:rFonts w:ascii="Cambria" w:eastAsia="Times New Roman" w:hAnsi="Cambria" w:cs="Calibri"/>
                <w:lang w:val="it-IT"/>
              </w:rPr>
              <w:t>aktivnost</w:t>
            </w:r>
            <w:proofErr w:type="spellEnd"/>
            <w:r w:rsidRPr="00DF4CE5">
              <w:rPr>
                <w:rFonts w:ascii="Cambria" w:eastAsia="Times New Roman" w:hAnsi="Cambria" w:cs="Calibri"/>
                <w:lang w:val="it-IT"/>
              </w:rPr>
              <w:t xml:space="preserve"> </w:t>
            </w:r>
            <w:proofErr w:type="spellStart"/>
            <w:r w:rsidR="001C7FEE" w:rsidRPr="00DF4CE5">
              <w:rPr>
                <w:rFonts w:ascii="Cambria" w:eastAsia="Times New Roman" w:hAnsi="Cambria" w:cs="Calibri"/>
                <w:lang w:val="it-IT"/>
              </w:rPr>
              <w:t>na</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nastavi</w:t>
            </w:r>
            <w:proofErr w:type="spellEnd"/>
          </w:p>
        </w:tc>
        <w:tc>
          <w:tcPr>
            <w:tcW w:w="109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25CA13B" w14:textId="77777777" w:rsidR="001C42AA" w:rsidRPr="00DF4CE5" w:rsidRDefault="001C42AA" w:rsidP="001C42AA">
            <w:pPr>
              <w:spacing w:after="0" w:line="240" w:lineRule="auto"/>
              <w:jc w:val="center"/>
              <w:rPr>
                <w:rFonts w:ascii="Cambria" w:eastAsia="Times New Roman" w:hAnsi="Cambria" w:cs="Calibri"/>
              </w:rPr>
            </w:pPr>
            <w:r w:rsidRPr="00DF4CE5">
              <w:rPr>
                <w:rFonts w:ascii="Cambria" w:eastAsia="Times New Roman" w:hAnsi="Cambria" w:cs="Calibri"/>
              </w:rPr>
              <w:t>1. – 6.</w:t>
            </w:r>
          </w:p>
        </w:tc>
        <w:tc>
          <w:tcPr>
            <w:tcW w:w="724"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6A2153F" w14:textId="77777777" w:rsidR="001C42AA" w:rsidRPr="00DF4CE5" w:rsidRDefault="001C42AA" w:rsidP="001C42AA">
            <w:pPr>
              <w:spacing w:after="0" w:line="240" w:lineRule="auto"/>
              <w:jc w:val="center"/>
              <w:rPr>
                <w:rFonts w:ascii="Cambria" w:eastAsia="Times New Roman" w:hAnsi="Cambria" w:cs="Calibri"/>
              </w:rPr>
            </w:pPr>
            <w:r w:rsidRPr="00DF4CE5">
              <w:rPr>
                <w:rFonts w:ascii="Cambria" w:eastAsia="Times New Roman" w:hAnsi="Cambria" w:cs="Calibri"/>
              </w:rPr>
              <w:t>45</w:t>
            </w:r>
          </w:p>
        </w:tc>
        <w:tc>
          <w:tcPr>
            <w:tcW w:w="101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315F04C" w14:textId="77777777" w:rsidR="001C42AA" w:rsidRPr="00DF4CE5" w:rsidRDefault="001C42AA" w:rsidP="001C42AA">
            <w:pPr>
              <w:spacing w:after="0" w:line="240" w:lineRule="auto"/>
              <w:jc w:val="center"/>
              <w:rPr>
                <w:rFonts w:ascii="Cambria" w:eastAsia="Times New Roman" w:hAnsi="Cambria" w:cs="Calibri"/>
              </w:rPr>
            </w:pPr>
            <w:r w:rsidRPr="00DF4CE5">
              <w:rPr>
                <w:rFonts w:ascii="Cambria" w:eastAsia="Times New Roman" w:hAnsi="Cambria" w:cs="Calibri"/>
              </w:rPr>
              <w:t>1,5</w:t>
            </w:r>
          </w:p>
        </w:tc>
        <w:tc>
          <w:tcPr>
            <w:tcW w:w="13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BB0685B" w14:textId="77777777" w:rsidR="001C42AA" w:rsidRPr="00DF4CE5" w:rsidRDefault="001C42AA" w:rsidP="001C42AA">
            <w:pPr>
              <w:spacing w:after="0" w:line="240" w:lineRule="auto"/>
              <w:jc w:val="center"/>
              <w:rPr>
                <w:rFonts w:ascii="Cambria" w:eastAsia="Times New Roman" w:hAnsi="Cambria" w:cs="Calibri"/>
              </w:rPr>
            </w:pPr>
            <w:r w:rsidRPr="00DF4CE5">
              <w:rPr>
                <w:rFonts w:ascii="Cambria" w:eastAsia="Times New Roman" w:hAnsi="Cambria" w:cs="Calibri"/>
              </w:rPr>
              <w:t>10%</w:t>
            </w:r>
          </w:p>
        </w:tc>
      </w:tr>
      <w:tr w:rsidR="001C42AA" w:rsidRPr="00DF4CE5" w14:paraId="38F8A771" w14:textId="77777777" w:rsidTr="001C42AA">
        <w:tc>
          <w:tcPr>
            <w:tcW w:w="2610" w:type="dxa"/>
            <w:vMerge/>
            <w:tcBorders>
              <w:left w:val="single" w:sz="8" w:space="0" w:color="000000"/>
              <w:right w:val="single" w:sz="8" w:space="0" w:color="000000"/>
            </w:tcBorders>
            <w:vAlign w:val="center"/>
          </w:tcPr>
          <w:p w14:paraId="71414299" w14:textId="77777777" w:rsidR="001C42AA" w:rsidRPr="00DF4CE5" w:rsidRDefault="001C42AA" w:rsidP="001C42AA">
            <w:pPr>
              <w:spacing w:after="0" w:line="240" w:lineRule="auto"/>
              <w:rPr>
                <w:rFonts w:ascii="Cambria" w:eastAsia="Times New Roman" w:hAnsi="Cambria" w:cs="Calibri"/>
              </w:rPr>
            </w:pPr>
          </w:p>
        </w:tc>
        <w:tc>
          <w:tcPr>
            <w:tcW w:w="257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FA4E90E" w14:textId="77777777" w:rsidR="001C42AA" w:rsidRPr="00DF4CE5" w:rsidRDefault="001C42AA" w:rsidP="001C42AA">
            <w:pPr>
              <w:spacing w:after="0" w:line="240" w:lineRule="auto"/>
              <w:rPr>
                <w:rFonts w:ascii="Cambria" w:eastAsia="Times New Roman" w:hAnsi="Cambria" w:cs="Calibri"/>
                <w:lang w:val="it-IT"/>
              </w:rPr>
            </w:pPr>
            <w:proofErr w:type="spellStart"/>
            <w:r w:rsidRPr="00DF4CE5">
              <w:rPr>
                <w:rFonts w:ascii="Cambria" w:eastAsia="Times New Roman" w:hAnsi="Cambria" w:cs="Calibri"/>
                <w:lang w:val="it-IT"/>
              </w:rPr>
              <w:t>jedna</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prezentacija</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na</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zadanu</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temu</w:t>
            </w:r>
            <w:proofErr w:type="spellEnd"/>
          </w:p>
        </w:tc>
        <w:tc>
          <w:tcPr>
            <w:tcW w:w="109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48DB97F" w14:textId="77777777" w:rsidR="001C42AA" w:rsidRPr="00DF4CE5" w:rsidRDefault="001C42AA" w:rsidP="001C42AA">
            <w:pPr>
              <w:spacing w:after="0" w:line="240" w:lineRule="auto"/>
              <w:jc w:val="center"/>
              <w:rPr>
                <w:rFonts w:ascii="Cambria" w:eastAsia="Times New Roman" w:hAnsi="Cambria" w:cs="Calibri"/>
              </w:rPr>
            </w:pPr>
            <w:r w:rsidRPr="00DF4CE5">
              <w:rPr>
                <w:rFonts w:ascii="Cambria" w:eastAsia="Times New Roman" w:hAnsi="Cambria" w:cs="Calibri"/>
              </w:rPr>
              <w:t>1. – 6.</w:t>
            </w:r>
          </w:p>
        </w:tc>
        <w:tc>
          <w:tcPr>
            <w:tcW w:w="724"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C11F6E7" w14:textId="77777777" w:rsidR="001C42AA" w:rsidRPr="00DF4CE5" w:rsidRDefault="001C42AA" w:rsidP="001C42AA">
            <w:pPr>
              <w:spacing w:after="0" w:line="240" w:lineRule="auto"/>
              <w:jc w:val="center"/>
              <w:rPr>
                <w:rFonts w:ascii="Cambria" w:eastAsia="Times New Roman" w:hAnsi="Cambria" w:cs="Calibri"/>
              </w:rPr>
            </w:pPr>
            <w:r w:rsidRPr="00DF4CE5">
              <w:rPr>
                <w:rFonts w:ascii="Cambria" w:eastAsia="Times New Roman" w:hAnsi="Cambria" w:cs="Calibri"/>
              </w:rPr>
              <w:t>21</w:t>
            </w:r>
          </w:p>
        </w:tc>
        <w:tc>
          <w:tcPr>
            <w:tcW w:w="101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839FDD9" w14:textId="77777777" w:rsidR="001C42AA" w:rsidRPr="00DF4CE5" w:rsidRDefault="001C42AA" w:rsidP="001C42AA">
            <w:pPr>
              <w:spacing w:after="0" w:line="240" w:lineRule="auto"/>
              <w:jc w:val="center"/>
              <w:rPr>
                <w:rFonts w:ascii="Cambria" w:eastAsia="Times New Roman" w:hAnsi="Cambria" w:cs="Calibri"/>
              </w:rPr>
            </w:pPr>
            <w:r w:rsidRPr="00DF4CE5">
              <w:rPr>
                <w:rFonts w:ascii="Cambria" w:eastAsia="Times New Roman" w:hAnsi="Cambria" w:cs="Calibri"/>
              </w:rPr>
              <w:t>0,7</w:t>
            </w:r>
          </w:p>
        </w:tc>
        <w:tc>
          <w:tcPr>
            <w:tcW w:w="13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3CC201C" w14:textId="77777777" w:rsidR="001C42AA" w:rsidRPr="00DF4CE5" w:rsidRDefault="001C42AA" w:rsidP="001C42AA">
            <w:pPr>
              <w:spacing w:after="0" w:line="240" w:lineRule="auto"/>
              <w:jc w:val="center"/>
              <w:rPr>
                <w:rFonts w:ascii="Cambria" w:eastAsia="Times New Roman" w:hAnsi="Cambria" w:cs="Calibri"/>
              </w:rPr>
            </w:pPr>
            <w:r w:rsidRPr="00DF4CE5">
              <w:rPr>
                <w:rFonts w:ascii="Cambria" w:eastAsia="Times New Roman" w:hAnsi="Cambria" w:cs="Calibri"/>
              </w:rPr>
              <w:t>5%</w:t>
            </w:r>
          </w:p>
        </w:tc>
      </w:tr>
      <w:tr w:rsidR="001C42AA" w:rsidRPr="00DF4CE5" w14:paraId="5D2F0257" w14:textId="77777777" w:rsidTr="001C42AA">
        <w:tc>
          <w:tcPr>
            <w:tcW w:w="2610" w:type="dxa"/>
            <w:vMerge/>
            <w:tcBorders>
              <w:left w:val="single" w:sz="8" w:space="0" w:color="000000"/>
              <w:right w:val="single" w:sz="8" w:space="0" w:color="000000"/>
            </w:tcBorders>
            <w:vAlign w:val="center"/>
          </w:tcPr>
          <w:p w14:paraId="363C68A7" w14:textId="77777777" w:rsidR="001C42AA" w:rsidRPr="00DF4CE5" w:rsidRDefault="001C42AA" w:rsidP="001C42AA">
            <w:pPr>
              <w:spacing w:after="0" w:line="240" w:lineRule="auto"/>
              <w:rPr>
                <w:rFonts w:ascii="Cambria" w:eastAsia="Times New Roman" w:hAnsi="Cambria" w:cs="Calibri"/>
              </w:rPr>
            </w:pPr>
          </w:p>
        </w:tc>
        <w:tc>
          <w:tcPr>
            <w:tcW w:w="257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68796E6" w14:textId="77777777" w:rsidR="001C42AA" w:rsidRPr="00DF4CE5" w:rsidRDefault="001C42AA" w:rsidP="001C42AA">
            <w:pPr>
              <w:spacing w:after="0" w:line="240" w:lineRule="auto"/>
              <w:rPr>
                <w:rFonts w:ascii="Cambria" w:eastAsia="Times New Roman" w:hAnsi="Cambria" w:cs="Calibri"/>
              </w:rPr>
            </w:pPr>
            <w:proofErr w:type="spellStart"/>
            <w:r w:rsidRPr="00DF4CE5">
              <w:rPr>
                <w:rFonts w:ascii="Cambria" w:eastAsia="Times New Roman" w:hAnsi="Cambria" w:cs="Calibri"/>
              </w:rPr>
              <w:t>esej</w:t>
            </w:r>
            <w:proofErr w:type="spellEnd"/>
          </w:p>
        </w:tc>
        <w:tc>
          <w:tcPr>
            <w:tcW w:w="109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AB4D34A" w14:textId="77777777" w:rsidR="001C42AA" w:rsidRPr="00DF4CE5" w:rsidRDefault="001C42AA" w:rsidP="001C42AA">
            <w:pPr>
              <w:spacing w:after="0" w:line="240" w:lineRule="auto"/>
              <w:jc w:val="center"/>
              <w:rPr>
                <w:rFonts w:ascii="Cambria" w:eastAsia="Times New Roman" w:hAnsi="Cambria" w:cs="Calibri"/>
              </w:rPr>
            </w:pPr>
            <w:r w:rsidRPr="00DF4CE5">
              <w:rPr>
                <w:rFonts w:ascii="Cambria" w:eastAsia="Times New Roman" w:hAnsi="Cambria" w:cs="Calibri"/>
              </w:rPr>
              <w:t xml:space="preserve">1. - 6. </w:t>
            </w:r>
          </w:p>
        </w:tc>
        <w:tc>
          <w:tcPr>
            <w:tcW w:w="724"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61AA0A3" w14:textId="77777777" w:rsidR="001C42AA" w:rsidRPr="00DF4CE5" w:rsidRDefault="001C42AA" w:rsidP="001C42AA">
            <w:pPr>
              <w:spacing w:after="0" w:line="240" w:lineRule="auto"/>
              <w:jc w:val="center"/>
              <w:rPr>
                <w:rFonts w:ascii="Cambria" w:eastAsia="Times New Roman" w:hAnsi="Cambria" w:cs="Calibri"/>
              </w:rPr>
            </w:pPr>
            <w:r w:rsidRPr="00DF4CE5">
              <w:rPr>
                <w:rFonts w:ascii="Cambria" w:eastAsia="Times New Roman" w:hAnsi="Cambria" w:cs="Calibri"/>
              </w:rPr>
              <w:t>21</w:t>
            </w:r>
          </w:p>
        </w:tc>
        <w:tc>
          <w:tcPr>
            <w:tcW w:w="101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691767E" w14:textId="77777777" w:rsidR="001C42AA" w:rsidRPr="00DF4CE5" w:rsidRDefault="001C42AA" w:rsidP="001C42AA">
            <w:pPr>
              <w:spacing w:after="0" w:line="240" w:lineRule="auto"/>
              <w:jc w:val="center"/>
              <w:rPr>
                <w:rFonts w:ascii="Cambria" w:eastAsia="Times New Roman" w:hAnsi="Cambria" w:cs="Calibri"/>
              </w:rPr>
            </w:pPr>
            <w:r w:rsidRPr="00DF4CE5">
              <w:rPr>
                <w:rFonts w:ascii="Cambria" w:eastAsia="Times New Roman" w:hAnsi="Cambria" w:cs="Calibri"/>
              </w:rPr>
              <w:t>0,7</w:t>
            </w:r>
          </w:p>
        </w:tc>
        <w:tc>
          <w:tcPr>
            <w:tcW w:w="13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57B7B1E" w14:textId="77777777" w:rsidR="001C42AA" w:rsidRPr="00DF4CE5" w:rsidRDefault="001C42AA" w:rsidP="001C42AA">
            <w:pPr>
              <w:spacing w:after="0" w:line="240" w:lineRule="auto"/>
              <w:jc w:val="center"/>
              <w:rPr>
                <w:rFonts w:ascii="Cambria" w:eastAsia="Times New Roman" w:hAnsi="Cambria" w:cs="Calibri"/>
              </w:rPr>
            </w:pPr>
            <w:r w:rsidRPr="00DF4CE5">
              <w:rPr>
                <w:rFonts w:ascii="Cambria" w:eastAsia="Times New Roman" w:hAnsi="Cambria" w:cs="Calibri"/>
              </w:rPr>
              <w:t>5%</w:t>
            </w:r>
          </w:p>
        </w:tc>
      </w:tr>
      <w:tr w:rsidR="001C42AA" w:rsidRPr="00DF4CE5" w14:paraId="0FE757F8" w14:textId="77777777" w:rsidTr="001C42AA">
        <w:tc>
          <w:tcPr>
            <w:tcW w:w="2610" w:type="dxa"/>
            <w:vMerge/>
            <w:tcBorders>
              <w:left w:val="single" w:sz="8" w:space="0" w:color="000000"/>
              <w:right w:val="single" w:sz="8" w:space="0" w:color="000000"/>
            </w:tcBorders>
            <w:vAlign w:val="center"/>
          </w:tcPr>
          <w:p w14:paraId="6F79B8A4" w14:textId="77777777" w:rsidR="001C42AA" w:rsidRPr="00DF4CE5" w:rsidRDefault="001C42AA" w:rsidP="001C42AA">
            <w:pPr>
              <w:spacing w:after="0" w:line="240" w:lineRule="auto"/>
              <w:rPr>
                <w:rFonts w:ascii="Cambria" w:eastAsia="Times New Roman" w:hAnsi="Cambria" w:cs="Calibri"/>
              </w:rPr>
            </w:pPr>
          </w:p>
        </w:tc>
        <w:tc>
          <w:tcPr>
            <w:tcW w:w="257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BAD6124" w14:textId="77777777" w:rsidR="001C42AA" w:rsidRPr="00DF4CE5" w:rsidRDefault="001C42AA" w:rsidP="001C42AA">
            <w:pPr>
              <w:spacing w:after="0" w:line="240" w:lineRule="auto"/>
              <w:rPr>
                <w:rFonts w:ascii="Cambria" w:eastAsia="Times New Roman" w:hAnsi="Cambria" w:cs="Calibri"/>
              </w:rPr>
            </w:pPr>
            <w:proofErr w:type="spellStart"/>
            <w:r w:rsidRPr="00DF4CE5">
              <w:rPr>
                <w:rFonts w:ascii="Cambria" w:eastAsia="Times New Roman" w:hAnsi="Cambria" w:cs="Calibri"/>
              </w:rPr>
              <w:t>dva</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kolokvija</w:t>
            </w:r>
            <w:proofErr w:type="spellEnd"/>
          </w:p>
        </w:tc>
        <w:tc>
          <w:tcPr>
            <w:tcW w:w="109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5747BC5" w14:textId="77777777" w:rsidR="001C42AA" w:rsidRPr="00DF4CE5" w:rsidRDefault="001C42AA" w:rsidP="001C42AA">
            <w:pPr>
              <w:spacing w:after="0" w:line="240" w:lineRule="auto"/>
              <w:jc w:val="center"/>
              <w:rPr>
                <w:rFonts w:ascii="Cambria" w:eastAsia="Times New Roman" w:hAnsi="Cambria" w:cs="Calibri"/>
                <w:b/>
              </w:rPr>
            </w:pPr>
            <w:r w:rsidRPr="00DF4CE5">
              <w:rPr>
                <w:rFonts w:ascii="Cambria" w:eastAsia="Times New Roman" w:hAnsi="Cambria" w:cs="Calibri"/>
              </w:rPr>
              <w:t>1. – 6.</w:t>
            </w:r>
          </w:p>
        </w:tc>
        <w:tc>
          <w:tcPr>
            <w:tcW w:w="724"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0BCF84D" w14:textId="77777777" w:rsidR="001C42AA" w:rsidRPr="00DF4CE5" w:rsidRDefault="001C42AA" w:rsidP="001C42AA">
            <w:pPr>
              <w:spacing w:after="0" w:line="240" w:lineRule="auto"/>
              <w:jc w:val="center"/>
              <w:rPr>
                <w:rFonts w:ascii="Cambria" w:eastAsia="Times New Roman" w:hAnsi="Cambria" w:cs="Calibri"/>
              </w:rPr>
            </w:pPr>
            <w:r w:rsidRPr="00DF4CE5">
              <w:rPr>
                <w:rFonts w:ascii="Cambria" w:eastAsia="Times New Roman" w:hAnsi="Cambria" w:cs="Calibri"/>
              </w:rPr>
              <w:t>42</w:t>
            </w:r>
          </w:p>
        </w:tc>
        <w:tc>
          <w:tcPr>
            <w:tcW w:w="101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C8E839A" w14:textId="77777777" w:rsidR="001C42AA" w:rsidRPr="00DF4CE5" w:rsidRDefault="001C42AA" w:rsidP="001C42AA">
            <w:pPr>
              <w:spacing w:after="0" w:line="240" w:lineRule="auto"/>
              <w:jc w:val="center"/>
              <w:rPr>
                <w:rFonts w:ascii="Cambria" w:eastAsia="Times New Roman" w:hAnsi="Cambria" w:cs="Calibri"/>
              </w:rPr>
            </w:pPr>
            <w:r w:rsidRPr="00DF4CE5">
              <w:rPr>
                <w:rFonts w:ascii="Cambria" w:eastAsia="Times New Roman" w:hAnsi="Cambria" w:cs="Calibri"/>
              </w:rPr>
              <w:t>1,4</w:t>
            </w:r>
          </w:p>
        </w:tc>
        <w:tc>
          <w:tcPr>
            <w:tcW w:w="13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25B9ECA" w14:textId="77777777" w:rsidR="001C42AA" w:rsidRPr="00DF4CE5" w:rsidRDefault="001C42AA" w:rsidP="001C42AA">
            <w:pPr>
              <w:spacing w:after="0" w:line="240" w:lineRule="auto"/>
              <w:jc w:val="center"/>
              <w:rPr>
                <w:rFonts w:ascii="Cambria" w:eastAsia="Times New Roman" w:hAnsi="Cambria" w:cs="Calibri"/>
              </w:rPr>
            </w:pPr>
            <w:r w:rsidRPr="00DF4CE5">
              <w:rPr>
                <w:rFonts w:ascii="Cambria" w:eastAsia="Times New Roman" w:hAnsi="Cambria" w:cs="Calibri"/>
              </w:rPr>
              <w:t>2 x 25%</w:t>
            </w:r>
          </w:p>
        </w:tc>
      </w:tr>
      <w:tr w:rsidR="001C42AA" w:rsidRPr="00DF4CE5" w14:paraId="1133D0AE" w14:textId="77777777" w:rsidTr="001C42AA">
        <w:trPr>
          <w:trHeight w:val="168"/>
        </w:trPr>
        <w:tc>
          <w:tcPr>
            <w:tcW w:w="2610" w:type="dxa"/>
            <w:vMerge/>
            <w:tcBorders>
              <w:left w:val="single" w:sz="8" w:space="0" w:color="000000"/>
              <w:right w:val="single" w:sz="8" w:space="0" w:color="000000"/>
            </w:tcBorders>
            <w:vAlign w:val="center"/>
          </w:tcPr>
          <w:p w14:paraId="39267B7F" w14:textId="77777777" w:rsidR="001C42AA" w:rsidRPr="00DF4CE5" w:rsidRDefault="001C42AA" w:rsidP="001C42AA">
            <w:pPr>
              <w:spacing w:after="0" w:line="240" w:lineRule="auto"/>
              <w:rPr>
                <w:rFonts w:ascii="Cambria" w:eastAsia="Times New Roman" w:hAnsi="Cambria" w:cs="Calibri"/>
              </w:rPr>
            </w:pPr>
          </w:p>
        </w:tc>
        <w:tc>
          <w:tcPr>
            <w:tcW w:w="257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45C7CAC" w14:textId="77777777" w:rsidR="001C42AA" w:rsidRPr="00DF4CE5" w:rsidRDefault="001C42AA" w:rsidP="001C42AA">
            <w:pPr>
              <w:spacing w:after="0" w:line="240" w:lineRule="auto"/>
              <w:rPr>
                <w:rFonts w:ascii="Cambria" w:eastAsia="Times New Roman" w:hAnsi="Cambria" w:cs="Calibri"/>
              </w:rPr>
            </w:pPr>
            <w:proofErr w:type="spellStart"/>
            <w:r w:rsidRPr="00DF4CE5">
              <w:rPr>
                <w:rFonts w:ascii="Cambria" w:eastAsia="Times New Roman" w:hAnsi="Cambria" w:cs="Calibri"/>
              </w:rPr>
              <w:t>usmeni</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ispit</w:t>
            </w:r>
            <w:proofErr w:type="spellEnd"/>
          </w:p>
        </w:tc>
        <w:tc>
          <w:tcPr>
            <w:tcW w:w="109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B279B8A" w14:textId="77777777" w:rsidR="001C42AA" w:rsidRPr="00DF4CE5" w:rsidRDefault="001C42AA" w:rsidP="001C42AA">
            <w:pPr>
              <w:spacing w:after="0" w:line="240" w:lineRule="auto"/>
              <w:jc w:val="center"/>
              <w:rPr>
                <w:rFonts w:ascii="Cambria" w:eastAsia="Times New Roman" w:hAnsi="Cambria" w:cs="Calibri"/>
              </w:rPr>
            </w:pPr>
            <w:r w:rsidRPr="00DF4CE5">
              <w:rPr>
                <w:rFonts w:ascii="Cambria" w:eastAsia="Times New Roman" w:hAnsi="Cambria" w:cs="Calibri"/>
              </w:rPr>
              <w:t>1. – 6.</w:t>
            </w:r>
          </w:p>
        </w:tc>
        <w:tc>
          <w:tcPr>
            <w:tcW w:w="724"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986DACA" w14:textId="77777777" w:rsidR="001C42AA" w:rsidRPr="00DF4CE5" w:rsidRDefault="001C42AA" w:rsidP="001C42AA">
            <w:pPr>
              <w:spacing w:after="0" w:line="240" w:lineRule="auto"/>
              <w:jc w:val="center"/>
              <w:rPr>
                <w:rFonts w:ascii="Cambria" w:eastAsia="Times New Roman" w:hAnsi="Cambria" w:cs="Calibri"/>
              </w:rPr>
            </w:pPr>
            <w:r w:rsidRPr="00DF4CE5">
              <w:rPr>
                <w:rFonts w:ascii="Cambria" w:eastAsia="Times New Roman" w:hAnsi="Cambria" w:cs="Calibri"/>
              </w:rPr>
              <w:t>21</w:t>
            </w:r>
          </w:p>
        </w:tc>
        <w:tc>
          <w:tcPr>
            <w:tcW w:w="101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5847989" w14:textId="77777777" w:rsidR="001C42AA" w:rsidRPr="00DF4CE5" w:rsidRDefault="001C42AA" w:rsidP="001C42AA">
            <w:pPr>
              <w:spacing w:after="0" w:line="240" w:lineRule="auto"/>
              <w:jc w:val="center"/>
              <w:rPr>
                <w:rFonts w:ascii="Cambria" w:eastAsia="Times New Roman" w:hAnsi="Cambria" w:cs="Calibri"/>
              </w:rPr>
            </w:pPr>
            <w:r w:rsidRPr="00DF4CE5">
              <w:rPr>
                <w:rFonts w:ascii="Cambria" w:eastAsia="Times New Roman" w:hAnsi="Cambria" w:cs="Calibri"/>
              </w:rPr>
              <w:t>0,7</w:t>
            </w:r>
          </w:p>
        </w:tc>
        <w:tc>
          <w:tcPr>
            <w:tcW w:w="13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63743E1" w14:textId="77777777" w:rsidR="001C42AA" w:rsidRPr="00DF4CE5" w:rsidRDefault="001C42AA" w:rsidP="001C42AA">
            <w:pPr>
              <w:spacing w:after="0" w:line="240" w:lineRule="auto"/>
              <w:jc w:val="center"/>
              <w:rPr>
                <w:rFonts w:ascii="Cambria" w:eastAsia="Times New Roman" w:hAnsi="Cambria" w:cs="Calibri"/>
              </w:rPr>
            </w:pPr>
            <w:r w:rsidRPr="00DF4CE5">
              <w:rPr>
                <w:rFonts w:ascii="Cambria" w:eastAsia="Times New Roman" w:hAnsi="Cambria" w:cs="Calibri"/>
              </w:rPr>
              <w:t>30%</w:t>
            </w:r>
          </w:p>
        </w:tc>
      </w:tr>
      <w:tr w:rsidR="001C42AA" w:rsidRPr="00DF4CE5" w14:paraId="6CE58D6D" w14:textId="77777777" w:rsidTr="001C42AA">
        <w:tc>
          <w:tcPr>
            <w:tcW w:w="2610" w:type="dxa"/>
            <w:vMerge/>
            <w:tcBorders>
              <w:left w:val="single" w:sz="8" w:space="0" w:color="000000"/>
              <w:right w:val="single" w:sz="8" w:space="0" w:color="000000"/>
            </w:tcBorders>
            <w:vAlign w:val="center"/>
            <w:hideMark/>
          </w:tcPr>
          <w:p w14:paraId="0BD950B2" w14:textId="77777777" w:rsidR="001C42AA" w:rsidRPr="00DF4CE5" w:rsidRDefault="001C42AA" w:rsidP="001C42AA">
            <w:pPr>
              <w:spacing w:after="0" w:line="240" w:lineRule="auto"/>
              <w:rPr>
                <w:rFonts w:ascii="Cambria" w:eastAsia="Times New Roman" w:hAnsi="Cambria" w:cs="Calibri"/>
              </w:rPr>
            </w:pPr>
          </w:p>
        </w:tc>
        <w:tc>
          <w:tcPr>
            <w:tcW w:w="3672"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AF979F5" w14:textId="77777777" w:rsidR="001C42AA" w:rsidRPr="00DF4CE5" w:rsidRDefault="001C42AA" w:rsidP="001C42AA">
            <w:pPr>
              <w:spacing w:after="0" w:line="240" w:lineRule="auto"/>
              <w:rPr>
                <w:rFonts w:ascii="Cambria" w:eastAsia="Times New Roman" w:hAnsi="Cambria" w:cs="Calibri"/>
              </w:rPr>
            </w:pPr>
            <w:proofErr w:type="spellStart"/>
            <w:r w:rsidRPr="00DF4CE5">
              <w:rPr>
                <w:rFonts w:ascii="Cambria" w:eastAsia="Times New Roman" w:hAnsi="Cambria" w:cs="Calibri"/>
              </w:rPr>
              <w:t>Ukupno</w:t>
            </w:r>
            <w:proofErr w:type="spellEnd"/>
          </w:p>
        </w:tc>
        <w:tc>
          <w:tcPr>
            <w:tcW w:w="724"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FC875CF" w14:textId="77777777" w:rsidR="001C42AA" w:rsidRPr="00DF4CE5" w:rsidRDefault="001C42AA" w:rsidP="001C42AA">
            <w:pPr>
              <w:spacing w:after="0" w:line="240" w:lineRule="auto"/>
              <w:jc w:val="center"/>
              <w:rPr>
                <w:rFonts w:ascii="Cambria" w:eastAsia="Times New Roman" w:hAnsi="Cambria" w:cs="Calibri"/>
              </w:rPr>
            </w:pPr>
            <w:r w:rsidRPr="00DF4CE5">
              <w:rPr>
                <w:rFonts w:ascii="Cambria" w:eastAsia="Times New Roman" w:hAnsi="Cambria" w:cs="Calibri"/>
              </w:rPr>
              <w:t>150</w:t>
            </w:r>
          </w:p>
        </w:tc>
        <w:tc>
          <w:tcPr>
            <w:tcW w:w="101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85C5CD2" w14:textId="77777777" w:rsidR="001C42AA" w:rsidRPr="00DF4CE5" w:rsidRDefault="001C42AA" w:rsidP="001C42AA">
            <w:pPr>
              <w:spacing w:after="0" w:line="240" w:lineRule="auto"/>
              <w:jc w:val="center"/>
              <w:rPr>
                <w:rFonts w:ascii="Cambria" w:eastAsia="Times New Roman" w:hAnsi="Cambria" w:cs="Calibri"/>
              </w:rPr>
            </w:pPr>
            <w:r w:rsidRPr="00DF4CE5">
              <w:rPr>
                <w:rFonts w:ascii="Cambria" w:eastAsia="Times New Roman" w:hAnsi="Cambria" w:cs="Calibri"/>
              </w:rPr>
              <w:t>5</w:t>
            </w:r>
          </w:p>
        </w:tc>
        <w:tc>
          <w:tcPr>
            <w:tcW w:w="13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A6196DD" w14:textId="77777777" w:rsidR="001C42AA" w:rsidRPr="00DF4CE5" w:rsidRDefault="001C42AA" w:rsidP="001C42AA">
            <w:pPr>
              <w:spacing w:after="0" w:line="240" w:lineRule="auto"/>
              <w:jc w:val="center"/>
              <w:rPr>
                <w:rFonts w:ascii="Cambria" w:eastAsia="Times New Roman" w:hAnsi="Cambria" w:cs="Calibri"/>
              </w:rPr>
            </w:pPr>
            <w:r w:rsidRPr="00DF4CE5">
              <w:rPr>
                <w:rFonts w:ascii="Cambria" w:eastAsia="Times New Roman" w:hAnsi="Cambria" w:cs="Calibri"/>
              </w:rPr>
              <w:t>100%</w:t>
            </w:r>
          </w:p>
        </w:tc>
      </w:tr>
      <w:tr w:rsidR="001C42AA" w:rsidRPr="00D0399C" w14:paraId="0B14F9D5" w14:textId="77777777" w:rsidTr="001C42AA">
        <w:tc>
          <w:tcPr>
            <w:tcW w:w="261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D6F7314" w14:textId="77777777" w:rsidR="001C42AA" w:rsidRPr="00DF4CE5" w:rsidRDefault="001C42AA" w:rsidP="001C42AA">
            <w:pPr>
              <w:spacing w:after="0" w:line="240" w:lineRule="auto"/>
              <w:rPr>
                <w:rFonts w:ascii="Cambria" w:eastAsia="Times New Roman" w:hAnsi="Cambria" w:cs="Calibri"/>
              </w:rPr>
            </w:pPr>
            <w:proofErr w:type="spellStart"/>
            <w:r w:rsidRPr="00DF4CE5">
              <w:rPr>
                <w:rFonts w:ascii="Cambria" w:eastAsia="Times New Roman" w:hAnsi="Cambria" w:cs="Calibri"/>
              </w:rPr>
              <w:t>Studentske</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obveze</w:t>
            </w:r>
            <w:proofErr w:type="spellEnd"/>
          </w:p>
        </w:tc>
        <w:tc>
          <w:tcPr>
            <w:tcW w:w="6730"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79E9011" w14:textId="77777777" w:rsidR="001C42AA" w:rsidRPr="00DF4CE5" w:rsidRDefault="001C42AA" w:rsidP="001C42AA">
            <w:pPr>
              <w:spacing w:after="0" w:line="240" w:lineRule="auto"/>
              <w:rPr>
                <w:rFonts w:ascii="Cambria" w:eastAsia="Times New Roman" w:hAnsi="Cambria" w:cs="Calibri"/>
                <w:lang w:val="it-IT"/>
              </w:rPr>
            </w:pPr>
            <w:r w:rsidRPr="00DF4CE5">
              <w:rPr>
                <w:rFonts w:ascii="Cambria" w:eastAsia="Times New Roman" w:hAnsi="Cambria" w:cs="Calibri"/>
                <w:lang w:val="it-IT"/>
              </w:rPr>
              <w:t xml:space="preserve">Da </w:t>
            </w:r>
            <w:proofErr w:type="spellStart"/>
            <w:r w:rsidRPr="00DF4CE5">
              <w:rPr>
                <w:rFonts w:ascii="Cambria" w:eastAsia="Times New Roman" w:hAnsi="Cambria" w:cs="Calibri"/>
                <w:lang w:val="it-IT"/>
              </w:rPr>
              <w:t>položi</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kolegij</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student</w:t>
            </w:r>
            <w:proofErr w:type="spellEnd"/>
            <w:r w:rsidRPr="00DF4CE5">
              <w:rPr>
                <w:rFonts w:ascii="Cambria" w:eastAsia="Times New Roman" w:hAnsi="Cambria" w:cs="Calibri"/>
                <w:lang w:val="it-IT"/>
              </w:rPr>
              <w:t>/</w:t>
            </w:r>
            <w:proofErr w:type="spellStart"/>
            <w:r w:rsidRPr="00DF4CE5">
              <w:rPr>
                <w:rFonts w:ascii="Cambria" w:eastAsia="Times New Roman" w:hAnsi="Cambria" w:cs="Calibri"/>
                <w:lang w:val="it-IT"/>
              </w:rPr>
              <w:t>studentica</w:t>
            </w:r>
            <w:proofErr w:type="spellEnd"/>
            <w:r w:rsidRPr="00DF4CE5">
              <w:rPr>
                <w:rFonts w:ascii="Cambria" w:eastAsia="Times New Roman" w:hAnsi="Cambria" w:cs="Calibri"/>
                <w:lang w:val="it-IT"/>
              </w:rPr>
              <w:t xml:space="preserve"> mora:</w:t>
            </w:r>
          </w:p>
          <w:p w14:paraId="1909D929" w14:textId="77116EF0" w:rsidR="001C42AA" w:rsidRPr="00DF4CE5" w:rsidRDefault="001C42AA" w:rsidP="001C42AA">
            <w:pPr>
              <w:spacing w:after="0" w:line="240" w:lineRule="auto"/>
              <w:rPr>
                <w:rFonts w:ascii="Cambria" w:eastAsia="Times New Roman" w:hAnsi="Cambria" w:cs="Calibri"/>
                <w:lang w:val="it-IT"/>
              </w:rPr>
            </w:pPr>
            <w:r w:rsidRPr="00DF4CE5">
              <w:rPr>
                <w:rFonts w:ascii="Cambria" w:eastAsia="Times New Roman" w:hAnsi="Cambria" w:cs="Calibri"/>
                <w:lang w:val="it-IT"/>
              </w:rPr>
              <w:t xml:space="preserve">1. </w:t>
            </w:r>
            <w:proofErr w:type="spellStart"/>
            <w:r w:rsidRPr="00DF4CE5">
              <w:rPr>
                <w:rFonts w:ascii="Cambria" w:eastAsia="Times New Roman" w:hAnsi="Cambria" w:cs="Calibri"/>
                <w:lang w:val="it-IT"/>
              </w:rPr>
              <w:t>pohađati</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nastavu</w:t>
            </w:r>
            <w:proofErr w:type="spellEnd"/>
            <w:r w:rsidRPr="00DF4CE5">
              <w:rPr>
                <w:rFonts w:ascii="Cambria" w:eastAsia="Times New Roman" w:hAnsi="Cambria" w:cs="Calibri"/>
                <w:lang w:val="it-IT"/>
              </w:rPr>
              <w:t xml:space="preserve"> </w:t>
            </w:r>
            <w:r w:rsidR="00D259BD">
              <w:rPr>
                <w:rFonts w:ascii="Cambria" w:eastAsia="Times New Roman" w:hAnsi="Cambria" w:cs="Calibri"/>
                <w:lang w:val="it-IT"/>
              </w:rPr>
              <w:t xml:space="preserve">i </w:t>
            </w:r>
            <w:proofErr w:type="spellStart"/>
            <w:r w:rsidR="00D259BD">
              <w:rPr>
                <w:rFonts w:ascii="Cambria" w:eastAsia="Times New Roman" w:hAnsi="Cambria" w:cs="Calibri"/>
                <w:lang w:val="it-IT"/>
              </w:rPr>
              <w:t>biti</w:t>
            </w:r>
            <w:proofErr w:type="spellEnd"/>
            <w:r w:rsidR="00D259BD">
              <w:rPr>
                <w:rFonts w:ascii="Cambria" w:eastAsia="Times New Roman" w:hAnsi="Cambria" w:cs="Calibri"/>
                <w:lang w:val="it-IT"/>
              </w:rPr>
              <w:t xml:space="preserve"> </w:t>
            </w:r>
            <w:proofErr w:type="spellStart"/>
            <w:r w:rsidR="00D259BD">
              <w:rPr>
                <w:rFonts w:ascii="Cambria" w:eastAsia="Times New Roman" w:hAnsi="Cambria" w:cs="Calibri"/>
                <w:lang w:val="it-IT"/>
              </w:rPr>
              <w:t>aktivan</w:t>
            </w:r>
            <w:proofErr w:type="spellEnd"/>
            <w:r w:rsidR="00D259BD">
              <w:rPr>
                <w:rFonts w:ascii="Cambria" w:eastAsia="Times New Roman" w:hAnsi="Cambria" w:cs="Calibri"/>
                <w:lang w:val="it-IT"/>
              </w:rPr>
              <w:t>/</w:t>
            </w:r>
            <w:proofErr w:type="spellStart"/>
            <w:r w:rsidR="006E59DC">
              <w:rPr>
                <w:rFonts w:ascii="Cambria" w:eastAsia="Times New Roman" w:hAnsi="Cambria" w:cs="Calibri"/>
                <w:lang w:val="it-IT"/>
              </w:rPr>
              <w:t>aktiv</w:t>
            </w:r>
            <w:r w:rsidR="00D259BD">
              <w:rPr>
                <w:rFonts w:ascii="Cambria" w:eastAsia="Times New Roman" w:hAnsi="Cambria" w:cs="Calibri"/>
                <w:lang w:val="it-IT"/>
              </w:rPr>
              <w:t>na</w:t>
            </w:r>
            <w:proofErr w:type="spellEnd"/>
            <w:r w:rsidR="00D259BD">
              <w:rPr>
                <w:rFonts w:ascii="Cambria" w:eastAsia="Times New Roman" w:hAnsi="Cambria" w:cs="Calibri"/>
                <w:lang w:val="it-IT"/>
              </w:rPr>
              <w:t xml:space="preserve"> </w:t>
            </w:r>
            <w:proofErr w:type="spellStart"/>
            <w:r w:rsidR="00D259BD">
              <w:rPr>
                <w:rFonts w:ascii="Cambria" w:eastAsia="Times New Roman" w:hAnsi="Cambria" w:cs="Calibri"/>
                <w:lang w:val="it-IT"/>
              </w:rPr>
              <w:t>na</w:t>
            </w:r>
            <w:proofErr w:type="spellEnd"/>
            <w:r w:rsidR="00D259BD">
              <w:rPr>
                <w:rFonts w:ascii="Cambria" w:eastAsia="Times New Roman" w:hAnsi="Cambria" w:cs="Calibri"/>
                <w:lang w:val="it-IT"/>
              </w:rPr>
              <w:t xml:space="preserve"> </w:t>
            </w:r>
            <w:proofErr w:type="spellStart"/>
            <w:r w:rsidR="00D259BD">
              <w:rPr>
                <w:rFonts w:ascii="Cambria" w:eastAsia="Times New Roman" w:hAnsi="Cambria" w:cs="Calibri"/>
                <w:lang w:val="it-IT"/>
              </w:rPr>
              <w:t>nastavi</w:t>
            </w:r>
            <w:proofErr w:type="spellEnd"/>
            <w:r w:rsidR="00D259BD">
              <w:rPr>
                <w:rFonts w:ascii="Cambria" w:eastAsia="Times New Roman" w:hAnsi="Cambria" w:cs="Calibri"/>
                <w:lang w:val="it-IT"/>
              </w:rPr>
              <w:t xml:space="preserve"> </w:t>
            </w:r>
            <w:r w:rsidRPr="00DF4CE5">
              <w:rPr>
                <w:rFonts w:ascii="Cambria" w:eastAsia="Times New Roman" w:hAnsi="Cambria" w:cs="Calibri"/>
                <w:lang w:val="it-IT"/>
              </w:rPr>
              <w:t xml:space="preserve">(do </w:t>
            </w:r>
            <w:proofErr w:type="spellStart"/>
            <w:r w:rsidRPr="00DF4CE5">
              <w:rPr>
                <w:rFonts w:ascii="Cambria" w:eastAsia="Times New Roman" w:hAnsi="Cambria" w:cs="Calibri"/>
                <w:lang w:val="it-IT"/>
              </w:rPr>
              <w:t>najviše</w:t>
            </w:r>
            <w:proofErr w:type="spellEnd"/>
            <w:r w:rsidRPr="00DF4CE5">
              <w:rPr>
                <w:rFonts w:ascii="Cambria" w:eastAsia="Times New Roman" w:hAnsi="Cambria" w:cs="Calibri"/>
                <w:lang w:val="it-IT"/>
              </w:rPr>
              <w:t xml:space="preserve"> 30% </w:t>
            </w:r>
            <w:proofErr w:type="spellStart"/>
            <w:r w:rsidRPr="00DF4CE5">
              <w:rPr>
                <w:rFonts w:ascii="Cambria" w:eastAsia="Times New Roman" w:hAnsi="Cambria" w:cs="Calibri"/>
                <w:lang w:val="it-IT"/>
              </w:rPr>
              <w:t>izostanaka</w:t>
            </w:r>
            <w:proofErr w:type="spellEnd"/>
            <w:r w:rsidRPr="00DF4CE5">
              <w:rPr>
                <w:rFonts w:ascii="Cambria" w:eastAsia="Times New Roman" w:hAnsi="Cambria" w:cs="Calibri"/>
                <w:lang w:val="it-IT"/>
              </w:rPr>
              <w:t>)</w:t>
            </w:r>
          </w:p>
          <w:p w14:paraId="29DCAC79" w14:textId="77777777" w:rsidR="001C42AA" w:rsidRPr="00DF4CE5" w:rsidRDefault="001C42AA" w:rsidP="001C42AA">
            <w:pPr>
              <w:spacing w:after="0" w:line="240" w:lineRule="auto"/>
              <w:rPr>
                <w:rFonts w:ascii="Cambria" w:eastAsia="Times New Roman" w:hAnsi="Cambria" w:cs="Calibri"/>
                <w:lang w:val="it-IT"/>
              </w:rPr>
            </w:pPr>
            <w:r w:rsidRPr="00DF4CE5">
              <w:rPr>
                <w:rFonts w:ascii="Cambria" w:eastAsia="Times New Roman" w:hAnsi="Cambria" w:cs="Calibri"/>
                <w:lang w:val="it-IT"/>
              </w:rPr>
              <w:t xml:space="preserve">2. </w:t>
            </w:r>
            <w:proofErr w:type="spellStart"/>
            <w:r w:rsidRPr="00DF4CE5">
              <w:rPr>
                <w:rFonts w:ascii="Cambria" w:eastAsia="Times New Roman" w:hAnsi="Cambria" w:cs="Calibri"/>
                <w:lang w:val="it-IT"/>
              </w:rPr>
              <w:t>redovito</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donositi</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propisani</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udžbenik</w:t>
            </w:r>
            <w:proofErr w:type="spellEnd"/>
            <w:r w:rsidRPr="00DF4CE5">
              <w:rPr>
                <w:rFonts w:ascii="Cambria" w:eastAsia="Times New Roman" w:hAnsi="Cambria" w:cs="Calibri"/>
                <w:lang w:val="it-IT"/>
              </w:rPr>
              <w:t xml:space="preserve"> te </w:t>
            </w:r>
            <w:proofErr w:type="spellStart"/>
            <w:r w:rsidRPr="00DF4CE5">
              <w:rPr>
                <w:rFonts w:ascii="Cambria" w:eastAsia="Times New Roman" w:hAnsi="Cambria" w:cs="Calibri"/>
                <w:lang w:val="it-IT"/>
              </w:rPr>
              <w:t>pisati</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domaće</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zadaće</w:t>
            </w:r>
            <w:proofErr w:type="spellEnd"/>
            <w:r w:rsidRPr="00DF4CE5">
              <w:rPr>
                <w:rFonts w:ascii="Cambria" w:eastAsia="Times New Roman" w:hAnsi="Cambria" w:cs="Calibri"/>
                <w:lang w:val="it-IT"/>
              </w:rPr>
              <w:t xml:space="preserve"> </w:t>
            </w:r>
          </w:p>
          <w:p w14:paraId="11D168BD" w14:textId="77777777" w:rsidR="001C42AA" w:rsidRPr="00DF4CE5" w:rsidRDefault="001C42AA" w:rsidP="001C42AA">
            <w:pPr>
              <w:spacing w:after="0" w:line="240" w:lineRule="auto"/>
              <w:rPr>
                <w:rFonts w:ascii="Cambria" w:eastAsia="Times New Roman" w:hAnsi="Cambria" w:cs="Calibri"/>
                <w:lang w:val="it-IT"/>
              </w:rPr>
            </w:pPr>
            <w:r w:rsidRPr="00DF4CE5">
              <w:rPr>
                <w:rFonts w:ascii="Cambria" w:eastAsia="Times New Roman" w:hAnsi="Cambria" w:cs="Calibri"/>
                <w:lang w:val="it-IT"/>
              </w:rPr>
              <w:t xml:space="preserve">3. </w:t>
            </w:r>
            <w:proofErr w:type="spellStart"/>
            <w:r w:rsidRPr="00DF4CE5">
              <w:rPr>
                <w:rFonts w:ascii="Cambria" w:eastAsia="Times New Roman" w:hAnsi="Cambria" w:cs="Calibri"/>
                <w:lang w:val="it-IT"/>
              </w:rPr>
              <w:t>izraditi</w:t>
            </w:r>
            <w:proofErr w:type="spellEnd"/>
            <w:r w:rsidRPr="00DF4CE5">
              <w:rPr>
                <w:rFonts w:ascii="Cambria" w:eastAsia="Times New Roman" w:hAnsi="Cambria" w:cs="Calibri"/>
                <w:lang w:val="it-IT"/>
              </w:rPr>
              <w:t xml:space="preserve"> i </w:t>
            </w:r>
            <w:proofErr w:type="spellStart"/>
            <w:r w:rsidRPr="00DF4CE5">
              <w:rPr>
                <w:rFonts w:ascii="Cambria" w:eastAsia="Times New Roman" w:hAnsi="Cambria" w:cs="Calibri"/>
                <w:lang w:val="it-IT"/>
              </w:rPr>
              <w:t>izložiti</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jednu</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prezentaciju</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na</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zadanu</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temu</w:t>
            </w:r>
            <w:proofErr w:type="spellEnd"/>
          </w:p>
          <w:p w14:paraId="29ABD8C7" w14:textId="77777777" w:rsidR="001C42AA" w:rsidRPr="00DF4CE5" w:rsidRDefault="001C42AA" w:rsidP="001C42AA">
            <w:pPr>
              <w:spacing w:after="0" w:line="240" w:lineRule="auto"/>
              <w:rPr>
                <w:rFonts w:ascii="Cambria" w:eastAsia="Times New Roman" w:hAnsi="Cambria" w:cs="Calibri"/>
                <w:lang w:val="it-IT"/>
              </w:rPr>
            </w:pPr>
            <w:r w:rsidRPr="00DF4CE5">
              <w:rPr>
                <w:rFonts w:ascii="Cambria" w:eastAsia="Times New Roman" w:hAnsi="Cambria" w:cs="Calibri"/>
                <w:lang w:val="it-IT"/>
              </w:rPr>
              <w:t xml:space="preserve">4. </w:t>
            </w:r>
            <w:proofErr w:type="spellStart"/>
            <w:r w:rsidRPr="00DF4CE5">
              <w:rPr>
                <w:rFonts w:ascii="Cambria" w:eastAsia="Times New Roman" w:hAnsi="Cambria" w:cs="Calibri"/>
                <w:lang w:val="it-IT"/>
              </w:rPr>
              <w:t>položiti</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dva</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kolokvija</w:t>
            </w:r>
            <w:proofErr w:type="spellEnd"/>
            <w:r w:rsidRPr="00DF4CE5">
              <w:rPr>
                <w:rFonts w:ascii="Cambria" w:eastAsia="Times New Roman" w:hAnsi="Cambria" w:cs="Calibri"/>
                <w:lang w:val="it-IT"/>
              </w:rPr>
              <w:t xml:space="preserve"> </w:t>
            </w:r>
          </w:p>
          <w:p w14:paraId="40A81406" w14:textId="568B48A0" w:rsidR="001C42AA" w:rsidRPr="00DF4CE5" w:rsidRDefault="001C42AA" w:rsidP="001C42AA">
            <w:pPr>
              <w:spacing w:after="0" w:line="240" w:lineRule="auto"/>
              <w:rPr>
                <w:rFonts w:ascii="Cambria" w:eastAsia="Times New Roman" w:hAnsi="Cambria" w:cs="Calibri"/>
                <w:lang w:val="it-IT"/>
              </w:rPr>
            </w:pPr>
            <w:r w:rsidRPr="00DF4CE5">
              <w:rPr>
                <w:rFonts w:ascii="Cambria" w:eastAsia="Times New Roman" w:hAnsi="Cambria" w:cs="Calibri"/>
                <w:lang w:val="it-IT"/>
              </w:rPr>
              <w:t xml:space="preserve">5. </w:t>
            </w:r>
            <w:proofErr w:type="spellStart"/>
            <w:r w:rsidRPr="00DF4CE5">
              <w:rPr>
                <w:rFonts w:ascii="Cambria" w:eastAsia="Times New Roman" w:hAnsi="Cambria" w:cs="Calibri"/>
                <w:lang w:val="it-IT"/>
              </w:rPr>
              <w:t>položiti</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usmeni</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ispit</w:t>
            </w:r>
            <w:proofErr w:type="spellEnd"/>
            <w:r w:rsidR="00D259BD">
              <w:rPr>
                <w:rFonts w:ascii="Cambria" w:eastAsia="Times New Roman" w:hAnsi="Cambria" w:cs="Calibri"/>
                <w:lang w:val="it-IT"/>
              </w:rPr>
              <w:t>.</w:t>
            </w:r>
          </w:p>
        </w:tc>
      </w:tr>
      <w:tr w:rsidR="001C42AA" w:rsidRPr="00DF4CE5" w14:paraId="444E9C1F" w14:textId="77777777" w:rsidTr="001C42AA">
        <w:tc>
          <w:tcPr>
            <w:tcW w:w="261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EC11714" w14:textId="77777777" w:rsidR="001C42AA" w:rsidRPr="00DF4CE5" w:rsidRDefault="001C42AA" w:rsidP="001C42AA">
            <w:pPr>
              <w:spacing w:after="0" w:line="240" w:lineRule="auto"/>
              <w:rPr>
                <w:rFonts w:ascii="Cambria" w:eastAsia="Times New Roman" w:hAnsi="Cambria" w:cs="Calibri"/>
              </w:rPr>
            </w:pPr>
            <w:proofErr w:type="spellStart"/>
            <w:r w:rsidRPr="00DF4CE5">
              <w:rPr>
                <w:rFonts w:ascii="Cambria" w:eastAsia="Times New Roman" w:hAnsi="Cambria" w:cs="Calibri"/>
              </w:rPr>
              <w:t>Rokovi</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ispita</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i</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kolokvija</w:t>
            </w:r>
            <w:proofErr w:type="spellEnd"/>
          </w:p>
        </w:tc>
        <w:tc>
          <w:tcPr>
            <w:tcW w:w="6730"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09F24AC" w14:textId="77777777" w:rsidR="001C42AA" w:rsidRPr="00DF4CE5" w:rsidRDefault="001C42AA" w:rsidP="001C42AA">
            <w:pPr>
              <w:spacing w:after="0" w:line="240" w:lineRule="auto"/>
              <w:rPr>
                <w:rFonts w:ascii="Cambria" w:eastAsia="Times New Roman" w:hAnsi="Cambria" w:cs="Calibri"/>
              </w:rPr>
            </w:pPr>
            <w:r w:rsidRPr="00DF4CE5">
              <w:rPr>
                <w:rFonts w:ascii="Cambria" w:eastAsia="Times New Roman" w:hAnsi="Cambria" w:cs="Calibri"/>
              </w:rPr>
              <w:t xml:space="preserve">Daju se </w:t>
            </w:r>
            <w:proofErr w:type="spellStart"/>
            <w:r w:rsidRPr="00DF4CE5">
              <w:rPr>
                <w:rFonts w:ascii="Cambria" w:eastAsia="Times New Roman" w:hAnsi="Cambria" w:cs="Calibri"/>
              </w:rPr>
              <w:t>na</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početku</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akademske</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godine</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objavljuju</w:t>
            </w:r>
            <w:proofErr w:type="spellEnd"/>
            <w:r w:rsidRPr="00DF4CE5">
              <w:rPr>
                <w:rFonts w:ascii="Cambria" w:eastAsia="Times New Roman" w:hAnsi="Cambria" w:cs="Calibri"/>
              </w:rPr>
              <w:t xml:space="preserve"> se </w:t>
            </w:r>
            <w:proofErr w:type="spellStart"/>
            <w:r w:rsidRPr="00DF4CE5">
              <w:rPr>
                <w:rFonts w:ascii="Cambria" w:eastAsia="Times New Roman" w:hAnsi="Cambria" w:cs="Calibri"/>
              </w:rPr>
              <w:t>na</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mrežnim</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stranicama</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Sveučilišta</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i</w:t>
            </w:r>
            <w:proofErr w:type="spellEnd"/>
            <w:r w:rsidRPr="00DF4CE5">
              <w:rPr>
                <w:rFonts w:ascii="Cambria" w:eastAsia="Times New Roman" w:hAnsi="Cambria" w:cs="Calibri"/>
              </w:rPr>
              <w:t xml:space="preserve"> u ISVU. </w:t>
            </w:r>
          </w:p>
        </w:tc>
      </w:tr>
      <w:tr w:rsidR="001C42AA" w:rsidRPr="006E59DC" w14:paraId="31096F11" w14:textId="77777777" w:rsidTr="001C42AA">
        <w:tc>
          <w:tcPr>
            <w:tcW w:w="261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6C82F99" w14:textId="77777777" w:rsidR="001C42AA" w:rsidRPr="00DF4CE5" w:rsidRDefault="001C42AA" w:rsidP="001C42AA">
            <w:pPr>
              <w:spacing w:after="0" w:line="240" w:lineRule="auto"/>
              <w:rPr>
                <w:rFonts w:ascii="Cambria" w:eastAsia="Times New Roman" w:hAnsi="Cambria" w:cs="Calibri"/>
                <w:lang w:val="it-IT"/>
              </w:rPr>
            </w:pPr>
            <w:r w:rsidRPr="00DF4CE5">
              <w:rPr>
                <w:rFonts w:ascii="Cambria" w:eastAsia="Times New Roman" w:hAnsi="Cambria" w:cs="Calibri"/>
                <w:lang w:val="it-IT"/>
              </w:rPr>
              <w:t xml:space="preserve">Ostale </w:t>
            </w:r>
            <w:proofErr w:type="spellStart"/>
            <w:r w:rsidRPr="00DF4CE5">
              <w:rPr>
                <w:rFonts w:ascii="Cambria" w:eastAsia="Times New Roman" w:hAnsi="Cambria" w:cs="Calibri"/>
                <w:lang w:val="it-IT"/>
              </w:rPr>
              <w:t>važne</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činjenice</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vezane</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uz</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kolegij</w:t>
            </w:r>
            <w:proofErr w:type="spellEnd"/>
          </w:p>
        </w:tc>
        <w:tc>
          <w:tcPr>
            <w:tcW w:w="6730"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8D6CE5C" w14:textId="77777777" w:rsidR="001C42AA" w:rsidRPr="00DF4CE5" w:rsidRDefault="001C42AA" w:rsidP="001C42AA">
            <w:pPr>
              <w:spacing w:after="0" w:line="240" w:lineRule="auto"/>
              <w:rPr>
                <w:rFonts w:ascii="Cambria" w:eastAsia="Times New Roman" w:hAnsi="Cambria" w:cs="Calibri"/>
                <w:lang w:val="it-IT"/>
              </w:rPr>
            </w:pPr>
            <w:proofErr w:type="spellStart"/>
            <w:r w:rsidRPr="00DF4CE5">
              <w:rPr>
                <w:rFonts w:ascii="Cambria" w:eastAsia="Times New Roman" w:hAnsi="Cambria" w:cs="Calibri"/>
                <w:lang w:val="it-IT"/>
              </w:rPr>
              <w:t>Pohađanje</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nastave</w:t>
            </w:r>
            <w:proofErr w:type="spellEnd"/>
            <w:r w:rsidRPr="00DF4CE5">
              <w:rPr>
                <w:rFonts w:ascii="Cambria" w:eastAsia="Times New Roman" w:hAnsi="Cambria" w:cs="Calibri"/>
                <w:lang w:val="it-IT"/>
              </w:rPr>
              <w:t xml:space="preserve"> je </w:t>
            </w:r>
            <w:proofErr w:type="spellStart"/>
            <w:r w:rsidRPr="00DF4CE5">
              <w:rPr>
                <w:rFonts w:ascii="Cambria" w:eastAsia="Times New Roman" w:hAnsi="Cambria" w:cs="Calibri"/>
                <w:lang w:val="it-IT"/>
              </w:rPr>
              <w:t>obvezno</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Praćenje</w:t>
            </w:r>
            <w:proofErr w:type="spellEnd"/>
            <w:r w:rsidRPr="00DF4CE5">
              <w:rPr>
                <w:rFonts w:ascii="Cambria" w:eastAsia="Times New Roman" w:hAnsi="Cambria" w:cs="Calibri"/>
                <w:lang w:val="it-IT"/>
              </w:rPr>
              <w:t xml:space="preserve"> i </w:t>
            </w:r>
            <w:proofErr w:type="spellStart"/>
            <w:r w:rsidRPr="00DF4CE5">
              <w:rPr>
                <w:rFonts w:ascii="Cambria" w:eastAsia="Times New Roman" w:hAnsi="Cambria" w:cs="Calibri"/>
                <w:lang w:val="it-IT"/>
              </w:rPr>
              <w:t>ocjenjivanje</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studenata</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izvodi</w:t>
            </w:r>
            <w:proofErr w:type="spellEnd"/>
            <w:r w:rsidRPr="00DF4CE5">
              <w:rPr>
                <w:rFonts w:ascii="Cambria" w:eastAsia="Times New Roman" w:hAnsi="Cambria" w:cs="Calibri"/>
                <w:lang w:val="it-IT"/>
              </w:rPr>
              <w:t xml:space="preserve"> se </w:t>
            </w:r>
            <w:proofErr w:type="spellStart"/>
            <w:r w:rsidRPr="00DF4CE5">
              <w:rPr>
                <w:rFonts w:ascii="Cambria" w:eastAsia="Times New Roman" w:hAnsi="Cambria" w:cs="Calibri"/>
                <w:lang w:val="it-IT"/>
              </w:rPr>
              <w:t>tijekom</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nastave</w:t>
            </w:r>
            <w:proofErr w:type="spellEnd"/>
            <w:r w:rsidRPr="00DF4CE5">
              <w:rPr>
                <w:rFonts w:ascii="Cambria" w:eastAsia="Times New Roman" w:hAnsi="Cambria" w:cs="Calibri"/>
                <w:lang w:val="it-IT"/>
              </w:rPr>
              <w:t xml:space="preserve"> i </w:t>
            </w:r>
            <w:proofErr w:type="spellStart"/>
            <w:r w:rsidRPr="00DF4CE5">
              <w:rPr>
                <w:rFonts w:ascii="Cambria" w:eastAsia="Times New Roman" w:hAnsi="Cambria" w:cs="Calibri"/>
                <w:lang w:val="it-IT"/>
              </w:rPr>
              <w:t>na</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završnom</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ispitu</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Tijekom</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nastave</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student</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ostvaruje</w:t>
            </w:r>
            <w:proofErr w:type="spellEnd"/>
            <w:r w:rsidRPr="00DF4CE5">
              <w:rPr>
                <w:rFonts w:ascii="Cambria" w:eastAsia="Times New Roman" w:hAnsi="Cambria" w:cs="Calibri"/>
                <w:lang w:val="it-IT"/>
              </w:rPr>
              <w:t xml:space="preserve"> 70% </w:t>
            </w:r>
            <w:proofErr w:type="spellStart"/>
            <w:r w:rsidRPr="00DF4CE5">
              <w:rPr>
                <w:rFonts w:ascii="Cambria" w:eastAsia="Times New Roman" w:hAnsi="Cambria" w:cs="Calibri"/>
                <w:lang w:val="it-IT"/>
              </w:rPr>
              <w:t>ocjene</w:t>
            </w:r>
            <w:proofErr w:type="spellEnd"/>
            <w:r w:rsidRPr="00DF4CE5">
              <w:rPr>
                <w:rFonts w:ascii="Cambria" w:eastAsia="Times New Roman" w:hAnsi="Cambria" w:cs="Calibri"/>
                <w:lang w:val="it-IT"/>
              </w:rPr>
              <w:t xml:space="preserve">, a </w:t>
            </w:r>
            <w:proofErr w:type="spellStart"/>
            <w:r w:rsidRPr="00DF4CE5">
              <w:rPr>
                <w:rFonts w:ascii="Cambria" w:eastAsia="Times New Roman" w:hAnsi="Cambria" w:cs="Calibri"/>
                <w:lang w:val="it-IT"/>
              </w:rPr>
              <w:t>na</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završnom</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ispitu</w:t>
            </w:r>
            <w:proofErr w:type="spellEnd"/>
            <w:r w:rsidRPr="00DF4CE5">
              <w:rPr>
                <w:rFonts w:ascii="Cambria" w:eastAsia="Times New Roman" w:hAnsi="Cambria" w:cs="Calibri"/>
                <w:lang w:val="it-IT"/>
              </w:rPr>
              <w:t xml:space="preserve"> 30% </w:t>
            </w:r>
            <w:proofErr w:type="spellStart"/>
            <w:r w:rsidRPr="00DF4CE5">
              <w:rPr>
                <w:rFonts w:ascii="Cambria" w:eastAsia="Times New Roman" w:hAnsi="Cambria" w:cs="Calibri"/>
                <w:lang w:val="it-IT"/>
              </w:rPr>
              <w:t>ocjene</w:t>
            </w:r>
            <w:proofErr w:type="spellEnd"/>
            <w:r w:rsidRPr="00DF4CE5">
              <w:rPr>
                <w:rFonts w:ascii="Cambria" w:eastAsia="Times New Roman" w:hAnsi="Cambria" w:cs="Calibri"/>
                <w:lang w:val="it-IT"/>
              </w:rPr>
              <w:t>.</w:t>
            </w:r>
          </w:p>
          <w:p w14:paraId="03B767BB" w14:textId="77777777" w:rsidR="001C42AA" w:rsidRPr="00DF4CE5" w:rsidRDefault="001C42AA" w:rsidP="001C42AA">
            <w:pPr>
              <w:spacing w:after="0" w:line="240" w:lineRule="auto"/>
              <w:rPr>
                <w:rFonts w:ascii="Cambria" w:eastAsia="Times New Roman" w:hAnsi="Cambria" w:cs="Calibri"/>
                <w:lang w:val="it-IT"/>
              </w:rPr>
            </w:pPr>
            <w:proofErr w:type="spellStart"/>
            <w:r w:rsidRPr="00DF4CE5">
              <w:rPr>
                <w:rFonts w:ascii="Cambria" w:eastAsia="Times New Roman" w:hAnsi="Cambria" w:cs="Calibri"/>
                <w:lang w:val="it-IT"/>
              </w:rPr>
              <w:t>Usmeni</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ispit</w:t>
            </w:r>
            <w:proofErr w:type="spellEnd"/>
            <w:r w:rsidRPr="00DF4CE5">
              <w:rPr>
                <w:rFonts w:ascii="Cambria" w:eastAsia="Times New Roman" w:hAnsi="Cambria" w:cs="Calibri"/>
                <w:lang w:val="it-IT"/>
              </w:rPr>
              <w:t xml:space="preserve"> je </w:t>
            </w:r>
            <w:proofErr w:type="spellStart"/>
            <w:r w:rsidRPr="00DF4CE5">
              <w:rPr>
                <w:rFonts w:ascii="Cambria" w:eastAsia="Times New Roman" w:hAnsi="Cambria" w:cs="Calibri"/>
                <w:lang w:val="it-IT"/>
              </w:rPr>
              <w:t>svojevrsna</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rekapitulacija</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svega</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naučenog</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tijekom</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semestra</w:t>
            </w:r>
            <w:proofErr w:type="spellEnd"/>
            <w:r w:rsidRPr="00DF4CE5">
              <w:rPr>
                <w:rFonts w:ascii="Cambria" w:eastAsia="Times New Roman" w:hAnsi="Cambria" w:cs="Calibri"/>
                <w:lang w:val="it-IT"/>
              </w:rPr>
              <w:t xml:space="preserve"> i </w:t>
            </w:r>
            <w:proofErr w:type="spellStart"/>
            <w:r w:rsidRPr="00DF4CE5">
              <w:rPr>
                <w:rFonts w:ascii="Cambria" w:eastAsia="Times New Roman" w:hAnsi="Cambria" w:cs="Calibri"/>
                <w:lang w:val="it-IT"/>
              </w:rPr>
              <w:t>odražava</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opću</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pripremljenost</w:t>
            </w:r>
            <w:proofErr w:type="spellEnd"/>
            <w:r w:rsidRPr="00DF4CE5">
              <w:rPr>
                <w:rFonts w:ascii="Cambria" w:eastAsia="Times New Roman" w:hAnsi="Cambria" w:cs="Calibri"/>
                <w:lang w:val="it-IT"/>
              </w:rPr>
              <w:t xml:space="preserve"> i </w:t>
            </w:r>
            <w:proofErr w:type="spellStart"/>
            <w:r w:rsidRPr="00DF4CE5">
              <w:rPr>
                <w:rFonts w:ascii="Cambria" w:eastAsia="Times New Roman" w:hAnsi="Cambria" w:cs="Calibri"/>
                <w:lang w:val="it-IT"/>
              </w:rPr>
              <w:t>spremnost</w:t>
            </w:r>
            <w:proofErr w:type="spellEnd"/>
            <w:r w:rsidRPr="00DF4CE5">
              <w:rPr>
                <w:rFonts w:ascii="Cambria" w:eastAsia="Times New Roman" w:hAnsi="Cambria" w:cs="Calibri"/>
                <w:lang w:val="it-IT"/>
              </w:rPr>
              <w:t xml:space="preserve"> za </w:t>
            </w:r>
            <w:proofErr w:type="spellStart"/>
            <w:r w:rsidRPr="00DF4CE5">
              <w:rPr>
                <w:rFonts w:ascii="Cambria" w:eastAsia="Times New Roman" w:hAnsi="Cambria" w:cs="Calibri"/>
                <w:lang w:val="it-IT"/>
              </w:rPr>
              <w:t>primjenu</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naučenih</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sadržaja</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kolegija</w:t>
            </w:r>
            <w:proofErr w:type="spellEnd"/>
            <w:r w:rsidRPr="00DF4CE5">
              <w:rPr>
                <w:rFonts w:ascii="Cambria" w:eastAsia="Times New Roman" w:hAnsi="Cambria" w:cs="Calibri"/>
                <w:lang w:val="it-IT"/>
              </w:rPr>
              <w:t>.</w:t>
            </w:r>
          </w:p>
          <w:p w14:paraId="2E132F46" w14:textId="399B8EBD" w:rsidR="001C42AA" w:rsidRPr="006E59DC" w:rsidRDefault="001C42AA" w:rsidP="001C42AA">
            <w:pPr>
              <w:spacing w:after="0" w:line="240" w:lineRule="auto"/>
              <w:rPr>
                <w:rFonts w:ascii="Cambria" w:eastAsia="Times New Roman" w:hAnsi="Cambria" w:cs="Calibri"/>
                <w:lang w:val="it-IT"/>
              </w:rPr>
            </w:pPr>
            <w:r w:rsidRPr="00DF4CE5">
              <w:rPr>
                <w:rFonts w:ascii="Cambria" w:eastAsia="Times New Roman" w:hAnsi="Cambria" w:cs="Calibri"/>
                <w:lang w:val="it-IT"/>
              </w:rPr>
              <w:t xml:space="preserve">U </w:t>
            </w:r>
            <w:proofErr w:type="spellStart"/>
            <w:r w:rsidRPr="00DF4CE5">
              <w:rPr>
                <w:rFonts w:ascii="Cambria" w:eastAsia="Times New Roman" w:hAnsi="Cambria" w:cs="Calibri"/>
                <w:lang w:val="it-IT"/>
              </w:rPr>
              <w:t>slučaju</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održavanja</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nastave</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na</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daljinu</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moguće</w:t>
            </w:r>
            <w:proofErr w:type="spellEnd"/>
            <w:r w:rsidRPr="00DF4CE5">
              <w:rPr>
                <w:rFonts w:ascii="Cambria" w:eastAsia="Times New Roman" w:hAnsi="Cambria" w:cs="Calibri"/>
                <w:lang w:val="it-IT"/>
              </w:rPr>
              <w:t xml:space="preserve"> je </w:t>
            </w:r>
            <w:proofErr w:type="spellStart"/>
            <w:r w:rsidRPr="00DF4CE5">
              <w:rPr>
                <w:rFonts w:ascii="Cambria" w:eastAsia="Times New Roman" w:hAnsi="Cambria" w:cs="Calibri"/>
                <w:lang w:val="it-IT"/>
              </w:rPr>
              <w:t>odstupanje</w:t>
            </w:r>
            <w:proofErr w:type="spellEnd"/>
            <w:r w:rsidRPr="00DF4CE5">
              <w:rPr>
                <w:rFonts w:ascii="Cambria" w:eastAsia="Times New Roman" w:hAnsi="Cambria" w:cs="Calibri"/>
                <w:lang w:val="it-IT"/>
              </w:rPr>
              <w:t xml:space="preserve"> u: </w:t>
            </w:r>
            <w:proofErr w:type="spellStart"/>
            <w:r w:rsidRPr="00DF4CE5">
              <w:rPr>
                <w:rFonts w:ascii="Cambria" w:eastAsia="Times New Roman" w:hAnsi="Cambria" w:cs="Calibri"/>
                <w:lang w:val="it-IT"/>
              </w:rPr>
              <w:t>mjestu</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izvođenja</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kolegija</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provedbi</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aktivnosti</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metoda</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tumačenja</w:t>
            </w:r>
            <w:proofErr w:type="spellEnd"/>
            <w:r w:rsidRPr="00DF4CE5">
              <w:rPr>
                <w:rFonts w:ascii="Cambria" w:eastAsia="Times New Roman" w:hAnsi="Cambria" w:cs="Calibri"/>
                <w:lang w:val="it-IT"/>
              </w:rPr>
              <w:t xml:space="preserve"> i </w:t>
            </w:r>
            <w:proofErr w:type="spellStart"/>
            <w:r w:rsidRPr="00DF4CE5">
              <w:rPr>
                <w:rFonts w:ascii="Cambria" w:eastAsia="Times New Roman" w:hAnsi="Cambria" w:cs="Calibri"/>
                <w:lang w:val="it-IT"/>
              </w:rPr>
              <w:t>poučavanja</w:t>
            </w:r>
            <w:proofErr w:type="spellEnd"/>
            <w:r w:rsidRPr="00DF4CE5">
              <w:rPr>
                <w:rFonts w:ascii="Cambria" w:eastAsia="Times New Roman" w:hAnsi="Cambria" w:cs="Calibri"/>
                <w:lang w:val="it-IT"/>
              </w:rPr>
              <w:t xml:space="preserve"> i </w:t>
            </w:r>
            <w:proofErr w:type="spellStart"/>
            <w:r w:rsidRPr="00DF4CE5">
              <w:rPr>
                <w:rFonts w:ascii="Cambria" w:eastAsia="Times New Roman" w:hAnsi="Cambria" w:cs="Calibri"/>
                <w:lang w:val="it-IT"/>
              </w:rPr>
              <w:t>načinima</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vrednovanja</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studentskim</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obvezama</w:t>
            </w:r>
            <w:proofErr w:type="spellEnd"/>
            <w:r w:rsidRPr="00DF4CE5">
              <w:rPr>
                <w:rFonts w:ascii="Cambria" w:eastAsia="Times New Roman" w:hAnsi="Cambria" w:cs="Calibri"/>
                <w:lang w:val="it-IT"/>
              </w:rPr>
              <w:t xml:space="preserve"> i </w:t>
            </w:r>
            <w:proofErr w:type="spellStart"/>
            <w:r w:rsidRPr="00DF4CE5">
              <w:rPr>
                <w:rFonts w:ascii="Cambria" w:eastAsia="Times New Roman" w:hAnsi="Cambria" w:cs="Calibri"/>
                <w:lang w:val="it-IT"/>
              </w:rPr>
              <w:t>dostupnoj</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literaturi</w:t>
            </w:r>
            <w:proofErr w:type="spellEnd"/>
            <w:r w:rsidRPr="00DF4CE5">
              <w:rPr>
                <w:rFonts w:ascii="Cambria" w:eastAsia="Times New Roman" w:hAnsi="Cambria" w:cs="Calibri"/>
                <w:lang w:val="it-IT"/>
              </w:rPr>
              <w:t xml:space="preserve">. O tome </w:t>
            </w:r>
            <w:proofErr w:type="spellStart"/>
            <w:r w:rsidRPr="00DF4CE5">
              <w:rPr>
                <w:rFonts w:ascii="Cambria" w:eastAsia="Times New Roman" w:hAnsi="Cambria" w:cs="Calibri"/>
                <w:lang w:val="it-IT"/>
              </w:rPr>
              <w:t>će</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nositeljica</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kolegija</w:t>
            </w:r>
            <w:proofErr w:type="spellEnd"/>
            <w:r w:rsidRPr="00DF4CE5">
              <w:rPr>
                <w:rFonts w:ascii="Cambria" w:eastAsia="Times New Roman" w:hAnsi="Cambria" w:cs="Calibri"/>
                <w:lang w:val="it-IT"/>
              </w:rPr>
              <w:t xml:space="preserve"> i </w:t>
            </w:r>
            <w:proofErr w:type="spellStart"/>
            <w:r w:rsidR="006E59DC">
              <w:rPr>
                <w:rFonts w:ascii="Cambria" w:eastAsia="Times New Roman" w:hAnsi="Cambria" w:cs="Calibri"/>
                <w:lang w:val="it-IT"/>
              </w:rPr>
              <w:t>suradnici</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obavijestiti</w:t>
            </w:r>
            <w:proofErr w:type="spellEnd"/>
            <w:r w:rsidRPr="00DF4CE5">
              <w:rPr>
                <w:rFonts w:ascii="Cambria" w:eastAsia="Times New Roman" w:hAnsi="Cambria" w:cs="Calibri"/>
                <w:lang w:val="it-IT"/>
              </w:rPr>
              <w:t xml:space="preserve"> studente i </w:t>
            </w:r>
            <w:proofErr w:type="spellStart"/>
            <w:r w:rsidRPr="00DF4CE5">
              <w:rPr>
                <w:rFonts w:ascii="Cambria" w:eastAsia="Times New Roman" w:hAnsi="Cambria" w:cs="Calibri"/>
                <w:lang w:val="it-IT"/>
              </w:rPr>
              <w:t>studentice</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kad</w:t>
            </w:r>
            <w:proofErr w:type="spellEnd"/>
            <w:r w:rsidRPr="00DF4CE5">
              <w:rPr>
                <w:rFonts w:ascii="Cambria" w:eastAsia="Times New Roman" w:hAnsi="Cambria" w:cs="Calibri"/>
                <w:lang w:val="it-IT"/>
              </w:rPr>
              <w:t xml:space="preserve"> se </w:t>
            </w:r>
            <w:proofErr w:type="spellStart"/>
            <w:r w:rsidRPr="00DF4CE5">
              <w:rPr>
                <w:rFonts w:ascii="Cambria" w:eastAsia="Times New Roman" w:hAnsi="Cambria" w:cs="Calibri"/>
                <w:lang w:val="it-IT"/>
              </w:rPr>
              <w:t>nastava</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na</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daljinu</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počne</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održavati</w:t>
            </w:r>
            <w:proofErr w:type="spellEnd"/>
            <w:r w:rsidRPr="00DF4CE5">
              <w:rPr>
                <w:rFonts w:ascii="Cambria" w:eastAsia="Times New Roman" w:hAnsi="Cambria" w:cs="Calibri"/>
                <w:lang w:val="it-IT"/>
              </w:rPr>
              <w:t xml:space="preserve">. </w:t>
            </w:r>
            <w:proofErr w:type="spellStart"/>
            <w:r w:rsidRPr="006E59DC">
              <w:rPr>
                <w:rFonts w:ascii="Cambria" w:eastAsia="Times New Roman" w:hAnsi="Cambria" w:cs="Calibri"/>
                <w:lang w:val="it-IT"/>
              </w:rPr>
              <w:t>Ishodi</w:t>
            </w:r>
            <w:proofErr w:type="spellEnd"/>
            <w:r w:rsidRPr="006E59DC">
              <w:rPr>
                <w:rFonts w:ascii="Cambria" w:eastAsia="Times New Roman" w:hAnsi="Cambria" w:cs="Calibri"/>
                <w:lang w:val="it-IT"/>
              </w:rPr>
              <w:t xml:space="preserve"> </w:t>
            </w:r>
            <w:proofErr w:type="spellStart"/>
            <w:r w:rsidRPr="006E59DC">
              <w:rPr>
                <w:rFonts w:ascii="Cambria" w:eastAsia="Times New Roman" w:hAnsi="Cambria" w:cs="Calibri"/>
                <w:lang w:val="it-IT"/>
              </w:rPr>
              <w:t>učenja</w:t>
            </w:r>
            <w:proofErr w:type="spellEnd"/>
            <w:r w:rsidRPr="006E59DC">
              <w:rPr>
                <w:rFonts w:ascii="Cambria" w:eastAsia="Times New Roman" w:hAnsi="Cambria" w:cs="Calibri"/>
                <w:lang w:val="it-IT"/>
              </w:rPr>
              <w:t xml:space="preserve"> </w:t>
            </w:r>
            <w:proofErr w:type="spellStart"/>
            <w:r w:rsidRPr="006E59DC">
              <w:rPr>
                <w:rFonts w:ascii="Cambria" w:eastAsia="Times New Roman" w:hAnsi="Cambria" w:cs="Calibri"/>
                <w:lang w:val="it-IT"/>
              </w:rPr>
              <w:t>ostaju</w:t>
            </w:r>
            <w:proofErr w:type="spellEnd"/>
            <w:r w:rsidRPr="006E59DC">
              <w:rPr>
                <w:rFonts w:ascii="Cambria" w:eastAsia="Times New Roman" w:hAnsi="Cambria" w:cs="Calibri"/>
                <w:lang w:val="it-IT"/>
              </w:rPr>
              <w:t xml:space="preserve"> </w:t>
            </w:r>
            <w:proofErr w:type="spellStart"/>
            <w:r w:rsidRPr="006E59DC">
              <w:rPr>
                <w:rFonts w:ascii="Cambria" w:eastAsia="Times New Roman" w:hAnsi="Cambria" w:cs="Calibri"/>
                <w:lang w:val="it-IT"/>
              </w:rPr>
              <w:t>nepromijenjeni</w:t>
            </w:r>
            <w:proofErr w:type="spellEnd"/>
            <w:r w:rsidRPr="006E59DC">
              <w:rPr>
                <w:rFonts w:ascii="Cambria" w:eastAsia="Times New Roman" w:hAnsi="Cambria" w:cs="Calibri"/>
                <w:lang w:val="it-IT"/>
              </w:rPr>
              <w:t>.</w:t>
            </w:r>
          </w:p>
        </w:tc>
      </w:tr>
      <w:tr w:rsidR="001C42AA" w:rsidRPr="00DF4CE5" w14:paraId="5C40D871" w14:textId="77777777" w:rsidTr="001C42AA">
        <w:trPr>
          <w:trHeight w:val="612"/>
        </w:trPr>
        <w:tc>
          <w:tcPr>
            <w:tcW w:w="261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1F6A276" w14:textId="77777777" w:rsidR="001C42AA" w:rsidRPr="00DF4CE5" w:rsidRDefault="001C42AA" w:rsidP="001C42AA">
            <w:pPr>
              <w:spacing w:after="0" w:line="240" w:lineRule="auto"/>
              <w:rPr>
                <w:rFonts w:ascii="Cambria" w:eastAsia="Times New Roman" w:hAnsi="Cambria" w:cs="Calibri"/>
              </w:rPr>
            </w:pPr>
            <w:proofErr w:type="spellStart"/>
            <w:r w:rsidRPr="00DF4CE5">
              <w:rPr>
                <w:rFonts w:ascii="Cambria" w:eastAsia="Times New Roman" w:hAnsi="Cambria" w:cs="Calibri"/>
              </w:rPr>
              <w:t>Literatura</w:t>
            </w:r>
            <w:proofErr w:type="spellEnd"/>
          </w:p>
        </w:tc>
        <w:tc>
          <w:tcPr>
            <w:tcW w:w="6730"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7DC3670C" w14:textId="77777777" w:rsidR="001C42AA" w:rsidRPr="00DF4CE5" w:rsidRDefault="001C42AA" w:rsidP="001C42AA">
            <w:pPr>
              <w:spacing w:after="0" w:line="240" w:lineRule="auto"/>
              <w:rPr>
                <w:rFonts w:ascii="Cambria" w:eastAsia="Times New Roman" w:hAnsi="Cambria" w:cs="Calibri"/>
              </w:rPr>
            </w:pPr>
            <w:proofErr w:type="spellStart"/>
            <w:r w:rsidRPr="00DF4CE5">
              <w:rPr>
                <w:rFonts w:ascii="Cambria" w:eastAsia="Times New Roman" w:hAnsi="Cambria" w:cs="Calibri"/>
              </w:rPr>
              <w:t>Obvezna</w:t>
            </w:r>
            <w:proofErr w:type="spellEnd"/>
            <w:r w:rsidRPr="00DF4CE5">
              <w:rPr>
                <w:rFonts w:ascii="Cambria" w:eastAsia="Times New Roman" w:hAnsi="Cambria" w:cs="Calibri"/>
              </w:rPr>
              <w:t xml:space="preserve">: </w:t>
            </w:r>
          </w:p>
          <w:p w14:paraId="4C5543ED" w14:textId="77777777" w:rsidR="001C42AA" w:rsidRPr="00DF4CE5" w:rsidRDefault="001C42AA" w:rsidP="001C42AA">
            <w:pPr>
              <w:spacing w:after="0" w:line="240" w:lineRule="auto"/>
              <w:rPr>
                <w:rFonts w:ascii="Cambria" w:eastAsia="Times New Roman" w:hAnsi="Cambria" w:cs="Calibri"/>
              </w:rPr>
            </w:pPr>
            <w:r w:rsidRPr="00DF4CE5">
              <w:rPr>
                <w:rFonts w:ascii="Cambria" w:eastAsia="Times New Roman" w:hAnsi="Cambria" w:cs="Calibri"/>
              </w:rPr>
              <w:t xml:space="preserve">1. H. Stephenson, L. Lansford, P. Dummett (2016). </w:t>
            </w:r>
            <w:proofErr w:type="gramStart"/>
            <w:r w:rsidRPr="00DF4CE5">
              <w:rPr>
                <w:rFonts w:ascii="Cambria" w:eastAsia="Times New Roman" w:hAnsi="Cambria" w:cs="Calibri"/>
              </w:rPr>
              <w:t>Keynote,  upper</w:t>
            </w:r>
            <w:proofErr w:type="gramEnd"/>
            <w:r w:rsidRPr="00DF4CE5">
              <w:rPr>
                <w:rFonts w:ascii="Cambria" w:eastAsia="Times New Roman" w:hAnsi="Cambria" w:cs="Calibri"/>
              </w:rPr>
              <w:t>-intermediate, National Geographic Learning</w:t>
            </w:r>
          </w:p>
          <w:p w14:paraId="7E1BABA4" w14:textId="77777777" w:rsidR="001C42AA" w:rsidRPr="00DF4CE5" w:rsidRDefault="001C42AA" w:rsidP="001C42AA">
            <w:pPr>
              <w:spacing w:after="0" w:line="240" w:lineRule="auto"/>
              <w:rPr>
                <w:rFonts w:ascii="Cambria" w:eastAsia="Times New Roman" w:hAnsi="Cambria" w:cs="Calibri"/>
              </w:rPr>
            </w:pPr>
            <w:r w:rsidRPr="00DF4CE5">
              <w:rPr>
                <w:rFonts w:ascii="Cambria" w:eastAsia="Times New Roman" w:hAnsi="Cambria" w:cs="Calibri"/>
              </w:rPr>
              <w:t xml:space="preserve">2. R. Reppen (2011). Grammar and Beyond 2 </w:t>
            </w:r>
            <w:proofErr w:type="spellStart"/>
            <w:r w:rsidRPr="00DF4CE5">
              <w:rPr>
                <w:rFonts w:ascii="Cambria" w:eastAsia="Times New Roman" w:hAnsi="Cambria" w:cs="Calibri"/>
              </w:rPr>
              <w:t>i</w:t>
            </w:r>
            <w:proofErr w:type="spellEnd"/>
            <w:r w:rsidRPr="00DF4CE5">
              <w:rPr>
                <w:rFonts w:ascii="Cambria" w:eastAsia="Times New Roman" w:hAnsi="Cambria" w:cs="Calibri"/>
              </w:rPr>
              <w:t xml:space="preserve"> </w:t>
            </w:r>
            <w:proofErr w:type="gramStart"/>
            <w:r w:rsidRPr="00DF4CE5">
              <w:rPr>
                <w:rFonts w:ascii="Cambria" w:eastAsia="Times New Roman" w:hAnsi="Cambria" w:cs="Calibri"/>
              </w:rPr>
              <w:t>3,  Cambridge</w:t>
            </w:r>
            <w:proofErr w:type="gramEnd"/>
            <w:r w:rsidRPr="00DF4CE5">
              <w:rPr>
                <w:rFonts w:ascii="Cambria" w:eastAsia="Times New Roman" w:hAnsi="Cambria" w:cs="Calibri"/>
              </w:rPr>
              <w:t xml:space="preserve"> UP</w:t>
            </w:r>
          </w:p>
          <w:p w14:paraId="0694BCE6" w14:textId="77777777" w:rsidR="001C42AA" w:rsidRPr="00DF4CE5" w:rsidRDefault="001C42AA" w:rsidP="001C42AA">
            <w:pPr>
              <w:spacing w:after="0" w:line="240" w:lineRule="auto"/>
              <w:rPr>
                <w:rFonts w:ascii="Cambria" w:eastAsia="Times New Roman" w:hAnsi="Cambria" w:cs="Calibri"/>
              </w:rPr>
            </w:pPr>
            <w:proofErr w:type="spellStart"/>
            <w:r w:rsidRPr="00DF4CE5">
              <w:rPr>
                <w:rFonts w:ascii="Cambria" w:eastAsia="Times New Roman" w:hAnsi="Cambria" w:cs="Calibri"/>
              </w:rPr>
              <w:t>Izborna</w:t>
            </w:r>
            <w:proofErr w:type="spellEnd"/>
            <w:r w:rsidRPr="00DF4CE5">
              <w:rPr>
                <w:rFonts w:ascii="Cambria" w:eastAsia="Times New Roman" w:hAnsi="Cambria" w:cs="Calibri"/>
              </w:rPr>
              <w:t>:</w:t>
            </w:r>
          </w:p>
          <w:p w14:paraId="131F8306" w14:textId="77777777" w:rsidR="001C42AA" w:rsidRPr="00DF4CE5" w:rsidRDefault="001C42AA" w:rsidP="001C42AA">
            <w:pPr>
              <w:spacing w:after="0" w:line="240" w:lineRule="auto"/>
              <w:rPr>
                <w:rFonts w:ascii="Cambria" w:eastAsia="Times New Roman" w:hAnsi="Cambria" w:cs="Calibri"/>
              </w:rPr>
            </w:pPr>
            <w:r w:rsidRPr="00DF4CE5">
              <w:rPr>
                <w:rFonts w:ascii="Cambria" w:eastAsia="Times New Roman" w:hAnsi="Cambria" w:cs="Calibri"/>
              </w:rPr>
              <w:t xml:space="preserve">1. Gude, K. (2011). New Matrix, </w:t>
            </w:r>
            <w:proofErr w:type="spellStart"/>
            <w:proofErr w:type="gramStart"/>
            <w:r w:rsidRPr="00DF4CE5">
              <w:rPr>
                <w:rFonts w:ascii="Cambria" w:eastAsia="Times New Roman" w:hAnsi="Cambria" w:cs="Calibri"/>
              </w:rPr>
              <w:t>Intermediate,Student</w:t>
            </w:r>
            <w:proofErr w:type="spellEnd"/>
            <w:proofErr w:type="gramEnd"/>
            <w:r w:rsidRPr="00DF4CE5">
              <w:rPr>
                <w:rFonts w:ascii="Cambria" w:eastAsia="Times New Roman" w:hAnsi="Cambria" w:cs="Calibri"/>
              </w:rPr>
              <w:t>' book, OUP</w:t>
            </w:r>
          </w:p>
          <w:p w14:paraId="3AF22AE3" w14:textId="77777777" w:rsidR="001C42AA" w:rsidRPr="00DF4CE5" w:rsidRDefault="001C42AA" w:rsidP="001C42AA">
            <w:pPr>
              <w:spacing w:after="0" w:line="240" w:lineRule="auto"/>
              <w:rPr>
                <w:rFonts w:ascii="Cambria" w:eastAsia="Times New Roman" w:hAnsi="Cambria" w:cs="Calibri"/>
              </w:rPr>
            </w:pPr>
            <w:r w:rsidRPr="00DF4CE5">
              <w:rPr>
                <w:rFonts w:ascii="Cambria" w:eastAsia="Times New Roman" w:hAnsi="Cambria" w:cs="Calibri"/>
              </w:rPr>
              <w:t xml:space="preserve">2. Gude, K. (2011). New Matrix, </w:t>
            </w:r>
            <w:proofErr w:type="spellStart"/>
            <w:proofErr w:type="gramStart"/>
            <w:r w:rsidRPr="00DF4CE5">
              <w:rPr>
                <w:rFonts w:ascii="Cambria" w:eastAsia="Times New Roman" w:hAnsi="Cambria" w:cs="Calibri"/>
              </w:rPr>
              <w:t>Intermediate,Workbook</w:t>
            </w:r>
            <w:proofErr w:type="spellEnd"/>
            <w:proofErr w:type="gramEnd"/>
            <w:r w:rsidRPr="00DF4CE5">
              <w:rPr>
                <w:rFonts w:ascii="Cambria" w:eastAsia="Times New Roman" w:hAnsi="Cambria" w:cs="Calibri"/>
              </w:rPr>
              <w:t xml:space="preserve"> book, OUP</w:t>
            </w:r>
          </w:p>
          <w:p w14:paraId="776418A8" w14:textId="77777777" w:rsidR="001C42AA" w:rsidRPr="00DF4CE5" w:rsidRDefault="001C42AA" w:rsidP="001C42AA">
            <w:pPr>
              <w:spacing w:after="0" w:line="240" w:lineRule="auto"/>
              <w:rPr>
                <w:rFonts w:ascii="Cambria" w:eastAsia="Times New Roman" w:hAnsi="Cambria" w:cs="Calibri"/>
              </w:rPr>
            </w:pPr>
            <w:r w:rsidRPr="00DF4CE5">
              <w:rPr>
                <w:rFonts w:ascii="Cambria" w:eastAsia="Times New Roman" w:hAnsi="Cambria" w:cs="Calibri"/>
              </w:rPr>
              <w:t>3. Murphy, R. (2007). English Grammar in Use, Cambridge University Press</w:t>
            </w:r>
          </w:p>
          <w:p w14:paraId="5612EF33" w14:textId="77777777" w:rsidR="001C42AA" w:rsidRPr="00DF4CE5" w:rsidRDefault="001C42AA" w:rsidP="001C42AA">
            <w:pPr>
              <w:spacing w:after="0" w:line="240" w:lineRule="auto"/>
              <w:rPr>
                <w:rFonts w:ascii="Cambria" w:eastAsia="Times New Roman" w:hAnsi="Cambria" w:cs="Calibri"/>
              </w:rPr>
            </w:pPr>
            <w:r w:rsidRPr="00DF4CE5">
              <w:rPr>
                <w:rFonts w:ascii="Cambria" w:eastAsia="Times New Roman" w:hAnsi="Cambria" w:cs="Calibri"/>
              </w:rPr>
              <w:t>4. Eastwood, J. (2009</w:t>
            </w:r>
            <w:proofErr w:type="gramStart"/>
            <w:r w:rsidRPr="00DF4CE5">
              <w:rPr>
                <w:rFonts w:ascii="Cambria" w:eastAsia="Times New Roman" w:hAnsi="Cambria" w:cs="Calibri"/>
              </w:rPr>
              <w:t>):.</w:t>
            </w:r>
            <w:proofErr w:type="gramEnd"/>
            <w:r w:rsidRPr="00DF4CE5">
              <w:rPr>
                <w:rFonts w:ascii="Cambria" w:eastAsia="Times New Roman" w:hAnsi="Cambria" w:cs="Calibri"/>
              </w:rPr>
              <w:t xml:space="preserve">Oxford Learner's Grammar – Grammar </w:t>
            </w:r>
            <w:proofErr w:type="gramStart"/>
            <w:r w:rsidRPr="00DF4CE5">
              <w:rPr>
                <w:rFonts w:ascii="Cambria" w:eastAsia="Times New Roman" w:hAnsi="Cambria" w:cs="Calibri"/>
              </w:rPr>
              <w:t>Finder ,</w:t>
            </w:r>
            <w:proofErr w:type="gramEnd"/>
            <w:r w:rsidRPr="00DF4CE5">
              <w:rPr>
                <w:rFonts w:ascii="Cambria" w:eastAsia="Times New Roman" w:hAnsi="Cambria" w:cs="Calibri"/>
              </w:rPr>
              <w:t xml:space="preserve"> OUP</w:t>
            </w:r>
          </w:p>
          <w:p w14:paraId="2F6F4F45" w14:textId="77777777" w:rsidR="001C42AA" w:rsidRPr="00DF4CE5" w:rsidRDefault="001C42AA" w:rsidP="001C42AA">
            <w:pPr>
              <w:spacing w:after="0" w:line="240" w:lineRule="auto"/>
              <w:rPr>
                <w:rFonts w:ascii="Cambria" w:eastAsia="Times New Roman" w:hAnsi="Cambria" w:cs="Calibri"/>
                <w:lang w:val="en-GB"/>
              </w:rPr>
            </w:pPr>
            <w:r w:rsidRPr="00DF4CE5">
              <w:rPr>
                <w:rFonts w:ascii="Cambria" w:eastAsia="Times New Roman" w:hAnsi="Cambria" w:cs="Calibri"/>
              </w:rPr>
              <w:t xml:space="preserve">5. Eastwood, J. (2009). Oxford Learner's Grammar – Grammar </w:t>
            </w:r>
            <w:proofErr w:type="gramStart"/>
            <w:r w:rsidRPr="00DF4CE5">
              <w:rPr>
                <w:rFonts w:ascii="Cambria" w:eastAsia="Times New Roman" w:hAnsi="Cambria" w:cs="Calibri"/>
              </w:rPr>
              <w:t>Builder ,</w:t>
            </w:r>
            <w:proofErr w:type="gramEnd"/>
            <w:r w:rsidRPr="00DF4CE5">
              <w:rPr>
                <w:rFonts w:ascii="Cambria" w:eastAsia="Times New Roman" w:hAnsi="Cambria" w:cs="Calibri"/>
              </w:rPr>
              <w:t xml:space="preserve"> OUP</w:t>
            </w:r>
          </w:p>
        </w:tc>
      </w:tr>
    </w:tbl>
    <w:p w14:paraId="62D8EF52" w14:textId="326BE97B" w:rsidR="001C42AA" w:rsidRPr="00DF4CE5" w:rsidRDefault="001C42AA">
      <w:pPr>
        <w:rPr>
          <w:rFonts w:ascii="Cambria" w:eastAsia="Times New Roman" w:hAnsi="Cambria" w:cs="Calibri"/>
          <w:lang w:val="hr-HR"/>
        </w:rPr>
      </w:pPr>
      <w:bookmarkStart w:id="102" w:name="_Hlk166844594"/>
    </w:p>
    <w:p w14:paraId="48E30254" w14:textId="47DD3AC4" w:rsidR="001223DA" w:rsidRPr="00DF4CE5" w:rsidRDefault="001223DA">
      <w:pPr>
        <w:rPr>
          <w:rFonts w:ascii="Cambria" w:eastAsia="Times New Roman" w:hAnsi="Cambria" w:cs="Calibri"/>
          <w:lang w:val="hr-HR"/>
        </w:rPr>
      </w:pPr>
    </w:p>
    <w:p w14:paraId="0D243A69" w14:textId="41E19361" w:rsidR="001223DA" w:rsidRPr="00DF4CE5" w:rsidRDefault="001223DA">
      <w:pPr>
        <w:rPr>
          <w:rFonts w:ascii="Cambria" w:eastAsia="Times New Roman" w:hAnsi="Cambria" w:cs="Calibri"/>
          <w:lang w:val="hr-HR"/>
        </w:rPr>
      </w:pPr>
    </w:p>
    <w:p w14:paraId="0B1084E9" w14:textId="77777777" w:rsidR="00760C3A" w:rsidRPr="00DF4CE5" w:rsidRDefault="00760C3A">
      <w:pPr>
        <w:rPr>
          <w:rFonts w:ascii="Cambria" w:eastAsia="Times New Roman" w:hAnsi="Cambria" w:cs="Calibri"/>
          <w:lang w:val="hr-HR"/>
        </w:rPr>
      </w:pPr>
    </w:p>
    <w:tbl>
      <w:tblPr>
        <w:tblW w:w="5000" w:type="pct"/>
        <w:tblLayout w:type="fixed"/>
        <w:tblCellMar>
          <w:left w:w="0" w:type="dxa"/>
          <w:right w:w="0" w:type="dxa"/>
        </w:tblCellMar>
        <w:tblLook w:val="0600" w:firstRow="0" w:lastRow="0" w:firstColumn="0" w:lastColumn="0" w:noHBand="1" w:noVBand="1"/>
      </w:tblPr>
      <w:tblGrid>
        <w:gridCol w:w="2800"/>
        <w:gridCol w:w="2659"/>
        <w:gridCol w:w="105"/>
        <w:gridCol w:w="1176"/>
        <w:gridCol w:w="303"/>
        <w:gridCol w:w="473"/>
        <w:gridCol w:w="1089"/>
        <w:gridCol w:w="1415"/>
      </w:tblGrid>
      <w:tr w:rsidR="003F7F9A" w:rsidRPr="00DF4CE5" w14:paraId="5B6A4E62" w14:textId="77777777" w:rsidTr="006E59DC">
        <w:tc>
          <w:tcPr>
            <w:tcW w:w="10020"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299A562" w14:textId="77777777" w:rsidR="003F7F9A" w:rsidRPr="00DF4CE5" w:rsidRDefault="003F7F9A" w:rsidP="003F7F9A">
            <w:pPr>
              <w:spacing w:after="0" w:line="240" w:lineRule="auto"/>
              <w:jc w:val="right"/>
              <w:rPr>
                <w:rFonts w:ascii="Cambria" w:eastAsia="Times New Roman" w:hAnsi="Cambria" w:cs="Calibri"/>
                <w:b/>
              </w:rPr>
            </w:pPr>
            <w:r w:rsidRPr="00DF4CE5">
              <w:rPr>
                <w:rFonts w:ascii="Cambria" w:eastAsia="Times New Roman" w:hAnsi="Cambria" w:cs="Calibri"/>
                <w:b/>
              </w:rPr>
              <w:lastRenderedPageBreak/>
              <w:t>IZVEDBENI PLAN NASTAVE KOLEGIJA</w:t>
            </w:r>
          </w:p>
        </w:tc>
      </w:tr>
      <w:tr w:rsidR="003F7F9A" w:rsidRPr="00DF4CE5" w14:paraId="3D280B7E" w14:textId="77777777" w:rsidTr="006E59DC">
        <w:tc>
          <w:tcPr>
            <w:tcW w:w="28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84DDEC5" w14:textId="77777777" w:rsidR="003F7F9A" w:rsidRPr="00DF4CE5" w:rsidRDefault="003F7F9A" w:rsidP="003F7F9A">
            <w:pPr>
              <w:spacing w:after="0" w:line="240" w:lineRule="auto"/>
              <w:rPr>
                <w:rFonts w:ascii="Cambria" w:eastAsia="Times New Roman" w:hAnsi="Cambria" w:cs="Calibri"/>
              </w:rPr>
            </w:pPr>
            <w:proofErr w:type="spellStart"/>
            <w:r w:rsidRPr="00DF4CE5">
              <w:rPr>
                <w:rFonts w:ascii="Cambria" w:eastAsia="Times New Roman" w:hAnsi="Cambria" w:cs="Calibri"/>
              </w:rPr>
              <w:t>Kod</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i</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naziv</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kolegija</w:t>
            </w:r>
            <w:proofErr w:type="spellEnd"/>
          </w:p>
        </w:tc>
        <w:tc>
          <w:tcPr>
            <w:tcW w:w="7220"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E67FBE3" w14:textId="77777777" w:rsidR="003F7F9A" w:rsidRPr="00DF4CE5" w:rsidRDefault="003F7F9A" w:rsidP="003F7F9A">
            <w:pPr>
              <w:spacing w:after="0" w:line="240" w:lineRule="auto"/>
              <w:rPr>
                <w:rFonts w:ascii="Cambria" w:eastAsia="Times New Roman" w:hAnsi="Cambria" w:cs="Calibri"/>
                <w:bCs/>
              </w:rPr>
            </w:pPr>
            <w:r w:rsidRPr="00DF4CE5">
              <w:rPr>
                <w:rFonts w:ascii="Cambria" w:eastAsia="Times New Roman" w:hAnsi="Cambria" w:cs="Calibri"/>
                <w:bCs/>
              </w:rPr>
              <w:t>257227</w:t>
            </w:r>
          </w:p>
          <w:p w14:paraId="763728E0" w14:textId="77777777" w:rsidR="003F7F9A" w:rsidRPr="00DF4CE5" w:rsidRDefault="003F7F9A" w:rsidP="003F7F9A">
            <w:pPr>
              <w:spacing w:after="0" w:line="240" w:lineRule="auto"/>
              <w:rPr>
                <w:rFonts w:ascii="Cambria" w:eastAsia="Times New Roman" w:hAnsi="Cambria" w:cs="Calibri"/>
                <w:bCs/>
              </w:rPr>
            </w:pPr>
            <w:proofErr w:type="spellStart"/>
            <w:r w:rsidRPr="00DF4CE5">
              <w:rPr>
                <w:rFonts w:ascii="Cambria" w:eastAsia="Times New Roman" w:hAnsi="Cambria" w:cs="Calibri"/>
                <w:bCs/>
              </w:rPr>
              <w:t>Njemački</w:t>
            </w:r>
            <w:proofErr w:type="spellEnd"/>
            <w:r w:rsidRPr="00DF4CE5">
              <w:rPr>
                <w:rFonts w:ascii="Cambria" w:eastAsia="Times New Roman" w:hAnsi="Cambria" w:cs="Calibri"/>
                <w:bCs/>
              </w:rPr>
              <w:t xml:space="preserve"> </w:t>
            </w:r>
            <w:proofErr w:type="spellStart"/>
            <w:r w:rsidRPr="00DF4CE5">
              <w:rPr>
                <w:rFonts w:ascii="Cambria" w:eastAsia="Times New Roman" w:hAnsi="Cambria" w:cs="Calibri"/>
                <w:bCs/>
              </w:rPr>
              <w:t>jezik</w:t>
            </w:r>
            <w:proofErr w:type="spellEnd"/>
            <w:r w:rsidRPr="00DF4CE5">
              <w:rPr>
                <w:rFonts w:ascii="Cambria" w:eastAsia="Times New Roman" w:hAnsi="Cambria" w:cs="Calibri"/>
                <w:bCs/>
              </w:rPr>
              <w:t xml:space="preserve"> I</w:t>
            </w:r>
          </w:p>
        </w:tc>
      </w:tr>
      <w:tr w:rsidR="003F7F9A" w:rsidRPr="00C76B98" w14:paraId="46D95775" w14:textId="77777777" w:rsidTr="006E59DC">
        <w:tc>
          <w:tcPr>
            <w:tcW w:w="28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328DF42" w14:textId="57C5A58E" w:rsidR="003F7F9A" w:rsidRPr="00DF4CE5" w:rsidRDefault="003F7F9A" w:rsidP="00C76B98">
            <w:pPr>
              <w:spacing w:after="0" w:line="240" w:lineRule="auto"/>
              <w:rPr>
                <w:rFonts w:ascii="Cambria" w:eastAsia="Times New Roman" w:hAnsi="Cambria" w:cs="Calibri"/>
              </w:rPr>
            </w:pPr>
            <w:proofErr w:type="spellStart"/>
            <w:r w:rsidRPr="00DF4CE5">
              <w:rPr>
                <w:rFonts w:ascii="Cambria" w:eastAsia="Times New Roman" w:hAnsi="Cambria" w:cs="Calibri"/>
              </w:rPr>
              <w:t>Nastavnica</w:t>
            </w:r>
            <w:proofErr w:type="spellEnd"/>
            <w:r w:rsidRPr="00DF4CE5">
              <w:rPr>
                <w:rFonts w:ascii="Cambria" w:eastAsia="Times New Roman" w:hAnsi="Cambria" w:cs="Calibri"/>
              </w:rPr>
              <w:t xml:space="preserve"> </w:t>
            </w:r>
          </w:p>
        </w:tc>
        <w:tc>
          <w:tcPr>
            <w:tcW w:w="7220"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A28F195" w14:textId="77777777" w:rsidR="00C76B98" w:rsidRDefault="00C76B98" w:rsidP="003F7F9A">
            <w:pPr>
              <w:spacing w:after="0" w:line="240" w:lineRule="auto"/>
              <w:rPr>
                <w:rFonts w:ascii="Cambria" w:hAnsi="Cambria"/>
              </w:rPr>
            </w:pPr>
          </w:p>
          <w:p w14:paraId="3209E36F" w14:textId="6570A07D" w:rsidR="003F7F9A" w:rsidRPr="00C76B98" w:rsidRDefault="003F7F9A" w:rsidP="003F7F9A">
            <w:pPr>
              <w:spacing w:after="0" w:line="240" w:lineRule="auto"/>
              <w:rPr>
                <w:rFonts w:ascii="Cambria" w:eastAsia="Times New Roman" w:hAnsi="Cambria" w:cs="Calibri"/>
                <w:lang w:val="it-IT"/>
              </w:rPr>
            </w:pPr>
            <w:hyperlink r:id="rId21" w:history="1">
              <w:proofErr w:type="spellStart"/>
              <w:r w:rsidRPr="006E59DC">
                <w:rPr>
                  <w:rStyle w:val="Hiperveza"/>
                  <w:rFonts w:ascii="Cambria" w:eastAsia="Calibri" w:hAnsi="Cambria" w:cs="Calibri"/>
                  <w:lang w:val="it-IT"/>
                </w:rPr>
                <w:t>Marieta</w:t>
              </w:r>
              <w:proofErr w:type="spellEnd"/>
              <w:r w:rsidRPr="006E59DC">
                <w:rPr>
                  <w:rStyle w:val="Hiperveza"/>
                  <w:rFonts w:ascii="Cambria" w:eastAsia="Calibri" w:hAnsi="Cambria" w:cs="Calibri"/>
                  <w:lang w:val="it-IT"/>
                </w:rPr>
                <w:t xml:space="preserve"> </w:t>
              </w:r>
              <w:proofErr w:type="spellStart"/>
              <w:r w:rsidRPr="006E59DC">
                <w:rPr>
                  <w:rStyle w:val="Hiperveza"/>
                  <w:rFonts w:ascii="Cambria" w:eastAsia="Calibri" w:hAnsi="Cambria" w:cs="Calibri"/>
                  <w:lang w:val="it-IT"/>
                </w:rPr>
                <w:t>Djaković</w:t>
              </w:r>
              <w:proofErr w:type="spellEnd"/>
              <w:r w:rsidRPr="006E59DC">
                <w:rPr>
                  <w:rStyle w:val="Hiperveza"/>
                  <w:rFonts w:ascii="Cambria" w:eastAsia="Times New Roman" w:hAnsi="Cambria" w:cs="Calibri"/>
                  <w:lang w:val="it-IT"/>
                </w:rPr>
                <w:t>, v</w:t>
              </w:r>
              <w:r w:rsidR="00C76B98" w:rsidRPr="006E59DC">
                <w:rPr>
                  <w:rStyle w:val="Hiperveza"/>
                  <w:rFonts w:ascii="Cambria" w:eastAsia="Times New Roman" w:hAnsi="Cambria" w:cs="Calibri"/>
                  <w:lang w:val="it-IT"/>
                </w:rPr>
                <w:t>.</w:t>
              </w:r>
              <w:r w:rsidRPr="006E59DC">
                <w:rPr>
                  <w:rStyle w:val="Hiperveza"/>
                  <w:rFonts w:ascii="Cambria" w:eastAsia="Times New Roman" w:hAnsi="Cambria" w:cs="Calibri"/>
                  <w:lang w:val="it-IT"/>
                </w:rPr>
                <w:t xml:space="preserve"> </w:t>
              </w:r>
              <w:proofErr w:type="spellStart"/>
              <w:r w:rsidRPr="006E59DC">
                <w:rPr>
                  <w:rStyle w:val="Hiperveza"/>
                  <w:rFonts w:ascii="Cambria" w:eastAsia="Times New Roman" w:hAnsi="Cambria" w:cs="Calibri"/>
                  <w:lang w:val="it-IT"/>
                </w:rPr>
                <w:t>pred</w:t>
              </w:r>
              <w:proofErr w:type="spellEnd"/>
              <w:r w:rsidR="00C76B98" w:rsidRPr="006E59DC">
                <w:rPr>
                  <w:rStyle w:val="Hiperveza"/>
                  <w:rFonts w:ascii="Cambria" w:eastAsia="Times New Roman" w:hAnsi="Cambria" w:cs="Calibri"/>
                  <w:lang w:val="it-IT"/>
                </w:rPr>
                <w:t>.</w:t>
              </w:r>
            </w:hyperlink>
            <w:r w:rsidR="00C76B98">
              <w:rPr>
                <w:rFonts w:ascii="Cambria" w:eastAsia="Times New Roman" w:hAnsi="Cambria" w:cs="Calibri"/>
                <w:lang w:val="it-IT"/>
              </w:rPr>
              <w:t xml:space="preserve"> (</w:t>
            </w:r>
            <w:proofErr w:type="spellStart"/>
            <w:r w:rsidRPr="00C76B98">
              <w:rPr>
                <w:rFonts w:ascii="Cambria" w:eastAsia="Times New Roman" w:hAnsi="Cambria" w:cs="Calibri"/>
                <w:lang w:val="it-IT"/>
              </w:rPr>
              <w:t>nositeljica</w:t>
            </w:r>
            <w:proofErr w:type="spellEnd"/>
            <w:r w:rsidR="00C76B98">
              <w:rPr>
                <w:rFonts w:ascii="Cambria" w:eastAsia="Times New Roman" w:hAnsi="Cambria" w:cs="Calibri"/>
                <w:lang w:val="it-IT"/>
              </w:rPr>
              <w:t>)</w:t>
            </w:r>
          </w:p>
          <w:p w14:paraId="4066E7D9" w14:textId="15E33C14" w:rsidR="003F7F9A" w:rsidRPr="00C76B98" w:rsidRDefault="003F7F9A" w:rsidP="003F7F9A">
            <w:pPr>
              <w:spacing w:after="0" w:line="240" w:lineRule="auto"/>
              <w:rPr>
                <w:rFonts w:ascii="Cambria" w:eastAsia="Times New Roman" w:hAnsi="Cambria" w:cs="Calibri"/>
                <w:lang w:val="it-IT"/>
              </w:rPr>
            </w:pPr>
          </w:p>
        </w:tc>
      </w:tr>
      <w:tr w:rsidR="003F7F9A" w:rsidRPr="00DF4CE5" w14:paraId="2197B145" w14:textId="77777777" w:rsidTr="006E59DC">
        <w:tc>
          <w:tcPr>
            <w:tcW w:w="28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AFD055D" w14:textId="77777777" w:rsidR="003F7F9A" w:rsidRPr="00DF4CE5" w:rsidRDefault="003F7F9A" w:rsidP="003F7F9A">
            <w:pPr>
              <w:spacing w:after="0" w:line="240" w:lineRule="auto"/>
              <w:rPr>
                <w:rFonts w:ascii="Cambria" w:eastAsia="Times New Roman" w:hAnsi="Cambria" w:cs="Calibri"/>
              </w:rPr>
            </w:pPr>
            <w:proofErr w:type="spellStart"/>
            <w:r w:rsidRPr="00DF4CE5">
              <w:rPr>
                <w:rFonts w:ascii="Cambria" w:eastAsia="Times New Roman" w:hAnsi="Cambria" w:cs="Calibri"/>
              </w:rPr>
              <w:t>Studijski</w:t>
            </w:r>
            <w:proofErr w:type="spellEnd"/>
            <w:r w:rsidRPr="00DF4CE5">
              <w:rPr>
                <w:rFonts w:ascii="Cambria" w:eastAsia="Times New Roman" w:hAnsi="Cambria" w:cs="Calibri"/>
              </w:rPr>
              <w:t xml:space="preserve"> program</w:t>
            </w:r>
          </w:p>
        </w:tc>
        <w:tc>
          <w:tcPr>
            <w:tcW w:w="7220"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7C37CCD" w14:textId="77777777" w:rsidR="003F7F9A" w:rsidRPr="00DF4CE5" w:rsidRDefault="003F7F9A" w:rsidP="003F7F9A">
            <w:pPr>
              <w:spacing w:after="0" w:line="240" w:lineRule="auto"/>
              <w:rPr>
                <w:rFonts w:ascii="Cambria" w:eastAsia="Times New Roman" w:hAnsi="Cambria" w:cs="Calibri"/>
              </w:rPr>
            </w:pPr>
            <w:proofErr w:type="spellStart"/>
            <w:r w:rsidRPr="00DF4CE5">
              <w:rPr>
                <w:rFonts w:ascii="Cambria" w:eastAsia="Calibri" w:hAnsi="Cambria" w:cs="Calibri"/>
              </w:rPr>
              <w:t>Sveučilišni</w:t>
            </w:r>
            <w:proofErr w:type="spellEnd"/>
            <w:r w:rsidRPr="00DF4CE5">
              <w:rPr>
                <w:rFonts w:ascii="Cambria" w:eastAsia="Calibri" w:hAnsi="Cambria" w:cs="Calibri"/>
              </w:rPr>
              <w:t xml:space="preserve"> </w:t>
            </w:r>
            <w:proofErr w:type="spellStart"/>
            <w:r w:rsidRPr="00DF4CE5">
              <w:rPr>
                <w:rFonts w:ascii="Cambria" w:eastAsia="Calibri" w:hAnsi="Cambria" w:cs="Calibri"/>
              </w:rPr>
              <w:t>integrirani</w:t>
            </w:r>
            <w:proofErr w:type="spellEnd"/>
            <w:r w:rsidRPr="00DF4CE5">
              <w:rPr>
                <w:rFonts w:ascii="Cambria" w:eastAsia="Calibri" w:hAnsi="Cambria" w:cs="Calibri"/>
              </w:rPr>
              <w:t xml:space="preserve"> </w:t>
            </w:r>
            <w:proofErr w:type="spellStart"/>
            <w:r w:rsidRPr="00DF4CE5">
              <w:rPr>
                <w:rFonts w:ascii="Cambria" w:eastAsia="Calibri" w:hAnsi="Cambria" w:cs="Calibri"/>
              </w:rPr>
              <w:t>prijediplomski</w:t>
            </w:r>
            <w:proofErr w:type="spellEnd"/>
            <w:r w:rsidRPr="00DF4CE5">
              <w:rPr>
                <w:rFonts w:ascii="Cambria" w:eastAsia="Calibri" w:hAnsi="Cambria" w:cs="Calibri"/>
              </w:rPr>
              <w:t xml:space="preserve"> </w:t>
            </w:r>
            <w:proofErr w:type="spellStart"/>
            <w:r w:rsidRPr="00DF4CE5">
              <w:rPr>
                <w:rFonts w:ascii="Cambria" w:eastAsia="Calibri" w:hAnsi="Cambria" w:cs="Calibri"/>
              </w:rPr>
              <w:t>i</w:t>
            </w:r>
            <w:proofErr w:type="spellEnd"/>
            <w:r w:rsidRPr="00DF4CE5">
              <w:rPr>
                <w:rFonts w:ascii="Cambria" w:eastAsia="Calibri" w:hAnsi="Cambria" w:cs="Calibri"/>
              </w:rPr>
              <w:t xml:space="preserve"> </w:t>
            </w:r>
            <w:proofErr w:type="spellStart"/>
            <w:r w:rsidRPr="00DF4CE5">
              <w:rPr>
                <w:rFonts w:ascii="Cambria" w:eastAsia="Calibri" w:hAnsi="Cambria" w:cs="Calibri"/>
              </w:rPr>
              <w:t>diplomski</w:t>
            </w:r>
            <w:proofErr w:type="spellEnd"/>
            <w:r w:rsidRPr="00DF4CE5">
              <w:rPr>
                <w:rFonts w:ascii="Cambria" w:eastAsia="Calibri" w:hAnsi="Cambria" w:cs="Calibri"/>
              </w:rPr>
              <w:t xml:space="preserve"> </w:t>
            </w:r>
            <w:proofErr w:type="spellStart"/>
            <w:r w:rsidRPr="00DF4CE5">
              <w:rPr>
                <w:rFonts w:ascii="Cambria" w:eastAsia="Calibri" w:hAnsi="Cambria" w:cs="Calibri"/>
              </w:rPr>
              <w:t>Učiteljski</w:t>
            </w:r>
            <w:proofErr w:type="spellEnd"/>
            <w:r w:rsidRPr="00DF4CE5">
              <w:rPr>
                <w:rFonts w:ascii="Cambria" w:eastAsia="Calibri" w:hAnsi="Cambria" w:cs="Calibri"/>
              </w:rPr>
              <w:t xml:space="preserve"> </w:t>
            </w:r>
            <w:proofErr w:type="spellStart"/>
            <w:r w:rsidRPr="00DF4CE5">
              <w:rPr>
                <w:rFonts w:ascii="Cambria" w:eastAsia="Calibri" w:hAnsi="Cambria" w:cs="Calibri"/>
              </w:rPr>
              <w:t>studij</w:t>
            </w:r>
            <w:proofErr w:type="spellEnd"/>
            <w:r w:rsidRPr="00DF4CE5">
              <w:rPr>
                <w:rFonts w:ascii="Cambria" w:eastAsia="Calibri" w:hAnsi="Cambria" w:cs="Calibri"/>
              </w:rPr>
              <w:t xml:space="preserve"> </w:t>
            </w:r>
            <w:proofErr w:type="spellStart"/>
            <w:r w:rsidRPr="00DF4CE5">
              <w:rPr>
                <w:rFonts w:ascii="Cambria" w:eastAsia="Calibri" w:hAnsi="Cambria" w:cs="Calibri"/>
              </w:rPr>
              <w:t>na</w:t>
            </w:r>
            <w:proofErr w:type="spellEnd"/>
            <w:r w:rsidRPr="00DF4CE5">
              <w:rPr>
                <w:rFonts w:ascii="Cambria" w:eastAsia="Calibri" w:hAnsi="Cambria" w:cs="Calibri"/>
              </w:rPr>
              <w:t xml:space="preserve"> </w:t>
            </w:r>
            <w:proofErr w:type="spellStart"/>
            <w:r w:rsidRPr="00DF4CE5">
              <w:rPr>
                <w:rFonts w:ascii="Cambria" w:eastAsia="Calibri" w:hAnsi="Cambria" w:cs="Calibri"/>
              </w:rPr>
              <w:t>hrvatskom</w:t>
            </w:r>
            <w:proofErr w:type="spellEnd"/>
            <w:r w:rsidRPr="00DF4CE5">
              <w:rPr>
                <w:rFonts w:ascii="Cambria" w:eastAsia="Calibri" w:hAnsi="Cambria" w:cs="Calibri"/>
              </w:rPr>
              <w:t xml:space="preserve"> </w:t>
            </w:r>
            <w:proofErr w:type="spellStart"/>
            <w:r w:rsidRPr="00DF4CE5">
              <w:rPr>
                <w:rFonts w:ascii="Cambria" w:eastAsia="Calibri" w:hAnsi="Cambria" w:cs="Calibri"/>
              </w:rPr>
              <w:t>jeziku</w:t>
            </w:r>
            <w:proofErr w:type="spellEnd"/>
          </w:p>
        </w:tc>
      </w:tr>
      <w:tr w:rsidR="003F7F9A" w:rsidRPr="00DF4CE5" w14:paraId="0BB8BF84" w14:textId="77777777" w:rsidTr="006E59DC">
        <w:tc>
          <w:tcPr>
            <w:tcW w:w="28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3787404" w14:textId="77777777" w:rsidR="003F7F9A" w:rsidRPr="00DF4CE5" w:rsidRDefault="003F7F9A" w:rsidP="003F7F9A">
            <w:pPr>
              <w:spacing w:after="0" w:line="240" w:lineRule="auto"/>
              <w:rPr>
                <w:rFonts w:ascii="Cambria" w:eastAsia="Times New Roman" w:hAnsi="Cambria" w:cs="Calibri"/>
              </w:rPr>
            </w:pPr>
            <w:proofErr w:type="spellStart"/>
            <w:r w:rsidRPr="00DF4CE5">
              <w:rPr>
                <w:rFonts w:ascii="Cambria" w:eastAsia="Times New Roman" w:hAnsi="Cambria" w:cs="Calibri"/>
              </w:rPr>
              <w:t>Vrsta</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kolegija</w:t>
            </w:r>
            <w:proofErr w:type="spellEnd"/>
          </w:p>
        </w:tc>
        <w:tc>
          <w:tcPr>
            <w:tcW w:w="265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F079006" w14:textId="77777777" w:rsidR="003F7F9A" w:rsidRPr="00DF4CE5" w:rsidRDefault="003F7F9A" w:rsidP="003F7F9A">
            <w:pPr>
              <w:spacing w:after="0" w:line="240" w:lineRule="auto"/>
              <w:rPr>
                <w:rFonts w:ascii="Cambria" w:eastAsia="Times New Roman" w:hAnsi="Cambria" w:cs="Calibri"/>
              </w:rPr>
            </w:pPr>
            <w:proofErr w:type="spellStart"/>
            <w:r w:rsidRPr="00DF4CE5">
              <w:rPr>
                <w:rFonts w:ascii="Cambria" w:eastAsia="Times New Roman" w:hAnsi="Cambria" w:cs="Calibri"/>
              </w:rPr>
              <w:t>obavezni</w:t>
            </w:r>
            <w:proofErr w:type="spellEnd"/>
          </w:p>
          <w:p w14:paraId="702D1676" w14:textId="77777777" w:rsidR="003F7F9A" w:rsidRPr="00DF4CE5" w:rsidRDefault="003F7F9A" w:rsidP="003F7F9A">
            <w:pPr>
              <w:spacing w:after="0" w:line="240" w:lineRule="auto"/>
              <w:rPr>
                <w:rFonts w:ascii="Cambria" w:eastAsia="Times New Roman" w:hAnsi="Cambria" w:cs="Calibri"/>
              </w:rPr>
            </w:pPr>
          </w:p>
        </w:tc>
        <w:tc>
          <w:tcPr>
            <w:tcW w:w="1584"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0CC3965F" w14:textId="77777777" w:rsidR="003F7F9A" w:rsidRPr="00DF4CE5" w:rsidRDefault="003F7F9A" w:rsidP="003F7F9A">
            <w:pPr>
              <w:spacing w:after="0" w:line="240" w:lineRule="auto"/>
              <w:rPr>
                <w:rFonts w:ascii="Cambria" w:eastAsia="Times New Roman" w:hAnsi="Cambria" w:cs="Calibri"/>
              </w:rPr>
            </w:pPr>
            <w:r w:rsidRPr="00DF4CE5">
              <w:rPr>
                <w:rFonts w:ascii="Cambria" w:eastAsia="Times New Roman" w:hAnsi="Cambria" w:cs="Calibri"/>
              </w:rPr>
              <w:t xml:space="preserve">Razina </w:t>
            </w:r>
            <w:proofErr w:type="spellStart"/>
            <w:r w:rsidRPr="00DF4CE5">
              <w:rPr>
                <w:rFonts w:ascii="Cambria" w:eastAsia="Times New Roman" w:hAnsi="Cambria" w:cs="Calibri"/>
              </w:rPr>
              <w:t>kolegija</w:t>
            </w:r>
            <w:proofErr w:type="spellEnd"/>
          </w:p>
        </w:tc>
        <w:tc>
          <w:tcPr>
            <w:tcW w:w="2977"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66C6466" w14:textId="77777777" w:rsidR="003F7F9A" w:rsidRPr="00DF4CE5" w:rsidRDefault="003F7F9A" w:rsidP="003F7F9A">
            <w:pPr>
              <w:spacing w:after="0" w:line="240" w:lineRule="auto"/>
              <w:rPr>
                <w:rFonts w:ascii="Cambria" w:eastAsia="Times New Roman" w:hAnsi="Cambria" w:cs="Calibri"/>
              </w:rPr>
            </w:pPr>
            <w:proofErr w:type="spellStart"/>
            <w:r w:rsidRPr="00DF4CE5">
              <w:rPr>
                <w:rFonts w:ascii="Cambria" w:eastAsia="Times New Roman" w:hAnsi="Cambria" w:cs="Calibri"/>
                <w:lang w:val="it-IT"/>
              </w:rPr>
              <w:t>integrirani</w:t>
            </w:r>
            <w:proofErr w:type="spellEnd"/>
          </w:p>
          <w:p w14:paraId="47546523" w14:textId="77777777" w:rsidR="003F7F9A" w:rsidRPr="00DF4CE5" w:rsidRDefault="003F7F9A" w:rsidP="003F7F9A">
            <w:pPr>
              <w:spacing w:after="0" w:line="240" w:lineRule="auto"/>
              <w:rPr>
                <w:rFonts w:ascii="Cambria" w:eastAsia="Times New Roman" w:hAnsi="Cambria" w:cs="Calibri"/>
              </w:rPr>
            </w:pPr>
          </w:p>
        </w:tc>
      </w:tr>
      <w:tr w:rsidR="003F7F9A" w:rsidRPr="00DF4CE5" w14:paraId="126FD015" w14:textId="77777777" w:rsidTr="006E59DC">
        <w:tc>
          <w:tcPr>
            <w:tcW w:w="28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997EF96" w14:textId="77777777" w:rsidR="003F7F9A" w:rsidRPr="00DF4CE5" w:rsidRDefault="003F7F9A" w:rsidP="003F7F9A">
            <w:pPr>
              <w:spacing w:after="0" w:line="240" w:lineRule="auto"/>
              <w:rPr>
                <w:rFonts w:ascii="Cambria" w:eastAsia="Times New Roman" w:hAnsi="Cambria" w:cs="Calibri"/>
              </w:rPr>
            </w:pPr>
            <w:proofErr w:type="spellStart"/>
            <w:r w:rsidRPr="00DF4CE5">
              <w:rPr>
                <w:rFonts w:ascii="Cambria" w:eastAsia="Times New Roman" w:hAnsi="Cambria" w:cs="Calibri"/>
              </w:rPr>
              <w:t>Semestar</w:t>
            </w:r>
            <w:proofErr w:type="spellEnd"/>
          </w:p>
        </w:tc>
        <w:tc>
          <w:tcPr>
            <w:tcW w:w="265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4CF3604" w14:textId="7EE483D1" w:rsidR="003F7F9A" w:rsidRPr="00DF4CE5" w:rsidRDefault="00D90F6A" w:rsidP="003F7F9A">
            <w:pPr>
              <w:spacing w:after="0" w:line="240" w:lineRule="auto"/>
              <w:rPr>
                <w:rFonts w:ascii="Cambria" w:eastAsia="Times New Roman" w:hAnsi="Cambria" w:cs="Calibri"/>
              </w:rPr>
            </w:pPr>
            <w:r w:rsidRPr="00DF4CE5">
              <w:rPr>
                <w:rFonts w:ascii="Cambria" w:eastAsia="Times New Roman" w:hAnsi="Cambria" w:cs="Calibri"/>
              </w:rPr>
              <w:t>Z</w:t>
            </w:r>
            <w:r w:rsidR="003F7F9A" w:rsidRPr="00DF4CE5">
              <w:rPr>
                <w:rFonts w:ascii="Cambria" w:eastAsia="Times New Roman" w:hAnsi="Cambria" w:cs="Calibri"/>
              </w:rPr>
              <w:t>imski</w:t>
            </w:r>
          </w:p>
        </w:tc>
        <w:tc>
          <w:tcPr>
            <w:tcW w:w="1584"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7C582033" w14:textId="77777777" w:rsidR="003F7F9A" w:rsidRPr="00DF4CE5" w:rsidRDefault="003F7F9A" w:rsidP="003F7F9A">
            <w:pPr>
              <w:spacing w:after="0" w:line="240" w:lineRule="auto"/>
              <w:rPr>
                <w:rFonts w:ascii="Cambria" w:eastAsia="Times New Roman" w:hAnsi="Cambria" w:cs="Calibri"/>
              </w:rPr>
            </w:pPr>
            <w:r w:rsidRPr="00DF4CE5">
              <w:rPr>
                <w:rFonts w:ascii="Cambria" w:eastAsia="Times New Roman" w:hAnsi="Cambria" w:cs="Calibri"/>
              </w:rPr>
              <w:t xml:space="preserve">Godina </w:t>
            </w:r>
            <w:proofErr w:type="spellStart"/>
            <w:r w:rsidRPr="00DF4CE5">
              <w:rPr>
                <w:rFonts w:ascii="Cambria" w:eastAsia="Times New Roman" w:hAnsi="Cambria" w:cs="Calibri"/>
              </w:rPr>
              <w:t>studija</w:t>
            </w:r>
            <w:proofErr w:type="spellEnd"/>
          </w:p>
        </w:tc>
        <w:tc>
          <w:tcPr>
            <w:tcW w:w="2977"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BD8422E" w14:textId="77777777" w:rsidR="003F7F9A" w:rsidRPr="00DF4CE5" w:rsidRDefault="003F7F9A" w:rsidP="003F7F9A">
            <w:pPr>
              <w:spacing w:after="0" w:line="240" w:lineRule="auto"/>
              <w:rPr>
                <w:rFonts w:ascii="Cambria" w:eastAsia="Times New Roman" w:hAnsi="Cambria" w:cs="Calibri"/>
              </w:rPr>
            </w:pPr>
            <w:r w:rsidRPr="00DF4CE5">
              <w:rPr>
                <w:rFonts w:ascii="Cambria" w:eastAsia="Times New Roman" w:hAnsi="Cambria" w:cs="Calibri"/>
              </w:rPr>
              <w:t>I.</w:t>
            </w:r>
          </w:p>
        </w:tc>
      </w:tr>
      <w:tr w:rsidR="003F7F9A" w:rsidRPr="00DF4CE5" w14:paraId="753D585A" w14:textId="77777777" w:rsidTr="006E59DC">
        <w:tc>
          <w:tcPr>
            <w:tcW w:w="28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68E6249" w14:textId="77777777" w:rsidR="003F7F9A" w:rsidRPr="00DF4CE5" w:rsidRDefault="003F7F9A" w:rsidP="003F7F9A">
            <w:pPr>
              <w:spacing w:after="0" w:line="240" w:lineRule="auto"/>
              <w:rPr>
                <w:rFonts w:ascii="Cambria" w:eastAsia="Times New Roman" w:hAnsi="Cambria" w:cs="Calibri"/>
              </w:rPr>
            </w:pPr>
            <w:proofErr w:type="spellStart"/>
            <w:r w:rsidRPr="00DF4CE5">
              <w:rPr>
                <w:rFonts w:ascii="Cambria" w:eastAsia="Times New Roman" w:hAnsi="Cambria" w:cs="Calibri"/>
              </w:rPr>
              <w:t>Mjesto</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izvođenja</w:t>
            </w:r>
            <w:proofErr w:type="spellEnd"/>
          </w:p>
        </w:tc>
        <w:tc>
          <w:tcPr>
            <w:tcW w:w="265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F5D6E3F" w14:textId="77777777" w:rsidR="003F7F9A" w:rsidRPr="00DF4CE5" w:rsidRDefault="003F7F9A" w:rsidP="003F7F9A">
            <w:pPr>
              <w:spacing w:after="0" w:line="240" w:lineRule="auto"/>
              <w:rPr>
                <w:rFonts w:ascii="Cambria" w:eastAsia="Times New Roman" w:hAnsi="Cambria" w:cs="Calibri"/>
              </w:rPr>
            </w:pPr>
            <w:proofErr w:type="spellStart"/>
            <w:r w:rsidRPr="00DF4CE5">
              <w:rPr>
                <w:rFonts w:ascii="Cambria" w:eastAsia="Times New Roman" w:hAnsi="Cambria" w:cs="Calibri"/>
              </w:rPr>
              <w:t>učionica</w:t>
            </w:r>
            <w:proofErr w:type="spellEnd"/>
            <w:r w:rsidRPr="00DF4CE5">
              <w:rPr>
                <w:rFonts w:ascii="Cambria" w:eastAsia="Times New Roman" w:hAnsi="Cambria" w:cs="Calibri"/>
              </w:rPr>
              <w:t xml:space="preserve"> / </w:t>
            </w:r>
            <w:proofErr w:type="spellStart"/>
            <w:r w:rsidRPr="00DF4CE5">
              <w:rPr>
                <w:rFonts w:ascii="Cambria" w:eastAsia="Times New Roman" w:hAnsi="Cambria" w:cs="Calibri"/>
              </w:rPr>
              <w:t>vanjske</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institucije</w:t>
            </w:r>
            <w:proofErr w:type="spellEnd"/>
          </w:p>
          <w:p w14:paraId="3E5B5E06" w14:textId="77777777" w:rsidR="003F7F9A" w:rsidRPr="00DF4CE5" w:rsidRDefault="003F7F9A" w:rsidP="003F7F9A">
            <w:pPr>
              <w:spacing w:after="0" w:line="240" w:lineRule="auto"/>
              <w:rPr>
                <w:rFonts w:ascii="Cambria" w:eastAsia="Times New Roman" w:hAnsi="Cambria" w:cs="Calibri"/>
              </w:rPr>
            </w:pPr>
          </w:p>
        </w:tc>
        <w:tc>
          <w:tcPr>
            <w:tcW w:w="1584"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5232DED3" w14:textId="77777777" w:rsidR="003F7F9A" w:rsidRPr="00DF4CE5" w:rsidRDefault="003F7F9A" w:rsidP="003F7F9A">
            <w:pPr>
              <w:spacing w:after="0" w:line="240" w:lineRule="auto"/>
              <w:rPr>
                <w:rFonts w:ascii="Cambria" w:eastAsia="Times New Roman" w:hAnsi="Cambria" w:cs="Calibri"/>
              </w:rPr>
            </w:pPr>
            <w:r w:rsidRPr="00DF4CE5">
              <w:rPr>
                <w:rFonts w:ascii="Cambria" w:eastAsia="Times New Roman" w:hAnsi="Cambria" w:cs="Calibri"/>
              </w:rPr>
              <w:t xml:space="preserve">Jezik </w:t>
            </w:r>
            <w:proofErr w:type="spellStart"/>
            <w:r w:rsidRPr="00DF4CE5">
              <w:rPr>
                <w:rFonts w:ascii="Cambria" w:eastAsia="Times New Roman" w:hAnsi="Cambria" w:cs="Calibri"/>
              </w:rPr>
              <w:t>izvođenja</w:t>
            </w:r>
            <w:proofErr w:type="spellEnd"/>
            <w:r w:rsidRPr="00DF4CE5">
              <w:rPr>
                <w:rFonts w:ascii="Cambria" w:eastAsia="Times New Roman" w:hAnsi="Cambria" w:cs="Calibri"/>
              </w:rPr>
              <w:t xml:space="preserve"> </w:t>
            </w:r>
          </w:p>
        </w:tc>
        <w:tc>
          <w:tcPr>
            <w:tcW w:w="2977"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49B2BE8" w14:textId="77777777" w:rsidR="003F7F9A" w:rsidRPr="00DF4CE5" w:rsidRDefault="003F7F9A" w:rsidP="003F7F9A">
            <w:pPr>
              <w:spacing w:after="0" w:line="240" w:lineRule="auto"/>
              <w:rPr>
                <w:rFonts w:ascii="Cambria" w:eastAsia="Times New Roman" w:hAnsi="Cambria" w:cs="Calibri"/>
              </w:rPr>
            </w:pPr>
            <w:proofErr w:type="spellStart"/>
            <w:r w:rsidRPr="00DF4CE5">
              <w:rPr>
                <w:rFonts w:ascii="Cambria" w:eastAsia="Times New Roman" w:hAnsi="Cambria" w:cs="Calibri"/>
              </w:rPr>
              <w:t>njemački</w:t>
            </w:r>
            <w:proofErr w:type="spellEnd"/>
            <w:r w:rsidRPr="00DF4CE5">
              <w:rPr>
                <w:rFonts w:ascii="Cambria" w:eastAsia="Times New Roman" w:hAnsi="Cambria" w:cs="Calibri"/>
              </w:rPr>
              <w:t xml:space="preserve"> / </w:t>
            </w:r>
            <w:proofErr w:type="spellStart"/>
            <w:r w:rsidRPr="00DF4CE5">
              <w:rPr>
                <w:rFonts w:ascii="Cambria" w:eastAsia="Times New Roman" w:hAnsi="Cambria" w:cs="Calibri"/>
              </w:rPr>
              <w:t>hrvatski</w:t>
            </w:r>
            <w:proofErr w:type="spellEnd"/>
          </w:p>
          <w:p w14:paraId="4FF0224C" w14:textId="77777777" w:rsidR="003F7F9A" w:rsidRPr="00DF4CE5" w:rsidRDefault="003F7F9A" w:rsidP="003F7F9A">
            <w:pPr>
              <w:spacing w:after="0" w:line="240" w:lineRule="auto"/>
              <w:rPr>
                <w:rFonts w:ascii="Cambria" w:eastAsia="Times New Roman" w:hAnsi="Cambria" w:cs="Calibri"/>
              </w:rPr>
            </w:pPr>
          </w:p>
          <w:p w14:paraId="4A608E3B" w14:textId="77777777" w:rsidR="003F7F9A" w:rsidRPr="00DF4CE5" w:rsidRDefault="003F7F9A" w:rsidP="003F7F9A">
            <w:pPr>
              <w:spacing w:after="0" w:line="240" w:lineRule="auto"/>
              <w:rPr>
                <w:rFonts w:ascii="Cambria" w:eastAsia="Times New Roman" w:hAnsi="Cambria" w:cs="Calibri"/>
              </w:rPr>
            </w:pPr>
          </w:p>
        </w:tc>
      </w:tr>
      <w:tr w:rsidR="003F7F9A" w:rsidRPr="00DF4CE5" w14:paraId="20AE8FF6" w14:textId="77777777" w:rsidTr="006E59DC">
        <w:tc>
          <w:tcPr>
            <w:tcW w:w="28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D737C9D" w14:textId="77777777" w:rsidR="003F7F9A" w:rsidRPr="00DF4CE5" w:rsidRDefault="003F7F9A" w:rsidP="003F7F9A">
            <w:pPr>
              <w:spacing w:after="0" w:line="240" w:lineRule="auto"/>
              <w:rPr>
                <w:rFonts w:ascii="Cambria" w:eastAsia="Times New Roman" w:hAnsi="Cambria" w:cs="Calibri"/>
              </w:rPr>
            </w:pPr>
            <w:proofErr w:type="spellStart"/>
            <w:r w:rsidRPr="00DF4CE5">
              <w:rPr>
                <w:rFonts w:ascii="Cambria" w:eastAsia="Times New Roman" w:hAnsi="Cambria" w:cs="Calibri"/>
              </w:rPr>
              <w:t>Broj</w:t>
            </w:r>
            <w:proofErr w:type="spellEnd"/>
            <w:r w:rsidRPr="00DF4CE5">
              <w:rPr>
                <w:rFonts w:ascii="Cambria" w:eastAsia="Times New Roman" w:hAnsi="Cambria" w:cs="Calibri"/>
              </w:rPr>
              <w:t xml:space="preserve"> ECTS </w:t>
            </w:r>
            <w:proofErr w:type="spellStart"/>
            <w:r w:rsidRPr="00DF4CE5">
              <w:rPr>
                <w:rFonts w:ascii="Cambria" w:eastAsia="Times New Roman" w:hAnsi="Cambria" w:cs="Calibri"/>
              </w:rPr>
              <w:t>bodova</w:t>
            </w:r>
            <w:proofErr w:type="spellEnd"/>
          </w:p>
        </w:tc>
        <w:tc>
          <w:tcPr>
            <w:tcW w:w="265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280800E" w14:textId="77777777" w:rsidR="003F7F9A" w:rsidRPr="00DF4CE5" w:rsidRDefault="003F7F9A" w:rsidP="003F7F9A">
            <w:pPr>
              <w:spacing w:after="0" w:line="240" w:lineRule="auto"/>
              <w:rPr>
                <w:rFonts w:ascii="Cambria" w:eastAsia="Times New Roman" w:hAnsi="Cambria" w:cs="Calibri"/>
              </w:rPr>
            </w:pPr>
            <w:r w:rsidRPr="00DF4CE5">
              <w:rPr>
                <w:rFonts w:ascii="Cambria" w:eastAsia="Times New Roman" w:hAnsi="Cambria" w:cs="Calibri"/>
              </w:rPr>
              <w:t>5</w:t>
            </w:r>
          </w:p>
        </w:tc>
        <w:tc>
          <w:tcPr>
            <w:tcW w:w="1584"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76BD7DF0" w14:textId="77777777" w:rsidR="003F7F9A" w:rsidRPr="00DF4CE5" w:rsidRDefault="003F7F9A" w:rsidP="003F7F9A">
            <w:pPr>
              <w:spacing w:after="0" w:line="240" w:lineRule="auto"/>
              <w:rPr>
                <w:rFonts w:ascii="Cambria" w:eastAsia="Times New Roman" w:hAnsi="Cambria" w:cs="Calibri"/>
              </w:rPr>
            </w:pPr>
            <w:proofErr w:type="spellStart"/>
            <w:r w:rsidRPr="00DF4CE5">
              <w:rPr>
                <w:rFonts w:ascii="Cambria" w:eastAsia="Times New Roman" w:hAnsi="Cambria" w:cs="Calibri"/>
              </w:rPr>
              <w:t>Broj</w:t>
            </w:r>
            <w:proofErr w:type="spellEnd"/>
            <w:r w:rsidRPr="00DF4CE5">
              <w:rPr>
                <w:rFonts w:ascii="Cambria" w:eastAsia="Times New Roman" w:hAnsi="Cambria" w:cs="Calibri"/>
              </w:rPr>
              <w:t xml:space="preserve"> sati u </w:t>
            </w:r>
            <w:proofErr w:type="spellStart"/>
            <w:r w:rsidRPr="00DF4CE5">
              <w:rPr>
                <w:rFonts w:ascii="Cambria" w:eastAsia="Times New Roman" w:hAnsi="Cambria" w:cs="Calibri"/>
              </w:rPr>
              <w:t>semestru</w:t>
            </w:r>
            <w:proofErr w:type="spellEnd"/>
          </w:p>
        </w:tc>
        <w:tc>
          <w:tcPr>
            <w:tcW w:w="2977"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E954CC2" w14:textId="0169212E" w:rsidR="003F7F9A" w:rsidRPr="00DF4CE5" w:rsidRDefault="003F7F9A" w:rsidP="003F7F9A">
            <w:pPr>
              <w:spacing w:after="0" w:line="240" w:lineRule="auto"/>
              <w:rPr>
                <w:rFonts w:ascii="Cambria" w:eastAsia="Times New Roman" w:hAnsi="Cambria" w:cs="Calibri"/>
              </w:rPr>
            </w:pPr>
            <w:r w:rsidRPr="00DF4CE5">
              <w:rPr>
                <w:rFonts w:ascii="Cambria" w:eastAsia="Calibri" w:hAnsi="Cambria" w:cs="Calibri"/>
              </w:rPr>
              <w:t xml:space="preserve">30P – </w:t>
            </w:r>
            <w:r w:rsidR="00760C3A" w:rsidRPr="00DF4CE5">
              <w:rPr>
                <w:rFonts w:ascii="Cambria" w:eastAsia="Calibri" w:hAnsi="Cambria" w:cs="Calibri"/>
              </w:rPr>
              <w:t>0S</w:t>
            </w:r>
            <w:r w:rsidRPr="00DF4CE5">
              <w:rPr>
                <w:rFonts w:ascii="Cambria" w:eastAsia="Calibri" w:hAnsi="Cambria" w:cs="Calibri"/>
              </w:rPr>
              <w:t xml:space="preserve"> –</w:t>
            </w:r>
            <w:r w:rsidR="00760C3A" w:rsidRPr="00DF4CE5">
              <w:rPr>
                <w:rFonts w:ascii="Cambria" w:eastAsia="Calibri" w:hAnsi="Cambria" w:cs="Calibri"/>
              </w:rPr>
              <w:t>3</w:t>
            </w:r>
            <w:r w:rsidRPr="00DF4CE5">
              <w:rPr>
                <w:rFonts w:ascii="Cambria" w:eastAsia="Calibri" w:hAnsi="Cambria" w:cs="Calibri"/>
              </w:rPr>
              <w:t>0</w:t>
            </w:r>
            <w:r w:rsidR="00760C3A" w:rsidRPr="00DF4CE5">
              <w:rPr>
                <w:rFonts w:ascii="Cambria" w:eastAsia="Calibri" w:hAnsi="Cambria" w:cs="Calibri"/>
              </w:rPr>
              <w:t>V</w:t>
            </w:r>
            <w:r w:rsidRPr="00DF4CE5">
              <w:rPr>
                <w:rFonts w:ascii="Cambria" w:eastAsia="Calibri" w:hAnsi="Cambria" w:cs="Calibri"/>
              </w:rPr>
              <w:t xml:space="preserve">   </w:t>
            </w:r>
          </w:p>
        </w:tc>
      </w:tr>
      <w:tr w:rsidR="003F7F9A" w:rsidRPr="00D0399C" w14:paraId="4B4021DD" w14:textId="77777777" w:rsidTr="006E59DC">
        <w:tc>
          <w:tcPr>
            <w:tcW w:w="28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3D58FE8" w14:textId="77777777" w:rsidR="003F7F9A" w:rsidRPr="00DF4CE5" w:rsidRDefault="003F7F9A" w:rsidP="003F7F9A">
            <w:pPr>
              <w:spacing w:after="0" w:line="240" w:lineRule="auto"/>
              <w:rPr>
                <w:rFonts w:ascii="Cambria" w:eastAsia="Times New Roman" w:hAnsi="Cambria" w:cs="Calibri"/>
                <w:lang w:val="it-IT"/>
              </w:rPr>
            </w:pPr>
            <w:proofErr w:type="spellStart"/>
            <w:r w:rsidRPr="00DF4CE5">
              <w:rPr>
                <w:rFonts w:ascii="Cambria" w:eastAsia="Times New Roman" w:hAnsi="Cambria" w:cs="Calibri"/>
                <w:lang w:val="it-IT"/>
              </w:rPr>
              <w:t>Preduvjeti</w:t>
            </w:r>
            <w:proofErr w:type="spellEnd"/>
            <w:r w:rsidRPr="00DF4CE5">
              <w:rPr>
                <w:rFonts w:ascii="Cambria" w:eastAsia="Times New Roman" w:hAnsi="Cambria" w:cs="Calibri"/>
                <w:lang w:val="it-IT"/>
              </w:rPr>
              <w:t xml:space="preserve"> za </w:t>
            </w:r>
            <w:proofErr w:type="spellStart"/>
            <w:r w:rsidRPr="00DF4CE5">
              <w:rPr>
                <w:rFonts w:ascii="Cambria" w:eastAsia="Times New Roman" w:hAnsi="Cambria" w:cs="Calibri"/>
                <w:lang w:val="it-IT"/>
              </w:rPr>
              <w:t>upis</w:t>
            </w:r>
            <w:proofErr w:type="spellEnd"/>
            <w:r w:rsidRPr="00DF4CE5">
              <w:rPr>
                <w:rFonts w:ascii="Cambria" w:eastAsia="Times New Roman" w:hAnsi="Cambria" w:cs="Calibri"/>
                <w:lang w:val="it-IT"/>
              </w:rPr>
              <w:t xml:space="preserve"> i za </w:t>
            </w:r>
            <w:proofErr w:type="spellStart"/>
            <w:r w:rsidRPr="00DF4CE5">
              <w:rPr>
                <w:rFonts w:ascii="Cambria" w:eastAsia="Times New Roman" w:hAnsi="Cambria" w:cs="Calibri"/>
                <w:lang w:val="it-IT"/>
              </w:rPr>
              <w:t>svladavanje</w:t>
            </w:r>
            <w:proofErr w:type="spellEnd"/>
          </w:p>
        </w:tc>
        <w:tc>
          <w:tcPr>
            <w:tcW w:w="7220"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2FE9252" w14:textId="77777777" w:rsidR="003F7F9A" w:rsidRPr="00DF4CE5" w:rsidRDefault="003F7F9A" w:rsidP="003F7F9A">
            <w:pPr>
              <w:spacing w:after="0" w:line="240" w:lineRule="auto"/>
              <w:rPr>
                <w:rFonts w:ascii="Cambria" w:eastAsia="Times New Roman" w:hAnsi="Cambria" w:cs="Calibri"/>
                <w:strike/>
                <w:lang w:val="it-IT"/>
              </w:rPr>
            </w:pPr>
            <w:r w:rsidRPr="00DF4CE5">
              <w:rPr>
                <w:rFonts w:ascii="Cambria" w:eastAsia="Times New Roman" w:hAnsi="Cambria" w:cs="Calibri"/>
                <w:lang w:val="it-IT"/>
              </w:rPr>
              <w:t xml:space="preserve">Nema </w:t>
            </w:r>
            <w:proofErr w:type="spellStart"/>
            <w:r w:rsidRPr="00DF4CE5">
              <w:rPr>
                <w:rFonts w:ascii="Cambria" w:eastAsia="Times New Roman" w:hAnsi="Cambria" w:cs="Calibri"/>
                <w:lang w:val="it-IT"/>
              </w:rPr>
              <w:t>preduvjeta</w:t>
            </w:r>
            <w:proofErr w:type="spellEnd"/>
            <w:r w:rsidRPr="00DF4CE5">
              <w:rPr>
                <w:rFonts w:ascii="Cambria" w:eastAsia="Times New Roman" w:hAnsi="Cambria" w:cs="Calibri"/>
                <w:lang w:val="it-IT"/>
              </w:rPr>
              <w:t xml:space="preserve"> za </w:t>
            </w:r>
            <w:proofErr w:type="spellStart"/>
            <w:r w:rsidRPr="00DF4CE5">
              <w:rPr>
                <w:rFonts w:ascii="Cambria" w:eastAsia="Times New Roman" w:hAnsi="Cambria" w:cs="Calibri"/>
                <w:lang w:val="it-IT"/>
              </w:rPr>
              <w:t>upis</w:t>
            </w:r>
            <w:proofErr w:type="spellEnd"/>
            <w:r w:rsidRPr="00DF4CE5">
              <w:rPr>
                <w:rFonts w:ascii="Cambria" w:eastAsia="Times New Roman" w:hAnsi="Cambria" w:cs="Calibri"/>
                <w:lang w:val="it-IT"/>
              </w:rPr>
              <w:t xml:space="preserve">, a za </w:t>
            </w:r>
            <w:proofErr w:type="spellStart"/>
            <w:r w:rsidRPr="00DF4CE5">
              <w:rPr>
                <w:rFonts w:ascii="Cambria" w:eastAsia="Times New Roman" w:hAnsi="Cambria" w:cs="Calibri"/>
                <w:lang w:val="it-IT"/>
              </w:rPr>
              <w:t>svladavanje</w:t>
            </w:r>
            <w:proofErr w:type="spellEnd"/>
            <w:r w:rsidRPr="00DF4CE5">
              <w:rPr>
                <w:rFonts w:ascii="Cambria" w:eastAsia="Times New Roman" w:hAnsi="Cambria" w:cs="Calibri"/>
                <w:lang w:val="it-IT"/>
              </w:rPr>
              <w:t xml:space="preserve"> je </w:t>
            </w:r>
            <w:proofErr w:type="spellStart"/>
            <w:r w:rsidRPr="00DF4CE5">
              <w:rPr>
                <w:rFonts w:ascii="Cambria" w:eastAsia="Times New Roman" w:hAnsi="Cambria" w:cs="Calibri"/>
                <w:lang w:val="it-IT"/>
              </w:rPr>
              <w:t>preduvjet</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mogućnost</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praćenja</w:t>
            </w:r>
            <w:proofErr w:type="spellEnd"/>
            <w:r w:rsidRPr="00DF4CE5">
              <w:rPr>
                <w:rFonts w:ascii="Cambria" w:eastAsia="Times New Roman" w:hAnsi="Cambria" w:cs="Calibri"/>
                <w:lang w:val="it-IT"/>
              </w:rPr>
              <w:t xml:space="preserve"> literature </w:t>
            </w:r>
            <w:proofErr w:type="spellStart"/>
            <w:r w:rsidRPr="00DF4CE5">
              <w:rPr>
                <w:rFonts w:ascii="Cambria" w:eastAsia="Times New Roman" w:hAnsi="Cambria" w:cs="Calibri"/>
                <w:lang w:val="it-IT"/>
              </w:rPr>
              <w:t>na</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njemačkom</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jeziku</w:t>
            </w:r>
            <w:proofErr w:type="spellEnd"/>
          </w:p>
        </w:tc>
      </w:tr>
      <w:tr w:rsidR="003F7F9A" w:rsidRPr="00DF4CE5" w14:paraId="13F9B7EA" w14:textId="77777777" w:rsidTr="006E59DC">
        <w:tc>
          <w:tcPr>
            <w:tcW w:w="28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65FFF76" w14:textId="77777777" w:rsidR="003F7F9A" w:rsidRPr="00DF4CE5" w:rsidRDefault="003F7F9A" w:rsidP="003F7F9A">
            <w:pPr>
              <w:spacing w:after="0" w:line="240" w:lineRule="auto"/>
              <w:rPr>
                <w:rFonts w:ascii="Cambria" w:eastAsia="Times New Roman" w:hAnsi="Cambria" w:cs="Calibri"/>
              </w:rPr>
            </w:pPr>
            <w:proofErr w:type="spellStart"/>
            <w:r w:rsidRPr="00DF4CE5">
              <w:rPr>
                <w:rFonts w:ascii="Cambria" w:eastAsia="Times New Roman" w:hAnsi="Cambria" w:cs="Calibri"/>
              </w:rPr>
              <w:t>Korelativnost</w:t>
            </w:r>
            <w:proofErr w:type="spellEnd"/>
          </w:p>
        </w:tc>
        <w:tc>
          <w:tcPr>
            <w:tcW w:w="7220"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BD84C73" w14:textId="77777777" w:rsidR="003F7F9A" w:rsidRPr="00DF4CE5" w:rsidRDefault="003F7F9A" w:rsidP="003F7F9A">
            <w:pPr>
              <w:spacing w:after="0" w:line="240" w:lineRule="auto"/>
              <w:rPr>
                <w:rFonts w:ascii="Cambria" w:eastAsia="Times New Roman" w:hAnsi="Cambria" w:cs="Calibri"/>
              </w:rPr>
            </w:pPr>
            <w:proofErr w:type="spellStart"/>
            <w:r w:rsidRPr="00DF4CE5">
              <w:rPr>
                <w:rFonts w:ascii="Cambria" w:eastAsia="Times New Roman" w:hAnsi="Cambria" w:cs="Calibri"/>
              </w:rPr>
              <w:t>Njemački</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jezik</w:t>
            </w:r>
            <w:proofErr w:type="spellEnd"/>
          </w:p>
        </w:tc>
      </w:tr>
      <w:tr w:rsidR="003F7F9A" w:rsidRPr="00DF4CE5" w14:paraId="2F1574CB" w14:textId="77777777" w:rsidTr="006E59DC">
        <w:tc>
          <w:tcPr>
            <w:tcW w:w="28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E114134" w14:textId="77777777" w:rsidR="003F7F9A" w:rsidRPr="00DF4CE5" w:rsidRDefault="003F7F9A" w:rsidP="003F7F9A">
            <w:pPr>
              <w:spacing w:after="0" w:line="240" w:lineRule="auto"/>
              <w:rPr>
                <w:rFonts w:ascii="Cambria" w:eastAsia="Times New Roman" w:hAnsi="Cambria" w:cs="Calibri"/>
              </w:rPr>
            </w:pPr>
            <w:proofErr w:type="spellStart"/>
            <w:r w:rsidRPr="00DF4CE5">
              <w:rPr>
                <w:rFonts w:ascii="Cambria" w:eastAsia="Times New Roman" w:hAnsi="Cambria" w:cs="Calibri"/>
              </w:rPr>
              <w:t>Cilj</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kolegija</w:t>
            </w:r>
            <w:proofErr w:type="spellEnd"/>
            <w:r w:rsidRPr="00DF4CE5">
              <w:rPr>
                <w:rFonts w:ascii="Cambria" w:eastAsia="Times New Roman" w:hAnsi="Cambria" w:cs="Calibri"/>
              </w:rPr>
              <w:t xml:space="preserve"> </w:t>
            </w:r>
          </w:p>
        </w:tc>
        <w:tc>
          <w:tcPr>
            <w:tcW w:w="7220"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6FF66BF" w14:textId="77777777" w:rsidR="003F7F9A" w:rsidRPr="00DF4CE5" w:rsidRDefault="003F7F9A" w:rsidP="003F7F9A">
            <w:pPr>
              <w:spacing w:after="0" w:line="240" w:lineRule="auto"/>
              <w:rPr>
                <w:rFonts w:ascii="Cambria" w:eastAsia="Times New Roman" w:hAnsi="Cambria" w:cs="Calibri"/>
                <w:lang w:eastAsia="hr-HR"/>
              </w:rPr>
            </w:pPr>
            <w:proofErr w:type="spellStart"/>
            <w:r w:rsidRPr="00DF4CE5">
              <w:rPr>
                <w:rFonts w:ascii="Cambria" w:eastAsia="Times New Roman" w:hAnsi="Cambria" w:cs="Calibri"/>
              </w:rPr>
              <w:t>Upoznavanje</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njemačkog</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jezika</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i</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kulture</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te</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usvajanje</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vještina</w:t>
            </w:r>
            <w:proofErr w:type="spellEnd"/>
            <w:r w:rsidRPr="00DF4CE5">
              <w:rPr>
                <w:rFonts w:ascii="Cambria" w:eastAsia="Times New Roman" w:hAnsi="Cambria" w:cs="Calibri"/>
              </w:rPr>
              <w:t xml:space="preserve"> u </w:t>
            </w:r>
            <w:proofErr w:type="spellStart"/>
            <w:r w:rsidRPr="00DF4CE5">
              <w:rPr>
                <w:rFonts w:ascii="Cambria" w:eastAsia="Times New Roman" w:hAnsi="Cambria" w:cs="Calibri"/>
              </w:rPr>
              <w:t>korištenju</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tog</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jezika</w:t>
            </w:r>
            <w:proofErr w:type="spellEnd"/>
            <w:r w:rsidRPr="00DF4CE5">
              <w:rPr>
                <w:rFonts w:ascii="Cambria" w:eastAsia="Times New Roman" w:hAnsi="Cambria" w:cs="Calibri"/>
              </w:rPr>
              <w:t>.</w:t>
            </w:r>
          </w:p>
        </w:tc>
      </w:tr>
      <w:tr w:rsidR="003F7F9A" w:rsidRPr="00D0399C" w14:paraId="5492EDC9" w14:textId="77777777" w:rsidTr="006E59DC">
        <w:tc>
          <w:tcPr>
            <w:tcW w:w="28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52E6D8E" w14:textId="77777777" w:rsidR="003F7F9A" w:rsidRPr="00DF4CE5" w:rsidRDefault="003F7F9A" w:rsidP="003F7F9A">
            <w:pPr>
              <w:spacing w:after="0" w:line="240" w:lineRule="auto"/>
              <w:rPr>
                <w:rFonts w:ascii="Cambria" w:eastAsia="Times New Roman" w:hAnsi="Cambria" w:cs="Calibri"/>
              </w:rPr>
            </w:pPr>
            <w:proofErr w:type="spellStart"/>
            <w:r w:rsidRPr="00DF4CE5">
              <w:rPr>
                <w:rFonts w:ascii="Cambria" w:eastAsia="Times New Roman" w:hAnsi="Cambria" w:cs="Calibri"/>
              </w:rPr>
              <w:t>Ishodi</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učenja</w:t>
            </w:r>
            <w:proofErr w:type="spellEnd"/>
          </w:p>
        </w:tc>
        <w:tc>
          <w:tcPr>
            <w:tcW w:w="7220"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12DCA4F" w14:textId="2CC9CF40" w:rsidR="003F7F9A" w:rsidRPr="00DF4CE5" w:rsidRDefault="003F7F9A" w:rsidP="003F7F9A">
            <w:pPr>
              <w:spacing w:after="0" w:line="240" w:lineRule="auto"/>
              <w:rPr>
                <w:rFonts w:ascii="Cambria" w:eastAsia="Calibri" w:hAnsi="Cambria" w:cs="Calibri"/>
                <w:lang w:val="it-IT"/>
              </w:rPr>
            </w:pPr>
            <w:r w:rsidRPr="00DF4CE5">
              <w:rPr>
                <w:rFonts w:ascii="Cambria" w:eastAsia="Calibri" w:hAnsi="Cambria" w:cs="Calibri"/>
                <w:lang w:val="it-IT"/>
              </w:rPr>
              <w:t>1.</w:t>
            </w:r>
            <w:r w:rsidR="006E59DC">
              <w:rPr>
                <w:rFonts w:ascii="Cambria" w:eastAsia="Calibri" w:hAnsi="Cambria" w:cs="Calibri"/>
                <w:lang w:val="it-IT"/>
              </w:rPr>
              <w:t xml:space="preserve"> </w:t>
            </w:r>
            <w:proofErr w:type="spellStart"/>
            <w:r w:rsidRPr="00DF4CE5">
              <w:rPr>
                <w:rFonts w:ascii="Cambria" w:eastAsia="Calibri" w:hAnsi="Cambria" w:cs="Calibri"/>
                <w:lang w:val="it-IT"/>
              </w:rPr>
              <w:t>Koristiti</w:t>
            </w:r>
            <w:proofErr w:type="spellEnd"/>
            <w:r w:rsidRPr="00DF4CE5">
              <w:rPr>
                <w:rFonts w:ascii="Cambria" w:eastAsia="Calibri" w:hAnsi="Cambria" w:cs="Calibri"/>
                <w:lang w:val="it-IT"/>
              </w:rPr>
              <w:t xml:space="preserve"> </w:t>
            </w:r>
            <w:proofErr w:type="spellStart"/>
            <w:r w:rsidRPr="00DF4CE5">
              <w:rPr>
                <w:rFonts w:ascii="Cambria" w:eastAsia="Calibri" w:hAnsi="Cambria" w:cs="Calibri"/>
                <w:lang w:val="it-IT"/>
              </w:rPr>
              <w:t>jezična</w:t>
            </w:r>
            <w:proofErr w:type="spellEnd"/>
            <w:r w:rsidRPr="00DF4CE5">
              <w:rPr>
                <w:rFonts w:ascii="Cambria" w:eastAsia="Calibri" w:hAnsi="Cambria" w:cs="Calibri"/>
                <w:lang w:val="it-IT"/>
              </w:rPr>
              <w:t xml:space="preserve"> </w:t>
            </w:r>
            <w:proofErr w:type="spellStart"/>
            <w:r w:rsidRPr="00DF4CE5">
              <w:rPr>
                <w:rFonts w:ascii="Cambria" w:eastAsia="Calibri" w:hAnsi="Cambria" w:cs="Calibri"/>
                <w:lang w:val="it-IT"/>
              </w:rPr>
              <w:t>znanja</w:t>
            </w:r>
            <w:proofErr w:type="spellEnd"/>
            <w:r w:rsidRPr="00DF4CE5">
              <w:rPr>
                <w:rFonts w:ascii="Cambria" w:eastAsia="Calibri" w:hAnsi="Cambria" w:cs="Calibri"/>
                <w:lang w:val="it-IT"/>
              </w:rPr>
              <w:t xml:space="preserve"> i </w:t>
            </w:r>
            <w:proofErr w:type="spellStart"/>
            <w:r w:rsidRPr="00DF4CE5">
              <w:rPr>
                <w:rFonts w:ascii="Cambria" w:eastAsia="Calibri" w:hAnsi="Cambria" w:cs="Calibri"/>
                <w:lang w:val="it-IT"/>
              </w:rPr>
              <w:t>vještine</w:t>
            </w:r>
            <w:proofErr w:type="spellEnd"/>
            <w:r w:rsidRPr="00DF4CE5">
              <w:rPr>
                <w:rFonts w:ascii="Cambria" w:eastAsia="Calibri" w:hAnsi="Cambria" w:cs="Calibri"/>
                <w:lang w:val="it-IT"/>
              </w:rPr>
              <w:t xml:space="preserve"> </w:t>
            </w:r>
            <w:proofErr w:type="spellStart"/>
            <w:r w:rsidRPr="00DF4CE5">
              <w:rPr>
                <w:rFonts w:ascii="Cambria" w:eastAsia="Calibri" w:hAnsi="Cambria" w:cs="Calibri"/>
                <w:lang w:val="it-IT"/>
              </w:rPr>
              <w:t>na</w:t>
            </w:r>
            <w:proofErr w:type="spellEnd"/>
            <w:r w:rsidRPr="00DF4CE5">
              <w:rPr>
                <w:rFonts w:ascii="Cambria" w:eastAsia="Calibri" w:hAnsi="Cambria" w:cs="Calibri"/>
                <w:lang w:val="it-IT"/>
              </w:rPr>
              <w:t xml:space="preserve"> </w:t>
            </w:r>
            <w:proofErr w:type="spellStart"/>
            <w:r w:rsidRPr="00DF4CE5">
              <w:rPr>
                <w:rFonts w:ascii="Cambria" w:eastAsia="Calibri" w:hAnsi="Cambria" w:cs="Calibri"/>
                <w:lang w:val="it-IT"/>
              </w:rPr>
              <w:t>razini</w:t>
            </w:r>
            <w:proofErr w:type="spellEnd"/>
            <w:r w:rsidRPr="00DF4CE5">
              <w:rPr>
                <w:rFonts w:ascii="Cambria" w:eastAsia="Calibri" w:hAnsi="Cambria" w:cs="Calibri"/>
                <w:lang w:val="it-IT"/>
              </w:rPr>
              <w:t xml:space="preserve"> A1-2 prema ZEROJ-u </w:t>
            </w:r>
          </w:p>
          <w:p w14:paraId="14B71DDB" w14:textId="77777777" w:rsidR="003F7F9A" w:rsidRPr="00DF4CE5" w:rsidRDefault="003F7F9A" w:rsidP="003F7F9A">
            <w:pPr>
              <w:spacing w:after="0" w:line="240" w:lineRule="auto"/>
              <w:rPr>
                <w:rFonts w:ascii="Cambria" w:eastAsia="Calibri" w:hAnsi="Cambria" w:cs="Calibri"/>
                <w:lang w:val="it-IT"/>
              </w:rPr>
            </w:pPr>
            <w:r w:rsidRPr="00DF4CE5">
              <w:rPr>
                <w:rFonts w:ascii="Cambria" w:eastAsia="Calibri" w:hAnsi="Cambria" w:cs="Calibri"/>
                <w:lang w:val="it-IT"/>
              </w:rPr>
              <w:t xml:space="preserve">2. </w:t>
            </w:r>
            <w:proofErr w:type="spellStart"/>
            <w:r w:rsidRPr="00DF4CE5">
              <w:rPr>
                <w:rFonts w:ascii="Cambria" w:eastAsia="Calibri" w:hAnsi="Cambria" w:cs="Calibri"/>
                <w:lang w:val="it-IT"/>
              </w:rPr>
              <w:t>Ispravno</w:t>
            </w:r>
            <w:proofErr w:type="spellEnd"/>
            <w:r w:rsidRPr="00DF4CE5">
              <w:rPr>
                <w:rFonts w:ascii="Cambria" w:eastAsia="Calibri" w:hAnsi="Cambria" w:cs="Calibri"/>
                <w:lang w:val="it-IT"/>
              </w:rPr>
              <w:t xml:space="preserve"> </w:t>
            </w:r>
            <w:proofErr w:type="spellStart"/>
            <w:r w:rsidRPr="00DF4CE5">
              <w:rPr>
                <w:rFonts w:ascii="Cambria" w:eastAsia="Calibri" w:hAnsi="Cambria" w:cs="Calibri"/>
                <w:lang w:val="it-IT"/>
              </w:rPr>
              <w:t>čitati</w:t>
            </w:r>
            <w:proofErr w:type="spellEnd"/>
            <w:r w:rsidRPr="00DF4CE5">
              <w:rPr>
                <w:rFonts w:ascii="Cambria" w:eastAsia="Calibri" w:hAnsi="Cambria" w:cs="Calibri"/>
                <w:lang w:val="it-IT"/>
              </w:rPr>
              <w:t xml:space="preserve"> i </w:t>
            </w:r>
            <w:proofErr w:type="spellStart"/>
            <w:r w:rsidRPr="00DF4CE5">
              <w:rPr>
                <w:rFonts w:ascii="Cambria" w:eastAsia="Calibri" w:hAnsi="Cambria" w:cs="Calibri"/>
                <w:lang w:val="it-IT"/>
              </w:rPr>
              <w:t>izgovarati</w:t>
            </w:r>
            <w:proofErr w:type="spellEnd"/>
            <w:r w:rsidRPr="00DF4CE5">
              <w:rPr>
                <w:rFonts w:ascii="Cambria" w:eastAsia="Calibri" w:hAnsi="Cambria" w:cs="Calibri"/>
                <w:lang w:val="it-IT"/>
              </w:rPr>
              <w:t xml:space="preserve"> </w:t>
            </w:r>
            <w:proofErr w:type="spellStart"/>
            <w:r w:rsidRPr="00DF4CE5">
              <w:rPr>
                <w:rFonts w:ascii="Cambria" w:eastAsia="Calibri" w:hAnsi="Cambria" w:cs="Calibri"/>
                <w:lang w:val="it-IT"/>
              </w:rPr>
              <w:t>tekstove</w:t>
            </w:r>
            <w:proofErr w:type="spellEnd"/>
            <w:r w:rsidRPr="00DF4CE5">
              <w:rPr>
                <w:rFonts w:ascii="Cambria" w:eastAsia="Calibri" w:hAnsi="Cambria" w:cs="Calibri"/>
                <w:lang w:val="it-IT"/>
              </w:rPr>
              <w:t xml:space="preserve"> </w:t>
            </w:r>
            <w:proofErr w:type="spellStart"/>
            <w:r w:rsidRPr="00DF4CE5">
              <w:rPr>
                <w:rFonts w:ascii="Cambria" w:eastAsia="Calibri" w:hAnsi="Cambria" w:cs="Calibri"/>
                <w:lang w:val="it-IT"/>
              </w:rPr>
              <w:t>na</w:t>
            </w:r>
            <w:proofErr w:type="spellEnd"/>
            <w:r w:rsidRPr="00DF4CE5">
              <w:rPr>
                <w:rFonts w:ascii="Cambria" w:eastAsia="Calibri" w:hAnsi="Cambria" w:cs="Calibri"/>
                <w:lang w:val="it-IT"/>
              </w:rPr>
              <w:t xml:space="preserve"> </w:t>
            </w:r>
            <w:proofErr w:type="spellStart"/>
            <w:r w:rsidRPr="00DF4CE5">
              <w:rPr>
                <w:rFonts w:ascii="Cambria" w:eastAsia="Calibri" w:hAnsi="Cambria" w:cs="Calibri"/>
                <w:lang w:val="it-IT"/>
              </w:rPr>
              <w:t>njemačkom</w:t>
            </w:r>
            <w:proofErr w:type="spellEnd"/>
            <w:r w:rsidRPr="00DF4CE5">
              <w:rPr>
                <w:rFonts w:ascii="Cambria" w:eastAsia="Calibri" w:hAnsi="Cambria" w:cs="Calibri"/>
                <w:lang w:val="it-IT"/>
              </w:rPr>
              <w:t xml:space="preserve"> </w:t>
            </w:r>
            <w:proofErr w:type="spellStart"/>
            <w:r w:rsidRPr="00DF4CE5">
              <w:rPr>
                <w:rFonts w:ascii="Cambria" w:eastAsia="Calibri" w:hAnsi="Cambria" w:cs="Calibri"/>
                <w:lang w:val="it-IT"/>
              </w:rPr>
              <w:t>jeziku</w:t>
            </w:r>
            <w:proofErr w:type="spellEnd"/>
            <w:r w:rsidRPr="00DF4CE5">
              <w:rPr>
                <w:rFonts w:ascii="Cambria" w:eastAsia="Calibri" w:hAnsi="Cambria" w:cs="Calibri"/>
                <w:lang w:val="it-IT"/>
              </w:rPr>
              <w:t xml:space="preserve"> </w:t>
            </w:r>
            <w:proofErr w:type="spellStart"/>
            <w:r w:rsidRPr="00DF4CE5">
              <w:rPr>
                <w:rFonts w:ascii="Cambria" w:eastAsia="Calibri" w:hAnsi="Cambria" w:cs="Calibri"/>
                <w:lang w:val="it-IT"/>
              </w:rPr>
              <w:t>na</w:t>
            </w:r>
            <w:proofErr w:type="spellEnd"/>
            <w:r w:rsidRPr="00DF4CE5">
              <w:rPr>
                <w:rFonts w:ascii="Cambria" w:eastAsia="Calibri" w:hAnsi="Cambria" w:cs="Calibri"/>
                <w:lang w:val="it-IT"/>
              </w:rPr>
              <w:t xml:space="preserve"> </w:t>
            </w:r>
            <w:proofErr w:type="spellStart"/>
            <w:r w:rsidRPr="00DF4CE5">
              <w:rPr>
                <w:rFonts w:ascii="Cambria" w:eastAsia="Calibri" w:hAnsi="Cambria" w:cs="Calibri"/>
                <w:lang w:val="it-IT"/>
              </w:rPr>
              <w:t>razini</w:t>
            </w:r>
            <w:proofErr w:type="spellEnd"/>
            <w:r w:rsidRPr="00DF4CE5">
              <w:rPr>
                <w:rFonts w:ascii="Cambria" w:eastAsia="Calibri" w:hAnsi="Cambria" w:cs="Calibri"/>
                <w:lang w:val="it-IT"/>
              </w:rPr>
              <w:t xml:space="preserve"> A1-2</w:t>
            </w:r>
          </w:p>
          <w:p w14:paraId="50011647" w14:textId="77777777" w:rsidR="003F7F9A" w:rsidRPr="00DF4CE5" w:rsidRDefault="003F7F9A" w:rsidP="003F7F9A">
            <w:pPr>
              <w:spacing w:after="0" w:line="240" w:lineRule="auto"/>
              <w:rPr>
                <w:rFonts w:ascii="Cambria" w:eastAsia="Calibri" w:hAnsi="Cambria" w:cs="Calibri"/>
                <w:lang w:val="it-IT"/>
              </w:rPr>
            </w:pPr>
            <w:r w:rsidRPr="00DF4CE5">
              <w:rPr>
                <w:rFonts w:ascii="Cambria" w:eastAsia="Calibri" w:hAnsi="Cambria" w:cs="Calibri"/>
                <w:lang w:val="it-IT"/>
              </w:rPr>
              <w:t xml:space="preserve">3. </w:t>
            </w:r>
            <w:proofErr w:type="spellStart"/>
            <w:r w:rsidRPr="00DF4CE5">
              <w:rPr>
                <w:rFonts w:ascii="Cambria" w:eastAsia="Calibri" w:hAnsi="Cambria" w:cs="Calibri"/>
                <w:lang w:val="it-IT"/>
              </w:rPr>
              <w:t>Ispravno</w:t>
            </w:r>
            <w:proofErr w:type="spellEnd"/>
            <w:r w:rsidRPr="00DF4CE5">
              <w:rPr>
                <w:rFonts w:ascii="Cambria" w:eastAsia="Calibri" w:hAnsi="Cambria" w:cs="Calibri"/>
                <w:lang w:val="it-IT"/>
              </w:rPr>
              <w:t xml:space="preserve"> </w:t>
            </w:r>
            <w:proofErr w:type="spellStart"/>
            <w:r w:rsidRPr="00DF4CE5">
              <w:rPr>
                <w:rFonts w:ascii="Cambria" w:eastAsia="Calibri" w:hAnsi="Cambria" w:cs="Calibri"/>
                <w:lang w:val="it-IT"/>
              </w:rPr>
              <w:t>primijeniti</w:t>
            </w:r>
            <w:proofErr w:type="spellEnd"/>
            <w:r w:rsidRPr="00DF4CE5">
              <w:rPr>
                <w:rFonts w:ascii="Cambria" w:eastAsia="Calibri" w:hAnsi="Cambria" w:cs="Calibri"/>
                <w:lang w:val="it-IT"/>
              </w:rPr>
              <w:t xml:space="preserve"> </w:t>
            </w:r>
            <w:proofErr w:type="spellStart"/>
            <w:r w:rsidRPr="00DF4CE5">
              <w:rPr>
                <w:rFonts w:ascii="Cambria" w:eastAsia="Calibri" w:hAnsi="Cambria" w:cs="Calibri"/>
                <w:lang w:val="it-IT"/>
              </w:rPr>
              <w:t>gramatičke</w:t>
            </w:r>
            <w:proofErr w:type="spellEnd"/>
            <w:r w:rsidRPr="00DF4CE5">
              <w:rPr>
                <w:rFonts w:ascii="Cambria" w:eastAsia="Calibri" w:hAnsi="Cambria" w:cs="Calibri"/>
                <w:lang w:val="it-IT"/>
              </w:rPr>
              <w:t xml:space="preserve"> </w:t>
            </w:r>
            <w:proofErr w:type="spellStart"/>
            <w:r w:rsidRPr="00DF4CE5">
              <w:rPr>
                <w:rFonts w:ascii="Cambria" w:eastAsia="Calibri" w:hAnsi="Cambria" w:cs="Calibri"/>
                <w:lang w:val="it-IT"/>
              </w:rPr>
              <w:t>strukture</w:t>
            </w:r>
            <w:proofErr w:type="spellEnd"/>
            <w:r w:rsidRPr="00DF4CE5">
              <w:rPr>
                <w:rFonts w:ascii="Cambria" w:eastAsia="Calibri" w:hAnsi="Cambria" w:cs="Calibri"/>
                <w:lang w:val="it-IT"/>
              </w:rPr>
              <w:t xml:space="preserve"> u </w:t>
            </w:r>
            <w:proofErr w:type="spellStart"/>
            <w:r w:rsidRPr="00DF4CE5">
              <w:rPr>
                <w:rFonts w:ascii="Cambria" w:eastAsia="Calibri" w:hAnsi="Cambria" w:cs="Calibri"/>
                <w:lang w:val="it-IT"/>
              </w:rPr>
              <w:t>zadanom</w:t>
            </w:r>
            <w:proofErr w:type="spellEnd"/>
            <w:r w:rsidRPr="00DF4CE5">
              <w:rPr>
                <w:rFonts w:ascii="Cambria" w:eastAsia="Calibri" w:hAnsi="Cambria" w:cs="Calibri"/>
                <w:lang w:val="it-IT"/>
              </w:rPr>
              <w:t xml:space="preserve"> </w:t>
            </w:r>
            <w:proofErr w:type="spellStart"/>
            <w:r w:rsidRPr="00DF4CE5">
              <w:rPr>
                <w:rFonts w:ascii="Cambria" w:eastAsia="Calibri" w:hAnsi="Cambria" w:cs="Calibri"/>
                <w:lang w:val="it-IT"/>
              </w:rPr>
              <w:t>kontekstu</w:t>
            </w:r>
            <w:proofErr w:type="spellEnd"/>
            <w:r w:rsidRPr="00DF4CE5">
              <w:rPr>
                <w:rFonts w:ascii="Cambria" w:eastAsia="Calibri" w:hAnsi="Cambria" w:cs="Calibri"/>
                <w:lang w:val="it-IT"/>
              </w:rPr>
              <w:t xml:space="preserve"> </w:t>
            </w:r>
            <w:proofErr w:type="spellStart"/>
            <w:r w:rsidRPr="00DF4CE5">
              <w:rPr>
                <w:rFonts w:ascii="Cambria" w:eastAsia="Calibri" w:hAnsi="Cambria" w:cs="Calibri"/>
                <w:lang w:val="it-IT"/>
              </w:rPr>
              <w:t>pisanog</w:t>
            </w:r>
            <w:proofErr w:type="spellEnd"/>
            <w:r w:rsidRPr="00DF4CE5">
              <w:rPr>
                <w:rFonts w:ascii="Cambria" w:eastAsia="Calibri" w:hAnsi="Cambria" w:cs="Calibri"/>
                <w:lang w:val="it-IT"/>
              </w:rPr>
              <w:t xml:space="preserve"> ili </w:t>
            </w:r>
            <w:proofErr w:type="spellStart"/>
            <w:r w:rsidRPr="00DF4CE5">
              <w:rPr>
                <w:rFonts w:ascii="Cambria" w:eastAsia="Calibri" w:hAnsi="Cambria" w:cs="Calibri"/>
                <w:lang w:val="it-IT"/>
              </w:rPr>
              <w:t>govornog</w:t>
            </w:r>
            <w:proofErr w:type="spellEnd"/>
            <w:r w:rsidRPr="00DF4CE5">
              <w:rPr>
                <w:rFonts w:ascii="Cambria" w:eastAsia="Calibri" w:hAnsi="Cambria" w:cs="Calibri"/>
                <w:lang w:val="it-IT"/>
              </w:rPr>
              <w:t xml:space="preserve"> </w:t>
            </w:r>
            <w:proofErr w:type="spellStart"/>
            <w:r w:rsidRPr="00DF4CE5">
              <w:rPr>
                <w:rFonts w:ascii="Cambria" w:eastAsia="Calibri" w:hAnsi="Cambria" w:cs="Calibri"/>
                <w:lang w:val="it-IT"/>
              </w:rPr>
              <w:t>njemačkog</w:t>
            </w:r>
            <w:proofErr w:type="spellEnd"/>
            <w:r w:rsidRPr="00DF4CE5">
              <w:rPr>
                <w:rFonts w:ascii="Cambria" w:eastAsia="Calibri" w:hAnsi="Cambria" w:cs="Calibri"/>
                <w:lang w:val="it-IT"/>
              </w:rPr>
              <w:t xml:space="preserve"> </w:t>
            </w:r>
            <w:proofErr w:type="spellStart"/>
            <w:r w:rsidRPr="00DF4CE5">
              <w:rPr>
                <w:rFonts w:ascii="Cambria" w:eastAsia="Calibri" w:hAnsi="Cambria" w:cs="Calibri"/>
                <w:lang w:val="it-IT"/>
              </w:rPr>
              <w:t>jezika</w:t>
            </w:r>
            <w:proofErr w:type="spellEnd"/>
          </w:p>
          <w:p w14:paraId="54C072B7" w14:textId="77777777" w:rsidR="003F7F9A" w:rsidRPr="00DF4CE5" w:rsidRDefault="003F7F9A" w:rsidP="003F7F9A">
            <w:pPr>
              <w:spacing w:after="0" w:line="240" w:lineRule="auto"/>
              <w:rPr>
                <w:rFonts w:ascii="Cambria" w:eastAsia="Calibri" w:hAnsi="Cambria" w:cs="Calibri"/>
                <w:lang w:val="it-IT"/>
              </w:rPr>
            </w:pPr>
            <w:r w:rsidRPr="00DF4CE5">
              <w:rPr>
                <w:rFonts w:ascii="Cambria" w:eastAsia="Calibri" w:hAnsi="Cambria" w:cs="Calibri"/>
                <w:lang w:val="it-IT"/>
              </w:rPr>
              <w:t xml:space="preserve">4.  </w:t>
            </w:r>
            <w:proofErr w:type="spellStart"/>
            <w:r w:rsidRPr="00DF4CE5">
              <w:rPr>
                <w:rFonts w:ascii="Cambria" w:eastAsia="Times New Roman" w:hAnsi="Cambria" w:cs="Calibri"/>
                <w:lang w:val="it-IT"/>
              </w:rPr>
              <w:t>koristiti</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vještinu</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slušanja</w:t>
            </w:r>
            <w:proofErr w:type="spellEnd"/>
            <w:r w:rsidRPr="00DF4CE5">
              <w:rPr>
                <w:rFonts w:ascii="Cambria" w:eastAsia="Times New Roman" w:hAnsi="Cambria" w:cs="Calibri"/>
                <w:lang w:val="it-IT"/>
              </w:rPr>
              <w:t xml:space="preserve"> i </w:t>
            </w:r>
            <w:proofErr w:type="spellStart"/>
            <w:r w:rsidRPr="00DF4CE5">
              <w:rPr>
                <w:rFonts w:ascii="Cambria" w:eastAsia="Times New Roman" w:hAnsi="Cambria" w:cs="Calibri"/>
                <w:lang w:val="it-IT"/>
              </w:rPr>
              <w:t>analiziranja</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sadržaja</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pomoću</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izvornih</w:t>
            </w:r>
            <w:proofErr w:type="spellEnd"/>
            <w:r w:rsidRPr="00DF4CE5">
              <w:rPr>
                <w:rFonts w:ascii="Cambria" w:eastAsia="Times New Roman" w:hAnsi="Cambria" w:cs="Calibri"/>
                <w:lang w:val="it-IT"/>
              </w:rPr>
              <w:t xml:space="preserve"> audio-</w:t>
            </w:r>
            <w:proofErr w:type="spellStart"/>
            <w:r w:rsidRPr="00DF4CE5">
              <w:rPr>
                <w:rFonts w:ascii="Cambria" w:eastAsia="Times New Roman" w:hAnsi="Cambria" w:cs="Calibri"/>
                <w:lang w:val="it-IT"/>
              </w:rPr>
              <w:t>materijala</w:t>
            </w:r>
            <w:proofErr w:type="spellEnd"/>
          </w:p>
          <w:p w14:paraId="75FDB6E9" w14:textId="77777777" w:rsidR="003F7F9A" w:rsidRPr="00DF4CE5" w:rsidRDefault="003F7F9A" w:rsidP="003F7F9A">
            <w:pPr>
              <w:spacing w:after="0" w:line="240" w:lineRule="auto"/>
              <w:rPr>
                <w:rFonts w:ascii="Cambria" w:eastAsia="Calibri" w:hAnsi="Cambria" w:cs="Calibri"/>
                <w:lang w:val="it-IT"/>
              </w:rPr>
            </w:pPr>
            <w:r w:rsidRPr="00DF4CE5">
              <w:rPr>
                <w:rFonts w:ascii="Cambria" w:eastAsia="Calibri" w:hAnsi="Cambria" w:cs="Calibri"/>
                <w:lang w:val="it-IT"/>
              </w:rPr>
              <w:t xml:space="preserve">5. </w:t>
            </w:r>
            <w:proofErr w:type="spellStart"/>
            <w:r w:rsidRPr="00DF4CE5">
              <w:rPr>
                <w:rFonts w:ascii="Cambria" w:eastAsia="Calibri" w:hAnsi="Cambria" w:cs="Calibri"/>
                <w:lang w:val="it-IT"/>
              </w:rPr>
              <w:t>Razviti</w:t>
            </w:r>
            <w:proofErr w:type="spellEnd"/>
            <w:r w:rsidRPr="00DF4CE5">
              <w:rPr>
                <w:rFonts w:ascii="Cambria" w:eastAsia="Calibri" w:hAnsi="Cambria" w:cs="Calibri"/>
                <w:lang w:val="it-IT"/>
              </w:rPr>
              <w:t xml:space="preserve"> </w:t>
            </w:r>
            <w:proofErr w:type="spellStart"/>
            <w:r w:rsidRPr="00DF4CE5">
              <w:rPr>
                <w:rFonts w:ascii="Cambria" w:eastAsia="Calibri" w:hAnsi="Cambria" w:cs="Calibri"/>
                <w:lang w:val="it-IT"/>
              </w:rPr>
              <w:t>jezične</w:t>
            </w:r>
            <w:proofErr w:type="spellEnd"/>
            <w:r w:rsidRPr="00DF4CE5">
              <w:rPr>
                <w:rFonts w:ascii="Cambria" w:eastAsia="Calibri" w:hAnsi="Cambria" w:cs="Calibri"/>
                <w:lang w:val="it-IT"/>
              </w:rPr>
              <w:t xml:space="preserve"> </w:t>
            </w:r>
            <w:proofErr w:type="spellStart"/>
            <w:r w:rsidRPr="00DF4CE5">
              <w:rPr>
                <w:rFonts w:ascii="Cambria" w:eastAsia="Calibri" w:hAnsi="Cambria" w:cs="Calibri"/>
                <w:lang w:val="it-IT"/>
              </w:rPr>
              <w:t>sposobnosti</w:t>
            </w:r>
            <w:proofErr w:type="spellEnd"/>
            <w:r w:rsidRPr="00DF4CE5">
              <w:rPr>
                <w:rFonts w:ascii="Cambria" w:eastAsia="Calibri" w:hAnsi="Cambria" w:cs="Calibri"/>
                <w:lang w:val="it-IT"/>
              </w:rPr>
              <w:t xml:space="preserve"> za </w:t>
            </w:r>
            <w:proofErr w:type="spellStart"/>
            <w:r w:rsidRPr="00DF4CE5">
              <w:rPr>
                <w:rFonts w:ascii="Cambria" w:eastAsia="Calibri" w:hAnsi="Cambria" w:cs="Calibri"/>
                <w:lang w:val="it-IT"/>
              </w:rPr>
              <w:t>govorno</w:t>
            </w:r>
            <w:proofErr w:type="spellEnd"/>
            <w:r w:rsidRPr="00DF4CE5">
              <w:rPr>
                <w:rFonts w:ascii="Cambria" w:eastAsia="Calibri" w:hAnsi="Cambria" w:cs="Calibri"/>
                <w:lang w:val="it-IT"/>
              </w:rPr>
              <w:t xml:space="preserve"> </w:t>
            </w:r>
            <w:proofErr w:type="gramStart"/>
            <w:r w:rsidRPr="00DF4CE5">
              <w:rPr>
                <w:rFonts w:ascii="Cambria" w:eastAsia="Calibri" w:hAnsi="Cambria" w:cs="Calibri"/>
                <w:lang w:val="it-IT"/>
              </w:rPr>
              <w:t>i pisano</w:t>
            </w:r>
            <w:proofErr w:type="gramEnd"/>
            <w:r w:rsidRPr="00DF4CE5">
              <w:rPr>
                <w:rFonts w:ascii="Cambria" w:eastAsia="Calibri" w:hAnsi="Cambria" w:cs="Calibri"/>
                <w:lang w:val="it-IT"/>
              </w:rPr>
              <w:t xml:space="preserve"> </w:t>
            </w:r>
            <w:proofErr w:type="spellStart"/>
            <w:r w:rsidRPr="00DF4CE5">
              <w:rPr>
                <w:rFonts w:ascii="Cambria" w:eastAsia="Calibri" w:hAnsi="Cambria" w:cs="Calibri"/>
                <w:lang w:val="it-IT"/>
              </w:rPr>
              <w:t>komuniciranje</w:t>
            </w:r>
            <w:proofErr w:type="spellEnd"/>
            <w:r w:rsidRPr="00DF4CE5">
              <w:rPr>
                <w:rFonts w:ascii="Cambria" w:eastAsia="Calibri" w:hAnsi="Cambria" w:cs="Calibri"/>
                <w:lang w:val="it-IT"/>
              </w:rPr>
              <w:t xml:space="preserve"> </w:t>
            </w:r>
            <w:proofErr w:type="spellStart"/>
            <w:r w:rsidRPr="00DF4CE5">
              <w:rPr>
                <w:rFonts w:ascii="Cambria" w:eastAsia="Calibri" w:hAnsi="Cambria" w:cs="Calibri"/>
                <w:lang w:val="it-IT"/>
              </w:rPr>
              <w:t>na</w:t>
            </w:r>
            <w:proofErr w:type="spellEnd"/>
            <w:r w:rsidRPr="00DF4CE5">
              <w:rPr>
                <w:rFonts w:ascii="Cambria" w:eastAsia="Calibri" w:hAnsi="Cambria" w:cs="Calibri"/>
                <w:lang w:val="it-IT"/>
              </w:rPr>
              <w:t xml:space="preserve"> </w:t>
            </w:r>
            <w:proofErr w:type="spellStart"/>
            <w:r w:rsidRPr="00DF4CE5">
              <w:rPr>
                <w:rFonts w:ascii="Cambria" w:eastAsia="Calibri" w:hAnsi="Cambria" w:cs="Calibri"/>
                <w:lang w:val="it-IT"/>
              </w:rPr>
              <w:t>razini</w:t>
            </w:r>
            <w:proofErr w:type="spellEnd"/>
            <w:r w:rsidRPr="00DF4CE5">
              <w:rPr>
                <w:rFonts w:ascii="Cambria" w:eastAsia="Calibri" w:hAnsi="Cambria" w:cs="Calibri"/>
                <w:lang w:val="it-IT"/>
              </w:rPr>
              <w:t xml:space="preserve"> A1-2</w:t>
            </w:r>
          </w:p>
          <w:p w14:paraId="215F0015" w14:textId="77777777" w:rsidR="003F7F9A" w:rsidRPr="00DF4CE5" w:rsidRDefault="003F7F9A" w:rsidP="003F7F9A">
            <w:pPr>
              <w:spacing w:after="0" w:line="240" w:lineRule="auto"/>
              <w:rPr>
                <w:rFonts w:ascii="Cambria" w:eastAsia="Times New Roman" w:hAnsi="Cambria" w:cs="Calibri"/>
                <w:lang w:val="it-IT"/>
              </w:rPr>
            </w:pPr>
            <w:r w:rsidRPr="00DF4CE5">
              <w:rPr>
                <w:rFonts w:ascii="Cambria" w:eastAsia="Times New Roman" w:hAnsi="Cambria" w:cs="Calibri"/>
                <w:lang w:val="it-IT"/>
              </w:rPr>
              <w:t xml:space="preserve">6. </w:t>
            </w:r>
            <w:proofErr w:type="spellStart"/>
            <w:r w:rsidRPr="00DF4CE5">
              <w:rPr>
                <w:rFonts w:ascii="Cambria" w:eastAsia="Times New Roman" w:hAnsi="Cambria" w:cs="Calibri"/>
                <w:lang w:val="it-IT"/>
              </w:rPr>
              <w:t>Primijeniti</w:t>
            </w:r>
            <w:proofErr w:type="spellEnd"/>
            <w:r w:rsidRPr="00DF4CE5">
              <w:rPr>
                <w:rFonts w:ascii="Cambria" w:eastAsia="Times New Roman" w:hAnsi="Cambria" w:cs="Calibri"/>
                <w:lang w:val="it-IT"/>
              </w:rPr>
              <w:t xml:space="preserve"> </w:t>
            </w:r>
            <w:proofErr w:type="spellStart"/>
            <w:proofErr w:type="gramStart"/>
            <w:r w:rsidRPr="00DF4CE5">
              <w:rPr>
                <w:rFonts w:ascii="Cambria" w:eastAsia="Times New Roman" w:hAnsi="Cambria" w:cs="Calibri"/>
                <w:lang w:val="it-IT"/>
              </w:rPr>
              <w:t>usvojeno</w:t>
            </w:r>
            <w:proofErr w:type="spellEnd"/>
            <w:r w:rsidRPr="00DF4CE5">
              <w:rPr>
                <w:rFonts w:ascii="Cambria" w:eastAsia="Times New Roman" w:hAnsi="Cambria" w:cs="Calibri"/>
                <w:lang w:val="it-IT"/>
              </w:rPr>
              <w:t xml:space="preserve">  (</w:t>
            </w:r>
            <w:proofErr w:type="spellStart"/>
            <w:proofErr w:type="gramEnd"/>
            <w:r w:rsidRPr="00DF4CE5">
              <w:rPr>
                <w:rFonts w:ascii="Cambria" w:eastAsia="Times New Roman" w:hAnsi="Cambria" w:cs="Calibri"/>
                <w:lang w:val="it-IT"/>
              </w:rPr>
              <w:t>usmeno</w:t>
            </w:r>
            <w:proofErr w:type="spellEnd"/>
            <w:r w:rsidRPr="00DF4CE5">
              <w:rPr>
                <w:rFonts w:ascii="Cambria" w:eastAsia="Times New Roman" w:hAnsi="Cambria" w:cs="Calibri"/>
                <w:lang w:val="it-IT"/>
              </w:rPr>
              <w:t xml:space="preserve"> i </w:t>
            </w:r>
            <w:proofErr w:type="spellStart"/>
            <w:r w:rsidRPr="00DF4CE5">
              <w:rPr>
                <w:rFonts w:ascii="Cambria" w:eastAsia="Times New Roman" w:hAnsi="Cambria" w:cs="Calibri"/>
                <w:lang w:val="it-IT"/>
              </w:rPr>
              <w:t>pismeno</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na</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razini</w:t>
            </w:r>
            <w:proofErr w:type="spellEnd"/>
            <w:r w:rsidRPr="00DF4CE5">
              <w:rPr>
                <w:rFonts w:ascii="Cambria" w:eastAsia="Times New Roman" w:hAnsi="Cambria" w:cs="Calibri"/>
                <w:lang w:val="it-IT"/>
              </w:rPr>
              <w:t xml:space="preserve"> A1-A2</w:t>
            </w:r>
          </w:p>
        </w:tc>
      </w:tr>
      <w:tr w:rsidR="003F7F9A" w:rsidRPr="00DF4CE5" w14:paraId="3855D0EB" w14:textId="77777777" w:rsidTr="006E59DC">
        <w:trPr>
          <w:trHeight w:val="244"/>
        </w:trPr>
        <w:tc>
          <w:tcPr>
            <w:tcW w:w="2800"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23B90ECA" w14:textId="77777777" w:rsidR="003F7F9A" w:rsidRPr="00DF4CE5" w:rsidRDefault="003F7F9A" w:rsidP="003F7F9A">
            <w:pPr>
              <w:spacing w:after="0" w:line="240" w:lineRule="auto"/>
              <w:rPr>
                <w:rFonts w:ascii="Cambria" w:eastAsia="Times New Roman" w:hAnsi="Cambria" w:cs="Calibri"/>
              </w:rPr>
            </w:pPr>
            <w:proofErr w:type="spellStart"/>
            <w:r w:rsidRPr="00DF4CE5">
              <w:rPr>
                <w:rFonts w:ascii="Cambria" w:eastAsia="Times New Roman" w:hAnsi="Cambria" w:cs="Calibri"/>
              </w:rPr>
              <w:t>Sadržaj</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kolegija</w:t>
            </w:r>
            <w:proofErr w:type="spellEnd"/>
          </w:p>
        </w:tc>
        <w:tc>
          <w:tcPr>
            <w:tcW w:w="7220"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A300916" w14:textId="27E87C36" w:rsidR="003F7F9A" w:rsidRPr="00DF4CE5" w:rsidRDefault="006E59DC" w:rsidP="006E59DC">
            <w:pPr>
              <w:spacing w:after="0" w:line="240" w:lineRule="auto"/>
              <w:contextualSpacing/>
              <w:rPr>
                <w:rFonts w:ascii="Cambria" w:eastAsia="Calibri" w:hAnsi="Cambria" w:cs="Calibri"/>
              </w:rPr>
            </w:pPr>
            <w:r>
              <w:rPr>
                <w:rFonts w:ascii="Cambria" w:eastAsia="Calibri" w:hAnsi="Cambria" w:cs="Calibri"/>
              </w:rPr>
              <w:t xml:space="preserve">1. </w:t>
            </w:r>
            <w:proofErr w:type="spellStart"/>
            <w:r w:rsidR="003F7F9A" w:rsidRPr="00DF4CE5">
              <w:rPr>
                <w:rFonts w:ascii="Cambria" w:eastAsia="Calibri" w:hAnsi="Cambria" w:cs="Calibri"/>
              </w:rPr>
              <w:t>Vorstellen</w:t>
            </w:r>
            <w:proofErr w:type="spellEnd"/>
            <w:r w:rsidR="003F7F9A" w:rsidRPr="00DF4CE5">
              <w:rPr>
                <w:rFonts w:ascii="Cambria" w:eastAsia="Calibri" w:hAnsi="Cambria" w:cs="Calibri"/>
              </w:rPr>
              <w:t xml:space="preserve"> und </w:t>
            </w:r>
            <w:proofErr w:type="spellStart"/>
            <w:r w:rsidR="003F7F9A" w:rsidRPr="00DF4CE5">
              <w:rPr>
                <w:rFonts w:ascii="Cambria" w:eastAsia="Calibri" w:hAnsi="Cambria" w:cs="Calibri"/>
              </w:rPr>
              <w:t>Kennenlernen</w:t>
            </w:r>
            <w:proofErr w:type="spellEnd"/>
            <w:r w:rsidR="003F7F9A" w:rsidRPr="00DF4CE5">
              <w:rPr>
                <w:rFonts w:ascii="Cambria" w:eastAsia="Calibri" w:hAnsi="Cambria" w:cs="Calibri"/>
              </w:rPr>
              <w:t xml:space="preserve"> </w:t>
            </w:r>
          </w:p>
          <w:p w14:paraId="1FD99C96" w14:textId="12310905" w:rsidR="003F7F9A" w:rsidRPr="00DF4CE5" w:rsidRDefault="006E59DC" w:rsidP="006E59DC">
            <w:pPr>
              <w:spacing w:after="0" w:line="240" w:lineRule="auto"/>
              <w:contextualSpacing/>
              <w:rPr>
                <w:rFonts w:ascii="Cambria" w:eastAsia="Calibri" w:hAnsi="Cambria" w:cs="Calibri"/>
              </w:rPr>
            </w:pPr>
            <w:r>
              <w:rPr>
                <w:rFonts w:ascii="Cambria" w:eastAsia="Calibri" w:hAnsi="Cambria" w:cs="Calibri"/>
              </w:rPr>
              <w:t xml:space="preserve">2. </w:t>
            </w:r>
            <w:proofErr w:type="spellStart"/>
            <w:r w:rsidR="003F7F9A" w:rsidRPr="00DF4CE5">
              <w:rPr>
                <w:rFonts w:ascii="Cambria" w:eastAsia="Calibri" w:hAnsi="Cambria" w:cs="Calibri"/>
              </w:rPr>
              <w:t>Berufe-Sozialberufe</w:t>
            </w:r>
            <w:proofErr w:type="spellEnd"/>
          </w:p>
          <w:p w14:paraId="7A58E940" w14:textId="23DE4BA4" w:rsidR="003F7F9A" w:rsidRPr="00DF4CE5" w:rsidRDefault="006E59DC" w:rsidP="006E59DC">
            <w:pPr>
              <w:spacing w:after="0" w:line="240" w:lineRule="auto"/>
              <w:contextualSpacing/>
              <w:rPr>
                <w:rFonts w:ascii="Cambria" w:eastAsia="Calibri" w:hAnsi="Cambria" w:cs="Calibri"/>
              </w:rPr>
            </w:pPr>
            <w:r>
              <w:rPr>
                <w:rFonts w:ascii="Cambria" w:eastAsia="Calibri" w:hAnsi="Cambria" w:cs="Calibri"/>
              </w:rPr>
              <w:t xml:space="preserve">3. </w:t>
            </w:r>
            <w:r w:rsidR="003F7F9A" w:rsidRPr="00DF4CE5">
              <w:rPr>
                <w:rFonts w:ascii="Cambria" w:eastAsia="Calibri" w:hAnsi="Cambria" w:cs="Calibri"/>
              </w:rPr>
              <w:t xml:space="preserve">Studium und </w:t>
            </w:r>
            <w:proofErr w:type="spellStart"/>
            <w:r w:rsidR="003F7F9A" w:rsidRPr="00DF4CE5">
              <w:rPr>
                <w:rFonts w:ascii="Cambria" w:eastAsia="Calibri" w:hAnsi="Cambria" w:cs="Calibri"/>
              </w:rPr>
              <w:t>Ausbildung</w:t>
            </w:r>
            <w:proofErr w:type="spellEnd"/>
          </w:p>
          <w:p w14:paraId="3FF93662" w14:textId="6A7E863B" w:rsidR="003F7F9A" w:rsidRPr="00DF4CE5" w:rsidRDefault="006E59DC" w:rsidP="006E59DC">
            <w:pPr>
              <w:spacing w:after="0" w:line="240" w:lineRule="auto"/>
              <w:contextualSpacing/>
              <w:rPr>
                <w:rFonts w:ascii="Cambria" w:eastAsia="Calibri" w:hAnsi="Cambria" w:cs="Calibri"/>
              </w:rPr>
            </w:pPr>
            <w:r>
              <w:rPr>
                <w:rFonts w:ascii="Cambria" w:eastAsia="Calibri" w:hAnsi="Cambria" w:cs="Calibri"/>
              </w:rPr>
              <w:t xml:space="preserve">4. </w:t>
            </w:r>
            <w:proofErr w:type="spellStart"/>
            <w:r w:rsidR="003F7F9A" w:rsidRPr="00DF4CE5">
              <w:rPr>
                <w:rFonts w:ascii="Cambria" w:eastAsia="Calibri" w:hAnsi="Cambria" w:cs="Calibri"/>
              </w:rPr>
              <w:t>Lernfähigkeit</w:t>
            </w:r>
            <w:proofErr w:type="spellEnd"/>
            <w:r w:rsidR="003F7F9A" w:rsidRPr="00DF4CE5">
              <w:rPr>
                <w:rFonts w:ascii="Cambria" w:eastAsia="Calibri" w:hAnsi="Cambria" w:cs="Calibri"/>
              </w:rPr>
              <w:t xml:space="preserve"> und </w:t>
            </w:r>
            <w:proofErr w:type="spellStart"/>
            <w:r w:rsidR="003F7F9A" w:rsidRPr="00DF4CE5">
              <w:rPr>
                <w:rFonts w:ascii="Cambria" w:eastAsia="Calibri" w:hAnsi="Cambria" w:cs="Calibri"/>
              </w:rPr>
              <w:t>Lernmotivation</w:t>
            </w:r>
            <w:proofErr w:type="spellEnd"/>
          </w:p>
          <w:p w14:paraId="56A82A70" w14:textId="36D2FFA1" w:rsidR="003F7F9A" w:rsidRPr="00DF4CE5" w:rsidRDefault="006E59DC" w:rsidP="006E59DC">
            <w:pPr>
              <w:spacing w:after="0" w:line="240" w:lineRule="auto"/>
              <w:contextualSpacing/>
              <w:rPr>
                <w:rFonts w:ascii="Cambria" w:eastAsia="Calibri" w:hAnsi="Cambria" w:cs="Calibri"/>
              </w:rPr>
            </w:pPr>
            <w:r>
              <w:rPr>
                <w:rFonts w:ascii="Cambria" w:eastAsia="Calibri" w:hAnsi="Cambria" w:cs="Calibri"/>
              </w:rPr>
              <w:t xml:space="preserve">5. </w:t>
            </w:r>
            <w:proofErr w:type="spellStart"/>
            <w:r w:rsidR="003F7F9A" w:rsidRPr="00DF4CE5">
              <w:rPr>
                <w:rFonts w:ascii="Cambria" w:eastAsia="Calibri" w:hAnsi="Cambria" w:cs="Calibri"/>
              </w:rPr>
              <w:t>Fremdsprachliche</w:t>
            </w:r>
            <w:proofErr w:type="spellEnd"/>
            <w:r w:rsidR="003F7F9A" w:rsidRPr="00DF4CE5">
              <w:rPr>
                <w:rFonts w:ascii="Cambria" w:eastAsia="Calibri" w:hAnsi="Cambria" w:cs="Calibri"/>
              </w:rPr>
              <w:t xml:space="preserve"> </w:t>
            </w:r>
            <w:proofErr w:type="spellStart"/>
            <w:r w:rsidR="003F7F9A" w:rsidRPr="00DF4CE5">
              <w:rPr>
                <w:rFonts w:ascii="Cambria" w:eastAsia="Calibri" w:hAnsi="Cambria" w:cs="Calibri"/>
              </w:rPr>
              <w:t>Erziehung</w:t>
            </w:r>
            <w:proofErr w:type="spellEnd"/>
            <w:r w:rsidR="003F7F9A" w:rsidRPr="00DF4CE5">
              <w:rPr>
                <w:rFonts w:ascii="Cambria" w:eastAsia="Calibri" w:hAnsi="Cambria" w:cs="Calibri"/>
              </w:rPr>
              <w:t xml:space="preserve"> in der </w:t>
            </w:r>
            <w:proofErr w:type="spellStart"/>
            <w:r w:rsidR="003F7F9A" w:rsidRPr="00DF4CE5">
              <w:rPr>
                <w:rFonts w:ascii="Cambria" w:eastAsia="Calibri" w:hAnsi="Cambria" w:cs="Calibri"/>
              </w:rPr>
              <w:t>Primarschule</w:t>
            </w:r>
            <w:proofErr w:type="spellEnd"/>
          </w:p>
          <w:p w14:paraId="62497D39" w14:textId="5D3F9BDE" w:rsidR="003F7F9A" w:rsidRPr="00DF4CE5" w:rsidRDefault="006E59DC" w:rsidP="006E59DC">
            <w:pPr>
              <w:spacing w:after="0" w:line="240" w:lineRule="auto"/>
              <w:contextualSpacing/>
              <w:rPr>
                <w:rFonts w:ascii="Cambria" w:eastAsia="Calibri" w:hAnsi="Cambria" w:cs="Calibri"/>
              </w:rPr>
            </w:pPr>
            <w:r>
              <w:rPr>
                <w:rFonts w:ascii="Cambria" w:eastAsia="Calibri" w:hAnsi="Cambria" w:cs="Calibri"/>
              </w:rPr>
              <w:t xml:space="preserve">6. </w:t>
            </w:r>
            <w:proofErr w:type="spellStart"/>
            <w:r w:rsidR="003F7F9A" w:rsidRPr="00DF4CE5">
              <w:rPr>
                <w:rFonts w:ascii="Cambria" w:eastAsia="Calibri" w:hAnsi="Cambria" w:cs="Calibri"/>
              </w:rPr>
              <w:t>Kreativ</w:t>
            </w:r>
            <w:proofErr w:type="spellEnd"/>
            <w:r w:rsidR="003F7F9A" w:rsidRPr="00DF4CE5">
              <w:rPr>
                <w:rFonts w:ascii="Cambria" w:eastAsia="Calibri" w:hAnsi="Cambria" w:cs="Calibri"/>
              </w:rPr>
              <w:t xml:space="preserve"> und </w:t>
            </w:r>
            <w:proofErr w:type="spellStart"/>
            <w:r w:rsidR="003F7F9A" w:rsidRPr="00DF4CE5">
              <w:rPr>
                <w:rFonts w:ascii="Cambria" w:eastAsia="Calibri" w:hAnsi="Cambria" w:cs="Calibri"/>
              </w:rPr>
              <w:t>innovativ</w:t>
            </w:r>
            <w:proofErr w:type="spellEnd"/>
            <w:r w:rsidR="003F7F9A" w:rsidRPr="00DF4CE5">
              <w:rPr>
                <w:rFonts w:ascii="Cambria" w:eastAsia="Calibri" w:hAnsi="Cambria" w:cs="Calibri"/>
              </w:rPr>
              <w:t xml:space="preserve"> in der </w:t>
            </w:r>
            <w:proofErr w:type="spellStart"/>
            <w:r w:rsidR="003F7F9A" w:rsidRPr="00DF4CE5">
              <w:rPr>
                <w:rFonts w:ascii="Cambria" w:eastAsia="Calibri" w:hAnsi="Cambria" w:cs="Calibri"/>
              </w:rPr>
              <w:t>Primarschule</w:t>
            </w:r>
            <w:proofErr w:type="spellEnd"/>
          </w:p>
        </w:tc>
      </w:tr>
      <w:tr w:rsidR="006E59DC" w:rsidRPr="00DF4CE5" w14:paraId="30FC3482" w14:textId="77777777" w:rsidTr="006E59DC">
        <w:tc>
          <w:tcPr>
            <w:tcW w:w="2800"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hideMark/>
          </w:tcPr>
          <w:p w14:paraId="4F3C9FB6" w14:textId="77777777" w:rsidR="006E59DC" w:rsidRPr="00F942C2" w:rsidRDefault="006E59DC" w:rsidP="003F7F9A">
            <w:pPr>
              <w:spacing w:after="0" w:line="240" w:lineRule="auto"/>
              <w:rPr>
                <w:rFonts w:ascii="Cambria" w:eastAsia="Times New Roman" w:hAnsi="Cambria" w:cs="Calibri"/>
                <w:lang w:val="it-IT"/>
              </w:rPr>
            </w:pPr>
            <w:proofErr w:type="spellStart"/>
            <w:r w:rsidRPr="00F942C2">
              <w:rPr>
                <w:rFonts w:ascii="Cambria" w:eastAsia="Times New Roman" w:hAnsi="Cambria" w:cs="Calibri"/>
                <w:lang w:val="it-IT"/>
              </w:rPr>
              <w:t>Planirane</w:t>
            </w:r>
            <w:proofErr w:type="spellEnd"/>
            <w:r w:rsidRPr="00F942C2">
              <w:rPr>
                <w:rFonts w:ascii="Cambria" w:eastAsia="Times New Roman" w:hAnsi="Cambria" w:cs="Calibri"/>
                <w:lang w:val="it-IT"/>
              </w:rPr>
              <w:t xml:space="preserve"> </w:t>
            </w:r>
            <w:proofErr w:type="spellStart"/>
            <w:r w:rsidRPr="00F942C2">
              <w:rPr>
                <w:rFonts w:ascii="Cambria" w:eastAsia="Times New Roman" w:hAnsi="Cambria" w:cs="Calibri"/>
                <w:lang w:val="it-IT"/>
              </w:rPr>
              <w:t>aktivnosti</w:t>
            </w:r>
            <w:proofErr w:type="spellEnd"/>
            <w:r w:rsidRPr="00DF4CE5">
              <w:rPr>
                <w:rFonts w:ascii="Cambria" w:eastAsia="Times New Roman" w:hAnsi="Cambria" w:cs="Calibri"/>
                <w:lang w:val="it-IT"/>
              </w:rPr>
              <w:t>,</w:t>
            </w:r>
          </w:p>
          <w:p w14:paraId="63C7E8E0" w14:textId="77777777" w:rsidR="006E59DC" w:rsidRPr="00DF4CE5" w:rsidRDefault="006E59DC" w:rsidP="003F7F9A">
            <w:pPr>
              <w:spacing w:after="0" w:line="240" w:lineRule="auto"/>
              <w:rPr>
                <w:rFonts w:ascii="Cambria" w:eastAsia="Times New Roman" w:hAnsi="Cambria" w:cs="Calibri"/>
                <w:lang w:val="it-IT"/>
              </w:rPr>
            </w:pPr>
            <w:proofErr w:type="spellStart"/>
            <w:r w:rsidRPr="00DF4CE5">
              <w:rPr>
                <w:rFonts w:ascii="Cambria" w:eastAsia="Times New Roman" w:hAnsi="Cambria" w:cs="Calibri"/>
                <w:lang w:val="it-IT"/>
              </w:rPr>
              <w:t>metode</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učenja</w:t>
            </w:r>
            <w:proofErr w:type="spellEnd"/>
            <w:r w:rsidRPr="00DF4CE5">
              <w:rPr>
                <w:rFonts w:ascii="Cambria" w:eastAsia="Times New Roman" w:hAnsi="Cambria" w:cs="Calibri"/>
                <w:lang w:val="it-IT"/>
              </w:rPr>
              <w:t xml:space="preserve"> i </w:t>
            </w:r>
            <w:proofErr w:type="spellStart"/>
            <w:r w:rsidRPr="00DF4CE5">
              <w:rPr>
                <w:rFonts w:ascii="Cambria" w:eastAsia="Times New Roman" w:hAnsi="Cambria" w:cs="Calibri"/>
                <w:lang w:val="it-IT"/>
              </w:rPr>
              <w:t>poučavanja</w:t>
            </w:r>
            <w:proofErr w:type="spellEnd"/>
            <w:r w:rsidRPr="00DF4CE5">
              <w:rPr>
                <w:rFonts w:ascii="Cambria" w:eastAsia="Times New Roman" w:hAnsi="Cambria" w:cs="Calibri"/>
                <w:lang w:val="it-IT"/>
              </w:rPr>
              <w:t xml:space="preserve"> i </w:t>
            </w:r>
            <w:proofErr w:type="spellStart"/>
            <w:r w:rsidRPr="00DF4CE5">
              <w:rPr>
                <w:rFonts w:ascii="Cambria" w:eastAsia="Times New Roman" w:hAnsi="Cambria" w:cs="Calibri"/>
                <w:lang w:val="it-IT"/>
              </w:rPr>
              <w:t>načini</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vrednovanja</w:t>
            </w:r>
            <w:proofErr w:type="spellEnd"/>
          </w:p>
          <w:p w14:paraId="073DB876" w14:textId="77777777" w:rsidR="006E59DC" w:rsidRPr="00DF4CE5" w:rsidRDefault="006E59DC" w:rsidP="003F7F9A">
            <w:pPr>
              <w:spacing w:after="0" w:line="240" w:lineRule="auto"/>
              <w:rPr>
                <w:rFonts w:ascii="Cambria" w:eastAsia="Times New Roman" w:hAnsi="Cambria" w:cs="Calibri"/>
                <w:lang w:val="it-IT"/>
              </w:rPr>
            </w:pPr>
          </w:p>
        </w:tc>
        <w:tc>
          <w:tcPr>
            <w:tcW w:w="2764"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5DA4D99" w14:textId="77777777" w:rsidR="006E59DC" w:rsidRPr="00DF4CE5" w:rsidRDefault="006E59DC" w:rsidP="003F7F9A">
            <w:pPr>
              <w:spacing w:after="0" w:line="240" w:lineRule="auto"/>
              <w:rPr>
                <w:rFonts w:ascii="Cambria" w:eastAsia="Times New Roman" w:hAnsi="Cambria" w:cs="Calibri"/>
                <w:bCs/>
                <w:lang w:val="it-IT"/>
              </w:rPr>
            </w:pPr>
          </w:p>
          <w:p w14:paraId="02DFD268" w14:textId="77777777" w:rsidR="006E59DC" w:rsidRPr="00DF4CE5" w:rsidRDefault="006E59DC" w:rsidP="003F7F9A">
            <w:pPr>
              <w:spacing w:after="0" w:line="240" w:lineRule="auto"/>
              <w:rPr>
                <w:rFonts w:ascii="Cambria" w:eastAsia="Times New Roman" w:hAnsi="Cambria" w:cs="Calibri"/>
              </w:rPr>
            </w:pPr>
            <w:proofErr w:type="spellStart"/>
            <w:r w:rsidRPr="00DF4CE5">
              <w:rPr>
                <w:rFonts w:ascii="Cambria" w:eastAsia="Times New Roman" w:hAnsi="Cambria" w:cs="Calibri"/>
                <w:bCs/>
              </w:rPr>
              <w:t>Obveze</w:t>
            </w:r>
            <w:proofErr w:type="spellEnd"/>
          </w:p>
          <w:p w14:paraId="5F97A1DE" w14:textId="77777777" w:rsidR="006E59DC" w:rsidRPr="00DF4CE5" w:rsidRDefault="006E59DC" w:rsidP="003F7F9A">
            <w:pPr>
              <w:spacing w:after="0" w:line="240" w:lineRule="auto"/>
              <w:rPr>
                <w:rFonts w:ascii="Cambria" w:eastAsia="Times New Roman" w:hAnsi="Cambria" w:cs="Calibri"/>
              </w:rPr>
            </w:pPr>
          </w:p>
        </w:tc>
        <w:tc>
          <w:tcPr>
            <w:tcW w:w="11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729A36E" w14:textId="77777777" w:rsidR="006E59DC" w:rsidRPr="00DF4CE5" w:rsidRDefault="006E59DC" w:rsidP="003F7F9A">
            <w:pPr>
              <w:spacing w:after="0" w:line="240" w:lineRule="auto"/>
              <w:rPr>
                <w:rFonts w:ascii="Cambria" w:eastAsia="Times New Roman" w:hAnsi="Cambria" w:cs="Calibri"/>
                <w:bCs/>
              </w:rPr>
            </w:pPr>
          </w:p>
          <w:p w14:paraId="736FA560" w14:textId="77777777" w:rsidR="006E59DC" w:rsidRPr="00DF4CE5" w:rsidRDefault="006E59DC" w:rsidP="003F7F9A">
            <w:pPr>
              <w:spacing w:after="0" w:line="240" w:lineRule="auto"/>
              <w:rPr>
                <w:rFonts w:ascii="Cambria" w:eastAsia="Times New Roman" w:hAnsi="Cambria" w:cs="Calibri"/>
              </w:rPr>
            </w:pPr>
            <w:proofErr w:type="spellStart"/>
            <w:r w:rsidRPr="00DF4CE5">
              <w:rPr>
                <w:rFonts w:ascii="Cambria" w:eastAsia="Times New Roman" w:hAnsi="Cambria" w:cs="Calibri"/>
                <w:bCs/>
              </w:rPr>
              <w:t>Ishodi</w:t>
            </w:r>
            <w:proofErr w:type="spellEnd"/>
          </w:p>
          <w:p w14:paraId="1D283BBA" w14:textId="77777777" w:rsidR="006E59DC" w:rsidRPr="00DF4CE5" w:rsidRDefault="006E59DC" w:rsidP="003F7F9A">
            <w:pPr>
              <w:spacing w:after="0" w:line="240" w:lineRule="auto"/>
              <w:rPr>
                <w:rFonts w:ascii="Cambria" w:eastAsia="Times New Roman" w:hAnsi="Cambria" w:cs="Calibri"/>
              </w:rPr>
            </w:pPr>
          </w:p>
        </w:tc>
        <w:tc>
          <w:tcPr>
            <w:tcW w:w="77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B881F1F" w14:textId="77777777" w:rsidR="006E59DC" w:rsidRPr="00DF4CE5" w:rsidRDefault="006E59DC" w:rsidP="003F7F9A">
            <w:pPr>
              <w:spacing w:after="0" w:line="240" w:lineRule="auto"/>
              <w:rPr>
                <w:rFonts w:ascii="Cambria" w:eastAsia="Times New Roman" w:hAnsi="Cambria" w:cs="Calibri"/>
              </w:rPr>
            </w:pPr>
            <w:r w:rsidRPr="00DF4CE5">
              <w:rPr>
                <w:rFonts w:ascii="Cambria" w:eastAsia="Times New Roman" w:hAnsi="Cambria" w:cs="Calibri"/>
                <w:bCs/>
              </w:rPr>
              <w:t>Sati</w:t>
            </w:r>
          </w:p>
        </w:tc>
        <w:tc>
          <w:tcPr>
            <w:tcW w:w="108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01EA5DB" w14:textId="77777777" w:rsidR="006E59DC" w:rsidRPr="00DF4CE5" w:rsidRDefault="006E59DC" w:rsidP="003F7F9A">
            <w:pPr>
              <w:spacing w:after="0" w:line="240" w:lineRule="auto"/>
              <w:rPr>
                <w:rFonts w:ascii="Cambria" w:eastAsia="Times New Roman" w:hAnsi="Cambria" w:cs="Calibri"/>
              </w:rPr>
            </w:pPr>
            <w:proofErr w:type="spellStart"/>
            <w:r w:rsidRPr="00DF4CE5">
              <w:rPr>
                <w:rFonts w:ascii="Cambria" w:eastAsia="Times New Roman" w:hAnsi="Cambria" w:cs="Calibri"/>
                <w:bCs/>
              </w:rPr>
              <w:t>Udio</w:t>
            </w:r>
            <w:proofErr w:type="spellEnd"/>
            <w:r w:rsidRPr="00DF4CE5">
              <w:rPr>
                <w:rFonts w:ascii="Cambria" w:eastAsia="Times New Roman" w:hAnsi="Cambria" w:cs="Calibri"/>
                <w:bCs/>
              </w:rPr>
              <w:t xml:space="preserve"> u ECTS</w:t>
            </w:r>
          </w:p>
        </w:tc>
        <w:tc>
          <w:tcPr>
            <w:tcW w:w="141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2CD81DF" w14:textId="77777777" w:rsidR="006E59DC" w:rsidRPr="00DF4CE5" w:rsidRDefault="006E59DC" w:rsidP="003F7F9A">
            <w:pPr>
              <w:spacing w:after="0" w:line="240" w:lineRule="auto"/>
              <w:rPr>
                <w:rFonts w:ascii="Cambria" w:eastAsia="Times New Roman" w:hAnsi="Cambria" w:cs="Calibri"/>
              </w:rPr>
            </w:pPr>
            <w:proofErr w:type="spellStart"/>
            <w:r w:rsidRPr="00DF4CE5">
              <w:rPr>
                <w:rFonts w:ascii="Cambria" w:eastAsia="Times New Roman" w:hAnsi="Cambria" w:cs="Calibri"/>
                <w:bCs/>
              </w:rPr>
              <w:t>Maksimalni</w:t>
            </w:r>
            <w:proofErr w:type="spellEnd"/>
            <w:r w:rsidRPr="00DF4CE5">
              <w:rPr>
                <w:rFonts w:ascii="Cambria" w:eastAsia="Times New Roman" w:hAnsi="Cambria" w:cs="Calibri"/>
                <w:bCs/>
              </w:rPr>
              <w:t xml:space="preserve"> </w:t>
            </w:r>
            <w:proofErr w:type="spellStart"/>
            <w:r w:rsidRPr="00DF4CE5">
              <w:rPr>
                <w:rFonts w:ascii="Cambria" w:eastAsia="Times New Roman" w:hAnsi="Cambria" w:cs="Calibri"/>
                <w:bCs/>
              </w:rPr>
              <w:t>udio</w:t>
            </w:r>
            <w:proofErr w:type="spellEnd"/>
            <w:r w:rsidRPr="00DF4CE5">
              <w:rPr>
                <w:rFonts w:ascii="Cambria" w:eastAsia="Times New Roman" w:hAnsi="Cambria" w:cs="Calibri"/>
                <w:bCs/>
              </w:rPr>
              <w:t xml:space="preserve"> u </w:t>
            </w:r>
            <w:proofErr w:type="spellStart"/>
            <w:r w:rsidRPr="00DF4CE5">
              <w:rPr>
                <w:rFonts w:ascii="Cambria" w:eastAsia="Times New Roman" w:hAnsi="Cambria" w:cs="Calibri"/>
                <w:bCs/>
              </w:rPr>
              <w:t>ocjeni</w:t>
            </w:r>
            <w:proofErr w:type="spellEnd"/>
            <w:r w:rsidRPr="00DF4CE5">
              <w:rPr>
                <w:rFonts w:ascii="Cambria" w:eastAsia="Times New Roman" w:hAnsi="Cambria" w:cs="Calibri"/>
                <w:bCs/>
              </w:rPr>
              <w:t xml:space="preserve"> (%)</w:t>
            </w:r>
          </w:p>
        </w:tc>
      </w:tr>
      <w:tr w:rsidR="006E59DC" w:rsidRPr="00DF4CE5" w14:paraId="06506C25" w14:textId="77777777" w:rsidTr="006E59DC">
        <w:tc>
          <w:tcPr>
            <w:tcW w:w="2800" w:type="dxa"/>
            <w:vMerge/>
            <w:tcBorders>
              <w:left w:val="single" w:sz="8" w:space="0" w:color="000000"/>
              <w:right w:val="single" w:sz="8" w:space="0" w:color="000000"/>
            </w:tcBorders>
            <w:vAlign w:val="center"/>
            <w:hideMark/>
          </w:tcPr>
          <w:p w14:paraId="567739AA" w14:textId="77777777" w:rsidR="006E59DC" w:rsidRPr="00DF4CE5" w:rsidRDefault="006E59DC" w:rsidP="003F7F9A">
            <w:pPr>
              <w:spacing w:after="0" w:line="240" w:lineRule="auto"/>
              <w:rPr>
                <w:rFonts w:ascii="Cambria" w:eastAsia="Times New Roman" w:hAnsi="Cambria" w:cs="Calibri"/>
              </w:rPr>
            </w:pPr>
          </w:p>
        </w:tc>
        <w:tc>
          <w:tcPr>
            <w:tcW w:w="2764"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6EC11D0" w14:textId="77777777" w:rsidR="006E59DC" w:rsidRPr="00DF4CE5" w:rsidRDefault="006E59DC" w:rsidP="003F7F9A">
            <w:pPr>
              <w:spacing w:after="0" w:line="240" w:lineRule="auto"/>
              <w:rPr>
                <w:rFonts w:ascii="Cambria" w:eastAsia="Times New Roman" w:hAnsi="Cambria" w:cs="Calibri"/>
                <w:lang w:val="it-IT"/>
              </w:rPr>
            </w:pPr>
            <w:proofErr w:type="spellStart"/>
            <w:r w:rsidRPr="00DF4CE5">
              <w:rPr>
                <w:rFonts w:ascii="Cambria" w:eastAsia="Times New Roman" w:hAnsi="Cambria" w:cs="Calibri"/>
                <w:lang w:val="it-IT"/>
              </w:rPr>
              <w:t>aktivnost</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na</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nastavi</w:t>
            </w:r>
            <w:proofErr w:type="spellEnd"/>
          </w:p>
        </w:tc>
        <w:tc>
          <w:tcPr>
            <w:tcW w:w="11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9743759" w14:textId="77777777" w:rsidR="006E59DC" w:rsidRPr="00DF4CE5" w:rsidRDefault="006E59DC" w:rsidP="003F7F9A">
            <w:pPr>
              <w:spacing w:after="0" w:line="240" w:lineRule="auto"/>
              <w:jc w:val="center"/>
              <w:rPr>
                <w:rFonts w:ascii="Cambria" w:eastAsia="Times New Roman" w:hAnsi="Cambria" w:cs="Calibri"/>
              </w:rPr>
            </w:pPr>
            <w:r w:rsidRPr="00DF4CE5">
              <w:rPr>
                <w:rFonts w:ascii="Cambria" w:eastAsia="Times New Roman" w:hAnsi="Cambria" w:cs="Calibri"/>
              </w:rPr>
              <w:t>1. – 6.</w:t>
            </w:r>
          </w:p>
        </w:tc>
        <w:tc>
          <w:tcPr>
            <w:tcW w:w="77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A7C228F" w14:textId="77777777" w:rsidR="006E59DC" w:rsidRPr="00DF4CE5" w:rsidRDefault="006E59DC" w:rsidP="003F7F9A">
            <w:pPr>
              <w:spacing w:after="0" w:line="240" w:lineRule="auto"/>
              <w:jc w:val="center"/>
              <w:rPr>
                <w:rFonts w:ascii="Cambria" w:eastAsia="Times New Roman" w:hAnsi="Cambria" w:cs="Calibri"/>
              </w:rPr>
            </w:pPr>
            <w:r w:rsidRPr="00DF4CE5">
              <w:rPr>
                <w:rFonts w:ascii="Cambria" w:eastAsia="Times New Roman" w:hAnsi="Cambria" w:cs="Calibri"/>
              </w:rPr>
              <w:t>45</w:t>
            </w:r>
          </w:p>
        </w:tc>
        <w:tc>
          <w:tcPr>
            <w:tcW w:w="108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7467788" w14:textId="77777777" w:rsidR="006E59DC" w:rsidRPr="00DF4CE5" w:rsidRDefault="006E59DC" w:rsidP="003F7F9A">
            <w:pPr>
              <w:spacing w:after="0" w:line="240" w:lineRule="auto"/>
              <w:jc w:val="center"/>
              <w:rPr>
                <w:rFonts w:ascii="Cambria" w:eastAsia="Times New Roman" w:hAnsi="Cambria" w:cs="Calibri"/>
              </w:rPr>
            </w:pPr>
            <w:r w:rsidRPr="00DF4CE5">
              <w:rPr>
                <w:rFonts w:ascii="Cambria" w:eastAsia="Times New Roman" w:hAnsi="Cambria" w:cs="Calibri"/>
              </w:rPr>
              <w:t>1,5</w:t>
            </w:r>
          </w:p>
        </w:tc>
        <w:tc>
          <w:tcPr>
            <w:tcW w:w="141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5645CFE" w14:textId="77777777" w:rsidR="006E59DC" w:rsidRPr="00DF4CE5" w:rsidRDefault="006E59DC" w:rsidP="003F7F9A">
            <w:pPr>
              <w:spacing w:after="0" w:line="240" w:lineRule="auto"/>
              <w:jc w:val="center"/>
              <w:rPr>
                <w:rFonts w:ascii="Cambria" w:eastAsia="Times New Roman" w:hAnsi="Cambria" w:cs="Calibri"/>
              </w:rPr>
            </w:pPr>
            <w:r w:rsidRPr="00DF4CE5">
              <w:rPr>
                <w:rFonts w:ascii="Cambria" w:eastAsia="Times New Roman" w:hAnsi="Cambria" w:cs="Calibri"/>
              </w:rPr>
              <w:t>10%</w:t>
            </w:r>
          </w:p>
        </w:tc>
      </w:tr>
      <w:tr w:rsidR="006E59DC" w:rsidRPr="00DF4CE5" w14:paraId="109AC82E" w14:textId="77777777" w:rsidTr="006E59DC">
        <w:tc>
          <w:tcPr>
            <w:tcW w:w="2800" w:type="dxa"/>
            <w:vMerge/>
            <w:tcBorders>
              <w:left w:val="single" w:sz="8" w:space="0" w:color="000000"/>
              <w:right w:val="single" w:sz="8" w:space="0" w:color="000000"/>
            </w:tcBorders>
            <w:vAlign w:val="center"/>
          </w:tcPr>
          <w:p w14:paraId="5651822F" w14:textId="77777777" w:rsidR="006E59DC" w:rsidRPr="00DF4CE5" w:rsidRDefault="006E59DC" w:rsidP="003F7F9A">
            <w:pPr>
              <w:spacing w:after="0" w:line="240" w:lineRule="auto"/>
              <w:rPr>
                <w:rFonts w:ascii="Cambria" w:eastAsia="Times New Roman" w:hAnsi="Cambria" w:cs="Calibri"/>
              </w:rPr>
            </w:pPr>
          </w:p>
        </w:tc>
        <w:tc>
          <w:tcPr>
            <w:tcW w:w="2764"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FFC2E80" w14:textId="77777777" w:rsidR="006E59DC" w:rsidRPr="00DF4CE5" w:rsidRDefault="006E59DC" w:rsidP="003F7F9A">
            <w:pPr>
              <w:spacing w:after="0" w:line="240" w:lineRule="auto"/>
              <w:rPr>
                <w:rFonts w:ascii="Cambria" w:eastAsia="Times New Roman" w:hAnsi="Cambria" w:cs="Calibri"/>
              </w:rPr>
            </w:pPr>
            <w:proofErr w:type="spellStart"/>
            <w:r w:rsidRPr="00DF4CE5">
              <w:rPr>
                <w:rFonts w:ascii="Cambria" w:eastAsia="Times New Roman" w:hAnsi="Cambria" w:cs="Calibri"/>
              </w:rPr>
              <w:t>prezentacije</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na</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zadanu</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temu</w:t>
            </w:r>
            <w:proofErr w:type="spellEnd"/>
          </w:p>
        </w:tc>
        <w:tc>
          <w:tcPr>
            <w:tcW w:w="11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890ADC7" w14:textId="77777777" w:rsidR="006E59DC" w:rsidRPr="00DF4CE5" w:rsidRDefault="006E59DC" w:rsidP="003F7F9A">
            <w:pPr>
              <w:spacing w:after="0" w:line="240" w:lineRule="auto"/>
              <w:jc w:val="center"/>
              <w:rPr>
                <w:rFonts w:ascii="Cambria" w:eastAsia="Times New Roman" w:hAnsi="Cambria" w:cs="Calibri"/>
              </w:rPr>
            </w:pPr>
            <w:r w:rsidRPr="00DF4CE5">
              <w:rPr>
                <w:rFonts w:ascii="Cambria" w:eastAsia="Times New Roman" w:hAnsi="Cambria" w:cs="Calibri"/>
              </w:rPr>
              <w:t>1. – 6.</w:t>
            </w:r>
          </w:p>
        </w:tc>
        <w:tc>
          <w:tcPr>
            <w:tcW w:w="77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1679DDC" w14:textId="77777777" w:rsidR="006E59DC" w:rsidRPr="00DF4CE5" w:rsidRDefault="006E59DC" w:rsidP="003F7F9A">
            <w:pPr>
              <w:spacing w:after="0" w:line="240" w:lineRule="auto"/>
              <w:jc w:val="center"/>
              <w:rPr>
                <w:rFonts w:ascii="Cambria" w:eastAsia="Times New Roman" w:hAnsi="Cambria" w:cs="Calibri"/>
              </w:rPr>
            </w:pPr>
            <w:r w:rsidRPr="00DF4CE5">
              <w:rPr>
                <w:rFonts w:ascii="Cambria" w:eastAsia="Times New Roman" w:hAnsi="Cambria" w:cs="Calibri"/>
              </w:rPr>
              <w:t>15</w:t>
            </w:r>
          </w:p>
        </w:tc>
        <w:tc>
          <w:tcPr>
            <w:tcW w:w="108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F1FD059" w14:textId="77777777" w:rsidR="006E59DC" w:rsidRPr="00DF4CE5" w:rsidRDefault="006E59DC" w:rsidP="003F7F9A">
            <w:pPr>
              <w:spacing w:after="0" w:line="240" w:lineRule="auto"/>
              <w:jc w:val="center"/>
              <w:rPr>
                <w:rFonts w:ascii="Cambria" w:eastAsia="Times New Roman" w:hAnsi="Cambria" w:cs="Calibri"/>
              </w:rPr>
            </w:pPr>
            <w:r w:rsidRPr="00DF4CE5">
              <w:rPr>
                <w:rFonts w:ascii="Cambria" w:eastAsia="Times New Roman" w:hAnsi="Cambria" w:cs="Calibri"/>
              </w:rPr>
              <w:t>0,5</w:t>
            </w:r>
          </w:p>
        </w:tc>
        <w:tc>
          <w:tcPr>
            <w:tcW w:w="141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288AE7D" w14:textId="77777777" w:rsidR="006E59DC" w:rsidRPr="00DF4CE5" w:rsidRDefault="006E59DC" w:rsidP="003F7F9A">
            <w:pPr>
              <w:spacing w:after="0" w:line="240" w:lineRule="auto"/>
              <w:jc w:val="center"/>
              <w:rPr>
                <w:rFonts w:ascii="Cambria" w:eastAsia="Times New Roman" w:hAnsi="Cambria" w:cs="Calibri"/>
              </w:rPr>
            </w:pPr>
            <w:r w:rsidRPr="00DF4CE5">
              <w:rPr>
                <w:rFonts w:ascii="Cambria" w:eastAsia="Times New Roman" w:hAnsi="Cambria" w:cs="Calibri"/>
              </w:rPr>
              <w:t>5%</w:t>
            </w:r>
          </w:p>
        </w:tc>
      </w:tr>
      <w:tr w:rsidR="006E59DC" w:rsidRPr="00DF4CE5" w14:paraId="55DBC7AE" w14:textId="77777777" w:rsidTr="006E59DC">
        <w:tc>
          <w:tcPr>
            <w:tcW w:w="2800" w:type="dxa"/>
            <w:vMerge/>
            <w:tcBorders>
              <w:left w:val="single" w:sz="8" w:space="0" w:color="000000"/>
              <w:right w:val="single" w:sz="8" w:space="0" w:color="000000"/>
            </w:tcBorders>
            <w:vAlign w:val="center"/>
          </w:tcPr>
          <w:p w14:paraId="1CFE4D3A" w14:textId="77777777" w:rsidR="006E59DC" w:rsidRPr="00DF4CE5" w:rsidRDefault="006E59DC" w:rsidP="003F7F9A">
            <w:pPr>
              <w:spacing w:after="0" w:line="240" w:lineRule="auto"/>
              <w:rPr>
                <w:rFonts w:ascii="Cambria" w:eastAsia="Times New Roman" w:hAnsi="Cambria" w:cs="Calibri"/>
              </w:rPr>
            </w:pPr>
          </w:p>
        </w:tc>
        <w:tc>
          <w:tcPr>
            <w:tcW w:w="2764"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2E56C9B" w14:textId="2766070C" w:rsidR="006E59DC" w:rsidRPr="00DF4CE5" w:rsidRDefault="006E59DC" w:rsidP="003F7F9A">
            <w:pPr>
              <w:spacing w:after="0" w:line="240" w:lineRule="auto"/>
              <w:rPr>
                <w:rFonts w:ascii="Cambria" w:eastAsia="Times New Roman" w:hAnsi="Cambria" w:cs="Calibri"/>
              </w:rPr>
            </w:pPr>
            <w:proofErr w:type="spellStart"/>
            <w:r>
              <w:rPr>
                <w:rFonts w:ascii="Cambria" w:eastAsia="Times New Roman" w:hAnsi="Cambria" w:cs="Calibri"/>
              </w:rPr>
              <w:t>e</w:t>
            </w:r>
            <w:r w:rsidRPr="00DF4CE5">
              <w:rPr>
                <w:rFonts w:ascii="Cambria" w:eastAsia="Times New Roman" w:hAnsi="Cambria" w:cs="Calibri"/>
              </w:rPr>
              <w:t>sej</w:t>
            </w:r>
            <w:proofErr w:type="spellEnd"/>
          </w:p>
        </w:tc>
        <w:tc>
          <w:tcPr>
            <w:tcW w:w="11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6845B8A" w14:textId="77777777" w:rsidR="006E59DC" w:rsidRPr="00DF4CE5" w:rsidRDefault="006E59DC" w:rsidP="003F7F9A">
            <w:pPr>
              <w:spacing w:after="0" w:line="240" w:lineRule="auto"/>
              <w:jc w:val="center"/>
              <w:rPr>
                <w:rFonts w:ascii="Cambria" w:eastAsia="Times New Roman" w:hAnsi="Cambria" w:cs="Calibri"/>
              </w:rPr>
            </w:pPr>
            <w:r w:rsidRPr="00DF4CE5">
              <w:rPr>
                <w:rFonts w:ascii="Cambria" w:eastAsia="Times New Roman" w:hAnsi="Cambria" w:cs="Calibri"/>
              </w:rPr>
              <w:t xml:space="preserve">1. - 6. </w:t>
            </w:r>
          </w:p>
        </w:tc>
        <w:tc>
          <w:tcPr>
            <w:tcW w:w="77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EB87FD1" w14:textId="77777777" w:rsidR="006E59DC" w:rsidRPr="00DF4CE5" w:rsidRDefault="006E59DC" w:rsidP="003F7F9A">
            <w:pPr>
              <w:spacing w:after="0" w:line="240" w:lineRule="auto"/>
              <w:jc w:val="center"/>
              <w:rPr>
                <w:rFonts w:ascii="Cambria" w:eastAsia="Times New Roman" w:hAnsi="Cambria" w:cs="Calibri"/>
              </w:rPr>
            </w:pPr>
            <w:r w:rsidRPr="00DF4CE5">
              <w:rPr>
                <w:rFonts w:ascii="Cambria" w:eastAsia="Times New Roman" w:hAnsi="Cambria" w:cs="Calibri"/>
              </w:rPr>
              <w:t>15</w:t>
            </w:r>
          </w:p>
        </w:tc>
        <w:tc>
          <w:tcPr>
            <w:tcW w:w="108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70C6817" w14:textId="77777777" w:rsidR="006E59DC" w:rsidRPr="00DF4CE5" w:rsidRDefault="006E59DC" w:rsidP="003F7F9A">
            <w:pPr>
              <w:spacing w:after="0" w:line="240" w:lineRule="auto"/>
              <w:jc w:val="center"/>
              <w:rPr>
                <w:rFonts w:ascii="Cambria" w:eastAsia="Times New Roman" w:hAnsi="Cambria" w:cs="Calibri"/>
              </w:rPr>
            </w:pPr>
            <w:r w:rsidRPr="00DF4CE5">
              <w:rPr>
                <w:rFonts w:ascii="Cambria" w:eastAsia="Times New Roman" w:hAnsi="Cambria" w:cs="Calibri"/>
              </w:rPr>
              <w:t>0,5</w:t>
            </w:r>
          </w:p>
        </w:tc>
        <w:tc>
          <w:tcPr>
            <w:tcW w:w="141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2021B3C" w14:textId="77777777" w:rsidR="006E59DC" w:rsidRPr="00DF4CE5" w:rsidRDefault="006E59DC" w:rsidP="003F7F9A">
            <w:pPr>
              <w:spacing w:after="0" w:line="240" w:lineRule="auto"/>
              <w:jc w:val="center"/>
              <w:rPr>
                <w:rFonts w:ascii="Cambria" w:eastAsia="Times New Roman" w:hAnsi="Cambria" w:cs="Calibri"/>
              </w:rPr>
            </w:pPr>
            <w:r w:rsidRPr="00DF4CE5">
              <w:rPr>
                <w:rFonts w:ascii="Cambria" w:eastAsia="Times New Roman" w:hAnsi="Cambria" w:cs="Calibri"/>
              </w:rPr>
              <w:t>5%</w:t>
            </w:r>
          </w:p>
        </w:tc>
      </w:tr>
      <w:tr w:rsidR="006E59DC" w:rsidRPr="00DF4CE5" w14:paraId="75269779" w14:textId="77777777" w:rsidTr="006E59DC">
        <w:tc>
          <w:tcPr>
            <w:tcW w:w="2800" w:type="dxa"/>
            <w:vMerge/>
            <w:tcBorders>
              <w:left w:val="single" w:sz="8" w:space="0" w:color="000000"/>
              <w:right w:val="single" w:sz="8" w:space="0" w:color="000000"/>
            </w:tcBorders>
            <w:vAlign w:val="center"/>
          </w:tcPr>
          <w:p w14:paraId="6B8833DA" w14:textId="77777777" w:rsidR="006E59DC" w:rsidRPr="00DF4CE5" w:rsidRDefault="006E59DC" w:rsidP="003F7F9A">
            <w:pPr>
              <w:spacing w:after="0" w:line="240" w:lineRule="auto"/>
              <w:rPr>
                <w:rFonts w:ascii="Cambria" w:eastAsia="Times New Roman" w:hAnsi="Cambria" w:cs="Calibri"/>
              </w:rPr>
            </w:pPr>
          </w:p>
        </w:tc>
        <w:tc>
          <w:tcPr>
            <w:tcW w:w="2764"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33A23A3" w14:textId="77777777" w:rsidR="006E59DC" w:rsidRPr="00DF4CE5" w:rsidRDefault="006E59DC" w:rsidP="003F7F9A">
            <w:pPr>
              <w:spacing w:after="0" w:line="240" w:lineRule="auto"/>
              <w:rPr>
                <w:rFonts w:ascii="Cambria" w:eastAsia="Times New Roman" w:hAnsi="Cambria" w:cs="Calibri"/>
              </w:rPr>
            </w:pPr>
            <w:proofErr w:type="spellStart"/>
            <w:r w:rsidRPr="00DF4CE5">
              <w:rPr>
                <w:rFonts w:ascii="Cambria" w:eastAsia="Times New Roman" w:hAnsi="Cambria" w:cs="Calibri"/>
              </w:rPr>
              <w:t>vježbe</w:t>
            </w:r>
            <w:proofErr w:type="spellEnd"/>
            <w:r w:rsidRPr="00DF4CE5">
              <w:rPr>
                <w:rFonts w:ascii="Cambria" w:eastAsia="Times New Roman" w:hAnsi="Cambria" w:cs="Calibri"/>
              </w:rPr>
              <w:t>/</w:t>
            </w:r>
            <w:proofErr w:type="spellStart"/>
            <w:r w:rsidRPr="00DF4CE5">
              <w:rPr>
                <w:rFonts w:ascii="Cambria" w:eastAsia="Times New Roman" w:hAnsi="Cambria" w:cs="Calibri"/>
              </w:rPr>
              <w:t>kolokvij</w:t>
            </w:r>
            <w:proofErr w:type="spellEnd"/>
          </w:p>
        </w:tc>
        <w:tc>
          <w:tcPr>
            <w:tcW w:w="11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875FE5A" w14:textId="77777777" w:rsidR="006E59DC" w:rsidRPr="00DF4CE5" w:rsidRDefault="006E59DC" w:rsidP="003F7F9A">
            <w:pPr>
              <w:spacing w:after="0" w:line="240" w:lineRule="auto"/>
              <w:jc w:val="center"/>
              <w:rPr>
                <w:rFonts w:ascii="Cambria" w:eastAsia="Times New Roman" w:hAnsi="Cambria" w:cs="Calibri"/>
                <w:b/>
              </w:rPr>
            </w:pPr>
            <w:r w:rsidRPr="00DF4CE5">
              <w:rPr>
                <w:rFonts w:ascii="Cambria" w:eastAsia="Times New Roman" w:hAnsi="Cambria" w:cs="Calibri"/>
              </w:rPr>
              <w:t>1. – 6.</w:t>
            </w:r>
          </w:p>
        </w:tc>
        <w:tc>
          <w:tcPr>
            <w:tcW w:w="77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1ABB03D" w14:textId="77777777" w:rsidR="006E59DC" w:rsidRPr="00DF4CE5" w:rsidRDefault="006E59DC" w:rsidP="003F7F9A">
            <w:pPr>
              <w:spacing w:after="0" w:line="240" w:lineRule="auto"/>
              <w:jc w:val="center"/>
              <w:rPr>
                <w:rFonts w:ascii="Cambria" w:eastAsia="Times New Roman" w:hAnsi="Cambria" w:cs="Calibri"/>
              </w:rPr>
            </w:pPr>
            <w:r w:rsidRPr="00DF4CE5">
              <w:rPr>
                <w:rFonts w:ascii="Cambria" w:eastAsia="Times New Roman" w:hAnsi="Cambria" w:cs="Calibri"/>
              </w:rPr>
              <w:t>30</w:t>
            </w:r>
          </w:p>
        </w:tc>
        <w:tc>
          <w:tcPr>
            <w:tcW w:w="108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295036D" w14:textId="77777777" w:rsidR="006E59DC" w:rsidRPr="00DF4CE5" w:rsidRDefault="006E59DC" w:rsidP="003F7F9A">
            <w:pPr>
              <w:spacing w:after="0" w:line="240" w:lineRule="auto"/>
              <w:jc w:val="center"/>
              <w:rPr>
                <w:rFonts w:ascii="Cambria" w:eastAsia="Times New Roman" w:hAnsi="Cambria" w:cs="Calibri"/>
              </w:rPr>
            </w:pPr>
            <w:r w:rsidRPr="00DF4CE5">
              <w:rPr>
                <w:rFonts w:ascii="Cambria" w:eastAsia="Times New Roman" w:hAnsi="Cambria" w:cs="Calibri"/>
              </w:rPr>
              <w:t>1</w:t>
            </w:r>
          </w:p>
        </w:tc>
        <w:tc>
          <w:tcPr>
            <w:tcW w:w="141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9B162C3" w14:textId="77777777" w:rsidR="006E59DC" w:rsidRPr="00DF4CE5" w:rsidRDefault="006E59DC" w:rsidP="003F7F9A">
            <w:pPr>
              <w:spacing w:after="0" w:line="240" w:lineRule="auto"/>
              <w:jc w:val="center"/>
              <w:rPr>
                <w:rFonts w:ascii="Cambria" w:eastAsia="Times New Roman" w:hAnsi="Cambria" w:cs="Calibri"/>
              </w:rPr>
            </w:pPr>
            <w:r w:rsidRPr="00DF4CE5">
              <w:rPr>
                <w:rFonts w:ascii="Cambria" w:eastAsia="Times New Roman" w:hAnsi="Cambria" w:cs="Calibri"/>
              </w:rPr>
              <w:t>50%</w:t>
            </w:r>
          </w:p>
        </w:tc>
      </w:tr>
      <w:tr w:rsidR="006E59DC" w:rsidRPr="00DF4CE5" w14:paraId="68782358" w14:textId="77777777" w:rsidTr="006E59DC">
        <w:trPr>
          <w:trHeight w:val="168"/>
        </w:trPr>
        <w:tc>
          <w:tcPr>
            <w:tcW w:w="2800" w:type="dxa"/>
            <w:vMerge/>
            <w:tcBorders>
              <w:left w:val="single" w:sz="8" w:space="0" w:color="000000"/>
              <w:right w:val="single" w:sz="8" w:space="0" w:color="000000"/>
            </w:tcBorders>
            <w:vAlign w:val="center"/>
          </w:tcPr>
          <w:p w14:paraId="648DE57B" w14:textId="77777777" w:rsidR="006E59DC" w:rsidRPr="00DF4CE5" w:rsidRDefault="006E59DC" w:rsidP="003F7F9A">
            <w:pPr>
              <w:spacing w:after="0" w:line="240" w:lineRule="auto"/>
              <w:rPr>
                <w:rFonts w:ascii="Cambria" w:eastAsia="Times New Roman" w:hAnsi="Cambria" w:cs="Calibri"/>
              </w:rPr>
            </w:pPr>
          </w:p>
        </w:tc>
        <w:tc>
          <w:tcPr>
            <w:tcW w:w="2764"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2A98882" w14:textId="77777777" w:rsidR="006E59DC" w:rsidRPr="00DF4CE5" w:rsidRDefault="006E59DC" w:rsidP="003F7F9A">
            <w:pPr>
              <w:spacing w:after="0" w:line="240" w:lineRule="auto"/>
              <w:rPr>
                <w:rFonts w:ascii="Cambria" w:eastAsia="Times New Roman" w:hAnsi="Cambria" w:cs="Calibri"/>
              </w:rPr>
            </w:pPr>
            <w:proofErr w:type="spellStart"/>
            <w:r w:rsidRPr="00DF4CE5">
              <w:rPr>
                <w:rFonts w:ascii="Cambria" w:eastAsia="Times New Roman" w:hAnsi="Cambria" w:cs="Calibri"/>
              </w:rPr>
              <w:t>pismeni</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ispit</w:t>
            </w:r>
            <w:proofErr w:type="spellEnd"/>
            <w:r w:rsidRPr="00DF4CE5">
              <w:rPr>
                <w:rFonts w:ascii="Cambria" w:eastAsia="Times New Roman" w:hAnsi="Cambria" w:cs="Calibri"/>
              </w:rPr>
              <w:t xml:space="preserve"> / </w:t>
            </w:r>
            <w:proofErr w:type="spellStart"/>
            <w:r w:rsidRPr="00DF4CE5">
              <w:rPr>
                <w:rFonts w:ascii="Cambria" w:eastAsia="Times New Roman" w:hAnsi="Cambria" w:cs="Calibri"/>
              </w:rPr>
              <w:t>usmeni</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ispit</w:t>
            </w:r>
            <w:proofErr w:type="spellEnd"/>
          </w:p>
        </w:tc>
        <w:tc>
          <w:tcPr>
            <w:tcW w:w="11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CE6C17D" w14:textId="77777777" w:rsidR="006E59DC" w:rsidRPr="00DF4CE5" w:rsidRDefault="006E59DC" w:rsidP="003F7F9A">
            <w:pPr>
              <w:spacing w:after="0" w:line="240" w:lineRule="auto"/>
              <w:jc w:val="center"/>
              <w:rPr>
                <w:rFonts w:ascii="Cambria" w:eastAsia="Times New Roman" w:hAnsi="Cambria" w:cs="Calibri"/>
              </w:rPr>
            </w:pPr>
            <w:r w:rsidRPr="00DF4CE5">
              <w:rPr>
                <w:rFonts w:ascii="Cambria" w:eastAsia="Times New Roman" w:hAnsi="Cambria" w:cs="Calibri"/>
              </w:rPr>
              <w:t>1. – 6.</w:t>
            </w:r>
          </w:p>
        </w:tc>
        <w:tc>
          <w:tcPr>
            <w:tcW w:w="77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B999F38" w14:textId="77777777" w:rsidR="006E59DC" w:rsidRPr="00DF4CE5" w:rsidRDefault="006E59DC" w:rsidP="003F7F9A">
            <w:pPr>
              <w:spacing w:after="0" w:line="240" w:lineRule="auto"/>
              <w:jc w:val="center"/>
              <w:rPr>
                <w:rFonts w:ascii="Cambria" w:eastAsia="Times New Roman" w:hAnsi="Cambria" w:cs="Calibri"/>
              </w:rPr>
            </w:pPr>
            <w:r w:rsidRPr="00DF4CE5">
              <w:rPr>
                <w:rFonts w:ascii="Cambria" w:eastAsia="Times New Roman" w:hAnsi="Cambria" w:cs="Calibri"/>
              </w:rPr>
              <w:t>45</w:t>
            </w:r>
          </w:p>
        </w:tc>
        <w:tc>
          <w:tcPr>
            <w:tcW w:w="108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F7DF3C5" w14:textId="77777777" w:rsidR="006E59DC" w:rsidRPr="00DF4CE5" w:rsidRDefault="006E59DC" w:rsidP="003F7F9A">
            <w:pPr>
              <w:spacing w:after="0" w:line="240" w:lineRule="auto"/>
              <w:jc w:val="center"/>
              <w:rPr>
                <w:rFonts w:ascii="Cambria" w:eastAsia="Times New Roman" w:hAnsi="Cambria" w:cs="Calibri"/>
              </w:rPr>
            </w:pPr>
            <w:r w:rsidRPr="00DF4CE5">
              <w:rPr>
                <w:rFonts w:ascii="Cambria" w:eastAsia="Times New Roman" w:hAnsi="Cambria" w:cs="Calibri"/>
              </w:rPr>
              <w:t>1,5</w:t>
            </w:r>
          </w:p>
        </w:tc>
        <w:tc>
          <w:tcPr>
            <w:tcW w:w="141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DFDB0E5" w14:textId="77777777" w:rsidR="006E59DC" w:rsidRPr="00DF4CE5" w:rsidRDefault="006E59DC" w:rsidP="003F7F9A">
            <w:pPr>
              <w:spacing w:after="0" w:line="240" w:lineRule="auto"/>
              <w:jc w:val="center"/>
              <w:rPr>
                <w:rFonts w:ascii="Cambria" w:eastAsia="Times New Roman" w:hAnsi="Cambria" w:cs="Calibri"/>
              </w:rPr>
            </w:pPr>
            <w:r w:rsidRPr="00DF4CE5">
              <w:rPr>
                <w:rFonts w:ascii="Cambria" w:eastAsia="Times New Roman" w:hAnsi="Cambria" w:cs="Calibri"/>
              </w:rPr>
              <w:t>30%</w:t>
            </w:r>
          </w:p>
        </w:tc>
      </w:tr>
      <w:tr w:rsidR="006E59DC" w:rsidRPr="00DF4CE5" w14:paraId="3EAB7D2C" w14:textId="77777777" w:rsidTr="006E59DC">
        <w:tc>
          <w:tcPr>
            <w:tcW w:w="2800" w:type="dxa"/>
            <w:vMerge/>
            <w:tcBorders>
              <w:left w:val="single" w:sz="8" w:space="0" w:color="000000"/>
              <w:right w:val="single" w:sz="8" w:space="0" w:color="000000"/>
            </w:tcBorders>
            <w:vAlign w:val="center"/>
            <w:hideMark/>
          </w:tcPr>
          <w:p w14:paraId="63F0E539" w14:textId="77777777" w:rsidR="006E59DC" w:rsidRPr="00DF4CE5" w:rsidRDefault="006E59DC" w:rsidP="003F7F9A">
            <w:pPr>
              <w:spacing w:after="0" w:line="240" w:lineRule="auto"/>
              <w:rPr>
                <w:rFonts w:ascii="Cambria" w:eastAsia="Times New Roman" w:hAnsi="Cambria" w:cs="Calibri"/>
              </w:rPr>
            </w:pPr>
          </w:p>
        </w:tc>
        <w:tc>
          <w:tcPr>
            <w:tcW w:w="3940"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B969805" w14:textId="12C7F773" w:rsidR="006E59DC" w:rsidRPr="00DF4CE5" w:rsidRDefault="006E59DC" w:rsidP="003F7F9A">
            <w:pPr>
              <w:spacing w:after="0" w:line="240" w:lineRule="auto"/>
              <w:rPr>
                <w:rFonts w:ascii="Cambria" w:eastAsia="Times New Roman" w:hAnsi="Cambria" w:cs="Calibri"/>
              </w:rPr>
            </w:pPr>
            <w:proofErr w:type="spellStart"/>
            <w:r>
              <w:rPr>
                <w:rFonts w:ascii="Cambria" w:eastAsia="Times New Roman" w:hAnsi="Cambria" w:cs="Calibri"/>
              </w:rPr>
              <w:t>u</w:t>
            </w:r>
            <w:r w:rsidRPr="00DF4CE5">
              <w:rPr>
                <w:rFonts w:ascii="Cambria" w:eastAsia="Times New Roman" w:hAnsi="Cambria" w:cs="Calibri"/>
              </w:rPr>
              <w:t>kupno</w:t>
            </w:r>
            <w:proofErr w:type="spellEnd"/>
          </w:p>
        </w:tc>
        <w:tc>
          <w:tcPr>
            <w:tcW w:w="77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B52C943" w14:textId="77777777" w:rsidR="006E59DC" w:rsidRPr="00DF4CE5" w:rsidRDefault="006E59DC" w:rsidP="003F7F9A">
            <w:pPr>
              <w:spacing w:after="0" w:line="240" w:lineRule="auto"/>
              <w:jc w:val="center"/>
              <w:rPr>
                <w:rFonts w:ascii="Cambria" w:eastAsia="Times New Roman" w:hAnsi="Cambria" w:cs="Calibri"/>
              </w:rPr>
            </w:pPr>
            <w:r w:rsidRPr="00DF4CE5">
              <w:rPr>
                <w:rFonts w:ascii="Cambria" w:eastAsia="Times New Roman" w:hAnsi="Cambria" w:cs="Calibri"/>
              </w:rPr>
              <w:t>150</w:t>
            </w:r>
          </w:p>
        </w:tc>
        <w:tc>
          <w:tcPr>
            <w:tcW w:w="108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1FFFA30" w14:textId="77777777" w:rsidR="006E59DC" w:rsidRPr="00DF4CE5" w:rsidRDefault="006E59DC" w:rsidP="003F7F9A">
            <w:pPr>
              <w:spacing w:after="0" w:line="240" w:lineRule="auto"/>
              <w:jc w:val="center"/>
              <w:rPr>
                <w:rFonts w:ascii="Cambria" w:eastAsia="Times New Roman" w:hAnsi="Cambria" w:cs="Calibri"/>
              </w:rPr>
            </w:pPr>
            <w:r w:rsidRPr="00DF4CE5">
              <w:rPr>
                <w:rFonts w:ascii="Cambria" w:eastAsia="Times New Roman" w:hAnsi="Cambria" w:cs="Calibri"/>
              </w:rPr>
              <w:t>5</w:t>
            </w:r>
          </w:p>
        </w:tc>
        <w:tc>
          <w:tcPr>
            <w:tcW w:w="141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42DDE07" w14:textId="77777777" w:rsidR="006E59DC" w:rsidRPr="00DF4CE5" w:rsidRDefault="006E59DC" w:rsidP="003F7F9A">
            <w:pPr>
              <w:spacing w:after="0" w:line="240" w:lineRule="auto"/>
              <w:jc w:val="center"/>
              <w:rPr>
                <w:rFonts w:ascii="Cambria" w:eastAsia="Times New Roman" w:hAnsi="Cambria" w:cs="Calibri"/>
              </w:rPr>
            </w:pPr>
            <w:r w:rsidRPr="00DF4CE5">
              <w:rPr>
                <w:rFonts w:ascii="Cambria" w:eastAsia="Times New Roman" w:hAnsi="Cambria" w:cs="Calibri"/>
              </w:rPr>
              <w:t>100%</w:t>
            </w:r>
          </w:p>
        </w:tc>
      </w:tr>
      <w:tr w:rsidR="006E59DC" w:rsidRPr="00DF4CE5" w14:paraId="41BF5C91" w14:textId="77777777" w:rsidTr="006E59DC">
        <w:tc>
          <w:tcPr>
            <w:tcW w:w="2800" w:type="dxa"/>
            <w:vMerge/>
            <w:tcBorders>
              <w:left w:val="single" w:sz="8" w:space="0" w:color="000000"/>
              <w:right w:val="single" w:sz="8" w:space="0" w:color="000000"/>
            </w:tcBorders>
            <w:vAlign w:val="center"/>
          </w:tcPr>
          <w:p w14:paraId="2E3E5F75" w14:textId="77777777" w:rsidR="006E59DC" w:rsidRPr="00DF4CE5" w:rsidRDefault="006E59DC" w:rsidP="003F7F9A">
            <w:pPr>
              <w:spacing w:after="0" w:line="240" w:lineRule="auto"/>
              <w:rPr>
                <w:rFonts w:ascii="Cambria" w:eastAsia="Times New Roman" w:hAnsi="Cambria" w:cs="Calibri"/>
              </w:rPr>
            </w:pPr>
          </w:p>
        </w:tc>
        <w:tc>
          <w:tcPr>
            <w:tcW w:w="7220"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611C236" w14:textId="77777777" w:rsidR="006E59DC" w:rsidRPr="00DF4CE5" w:rsidRDefault="006E59DC" w:rsidP="006E59DC">
            <w:pPr>
              <w:spacing w:after="0" w:line="240" w:lineRule="auto"/>
              <w:jc w:val="both"/>
              <w:rPr>
                <w:rFonts w:ascii="Cambria" w:eastAsia="Times New Roman" w:hAnsi="Cambria" w:cs="Calibri"/>
              </w:rPr>
            </w:pPr>
            <w:proofErr w:type="spellStart"/>
            <w:r w:rsidRPr="00DF4CE5">
              <w:rPr>
                <w:rFonts w:ascii="Cambria" w:eastAsia="Times New Roman" w:hAnsi="Cambria" w:cs="Calibri"/>
              </w:rPr>
              <w:t>Dodatna</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pojašnjenja</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kriteriji</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ocjenjivanja</w:t>
            </w:r>
            <w:proofErr w:type="spellEnd"/>
            <w:r w:rsidRPr="00DF4CE5">
              <w:rPr>
                <w:rFonts w:ascii="Cambria" w:eastAsia="Times New Roman" w:hAnsi="Cambria" w:cs="Calibri"/>
              </w:rPr>
              <w:t>):</w:t>
            </w:r>
          </w:p>
          <w:p w14:paraId="33EA6206" w14:textId="0BD9371C" w:rsidR="006E59DC" w:rsidRPr="00DF4CE5" w:rsidRDefault="006E59DC" w:rsidP="006E59DC">
            <w:pPr>
              <w:spacing w:after="0" w:line="240" w:lineRule="auto"/>
              <w:rPr>
                <w:rFonts w:ascii="Cambria" w:eastAsia="Times New Roman" w:hAnsi="Cambria" w:cs="Calibri"/>
              </w:rPr>
            </w:pPr>
            <w:proofErr w:type="spellStart"/>
            <w:r w:rsidRPr="00DF4CE5">
              <w:rPr>
                <w:rFonts w:ascii="Cambria" w:eastAsia="Times New Roman" w:hAnsi="Cambria" w:cs="Calibri"/>
              </w:rPr>
              <w:t>Pohađanje</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nastave</w:t>
            </w:r>
            <w:proofErr w:type="spellEnd"/>
            <w:r w:rsidRPr="00DF4CE5">
              <w:rPr>
                <w:rFonts w:ascii="Cambria" w:eastAsia="Times New Roman" w:hAnsi="Cambria" w:cs="Calibri"/>
              </w:rPr>
              <w:t xml:space="preserve"> je </w:t>
            </w:r>
            <w:proofErr w:type="spellStart"/>
            <w:r w:rsidRPr="00DF4CE5">
              <w:rPr>
                <w:rFonts w:ascii="Cambria" w:eastAsia="Times New Roman" w:hAnsi="Cambria" w:cs="Calibri"/>
              </w:rPr>
              <w:t>obvezno</w:t>
            </w:r>
            <w:proofErr w:type="spellEnd"/>
            <w:r w:rsidRPr="00DF4CE5">
              <w:rPr>
                <w:rFonts w:ascii="Cambria" w:eastAsia="Times New Roman" w:hAnsi="Cambria" w:cs="Calibri"/>
              </w:rPr>
              <w:t xml:space="preserve">. U </w:t>
            </w:r>
            <w:proofErr w:type="spellStart"/>
            <w:r w:rsidRPr="00DF4CE5">
              <w:rPr>
                <w:rFonts w:ascii="Cambria" w:eastAsia="Times New Roman" w:hAnsi="Cambria" w:cs="Calibri"/>
              </w:rPr>
              <w:t>toku</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nastave</w:t>
            </w:r>
            <w:proofErr w:type="spellEnd"/>
            <w:r w:rsidRPr="00DF4CE5">
              <w:rPr>
                <w:rFonts w:ascii="Cambria" w:eastAsia="Times New Roman" w:hAnsi="Cambria" w:cs="Calibri"/>
              </w:rPr>
              <w:t xml:space="preserve"> student </w:t>
            </w:r>
            <w:proofErr w:type="spellStart"/>
            <w:r w:rsidRPr="00DF4CE5">
              <w:rPr>
                <w:rFonts w:ascii="Cambria" w:eastAsia="Times New Roman" w:hAnsi="Cambria" w:cs="Calibri"/>
              </w:rPr>
              <w:t>može</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steći</w:t>
            </w:r>
            <w:proofErr w:type="spellEnd"/>
            <w:r w:rsidRPr="00DF4CE5">
              <w:rPr>
                <w:rFonts w:ascii="Cambria" w:eastAsia="Times New Roman" w:hAnsi="Cambria" w:cs="Calibri"/>
              </w:rPr>
              <w:t xml:space="preserve"> do 70 % </w:t>
            </w:r>
            <w:proofErr w:type="spellStart"/>
            <w:r w:rsidRPr="00DF4CE5">
              <w:rPr>
                <w:rFonts w:ascii="Cambria" w:eastAsia="Times New Roman" w:hAnsi="Cambria" w:cs="Calibri"/>
              </w:rPr>
              <w:t>ocjene</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kroz</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pozitivno</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ocijenjene</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zadatke</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i</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aktivnosti</w:t>
            </w:r>
            <w:proofErr w:type="spellEnd"/>
            <w:r w:rsidRPr="00DF4CE5">
              <w:rPr>
                <w:rFonts w:ascii="Cambria" w:eastAsia="Times New Roman" w:hAnsi="Cambria" w:cs="Calibri"/>
              </w:rPr>
              <w:t>.</w:t>
            </w:r>
          </w:p>
        </w:tc>
      </w:tr>
      <w:tr w:rsidR="006E59DC" w:rsidRPr="00DF4CE5" w14:paraId="2E9207FA" w14:textId="77777777" w:rsidTr="006E59DC">
        <w:tc>
          <w:tcPr>
            <w:tcW w:w="28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6CD1D42" w14:textId="0A0A4249" w:rsidR="006E59DC" w:rsidRPr="00DF4CE5" w:rsidRDefault="006E59DC" w:rsidP="003F7F9A">
            <w:pPr>
              <w:spacing w:after="0" w:line="240" w:lineRule="auto"/>
              <w:rPr>
                <w:rFonts w:ascii="Cambria" w:eastAsia="Times New Roman" w:hAnsi="Cambria" w:cs="Calibri"/>
              </w:rPr>
            </w:pPr>
            <w:proofErr w:type="spellStart"/>
            <w:r w:rsidRPr="00DF4CE5">
              <w:rPr>
                <w:rFonts w:ascii="Cambria" w:eastAsia="Times New Roman" w:hAnsi="Cambria" w:cs="Calibri"/>
              </w:rPr>
              <w:t>Studentske</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obveze</w:t>
            </w:r>
            <w:proofErr w:type="spellEnd"/>
          </w:p>
        </w:tc>
        <w:tc>
          <w:tcPr>
            <w:tcW w:w="7220"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13A7C16" w14:textId="20C61583" w:rsidR="006E59DC" w:rsidRPr="00DF4CE5" w:rsidRDefault="006E59DC" w:rsidP="006E59DC">
            <w:pPr>
              <w:spacing w:after="0" w:line="240" w:lineRule="auto"/>
              <w:rPr>
                <w:rFonts w:ascii="Cambria" w:eastAsia="Times New Roman" w:hAnsi="Cambria" w:cs="Calibri"/>
                <w:lang w:val="it-IT"/>
              </w:rPr>
            </w:pPr>
            <w:r w:rsidRPr="00DF4CE5">
              <w:rPr>
                <w:rFonts w:ascii="Cambria" w:eastAsia="Times New Roman" w:hAnsi="Cambria" w:cs="Calibri"/>
                <w:lang w:val="it-IT"/>
              </w:rPr>
              <w:t xml:space="preserve">Da </w:t>
            </w:r>
            <w:proofErr w:type="spellStart"/>
            <w:r w:rsidRPr="00DF4CE5">
              <w:rPr>
                <w:rFonts w:ascii="Cambria" w:eastAsia="Times New Roman" w:hAnsi="Cambria" w:cs="Calibri"/>
                <w:lang w:val="it-IT"/>
              </w:rPr>
              <w:t>položi</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kolegij</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student</w:t>
            </w:r>
            <w:proofErr w:type="spellEnd"/>
            <w:r w:rsidRPr="00DF4CE5">
              <w:rPr>
                <w:rFonts w:ascii="Cambria" w:eastAsia="Times New Roman" w:hAnsi="Cambria" w:cs="Calibri"/>
                <w:lang w:val="it-IT"/>
              </w:rPr>
              <w:t>/</w:t>
            </w:r>
            <w:proofErr w:type="spellStart"/>
            <w:r w:rsidRPr="00DF4CE5">
              <w:rPr>
                <w:rFonts w:ascii="Cambria" w:eastAsia="Times New Roman" w:hAnsi="Cambria" w:cs="Calibri"/>
                <w:lang w:val="it-IT"/>
              </w:rPr>
              <w:t>studentica</w:t>
            </w:r>
            <w:proofErr w:type="spellEnd"/>
            <w:r w:rsidRPr="00DF4CE5">
              <w:rPr>
                <w:rFonts w:ascii="Cambria" w:eastAsia="Times New Roman" w:hAnsi="Cambria" w:cs="Calibri"/>
                <w:lang w:val="it-IT"/>
              </w:rPr>
              <w:t xml:space="preserve"> mora</w:t>
            </w:r>
            <w:r>
              <w:rPr>
                <w:rFonts w:ascii="Cambria" w:eastAsia="Times New Roman" w:hAnsi="Cambria" w:cs="Calibri"/>
                <w:lang w:val="it-IT"/>
              </w:rPr>
              <w:t>:</w:t>
            </w:r>
          </w:p>
          <w:p w14:paraId="7792FE8E" w14:textId="77777777" w:rsidR="006E59DC" w:rsidRDefault="006E59DC" w:rsidP="006E59DC">
            <w:pPr>
              <w:spacing w:after="0" w:line="240" w:lineRule="auto"/>
              <w:contextualSpacing/>
              <w:rPr>
                <w:rFonts w:ascii="Cambria" w:eastAsia="Calibri" w:hAnsi="Cambria" w:cs="Calibri"/>
                <w:lang w:val="it-IT"/>
              </w:rPr>
            </w:pPr>
            <w:r>
              <w:rPr>
                <w:rFonts w:ascii="Cambria" w:eastAsia="Calibri" w:hAnsi="Cambria" w:cs="Calibri"/>
                <w:lang w:val="it-IT"/>
              </w:rPr>
              <w:t xml:space="preserve">1. </w:t>
            </w:r>
            <w:proofErr w:type="spellStart"/>
            <w:r>
              <w:rPr>
                <w:rFonts w:ascii="Cambria" w:eastAsia="Calibri" w:hAnsi="Cambria" w:cs="Calibri"/>
                <w:lang w:val="it-IT"/>
              </w:rPr>
              <w:t>p</w:t>
            </w:r>
            <w:r w:rsidRPr="00DF4CE5">
              <w:rPr>
                <w:rFonts w:ascii="Cambria" w:eastAsia="Calibri" w:hAnsi="Cambria" w:cs="Calibri"/>
                <w:lang w:val="it-IT"/>
              </w:rPr>
              <w:t>ohađati</w:t>
            </w:r>
            <w:proofErr w:type="spellEnd"/>
            <w:r w:rsidRPr="00DF4CE5">
              <w:rPr>
                <w:rFonts w:ascii="Cambria" w:eastAsia="Calibri" w:hAnsi="Cambria" w:cs="Calibri"/>
                <w:lang w:val="it-IT"/>
              </w:rPr>
              <w:t xml:space="preserve"> </w:t>
            </w:r>
            <w:proofErr w:type="spellStart"/>
            <w:r w:rsidRPr="00DF4CE5">
              <w:rPr>
                <w:rFonts w:ascii="Cambria" w:eastAsia="Calibri" w:hAnsi="Cambria" w:cs="Calibri"/>
                <w:lang w:val="it-IT"/>
              </w:rPr>
              <w:t>nastavu</w:t>
            </w:r>
            <w:proofErr w:type="spellEnd"/>
            <w:r w:rsidRPr="00DF4CE5">
              <w:rPr>
                <w:rFonts w:ascii="Cambria" w:eastAsia="Calibri" w:hAnsi="Cambria" w:cs="Calibri"/>
                <w:lang w:val="it-IT"/>
              </w:rPr>
              <w:t xml:space="preserve"> i </w:t>
            </w:r>
            <w:proofErr w:type="spellStart"/>
            <w:r w:rsidRPr="00DF4CE5">
              <w:rPr>
                <w:rFonts w:ascii="Cambria" w:eastAsia="Calibri" w:hAnsi="Cambria" w:cs="Calibri"/>
                <w:lang w:val="it-IT"/>
              </w:rPr>
              <w:t>aktivno</w:t>
            </w:r>
            <w:proofErr w:type="spellEnd"/>
            <w:r w:rsidRPr="00DF4CE5">
              <w:rPr>
                <w:rFonts w:ascii="Cambria" w:eastAsia="Calibri" w:hAnsi="Cambria" w:cs="Calibri"/>
                <w:lang w:val="it-IT"/>
              </w:rPr>
              <w:t xml:space="preserve"> </w:t>
            </w:r>
            <w:proofErr w:type="spellStart"/>
            <w:r w:rsidRPr="00DF4CE5">
              <w:rPr>
                <w:rFonts w:ascii="Cambria" w:eastAsia="Calibri" w:hAnsi="Cambria" w:cs="Calibri"/>
                <w:lang w:val="it-IT"/>
              </w:rPr>
              <w:t>sudjelovati</w:t>
            </w:r>
            <w:proofErr w:type="spellEnd"/>
            <w:r w:rsidRPr="00DF4CE5">
              <w:rPr>
                <w:rFonts w:ascii="Cambria" w:eastAsia="Calibri" w:hAnsi="Cambria" w:cs="Calibri"/>
                <w:lang w:val="it-IT"/>
              </w:rPr>
              <w:t xml:space="preserve"> u </w:t>
            </w:r>
            <w:proofErr w:type="spellStart"/>
            <w:r w:rsidRPr="00DF4CE5">
              <w:rPr>
                <w:rFonts w:ascii="Cambria" w:eastAsia="Calibri" w:hAnsi="Cambria" w:cs="Calibri"/>
                <w:lang w:val="it-IT"/>
              </w:rPr>
              <w:t>svim</w:t>
            </w:r>
            <w:proofErr w:type="spellEnd"/>
            <w:r w:rsidRPr="00DF4CE5">
              <w:rPr>
                <w:rFonts w:ascii="Cambria" w:eastAsia="Calibri" w:hAnsi="Cambria" w:cs="Calibri"/>
                <w:lang w:val="it-IT"/>
              </w:rPr>
              <w:t xml:space="preserve"> </w:t>
            </w:r>
            <w:proofErr w:type="spellStart"/>
            <w:r w:rsidRPr="00DF4CE5">
              <w:rPr>
                <w:rFonts w:ascii="Cambria" w:eastAsia="Calibri" w:hAnsi="Cambria" w:cs="Calibri"/>
                <w:lang w:val="it-IT"/>
              </w:rPr>
              <w:t>nastavnim</w:t>
            </w:r>
            <w:proofErr w:type="spellEnd"/>
            <w:r w:rsidRPr="00DF4CE5">
              <w:rPr>
                <w:rFonts w:ascii="Cambria" w:eastAsia="Calibri" w:hAnsi="Cambria" w:cs="Calibri"/>
                <w:lang w:val="it-IT"/>
              </w:rPr>
              <w:t xml:space="preserve"> </w:t>
            </w:r>
            <w:proofErr w:type="spellStart"/>
            <w:r w:rsidRPr="00DF4CE5">
              <w:rPr>
                <w:rFonts w:ascii="Cambria" w:eastAsia="Calibri" w:hAnsi="Cambria" w:cs="Calibri"/>
                <w:lang w:val="it-IT"/>
              </w:rPr>
              <w:t>aktivnostima</w:t>
            </w:r>
            <w:proofErr w:type="spellEnd"/>
            <w:r w:rsidRPr="00DF4CE5">
              <w:rPr>
                <w:rFonts w:ascii="Cambria" w:eastAsia="Calibri" w:hAnsi="Cambria" w:cs="Calibri"/>
                <w:lang w:val="it-IT"/>
              </w:rPr>
              <w:t xml:space="preserve">, </w:t>
            </w:r>
            <w:proofErr w:type="spellStart"/>
            <w:r w:rsidRPr="00DF4CE5">
              <w:rPr>
                <w:rFonts w:ascii="Cambria" w:eastAsia="Calibri" w:hAnsi="Cambria" w:cs="Calibri"/>
                <w:lang w:val="it-IT"/>
              </w:rPr>
              <w:t>pripremati</w:t>
            </w:r>
            <w:proofErr w:type="spellEnd"/>
            <w:r w:rsidRPr="00DF4CE5">
              <w:rPr>
                <w:rFonts w:ascii="Cambria" w:eastAsia="Calibri" w:hAnsi="Cambria" w:cs="Calibri"/>
                <w:lang w:val="it-IT"/>
              </w:rPr>
              <w:t xml:space="preserve"> se za </w:t>
            </w:r>
            <w:proofErr w:type="spellStart"/>
            <w:r w:rsidRPr="00DF4CE5">
              <w:rPr>
                <w:rFonts w:ascii="Cambria" w:eastAsia="Calibri" w:hAnsi="Cambria" w:cs="Calibri"/>
                <w:lang w:val="it-IT"/>
              </w:rPr>
              <w:t>nastavu</w:t>
            </w:r>
            <w:proofErr w:type="spellEnd"/>
            <w:r w:rsidRPr="00DF4CE5">
              <w:rPr>
                <w:rFonts w:ascii="Cambria" w:eastAsia="Calibri" w:hAnsi="Cambria" w:cs="Calibri"/>
                <w:lang w:val="it-IT"/>
              </w:rPr>
              <w:t xml:space="preserve"> </w:t>
            </w:r>
            <w:proofErr w:type="spellStart"/>
            <w:r w:rsidRPr="00DF4CE5">
              <w:rPr>
                <w:rFonts w:ascii="Cambria" w:eastAsia="Calibri" w:hAnsi="Cambria" w:cs="Calibri"/>
                <w:lang w:val="it-IT"/>
              </w:rPr>
              <w:t>svakog</w:t>
            </w:r>
            <w:proofErr w:type="spellEnd"/>
            <w:r w:rsidRPr="00DF4CE5">
              <w:rPr>
                <w:rFonts w:ascii="Cambria" w:eastAsia="Calibri" w:hAnsi="Cambria" w:cs="Calibri"/>
                <w:lang w:val="it-IT"/>
              </w:rPr>
              <w:t xml:space="preserve"> </w:t>
            </w:r>
            <w:proofErr w:type="spellStart"/>
            <w:r w:rsidRPr="00DF4CE5">
              <w:rPr>
                <w:rFonts w:ascii="Cambria" w:eastAsia="Calibri" w:hAnsi="Cambria" w:cs="Calibri"/>
                <w:lang w:val="it-IT"/>
              </w:rPr>
              <w:t>tjedna</w:t>
            </w:r>
            <w:proofErr w:type="spellEnd"/>
          </w:p>
          <w:p w14:paraId="3F72595E" w14:textId="7098D6E8" w:rsidR="006E59DC" w:rsidRPr="00DF4CE5" w:rsidRDefault="006E59DC" w:rsidP="006E59DC">
            <w:pPr>
              <w:spacing w:after="0" w:line="240" w:lineRule="auto"/>
              <w:contextualSpacing/>
              <w:rPr>
                <w:rFonts w:ascii="Cambria" w:eastAsia="Calibri" w:hAnsi="Cambria" w:cs="Calibri"/>
                <w:lang w:val="it-IT"/>
              </w:rPr>
            </w:pPr>
            <w:r>
              <w:rPr>
                <w:rFonts w:ascii="Cambria" w:eastAsia="Calibri" w:hAnsi="Cambria" w:cs="Calibri"/>
                <w:lang w:val="it-IT"/>
              </w:rPr>
              <w:t xml:space="preserve">2. </w:t>
            </w:r>
            <w:proofErr w:type="spellStart"/>
            <w:r>
              <w:rPr>
                <w:rFonts w:ascii="Cambria" w:eastAsia="Calibri" w:hAnsi="Cambria" w:cs="Calibri"/>
                <w:lang w:val="it-IT"/>
              </w:rPr>
              <w:t>r</w:t>
            </w:r>
            <w:r w:rsidRPr="00DF4CE5">
              <w:rPr>
                <w:rFonts w:ascii="Cambria" w:eastAsia="Calibri" w:hAnsi="Cambria" w:cs="Calibri"/>
                <w:lang w:val="it-IT"/>
              </w:rPr>
              <w:t>edovito</w:t>
            </w:r>
            <w:proofErr w:type="spellEnd"/>
            <w:r w:rsidRPr="00DF4CE5">
              <w:rPr>
                <w:rFonts w:ascii="Cambria" w:eastAsia="Calibri" w:hAnsi="Cambria" w:cs="Calibri"/>
                <w:lang w:val="it-IT"/>
              </w:rPr>
              <w:t xml:space="preserve"> </w:t>
            </w:r>
            <w:proofErr w:type="spellStart"/>
            <w:r w:rsidRPr="00DF4CE5">
              <w:rPr>
                <w:rFonts w:ascii="Cambria" w:eastAsia="Calibri" w:hAnsi="Cambria" w:cs="Calibri"/>
                <w:lang w:val="it-IT"/>
              </w:rPr>
              <w:t>izrađivati</w:t>
            </w:r>
            <w:proofErr w:type="spellEnd"/>
            <w:r w:rsidRPr="00DF4CE5">
              <w:rPr>
                <w:rFonts w:ascii="Cambria" w:eastAsia="Calibri" w:hAnsi="Cambria" w:cs="Calibri"/>
                <w:lang w:val="it-IT"/>
              </w:rPr>
              <w:t xml:space="preserve"> </w:t>
            </w:r>
            <w:proofErr w:type="spellStart"/>
            <w:r w:rsidRPr="00DF4CE5">
              <w:rPr>
                <w:rFonts w:ascii="Cambria" w:eastAsia="Calibri" w:hAnsi="Cambria" w:cs="Calibri"/>
                <w:lang w:val="it-IT"/>
              </w:rPr>
              <w:t>zadaće</w:t>
            </w:r>
            <w:proofErr w:type="spellEnd"/>
            <w:r w:rsidRPr="00DF4CE5">
              <w:rPr>
                <w:rFonts w:ascii="Cambria" w:eastAsia="Calibri" w:hAnsi="Cambria" w:cs="Calibri"/>
                <w:lang w:val="it-IT"/>
              </w:rPr>
              <w:t xml:space="preserve">, </w:t>
            </w:r>
            <w:proofErr w:type="spellStart"/>
            <w:r w:rsidRPr="00DF4CE5">
              <w:rPr>
                <w:rFonts w:ascii="Cambria" w:eastAsia="Calibri" w:hAnsi="Cambria" w:cs="Calibri"/>
                <w:lang w:val="it-IT"/>
              </w:rPr>
              <w:t>napisati</w:t>
            </w:r>
            <w:proofErr w:type="spellEnd"/>
            <w:r w:rsidRPr="00DF4CE5">
              <w:rPr>
                <w:rFonts w:ascii="Cambria" w:eastAsia="Calibri" w:hAnsi="Cambria" w:cs="Calibri"/>
                <w:lang w:val="it-IT"/>
              </w:rPr>
              <w:t xml:space="preserve"> </w:t>
            </w:r>
            <w:proofErr w:type="spellStart"/>
            <w:r w:rsidRPr="00DF4CE5">
              <w:rPr>
                <w:rFonts w:ascii="Cambria" w:eastAsia="Calibri" w:hAnsi="Cambria" w:cs="Calibri"/>
                <w:lang w:val="it-IT"/>
              </w:rPr>
              <w:t>zadani</w:t>
            </w:r>
            <w:proofErr w:type="spellEnd"/>
            <w:r w:rsidRPr="00DF4CE5">
              <w:rPr>
                <w:rFonts w:ascii="Cambria" w:eastAsia="Calibri" w:hAnsi="Cambria" w:cs="Calibri"/>
                <w:lang w:val="it-IT"/>
              </w:rPr>
              <w:t xml:space="preserve"> </w:t>
            </w:r>
            <w:proofErr w:type="spellStart"/>
            <w:r w:rsidRPr="00DF4CE5">
              <w:rPr>
                <w:rFonts w:ascii="Cambria" w:eastAsia="Calibri" w:hAnsi="Cambria" w:cs="Calibri"/>
                <w:lang w:val="it-IT"/>
              </w:rPr>
              <w:t>esej</w:t>
            </w:r>
            <w:proofErr w:type="spellEnd"/>
            <w:r w:rsidRPr="00DF4CE5">
              <w:rPr>
                <w:rFonts w:ascii="Cambria" w:eastAsia="Calibri" w:hAnsi="Cambria" w:cs="Calibri"/>
                <w:lang w:val="it-IT"/>
              </w:rPr>
              <w:t xml:space="preserve">, </w:t>
            </w:r>
            <w:proofErr w:type="spellStart"/>
            <w:r w:rsidRPr="00DF4CE5">
              <w:rPr>
                <w:rFonts w:ascii="Cambria" w:eastAsia="Calibri" w:hAnsi="Cambria" w:cs="Calibri"/>
                <w:lang w:val="it-IT"/>
              </w:rPr>
              <w:t>izraditi</w:t>
            </w:r>
            <w:proofErr w:type="spellEnd"/>
            <w:r w:rsidRPr="00DF4CE5">
              <w:rPr>
                <w:rFonts w:ascii="Cambria" w:eastAsia="Calibri" w:hAnsi="Cambria" w:cs="Calibri"/>
                <w:lang w:val="it-IT"/>
              </w:rPr>
              <w:t xml:space="preserve"> </w:t>
            </w:r>
            <w:proofErr w:type="spellStart"/>
            <w:r w:rsidRPr="00DF4CE5">
              <w:rPr>
                <w:rFonts w:ascii="Cambria" w:eastAsia="Calibri" w:hAnsi="Cambria" w:cs="Calibri"/>
                <w:lang w:val="it-IT"/>
              </w:rPr>
              <w:t>prezentacije</w:t>
            </w:r>
            <w:proofErr w:type="spellEnd"/>
            <w:r w:rsidRPr="00DF4CE5">
              <w:rPr>
                <w:rFonts w:ascii="Cambria" w:eastAsia="Calibri" w:hAnsi="Cambria" w:cs="Calibri"/>
                <w:lang w:val="it-IT"/>
              </w:rPr>
              <w:t xml:space="preserve"> te </w:t>
            </w:r>
            <w:proofErr w:type="spellStart"/>
            <w:r w:rsidRPr="00DF4CE5">
              <w:rPr>
                <w:rFonts w:ascii="Cambria" w:eastAsia="Calibri" w:hAnsi="Cambria" w:cs="Calibri"/>
                <w:lang w:val="it-IT"/>
              </w:rPr>
              <w:t>voditi</w:t>
            </w:r>
            <w:proofErr w:type="spellEnd"/>
            <w:r w:rsidRPr="00DF4CE5">
              <w:rPr>
                <w:rFonts w:ascii="Cambria" w:eastAsia="Calibri" w:hAnsi="Cambria" w:cs="Calibri"/>
                <w:lang w:val="it-IT"/>
              </w:rPr>
              <w:t xml:space="preserve"> </w:t>
            </w:r>
            <w:proofErr w:type="spellStart"/>
            <w:r w:rsidRPr="00DF4CE5">
              <w:rPr>
                <w:rFonts w:ascii="Cambria" w:eastAsia="Calibri" w:hAnsi="Cambria" w:cs="Calibri"/>
                <w:lang w:val="it-IT"/>
              </w:rPr>
              <w:t>jezični</w:t>
            </w:r>
            <w:proofErr w:type="spellEnd"/>
            <w:r w:rsidRPr="00DF4CE5">
              <w:rPr>
                <w:rFonts w:ascii="Cambria" w:eastAsia="Calibri" w:hAnsi="Cambria" w:cs="Calibri"/>
                <w:lang w:val="it-IT"/>
              </w:rPr>
              <w:t xml:space="preserve"> portfolio.</w:t>
            </w:r>
          </w:p>
          <w:p w14:paraId="35E85F05" w14:textId="7A59E9DC" w:rsidR="006E59DC" w:rsidRPr="00DF4CE5" w:rsidRDefault="006E59DC" w:rsidP="006E59DC">
            <w:pPr>
              <w:spacing w:after="0" w:line="240" w:lineRule="auto"/>
              <w:jc w:val="both"/>
              <w:rPr>
                <w:rFonts w:ascii="Cambria" w:eastAsia="Times New Roman" w:hAnsi="Cambria" w:cs="Calibri"/>
              </w:rPr>
            </w:pPr>
            <w:r>
              <w:rPr>
                <w:rFonts w:ascii="Cambria" w:eastAsia="Times New Roman" w:hAnsi="Cambria" w:cs="Calibri"/>
                <w:lang w:val="it-IT"/>
              </w:rPr>
              <w:t>3. p</w:t>
            </w:r>
            <w:proofErr w:type="spellStart"/>
            <w:r w:rsidRPr="00DF4CE5">
              <w:rPr>
                <w:rFonts w:ascii="Cambria" w:eastAsia="Times New Roman" w:hAnsi="Cambria" w:cs="Calibri"/>
              </w:rPr>
              <w:t>oložiti</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završni</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ispit</w:t>
            </w:r>
            <w:proofErr w:type="spellEnd"/>
            <w:r w:rsidRPr="00DF4CE5">
              <w:rPr>
                <w:rFonts w:ascii="Cambria" w:eastAsia="Times New Roman" w:hAnsi="Cambria" w:cs="Calibri"/>
              </w:rPr>
              <w:t>.</w:t>
            </w:r>
          </w:p>
        </w:tc>
      </w:tr>
      <w:tr w:rsidR="003F7F9A" w:rsidRPr="00DF4CE5" w14:paraId="5DC34B04" w14:textId="77777777" w:rsidTr="006E59DC">
        <w:tc>
          <w:tcPr>
            <w:tcW w:w="28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AF33C38" w14:textId="77777777" w:rsidR="003F7F9A" w:rsidRPr="00DF4CE5" w:rsidRDefault="003F7F9A" w:rsidP="003F7F9A">
            <w:pPr>
              <w:spacing w:after="0" w:line="240" w:lineRule="auto"/>
              <w:rPr>
                <w:rFonts w:ascii="Cambria" w:eastAsia="Times New Roman" w:hAnsi="Cambria" w:cs="Calibri"/>
              </w:rPr>
            </w:pPr>
            <w:proofErr w:type="spellStart"/>
            <w:r w:rsidRPr="00DF4CE5">
              <w:rPr>
                <w:rFonts w:ascii="Cambria" w:eastAsia="Times New Roman" w:hAnsi="Cambria" w:cs="Calibri"/>
              </w:rPr>
              <w:t>Rokovi</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ispita</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i</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kolokvija</w:t>
            </w:r>
            <w:proofErr w:type="spellEnd"/>
          </w:p>
        </w:tc>
        <w:tc>
          <w:tcPr>
            <w:tcW w:w="7220"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05A2828" w14:textId="77777777" w:rsidR="003F7F9A" w:rsidRPr="00DF4CE5" w:rsidRDefault="003F7F9A" w:rsidP="003F7F9A">
            <w:pPr>
              <w:spacing w:after="0" w:line="240" w:lineRule="auto"/>
              <w:rPr>
                <w:rFonts w:ascii="Cambria" w:eastAsia="Times New Roman" w:hAnsi="Cambria" w:cs="Calibri"/>
              </w:rPr>
            </w:pPr>
            <w:r w:rsidRPr="00DF4CE5">
              <w:rPr>
                <w:rFonts w:ascii="Cambria" w:eastAsia="Times New Roman" w:hAnsi="Cambria" w:cs="Calibri"/>
              </w:rPr>
              <w:t xml:space="preserve">Daju se </w:t>
            </w:r>
            <w:proofErr w:type="spellStart"/>
            <w:r w:rsidRPr="00DF4CE5">
              <w:rPr>
                <w:rFonts w:ascii="Cambria" w:eastAsia="Times New Roman" w:hAnsi="Cambria" w:cs="Calibri"/>
              </w:rPr>
              <w:t>na</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početku</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akademske</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godine</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objavljuju</w:t>
            </w:r>
            <w:proofErr w:type="spellEnd"/>
            <w:r w:rsidRPr="00DF4CE5">
              <w:rPr>
                <w:rFonts w:ascii="Cambria" w:eastAsia="Times New Roman" w:hAnsi="Cambria" w:cs="Calibri"/>
              </w:rPr>
              <w:t xml:space="preserve"> se </w:t>
            </w:r>
            <w:proofErr w:type="spellStart"/>
            <w:r w:rsidRPr="00DF4CE5">
              <w:rPr>
                <w:rFonts w:ascii="Cambria" w:eastAsia="Times New Roman" w:hAnsi="Cambria" w:cs="Calibri"/>
              </w:rPr>
              <w:t>na</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mrežnim</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stranicama</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Sveučilišta</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i</w:t>
            </w:r>
            <w:proofErr w:type="spellEnd"/>
            <w:r w:rsidRPr="00DF4CE5">
              <w:rPr>
                <w:rFonts w:ascii="Cambria" w:eastAsia="Times New Roman" w:hAnsi="Cambria" w:cs="Calibri"/>
              </w:rPr>
              <w:t xml:space="preserve"> u ISVU. </w:t>
            </w:r>
          </w:p>
        </w:tc>
      </w:tr>
      <w:tr w:rsidR="003F7F9A" w:rsidRPr="00DF4CE5" w14:paraId="0AEC7119" w14:textId="77777777" w:rsidTr="006E59DC">
        <w:tc>
          <w:tcPr>
            <w:tcW w:w="28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821B30B" w14:textId="77777777" w:rsidR="003F7F9A" w:rsidRPr="00DF4CE5" w:rsidRDefault="003F7F9A" w:rsidP="003F7F9A">
            <w:pPr>
              <w:spacing w:after="0" w:line="240" w:lineRule="auto"/>
              <w:rPr>
                <w:rFonts w:ascii="Cambria" w:eastAsia="Times New Roman" w:hAnsi="Cambria" w:cs="Calibri"/>
                <w:lang w:val="it-IT"/>
              </w:rPr>
            </w:pPr>
            <w:r w:rsidRPr="00DF4CE5">
              <w:rPr>
                <w:rFonts w:ascii="Cambria" w:eastAsia="Times New Roman" w:hAnsi="Cambria" w:cs="Calibri"/>
                <w:lang w:val="it-IT"/>
              </w:rPr>
              <w:t xml:space="preserve">Ostale </w:t>
            </w:r>
            <w:proofErr w:type="spellStart"/>
            <w:r w:rsidRPr="00DF4CE5">
              <w:rPr>
                <w:rFonts w:ascii="Cambria" w:eastAsia="Times New Roman" w:hAnsi="Cambria" w:cs="Calibri"/>
                <w:lang w:val="it-IT"/>
              </w:rPr>
              <w:t>važne</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činjenice</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vezane</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uz</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kolegij</w:t>
            </w:r>
            <w:proofErr w:type="spellEnd"/>
          </w:p>
        </w:tc>
        <w:tc>
          <w:tcPr>
            <w:tcW w:w="7220"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FDE77A0" w14:textId="77777777" w:rsidR="003F7F9A" w:rsidRPr="00DF4CE5" w:rsidRDefault="003F7F9A" w:rsidP="003F7F9A">
            <w:pPr>
              <w:spacing w:after="0" w:line="240" w:lineRule="auto"/>
              <w:rPr>
                <w:rFonts w:ascii="Cambria" w:eastAsia="Times New Roman" w:hAnsi="Cambria" w:cs="Calibri"/>
                <w:lang w:val="it-IT"/>
              </w:rPr>
            </w:pPr>
            <w:proofErr w:type="spellStart"/>
            <w:r w:rsidRPr="00DF4CE5">
              <w:rPr>
                <w:rFonts w:ascii="Cambria" w:eastAsia="Times New Roman" w:hAnsi="Cambria" w:cs="Calibri"/>
                <w:lang w:val="it-IT"/>
              </w:rPr>
              <w:t>Pohađanje</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nastave</w:t>
            </w:r>
            <w:proofErr w:type="spellEnd"/>
            <w:r w:rsidRPr="00DF4CE5">
              <w:rPr>
                <w:rFonts w:ascii="Cambria" w:eastAsia="Times New Roman" w:hAnsi="Cambria" w:cs="Calibri"/>
                <w:lang w:val="it-IT"/>
              </w:rPr>
              <w:t xml:space="preserve"> je </w:t>
            </w:r>
            <w:proofErr w:type="spellStart"/>
            <w:r w:rsidRPr="00DF4CE5">
              <w:rPr>
                <w:rFonts w:ascii="Cambria" w:eastAsia="Times New Roman" w:hAnsi="Cambria" w:cs="Calibri"/>
                <w:lang w:val="it-IT"/>
              </w:rPr>
              <w:t>obvezno</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Praćenje</w:t>
            </w:r>
            <w:proofErr w:type="spellEnd"/>
            <w:r w:rsidRPr="00DF4CE5">
              <w:rPr>
                <w:rFonts w:ascii="Cambria" w:eastAsia="Times New Roman" w:hAnsi="Cambria" w:cs="Calibri"/>
                <w:lang w:val="it-IT"/>
              </w:rPr>
              <w:t xml:space="preserve"> i </w:t>
            </w:r>
            <w:proofErr w:type="spellStart"/>
            <w:r w:rsidRPr="00DF4CE5">
              <w:rPr>
                <w:rFonts w:ascii="Cambria" w:eastAsia="Times New Roman" w:hAnsi="Cambria" w:cs="Calibri"/>
                <w:lang w:val="it-IT"/>
              </w:rPr>
              <w:t>ocjenjivanje</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studenata</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izvodi</w:t>
            </w:r>
            <w:proofErr w:type="spellEnd"/>
            <w:r w:rsidRPr="00DF4CE5">
              <w:rPr>
                <w:rFonts w:ascii="Cambria" w:eastAsia="Times New Roman" w:hAnsi="Cambria" w:cs="Calibri"/>
                <w:lang w:val="it-IT"/>
              </w:rPr>
              <w:t xml:space="preserve"> se </w:t>
            </w:r>
            <w:proofErr w:type="spellStart"/>
            <w:r w:rsidRPr="00DF4CE5">
              <w:rPr>
                <w:rFonts w:ascii="Cambria" w:eastAsia="Times New Roman" w:hAnsi="Cambria" w:cs="Calibri"/>
                <w:lang w:val="it-IT"/>
              </w:rPr>
              <w:t>tijekom</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nastave</w:t>
            </w:r>
            <w:proofErr w:type="spellEnd"/>
            <w:r w:rsidRPr="00DF4CE5">
              <w:rPr>
                <w:rFonts w:ascii="Cambria" w:eastAsia="Times New Roman" w:hAnsi="Cambria" w:cs="Calibri"/>
                <w:lang w:val="it-IT"/>
              </w:rPr>
              <w:t xml:space="preserve"> i </w:t>
            </w:r>
            <w:proofErr w:type="spellStart"/>
            <w:r w:rsidRPr="00DF4CE5">
              <w:rPr>
                <w:rFonts w:ascii="Cambria" w:eastAsia="Times New Roman" w:hAnsi="Cambria" w:cs="Calibri"/>
                <w:lang w:val="it-IT"/>
              </w:rPr>
              <w:t>na</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završnom</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ispitu</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Tijekom</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nastave</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student</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ostvaruje</w:t>
            </w:r>
            <w:proofErr w:type="spellEnd"/>
            <w:r w:rsidRPr="00DF4CE5">
              <w:rPr>
                <w:rFonts w:ascii="Cambria" w:eastAsia="Times New Roman" w:hAnsi="Cambria" w:cs="Calibri"/>
                <w:lang w:val="it-IT"/>
              </w:rPr>
              <w:t xml:space="preserve"> 70% </w:t>
            </w:r>
            <w:proofErr w:type="spellStart"/>
            <w:r w:rsidRPr="00DF4CE5">
              <w:rPr>
                <w:rFonts w:ascii="Cambria" w:eastAsia="Times New Roman" w:hAnsi="Cambria" w:cs="Calibri"/>
                <w:lang w:val="it-IT"/>
              </w:rPr>
              <w:t>ocjene</w:t>
            </w:r>
            <w:proofErr w:type="spellEnd"/>
            <w:r w:rsidRPr="00DF4CE5">
              <w:rPr>
                <w:rFonts w:ascii="Cambria" w:eastAsia="Times New Roman" w:hAnsi="Cambria" w:cs="Calibri"/>
                <w:lang w:val="it-IT"/>
              </w:rPr>
              <w:t xml:space="preserve">, a </w:t>
            </w:r>
            <w:proofErr w:type="spellStart"/>
            <w:r w:rsidRPr="00DF4CE5">
              <w:rPr>
                <w:rFonts w:ascii="Cambria" w:eastAsia="Times New Roman" w:hAnsi="Cambria" w:cs="Calibri"/>
                <w:lang w:val="it-IT"/>
              </w:rPr>
              <w:t>na</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završnom</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ispitu</w:t>
            </w:r>
            <w:proofErr w:type="spellEnd"/>
            <w:r w:rsidRPr="00DF4CE5">
              <w:rPr>
                <w:rFonts w:ascii="Cambria" w:eastAsia="Times New Roman" w:hAnsi="Cambria" w:cs="Calibri"/>
                <w:lang w:val="it-IT"/>
              </w:rPr>
              <w:t xml:space="preserve"> 30% </w:t>
            </w:r>
            <w:proofErr w:type="spellStart"/>
            <w:r w:rsidRPr="00DF4CE5">
              <w:rPr>
                <w:rFonts w:ascii="Cambria" w:eastAsia="Times New Roman" w:hAnsi="Cambria" w:cs="Calibri"/>
                <w:lang w:val="it-IT"/>
              </w:rPr>
              <w:t>ocjene</w:t>
            </w:r>
            <w:proofErr w:type="spellEnd"/>
            <w:r w:rsidRPr="00DF4CE5">
              <w:rPr>
                <w:rFonts w:ascii="Cambria" w:eastAsia="Times New Roman" w:hAnsi="Cambria" w:cs="Calibri"/>
                <w:lang w:val="it-IT"/>
              </w:rPr>
              <w:t>.</w:t>
            </w:r>
          </w:p>
          <w:p w14:paraId="04A00BAC" w14:textId="77777777" w:rsidR="003F7F9A" w:rsidRPr="00DF4CE5" w:rsidRDefault="003F7F9A" w:rsidP="003F7F9A">
            <w:pPr>
              <w:spacing w:after="0" w:line="240" w:lineRule="auto"/>
              <w:rPr>
                <w:rFonts w:ascii="Cambria" w:eastAsia="Times New Roman" w:hAnsi="Cambria" w:cs="Calibri"/>
              </w:rPr>
            </w:pPr>
            <w:r w:rsidRPr="00DF4CE5">
              <w:rPr>
                <w:rFonts w:ascii="Cambria" w:eastAsia="Times New Roman" w:hAnsi="Cambria" w:cs="Calibri"/>
                <w:lang w:val="it-IT"/>
              </w:rPr>
              <w:t xml:space="preserve">U </w:t>
            </w:r>
            <w:proofErr w:type="spellStart"/>
            <w:r w:rsidRPr="00DF4CE5">
              <w:rPr>
                <w:rFonts w:ascii="Cambria" w:eastAsia="Times New Roman" w:hAnsi="Cambria" w:cs="Calibri"/>
                <w:lang w:val="it-IT"/>
              </w:rPr>
              <w:t>slučaju</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održavanja</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nastave</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na</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daljinu</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moguće</w:t>
            </w:r>
            <w:proofErr w:type="spellEnd"/>
            <w:r w:rsidRPr="00DF4CE5">
              <w:rPr>
                <w:rFonts w:ascii="Cambria" w:eastAsia="Times New Roman" w:hAnsi="Cambria" w:cs="Calibri"/>
                <w:lang w:val="it-IT"/>
              </w:rPr>
              <w:t xml:space="preserve"> je </w:t>
            </w:r>
            <w:proofErr w:type="spellStart"/>
            <w:r w:rsidRPr="00DF4CE5">
              <w:rPr>
                <w:rFonts w:ascii="Cambria" w:eastAsia="Times New Roman" w:hAnsi="Cambria" w:cs="Calibri"/>
                <w:lang w:val="it-IT"/>
              </w:rPr>
              <w:t>odstupanje</w:t>
            </w:r>
            <w:proofErr w:type="spellEnd"/>
            <w:r w:rsidRPr="00DF4CE5">
              <w:rPr>
                <w:rFonts w:ascii="Cambria" w:eastAsia="Times New Roman" w:hAnsi="Cambria" w:cs="Calibri"/>
                <w:lang w:val="it-IT"/>
              </w:rPr>
              <w:t xml:space="preserve"> u: </w:t>
            </w:r>
            <w:proofErr w:type="spellStart"/>
            <w:r w:rsidRPr="00DF4CE5">
              <w:rPr>
                <w:rFonts w:ascii="Cambria" w:eastAsia="Times New Roman" w:hAnsi="Cambria" w:cs="Calibri"/>
                <w:lang w:val="it-IT"/>
              </w:rPr>
              <w:t>mjestu</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izvođenja</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kolegija</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provedbi</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aktivnosti</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metoda</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tumačenja</w:t>
            </w:r>
            <w:proofErr w:type="spellEnd"/>
            <w:r w:rsidRPr="00DF4CE5">
              <w:rPr>
                <w:rFonts w:ascii="Cambria" w:eastAsia="Times New Roman" w:hAnsi="Cambria" w:cs="Calibri"/>
                <w:lang w:val="it-IT"/>
              </w:rPr>
              <w:t xml:space="preserve"> i </w:t>
            </w:r>
            <w:proofErr w:type="spellStart"/>
            <w:r w:rsidRPr="00DF4CE5">
              <w:rPr>
                <w:rFonts w:ascii="Cambria" w:eastAsia="Times New Roman" w:hAnsi="Cambria" w:cs="Calibri"/>
                <w:lang w:val="it-IT"/>
              </w:rPr>
              <w:t>poučavanja</w:t>
            </w:r>
            <w:proofErr w:type="spellEnd"/>
            <w:r w:rsidRPr="00DF4CE5">
              <w:rPr>
                <w:rFonts w:ascii="Cambria" w:eastAsia="Times New Roman" w:hAnsi="Cambria" w:cs="Calibri"/>
                <w:lang w:val="it-IT"/>
              </w:rPr>
              <w:t xml:space="preserve"> i </w:t>
            </w:r>
            <w:proofErr w:type="spellStart"/>
            <w:r w:rsidRPr="00DF4CE5">
              <w:rPr>
                <w:rFonts w:ascii="Cambria" w:eastAsia="Times New Roman" w:hAnsi="Cambria" w:cs="Calibri"/>
                <w:lang w:val="it-IT"/>
              </w:rPr>
              <w:t>načinima</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vrednovanja</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studentskim</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obvezama</w:t>
            </w:r>
            <w:proofErr w:type="spellEnd"/>
            <w:r w:rsidRPr="00DF4CE5">
              <w:rPr>
                <w:rFonts w:ascii="Cambria" w:eastAsia="Times New Roman" w:hAnsi="Cambria" w:cs="Calibri"/>
                <w:lang w:val="it-IT"/>
              </w:rPr>
              <w:t xml:space="preserve"> i </w:t>
            </w:r>
            <w:proofErr w:type="spellStart"/>
            <w:r w:rsidRPr="00DF4CE5">
              <w:rPr>
                <w:rFonts w:ascii="Cambria" w:eastAsia="Times New Roman" w:hAnsi="Cambria" w:cs="Calibri"/>
                <w:lang w:val="it-IT"/>
              </w:rPr>
              <w:t>dostupnoj</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literaturi</w:t>
            </w:r>
            <w:proofErr w:type="spellEnd"/>
            <w:r w:rsidRPr="00DF4CE5">
              <w:rPr>
                <w:rFonts w:ascii="Cambria" w:eastAsia="Times New Roman" w:hAnsi="Cambria" w:cs="Calibri"/>
                <w:lang w:val="it-IT"/>
              </w:rPr>
              <w:t xml:space="preserve">. O tome </w:t>
            </w:r>
            <w:proofErr w:type="spellStart"/>
            <w:r w:rsidRPr="00DF4CE5">
              <w:rPr>
                <w:rFonts w:ascii="Cambria" w:eastAsia="Times New Roman" w:hAnsi="Cambria" w:cs="Calibri"/>
                <w:lang w:val="it-IT"/>
              </w:rPr>
              <w:t>će</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nositeljica</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kolegija</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obavijestiti</w:t>
            </w:r>
            <w:proofErr w:type="spellEnd"/>
            <w:r w:rsidRPr="00DF4CE5">
              <w:rPr>
                <w:rFonts w:ascii="Cambria" w:eastAsia="Times New Roman" w:hAnsi="Cambria" w:cs="Calibri"/>
                <w:lang w:val="it-IT"/>
              </w:rPr>
              <w:t xml:space="preserve"> studente i </w:t>
            </w:r>
            <w:proofErr w:type="spellStart"/>
            <w:r w:rsidRPr="00DF4CE5">
              <w:rPr>
                <w:rFonts w:ascii="Cambria" w:eastAsia="Times New Roman" w:hAnsi="Cambria" w:cs="Calibri"/>
                <w:lang w:val="it-IT"/>
              </w:rPr>
              <w:t>studentice</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kad</w:t>
            </w:r>
            <w:proofErr w:type="spellEnd"/>
            <w:r w:rsidRPr="00DF4CE5">
              <w:rPr>
                <w:rFonts w:ascii="Cambria" w:eastAsia="Times New Roman" w:hAnsi="Cambria" w:cs="Calibri"/>
                <w:lang w:val="it-IT"/>
              </w:rPr>
              <w:t xml:space="preserve"> se </w:t>
            </w:r>
            <w:proofErr w:type="spellStart"/>
            <w:r w:rsidRPr="00DF4CE5">
              <w:rPr>
                <w:rFonts w:ascii="Cambria" w:eastAsia="Times New Roman" w:hAnsi="Cambria" w:cs="Calibri"/>
                <w:lang w:val="it-IT"/>
              </w:rPr>
              <w:t>nastava</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na</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daljinu</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počne</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održavati</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rPr>
              <w:t>Ishodi</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učenja</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ostaju</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nepromijenjeni</w:t>
            </w:r>
            <w:proofErr w:type="spellEnd"/>
            <w:r w:rsidRPr="00DF4CE5">
              <w:rPr>
                <w:rFonts w:ascii="Cambria" w:eastAsia="Times New Roman" w:hAnsi="Cambria" w:cs="Calibri"/>
              </w:rPr>
              <w:t>.</w:t>
            </w:r>
          </w:p>
        </w:tc>
      </w:tr>
      <w:tr w:rsidR="003F7F9A" w:rsidRPr="00DF4CE5" w14:paraId="3BEA2612" w14:textId="77777777" w:rsidTr="006E59DC">
        <w:trPr>
          <w:trHeight w:val="612"/>
        </w:trPr>
        <w:tc>
          <w:tcPr>
            <w:tcW w:w="28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BBB749F" w14:textId="77777777" w:rsidR="003F7F9A" w:rsidRPr="00DF4CE5" w:rsidRDefault="003F7F9A" w:rsidP="003F7F9A">
            <w:pPr>
              <w:spacing w:after="0" w:line="240" w:lineRule="auto"/>
              <w:rPr>
                <w:rFonts w:ascii="Cambria" w:eastAsia="Times New Roman" w:hAnsi="Cambria" w:cs="Calibri"/>
              </w:rPr>
            </w:pPr>
            <w:proofErr w:type="spellStart"/>
            <w:r w:rsidRPr="00DF4CE5">
              <w:rPr>
                <w:rFonts w:ascii="Cambria" w:eastAsia="Times New Roman" w:hAnsi="Cambria" w:cs="Calibri"/>
              </w:rPr>
              <w:t>Literatura</w:t>
            </w:r>
            <w:proofErr w:type="spellEnd"/>
          </w:p>
        </w:tc>
        <w:tc>
          <w:tcPr>
            <w:tcW w:w="7220"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5175B580" w14:textId="77777777" w:rsidR="003F7F9A" w:rsidRPr="00DF4CE5" w:rsidRDefault="003F7F9A" w:rsidP="003F7F9A">
            <w:pPr>
              <w:spacing w:after="0" w:line="240" w:lineRule="auto"/>
              <w:rPr>
                <w:rFonts w:ascii="Cambria" w:eastAsia="Times New Roman" w:hAnsi="Cambria" w:cs="Calibri"/>
              </w:rPr>
            </w:pPr>
            <w:proofErr w:type="spellStart"/>
            <w:r w:rsidRPr="00DF4CE5">
              <w:rPr>
                <w:rFonts w:ascii="Cambria" w:eastAsia="Times New Roman" w:hAnsi="Cambria" w:cs="Calibri"/>
              </w:rPr>
              <w:t>Obvezna</w:t>
            </w:r>
            <w:proofErr w:type="spellEnd"/>
            <w:r w:rsidRPr="00DF4CE5">
              <w:rPr>
                <w:rFonts w:ascii="Cambria" w:eastAsia="Times New Roman" w:hAnsi="Cambria" w:cs="Calibri"/>
              </w:rPr>
              <w:t xml:space="preserve">: </w:t>
            </w:r>
          </w:p>
          <w:p w14:paraId="2BC0E31E" w14:textId="1185F81B" w:rsidR="003F7F9A" w:rsidRPr="00DF4CE5" w:rsidRDefault="006E59DC" w:rsidP="006E59DC">
            <w:pPr>
              <w:spacing w:after="0" w:line="240" w:lineRule="auto"/>
              <w:contextualSpacing/>
              <w:rPr>
                <w:rFonts w:ascii="Cambria" w:eastAsia="Calibri" w:hAnsi="Cambria" w:cs="Calibri"/>
              </w:rPr>
            </w:pPr>
            <w:r>
              <w:rPr>
                <w:rFonts w:ascii="Cambria" w:eastAsia="Calibri" w:hAnsi="Cambria" w:cs="Calibri"/>
              </w:rPr>
              <w:t xml:space="preserve">1. </w:t>
            </w:r>
            <w:r w:rsidR="003F7F9A" w:rsidRPr="00DF4CE5">
              <w:rPr>
                <w:rFonts w:ascii="Cambria" w:eastAsia="Calibri" w:hAnsi="Cambria" w:cs="Calibri"/>
              </w:rPr>
              <w:t xml:space="preserve">Eine von der </w:t>
            </w:r>
            <w:proofErr w:type="spellStart"/>
            <w:r w:rsidR="003F7F9A" w:rsidRPr="00DF4CE5">
              <w:rPr>
                <w:rFonts w:ascii="Cambria" w:eastAsia="Calibri" w:hAnsi="Cambria" w:cs="Calibri"/>
              </w:rPr>
              <w:t>Lehrerin</w:t>
            </w:r>
            <w:proofErr w:type="spellEnd"/>
            <w:r w:rsidR="003F7F9A" w:rsidRPr="00DF4CE5">
              <w:rPr>
                <w:rFonts w:ascii="Cambria" w:eastAsia="Calibri" w:hAnsi="Cambria" w:cs="Calibri"/>
              </w:rPr>
              <w:t xml:space="preserve"> </w:t>
            </w:r>
            <w:proofErr w:type="spellStart"/>
            <w:r w:rsidR="003F7F9A" w:rsidRPr="00DF4CE5">
              <w:rPr>
                <w:rFonts w:ascii="Cambria" w:eastAsia="Calibri" w:hAnsi="Cambria" w:cs="Calibri"/>
              </w:rPr>
              <w:t>erstellte</w:t>
            </w:r>
            <w:proofErr w:type="spellEnd"/>
            <w:r w:rsidR="003F7F9A" w:rsidRPr="00DF4CE5">
              <w:rPr>
                <w:rFonts w:ascii="Cambria" w:eastAsia="Calibri" w:hAnsi="Cambria" w:cs="Calibri"/>
              </w:rPr>
              <w:t xml:space="preserve"> und </w:t>
            </w:r>
            <w:proofErr w:type="spellStart"/>
            <w:r w:rsidR="003F7F9A" w:rsidRPr="00DF4CE5">
              <w:rPr>
                <w:rFonts w:ascii="Cambria" w:eastAsia="Calibri" w:hAnsi="Cambria" w:cs="Calibri"/>
              </w:rPr>
              <w:t>laufend</w:t>
            </w:r>
            <w:proofErr w:type="spellEnd"/>
            <w:r w:rsidR="003F7F9A" w:rsidRPr="00DF4CE5">
              <w:rPr>
                <w:rFonts w:ascii="Cambria" w:eastAsia="Calibri" w:hAnsi="Cambria" w:cs="Calibri"/>
              </w:rPr>
              <w:t xml:space="preserve"> </w:t>
            </w:r>
            <w:proofErr w:type="spellStart"/>
            <w:r w:rsidR="003F7F9A" w:rsidRPr="00DF4CE5">
              <w:rPr>
                <w:rFonts w:ascii="Cambria" w:eastAsia="Calibri" w:hAnsi="Cambria" w:cs="Calibri"/>
              </w:rPr>
              <w:t>wechselnde</w:t>
            </w:r>
            <w:proofErr w:type="spellEnd"/>
            <w:r w:rsidR="003F7F9A" w:rsidRPr="00DF4CE5">
              <w:rPr>
                <w:rFonts w:ascii="Cambria" w:eastAsia="Calibri" w:hAnsi="Cambria" w:cs="Calibri"/>
              </w:rPr>
              <w:t xml:space="preserve"> / </w:t>
            </w:r>
            <w:proofErr w:type="spellStart"/>
            <w:r w:rsidR="003F7F9A" w:rsidRPr="00DF4CE5">
              <w:rPr>
                <w:rFonts w:ascii="Cambria" w:eastAsia="Calibri" w:hAnsi="Cambria" w:cs="Calibri"/>
              </w:rPr>
              <w:t>aktualisierte</w:t>
            </w:r>
            <w:proofErr w:type="spellEnd"/>
            <w:r w:rsidR="003F7F9A" w:rsidRPr="00DF4CE5">
              <w:rPr>
                <w:rFonts w:ascii="Cambria" w:eastAsia="Calibri" w:hAnsi="Cambria" w:cs="Calibri"/>
              </w:rPr>
              <w:t xml:space="preserve"> </w:t>
            </w:r>
            <w:proofErr w:type="spellStart"/>
            <w:r w:rsidR="003F7F9A" w:rsidRPr="00DF4CE5">
              <w:rPr>
                <w:rFonts w:ascii="Cambria" w:eastAsia="Calibri" w:hAnsi="Cambria" w:cs="Calibri"/>
              </w:rPr>
              <w:t>Sammlung</w:t>
            </w:r>
            <w:proofErr w:type="spellEnd"/>
            <w:r w:rsidR="003F7F9A" w:rsidRPr="00DF4CE5">
              <w:rPr>
                <w:rFonts w:ascii="Cambria" w:eastAsia="Calibri" w:hAnsi="Cambria" w:cs="Calibri"/>
              </w:rPr>
              <w:t xml:space="preserve"> von </w:t>
            </w:r>
            <w:proofErr w:type="spellStart"/>
            <w:r w:rsidR="003F7F9A" w:rsidRPr="00DF4CE5">
              <w:rPr>
                <w:rFonts w:ascii="Cambria" w:eastAsia="Calibri" w:hAnsi="Cambria" w:cs="Calibri"/>
              </w:rPr>
              <w:t>Texten</w:t>
            </w:r>
            <w:proofErr w:type="spellEnd"/>
            <w:r w:rsidR="003F7F9A" w:rsidRPr="00DF4CE5">
              <w:rPr>
                <w:rFonts w:ascii="Cambria" w:eastAsia="Calibri" w:hAnsi="Cambria" w:cs="Calibri"/>
              </w:rPr>
              <w:t xml:space="preserve"> und </w:t>
            </w:r>
            <w:proofErr w:type="spellStart"/>
            <w:r w:rsidR="003F7F9A" w:rsidRPr="00DF4CE5">
              <w:rPr>
                <w:rFonts w:ascii="Cambria" w:eastAsia="Calibri" w:hAnsi="Cambria" w:cs="Calibri"/>
              </w:rPr>
              <w:t>Übungen</w:t>
            </w:r>
            <w:proofErr w:type="spellEnd"/>
          </w:p>
          <w:p w14:paraId="21D5B3CB" w14:textId="19A9BFB6" w:rsidR="003F7F9A" w:rsidRPr="00DF4CE5" w:rsidRDefault="006E59DC" w:rsidP="006E59DC">
            <w:pPr>
              <w:spacing w:after="0" w:line="240" w:lineRule="auto"/>
              <w:contextualSpacing/>
              <w:rPr>
                <w:rFonts w:ascii="Cambria" w:eastAsia="Calibri" w:hAnsi="Cambria" w:cs="Calibri"/>
              </w:rPr>
            </w:pPr>
            <w:r>
              <w:rPr>
                <w:rFonts w:ascii="Cambria" w:eastAsia="Calibri" w:hAnsi="Cambria" w:cs="Calibri"/>
              </w:rPr>
              <w:t xml:space="preserve">2. </w:t>
            </w:r>
            <w:proofErr w:type="spellStart"/>
            <w:r w:rsidR="003F7F9A" w:rsidRPr="00DF4CE5">
              <w:rPr>
                <w:rFonts w:ascii="Cambria" w:eastAsia="Calibri" w:hAnsi="Cambria" w:cs="Calibri"/>
              </w:rPr>
              <w:t>Marčetić</w:t>
            </w:r>
            <w:proofErr w:type="spellEnd"/>
            <w:r w:rsidR="003F7F9A" w:rsidRPr="00DF4CE5">
              <w:rPr>
                <w:rFonts w:ascii="Cambria" w:eastAsia="Calibri" w:hAnsi="Cambria" w:cs="Calibri"/>
              </w:rPr>
              <w:t xml:space="preserve">: Deutsche Grammatik </w:t>
            </w:r>
            <w:proofErr w:type="spellStart"/>
            <w:r w:rsidR="003F7F9A" w:rsidRPr="00DF4CE5">
              <w:rPr>
                <w:rFonts w:ascii="Cambria" w:eastAsia="Calibri" w:hAnsi="Cambria" w:cs="Calibri"/>
              </w:rPr>
              <w:t>im</w:t>
            </w:r>
            <w:proofErr w:type="spellEnd"/>
            <w:r w:rsidR="003F7F9A" w:rsidRPr="00DF4CE5">
              <w:rPr>
                <w:rFonts w:ascii="Cambria" w:eastAsia="Calibri" w:hAnsi="Cambria" w:cs="Calibri"/>
              </w:rPr>
              <w:t xml:space="preserve"> </w:t>
            </w:r>
            <w:proofErr w:type="spellStart"/>
            <w:r w:rsidR="003F7F9A" w:rsidRPr="00DF4CE5">
              <w:rPr>
                <w:rFonts w:ascii="Cambria" w:eastAsia="Calibri" w:hAnsi="Cambria" w:cs="Calibri"/>
              </w:rPr>
              <w:t>Überblick</w:t>
            </w:r>
            <w:proofErr w:type="spellEnd"/>
            <w:r w:rsidR="003F7F9A" w:rsidRPr="00DF4CE5">
              <w:rPr>
                <w:rFonts w:ascii="Cambria" w:eastAsia="Calibri" w:hAnsi="Cambria" w:cs="Calibri"/>
              </w:rPr>
              <w:t xml:space="preserve">, </w:t>
            </w:r>
            <w:proofErr w:type="spellStart"/>
            <w:r w:rsidR="003F7F9A" w:rsidRPr="00DF4CE5">
              <w:rPr>
                <w:rFonts w:ascii="Cambria" w:eastAsia="Calibri" w:hAnsi="Cambria" w:cs="Calibri"/>
              </w:rPr>
              <w:t>Školska</w:t>
            </w:r>
            <w:proofErr w:type="spellEnd"/>
            <w:r w:rsidR="003F7F9A" w:rsidRPr="00DF4CE5">
              <w:rPr>
                <w:rFonts w:ascii="Cambria" w:eastAsia="Calibri" w:hAnsi="Cambria" w:cs="Calibri"/>
              </w:rPr>
              <w:t xml:space="preserve"> </w:t>
            </w:r>
            <w:proofErr w:type="spellStart"/>
            <w:r w:rsidR="003F7F9A" w:rsidRPr="00DF4CE5">
              <w:rPr>
                <w:rFonts w:ascii="Cambria" w:eastAsia="Calibri" w:hAnsi="Cambria" w:cs="Calibri"/>
              </w:rPr>
              <w:t>knjiga</w:t>
            </w:r>
            <w:proofErr w:type="spellEnd"/>
            <w:r w:rsidR="003F7F9A" w:rsidRPr="00DF4CE5">
              <w:rPr>
                <w:rFonts w:ascii="Cambria" w:eastAsia="Calibri" w:hAnsi="Cambria" w:cs="Calibri"/>
              </w:rPr>
              <w:t xml:space="preserve"> Zagreb, </w:t>
            </w:r>
            <w:proofErr w:type="spellStart"/>
            <w:r w:rsidR="003F7F9A" w:rsidRPr="00DF4CE5">
              <w:rPr>
                <w:rFonts w:ascii="Cambria" w:eastAsia="Calibri" w:hAnsi="Cambria" w:cs="Calibri"/>
              </w:rPr>
              <w:t>zadnje</w:t>
            </w:r>
            <w:proofErr w:type="spellEnd"/>
            <w:r w:rsidR="003F7F9A" w:rsidRPr="00DF4CE5">
              <w:rPr>
                <w:rFonts w:ascii="Cambria" w:eastAsia="Calibri" w:hAnsi="Cambria" w:cs="Calibri"/>
              </w:rPr>
              <w:t xml:space="preserve"> </w:t>
            </w:r>
            <w:proofErr w:type="spellStart"/>
            <w:r w:rsidR="003F7F9A" w:rsidRPr="00DF4CE5">
              <w:rPr>
                <w:rFonts w:ascii="Cambria" w:eastAsia="Calibri" w:hAnsi="Cambria" w:cs="Calibri"/>
              </w:rPr>
              <w:t>izdanje</w:t>
            </w:r>
            <w:proofErr w:type="spellEnd"/>
          </w:p>
          <w:p w14:paraId="1E5F2793" w14:textId="75EC0BB2" w:rsidR="003F7F9A" w:rsidRPr="00DF4CE5" w:rsidRDefault="006E59DC" w:rsidP="006E59DC">
            <w:pPr>
              <w:spacing w:after="0" w:line="240" w:lineRule="auto"/>
              <w:contextualSpacing/>
              <w:rPr>
                <w:rFonts w:ascii="Cambria" w:eastAsia="Calibri" w:hAnsi="Cambria" w:cs="Calibri"/>
              </w:rPr>
            </w:pPr>
            <w:r>
              <w:rPr>
                <w:rFonts w:ascii="Cambria" w:eastAsia="Calibri" w:hAnsi="Cambria" w:cs="Calibri"/>
              </w:rPr>
              <w:t xml:space="preserve">3. </w:t>
            </w:r>
            <w:proofErr w:type="spellStart"/>
            <w:r w:rsidR="003F7F9A" w:rsidRPr="00DF4CE5">
              <w:rPr>
                <w:rFonts w:ascii="Cambria" w:eastAsia="Calibri" w:hAnsi="Cambria" w:cs="Calibri"/>
              </w:rPr>
              <w:t>Habersack</w:t>
            </w:r>
            <w:proofErr w:type="spellEnd"/>
            <w:r w:rsidR="003F7F9A" w:rsidRPr="00DF4CE5">
              <w:rPr>
                <w:rFonts w:ascii="Cambria" w:eastAsia="Calibri" w:hAnsi="Cambria" w:cs="Calibri"/>
              </w:rPr>
              <w:t xml:space="preserve">, Ch., </w:t>
            </w:r>
            <w:proofErr w:type="spellStart"/>
            <w:r w:rsidR="003F7F9A" w:rsidRPr="00DF4CE5">
              <w:rPr>
                <w:rFonts w:ascii="Cambria" w:eastAsia="Calibri" w:hAnsi="Cambria" w:cs="Calibri"/>
              </w:rPr>
              <w:t>Pude</w:t>
            </w:r>
            <w:proofErr w:type="spellEnd"/>
            <w:r w:rsidR="003F7F9A" w:rsidRPr="00DF4CE5">
              <w:rPr>
                <w:rFonts w:ascii="Cambria" w:eastAsia="Calibri" w:hAnsi="Cambria" w:cs="Calibri"/>
              </w:rPr>
              <w:t xml:space="preserve">, A., Specht, F., Menschen Deutsch </w:t>
            </w:r>
            <w:proofErr w:type="spellStart"/>
            <w:r w:rsidR="003F7F9A" w:rsidRPr="00DF4CE5">
              <w:rPr>
                <w:rFonts w:ascii="Cambria" w:eastAsia="Calibri" w:hAnsi="Cambria" w:cs="Calibri"/>
              </w:rPr>
              <w:t>als</w:t>
            </w:r>
            <w:proofErr w:type="spellEnd"/>
            <w:r w:rsidR="003F7F9A" w:rsidRPr="00DF4CE5">
              <w:rPr>
                <w:rFonts w:ascii="Cambria" w:eastAsia="Calibri" w:hAnsi="Cambria" w:cs="Calibri"/>
              </w:rPr>
              <w:t xml:space="preserve"> </w:t>
            </w:r>
            <w:proofErr w:type="spellStart"/>
            <w:r w:rsidR="003F7F9A" w:rsidRPr="00DF4CE5">
              <w:rPr>
                <w:rFonts w:ascii="Cambria" w:eastAsia="Calibri" w:hAnsi="Cambria" w:cs="Calibri"/>
              </w:rPr>
              <w:t>Fremdsprache</w:t>
            </w:r>
            <w:proofErr w:type="spellEnd"/>
            <w:r w:rsidR="003F7F9A" w:rsidRPr="00DF4CE5">
              <w:rPr>
                <w:rFonts w:ascii="Cambria" w:eastAsia="Calibri" w:hAnsi="Cambria" w:cs="Calibri"/>
              </w:rPr>
              <w:t xml:space="preserve">, </w:t>
            </w:r>
            <w:proofErr w:type="spellStart"/>
            <w:r w:rsidR="003F7F9A" w:rsidRPr="00DF4CE5">
              <w:rPr>
                <w:rFonts w:ascii="Cambria" w:eastAsia="Calibri" w:hAnsi="Cambria" w:cs="Calibri"/>
              </w:rPr>
              <w:t>Lehrbuch</w:t>
            </w:r>
            <w:proofErr w:type="spellEnd"/>
            <w:r w:rsidR="003F7F9A" w:rsidRPr="00DF4CE5">
              <w:rPr>
                <w:rFonts w:ascii="Cambria" w:eastAsia="Calibri" w:hAnsi="Cambria" w:cs="Calibri"/>
              </w:rPr>
              <w:t xml:space="preserve">, Hueber Verlag, </w:t>
            </w:r>
            <w:proofErr w:type="spellStart"/>
            <w:r w:rsidR="003F7F9A" w:rsidRPr="00DF4CE5">
              <w:rPr>
                <w:rFonts w:ascii="Cambria" w:eastAsia="Calibri" w:hAnsi="Cambria" w:cs="Calibri"/>
              </w:rPr>
              <w:t>Ismaning</w:t>
            </w:r>
            <w:proofErr w:type="spellEnd"/>
            <w:r w:rsidR="003F7F9A" w:rsidRPr="00DF4CE5">
              <w:rPr>
                <w:rFonts w:ascii="Cambria" w:eastAsia="Calibri" w:hAnsi="Cambria" w:cs="Calibri"/>
              </w:rPr>
              <w:t xml:space="preserve">, </w:t>
            </w:r>
            <w:proofErr w:type="spellStart"/>
            <w:r w:rsidR="003F7F9A" w:rsidRPr="00DF4CE5">
              <w:rPr>
                <w:rFonts w:ascii="Cambria" w:eastAsia="Calibri" w:hAnsi="Cambria" w:cs="Calibri"/>
              </w:rPr>
              <w:t>zadnje</w:t>
            </w:r>
            <w:proofErr w:type="spellEnd"/>
            <w:r w:rsidR="003F7F9A" w:rsidRPr="00DF4CE5">
              <w:rPr>
                <w:rFonts w:ascii="Cambria" w:eastAsia="Calibri" w:hAnsi="Cambria" w:cs="Calibri"/>
              </w:rPr>
              <w:t xml:space="preserve"> </w:t>
            </w:r>
            <w:proofErr w:type="spellStart"/>
            <w:r w:rsidR="003F7F9A" w:rsidRPr="00DF4CE5">
              <w:rPr>
                <w:rFonts w:ascii="Cambria" w:eastAsia="Calibri" w:hAnsi="Cambria" w:cs="Calibri"/>
              </w:rPr>
              <w:t>izdanje</w:t>
            </w:r>
            <w:proofErr w:type="spellEnd"/>
          </w:p>
          <w:p w14:paraId="437DE80D" w14:textId="490E7DB4" w:rsidR="003F7F9A" w:rsidRPr="00DF4CE5" w:rsidRDefault="006E59DC" w:rsidP="006E59DC">
            <w:pPr>
              <w:spacing w:after="0" w:line="240" w:lineRule="auto"/>
              <w:contextualSpacing/>
              <w:rPr>
                <w:rFonts w:ascii="Cambria" w:eastAsia="Calibri" w:hAnsi="Cambria" w:cs="Calibri"/>
              </w:rPr>
            </w:pPr>
            <w:r>
              <w:rPr>
                <w:rFonts w:ascii="Cambria" w:eastAsia="Calibri" w:hAnsi="Cambria" w:cs="Calibri"/>
              </w:rPr>
              <w:t xml:space="preserve">4. </w:t>
            </w:r>
            <w:proofErr w:type="spellStart"/>
            <w:r w:rsidR="003F7F9A" w:rsidRPr="00DF4CE5">
              <w:rPr>
                <w:rFonts w:ascii="Cambria" w:eastAsia="Calibri" w:hAnsi="Cambria" w:cs="Calibri"/>
              </w:rPr>
              <w:t>Habersack</w:t>
            </w:r>
            <w:proofErr w:type="spellEnd"/>
            <w:r w:rsidR="003F7F9A" w:rsidRPr="00DF4CE5">
              <w:rPr>
                <w:rFonts w:ascii="Cambria" w:eastAsia="Calibri" w:hAnsi="Cambria" w:cs="Calibri"/>
              </w:rPr>
              <w:t xml:space="preserve">, Ch., </w:t>
            </w:r>
            <w:proofErr w:type="spellStart"/>
            <w:r w:rsidR="003F7F9A" w:rsidRPr="00DF4CE5">
              <w:rPr>
                <w:rFonts w:ascii="Cambria" w:eastAsia="Calibri" w:hAnsi="Cambria" w:cs="Calibri"/>
              </w:rPr>
              <w:t>Pude</w:t>
            </w:r>
            <w:proofErr w:type="spellEnd"/>
            <w:r w:rsidR="003F7F9A" w:rsidRPr="00DF4CE5">
              <w:rPr>
                <w:rFonts w:ascii="Cambria" w:eastAsia="Calibri" w:hAnsi="Cambria" w:cs="Calibri"/>
              </w:rPr>
              <w:t xml:space="preserve">, A., Specht, F., Menschen Deutsch </w:t>
            </w:r>
            <w:proofErr w:type="spellStart"/>
            <w:r w:rsidR="003F7F9A" w:rsidRPr="00DF4CE5">
              <w:rPr>
                <w:rFonts w:ascii="Cambria" w:eastAsia="Calibri" w:hAnsi="Cambria" w:cs="Calibri"/>
              </w:rPr>
              <w:t>als</w:t>
            </w:r>
            <w:proofErr w:type="spellEnd"/>
            <w:r w:rsidR="003F7F9A" w:rsidRPr="00DF4CE5">
              <w:rPr>
                <w:rFonts w:ascii="Cambria" w:eastAsia="Calibri" w:hAnsi="Cambria" w:cs="Calibri"/>
              </w:rPr>
              <w:t xml:space="preserve"> </w:t>
            </w:r>
            <w:proofErr w:type="spellStart"/>
            <w:r w:rsidR="003F7F9A" w:rsidRPr="00DF4CE5">
              <w:rPr>
                <w:rFonts w:ascii="Cambria" w:eastAsia="Calibri" w:hAnsi="Cambria" w:cs="Calibri"/>
              </w:rPr>
              <w:t>Fremdsprache</w:t>
            </w:r>
            <w:proofErr w:type="spellEnd"/>
            <w:r w:rsidR="003F7F9A" w:rsidRPr="00DF4CE5">
              <w:rPr>
                <w:rFonts w:ascii="Cambria" w:eastAsia="Calibri" w:hAnsi="Cambria" w:cs="Calibri"/>
              </w:rPr>
              <w:t xml:space="preserve">, </w:t>
            </w:r>
            <w:proofErr w:type="spellStart"/>
            <w:r w:rsidR="003F7F9A" w:rsidRPr="00DF4CE5">
              <w:rPr>
                <w:rFonts w:ascii="Cambria" w:eastAsia="Calibri" w:hAnsi="Cambria" w:cs="Calibri"/>
              </w:rPr>
              <w:t>Arbeitsbuch</w:t>
            </w:r>
            <w:proofErr w:type="spellEnd"/>
            <w:r w:rsidR="003F7F9A" w:rsidRPr="00DF4CE5">
              <w:rPr>
                <w:rFonts w:ascii="Cambria" w:eastAsia="Calibri" w:hAnsi="Cambria" w:cs="Calibri"/>
              </w:rPr>
              <w:t xml:space="preserve">, Hueber Verlag, </w:t>
            </w:r>
            <w:proofErr w:type="spellStart"/>
            <w:r w:rsidR="003F7F9A" w:rsidRPr="00DF4CE5">
              <w:rPr>
                <w:rFonts w:ascii="Cambria" w:eastAsia="Calibri" w:hAnsi="Cambria" w:cs="Calibri"/>
              </w:rPr>
              <w:t>Ismaning</w:t>
            </w:r>
            <w:proofErr w:type="spellEnd"/>
            <w:r w:rsidR="003F7F9A" w:rsidRPr="00DF4CE5">
              <w:rPr>
                <w:rFonts w:ascii="Cambria" w:eastAsia="Calibri" w:hAnsi="Cambria" w:cs="Calibri"/>
              </w:rPr>
              <w:t xml:space="preserve">, </w:t>
            </w:r>
            <w:proofErr w:type="spellStart"/>
            <w:r w:rsidR="003F7F9A" w:rsidRPr="00DF4CE5">
              <w:rPr>
                <w:rFonts w:ascii="Cambria" w:eastAsia="Calibri" w:hAnsi="Cambria" w:cs="Calibri"/>
              </w:rPr>
              <w:t>zadn</w:t>
            </w:r>
            <w:r>
              <w:rPr>
                <w:rFonts w:ascii="Cambria" w:eastAsia="Calibri" w:hAnsi="Cambria" w:cs="Calibri"/>
              </w:rPr>
              <w:t>je</w:t>
            </w:r>
            <w:proofErr w:type="spellEnd"/>
            <w:r w:rsidR="003F7F9A" w:rsidRPr="00DF4CE5">
              <w:rPr>
                <w:rFonts w:ascii="Cambria" w:eastAsia="Calibri" w:hAnsi="Cambria" w:cs="Calibri"/>
              </w:rPr>
              <w:t xml:space="preserve"> </w:t>
            </w:r>
            <w:proofErr w:type="spellStart"/>
            <w:r w:rsidR="003F7F9A" w:rsidRPr="00DF4CE5">
              <w:rPr>
                <w:rFonts w:ascii="Cambria" w:eastAsia="Calibri" w:hAnsi="Cambria" w:cs="Calibri"/>
              </w:rPr>
              <w:t>izdanje</w:t>
            </w:r>
            <w:proofErr w:type="spellEnd"/>
          </w:p>
          <w:p w14:paraId="503C16A9" w14:textId="77777777" w:rsidR="003F7F9A" w:rsidRPr="00DF4CE5" w:rsidRDefault="003F7F9A" w:rsidP="003F7F9A">
            <w:pPr>
              <w:spacing w:after="0" w:line="240" w:lineRule="auto"/>
              <w:rPr>
                <w:rFonts w:ascii="Cambria" w:eastAsia="Times New Roman" w:hAnsi="Cambria" w:cs="Calibri"/>
                <w:lang w:val="it-IT"/>
              </w:rPr>
            </w:pPr>
            <w:proofErr w:type="spellStart"/>
            <w:r w:rsidRPr="00DF4CE5">
              <w:rPr>
                <w:rFonts w:ascii="Cambria" w:eastAsia="Times New Roman" w:hAnsi="Cambria" w:cs="Calibri"/>
                <w:lang w:val="it-IT"/>
              </w:rPr>
              <w:t>Izborna</w:t>
            </w:r>
            <w:proofErr w:type="spellEnd"/>
            <w:r w:rsidRPr="00DF4CE5">
              <w:rPr>
                <w:rFonts w:ascii="Cambria" w:eastAsia="Times New Roman" w:hAnsi="Cambria" w:cs="Calibri"/>
                <w:lang w:val="it-IT"/>
              </w:rPr>
              <w:t>:</w:t>
            </w:r>
          </w:p>
          <w:p w14:paraId="2C3E265D" w14:textId="77777777" w:rsidR="003F7F9A" w:rsidRPr="00DF4CE5" w:rsidRDefault="003F7F9A" w:rsidP="006E59DC">
            <w:pPr>
              <w:spacing w:after="0" w:line="240" w:lineRule="auto"/>
              <w:contextualSpacing/>
              <w:rPr>
                <w:rFonts w:ascii="Cambria" w:eastAsia="Calibri" w:hAnsi="Cambria" w:cs="Calibri"/>
                <w:lang w:val="it-IT"/>
              </w:rPr>
            </w:pPr>
            <w:r w:rsidRPr="00DF4CE5">
              <w:rPr>
                <w:rFonts w:ascii="Cambria" w:eastAsia="Calibri" w:hAnsi="Cambria" w:cs="Calibri"/>
                <w:lang w:val="it-IT"/>
              </w:rPr>
              <w:t xml:space="preserve">1. Montali-Motta: </w:t>
            </w:r>
            <w:proofErr w:type="spellStart"/>
            <w:r w:rsidRPr="00DF4CE5">
              <w:rPr>
                <w:rFonts w:ascii="Cambria" w:eastAsia="Calibri" w:hAnsi="Cambria" w:cs="Calibri"/>
                <w:lang w:val="it-IT"/>
              </w:rPr>
              <w:t>Übungsheft</w:t>
            </w:r>
            <w:proofErr w:type="spellEnd"/>
            <w:r w:rsidRPr="00DF4CE5">
              <w:rPr>
                <w:rFonts w:ascii="Cambria" w:eastAsia="Calibri" w:hAnsi="Cambria" w:cs="Calibri"/>
                <w:lang w:val="it-IT"/>
              </w:rPr>
              <w:t xml:space="preserve"> zur </w:t>
            </w:r>
            <w:proofErr w:type="spellStart"/>
            <w:r w:rsidRPr="00DF4CE5">
              <w:rPr>
                <w:rFonts w:ascii="Cambria" w:eastAsia="Calibri" w:hAnsi="Cambria" w:cs="Calibri"/>
                <w:lang w:val="it-IT"/>
              </w:rPr>
              <w:t>Festigung</w:t>
            </w:r>
            <w:proofErr w:type="spellEnd"/>
            <w:r w:rsidRPr="00DF4CE5">
              <w:rPr>
                <w:rFonts w:ascii="Cambria" w:eastAsia="Calibri" w:hAnsi="Cambria" w:cs="Calibri"/>
                <w:lang w:val="it-IT"/>
              </w:rPr>
              <w:t xml:space="preserve"> </w:t>
            </w:r>
            <w:proofErr w:type="spellStart"/>
            <w:r w:rsidRPr="00DF4CE5">
              <w:rPr>
                <w:rFonts w:ascii="Cambria" w:eastAsia="Calibri" w:hAnsi="Cambria" w:cs="Calibri"/>
                <w:lang w:val="it-IT"/>
              </w:rPr>
              <w:t>der</w:t>
            </w:r>
            <w:proofErr w:type="spellEnd"/>
            <w:r w:rsidRPr="00DF4CE5">
              <w:rPr>
                <w:rFonts w:ascii="Cambria" w:eastAsia="Calibri" w:hAnsi="Cambria" w:cs="Calibri"/>
                <w:lang w:val="it-IT"/>
              </w:rPr>
              <w:t xml:space="preserve"> </w:t>
            </w:r>
            <w:proofErr w:type="spellStart"/>
            <w:r w:rsidRPr="00DF4CE5">
              <w:rPr>
                <w:rFonts w:ascii="Cambria" w:eastAsia="Calibri" w:hAnsi="Cambria" w:cs="Calibri"/>
                <w:lang w:val="it-IT"/>
              </w:rPr>
              <w:t>grammatischen</w:t>
            </w:r>
            <w:proofErr w:type="spellEnd"/>
            <w:r w:rsidRPr="00DF4CE5">
              <w:rPr>
                <w:rFonts w:ascii="Cambria" w:eastAsia="Calibri" w:hAnsi="Cambria" w:cs="Calibri"/>
                <w:lang w:val="it-IT"/>
              </w:rPr>
              <w:t xml:space="preserve"> </w:t>
            </w:r>
            <w:proofErr w:type="spellStart"/>
            <w:r w:rsidRPr="00DF4CE5">
              <w:rPr>
                <w:rFonts w:ascii="Cambria" w:eastAsia="Calibri" w:hAnsi="Cambria" w:cs="Calibri"/>
                <w:lang w:val="it-IT"/>
              </w:rPr>
              <w:t>Kompetenz</w:t>
            </w:r>
            <w:proofErr w:type="spellEnd"/>
            <w:r w:rsidRPr="00DF4CE5">
              <w:rPr>
                <w:rFonts w:ascii="Cambria" w:eastAsia="Calibri" w:hAnsi="Cambria" w:cs="Calibri"/>
                <w:lang w:val="it-IT"/>
              </w:rPr>
              <w:t xml:space="preserve">, Firenze   </w:t>
            </w:r>
          </w:p>
          <w:p w14:paraId="675296DF" w14:textId="77777777" w:rsidR="003F7F9A" w:rsidRPr="00DF4CE5" w:rsidRDefault="003F7F9A" w:rsidP="006E59DC">
            <w:pPr>
              <w:spacing w:after="0" w:line="240" w:lineRule="auto"/>
              <w:contextualSpacing/>
              <w:rPr>
                <w:rFonts w:ascii="Cambria" w:eastAsia="Calibri" w:hAnsi="Cambria" w:cs="Calibri"/>
                <w:lang w:val="it-IT"/>
              </w:rPr>
            </w:pPr>
            <w:r w:rsidRPr="00DF4CE5">
              <w:rPr>
                <w:rFonts w:ascii="Cambria" w:eastAsia="Calibri" w:hAnsi="Cambria" w:cs="Calibri"/>
                <w:lang w:val="it-IT"/>
              </w:rPr>
              <w:t xml:space="preserve">2. </w:t>
            </w:r>
            <w:proofErr w:type="spellStart"/>
            <w:r w:rsidRPr="00DF4CE5">
              <w:rPr>
                <w:rFonts w:ascii="Cambria" w:eastAsia="Calibri" w:hAnsi="Cambria" w:cs="Calibri"/>
                <w:lang w:val="it-IT"/>
              </w:rPr>
              <w:t>Autorengruppe</w:t>
            </w:r>
            <w:proofErr w:type="spellEnd"/>
            <w:r w:rsidRPr="00DF4CE5">
              <w:rPr>
                <w:rFonts w:ascii="Cambria" w:eastAsia="Calibri" w:hAnsi="Cambria" w:cs="Calibri"/>
                <w:lang w:val="it-IT"/>
              </w:rPr>
              <w:t xml:space="preserve">: </w:t>
            </w:r>
            <w:proofErr w:type="spellStart"/>
            <w:r w:rsidRPr="00DF4CE5">
              <w:rPr>
                <w:rFonts w:ascii="Cambria" w:eastAsia="Calibri" w:hAnsi="Cambria" w:cs="Calibri"/>
                <w:lang w:val="it-IT"/>
              </w:rPr>
              <w:t>Hrvatsko-njemački</w:t>
            </w:r>
            <w:proofErr w:type="spellEnd"/>
            <w:r w:rsidRPr="00DF4CE5">
              <w:rPr>
                <w:rFonts w:ascii="Cambria" w:eastAsia="Calibri" w:hAnsi="Cambria" w:cs="Calibri"/>
                <w:lang w:val="it-IT"/>
              </w:rPr>
              <w:t xml:space="preserve"> </w:t>
            </w:r>
            <w:proofErr w:type="spellStart"/>
            <w:r w:rsidRPr="00DF4CE5">
              <w:rPr>
                <w:rFonts w:ascii="Cambria" w:eastAsia="Calibri" w:hAnsi="Cambria" w:cs="Calibri"/>
                <w:lang w:val="it-IT"/>
              </w:rPr>
              <w:t>frazeološki</w:t>
            </w:r>
            <w:proofErr w:type="spellEnd"/>
            <w:r w:rsidRPr="00DF4CE5">
              <w:rPr>
                <w:rFonts w:ascii="Cambria" w:eastAsia="Calibri" w:hAnsi="Cambria" w:cs="Calibri"/>
                <w:lang w:val="it-IT"/>
              </w:rPr>
              <w:t xml:space="preserve"> </w:t>
            </w:r>
            <w:proofErr w:type="spellStart"/>
            <w:r w:rsidRPr="00DF4CE5">
              <w:rPr>
                <w:rFonts w:ascii="Cambria" w:eastAsia="Calibri" w:hAnsi="Cambria" w:cs="Calibri"/>
                <w:lang w:val="it-IT"/>
              </w:rPr>
              <w:t>rječnik</w:t>
            </w:r>
            <w:proofErr w:type="spellEnd"/>
            <w:r w:rsidRPr="00DF4CE5">
              <w:rPr>
                <w:rFonts w:ascii="Cambria" w:eastAsia="Calibri" w:hAnsi="Cambria" w:cs="Calibri"/>
                <w:lang w:val="it-IT"/>
              </w:rPr>
              <w:t>;</w:t>
            </w:r>
          </w:p>
          <w:p w14:paraId="6672E817" w14:textId="77777777" w:rsidR="003F7F9A" w:rsidRPr="00DF4CE5" w:rsidRDefault="003F7F9A" w:rsidP="006E59DC">
            <w:pPr>
              <w:spacing w:after="0" w:line="240" w:lineRule="auto"/>
              <w:contextualSpacing/>
              <w:rPr>
                <w:rFonts w:ascii="Cambria" w:eastAsia="Calibri" w:hAnsi="Cambria" w:cs="Calibri"/>
                <w:lang w:val="it-IT"/>
              </w:rPr>
            </w:pPr>
            <w:r w:rsidRPr="00DF4CE5">
              <w:rPr>
                <w:rFonts w:ascii="Cambria" w:eastAsia="Calibri" w:hAnsi="Cambria" w:cs="Calibri"/>
                <w:lang w:val="it-IT"/>
              </w:rPr>
              <w:t xml:space="preserve">3. </w:t>
            </w:r>
            <w:proofErr w:type="spellStart"/>
            <w:r w:rsidRPr="00DF4CE5">
              <w:rPr>
                <w:rFonts w:ascii="Cambria" w:eastAsia="Calibri" w:hAnsi="Cambria" w:cs="Calibri"/>
                <w:lang w:val="it-IT"/>
              </w:rPr>
              <w:t>Duden</w:t>
            </w:r>
            <w:proofErr w:type="spellEnd"/>
            <w:r w:rsidRPr="00DF4CE5">
              <w:rPr>
                <w:rFonts w:ascii="Cambria" w:eastAsia="Calibri" w:hAnsi="Cambria" w:cs="Calibri"/>
                <w:lang w:val="it-IT"/>
              </w:rPr>
              <w:t xml:space="preserve">: </w:t>
            </w:r>
            <w:proofErr w:type="spellStart"/>
            <w:r w:rsidRPr="00DF4CE5">
              <w:rPr>
                <w:rFonts w:ascii="Cambria" w:eastAsia="Calibri" w:hAnsi="Cambria" w:cs="Calibri"/>
                <w:lang w:val="it-IT"/>
              </w:rPr>
              <w:t>Redewendungen</w:t>
            </w:r>
            <w:proofErr w:type="spellEnd"/>
            <w:r w:rsidRPr="00DF4CE5">
              <w:rPr>
                <w:rFonts w:ascii="Cambria" w:eastAsia="Calibri" w:hAnsi="Cambria" w:cs="Calibri"/>
                <w:lang w:val="it-IT"/>
              </w:rPr>
              <w:t xml:space="preserve"> und </w:t>
            </w:r>
            <w:proofErr w:type="spellStart"/>
            <w:r w:rsidRPr="00DF4CE5">
              <w:rPr>
                <w:rFonts w:ascii="Cambria" w:eastAsia="Calibri" w:hAnsi="Cambria" w:cs="Calibri"/>
                <w:lang w:val="it-IT"/>
              </w:rPr>
              <w:t>sprichwörtliche</w:t>
            </w:r>
            <w:proofErr w:type="spellEnd"/>
            <w:r w:rsidRPr="00DF4CE5">
              <w:rPr>
                <w:rFonts w:ascii="Cambria" w:eastAsia="Calibri" w:hAnsi="Cambria" w:cs="Calibri"/>
                <w:lang w:val="it-IT"/>
              </w:rPr>
              <w:t xml:space="preserve"> </w:t>
            </w:r>
            <w:proofErr w:type="spellStart"/>
            <w:r w:rsidRPr="00DF4CE5">
              <w:rPr>
                <w:rFonts w:ascii="Cambria" w:eastAsia="Calibri" w:hAnsi="Cambria" w:cs="Calibri"/>
                <w:lang w:val="it-IT"/>
              </w:rPr>
              <w:t>Redensarten</w:t>
            </w:r>
            <w:proofErr w:type="spellEnd"/>
            <w:r w:rsidRPr="00DF4CE5">
              <w:rPr>
                <w:rFonts w:ascii="Cambria" w:eastAsia="Calibri" w:hAnsi="Cambria" w:cs="Calibri"/>
                <w:lang w:val="it-IT"/>
              </w:rPr>
              <w:t xml:space="preserve">, </w:t>
            </w:r>
            <w:proofErr w:type="spellStart"/>
            <w:r w:rsidRPr="00DF4CE5">
              <w:rPr>
                <w:rFonts w:ascii="Cambria" w:eastAsia="Calibri" w:hAnsi="Cambria" w:cs="Calibri"/>
                <w:lang w:val="it-IT"/>
              </w:rPr>
              <w:t>Dudenverlag</w:t>
            </w:r>
            <w:proofErr w:type="spellEnd"/>
            <w:r w:rsidRPr="00DF4CE5">
              <w:rPr>
                <w:rFonts w:ascii="Cambria" w:eastAsia="Calibri" w:hAnsi="Cambria" w:cs="Calibri"/>
                <w:lang w:val="it-IT"/>
              </w:rPr>
              <w:t xml:space="preserve"> Mannheim, Leipzig, Wien </w:t>
            </w:r>
            <w:proofErr w:type="spellStart"/>
            <w:r w:rsidRPr="00DF4CE5">
              <w:rPr>
                <w:rFonts w:ascii="Cambria" w:eastAsia="Calibri" w:hAnsi="Cambria" w:cs="Calibri"/>
                <w:lang w:val="it-IT"/>
              </w:rPr>
              <w:t>Zürich</w:t>
            </w:r>
            <w:proofErr w:type="spellEnd"/>
            <w:r w:rsidRPr="00DF4CE5">
              <w:rPr>
                <w:rFonts w:ascii="Cambria" w:eastAsia="Calibri" w:hAnsi="Cambria" w:cs="Calibri"/>
                <w:lang w:val="it-IT"/>
              </w:rPr>
              <w:t xml:space="preserve">, </w:t>
            </w:r>
            <w:proofErr w:type="spellStart"/>
            <w:r w:rsidRPr="00DF4CE5">
              <w:rPr>
                <w:rFonts w:ascii="Cambria" w:eastAsia="Calibri" w:hAnsi="Cambria" w:cs="Calibri"/>
                <w:lang w:val="it-IT"/>
              </w:rPr>
              <w:t>zadnje</w:t>
            </w:r>
            <w:proofErr w:type="spellEnd"/>
            <w:r w:rsidRPr="00DF4CE5">
              <w:rPr>
                <w:rFonts w:ascii="Cambria" w:eastAsia="Calibri" w:hAnsi="Cambria" w:cs="Calibri"/>
                <w:lang w:val="it-IT"/>
              </w:rPr>
              <w:t xml:space="preserve"> </w:t>
            </w:r>
            <w:proofErr w:type="spellStart"/>
            <w:r w:rsidRPr="00DF4CE5">
              <w:rPr>
                <w:rFonts w:ascii="Cambria" w:eastAsia="Calibri" w:hAnsi="Cambria" w:cs="Calibri"/>
                <w:lang w:val="it-IT"/>
              </w:rPr>
              <w:t>izdanje</w:t>
            </w:r>
            <w:proofErr w:type="spellEnd"/>
          </w:p>
          <w:p w14:paraId="613E9697" w14:textId="77777777" w:rsidR="003F7F9A" w:rsidRPr="006E59DC" w:rsidRDefault="003F7F9A" w:rsidP="003F7F9A">
            <w:pPr>
              <w:spacing w:after="0" w:line="240" w:lineRule="auto"/>
              <w:rPr>
                <w:rFonts w:ascii="Cambria" w:eastAsia="Times New Roman" w:hAnsi="Cambria" w:cs="Calibri"/>
                <w:lang w:val="it-IT"/>
              </w:rPr>
            </w:pPr>
            <w:proofErr w:type="spellStart"/>
            <w:r w:rsidRPr="006E59DC">
              <w:rPr>
                <w:rFonts w:ascii="Cambria" w:eastAsia="Times New Roman" w:hAnsi="Cambria" w:cs="Calibri"/>
                <w:lang w:val="it-IT"/>
              </w:rPr>
              <w:t>Priručna</w:t>
            </w:r>
            <w:proofErr w:type="spellEnd"/>
            <w:r w:rsidRPr="006E59DC">
              <w:rPr>
                <w:rFonts w:ascii="Cambria" w:eastAsia="Times New Roman" w:hAnsi="Cambria" w:cs="Calibri"/>
                <w:lang w:val="it-IT"/>
              </w:rPr>
              <w:t>:</w:t>
            </w:r>
          </w:p>
          <w:p w14:paraId="39240FB3" w14:textId="42892098" w:rsidR="003F7F9A" w:rsidRPr="006E59DC" w:rsidRDefault="006E59DC" w:rsidP="006E59DC">
            <w:pPr>
              <w:spacing w:after="0" w:line="240" w:lineRule="auto"/>
              <w:contextualSpacing/>
              <w:rPr>
                <w:rFonts w:ascii="Cambria" w:eastAsia="Calibri" w:hAnsi="Cambria" w:cs="Calibri"/>
                <w:lang w:val="it-IT"/>
              </w:rPr>
            </w:pPr>
            <w:r w:rsidRPr="006E59DC">
              <w:rPr>
                <w:rFonts w:ascii="Cambria" w:eastAsia="Calibri" w:hAnsi="Cambria" w:cs="Calibri"/>
                <w:lang w:val="it-IT"/>
              </w:rPr>
              <w:t>1.</w:t>
            </w:r>
            <w:r>
              <w:rPr>
                <w:rFonts w:ascii="Cambria" w:eastAsia="Calibri" w:hAnsi="Cambria" w:cs="Calibri"/>
                <w:lang w:val="it-IT"/>
              </w:rPr>
              <w:t xml:space="preserve"> </w:t>
            </w:r>
            <w:proofErr w:type="spellStart"/>
            <w:r w:rsidR="003F7F9A" w:rsidRPr="006E59DC">
              <w:rPr>
                <w:rFonts w:ascii="Cambria" w:eastAsia="Calibri" w:hAnsi="Cambria" w:cs="Calibri"/>
                <w:lang w:val="it-IT"/>
              </w:rPr>
              <w:t>Jakić-Hurm</w:t>
            </w:r>
            <w:proofErr w:type="spellEnd"/>
            <w:r w:rsidR="003F7F9A" w:rsidRPr="006E59DC">
              <w:rPr>
                <w:rFonts w:ascii="Cambria" w:eastAsia="Calibri" w:hAnsi="Cambria" w:cs="Calibri"/>
                <w:lang w:val="it-IT"/>
              </w:rPr>
              <w:t xml:space="preserve">: </w:t>
            </w:r>
            <w:proofErr w:type="spellStart"/>
            <w:r w:rsidR="003F7F9A" w:rsidRPr="006E59DC">
              <w:rPr>
                <w:rFonts w:ascii="Cambria" w:eastAsia="Calibri" w:hAnsi="Cambria" w:cs="Calibri"/>
                <w:lang w:val="it-IT"/>
              </w:rPr>
              <w:t>Hrvatsko-njemački</w:t>
            </w:r>
            <w:proofErr w:type="spellEnd"/>
            <w:r w:rsidR="003F7F9A" w:rsidRPr="006E59DC">
              <w:rPr>
                <w:rFonts w:ascii="Cambria" w:eastAsia="Calibri" w:hAnsi="Cambria" w:cs="Calibri"/>
                <w:lang w:val="it-IT"/>
              </w:rPr>
              <w:t xml:space="preserve"> </w:t>
            </w:r>
            <w:proofErr w:type="spellStart"/>
            <w:r w:rsidR="003F7F9A" w:rsidRPr="006E59DC">
              <w:rPr>
                <w:rFonts w:ascii="Cambria" w:eastAsia="Calibri" w:hAnsi="Cambria" w:cs="Calibri"/>
                <w:lang w:val="it-IT"/>
              </w:rPr>
              <w:t>rječnik</w:t>
            </w:r>
            <w:proofErr w:type="spellEnd"/>
            <w:r w:rsidR="003F7F9A" w:rsidRPr="006E59DC">
              <w:rPr>
                <w:rFonts w:ascii="Cambria" w:eastAsia="Calibri" w:hAnsi="Cambria" w:cs="Calibri"/>
                <w:lang w:val="it-IT"/>
              </w:rPr>
              <w:t xml:space="preserve">, </w:t>
            </w:r>
            <w:proofErr w:type="spellStart"/>
            <w:r w:rsidR="003F7F9A" w:rsidRPr="006E59DC">
              <w:rPr>
                <w:rFonts w:ascii="Cambria" w:eastAsia="Calibri" w:hAnsi="Cambria" w:cs="Calibri"/>
                <w:lang w:val="it-IT"/>
              </w:rPr>
              <w:t>Školska</w:t>
            </w:r>
            <w:proofErr w:type="spellEnd"/>
            <w:r w:rsidR="003F7F9A" w:rsidRPr="006E59DC">
              <w:rPr>
                <w:rFonts w:ascii="Cambria" w:eastAsia="Calibri" w:hAnsi="Cambria" w:cs="Calibri"/>
                <w:lang w:val="it-IT"/>
              </w:rPr>
              <w:t xml:space="preserve"> </w:t>
            </w:r>
            <w:proofErr w:type="spellStart"/>
            <w:r w:rsidR="003F7F9A" w:rsidRPr="006E59DC">
              <w:rPr>
                <w:rFonts w:ascii="Cambria" w:eastAsia="Calibri" w:hAnsi="Cambria" w:cs="Calibri"/>
                <w:lang w:val="it-IT"/>
              </w:rPr>
              <w:t>knjiga</w:t>
            </w:r>
            <w:proofErr w:type="spellEnd"/>
            <w:r w:rsidR="003F7F9A" w:rsidRPr="006E59DC">
              <w:rPr>
                <w:rFonts w:ascii="Cambria" w:eastAsia="Calibri" w:hAnsi="Cambria" w:cs="Calibri"/>
                <w:lang w:val="it-IT"/>
              </w:rPr>
              <w:t xml:space="preserve"> </w:t>
            </w:r>
            <w:proofErr w:type="spellStart"/>
            <w:r w:rsidR="003F7F9A" w:rsidRPr="006E59DC">
              <w:rPr>
                <w:rFonts w:ascii="Cambria" w:eastAsia="Calibri" w:hAnsi="Cambria" w:cs="Calibri"/>
                <w:lang w:val="it-IT"/>
              </w:rPr>
              <w:t>Zagreb</w:t>
            </w:r>
            <w:proofErr w:type="spellEnd"/>
            <w:r w:rsidR="003F7F9A" w:rsidRPr="006E59DC">
              <w:rPr>
                <w:rFonts w:ascii="Cambria" w:eastAsia="Calibri" w:hAnsi="Cambria" w:cs="Calibri"/>
                <w:lang w:val="it-IT"/>
              </w:rPr>
              <w:t xml:space="preserve">, </w:t>
            </w:r>
            <w:proofErr w:type="spellStart"/>
            <w:r w:rsidR="003F7F9A" w:rsidRPr="006E59DC">
              <w:rPr>
                <w:rFonts w:ascii="Cambria" w:eastAsia="Calibri" w:hAnsi="Cambria" w:cs="Calibri"/>
                <w:lang w:val="it-IT"/>
              </w:rPr>
              <w:t>zadnje</w:t>
            </w:r>
            <w:proofErr w:type="spellEnd"/>
            <w:r w:rsidR="003F7F9A" w:rsidRPr="006E59DC">
              <w:rPr>
                <w:rFonts w:ascii="Cambria" w:eastAsia="Calibri" w:hAnsi="Cambria" w:cs="Calibri"/>
                <w:lang w:val="it-IT"/>
              </w:rPr>
              <w:t xml:space="preserve"> </w:t>
            </w:r>
            <w:proofErr w:type="spellStart"/>
            <w:r w:rsidR="003F7F9A" w:rsidRPr="006E59DC">
              <w:rPr>
                <w:rFonts w:ascii="Cambria" w:eastAsia="Calibri" w:hAnsi="Cambria" w:cs="Calibri"/>
                <w:lang w:val="it-IT"/>
              </w:rPr>
              <w:t>izdanje</w:t>
            </w:r>
            <w:proofErr w:type="spellEnd"/>
          </w:p>
          <w:p w14:paraId="377B0EA2" w14:textId="319AF1BF" w:rsidR="003F7F9A" w:rsidRPr="006E59DC" w:rsidRDefault="006E59DC" w:rsidP="006E59DC">
            <w:pPr>
              <w:spacing w:after="0" w:line="240" w:lineRule="auto"/>
              <w:contextualSpacing/>
              <w:rPr>
                <w:rFonts w:ascii="Cambria" w:eastAsia="Calibri" w:hAnsi="Cambria" w:cs="Calibri"/>
                <w:lang w:val="it-IT"/>
              </w:rPr>
            </w:pPr>
            <w:r>
              <w:rPr>
                <w:rFonts w:ascii="Cambria" w:eastAsia="Calibri" w:hAnsi="Cambria" w:cs="Calibri"/>
                <w:lang w:val="it-IT"/>
              </w:rPr>
              <w:t xml:space="preserve">2. </w:t>
            </w:r>
            <w:proofErr w:type="spellStart"/>
            <w:r w:rsidR="003F7F9A" w:rsidRPr="006E59DC">
              <w:rPr>
                <w:rFonts w:ascii="Cambria" w:eastAsia="Calibri" w:hAnsi="Cambria" w:cs="Calibri"/>
                <w:lang w:val="it-IT"/>
              </w:rPr>
              <w:t>Jakić-Hurm</w:t>
            </w:r>
            <w:proofErr w:type="spellEnd"/>
            <w:r w:rsidR="003F7F9A" w:rsidRPr="006E59DC">
              <w:rPr>
                <w:rFonts w:ascii="Cambria" w:eastAsia="Calibri" w:hAnsi="Cambria" w:cs="Calibri"/>
                <w:lang w:val="it-IT"/>
              </w:rPr>
              <w:t xml:space="preserve">: </w:t>
            </w:r>
            <w:proofErr w:type="spellStart"/>
            <w:r w:rsidR="003F7F9A" w:rsidRPr="006E59DC">
              <w:rPr>
                <w:rFonts w:ascii="Cambria" w:eastAsia="Calibri" w:hAnsi="Cambria" w:cs="Calibri"/>
                <w:lang w:val="it-IT"/>
              </w:rPr>
              <w:t>Njemačko-</w:t>
            </w:r>
            <w:proofErr w:type="gramStart"/>
            <w:r w:rsidR="003F7F9A" w:rsidRPr="006E59DC">
              <w:rPr>
                <w:rFonts w:ascii="Cambria" w:eastAsia="Calibri" w:hAnsi="Cambria" w:cs="Calibri"/>
                <w:lang w:val="it-IT"/>
              </w:rPr>
              <w:t>hrvatski</w:t>
            </w:r>
            <w:proofErr w:type="spellEnd"/>
            <w:r w:rsidR="003F7F9A" w:rsidRPr="006E59DC">
              <w:rPr>
                <w:rFonts w:ascii="Cambria" w:eastAsia="Calibri" w:hAnsi="Cambria" w:cs="Calibri"/>
                <w:lang w:val="it-IT"/>
              </w:rPr>
              <w:t xml:space="preserve">  </w:t>
            </w:r>
            <w:proofErr w:type="spellStart"/>
            <w:r w:rsidR="003F7F9A" w:rsidRPr="006E59DC">
              <w:rPr>
                <w:rFonts w:ascii="Cambria" w:eastAsia="Calibri" w:hAnsi="Cambria" w:cs="Calibri"/>
                <w:lang w:val="it-IT"/>
              </w:rPr>
              <w:t>rječnik</w:t>
            </w:r>
            <w:proofErr w:type="spellEnd"/>
            <w:proofErr w:type="gramEnd"/>
            <w:r w:rsidR="003F7F9A" w:rsidRPr="006E59DC">
              <w:rPr>
                <w:rFonts w:ascii="Cambria" w:eastAsia="Calibri" w:hAnsi="Cambria" w:cs="Calibri"/>
                <w:lang w:val="it-IT"/>
              </w:rPr>
              <w:t xml:space="preserve">, </w:t>
            </w:r>
            <w:proofErr w:type="spellStart"/>
            <w:r w:rsidR="003F7F9A" w:rsidRPr="006E59DC">
              <w:rPr>
                <w:rFonts w:ascii="Cambria" w:eastAsia="Calibri" w:hAnsi="Cambria" w:cs="Calibri"/>
                <w:lang w:val="it-IT"/>
              </w:rPr>
              <w:t>Školska</w:t>
            </w:r>
            <w:proofErr w:type="spellEnd"/>
            <w:r w:rsidR="003F7F9A" w:rsidRPr="006E59DC">
              <w:rPr>
                <w:rFonts w:ascii="Cambria" w:eastAsia="Calibri" w:hAnsi="Cambria" w:cs="Calibri"/>
                <w:lang w:val="it-IT"/>
              </w:rPr>
              <w:t xml:space="preserve"> </w:t>
            </w:r>
            <w:proofErr w:type="spellStart"/>
            <w:r w:rsidR="003F7F9A" w:rsidRPr="006E59DC">
              <w:rPr>
                <w:rFonts w:ascii="Cambria" w:eastAsia="Calibri" w:hAnsi="Cambria" w:cs="Calibri"/>
                <w:lang w:val="it-IT"/>
              </w:rPr>
              <w:t>knjiga</w:t>
            </w:r>
            <w:proofErr w:type="spellEnd"/>
            <w:r w:rsidR="003F7F9A" w:rsidRPr="006E59DC">
              <w:rPr>
                <w:rFonts w:ascii="Cambria" w:eastAsia="Calibri" w:hAnsi="Cambria" w:cs="Calibri"/>
                <w:lang w:val="it-IT"/>
              </w:rPr>
              <w:t xml:space="preserve"> </w:t>
            </w:r>
            <w:proofErr w:type="spellStart"/>
            <w:r w:rsidR="003F7F9A" w:rsidRPr="006E59DC">
              <w:rPr>
                <w:rFonts w:ascii="Cambria" w:eastAsia="Calibri" w:hAnsi="Cambria" w:cs="Calibri"/>
                <w:lang w:val="it-IT"/>
              </w:rPr>
              <w:t>Zagreb</w:t>
            </w:r>
            <w:proofErr w:type="spellEnd"/>
            <w:r w:rsidR="003F7F9A" w:rsidRPr="006E59DC">
              <w:rPr>
                <w:rFonts w:ascii="Cambria" w:eastAsia="Calibri" w:hAnsi="Cambria" w:cs="Calibri"/>
                <w:lang w:val="it-IT"/>
              </w:rPr>
              <w:t xml:space="preserve">, </w:t>
            </w:r>
            <w:proofErr w:type="spellStart"/>
            <w:r w:rsidR="003F7F9A" w:rsidRPr="006E59DC">
              <w:rPr>
                <w:rFonts w:ascii="Cambria" w:eastAsia="Calibri" w:hAnsi="Cambria" w:cs="Calibri"/>
                <w:lang w:val="it-IT"/>
              </w:rPr>
              <w:t>zadnje</w:t>
            </w:r>
            <w:proofErr w:type="spellEnd"/>
            <w:r w:rsidR="003F7F9A" w:rsidRPr="006E59DC">
              <w:rPr>
                <w:rFonts w:ascii="Cambria" w:eastAsia="Calibri" w:hAnsi="Cambria" w:cs="Calibri"/>
                <w:lang w:val="it-IT"/>
              </w:rPr>
              <w:t xml:space="preserve"> </w:t>
            </w:r>
            <w:proofErr w:type="spellStart"/>
            <w:r w:rsidR="003F7F9A" w:rsidRPr="006E59DC">
              <w:rPr>
                <w:rFonts w:ascii="Cambria" w:eastAsia="Calibri" w:hAnsi="Cambria" w:cs="Calibri"/>
                <w:lang w:val="it-IT"/>
              </w:rPr>
              <w:t>izdanje</w:t>
            </w:r>
            <w:proofErr w:type="spellEnd"/>
          </w:p>
          <w:p w14:paraId="55665553" w14:textId="61CD731A" w:rsidR="003F7F9A" w:rsidRPr="006E59DC" w:rsidRDefault="006E59DC" w:rsidP="006E59DC">
            <w:pPr>
              <w:spacing w:after="0" w:line="240" w:lineRule="auto"/>
              <w:rPr>
                <w:rFonts w:ascii="Cambria" w:eastAsia="Times New Roman" w:hAnsi="Cambria" w:cs="Calibri"/>
              </w:rPr>
            </w:pPr>
            <w:r>
              <w:rPr>
                <w:rFonts w:ascii="Cambria" w:eastAsia="Times New Roman" w:hAnsi="Cambria" w:cs="Calibri"/>
              </w:rPr>
              <w:t xml:space="preserve">3. </w:t>
            </w:r>
            <w:r w:rsidR="003F7F9A" w:rsidRPr="00DF4CE5">
              <w:rPr>
                <w:rFonts w:ascii="Cambria" w:eastAsia="Times New Roman" w:hAnsi="Cambria" w:cs="Calibri"/>
              </w:rPr>
              <w:t xml:space="preserve">M. Reimann - </w:t>
            </w:r>
            <w:proofErr w:type="spellStart"/>
            <w:r w:rsidR="003F7F9A" w:rsidRPr="00DF4CE5">
              <w:rPr>
                <w:rFonts w:ascii="Cambria" w:eastAsia="Times New Roman" w:hAnsi="Cambria" w:cs="Calibri"/>
              </w:rPr>
              <w:t>Grundstufengrammatik</w:t>
            </w:r>
            <w:proofErr w:type="spellEnd"/>
            <w:r w:rsidR="003F7F9A" w:rsidRPr="00DF4CE5">
              <w:rPr>
                <w:rFonts w:ascii="Cambria" w:eastAsia="Times New Roman" w:hAnsi="Cambria" w:cs="Calibri"/>
              </w:rPr>
              <w:t xml:space="preserve"> für Deutsch </w:t>
            </w:r>
            <w:proofErr w:type="spellStart"/>
            <w:r w:rsidR="003F7F9A" w:rsidRPr="00DF4CE5">
              <w:rPr>
                <w:rFonts w:ascii="Cambria" w:eastAsia="Times New Roman" w:hAnsi="Cambria" w:cs="Calibri"/>
              </w:rPr>
              <w:t>als</w:t>
            </w:r>
            <w:proofErr w:type="spellEnd"/>
            <w:r w:rsidR="003F7F9A" w:rsidRPr="00DF4CE5">
              <w:rPr>
                <w:rFonts w:ascii="Cambria" w:eastAsia="Times New Roman" w:hAnsi="Cambria" w:cs="Calibri"/>
              </w:rPr>
              <w:t xml:space="preserve"> </w:t>
            </w:r>
            <w:proofErr w:type="spellStart"/>
            <w:r w:rsidR="003F7F9A" w:rsidRPr="00DF4CE5">
              <w:rPr>
                <w:rFonts w:ascii="Cambria" w:eastAsia="Times New Roman" w:hAnsi="Cambria" w:cs="Calibri"/>
              </w:rPr>
              <w:t>Fremdsprache</w:t>
            </w:r>
            <w:proofErr w:type="spellEnd"/>
            <w:r w:rsidR="003F7F9A" w:rsidRPr="00DF4CE5">
              <w:rPr>
                <w:rFonts w:ascii="Cambria" w:eastAsia="Times New Roman" w:hAnsi="Cambria" w:cs="Calibri"/>
              </w:rPr>
              <w:t xml:space="preserve">, Hueber </w:t>
            </w:r>
          </w:p>
          <w:p w14:paraId="51E43C4D" w14:textId="77777777" w:rsidR="003F7F9A" w:rsidRPr="00DF4CE5" w:rsidRDefault="003F7F9A" w:rsidP="003F7F9A">
            <w:pPr>
              <w:spacing w:after="0" w:line="240" w:lineRule="auto"/>
              <w:rPr>
                <w:rFonts w:ascii="Cambria" w:eastAsia="Times New Roman" w:hAnsi="Cambria" w:cs="Calibri"/>
                <w:strike/>
                <w:lang w:val="de-DE"/>
              </w:rPr>
            </w:pPr>
            <w:r w:rsidRPr="00DF4CE5">
              <w:rPr>
                <w:rFonts w:ascii="Cambria" w:eastAsia="Times New Roman" w:hAnsi="Cambria" w:cs="Calibri"/>
              </w:rPr>
              <w:t xml:space="preserve">Internet </w:t>
            </w:r>
            <w:proofErr w:type="spellStart"/>
            <w:r w:rsidRPr="00DF4CE5">
              <w:rPr>
                <w:rFonts w:ascii="Cambria" w:eastAsia="Times New Roman" w:hAnsi="Cambria" w:cs="Calibri"/>
              </w:rPr>
              <w:t>adrese</w:t>
            </w:r>
            <w:proofErr w:type="spellEnd"/>
            <w:r w:rsidRPr="00DF4CE5">
              <w:rPr>
                <w:rFonts w:ascii="Cambria" w:eastAsia="Times New Roman" w:hAnsi="Cambria" w:cs="Calibri"/>
              </w:rPr>
              <w:t xml:space="preserve">: </w:t>
            </w:r>
            <w:hyperlink r:id="rId22" w:history="1">
              <w:r w:rsidRPr="00DF4CE5">
                <w:rPr>
                  <w:rFonts w:ascii="Cambria" w:eastAsia="Times New Roman" w:hAnsi="Cambria" w:cs="Calibri"/>
                  <w:color w:val="0563C1"/>
                  <w:u w:val="single"/>
                </w:rPr>
                <w:t>https://www.tatsachen-ueber-deutschland.de/de</w:t>
              </w:r>
            </w:hyperlink>
            <w:r w:rsidRPr="00DF4CE5">
              <w:rPr>
                <w:rFonts w:ascii="Cambria" w:eastAsia="Times New Roman" w:hAnsi="Cambria" w:cs="Calibri"/>
              </w:rPr>
              <w:t xml:space="preserve">,  </w:t>
            </w:r>
            <w:hyperlink r:id="rId23" w:history="1">
              <w:r w:rsidRPr="00DF4CE5">
                <w:rPr>
                  <w:rFonts w:ascii="Cambria" w:eastAsia="Times New Roman" w:hAnsi="Cambria" w:cs="Calibri"/>
                  <w:color w:val="0563C1"/>
                  <w:u w:val="single"/>
                </w:rPr>
                <w:t>https://www.austria.info/at/service-fakten/uber-osterreich</w:t>
              </w:r>
            </w:hyperlink>
            <w:r w:rsidRPr="00DF4CE5">
              <w:rPr>
                <w:rFonts w:ascii="Cambria" w:eastAsia="Times New Roman" w:hAnsi="Cambria" w:cs="Calibri"/>
              </w:rPr>
              <w:t>,</w:t>
            </w:r>
            <w:hyperlink r:id="rId24" w:history="1">
              <w:r w:rsidRPr="00DF4CE5">
                <w:rPr>
                  <w:rFonts w:ascii="Cambria" w:eastAsia="Times New Roman" w:hAnsi="Cambria" w:cs="Calibri"/>
                  <w:color w:val="0563C1"/>
                  <w:u w:val="single"/>
                </w:rPr>
                <w:t>www.dw-world.de</w:t>
              </w:r>
            </w:hyperlink>
            <w:r w:rsidRPr="00DF4CE5">
              <w:rPr>
                <w:rFonts w:ascii="Cambria" w:eastAsia="Times New Roman" w:hAnsi="Cambria" w:cs="Calibri"/>
              </w:rPr>
              <w:t xml:space="preserve">,  </w:t>
            </w:r>
            <w:hyperlink r:id="rId25" w:history="1">
              <w:r w:rsidRPr="00DF4CE5">
                <w:rPr>
                  <w:rFonts w:ascii="Cambria" w:eastAsia="Times New Roman" w:hAnsi="Cambria" w:cs="Calibri"/>
                  <w:color w:val="0563C1"/>
                  <w:u w:val="single"/>
                </w:rPr>
                <w:t>https://www.goethe.de/de/index.html</w:t>
              </w:r>
            </w:hyperlink>
            <w:r w:rsidRPr="00DF4CE5">
              <w:rPr>
                <w:rFonts w:ascii="Cambria" w:eastAsia="Times New Roman" w:hAnsi="Cambria" w:cs="Calibri"/>
              </w:rPr>
              <w:t xml:space="preserve">, </w:t>
            </w:r>
            <w:hyperlink r:id="rId26" w:history="1">
              <w:r w:rsidRPr="00DF4CE5">
                <w:rPr>
                  <w:rFonts w:ascii="Cambria" w:eastAsia="Times New Roman" w:hAnsi="Cambria" w:cs="Calibri"/>
                  <w:color w:val="0563C1"/>
                  <w:u w:val="single"/>
                </w:rPr>
                <w:t>www.deutschlandpanorama.de</w:t>
              </w:r>
            </w:hyperlink>
            <w:r w:rsidRPr="00DF4CE5">
              <w:rPr>
                <w:rFonts w:ascii="Cambria" w:eastAsia="Times New Roman" w:hAnsi="Cambria" w:cs="Calibri"/>
              </w:rPr>
              <w:t xml:space="preserve">,  </w:t>
            </w:r>
            <w:hyperlink r:id="rId27" w:history="1">
              <w:r w:rsidRPr="00DF4CE5">
                <w:rPr>
                  <w:rFonts w:ascii="Cambria" w:eastAsia="Times New Roman" w:hAnsi="Cambria" w:cs="Calibri"/>
                  <w:color w:val="0563C1"/>
                  <w:u w:val="single"/>
                </w:rPr>
                <w:t>www.vitaminde.de</w:t>
              </w:r>
            </w:hyperlink>
            <w:r w:rsidRPr="00DF4CE5">
              <w:rPr>
                <w:rFonts w:ascii="Cambria" w:eastAsia="Times New Roman" w:hAnsi="Cambria" w:cs="Calibri"/>
              </w:rPr>
              <w:t xml:space="preserve">, </w:t>
            </w:r>
            <w:hyperlink r:id="rId28" w:history="1">
              <w:r w:rsidRPr="00DF4CE5">
                <w:rPr>
                  <w:rFonts w:ascii="Cambria" w:eastAsia="Times New Roman" w:hAnsi="Cambria" w:cs="Calibri"/>
                  <w:color w:val="0563C1"/>
                  <w:u w:val="single"/>
                </w:rPr>
                <w:t>http://www.alumniportal-deutschland.org</w:t>
              </w:r>
            </w:hyperlink>
            <w:r w:rsidRPr="00DF4CE5">
              <w:rPr>
                <w:rFonts w:ascii="Cambria" w:eastAsia="Times New Roman" w:hAnsi="Cambria" w:cs="Calibri"/>
              </w:rPr>
              <w:t xml:space="preserve"> </w:t>
            </w:r>
          </w:p>
        </w:tc>
      </w:tr>
      <w:bookmarkEnd w:id="102"/>
    </w:tbl>
    <w:p w14:paraId="4B07D6A7" w14:textId="6A69E227" w:rsidR="00830554" w:rsidRDefault="00830554">
      <w:pPr>
        <w:rPr>
          <w:rFonts w:ascii="Cambria" w:eastAsia="Times New Roman" w:hAnsi="Cambria" w:cs="Calibri"/>
          <w:lang w:val="hr-HR"/>
        </w:rPr>
      </w:pPr>
    </w:p>
    <w:p w14:paraId="7B15DA3D" w14:textId="77777777" w:rsidR="00830554" w:rsidRDefault="00830554">
      <w:pPr>
        <w:rPr>
          <w:rFonts w:ascii="Cambria" w:eastAsia="Times New Roman" w:hAnsi="Cambria" w:cs="Calibri"/>
          <w:lang w:val="hr-HR"/>
        </w:rPr>
      </w:pPr>
      <w:r>
        <w:rPr>
          <w:rFonts w:ascii="Cambria" w:eastAsia="Times New Roman" w:hAnsi="Cambria" w:cs="Calibri"/>
          <w:lang w:val="hr-HR"/>
        </w:rPr>
        <w:br w:type="page"/>
      </w:r>
    </w:p>
    <w:p w14:paraId="14826BAF" w14:textId="77777777" w:rsidR="001C42AA" w:rsidRPr="00DF4CE5" w:rsidRDefault="001C42AA">
      <w:pPr>
        <w:rPr>
          <w:rFonts w:ascii="Cambria" w:eastAsia="Times New Roman" w:hAnsi="Cambria" w:cs="Calibri"/>
          <w:lang w:val="hr-HR"/>
        </w:rPr>
      </w:pPr>
    </w:p>
    <w:tbl>
      <w:tblPr>
        <w:tblW w:w="5000" w:type="pct"/>
        <w:tblLayout w:type="fixed"/>
        <w:tblCellMar>
          <w:left w:w="0" w:type="dxa"/>
          <w:right w:w="0" w:type="dxa"/>
        </w:tblCellMar>
        <w:tblLook w:val="0600" w:firstRow="0" w:lastRow="0" w:firstColumn="0" w:lastColumn="0" w:noHBand="1" w:noVBand="1"/>
      </w:tblPr>
      <w:tblGrid>
        <w:gridCol w:w="2808"/>
        <w:gridCol w:w="2647"/>
        <w:gridCol w:w="18"/>
        <w:gridCol w:w="1199"/>
        <w:gridCol w:w="375"/>
        <w:gridCol w:w="690"/>
        <w:gridCol w:w="868"/>
        <w:gridCol w:w="1415"/>
      </w:tblGrid>
      <w:tr w:rsidR="001C42AA" w:rsidRPr="00DF4CE5" w14:paraId="50AD037B" w14:textId="77777777" w:rsidTr="00A31664">
        <w:tc>
          <w:tcPr>
            <w:tcW w:w="9340"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298F2F2" w14:textId="77777777" w:rsidR="001C42AA" w:rsidRPr="00DF4CE5" w:rsidRDefault="001C42AA" w:rsidP="001C42AA">
            <w:pPr>
              <w:spacing w:after="0" w:line="240" w:lineRule="auto"/>
              <w:jc w:val="right"/>
              <w:rPr>
                <w:rFonts w:ascii="Cambria" w:eastAsia="Times New Roman" w:hAnsi="Cambria" w:cs="Calibri"/>
                <w:b/>
              </w:rPr>
            </w:pPr>
            <w:r w:rsidRPr="00DF4CE5">
              <w:rPr>
                <w:rFonts w:ascii="Cambria" w:eastAsia="Times New Roman" w:hAnsi="Cambria" w:cs="Calibri"/>
                <w:b/>
              </w:rPr>
              <w:t>IZVEDBENI PLAN NASTAVE KOLEGIJA</w:t>
            </w:r>
          </w:p>
        </w:tc>
      </w:tr>
      <w:tr w:rsidR="001C42AA" w:rsidRPr="00DF4CE5" w14:paraId="1286564F" w14:textId="77777777" w:rsidTr="00A31664">
        <w:tc>
          <w:tcPr>
            <w:tcW w:w="261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86B7029" w14:textId="77777777" w:rsidR="001C42AA" w:rsidRPr="00DF4CE5" w:rsidRDefault="001C42AA" w:rsidP="001C42AA">
            <w:pPr>
              <w:spacing w:after="0" w:line="240" w:lineRule="auto"/>
              <w:rPr>
                <w:rFonts w:ascii="Cambria" w:eastAsia="Times New Roman" w:hAnsi="Cambria" w:cs="Calibri"/>
              </w:rPr>
            </w:pPr>
            <w:proofErr w:type="spellStart"/>
            <w:r w:rsidRPr="00DF4CE5">
              <w:rPr>
                <w:rFonts w:ascii="Cambria" w:eastAsia="Times New Roman" w:hAnsi="Cambria" w:cs="Calibri"/>
              </w:rPr>
              <w:t>Kod</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i</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naziv</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kolegija</w:t>
            </w:r>
            <w:proofErr w:type="spellEnd"/>
          </w:p>
        </w:tc>
        <w:tc>
          <w:tcPr>
            <w:tcW w:w="6723"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CBA8CA4" w14:textId="4C50A96B" w:rsidR="001C42AA" w:rsidRPr="00DF4CE5" w:rsidRDefault="00A31664" w:rsidP="001C42AA">
            <w:pPr>
              <w:spacing w:after="0" w:line="240" w:lineRule="auto"/>
              <w:rPr>
                <w:rFonts w:ascii="Cambria" w:eastAsia="Times New Roman" w:hAnsi="Cambria" w:cs="Calibri"/>
              </w:rPr>
            </w:pPr>
            <w:r w:rsidRPr="00DF4CE5">
              <w:rPr>
                <w:rFonts w:ascii="Cambria" w:eastAsia="Times New Roman" w:hAnsi="Cambria" w:cs="Calibri"/>
              </w:rPr>
              <w:t>257225</w:t>
            </w:r>
          </w:p>
          <w:p w14:paraId="4BB24ED0" w14:textId="77777777" w:rsidR="001C42AA" w:rsidRPr="00DF4CE5" w:rsidRDefault="001C42AA" w:rsidP="001C42AA">
            <w:pPr>
              <w:spacing w:after="0" w:line="240" w:lineRule="auto"/>
              <w:rPr>
                <w:rFonts w:ascii="Cambria" w:eastAsia="Times New Roman" w:hAnsi="Cambria" w:cs="Calibri"/>
              </w:rPr>
            </w:pPr>
            <w:proofErr w:type="spellStart"/>
            <w:r w:rsidRPr="00DF4CE5">
              <w:rPr>
                <w:rFonts w:ascii="Cambria" w:eastAsia="Times New Roman" w:hAnsi="Cambria" w:cs="Calibri"/>
              </w:rPr>
              <w:t>Glazbena</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kultura</w:t>
            </w:r>
            <w:proofErr w:type="spellEnd"/>
          </w:p>
        </w:tc>
      </w:tr>
      <w:tr w:rsidR="001C42AA" w:rsidRPr="00DF4CE5" w14:paraId="3AB671CC" w14:textId="77777777" w:rsidTr="00A31664">
        <w:tc>
          <w:tcPr>
            <w:tcW w:w="261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6A9D8E2" w14:textId="77777777" w:rsidR="001C42AA" w:rsidRPr="00DF4CE5" w:rsidRDefault="001C42AA" w:rsidP="001C42AA">
            <w:pPr>
              <w:spacing w:after="0" w:line="240" w:lineRule="auto"/>
              <w:rPr>
                <w:rFonts w:ascii="Cambria" w:eastAsia="Times New Roman" w:hAnsi="Cambria" w:cs="Calibri"/>
              </w:rPr>
            </w:pPr>
            <w:proofErr w:type="spellStart"/>
            <w:r w:rsidRPr="00DF4CE5">
              <w:rPr>
                <w:rFonts w:ascii="Cambria" w:eastAsia="Times New Roman" w:hAnsi="Cambria" w:cs="Calibri"/>
              </w:rPr>
              <w:t>Nastavnica</w:t>
            </w:r>
            <w:proofErr w:type="spellEnd"/>
            <w:r w:rsidRPr="00DF4CE5">
              <w:rPr>
                <w:rFonts w:ascii="Cambria" w:eastAsia="Times New Roman" w:hAnsi="Cambria" w:cs="Calibri"/>
              </w:rPr>
              <w:t xml:space="preserve"> </w:t>
            </w:r>
          </w:p>
          <w:p w14:paraId="7CF23B2D" w14:textId="77777777" w:rsidR="001C42AA" w:rsidRPr="00DF4CE5" w:rsidRDefault="001C42AA" w:rsidP="001C42AA">
            <w:pPr>
              <w:spacing w:after="0" w:line="240" w:lineRule="auto"/>
              <w:rPr>
                <w:rFonts w:ascii="Cambria" w:eastAsia="Times New Roman" w:hAnsi="Cambria" w:cs="Calibri"/>
              </w:rPr>
            </w:pPr>
            <w:proofErr w:type="spellStart"/>
            <w:r w:rsidRPr="00DF4CE5">
              <w:rPr>
                <w:rFonts w:ascii="Cambria" w:eastAsia="Times New Roman" w:hAnsi="Cambria" w:cs="Calibri"/>
              </w:rPr>
              <w:t>Suradnik</w:t>
            </w:r>
            <w:proofErr w:type="spellEnd"/>
          </w:p>
        </w:tc>
        <w:tc>
          <w:tcPr>
            <w:tcW w:w="6723"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3D52ED2" w14:textId="4C5FD781" w:rsidR="001C42AA" w:rsidRPr="00DF4CE5" w:rsidRDefault="00EB7E2C" w:rsidP="001C42AA">
            <w:pPr>
              <w:spacing w:after="0" w:line="240" w:lineRule="auto"/>
              <w:rPr>
                <w:rFonts w:ascii="Cambria" w:eastAsia="Times New Roman" w:hAnsi="Cambria" w:cs="Times New Roman"/>
                <w:lang w:val="it-IT"/>
              </w:rPr>
            </w:pPr>
            <w:hyperlink r:id="rId29" w:history="1">
              <w:r w:rsidRPr="00DF4CE5">
                <w:rPr>
                  <w:rFonts w:ascii="Cambria" w:eastAsia="Times New Roman" w:hAnsi="Cambria" w:cs="Times New Roman"/>
                  <w:color w:val="0000FF"/>
                  <w:u w:val="single"/>
                  <w:lang w:val="it-IT"/>
                </w:rPr>
                <w:t>P</w:t>
              </w:r>
              <w:r w:rsidR="001C42AA" w:rsidRPr="00DF4CE5">
                <w:rPr>
                  <w:rFonts w:ascii="Cambria" w:eastAsia="Times New Roman" w:hAnsi="Cambria" w:cs="Times New Roman"/>
                  <w:color w:val="0000FF"/>
                  <w:u w:val="single"/>
                  <w:lang w:val="it-IT"/>
                </w:rPr>
                <w:t>rof. dr. sc. Ivana Paula Gortan-Carlin</w:t>
              </w:r>
            </w:hyperlink>
            <w:r w:rsidR="001C42AA" w:rsidRPr="00DF4CE5">
              <w:rPr>
                <w:rFonts w:ascii="Cambria" w:eastAsia="Times New Roman" w:hAnsi="Cambria" w:cs="Times New Roman"/>
                <w:lang w:val="it-IT"/>
              </w:rPr>
              <w:t xml:space="preserve"> (</w:t>
            </w:r>
            <w:proofErr w:type="spellStart"/>
            <w:r w:rsidR="001C42AA" w:rsidRPr="00DF4CE5">
              <w:rPr>
                <w:rFonts w:ascii="Cambria" w:eastAsia="Times New Roman" w:hAnsi="Cambria" w:cs="Times New Roman"/>
                <w:lang w:val="it-IT"/>
              </w:rPr>
              <w:t>nositeljica</w:t>
            </w:r>
            <w:proofErr w:type="spellEnd"/>
            <w:r w:rsidR="001C42AA" w:rsidRPr="00DF4CE5">
              <w:rPr>
                <w:rFonts w:ascii="Cambria" w:eastAsia="Times New Roman" w:hAnsi="Cambria" w:cs="Times New Roman"/>
                <w:lang w:val="it-IT"/>
              </w:rPr>
              <w:t>)</w:t>
            </w:r>
          </w:p>
          <w:p w14:paraId="547229B2" w14:textId="77777777" w:rsidR="001C42AA" w:rsidRPr="00DF4CE5" w:rsidRDefault="001C42AA" w:rsidP="001C42AA">
            <w:pPr>
              <w:spacing w:after="0" w:line="240" w:lineRule="auto"/>
              <w:rPr>
                <w:rFonts w:ascii="Cambria" w:eastAsia="Times New Roman" w:hAnsi="Cambria" w:cs="Calibri"/>
              </w:rPr>
            </w:pPr>
            <w:hyperlink r:id="rId30" w:history="1">
              <w:r w:rsidRPr="00DF4CE5">
                <w:rPr>
                  <w:rFonts w:ascii="Cambria" w:eastAsia="Times New Roman" w:hAnsi="Cambria" w:cs="Times New Roman"/>
                  <w:color w:val="0000FF"/>
                  <w:u w:val="single"/>
                </w:rPr>
                <w:t>Mr. sc. Branko Radić, pred.</w:t>
              </w:r>
            </w:hyperlink>
          </w:p>
        </w:tc>
      </w:tr>
      <w:tr w:rsidR="001C42AA" w:rsidRPr="00DF4CE5" w14:paraId="3C176E27" w14:textId="77777777" w:rsidTr="00A31664">
        <w:tc>
          <w:tcPr>
            <w:tcW w:w="261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4387AAD" w14:textId="77777777" w:rsidR="001C42AA" w:rsidRPr="00DF4CE5" w:rsidRDefault="001C42AA" w:rsidP="001C42AA">
            <w:pPr>
              <w:spacing w:after="0" w:line="240" w:lineRule="auto"/>
              <w:rPr>
                <w:rFonts w:ascii="Cambria" w:eastAsia="Times New Roman" w:hAnsi="Cambria" w:cs="Calibri"/>
              </w:rPr>
            </w:pPr>
            <w:proofErr w:type="spellStart"/>
            <w:r w:rsidRPr="00DF4CE5">
              <w:rPr>
                <w:rFonts w:ascii="Cambria" w:eastAsia="Times New Roman" w:hAnsi="Cambria" w:cs="Calibri"/>
              </w:rPr>
              <w:t>Studijski</w:t>
            </w:r>
            <w:proofErr w:type="spellEnd"/>
            <w:r w:rsidRPr="00DF4CE5">
              <w:rPr>
                <w:rFonts w:ascii="Cambria" w:eastAsia="Times New Roman" w:hAnsi="Cambria" w:cs="Calibri"/>
              </w:rPr>
              <w:t xml:space="preserve"> program</w:t>
            </w:r>
          </w:p>
        </w:tc>
        <w:tc>
          <w:tcPr>
            <w:tcW w:w="6723"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5C6F0FB" w14:textId="77777777" w:rsidR="001C42AA" w:rsidRPr="00DF4CE5" w:rsidRDefault="001C42AA" w:rsidP="001C42AA">
            <w:pPr>
              <w:spacing w:after="0" w:line="240" w:lineRule="auto"/>
              <w:rPr>
                <w:rFonts w:ascii="Cambria" w:eastAsia="Times New Roman" w:hAnsi="Cambria" w:cs="Calibri"/>
              </w:rPr>
            </w:pPr>
            <w:proofErr w:type="spellStart"/>
            <w:r w:rsidRPr="00DF4CE5">
              <w:rPr>
                <w:rFonts w:ascii="Cambria" w:eastAsia="Times New Roman" w:hAnsi="Cambria" w:cs="Calibri"/>
              </w:rPr>
              <w:t>Sveučilišni</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integrirani</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prijediplomski</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i</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diplomski</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Učiteljski</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studij</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na</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hrvatskom</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jeziku</w:t>
            </w:r>
            <w:proofErr w:type="spellEnd"/>
          </w:p>
        </w:tc>
      </w:tr>
      <w:tr w:rsidR="001C42AA" w:rsidRPr="00DF4CE5" w14:paraId="42CD9F92" w14:textId="77777777" w:rsidTr="00A31664">
        <w:tc>
          <w:tcPr>
            <w:tcW w:w="261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9E9A502" w14:textId="77777777" w:rsidR="001C42AA" w:rsidRPr="00DF4CE5" w:rsidRDefault="001C42AA" w:rsidP="001C42AA">
            <w:pPr>
              <w:spacing w:after="0" w:line="240" w:lineRule="auto"/>
              <w:rPr>
                <w:rFonts w:ascii="Cambria" w:eastAsia="Times New Roman" w:hAnsi="Cambria" w:cs="Calibri"/>
              </w:rPr>
            </w:pPr>
            <w:proofErr w:type="spellStart"/>
            <w:r w:rsidRPr="00DF4CE5">
              <w:rPr>
                <w:rFonts w:ascii="Cambria" w:eastAsia="Times New Roman" w:hAnsi="Cambria" w:cs="Calibri"/>
              </w:rPr>
              <w:t>Vrsta</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kolegija</w:t>
            </w:r>
            <w:proofErr w:type="spellEnd"/>
          </w:p>
        </w:tc>
        <w:tc>
          <w:tcPr>
            <w:tcW w:w="2484"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36C2B92" w14:textId="77777777" w:rsidR="001C42AA" w:rsidRPr="00DF4CE5" w:rsidRDefault="001C42AA" w:rsidP="001C42AA">
            <w:pPr>
              <w:spacing w:after="0" w:line="240" w:lineRule="auto"/>
              <w:rPr>
                <w:rFonts w:ascii="Cambria" w:eastAsia="Times New Roman" w:hAnsi="Cambria" w:cs="Calibri"/>
              </w:rPr>
            </w:pPr>
            <w:proofErr w:type="spellStart"/>
            <w:r w:rsidRPr="00DF4CE5">
              <w:rPr>
                <w:rFonts w:ascii="Cambria" w:eastAsia="Times New Roman" w:hAnsi="Cambria" w:cs="Calibri"/>
              </w:rPr>
              <w:t>obvezan</w:t>
            </w:r>
            <w:proofErr w:type="spellEnd"/>
            <w:r w:rsidRPr="00DF4CE5">
              <w:rPr>
                <w:rFonts w:ascii="Cambria" w:eastAsia="Times New Roman" w:hAnsi="Cambria" w:cs="Calibri"/>
              </w:rPr>
              <w:t xml:space="preserve"> </w:t>
            </w:r>
          </w:p>
        </w:tc>
        <w:tc>
          <w:tcPr>
            <w:tcW w:w="1468"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27D064D2" w14:textId="77777777" w:rsidR="001C42AA" w:rsidRPr="00DF4CE5" w:rsidRDefault="001C42AA" w:rsidP="001C42AA">
            <w:pPr>
              <w:spacing w:after="0" w:line="240" w:lineRule="auto"/>
              <w:rPr>
                <w:rFonts w:ascii="Cambria" w:eastAsia="Times New Roman" w:hAnsi="Cambria" w:cs="Calibri"/>
              </w:rPr>
            </w:pPr>
            <w:r w:rsidRPr="00DF4CE5">
              <w:rPr>
                <w:rFonts w:ascii="Cambria" w:eastAsia="Times New Roman" w:hAnsi="Cambria" w:cs="Calibri"/>
              </w:rPr>
              <w:t xml:space="preserve">Razina </w:t>
            </w:r>
            <w:proofErr w:type="spellStart"/>
            <w:r w:rsidRPr="00DF4CE5">
              <w:rPr>
                <w:rFonts w:ascii="Cambria" w:eastAsia="Times New Roman" w:hAnsi="Cambria" w:cs="Calibri"/>
              </w:rPr>
              <w:t>kolegija</w:t>
            </w:r>
            <w:proofErr w:type="spellEnd"/>
          </w:p>
        </w:tc>
        <w:tc>
          <w:tcPr>
            <w:tcW w:w="2771"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0B88B88" w14:textId="77777777" w:rsidR="001C42AA" w:rsidRPr="00DF4CE5" w:rsidRDefault="001C42AA" w:rsidP="001C42AA">
            <w:pPr>
              <w:spacing w:after="0" w:line="240" w:lineRule="auto"/>
              <w:rPr>
                <w:rFonts w:ascii="Cambria" w:eastAsia="Times New Roman" w:hAnsi="Cambria" w:cs="Calibri"/>
              </w:rPr>
            </w:pPr>
            <w:proofErr w:type="spellStart"/>
            <w:r w:rsidRPr="00DF4CE5">
              <w:rPr>
                <w:rFonts w:ascii="Cambria" w:eastAsia="Times New Roman" w:hAnsi="Cambria" w:cs="Calibri"/>
                <w:lang w:val="it-IT"/>
              </w:rPr>
              <w:t>integrirani</w:t>
            </w:r>
            <w:proofErr w:type="spellEnd"/>
          </w:p>
        </w:tc>
      </w:tr>
      <w:tr w:rsidR="001C42AA" w:rsidRPr="00DF4CE5" w14:paraId="2AD0A0AA" w14:textId="77777777" w:rsidTr="00A31664">
        <w:tc>
          <w:tcPr>
            <w:tcW w:w="261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56F8299" w14:textId="77777777" w:rsidR="001C42AA" w:rsidRPr="00DF4CE5" w:rsidRDefault="001C42AA" w:rsidP="001C42AA">
            <w:pPr>
              <w:spacing w:after="0" w:line="240" w:lineRule="auto"/>
              <w:rPr>
                <w:rFonts w:ascii="Cambria" w:eastAsia="Times New Roman" w:hAnsi="Cambria" w:cs="Calibri"/>
              </w:rPr>
            </w:pPr>
            <w:proofErr w:type="spellStart"/>
            <w:r w:rsidRPr="00DF4CE5">
              <w:rPr>
                <w:rFonts w:ascii="Cambria" w:eastAsia="Times New Roman" w:hAnsi="Cambria" w:cs="Calibri"/>
              </w:rPr>
              <w:t>Semestar</w:t>
            </w:r>
            <w:proofErr w:type="spellEnd"/>
          </w:p>
        </w:tc>
        <w:tc>
          <w:tcPr>
            <w:tcW w:w="2484"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1F215BB" w14:textId="5E13B467" w:rsidR="001C42AA" w:rsidRPr="00DF4CE5" w:rsidRDefault="00F50454" w:rsidP="001C42AA">
            <w:pPr>
              <w:spacing w:after="0" w:line="240" w:lineRule="auto"/>
              <w:rPr>
                <w:rFonts w:ascii="Cambria" w:eastAsia="Times New Roman" w:hAnsi="Cambria" w:cs="Calibri"/>
              </w:rPr>
            </w:pPr>
            <w:r w:rsidRPr="00DF4CE5">
              <w:rPr>
                <w:rFonts w:ascii="Cambria" w:eastAsia="Times New Roman" w:hAnsi="Cambria" w:cs="Calibri"/>
              </w:rPr>
              <w:t>Z</w:t>
            </w:r>
            <w:r w:rsidR="001C42AA" w:rsidRPr="00DF4CE5">
              <w:rPr>
                <w:rFonts w:ascii="Cambria" w:eastAsia="Times New Roman" w:hAnsi="Cambria" w:cs="Calibri"/>
              </w:rPr>
              <w:t>imski</w:t>
            </w:r>
          </w:p>
        </w:tc>
        <w:tc>
          <w:tcPr>
            <w:tcW w:w="1468"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3F385ADC" w14:textId="77777777" w:rsidR="001C42AA" w:rsidRPr="00DF4CE5" w:rsidRDefault="001C42AA" w:rsidP="001C42AA">
            <w:pPr>
              <w:spacing w:after="0" w:line="240" w:lineRule="auto"/>
              <w:rPr>
                <w:rFonts w:ascii="Cambria" w:eastAsia="Times New Roman" w:hAnsi="Cambria" w:cs="Calibri"/>
              </w:rPr>
            </w:pPr>
            <w:r w:rsidRPr="00DF4CE5">
              <w:rPr>
                <w:rFonts w:ascii="Cambria" w:eastAsia="Times New Roman" w:hAnsi="Cambria" w:cs="Calibri"/>
              </w:rPr>
              <w:t xml:space="preserve">Godina </w:t>
            </w:r>
            <w:proofErr w:type="spellStart"/>
            <w:r w:rsidRPr="00DF4CE5">
              <w:rPr>
                <w:rFonts w:ascii="Cambria" w:eastAsia="Times New Roman" w:hAnsi="Cambria" w:cs="Calibri"/>
              </w:rPr>
              <w:t>studija</w:t>
            </w:r>
            <w:proofErr w:type="spellEnd"/>
          </w:p>
        </w:tc>
        <w:tc>
          <w:tcPr>
            <w:tcW w:w="2771"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0027F0A" w14:textId="77777777" w:rsidR="001C42AA" w:rsidRPr="00DF4CE5" w:rsidRDefault="001C42AA" w:rsidP="001C42AA">
            <w:pPr>
              <w:spacing w:after="0" w:line="240" w:lineRule="auto"/>
              <w:rPr>
                <w:rFonts w:ascii="Cambria" w:eastAsia="Times New Roman" w:hAnsi="Cambria" w:cs="Calibri"/>
              </w:rPr>
            </w:pPr>
            <w:r w:rsidRPr="00DF4CE5">
              <w:rPr>
                <w:rFonts w:ascii="Cambria" w:eastAsia="Times New Roman" w:hAnsi="Cambria" w:cs="Calibri"/>
              </w:rPr>
              <w:t>I.</w:t>
            </w:r>
          </w:p>
        </w:tc>
      </w:tr>
      <w:tr w:rsidR="001C42AA" w:rsidRPr="00DF4CE5" w14:paraId="65B07C7F" w14:textId="77777777" w:rsidTr="00A31664">
        <w:tc>
          <w:tcPr>
            <w:tcW w:w="261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0B06151" w14:textId="77777777" w:rsidR="001C42AA" w:rsidRPr="00DF4CE5" w:rsidRDefault="001C42AA" w:rsidP="001C42AA">
            <w:pPr>
              <w:spacing w:after="0" w:line="240" w:lineRule="auto"/>
              <w:rPr>
                <w:rFonts w:ascii="Cambria" w:eastAsia="Times New Roman" w:hAnsi="Cambria" w:cs="Calibri"/>
              </w:rPr>
            </w:pPr>
            <w:proofErr w:type="spellStart"/>
            <w:r w:rsidRPr="00DF4CE5">
              <w:rPr>
                <w:rFonts w:ascii="Cambria" w:eastAsia="Times New Roman" w:hAnsi="Cambria" w:cs="Calibri"/>
              </w:rPr>
              <w:t>Mjesto</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izvođenja</w:t>
            </w:r>
            <w:proofErr w:type="spellEnd"/>
          </w:p>
        </w:tc>
        <w:tc>
          <w:tcPr>
            <w:tcW w:w="2484"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99225D0" w14:textId="77777777" w:rsidR="001C42AA" w:rsidRPr="00DF4CE5" w:rsidRDefault="001C42AA" w:rsidP="001C42AA">
            <w:pPr>
              <w:spacing w:after="0" w:line="240" w:lineRule="auto"/>
              <w:rPr>
                <w:rFonts w:ascii="Cambria" w:eastAsia="Times New Roman" w:hAnsi="Cambria" w:cs="Calibri"/>
              </w:rPr>
            </w:pPr>
            <w:proofErr w:type="spellStart"/>
            <w:r w:rsidRPr="00DF4CE5">
              <w:rPr>
                <w:rFonts w:ascii="Cambria" w:eastAsia="Times New Roman" w:hAnsi="Cambria" w:cs="Calibri"/>
              </w:rPr>
              <w:t>učionica</w:t>
            </w:r>
            <w:proofErr w:type="spellEnd"/>
          </w:p>
          <w:p w14:paraId="66C157AE" w14:textId="77777777" w:rsidR="001C42AA" w:rsidRPr="00DF4CE5" w:rsidRDefault="001C42AA" w:rsidP="001C42AA">
            <w:pPr>
              <w:spacing w:after="0" w:line="240" w:lineRule="auto"/>
              <w:rPr>
                <w:rFonts w:ascii="Cambria" w:eastAsia="Times New Roman" w:hAnsi="Cambria" w:cs="Calibri"/>
              </w:rPr>
            </w:pPr>
            <w:proofErr w:type="spellStart"/>
            <w:r w:rsidRPr="00DF4CE5">
              <w:rPr>
                <w:rFonts w:ascii="Cambria" w:eastAsia="Times New Roman" w:hAnsi="Cambria" w:cs="Calibri"/>
              </w:rPr>
              <w:t>koncertna</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dvorana</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kazalište</w:t>
            </w:r>
            <w:proofErr w:type="spellEnd"/>
          </w:p>
        </w:tc>
        <w:tc>
          <w:tcPr>
            <w:tcW w:w="1468"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224D941E" w14:textId="77777777" w:rsidR="001C42AA" w:rsidRPr="00DF4CE5" w:rsidRDefault="001C42AA" w:rsidP="001C42AA">
            <w:pPr>
              <w:spacing w:after="0" w:line="240" w:lineRule="auto"/>
              <w:rPr>
                <w:rFonts w:ascii="Cambria" w:eastAsia="Times New Roman" w:hAnsi="Cambria" w:cs="Calibri"/>
              </w:rPr>
            </w:pPr>
            <w:r w:rsidRPr="00DF4CE5">
              <w:rPr>
                <w:rFonts w:ascii="Cambria" w:eastAsia="Times New Roman" w:hAnsi="Cambria" w:cs="Calibri"/>
              </w:rPr>
              <w:t xml:space="preserve">Jezik </w:t>
            </w:r>
            <w:proofErr w:type="spellStart"/>
            <w:r w:rsidRPr="00DF4CE5">
              <w:rPr>
                <w:rFonts w:ascii="Cambria" w:eastAsia="Times New Roman" w:hAnsi="Cambria" w:cs="Calibri"/>
              </w:rPr>
              <w:t>izvođenja</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drugi</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jezici</w:t>
            </w:r>
            <w:proofErr w:type="spellEnd"/>
            <w:r w:rsidRPr="00DF4CE5">
              <w:rPr>
                <w:rFonts w:ascii="Cambria" w:eastAsia="Times New Roman" w:hAnsi="Cambria" w:cs="Calibri"/>
              </w:rPr>
              <w:t>)</w:t>
            </w:r>
          </w:p>
        </w:tc>
        <w:tc>
          <w:tcPr>
            <w:tcW w:w="2771"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537F793" w14:textId="77777777" w:rsidR="001C42AA" w:rsidRPr="00DF4CE5" w:rsidRDefault="001C42AA" w:rsidP="001C42AA">
            <w:pPr>
              <w:spacing w:after="0" w:line="240" w:lineRule="auto"/>
              <w:rPr>
                <w:rFonts w:ascii="Cambria" w:eastAsia="Times New Roman" w:hAnsi="Cambria" w:cs="Calibri"/>
              </w:rPr>
            </w:pPr>
            <w:proofErr w:type="spellStart"/>
            <w:r w:rsidRPr="00DF4CE5">
              <w:rPr>
                <w:rFonts w:ascii="Cambria" w:eastAsia="Times New Roman" w:hAnsi="Cambria" w:cs="Calibri"/>
              </w:rPr>
              <w:t>hrvatski</w:t>
            </w:r>
            <w:proofErr w:type="spellEnd"/>
            <w:r w:rsidRPr="00DF4CE5">
              <w:rPr>
                <w:rFonts w:ascii="Cambria" w:eastAsia="Times New Roman" w:hAnsi="Cambria" w:cs="Calibri"/>
              </w:rPr>
              <w:t xml:space="preserve"> </w:t>
            </w:r>
          </w:p>
          <w:p w14:paraId="1F21907B" w14:textId="77777777" w:rsidR="001C42AA" w:rsidRPr="00DF4CE5" w:rsidRDefault="001C42AA" w:rsidP="001C42AA">
            <w:pPr>
              <w:spacing w:after="0" w:line="240" w:lineRule="auto"/>
              <w:rPr>
                <w:rFonts w:ascii="Cambria" w:eastAsia="Times New Roman" w:hAnsi="Cambria" w:cs="Calibri"/>
              </w:rPr>
            </w:pPr>
            <w:r w:rsidRPr="00DF4CE5">
              <w:rPr>
                <w:rFonts w:ascii="Cambria" w:eastAsia="Times New Roman" w:hAnsi="Cambria" w:cs="Calibri"/>
              </w:rPr>
              <w:t>(</w:t>
            </w:r>
            <w:proofErr w:type="spellStart"/>
            <w:r w:rsidRPr="00DF4CE5">
              <w:rPr>
                <w:rFonts w:ascii="Cambria" w:eastAsia="Times New Roman" w:hAnsi="Cambria" w:cs="Calibri"/>
              </w:rPr>
              <w:t>talijanski</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slovenski</w:t>
            </w:r>
            <w:proofErr w:type="spellEnd"/>
            <w:r w:rsidRPr="00DF4CE5">
              <w:rPr>
                <w:rFonts w:ascii="Cambria" w:eastAsia="Times New Roman" w:hAnsi="Cambria" w:cs="Calibri"/>
              </w:rPr>
              <w:t>)</w:t>
            </w:r>
          </w:p>
        </w:tc>
      </w:tr>
      <w:tr w:rsidR="001C42AA" w:rsidRPr="00DF4CE5" w14:paraId="1D89D221" w14:textId="77777777" w:rsidTr="00A31664">
        <w:tc>
          <w:tcPr>
            <w:tcW w:w="261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EA50EB8" w14:textId="77777777" w:rsidR="001C42AA" w:rsidRPr="00DF4CE5" w:rsidRDefault="001C42AA" w:rsidP="001C42AA">
            <w:pPr>
              <w:spacing w:after="0" w:line="240" w:lineRule="auto"/>
              <w:rPr>
                <w:rFonts w:ascii="Cambria" w:eastAsia="Times New Roman" w:hAnsi="Cambria" w:cs="Calibri"/>
              </w:rPr>
            </w:pPr>
            <w:proofErr w:type="spellStart"/>
            <w:r w:rsidRPr="00DF4CE5">
              <w:rPr>
                <w:rFonts w:ascii="Cambria" w:eastAsia="Times New Roman" w:hAnsi="Cambria" w:cs="Calibri"/>
              </w:rPr>
              <w:t>Broj</w:t>
            </w:r>
            <w:proofErr w:type="spellEnd"/>
            <w:r w:rsidRPr="00DF4CE5">
              <w:rPr>
                <w:rFonts w:ascii="Cambria" w:eastAsia="Times New Roman" w:hAnsi="Cambria" w:cs="Calibri"/>
              </w:rPr>
              <w:t xml:space="preserve"> ECTS </w:t>
            </w:r>
            <w:proofErr w:type="spellStart"/>
            <w:r w:rsidRPr="00DF4CE5">
              <w:rPr>
                <w:rFonts w:ascii="Cambria" w:eastAsia="Times New Roman" w:hAnsi="Cambria" w:cs="Calibri"/>
              </w:rPr>
              <w:t>bodova</w:t>
            </w:r>
            <w:proofErr w:type="spellEnd"/>
          </w:p>
        </w:tc>
        <w:tc>
          <w:tcPr>
            <w:tcW w:w="2484"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D3288FA" w14:textId="77777777" w:rsidR="001C42AA" w:rsidRPr="00DF4CE5" w:rsidRDefault="001C42AA" w:rsidP="001C42AA">
            <w:pPr>
              <w:spacing w:after="0" w:line="240" w:lineRule="auto"/>
              <w:rPr>
                <w:rFonts w:ascii="Cambria" w:eastAsia="Times New Roman" w:hAnsi="Cambria" w:cs="Calibri"/>
              </w:rPr>
            </w:pPr>
            <w:r w:rsidRPr="00DF4CE5">
              <w:rPr>
                <w:rFonts w:ascii="Cambria" w:eastAsia="Times New Roman" w:hAnsi="Cambria" w:cs="Calibri"/>
              </w:rPr>
              <w:t>2</w:t>
            </w:r>
          </w:p>
        </w:tc>
        <w:tc>
          <w:tcPr>
            <w:tcW w:w="1468"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76BDBA61" w14:textId="77777777" w:rsidR="001C42AA" w:rsidRPr="00DF4CE5" w:rsidRDefault="001C42AA" w:rsidP="001C42AA">
            <w:pPr>
              <w:spacing w:after="0" w:line="240" w:lineRule="auto"/>
              <w:rPr>
                <w:rFonts w:ascii="Cambria" w:eastAsia="Times New Roman" w:hAnsi="Cambria" w:cs="Calibri"/>
              </w:rPr>
            </w:pPr>
            <w:proofErr w:type="spellStart"/>
            <w:r w:rsidRPr="00DF4CE5">
              <w:rPr>
                <w:rFonts w:ascii="Cambria" w:eastAsia="Times New Roman" w:hAnsi="Cambria" w:cs="Calibri"/>
              </w:rPr>
              <w:t>Broj</w:t>
            </w:r>
            <w:proofErr w:type="spellEnd"/>
            <w:r w:rsidRPr="00DF4CE5">
              <w:rPr>
                <w:rFonts w:ascii="Cambria" w:eastAsia="Times New Roman" w:hAnsi="Cambria" w:cs="Calibri"/>
              </w:rPr>
              <w:t xml:space="preserve"> sati u </w:t>
            </w:r>
            <w:proofErr w:type="spellStart"/>
            <w:r w:rsidRPr="00DF4CE5">
              <w:rPr>
                <w:rFonts w:ascii="Cambria" w:eastAsia="Times New Roman" w:hAnsi="Cambria" w:cs="Calibri"/>
              </w:rPr>
              <w:t>semestru</w:t>
            </w:r>
            <w:proofErr w:type="spellEnd"/>
          </w:p>
        </w:tc>
        <w:tc>
          <w:tcPr>
            <w:tcW w:w="2771"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7A41A17" w14:textId="35E6922B" w:rsidR="001C42AA" w:rsidRPr="00DF4CE5" w:rsidRDefault="001C42AA" w:rsidP="001C42AA">
            <w:pPr>
              <w:spacing w:after="0" w:line="240" w:lineRule="auto"/>
              <w:rPr>
                <w:rFonts w:ascii="Cambria" w:eastAsia="Times New Roman" w:hAnsi="Cambria" w:cs="Calibri"/>
              </w:rPr>
            </w:pPr>
            <w:r w:rsidRPr="00DF4CE5">
              <w:rPr>
                <w:rFonts w:ascii="Cambria" w:eastAsia="Times New Roman" w:hAnsi="Cambria" w:cs="Calibri"/>
              </w:rPr>
              <w:t xml:space="preserve">15P – </w:t>
            </w:r>
            <w:r w:rsidR="00760C3A" w:rsidRPr="00DF4CE5">
              <w:rPr>
                <w:rFonts w:ascii="Cambria" w:eastAsia="Times New Roman" w:hAnsi="Cambria" w:cs="Calibri"/>
              </w:rPr>
              <w:t>0S</w:t>
            </w:r>
            <w:r w:rsidR="006E59DC">
              <w:rPr>
                <w:rFonts w:ascii="Cambria" w:eastAsia="Times New Roman" w:hAnsi="Cambria" w:cs="Calibri"/>
              </w:rPr>
              <w:t xml:space="preserve"> </w:t>
            </w:r>
            <w:r w:rsidRPr="00DF4CE5">
              <w:rPr>
                <w:rFonts w:ascii="Cambria" w:eastAsia="Times New Roman" w:hAnsi="Cambria" w:cs="Calibri"/>
              </w:rPr>
              <w:t xml:space="preserve">– </w:t>
            </w:r>
            <w:r w:rsidR="00760C3A" w:rsidRPr="00DF4CE5">
              <w:rPr>
                <w:rFonts w:ascii="Cambria" w:eastAsia="Times New Roman" w:hAnsi="Cambria" w:cs="Calibri"/>
              </w:rPr>
              <w:t>15V</w:t>
            </w:r>
            <w:r w:rsidRPr="00DF4CE5">
              <w:rPr>
                <w:rFonts w:ascii="Cambria" w:eastAsia="Times New Roman" w:hAnsi="Cambria" w:cs="Calibri"/>
              </w:rPr>
              <w:t xml:space="preserve">   </w:t>
            </w:r>
          </w:p>
        </w:tc>
      </w:tr>
      <w:tr w:rsidR="001C42AA" w:rsidRPr="00DF4CE5" w14:paraId="0EF65884" w14:textId="77777777" w:rsidTr="00A31664">
        <w:tc>
          <w:tcPr>
            <w:tcW w:w="261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B4EF36F" w14:textId="77777777" w:rsidR="001C42AA" w:rsidRPr="00DF4CE5" w:rsidRDefault="001C42AA" w:rsidP="001C42AA">
            <w:pPr>
              <w:spacing w:after="0" w:line="240" w:lineRule="auto"/>
              <w:rPr>
                <w:rFonts w:ascii="Cambria" w:eastAsia="Times New Roman" w:hAnsi="Cambria" w:cs="Calibri"/>
                <w:lang w:val="it-IT"/>
              </w:rPr>
            </w:pPr>
            <w:proofErr w:type="spellStart"/>
            <w:r w:rsidRPr="00DF4CE5">
              <w:rPr>
                <w:rFonts w:ascii="Cambria" w:eastAsia="Times New Roman" w:hAnsi="Cambria" w:cs="Calibri"/>
                <w:lang w:val="it-IT"/>
              </w:rPr>
              <w:t>Preduvjeti</w:t>
            </w:r>
            <w:proofErr w:type="spellEnd"/>
            <w:r w:rsidRPr="00DF4CE5">
              <w:rPr>
                <w:rFonts w:ascii="Cambria" w:eastAsia="Times New Roman" w:hAnsi="Cambria" w:cs="Calibri"/>
                <w:lang w:val="it-IT"/>
              </w:rPr>
              <w:t xml:space="preserve"> za </w:t>
            </w:r>
            <w:proofErr w:type="spellStart"/>
            <w:r w:rsidRPr="00DF4CE5">
              <w:rPr>
                <w:rFonts w:ascii="Cambria" w:eastAsia="Times New Roman" w:hAnsi="Cambria" w:cs="Calibri"/>
                <w:lang w:val="it-IT"/>
              </w:rPr>
              <w:t>upis</w:t>
            </w:r>
            <w:proofErr w:type="spellEnd"/>
            <w:r w:rsidRPr="00DF4CE5">
              <w:rPr>
                <w:rFonts w:ascii="Cambria" w:eastAsia="Times New Roman" w:hAnsi="Cambria" w:cs="Calibri"/>
                <w:lang w:val="it-IT"/>
              </w:rPr>
              <w:t xml:space="preserve"> i za </w:t>
            </w:r>
            <w:proofErr w:type="spellStart"/>
            <w:r w:rsidRPr="00DF4CE5">
              <w:rPr>
                <w:rFonts w:ascii="Cambria" w:eastAsia="Times New Roman" w:hAnsi="Cambria" w:cs="Calibri"/>
                <w:lang w:val="it-IT"/>
              </w:rPr>
              <w:t>svladavanje</w:t>
            </w:r>
            <w:proofErr w:type="spellEnd"/>
          </w:p>
        </w:tc>
        <w:tc>
          <w:tcPr>
            <w:tcW w:w="6723"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EDDD30D" w14:textId="77777777" w:rsidR="001C42AA" w:rsidRPr="00DF4CE5" w:rsidRDefault="001C42AA" w:rsidP="001C42AA">
            <w:pPr>
              <w:spacing w:after="0" w:line="240" w:lineRule="auto"/>
              <w:rPr>
                <w:rFonts w:ascii="Cambria" w:eastAsia="Times New Roman" w:hAnsi="Cambria" w:cs="Calibri"/>
              </w:rPr>
            </w:pPr>
            <w:r w:rsidRPr="00DF4CE5">
              <w:rPr>
                <w:rFonts w:ascii="Cambria" w:eastAsia="Times New Roman" w:hAnsi="Cambria" w:cs="Calibri"/>
              </w:rPr>
              <w:t xml:space="preserve">Nema </w:t>
            </w:r>
            <w:proofErr w:type="spellStart"/>
            <w:r w:rsidRPr="00DF4CE5">
              <w:rPr>
                <w:rFonts w:ascii="Cambria" w:eastAsia="Times New Roman" w:hAnsi="Cambria" w:cs="Calibri"/>
              </w:rPr>
              <w:t>preduvjeta</w:t>
            </w:r>
            <w:proofErr w:type="spellEnd"/>
          </w:p>
        </w:tc>
      </w:tr>
      <w:tr w:rsidR="001C42AA" w:rsidRPr="00DF4CE5" w14:paraId="6137E30D" w14:textId="77777777" w:rsidTr="00A31664">
        <w:tc>
          <w:tcPr>
            <w:tcW w:w="261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BAE7BAC" w14:textId="77777777" w:rsidR="001C42AA" w:rsidRPr="00DF4CE5" w:rsidRDefault="001C42AA" w:rsidP="001C42AA">
            <w:pPr>
              <w:spacing w:after="0" w:line="240" w:lineRule="auto"/>
              <w:rPr>
                <w:rFonts w:ascii="Cambria" w:eastAsia="Times New Roman" w:hAnsi="Cambria" w:cs="Calibri"/>
              </w:rPr>
            </w:pPr>
            <w:proofErr w:type="spellStart"/>
            <w:r w:rsidRPr="00DF4CE5">
              <w:rPr>
                <w:rFonts w:ascii="Cambria" w:eastAsia="Times New Roman" w:hAnsi="Cambria" w:cs="Calibri"/>
              </w:rPr>
              <w:t>Korelativnost</w:t>
            </w:r>
            <w:proofErr w:type="spellEnd"/>
          </w:p>
        </w:tc>
        <w:tc>
          <w:tcPr>
            <w:tcW w:w="6723"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FCB4669" w14:textId="77777777" w:rsidR="001C42AA" w:rsidRPr="00DF4CE5" w:rsidRDefault="001C42AA" w:rsidP="001C42AA">
            <w:pPr>
              <w:spacing w:after="0" w:line="240" w:lineRule="auto"/>
              <w:rPr>
                <w:rFonts w:ascii="Cambria" w:eastAsia="Times New Roman" w:hAnsi="Cambria" w:cs="Calibri"/>
                <w:lang w:val="pl-PL"/>
              </w:rPr>
            </w:pPr>
            <w:r w:rsidRPr="00DF4CE5">
              <w:rPr>
                <w:rFonts w:ascii="Cambria" w:eastAsia="Times New Roman" w:hAnsi="Cambria" w:cs="Calibri"/>
                <w:lang w:val="pl-PL"/>
              </w:rPr>
              <w:t>Metodika glazbene kulture I., Metodika glazbene kulture II.</w:t>
            </w:r>
          </w:p>
          <w:p w14:paraId="0458E438" w14:textId="77777777" w:rsidR="001C42AA" w:rsidRPr="00DF4CE5" w:rsidRDefault="001C42AA" w:rsidP="001C42AA">
            <w:pPr>
              <w:spacing w:after="0" w:line="240" w:lineRule="auto"/>
              <w:rPr>
                <w:rFonts w:ascii="Cambria" w:eastAsia="Times New Roman" w:hAnsi="Cambria" w:cs="Calibri"/>
              </w:rPr>
            </w:pPr>
            <w:r w:rsidRPr="00DF4CE5">
              <w:rPr>
                <w:rFonts w:ascii="Cambria" w:eastAsia="Times New Roman" w:hAnsi="Cambria" w:cs="Calibri"/>
              </w:rPr>
              <w:t xml:space="preserve">Rad s </w:t>
            </w:r>
            <w:proofErr w:type="spellStart"/>
            <w:r w:rsidRPr="00DF4CE5">
              <w:rPr>
                <w:rFonts w:ascii="Cambria" w:eastAsia="Times New Roman" w:hAnsi="Cambria" w:cs="Calibri"/>
              </w:rPr>
              <w:t>darovitom</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djecom</w:t>
            </w:r>
            <w:proofErr w:type="spellEnd"/>
          </w:p>
        </w:tc>
      </w:tr>
      <w:tr w:rsidR="001C42AA" w:rsidRPr="00DF4CE5" w14:paraId="20B63EFB" w14:textId="77777777" w:rsidTr="00A31664">
        <w:tc>
          <w:tcPr>
            <w:tcW w:w="261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80E5818" w14:textId="77777777" w:rsidR="001C42AA" w:rsidRPr="00DF4CE5" w:rsidRDefault="001C42AA" w:rsidP="001C42AA">
            <w:pPr>
              <w:spacing w:after="0" w:line="240" w:lineRule="auto"/>
              <w:rPr>
                <w:rFonts w:ascii="Cambria" w:eastAsia="Times New Roman" w:hAnsi="Cambria" w:cs="Calibri"/>
              </w:rPr>
            </w:pPr>
            <w:proofErr w:type="spellStart"/>
            <w:r w:rsidRPr="00DF4CE5">
              <w:rPr>
                <w:rFonts w:ascii="Cambria" w:eastAsia="Times New Roman" w:hAnsi="Cambria" w:cs="Calibri"/>
              </w:rPr>
              <w:t>Cilj</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kolegija</w:t>
            </w:r>
            <w:proofErr w:type="spellEnd"/>
            <w:r w:rsidRPr="00DF4CE5">
              <w:rPr>
                <w:rFonts w:ascii="Cambria" w:eastAsia="Times New Roman" w:hAnsi="Cambria" w:cs="Calibri"/>
              </w:rPr>
              <w:t xml:space="preserve"> </w:t>
            </w:r>
          </w:p>
        </w:tc>
        <w:tc>
          <w:tcPr>
            <w:tcW w:w="6723"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956598D" w14:textId="77777777" w:rsidR="001C42AA" w:rsidRPr="00DF4CE5" w:rsidRDefault="001C42AA" w:rsidP="001C42AA">
            <w:pPr>
              <w:spacing w:after="0" w:line="240" w:lineRule="auto"/>
              <w:rPr>
                <w:rFonts w:ascii="Cambria" w:eastAsia="Times New Roman" w:hAnsi="Cambria" w:cs="Calibri"/>
                <w:lang w:val="pl-PL"/>
              </w:rPr>
            </w:pPr>
            <w:proofErr w:type="spellStart"/>
            <w:r w:rsidRPr="00DF4CE5">
              <w:rPr>
                <w:rFonts w:ascii="Cambria" w:eastAsia="Times New Roman" w:hAnsi="Cambria" w:cs="Times New Roman"/>
              </w:rPr>
              <w:t>steći</w:t>
            </w:r>
            <w:proofErr w:type="spellEnd"/>
            <w:r w:rsidRPr="00DF4CE5">
              <w:rPr>
                <w:rFonts w:ascii="Cambria" w:eastAsia="Times New Roman" w:hAnsi="Cambria" w:cs="Times New Roman"/>
              </w:rPr>
              <w:t xml:space="preserve"> </w:t>
            </w:r>
            <w:r w:rsidRPr="00DF4CE5">
              <w:rPr>
                <w:rFonts w:ascii="Cambria" w:eastAsia="Times New Roman" w:hAnsi="Cambria" w:cs="Times New Roman"/>
                <w:lang w:val="pl-PL"/>
              </w:rPr>
              <w:t>op</w:t>
            </w:r>
            <w:r w:rsidRPr="00DF4CE5">
              <w:rPr>
                <w:rFonts w:ascii="Cambria" w:eastAsia="Times New Roman" w:hAnsi="Cambria" w:cs="Times New Roman"/>
              </w:rPr>
              <w:t>ć</w:t>
            </w:r>
            <w:r w:rsidRPr="00DF4CE5">
              <w:rPr>
                <w:rFonts w:ascii="Cambria" w:eastAsia="Times New Roman" w:hAnsi="Cambria" w:cs="Times New Roman"/>
                <w:lang w:val="pl-PL"/>
              </w:rPr>
              <w:t>e</w:t>
            </w:r>
            <w:r w:rsidRPr="00DF4CE5">
              <w:rPr>
                <w:rFonts w:ascii="Cambria" w:eastAsia="Times New Roman" w:hAnsi="Cambria" w:cs="Times New Roman"/>
              </w:rPr>
              <w:t xml:space="preserve"> </w:t>
            </w:r>
            <w:r w:rsidRPr="00DF4CE5">
              <w:rPr>
                <w:rFonts w:ascii="Cambria" w:eastAsia="Times New Roman" w:hAnsi="Cambria" w:cs="Times New Roman"/>
                <w:lang w:val="pl-PL"/>
              </w:rPr>
              <w:t>i</w:t>
            </w:r>
            <w:r w:rsidRPr="00DF4CE5">
              <w:rPr>
                <w:rFonts w:ascii="Cambria" w:eastAsia="Times New Roman" w:hAnsi="Cambria" w:cs="Times New Roman"/>
              </w:rPr>
              <w:t xml:space="preserve"> </w:t>
            </w:r>
            <w:r w:rsidRPr="00DF4CE5">
              <w:rPr>
                <w:rFonts w:ascii="Cambria" w:eastAsia="Times New Roman" w:hAnsi="Cambria" w:cs="Times New Roman"/>
                <w:lang w:val="pl-PL"/>
              </w:rPr>
              <w:t>specifi</w:t>
            </w:r>
            <w:r w:rsidRPr="00DF4CE5">
              <w:rPr>
                <w:rFonts w:ascii="Cambria" w:eastAsia="Times New Roman" w:hAnsi="Cambria" w:cs="Times New Roman"/>
              </w:rPr>
              <w:t>č</w:t>
            </w:r>
            <w:r w:rsidRPr="00DF4CE5">
              <w:rPr>
                <w:rFonts w:ascii="Cambria" w:eastAsia="Times New Roman" w:hAnsi="Cambria" w:cs="Times New Roman"/>
                <w:lang w:val="pl-PL"/>
              </w:rPr>
              <w:t>ne glazbene</w:t>
            </w:r>
            <w:r w:rsidRPr="00DF4CE5">
              <w:rPr>
                <w:rFonts w:ascii="Cambria" w:eastAsia="Times New Roman" w:hAnsi="Cambria" w:cs="Times New Roman"/>
              </w:rPr>
              <w:t xml:space="preserve"> </w:t>
            </w:r>
            <w:r w:rsidRPr="00DF4CE5">
              <w:rPr>
                <w:rFonts w:ascii="Cambria" w:eastAsia="Times New Roman" w:hAnsi="Cambria" w:cs="Times New Roman"/>
                <w:lang w:val="pl-PL"/>
              </w:rPr>
              <w:t>kompetencije (percepcija, analiza, razumijevanje, sistematiziranje) i ovladati</w:t>
            </w:r>
            <w:r w:rsidRPr="00DF4CE5">
              <w:rPr>
                <w:rFonts w:ascii="Cambria" w:eastAsia="Times New Roman" w:hAnsi="Cambria" w:cs="Times New Roman"/>
              </w:rPr>
              <w:t xml:space="preserve"> </w:t>
            </w:r>
            <w:r w:rsidRPr="00DF4CE5">
              <w:rPr>
                <w:rFonts w:ascii="Cambria" w:eastAsia="Times New Roman" w:hAnsi="Cambria" w:cs="Times New Roman"/>
                <w:lang w:val="pl-PL"/>
              </w:rPr>
              <w:t>osnovama</w:t>
            </w:r>
            <w:r w:rsidRPr="00DF4CE5">
              <w:rPr>
                <w:rFonts w:ascii="Cambria" w:eastAsia="Times New Roman" w:hAnsi="Cambria" w:cs="Times New Roman"/>
              </w:rPr>
              <w:t xml:space="preserve"> </w:t>
            </w:r>
            <w:proofErr w:type="spellStart"/>
            <w:r w:rsidRPr="00DF4CE5">
              <w:rPr>
                <w:rFonts w:ascii="Cambria" w:eastAsia="Times New Roman" w:hAnsi="Cambria" w:cs="Times New Roman"/>
              </w:rPr>
              <w:t>glazbene</w:t>
            </w:r>
            <w:proofErr w:type="spellEnd"/>
            <w:r w:rsidRPr="00DF4CE5">
              <w:rPr>
                <w:rFonts w:ascii="Cambria" w:eastAsia="Times New Roman" w:hAnsi="Cambria" w:cs="Times New Roman"/>
              </w:rPr>
              <w:t xml:space="preserve"> </w:t>
            </w:r>
            <w:r w:rsidRPr="00DF4CE5">
              <w:rPr>
                <w:rFonts w:ascii="Cambria" w:eastAsia="Times New Roman" w:hAnsi="Cambria" w:cs="Times New Roman"/>
                <w:lang w:val="pl-PL"/>
              </w:rPr>
              <w:t>kulture</w:t>
            </w:r>
            <w:r w:rsidRPr="00DF4CE5">
              <w:rPr>
                <w:rFonts w:ascii="Cambria" w:eastAsia="Times New Roman" w:hAnsi="Cambria" w:cs="Times New Roman"/>
              </w:rPr>
              <w:t xml:space="preserve"> </w:t>
            </w:r>
            <w:proofErr w:type="spellStart"/>
            <w:r w:rsidRPr="00DF4CE5">
              <w:rPr>
                <w:rFonts w:ascii="Cambria" w:eastAsia="Times New Roman" w:hAnsi="Cambria" w:cs="Times New Roman"/>
              </w:rPr>
              <w:t>i</w:t>
            </w:r>
            <w:proofErr w:type="spellEnd"/>
            <w:r w:rsidRPr="00DF4CE5">
              <w:rPr>
                <w:rFonts w:ascii="Cambria" w:eastAsia="Times New Roman" w:hAnsi="Cambria" w:cs="Times New Roman"/>
              </w:rPr>
              <w:t xml:space="preserve"> </w:t>
            </w:r>
            <w:proofErr w:type="spellStart"/>
            <w:r w:rsidRPr="00DF4CE5">
              <w:rPr>
                <w:rFonts w:ascii="Cambria" w:eastAsia="Times New Roman" w:hAnsi="Cambria" w:cs="Times New Roman"/>
              </w:rPr>
              <w:t>glazbenom</w:t>
            </w:r>
            <w:proofErr w:type="spellEnd"/>
            <w:r w:rsidRPr="00DF4CE5">
              <w:rPr>
                <w:rFonts w:ascii="Cambria" w:eastAsia="Times New Roman" w:hAnsi="Cambria" w:cs="Times New Roman"/>
              </w:rPr>
              <w:t xml:space="preserve"> </w:t>
            </w:r>
            <w:proofErr w:type="spellStart"/>
            <w:r w:rsidRPr="00DF4CE5">
              <w:rPr>
                <w:rFonts w:ascii="Cambria" w:eastAsia="Times New Roman" w:hAnsi="Cambria" w:cs="Times New Roman"/>
              </w:rPr>
              <w:t>terminologijom</w:t>
            </w:r>
            <w:proofErr w:type="spellEnd"/>
            <w:r w:rsidRPr="00DF4CE5">
              <w:rPr>
                <w:rFonts w:ascii="Cambria" w:eastAsia="Times New Roman" w:hAnsi="Cambria" w:cs="Times New Roman"/>
              </w:rPr>
              <w:t xml:space="preserve"> </w:t>
            </w:r>
            <w:proofErr w:type="spellStart"/>
            <w:r w:rsidRPr="00DF4CE5">
              <w:rPr>
                <w:rFonts w:ascii="Cambria" w:eastAsia="Times New Roman" w:hAnsi="Cambria" w:cs="Times New Roman"/>
              </w:rPr>
              <w:t>na</w:t>
            </w:r>
            <w:proofErr w:type="spellEnd"/>
            <w:r w:rsidRPr="00DF4CE5">
              <w:rPr>
                <w:rFonts w:ascii="Cambria" w:eastAsia="Times New Roman" w:hAnsi="Cambria" w:cs="Times New Roman"/>
              </w:rPr>
              <w:t xml:space="preserve"> </w:t>
            </w:r>
            <w:proofErr w:type="spellStart"/>
            <w:r w:rsidRPr="00DF4CE5">
              <w:rPr>
                <w:rFonts w:ascii="Cambria" w:eastAsia="Times New Roman" w:hAnsi="Cambria" w:cs="Times New Roman"/>
              </w:rPr>
              <w:t>temeljima</w:t>
            </w:r>
            <w:proofErr w:type="spellEnd"/>
            <w:r w:rsidRPr="00DF4CE5">
              <w:rPr>
                <w:rFonts w:ascii="Cambria" w:eastAsia="Times New Roman" w:hAnsi="Cambria" w:cs="Times New Roman"/>
              </w:rPr>
              <w:t xml:space="preserve"> </w:t>
            </w:r>
            <w:proofErr w:type="spellStart"/>
            <w:r w:rsidRPr="00DF4CE5">
              <w:rPr>
                <w:rFonts w:ascii="Cambria" w:eastAsia="Times New Roman" w:hAnsi="Cambria" w:cs="Times New Roman"/>
              </w:rPr>
              <w:t>glazbene</w:t>
            </w:r>
            <w:proofErr w:type="spellEnd"/>
            <w:r w:rsidRPr="00DF4CE5">
              <w:rPr>
                <w:rFonts w:ascii="Cambria" w:eastAsia="Times New Roman" w:hAnsi="Cambria" w:cs="Times New Roman"/>
              </w:rPr>
              <w:t xml:space="preserve"> </w:t>
            </w:r>
            <w:proofErr w:type="spellStart"/>
            <w:r w:rsidRPr="00DF4CE5">
              <w:rPr>
                <w:rFonts w:ascii="Cambria" w:eastAsia="Times New Roman" w:hAnsi="Cambria" w:cs="Times New Roman"/>
              </w:rPr>
              <w:t>povijesti</w:t>
            </w:r>
            <w:proofErr w:type="spellEnd"/>
          </w:p>
        </w:tc>
      </w:tr>
      <w:tr w:rsidR="001C42AA" w:rsidRPr="00DF4CE5" w14:paraId="3882B698" w14:textId="77777777" w:rsidTr="00A31664">
        <w:tc>
          <w:tcPr>
            <w:tcW w:w="261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A9AE4F9" w14:textId="77777777" w:rsidR="001C42AA" w:rsidRPr="00DF4CE5" w:rsidRDefault="001C42AA" w:rsidP="001C42AA">
            <w:pPr>
              <w:spacing w:after="0" w:line="240" w:lineRule="auto"/>
              <w:rPr>
                <w:rFonts w:ascii="Cambria" w:eastAsia="Times New Roman" w:hAnsi="Cambria" w:cs="Calibri"/>
              </w:rPr>
            </w:pPr>
            <w:proofErr w:type="spellStart"/>
            <w:r w:rsidRPr="00DF4CE5">
              <w:rPr>
                <w:rFonts w:ascii="Cambria" w:eastAsia="Times New Roman" w:hAnsi="Cambria" w:cs="Calibri"/>
              </w:rPr>
              <w:t>Ishodi</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učenja</w:t>
            </w:r>
            <w:proofErr w:type="spellEnd"/>
          </w:p>
        </w:tc>
        <w:tc>
          <w:tcPr>
            <w:tcW w:w="6723"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34EEA5D" w14:textId="1B2250BE" w:rsidR="001C42AA" w:rsidRPr="00DF4CE5" w:rsidRDefault="006E59DC" w:rsidP="006E59DC">
            <w:pPr>
              <w:spacing w:after="0" w:line="240" w:lineRule="auto"/>
              <w:rPr>
                <w:rFonts w:ascii="Cambria" w:eastAsia="Times New Roman" w:hAnsi="Cambria" w:cs="Times New Roman"/>
              </w:rPr>
            </w:pPr>
            <w:r>
              <w:rPr>
                <w:rFonts w:ascii="Cambria" w:eastAsia="Times New Roman" w:hAnsi="Cambria" w:cs="Times New Roman"/>
              </w:rPr>
              <w:t xml:space="preserve">1. </w:t>
            </w:r>
            <w:proofErr w:type="spellStart"/>
            <w:r>
              <w:rPr>
                <w:rFonts w:ascii="Cambria" w:eastAsia="Times New Roman" w:hAnsi="Cambria" w:cs="Times New Roman"/>
              </w:rPr>
              <w:t>opisati</w:t>
            </w:r>
            <w:proofErr w:type="spellEnd"/>
            <w:r w:rsidR="001C42AA" w:rsidRPr="00DF4CE5">
              <w:rPr>
                <w:rFonts w:ascii="Cambria" w:eastAsia="Times New Roman" w:hAnsi="Cambria" w:cs="Times New Roman"/>
              </w:rPr>
              <w:t xml:space="preserve"> </w:t>
            </w:r>
            <w:proofErr w:type="spellStart"/>
            <w:r w:rsidR="001C42AA" w:rsidRPr="00DF4CE5">
              <w:rPr>
                <w:rFonts w:ascii="Cambria" w:eastAsia="Times New Roman" w:hAnsi="Cambria" w:cs="Times New Roman"/>
              </w:rPr>
              <w:t>sastavnice</w:t>
            </w:r>
            <w:proofErr w:type="spellEnd"/>
            <w:r w:rsidR="001C42AA" w:rsidRPr="00DF4CE5">
              <w:rPr>
                <w:rFonts w:ascii="Cambria" w:eastAsia="Times New Roman" w:hAnsi="Cambria" w:cs="Times New Roman"/>
              </w:rPr>
              <w:t xml:space="preserve"> </w:t>
            </w:r>
            <w:proofErr w:type="spellStart"/>
            <w:r w:rsidR="001C42AA" w:rsidRPr="00DF4CE5">
              <w:rPr>
                <w:rFonts w:ascii="Cambria" w:eastAsia="Times New Roman" w:hAnsi="Cambria" w:cs="Times New Roman"/>
              </w:rPr>
              <w:t>glazbenog</w:t>
            </w:r>
            <w:proofErr w:type="spellEnd"/>
            <w:r w:rsidR="001C42AA" w:rsidRPr="00DF4CE5">
              <w:rPr>
                <w:rFonts w:ascii="Cambria" w:eastAsia="Times New Roman" w:hAnsi="Cambria" w:cs="Times New Roman"/>
              </w:rPr>
              <w:t xml:space="preserve"> </w:t>
            </w:r>
            <w:proofErr w:type="spellStart"/>
            <w:r w:rsidR="001C42AA" w:rsidRPr="00DF4CE5">
              <w:rPr>
                <w:rFonts w:ascii="Cambria" w:eastAsia="Times New Roman" w:hAnsi="Cambria" w:cs="Times New Roman"/>
              </w:rPr>
              <w:t>djela</w:t>
            </w:r>
            <w:proofErr w:type="spellEnd"/>
          </w:p>
          <w:p w14:paraId="3581DDAF" w14:textId="5FEED956" w:rsidR="001C42AA" w:rsidRPr="00DF4CE5" w:rsidRDefault="006E59DC" w:rsidP="006E59DC">
            <w:pPr>
              <w:spacing w:after="0" w:line="240" w:lineRule="auto"/>
              <w:rPr>
                <w:rFonts w:ascii="Cambria" w:eastAsia="Times New Roman" w:hAnsi="Cambria" w:cs="Times New Roman"/>
              </w:rPr>
            </w:pPr>
            <w:r>
              <w:rPr>
                <w:rFonts w:ascii="Cambria" w:eastAsia="Times New Roman" w:hAnsi="Cambria" w:cs="Times New Roman"/>
              </w:rPr>
              <w:t xml:space="preserve">2. </w:t>
            </w:r>
            <w:proofErr w:type="spellStart"/>
            <w:r w:rsidR="001C42AA" w:rsidRPr="00DF4CE5">
              <w:rPr>
                <w:rFonts w:ascii="Cambria" w:eastAsia="Times New Roman" w:hAnsi="Cambria" w:cs="Times New Roman"/>
              </w:rPr>
              <w:t>analizirati</w:t>
            </w:r>
            <w:proofErr w:type="spellEnd"/>
            <w:r w:rsidR="001C42AA" w:rsidRPr="00DF4CE5">
              <w:rPr>
                <w:rFonts w:ascii="Cambria" w:eastAsia="Times New Roman" w:hAnsi="Cambria" w:cs="Times New Roman"/>
              </w:rPr>
              <w:t xml:space="preserve"> </w:t>
            </w:r>
            <w:proofErr w:type="spellStart"/>
            <w:r w:rsidR="001C42AA" w:rsidRPr="00DF4CE5">
              <w:rPr>
                <w:rFonts w:ascii="Cambria" w:eastAsia="Times New Roman" w:hAnsi="Cambria" w:cs="Times New Roman"/>
              </w:rPr>
              <w:t>glazbeno</w:t>
            </w:r>
            <w:proofErr w:type="spellEnd"/>
            <w:r w:rsidR="001C42AA" w:rsidRPr="00DF4CE5">
              <w:rPr>
                <w:rFonts w:ascii="Cambria" w:eastAsia="Times New Roman" w:hAnsi="Cambria" w:cs="Times New Roman"/>
              </w:rPr>
              <w:t xml:space="preserve"> </w:t>
            </w:r>
            <w:proofErr w:type="spellStart"/>
            <w:r w:rsidR="001C42AA" w:rsidRPr="00DF4CE5">
              <w:rPr>
                <w:rFonts w:ascii="Cambria" w:eastAsia="Times New Roman" w:hAnsi="Cambria" w:cs="Times New Roman"/>
              </w:rPr>
              <w:t>djelo</w:t>
            </w:r>
            <w:proofErr w:type="spellEnd"/>
            <w:r w:rsidR="001C42AA" w:rsidRPr="00DF4CE5">
              <w:rPr>
                <w:rFonts w:ascii="Cambria" w:eastAsia="Times New Roman" w:hAnsi="Cambria" w:cs="Times New Roman"/>
              </w:rPr>
              <w:t xml:space="preserve"> </w:t>
            </w:r>
            <w:proofErr w:type="spellStart"/>
            <w:r w:rsidR="001C42AA" w:rsidRPr="00DF4CE5">
              <w:rPr>
                <w:rFonts w:ascii="Cambria" w:eastAsia="Times New Roman" w:hAnsi="Cambria" w:cs="Times New Roman"/>
              </w:rPr>
              <w:t>određivanjem</w:t>
            </w:r>
            <w:proofErr w:type="spellEnd"/>
            <w:r w:rsidR="001C42AA" w:rsidRPr="00DF4CE5">
              <w:rPr>
                <w:rFonts w:ascii="Cambria" w:eastAsia="Times New Roman" w:hAnsi="Cambria" w:cs="Times New Roman"/>
              </w:rPr>
              <w:t xml:space="preserve"> </w:t>
            </w:r>
            <w:proofErr w:type="spellStart"/>
            <w:r w:rsidR="001C42AA" w:rsidRPr="00DF4CE5">
              <w:rPr>
                <w:rFonts w:ascii="Cambria" w:eastAsia="Times New Roman" w:hAnsi="Cambria" w:cs="Times New Roman"/>
              </w:rPr>
              <w:t>stilskog</w:t>
            </w:r>
            <w:proofErr w:type="spellEnd"/>
            <w:r w:rsidR="001C42AA" w:rsidRPr="00DF4CE5">
              <w:rPr>
                <w:rFonts w:ascii="Cambria" w:eastAsia="Times New Roman" w:hAnsi="Cambria" w:cs="Times New Roman"/>
              </w:rPr>
              <w:t xml:space="preserve"> </w:t>
            </w:r>
            <w:proofErr w:type="spellStart"/>
            <w:r w:rsidR="001C42AA" w:rsidRPr="00DF4CE5">
              <w:rPr>
                <w:rFonts w:ascii="Cambria" w:eastAsia="Times New Roman" w:hAnsi="Cambria" w:cs="Times New Roman"/>
              </w:rPr>
              <w:t>razdoblja</w:t>
            </w:r>
            <w:proofErr w:type="spellEnd"/>
            <w:r w:rsidR="001C42AA" w:rsidRPr="00DF4CE5">
              <w:rPr>
                <w:rFonts w:ascii="Cambria" w:eastAsia="Times New Roman" w:hAnsi="Cambria" w:cs="Times New Roman"/>
              </w:rPr>
              <w:t xml:space="preserve">, </w:t>
            </w:r>
            <w:proofErr w:type="spellStart"/>
            <w:r w:rsidR="001C42AA" w:rsidRPr="00DF4CE5">
              <w:rPr>
                <w:rFonts w:ascii="Cambria" w:eastAsia="Times New Roman" w:hAnsi="Cambria" w:cs="Times New Roman"/>
              </w:rPr>
              <w:t>glazbenog</w:t>
            </w:r>
            <w:proofErr w:type="spellEnd"/>
            <w:r w:rsidR="001C42AA" w:rsidRPr="00DF4CE5">
              <w:rPr>
                <w:rFonts w:ascii="Cambria" w:eastAsia="Times New Roman" w:hAnsi="Cambria" w:cs="Times New Roman"/>
              </w:rPr>
              <w:t xml:space="preserve"> </w:t>
            </w:r>
            <w:proofErr w:type="spellStart"/>
            <w:r w:rsidR="001C42AA" w:rsidRPr="00DF4CE5">
              <w:rPr>
                <w:rFonts w:ascii="Cambria" w:eastAsia="Times New Roman" w:hAnsi="Cambria" w:cs="Times New Roman"/>
              </w:rPr>
              <w:t>oblika</w:t>
            </w:r>
            <w:proofErr w:type="spellEnd"/>
            <w:r w:rsidR="001C42AA" w:rsidRPr="00DF4CE5">
              <w:rPr>
                <w:rFonts w:ascii="Cambria" w:eastAsia="Times New Roman" w:hAnsi="Cambria" w:cs="Times New Roman"/>
              </w:rPr>
              <w:t xml:space="preserve"> </w:t>
            </w:r>
            <w:proofErr w:type="spellStart"/>
            <w:r w:rsidR="001C42AA" w:rsidRPr="00DF4CE5">
              <w:rPr>
                <w:rFonts w:ascii="Cambria" w:eastAsia="Times New Roman" w:hAnsi="Cambria" w:cs="Times New Roman"/>
              </w:rPr>
              <w:t>i</w:t>
            </w:r>
            <w:proofErr w:type="spellEnd"/>
            <w:r w:rsidR="001C42AA" w:rsidRPr="00DF4CE5">
              <w:rPr>
                <w:rFonts w:ascii="Cambria" w:eastAsia="Times New Roman" w:hAnsi="Cambria" w:cs="Times New Roman"/>
              </w:rPr>
              <w:t xml:space="preserve"> </w:t>
            </w:r>
            <w:proofErr w:type="spellStart"/>
            <w:r w:rsidR="001C42AA" w:rsidRPr="00DF4CE5">
              <w:rPr>
                <w:rFonts w:ascii="Cambria" w:eastAsia="Times New Roman" w:hAnsi="Cambria" w:cs="Times New Roman"/>
              </w:rPr>
              <w:t>glazbene</w:t>
            </w:r>
            <w:proofErr w:type="spellEnd"/>
            <w:r w:rsidR="001C42AA" w:rsidRPr="00DF4CE5">
              <w:rPr>
                <w:rFonts w:ascii="Cambria" w:eastAsia="Times New Roman" w:hAnsi="Cambria" w:cs="Times New Roman"/>
              </w:rPr>
              <w:t xml:space="preserve"> </w:t>
            </w:r>
            <w:proofErr w:type="spellStart"/>
            <w:r w:rsidR="001C42AA" w:rsidRPr="00DF4CE5">
              <w:rPr>
                <w:rFonts w:ascii="Cambria" w:eastAsia="Times New Roman" w:hAnsi="Cambria" w:cs="Times New Roman"/>
              </w:rPr>
              <w:t>vrste</w:t>
            </w:r>
            <w:proofErr w:type="spellEnd"/>
          </w:p>
          <w:p w14:paraId="52224BA1" w14:textId="4E8F9AF1" w:rsidR="001C42AA" w:rsidRPr="00DF4CE5" w:rsidRDefault="006E59DC" w:rsidP="006E59DC">
            <w:pPr>
              <w:spacing w:after="0" w:line="240" w:lineRule="auto"/>
              <w:rPr>
                <w:rFonts w:ascii="Cambria" w:eastAsia="Times New Roman" w:hAnsi="Cambria" w:cs="Times New Roman"/>
              </w:rPr>
            </w:pPr>
            <w:r>
              <w:rPr>
                <w:rFonts w:ascii="Cambria" w:eastAsia="Times New Roman" w:hAnsi="Cambria" w:cs="Times New Roman"/>
              </w:rPr>
              <w:t xml:space="preserve">3. </w:t>
            </w:r>
            <w:proofErr w:type="spellStart"/>
            <w:r w:rsidR="001C42AA" w:rsidRPr="00DF4CE5">
              <w:rPr>
                <w:rFonts w:ascii="Cambria" w:eastAsia="Times New Roman" w:hAnsi="Cambria" w:cs="Times New Roman"/>
              </w:rPr>
              <w:t>usporediti</w:t>
            </w:r>
            <w:proofErr w:type="spellEnd"/>
            <w:r w:rsidR="001C42AA" w:rsidRPr="00DF4CE5">
              <w:rPr>
                <w:rFonts w:ascii="Cambria" w:eastAsia="Times New Roman" w:hAnsi="Cambria" w:cs="Times New Roman"/>
              </w:rPr>
              <w:t xml:space="preserve"> </w:t>
            </w:r>
            <w:proofErr w:type="spellStart"/>
            <w:r w:rsidR="001C42AA" w:rsidRPr="00DF4CE5">
              <w:rPr>
                <w:rFonts w:ascii="Cambria" w:eastAsia="Times New Roman" w:hAnsi="Cambria" w:cs="Times New Roman"/>
              </w:rPr>
              <w:t>karakteristike</w:t>
            </w:r>
            <w:proofErr w:type="spellEnd"/>
            <w:r w:rsidR="001C42AA" w:rsidRPr="00DF4CE5">
              <w:rPr>
                <w:rFonts w:ascii="Cambria" w:eastAsia="Times New Roman" w:hAnsi="Cambria" w:cs="Times New Roman"/>
              </w:rPr>
              <w:t xml:space="preserve"> </w:t>
            </w:r>
            <w:proofErr w:type="spellStart"/>
            <w:r w:rsidR="001C42AA" w:rsidRPr="00DF4CE5">
              <w:rPr>
                <w:rFonts w:ascii="Cambria" w:eastAsia="Times New Roman" w:hAnsi="Cambria" w:cs="Times New Roman"/>
              </w:rPr>
              <w:t>različitih</w:t>
            </w:r>
            <w:proofErr w:type="spellEnd"/>
            <w:r w:rsidR="001C42AA" w:rsidRPr="00DF4CE5">
              <w:rPr>
                <w:rFonts w:ascii="Cambria" w:eastAsia="Times New Roman" w:hAnsi="Cambria" w:cs="Times New Roman"/>
              </w:rPr>
              <w:t xml:space="preserve"> </w:t>
            </w:r>
            <w:proofErr w:type="spellStart"/>
            <w:r w:rsidR="001C42AA" w:rsidRPr="00DF4CE5">
              <w:rPr>
                <w:rFonts w:ascii="Cambria" w:eastAsia="Times New Roman" w:hAnsi="Cambria" w:cs="Times New Roman"/>
              </w:rPr>
              <w:t>glazbenih</w:t>
            </w:r>
            <w:proofErr w:type="spellEnd"/>
            <w:r w:rsidR="001C42AA" w:rsidRPr="00DF4CE5">
              <w:rPr>
                <w:rFonts w:ascii="Cambria" w:eastAsia="Times New Roman" w:hAnsi="Cambria" w:cs="Times New Roman"/>
              </w:rPr>
              <w:t xml:space="preserve"> </w:t>
            </w:r>
            <w:proofErr w:type="spellStart"/>
            <w:r w:rsidR="001C42AA" w:rsidRPr="00DF4CE5">
              <w:rPr>
                <w:rFonts w:ascii="Cambria" w:eastAsia="Times New Roman" w:hAnsi="Cambria" w:cs="Times New Roman"/>
              </w:rPr>
              <w:t>djela</w:t>
            </w:r>
            <w:proofErr w:type="spellEnd"/>
            <w:r w:rsidR="001C42AA" w:rsidRPr="00DF4CE5">
              <w:rPr>
                <w:rFonts w:ascii="Cambria" w:eastAsia="Times New Roman" w:hAnsi="Cambria" w:cs="Times New Roman"/>
              </w:rPr>
              <w:t xml:space="preserve"> s </w:t>
            </w:r>
            <w:proofErr w:type="spellStart"/>
            <w:r w:rsidR="001C42AA" w:rsidRPr="00DF4CE5">
              <w:rPr>
                <w:rFonts w:ascii="Cambria" w:eastAsia="Times New Roman" w:hAnsi="Cambria" w:cs="Times New Roman"/>
              </w:rPr>
              <w:t>obzirom</w:t>
            </w:r>
            <w:proofErr w:type="spellEnd"/>
            <w:r w:rsidR="001C42AA" w:rsidRPr="00DF4CE5">
              <w:rPr>
                <w:rFonts w:ascii="Cambria" w:eastAsia="Times New Roman" w:hAnsi="Cambria" w:cs="Times New Roman"/>
              </w:rPr>
              <w:t xml:space="preserve"> </w:t>
            </w:r>
            <w:proofErr w:type="spellStart"/>
            <w:r w:rsidR="001C42AA" w:rsidRPr="00DF4CE5">
              <w:rPr>
                <w:rFonts w:ascii="Cambria" w:eastAsia="Times New Roman" w:hAnsi="Cambria" w:cs="Times New Roman"/>
              </w:rPr>
              <w:t>na</w:t>
            </w:r>
            <w:proofErr w:type="spellEnd"/>
            <w:r w:rsidR="001C42AA" w:rsidRPr="00DF4CE5">
              <w:rPr>
                <w:rFonts w:ascii="Cambria" w:eastAsia="Times New Roman" w:hAnsi="Cambria" w:cs="Times New Roman"/>
              </w:rPr>
              <w:t xml:space="preserve"> </w:t>
            </w:r>
            <w:proofErr w:type="spellStart"/>
            <w:r w:rsidR="001C42AA" w:rsidRPr="00DF4CE5">
              <w:rPr>
                <w:rFonts w:ascii="Cambria" w:eastAsia="Times New Roman" w:hAnsi="Cambria" w:cs="Times New Roman"/>
              </w:rPr>
              <w:t>razdoblje</w:t>
            </w:r>
            <w:proofErr w:type="spellEnd"/>
            <w:r w:rsidR="001C42AA" w:rsidRPr="00DF4CE5">
              <w:rPr>
                <w:rFonts w:ascii="Cambria" w:eastAsia="Times New Roman" w:hAnsi="Cambria" w:cs="Times New Roman"/>
              </w:rPr>
              <w:t xml:space="preserve"> </w:t>
            </w:r>
            <w:proofErr w:type="spellStart"/>
            <w:r w:rsidR="001C42AA" w:rsidRPr="00DF4CE5">
              <w:rPr>
                <w:rFonts w:ascii="Cambria" w:eastAsia="Times New Roman" w:hAnsi="Cambria" w:cs="Times New Roman"/>
              </w:rPr>
              <w:t>nastanka</w:t>
            </w:r>
            <w:proofErr w:type="spellEnd"/>
            <w:r w:rsidR="001C42AA" w:rsidRPr="00DF4CE5">
              <w:rPr>
                <w:rFonts w:ascii="Cambria" w:eastAsia="Times New Roman" w:hAnsi="Cambria" w:cs="Times New Roman"/>
              </w:rPr>
              <w:t xml:space="preserve"> </w:t>
            </w:r>
            <w:proofErr w:type="spellStart"/>
            <w:r w:rsidR="001C42AA" w:rsidRPr="00DF4CE5">
              <w:rPr>
                <w:rFonts w:ascii="Cambria" w:eastAsia="Times New Roman" w:hAnsi="Cambria" w:cs="Times New Roman"/>
              </w:rPr>
              <w:t>i</w:t>
            </w:r>
            <w:proofErr w:type="spellEnd"/>
            <w:r w:rsidR="001C42AA" w:rsidRPr="00DF4CE5">
              <w:rPr>
                <w:rFonts w:ascii="Cambria" w:eastAsia="Times New Roman" w:hAnsi="Cambria" w:cs="Times New Roman"/>
              </w:rPr>
              <w:t xml:space="preserve"> </w:t>
            </w:r>
            <w:proofErr w:type="spellStart"/>
            <w:r w:rsidR="001C42AA" w:rsidRPr="00DF4CE5">
              <w:rPr>
                <w:rFonts w:ascii="Cambria" w:eastAsia="Times New Roman" w:hAnsi="Cambria" w:cs="Times New Roman"/>
              </w:rPr>
              <w:t>izvođački</w:t>
            </w:r>
            <w:proofErr w:type="spellEnd"/>
            <w:r w:rsidR="001C42AA" w:rsidRPr="00DF4CE5">
              <w:rPr>
                <w:rFonts w:ascii="Cambria" w:eastAsia="Times New Roman" w:hAnsi="Cambria" w:cs="Times New Roman"/>
              </w:rPr>
              <w:t xml:space="preserve"> </w:t>
            </w:r>
            <w:proofErr w:type="spellStart"/>
            <w:r w:rsidR="001C42AA" w:rsidRPr="00DF4CE5">
              <w:rPr>
                <w:rFonts w:ascii="Cambria" w:eastAsia="Times New Roman" w:hAnsi="Cambria" w:cs="Times New Roman"/>
              </w:rPr>
              <w:t>sastav</w:t>
            </w:r>
            <w:proofErr w:type="spellEnd"/>
          </w:p>
          <w:p w14:paraId="08BC3D27" w14:textId="598E3A8A" w:rsidR="001C42AA" w:rsidRPr="00DF4CE5" w:rsidRDefault="006E59DC" w:rsidP="006E59DC">
            <w:pPr>
              <w:spacing w:after="0" w:line="240" w:lineRule="auto"/>
              <w:rPr>
                <w:rFonts w:ascii="Cambria" w:eastAsia="Times New Roman" w:hAnsi="Cambria" w:cs="Times New Roman"/>
              </w:rPr>
            </w:pPr>
            <w:r>
              <w:rPr>
                <w:rFonts w:ascii="Cambria" w:eastAsia="Times New Roman" w:hAnsi="Cambria" w:cs="Times New Roman"/>
              </w:rPr>
              <w:t xml:space="preserve">4. </w:t>
            </w:r>
            <w:proofErr w:type="spellStart"/>
            <w:r w:rsidR="001C42AA" w:rsidRPr="00DF4CE5">
              <w:rPr>
                <w:rFonts w:ascii="Cambria" w:eastAsia="Times New Roman" w:hAnsi="Cambria" w:cs="Times New Roman"/>
              </w:rPr>
              <w:t>usporediti</w:t>
            </w:r>
            <w:proofErr w:type="spellEnd"/>
            <w:r w:rsidR="001C42AA" w:rsidRPr="00DF4CE5">
              <w:rPr>
                <w:rFonts w:ascii="Cambria" w:eastAsia="Times New Roman" w:hAnsi="Cambria" w:cs="Times New Roman"/>
              </w:rPr>
              <w:t xml:space="preserve"> </w:t>
            </w:r>
            <w:proofErr w:type="spellStart"/>
            <w:r w:rsidR="001C42AA" w:rsidRPr="00DF4CE5">
              <w:rPr>
                <w:rFonts w:ascii="Cambria" w:eastAsia="Times New Roman" w:hAnsi="Cambria" w:cs="Times New Roman"/>
              </w:rPr>
              <w:t>vrijedna</w:t>
            </w:r>
            <w:proofErr w:type="spellEnd"/>
            <w:r w:rsidR="001C42AA" w:rsidRPr="00DF4CE5">
              <w:rPr>
                <w:rFonts w:ascii="Cambria" w:eastAsia="Times New Roman" w:hAnsi="Cambria" w:cs="Times New Roman"/>
              </w:rPr>
              <w:t xml:space="preserve"> </w:t>
            </w:r>
            <w:proofErr w:type="spellStart"/>
            <w:r w:rsidR="001C42AA" w:rsidRPr="00DF4CE5">
              <w:rPr>
                <w:rFonts w:ascii="Cambria" w:eastAsia="Times New Roman" w:hAnsi="Cambria" w:cs="Times New Roman"/>
              </w:rPr>
              <w:t>hrvatska</w:t>
            </w:r>
            <w:proofErr w:type="spellEnd"/>
            <w:r w:rsidR="001C42AA" w:rsidRPr="00DF4CE5">
              <w:rPr>
                <w:rFonts w:ascii="Cambria" w:eastAsia="Times New Roman" w:hAnsi="Cambria" w:cs="Times New Roman"/>
              </w:rPr>
              <w:t xml:space="preserve"> </w:t>
            </w:r>
            <w:proofErr w:type="spellStart"/>
            <w:r w:rsidR="001C42AA" w:rsidRPr="00DF4CE5">
              <w:rPr>
                <w:rFonts w:ascii="Cambria" w:eastAsia="Times New Roman" w:hAnsi="Cambria" w:cs="Times New Roman"/>
              </w:rPr>
              <w:t>i</w:t>
            </w:r>
            <w:proofErr w:type="spellEnd"/>
            <w:r w:rsidR="001C42AA" w:rsidRPr="00DF4CE5">
              <w:rPr>
                <w:rFonts w:ascii="Cambria" w:eastAsia="Times New Roman" w:hAnsi="Cambria" w:cs="Times New Roman"/>
              </w:rPr>
              <w:t xml:space="preserve"> </w:t>
            </w:r>
            <w:proofErr w:type="spellStart"/>
            <w:r w:rsidR="001C42AA" w:rsidRPr="00DF4CE5">
              <w:rPr>
                <w:rFonts w:ascii="Cambria" w:eastAsia="Times New Roman" w:hAnsi="Cambria" w:cs="Times New Roman"/>
              </w:rPr>
              <w:t>svjetska</w:t>
            </w:r>
            <w:proofErr w:type="spellEnd"/>
            <w:r w:rsidR="001C42AA" w:rsidRPr="00DF4CE5">
              <w:rPr>
                <w:rFonts w:ascii="Cambria" w:eastAsia="Times New Roman" w:hAnsi="Cambria" w:cs="Times New Roman"/>
              </w:rPr>
              <w:t xml:space="preserve"> </w:t>
            </w:r>
            <w:proofErr w:type="spellStart"/>
            <w:r w:rsidR="001C42AA" w:rsidRPr="00DF4CE5">
              <w:rPr>
                <w:rFonts w:ascii="Cambria" w:eastAsia="Times New Roman" w:hAnsi="Cambria" w:cs="Times New Roman"/>
              </w:rPr>
              <w:t>glazbena</w:t>
            </w:r>
            <w:proofErr w:type="spellEnd"/>
            <w:r w:rsidR="001C42AA" w:rsidRPr="00DF4CE5">
              <w:rPr>
                <w:rFonts w:ascii="Cambria" w:eastAsia="Times New Roman" w:hAnsi="Cambria" w:cs="Times New Roman"/>
              </w:rPr>
              <w:t xml:space="preserve"> </w:t>
            </w:r>
            <w:proofErr w:type="spellStart"/>
            <w:r w:rsidR="001C42AA" w:rsidRPr="00DF4CE5">
              <w:rPr>
                <w:rFonts w:ascii="Cambria" w:eastAsia="Times New Roman" w:hAnsi="Cambria" w:cs="Times New Roman"/>
              </w:rPr>
              <w:t>djela</w:t>
            </w:r>
            <w:proofErr w:type="spellEnd"/>
            <w:r w:rsidR="001C42AA" w:rsidRPr="00DF4CE5">
              <w:rPr>
                <w:rFonts w:ascii="Cambria" w:eastAsia="Times New Roman" w:hAnsi="Cambria" w:cs="Times New Roman"/>
              </w:rPr>
              <w:t xml:space="preserve"> </w:t>
            </w:r>
            <w:proofErr w:type="spellStart"/>
            <w:r w:rsidR="001C42AA" w:rsidRPr="00DF4CE5">
              <w:rPr>
                <w:rFonts w:ascii="Cambria" w:eastAsia="Times New Roman" w:hAnsi="Cambria" w:cs="Times New Roman"/>
              </w:rPr>
              <w:t>te</w:t>
            </w:r>
            <w:proofErr w:type="spellEnd"/>
            <w:r w:rsidR="001C42AA" w:rsidRPr="00DF4CE5">
              <w:rPr>
                <w:rFonts w:ascii="Cambria" w:eastAsia="Times New Roman" w:hAnsi="Cambria" w:cs="Times New Roman"/>
              </w:rPr>
              <w:t xml:space="preserve"> </w:t>
            </w:r>
            <w:proofErr w:type="spellStart"/>
            <w:r w:rsidR="001C42AA" w:rsidRPr="00DF4CE5">
              <w:rPr>
                <w:rFonts w:ascii="Cambria" w:eastAsia="Times New Roman" w:hAnsi="Cambria" w:cs="Times New Roman"/>
              </w:rPr>
              <w:t>suvremena</w:t>
            </w:r>
            <w:proofErr w:type="spellEnd"/>
            <w:r w:rsidR="001C42AA" w:rsidRPr="00DF4CE5">
              <w:rPr>
                <w:rFonts w:ascii="Cambria" w:eastAsia="Times New Roman" w:hAnsi="Cambria" w:cs="Times New Roman"/>
              </w:rPr>
              <w:t xml:space="preserve"> </w:t>
            </w:r>
            <w:proofErr w:type="spellStart"/>
            <w:r w:rsidR="001C42AA" w:rsidRPr="00DF4CE5">
              <w:rPr>
                <w:rFonts w:ascii="Cambria" w:eastAsia="Times New Roman" w:hAnsi="Cambria" w:cs="Times New Roman"/>
              </w:rPr>
              <w:t>glazbena</w:t>
            </w:r>
            <w:proofErr w:type="spellEnd"/>
            <w:r w:rsidR="001C42AA" w:rsidRPr="00DF4CE5">
              <w:rPr>
                <w:rFonts w:ascii="Cambria" w:eastAsia="Times New Roman" w:hAnsi="Cambria" w:cs="Times New Roman"/>
              </w:rPr>
              <w:t xml:space="preserve"> </w:t>
            </w:r>
            <w:proofErr w:type="spellStart"/>
            <w:r w:rsidR="001C42AA" w:rsidRPr="00DF4CE5">
              <w:rPr>
                <w:rFonts w:ascii="Cambria" w:eastAsia="Times New Roman" w:hAnsi="Cambria" w:cs="Times New Roman"/>
              </w:rPr>
              <w:t>ostvarenja</w:t>
            </w:r>
            <w:proofErr w:type="spellEnd"/>
            <w:r w:rsidR="001C42AA" w:rsidRPr="00DF4CE5">
              <w:rPr>
                <w:rFonts w:ascii="Cambria" w:eastAsia="Times New Roman" w:hAnsi="Cambria" w:cs="Times New Roman"/>
              </w:rPr>
              <w:t xml:space="preserve"> </w:t>
            </w:r>
            <w:proofErr w:type="spellStart"/>
            <w:r w:rsidR="001C42AA" w:rsidRPr="00DF4CE5">
              <w:rPr>
                <w:rFonts w:ascii="Cambria" w:eastAsia="Times New Roman" w:hAnsi="Cambria" w:cs="Times New Roman"/>
              </w:rPr>
              <w:t>slušanjem</w:t>
            </w:r>
            <w:proofErr w:type="spellEnd"/>
            <w:r w:rsidR="001C42AA" w:rsidRPr="00DF4CE5">
              <w:rPr>
                <w:rFonts w:ascii="Cambria" w:eastAsia="Times New Roman" w:hAnsi="Cambria" w:cs="Times New Roman"/>
              </w:rPr>
              <w:t xml:space="preserve"> </w:t>
            </w:r>
            <w:proofErr w:type="spellStart"/>
            <w:r w:rsidR="001C42AA" w:rsidRPr="00DF4CE5">
              <w:rPr>
                <w:rFonts w:ascii="Cambria" w:eastAsia="Times New Roman" w:hAnsi="Cambria" w:cs="Times New Roman"/>
              </w:rPr>
              <w:t>glazbe</w:t>
            </w:r>
            <w:proofErr w:type="spellEnd"/>
          </w:p>
        </w:tc>
      </w:tr>
      <w:tr w:rsidR="001C42AA" w:rsidRPr="00D0399C" w14:paraId="1F28C9A6" w14:textId="77777777" w:rsidTr="00A31664">
        <w:tc>
          <w:tcPr>
            <w:tcW w:w="2617"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09A3AC41" w14:textId="77777777" w:rsidR="001C42AA" w:rsidRPr="00DF4CE5" w:rsidRDefault="001C42AA" w:rsidP="001C42AA">
            <w:pPr>
              <w:spacing w:after="0" w:line="240" w:lineRule="auto"/>
              <w:rPr>
                <w:rFonts w:ascii="Cambria" w:eastAsia="Times New Roman" w:hAnsi="Cambria" w:cs="Calibri"/>
              </w:rPr>
            </w:pPr>
            <w:proofErr w:type="spellStart"/>
            <w:r w:rsidRPr="00DF4CE5">
              <w:rPr>
                <w:rFonts w:ascii="Cambria" w:eastAsia="Times New Roman" w:hAnsi="Cambria" w:cs="Calibri"/>
              </w:rPr>
              <w:t>Sadržaj</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kolegija</w:t>
            </w:r>
            <w:proofErr w:type="spellEnd"/>
          </w:p>
        </w:tc>
        <w:tc>
          <w:tcPr>
            <w:tcW w:w="6723"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713F494" w14:textId="77777777" w:rsidR="001C42AA" w:rsidRPr="00DF4CE5" w:rsidRDefault="001C42AA" w:rsidP="001C42AA">
            <w:pPr>
              <w:autoSpaceDE w:val="0"/>
              <w:autoSpaceDN w:val="0"/>
              <w:adjustRightInd w:val="0"/>
              <w:spacing w:after="0" w:line="240" w:lineRule="auto"/>
              <w:rPr>
                <w:rFonts w:ascii="Cambria" w:eastAsia="Times New Roman" w:hAnsi="Cambria" w:cs="Calibri"/>
              </w:rPr>
            </w:pPr>
            <w:r w:rsidRPr="00DF4CE5">
              <w:rPr>
                <w:rFonts w:ascii="Cambria" w:eastAsia="Times New Roman" w:hAnsi="Cambria" w:cs="Calibri"/>
              </w:rPr>
              <w:t xml:space="preserve">1. </w:t>
            </w:r>
            <w:proofErr w:type="spellStart"/>
            <w:r w:rsidRPr="00DF4CE5">
              <w:rPr>
                <w:rFonts w:ascii="Cambria" w:eastAsia="Times New Roman" w:hAnsi="Cambria" w:cs="Calibri"/>
              </w:rPr>
              <w:t>Sastavnice</w:t>
            </w:r>
            <w:proofErr w:type="spellEnd"/>
            <w:r w:rsidRPr="00DF4CE5">
              <w:rPr>
                <w:rFonts w:ascii="Cambria" w:eastAsia="Times New Roman" w:hAnsi="Cambria" w:cs="Calibri"/>
              </w:rPr>
              <w:t xml:space="preserve"> </w:t>
            </w:r>
            <w:proofErr w:type="spellStart"/>
            <w:proofErr w:type="gramStart"/>
            <w:r w:rsidRPr="00DF4CE5">
              <w:rPr>
                <w:rFonts w:ascii="Cambria" w:eastAsia="Times New Roman" w:hAnsi="Cambria" w:cs="Calibri"/>
              </w:rPr>
              <w:t>glazbenog</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jezika</w:t>
            </w:r>
            <w:proofErr w:type="spellEnd"/>
            <w:proofErr w:type="gramEnd"/>
            <w:r w:rsidRPr="00DF4CE5">
              <w:rPr>
                <w:rFonts w:ascii="Cambria" w:eastAsia="Times New Roman" w:hAnsi="Cambria" w:cs="Calibri"/>
              </w:rPr>
              <w:t xml:space="preserve"> (</w:t>
            </w:r>
            <w:proofErr w:type="spellStart"/>
            <w:r w:rsidRPr="00DF4CE5">
              <w:rPr>
                <w:rFonts w:ascii="Cambria" w:eastAsia="Times New Roman" w:hAnsi="Cambria" w:cs="Calibri"/>
              </w:rPr>
              <w:t>melodija</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harmonija</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ritam</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boja</w:t>
            </w:r>
            <w:proofErr w:type="spellEnd"/>
            <w:r w:rsidRPr="00DF4CE5">
              <w:rPr>
                <w:rFonts w:ascii="Cambria" w:eastAsia="Times New Roman" w:hAnsi="Cambria" w:cs="Calibri"/>
              </w:rPr>
              <w:t>, slog)</w:t>
            </w:r>
          </w:p>
          <w:p w14:paraId="039AD019" w14:textId="77777777" w:rsidR="001C42AA" w:rsidRPr="00DF4CE5" w:rsidRDefault="001C42AA" w:rsidP="001C42AA">
            <w:pPr>
              <w:autoSpaceDE w:val="0"/>
              <w:autoSpaceDN w:val="0"/>
              <w:adjustRightInd w:val="0"/>
              <w:spacing w:after="0" w:line="240" w:lineRule="auto"/>
              <w:rPr>
                <w:rFonts w:ascii="Cambria" w:eastAsia="Times New Roman" w:hAnsi="Cambria" w:cs="Calibri"/>
                <w:lang w:val="it-IT"/>
              </w:rPr>
            </w:pPr>
            <w:r w:rsidRPr="00DF4CE5">
              <w:rPr>
                <w:rFonts w:ascii="Cambria" w:eastAsia="Times New Roman" w:hAnsi="Cambria" w:cs="Calibri"/>
                <w:lang w:val="it-IT"/>
              </w:rPr>
              <w:t xml:space="preserve">2. </w:t>
            </w:r>
            <w:proofErr w:type="spellStart"/>
            <w:r w:rsidRPr="00DF4CE5">
              <w:rPr>
                <w:rFonts w:ascii="Cambria" w:eastAsia="Times New Roman" w:hAnsi="Cambria" w:cs="Calibri"/>
                <w:lang w:val="it-IT"/>
              </w:rPr>
              <w:t>Glazbeni</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oblici</w:t>
            </w:r>
            <w:proofErr w:type="spellEnd"/>
            <w:r w:rsidRPr="00DF4CE5">
              <w:rPr>
                <w:rFonts w:ascii="Cambria" w:eastAsia="Times New Roman" w:hAnsi="Cambria" w:cs="Calibri"/>
                <w:lang w:val="it-IT"/>
              </w:rPr>
              <w:t xml:space="preserve"> i </w:t>
            </w:r>
            <w:proofErr w:type="spellStart"/>
            <w:r w:rsidRPr="00DF4CE5">
              <w:rPr>
                <w:rFonts w:ascii="Cambria" w:eastAsia="Times New Roman" w:hAnsi="Cambria" w:cs="Calibri"/>
                <w:lang w:val="it-IT"/>
              </w:rPr>
              <w:t>glazbene</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vrste</w:t>
            </w:r>
            <w:proofErr w:type="spellEnd"/>
            <w:r w:rsidRPr="00DF4CE5">
              <w:rPr>
                <w:rFonts w:ascii="Cambria" w:eastAsia="Times New Roman" w:hAnsi="Cambria" w:cs="Calibri"/>
                <w:lang w:val="it-IT"/>
              </w:rPr>
              <w:t xml:space="preserve"> </w:t>
            </w:r>
          </w:p>
          <w:p w14:paraId="652E0BFF" w14:textId="77777777" w:rsidR="001C42AA" w:rsidRPr="00DF4CE5" w:rsidRDefault="001C42AA" w:rsidP="001C42AA">
            <w:pPr>
              <w:autoSpaceDE w:val="0"/>
              <w:autoSpaceDN w:val="0"/>
              <w:adjustRightInd w:val="0"/>
              <w:spacing w:after="0" w:line="240" w:lineRule="auto"/>
              <w:rPr>
                <w:rFonts w:ascii="Cambria" w:eastAsia="Times New Roman" w:hAnsi="Cambria" w:cs="Calibri"/>
                <w:lang w:val="it-IT"/>
              </w:rPr>
            </w:pPr>
            <w:r w:rsidRPr="00DF4CE5">
              <w:rPr>
                <w:rFonts w:ascii="Cambria" w:eastAsia="Times New Roman" w:hAnsi="Cambria" w:cs="Calibri"/>
                <w:lang w:val="it-IT"/>
              </w:rPr>
              <w:t xml:space="preserve">3. </w:t>
            </w:r>
            <w:proofErr w:type="spellStart"/>
            <w:r w:rsidRPr="00DF4CE5">
              <w:rPr>
                <w:rFonts w:ascii="Cambria" w:eastAsia="Times New Roman" w:hAnsi="Cambria" w:cs="Calibri"/>
                <w:lang w:val="it-IT"/>
              </w:rPr>
              <w:t>Glazbena</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kultura</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antičke</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Grčke</w:t>
            </w:r>
            <w:proofErr w:type="spellEnd"/>
            <w:r w:rsidRPr="00DF4CE5">
              <w:rPr>
                <w:rFonts w:ascii="Cambria" w:eastAsia="Times New Roman" w:hAnsi="Cambria" w:cs="Calibri"/>
                <w:lang w:val="it-IT"/>
              </w:rPr>
              <w:t xml:space="preserve"> i Rima</w:t>
            </w:r>
          </w:p>
          <w:p w14:paraId="328F2954" w14:textId="77777777" w:rsidR="001C42AA" w:rsidRPr="00DF4CE5" w:rsidRDefault="001C42AA" w:rsidP="001C42AA">
            <w:pPr>
              <w:autoSpaceDE w:val="0"/>
              <w:autoSpaceDN w:val="0"/>
              <w:adjustRightInd w:val="0"/>
              <w:spacing w:after="0" w:line="240" w:lineRule="auto"/>
              <w:rPr>
                <w:rFonts w:ascii="Cambria" w:eastAsia="Times New Roman" w:hAnsi="Cambria" w:cs="Calibri"/>
                <w:lang w:val="it-IT"/>
              </w:rPr>
            </w:pPr>
            <w:r w:rsidRPr="00DF4CE5">
              <w:rPr>
                <w:rFonts w:ascii="Cambria" w:eastAsia="Times New Roman" w:hAnsi="Cambria" w:cs="Calibri"/>
                <w:lang w:val="it-IT"/>
              </w:rPr>
              <w:t xml:space="preserve">4. </w:t>
            </w:r>
            <w:proofErr w:type="spellStart"/>
            <w:r w:rsidRPr="00DF4CE5">
              <w:rPr>
                <w:rFonts w:ascii="Cambria" w:eastAsia="Times New Roman" w:hAnsi="Cambria" w:cs="Calibri"/>
                <w:lang w:val="it-IT"/>
              </w:rPr>
              <w:t>Glazba</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srednjeg</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vijeka</w:t>
            </w:r>
            <w:proofErr w:type="spellEnd"/>
          </w:p>
          <w:p w14:paraId="39314060" w14:textId="77777777" w:rsidR="001C42AA" w:rsidRPr="00DF4CE5" w:rsidRDefault="001C42AA" w:rsidP="001C42AA">
            <w:pPr>
              <w:autoSpaceDE w:val="0"/>
              <w:autoSpaceDN w:val="0"/>
              <w:adjustRightInd w:val="0"/>
              <w:spacing w:after="0" w:line="240" w:lineRule="auto"/>
              <w:rPr>
                <w:rFonts w:ascii="Cambria" w:eastAsia="Times New Roman" w:hAnsi="Cambria" w:cs="Calibri"/>
                <w:lang w:val="it-IT"/>
              </w:rPr>
            </w:pPr>
            <w:r w:rsidRPr="00DF4CE5">
              <w:rPr>
                <w:rFonts w:ascii="Cambria" w:eastAsia="Times New Roman" w:hAnsi="Cambria" w:cs="Calibri"/>
                <w:lang w:val="it-IT"/>
              </w:rPr>
              <w:t xml:space="preserve">5. </w:t>
            </w:r>
            <w:proofErr w:type="spellStart"/>
            <w:r w:rsidRPr="00DF4CE5">
              <w:rPr>
                <w:rFonts w:ascii="Cambria" w:eastAsia="Times New Roman" w:hAnsi="Cambria" w:cs="Calibri"/>
                <w:lang w:val="it-IT"/>
              </w:rPr>
              <w:t>Glazbena</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renesansa</w:t>
            </w:r>
            <w:proofErr w:type="spellEnd"/>
          </w:p>
          <w:p w14:paraId="317F79F1" w14:textId="77777777" w:rsidR="001C42AA" w:rsidRPr="00DF4CE5" w:rsidRDefault="001C42AA" w:rsidP="001C42AA">
            <w:pPr>
              <w:autoSpaceDE w:val="0"/>
              <w:autoSpaceDN w:val="0"/>
              <w:adjustRightInd w:val="0"/>
              <w:spacing w:after="0" w:line="240" w:lineRule="auto"/>
              <w:rPr>
                <w:rFonts w:ascii="Cambria" w:eastAsia="Times New Roman" w:hAnsi="Cambria" w:cs="Calibri"/>
                <w:lang w:val="it-IT"/>
              </w:rPr>
            </w:pPr>
            <w:r w:rsidRPr="00DF4CE5">
              <w:rPr>
                <w:rFonts w:ascii="Cambria" w:eastAsia="Times New Roman" w:hAnsi="Cambria" w:cs="Calibri"/>
                <w:lang w:val="it-IT"/>
              </w:rPr>
              <w:t xml:space="preserve">6. </w:t>
            </w:r>
            <w:proofErr w:type="spellStart"/>
            <w:r w:rsidRPr="00DF4CE5">
              <w:rPr>
                <w:rFonts w:ascii="Cambria" w:eastAsia="Times New Roman" w:hAnsi="Cambria" w:cs="Calibri"/>
                <w:lang w:val="it-IT"/>
              </w:rPr>
              <w:t>Barok</w:t>
            </w:r>
            <w:proofErr w:type="spellEnd"/>
          </w:p>
          <w:p w14:paraId="0275EEF1" w14:textId="77777777" w:rsidR="001C42AA" w:rsidRPr="00DF4CE5" w:rsidRDefault="001C42AA" w:rsidP="001C42AA">
            <w:pPr>
              <w:autoSpaceDE w:val="0"/>
              <w:autoSpaceDN w:val="0"/>
              <w:adjustRightInd w:val="0"/>
              <w:spacing w:after="0" w:line="240" w:lineRule="auto"/>
              <w:rPr>
                <w:rFonts w:ascii="Cambria" w:eastAsia="Times New Roman" w:hAnsi="Cambria" w:cs="Calibri"/>
                <w:lang w:val="it-IT"/>
              </w:rPr>
            </w:pPr>
            <w:r w:rsidRPr="00DF4CE5">
              <w:rPr>
                <w:rFonts w:ascii="Cambria" w:eastAsia="Times New Roman" w:hAnsi="Cambria" w:cs="Calibri"/>
                <w:lang w:val="it-IT"/>
              </w:rPr>
              <w:t xml:space="preserve">7. </w:t>
            </w:r>
            <w:proofErr w:type="spellStart"/>
            <w:r w:rsidRPr="00DF4CE5">
              <w:rPr>
                <w:rFonts w:ascii="Cambria" w:eastAsia="Times New Roman" w:hAnsi="Cambria" w:cs="Calibri"/>
                <w:lang w:val="it-IT"/>
              </w:rPr>
              <w:t>Bečka</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klasika</w:t>
            </w:r>
            <w:proofErr w:type="spellEnd"/>
          </w:p>
          <w:p w14:paraId="015C459B" w14:textId="77777777" w:rsidR="001C42AA" w:rsidRPr="00DF4CE5" w:rsidRDefault="001C42AA" w:rsidP="001C42AA">
            <w:pPr>
              <w:autoSpaceDE w:val="0"/>
              <w:autoSpaceDN w:val="0"/>
              <w:adjustRightInd w:val="0"/>
              <w:spacing w:after="0" w:line="240" w:lineRule="auto"/>
              <w:rPr>
                <w:rFonts w:ascii="Cambria" w:eastAsia="Times New Roman" w:hAnsi="Cambria" w:cs="Calibri"/>
                <w:lang w:val="it-IT"/>
              </w:rPr>
            </w:pPr>
            <w:r w:rsidRPr="00DF4CE5">
              <w:rPr>
                <w:rFonts w:ascii="Cambria" w:eastAsia="Times New Roman" w:hAnsi="Cambria" w:cs="Calibri"/>
                <w:lang w:val="it-IT"/>
              </w:rPr>
              <w:t xml:space="preserve">8. </w:t>
            </w:r>
            <w:proofErr w:type="spellStart"/>
            <w:proofErr w:type="gramStart"/>
            <w:r w:rsidRPr="00DF4CE5">
              <w:rPr>
                <w:rFonts w:ascii="Cambria" w:eastAsia="Times New Roman" w:hAnsi="Cambria" w:cs="Calibri"/>
                <w:lang w:val="it-IT"/>
              </w:rPr>
              <w:t>Romantizam</w:t>
            </w:r>
            <w:proofErr w:type="spellEnd"/>
            <w:r w:rsidRPr="00DF4CE5">
              <w:rPr>
                <w:rFonts w:ascii="Cambria" w:eastAsia="Times New Roman" w:hAnsi="Cambria" w:cs="Calibri"/>
                <w:lang w:val="it-IT"/>
              </w:rPr>
              <w:t xml:space="preserve">  i</w:t>
            </w:r>
            <w:proofErr w:type="gram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predstavnici</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romantizma</w:t>
            </w:r>
            <w:proofErr w:type="spellEnd"/>
          </w:p>
          <w:p w14:paraId="4BE70BAD" w14:textId="77777777" w:rsidR="001C42AA" w:rsidRPr="00DF4CE5" w:rsidRDefault="001C42AA" w:rsidP="001C42AA">
            <w:pPr>
              <w:autoSpaceDE w:val="0"/>
              <w:autoSpaceDN w:val="0"/>
              <w:adjustRightInd w:val="0"/>
              <w:spacing w:after="0" w:line="240" w:lineRule="auto"/>
              <w:rPr>
                <w:rFonts w:ascii="Cambria" w:eastAsia="Times New Roman" w:hAnsi="Cambria" w:cs="Calibri"/>
                <w:lang w:val="it-IT"/>
              </w:rPr>
            </w:pPr>
            <w:r w:rsidRPr="00DF4CE5">
              <w:rPr>
                <w:rFonts w:ascii="Cambria" w:eastAsia="Times New Roman" w:hAnsi="Cambria" w:cs="Calibri"/>
                <w:lang w:val="it-IT"/>
              </w:rPr>
              <w:t xml:space="preserve">9. </w:t>
            </w:r>
            <w:proofErr w:type="spellStart"/>
            <w:r w:rsidRPr="00DF4CE5">
              <w:rPr>
                <w:rFonts w:ascii="Cambria" w:eastAsia="Times New Roman" w:hAnsi="Cambria" w:cs="Calibri"/>
                <w:lang w:val="it-IT"/>
              </w:rPr>
              <w:t>Glazbeni</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impresionizam</w:t>
            </w:r>
            <w:proofErr w:type="spellEnd"/>
            <w:r w:rsidRPr="00DF4CE5">
              <w:rPr>
                <w:rFonts w:ascii="Cambria" w:eastAsia="Times New Roman" w:hAnsi="Cambria" w:cs="Calibri"/>
                <w:lang w:val="it-IT"/>
              </w:rPr>
              <w:t xml:space="preserve"> i </w:t>
            </w:r>
            <w:proofErr w:type="spellStart"/>
            <w:r w:rsidRPr="00DF4CE5">
              <w:rPr>
                <w:rFonts w:ascii="Cambria" w:eastAsia="Times New Roman" w:hAnsi="Cambria" w:cs="Calibri"/>
                <w:lang w:val="it-IT"/>
              </w:rPr>
              <w:t>ekspresionizam</w:t>
            </w:r>
            <w:proofErr w:type="spellEnd"/>
            <w:r w:rsidRPr="00DF4CE5">
              <w:rPr>
                <w:rFonts w:ascii="Cambria" w:eastAsia="Times New Roman" w:hAnsi="Cambria" w:cs="Calibri"/>
                <w:lang w:val="it-IT"/>
              </w:rPr>
              <w:t xml:space="preserve"> </w:t>
            </w:r>
          </w:p>
          <w:p w14:paraId="79B7B771" w14:textId="77777777" w:rsidR="001C42AA" w:rsidRPr="00DF4CE5" w:rsidRDefault="001C42AA" w:rsidP="001C42AA">
            <w:pPr>
              <w:autoSpaceDE w:val="0"/>
              <w:autoSpaceDN w:val="0"/>
              <w:adjustRightInd w:val="0"/>
              <w:spacing w:after="0" w:line="240" w:lineRule="auto"/>
              <w:rPr>
                <w:rFonts w:ascii="Cambria" w:eastAsia="Times New Roman" w:hAnsi="Cambria" w:cs="Calibri"/>
                <w:lang w:val="it-IT"/>
              </w:rPr>
            </w:pPr>
            <w:r w:rsidRPr="00DF4CE5">
              <w:rPr>
                <w:rFonts w:ascii="Cambria" w:eastAsia="Times New Roman" w:hAnsi="Cambria" w:cs="Calibri"/>
                <w:lang w:val="it-IT"/>
              </w:rPr>
              <w:t xml:space="preserve">10. </w:t>
            </w:r>
            <w:proofErr w:type="spellStart"/>
            <w:r w:rsidRPr="00DF4CE5">
              <w:rPr>
                <w:rFonts w:ascii="Cambria" w:eastAsia="Times New Roman" w:hAnsi="Cambria" w:cs="Calibri"/>
                <w:lang w:val="it-IT"/>
              </w:rPr>
              <w:t>Glazbeni</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smjerovi</w:t>
            </w:r>
            <w:proofErr w:type="spellEnd"/>
            <w:r w:rsidRPr="00DF4CE5">
              <w:rPr>
                <w:rFonts w:ascii="Cambria" w:eastAsia="Times New Roman" w:hAnsi="Cambria" w:cs="Calibri"/>
                <w:lang w:val="it-IT"/>
              </w:rPr>
              <w:t xml:space="preserve"> 20. </w:t>
            </w:r>
            <w:proofErr w:type="spellStart"/>
            <w:r w:rsidRPr="00DF4CE5">
              <w:rPr>
                <w:rFonts w:ascii="Cambria" w:eastAsia="Times New Roman" w:hAnsi="Cambria" w:cs="Calibri"/>
                <w:lang w:val="it-IT"/>
              </w:rPr>
              <w:t>stoljeća</w:t>
            </w:r>
            <w:proofErr w:type="spellEnd"/>
            <w:r w:rsidRPr="00DF4CE5">
              <w:rPr>
                <w:rFonts w:ascii="Cambria" w:eastAsia="Times New Roman" w:hAnsi="Cambria" w:cs="Calibri"/>
                <w:lang w:val="it-IT"/>
              </w:rPr>
              <w:t xml:space="preserve"> </w:t>
            </w:r>
          </w:p>
          <w:p w14:paraId="180561B7" w14:textId="77777777" w:rsidR="001C42AA" w:rsidRPr="00DF4CE5" w:rsidRDefault="001C42AA" w:rsidP="001C42AA">
            <w:pPr>
              <w:autoSpaceDE w:val="0"/>
              <w:autoSpaceDN w:val="0"/>
              <w:adjustRightInd w:val="0"/>
              <w:spacing w:after="0" w:line="240" w:lineRule="auto"/>
              <w:rPr>
                <w:rFonts w:ascii="Cambria" w:eastAsia="Times New Roman" w:hAnsi="Cambria" w:cs="Calibri"/>
                <w:lang w:val="it-IT"/>
              </w:rPr>
            </w:pPr>
            <w:r w:rsidRPr="00DF4CE5">
              <w:rPr>
                <w:rFonts w:ascii="Cambria" w:eastAsia="Times New Roman" w:hAnsi="Cambria" w:cs="Calibri"/>
                <w:lang w:val="it-IT"/>
              </w:rPr>
              <w:t xml:space="preserve">11. </w:t>
            </w:r>
            <w:proofErr w:type="spellStart"/>
            <w:r w:rsidRPr="00DF4CE5">
              <w:rPr>
                <w:rFonts w:ascii="Cambria" w:eastAsia="Times New Roman" w:hAnsi="Cambria" w:cs="Calibri"/>
                <w:lang w:val="it-IT"/>
              </w:rPr>
              <w:t>Glazba</w:t>
            </w:r>
            <w:proofErr w:type="spellEnd"/>
            <w:r w:rsidRPr="00DF4CE5">
              <w:rPr>
                <w:rFonts w:ascii="Cambria" w:eastAsia="Times New Roman" w:hAnsi="Cambria" w:cs="Calibri"/>
                <w:lang w:val="it-IT"/>
              </w:rPr>
              <w:t xml:space="preserve"> u </w:t>
            </w:r>
            <w:proofErr w:type="spellStart"/>
            <w:r w:rsidRPr="00DF4CE5">
              <w:rPr>
                <w:rFonts w:ascii="Cambria" w:eastAsia="Times New Roman" w:hAnsi="Cambria" w:cs="Calibri"/>
                <w:lang w:val="it-IT"/>
              </w:rPr>
              <w:t>Hrvatskoj</w:t>
            </w:r>
            <w:proofErr w:type="spellEnd"/>
            <w:r w:rsidRPr="00DF4CE5">
              <w:rPr>
                <w:rFonts w:ascii="Cambria" w:eastAsia="Times New Roman" w:hAnsi="Cambria" w:cs="Calibri"/>
                <w:lang w:val="it-IT"/>
              </w:rPr>
              <w:t xml:space="preserve"> i </w:t>
            </w:r>
            <w:proofErr w:type="spellStart"/>
            <w:r w:rsidRPr="00DF4CE5">
              <w:rPr>
                <w:rFonts w:ascii="Cambria" w:eastAsia="Times New Roman" w:hAnsi="Cambria" w:cs="Calibri"/>
                <w:lang w:val="it-IT"/>
              </w:rPr>
              <w:t>predstavnici</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hrvatske</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umjetničke</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glazbe</w:t>
            </w:r>
            <w:proofErr w:type="spellEnd"/>
          </w:p>
          <w:p w14:paraId="2182601B" w14:textId="77777777" w:rsidR="001C42AA" w:rsidRPr="00DF4CE5" w:rsidRDefault="001C42AA" w:rsidP="001C42AA">
            <w:pPr>
              <w:autoSpaceDE w:val="0"/>
              <w:autoSpaceDN w:val="0"/>
              <w:adjustRightInd w:val="0"/>
              <w:spacing w:after="0" w:line="240" w:lineRule="auto"/>
              <w:rPr>
                <w:rFonts w:ascii="Cambria" w:eastAsia="Times New Roman" w:hAnsi="Cambria" w:cs="Calibri"/>
                <w:lang w:val="it-IT"/>
              </w:rPr>
            </w:pPr>
            <w:r w:rsidRPr="00DF4CE5">
              <w:rPr>
                <w:rFonts w:ascii="Cambria" w:eastAsia="Times New Roman" w:hAnsi="Cambria" w:cs="Calibri"/>
                <w:lang w:val="it-IT"/>
              </w:rPr>
              <w:t xml:space="preserve">12. </w:t>
            </w:r>
            <w:proofErr w:type="spellStart"/>
            <w:r w:rsidRPr="00DF4CE5">
              <w:rPr>
                <w:rFonts w:ascii="Cambria" w:eastAsia="Times New Roman" w:hAnsi="Cambria" w:cs="Calibri"/>
                <w:lang w:val="it-IT"/>
              </w:rPr>
              <w:t>Hrvatska</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tradicijska</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glazba</w:t>
            </w:r>
            <w:proofErr w:type="spellEnd"/>
          </w:p>
          <w:p w14:paraId="21ADAF3F" w14:textId="77777777" w:rsidR="001C42AA" w:rsidRPr="00DF4CE5" w:rsidRDefault="001C42AA" w:rsidP="001C42AA">
            <w:pPr>
              <w:autoSpaceDE w:val="0"/>
              <w:autoSpaceDN w:val="0"/>
              <w:adjustRightInd w:val="0"/>
              <w:spacing w:after="0" w:line="240" w:lineRule="auto"/>
              <w:rPr>
                <w:rFonts w:ascii="Cambria" w:eastAsia="Times New Roman" w:hAnsi="Cambria" w:cs="Calibri"/>
                <w:lang w:val="it-IT"/>
              </w:rPr>
            </w:pPr>
            <w:r w:rsidRPr="00DF4CE5">
              <w:rPr>
                <w:rFonts w:ascii="Cambria" w:eastAsia="Times New Roman" w:hAnsi="Cambria" w:cs="Calibri"/>
                <w:lang w:val="it-IT"/>
              </w:rPr>
              <w:t xml:space="preserve">13. </w:t>
            </w:r>
            <w:proofErr w:type="spellStart"/>
            <w:r w:rsidRPr="00DF4CE5">
              <w:rPr>
                <w:rFonts w:ascii="Cambria" w:eastAsia="Times New Roman" w:hAnsi="Cambria" w:cs="Calibri"/>
                <w:lang w:val="it-IT"/>
              </w:rPr>
              <w:t>Terenska</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nastava</w:t>
            </w:r>
            <w:proofErr w:type="spellEnd"/>
          </w:p>
        </w:tc>
      </w:tr>
      <w:tr w:rsidR="001C42AA" w:rsidRPr="00DF4CE5" w14:paraId="26052235" w14:textId="77777777" w:rsidTr="00A31664">
        <w:tc>
          <w:tcPr>
            <w:tcW w:w="2617"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7ACC9CE6" w14:textId="77777777" w:rsidR="001C42AA" w:rsidRPr="00DF4CE5" w:rsidRDefault="001C42AA" w:rsidP="001C42AA">
            <w:pPr>
              <w:spacing w:after="0" w:line="240" w:lineRule="auto"/>
              <w:rPr>
                <w:rFonts w:ascii="Cambria" w:eastAsia="Times New Roman" w:hAnsi="Cambria" w:cs="Calibri"/>
                <w:lang w:val="it-IT"/>
              </w:rPr>
            </w:pPr>
            <w:proofErr w:type="spellStart"/>
            <w:r w:rsidRPr="00DF4CE5">
              <w:rPr>
                <w:rFonts w:ascii="Cambria" w:eastAsia="Times New Roman" w:hAnsi="Cambria" w:cs="Calibri"/>
                <w:lang w:val="it-IT"/>
              </w:rPr>
              <w:lastRenderedPageBreak/>
              <w:t>Planirane</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aktivnosti</w:t>
            </w:r>
            <w:proofErr w:type="spellEnd"/>
            <w:r w:rsidRPr="00DF4CE5">
              <w:rPr>
                <w:rFonts w:ascii="Cambria" w:eastAsia="Times New Roman" w:hAnsi="Cambria" w:cs="Calibri"/>
                <w:lang w:val="it-IT"/>
              </w:rPr>
              <w:t>,</w:t>
            </w:r>
          </w:p>
          <w:p w14:paraId="16AC1B38" w14:textId="77777777" w:rsidR="001C42AA" w:rsidRPr="00DF4CE5" w:rsidRDefault="001C42AA" w:rsidP="001C42AA">
            <w:pPr>
              <w:spacing w:after="0" w:line="240" w:lineRule="auto"/>
              <w:rPr>
                <w:rFonts w:ascii="Cambria" w:eastAsia="Times New Roman" w:hAnsi="Cambria" w:cs="Calibri"/>
                <w:lang w:val="it-IT"/>
              </w:rPr>
            </w:pPr>
            <w:proofErr w:type="spellStart"/>
            <w:r w:rsidRPr="00DF4CE5">
              <w:rPr>
                <w:rFonts w:ascii="Cambria" w:eastAsia="Times New Roman" w:hAnsi="Cambria" w:cs="Calibri"/>
                <w:lang w:val="it-IT"/>
              </w:rPr>
              <w:t>metode</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učenja</w:t>
            </w:r>
            <w:proofErr w:type="spellEnd"/>
            <w:r w:rsidRPr="00DF4CE5">
              <w:rPr>
                <w:rFonts w:ascii="Cambria" w:eastAsia="Times New Roman" w:hAnsi="Cambria" w:cs="Calibri"/>
                <w:lang w:val="it-IT"/>
              </w:rPr>
              <w:t xml:space="preserve"> i </w:t>
            </w:r>
            <w:proofErr w:type="spellStart"/>
            <w:r w:rsidRPr="00DF4CE5">
              <w:rPr>
                <w:rFonts w:ascii="Cambria" w:eastAsia="Times New Roman" w:hAnsi="Cambria" w:cs="Calibri"/>
                <w:lang w:val="it-IT"/>
              </w:rPr>
              <w:t>poučavanja</w:t>
            </w:r>
            <w:proofErr w:type="spellEnd"/>
            <w:r w:rsidRPr="00DF4CE5">
              <w:rPr>
                <w:rFonts w:ascii="Cambria" w:eastAsia="Times New Roman" w:hAnsi="Cambria" w:cs="Calibri"/>
                <w:lang w:val="it-IT"/>
              </w:rPr>
              <w:t xml:space="preserve"> i </w:t>
            </w:r>
            <w:proofErr w:type="spellStart"/>
            <w:r w:rsidRPr="00DF4CE5">
              <w:rPr>
                <w:rFonts w:ascii="Cambria" w:eastAsia="Times New Roman" w:hAnsi="Cambria" w:cs="Calibri"/>
                <w:lang w:val="it-IT"/>
              </w:rPr>
              <w:t>načini</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vrednovanja</w:t>
            </w:r>
            <w:proofErr w:type="spellEnd"/>
          </w:p>
          <w:p w14:paraId="639CE9F7" w14:textId="77777777" w:rsidR="001C42AA" w:rsidRPr="00DF4CE5" w:rsidRDefault="001C42AA" w:rsidP="001C42AA">
            <w:pPr>
              <w:spacing w:after="0" w:line="240" w:lineRule="auto"/>
              <w:rPr>
                <w:rFonts w:ascii="Cambria" w:eastAsia="Times New Roman" w:hAnsi="Cambria" w:cs="Calibri"/>
                <w:lang w:val="it-IT"/>
              </w:rPr>
            </w:pPr>
          </w:p>
        </w:tc>
        <w:tc>
          <w:tcPr>
            <w:tcW w:w="24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5C89288" w14:textId="77777777" w:rsidR="001C42AA" w:rsidRPr="00DF4CE5" w:rsidRDefault="001C42AA" w:rsidP="001C42AA">
            <w:pPr>
              <w:spacing w:after="0" w:line="240" w:lineRule="auto"/>
              <w:rPr>
                <w:rFonts w:ascii="Cambria" w:eastAsia="Times New Roman" w:hAnsi="Cambria" w:cs="Calibri"/>
              </w:rPr>
            </w:pPr>
            <w:proofErr w:type="spellStart"/>
            <w:r w:rsidRPr="00DF4CE5">
              <w:rPr>
                <w:rFonts w:ascii="Cambria" w:eastAsia="Times New Roman" w:hAnsi="Cambria" w:cs="Calibri"/>
                <w:bCs/>
              </w:rPr>
              <w:t>Obveze</w:t>
            </w:r>
            <w:proofErr w:type="spellEnd"/>
          </w:p>
          <w:p w14:paraId="4AAA312A" w14:textId="77777777" w:rsidR="001C42AA" w:rsidRPr="00DF4CE5" w:rsidRDefault="001C42AA" w:rsidP="001C42AA">
            <w:pPr>
              <w:spacing w:after="0" w:line="240" w:lineRule="auto"/>
              <w:rPr>
                <w:rFonts w:ascii="Cambria" w:eastAsia="Times New Roman" w:hAnsi="Cambria" w:cs="Calibri"/>
              </w:rPr>
            </w:pPr>
          </w:p>
        </w:tc>
        <w:tc>
          <w:tcPr>
            <w:tcW w:w="113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E2CF637" w14:textId="77777777" w:rsidR="001C42AA" w:rsidRPr="00DF4CE5" w:rsidRDefault="001C42AA" w:rsidP="001C42AA">
            <w:pPr>
              <w:spacing w:after="0" w:line="240" w:lineRule="auto"/>
              <w:rPr>
                <w:rFonts w:ascii="Cambria" w:eastAsia="Times New Roman" w:hAnsi="Cambria" w:cs="Calibri"/>
              </w:rPr>
            </w:pPr>
            <w:proofErr w:type="spellStart"/>
            <w:r w:rsidRPr="00DF4CE5">
              <w:rPr>
                <w:rFonts w:ascii="Cambria" w:eastAsia="Times New Roman" w:hAnsi="Cambria" w:cs="Calibri"/>
                <w:bCs/>
              </w:rPr>
              <w:t>Ishodi</w:t>
            </w:r>
            <w:proofErr w:type="spellEnd"/>
          </w:p>
          <w:p w14:paraId="1DEE93A5" w14:textId="77777777" w:rsidR="001C42AA" w:rsidRPr="00DF4CE5" w:rsidRDefault="001C42AA" w:rsidP="001C42AA">
            <w:pPr>
              <w:spacing w:after="0" w:line="240" w:lineRule="auto"/>
              <w:rPr>
                <w:rFonts w:ascii="Cambria" w:eastAsia="Times New Roman" w:hAnsi="Cambria" w:cs="Calibri"/>
              </w:rPr>
            </w:pPr>
          </w:p>
        </w:tc>
        <w:tc>
          <w:tcPr>
            <w:tcW w:w="99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4A2D790" w14:textId="77777777" w:rsidR="001C42AA" w:rsidRPr="00DF4CE5" w:rsidRDefault="001C42AA" w:rsidP="001C42AA">
            <w:pPr>
              <w:spacing w:after="0" w:line="240" w:lineRule="auto"/>
              <w:rPr>
                <w:rFonts w:ascii="Cambria" w:eastAsia="Times New Roman" w:hAnsi="Cambria" w:cs="Calibri"/>
              </w:rPr>
            </w:pPr>
            <w:r w:rsidRPr="00DF4CE5">
              <w:rPr>
                <w:rFonts w:ascii="Cambria" w:eastAsia="Times New Roman" w:hAnsi="Cambria" w:cs="Calibri"/>
                <w:bCs/>
              </w:rPr>
              <w:t>Sati</w:t>
            </w:r>
          </w:p>
        </w:tc>
        <w:tc>
          <w:tcPr>
            <w:tcW w:w="8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634991C" w14:textId="77777777" w:rsidR="001C42AA" w:rsidRPr="00DF4CE5" w:rsidRDefault="001C42AA" w:rsidP="001C42AA">
            <w:pPr>
              <w:spacing w:after="0" w:line="240" w:lineRule="auto"/>
              <w:rPr>
                <w:rFonts w:ascii="Cambria" w:eastAsia="Times New Roman" w:hAnsi="Cambria" w:cs="Calibri"/>
              </w:rPr>
            </w:pPr>
            <w:r w:rsidRPr="00DF4CE5">
              <w:rPr>
                <w:rFonts w:ascii="Cambria" w:eastAsia="Times New Roman" w:hAnsi="Cambria" w:cs="Calibri"/>
                <w:bCs/>
              </w:rPr>
              <w:t>ECTS</w:t>
            </w:r>
          </w:p>
        </w:tc>
        <w:tc>
          <w:tcPr>
            <w:tcW w:w="13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AE2B34B" w14:textId="77777777" w:rsidR="001C42AA" w:rsidRPr="00DF4CE5" w:rsidRDefault="001C42AA" w:rsidP="001C42AA">
            <w:pPr>
              <w:spacing w:after="0" w:line="240" w:lineRule="auto"/>
              <w:rPr>
                <w:rFonts w:ascii="Cambria" w:eastAsia="Times New Roman" w:hAnsi="Cambria" w:cs="Calibri"/>
              </w:rPr>
            </w:pPr>
            <w:proofErr w:type="spellStart"/>
            <w:r w:rsidRPr="00DF4CE5">
              <w:rPr>
                <w:rFonts w:ascii="Cambria" w:eastAsia="Times New Roman" w:hAnsi="Cambria" w:cs="Calibri"/>
                <w:bCs/>
              </w:rPr>
              <w:t>Maksimalni</w:t>
            </w:r>
            <w:proofErr w:type="spellEnd"/>
            <w:r w:rsidRPr="00DF4CE5">
              <w:rPr>
                <w:rFonts w:ascii="Cambria" w:eastAsia="Times New Roman" w:hAnsi="Cambria" w:cs="Calibri"/>
                <w:bCs/>
              </w:rPr>
              <w:t xml:space="preserve"> </w:t>
            </w:r>
            <w:proofErr w:type="spellStart"/>
            <w:r w:rsidRPr="00DF4CE5">
              <w:rPr>
                <w:rFonts w:ascii="Cambria" w:eastAsia="Times New Roman" w:hAnsi="Cambria" w:cs="Calibri"/>
                <w:bCs/>
              </w:rPr>
              <w:t>udio</w:t>
            </w:r>
            <w:proofErr w:type="spellEnd"/>
            <w:r w:rsidRPr="00DF4CE5">
              <w:rPr>
                <w:rFonts w:ascii="Cambria" w:eastAsia="Times New Roman" w:hAnsi="Cambria" w:cs="Calibri"/>
                <w:bCs/>
              </w:rPr>
              <w:t xml:space="preserve"> u </w:t>
            </w:r>
            <w:proofErr w:type="spellStart"/>
            <w:r w:rsidRPr="00DF4CE5">
              <w:rPr>
                <w:rFonts w:ascii="Cambria" w:eastAsia="Times New Roman" w:hAnsi="Cambria" w:cs="Calibri"/>
                <w:bCs/>
              </w:rPr>
              <w:t>ocjeni</w:t>
            </w:r>
            <w:proofErr w:type="spellEnd"/>
            <w:r w:rsidRPr="00DF4CE5">
              <w:rPr>
                <w:rFonts w:ascii="Cambria" w:eastAsia="Times New Roman" w:hAnsi="Cambria" w:cs="Calibri"/>
                <w:bCs/>
              </w:rPr>
              <w:t xml:space="preserve"> (%)</w:t>
            </w:r>
          </w:p>
        </w:tc>
      </w:tr>
      <w:tr w:rsidR="001C42AA" w:rsidRPr="00DF4CE5" w14:paraId="3E0295FB" w14:textId="77777777" w:rsidTr="00A31664">
        <w:tc>
          <w:tcPr>
            <w:tcW w:w="2617" w:type="dxa"/>
            <w:vMerge/>
            <w:tcBorders>
              <w:left w:val="single" w:sz="8" w:space="0" w:color="000000"/>
              <w:right w:val="single" w:sz="8" w:space="0" w:color="000000"/>
            </w:tcBorders>
            <w:vAlign w:val="center"/>
          </w:tcPr>
          <w:p w14:paraId="2DFE1C8D" w14:textId="77777777" w:rsidR="001C42AA" w:rsidRPr="00DF4CE5" w:rsidRDefault="001C42AA" w:rsidP="001C42AA">
            <w:pPr>
              <w:spacing w:after="0" w:line="240" w:lineRule="auto"/>
              <w:rPr>
                <w:rFonts w:ascii="Cambria" w:eastAsia="Times New Roman" w:hAnsi="Cambria" w:cs="Calibri"/>
              </w:rPr>
            </w:pPr>
          </w:p>
        </w:tc>
        <w:tc>
          <w:tcPr>
            <w:tcW w:w="24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89A2A23" w14:textId="2E6789E7" w:rsidR="001C42AA" w:rsidRPr="00DF4CE5" w:rsidRDefault="000F57D9" w:rsidP="001C42AA">
            <w:pPr>
              <w:spacing w:after="0" w:line="240" w:lineRule="auto"/>
              <w:rPr>
                <w:rFonts w:ascii="Cambria" w:eastAsia="Times New Roman" w:hAnsi="Cambria" w:cs="Calibri"/>
                <w:lang w:val="it-IT"/>
              </w:rPr>
            </w:pPr>
            <w:proofErr w:type="spellStart"/>
            <w:r w:rsidRPr="00DF4CE5">
              <w:rPr>
                <w:rFonts w:ascii="Cambria" w:eastAsia="Times New Roman" w:hAnsi="Cambria" w:cs="Calibri"/>
                <w:lang w:val="it-IT"/>
              </w:rPr>
              <w:t>aktivnost</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na</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nastavi</w:t>
            </w:r>
            <w:proofErr w:type="spellEnd"/>
            <w:r w:rsidR="001C42AA" w:rsidRPr="00DF4CE5">
              <w:rPr>
                <w:rFonts w:ascii="Cambria" w:eastAsia="Times New Roman" w:hAnsi="Cambria" w:cs="Calibri"/>
                <w:lang w:val="it-IT"/>
              </w:rPr>
              <w:t xml:space="preserve"> P i V </w:t>
            </w:r>
          </w:p>
        </w:tc>
        <w:tc>
          <w:tcPr>
            <w:tcW w:w="113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D4F3D2F" w14:textId="62E385A3" w:rsidR="001C42AA" w:rsidRPr="00DF4CE5" w:rsidRDefault="001C42AA" w:rsidP="001C42AA">
            <w:pPr>
              <w:spacing w:after="0" w:line="240" w:lineRule="auto"/>
              <w:rPr>
                <w:rFonts w:ascii="Cambria" w:eastAsia="Times New Roman" w:hAnsi="Cambria" w:cs="Calibri"/>
              </w:rPr>
            </w:pPr>
            <w:r w:rsidRPr="00DF4CE5">
              <w:rPr>
                <w:rFonts w:ascii="Cambria" w:eastAsia="Times New Roman" w:hAnsi="Cambria" w:cs="Calibri"/>
              </w:rPr>
              <w:t xml:space="preserve">1. </w:t>
            </w:r>
            <w:r w:rsidR="006E59DC">
              <w:rPr>
                <w:rFonts w:ascii="Cambria" w:eastAsia="Times New Roman" w:hAnsi="Cambria" w:cs="Calibri"/>
              </w:rPr>
              <w:t>–</w:t>
            </w:r>
            <w:r w:rsidRPr="00DF4CE5">
              <w:rPr>
                <w:rFonts w:ascii="Cambria" w:eastAsia="Times New Roman" w:hAnsi="Cambria" w:cs="Calibri"/>
              </w:rPr>
              <w:t xml:space="preserve"> 4.</w:t>
            </w:r>
          </w:p>
        </w:tc>
        <w:tc>
          <w:tcPr>
            <w:tcW w:w="99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3EAFDF5" w14:textId="77777777" w:rsidR="001C42AA" w:rsidRPr="00DF4CE5" w:rsidRDefault="001C42AA" w:rsidP="001C42AA">
            <w:pPr>
              <w:spacing w:after="0" w:line="240" w:lineRule="auto"/>
              <w:rPr>
                <w:rFonts w:ascii="Cambria" w:eastAsia="Times New Roman" w:hAnsi="Cambria" w:cs="Calibri"/>
              </w:rPr>
            </w:pPr>
            <w:r w:rsidRPr="00DF4CE5">
              <w:rPr>
                <w:rFonts w:ascii="Cambria" w:eastAsia="Times New Roman" w:hAnsi="Cambria" w:cs="Calibri"/>
              </w:rPr>
              <w:t>23</w:t>
            </w:r>
          </w:p>
        </w:tc>
        <w:tc>
          <w:tcPr>
            <w:tcW w:w="8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91D5739" w14:textId="77777777" w:rsidR="001C42AA" w:rsidRPr="00DF4CE5" w:rsidRDefault="001C42AA" w:rsidP="001C42AA">
            <w:pPr>
              <w:spacing w:after="0" w:line="240" w:lineRule="auto"/>
              <w:rPr>
                <w:rFonts w:ascii="Cambria" w:eastAsia="Times New Roman" w:hAnsi="Cambria" w:cs="Calibri"/>
              </w:rPr>
            </w:pPr>
            <w:r w:rsidRPr="00DF4CE5">
              <w:rPr>
                <w:rFonts w:ascii="Cambria" w:eastAsia="Times New Roman" w:hAnsi="Cambria" w:cs="Calibri"/>
              </w:rPr>
              <w:t>0,8</w:t>
            </w:r>
          </w:p>
        </w:tc>
        <w:tc>
          <w:tcPr>
            <w:tcW w:w="13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5A820E4" w14:textId="77777777" w:rsidR="001C42AA" w:rsidRPr="00DF4CE5" w:rsidRDefault="001C42AA" w:rsidP="001C42AA">
            <w:pPr>
              <w:spacing w:after="0" w:line="240" w:lineRule="auto"/>
              <w:rPr>
                <w:rFonts w:ascii="Cambria" w:eastAsia="Times New Roman" w:hAnsi="Cambria" w:cs="Calibri"/>
              </w:rPr>
            </w:pPr>
            <w:r w:rsidRPr="00DF4CE5">
              <w:rPr>
                <w:rFonts w:ascii="Cambria" w:eastAsia="Times New Roman" w:hAnsi="Cambria" w:cs="Calibri"/>
              </w:rPr>
              <w:t xml:space="preserve">  20 %</w:t>
            </w:r>
          </w:p>
        </w:tc>
      </w:tr>
      <w:tr w:rsidR="001C42AA" w:rsidRPr="00DF4CE5" w14:paraId="01780F82" w14:textId="77777777" w:rsidTr="00A31664">
        <w:tc>
          <w:tcPr>
            <w:tcW w:w="2617" w:type="dxa"/>
            <w:vMerge/>
            <w:tcBorders>
              <w:left w:val="single" w:sz="8" w:space="0" w:color="000000"/>
              <w:right w:val="single" w:sz="8" w:space="0" w:color="000000"/>
            </w:tcBorders>
            <w:vAlign w:val="center"/>
          </w:tcPr>
          <w:p w14:paraId="04409F25" w14:textId="77777777" w:rsidR="001C42AA" w:rsidRPr="00DF4CE5" w:rsidRDefault="001C42AA" w:rsidP="001C42AA">
            <w:pPr>
              <w:spacing w:after="0" w:line="240" w:lineRule="auto"/>
              <w:rPr>
                <w:rFonts w:ascii="Cambria" w:eastAsia="Times New Roman" w:hAnsi="Cambria" w:cs="Calibri"/>
              </w:rPr>
            </w:pPr>
          </w:p>
        </w:tc>
        <w:tc>
          <w:tcPr>
            <w:tcW w:w="24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E260391" w14:textId="77777777" w:rsidR="001C42AA" w:rsidRPr="00DF4CE5" w:rsidRDefault="001C42AA" w:rsidP="001C42AA">
            <w:pPr>
              <w:spacing w:after="0" w:line="240" w:lineRule="auto"/>
              <w:rPr>
                <w:rFonts w:ascii="Cambria" w:eastAsia="Times New Roman" w:hAnsi="Cambria" w:cs="Calibri"/>
              </w:rPr>
            </w:pPr>
            <w:proofErr w:type="spellStart"/>
            <w:r w:rsidRPr="00DF4CE5">
              <w:rPr>
                <w:rFonts w:ascii="Cambria" w:eastAsia="Times New Roman" w:hAnsi="Cambria" w:cs="Calibri"/>
              </w:rPr>
              <w:t>terenska</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nastava</w:t>
            </w:r>
            <w:proofErr w:type="spellEnd"/>
          </w:p>
        </w:tc>
        <w:tc>
          <w:tcPr>
            <w:tcW w:w="113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363A332" w14:textId="69C7C798" w:rsidR="001C42AA" w:rsidRPr="00DF4CE5" w:rsidRDefault="001C42AA" w:rsidP="001C42AA">
            <w:pPr>
              <w:spacing w:after="0" w:line="240" w:lineRule="auto"/>
              <w:rPr>
                <w:rFonts w:ascii="Cambria" w:eastAsia="Times New Roman" w:hAnsi="Cambria" w:cs="Calibri"/>
              </w:rPr>
            </w:pPr>
            <w:r w:rsidRPr="00DF4CE5">
              <w:rPr>
                <w:rFonts w:ascii="Cambria" w:eastAsia="Times New Roman" w:hAnsi="Cambria" w:cs="Calibri"/>
              </w:rPr>
              <w:t xml:space="preserve">1. </w:t>
            </w:r>
            <w:r w:rsidR="006E59DC">
              <w:rPr>
                <w:rFonts w:ascii="Cambria" w:eastAsia="Times New Roman" w:hAnsi="Cambria" w:cs="Calibri"/>
              </w:rPr>
              <w:t>–</w:t>
            </w:r>
            <w:r w:rsidRPr="00DF4CE5">
              <w:rPr>
                <w:rFonts w:ascii="Cambria" w:eastAsia="Times New Roman" w:hAnsi="Cambria" w:cs="Calibri"/>
              </w:rPr>
              <w:t xml:space="preserve"> 4.</w:t>
            </w:r>
          </w:p>
        </w:tc>
        <w:tc>
          <w:tcPr>
            <w:tcW w:w="99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078A6FB" w14:textId="77777777" w:rsidR="001C42AA" w:rsidRPr="00DF4CE5" w:rsidRDefault="001C42AA" w:rsidP="001C42AA">
            <w:pPr>
              <w:spacing w:after="0" w:line="240" w:lineRule="auto"/>
              <w:rPr>
                <w:rFonts w:ascii="Cambria" w:eastAsia="Times New Roman" w:hAnsi="Cambria" w:cs="Calibri"/>
              </w:rPr>
            </w:pPr>
            <w:r w:rsidRPr="00DF4CE5">
              <w:rPr>
                <w:rFonts w:ascii="Cambria" w:eastAsia="Times New Roman" w:hAnsi="Cambria" w:cs="Calibri"/>
              </w:rPr>
              <w:t xml:space="preserve">  3</w:t>
            </w:r>
          </w:p>
        </w:tc>
        <w:tc>
          <w:tcPr>
            <w:tcW w:w="8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FAAC1A7" w14:textId="77777777" w:rsidR="001C42AA" w:rsidRPr="00DF4CE5" w:rsidRDefault="001C42AA" w:rsidP="001C42AA">
            <w:pPr>
              <w:spacing w:after="0" w:line="240" w:lineRule="auto"/>
              <w:rPr>
                <w:rFonts w:ascii="Cambria" w:eastAsia="Times New Roman" w:hAnsi="Cambria" w:cs="Calibri"/>
              </w:rPr>
            </w:pPr>
            <w:r w:rsidRPr="00DF4CE5">
              <w:rPr>
                <w:rFonts w:ascii="Cambria" w:eastAsia="Times New Roman" w:hAnsi="Cambria" w:cs="Calibri"/>
              </w:rPr>
              <w:t>0,1</w:t>
            </w:r>
          </w:p>
        </w:tc>
        <w:tc>
          <w:tcPr>
            <w:tcW w:w="13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4D3EEAB" w14:textId="77777777" w:rsidR="001C42AA" w:rsidRPr="00DF4CE5" w:rsidRDefault="001C42AA" w:rsidP="001C42AA">
            <w:pPr>
              <w:spacing w:after="0" w:line="240" w:lineRule="auto"/>
              <w:rPr>
                <w:rFonts w:ascii="Cambria" w:eastAsia="Times New Roman" w:hAnsi="Cambria" w:cs="Calibri"/>
              </w:rPr>
            </w:pPr>
            <w:r w:rsidRPr="00DF4CE5">
              <w:rPr>
                <w:rFonts w:ascii="Cambria" w:eastAsia="Times New Roman" w:hAnsi="Cambria" w:cs="Calibri"/>
              </w:rPr>
              <w:t xml:space="preserve">    0 %</w:t>
            </w:r>
          </w:p>
        </w:tc>
      </w:tr>
      <w:tr w:rsidR="001C42AA" w:rsidRPr="00DF4CE5" w14:paraId="4A5CB609" w14:textId="77777777" w:rsidTr="00A31664">
        <w:tc>
          <w:tcPr>
            <w:tcW w:w="2617" w:type="dxa"/>
            <w:vMerge/>
            <w:tcBorders>
              <w:left w:val="single" w:sz="8" w:space="0" w:color="000000"/>
              <w:right w:val="single" w:sz="8" w:space="0" w:color="000000"/>
            </w:tcBorders>
            <w:vAlign w:val="center"/>
          </w:tcPr>
          <w:p w14:paraId="75F7AB97" w14:textId="77777777" w:rsidR="001C42AA" w:rsidRPr="00DF4CE5" w:rsidRDefault="001C42AA" w:rsidP="001C42AA">
            <w:pPr>
              <w:spacing w:after="0" w:line="240" w:lineRule="auto"/>
              <w:rPr>
                <w:rFonts w:ascii="Cambria" w:eastAsia="Times New Roman" w:hAnsi="Cambria" w:cs="Calibri"/>
              </w:rPr>
            </w:pPr>
          </w:p>
        </w:tc>
        <w:tc>
          <w:tcPr>
            <w:tcW w:w="24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97EB6FE" w14:textId="77777777" w:rsidR="001C42AA" w:rsidRPr="00DF4CE5" w:rsidRDefault="001C42AA" w:rsidP="001C42AA">
            <w:pPr>
              <w:spacing w:after="0" w:line="240" w:lineRule="auto"/>
              <w:rPr>
                <w:rFonts w:ascii="Cambria" w:eastAsia="Times New Roman" w:hAnsi="Cambria" w:cs="Calibri"/>
              </w:rPr>
            </w:pPr>
            <w:proofErr w:type="spellStart"/>
            <w:r w:rsidRPr="00DF4CE5">
              <w:rPr>
                <w:rFonts w:ascii="Cambria" w:eastAsia="Times New Roman" w:hAnsi="Cambria" w:cs="Calibri"/>
              </w:rPr>
              <w:t>osvrt</w:t>
            </w:r>
            <w:proofErr w:type="spellEnd"/>
            <w:r w:rsidRPr="00DF4CE5">
              <w:rPr>
                <w:rFonts w:ascii="Cambria" w:eastAsia="Times New Roman" w:hAnsi="Cambria" w:cs="Calibri"/>
              </w:rPr>
              <w:t xml:space="preserve"> s </w:t>
            </w:r>
            <w:proofErr w:type="spellStart"/>
            <w:r w:rsidRPr="00DF4CE5">
              <w:rPr>
                <w:rFonts w:ascii="Cambria" w:eastAsia="Times New Roman" w:hAnsi="Cambria" w:cs="Calibri"/>
              </w:rPr>
              <w:t>terenske</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nastave</w:t>
            </w:r>
            <w:proofErr w:type="spellEnd"/>
          </w:p>
        </w:tc>
        <w:tc>
          <w:tcPr>
            <w:tcW w:w="113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3F0C4F" w14:textId="2EAE94DF" w:rsidR="001C42AA" w:rsidRPr="00DF4CE5" w:rsidRDefault="001C42AA" w:rsidP="001C42AA">
            <w:pPr>
              <w:spacing w:after="0" w:line="240" w:lineRule="auto"/>
              <w:rPr>
                <w:rFonts w:ascii="Cambria" w:eastAsia="Times New Roman" w:hAnsi="Cambria" w:cs="Calibri"/>
              </w:rPr>
            </w:pPr>
            <w:r w:rsidRPr="00DF4CE5">
              <w:rPr>
                <w:rFonts w:ascii="Cambria" w:eastAsia="Times New Roman" w:hAnsi="Cambria" w:cs="Calibri"/>
              </w:rPr>
              <w:t xml:space="preserve">1. </w:t>
            </w:r>
            <w:r w:rsidR="006E59DC">
              <w:rPr>
                <w:rFonts w:ascii="Cambria" w:eastAsia="Times New Roman" w:hAnsi="Cambria" w:cs="Calibri"/>
              </w:rPr>
              <w:t>–</w:t>
            </w:r>
            <w:r w:rsidRPr="00DF4CE5">
              <w:rPr>
                <w:rFonts w:ascii="Cambria" w:eastAsia="Times New Roman" w:hAnsi="Cambria" w:cs="Calibri"/>
              </w:rPr>
              <w:t xml:space="preserve"> 4.</w:t>
            </w:r>
          </w:p>
        </w:tc>
        <w:tc>
          <w:tcPr>
            <w:tcW w:w="99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6C80AF8" w14:textId="77777777" w:rsidR="001C42AA" w:rsidRPr="00DF4CE5" w:rsidRDefault="001C42AA" w:rsidP="001C42AA">
            <w:pPr>
              <w:spacing w:after="0" w:line="240" w:lineRule="auto"/>
              <w:rPr>
                <w:rFonts w:ascii="Cambria" w:eastAsia="Times New Roman" w:hAnsi="Cambria" w:cs="Calibri"/>
              </w:rPr>
            </w:pPr>
            <w:r w:rsidRPr="00DF4CE5">
              <w:rPr>
                <w:rFonts w:ascii="Cambria" w:eastAsia="Times New Roman" w:hAnsi="Cambria" w:cs="Calibri"/>
              </w:rPr>
              <w:t xml:space="preserve">  4</w:t>
            </w:r>
          </w:p>
        </w:tc>
        <w:tc>
          <w:tcPr>
            <w:tcW w:w="8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3597E85" w14:textId="77777777" w:rsidR="001C42AA" w:rsidRPr="00DF4CE5" w:rsidRDefault="001C42AA" w:rsidP="001C42AA">
            <w:pPr>
              <w:spacing w:after="0" w:line="240" w:lineRule="auto"/>
              <w:rPr>
                <w:rFonts w:ascii="Cambria" w:eastAsia="Times New Roman" w:hAnsi="Cambria" w:cs="Calibri"/>
              </w:rPr>
            </w:pPr>
            <w:r w:rsidRPr="00DF4CE5">
              <w:rPr>
                <w:rFonts w:ascii="Cambria" w:eastAsia="Times New Roman" w:hAnsi="Cambria" w:cs="Calibri"/>
              </w:rPr>
              <w:t>0,1</w:t>
            </w:r>
          </w:p>
        </w:tc>
        <w:tc>
          <w:tcPr>
            <w:tcW w:w="13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B579785" w14:textId="77777777" w:rsidR="001C42AA" w:rsidRPr="00DF4CE5" w:rsidRDefault="001C42AA" w:rsidP="001C42AA">
            <w:pPr>
              <w:spacing w:after="0" w:line="240" w:lineRule="auto"/>
              <w:rPr>
                <w:rFonts w:ascii="Cambria" w:eastAsia="Times New Roman" w:hAnsi="Cambria" w:cs="Calibri"/>
              </w:rPr>
            </w:pPr>
            <w:r w:rsidRPr="00DF4CE5">
              <w:rPr>
                <w:rFonts w:ascii="Cambria" w:eastAsia="Times New Roman" w:hAnsi="Cambria" w:cs="Calibri"/>
              </w:rPr>
              <w:t xml:space="preserve">  20 %</w:t>
            </w:r>
          </w:p>
        </w:tc>
      </w:tr>
      <w:tr w:rsidR="001C42AA" w:rsidRPr="00DF4CE5" w14:paraId="6951204F" w14:textId="77777777" w:rsidTr="00A31664">
        <w:tc>
          <w:tcPr>
            <w:tcW w:w="2617" w:type="dxa"/>
            <w:vMerge/>
            <w:tcBorders>
              <w:left w:val="single" w:sz="8" w:space="0" w:color="000000"/>
              <w:right w:val="single" w:sz="8" w:space="0" w:color="000000"/>
            </w:tcBorders>
            <w:vAlign w:val="center"/>
          </w:tcPr>
          <w:p w14:paraId="61C0669C" w14:textId="77777777" w:rsidR="001C42AA" w:rsidRPr="00DF4CE5" w:rsidRDefault="001C42AA" w:rsidP="001C42AA">
            <w:pPr>
              <w:spacing w:after="0" w:line="240" w:lineRule="auto"/>
              <w:rPr>
                <w:rFonts w:ascii="Cambria" w:eastAsia="Times New Roman" w:hAnsi="Cambria" w:cs="Calibri"/>
              </w:rPr>
            </w:pPr>
          </w:p>
        </w:tc>
        <w:tc>
          <w:tcPr>
            <w:tcW w:w="24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2D6BBB" w14:textId="77777777" w:rsidR="001C42AA" w:rsidRPr="00DF4CE5" w:rsidRDefault="001C42AA" w:rsidP="001C42AA">
            <w:pPr>
              <w:spacing w:after="0" w:line="240" w:lineRule="auto"/>
              <w:rPr>
                <w:rFonts w:ascii="Cambria" w:eastAsia="Times New Roman" w:hAnsi="Cambria" w:cs="Calibri"/>
              </w:rPr>
            </w:pPr>
            <w:r w:rsidRPr="00DF4CE5">
              <w:rPr>
                <w:rFonts w:ascii="Cambria" w:eastAsia="Times New Roman" w:hAnsi="Cambria" w:cs="Calibri"/>
                <w:lang w:val="it-IT"/>
              </w:rPr>
              <w:t>k</w:t>
            </w:r>
            <w:proofErr w:type="spellStart"/>
            <w:r w:rsidRPr="00DF4CE5">
              <w:rPr>
                <w:rFonts w:ascii="Cambria" w:eastAsia="Times New Roman" w:hAnsi="Cambria" w:cs="Calibri"/>
              </w:rPr>
              <w:t>olokvij</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aktivno</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slušanje</w:t>
            </w:r>
            <w:proofErr w:type="spellEnd"/>
            <w:r w:rsidRPr="00DF4CE5">
              <w:rPr>
                <w:rFonts w:ascii="Cambria" w:eastAsia="Times New Roman" w:hAnsi="Cambria" w:cs="Calibri"/>
                <w:lang w:val="it-IT"/>
              </w:rPr>
              <w:t>)</w:t>
            </w:r>
          </w:p>
        </w:tc>
        <w:tc>
          <w:tcPr>
            <w:tcW w:w="113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28A9E7B" w14:textId="4B1A8F57" w:rsidR="001C42AA" w:rsidRPr="00DF4CE5" w:rsidRDefault="001C42AA" w:rsidP="001C42AA">
            <w:pPr>
              <w:spacing w:after="0" w:line="240" w:lineRule="auto"/>
              <w:rPr>
                <w:rFonts w:ascii="Cambria" w:eastAsia="Times New Roman" w:hAnsi="Cambria" w:cs="Calibri"/>
              </w:rPr>
            </w:pPr>
            <w:r w:rsidRPr="00DF4CE5">
              <w:rPr>
                <w:rFonts w:ascii="Cambria" w:eastAsia="Times New Roman" w:hAnsi="Cambria" w:cs="Calibri"/>
              </w:rPr>
              <w:t xml:space="preserve">1. </w:t>
            </w:r>
            <w:r w:rsidR="006E59DC">
              <w:rPr>
                <w:rFonts w:ascii="Cambria" w:eastAsia="Times New Roman" w:hAnsi="Cambria" w:cs="Calibri"/>
              </w:rPr>
              <w:t>–</w:t>
            </w:r>
            <w:r w:rsidRPr="00DF4CE5">
              <w:rPr>
                <w:rFonts w:ascii="Cambria" w:eastAsia="Times New Roman" w:hAnsi="Cambria" w:cs="Calibri"/>
              </w:rPr>
              <w:t xml:space="preserve"> 4.</w:t>
            </w:r>
          </w:p>
        </w:tc>
        <w:tc>
          <w:tcPr>
            <w:tcW w:w="99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AEE9B57" w14:textId="77777777" w:rsidR="001C42AA" w:rsidRPr="00DF4CE5" w:rsidRDefault="001C42AA" w:rsidP="001C42AA">
            <w:pPr>
              <w:spacing w:after="0" w:line="240" w:lineRule="auto"/>
              <w:rPr>
                <w:rFonts w:ascii="Cambria" w:eastAsia="Times New Roman" w:hAnsi="Cambria" w:cs="Calibri"/>
              </w:rPr>
            </w:pPr>
            <w:r w:rsidRPr="00DF4CE5">
              <w:rPr>
                <w:rFonts w:ascii="Cambria" w:eastAsia="Times New Roman" w:hAnsi="Cambria" w:cs="Calibri"/>
              </w:rPr>
              <w:t>12</w:t>
            </w:r>
          </w:p>
        </w:tc>
        <w:tc>
          <w:tcPr>
            <w:tcW w:w="8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ECA3D76" w14:textId="77777777" w:rsidR="001C42AA" w:rsidRPr="00DF4CE5" w:rsidRDefault="001C42AA" w:rsidP="001C42AA">
            <w:pPr>
              <w:spacing w:after="0" w:line="240" w:lineRule="auto"/>
              <w:rPr>
                <w:rFonts w:ascii="Cambria" w:eastAsia="Times New Roman" w:hAnsi="Cambria" w:cs="Calibri"/>
              </w:rPr>
            </w:pPr>
            <w:r w:rsidRPr="00DF4CE5">
              <w:rPr>
                <w:rFonts w:ascii="Cambria" w:eastAsia="Times New Roman" w:hAnsi="Cambria" w:cs="Calibri"/>
              </w:rPr>
              <w:t>0,4</w:t>
            </w:r>
          </w:p>
        </w:tc>
        <w:tc>
          <w:tcPr>
            <w:tcW w:w="13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FA49E12" w14:textId="77777777" w:rsidR="001C42AA" w:rsidRPr="00DF4CE5" w:rsidRDefault="001C42AA" w:rsidP="001C42AA">
            <w:pPr>
              <w:spacing w:after="0" w:line="240" w:lineRule="auto"/>
              <w:rPr>
                <w:rFonts w:ascii="Cambria" w:eastAsia="Times New Roman" w:hAnsi="Cambria" w:cs="Calibri"/>
              </w:rPr>
            </w:pPr>
            <w:r w:rsidRPr="00DF4CE5">
              <w:rPr>
                <w:rFonts w:ascii="Cambria" w:eastAsia="Times New Roman" w:hAnsi="Cambria" w:cs="Calibri"/>
              </w:rPr>
              <w:t xml:space="preserve">  30 %</w:t>
            </w:r>
          </w:p>
        </w:tc>
      </w:tr>
      <w:tr w:rsidR="001C42AA" w:rsidRPr="00DF4CE5" w14:paraId="6E691039" w14:textId="77777777" w:rsidTr="00A31664">
        <w:tc>
          <w:tcPr>
            <w:tcW w:w="2617" w:type="dxa"/>
            <w:vMerge/>
            <w:tcBorders>
              <w:left w:val="single" w:sz="8" w:space="0" w:color="000000"/>
              <w:right w:val="single" w:sz="8" w:space="0" w:color="000000"/>
            </w:tcBorders>
            <w:vAlign w:val="center"/>
          </w:tcPr>
          <w:p w14:paraId="685155A2" w14:textId="77777777" w:rsidR="001C42AA" w:rsidRPr="00DF4CE5" w:rsidRDefault="001C42AA" w:rsidP="001C42AA">
            <w:pPr>
              <w:spacing w:after="0" w:line="240" w:lineRule="auto"/>
              <w:rPr>
                <w:rFonts w:ascii="Cambria" w:eastAsia="Times New Roman" w:hAnsi="Cambria" w:cs="Calibri"/>
              </w:rPr>
            </w:pPr>
          </w:p>
        </w:tc>
        <w:tc>
          <w:tcPr>
            <w:tcW w:w="24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34F0703" w14:textId="77777777" w:rsidR="001C42AA" w:rsidRPr="00DF4CE5" w:rsidRDefault="001C42AA" w:rsidP="001C42AA">
            <w:pPr>
              <w:spacing w:after="0" w:line="240" w:lineRule="auto"/>
              <w:rPr>
                <w:rFonts w:ascii="Cambria" w:eastAsia="Times New Roman" w:hAnsi="Cambria" w:cs="Calibri"/>
              </w:rPr>
            </w:pPr>
            <w:proofErr w:type="spellStart"/>
            <w:r w:rsidRPr="00DF4CE5">
              <w:rPr>
                <w:rFonts w:ascii="Cambria" w:eastAsia="Times New Roman" w:hAnsi="Cambria" w:cs="Calibri"/>
              </w:rPr>
              <w:t>usmeni</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ispit</w:t>
            </w:r>
            <w:proofErr w:type="spellEnd"/>
          </w:p>
        </w:tc>
        <w:tc>
          <w:tcPr>
            <w:tcW w:w="113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9CCCBCA" w14:textId="7F13CE84" w:rsidR="001C42AA" w:rsidRPr="00DF4CE5" w:rsidRDefault="001C42AA" w:rsidP="001C42AA">
            <w:pPr>
              <w:spacing w:after="0" w:line="240" w:lineRule="auto"/>
              <w:rPr>
                <w:rFonts w:ascii="Cambria" w:eastAsia="Times New Roman" w:hAnsi="Cambria" w:cs="Calibri"/>
              </w:rPr>
            </w:pPr>
            <w:r w:rsidRPr="00DF4CE5">
              <w:rPr>
                <w:rFonts w:ascii="Cambria" w:eastAsia="Times New Roman" w:hAnsi="Cambria" w:cs="Calibri"/>
              </w:rPr>
              <w:t xml:space="preserve">1. </w:t>
            </w:r>
            <w:r w:rsidR="006E59DC">
              <w:rPr>
                <w:rFonts w:ascii="Cambria" w:eastAsia="Times New Roman" w:hAnsi="Cambria" w:cs="Calibri"/>
              </w:rPr>
              <w:t>–</w:t>
            </w:r>
            <w:r w:rsidRPr="00DF4CE5">
              <w:rPr>
                <w:rFonts w:ascii="Cambria" w:eastAsia="Times New Roman" w:hAnsi="Cambria" w:cs="Calibri"/>
              </w:rPr>
              <w:t xml:space="preserve"> 4.</w:t>
            </w:r>
          </w:p>
        </w:tc>
        <w:tc>
          <w:tcPr>
            <w:tcW w:w="99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0B2EC16" w14:textId="77777777" w:rsidR="001C42AA" w:rsidRPr="00DF4CE5" w:rsidRDefault="001C42AA" w:rsidP="001C42AA">
            <w:pPr>
              <w:spacing w:after="0" w:line="240" w:lineRule="auto"/>
              <w:rPr>
                <w:rFonts w:ascii="Cambria" w:eastAsia="Times New Roman" w:hAnsi="Cambria" w:cs="Calibri"/>
              </w:rPr>
            </w:pPr>
            <w:r w:rsidRPr="00DF4CE5">
              <w:rPr>
                <w:rFonts w:ascii="Cambria" w:eastAsia="Times New Roman" w:hAnsi="Cambria" w:cs="Calibri"/>
              </w:rPr>
              <w:t>18</w:t>
            </w:r>
          </w:p>
        </w:tc>
        <w:tc>
          <w:tcPr>
            <w:tcW w:w="8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B17CA75" w14:textId="77777777" w:rsidR="001C42AA" w:rsidRPr="00DF4CE5" w:rsidRDefault="001C42AA" w:rsidP="001C42AA">
            <w:pPr>
              <w:spacing w:after="0" w:line="240" w:lineRule="auto"/>
              <w:rPr>
                <w:rFonts w:ascii="Cambria" w:eastAsia="Times New Roman" w:hAnsi="Cambria" w:cs="Calibri"/>
              </w:rPr>
            </w:pPr>
            <w:r w:rsidRPr="00DF4CE5">
              <w:rPr>
                <w:rFonts w:ascii="Cambria" w:eastAsia="Times New Roman" w:hAnsi="Cambria" w:cs="Calibri"/>
              </w:rPr>
              <w:t>0,6</w:t>
            </w:r>
          </w:p>
        </w:tc>
        <w:tc>
          <w:tcPr>
            <w:tcW w:w="13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ABEA267" w14:textId="77777777" w:rsidR="001C42AA" w:rsidRPr="00DF4CE5" w:rsidRDefault="001C42AA" w:rsidP="001C42AA">
            <w:pPr>
              <w:spacing w:after="0" w:line="240" w:lineRule="auto"/>
              <w:rPr>
                <w:rFonts w:ascii="Cambria" w:eastAsia="Times New Roman" w:hAnsi="Cambria" w:cs="Calibri"/>
              </w:rPr>
            </w:pPr>
            <w:r w:rsidRPr="00DF4CE5">
              <w:rPr>
                <w:rFonts w:ascii="Cambria" w:eastAsia="Times New Roman" w:hAnsi="Cambria" w:cs="Calibri"/>
              </w:rPr>
              <w:t xml:space="preserve">  30 %</w:t>
            </w:r>
          </w:p>
        </w:tc>
      </w:tr>
      <w:tr w:rsidR="001C42AA" w:rsidRPr="00DF4CE5" w14:paraId="2B707276" w14:textId="77777777" w:rsidTr="00A31664">
        <w:tc>
          <w:tcPr>
            <w:tcW w:w="2617" w:type="dxa"/>
            <w:vMerge/>
            <w:tcBorders>
              <w:left w:val="single" w:sz="8" w:space="0" w:color="000000"/>
              <w:right w:val="single" w:sz="8" w:space="0" w:color="000000"/>
            </w:tcBorders>
            <w:vAlign w:val="center"/>
          </w:tcPr>
          <w:p w14:paraId="4FA04D7F" w14:textId="77777777" w:rsidR="001C42AA" w:rsidRPr="00DF4CE5" w:rsidRDefault="001C42AA" w:rsidP="001C42AA">
            <w:pPr>
              <w:spacing w:after="0" w:line="240" w:lineRule="auto"/>
              <w:rPr>
                <w:rFonts w:ascii="Cambria" w:eastAsia="Times New Roman" w:hAnsi="Cambria" w:cs="Calibri"/>
              </w:rPr>
            </w:pPr>
          </w:p>
        </w:tc>
        <w:tc>
          <w:tcPr>
            <w:tcW w:w="3602"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3C9E577" w14:textId="6610ADAF" w:rsidR="001C42AA" w:rsidRPr="00DF4CE5" w:rsidRDefault="006E59DC" w:rsidP="001C42AA">
            <w:pPr>
              <w:spacing w:after="0" w:line="240" w:lineRule="auto"/>
              <w:rPr>
                <w:rFonts w:ascii="Cambria" w:eastAsia="Times New Roman" w:hAnsi="Cambria" w:cs="Calibri"/>
              </w:rPr>
            </w:pPr>
            <w:proofErr w:type="spellStart"/>
            <w:r>
              <w:rPr>
                <w:rFonts w:ascii="Cambria" w:eastAsia="Times New Roman" w:hAnsi="Cambria" w:cs="Calibri"/>
                <w:lang w:val="it-IT"/>
              </w:rPr>
              <w:t>u</w:t>
            </w:r>
            <w:r w:rsidR="001C42AA" w:rsidRPr="00DF4CE5">
              <w:rPr>
                <w:rFonts w:ascii="Cambria" w:eastAsia="Times New Roman" w:hAnsi="Cambria" w:cs="Calibri"/>
                <w:lang w:val="it-IT"/>
              </w:rPr>
              <w:t>kupno</w:t>
            </w:r>
            <w:proofErr w:type="spellEnd"/>
          </w:p>
        </w:tc>
        <w:tc>
          <w:tcPr>
            <w:tcW w:w="99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374E864" w14:textId="77777777" w:rsidR="001C42AA" w:rsidRPr="00DF4CE5" w:rsidRDefault="001C42AA" w:rsidP="001C42AA">
            <w:pPr>
              <w:spacing w:after="0" w:line="240" w:lineRule="auto"/>
              <w:rPr>
                <w:rFonts w:ascii="Cambria" w:eastAsia="Times New Roman" w:hAnsi="Cambria" w:cs="Calibri"/>
              </w:rPr>
            </w:pPr>
            <w:r w:rsidRPr="00DF4CE5">
              <w:rPr>
                <w:rFonts w:ascii="Cambria" w:eastAsia="Times New Roman" w:hAnsi="Cambria" w:cs="Calibri"/>
              </w:rPr>
              <w:t>60</w:t>
            </w:r>
          </w:p>
        </w:tc>
        <w:tc>
          <w:tcPr>
            <w:tcW w:w="8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703F5DB" w14:textId="77777777" w:rsidR="001C42AA" w:rsidRPr="00DF4CE5" w:rsidRDefault="001C42AA" w:rsidP="001C42AA">
            <w:pPr>
              <w:spacing w:after="0" w:line="240" w:lineRule="auto"/>
              <w:rPr>
                <w:rFonts w:ascii="Cambria" w:eastAsia="Times New Roman" w:hAnsi="Cambria" w:cs="Calibri"/>
              </w:rPr>
            </w:pPr>
            <w:r w:rsidRPr="00DF4CE5">
              <w:rPr>
                <w:rFonts w:ascii="Cambria" w:eastAsia="Times New Roman" w:hAnsi="Cambria" w:cs="Calibri"/>
              </w:rPr>
              <w:t>2</w:t>
            </w:r>
          </w:p>
        </w:tc>
        <w:tc>
          <w:tcPr>
            <w:tcW w:w="13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FBAEDF" w14:textId="77777777" w:rsidR="001C42AA" w:rsidRPr="00DF4CE5" w:rsidRDefault="001C42AA" w:rsidP="001C42AA">
            <w:pPr>
              <w:spacing w:after="0" w:line="240" w:lineRule="auto"/>
              <w:rPr>
                <w:rFonts w:ascii="Cambria" w:eastAsia="Times New Roman" w:hAnsi="Cambria" w:cs="Calibri"/>
              </w:rPr>
            </w:pPr>
            <w:r w:rsidRPr="00DF4CE5">
              <w:rPr>
                <w:rFonts w:ascii="Cambria" w:eastAsia="Times New Roman" w:hAnsi="Cambria" w:cs="Calibri"/>
              </w:rPr>
              <w:t>100 %</w:t>
            </w:r>
          </w:p>
        </w:tc>
      </w:tr>
      <w:tr w:rsidR="001C42AA" w:rsidRPr="00D0399C" w14:paraId="66AB05B0" w14:textId="77777777" w:rsidTr="00A31664">
        <w:tc>
          <w:tcPr>
            <w:tcW w:w="2617" w:type="dxa"/>
            <w:vMerge/>
            <w:tcBorders>
              <w:left w:val="single" w:sz="8" w:space="0" w:color="000000"/>
              <w:bottom w:val="single" w:sz="8" w:space="0" w:color="000000"/>
              <w:right w:val="single" w:sz="8" w:space="0" w:color="000000"/>
            </w:tcBorders>
            <w:vAlign w:val="center"/>
          </w:tcPr>
          <w:p w14:paraId="13E3DD5B" w14:textId="77777777" w:rsidR="001C42AA" w:rsidRPr="00DF4CE5" w:rsidRDefault="001C42AA" w:rsidP="001C42AA">
            <w:pPr>
              <w:spacing w:after="0" w:line="240" w:lineRule="auto"/>
              <w:rPr>
                <w:rFonts w:ascii="Cambria" w:eastAsia="Times New Roman" w:hAnsi="Cambria" w:cs="Calibri"/>
              </w:rPr>
            </w:pPr>
          </w:p>
        </w:tc>
        <w:tc>
          <w:tcPr>
            <w:tcW w:w="6723"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7AFA049" w14:textId="77777777" w:rsidR="001C42AA" w:rsidRPr="00DF4CE5" w:rsidRDefault="001C42AA" w:rsidP="001C42AA">
            <w:pPr>
              <w:spacing w:after="0" w:line="240" w:lineRule="auto"/>
              <w:rPr>
                <w:rFonts w:ascii="Cambria" w:eastAsia="Times New Roman" w:hAnsi="Cambria" w:cs="Calibri"/>
              </w:rPr>
            </w:pPr>
            <w:proofErr w:type="spellStart"/>
            <w:r w:rsidRPr="00DF4CE5">
              <w:rPr>
                <w:rFonts w:ascii="Cambria" w:eastAsia="Times New Roman" w:hAnsi="Cambria" w:cs="Calibri"/>
              </w:rPr>
              <w:t>Dodatna</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pojašnjenja</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kriteriji</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ocjenjivanja</w:t>
            </w:r>
            <w:proofErr w:type="spellEnd"/>
            <w:r w:rsidRPr="00DF4CE5">
              <w:rPr>
                <w:rFonts w:ascii="Cambria" w:eastAsia="Times New Roman" w:hAnsi="Cambria" w:cs="Calibri"/>
              </w:rPr>
              <w:t>):</w:t>
            </w:r>
          </w:p>
          <w:p w14:paraId="17A4DB27" w14:textId="77777777" w:rsidR="001C42AA" w:rsidRPr="00DF4CE5" w:rsidRDefault="001C42AA" w:rsidP="001C42AA">
            <w:pPr>
              <w:spacing w:after="0" w:line="240" w:lineRule="auto"/>
              <w:rPr>
                <w:rFonts w:ascii="Cambria" w:eastAsia="Times New Roman" w:hAnsi="Cambria" w:cs="Calibri"/>
                <w:lang w:val="it-IT"/>
              </w:rPr>
            </w:pPr>
            <w:proofErr w:type="spellStart"/>
            <w:r w:rsidRPr="00DF4CE5">
              <w:rPr>
                <w:rFonts w:ascii="Cambria" w:eastAsia="Times New Roman" w:hAnsi="Cambria" w:cs="Calibri"/>
              </w:rPr>
              <w:t>Pohađanje</w:t>
            </w:r>
            <w:proofErr w:type="spellEnd"/>
            <w:r w:rsidRPr="00DF4CE5">
              <w:rPr>
                <w:rFonts w:ascii="Cambria" w:eastAsia="Times New Roman" w:hAnsi="Cambria" w:cs="Calibri"/>
              </w:rPr>
              <w:t xml:space="preserve"> je </w:t>
            </w:r>
            <w:proofErr w:type="spellStart"/>
            <w:r w:rsidRPr="00DF4CE5">
              <w:rPr>
                <w:rFonts w:ascii="Cambria" w:eastAsia="Times New Roman" w:hAnsi="Cambria" w:cs="Calibri"/>
              </w:rPr>
              <w:t>nastave</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obvezno</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lang w:val="it-IT"/>
              </w:rPr>
              <w:t>Tolerira</w:t>
            </w:r>
            <w:proofErr w:type="spellEnd"/>
            <w:r w:rsidRPr="00DF4CE5">
              <w:rPr>
                <w:rFonts w:ascii="Cambria" w:eastAsia="Times New Roman" w:hAnsi="Cambria" w:cs="Calibri"/>
                <w:lang w:val="it-IT"/>
              </w:rPr>
              <w:t xml:space="preserve"> se 30 % </w:t>
            </w:r>
            <w:proofErr w:type="spellStart"/>
            <w:r w:rsidRPr="00DF4CE5">
              <w:rPr>
                <w:rFonts w:ascii="Cambria" w:eastAsia="Times New Roman" w:hAnsi="Cambria" w:cs="Calibri"/>
                <w:lang w:val="it-IT"/>
              </w:rPr>
              <w:t>izostanaka</w:t>
            </w:r>
            <w:proofErr w:type="spellEnd"/>
            <w:r w:rsidRPr="00DF4CE5">
              <w:rPr>
                <w:rFonts w:ascii="Cambria" w:eastAsia="Times New Roman" w:hAnsi="Cambria" w:cs="Calibri"/>
                <w:lang w:val="it-IT"/>
              </w:rPr>
              <w:t xml:space="preserve"> (4 </w:t>
            </w:r>
            <w:proofErr w:type="spellStart"/>
            <w:r w:rsidRPr="00DF4CE5">
              <w:rPr>
                <w:rFonts w:ascii="Cambria" w:eastAsia="Times New Roman" w:hAnsi="Cambria" w:cs="Calibri"/>
                <w:lang w:val="it-IT"/>
              </w:rPr>
              <w:t>izostanka</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koje</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nije</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potrebno</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opravdati</w:t>
            </w:r>
            <w:proofErr w:type="spellEnd"/>
            <w:r w:rsidRPr="00DF4CE5">
              <w:rPr>
                <w:rFonts w:ascii="Cambria" w:eastAsia="Times New Roman" w:hAnsi="Cambria" w:cs="Calibri"/>
                <w:lang w:val="it-IT"/>
              </w:rPr>
              <w:t xml:space="preserve">. </w:t>
            </w:r>
          </w:p>
          <w:p w14:paraId="2A781759" w14:textId="77777777" w:rsidR="001C42AA" w:rsidRPr="00DF4CE5" w:rsidRDefault="001C42AA" w:rsidP="001C42AA">
            <w:pPr>
              <w:spacing w:after="0" w:line="240" w:lineRule="auto"/>
              <w:rPr>
                <w:rFonts w:ascii="Cambria" w:eastAsia="Times New Roman" w:hAnsi="Cambria" w:cs="Times New Roman"/>
                <w:lang w:val="it-IT"/>
              </w:rPr>
            </w:pPr>
            <w:proofErr w:type="spellStart"/>
            <w:r w:rsidRPr="00DF4CE5">
              <w:rPr>
                <w:rFonts w:ascii="Cambria" w:eastAsia="Times New Roman" w:hAnsi="Cambria" w:cs="Times New Roman"/>
                <w:lang w:val="it-IT"/>
              </w:rPr>
              <w:t>Terenska</w:t>
            </w:r>
            <w:proofErr w:type="spellEnd"/>
            <w:r w:rsidRPr="00DF4CE5">
              <w:rPr>
                <w:rFonts w:ascii="Cambria" w:eastAsia="Times New Roman" w:hAnsi="Cambria" w:cs="Times New Roman"/>
                <w:lang w:val="it-IT"/>
              </w:rPr>
              <w:t xml:space="preserve"> </w:t>
            </w:r>
            <w:proofErr w:type="spellStart"/>
            <w:r w:rsidRPr="00DF4CE5">
              <w:rPr>
                <w:rFonts w:ascii="Cambria" w:eastAsia="Times New Roman" w:hAnsi="Cambria" w:cs="Times New Roman"/>
                <w:lang w:val="it-IT"/>
              </w:rPr>
              <w:t>nastava</w:t>
            </w:r>
            <w:proofErr w:type="spellEnd"/>
            <w:r w:rsidRPr="00DF4CE5">
              <w:rPr>
                <w:rFonts w:ascii="Cambria" w:eastAsia="Times New Roman" w:hAnsi="Cambria" w:cs="Times New Roman"/>
                <w:lang w:val="it-IT"/>
              </w:rPr>
              <w:t xml:space="preserve"> je </w:t>
            </w:r>
            <w:proofErr w:type="spellStart"/>
            <w:r w:rsidRPr="00DF4CE5">
              <w:rPr>
                <w:rFonts w:ascii="Cambria" w:eastAsia="Times New Roman" w:hAnsi="Cambria" w:cs="Times New Roman"/>
                <w:lang w:val="it-IT"/>
              </w:rPr>
              <w:t>prisustvovanje</w:t>
            </w:r>
            <w:proofErr w:type="spellEnd"/>
            <w:r w:rsidRPr="00DF4CE5">
              <w:rPr>
                <w:rFonts w:ascii="Cambria" w:eastAsia="Times New Roman" w:hAnsi="Cambria" w:cs="Times New Roman"/>
                <w:lang w:val="it-IT"/>
              </w:rPr>
              <w:t xml:space="preserve"> </w:t>
            </w:r>
            <w:proofErr w:type="spellStart"/>
            <w:r w:rsidRPr="00DF4CE5">
              <w:rPr>
                <w:rFonts w:ascii="Cambria" w:eastAsia="Times New Roman" w:hAnsi="Cambria" w:cs="Times New Roman"/>
                <w:lang w:val="it-IT"/>
              </w:rPr>
              <w:t>koncertu</w:t>
            </w:r>
            <w:proofErr w:type="spellEnd"/>
            <w:r w:rsidRPr="00DF4CE5">
              <w:rPr>
                <w:rFonts w:ascii="Cambria" w:eastAsia="Times New Roman" w:hAnsi="Cambria" w:cs="Times New Roman"/>
                <w:lang w:val="it-IT"/>
              </w:rPr>
              <w:t xml:space="preserve">. </w:t>
            </w:r>
            <w:proofErr w:type="spellStart"/>
            <w:r w:rsidRPr="00DF4CE5">
              <w:rPr>
                <w:rFonts w:ascii="Cambria" w:eastAsia="Times New Roman" w:hAnsi="Cambria" w:cs="Times New Roman"/>
                <w:lang w:val="it-IT"/>
              </w:rPr>
              <w:t>Dokaz</w:t>
            </w:r>
            <w:proofErr w:type="spellEnd"/>
            <w:r w:rsidRPr="00DF4CE5">
              <w:rPr>
                <w:rFonts w:ascii="Cambria" w:eastAsia="Times New Roman" w:hAnsi="Cambria" w:cs="Times New Roman"/>
                <w:lang w:val="it-IT"/>
              </w:rPr>
              <w:t xml:space="preserve"> </w:t>
            </w:r>
            <w:proofErr w:type="spellStart"/>
            <w:r w:rsidRPr="00DF4CE5">
              <w:rPr>
                <w:rFonts w:ascii="Cambria" w:eastAsia="Times New Roman" w:hAnsi="Cambria" w:cs="Times New Roman"/>
                <w:lang w:val="it-IT"/>
              </w:rPr>
              <w:t>prisustvovanju</w:t>
            </w:r>
            <w:proofErr w:type="spellEnd"/>
            <w:r w:rsidRPr="00DF4CE5">
              <w:rPr>
                <w:rFonts w:ascii="Cambria" w:eastAsia="Times New Roman" w:hAnsi="Cambria" w:cs="Times New Roman"/>
                <w:lang w:val="it-IT"/>
              </w:rPr>
              <w:t xml:space="preserve"> </w:t>
            </w:r>
            <w:proofErr w:type="spellStart"/>
            <w:r w:rsidRPr="00DF4CE5">
              <w:rPr>
                <w:rFonts w:ascii="Cambria" w:eastAsia="Times New Roman" w:hAnsi="Cambria" w:cs="Times New Roman"/>
                <w:lang w:val="it-IT"/>
              </w:rPr>
              <w:t>koncertu</w:t>
            </w:r>
            <w:proofErr w:type="spellEnd"/>
            <w:r w:rsidRPr="00DF4CE5">
              <w:rPr>
                <w:rFonts w:ascii="Cambria" w:eastAsia="Times New Roman" w:hAnsi="Cambria" w:cs="Times New Roman"/>
                <w:lang w:val="it-IT"/>
              </w:rPr>
              <w:t xml:space="preserve"> je </w:t>
            </w:r>
            <w:proofErr w:type="spellStart"/>
            <w:r w:rsidRPr="00DF4CE5">
              <w:rPr>
                <w:rFonts w:ascii="Cambria" w:eastAsia="Times New Roman" w:hAnsi="Cambria" w:cs="Times New Roman"/>
                <w:lang w:val="it-IT"/>
              </w:rPr>
              <w:t>programski</w:t>
            </w:r>
            <w:proofErr w:type="spellEnd"/>
            <w:r w:rsidRPr="00DF4CE5">
              <w:rPr>
                <w:rFonts w:ascii="Cambria" w:eastAsia="Times New Roman" w:hAnsi="Cambria" w:cs="Times New Roman"/>
                <w:lang w:val="it-IT"/>
              </w:rPr>
              <w:t xml:space="preserve"> </w:t>
            </w:r>
            <w:proofErr w:type="spellStart"/>
            <w:r w:rsidRPr="00DF4CE5">
              <w:rPr>
                <w:rFonts w:ascii="Cambria" w:eastAsia="Times New Roman" w:hAnsi="Cambria" w:cs="Times New Roman"/>
                <w:lang w:val="it-IT"/>
              </w:rPr>
              <w:t>letak</w:t>
            </w:r>
            <w:proofErr w:type="spellEnd"/>
            <w:r w:rsidRPr="00DF4CE5">
              <w:rPr>
                <w:rFonts w:ascii="Cambria" w:eastAsia="Times New Roman" w:hAnsi="Cambria" w:cs="Times New Roman"/>
                <w:lang w:val="it-IT"/>
              </w:rPr>
              <w:t xml:space="preserve"> </w:t>
            </w:r>
            <w:proofErr w:type="spellStart"/>
            <w:r w:rsidRPr="00DF4CE5">
              <w:rPr>
                <w:rFonts w:ascii="Cambria" w:eastAsia="Times New Roman" w:hAnsi="Cambria" w:cs="Times New Roman"/>
                <w:lang w:val="it-IT"/>
              </w:rPr>
              <w:t>kojeg</w:t>
            </w:r>
            <w:proofErr w:type="spellEnd"/>
            <w:r w:rsidRPr="00DF4CE5">
              <w:rPr>
                <w:rFonts w:ascii="Cambria" w:eastAsia="Times New Roman" w:hAnsi="Cambria" w:cs="Times New Roman"/>
                <w:lang w:val="it-IT"/>
              </w:rPr>
              <w:t xml:space="preserve"> studenti </w:t>
            </w:r>
            <w:proofErr w:type="spellStart"/>
            <w:r w:rsidRPr="00DF4CE5">
              <w:rPr>
                <w:rFonts w:ascii="Cambria" w:eastAsia="Times New Roman" w:hAnsi="Cambria" w:cs="Times New Roman"/>
                <w:lang w:val="it-IT"/>
              </w:rPr>
              <w:t>prilažu</w:t>
            </w:r>
            <w:proofErr w:type="spellEnd"/>
            <w:r w:rsidRPr="00DF4CE5">
              <w:rPr>
                <w:rFonts w:ascii="Cambria" w:eastAsia="Times New Roman" w:hAnsi="Cambria" w:cs="Times New Roman"/>
                <w:lang w:val="it-IT"/>
              </w:rPr>
              <w:t xml:space="preserve"> </w:t>
            </w:r>
            <w:proofErr w:type="spellStart"/>
            <w:r w:rsidRPr="00DF4CE5">
              <w:rPr>
                <w:rFonts w:ascii="Cambria" w:eastAsia="Times New Roman" w:hAnsi="Cambria" w:cs="Times New Roman"/>
                <w:lang w:val="it-IT"/>
              </w:rPr>
              <w:t>zajedno</w:t>
            </w:r>
            <w:proofErr w:type="spellEnd"/>
            <w:r w:rsidRPr="00DF4CE5">
              <w:rPr>
                <w:rFonts w:ascii="Cambria" w:eastAsia="Times New Roman" w:hAnsi="Cambria" w:cs="Times New Roman"/>
                <w:lang w:val="it-IT"/>
              </w:rPr>
              <w:t xml:space="preserve"> s </w:t>
            </w:r>
            <w:proofErr w:type="spellStart"/>
            <w:r w:rsidRPr="00DF4CE5">
              <w:rPr>
                <w:rFonts w:ascii="Cambria" w:eastAsia="Times New Roman" w:hAnsi="Cambria" w:cs="Times New Roman"/>
                <w:lang w:val="it-IT"/>
              </w:rPr>
              <w:t>individualnim</w:t>
            </w:r>
            <w:proofErr w:type="spellEnd"/>
            <w:r w:rsidRPr="00DF4CE5">
              <w:rPr>
                <w:rFonts w:ascii="Cambria" w:eastAsia="Times New Roman" w:hAnsi="Cambria" w:cs="Times New Roman"/>
                <w:lang w:val="it-IT"/>
              </w:rPr>
              <w:t xml:space="preserve"> </w:t>
            </w:r>
            <w:proofErr w:type="spellStart"/>
            <w:r w:rsidRPr="00DF4CE5">
              <w:rPr>
                <w:rFonts w:ascii="Cambria" w:eastAsia="Times New Roman" w:hAnsi="Cambria" w:cs="Times New Roman"/>
                <w:lang w:val="it-IT"/>
              </w:rPr>
              <w:t>osvrtom</w:t>
            </w:r>
            <w:proofErr w:type="spellEnd"/>
            <w:r w:rsidRPr="00DF4CE5">
              <w:rPr>
                <w:rFonts w:ascii="Cambria" w:eastAsia="Times New Roman" w:hAnsi="Cambria" w:cs="Times New Roman"/>
                <w:lang w:val="it-IT"/>
              </w:rPr>
              <w:t xml:space="preserve"> </w:t>
            </w:r>
            <w:proofErr w:type="spellStart"/>
            <w:r w:rsidRPr="00DF4CE5">
              <w:rPr>
                <w:rFonts w:ascii="Cambria" w:eastAsia="Times New Roman" w:hAnsi="Cambria" w:cs="Times New Roman"/>
                <w:lang w:val="it-IT"/>
              </w:rPr>
              <w:t>na</w:t>
            </w:r>
            <w:proofErr w:type="spellEnd"/>
            <w:r w:rsidRPr="00DF4CE5">
              <w:rPr>
                <w:rFonts w:ascii="Cambria" w:eastAsia="Times New Roman" w:hAnsi="Cambria" w:cs="Times New Roman"/>
                <w:lang w:val="it-IT"/>
              </w:rPr>
              <w:t xml:space="preserve"> </w:t>
            </w:r>
            <w:proofErr w:type="spellStart"/>
            <w:r w:rsidRPr="00DF4CE5">
              <w:rPr>
                <w:rFonts w:ascii="Cambria" w:eastAsia="Times New Roman" w:hAnsi="Cambria" w:cs="Times New Roman"/>
                <w:lang w:val="it-IT"/>
              </w:rPr>
              <w:t>koncert</w:t>
            </w:r>
            <w:proofErr w:type="spellEnd"/>
            <w:r w:rsidRPr="00DF4CE5">
              <w:rPr>
                <w:rFonts w:ascii="Cambria" w:eastAsia="Times New Roman" w:hAnsi="Cambria" w:cs="Times New Roman"/>
                <w:lang w:val="it-IT"/>
              </w:rPr>
              <w:t xml:space="preserve"> (</w:t>
            </w:r>
            <w:proofErr w:type="spellStart"/>
            <w:r w:rsidRPr="00DF4CE5">
              <w:rPr>
                <w:rFonts w:ascii="Cambria" w:eastAsia="Times New Roman" w:hAnsi="Cambria" w:cs="Times New Roman"/>
                <w:lang w:val="it-IT"/>
              </w:rPr>
              <w:t>prikaz</w:t>
            </w:r>
            <w:proofErr w:type="spellEnd"/>
            <w:r w:rsidRPr="00DF4CE5">
              <w:rPr>
                <w:rFonts w:ascii="Cambria" w:eastAsia="Times New Roman" w:hAnsi="Cambria" w:cs="Times New Roman"/>
                <w:lang w:val="it-IT"/>
              </w:rPr>
              <w:t xml:space="preserve">). </w:t>
            </w:r>
            <w:proofErr w:type="spellStart"/>
            <w:r w:rsidRPr="00DF4CE5">
              <w:rPr>
                <w:rFonts w:ascii="Cambria" w:eastAsia="Times New Roman" w:hAnsi="Cambria" w:cs="Times New Roman"/>
                <w:lang w:val="it-IT"/>
              </w:rPr>
              <w:t>Terensku</w:t>
            </w:r>
            <w:proofErr w:type="spellEnd"/>
            <w:r w:rsidRPr="00DF4CE5">
              <w:rPr>
                <w:rFonts w:ascii="Cambria" w:eastAsia="Times New Roman" w:hAnsi="Cambria" w:cs="Times New Roman"/>
                <w:lang w:val="it-IT"/>
              </w:rPr>
              <w:t xml:space="preserve"> </w:t>
            </w:r>
            <w:proofErr w:type="spellStart"/>
            <w:r w:rsidRPr="00DF4CE5">
              <w:rPr>
                <w:rFonts w:ascii="Cambria" w:eastAsia="Times New Roman" w:hAnsi="Cambria" w:cs="Times New Roman"/>
                <w:lang w:val="it-IT"/>
              </w:rPr>
              <w:t>nastavu</w:t>
            </w:r>
            <w:proofErr w:type="spellEnd"/>
            <w:r w:rsidRPr="00DF4CE5">
              <w:rPr>
                <w:rFonts w:ascii="Cambria" w:eastAsia="Times New Roman" w:hAnsi="Cambria" w:cs="Times New Roman"/>
                <w:lang w:val="it-IT"/>
              </w:rPr>
              <w:t xml:space="preserve"> </w:t>
            </w:r>
            <w:proofErr w:type="spellStart"/>
            <w:r w:rsidRPr="00DF4CE5">
              <w:rPr>
                <w:rFonts w:ascii="Cambria" w:eastAsia="Times New Roman" w:hAnsi="Cambria" w:cs="Times New Roman"/>
                <w:lang w:val="it-IT"/>
              </w:rPr>
              <w:t>tijekom</w:t>
            </w:r>
            <w:proofErr w:type="spellEnd"/>
            <w:r w:rsidRPr="00DF4CE5">
              <w:rPr>
                <w:rFonts w:ascii="Cambria" w:eastAsia="Times New Roman" w:hAnsi="Cambria" w:cs="Times New Roman"/>
                <w:lang w:val="it-IT"/>
              </w:rPr>
              <w:t xml:space="preserve"> </w:t>
            </w:r>
            <w:proofErr w:type="spellStart"/>
            <w:r w:rsidRPr="00DF4CE5">
              <w:rPr>
                <w:rFonts w:ascii="Cambria" w:eastAsia="Times New Roman" w:hAnsi="Cambria" w:cs="Times New Roman"/>
                <w:lang w:val="it-IT"/>
              </w:rPr>
              <w:t>semestra</w:t>
            </w:r>
            <w:proofErr w:type="spellEnd"/>
            <w:r w:rsidRPr="00DF4CE5">
              <w:rPr>
                <w:rFonts w:ascii="Cambria" w:eastAsia="Times New Roman" w:hAnsi="Cambria" w:cs="Times New Roman"/>
                <w:lang w:val="it-IT"/>
              </w:rPr>
              <w:t xml:space="preserve"> studenti prema </w:t>
            </w:r>
            <w:proofErr w:type="spellStart"/>
            <w:r w:rsidRPr="00DF4CE5">
              <w:rPr>
                <w:rFonts w:ascii="Cambria" w:eastAsia="Times New Roman" w:hAnsi="Cambria" w:cs="Times New Roman"/>
                <w:lang w:val="it-IT"/>
              </w:rPr>
              <w:t>vlastitom</w:t>
            </w:r>
            <w:proofErr w:type="spellEnd"/>
            <w:r w:rsidRPr="00DF4CE5">
              <w:rPr>
                <w:rFonts w:ascii="Cambria" w:eastAsia="Times New Roman" w:hAnsi="Cambria" w:cs="Times New Roman"/>
                <w:lang w:val="it-IT"/>
              </w:rPr>
              <w:t xml:space="preserve"> </w:t>
            </w:r>
            <w:proofErr w:type="spellStart"/>
            <w:r w:rsidRPr="00DF4CE5">
              <w:rPr>
                <w:rFonts w:ascii="Cambria" w:eastAsia="Times New Roman" w:hAnsi="Cambria" w:cs="Times New Roman"/>
                <w:lang w:val="it-IT"/>
              </w:rPr>
              <w:t>izboru</w:t>
            </w:r>
            <w:proofErr w:type="spellEnd"/>
            <w:r w:rsidRPr="00DF4CE5">
              <w:rPr>
                <w:rFonts w:ascii="Cambria" w:eastAsia="Times New Roman" w:hAnsi="Cambria" w:cs="Times New Roman"/>
                <w:lang w:val="it-IT"/>
              </w:rPr>
              <w:t xml:space="preserve"> </w:t>
            </w:r>
            <w:proofErr w:type="spellStart"/>
            <w:r w:rsidRPr="00DF4CE5">
              <w:rPr>
                <w:rFonts w:ascii="Cambria" w:eastAsia="Times New Roman" w:hAnsi="Cambria" w:cs="Times New Roman"/>
                <w:lang w:val="it-IT"/>
              </w:rPr>
              <w:t>izabiru</w:t>
            </w:r>
            <w:proofErr w:type="spellEnd"/>
            <w:r w:rsidRPr="00DF4CE5">
              <w:rPr>
                <w:rFonts w:ascii="Cambria" w:eastAsia="Times New Roman" w:hAnsi="Cambria" w:cs="Times New Roman"/>
                <w:lang w:val="it-IT"/>
              </w:rPr>
              <w:t xml:space="preserve"> i </w:t>
            </w:r>
            <w:proofErr w:type="spellStart"/>
            <w:r w:rsidRPr="00DF4CE5">
              <w:rPr>
                <w:rFonts w:ascii="Cambria" w:eastAsia="Times New Roman" w:hAnsi="Cambria" w:cs="Times New Roman"/>
                <w:lang w:val="it-IT"/>
              </w:rPr>
              <w:t>polaze</w:t>
            </w:r>
            <w:proofErr w:type="spellEnd"/>
            <w:r w:rsidRPr="00DF4CE5">
              <w:rPr>
                <w:rFonts w:ascii="Cambria" w:eastAsia="Times New Roman" w:hAnsi="Cambria" w:cs="Times New Roman"/>
                <w:lang w:val="it-IT"/>
              </w:rPr>
              <w:t xml:space="preserve"> sami (prema </w:t>
            </w:r>
            <w:proofErr w:type="spellStart"/>
            <w:r w:rsidRPr="00DF4CE5">
              <w:rPr>
                <w:rFonts w:ascii="Cambria" w:eastAsia="Times New Roman" w:hAnsi="Cambria" w:cs="Times New Roman"/>
                <w:lang w:val="it-IT"/>
              </w:rPr>
              <w:t>uputama</w:t>
            </w:r>
            <w:proofErr w:type="spellEnd"/>
            <w:r w:rsidRPr="00DF4CE5">
              <w:rPr>
                <w:rFonts w:ascii="Cambria" w:eastAsia="Times New Roman" w:hAnsi="Cambria" w:cs="Times New Roman"/>
                <w:lang w:val="it-IT"/>
              </w:rPr>
              <w:t xml:space="preserve"> </w:t>
            </w:r>
            <w:proofErr w:type="spellStart"/>
            <w:r w:rsidRPr="00DF4CE5">
              <w:rPr>
                <w:rFonts w:ascii="Cambria" w:eastAsia="Times New Roman" w:hAnsi="Cambria" w:cs="Times New Roman"/>
                <w:lang w:val="it-IT"/>
              </w:rPr>
              <w:t>nastavnika</w:t>
            </w:r>
            <w:proofErr w:type="spellEnd"/>
            <w:r w:rsidRPr="00DF4CE5">
              <w:rPr>
                <w:rFonts w:ascii="Cambria" w:eastAsia="Times New Roman" w:hAnsi="Cambria" w:cs="Times New Roman"/>
                <w:lang w:val="it-IT"/>
              </w:rPr>
              <w:t xml:space="preserve">), ili </w:t>
            </w:r>
            <w:proofErr w:type="spellStart"/>
            <w:r w:rsidRPr="00DF4CE5">
              <w:rPr>
                <w:rFonts w:ascii="Cambria" w:eastAsia="Times New Roman" w:hAnsi="Cambria" w:cs="Times New Roman"/>
                <w:lang w:val="it-IT"/>
              </w:rPr>
              <w:t>uz</w:t>
            </w:r>
            <w:proofErr w:type="spellEnd"/>
            <w:r w:rsidRPr="00DF4CE5">
              <w:rPr>
                <w:rFonts w:ascii="Cambria" w:eastAsia="Times New Roman" w:hAnsi="Cambria" w:cs="Times New Roman"/>
                <w:lang w:val="it-IT"/>
              </w:rPr>
              <w:t xml:space="preserve"> </w:t>
            </w:r>
            <w:proofErr w:type="spellStart"/>
            <w:r w:rsidRPr="00DF4CE5">
              <w:rPr>
                <w:rFonts w:ascii="Cambria" w:eastAsia="Times New Roman" w:hAnsi="Cambria" w:cs="Times New Roman"/>
                <w:lang w:val="it-IT"/>
              </w:rPr>
              <w:t>pratnju</w:t>
            </w:r>
            <w:proofErr w:type="spellEnd"/>
            <w:r w:rsidRPr="00DF4CE5">
              <w:rPr>
                <w:rFonts w:ascii="Cambria" w:eastAsia="Times New Roman" w:hAnsi="Cambria" w:cs="Times New Roman"/>
                <w:lang w:val="it-IT"/>
              </w:rPr>
              <w:t xml:space="preserve"> </w:t>
            </w:r>
            <w:proofErr w:type="spellStart"/>
            <w:r w:rsidRPr="00DF4CE5">
              <w:rPr>
                <w:rFonts w:ascii="Cambria" w:eastAsia="Times New Roman" w:hAnsi="Cambria" w:cs="Times New Roman"/>
                <w:lang w:val="it-IT"/>
              </w:rPr>
              <w:t>nastavnika</w:t>
            </w:r>
            <w:proofErr w:type="spellEnd"/>
            <w:r w:rsidRPr="00DF4CE5">
              <w:rPr>
                <w:rFonts w:ascii="Cambria" w:eastAsia="Times New Roman" w:hAnsi="Cambria" w:cs="Times New Roman"/>
                <w:lang w:val="it-IT"/>
              </w:rPr>
              <w:t>.</w:t>
            </w:r>
          </w:p>
          <w:p w14:paraId="5C24834D" w14:textId="77777777" w:rsidR="001C42AA" w:rsidRPr="00DF4CE5" w:rsidRDefault="001C42AA" w:rsidP="001C42AA">
            <w:pPr>
              <w:spacing w:after="0" w:line="240" w:lineRule="auto"/>
              <w:rPr>
                <w:rFonts w:ascii="Cambria" w:eastAsia="Times New Roman" w:hAnsi="Cambria" w:cs="Times New Roman"/>
                <w:lang w:val="pl-PL"/>
              </w:rPr>
            </w:pPr>
            <w:r w:rsidRPr="00DF4CE5">
              <w:rPr>
                <w:rFonts w:ascii="Cambria" w:eastAsia="Times New Roman" w:hAnsi="Cambria" w:cs="Times New Roman"/>
                <w:lang w:val="pl-PL"/>
              </w:rPr>
              <w:t>Nakon koncerta piše se osvrt (20 % udjela u ocjeni). Ocjenjuje se:</w:t>
            </w:r>
          </w:p>
          <w:p w14:paraId="7FCE163B" w14:textId="77777777" w:rsidR="001C42AA" w:rsidRPr="00DF4CE5" w:rsidRDefault="001C42AA" w:rsidP="001C42AA">
            <w:pPr>
              <w:spacing w:after="0" w:line="240" w:lineRule="auto"/>
              <w:rPr>
                <w:rFonts w:ascii="Cambria" w:eastAsia="Times New Roman" w:hAnsi="Cambria" w:cs="Times New Roman"/>
                <w:lang w:val="it-IT"/>
              </w:rPr>
            </w:pPr>
            <w:r w:rsidRPr="00DF4CE5">
              <w:rPr>
                <w:rFonts w:ascii="Cambria" w:eastAsia="Times New Roman" w:hAnsi="Cambria" w:cs="Times New Roman"/>
                <w:lang w:val="it-IT"/>
              </w:rPr>
              <w:t>(</w:t>
            </w:r>
            <w:proofErr w:type="spellStart"/>
            <w:r w:rsidRPr="00DF4CE5">
              <w:rPr>
                <w:rFonts w:ascii="Cambria" w:eastAsia="Times New Roman" w:hAnsi="Cambria" w:cs="Times New Roman"/>
                <w:lang w:val="it-IT"/>
              </w:rPr>
              <w:t>ocjena</w:t>
            </w:r>
            <w:proofErr w:type="spellEnd"/>
            <w:r w:rsidRPr="00DF4CE5">
              <w:rPr>
                <w:rFonts w:ascii="Cambria" w:eastAsia="Times New Roman" w:hAnsi="Cambria" w:cs="Times New Roman"/>
                <w:lang w:val="it-IT"/>
              </w:rPr>
              <w:t xml:space="preserve"> 2 = 5 %, </w:t>
            </w:r>
            <w:proofErr w:type="spellStart"/>
            <w:r w:rsidRPr="00DF4CE5">
              <w:rPr>
                <w:rFonts w:ascii="Cambria" w:eastAsia="Times New Roman" w:hAnsi="Cambria" w:cs="Times New Roman"/>
                <w:lang w:val="it-IT"/>
              </w:rPr>
              <w:t>ocjena</w:t>
            </w:r>
            <w:proofErr w:type="spellEnd"/>
            <w:r w:rsidRPr="00DF4CE5">
              <w:rPr>
                <w:rFonts w:ascii="Cambria" w:eastAsia="Times New Roman" w:hAnsi="Cambria" w:cs="Times New Roman"/>
                <w:lang w:val="it-IT"/>
              </w:rPr>
              <w:t xml:space="preserve"> 3 = 10 %, </w:t>
            </w:r>
            <w:proofErr w:type="spellStart"/>
            <w:r w:rsidRPr="00DF4CE5">
              <w:rPr>
                <w:rFonts w:ascii="Cambria" w:eastAsia="Times New Roman" w:hAnsi="Cambria" w:cs="Times New Roman"/>
                <w:lang w:val="it-IT"/>
              </w:rPr>
              <w:t>ocjena</w:t>
            </w:r>
            <w:proofErr w:type="spellEnd"/>
            <w:r w:rsidRPr="00DF4CE5">
              <w:rPr>
                <w:rFonts w:ascii="Cambria" w:eastAsia="Times New Roman" w:hAnsi="Cambria" w:cs="Times New Roman"/>
                <w:lang w:val="it-IT"/>
              </w:rPr>
              <w:t xml:space="preserve"> 4 = 15 %, </w:t>
            </w:r>
            <w:proofErr w:type="spellStart"/>
            <w:r w:rsidRPr="00DF4CE5">
              <w:rPr>
                <w:rFonts w:ascii="Cambria" w:eastAsia="Times New Roman" w:hAnsi="Cambria" w:cs="Times New Roman"/>
                <w:lang w:val="it-IT"/>
              </w:rPr>
              <w:t>ocjena</w:t>
            </w:r>
            <w:proofErr w:type="spellEnd"/>
            <w:r w:rsidRPr="00DF4CE5">
              <w:rPr>
                <w:rFonts w:ascii="Cambria" w:eastAsia="Times New Roman" w:hAnsi="Cambria" w:cs="Times New Roman"/>
                <w:lang w:val="it-IT"/>
              </w:rPr>
              <w:t xml:space="preserve"> 5 = 20 %)</w:t>
            </w:r>
          </w:p>
          <w:p w14:paraId="2037DFE7" w14:textId="77777777" w:rsidR="001C42AA" w:rsidRPr="00DF4CE5" w:rsidRDefault="001C42AA" w:rsidP="001C42AA">
            <w:pPr>
              <w:spacing w:after="0" w:line="240" w:lineRule="auto"/>
              <w:rPr>
                <w:rFonts w:ascii="Cambria" w:eastAsia="Times New Roman" w:hAnsi="Cambria" w:cs="Calibri"/>
                <w:lang w:val="pl-PL"/>
              </w:rPr>
            </w:pPr>
            <w:r w:rsidRPr="00DF4CE5">
              <w:rPr>
                <w:rFonts w:ascii="Cambria" w:eastAsia="Times New Roman" w:hAnsi="Cambria" w:cs="Calibri"/>
                <w:lang w:val="pl-PL"/>
              </w:rPr>
              <w:t>Kontinuirana provjera znanja  iz slušanja glazbe ocjenjuje se kolokvijem. Na svakom kolokviju može se ostvariti najviše 30 točnih odgovora. Kolokvij nosi najviše 30 %.</w:t>
            </w:r>
          </w:p>
          <w:p w14:paraId="1A956E2C" w14:textId="77777777" w:rsidR="001C42AA" w:rsidRPr="00DF4CE5" w:rsidRDefault="001C42AA" w:rsidP="001C42AA">
            <w:pPr>
              <w:spacing w:after="0" w:line="240" w:lineRule="auto"/>
              <w:rPr>
                <w:rFonts w:ascii="Cambria" w:eastAsia="Times New Roman" w:hAnsi="Cambria" w:cs="Calibri"/>
                <w:lang w:val="pl-PL"/>
              </w:rPr>
            </w:pPr>
            <w:r w:rsidRPr="00DF4CE5">
              <w:rPr>
                <w:rFonts w:ascii="Cambria" w:eastAsia="Times New Roman" w:hAnsi="Cambria" w:cs="Calibri"/>
                <w:lang w:val="pl-PL"/>
              </w:rPr>
              <w:t>Kolokviji se ocjenjuju na sljedeći način:</w:t>
            </w:r>
          </w:p>
          <w:p w14:paraId="71B04BDF" w14:textId="77777777" w:rsidR="001C42AA" w:rsidRPr="00DF4CE5" w:rsidRDefault="001C42AA" w:rsidP="001C42AA">
            <w:pPr>
              <w:spacing w:after="0" w:line="240" w:lineRule="auto"/>
              <w:rPr>
                <w:rFonts w:ascii="Cambria" w:eastAsia="Times New Roman" w:hAnsi="Cambria" w:cs="Calibri"/>
                <w:lang w:val="pl-PL"/>
              </w:rPr>
            </w:pPr>
            <w:r w:rsidRPr="00DF4CE5">
              <w:rPr>
                <w:rFonts w:ascii="Cambria" w:eastAsia="Times New Roman" w:hAnsi="Cambria" w:cs="Calibri"/>
                <w:lang w:val="pl-PL"/>
              </w:rPr>
              <w:t>- 50 % točnih odgovora (odnosno 15 točnih odgovora) = 0 %</w:t>
            </w:r>
          </w:p>
          <w:p w14:paraId="135BAB91" w14:textId="77777777" w:rsidR="001C42AA" w:rsidRPr="00DF4CE5" w:rsidRDefault="001C42AA" w:rsidP="001C42AA">
            <w:pPr>
              <w:spacing w:after="0" w:line="240" w:lineRule="auto"/>
              <w:rPr>
                <w:rFonts w:ascii="Cambria" w:eastAsia="Times New Roman" w:hAnsi="Cambria" w:cs="Calibri"/>
                <w:lang w:val="pl-PL"/>
              </w:rPr>
            </w:pPr>
            <w:r w:rsidRPr="00DF4CE5">
              <w:rPr>
                <w:rFonts w:ascii="Cambria" w:eastAsia="Times New Roman" w:hAnsi="Cambria" w:cs="Calibri"/>
                <w:lang w:val="pl-PL"/>
              </w:rPr>
              <w:t>- svaki slijedeći točan odgovor (od 16 do 30) nosi 2 % udjela u                                  ocjeni (u proporcionalnom postotku).</w:t>
            </w:r>
          </w:p>
          <w:p w14:paraId="3ED18F66" w14:textId="77777777" w:rsidR="001C42AA" w:rsidRPr="00DF4CE5" w:rsidRDefault="001C42AA" w:rsidP="001C42AA">
            <w:pPr>
              <w:spacing w:after="0" w:line="240" w:lineRule="auto"/>
              <w:rPr>
                <w:rFonts w:ascii="Cambria" w:eastAsia="Times New Roman" w:hAnsi="Cambria" w:cs="Calibri"/>
                <w:lang w:val="pl-PL"/>
              </w:rPr>
            </w:pPr>
            <w:r w:rsidRPr="00DF4CE5">
              <w:rPr>
                <w:rFonts w:ascii="Cambria" w:eastAsia="Times New Roman" w:hAnsi="Cambria" w:cs="Calibri"/>
                <w:lang w:val="pl-PL"/>
              </w:rPr>
              <w:t>Usmeni ispit</w:t>
            </w:r>
          </w:p>
          <w:p w14:paraId="08771EF7" w14:textId="77777777" w:rsidR="001C42AA" w:rsidRPr="00DF4CE5" w:rsidRDefault="001C42AA" w:rsidP="001C42AA">
            <w:pPr>
              <w:spacing w:after="0" w:line="240" w:lineRule="auto"/>
              <w:rPr>
                <w:rFonts w:ascii="Cambria" w:eastAsia="Times New Roman" w:hAnsi="Cambria" w:cs="Calibri"/>
                <w:lang w:val="pl-PL"/>
              </w:rPr>
            </w:pPr>
            <w:r w:rsidRPr="00DF4CE5">
              <w:rPr>
                <w:rFonts w:ascii="Cambria" w:eastAsia="Times New Roman" w:hAnsi="Cambria" w:cs="Calibri"/>
                <w:lang w:val="pl-PL"/>
              </w:rPr>
              <w:t xml:space="preserve">        Na usmenom ispitu postavljaju se tri pitanja i tri potpitanja koja proizlaze iz pitanja (ukupno šest), a kojima se povezuju elementi stilskih glazbenih razdoblja, a ocjenjuje se:</w:t>
            </w:r>
          </w:p>
          <w:p w14:paraId="5CEB9437" w14:textId="77777777" w:rsidR="001C42AA" w:rsidRPr="00DF4CE5" w:rsidRDefault="001C42AA" w:rsidP="001C42AA">
            <w:pPr>
              <w:spacing w:after="0" w:line="240" w:lineRule="auto"/>
              <w:ind w:firstLine="360"/>
              <w:rPr>
                <w:rFonts w:ascii="Cambria" w:eastAsia="Times New Roman" w:hAnsi="Cambria" w:cs="Calibri"/>
                <w:lang w:val="pl-PL"/>
              </w:rPr>
            </w:pPr>
            <w:r w:rsidRPr="00DF4CE5">
              <w:rPr>
                <w:rFonts w:ascii="Cambria" w:eastAsia="Times New Roman" w:hAnsi="Cambria" w:cs="Calibri"/>
                <w:lang w:val="pl-PL"/>
              </w:rPr>
              <w:t>0%</w:t>
            </w:r>
            <w:r w:rsidRPr="00DF4CE5">
              <w:rPr>
                <w:rFonts w:ascii="Cambria" w:eastAsia="Times New Roman" w:hAnsi="Cambria" w:cs="Calibri"/>
                <w:lang w:val="pl-PL"/>
              </w:rPr>
              <w:tab/>
              <w:t>= manje od 50% točnih odgovora (3 netočno odgovorena odgovora)</w:t>
            </w:r>
          </w:p>
          <w:p w14:paraId="54A1DB72" w14:textId="77777777" w:rsidR="001C42AA" w:rsidRPr="00DF4CE5" w:rsidRDefault="001C42AA" w:rsidP="001C42AA">
            <w:pPr>
              <w:spacing w:after="0" w:line="240" w:lineRule="auto"/>
              <w:ind w:firstLine="360"/>
              <w:rPr>
                <w:rFonts w:ascii="Cambria" w:eastAsia="Times New Roman" w:hAnsi="Cambria" w:cs="Calibri"/>
                <w:lang w:val="it-IT"/>
              </w:rPr>
            </w:pPr>
            <w:r w:rsidRPr="00DF4CE5">
              <w:rPr>
                <w:rFonts w:ascii="Cambria" w:eastAsia="Times New Roman" w:hAnsi="Cambria" w:cs="Calibri"/>
                <w:lang w:val="it-IT"/>
              </w:rPr>
              <w:t xml:space="preserve">10% = 4 </w:t>
            </w:r>
            <w:proofErr w:type="spellStart"/>
            <w:r w:rsidRPr="00DF4CE5">
              <w:rPr>
                <w:rFonts w:ascii="Cambria" w:eastAsia="Times New Roman" w:hAnsi="Cambria" w:cs="Calibri"/>
                <w:lang w:val="it-IT"/>
              </w:rPr>
              <w:t>točna</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odgovora</w:t>
            </w:r>
            <w:proofErr w:type="spellEnd"/>
          </w:p>
          <w:p w14:paraId="606C799B" w14:textId="77777777" w:rsidR="001C42AA" w:rsidRPr="00DF4CE5" w:rsidRDefault="001C42AA" w:rsidP="001C42AA">
            <w:pPr>
              <w:spacing w:after="0" w:line="240" w:lineRule="auto"/>
              <w:ind w:firstLine="360"/>
              <w:rPr>
                <w:rFonts w:ascii="Cambria" w:eastAsia="Times New Roman" w:hAnsi="Cambria" w:cs="Calibri"/>
                <w:lang w:val="it-IT"/>
              </w:rPr>
            </w:pPr>
            <w:r w:rsidRPr="00DF4CE5">
              <w:rPr>
                <w:rFonts w:ascii="Cambria" w:eastAsia="Times New Roman" w:hAnsi="Cambria" w:cs="Calibri"/>
                <w:lang w:val="it-IT"/>
              </w:rPr>
              <w:t xml:space="preserve">20% = 5 </w:t>
            </w:r>
            <w:proofErr w:type="spellStart"/>
            <w:r w:rsidRPr="00DF4CE5">
              <w:rPr>
                <w:rFonts w:ascii="Cambria" w:eastAsia="Times New Roman" w:hAnsi="Cambria" w:cs="Calibri"/>
                <w:lang w:val="it-IT"/>
              </w:rPr>
              <w:t>točna</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odgovora</w:t>
            </w:r>
            <w:proofErr w:type="spellEnd"/>
          </w:p>
          <w:p w14:paraId="3C821D4E" w14:textId="77777777" w:rsidR="001C42AA" w:rsidRPr="00DF4CE5" w:rsidRDefault="001C42AA" w:rsidP="001C42AA">
            <w:pPr>
              <w:spacing w:after="0" w:line="240" w:lineRule="auto"/>
              <w:ind w:firstLine="360"/>
              <w:rPr>
                <w:rFonts w:ascii="Cambria" w:eastAsia="Times New Roman" w:hAnsi="Cambria" w:cs="Calibri"/>
                <w:lang w:val="it-IT"/>
              </w:rPr>
            </w:pPr>
            <w:r w:rsidRPr="00DF4CE5">
              <w:rPr>
                <w:rFonts w:ascii="Cambria" w:eastAsia="Times New Roman" w:hAnsi="Cambria" w:cs="Calibri"/>
                <w:lang w:val="it-IT"/>
              </w:rPr>
              <w:t xml:space="preserve">30% = 6 </w:t>
            </w:r>
            <w:proofErr w:type="spellStart"/>
            <w:r w:rsidRPr="00DF4CE5">
              <w:rPr>
                <w:rFonts w:ascii="Cambria" w:eastAsia="Times New Roman" w:hAnsi="Cambria" w:cs="Calibri"/>
                <w:lang w:val="it-IT"/>
              </w:rPr>
              <w:t>točna</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odgovora</w:t>
            </w:r>
            <w:proofErr w:type="spellEnd"/>
          </w:p>
        </w:tc>
      </w:tr>
      <w:tr w:rsidR="001C42AA" w:rsidRPr="00DF4CE5" w14:paraId="79E65BD6" w14:textId="77777777" w:rsidTr="00A31664">
        <w:tc>
          <w:tcPr>
            <w:tcW w:w="261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A060E4C" w14:textId="77777777" w:rsidR="001C42AA" w:rsidRPr="00DF4CE5" w:rsidRDefault="001C42AA" w:rsidP="001C42AA">
            <w:pPr>
              <w:spacing w:after="0" w:line="240" w:lineRule="auto"/>
              <w:rPr>
                <w:rFonts w:ascii="Cambria" w:eastAsia="Times New Roman" w:hAnsi="Cambria" w:cs="Calibri"/>
              </w:rPr>
            </w:pPr>
            <w:proofErr w:type="spellStart"/>
            <w:r w:rsidRPr="00DF4CE5">
              <w:rPr>
                <w:rFonts w:ascii="Cambria" w:eastAsia="Times New Roman" w:hAnsi="Cambria" w:cs="Calibri"/>
              </w:rPr>
              <w:t>Studentske</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obveze</w:t>
            </w:r>
            <w:proofErr w:type="spellEnd"/>
          </w:p>
        </w:tc>
        <w:tc>
          <w:tcPr>
            <w:tcW w:w="6723"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55F5FE2" w14:textId="77777777" w:rsidR="001C42AA" w:rsidRPr="00DF4CE5" w:rsidRDefault="001C42AA" w:rsidP="001C42AA">
            <w:pPr>
              <w:spacing w:after="0" w:line="240" w:lineRule="auto"/>
              <w:rPr>
                <w:rFonts w:ascii="Cambria" w:eastAsia="Times New Roman" w:hAnsi="Cambria" w:cs="Calibri"/>
                <w:lang w:val="it-IT"/>
              </w:rPr>
            </w:pPr>
            <w:r w:rsidRPr="00DF4CE5">
              <w:rPr>
                <w:rFonts w:ascii="Cambria" w:eastAsia="Times New Roman" w:hAnsi="Cambria" w:cs="Calibri"/>
                <w:lang w:val="it-IT"/>
              </w:rPr>
              <w:t xml:space="preserve">Da </w:t>
            </w:r>
            <w:proofErr w:type="spellStart"/>
            <w:r w:rsidRPr="00DF4CE5">
              <w:rPr>
                <w:rFonts w:ascii="Cambria" w:eastAsia="Times New Roman" w:hAnsi="Cambria" w:cs="Calibri"/>
                <w:lang w:val="it-IT"/>
              </w:rPr>
              <w:t>položi</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kolegij</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student</w:t>
            </w:r>
            <w:proofErr w:type="spellEnd"/>
            <w:r w:rsidRPr="00DF4CE5">
              <w:rPr>
                <w:rFonts w:ascii="Cambria" w:eastAsia="Times New Roman" w:hAnsi="Cambria" w:cs="Calibri"/>
                <w:lang w:val="it-IT"/>
              </w:rPr>
              <w:t>/</w:t>
            </w:r>
            <w:proofErr w:type="spellStart"/>
            <w:r w:rsidRPr="00DF4CE5">
              <w:rPr>
                <w:rFonts w:ascii="Cambria" w:eastAsia="Times New Roman" w:hAnsi="Cambria" w:cs="Calibri"/>
                <w:lang w:val="it-IT"/>
              </w:rPr>
              <w:t>studentica</w:t>
            </w:r>
            <w:proofErr w:type="spellEnd"/>
            <w:r w:rsidRPr="00DF4CE5">
              <w:rPr>
                <w:rFonts w:ascii="Cambria" w:eastAsia="Times New Roman" w:hAnsi="Cambria" w:cs="Calibri"/>
                <w:lang w:val="it-IT"/>
              </w:rPr>
              <w:t xml:space="preserve"> mora:</w:t>
            </w:r>
          </w:p>
          <w:p w14:paraId="16EE5EFC" w14:textId="28C9DBD5" w:rsidR="001C42AA" w:rsidRPr="006E59DC" w:rsidRDefault="006E59DC" w:rsidP="006E59DC">
            <w:pPr>
              <w:spacing w:after="0" w:line="240" w:lineRule="auto"/>
              <w:contextualSpacing/>
              <w:rPr>
                <w:rFonts w:ascii="Cambria" w:eastAsia="Times New Roman" w:hAnsi="Cambria" w:cs="Calibri"/>
                <w:lang w:val="it-IT"/>
              </w:rPr>
            </w:pPr>
            <w:r w:rsidRPr="006E59DC">
              <w:rPr>
                <w:rFonts w:ascii="Cambria" w:eastAsia="Times New Roman" w:hAnsi="Cambria" w:cs="Calibri"/>
                <w:lang w:val="it-IT"/>
              </w:rPr>
              <w:t xml:space="preserve">1. </w:t>
            </w:r>
            <w:proofErr w:type="spellStart"/>
            <w:r w:rsidR="001C42AA" w:rsidRPr="006E59DC">
              <w:rPr>
                <w:rFonts w:ascii="Cambria" w:eastAsia="Times New Roman" w:hAnsi="Cambria" w:cs="Calibri"/>
                <w:lang w:val="it-IT"/>
              </w:rPr>
              <w:t>pohađati</w:t>
            </w:r>
            <w:proofErr w:type="spellEnd"/>
            <w:r w:rsidR="001C42AA" w:rsidRPr="006E59DC">
              <w:rPr>
                <w:rFonts w:ascii="Cambria" w:eastAsia="Times New Roman" w:hAnsi="Cambria" w:cs="Calibri"/>
                <w:lang w:val="it-IT"/>
              </w:rPr>
              <w:t xml:space="preserve"> </w:t>
            </w:r>
            <w:proofErr w:type="spellStart"/>
            <w:r w:rsidR="001C42AA" w:rsidRPr="006E59DC">
              <w:rPr>
                <w:rFonts w:ascii="Cambria" w:eastAsia="Times New Roman" w:hAnsi="Cambria" w:cs="Calibri"/>
                <w:lang w:val="it-IT"/>
              </w:rPr>
              <w:t>nastavu</w:t>
            </w:r>
            <w:proofErr w:type="spellEnd"/>
          </w:p>
          <w:p w14:paraId="51BEA304" w14:textId="41073AED" w:rsidR="001C42AA" w:rsidRPr="006E59DC" w:rsidRDefault="006E59DC" w:rsidP="006E59DC">
            <w:pPr>
              <w:spacing w:after="0" w:line="240" w:lineRule="auto"/>
              <w:contextualSpacing/>
              <w:rPr>
                <w:rFonts w:ascii="Cambria" w:eastAsia="Times New Roman" w:hAnsi="Cambria" w:cs="Calibri"/>
                <w:lang w:val="it-IT"/>
              </w:rPr>
            </w:pPr>
            <w:r w:rsidRPr="006E59DC">
              <w:rPr>
                <w:rFonts w:ascii="Cambria" w:eastAsia="Times New Roman" w:hAnsi="Cambria" w:cs="Calibri"/>
                <w:lang w:val="it-IT"/>
              </w:rPr>
              <w:t xml:space="preserve">2. </w:t>
            </w:r>
            <w:proofErr w:type="spellStart"/>
            <w:r w:rsidR="001C42AA" w:rsidRPr="006E59DC">
              <w:rPr>
                <w:rFonts w:ascii="Cambria" w:eastAsia="Times New Roman" w:hAnsi="Cambria" w:cs="Calibri"/>
                <w:lang w:val="it-IT"/>
              </w:rPr>
              <w:t>položiti</w:t>
            </w:r>
            <w:proofErr w:type="spellEnd"/>
            <w:r w:rsidR="001C42AA" w:rsidRPr="006E59DC">
              <w:rPr>
                <w:rFonts w:ascii="Cambria" w:eastAsia="Times New Roman" w:hAnsi="Cambria" w:cs="Calibri"/>
                <w:lang w:val="it-IT"/>
              </w:rPr>
              <w:t xml:space="preserve"> </w:t>
            </w:r>
            <w:proofErr w:type="spellStart"/>
            <w:r w:rsidR="001C42AA" w:rsidRPr="006E59DC">
              <w:rPr>
                <w:rFonts w:ascii="Cambria" w:eastAsia="Times New Roman" w:hAnsi="Cambria" w:cs="Calibri"/>
                <w:lang w:val="it-IT"/>
              </w:rPr>
              <w:t>kolokvije</w:t>
            </w:r>
            <w:proofErr w:type="spellEnd"/>
            <w:r w:rsidR="001C42AA" w:rsidRPr="006E59DC">
              <w:rPr>
                <w:rFonts w:ascii="Cambria" w:eastAsia="Times New Roman" w:hAnsi="Cambria" w:cs="Calibri"/>
                <w:lang w:val="it-IT"/>
              </w:rPr>
              <w:t xml:space="preserve"> </w:t>
            </w:r>
            <w:proofErr w:type="spellStart"/>
            <w:r w:rsidR="001C42AA" w:rsidRPr="006E59DC">
              <w:rPr>
                <w:rFonts w:ascii="Cambria" w:eastAsia="Times New Roman" w:hAnsi="Cambria" w:cs="Calibri"/>
                <w:lang w:val="it-IT"/>
              </w:rPr>
              <w:t>aktivnog</w:t>
            </w:r>
            <w:proofErr w:type="spellEnd"/>
            <w:r w:rsidR="001C42AA" w:rsidRPr="006E59DC">
              <w:rPr>
                <w:rFonts w:ascii="Cambria" w:eastAsia="Times New Roman" w:hAnsi="Cambria" w:cs="Calibri"/>
                <w:lang w:val="it-IT"/>
              </w:rPr>
              <w:t xml:space="preserve"> </w:t>
            </w:r>
            <w:proofErr w:type="spellStart"/>
            <w:r w:rsidR="001C42AA" w:rsidRPr="006E59DC">
              <w:rPr>
                <w:rFonts w:ascii="Cambria" w:eastAsia="Times New Roman" w:hAnsi="Cambria" w:cs="Calibri"/>
                <w:lang w:val="it-IT"/>
              </w:rPr>
              <w:t>slušanja</w:t>
            </w:r>
            <w:proofErr w:type="spellEnd"/>
            <w:r w:rsidR="001C42AA" w:rsidRPr="006E59DC">
              <w:rPr>
                <w:rFonts w:ascii="Cambria" w:eastAsia="Times New Roman" w:hAnsi="Cambria" w:cs="Calibri"/>
                <w:lang w:val="it-IT"/>
              </w:rPr>
              <w:t xml:space="preserve"> </w:t>
            </w:r>
            <w:proofErr w:type="spellStart"/>
            <w:r w:rsidR="001C42AA" w:rsidRPr="006E59DC">
              <w:rPr>
                <w:rFonts w:ascii="Cambria" w:eastAsia="Times New Roman" w:hAnsi="Cambria" w:cs="Calibri"/>
                <w:lang w:val="it-IT"/>
              </w:rPr>
              <w:t>glazbe</w:t>
            </w:r>
            <w:proofErr w:type="spellEnd"/>
          </w:p>
          <w:p w14:paraId="1980B682" w14:textId="5736701B" w:rsidR="001C42AA" w:rsidRPr="00DF4CE5" w:rsidRDefault="006E59DC" w:rsidP="006E59DC">
            <w:pPr>
              <w:spacing w:after="0" w:line="240" w:lineRule="auto"/>
              <w:contextualSpacing/>
              <w:rPr>
                <w:rFonts w:ascii="Cambria" w:eastAsia="Times New Roman" w:hAnsi="Cambria" w:cs="Calibri"/>
                <w:lang w:val="pl-PL"/>
              </w:rPr>
            </w:pPr>
            <w:r>
              <w:rPr>
                <w:rFonts w:ascii="Cambria" w:eastAsia="Times New Roman" w:hAnsi="Cambria" w:cs="Times New Roman"/>
              </w:rPr>
              <w:t xml:space="preserve">3. </w:t>
            </w:r>
            <w:proofErr w:type="spellStart"/>
            <w:r w:rsidR="001C42AA" w:rsidRPr="00DF4CE5">
              <w:rPr>
                <w:rFonts w:ascii="Cambria" w:eastAsia="Times New Roman" w:hAnsi="Cambria" w:cs="Times New Roman"/>
              </w:rPr>
              <w:t>pristupiti</w:t>
            </w:r>
            <w:proofErr w:type="spellEnd"/>
            <w:r w:rsidR="001C42AA" w:rsidRPr="00DF4CE5">
              <w:rPr>
                <w:rFonts w:ascii="Cambria" w:eastAsia="Times New Roman" w:hAnsi="Cambria" w:cs="Times New Roman"/>
              </w:rPr>
              <w:t xml:space="preserve"> </w:t>
            </w:r>
            <w:proofErr w:type="spellStart"/>
            <w:r w:rsidR="001C42AA" w:rsidRPr="00DF4CE5">
              <w:rPr>
                <w:rFonts w:ascii="Cambria" w:eastAsia="Times New Roman" w:hAnsi="Cambria" w:cs="Times New Roman"/>
              </w:rPr>
              <w:t>usmenom</w:t>
            </w:r>
            <w:proofErr w:type="spellEnd"/>
            <w:r w:rsidR="001C42AA" w:rsidRPr="00DF4CE5">
              <w:rPr>
                <w:rFonts w:ascii="Cambria" w:eastAsia="Times New Roman" w:hAnsi="Cambria" w:cs="Times New Roman"/>
              </w:rPr>
              <w:t xml:space="preserve"> </w:t>
            </w:r>
            <w:proofErr w:type="spellStart"/>
            <w:r w:rsidR="001C42AA" w:rsidRPr="00DF4CE5">
              <w:rPr>
                <w:rFonts w:ascii="Cambria" w:eastAsia="Times New Roman" w:hAnsi="Cambria" w:cs="Times New Roman"/>
              </w:rPr>
              <w:t>ispitu</w:t>
            </w:r>
            <w:proofErr w:type="spellEnd"/>
            <w:r>
              <w:rPr>
                <w:rFonts w:ascii="Cambria" w:eastAsia="Times New Roman" w:hAnsi="Cambria" w:cs="Times New Roman"/>
              </w:rPr>
              <w:t xml:space="preserve">. </w:t>
            </w:r>
          </w:p>
        </w:tc>
      </w:tr>
      <w:tr w:rsidR="001C42AA" w:rsidRPr="00D0399C" w14:paraId="662CA413" w14:textId="77777777" w:rsidTr="00A31664">
        <w:tc>
          <w:tcPr>
            <w:tcW w:w="261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55E0CF1" w14:textId="77777777" w:rsidR="001C42AA" w:rsidRPr="00DF4CE5" w:rsidRDefault="001C42AA" w:rsidP="001C42AA">
            <w:pPr>
              <w:spacing w:after="0" w:line="240" w:lineRule="auto"/>
              <w:rPr>
                <w:rFonts w:ascii="Cambria" w:eastAsia="Times New Roman" w:hAnsi="Cambria" w:cs="Calibri"/>
              </w:rPr>
            </w:pPr>
            <w:proofErr w:type="spellStart"/>
            <w:r w:rsidRPr="00DF4CE5">
              <w:rPr>
                <w:rFonts w:ascii="Cambria" w:eastAsia="Times New Roman" w:hAnsi="Cambria" w:cs="Calibri"/>
              </w:rPr>
              <w:t>Rokovi</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ispita</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i</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kolokvija</w:t>
            </w:r>
            <w:proofErr w:type="spellEnd"/>
          </w:p>
        </w:tc>
        <w:tc>
          <w:tcPr>
            <w:tcW w:w="6723"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423381D" w14:textId="77777777" w:rsidR="001C42AA" w:rsidRPr="00DF4CE5" w:rsidRDefault="001C42AA" w:rsidP="001C42AA">
            <w:pPr>
              <w:spacing w:after="0" w:line="240" w:lineRule="auto"/>
              <w:rPr>
                <w:rFonts w:ascii="Cambria" w:eastAsia="Times New Roman" w:hAnsi="Cambria" w:cs="Calibri"/>
                <w:lang w:val="it-IT"/>
              </w:rPr>
            </w:pPr>
            <w:r w:rsidRPr="00DF4CE5">
              <w:rPr>
                <w:rFonts w:ascii="Cambria" w:eastAsia="Times New Roman" w:hAnsi="Cambria" w:cs="Calibri"/>
                <w:lang w:val="pl-PL"/>
              </w:rPr>
              <w:t xml:space="preserve">Rokovi se objavljuju putem Studomata i ISVU </w:t>
            </w:r>
          </w:p>
        </w:tc>
      </w:tr>
      <w:tr w:rsidR="001C42AA" w:rsidRPr="006E59DC" w14:paraId="19866507" w14:textId="77777777" w:rsidTr="00A31664">
        <w:tc>
          <w:tcPr>
            <w:tcW w:w="261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99F4A30" w14:textId="77777777" w:rsidR="001C42AA" w:rsidRPr="00DF4CE5" w:rsidRDefault="001C42AA" w:rsidP="001C42AA">
            <w:pPr>
              <w:spacing w:after="0" w:line="240" w:lineRule="auto"/>
              <w:rPr>
                <w:rFonts w:ascii="Cambria" w:eastAsia="Times New Roman" w:hAnsi="Cambria" w:cs="Calibri"/>
                <w:lang w:val="it-IT"/>
              </w:rPr>
            </w:pPr>
            <w:r w:rsidRPr="00DF4CE5">
              <w:rPr>
                <w:rFonts w:ascii="Cambria" w:eastAsia="Times New Roman" w:hAnsi="Cambria" w:cs="Calibri"/>
                <w:lang w:val="it-IT"/>
              </w:rPr>
              <w:t xml:space="preserve">Ostale </w:t>
            </w:r>
            <w:proofErr w:type="spellStart"/>
            <w:r w:rsidRPr="00DF4CE5">
              <w:rPr>
                <w:rFonts w:ascii="Cambria" w:eastAsia="Times New Roman" w:hAnsi="Cambria" w:cs="Calibri"/>
                <w:lang w:val="it-IT"/>
              </w:rPr>
              <w:t>važne</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činjenice</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vezane</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uz</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kolegij</w:t>
            </w:r>
            <w:proofErr w:type="spellEnd"/>
          </w:p>
        </w:tc>
        <w:tc>
          <w:tcPr>
            <w:tcW w:w="6723"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EEDF2BF" w14:textId="61E21DA5" w:rsidR="001C42AA" w:rsidRPr="006E59DC" w:rsidRDefault="001C42AA" w:rsidP="001C42AA">
            <w:pPr>
              <w:spacing w:after="0" w:line="240" w:lineRule="auto"/>
              <w:rPr>
                <w:rFonts w:ascii="Cambria" w:eastAsia="Times New Roman" w:hAnsi="Cambria" w:cs="Calibri"/>
                <w:lang w:val="it-IT"/>
              </w:rPr>
            </w:pPr>
            <w:r w:rsidRPr="00DF4CE5">
              <w:rPr>
                <w:rFonts w:ascii="Cambria" w:eastAsia="Times New Roman" w:hAnsi="Cambria" w:cs="Calibri"/>
                <w:lang w:val="it-IT"/>
              </w:rPr>
              <w:t xml:space="preserve">U </w:t>
            </w:r>
            <w:proofErr w:type="spellStart"/>
            <w:r w:rsidRPr="00DF4CE5">
              <w:rPr>
                <w:rFonts w:ascii="Cambria" w:eastAsia="Times New Roman" w:hAnsi="Cambria" w:cs="Calibri"/>
                <w:lang w:val="it-IT"/>
              </w:rPr>
              <w:t>slučaju</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održavanja</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nastave</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na</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daljinu</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moguće</w:t>
            </w:r>
            <w:proofErr w:type="spellEnd"/>
            <w:r w:rsidRPr="00DF4CE5">
              <w:rPr>
                <w:rFonts w:ascii="Cambria" w:eastAsia="Times New Roman" w:hAnsi="Cambria" w:cs="Calibri"/>
                <w:lang w:val="it-IT"/>
              </w:rPr>
              <w:t xml:space="preserve"> je </w:t>
            </w:r>
            <w:proofErr w:type="spellStart"/>
            <w:r w:rsidRPr="00DF4CE5">
              <w:rPr>
                <w:rFonts w:ascii="Cambria" w:eastAsia="Times New Roman" w:hAnsi="Cambria" w:cs="Calibri"/>
                <w:lang w:val="it-IT"/>
              </w:rPr>
              <w:t>odstupanje</w:t>
            </w:r>
            <w:proofErr w:type="spellEnd"/>
            <w:r w:rsidRPr="00DF4CE5">
              <w:rPr>
                <w:rFonts w:ascii="Cambria" w:eastAsia="Times New Roman" w:hAnsi="Cambria" w:cs="Calibri"/>
                <w:lang w:val="it-IT"/>
              </w:rPr>
              <w:t xml:space="preserve"> u: </w:t>
            </w:r>
            <w:proofErr w:type="spellStart"/>
            <w:r w:rsidRPr="00DF4CE5">
              <w:rPr>
                <w:rFonts w:ascii="Cambria" w:eastAsia="Times New Roman" w:hAnsi="Cambria" w:cs="Calibri"/>
                <w:lang w:val="it-IT"/>
              </w:rPr>
              <w:t>mjestu</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izvođenja</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kolegija</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provedbi</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aktivnosti</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metoda</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tumačenja</w:t>
            </w:r>
            <w:proofErr w:type="spellEnd"/>
            <w:r w:rsidRPr="00DF4CE5">
              <w:rPr>
                <w:rFonts w:ascii="Cambria" w:eastAsia="Times New Roman" w:hAnsi="Cambria" w:cs="Calibri"/>
                <w:lang w:val="it-IT"/>
              </w:rPr>
              <w:t xml:space="preserve"> i </w:t>
            </w:r>
            <w:proofErr w:type="spellStart"/>
            <w:r w:rsidRPr="00DF4CE5">
              <w:rPr>
                <w:rFonts w:ascii="Cambria" w:eastAsia="Times New Roman" w:hAnsi="Cambria" w:cs="Calibri"/>
                <w:lang w:val="it-IT"/>
              </w:rPr>
              <w:t>poučavanja</w:t>
            </w:r>
            <w:proofErr w:type="spellEnd"/>
            <w:r w:rsidRPr="00DF4CE5">
              <w:rPr>
                <w:rFonts w:ascii="Cambria" w:eastAsia="Times New Roman" w:hAnsi="Cambria" w:cs="Calibri"/>
                <w:lang w:val="it-IT"/>
              </w:rPr>
              <w:t xml:space="preserve"> i </w:t>
            </w:r>
            <w:proofErr w:type="spellStart"/>
            <w:r w:rsidRPr="00DF4CE5">
              <w:rPr>
                <w:rFonts w:ascii="Cambria" w:eastAsia="Times New Roman" w:hAnsi="Cambria" w:cs="Calibri"/>
                <w:lang w:val="it-IT"/>
              </w:rPr>
              <w:t>načinima</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vrednovanja</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studentskim</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obvezama</w:t>
            </w:r>
            <w:proofErr w:type="spellEnd"/>
            <w:r w:rsidRPr="00DF4CE5">
              <w:rPr>
                <w:rFonts w:ascii="Cambria" w:eastAsia="Times New Roman" w:hAnsi="Cambria" w:cs="Calibri"/>
                <w:lang w:val="it-IT"/>
              </w:rPr>
              <w:t xml:space="preserve"> i </w:t>
            </w:r>
            <w:proofErr w:type="spellStart"/>
            <w:r w:rsidRPr="00DF4CE5">
              <w:rPr>
                <w:rFonts w:ascii="Cambria" w:eastAsia="Times New Roman" w:hAnsi="Cambria" w:cs="Calibri"/>
                <w:lang w:val="it-IT"/>
              </w:rPr>
              <w:t>dostupnoj</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literaturi</w:t>
            </w:r>
            <w:proofErr w:type="spellEnd"/>
            <w:r w:rsidRPr="00DF4CE5">
              <w:rPr>
                <w:rFonts w:ascii="Cambria" w:eastAsia="Times New Roman" w:hAnsi="Cambria" w:cs="Calibri"/>
                <w:lang w:val="it-IT"/>
              </w:rPr>
              <w:t xml:space="preserve">. O tome </w:t>
            </w:r>
            <w:proofErr w:type="spellStart"/>
            <w:r w:rsidRPr="00DF4CE5">
              <w:rPr>
                <w:rFonts w:ascii="Cambria" w:eastAsia="Times New Roman" w:hAnsi="Cambria" w:cs="Calibri"/>
                <w:lang w:val="it-IT"/>
              </w:rPr>
              <w:t>će</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nositeljica</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kolegija</w:t>
            </w:r>
            <w:proofErr w:type="spellEnd"/>
            <w:r w:rsidR="006E59DC">
              <w:rPr>
                <w:rFonts w:ascii="Cambria" w:eastAsia="Times New Roman" w:hAnsi="Cambria" w:cs="Calibri"/>
                <w:lang w:val="it-IT"/>
              </w:rPr>
              <w:t xml:space="preserve"> i </w:t>
            </w:r>
            <w:proofErr w:type="spellStart"/>
            <w:r w:rsidR="006E59DC">
              <w:rPr>
                <w:rFonts w:ascii="Cambria" w:eastAsia="Times New Roman" w:hAnsi="Cambria" w:cs="Calibri"/>
                <w:lang w:val="it-IT"/>
              </w:rPr>
              <w:t>suradnik</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obavijestiti</w:t>
            </w:r>
            <w:proofErr w:type="spellEnd"/>
            <w:r w:rsidRPr="00DF4CE5">
              <w:rPr>
                <w:rFonts w:ascii="Cambria" w:eastAsia="Times New Roman" w:hAnsi="Cambria" w:cs="Calibri"/>
                <w:lang w:val="it-IT"/>
              </w:rPr>
              <w:t xml:space="preserve"> studente i </w:t>
            </w:r>
            <w:proofErr w:type="spellStart"/>
            <w:r w:rsidRPr="00DF4CE5">
              <w:rPr>
                <w:rFonts w:ascii="Cambria" w:eastAsia="Times New Roman" w:hAnsi="Cambria" w:cs="Calibri"/>
                <w:lang w:val="it-IT"/>
              </w:rPr>
              <w:t>studentice</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kad</w:t>
            </w:r>
            <w:proofErr w:type="spellEnd"/>
            <w:r w:rsidRPr="00DF4CE5">
              <w:rPr>
                <w:rFonts w:ascii="Cambria" w:eastAsia="Times New Roman" w:hAnsi="Cambria" w:cs="Calibri"/>
                <w:lang w:val="it-IT"/>
              </w:rPr>
              <w:t xml:space="preserve"> se </w:t>
            </w:r>
            <w:proofErr w:type="spellStart"/>
            <w:r w:rsidRPr="00DF4CE5">
              <w:rPr>
                <w:rFonts w:ascii="Cambria" w:eastAsia="Times New Roman" w:hAnsi="Cambria" w:cs="Calibri"/>
                <w:lang w:val="it-IT"/>
              </w:rPr>
              <w:t>nastava</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na</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daljinu</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počne</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održavati</w:t>
            </w:r>
            <w:proofErr w:type="spellEnd"/>
            <w:r w:rsidRPr="00DF4CE5">
              <w:rPr>
                <w:rFonts w:ascii="Cambria" w:eastAsia="Times New Roman" w:hAnsi="Cambria" w:cs="Calibri"/>
                <w:lang w:val="it-IT"/>
              </w:rPr>
              <w:t xml:space="preserve">. </w:t>
            </w:r>
            <w:proofErr w:type="spellStart"/>
            <w:r w:rsidRPr="006E59DC">
              <w:rPr>
                <w:rFonts w:ascii="Cambria" w:eastAsia="Times New Roman" w:hAnsi="Cambria" w:cs="Calibri"/>
                <w:lang w:val="it-IT"/>
              </w:rPr>
              <w:t>Ishodi</w:t>
            </w:r>
            <w:proofErr w:type="spellEnd"/>
            <w:r w:rsidRPr="006E59DC">
              <w:rPr>
                <w:rFonts w:ascii="Cambria" w:eastAsia="Times New Roman" w:hAnsi="Cambria" w:cs="Calibri"/>
                <w:lang w:val="it-IT"/>
              </w:rPr>
              <w:t xml:space="preserve"> </w:t>
            </w:r>
            <w:proofErr w:type="spellStart"/>
            <w:r w:rsidRPr="006E59DC">
              <w:rPr>
                <w:rFonts w:ascii="Cambria" w:eastAsia="Times New Roman" w:hAnsi="Cambria" w:cs="Calibri"/>
                <w:lang w:val="it-IT"/>
              </w:rPr>
              <w:t>učenja</w:t>
            </w:r>
            <w:proofErr w:type="spellEnd"/>
            <w:r w:rsidRPr="006E59DC">
              <w:rPr>
                <w:rFonts w:ascii="Cambria" w:eastAsia="Times New Roman" w:hAnsi="Cambria" w:cs="Calibri"/>
                <w:lang w:val="it-IT"/>
              </w:rPr>
              <w:t xml:space="preserve"> </w:t>
            </w:r>
            <w:proofErr w:type="spellStart"/>
            <w:r w:rsidRPr="006E59DC">
              <w:rPr>
                <w:rFonts w:ascii="Cambria" w:eastAsia="Times New Roman" w:hAnsi="Cambria" w:cs="Calibri"/>
                <w:lang w:val="it-IT"/>
              </w:rPr>
              <w:t>ostaju</w:t>
            </w:r>
            <w:proofErr w:type="spellEnd"/>
            <w:r w:rsidRPr="006E59DC">
              <w:rPr>
                <w:rFonts w:ascii="Cambria" w:eastAsia="Times New Roman" w:hAnsi="Cambria" w:cs="Calibri"/>
                <w:lang w:val="it-IT"/>
              </w:rPr>
              <w:t xml:space="preserve"> </w:t>
            </w:r>
            <w:proofErr w:type="spellStart"/>
            <w:r w:rsidRPr="006E59DC">
              <w:rPr>
                <w:rFonts w:ascii="Cambria" w:eastAsia="Times New Roman" w:hAnsi="Cambria" w:cs="Calibri"/>
                <w:lang w:val="it-IT"/>
              </w:rPr>
              <w:t>nepromijenjeni</w:t>
            </w:r>
            <w:proofErr w:type="spellEnd"/>
            <w:r w:rsidRPr="006E59DC">
              <w:rPr>
                <w:rFonts w:ascii="Cambria" w:eastAsia="Times New Roman" w:hAnsi="Cambria" w:cs="Calibri"/>
                <w:lang w:val="it-IT"/>
              </w:rPr>
              <w:t>.</w:t>
            </w:r>
          </w:p>
        </w:tc>
      </w:tr>
      <w:tr w:rsidR="001C42AA" w:rsidRPr="00DF4CE5" w14:paraId="7D0E8CFF" w14:textId="77777777" w:rsidTr="00A31664">
        <w:trPr>
          <w:trHeight w:val="770"/>
        </w:trPr>
        <w:tc>
          <w:tcPr>
            <w:tcW w:w="261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3DE76A3" w14:textId="77777777" w:rsidR="001C42AA" w:rsidRPr="00DF4CE5" w:rsidRDefault="001C42AA" w:rsidP="001C42AA">
            <w:pPr>
              <w:spacing w:after="0" w:line="240" w:lineRule="auto"/>
              <w:rPr>
                <w:rFonts w:ascii="Cambria" w:eastAsia="Times New Roman" w:hAnsi="Cambria" w:cs="Calibri"/>
              </w:rPr>
            </w:pPr>
            <w:proofErr w:type="spellStart"/>
            <w:r w:rsidRPr="00DF4CE5">
              <w:rPr>
                <w:rFonts w:ascii="Cambria" w:eastAsia="Times New Roman" w:hAnsi="Cambria" w:cs="Calibri"/>
              </w:rPr>
              <w:t>Literatura</w:t>
            </w:r>
            <w:proofErr w:type="spellEnd"/>
          </w:p>
        </w:tc>
        <w:tc>
          <w:tcPr>
            <w:tcW w:w="6723"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187A34CB" w14:textId="77777777" w:rsidR="001C42AA" w:rsidRPr="00DF4CE5" w:rsidRDefault="001C42AA" w:rsidP="001C42AA">
            <w:pPr>
              <w:spacing w:after="0" w:line="240" w:lineRule="auto"/>
              <w:rPr>
                <w:rFonts w:ascii="Cambria" w:eastAsia="Times New Roman" w:hAnsi="Cambria" w:cs="Calibri"/>
              </w:rPr>
            </w:pPr>
            <w:proofErr w:type="spellStart"/>
            <w:r w:rsidRPr="00DF4CE5">
              <w:rPr>
                <w:rFonts w:ascii="Cambria" w:eastAsia="Times New Roman" w:hAnsi="Cambria" w:cs="Calibri"/>
              </w:rPr>
              <w:t>Obvezna</w:t>
            </w:r>
            <w:proofErr w:type="spellEnd"/>
            <w:r w:rsidRPr="00DF4CE5">
              <w:rPr>
                <w:rFonts w:ascii="Cambria" w:eastAsia="Times New Roman" w:hAnsi="Cambria" w:cs="Calibri"/>
              </w:rPr>
              <w:t xml:space="preserve">: </w:t>
            </w:r>
          </w:p>
          <w:p w14:paraId="2348009A" w14:textId="77777777" w:rsidR="001C42AA" w:rsidRPr="00DF4CE5" w:rsidRDefault="001C42AA" w:rsidP="001C42AA">
            <w:pPr>
              <w:spacing w:after="0" w:line="240" w:lineRule="auto"/>
              <w:rPr>
                <w:rFonts w:ascii="Cambria" w:eastAsia="Times New Roman" w:hAnsi="Cambria" w:cs="Calibri"/>
                <w:lang w:val="it-IT"/>
              </w:rPr>
            </w:pPr>
            <w:r w:rsidRPr="00DF4CE5">
              <w:rPr>
                <w:rFonts w:ascii="Cambria" w:eastAsia="Times New Roman" w:hAnsi="Cambria" w:cs="Calibri"/>
              </w:rPr>
              <w:t>1. Perak-</w:t>
            </w:r>
            <w:proofErr w:type="spellStart"/>
            <w:r w:rsidRPr="00DF4CE5">
              <w:rPr>
                <w:rFonts w:ascii="Cambria" w:eastAsia="Times New Roman" w:hAnsi="Cambria" w:cs="Calibri"/>
              </w:rPr>
              <w:t>Lovričević</w:t>
            </w:r>
            <w:proofErr w:type="spellEnd"/>
            <w:r w:rsidRPr="00DF4CE5">
              <w:rPr>
                <w:rFonts w:ascii="Cambria" w:eastAsia="Times New Roman" w:hAnsi="Cambria" w:cs="Calibri"/>
              </w:rPr>
              <w:t xml:space="preserve">, N., Ščedrov, </w:t>
            </w:r>
            <w:proofErr w:type="spellStart"/>
            <w:r w:rsidRPr="00DF4CE5">
              <w:rPr>
                <w:rFonts w:ascii="Cambria" w:eastAsia="Times New Roman" w:hAnsi="Cambria" w:cs="Calibri"/>
              </w:rPr>
              <w:t>Lj</w:t>
            </w:r>
            <w:proofErr w:type="spellEnd"/>
            <w:r w:rsidRPr="00DF4CE5">
              <w:rPr>
                <w:rFonts w:ascii="Cambria" w:eastAsia="Times New Roman" w:hAnsi="Cambria" w:cs="Calibri"/>
              </w:rPr>
              <w:t xml:space="preserve">. </w:t>
            </w:r>
            <w:r w:rsidRPr="00DF4CE5">
              <w:rPr>
                <w:rFonts w:ascii="Cambria" w:eastAsia="Times New Roman" w:hAnsi="Cambria" w:cs="Calibri"/>
                <w:lang w:val="it-IT"/>
              </w:rPr>
              <w:t xml:space="preserve">(2008). </w:t>
            </w:r>
            <w:proofErr w:type="spellStart"/>
            <w:r w:rsidRPr="00DF4CE5">
              <w:rPr>
                <w:rFonts w:ascii="Cambria" w:eastAsia="Times New Roman" w:hAnsi="Cambria" w:cs="Calibri"/>
                <w:lang w:val="it-IT"/>
              </w:rPr>
              <w:t>Glazbeni</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susreti</w:t>
            </w:r>
            <w:proofErr w:type="spellEnd"/>
            <w:r w:rsidRPr="00DF4CE5">
              <w:rPr>
                <w:rFonts w:ascii="Cambria" w:eastAsia="Times New Roman" w:hAnsi="Cambria" w:cs="Calibri"/>
                <w:lang w:val="it-IT"/>
              </w:rPr>
              <w:t xml:space="preserve"> 1., </w:t>
            </w:r>
            <w:proofErr w:type="spellStart"/>
            <w:r w:rsidRPr="00DF4CE5">
              <w:rPr>
                <w:rFonts w:ascii="Cambria" w:eastAsia="Times New Roman" w:hAnsi="Cambria" w:cs="Calibri"/>
                <w:lang w:val="it-IT"/>
              </w:rPr>
              <w:t>Glazbeni</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susreti</w:t>
            </w:r>
            <w:proofErr w:type="spellEnd"/>
            <w:r w:rsidRPr="00DF4CE5">
              <w:rPr>
                <w:rFonts w:ascii="Cambria" w:eastAsia="Times New Roman" w:hAnsi="Cambria" w:cs="Calibri"/>
                <w:lang w:val="it-IT"/>
              </w:rPr>
              <w:t xml:space="preserve"> 2., </w:t>
            </w:r>
            <w:proofErr w:type="spellStart"/>
            <w:r w:rsidRPr="00DF4CE5">
              <w:rPr>
                <w:rFonts w:ascii="Cambria" w:eastAsia="Times New Roman" w:hAnsi="Cambria" w:cs="Calibri"/>
                <w:lang w:val="it-IT"/>
              </w:rPr>
              <w:t>Glazbeni</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susreti</w:t>
            </w:r>
            <w:proofErr w:type="spellEnd"/>
            <w:r w:rsidRPr="00DF4CE5">
              <w:rPr>
                <w:rFonts w:ascii="Cambria" w:eastAsia="Times New Roman" w:hAnsi="Cambria" w:cs="Calibri"/>
                <w:lang w:val="it-IT"/>
              </w:rPr>
              <w:t xml:space="preserve"> 3., </w:t>
            </w:r>
            <w:proofErr w:type="spellStart"/>
            <w:r w:rsidRPr="00DF4CE5">
              <w:rPr>
                <w:rFonts w:ascii="Cambria" w:eastAsia="Times New Roman" w:hAnsi="Cambria" w:cs="Calibri"/>
                <w:lang w:val="it-IT"/>
              </w:rPr>
              <w:t>Glazbeni</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susreti</w:t>
            </w:r>
            <w:proofErr w:type="spellEnd"/>
            <w:r w:rsidRPr="00DF4CE5">
              <w:rPr>
                <w:rFonts w:ascii="Cambria" w:eastAsia="Times New Roman" w:hAnsi="Cambria" w:cs="Calibri"/>
                <w:lang w:val="it-IT"/>
              </w:rPr>
              <w:t xml:space="preserve"> 4. </w:t>
            </w:r>
            <w:proofErr w:type="spellStart"/>
            <w:r w:rsidRPr="00DF4CE5">
              <w:rPr>
                <w:rFonts w:ascii="Cambria" w:eastAsia="Times New Roman" w:hAnsi="Cambria" w:cs="Calibri"/>
                <w:lang w:val="it-IT"/>
              </w:rPr>
              <w:t>vrste</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Zagreb</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Profil</w:t>
            </w:r>
            <w:proofErr w:type="spellEnd"/>
            <w:r w:rsidRPr="00DF4CE5">
              <w:rPr>
                <w:rFonts w:ascii="Cambria" w:eastAsia="Times New Roman" w:hAnsi="Cambria" w:cs="Calibri"/>
                <w:lang w:val="it-IT"/>
              </w:rPr>
              <w:t xml:space="preserve"> International. (</w:t>
            </w:r>
            <w:proofErr w:type="spellStart"/>
            <w:r w:rsidRPr="00DF4CE5">
              <w:rPr>
                <w:rFonts w:ascii="Cambria" w:eastAsia="Times New Roman" w:hAnsi="Cambria" w:cs="Calibri"/>
                <w:lang w:val="it-IT"/>
              </w:rPr>
              <w:t>udžbenici</w:t>
            </w:r>
            <w:proofErr w:type="spellEnd"/>
            <w:r w:rsidRPr="00DF4CE5">
              <w:rPr>
                <w:rFonts w:ascii="Cambria" w:eastAsia="Times New Roman" w:hAnsi="Cambria" w:cs="Calibri"/>
                <w:lang w:val="it-IT"/>
              </w:rPr>
              <w:t xml:space="preserve"> i CD)</w:t>
            </w:r>
          </w:p>
          <w:p w14:paraId="1C4BD7E8" w14:textId="77777777" w:rsidR="001C42AA" w:rsidRPr="00DF4CE5" w:rsidRDefault="001C42AA" w:rsidP="001C42AA">
            <w:pPr>
              <w:spacing w:after="0" w:line="240" w:lineRule="auto"/>
              <w:rPr>
                <w:rFonts w:ascii="Cambria" w:eastAsia="Times New Roman" w:hAnsi="Cambria" w:cs="Calibri"/>
                <w:lang w:val="it-IT"/>
              </w:rPr>
            </w:pPr>
            <w:r w:rsidRPr="00DF4CE5">
              <w:rPr>
                <w:rFonts w:ascii="Cambria" w:eastAsia="Times New Roman" w:hAnsi="Cambria" w:cs="Calibri"/>
                <w:lang w:val="it-IT"/>
              </w:rPr>
              <w:lastRenderedPageBreak/>
              <w:t xml:space="preserve">2. Gortan-Carlin, I., Pace, A., </w:t>
            </w:r>
            <w:proofErr w:type="spellStart"/>
            <w:r w:rsidRPr="00DF4CE5">
              <w:rPr>
                <w:rFonts w:ascii="Cambria" w:eastAsia="Times New Roman" w:hAnsi="Cambria" w:cs="Calibri"/>
                <w:lang w:val="it-IT"/>
              </w:rPr>
              <w:t>Denac</w:t>
            </w:r>
            <w:proofErr w:type="spellEnd"/>
            <w:r w:rsidRPr="00DF4CE5">
              <w:rPr>
                <w:rFonts w:ascii="Cambria" w:eastAsia="Times New Roman" w:hAnsi="Cambria" w:cs="Calibri"/>
                <w:lang w:val="it-IT"/>
              </w:rPr>
              <w:t xml:space="preserve">, O. (2014). </w:t>
            </w:r>
            <w:proofErr w:type="spellStart"/>
            <w:r w:rsidRPr="00DF4CE5">
              <w:rPr>
                <w:rFonts w:ascii="Cambria" w:eastAsia="Times New Roman" w:hAnsi="Cambria" w:cs="Calibri"/>
                <w:iCs/>
                <w:lang w:val="it-IT"/>
              </w:rPr>
              <w:t>Glazba</w:t>
            </w:r>
            <w:proofErr w:type="spellEnd"/>
            <w:r w:rsidRPr="00DF4CE5">
              <w:rPr>
                <w:rFonts w:ascii="Cambria" w:eastAsia="Times New Roman" w:hAnsi="Cambria" w:cs="Calibri"/>
                <w:iCs/>
                <w:lang w:val="it-IT"/>
              </w:rPr>
              <w:t xml:space="preserve"> i </w:t>
            </w:r>
            <w:proofErr w:type="spellStart"/>
            <w:r w:rsidRPr="00DF4CE5">
              <w:rPr>
                <w:rFonts w:ascii="Cambria" w:eastAsia="Times New Roman" w:hAnsi="Cambria" w:cs="Calibri"/>
                <w:iCs/>
                <w:lang w:val="it-IT"/>
              </w:rPr>
              <w:t>Tradicija</w:t>
            </w:r>
            <w:proofErr w:type="spellEnd"/>
            <w:r w:rsidRPr="00DF4CE5">
              <w:rPr>
                <w:rFonts w:ascii="Cambria" w:eastAsia="Times New Roman" w:hAnsi="Cambria" w:cs="Calibri"/>
                <w:iCs/>
                <w:lang w:val="it-IT"/>
              </w:rPr>
              <w:t xml:space="preserve">: </w:t>
            </w:r>
            <w:proofErr w:type="spellStart"/>
            <w:r w:rsidRPr="00DF4CE5">
              <w:rPr>
                <w:rFonts w:ascii="Cambria" w:eastAsia="Times New Roman" w:hAnsi="Cambria" w:cs="Calibri"/>
                <w:iCs/>
                <w:lang w:val="it-IT"/>
              </w:rPr>
              <w:t>Izabrani</w:t>
            </w:r>
            <w:proofErr w:type="spellEnd"/>
            <w:r w:rsidRPr="00DF4CE5">
              <w:rPr>
                <w:rFonts w:ascii="Cambria" w:eastAsia="Times New Roman" w:hAnsi="Cambria" w:cs="Calibri"/>
                <w:iCs/>
                <w:lang w:val="it-IT"/>
              </w:rPr>
              <w:t xml:space="preserve"> </w:t>
            </w:r>
            <w:proofErr w:type="spellStart"/>
            <w:r w:rsidRPr="00DF4CE5">
              <w:rPr>
                <w:rFonts w:ascii="Cambria" w:eastAsia="Times New Roman" w:hAnsi="Cambria" w:cs="Calibri"/>
                <w:iCs/>
                <w:lang w:val="it-IT"/>
              </w:rPr>
              <w:t>izričaji</w:t>
            </w:r>
            <w:proofErr w:type="spellEnd"/>
            <w:r w:rsidRPr="00DF4CE5">
              <w:rPr>
                <w:rFonts w:ascii="Cambria" w:eastAsia="Times New Roman" w:hAnsi="Cambria" w:cs="Calibri"/>
                <w:iCs/>
                <w:lang w:val="it-IT"/>
              </w:rPr>
              <w:t xml:space="preserve"> u </w:t>
            </w:r>
            <w:proofErr w:type="spellStart"/>
            <w:r w:rsidRPr="00DF4CE5">
              <w:rPr>
                <w:rFonts w:ascii="Cambria" w:eastAsia="Times New Roman" w:hAnsi="Cambria" w:cs="Calibri"/>
                <w:iCs/>
                <w:lang w:val="it-IT"/>
              </w:rPr>
              <w:t>regiji</w:t>
            </w:r>
            <w:proofErr w:type="spellEnd"/>
            <w:r w:rsidRPr="00DF4CE5">
              <w:rPr>
                <w:rFonts w:ascii="Cambria" w:eastAsia="Times New Roman" w:hAnsi="Cambria" w:cs="Calibri"/>
                <w:iCs/>
                <w:lang w:val="it-IT"/>
              </w:rPr>
              <w:t xml:space="preserve"> Alpe-Adria</w:t>
            </w:r>
            <w:r w:rsidRPr="00DF4CE5">
              <w:rPr>
                <w:rFonts w:ascii="Cambria" w:eastAsia="Times New Roman" w:hAnsi="Cambria" w:cs="Calibri"/>
                <w:lang w:val="it-IT"/>
              </w:rPr>
              <w:t xml:space="preserve">. Pula: </w:t>
            </w:r>
            <w:proofErr w:type="spellStart"/>
            <w:r w:rsidRPr="00DF4CE5">
              <w:rPr>
                <w:rFonts w:ascii="Cambria" w:eastAsia="Times New Roman" w:hAnsi="Cambria" w:cs="Calibri"/>
                <w:lang w:val="it-IT"/>
              </w:rPr>
              <w:t>Sveučilište</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Jurja</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Dobrile</w:t>
            </w:r>
            <w:proofErr w:type="spellEnd"/>
            <w:r w:rsidRPr="00DF4CE5">
              <w:rPr>
                <w:rFonts w:ascii="Cambria" w:eastAsia="Times New Roman" w:hAnsi="Cambria" w:cs="Calibri"/>
                <w:lang w:val="it-IT"/>
              </w:rPr>
              <w:t xml:space="preserve"> u </w:t>
            </w:r>
            <w:proofErr w:type="spellStart"/>
            <w:r w:rsidRPr="00DF4CE5">
              <w:rPr>
                <w:rFonts w:ascii="Cambria" w:eastAsia="Times New Roman" w:hAnsi="Cambria" w:cs="Calibri"/>
                <w:lang w:val="it-IT"/>
              </w:rPr>
              <w:t>Puli</w:t>
            </w:r>
            <w:proofErr w:type="spellEnd"/>
            <w:r w:rsidRPr="00DF4CE5">
              <w:rPr>
                <w:rFonts w:ascii="Cambria" w:eastAsia="Times New Roman" w:hAnsi="Cambria" w:cs="Calibri"/>
                <w:lang w:val="it-IT"/>
              </w:rPr>
              <w:t>. (51-123)</w:t>
            </w:r>
          </w:p>
          <w:p w14:paraId="24A6AF75" w14:textId="77777777" w:rsidR="001C42AA" w:rsidRPr="00DF4CE5" w:rsidRDefault="001C42AA" w:rsidP="001C42AA">
            <w:pPr>
              <w:spacing w:after="0" w:line="240" w:lineRule="auto"/>
              <w:rPr>
                <w:rFonts w:ascii="Cambria" w:eastAsia="Times New Roman" w:hAnsi="Cambria" w:cs="Calibri"/>
                <w:lang w:val="it-IT"/>
              </w:rPr>
            </w:pPr>
            <w:proofErr w:type="spellStart"/>
            <w:r w:rsidRPr="00DF4CE5">
              <w:rPr>
                <w:rFonts w:ascii="Cambria" w:eastAsia="Times New Roman" w:hAnsi="Cambria" w:cs="Calibri"/>
                <w:lang w:val="it-IT"/>
              </w:rPr>
              <w:t>Izborna</w:t>
            </w:r>
            <w:proofErr w:type="spellEnd"/>
            <w:r w:rsidRPr="00DF4CE5">
              <w:rPr>
                <w:rFonts w:ascii="Cambria" w:eastAsia="Times New Roman" w:hAnsi="Cambria" w:cs="Calibri"/>
                <w:lang w:val="it-IT"/>
              </w:rPr>
              <w:t>:</w:t>
            </w:r>
          </w:p>
          <w:p w14:paraId="29A5DC9E" w14:textId="77777777" w:rsidR="001C42AA" w:rsidRPr="00DF4CE5" w:rsidRDefault="001C42AA" w:rsidP="001C42AA">
            <w:pPr>
              <w:spacing w:after="0" w:line="240" w:lineRule="auto"/>
              <w:rPr>
                <w:rFonts w:ascii="Cambria" w:eastAsia="Times New Roman" w:hAnsi="Cambria" w:cs="Calibri"/>
              </w:rPr>
            </w:pPr>
            <w:r w:rsidRPr="00DF4CE5">
              <w:rPr>
                <w:rFonts w:ascii="Cambria" w:eastAsia="Times New Roman" w:hAnsi="Cambria" w:cs="Calibri"/>
                <w:lang w:val="it-IT"/>
              </w:rPr>
              <w:t xml:space="preserve">1. Andreis, J. (1975). </w:t>
            </w:r>
            <w:proofErr w:type="spellStart"/>
            <w:r w:rsidRPr="00DF4CE5">
              <w:rPr>
                <w:rFonts w:ascii="Cambria" w:eastAsia="Times New Roman" w:hAnsi="Cambria" w:cs="Calibri"/>
                <w:lang w:val="it-IT"/>
              </w:rPr>
              <w:t>Povijest</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glazbe</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knjiga</w:t>
            </w:r>
            <w:proofErr w:type="spellEnd"/>
            <w:r w:rsidRPr="00DF4CE5">
              <w:rPr>
                <w:rFonts w:ascii="Cambria" w:eastAsia="Times New Roman" w:hAnsi="Cambria" w:cs="Calibri"/>
                <w:lang w:val="it-IT"/>
              </w:rPr>
              <w:t xml:space="preserve"> I. – III. </w:t>
            </w:r>
            <w:r w:rsidRPr="00DF4CE5">
              <w:rPr>
                <w:rFonts w:ascii="Cambria" w:eastAsia="Times New Roman" w:hAnsi="Cambria" w:cs="Calibri"/>
              </w:rPr>
              <w:t>Zagreb: Liber – Mladost.</w:t>
            </w:r>
          </w:p>
          <w:p w14:paraId="5B0D6D51" w14:textId="77777777" w:rsidR="001C42AA" w:rsidRPr="00DF4CE5" w:rsidRDefault="001C42AA" w:rsidP="001C42AA">
            <w:pPr>
              <w:spacing w:after="0" w:line="240" w:lineRule="auto"/>
              <w:rPr>
                <w:rFonts w:ascii="Cambria" w:eastAsia="Times New Roman" w:hAnsi="Cambria" w:cs="Calibri"/>
              </w:rPr>
            </w:pPr>
            <w:r w:rsidRPr="00DF4CE5">
              <w:rPr>
                <w:rFonts w:ascii="Cambria" w:eastAsia="Times New Roman" w:hAnsi="Cambria" w:cs="Calibri"/>
              </w:rPr>
              <w:t xml:space="preserve">2. Andreis, J. (1974). </w:t>
            </w:r>
            <w:proofErr w:type="spellStart"/>
            <w:r w:rsidRPr="00DF4CE5">
              <w:rPr>
                <w:rFonts w:ascii="Cambria" w:eastAsia="Times New Roman" w:hAnsi="Cambria" w:cs="Calibri"/>
              </w:rPr>
              <w:t>Povijest</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glazbe</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Povijest</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hrvatske</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glazbe</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knjiga</w:t>
            </w:r>
            <w:proofErr w:type="spellEnd"/>
            <w:r w:rsidRPr="00DF4CE5">
              <w:rPr>
                <w:rFonts w:ascii="Cambria" w:eastAsia="Times New Roman" w:hAnsi="Cambria" w:cs="Calibri"/>
              </w:rPr>
              <w:t xml:space="preserve"> IV. Zagreb: Liber – Mladost.</w:t>
            </w:r>
          </w:p>
          <w:p w14:paraId="2D27A70D" w14:textId="77777777" w:rsidR="001C42AA" w:rsidRPr="00DF4CE5" w:rsidRDefault="001C42AA" w:rsidP="001C42AA">
            <w:pPr>
              <w:spacing w:after="0" w:line="240" w:lineRule="auto"/>
              <w:rPr>
                <w:rFonts w:ascii="Cambria" w:eastAsia="Times New Roman" w:hAnsi="Cambria" w:cs="Calibri"/>
              </w:rPr>
            </w:pPr>
            <w:r w:rsidRPr="00DF4CE5">
              <w:rPr>
                <w:rFonts w:ascii="Cambria" w:eastAsia="Times New Roman" w:hAnsi="Cambria" w:cs="Calibri"/>
              </w:rPr>
              <w:t xml:space="preserve">3. Majer-Bobetko, S. (1991). </w:t>
            </w:r>
            <w:proofErr w:type="spellStart"/>
            <w:r w:rsidRPr="00DF4CE5">
              <w:rPr>
                <w:rFonts w:ascii="Cambria" w:eastAsia="Times New Roman" w:hAnsi="Cambria" w:cs="Calibri"/>
              </w:rPr>
              <w:t>Osnove</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glazbene</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kulture</w:t>
            </w:r>
            <w:proofErr w:type="spellEnd"/>
            <w:r w:rsidRPr="00DF4CE5">
              <w:rPr>
                <w:rFonts w:ascii="Cambria" w:eastAsia="Times New Roman" w:hAnsi="Cambria" w:cs="Calibri"/>
              </w:rPr>
              <w:t xml:space="preserve">. Zagreb: </w:t>
            </w:r>
            <w:proofErr w:type="spellStart"/>
            <w:r w:rsidRPr="00DF4CE5">
              <w:rPr>
                <w:rFonts w:ascii="Cambria" w:eastAsia="Times New Roman" w:hAnsi="Cambria" w:cs="Calibri"/>
              </w:rPr>
              <w:t>Školska</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knjiga</w:t>
            </w:r>
            <w:proofErr w:type="spellEnd"/>
            <w:r w:rsidRPr="00DF4CE5">
              <w:rPr>
                <w:rFonts w:ascii="Cambria" w:eastAsia="Times New Roman" w:hAnsi="Cambria" w:cs="Calibri"/>
              </w:rPr>
              <w:t>.</w:t>
            </w:r>
          </w:p>
          <w:p w14:paraId="65406367" w14:textId="77777777" w:rsidR="001C42AA" w:rsidRPr="00DF4CE5" w:rsidRDefault="001C42AA" w:rsidP="001C42AA">
            <w:pPr>
              <w:spacing w:after="0" w:line="240" w:lineRule="auto"/>
              <w:rPr>
                <w:rFonts w:ascii="Cambria" w:eastAsia="Times New Roman" w:hAnsi="Cambria" w:cs="Calibri"/>
              </w:rPr>
            </w:pPr>
            <w:r w:rsidRPr="00DF4CE5">
              <w:rPr>
                <w:rFonts w:ascii="Cambria" w:eastAsia="Times New Roman" w:hAnsi="Cambria" w:cs="Calibri"/>
              </w:rPr>
              <w:t xml:space="preserve">4. Michels, U. (2004). Atlas </w:t>
            </w:r>
            <w:proofErr w:type="spellStart"/>
            <w:r w:rsidRPr="00DF4CE5">
              <w:rPr>
                <w:rFonts w:ascii="Cambria" w:eastAsia="Times New Roman" w:hAnsi="Cambria" w:cs="Calibri"/>
              </w:rPr>
              <w:t>glazbe</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svezak</w:t>
            </w:r>
            <w:proofErr w:type="spellEnd"/>
            <w:r w:rsidRPr="00DF4CE5">
              <w:rPr>
                <w:rFonts w:ascii="Cambria" w:eastAsia="Times New Roman" w:hAnsi="Cambria" w:cs="Calibri"/>
              </w:rPr>
              <w:t xml:space="preserve"> 1: </w:t>
            </w:r>
            <w:proofErr w:type="spellStart"/>
            <w:r w:rsidRPr="00DF4CE5">
              <w:rPr>
                <w:rFonts w:ascii="Cambria" w:eastAsia="Times New Roman" w:hAnsi="Cambria" w:cs="Calibri"/>
              </w:rPr>
              <w:t>sistematski</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dio</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i</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povijest</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glazbe</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od</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početaka</w:t>
            </w:r>
            <w:proofErr w:type="spellEnd"/>
            <w:r w:rsidRPr="00DF4CE5">
              <w:rPr>
                <w:rFonts w:ascii="Cambria" w:eastAsia="Times New Roman" w:hAnsi="Cambria" w:cs="Calibri"/>
              </w:rPr>
              <w:t xml:space="preserve"> do </w:t>
            </w:r>
            <w:proofErr w:type="spellStart"/>
            <w:r w:rsidRPr="00DF4CE5">
              <w:rPr>
                <w:rFonts w:ascii="Cambria" w:eastAsia="Times New Roman" w:hAnsi="Cambria" w:cs="Calibri"/>
              </w:rPr>
              <w:t>renesanse</w:t>
            </w:r>
            <w:proofErr w:type="spellEnd"/>
            <w:r w:rsidRPr="00DF4CE5">
              <w:rPr>
                <w:rFonts w:ascii="Cambria" w:eastAsia="Times New Roman" w:hAnsi="Cambria" w:cs="Calibri"/>
              </w:rPr>
              <w:t>. Zagreb: Golden marketing-</w:t>
            </w:r>
            <w:proofErr w:type="spellStart"/>
            <w:r w:rsidRPr="00DF4CE5">
              <w:rPr>
                <w:rFonts w:ascii="Cambria" w:eastAsia="Times New Roman" w:hAnsi="Cambria" w:cs="Calibri"/>
              </w:rPr>
              <w:t>Tehnička</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knjiga</w:t>
            </w:r>
            <w:proofErr w:type="spellEnd"/>
            <w:r w:rsidRPr="00DF4CE5">
              <w:rPr>
                <w:rFonts w:ascii="Cambria" w:eastAsia="Times New Roman" w:hAnsi="Cambria" w:cs="Calibri"/>
              </w:rPr>
              <w:t>.</w:t>
            </w:r>
          </w:p>
          <w:p w14:paraId="723263C5" w14:textId="77777777" w:rsidR="001C42AA" w:rsidRPr="00DF4CE5" w:rsidRDefault="001C42AA" w:rsidP="001C42AA">
            <w:pPr>
              <w:spacing w:after="0" w:line="240" w:lineRule="auto"/>
              <w:rPr>
                <w:rFonts w:ascii="Cambria" w:eastAsia="Times New Roman" w:hAnsi="Cambria" w:cs="Calibri"/>
              </w:rPr>
            </w:pPr>
            <w:r w:rsidRPr="00DF4CE5">
              <w:rPr>
                <w:rFonts w:ascii="Cambria" w:eastAsia="Times New Roman" w:hAnsi="Cambria" w:cs="Calibri"/>
              </w:rPr>
              <w:t xml:space="preserve">5. Michels, U. (2006). Atlas </w:t>
            </w:r>
            <w:proofErr w:type="spellStart"/>
            <w:r w:rsidRPr="00DF4CE5">
              <w:rPr>
                <w:rFonts w:ascii="Cambria" w:eastAsia="Times New Roman" w:hAnsi="Cambria" w:cs="Calibri"/>
              </w:rPr>
              <w:t>glazbe</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svezak</w:t>
            </w:r>
            <w:proofErr w:type="spellEnd"/>
            <w:r w:rsidRPr="00DF4CE5">
              <w:rPr>
                <w:rFonts w:ascii="Cambria" w:eastAsia="Times New Roman" w:hAnsi="Cambria" w:cs="Calibri"/>
              </w:rPr>
              <w:t xml:space="preserve"> 2: </w:t>
            </w:r>
            <w:proofErr w:type="spellStart"/>
            <w:r w:rsidRPr="00DF4CE5">
              <w:rPr>
                <w:rFonts w:ascii="Cambria" w:eastAsia="Times New Roman" w:hAnsi="Cambria" w:cs="Calibri"/>
              </w:rPr>
              <w:t>povijest</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glazbe</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od</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baroka</w:t>
            </w:r>
            <w:proofErr w:type="spellEnd"/>
            <w:r w:rsidRPr="00DF4CE5">
              <w:rPr>
                <w:rFonts w:ascii="Cambria" w:eastAsia="Times New Roman" w:hAnsi="Cambria" w:cs="Calibri"/>
              </w:rPr>
              <w:t xml:space="preserve"> do </w:t>
            </w:r>
            <w:proofErr w:type="spellStart"/>
            <w:r w:rsidRPr="00DF4CE5">
              <w:rPr>
                <w:rFonts w:ascii="Cambria" w:eastAsia="Times New Roman" w:hAnsi="Cambria" w:cs="Calibri"/>
              </w:rPr>
              <w:t>danas</w:t>
            </w:r>
            <w:proofErr w:type="spellEnd"/>
            <w:r w:rsidRPr="00DF4CE5">
              <w:rPr>
                <w:rFonts w:ascii="Cambria" w:eastAsia="Times New Roman" w:hAnsi="Cambria" w:cs="Calibri"/>
              </w:rPr>
              <w:t>. Zagreb: Golden marketing-</w:t>
            </w:r>
            <w:proofErr w:type="spellStart"/>
            <w:r w:rsidRPr="00DF4CE5">
              <w:rPr>
                <w:rFonts w:ascii="Cambria" w:eastAsia="Times New Roman" w:hAnsi="Cambria" w:cs="Calibri"/>
              </w:rPr>
              <w:t>Tehnička</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knjiga</w:t>
            </w:r>
            <w:proofErr w:type="spellEnd"/>
            <w:r w:rsidRPr="00DF4CE5">
              <w:rPr>
                <w:rFonts w:ascii="Cambria" w:eastAsia="Times New Roman" w:hAnsi="Cambria" w:cs="Calibri"/>
              </w:rPr>
              <w:t>.</w:t>
            </w:r>
          </w:p>
          <w:p w14:paraId="0257CADF" w14:textId="3A983E0D" w:rsidR="001C42AA" w:rsidRPr="006E59DC" w:rsidRDefault="001C42AA" w:rsidP="001C42AA">
            <w:pPr>
              <w:spacing w:after="0" w:line="240" w:lineRule="auto"/>
              <w:rPr>
                <w:rFonts w:ascii="Cambria" w:eastAsia="Times New Roman" w:hAnsi="Cambria" w:cs="Times New Roman"/>
              </w:rPr>
            </w:pPr>
            <w:r w:rsidRPr="00DF4CE5">
              <w:rPr>
                <w:rFonts w:ascii="Cambria" w:eastAsia="Times New Roman" w:hAnsi="Cambria" w:cs="Calibri"/>
              </w:rPr>
              <w:t xml:space="preserve">6. </w:t>
            </w:r>
            <w:r w:rsidRPr="00DF4CE5">
              <w:rPr>
                <w:rFonts w:ascii="Cambria" w:eastAsia="Times New Roman" w:hAnsi="Cambria" w:cs="Times New Roman"/>
              </w:rPr>
              <w:t xml:space="preserve">Vitez, Z. </w:t>
            </w:r>
            <w:proofErr w:type="spellStart"/>
            <w:r w:rsidRPr="00DF4CE5">
              <w:rPr>
                <w:rFonts w:ascii="Cambria" w:eastAsia="Times New Roman" w:hAnsi="Cambria" w:cs="Times New Roman"/>
              </w:rPr>
              <w:t>i</w:t>
            </w:r>
            <w:proofErr w:type="spellEnd"/>
            <w:r w:rsidRPr="00DF4CE5">
              <w:rPr>
                <w:rFonts w:ascii="Cambria" w:eastAsia="Times New Roman" w:hAnsi="Cambria" w:cs="Times New Roman"/>
              </w:rPr>
              <w:t xml:space="preserve"> Muraj, A. (</w:t>
            </w:r>
            <w:proofErr w:type="spellStart"/>
            <w:r w:rsidRPr="00DF4CE5">
              <w:rPr>
                <w:rFonts w:ascii="Cambria" w:eastAsia="Times New Roman" w:hAnsi="Cambria" w:cs="Times New Roman"/>
              </w:rPr>
              <w:t>ur</w:t>
            </w:r>
            <w:proofErr w:type="spellEnd"/>
            <w:r w:rsidRPr="00DF4CE5">
              <w:rPr>
                <w:rFonts w:ascii="Cambria" w:eastAsia="Times New Roman" w:hAnsi="Cambria" w:cs="Times New Roman"/>
              </w:rPr>
              <w:t xml:space="preserve">.) (2001). Hrvatska </w:t>
            </w:r>
            <w:proofErr w:type="spellStart"/>
            <w:r w:rsidRPr="00DF4CE5">
              <w:rPr>
                <w:rFonts w:ascii="Cambria" w:eastAsia="Times New Roman" w:hAnsi="Cambria" w:cs="Times New Roman"/>
              </w:rPr>
              <w:t>tradicijska</w:t>
            </w:r>
            <w:proofErr w:type="spellEnd"/>
            <w:r w:rsidRPr="00DF4CE5">
              <w:rPr>
                <w:rFonts w:ascii="Cambria" w:eastAsia="Times New Roman" w:hAnsi="Cambria" w:cs="Times New Roman"/>
              </w:rPr>
              <w:t xml:space="preserve"> </w:t>
            </w:r>
            <w:proofErr w:type="spellStart"/>
            <w:r w:rsidRPr="00DF4CE5">
              <w:rPr>
                <w:rFonts w:ascii="Cambria" w:eastAsia="Times New Roman" w:hAnsi="Cambria" w:cs="Times New Roman"/>
              </w:rPr>
              <w:t>kultura</w:t>
            </w:r>
            <w:proofErr w:type="spellEnd"/>
            <w:r w:rsidRPr="00DF4CE5">
              <w:rPr>
                <w:rFonts w:ascii="Cambria" w:eastAsia="Times New Roman" w:hAnsi="Cambria" w:cs="Times New Roman"/>
              </w:rPr>
              <w:t xml:space="preserve"> </w:t>
            </w:r>
            <w:proofErr w:type="spellStart"/>
            <w:r w:rsidRPr="00DF4CE5">
              <w:rPr>
                <w:rFonts w:ascii="Cambria" w:eastAsia="Times New Roman" w:hAnsi="Cambria" w:cs="Times New Roman"/>
              </w:rPr>
              <w:t>na</w:t>
            </w:r>
            <w:proofErr w:type="spellEnd"/>
            <w:r w:rsidRPr="00DF4CE5">
              <w:rPr>
                <w:rFonts w:ascii="Cambria" w:eastAsia="Times New Roman" w:hAnsi="Cambria" w:cs="Times New Roman"/>
              </w:rPr>
              <w:t xml:space="preserve"> </w:t>
            </w:r>
            <w:proofErr w:type="spellStart"/>
            <w:r w:rsidRPr="00DF4CE5">
              <w:rPr>
                <w:rFonts w:ascii="Cambria" w:eastAsia="Times New Roman" w:hAnsi="Cambria" w:cs="Times New Roman"/>
              </w:rPr>
              <w:t>razmeđu</w:t>
            </w:r>
            <w:proofErr w:type="spellEnd"/>
            <w:r w:rsidRPr="00DF4CE5">
              <w:rPr>
                <w:rFonts w:ascii="Cambria" w:eastAsia="Times New Roman" w:hAnsi="Cambria" w:cs="Times New Roman"/>
              </w:rPr>
              <w:t xml:space="preserve"> </w:t>
            </w:r>
            <w:proofErr w:type="spellStart"/>
            <w:r w:rsidRPr="00DF4CE5">
              <w:rPr>
                <w:rFonts w:ascii="Cambria" w:eastAsia="Times New Roman" w:hAnsi="Cambria" w:cs="Times New Roman"/>
              </w:rPr>
              <w:t>svjetova</w:t>
            </w:r>
            <w:proofErr w:type="spellEnd"/>
            <w:r w:rsidRPr="00DF4CE5">
              <w:rPr>
                <w:rFonts w:ascii="Cambria" w:eastAsia="Times New Roman" w:hAnsi="Cambria" w:cs="Times New Roman"/>
              </w:rPr>
              <w:t xml:space="preserve"> </w:t>
            </w:r>
            <w:proofErr w:type="spellStart"/>
            <w:r w:rsidRPr="00DF4CE5">
              <w:rPr>
                <w:rFonts w:ascii="Cambria" w:eastAsia="Times New Roman" w:hAnsi="Cambria" w:cs="Times New Roman"/>
              </w:rPr>
              <w:t>i</w:t>
            </w:r>
            <w:proofErr w:type="spellEnd"/>
            <w:r w:rsidRPr="00DF4CE5">
              <w:rPr>
                <w:rFonts w:ascii="Cambria" w:eastAsia="Times New Roman" w:hAnsi="Cambria" w:cs="Times New Roman"/>
              </w:rPr>
              <w:t xml:space="preserve"> </w:t>
            </w:r>
            <w:proofErr w:type="spellStart"/>
            <w:r w:rsidRPr="00DF4CE5">
              <w:rPr>
                <w:rFonts w:ascii="Cambria" w:eastAsia="Times New Roman" w:hAnsi="Cambria" w:cs="Times New Roman"/>
              </w:rPr>
              <w:t>epoha</w:t>
            </w:r>
            <w:proofErr w:type="spellEnd"/>
            <w:r w:rsidRPr="00DF4CE5">
              <w:rPr>
                <w:rFonts w:ascii="Cambria" w:eastAsia="Times New Roman" w:hAnsi="Cambria" w:cs="Times New Roman"/>
              </w:rPr>
              <w:t xml:space="preserve">, Zagreb: </w:t>
            </w:r>
            <w:proofErr w:type="spellStart"/>
            <w:r w:rsidRPr="00DF4CE5">
              <w:rPr>
                <w:rFonts w:ascii="Cambria" w:eastAsia="Times New Roman" w:hAnsi="Cambria" w:cs="Times New Roman"/>
              </w:rPr>
              <w:t>Institut</w:t>
            </w:r>
            <w:proofErr w:type="spellEnd"/>
            <w:r w:rsidRPr="00DF4CE5">
              <w:rPr>
                <w:rFonts w:ascii="Cambria" w:eastAsia="Times New Roman" w:hAnsi="Cambria" w:cs="Times New Roman"/>
              </w:rPr>
              <w:t xml:space="preserve"> za </w:t>
            </w:r>
            <w:proofErr w:type="spellStart"/>
            <w:r w:rsidRPr="00DF4CE5">
              <w:rPr>
                <w:rFonts w:ascii="Cambria" w:eastAsia="Times New Roman" w:hAnsi="Cambria" w:cs="Times New Roman"/>
              </w:rPr>
              <w:t>etnologiju</w:t>
            </w:r>
            <w:proofErr w:type="spellEnd"/>
            <w:r w:rsidRPr="00DF4CE5">
              <w:rPr>
                <w:rFonts w:ascii="Cambria" w:eastAsia="Times New Roman" w:hAnsi="Cambria" w:cs="Times New Roman"/>
              </w:rPr>
              <w:t xml:space="preserve"> </w:t>
            </w:r>
            <w:proofErr w:type="spellStart"/>
            <w:r w:rsidRPr="00DF4CE5">
              <w:rPr>
                <w:rFonts w:ascii="Cambria" w:eastAsia="Times New Roman" w:hAnsi="Cambria" w:cs="Times New Roman"/>
              </w:rPr>
              <w:t>i</w:t>
            </w:r>
            <w:proofErr w:type="spellEnd"/>
            <w:r w:rsidRPr="00DF4CE5">
              <w:rPr>
                <w:rFonts w:ascii="Cambria" w:eastAsia="Times New Roman" w:hAnsi="Cambria" w:cs="Times New Roman"/>
              </w:rPr>
              <w:t xml:space="preserve"> </w:t>
            </w:r>
            <w:proofErr w:type="spellStart"/>
            <w:r w:rsidRPr="00DF4CE5">
              <w:rPr>
                <w:rFonts w:ascii="Cambria" w:eastAsia="Times New Roman" w:hAnsi="Cambria" w:cs="Times New Roman"/>
              </w:rPr>
              <w:t>folkloristiku</w:t>
            </w:r>
            <w:proofErr w:type="spellEnd"/>
            <w:r w:rsidRPr="00DF4CE5">
              <w:rPr>
                <w:rFonts w:ascii="Cambria" w:eastAsia="Times New Roman" w:hAnsi="Cambria" w:cs="Times New Roman"/>
              </w:rPr>
              <w:t xml:space="preserve">. </w:t>
            </w:r>
          </w:p>
        </w:tc>
      </w:tr>
    </w:tbl>
    <w:p w14:paraId="3CEA9019" w14:textId="7814C614" w:rsidR="001C42AA" w:rsidRDefault="001C42AA">
      <w:pPr>
        <w:rPr>
          <w:rFonts w:ascii="Cambria" w:eastAsia="Times New Roman" w:hAnsi="Cambria" w:cs="Calibri"/>
          <w:lang w:val="hr-HR"/>
        </w:rPr>
      </w:pPr>
    </w:p>
    <w:p w14:paraId="4FFFEA52" w14:textId="27CD2BC6" w:rsidR="006B4FFE" w:rsidRDefault="006B4FFE">
      <w:pPr>
        <w:rPr>
          <w:rFonts w:ascii="Cambria" w:eastAsia="Times New Roman" w:hAnsi="Cambria" w:cs="Calibri"/>
          <w:lang w:val="hr-HR"/>
        </w:rPr>
      </w:pPr>
      <w:r>
        <w:rPr>
          <w:rFonts w:ascii="Cambria" w:eastAsia="Times New Roman" w:hAnsi="Cambria" w:cs="Calibri"/>
          <w:lang w:val="hr-HR"/>
        </w:rPr>
        <w:br w:type="page"/>
      </w:r>
    </w:p>
    <w:p w14:paraId="0515188F" w14:textId="77777777" w:rsidR="006B4FFE" w:rsidRPr="00DF4CE5" w:rsidRDefault="006B4FFE">
      <w:pPr>
        <w:rPr>
          <w:rFonts w:ascii="Cambria" w:eastAsia="Times New Roman" w:hAnsi="Cambria" w:cs="Calibri"/>
          <w:lang w:val="hr-HR"/>
        </w:rPr>
      </w:pPr>
    </w:p>
    <w:tbl>
      <w:tblPr>
        <w:tblW w:w="5000" w:type="pct"/>
        <w:tblLayout w:type="fixed"/>
        <w:tblCellMar>
          <w:left w:w="0" w:type="dxa"/>
          <w:right w:w="0" w:type="dxa"/>
        </w:tblCellMar>
        <w:tblLook w:val="0000" w:firstRow="0" w:lastRow="0" w:firstColumn="0" w:lastColumn="0" w:noHBand="0" w:noVBand="0"/>
      </w:tblPr>
      <w:tblGrid>
        <w:gridCol w:w="2279"/>
        <w:gridCol w:w="3203"/>
        <w:gridCol w:w="105"/>
        <w:gridCol w:w="1167"/>
        <w:gridCol w:w="297"/>
        <w:gridCol w:w="470"/>
        <w:gridCol w:w="1085"/>
        <w:gridCol w:w="1414"/>
      </w:tblGrid>
      <w:tr w:rsidR="001C42AA" w:rsidRPr="00DF4CE5" w14:paraId="767E4B58" w14:textId="77777777" w:rsidTr="00DB76CD">
        <w:tc>
          <w:tcPr>
            <w:tcW w:w="9340"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1F671F3" w14:textId="77777777" w:rsidR="001C42AA" w:rsidRPr="00DF4CE5" w:rsidRDefault="001C42AA" w:rsidP="001C42AA">
            <w:pPr>
              <w:spacing w:after="0" w:line="240" w:lineRule="auto"/>
              <w:jc w:val="right"/>
              <w:rPr>
                <w:rFonts w:ascii="Cambria" w:eastAsia="Times New Roman" w:hAnsi="Cambria" w:cs="Calibri"/>
                <w:b/>
              </w:rPr>
            </w:pPr>
            <w:r w:rsidRPr="00DF4CE5">
              <w:rPr>
                <w:rFonts w:ascii="Cambria" w:eastAsia="Times New Roman" w:hAnsi="Cambria" w:cs="Calibri"/>
                <w:b/>
              </w:rPr>
              <w:t>IZVEDBENI PLAN NASTAVE KOLEGIJA</w:t>
            </w:r>
          </w:p>
        </w:tc>
      </w:tr>
      <w:tr w:rsidR="001C42AA" w:rsidRPr="00DF4CE5" w14:paraId="22BD3CAC" w14:textId="77777777" w:rsidTr="00DB76CD">
        <w:tc>
          <w:tcPr>
            <w:tcW w:w="212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61D6787" w14:textId="77777777" w:rsidR="001C42AA" w:rsidRPr="00DF4CE5" w:rsidRDefault="001C42AA" w:rsidP="001C42AA">
            <w:pPr>
              <w:spacing w:after="0" w:line="240" w:lineRule="auto"/>
              <w:rPr>
                <w:rFonts w:ascii="Cambria" w:eastAsia="Times New Roman" w:hAnsi="Cambria" w:cs="Calibri"/>
              </w:rPr>
            </w:pPr>
            <w:proofErr w:type="spellStart"/>
            <w:r w:rsidRPr="00DF4CE5">
              <w:rPr>
                <w:rFonts w:ascii="Cambria" w:eastAsia="Times New Roman" w:hAnsi="Cambria" w:cs="Calibri"/>
              </w:rPr>
              <w:t>Kod</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i</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naziv</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kolegija</w:t>
            </w:r>
            <w:proofErr w:type="spellEnd"/>
          </w:p>
        </w:tc>
        <w:tc>
          <w:tcPr>
            <w:tcW w:w="721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11989ED" w14:textId="77777777" w:rsidR="001C42AA" w:rsidRPr="00DF4CE5" w:rsidRDefault="001C42AA" w:rsidP="001C42AA">
            <w:pPr>
              <w:spacing w:after="0" w:line="240" w:lineRule="auto"/>
              <w:rPr>
                <w:rFonts w:ascii="Cambria" w:eastAsia="Times New Roman" w:hAnsi="Cambria" w:cs="Calibri"/>
              </w:rPr>
            </w:pPr>
            <w:r w:rsidRPr="00DF4CE5">
              <w:rPr>
                <w:rFonts w:ascii="Cambria" w:eastAsia="Times New Roman" w:hAnsi="Cambria" w:cs="Calibri"/>
              </w:rPr>
              <w:t>42322</w:t>
            </w:r>
          </w:p>
          <w:p w14:paraId="1BCD0172" w14:textId="77777777" w:rsidR="001C42AA" w:rsidRPr="00DF4CE5" w:rsidRDefault="001C42AA" w:rsidP="001C42AA">
            <w:pPr>
              <w:spacing w:after="0" w:line="240" w:lineRule="auto"/>
              <w:rPr>
                <w:rFonts w:ascii="Cambria" w:eastAsia="Times New Roman" w:hAnsi="Cambria" w:cs="Calibri"/>
              </w:rPr>
            </w:pPr>
            <w:proofErr w:type="spellStart"/>
            <w:r w:rsidRPr="00DF4CE5">
              <w:rPr>
                <w:rFonts w:ascii="Cambria" w:eastAsia="Times New Roman" w:hAnsi="Cambria" w:cs="Calibri"/>
              </w:rPr>
              <w:t>Kineziološka</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kultura</w:t>
            </w:r>
            <w:proofErr w:type="spellEnd"/>
            <w:r w:rsidRPr="00DF4CE5">
              <w:rPr>
                <w:rFonts w:ascii="Cambria" w:eastAsia="Times New Roman" w:hAnsi="Cambria" w:cs="Calibri"/>
              </w:rPr>
              <w:t xml:space="preserve"> I. </w:t>
            </w:r>
          </w:p>
        </w:tc>
      </w:tr>
      <w:tr w:rsidR="001C42AA" w:rsidRPr="00DF4CE5" w14:paraId="0CB2ECA5" w14:textId="77777777" w:rsidTr="00DB76CD">
        <w:tc>
          <w:tcPr>
            <w:tcW w:w="212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0CD462F" w14:textId="15378AA0" w:rsidR="001C42AA" w:rsidRPr="00DF4CE5" w:rsidRDefault="001C42AA" w:rsidP="001C42AA">
            <w:pPr>
              <w:spacing w:after="0" w:line="240" w:lineRule="auto"/>
              <w:rPr>
                <w:rFonts w:ascii="Cambria" w:eastAsia="Times New Roman" w:hAnsi="Cambria" w:cs="Calibri"/>
              </w:rPr>
            </w:pPr>
            <w:proofErr w:type="spellStart"/>
            <w:r w:rsidRPr="00DF4CE5">
              <w:rPr>
                <w:rFonts w:ascii="Cambria" w:eastAsia="Times New Roman" w:hAnsi="Cambria" w:cs="Calibri"/>
              </w:rPr>
              <w:t>Nastavni</w:t>
            </w:r>
            <w:r w:rsidR="006B4FFE">
              <w:rPr>
                <w:rFonts w:ascii="Cambria" w:eastAsia="Times New Roman" w:hAnsi="Cambria" w:cs="Calibri"/>
              </w:rPr>
              <w:t>ca</w:t>
            </w:r>
            <w:proofErr w:type="spellEnd"/>
          </w:p>
          <w:p w14:paraId="6E0A5FA6" w14:textId="77777777" w:rsidR="001C42AA" w:rsidRPr="00DF4CE5" w:rsidRDefault="001C42AA" w:rsidP="001C42AA">
            <w:pPr>
              <w:spacing w:after="0" w:line="240" w:lineRule="auto"/>
              <w:rPr>
                <w:rFonts w:ascii="Cambria" w:eastAsia="Times New Roman" w:hAnsi="Cambria" w:cs="Calibri"/>
              </w:rPr>
            </w:pPr>
            <w:proofErr w:type="spellStart"/>
            <w:r w:rsidRPr="00DF4CE5">
              <w:rPr>
                <w:rFonts w:ascii="Cambria" w:eastAsia="Times New Roman" w:hAnsi="Cambria" w:cs="Calibri"/>
              </w:rPr>
              <w:t>Suradnik</w:t>
            </w:r>
            <w:proofErr w:type="spellEnd"/>
          </w:p>
        </w:tc>
        <w:tc>
          <w:tcPr>
            <w:tcW w:w="721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F0456B2" w14:textId="02B91D1A" w:rsidR="001C42AA" w:rsidRPr="00DF4CE5" w:rsidRDefault="006B4FFE" w:rsidP="001C42AA">
            <w:pPr>
              <w:spacing w:after="0" w:line="240" w:lineRule="auto"/>
              <w:rPr>
                <w:rFonts w:ascii="Cambria" w:eastAsia="Times New Roman" w:hAnsi="Cambria" w:cs="Calibri"/>
                <w:color w:val="0000FF"/>
                <w:u w:val="single"/>
              </w:rPr>
            </w:pPr>
            <w:r>
              <w:rPr>
                <w:rFonts w:ascii="Cambria" w:eastAsia="Times New Roman" w:hAnsi="Cambria" w:cs="Calibri"/>
                <w:color w:val="0000FF"/>
                <w:u w:val="single"/>
              </w:rPr>
              <w:t>P</w:t>
            </w:r>
            <w:r w:rsidR="001C42AA" w:rsidRPr="00DF4CE5">
              <w:rPr>
                <w:rFonts w:ascii="Cambria" w:eastAsia="Times New Roman" w:hAnsi="Cambria" w:cs="Calibri"/>
                <w:color w:val="0000FF"/>
                <w:u w:val="single"/>
              </w:rPr>
              <w:t>rof. dr. sc. Iva Blažević</w:t>
            </w:r>
            <w:r w:rsidR="001C42AA" w:rsidRPr="00DF4CE5">
              <w:rPr>
                <w:rFonts w:ascii="Cambria" w:eastAsia="Times New Roman" w:hAnsi="Cambria" w:cs="Calibri"/>
                <w:color w:val="0000FF"/>
              </w:rPr>
              <w:t xml:space="preserve"> </w:t>
            </w:r>
            <w:r w:rsidR="001C42AA" w:rsidRPr="00DF4CE5">
              <w:rPr>
                <w:rFonts w:ascii="Cambria" w:eastAsia="Times New Roman" w:hAnsi="Cambria" w:cs="Calibri"/>
              </w:rPr>
              <w:t>(</w:t>
            </w:r>
            <w:proofErr w:type="spellStart"/>
            <w:r w:rsidR="001C42AA" w:rsidRPr="00DF4CE5">
              <w:rPr>
                <w:rFonts w:ascii="Cambria" w:eastAsia="Times New Roman" w:hAnsi="Cambria" w:cs="Calibri"/>
              </w:rPr>
              <w:t>nositeljica</w:t>
            </w:r>
            <w:proofErr w:type="spellEnd"/>
            <w:r w:rsidR="001C42AA" w:rsidRPr="00DF4CE5">
              <w:rPr>
                <w:rFonts w:ascii="Cambria" w:eastAsia="Times New Roman" w:hAnsi="Cambria" w:cs="Calibri"/>
              </w:rPr>
              <w:t>)</w:t>
            </w:r>
          </w:p>
          <w:p w14:paraId="047EBA04" w14:textId="0ECDC736" w:rsidR="001C42AA" w:rsidRPr="00DF4CE5" w:rsidRDefault="006B4FFE" w:rsidP="001C42AA">
            <w:pPr>
              <w:spacing w:after="0" w:line="240" w:lineRule="auto"/>
              <w:rPr>
                <w:rFonts w:ascii="Cambria" w:eastAsia="Times New Roman" w:hAnsi="Cambria" w:cs="Calibri"/>
                <w:color w:val="0000FF"/>
                <w:u w:val="single"/>
              </w:rPr>
            </w:pPr>
            <w:r>
              <w:rPr>
                <w:rFonts w:ascii="Cambria" w:eastAsia="Times New Roman" w:hAnsi="Cambria" w:cs="Calibri"/>
                <w:color w:val="0000FF"/>
                <w:u w:val="single"/>
              </w:rPr>
              <w:t>D</w:t>
            </w:r>
            <w:r w:rsidR="00E83929" w:rsidRPr="00DF4CE5">
              <w:rPr>
                <w:rFonts w:ascii="Cambria" w:eastAsia="Times New Roman" w:hAnsi="Cambria" w:cs="Calibri"/>
                <w:color w:val="0000FF"/>
                <w:u w:val="single"/>
              </w:rPr>
              <w:t>r.</w:t>
            </w:r>
            <w:r>
              <w:rPr>
                <w:rFonts w:ascii="Cambria" w:eastAsia="Times New Roman" w:hAnsi="Cambria" w:cs="Calibri"/>
                <w:color w:val="0000FF"/>
                <w:u w:val="single"/>
              </w:rPr>
              <w:t xml:space="preserve"> </w:t>
            </w:r>
            <w:r w:rsidR="00E83929" w:rsidRPr="00DF4CE5">
              <w:rPr>
                <w:rFonts w:ascii="Cambria" w:eastAsia="Times New Roman" w:hAnsi="Cambria" w:cs="Calibri"/>
                <w:color w:val="0000FF"/>
                <w:u w:val="single"/>
              </w:rPr>
              <w:t>sc.</w:t>
            </w:r>
            <w:r>
              <w:rPr>
                <w:rFonts w:ascii="Cambria" w:eastAsia="Times New Roman" w:hAnsi="Cambria" w:cs="Calibri"/>
                <w:color w:val="0000FF"/>
                <w:u w:val="single"/>
              </w:rPr>
              <w:t xml:space="preserve"> </w:t>
            </w:r>
            <w:r w:rsidR="001C42AA" w:rsidRPr="00DF4CE5">
              <w:rPr>
                <w:rFonts w:ascii="Cambria" w:eastAsia="Times New Roman" w:hAnsi="Cambria" w:cs="Calibri"/>
                <w:color w:val="0000FF"/>
                <w:u w:val="single"/>
              </w:rPr>
              <w:t>Ivan Oreb, pred.</w:t>
            </w:r>
          </w:p>
        </w:tc>
      </w:tr>
      <w:tr w:rsidR="001C42AA" w:rsidRPr="00DF4CE5" w14:paraId="158CDB5C" w14:textId="77777777" w:rsidTr="00DB76CD">
        <w:tc>
          <w:tcPr>
            <w:tcW w:w="212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72D2A77" w14:textId="77777777" w:rsidR="001C42AA" w:rsidRPr="00DF4CE5" w:rsidRDefault="001C42AA" w:rsidP="001C42AA">
            <w:pPr>
              <w:spacing w:after="0" w:line="240" w:lineRule="auto"/>
              <w:rPr>
                <w:rFonts w:ascii="Cambria" w:eastAsia="Times New Roman" w:hAnsi="Cambria" w:cs="Calibri"/>
              </w:rPr>
            </w:pPr>
            <w:proofErr w:type="spellStart"/>
            <w:r w:rsidRPr="00DF4CE5">
              <w:rPr>
                <w:rFonts w:ascii="Cambria" w:eastAsia="Times New Roman" w:hAnsi="Cambria" w:cs="Calibri"/>
              </w:rPr>
              <w:t>Studijski</w:t>
            </w:r>
            <w:proofErr w:type="spellEnd"/>
            <w:r w:rsidRPr="00DF4CE5">
              <w:rPr>
                <w:rFonts w:ascii="Cambria" w:eastAsia="Times New Roman" w:hAnsi="Cambria" w:cs="Calibri"/>
              </w:rPr>
              <w:t xml:space="preserve"> program</w:t>
            </w:r>
          </w:p>
        </w:tc>
        <w:tc>
          <w:tcPr>
            <w:tcW w:w="721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AC2FDBC" w14:textId="77777777" w:rsidR="001C42AA" w:rsidRPr="00DF4CE5" w:rsidRDefault="001C42AA" w:rsidP="001C42AA">
            <w:pPr>
              <w:spacing w:after="0" w:line="240" w:lineRule="auto"/>
              <w:rPr>
                <w:rFonts w:ascii="Cambria" w:eastAsia="Times New Roman" w:hAnsi="Cambria" w:cs="Calibri"/>
              </w:rPr>
            </w:pPr>
            <w:proofErr w:type="spellStart"/>
            <w:r w:rsidRPr="00DF4CE5">
              <w:rPr>
                <w:rFonts w:ascii="Cambria" w:eastAsia="Calibri" w:hAnsi="Cambria" w:cs="Calibri"/>
              </w:rPr>
              <w:t>Sveučilišni</w:t>
            </w:r>
            <w:proofErr w:type="spellEnd"/>
            <w:r w:rsidRPr="00DF4CE5">
              <w:rPr>
                <w:rFonts w:ascii="Cambria" w:eastAsia="Calibri" w:hAnsi="Cambria" w:cs="Calibri"/>
              </w:rPr>
              <w:t xml:space="preserve"> </w:t>
            </w:r>
            <w:proofErr w:type="spellStart"/>
            <w:r w:rsidRPr="00DF4CE5">
              <w:rPr>
                <w:rFonts w:ascii="Cambria" w:eastAsia="Calibri" w:hAnsi="Cambria" w:cs="Calibri"/>
              </w:rPr>
              <w:t>integrirani</w:t>
            </w:r>
            <w:proofErr w:type="spellEnd"/>
            <w:r w:rsidRPr="00DF4CE5">
              <w:rPr>
                <w:rFonts w:ascii="Cambria" w:eastAsia="Calibri" w:hAnsi="Cambria" w:cs="Calibri"/>
              </w:rPr>
              <w:t xml:space="preserve"> </w:t>
            </w:r>
            <w:proofErr w:type="spellStart"/>
            <w:r w:rsidRPr="00DF4CE5">
              <w:rPr>
                <w:rFonts w:ascii="Cambria" w:eastAsia="Calibri" w:hAnsi="Cambria" w:cs="Calibri"/>
              </w:rPr>
              <w:t>prijediplomski</w:t>
            </w:r>
            <w:proofErr w:type="spellEnd"/>
            <w:r w:rsidRPr="00DF4CE5">
              <w:rPr>
                <w:rFonts w:ascii="Cambria" w:eastAsia="Calibri" w:hAnsi="Cambria" w:cs="Calibri"/>
              </w:rPr>
              <w:t xml:space="preserve"> </w:t>
            </w:r>
            <w:proofErr w:type="spellStart"/>
            <w:r w:rsidRPr="00DF4CE5">
              <w:rPr>
                <w:rFonts w:ascii="Cambria" w:eastAsia="Calibri" w:hAnsi="Cambria" w:cs="Calibri"/>
              </w:rPr>
              <w:t>i</w:t>
            </w:r>
            <w:proofErr w:type="spellEnd"/>
            <w:r w:rsidRPr="00DF4CE5">
              <w:rPr>
                <w:rFonts w:ascii="Cambria" w:eastAsia="Calibri" w:hAnsi="Cambria" w:cs="Calibri"/>
              </w:rPr>
              <w:t xml:space="preserve"> </w:t>
            </w:r>
            <w:proofErr w:type="spellStart"/>
            <w:r w:rsidRPr="00DF4CE5">
              <w:rPr>
                <w:rFonts w:ascii="Cambria" w:eastAsia="Calibri" w:hAnsi="Cambria" w:cs="Calibri"/>
              </w:rPr>
              <w:t>diplomski</w:t>
            </w:r>
            <w:proofErr w:type="spellEnd"/>
            <w:r w:rsidRPr="00DF4CE5">
              <w:rPr>
                <w:rFonts w:ascii="Cambria" w:eastAsia="Calibri" w:hAnsi="Cambria" w:cs="Calibri"/>
              </w:rPr>
              <w:t xml:space="preserve"> </w:t>
            </w:r>
            <w:proofErr w:type="spellStart"/>
            <w:r w:rsidRPr="00DF4CE5">
              <w:rPr>
                <w:rFonts w:ascii="Cambria" w:eastAsia="Calibri" w:hAnsi="Cambria" w:cs="Calibri"/>
              </w:rPr>
              <w:t>Učiteljski</w:t>
            </w:r>
            <w:proofErr w:type="spellEnd"/>
            <w:r w:rsidRPr="00DF4CE5">
              <w:rPr>
                <w:rFonts w:ascii="Cambria" w:eastAsia="Calibri" w:hAnsi="Cambria" w:cs="Calibri"/>
              </w:rPr>
              <w:t xml:space="preserve"> </w:t>
            </w:r>
            <w:proofErr w:type="spellStart"/>
            <w:r w:rsidRPr="00DF4CE5">
              <w:rPr>
                <w:rFonts w:ascii="Cambria" w:eastAsia="Calibri" w:hAnsi="Cambria" w:cs="Calibri"/>
              </w:rPr>
              <w:t>studij</w:t>
            </w:r>
            <w:proofErr w:type="spellEnd"/>
            <w:r w:rsidRPr="00DF4CE5">
              <w:rPr>
                <w:rFonts w:ascii="Cambria" w:eastAsia="Calibri" w:hAnsi="Cambria" w:cs="Calibri"/>
              </w:rPr>
              <w:t xml:space="preserve"> </w:t>
            </w:r>
            <w:proofErr w:type="spellStart"/>
            <w:r w:rsidRPr="00DF4CE5">
              <w:rPr>
                <w:rFonts w:ascii="Cambria" w:eastAsia="Calibri" w:hAnsi="Cambria" w:cs="Calibri"/>
              </w:rPr>
              <w:t>na</w:t>
            </w:r>
            <w:proofErr w:type="spellEnd"/>
            <w:r w:rsidRPr="00DF4CE5">
              <w:rPr>
                <w:rFonts w:ascii="Cambria" w:eastAsia="Calibri" w:hAnsi="Cambria" w:cs="Calibri"/>
              </w:rPr>
              <w:t xml:space="preserve"> </w:t>
            </w:r>
            <w:proofErr w:type="spellStart"/>
            <w:r w:rsidRPr="00DF4CE5">
              <w:rPr>
                <w:rFonts w:ascii="Cambria" w:eastAsia="Calibri" w:hAnsi="Cambria" w:cs="Calibri"/>
              </w:rPr>
              <w:t>hrvatskom</w:t>
            </w:r>
            <w:proofErr w:type="spellEnd"/>
            <w:r w:rsidRPr="00DF4CE5">
              <w:rPr>
                <w:rFonts w:ascii="Cambria" w:eastAsia="Calibri" w:hAnsi="Cambria" w:cs="Calibri"/>
              </w:rPr>
              <w:t xml:space="preserve"> </w:t>
            </w:r>
            <w:proofErr w:type="spellStart"/>
            <w:r w:rsidRPr="00DF4CE5">
              <w:rPr>
                <w:rFonts w:ascii="Cambria" w:eastAsia="Calibri" w:hAnsi="Cambria" w:cs="Calibri"/>
              </w:rPr>
              <w:t>jeziku</w:t>
            </w:r>
            <w:proofErr w:type="spellEnd"/>
          </w:p>
        </w:tc>
      </w:tr>
      <w:tr w:rsidR="001C42AA" w:rsidRPr="00DF4CE5" w14:paraId="13C80D1C" w14:textId="77777777" w:rsidTr="00DB76CD">
        <w:tc>
          <w:tcPr>
            <w:tcW w:w="212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7C80587" w14:textId="77777777" w:rsidR="001C42AA" w:rsidRPr="00DF4CE5" w:rsidRDefault="001C42AA" w:rsidP="001C42AA">
            <w:pPr>
              <w:spacing w:after="0" w:line="240" w:lineRule="auto"/>
              <w:rPr>
                <w:rFonts w:ascii="Cambria" w:eastAsia="Times New Roman" w:hAnsi="Cambria" w:cs="Calibri"/>
              </w:rPr>
            </w:pPr>
            <w:proofErr w:type="spellStart"/>
            <w:r w:rsidRPr="00DF4CE5">
              <w:rPr>
                <w:rFonts w:ascii="Cambria" w:eastAsia="Times New Roman" w:hAnsi="Cambria" w:cs="Calibri"/>
              </w:rPr>
              <w:t>Vrsta</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kolegija</w:t>
            </w:r>
            <w:proofErr w:type="spellEnd"/>
          </w:p>
        </w:tc>
        <w:tc>
          <w:tcPr>
            <w:tcW w:w="298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F88F338" w14:textId="77777777" w:rsidR="001C42AA" w:rsidRPr="00DF4CE5" w:rsidRDefault="001C42AA" w:rsidP="001C42AA">
            <w:pPr>
              <w:spacing w:after="0" w:line="240" w:lineRule="auto"/>
              <w:rPr>
                <w:rFonts w:ascii="Cambria" w:eastAsia="Times New Roman" w:hAnsi="Cambria" w:cs="Calibri"/>
              </w:rPr>
            </w:pPr>
            <w:proofErr w:type="spellStart"/>
            <w:r w:rsidRPr="00DF4CE5">
              <w:rPr>
                <w:rFonts w:ascii="Cambria" w:eastAsia="Times New Roman" w:hAnsi="Cambria" w:cs="Calibri"/>
              </w:rPr>
              <w:t>obvezan</w:t>
            </w:r>
            <w:proofErr w:type="spellEnd"/>
            <w:r w:rsidRPr="00DF4CE5">
              <w:rPr>
                <w:rFonts w:ascii="Cambria" w:eastAsia="Times New Roman" w:hAnsi="Cambria" w:cs="Calibri"/>
              </w:rPr>
              <w:t xml:space="preserve"> </w:t>
            </w:r>
          </w:p>
        </w:tc>
        <w:tc>
          <w:tcPr>
            <w:tcW w:w="146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33E789C1" w14:textId="77777777" w:rsidR="001C42AA" w:rsidRPr="00DF4CE5" w:rsidRDefault="001C42AA" w:rsidP="001C42AA">
            <w:pPr>
              <w:spacing w:after="0" w:line="240" w:lineRule="auto"/>
              <w:rPr>
                <w:rFonts w:ascii="Cambria" w:eastAsia="Times New Roman" w:hAnsi="Cambria" w:cs="Calibri"/>
              </w:rPr>
            </w:pPr>
            <w:r w:rsidRPr="00DF4CE5">
              <w:rPr>
                <w:rFonts w:ascii="Cambria" w:eastAsia="Times New Roman" w:hAnsi="Cambria" w:cs="Calibri"/>
              </w:rPr>
              <w:t xml:space="preserve">Razina </w:t>
            </w:r>
            <w:proofErr w:type="spellStart"/>
            <w:r w:rsidRPr="00DF4CE5">
              <w:rPr>
                <w:rFonts w:ascii="Cambria" w:eastAsia="Times New Roman" w:hAnsi="Cambria" w:cs="Calibri"/>
              </w:rPr>
              <w:t>kolegija</w:t>
            </w:r>
            <w:proofErr w:type="spellEnd"/>
          </w:p>
        </w:tc>
        <w:tc>
          <w:tcPr>
            <w:tcW w:w="2767"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49C85DB" w14:textId="77777777" w:rsidR="001C42AA" w:rsidRPr="00DF4CE5" w:rsidRDefault="001C42AA" w:rsidP="001C42AA">
            <w:pPr>
              <w:spacing w:after="0" w:line="240" w:lineRule="auto"/>
              <w:rPr>
                <w:rFonts w:ascii="Cambria" w:eastAsia="Times New Roman" w:hAnsi="Cambria" w:cs="Calibri"/>
              </w:rPr>
            </w:pPr>
            <w:proofErr w:type="spellStart"/>
            <w:r w:rsidRPr="00DF4CE5">
              <w:rPr>
                <w:rFonts w:ascii="Cambria" w:eastAsia="Times New Roman" w:hAnsi="Cambria" w:cs="Calibri"/>
              </w:rPr>
              <w:t>integrirani</w:t>
            </w:r>
            <w:proofErr w:type="spellEnd"/>
          </w:p>
        </w:tc>
      </w:tr>
      <w:tr w:rsidR="001C42AA" w:rsidRPr="00DF4CE5" w14:paraId="0F43CF93" w14:textId="77777777" w:rsidTr="00DB76CD">
        <w:tc>
          <w:tcPr>
            <w:tcW w:w="212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CABA9E2" w14:textId="77777777" w:rsidR="001C42AA" w:rsidRPr="00DF4CE5" w:rsidRDefault="001C42AA" w:rsidP="001C42AA">
            <w:pPr>
              <w:spacing w:after="0" w:line="240" w:lineRule="auto"/>
              <w:rPr>
                <w:rFonts w:ascii="Cambria" w:eastAsia="Times New Roman" w:hAnsi="Cambria" w:cs="Calibri"/>
              </w:rPr>
            </w:pPr>
            <w:proofErr w:type="spellStart"/>
            <w:r w:rsidRPr="00DF4CE5">
              <w:rPr>
                <w:rFonts w:ascii="Cambria" w:eastAsia="Times New Roman" w:hAnsi="Cambria" w:cs="Calibri"/>
              </w:rPr>
              <w:t>Semestar</w:t>
            </w:r>
            <w:proofErr w:type="spellEnd"/>
          </w:p>
        </w:tc>
        <w:tc>
          <w:tcPr>
            <w:tcW w:w="298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0A14493" w14:textId="522BC479" w:rsidR="001C42AA" w:rsidRPr="00DF4CE5" w:rsidRDefault="00760C3A" w:rsidP="001C42AA">
            <w:pPr>
              <w:spacing w:after="0" w:line="240" w:lineRule="auto"/>
              <w:rPr>
                <w:rFonts w:ascii="Cambria" w:eastAsia="Times New Roman" w:hAnsi="Cambria" w:cs="Calibri"/>
              </w:rPr>
            </w:pPr>
            <w:r w:rsidRPr="00DF4CE5">
              <w:rPr>
                <w:rFonts w:ascii="Cambria" w:eastAsia="Times New Roman" w:hAnsi="Cambria" w:cs="Calibri"/>
              </w:rPr>
              <w:t>Z</w:t>
            </w:r>
            <w:r w:rsidR="001C42AA" w:rsidRPr="00DF4CE5">
              <w:rPr>
                <w:rFonts w:ascii="Cambria" w:eastAsia="Times New Roman" w:hAnsi="Cambria" w:cs="Calibri"/>
              </w:rPr>
              <w:t>imski</w:t>
            </w:r>
          </w:p>
        </w:tc>
        <w:tc>
          <w:tcPr>
            <w:tcW w:w="146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25D0B6D0" w14:textId="77777777" w:rsidR="001C42AA" w:rsidRPr="00DF4CE5" w:rsidRDefault="001C42AA" w:rsidP="001C42AA">
            <w:pPr>
              <w:spacing w:after="0" w:line="240" w:lineRule="auto"/>
              <w:rPr>
                <w:rFonts w:ascii="Cambria" w:eastAsia="Times New Roman" w:hAnsi="Cambria" w:cs="Calibri"/>
              </w:rPr>
            </w:pPr>
            <w:r w:rsidRPr="00DF4CE5">
              <w:rPr>
                <w:rFonts w:ascii="Cambria" w:eastAsia="Times New Roman" w:hAnsi="Cambria" w:cs="Calibri"/>
              </w:rPr>
              <w:t xml:space="preserve">Godina </w:t>
            </w:r>
            <w:proofErr w:type="spellStart"/>
            <w:r w:rsidRPr="00DF4CE5">
              <w:rPr>
                <w:rFonts w:ascii="Cambria" w:eastAsia="Times New Roman" w:hAnsi="Cambria" w:cs="Calibri"/>
              </w:rPr>
              <w:t>studija</w:t>
            </w:r>
            <w:proofErr w:type="spellEnd"/>
          </w:p>
        </w:tc>
        <w:tc>
          <w:tcPr>
            <w:tcW w:w="2767"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3020342" w14:textId="77777777" w:rsidR="001C42AA" w:rsidRPr="00DF4CE5" w:rsidRDefault="001C42AA" w:rsidP="001C42AA">
            <w:pPr>
              <w:spacing w:after="0" w:line="240" w:lineRule="auto"/>
              <w:rPr>
                <w:rFonts w:ascii="Cambria" w:eastAsia="Times New Roman" w:hAnsi="Cambria" w:cs="Calibri"/>
              </w:rPr>
            </w:pPr>
            <w:r w:rsidRPr="00DF4CE5">
              <w:rPr>
                <w:rFonts w:ascii="Cambria" w:eastAsia="Times New Roman" w:hAnsi="Cambria" w:cs="Calibri"/>
              </w:rPr>
              <w:t>I.</w:t>
            </w:r>
          </w:p>
        </w:tc>
      </w:tr>
      <w:tr w:rsidR="001C42AA" w:rsidRPr="00DF4CE5" w14:paraId="3B47F5B7" w14:textId="77777777" w:rsidTr="00DB76CD">
        <w:tc>
          <w:tcPr>
            <w:tcW w:w="212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77EF0A7" w14:textId="77777777" w:rsidR="001C42AA" w:rsidRPr="00DF4CE5" w:rsidRDefault="001C42AA" w:rsidP="001C42AA">
            <w:pPr>
              <w:spacing w:after="0" w:line="240" w:lineRule="auto"/>
              <w:rPr>
                <w:rFonts w:ascii="Cambria" w:eastAsia="Times New Roman" w:hAnsi="Cambria" w:cs="Calibri"/>
              </w:rPr>
            </w:pPr>
            <w:proofErr w:type="spellStart"/>
            <w:r w:rsidRPr="00DF4CE5">
              <w:rPr>
                <w:rFonts w:ascii="Cambria" w:eastAsia="Times New Roman" w:hAnsi="Cambria" w:cs="Calibri"/>
              </w:rPr>
              <w:t>Mjesto</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izvođenja</w:t>
            </w:r>
            <w:proofErr w:type="spellEnd"/>
          </w:p>
        </w:tc>
        <w:tc>
          <w:tcPr>
            <w:tcW w:w="298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BE2FDA1" w14:textId="77777777" w:rsidR="001C42AA" w:rsidRPr="00DF4CE5" w:rsidRDefault="001C42AA" w:rsidP="001C42AA">
            <w:pPr>
              <w:spacing w:after="0" w:line="240" w:lineRule="auto"/>
              <w:rPr>
                <w:rFonts w:ascii="Cambria" w:eastAsia="Times New Roman" w:hAnsi="Cambria" w:cs="Calibri"/>
                <w:lang w:val="it-IT"/>
              </w:rPr>
            </w:pPr>
            <w:proofErr w:type="spellStart"/>
            <w:r w:rsidRPr="00DF4CE5">
              <w:rPr>
                <w:rFonts w:ascii="Cambria" w:eastAsia="Times New Roman" w:hAnsi="Cambria" w:cs="Calibri"/>
                <w:lang w:val="it-IT"/>
              </w:rPr>
              <w:t>sportska</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dvorana</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Sveučilišta</w:t>
            </w:r>
            <w:proofErr w:type="spellEnd"/>
          </w:p>
          <w:p w14:paraId="6E28BD7C" w14:textId="77777777" w:rsidR="001C42AA" w:rsidRPr="00DF4CE5" w:rsidRDefault="001C42AA" w:rsidP="001C42AA">
            <w:pPr>
              <w:spacing w:after="0" w:line="240" w:lineRule="auto"/>
              <w:rPr>
                <w:rFonts w:ascii="Cambria" w:eastAsia="Times New Roman" w:hAnsi="Cambria" w:cs="Calibri"/>
                <w:lang w:val="it-IT"/>
              </w:rPr>
            </w:pPr>
            <w:proofErr w:type="spellStart"/>
            <w:r w:rsidRPr="00DF4CE5">
              <w:rPr>
                <w:rFonts w:ascii="Cambria" w:eastAsia="Times New Roman" w:hAnsi="Cambria" w:cs="Calibri"/>
                <w:lang w:val="it-IT"/>
              </w:rPr>
              <w:t>terenska</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nastava</w:t>
            </w:r>
            <w:proofErr w:type="spellEnd"/>
            <w:r w:rsidRPr="00DF4CE5">
              <w:rPr>
                <w:rFonts w:ascii="Cambria" w:eastAsia="Times New Roman" w:hAnsi="Cambria" w:cs="Calibri"/>
                <w:lang w:val="it-IT"/>
              </w:rPr>
              <w:t xml:space="preserve"> </w:t>
            </w:r>
          </w:p>
        </w:tc>
        <w:tc>
          <w:tcPr>
            <w:tcW w:w="146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2BFA4080" w14:textId="77777777" w:rsidR="001C42AA" w:rsidRPr="00DF4CE5" w:rsidRDefault="001C42AA" w:rsidP="001C42AA">
            <w:pPr>
              <w:spacing w:after="0" w:line="240" w:lineRule="auto"/>
              <w:rPr>
                <w:rFonts w:ascii="Cambria" w:eastAsia="Times New Roman" w:hAnsi="Cambria" w:cs="Calibri"/>
              </w:rPr>
            </w:pPr>
            <w:r w:rsidRPr="00DF4CE5">
              <w:rPr>
                <w:rFonts w:ascii="Cambria" w:eastAsia="Times New Roman" w:hAnsi="Cambria" w:cs="Calibri"/>
              </w:rPr>
              <w:t xml:space="preserve">Jezik </w:t>
            </w:r>
            <w:proofErr w:type="spellStart"/>
            <w:r w:rsidRPr="00DF4CE5">
              <w:rPr>
                <w:rFonts w:ascii="Cambria" w:eastAsia="Times New Roman" w:hAnsi="Cambria" w:cs="Calibri"/>
              </w:rPr>
              <w:t>izvođenja</w:t>
            </w:r>
            <w:proofErr w:type="spellEnd"/>
            <w:r w:rsidRPr="00DF4CE5">
              <w:rPr>
                <w:rFonts w:ascii="Cambria" w:eastAsia="Times New Roman" w:hAnsi="Cambria" w:cs="Calibri"/>
              </w:rPr>
              <w:t xml:space="preserve"> </w:t>
            </w:r>
          </w:p>
        </w:tc>
        <w:tc>
          <w:tcPr>
            <w:tcW w:w="2767"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A892B1E" w14:textId="77777777" w:rsidR="001C42AA" w:rsidRPr="00DF4CE5" w:rsidRDefault="001C42AA" w:rsidP="001C42AA">
            <w:pPr>
              <w:spacing w:after="0" w:line="240" w:lineRule="auto"/>
              <w:rPr>
                <w:rFonts w:ascii="Cambria" w:eastAsia="Times New Roman" w:hAnsi="Cambria" w:cs="Calibri"/>
              </w:rPr>
            </w:pPr>
            <w:proofErr w:type="spellStart"/>
            <w:r w:rsidRPr="00DF4CE5">
              <w:rPr>
                <w:rFonts w:ascii="Cambria" w:eastAsia="Times New Roman" w:hAnsi="Cambria" w:cs="Calibri"/>
              </w:rPr>
              <w:t>hrvatski</w:t>
            </w:r>
            <w:proofErr w:type="spellEnd"/>
          </w:p>
        </w:tc>
      </w:tr>
      <w:tr w:rsidR="001C42AA" w:rsidRPr="00DF4CE5" w14:paraId="55980C81" w14:textId="77777777" w:rsidTr="00DB76CD">
        <w:tc>
          <w:tcPr>
            <w:tcW w:w="212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2AA42D3" w14:textId="77777777" w:rsidR="001C42AA" w:rsidRPr="00DF4CE5" w:rsidRDefault="001C42AA" w:rsidP="001C42AA">
            <w:pPr>
              <w:spacing w:after="0" w:line="240" w:lineRule="auto"/>
              <w:rPr>
                <w:rFonts w:ascii="Cambria" w:eastAsia="Times New Roman" w:hAnsi="Cambria" w:cs="Calibri"/>
              </w:rPr>
            </w:pPr>
            <w:proofErr w:type="spellStart"/>
            <w:r w:rsidRPr="00DF4CE5">
              <w:rPr>
                <w:rFonts w:ascii="Cambria" w:eastAsia="Times New Roman" w:hAnsi="Cambria" w:cs="Calibri"/>
              </w:rPr>
              <w:t>Broj</w:t>
            </w:r>
            <w:proofErr w:type="spellEnd"/>
            <w:r w:rsidRPr="00DF4CE5">
              <w:rPr>
                <w:rFonts w:ascii="Cambria" w:eastAsia="Times New Roman" w:hAnsi="Cambria" w:cs="Calibri"/>
              </w:rPr>
              <w:t xml:space="preserve"> ECTS </w:t>
            </w:r>
            <w:proofErr w:type="spellStart"/>
            <w:r w:rsidRPr="00DF4CE5">
              <w:rPr>
                <w:rFonts w:ascii="Cambria" w:eastAsia="Times New Roman" w:hAnsi="Cambria" w:cs="Calibri"/>
              </w:rPr>
              <w:t>bodova</w:t>
            </w:r>
            <w:proofErr w:type="spellEnd"/>
          </w:p>
        </w:tc>
        <w:tc>
          <w:tcPr>
            <w:tcW w:w="298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8D26E38" w14:textId="77777777" w:rsidR="001C42AA" w:rsidRPr="00DF4CE5" w:rsidRDefault="001C42AA" w:rsidP="001C42AA">
            <w:pPr>
              <w:spacing w:after="0" w:line="240" w:lineRule="auto"/>
              <w:rPr>
                <w:rFonts w:ascii="Cambria" w:eastAsia="Times New Roman" w:hAnsi="Cambria" w:cs="Calibri"/>
              </w:rPr>
            </w:pPr>
            <w:r w:rsidRPr="00DF4CE5">
              <w:rPr>
                <w:rFonts w:ascii="Cambria" w:eastAsia="Times New Roman" w:hAnsi="Cambria" w:cs="Calibri"/>
              </w:rPr>
              <w:t>1</w:t>
            </w:r>
          </w:p>
        </w:tc>
        <w:tc>
          <w:tcPr>
            <w:tcW w:w="146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6BDB44D1" w14:textId="77777777" w:rsidR="001C42AA" w:rsidRPr="00DF4CE5" w:rsidRDefault="001C42AA" w:rsidP="001C42AA">
            <w:pPr>
              <w:spacing w:after="0" w:line="240" w:lineRule="auto"/>
              <w:rPr>
                <w:rFonts w:ascii="Cambria" w:eastAsia="Times New Roman" w:hAnsi="Cambria" w:cs="Calibri"/>
              </w:rPr>
            </w:pPr>
            <w:proofErr w:type="spellStart"/>
            <w:r w:rsidRPr="00DF4CE5">
              <w:rPr>
                <w:rFonts w:ascii="Cambria" w:eastAsia="Times New Roman" w:hAnsi="Cambria" w:cs="Calibri"/>
              </w:rPr>
              <w:t>Broj</w:t>
            </w:r>
            <w:proofErr w:type="spellEnd"/>
            <w:r w:rsidRPr="00DF4CE5">
              <w:rPr>
                <w:rFonts w:ascii="Cambria" w:eastAsia="Times New Roman" w:hAnsi="Cambria" w:cs="Calibri"/>
              </w:rPr>
              <w:t xml:space="preserve"> sati u </w:t>
            </w:r>
            <w:proofErr w:type="spellStart"/>
            <w:r w:rsidRPr="00DF4CE5">
              <w:rPr>
                <w:rFonts w:ascii="Cambria" w:eastAsia="Times New Roman" w:hAnsi="Cambria" w:cs="Calibri"/>
              </w:rPr>
              <w:t>semestru</w:t>
            </w:r>
            <w:proofErr w:type="spellEnd"/>
          </w:p>
        </w:tc>
        <w:tc>
          <w:tcPr>
            <w:tcW w:w="2767"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5EBE409" w14:textId="613602BE" w:rsidR="001C42AA" w:rsidRPr="00DF4CE5" w:rsidRDefault="001C42AA" w:rsidP="001C42AA">
            <w:pPr>
              <w:spacing w:after="0" w:line="240" w:lineRule="auto"/>
              <w:rPr>
                <w:rFonts w:ascii="Cambria" w:eastAsia="Times New Roman" w:hAnsi="Cambria" w:cs="Calibri"/>
              </w:rPr>
            </w:pPr>
            <w:r w:rsidRPr="00DF4CE5">
              <w:rPr>
                <w:rFonts w:ascii="Cambria" w:eastAsia="Times New Roman" w:hAnsi="Cambria" w:cs="Calibri"/>
              </w:rPr>
              <w:t xml:space="preserve">0P – </w:t>
            </w:r>
            <w:r w:rsidR="00760C3A" w:rsidRPr="00DF4CE5">
              <w:rPr>
                <w:rFonts w:ascii="Cambria" w:eastAsia="Times New Roman" w:hAnsi="Cambria" w:cs="Calibri"/>
              </w:rPr>
              <w:t>0S</w:t>
            </w:r>
            <w:r w:rsidRPr="00DF4CE5">
              <w:rPr>
                <w:rFonts w:ascii="Cambria" w:eastAsia="Times New Roman" w:hAnsi="Cambria" w:cs="Calibri"/>
              </w:rPr>
              <w:t xml:space="preserve"> – </w:t>
            </w:r>
            <w:r w:rsidR="00760C3A" w:rsidRPr="00DF4CE5">
              <w:rPr>
                <w:rFonts w:ascii="Cambria" w:eastAsia="Times New Roman" w:hAnsi="Cambria" w:cs="Calibri"/>
              </w:rPr>
              <w:t>3</w:t>
            </w:r>
            <w:r w:rsidRPr="00DF4CE5">
              <w:rPr>
                <w:rFonts w:ascii="Cambria" w:eastAsia="Times New Roman" w:hAnsi="Cambria" w:cs="Calibri"/>
              </w:rPr>
              <w:t>0</w:t>
            </w:r>
            <w:r w:rsidR="00760C3A" w:rsidRPr="00DF4CE5">
              <w:rPr>
                <w:rFonts w:ascii="Cambria" w:eastAsia="Times New Roman" w:hAnsi="Cambria" w:cs="Calibri"/>
              </w:rPr>
              <w:t>V</w:t>
            </w:r>
          </w:p>
        </w:tc>
      </w:tr>
      <w:tr w:rsidR="001C42AA" w:rsidRPr="00D0399C" w14:paraId="613DCDBF" w14:textId="77777777" w:rsidTr="00DB76CD">
        <w:tc>
          <w:tcPr>
            <w:tcW w:w="212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5248588" w14:textId="77777777" w:rsidR="001C42AA" w:rsidRPr="00DF4CE5" w:rsidRDefault="001C42AA" w:rsidP="001C42AA">
            <w:pPr>
              <w:spacing w:after="0" w:line="240" w:lineRule="auto"/>
              <w:rPr>
                <w:rFonts w:ascii="Cambria" w:eastAsia="Times New Roman" w:hAnsi="Cambria" w:cs="Calibri"/>
                <w:lang w:val="it-IT"/>
              </w:rPr>
            </w:pPr>
            <w:proofErr w:type="spellStart"/>
            <w:r w:rsidRPr="00DF4CE5">
              <w:rPr>
                <w:rFonts w:ascii="Cambria" w:eastAsia="Times New Roman" w:hAnsi="Cambria" w:cs="Calibri"/>
                <w:lang w:val="it-IT"/>
              </w:rPr>
              <w:t>Preduvjeti</w:t>
            </w:r>
            <w:proofErr w:type="spellEnd"/>
            <w:r w:rsidRPr="00DF4CE5">
              <w:rPr>
                <w:rFonts w:ascii="Cambria" w:eastAsia="Times New Roman" w:hAnsi="Cambria" w:cs="Calibri"/>
                <w:lang w:val="it-IT"/>
              </w:rPr>
              <w:t xml:space="preserve"> za </w:t>
            </w:r>
            <w:proofErr w:type="spellStart"/>
            <w:r w:rsidRPr="00DF4CE5">
              <w:rPr>
                <w:rFonts w:ascii="Cambria" w:eastAsia="Times New Roman" w:hAnsi="Cambria" w:cs="Calibri"/>
                <w:lang w:val="it-IT"/>
              </w:rPr>
              <w:t>upis</w:t>
            </w:r>
            <w:proofErr w:type="spellEnd"/>
            <w:r w:rsidRPr="00DF4CE5">
              <w:rPr>
                <w:rFonts w:ascii="Cambria" w:eastAsia="Times New Roman" w:hAnsi="Cambria" w:cs="Calibri"/>
                <w:lang w:val="it-IT"/>
              </w:rPr>
              <w:t xml:space="preserve"> i za </w:t>
            </w:r>
            <w:proofErr w:type="spellStart"/>
            <w:r w:rsidRPr="00DF4CE5">
              <w:rPr>
                <w:rFonts w:ascii="Cambria" w:eastAsia="Times New Roman" w:hAnsi="Cambria" w:cs="Calibri"/>
                <w:lang w:val="it-IT"/>
              </w:rPr>
              <w:t>svladavanje</w:t>
            </w:r>
            <w:proofErr w:type="spellEnd"/>
          </w:p>
        </w:tc>
        <w:tc>
          <w:tcPr>
            <w:tcW w:w="721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52395FD" w14:textId="77777777" w:rsidR="001C42AA" w:rsidRPr="00DF4CE5" w:rsidRDefault="001C42AA" w:rsidP="001C42AA">
            <w:pPr>
              <w:spacing w:after="0" w:line="240" w:lineRule="auto"/>
              <w:jc w:val="both"/>
              <w:rPr>
                <w:rFonts w:ascii="Cambria" w:eastAsia="Times New Roman" w:hAnsi="Cambria" w:cs="Calibri"/>
                <w:lang w:val="it-IT"/>
              </w:rPr>
            </w:pPr>
            <w:proofErr w:type="spellStart"/>
            <w:r w:rsidRPr="00DF4CE5">
              <w:rPr>
                <w:rFonts w:ascii="Cambria" w:eastAsia="Times New Roman" w:hAnsi="Cambria" w:cs="Calibri"/>
                <w:lang w:val="it-IT"/>
              </w:rPr>
              <w:t>Usvojena</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temeljna</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motorička</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znanja</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tijekom</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dosadašnjeg</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školovanja</w:t>
            </w:r>
            <w:proofErr w:type="spellEnd"/>
            <w:r w:rsidRPr="00DF4CE5">
              <w:rPr>
                <w:rFonts w:ascii="Cambria" w:eastAsia="Times New Roman" w:hAnsi="Cambria" w:cs="Calibri"/>
                <w:lang w:val="it-IT"/>
              </w:rPr>
              <w:t xml:space="preserve"> i </w:t>
            </w:r>
            <w:proofErr w:type="spellStart"/>
            <w:r w:rsidRPr="00DF4CE5">
              <w:rPr>
                <w:rFonts w:ascii="Cambria" w:eastAsia="Times New Roman" w:hAnsi="Cambria" w:cs="Calibri"/>
                <w:lang w:val="it-IT"/>
              </w:rPr>
              <w:t>razina</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motoričkih</w:t>
            </w:r>
            <w:proofErr w:type="spellEnd"/>
            <w:r w:rsidRPr="00DF4CE5">
              <w:rPr>
                <w:rFonts w:ascii="Cambria" w:eastAsia="Times New Roman" w:hAnsi="Cambria" w:cs="Calibri"/>
                <w:lang w:val="it-IT"/>
              </w:rPr>
              <w:t xml:space="preserve"> i </w:t>
            </w:r>
            <w:proofErr w:type="spellStart"/>
            <w:r w:rsidRPr="00DF4CE5">
              <w:rPr>
                <w:rFonts w:ascii="Cambria" w:eastAsia="Times New Roman" w:hAnsi="Cambria" w:cs="Calibri"/>
                <w:lang w:val="it-IT"/>
              </w:rPr>
              <w:t>funkcionalnih</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sposobnosti</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primjerena</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dobi</w:t>
            </w:r>
            <w:proofErr w:type="spellEnd"/>
            <w:r w:rsidRPr="00DF4CE5">
              <w:rPr>
                <w:rFonts w:ascii="Cambria" w:eastAsia="Times New Roman" w:hAnsi="Cambria" w:cs="Calibri"/>
                <w:lang w:val="it-IT"/>
              </w:rPr>
              <w:t>.</w:t>
            </w:r>
          </w:p>
        </w:tc>
      </w:tr>
      <w:tr w:rsidR="001C42AA" w:rsidRPr="00DF4CE5" w14:paraId="2CD4851A" w14:textId="77777777" w:rsidTr="00DB76CD">
        <w:tc>
          <w:tcPr>
            <w:tcW w:w="212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B0AF321" w14:textId="77777777" w:rsidR="001C42AA" w:rsidRPr="00DF4CE5" w:rsidRDefault="001C42AA" w:rsidP="001C42AA">
            <w:pPr>
              <w:spacing w:after="0" w:line="240" w:lineRule="auto"/>
              <w:rPr>
                <w:rFonts w:ascii="Cambria" w:eastAsia="Times New Roman" w:hAnsi="Cambria" w:cs="Calibri"/>
              </w:rPr>
            </w:pPr>
            <w:proofErr w:type="spellStart"/>
            <w:r w:rsidRPr="00DF4CE5">
              <w:rPr>
                <w:rFonts w:ascii="Cambria" w:eastAsia="Times New Roman" w:hAnsi="Cambria" w:cs="Calibri"/>
              </w:rPr>
              <w:t>Korelativnost</w:t>
            </w:r>
            <w:proofErr w:type="spellEnd"/>
          </w:p>
        </w:tc>
        <w:tc>
          <w:tcPr>
            <w:tcW w:w="721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E1DEB32" w14:textId="77777777" w:rsidR="001C42AA" w:rsidRPr="00DF4CE5" w:rsidRDefault="001C42AA" w:rsidP="001C42AA">
            <w:pPr>
              <w:spacing w:after="0" w:line="240" w:lineRule="auto"/>
              <w:jc w:val="both"/>
              <w:rPr>
                <w:rFonts w:ascii="Cambria" w:eastAsia="Times New Roman" w:hAnsi="Cambria" w:cs="Calibri"/>
              </w:rPr>
            </w:pPr>
            <w:proofErr w:type="spellStart"/>
            <w:r w:rsidRPr="00DF4CE5">
              <w:rPr>
                <w:rFonts w:ascii="Cambria" w:eastAsia="Times New Roman" w:hAnsi="Cambria" w:cs="Calibri"/>
              </w:rPr>
              <w:t>Kineziologija</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Kineziološka</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metodika</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Glazbena</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kultura</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Prirodoslovlje</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Geografija</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Povijest</w:t>
            </w:r>
            <w:proofErr w:type="spellEnd"/>
          </w:p>
        </w:tc>
      </w:tr>
      <w:tr w:rsidR="001C42AA" w:rsidRPr="00DF4CE5" w14:paraId="3297EFA7" w14:textId="77777777" w:rsidTr="00DB76CD">
        <w:tc>
          <w:tcPr>
            <w:tcW w:w="212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003092A" w14:textId="77777777" w:rsidR="001C42AA" w:rsidRPr="00DF4CE5" w:rsidRDefault="001C42AA" w:rsidP="001C42AA">
            <w:pPr>
              <w:spacing w:after="0" w:line="240" w:lineRule="auto"/>
              <w:rPr>
                <w:rFonts w:ascii="Cambria" w:eastAsia="Times New Roman" w:hAnsi="Cambria" w:cs="Calibri"/>
              </w:rPr>
            </w:pPr>
            <w:proofErr w:type="spellStart"/>
            <w:r w:rsidRPr="00DF4CE5">
              <w:rPr>
                <w:rFonts w:ascii="Cambria" w:eastAsia="Times New Roman" w:hAnsi="Cambria" w:cs="Calibri"/>
              </w:rPr>
              <w:t>Cilj</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kolegija</w:t>
            </w:r>
            <w:proofErr w:type="spellEnd"/>
            <w:r w:rsidRPr="00DF4CE5">
              <w:rPr>
                <w:rFonts w:ascii="Cambria" w:eastAsia="Times New Roman" w:hAnsi="Cambria" w:cs="Calibri"/>
              </w:rPr>
              <w:t xml:space="preserve"> </w:t>
            </w:r>
          </w:p>
        </w:tc>
        <w:tc>
          <w:tcPr>
            <w:tcW w:w="721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F837E7A" w14:textId="77777777" w:rsidR="001C42AA" w:rsidRPr="00DF4CE5" w:rsidRDefault="001C42AA" w:rsidP="001C42AA">
            <w:pPr>
              <w:spacing w:after="0" w:line="240" w:lineRule="auto"/>
              <w:jc w:val="both"/>
              <w:rPr>
                <w:rFonts w:ascii="Cambria" w:eastAsia="Times New Roman" w:hAnsi="Cambria" w:cs="Calibri"/>
              </w:rPr>
            </w:pPr>
            <w:proofErr w:type="spellStart"/>
            <w:r w:rsidRPr="00DF4CE5">
              <w:rPr>
                <w:rFonts w:ascii="Cambria" w:eastAsia="Times New Roman" w:hAnsi="Cambria" w:cs="Calibri"/>
              </w:rPr>
              <w:t>Utjecati</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na</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razvoj</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antropoloških</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obilježja</w:t>
            </w:r>
            <w:proofErr w:type="spellEnd"/>
            <w:r w:rsidRPr="00DF4CE5">
              <w:rPr>
                <w:rFonts w:ascii="Cambria" w:eastAsia="Times New Roman" w:hAnsi="Cambria" w:cs="Calibri"/>
              </w:rPr>
              <w:t xml:space="preserve"> s </w:t>
            </w:r>
            <w:proofErr w:type="spellStart"/>
            <w:r w:rsidRPr="00DF4CE5">
              <w:rPr>
                <w:rFonts w:ascii="Cambria" w:eastAsia="Times New Roman" w:hAnsi="Cambria" w:cs="Calibri"/>
              </w:rPr>
              <w:t>ciljem</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očuvanja</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i</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unapređenja</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zdravlja</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i</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kvalitete</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života</w:t>
            </w:r>
            <w:proofErr w:type="spellEnd"/>
            <w:r w:rsidRPr="00DF4CE5">
              <w:rPr>
                <w:rFonts w:ascii="Cambria" w:eastAsia="Times New Roman" w:hAnsi="Cambria" w:cs="Calibri"/>
              </w:rPr>
              <w:t>.</w:t>
            </w:r>
          </w:p>
        </w:tc>
      </w:tr>
      <w:tr w:rsidR="001C42AA" w:rsidRPr="00D0399C" w14:paraId="66B213B1" w14:textId="77777777" w:rsidTr="00DB76CD">
        <w:tc>
          <w:tcPr>
            <w:tcW w:w="212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9D1B1A3" w14:textId="77777777" w:rsidR="001C42AA" w:rsidRPr="00DF4CE5" w:rsidRDefault="001C42AA" w:rsidP="001C42AA">
            <w:pPr>
              <w:spacing w:after="0" w:line="240" w:lineRule="auto"/>
              <w:rPr>
                <w:rFonts w:ascii="Cambria" w:eastAsia="Times New Roman" w:hAnsi="Cambria" w:cs="Calibri"/>
              </w:rPr>
            </w:pPr>
            <w:proofErr w:type="spellStart"/>
            <w:r w:rsidRPr="00DF4CE5">
              <w:rPr>
                <w:rFonts w:ascii="Cambria" w:eastAsia="Times New Roman" w:hAnsi="Cambria" w:cs="Calibri"/>
              </w:rPr>
              <w:t>Ishodi</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učenja</w:t>
            </w:r>
            <w:proofErr w:type="spellEnd"/>
          </w:p>
        </w:tc>
        <w:tc>
          <w:tcPr>
            <w:tcW w:w="721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C987722" w14:textId="77777777" w:rsidR="001C42AA" w:rsidRPr="00DF4CE5" w:rsidRDefault="001C42AA" w:rsidP="001C42AA">
            <w:pPr>
              <w:spacing w:after="0" w:line="240" w:lineRule="auto"/>
              <w:jc w:val="both"/>
              <w:rPr>
                <w:rFonts w:ascii="Cambria" w:eastAsia="Times New Roman" w:hAnsi="Cambria" w:cs="Calibri"/>
              </w:rPr>
            </w:pPr>
            <w:r w:rsidRPr="00DF4CE5">
              <w:rPr>
                <w:rFonts w:ascii="Cambria" w:eastAsia="Times New Roman" w:hAnsi="Cambria" w:cs="Calibri"/>
              </w:rPr>
              <w:t xml:space="preserve">1. </w:t>
            </w:r>
            <w:proofErr w:type="spellStart"/>
            <w:r w:rsidRPr="00DF4CE5">
              <w:rPr>
                <w:rFonts w:ascii="Cambria" w:eastAsia="Times New Roman" w:hAnsi="Cambria" w:cs="Calibri"/>
              </w:rPr>
              <w:t>primijeniti</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usvojena</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teorijska</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znanja</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pojedinih</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kinezioloških</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aktivnosti</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i</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temeljna</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metodička</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načela</w:t>
            </w:r>
            <w:proofErr w:type="spellEnd"/>
          </w:p>
          <w:p w14:paraId="101F20AE" w14:textId="77777777" w:rsidR="001C42AA" w:rsidRPr="00DF4CE5" w:rsidRDefault="001C42AA" w:rsidP="001C42AA">
            <w:pPr>
              <w:spacing w:after="0" w:line="240" w:lineRule="auto"/>
              <w:jc w:val="both"/>
              <w:rPr>
                <w:rFonts w:ascii="Cambria" w:eastAsia="Times New Roman" w:hAnsi="Cambria" w:cs="Calibri"/>
              </w:rPr>
            </w:pPr>
            <w:r w:rsidRPr="00DF4CE5">
              <w:rPr>
                <w:rFonts w:ascii="Cambria" w:eastAsia="Times New Roman" w:hAnsi="Cambria" w:cs="Calibri"/>
              </w:rPr>
              <w:t xml:space="preserve">2. </w:t>
            </w:r>
            <w:proofErr w:type="spellStart"/>
            <w:r w:rsidRPr="00DF4CE5">
              <w:rPr>
                <w:rFonts w:ascii="Cambria" w:eastAsia="Times New Roman" w:hAnsi="Cambria" w:cs="Calibri"/>
              </w:rPr>
              <w:t>demonstrirati</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sve</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prirodne</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oblike</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kretanja</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i</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bazične</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strukture</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sve</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četiri</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skupine</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biotičkih</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motoričkih</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znanja</w:t>
            </w:r>
            <w:proofErr w:type="spellEnd"/>
            <w:r w:rsidRPr="00DF4CE5">
              <w:rPr>
                <w:rFonts w:ascii="Cambria" w:eastAsia="Times New Roman" w:hAnsi="Cambria" w:cs="Calibri"/>
              </w:rPr>
              <w:t xml:space="preserve"> (za </w:t>
            </w:r>
            <w:proofErr w:type="spellStart"/>
            <w:r w:rsidRPr="00DF4CE5">
              <w:rPr>
                <w:rFonts w:ascii="Cambria" w:eastAsia="Times New Roman" w:hAnsi="Cambria" w:cs="Calibri"/>
              </w:rPr>
              <w:t>savladavanje</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prostora</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prepreka</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otpora</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i</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manipulaciju</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predmetima</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bazične</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strukture</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iz</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područja</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atletike</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odbojke</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i</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plesa</w:t>
            </w:r>
            <w:proofErr w:type="spellEnd"/>
          </w:p>
          <w:p w14:paraId="15357813" w14:textId="77777777" w:rsidR="001C42AA" w:rsidRPr="00DF4CE5" w:rsidRDefault="001C42AA" w:rsidP="001C42AA">
            <w:pPr>
              <w:spacing w:after="0" w:line="240" w:lineRule="auto"/>
              <w:jc w:val="both"/>
              <w:rPr>
                <w:rFonts w:ascii="Cambria" w:eastAsia="Times New Roman" w:hAnsi="Cambria" w:cs="Calibri"/>
                <w:lang w:val="it-IT"/>
              </w:rPr>
            </w:pPr>
            <w:r w:rsidRPr="00DF4CE5">
              <w:rPr>
                <w:rFonts w:ascii="Cambria" w:eastAsia="Times New Roman" w:hAnsi="Cambria" w:cs="Calibri"/>
                <w:lang w:val="it-IT"/>
              </w:rPr>
              <w:t xml:space="preserve">3. </w:t>
            </w:r>
            <w:proofErr w:type="spellStart"/>
            <w:r w:rsidRPr="00DF4CE5">
              <w:rPr>
                <w:rFonts w:ascii="Cambria" w:eastAsia="Times New Roman" w:hAnsi="Cambria" w:cs="Calibri"/>
                <w:lang w:val="it-IT"/>
              </w:rPr>
              <w:t>primijeniti</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osnove</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procjene</w:t>
            </w:r>
            <w:proofErr w:type="spellEnd"/>
            <w:r w:rsidRPr="00DF4CE5">
              <w:rPr>
                <w:rFonts w:ascii="Cambria" w:eastAsia="Times New Roman" w:hAnsi="Cambria" w:cs="Calibri"/>
                <w:lang w:val="it-IT"/>
              </w:rPr>
              <w:t xml:space="preserve"> i </w:t>
            </w:r>
            <w:proofErr w:type="spellStart"/>
            <w:r w:rsidRPr="00DF4CE5">
              <w:rPr>
                <w:rFonts w:ascii="Cambria" w:eastAsia="Times New Roman" w:hAnsi="Cambria" w:cs="Calibri"/>
                <w:lang w:val="it-IT"/>
              </w:rPr>
              <w:t>vrednovanja</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rezultata</w:t>
            </w:r>
            <w:proofErr w:type="spellEnd"/>
            <w:r w:rsidRPr="00DF4CE5">
              <w:rPr>
                <w:rFonts w:ascii="Cambria" w:eastAsia="Times New Roman" w:hAnsi="Cambria" w:cs="Calibri"/>
                <w:lang w:val="it-IT"/>
              </w:rPr>
              <w:t xml:space="preserve"> rada u </w:t>
            </w:r>
            <w:proofErr w:type="spellStart"/>
            <w:r w:rsidRPr="00DF4CE5">
              <w:rPr>
                <w:rFonts w:ascii="Cambria" w:eastAsia="Times New Roman" w:hAnsi="Cambria" w:cs="Calibri"/>
                <w:lang w:val="it-IT"/>
              </w:rPr>
              <w:t>nastavi</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Kineziološke</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kulture</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Tjelesne</w:t>
            </w:r>
            <w:proofErr w:type="spellEnd"/>
            <w:r w:rsidRPr="00DF4CE5">
              <w:rPr>
                <w:rFonts w:ascii="Cambria" w:eastAsia="Times New Roman" w:hAnsi="Cambria" w:cs="Calibri"/>
                <w:lang w:val="it-IT"/>
              </w:rPr>
              <w:t xml:space="preserve"> i </w:t>
            </w:r>
            <w:proofErr w:type="spellStart"/>
            <w:r w:rsidRPr="00DF4CE5">
              <w:rPr>
                <w:rFonts w:ascii="Cambria" w:eastAsia="Times New Roman" w:hAnsi="Cambria" w:cs="Calibri"/>
                <w:lang w:val="it-IT"/>
              </w:rPr>
              <w:t>zdravstvene</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kulture</w:t>
            </w:r>
            <w:proofErr w:type="spellEnd"/>
            <w:r w:rsidRPr="00DF4CE5">
              <w:rPr>
                <w:rFonts w:ascii="Cambria" w:eastAsia="Times New Roman" w:hAnsi="Cambria" w:cs="Calibri"/>
                <w:lang w:val="it-IT"/>
              </w:rPr>
              <w:t>)</w:t>
            </w:r>
          </w:p>
          <w:p w14:paraId="3F4C219B" w14:textId="77777777" w:rsidR="001C42AA" w:rsidRPr="00DF4CE5" w:rsidRDefault="001C42AA" w:rsidP="001C42AA">
            <w:pPr>
              <w:spacing w:after="0" w:line="240" w:lineRule="auto"/>
              <w:jc w:val="both"/>
              <w:rPr>
                <w:rFonts w:ascii="Cambria" w:eastAsia="Times New Roman" w:hAnsi="Cambria" w:cs="Calibri"/>
                <w:vertAlign w:val="subscript"/>
                <w:lang w:val="it-IT"/>
              </w:rPr>
            </w:pPr>
            <w:r w:rsidRPr="00DF4CE5">
              <w:rPr>
                <w:rFonts w:ascii="Cambria" w:eastAsia="Times New Roman" w:hAnsi="Cambria" w:cs="Calibri"/>
                <w:lang w:val="it-IT"/>
              </w:rPr>
              <w:t xml:space="preserve">4. </w:t>
            </w:r>
            <w:proofErr w:type="spellStart"/>
            <w:r w:rsidRPr="00DF4CE5">
              <w:rPr>
                <w:rFonts w:ascii="Cambria" w:eastAsia="Times New Roman" w:hAnsi="Cambria" w:cs="Calibri"/>
                <w:lang w:val="it-IT"/>
              </w:rPr>
              <w:t>interpretirati</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spoznaju</w:t>
            </w:r>
            <w:proofErr w:type="spellEnd"/>
            <w:r w:rsidRPr="00DF4CE5">
              <w:rPr>
                <w:rFonts w:ascii="Cambria" w:eastAsia="Times New Roman" w:hAnsi="Cambria" w:cs="Calibri"/>
                <w:lang w:val="it-IT"/>
              </w:rPr>
              <w:t xml:space="preserve"> o </w:t>
            </w:r>
            <w:proofErr w:type="spellStart"/>
            <w:r w:rsidRPr="00DF4CE5">
              <w:rPr>
                <w:rFonts w:ascii="Cambria" w:eastAsia="Times New Roman" w:hAnsi="Cambria" w:cs="Calibri"/>
                <w:lang w:val="it-IT"/>
              </w:rPr>
              <w:t>koristi</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redovitog</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cjeloživotnog</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tjelesnog</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vježbanja</w:t>
            </w:r>
            <w:proofErr w:type="spellEnd"/>
            <w:r w:rsidRPr="00DF4CE5">
              <w:rPr>
                <w:rFonts w:ascii="Cambria" w:eastAsia="Times New Roman" w:hAnsi="Cambria" w:cs="Calibri"/>
                <w:lang w:val="it-IT"/>
              </w:rPr>
              <w:t xml:space="preserve"> u </w:t>
            </w:r>
            <w:proofErr w:type="spellStart"/>
            <w:r w:rsidRPr="00DF4CE5">
              <w:rPr>
                <w:rFonts w:ascii="Cambria" w:eastAsia="Times New Roman" w:hAnsi="Cambria" w:cs="Calibri"/>
                <w:lang w:val="it-IT"/>
              </w:rPr>
              <w:t>cilju</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unapređenja</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zdravlja</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unaprjeđenjem</w:t>
            </w:r>
            <w:proofErr w:type="spellEnd"/>
            <w:r w:rsidRPr="00DF4CE5">
              <w:rPr>
                <w:rFonts w:ascii="Cambria" w:eastAsia="Times New Roman" w:hAnsi="Cambria" w:cs="Calibri"/>
                <w:lang w:val="it-IT"/>
              </w:rPr>
              <w:t xml:space="preserve"> i </w:t>
            </w:r>
            <w:proofErr w:type="spellStart"/>
            <w:r w:rsidRPr="00DF4CE5">
              <w:rPr>
                <w:rFonts w:ascii="Cambria" w:eastAsia="Times New Roman" w:hAnsi="Cambria" w:cs="Calibri"/>
                <w:lang w:val="it-IT"/>
              </w:rPr>
              <w:t>održavanjem</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osobnih</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motoričkih</w:t>
            </w:r>
            <w:proofErr w:type="spellEnd"/>
            <w:r w:rsidRPr="00DF4CE5">
              <w:rPr>
                <w:rFonts w:ascii="Cambria" w:eastAsia="Times New Roman" w:hAnsi="Cambria" w:cs="Calibri"/>
                <w:lang w:val="it-IT"/>
              </w:rPr>
              <w:t xml:space="preserve"> i </w:t>
            </w:r>
            <w:proofErr w:type="spellStart"/>
            <w:r w:rsidRPr="00DF4CE5">
              <w:rPr>
                <w:rFonts w:ascii="Cambria" w:eastAsia="Times New Roman" w:hAnsi="Cambria" w:cs="Calibri"/>
                <w:lang w:val="it-IT"/>
              </w:rPr>
              <w:t>funkcionalnih</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sposobnosti</w:t>
            </w:r>
            <w:proofErr w:type="spellEnd"/>
            <w:r w:rsidRPr="00DF4CE5">
              <w:rPr>
                <w:rFonts w:ascii="Cambria" w:eastAsia="Times New Roman" w:hAnsi="Cambria" w:cs="Calibri"/>
                <w:lang w:val="it-IT"/>
              </w:rPr>
              <w:t xml:space="preserve"> u </w:t>
            </w:r>
            <w:proofErr w:type="spellStart"/>
            <w:r w:rsidRPr="00DF4CE5">
              <w:rPr>
                <w:rFonts w:ascii="Cambria" w:eastAsia="Times New Roman" w:hAnsi="Cambria" w:cs="Calibri"/>
                <w:lang w:val="it-IT"/>
              </w:rPr>
              <w:t>svakodnevnom</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životu</w:t>
            </w:r>
            <w:proofErr w:type="spellEnd"/>
            <w:r w:rsidRPr="00DF4CE5">
              <w:rPr>
                <w:rFonts w:ascii="Cambria" w:eastAsia="Times New Roman" w:hAnsi="Cambria" w:cs="Calibri"/>
                <w:lang w:val="it-IT"/>
              </w:rPr>
              <w:t xml:space="preserve"> i </w:t>
            </w:r>
            <w:proofErr w:type="spellStart"/>
            <w:r w:rsidRPr="00DF4CE5">
              <w:rPr>
                <w:rFonts w:ascii="Cambria" w:eastAsia="Times New Roman" w:hAnsi="Cambria" w:cs="Calibri"/>
                <w:lang w:val="it-IT"/>
              </w:rPr>
              <w:t>radu</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kao</w:t>
            </w:r>
            <w:proofErr w:type="spellEnd"/>
            <w:r w:rsidRPr="00DF4CE5">
              <w:rPr>
                <w:rFonts w:ascii="Cambria" w:eastAsia="Times New Roman" w:hAnsi="Cambria" w:cs="Calibri"/>
                <w:lang w:val="it-IT"/>
              </w:rPr>
              <w:t xml:space="preserve"> </w:t>
            </w:r>
            <w:proofErr w:type="gramStart"/>
            <w:r w:rsidRPr="00DF4CE5">
              <w:rPr>
                <w:rFonts w:ascii="Cambria" w:eastAsia="Times New Roman" w:hAnsi="Cambria" w:cs="Calibri"/>
                <w:lang w:val="it-IT"/>
              </w:rPr>
              <w:t>i u</w:t>
            </w:r>
            <w:proofErr w:type="gram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svom</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budućem</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radu</w:t>
            </w:r>
            <w:proofErr w:type="spellEnd"/>
            <w:r w:rsidRPr="00DF4CE5">
              <w:rPr>
                <w:rFonts w:ascii="Cambria" w:eastAsia="Times New Roman" w:hAnsi="Cambria" w:cs="Calibri"/>
                <w:lang w:val="it-IT"/>
              </w:rPr>
              <w:t xml:space="preserve"> s </w:t>
            </w:r>
            <w:proofErr w:type="spellStart"/>
            <w:r w:rsidRPr="00DF4CE5">
              <w:rPr>
                <w:rFonts w:ascii="Cambria" w:eastAsia="Times New Roman" w:hAnsi="Cambria" w:cs="Calibri"/>
                <w:lang w:val="it-IT"/>
              </w:rPr>
              <w:t>djecom</w:t>
            </w:r>
            <w:proofErr w:type="spellEnd"/>
            <w:r w:rsidRPr="00DF4CE5">
              <w:rPr>
                <w:rFonts w:ascii="Cambria" w:eastAsia="Times New Roman" w:hAnsi="Cambria" w:cs="Calibri"/>
                <w:lang w:val="it-IT"/>
              </w:rPr>
              <w:t xml:space="preserve">, te o </w:t>
            </w:r>
            <w:proofErr w:type="spellStart"/>
            <w:r w:rsidRPr="00DF4CE5">
              <w:rPr>
                <w:rFonts w:ascii="Cambria" w:eastAsia="Times New Roman" w:hAnsi="Cambria" w:cs="Calibri"/>
                <w:lang w:val="it-IT"/>
              </w:rPr>
              <w:t>ispravnoj</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prehrani</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štetnosti</w:t>
            </w:r>
            <w:proofErr w:type="spellEnd"/>
            <w:r w:rsidRPr="00DF4CE5">
              <w:rPr>
                <w:rFonts w:ascii="Cambria" w:eastAsia="Times New Roman" w:hAnsi="Cambria" w:cs="Calibri"/>
                <w:lang w:val="it-IT"/>
              </w:rPr>
              <w:t xml:space="preserve"> i </w:t>
            </w:r>
            <w:proofErr w:type="spellStart"/>
            <w:r w:rsidRPr="00DF4CE5">
              <w:rPr>
                <w:rFonts w:ascii="Cambria" w:eastAsia="Times New Roman" w:hAnsi="Cambria" w:cs="Calibri"/>
                <w:lang w:val="it-IT"/>
              </w:rPr>
              <w:t>prevenciji</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bolesti</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ovisnosti</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koje</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izaziva</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konzumiranje</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cigareta</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alkohola</w:t>
            </w:r>
            <w:proofErr w:type="spellEnd"/>
            <w:r w:rsidRPr="00DF4CE5">
              <w:rPr>
                <w:rFonts w:ascii="Cambria" w:eastAsia="Times New Roman" w:hAnsi="Cambria" w:cs="Calibri"/>
                <w:lang w:val="it-IT"/>
              </w:rPr>
              <w:t xml:space="preserve"> i </w:t>
            </w:r>
            <w:proofErr w:type="spellStart"/>
            <w:r w:rsidRPr="00DF4CE5">
              <w:rPr>
                <w:rFonts w:ascii="Cambria" w:eastAsia="Times New Roman" w:hAnsi="Cambria" w:cs="Calibri"/>
                <w:lang w:val="it-IT"/>
              </w:rPr>
              <w:t>opojnih</w:t>
            </w:r>
            <w:proofErr w:type="spellEnd"/>
            <w:r w:rsidRPr="00DF4CE5">
              <w:rPr>
                <w:rFonts w:ascii="Cambria" w:eastAsia="Times New Roman" w:hAnsi="Cambria" w:cs="Calibri"/>
                <w:lang w:val="it-IT"/>
              </w:rPr>
              <w:t xml:space="preserve"> droga</w:t>
            </w:r>
          </w:p>
        </w:tc>
      </w:tr>
      <w:tr w:rsidR="001C42AA" w:rsidRPr="00D0399C" w14:paraId="0F0C2274" w14:textId="77777777" w:rsidTr="00DB76CD">
        <w:tc>
          <w:tcPr>
            <w:tcW w:w="2124"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58AA6C14" w14:textId="77777777" w:rsidR="001C42AA" w:rsidRPr="00DF4CE5" w:rsidRDefault="001C42AA" w:rsidP="001C42AA">
            <w:pPr>
              <w:spacing w:after="0" w:line="240" w:lineRule="auto"/>
              <w:rPr>
                <w:rFonts w:ascii="Cambria" w:eastAsia="Times New Roman" w:hAnsi="Cambria" w:cs="Calibri"/>
              </w:rPr>
            </w:pPr>
            <w:proofErr w:type="spellStart"/>
            <w:r w:rsidRPr="00DF4CE5">
              <w:rPr>
                <w:rFonts w:ascii="Cambria" w:eastAsia="Times New Roman" w:hAnsi="Cambria" w:cs="Calibri"/>
              </w:rPr>
              <w:t>Sadržaj</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kolegija</w:t>
            </w:r>
            <w:proofErr w:type="spellEnd"/>
          </w:p>
        </w:tc>
        <w:tc>
          <w:tcPr>
            <w:tcW w:w="7216"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D0121FF" w14:textId="77777777" w:rsidR="001C42AA" w:rsidRPr="00DF4CE5" w:rsidRDefault="001C42AA" w:rsidP="001C42AA">
            <w:pPr>
              <w:spacing w:after="0" w:line="240" w:lineRule="auto"/>
              <w:jc w:val="both"/>
              <w:rPr>
                <w:rFonts w:ascii="Cambria" w:eastAsia="Times New Roman" w:hAnsi="Cambria" w:cs="Calibri"/>
              </w:rPr>
            </w:pPr>
            <w:r w:rsidRPr="00DF4CE5">
              <w:rPr>
                <w:rFonts w:ascii="Cambria" w:eastAsia="Times New Roman" w:hAnsi="Cambria" w:cs="Calibri"/>
              </w:rPr>
              <w:t xml:space="preserve">1. </w:t>
            </w:r>
            <w:proofErr w:type="spellStart"/>
            <w:r w:rsidRPr="00DF4CE5">
              <w:rPr>
                <w:rFonts w:ascii="Cambria" w:eastAsia="Times New Roman" w:hAnsi="Cambria" w:cs="Calibri"/>
              </w:rPr>
              <w:t>Opće</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pripremne</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vježbe</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dinamičke</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vježbe</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istezanja</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vježbe</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snage</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statičke</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vježbe</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istezanja</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kroz</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različite</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organizacijske</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oblike</w:t>
            </w:r>
            <w:proofErr w:type="spellEnd"/>
            <w:r w:rsidRPr="00DF4CE5">
              <w:rPr>
                <w:rFonts w:ascii="Cambria" w:eastAsia="Times New Roman" w:hAnsi="Cambria" w:cs="Calibri"/>
              </w:rPr>
              <w:t xml:space="preserve"> rada (</w:t>
            </w:r>
            <w:proofErr w:type="spellStart"/>
            <w:r w:rsidRPr="00DF4CE5">
              <w:rPr>
                <w:rFonts w:ascii="Cambria" w:eastAsia="Times New Roman" w:hAnsi="Cambria" w:cs="Calibri"/>
              </w:rPr>
              <w:t>sa</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i</w:t>
            </w:r>
            <w:proofErr w:type="spellEnd"/>
            <w:r w:rsidRPr="00DF4CE5">
              <w:rPr>
                <w:rFonts w:ascii="Cambria" w:eastAsia="Times New Roman" w:hAnsi="Cambria" w:cs="Calibri"/>
              </w:rPr>
              <w:t xml:space="preserve"> bez </w:t>
            </w:r>
            <w:proofErr w:type="spellStart"/>
            <w:r w:rsidRPr="00DF4CE5">
              <w:rPr>
                <w:rFonts w:ascii="Cambria" w:eastAsia="Times New Roman" w:hAnsi="Cambria" w:cs="Calibri"/>
              </w:rPr>
              <w:t>rekvizita</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sa</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i</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na</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spravama</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sa</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i</w:t>
            </w:r>
            <w:proofErr w:type="spellEnd"/>
            <w:r w:rsidRPr="00DF4CE5">
              <w:rPr>
                <w:rFonts w:ascii="Cambria" w:eastAsia="Times New Roman" w:hAnsi="Cambria" w:cs="Calibri"/>
              </w:rPr>
              <w:t xml:space="preserve"> bez </w:t>
            </w:r>
            <w:proofErr w:type="spellStart"/>
            <w:r w:rsidRPr="00DF4CE5">
              <w:rPr>
                <w:rFonts w:ascii="Cambria" w:eastAsia="Times New Roman" w:hAnsi="Cambria" w:cs="Calibri"/>
              </w:rPr>
              <w:t>glazbe</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samostalno</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i</w:t>
            </w:r>
            <w:proofErr w:type="spellEnd"/>
            <w:r w:rsidRPr="00DF4CE5">
              <w:rPr>
                <w:rFonts w:ascii="Cambria" w:eastAsia="Times New Roman" w:hAnsi="Cambria" w:cs="Calibri"/>
              </w:rPr>
              <w:t xml:space="preserve"> u </w:t>
            </w:r>
            <w:proofErr w:type="spellStart"/>
            <w:r w:rsidRPr="00DF4CE5">
              <w:rPr>
                <w:rFonts w:ascii="Cambria" w:eastAsia="Times New Roman" w:hAnsi="Cambria" w:cs="Calibri"/>
              </w:rPr>
              <w:t>paru</w:t>
            </w:r>
            <w:proofErr w:type="spellEnd"/>
            <w:r w:rsidRPr="00DF4CE5">
              <w:rPr>
                <w:rFonts w:ascii="Cambria" w:eastAsia="Times New Roman" w:hAnsi="Cambria" w:cs="Calibri"/>
              </w:rPr>
              <w:t>).</w:t>
            </w:r>
          </w:p>
          <w:p w14:paraId="4F81E83C" w14:textId="77777777" w:rsidR="001C42AA" w:rsidRPr="00DF4CE5" w:rsidRDefault="001C42AA" w:rsidP="001C42AA">
            <w:pPr>
              <w:spacing w:after="0" w:line="240" w:lineRule="auto"/>
              <w:jc w:val="both"/>
              <w:rPr>
                <w:rFonts w:ascii="Cambria" w:eastAsia="Times New Roman" w:hAnsi="Cambria" w:cs="Calibri"/>
              </w:rPr>
            </w:pPr>
            <w:r w:rsidRPr="00DF4CE5">
              <w:rPr>
                <w:rFonts w:ascii="Cambria" w:eastAsia="Times New Roman" w:hAnsi="Cambria" w:cs="Calibri"/>
              </w:rPr>
              <w:t xml:space="preserve">2. </w:t>
            </w:r>
            <w:proofErr w:type="spellStart"/>
            <w:r w:rsidRPr="00DF4CE5">
              <w:rPr>
                <w:rFonts w:ascii="Cambria" w:eastAsia="Times New Roman" w:hAnsi="Cambria" w:cs="Calibri"/>
              </w:rPr>
              <w:t>Sadržaji</w:t>
            </w:r>
            <w:proofErr w:type="spellEnd"/>
            <w:r w:rsidRPr="00DF4CE5">
              <w:rPr>
                <w:rFonts w:ascii="Cambria" w:eastAsia="Times New Roman" w:hAnsi="Cambria" w:cs="Calibri"/>
              </w:rPr>
              <w:t xml:space="preserve"> po </w:t>
            </w:r>
            <w:proofErr w:type="spellStart"/>
            <w:r w:rsidRPr="00DF4CE5">
              <w:rPr>
                <w:rFonts w:ascii="Cambria" w:eastAsia="Times New Roman" w:hAnsi="Cambria" w:cs="Calibri"/>
              </w:rPr>
              <w:t>cjelinama</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hodanje</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trčanje</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skakanje</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bacanje</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hvatanje</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i</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gađanje</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dizanje</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i</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nošenje</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puzanje</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i</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provlačenje</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penjanje</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potiskivanje</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i</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vučenje</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kotrljanje</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i</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kolutanje</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ples</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igre</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elementarne</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štafetne</w:t>
            </w:r>
            <w:proofErr w:type="spellEnd"/>
            <w:r w:rsidRPr="00DF4CE5">
              <w:rPr>
                <w:rFonts w:ascii="Cambria" w:eastAsia="Times New Roman" w:hAnsi="Cambria" w:cs="Calibri"/>
              </w:rPr>
              <w:t>).</w:t>
            </w:r>
          </w:p>
          <w:p w14:paraId="45B73344" w14:textId="77777777" w:rsidR="001C42AA" w:rsidRPr="00DF4CE5" w:rsidRDefault="001C42AA" w:rsidP="001C42AA">
            <w:pPr>
              <w:spacing w:after="0" w:line="240" w:lineRule="auto"/>
              <w:jc w:val="both"/>
              <w:rPr>
                <w:rFonts w:ascii="Cambria" w:eastAsia="Times New Roman" w:hAnsi="Cambria" w:cs="Calibri"/>
              </w:rPr>
            </w:pPr>
            <w:r w:rsidRPr="00DF4CE5">
              <w:rPr>
                <w:rFonts w:ascii="Cambria" w:eastAsia="Times New Roman" w:hAnsi="Cambria" w:cs="Calibri"/>
              </w:rPr>
              <w:t xml:space="preserve">3. </w:t>
            </w:r>
            <w:proofErr w:type="spellStart"/>
            <w:r w:rsidRPr="00DF4CE5">
              <w:rPr>
                <w:rFonts w:ascii="Cambria" w:eastAsia="Times New Roman" w:hAnsi="Cambria" w:cs="Calibri"/>
              </w:rPr>
              <w:t>Sportske</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igre</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Odbojka</w:t>
            </w:r>
            <w:proofErr w:type="spellEnd"/>
            <w:r w:rsidRPr="00DF4CE5">
              <w:rPr>
                <w:rFonts w:ascii="Cambria" w:eastAsia="Times New Roman" w:hAnsi="Cambria" w:cs="Calibri"/>
              </w:rPr>
              <w:t xml:space="preserve"> - </w:t>
            </w:r>
            <w:proofErr w:type="spellStart"/>
            <w:r w:rsidRPr="00DF4CE5">
              <w:rPr>
                <w:rFonts w:ascii="Cambria" w:eastAsia="Times New Roman" w:hAnsi="Cambria" w:cs="Calibri"/>
              </w:rPr>
              <w:t>uvježbavanje</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elemenata</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odbojke</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vršno</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odbijanje</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lopte</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i</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podlaktično</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odbijanje</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udarci</w:t>
            </w:r>
            <w:proofErr w:type="spellEnd"/>
            <w:r w:rsidRPr="00DF4CE5">
              <w:rPr>
                <w:rFonts w:ascii="Cambria" w:eastAsia="Times New Roman" w:hAnsi="Cambria" w:cs="Calibri"/>
              </w:rPr>
              <w:t xml:space="preserve"> po </w:t>
            </w:r>
            <w:proofErr w:type="spellStart"/>
            <w:r w:rsidRPr="00DF4CE5">
              <w:rPr>
                <w:rFonts w:ascii="Cambria" w:eastAsia="Times New Roman" w:hAnsi="Cambria" w:cs="Calibri"/>
              </w:rPr>
              <w:t>lopti</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donji</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servis</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pravila</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igre</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igra</w:t>
            </w:r>
            <w:proofErr w:type="spellEnd"/>
            <w:r w:rsidRPr="00DF4CE5">
              <w:rPr>
                <w:rFonts w:ascii="Cambria" w:eastAsia="Times New Roman" w:hAnsi="Cambria" w:cs="Calibri"/>
              </w:rPr>
              <w:t>.</w:t>
            </w:r>
          </w:p>
          <w:p w14:paraId="2036A001" w14:textId="77777777" w:rsidR="001C42AA" w:rsidRPr="00DF4CE5" w:rsidRDefault="001C42AA" w:rsidP="001C42AA">
            <w:pPr>
              <w:spacing w:after="0" w:line="240" w:lineRule="auto"/>
              <w:jc w:val="both"/>
              <w:rPr>
                <w:rFonts w:ascii="Cambria" w:eastAsia="Times New Roman" w:hAnsi="Cambria" w:cs="Calibri"/>
              </w:rPr>
            </w:pPr>
            <w:r w:rsidRPr="00DF4CE5">
              <w:rPr>
                <w:rFonts w:ascii="Cambria" w:eastAsia="Times New Roman" w:hAnsi="Cambria" w:cs="Calibri"/>
              </w:rPr>
              <w:t xml:space="preserve">4. </w:t>
            </w:r>
            <w:proofErr w:type="spellStart"/>
            <w:r w:rsidRPr="00DF4CE5">
              <w:rPr>
                <w:rFonts w:ascii="Cambria" w:eastAsia="Times New Roman" w:hAnsi="Cambria" w:cs="Calibri"/>
              </w:rPr>
              <w:t>Sadržaji</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atletike</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Visoki</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i</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niski</w:t>
            </w:r>
            <w:proofErr w:type="spellEnd"/>
            <w:r w:rsidRPr="00DF4CE5">
              <w:rPr>
                <w:rFonts w:ascii="Cambria" w:eastAsia="Times New Roman" w:hAnsi="Cambria" w:cs="Calibri"/>
              </w:rPr>
              <w:t xml:space="preserve"> start, </w:t>
            </w:r>
            <w:proofErr w:type="spellStart"/>
            <w:r w:rsidRPr="00DF4CE5">
              <w:rPr>
                <w:rFonts w:ascii="Cambria" w:eastAsia="Times New Roman" w:hAnsi="Cambria" w:cs="Calibri"/>
              </w:rPr>
              <w:t>trčanja</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kratke</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dionice</w:t>
            </w:r>
            <w:proofErr w:type="spellEnd"/>
            <w:r w:rsidRPr="00DF4CE5">
              <w:rPr>
                <w:rFonts w:ascii="Cambria" w:eastAsia="Times New Roman" w:hAnsi="Cambria" w:cs="Calibri"/>
              </w:rPr>
              <w:t xml:space="preserve">-sprint), </w:t>
            </w:r>
            <w:proofErr w:type="spellStart"/>
            <w:r w:rsidRPr="00DF4CE5">
              <w:rPr>
                <w:rFonts w:ascii="Cambria" w:eastAsia="Times New Roman" w:hAnsi="Cambria" w:cs="Calibri"/>
              </w:rPr>
              <w:t>skokovi</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skok</w:t>
            </w:r>
            <w:proofErr w:type="spellEnd"/>
            <w:r w:rsidRPr="00DF4CE5">
              <w:rPr>
                <w:rFonts w:ascii="Cambria" w:eastAsia="Times New Roman" w:hAnsi="Cambria" w:cs="Calibri"/>
              </w:rPr>
              <w:t xml:space="preserve"> u vis).</w:t>
            </w:r>
          </w:p>
          <w:p w14:paraId="6AA51A35" w14:textId="77777777" w:rsidR="001C42AA" w:rsidRPr="00DF4CE5" w:rsidRDefault="001C42AA" w:rsidP="001C42AA">
            <w:pPr>
              <w:spacing w:after="0" w:line="240" w:lineRule="auto"/>
              <w:jc w:val="both"/>
              <w:rPr>
                <w:rFonts w:ascii="Cambria" w:eastAsia="Times New Roman" w:hAnsi="Cambria" w:cs="Calibri"/>
                <w:lang w:val="it-IT"/>
              </w:rPr>
            </w:pPr>
            <w:r w:rsidRPr="00DF4CE5">
              <w:rPr>
                <w:rFonts w:ascii="Cambria" w:eastAsia="Times New Roman" w:hAnsi="Cambria" w:cs="Calibri"/>
                <w:lang w:val="it-IT"/>
              </w:rPr>
              <w:t xml:space="preserve">5. </w:t>
            </w:r>
            <w:proofErr w:type="spellStart"/>
            <w:r w:rsidRPr="00DF4CE5">
              <w:rPr>
                <w:rFonts w:ascii="Cambria" w:eastAsia="Times New Roman" w:hAnsi="Cambria" w:cs="Calibri"/>
                <w:lang w:val="it-IT"/>
              </w:rPr>
              <w:t>Društveni</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plesovi</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Engleski</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valcer</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Bečki</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valcer</w:t>
            </w:r>
            <w:proofErr w:type="spellEnd"/>
            <w:r w:rsidRPr="00DF4CE5">
              <w:rPr>
                <w:rFonts w:ascii="Cambria" w:eastAsia="Times New Roman" w:hAnsi="Cambria" w:cs="Calibri"/>
                <w:lang w:val="it-IT"/>
              </w:rPr>
              <w:t>, Polka.</w:t>
            </w:r>
          </w:p>
          <w:p w14:paraId="5AEB46E8" w14:textId="77777777" w:rsidR="001C42AA" w:rsidRPr="00DF4CE5" w:rsidRDefault="001C42AA" w:rsidP="001C42AA">
            <w:pPr>
              <w:spacing w:after="0" w:line="240" w:lineRule="auto"/>
              <w:jc w:val="both"/>
              <w:rPr>
                <w:rFonts w:ascii="Cambria" w:eastAsia="Times New Roman" w:hAnsi="Cambria" w:cs="Calibri"/>
                <w:lang w:val="it-IT"/>
              </w:rPr>
            </w:pPr>
            <w:r w:rsidRPr="00DF4CE5">
              <w:rPr>
                <w:rFonts w:ascii="Cambria" w:eastAsia="Times New Roman" w:hAnsi="Cambria" w:cs="Calibri"/>
                <w:lang w:val="it-IT"/>
              </w:rPr>
              <w:lastRenderedPageBreak/>
              <w:t xml:space="preserve">6. </w:t>
            </w:r>
            <w:proofErr w:type="spellStart"/>
            <w:r w:rsidRPr="00DF4CE5">
              <w:rPr>
                <w:rFonts w:ascii="Cambria" w:eastAsia="Times New Roman" w:hAnsi="Cambria" w:cs="Calibri"/>
                <w:lang w:val="it-IT"/>
              </w:rPr>
              <w:t>Pješačenje</w:t>
            </w:r>
            <w:proofErr w:type="spellEnd"/>
            <w:r w:rsidRPr="00DF4CE5">
              <w:rPr>
                <w:rFonts w:ascii="Cambria" w:eastAsia="Times New Roman" w:hAnsi="Cambria" w:cs="Calibri"/>
                <w:lang w:val="it-IT"/>
              </w:rPr>
              <w:t xml:space="preserve"> u </w:t>
            </w:r>
            <w:proofErr w:type="spellStart"/>
            <w:r w:rsidRPr="00DF4CE5">
              <w:rPr>
                <w:rFonts w:ascii="Cambria" w:eastAsia="Times New Roman" w:hAnsi="Cambria" w:cs="Calibri"/>
                <w:lang w:val="it-IT"/>
              </w:rPr>
              <w:t>prirodi</w:t>
            </w:r>
            <w:proofErr w:type="spellEnd"/>
            <w:r w:rsidRPr="00DF4CE5">
              <w:rPr>
                <w:rFonts w:ascii="Cambria" w:eastAsia="Times New Roman" w:hAnsi="Cambria" w:cs="Calibri"/>
                <w:lang w:val="it-IT"/>
              </w:rPr>
              <w:t xml:space="preserve"> i </w:t>
            </w:r>
            <w:proofErr w:type="spellStart"/>
            <w:r w:rsidRPr="00DF4CE5">
              <w:rPr>
                <w:rFonts w:ascii="Cambria" w:eastAsia="Times New Roman" w:hAnsi="Cambria" w:cs="Calibri"/>
                <w:lang w:val="it-IT"/>
              </w:rPr>
              <w:t>planinarenje</w:t>
            </w:r>
            <w:proofErr w:type="spellEnd"/>
            <w:r w:rsidRPr="00DF4CE5">
              <w:rPr>
                <w:rFonts w:ascii="Cambria" w:eastAsia="Times New Roman" w:hAnsi="Cambria" w:cs="Calibri"/>
                <w:lang w:val="it-IT"/>
              </w:rPr>
              <w:t>.</w:t>
            </w:r>
          </w:p>
        </w:tc>
      </w:tr>
      <w:tr w:rsidR="001C42AA" w:rsidRPr="00DF4CE5" w14:paraId="31D61974" w14:textId="77777777" w:rsidTr="00DB76CD">
        <w:tc>
          <w:tcPr>
            <w:tcW w:w="2124"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5F926C65" w14:textId="77777777" w:rsidR="001C42AA" w:rsidRPr="00DF4CE5" w:rsidRDefault="001C42AA" w:rsidP="001C42AA">
            <w:pPr>
              <w:spacing w:after="0" w:line="240" w:lineRule="auto"/>
              <w:rPr>
                <w:rFonts w:ascii="Cambria" w:eastAsia="Times New Roman" w:hAnsi="Cambria" w:cs="Calibri"/>
                <w:lang w:val="it-IT"/>
              </w:rPr>
            </w:pPr>
            <w:proofErr w:type="spellStart"/>
            <w:r w:rsidRPr="00DF4CE5">
              <w:rPr>
                <w:rFonts w:ascii="Cambria" w:eastAsia="Times New Roman" w:hAnsi="Cambria" w:cs="Calibri"/>
                <w:lang w:val="it-IT"/>
              </w:rPr>
              <w:lastRenderedPageBreak/>
              <w:t>Planirane</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aktivnosti</w:t>
            </w:r>
            <w:proofErr w:type="spellEnd"/>
            <w:r w:rsidRPr="00DF4CE5">
              <w:rPr>
                <w:rFonts w:ascii="Cambria" w:eastAsia="Times New Roman" w:hAnsi="Cambria" w:cs="Calibri"/>
                <w:lang w:val="it-IT"/>
              </w:rPr>
              <w:t>,</w:t>
            </w:r>
          </w:p>
          <w:p w14:paraId="0F5537A2" w14:textId="77777777" w:rsidR="001C42AA" w:rsidRPr="00DF4CE5" w:rsidRDefault="001C42AA" w:rsidP="001C42AA">
            <w:pPr>
              <w:spacing w:after="0" w:line="240" w:lineRule="auto"/>
              <w:rPr>
                <w:rFonts w:ascii="Cambria" w:eastAsia="Times New Roman" w:hAnsi="Cambria" w:cs="Calibri"/>
                <w:lang w:val="it-IT"/>
              </w:rPr>
            </w:pPr>
            <w:proofErr w:type="spellStart"/>
            <w:r w:rsidRPr="00DF4CE5">
              <w:rPr>
                <w:rFonts w:ascii="Cambria" w:eastAsia="Times New Roman" w:hAnsi="Cambria" w:cs="Calibri"/>
                <w:lang w:val="it-IT"/>
              </w:rPr>
              <w:t>metode</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učenja</w:t>
            </w:r>
            <w:proofErr w:type="spellEnd"/>
            <w:r w:rsidRPr="00DF4CE5">
              <w:rPr>
                <w:rFonts w:ascii="Cambria" w:eastAsia="Times New Roman" w:hAnsi="Cambria" w:cs="Calibri"/>
                <w:lang w:val="it-IT"/>
              </w:rPr>
              <w:t xml:space="preserve"> i </w:t>
            </w:r>
            <w:proofErr w:type="spellStart"/>
            <w:r w:rsidRPr="00DF4CE5">
              <w:rPr>
                <w:rFonts w:ascii="Cambria" w:eastAsia="Times New Roman" w:hAnsi="Cambria" w:cs="Calibri"/>
                <w:lang w:val="it-IT"/>
              </w:rPr>
              <w:t>poučavanja</w:t>
            </w:r>
            <w:proofErr w:type="spellEnd"/>
            <w:r w:rsidRPr="00DF4CE5">
              <w:rPr>
                <w:rFonts w:ascii="Cambria" w:eastAsia="Times New Roman" w:hAnsi="Cambria" w:cs="Calibri"/>
                <w:lang w:val="it-IT"/>
              </w:rPr>
              <w:t xml:space="preserve"> i </w:t>
            </w:r>
            <w:proofErr w:type="spellStart"/>
            <w:r w:rsidRPr="00DF4CE5">
              <w:rPr>
                <w:rFonts w:ascii="Cambria" w:eastAsia="Times New Roman" w:hAnsi="Cambria" w:cs="Calibri"/>
                <w:lang w:val="it-IT"/>
              </w:rPr>
              <w:t>načini</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vrednovanja</w:t>
            </w:r>
            <w:proofErr w:type="spellEnd"/>
          </w:p>
          <w:p w14:paraId="53440CA1" w14:textId="77777777" w:rsidR="001C42AA" w:rsidRPr="00DF4CE5" w:rsidRDefault="001C42AA" w:rsidP="001C42AA">
            <w:pPr>
              <w:spacing w:after="0" w:line="240" w:lineRule="auto"/>
              <w:rPr>
                <w:rFonts w:ascii="Cambria" w:eastAsia="Times New Roman" w:hAnsi="Cambria" w:cs="Calibri"/>
                <w:lang w:val="it-IT"/>
              </w:rPr>
            </w:pPr>
          </w:p>
        </w:tc>
        <w:tc>
          <w:tcPr>
            <w:tcW w:w="3084"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4A560F7" w14:textId="77777777" w:rsidR="001C42AA" w:rsidRPr="00DF4CE5" w:rsidRDefault="001C42AA" w:rsidP="001C42AA">
            <w:pPr>
              <w:spacing w:after="0" w:line="240" w:lineRule="auto"/>
              <w:jc w:val="center"/>
              <w:rPr>
                <w:rFonts w:ascii="Cambria" w:eastAsia="Times New Roman" w:hAnsi="Cambria" w:cs="Calibri"/>
              </w:rPr>
            </w:pPr>
            <w:proofErr w:type="spellStart"/>
            <w:r w:rsidRPr="00DF4CE5">
              <w:rPr>
                <w:rFonts w:ascii="Cambria" w:eastAsia="Times New Roman" w:hAnsi="Cambria" w:cs="Calibri"/>
                <w:bCs/>
              </w:rPr>
              <w:t>Obveze</w:t>
            </w:r>
            <w:proofErr w:type="spellEnd"/>
          </w:p>
        </w:tc>
        <w:tc>
          <w:tcPr>
            <w:tcW w:w="10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785D3D4" w14:textId="77777777" w:rsidR="001C42AA" w:rsidRPr="00DF4CE5" w:rsidRDefault="001C42AA" w:rsidP="001C42AA">
            <w:pPr>
              <w:spacing w:after="0" w:line="240" w:lineRule="auto"/>
              <w:jc w:val="center"/>
              <w:rPr>
                <w:rFonts w:ascii="Cambria" w:eastAsia="Times New Roman" w:hAnsi="Cambria" w:cs="Calibri"/>
                <w:bCs/>
              </w:rPr>
            </w:pPr>
          </w:p>
          <w:p w14:paraId="341C154D" w14:textId="77777777" w:rsidR="001C42AA" w:rsidRPr="00DF4CE5" w:rsidRDefault="001C42AA" w:rsidP="001C42AA">
            <w:pPr>
              <w:spacing w:after="0" w:line="240" w:lineRule="auto"/>
              <w:jc w:val="center"/>
              <w:rPr>
                <w:rFonts w:ascii="Cambria" w:eastAsia="Times New Roman" w:hAnsi="Cambria" w:cs="Calibri"/>
              </w:rPr>
            </w:pPr>
            <w:proofErr w:type="spellStart"/>
            <w:r w:rsidRPr="00DF4CE5">
              <w:rPr>
                <w:rFonts w:ascii="Cambria" w:eastAsia="Times New Roman" w:hAnsi="Cambria" w:cs="Calibri"/>
                <w:bCs/>
              </w:rPr>
              <w:t>Ishodi</w:t>
            </w:r>
            <w:proofErr w:type="spellEnd"/>
          </w:p>
          <w:p w14:paraId="346A0809" w14:textId="77777777" w:rsidR="001C42AA" w:rsidRPr="00DF4CE5" w:rsidRDefault="001C42AA" w:rsidP="001C42AA">
            <w:pPr>
              <w:spacing w:after="0" w:line="240" w:lineRule="auto"/>
              <w:jc w:val="center"/>
              <w:rPr>
                <w:rFonts w:ascii="Cambria" w:eastAsia="Times New Roman" w:hAnsi="Cambria" w:cs="Calibri"/>
              </w:rPr>
            </w:pPr>
          </w:p>
        </w:tc>
        <w:tc>
          <w:tcPr>
            <w:tcW w:w="71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2C30BAC" w14:textId="77777777" w:rsidR="001C42AA" w:rsidRPr="00DF4CE5" w:rsidRDefault="001C42AA" w:rsidP="001C42AA">
            <w:pPr>
              <w:spacing w:after="0" w:line="240" w:lineRule="auto"/>
              <w:jc w:val="center"/>
              <w:rPr>
                <w:rFonts w:ascii="Cambria" w:eastAsia="Times New Roman" w:hAnsi="Cambria" w:cs="Calibri"/>
                <w:vertAlign w:val="superscript"/>
              </w:rPr>
            </w:pPr>
            <w:r w:rsidRPr="00DF4CE5">
              <w:rPr>
                <w:rFonts w:ascii="Cambria" w:eastAsia="Times New Roman" w:hAnsi="Cambria" w:cs="Calibri"/>
                <w:bCs/>
              </w:rPr>
              <w:t>Sati</w:t>
            </w:r>
          </w:p>
        </w:tc>
        <w:tc>
          <w:tcPr>
            <w:tcW w:w="101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FA3AD7B" w14:textId="77777777" w:rsidR="001C42AA" w:rsidRPr="00DF4CE5" w:rsidRDefault="001C42AA" w:rsidP="001C42AA">
            <w:pPr>
              <w:spacing w:after="0" w:line="240" w:lineRule="auto"/>
              <w:jc w:val="center"/>
              <w:rPr>
                <w:rFonts w:ascii="Cambria" w:eastAsia="Times New Roman" w:hAnsi="Cambria" w:cs="Calibri"/>
              </w:rPr>
            </w:pPr>
            <w:r w:rsidRPr="00DF4CE5">
              <w:rPr>
                <w:rFonts w:ascii="Cambria" w:eastAsia="Times New Roman" w:hAnsi="Cambria" w:cs="Calibri"/>
                <w:bCs/>
              </w:rPr>
              <w:t>ECTS</w:t>
            </w:r>
          </w:p>
        </w:tc>
        <w:tc>
          <w:tcPr>
            <w:tcW w:w="131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5434C61" w14:textId="77777777" w:rsidR="001C42AA" w:rsidRPr="00DF4CE5" w:rsidRDefault="001C42AA" w:rsidP="001C42AA">
            <w:pPr>
              <w:spacing w:after="0" w:line="240" w:lineRule="auto"/>
              <w:jc w:val="center"/>
              <w:rPr>
                <w:rFonts w:ascii="Cambria" w:eastAsia="Times New Roman" w:hAnsi="Cambria" w:cs="Calibri"/>
              </w:rPr>
            </w:pPr>
            <w:proofErr w:type="spellStart"/>
            <w:r w:rsidRPr="00DF4CE5">
              <w:rPr>
                <w:rFonts w:ascii="Cambria" w:eastAsia="Times New Roman" w:hAnsi="Cambria" w:cs="Calibri"/>
                <w:bCs/>
              </w:rPr>
              <w:t>Maksimalni</w:t>
            </w:r>
            <w:proofErr w:type="spellEnd"/>
            <w:r w:rsidRPr="00DF4CE5">
              <w:rPr>
                <w:rFonts w:ascii="Cambria" w:eastAsia="Times New Roman" w:hAnsi="Cambria" w:cs="Calibri"/>
                <w:bCs/>
              </w:rPr>
              <w:t xml:space="preserve"> </w:t>
            </w:r>
            <w:proofErr w:type="spellStart"/>
            <w:r w:rsidRPr="00DF4CE5">
              <w:rPr>
                <w:rFonts w:ascii="Cambria" w:eastAsia="Times New Roman" w:hAnsi="Cambria" w:cs="Calibri"/>
                <w:bCs/>
              </w:rPr>
              <w:t>udio</w:t>
            </w:r>
            <w:proofErr w:type="spellEnd"/>
            <w:r w:rsidRPr="00DF4CE5">
              <w:rPr>
                <w:rFonts w:ascii="Cambria" w:eastAsia="Times New Roman" w:hAnsi="Cambria" w:cs="Calibri"/>
                <w:bCs/>
              </w:rPr>
              <w:t xml:space="preserve"> u </w:t>
            </w:r>
            <w:proofErr w:type="spellStart"/>
            <w:r w:rsidRPr="00DF4CE5">
              <w:rPr>
                <w:rFonts w:ascii="Cambria" w:eastAsia="Times New Roman" w:hAnsi="Cambria" w:cs="Calibri"/>
                <w:bCs/>
              </w:rPr>
              <w:t>ocjeni</w:t>
            </w:r>
            <w:proofErr w:type="spellEnd"/>
            <w:r w:rsidRPr="00DF4CE5">
              <w:rPr>
                <w:rFonts w:ascii="Cambria" w:eastAsia="Times New Roman" w:hAnsi="Cambria" w:cs="Calibri"/>
                <w:bCs/>
              </w:rPr>
              <w:t xml:space="preserve"> (%)</w:t>
            </w:r>
          </w:p>
        </w:tc>
      </w:tr>
      <w:tr w:rsidR="00DB76CD" w:rsidRPr="00DF4CE5" w14:paraId="761979DE" w14:textId="77777777" w:rsidTr="00DB76CD">
        <w:tc>
          <w:tcPr>
            <w:tcW w:w="2124" w:type="dxa"/>
            <w:vMerge/>
            <w:tcBorders>
              <w:left w:val="single" w:sz="8" w:space="0" w:color="000000"/>
              <w:right w:val="single" w:sz="8" w:space="0" w:color="000000"/>
            </w:tcBorders>
            <w:vAlign w:val="center"/>
          </w:tcPr>
          <w:p w14:paraId="7D9B467C" w14:textId="77777777" w:rsidR="00DB76CD" w:rsidRPr="00DF4CE5" w:rsidRDefault="00DB76CD" w:rsidP="00DB76CD">
            <w:pPr>
              <w:spacing w:after="0" w:line="240" w:lineRule="auto"/>
              <w:rPr>
                <w:rFonts w:ascii="Cambria" w:eastAsia="Times New Roman" w:hAnsi="Cambria" w:cs="Calibri"/>
              </w:rPr>
            </w:pPr>
          </w:p>
        </w:tc>
        <w:tc>
          <w:tcPr>
            <w:tcW w:w="3084"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8EC10F6" w14:textId="626E75F9" w:rsidR="00DB76CD" w:rsidRPr="00DF4CE5" w:rsidRDefault="00DB76CD" w:rsidP="00DB76CD">
            <w:pPr>
              <w:spacing w:after="0" w:line="240" w:lineRule="auto"/>
              <w:rPr>
                <w:rFonts w:ascii="Cambria" w:eastAsia="Times New Roman" w:hAnsi="Cambria" w:cs="Calibri"/>
              </w:rPr>
            </w:pPr>
            <w:proofErr w:type="spellStart"/>
            <w:r w:rsidRPr="00DF4CE5">
              <w:rPr>
                <w:rFonts w:ascii="Cambria" w:eastAsia="Times New Roman" w:hAnsi="Cambria" w:cs="Calibri"/>
              </w:rPr>
              <w:t>aktivnost</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na</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nastavi</w:t>
            </w:r>
            <w:proofErr w:type="spellEnd"/>
          </w:p>
        </w:tc>
        <w:tc>
          <w:tcPr>
            <w:tcW w:w="10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3538868" w14:textId="4EC38819" w:rsidR="00DB76CD" w:rsidRPr="00DF4CE5" w:rsidRDefault="00DB76CD" w:rsidP="00DB76CD">
            <w:pPr>
              <w:spacing w:after="0" w:line="240" w:lineRule="auto"/>
              <w:jc w:val="center"/>
              <w:rPr>
                <w:rFonts w:ascii="Cambria" w:eastAsia="Times New Roman" w:hAnsi="Cambria" w:cs="Calibri"/>
              </w:rPr>
            </w:pPr>
            <w:r w:rsidRPr="00DF4CE5">
              <w:rPr>
                <w:rFonts w:ascii="Cambria" w:eastAsia="Times New Roman" w:hAnsi="Cambria" w:cs="Calibri"/>
              </w:rPr>
              <w:t xml:space="preserve">1. </w:t>
            </w:r>
            <w:r w:rsidR="006B4FFE">
              <w:rPr>
                <w:rFonts w:ascii="Cambria" w:eastAsia="Times New Roman" w:hAnsi="Cambria" w:cs="Calibri"/>
              </w:rPr>
              <w:t>–</w:t>
            </w:r>
            <w:r w:rsidRPr="00DF4CE5">
              <w:rPr>
                <w:rFonts w:ascii="Cambria" w:eastAsia="Times New Roman" w:hAnsi="Cambria" w:cs="Calibri"/>
              </w:rPr>
              <w:t xml:space="preserve"> 4.</w:t>
            </w:r>
          </w:p>
        </w:tc>
        <w:tc>
          <w:tcPr>
            <w:tcW w:w="71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6A4CBDB" w14:textId="4B41EC8F" w:rsidR="00DB76CD" w:rsidRPr="00DF4CE5" w:rsidRDefault="00DB76CD" w:rsidP="00DB76CD">
            <w:pPr>
              <w:spacing w:after="0" w:line="240" w:lineRule="auto"/>
              <w:jc w:val="center"/>
              <w:rPr>
                <w:rFonts w:ascii="Cambria" w:eastAsia="Times New Roman" w:hAnsi="Cambria" w:cs="Calibri"/>
              </w:rPr>
            </w:pPr>
            <w:r w:rsidRPr="00DF4CE5">
              <w:rPr>
                <w:rFonts w:ascii="Cambria" w:eastAsia="Times New Roman" w:hAnsi="Cambria" w:cs="Calibri"/>
              </w:rPr>
              <w:t>2</w:t>
            </w:r>
            <w:r w:rsidR="006E59DC">
              <w:rPr>
                <w:rFonts w:ascii="Cambria" w:eastAsia="Times New Roman" w:hAnsi="Cambria" w:cs="Calibri"/>
              </w:rPr>
              <w:t>3</w:t>
            </w:r>
          </w:p>
        </w:tc>
        <w:tc>
          <w:tcPr>
            <w:tcW w:w="101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B2D74BE" w14:textId="77777777" w:rsidR="00DB76CD" w:rsidRPr="00DF4CE5" w:rsidRDefault="00DB76CD" w:rsidP="00DB76CD">
            <w:pPr>
              <w:spacing w:after="0" w:line="240" w:lineRule="auto"/>
              <w:jc w:val="center"/>
              <w:rPr>
                <w:rFonts w:ascii="Cambria" w:eastAsia="Times New Roman" w:hAnsi="Cambria" w:cs="Calibri"/>
              </w:rPr>
            </w:pPr>
            <w:r w:rsidRPr="00DF4CE5">
              <w:rPr>
                <w:rFonts w:ascii="Cambria" w:eastAsia="Times New Roman" w:hAnsi="Cambria" w:cs="Calibri"/>
              </w:rPr>
              <w:t>0,8</w:t>
            </w:r>
          </w:p>
        </w:tc>
        <w:tc>
          <w:tcPr>
            <w:tcW w:w="131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9E44AE1" w14:textId="77777777" w:rsidR="00DB76CD" w:rsidRPr="00DF4CE5" w:rsidRDefault="00DB76CD" w:rsidP="00DB76CD">
            <w:pPr>
              <w:spacing w:after="0" w:line="240" w:lineRule="auto"/>
              <w:jc w:val="center"/>
              <w:rPr>
                <w:rFonts w:ascii="Cambria" w:eastAsia="Times New Roman" w:hAnsi="Cambria" w:cs="Calibri"/>
              </w:rPr>
            </w:pPr>
            <w:r w:rsidRPr="00DF4CE5">
              <w:rPr>
                <w:rFonts w:ascii="Cambria" w:eastAsia="Times New Roman" w:hAnsi="Cambria" w:cs="Calibri"/>
              </w:rPr>
              <w:t>80%</w:t>
            </w:r>
          </w:p>
        </w:tc>
      </w:tr>
      <w:tr w:rsidR="00DB76CD" w:rsidRPr="00DF4CE5" w14:paraId="14A297E7" w14:textId="77777777" w:rsidTr="00DB76CD">
        <w:tc>
          <w:tcPr>
            <w:tcW w:w="2124" w:type="dxa"/>
            <w:vMerge/>
            <w:tcBorders>
              <w:left w:val="single" w:sz="8" w:space="0" w:color="000000"/>
              <w:right w:val="single" w:sz="8" w:space="0" w:color="000000"/>
            </w:tcBorders>
            <w:vAlign w:val="center"/>
          </w:tcPr>
          <w:p w14:paraId="4A653B93" w14:textId="77777777" w:rsidR="00DB76CD" w:rsidRPr="00DF4CE5" w:rsidRDefault="00DB76CD" w:rsidP="00DB76CD">
            <w:pPr>
              <w:spacing w:after="0" w:line="240" w:lineRule="auto"/>
              <w:rPr>
                <w:rFonts w:ascii="Cambria" w:eastAsia="Times New Roman" w:hAnsi="Cambria" w:cs="Calibri"/>
              </w:rPr>
            </w:pPr>
          </w:p>
        </w:tc>
        <w:tc>
          <w:tcPr>
            <w:tcW w:w="3084"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8AB4F0B" w14:textId="77777777" w:rsidR="00DB76CD" w:rsidRPr="00DF4CE5" w:rsidRDefault="00DB76CD" w:rsidP="00DB76CD">
            <w:pPr>
              <w:spacing w:after="0" w:line="240" w:lineRule="auto"/>
              <w:rPr>
                <w:rFonts w:ascii="Cambria" w:eastAsia="Times New Roman" w:hAnsi="Cambria" w:cs="Calibri"/>
              </w:rPr>
            </w:pPr>
            <w:proofErr w:type="spellStart"/>
            <w:r w:rsidRPr="00DF4CE5">
              <w:rPr>
                <w:rFonts w:ascii="Cambria" w:eastAsia="Times New Roman" w:hAnsi="Cambria" w:cs="Calibri"/>
              </w:rPr>
              <w:t>terenska</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nastava</w:t>
            </w:r>
            <w:proofErr w:type="spellEnd"/>
          </w:p>
        </w:tc>
        <w:tc>
          <w:tcPr>
            <w:tcW w:w="10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F042E44" w14:textId="0E89BAEC" w:rsidR="00DB76CD" w:rsidRPr="00DF4CE5" w:rsidRDefault="00DB76CD" w:rsidP="00DB76CD">
            <w:pPr>
              <w:spacing w:after="0" w:line="240" w:lineRule="auto"/>
              <w:jc w:val="center"/>
              <w:rPr>
                <w:rFonts w:ascii="Cambria" w:eastAsia="Times New Roman" w:hAnsi="Cambria" w:cs="Calibri"/>
              </w:rPr>
            </w:pPr>
            <w:r w:rsidRPr="00DF4CE5">
              <w:rPr>
                <w:rFonts w:ascii="Cambria" w:eastAsia="Times New Roman" w:hAnsi="Cambria" w:cs="Calibri"/>
              </w:rPr>
              <w:t xml:space="preserve">1. </w:t>
            </w:r>
            <w:r w:rsidR="006B4FFE">
              <w:rPr>
                <w:rFonts w:ascii="Cambria" w:eastAsia="Times New Roman" w:hAnsi="Cambria" w:cs="Calibri"/>
              </w:rPr>
              <w:t>–</w:t>
            </w:r>
            <w:r w:rsidRPr="00DF4CE5">
              <w:rPr>
                <w:rFonts w:ascii="Cambria" w:eastAsia="Times New Roman" w:hAnsi="Cambria" w:cs="Calibri"/>
              </w:rPr>
              <w:t xml:space="preserve"> 4.</w:t>
            </w:r>
          </w:p>
        </w:tc>
        <w:tc>
          <w:tcPr>
            <w:tcW w:w="71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E6FB54D" w14:textId="630A6F59" w:rsidR="00DB76CD" w:rsidRPr="00DF4CE5" w:rsidRDefault="006E59DC" w:rsidP="00DB76CD">
            <w:pPr>
              <w:spacing w:after="0" w:line="240" w:lineRule="auto"/>
              <w:jc w:val="center"/>
              <w:rPr>
                <w:rFonts w:ascii="Cambria" w:eastAsia="Times New Roman" w:hAnsi="Cambria" w:cs="Calibri"/>
              </w:rPr>
            </w:pPr>
            <w:r>
              <w:rPr>
                <w:rFonts w:ascii="Cambria" w:eastAsia="Times New Roman" w:hAnsi="Cambria" w:cs="Calibri"/>
              </w:rPr>
              <w:t>7</w:t>
            </w:r>
          </w:p>
        </w:tc>
        <w:tc>
          <w:tcPr>
            <w:tcW w:w="101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E8B3991" w14:textId="77777777" w:rsidR="00DB76CD" w:rsidRPr="00DF4CE5" w:rsidRDefault="00DB76CD" w:rsidP="00DB76CD">
            <w:pPr>
              <w:spacing w:after="0" w:line="240" w:lineRule="auto"/>
              <w:jc w:val="center"/>
              <w:rPr>
                <w:rFonts w:ascii="Cambria" w:eastAsia="Times New Roman" w:hAnsi="Cambria" w:cs="Calibri"/>
              </w:rPr>
            </w:pPr>
            <w:r w:rsidRPr="00DF4CE5">
              <w:rPr>
                <w:rFonts w:ascii="Cambria" w:eastAsia="Times New Roman" w:hAnsi="Cambria" w:cs="Calibri"/>
              </w:rPr>
              <w:t>0,2</w:t>
            </w:r>
          </w:p>
        </w:tc>
        <w:tc>
          <w:tcPr>
            <w:tcW w:w="131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E2C4D69" w14:textId="77777777" w:rsidR="00DB76CD" w:rsidRPr="00DF4CE5" w:rsidRDefault="00DB76CD" w:rsidP="00DB76CD">
            <w:pPr>
              <w:spacing w:after="0" w:line="240" w:lineRule="auto"/>
              <w:jc w:val="center"/>
              <w:rPr>
                <w:rFonts w:ascii="Cambria" w:eastAsia="Times New Roman" w:hAnsi="Cambria" w:cs="Calibri"/>
              </w:rPr>
            </w:pPr>
            <w:r w:rsidRPr="00DF4CE5">
              <w:rPr>
                <w:rFonts w:ascii="Cambria" w:eastAsia="Times New Roman" w:hAnsi="Cambria" w:cs="Calibri"/>
              </w:rPr>
              <w:t>20%</w:t>
            </w:r>
          </w:p>
        </w:tc>
      </w:tr>
      <w:tr w:rsidR="00DB76CD" w:rsidRPr="00DF4CE5" w14:paraId="1376D10E" w14:textId="77777777" w:rsidTr="00DB76CD">
        <w:tc>
          <w:tcPr>
            <w:tcW w:w="2124" w:type="dxa"/>
            <w:vMerge/>
            <w:tcBorders>
              <w:left w:val="single" w:sz="8" w:space="0" w:color="000000"/>
              <w:right w:val="single" w:sz="8" w:space="0" w:color="000000"/>
            </w:tcBorders>
            <w:vAlign w:val="center"/>
          </w:tcPr>
          <w:p w14:paraId="3CAA3BD4" w14:textId="77777777" w:rsidR="00DB76CD" w:rsidRPr="00DF4CE5" w:rsidRDefault="00DB76CD" w:rsidP="00DB76CD">
            <w:pPr>
              <w:spacing w:after="0" w:line="240" w:lineRule="auto"/>
              <w:rPr>
                <w:rFonts w:ascii="Cambria" w:eastAsia="Times New Roman" w:hAnsi="Cambria" w:cs="Calibri"/>
              </w:rPr>
            </w:pPr>
          </w:p>
        </w:tc>
        <w:tc>
          <w:tcPr>
            <w:tcW w:w="4172"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9C615B8" w14:textId="47DA755C" w:rsidR="00DB76CD" w:rsidRPr="00DF4CE5" w:rsidRDefault="006E59DC" w:rsidP="00DB76CD">
            <w:pPr>
              <w:spacing w:after="0" w:line="240" w:lineRule="auto"/>
              <w:rPr>
                <w:rFonts w:ascii="Cambria" w:eastAsia="Times New Roman" w:hAnsi="Cambria" w:cs="Calibri"/>
              </w:rPr>
            </w:pPr>
            <w:proofErr w:type="spellStart"/>
            <w:r>
              <w:rPr>
                <w:rFonts w:ascii="Cambria" w:eastAsia="Times New Roman" w:hAnsi="Cambria" w:cs="Calibri"/>
              </w:rPr>
              <w:t>u</w:t>
            </w:r>
            <w:r w:rsidR="00DB76CD" w:rsidRPr="00DF4CE5">
              <w:rPr>
                <w:rFonts w:ascii="Cambria" w:eastAsia="Times New Roman" w:hAnsi="Cambria" w:cs="Calibri"/>
              </w:rPr>
              <w:t>kupno</w:t>
            </w:r>
            <w:proofErr w:type="spellEnd"/>
          </w:p>
        </w:tc>
        <w:tc>
          <w:tcPr>
            <w:tcW w:w="71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F3C2EA6" w14:textId="77777777" w:rsidR="00DB76CD" w:rsidRPr="00DF4CE5" w:rsidRDefault="00DB76CD" w:rsidP="00DB76CD">
            <w:pPr>
              <w:spacing w:after="0" w:line="240" w:lineRule="auto"/>
              <w:jc w:val="center"/>
              <w:rPr>
                <w:rFonts w:ascii="Cambria" w:eastAsia="Times New Roman" w:hAnsi="Cambria" w:cs="Calibri"/>
              </w:rPr>
            </w:pPr>
            <w:r w:rsidRPr="00DF4CE5">
              <w:rPr>
                <w:rFonts w:ascii="Cambria" w:eastAsia="Times New Roman" w:hAnsi="Cambria" w:cs="Calibri"/>
              </w:rPr>
              <w:t>30</w:t>
            </w:r>
          </w:p>
        </w:tc>
        <w:tc>
          <w:tcPr>
            <w:tcW w:w="101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2D68B57" w14:textId="77777777" w:rsidR="00DB76CD" w:rsidRPr="00DF4CE5" w:rsidRDefault="00DB76CD" w:rsidP="00DB76CD">
            <w:pPr>
              <w:spacing w:after="0" w:line="240" w:lineRule="auto"/>
              <w:jc w:val="center"/>
              <w:rPr>
                <w:rFonts w:ascii="Cambria" w:eastAsia="Times New Roman" w:hAnsi="Cambria" w:cs="Calibri"/>
              </w:rPr>
            </w:pPr>
            <w:r w:rsidRPr="00DF4CE5">
              <w:rPr>
                <w:rFonts w:ascii="Cambria" w:eastAsia="Times New Roman" w:hAnsi="Cambria" w:cs="Calibri"/>
              </w:rPr>
              <w:t>1</w:t>
            </w:r>
          </w:p>
        </w:tc>
        <w:tc>
          <w:tcPr>
            <w:tcW w:w="131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BAC7E52" w14:textId="77777777" w:rsidR="00DB76CD" w:rsidRPr="00DF4CE5" w:rsidRDefault="00DB76CD" w:rsidP="00DB76CD">
            <w:pPr>
              <w:spacing w:after="0" w:line="240" w:lineRule="auto"/>
              <w:jc w:val="center"/>
              <w:rPr>
                <w:rFonts w:ascii="Cambria" w:eastAsia="Times New Roman" w:hAnsi="Cambria" w:cs="Calibri"/>
              </w:rPr>
            </w:pPr>
            <w:r w:rsidRPr="00DF4CE5">
              <w:rPr>
                <w:rFonts w:ascii="Cambria" w:eastAsia="Times New Roman" w:hAnsi="Cambria" w:cs="Calibri"/>
              </w:rPr>
              <w:t>100%</w:t>
            </w:r>
          </w:p>
        </w:tc>
      </w:tr>
      <w:tr w:rsidR="00DB76CD" w:rsidRPr="00DF4CE5" w14:paraId="7AF4E11B" w14:textId="77777777" w:rsidTr="00DB76CD">
        <w:tc>
          <w:tcPr>
            <w:tcW w:w="2124" w:type="dxa"/>
            <w:vMerge/>
            <w:tcBorders>
              <w:left w:val="single" w:sz="8" w:space="0" w:color="000000"/>
              <w:bottom w:val="single" w:sz="8" w:space="0" w:color="000000"/>
              <w:right w:val="single" w:sz="8" w:space="0" w:color="000000"/>
            </w:tcBorders>
            <w:vAlign w:val="center"/>
          </w:tcPr>
          <w:p w14:paraId="503EC194" w14:textId="77777777" w:rsidR="00DB76CD" w:rsidRPr="00DF4CE5" w:rsidRDefault="00DB76CD" w:rsidP="00DB76CD">
            <w:pPr>
              <w:spacing w:after="0" w:line="240" w:lineRule="auto"/>
              <w:rPr>
                <w:rFonts w:ascii="Cambria" w:eastAsia="Times New Roman" w:hAnsi="Cambria" w:cs="Calibri"/>
              </w:rPr>
            </w:pPr>
          </w:p>
        </w:tc>
        <w:tc>
          <w:tcPr>
            <w:tcW w:w="7216"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2952D26" w14:textId="77777777" w:rsidR="00DB76CD" w:rsidRPr="00DF4CE5" w:rsidRDefault="00DB76CD" w:rsidP="00DB76CD">
            <w:pPr>
              <w:spacing w:after="0" w:line="240" w:lineRule="auto"/>
              <w:jc w:val="both"/>
              <w:rPr>
                <w:rFonts w:ascii="Cambria" w:eastAsia="Times New Roman" w:hAnsi="Cambria" w:cs="Calibri"/>
              </w:rPr>
            </w:pPr>
            <w:proofErr w:type="spellStart"/>
            <w:r w:rsidRPr="00DF4CE5">
              <w:rPr>
                <w:rFonts w:ascii="Cambria" w:eastAsia="Times New Roman" w:hAnsi="Cambria" w:cs="Calibri"/>
              </w:rPr>
              <w:t>Dodatna</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pojašnjenja</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kriteriji</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ocjenjivanja</w:t>
            </w:r>
            <w:proofErr w:type="spellEnd"/>
            <w:r w:rsidRPr="00DF4CE5">
              <w:rPr>
                <w:rFonts w:ascii="Cambria" w:eastAsia="Times New Roman" w:hAnsi="Cambria" w:cs="Calibri"/>
              </w:rPr>
              <w:t>):</w:t>
            </w:r>
          </w:p>
          <w:p w14:paraId="7FF1D13C" w14:textId="77777777" w:rsidR="00DB76CD" w:rsidRPr="00DF4CE5" w:rsidRDefault="00DB76CD" w:rsidP="00DB76CD">
            <w:pPr>
              <w:spacing w:after="0" w:line="240" w:lineRule="auto"/>
              <w:jc w:val="both"/>
              <w:rPr>
                <w:rFonts w:ascii="Cambria" w:eastAsia="Times New Roman" w:hAnsi="Cambria" w:cs="Calibri"/>
              </w:rPr>
            </w:pPr>
            <w:proofErr w:type="spellStart"/>
            <w:r w:rsidRPr="00DF4CE5">
              <w:rPr>
                <w:rFonts w:ascii="Cambria" w:eastAsia="Times New Roman" w:hAnsi="Cambria" w:cs="Calibri"/>
              </w:rPr>
              <w:t>Ocjenjuje</w:t>
            </w:r>
            <w:proofErr w:type="spellEnd"/>
            <w:r w:rsidRPr="00DF4CE5">
              <w:rPr>
                <w:rFonts w:ascii="Cambria" w:eastAsia="Times New Roman" w:hAnsi="Cambria" w:cs="Calibri"/>
              </w:rPr>
              <w:t xml:space="preserve"> se </w:t>
            </w:r>
            <w:proofErr w:type="spellStart"/>
            <w:r w:rsidRPr="00DF4CE5">
              <w:rPr>
                <w:rFonts w:ascii="Cambria" w:eastAsia="Times New Roman" w:hAnsi="Cambria" w:cs="Calibri"/>
              </w:rPr>
              <w:t>aktivnost</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na</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nastavi</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zadani</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elementi</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motoričkih</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znanja</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i</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rezultati</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testova</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razina</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motoričkih</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i</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funkcionalnih</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sposobnosti</w:t>
            </w:r>
            <w:proofErr w:type="spellEnd"/>
            <w:r w:rsidRPr="00DF4CE5">
              <w:rPr>
                <w:rFonts w:ascii="Cambria" w:eastAsia="Times New Roman" w:hAnsi="Cambria" w:cs="Calibri"/>
              </w:rPr>
              <w:t>.</w:t>
            </w:r>
          </w:p>
        </w:tc>
      </w:tr>
      <w:tr w:rsidR="00DB76CD" w:rsidRPr="00DF4CE5" w14:paraId="27F71239" w14:textId="77777777" w:rsidTr="00DB76CD">
        <w:tc>
          <w:tcPr>
            <w:tcW w:w="212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F6CC1D2" w14:textId="77777777" w:rsidR="00DB76CD" w:rsidRPr="00DF4CE5" w:rsidRDefault="00DB76CD" w:rsidP="00DB76CD">
            <w:pPr>
              <w:spacing w:after="0" w:line="240" w:lineRule="auto"/>
              <w:rPr>
                <w:rFonts w:ascii="Cambria" w:eastAsia="Times New Roman" w:hAnsi="Cambria" w:cs="Calibri"/>
              </w:rPr>
            </w:pPr>
            <w:proofErr w:type="spellStart"/>
            <w:r w:rsidRPr="00DF4CE5">
              <w:rPr>
                <w:rFonts w:ascii="Cambria" w:eastAsia="Times New Roman" w:hAnsi="Cambria" w:cs="Calibri"/>
              </w:rPr>
              <w:t>Studentske</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obveze</w:t>
            </w:r>
            <w:proofErr w:type="spellEnd"/>
          </w:p>
        </w:tc>
        <w:tc>
          <w:tcPr>
            <w:tcW w:w="721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A545641" w14:textId="77777777" w:rsidR="00DB76CD" w:rsidRPr="00DF4CE5" w:rsidRDefault="00DB76CD" w:rsidP="00DB76CD">
            <w:pPr>
              <w:spacing w:after="0" w:line="240" w:lineRule="auto"/>
              <w:jc w:val="both"/>
              <w:rPr>
                <w:rFonts w:ascii="Cambria" w:eastAsia="Times New Roman" w:hAnsi="Cambria" w:cs="Calibri"/>
                <w:lang w:val="it-IT"/>
              </w:rPr>
            </w:pPr>
            <w:r w:rsidRPr="00DF4CE5">
              <w:rPr>
                <w:rFonts w:ascii="Cambria" w:eastAsia="Times New Roman" w:hAnsi="Cambria" w:cs="Calibri"/>
                <w:lang w:val="it-IT"/>
              </w:rPr>
              <w:t xml:space="preserve">Da </w:t>
            </w:r>
            <w:proofErr w:type="spellStart"/>
            <w:r w:rsidRPr="00DF4CE5">
              <w:rPr>
                <w:rFonts w:ascii="Cambria" w:eastAsia="Times New Roman" w:hAnsi="Cambria" w:cs="Calibri"/>
                <w:lang w:val="it-IT"/>
              </w:rPr>
              <w:t>položi</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kolegij</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student</w:t>
            </w:r>
            <w:proofErr w:type="spellEnd"/>
            <w:r w:rsidRPr="00DF4CE5">
              <w:rPr>
                <w:rFonts w:ascii="Cambria" w:eastAsia="Times New Roman" w:hAnsi="Cambria" w:cs="Calibri"/>
                <w:lang w:val="it-IT"/>
              </w:rPr>
              <w:t>/</w:t>
            </w:r>
            <w:proofErr w:type="spellStart"/>
            <w:r w:rsidRPr="00DF4CE5">
              <w:rPr>
                <w:rFonts w:ascii="Cambria" w:eastAsia="Times New Roman" w:hAnsi="Cambria" w:cs="Calibri"/>
                <w:lang w:val="it-IT"/>
              </w:rPr>
              <w:t>studentica</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treba</w:t>
            </w:r>
            <w:proofErr w:type="spellEnd"/>
            <w:r w:rsidRPr="00DF4CE5">
              <w:rPr>
                <w:rFonts w:ascii="Cambria" w:eastAsia="Times New Roman" w:hAnsi="Cambria" w:cs="Calibri"/>
                <w:lang w:val="it-IT"/>
              </w:rPr>
              <w:t>:</w:t>
            </w:r>
          </w:p>
          <w:p w14:paraId="007DC19A" w14:textId="7E15AE4F" w:rsidR="00DB76CD" w:rsidRPr="00DF4CE5" w:rsidRDefault="00DB76CD" w:rsidP="00DB76CD">
            <w:pPr>
              <w:spacing w:after="0" w:line="240" w:lineRule="auto"/>
              <w:jc w:val="both"/>
              <w:rPr>
                <w:rFonts w:ascii="Cambria" w:eastAsia="Times New Roman" w:hAnsi="Cambria" w:cs="Calibri"/>
                <w:lang w:val="it-IT"/>
              </w:rPr>
            </w:pPr>
            <w:r w:rsidRPr="00DF4CE5">
              <w:rPr>
                <w:rFonts w:ascii="Cambria" w:eastAsia="Times New Roman" w:hAnsi="Cambria" w:cs="Calibri"/>
                <w:lang w:val="it-IT"/>
              </w:rPr>
              <w:t xml:space="preserve">1. </w:t>
            </w:r>
            <w:proofErr w:type="spellStart"/>
            <w:r w:rsidR="006B4FFE">
              <w:rPr>
                <w:rFonts w:ascii="Cambria" w:eastAsia="Times New Roman" w:hAnsi="Cambria" w:cs="Calibri"/>
                <w:lang w:val="it-IT"/>
              </w:rPr>
              <w:t>r</w:t>
            </w:r>
            <w:r w:rsidRPr="00DF4CE5">
              <w:rPr>
                <w:rFonts w:ascii="Cambria" w:eastAsia="Times New Roman" w:hAnsi="Cambria" w:cs="Calibri"/>
                <w:lang w:val="it-IT"/>
              </w:rPr>
              <w:t>edovito</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dolaziti</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na</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nastavu</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može</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izostati</w:t>
            </w:r>
            <w:proofErr w:type="spellEnd"/>
            <w:r w:rsidRPr="00DF4CE5">
              <w:rPr>
                <w:rFonts w:ascii="Cambria" w:eastAsia="Times New Roman" w:hAnsi="Cambria" w:cs="Calibri"/>
                <w:lang w:val="it-IT"/>
              </w:rPr>
              <w:t xml:space="preserve"> s </w:t>
            </w:r>
            <w:proofErr w:type="spellStart"/>
            <w:r w:rsidRPr="00DF4CE5">
              <w:rPr>
                <w:rFonts w:ascii="Cambria" w:eastAsia="Times New Roman" w:hAnsi="Cambria" w:cs="Calibri"/>
                <w:lang w:val="it-IT"/>
              </w:rPr>
              <w:t>nastave</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maksimalno</w:t>
            </w:r>
            <w:proofErr w:type="spellEnd"/>
            <w:r w:rsidRPr="00DF4CE5">
              <w:rPr>
                <w:rFonts w:ascii="Cambria" w:eastAsia="Times New Roman" w:hAnsi="Cambria" w:cs="Calibri"/>
                <w:lang w:val="it-IT"/>
              </w:rPr>
              <w:t xml:space="preserve"> 4 puta.</w:t>
            </w:r>
          </w:p>
          <w:p w14:paraId="7378D715" w14:textId="1AAD3814" w:rsidR="00DB76CD" w:rsidRPr="00DF4CE5" w:rsidRDefault="00DB76CD" w:rsidP="00DB76CD">
            <w:pPr>
              <w:spacing w:after="0" w:line="240" w:lineRule="auto"/>
              <w:jc w:val="both"/>
              <w:rPr>
                <w:rFonts w:ascii="Cambria" w:eastAsia="Times New Roman" w:hAnsi="Cambria" w:cs="Calibri"/>
                <w:lang w:val="it-IT"/>
              </w:rPr>
            </w:pPr>
            <w:r w:rsidRPr="00DF4CE5">
              <w:rPr>
                <w:rFonts w:ascii="Cambria" w:eastAsia="Times New Roman" w:hAnsi="Cambria" w:cs="Calibri"/>
                <w:lang w:val="it-IT"/>
              </w:rPr>
              <w:t xml:space="preserve">2. </w:t>
            </w:r>
            <w:proofErr w:type="spellStart"/>
            <w:r w:rsidR="006B4FFE">
              <w:rPr>
                <w:rFonts w:ascii="Cambria" w:eastAsia="Times New Roman" w:hAnsi="Cambria" w:cs="Calibri"/>
                <w:lang w:val="it-IT"/>
              </w:rPr>
              <w:t>a</w:t>
            </w:r>
            <w:r w:rsidRPr="00DF4CE5">
              <w:rPr>
                <w:rFonts w:ascii="Cambria" w:eastAsia="Times New Roman" w:hAnsi="Cambria" w:cs="Calibri"/>
                <w:lang w:val="it-IT"/>
              </w:rPr>
              <w:t>ktivno</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sudjelovati</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na</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nastavi</w:t>
            </w:r>
            <w:proofErr w:type="spellEnd"/>
          </w:p>
          <w:p w14:paraId="7DE02BED" w14:textId="37F78FE4" w:rsidR="00DB76CD" w:rsidRPr="00DF4CE5" w:rsidRDefault="00DB76CD" w:rsidP="00DB76CD">
            <w:pPr>
              <w:spacing w:after="0" w:line="240" w:lineRule="auto"/>
              <w:jc w:val="both"/>
              <w:rPr>
                <w:rFonts w:ascii="Cambria" w:eastAsia="Times New Roman" w:hAnsi="Cambria" w:cs="Calibri"/>
                <w:lang w:val="it-IT"/>
              </w:rPr>
            </w:pPr>
            <w:r w:rsidRPr="00DF4CE5">
              <w:rPr>
                <w:rFonts w:ascii="Cambria" w:eastAsia="Times New Roman" w:hAnsi="Cambria" w:cs="Calibri"/>
                <w:lang w:val="it-IT"/>
              </w:rPr>
              <w:t xml:space="preserve">3. </w:t>
            </w:r>
            <w:proofErr w:type="spellStart"/>
            <w:r w:rsidR="006B4FFE">
              <w:rPr>
                <w:rFonts w:ascii="Cambria" w:eastAsia="Times New Roman" w:hAnsi="Cambria" w:cs="Calibri"/>
                <w:lang w:val="it-IT"/>
              </w:rPr>
              <w:t>d</w:t>
            </w:r>
            <w:r w:rsidRPr="00DF4CE5">
              <w:rPr>
                <w:rFonts w:ascii="Cambria" w:eastAsia="Times New Roman" w:hAnsi="Cambria" w:cs="Calibri"/>
                <w:lang w:val="it-IT"/>
              </w:rPr>
              <w:t>olaziti</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na</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nastavu</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bez</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ikakvog</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nakita</w:t>
            </w:r>
            <w:proofErr w:type="spellEnd"/>
            <w:r w:rsidRPr="00DF4CE5">
              <w:rPr>
                <w:rFonts w:ascii="Cambria" w:eastAsia="Times New Roman" w:hAnsi="Cambria" w:cs="Calibri"/>
                <w:lang w:val="it-IT"/>
              </w:rPr>
              <w:t xml:space="preserve"> u </w:t>
            </w:r>
            <w:proofErr w:type="spellStart"/>
            <w:r w:rsidRPr="00DF4CE5">
              <w:rPr>
                <w:rFonts w:ascii="Cambria" w:eastAsia="Times New Roman" w:hAnsi="Cambria" w:cs="Calibri"/>
                <w:lang w:val="it-IT"/>
              </w:rPr>
              <w:t>sportskoj</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odjeći</w:t>
            </w:r>
            <w:proofErr w:type="spellEnd"/>
            <w:r w:rsidRPr="00DF4CE5">
              <w:rPr>
                <w:rFonts w:ascii="Cambria" w:eastAsia="Times New Roman" w:hAnsi="Cambria" w:cs="Calibri"/>
                <w:lang w:val="it-IT"/>
              </w:rPr>
              <w:t xml:space="preserve"> i </w:t>
            </w:r>
            <w:proofErr w:type="spellStart"/>
            <w:r w:rsidRPr="00DF4CE5">
              <w:rPr>
                <w:rFonts w:ascii="Cambria" w:eastAsia="Times New Roman" w:hAnsi="Cambria" w:cs="Calibri"/>
                <w:lang w:val="it-IT"/>
              </w:rPr>
              <w:t>obući</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tenisicama</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bijeloj</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sportskoj</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majici</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sportskim</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hlačicama</w:t>
            </w:r>
            <w:proofErr w:type="spellEnd"/>
            <w:r w:rsidRPr="00DF4CE5">
              <w:rPr>
                <w:rFonts w:ascii="Cambria" w:eastAsia="Times New Roman" w:hAnsi="Cambria" w:cs="Calibri"/>
                <w:lang w:val="it-IT"/>
              </w:rPr>
              <w:t xml:space="preserve"> ili </w:t>
            </w:r>
            <w:proofErr w:type="spellStart"/>
            <w:r w:rsidRPr="00DF4CE5">
              <w:rPr>
                <w:rFonts w:ascii="Cambria" w:eastAsia="Times New Roman" w:hAnsi="Cambria" w:cs="Calibri"/>
                <w:lang w:val="it-IT"/>
              </w:rPr>
              <w:t>trenirci</w:t>
            </w:r>
            <w:proofErr w:type="spellEnd"/>
            <w:r w:rsidRPr="00DF4CE5">
              <w:rPr>
                <w:rFonts w:ascii="Cambria" w:eastAsia="Times New Roman" w:hAnsi="Cambria" w:cs="Calibri"/>
                <w:lang w:val="it-IT"/>
              </w:rPr>
              <w:t>)</w:t>
            </w:r>
          </w:p>
          <w:p w14:paraId="1C020CAD" w14:textId="55B84329" w:rsidR="00DB76CD" w:rsidRPr="00DF4CE5" w:rsidRDefault="00DB76CD" w:rsidP="00DB76CD">
            <w:pPr>
              <w:spacing w:after="0" w:line="240" w:lineRule="auto"/>
              <w:jc w:val="both"/>
              <w:rPr>
                <w:rFonts w:ascii="Cambria" w:eastAsia="Times New Roman" w:hAnsi="Cambria" w:cs="Calibri"/>
                <w:lang w:val="it-IT"/>
              </w:rPr>
            </w:pPr>
            <w:r w:rsidRPr="00DF4CE5">
              <w:rPr>
                <w:rFonts w:ascii="Cambria" w:eastAsia="Times New Roman" w:hAnsi="Cambria" w:cs="Calibri"/>
                <w:lang w:val="it-IT"/>
              </w:rPr>
              <w:t xml:space="preserve">4. </w:t>
            </w:r>
            <w:proofErr w:type="spellStart"/>
            <w:r w:rsidR="006B4FFE">
              <w:rPr>
                <w:rFonts w:ascii="Cambria" w:eastAsia="Times New Roman" w:hAnsi="Cambria" w:cs="Calibri"/>
                <w:lang w:val="it-IT"/>
              </w:rPr>
              <w:t>s</w:t>
            </w:r>
            <w:r w:rsidRPr="00DF4CE5">
              <w:rPr>
                <w:rFonts w:ascii="Cambria" w:eastAsia="Times New Roman" w:hAnsi="Cambria" w:cs="Calibri"/>
                <w:lang w:val="it-IT"/>
              </w:rPr>
              <w:t>udjelovati</w:t>
            </w:r>
            <w:proofErr w:type="spellEnd"/>
            <w:r w:rsidRPr="00DF4CE5">
              <w:rPr>
                <w:rFonts w:ascii="Cambria" w:eastAsia="Times New Roman" w:hAnsi="Cambria" w:cs="Calibri"/>
                <w:lang w:val="it-IT"/>
              </w:rPr>
              <w:t xml:space="preserve"> u </w:t>
            </w:r>
            <w:proofErr w:type="spellStart"/>
            <w:r w:rsidRPr="00DF4CE5">
              <w:rPr>
                <w:rFonts w:ascii="Cambria" w:eastAsia="Times New Roman" w:hAnsi="Cambria" w:cs="Calibri"/>
                <w:lang w:val="it-IT"/>
              </w:rPr>
              <w:t>terenskoj</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nastavi</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pješačenju</w:t>
            </w:r>
            <w:proofErr w:type="spellEnd"/>
            <w:r w:rsidRPr="00DF4CE5">
              <w:rPr>
                <w:rFonts w:ascii="Cambria" w:eastAsia="Times New Roman" w:hAnsi="Cambria" w:cs="Calibri"/>
                <w:lang w:val="it-IT"/>
              </w:rPr>
              <w:t xml:space="preserve"> u </w:t>
            </w:r>
            <w:proofErr w:type="spellStart"/>
            <w:r w:rsidRPr="00DF4CE5">
              <w:rPr>
                <w:rFonts w:ascii="Cambria" w:eastAsia="Times New Roman" w:hAnsi="Cambria" w:cs="Calibri"/>
                <w:lang w:val="it-IT"/>
              </w:rPr>
              <w:t>prirodi</w:t>
            </w:r>
            <w:proofErr w:type="spellEnd"/>
            <w:r w:rsidRPr="00DF4CE5">
              <w:rPr>
                <w:rFonts w:ascii="Cambria" w:eastAsia="Times New Roman" w:hAnsi="Cambria" w:cs="Calibri"/>
                <w:lang w:val="it-IT"/>
              </w:rPr>
              <w:t xml:space="preserve"> i </w:t>
            </w:r>
            <w:proofErr w:type="spellStart"/>
            <w:r w:rsidRPr="00DF4CE5">
              <w:rPr>
                <w:rFonts w:ascii="Cambria" w:eastAsia="Times New Roman" w:hAnsi="Cambria" w:cs="Calibri"/>
                <w:lang w:val="it-IT"/>
              </w:rPr>
              <w:t>planinarenju</w:t>
            </w:r>
            <w:proofErr w:type="spellEnd"/>
            <w:r w:rsidRPr="00DF4CE5">
              <w:rPr>
                <w:rFonts w:ascii="Cambria" w:eastAsia="Times New Roman" w:hAnsi="Cambria" w:cs="Calibri"/>
                <w:lang w:val="it-IT"/>
              </w:rPr>
              <w:t xml:space="preserve"> te </w:t>
            </w:r>
            <w:proofErr w:type="spellStart"/>
            <w:r w:rsidRPr="00DF4CE5">
              <w:rPr>
                <w:rFonts w:ascii="Cambria" w:eastAsia="Times New Roman" w:hAnsi="Cambria" w:cs="Calibri"/>
                <w:lang w:val="it-IT"/>
              </w:rPr>
              <w:t>sportsko-rekreativnom</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danu</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Fakulteta</w:t>
            </w:r>
            <w:proofErr w:type="spellEnd"/>
            <w:r w:rsidRPr="00DF4CE5">
              <w:rPr>
                <w:rFonts w:ascii="Cambria" w:eastAsia="Times New Roman" w:hAnsi="Cambria" w:cs="Calibri"/>
                <w:lang w:val="it-IT"/>
              </w:rPr>
              <w:t xml:space="preserve"> za </w:t>
            </w:r>
            <w:proofErr w:type="spellStart"/>
            <w:r w:rsidRPr="00DF4CE5">
              <w:rPr>
                <w:rFonts w:ascii="Cambria" w:eastAsia="Times New Roman" w:hAnsi="Cambria" w:cs="Calibri"/>
                <w:lang w:val="it-IT"/>
              </w:rPr>
              <w:t>odgojne</w:t>
            </w:r>
            <w:proofErr w:type="spellEnd"/>
            <w:r w:rsidRPr="00DF4CE5">
              <w:rPr>
                <w:rFonts w:ascii="Cambria" w:eastAsia="Times New Roman" w:hAnsi="Cambria" w:cs="Calibri"/>
                <w:lang w:val="it-IT"/>
              </w:rPr>
              <w:t xml:space="preserve"> i </w:t>
            </w:r>
            <w:proofErr w:type="spellStart"/>
            <w:r w:rsidRPr="00DF4CE5">
              <w:rPr>
                <w:rFonts w:ascii="Cambria" w:eastAsia="Times New Roman" w:hAnsi="Cambria" w:cs="Calibri"/>
                <w:lang w:val="it-IT"/>
              </w:rPr>
              <w:t>obrazovne</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znanosti</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na</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Fratarskom</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otoku</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krajem</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akademske</w:t>
            </w:r>
            <w:proofErr w:type="spellEnd"/>
            <w:r w:rsidRPr="00DF4CE5">
              <w:rPr>
                <w:rFonts w:ascii="Cambria" w:eastAsia="Times New Roman" w:hAnsi="Cambria" w:cs="Calibri"/>
                <w:lang w:val="it-IT"/>
              </w:rPr>
              <w:t xml:space="preserve"> godine)</w:t>
            </w:r>
          </w:p>
          <w:p w14:paraId="15ACF9C7" w14:textId="16A7A1D1" w:rsidR="00DB76CD" w:rsidRPr="00DF4CE5" w:rsidRDefault="00DB76CD" w:rsidP="00DB76CD">
            <w:pPr>
              <w:spacing w:after="0" w:line="240" w:lineRule="auto"/>
              <w:jc w:val="both"/>
              <w:rPr>
                <w:rFonts w:ascii="Cambria" w:eastAsia="Times New Roman" w:hAnsi="Cambria" w:cs="Calibri"/>
                <w:b/>
              </w:rPr>
            </w:pPr>
            <w:r w:rsidRPr="00DF4CE5">
              <w:rPr>
                <w:rFonts w:ascii="Cambria" w:eastAsia="Times New Roman" w:hAnsi="Cambria" w:cs="Calibri"/>
              </w:rPr>
              <w:t xml:space="preserve">5. </w:t>
            </w:r>
            <w:proofErr w:type="spellStart"/>
            <w:r w:rsidR="006B4FFE" w:rsidRPr="006E59DC">
              <w:rPr>
                <w:rFonts w:ascii="Cambria" w:eastAsia="Times New Roman" w:hAnsi="Cambria" w:cs="Calibri"/>
              </w:rPr>
              <w:t>s</w:t>
            </w:r>
            <w:r w:rsidRPr="006E59DC">
              <w:rPr>
                <w:rFonts w:ascii="Cambria" w:eastAsia="Times New Roman" w:hAnsi="Cambria" w:cs="Calibri"/>
              </w:rPr>
              <w:t>avladati</w:t>
            </w:r>
            <w:proofErr w:type="spellEnd"/>
            <w:r w:rsidRPr="006E59DC">
              <w:rPr>
                <w:rFonts w:ascii="Cambria" w:eastAsia="Times New Roman" w:hAnsi="Cambria" w:cs="Calibri"/>
              </w:rPr>
              <w:t xml:space="preserve"> </w:t>
            </w:r>
            <w:proofErr w:type="spellStart"/>
            <w:r w:rsidRPr="006E59DC">
              <w:rPr>
                <w:rFonts w:ascii="Cambria" w:eastAsia="Times New Roman" w:hAnsi="Cambria" w:cs="Calibri"/>
              </w:rPr>
              <w:t>sve</w:t>
            </w:r>
            <w:proofErr w:type="spellEnd"/>
            <w:r w:rsidRPr="006E59DC">
              <w:rPr>
                <w:rFonts w:ascii="Cambria" w:eastAsia="Times New Roman" w:hAnsi="Cambria" w:cs="Calibri"/>
              </w:rPr>
              <w:t xml:space="preserve"> </w:t>
            </w:r>
            <w:proofErr w:type="spellStart"/>
            <w:r w:rsidRPr="006E59DC">
              <w:rPr>
                <w:rFonts w:ascii="Cambria" w:eastAsia="Times New Roman" w:hAnsi="Cambria" w:cs="Calibri"/>
              </w:rPr>
              <w:t>zadane</w:t>
            </w:r>
            <w:proofErr w:type="spellEnd"/>
            <w:r w:rsidRPr="006E59DC">
              <w:rPr>
                <w:rFonts w:ascii="Cambria" w:eastAsia="Times New Roman" w:hAnsi="Cambria" w:cs="Calibri"/>
              </w:rPr>
              <w:t xml:space="preserve"> </w:t>
            </w:r>
            <w:proofErr w:type="spellStart"/>
            <w:r w:rsidRPr="006E59DC">
              <w:rPr>
                <w:rFonts w:ascii="Cambria" w:eastAsia="Times New Roman" w:hAnsi="Cambria" w:cs="Calibri"/>
              </w:rPr>
              <w:t>elemente</w:t>
            </w:r>
            <w:proofErr w:type="spellEnd"/>
            <w:r w:rsidRPr="006E59DC">
              <w:rPr>
                <w:rFonts w:ascii="Cambria" w:eastAsia="Times New Roman" w:hAnsi="Cambria" w:cs="Calibri"/>
              </w:rPr>
              <w:t>.</w:t>
            </w:r>
          </w:p>
        </w:tc>
      </w:tr>
      <w:tr w:rsidR="00DB76CD" w:rsidRPr="00DF4CE5" w14:paraId="069718EB" w14:textId="77777777" w:rsidTr="00DB76CD">
        <w:tc>
          <w:tcPr>
            <w:tcW w:w="212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C82E0C2" w14:textId="77777777" w:rsidR="00DB76CD" w:rsidRPr="00DF4CE5" w:rsidRDefault="00DB76CD" w:rsidP="00DB76CD">
            <w:pPr>
              <w:spacing w:after="0" w:line="240" w:lineRule="auto"/>
              <w:rPr>
                <w:rFonts w:ascii="Cambria" w:eastAsia="Times New Roman" w:hAnsi="Cambria" w:cs="Calibri"/>
              </w:rPr>
            </w:pPr>
            <w:proofErr w:type="spellStart"/>
            <w:r w:rsidRPr="00DF4CE5">
              <w:rPr>
                <w:rFonts w:ascii="Cambria" w:eastAsia="Times New Roman" w:hAnsi="Cambria" w:cs="Calibri"/>
              </w:rPr>
              <w:t>Rokovi</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ispita</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i</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kolokvija</w:t>
            </w:r>
            <w:proofErr w:type="spellEnd"/>
          </w:p>
        </w:tc>
        <w:tc>
          <w:tcPr>
            <w:tcW w:w="721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3F55A54" w14:textId="77777777" w:rsidR="00DB76CD" w:rsidRPr="00DF4CE5" w:rsidRDefault="00DB76CD" w:rsidP="00DB76CD">
            <w:pPr>
              <w:spacing w:after="0" w:line="240" w:lineRule="auto"/>
              <w:jc w:val="both"/>
              <w:rPr>
                <w:rFonts w:ascii="Cambria" w:eastAsia="Times New Roman" w:hAnsi="Cambria" w:cs="Calibri"/>
              </w:rPr>
            </w:pPr>
            <w:proofErr w:type="spellStart"/>
            <w:r w:rsidRPr="00DF4CE5">
              <w:rPr>
                <w:rFonts w:ascii="Cambria" w:eastAsia="Times New Roman" w:hAnsi="Cambria" w:cs="Calibri"/>
              </w:rPr>
              <w:t>Objavljuju</w:t>
            </w:r>
            <w:proofErr w:type="spellEnd"/>
            <w:r w:rsidRPr="00DF4CE5">
              <w:rPr>
                <w:rFonts w:ascii="Cambria" w:eastAsia="Times New Roman" w:hAnsi="Cambria" w:cs="Calibri"/>
              </w:rPr>
              <w:t xml:space="preserve"> se </w:t>
            </w:r>
            <w:proofErr w:type="spellStart"/>
            <w:r w:rsidRPr="00DF4CE5">
              <w:rPr>
                <w:rFonts w:ascii="Cambria" w:eastAsia="Times New Roman" w:hAnsi="Cambria" w:cs="Calibri"/>
              </w:rPr>
              <w:t>na</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početku</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akademske</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godine</w:t>
            </w:r>
            <w:proofErr w:type="spellEnd"/>
            <w:r w:rsidRPr="00DF4CE5">
              <w:rPr>
                <w:rFonts w:ascii="Cambria" w:eastAsia="Times New Roman" w:hAnsi="Cambria" w:cs="Calibri"/>
              </w:rPr>
              <w:t xml:space="preserve"> u ISVU.</w:t>
            </w:r>
          </w:p>
        </w:tc>
      </w:tr>
      <w:tr w:rsidR="00DB76CD" w:rsidRPr="00DF4CE5" w14:paraId="68E1CF9D" w14:textId="77777777" w:rsidTr="00DB76CD">
        <w:tc>
          <w:tcPr>
            <w:tcW w:w="212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DA39F06" w14:textId="77777777" w:rsidR="00DB76CD" w:rsidRPr="00DF4CE5" w:rsidRDefault="00DB76CD" w:rsidP="00DB76CD">
            <w:pPr>
              <w:spacing w:after="0" w:line="240" w:lineRule="auto"/>
              <w:rPr>
                <w:rFonts w:ascii="Cambria" w:eastAsia="Times New Roman" w:hAnsi="Cambria" w:cs="Calibri"/>
                <w:lang w:val="it-IT"/>
              </w:rPr>
            </w:pPr>
            <w:r w:rsidRPr="00DF4CE5">
              <w:rPr>
                <w:rFonts w:ascii="Cambria" w:eastAsia="Times New Roman" w:hAnsi="Cambria" w:cs="Calibri"/>
                <w:lang w:val="it-IT"/>
              </w:rPr>
              <w:t xml:space="preserve">Ostale </w:t>
            </w:r>
            <w:proofErr w:type="spellStart"/>
            <w:r w:rsidRPr="00DF4CE5">
              <w:rPr>
                <w:rFonts w:ascii="Cambria" w:eastAsia="Times New Roman" w:hAnsi="Cambria" w:cs="Calibri"/>
                <w:lang w:val="it-IT"/>
              </w:rPr>
              <w:t>važne</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činjenice</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vezane</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uz</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kolegij</w:t>
            </w:r>
            <w:proofErr w:type="spellEnd"/>
          </w:p>
        </w:tc>
        <w:tc>
          <w:tcPr>
            <w:tcW w:w="721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918971A" w14:textId="77777777" w:rsidR="00DB76CD" w:rsidRPr="00DF4CE5" w:rsidRDefault="00DB76CD" w:rsidP="00DB76CD">
            <w:pPr>
              <w:tabs>
                <w:tab w:val="left" w:pos="376"/>
              </w:tabs>
              <w:spacing w:after="0" w:line="240" w:lineRule="auto"/>
              <w:jc w:val="both"/>
              <w:rPr>
                <w:rFonts w:ascii="Cambria" w:eastAsia="Times New Roman" w:hAnsi="Cambria" w:cs="Calibri"/>
                <w:lang w:val="it-IT"/>
              </w:rPr>
            </w:pPr>
            <w:r w:rsidRPr="00DF4CE5">
              <w:rPr>
                <w:rFonts w:ascii="Cambria" w:eastAsia="Times New Roman" w:hAnsi="Cambria" w:cs="Calibri"/>
                <w:lang w:val="it-IT"/>
              </w:rPr>
              <w:t xml:space="preserve">Za </w:t>
            </w:r>
            <w:proofErr w:type="spellStart"/>
            <w:r w:rsidRPr="00DF4CE5">
              <w:rPr>
                <w:rFonts w:ascii="Cambria" w:eastAsia="Times New Roman" w:hAnsi="Cambria" w:cs="Calibri"/>
                <w:lang w:val="it-IT"/>
              </w:rPr>
              <w:t>provjeru</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stupnja</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razvoja</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općih</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kompetencija</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koristit</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će</w:t>
            </w:r>
            <w:proofErr w:type="spellEnd"/>
            <w:r w:rsidRPr="00DF4CE5">
              <w:rPr>
                <w:rFonts w:ascii="Cambria" w:eastAsia="Times New Roman" w:hAnsi="Cambria" w:cs="Calibri"/>
                <w:lang w:val="it-IT"/>
              </w:rPr>
              <w:t xml:space="preserve"> se </w:t>
            </w:r>
            <w:proofErr w:type="spellStart"/>
            <w:r w:rsidRPr="00DF4CE5">
              <w:rPr>
                <w:rFonts w:ascii="Cambria" w:eastAsia="Times New Roman" w:hAnsi="Cambria" w:cs="Calibri"/>
                <w:lang w:val="it-IT"/>
              </w:rPr>
              <w:t>standardizirani</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testovi</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motoričkih</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sposobnosti</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testovi</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eksplozivne</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statičke</w:t>
            </w:r>
            <w:proofErr w:type="spellEnd"/>
            <w:r w:rsidRPr="00DF4CE5">
              <w:rPr>
                <w:rFonts w:ascii="Cambria" w:eastAsia="Times New Roman" w:hAnsi="Cambria" w:cs="Calibri"/>
                <w:lang w:val="it-IT"/>
              </w:rPr>
              <w:t xml:space="preserve"> i </w:t>
            </w:r>
            <w:proofErr w:type="spellStart"/>
            <w:r w:rsidRPr="00DF4CE5">
              <w:rPr>
                <w:rFonts w:ascii="Cambria" w:eastAsia="Times New Roman" w:hAnsi="Cambria" w:cs="Calibri"/>
                <w:lang w:val="it-IT"/>
              </w:rPr>
              <w:t>repetitivne</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snage</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brzine</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koordinacije</w:t>
            </w:r>
            <w:proofErr w:type="spellEnd"/>
            <w:r w:rsidRPr="00DF4CE5">
              <w:rPr>
                <w:rFonts w:ascii="Cambria" w:eastAsia="Times New Roman" w:hAnsi="Cambria" w:cs="Calibri"/>
                <w:lang w:val="it-IT"/>
              </w:rPr>
              <w:t xml:space="preserve"> i </w:t>
            </w:r>
            <w:proofErr w:type="spellStart"/>
            <w:r w:rsidRPr="00DF4CE5">
              <w:rPr>
                <w:rFonts w:ascii="Cambria" w:eastAsia="Times New Roman" w:hAnsi="Cambria" w:cs="Calibri"/>
                <w:lang w:val="it-IT"/>
              </w:rPr>
              <w:t>fleksibilnosti</w:t>
            </w:r>
            <w:proofErr w:type="spellEnd"/>
            <w:r w:rsidRPr="00DF4CE5">
              <w:rPr>
                <w:rFonts w:ascii="Cambria" w:eastAsia="Times New Roman" w:hAnsi="Cambria" w:cs="Calibri"/>
                <w:lang w:val="it-IT"/>
              </w:rPr>
              <w:t xml:space="preserve">), test </w:t>
            </w:r>
            <w:proofErr w:type="spellStart"/>
            <w:r w:rsidRPr="00DF4CE5">
              <w:rPr>
                <w:rFonts w:ascii="Cambria" w:eastAsia="Times New Roman" w:hAnsi="Cambria" w:cs="Calibri"/>
                <w:lang w:val="it-IT"/>
              </w:rPr>
              <w:t>funkcionalnih</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sposobnosti</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trčanje</w:t>
            </w:r>
            <w:proofErr w:type="spellEnd"/>
            <w:r w:rsidRPr="00DF4CE5">
              <w:rPr>
                <w:rFonts w:ascii="Cambria" w:eastAsia="Times New Roman" w:hAnsi="Cambria" w:cs="Calibri"/>
                <w:lang w:val="it-IT"/>
              </w:rPr>
              <w:t xml:space="preserve"> 1300 m), </w:t>
            </w:r>
            <w:proofErr w:type="spellStart"/>
            <w:r w:rsidRPr="00DF4CE5">
              <w:rPr>
                <w:rFonts w:ascii="Cambria" w:eastAsia="Times New Roman" w:hAnsi="Cambria" w:cs="Calibri"/>
                <w:lang w:val="it-IT"/>
              </w:rPr>
              <w:t>testovi</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motoričkih</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znanja</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ocjenjivanje</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zadanih</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elemenata</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tijekom</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nastave</w:t>
            </w:r>
            <w:proofErr w:type="spellEnd"/>
            <w:r w:rsidRPr="00DF4CE5">
              <w:rPr>
                <w:rFonts w:ascii="Cambria" w:eastAsia="Times New Roman" w:hAnsi="Cambria" w:cs="Calibri"/>
                <w:lang w:val="it-IT"/>
              </w:rPr>
              <w:t xml:space="preserve">) i test </w:t>
            </w:r>
            <w:proofErr w:type="spellStart"/>
            <w:r w:rsidRPr="00DF4CE5">
              <w:rPr>
                <w:rFonts w:ascii="Cambria" w:eastAsia="Times New Roman" w:hAnsi="Cambria" w:cs="Calibri"/>
                <w:lang w:val="it-IT"/>
              </w:rPr>
              <w:t>znanja</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plivanja</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osnovnim</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plivačkim</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tehnikama</w:t>
            </w:r>
            <w:proofErr w:type="spellEnd"/>
            <w:r w:rsidRPr="00DF4CE5">
              <w:rPr>
                <w:rFonts w:ascii="Cambria" w:eastAsia="Times New Roman" w:hAnsi="Cambria" w:cs="Calibri"/>
                <w:lang w:val="it-IT"/>
              </w:rPr>
              <w:t>.</w:t>
            </w:r>
          </w:p>
          <w:p w14:paraId="7F6985E6" w14:textId="77777777" w:rsidR="00DB76CD" w:rsidRPr="00DF4CE5" w:rsidRDefault="00DB76CD" w:rsidP="00DB76CD">
            <w:pPr>
              <w:tabs>
                <w:tab w:val="left" w:pos="376"/>
              </w:tabs>
              <w:spacing w:after="0" w:line="240" w:lineRule="auto"/>
              <w:jc w:val="both"/>
              <w:rPr>
                <w:rFonts w:ascii="Cambria" w:eastAsia="Times New Roman" w:hAnsi="Cambria" w:cs="Calibri"/>
                <w:lang w:val="it-IT"/>
              </w:rPr>
            </w:pPr>
            <w:r w:rsidRPr="00DF4CE5">
              <w:rPr>
                <w:rFonts w:ascii="Cambria" w:eastAsia="Times New Roman" w:hAnsi="Cambria" w:cs="Calibri"/>
                <w:lang w:val="it-IT"/>
              </w:rPr>
              <w:t xml:space="preserve">Studenti </w:t>
            </w:r>
            <w:proofErr w:type="spellStart"/>
            <w:r w:rsidRPr="00DF4CE5">
              <w:rPr>
                <w:rFonts w:ascii="Cambria" w:eastAsia="Times New Roman" w:hAnsi="Cambria" w:cs="Calibri"/>
                <w:lang w:val="it-IT"/>
              </w:rPr>
              <w:t>koji</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imaju</w:t>
            </w:r>
            <w:proofErr w:type="spellEnd"/>
            <w:r w:rsidRPr="00DF4CE5">
              <w:rPr>
                <w:rFonts w:ascii="Cambria" w:eastAsia="Times New Roman" w:hAnsi="Cambria" w:cs="Calibri"/>
                <w:lang w:val="it-IT"/>
              </w:rPr>
              <w:t xml:space="preserve"> u </w:t>
            </w:r>
            <w:proofErr w:type="spellStart"/>
            <w:r w:rsidRPr="00DF4CE5">
              <w:rPr>
                <w:rFonts w:ascii="Cambria" w:eastAsia="Times New Roman" w:hAnsi="Cambria" w:cs="Calibri"/>
                <w:lang w:val="it-IT"/>
              </w:rPr>
              <w:t>bilo</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kom</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obliku</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narušen</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zdravstveni</w:t>
            </w:r>
            <w:proofErr w:type="spellEnd"/>
            <w:r w:rsidRPr="00DF4CE5">
              <w:rPr>
                <w:rFonts w:ascii="Cambria" w:eastAsia="Times New Roman" w:hAnsi="Cambria" w:cs="Calibri"/>
                <w:lang w:val="it-IT"/>
              </w:rPr>
              <w:t xml:space="preserve"> status, </w:t>
            </w:r>
            <w:proofErr w:type="spellStart"/>
            <w:r w:rsidRPr="00DF4CE5">
              <w:rPr>
                <w:rFonts w:ascii="Cambria" w:eastAsia="Times New Roman" w:hAnsi="Cambria" w:cs="Calibri"/>
                <w:lang w:val="it-IT"/>
              </w:rPr>
              <w:t>dužni</w:t>
            </w:r>
            <w:proofErr w:type="spellEnd"/>
            <w:r w:rsidRPr="00DF4CE5">
              <w:rPr>
                <w:rFonts w:ascii="Cambria" w:eastAsia="Times New Roman" w:hAnsi="Cambria" w:cs="Calibri"/>
                <w:lang w:val="it-IT"/>
              </w:rPr>
              <w:t xml:space="preserve"> su </w:t>
            </w:r>
            <w:proofErr w:type="spellStart"/>
            <w:r w:rsidRPr="00DF4CE5">
              <w:rPr>
                <w:rFonts w:ascii="Cambria" w:eastAsia="Times New Roman" w:hAnsi="Cambria" w:cs="Calibri"/>
                <w:lang w:val="it-IT"/>
              </w:rPr>
              <w:t>već</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na</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početku</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akademske</w:t>
            </w:r>
            <w:proofErr w:type="spellEnd"/>
            <w:r w:rsidRPr="00DF4CE5">
              <w:rPr>
                <w:rFonts w:ascii="Cambria" w:eastAsia="Times New Roman" w:hAnsi="Cambria" w:cs="Calibri"/>
                <w:lang w:val="it-IT"/>
              </w:rPr>
              <w:t xml:space="preserve"> godine </w:t>
            </w:r>
            <w:proofErr w:type="spellStart"/>
            <w:r w:rsidRPr="00DF4CE5">
              <w:rPr>
                <w:rFonts w:ascii="Cambria" w:eastAsia="Times New Roman" w:hAnsi="Cambria" w:cs="Calibri"/>
                <w:lang w:val="it-IT"/>
              </w:rPr>
              <w:t>priložiti</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zdravstvenu</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dokumentaciju</w:t>
            </w:r>
            <w:proofErr w:type="spellEnd"/>
            <w:r w:rsidRPr="00DF4CE5">
              <w:rPr>
                <w:rFonts w:ascii="Cambria" w:eastAsia="Times New Roman" w:hAnsi="Cambria" w:cs="Calibri"/>
                <w:lang w:val="it-IT"/>
              </w:rPr>
              <w:t xml:space="preserve"> i </w:t>
            </w:r>
            <w:proofErr w:type="spellStart"/>
            <w:r w:rsidRPr="00DF4CE5">
              <w:rPr>
                <w:rFonts w:ascii="Cambria" w:eastAsia="Times New Roman" w:hAnsi="Cambria" w:cs="Calibri"/>
                <w:lang w:val="it-IT"/>
              </w:rPr>
              <w:t>mišljenje</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nadležnog</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sveučilišnog</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liječnika</w:t>
            </w:r>
            <w:proofErr w:type="spellEnd"/>
            <w:r w:rsidRPr="00DF4CE5">
              <w:rPr>
                <w:rFonts w:ascii="Cambria" w:eastAsia="Times New Roman" w:hAnsi="Cambria" w:cs="Calibri"/>
                <w:lang w:val="it-IT"/>
              </w:rPr>
              <w:t xml:space="preserve"> o </w:t>
            </w:r>
            <w:proofErr w:type="spellStart"/>
            <w:r w:rsidRPr="00DF4CE5">
              <w:rPr>
                <w:rFonts w:ascii="Cambria" w:eastAsia="Times New Roman" w:hAnsi="Cambria" w:cs="Calibri"/>
                <w:lang w:val="it-IT"/>
              </w:rPr>
              <w:t>eventualnoj</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djelomičnoj</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poštedi</w:t>
            </w:r>
            <w:proofErr w:type="spellEnd"/>
            <w:r w:rsidRPr="00DF4CE5">
              <w:rPr>
                <w:rFonts w:ascii="Cambria" w:eastAsia="Times New Roman" w:hAnsi="Cambria" w:cs="Calibri"/>
                <w:lang w:val="it-IT"/>
              </w:rPr>
              <w:t xml:space="preserve"> s </w:t>
            </w:r>
            <w:proofErr w:type="spellStart"/>
            <w:r w:rsidRPr="00DF4CE5">
              <w:rPr>
                <w:rFonts w:ascii="Cambria" w:eastAsia="Times New Roman" w:hAnsi="Cambria" w:cs="Calibri"/>
                <w:lang w:val="it-IT"/>
              </w:rPr>
              <w:t>posebnim</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naglaskom</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na</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onaj</w:t>
            </w:r>
            <w:proofErr w:type="spellEnd"/>
            <w:r w:rsidRPr="00DF4CE5">
              <w:rPr>
                <w:rFonts w:ascii="Cambria" w:eastAsia="Times New Roman" w:hAnsi="Cambria" w:cs="Calibri"/>
                <w:lang w:val="it-IT"/>
              </w:rPr>
              <w:t xml:space="preserve"> dio </w:t>
            </w:r>
            <w:proofErr w:type="spellStart"/>
            <w:r w:rsidRPr="00DF4CE5">
              <w:rPr>
                <w:rFonts w:ascii="Cambria" w:eastAsia="Times New Roman" w:hAnsi="Cambria" w:cs="Calibri"/>
                <w:lang w:val="it-IT"/>
              </w:rPr>
              <w:t>aktivnosti</w:t>
            </w:r>
            <w:proofErr w:type="spellEnd"/>
            <w:r w:rsidRPr="00DF4CE5">
              <w:rPr>
                <w:rFonts w:ascii="Cambria" w:eastAsia="Times New Roman" w:hAnsi="Cambria" w:cs="Calibri"/>
                <w:lang w:val="it-IT"/>
              </w:rPr>
              <w:t xml:space="preserve"> u </w:t>
            </w:r>
            <w:proofErr w:type="spellStart"/>
            <w:r w:rsidRPr="00DF4CE5">
              <w:rPr>
                <w:rFonts w:ascii="Cambria" w:eastAsia="Times New Roman" w:hAnsi="Cambria" w:cs="Calibri"/>
                <w:lang w:val="it-IT"/>
              </w:rPr>
              <w:t>Kineziološkoj</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kulturi</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kojih</w:t>
            </w:r>
            <w:proofErr w:type="spellEnd"/>
            <w:r w:rsidRPr="00DF4CE5">
              <w:rPr>
                <w:rFonts w:ascii="Cambria" w:eastAsia="Times New Roman" w:hAnsi="Cambria" w:cs="Calibri"/>
                <w:lang w:val="it-IT"/>
              </w:rPr>
              <w:t xml:space="preserve"> bi </w:t>
            </w:r>
            <w:proofErr w:type="spellStart"/>
            <w:r w:rsidRPr="00DF4CE5">
              <w:rPr>
                <w:rFonts w:ascii="Cambria" w:eastAsia="Times New Roman" w:hAnsi="Cambria" w:cs="Calibri"/>
                <w:lang w:val="it-IT"/>
              </w:rPr>
              <w:t>zbog</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narušenog</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zdravstvenog</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statusa</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trebali</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biti</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djelomično</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pošteđeni</w:t>
            </w:r>
            <w:proofErr w:type="spellEnd"/>
            <w:r w:rsidRPr="00DF4CE5">
              <w:rPr>
                <w:rFonts w:ascii="Cambria" w:eastAsia="Times New Roman" w:hAnsi="Cambria" w:cs="Calibri"/>
                <w:lang w:val="it-IT"/>
              </w:rPr>
              <w:t>.</w:t>
            </w:r>
          </w:p>
          <w:p w14:paraId="0E42D75F" w14:textId="77777777" w:rsidR="00DB76CD" w:rsidRPr="00DF4CE5" w:rsidRDefault="00DB76CD" w:rsidP="00DB76CD">
            <w:pPr>
              <w:tabs>
                <w:tab w:val="left" w:pos="376"/>
              </w:tabs>
              <w:spacing w:after="0" w:line="240" w:lineRule="auto"/>
              <w:jc w:val="both"/>
              <w:rPr>
                <w:rFonts w:ascii="Cambria" w:eastAsia="Times New Roman" w:hAnsi="Cambria" w:cs="Calibri"/>
                <w:lang w:val="it-IT"/>
              </w:rPr>
            </w:pPr>
            <w:proofErr w:type="spellStart"/>
            <w:r w:rsidRPr="00DF4CE5">
              <w:rPr>
                <w:rFonts w:ascii="Cambria" w:eastAsia="Times New Roman" w:hAnsi="Cambria" w:cs="Calibri"/>
                <w:lang w:val="it-IT"/>
              </w:rPr>
              <w:t>Vrijeme</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konzultacija</w:t>
            </w:r>
            <w:proofErr w:type="spellEnd"/>
            <w:r w:rsidRPr="00DF4CE5">
              <w:rPr>
                <w:rFonts w:ascii="Cambria" w:eastAsia="Times New Roman" w:hAnsi="Cambria" w:cs="Calibri"/>
                <w:lang w:val="it-IT"/>
              </w:rPr>
              <w:t xml:space="preserve"> bit </w:t>
            </w:r>
            <w:proofErr w:type="spellStart"/>
            <w:r w:rsidRPr="00DF4CE5">
              <w:rPr>
                <w:rFonts w:ascii="Cambria" w:eastAsia="Times New Roman" w:hAnsi="Cambria" w:cs="Calibri"/>
                <w:lang w:val="it-IT"/>
              </w:rPr>
              <w:t>će</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određeno</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na</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početku</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svakog</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semestra</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nakon</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službene</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objave</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rasporeda</w:t>
            </w:r>
            <w:proofErr w:type="spellEnd"/>
            <w:r w:rsidRPr="00DF4CE5">
              <w:rPr>
                <w:rFonts w:ascii="Cambria" w:eastAsia="Times New Roman" w:hAnsi="Cambria" w:cs="Calibri"/>
                <w:lang w:val="it-IT"/>
              </w:rPr>
              <w:t xml:space="preserve"> sati).</w:t>
            </w:r>
          </w:p>
          <w:p w14:paraId="354D1315" w14:textId="77777777" w:rsidR="00DB76CD" w:rsidRPr="00DF4CE5" w:rsidRDefault="00DB76CD" w:rsidP="00DB76CD">
            <w:pPr>
              <w:tabs>
                <w:tab w:val="left" w:pos="376"/>
              </w:tabs>
              <w:spacing w:after="0" w:line="240" w:lineRule="auto"/>
              <w:jc w:val="both"/>
              <w:rPr>
                <w:rFonts w:ascii="Cambria" w:eastAsia="Times New Roman" w:hAnsi="Cambria" w:cs="Calibri"/>
              </w:rPr>
            </w:pPr>
            <w:r w:rsidRPr="00DF4CE5">
              <w:rPr>
                <w:rFonts w:ascii="Cambria" w:eastAsia="Times New Roman" w:hAnsi="Cambria" w:cs="Calibri"/>
                <w:lang w:val="it-IT"/>
              </w:rPr>
              <w:t xml:space="preserve">U </w:t>
            </w:r>
            <w:proofErr w:type="spellStart"/>
            <w:r w:rsidRPr="00DF4CE5">
              <w:rPr>
                <w:rFonts w:ascii="Cambria" w:eastAsia="Times New Roman" w:hAnsi="Cambria" w:cs="Calibri"/>
                <w:lang w:val="it-IT"/>
              </w:rPr>
              <w:t>slučaju</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održavanja</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nastave</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na</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daljinu</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moguće</w:t>
            </w:r>
            <w:proofErr w:type="spellEnd"/>
            <w:r w:rsidRPr="00DF4CE5">
              <w:rPr>
                <w:rFonts w:ascii="Cambria" w:eastAsia="Times New Roman" w:hAnsi="Cambria" w:cs="Calibri"/>
                <w:lang w:val="it-IT"/>
              </w:rPr>
              <w:t xml:space="preserve"> je </w:t>
            </w:r>
            <w:proofErr w:type="spellStart"/>
            <w:r w:rsidRPr="00DF4CE5">
              <w:rPr>
                <w:rFonts w:ascii="Cambria" w:eastAsia="Times New Roman" w:hAnsi="Cambria" w:cs="Calibri"/>
                <w:lang w:val="it-IT"/>
              </w:rPr>
              <w:t>odstupanje</w:t>
            </w:r>
            <w:proofErr w:type="spellEnd"/>
            <w:r w:rsidRPr="00DF4CE5">
              <w:rPr>
                <w:rFonts w:ascii="Cambria" w:eastAsia="Times New Roman" w:hAnsi="Cambria" w:cs="Calibri"/>
                <w:lang w:val="it-IT"/>
              </w:rPr>
              <w:t xml:space="preserve"> u: </w:t>
            </w:r>
            <w:proofErr w:type="spellStart"/>
            <w:r w:rsidRPr="00DF4CE5">
              <w:rPr>
                <w:rFonts w:ascii="Cambria" w:eastAsia="Times New Roman" w:hAnsi="Cambria" w:cs="Calibri"/>
                <w:lang w:val="it-IT"/>
              </w:rPr>
              <w:t>mjestu</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izvođenja</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kolegija</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provedbi</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aktivnosti</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metoda</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tumačenja</w:t>
            </w:r>
            <w:proofErr w:type="spellEnd"/>
            <w:r w:rsidRPr="00DF4CE5">
              <w:rPr>
                <w:rFonts w:ascii="Cambria" w:eastAsia="Times New Roman" w:hAnsi="Cambria" w:cs="Calibri"/>
                <w:lang w:val="it-IT"/>
              </w:rPr>
              <w:t xml:space="preserve"> i </w:t>
            </w:r>
            <w:proofErr w:type="spellStart"/>
            <w:r w:rsidRPr="00DF4CE5">
              <w:rPr>
                <w:rFonts w:ascii="Cambria" w:eastAsia="Times New Roman" w:hAnsi="Cambria" w:cs="Calibri"/>
                <w:lang w:val="it-IT"/>
              </w:rPr>
              <w:t>poučavanja</w:t>
            </w:r>
            <w:proofErr w:type="spellEnd"/>
            <w:r w:rsidRPr="00DF4CE5">
              <w:rPr>
                <w:rFonts w:ascii="Cambria" w:eastAsia="Times New Roman" w:hAnsi="Cambria" w:cs="Calibri"/>
                <w:lang w:val="it-IT"/>
              </w:rPr>
              <w:t xml:space="preserve"> i </w:t>
            </w:r>
            <w:proofErr w:type="spellStart"/>
            <w:r w:rsidRPr="00DF4CE5">
              <w:rPr>
                <w:rFonts w:ascii="Cambria" w:eastAsia="Times New Roman" w:hAnsi="Cambria" w:cs="Calibri"/>
                <w:lang w:val="it-IT"/>
              </w:rPr>
              <w:t>načinima</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vrednovanja</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studentskim</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obvezama</w:t>
            </w:r>
            <w:proofErr w:type="spellEnd"/>
            <w:r w:rsidRPr="00DF4CE5">
              <w:rPr>
                <w:rFonts w:ascii="Cambria" w:eastAsia="Times New Roman" w:hAnsi="Cambria" w:cs="Calibri"/>
                <w:lang w:val="it-IT"/>
              </w:rPr>
              <w:t xml:space="preserve"> i </w:t>
            </w:r>
            <w:proofErr w:type="spellStart"/>
            <w:r w:rsidRPr="00DF4CE5">
              <w:rPr>
                <w:rFonts w:ascii="Cambria" w:eastAsia="Times New Roman" w:hAnsi="Cambria" w:cs="Calibri"/>
                <w:lang w:val="it-IT"/>
              </w:rPr>
              <w:t>dostupnoj</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literaturi</w:t>
            </w:r>
            <w:proofErr w:type="spellEnd"/>
            <w:r w:rsidRPr="00DF4CE5">
              <w:rPr>
                <w:rFonts w:ascii="Cambria" w:eastAsia="Times New Roman" w:hAnsi="Cambria" w:cs="Calibri"/>
                <w:lang w:val="it-IT"/>
              </w:rPr>
              <w:t xml:space="preserve">. O tome </w:t>
            </w:r>
            <w:proofErr w:type="spellStart"/>
            <w:r w:rsidRPr="00DF4CE5">
              <w:rPr>
                <w:rFonts w:ascii="Cambria" w:eastAsia="Times New Roman" w:hAnsi="Cambria" w:cs="Calibri"/>
                <w:lang w:val="it-IT"/>
              </w:rPr>
              <w:t>će</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nositeljica</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kolegija</w:t>
            </w:r>
            <w:proofErr w:type="spellEnd"/>
            <w:r w:rsidRPr="00DF4CE5">
              <w:rPr>
                <w:rFonts w:ascii="Cambria" w:eastAsia="Times New Roman" w:hAnsi="Cambria" w:cs="Calibri"/>
                <w:lang w:val="it-IT"/>
              </w:rPr>
              <w:t xml:space="preserve"> i </w:t>
            </w:r>
            <w:proofErr w:type="spellStart"/>
            <w:r w:rsidRPr="00DF4CE5">
              <w:rPr>
                <w:rFonts w:ascii="Cambria" w:eastAsia="Times New Roman" w:hAnsi="Cambria" w:cs="Calibri"/>
                <w:lang w:val="it-IT"/>
              </w:rPr>
              <w:t>suradnik</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obavijestiti</w:t>
            </w:r>
            <w:proofErr w:type="spellEnd"/>
            <w:r w:rsidRPr="00DF4CE5">
              <w:rPr>
                <w:rFonts w:ascii="Cambria" w:eastAsia="Times New Roman" w:hAnsi="Cambria" w:cs="Calibri"/>
                <w:lang w:val="it-IT"/>
              </w:rPr>
              <w:t xml:space="preserve"> studente i </w:t>
            </w:r>
            <w:proofErr w:type="spellStart"/>
            <w:r w:rsidRPr="00DF4CE5">
              <w:rPr>
                <w:rFonts w:ascii="Cambria" w:eastAsia="Times New Roman" w:hAnsi="Cambria" w:cs="Calibri"/>
                <w:lang w:val="it-IT"/>
              </w:rPr>
              <w:t>studentice</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kad</w:t>
            </w:r>
            <w:proofErr w:type="spellEnd"/>
            <w:r w:rsidRPr="00DF4CE5">
              <w:rPr>
                <w:rFonts w:ascii="Cambria" w:eastAsia="Times New Roman" w:hAnsi="Cambria" w:cs="Calibri"/>
                <w:lang w:val="it-IT"/>
              </w:rPr>
              <w:t xml:space="preserve"> se </w:t>
            </w:r>
            <w:proofErr w:type="spellStart"/>
            <w:r w:rsidRPr="00DF4CE5">
              <w:rPr>
                <w:rFonts w:ascii="Cambria" w:eastAsia="Times New Roman" w:hAnsi="Cambria" w:cs="Calibri"/>
                <w:lang w:val="it-IT"/>
              </w:rPr>
              <w:t>nastava</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na</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daljinu</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počne</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održavati</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rPr>
              <w:t>Ishodi</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učenja</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ostaju</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nepromijenjeni</w:t>
            </w:r>
            <w:proofErr w:type="spellEnd"/>
            <w:r w:rsidRPr="00DF4CE5">
              <w:rPr>
                <w:rFonts w:ascii="Cambria" w:eastAsia="Times New Roman" w:hAnsi="Cambria" w:cs="Calibri"/>
              </w:rPr>
              <w:t>.</w:t>
            </w:r>
          </w:p>
        </w:tc>
      </w:tr>
      <w:tr w:rsidR="00DB76CD" w:rsidRPr="00D0399C" w14:paraId="76A8378B" w14:textId="77777777" w:rsidTr="00DB76CD">
        <w:trPr>
          <w:trHeight w:val="770"/>
        </w:trPr>
        <w:tc>
          <w:tcPr>
            <w:tcW w:w="212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9E6A2B6" w14:textId="77777777" w:rsidR="00DB76CD" w:rsidRPr="00DF4CE5" w:rsidRDefault="00DB76CD" w:rsidP="00DB76CD">
            <w:pPr>
              <w:spacing w:after="0" w:line="240" w:lineRule="auto"/>
              <w:rPr>
                <w:rFonts w:ascii="Cambria" w:eastAsia="Times New Roman" w:hAnsi="Cambria" w:cs="Calibri"/>
              </w:rPr>
            </w:pPr>
            <w:proofErr w:type="spellStart"/>
            <w:r w:rsidRPr="00DF4CE5">
              <w:rPr>
                <w:rFonts w:ascii="Cambria" w:eastAsia="Times New Roman" w:hAnsi="Cambria" w:cs="Calibri"/>
              </w:rPr>
              <w:t>Literatura</w:t>
            </w:r>
            <w:proofErr w:type="spellEnd"/>
          </w:p>
        </w:tc>
        <w:tc>
          <w:tcPr>
            <w:tcW w:w="7216"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5FFCF070" w14:textId="77777777" w:rsidR="00DB76CD" w:rsidRPr="00DF4CE5" w:rsidRDefault="00DB76CD" w:rsidP="00DB76CD">
            <w:pPr>
              <w:spacing w:after="0" w:line="240" w:lineRule="auto"/>
              <w:jc w:val="both"/>
              <w:rPr>
                <w:rFonts w:ascii="Cambria" w:eastAsia="Times New Roman" w:hAnsi="Cambria" w:cs="Calibri"/>
                <w:lang w:val="it-IT"/>
              </w:rPr>
            </w:pPr>
            <w:proofErr w:type="spellStart"/>
            <w:r w:rsidRPr="00DF4CE5">
              <w:rPr>
                <w:rFonts w:ascii="Cambria" w:eastAsia="Times New Roman" w:hAnsi="Cambria" w:cs="Calibri"/>
                <w:lang w:val="it-IT"/>
              </w:rPr>
              <w:t>Obvezna</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Literatura</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nije</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obvezna</w:t>
            </w:r>
            <w:proofErr w:type="spellEnd"/>
            <w:r w:rsidRPr="00DF4CE5">
              <w:rPr>
                <w:rFonts w:ascii="Cambria" w:eastAsia="Times New Roman" w:hAnsi="Cambria" w:cs="Calibri"/>
                <w:lang w:val="it-IT"/>
              </w:rPr>
              <w:t>.</w:t>
            </w:r>
          </w:p>
          <w:p w14:paraId="05A0EE1B" w14:textId="77777777" w:rsidR="00DB76CD" w:rsidRPr="00DF4CE5" w:rsidRDefault="00DB76CD" w:rsidP="00DB76CD">
            <w:pPr>
              <w:spacing w:after="0" w:line="240" w:lineRule="auto"/>
              <w:jc w:val="both"/>
              <w:rPr>
                <w:rFonts w:ascii="Cambria" w:eastAsia="Times New Roman" w:hAnsi="Cambria" w:cs="Calibri"/>
                <w:lang w:val="it-IT"/>
              </w:rPr>
            </w:pPr>
            <w:proofErr w:type="spellStart"/>
            <w:r w:rsidRPr="00DF4CE5">
              <w:rPr>
                <w:rFonts w:ascii="Cambria" w:eastAsia="Times New Roman" w:hAnsi="Cambria" w:cs="Calibri"/>
                <w:lang w:val="it-IT"/>
              </w:rPr>
              <w:t>Izborna</w:t>
            </w:r>
            <w:proofErr w:type="spellEnd"/>
            <w:r w:rsidRPr="00DF4CE5">
              <w:rPr>
                <w:rFonts w:ascii="Cambria" w:eastAsia="Times New Roman" w:hAnsi="Cambria" w:cs="Calibri"/>
                <w:lang w:val="it-IT"/>
              </w:rPr>
              <w:t>:</w:t>
            </w:r>
          </w:p>
          <w:p w14:paraId="09DB2720" w14:textId="77777777" w:rsidR="00DB76CD" w:rsidRPr="00DF4CE5" w:rsidRDefault="00DB76CD" w:rsidP="00DB76CD">
            <w:pPr>
              <w:spacing w:after="0" w:line="240" w:lineRule="auto"/>
              <w:jc w:val="both"/>
              <w:rPr>
                <w:rFonts w:ascii="Cambria" w:eastAsia="Times New Roman" w:hAnsi="Cambria" w:cs="Calibri"/>
                <w:lang w:val="it-IT"/>
              </w:rPr>
            </w:pPr>
            <w:r w:rsidRPr="00DF4CE5">
              <w:rPr>
                <w:rFonts w:ascii="Cambria" w:eastAsia="Times New Roman" w:hAnsi="Cambria" w:cs="Calibri"/>
                <w:lang w:val="it-IT"/>
              </w:rPr>
              <w:t xml:space="preserve">1. </w:t>
            </w:r>
            <w:proofErr w:type="spellStart"/>
            <w:r w:rsidRPr="00DF4CE5">
              <w:rPr>
                <w:rFonts w:ascii="Cambria" w:eastAsia="Times New Roman" w:hAnsi="Cambria" w:cs="Calibri"/>
                <w:lang w:val="it-IT"/>
              </w:rPr>
              <w:t>Findak</w:t>
            </w:r>
            <w:proofErr w:type="spellEnd"/>
            <w:r w:rsidRPr="00DF4CE5">
              <w:rPr>
                <w:rFonts w:ascii="Cambria" w:eastAsia="Times New Roman" w:hAnsi="Cambria" w:cs="Calibri"/>
                <w:lang w:val="it-IT"/>
              </w:rPr>
              <w:t xml:space="preserve">, V. (2001). </w:t>
            </w:r>
            <w:proofErr w:type="spellStart"/>
            <w:r w:rsidRPr="00DF4CE5">
              <w:rPr>
                <w:rFonts w:ascii="Cambria" w:eastAsia="Times New Roman" w:hAnsi="Cambria" w:cs="Calibri"/>
                <w:i/>
                <w:lang w:val="it-IT"/>
              </w:rPr>
              <w:t>Metodika</w:t>
            </w:r>
            <w:proofErr w:type="spellEnd"/>
            <w:r w:rsidRPr="00DF4CE5">
              <w:rPr>
                <w:rFonts w:ascii="Cambria" w:eastAsia="Times New Roman" w:hAnsi="Cambria" w:cs="Calibri"/>
                <w:i/>
                <w:lang w:val="it-IT"/>
              </w:rPr>
              <w:t xml:space="preserve"> </w:t>
            </w:r>
            <w:proofErr w:type="spellStart"/>
            <w:r w:rsidRPr="00DF4CE5">
              <w:rPr>
                <w:rFonts w:ascii="Cambria" w:eastAsia="Times New Roman" w:hAnsi="Cambria" w:cs="Calibri"/>
                <w:i/>
                <w:lang w:val="it-IT"/>
              </w:rPr>
              <w:t>tjelesne</w:t>
            </w:r>
            <w:proofErr w:type="spellEnd"/>
            <w:r w:rsidRPr="00DF4CE5">
              <w:rPr>
                <w:rFonts w:ascii="Cambria" w:eastAsia="Times New Roman" w:hAnsi="Cambria" w:cs="Calibri"/>
                <w:i/>
                <w:lang w:val="it-IT"/>
              </w:rPr>
              <w:t xml:space="preserve"> i </w:t>
            </w:r>
            <w:proofErr w:type="spellStart"/>
            <w:r w:rsidRPr="00DF4CE5">
              <w:rPr>
                <w:rFonts w:ascii="Cambria" w:eastAsia="Times New Roman" w:hAnsi="Cambria" w:cs="Calibri"/>
                <w:i/>
                <w:lang w:val="it-IT"/>
              </w:rPr>
              <w:t>zdravstvene</w:t>
            </w:r>
            <w:proofErr w:type="spellEnd"/>
            <w:r w:rsidRPr="00DF4CE5">
              <w:rPr>
                <w:rFonts w:ascii="Cambria" w:eastAsia="Times New Roman" w:hAnsi="Cambria" w:cs="Calibri"/>
                <w:i/>
                <w:lang w:val="it-IT"/>
              </w:rPr>
              <w:t xml:space="preserve"> </w:t>
            </w:r>
            <w:proofErr w:type="spellStart"/>
            <w:r w:rsidRPr="00DF4CE5">
              <w:rPr>
                <w:rFonts w:ascii="Cambria" w:eastAsia="Times New Roman" w:hAnsi="Cambria" w:cs="Calibri"/>
                <w:i/>
                <w:lang w:val="it-IT"/>
              </w:rPr>
              <w:t>kulture</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Zagreb</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Školska</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knjiga</w:t>
            </w:r>
            <w:proofErr w:type="spellEnd"/>
            <w:r w:rsidRPr="00DF4CE5">
              <w:rPr>
                <w:rFonts w:ascii="Cambria" w:eastAsia="Times New Roman" w:hAnsi="Cambria" w:cs="Calibri"/>
                <w:lang w:val="it-IT"/>
              </w:rPr>
              <w:t>.</w:t>
            </w:r>
          </w:p>
          <w:p w14:paraId="3778BBA3" w14:textId="77777777" w:rsidR="00DB76CD" w:rsidRPr="00DF4CE5" w:rsidRDefault="00DB76CD" w:rsidP="00DB76CD">
            <w:pPr>
              <w:spacing w:after="0" w:line="240" w:lineRule="auto"/>
              <w:jc w:val="both"/>
              <w:rPr>
                <w:rFonts w:ascii="Cambria" w:eastAsia="Times New Roman" w:hAnsi="Cambria" w:cs="Calibri"/>
                <w:lang w:val="it-IT"/>
              </w:rPr>
            </w:pPr>
            <w:r w:rsidRPr="00DF4CE5">
              <w:rPr>
                <w:rFonts w:ascii="Cambria" w:eastAsia="Times New Roman" w:hAnsi="Cambria" w:cs="Calibri"/>
                <w:lang w:val="it-IT"/>
              </w:rPr>
              <w:t xml:space="preserve">2. </w:t>
            </w:r>
            <w:proofErr w:type="spellStart"/>
            <w:r w:rsidRPr="00DF4CE5">
              <w:rPr>
                <w:rFonts w:ascii="Cambria" w:eastAsia="Times New Roman" w:hAnsi="Cambria" w:cs="Calibri"/>
                <w:lang w:val="it-IT"/>
              </w:rPr>
              <w:t>Findak</w:t>
            </w:r>
            <w:proofErr w:type="spellEnd"/>
            <w:r w:rsidRPr="00DF4CE5">
              <w:rPr>
                <w:rFonts w:ascii="Cambria" w:eastAsia="Times New Roman" w:hAnsi="Cambria" w:cs="Calibri"/>
                <w:lang w:val="it-IT"/>
              </w:rPr>
              <w:t xml:space="preserve">, V., </w:t>
            </w:r>
            <w:proofErr w:type="spellStart"/>
            <w:r w:rsidRPr="00DF4CE5">
              <w:rPr>
                <w:rFonts w:ascii="Cambria" w:eastAsia="Times New Roman" w:hAnsi="Cambria" w:cs="Calibri"/>
                <w:lang w:val="it-IT"/>
              </w:rPr>
              <w:t>Prskalo</w:t>
            </w:r>
            <w:proofErr w:type="spellEnd"/>
            <w:r w:rsidRPr="00DF4CE5">
              <w:rPr>
                <w:rFonts w:ascii="Cambria" w:eastAsia="Times New Roman" w:hAnsi="Cambria" w:cs="Calibri"/>
                <w:lang w:val="it-IT"/>
              </w:rPr>
              <w:t xml:space="preserve">, I., </w:t>
            </w:r>
            <w:proofErr w:type="spellStart"/>
            <w:r w:rsidRPr="00DF4CE5">
              <w:rPr>
                <w:rFonts w:ascii="Cambria" w:eastAsia="Times New Roman" w:hAnsi="Cambria" w:cs="Calibri"/>
                <w:lang w:val="it-IT"/>
              </w:rPr>
              <w:t>Babin</w:t>
            </w:r>
            <w:proofErr w:type="spellEnd"/>
            <w:r w:rsidRPr="00DF4CE5">
              <w:rPr>
                <w:rFonts w:ascii="Cambria" w:eastAsia="Times New Roman" w:hAnsi="Cambria" w:cs="Calibri"/>
                <w:lang w:val="it-IT"/>
              </w:rPr>
              <w:t xml:space="preserve">, J. (2011). </w:t>
            </w:r>
            <w:r w:rsidRPr="00DF4CE5">
              <w:rPr>
                <w:rFonts w:ascii="Cambria" w:eastAsia="Times New Roman" w:hAnsi="Cambria" w:cs="Calibri"/>
                <w:i/>
                <w:lang w:val="it-IT"/>
              </w:rPr>
              <w:t xml:space="preserve">Sat </w:t>
            </w:r>
            <w:proofErr w:type="spellStart"/>
            <w:r w:rsidRPr="00DF4CE5">
              <w:rPr>
                <w:rFonts w:ascii="Cambria" w:eastAsia="Times New Roman" w:hAnsi="Cambria" w:cs="Calibri"/>
                <w:i/>
                <w:lang w:val="it-IT"/>
              </w:rPr>
              <w:t>Tjelesne</w:t>
            </w:r>
            <w:proofErr w:type="spellEnd"/>
            <w:r w:rsidRPr="00DF4CE5">
              <w:rPr>
                <w:rFonts w:ascii="Cambria" w:eastAsia="Times New Roman" w:hAnsi="Cambria" w:cs="Calibri"/>
                <w:i/>
                <w:lang w:val="it-IT"/>
              </w:rPr>
              <w:t xml:space="preserve"> i </w:t>
            </w:r>
            <w:proofErr w:type="spellStart"/>
            <w:r w:rsidRPr="00DF4CE5">
              <w:rPr>
                <w:rFonts w:ascii="Cambria" w:eastAsia="Times New Roman" w:hAnsi="Cambria" w:cs="Calibri"/>
                <w:i/>
                <w:lang w:val="it-IT"/>
              </w:rPr>
              <w:t>zdravstvene</w:t>
            </w:r>
            <w:proofErr w:type="spellEnd"/>
            <w:r w:rsidRPr="00DF4CE5">
              <w:rPr>
                <w:rFonts w:ascii="Cambria" w:eastAsia="Times New Roman" w:hAnsi="Cambria" w:cs="Calibri"/>
                <w:i/>
                <w:lang w:val="it-IT"/>
              </w:rPr>
              <w:t xml:space="preserve"> </w:t>
            </w:r>
            <w:proofErr w:type="spellStart"/>
            <w:r w:rsidRPr="00DF4CE5">
              <w:rPr>
                <w:rFonts w:ascii="Cambria" w:eastAsia="Times New Roman" w:hAnsi="Cambria" w:cs="Calibri"/>
                <w:i/>
                <w:lang w:val="it-IT"/>
              </w:rPr>
              <w:t>kulture</w:t>
            </w:r>
            <w:proofErr w:type="spellEnd"/>
            <w:r w:rsidRPr="00DF4CE5">
              <w:rPr>
                <w:rFonts w:ascii="Cambria" w:eastAsia="Times New Roman" w:hAnsi="Cambria" w:cs="Calibri"/>
                <w:i/>
                <w:lang w:val="it-IT"/>
              </w:rPr>
              <w:t xml:space="preserve"> u </w:t>
            </w:r>
            <w:proofErr w:type="spellStart"/>
            <w:r w:rsidRPr="00DF4CE5">
              <w:rPr>
                <w:rFonts w:ascii="Cambria" w:eastAsia="Times New Roman" w:hAnsi="Cambria" w:cs="Calibri"/>
                <w:i/>
                <w:lang w:val="it-IT"/>
              </w:rPr>
              <w:t>primarnoj</w:t>
            </w:r>
            <w:proofErr w:type="spellEnd"/>
            <w:r w:rsidRPr="00DF4CE5">
              <w:rPr>
                <w:rFonts w:ascii="Cambria" w:eastAsia="Times New Roman" w:hAnsi="Cambria" w:cs="Calibri"/>
                <w:i/>
                <w:lang w:val="it-IT"/>
              </w:rPr>
              <w:t xml:space="preserve"> </w:t>
            </w:r>
            <w:proofErr w:type="spellStart"/>
            <w:r w:rsidRPr="00DF4CE5">
              <w:rPr>
                <w:rFonts w:ascii="Cambria" w:eastAsia="Times New Roman" w:hAnsi="Cambria" w:cs="Calibri"/>
                <w:i/>
                <w:lang w:val="it-IT"/>
              </w:rPr>
              <w:t>edukaciji</w:t>
            </w:r>
            <w:proofErr w:type="spellEnd"/>
            <w:r w:rsidRPr="00DF4CE5">
              <w:rPr>
                <w:rFonts w:ascii="Cambria" w:eastAsia="Times New Roman" w:hAnsi="Cambria" w:cs="Calibri"/>
                <w:i/>
                <w:lang w:val="it-IT"/>
              </w:rPr>
              <w:t>.</w:t>
            </w:r>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Zagreb</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Učiteljski</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fakultet</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Sveučilišta</w:t>
            </w:r>
            <w:proofErr w:type="spellEnd"/>
            <w:r w:rsidRPr="00DF4CE5">
              <w:rPr>
                <w:rFonts w:ascii="Cambria" w:eastAsia="Times New Roman" w:hAnsi="Cambria" w:cs="Calibri"/>
                <w:lang w:val="it-IT"/>
              </w:rPr>
              <w:t xml:space="preserve"> u </w:t>
            </w:r>
            <w:proofErr w:type="spellStart"/>
            <w:r w:rsidRPr="00DF4CE5">
              <w:rPr>
                <w:rFonts w:ascii="Cambria" w:eastAsia="Times New Roman" w:hAnsi="Cambria" w:cs="Calibri"/>
                <w:lang w:val="it-IT"/>
              </w:rPr>
              <w:t>Zagrebu</w:t>
            </w:r>
            <w:proofErr w:type="spellEnd"/>
            <w:r w:rsidRPr="00DF4CE5">
              <w:rPr>
                <w:rFonts w:ascii="Cambria" w:eastAsia="Times New Roman" w:hAnsi="Cambria" w:cs="Calibri"/>
                <w:lang w:val="it-IT"/>
              </w:rPr>
              <w:t>.</w:t>
            </w:r>
          </w:p>
          <w:p w14:paraId="2DC31ADB" w14:textId="77777777" w:rsidR="00DB76CD" w:rsidRPr="00DF4CE5" w:rsidRDefault="00DB76CD" w:rsidP="00DB76CD">
            <w:pPr>
              <w:spacing w:after="0" w:line="240" w:lineRule="auto"/>
              <w:jc w:val="both"/>
              <w:rPr>
                <w:rFonts w:ascii="Cambria" w:eastAsia="Times New Roman" w:hAnsi="Cambria" w:cs="Calibri"/>
                <w:lang w:val="it-IT"/>
              </w:rPr>
            </w:pPr>
            <w:r w:rsidRPr="00DF4CE5">
              <w:rPr>
                <w:rFonts w:ascii="Cambria" w:eastAsia="Times New Roman" w:hAnsi="Cambria" w:cs="Calibri"/>
                <w:lang w:val="it-IT"/>
              </w:rPr>
              <w:t xml:space="preserve">3. </w:t>
            </w:r>
            <w:proofErr w:type="spellStart"/>
            <w:r w:rsidRPr="00DF4CE5">
              <w:rPr>
                <w:rFonts w:ascii="Cambria" w:eastAsia="Times New Roman" w:hAnsi="Cambria" w:cs="Calibri"/>
                <w:lang w:val="it-IT"/>
              </w:rPr>
              <w:t>Kosinac</w:t>
            </w:r>
            <w:proofErr w:type="spellEnd"/>
            <w:r w:rsidRPr="00DF4CE5">
              <w:rPr>
                <w:rFonts w:ascii="Cambria" w:eastAsia="Times New Roman" w:hAnsi="Cambria" w:cs="Calibri"/>
                <w:lang w:val="it-IT"/>
              </w:rPr>
              <w:t xml:space="preserve">, Z. (2011). </w:t>
            </w:r>
            <w:proofErr w:type="spellStart"/>
            <w:r w:rsidRPr="00DF4CE5">
              <w:rPr>
                <w:rFonts w:ascii="Cambria" w:eastAsia="Times New Roman" w:hAnsi="Cambria" w:cs="Calibri"/>
                <w:i/>
                <w:lang w:val="it-IT"/>
              </w:rPr>
              <w:t>Morfološko-motorički</w:t>
            </w:r>
            <w:proofErr w:type="spellEnd"/>
            <w:r w:rsidRPr="00DF4CE5">
              <w:rPr>
                <w:rFonts w:ascii="Cambria" w:eastAsia="Times New Roman" w:hAnsi="Cambria" w:cs="Calibri"/>
                <w:i/>
                <w:lang w:val="it-IT"/>
              </w:rPr>
              <w:t xml:space="preserve"> i </w:t>
            </w:r>
            <w:proofErr w:type="spellStart"/>
            <w:r w:rsidRPr="00DF4CE5">
              <w:rPr>
                <w:rFonts w:ascii="Cambria" w:eastAsia="Times New Roman" w:hAnsi="Cambria" w:cs="Calibri"/>
                <w:i/>
                <w:lang w:val="it-IT"/>
              </w:rPr>
              <w:t>funkcionalni</w:t>
            </w:r>
            <w:proofErr w:type="spellEnd"/>
            <w:r w:rsidRPr="00DF4CE5">
              <w:rPr>
                <w:rFonts w:ascii="Cambria" w:eastAsia="Times New Roman" w:hAnsi="Cambria" w:cs="Calibri"/>
                <w:i/>
                <w:lang w:val="it-IT"/>
              </w:rPr>
              <w:t xml:space="preserve"> </w:t>
            </w:r>
            <w:proofErr w:type="spellStart"/>
            <w:r w:rsidRPr="00DF4CE5">
              <w:rPr>
                <w:rFonts w:ascii="Cambria" w:eastAsia="Times New Roman" w:hAnsi="Cambria" w:cs="Calibri"/>
                <w:i/>
                <w:lang w:val="it-IT"/>
              </w:rPr>
              <w:t>razvoj</w:t>
            </w:r>
            <w:proofErr w:type="spellEnd"/>
            <w:r w:rsidRPr="00DF4CE5">
              <w:rPr>
                <w:rFonts w:ascii="Cambria" w:eastAsia="Times New Roman" w:hAnsi="Cambria" w:cs="Calibri"/>
                <w:i/>
                <w:lang w:val="it-IT"/>
              </w:rPr>
              <w:t xml:space="preserve"> </w:t>
            </w:r>
            <w:proofErr w:type="spellStart"/>
            <w:r w:rsidRPr="00DF4CE5">
              <w:rPr>
                <w:rFonts w:ascii="Cambria" w:eastAsia="Times New Roman" w:hAnsi="Cambria" w:cs="Calibri"/>
                <w:i/>
                <w:lang w:val="it-IT"/>
              </w:rPr>
              <w:t>djece</w:t>
            </w:r>
            <w:proofErr w:type="spellEnd"/>
            <w:r w:rsidRPr="00DF4CE5">
              <w:rPr>
                <w:rFonts w:ascii="Cambria" w:eastAsia="Times New Roman" w:hAnsi="Cambria" w:cs="Calibri"/>
                <w:i/>
                <w:lang w:val="it-IT"/>
              </w:rPr>
              <w:t xml:space="preserve"> </w:t>
            </w:r>
            <w:proofErr w:type="spellStart"/>
            <w:r w:rsidRPr="00DF4CE5">
              <w:rPr>
                <w:rFonts w:ascii="Cambria" w:eastAsia="Times New Roman" w:hAnsi="Cambria" w:cs="Calibri"/>
                <w:i/>
                <w:lang w:val="it-IT"/>
              </w:rPr>
              <w:t>uzrasne</w:t>
            </w:r>
            <w:proofErr w:type="spellEnd"/>
            <w:r w:rsidRPr="00DF4CE5">
              <w:rPr>
                <w:rFonts w:ascii="Cambria" w:eastAsia="Times New Roman" w:hAnsi="Cambria" w:cs="Calibri"/>
                <w:i/>
                <w:lang w:val="it-IT"/>
              </w:rPr>
              <w:t xml:space="preserve"> </w:t>
            </w:r>
            <w:proofErr w:type="spellStart"/>
            <w:r w:rsidRPr="00DF4CE5">
              <w:rPr>
                <w:rFonts w:ascii="Cambria" w:eastAsia="Times New Roman" w:hAnsi="Cambria" w:cs="Calibri"/>
                <w:i/>
                <w:lang w:val="it-IT"/>
              </w:rPr>
              <w:t>dobi</w:t>
            </w:r>
            <w:proofErr w:type="spellEnd"/>
            <w:r w:rsidRPr="00DF4CE5">
              <w:rPr>
                <w:rFonts w:ascii="Cambria" w:eastAsia="Times New Roman" w:hAnsi="Cambria" w:cs="Calibri"/>
                <w:i/>
                <w:lang w:val="it-IT"/>
              </w:rPr>
              <w:t xml:space="preserve"> </w:t>
            </w:r>
            <w:proofErr w:type="gramStart"/>
            <w:r w:rsidRPr="00DF4CE5">
              <w:rPr>
                <w:rFonts w:ascii="Cambria" w:eastAsia="Times New Roman" w:hAnsi="Cambria" w:cs="Calibri"/>
                <w:i/>
                <w:lang w:val="it-IT"/>
              </w:rPr>
              <w:t>od</w:t>
            </w:r>
            <w:proofErr w:type="gramEnd"/>
            <w:r w:rsidRPr="00DF4CE5">
              <w:rPr>
                <w:rFonts w:ascii="Cambria" w:eastAsia="Times New Roman" w:hAnsi="Cambria" w:cs="Calibri"/>
                <w:i/>
                <w:lang w:val="it-IT"/>
              </w:rPr>
              <w:t xml:space="preserve"> 5. do 11. godine</w:t>
            </w:r>
            <w:r w:rsidRPr="00DF4CE5">
              <w:rPr>
                <w:rFonts w:ascii="Cambria" w:eastAsia="Times New Roman" w:hAnsi="Cambria" w:cs="Calibri"/>
                <w:lang w:val="it-IT"/>
              </w:rPr>
              <w:t xml:space="preserve">. Split: </w:t>
            </w:r>
            <w:proofErr w:type="spellStart"/>
            <w:r w:rsidRPr="00DF4CE5">
              <w:rPr>
                <w:rFonts w:ascii="Cambria" w:eastAsia="Times New Roman" w:hAnsi="Cambria" w:cs="Calibri"/>
                <w:lang w:val="it-IT"/>
              </w:rPr>
              <w:t>Savez</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školskih</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športskih</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društava</w:t>
            </w:r>
            <w:proofErr w:type="spellEnd"/>
            <w:r w:rsidRPr="00DF4CE5">
              <w:rPr>
                <w:rFonts w:ascii="Cambria" w:eastAsia="Times New Roman" w:hAnsi="Cambria" w:cs="Calibri"/>
                <w:lang w:val="it-IT"/>
              </w:rPr>
              <w:t xml:space="preserve"> grada </w:t>
            </w:r>
            <w:proofErr w:type="spellStart"/>
            <w:r w:rsidRPr="00DF4CE5">
              <w:rPr>
                <w:rFonts w:ascii="Cambria" w:eastAsia="Times New Roman" w:hAnsi="Cambria" w:cs="Calibri"/>
                <w:lang w:val="it-IT"/>
              </w:rPr>
              <w:t>Splita</w:t>
            </w:r>
            <w:proofErr w:type="spellEnd"/>
            <w:r w:rsidRPr="00DF4CE5">
              <w:rPr>
                <w:rFonts w:ascii="Cambria" w:eastAsia="Times New Roman" w:hAnsi="Cambria" w:cs="Calibri"/>
                <w:lang w:val="it-IT"/>
              </w:rPr>
              <w:t>.</w:t>
            </w:r>
          </w:p>
          <w:p w14:paraId="30EA17B4" w14:textId="77777777" w:rsidR="00DB76CD" w:rsidRPr="00DF4CE5" w:rsidRDefault="00DB76CD" w:rsidP="00DB76CD">
            <w:pPr>
              <w:spacing w:after="0" w:line="240" w:lineRule="auto"/>
              <w:jc w:val="both"/>
              <w:rPr>
                <w:rFonts w:ascii="Cambria" w:eastAsia="Times New Roman" w:hAnsi="Cambria" w:cs="Calibri"/>
                <w:lang w:val="it-IT"/>
              </w:rPr>
            </w:pPr>
            <w:r w:rsidRPr="00DF4CE5">
              <w:rPr>
                <w:rFonts w:ascii="Cambria" w:eastAsia="Times New Roman" w:hAnsi="Cambria" w:cs="Calibri"/>
                <w:lang w:val="it-IT"/>
              </w:rPr>
              <w:t xml:space="preserve">4. </w:t>
            </w:r>
            <w:proofErr w:type="spellStart"/>
            <w:r w:rsidRPr="00DF4CE5">
              <w:rPr>
                <w:rFonts w:ascii="Cambria" w:eastAsia="Times New Roman" w:hAnsi="Cambria" w:cs="Calibri"/>
                <w:lang w:val="it-IT"/>
              </w:rPr>
              <w:t>Pejčić</w:t>
            </w:r>
            <w:proofErr w:type="spellEnd"/>
            <w:r w:rsidRPr="00DF4CE5">
              <w:rPr>
                <w:rFonts w:ascii="Cambria" w:eastAsia="Times New Roman" w:hAnsi="Cambria" w:cs="Calibri"/>
                <w:lang w:val="it-IT"/>
              </w:rPr>
              <w:t xml:space="preserve">, A. i Trajkovski, B. (2018). </w:t>
            </w:r>
            <w:proofErr w:type="spellStart"/>
            <w:r w:rsidRPr="00DF4CE5">
              <w:rPr>
                <w:rFonts w:ascii="Cambria" w:eastAsia="Times New Roman" w:hAnsi="Cambria" w:cs="Calibri"/>
                <w:i/>
                <w:lang w:val="it-IT"/>
              </w:rPr>
              <w:t>Što</w:t>
            </w:r>
            <w:proofErr w:type="spellEnd"/>
            <w:r w:rsidRPr="00DF4CE5">
              <w:rPr>
                <w:rFonts w:ascii="Cambria" w:eastAsia="Times New Roman" w:hAnsi="Cambria" w:cs="Calibri"/>
                <w:i/>
                <w:lang w:val="it-IT"/>
              </w:rPr>
              <w:t xml:space="preserve"> i </w:t>
            </w:r>
            <w:proofErr w:type="spellStart"/>
            <w:r w:rsidRPr="00DF4CE5">
              <w:rPr>
                <w:rFonts w:ascii="Cambria" w:eastAsia="Times New Roman" w:hAnsi="Cambria" w:cs="Calibri"/>
                <w:i/>
                <w:lang w:val="it-IT"/>
              </w:rPr>
              <w:t>kako</w:t>
            </w:r>
            <w:proofErr w:type="spellEnd"/>
            <w:r w:rsidRPr="00DF4CE5">
              <w:rPr>
                <w:rFonts w:ascii="Cambria" w:eastAsia="Times New Roman" w:hAnsi="Cambria" w:cs="Calibri"/>
                <w:i/>
                <w:lang w:val="it-IT"/>
              </w:rPr>
              <w:t xml:space="preserve"> </w:t>
            </w:r>
            <w:proofErr w:type="spellStart"/>
            <w:r w:rsidRPr="00DF4CE5">
              <w:rPr>
                <w:rFonts w:ascii="Cambria" w:eastAsia="Times New Roman" w:hAnsi="Cambria" w:cs="Calibri"/>
                <w:i/>
                <w:lang w:val="it-IT"/>
              </w:rPr>
              <w:t>vježbati</w:t>
            </w:r>
            <w:proofErr w:type="spellEnd"/>
            <w:r w:rsidRPr="00DF4CE5">
              <w:rPr>
                <w:rFonts w:ascii="Cambria" w:eastAsia="Times New Roman" w:hAnsi="Cambria" w:cs="Calibri"/>
                <w:i/>
                <w:lang w:val="it-IT"/>
              </w:rPr>
              <w:t xml:space="preserve"> s </w:t>
            </w:r>
            <w:proofErr w:type="spellStart"/>
            <w:r w:rsidRPr="00DF4CE5">
              <w:rPr>
                <w:rFonts w:ascii="Cambria" w:eastAsia="Times New Roman" w:hAnsi="Cambria" w:cs="Calibri"/>
                <w:i/>
                <w:lang w:val="it-IT"/>
              </w:rPr>
              <w:t>djecom</w:t>
            </w:r>
            <w:proofErr w:type="spellEnd"/>
            <w:r w:rsidRPr="00DF4CE5">
              <w:rPr>
                <w:rFonts w:ascii="Cambria" w:eastAsia="Times New Roman" w:hAnsi="Cambria" w:cs="Calibri"/>
                <w:i/>
                <w:lang w:val="it-IT"/>
              </w:rPr>
              <w:t xml:space="preserve"> u </w:t>
            </w:r>
            <w:proofErr w:type="spellStart"/>
            <w:r w:rsidRPr="00DF4CE5">
              <w:rPr>
                <w:rFonts w:ascii="Cambria" w:eastAsia="Times New Roman" w:hAnsi="Cambria" w:cs="Calibri"/>
                <w:i/>
                <w:lang w:val="it-IT"/>
              </w:rPr>
              <w:t>vrtiću</w:t>
            </w:r>
            <w:proofErr w:type="spellEnd"/>
            <w:r w:rsidRPr="00DF4CE5">
              <w:rPr>
                <w:rFonts w:ascii="Cambria" w:eastAsia="Times New Roman" w:hAnsi="Cambria" w:cs="Calibri"/>
                <w:i/>
                <w:lang w:val="it-IT"/>
              </w:rPr>
              <w:t xml:space="preserve"> i </w:t>
            </w:r>
            <w:proofErr w:type="spellStart"/>
            <w:r w:rsidRPr="00DF4CE5">
              <w:rPr>
                <w:rFonts w:ascii="Cambria" w:eastAsia="Times New Roman" w:hAnsi="Cambria" w:cs="Calibri"/>
                <w:i/>
                <w:lang w:val="it-IT"/>
              </w:rPr>
              <w:t>školi</w:t>
            </w:r>
            <w:proofErr w:type="spellEnd"/>
            <w:r w:rsidRPr="00DF4CE5">
              <w:rPr>
                <w:rFonts w:ascii="Cambria" w:eastAsia="Times New Roman" w:hAnsi="Cambria" w:cs="Calibri"/>
                <w:i/>
                <w:lang w:val="it-IT"/>
              </w:rPr>
              <w:t>.</w:t>
            </w:r>
            <w:r w:rsidRPr="00DF4CE5">
              <w:rPr>
                <w:rFonts w:ascii="Cambria" w:eastAsia="Times New Roman" w:hAnsi="Cambria" w:cs="Calibri"/>
                <w:lang w:val="it-IT"/>
              </w:rPr>
              <w:t xml:space="preserve"> Rijeka: </w:t>
            </w:r>
            <w:proofErr w:type="spellStart"/>
            <w:r w:rsidRPr="00DF4CE5">
              <w:rPr>
                <w:rFonts w:ascii="Cambria" w:eastAsia="Times New Roman" w:hAnsi="Cambria" w:cs="Calibri"/>
                <w:lang w:val="it-IT"/>
              </w:rPr>
              <w:t>Učiteljski</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fakultet</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Sveučilišta</w:t>
            </w:r>
            <w:proofErr w:type="spellEnd"/>
            <w:r w:rsidRPr="00DF4CE5">
              <w:rPr>
                <w:rFonts w:ascii="Cambria" w:eastAsia="Times New Roman" w:hAnsi="Cambria" w:cs="Calibri"/>
                <w:lang w:val="it-IT"/>
              </w:rPr>
              <w:t xml:space="preserve"> u </w:t>
            </w:r>
            <w:proofErr w:type="spellStart"/>
            <w:r w:rsidRPr="00DF4CE5">
              <w:rPr>
                <w:rFonts w:ascii="Cambria" w:eastAsia="Times New Roman" w:hAnsi="Cambria" w:cs="Calibri"/>
                <w:lang w:val="it-IT"/>
              </w:rPr>
              <w:t>Rijeci</w:t>
            </w:r>
            <w:proofErr w:type="spellEnd"/>
            <w:r w:rsidRPr="00DF4CE5">
              <w:rPr>
                <w:rFonts w:ascii="Cambria" w:eastAsia="Times New Roman" w:hAnsi="Cambria" w:cs="Calibri"/>
                <w:lang w:val="it-IT"/>
              </w:rPr>
              <w:t>.</w:t>
            </w:r>
          </w:p>
          <w:p w14:paraId="1F9C2D8F" w14:textId="77777777" w:rsidR="00DB76CD" w:rsidRPr="00DF4CE5" w:rsidRDefault="00DB76CD" w:rsidP="00DB76CD">
            <w:pPr>
              <w:spacing w:after="0" w:line="240" w:lineRule="auto"/>
              <w:jc w:val="both"/>
              <w:rPr>
                <w:rFonts w:ascii="Cambria" w:eastAsia="Times New Roman" w:hAnsi="Cambria" w:cs="Calibri"/>
                <w:lang w:val="it-IT"/>
              </w:rPr>
            </w:pPr>
            <w:r w:rsidRPr="00DF4CE5">
              <w:rPr>
                <w:rFonts w:ascii="Cambria" w:eastAsia="Times New Roman" w:hAnsi="Cambria" w:cs="Calibri"/>
                <w:lang w:val="it-IT"/>
              </w:rPr>
              <w:t xml:space="preserve">5. </w:t>
            </w:r>
            <w:proofErr w:type="spellStart"/>
            <w:r w:rsidRPr="00DF4CE5">
              <w:rPr>
                <w:rFonts w:ascii="Cambria" w:eastAsia="Times New Roman" w:hAnsi="Cambria" w:cs="Calibri"/>
                <w:lang w:val="it-IT"/>
              </w:rPr>
              <w:t>Prskalo</w:t>
            </w:r>
            <w:proofErr w:type="spellEnd"/>
            <w:r w:rsidRPr="00DF4CE5">
              <w:rPr>
                <w:rFonts w:ascii="Cambria" w:eastAsia="Times New Roman" w:hAnsi="Cambria" w:cs="Calibri"/>
                <w:lang w:val="it-IT"/>
              </w:rPr>
              <w:t xml:space="preserve">, I., </w:t>
            </w:r>
            <w:proofErr w:type="spellStart"/>
            <w:r w:rsidRPr="00DF4CE5">
              <w:rPr>
                <w:rFonts w:ascii="Cambria" w:eastAsia="Times New Roman" w:hAnsi="Cambria" w:cs="Calibri"/>
                <w:lang w:val="it-IT"/>
              </w:rPr>
              <w:t>Sporiš</w:t>
            </w:r>
            <w:proofErr w:type="spellEnd"/>
            <w:r w:rsidRPr="00DF4CE5">
              <w:rPr>
                <w:rFonts w:ascii="Cambria" w:eastAsia="Times New Roman" w:hAnsi="Cambria" w:cs="Calibri"/>
                <w:lang w:val="it-IT"/>
              </w:rPr>
              <w:t xml:space="preserve">, G. (2016). </w:t>
            </w:r>
            <w:proofErr w:type="spellStart"/>
            <w:r w:rsidRPr="00DF4CE5">
              <w:rPr>
                <w:rFonts w:ascii="Cambria" w:eastAsia="Times New Roman" w:hAnsi="Cambria" w:cs="Calibri"/>
                <w:i/>
                <w:lang w:val="it-IT"/>
              </w:rPr>
              <w:t>Osnove</w:t>
            </w:r>
            <w:proofErr w:type="spellEnd"/>
            <w:r w:rsidRPr="00DF4CE5">
              <w:rPr>
                <w:rFonts w:ascii="Cambria" w:eastAsia="Times New Roman" w:hAnsi="Cambria" w:cs="Calibri"/>
                <w:i/>
                <w:lang w:val="it-IT"/>
              </w:rPr>
              <w:t xml:space="preserve"> </w:t>
            </w:r>
            <w:proofErr w:type="spellStart"/>
            <w:r w:rsidRPr="00DF4CE5">
              <w:rPr>
                <w:rFonts w:ascii="Cambria" w:eastAsia="Times New Roman" w:hAnsi="Cambria" w:cs="Calibri"/>
                <w:i/>
                <w:lang w:val="it-IT"/>
              </w:rPr>
              <w:t>kineziologije</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Zagreb</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Školska</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knjiga</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Učiteljski</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fakultet</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Sveučilišta</w:t>
            </w:r>
            <w:proofErr w:type="spellEnd"/>
            <w:r w:rsidRPr="00DF4CE5">
              <w:rPr>
                <w:rFonts w:ascii="Cambria" w:eastAsia="Times New Roman" w:hAnsi="Cambria" w:cs="Calibri"/>
                <w:lang w:val="it-IT"/>
              </w:rPr>
              <w:t xml:space="preserve"> u </w:t>
            </w:r>
            <w:proofErr w:type="spellStart"/>
            <w:r w:rsidRPr="00DF4CE5">
              <w:rPr>
                <w:rFonts w:ascii="Cambria" w:eastAsia="Times New Roman" w:hAnsi="Cambria" w:cs="Calibri"/>
                <w:lang w:val="it-IT"/>
              </w:rPr>
              <w:t>Zagrebu</w:t>
            </w:r>
            <w:proofErr w:type="spellEnd"/>
            <w:r w:rsidRPr="00DF4CE5">
              <w:rPr>
                <w:rFonts w:ascii="Cambria" w:eastAsia="Times New Roman" w:hAnsi="Cambria" w:cs="Calibri"/>
                <w:lang w:val="it-IT"/>
              </w:rPr>
              <w:t xml:space="preserve"> i </w:t>
            </w:r>
            <w:proofErr w:type="spellStart"/>
            <w:r w:rsidRPr="00DF4CE5">
              <w:rPr>
                <w:rFonts w:ascii="Cambria" w:eastAsia="Times New Roman" w:hAnsi="Cambria" w:cs="Calibri"/>
                <w:lang w:val="it-IT"/>
              </w:rPr>
              <w:t>Kineziološki</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fakultet</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Sveučilišta</w:t>
            </w:r>
            <w:proofErr w:type="spellEnd"/>
            <w:r w:rsidRPr="00DF4CE5">
              <w:rPr>
                <w:rFonts w:ascii="Cambria" w:eastAsia="Times New Roman" w:hAnsi="Cambria" w:cs="Calibri"/>
                <w:lang w:val="it-IT"/>
              </w:rPr>
              <w:t xml:space="preserve"> u </w:t>
            </w:r>
            <w:proofErr w:type="spellStart"/>
            <w:r w:rsidRPr="00DF4CE5">
              <w:rPr>
                <w:rFonts w:ascii="Cambria" w:eastAsia="Times New Roman" w:hAnsi="Cambria" w:cs="Calibri"/>
                <w:lang w:val="it-IT"/>
              </w:rPr>
              <w:t>Zagrebu</w:t>
            </w:r>
            <w:proofErr w:type="spellEnd"/>
            <w:r w:rsidRPr="00DF4CE5">
              <w:rPr>
                <w:rFonts w:ascii="Cambria" w:eastAsia="Times New Roman" w:hAnsi="Cambria" w:cs="Calibri"/>
                <w:lang w:val="it-IT"/>
              </w:rPr>
              <w:t>.</w:t>
            </w:r>
          </w:p>
          <w:p w14:paraId="458C8045" w14:textId="77777777" w:rsidR="00DB76CD" w:rsidRPr="00DF4CE5" w:rsidRDefault="00DB76CD" w:rsidP="00DB76CD">
            <w:pPr>
              <w:spacing w:after="0" w:line="240" w:lineRule="auto"/>
              <w:jc w:val="both"/>
              <w:rPr>
                <w:rFonts w:ascii="Cambria" w:eastAsia="Times New Roman" w:hAnsi="Cambria" w:cs="Calibri"/>
                <w:lang w:val="it-IT"/>
              </w:rPr>
            </w:pPr>
            <w:r w:rsidRPr="00DF4CE5">
              <w:rPr>
                <w:rFonts w:ascii="Cambria" w:eastAsia="Times New Roman" w:hAnsi="Cambria" w:cs="Calibri"/>
                <w:lang w:val="it-IT"/>
              </w:rPr>
              <w:lastRenderedPageBreak/>
              <w:t xml:space="preserve">6. </w:t>
            </w:r>
            <w:proofErr w:type="spellStart"/>
            <w:r w:rsidRPr="00DF4CE5">
              <w:rPr>
                <w:rFonts w:ascii="Cambria" w:eastAsia="Times New Roman" w:hAnsi="Cambria" w:cs="Calibri"/>
                <w:lang w:val="it-IT"/>
              </w:rPr>
              <w:t>Sekulić</w:t>
            </w:r>
            <w:proofErr w:type="spellEnd"/>
            <w:r w:rsidRPr="00DF4CE5">
              <w:rPr>
                <w:rFonts w:ascii="Cambria" w:eastAsia="Times New Roman" w:hAnsi="Cambria" w:cs="Calibri"/>
                <w:lang w:val="it-IT"/>
              </w:rPr>
              <w:t xml:space="preserve">, D., </w:t>
            </w:r>
            <w:proofErr w:type="spellStart"/>
            <w:r w:rsidRPr="00DF4CE5">
              <w:rPr>
                <w:rFonts w:ascii="Cambria" w:eastAsia="Times New Roman" w:hAnsi="Cambria" w:cs="Calibri"/>
                <w:lang w:val="it-IT"/>
              </w:rPr>
              <w:t>Metikoš</w:t>
            </w:r>
            <w:proofErr w:type="spellEnd"/>
            <w:r w:rsidRPr="00DF4CE5">
              <w:rPr>
                <w:rFonts w:ascii="Cambria" w:eastAsia="Times New Roman" w:hAnsi="Cambria" w:cs="Calibri"/>
                <w:lang w:val="it-IT"/>
              </w:rPr>
              <w:t xml:space="preserve">, D. (2007). </w:t>
            </w:r>
            <w:proofErr w:type="spellStart"/>
            <w:r w:rsidRPr="00DF4CE5">
              <w:rPr>
                <w:rFonts w:ascii="Cambria" w:eastAsia="Times New Roman" w:hAnsi="Cambria" w:cs="Calibri"/>
                <w:i/>
                <w:lang w:val="it-IT"/>
              </w:rPr>
              <w:t>Osnove</w:t>
            </w:r>
            <w:proofErr w:type="spellEnd"/>
            <w:r w:rsidRPr="00DF4CE5">
              <w:rPr>
                <w:rFonts w:ascii="Cambria" w:eastAsia="Times New Roman" w:hAnsi="Cambria" w:cs="Calibri"/>
                <w:i/>
                <w:lang w:val="it-IT"/>
              </w:rPr>
              <w:t xml:space="preserve"> </w:t>
            </w:r>
            <w:proofErr w:type="spellStart"/>
            <w:r w:rsidRPr="00DF4CE5">
              <w:rPr>
                <w:rFonts w:ascii="Cambria" w:eastAsia="Times New Roman" w:hAnsi="Cambria" w:cs="Calibri"/>
                <w:i/>
                <w:lang w:val="it-IT"/>
              </w:rPr>
              <w:t>transformacijskih</w:t>
            </w:r>
            <w:proofErr w:type="spellEnd"/>
            <w:r w:rsidRPr="00DF4CE5">
              <w:rPr>
                <w:rFonts w:ascii="Cambria" w:eastAsia="Times New Roman" w:hAnsi="Cambria" w:cs="Calibri"/>
                <w:i/>
                <w:lang w:val="it-IT"/>
              </w:rPr>
              <w:t xml:space="preserve"> </w:t>
            </w:r>
            <w:proofErr w:type="spellStart"/>
            <w:r w:rsidRPr="00DF4CE5">
              <w:rPr>
                <w:rFonts w:ascii="Cambria" w:eastAsia="Times New Roman" w:hAnsi="Cambria" w:cs="Calibri"/>
                <w:i/>
                <w:lang w:val="it-IT"/>
              </w:rPr>
              <w:t>postupaka</w:t>
            </w:r>
            <w:proofErr w:type="spellEnd"/>
            <w:r w:rsidRPr="00DF4CE5">
              <w:rPr>
                <w:rFonts w:ascii="Cambria" w:eastAsia="Times New Roman" w:hAnsi="Cambria" w:cs="Calibri"/>
                <w:i/>
                <w:lang w:val="it-IT"/>
              </w:rPr>
              <w:t xml:space="preserve"> u </w:t>
            </w:r>
            <w:proofErr w:type="spellStart"/>
            <w:r w:rsidRPr="00DF4CE5">
              <w:rPr>
                <w:rFonts w:ascii="Cambria" w:eastAsia="Times New Roman" w:hAnsi="Cambria" w:cs="Calibri"/>
                <w:i/>
                <w:lang w:val="it-IT"/>
              </w:rPr>
              <w:t>kineziologiji</w:t>
            </w:r>
            <w:proofErr w:type="spellEnd"/>
            <w:r w:rsidRPr="00DF4CE5">
              <w:rPr>
                <w:rFonts w:ascii="Cambria" w:eastAsia="Times New Roman" w:hAnsi="Cambria" w:cs="Calibri"/>
                <w:i/>
                <w:lang w:val="it-IT"/>
              </w:rPr>
              <w:t>.</w:t>
            </w:r>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Sveučilište</w:t>
            </w:r>
            <w:proofErr w:type="spellEnd"/>
            <w:r w:rsidRPr="00DF4CE5">
              <w:rPr>
                <w:rFonts w:ascii="Cambria" w:eastAsia="Times New Roman" w:hAnsi="Cambria" w:cs="Calibri"/>
                <w:lang w:val="it-IT"/>
              </w:rPr>
              <w:t xml:space="preserve"> u </w:t>
            </w:r>
            <w:proofErr w:type="spellStart"/>
            <w:r w:rsidRPr="00DF4CE5">
              <w:rPr>
                <w:rFonts w:ascii="Cambria" w:eastAsia="Times New Roman" w:hAnsi="Cambria" w:cs="Calibri"/>
                <w:lang w:val="it-IT"/>
              </w:rPr>
              <w:t>Splitu</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Fakultet</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prirodoslovno-matematičkih</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znanosti</w:t>
            </w:r>
            <w:proofErr w:type="spellEnd"/>
            <w:r w:rsidRPr="00DF4CE5">
              <w:rPr>
                <w:rFonts w:ascii="Cambria" w:eastAsia="Times New Roman" w:hAnsi="Cambria" w:cs="Calibri"/>
                <w:lang w:val="it-IT"/>
              </w:rPr>
              <w:t xml:space="preserve"> i </w:t>
            </w:r>
            <w:proofErr w:type="spellStart"/>
            <w:r w:rsidRPr="00DF4CE5">
              <w:rPr>
                <w:rFonts w:ascii="Cambria" w:eastAsia="Times New Roman" w:hAnsi="Cambria" w:cs="Calibri"/>
                <w:lang w:val="it-IT"/>
              </w:rPr>
              <w:t>kineziologije</w:t>
            </w:r>
            <w:proofErr w:type="spellEnd"/>
            <w:r w:rsidRPr="00DF4CE5">
              <w:rPr>
                <w:rFonts w:ascii="Cambria" w:eastAsia="Times New Roman" w:hAnsi="Cambria" w:cs="Calibri"/>
                <w:lang w:val="it-IT"/>
              </w:rPr>
              <w:t>.</w:t>
            </w:r>
          </w:p>
          <w:p w14:paraId="3A21AF2F" w14:textId="77777777" w:rsidR="00DB76CD" w:rsidRPr="00DF4CE5" w:rsidRDefault="00DB76CD" w:rsidP="00DB76CD">
            <w:pPr>
              <w:spacing w:after="0" w:line="240" w:lineRule="auto"/>
              <w:jc w:val="both"/>
              <w:rPr>
                <w:rFonts w:ascii="Cambria" w:eastAsia="Times New Roman" w:hAnsi="Cambria" w:cs="Calibri"/>
                <w:lang w:val="it-IT"/>
              </w:rPr>
            </w:pPr>
            <w:proofErr w:type="spellStart"/>
            <w:r w:rsidRPr="00DF4CE5">
              <w:rPr>
                <w:rFonts w:ascii="Cambria" w:eastAsia="Times New Roman" w:hAnsi="Cambria" w:cs="Calibri"/>
                <w:lang w:val="it-IT"/>
              </w:rPr>
              <w:t>Priručna</w:t>
            </w:r>
            <w:proofErr w:type="spellEnd"/>
            <w:r w:rsidRPr="00DF4CE5">
              <w:rPr>
                <w:rFonts w:ascii="Cambria" w:eastAsia="Times New Roman" w:hAnsi="Cambria" w:cs="Calibri"/>
                <w:lang w:val="it-IT"/>
              </w:rPr>
              <w:t>:</w:t>
            </w:r>
          </w:p>
          <w:p w14:paraId="394A68EE" w14:textId="77777777" w:rsidR="00DB76CD" w:rsidRPr="00DF4CE5" w:rsidRDefault="00DB76CD" w:rsidP="00DB76CD">
            <w:pPr>
              <w:spacing w:after="0" w:line="240" w:lineRule="auto"/>
              <w:jc w:val="both"/>
              <w:rPr>
                <w:rFonts w:ascii="Cambria" w:eastAsia="Times New Roman" w:hAnsi="Cambria" w:cs="Calibri"/>
                <w:lang w:val="it-IT"/>
              </w:rPr>
            </w:pPr>
            <w:r w:rsidRPr="00DF4CE5">
              <w:rPr>
                <w:rFonts w:ascii="Cambria" w:eastAsia="Times New Roman" w:hAnsi="Cambria" w:cs="Calibri"/>
                <w:lang w:val="it-IT"/>
              </w:rPr>
              <w:t xml:space="preserve">1. </w:t>
            </w:r>
            <w:proofErr w:type="spellStart"/>
            <w:r w:rsidRPr="00DF4CE5">
              <w:rPr>
                <w:rFonts w:ascii="Cambria" w:eastAsia="Times New Roman" w:hAnsi="Cambria" w:cs="Calibri"/>
                <w:lang w:val="it-IT"/>
              </w:rPr>
              <w:t>Findak</w:t>
            </w:r>
            <w:proofErr w:type="spellEnd"/>
            <w:r w:rsidRPr="00DF4CE5">
              <w:rPr>
                <w:rFonts w:ascii="Cambria" w:eastAsia="Times New Roman" w:hAnsi="Cambria" w:cs="Calibri"/>
                <w:lang w:val="it-IT"/>
              </w:rPr>
              <w:t xml:space="preserve">, V., </w:t>
            </w:r>
            <w:proofErr w:type="spellStart"/>
            <w:r w:rsidRPr="00DF4CE5">
              <w:rPr>
                <w:rFonts w:ascii="Cambria" w:eastAsia="Times New Roman" w:hAnsi="Cambria" w:cs="Calibri"/>
                <w:lang w:val="it-IT"/>
              </w:rPr>
              <w:t>Metikoš</w:t>
            </w:r>
            <w:proofErr w:type="spellEnd"/>
            <w:r w:rsidRPr="00DF4CE5">
              <w:rPr>
                <w:rFonts w:ascii="Cambria" w:eastAsia="Times New Roman" w:hAnsi="Cambria" w:cs="Calibri"/>
                <w:lang w:val="it-IT"/>
              </w:rPr>
              <w:t xml:space="preserve">, D., </w:t>
            </w:r>
            <w:proofErr w:type="spellStart"/>
            <w:r w:rsidRPr="00DF4CE5">
              <w:rPr>
                <w:rFonts w:ascii="Cambria" w:eastAsia="Times New Roman" w:hAnsi="Cambria" w:cs="Calibri"/>
                <w:lang w:val="it-IT"/>
              </w:rPr>
              <w:t>Mraković</w:t>
            </w:r>
            <w:proofErr w:type="spellEnd"/>
            <w:r w:rsidRPr="00DF4CE5">
              <w:rPr>
                <w:rFonts w:ascii="Cambria" w:eastAsia="Times New Roman" w:hAnsi="Cambria" w:cs="Calibri"/>
                <w:lang w:val="it-IT"/>
              </w:rPr>
              <w:t xml:space="preserve">, M., </w:t>
            </w:r>
            <w:proofErr w:type="spellStart"/>
            <w:r w:rsidRPr="00DF4CE5">
              <w:rPr>
                <w:rFonts w:ascii="Cambria" w:eastAsia="Times New Roman" w:hAnsi="Cambria" w:cs="Calibri"/>
                <w:lang w:val="it-IT"/>
              </w:rPr>
              <w:t>Neljak</w:t>
            </w:r>
            <w:proofErr w:type="spellEnd"/>
            <w:r w:rsidRPr="00DF4CE5">
              <w:rPr>
                <w:rFonts w:ascii="Cambria" w:eastAsia="Times New Roman" w:hAnsi="Cambria" w:cs="Calibri"/>
                <w:lang w:val="it-IT"/>
              </w:rPr>
              <w:t xml:space="preserve">, B. (1996). </w:t>
            </w:r>
            <w:proofErr w:type="spellStart"/>
            <w:r w:rsidRPr="00DF4CE5">
              <w:rPr>
                <w:rFonts w:ascii="Cambria" w:eastAsia="Times New Roman" w:hAnsi="Cambria" w:cs="Calibri"/>
                <w:i/>
                <w:lang w:val="it-IT"/>
              </w:rPr>
              <w:t>Primijenjena</w:t>
            </w:r>
            <w:proofErr w:type="spellEnd"/>
            <w:r w:rsidRPr="00DF4CE5">
              <w:rPr>
                <w:rFonts w:ascii="Cambria" w:eastAsia="Times New Roman" w:hAnsi="Cambria" w:cs="Calibri"/>
                <w:i/>
                <w:lang w:val="it-IT"/>
              </w:rPr>
              <w:t xml:space="preserve"> </w:t>
            </w:r>
            <w:proofErr w:type="spellStart"/>
            <w:r w:rsidRPr="00DF4CE5">
              <w:rPr>
                <w:rFonts w:ascii="Cambria" w:eastAsia="Times New Roman" w:hAnsi="Cambria" w:cs="Calibri"/>
                <w:i/>
                <w:lang w:val="it-IT"/>
              </w:rPr>
              <w:t>kineziologija</w:t>
            </w:r>
            <w:proofErr w:type="spellEnd"/>
            <w:r w:rsidRPr="00DF4CE5">
              <w:rPr>
                <w:rFonts w:ascii="Cambria" w:eastAsia="Times New Roman" w:hAnsi="Cambria" w:cs="Calibri"/>
                <w:i/>
                <w:lang w:val="it-IT"/>
              </w:rPr>
              <w:t xml:space="preserve"> u </w:t>
            </w:r>
            <w:proofErr w:type="spellStart"/>
            <w:r w:rsidRPr="00DF4CE5">
              <w:rPr>
                <w:rFonts w:ascii="Cambria" w:eastAsia="Times New Roman" w:hAnsi="Cambria" w:cs="Calibri"/>
                <w:i/>
                <w:lang w:val="it-IT"/>
              </w:rPr>
              <w:t>školstvu</w:t>
            </w:r>
            <w:proofErr w:type="spellEnd"/>
            <w:r w:rsidRPr="00DF4CE5">
              <w:rPr>
                <w:rFonts w:ascii="Cambria" w:eastAsia="Times New Roman" w:hAnsi="Cambria" w:cs="Calibri"/>
                <w:i/>
                <w:lang w:val="it-IT"/>
              </w:rPr>
              <w:t>-NORME</w:t>
            </w:r>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Zagreb</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Hrvatski</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pedagoško-književni</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zbor</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Fakultet</w:t>
            </w:r>
            <w:proofErr w:type="spellEnd"/>
            <w:r w:rsidRPr="00DF4CE5">
              <w:rPr>
                <w:rFonts w:ascii="Cambria" w:eastAsia="Times New Roman" w:hAnsi="Cambria" w:cs="Calibri"/>
                <w:lang w:val="it-IT"/>
              </w:rPr>
              <w:t xml:space="preserve"> za </w:t>
            </w:r>
            <w:proofErr w:type="spellStart"/>
            <w:r w:rsidRPr="00DF4CE5">
              <w:rPr>
                <w:rFonts w:ascii="Cambria" w:eastAsia="Times New Roman" w:hAnsi="Cambria" w:cs="Calibri"/>
                <w:lang w:val="it-IT"/>
              </w:rPr>
              <w:t>fizičku</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kulturu</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Sveučilišta</w:t>
            </w:r>
            <w:proofErr w:type="spellEnd"/>
            <w:r w:rsidRPr="00DF4CE5">
              <w:rPr>
                <w:rFonts w:ascii="Cambria" w:eastAsia="Times New Roman" w:hAnsi="Cambria" w:cs="Calibri"/>
                <w:lang w:val="it-IT"/>
              </w:rPr>
              <w:t xml:space="preserve"> u </w:t>
            </w:r>
            <w:proofErr w:type="spellStart"/>
            <w:r w:rsidRPr="00DF4CE5">
              <w:rPr>
                <w:rFonts w:ascii="Cambria" w:eastAsia="Times New Roman" w:hAnsi="Cambria" w:cs="Calibri"/>
                <w:lang w:val="it-IT"/>
              </w:rPr>
              <w:t>Zagrebu</w:t>
            </w:r>
            <w:proofErr w:type="spellEnd"/>
            <w:r w:rsidRPr="00DF4CE5">
              <w:rPr>
                <w:rFonts w:ascii="Cambria" w:eastAsia="Times New Roman" w:hAnsi="Cambria" w:cs="Calibri"/>
                <w:lang w:val="it-IT"/>
              </w:rPr>
              <w:t>.</w:t>
            </w:r>
          </w:p>
        </w:tc>
      </w:tr>
    </w:tbl>
    <w:p w14:paraId="5C8FBAB1" w14:textId="77777777" w:rsidR="001C42AA" w:rsidRPr="00DF4CE5" w:rsidRDefault="001C42AA">
      <w:pPr>
        <w:rPr>
          <w:rFonts w:ascii="Cambria" w:eastAsia="Times New Roman" w:hAnsi="Cambria" w:cs="Calibri"/>
          <w:lang w:val="hr-HR"/>
        </w:rPr>
      </w:pPr>
    </w:p>
    <w:p w14:paraId="60CAF53D" w14:textId="77777777" w:rsidR="001C42AA" w:rsidRPr="00DF4CE5" w:rsidRDefault="001C42AA">
      <w:pPr>
        <w:rPr>
          <w:rFonts w:ascii="Cambria" w:eastAsia="Times New Roman" w:hAnsi="Cambria" w:cs="Calibri"/>
          <w:lang w:val="hr-HR"/>
        </w:rPr>
      </w:pPr>
    </w:p>
    <w:p w14:paraId="66872ECA" w14:textId="77777777" w:rsidR="00760C3A" w:rsidRPr="00DF4CE5" w:rsidRDefault="00760C3A">
      <w:pPr>
        <w:rPr>
          <w:rFonts w:ascii="Cambria" w:eastAsia="Times New Roman" w:hAnsi="Cambria" w:cs="Calibri"/>
          <w:lang w:val="hr-HR"/>
        </w:rPr>
      </w:pPr>
    </w:p>
    <w:p w14:paraId="596EF859" w14:textId="77777777" w:rsidR="001C42AA" w:rsidRPr="00DF4CE5" w:rsidRDefault="001C42AA">
      <w:pPr>
        <w:rPr>
          <w:rFonts w:ascii="Cambria" w:eastAsia="Times New Roman" w:hAnsi="Cambria" w:cs="Calibri"/>
          <w:lang w:val="hr-HR"/>
        </w:rPr>
      </w:pPr>
    </w:p>
    <w:p w14:paraId="683C300D" w14:textId="3F7E3AF3" w:rsidR="00C8721E" w:rsidRPr="00DF4CE5" w:rsidRDefault="00C8721E">
      <w:pPr>
        <w:rPr>
          <w:rFonts w:ascii="Cambria" w:eastAsia="Times New Roman" w:hAnsi="Cambria" w:cs="Calibri"/>
          <w:lang w:val="hr-HR"/>
        </w:rPr>
      </w:pPr>
      <w:r w:rsidRPr="00DF4CE5">
        <w:rPr>
          <w:rFonts w:ascii="Cambria" w:eastAsia="Times New Roman" w:hAnsi="Cambria" w:cs="Calibri"/>
          <w:lang w:val="hr-HR"/>
        </w:rPr>
        <w:br w:type="page"/>
      </w:r>
    </w:p>
    <w:tbl>
      <w:tblPr>
        <w:tblW w:w="0" w:type="auto"/>
        <w:tblInd w:w="2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14"/>
        <w:gridCol w:w="2326"/>
        <w:gridCol w:w="1632"/>
        <w:gridCol w:w="2768"/>
      </w:tblGrid>
      <w:tr w:rsidR="00CE3D99" w:rsidRPr="00DF4CE5" w14:paraId="641CBF2A" w14:textId="77777777" w:rsidTr="00DF4CE5">
        <w:trPr>
          <w:trHeight w:val="402"/>
        </w:trPr>
        <w:tc>
          <w:tcPr>
            <w:tcW w:w="9340" w:type="dxa"/>
            <w:gridSpan w:val="4"/>
            <w:shd w:val="clear" w:color="auto" w:fill="F3F3F3"/>
          </w:tcPr>
          <w:p w14:paraId="1A23A279" w14:textId="77777777" w:rsidR="00CE3D99" w:rsidRPr="00DF4CE5" w:rsidRDefault="00CE3D99" w:rsidP="00DF4CE5">
            <w:pPr>
              <w:widowControl w:val="0"/>
              <w:autoSpaceDE w:val="0"/>
              <w:autoSpaceDN w:val="0"/>
              <w:spacing w:before="71" w:after="0" w:line="240" w:lineRule="auto"/>
              <w:ind w:left="5438"/>
              <w:rPr>
                <w:rFonts w:ascii="Cambria" w:eastAsia="Cambria" w:hAnsi="Cambria" w:cs="Cambria"/>
                <w:b/>
                <w:lang w:val="hr-HR"/>
              </w:rPr>
            </w:pPr>
            <w:r w:rsidRPr="00DF4CE5">
              <w:rPr>
                <w:rFonts w:ascii="Cambria" w:eastAsia="Cambria" w:hAnsi="Cambria" w:cs="Cambria"/>
                <w:b/>
                <w:lang w:val="hr-HR"/>
              </w:rPr>
              <w:lastRenderedPageBreak/>
              <w:t>IZVEDBENI</w:t>
            </w:r>
            <w:r w:rsidRPr="00DF4CE5">
              <w:rPr>
                <w:rFonts w:ascii="Cambria" w:eastAsia="Cambria" w:hAnsi="Cambria" w:cs="Cambria"/>
                <w:b/>
                <w:spacing w:val="-2"/>
                <w:lang w:val="hr-HR"/>
              </w:rPr>
              <w:t xml:space="preserve"> </w:t>
            </w:r>
            <w:r w:rsidRPr="00DF4CE5">
              <w:rPr>
                <w:rFonts w:ascii="Cambria" w:eastAsia="Cambria" w:hAnsi="Cambria" w:cs="Cambria"/>
                <w:b/>
                <w:lang w:val="hr-HR"/>
              </w:rPr>
              <w:t>PLAN</w:t>
            </w:r>
            <w:r w:rsidRPr="00DF4CE5">
              <w:rPr>
                <w:rFonts w:ascii="Cambria" w:eastAsia="Cambria" w:hAnsi="Cambria" w:cs="Cambria"/>
                <w:b/>
                <w:spacing w:val="-3"/>
                <w:lang w:val="hr-HR"/>
              </w:rPr>
              <w:t xml:space="preserve"> </w:t>
            </w:r>
            <w:r w:rsidRPr="00DF4CE5">
              <w:rPr>
                <w:rFonts w:ascii="Cambria" w:eastAsia="Cambria" w:hAnsi="Cambria" w:cs="Cambria"/>
                <w:b/>
                <w:lang w:val="hr-HR"/>
              </w:rPr>
              <w:t>NASTAVE</w:t>
            </w:r>
            <w:r w:rsidRPr="00DF4CE5">
              <w:rPr>
                <w:rFonts w:ascii="Cambria" w:eastAsia="Cambria" w:hAnsi="Cambria" w:cs="Cambria"/>
                <w:b/>
                <w:spacing w:val="-1"/>
                <w:lang w:val="hr-HR"/>
              </w:rPr>
              <w:t xml:space="preserve"> </w:t>
            </w:r>
            <w:r w:rsidRPr="00DF4CE5">
              <w:rPr>
                <w:rFonts w:ascii="Cambria" w:eastAsia="Cambria" w:hAnsi="Cambria" w:cs="Cambria"/>
                <w:b/>
                <w:lang w:val="hr-HR"/>
              </w:rPr>
              <w:t>KOLEGIJA</w:t>
            </w:r>
          </w:p>
        </w:tc>
      </w:tr>
      <w:tr w:rsidR="00CE3D99" w:rsidRPr="00DF4CE5" w14:paraId="63A5DCCE" w14:textId="77777777" w:rsidTr="00DF4CE5">
        <w:trPr>
          <w:trHeight w:val="659"/>
        </w:trPr>
        <w:tc>
          <w:tcPr>
            <w:tcW w:w="2614" w:type="dxa"/>
            <w:shd w:val="clear" w:color="auto" w:fill="F3F3F3"/>
          </w:tcPr>
          <w:p w14:paraId="3DDEABD7" w14:textId="77777777" w:rsidR="00CE3D99" w:rsidRPr="00DF4CE5" w:rsidRDefault="00CE3D99" w:rsidP="00DF4CE5">
            <w:pPr>
              <w:widowControl w:val="0"/>
              <w:autoSpaceDE w:val="0"/>
              <w:autoSpaceDN w:val="0"/>
              <w:spacing w:before="201" w:after="0" w:line="240" w:lineRule="auto"/>
              <w:ind w:left="143"/>
              <w:rPr>
                <w:rFonts w:ascii="Cambria" w:eastAsia="Cambria" w:hAnsi="Cambria" w:cs="Cambria"/>
                <w:lang w:val="hr-HR"/>
              </w:rPr>
            </w:pPr>
            <w:r w:rsidRPr="00DF4CE5">
              <w:rPr>
                <w:rFonts w:ascii="Cambria" w:eastAsia="Cambria" w:hAnsi="Cambria" w:cs="Cambria"/>
                <w:lang w:val="hr-HR"/>
              </w:rPr>
              <w:t>Kod</w:t>
            </w:r>
            <w:r w:rsidRPr="00DF4CE5">
              <w:rPr>
                <w:rFonts w:ascii="Cambria" w:eastAsia="Cambria" w:hAnsi="Cambria" w:cs="Cambria"/>
                <w:spacing w:val="-3"/>
                <w:lang w:val="hr-HR"/>
              </w:rPr>
              <w:t xml:space="preserve"> </w:t>
            </w:r>
            <w:r w:rsidRPr="00DF4CE5">
              <w:rPr>
                <w:rFonts w:ascii="Cambria" w:eastAsia="Cambria" w:hAnsi="Cambria" w:cs="Cambria"/>
                <w:lang w:val="hr-HR"/>
              </w:rPr>
              <w:t>i naziv</w:t>
            </w:r>
            <w:r w:rsidRPr="00DF4CE5">
              <w:rPr>
                <w:rFonts w:ascii="Cambria" w:eastAsia="Cambria" w:hAnsi="Cambria" w:cs="Cambria"/>
                <w:spacing w:val="-2"/>
                <w:lang w:val="hr-HR"/>
              </w:rPr>
              <w:t xml:space="preserve"> </w:t>
            </w:r>
            <w:r w:rsidRPr="00DF4CE5">
              <w:rPr>
                <w:rFonts w:ascii="Cambria" w:eastAsia="Cambria" w:hAnsi="Cambria" w:cs="Cambria"/>
                <w:lang w:val="hr-HR"/>
              </w:rPr>
              <w:t>kolegija</w:t>
            </w:r>
          </w:p>
        </w:tc>
        <w:tc>
          <w:tcPr>
            <w:tcW w:w="6726" w:type="dxa"/>
            <w:gridSpan w:val="3"/>
          </w:tcPr>
          <w:p w14:paraId="22731B11" w14:textId="77777777" w:rsidR="00CE3D99" w:rsidRPr="00DF4CE5" w:rsidRDefault="00CE3D99" w:rsidP="00DF4CE5">
            <w:pPr>
              <w:widowControl w:val="0"/>
              <w:autoSpaceDE w:val="0"/>
              <w:autoSpaceDN w:val="0"/>
              <w:spacing w:before="71" w:after="0" w:line="240" w:lineRule="auto"/>
              <w:ind w:left="143"/>
              <w:rPr>
                <w:rFonts w:ascii="Cambria" w:eastAsia="Cambria" w:hAnsi="Cambria" w:cs="Cambria"/>
                <w:lang w:val="hr-HR"/>
              </w:rPr>
            </w:pPr>
            <w:r w:rsidRPr="00DF4CE5">
              <w:rPr>
                <w:rFonts w:ascii="Cambria" w:eastAsia="Cambria" w:hAnsi="Cambria" w:cs="Cambria"/>
                <w:lang w:val="hr-HR"/>
              </w:rPr>
              <w:t>174592</w:t>
            </w:r>
          </w:p>
          <w:p w14:paraId="34E22B5A" w14:textId="77777777" w:rsidR="00CE3D99" w:rsidRPr="00DF4CE5" w:rsidRDefault="00CE3D99" w:rsidP="00DF4CE5">
            <w:pPr>
              <w:widowControl w:val="0"/>
              <w:autoSpaceDE w:val="0"/>
              <w:autoSpaceDN w:val="0"/>
              <w:spacing w:before="1" w:after="0" w:line="240" w:lineRule="auto"/>
              <w:rPr>
                <w:rFonts w:ascii="Cambria" w:eastAsia="Cambria" w:hAnsi="Cambria" w:cs="Cambria"/>
                <w:lang w:val="hr-HR"/>
              </w:rPr>
            </w:pPr>
            <w:r w:rsidRPr="00DF4CE5">
              <w:rPr>
                <w:rFonts w:ascii="Cambria" w:eastAsia="Cambria" w:hAnsi="Cambria" w:cs="Cambria"/>
                <w:lang w:val="hr-HR"/>
              </w:rPr>
              <w:t xml:space="preserve">   Stručna</w:t>
            </w:r>
            <w:r w:rsidRPr="00DF4CE5">
              <w:rPr>
                <w:rFonts w:ascii="Cambria" w:eastAsia="Cambria" w:hAnsi="Cambria" w:cs="Cambria"/>
                <w:spacing w:val="-2"/>
                <w:lang w:val="hr-HR"/>
              </w:rPr>
              <w:t xml:space="preserve"> </w:t>
            </w:r>
            <w:r w:rsidRPr="00DF4CE5">
              <w:rPr>
                <w:rFonts w:ascii="Cambria" w:eastAsia="Cambria" w:hAnsi="Cambria" w:cs="Cambria"/>
                <w:lang w:val="hr-HR"/>
              </w:rPr>
              <w:t>praksa</w:t>
            </w:r>
            <w:r w:rsidRPr="00DF4CE5">
              <w:rPr>
                <w:rFonts w:ascii="Cambria" w:eastAsia="Cambria" w:hAnsi="Cambria" w:cs="Cambria"/>
                <w:spacing w:val="-2"/>
                <w:lang w:val="hr-HR"/>
              </w:rPr>
              <w:t xml:space="preserve"> </w:t>
            </w:r>
            <w:r w:rsidRPr="00DF4CE5">
              <w:rPr>
                <w:rFonts w:ascii="Cambria" w:eastAsia="Cambria" w:hAnsi="Cambria" w:cs="Cambria"/>
                <w:lang w:val="hr-HR"/>
              </w:rPr>
              <w:t>I.</w:t>
            </w:r>
          </w:p>
        </w:tc>
      </w:tr>
      <w:tr w:rsidR="00CE3D99" w:rsidRPr="00DF4CE5" w14:paraId="7BC9AC6F" w14:textId="77777777" w:rsidTr="00DF4CE5">
        <w:trPr>
          <w:trHeight w:val="426"/>
        </w:trPr>
        <w:tc>
          <w:tcPr>
            <w:tcW w:w="2614" w:type="dxa"/>
            <w:shd w:val="clear" w:color="auto" w:fill="F3F3F3"/>
          </w:tcPr>
          <w:p w14:paraId="6D14C51E" w14:textId="77777777" w:rsidR="00CE3D99" w:rsidRPr="00DF4CE5" w:rsidRDefault="00CE3D99" w:rsidP="00DF4CE5">
            <w:pPr>
              <w:widowControl w:val="0"/>
              <w:autoSpaceDE w:val="0"/>
              <w:autoSpaceDN w:val="0"/>
              <w:spacing w:before="83" w:after="0" w:line="240" w:lineRule="auto"/>
              <w:ind w:left="143"/>
              <w:rPr>
                <w:rFonts w:ascii="Cambria" w:eastAsia="Cambria" w:hAnsi="Cambria" w:cs="Cambria"/>
                <w:lang w:val="hr-HR"/>
              </w:rPr>
            </w:pPr>
            <w:r w:rsidRPr="00DF4CE5">
              <w:rPr>
                <w:rFonts w:ascii="Cambria" w:eastAsia="Cambria" w:hAnsi="Cambria" w:cs="Cambria"/>
                <w:lang w:val="hr-HR"/>
              </w:rPr>
              <w:t>Nastavnica</w:t>
            </w:r>
          </w:p>
        </w:tc>
        <w:tc>
          <w:tcPr>
            <w:tcW w:w="6726" w:type="dxa"/>
            <w:gridSpan w:val="3"/>
          </w:tcPr>
          <w:p w14:paraId="50DAFA85" w14:textId="13934C6B" w:rsidR="00CE3D99" w:rsidRPr="00DF4CE5" w:rsidRDefault="00CE3D99" w:rsidP="00DF4CE5">
            <w:pPr>
              <w:widowControl w:val="0"/>
              <w:autoSpaceDE w:val="0"/>
              <w:autoSpaceDN w:val="0"/>
              <w:spacing w:before="71" w:after="0" w:line="240" w:lineRule="auto"/>
              <w:rPr>
                <w:rFonts w:ascii="Cambria" w:eastAsia="Cambria" w:hAnsi="Cambria" w:cs="Cambria"/>
                <w:lang w:val="hr-HR"/>
              </w:rPr>
            </w:pPr>
            <w:r w:rsidRPr="00826F4D">
              <w:rPr>
                <w:rFonts w:ascii="Cambria" w:eastAsia="Cambria" w:hAnsi="Cambria" w:cs="Cambria"/>
                <w:lang w:val="hr-HR"/>
              </w:rPr>
              <w:t xml:space="preserve">  </w:t>
            </w:r>
            <w:hyperlink r:id="rId31" w:history="1">
              <w:r w:rsidRPr="00826F4D">
                <w:rPr>
                  <w:rStyle w:val="Hiperveza"/>
                  <w:rFonts w:ascii="Cambria" w:eastAsia="Cambria" w:hAnsi="Cambria" w:cs="Cambria"/>
                  <w:lang w:val="hr-HR"/>
                </w:rPr>
                <w:t>Doc.</w:t>
              </w:r>
              <w:r w:rsidRPr="00826F4D">
                <w:rPr>
                  <w:rStyle w:val="Hiperveza"/>
                  <w:rFonts w:ascii="Cambria" w:eastAsia="Cambria" w:hAnsi="Cambria" w:cs="Cambria"/>
                  <w:spacing w:val="-2"/>
                  <w:lang w:val="hr-HR"/>
                </w:rPr>
                <w:t xml:space="preserve"> </w:t>
              </w:r>
              <w:r w:rsidRPr="00826F4D">
                <w:rPr>
                  <w:rStyle w:val="Hiperveza"/>
                  <w:rFonts w:ascii="Cambria" w:eastAsia="Cambria" w:hAnsi="Cambria" w:cs="Cambria"/>
                  <w:lang w:val="hr-HR"/>
                </w:rPr>
                <w:t>dr.</w:t>
              </w:r>
              <w:r w:rsidRPr="00826F4D">
                <w:rPr>
                  <w:rStyle w:val="Hiperveza"/>
                  <w:rFonts w:ascii="Cambria" w:eastAsia="Cambria" w:hAnsi="Cambria" w:cs="Cambria"/>
                  <w:spacing w:val="-3"/>
                  <w:lang w:val="hr-HR"/>
                </w:rPr>
                <w:t xml:space="preserve"> </w:t>
              </w:r>
              <w:r w:rsidRPr="00826F4D">
                <w:rPr>
                  <w:rStyle w:val="Hiperveza"/>
                  <w:rFonts w:ascii="Cambria" w:eastAsia="Cambria" w:hAnsi="Cambria" w:cs="Cambria"/>
                  <w:lang w:val="hr-HR"/>
                </w:rPr>
                <w:t>sc.</w:t>
              </w:r>
              <w:r w:rsidRPr="00826F4D">
                <w:rPr>
                  <w:rStyle w:val="Hiperveza"/>
                  <w:rFonts w:ascii="Cambria" w:eastAsia="Cambria" w:hAnsi="Cambria" w:cs="Cambria"/>
                  <w:spacing w:val="-2"/>
                  <w:lang w:val="hr-HR"/>
                </w:rPr>
                <w:t xml:space="preserve"> </w:t>
              </w:r>
              <w:r w:rsidRPr="00826F4D">
                <w:rPr>
                  <w:rStyle w:val="Hiperveza"/>
                  <w:rFonts w:ascii="Cambria" w:eastAsia="Cambria" w:hAnsi="Cambria" w:cs="Cambria"/>
                  <w:lang w:val="hr-HR"/>
                </w:rPr>
                <w:t>Irena</w:t>
              </w:r>
              <w:r w:rsidRPr="00826F4D">
                <w:rPr>
                  <w:rStyle w:val="Hiperveza"/>
                  <w:rFonts w:ascii="Cambria" w:eastAsia="Cambria" w:hAnsi="Cambria" w:cs="Cambria"/>
                  <w:spacing w:val="-3"/>
                  <w:lang w:val="hr-HR"/>
                </w:rPr>
                <w:t xml:space="preserve"> </w:t>
              </w:r>
              <w:r w:rsidRPr="00826F4D">
                <w:rPr>
                  <w:rStyle w:val="Hiperveza"/>
                  <w:rFonts w:ascii="Cambria" w:eastAsia="Cambria" w:hAnsi="Cambria" w:cs="Cambria"/>
                  <w:lang w:val="hr-HR"/>
                </w:rPr>
                <w:t>Kiss</w:t>
              </w:r>
            </w:hyperlink>
            <w:r w:rsidRPr="00826F4D">
              <w:rPr>
                <w:rFonts w:ascii="Cambria" w:eastAsia="Cambria" w:hAnsi="Cambria" w:cs="Cambria"/>
                <w:spacing w:val="-1"/>
                <w:lang w:val="hr-HR"/>
              </w:rPr>
              <w:t xml:space="preserve"> </w:t>
            </w:r>
            <w:r w:rsidRPr="00DF4CE5">
              <w:rPr>
                <w:rFonts w:ascii="Cambria" w:eastAsia="Cambria" w:hAnsi="Cambria" w:cs="Cambria"/>
                <w:lang w:val="hr-HR"/>
              </w:rPr>
              <w:t>(nositeljica)</w:t>
            </w:r>
          </w:p>
        </w:tc>
      </w:tr>
      <w:tr w:rsidR="00CE3D99" w:rsidRPr="00DF4CE5" w14:paraId="13CB722D" w14:textId="77777777" w:rsidTr="00DF4CE5">
        <w:trPr>
          <w:trHeight w:val="659"/>
        </w:trPr>
        <w:tc>
          <w:tcPr>
            <w:tcW w:w="2614" w:type="dxa"/>
            <w:shd w:val="clear" w:color="auto" w:fill="F3F3F3"/>
          </w:tcPr>
          <w:p w14:paraId="02E922A7" w14:textId="77777777" w:rsidR="00CE3D99" w:rsidRPr="00DF4CE5" w:rsidRDefault="00CE3D99" w:rsidP="00DF4CE5">
            <w:pPr>
              <w:widowControl w:val="0"/>
              <w:autoSpaceDE w:val="0"/>
              <w:autoSpaceDN w:val="0"/>
              <w:spacing w:before="201" w:after="0" w:line="240" w:lineRule="auto"/>
              <w:ind w:left="143"/>
              <w:rPr>
                <w:rFonts w:ascii="Cambria" w:eastAsia="Cambria" w:hAnsi="Cambria" w:cs="Cambria"/>
                <w:lang w:val="hr-HR"/>
              </w:rPr>
            </w:pPr>
            <w:r w:rsidRPr="00DF4CE5">
              <w:rPr>
                <w:rFonts w:ascii="Cambria" w:eastAsia="Cambria" w:hAnsi="Cambria" w:cs="Cambria"/>
                <w:lang w:val="hr-HR"/>
              </w:rPr>
              <w:t>Studijski</w:t>
            </w:r>
            <w:r w:rsidRPr="00DF4CE5">
              <w:rPr>
                <w:rFonts w:ascii="Cambria" w:eastAsia="Cambria" w:hAnsi="Cambria" w:cs="Cambria"/>
                <w:spacing w:val="-6"/>
                <w:lang w:val="hr-HR"/>
              </w:rPr>
              <w:t xml:space="preserve"> </w:t>
            </w:r>
            <w:r w:rsidRPr="00DF4CE5">
              <w:rPr>
                <w:rFonts w:ascii="Cambria" w:eastAsia="Cambria" w:hAnsi="Cambria" w:cs="Cambria"/>
                <w:lang w:val="hr-HR"/>
              </w:rPr>
              <w:t>program</w:t>
            </w:r>
          </w:p>
        </w:tc>
        <w:tc>
          <w:tcPr>
            <w:tcW w:w="6726" w:type="dxa"/>
            <w:gridSpan w:val="3"/>
          </w:tcPr>
          <w:p w14:paraId="44E30BC0" w14:textId="77777777" w:rsidR="00CE3D99" w:rsidRPr="00DF4CE5" w:rsidRDefault="00CE3D99" w:rsidP="00DF4CE5">
            <w:pPr>
              <w:widowControl w:val="0"/>
              <w:autoSpaceDE w:val="0"/>
              <w:autoSpaceDN w:val="0"/>
              <w:spacing w:before="71" w:after="0" w:line="257" w:lineRule="exact"/>
              <w:ind w:left="143"/>
              <w:rPr>
                <w:rFonts w:ascii="Cambria" w:eastAsia="Cambria" w:hAnsi="Cambria" w:cs="Cambria"/>
                <w:lang w:val="hr-HR"/>
              </w:rPr>
            </w:pPr>
            <w:r w:rsidRPr="00DF4CE5">
              <w:rPr>
                <w:rFonts w:ascii="Cambria" w:eastAsia="Cambria" w:hAnsi="Cambria" w:cs="Cambria"/>
                <w:lang w:val="hr-HR"/>
              </w:rPr>
              <w:t>Sveučilišni</w:t>
            </w:r>
            <w:r w:rsidRPr="00DF4CE5">
              <w:rPr>
                <w:rFonts w:ascii="Cambria" w:eastAsia="Cambria" w:hAnsi="Cambria" w:cs="Cambria"/>
                <w:spacing w:val="-3"/>
                <w:lang w:val="hr-HR"/>
              </w:rPr>
              <w:t xml:space="preserve"> </w:t>
            </w:r>
            <w:r w:rsidRPr="00DF4CE5">
              <w:rPr>
                <w:rFonts w:ascii="Cambria" w:eastAsia="Cambria" w:hAnsi="Cambria" w:cs="Cambria"/>
                <w:lang w:val="hr-HR"/>
              </w:rPr>
              <w:t>integrirani</w:t>
            </w:r>
            <w:r w:rsidRPr="00DF4CE5">
              <w:rPr>
                <w:rFonts w:ascii="Cambria" w:eastAsia="Cambria" w:hAnsi="Cambria" w:cs="Cambria"/>
                <w:spacing w:val="-2"/>
                <w:lang w:val="hr-HR"/>
              </w:rPr>
              <w:t xml:space="preserve"> </w:t>
            </w:r>
            <w:r w:rsidRPr="00DF4CE5">
              <w:rPr>
                <w:rFonts w:ascii="Cambria" w:eastAsia="Cambria" w:hAnsi="Cambria" w:cs="Cambria"/>
                <w:lang w:val="hr-HR"/>
              </w:rPr>
              <w:t>prijediplomski</w:t>
            </w:r>
            <w:r w:rsidRPr="00DF4CE5">
              <w:rPr>
                <w:rFonts w:ascii="Cambria" w:eastAsia="Cambria" w:hAnsi="Cambria" w:cs="Cambria"/>
                <w:spacing w:val="-6"/>
                <w:lang w:val="hr-HR"/>
              </w:rPr>
              <w:t xml:space="preserve"> </w:t>
            </w:r>
            <w:r w:rsidRPr="00DF4CE5">
              <w:rPr>
                <w:rFonts w:ascii="Cambria" w:eastAsia="Cambria" w:hAnsi="Cambria" w:cs="Cambria"/>
                <w:lang w:val="hr-HR"/>
              </w:rPr>
              <w:t>i</w:t>
            </w:r>
            <w:r w:rsidRPr="00DF4CE5">
              <w:rPr>
                <w:rFonts w:ascii="Cambria" w:eastAsia="Cambria" w:hAnsi="Cambria" w:cs="Cambria"/>
                <w:spacing w:val="-3"/>
                <w:lang w:val="hr-HR"/>
              </w:rPr>
              <w:t xml:space="preserve"> </w:t>
            </w:r>
            <w:r w:rsidRPr="00DF4CE5">
              <w:rPr>
                <w:rFonts w:ascii="Cambria" w:eastAsia="Cambria" w:hAnsi="Cambria" w:cs="Cambria"/>
                <w:lang w:val="hr-HR"/>
              </w:rPr>
              <w:t>diplomski</w:t>
            </w:r>
            <w:r w:rsidRPr="00DF4CE5">
              <w:rPr>
                <w:rFonts w:ascii="Cambria" w:eastAsia="Cambria" w:hAnsi="Cambria" w:cs="Cambria"/>
                <w:spacing w:val="-4"/>
                <w:lang w:val="hr-HR"/>
              </w:rPr>
              <w:t xml:space="preserve"> </w:t>
            </w:r>
            <w:r w:rsidRPr="00DF4CE5">
              <w:rPr>
                <w:rFonts w:ascii="Cambria" w:eastAsia="Cambria" w:hAnsi="Cambria" w:cs="Cambria"/>
                <w:lang w:val="hr-HR"/>
              </w:rPr>
              <w:t>Učiteljski</w:t>
            </w:r>
            <w:r w:rsidRPr="00DF4CE5">
              <w:rPr>
                <w:rFonts w:ascii="Cambria" w:eastAsia="Cambria" w:hAnsi="Cambria" w:cs="Cambria"/>
                <w:spacing w:val="-2"/>
                <w:lang w:val="hr-HR"/>
              </w:rPr>
              <w:t xml:space="preserve"> </w:t>
            </w:r>
            <w:r w:rsidRPr="00DF4CE5">
              <w:rPr>
                <w:rFonts w:ascii="Cambria" w:eastAsia="Cambria" w:hAnsi="Cambria" w:cs="Cambria"/>
                <w:lang w:val="hr-HR"/>
              </w:rPr>
              <w:t>studij</w:t>
            </w:r>
            <w:r w:rsidRPr="00DF4CE5">
              <w:rPr>
                <w:rFonts w:ascii="Cambria" w:eastAsia="Cambria" w:hAnsi="Cambria" w:cs="Cambria"/>
                <w:spacing w:val="-5"/>
                <w:lang w:val="hr-HR"/>
              </w:rPr>
              <w:t xml:space="preserve"> </w:t>
            </w:r>
            <w:r w:rsidRPr="00DF4CE5">
              <w:rPr>
                <w:rFonts w:ascii="Cambria" w:eastAsia="Cambria" w:hAnsi="Cambria" w:cs="Cambria"/>
                <w:lang w:val="hr-HR"/>
              </w:rPr>
              <w:t>na</w:t>
            </w:r>
          </w:p>
          <w:p w14:paraId="5546AF99" w14:textId="77777777" w:rsidR="00CE3D99" w:rsidRPr="00DF4CE5" w:rsidRDefault="00CE3D99" w:rsidP="00DF4CE5">
            <w:pPr>
              <w:widowControl w:val="0"/>
              <w:autoSpaceDE w:val="0"/>
              <w:autoSpaceDN w:val="0"/>
              <w:spacing w:after="0" w:line="257" w:lineRule="exact"/>
              <w:ind w:left="143"/>
              <w:rPr>
                <w:rFonts w:ascii="Cambria" w:eastAsia="Cambria" w:hAnsi="Cambria" w:cs="Cambria"/>
                <w:lang w:val="hr-HR"/>
              </w:rPr>
            </w:pPr>
            <w:r w:rsidRPr="00DF4CE5">
              <w:rPr>
                <w:rFonts w:ascii="Cambria" w:eastAsia="Cambria" w:hAnsi="Cambria" w:cs="Cambria"/>
                <w:lang w:val="hr-HR"/>
              </w:rPr>
              <w:t>hrvatskom jeziku</w:t>
            </w:r>
          </w:p>
        </w:tc>
      </w:tr>
      <w:tr w:rsidR="00CE3D99" w:rsidRPr="00DF4CE5" w14:paraId="6B9BA81C" w14:textId="77777777" w:rsidTr="00DF4CE5">
        <w:trPr>
          <w:trHeight w:val="659"/>
        </w:trPr>
        <w:tc>
          <w:tcPr>
            <w:tcW w:w="2614" w:type="dxa"/>
            <w:shd w:val="clear" w:color="auto" w:fill="F3F3F3"/>
          </w:tcPr>
          <w:p w14:paraId="7EE7E9E8" w14:textId="77777777" w:rsidR="00CE3D99" w:rsidRPr="00DF4CE5" w:rsidRDefault="00CE3D99" w:rsidP="00DF4CE5">
            <w:pPr>
              <w:widowControl w:val="0"/>
              <w:autoSpaceDE w:val="0"/>
              <w:autoSpaceDN w:val="0"/>
              <w:spacing w:before="201" w:after="0" w:line="240" w:lineRule="auto"/>
              <w:ind w:left="143"/>
              <w:rPr>
                <w:rFonts w:ascii="Cambria" w:eastAsia="Cambria" w:hAnsi="Cambria" w:cs="Cambria"/>
                <w:lang w:val="hr-HR"/>
              </w:rPr>
            </w:pPr>
            <w:r w:rsidRPr="00DF4CE5">
              <w:rPr>
                <w:rFonts w:ascii="Cambria" w:eastAsia="Cambria" w:hAnsi="Cambria" w:cs="Cambria"/>
                <w:lang w:val="hr-HR"/>
              </w:rPr>
              <w:t>Vrsta</w:t>
            </w:r>
            <w:r w:rsidRPr="00DF4CE5">
              <w:rPr>
                <w:rFonts w:ascii="Cambria" w:eastAsia="Cambria" w:hAnsi="Cambria" w:cs="Cambria"/>
                <w:spacing w:val="-1"/>
                <w:lang w:val="hr-HR"/>
              </w:rPr>
              <w:t xml:space="preserve"> </w:t>
            </w:r>
            <w:r w:rsidRPr="00DF4CE5">
              <w:rPr>
                <w:rFonts w:ascii="Cambria" w:eastAsia="Cambria" w:hAnsi="Cambria" w:cs="Cambria"/>
                <w:lang w:val="hr-HR"/>
              </w:rPr>
              <w:t>kolegija</w:t>
            </w:r>
          </w:p>
        </w:tc>
        <w:tc>
          <w:tcPr>
            <w:tcW w:w="2326" w:type="dxa"/>
          </w:tcPr>
          <w:p w14:paraId="22056703" w14:textId="77777777" w:rsidR="00CE3D99" w:rsidRPr="00DF4CE5" w:rsidRDefault="00CE3D99" w:rsidP="00DF4CE5">
            <w:pPr>
              <w:widowControl w:val="0"/>
              <w:autoSpaceDE w:val="0"/>
              <w:autoSpaceDN w:val="0"/>
              <w:spacing w:before="201" w:after="0" w:line="240" w:lineRule="auto"/>
              <w:ind w:left="143"/>
              <w:rPr>
                <w:rFonts w:ascii="Cambria" w:eastAsia="Cambria" w:hAnsi="Cambria" w:cs="Cambria"/>
                <w:lang w:val="hr-HR"/>
              </w:rPr>
            </w:pPr>
            <w:r w:rsidRPr="00DF4CE5">
              <w:rPr>
                <w:rFonts w:ascii="Cambria" w:eastAsia="Cambria" w:hAnsi="Cambria" w:cs="Cambria"/>
                <w:lang w:val="hr-HR"/>
              </w:rPr>
              <w:t>obvezni</w:t>
            </w:r>
          </w:p>
        </w:tc>
        <w:tc>
          <w:tcPr>
            <w:tcW w:w="1632" w:type="dxa"/>
            <w:shd w:val="clear" w:color="auto" w:fill="E6E6E6"/>
          </w:tcPr>
          <w:p w14:paraId="444DB023" w14:textId="77777777" w:rsidR="00CE3D99" w:rsidRPr="00DF4CE5" w:rsidRDefault="00CE3D99" w:rsidP="00DF4CE5">
            <w:pPr>
              <w:widowControl w:val="0"/>
              <w:autoSpaceDE w:val="0"/>
              <w:autoSpaceDN w:val="0"/>
              <w:spacing w:before="71" w:after="0" w:line="240" w:lineRule="auto"/>
              <w:ind w:left="141" w:right="716"/>
              <w:rPr>
                <w:rFonts w:ascii="Cambria" w:eastAsia="Cambria" w:hAnsi="Cambria" w:cs="Cambria"/>
                <w:lang w:val="hr-HR"/>
              </w:rPr>
            </w:pPr>
            <w:r w:rsidRPr="00DF4CE5">
              <w:rPr>
                <w:rFonts w:ascii="Cambria" w:eastAsia="Cambria" w:hAnsi="Cambria" w:cs="Cambria"/>
                <w:lang w:val="hr-HR"/>
              </w:rPr>
              <w:t>Razina</w:t>
            </w:r>
            <w:r w:rsidRPr="00DF4CE5">
              <w:rPr>
                <w:rFonts w:ascii="Cambria" w:eastAsia="Cambria" w:hAnsi="Cambria" w:cs="Cambria"/>
                <w:spacing w:val="1"/>
                <w:lang w:val="hr-HR"/>
              </w:rPr>
              <w:t xml:space="preserve"> </w:t>
            </w:r>
            <w:r w:rsidRPr="00DF4CE5">
              <w:rPr>
                <w:rFonts w:ascii="Cambria" w:eastAsia="Cambria" w:hAnsi="Cambria" w:cs="Cambria"/>
                <w:lang w:val="hr-HR"/>
              </w:rPr>
              <w:t>kolegija</w:t>
            </w:r>
          </w:p>
        </w:tc>
        <w:tc>
          <w:tcPr>
            <w:tcW w:w="2768" w:type="dxa"/>
          </w:tcPr>
          <w:p w14:paraId="736B0494" w14:textId="77777777" w:rsidR="00CE3D99" w:rsidRPr="00DF4CE5" w:rsidRDefault="00CE3D99" w:rsidP="00DF4CE5">
            <w:pPr>
              <w:widowControl w:val="0"/>
              <w:autoSpaceDE w:val="0"/>
              <w:autoSpaceDN w:val="0"/>
              <w:spacing w:before="201" w:after="0" w:line="240" w:lineRule="auto"/>
              <w:ind w:left="143"/>
              <w:rPr>
                <w:rFonts w:ascii="Cambria" w:eastAsia="Cambria" w:hAnsi="Cambria" w:cs="Cambria"/>
                <w:lang w:val="hr-HR"/>
              </w:rPr>
            </w:pPr>
            <w:r w:rsidRPr="00DF4CE5">
              <w:rPr>
                <w:rFonts w:ascii="Cambria" w:eastAsia="Cambria" w:hAnsi="Cambria" w:cs="Cambria"/>
                <w:lang w:val="hr-HR"/>
              </w:rPr>
              <w:t>integrirani</w:t>
            </w:r>
          </w:p>
        </w:tc>
      </w:tr>
      <w:tr w:rsidR="00CE3D99" w:rsidRPr="00DF4CE5" w14:paraId="10A19D80" w14:textId="77777777" w:rsidTr="00DF4CE5">
        <w:trPr>
          <w:trHeight w:val="659"/>
        </w:trPr>
        <w:tc>
          <w:tcPr>
            <w:tcW w:w="2614" w:type="dxa"/>
            <w:shd w:val="clear" w:color="auto" w:fill="F3F3F3"/>
          </w:tcPr>
          <w:p w14:paraId="4D8D2E3C" w14:textId="77777777" w:rsidR="00CE3D99" w:rsidRPr="00DF4CE5" w:rsidRDefault="00CE3D99" w:rsidP="00DF4CE5">
            <w:pPr>
              <w:widowControl w:val="0"/>
              <w:autoSpaceDE w:val="0"/>
              <w:autoSpaceDN w:val="0"/>
              <w:spacing w:before="201" w:after="0" w:line="240" w:lineRule="auto"/>
              <w:ind w:left="143"/>
              <w:rPr>
                <w:rFonts w:ascii="Cambria" w:eastAsia="Cambria" w:hAnsi="Cambria" w:cs="Cambria"/>
                <w:lang w:val="hr-HR"/>
              </w:rPr>
            </w:pPr>
            <w:r w:rsidRPr="00DF4CE5">
              <w:rPr>
                <w:rFonts w:ascii="Cambria" w:eastAsia="Cambria" w:hAnsi="Cambria" w:cs="Cambria"/>
                <w:lang w:val="hr-HR"/>
              </w:rPr>
              <w:t>Semestar</w:t>
            </w:r>
          </w:p>
        </w:tc>
        <w:tc>
          <w:tcPr>
            <w:tcW w:w="2326" w:type="dxa"/>
          </w:tcPr>
          <w:p w14:paraId="3C339B93" w14:textId="77777777" w:rsidR="00CE3D99" w:rsidRPr="00DF4CE5" w:rsidRDefault="00CE3D99" w:rsidP="00DF4CE5">
            <w:pPr>
              <w:widowControl w:val="0"/>
              <w:autoSpaceDE w:val="0"/>
              <w:autoSpaceDN w:val="0"/>
              <w:spacing w:before="201" w:after="0" w:line="240" w:lineRule="auto"/>
              <w:ind w:left="143"/>
              <w:rPr>
                <w:rFonts w:ascii="Cambria" w:eastAsia="Cambria" w:hAnsi="Cambria" w:cs="Cambria"/>
                <w:lang w:val="hr-HR"/>
              </w:rPr>
            </w:pPr>
            <w:r w:rsidRPr="00DF4CE5">
              <w:rPr>
                <w:rFonts w:ascii="Cambria" w:eastAsia="Cambria" w:hAnsi="Cambria" w:cs="Cambria"/>
                <w:lang w:val="hr-HR"/>
              </w:rPr>
              <w:t>zimski</w:t>
            </w:r>
          </w:p>
        </w:tc>
        <w:tc>
          <w:tcPr>
            <w:tcW w:w="1632" w:type="dxa"/>
            <w:shd w:val="clear" w:color="auto" w:fill="E6E6E6"/>
          </w:tcPr>
          <w:p w14:paraId="22E41FD6" w14:textId="77777777" w:rsidR="00CE3D99" w:rsidRPr="00DF4CE5" w:rsidRDefault="00CE3D99" w:rsidP="00DF4CE5">
            <w:pPr>
              <w:widowControl w:val="0"/>
              <w:autoSpaceDE w:val="0"/>
              <w:autoSpaceDN w:val="0"/>
              <w:spacing w:before="73" w:after="0" w:line="240" w:lineRule="auto"/>
              <w:ind w:left="141" w:right="786"/>
              <w:rPr>
                <w:rFonts w:ascii="Cambria" w:eastAsia="Cambria" w:hAnsi="Cambria" w:cs="Cambria"/>
                <w:lang w:val="hr-HR"/>
              </w:rPr>
            </w:pPr>
            <w:r w:rsidRPr="00DF4CE5">
              <w:rPr>
                <w:rFonts w:ascii="Cambria" w:eastAsia="Cambria" w:hAnsi="Cambria" w:cs="Cambria"/>
                <w:lang w:val="hr-HR"/>
              </w:rPr>
              <w:t>Godina</w:t>
            </w:r>
            <w:r w:rsidRPr="00DF4CE5">
              <w:rPr>
                <w:rFonts w:ascii="Cambria" w:eastAsia="Cambria" w:hAnsi="Cambria" w:cs="Cambria"/>
                <w:spacing w:val="-46"/>
                <w:lang w:val="hr-HR"/>
              </w:rPr>
              <w:t xml:space="preserve"> </w:t>
            </w:r>
            <w:r w:rsidRPr="00DF4CE5">
              <w:rPr>
                <w:rFonts w:ascii="Cambria" w:eastAsia="Cambria" w:hAnsi="Cambria" w:cs="Cambria"/>
                <w:lang w:val="hr-HR"/>
              </w:rPr>
              <w:t>studija</w:t>
            </w:r>
          </w:p>
        </w:tc>
        <w:tc>
          <w:tcPr>
            <w:tcW w:w="2768" w:type="dxa"/>
          </w:tcPr>
          <w:p w14:paraId="24A60885" w14:textId="77777777" w:rsidR="00CE3D99" w:rsidRPr="00DF4CE5" w:rsidRDefault="00CE3D99" w:rsidP="00DF4CE5">
            <w:pPr>
              <w:widowControl w:val="0"/>
              <w:autoSpaceDE w:val="0"/>
              <w:autoSpaceDN w:val="0"/>
              <w:spacing w:before="201" w:after="0" w:line="240" w:lineRule="auto"/>
              <w:ind w:left="143"/>
              <w:rPr>
                <w:rFonts w:ascii="Cambria" w:eastAsia="Cambria" w:hAnsi="Cambria" w:cs="Cambria"/>
                <w:lang w:val="hr-HR"/>
              </w:rPr>
            </w:pPr>
            <w:r w:rsidRPr="00DF4CE5">
              <w:rPr>
                <w:rFonts w:ascii="Cambria" w:eastAsia="Cambria" w:hAnsi="Cambria" w:cs="Cambria"/>
                <w:lang w:val="hr-HR"/>
              </w:rPr>
              <w:t>I.</w:t>
            </w:r>
          </w:p>
        </w:tc>
      </w:tr>
      <w:tr w:rsidR="00CE3D99" w:rsidRPr="00DF4CE5" w14:paraId="049735D5" w14:textId="77777777" w:rsidTr="00DF4CE5">
        <w:trPr>
          <w:trHeight w:val="1178"/>
        </w:trPr>
        <w:tc>
          <w:tcPr>
            <w:tcW w:w="2614" w:type="dxa"/>
            <w:shd w:val="clear" w:color="auto" w:fill="F3F3F3"/>
          </w:tcPr>
          <w:p w14:paraId="23240068" w14:textId="77777777" w:rsidR="00CE3D99" w:rsidRPr="00DF4CE5" w:rsidRDefault="00CE3D99" w:rsidP="00DF4CE5">
            <w:pPr>
              <w:widowControl w:val="0"/>
              <w:autoSpaceDE w:val="0"/>
              <w:autoSpaceDN w:val="0"/>
              <w:spacing w:after="0" w:line="240" w:lineRule="auto"/>
              <w:rPr>
                <w:rFonts w:ascii="Cambria" w:eastAsia="Cambria" w:hAnsi="Cambria" w:cs="Cambria"/>
                <w:lang w:val="hr-HR"/>
              </w:rPr>
            </w:pPr>
          </w:p>
          <w:p w14:paraId="37306581" w14:textId="77777777" w:rsidR="00CE3D99" w:rsidRPr="00DF4CE5" w:rsidRDefault="00CE3D99" w:rsidP="00DF4CE5">
            <w:pPr>
              <w:widowControl w:val="0"/>
              <w:autoSpaceDE w:val="0"/>
              <w:autoSpaceDN w:val="0"/>
              <w:spacing w:before="156" w:after="0" w:line="240" w:lineRule="auto"/>
              <w:ind w:left="143"/>
              <w:rPr>
                <w:rFonts w:ascii="Cambria" w:eastAsia="Cambria" w:hAnsi="Cambria" w:cs="Cambria"/>
                <w:lang w:val="hr-HR"/>
              </w:rPr>
            </w:pPr>
            <w:r w:rsidRPr="00DF4CE5">
              <w:rPr>
                <w:rFonts w:ascii="Cambria" w:eastAsia="Cambria" w:hAnsi="Cambria" w:cs="Cambria"/>
                <w:lang w:val="hr-HR"/>
              </w:rPr>
              <w:t>Mjesto</w:t>
            </w:r>
            <w:r w:rsidRPr="00DF4CE5">
              <w:rPr>
                <w:rFonts w:ascii="Cambria" w:eastAsia="Cambria" w:hAnsi="Cambria" w:cs="Cambria"/>
                <w:spacing w:val="-2"/>
                <w:lang w:val="hr-HR"/>
              </w:rPr>
              <w:t xml:space="preserve"> </w:t>
            </w:r>
            <w:r w:rsidRPr="00DF4CE5">
              <w:rPr>
                <w:rFonts w:ascii="Cambria" w:eastAsia="Cambria" w:hAnsi="Cambria" w:cs="Cambria"/>
                <w:lang w:val="hr-HR"/>
              </w:rPr>
              <w:t>izvođenja</w:t>
            </w:r>
          </w:p>
        </w:tc>
        <w:tc>
          <w:tcPr>
            <w:tcW w:w="2326" w:type="dxa"/>
          </w:tcPr>
          <w:p w14:paraId="56B2E9E4" w14:textId="77777777" w:rsidR="00CE3D99" w:rsidRPr="00DF4CE5" w:rsidRDefault="00CE3D99" w:rsidP="00DF4CE5">
            <w:pPr>
              <w:widowControl w:val="0"/>
              <w:autoSpaceDE w:val="0"/>
              <w:autoSpaceDN w:val="0"/>
              <w:spacing w:before="74" w:after="0" w:line="240" w:lineRule="auto"/>
              <w:ind w:left="143" w:right="314"/>
              <w:rPr>
                <w:rFonts w:ascii="Cambria" w:eastAsia="Cambria" w:hAnsi="Cambria" w:cs="Cambria"/>
                <w:lang w:val="hr-HR"/>
              </w:rPr>
            </w:pPr>
            <w:r w:rsidRPr="00DF4CE5">
              <w:rPr>
                <w:rFonts w:ascii="Cambria" w:eastAsia="Cambria" w:hAnsi="Cambria" w:cs="Cambria"/>
                <w:lang w:val="hr-HR"/>
              </w:rPr>
              <w:t>odgojno-obrazovna</w:t>
            </w:r>
            <w:r w:rsidRPr="00DF4CE5">
              <w:rPr>
                <w:rFonts w:ascii="Cambria" w:eastAsia="Cambria" w:hAnsi="Cambria" w:cs="Cambria"/>
                <w:spacing w:val="-46"/>
                <w:lang w:val="hr-HR"/>
              </w:rPr>
              <w:t xml:space="preserve"> </w:t>
            </w:r>
            <w:r w:rsidRPr="00DF4CE5">
              <w:rPr>
                <w:rFonts w:ascii="Cambria" w:eastAsia="Cambria" w:hAnsi="Cambria" w:cs="Cambria"/>
                <w:lang w:val="hr-HR"/>
              </w:rPr>
              <w:t>ustanova (osnovna</w:t>
            </w:r>
            <w:r w:rsidRPr="00DF4CE5">
              <w:rPr>
                <w:rFonts w:ascii="Cambria" w:eastAsia="Cambria" w:hAnsi="Cambria" w:cs="Cambria"/>
                <w:spacing w:val="1"/>
                <w:lang w:val="hr-HR"/>
              </w:rPr>
              <w:t xml:space="preserve"> </w:t>
            </w:r>
            <w:r w:rsidRPr="00DF4CE5">
              <w:rPr>
                <w:rFonts w:ascii="Cambria" w:eastAsia="Cambria" w:hAnsi="Cambria" w:cs="Cambria"/>
                <w:lang w:val="hr-HR"/>
              </w:rPr>
              <w:t>škola ili srodna</w:t>
            </w:r>
            <w:r w:rsidRPr="00DF4CE5">
              <w:rPr>
                <w:rFonts w:ascii="Cambria" w:eastAsia="Cambria" w:hAnsi="Cambria" w:cs="Cambria"/>
                <w:spacing w:val="1"/>
                <w:lang w:val="hr-HR"/>
              </w:rPr>
              <w:t xml:space="preserve"> </w:t>
            </w:r>
            <w:r w:rsidRPr="00DF4CE5">
              <w:rPr>
                <w:rFonts w:ascii="Cambria" w:eastAsia="Cambria" w:hAnsi="Cambria" w:cs="Cambria"/>
                <w:lang w:val="hr-HR"/>
              </w:rPr>
              <w:t>institucija)</w:t>
            </w:r>
          </w:p>
        </w:tc>
        <w:tc>
          <w:tcPr>
            <w:tcW w:w="1632" w:type="dxa"/>
            <w:shd w:val="clear" w:color="auto" w:fill="E6E6E6"/>
          </w:tcPr>
          <w:p w14:paraId="28C3BC7A" w14:textId="77777777" w:rsidR="00CE3D99" w:rsidRPr="00DF4CE5" w:rsidRDefault="00CE3D99" w:rsidP="00DF4CE5">
            <w:pPr>
              <w:widowControl w:val="0"/>
              <w:autoSpaceDE w:val="0"/>
              <w:autoSpaceDN w:val="0"/>
              <w:spacing w:before="2" w:after="0" w:line="240" w:lineRule="auto"/>
              <w:rPr>
                <w:rFonts w:ascii="Cambria" w:eastAsia="Cambria" w:hAnsi="Cambria" w:cs="Cambria"/>
                <w:lang w:val="hr-HR"/>
              </w:rPr>
            </w:pPr>
          </w:p>
          <w:p w14:paraId="78225654" w14:textId="77777777" w:rsidR="00CE3D99" w:rsidRPr="00DF4CE5" w:rsidRDefault="00CE3D99" w:rsidP="00DF4CE5">
            <w:pPr>
              <w:widowControl w:val="0"/>
              <w:autoSpaceDE w:val="0"/>
              <w:autoSpaceDN w:val="0"/>
              <w:spacing w:before="1" w:after="0" w:line="240" w:lineRule="auto"/>
              <w:ind w:left="141"/>
              <w:rPr>
                <w:rFonts w:ascii="Cambria" w:eastAsia="Cambria" w:hAnsi="Cambria" w:cs="Cambria"/>
                <w:lang w:val="hr-HR"/>
              </w:rPr>
            </w:pPr>
            <w:r w:rsidRPr="00DF4CE5">
              <w:rPr>
                <w:rFonts w:ascii="Cambria" w:eastAsia="Cambria" w:hAnsi="Cambria" w:cs="Cambria"/>
                <w:lang w:val="hr-HR"/>
              </w:rPr>
              <w:t>Jezik</w:t>
            </w:r>
          </w:p>
          <w:p w14:paraId="5856D5B1" w14:textId="77777777" w:rsidR="00CE3D99" w:rsidRPr="00DF4CE5" w:rsidRDefault="00CE3D99" w:rsidP="00DF4CE5">
            <w:pPr>
              <w:widowControl w:val="0"/>
              <w:autoSpaceDE w:val="0"/>
              <w:autoSpaceDN w:val="0"/>
              <w:spacing w:before="1" w:after="0" w:line="240" w:lineRule="auto"/>
              <w:ind w:left="141"/>
              <w:rPr>
                <w:rFonts w:ascii="Cambria" w:eastAsia="Cambria" w:hAnsi="Cambria" w:cs="Cambria"/>
                <w:lang w:val="hr-HR"/>
              </w:rPr>
            </w:pPr>
            <w:r w:rsidRPr="00DF4CE5">
              <w:rPr>
                <w:rFonts w:ascii="Cambria" w:eastAsia="Cambria" w:hAnsi="Cambria" w:cs="Cambria"/>
                <w:lang w:val="hr-HR"/>
              </w:rPr>
              <w:t>izvođenja</w:t>
            </w:r>
          </w:p>
        </w:tc>
        <w:tc>
          <w:tcPr>
            <w:tcW w:w="2768" w:type="dxa"/>
          </w:tcPr>
          <w:p w14:paraId="1650C6D6" w14:textId="77777777" w:rsidR="00CE3D99" w:rsidRPr="00DF4CE5" w:rsidRDefault="00CE3D99" w:rsidP="00DF4CE5">
            <w:pPr>
              <w:widowControl w:val="0"/>
              <w:autoSpaceDE w:val="0"/>
              <w:autoSpaceDN w:val="0"/>
              <w:spacing w:after="0" w:line="240" w:lineRule="auto"/>
              <w:rPr>
                <w:rFonts w:ascii="Cambria" w:eastAsia="Cambria" w:hAnsi="Cambria" w:cs="Cambria"/>
                <w:lang w:val="hr-HR"/>
              </w:rPr>
            </w:pPr>
          </w:p>
          <w:p w14:paraId="33E8C9EC" w14:textId="77777777" w:rsidR="00CE3D99" w:rsidRPr="00DF4CE5" w:rsidRDefault="00CE3D99" w:rsidP="00DF4CE5">
            <w:pPr>
              <w:widowControl w:val="0"/>
              <w:autoSpaceDE w:val="0"/>
              <w:autoSpaceDN w:val="0"/>
              <w:spacing w:before="156" w:after="0" w:line="240" w:lineRule="auto"/>
              <w:ind w:left="143"/>
              <w:rPr>
                <w:rFonts w:ascii="Cambria" w:eastAsia="Cambria" w:hAnsi="Cambria" w:cs="Cambria"/>
                <w:lang w:val="hr-HR"/>
              </w:rPr>
            </w:pPr>
            <w:r w:rsidRPr="00DF4CE5">
              <w:rPr>
                <w:rFonts w:ascii="Cambria" w:eastAsia="Cambria" w:hAnsi="Cambria" w:cs="Cambria"/>
                <w:lang w:val="hr-HR"/>
              </w:rPr>
              <w:t>hrvatski</w:t>
            </w:r>
          </w:p>
        </w:tc>
      </w:tr>
      <w:tr w:rsidR="00CE3D99" w:rsidRPr="00DF4CE5" w14:paraId="38D17784" w14:textId="77777777" w:rsidTr="00DF4CE5">
        <w:trPr>
          <w:trHeight w:val="659"/>
        </w:trPr>
        <w:tc>
          <w:tcPr>
            <w:tcW w:w="2614" w:type="dxa"/>
            <w:shd w:val="clear" w:color="auto" w:fill="F3F3F3"/>
          </w:tcPr>
          <w:p w14:paraId="37F8F0B7" w14:textId="77777777" w:rsidR="00CE3D99" w:rsidRPr="00DF4CE5" w:rsidRDefault="00CE3D99" w:rsidP="00DF4CE5">
            <w:pPr>
              <w:widowControl w:val="0"/>
              <w:autoSpaceDE w:val="0"/>
              <w:autoSpaceDN w:val="0"/>
              <w:spacing w:before="201" w:after="0" w:line="240" w:lineRule="auto"/>
              <w:ind w:left="143"/>
              <w:rPr>
                <w:rFonts w:ascii="Cambria" w:eastAsia="Cambria" w:hAnsi="Cambria" w:cs="Cambria"/>
                <w:lang w:val="hr-HR"/>
              </w:rPr>
            </w:pPr>
            <w:r w:rsidRPr="00DF4CE5">
              <w:rPr>
                <w:rFonts w:ascii="Cambria" w:eastAsia="Cambria" w:hAnsi="Cambria" w:cs="Cambria"/>
                <w:lang w:val="hr-HR"/>
              </w:rPr>
              <w:t>Broj</w:t>
            </w:r>
            <w:r w:rsidRPr="00DF4CE5">
              <w:rPr>
                <w:rFonts w:ascii="Cambria" w:eastAsia="Cambria" w:hAnsi="Cambria" w:cs="Cambria"/>
                <w:spacing w:val="-2"/>
                <w:lang w:val="hr-HR"/>
              </w:rPr>
              <w:t xml:space="preserve"> </w:t>
            </w:r>
            <w:r w:rsidRPr="00DF4CE5">
              <w:rPr>
                <w:rFonts w:ascii="Cambria" w:eastAsia="Cambria" w:hAnsi="Cambria" w:cs="Cambria"/>
                <w:lang w:val="hr-HR"/>
              </w:rPr>
              <w:t>ECTS</w:t>
            </w:r>
            <w:r w:rsidRPr="00DF4CE5">
              <w:rPr>
                <w:rFonts w:ascii="Cambria" w:eastAsia="Cambria" w:hAnsi="Cambria" w:cs="Cambria"/>
                <w:spacing w:val="-1"/>
                <w:lang w:val="hr-HR"/>
              </w:rPr>
              <w:t xml:space="preserve"> </w:t>
            </w:r>
            <w:r w:rsidRPr="00DF4CE5">
              <w:rPr>
                <w:rFonts w:ascii="Cambria" w:eastAsia="Cambria" w:hAnsi="Cambria" w:cs="Cambria"/>
                <w:lang w:val="hr-HR"/>
              </w:rPr>
              <w:t>bodova</w:t>
            </w:r>
          </w:p>
        </w:tc>
        <w:tc>
          <w:tcPr>
            <w:tcW w:w="2326" w:type="dxa"/>
          </w:tcPr>
          <w:p w14:paraId="64376921" w14:textId="77777777" w:rsidR="00CE3D99" w:rsidRPr="00DF4CE5" w:rsidRDefault="00CE3D99" w:rsidP="00DF4CE5">
            <w:pPr>
              <w:widowControl w:val="0"/>
              <w:autoSpaceDE w:val="0"/>
              <w:autoSpaceDN w:val="0"/>
              <w:spacing w:before="201" w:after="0" w:line="240" w:lineRule="auto"/>
              <w:ind w:left="143"/>
              <w:rPr>
                <w:rFonts w:ascii="Cambria" w:eastAsia="Cambria" w:hAnsi="Cambria" w:cs="Cambria"/>
                <w:lang w:val="hr-HR"/>
              </w:rPr>
            </w:pPr>
            <w:r w:rsidRPr="00DF4CE5">
              <w:rPr>
                <w:rFonts w:ascii="Cambria" w:eastAsia="Cambria" w:hAnsi="Cambria" w:cs="Cambria"/>
                <w:lang w:val="hr-HR"/>
              </w:rPr>
              <w:t>2</w:t>
            </w:r>
          </w:p>
        </w:tc>
        <w:tc>
          <w:tcPr>
            <w:tcW w:w="1632" w:type="dxa"/>
            <w:shd w:val="clear" w:color="auto" w:fill="E6E6E6"/>
          </w:tcPr>
          <w:p w14:paraId="3CC91039" w14:textId="77777777" w:rsidR="00CE3D99" w:rsidRPr="00DF4CE5" w:rsidRDefault="00CE3D99" w:rsidP="00DF4CE5">
            <w:pPr>
              <w:widowControl w:val="0"/>
              <w:autoSpaceDE w:val="0"/>
              <w:autoSpaceDN w:val="0"/>
              <w:spacing w:before="71" w:after="0" w:line="240" w:lineRule="auto"/>
              <w:ind w:left="141" w:right="494"/>
              <w:rPr>
                <w:rFonts w:ascii="Cambria" w:eastAsia="Cambria" w:hAnsi="Cambria" w:cs="Cambria"/>
                <w:lang w:val="hr-HR"/>
              </w:rPr>
            </w:pPr>
            <w:r w:rsidRPr="00DF4CE5">
              <w:rPr>
                <w:rFonts w:ascii="Cambria" w:eastAsia="Cambria" w:hAnsi="Cambria" w:cs="Cambria"/>
                <w:lang w:val="hr-HR"/>
              </w:rPr>
              <w:t>Broj sati u</w:t>
            </w:r>
            <w:r w:rsidRPr="00DF4CE5">
              <w:rPr>
                <w:rFonts w:ascii="Cambria" w:eastAsia="Cambria" w:hAnsi="Cambria" w:cs="Cambria"/>
                <w:spacing w:val="-46"/>
                <w:lang w:val="hr-HR"/>
              </w:rPr>
              <w:t xml:space="preserve"> </w:t>
            </w:r>
            <w:r w:rsidRPr="00DF4CE5">
              <w:rPr>
                <w:rFonts w:ascii="Cambria" w:eastAsia="Cambria" w:hAnsi="Cambria" w:cs="Cambria"/>
                <w:lang w:val="hr-HR"/>
              </w:rPr>
              <w:t>semestru</w:t>
            </w:r>
          </w:p>
        </w:tc>
        <w:tc>
          <w:tcPr>
            <w:tcW w:w="2768" w:type="dxa"/>
          </w:tcPr>
          <w:p w14:paraId="08803081" w14:textId="3854A435" w:rsidR="00CE3D99" w:rsidRPr="00DF4CE5" w:rsidRDefault="00CE3D99" w:rsidP="00DF4CE5">
            <w:pPr>
              <w:widowControl w:val="0"/>
              <w:autoSpaceDE w:val="0"/>
              <w:autoSpaceDN w:val="0"/>
              <w:spacing w:before="201" w:after="0" w:line="240" w:lineRule="auto"/>
              <w:ind w:left="143"/>
              <w:rPr>
                <w:rFonts w:ascii="Cambria" w:eastAsia="Cambria" w:hAnsi="Cambria" w:cs="Cambria"/>
                <w:lang w:val="hr-HR"/>
              </w:rPr>
            </w:pPr>
            <w:r w:rsidRPr="00DF4CE5">
              <w:rPr>
                <w:rFonts w:ascii="Cambria" w:eastAsia="Cambria" w:hAnsi="Cambria" w:cs="Cambria"/>
                <w:lang w:val="hr-HR"/>
              </w:rPr>
              <w:t>0P</w:t>
            </w:r>
            <w:r w:rsidRPr="00DF4CE5">
              <w:rPr>
                <w:rFonts w:ascii="Cambria" w:eastAsia="Cambria" w:hAnsi="Cambria" w:cs="Cambria"/>
                <w:spacing w:val="-2"/>
                <w:lang w:val="hr-HR"/>
              </w:rPr>
              <w:t xml:space="preserve"> </w:t>
            </w:r>
            <w:r w:rsidR="006B4FFE">
              <w:rPr>
                <w:rFonts w:ascii="Cambria" w:eastAsia="Cambria" w:hAnsi="Cambria" w:cs="Cambria"/>
                <w:lang w:val="hr-HR"/>
              </w:rPr>
              <w:t>–</w:t>
            </w:r>
            <w:r w:rsidRPr="00DF4CE5">
              <w:rPr>
                <w:rFonts w:ascii="Cambria" w:eastAsia="Cambria" w:hAnsi="Cambria" w:cs="Cambria"/>
                <w:lang w:val="hr-HR"/>
              </w:rPr>
              <w:t xml:space="preserve"> 0S – 25V</w:t>
            </w:r>
          </w:p>
        </w:tc>
      </w:tr>
      <w:tr w:rsidR="00CE3D99" w:rsidRPr="00DF4CE5" w14:paraId="37B61B12" w14:textId="77777777" w:rsidTr="00DF4CE5">
        <w:trPr>
          <w:trHeight w:val="659"/>
        </w:trPr>
        <w:tc>
          <w:tcPr>
            <w:tcW w:w="2614" w:type="dxa"/>
            <w:shd w:val="clear" w:color="auto" w:fill="F3F3F3"/>
          </w:tcPr>
          <w:p w14:paraId="56E2D4B3" w14:textId="77777777" w:rsidR="00CE3D99" w:rsidRPr="00DF4CE5" w:rsidRDefault="00CE3D99" w:rsidP="00DF4CE5">
            <w:pPr>
              <w:widowControl w:val="0"/>
              <w:autoSpaceDE w:val="0"/>
              <w:autoSpaceDN w:val="0"/>
              <w:spacing w:before="71" w:after="0" w:line="240" w:lineRule="auto"/>
              <w:ind w:left="143" w:right="382"/>
              <w:rPr>
                <w:rFonts w:ascii="Cambria" w:eastAsia="Cambria" w:hAnsi="Cambria" w:cs="Cambria"/>
                <w:lang w:val="hr-HR"/>
              </w:rPr>
            </w:pPr>
            <w:r w:rsidRPr="00DF4CE5">
              <w:rPr>
                <w:rFonts w:ascii="Cambria" w:eastAsia="Cambria" w:hAnsi="Cambria" w:cs="Cambria"/>
                <w:lang w:val="hr-HR"/>
              </w:rPr>
              <w:t>Preduvjeti za upis i za</w:t>
            </w:r>
            <w:r w:rsidRPr="00DF4CE5">
              <w:rPr>
                <w:rFonts w:ascii="Cambria" w:eastAsia="Cambria" w:hAnsi="Cambria" w:cs="Cambria"/>
                <w:spacing w:val="-46"/>
                <w:lang w:val="hr-HR"/>
              </w:rPr>
              <w:t xml:space="preserve"> </w:t>
            </w:r>
            <w:r w:rsidRPr="00DF4CE5">
              <w:rPr>
                <w:rFonts w:ascii="Cambria" w:eastAsia="Cambria" w:hAnsi="Cambria" w:cs="Cambria"/>
                <w:lang w:val="hr-HR"/>
              </w:rPr>
              <w:t>svladavanje</w:t>
            </w:r>
          </w:p>
        </w:tc>
        <w:tc>
          <w:tcPr>
            <w:tcW w:w="6726" w:type="dxa"/>
            <w:gridSpan w:val="3"/>
          </w:tcPr>
          <w:p w14:paraId="5706B762" w14:textId="77777777" w:rsidR="00CE3D99" w:rsidRPr="00DF4CE5" w:rsidRDefault="00CE3D99" w:rsidP="00DF4CE5">
            <w:pPr>
              <w:widowControl w:val="0"/>
              <w:autoSpaceDE w:val="0"/>
              <w:autoSpaceDN w:val="0"/>
              <w:spacing w:before="201" w:after="0" w:line="240" w:lineRule="auto"/>
              <w:ind w:left="143"/>
              <w:rPr>
                <w:rFonts w:ascii="Cambria" w:eastAsia="Cambria" w:hAnsi="Cambria" w:cs="Cambria"/>
                <w:lang w:val="hr-HR"/>
              </w:rPr>
            </w:pPr>
            <w:r w:rsidRPr="00DF4CE5">
              <w:rPr>
                <w:rFonts w:ascii="Cambria" w:eastAsia="Cambria" w:hAnsi="Cambria" w:cs="Cambria"/>
                <w:lang w:val="hr-HR"/>
              </w:rPr>
              <w:t>Nema</w:t>
            </w:r>
            <w:r w:rsidRPr="00DF4CE5">
              <w:rPr>
                <w:rFonts w:ascii="Cambria" w:eastAsia="Cambria" w:hAnsi="Cambria" w:cs="Cambria"/>
                <w:spacing w:val="-3"/>
                <w:lang w:val="hr-HR"/>
              </w:rPr>
              <w:t xml:space="preserve"> </w:t>
            </w:r>
            <w:r w:rsidRPr="00DF4CE5">
              <w:rPr>
                <w:rFonts w:ascii="Cambria" w:eastAsia="Cambria" w:hAnsi="Cambria" w:cs="Cambria"/>
                <w:lang w:val="hr-HR"/>
              </w:rPr>
              <w:t>preduvjeta</w:t>
            </w:r>
          </w:p>
        </w:tc>
      </w:tr>
      <w:tr w:rsidR="00CE3D99" w:rsidRPr="00D0399C" w14:paraId="795D370A" w14:textId="77777777" w:rsidTr="00DF4CE5">
        <w:trPr>
          <w:trHeight w:val="659"/>
        </w:trPr>
        <w:tc>
          <w:tcPr>
            <w:tcW w:w="2614" w:type="dxa"/>
            <w:shd w:val="clear" w:color="auto" w:fill="F3F3F3"/>
          </w:tcPr>
          <w:p w14:paraId="60394DAA" w14:textId="77777777" w:rsidR="00CE3D99" w:rsidRPr="00DF4CE5" w:rsidRDefault="00CE3D99" w:rsidP="00DF4CE5">
            <w:pPr>
              <w:widowControl w:val="0"/>
              <w:autoSpaceDE w:val="0"/>
              <w:autoSpaceDN w:val="0"/>
              <w:spacing w:before="201" w:after="0" w:line="240" w:lineRule="auto"/>
              <w:ind w:left="143"/>
              <w:rPr>
                <w:rFonts w:ascii="Cambria" w:eastAsia="Cambria" w:hAnsi="Cambria" w:cs="Cambria"/>
                <w:lang w:val="hr-HR"/>
              </w:rPr>
            </w:pPr>
            <w:proofErr w:type="spellStart"/>
            <w:r w:rsidRPr="00DF4CE5">
              <w:rPr>
                <w:rFonts w:ascii="Cambria" w:eastAsia="Cambria" w:hAnsi="Cambria" w:cs="Cambria"/>
                <w:lang w:val="hr-HR"/>
              </w:rPr>
              <w:t>Korelativnost</w:t>
            </w:r>
            <w:proofErr w:type="spellEnd"/>
          </w:p>
        </w:tc>
        <w:tc>
          <w:tcPr>
            <w:tcW w:w="6726" w:type="dxa"/>
            <w:gridSpan w:val="3"/>
          </w:tcPr>
          <w:p w14:paraId="11656194" w14:textId="77777777" w:rsidR="00CE3D99" w:rsidRPr="00DF4CE5" w:rsidRDefault="00CE3D99" w:rsidP="00DF4CE5">
            <w:pPr>
              <w:widowControl w:val="0"/>
              <w:autoSpaceDE w:val="0"/>
              <w:autoSpaceDN w:val="0"/>
              <w:spacing w:before="73" w:after="0" w:line="240" w:lineRule="auto"/>
              <w:ind w:left="143" w:right="397"/>
              <w:rPr>
                <w:rFonts w:ascii="Cambria" w:eastAsia="Cambria" w:hAnsi="Cambria" w:cs="Cambria"/>
                <w:lang w:val="hr-HR"/>
              </w:rPr>
            </w:pPr>
            <w:r w:rsidRPr="00DF4CE5">
              <w:rPr>
                <w:rFonts w:ascii="Cambria" w:eastAsia="Cambria" w:hAnsi="Cambria" w:cs="Cambria"/>
                <w:lang w:val="hr-HR"/>
              </w:rPr>
              <w:t>Kolegij Stručna praksa korelira sa stručno-metodičkim kolegijima</w:t>
            </w:r>
            <w:r w:rsidRPr="00DF4CE5">
              <w:rPr>
                <w:rFonts w:ascii="Cambria" w:eastAsia="Cambria" w:hAnsi="Cambria" w:cs="Cambria"/>
                <w:spacing w:val="-46"/>
                <w:lang w:val="hr-HR"/>
              </w:rPr>
              <w:t xml:space="preserve"> </w:t>
            </w:r>
            <w:r w:rsidRPr="00DF4CE5">
              <w:rPr>
                <w:rFonts w:ascii="Cambria" w:eastAsia="Cambria" w:hAnsi="Cambria" w:cs="Cambria"/>
                <w:lang w:val="hr-HR"/>
              </w:rPr>
              <w:t>koji čine programsku</w:t>
            </w:r>
            <w:r w:rsidRPr="00DF4CE5">
              <w:rPr>
                <w:rFonts w:ascii="Cambria" w:eastAsia="Cambria" w:hAnsi="Cambria" w:cs="Cambria"/>
                <w:spacing w:val="-4"/>
                <w:lang w:val="hr-HR"/>
              </w:rPr>
              <w:t xml:space="preserve"> </w:t>
            </w:r>
            <w:r w:rsidRPr="00DF4CE5">
              <w:rPr>
                <w:rFonts w:ascii="Cambria" w:eastAsia="Cambria" w:hAnsi="Cambria" w:cs="Cambria"/>
                <w:lang w:val="hr-HR"/>
              </w:rPr>
              <w:t>cjelinu učiteljskog</w:t>
            </w:r>
            <w:r w:rsidRPr="00DF4CE5">
              <w:rPr>
                <w:rFonts w:ascii="Cambria" w:eastAsia="Cambria" w:hAnsi="Cambria" w:cs="Cambria"/>
                <w:spacing w:val="-3"/>
                <w:lang w:val="hr-HR"/>
              </w:rPr>
              <w:t xml:space="preserve"> </w:t>
            </w:r>
            <w:r w:rsidRPr="00DF4CE5">
              <w:rPr>
                <w:rFonts w:ascii="Cambria" w:eastAsia="Cambria" w:hAnsi="Cambria" w:cs="Cambria"/>
                <w:lang w:val="hr-HR"/>
              </w:rPr>
              <w:t>studija.</w:t>
            </w:r>
          </w:p>
        </w:tc>
      </w:tr>
      <w:tr w:rsidR="00CE3D99" w:rsidRPr="00D0399C" w14:paraId="6381D257" w14:textId="77777777" w:rsidTr="00DF4CE5">
        <w:trPr>
          <w:trHeight w:val="918"/>
        </w:trPr>
        <w:tc>
          <w:tcPr>
            <w:tcW w:w="2614" w:type="dxa"/>
            <w:shd w:val="clear" w:color="auto" w:fill="F3F3F3"/>
          </w:tcPr>
          <w:p w14:paraId="08157764" w14:textId="77777777" w:rsidR="00CE3D99" w:rsidRPr="00DF4CE5" w:rsidRDefault="00CE3D99" w:rsidP="00DF4CE5">
            <w:pPr>
              <w:widowControl w:val="0"/>
              <w:autoSpaceDE w:val="0"/>
              <w:autoSpaceDN w:val="0"/>
              <w:spacing w:before="2" w:after="0" w:line="240" w:lineRule="auto"/>
              <w:rPr>
                <w:rFonts w:ascii="Cambria" w:eastAsia="Cambria" w:hAnsi="Cambria" w:cs="Cambria"/>
                <w:lang w:val="hr-HR"/>
              </w:rPr>
            </w:pPr>
          </w:p>
          <w:p w14:paraId="3A91FB70" w14:textId="77777777" w:rsidR="00CE3D99" w:rsidRPr="00DF4CE5" w:rsidRDefault="00CE3D99" w:rsidP="00DF4CE5">
            <w:pPr>
              <w:widowControl w:val="0"/>
              <w:autoSpaceDE w:val="0"/>
              <w:autoSpaceDN w:val="0"/>
              <w:spacing w:after="0" w:line="240" w:lineRule="auto"/>
              <w:ind w:left="143"/>
              <w:rPr>
                <w:rFonts w:ascii="Cambria" w:eastAsia="Cambria" w:hAnsi="Cambria" w:cs="Cambria"/>
                <w:lang w:val="hr-HR"/>
              </w:rPr>
            </w:pPr>
            <w:r w:rsidRPr="00DF4CE5">
              <w:rPr>
                <w:rFonts w:ascii="Cambria" w:eastAsia="Cambria" w:hAnsi="Cambria" w:cs="Cambria"/>
                <w:lang w:val="hr-HR"/>
              </w:rPr>
              <w:t>Cilj</w:t>
            </w:r>
            <w:r w:rsidRPr="00DF4CE5">
              <w:rPr>
                <w:rFonts w:ascii="Cambria" w:eastAsia="Cambria" w:hAnsi="Cambria" w:cs="Cambria"/>
                <w:spacing w:val="-2"/>
                <w:lang w:val="hr-HR"/>
              </w:rPr>
              <w:t xml:space="preserve"> </w:t>
            </w:r>
            <w:r w:rsidRPr="00DF4CE5">
              <w:rPr>
                <w:rFonts w:ascii="Cambria" w:eastAsia="Cambria" w:hAnsi="Cambria" w:cs="Cambria"/>
                <w:lang w:val="hr-HR"/>
              </w:rPr>
              <w:t>kolegija</w:t>
            </w:r>
          </w:p>
        </w:tc>
        <w:tc>
          <w:tcPr>
            <w:tcW w:w="6726" w:type="dxa"/>
            <w:gridSpan w:val="3"/>
          </w:tcPr>
          <w:p w14:paraId="0D67D5CD" w14:textId="77777777" w:rsidR="00CE3D99" w:rsidRPr="00DF4CE5" w:rsidRDefault="00CE3D99" w:rsidP="00DF4CE5">
            <w:pPr>
              <w:widowControl w:val="0"/>
              <w:autoSpaceDE w:val="0"/>
              <w:autoSpaceDN w:val="0"/>
              <w:spacing w:before="73" w:after="0" w:line="240" w:lineRule="auto"/>
              <w:ind w:left="143" w:right="187"/>
              <w:rPr>
                <w:rFonts w:ascii="Cambria" w:eastAsia="Cambria" w:hAnsi="Cambria" w:cs="Cambria"/>
                <w:lang w:val="hr-HR"/>
              </w:rPr>
            </w:pPr>
            <w:r w:rsidRPr="00DF4CE5">
              <w:rPr>
                <w:rFonts w:ascii="Cambria" w:eastAsia="Cambria" w:hAnsi="Cambria" w:cs="Cambria"/>
                <w:lang w:val="hr-HR"/>
              </w:rPr>
              <w:t>Uvesti studente u rad učitelja i stručnih suradnika u osnovnoj školi i</w:t>
            </w:r>
            <w:r w:rsidRPr="00DF4CE5">
              <w:rPr>
                <w:rFonts w:ascii="Cambria" w:eastAsia="Cambria" w:hAnsi="Cambria" w:cs="Cambria"/>
                <w:spacing w:val="-46"/>
                <w:lang w:val="hr-HR"/>
              </w:rPr>
              <w:t xml:space="preserve"> </w:t>
            </w:r>
            <w:r w:rsidRPr="00DF4CE5">
              <w:rPr>
                <w:rFonts w:ascii="Cambria" w:eastAsia="Cambria" w:hAnsi="Cambria" w:cs="Cambria"/>
                <w:lang w:val="hr-HR"/>
              </w:rPr>
              <w:t>upoznati ih s općom i specifičnom organizacijom rada odgojno-</w:t>
            </w:r>
            <w:r w:rsidRPr="00DF4CE5">
              <w:rPr>
                <w:rFonts w:ascii="Cambria" w:eastAsia="Cambria" w:hAnsi="Cambria" w:cs="Cambria"/>
                <w:spacing w:val="1"/>
                <w:lang w:val="hr-HR"/>
              </w:rPr>
              <w:t xml:space="preserve"> </w:t>
            </w:r>
            <w:r w:rsidRPr="00DF4CE5">
              <w:rPr>
                <w:rFonts w:ascii="Cambria" w:eastAsia="Cambria" w:hAnsi="Cambria" w:cs="Cambria"/>
                <w:lang w:val="hr-HR"/>
              </w:rPr>
              <w:t>obrazovne</w:t>
            </w:r>
            <w:r w:rsidRPr="00DF4CE5">
              <w:rPr>
                <w:rFonts w:ascii="Cambria" w:eastAsia="Cambria" w:hAnsi="Cambria" w:cs="Cambria"/>
                <w:spacing w:val="-1"/>
                <w:lang w:val="hr-HR"/>
              </w:rPr>
              <w:t xml:space="preserve"> </w:t>
            </w:r>
            <w:r w:rsidRPr="00DF4CE5">
              <w:rPr>
                <w:rFonts w:ascii="Cambria" w:eastAsia="Cambria" w:hAnsi="Cambria" w:cs="Cambria"/>
                <w:lang w:val="hr-HR"/>
              </w:rPr>
              <w:t>ustanove</w:t>
            </w:r>
          </w:p>
        </w:tc>
      </w:tr>
      <w:tr w:rsidR="00CE3D99" w:rsidRPr="00D0399C" w14:paraId="1281A2E6" w14:textId="77777777" w:rsidTr="00DF4CE5">
        <w:trPr>
          <w:trHeight w:val="1691"/>
        </w:trPr>
        <w:tc>
          <w:tcPr>
            <w:tcW w:w="2614" w:type="dxa"/>
            <w:shd w:val="clear" w:color="auto" w:fill="F3F3F3"/>
          </w:tcPr>
          <w:p w14:paraId="066F4EA4" w14:textId="77777777" w:rsidR="00CE3D99" w:rsidRPr="00DF4CE5" w:rsidRDefault="00CE3D99" w:rsidP="00DF4CE5">
            <w:pPr>
              <w:widowControl w:val="0"/>
              <w:autoSpaceDE w:val="0"/>
              <w:autoSpaceDN w:val="0"/>
              <w:spacing w:after="0" w:line="240" w:lineRule="auto"/>
              <w:rPr>
                <w:rFonts w:ascii="Cambria" w:eastAsia="Cambria" w:hAnsi="Cambria" w:cs="Cambria"/>
                <w:lang w:val="hr-HR"/>
              </w:rPr>
            </w:pPr>
          </w:p>
          <w:p w14:paraId="7728A6CB" w14:textId="77777777" w:rsidR="00CE3D99" w:rsidRPr="00DF4CE5" w:rsidRDefault="00CE3D99" w:rsidP="00DF4CE5">
            <w:pPr>
              <w:widowControl w:val="0"/>
              <w:autoSpaceDE w:val="0"/>
              <w:autoSpaceDN w:val="0"/>
              <w:spacing w:before="1" w:after="0" w:line="240" w:lineRule="auto"/>
              <w:rPr>
                <w:rFonts w:ascii="Cambria" w:eastAsia="Cambria" w:hAnsi="Cambria" w:cs="Cambria"/>
                <w:lang w:val="hr-HR"/>
              </w:rPr>
            </w:pPr>
          </w:p>
          <w:p w14:paraId="6D93A2F1" w14:textId="77777777" w:rsidR="00CE3D99" w:rsidRPr="00DF4CE5" w:rsidRDefault="00CE3D99" w:rsidP="00DF4CE5">
            <w:pPr>
              <w:widowControl w:val="0"/>
              <w:autoSpaceDE w:val="0"/>
              <w:autoSpaceDN w:val="0"/>
              <w:spacing w:before="1" w:after="0" w:line="240" w:lineRule="auto"/>
              <w:ind w:left="143"/>
              <w:rPr>
                <w:rFonts w:ascii="Cambria" w:eastAsia="Cambria" w:hAnsi="Cambria" w:cs="Cambria"/>
                <w:lang w:val="hr-HR"/>
              </w:rPr>
            </w:pPr>
            <w:r w:rsidRPr="00DF4CE5">
              <w:rPr>
                <w:rFonts w:ascii="Cambria" w:eastAsia="Cambria" w:hAnsi="Cambria" w:cs="Cambria"/>
                <w:lang w:val="hr-HR"/>
              </w:rPr>
              <w:t>Ishodi</w:t>
            </w:r>
            <w:r w:rsidRPr="00DF4CE5">
              <w:rPr>
                <w:rFonts w:ascii="Cambria" w:eastAsia="Cambria" w:hAnsi="Cambria" w:cs="Cambria"/>
                <w:spacing w:val="-2"/>
                <w:lang w:val="hr-HR"/>
              </w:rPr>
              <w:t xml:space="preserve"> </w:t>
            </w:r>
            <w:r w:rsidRPr="00DF4CE5">
              <w:rPr>
                <w:rFonts w:ascii="Cambria" w:eastAsia="Cambria" w:hAnsi="Cambria" w:cs="Cambria"/>
                <w:lang w:val="hr-HR"/>
              </w:rPr>
              <w:t>učenja</w:t>
            </w:r>
          </w:p>
        </w:tc>
        <w:tc>
          <w:tcPr>
            <w:tcW w:w="6726" w:type="dxa"/>
            <w:gridSpan w:val="3"/>
          </w:tcPr>
          <w:p w14:paraId="53DEF8A7" w14:textId="77777777" w:rsidR="00CE3D99" w:rsidRPr="00DF4CE5" w:rsidRDefault="00CE3D99" w:rsidP="00A034E3">
            <w:pPr>
              <w:widowControl w:val="0"/>
              <w:numPr>
                <w:ilvl w:val="0"/>
                <w:numId w:val="81"/>
              </w:numPr>
              <w:tabs>
                <w:tab w:val="left" w:pos="408"/>
              </w:tabs>
              <w:autoSpaceDE w:val="0"/>
              <w:autoSpaceDN w:val="0"/>
              <w:spacing w:before="73" w:after="0" w:line="240" w:lineRule="auto"/>
              <w:ind w:right="571" w:hanging="286"/>
              <w:rPr>
                <w:rFonts w:ascii="Cambria" w:eastAsia="Cambria" w:hAnsi="Cambria" w:cs="Cambria"/>
                <w:lang w:val="hr-HR"/>
              </w:rPr>
            </w:pPr>
            <w:r w:rsidRPr="00DF4CE5">
              <w:rPr>
                <w:rFonts w:ascii="Cambria" w:eastAsia="Cambria" w:hAnsi="Cambria" w:cs="Cambria"/>
                <w:lang w:val="hr-HR"/>
              </w:rPr>
              <w:t>navesti najvažnije odrednice zakona, pravilnika i propisa koji</w:t>
            </w:r>
            <w:r w:rsidRPr="00DF4CE5">
              <w:rPr>
                <w:rFonts w:ascii="Cambria" w:eastAsia="Cambria" w:hAnsi="Cambria" w:cs="Cambria"/>
                <w:spacing w:val="-47"/>
                <w:lang w:val="hr-HR"/>
              </w:rPr>
              <w:t xml:space="preserve"> </w:t>
            </w:r>
            <w:r w:rsidRPr="00DF4CE5">
              <w:rPr>
                <w:rFonts w:ascii="Cambria" w:eastAsia="Cambria" w:hAnsi="Cambria" w:cs="Cambria"/>
                <w:lang w:val="hr-HR"/>
              </w:rPr>
              <w:t>reguliraju</w:t>
            </w:r>
            <w:r w:rsidRPr="00DF4CE5">
              <w:rPr>
                <w:rFonts w:ascii="Cambria" w:eastAsia="Cambria" w:hAnsi="Cambria" w:cs="Cambria"/>
                <w:spacing w:val="-1"/>
                <w:lang w:val="hr-HR"/>
              </w:rPr>
              <w:t xml:space="preserve"> </w:t>
            </w:r>
            <w:r w:rsidRPr="00DF4CE5">
              <w:rPr>
                <w:rFonts w:ascii="Cambria" w:eastAsia="Cambria" w:hAnsi="Cambria" w:cs="Cambria"/>
                <w:lang w:val="hr-HR"/>
              </w:rPr>
              <w:t>djelatnost</w:t>
            </w:r>
            <w:r w:rsidRPr="00DF4CE5">
              <w:rPr>
                <w:rFonts w:ascii="Cambria" w:eastAsia="Cambria" w:hAnsi="Cambria" w:cs="Cambria"/>
                <w:spacing w:val="-1"/>
                <w:lang w:val="hr-HR"/>
              </w:rPr>
              <w:t xml:space="preserve"> </w:t>
            </w:r>
            <w:r w:rsidRPr="00DF4CE5">
              <w:rPr>
                <w:rFonts w:ascii="Cambria" w:eastAsia="Cambria" w:hAnsi="Cambria" w:cs="Cambria"/>
                <w:lang w:val="hr-HR"/>
              </w:rPr>
              <w:t>osnovne škole</w:t>
            </w:r>
          </w:p>
          <w:p w14:paraId="2BF5F74F" w14:textId="77777777" w:rsidR="00CE3D99" w:rsidRPr="00DF4CE5" w:rsidRDefault="00CE3D99" w:rsidP="00A034E3">
            <w:pPr>
              <w:widowControl w:val="0"/>
              <w:numPr>
                <w:ilvl w:val="0"/>
                <w:numId w:val="81"/>
              </w:numPr>
              <w:tabs>
                <w:tab w:val="left" w:pos="408"/>
              </w:tabs>
              <w:autoSpaceDE w:val="0"/>
              <w:autoSpaceDN w:val="0"/>
              <w:spacing w:after="0" w:line="256" w:lineRule="exact"/>
              <w:ind w:left="408"/>
              <w:rPr>
                <w:rFonts w:ascii="Cambria" w:eastAsia="Cambria" w:hAnsi="Cambria" w:cs="Cambria"/>
                <w:lang w:val="hr-HR"/>
              </w:rPr>
            </w:pPr>
            <w:r w:rsidRPr="00DF4CE5">
              <w:rPr>
                <w:rFonts w:ascii="Cambria" w:eastAsia="Cambria" w:hAnsi="Cambria" w:cs="Cambria"/>
                <w:lang w:val="hr-HR"/>
              </w:rPr>
              <w:t>prikazati</w:t>
            </w:r>
            <w:r w:rsidRPr="00DF4CE5">
              <w:rPr>
                <w:rFonts w:ascii="Cambria" w:eastAsia="Cambria" w:hAnsi="Cambria" w:cs="Cambria"/>
                <w:spacing w:val="-2"/>
                <w:lang w:val="hr-HR"/>
              </w:rPr>
              <w:t xml:space="preserve"> </w:t>
            </w:r>
            <w:r w:rsidRPr="00DF4CE5">
              <w:rPr>
                <w:rFonts w:ascii="Cambria" w:eastAsia="Cambria" w:hAnsi="Cambria" w:cs="Cambria"/>
                <w:lang w:val="hr-HR"/>
              </w:rPr>
              <w:t>rad</w:t>
            </w:r>
            <w:r w:rsidRPr="00DF4CE5">
              <w:rPr>
                <w:rFonts w:ascii="Cambria" w:eastAsia="Cambria" w:hAnsi="Cambria" w:cs="Cambria"/>
                <w:spacing w:val="-5"/>
                <w:lang w:val="hr-HR"/>
              </w:rPr>
              <w:t xml:space="preserve"> </w:t>
            </w:r>
            <w:r w:rsidRPr="00DF4CE5">
              <w:rPr>
                <w:rFonts w:ascii="Cambria" w:eastAsia="Cambria" w:hAnsi="Cambria" w:cs="Cambria"/>
                <w:lang w:val="hr-HR"/>
              </w:rPr>
              <w:t>stručnih</w:t>
            </w:r>
            <w:r w:rsidRPr="00DF4CE5">
              <w:rPr>
                <w:rFonts w:ascii="Cambria" w:eastAsia="Cambria" w:hAnsi="Cambria" w:cs="Cambria"/>
                <w:spacing w:val="-3"/>
                <w:lang w:val="hr-HR"/>
              </w:rPr>
              <w:t xml:space="preserve"> </w:t>
            </w:r>
            <w:r w:rsidRPr="00DF4CE5">
              <w:rPr>
                <w:rFonts w:ascii="Cambria" w:eastAsia="Cambria" w:hAnsi="Cambria" w:cs="Cambria"/>
                <w:lang w:val="hr-HR"/>
              </w:rPr>
              <w:t>tijela</w:t>
            </w:r>
            <w:r w:rsidRPr="00DF4CE5">
              <w:rPr>
                <w:rFonts w:ascii="Cambria" w:eastAsia="Cambria" w:hAnsi="Cambria" w:cs="Cambria"/>
                <w:spacing w:val="-2"/>
                <w:lang w:val="hr-HR"/>
              </w:rPr>
              <w:t xml:space="preserve"> </w:t>
            </w:r>
            <w:r w:rsidRPr="00DF4CE5">
              <w:rPr>
                <w:rFonts w:ascii="Cambria" w:eastAsia="Cambria" w:hAnsi="Cambria" w:cs="Cambria"/>
                <w:lang w:val="hr-HR"/>
              </w:rPr>
              <w:t>škole</w:t>
            </w:r>
            <w:r w:rsidRPr="00DF4CE5">
              <w:rPr>
                <w:rFonts w:ascii="Cambria" w:eastAsia="Cambria" w:hAnsi="Cambria" w:cs="Cambria"/>
                <w:spacing w:val="-3"/>
                <w:lang w:val="hr-HR"/>
              </w:rPr>
              <w:t xml:space="preserve"> </w:t>
            </w:r>
            <w:r w:rsidRPr="00DF4CE5">
              <w:rPr>
                <w:rFonts w:ascii="Cambria" w:eastAsia="Cambria" w:hAnsi="Cambria" w:cs="Cambria"/>
                <w:lang w:val="hr-HR"/>
              </w:rPr>
              <w:t>i</w:t>
            </w:r>
            <w:r w:rsidRPr="00DF4CE5">
              <w:rPr>
                <w:rFonts w:ascii="Cambria" w:eastAsia="Cambria" w:hAnsi="Cambria" w:cs="Cambria"/>
                <w:spacing w:val="-3"/>
                <w:lang w:val="hr-HR"/>
              </w:rPr>
              <w:t xml:space="preserve"> </w:t>
            </w:r>
            <w:r w:rsidRPr="00DF4CE5">
              <w:rPr>
                <w:rFonts w:ascii="Cambria" w:eastAsia="Cambria" w:hAnsi="Cambria" w:cs="Cambria"/>
                <w:lang w:val="hr-HR"/>
              </w:rPr>
              <w:t>učitelja</w:t>
            </w:r>
          </w:p>
          <w:p w14:paraId="161D66F8" w14:textId="77777777" w:rsidR="00CE3D99" w:rsidRPr="00DF4CE5" w:rsidRDefault="00CE3D99" w:rsidP="00A034E3">
            <w:pPr>
              <w:widowControl w:val="0"/>
              <w:numPr>
                <w:ilvl w:val="0"/>
                <w:numId w:val="81"/>
              </w:numPr>
              <w:tabs>
                <w:tab w:val="left" w:pos="408"/>
              </w:tabs>
              <w:autoSpaceDE w:val="0"/>
              <w:autoSpaceDN w:val="0"/>
              <w:spacing w:before="2" w:after="0" w:line="257" w:lineRule="exact"/>
              <w:ind w:left="408"/>
              <w:rPr>
                <w:rFonts w:ascii="Cambria" w:eastAsia="Cambria" w:hAnsi="Cambria" w:cs="Cambria"/>
                <w:lang w:val="hr-HR"/>
              </w:rPr>
            </w:pPr>
            <w:r w:rsidRPr="00DF4CE5">
              <w:rPr>
                <w:rFonts w:ascii="Cambria" w:eastAsia="Cambria" w:hAnsi="Cambria" w:cs="Cambria"/>
                <w:lang w:val="hr-HR"/>
              </w:rPr>
              <w:t>izdvojiti</w:t>
            </w:r>
            <w:r w:rsidRPr="00DF4CE5">
              <w:rPr>
                <w:rFonts w:ascii="Cambria" w:eastAsia="Cambria" w:hAnsi="Cambria" w:cs="Cambria"/>
                <w:spacing w:val="-2"/>
                <w:lang w:val="hr-HR"/>
              </w:rPr>
              <w:t xml:space="preserve"> </w:t>
            </w:r>
            <w:r w:rsidRPr="00DF4CE5">
              <w:rPr>
                <w:rFonts w:ascii="Cambria" w:eastAsia="Cambria" w:hAnsi="Cambria" w:cs="Cambria"/>
                <w:lang w:val="hr-HR"/>
              </w:rPr>
              <w:t>pravila</w:t>
            </w:r>
            <w:r w:rsidRPr="00DF4CE5">
              <w:rPr>
                <w:rFonts w:ascii="Cambria" w:eastAsia="Cambria" w:hAnsi="Cambria" w:cs="Cambria"/>
                <w:spacing w:val="-2"/>
                <w:lang w:val="hr-HR"/>
              </w:rPr>
              <w:t xml:space="preserve"> </w:t>
            </w:r>
            <w:r w:rsidRPr="00DF4CE5">
              <w:rPr>
                <w:rFonts w:ascii="Cambria" w:eastAsia="Cambria" w:hAnsi="Cambria" w:cs="Cambria"/>
                <w:lang w:val="hr-HR"/>
              </w:rPr>
              <w:t>ispravnog</w:t>
            </w:r>
            <w:r w:rsidRPr="00DF4CE5">
              <w:rPr>
                <w:rFonts w:ascii="Cambria" w:eastAsia="Cambria" w:hAnsi="Cambria" w:cs="Cambria"/>
                <w:spacing w:val="-3"/>
                <w:lang w:val="hr-HR"/>
              </w:rPr>
              <w:t xml:space="preserve"> </w:t>
            </w:r>
            <w:r w:rsidRPr="00DF4CE5">
              <w:rPr>
                <w:rFonts w:ascii="Cambria" w:eastAsia="Cambria" w:hAnsi="Cambria" w:cs="Cambria"/>
                <w:lang w:val="hr-HR"/>
              </w:rPr>
              <w:t>i</w:t>
            </w:r>
            <w:r w:rsidRPr="00DF4CE5">
              <w:rPr>
                <w:rFonts w:ascii="Cambria" w:eastAsia="Cambria" w:hAnsi="Cambria" w:cs="Cambria"/>
                <w:spacing w:val="-2"/>
                <w:lang w:val="hr-HR"/>
              </w:rPr>
              <w:t xml:space="preserve"> </w:t>
            </w:r>
            <w:r w:rsidRPr="00DF4CE5">
              <w:rPr>
                <w:rFonts w:ascii="Cambria" w:eastAsia="Cambria" w:hAnsi="Cambria" w:cs="Cambria"/>
                <w:lang w:val="hr-HR"/>
              </w:rPr>
              <w:t>redovitog</w:t>
            </w:r>
            <w:r w:rsidRPr="00DF4CE5">
              <w:rPr>
                <w:rFonts w:ascii="Cambria" w:eastAsia="Cambria" w:hAnsi="Cambria" w:cs="Cambria"/>
                <w:spacing w:val="-3"/>
                <w:lang w:val="hr-HR"/>
              </w:rPr>
              <w:t xml:space="preserve"> </w:t>
            </w:r>
            <w:r w:rsidRPr="00DF4CE5">
              <w:rPr>
                <w:rFonts w:ascii="Cambria" w:eastAsia="Cambria" w:hAnsi="Cambria" w:cs="Cambria"/>
                <w:lang w:val="hr-HR"/>
              </w:rPr>
              <w:t>vođenja</w:t>
            </w:r>
            <w:r w:rsidRPr="00DF4CE5">
              <w:rPr>
                <w:rFonts w:ascii="Cambria" w:eastAsia="Cambria" w:hAnsi="Cambria" w:cs="Cambria"/>
                <w:spacing w:val="-2"/>
                <w:lang w:val="hr-HR"/>
              </w:rPr>
              <w:t xml:space="preserve"> </w:t>
            </w:r>
            <w:r w:rsidRPr="00DF4CE5">
              <w:rPr>
                <w:rFonts w:ascii="Cambria" w:eastAsia="Cambria" w:hAnsi="Cambria" w:cs="Cambria"/>
                <w:lang w:val="hr-HR"/>
              </w:rPr>
              <w:t>dokumentacije</w:t>
            </w:r>
          </w:p>
          <w:p w14:paraId="010406B3" w14:textId="77777777" w:rsidR="00CE3D99" w:rsidRPr="00DF4CE5" w:rsidRDefault="00CE3D99" w:rsidP="00A034E3">
            <w:pPr>
              <w:widowControl w:val="0"/>
              <w:numPr>
                <w:ilvl w:val="0"/>
                <w:numId w:val="81"/>
              </w:numPr>
              <w:tabs>
                <w:tab w:val="left" w:pos="408"/>
              </w:tabs>
              <w:autoSpaceDE w:val="0"/>
              <w:autoSpaceDN w:val="0"/>
              <w:spacing w:after="0" w:line="240" w:lineRule="auto"/>
              <w:ind w:right="1083" w:hanging="286"/>
              <w:rPr>
                <w:rFonts w:ascii="Cambria" w:eastAsia="Cambria" w:hAnsi="Cambria" w:cs="Cambria"/>
                <w:lang w:val="hr-HR"/>
              </w:rPr>
            </w:pPr>
            <w:r w:rsidRPr="00DF4CE5">
              <w:rPr>
                <w:rFonts w:ascii="Cambria" w:eastAsia="Cambria" w:hAnsi="Cambria" w:cs="Cambria"/>
                <w:lang w:val="hr-HR"/>
              </w:rPr>
              <w:t>razlikovati</w:t>
            </w:r>
            <w:r w:rsidRPr="00DF4CE5">
              <w:rPr>
                <w:rFonts w:ascii="Cambria" w:eastAsia="Cambria" w:hAnsi="Cambria" w:cs="Cambria"/>
                <w:spacing w:val="-3"/>
                <w:lang w:val="hr-HR"/>
              </w:rPr>
              <w:t xml:space="preserve"> </w:t>
            </w:r>
            <w:r w:rsidRPr="00DF4CE5">
              <w:rPr>
                <w:rFonts w:ascii="Cambria" w:eastAsia="Cambria" w:hAnsi="Cambria" w:cs="Cambria"/>
                <w:lang w:val="hr-HR"/>
              </w:rPr>
              <w:t>ostale</w:t>
            </w:r>
            <w:r w:rsidRPr="00DF4CE5">
              <w:rPr>
                <w:rFonts w:ascii="Cambria" w:eastAsia="Cambria" w:hAnsi="Cambria" w:cs="Cambria"/>
                <w:spacing w:val="-3"/>
                <w:lang w:val="hr-HR"/>
              </w:rPr>
              <w:t xml:space="preserve"> </w:t>
            </w:r>
            <w:r w:rsidRPr="00DF4CE5">
              <w:rPr>
                <w:rFonts w:ascii="Cambria" w:eastAsia="Cambria" w:hAnsi="Cambria" w:cs="Cambria"/>
                <w:lang w:val="hr-HR"/>
              </w:rPr>
              <w:t>aktivnosti</w:t>
            </w:r>
            <w:r w:rsidRPr="00DF4CE5">
              <w:rPr>
                <w:rFonts w:ascii="Cambria" w:eastAsia="Cambria" w:hAnsi="Cambria" w:cs="Cambria"/>
                <w:spacing w:val="-2"/>
                <w:lang w:val="hr-HR"/>
              </w:rPr>
              <w:t xml:space="preserve"> </w:t>
            </w:r>
            <w:r w:rsidRPr="00DF4CE5">
              <w:rPr>
                <w:rFonts w:ascii="Cambria" w:eastAsia="Cambria" w:hAnsi="Cambria" w:cs="Cambria"/>
                <w:lang w:val="hr-HR"/>
              </w:rPr>
              <w:t>koje</w:t>
            </w:r>
            <w:r w:rsidRPr="00DF4CE5">
              <w:rPr>
                <w:rFonts w:ascii="Cambria" w:eastAsia="Cambria" w:hAnsi="Cambria" w:cs="Cambria"/>
                <w:spacing w:val="-6"/>
                <w:lang w:val="hr-HR"/>
              </w:rPr>
              <w:t xml:space="preserve"> </w:t>
            </w:r>
            <w:r w:rsidRPr="00DF4CE5">
              <w:rPr>
                <w:rFonts w:ascii="Cambria" w:eastAsia="Cambria" w:hAnsi="Cambria" w:cs="Cambria"/>
                <w:lang w:val="hr-HR"/>
              </w:rPr>
              <w:t>stručni</w:t>
            </w:r>
            <w:r w:rsidRPr="00DF4CE5">
              <w:rPr>
                <w:rFonts w:ascii="Cambria" w:eastAsia="Cambria" w:hAnsi="Cambria" w:cs="Cambria"/>
                <w:spacing w:val="-1"/>
                <w:lang w:val="hr-HR"/>
              </w:rPr>
              <w:t xml:space="preserve"> </w:t>
            </w:r>
            <w:r w:rsidRPr="00DF4CE5">
              <w:rPr>
                <w:rFonts w:ascii="Cambria" w:eastAsia="Cambria" w:hAnsi="Cambria" w:cs="Cambria"/>
                <w:lang w:val="hr-HR"/>
              </w:rPr>
              <w:t>timovi</w:t>
            </w:r>
            <w:r w:rsidRPr="00DF4CE5">
              <w:rPr>
                <w:rFonts w:ascii="Cambria" w:eastAsia="Cambria" w:hAnsi="Cambria" w:cs="Cambria"/>
                <w:spacing w:val="-2"/>
                <w:lang w:val="hr-HR"/>
              </w:rPr>
              <w:t xml:space="preserve"> </w:t>
            </w:r>
            <w:r w:rsidRPr="00DF4CE5">
              <w:rPr>
                <w:rFonts w:ascii="Cambria" w:eastAsia="Cambria" w:hAnsi="Cambria" w:cs="Cambria"/>
                <w:lang w:val="hr-HR"/>
              </w:rPr>
              <w:t>i</w:t>
            </w:r>
            <w:r w:rsidRPr="00DF4CE5">
              <w:rPr>
                <w:rFonts w:ascii="Cambria" w:eastAsia="Cambria" w:hAnsi="Cambria" w:cs="Cambria"/>
                <w:spacing w:val="-5"/>
                <w:lang w:val="hr-HR"/>
              </w:rPr>
              <w:t xml:space="preserve"> </w:t>
            </w:r>
            <w:r w:rsidRPr="00DF4CE5">
              <w:rPr>
                <w:rFonts w:ascii="Cambria" w:eastAsia="Cambria" w:hAnsi="Cambria" w:cs="Cambria"/>
                <w:lang w:val="hr-HR"/>
              </w:rPr>
              <w:t>učitelji</w:t>
            </w:r>
            <w:r w:rsidRPr="00DF4CE5">
              <w:rPr>
                <w:rFonts w:ascii="Cambria" w:eastAsia="Cambria" w:hAnsi="Cambria" w:cs="Cambria"/>
                <w:spacing w:val="-46"/>
                <w:lang w:val="hr-HR"/>
              </w:rPr>
              <w:t xml:space="preserve"> </w:t>
            </w:r>
            <w:r w:rsidRPr="00DF4CE5">
              <w:rPr>
                <w:rFonts w:ascii="Cambria" w:eastAsia="Cambria" w:hAnsi="Cambria" w:cs="Cambria"/>
                <w:lang w:val="hr-HR"/>
              </w:rPr>
              <w:t>realiziraju</w:t>
            </w:r>
            <w:r w:rsidRPr="00DF4CE5">
              <w:rPr>
                <w:rFonts w:ascii="Cambria" w:eastAsia="Cambria" w:hAnsi="Cambria" w:cs="Cambria"/>
                <w:spacing w:val="-1"/>
                <w:lang w:val="hr-HR"/>
              </w:rPr>
              <w:t xml:space="preserve"> </w:t>
            </w:r>
            <w:r w:rsidRPr="00DF4CE5">
              <w:rPr>
                <w:rFonts w:ascii="Cambria" w:eastAsia="Cambria" w:hAnsi="Cambria" w:cs="Cambria"/>
                <w:lang w:val="hr-HR"/>
              </w:rPr>
              <w:t>tijekom</w:t>
            </w:r>
            <w:r w:rsidRPr="00DF4CE5">
              <w:rPr>
                <w:rFonts w:ascii="Cambria" w:eastAsia="Cambria" w:hAnsi="Cambria" w:cs="Cambria"/>
                <w:spacing w:val="1"/>
                <w:lang w:val="hr-HR"/>
              </w:rPr>
              <w:t xml:space="preserve"> </w:t>
            </w:r>
            <w:r w:rsidRPr="00DF4CE5">
              <w:rPr>
                <w:rFonts w:ascii="Cambria" w:eastAsia="Cambria" w:hAnsi="Cambria" w:cs="Cambria"/>
                <w:lang w:val="hr-HR"/>
              </w:rPr>
              <w:t>školske prakse</w:t>
            </w:r>
          </w:p>
        </w:tc>
      </w:tr>
      <w:tr w:rsidR="00CE3D99" w:rsidRPr="00DF4CE5" w14:paraId="5ABA16E5" w14:textId="77777777" w:rsidTr="00DF4CE5">
        <w:trPr>
          <w:trHeight w:val="3369"/>
        </w:trPr>
        <w:tc>
          <w:tcPr>
            <w:tcW w:w="2614" w:type="dxa"/>
            <w:shd w:val="clear" w:color="auto" w:fill="F3F3F3"/>
          </w:tcPr>
          <w:p w14:paraId="125308EE" w14:textId="77777777" w:rsidR="00CE3D99" w:rsidRPr="00DF4CE5" w:rsidRDefault="00CE3D99" w:rsidP="00DF4CE5">
            <w:pPr>
              <w:widowControl w:val="0"/>
              <w:autoSpaceDE w:val="0"/>
              <w:autoSpaceDN w:val="0"/>
              <w:spacing w:after="0" w:line="240" w:lineRule="auto"/>
              <w:rPr>
                <w:rFonts w:ascii="Cambria" w:eastAsia="Cambria" w:hAnsi="Cambria" w:cs="Cambria"/>
                <w:lang w:val="hr-HR"/>
              </w:rPr>
            </w:pPr>
          </w:p>
          <w:p w14:paraId="168A5A5C" w14:textId="77777777" w:rsidR="00CE3D99" w:rsidRPr="00DF4CE5" w:rsidRDefault="00CE3D99" w:rsidP="00DF4CE5">
            <w:pPr>
              <w:widowControl w:val="0"/>
              <w:autoSpaceDE w:val="0"/>
              <w:autoSpaceDN w:val="0"/>
              <w:spacing w:after="0" w:line="240" w:lineRule="auto"/>
              <w:rPr>
                <w:rFonts w:ascii="Cambria" w:eastAsia="Cambria" w:hAnsi="Cambria" w:cs="Cambria"/>
                <w:lang w:val="hr-HR"/>
              </w:rPr>
            </w:pPr>
          </w:p>
          <w:p w14:paraId="54B9269E" w14:textId="77777777" w:rsidR="00CE3D99" w:rsidRPr="00DF4CE5" w:rsidRDefault="00CE3D99" w:rsidP="00DF4CE5">
            <w:pPr>
              <w:widowControl w:val="0"/>
              <w:autoSpaceDE w:val="0"/>
              <w:autoSpaceDN w:val="0"/>
              <w:spacing w:after="0" w:line="240" w:lineRule="auto"/>
              <w:rPr>
                <w:rFonts w:ascii="Cambria" w:eastAsia="Cambria" w:hAnsi="Cambria" w:cs="Cambria"/>
                <w:lang w:val="hr-HR"/>
              </w:rPr>
            </w:pPr>
          </w:p>
          <w:p w14:paraId="5E0B5D84" w14:textId="77777777" w:rsidR="00CE3D99" w:rsidRPr="00DF4CE5" w:rsidRDefault="00CE3D99" w:rsidP="00DF4CE5">
            <w:pPr>
              <w:widowControl w:val="0"/>
              <w:autoSpaceDE w:val="0"/>
              <w:autoSpaceDN w:val="0"/>
              <w:spacing w:after="0" w:line="240" w:lineRule="auto"/>
              <w:rPr>
                <w:rFonts w:ascii="Cambria" w:eastAsia="Cambria" w:hAnsi="Cambria" w:cs="Cambria"/>
                <w:lang w:val="hr-HR"/>
              </w:rPr>
            </w:pPr>
          </w:p>
          <w:p w14:paraId="750F7880" w14:textId="77777777" w:rsidR="00CE3D99" w:rsidRPr="00DF4CE5" w:rsidRDefault="00CE3D99" w:rsidP="00DF4CE5">
            <w:pPr>
              <w:widowControl w:val="0"/>
              <w:autoSpaceDE w:val="0"/>
              <w:autoSpaceDN w:val="0"/>
              <w:spacing w:before="5" w:after="0" w:line="240" w:lineRule="auto"/>
              <w:rPr>
                <w:rFonts w:ascii="Cambria" w:eastAsia="Cambria" w:hAnsi="Cambria" w:cs="Cambria"/>
                <w:lang w:val="hr-HR"/>
              </w:rPr>
            </w:pPr>
          </w:p>
          <w:p w14:paraId="6D8EC7C0" w14:textId="77777777" w:rsidR="00CE3D99" w:rsidRPr="00DF4CE5" w:rsidRDefault="00CE3D99" w:rsidP="00DF4CE5">
            <w:pPr>
              <w:widowControl w:val="0"/>
              <w:autoSpaceDE w:val="0"/>
              <w:autoSpaceDN w:val="0"/>
              <w:spacing w:after="0" w:line="240" w:lineRule="auto"/>
              <w:ind w:left="107"/>
              <w:rPr>
                <w:rFonts w:ascii="Cambria" w:eastAsia="Cambria" w:hAnsi="Cambria" w:cs="Cambria"/>
                <w:lang w:val="hr-HR"/>
              </w:rPr>
            </w:pPr>
            <w:r w:rsidRPr="00DF4CE5">
              <w:rPr>
                <w:rFonts w:ascii="Cambria" w:eastAsia="Cambria" w:hAnsi="Cambria" w:cs="Cambria"/>
                <w:lang w:val="hr-HR"/>
              </w:rPr>
              <w:t>Sadržaj</w:t>
            </w:r>
            <w:r w:rsidRPr="00DF4CE5">
              <w:rPr>
                <w:rFonts w:ascii="Cambria" w:eastAsia="Cambria" w:hAnsi="Cambria" w:cs="Cambria"/>
                <w:spacing w:val="-5"/>
                <w:lang w:val="hr-HR"/>
              </w:rPr>
              <w:t xml:space="preserve"> </w:t>
            </w:r>
            <w:r w:rsidRPr="00DF4CE5">
              <w:rPr>
                <w:rFonts w:ascii="Cambria" w:eastAsia="Cambria" w:hAnsi="Cambria" w:cs="Cambria"/>
                <w:lang w:val="hr-HR"/>
              </w:rPr>
              <w:t>kolegija</w:t>
            </w:r>
          </w:p>
        </w:tc>
        <w:tc>
          <w:tcPr>
            <w:tcW w:w="6726" w:type="dxa"/>
            <w:gridSpan w:val="3"/>
          </w:tcPr>
          <w:p w14:paraId="1991F754" w14:textId="77777777" w:rsidR="00CE3D99" w:rsidRPr="00DF4CE5" w:rsidRDefault="00CE3D99" w:rsidP="00DF4CE5">
            <w:pPr>
              <w:widowControl w:val="0"/>
              <w:autoSpaceDE w:val="0"/>
              <w:autoSpaceDN w:val="0"/>
              <w:spacing w:before="16" w:after="0" w:line="240" w:lineRule="auto"/>
              <w:ind w:left="107" w:right="437"/>
              <w:rPr>
                <w:rFonts w:ascii="Cambria" w:eastAsia="Cambria" w:hAnsi="Cambria" w:cs="Cambria"/>
                <w:lang w:val="hr-HR"/>
              </w:rPr>
            </w:pPr>
            <w:r w:rsidRPr="00DF4CE5">
              <w:rPr>
                <w:rFonts w:ascii="Cambria" w:eastAsia="Cambria" w:hAnsi="Cambria" w:cs="Cambria"/>
                <w:lang w:val="hr-HR"/>
              </w:rPr>
              <w:t>Studenti stručno-pedagošku praksu ostvaruju u odabranoj školi u</w:t>
            </w:r>
            <w:r w:rsidRPr="00DF4CE5">
              <w:rPr>
                <w:rFonts w:ascii="Cambria" w:eastAsia="Cambria" w:hAnsi="Cambria" w:cs="Cambria"/>
                <w:spacing w:val="-46"/>
                <w:lang w:val="hr-HR"/>
              </w:rPr>
              <w:t xml:space="preserve"> </w:t>
            </w:r>
            <w:r w:rsidRPr="00DF4CE5">
              <w:rPr>
                <w:rFonts w:ascii="Cambria" w:eastAsia="Cambria" w:hAnsi="Cambria" w:cs="Cambria"/>
                <w:lang w:val="hr-HR"/>
              </w:rPr>
              <w:t>veljači (25</w:t>
            </w:r>
            <w:r w:rsidRPr="00DF4CE5">
              <w:rPr>
                <w:rFonts w:ascii="Cambria" w:eastAsia="Cambria" w:hAnsi="Cambria" w:cs="Cambria"/>
                <w:spacing w:val="-3"/>
                <w:lang w:val="hr-HR"/>
              </w:rPr>
              <w:t xml:space="preserve"> </w:t>
            </w:r>
            <w:r w:rsidRPr="00DF4CE5">
              <w:rPr>
                <w:rFonts w:ascii="Cambria" w:eastAsia="Cambria" w:hAnsi="Cambria" w:cs="Cambria"/>
                <w:lang w:val="hr-HR"/>
              </w:rPr>
              <w:t>sati),</w:t>
            </w:r>
            <w:r w:rsidRPr="00DF4CE5">
              <w:rPr>
                <w:rFonts w:ascii="Cambria" w:eastAsia="Cambria" w:hAnsi="Cambria" w:cs="Cambria"/>
                <w:spacing w:val="-1"/>
                <w:lang w:val="hr-HR"/>
              </w:rPr>
              <w:t xml:space="preserve"> </w:t>
            </w:r>
            <w:r w:rsidRPr="00DF4CE5">
              <w:rPr>
                <w:rFonts w:ascii="Cambria" w:eastAsia="Cambria" w:hAnsi="Cambria" w:cs="Cambria"/>
                <w:lang w:val="hr-HR"/>
              </w:rPr>
              <w:t>pod vodstvom</w:t>
            </w:r>
            <w:r w:rsidRPr="00DF4CE5">
              <w:rPr>
                <w:rFonts w:ascii="Cambria" w:eastAsia="Cambria" w:hAnsi="Cambria" w:cs="Cambria"/>
                <w:spacing w:val="1"/>
                <w:lang w:val="hr-HR"/>
              </w:rPr>
              <w:t xml:space="preserve"> </w:t>
            </w:r>
            <w:r w:rsidRPr="00DF4CE5">
              <w:rPr>
                <w:rFonts w:ascii="Cambria" w:eastAsia="Cambria" w:hAnsi="Cambria" w:cs="Cambria"/>
                <w:lang w:val="hr-HR"/>
              </w:rPr>
              <w:t>učitelja-mentora.</w:t>
            </w:r>
          </w:p>
          <w:p w14:paraId="0FCA1E9F" w14:textId="77777777" w:rsidR="00CE3D99" w:rsidRPr="00DF4CE5" w:rsidRDefault="00CE3D99" w:rsidP="00DF4CE5">
            <w:pPr>
              <w:widowControl w:val="0"/>
              <w:autoSpaceDE w:val="0"/>
              <w:autoSpaceDN w:val="0"/>
              <w:spacing w:after="0" w:line="257" w:lineRule="exact"/>
              <w:ind w:left="107"/>
              <w:rPr>
                <w:rFonts w:ascii="Cambria" w:eastAsia="Cambria" w:hAnsi="Cambria" w:cs="Cambria"/>
                <w:lang w:val="hr-HR"/>
              </w:rPr>
            </w:pPr>
            <w:r w:rsidRPr="00DF4CE5">
              <w:rPr>
                <w:rFonts w:ascii="Cambria" w:eastAsia="Cambria" w:hAnsi="Cambria" w:cs="Cambria"/>
                <w:lang w:val="hr-HR"/>
              </w:rPr>
              <w:t>Nastavni</w:t>
            </w:r>
            <w:r w:rsidRPr="00DF4CE5">
              <w:rPr>
                <w:rFonts w:ascii="Cambria" w:eastAsia="Cambria" w:hAnsi="Cambria" w:cs="Cambria"/>
                <w:spacing w:val="-2"/>
                <w:lang w:val="hr-HR"/>
              </w:rPr>
              <w:t xml:space="preserve"> </w:t>
            </w:r>
            <w:r w:rsidRPr="00DF4CE5">
              <w:rPr>
                <w:rFonts w:ascii="Cambria" w:eastAsia="Cambria" w:hAnsi="Cambria" w:cs="Cambria"/>
                <w:lang w:val="hr-HR"/>
              </w:rPr>
              <w:t>program</w:t>
            </w:r>
            <w:r w:rsidRPr="00DF4CE5">
              <w:rPr>
                <w:rFonts w:ascii="Cambria" w:eastAsia="Cambria" w:hAnsi="Cambria" w:cs="Cambria"/>
                <w:spacing w:val="-2"/>
                <w:lang w:val="hr-HR"/>
              </w:rPr>
              <w:t xml:space="preserve"> </w:t>
            </w:r>
            <w:r w:rsidRPr="00DF4CE5">
              <w:rPr>
                <w:rFonts w:ascii="Cambria" w:eastAsia="Cambria" w:hAnsi="Cambria" w:cs="Cambria"/>
                <w:lang w:val="hr-HR"/>
              </w:rPr>
              <w:t>Stručne</w:t>
            </w:r>
            <w:r w:rsidRPr="00DF4CE5">
              <w:rPr>
                <w:rFonts w:ascii="Cambria" w:eastAsia="Cambria" w:hAnsi="Cambria" w:cs="Cambria"/>
                <w:spacing w:val="-3"/>
                <w:lang w:val="hr-HR"/>
              </w:rPr>
              <w:t xml:space="preserve"> </w:t>
            </w:r>
            <w:r w:rsidRPr="00DF4CE5">
              <w:rPr>
                <w:rFonts w:ascii="Cambria" w:eastAsia="Cambria" w:hAnsi="Cambria" w:cs="Cambria"/>
                <w:lang w:val="hr-HR"/>
              </w:rPr>
              <w:t>prakse</w:t>
            </w:r>
            <w:r w:rsidRPr="00DF4CE5">
              <w:rPr>
                <w:rFonts w:ascii="Cambria" w:eastAsia="Cambria" w:hAnsi="Cambria" w:cs="Cambria"/>
                <w:spacing w:val="-3"/>
                <w:lang w:val="hr-HR"/>
              </w:rPr>
              <w:t xml:space="preserve"> </w:t>
            </w:r>
            <w:r w:rsidRPr="00DF4CE5">
              <w:rPr>
                <w:rFonts w:ascii="Cambria" w:eastAsia="Cambria" w:hAnsi="Cambria" w:cs="Cambria"/>
                <w:lang w:val="hr-HR"/>
              </w:rPr>
              <w:t>I.</w:t>
            </w:r>
            <w:r w:rsidRPr="00DF4CE5">
              <w:rPr>
                <w:rFonts w:ascii="Cambria" w:eastAsia="Cambria" w:hAnsi="Cambria" w:cs="Cambria"/>
                <w:spacing w:val="-3"/>
                <w:lang w:val="hr-HR"/>
              </w:rPr>
              <w:t xml:space="preserve"> </w:t>
            </w:r>
            <w:r w:rsidRPr="00DF4CE5">
              <w:rPr>
                <w:rFonts w:ascii="Cambria" w:eastAsia="Cambria" w:hAnsi="Cambria" w:cs="Cambria"/>
                <w:lang w:val="hr-HR"/>
              </w:rPr>
              <w:t>predviđa:</w:t>
            </w:r>
          </w:p>
          <w:p w14:paraId="580569B7" w14:textId="77777777" w:rsidR="00CE3D99" w:rsidRPr="00DF4CE5" w:rsidRDefault="00CE3D99" w:rsidP="00A034E3">
            <w:pPr>
              <w:widowControl w:val="0"/>
              <w:numPr>
                <w:ilvl w:val="0"/>
                <w:numId w:val="80"/>
              </w:numPr>
              <w:tabs>
                <w:tab w:val="left" w:pos="468"/>
              </w:tabs>
              <w:autoSpaceDE w:val="0"/>
              <w:autoSpaceDN w:val="0"/>
              <w:spacing w:after="0" w:line="240" w:lineRule="auto"/>
              <w:ind w:right="85"/>
              <w:rPr>
                <w:rFonts w:ascii="Cambria" w:eastAsia="Cambria" w:hAnsi="Cambria" w:cs="Cambria"/>
                <w:lang w:val="hr-HR"/>
              </w:rPr>
            </w:pPr>
            <w:r w:rsidRPr="00DF4CE5">
              <w:rPr>
                <w:rFonts w:ascii="Cambria" w:eastAsia="Cambria" w:hAnsi="Cambria" w:cs="Cambria"/>
                <w:lang w:val="hr-HR"/>
              </w:rPr>
              <w:t>upoznavanje</w:t>
            </w:r>
            <w:r w:rsidRPr="00DF4CE5">
              <w:rPr>
                <w:rFonts w:ascii="Cambria" w:eastAsia="Cambria" w:hAnsi="Cambria" w:cs="Cambria"/>
                <w:spacing w:val="1"/>
                <w:lang w:val="hr-HR"/>
              </w:rPr>
              <w:t xml:space="preserve"> </w:t>
            </w:r>
            <w:r w:rsidRPr="00DF4CE5">
              <w:rPr>
                <w:rFonts w:ascii="Cambria" w:eastAsia="Cambria" w:hAnsi="Cambria" w:cs="Cambria"/>
                <w:lang w:val="hr-HR"/>
              </w:rPr>
              <w:t>s</w:t>
            </w:r>
            <w:r w:rsidRPr="00DF4CE5">
              <w:rPr>
                <w:rFonts w:ascii="Cambria" w:eastAsia="Cambria" w:hAnsi="Cambria" w:cs="Cambria"/>
                <w:spacing w:val="1"/>
                <w:lang w:val="hr-HR"/>
              </w:rPr>
              <w:t xml:space="preserve"> </w:t>
            </w:r>
            <w:r w:rsidRPr="00DF4CE5">
              <w:rPr>
                <w:rFonts w:ascii="Cambria" w:eastAsia="Cambria" w:hAnsi="Cambria" w:cs="Cambria"/>
                <w:lang w:val="hr-HR"/>
              </w:rPr>
              <w:t>općom</w:t>
            </w:r>
            <w:r w:rsidRPr="00DF4CE5">
              <w:rPr>
                <w:rFonts w:ascii="Cambria" w:eastAsia="Cambria" w:hAnsi="Cambria" w:cs="Cambria"/>
                <w:spacing w:val="1"/>
                <w:lang w:val="hr-HR"/>
              </w:rPr>
              <w:t xml:space="preserve"> </w:t>
            </w:r>
            <w:r w:rsidRPr="00DF4CE5">
              <w:rPr>
                <w:rFonts w:ascii="Cambria" w:eastAsia="Cambria" w:hAnsi="Cambria" w:cs="Cambria"/>
                <w:lang w:val="hr-HR"/>
              </w:rPr>
              <w:t>i</w:t>
            </w:r>
            <w:r w:rsidRPr="00DF4CE5">
              <w:rPr>
                <w:rFonts w:ascii="Cambria" w:eastAsia="Cambria" w:hAnsi="Cambria" w:cs="Cambria"/>
                <w:spacing w:val="1"/>
                <w:lang w:val="hr-HR"/>
              </w:rPr>
              <w:t xml:space="preserve"> </w:t>
            </w:r>
            <w:r w:rsidRPr="00DF4CE5">
              <w:rPr>
                <w:rFonts w:ascii="Cambria" w:eastAsia="Cambria" w:hAnsi="Cambria" w:cs="Cambria"/>
                <w:lang w:val="hr-HR"/>
              </w:rPr>
              <w:t>specifičnom</w:t>
            </w:r>
            <w:r w:rsidRPr="00DF4CE5">
              <w:rPr>
                <w:rFonts w:ascii="Cambria" w:eastAsia="Cambria" w:hAnsi="Cambria" w:cs="Cambria"/>
                <w:spacing w:val="1"/>
                <w:lang w:val="hr-HR"/>
              </w:rPr>
              <w:t xml:space="preserve"> </w:t>
            </w:r>
            <w:r w:rsidRPr="00DF4CE5">
              <w:rPr>
                <w:rFonts w:ascii="Cambria" w:eastAsia="Cambria" w:hAnsi="Cambria" w:cs="Cambria"/>
                <w:lang w:val="hr-HR"/>
              </w:rPr>
              <w:t>organizacijom</w:t>
            </w:r>
            <w:r w:rsidRPr="00DF4CE5">
              <w:rPr>
                <w:rFonts w:ascii="Cambria" w:eastAsia="Cambria" w:hAnsi="Cambria" w:cs="Cambria"/>
                <w:spacing w:val="1"/>
                <w:lang w:val="hr-HR"/>
              </w:rPr>
              <w:t xml:space="preserve"> </w:t>
            </w:r>
            <w:r w:rsidRPr="00DF4CE5">
              <w:rPr>
                <w:rFonts w:ascii="Cambria" w:eastAsia="Cambria" w:hAnsi="Cambria" w:cs="Cambria"/>
                <w:lang w:val="hr-HR"/>
              </w:rPr>
              <w:t>škole-</w:t>
            </w:r>
            <w:r w:rsidRPr="00DF4CE5">
              <w:rPr>
                <w:rFonts w:ascii="Cambria" w:eastAsia="Cambria" w:hAnsi="Cambria" w:cs="Cambria"/>
                <w:spacing w:val="-46"/>
                <w:lang w:val="hr-HR"/>
              </w:rPr>
              <w:t xml:space="preserve"> </w:t>
            </w:r>
            <w:r w:rsidRPr="00DF4CE5">
              <w:rPr>
                <w:rFonts w:ascii="Cambria" w:eastAsia="Cambria" w:hAnsi="Cambria" w:cs="Cambria"/>
                <w:lang w:val="hr-HR"/>
              </w:rPr>
              <w:t>vježbaonice,</w:t>
            </w:r>
            <w:r w:rsidRPr="00DF4CE5">
              <w:rPr>
                <w:rFonts w:ascii="Cambria" w:eastAsia="Cambria" w:hAnsi="Cambria" w:cs="Cambria"/>
                <w:spacing w:val="-1"/>
                <w:lang w:val="hr-HR"/>
              </w:rPr>
              <w:t xml:space="preserve"> </w:t>
            </w:r>
            <w:r w:rsidRPr="00DF4CE5">
              <w:rPr>
                <w:rFonts w:ascii="Cambria" w:eastAsia="Cambria" w:hAnsi="Cambria" w:cs="Cambria"/>
                <w:lang w:val="hr-HR"/>
              </w:rPr>
              <w:t>s njezinom kulturnom i</w:t>
            </w:r>
            <w:r w:rsidRPr="00DF4CE5">
              <w:rPr>
                <w:rFonts w:ascii="Cambria" w:eastAsia="Cambria" w:hAnsi="Cambria" w:cs="Cambria"/>
                <w:spacing w:val="-1"/>
                <w:lang w:val="hr-HR"/>
              </w:rPr>
              <w:t xml:space="preserve"> </w:t>
            </w:r>
            <w:r w:rsidRPr="00DF4CE5">
              <w:rPr>
                <w:rFonts w:ascii="Cambria" w:eastAsia="Cambria" w:hAnsi="Cambria" w:cs="Cambria"/>
                <w:lang w:val="hr-HR"/>
              </w:rPr>
              <w:t>javnom djelatnošću</w:t>
            </w:r>
          </w:p>
          <w:p w14:paraId="62B574E9" w14:textId="77777777" w:rsidR="00CE3D99" w:rsidRPr="00DF4CE5" w:rsidRDefault="00CE3D99" w:rsidP="00A034E3">
            <w:pPr>
              <w:widowControl w:val="0"/>
              <w:numPr>
                <w:ilvl w:val="0"/>
                <w:numId w:val="80"/>
              </w:numPr>
              <w:tabs>
                <w:tab w:val="left" w:pos="468"/>
              </w:tabs>
              <w:autoSpaceDE w:val="0"/>
              <w:autoSpaceDN w:val="0"/>
              <w:spacing w:after="0" w:line="240" w:lineRule="auto"/>
              <w:ind w:right="86"/>
              <w:rPr>
                <w:rFonts w:ascii="Cambria" w:eastAsia="Cambria" w:hAnsi="Cambria" w:cs="Cambria"/>
                <w:lang w:val="hr-HR"/>
              </w:rPr>
            </w:pPr>
            <w:r w:rsidRPr="00DF4CE5">
              <w:rPr>
                <w:rFonts w:ascii="Cambria" w:eastAsia="Cambria" w:hAnsi="Cambria" w:cs="Cambria"/>
                <w:lang w:val="hr-HR"/>
              </w:rPr>
              <w:t>upoznavanje</w:t>
            </w:r>
            <w:r w:rsidRPr="00DF4CE5">
              <w:rPr>
                <w:rFonts w:ascii="Cambria" w:eastAsia="Cambria" w:hAnsi="Cambria" w:cs="Cambria"/>
                <w:spacing w:val="28"/>
                <w:lang w:val="hr-HR"/>
              </w:rPr>
              <w:t xml:space="preserve"> </w:t>
            </w:r>
            <w:r w:rsidRPr="00DF4CE5">
              <w:rPr>
                <w:rFonts w:ascii="Cambria" w:eastAsia="Cambria" w:hAnsi="Cambria" w:cs="Cambria"/>
                <w:lang w:val="hr-HR"/>
              </w:rPr>
              <w:t>sa</w:t>
            </w:r>
            <w:r w:rsidRPr="00DF4CE5">
              <w:rPr>
                <w:rFonts w:ascii="Cambria" w:eastAsia="Cambria" w:hAnsi="Cambria" w:cs="Cambria"/>
                <w:spacing w:val="30"/>
                <w:lang w:val="hr-HR"/>
              </w:rPr>
              <w:t xml:space="preserve"> </w:t>
            </w:r>
            <w:r w:rsidRPr="00DF4CE5">
              <w:rPr>
                <w:rFonts w:ascii="Cambria" w:eastAsia="Cambria" w:hAnsi="Cambria" w:cs="Cambria"/>
                <w:lang w:val="hr-HR"/>
              </w:rPr>
              <w:t>sustavom</w:t>
            </w:r>
            <w:r w:rsidRPr="00DF4CE5">
              <w:rPr>
                <w:rFonts w:ascii="Cambria" w:eastAsia="Cambria" w:hAnsi="Cambria" w:cs="Cambria"/>
                <w:spacing w:val="31"/>
                <w:lang w:val="hr-HR"/>
              </w:rPr>
              <w:t xml:space="preserve"> </w:t>
            </w:r>
            <w:r w:rsidRPr="00DF4CE5">
              <w:rPr>
                <w:rFonts w:ascii="Cambria" w:eastAsia="Cambria" w:hAnsi="Cambria" w:cs="Cambria"/>
                <w:lang w:val="hr-HR"/>
              </w:rPr>
              <w:t>upravljanja</w:t>
            </w:r>
            <w:r w:rsidRPr="00DF4CE5">
              <w:rPr>
                <w:rFonts w:ascii="Cambria" w:eastAsia="Cambria" w:hAnsi="Cambria" w:cs="Cambria"/>
                <w:spacing w:val="32"/>
                <w:lang w:val="hr-HR"/>
              </w:rPr>
              <w:t xml:space="preserve"> </w:t>
            </w:r>
            <w:r w:rsidRPr="00DF4CE5">
              <w:rPr>
                <w:rFonts w:ascii="Cambria" w:eastAsia="Cambria" w:hAnsi="Cambria" w:cs="Cambria"/>
                <w:lang w:val="hr-HR"/>
              </w:rPr>
              <w:t>školom,</w:t>
            </w:r>
            <w:r w:rsidRPr="00DF4CE5">
              <w:rPr>
                <w:rFonts w:ascii="Cambria" w:eastAsia="Cambria" w:hAnsi="Cambria" w:cs="Cambria"/>
                <w:spacing w:val="31"/>
                <w:lang w:val="hr-HR"/>
              </w:rPr>
              <w:t xml:space="preserve"> </w:t>
            </w:r>
            <w:r w:rsidRPr="00DF4CE5">
              <w:rPr>
                <w:rFonts w:ascii="Cambria" w:eastAsia="Cambria" w:hAnsi="Cambria" w:cs="Cambria"/>
                <w:lang w:val="hr-HR"/>
              </w:rPr>
              <w:t>radom</w:t>
            </w:r>
            <w:r w:rsidRPr="00DF4CE5">
              <w:rPr>
                <w:rFonts w:ascii="Cambria" w:eastAsia="Cambria" w:hAnsi="Cambria" w:cs="Cambria"/>
                <w:spacing w:val="30"/>
                <w:lang w:val="hr-HR"/>
              </w:rPr>
              <w:t xml:space="preserve"> </w:t>
            </w:r>
            <w:r w:rsidRPr="00DF4CE5">
              <w:rPr>
                <w:rFonts w:ascii="Cambria" w:eastAsia="Cambria" w:hAnsi="Cambria" w:cs="Cambria"/>
                <w:lang w:val="hr-HR"/>
              </w:rPr>
              <w:t>stručnih</w:t>
            </w:r>
            <w:r w:rsidRPr="00DF4CE5">
              <w:rPr>
                <w:rFonts w:ascii="Cambria" w:eastAsia="Cambria" w:hAnsi="Cambria" w:cs="Cambria"/>
                <w:spacing w:val="30"/>
                <w:lang w:val="hr-HR"/>
              </w:rPr>
              <w:t xml:space="preserve"> </w:t>
            </w:r>
            <w:r w:rsidRPr="00DF4CE5">
              <w:rPr>
                <w:rFonts w:ascii="Cambria" w:eastAsia="Cambria" w:hAnsi="Cambria" w:cs="Cambria"/>
                <w:lang w:val="hr-HR"/>
              </w:rPr>
              <w:t>i</w:t>
            </w:r>
            <w:r w:rsidRPr="00DF4CE5">
              <w:rPr>
                <w:rFonts w:ascii="Cambria" w:eastAsia="Cambria" w:hAnsi="Cambria" w:cs="Cambria"/>
                <w:spacing w:val="-46"/>
                <w:lang w:val="hr-HR"/>
              </w:rPr>
              <w:t xml:space="preserve"> </w:t>
            </w:r>
            <w:r w:rsidRPr="00DF4CE5">
              <w:rPr>
                <w:rFonts w:ascii="Cambria" w:eastAsia="Cambria" w:hAnsi="Cambria" w:cs="Cambria"/>
                <w:lang w:val="hr-HR"/>
              </w:rPr>
              <w:t>drugih</w:t>
            </w:r>
            <w:r w:rsidRPr="00DF4CE5">
              <w:rPr>
                <w:rFonts w:ascii="Cambria" w:eastAsia="Cambria" w:hAnsi="Cambria" w:cs="Cambria"/>
                <w:spacing w:val="-1"/>
                <w:lang w:val="hr-HR"/>
              </w:rPr>
              <w:t xml:space="preserve"> </w:t>
            </w:r>
            <w:r w:rsidRPr="00DF4CE5">
              <w:rPr>
                <w:rFonts w:ascii="Cambria" w:eastAsia="Cambria" w:hAnsi="Cambria" w:cs="Cambria"/>
                <w:lang w:val="hr-HR"/>
              </w:rPr>
              <w:t>tijela škole i</w:t>
            </w:r>
            <w:r w:rsidRPr="00DF4CE5">
              <w:rPr>
                <w:rFonts w:ascii="Cambria" w:eastAsia="Cambria" w:hAnsi="Cambria" w:cs="Cambria"/>
                <w:spacing w:val="-1"/>
                <w:lang w:val="hr-HR"/>
              </w:rPr>
              <w:t xml:space="preserve"> </w:t>
            </w:r>
            <w:r w:rsidRPr="00DF4CE5">
              <w:rPr>
                <w:rFonts w:ascii="Cambria" w:eastAsia="Cambria" w:hAnsi="Cambria" w:cs="Cambria"/>
                <w:lang w:val="hr-HR"/>
              </w:rPr>
              <w:t>radnim</w:t>
            </w:r>
            <w:r w:rsidRPr="00DF4CE5">
              <w:rPr>
                <w:rFonts w:ascii="Cambria" w:eastAsia="Cambria" w:hAnsi="Cambria" w:cs="Cambria"/>
                <w:spacing w:val="1"/>
                <w:lang w:val="hr-HR"/>
              </w:rPr>
              <w:t xml:space="preserve"> </w:t>
            </w:r>
            <w:r w:rsidRPr="00DF4CE5">
              <w:rPr>
                <w:rFonts w:ascii="Cambria" w:eastAsia="Cambria" w:hAnsi="Cambria" w:cs="Cambria"/>
                <w:lang w:val="hr-HR"/>
              </w:rPr>
              <w:t>obvezama učitelja</w:t>
            </w:r>
          </w:p>
          <w:p w14:paraId="6652E9E8" w14:textId="77777777" w:rsidR="00CE3D99" w:rsidRPr="00DF4CE5" w:rsidRDefault="00CE3D99" w:rsidP="00A034E3">
            <w:pPr>
              <w:widowControl w:val="0"/>
              <w:numPr>
                <w:ilvl w:val="0"/>
                <w:numId w:val="80"/>
              </w:numPr>
              <w:tabs>
                <w:tab w:val="left" w:pos="468"/>
              </w:tabs>
              <w:autoSpaceDE w:val="0"/>
              <w:autoSpaceDN w:val="0"/>
              <w:spacing w:after="0" w:line="240" w:lineRule="auto"/>
              <w:ind w:hanging="361"/>
              <w:rPr>
                <w:rFonts w:ascii="Cambria" w:eastAsia="Cambria" w:hAnsi="Cambria" w:cs="Cambria"/>
                <w:lang w:val="hr-HR"/>
              </w:rPr>
            </w:pPr>
            <w:r w:rsidRPr="00DF4CE5">
              <w:rPr>
                <w:rFonts w:ascii="Cambria" w:eastAsia="Cambria" w:hAnsi="Cambria" w:cs="Cambria"/>
                <w:lang w:val="hr-HR"/>
              </w:rPr>
              <w:t>prisustvovanje</w:t>
            </w:r>
            <w:r w:rsidRPr="00DF4CE5">
              <w:rPr>
                <w:rFonts w:ascii="Cambria" w:eastAsia="Cambria" w:hAnsi="Cambria" w:cs="Cambria"/>
                <w:spacing w:val="2"/>
                <w:lang w:val="hr-HR"/>
              </w:rPr>
              <w:t xml:space="preserve"> </w:t>
            </w:r>
            <w:r w:rsidRPr="00DF4CE5">
              <w:rPr>
                <w:rFonts w:ascii="Cambria" w:eastAsia="Cambria" w:hAnsi="Cambria" w:cs="Cambria"/>
                <w:lang w:val="hr-HR"/>
              </w:rPr>
              <w:t>redovnom</w:t>
            </w:r>
            <w:r w:rsidRPr="00DF4CE5">
              <w:rPr>
                <w:rFonts w:ascii="Cambria" w:eastAsia="Cambria" w:hAnsi="Cambria" w:cs="Cambria"/>
                <w:spacing w:val="1"/>
                <w:lang w:val="hr-HR"/>
              </w:rPr>
              <w:t xml:space="preserve"> </w:t>
            </w:r>
            <w:r w:rsidRPr="00DF4CE5">
              <w:rPr>
                <w:rFonts w:ascii="Cambria" w:eastAsia="Cambria" w:hAnsi="Cambria" w:cs="Cambria"/>
                <w:lang w:val="hr-HR"/>
              </w:rPr>
              <w:t>nastavnom</w:t>
            </w:r>
            <w:r w:rsidRPr="00DF4CE5">
              <w:rPr>
                <w:rFonts w:ascii="Cambria" w:eastAsia="Cambria" w:hAnsi="Cambria" w:cs="Cambria"/>
                <w:spacing w:val="3"/>
                <w:lang w:val="hr-HR"/>
              </w:rPr>
              <w:t xml:space="preserve"> </w:t>
            </w:r>
            <w:r w:rsidRPr="00DF4CE5">
              <w:rPr>
                <w:rFonts w:ascii="Cambria" w:eastAsia="Cambria" w:hAnsi="Cambria" w:cs="Cambria"/>
                <w:lang w:val="hr-HR"/>
              </w:rPr>
              <w:t>radu,</w:t>
            </w:r>
            <w:r w:rsidRPr="00DF4CE5">
              <w:rPr>
                <w:rFonts w:ascii="Cambria" w:eastAsia="Cambria" w:hAnsi="Cambria" w:cs="Cambria"/>
                <w:spacing w:val="3"/>
                <w:lang w:val="hr-HR"/>
              </w:rPr>
              <w:t xml:space="preserve"> </w:t>
            </w:r>
            <w:r w:rsidRPr="00DF4CE5">
              <w:rPr>
                <w:rFonts w:ascii="Cambria" w:eastAsia="Cambria" w:hAnsi="Cambria" w:cs="Cambria"/>
                <w:lang w:val="hr-HR"/>
              </w:rPr>
              <w:t>dodatnoj,</w:t>
            </w:r>
            <w:r w:rsidRPr="00DF4CE5">
              <w:rPr>
                <w:rFonts w:ascii="Cambria" w:eastAsia="Cambria" w:hAnsi="Cambria" w:cs="Cambria"/>
                <w:spacing w:val="2"/>
                <w:lang w:val="hr-HR"/>
              </w:rPr>
              <w:t xml:space="preserve"> </w:t>
            </w:r>
            <w:r w:rsidRPr="00DF4CE5">
              <w:rPr>
                <w:rFonts w:ascii="Cambria" w:eastAsia="Cambria" w:hAnsi="Cambria" w:cs="Cambria"/>
                <w:lang w:val="hr-HR"/>
              </w:rPr>
              <w:t>dopunskoj</w:t>
            </w:r>
            <w:r w:rsidRPr="00DF4CE5">
              <w:rPr>
                <w:rFonts w:ascii="Cambria" w:eastAsia="Cambria" w:hAnsi="Cambria" w:cs="Cambria"/>
                <w:spacing w:val="1"/>
                <w:lang w:val="hr-HR"/>
              </w:rPr>
              <w:t xml:space="preserve"> </w:t>
            </w:r>
            <w:r w:rsidRPr="00DF4CE5">
              <w:rPr>
                <w:rFonts w:ascii="Cambria" w:eastAsia="Cambria" w:hAnsi="Cambria" w:cs="Cambria"/>
                <w:lang w:val="hr-HR"/>
              </w:rPr>
              <w:t>i</w:t>
            </w:r>
          </w:p>
          <w:p w14:paraId="15E44C44" w14:textId="77777777" w:rsidR="00CE3D99" w:rsidRPr="00DF4CE5" w:rsidRDefault="00CE3D99" w:rsidP="00DF4CE5">
            <w:pPr>
              <w:widowControl w:val="0"/>
              <w:autoSpaceDE w:val="0"/>
              <w:autoSpaceDN w:val="0"/>
              <w:spacing w:before="2" w:after="0" w:line="257" w:lineRule="exact"/>
              <w:ind w:left="467"/>
              <w:rPr>
                <w:rFonts w:ascii="Cambria" w:eastAsia="Cambria" w:hAnsi="Cambria" w:cs="Cambria"/>
                <w:lang w:val="hr-HR"/>
              </w:rPr>
            </w:pPr>
            <w:r w:rsidRPr="00DF4CE5">
              <w:rPr>
                <w:rFonts w:ascii="Cambria" w:eastAsia="Cambria" w:hAnsi="Cambria" w:cs="Cambria"/>
                <w:lang w:val="hr-HR"/>
              </w:rPr>
              <w:t>izbornoj</w:t>
            </w:r>
            <w:r w:rsidRPr="00DF4CE5">
              <w:rPr>
                <w:rFonts w:ascii="Cambria" w:eastAsia="Cambria" w:hAnsi="Cambria" w:cs="Cambria"/>
                <w:spacing w:val="-4"/>
                <w:lang w:val="hr-HR"/>
              </w:rPr>
              <w:t xml:space="preserve"> </w:t>
            </w:r>
            <w:r w:rsidRPr="00DF4CE5">
              <w:rPr>
                <w:rFonts w:ascii="Cambria" w:eastAsia="Cambria" w:hAnsi="Cambria" w:cs="Cambria"/>
                <w:lang w:val="hr-HR"/>
              </w:rPr>
              <w:t>nastavi</w:t>
            </w:r>
            <w:r w:rsidRPr="00DF4CE5">
              <w:rPr>
                <w:rFonts w:ascii="Cambria" w:eastAsia="Cambria" w:hAnsi="Cambria" w:cs="Cambria"/>
                <w:spacing w:val="-2"/>
                <w:lang w:val="hr-HR"/>
              </w:rPr>
              <w:t xml:space="preserve"> </w:t>
            </w:r>
            <w:r w:rsidRPr="00DF4CE5">
              <w:rPr>
                <w:rFonts w:ascii="Cambria" w:eastAsia="Cambria" w:hAnsi="Cambria" w:cs="Cambria"/>
                <w:lang w:val="hr-HR"/>
              </w:rPr>
              <w:t>te</w:t>
            </w:r>
            <w:r w:rsidRPr="00DF4CE5">
              <w:rPr>
                <w:rFonts w:ascii="Cambria" w:eastAsia="Cambria" w:hAnsi="Cambria" w:cs="Cambria"/>
                <w:spacing w:val="-4"/>
                <w:lang w:val="hr-HR"/>
              </w:rPr>
              <w:t xml:space="preserve"> </w:t>
            </w:r>
            <w:r w:rsidRPr="00DF4CE5">
              <w:rPr>
                <w:rFonts w:ascii="Cambria" w:eastAsia="Cambria" w:hAnsi="Cambria" w:cs="Cambria"/>
                <w:lang w:val="hr-HR"/>
              </w:rPr>
              <w:t>izvannastavnim</w:t>
            </w:r>
            <w:r w:rsidRPr="00DF4CE5">
              <w:rPr>
                <w:rFonts w:ascii="Cambria" w:eastAsia="Cambria" w:hAnsi="Cambria" w:cs="Cambria"/>
                <w:spacing w:val="-1"/>
                <w:lang w:val="hr-HR"/>
              </w:rPr>
              <w:t xml:space="preserve"> </w:t>
            </w:r>
            <w:r w:rsidRPr="00DF4CE5">
              <w:rPr>
                <w:rFonts w:ascii="Cambria" w:eastAsia="Cambria" w:hAnsi="Cambria" w:cs="Cambria"/>
                <w:lang w:val="hr-HR"/>
              </w:rPr>
              <w:t>i</w:t>
            </w:r>
            <w:r w:rsidRPr="00DF4CE5">
              <w:rPr>
                <w:rFonts w:ascii="Cambria" w:eastAsia="Cambria" w:hAnsi="Cambria" w:cs="Cambria"/>
                <w:spacing w:val="-5"/>
                <w:lang w:val="hr-HR"/>
              </w:rPr>
              <w:t xml:space="preserve"> </w:t>
            </w:r>
            <w:r w:rsidRPr="00DF4CE5">
              <w:rPr>
                <w:rFonts w:ascii="Cambria" w:eastAsia="Cambria" w:hAnsi="Cambria" w:cs="Cambria"/>
                <w:lang w:val="hr-HR"/>
              </w:rPr>
              <w:t>izvanškolskim</w:t>
            </w:r>
            <w:r w:rsidRPr="00DF4CE5">
              <w:rPr>
                <w:rFonts w:ascii="Cambria" w:eastAsia="Cambria" w:hAnsi="Cambria" w:cs="Cambria"/>
                <w:spacing w:val="-2"/>
                <w:lang w:val="hr-HR"/>
              </w:rPr>
              <w:t xml:space="preserve"> </w:t>
            </w:r>
            <w:r w:rsidRPr="00DF4CE5">
              <w:rPr>
                <w:rFonts w:ascii="Cambria" w:eastAsia="Cambria" w:hAnsi="Cambria" w:cs="Cambria"/>
                <w:lang w:val="hr-HR"/>
              </w:rPr>
              <w:t>aktivnostima</w:t>
            </w:r>
          </w:p>
          <w:p w14:paraId="724E7E27" w14:textId="77777777" w:rsidR="00CE3D99" w:rsidRPr="00DF4CE5" w:rsidRDefault="00CE3D99" w:rsidP="00A034E3">
            <w:pPr>
              <w:widowControl w:val="0"/>
              <w:numPr>
                <w:ilvl w:val="0"/>
                <w:numId w:val="80"/>
              </w:numPr>
              <w:tabs>
                <w:tab w:val="left" w:pos="468"/>
              </w:tabs>
              <w:autoSpaceDE w:val="0"/>
              <w:autoSpaceDN w:val="0"/>
              <w:spacing w:after="0" w:line="240" w:lineRule="auto"/>
              <w:ind w:right="85"/>
              <w:rPr>
                <w:rFonts w:ascii="Cambria" w:eastAsia="Cambria" w:hAnsi="Cambria" w:cs="Cambria"/>
                <w:lang w:val="hr-HR"/>
              </w:rPr>
            </w:pPr>
            <w:r w:rsidRPr="00DF4CE5">
              <w:rPr>
                <w:rFonts w:ascii="Cambria" w:eastAsia="Cambria" w:hAnsi="Cambria" w:cs="Cambria"/>
                <w:lang w:val="hr-HR"/>
              </w:rPr>
              <w:t>prisustvovanje</w:t>
            </w:r>
            <w:r w:rsidRPr="00DF4CE5">
              <w:rPr>
                <w:rFonts w:ascii="Cambria" w:eastAsia="Cambria" w:hAnsi="Cambria" w:cs="Cambria"/>
                <w:spacing w:val="12"/>
                <w:lang w:val="hr-HR"/>
              </w:rPr>
              <w:t xml:space="preserve"> </w:t>
            </w:r>
            <w:r w:rsidRPr="00DF4CE5">
              <w:rPr>
                <w:rFonts w:ascii="Cambria" w:eastAsia="Cambria" w:hAnsi="Cambria" w:cs="Cambria"/>
                <w:lang w:val="hr-HR"/>
              </w:rPr>
              <w:t>ostalim</w:t>
            </w:r>
            <w:r w:rsidRPr="00DF4CE5">
              <w:rPr>
                <w:rFonts w:ascii="Cambria" w:eastAsia="Cambria" w:hAnsi="Cambria" w:cs="Cambria"/>
                <w:spacing w:val="12"/>
                <w:lang w:val="hr-HR"/>
              </w:rPr>
              <w:t xml:space="preserve"> </w:t>
            </w:r>
            <w:r w:rsidRPr="00DF4CE5">
              <w:rPr>
                <w:rFonts w:ascii="Cambria" w:eastAsia="Cambria" w:hAnsi="Cambria" w:cs="Cambria"/>
                <w:lang w:val="hr-HR"/>
              </w:rPr>
              <w:t>aktivnostima</w:t>
            </w:r>
            <w:r w:rsidRPr="00DF4CE5">
              <w:rPr>
                <w:rFonts w:ascii="Cambria" w:eastAsia="Cambria" w:hAnsi="Cambria" w:cs="Cambria"/>
                <w:spacing w:val="16"/>
                <w:lang w:val="hr-HR"/>
              </w:rPr>
              <w:t xml:space="preserve"> </w:t>
            </w:r>
            <w:r w:rsidRPr="00DF4CE5">
              <w:rPr>
                <w:rFonts w:ascii="Cambria" w:eastAsia="Cambria" w:hAnsi="Cambria" w:cs="Cambria"/>
                <w:lang w:val="hr-HR"/>
              </w:rPr>
              <w:t>koje</w:t>
            </w:r>
            <w:r w:rsidRPr="00DF4CE5">
              <w:rPr>
                <w:rFonts w:ascii="Cambria" w:eastAsia="Cambria" w:hAnsi="Cambria" w:cs="Cambria"/>
                <w:spacing w:val="12"/>
                <w:lang w:val="hr-HR"/>
              </w:rPr>
              <w:t xml:space="preserve"> </w:t>
            </w:r>
            <w:r w:rsidRPr="00DF4CE5">
              <w:rPr>
                <w:rFonts w:ascii="Cambria" w:eastAsia="Cambria" w:hAnsi="Cambria" w:cs="Cambria"/>
                <w:lang w:val="hr-HR"/>
              </w:rPr>
              <w:t>stručni</w:t>
            </w:r>
            <w:r w:rsidRPr="00DF4CE5">
              <w:rPr>
                <w:rFonts w:ascii="Cambria" w:eastAsia="Cambria" w:hAnsi="Cambria" w:cs="Cambria"/>
                <w:spacing w:val="12"/>
                <w:lang w:val="hr-HR"/>
              </w:rPr>
              <w:t xml:space="preserve"> </w:t>
            </w:r>
            <w:r w:rsidRPr="00DF4CE5">
              <w:rPr>
                <w:rFonts w:ascii="Cambria" w:eastAsia="Cambria" w:hAnsi="Cambria" w:cs="Cambria"/>
                <w:lang w:val="hr-HR"/>
              </w:rPr>
              <w:t>timovi</w:t>
            </w:r>
            <w:r w:rsidRPr="00DF4CE5">
              <w:rPr>
                <w:rFonts w:ascii="Cambria" w:eastAsia="Cambria" w:hAnsi="Cambria" w:cs="Cambria"/>
                <w:spacing w:val="11"/>
                <w:lang w:val="hr-HR"/>
              </w:rPr>
              <w:t xml:space="preserve"> </w:t>
            </w:r>
            <w:r w:rsidRPr="00DF4CE5">
              <w:rPr>
                <w:rFonts w:ascii="Cambria" w:eastAsia="Cambria" w:hAnsi="Cambria" w:cs="Cambria"/>
                <w:lang w:val="hr-HR"/>
              </w:rPr>
              <w:t>i</w:t>
            </w:r>
            <w:r w:rsidRPr="00DF4CE5">
              <w:rPr>
                <w:rFonts w:ascii="Cambria" w:eastAsia="Cambria" w:hAnsi="Cambria" w:cs="Cambria"/>
                <w:spacing w:val="12"/>
                <w:lang w:val="hr-HR"/>
              </w:rPr>
              <w:t xml:space="preserve"> </w:t>
            </w:r>
            <w:r w:rsidRPr="00DF4CE5">
              <w:rPr>
                <w:rFonts w:ascii="Cambria" w:eastAsia="Cambria" w:hAnsi="Cambria" w:cs="Cambria"/>
                <w:lang w:val="hr-HR"/>
              </w:rPr>
              <w:t>učitelji</w:t>
            </w:r>
            <w:r w:rsidRPr="00DF4CE5">
              <w:rPr>
                <w:rFonts w:ascii="Cambria" w:eastAsia="Cambria" w:hAnsi="Cambria" w:cs="Cambria"/>
                <w:spacing w:val="-45"/>
                <w:lang w:val="hr-HR"/>
              </w:rPr>
              <w:t xml:space="preserve"> </w:t>
            </w:r>
            <w:r w:rsidRPr="00DF4CE5">
              <w:rPr>
                <w:rFonts w:ascii="Cambria" w:eastAsia="Cambria" w:hAnsi="Cambria" w:cs="Cambria"/>
                <w:lang w:val="hr-HR"/>
              </w:rPr>
              <w:t>realiziraju</w:t>
            </w:r>
            <w:r w:rsidRPr="00DF4CE5">
              <w:rPr>
                <w:rFonts w:ascii="Cambria" w:eastAsia="Cambria" w:hAnsi="Cambria" w:cs="Cambria"/>
                <w:spacing w:val="-1"/>
                <w:lang w:val="hr-HR"/>
              </w:rPr>
              <w:t xml:space="preserve"> </w:t>
            </w:r>
            <w:r w:rsidRPr="00DF4CE5">
              <w:rPr>
                <w:rFonts w:ascii="Cambria" w:eastAsia="Cambria" w:hAnsi="Cambria" w:cs="Cambria"/>
                <w:lang w:val="hr-HR"/>
              </w:rPr>
              <w:t>tijekom</w:t>
            </w:r>
            <w:r w:rsidRPr="00DF4CE5">
              <w:rPr>
                <w:rFonts w:ascii="Cambria" w:eastAsia="Cambria" w:hAnsi="Cambria" w:cs="Cambria"/>
                <w:spacing w:val="1"/>
                <w:lang w:val="hr-HR"/>
              </w:rPr>
              <w:t xml:space="preserve"> </w:t>
            </w:r>
            <w:r w:rsidRPr="00DF4CE5">
              <w:rPr>
                <w:rFonts w:ascii="Cambria" w:eastAsia="Cambria" w:hAnsi="Cambria" w:cs="Cambria"/>
                <w:lang w:val="hr-HR"/>
              </w:rPr>
              <w:t>stručne prakse.</w:t>
            </w:r>
          </w:p>
          <w:p w14:paraId="484A99E0" w14:textId="77777777" w:rsidR="00CE3D99" w:rsidRPr="00DF4CE5" w:rsidRDefault="00CE3D99" w:rsidP="00A034E3">
            <w:pPr>
              <w:widowControl w:val="0"/>
              <w:numPr>
                <w:ilvl w:val="0"/>
                <w:numId w:val="80"/>
              </w:numPr>
              <w:tabs>
                <w:tab w:val="left" w:pos="468"/>
              </w:tabs>
              <w:autoSpaceDE w:val="0"/>
              <w:autoSpaceDN w:val="0"/>
              <w:spacing w:after="0" w:line="240" w:lineRule="auto"/>
              <w:ind w:hanging="361"/>
              <w:rPr>
                <w:rFonts w:ascii="Cambria" w:eastAsia="Cambria" w:hAnsi="Cambria" w:cs="Cambria"/>
                <w:lang w:val="hr-HR"/>
              </w:rPr>
            </w:pPr>
            <w:r w:rsidRPr="00DF4CE5">
              <w:rPr>
                <w:rFonts w:ascii="Cambria" w:eastAsia="Cambria" w:hAnsi="Cambria" w:cs="Cambria"/>
                <w:lang w:val="hr-HR"/>
              </w:rPr>
              <w:t>sudjelovanje</w:t>
            </w:r>
            <w:r w:rsidRPr="00DF4CE5">
              <w:rPr>
                <w:rFonts w:ascii="Cambria" w:eastAsia="Cambria" w:hAnsi="Cambria" w:cs="Cambria"/>
                <w:spacing w:val="8"/>
                <w:lang w:val="hr-HR"/>
              </w:rPr>
              <w:t xml:space="preserve"> </w:t>
            </w:r>
            <w:r w:rsidRPr="00DF4CE5">
              <w:rPr>
                <w:rFonts w:ascii="Cambria" w:eastAsia="Cambria" w:hAnsi="Cambria" w:cs="Cambria"/>
                <w:lang w:val="hr-HR"/>
              </w:rPr>
              <w:t>u</w:t>
            </w:r>
            <w:r w:rsidRPr="00DF4CE5">
              <w:rPr>
                <w:rFonts w:ascii="Cambria" w:eastAsia="Cambria" w:hAnsi="Cambria" w:cs="Cambria"/>
                <w:spacing w:val="56"/>
                <w:lang w:val="hr-HR"/>
              </w:rPr>
              <w:t xml:space="preserve"> </w:t>
            </w:r>
            <w:r w:rsidRPr="00DF4CE5">
              <w:rPr>
                <w:rFonts w:ascii="Cambria" w:eastAsia="Cambria" w:hAnsi="Cambria" w:cs="Cambria"/>
                <w:lang w:val="hr-HR"/>
              </w:rPr>
              <w:t>različitim</w:t>
            </w:r>
            <w:r w:rsidRPr="00DF4CE5">
              <w:rPr>
                <w:rFonts w:ascii="Cambria" w:eastAsia="Cambria" w:hAnsi="Cambria" w:cs="Cambria"/>
                <w:spacing w:val="55"/>
                <w:lang w:val="hr-HR"/>
              </w:rPr>
              <w:t xml:space="preserve"> </w:t>
            </w:r>
            <w:r w:rsidRPr="00DF4CE5">
              <w:rPr>
                <w:rFonts w:ascii="Cambria" w:eastAsia="Cambria" w:hAnsi="Cambria" w:cs="Cambria"/>
                <w:lang w:val="hr-HR"/>
              </w:rPr>
              <w:t>oblicima</w:t>
            </w:r>
            <w:r w:rsidRPr="00DF4CE5">
              <w:rPr>
                <w:rFonts w:ascii="Cambria" w:eastAsia="Cambria" w:hAnsi="Cambria" w:cs="Cambria"/>
                <w:spacing w:val="56"/>
                <w:lang w:val="hr-HR"/>
              </w:rPr>
              <w:t xml:space="preserve"> </w:t>
            </w:r>
            <w:r w:rsidRPr="00DF4CE5">
              <w:rPr>
                <w:rFonts w:ascii="Cambria" w:eastAsia="Cambria" w:hAnsi="Cambria" w:cs="Cambria"/>
                <w:lang w:val="hr-HR"/>
              </w:rPr>
              <w:t>odgojno-obrazovnog</w:t>
            </w:r>
            <w:r w:rsidRPr="00DF4CE5">
              <w:rPr>
                <w:rFonts w:ascii="Cambria" w:eastAsia="Cambria" w:hAnsi="Cambria" w:cs="Cambria"/>
                <w:spacing w:val="55"/>
                <w:lang w:val="hr-HR"/>
              </w:rPr>
              <w:t xml:space="preserve"> </w:t>
            </w:r>
            <w:r w:rsidRPr="00DF4CE5">
              <w:rPr>
                <w:rFonts w:ascii="Cambria" w:eastAsia="Cambria" w:hAnsi="Cambria" w:cs="Cambria"/>
                <w:lang w:val="hr-HR"/>
              </w:rPr>
              <w:t>rada</w:t>
            </w:r>
            <w:r w:rsidRPr="00DF4CE5">
              <w:rPr>
                <w:rFonts w:ascii="Cambria" w:eastAsia="Cambria" w:hAnsi="Cambria" w:cs="Cambria"/>
                <w:spacing w:val="56"/>
                <w:lang w:val="hr-HR"/>
              </w:rPr>
              <w:t xml:space="preserve"> </w:t>
            </w:r>
            <w:r w:rsidRPr="00DF4CE5">
              <w:rPr>
                <w:rFonts w:ascii="Cambria" w:eastAsia="Cambria" w:hAnsi="Cambria" w:cs="Cambria"/>
                <w:lang w:val="hr-HR"/>
              </w:rPr>
              <w:t>u</w:t>
            </w:r>
          </w:p>
          <w:p w14:paraId="70FDFC04" w14:textId="77777777" w:rsidR="00CE3D99" w:rsidRPr="00DF4CE5" w:rsidRDefault="00CE3D99" w:rsidP="00DF4CE5">
            <w:pPr>
              <w:widowControl w:val="0"/>
              <w:autoSpaceDE w:val="0"/>
              <w:autoSpaceDN w:val="0"/>
              <w:spacing w:after="0" w:line="237" w:lineRule="exact"/>
              <w:ind w:left="467"/>
              <w:rPr>
                <w:rFonts w:ascii="Cambria" w:eastAsia="Cambria" w:hAnsi="Cambria" w:cs="Cambria"/>
                <w:lang w:val="hr-HR"/>
              </w:rPr>
            </w:pPr>
            <w:r w:rsidRPr="00DF4CE5">
              <w:rPr>
                <w:rFonts w:ascii="Cambria" w:eastAsia="Cambria" w:hAnsi="Cambria" w:cs="Cambria"/>
                <w:lang w:val="hr-HR"/>
              </w:rPr>
              <w:t>školi</w:t>
            </w:r>
          </w:p>
        </w:tc>
      </w:tr>
    </w:tbl>
    <w:p w14:paraId="300D2955" w14:textId="77777777" w:rsidR="00CE3D99" w:rsidRPr="00DF4CE5" w:rsidRDefault="00CE3D99" w:rsidP="00CE3D99">
      <w:pPr>
        <w:widowControl w:val="0"/>
        <w:autoSpaceDE w:val="0"/>
        <w:autoSpaceDN w:val="0"/>
        <w:spacing w:after="0" w:line="237" w:lineRule="exact"/>
        <w:rPr>
          <w:rFonts w:ascii="Cambria" w:eastAsia="Cambria" w:hAnsi="Cambria" w:cs="Cambria"/>
          <w:lang w:val="hr-HR"/>
        </w:rPr>
        <w:sectPr w:rsidR="00CE3D99" w:rsidRPr="00DF4CE5">
          <w:pgSz w:w="12240" w:h="15840"/>
          <w:pgMar w:top="1440" w:right="1020" w:bottom="280" w:left="1180" w:header="720" w:footer="720" w:gutter="0"/>
          <w:cols w:space="720"/>
        </w:sectPr>
      </w:pPr>
    </w:p>
    <w:tbl>
      <w:tblPr>
        <w:tblW w:w="0" w:type="auto"/>
        <w:tblInd w:w="2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14"/>
        <w:gridCol w:w="2054"/>
        <w:gridCol w:w="984"/>
        <w:gridCol w:w="919"/>
        <w:gridCol w:w="879"/>
        <w:gridCol w:w="1889"/>
      </w:tblGrid>
      <w:tr w:rsidR="00CE3D99" w:rsidRPr="00DF4CE5" w14:paraId="43E31EC7" w14:textId="77777777" w:rsidTr="00DF4CE5">
        <w:trPr>
          <w:trHeight w:val="529"/>
        </w:trPr>
        <w:tc>
          <w:tcPr>
            <w:tcW w:w="2614" w:type="dxa"/>
            <w:vMerge w:val="restart"/>
            <w:shd w:val="clear" w:color="auto" w:fill="F3F3F3"/>
          </w:tcPr>
          <w:p w14:paraId="261863B5" w14:textId="77777777" w:rsidR="00CE3D99" w:rsidRPr="00DF4CE5" w:rsidRDefault="00CE3D99" w:rsidP="00DF4CE5">
            <w:pPr>
              <w:widowControl w:val="0"/>
              <w:autoSpaceDE w:val="0"/>
              <w:autoSpaceDN w:val="0"/>
              <w:spacing w:before="7" w:after="0" w:line="240" w:lineRule="auto"/>
              <w:rPr>
                <w:rFonts w:ascii="Cambria" w:eastAsia="Cambria" w:hAnsi="Cambria" w:cs="Cambria"/>
                <w:lang w:val="hr-HR"/>
              </w:rPr>
            </w:pPr>
          </w:p>
          <w:p w14:paraId="10B5DD0A" w14:textId="77777777" w:rsidR="00CE3D99" w:rsidRPr="00DF4CE5" w:rsidRDefault="00CE3D99" w:rsidP="00DF4CE5">
            <w:pPr>
              <w:widowControl w:val="0"/>
              <w:autoSpaceDE w:val="0"/>
              <w:autoSpaceDN w:val="0"/>
              <w:spacing w:after="0" w:line="240" w:lineRule="auto"/>
              <w:ind w:left="107" w:right="530"/>
              <w:rPr>
                <w:rFonts w:ascii="Cambria" w:eastAsia="Cambria" w:hAnsi="Cambria" w:cs="Cambria"/>
                <w:lang w:val="hr-HR"/>
              </w:rPr>
            </w:pPr>
            <w:r w:rsidRPr="00DF4CE5">
              <w:rPr>
                <w:rFonts w:ascii="Cambria" w:eastAsia="Cambria" w:hAnsi="Cambria" w:cs="Cambria"/>
                <w:lang w:val="hr-HR"/>
              </w:rPr>
              <w:t>Planirane aktivnosti,</w:t>
            </w:r>
            <w:r w:rsidRPr="00DF4CE5">
              <w:rPr>
                <w:rFonts w:ascii="Cambria" w:eastAsia="Cambria" w:hAnsi="Cambria" w:cs="Cambria"/>
                <w:spacing w:val="-46"/>
                <w:lang w:val="hr-HR"/>
              </w:rPr>
              <w:t xml:space="preserve"> </w:t>
            </w:r>
            <w:r w:rsidRPr="00DF4CE5">
              <w:rPr>
                <w:rFonts w:ascii="Cambria" w:eastAsia="Cambria" w:hAnsi="Cambria" w:cs="Cambria"/>
                <w:lang w:val="hr-HR"/>
              </w:rPr>
              <w:t>metode učenja i</w:t>
            </w:r>
            <w:r w:rsidRPr="00DF4CE5">
              <w:rPr>
                <w:rFonts w:ascii="Cambria" w:eastAsia="Cambria" w:hAnsi="Cambria" w:cs="Cambria"/>
                <w:spacing w:val="1"/>
                <w:lang w:val="hr-HR"/>
              </w:rPr>
              <w:t xml:space="preserve"> </w:t>
            </w:r>
            <w:r w:rsidRPr="00DF4CE5">
              <w:rPr>
                <w:rFonts w:ascii="Cambria" w:eastAsia="Cambria" w:hAnsi="Cambria" w:cs="Cambria"/>
                <w:lang w:val="hr-HR"/>
              </w:rPr>
              <w:t>poučavanja i načini</w:t>
            </w:r>
            <w:r w:rsidRPr="00DF4CE5">
              <w:rPr>
                <w:rFonts w:ascii="Cambria" w:eastAsia="Cambria" w:hAnsi="Cambria" w:cs="Cambria"/>
                <w:spacing w:val="1"/>
                <w:lang w:val="hr-HR"/>
              </w:rPr>
              <w:t xml:space="preserve"> </w:t>
            </w:r>
            <w:r w:rsidRPr="00DF4CE5">
              <w:rPr>
                <w:rFonts w:ascii="Cambria" w:eastAsia="Cambria" w:hAnsi="Cambria" w:cs="Cambria"/>
                <w:lang w:val="hr-HR"/>
              </w:rPr>
              <w:t>vrednovanja</w:t>
            </w:r>
          </w:p>
        </w:tc>
        <w:tc>
          <w:tcPr>
            <w:tcW w:w="2054" w:type="dxa"/>
          </w:tcPr>
          <w:p w14:paraId="2BED8AA5" w14:textId="77777777" w:rsidR="00CE3D99" w:rsidRPr="00DF4CE5" w:rsidRDefault="00CE3D99" w:rsidP="00DF4CE5">
            <w:pPr>
              <w:widowControl w:val="0"/>
              <w:autoSpaceDE w:val="0"/>
              <w:autoSpaceDN w:val="0"/>
              <w:spacing w:before="13" w:after="0" w:line="240" w:lineRule="auto"/>
              <w:ind w:left="107"/>
              <w:rPr>
                <w:rFonts w:ascii="Cambria" w:eastAsia="Cambria" w:hAnsi="Cambria" w:cs="Cambria"/>
                <w:lang w:val="hr-HR"/>
              </w:rPr>
            </w:pPr>
            <w:r w:rsidRPr="00DF4CE5">
              <w:rPr>
                <w:rFonts w:ascii="Cambria" w:eastAsia="Cambria" w:hAnsi="Cambria" w:cs="Cambria"/>
                <w:lang w:val="hr-HR"/>
              </w:rPr>
              <w:t>Obveze</w:t>
            </w:r>
          </w:p>
        </w:tc>
        <w:tc>
          <w:tcPr>
            <w:tcW w:w="984" w:type="dxa"/>
          </w:tcPr>
          <w:p w14:paraId="52ECB6C1" w14:textId="77777777" w:rsidR="00CE3D99" w:rsidRPr="00DF4CE5" w:rsidRDefault="00CE3D99" w:rsidP="00DF4CE5">
            <w:pPr>
              <w:widowControl w:val="0"/>
              <w:autoSpaceDE w:val="0"/>
              <w:autoSpaceDN w:val="0"/>
              <w:spacing w:before="13" w:after="0" w:line="240" w:lineRule="auto"/>
              <w:ind w:right="175"/>
              <w:jc w:val="right"/>
              <w:rPr>
                <w:rFonts w:ascii="Cambria" w:eastAsia="Cambria" w:hAnsi="Cambria" w:cs="Cambria"/>
                <w:lang w:val="hr-HR"/>
              </w:rPr>
            </w:pPr>
            <w:r w:rsidRPr="00DF4CE5">
              <w:rPr>
                <w:rFonts w:ascii="Cambria" w:eastAsia="Cambria" w:hAnsi="Cambria" w:cs="Cambria"/>
                <w:lang w:val="hr-HR"/>
              </w:rPr>
              <w:t>Ishodi</w:t>
            </w:r>
          </w:p>
        </w:tc>
        <w:tc>
          <w:tcPr>
            <w:tcW w:w="919" w:type="dxa"/>
          </w:tcPr>
          <w:p w14:paraId="5E2BE9A5" w14:textId="77777777" w:rsidR="00CE3D99" w:rsidRPr="00DF4CE5" w:rsidRDefault="00CE3D99" w:rsidP="00DF4CE5">
            <w:pPr>
              <w:widowControl w:val="0"/>
              <w:autoSpaceDE w:val="0"/>
              <w:autoSpaceDN w:val="0"/>
              <w:spacing w:before="13" w:after="0" w:line="240" w:lineRule="auto"/>
              <w:ind w:right="259"/>
              <w:jc w:val="right"/>
              <w:rPr>
                <w:rFonts w:ascii="Cambria" w:eastAsia="Cambria" w:hAnsi="Cambria" w:cs="Cambria"/>
                <w:lang w:val="hr-HR"/>
              </w:rPr>
            </w:pPr>
            <w:r w:rsidRPr="00DF4CE5">
              <w:rPr>
                <w:rFonts w:ascii="Cambria" w:eastAsia="Cambria" w:hAnsi="Cambria" w:cs="Cambria"/>
                <w:lang w:val="hr-HR"/>
              </w:rPr>
              <w:t>Sati</w:t>
            </w:r>
          </w:p>
        </w:tc>
        <w:tc>
          <w:tcPr>
            <w:tcW w:w="879" w:type="dxa"/>
          </w:tcPr>
          <w:p w14:paraId="55AF4F7C" w14:textId="77777777" w:rsidR="00CE3D99" w:rsidRPr="00DF4CE5" w:rsidRDefault="00CE3D99" w:rsidP="00DF4CE5">
            <w:pPr>
              <w:widowControl w:val="0"/>
              <w:autoSpaceDE w:val="0"/>
              <w:autoSpaceDN w:val="0"/>
              <w:spacing w:before="13" w:after="0" w:line="240" w:lineRule="auto"/>
              <w:ind w:left="175" w:right="154"/>
              <w:jc w:val="center"/>
              <w:rPr>
                <w:rFonts w:ascii="Cambria" w:eastAsia="Cambria" w:hAnsi="Cambria" w:cs="Cambria"/>
                <w:lang w:val="hr-HR"/>
              </w:rPr>
            </w:pPr>
            <w:r w:rsidRPr="00DF4CE5">
              <w:rPr>
                <w:rFonts w:ascii="Cambria" w:eastAsia="Cambria" w:hAnsi="Cambria" w:cs="Cambria"/>
                <w:lang w:val="hr-HR"/>
              </w:rPr>
              <w:t>ECTS</w:t>
            </w:r>
          </w:p>
        </w:tc>
        <w:tc>
          <w:tcPr>
            <w:tcW w:w="1889" w:type="dxa"/>
          </w:tcPr>
          <w:p w14:paraId="41891B25" w14:textId="77777777" w:rsidR="00CE3D99" w:rsidRPr="00DF4CE5" w:rsidRDefault="00CE3D99" w:rsidP="00DF4CE5">
            <w:pPr>
              <w:widowControl w:val="0"/>
              <w:autoSpaceDE w:val="0"/>
              <w:autoSpaceDN w:val="0"/>
              <w:spacing w:after="0" w:line="260" w:lineRule="atLeast"/>
              <w:ind w:left="456" w:right="91" w:hanging="327"/>
              <w:rPr>
                <w:rFonts w:ascii="Cambria" w:eastAsia="Cambria" w:hAnsi="Cambria" w:cs="Cambria"/>
                <w:lang w:val="hr-HR"/>
              </w:rPr>
            </w:pPr>
            <w:proofErr w:type="spellStart"/>
            <w:r w:rsidRPr="00DF4CE5">
              <w:rPr>
                <w:rFonts w:ascii="Cambria" w:eastAsia="Cambria" w:hAnsi="Cambria" w:cs="Cambria"/>
                <w:lang w:val="hr-HR"/>
              </w:rPr>
              <w:t>Maximalni</w:t>
            </w:r>
            <w:proofErr w:type="spellEnd"/>
            <w:r w:rsidRPr="00DF4CE5">
              <w:rPr>
                <w:rFonts w:ascii="Cambria" w:eastAsia="Cambria" w:hAnsi="Cambria" w:cs="Cambria"/>
                <w:lang w:val="hr-HR"/>
              </w:rPr>
              <w:t xml:space="preserve"> udio u</w:t>
            </w:r>
            <w:r w:rsidRPr="00DF4CE5">
              <w:rPr>
                <w:rFonts w:ascii="Cambria" w:eastAsia="Cambria" w:hAnsi="Cambria" w:cs="Cambria"/>
                <w:spacing w:val="-46"/>
                <w:lang w:val="hr-HR"/>
              </w:rPr>
              <w:t xml:space="preserve"> </w:t>
            </w:r>
            <w:r w:rsidRPr="00DF4CE5">
              <w:rPr>
                <w:rFonts w:ascii="Cambria" w:eastAsia="Cambria" w:hAnsi="Cambria" w:cs="Cambria"/>
                <w:lang w:val="hr-HR"/>
              </w:rPr>
              <w:t>ocjeni (%)</w:t>
            </w:r>
          </w:p>
        </w:tc>
      </w:tr>
      <w:tr w:rsidR="00CE3D99" w:rsidRPr="00DF4CE5" w14:paraId="77F434C5" w14:textId="77777777" w:rsidTr="00DF4CE5">
        <w:trPr>
          <w:trHeight w:val="531"/>
        </w:trPr>
        <w:tc>
          <w:tcPr>
            <w:tcW w:w="2614" w:type="dxa"/>
            <w:vMerge/>
            <w:tcBorders>
              <w:top w:val="nil"/>
            </w:tcBorders>
            <w:shd w:val="clear" w:color="auto" w:fill="F3F3F3"/>
          </w:tcPr>
          <w:p w14:paraId="7B2084F1" w14:textId="77777777" w:rsidR="00CE3D99" w:rsidRPr="00DF4CE5" w:rsidRDefault="00CE3D99" w:rsidP="00DF4CE5">
            <w:pPr>
              <w:widowControl w:val="0"/>
              <w:autoSpaceDE w:val="0"/>
              <w:autoSpaceDN w:val="0"/>
              <w:spacing w:after="0" w:line="240" w:lineRule="auto"/>
              <w:rPr>
                <w:rFonts w:ascii="Cambria" w:eastAsia="Cambria" w:hAnsi="Cambria" w:cs="Cambria"/>
                <w:lang w:val="hr-HR"/>
              </w:rPr>
            </w:pPr>
          </w:p>
        </w:tc>
        <w:tc>
          <w:tcPr>
            <w:tcW w:w="2054" w:type="dxa"/>
          </w:tcPr>
          <w:p w14:paraId="29990AC9" w14:textId="77777777" w:rsidR="00CE3D99" w:rsidRPr="00DF4CE5" w:rsidRDefault="00CE3D99" w:rsidP="00DF4CE5">
            <w:pPr>
              <w:widowControl w:val="0"/>
              <w:autoSpaceDE w:val="0"/>
              <w:autoSpaceDN w:val="0"/>
              <w:spacing w:after="0" w:line="238" w:lineRule="exact"/>
              <w:ind w:left="107"/>
              <w:rPr>
                <w:rFonts w:ascii="Cambria" w:eastAsia="Cambria" w:hAnsi="Cambria" w:cs="Cambria"/>
                <w:lang w:val="hr-HR"/>
              </w:rPr>
            </w:pPr>
            <w:r w:rsidRPr="00DF4CE5">
              <w:rPr>
                <w:rFonts w:ascii="Cambria" w:eastAsia="Cambria" w:hAnsi="Cambria" w:cs="Cambria"/>
                <w:lang w:val="hr-HR"/>
              </w:rPr>
              <w:t>hospitiranje na nastavi</w:t>
            </w:r>
            <w:r w:rsidRPr="00DF4CE5">
              <w:rPr>
                <w:rFonts w:ascii="Cambria" w:eastAsia="Cambria" w:hAnsi="Cambria" w:cs="Cambria"/>
                <w:spacing w:val="-2"/>
                <w:lang w:val="hr-HR"/>
              </w:rPr>
              <w:t xml:space="preserve"> </w:t>
            </w:r>
            <w:r w:rsidRPr="00DF4CE5">
              <w:rPr>
                <w:rFonts w:ascii="Cambria" w:eastAsia="Cambria" w:hAnsi="Cambria" w:cs="Cambria"/>
                <w:lang w:val="hr-HR"/>
              </w:rPr>
              <w:t>(V)</w:t>
            </w:r>
          </w:p>
        </w:tc>
        <w:tc>
          <w:tcPr>
            <w:tcW w:w="984" w:type="dxa"/>
          </w:tcPr>
          <w:p w14:paraId="6F3F96F6" w14:textId="3F6196FE" w:rsidR="00CE3D99" w:rsidRPr="00DF4CE5" w:rsidRDefault="00CE3D99" w:rsidP="00DF4CE5">
            <w:pPr>
              <w:widowControl w:val="0"/>
              <w:autoSpaceDE w:val="0"/>
              <w:autoSpaceDN w:val="0"/>
              <w:spacing w:before="143" w:after="0" w:line="240" w:lineRule="auto"/>
              <w:ind w:right="215"/>
              <w:jc w:val="right"/>
              <w:rPr>
                <w:rFonts w:ascii="Cambria" w:eastAsia="Cambria" w:hAnsi="Cambria" w:cs="Cambria"/>
                <w:lang w:val="hr-HR"/>
              </w:rPr>
            </w:pPr>
            <w:r w:rsidRPr="00DF4CE5">
              <w:rPr>
                <w:rFonts w:ascii="Cambria" w:eastAsia="Cambria" w:hAnsi="Cambria" w:cs="Cambria"/>
                <w:lang w:val="hr-HR"/>
              </w:rPr>
              <w:t>1.</w:t>
            </w:r>
            <w:r w:rsidRPr="00DF4CE5">
              <w:rPr>
                <w:rFonts w:ascii="Cambria" w:eastAsia="Cambria" w:hAnsi="Cambria" w:cs="Cambria"/>
                <w:spacing w:val="-1"/>
                <w:lang w:val="hr-HR"/>
              </w:rPr>
              <w:t xml:space="preserve"> </w:t>
            </w:r>
            <w:r w:rsidR="00826F4D">
              <w:rPr>
                <w:rFonts w:ascii="Cambria" w:eastAsia="Cambria" w:hAnsi="Cambria" w:cs="Cambria"/>
                <w:lang w:val="hr-HR"/>
              </w:rPr>
              <w:t>–</w:t>
            </w:r>
            <w:r w:rsidRPr="00DF4CE5">
              <w:rPr>
                <w:rFonts w:ascii="Cambria" w:eastAsia="Cambria" w:hAnsi="Cambria" w:cs="Cambria"/>
                <w:lang w:val="hr-HR"/>
              </w:rPr>
              <w:t xml:space="preserve"> 4.</w:t>
            </w:r>
          </w:p>
        </w:tc>
        <w:tc>
          <w:tcPr>
            <w:tcW w:w="919" w:type="dxa"/>
          </w:tcPr>
          <w:p w14:paraId="758F4251" w14:textId="77777777" w:rsidR="00CE3D99" w:rsidRPr="00DF4CE5" w:rsidRDefault="00CE3D99" w:rsidP="00DF4CE5">
            <w:pPr>
              <w:widowControl w:val="0"/>
              <w:autoSpaceDE w:val="0"/>
              <w:autoSpaceDN w:val="0"/>
              <w:spacing w:before="143" w:after="0" w:line="240" w:lineRule="auto"/>
              <w:ind w:right="315"/>
              <w:jc w:val="right"/>
              <w:rPr>
                <w:rFonts w:ascii="Cambria" w:eastAsia="Cambria" w:hAnsi="Cambria" w:cs="Cambria"/>
                <w:lang w:val="hr-HR"/>
              </w:rPr>
            </w:pPr>
            <w:r w:rsidRPr="00DF4CE5">
              <w:rPr>
                <w:rFonts w:ascii="Cambria" w:eastAsia="Cambria" w:hAnsi="Cambria" w:cs="Cambria"/>
                <w:lang w:val="hr-HR"/>
              </w:rPr>
              <w:t>19</w:t>
            </w:r>
          </w:p>
        </w:tc>
        <w:tc>
          <w:tcPr>
            <w:tcW w:w="879" w:type="dxa"/>
          </w:tcPr>
          <w:p w14:paraId="13F00D72" w14:textId="77777777" w:rsidR="00CE3D99" w:rsidRPr="00DF4CE5" w:rsidRDefault="00CE3D99" w:rsidP="00DF4CE5">
            <w:pPr>
              <w:widowControl w:val="0"/>
              <w:autoSpaceDE w:val="0"/>
              <w:autoSpaceDN w:val="0"/>
              <w:spacing w:before="143" w:after="0" w:line="240" w:lineRule="auto"/>
              <w:ind w:left="175" w:right="153"/>
              <w:jc w:val="center"/>
              <w:rPr>
                <w:rFonts w:ascii="Cambria" w:eastAsia="Cambria" w:hAnsi="Cambria" w:cs="Cambria"/>
                <w:lang w:val="hr-HR"/>
              </w:rPr>
            </w:pPr>
            <w:r w:rsidRPr="00DF4CE5">
              <w:rPr>
                <w:rFonts w:ascii="Cambria" w:eastAsia="Cambria" w:hAnsi="Cambria" w:cs="Cambria"/>
                <w:lang w:val="hr-HR"/>
              </w:rPr>
              <w:t>0,6</w:t>
            </w:r>
          </w:p>
        </w:tc>
        <w:tc>
          <w:tcPr>
            <w:tcW w:w="1889" w:type="dxa"/>
          </w:tcPr>
          <w:p w14:paraId="7B40972B" w14:textId="77777777" w:rsidR="00CE3D99" w:rsidRPr="00DF4CE5" w:rsidRDefault="00CE3D99" w:rsidP="00DF4CE5">
            <w:pPr>
              <w:widowControl w:val="0"/>
              <w:autoSpaceDE w:val="0"/>
              <w:autoSpaceDN w:val="0"/>
              <w:spacing w:before="143" w:after="0" w:line="240" w:lineRule="auto"/>
              <w:ind w:left="725"/>
              <w:rPr>
                <w:rFonts w:ascii="Cambria" w:eastAsia="Cambria" w:hAnsi="Cambria" w:cs="Cambria"/>
                <w:lang w:val="hr-HR"/>
              </w:rPr>
            </w:pPr>
            <w:r w:rsidRPr="00DF4CE5">
              <w:rPr>
                <w:rFonts w:ascii="Cambria" w:eastAsia="Cambria" w:hAnsi="Cambria" w:cs="Cambria"/>
                <w:lang w:val="hr-HR"/>
              </w:rPr>
              <w:t>30%</w:t>
            </w:r>
          </w:p>
        </w:tc>
      </w:tr>
      <w:tr w:rsidR="00CE3D99" w:rsidRPr="00DF4CE5" w14:paraId="1592F556" w14:textId="77777777" w:rsidTr="00DF4CE5">
        <w:trPr>
          <w:trHeight w:val="529"/>
        </w:trPr>
        <w:tc>
          <w:tcPr>
            <w:tcW w:w="2614" w:type="dxa"/>
            <w:vMerge/>
            <w:tcBorders>
              <w:top w:val="nil"/>
            </w:tcBorders>
            <w:shd w:val="clear" w:color="auto" w:fill="F3F3F3"/>
          </w:tcPr>
          <w:p w14:paraId="6E9955FC" w14:textId="77777777" w:rsidR="00CE3D99" w:rsidRPr="00DF4CE5" w:rsidRDefault="00CE3D99" w:rsidP="00DF4CE5">
            <w:pPr>
              <w:widowControl w:val="0"/>
              <w:autoSpaceDE w:val="0"/>
              <w:autoSpaceDN w:val="0"/>
              <w:spacing w:after="0" w:line="240" w:lineRule="auto"/>
              <w:rPr>
                <w:rFonts w:ascii="Cambria" w:eastAsia="Cambria" w:hAnsi="Cambria" w:cs="Cambria"/>
                <w:lang w:val="hr-HR"/>
              </w:rPr>
            </w:pPr>
          </w:p>
        </w:tc>
        <w:tc>
          <w:tcPr>
            <w:tcW w:w="2054" w:type="dxa"/>
          </w:tcPr>
          <w:p w14:paraId="0B849E75" w14:textId="77777777" w:rsidR="00CE3D99" w:rsidRPr="00DF4CE5" w:rsidRDefault="00CE3D99" w:rsidP="00DF4CE5">
            <w:pPr>
              <w:widowControl w:val="0"/>
              <w:autoSpaceDE w:val="0"/>
              <w:autoSpaceDN w:val="0"/>
              <w:spacing w:before="13" w:after="0" w:line="240" w:lineRule="auto"/>
              <w:ind w:left="107"/>
              <w:rPr>
                <w:rFonts w:ascii="Cambria" w:eastAsia="Cambria" w:hAnsi="Cambria" w:cs="Cambria"/>
                <w:lang w:val="hr-HR"/>
              </w:rPr>
            </w:pPr>
            <w:r w:rsidRPr="00DF4CE5">
              <w:rPr>
                <w:rFonts w:ascii="Cambria" w:eastAsia="Cambria" w:hAnsi="Cambria" w:cs="Cambria"/>
                <w:lang w:val="hr-HR"/>
              </w:rPr>
              <w:t>izrada</w:t>
            </w:r>
            <w:r w:rsidRPr="00DF4CE5">
              <w:rPr>
                <w:rFonts w:ascii="Cambria" w:eastAsia="Cambria" w:hAnsi="Cambria" w:cs="Cambria"/>
                <w:spacing w:val="-2"/>
                <w:lang w:val="hr-HR"/>
              </w:rPr>
              <w:t xml:space="preserve"> </w:t>
            </w:r>
            <w:r w:rsidRPr="00DF4CE5">
              <w:rPr>
                <w:rFonts w:ascii="Cambria" w:eastAsia="Cambria" w:hAnsi="Cambria" w:cs="Cambria"/>
                <w:lang w:val="hr-HR"/>
              </w:rPr>
              <w:t>Dnevnika</w:t>
            </w:r>
          </w:p>
          <w:p w14:paraId="79BFB65B" w14:textId="77777777" w:rsidR="00CE3D99" w:rsidRPr="00DF4CE5" w:rsidRDefault="00CE3D99" w:rsidP="00DF4CE5">
            <w:pPr>
              <w:widowControl w:val="0"/>
              <w:autoSpaceDE w:val="0"/>
              <w:autoSpaceDN w:val="0"/>
              <w:spacing w:before="2" w:after="0" w:line="237" w:lineRule="exact"/>
              <w:ind w:left="107"/>
              <w:rPr>
                <w:rFonts w:ascii="Cambria" w:eastAsia="Cambria" w:hAnsi="Cambria" w:cs="Cambria"/>
                <w:lang w:val="hr-HR"/>
              </w:rPr>
            </w:pPr>
            <w:r w:rsidRPr="00DF4CE5">
              <w:rPr>
                <w:rFonts w:ascii="Cambria" w:eastAsia="Cambria" w:hAnsi="Cambria" w:cs="Cambria"/>
                <w:lang w:val="hr-HR"/>
              </w:rPr>
              <w:t>stručne</w:t>
            </w:r>
            <w:r w:rsidRPr="00DF4CE5">
              <w:rPr>
                <w:rFonts w:ascii="Cambria" w:eastAsia="Cambria" w:hAnsi="Cambria" w:cs="Cambria"/>
                <w:spacing w:val="-2"/>
                <w:lang w:val="hr-HR"/>
              </w:rPr>
              <w:t xml:space="preserve"> </w:t>
            </w:r>
            <w:r w:rsidRPr="00DF4CE5">
              <w:rPr>
                <w:rFonts w:ascii="Cambria" w:eastAsia="Cambria" w:hAnsi="Cambria" w:cs="Cambria"/>
                <w:lang w:val="hr-HR"/>
              </w:rPr>
              <w:t>prakse</w:t>
            </w:r>
          </w:p>
        </w:tc>
        <w:tc>
          <w:tcPr>
            <w:tcW w:w="984" w:type="dxa"/>
          </w:tcPr>
          <w:p w14:paraId="4AC3C8AE" w14:textId="4E5FAE86" w:rsidR="00CE3D99" w:rsidRPr="00DF4CE5" w:rsidRDefault="00CE3D99" w:rsidP="00DF4CE5">
            <w:pPr>
              <w:widowControl w:val="0"/>
              <w:autoSpaceDE w:val="0"/>
              <w:autoSpaceDN w:val="0"/>
              <w:spacing w:before="143" w:after="0" w:line="240" w:lineRule="auto"/>
              <w:ind w:right="215"/>
              <w:jc w:val="right"/>
              <w:rPr>
                <w:rFonts w:ascii="Cambria" w:eastAsia="Cambria" w:hAnsi="Cambria" w:cs="Cambria"/>
                <w:lang w:val="hr-HR"/>
              </w:rPr>
            </w:pPr>
            <w:r w:rsidRPr="00DF4CE5">
              <w:rPr>
                <w:rFonts w:ascii="Cambria" w:eastAsia="Cambria" w:hAnsi="Cambria" w:cs="Cambria"/>
                <w:lang w:val="hr-HR"/>
              </w:rPr>
              <w:t>1.</w:t>
            </w:r>
            <w:r w:rsidRPr="00DF4CE5">
              <w:rPr>
                <w:rFonts w:ascii="Cambria" w:eastAsia="Cambria" w:hAnsi="Cambria" w:cs="Cambria"/>
                <w:spacing w:val="-1"/>
                <w:lang w:val="hr-HR"/>
              </w:rPr>
              <w:t xml:space="preserve"> </w:t>
            </w:r>
            <w:r w:rsidR="00826F4D">
              <w:rPr>
                <w:rFonts w:ascii="Cambria" w:eastAsia="Cambria" w:hAnsi="Cambria" w:cs="Cambria"/>
                <w:lang w:val="hr-HR"/>
              </w:rPr>
              <w:t>–</w:t>
            </w:r>
            <w:r w:rsidRPr="00DF4CE5">
              <w:rPr>
                <w:rFonts w:ascii="Cambria" w:eastAsia="Cambria" w:hAnsi="Cambria" w:cs="Cambria"/>
                <w:lang w:val="hr-HR"/>
              </w:rPr>
              <w:t xml:space="preserve"> 4.</w:t>
            </w:r>
          </w:p>
        </w:tc>
        <w:tc>
          <w:tcPr>
            <w:tcW w:w="919" w:type="dxa"/>
          </w:tcPr>
          <w:p w14:paraId="53F68C5B" w14:textId="77777777" w:rsidR="00CE3D99" w:rsidRPr="00DF4CE5" w:rsidRDefault="00CE3D99" w:rsidP="00DF4CE5">
            <w:pPr>
              <w:widowControl w:val="0"/>
              <w:autoSpaceDE w:val="0"/>
              <w:autoSpaceDN w:val="0"/>
              <w:spacing w:before="143" w:after="0" w:line="240" w:lineRule="auto"/>
              <w:ind w:right="315"/>
              <w:jc w:val="right"/>
              <w:rPr>
                <w:rFonts w:ascii="Cambria" w:eastAsia="Cambria" w:hAnsi="Cambria" w:cs="Cambria"/>
                <w:lang w:val="hr-HR"/>
              </w:rPr>
            </w:pPr>
            <w:r w:rsidRPr="00DF4CE5">
              <w:rPr>
                <w:rFonts w:ascii="Cambria" w:eastAsia="Cambria" w:hAnsi="Cambria" w:cs="Cambria"/>
                <w:lang w:val="hr-HR"/>
              </w:rPr>
              <w:t>41</w:t>
            </w:r>
          </w:p>
        </w:tc>
        <w:tc>
          <w:tcPr>
            <w:tcW w:w="879" w:type="dxa"/>
          </w:tcPr>
          <w:p w14:paraId="34737466" w14:textId="77777777" w:rsidR="00CE3D99" w:rsidRPr="00DF4CE5" w:rsidRDefault="00CE3D99" w:rsidP="00DF4CE5">
            <w:pPr>
              <w:widowControl w:val="0"/>
              <w:autoSpaceDE w:val="0"/>
              <w:autoSpaceDN w:val="0"/>
              <w:spacing w:before="143" w:after="0" w:line="240" w:lineRule="auto"/>
              <w:ind w:left="175" w:right="153"/>
              <w:jc w:val="center"/>
              <w:rPr>
                <w:rFonts w:ascii="Cambria" w:eastAsia="Cambria" w:hAnsi="Cambria" w:cs="Cambria"/>
                <w:lang w:val="hr-HR"/>
              </w:rPr>
            </w:pPr>
            <w:r w:rsidRPr="00DF4CE5">
              <w:rPr>
                <w:rFonts w:ascii="Cambria" w:eastAsia="Cambria" w:hAnsi="Cambria" w:cs="Cambria"/>
                <w:lang w:val="hr-HR"/>
              </w:rPr>
              <w:t>1,4</w:t>
            </w:r>
          </w:p>
        </w:tc>
        <w:tc>
          <w:tcPr>
            <w:tcW w:w="1889" w:type="dxa"/>
          </w:tcPr>
          <w:p w14:paraId="4C4531C3" w14:textId="77777777" w:rsidR="00CE3D99" w:rsidRPr="00DF4CE5" w:rsidRDefault="00CE3D99" w:rsidP="00DF4CE5">
            <w:pPr>
              <w:widowControl w:val="0"/>
              <w:autoSpaceDE w:val="0"/>
              <w:autoSpaceDN w:val="0"/>
              <w:spacing w:before="143" w:after="0" w:line="240" w:lineRule="auto"/>
              <w:ind w:left="725"/>
              <w:rPr>
                <w:rFonts w:ascii="Cambria" w:eastAsia="Cambria" w:hAnsi="Cambria" w:cs="Cambria"/>
                <w:lang w:val="hr-HR"/>
              </w:rPr>
            </w:pPr>
            <w:r w:rsidRPr="00DF4CE5">
              <w:rPr>
                <w:rFonts w:ascii="Cambria" w:eastAsia="Cambria" w:hAnsi="Cambria" w:cs="Cambria"/>
                <w:lang w:val="hr-HR"/>
              </w:rPr>
              <w:t>70%</w:t>
            </w:r>
          </w:p>
        </w:tc>
      </w:tr>
      <w:tr w:rsidR="00CE3D99" w:rsidRPr="00DF4CE5" w14:paraId="5B0196C4" w14:textId="77777777" w:rsidTr="00DF4CE5">
        <w:trPr>
          <w:trHeight w:val="272"/>
        </w:trPr>
        <w:tc>
          <w:tcPr>
            <w:tcW w:w="2614" w:type="dxa"/>
            <w:vMerge/>
            <w:tcBorders>
              <w:top w:val="nil"/>
            </w:tcBorders>
            <w:shd w:val="clear" w:color="auto" w:fill="F3F3F3"/>
          </w:tcPr>
          <w:p w14:paraId="41DAA282" w14:textId="77777777" w:rsidR="00CE3D99" w:rsidRPr="00DF4CE5" w:rsidRDefault="00CE3D99" w:rsidP="00DF4CE5">
            <w:pPr>
              <w:widowControl w:val="0"/>
              <w:autoSpaceDE w:val="0"/>
              <w:autoSpaceDN w:val="0"/>
              <w:spacing w:after="0" w:line="240" w:lineRule="auto"/>
              <w:rPr>
                <w:rFonts w:ascii="Cambria" w:eastAsia="Cambria" w:hAnsi="Cambria" w:cs="Cambria"/>
                <w:lang w:val="hr-HR"/>
              </w:rPr>
            </w:pPr>
          </w:p>
        </w:tc>
        <w:tc>
          <w:tcPr>
            <w:tcW w:w="3038" w:type="dxa"/>
            <w:gridSpan w:val="2"/>
          </w:tcPr>
          <w:p w14:paraId="7B992CE4" w14:textId="77777777" w:rsidR="00CE3D99" w:rsidRPr="00DF4CE5" w:rsidRDefault="00CE3D99" w:rsidP="00DF4CE5">
            <w:pPr>
              <w:widowControl w:val="0"/>
              <w:autoSpaceDE w:val="0"/>
              <w:autoSpaceDN w:val="0"/>
              <w:spacing w:before="16" w:after="0" w:line="237" w:lineRule="exact"/>
              <w:ind w:left="107"/>
              <w:rPr>
                <w:rFonts w:ascii="Cambria" w:eastAsia="Cambria" w:hAnsi="Cambria" w:cs="Cambria"/>
                <w:lang w:val="hr-HR"/>
              </w:rPr>
            </w:pPr>
            <w:r w:rsidRPr="00DF4CE5">
              <w:rPr>
                <w:rFonts w:ascii="Cambria" w:eastAsia="Cambria" w:hAnsi="Cambria" w:cs="Cambria"/>
                <w:lang w:val="hr-HR"/>
              </w:rPr>
              <w:t>ukupno</w:t>
            </w:r>
          </w:p>
        </w:tc>
        <w:tc>
          <w:tcPr>
            <w:tcW w:w="919" w:type="dxa"/>
          </w:tcPr>
          <w:p w14:paraId="3E5C1499" w14:textId="77777777" w:rsidR="00CE3D99" w:rsidRPr="00DF4CE5" w:rsidRDefault="00CE3D99" w:rsidP="00DF4CE5">
            <w:pPr>
              <w:widowControl w:val="0"/>
              <w:autoSpaceDE w:val="0"/>
              <w:autoSpaceDN w:val="0"/>
              <w:spacing w:before="16" w:after="0" w:line="237" w:lineRule="exact"/>
              <w:ind w:right="315"/>
              <w:jc w:val="right"/>
              <w:rPr>
                <w:rFonts w:ascii="Cambria" w:eastAsia="Cambria" w:hAnsi="Cambria" w:cs="Cambria"/>
                <w:lang w:val="hr-HR"/>
              </w:rPr>
            </w:pPr>
            <w:r w:rsidRPr="00DF4CE5">
              <w:rPr>
                <w:rFonts w:ascii="Cambria" w:eastAsia="Cambria" w:hAnsi="Cambria" w:cs="Cambria"/>
                <w:lang w:val="hr-HR"/>
              </w:rPr>
              <w:t>60</w:t>
            </w:r>
          </w:p>
        </w:tc>
        <w:tc>
          <w:tcPr>
            <w:tcW w:w="879" w:type="dxa"/>
          </w:tcPr>
          <w:p w14:paraId="6D8F0F77" w14:textId="77777777" w:rsidR="00CE3D99" w:rsidRPr="00DF4CE5" w:rsidRDefault="00CE3D99" w:rsidP="00DF4CE5">
            <w:pPr>
              <w:widowControl w:val="0"/>
              <w:autoSpaceDE w:val="0"/>
              <w:autoSpaceDN w:val="0"/>
              <w:spacing w:before="16" w:after="0" w:line="237" w:lineRule="exact"/>
              <w:ind w:left="18"/>
              <w:jc w:val="center"/>
              <w:rPr>
                <w:rFonts w:ascii="Cambria" w:eastAsia="Cambria" w:hAnsi="Cambria" w:cs="Cambria"/>
                <w:lang w:val="hr-HR"/>
              </w:rPr>
            </w:pPr>
            <w:r w:rsidRPr="00DF4CE5">
              <w:rPr>
                <w:rFonts w:ascii="Cambria" w:eastAsia="Cambria" w:hAnsi="Cambria" w:cs="Cambria"/>
                <w:lang w:val="hr-HR"/>
              </w:rPr>
              <w:t>2</w:t>
            </w:r>
          </w:p>
        </w:tc>
        <w:tc>
          <w:tcPr>
            <w:tcW w:w="1889" w:type="dxa"/>
          </w:tcPr>
          <w:p w14:paraId="245138ED" w14:textId="77777777" w:rsidR="00CE3D99" w:rsidRPr="00DF4CE5" w:rsidRDefault="00CE3D99" w:rsidP="00DF4CE5">
            <w:pPr>
              <w:widowControl w:val="0"/>
              <w:autoSpaceDE w:val="0"/>
              <w:autoSpaceDN w:val="0"/>
              <w:spacing w:before="16" w:after="0" w:line="237" w:lineRule="exact"/>
              <w:ind w:left="663"/>
              <w:rPr>
                <w:rFonts w:ascii="Cambria" w:eastAsia="Cambria" w:hAnsi="Cambria" w:cs="Cambria"/>
                <w:lang w:val="hr-HR"/>
              </w:rPr>
            </w:pPr>
            <w:r w:rsidRPr="00DF4CE5">
              <w:rPr>
                <w:rFonts w:ascii="Cambria" w:eastAsia="Cambria" w:hAnsi="Cambria" w:cs="Cambria"/>
                <w:lang w:val="hr-HR"/>
              </w:rPr>
              <w:t>100%</w:t>
            </w:r>
          </w:p>
        </w:tc>
      </w:tr>
      <w:tr w:rsidR="00CE3D99" w:rsidRPr="00D0399C" w14:paraId="6E71F7D8" w14:textId="77777777" w:rsidTr="00DF4CE5">
        <w:trPr>
          <w:trHeight w:val="4788"/>
        </w:trPr>
        <w:tc>
          <w:tcPr>
            <w:tcW w:w="2614" w:type="dxa"/>
            <w:shd w:val="clear" w:color="auto" w:fill="F3F3F3"/>
          </w:tcPr>
          <w:p w14:paraId="6701BFA8" w14:textId="77777777" w:rsidR="00CE3D99" w:rsidRPr="00DF4CE5" w:rsidRDefault="00CE3D99" w:rsidP="00DF4CE5">
            <w:pPr>
              <w:widowControl w:val="0"/>
              <w:autoSpaceDE w:val="0"/>
              <w:autoSpaceDN w:val="0"/>
              <w:spacing w:after="0" w:line="240" w:lineRule="auto"/>
              <w:rPr>
                <w:rFonts w:ascii="Cambria" w:eastAsia="Cambria" w:hAnsi="Cambria" w:cs="Cambria"/>
                <w:lang w:val="hr-HR"/>
              </w:rPr>
            </w:pPr>
          </w:p>
          <w:p w14:paraId="492283CC" w14:textId="77777777" w:rsidR="00CE3D99" w:rsidRPr="00DF4CE5" w:rsidRDefault="00CE3D99" w:rsidP="00DF4CE5">
            <w:pPr>
              <w:widowControl w:val="0"/>
              <w:autoSpaceDE w:val="0"/>
              <w:autoSpaceDN w:val="0"/>
              <w:spacing w:after="0" w:line="240" w:lineRule="auto"/>
              <w:rPr>
                <w:rFonts w:ascii="Cambria" w:eastAsia="Cambria" w:hAnsi="Cambria" w:cs="Cambria"/>
                <w:lang w:val="hr-HR"/>
              </w:rPr>
            </w:pPr>
          </w:p>
          <w:p w14:paraId="4C26F4F0" w14:textId="77777777" w:rsidR="00CE3D99" w:rsidRPr="00DF4CE5" w:rsidRDefault="00CE3D99" w:rsidP="00DF4CE5">
            <w:pPr>
              <w:widowControl w:val="0"/>
              <w:autoSpaceDE w:val="0"/>
              <w:autoSpaceDN w:val="0"/>
              <w:spacing w:after="0" w:line="240" w:lineRule="auto"/>
              <w:rPr>
                <w:rFonts w:ascii="Cambria" w:eastAsia="Cambria" w:hAnsi="Cambria" w:cs="Cambria"/>
                <w:lang w:val="hr-HR"/>
              </w:rPr>
            </w:pPr>
          </w:p>
          <w:p w14:paraId="0D8F6E23" w14:textId="77777777" w:rsidR="00CE3D99" w:rsidRPr="00DF4CE5" w:rsidRDefault="00CE3D99" w:rsidP="00DF4CE5">
            <w:pPr>
              <w:widowControl w:val="0"/>
              <w:autoSpaceDE w:val="0"/>
              <w:autoSpaceDN w:val="0"/>
              <w:spacing w:after="0" w:line="240" w:lineRule="auto"/>
              <w:rPr>
                <w:rFonts w:ascii="Cambria" w:eastAsia="Cambria" w:hAnsi="Cambria" w:cs="Cambria"/>
                <w:lang w:val="hr-HR"/>
              </w:rPr>
            </w:pPr>
          </w:p>
          <w:p w14:paraId="5280EB1D" w14:textId="77777777" w:rsidR="00CE3D99" w:rsidRPr="00DF4CE5" w:rsidRDefault="00CE3D99" w:rsidP="00DF4CE5">
            <w:pPr>
              <w:widowControl w:val="0"/>
              <w:autoSpaceDE w:val="0"/>
              <w:autoSpaceDN w:val="0"/>
              <w:spacing w:after="0" w:line="240" w:lineRule="auto"/>
              <w:rPr>
                <w:rFonts w:ascii="Cambria" w:eastAsia="Cambria" w:hAnsi="Cambria" w:cs="Cambria"/>
                <w:lang w:val="hr-HR"/>
              </w:rPr>
            </w:pPr>
          </w:p>
          <w:p w14:paraId="36C88C6E" w14:textId="77777777" w:rsidR="00CE3D99" w:rsidRPr="00DF4CE5" w:rsidRDefault="00CE3D99" w:rsidP="00DF4CE5">
            <w:pPr>
              <w:widowControl w:val="0"/>
              <w:autoSpaceDE w:val="0"/>
              <w:autoSpaceDN w:val="0"/>
              <w:spacing w:after="0" w:line="240" w:lineRule="auto"/>
              <w:rPr>
                <w:rFonts w:ascii="Cambria" w:eastAsia="Cambria" w:hAnsi="Cambria" w:cs="Cambria"/>
                <w:lang w:val="hr-HR"/>
              </w:rPr>
            </w:pPr>
          </w:p>
          <w:p w14:paraId="46C02A15" w14:textId="77777777" w:rsidR="00CE3D99" w:rsidRPr="00DF4CE5" w:rsidRDefault="00CE3D99" w:rsidP="00DF4CE5">
            <w:pPr>
              <w:widowControl w:val="0"/>
              <w:autoSpaceDE w:val="0"/>
              <w:autoSpaceDN w:val="0"/>
              <w:spacing w:before="2" w:after="0" w:line="240" w:lineRule="auto"/>
              <w:rPr>
                <w:rFonts w:ascii="Cambria" w:eastAsia="Cambria" w:hAnsi="Cambria" w:cs="Cambria"/>
                <w:lang w:val="hr-HR"/>
              </w:rPr>
            </w:pPr>
          </w:p>
          <w:p w14:paraId="551B4477" w14:textId="77777777" w:rsidR="00CE3D99" w:rsidRPr="00DF4CE5" w:rsidRDefault="00CE3D99" w:rsidP="00DF4CE5">
            <w:pPr>
              <w:widowControl w:val="0"/>
              <w:autoSpaceDE w:val="0"/>
              <w:autoSpaceDN w:val="0"/>
              <w:spacing w:before="1" w:after="0" w:line="240" w:lineRule="auto"/>
              <w:ind w:left="143"/>
              <w:rPr>
                <w:rFonts w:ascii="Cambria" w:eastAsia="Cambria" w:hAnsi="Cambria" w:cs="Cambria"/>
                <w:lang w:val="hr-HR"/>
              </w:rPr>
            </w:pPr>
            <w:r w:rsidRPr="00DF4CE5">
              <w:rPr>
                <w:rFonts w:ascii="Cambria" w:eastAsia="Cambria" w:hAnsi="Cambria" w:cs="Cambria"/>
                <w:lang w:val="hr-HR"/>
              </w:rPr>
              <w:t>Studentske</w:t>
            </w:r>
            <w:r w:rsidRPr="00DF4CE5">
              <w:rPr>
                <w:rFonts w:ascii="Cambria" w:eastAsia="Cambria" w:hAnsi="Cambria" w:cs="Cambria"/>
                <w:spacing w:val="-5"/>
                <w:lang w:val="hr-HR"/>
              </w:rPr>
              <w:t xml:space="preserve"> </w:t>
            </w:r>
            <w:r w:rsidRPr="00DF4CE5">
              <w:rPr>
                <w:rFonts w:ascii="Cambria" w:eastAsia="Cambria" w:hAnsi="Cambria" w:cs="Cambria"/>
                <w:lang w:val="hr-HR"/>
              </w:rPr>
              <w:t>obveze</w:t>
            </w:r>
          </w:p>
        </w:tc>
        <w:tc>
          <w:tcPr>
            <w:tcW w:w="6725" w:type="dxa"/>
            <w:gridSpan w:val="5"/>
          </w:tcPr>
          <w:p w14:paraId="121E6518" w14:textId="77777777" w:rsidR="00CE3D99" w:rsidRPr="00DF4CE5" w:rsidRDefault="00CE3D99" w:rsidP="00DF4CE5">
            <w:pPr>
              <w:widowControl w:val="0"/>
              <w:autoSpaceDE w:val="0"/>
              <w:autoSpaceDN w:val="0"/>
              <w:spacing w:before="71" w:after="0" w:line="240" w:lineRule="auto"/>
              <w:ind w:left="479"/>
              <w:rPr>
                <w:rFonts w:ascii="Cambria" w:eastAsia="Cambria" w:hAnsi="Cambria" w:cs="Cambria"/>
                <w:lang w:val="hr-HR"/>
              </w:rPr>
            </w:pPr>
            <w:r w:rsidRPr="00DF4CE5">
              <w:rPr>
                <w:rFonts w:ascii="Cambria" w:eastAsia="Cambria" w:hAnsi="Cambria" w:cs="Cambria"/>
                <w:lang w:val="hr-HR"/>
              </w:rPr>
              <w:t>Da</w:t>
            </w:r>
            <w:r w:rsidRPr="00DF4CE5">
              <w:rPr>
                <w:rFonts w:ascii="Cambria" w:eastAsia="Cambria" w:hAnsi="Cambria" w:cs="Cambria"/>
                <w:spacing w:val="-3"/>
                <w:lang w:val="hr-HR"/>
              </w:rPr>
              <w:t xml:space="preserve"> </w:t>
            </w:r>
            <w:r w:rsidRPr="00DF4CE5">
              <w:rPr>
                <w:rFonts w:ascii="Cambria" w:eastAsia="Cambria" w:hAnsi="Cambria" w:cs="Cambria"/>
                <w:lang w:val="hr-HR"/>
              </w:rPr>
              <w:t>položi</w:t>
            </w:r>
            <w:r w:rsidRPr="00DF4CE5">
              <w:rPr>
                <w:rFonts w:ascii="Cambria" w:eastAsia="Cambria" w:hAnsi="Cambria" w:cs="Cambria"/>
                <w:spacing w:val="-1"/>
                <w:lang w:val="hr-HR"/>
              </w:rPr>
              <w:t xml:space="preserve"> </w:t>
            </w:r>
            <w:r w:rsidRPr="00DF4CE5">
              <w:rPr>
                <w:rFonts w:ascii="Cambria" w:eastAsia="Cambria" w:hAnsi="Cambria" w:cs="Cambria"/>
                <w:lang w:val="hr-HR"/>
              </w:rPr>
              <w:t>kolegij,</w:t>
            </w:r>
            <w:r w:rsidRPr="00DF4CE5">
              <w:rPr>
                <w:rFonts w:ascii="Cambria" w:eastAsia="Cambria" w:hAnsi="Cambria" w:cs="Cambria"/>
                <w:spacing w:val="-5"/>
                <w:lang w:val="hr-HR"/>
              </w:rPr>
              <w:t xml:space="preserve"> </w:t>
            </w:r>
            <w:r w:rsidRPr="00DF4CE5">
              <w:rPr>
                <w:rFonts w:ascii="Cambria" w:eastAsia="Cambria" w:hAnsi="Cambria" w:cs="Cambria"/>
                <w:lang w:val="hr-HR"/>
              </w:rPr>
              <w:t>student/studentica</w:t>
            </w:r>
            <w:r w:rsidRPr="00DF4CE5">
              <w:rPr>
                <w:rFonts w:ascii="Cambria" w:eastAsia="Cambria" w:hAnsi="Cambria" w:cs="Cambria"/>
                <w:spacing w:val="-3"/>
                <w:lang w:val="hr-HR"/>
              </w:rPr>
              <w:t xml:space="preserve"> </w:t>
            </w:r>
            <w:r w:rsidRPr="00DF4CE5">
              <w:rPr>
                <w:rFonts w:ascii="Cambria" w:eastAsia="Cambria" w:hAnsi="Cambria" w:cs="Cambria"/>
                <w:lang w:val="hr-HR"/>
              </w:rPr>
              <w:t>mora:</w:t>
            </w:r>
          </w:p>
          <w:p w14:paraId="331917B8" w14:textId="77777777" w:rsidR="00CE3D99" w:rsidRPr="00DF4CE5" w:rsidRDefault="00CE3D99" w:rsidP="00A034E3">
            <w:pPr>
              <w:widowControl w:val="0"/>
              <w:numPr>
                <w:ilvl w:val="0"/>
                <w:numId w:val="79"/>
              </w:numPr>
              <w:tabs>
                <w:tab w:val="left" w:pos="504"/>
              </w:tabs>
              <w:autoSpaceDE w:val="0"/>
              <w:autoSpaceDN w:val="0"/>
              <w:spacing w:before="1" w:after="0" w:line="240" w:lineRule="auto"/>
              <w:ind w:right="227"/>
              <w:rPr>
                <w:rFonts w:ascii="Cambria" w:eastAsia="Cambria" w:hAnsi="Cambria" w:cs="Cambria"/>
                <w:lang w:val="hr-HR"/>
              </w:rPr>
            </w:pPr>
            <w:r w:rsidRPr="00DF4CE5">
              <w:rPr>
                <w:rFonts w:ascii="Cambria" w:eastAsia="Cambria" w:hAnsi="Cambria" w:cs="Cambria"/>
                <w:lang w:val="hr-HR"/>
              </w:rPr>
              <w:t>predati voditeljici stručne prakse ispunjen i ovjeren Prijavni list</w:t>
            </w:r>
            <w:r w:rsidRPr="00DF4CE5">
              <w:rPr>
                <w:rFonts w:ascii="Cambria" w:eastAsia="Cambria" w:hAnsi="Cambria" w:cs="Cambria"/>
                <w:spacing w:val="-46"/>
                <w:lang w:val="hr-HR"/>
              </w:rPr>
              <w:t xml:space="preserve"> </w:t>
            </w:r>
            <w:r w:rsidRPr="00DF4CE5">
              <w:rPr>
                <w:rFonts w:ascii="Cambria" w:eastAsia="Cambria" w:hAnsi="Cambria" w:cs="Cambria"/>
                <w:lang w:val="hr-HR"/>
              </w:rPr>
              <w:t>kojim potvrđuje odabir osnovne škole (prije pohađanja stručne</w:t>
            </w:r>
            <w:r w:rsidRPr="00DF4CE5">
              <w:rPr>
                <w:rFonts w:ascii="Cambria" w:eastAsia="Cambria" w:hAnsi="Cambria" w:cs="Cambria"/>
                <w:spacing w:val="1"/>
                <w:lang w:val="hr-HR"/>
              </w:rPr>
              <w:t xml:space="preserve"> </w:t>
            </w:r>
            <w:r w:rsidRPr="00DF4CE5">
              <w:rPr>
                <w:rFonts w:ascii="Cambria" w:eastAsia="Cambria" w:hAnsi="Cambria" w:cs="Cambria"/>
                <w:lang w:val="hr-HR"/>
              </w:rPr>
              <w:t>prakse, a najkasnije do kraja studenog tekuće akademske</w:t>
            </w:r>
            <w:r w:rsidRPr="00DF4CE5">
              <w:rPr>
                <w:rFonts w:ascii="Cambria" w:eastAsia="Cambria" w:hAnsi="Cambria" w:cs="Cambria"/>
                <w:spacing w:val="1"/>
                <w:lang w:val="hr-HR"/>
              </w:rPr>
              <w:t xml:space="preserve"> </w:t>
            </w:r>
            <w:r w:rsidRPr="00DF4CE5">
              <w:rPr>
                <w:rFonts w:ascii="Cambria" w:eastAsia="Cambria" w:hAnsi="Cambria" w:cs="Cambria"/>
                <w:lang w:val="hr-HR"/>
              </w:rPr>
              <w:t>godine)</w:t>
            </w:r>
          </w:p>
          <w:p w14:paraId="64AFCB0D" w14:textId="77777777" w:rsidR="00CE3D99" w:rsidRPr="00DF4CE5" w:rsidRDefault="00CE3D99" w:rsidP="00A034E3">
            <w:pPr>
              <w:widowControl w:val="0"/>
              <w:numPr>
                <w:ilvl w:val="0"/>
                <w:numId w:val="79"/>
              </w:numPr>
              <w:tabs>
                <w:tab w:val="left" w:pos="504"/>
              </w:tabs>
              <w:autoSpaceDE w:val="0"/>
              <w:autoSpaceDN w:val="0"/>
              <w:spacing w:before="1" w:after="0" w:line="257" w:lineRule="exact"/>
              <w:ind w:hanging="361"/>
              <w:rPr>
                <w:rFonts w:ascii="Cambria" w:eastAsia="Cambria" w:hAnsi="Cambria" w:cs="Cambria"/>
                <w:lang w:val="hr-HR"/>
              </w:rPr>
            </w:pPr>
            <w:r w:rsidRPr="00DF4CE5">
              <w:rPr>
                <w:rFonts w:ascii="Cambria" w:eastAsia="Cambria" w:hAnsi="Cambria" w:cs="Cambria"/>
                <w:lang w:val="hr-HR"/>
              </w:rPr>
              <w:t>pohađati</w:t>
            </w:r>
            <w:r w:rsidRPr="00DF4CE5">
              <w:rPr>
                <w:rFonts w:ascii="Cambria" w:eastAsia="Cambria" w:hAnsi="Cambria" w:cs="Cambria"/>
                <w:spacing w:val="-1"/>
                <w:lang w:val="hr-HR"/>
              </w:rPr>
              <w:t xml:space="preserve"> </w:t>
            </w:r>
            <w:r w:rsidRPr="00DF4CE5">
              <w:rPr>
                <w:rFonts w:ascii="Cambria" w:eastAsia="Cambria" w:hAnsi="Cambria" w:cs="Cambria"/>
                <w:lang w:val="hr-HR"/>
              </w:rPr>
              <w:t>redovnu,</w:t>
            </w:r>
            <w:r w:rsidRPr="00DF4CE5">
              <w:rPr>
                <w:rFonts w:ascii="Cambria" w:eastAsia="Cambria" w:hAnsi="Cambria" w:cs="Cambria"/>
                <w:spacing w:val="-2"/>
                <w:lang w:val="hr-HR"/>
              </w:rPr>
              <w:t xml:space="preserve"> </w:t>
            </w:r>
            <w:r w:rsidRPr="00DF4CE5">
              <w:rPr>
                <w:rFonts w:ascii="Cambria" w:eastAsia="Cambria" w:hAnsi="Cambria" w:cs="Cambria"/>
                <w:lang w:val="hr-HR"/>
              </w:rPr>
              <w:t>dodatnu,</w:t>
            </w:r>
            <w:r w:rsidRPr="00DF4CE5">
              <w:rPr>
                <w:rFonts w:ascii="Cambria" w:eastAsia="Cambria" w:hAnsi="Cambria" w:cs="Cambria"/>
                <w:spacing w:val="-1"/>
                <w:lang w:val="hr-HR"/>
              </w:rPr>
              <w:t xml:space="preserve"> </w:t>
            </w:r>
            <w:r w:rsidRPr="00DF4CE5">
              <w:rPr>
                <w:rFonts w:ascii="Cambria" w:eastAsia="Cambria" w:hAnsi="Cambria" w:cs="Cambria"/>
                <w:lang w:val="hr-HR"/>
              </w:rPr>
              <w:t>dopunsku</w:t>
            </w:r>
            <w:r w:rsidRPr="00DF4CE5">
              <w:rPr>
                <w:rFonts w:ascii="Cambria" w:eastAsia="Cambria" w:hAnsi="Cambria" w:cs="Cambria"/>
                <w:spacing w:val="-3"/>
                <w:lang w:val="hr-HR"/>
              </w:rPr>
              <w:t xml:space="preserve"> </w:t>
            </w:r>
            <w:r w:rsidRPr="00DF4CE5">
              <w:rPr>
                <w:rFonts w:ascii="Cambria" w:eastAsia="Cambria" w:hAnsi="Cambria" w:cs="Cambria"/>
                <w:lang w:val="hr-HR"/>
              </w:rPr>
              <w:t>i</w:t>
            </w:r>
            <w:r w:rsidRPr="00DF4CE5">
              <w:rPr>
                <w:rFonts w:ascii="Cambria" w:eastAsia="Cambria" w:hAnsi="Cambria" w:cs="Cambria"/>
                <w:spacing w:val="-4"/>
                <w:lang w:val="hr-HR"/>
              </w:rPr>
              <w:t xml:space="preserve"> </w:t>
            </w:r>
            <w:r w:rsidRPr="00DF4CE5">
              <w:rPr>
                <w:rFonts w:ascii="Cambria" w:eastAsia="Cambria" w:hAnsi="Cambria" w:cs="Cambria"/>
                <w:lang w:val="hr-HR"/>
              </w:rPr>
              <w:t>izbornu</w:t>
            </w:r>
            <w:r w:rsidRPr="00DF4CE5">
              <w:rPr>
                <w:rFonts w:ascii="Cambria" w:eastAsia="Cambria" w:hAnsi="Cambria" w:cs="Cambria"/>
                <w:spacing w:val="-2"/>
                <w:lang w:val="hr-HR"/>
              </w:rPr>
              <w:t xml:space="preserve"> </w:t>
            </w:r>
            <w:r w:rsidRPr="00DF4CE5">
              <w:rPr>
                <w:rFonts w:ascii="Cambria" w:eastAsia="Cambria" w:hAnsi="Cambria" w:cs="Cambria"/>
                <w:lang w:val="hr-HR"/>
              </w:rPr>
              <w:t>nastavu</w:t>
            </w:r>
            <w:r w:rsidRPr="00DF4CE5">
              <w:rPr>
                <w:rFonts w:ascii="Cambria" w:eastAsia="Cambria" w:hAnsi="Cambria" w:cs="Cambria"/>
                <w:spacing w:val="-1"/>
                <w:lang w:val="hr-HR"/>
              </w:rPr>
              <w:t xml:space="preserve"> </w:t>
            </w:r>
            <w:r w:rsidRPr="00DF4CE5">
              <w:rPr>
                <w:rFonts w:ascii="Cambria" w:eastAsia="Cambria" w:hAnsi="Cambria" w:cs="Cambria"/>
                <w:lang w:val="hr-HR"/>
              </w:rPr>
              <w:t>te</w:t>
            </w:r>
          </w:p>
          <w:p w14:paraId="470DB06D" w14:textId="77777777" w:rsidR="00CE3D99" w:rsidRPr="00DF4CE5" w:rsidRDefault="00CE3D99" w:rsidP="00DF4CE5">
            <w:pPr>
              <w:widowControl w:val="0"/>
              <w:autoSpaceDE w:val="0"/>
              <w:autoSpaceDN w:val="0"/>
              <w:spacing w:after="0" w:line="257" w:lineRule="exact"/>
              <w:ind w:left="503"/>
              <w:rPr>
                <w:rFonts w:ascii="Cambria" w:eastAsia="Cambria" w:hAnsi="Cambria" w:cs="Cambria"/>
                <w:lang w:val="hr-HR"/>
              </w:rPr>
            </w:pPr>
            <w:r w:rsidRPr="00DF4CE5">
              <w:rPr>
                <w:rFonts w:ascii="Cambria" w:eastAsia="Cambria" w:hAnsi="Cambria" w:cs="Cambria"/>
                <w:lang w:val="hr-HR"/>
              </w:rPr>
              <w:t>izvannastavne</w:t>
            </w:r>
            <w:r w:rsidRPr="00DF4CE5">
              <w:rPr>
                <w:rFonts w:ascii="Cambria" w:eastAsia="Cambria" w:hAnsi="Cambria" w:cs="Cambria"/>
                <w:spacing w:val="-5"/>
                <w:lang w:val="hr-HR"/>
              </w:rPr>
              <w:t xml:space="preserve"> </w:t>
            </w:r>
            <w:r w:rsidRPr="00DF4CE5">
              <w:rPr>
                <w:rFonts w:ascii="Cambria" w:eastAsia="Cambria" w:hAnsi="Cambria" w:cs="Cambria"/>
                <w:lang w:val="hr-HR"/>
              </w:rPr>
              <w:t>aktivnosti</w:t>
            </w:r>
          </w:p>
          <w:p w14:paraId="7336255A" w14:textId="77777777" w:rsidR="00CE3D99" w:rsidRPr="00DF4CE5" w:rsidRDefault="00CE3D99" w:rsidP="00A034E3">
            <w:pPr>
              <w:widowControl w:val="0"/>
              <w:numPr>
                <w:ilvl w:val="0"/>
                <w:numId w:val="79"/>
              </w:numPr>
              <w:tabs>
                <w:tab w:val="left" w:pos="504"/>
              </w:tabs>
              <w:autoSpaceDE w:val="0"/>
              <w:autoSpaceDN w:val="0"/>
              <w:spacing w:before="2" w:after="0" w:line="257" w:lineRule="exact"/>
              <w:ind w:hanging="361"/>
              <w:rPr>
                <w:rFonts w:ascii="Cambria" w:eastAsia="Cambria" w:hAnsi="Cambria" w:cs="Cambria"/>
                <w:lang w:val="hr-HR"/>
              </w:rPr>
            </w:pPr>
            <w:r w:rsidRPr="00DF4CE5">
              <w:rPr>
                <w:rFonts w:ascii="Cambria" w:eastAsia="Cambria" w:hAnsi="Cambria" w:cs="Cambria"/>
                <w:lang w:val="hr-HR"/>
              </w:rPr>
              <w:t>sudjelovati</w:t>
            </w:r>
            <w:r w:rsidRPr="00DF4CE5">
              <w:rPr>
                <w:rFonts w:ascii="Cambria" w:eastAsia="Cambria" w:hAnsi="Cambria" w:cs="Cambria"/>
                <w:spacing w:val="-3"/>
                <w:lang w:val="hr-HR"/>
              </w:rPr>
              <w:t xml:space="preserve"> </w:t>
            </w:r>
            <w:r w:rsidRPr="00DF4CE5">
              <w:rPr>
                <w:rFonts w:ascii="Cambria" w:eastAsia="Cambria" w:hAnsi="Cambria" w:cs="Cambria"/>
                <w:lang w:val="hr-HR"/>
              </w:rPr>
              <w:t>u</w:t>
            </w:r>
            <w:r w:rsidRPr="00DF4CE5">
              <w:rPr>
                <w:rFonts w:ascii="Cambria" w:eastAsia="Cambria" w:hAnsi="Cambria" w:cs="Cambria"/>
                <w:spacing w:val="-2"/>
                <w:lang w:val="hr-HR"/>
              </w:rPr>
              <w:t xml:space="preserve"> </w:t>
            </w:r>
            <w:r w:rsidRPr="00DF4CE5">
              <w:rPr>
                <w:rFonts w:ascii="Cambria" w:eastAsia="Cambria" w:hAnsi="Cambria" w:cs="Cambria"/>
                <w:lang w:val="hr-HR"/>
              </w:rPr>
              <w:t>različitim</w:t>
            </w:r>
            <w:r w:rsidRPr="00DF4CE5">
              <w:rPr>
                <w:rFonts w:ascii="Cambria" w:eastAsia="Cambria" w:hAnsi="Cambria" w:cs="Cambria"/>
                <w:spacing w:val="-3"/>
                <w:lang w:val="hr-HR"/>
              </w:rPr>
              <w:t xml:space="preserve"> </w:t>
            </w:r>
            <w:r w:rsidRPr="00DF4CE5">
              <w:rPr>
                <w:rFonts w:ascii="Cambria" w:eastAsia="Cambria" w:hAnsi="Cambria" w:cs="Cambria"/>
                <w:lang w:val="hr-HR"/>
              </w:rPr>
              <w:t>oblicima</w:t>
            </w:r>
            <w:r w:rsidRPr="00DF4CE5">
              <w:rPr>
                <w:rFonts w:ascii="Cambria" w:eastAsia="Cambria" w:hAnsi="Cambria" w:cs="Cambria"/>
                <w:spacing w:val="-2"/>
                <w:lang w:val="hr-HR"/>
              </w:rPr>
              <w:t xml:space="preserve"> </w:t>
            </w:r>
            <w:r w:rsidRPr="00DF4CE5">
              <w:rPr>
                <w:rFonts w:ascii="Cambria" w:eastAsia="Cambria" w:hAnsi="Cambria" w:cs="Cambria"/>
                <w:lang w:val="hr-HR"/>
              </w:rPr>
              <w:t>odgojno-obrazovnog</w:t>
            </w:r>
            <w:r w:rsidRPr="00DF4CE5">
              <w:rPr>
                <w:rFonts w:ascii="Cambria" w:eastAsia="Cambria" w:hAnsi="Cambria" w:cs="Cambria"/>
                <w:spacing w:val="-3"/>
                <w:lang w:val="hr-HR"/>
              </w:rPr>
              <w:t xml:space="preserve"> </w:t>
            </w:r>
            <w:r w:rsidRPr="00DF4CE5">
              <w:rPr>
                <w:rFonts w:ascii="Cambria" w:eastAsia="Cambria" w:hAnsi="Cambria" w:cs="Cambria"/>
                <w:lang w:val="hr-HR"/>
              </w:rPr>
              <w:t>rada</w:t>
            </w:r>
            <w:r w:rsidRPr="00DF4CE5">
              <w:rPr>
                <w:rFonts w:ascii="Cambria" w:eastAsia="Cambria" w:hAnsi="Cambria" w:cs="Cambria"/>
                <w:spacing w:val="-3"/>
                <w:lang w:val="hr-HR"/>
              </w:rPr>
              <w:t xml:space="preserve"> </w:t>
            </w:r>
            <w:r w:rsidRPr="00DF4CE5">
              <w:rPr>
                <w:rFonts w:ascii="Cambria" w:eastAsia="Cambria" w:hAnsi="Cambria" w:cs="Cambria"/>
                <w:lang w:val="hr-HR"/>
              </w:rPr>
              <w:t>u</w:t>
            </w:r>
          </w:p>
          <w:p w14:paraId="7F43F324" w14:textId="77777777" w:rsidR="00CE3D99" w:rsidRPr="00DF4CE5" w:rsidRDefault="00CE3D99" w:rsidP="00DF4CE5">
            <w:pPr>
              <w:widowControl w:val="0"/>
              <w:autoSpaceDE w:val="0"/>
              <w:autoSpaceDN w:val="0"/>
              <w:spacing w:after="0" w:line="257" w:lineRule="exact"/>
              <w:ind w:left="503"/>
              <w:rPr>
                <w:rFonts w:ascii="Cambria" w:eastAsia="Cambria" w:hAnsi="Cambria" w:cs="Cambria"/>
                <w:lang w:val="hr-HR"/>
              </w:rPr>
            </w:pPr>
            <w:r w:rsidRPr="00DF4CE5">
              <w:rPr>
                <w:rFonts w:ascii="Cambria" w:eastAsia="Cambria" w:hAnsi="Cambria" w:cs="Cambria"/>
                <w:lang w:val="hr-HR"/>
              </w:rPr>
              <w:t>školi</w:t>
            </w:r>
          </w:p>
          <w:p w14:paraId="6CD3993F" w14:textId="77777777" w:rsidR="00CE3D99" w:rsidRPr="00DF4CE5" w:rsidRDefault="00CE3D99" w:rsidP="00A034E3">
            <w:pPr>
              <w:widowControl w:val="0"/>
              <w:numPr>
                <w:ilvl w:val="0"/>
                <w:numId w:val="79"/>
              </w:numPr>
              <w:tabs>
                <w:tab w:val="left" w:pos="504"/>
              </w:tabs>
              <w:autoSpaceDE w:val="0"/>
              <w:autoSpaceDN w:val="0"/>
              <w:spacing w:before="1" w:after="0" w:line="257" w:lineRule="exact"/>
              <w:ind w:hanging="361"/>
              <w:rPr>
                <w:rFonts w:ascii="Cambria" w:eastAsia="Cambria" w:hAnsi="Cambria" w:cs="Cambria"/>
                <w:lang w:val="hr-HR"/>
              </w:rPr>
            </w:pPr>
            <w:r w:rsidRPr="00DF4CE5">
              <w:rPr>
                <w:rFonts w:ascii="Cambria" w:eastAsia="Cambria" w:hAnsi="Cambria" w:cs="Cambria"/>
                <w:lang w:val="hr-HR"/>
              </w:rPr>
              <w:t>voditi</w:t>
            </w:r>
            <w:r w:rsidRPr="00DF4CE5">
              <w:rPr>
                <w:rFonts w:ascii="Cambria" w:eastAsia="Cambria" w:hAnsi="Cambria" w:cs="Cambria"/>
                <w:spacing w:val="-2"/>
                <w:lang w:val="hr-HR"/>
              </w:rPr>
              <w:t xml:space="preserve"> </w:t>
            </w:r>
            <w:r w:rsidRPr="00DF4CE5">
              <w:rPr>
                <w:rFonts w:ascii="Cambria" w:eastAsia="Cambria" w:hAnsi="Cambria" w:cs="Cambria"/>
                <w:lang w:val="hr-HR"/>
              </w:rPr>
              <w:t>Dnevnik</w:t>
            </w:r>
            <w:r w:rsidRPr="00DF4CE5">
              <w:rPr>
                <w:rFonts w:ascii="Cambria" w:eastAsia="Cambria" w:hAnsi="Cambria" w:cs="Cambria"/>
                <w:spacing w:val="-4"/>
                <w:lang w:val="hr-HR"/>
              </w:rPr>
              <w:t xml:space="preserve"> </w:t>
            </w:r>
            <w:r w:rsidRPr="00DF4CE5">
              <w:rPr>
                <w:rFonts w:ascii="Cambria" w:eastAsia="Cambria" w:hAnsi="Cambria" w:cs="Cambria"/>
                <w:lang w:val="hr-HR"/>
              </w:rPr>
              <w:t>stručne</w:t>
            </w:r>
            <w:r w:rsidRPr="00DF4CE5">
              <w:rPr>
                <w:rFonts w:ascii="Cambria" w:eastAsia="Cambria" w:hAnsi="Cambria" w:cs="Cambria"/>
                <w:spacing w:val="-1"/>
                <w:lang w:val="hr-HR"/>
              </w:rPr>
              <w:t xml:space="preserve"> </w:t>
            </w:r>
            <w:r w:rsidRPr="00DF4CE5">
              <w:rPr>
                <w:rFonts w:ascii="Cambria" w:eastAsia="Cambria" w:hAnsi="Cambria" w:cs="Cambria"/>
                <w:lang w:val="hr-HR"/>
              </w:rPr>
              <w:t>prakse</w:t>
            </w:r>
            <w:r w:rsidRPr="00DF4CE5">
              <w:rPr>
                <w:rFonts w:ascii="Cambria" w:eastAsia="Cambria" w:hAnsi="Cambria" w:cs="Cambria"/>
                <w:spacing w:val="-2"/>
                <w:lang w:val="hr-HR"/>
              </w:rPr>
              <w:t xml:space="preserve"> </w:t>
            </w:r>
            <w:r w:rsidRPr="00DF4CE5">
              <w:rPr>
                <w:rFonts w:ascii="Cambria" w:eastAsia="Cambria" w:hAnsi="Cambria" w:cs="Cambria"/>
                <w:lang w:val="hr-HR"/>
              </w:rPr>
              <w:t>(u</w:t>
            </w:r>
            <w:r w:rsidRPr="00DF4CE5">
              <w:rPr>
                <w:rFonts w:ascii="Cambria" w:eastAsia="Cambria" w:hAnsi="Cambria" w:cs="Cambria"/>
                <w:spacing w:val="-4"/>
                <w:lang w:val="hr-HR"/>
              </w:rPr>
              <w:t xml:space="preserve"> </w:t>
            </w:r>
            <w:r w:rsidRPr="00DF4CE5">
              <w:rPr>
                <w:rFonts w:ascii="Cambria" w:eastAsia="Cambria" w:hAnsi="Cambria" w:cs="Cambria"/>
                <w:lang w:val="hr-HR"/>
              </w:rPr>
              <w:t>skladu</w:t>
            </w:r>
            <w:r w:rsidRPr="00DF4CE5">
              <w:rPr>
                <w:rFonts w:ascii="Cambria" w:eastAsia="Cambria" w:hAnsi="Cambria" w:cs="Cambria"/>
                <w:spacing w:val="-5"/>
                <w:lang w:val="hr-HR"/>
              </w:rPr>
              <w:t xml:space="preserve"> </w:t>
            </w:r>
            <w:r w:rsidRPr="00DF4CE5">
              <w:rPr>
                <w:rFonts w:ascii="Cambria" w:eastAsia="Cambria" w:hAnsi="Cambria" w:cs="Cambria"/>
                <w:lang w:val="hr-HR"/>
              </w:rPr>
              <w:t>s Uputama</w:t>
            </w:r>
            <w:r w:rsidRPr="00DF4CE5">
              <w:rPr>
                <w:rFonts w:ascii="Cambria" w:eastAsia="Cambria" w:hAnsi="Cambria" w:cs="Cambria"/>
                <w:spacing w:val="-5"/>
                <w:lang w:val="hr-HR"/>
              </w:rPr>
              <w:t xml:space="preserve"> </w:t>
            </w:r>
            <w:r w:rsidRPr="00DF4CE5">
              <w:rPr>
                <w:rFonts w:ascii="Cambria" w:eastAsia="Cambria" w:hAnsi="Cambria" w:cs="Cambria"/>
                <w:lang w:val="hr-HR"/>
              </w:rPr>
              <w:t>za</w:t>
            </w:r>
            <w:r w:rsidRPr="00DF4CE5">
              <w:rPr>
                <w:rFonts w:ascii="Cambria" w:eastAsia="Cambria" w:hAnsi="Cambria" w:cs="Cambria"/>
                <w:spacing w:val="-1"/>
                <w:lang w:val="hr-HR"/>
              </w:rPr>
              <w:t xml:space="preserve"> </w:t>
            </w:r>
            <w:r w:rsidRPr="00DF4CE5">
              <w:rPr>
                <w:rFonts w:ascii="Cambria" w:eastAsia="Cambria" w:hAnsi="Cambria" w:cs="Cambria"/>
                <w:lang w:val="hr-HR"/>
              </w:rPr>
              <w:t>vođenje</w:t>
            </w:r>
          </w:p>
          <w:p w14:paraId="0CAAF8C1" w14:textId="47B73933" w:rsidR="00CE3D99" w:rsidRPr="00DF4CE5" w:rsidRDefault="00CE3D99" w:rsidP="00DF4CE5">
            <w:pPr>
              <w:widowControl w:val="0"/>
              <w:autoSpaceDE w:val="0"/>
              <w:autoSpaceDN w:val="0"/>
              <w:spacing w:after="0" w:line="257" w:lineRule="exact"/>
              <w:ind w:left="503"/>
              <w:rPr>
                <w:rFonts w:ascii="Cambria" w:eastAsia="Cambria" w:hAnsi="Cambria" w:cs="Cambria"/>
                <w:lang w:val="hr-HR"/>
              </w:rPr>
            </w:pPr>
            <w:r w:rsidRPr="00DF4CE5">
              <w:rPr>
                <w:rFonts w:ascii="Cambria" w:eastAsia="Cambria" w:hAnsi="Cambria" w:cs="Cambria"/>
                <w:lang w:val="hr-HR"/>
              </w:rPr>
              <w:t>Dnevnika)</w:t>
            </w:r>
          </w:p>
          <w:p w14:paraId="1615C920" w14:textId="77777777" w:rsidR="00CE3D99" w:rsidRPr="00DF4CE5" w:rsidRDefault="00CE3D99" w:rsidP="00A034E3">
            <w:pPr>
              <w:widowControl w:val="0"/>
              <w:numPr>
                <w:ilvl w:val="0"/>
                <w:numId w:val="79"/>
              </w:numPr>
              <w:tabs>
                <w:tab w:val="left" w:pos="504"/>
              </w:tabs>
              <w:autoSpaceDE w:val="0"/>
              <w:autoSpaceDN w:val="0"/>
              <w:spacing w:before="1" w:after="0" w:line="240" w:lineRule="auto"/>
              <w:ind w:right="269"/>
              <w:rPr>
                <w:rFonts w:ascii="Cambria" w:eastAsia="Cambria" w:hAnsi="Cambria" w:cs="Cambria"/>
                <w:lang w:val="hr-HR"/>
              </w:rPr>
            </w:pPr>
            <w:r w:rsidRPr="00DF4CE5">
              <w:rPr>
                <w:rFonts w:ascii="Cambria" w:eastAsia="Cambria" w:hAnsi="Cambria" w:cs="Cambria"/>
                <w:lang w:val="hr-HR"/>
              </w:rPr>
              <w:t>predati Dnevnik stručne prakse i Potvrdnicu o obavljenoj</w:t>
            </w:r>
            <w:r w:rsidRPr="00DF4CE5">
              <w:rPr>
                <w:rFonts w:ascii="Cambria" w:eastAsia="Cambria" w:hAnsi="Cambria" w:cs="Cambria"/>
                <w:spacing w:val="1"/>
                <w:lang w:val="hr-HR"/>
              </w:rPr>
              <w:t xml:space="preserve"> </w:t>
            </w:r>
            <w:r w:rsidRPr="00DF4CE5">
              <w:rPr>
                <w:rFonts w:ascii="Cambria" w:eastAsia="Cambria" w:hAnsi="Cambria" w:cs="Cambria"/>
                <w:lang w:val="hr-HR"/>
              </w:rPr>
              <w:t>stručnoj praksi na potpis i ovjeru ravnatelju/ravnateljici škole i</w:t>
            </w:r>
            <w:r w:rsidRPr="00DF4CE5">
              <w:rPr>
                <w:rFonts w:ascii="Cambria" w:eastAsia="Cambria" w:hAnsi="Cambria" w:cs="Cambria"/>
                <w:spacing w:val="-46"/>
                <w:lang w:val="hr-HR"/>
              </w:rPr>
              <w:t xml:space="preserve"> </w:t>
            </w:r>
            <w:r w:rsidRPr="00DF4CE5">
              <w:rPr>
                <w:rFonts w:ascii="Cambria" w:eastAsia="Cambria" w:hAnsi="Cambria" w:cs="Cambria"/>
                <w:lang w:val="hr-HR"/>
              </w:rPr>
              <w:t>mentoru/mentorici, koji/koja daje stručno mišljenje o</w:t>
            </w:r>
            <w:r w:rsidRPr="00DF4CE5">
              <w:rPr>
                <w:rFonts w:ascii="Cambria" w:eastAsia="Cambria" w:hAnsi="Cambria" w:cs="Cambria"/>
                <w:spacing w:val="1"/>
                <w:lang w:val="hr-HR"/>
              </w:rPr>
              <w:t xml:space="preserve"> </w:t>
            </w:r>
            <w:r w:rsidRPr="00DF4CE5">
              <w:rPr>
                <w:rFonts w:ascii="Cambria" w:eastAsia="Cambria" w:hAnsi="Cambria" w:cs="Cambria"/>
                <w:lang w:val="hr-HR"/>
              </w:rPr>
              <w:t>provedenim aktivnostima</w:t>
            </w:r>
          </w:p>
          <w:p w14:paraId="5CD18F43" w14:textId="77777777" w:rsidR="00CE3D99" w:rsidRPr="00DF4CE5" w:rsidRDefault="00CE3D99" w:rsidP="00A034E3">
            <w:pPr>
              <w:widowControl w:val="0"/>
              <w:numPr>
                <w:ilvl w:val="0"/>
                <w:numId w:val="79"/>
              </w:numPr>
              <w:tabs>
                <w:tab w:val="left" w:pos="504"/>
              </w:tabs>
              <w:autoSpaceDE w:val="0"/>
              <w:autoSpaceDN w:val="0"/>
              <w:spacing w:after="0" w:line="240" w:lineRule="auto"/>
              <w:ind w:right="261"/>
              <w:rPr>
                <w:rFonts w:ascii="Cambria" w:eastAsia="Cambria" w:hAnsi="Cambria" w:cs="Cambria"/>
                <w:lang w:val="hr-HR"/>
              </w:rPr>
            </w:pPr>
            <w:r w:rsidRPr="00DF4CE5">
              <w:rPr>
                <w:rFonts w:ascii="Cambria" w:eastAsia="Cambria" w:hAnsi="Cambria" w:cs="Cambria"/>
                <w:lang w:val="hr-HR"/>
              </w:rPr>
              <w:t>predati ovjerene i potpisane dokumente iz prethodnog stavka</w:t>
            </w:r>
            <w:r w:rsidRPr="00DF4CE5">
              <w:rPr>
                <w:rFonts w:ascii="Cambria" w:eastAsia="Cambria" w:hAnsi="Cambria" w:cs="Cambria"/>
                <w:spacing w:val="1"/>
                <w:lang w:val="hr-HR"/>
              </w:rPr>
              <w:t xml:space="preserve"> </w:t>
            </w:r>
            <w:r w:rsidRPr="00DF4CE5">
              <w:rPr>
                <w:rFonts w:ascii="Cambria" w:eastAsia="Cambria" w:hAnsi="Cambria" w:cs="Cambria"/>
                <w:lang w:val="hr-HR"/>
              </w:rPr>
              <w:t>voditeljici stručne prakse na Fakultetu, najkasnije 15 dana prije</w:t>
            </w:r>
            <w:r w:rsidRPr="00DF4CE5">
              <w:rPr>
                <w:rFonts w:ascii="Cambria" w:eastAsia="Cambria" w:hAnsi="Cambria" w:cs="Cambria"/>
                <w:spacing w:val="-47"/>
                <w:lang w:val="hr-HR"/>
              </w:rPr>
              <w:t xml:space="preserve"> </w:t>
            </w:r>
            <w:r w:rsidRPr="00DF4CE5">
              <w:rPr>
                <w:rFonts w:ascii="Cambria" w:eastAsia="Cambria" w:hAnsi="Cambria" w:cs="Cambria"/>
                <w:lang w:val="hr-HR"/>
              </w:rPr>
              <w:t>ispitnog</w:t>
            </w:r>
            <w:r w:rsidRPr="00DF4CE5">
              <w:rPr>
                <w:rFonts w:ascii="Cambria" w:eastAsia="Cambria" w:hAnsi="Cambria" w:cs="Cambria"/>
                <w:spacing w:val="-2"/>
                <w:lang w:val="hr-HR"/>
              </w:rPr>
              <w:t xml:space="preserve"> </w:t>
            </w:r>
            <w:r w:rsidRPr="00DF4CE5">
              <w:rPr>
                <w:rFonts w:ascii="Cambria" w:eastAsia="Cambria" w:hAnsi="Cambria" w:cs="Cambria"/>
                <w:lang w:val="hr-HR"/>
              </w:rPr>
              <w:t>roka.</w:t>
            </w:r>
          </w:p>
        </w:tc>
      </w:tr>
      <w:tr w:rsidR="00CE3D99" w:rsidRPr="00D0399C" w14:paraId="0F6AB7A6" w14:textId="77777777" w:rsidTr="00DF4CE5">
        <w:trPr>
          <w:trHeight w:val="659"/>
        </w:trPr>
        <w:tc>
          <w:tcPr>
            <w:tcW w:w="2614" w:type="dxa"/>
            <w:shd w:val="clear" w:color="auto" w:fill="F3F3F3"/>
          </w:tcPr>
          <w:p w14:paraId="253E1900" w14:textId="77777777" w:rsidR="00CE3D99" w:rsidRPr="00DF4CE5" w:rsidRDefault="00CE3D99" w:rsidP="00DF4CE5">
            <w:pPr>
              <w:widowControl w:val="0"/>
              <w:autoSpaceDE w:val="0"/>
              <w:autoSpaceDN w:val="0"/>
              <w:spacing w:before="201" w:after="0" w:line="240" w:lineRule="auto"/>
              <w:ind w:left="143"/>
              <w:rPr>
                <w:rFonts w:ascii="Cambria" w:eastAsia="Cambria" w:hAnsi="Cambria" w:cs="Cambria"/>
                <w:lang w:val="hr-HR"/>
              </w:rPr>
            </w:pPr>
            <w:r w:rsidRPr="00DF4CE5">
              <w:rPr>
                <w:rFonts w:ascii="Cambria" w:eastAsia="Cambria" w:hAnsi="Cambria" w:cs="Cambria"/>
                <w:lang w:val="hr-HR"/>
              </w:rPr>
              <w:t>Rokovi</w:t>
            </w:r>
            <w:r w:rsidRPr="00DF4CE5">
              <w:rPr>
                <w:rFonts w:ascii="Cambria" w:eastAsia="Cambria" w:hAnsi="Cambria" w:cs="Cambria"/>
                <w:spacing w:val="-3"/>
                <w:lang w:val="hr-HR"/>
              </w:rPr>
              <w:t xml:space="preserve"> </w:t>
            </w:r>
            <w:r w:rsidRPr="00DF4CE5">
              <w:rPr>
                <w:rFonts w:ascii="Cambria" w:eastAsia="Cambria" w:hAnsi="Cambria" w:cs="Cambria"/>
                <w:lang w:val="hr-HR"/>
              </w:rPr>
              <w:t>ispita</w:t>
            </w:r>
          </w:p>
        </w:tc>
        <w:tc>
          <w:tcPr>
            <w:tcW w:w="6725" w:type="dxa"/>
            <w:gridSpan w:val="5"/>
          </w:tcPr>
          <w:p w14:paraId="5A51CE78" w14:textId="77777777" w:rsidR="00CE3D99" w:rsidRPr="00DF4CE5" w:rsidRDefault="00CE3D99" w:rsidP="00DF4CE5">
            <w:pPr>
              <w:widowControl w:val="0"/>
              <w:autoSpaceDE w:val="0"/>
              <w:autoSpaceDN w:val="0"/>
              <w:spacing w:before="71" w:after="0" w:line="240" w:lineRule="auto"/>
              <w:ind w:left="143" w:right="289"/>
              <w:rPr>
                <w:rFonts w:ascii="Cambria" w:eastAsia="Cambria" w:hAnsi="Cambria" w:cs="Cambria"/>
                <w:lang w:val="hr-HR"/>
              </w:rPr>
            </w:pPr>
            <w:r w:rsidRPr="00DF4CE5">
              <w:rPr>
                <w:rFonts w:ascii="Cambria" w:eastAsia="Cambria" w:hAnsi="Cambria" w:cs="Cambria"/>
                <w:lang w:val="hr-HR"/>
              </w:rPr>
              <w:t>Rokovi</w:t>
            </w:r>
            <w:r w:rsidRPr="00DF4CE5">
              <w:rPr>
                <w:rFonts w:ascii="Cambria" w:eastAsia="Cambria" w:hAnsi="Cambria" w:cs="Cambria"/>
                <w:spacing w:val="-2"/>
                <w:lang w:val="hr-HR"/>
              </w:rPr>
              <w:t xml:space="preserve"> </w:t>
            </w:r>
            <w:r w:rsidRPr="00DF4CE5">
              <w:rPr>
                <w:rFonts w:ascii="Cambria" w:eastAsia="Cambria" w:hAnsi="Cambria" w:cs="Cambria"/>
                <w:lang w:val="hr-HR"/>
              </w:rPr>
              <w:t>ispita</w:t>
            </w:r>
            <w:r w:rsidRPr="00DF4CE5">
              <w:rPr>
                <w:rFonts w:ascii="Cambria" w:eastAsia="Cambria" w:hAnsi="Cambria" w:cs="Cambria"/>
                <w:spacing w:val="-3"/>
                <w:lang w:val="hr-HR"/>
              </w:rPr>
              <w:t xml:space="preserve"> </w:t>
            </w:r>
            <w:r w:rsidRPr="00DF4CE5">
              <w:rPr>
                <w:rFonts w:ascii="Cambria" w:eastAsia="Cambria" w:hAnsi="Cambria" w:cs="Cambria"/>
                <w:lang w:val="hr-HR"/>
              </w:rPr>
              <w:t>se</w:t>
            </w:r>
            <w:r w:rsidRPr="00DF4CE5">
              <w:rPr>
                <w:rFonts w:ascii="Cambria" w:eastAsia="Cambria" w:hAnsi="Cambria" w:cs="Cambria"/>
                <w:spacing w:val="-5"/>
                <w:lang w:val="hr-HR"/>
              </w:rPr>
              <w:t xml:space="preserve"> </w:t>
            </w:r>
            <w:r w:rsidRPr="00DF4CE5">
              <w:rPr>
                <w:rFonts w:ascii="Cambria" w:eastAsia="Cambria" w:hAnsi="Cambria" w:cs="Cambria"/>
                <w:lang w:val="hr-HR"/>
              </w:rPr>
              <w:t>objavljuju</w:t>
            </w:r>
            <w:r w:rsidRPr="00DF4CE5">
              <w:rPr>
                <w:rFonts w:ascii="Cambria" w:eastAsia="Cambria" w:hAnsi="Cambria" w:cs="Cambria"/>
                <w:spacing w:val="-3"/>
                <w:lang w:val="hr-HR"/>
              </w:rPr>
              <w:t xml:space="preserve"> </w:t>
            </w:r>
            <w:r w:rsidRPr="00DF4CE5">
              <w:rPr>
                <w:rFonts w:ascii="Cambria" w:eastAsia="Cambria" w:hAnsi="Cambria" w:cs="Cambria"/>
                <w:lang w:val="hr-HR"/>
              </w:rPr>
              <w:t>na</w:t>
            </w:r>
            <w:r w:rsidRPr="00DF4CE5">
              <w:rPr>
                <w:rFonts w:ascii="Cambria" w:eastAsia="Cambria" w:hAnsi="Cambria" w:cs="Cambria"/>
                <w:spacing w:val="-3"/>
                <w:lang w:val="hr-HR"/>
              </w:rPr>
              <w:t xml:space="preserve"> </w:t>
            </w:r>
            <w:r w:rsidRPr="00DF4CE5">
              <w:rPr>
                <w:rFonts w:ascii="Cambria" w:eastAsia="Cambria" w:hAnsi="Cambria" w:cs="Cambria"/>
                <w:lang w:val="hr-HR"/>
              </w:rPr>
              <w:t>početku</w:t>
            </w:r>
            <w:r w:rsidRPr="00DF4CE5">
              <w:rPr>
                <w:rFonts w:ascii="Cambria" w:eastAsia="Cambria" w:hAnsi="Cambria" w:cs="Cambria"/>
                <w:spacing w:val="-2"/>
                <w:lang w:val="hr-HR"/>
              </w:rPr>
              <w:t xml:space="preserve"> </w:t>
            </w:r>
            <w:r w:rsidRPr="00DF4CE5">
              <w:rPr>
                <w:rFonts w:ascii="Cambria" w:eastAsia="Cambria" w:hAnsi="Cambria" w:cs="Cambria"/>
                <w:lang w:val="hr-HR"/>
              </w:rPr>
              <w:t>akademske</w:t>
            </w:r>
            <w:r w:rsidRPr="00DF4CE5">
              <w:rPr>
                <w:rFonts w:ascii="Cambria" w:eastAsia="Cambria" w:hAnsi="Cambria" w:cs="Cambria"/>
                <w:spacing w:val="-6"/>
                <w:lang w:val="hr-HR"/>
              </w:rPr>
              <w:t xml:space="preserve"> </w:t>
            </w:r>
            <w:r w:rsidRPr="00DF4CE5">
              <w:rPr>
                <w:rFonts w:ascii="Cambria" w:eastAsia="Cambria" w:hAnsi="Cambria" w:cs="Cambria"/>
                <w:lang w:val="hr-HR"/>
              </w:rPr>
              <w:t>godine</w:t>
            </w:r>
            <w:r w:rsidRPr="00DF4CE5">
              <w:rPr>
                <w:rFonts w:ascii="Cambria" w:eastAsia="Cambria" w:hAnsi="Cambria" w:cs="Cambria"/>
                <w:spacing w:val="-2"/>
                <w:lang w:val="hr-HR"/>
              </w:rPr>
              <w:t xml:space="preserve"> </w:t>
            </w:r>
            <w:r w:rsidRPr="00DF4CE5">
              <w:rPr>
                <w:rFonts w:ascii="Cambria" w:eastAsia="Cambria" w:hAnsi="Cambria" w:cs="Cambria"/>
                <w:lang w:val="hr-HR"/>
              </w:rPr>
              <w:t>na</w:t>
            </w:r>
            <w:r w:rsidRPr="00DF4CE5">
              <w:rPr>
                <w:rFonts w:ascii="Cambria" w:eastAsia="Cambria" w:hAnsi="Cambria" w:cs="Cambria"/>
                <w:spacing w:val="-46"/>
                <w:lang w:val="hr-HR"/>
              </w:rPr>
              <w:t xml:space="preserve"> </w:t>
            </w:r>
            <w:r w:rsidRPr="00DF4CE5">
              <w:rPr>
                <w:rFonts w:ascii="Cambria" w:eastAsia="Cambria" w:hAnsi="Cambria" w:cs="Cambria"/>
                <w:lang w:val="hr-HR"/>
              </w:rPr>
              <w:t>mrežnim stranicama</w:t>
            </w:r>
            <w:r w:rsidRPr="00DF4CE5">
              <w:rPr>
                <w:rFonts w:ascii="Cambria" w:eastAsia="Cambria" w:hAnsi="Cambria" w:cs="Cambria"/>
                <w:spacing w:val="-4"/>
                <w:lang w:val="hr-HR"/>
              </w:rPr>
              <w:t xml:space="preserve"> </w:t>
            </w:r>
            <w:r w:rsidRPr="00DF4CE5">
              <w:rPr>
                <w:rFonts w:ascii="Cambria" w:eastAsia="Cambria" w:hAnsi="Cambria" w:cs="Cambria"/>
                <w:lang w:val="hr-HR"/>
              </w:rPr>
              <w:t>Sveučilišta i</w:t>
            </w:r>
            <w:r w:rsidRPr="00DF4CE5">
              <w:rPr>
                <w:rFonts w:ascii="Cambria" w:eastAsia="Cambria" w:hAnsi="Cambria" w:cs="Cambria"/>
                <w:spacing w:val="-1"/>
                <w:lang w:val="hr-HR"/>
              </w:rPr>
              <w:t xml:space="preserve"> </w:t>
            </w:r>
            <w:r w:rsidRPr="00DF4CE5">
              <w:rPr>
                <w:rFonts w:ascii="Cambria" w:eastAsia="Cambria" w:hAnsi="Cambria" w:cs="Cambria"/>
                <w:lang w:val="hr-HR"/>
              </w:rPr>
              <w:t>u</w:t>
            </w:r>
            <w:r w:rsidRPr="00DF4CE5">
              <w:rPr>
                <w:rFonts w:ascii="Cambria" w:eastAsia="Cambria" w:hAnsi="Cambria" w:cs="Cambria"/>
                <w:spacing w:val="-1"/>
                <w:lang w:val="hr-HR"/>
              </w:rPr>
              <w:t xml:space="preserve"> </w:t>
            </w:r>
            <w:r w:rsidRPr="00DF4CE5">
              <w:rPr>
                <w:rFonts w:ascii="Cambria" w:eastAsia="Cambria" w:hAnsi="Cambria" w:cs="Cambria"/>
                <w:lang w:val="hr-HR"/>
              </w:rPr>
              <w:t>ISVU sustavu.</w:t>
            </w:r>
          </w:p>
        </w:tc>
      </w:tr>
      <w:tr w:rsidR="00CE3D99" w:rsidRPr="00DF4CE5" w14:paraId="50CEDE24" w14:textId="77777777" w:rsidTr="00DF4CE5">
        <w:trPr>
          <w:trHeight w:val="2723"/>
        </w:trPr>
        <w:tc>
          <w:tcPr>
            <w:tcW w:w="2614" w:type="dxa"/>
            <w:shd w:val="clear" w:color="auto" w:fill="F3F3F3"/>
          </w:tcPr>
          <w:p w14:paraId="0C141DEB" w14:textId="77777777" w:rsidR="00CE3D99" w:rsidRPr="00DF4CE5" w:rsidRDefault="00CE3D99" w:rsidP="00DF4CE5">
            <w:pPr>
              <w:widowControl w:val="0"/>
              <w:autoSpaceDE w:val="0"/>
              <w:autoSpaceDN w:val="0"/>
              <w:spacing w:after="0" w:line="240" w:lineRule="auto"/>
              <w:rPr>
                <w:rFonts w:ascii="Cambria" w:eastAsia="Cambria" w:hAnsi="Cambria" w:cs="Cambria"/>
                <w:lang w:val="hr-HR"/>
              </w:rPr>
            </w:pPr>
          </w:p>
          <w:p w14:paraId="7ACC8633" w14:textId="77777777" w:rsidR="00CE3D99" w:rsidRPr="00DF4CE5" w:rsidRDefault="00CE3D99" w:rsidP="00DF4CE5">
            <w:pPr>
              <w:widowControl w:val="0"/>
              <w:autoSpaceDE w:val="0"/>
              <w:autoSpaceDN w:val="0"/>
              <w:spacing w:after="0" w:line="240" w:lineRule="auto"/>
              <w:rPr>
                <w:rFonts w:ascii="Cambria" w:eastAsia="Cambria" w:hAnsi="Cambria" w:cs="Cambria"/>
                <w:lang w:val="hr-HR"/>
              </w:rPr>
            </w:pPr>
          </w:p>
          <w:p w14:paraId="13455DD2" w14:textId="77777777" w:rsidR="00CE3D99" w:rsidRPr="00DF4CE5" w:rsidRDefault="00CE3D99" w:rsidP="00DF4CE5">
            <w:pPr>
              <w:widowControl w:val="0"/>
              <w:autoSpaceDE w:val="0"/>
              <w:autoSpaceDN w:val="0"/>
              <w:spacing w:after="0" w:line="240" w:lineRule="auto"/>
              <w:rPr>
                <w:rFonts w:ascii="Cambria" w:eastAsia="Cambria" w:hAnsi="Cambria" w:cs="Cambria"/>
                <w:lang w:val="hr-HR"/>
              </w:rPr>
            </w:pPr>
          </w:p>
          <w:p w14:paraId="672D0E8A" w14:textId="77777777" w:rsidR="00CE3D99" w:rsidRPr="00DF4CE5" w:rsidRDefault="00CE3D99" w:rsidP="00DF4CE5">
            <w:pPr>
              <w:widowControl w:val="0"/>
              <w:autoSpaceDE w:val="0"/>
              <w:autoSpaceDN w:val="0"/>
              <w:spacing w:before="189" w:after="0" w:line="240" w:lineRule="auto"/>
              <w:ind w:left="143"/>
              <w:rPr>
                <w:rFonts w:ascii="Cambria" w:eastAsia="Cambria" w:hAnsi="Cambria" w:cs="Cambria"/>
                <w:lang w:val="hr-HR"/>
              </w:rPr>
            </w:pPr>
            <w:r w:rsidRPr="00DF4CE5">
              <w:rPr>
                <w:rFonts w:ascii="Cambria" w:eastAsia="Cambria" w:hAnsi="Cambria" w:cs="Cambria"/>
                <w:lang w:val="hr-HR"/>
              </w:rPr>
              <w:t>Ostale</w:t>
            </w:r>
            <w:r w:rsidRPr="00DF4CE5">
              <w:rPr>
                <w:rFonts w:ascii="Cambria" w:eastAsia="Cambria" w:hAnsi="Cambria" w:cs="Cambria"/>
                <w:spacing w:val="-3"/>
                <w:lang w:val="hr-HR"/>
              </w:rPr>
              <w:t xml:space="preserve"> </w:t>
            </w:r>
            <w:r w:rsidRPr="00DF4CE5">
              <w:rPr>
                <w:rFonts w:ascii="Cambria" w:eastAsia="Cambria" w:hAnsi="Cambria" w:cs="Cambria"/>
                <w:lang w:val="hr-HR"/>
              </w:rPr>
              <w:t>važne</w:t>
            </w:r>
            <w:r w:rsidRPr="00DF4CE5">
              <w:rPr>
                <w:rFonts w:ascii="Cambria" w:eastAsia="Cambria" w:hAnsi="Cambria" w:cs="Cambria"/>
                <w:spacing w:val="-3"/>
                <w:lang w:val="hr-HR"/>
              </w:rPr>
              <w:t xml:space="preserve"> </w:t>
            </w:r>
            <w:r w:rsidRPr="00DF4CE5">
              <w:rPr>
                <w:rFonts w:ascii="Cambria" w:eastAsia="Cambria" w:hAnsi="Cambria" w:cs="Cambria"/>
                <w:lang w:val="hr-HR"/>
              </w:rPr>
              <w:t>činjenice</w:t>
            </w:r>
          </w:p>
          <w:p w14:paraId="4693A863" w14:textId="77777777" w:rsidR="00CE3D99" w:rsidRPr="00DF4CE5" w:rsidRDefault="00CE3D99" w:rsidP="00DF4CE5">
            <w:pPr>
              <w:widowControl w:val="0"/>
              <w:autoSpaceDE w:val="0"/>
              <w:autoSpaceDN w:val="0"/>
              <w:spacing w:before="1" w:after="0" w:line="240" w:lineRule="auto"/>
              <w:ind w:left="143"/>
              <w:rPr>
                <w:rFonts w:ascii="Cambria" w:eastAsia="Cambria" w:hAnsi="Cambria" w:cs="Cambria"/>
                <w:lang w:val="hr-HR"/>
              </w:rPr>
            </w:pPr>
            <w:r w:rsidRPr="00DF4CE5">
              <w:rPr>
                <w:rFonts w:ascii="Cambria" w:eastAsia="Cambria" w:hAnsi="Cambria" w:cs="Cambria"/>
                <w:lang w:val="hr-HR"/>
              </w:rPr>
              <w:t>vezane</w:t>
            </w:r>
            <w:r w:rsidRPr="00DF4CE5">
              <w:rPr>
                <w:rFonts w:ascii="Cambria" w:eastAsia="Cambria" w:hAnsi="Cambria" w:cs="Cambria"/>
                <w:spacing w:val="-1"/>
                <w:lang w:val="hr-HR"/>
              </w:rPr>
              <w:t xml:space="preserve"> </w:t>
            </w:r>
            <w:r w:rsidRPr="00DF4CE5">
              <w:rPr>
                <w:rFonts w:ascii="Cambria" w:eastAsia="Cambria" w:hAnsi="Cambria" w:cs="Cambria"/>
                <w:lang w:val="hr-HR"/>
              </w:rPr>
              <w:t>uz</w:t>
            </w:r>
            <w:r w:rsidRPr="00DF4CE5">
              <w:rPr>
                <w:rFonts w:ascii="Cambria" w:eastAsia="Cambria" w:hAnsi="Cambria" w:cs="Cambria"/>
                <w:spacing w:val="-1"/>
                <w:lang w:val="hr-HR"/>
              </w:rPr>
              <w:t xml:space="preserve"> </w:t>
            </w:r>
            <w:r w:rsidRPr="00DF4CE5">
              <w:rPr>
                <w:rFonts w:ascii="Cambria" w:eastAsia="Cambria" w:hAnsi="Cambria" w:cs="Cambria"/>
                <w:lang w:val="hr-HR"/>
              </w:rPr>
              <w:t>kolegij</w:t>
            </w:r>
          </w:p>
        </w:tc>
        <w:tc>
          <w:tcPr>
            <w:tcW w:w="6725" w:type="dxa"/>
            <w:gridSpan w:val="5"/>
          </w:tcPr>
          <w:p w14:paraId="29AFB927" w14:textId="77777777" w:rsidR="00CE3D99" w:rsidRPr="00DF4CE5" w:rsidRDefault="00CE3D99" w:rsidP="00DF4CE5">
            <w:pPr>
              <w:widowControl w:val="0"/>
              <w:autoSpaceDE w:val="0"/>
              <w:autoSpaceDN w:val="0"/>
              <w:spacing w:before="71" w:after="0" w:line="240" w:lineRule="auto"/>
              <w:ind w:left="143"/>
              <w:rPr>
                <w:rFonts w:ascii="Cambria" w:eastAsia="Cambria" w:hAnsi="Cambria" w:cs="Cambria"/>
                <w:lang w:val="hr-HR"/>
              </w:rPr>
            </w:pPr>
            <w:r w:rsidRPr="00DF4CE5">
              <w:rPr>
                <w:rFonts w:ascii="Cambria" w:eastAsia="Cambria" w:hAnsi="Cambria" w:cs="Cambria"/>
                <w:lang w:val="hr-HR"/>
              </w:rPr>
              <w:t>Materijali</w:t>
            </w:r>
            <w:r w:rsidRPr="00DF4CE5">
              <w:rPr>
                <w:rFonts w:ascii="Cambria" w:eastAsia="Cambria" w:hAnsi="Cambria" w:cs="Cambria"/>
                <w:spacing w:val="-2"/>
                <w:lang w:val="hr-HR"/>
              </w:rPr>
              <w:t xml:space="preserve"> </w:t>
            </w:r>
            <w:r w:rsidRPr="00DF4CE5">
              <w:rPr>
                <w:rFonts w:ascii="Cambria" w:eastAsia="Cambria" w:hAnsi="Cambria" w:cs="Cambria"/>
                <w:lang w:val="hr-HR"/>
              </w:rPr>
              <w:t>i</w:t>
            </w:r>
            <w:r w:rsidRPr="00DF4CE5">
              <w:rPr>
                <w:rFonts w:ascii="Cambria" w:eastAsia="Cambria" w:hAnsi="Cambria" w:cs="Cambria"/>
                <w:spacing w:val="-3"/>
                <w:lang w:val="hr-HR"/>
              </w:rPr>
              <w:t xml:space="preserve"> </w:t>
            </w:r>
            <w:r w:rsidRPr="00DF4CE5">
              <w:rPr>
                <w:rFonts w:ascii="Cambria" w:eastAsia="Cambria" w:hAnsi="Cambria" w:cs="Cambria"/>
                <w:lang w:val="hr-HR"/>
              </w:rPr>
              <w:t>upute</w:t>
            </w:r>
            <w:r w:rsidRPr="00DF4CE5">
              <w:rPr>
                <w:rFonts w:ascii="Cambria" w:eastAsia="Cambria" w:hAnsi="Cambria" w:cs="Cambria"/>
                <w:spacing w:val="-3"/>
                <w:lang w:val="hr-HR"/>
              </w:rPr>
              <w:t xml:space="preserve"> </w:t>
            </w:r>
            <w:r w:rsidRPr="00DF4CE5">
              <w:rPr>
                <w:rFonts w:ascii="Cambria" w:eastAsia="Cambria" w:hAnsi="Cambria" w:cs="Cambria"/>
                <w:lang w:val="hr-HR"/>
              </w:rPr>
              <w:t>potrebne</w:t>
            </w:r>
            <w:r w:rsidRPr="00DF4CE5">
              <w:rPr>
                <w:rFonts w:ascii="Cambria" w:eastAsia="Cambria" w:hAnsi="Cambria" w:cs="Cambria"/>
                <w:spacing w:val="-2"/>
                <w:lang w:val="hr-HR"/>
              </w:rPr>
              <w:t xml:space="preserve"> </w:t>
            </w:r>
            <w:r w:rsidRPr="00DF4CE5">
              <w:rPr>
                <w:rFonts w:ascii="Cambria" w:eastAsia="Cambria" w:hAnsi="Cambria" w:cs="Cambria"/>
                <w:lang w:val="hr-HR"/>
              </w:rPr>
              <w:t>za</w:t>
            </w:r>
            <w:r w:rsidRPr="00DF4CE5">
              <w:rPr>
                <w:rFonts w:ascii="Cambria" w:eastAsia="Cambria" w:hAnsi="Cambria" w:cs="Cambria"/>
                <w:spacing w:val="-3"/>
                <w:lang w:val="hr-HR"/>
              </w:rPr>
              <w:t xml:space="preserve"> </w:t>
            </w:r>
            <w:r w:rsidRPr="00DF4CE5">
              <w:rPr>
                <w:rFonts w:ascii="Cambria" w:eastAsia="Cambria" w:hAnsi="Cambria" w:cs="Cambria"/>
                <w:lang w:val="hr-HR"/>
              </w:rPr>
              <w:t>stručnu</w:t>
            </w:r>
            <w:r w:rsidRPr="00DF4CE5">
              <w:rPr>
                <w:rFonts w:ascii="Cambria" w:eastAsia="Cambria" w:hAnsi="Cambria" w:cs="Cambria"/>
                <w:spacing w:val="-3"/>
                <w:lang w:val="hr-HR"/>
              </w:rPr>
              <w:t xml:space="preserve"> </w:t>
            </w:r>
            <w:r w:rsidRPr="00DF4CE5">
              <w:rPr>
                <w:rFonts w:ascii="Cambria" w:eastAsia="Cambria" w:hAnsi="Cambria" w:cs="Cambria"/>
                <w:lang w:val="hr-HR"/>
              </w:rPr>
              <w:t>praksu</w:t>
            </w:r>
            <w:r w:rsidRPr="00DF4CE5">
              <w:rPr>
                <w:rFonts w:ascii="Cambria" w:eastAsia="Cambria" w:hAnsi="Cambria" w:cs="Cambria"/>
                <w:spacing w:val="-6"/>
                <w:lang w:val="hr-HR"/>
              </w:rPr>
              <w:t xml:space="preserve"> </w:t>
            </w:r>
            <w:r w:rsidRPr="00DF4CE5">
              <w:rPr>
                <w:rFonts w:ascii="Cambria" w:eastAsia="Cambria" w:hAnsi="Cambria" w:cs="Cambria"/>
                <w:lang w:val="hr-HR"/>
              </w:rPr>
              <w:t>objavljuju</w:t>
            </w:r>
            <w:r w:rsidRPr="00DF4CE5">
              <w:rPr>
                <w:rFonts w:ascii="Cambria" w:eastAsia="Cambria" w:hAnsi="Cambria" w:cs="Cambria"/>
                <w:spacing w:val="-3"/>
                <w:lang w:val="hr-HR"/>
              </w:rPr>
              <w:t xml:space="preserve"> </w:t>
            </w:r>
            <w:r w:rsidRPr="00DF4CE5">
              <w:rPr>
                <w:rFonts w:ascii="Cambria" w:eastAsia="Cambria" w:hAnsi="Cambria" w:cs="Cambria"/>
                <w:lang w:val="hr-HR"/>
              </w:rPr>
              <w:t>se</w:t>
            </w:r>
            <w:r w:rsidRPr="00DF4CE5">
              <w:rPr>
                <w:rFonts w:ascii="Cambria" w:eastAsia="Cambria" w:hAnsi="Cambria" w:cs="Cambria"/>
                <w:spacing w:val="-3"/>
                <w:lang w:val="hr-HR"/>
              </w:rPr>
              <w:t xml:space="preserve"> </w:t>
            </w:r>
            <w:r w:rsidRPr="00DF4CE5">
              <w:rPr>
                <w:rFonts w:ascii="Cambria" w:eastAsia="Cambria" w:hAnsi="Cambria" w:cs="Cambria"/>
                <w:lang w:val="hr-HR"/>
              </w:rPr>
              <w:t>na</w:t>
            </w:r>
          </w:p>
          <w:p w14:paraId="555EE92E" w14:textId="77777777" w:rsidR="00CE3D99" w:rsidRPr="00DF4CE5" w:rsidRDefault="00CE3D99" w:rsidP="00DF4CE5">
            <w:pPr>
              <w:widowControl w:val="0"/>
              <w:autoSpaceDE w:val="0"/>
              <w:autoSpaceDN w:val="0"/>
              <w:spacing w:before="1" w:after="0" w:line="257" w:lineRule="exact"/>
              <w:ind w:left="143"/>
              <w:rPr>
                <w:rFonts w:ascii="Cambria" w:eastAsia="Cambria" w:hAnsi="Cambria" w:cs="Cambria"/>
                <w:lang w:val="hr-HR"/>
              </w:rPr>
            </w:pPr>
            <w:r w:rsidRPr="00DF4CE5">
              <w:rPr>
                <w:rFonts w:ascii="Cambria" w:eastAsia="Cambria" w:hAnsi="Cambria" w:cs="Cambria"/>
                <w:lang w:val="hr-HR"/>
              </w:rPr>
              <w:t>portalu</w:t>
            </w:r>
            <w:r w:rsidRPr="00DF4CE5">
              <w:rPr>
                <w:rFonts w:ascii="Cambria" w:eastAsia="Cambria" w:hAnsi="Cambria" w:cs="Cambria"/>
                <w:spacing w:val="-5"/>
                <w:lang w:val="hr-HR"/>
              </w:rPr>
              <w:t xml:space="preserve"> </w:t>
            </w:r>
            <w:r w:rsidRPr="00DF4CE5">
              <w:rPr>
                <w:rFonts w:ascii="Cambria" w:eastAsia="Cambria" w:hAnsi="Cambria" w:cs="Cambria"/>
                <w:lang w:val="hr-HR"/>
              </w:rPr>
              <w:t>za</w:t>
            </w:r>
            <w:r w:rsidRPr="00DF4CE5">
              <w:rPr>
                <w:rFonts w:ascii="Cambria" w:eastAsia="Cambria" w:hAnsi="Cambria" w:cs="Cambria"/>
                <w:spacing w:val="-5"/>
                <w:lang w:val="hr-HR"/>
              </w:rPr>
              <w:t xml:space="preserve"> </w:t>
            </w:r>
            <w:r w:rsidRPr="00DF4CE5">
              <w:rPr>
                <w:rFonts w:ascii="Cambria" w:eastAsia="Cambria" w:hAnsi="Cambria" w:cs="Cambria"/>
                <w:lang w:val="hr-HR"/>
              </w:rPr>
              <w:t>e-učenje</w:t>
            </w:r>
            <w:r w:rsidRPr="00DF4CE5">
              <w:rPr>
                <w:rFonts w:ascii="Cambria" w:eastAsia="Cambria" w:hAnsi="Cambria" w:cs="Cambria"/>
                <w:spacing w:val="-4"/>
                <w:lang w:val="hr-HR"/>
              </w:rPr>
              <w:t xml:space="preserve"> </w:t>
            </w:r>
            <w:r w:rsidRPr="00DF4CE5">
              <w:rPr>
                <w:rFonts w:ascii="Cambria" w:eastAsia="Cambria" w:hAnsi="Cambria" w:cs="Cambria"/>
                <w:lang w:val="hr-HR"/>
              </w:rPr>
              <w:t>istoimenoga</w:t>
            </w:r>
            <w:r w:rsidRPr="00DF4CE5">
              <w:rPr>
                <w:rFonts w:ascii="Cambria" w:eastAsia="Cambria" w:hAnsi="Cambria" w:cs="Cambria"/>
                <w:spacing w:val="-5"/>
                <w:lang w:val="hr-HR"/>
              </w:rPr>
              <w:t xml:space="preserve"> </w:t>
            </w:r>
            <w:r w:rsidRPr="00DF4CE5">
              <w:rPr>
                <w:rFonts w:ascii="Cambria" w:eastAsia="Cambria" w:hAnsi="Cambria" w:cs="Cambria"/>
                <w:lang w:val="hr-HR"/>
              </w:rPr>
              <w:t>kolegija.</w:t>
            </w:r>
            <w:r w:rsidRPr="00DF4CE5">
              <w:rPr>
                <w:rFonts w:ascii="Cambria" w:eastAsia="Cambria" w:hAnsi="Cambria" w:cs="Cambria"/>
                <w:spacing w:val="-3"/>
                <w:lang w:val="hr-HR"/>
              </w:rPr>
              <w:t xml:space="preserve"> </w:t>
            </w:r>
            <w:r w:rsidRPr="00DF4CE5">
              <w:rPr>
                <w:rFonts w:ascii="Cambria" w:eastAsia="Cambria" w:hAnsi="Cambria" w:cs="Cambria"/>
                <w:lang w:val="hr-HR"/>
              </w:rPr>
              <w:t>Studenti/studentice</w:t>
            </w:r>
            <w:r w:rsidRPr="00DF4CE5">
              <w:rPr>
                <w:rFonts w:ascii="Cambria" w:eastAsia="Cambria" w:hAnsi="Cambria" w:cs="Cambria"/>
                <w:spacing w:val="-5"/>
                <w:lang w:val="hr-HR"/>
              </w:rPr>
              <w:t xml:space="preserve"> </w:t>
            </w:r>
            <w:r w:rsidRPr="00DF4CE5">
              <w:rPr>
                <w:rFonts w:ascii="Cambria" w:eastAsia="Cambria" w:hAnsi="Cambria" w:cs="Cambria"/>
                <w:lang w:val="hr-HR"/>
              </w:rPr>
              <w:t>su</w:t>
            </w:r>
          </w:p>
          <w:p w14:paraId="352465A6" w14:textId="77777777" w:rsidR="00CE3D99" w:rsidRPr="00DF4CE5" w:rsidRDefault="00CE3D99" w:rsidP="00DF4CE5">
            <w:pPr>
              <w:widowControl w:val="0"/>
              <w:autoSpaceDE w:val="0"/>
              <w:autoSpaceDN w:val="0"/>
              <w:spacing w:after="0" w:line="257" w:lineRule="exact"/>
              <w:ind w:left="143"/>
              <w:rPr>
                <w:rFonts w:ascii="Cambria" w:eastAsia="Cambria" w:hAnsi="Cambria" w:cs="Cambria"/>
                <w:lang w:val="hr-HR"/>
              </w:rPr>
            </w:pPr>
            <w:r w:rsidRPr="00DF4CE5">
              <w:rPr>
                <w:rFonts w:ascii="Cambria" w:eastAsia="Cambria" w:hAnsi="Cambria" w:cs="Cambria"/>
                <w:lang w:val="hr-HR"/>
              </w:rPr>
              <w:t>dužni</w:t>
            </w:r>
            <w:r w:rsidRPr="00DF4CE5">
              <w:rPr>
                <w:rFonts w:ascii="Cambria" w:eastAsia="Cambria" w:hAnsi="Cambria" w:cs="Cambria"/>
                <w:spacing w:val="-3"/>
                <w:lang w:val="hr-HR"/>
              </w:rPr>
              <w:t xml:space="preserve"> </w:t>
            </w:r>
            <w:r w:rsidRPr="00DF4CE5">
              <w:rPr>
                <w:rFonts w:ascii="Cambria" w:eastAsia="Cambria" w:hAnsi="Cambria" w:cs="Cambria"/>
                <w:lang w:val="hr-HR"/>
              </w:rPr>
              <w:t>pratiti</w:t>
            </w:r>
            <w:r w:rsidRPr="00DF4CE5">
              <w:rPr>
                <w:rFonts w:ascii="Cambria" w:eastAsia="Cambria" w:hAnsi="Cambria" w:cs="Cambria"/>
                <w:spacing w:val="-6"/>
                <w:lang w:val="hr-HR"/>
              </w:rPr>
              <w:t xml:space="preserve"> </w:t>
            </w:r>
            <w:r w:rsidRPr="00DF4CE5">
              <w:rPr>
                <w:rFonts w:ascii="Cambria" w:eastAsia="Cambria" w:hAnsi="Cambria" w:cs="Cambria"/>
                <w:lang w:val="hr-HR"/>
              </w:rPr>
              <w:t>obavijesti</w:t>
            </w:r>
            <w:r w:rsidRPr="00DF4CE5">
              <w:rPr>
                <w:rFonts w:ascii="Cambria" w:eastAsia="Cambria" w:hAnsi="Cambria" w:cs="Cambria"/>
                <w:spacing w:val="-2"/>
                <w:lang w:val="hr-HR"/>
              </w:rPr>
              <w:t xml:space="preserve"> </w:t>
            </w:r>
            <w:r w:rsidRPr="00DF4CE5">
              <w:rPr>
                <w:rFonts w:ascii="Cambria" w:eastAsia="Cambria" w:hAnsi="Cambria" w:cs="Cambria"/>
                <w:lang w:val="hr-HR"/>
              </w:rPr>
              <w:t>koje</w:t>
            </w:r>
            <w:r w:rsidRPr="00DF4CE5">
              <w:rPr>
                <w:rFonts w:ascii="Cambria" w:eastAsia="Cambria" w:hAnsi="Cambria" w:cs="Cambria"/>
                <w:spacing w:val="-3"/>
                <w:lang w:val="hr-HR"/>
              </w:rPr>
              <w:t xml:space="preserve"> </w:t>
            </w:r>
            <w:r w:rsidRPr="00DF4CE5">
              <w:rPr>
                <w:rFonts w:ascii="Cambria" w:eastAsia="Cambria" w:hAnsi="Cambria" w:cs="Cambria"/>
                <w:lang w:val="hr-HR"/>
              </w:rPr>
              <w:t>će</w:t>
            </w:r>
            <w:r w:rsidRPr="00DF4CE5">
              <w:rPr>
                <w:rFonts w:ascii="Cambria" w:eastAsia="Cambria" w:hAnsi="Cambria" w:cs="Cambria"/>
                <w:spacing w:val="-3"/>
                <w:lang w:val="hr-HR"/>
              </w:rPr>
              <w:t xml:space="preserve"> </w:t>
            </w:r>
            <w:r w:rsidRPr="00DF4CE5">
              <w:rPr>
                <w:rFonts w:ascii="Cambria" w:eastAsia="Cambria" w:hAnsi="Cambria" w:cs="Cambria"/>
                <w:lang w:val="hr-HR"/>
              </w:rPr>
              <w:t>voditeljica</w:t>
            </w:r>
            <w:r w:rsidRPr="00DF4CE5">
              <w:rPr>
                <w:rFonts w:ascii="Cambria" w:eastAsia="Cambria" w:hAnsi="Cambria" w:cs="Cambria"/>
                <w:spacing w:val="-3"/>
                <w:lang w:val="hr-HR"/>
              </w:rPr>
              <w:t xml:space="preserve"> </w:t>
            </w:r>
            <w:r w:rsidRPr="00DF4CE5">
              <w:rPr>
                <w:rFonts w:ascii="Cambria" w:eastAsia="Cambria" w:hAnsi="Cambria" w:cs="Cambria"/>
                <w:lang w:val="hr-HR"/>
              </w:rPr>
              <w:t>stručne</w:t>
            </w:r>
            <w:r w:rsidRPr="00DF4CE5">
              <w:rPr>
                <w:rFonts w:ascii="Cambria" w:eastAsia="Cambria" w:hAnsi="Cambria" w:cs="Cambria"/>
                <w:spacing w:val="-3"/>
                <w:lang w:val="hr-HR"/>
              </w:rPr>
              <w:t xml:space="preserve"> </w:t>
            </w:r>
            <w:r w:rsidRPr="00DF4CE5">
              <w:rPr>
                <w:rFonts w:ascii="Cambria" w:eastAsia="Cambria" w:hAnsi="Cambria" w:cs="Cambria"/>
                <w:lang w:val="hr-HR"/>
              </w:rPr>
              <w:t>prakse</w:t>
            </w:r>
            <w:r w:rsidRPr="00DF4CE5">
              <w:rPr>
                <w:rFonts w:ascii="Cambria" w:eastAsia="Cambria" w:hAnsi="Cambria" w:cs="Cambria"/>
                <w:spacing w:val="-3"/>
                <w:lang w:val="hr-HR"/>
              </w:rPr>
              <w:t xml:space="preserve"> </w:t>
            </w:r>
            <w:r w:rsidRPr="00DF4CE5">
              <w:rPr>
                <w:rFonts w:ascii="Cambria" w:eastAsia="Cambria" w:hAnsi="Cambria" w:cs="Cambria"/>
                <w:lang w:val="hr-HR"/>
              </w:rPr>
              <w:t>objavljivati</w:t>
            </w:r>
          </w:p>
          <w:p w14:paraId="505C6646" w14:textId="77777777" w:rsidR="00CE3D99" w:rsidRPr="00DF4CE5" w:rsidRDefault="00CE3D99" w:rsidP="00DF4CE5">
            <w:pPr>
              <w:widowControl w:val="0"/>
              <w:autoSpaceDE w:val="0"/>
              <w:autoSpaceDN w:val="0"/>
              <w:spacing w:before="2" w:after="0" w:line="257" w:lineRule="exact"/>
              <w:ind w:left="143"/>
              <w:rPr>
                <w:rFonts w:ascii="Cambria" w:eastAsia="Cambria" w:hAnsi="Cambria" w:cs="Cambria"/>
                <w:lang w:val="hr-HR"/>
              </w:rPr>
            </w:pPr>
            <w:r w:rsidRPr="00DF4CE5">
              <w:rPr>
                <w:rFonts w:ascii="Cambria" w:eastAsia="Cambria" w:hAnsi="Cambria" w:cs="Cambria"/>
                <w:lang w:val="hr-HR"/>
              </w:rPr>
              <w:t>na</w:t>
            </w:r>
            <w:r w:rsidRPr="00DF4CE5">
              <w:rPr>
                <w:rFonts w:ascii="Cambria" w:eastAsia="Cambria" w:hAnsi="Cambria" w:cs="Cambria"/>
                <w:spacing w:val="-4"/>
                <w:lang w:val="hr-HR"/>
              </w:rPr>
              <w:t xml:space="preserve"> </w:t>
            </w:r>
            <w:r w:rsidRPr="00DF4CE5">
              <w:rPr>
                <w:rFonts w:ascii="Cambria" w:eastAsia="Cambria" w:hAnsi="Cambria" w:cs="Cambria"/>
                <w:lang w:val="hr-HR"/>
              </w:rPr>
              <w:t>e-kolegiju.</w:t>
            </w:r>
          </w:p>
          <w:p w14:paraId="03CC6486" w14:textId="77777777" w:rsidR="00CE3D99" w:rsidRPr="00DF4CE5" w:rsidRDefault="00CE3D99" w:rsidP="00DF4CE5">
            <w:pPr>
              <w:widowControl w:val="0"/>
              <w:autoSpaceDE w:val="0"/>
              <w:autoSpaceDN w:val="0"/>
              <w:spacing w:after="0" w:line="240" w:lineRule="auto"/>
              <w:ind w:left="143" w:right="289"/>
              <w:rPr>
                <w:rFonts w:ascii="Cambria" w:eastAsia="Cambria" w:hAnsi="Cambria" w:cs="Cambria"/>
                <w:lang w:val="hr-HR"/>
              </w:rPr>
            </w:pPr>
            <w:r w:rsidRPr="00DF4CE5">
              <w:rPr>
                <w:rFonts w:ascii="Cambria" w:eastAsia="Cambria" w:hAnsi="Cambria" w:cs="Cambria"/>
                <w:lang w:val="hr-HR"/>
              </w:rPr>
              <w:t>U slučaju održavanja nastave na daljinu, moguće je odstupanje u:</w:t>
            </w:r>
            <w:r w:rsidRPr="00DF4CE5">
              <w:rPr>
                <w:rFonts w:ascii="Cambria" w:eastAsia="Cambria" w:hAnsi="Cambria" w:cs="Cambria"/>
                <w:spacing w:val="1"/>
                <w:lang w:val="hr-HR"/>
              </w:rPr>
              <w:t xml:space="preserve"> </w:t>
            </w:r>
            <w:r w:rsidRPr="00DF4CE5">
              <w:rPr>
                <w:rFonts w:ascii="Cambria" w:eastAsia="Cambria" w:hAnsi="Cambria" w:cs="Cambria"/>
                <w:lang w:val="hr-HR"/>
              </w:rPr>
              <w:t>mjestu izvođenja kolegija, provedbi aktivnosti, metoda tumačenja i</w:t>
            </w:r>
            <w:r w:rsidRPr="00DF4CE5">
              <w:rPr>
                <w:rFonts w:ascii="Cambria" w:eastAsia="Cambria" w:hAnsi="Cambria" w:cs="Cambria"/>
                <w:spacing w:val="-46"/>
                <w:lang w:val="hr-HR"/>
              </w:rPr>
              <w:t xml:space="preserve"> </w:t>
            </w:r>
            <w:r w:rsidRPr="00DF4CE5">
              <w:rPr>
                <w:rFonts w:ascii="Cambria" w:eastAsia="Cambria" w:hAnsi="Cambria" w:cs="Cambria"/>
                <w:lang w:val="hr-HR"/>
              </w:rPr>
              <w:t>poučavanja</w:t>
            </w:r>
            <w:r w:rsidRPr="00DF4CE5">
              <w:rPr>
                <w:rFonts w:ascii="Cambria" w:eastAsia="Cambria" w:hAnsi="Cambria" w:cs="Cambria"/>
                <w:spacing w:val="-2"/>
                <w:lang w:val="hr-HR"/>
              </w:rPr>
              <w:t xml:space="preserve"> </w:t>
            </w:r>
            <w:r w:rsidRPr="00DF4CE5">
              <w:rPr>
                <w:rFonts w:ascii="Cambria" w:eastAsia="Cambria" w:hAnsi="Cambria" w:cs="Cambria"/>
                <w:lang w:val="hr-HR"/>
              </w:rPr>
              <w:t>i</w:t>
            </w:r>
            <w:r w:rsidRPr="00DF4CE5">
              <w:rPr>
                <w:rFonts w:ascii="Cambria" w:eastAsia="Cambria" w:hAnsi="Cambria" w:cs="Cambria"/>
                <w:spacing w:val="-2"/>
                <w:lang w:val="hr-HR"/>
              </w:rPr>
              <w:t xml:space="preserve"> </w:t>
            </w:r>
            <w:r w:rsidRPr="00DF4CE5">
              <w:rPr>
                <w:rFonts w:ascii="Cambria" w:eastAsia="Cambria" w:hAnsi="Cambria" w:cs="Cambria"/>
                <w:lang w:val="hr-HR"/>
              </w:rPr>
              <w:t>načinima</w:t>
            </w:r>
            <w:r w:rsidRPr="00DF4CE5">
              <w:rPr>
                <w:rFonts w:ascii="Cambria" w:eastAsia="Cambria" w:hAnsi="Cambria" w:cs="Cambria"/>
                <w:spacing w:val="-1"/>
                <w:lang w:val="hr-HR"/>
              </w:rPr>
              <w:t xml:space="preserve"> </w:t>
            </w:r>
            <w:r w:rsidRPr="00DF4CE5">
              <w:rPr>
                <w:rFonts w:ascii="Cambria" w:eastAsia="Cambria" w:hAnsi="Cambria" w:cs="Cambria"/>
                <w:lang w:val="hr-HR"/>
              </w:rPr>
              <w:t>vrednovanja,</w:t>
            </w:r>
            <w:r w:rsidRPr="00DF4CE5">
              <w:rPr>
                <w:rFonts w:ascii="Cambria" w:eastAsia="Cambria" w:hAnsi="Cambria" w:cs="Cambria"/>
                <w:spacing w:val="-2"/>
                <w:lang w:val="hr-HR"/>
              </w:rPr>
              <w:t xml:space="preserve"> </w:t>
            </w:r>
            <w:r w:rsidRPr="00DF4CE5">
              <w:rPr>
                <w:rFonts w:ascii="Cambria" w:eastAsia="Cambria" w:hAnsi="Cambria" w:cs="Cambria"/>
                <w:lang w:val="hr-HR"/>
              </w:rPr>
              <w:t>studentskim</w:t>
            </w:r>
            <w:r w:rsidRPr="00DF4CE5">
              <w:rPr>
                <w:rFonts w:ascii="Cambria" w:eastAsia="Cambria" w:hAnsi="Cambria" w:cs="Cambria"/>
                <w:spacing w:val="-1"/>
                <w:lang w:val="hr-HR"/>
              </w:rPr>
              <w:t xml:space="preserve"> </w:t>
            </w:r>
            <w:r w:rsidRPr="00DF4CE5">
              <w:rPr>
                <w:rFonts w:ascii="Cambria" w:eastAsia="Cambria" w:hAnsi="Cambria" w:cs="Cambria"/>
                <w:lang w:val="hr-HR"/>
              </w:rPr>
              <w:t>obvezama</w:t>
            </w:r>
            <w:r w:rsidRPr="00DF4CE5">
              <w:rPr>
                <w:rFonts w:ascii="Cambria" w:eastAsia="Cambria" w:hAnsi="Cambria" w:cs="Cambria"/>
                <w:spacing w:val="-1"/>
                <w:lang w:val="hr-HR"/>
              </w:rPr>
              <w:t xml:space="preserve"> </w:t>
            </w:r>
            <w:r w:rsidRPr="00DF4CE5">
              <w:rPr>
                <w:rFonts w:ascii="Cambria" w:eastAsia="Cambria" w:hAnsi="Cambria" w:cs="Cambria"/>
                <w:lang w:val="hr-HR"/>
              </w:rPr>
              <w:t>i</w:t>
            </w:r>
          </w:p>
          <w:p w14:paraId="53391B08" w14:textId="77777777" w:rsidR="00CE3D99" w:rsidRPr="00DF4CE5" w:rsidRDefault="00CE3D99" w:rsidP="00DF4CE5">
            <w:pPr>
              <w:widowControl w:val="0"/>
              <w:autoSpaceDE w:val="0"/>
              <w:autoSpaceDN w:val="0"/>
              <w:spacing w:after="0" w:line="240" w:lineRule="auto"/>
              <w:ind w:left="143" w:right="264"/>
              <w:rPr>
                <w:rFonts w:ascii="Cambria" w:eastAsia="Cambria" w:hAnsi="Cambria" w:cs="Cambria"/>
                <w:lang w:val="hr-HR"/>
              </w:rPr>
            </w:pPr>
            <w:r w:rsidRPr="00DF4CE5">
              <w:rPr>
                <w:rFonts w:ascii="Cambria" w:eastAsia="Cambria" w:hAnsi="Cambria" w:cs="Cambria"/>
                <w:lang w:val="hr-HR"/>
              </w:rPr>
              <w:t>dostupnoj literaturi. O tome će nositeljica obavijestiti studente/</w:t>
            </w:r>
            <w:r w:rsidRPr="00DF4CE5">
              <w:rPr>
                <w:rFonts w:ascii="Cambria" w:eastAsia="Cambria" w:hAnsi="Cambria" w:cs="Cambria"/>
                <w:spacing w:val="1"/>
                <w:lang w:val="hr-HR"/>
              </w:rPr>
              <w:t xml:space="preserve"> </w:t>
            </w:r>
            <w:r w:rsidRPr="00DF4CE5">
              <w:rPr>
                <w:rFonts w:ascii="Cambria" w:eastAsia="Cambria" w:hAnsi="Cambria" w:cs="Cambria"/>
                <w:lang w:val="hr-HR"/>
              </w:rPr>
              <w:t>studentice kad se nastava na daljinu počne održavati. Ishodi učenja</w:t>
            </w:r>
            <w:r w:rsidRPr="00DF4CE5">
              <w:rPr>
                <w:rFonts w:ascii="Cambria" w:eastAsia="Cambria" w:hAnsi="Cambria" w:cs="Cambria"/>
                <w:spacing w:val="-46"/>
                <w:lang w:val="hr-HR"/>
              </w:rPr>
              <w:t xml:space="preserve"> </w:t>
            </w:r>
            <w:r w:rsidRPr="00DF4CE5">
              <w:rPr>
                <w:rFonts w:ascii="Cambria" w:eastAsia="Cambria" w:hAnsi="Cambria" w:cs="Cambria"/>
                <w:lang w:val="hr-HR"/>
              </w:rPr>
              <w:t>ostaju</w:t>
            </w:r>
            <w:r w:rsidRPr="00DF4CE5">
              <w:rPr>
                <w:rFonts w:ascii="Cambria" w:eastAsia="Cambria" w:hAnsi="Cambria" w:cs="Cambria"/>
                <w:spacing w:val="-1"/>
                <w:lang w:val="hr-HR"/>
              </w:rPr>
              <w:t xml:space="preserve"> </w:t>
            </w:r>
            <w:r w:rsidRPr="00DF4CE5">
              <w:rPr>
                <w:rFonts w:ascii="Cambria" w:eastAsia="Cambria" w:hAnsi="Cambria" w:cs="Cambria"/>
                <w:lang w:val="hr-HR"/>
              </w:rPr>
              <w:t>nepromijenjeni.</w:t>
            </w:r>
          </w:p>
        </w:tc>
      </w:tr>
      <w:tr w:rsidR="00CE3D99" w:rsidRPr="00DF4CE5" w14:paraId="37C71FA8" w14:textId="77777777" w:rsidTr="00DF4CE5">
        <w:trPr>
          <w:trHeight w:val="1694"/>
        </w:trPr>
        <w:tc>
          <w:tcPr>
            <w:tcW w:w="2614" w:type="dxa"/>
            <w:shd w:val="clear" w:color="auto" w:fill="F3F3F3"/>
          </w:tcPr>
          <w:p w14:paraId="2B2CFBEC" w14:textId="77777777" w:rsidR="00CE3D99" w:rsidRPr="00DF4CE5" w:rsidRDefault="00CE3D99" w:rsidP="00DF4CE5">
            <w:pPr>
              <w:widowControl w:val="0"/>
              <w:autoSpaceDE w:val="0"/>
              <w:autoSpaceDN w:val="0"/>
              <w:spacing w:after="0" w:line="240" w:lineRule="auto"/>
              <w:rPr>
                <w:rFonts w:ascii="Cambria" w:eastAsia="Cambria" w:hAnsi="Cambria" w:cs="Cambria"/>
                <w:lang w:val="hr-HR"/>
              </w:rPr>
            </w:pPr>
          </w:p>
          <w:p w14:paraId="77C95556" w14:textId="77777777" w:rsidR="00CE3D99" w:rsidRPr="00DF4CE5" w:rsidRDefault="00CE3D99" w:rsidP="00DF4CE5">
            <w:pPr>
              <w:widowControl w:val="0"/>
              <w:autoSpaceDE w:val="0"/>
              <w:autoSpaceDN w:val="0"/>
              <w:spacing w:before="2" w:after="0" w:line="240" w:lineRule="auto"/>
              <w:rPr>
                <w:rFonts w:ascii="Cambria" w:eastAsia="Cambria" w:hAnsi="Cambria" w:cs="Cambria"/>
                <w:lang w:val="hr-HR"/>
              </w:rPr>
            </w:pPr>
          </w:p>
          <w:p w14:paraId="01DBC4D3" w14:textId="77777777" w:rsidR="00CE3D99" w:rsidRPr="00DF4CE5" w:rsidRDefault="00CE3D99" w:rsidP="00DF4CE5">
            <w:pPr>
              <w:widowControl w:val="0"/>
              <w:autoSpaceDE w:val="0"/>
              <w:autoSpaceDN w:val="0"/>
              <w:spacing w:after="0" w:line="240" w:lineRule="auto"/>
              <w:ind w:left="143"/>
              <w:rPr>
                <w:rFonts w:ascii="Cambria" w:eastAsia="Cambria" w:hAnsi="Cambria" w:cs="Cambria"/>
                <w:lang w:val="hr-HR"/>
              </w:rPr>
            </w:pPr>
            <w:r w:rsidRPr="00DF4CE5">
              <w:rPr>
                <w:rFonts w:ascii="Cambria" w:eastAsia="Cambria" w:hAnsi="Cambria" w:cs="Cambria"/>
                <w:lang w:val="hr-HR"/>
              </w:rPr>
              <w:t>Literatura</w:t>
            </w:r>
          </w:p>
        </w:tc>
        <w:tc>
          <w:tcPr>
            <w:tcW w:w="6725" w:type="dxa"/>
            <w:gridSpan w:val="5"/>
          </w:tcPr>
          <w:p w14:paraId="671A7A70" w14:textId="77777777" w:rsidR="00CE3D99" w:rsidRPr="00DF4CE5" w:rsidRDefault="00CE3D99" w:rsidP="00DF4CE5">
            <w:pPr>
              <w:widowControl w:val="0"/>
              <w:autoSpaceDE w:val="0"/>
              <w:autoSpaceDN w:val="0"/>
              <w:spacing w:before="72" w:after="0" w:line="240" w:lineRule="auto"/>
              <w:ind w:left="143"/>
              <w:rPr>
                <w:rFonts w:ascii="Cambria" w:eastAsia="Cambria" w:hAnsi="Cambria" w:cs="Cambria"/>
                <w:lang w:val="hr-HR"/>
              </w:rPr>
            </w:pPr>
            <w:r w:rsidRPr="00DF4CE5">
              <w:rPr>
                <w:rFonts w:ascii="Cambria" w:eastAsia="Cambria" w:hAnsi="Cambria" w:cs="Cambria"/>
                <w:lang w:val="hr-HR"/>
              </w:rPr>
              <w:t>Obvezna:</w:t>
            </w:r>
          </w:p>
          <w:p w14:paraId="7DD805D5" w14:textId="77777777" w:rsidR="00CE3D99" w:rsidRPr="00DF4CE5" w:rsidRDefault="00CE3D99" w:rsidP="00A034E3">
            <w:pPr>
              <w:widowControl w:val="0"/>
              <w:numPr>
                <w:ilvl w:val="0"/>
                <w:numId w:val="82"/>
              </w:numPr>
              <w:tabs>
                <w:tab w:val="left" w:pos="432"/>
              </w:tabs>
              <w:autoSpaceDE w:val="0"/>
              <w:autoSpaceDN w:val="0"/>
              <w:spacing w:after="0" w:line="240" w:lineRule="auto"/>
              <w:ind w:right="132" w:firstLine="0"/>
              <w:jc w:val="both"/>
              <w:rPr>
                <w:rFonts w:ascii="Cambria" w:eastAsia="Cambria" w:hAnsi="Cambria" w:cs="Cambria"/>
                <w:lang w:val="hr-HR"/>
              </w:rPr>
            </w:pPr>
            <w:r w:rsidRPr="00DF4CE5">
              <w:rPr>
                <w:rFonts w:ascii="Cambria" w:eastAsia="Cambria" w:hAnsi="Cambria" w:cs="Cambria"/>
                <w:lang w:val="hr-HR"/>
              </w:rPr>
              <w:t xml:space="preserve">Jakovac, T., </w:t>
            </w:r>
            <w:proofErr w:type="spellStart"/>
            <w:r w:rsidRPr="00DF4CE5">
              <w:rPr>
                <w:rFonts w:ascii="Cambria" w:eastAsia="Cambria" w:hAnsi="Cambria" w:cs="Cambria"/>
                <w:lang w:val="hr-HR"/>
              </w:rPr>
              <w:t>Petelin</w:t>
            </w:r>
            <w:proofErr w:type="spellEnd"/>
            <w:r w:rsidRPr="00DF4CE5">
              <w:rPr>
                <w:rFonts w:ascii="Cambria" w:eastAsia="Cambria" w:hAnsi="Cambria" w:cs="Cambria"/>
                <w:lang w:val="hr-HR"/>
              </w:rPr>
              <w:t xml:space="preserve">, K., </w:t>
            </w:r>
            <w:proofErr w:type="spellStart"/>
            <w:r w:rsidRPr="00DF4CE5">
              <w:rPr>
                <w:rFonts w:ascii="Cambria" w:eastAsia="Cambria" w:hAnsi="Cambria" w:cs="Cambria"/>
                <w:lang w:val="hr-HR"/>
              </w:rPr>
              <w:t>Možgon</w:t>
            </w:r>
            <w:proofErr w:type="spellEnd"/>
            <w:r w:rsidRPr="00DF4CE5">
              <w:rPr>
                <w:rFonts w:ascii="Cambria" w:eastAsia="Cambria" w:hAnsi="Cambria" w:cs="Cambria"/>
                <w:lang w:val="hr-HR"/>
              </w:rPr>
              <w:t xml:space="preserve"> </w:t>
            </w:r>
            <w:proofErr w:type="spellStart"/>
            <w:r w:rsidRPr="00DF4CE5">
              <w:rPr>
                <w:rFonts w:ascii="Cambria" w:eastAsia="Cambria" w:hAnsi="Cambria" w:cs="Cambria"/>
                <w:lang w:val="hr-HR"/>
              </w:rPr>
              <w:t>Kauzlarić</w:t>
            </w:r>
            <w:proofErr w:type="spellEnd"/>
            <w:r w:rsidRPr="00DF4CE5">
              <w:rPr>
                <w:rFonts w:ascii="Cambria" w:eastAsia="Cambria" w:hAnsi="Cambria" w:cs="Cambria"/>
                <w:lang w:val="hr-HR"/>
              </w:rPr>
              <w:t xml:space="preserve">, N., </w:t>
            </w:r>
            <w:proofErr w:type="spellStart"/>
            <w:r w:rsidRPr="00DF4CE5">
              <w:rPr>
                <w:rFonts w:ascii="Cambria" w:eastAsia="Cambria" w:hAnsi="Cambria" w:cs="Cambria"/>
                <w:lang w:val="hr-HR"/>
              </w:rPr>
              <w:t>Šimičić</w:t>
            </w:r>
            <w:proofErr w:type="spellEnd"/>
            <w:r w:rsidRPr="00DF4CE5">
              <w:rPr>
                <w:rFonts w:ascii="Cambria" w:eastAsia="Cambria" w:hAnsi="Cambria" w:cs="Cambria"/>
                <w:lang w:val="hr-HR"/>
              </w:rPr>
              <w:t>, I., Bajt</w:t>
            </w:r>
            <w:r w:rsidRPr="00DF4CE5">
              <w:rPr>
                <w:rFonts w:ascii="Cambria" w:eastAsia="Cambria" w:hAnsi="Cambria" w:cs="Cambria"/>
                <w:spacing w:val="1"/>
                <w:lang w:val="hr-HR"/>
              </w:rPr>
              <w:t xml:space="preserve"> </w:t>
            </w:r>
            <w:proofErr w:type="spellStart"/>
            <w:r w:rsidRPr="00DF4CE5">
              <w:rPr>
                <w:rFonts w:ascii="Cambria" w:eastAsia="Cambria" w:hAnsi="Cambria" w:cs="Cambria"/>
                <w:lang w:val="hr-HR"/>
              </w:rPr>
              <w:t>Stepić</w:t>
            </w:r>
            <w:proofErr w:type="spellEnd"/>
            <w:r w:rsidRPr="00DF4CE5">
              <w:rPr>
                <w:rFonts w:ascii="Cambria" w:eastAsia="Cambria" w:hAnsi="Cambria" w:cs="Cambria"/>
                <w:lang w:val="hr-HR"/>
              </w:rPr>
              <w:t>,</w:t>
            </w:r>
            <w:r w:rsidRPr="00DF4CE5">
              <w:rPr>
                <w:rFonts w:ascii="Cambria" w:eastAsia="Cambria" w:hAnsi="Cambria" w:cs="Cambria"/>
                <w:spacing w:val="7"/>
                <w:lang w:val="hr-HR"/>
              </w:rPr>
              <w:t xml:space="preserve"> </w:t>
            </w:r>
            <w:r w:rsidRPr="00DF4CE5">
              <w:rPr>
                <w:rFonts w:ascii="Cambria" w:eastAsia="Cambria" w:hAnsi="Cambria" w:cs="Cambria"/>
                <w:lang w:val="hr-HR"/>
              </w:rPr>
              <w:t>M.</w:t>
            </w:r>
            <w:r w:rsidRPr="00DF4CE5">
              <w:rPr>
                <w:rFonts w:ascii="Cambria" w:eastAsia="Cambria" w:hAnsi="Cambria" w:cs="Cambria"/>
                <w:spacing w:val="7"/>
                <w:lang w:val="hr-HR"/>
              </w:rPr>
              <w:t xml:space="preserve"> </w:t>
            </w:r>
            <w:r w:rsidRPr="00DF4CE5">
              <w:rPr>
                <w:rFonts w:ascii="Cambria" w:eastAsia="Cambria" w:hAnsi="Cambria" w:cs="Cambria"/>
                <w:lang w:val="hr-HR"/>
              </w:rPr>
              <w:t>(2014).</w:t>
            </w:r>
            <w:r w:rsidRPr="00DF4CE5">
              <w:rPr>
                <w:rFonts w:ascii="Cambria" w:eastAsia="Cambria" w:hAnsi="Cambria" w:cs="Cambria"/>
                <w:spacing w:val="7"/>
                <w:lang w:val="hr-HR"/>
              </w:rPr>
              <w:t xml:space="preserve"> </w:t>
            </w:r>
            <w:r w:rsidRPr="00DF4CE5">
              <w:rPr>
                <w:rFonts w:ascii="Cambria" w:eastAsia="Cambria" w:hAnsi="Cambria" w:cs="Cambria"/>
                <w:lang w:val="hr-HR"/>
              </w:rPr>
              <w:t>Priručnik</w:t>
            </w:r>
            <w:r w:rsidRPr="00DF4CE5">
              <w:rPr>
                <w:rFonts w:ascii="Cambria" w:eastAsia="Cambria" w:hAnsi="Cambria" w:cs="Cambria"/>
                <w:spacing w:val="7"/>
                <w:lang w:val="hr-HR"/>
              </w:rPr>
              <w:t xml:space="preserve"> </w:t>
            </w:r>
            <w:r w:rsidRPr="00DF4CE5">
              <w:rPr>
                <w:rFonts w:ascii="Cambria" w:eastAsia="Cambria" w:hAnsi="Cambria" w:cs="Cambria"/>
                <w:lang w:val="hr-HR"/>
              </w:rPr>
              <w:t>pedagoške</w:t>
            </w:r>
            <w:r w:rsidRPr="00DF4CE5">
              <w:rPr>
                <w:rFonts w:ascii="Cambria" w:eastAsia="Cambria" w:hAnsi="Cambria" w:cs="Cambria"/>
                <w:spacing w:val="9"/>
                <w:lang w:val="hr-HR"/>
              </w:rPr>
              <w:t xml:space="preserve"> </w:t>
            </w:r>
            <w:r w:rsidRPr="00DF4CE5">
              <w:rPr>
                <w:rFonts w:ascii="Cambria" w:eastAsia="Cambria" w:hAnsi="Cambria" w:cs="Cambria"/>
                <w:lang w:val="hr-HR"/>
              </w:rPr>
              <w:t>dokumentacije:</w:t>
            </w:r>
            <w:r w:rsidRPr="00DF4CE5">
              <w:rPr>
                <w:rFonts w:ascii="Cambria" w:eastAsia="Cambria" w:hAnsi="Cambria" w:cs="Cambria"/>
                <w:spacing w:val="5"/>
                <w:lang w:val="hr-HR"/>
              </w:rPr>
              <w:t xml:space="preserve"> </w:t>
            </w:r>
            <w:r w:rsidRPr="00DF4CE5">
              <w:rPr>
                <w:rFonts w:ascii="Cambria" w:eastAsia="Cambria" w:hAnsi="Cambria" w:cs="Cambria"/>
                <w:lang w:val="hr-HR"/>
              </w:rPr>
              <w:t>za</w:t>
            </w:r>
            <w:r w:rsidRPr="00DF4CE5">
              <w:rPr>
                <w:rFonts w:ascii="Cambria" w:eastAsia="Cambria" w:hAnsi="Cambria" w:cs="Cambria"/>
                <w:spacing w:val="7"/>
                <w:lang w:val="hr-HR"/>
              </w:rPr>
              <w:t xml:space="preserve"> </w:t>
            </w:r>
            <w:r w:rsidRPr="00DF4CE5">
              <w:rPr>
                <w:rFonts w:ascii="Cambria" w:eastAsia="Cambria" w:hAnsi="Cambria" w:cs="Cambria"/>
                <w:lang w:val="hr-HR"/>
              </w:rPr>
              <w:t>učitelje</w:t>
            </w:r>
            <w:r w:rsidRPr="00DF4CE5">
              <w:rPr>
                <w:rFonts w:ascii="Cambria" w:eastAsia="Cambria" w:hAnsi="Cambria" w:cs="Cambria"/>
                <w:spacing w:val="-51"/>
                <w:lang w:val="hr-HR"/>
              </w:rPr>
              <w:t xml:space="preserve"> </w:t>
            </w:r>
            <w:r w:rsidRPr="00DF4CE5">
              <w:rPr>
                <w:rFonts w:ascii="Cambria" w:eastAsia="Cambria" w:hAnsi="Cambria" w:cs="Cambria"/>
                <w:lang w:val="hr-HR"/>
              </w:rPr>
              <w:t>i</w:t>
            </w:r>
            <w:r w:rsidRPr="00DF4CE5">
              <w:rPr>
                <w:rFonts w:ascii="Cambria" w:eastAsia="Cambria" w:hAnsi="Cambria" w:cs="Cambria"/>
                <w:spacing w:val="-9"/>
                <w:lang w:val="hr-HR"/>
              </w:rPr>
              <w:t xml:space="preserve"> </w:t>
            </w:r>
            <w:r w:rsidRPr="00DF4CE5">
              <w:rPr>
                <w:rFonts w:ascii="Cambria" w:eastAsia="Cambria" w:hAnsi="Cambria" w:cs="Cambria"/>
                <w:lang w:val="hr-HR"/>
              </w:rPr>
              <w:t>pedagoge</w:t>
            </w:r>
            <w:r w:rsidRPr="00DF4CE5">
              <w:rPr>
                <w:rFonts w:ascii="Cambria" w:eastAsia="Cambria" w:hAnsi="Cambria" w:cs="Cambria"/>
                <w:spacing w:val="-7"/>
                <w:lang w:val="hr-HR"/>
              </w:rPr>
              <w:t xml:space="preserve"> </w:t>
            </w:r>
            <w:r w:rsidRPr="00DF4CE5">
              <w:rPr>
                <w:rFonts w:ascii="Cambria" w:eastAsia="Cambria" w:hAnsi="Cambria" w:cs="Cambria"/>
                <w:lang w:val="hr-HR"/>
              </w:rPr>
              <w:t>[</w:t>
            </w:r>
            <w:proofErr w:type="spellStart"/>
            <w:r w:rsidRPr="00DF4CE5">
              <w:rPr>
                <w:rFonts w:ascii="Cambria" w:eastAsia="Cambria" w:hAnsi="Cambria" w:cs="Cambria"/>
                <w:lang w:val="hr-HR"/>
              </w:rPr>
              <w:t>Handbook</w:t>
            </w:r>
            <w:proofErr w:type="spellEnd"/>
            <w:r w:rsidRPr="00DF4CE5">
              <w:rPr>
                <w:rFonts w:ascii="Cambria" w:eastAsia="Cambria" w:hAnsi="Cambria" w:cs="Cambria"/>
                <w:spacing w:val="-11"/>
                <w:lang w:val="hr-HR"/>
              </w:rPr>
              <w:t xml:space="preserve"> </w:t>
            </w:r>
            <w:proofErr w:type="spellStart"/>
            <w:r w:rsidRPr="00DF4CE5">
              <w:rPr>
                <w:rFonts w:ascii="Cambria" w:eastAsia="Cambria" w:hAnsi="Cambria" w:cs="Cambria"/>
                <w:lang w:val="hr-HR"/>
              </w:rPr>
              <w:t>of</w:t>
            </w:r>
            <w:proofErr w:type="spellEnd"/>
            <w:r w:rsidRPr="00DF4CE5">
              <w:rPr>
                <w:rFonts w:ascii="Cambria" w:eastAsia="Cambria" w:hAnsi="Cambria" w:cs="Cambria"/>
                <w:spacing w:val="-9"/>
                <w:lang w:val="hr-HR"/>
              </w:rPr>
              <w:t xml:space="preserve"> </w:t>
            </w:r>
            <w:proofErr w:type="spellStart"/>
            <w:r w:rsidRPr="00DF4CE5">
              <w:rPr>
                <w:rFonts w:ascii="Cambria" w:eastAsia="Cambria" w:hAnsi="Cambria" w:cs="Cambria"/>
                <w:lang w:val="hr-HR"/>
              </w:rPr>
              <w:t>pedagogical</w:t>
            </w:r>
            <w:proofErr w:type="spellEnd"/>
            <w:r w:rsidRPr="00DF4CE5">
              <w:rPr>
                <w:rFonts w:ascii="Cambria" w:eastAsia="Cambria" w:hAnsi="Cambria" w:cs="Cambria"/>
                <w:spacing w:val="-8"/>
                <w:lang w:val="hr-HR"/>
              </w:rPr>
              <w:t xml:space="preserve"> </w:t>
            </w:r>
            <w:proofErr w:type="spellStart"/>
            <w:r w:rsidRPr="00DF4CE5">
              <w:rPr>
                <w:rFonts w:ascii="Cambria" w:eastAsia="Cambria" w:hAnsi="Cambria" w:cs="Cambria"/>
                <w:lang w:val="hr-HR"/>
              </w:rPr>
              <w:t>documentation</w:t>
            </w:r>
            <w:proofErr w:type="spellEnd"/>
            <w:r w:rsidRPr="00DF4CE5">
              <w:rPr>
                <w:rFonts w:ascii="Cambria" w:eastAsia="Cambria" w:hAnsi="Cambria" w:cs="Cambria"/>
                <w:lang w:val="hr-HR"/>
              </w:rPr>
              <w:t>:</w:t>
            </w:r>
            <w:r w:rsidRPr="00DF4CE5">
              <w:rPr>
                <w:rFonts w:ascii="Cambria" w:eastAsia="Cambria" w:hAnsi="Cambria" w:cs="Cambria"/>
                <w:spacing w:val="-10"/>
                <w:lang w:val="hr-HR"/>
              </w:rPr>
              <w:t xml:space="preserve"> </w:t>
            </w:r>
            <w:r w:rsidRPr="00DF4CE5">
              <w:rPr>
                <w:rFonts w:ascii="Cambria" w:eastAsia="Cambria" w:hAnsi="Cambria" w:cs="Cambria"/>
                <w:lang w:val="hr-HR"/>
              </w:rPr>
              <w:t>for</w:t>
            </w:r>
            <w:r w:rsidRPr="00DF4CE5">
              <w:rPr>
                <w:rFonts w:ascii="Cambria" w:eastAsia="Cambria" w:hAnsi="Cambria" w:cs="Cambria"/>
                <w:spacing w:val="-7"/>
                <w:lang w:val="hr-HR"/>
              </w:rPr>
              <w:t xml:space="preserve"> </w:t>
            </w:r>
            <w:proofErr w:type="spellStart"/>
            <w:r w:rsidRPr="00DF4CE5">
              <w:rPr>
                <w:rFonts w:ascii="Cambria" w:eastAsia="Cambria" w:hAnsi="Cambria" w:cs="Cambria"/>
                <w:lang w:val="hr-HR"/>
              </w:rPr>
              <w:t>teachers</w:t>
            </w:r>
            <w:proofErr w:type="spellEnd"/>
            <w:r w:rsidRPr="00DF4CE5">
              <w:rPr>
                <w:rFonts w:ascii="Cambria" w:eastAsia="Cambria" w:hAnsi="Cambria" w:cs="Cambria"/>
                <w:spacing w:val="-51"/>
                <w:lang w:val="hr-HR"/>
              </w:rPr>
              <w:t xml:space="preserve"> </w:t>
            </w:r>
            <w:proofErr w:type="spellStart"/>
            <w:r w:rsidRPr="00DF4CE5">
              <w:rPr>
                <w:rFonts w:ascii="Cambria" w:eastAsia="Cambria" w:hAnsi="Cambria" w:cs="Cambria"/>
                <w:lang w:val="hr-HR"/>
              </w:rPr>
              <w:t>and</w:t>
            </w:r>
            <w:proofErr w:type="spellEnd"/>
            <w:r w:rsidRPr="00DF4CE5">
              <w:rPr>
                <w:rFonts w:ascii="Cambria" w:eastAsia="Cambria" w:hAnsi="Cambria" w:cs="Cambria"/>
                <w:spacing w:val="-3"/>
                <w:lang w:val="hr-HR"/>
              </w:rPr>
              <w:t xml:space="preserve"> </w:t>
            </w:r>
            <w:proofErr w:type="spellStart"/>
            <w:r w:rsidRPr="00DF4CE5">
              <w:rPr>
                <w:rFonts w:ascii="Cambria" w:eastAsia="Cambria" w:hAnsi="Cambria" w:cs="Cambria"/>
                <w:lang w:val="hr-HR"/>
              </w:rPr>
              <w:t>pedagogues</w:t>
            </w:r>
            <w:proofErr w:type="spellEnd"/>
            <w:r w:rsidRPr="00DF4CE5">
              <w:rPr>
                <w:rFonts w:ascii="Cambria" w:eastAsia="Cambria" w:hAnsi="Cambria" w:cs="Cambria"/>
                <w:lang w:val="hr-HR"/>
              </w:rPr>
              <w:t>]. Zagreb:</w:t>
            </w:r>
            <w:r w:rsidRPr="00DF4CE5">
              <w:rPr>
                <w:rFonts w:ascii="Cambria" w:eastAsia="Cambria" w:hAnsi="Cambria" w:cs="Cambria"/>
                <w:spacing w:val="-1"/>
                <w:lang w:val="hr-HR"/>
              </w:rPr>
              <w:t xml:space="preserve"> </w:t>
            </w:r>
            <w:r w:rsidRPr="00DF4CE5">
              <w:rPr>
                <w:rFonts w:ascii="Cambria" w:eastAsia="Cambria" w:hAnsi="Cambria" w:cs="Cambria"/>
                <w:lang w:val="hr-HR"/>
              </w:rPr>
              <w:t>Naklada</w:t>
            </w:r>
            <w:r w:rsidRPr="00DF4CE5">
              <w:rPr>
                <w:rFonts w:ascii="Cambria" w:eastAsia="Cambria" w:hAnsi="Cambria" w:cs="Cambria"/>
                <w:spacing w:val="-2"/>
                <w:lang w:val="hr-HR"/>
              </w:rPr>
              <w:t xml:space="preserve"> </w:t>
            </w:r>
            <w:r w:rsidRPr="00DF4CE5">
              <w:rPr>
                <w:rFonts w:ascii="Cambria" w:eastAsia="Cambria" w:hAnsi="Cambria" w:cs="Cambria"/>
                <w:lang w:val="hr-HR"/>
              </w:rPr>
              <w:t>Ljevak.</w:t>
            </w:r>
          </w:p>
          <w:p w14:paraId="6364C9D7" w14:textId="77777777" w:rsidR="00CE3D99" w:rsidRPr="00DF4CE5" w:rsidRDefault="00CE3D99" w:rsidP="00A034E3">
            <w:pPr>
              <w:widowControl w:val="0"/>
              <w:numPr>
                <w:ilvl w:val="0"/>
                <w:numId w:val="82"/>
              </w:numPr>
              <w:tabs>
                <w:tab w:val="left" w:pos="432"/>
              </w:tabs>
              <w:autoSpaceDE w:val="0"/>
              <w:autoSpaceDN w:val="0"/>
              <w:spacing w:after="0" w:line="240" w:lineRule="auto"/>
              <w:ind w:right="132" w:firstLine="0"/>
              <w:jc w:val="both"/>
              <w:rPr>
                <w:rFonts w:ascii="Cambria" w:eastAsia="Cambria" w:hAnsi="Cambria" w:cs="Cambria"/>
                <w:lang w:val="hr-HR"/>
              </w:rPr>
            </w:pPr>
            <w:proofErr w:type="spellStart"/>
            <w:r w:rsidRPr="00DF4CE5">
              <w:rPr>
                <w:rFonts w:ascii="Cambria" w:eastAsia="Cambria" w:hAnsi="Cambria" w:cs="Cambria"/>
                <w:lang w:val="hr-HR"/>
              </w:rPr>
              <w:t>Kadum</w:t>
            </w:r>
            <w:proofErr w:type="spellEnd"/>
            <w:r w:rsidRPr="00DF4CE5">
              <w:rPr>
                <w:rFonts w:ascii="Cambria" w:eastAsia="Cambria" w:hAnsi="Cambria" w:cs="Cambria"/>
                <w:lang w:val="hr-HR"/>
              </w:rPr>
              <w:t>, S., Šuvar, V., Tomić, R.  (2020). Školska pedagogija. Pula: Sveučilište Jurja Dobrile, Fakultet za odgojne o obrazovne znanosti.</w:t>
            </w:r>
          </w:p>
          <w:p w14:paraId="2CA03AE9" w14:textId="16BB9420" w:rsidR="00CE3D99" w:rsidRPr="00DF4CE5" w:rsidRDefault="00CE3D99" w:rsidP="00A034E3">
            <w:pPr>
              <w:widowControl w:val="0"/>
              <w:numPr>
                <w:ilvl w:val="0"/>
                <w:numId w:val="82"/>
              </w:numPr>
              <w:tabs>
                <w:tab w:val="left" w:pos="432"/>
              </w:tabs>
              <w:autoSpaceDE w:val="0"/>
              <w:autoSpaceDN w:val="0"/>
              <w:spacing w:after="0" w:line="240" w:lineRule="auto"/>
              <w:ind w:right="132" w:firstLine="0"/>
              <w:jc w:val="both"/>
              <w:rPr>
                <w:rFonts w:ascii="Cambria" w:eastAsia="Cambria" w:hAnsi="Cambria" w:cs="Cambria"/>
                <w:lang w:val="hr-HR"/>
              </w:rPr>
            </w:pPr>
            <w:proofErr w:type="spellStart"/>
            <w:r w:rsidRPr="00DF4CE5">
              <w:rPr>
                <w:rFonts w:ascii="Cambria" w:eastAsia="Cambria" w:hAnsi="Cambria" w:cs="Cambria"/>
                <w:color w:val="333333"/>
                <w:lang w:val="hr-HR"/>
              </w:rPr>
              <w:t>Kyriacou,C</w:t>
            </w:r>
            <w:proofErr w:type="spellEnd"/>
            <w:r w:rsidRPr="00DF4CE5">
              <w:rPr>
                <w:rFonts w:ascii="Cambria" w:eastAsia="Cambria" w:hAnsi="Cambria" w:cs="Cambria"/>
                <w:color w:val="333333"/>
                <w:lang w:val="hr-HR"/>
              </w:rPr>
              <w:t>.</w:t>
            </w:r>
            <w:r w:rsidRPr="00DF4CE5">
              <w:rPr>
                <w:rFonts w:ascii="Cambria" w:eastAsia="Cambria" w:hAnsi="Cambria" w:cs="Cambria"/>
                <w:color w:val="333333"/>
                <w:spacing w:val="-4"/>
                <w:lang w:val="hr-HR"/>
              </w:rPr>
              <w:t xml:space="preserve"> </w:t>
            </w:r>
            <w:r w:rsidRPr="00DF4CE5">
              <w:rPr>
                <w:rFonts w:ascii="Cambria" w:eastAsia="Cambria" w:hAnsi="Cambria" w:cs="Cambria"/>
                <w:color w:val="333333"/>
                <w:lang w:val="hr-HR"/>
              </w:rPr>
              <w:t>(1995)</w:t>
            </w:r>
            <w:r w:rsidR="00826F4D">
              <w:rPr>
                <w:rFonts w:ascii="Cambria" w:eastAsia="Cambria" w:hAnsi="Cambria" w:cs="Cambria"/>
                <w:color w:val="333333"/>
                <w:lang w:val="hr-HR"/>
              </w:rPr>
              <w:t>.</w:t>
            </w:r>
            <w:r w:rsidRPr="00DF4CE5">
              <w:rPr>
                <w:rFonts w:ascii="Cambria" w:eastAsia="Cambria" w:hAnsi="Cambria" w:cs="Cambria"/>
                <w:color w:val="333333"/>
                <w:spacing w:val="-7"/>
                <w:lang w:val="hr-HR"/>
              </w:rPr>
              <w:t xml:space="preserve"> </w:t>
            </w:r>
            <w:r w:rsidRPr="00DF4CE5">
              <w:rPr>
                <w:rFonts w:ascii="Cambria" w:eastAsia="Cambria" w:hAnsi="Cambria" w:cs="Cambria"/>
                <w:color w:val="333333"/>
                <w:lang w:val="hr-HR"/>
              </w:rPr>
              <w:t>Temeljna</w:t>
            </w:r>
            <w:r w:rsidRPr="00DF4CE5">
              <w:rPr>
                <w:rFonts w:ascii="Cambria" w:eastAsia="Cambria" w:hAnsi="Cambria" w:cs="Cambria"/>
                <w:color w:val="333333"/>
                <w:spacing w:val="-4"/>
                <w:lang w:val="hr-HR"/>
              </w:rPr>
              <w:t xml:space="preserve"> </w:t>
            </w:r>
            <w:r w:rsidRPr="00DF4CE5">
              <w:rPr>
                <w:rFonts w:ascii="Cambria" w:eastAsia="Cambria" w:hAnsi="Cambria" w:cs="Cambria"/>
                <w:color w:val="333333"/>
                <w:lang w:val="hr-HR"/>
              </w:rPr>
              <w:t>nastavna</w:t>
            </w:r>
            <w:r w:rsidRPr="00DF4CE5">
              <w:rPr>
                <w:rFonts w:ascii="Cambria" w:eastAsia="Cambria" w:hAnsi="Cambria" w:cs="Cambria"/>
                <w:color w:val="333333"/>
                <w:spacing w:val="-3"/>
                <w:lang w:val="hr-HR"/>
              </w:rPr>
              <w:t xml:space="preserve"> </w:t>
            </w:r>
            <w:r w:rsidRPr="00DF4CE5">
              <w:rPr>
                <w:rFonts w:ascii="Cambria" w:eastAsia="Cambria" w:hAnsi="Cambria" w:cs="Cambria"/>
                <w:color w:val="333333"/>
                <w:lang w:val="hr-HR"/>
              </w:rPr>
              <w:t>umijeća.</w:t>
            </w:r>
            <w:r w:rsidRPr="00DF4CE5">
              <w:rPr>
                <w:rFonts w:ascii="Cambria" w:eastAsia="Cambria" w:hAnsi="Cambria" w:cs="Cambria"/>
                <w:color w:val="333333"/>
                <w:spacing w:val="-3"/>
                <w:lang w:val="hr-HR"/>
              </w:rPr>
              <w:t xml:space="preserve"> </w:t>
            </w:r>
            <w:r w:rsidRPr="00DF4CE5">
              <w:rPr>
                <w:rFonts w:ascii="Cambria" w:eastAsia="Cambria" w:hAnsi="Cambria" w:cs="Cambria"/>
                <w:color w:val="333333"/>
                <w:lang w:val="hr-HR"/>
              </w:rPr>
              <w:t>Zagreb:</w:t>
            </w:r>
            <w:r w:rsidRPr="00DF4CE5">
              <w:rPr>
                <w:rFonts w:ascii="Cambria" w:eastAsia="Cambria" w:hAnsi="Cambria" w:cs="Cambria"/>
                <w:color w:val="333333"/>
                <w:spacing w:val="-5"/>
                <w:lang w:val="hr-HR"/>
              </w:rPr>
              <w:t xml:space="preserve"> </w:t>
            </w:r>
            <w:r w:rsidRPr="00DF4CE5">
              <w:rPr>
                <w:rFonts w:ascii="Cambria" w:eastAsia="Cambria" w:hAnsi="Cambria" w:cs="Cambria"/>
                <w:color w:val="333333"/>
                <w:lang w:val="hr-HR"/>
              </w:rPr>
              <w:t>Educa.</w:t>
            </w:r>
          </w:p>
          <w:p w14:paraId="1A00D583" w14:textId="4D12D41F" w:rsidR="00CE3D99" w:rsidRPr="00DF4CE5" w:rsidRDefault="00CE3D99" w:rsidP="00A034E3">
            <w:pPr>
              <w:widowControl w:val="0"/>
              <w:numPr>
                <w:ilvl w:val="0"/>
                <w:numId w:val="82"/>
              </w:numPr>
              <w:tabs>
                <w:tab w:val="left" w:pos="432"/>
              </w:tabs>
              <w:autoSpaceDE w:val="0"/>
              <w:autoSpaceDN w:val="0"/>
              <w:spacing w:after="0" w:line="240" w:lineRule="auto"/>
              <w:ind w:right="132" w:firstLine="0"/>
              <w:jc w:val="both"/>
              <w:rPr>
                <w:rFonts w:ascii="Cambria" w:eastAsia="Cambria" w:hAnsi="Cambria" w:cs="Cambria"/>
                <w:lang w:val="hr-HR"/>
              </w:rPr>
            </w:pPr>
            <w:proofErr w:type="spellStart"/>
            <w:r w:rsidRPr="00DF4CE5">
              <w:rPr>
                <w:rFonts w:ascii="Cambria" w:eastAsia="Cambria" w:hAnsi="Cambria" w:cs="Cambria"/>
                <w:color w:val="333333"/>
                <w:lang w:val="hr-HR"/>
              </w:rPr>
              <w:t>Neill</w:t>
            </w:r>
            <w:proofErr w:type="spellEnd"/>
            <w:r w:rsidRPr="00DF4CE5">
              <w:rPr>
                <w:rFonts w:ascii="Cambria" w:eastAsia="Cambria" w:hAnsi="Cambria" w:cs="Cambria"/>
                <w:color w:val="333333"/>
                <w:lang w:val="hr-HR"/>
              </w:rPr>
              <w:t>,</w:t>
            </w:r>
            <w:r w:rsidRPr="00DF4CE5">
              <w:rPr>
                <w:rFonts w:ascii="Cambria" w:eastAsia="Cambria" w:hAnsi="Cambria" w:cs="Cambria"/>
                <w:color w:val="333333"/>
                <w:spacing w:val="-4"/>
                <w:lang w:val="hr-HR"/>
              </w:rPr>
              <w:t xml:space="preserve"> </w:t>
            </w:r>
            <w:r w:rsidRPr="00DF4CE5">
              <w:rPr>
                <w:rFonts w:ascii="Cambria" w:eastAsia="Cambria" w:hAnsi="Cambria" w:cs="Cambria"/>
                <w:color w:val="333333"/>
                <w:lang w:val="hr-HR"/>
              </w:rPr>
              <w:t>S.(1994)</w:t>
            </w:r>
            <w:r w:rsidR="00826F4D">
              <w:rPr>
                <w:rFonts w:ascii="Cambria" w:eastAsia="Cambria" w:hAnsi="Cambria" w:cs="Cambria"/>
                <w:color w:val="333333"/>
                <w:lang w:val="hr-HR"/>
              </w:rPr>
              <w:t>.</w:t>
            </w:r>
            <w:r w:rsidRPr="00DF4CE5">
              <w:rPr>
                <w:rFonts w:ascii="Cambria" w:eastAsia="Cambria" w:hAnsi="Cambria" w:cs="Cambria"/>
                <w:color w:val="333333"/>
                <w:spacing w:val="-3"/>
                <w:lang w:val="hr-HR"/>
              </w:rPr>
              <w:t xml:space="preserve"> </w:t>
            </w:r>
            <w:r w:rsidRPr="00DF4CE5">
              <w:rPr>
                <w:rFonts w:ascii="Cambria" w:eastAsia="Cambria" w:hAnsi="Cambria" w:cs="Cambria"/>
                <w:color w:val="333333"/>
                <w:lang w:val="hr-HR"/>
              </w:rPr>
              <w:t>Neverbalna</w:t>
            </w:r>
            <w:r w:rsidRPr="00DF4CE5">
              <w:rPr>
                <w:rFonts w:ascii="Cambria" w:eastAsia="Cambria" w:hAnsi="Cambria" w:cs="Cambria"/>
                <w:color w:val="333333"/>
                <w:spacing w:val="-4"/>
                <w:lang w:val="hr-HR"/>
              </w:rPr>
              <w:t xml:space="preserve"> </w:t>
            </w:r>
            <w:r w:rsidRPr="00DF4CE5">
              <w:rPr>
                <w:rFonts w:ascii="Cambria" w:eastAsia="Cambria" w:hAnsi="Cambria" w:cs="Cambria"/>
                <w:color w:val="333333"/>
                <w:lang w:val="hr-HR"/>
              </w:rPr>
              <w:t>komunikacija</w:t>
            </w:r>
            <w:r w:rsidRPr="00DF4CE5">
              <w:rPr>
                <w:rFonts w:ascii="Cambria" w:eastAsia="Cambria" w:hAnsi="Cambria" w:cs="Cambria"/>
                <w:color w:val="333333"/>
                <w:spacing w:val="-4"/>
                <w:lang w:val="hr-HR"/>
              </w:rPr>
              <w:t xml:space="preserve"> </w:t>
            </w:r>
            <w:r w:rsidRPr="00DF4CE5">
              <w:rPr>
                <w:rFonts w:ascii="Cambria" w:eastAsia="Cambria" w:hAnsi="Cambria" w:cs="Cambria"/>
                <w:color w:val="333333"/>
                <w:lang w:val="hr-HR"/>
              </w:rPr>
              <w:t>u</w:t>
            </w:r>
            <w:r w:rsidRPr="00DF4CE5">
              <w:rPr>
                <w:rFonts w:ascii="Cambria" w:eastAsia="Cambria" w:hAnsi="Cambria" w:cs="Cambria"/>
                <w:color w:val="333333"/>
                <w:spacing w:val="-3"/>
                <w:lang w:val="hr-HR"/>
              </w:rPr>
              <w:t xml:space="preserve"> </w:t>
            </w:r>
            <w:r w:rsidRPr="00DF4CE5">
              <w:rPr>
                <w:rFonts w:ascii="Cambria" w:eastAsia="Cambria" w:hAnsi="Cambria" w:cs="Cambria"/>
                <w:color w:val="333333"/>
                <w:lang w:val="hr-HR"/>
              </w:rPr>
              <w:t>razredu.</w:t>
            </w:r>
            <w:r w:rsidRPr="00DF4CE5">
              <w:rPr>
                <w:rFonts w:ascii="Cambria" w:eastAsia="Cambria" w:hAnsi="Cambria" w:cs="Cambria"/>
                <w:color w:val="333333"/>
                <w:spacing w:val="-5"/>
                <w:lang w:val="hr-HR"/>
              </w:rPr>
              <w:t xml:space="preserve"> </w:t>
            </w:r>
            <w:r w:rsidRPr="00DF4CE5">
              <w:rPr>
                <w:rFonts w:ascii="Cambria" w:eastAsia="Cambria" w:hAnsi="Cambria" w:cs="Cambria"/>
                <w:color w:val="333333"/>
                <w:lang w:val="hr-HR"/>
              </w:rPr>
              <w:t>Zagreb:</w:t>
            </w:r>
            <w:r w:rsidRPr="00DF4CE5">
              <w:rPr>
                <w:rFonts w:ascii="Cambria" w:eastAsia="Cambria" w:hAnsi="Cambria" w:cs="Cambria"/>
                <w:color w:val="333333"/>
                <w:spacing w:val="-46"/>
                <w:lang w:val="hr-HR"/>
              </w:rPr>
              <w:t xml:space="preserve"> </w:t>
            </w:r>
            <w:r w:rsidRPr="00DF4CE5">
              <w:rPr>
                <w:rFonts w:ascii="Cambria" w:eastAsia="Cambria" w:hAnsi="Cambria" w:cs="Cambria"/>
                <w:color w:val="333333"/>
                <w:lang w:val="hr-HR"/>
              </w:rPr>
              <w:t>Educa.</w:t>
            </w:r>
          </w:p>
          <w:p w14:paraId="2D0BC667" w14:textId="77777777" w:rsidR="00CE3D99" w:rsidRPr="00DF4CE5" w:rsidRDefault="00CE3D99" w:rsidP="00DF4CE5">
            <w:pPr>
              <w:widowControl w:val="0"/>
              <w:autoSpaceDE w:val="0"/>
              <w:autoSpaceDN w:val="0"/>
              <w:spacing w:after="0" w:line="240" w:lineRule="auto"/>
              <w:ind w:left="143"/>
              <w:rPr>
                <w:rFonts w:ascii="Cambria" w:eastAsia="Cambria" w:hAnsi="Cambria" w:cs="Cambria"/>
                <w:lang w:val="hr-HR"/>
              </w:rPr>
            </w:pPr>
            <w:r w:rsidRPr="00DF4CE5">
              <w:rPr>
                <w:rFonts w:ascii="Cambria" w:eastAsia="Cambria" w:hAnsi="Cambria" w:cs="Cambria"/>
                <w:color w:val="333333"/>
                <w:lang w:val="hr-HR"/>
              </w:rPr>
              <w:t>Izborna:</w:t>
            </w:r>
          </w:p>
        </w:tc>
      </w:tr>
    </w:tbl>
    <w:p w14:paraId="6D163962" w14:textId="77777777" w:rsidR="00CE3D99" w:rsidRPr="00DF4CE5" w:rsidRDefault="00CE3D99" w:rsidP="00CE3D99">
      <w:pPr>
        <w:widowControl w:val="0"/>
        <w:autoSpaceDE w:val="0"/>
        <w:autoSpaceDN w:val="0"/>
        <w:spacing w:after="0" w:line="240" w:lineRule="auto"/>
        <w:rPr>
          <w:rFonts w:ascii="Cambria" w:eastAsia="Cambria" w:hAnsi="Cambria" w:cs="Cambria"/>
          <w:lang w:val="hr-HR"/>
        </w:rPr>
        <w:sectPr w:rsidR="00CE3D99" w:rsidRPr="00DF4CE5">
          <w:pgSz w:w="12240" w:h="15840"/>
          <w:pgMar w:top="1440" w:right="1020" w:bottom="280" w:left="1180" w:header="720" w:footer="720" w:gutter="0"/>
          <w:cols w:space="720"/>
        </w:sectPr>
      </w:pPr>
    </w:p>
    <w:tbl>
      <w:tblPr>
        <w:tblW w:w="0" w:type="auto"/>
        <w:tblInd w:w="2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14"/>
        <w:gridCol w:w="6726"/>
      </w:tblGrid>
      <w:tr w:rsidR="00CE3D99" w:rsidRPr="00826F4D" w14:paraId="2DED6FD2" w14:textId="77777777" w:rsidTr="00DF4CE5">
        <w:trPr>
          <w:trHeight w:val="2207"/>
        </w:trPr>
        <w:tc>
          <w:tcPr>
            <w:tcW w:w="2614" w:type="dxa"/>
            <w:shd w:val="clear" w:color="auto" w:fill="F3F3F3"/>
          </w:tcPr>
          <w:p w14:paraId="08A45E24" w14:textId="77777777" w:rsidR="00CE3D99" w:rsidRPr="00DF4CE5" w:rsidRDefault="00CE3D99" w:rsidP="00DF4CE5">
            <w:pPr>
              <w:widowControl w:val="0"/>
              <w:autoSpaceDE w:val="0"/>
              <w:autoSpaceDN w:val="0"/>
              <w:spacing w:after="0" w:line="240" w:lineRule="auto"/>
              <w:rPr>
                <w:rFonts w:ascii="Cambria" w:eastAsia="Cambria" w:hAnsi="Cambria" w:cs="Cambria"/>
                <w:lang w:val="hr-HR"/>
              </w:rPr>
            </w:pPr>
          </w:p>
        </w:tc>
        <w:tc>
          <w:tcPr>
            <w:tcW w:w="6726" w:type="dxa"/>
          </w:tcPr>
          <w:p w14:paraId="24BC302B" w14:textId="21D9D3DE" w:rsidR="00CE3D99" w:rsidRPr="00DF4CE5" w:rsidRDefault="00CE3D99" w:rsidP="00A034E3">
            <w:pPr>
              <w:widowControl w:val="0"/>
              <w:numPr>
                <w:ilvl w:val="0"/>
                <w:numId w:val="78"/>
              </w:numPr>
              <w:tabs>
                <w:tab w:val="left" w:pos="432"/>
              </w:tabs>
              <w:autoSpaceDE w:val="0"/>
              <w:autoSpaceDN w:val="0"/>
              <w:spacing w:before="71" w:after="0" w:line="240" w:lineRule="auto"/>
              <w:ind w:hanging="289"/>
              <w:rPr>
                <w:rFonts w:ascii="Cambria" w:eastAsia="Cambria" w:hAnsi="Cambria" w:cs="Cambria"/>
                <w:lang w:val="hr-HR"/>
              </w:rPr>
            </w:pPr>
            <w:proofErr w:type="spellStart"/>
            <w:r w:rsidRPr="00DF4CE5">
              <w:rPr>
                <w:rFonts w:ascii="Cambria" w:eastAsia="Cambria" w:hAnsi="Cambria" w:cs="Cambria"/>
                <w:color w:val="333333"/>
                <w:lang w:val="hr-HR"/>
              </w:rPr>
              <w:t>Domović</w:t>
            </w:r>
            <w:proofErr w:type="spellEnd"/>
            <w:r w:rsidRPr="00DF4CE5">
              <w:rPr>
                <w:rFonts w:ascii="Cambria" w:eastAsia="Cambria" w:hAnsi="Cambria" w:cs="Cambria"/>
                <w:color w:val="333333"/>
                <w:lang w:val="hr-HR"/>
              </w:rPr>
              <w:t>,</w:t>
            </w:r>
            <w:r w:rsidRPr="00DF4CE5">
              <w:rPr>
                <w:rFonts w:ascii="Cambria" w:eastAsia="Cambria" w:hAnsi="Cambria" w:cs="Cambria"/>
                <w:color w:val="333333"/>
                <w:spacing w:val="-4"/>
                <w:lang w:val="hr-HR"/>
              </w:rPr>
              <w:t xml:space="preserve"> </w:t>
            </w:r>
            <w:r w:rsidRPr="00DF4CE5">
              <w:rPr>
                <w:rFonts w:ascii="Cambria" w:eastAsia="Cambria" w:hAnsi="Cambria" w:cs="Cambria"/>
                <w:color w:val="333333"/>
                <w:lang w:val="hr-HR"/>
              </w:rPr>
              <w:t>V.</w:t>
            </w:r>
            <w:r w:rsidRPr="00DF4CE5">
              <w:rPr>
                <w:rFonts w:ascii="Cambria" w:eastAsia="Cambria" w:hAnsi="Cambria" w:cs="Cambria"/>
                <w:color w:val="333333"/>
                <w:spacing w:val="-3"/>
                <w:lang w:val="hr-HR"/>
              </w:rPr>
              <w:t xml:space="preserve"> </w:t>
            </w:r>
            <w:r w:rsidRPr="00DF4CE5">
              <w:rPr>
                <w:rFonts w:ascii="Cambria" w:eastAsia="Cambria" w:hAnsi="Cambria" w:cs="Cambria"/>
                <w:color w:val="333333"/>
                <w:lang w:val="hr-HR"/>
              </w:rPr>
              <w:t>(2004)</w:t>
            </w:r>
            <w:r w:rsidR="00826F4D">
              <w:rPr>
                <w:rFonts w:ascii="Cambria" w:eastAsia="Cambria" w:hAnsi="Cambria" w:cs="Cambria"/>
                <w:color w:val="333333"/>
                <w:lang w:val="hr-HR"/>
              </w:rPr>
              <w:t>.</w:t>
            </w:r>
            <w:r w:rsidRPr="00DF4CE5">
              <w:rPr>
                <w:rFonts w:ascii="Cambria" w:eastAsia="Cambria" w:hAnsi="Cambria" w:cs="Cambria"/>
                <w:color w:val="333333"/>
                <w:spacing w:val="-3"/>
                <w:lang w:val="hr-HR"/>
              </w:rPr>
              <w:t xml:space="preserve"> </w:t>
            </w:r>
            <w:r w:rsidRPr="00DF4CE5">
              <w:rPr>
                <w:rFonts w:ascii="Cambria" w:eastAsia="Cambria" w:hAnsi="Cambria" w:cs="Cambria"/>
                <w:color w:val="333333"/>
                <w:lang w:val="hr-HR"/>
              </w:rPr>
              <w:t>Školsko</w:t>
            </w:r>
            <w:r w:rsidRPr="00DF4CE5">
              <w:rPr>
                <w:rFonts w:ascii="Cambria" w:eastAsia="Cambria" w:hAnsi="Cambria" w:cs="Cambria"/>
                <w:color w:val="333333"/>
                <w:spacing w:val="-4"/>
                <w:lang w:val="hr-HR"/>
              </w:rPr>
              <w:t xml:space="preserve"> </w:t>
            </w:r>
            <w:r w:rsidRPr="00DF4CE5">
              <w:rPr>
                <w:rFonts w:ascii="Cambria" w:eastAsia="Cambria" w:hAnsi="Cambria" w:cs="Cambria"/>
                <w:color w:val="333333"/>
                <w:lang w:val="hr-HR"/>
              </w:rPr>
              <w:t>ozračje</w:t>
            </w:r>
            <w:r w:rsidRPr="00DF4CE5">
              <w:rPr>
                <w:rFonts w:ascii="Cambria" w:eastAsia="Cambria" w:hAnsi="Cambria" w:cs="Cambria"/>
                <w:color w:val="333333"/>
                <w:spacing w:val="-3"/>
                <w:lang w:val="hr-HR"/>
              </w:rPr>
              <w:t xml:space="preserve"> </w:t>
            </w:r>
            <w:r w:rsidRPr="00DF4CE5">
              <w:rPr>
                <w:rFonts w:ascii="Cambria" w:eastAsia="Cambria" w:hAnsi="Cambria" w:cs="Cambria"/>
                <w:color w:val="333333"/>
                <w:lang w:val="hr-HR"/>
              </w:rPr>
              <w:t>i</w:t>
            </w:r>
            <w:r w:rsidRPr="00DF4CE5">
              <w:rPr>
                <w:rFonts w:ascii="Cambria" w:eastAsia="Cambria" w:hAnsi="Cambria" w:cs="Cambria"/>
                <w:color w:val="333333"/>
                <w:spacing w:val="-3"/>
                <w:lang w:val="hr-HR"/>
              </w:rPr>
              <w:t xml:space="preserve"> </w:t>
            </w:r>
            <w:r w:rsidRPr="00DF4CE5">
              <w:rPr>
                <w:rFonts w:ascii="Cambria" w:eastAsia="Cambria" w:hAnsi="Cambria" w:cs="Cambria"/>
                <w:color w:val="333333"/>
                <w:lang w:val="hr-HR"/>
              </w:rPr>
              <w:t>učinkovitost</w:t>
            </w:r>
            <w:r w:rsidRPr="00DF4CE5">
              <w:rPr>
                <w:rFonts w:ascii="Cambria" w:eastAsia="Cambria" w:hAnsi="Cambria" w:cs="Cambria"/>
                <w:color w:val="333333"/>
                <w:spacing w:val="-4"/>
                <w:lang w:val="hr-HR"/>
              </w:rPr>
              <w:t xml:space="preserve"> </w:t>
            </w:r>
            <w:r w:rsidRPr="00DF4CE5">
              <w:rPr>
                <w:rFonts w:ascii="Cambria" w:eastAsia="Cambria" w:hAnsi="Cambria" w:cs="Cambria"/>
                <w:color w:val="333333"/>
                <w:lang w:val="hr-HR"/>
              </w:rPr>
              <w:t>škole,</w:t>
            </w:r>
            <w:r w:rsidRPr="00DF4CE5">
              <w:rPr>
                <w:rFonts w:ascii="Cambria" w:eastAsia="Cambria" w:hAnsi="Cambria" w:cs="Cambria"/>
                <w:color w:val="333333"/>
                <w:spacing w:val="-4"/>
                <w:lang w:val="hr-HR"/>
              </w:rPr>
              <w:t xml:space="preserve"> </w:t>
            </w:r>
            <w:r w:rsidRPr="00DF4CE5">
              <w:rPr>
                <w:rFonts w:ascii="Cambria" w:eastAsia="Cambria" w:hAnsi="Cambria" w:cs="Cambria"/>
                <w:color w:val="333333"/>
                <w:lang w:val="hr-HR"/>
              </w:rPr>
              <w:t>Naklada</w:t>
            </w:r>
          </w:p>
          <w:p w14:paraId="6290B816" w14:textId="77777777" w:rsidR="00CE3D99" w:rsidRPr="00DF4CE5" w:rsidRDefault="00CE3D99" w:rsidP="00DF4CE5">
            <w:pPr>
              <w:widowControl w:val="0"/>
              <w:autoSpaceDE w:val="0"/>
              <w:autoSpaceDN w:val="0"/>
              <w:spacing w:before="2" w:after="0" w:line="257" w:lineRule="exact"/>
              <w:ind w:left="431"/>
              <w:rPr>
                <w:rFonts w:ascii="Cambria" w:eastAsia="Cambria" w:hAnsi="Cambria" w:cs="Cambria"/>
                <w:lang w:val="hr-HR"/>
              </w:rPr>
            </w:pPr>
            <w:r w:rsidRPr="00DF4CE5">
              <w:rPr>
                <w:rFonts w:ascii="Cambria" w:eastAsia="Cambria" w:hAnsi="Cambria" w:cs="Cambria"/>
                <w:color w:val="333333"/>
                <w:lang w:val="hr-HR"/>
              </w:rPr>
              <w:t>Slap,</w:t>
            </w:r>
            <w:r w:rsidRPr="00DF4CE5">
              <w:rPr>
                <w:rFonts w:ascii="Cambria" w:eastAsia="Cambria" w:hAnsi="Cambria" w:cs="Cambria"/>
                <w:color w:val="333333"/>
                <w:spacing w:val="-6"/>
                <w:lang w:val="hr-HR"/>
              </w:rPr>
              <w:t xml:space="preserve"> </w:t>
            </w:r>
            <w:r w:rsidRPr="00DF4CE5">
              <w:rPr>
                <w:rFonts w:ascii="Cambria" w:eastAsia="Cambria" w:hAnsi="Cambria" w:cs="Cambria"/>
                <w:color w:val="333333"/>
                <w:lang w:val="hr-HR"/>
              </w:rPr>
              <w:t>Jastrebarsko.</w:t>
            </w:r>
          </w:p>
          <w:p w14:paraId="64F3155B" w14:textId="2BA994D5" w:rsidR="00CE3D99" w:rsidRPr="00DF4CE5" w:rsidRDefault="00CE3D99" w:rsidP="00A034E3">
            <w:pPr>
              <w:widowControl w:val="0"/>
              <w:numPr>
                <w:ilvl w:val="0"/>
                <w:numId w:val="78"/>
              </w:numPr>
              <w:tabs>
                <w:tab w:val="left" w:pos="432"/>
              </w:tabs>
              <w:autoSpaceDE w:val="0"/>
              <w:autoSpaceDN w:val="0"/>
              <w:spacing w:after="0" w:line="240" w:lineRule="auto"/>
              <w:ind w:right="311"/>
              <w:rPr>
                <w:rFonts w:ascii="Cambria" w:eastAsia="Cambria" w:hAnsi="Cambria" w:cs="Cambria"/>
                <w:lang w:val="hr-HR"/>
              </w:rPr>
            </w:pPr>
            <w:proofErr w:type="spellStart"/>
            <w:r w:rsidRPr="00DF4CE5">
              <w:rPr>
                <w:rFonts w:ascii="Cambria" w:eastAsia="Cambria" w:hAnsi="Cambria" w:cs="Cambria"/>
                <w:color w:val="333333"/>
                <w:lang w:val="hr-HR"/>
              </w:rPr>
              <w:t>Gudjons</w:t>
            </w:r>
            <w:proofErr w:type="spellEnd"/>
            <w:r w:rsidRPr="00DF4CE5">
              <w:rPr>
                <w:rFonts w:ascii="Cambria" w:eastAsia="Cambria" w:hAnsi="Cambria" w:cs="Cambria"/>
                <w:color w:val="333333"/>
                <w:lang w:val="hr-HR"/>
              </w:rPr>
              <w:t>, H. (1994)</w:t>
            </w:r>
            <w:r w:rsidR="00826F4D">
              <w:rPr>
                <w:rFonts w:ascii="Cambria" w:eastAsia="Cambria" w:hAnsi="Cambria" w:cs="Cambria"/>
                <w:color w:val="333333"/>
                <w:lang w:val="hr-HR"/>
              </w:rPr>
              <w:t>.</w:t>
            </w:r>
            <w:r w:rsidRPr="00DF4CE5">
              <w:rPr>
                <w:rFonts w:ascii="Cambria" w:eastAsia="Cambria" w:hAnsi="Cambria" w:cs="Cambria"/>
                <w:color w:val="333333"/>
                <w:lang w:val="hr-HR"/>
              </w:rPr>
              <w:t xml:space="preserve"> Pedagogija-temeljna znanja. Zagreb: Educa.</w:t>
            </w:r>
            <w:r w:rsidRPr="00DF4CE5">
              <w:rPr>
                <w:rFonts w:ascii="Cambria" w:eastAsia="Cambria" w:hAnsi="Cambria" w:cs="Cambria"/>
                <w:color w:val="333333"/>
                <w:spacing w:val="-46"/>
                <w:lang w:val="hr-HR"/>
              </w:rPr>
              <w:t xml:space="preserve"> </w:t>
            </w:r>
            <w:r w:rsidRPr="00DF4CE5">
              <w:rPr>
                <w:rFonts w:ascii="Cambria" w:eastAsia="Cambria" w:hAnsi="Cambria" w:cs="Cambria"/>
                <w:color w:val="333333"/>
                <w:lang w:val="hr-HR"/>
              </w:rPr>
              <w:t>Poglavlje</w:t>
            </w:r>
            <w:r w:rsidRPr="00DF4CE5">
              <w:rPr>
                <w:rFonts w:ascii="Cambria" w:eastAsia="Cambria" w:hAnsi="Cambria" w:cs="Cambria"/>
                <w:color w:val="333333"/>
                <w:spacing w:val="-1"/>
                <w:lang w:val="hr-HR"/>
              </w:rPr>
              <w:t xml:space="preserve"> </w:t>
            </w:r>
            <w:r w:rsidRPr="00DF4CE5">
              <w:rPr>
                <w:rFonts w:ascii="Cambria" w:eastAsia="Cambria" w:hAnsi="Cambria" w:cs="Cambria"/>
                <w:color w:val="333333"/>
                <w:lang w:val="hr-HR"/>
              </w:rPr>
              <w:t>8, str. 171.-185.</w:t>
            </w:r>
          </w:p>
          <w:p w14:paraId="5C873D71" w14:textId="03BB5525" w:rsidR="00CE3D99" w:rsidRPr="00DF4CE5" w:rsidRDefault="00CE3D99" w:rsidP="00A034E3">
            <w:pPr>
              <w:widowControl w:val="0"/>
              <w:numPr>
                <w:ilvl w:val="0"/>
                <w:numId w:val="78"/>
              </w:numPr>
              <w:tabs>
                <w:tab w:val="left" w:pos="432"/>
              </w:tabs>
              <w:autoSpaceDE w:val="0"/>
              <w:autoSpaceDN w:val="0"/>
              <w:spacing w:after="0" w:line="240" w:lineRule="auto"/>
              <w:ind w:hanging="289"/>
              <w:rPr>
                <w:rFonts w:ascii="Cambria" w:eastAsia="Cambria" w:hAnsi="Cambria" w:cs="Cambria"/>
                <w:lang w:val="hr-HR"/>
              </w:rPr>
            </w:pPr>
            <w:r w:rsidRPr="00DF4CE5">
              <w:rPr>
                <w:rFonts w:ascii="Cambria" w:eastAsia="Cambria" w:hAnsi="Cambria" w:cs="Cambria"/>
                <w:color w:val="333333"/>
                <w:lang w:val="hr-HR"/>
              </w:rPr>
              <w:t>Matijević,</w:t>
            </w:r>
            <w:r w:rsidRPr="00DF4CE5">
              <w:rPr>
                <w:rFonts w:ascii="Cambria" w:eastAsia="Cambria" w:hAnsi="Cambria" w:cs="Cambria"/>
                <w:color w:val="333333"/>
                <w:spacing w:val="-3"/>
                <w:lang w:val="hr-HR"/>
              </w:rPr>
              <w:t xml:space="preserve"> </w:t>
            </w:r>
            <w:r w:rsidRPr="00DF4CE5">
              <w:rPr>
                <w:rFonts w:ascii="Cambria" w:eastAsia="Cambria" w:hAnsi="Cambria" w:cs="Cambria"/>
                <w:color w:val="333333"/>
                <w:lang w:val="hr-HR"/>
              </w:rPr>
              <w:t>M.</w:t>
            </w:r>
            <w:r w:rsidRPr="00DF4CE5">
              <w:rPr>
                <w:rFonts w:ascii="Cambria" w:eastAsia="Cambria" w:hAnsi="Cambria" w:cs="Cambria"/>
                <w:color w:val="333333"/>
                <w:spacing w:val="-3"/>
                <w:lang w:val="hr-HR"/>
              </w:rPr>
              <w:t xml:space="preserve"> </w:t>
            </w:r>
            <w:r w:rsidRPr="00DF4CE5">
              <w:rPr>
                <w:rFonts w:ascii="Cambria" w:eastAsia="Cambria" w:hAnsi="Cambria" w:cs="Cambria"/>
                <w:color w:val="333333"/>
                <w:lang w:val="hr-HR"/>
              </w:rPr>
              <w:t>(1994)</w:t>
            </w:r>
            <w:r w:rsidR="00826F4D">
              <w:rPr>
                <w:rFonts w:ascii="Cambria" w:eastAsia="Cambria" w:hAnsi="Cambria" w:cs="Cambria"/>
                <w:color w:val="333333"/>
                <w:lang w:val="hr-HR"/>
              </w:rPr>
              <w:t>.</w:t>
            </w:r>
            <w:r w:rsidRPr="00DF4CE5">
              <w:rPr>
                <w:rFonts w:ascii="Cambria" w:eastAsia="Cambria" w:hAnsi="Cambria" w:cs="Cambria"/>
                <w:color w:val="333333"/>
                <w:spacing w:val="-3"/>
                <w:lang w:val="hr-HR"/>
              </w:rPr>
              <w:t xml:space="preserve"> </w:t>
            </w:r>
            <w:r w:rsidRPr="00DF4CE5">
              <w:rPr>
                <w:rFonts w:ascii="Cambria" w:eastAsia="Cambria" w:hAnsi="Cambria" w:cs="Cambria"/>
                <w:color w:val="333333"/>
                <w:lang w:val="hr-HR"/>
              </w:rPr>
              <w:t>Humor</w:t>
            </w:r>
            <w:r w:rsidRPr="00DF4CE5">
              <w:rPr>
                <w:rFonts w:ascii="Cambria" w:eastAsia="Cambria" w:hAnsi="Cambria" w:cs="Cambria"/>
                <w:color w:val="333333"/>
                <w:spacing w:val="-2"/>
                <w:lang w:val="hr-HR"/>
              </w:rPr>
              <w:t xml:space="preserve"> </w:t>
            </w:r>
            <w:r w:rsidRPr="00DF4CE5">
              <w:rPr>
                <w:rFonts w:ascii="Cambria" w:eastAsia="Cambria" w:hAnsi="Cambria" w:cs="Cambria"/>
                <w:color w:val="333333"/>
                <w:lang w:val="hr-HR"/>
              </w:rPr>
              <w:t>u</w:t>
            </w:r>
            <w:r w:rsidRPr="00DF4CE5">
              <w:rPr>
                <w:rFonts w:ascii="Cambria" w:eastAsia="Cambria" w:hAnsi="Cambria" w:cs="Cambria"/>
                <w:color w:val="333333"/>
                <w:spacing w:val="-2"/>
                <w:lang w:val="hr-HR"/>
              </w:rPr>
              <w:t xml:space="preserve"> </w:t>
            </w:r>
            <w:r w:rsidRPr="00DF4CE5">
              <w:rPr>
                <w:rFonts w:ascii="Cambria" w:eastAsia="Cambria" w:hAnsi="Cambria" w:cs="Cambria"/>
                <w:color w:val="333333"/>
                <w:lang w:val="hr-HR"/>
              </w:rPr>
              <w:t>nastavi.</w:t>
            </w:r>
            <w:r w:rsidRPr="00DF4CE5">
              <w:rPr>
                <w:rFonts w:ascii="Cambria" w:eastAsia="Cambria" w:hAnsi="Cambria" w:cs="Cambria"/>
                <w:color w:val="333333"/>
                <w:spacing w:val="-2"/>
                <w:lang w:val="hr-HR"/>
              </w:rPr>
              <w:t xml:space="preserve"> </w:t>
            </w:r>
            <w:r w:rsidRPr="00DF4CE5">
              <w:rPr>
                <w:rFonts w:ascii="Cambria" w:eastAsia="Cambria" w:hAnsi="Cambria" w:cs="Cambria"/>
                <w:color w:val="333333"/>
                <w:lang w:val="hr-HR"/>
              </w:rPr>
              <w:t>Zagreb:</w:t>
            </w:r>
            <w:r w:rsidRPr="00DF4CE5">
              <w:rPr>
                <w:rFonts w:ascii="Cambria" w:eastAsia="Cambria" w:hAnsi="Cambria" w:cs="Cambria"/>
                <w:color w:val="333333"/>
                <w:spacing w:val="-3"/>
                <w:lang w:val="hr-HR"/>
              </w:rPr>
              <w:t xml:space="preserve"> </w:t>
            </w:r>
            <w:r w:rsidRPr="00DF4CE5">
              <w:rPr>
                <w:rFonts w:ascii="Cambria" w:eastAsia="Cambria" w:hAnsi="Cambria" w:cs="Cambria"/>
                <w:color w:val="333333"/>
                <w:lang w:val="hr-HR"/>
              </w:rPr>
              <w:t>Una-</w:t>
            </w:r>
            <w:proofErr w:type="spellStart"/>
            <w:r w:rsidRPr="00DF4CE5">
              <w:rPr>
                <w:rFonts w:ascii="Cambria" w:eastAsia="Cambria" w:hAnsi="Cambria" w:cs="Cambria"/>
                <w:color w:val="333333"/>
                <w:lang w:val="hr-HR"/>
              </w:rPr>
              <w:t>Mtv</w:t>
            </w:r>
            <w:proofErr w:type="spellEnd"/>
            <w:r w:rsidRPr="00DF4CE5">
              <w:rPr>
                <w:rFonts w:ascii="Cambria" w:eastAsia="Cambria" w:hAnsi="Cambria" w:cs="Cambria"/>
                <w:color w:val="333333"/>
                <w:lang w:val="hr-HR"/>
              </w:rPr>
              <w:t>.</w:t>
            </w:r>
          </w:p>
          <w:p w14:paraId="4B4CFBC8" w14:textId="77777777" w:rsidR="00CE3D99" w:rsidRPr="00DF4CE5" w:rsidRDefault="00CE3D99" w:rsidP="00DF4CE5">
            <w:pPr>
              <w:widowControl w:val="0"/>
              <w:autoSpaceDE w:val="0"/>
              <w:autoSpaceDN w:val="0"/>
              <w:spacing w:before="1" w:after="0" w:line="257" w:lineRule="exact"/>
              <w:ind w:left="143"/>
              <w:rPr>
                <w:rFonts w:ascii="Cambria" w:eastAsia="Cambria" w:hAnsi="Cambria" w:cs="Cambria"/>
                <w:lang w:val="hr-HR"/>
              </w:rPr>
            </w:pPr>
            <w:r w:rsidRPr="00DF4CE5">
              <w:rPr>
                <w:rFonts w:ascii="Cambria" w:eastAsia="Cambria" w:hAnsi="Cambria" w:cs="Cambria"/>
                <w:lang w:val="hr-HR"/>
              </w:rPr>
              <w:t>Priručna:</w:t>
            </w:r>
          </w:p>
          <w:p w14:paraId="0D3E6676" w14:textId="4B0F60BC" w:rsidR="00CE3D99" w:rsidRPr="00DF4CE5" w:rsidRDefault="00CE3D99" w:rsidP="00826F4D">
            <w:pPr>
              <w:widowControl w:val="0"/>
              <w:autoSpaceDE w:val="0"/>
              <w:autoSpaceDN w:val="0"/>
              <w:spacing w:after="0" w:line="257" w:lineRule="exact"/>
              <w:ind w:left="143"/>
              <w:rPr>
                <w:rFonts w:ascii="Cambria" w:eastAsia="Cambria" w:hAnsi="Cambria" w:cs="Cambria"/>
                <w:lang w:val="hr-HR"/>
              </w:rPr>
            </w:pPr>
            <w:r w:rsidRPr="00DF4CE5">
              <w:rPr>
                <w:rFonts w:ascii="Cambria" w:eastAsia="Cambria" w:hAnsi="Cambria" w:cs="Cambria"/>
                <w:lang w:val="hr-HR"/>
              </w:rPr>
              <w:t>1.</w:t>
            </w:r>
            <w:r w:rsidRPr="00DF4CE5">
              <w:rPr>
                <w:rFonts w:ascii="Cambria" w:eastAsia="Cambria" w:hAnsi="Cambria" w:cs="Cambria"/>
                <w:spacing w:val="91"/>
                <w:lang w:val="hr-HR"/>
              </w:rPr>
              <w:t xml:space="preserve"> </w:t>
            </w:r>
            <w:proofErr w:type="spellStart"/>
            <w:r w:rsidRPr="00DF4CE5">
              <w:rPr>
                <w:rFonts w:ascii="Cambria" w:eastAsia="Cambria" w:hAnsi="Cambria" w:cs="Cambria"/>
                <w:lang w:val="hr-HR"/>
              </w:rPr>
              <w:t>Kurikulumi</w:t>
            </w:r>
            <w:proofErr w:type="spellEnd"/>
            <w:r w:rsidRPr="00DF4CE5">
              <w:rPr>
                <w:rFonts w:ascii="Cambria" w:eastAsia="Cambria" w:hAnsi="Cambria" w:cs="Cambria"/>
                <w:spacing w:val="-1"/>
                <w:lang w:val="hr-HR"/>
              </w:rPr>
              <w:t xml:space="preserve"> </w:t>
            </w:r>
            <w:r w:rsidRPr="00DF4CE5">
              <w:rPr>
                <w:rFonts w:ascii="Cambria" w:eastAsia="Cambria" w:hAnsi="Cambria" w:cs="Cambria"/>
                <w:lang w:val="hr-HR"/>
              </w:rPr>
              <w:t>nastavnih</w:t>
            </w:r>
            <w:r w:rsidRPr="00DF4CE5">
              <w:rPr>
                <w:rFonts w:ascii="Cambria" w:eastAsia="Cambria" w:hAnsi="Cambria" w:cs="Cambria"/>
                <w:spacing w:val="-1"/>
                <w:lang w:val="hr-HR"/>
              </w:rPr>
              <w:t xml:space="preserve"> </w:t>
            </w:r>
            <w:r w:rsidRPr="00DF4CE5">
              <w:rPr>
                <w:rFonts w:ascii="Cambria" w:eastAsia="Cambria" w:hAnsi="Cambria" w:cs="Cambria"/>
                <w:lang w:val="hr-HR"/>
              </w:rPr>
              <w:t>predmeta</w:t>
            </w:r>
            <w:r w:rsidRPr="00DF4CE5">
              <w:rPr>
                <w:rFonts w:ascii="Cambria" w:eastAsia="Cambria" w:hAnsi="Cambria" w:cs="Cambria"/>
                <w:spacing w:val="-5"/>
                <w:lang w:val="hr-HR"/>
              </w:rPr>
              <w:t xml:space="preserve"> </w:t>
            </w:r>
            <w:r w:rsidRPr="00DF4CE5">
              <w:rPr>
                <w:rFonts w:ascii="Cambria" w:eastAsia="Cambria" w:hAnsi="Cambria" w:cs="Cambria"/>
                <w:lang w:val="hr-HR"/>
              </w:rPr>
              <w:t xml:space="preserve">i </w:t>
            </w:r>
            <w:proofErr w:type="spellStart"/>
            <w:r w:rsidRPr="00DF4CE5">
              <w:rPr>
                <w:rFonts w:ascii="Cambria" w:eastAsia="Cambria" w:hAnsi="Cambria" w:cs="Cambria"/>
                <w:lang w:val="hr-HR"/>
              </w:rPr>
              <w:t>međupredmetnih</w:t>
            </w:r>
            <w:proofErr w:type="spellEnd"/>
            <w:r w:rsidRPr="00DF4CE5">
              <w:rPr>
                <w:rFonts w:ascii="Cambria" w:eastAsia="Cambria" w:hAnsi="Cambria" w:cs="Cambria"/>
                <w:spacing w:val="-5"/>
                <w:lang w:val="hr-HR"/>
              </w:rPr>
              <w:t xml:space="preserve"> </w:t>
            </w:r>
            <w:r w:rsidRPr="00DF4CE5">
              <w:rPr>
                <w:rFonts w:ascii="Cambria" w:eastAsia="Cambria" w:hAnsi="Cambria" w:cs="Cambria"/>
                <w:lang w:val="hr-HR"/>
              </w:rPr>
              <w:t>tema</w:t>
            </w:r>
            <w:r w:rsidR="00826F4D">
              <w:rPr>
                <w:rFonts w:ascii="Cambria" w:eastAsia="Cambria" w:hAnsi="Cambria" w:cs="Cambria"/>
                <w:lang w:val="hr-HR"/>
              </w:rPr>
              <w:t xml:space="preserve"> </w:t>
            </w:r>
            <w:r w:rsidRPr="00DF4CE5">
              <w:rPr>
                <w:rFonts w:ascii="Cambria" w:eastAsia="Cambria" w:hAnsi="Cambria" w:cs="Cambria"/>
                <w:lang w:val="hr-HR"/>
              </w:rPr>
              <w:t>(2019).</w:t>
            </w:r>
            <w:r w:rsidRPr="00DF4CE5">
              <w:rPr>
                <w:rFonts w:ascii="Cambria" w:eastAsia="Cambria" w:hAnsi="Cambria" w:cs="Cambria"/>
                <w:spacing w:val="-2"/>
                <w:lang w:val="hr-HR"/>
              </w:rPr>
              <w:t xml:space="preserve"> </w:t>
            </w:r>
            <w:r w:rsidRPr="00DF4CE5">
              <w:rPr>
                <w:rFonts w:ascii="Cambria" w:eastAsia="Cambria" w:hAnsi="Cambria" w:cs="Cambria"/>
                <w:lang w:val="hr-HR"/>
              </w:rPr>
              <w:t>Zagreb:</w:t>
            </w:r>
            <w:r w:rsidRPr="00DF4CE5">
              <w:rPr>
                <w:rFonts w:ascii="Cambria" w:eastAsia="Cambria" w:hAnsi="Cambria" w:cs="Cambria"/>
                <w:spacing w:val="-2"/>
                <w:lang w:val="hr-HR"/>
              </w:rPr>
              <w:t xml:space="preserve"> </w:t>
            </w:r>
            <w:r w:rsidRPr="00DF4CE5">
              <w:rPr>
                <w:rFonts w:ascii="Cambria" w:eastAsia="Cambria" w:hAnsi="Cambria" w:cs="Cambria"/>
                <w:lang w:val="hr-HR"/>
              </w:rPr>
              <w:t>MZORH.</w:t>
            </w:r>
          </w:p>
        </w:tc>
      </w:tr>
    </w:tbl>
    <w:p w14:paraId="08E7928D" w14:textId="77777777" w:rsidR="00CE3D99" w:rsidRPr="00DF4CE5" w:rsidRDefault="00CE3D99" w:rsidP="00CE3D99">
      <w:pPr>
        <w:widowControl w:val="0"/>
        <w:autoSpaceDE w:val="0"/>
        <w:autoSpaceDN w:val="0"/>
        <w:spacing w:after="0" w:line="240" w:lineRule="auto"/>
        <w:rPr>
          <w:rFonts w:ascii="Cambria" w:eastAsia="Cambria" w:hAnsi="Cambria" w:cs="Cambria"/>
          <w:lang w:val="hr-HR"/>
        </w:rPr>
      </w:pPr>
    </w:p>
    <w:p w14:paraId="68A864CD" w14:textId="77777777" w:rsidR="00C52F47" w:rsidRPr="00DF4CE5" w:rsidRDefault="00C52F47">
      <w:pPr>
        <w:rPr>
          <w:rFonts w:ascii="Cambria" w:eastAsia="Times New Roman" w:hAnsi="Cambria" w:cs="Calibri"/>
          <w:lang w:val="hr-HR"/>
        </w:rPr>
      </w:pPr>
    </w:p>
    <w:p w14:paraId="3DF13322" w14:textId="694370CC" w:rsidR="00C52F47" w:rsidRPr="00DF4CE5" w:rsidRDefault="00C52F47">
      <w:pPr>
        <w:rPr>
          <w:rFonts w:ascii="Cambria" w:eastAsia="Times New Roman" w:hAnsi="Cambria" w:cs="Calibri"/>
          <w:lang w:val="hr-HR"/>
        </w:rPr>
      </w:pPr>
    </w:p>
    <w:p w14:paraId="5B4B2CF5" w14:textId="6E088D97" w:rsidR="00C52F47" w:rsidRPr="00DF4CE5" w:rsidRDefault="00C52F47">
      <w:pPr>
        <w:rPr>
          <w:rFonts w:ascii="Cambria" w:eastAsia="Times New Roman" w:hAnsi="Cambria" w:cs="Calibri"/>
          <w:lang w:val="hr-HR"/>
        </w:rPr>
      </w:pPr>
    </w:p>
    <w:p w14:paraId="592CCAD9" w14:textId="77777777" w:rsidR="00C52F47" w:rsidRPr="00DF4CE5" w:rsidRDefault="00C52F47">
      <w:pPr>
        <w:rPr>
          <w:rFonts w:ascii="Cambria" w:eastAsia="Times New Roman" w:hAnsi="Cambria" w:cs="Calibri"/>
          <w:lang w:val="hr-HR"/>
        </w:rPr>
      </w:pPr>
    </w:p>
    <w:p w14:paraId="340C4D6C" w14:textId="77777777" w:rsidR="001C42AA" w:rsidRPr="00DF4CE5" w:rsidRDefault="001C42AA">
      <w:pPr>
        <w:rPr>
          <w:rFonts w:ascii="Cambria" w:eastAsia="Times New Roman" w:hAnsi="Cambria" w:cs="Calibri"/>
          <w:lang w:val="hr-HR"/>
        </w:rPr>
      </w:pPr>
    </w:p>
    <w:p w14:paraId="29B2A1BB" w14:textId="77777777" w:rsidR="001C42AA" w:rsidRPr="00DF4CE5" w:rsidRDefault="001C42AA">
      <w:pPr>
        <w:rPr>
          <w:rFonts w:ascii="Cambria" w:eastAsia="Times New Roman" w:hAnsi="Cambria" w:cs="Calibri"/>
          <w:lang w:val="hr-HR"/>
        </w:rPr>
      </w:pPr>
    </w:p>
    <w:p w14:paraId="4513026F" w14:textId="77777777" w:rsidR="001C42AA" w:rsidRPr="00DF4CE5" w:rsidRDefault="001C42AA">
      <w:pPr>
        <w:rPr>
          <w:rFonts w:ascii="Cambria" w:eastAsia="Times New Roman" w:hAnsi="Cambria" w:cs="Calibri"/>
          <w:lang w:val="hr-HR"/>
        </w:rPr>
      </w:pPr>
    </w:p>
    <w:p w14:paraId="155E948A" w14:textId="77777777" w:rsidR="001C42AA" w:rsidRPr="00DF4CE5" w:rsidRDefault="001C42AA">
      <w:pPr>
        <w:rPr>
          <w:rFonts w:ascii="Cambria" w:eastAsia="Times New Roman" w:hAnsi="Cambria" w:cs="Calibri"/>
          <w:lang w:val="hr-HR"/>
        </w:rPr>
      </w:pPr>
    </w:p>
    <w:p w14:paraId="38FC1F2B" w14:textId="77777777" w:rsidR="00760C3A" w:rsidRPr="00DF4CE5" w:rsidRDefault="00760C3A">
      <w:pPr>
        <w:rPr>
          <w:rFonts w:ascii="Cambria" w:eastAsia="Times New Roman" w:hAnsi="Cambria" w:cs="Calibri"/>
          <w:lang w:val="hr-HR"/>
        </w:rPr>
      </w:pPr>
    </w:p>
    <w:p w14:paraId="4C4BA261" w14:textId="77777777" w:rsidR="00760C3A" w:rsidRPr="00DF4CE5" w:rsidRDefault="00760C3A">
      <w:pPr>
        <w:rPr>
          <w:rFonts w:ascii="Cambria" w:eastAsia="Times New Roman" w:hAnsi="Cambria" w:cs="Calibri"/>
          <w:lang w:val="hr-HR"/>
        </w:rPr>
      </w:pPr>
    </w:p>
    <w:p w14:paraId="2303FF2B" w14:textId="77777777" w:rsidR="00760C3A" w:rsidRPr="00DF4CE5" w:rsidRDefault="00760C3A">
      <w:pPr>
        <w:rPr>
          <w:rFonts w:ascii="Cambria" w:eastAsia="Times New Roman" w:hAnsi="Cambria" w:cs="Calibri"/>
          <w:lang w:val="hr-HR"/>
        </w:rPr>
      </w:pPr>
    </w:p>
    <w:p w14:paraId="7F3BE6F6" w14:textId="77777777" w:rsidR="00760C3A" w:rsidRPr="00DF4CE5" w:rsidRDefault="00760C3A">
      <w:pPr>
        <w:rPr>
          <w:rFonts w:ascii="Cambria" w:eastAsia="Times New Roman" w:hAnsi="Cambria" w:cs="Calibri"/>
          <w:lang w:val="hr-HR"/>
        </w:rPr>
      </w:pPr>
    </w:p>
    <w:p w14:paraId="19C72A1A" w14:textId="77777777" w:rsidR="00760C3A" w:rsidRPr="00DF4CE5" w:rsidRDefault="00760C3A">
      <w:pPr>
        <w:rPr>
          <w:rFonts w:ascii="Cambria" w:eastAsia="Times New Roman" w:hAnsi="Cambria" w:cs="Calibri"/>
          <w:lang w:val="hr-HR"/>
        </w:rPr>
      </w:pPr>
    </w:p>
    <w:p w14:paraId="0642E93A" w14:textId="77777777" w:rsidR="00760C3A" w:rsidRPr="00DF4CE5" w:rsidRDefault="00760C3A">
      <w:pPr>
        <w:rPr>
          <w:rFonts w:ascii="Cambria" w:eastAsia="Times New Roman" w:hAnsi="Cambria" w:cs="Calibri"/>
          <w:lang w:val="hr-HR"/>
        </w:rPr>
      </w:pPr>
    </w:p>
    <w:p w14:paraId="45BA7820" w14:textId="77777777" w:rsidR="00760C3A" w:rsidRPr="00DF4CE5" w:rsidRDefault="00760C3A">
      <w:pPr>
        <w:rPr>
          <w:rFonts w:ascii="Cambria" w:eastAsia="Times New Roman" w:hAnsi="Cambria" w:cs="Calibri"/>
          <w:lang w:val="hr-HR"/>
        </w:rPr>
      </w:pPr>
    </w:p>
    <w:p w14:paraId="03B4D0FF" w14:textId="05085CD9" w:rsidR="00450B7A" w:rsidRDefault="00450B7A">
      <w:pPr>
        <w:rPr>
          <w:rFonts w:ascii="Cambria" w:eastAsia="Times New Roman" w:hAnsi="Cambria" w:cs="Calibri"/>
          <w:lang w:val="hr-HR"/>
        </w:rPr>
      </w:pPr>
      <w:r>
        <w:rPr>
          <w:rFonts w:ascii="Cambria" w:eastAsia="Times New Roman" w:hAnsi="Cambria" w:cs="Calibri"/>
          <w:lang w:val="hr-HR"/>
        </w:rPr>
        <w:br w:type="page"/>
      </w:r>
    </w:p>
    <w:p w14:paraId="2CDEA236" w14:textId="50C59982" w:rsidR="00C8721E" w:rsidRPr="00450B7A" w:rsidRDefault="00450B7A" w:rsidP="00450B7A">
      <w:pPr>
        <w:jc w:val="center"/>
        <w:rPr>
          <w:rFonts w:ascii="Cambria" w:eastAsia="Times New Roman" w:hAnsi="Cambria" w:cs="Calibri"/>
          <w:b/>
          <w:lang w:val="hr-HR"/>
        </w:rPr>
      </w:pPr>
      <w:r w:rsidRPr="00450B7A">
        <w:rPr>
          <w:rFonts w:ascii="Cambria" w:eastAsia="Times New Roman" w:hAnsi="Cambria" w:cs="Calibri"/>
          <w:b/>
          <w:lang w:val="hr-HR"/>
        </w:rPr>
        <w:lastRenderedPageBreak/>
        <w:t>II. semestar</w:t>
      </w:r>
    </w:p>
    <w:tbl>
      <w:tblPr>
        <w:tblW w:w="4740" w:type="pct"/>
        <w:tblInd w:w="-10" w:type="dxa"/>
        <w:tblLayout w:type="fixed"/>
        <w:tblCellMar>
          <w:top w:w="58" w:type="dxa"/>
          <w:left w:w="107" w:type="dxa"/>
          <w:right w:w="54" w:type="dxa"/>
        </w:tblCellMar>
        <w:tblLook w:val="04A0" w:firstRow="1" w:lastRow="0" w:firstColumn="1" w:lastColumn="0" w:noHBand="0" w:noVBand="1"/>
      </w:tblPr>
      <w:tblGrid>
        <w:gridCol w:w="2539"/>
        <w:gridCol w:w="2477"/>
        <w:gridCol w:w="92"/>
        <w:gridCol w:w="1169"/>
        <w:gridCol w:w="566"/>
        <w:gridCol w:w="715"/>
        <w:gridCol w:w="999"/>
        <w:gridCol w:w="942"/>
      </w:tblGrid>
      <w:tr w:rsidR="004C11AA" w:rsidRPr="00DF4CE5" w14:paraId="43BC71C5" w14:textId="77777777" w:rsidTr="00E62F3F">
        <w:trPr>
          <w:trHeight w:val="403"/>
        </w:trPr>
        <w:tc>
          <w:tcPr>
            <w:tcW w:w="9498" w:type="dxa"/>
            <w:gridSpan w:val="8"/>
            <w:tcBorders>
              <w:top w:val="single" w:sz="8" w:space="0" w:color="000000"/>
              <w:left w:val="single" w:sz="8" w:space="0" w:color="000000"/>
              <w:bottom w:val="single" w:sz="8" w:space="0" w:color="000000"/>
              <w:right w:val="single" w:sz="8" w:space="0" w:color="000000"/>
            </w:tcBorders>
            <w:shd w:val="clear" w:color="auto" w:fill="F3F3F3"/>
          </w:tcPr>
          <w:p w14:paraId="40F9A1AE" w14:textId="77777777" w:rsidR="004C11AA" w:rsidRPr="00DF4CE5" w:rsidRDefault="004C11AA" w:rsidP="004C11AA">
            <w:pPr>
              <w:spacing w:after="0" w:line="240" w:lineRule="auto"/>
              <w:ind w:right="86"/>
              <w:jc w:val="right"/>
              <w:rPr>
                <w:rFonts w:ascii="Cambria" w:eastAsia="Times New Roman" w:hAnsi="Cambria" w:cs="Times New Roman"/>
                <w:lang w:val="hr-HR" w:eastAsia="hr-HR"/>
              </w:rPr>
            </w:pPr>
            <w:r w:rsidRPr="00DF4CE5">
              <w:rPr>
                <w:rFonts w:ascii="Cambria" w:eastAsia="Calibri" w:hAnsi="Cambria" w:cs="Calibri"/>
                <w:b/>
                <w:lang w:val="hr-HR" w:eastAsia="hr-HR"/>
              </w:rPr>
              <w:t xml:space="preserve">IZVEDBENI PLAN NASTAVE KOLEGIJA </w:t>
            </w:r>
          </w:p>
        </w:tc>
      </w:tr>
      <w:tr w:rsidR="004C11AA" w:rsidRPr="00DF4CE5" w14:paraId="66A8C551" w14:textId="77777777" w:rsidTr="00E62F3F">
        <w:trPr>
          <w:trHeight w:val="432"/>
        </w:trPr>
        <w:tc>
          <w:tcPr>
            <w:tcW w:w="2538" w:type="dxa"/>
            <w:tcBorders>
              <w:top w:val="single" w:sz="8" w:space="0" w:color="000000"/>
              <w:left w:val="single" w:sz="8" w:space="0" w:color="000000"/>
              <w:bottom w:val="single" w:sz="8" w:space="0" w:color="000000"/>
              <w:right w:val="single" w:sz="8" w:space="0" w:color="000000"/>
            </w:tcBorders>
            <w:shd w:val="clear" w:color="auto" w:fill="F3F3F3"/>
          </w:tcPr>
          <w:p w14:paraId="2F655913" w14:textId="77777777" w:rsidR="004C11AA" w:rsidRPr="00DF4CE5" w:rsidRDefault="004C11AA" w:rsidP="004C11AA">
            <w:pPr>
              <w:spacing w:after="0" w:line="240" w:lineRule="auto"/>
              <w:ind w:left="36"/>
              <w:rPr>
                <w:rFonts w:ascii="Cambria" w:eastAsia="Times New Roman" w:hAnsi="Cambria" w:cs="Times New Roman"/>
                <w:lang w:val="hr-HR" w:eastAsia="hr-HR"/>
              </w:rPr>
            </w:pPr>
            <w:r w:rsidRPr="00DF4CE5">
              <w:rPr>
                <w:rFonts w:ascii="Cambria" w:eastAsia="Calibri" w:hAnsi="Cambria" w:cs="Calibri"/>
                <w:lang w:val="hr-HR" w:eastAsia="hr-HR"/>
              </w:rPr>
              <w:t xml:space="preserve">Kod i naziv kolegija </w:t>
            </w:r>
          </w:p>
        </w:tc>
        <w:tc>
          <w:tcPr>
            <w:tcW w:w="6960" w:type="dxa"/>
            <w:gridSpan w:val="7"/>
            <w:tcBorders>
              <w:top w:val="single" w:sz="8" w:space="0" w:color="000000"/>
              <w:left w:val="single" w:sz="8" w:space="0" w:color="000000"/>
              <w:bottom w:val="single" w:sz="8" w:space="0" w:color="000000"/>
              <w:right w:val="single" w:sz="8" w:space="0" w:color="000000"/>
            </w:tcBorders>
          </w:tcPr>
          <w:p w14:paraId="5E1704D1" w14:textId="77777777" w:rsidR="004C11AA" w:rsidRPr="00DF4CE5" w:rsidRDefault="004C11AA" w:rsidP="004C11AA">
            <w:pPr>
              <w:spacing w:after="0" w:line="240" w:lineRule="auto"/>
              <w:ind w:left="40"/>
              <w:rPr>
                <w:rFonts w:ascii="Cambria" w:eastAsia="Calibri" w:hAnsi="Cambria" w:cs="Calibri"/>
                <w:lang w:val="hr-HR" w:eastAsia="hr-HR"/>
              </w:rPr>
            </w:pPr>
            <w:r w:rsidRPr="00DF4CE5">
              <w:rPr>
                <w:rFonts w:ascii="Cambria" w:eastAsia="Calibri" w:hAnsi="Cambria" w:cs="Calibri"/>
                <w:lang w:val="hr-HR" w:eastAsia="hr-HR"/>
              </w:rPr>
              <w:t>257230</w:t>
            </w:r>
          </w:p>
          <w:p w14:paraId="3420BABD" w14:textId="77777777" w:rsidR="004C11AA" w:rsidRPr="00DF4CE5" w:rsidRDefault="004C11AA" w:rsidP="004C11AA">
            <w:pPr>
              <w:spacing w:after="0" w:line="240" w:lineRule="auto"/>
              <w:ind w:left="40"/>
              <w:rPr>
                <w:rFonts w:ascii="Cambria" w:eastAsia="Times New Roman" w:hAnsi="Cambria" w:cs="Times New Roman"/>
                <w:lang w:val="hr-HR" w:eastAsia="hr-HR"/>
              </w:rPr>
            </w:pPr>
            <w:r w:rsidRPr="00DF4CE5">
              <w:rPr>
                <w:rFonts w:ascii="Cambria" w:eastAsia="Calibri" w:hAnsi="Cambria" w:cs="Calibri"/>
                <w:lang w:val="hr-HR" w:eastAsia="hr-HR"/>
              </w:rPr>
              <w:t>Razvojna psihologija</w:t>
            </w:r>
          </w:p>
        </w:tc>
      </w:tr>
      <w:tr w:rsidR="004C11AA" w:rsidRPr="00D0399C" w14:paraId="05F5F0CE" w14:textId="77777777" w:rsidTr="00E62F3F">
        <w:trPr>
          <w:trHeight w:val="701"/>
        </w:trPr>
        <w:tc>
          <w:tcPr>
            <w:tcW w:w="2538" w:type="dxa"/>
            <w:tcBorders>
              <w:top w:val="single" w:sz="8" w:space="0" w:color="000000"/>
              <w:left w:val="single" w:sz="8" w:space="0" w:color="000000"/>
              <w:bottom w:val="single" w:sz="8" w:space="0" w:color="000000"/>
              <w:right w:val="single" w:sz="8" w:space="0" w:color="000000"/>
            </w:tcBorders>
            <w:shd w:val="clear" w:color="auto" w:fill="F3F3F3"/>
          </w:tcPr>
          <w:p w14:paraId="73A69A66" w14:textId="77777777" w:rsidR="004C11AA" w:rsidRPr="00DF4CE5" w:rsidRDefault="004C11AA" w:rsidP="004C11AA">
            <w:pPr>
              <w:spacing w:after="0" w:line="240" w:lineRule="auto"/>
              <w:ind w:left="36"/>
              <w:rPr>
                <w:rFonts w:ascii="Cambria" w:eastAsia="Calibri" w:hAnsi="Cambria" w:cs="Calibri"/>
                <w:lang w:val="hr-HR" w:eastAsia="hr-HR"/>
              </w:rPr>
            </w:pPr>
            <w:r w:rsidRPr="00DF4CE5">
              <w:rPr>
                <w:rFonts w:ascii="Cambria" w:eastAsia="Calibri" w:hAnsi="Cambria" w:cs="Calibri"/>
                <w:lang w:val="hr-HR" w:eastAsia="hr-HR"/>
              </w:rPr>
              <w:t xml:space="preserve">Nastavnica  </w:t>
            </w:r>
          </w:p>
          <w:p w14:paraId="597E436C" w14:textId="77777777" w:rsidR="004C11AA" w:rsidRPr="00DF4CE5" w:rsidRDefault="004C11AA" w:rsidP="004C11AA">
            <w:pPr>
              <w:spacing w:after="0" w:line="240" w:lineRule="auto"/>
              <w:ind w:left="36"/>
              <w:rPr>
                <w:rFonts w:ascii="Cambria" w:eastAsia="Times New Roman" w:hAnsi="Cambria" w:cs="Times New Roman"/>
                <w:lang w:val="hr-HR" w:eastAsia="hr-HR"/>
              </w:rPr>
            </w:pPr>
            <w:r w:rsidRPr="00DF4CE5">
              <w:rPr>
                <w:rFonts w:ascii="Cambria" w:eastAsia="Calibri" w:hAnsi="Cambria" w:cs="Calibri"/>
                <w:lang w:val="hr-HR" w:eastAsia="hr-HR"/>
              </w:rPr>
              <w:t xml:space="preserve">Suradnica </w:t>
            </w:r>
          </w:p>
        </w:tc>
        <w:tc>
          <w:tcPr>
            <w:tcW w:w="6960" w:type="dxa"/>
            <w:gridSpan w:val="7"/>
            <w:tcBorders>
              <w:top w:val="single" w:sz="8" w:space="0" w:color="000000"/>
              <w:left w:val="single" w:sz="8" w:space="0" w:color="000000"/>
              <w:bottom w:val="single" w:sz="8" w:space="0" w:color="000000"/>
              <w:right w:val="single" w:sz="8" w:space="0" w:color="000000"/>
            </w:tcBorders>
            <w:vAlign w:val="center"/>
          </w:tcPr>
          <w:p w14:paraId="7DF511FB" w14:textId="14BD4F84" w:rsidR="004C11AA" w:rsidRPr="00DF4CE5" w:rsidRDefault="004C11AA" w:rsidP="004C11AA">
            <w:pPr>
              <w:spacing w:after="0" w:line="240" w:lineRule="auto"/>
              <w:ind w:left="40"/>
              <w:rPr>
                <w:rFonts w:ascii="Cambria" w:eastAsia="Calibri" w:hAnsi="Cambria" w:cs="Calibri"/>
                <w:color w:val="000000" w:themeColor="text1"/>
                <w:lang w:val="hr-HR" w:eastAsia="hr-HR"/>
              </w:rPr>
            </w:pPr>
            <w:hyperlink r:id="rId32" w:history="1">
              <w:r w:rsidRPr="00DF4CE5">
                <w:rPr>
                  <w:rStyle w:val="Hiperveza"/>
                  <w:rFonts w:ascii="Cambria" w:eastAsia="Calibri" w:hAnsi="Cambria" w:cs="Calibri"/>
                  <w:lang w:val="hr-HR" w:eastAsia="hr-HR"/>
                </w:rPr>
                <w:t xml:space="preserve">Doc. dr. sc. </w:t>
              </w:r>
              <w:proofErr w:type="spellStart"/>
              <w:r w:rsidRPr="00DF4CE5">
                <w:rPr>
                  <w:rStyle w:val="Hiperveza"/>
                  <w:rFonts w:ascii="Cambria" w:eastAsia="Calibri" w:hAnsi="Cambria" w:cs="Calibri"/>
                  <w:lang w:val="hr-HR" w:eastAsia="hr-HR"/>
                </w:rPr>
                <w:t>Marlena</w:t>
              </w:r>
              <w:proofErr w:type="spellEnd"/>
              <w:r w:rsidRPr="00DF4CE5">
                <w:rPr>
                  <w:rStyle w:val="Hiperveza"/>
                  <w:rFonts w:ascii="Cambria" w:eastAsia="Calibri" w:hAnsi="Cambria" w:cs="Calibri"/>
                  <w:lang w:val="hr-HR" w:eastAsia="hr-HR"/>
                </w:rPr>
                <w:t xml:space="preserve"> Plavšić</w:t>
              </w:r>
            </w:hyperlink>
            <w:r w:rsidRPr="00DF4CE5">
              <w:rPr>
                <w:rFonts w:ascii="Cambria" w:eastAsia="Calibri" w:hAnsi="Cambria" w:cs="Calibri"/>
                <w:color w:val="000000" w:themeColor="text1"/>
                <w:lang w:val="hr-HR" w:eastAsia="hr-HR"/>
              </w:rPr>
              <w:t xml:space="preserve"> </w:t>
            </w:r>
            <w:r w:rsidR="00826F4D">
              <w:rPr>
                <w:rFonts w:ascii="Cambria" w:eastAsia="Calibri" w:hAnsi="Cambria" w:cs="Calibri"/>
                <w:color w:val="000000" w:themeColor="text1"/>
                <w:lang w:val="hr-HR" w:eastAsia="hr-HR"/>
              </w:rPr>
              <w:t>(</w:t>
            </w:r>
            <w:r w:rsidRPr="00DF4CE5">
              <w:rPr>
                <w:rFonts w:ascii="Cambria" w:eastAsia="Calibri" w:hAnsi="Cambria" w:cs="Calibri"/>
                <w:color w:val="000000" w:themeColor="text1"/>
                <w:lang w:val="hr-HR" w:eastAsia="hr-HR"/>
              </w:rPr>
              <w:t>nositeljica</w:t>
            </w:r>
            <w:r w:rsidR="00826F4D">
              <w:rPr>
                <w:rFonts w:ascii="Cambria" w:eastAsia="Calibri" w:hAnsi="Cambria" w:cs="Calibri"/>
                <w:color w:val="000000" w:themeColor="text1"/>
                <w:lang w:val="hr-HR" w:eastAsia="hr-HR"/>
              </w:rPr>
              <w:t>)</w:t>
            </w:r>
          </w:p>
          <w:p w14:paraId="0AD419FF" w14:textId="0840D913" w:rsidR="004C11AA" w:rsidRPr="00DF4CE5" w:rsidRDefault="004C11AA" w:rsidP="004C11AA">
            <w:pPr>
              <w:spacing w:after="0" w:line="240" w:lineRule="auto"/>
              <w:ind w:left="40"/>
              <w:rPr>
                <w:rFonts w:ascii="Cambria" w:eastAsia="Calibri" w:hAnsi="Cambria" w:cs="Calibri"/>
                <w:color w:val="000000" w:themeColor="text1"/>
                <w:lang w:val="hr-HR" w:eastAsia="hr-HR"/>
              </w:rPr>
            </w:pPr>
            <w:hyperlink r:id="rId33" w:history="1">
              <w:r w:rsidRPr="00DF4CE5">
                <w:rPr>
                  <w:rStyle w:val="Hiperveza"/>
                  <w:rFonts w:ascii="Cambria" w:eastAsia="Calibri" w:hAnsi="Cambria" w:cs="Calibri"/>
                  <w:lang w:val="hr-HR" w:eastAsia="hr-HR"/>
                </w:rPr>
                <w:t>Dr. sc. Renata Martinčić Marić, pred.</w:t>
              </w:r>
            </w:hyperlink>
            <w:r>
              <w:fldChar w:fldCharType="begin"/>
            </w:r>
            <w:r>
              <w:instrText>HYPERLINK "http://www.unipu.hr/index.php?id=1001" \h</w:instrText>
            </w:r>
            <w:r>
              <w:fldChar w:fldCharType="separate"/>
            </w:r>
            <w:r>
              <w:fldChar w:fldCharType="end"/>
            </w:r>
          </w:p>
        </w:tc>
      </w:tr>
      <w:tr w:rsidR="004C11AA" w:rsidRPr="00D0399C" w14:paraId="4E410870" w14:textId="77777777" w:rsidTr="00E62F3F">
        <w:trPr>
          <w:trHeight w:val="703"/>
        </w:trPr>
        <w:tc>
          <w:tcPr>
            <w:tcW w:w="2538"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4723C5E8" w14:textId="77777777" w:rsidR="004C11AA" w:rsidRPr="00DF4CE5" w:rsidRDefault="004C11AA" w:rsidP="004C11AA">
            <w:pPr>
              <w:spacing w:after="0" w:line="240" w:lineRule="auto"/>
              <w:ind w:left="36"/>
              <w:rPr>
                <w:rFonts w:ascii="Cambria" w:eastAsia="Times New Roman" w:hAnsi="Cambria" w:cs="Times New Roman"/>
                <w:lang w:val="hr-HR" w:eastAsia="hr-HR"/>
              </w:rPr>
            </w:pPr>
            <w:r w:rsidRPr="00DF4CE5">
              <w:rPr>
                <w:rFonts w:ascii="Cambria" w:eastAsia="Calibri" w:hAnsi="Cambria" w:cs="Calibri"/>
                <w:lang w:val="hr-HR" w:eastAsia="hr-HR"/>
              </w:rPr>
              <w:t xml:space="preserve">Studijski programi </w:t>
            </w:r>
          </w:p>
        </w:tc>
        <w:tc>
          <w:tcPr>
            <w:tcW w:w="6960" w:type="dxa"/>
            <w:gridSpan w:val="7"/>
            <w:tcBorders>
              <w:top w:val="single" w:sz="8" w:space="0" w:color="000000"/>
              <w:left w:val="single" w:sz="8" w:space="0" w:color="000000"/>
              <w:bottom w:val="single" w:sz="8" w:space="0" w:color="000000"/>
              <w:right w:val="single" w:sz="8" w:space="0" w:color="000000"/>
            </w:tcBorders>
            <w:vAlign w:val="center"/>
          </w:tcPr>
          <w:p w14:paraId="426C4287" w14:textId="77777777" w:rsidR="004C11AA" w:rsidRPr="00DF4CE5" w:rsidRDefault="004C11AA" w:rsidP="004C11AA">
            <w:pPr>
              <w:spacing w:after="0" w:line="240" w:lineRule="auto"/>
              <w:rPr>
                <w:rFonts w:ascii="Cambria" w:eastAsia="Times New Roman" w:hAnsi="Cambria" w:cs="Times New Roman"/>
                <w:lang w:val="hr-HR" w:eastAsia="hr-HR"/>
              </w:rPr>
            </w:pPr>
            <w:r w:rsidRPr="00DF4CE5">
              <w:rPr>
                <w:rFonts w:ascii="Cambria" w:eastAsia="Calibri" w:hAnsi="Cambria" w:cs="Calibri"/>
                <w:lang w:val="hr-HR"/>
              </w:rPr>
              <w:t>Sveučilišni integrirani prijediplomski i diplomski Učiteljski studij na hrvatskom jeziku</w:t>
            </w:r>
          </w:p>
        </w:tc>
      </w:tr>
      <w:tr w:rsidR="004C11AA" w:rsidRPr="00DF4CE5" w14:paraId="43C63A5A" w14:textId="77777777" w:rsidTr="00E62F3F">
        <w:trPr>
          <w:trHeight w:val="701"/>
        </w:trPr>
        <w:tc>
          <w:tcPr>
            <w:tcW w:w="2538"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2FED90E6" w14:textId="77777777" w:rsidR="004C11AA" w:rsidRPr="00DF4CE5" w:rsidRDefault="004C11AA" w:rsidP="004C11AA">
            <w:pPr>
              <w:spacing w:after="0" w:line="240" w:lineRule="auto"/>
              <w:ind w:left="36"/>
              <w:rPr>
                <w:rFonts w:ascii="Cambria" w:eastAsia="Times New Roman" w:hAnsi="Cambria" w:cs="Times New Roman"/>
                <w:lang w:val="hr-HR" w:eastAsia="hr-HR"/>
              </w:rPr>
            </w:pPr>
            <w:r w:rsidRPr="00DF4CE5">
              <w:rPr>
                <w:rFonts w:ascii="Cambria" w:eastAsia="Calibri" w:hAnsi="Cambria" w:cs="Calibri"/>
                <w:lang w:val="hr-HR" w:eastAsia="hr-HR"/>
              </w:rPr>
              <w:t xml:space="preserve">Vrsta kolegija </w:t>
            </w:r>
          </w:p>
        </w:tc>
        <w:tc>
          <w:tcPr>
            <w:tcW w:w="2477" w:type="dxa"/>
            <w:tcBorders>
              <w:top w:val="single" w:sz="8" w:space="0" w:color="000000"/>
              <w:left w:val="single" w:sz="8" w:space="0" w:color="000000"/>
              <w:bottom w:val="single" w:sz="8" w:space="0" w:color="000000"/>
              <w:right w:val="single" w:sz="8" w:space="0" w:color="000000"/>
            </w:tcBorders>
            <w:vAlign w:val="center"/>
          </w:tcPr>
          <w:p w14:paraId="47DC83B9" w14:textId="77777777" w:rsidR="004C11AA" w:rsidRPr="00DF4CE5" w:rsidRDefault="004C11AA" w:rsidP="004C11AA">
            <w:pPr>
              <w:spacing w:after="0" w:line="240" w:lineRule="auto"/>
              <w:ind w:left="40"/>
              <w:rPr>
                <w:rFonts w:ascii="Cambria" w:eastAsia="Times New Roman" w:hAnsi="Cambria" w:cs="Times New Roman"/>
                <w:lang w:val="hr-HR" w:eastAsia="hr-HR"/>
              </w:rPr>
            </w:pPr>
            <w:r w:rsidRPr="00DF4CE5">
              <w:rPr>
                <w:rFonts w:ascii="Cambria" w:eastAsia="Calibri" w:hAnsi="Cambria" w:cs="Calibri"/>
                <w:lang w:val="hr-HR" w:eastAsia="hr-HR"/>
              </w:rPr>
              <w:t xml:space="preserve">obvezan </w:t>
            </w:r>
          </w:p>
        </w:tc>
        <w:tc>
          <w:tcPr>
            <w:tcW w:w="1827" w:type="dxa"/>
            <w:gridSpan w:val="3"/>
            <w:tcBorders>
              <w:top w:val="single" w:sz="8" w:space="0" w:color="000000"/>
              <w:left w:val="single" w:sz="8" w:space="0" w:color="000000"/>
              <w:bottom w:val="single" w:sz="8" w:space="0" w:color="000000"/>
              <w:right w:val="single" w:sz="8" w:space="0" w:color="000000"/>
            </w:tcBorders>
            <w:shd w:val="clear" w:color="auto" w:fill="E6E6E6"/>
          </w:tcPr>
          <w:p w14:paraId="71B62493" w14:textId="77777777" w:rsidR="004C11AA" w:rsidRPr="00DF4CE5" w:rsidRDefault="004C11AA" w:rsidP="004C11AA">
            <w:pPr>
              <w:spacing w:after="0" w:line="240" w:lineRule="auto"/>
              <w:ind w:left="36"/>
              <w:rPr>
                <w:rFonts w:ascii="Cambria" w:eastAsia="Times New Roman" w:hAnsi="Cambria" w:cs="Times New Roman"/>
                <w:lang w:val="hr-HR" w:eastAsia="hr-HR"/>
              </w:rPr>
            </w:pPr>
            <w:r w:rsidRPr="00DF4CE5">
              <w:rPr>
                <w:rFonts w:ascii="Cambria" w:eastAsia="Calibri" w:hAnsi="Cambria" w:cs="Calibri"/>
                <w:lang w:val="hr-HR" w:eastAsia="hr-HR"/>
              </w:rPr>
              <w:t xml:space="preserve">Razina kolegija </w:t>
            </w:r>
          </w:p>
        </w:tc>
        <w:tc>
          <w:tcPr>
            <w:tcW w:w="2656" w:type="dxa"/>
            <w:gridSpan w:val="3"/>
            <w:tcBorders>
              <w:top w:val="single" w:sz="8" w:space="0" w:color="000000"/>
              <w:left w:val="single" w:sz="8" w:space="0" w:color="000000"/>
              <w:bottom w:val="single" w:sz="8" w:space="0" w:color="000000"/>
              <w:right w:val="single" w:sz="8" w:space="0" w:color="000000"/>
            </w:tcBorders>
            <w:vAlign w:val="center"/>
          </w:tcPr>
          <w:p w14:paraId="73A60978" w14:textId="77777777" w:rsidR="004C11AA" w:rsidRPr="00DF4CE5" w:rsidRDefault="004C11AA" w:rsidP="004C11AA">
            <w:pPr>
              <w:spacing w:after="0" w:line="240" w:lineRule="auto"/>
              <w:ind w:left="40"/>
              <w:rPr>
                <w:rFonts w:ascii="Cambria" w:eastAsia="Times New Roman" w:hAnsi="Cambria" w:cs="Times New Roman"/>
                <w:lang w:val="hr-HR" w:eastAsia="hr-HR"/>
              </w:rPr>
            </w:pPr>
            <w:r w:rsidRPr="00DF4CE5">
              <w:rPr>
                <w:rFonts w:ascii="Cambria" w:eastAsia="Calibri" w:hAnsi="Cambria" w:cs="Calibri"/>
                <w:lang w:val="hr-HR" w:eastAsia="hr-HR"/>
              </w:rPr>
              <w:t xml:space="preserve">integrirani </w:t>
            </w:r>
          </w:p>
        </w:tc>
      </w:tr>
      <w:tr w:rsidR="004C11AA" w:rsidRPr="00DF4CE5" w14:paraId="3E6A1F48" w14:textId="77777777" w:rsidTr="00E62F3F">
        <w:trPr>
          <w:trHeight w:val="701"/>
        </w:trPr>
        <w:tc>
          <w:tcPr>
            <w:tcW w:w="2538"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26B96EFB" w14:textId="77777777" w:rsidR="004C11AA" w:rsidRPr="00DF4CE5" w:rsidRDefault="004C11AA" w:rsidP="004C11AA">
            <w:pPr>
              <w:spacing w:after="0" w:line="240" w:lineRule="auto"/>
              <w:ind w:left="36"/>
              <w:rPr>
                <w:rFonts w:ascii="Cambria" w:eastAsia="Times New Roman" w:hAnsi="Cambria" w:cs="Times New Roman"/>
                <w:lang w:val="hr-HR" w:eastAsia="hr-HR"/>
              </w:rPr>
            </w:pPr>
            <w:r w:rsidRPr="00DF4CE5">
              <w:rPr>
                <w:rFonts w:ascii="Cambria" w:eastAsia="Calibri" w:hAnsi="Cambria" w:cs="Calibri"/>
                <w:lang w:val="hr-HR" w:eastAsia="hr-HR"/>
              </w:rPr>
              <w:t xml:space="preserve">Semestar </w:t>
            </w:r>
          </w:p>
        </w:tc>
        <w:tc>
          <w:tcPr>
            <w:tcW w:w="2477" w:type="dxa"/>
            <w:tcBorders>
              <w:top w:val="single" w:sz="8" w:space="0" w:color="000000"/>
              <w:left w:val="single" w:sz="8" w:space="0" w:color="000000"/>
              <w:bottom w:val="single" w:sz="8" w:space="0" w:color="000000"/>
              <w:right w:val="single" w:sz="8" w:space="0" w:color="000000"/>
            </w:tcBorders>
            <w:vAlign w:val="center"/>
          </w:tcPr>
          <w:p w14:paraId="32E35652" w14:textId="77777777" w:rsidR="004C11AA" w:rsidRPr="00DF4CE5" w:rsidRDefault="004C11AA" w:rsidP="004C11AA">
            <w:pPr>
              <w:spacing w:after="0" w:line="240" w:lineRule="auto"/>
              <w:ind w:left="40"/>
              <w:rPr>
                <w:rFonts w:ascii="Cambria" w:eastAsia="Times New Roman" w:hAnsi="Cambria" w:cs="Times New Roman"/>
                <w:lang w:val="hr-HR" w:eastAsia="hr-HR"/>
              </w:rPr>
            </w:pPr>
            <w:r w:rsidRPr="00DF4CE5">
              <w:rPr>
                <w:rFonts w:ascii="Cambria" w:eastAsia="Calibri" w:hAnsi="Cambria" w:cs="Calibri"/>
                <w:lang w:val="hr-HR" w:eastAsia="hr-HR"/>
              </w:rPr>
              <w:t xml:space="preserve">ljetni </w:t>
            </w:r>
          </w:p>
        </w:tc>
        <w:tc>
          <w:tcPr>
            <w:tcW w:w="1827" w:type="dxa"/>
            <w:gridSpan w:val="3"/>
            <w:tcBorders>
              <w:top w:val="single" w:sz="8" w:space="0" w:color="000000"/>
              <w:left w:val="single" w:sz="8" w:space="0" w:color="000000"/>
              <w:bottom w:val="single" w:sz="8" w:space="0" w:color="000000"/>
              <w:right w:val="single" w:sz="8" w:space="0" w:color="000000"/>
            </w:tcBorders>
            <w:shd w:val="clear" w:color="auto" w:fill="E6E6E6"/>
          </w:tcPr>
          <w:p w14:paraId="56735809" w14:textId="77777777" w:rsidR="004C11AA" w:rsidRPr="00DF4CE5" w:rsidRDefault="004C11AA" w:rsidP="004C11AA">
            <w:pPr>
              <w:spacing w:after="0" w:line="240" w:lineRule="auto"/>
              <w:ind w:left="36"/>
              <w:rPr>
                <w:rFonts w:ascii="Cambria" w:eastAsia="Times New Roman" w:hAnsi="Cambria" w:cs="Times New Roman"/>
                <w:lang w:val="hr-HR" w:eastAsia="hr-HR"/>
              </w:rPr>
            </w:pPr>
            <w:r w:rsidRPr="00DF4CE5">
              <w:rPr>
                <w:rFonts w:ascii="Cambria" w:eastAsia="Calibri" w:hAnsi="Cambria" w:cs="Calibri"/>
                <w:lang w:val="hr-HR" w:eastAsia="hr-HR"/>
              </w:rPr>
              <w:t xml:space="preserve">Godina studija </w:t>
            </w:r>
          </w:p>
        </w:tc>
        <w:tc>
          <w:tcPr>
            <w:tcW w:w="2656" w:type="dxa"/>
            <w:gridSpan w:val="3"/>
            <w:tcBorders>
              <w:top w:val="single" w:sz="8" w:space="0" w:color="000000"/>
              <w:left w:val="single" w:sz="8" w:space="0" w:color="000000"/>
              <w:bottom w:val="single" w:sz="8" w:space="0" w:color="000000"/>
              <w:right w:val="single" w:sz="8" w:space="0" w:color="000000"/>
            </w:tcBorders>
            <w:vAlign w:val="center"/>
          </w:tcPr>
          <w:p w14:paraId="22053FB7" w14:textId="77777777" w:rsidR="004C11AA" w:rsidRPr="00DF4CE5" w:rsidRDefault="004C11AA" w:rsidP="004C11AA">
            <w:pPr>
              <w:spacing w:after="0" w:line="240" w:lineRule="auto"/>
              <w:ind w:left="40"/>
              <w:rPr>
                <w:rFonts w:ascii="Cambria" w:eastAsia="Times New Roman" w:hAnsi="Cambria" w:cs="Times New Roman"/>
                <w:lang w:val="hr-HR" w:eastAsia="hr-HR"/>
              </w:rPr>
            </w:pPr>
            <w:r w:rsidRPr="00DF4CE5">
              <w:rPr>
                <w:rFonts w:ascii="Cambria" w:eastAsia="Calibri" w:hAnsi="Cambria" w:cs="Calibri"/>
                <w:lang w:val="hr-HR" w:eastAsia="hr-HR"/>
              </w:rPr>
              <w:t xml:space="preserve">I. </w:t>
            </w:r>
          </w:p>
        </w:tc>
      </w:tr>
      <w:tr w:rsidR="004C11AA" w:rsidRPr="00DF4CE5" w14:paraId="42C9FBD8" w14:textId="77777777" w:rsidTr="00E62F3F">
        <w:trPr>
          <w:trHeight w:val="970"/>
        </w:trPr>
        <w:tc>
          <w:tcPr>
            <w:tcW w:w="2538"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083ED1CB" w14:textId="77777777" w:rsidR="004C11AA" w:rsidRPr="00DF4CE5" w:rsidRDefault="004C11AA" w:rsidP="004C11AA">
            <w:pPr>
              <w:spacing w:after="0" w:line="240" w:lineRule="auto"/>
              <w:ind w:left="36"/>
              <w:rPr>
                <w:rFonts w:ascii="Cambria" w:eastAsia="Times New Roman" w:hAnsi="Cambria" w:cs="Times New Roman"/>
                <w:lang w:val="hr-HR" w:eastAsia="hr-HR"/>
              </w:rPr>
            </w:pPr>
            <w:r w:rsidRPr="00DF4CE5">
              <w:rPr>
                <w:rFonts w:ascii="Cambria" w:eastAsia="Calibri" w:hAnsi="Cambria" w:cs="Calibri"/>
                <w:lang w:val="hr-HR" w:eastAsia="hr-HR"/>
              </w:rPr>
              <w:t xml:space="preserve">Mjesto izvođenja </w:t>
            </w:r>
          </w:p>
        </w:tc>
        <w:tc>
          <w:tcPr>
            <w:tcW w:w="2477" w:type="dxa"/>
            <w:tcBorders>
              <w:top w:val="single" w:sz="8" w:space="0" w:color="000000"/>
              <w:left w:val="single" w:sz="8" w:space="0" w:color="000000"/>
              <w:bottom w:val="single" w:sz="8" w:space="0" w:color="000000"/>
              <w:right w:val="single" w:sz="8" w:space="0" w:color="000000"/>
            </w:tcBorders>
            <w:vAlign w:val="center"/>
          </w:tcPr>
          <w:p w14:paraId="6D031AE8" w14:textId="1E4FBFF1" w:rsidR="004C11AA" w:rsidRPr="00DF4CE5" w:rsidRDefault="004C11AA" w:rsidP="004C11AA">
            <w:pPr>
              <w:spacing w:after="0" w:line="240" w:lineRule="auto"/>
              <w:ind w:left="40"/>
              <w:rPr>
                <w:rFonts w:ascii="Cambria" w:eastAsia="Times New Roman" w:hAnsi="Cambria" w:cs="Times New Roman"/>
                <w:lang w:val="hr-HR" w:eastAsia="hr-HR"/>
              </w:rPr>
            </w:pPr>
            <w:r w:rsidRPr="00DF4CE5">
              <w:rPr>
                <w:rFonts w:ascii="Cambria" w:eastAsia="Calibri" w:hAnsi="Cambria" w:cs="Calibri"/>
                <w:lang w:val="hr-HR" w:eastAsia="hr-HR"/>
              </w:rPr>
              <w:t>učionica</w:t>
            </w:r>
          </w:p>
        </w:tc>
        <w:tc>
          <w:tcPr>
            <w:tcW w:w="1827" w:type="dxa"/>
            <w:gridSpan w:val="3"/>
            <w:tcBorders>
              <w:top w:val="single" w:sz="8" w:space="0" w:color="000000"/>
              <w:left w:val="single" w:sz="8" w:space="0" w:color="000000"/>
              <w:bottom w:val="single" w:sz="8" w:space="0" w:color="000000"/>
              <w:right w:val="single" w:sz="8" w:space="0" w:color="000000"/>
            </w:tcBorders>
            <w:shd w:val="clear" w:color="auto" w:fill="E6E6E6"/>
          </w:tcPr>
          <w:p w14:paraId="2B2C1F08" w14:textId="77777777" w:rsidR="004C11AA" w:rsidRPr="00DF4CE5" w:rsidRDefault="004C11AA" w:rsidP="004C11AA">
            <w:pPr>
              <w:spacing w:after="0" w:line="240" w:lineRule="auto"/>
              <w:ind w:left="36"/>
              <w:rPr>
                <w:rFonts w:ascii="Cambria" w:eastAsia="Times New Roman" w:hAnsi="Cambria" w:cs="Times New Roman"/>
                <w:lang w:val="hr-HR" w:eastAsia="hr-HR"/>
              </w:rPr>
            </w:pPr>
            <w:r w:rsidRPr="00DF4CE5">
              <w:rPr>
                <w:rFonts w:ascii="Cambria" w:eastAsia="Calibri" w:hAnsi="Cambria" w:cs="Calibri"/>
                <w:lang w:val="hr-HR" w:eastAsia="hr-HR"/>
              </w:rPr>
              <w:t xml:space="preserve">Jezik </w:t>
            </w:r>
          </w:p>
          <w:p w14:paraId="56AF4D59" w14:textId="77777777" w:rsidR="004C11AA" w:rsidRPr="00DF4CE5" w:rsidRDefault="004C11AA" w:rsidP="004C11AA">
            <w:pPr>
              <w:spacing w:after="0" w:line="240" w:lineRule="auto"/>
              <w:ind w:left="36"/>
              <w:rPr>
                <w:rFonts w:ascii="Cambria" w:eastAsia="Times New Roman" w:hAnsi="Cambria" w:cs="Times New Roman"/>
                <w:lang w:val="hr-HR" w:eastAsia="hr-HR"/>
              </w:rPr>
            </w:pPr>
            <w:r w:rsidRPr="00DF4CE5">
              <w:rPr>
                <w:rFonts w:ascii="Cambria" w:eastAsia="Calibri" w:hAnsi="Cambria" w:cs="Calibri"/>
                <w:lang w:val="hr-HR" w:eastAsia="hr-HR"/>
              </w:rPr>
              <w:t xml:space="preserve">izvođenja </w:t>
            </w:r>
          </w:p>
          <w:p w14:paraId="1E372833" w14:textId="77777777" w:rsidR="004C11AA" w:rsidRPr="00DF4CE5" w:rsidRDefault="004C11AA" w:rsidP="004C11AA">
            <w:pPr>
              <w:spacing w:after="0" w:line="240" w:lineRule="auto"/>
              <w:ind w:left="36"/>
              <w:rPr>
                <w:rFonts w:ascii="Cambria" w:eastAsia="Times New Roman" w:hAnsi="Cambria" w:cs="Times New Roman"/>
                <w:lang w:val="hr-HR" w:eastAsia="hr-HR"/>
              </w:rPr>
            </w:pPr>
            <w:r w:rsidRPr="00DF4CE5">
              <w:rPr>
                <w:rFonts w:ascii="Cambria" w:eastAsia="Calibri" w:hAnsi="Cambria" w:cs="Calibri"/>
                <w:lang w:val="hr-HR" w:eastAsia="hr-HR"/>
              </w:rPr>
              <w:t xml:space="preserve">(drugi jezici) </w:t>
            </w:r>
          </w:p>
        </w:tc>
        <w:tc>
          <w:tcPr>
            <w:tcW w:w="2656" w:type="dxa"/>
            <w:gridSpan w:val="3"/>
            <w:tcBorders>
              <w:top w:val="single" w:sz="8" w:space="0" w:color="000000"/>
              <w:left w:val="single" w:sz="8" w:space="0" w:color="000000"/>
              <w:bottom w:val="single" w:sz="8" w:space="0" w:color="000000"/>
              <w:right w:val="single" w:sz="8" w:space="0" w:color="000000"/>
            </w:tcBorders>
            <w:vAlign w:val="center"/>
          </w:tcPr>
          <w:p w14:paraId="450DF056" w14:textId="77777777" w:rsidR="004C11AA" w:rsidRPr="00DF4CE5" w:rsidRDefault="004C11AA" w:rsidP="004C11AA">
            <w:pPr>
              <w:spacing w:after="0" w:line="240" w:lineRule="auto"/>
              <w:ind w:left="40"/>
              <w:rPr>
                <w:rFonts w:ascii="Cambria" w:eastAsia="Calibri" w:hAnsi="Cambria" w:cs="Calibri"/>
                <w:lang w:val="hr-HR" w:eastAsia="hr-HR"/>
              </w:rPr>
            </w:pPr>
            <w:r w:rsidRPr="00DF4CE5">
              <w:rPr>
                <w:rFonts w:ascii="Cambria" w:eastAsia="Calibri" w:hAnsi="Cambria" w:cs="Calibri"/>
                <w:lang w:val="hr-HR" w:eastAsia="hr-HR"/>
              </w:rPr>
              <w:t xml:space="preserve">hrvatski </w:t>
            </w:r>
          </w:p>
        </w:tc>
      </w:tr>
      <w:tr w:rsidR="004C11AA" w:rsidRPr="00DF4CE5" w14:paraId="2C5F7105" w14:textId="77777777" w:rsidTr="00E62F3F">
        <w:trPr>
          <w:trHeight w:val="701"/>
        </w:trPr>
        <w:tc>
          <w:tcPr>
            <w:tcW w:w="2538"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59CF56D3" w14:textId="77777777" w:rsidR="004C11AA" w:rsidRPr="00DF4CE5" w:rsidRDefault="004C11AA" w:rsidP="004C11AA">
            <w:pPr>
              <w:spacing w:after="0" w:line="240" w:lineRule="auto"/>
              <w:ind w:left="36"/>
              <w:rPr>
                <w:rFonts w:ascii="Cambria" w:eastAsia="Times New Roman" w:hAnsi="Cambria" w:cs="Times New Roman"/>
                <w:lang w:val="hr-HR" w:eastAsia="hr-HR"/>
              </w:rPr>
            </w:pPr>
            <w:r w:rsidRPr="00DF4CE5">
              <w:rPr>
                <w:rFonts w:ascii="Cambria" w:eastAsia="Calibri" w:hAnsi="Cambria" w:cs="Calibri"/>
                <w:lang w:val="hr-HR" w:eastAsia="hr-HR"/>
              </w:rPr>
              <w:t xml:space="preserve">Broj ECTS bodova </w:t>
            </w:r>
          </w:p>
        </w:tc>
        <w:tc>
          <w:tcPr>
            <w:tcW w:w="2477" w:type="dxa"/>
            <w:tcBorders>
              <w:top w:val="single" w:sz="8" w:space="0" w:color="000000"/>
              <w:left w:val="single" w:sz="8" w:space="0" w:color="000000"/>
              <w:bottom w:val="single" w:sz="8" w:space="0" w:color="000000"/>
              <w:right w:val="single" w:sz="8" w:space="0" w:color="000000"/>
            </w:tcBorders>
            <w:vAlign w:val="center"/>
          </w:tcPr>
          <w:p w14:paraId="0242AFD4" w14:textId="77777777" w:rsidR="004C11AA" w:rsidRPr="00DF4CE5" w:rsidRDefault="004C11AA" w:rsidP="004C11AA">
            <w:pPr>
              <w:spacing w:after="0" w:line="240" w:lineRule="auto"/>
              <w:ind w:left="40"/>
              <w:rPr>
                <w:rFonts w:ascii="Cambria" w:eastAsia="Times New Roman" w:hAnsi="Cambria" w:cs="Times New Roman"/>
                <w:lang w:val="hr-HR" w:eastAsia="hr-HR"/>
              </w:rPr>
            </w:pPr>
            <w:r w:rsidRPr="00DF4CE5">
              <w:rPr>
                <w:rFonts w:ascii="Cambria" w:eastAsia="Calibri" w:hAnsi="Cambria" w:cs="Calibri"/>
                <w:lang w:val="hr-HR" w:eastAsia="hr-HR"/>
              </w:rPr>
              <w:t xml:space="preserve">5 </w:t>
            </w:r>
          </w:p>
        </w:tc>
        <w:tc>
          <w:tcPr>
            <w:tcW w:w="1827" w:type="dxa"/>
            <w:gridSpan w:val="3"/>
            <w:tcBorders>
              <w:top w:val="single" w:sz="8" w:space="0" w:color="000000"/>
              <w:left w:val="single" w:sz="8" w:space="0" w:color="000000"/>
              <w:bottom w:val="single" w:sz="8" w:space="0" w:color="000000"/>
              <w:right w:val="single" w:sz="8" w:space="0" w:color="000000"/>
            </w:tcBorders>
            <w:shd w:val="clear" w:color="auto" w:fill="E6E6E6"/>
          </w:tcPr>
          <w:p w14:paraId="535FFCF4" w14:textId="77777777" w:rsidR="004C11AA" w:rsidRPr="00DF4CE5" w:rsidRDefault="004C11AA" w:rsidP="004C11AA">
            <w:pPr>
              <w:spacing w:after="0" w:line="240" w:lineRule="auto"/>
              <w:ind w:left="36"/>
              <w:rPr>
                <w:rFonts w:ascii="Cambria" w:eastAsia="Times New Roman" w:hAnsi="Cambria" w:cs="Times New Roman"/>
                <w:lang w:val="hr-HR" w:eastAsia="hr-HR"/>
              </w:rPr>
            </w:pPr>
            <w:r w:rsidRPr="00DF4CE5">
              <w:rPr>
                <w:rFonts w:ascii="Cambria" w:eastAsia="Calibri" w:hAnsi="Cambria" w:cs="Calibri"/>
                <w:lang w:val="hr-HR" w:eastAsia="hr-HR"/>
              </w:rPr>
              <w:t xml:space="preserve">Broj sati u semestru </w:t>
            </w:r>
          </w:p>
        </w:tc>
        <w:tc>
          <w:tcPr>
            <w:tcW w:w="2656" w:type="dxa"/>
            <w:gridSpan w:val="3"/>
            <w:tcBorders>
              <w:top w:val="single" w:sz="8" w:space="0" w:color="000000"/>
              <w:left w:val="single" w:sz="8" w:space="0" w:color="000000"/>
              <w:bottom w:val="single" w:sz="8" w:space="0" w:color="000000"/>
              <w:right w:val="single" w:sz="8" w:space="0" w:color="000000"/>
            </w:tcBorders>
            <w:vAlign w:val="center"/>
          </w:tcPr>
          <w:p w14:paraId="24780B8A" w14:textId="0B1A91A3" w:rsidR="004C11AA" w:rsidRPr="00DF4CE5" w:rsidRDefault="004C11AA" w:rsidP="004C11AA">
            <w:pPr>
              <w:spacing w:after="0" w:line="240" w:lineRule="auto"/>
              <w:ind w:left="40"/>
              <w:rPr>
                <w:rFonts w:ascii="Cambria" w:eastAsia="Times New Roman" w:hAnsi="Cambria" w:cs="Times New Roman"/>
                <w:lang w:val="hr-HR" w:eastAsia="hr-HR"/>
              </w:rPr>
            </w:pPr>
            <w:r w:rsidRPr="00DF4CE5">
              <w:rPr>
                <w:rFonts w:ascii="Cambria" w:eastAsia="Calibri" w:hAnsi="Cambria" w:cs="Calibri"/>
                <w:lang w:val="hr-HR" w:eastAsia="hr-HR"/>
              </w:rPr>
              <w:t>30P – 30S – 0V</w:t>
            </w:r>
          </w:p>
        </w:tc>
      </w:tr>
      <w:tr w:rsidR="004C11AA" w:rsidRPr="00D0399C" w14:paraId="7A609B0D" w14:textId="77777777" w:rsidTr="00E62F3F">
        <w:trPr>
          <w:trHeight w:val="862"/>
        </w:trPr>
        <w:tc>
          <w:tcPr>
            <w:tcW w:w="2538"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647F9605" w14:textId="77777777" w:rsidR="004C11AA" w:rsidRPr="00DF4CE5" w:rsidRDefault="004C11AA" w:rsidP="004C11AA">
            <w:pPr>
              <w:spacing w:after="0" w:line="240" w:lineRule="auto"/>
              <w:ind w:left="36"/>
              <w:rPr>
                <w:rFonts w:ascii="Cambria" w:eastAsia="Times New Roman" w:hAnsi="Cambria" w:cs="Times New Roman"/>
                <w:lang w:val="hr-HR" w:eastAsia="hr-HR"/>
              </w:rPr>
            </w:pPr>
            <w:r w:rsidRPr="00DF4CE5">
              <w:rPr>
                <w:rFonts w:ascii="Cambria" w:eastAsia="Calibri" w:hAnsi="Cambria" w:cs="Calibri"/>
                <w:lang w:val="hr-HR" w:eastAsia="hr-HR"/>
              </w:rPr>
              <w:t xml:space="preserve">Preduvjeti za upis i za svladavanje </w:t>
            </w:r>
          </w:p>
        </w:tc>
        <w:tc>
          <w:tcPr>
            <w:tcW w:w="6960" w:type="dxa"/>
            <w:gridSpan w:val="7"/>
            <w:tcBorders>
              <w:top w:val="single" w:sz="8" w:space="0" w:color="000000"/>
              <w:left w:val="single" w:sz="8" w:space="0" w:color="000000"/>
              <w:bottom w:val="single" w:sz="8" w:space="0" w:color="000000"/>
              <w:right w:val="single" w:sz="8" w:space="0" w:color="000000"/>
            </w:tcBorders>
          </w:tcPr>
          <w:p w14:paraId="0DAB296B" w14:textId="77777777" w:rsidR="004C11AA" w:rsidRPr="00DF4CE5" w:rsidRDefault="004C11AA" w:rsidP="004C11AA">
            <w:pPr>
              <w:spacing w:after="0" w:line="240" w:lineRule="auto"/>
              <w:ind w:left="40"/>
              <w:rPr>
                <w:rFonts w:ascii="Cambria" w:eastAsia="Times New Roman" w:hAnsi="Cambria" w:cs="Times New Roman"/>
                <w:lang w:val="hr-HR" w:eastAsia="hr-HR"/>
              </w:rPr>
            </w:pPr>
            <w:r w:rsidRPr="00DF4CE5">
              <w:rPr>
                <w:rFonts w:ascii="Cambria" w:eastAsia="Calibri" w:hAnsi="Cambria" w:cs="Calibri"/>
                <w:lang w:val="hr-HR" w:eastAsia="hr-HR"/>
              </w:rPr>
              <w:t xml:space="preserve">Za upis Razvojne psihologije potrebno je izvršiti sve obveze iz Opće psihologije osim polaganja ispita. Položen ispit iz Opće psihologije uvjet je za izlazak na ispit iz Razvojne psihologije. </w:t>
            </w:r>
          </w:p>
        </w:tc>
      </w:tr>
      <w:tr w:rsidR="004C11AA" w:rsidRPr="00D0399C" w14:paraId="4B74590C" w14:textId="77777777" w:rsidTr="00E62F3F">
        <w:trPr>
          <w:trHeight w:val="493"/>
        </w:trPr>
        <w:tc>
          <w:tcPr>
            <w:tcW w:w="2538"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67292FDD" w14:textId="77777777" w:rsidR="004C11AA" w:rsidRPr="00DF4CE5" w:rsidRDefault="004C11AA" w:rsidP="004C11AA">
            <w:pPr>
              <w:spacing w:after="0" w:line="240" w:lineRule="auto"/>
              <w:ind w:left="36"/>
              <w:rPr>
                <w:rFonts w:ascii="Cambria" w:eastAsia="Times New Roman" w:hAnsi="Cambria" w:cs="Times New Roman"/>
                <w:lang w:val="hr-HR" w:eastAsia="hr-HR"/>
              </w:rPr>
            </w:pPr>
            <w:proofErr w:type="spellStart"/>
            <w:r w:rsidRPr="00DF4CE5">
              <w:rPr>
                <w:rFonts w:ascii="Cambria" w:eastAsia="Calibri" w:hAnsi="Cambria" w:cs="Calibri"/>
                <w:lang w:val="hr-HR" w:eastAsia="hr-HR"/>
              </w:rPr>
              <w:t>Korelativnost</w:t>
            </w:r>
            <w:proofErr w:type="spellEnd"/>
            <w:r w:rsidRPr="00DF4CE5">
              <w:rPr>
                <w:rFonts w:ascii="Cambria" w:eastAsia="Calibri" w:hAnsi="Cambria" w:cs="Calibri"/>
                <w:lang w:val="hr-HR" w:eastAsia="hr-HR"/>
              </w:rPr>
              <w:t xml:space="preserve"> </w:t>
            </w:r>
          </w:p>
        </w:tc>
        <w:tc>
          <w:tcPr>
            <w:tcW w:w="6960" w:type="dxa"/>
            <w:gridSpan w:val="7"/>
            <w:tcBorders>
              <w:top w:val="single" w:sz="8" w:space="0" w:color="000000"/>
              <w:left w:val="single" w:sz="8" w:space="0" w:color="000000"/>
              <w:bottom w:val="single" w:sz="8" w:space="0" w:color="000000"/>
              <w:right w:val="single" w:sz="8" w:space="0" w:color="000000"/>
            </w:tcBorders>
          </w:tcPr>
          <w:p w14:paraId="321E3217" w14:textId="77777777" w:rsidR="004C11AA" w:rsidRPr="00DF4CE5" w:rsidRDefault="004C11AA" w:rsidP="004C11AA">
            <w:pPr>
              <w:spacing w:after="0" w:line="240" w:lineRule="auto"/>
              <w:ind w:left="40"/>
              <w:rPr>
                <w:rFonts w:ascii="Cambria" w:eastAsia="Times New Roman" w:hAnsi="Cambria" w:cs="Times New Roman"/>
                <w:lang w:val="hr-HR" w:eastAsia="hr-HR"/>
              </w:rPr>
            </w:pPr>
            <w:r w:rsidRPr="00DF4CE5">
              <w:rPr>
                <w:rFonts w:ascii="Cambria" w:eastAsia="Calibri" w:hAnsi="Cambria" w:cs="Calibri"/>
                <w:lang w:val="hr-HR" w:eastAsia="hr-HR"/>
              </w:rPr>
              <w:t xml:space="preserve">Opća psihologija, Edukacijska psihologija, Pedagogija djece s posebnim potrebama, Rad s darovitim učenicima </w:t>
            </w:r>
          </w:p>
        </w:tc>
      </w:tr>
      <w:tr w:rsidR="004C11AA" w:rsidRPr="00D0399C" w14:paraId="0C0ABBB4" w14:textId="77777777" w:rsidTr="00E62F3F">
        <w:trPr>
          <w:trHeight w:val="317"/>
        </w:trPr>
        <w:tc>
          <w:tcPr>
            <w:tcW w:w="2538" w:type="dxa"/>
            <w:tcBorders>
              <w:top w:val="single" w:sz="8" w:space="0" w:color="000000"/>
              <w:left w:val="single" w:sz="8" w:space="0" w:color="000000"/>
              <w:bottom w:val="single" w:sz="8" w:space="0" w:color="000000"/>
              <w:right w:val="single" w:sz="8" w:space="0" w:color="000000"/>
            </w:tcBorders>
            <w:shd w:val="clear" w:color="auto" w:fill="F3F3F3"/>
          </w:tcPr>
          <w:p w14:paraId="49890025" w14:textId="77777777" w:rsidR="004C11AA" w:rsidRPr="00DF4CE5" w:rsidRDefault="004C11AA" w:rsidP="004C11AA">
            <w:pPr>
              <w:spacing w:after="0" w:line="240" w:lineRule="auto"/>
              <w:ind w:left="36"/>
              <w:rPr>
                <w:rFonts w:ascii="Cambria" w:eastAsia="Times New Roman" w:hAnsi="Cambria" w:cs="Times New Roman"/>
                <w:lang w:val="hr-HR" w:eastAsia="hr-HR"/>
              </w:rPr>
            </w:pPr>
            <w:r w:rsidRPr="00DF4CE5">
              <w:rPr>
                <w:rFonts w:ascii="Cambria" w:eastAsia="Calibri" w:hAnsi="Cambria" w:cs="Calibri"/>
                <w:lang w:val="hr-HR" w:eastAsia="hr-HR"/>
              </w:rPr>
              <w:t xml:space="preserve">Cilj kolegija  </w:t>
            </w:r>
          </w:p>
        </w:tc>
        <w:tc>
          <w:tcPr>
            <w:tcW w:w="6960" w:type="dxa"/>
            <w:gridSpan w:val="7"/>
            <w:tcBorders>
              <w:top w:val="single" w:sz="8" w:space="0" w:color="000000"/>
              <w:left w:val="single" w:sz="8" w:space="0" w:color="000000"/>
              <w:bottom w:val="single" w:sz="8" w:space="0" w:color="000000"/>
              <w:right w:val="single" w:sz="8" w:space="0" w:color="000000"/>
            </w:tcBorders>
          </w:tcPr>
          <w:p w14:paraId="27D75CAA" w14:textId="77777777" w:rsidR="004C11AA" w:rsidRPr="00DF4CE5" w:rsidRDefault="004C11AA" w:rsidP="004C11AA">
            <w:pPr>
              <w:spacing w:after="0" w:line="240" w:lineRule="auto"/>
              <w:ind w:left="40"/>
              <w:rPr>
                <w:rFonts w:ascii="Cambria" w:eastAsia="Times New Roman" w:hAnsi="Cambria" w:cs="Times New Roman"/>
                <w:lang w:val="hr-HR" w:eastAsia="hr-HR"/>
              </w:rPr>
            </w:pPr>
            <w:r w:rsidRPr="00DF4CE5">
              <w:rPr>
                <w:rFonts w:ascii="Cambria" w:eastAsia="Calibri" w:hAnsi="Cambria" w:cs="Calibri"/>
                <w:lang w:val="hr-HR" w:eastAsia="hr-HR"/>
              </w:rPr>
              <w:t xml:space="preserve">steći znanja o razvoju čovjekovih psihičkih procesa i osobina </w:t>
            </w:r>
          </w:p>
        </w:tc>
      </w:tr>
      <w:tr w:rsidR="004C11AA" w:rsidRPr="00D0399C" w14:paraId="463C1A84" w14:textId="77777777" w:rsidTr="00E62F3F">
        <w:trPr>
          <w:trHeight w:val="1325"/>
        </w:trPr>
        <w:tc>
          <w:tcPr>
            <w:tcW w:w="2538"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12CFA8FB" w14:textId="77777777" w:rsidR="004C11AA" w:rsidRPr="00DF4CE5" w:rsidRDefault="004C11AA" w:rsidP="004C11AA">
            <w:pPr>
              <w:spacing w:after="0" w:line="240" w:lineRule="auto"/>
              <w:ind w:left="36"/>
              <w:rPr>
                <w:rFonts w:ascii="Cambria" w:eastAsia="Times New Roman" w:hAnsi="Cambria" w:cs="Times New Roman"/>
                <w:lang w:val="hr-HR" w:eastAsia="hr-HR"/>
              </w:rPr>
            </w:pPr>
            <w:r w:rsidRPr="00DF4CE5">
              <w:rPr>
                <w:rFonts w:ascii="Cambria" w:eastAsia="Calibri" w:hAnsi="Cambria" w:cs="Calibri"/>
                <w:lang w:val="hr-HR" w:eastAsia="hr-HR"/>
              </w:rPr>
              <w:t xml:space="preserve">Ishodi učenja </w:t>
            </w:r>
          </w:p>
        </w:tc>
        <w:tc>
          <w:tcPr>
            <w:tcW w:w="6960" w:type="dxa"/>
            <w:gridSpan w:val="7"/>
            <w:tcBorders>
              <w:top w:val="single" w:sz="8" w:space="0" w:color="000000"/>
              <w:left w:val="single" w:sz="8" w:space="0" w:color="000000"/>
              <w:bottom w:val="single" w:sz="8" w:space="0" w:color="000000"/>
              <w:right w:val="single" w:sz="8" w:space="0" w:color="000000"/>
            </w:tcBorders>
          </w:tcPr>
          <w:p w14:paraId="43926EB0" w14:textId="465CA6E1" w:rsidR="004C11AA" w:rsidRPr="00DF4CE5" w:rsidRDefault="00826F4D" w:rsidP="00826F4D">
            <w:pPr>
              <w:spacing w:after="0" w:line="240" w:lineRule="auto"/>
              <w:rPr>
                <w:rFonts w:ascii="Cambria" w:eastAsia="Times New Roman" w:hAnsi="Cambria" w:cs="Times New Roman"/>
                <w:lang w:val="hr-HR" w:eastAsia="hr-HR"/>
              </w:rPr>
            </w:pPr>
            <w:r>
              <w:rPr>
                <w:rFonts w:ascii="Cambria" w:eastAsia="Calibri" w:hAnsi="Cambria" w:cs="Calibri"/>
                <w:lang w:val="hr-HR" w:eastAsia="hr-HR"/>
              </w:rPr>
              <w:t xml:space="preserve">1. </w:t>
            </w:r>
            <w:r w:rsidR="004C11AA" w:rsidRPr="00DF4CE5">
              <w:rPr>
                <w:rFonts w:ascii="Cambria" w:eastAsia="Calibri" w:hAnsi="Cambria" w:cs="Calibri"/>
                <w:lang w:val="hr-HR" w:eastAsia="hr-HR"/>
              </w:rPr>
              <w:t xml:space="preserve">definirati bitna fizička, kognitivna, emocionalna i socijalna obilježja i procese u pojedinim ontogenetskim razvojnim razdobljima čovjeka </w:t>
            </w:r>
          </w:p>
          <w:p w14:paraId="63AD370B" w14:textId="7EAD7D29" w:rsidR="004C11AA" w:rsidRPr="00DF4CE5" w:rsidRDefault="00826F4D" w:rsidP="00826F4D">
            <w:pPr>
              <w:spacing w:after="0" w:line="240" w:lineRule="auto"/>
              <w:rPr>
                <w:rFonts w:ascii="Cambria" w:eastAsia="Times New Roman" w:hAnsi="Cambria" w:cs="Times New Roman"/>
                <w:lang w:val="hr-HR" w:eastAsia="hr-HR"/>
              </w:rPr>
            </w:pPr>
            <w:r>
              <w:rPr>
                <w:rFonts w:ascii="Cambria" w:eastAsia="Calibri" w:hAnsi="Cambria" w:cs="Calibri"/>
                <w:lang w:val="hr-HR" w:eastAsia="hr-HR"/>
              </w:rPr>
              <w:t xml:space="preserve">2. </w:t>
            </w:r>
            <w:r w:rsidR="004C11AA" w:rsidRPr="00DF4CE5">
              <w:rPr>
                <w:rFonts w:ascii="Cambria" w:eastAsia="Calibri" w:hAnsi="Cambria" w:cs="Calibri"/>
                <w:lang w:val="hr-HR" w:eastAsia="hr-HR"/>
              </w:rPr>
              <w:t xml:space="preserve">prepoznati doprinos nasljeđa i odgoja u razvoju čovjeka </w:t>
            </w:r>
          </w:p>
          <w:p w14:paraId="07258A6D" w14:textId="4BB8FA7D" w:rsidR="004C11AA" w:rsidRPr="00DF4CE5" w:rsidRDefault="00826F4D" w:rsidP="00826F4D">
            <w:pPr>
              <w:spacing w:after="0" w:line="240" w:lineRule="auto"/>
              <w:rPr>
                <w:rFonts w:ascii="Cambria" w:eastAsia="Times New Roman" w:hAnsi="Cambria" w:cs="Times New Roman"/>
                <w:lang w:val="hr-HR" w:eastAsia="hr-HR"/>
              </w:rPr>
            </w:pPr>
            <w:r>
              <w:rPr>
                <w:rFonts w:ascii="Cambria" w:eastAsia="Calibri" w:hAnsi="Cambria" w:cs="Calibri"/>
                <w:lang w:val="hr-HR" w:eastAsia="hr-HR"/>
              </w:rPr>
              <w:t xml:space="preserve">3. </w:t>
            </w:r>
            <w:r w:rsidR="004C11AA" w:rsidRPr="00DF4CE5">
              <w:rPr>
                <w:rFonts w:ascii="Cambria" w:eastAsia="Calibri" w:hAnsi="Cambria" w:cs="Calibri"/>
                <w:lang w:val="hr-HR" w:eastAsia="hr-HR"/>
              </w:rPr>
              <w:t>prepoznati učinkovite metode i postupke učenja u skladu s osobinama dobne skupine</w:t>
            </w:r>
          </w:p>
        </w:tc>
      </w:tr>
      <w:tr w:rsidR="004C11AA" w:rsidRPr="00D0399C" w14:paraId="112AA6C4" w14:textId="77777777" w:rsidTr="00E62F3F">
        <w:trPr>
          <w:trHeight w:val="2323"/>
        </w:trPr>
        <w:tc>
          <w:tcPr>
            <w:tcW w:w="2538"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0AD20629" w14:textId="77777777" w:rsidR="004C11AA" w:rsidRPr="00DF4CE5" w:rsidRDefault="004C11AA" w:rsidP="004C11AA">
            <w:pPr>
              <w:spacing w:after="0" w:line="240" w:lineRule="auto"/>
              <w:rPr>
                <w:rFonts w:ascii="Cambria" w:eastAsia="Times New Roman" w:hAnsi="Cambria" w:cs="Times New Roman"/>
                <w:lang w:val="hr-HR" w:eastAsia="hr-HR"/>
              </w:rPr>
            </w:pPr>
            <w:r w:rsidRPr="00DF4CE5">
              <w:rPr>
                <w:rFonts w:ascii="Cambria" w:eastAsia="Calibri" w:hAnsi="Cambria" w:cs="Calibri"/>
                <w:lang w:val="hr-HR" w:eastAsia="hr-HR"/>
              </w:rPr>
              <w:t xml:space="preserve">Sadržaj kolegija </w:t>
            </w:r>
          </w:p>
        </w:tc>
        <w:tc>
          <w:tcPr>
            <w:tcW w:w="6960" w:type="dxa"/>
            <w:gridSpan w:val="7"/>
            <w:tcBorders>
              <w:top w:val="single" w:sz="8" w:space="0" w:color="000000"/>
              <w:left w:val="single" w:sz="8" w:space="0" w:color="000000"/>
              <w:bottom w:val="single" w:sz="8" w:space="0" w:color="000000"/>
              <w:right w:val="single" w:sz="8" w:space="0" w:color="000000"/>
            </w:tcBorders>
          </w:tcPr>
          <w:p w14:paraId="3642FBF5" w14:textId="346E7EBF" w:rsidR="004C11AA" w:rsidRPr="00DF4CE5" w:rsidRDefault="00826F4D" w:rsidP="00826F4D">
            <w:pPr>
              <w:spacing w:after="0" w:line="240" w:lineRule="auto"/>
              <w:rPr>
                <w:rFonts w:ascii="Cambria" w:eastAsia="Times New Roman" w:hAnsi="Cambria" w:cs="Times New Roman"/>
                <w:lang w:val="hr-HR" w:eastAsia="hr-HR"/>
              </w:rPr>
            </w:pPr>
            <w:r>
              <w:rPr>
                <w:rFonts w:ascii="Cambria" w:eastAsia="Calibri" w:hAnsi="Cambria" w:cs="Calibri"/>
                <w:lang w:val="hr-HR" w:eastAsia="hr-HR"/>
              </w:rPr>
              <w:t xml:space="preserve">1. </w:t>
            </w:r>
            <w:r w:rsidR="004C11AA" w:rsidRPr="00DF4CE5">
              <w:rPr>
                <w:rFonts w:ascii="Cambria" w:eastAsia="Calibri" w:hAnsi="Cambria" w:cs="Calibri"/>
                <w:lang w:val="hr-HR" w:eastAsia="hr-HR"/>
              </w:rPr>
              <w:t xml:space="preserve">faktori razvoja  </w:t>
            </w:r>
          </w:p>
          <w:p w14:paraId="42C8AE29" w14:textId="79DC5312" w:rsidR="004C11AA" w:rsidRPr="00DF4CE5" w:rsidRDefault="00826F4D" w:rsidP="00826F4D">
            <w:pPr>
              <w:spacing w:after="0" w:line="240" w:lineRule="auto"/>
              <w:rPr>
                <w:rFonts w:ascii="Cambria" w:eastAsia="Times New Roman" w:hAnsi="Cambria" w:cs="Times New Roman"/>
                <w:lang w:val="hr-HR" w:eastAsia="hr-HR"/>
              </w:rPr>
            </w:pPr>
            <w:r>
              <w:rPr>
                <w:rFonts w:ascii="Cambria" w:eastAsia="Calibri" w:hAnsi="Cambria" w:cs="Calibri"/>
                <w:lang w:val="hr-HR" w:eastAsia="hr-HR"/>
              </w:rPr>
              <w:t xml:space="preserve">2. </w:t>
            </w:r>
            <w:r w:rsidR="004C11AA" w:rsidRPr="00DF4CE5">
              <w:rPr>
                <w:rFonts w:ascii="Cambria" w:eastAsia="Calibri" w:hAnsi="Cambria" w:cs="Calibri"/>
                <w:lang w:val="hr-HR" w:eastAsia="hr-HR"/>
              </w:rPr>
              <w:t xml:space="preserve">tjelesni i psihomotorni razvoj  </w:t>
            </w:r>
          </w:p>
          <w:p w14:paraId="27CE31AA" w14:textId="49B9A784" w:rsidR="004C11AA" w:rsidRPr="00DF4CE5" w:rsidRDefault="00826F4D" w:rsidP="00826F4D">
            <w:pPr>
              <w:spacing w:after="0" w:line="240" w:lineRule="auto"/>
              <w:rPr>
                <w:rFonts w:ascii="Cambria" w:eastAsia="Times New Roman" w:hAnsi="Cambria" w:cs="Times New Roman"/>
                <w:lang w:val="hr-HR" w:eastAsia="hr-HR"/>
              </w:rPr>
            </w:pPr>
            <w:r>
              <w:rPr>
                <w:rFonts w:ascii="Cambria" w:eastAsia="Calibri" w:hAnsi="Cambria" w:cs="Calibri"/>
                <w:lang w:val="hr-HR" w:eastAsia="hr-HR"/>
              </w:rPr>
              <w:t xml:space="preserve">3. </w:t>
            </w:r>
            <w:r w:rsidR="004C11AA" w:rsidRPr="00DF4CE5">
              <w:rPr>
                <w:rFonts w:ascii="Cambria" w:eastAsia="Calibri" w:hAnsi="Cambria" w:cs="Calibri"/>
                <w:lang w:val="hr-HR" w:eastAsia="hr-HR"/>
              </w:rPr>
              <w:t xml:space="preserve">kognitivni razvoj </w:t>
            </w:r>
          </w:p>
          <w:p w14:paraId="2C540746" w14:textId="26601B5A" w:rsidR="004C11AA" w:rsidRPr="00DF4CE5" w:rsidRDefault="00826F4D" w:rsidP="00826F4D">
            <w:pPr>
              <w:spacing w:after="0" w:line="240" w:lineRule="auto"/>
              <w:rPr>
                <w:rFonts w:ascii="Cambria" w:eastAsia="Times New Roman" w:hAnsi="Cambria" w:cs="Times New Roman"/>
                <w:lang w:val="hr-HR" w:eastAsia="hr-HR"/>
              </w:rPr>
            </w:pPr>
            <w:r>
              <w:rPr>
                <w:rFonts w:ascii="Cambria" w:eastAsia="Calibri" w:hAnsi="Cambria" w:cs="Calibri"/>
                <w:lang w:val="hr-HR" w:eastAsia="hr-HR"/>
              </w:rPr>
              <w:t xml:space="preserve">4. </w:t>
            </w:r>
            <w:r w:rsidR="004C11AA" w:rsidRPr="00DF4CE5">
              <w:rPr>
                <w:rFonts w:ascii="Cambria" w:eastAsia="Calibri" w:hAnsi="Cambria" w:cs="Calibri"/>
                <w:lang w:val="hr-HR" w:eastAsia="hr-HR"/>
              </w:rPr>
              <w:t xml:space="preserve">razvoj govora  </w:t>
            </w:r>
          </w:p>
          <w:p w14:paraId="2EA7CAF8" w14:textId="3DD26F41" w:rsidR="004C11AA" w:rsidRPr="00DF4CE5" w:rsidRDefault="00826F4D" w:rsidP="00826F4D">
            <w:pPr>
              <w:spacing w:after="0" w:line="240" w:lineRule="auto"/>
              <w:rPr>
                <w:rFonts w:ascii="Cambria" w:eastAsia="Times New Roman" w:hAnsi="Cambria" w:cs="Times New Roman"/>
                <w:lang w:val="hr-HR" w:eastAsia="hr-HR"/>
              </w:rPr>
            </w:pPr>
            <w:r>
              <w:rPr>
                <w:rFonts w:ascii="Cambria" w:eastAsia="Calibri" w:hAnsi="Cambria" w:cs="Calibri"/>
                <w:lang w:val="hr-HR" w:eastAsia="hr-HR"/>
              </w:rPr>
              <w:t xml:space="preserve">5. </w:t>
            </w:r>
            <w:r w:rsidR="004C11AA" w:rsidRPr="00DF4CE5">
              <w:rPr>
                <w:rFonts w:ascii="Cambria" w:eastAsia="Calibri" w:hAnsi="Cambria" w:cs="Calibri"/>
                <w:lang w:val="hr-HR" w:eastAsia="hr-HR"/>
              </w:rPr>
              <w:t xml:space="preserve">razvojni poremećaji  </w:t>
            </w:r>
          </w:p>
          <w:p w14:paraId="76224AF5" w14:textId="4C1B48D6" w:rsidR="004C11AA" w:rsidRPr="00DF4CE5" w:rsidRDefault="00826F4D" w:rsidP="00826F4D">
            <w:pPr>
              <w:spacing w:after="0" w:line="240" w:lineRule="auto"/>
              <w:rPr>
                <w:rFonts w:ascii="Cambria" w:eastAsia="Times New Roman" w:hAnsi="Cambria" w:cs="Times New Roman"/>
                <w:lang w:val="hr-HR" w:eastAsia="hr-HR"/>
              </w:rPr>
            </w:pPr>
            <w:r>
              <w:rPr>
                <w:rFonts w:ascii="Cambria" w:eastAsia="Calibri" w:hAnsi="Cambria" w:cs="Calibri"/>
                <w:lang w:val="hr-HR" w:eastAsia="hr-HR"/>
              </w:rPr>
              <w:t xml:space="preserve">6. </w:t>
            </w:r>
            <w:r w:rsidR="004C11AA" w:rsidRPr="00DF4CE5">
              <w:rPr>
                <w:rFonts w:ascii="Cambria" w:eastAsia="Calibri" w:hAnsi="Cambria" w:cs="Calibri"/>
                <w:lang w:val="hr-HR" w:eastAsia="hr-HR"/>
              </w:rPr>
              <w:t xml:space="preserve">socijalni i emocionalni razvoj </w:t>
            </w:r>
          </w:p>
          <w:p w14:paraId="1CA2820E" w14:textId="74AFAEB8" w:rsidR="004C11AA" w:rsidRPr="00DF4CE5" w:rsidRDefault="00826F4D" w:rsidP="00826F4D">
            <w:pPr>
              <w:spacing w:after="0" w:line="240" w:lineRule="auto"/>
              <w:rPr>
                <w:rFonts w:ascii="Cambria" w:eastAsia="Times New Roman" w:hAnsi="Cambria" w:cs="Times New Roman"/>
                <w:lang w:val="hr-HR" w:eastAsia="hr-HR"/>
              </w:rPr>
            </w:pPr>
            <w:r>
              <w:rPr>
                <w:rFonts w:ascii="Cambria" w:eastAsia="Calibri" w:hAnsi="Cambria" w:cs="Calibri"/>
                <w:lang w:val="hr-HR" w:eastAsia="hr-HR"/>
              </w:rPr>
              <w:t xml:space="preserve">7. </w:t>
            </w:r>
            <w:r w:rsidR="004C11AA" w:rsidRPr="00DF4CE5">
              <w:rPr>
                <w:rFonts w:ascii="Cambria" w:eastAsia="Calibri" w:hAnsi="Cambria" w:cs="Calibri"/>
                <w:lang w:val="hr-HR" w:eastAsia="hr-HR"/>
              </w:rPr>
              <w:t xml:space="preserve">moralni razvoj  </w:t>
            </w:r>
          </w:p>
          <w:p w14:paraId="2164200A" w14:textId="491F04DD" w:rsidR="004C11AA" w:rsidRPr="00DF4CE5" w:rsidRDefault="00826F4D" w:rsidP="00826F4D">
            <w:pPr>
              <w:spacing w:after="0" w:line="240" w:lineRule="auto"/>
              <w:rPr>
                <w:rFonts w:ascii="Cambria" w:eastAsia="Times New Roman" w:hAnsi="Cambria" w:cs="Times New Roman"/>
                <w:lang w:val="hr-HR" w:eastAsia="hr-HR"/>
              </w:rPr>
            </w:pPr>
            <w:r>
              <w:rPr>
                <w:rFonts w:ascii="Cambria" w:eastAsia="Calibri" w:hAnsi="Cambria" w:cs="Calibri"/>
                <w:lang w:val="hr-HR" w:eastAsia="hr-HR"/>
              </w:rPr>
              <w:t xml:space="preserve">8. </w:t>
            </w:r>
            <w:r w:rsidR="004C11AA" w:rsidRPr="00DF4CE5">
              <w:rPr>
                <w:rFonts w:ascii="Cambria" w:eastAsia="Calibri" w:hAnsi="Cambria" w:cs="Calibri"/>
                <w:lang w:val="hr-HR" w:eastAsia="hr-HR"/>
              </w:rPr>
              <w:t xml:space="preserve">razvoj ličnosti  </w:t>
            </w:r>
          </w:p>
          <w:p w14:paraId="192DE804" w14:textId="5E3B0E57" w:rsidR="004C11AA" w:rsidRPr="00DF4CE5" w:rsidRDefault="00826F4D" w:rsidP="00826F4D">
            <w:pPr>
              <w:spacing w:after="0" w:line="240" w:lineRule="auto"/>
              <w:rPr>
                <w:rFonts w:ascii="Cambria" w:eastAsia="Times New Roman" w:hAnsi="Cambria" w:cs="Times New Roman"/>
                <w:lang w:val="hr-HR" w:eastAsia="hr-HR"/>
              </w:rPr>
            </w:pPr>
            <w:r>
              <w:rPr>
                <w:rFonts w:ascii="Cambria" w:eastAsia="Calibri" w:hAnsi="Cambria" w:cs="Calibri"/>
                <w:lang w:val="hr-HR" w:eastAsia="hr-HR"/>
              </w:rPr>
              <w:t xml:space="preserve">9. </w:t>
            </w:r>
            <w:r w:rsidR="004C11AA" w:rsidRPr="00DF4CE5">
              <w:rPr>
                <w:rFonts w:ascii="Cambria" w:eastAsia="Calibri" w:hAnsi="Cambria" w:cs="Calibri"/>
                <w:lang w:val="hr-HR" w:eastAsia="hr-HR"/>
              </w:rPr>
              <w:t xml:space="preserve">filogenetski razvoj čovjeka </w:t>
            </w:r>
          </w:p>
        </w:tc>
      </w:tr>
      <w:tr w:rsidR="004C11AA" w:rsidRPr="00DF4CE5" w14:paraId="43F69AB4" w14:textId="77777777" w:rsidTr="00E62F3F">
        <w:trPr>
          <w:trHeight w:val="834"/>
        </w:trPr>
        <w:tc>
          <w:tcPr>
            <w:tcW w:w="2538" w:type="dxa"/>
            <w:vMerge w:val="restart"/>
            <w:tcBorders>
              <w:top w:val="single" w:sz="8" w:space="0" w:color="000000"/>
              <w:left w:val="single" w:sz="8" w:space="0" w:color="000000"/>
              <w:bottom w:val="nil"/>
              <w:right w:val="single" w:sz="8" w:space="0" w:color="000000"/>
            </w:tcBorders>
            <w:shd w:val="clear" w:color="auto" w:fill="F3F3F3"/>
            <w:vAlign w:val="center"/>
          </w:tcPr>
          <w:p w14:paraId="2C4C615B" w14:textId="77777777" w:rsidR="004C11AA" w:rsidRPr="00DF4CE5" w:rsidRDefault="004C11AA" w:rsidP="004C11AA">
            <w:pPr>
              <w:spacing w:after="0" w:line="240" w:lineRule="auto"/>
              <w:rPr>
                <w:rFonts w:ascii="Cambria" w:eastAsia="Times New Roman" w:hAnsi="Cambria" w:cs="Times New Roman"/>
                <w:lang w:val="hr-HR" w:eastAsia="hr-HR"/>
              </w:rPr>
            </w:pPr>
            <w:r w:rsidRPr="00DF4CE5">
              <w:rPr>
                <w:rFonts w:ascii="Cambria" w:eastAsia="Calibri" w:hAnsi="Cambria" w:cs="Calibri"/>
                <w:lang w:val="hr-HR" w:eastAsia="hr-HR"/>
              </w:rPr>
              <w:t xml:space="preserve">Planirane aktivnosti, metode učenja i poučavanja i načini vrednovanja </w:t>
            </w:r>
          </w:p>
        </w:tc>
        <w:tc>
          <w:tcPr>
            <w:tcW w:w="2569" w:type="dxa"/>
            <w:gridSpan w:val="2"/>
            <w:tcBorders>
              <w:top w:val="single" w:sz="8" w:space="0" w:color="000000"/>
              <w:left w:val="single" w:sz="8" w:space="0" w:color="000000"/>
              <w:bottom w:val="single" w:sz="8" w:space="0" w:color="000000"/>
              <w:right w:val="single" w:sz="8" w:space="0" w:color="000000"/>
            </w:tcBorders>
            <w:vAlign w:val="center"/>
          </w:tcPr>
          <w:p w14:paraId="093FA3B9" w14:textId="77777777" w:rsidR="004C11AA" w:rsidRPr="00DF4CE5" w:rsidRDefault="004C11AA" w:rsidP="004C11AA">
            <w:pPr>
              <w:spacing w:after="0" w:line="240" w:lineRule="auto"/>
              <w:ind w:left="4"/>
              <w:rPr>
                <w:rFonts w:ascii="Cambria" w:eastAsia="Times New Roman" w:hAnsi="Cambria" w:cs="Times New Roman"/>
                <w:lang w:val="hr-HR" w:eastAsia="hr-HR"/>
              </w:rPr>
            </w:pPr>
            <w:r w:rsidRPr="00DF4CE5">
              <w:rPr>
                <w:rFonts w:ascii="Cambria" w:eastAsia="Calibri" w:hAnsi="Cambria" w:cs="Calibri"/>
                <w:lang w:val="hr-HR" w:eastAsia="hr-HR"/>
              </w:rPr>
              <w:t>Obveze</w:t>
            </w:r>
          </w:p>
        </w:tc>
        <w:tc>
          <w:tcPr>
            <w:tcW w:w="1169" w:type="dxa"/>
            <w:tcBorders>
              <w:top w:val="single" w:sz="8" w:space="0" w:color="000000"/>
              <w:left w:val="single" w:sz="8" w:space="0" w:color="000000"/>
              <w:bottom w:val="single" w:sz="8" w:space="0" w:color="000000"/>
              <w:right w:val="single" w:sz="8" w:space="0" w:color="000000"/>
            </w:tcBorders>
            <w:vAlign w:val="center"/>
          </w:tcPr>
          <w:p w14:paraId="6978A481" w14:textId="77777777" w:rsidR="004C11AA" w:rsidRPr="00DF4CE5" w:rsidRDefault="004C11AA" w:rsidP="004C11AA">
            <w:pPr>
              <w:spacing w:after="0" w:line="240" w:lineRule="auto"/>
              <w:ind w:left="1"/>
              <w:rPr>
                <w:rFonts w:ascii="Cambria" w:eastAsia="Times New Roman" w:hAnsi="Cambria" w:cs="Times New Roman"/>
                <w:lang w:val="hr-HR" w:eastAsia="hr-HR"/>
              </w:rPr>
            </w:pPr>
            <w:r w:rsidRPr="00DF4CE5">
              <w:rPr>
                <w:rFonts w:ascii="Cambria" w:eastAsia="Calibri" w:hAnsi="Cambria" w:cs="Calibri"/>
                <w:lang w:val="hr-HR" w:eastAsia="hr-HR"/>
              </w:rPr>
              <w:t>Ishodi</w:t>
            </w:r>
          </w:p>
        </w:tc>
        <w:tc>
          <w:tcPr>
            <w:tcW w:w="1281" w:type="dxa"/>
            <w:gridSpan w:val="2"/>
            <w:tcBorders>
              <w:top w:val="single" w:sz="8" w:space="0" w:color="000000"/>
              <w:left w:val="single" w:sz="8" w:space="0" w:color="000000"/>
              <w:bottom w:val="single" w:sz="8" w:space="0" w:color="000000"/>
              <w:right w:val="single" w:sz="8" w:space="0" w:color="000000"/>
            </w:tcBorders>
            <w:vAlign w:val="center"/>
          </w:tcPr>
          <w:p w14:paraId="544BE0D3" w14:textId="77777777" w:rsidR="004C11AA" w:rsidRPr="00DF4CE5" w:rsidRDefault="004C11AA" w:rsidP="004C11AA">
            <w:pPr>
              <w:spacing w:after="0" w:line="240" w:lineRule="auto"/>
              <w:ind w:left="1"/>
              <w:rPr>
                <w:rFonts w:ascii="Cambria" w:eastAsia="Times New Roman" w:hAnsi="Cambria" w:cs="Times New Roman"/>
                <w:lang w:val="hr-HR" w:eastAsia="hr-HR"/>
              </w:rPr>
            </w:pPr>
            <w:r w:rsidRPr="00DF4CE5">
              <w:rPr>
                <w:rFonts w:ascii="Cambria" w:eastAsia="Calibri" w:hAnsi="Cambria" w:cs="Calibri"/>
                <w:lang w:val="hr-HR" w:eastAsia="hr-HR"/>
              </w:rPr>
              <w:t>Sati</w:t>
            </w:r>
          </w:p>
        </w:tc>
        <w:tc>
          <w:tcPr>
            <w:tcW w:w="999" w:type="dxa"/>
            <w:tcBorders>
              <w:top w:val="single" w:sz="8" w:space="0" w:color="000000"/>
              <w:left w:val="single" w:sz="8" w:space="0" w:color="000000"/>
              <w:bottom w:val="single" w:sz="8" w:space="0" w:color="000000"/>
              <w:right w:val="single" w:sz="8" w:space="0" w:color="000000"/>
            </w:tcBorders>
            <w:vAlign w:val="center"/>
          </w:tcPr>
          <w:p w14:paraId="7DFCD112" w14:textId="77777777" w:rsidR="004C11AA" w:rsidRPr="00DF4CE5" w:rsidRDefault="004C11AA" w:rsidP="004C11AA">
            <w:pPr>
              <w:spacing w:after="0" w:line="240" w:lineRule="auto"/>
              <w:ind w:left="4"/>
              <w:rPr>
                <w:rFonts w:ascii="Cambria" w:eastAsia="Times New Roman" w:hAnsi="Cambria" w:cs="Times New Roman"/>
                <w:lang w:val="hr-HR" w:eastAsia="hr-HR"/>
              </w:rPr>
            </w:pPr>
            <w:r w:rsidRPr="00DF4CE5">
              <w:rPr>
                <w:rFonts w:ascii="Cambria" w:eastAsia="Calibri" w:hAnsi="Cambria" w:cs="Calibri"/>
                <w:lang w:val="hr-HR" w:eastAsia="hr-HR"/>
              </w:rPr>
              <w:t>ECTS</w:t>
            </w:r>
          </w:p>
        </w:tc>
        <w:tc>
          <w:tcPr>
            <w:tcW w:w="942" w:type="dxa"/>
            <w:tcBorders>
              <w:top w:val="single" w:sz="8" w:space="0" w:color="000000"/>
              <w:left w:val="single" w:sz="8" w:space="0" w:color="000000"/>
              <w:bottom w:val="single" w:sz="8" w:space="0" w:color="000000"/>
              <w:right w:val="single" w:sz="8" w:space="0" w:color="000000"/>
            </w:tcBorders>
          </w:tcPr>
          <w:p w14:paraId="66ED983F" w14:textId="77777777" w:rsidR="004C11AA" w:rsidRPr="00DF4CE5" w:rsidRDefault="004C11AA" w:rsidP="004C11AA">
            <w:pPr>
              <w:spacing w:after="0" w:line="240" w:lineRule="auto"/>
              <w:ind w:left="4"/>
              <w:rPr>
                <w:rFonts w:ascii="Cambria" w:eastAsia="Times New Roman" w:hAnsi="Cambria" w:cs="Times New Roman"/>
                <w:lang w:val="hr-HR" w:eastAsia="hr-HR"/>
              </w:rPr>
            </w:pPr>
            <w:r w:rsidRPr="00DF4CE5">
              <w:rPr>
                <w:rFonts w:ascii="Cambria" w:eastAsia="Calibri" w:hAnsi="Cambria" w:cs="Calibri"/>
                <w:lang w:val="hr-HR" w:eastAsia="hr-HR"/>
              </w:rPr>
              <w:t>Maksimalni udio u ocjeni (%)</w:t>
            </w:r>
          </w:p>
        </w:tc>
      </w:tr>
      <w:tr w:rsidR="004C11AA" w:rsidRPr="00DF4CE5" w14:paraId="7A18740E" w14:textId="77777777" w:rsidTr="00E62F3F">
        <w:trPr>
          <w:trHeight w:val="305"/>
        </w:trPr>
        <w:tc>
          <w:tcPr>
            <w:tcW w:w="2538" w:type="dxa"/>
            <w:vMerge/>
            <w:tcBorders>
              <w:top w:val="nil"/>
              <w:left w:val="single" w:sz="8" w:space="0" w:color="000000"/>
              <w:bottom w:val="nil"/>
              <w:right w:val="single" w:sz="8" w:space="0" w:color="000000"/>
            </w:tcBorders>
          </w:tcPr>
          <w:p w14:paraId="6699C1DB" w14:textId="77777777" w:rsidR="004C11AA" w:rsidRPr="00DF4CE5" w:rsidRDefault="004C11AA" w:rsidP="004C11AA">
            <w:pPr>
              <w:spacing w:after="0" w:line="240" w:lineRule="auto"/>
              <w:rPr>
                <w:rFonts w:ascii="Cambria" w:eastAsia="Times New Roman" w:hAnsi="Cambria" w:cs="Times New Roman"/>
                <w:lang w:val="hr-HR" w:eastAsia="hr-HR"/>
              </w:rPr>
            </w:pPr>
          </w:p>
        </w:tc>
        <w:tc>
          <w:tcPr>
            <w:tcW w:w="2569" w:type="dxa"/>
            <w:gridSpan w:val="2"/>
            <w:tcBorders>
              <w:top w:val="single" w:sz="8" w:space="0" w:color="000000"/>
              <w:left w:val="single" w:sz="8" w:space="0" w:color="000000"/>
              <w:bottom w:val="single" w:sz="8" w:space="0" w:color="000000"/>
              <w:right w:val="single" w:sz="8" w:space="0" w:color="000000"/>
            </w:tcBorders>
          </w:tcPr>
          <w:p w14:paraId="33AEDFED" w14:textId="2869C8BE" w:rsidR="004C11AA" w:rsidRPr="00DF4CE5" w:rsidRDefault="00B31C4B" w:rsidP="004C11AA">
            <w:pPr>
              <w:spacing w:after="0" w:line="240" w:lineRule="auto"/>
              <w:ind w:left="4"/>
              <w:rPr>
                <w:rFonts w:ascii="Cambria" w:eastAsia="Times New Roman" w:hAnsi="Cambria" w:cs="Times New Roman"/>
                <w:lang w:val="hr-HR" w:eastAsia="hr-HR"/>
              </w:rPr>
            </w:pPr>
            <w:r w:rsidRPr="00DF4CE5">
              <w:rPr>
                <w:rFonts w:ascii="Cambria" w:eastAsia="Calibri" w:hAnsi="Cambria" w:cs="Calibri"/>
                <w:lang w:val="hr-HR" w:eastAsia="hr-HR"/>
              </w:rPr>
              <w:t>aktivnosti u nastavi</w:t>
            </w:r>
            <w:r w:rsidR="004C11AA" w:rsidRPr="00DF4CE5">
              <w:rPr>
                <w:rFonts w:ascii="Cambria" w:eastAsia="Calibri" w:hAnsi="Cambria" w:cs="Calibri"/>
                <w:lang w:val="hr-HR" w:eastAsia="hr-HR"/>
              </w:rPr>
              <w:t xml:space="preserve"> </w:t>
            </w:r>
            <w:r w:rsidRPr="00DF4CE5">
              <w:rPr>
                <w:rFonts w:ascii="Cambria" w:eastAsia="Calibri" w:hAnsi="Cambria" w:cs="Calibri"/>
                <w:lang w:val="hr-HR" w:eastAsia="hr-HR"/>
              </w:rPr>
              <w:t>(P, S)</w:t>
            </w:r>
          </w:p>
        </w:tc>
        <w:tc>
          <w:tcPr>
            <w:tcW w:w="1169" w:type="dxa"/>
            <w:tcBorders>
              <w:top w:val="single" w:sz="8" w:space="0" w:color="000000"/>
              <w:left w:val="single" w:sz="8" w:space="0" w:color="000000"/>
              <w:bottom w:val="single" w:sz="8" w:space="0" w:color="000000"/>
              <w:right w:val="single" w:sz="8" w:space="0" w:color="000000"/>
            </w:tcBorders>
          </w:tcPr>
          <w:p w14:paraId="56D15A1E" w14:textId="7E0AB152" w:rsidR="004C11AA" w:rsidRPr="00DF4CE5" w:rsidRDefault="004C11AA" w:rsidP="004C11AA">
            <w:pPr>
              <w:spacing w:after="0" w:line="240" w:lineRule="auto"/>
              <w:ind w:right="52"/>
              <w:jc w:val="center"/>
              <w:rPr>
                <w:rFonts w:ascii="Cambria" w:eastAsia="Times New Roman" w:hAnsi="Cambria" w:cs="Times New Roman"/>
                <w:lang w:val="hr-HR" w:eastAsia="hr-HR"/>
              </w:rPr>
            </w:pPr>
            <w:r w:rsidRPr="00DF4CE5">
              <w:rPr>
                <w:rFonts w:ascii="Cambria" w:eastAsia="Calibri" w:hAnsi="Cambria" w:cs="Calibri"/>
                <w:lang w:val="hr-HR" w:eastAsia="hr-HR"/>
              </w:rPr>
              <w:t xml:space="preserve">1. – 3. </w:t>
            </w:r>
          </w:p>
        </w:tc>
        <w:tc>
          <w:tcPr>
            <w:tcW w:w="1281" w:type="dxa"/>
            <w:gridSpan w:val="2"/>
            <w:tcBorders>
              <w:top w:val="single" w:sz="8" w:space="0" w:color="000000"/>
              <w:left w:val="single" w:sz="8" w:space="0" w:color="000000"/>
              <w:bottom w:val="single" w:sz="8" w:space="0" w:color="000000"/>
              <w:right w:val="single" w:sz="8" w:space="0" w:color="000000"/>
            </w:tcBorders>
          </w:tcPr>
          <w:p w14:paraId="387B14A1" w14:textId="77777777" w:rsidR="004C11AA" w:rsidRPr="00DF4CE5" w:rsidRDefault="004C11AA" w:rsidP="004C11AA">
            <w:pPr>
              <w:spacing w:after="0" w:line="240" w:lineRule="auto"/>
              <w:ind w:right="54"/>
              <w:jc w:val="center"/>
              <w:rPr>
                <w:rFonts w:ascii="Cambria" w:eastAsia="Times New Roman" w:hAnsi="Cambria" w:cs="Times New Roman"/>
                <w:lang w:val="hr-HR" w:eastAsia="hr-HR"/>
              </w:rPr>
            </w:pPr>
            <w:r w:rsidRPr="00DF4CE5">
              <w:rPr>
                <w:rFonts w:ascii="Cambria" w:eastAsia="Calibri" w:hAnsi="Cambria" w:cs="Calibri"/>
                <w:lang w:val="hr-HR" w:eastAsia="hr-HR"/>
              </w:rPr>
              <w:t>45</w:t>
            </w:r>
          </w:p>
        </w:tc>
        <w:tc>
          <w:tcPr>
            <w:tcW w:w="999" w:type="dxa"/>
            <w:tcBorders>
              <w:top w:val="single" w:sz="8" w:space="0" w:color="000000"/>
              <w:left w:val="single" w:sz="8" w:space="0" w:color="000000"/>
              <w:bottom w:val="single" w:sz="8" w:space="0" w:color="000000"/>
              <w:right w:val="single" w:sz="8" w:space="0" w:color="000000"/>
            </w:tcBorders>
          </w:tcPr>
          <w:p w14:paraId="64D33542" w14:textId="77777777" w:rsidR="004C11AA" w:rsidRPr="00DF4CE5" w:rsidRDefault="004C11AA" w:rsidP="004C11AA">
            <w:pPr>
              <w:spacing w:after="0" w:line="240" w:lineRule="auto"/>
              <w:ind w:right="49"/>
              <w:jc w:val="center"/>
              <w:rPr>
                <w:rFonts w:ascii="Cambria" w:eastAsia="Times New Roman" w:hAnsi="Cambria" w:cs="Times New Roman"/>
                <w:lang w:val="hr-HR" w:eastAsia="hr-HR"/>
              </w:rPr>
            </w:pPr>
            <w:r w:rsidRPr="00DF4CE5">
              <w:rPr>
                <w:rFonts w:ascii="Cambria" w:eastAsia="Calibri" w:hAnsi="Cambria" w:cs="Calibri"/>
                <w:lang w:val="hr-HR" w:eastAsia="hr-HR"/>
              </w:rPr>
              <w:t>1,5</w:t>
            </w:r>
          </w:p>
        </w:tc>
        <w:tc>
          <w:tcPr>
            <w:tcW w:w="942" w:type="dxa"/>
            <w:tcBorders>
              <w:top w:val="single" w:sz="8" w:space="0" w:color="000000"/>
              <w:left w:val="single" w:sz="8" w:space="0" w:color="000000"/>
              <w:bottom w:val="single" w:sz="8" w:space="0" w:color="000000"/>
              <w:right w:val="single" w:sz="8" w:space="0" w:color="000000"/>
            </w:tcBorders>
          </w:tcPr>
          <w:p w14:paraId="15AF1DD7" w14:textId="77777777" w:rsidR="004C11AA" w:rsidRPr="00DF4CE5" w:rsidRDefault="004C11AA" w:rsidP="004C11AA">
            <w:pPr>
              <w:spacing w:after="0" w:line="240" w:lineRule="auto"/>
              <w:ind w:right="43"/>
              <w:jc w:val="center"/>
              <w:rPr>
                <w:rFonts w:ascii="Cambria" w:eastAsia="Times New Roman" w:hAnsi="Cambria" w:cs="Times New Roman"/>
                <w:lang w:val="hr-HR" w:eastAsia="hr-HR"/>
              </w:rPr>
            </w:pPr>
            <w:r w:rsidRPr="00DF4CE5">
              <w:rPr>
                <w:rFonts w:ascii="Cambria" w:eastAsia="Calibri" w:hAnsi="Cambria" w:cs="Calibri"/>
                <w:lang w:val="hr-HR" w:eastAsia="hr-HR"/>
              </w:rPr>
              <w:t>0%</w:t>
            </w:r>
          </w:p>
        </w:tc>
      </w:tr>
      <w:tr w:rsidR="004C11AA" w:rsidRPr="00DF4CE5" w14:paraId="4C644126" w14:textId="77777777" w:rsidTr="00E62F3F">
        <w:trPr>
          <w:trHeight w:val="302"/>
        </w:trPr>
        <w:tc>
          <w:tcPr>
            <w:tcW w:w="2538" w:type="dxa"/>
            <w:vMerge/>
            <w:tcBorders>
              <w:top w:val="nil"/>
              <w:left w:val="single" w:sz="8" w:space="0" w:color="000000"/>
              <w:bottom w:val="nil"/>
              <w:right w:val="single" w:sz="8" w:space="0" w:color="000000"/>
            </w:tcBorders>
          </w:tcPr>
          <w:p w14:paraId="17292AB5" w14:textId="77777777" w:rsidR="004C11AA" w:rsidRPr="00DF4CE5" w:rsidRDefault="004C11AA" w:rsidP="004C11AA">
            <w:pPr>
              <w:spacing w:after="0" w:line="240" w:lineRule="auto"/>
              <w:rPr>
                <w:rFonts w:ascii="Cambria" w:eastAsia="Times New Roman" w:hAnsi="Cambria" w:cs="Times New Roman"/>
                <w:lang w:val="hr-HR" w:eastAsia="hr-HR"/>
              </w:rPr>
            </w:pPr>
          </w:p>
        </w:tc>
        <w:tc>
          <w:tcPr>
            <w:tcW w:w="2569" w:type="dxa"/>
            <w:gridSpan w:val="2"/>
            <w:tcBorders>
              <w:top w:val="single" w:sz="8" w:space="0" w:color="000000"/>
              <w:left w:val="single" w:sz="8" w:space="0" w:color="000000"/>
              <w:bottom w:val="single" w:sz="8" w:space="0" w:color="000000"/>
              <w:right w:val="single" w:sz="8" w:space="0" w:color="000000"/>
            </w:tcBorders>
          </w:tcPr>
          <w:p w14:paraId="215831B4" w14:textId="77777777" w:rsidR="004C11AA" w:rsidRPr="00DF4CE5" w:rsidRDefault="004C11AA" w:rsidP="004C11AA">
            <w:pPr>
              <w:spacing w:after="0" w:line="240" w:lineRule="auto"/>
              <w:rPr>
                <w:rFonts w:ascii="Cambria" w:eastAsia="Calibri" w:hAnsi="Cambria" w:cs="Times New Roman"/>
                <w:lang w:val="hr-HR" w:eastAsia="hr-HR"/>
              </w:rPr>
            </w:pPr>
            <w:r w:rsidRPr="00DF4CE5">
              <w:rPr>
                <w:rFonts w:ascii="Cambria" w:eastAsia="Calibri" w:hAnsi="Cambria" w:cs="Times New Roman"/>
                <w:lang w:val="hr-HR"/>
              </w:rPr>
              <w:t>pismeni radovi</w:t>
            </w:r>
            <w:r w:rsidRPr="00DF4CE5">
              <w:rPr>
                <w:rFonts w:ascii="Cambria" w:eastAsia="Calibri" w:hAnsi="Cambria" w:cs="Times New Roman"/>
                <w:lang w:val="hr-HR" w:eastAsia="hr-HR"/>
              </w:rPr>
              <w:t xml:space="preserve"> (seminari)</w:t>
            </w:r>
          </w:p>
        </w:tc>
        <w:tc>
          <w:tcPr>
            <w:tcW w:w="1169" w:type="dxa"/>
            <w:tcBorders>
              <w:top w:val="single" w:sz="8" w:space="0" w:color="000000"/>
              <w:left w:val="single" w:sz="8" w:space="0" w:color="000000"/>
              <w:bottom w:val="single" w:sz="8" w:space="0" w:color="000000"/>
              <w:right w:val="single" w:sz="8" w:space="0" w:color="000000"/>
            </w:tcBorders>
          </w:tcPr>
          <w:p w14:paraId="4F7798F6" w14:textId="33C4B9AD" w:rsidR="004C11AA" w:rsidRPr="00DF4CE5" w:rsidRDefault="004C11AA" w:rsidP="004C11AA">
            <w:pPr>
              <w:spacing w:after="0" w:line="240" w:lineRule="auto"/>
              <w:ind w:right="52"/>
              <w:jc w:val="center"/>
              <w:rPr>
                <w:rFonts w:ascii="Cambria" w:eastAsia="Calibri" w:hAnsi="Cambria" w:cs="Calibri"/>
                <w:lang w:val="hr-HR" w:eastAsia="hr-HR"/>
              </w:rPr>
            </w:pPr>
            <w:r w:rsidRPr="00DF4CE5">
              <w:rPr>
                <w:rFonts w:ascii="Cambria" w:eastAsia="Calibri" w:hAnsi="Cambria" w:cs="Calibri"/>
                <w:lang w:val="hr-HR" w:eastAsia="hr-HR"/>
              </w:rPr>
              <w:t>1. – 3.</w:t>
            </w:r>
          </w:p>
        </w:tc>
        <w:tc>
          <w:tcPr>
            <w:tcW w:w="1281" w:type="dxa"/>
            <w:gridSpan w:val="2"/>
            <w:tcBorders>
              <w:top w:val="single" w:sz="8" w:space="0" w:color="000000"/>
              <w:left w:val="single" w:sz="8" w:space="0" w:color="000000"/>
              <w:bottom w:val="single" w:sz="8" w:space="0" w:color="000000"/>
              <w:right w:val="single" w:sz="8" w:space="0" w:color="000000"/>
            </w:tcBorders>
          </w:tcPr>
          <w:p w14:paraId="3A33F5A7" w14:textId="77777777" w:rsidR="004C11AA" w:rsidRPr="00DF4CE5" w:rsidRDefault="004C11AA" w:rsidP="004C11AA">
            <w:pPr>
              <w:spacing w:after="0" w:line="240" w:lineRule="auto"/>
              <w:ind w:right="54"/>
              <w:jc w:val="center"/>
              <w:rPr>
                <w:rFonts w:ascii="Cambria" w:eastAsia="Calibri" w:hAnsi="Cambria" w:cs="Calibri"/>
                <w:lang w:val="hr-HR" w:eastAsia="hr-HR"/>
              </w:rPr>
            </w:pPr>
            <w:r w:rsidRPr="00DF4CE5">
              <w:rPr>
                <w:rFonts w:ascii="Cambria" w:eastAsia="Calibri" w:hAnsi="Cambria" w:cs="Calibri"/>
                <w:lang w:val="hr-HR" w:eastAsia="hr-HR"/>
              </w:rPr>
              <w:t>15</w:t>
            </w:r>
          </w:p>
        </w:tc>
        <w:tc>
          <w:tcPr>
            <w:tcW w:w="999" w:type="dxa"/>
            <w:tcBorders>
              <w:top w:val="single" w:sz="8" w:space="0" w:color="000000"/>
              <w:left w:val="single" w:sz="8" w:space="0" w:color="000000"/>
              <w:bottom w:val="single" w:sz="8" w:space="0" w:color="000000"/>
              <w:right w:val="single" w:sz="8" w:space="0" w:color="000000"/>
            </w:tcBorders>
          </w:tcPr>
          <w:p w14:paraId="7663CACD" w14:textId="77777777" w:rsidR="004C11AA" w:rsidRPr="00DF4CE5" w:rsidRDefault="004C11AA" w:rsidP="004C11AA">
            <w:pPr>
              <w:spacing w:after="0" w:line="240" w:lineRule="auto"/>
              <w:ind w:right="49"/>
              <w:jc w:val="center"/>
              <w:rPr>
                <w:rFonts w:ascii="Cambria" w:eastAsia="Calibri" w:hAnsi="Cambria" w:cs="Calibri"/>
                <w:lang w:val="hr-HR" w:eastAsia="hr-HR"/>
              </w:rPr>
            </w:pPr>
            <w:r w:rsidRPr="00DF4CE5">
              <w:rPr>
                <w:rFonts w:ascii="Cambria" w:eastAsia="Calibri" w:hAnsi="Cambria" w:cs="Calibri"/>
                <w:lang w:val="hr-HR" w:eastAsia="hr-HR"/>
              </w:rPr>
              <w:t>0,5</w:t>
            </w:r>
          </w:p>
        </w:tc>
        <w:tc>
          <w:tcPr>
            <w:tcW w:w="942" w:type="dxa"/>
            <w:tcBorders>
              <w:top w:val="single" w:sz="8" w:space="0" w:color="000000"/>
              <w:left w:val="single" w:sz="8" w:space="0" w:color="000000"/>
              <w:bottom w:val="single" w:sz="8" w:space="0" w:color="000000"/>
              <w:right w:val="single" w:sz="8" w:space="0" w:color="000000"/>
            </w:tcBorders>
          </w:tcPr>
          <w:p w14:paraId="6D681115" w14:textId="77777777" w:rsidR="004C11AA" w:rsidRPr="00DF4CE5" w:rsidRDefault="004C11AA" w:rsidP="004C11AA">
            <w:pPr>
              <w:spacing w:after="0" w:line="240" w:lineRule="auto"/>
              <w:ind w:right="43"/>
              <w:jc w:val="center"/>
              <w:rPr>
                <w:rFonts w:ascii="Cambria" w:eastAsia="Calibri" w:hAnsi="Cambria" w:cs="Calibri"/>
                <w:lang w:val="hr-HR" w:eastAsia="hr-HR"/>
              </w:rPr>
            </w:pPr>
            <w:r w:rsidRPr="00DF4CE5">
              <w:rPr>
                <w:rFonts w:ascii="Cambria" w:eastAsia="Calibri" w:hAnsi="Cambria" w:cs="Calibri"/>
                <w:lang w:val="hr-HR" w:eastAsia="hr-HR"/>
              </w:rPr>
              <w:t>20%</w:t>
            </w:r>
          </w:p>
        </w:tc>
      </w:tr>
      <w:tr w:rsidR="004C11AA" w:rsidRPr="00DF4CE5" w14:paraId="63DEEA20" w14:textId="77777777" w:rsidTr="00E62F3F">
        <w:trPr>
          <w:trHeight w:val="302"/>
        </w:trPr>
        <w:tc>
          <w:tcPr>
            <w:tcW w:w="2538" w:type="dxa"/>
            <w:vMerge/>
            <w:tcBorders>
              <w:top w:val="nil"/>
              <w:left w:val="single" w:sz="8" w:space="0" w:color="000000"/>
              <w:bottom w:val="nil"/>
              <w:right w:val="single" w:sz="8" w:space="0" w:color="000000"/>
            </w:tcBorders>
          </w:tcPr>
          <w:p w14:paraId="3D2425A6" w14:textId="77777777" w:rsidR="004C11AA" w:rsidRPr="00DF4CE5" w:rsidRDefault="004C11AA" w:rsidP="004C11AA">
            <w:pPr>
              <w:spacing w:after="0" w:line="240" w:lineRule="auto"/>
              <w:rPr>
                <w:rFonts w:ascii="Cambria" w:eastAsia="Times New Roman" w:hAnsi="Cambria" w:cs="Times New Roman"/>
                <w:lang w:val="hr-HR" w:eastAsia="hr-HR"/>
              </w:rPr>
            </w:pPr>
          </w:p>
        </w:tc>
        <w:tc>
          <w:tcPr>
            <w:tcW w:w="2569" w:type="dxa"/>
            <w:gridSpan w:val="2"/>
            <w:tcBorders>
              <w:top w:val="single" w:sz="8" w:space="0" w:color="000000"/>
              <w:left w:val="single" w:sz="8" w:space="0" w:color="000000"/>
              <w:bottom w:val="single" w:sz="8" w:space="0" w:color="000000"/>
              <w:right w:val="single" w:sz="8" w:space="0" w:color="000000"/>
            </w:tcBorders>
          </w:tcPr>
          <w:p w14:paraId="2EC518CA" w14:textId="77777777" w:rsidR="004C11AA" w:rsidRPr="00DF4CE5" w:rsidRDefault="004C11AA" w:rsidP="004C11AA">
            <w:pPr>
              <w:spacing w:after="0" w:line="240" w:lineRule="auto"/>
              <w:ind w:left="4"/>
              <w:rPr>
                <w:rFonts w:ascii="Cambria" w:eastAsia="Times New Roman" w:hAnsi="Cambria" w:cs="Times New Roman"/>
                <w:lang w:val="hr-HR" w:eastAsia="hr-HR"/>
              </w:rPr>
            </w:pPr>
            <w:r w:rsidRPr="00DF4CE5">
              <w:rPr>
                <w:rFonts w:ascii="Cambria" w:eastAsia="Times New Roman" w:hAnsi="Cambria" w:cs="Times New Roman"/>
                <w:lang w:val="hr-HR" w:eastAsia="hr-HR"/>
              </w:rPr>
              <w:t>usmena izlaganja seminara</w:t>
            </w:r>
          </w:p>
        </w:tc>
        <w:tc>
          <w:tcPr>
            <w:tcW w:w="1169" w:type="dxa"/>
            <w:tcBorders>
              <w:top w:val="single" w:sz="8" w:space="0" w:color="000000"/>
              <w:left w:val="single" w:sz="8" w:space="0" w:color="000000"/>
              <w:bottom w:val="single" w:sz="8" w:space="0" w:color="000000"/>
              <w:right w:val="single" w:sz="8" w:space="0" w:color="000000"/>
            </w:tcBorders>
          </w:tcPr>
          <w:p w14:paraId="5A54BBCC" w14:textId="1FBD225E" w:rsidR="004C11AA" w:rsidRPr="00DF4CE5" w:rsidRDefault="004C11AA" w:rsidP="004C11AA">
            <w:pPr>
              <w:spacing w:after="0" w:line="240" w:lineRule="auto"/>
              <w:ind w:right="52"/>
              <w:jc w:val="center"/>
              <w:rPr>
                <w:rFonts w:ascii="Cambria" w:eastAsia="Times New Roman" w:hAnsi="Cambria" w:cs="Times New Roman"/>
                <w:lang w:val="hr-HR" w:eastAsia="hr-HR"/>
              </w:rPr>
            </w:pPr>
            <w:r w:rsidRPr="00DF4CE5">
              <w:rPr>
                <w:rFonts w:ascii="Cambria" w:eastAsia="Calibri" w:hAnsi="Cambria" w:cs="Calibri"/>
                <w:lang w:val="hr-HR" w:eastAsia="hr-HR"/>
              </w:rPr>
              <w:t>1. – 3.</w:t>
            </w:r>
          </w:p>
        </w:tc>
        <w:tc>
          <w:tcPr>
            <w:tcW w:w="1281" w:type="dxa"/>
            <w:gridSpan w:val="2"/>
            <w:tcBorders>
              <w:top w:val="single" w:sz="8" w:space="0" w:color="000000"/>
              <w:left w:val="single" w:sz="8" w:space="0" w:color="000000"/>
              <w:bottom w:val="single" w:sz="8" w:space="0" w:color="000000"/>
              <w:right w:val="single" w:sz="8" w:space="0" w:color="000000"/>
            </w:tcBorders>
          </w:tcPr>
          <w:p w14:paraId="7FB566B5" w14:textId="77777777" w:rsidR="004C11AA" w:rsidRPr="00DF4CE5" w:rsidRDefault="004C11AA" w:rsidP="004C11AA">
            <w:pPr>
              <w:spacing w:after="0" w:line="240" w:lineRule="auto"/>
              <w:ind w:right="54"/>
              <w:jc w:val="center"/>
              <w:rPr>
                <w:rFonts w:ascii="Cambria" w:eastAsia="Times New Roman" w:hAnsi="Cambria" w:cs="Times New Roman"/>
                <w:lang w:val="hr-HR" w:eastAsia="hr-HR"/>
              </w:rPr>
            </w:pPr>
            <w:r w:rsidRPr="00DF4CE5">
              <w:rPr>
                <w:rFonts w:ascii="Cambria" w:eastAsia="Times New Roman" w:hAnsi="Cambria" w:cs="Times New Roman"/>
                <w:lang w:val="hr-HR" w:eastAsia="hr-HR"/>
              </w:rPr>
              <w:t>15</w:t>
            </w:r>
          </w:p>
        </w:tc>
        <w:tc>
          <w:tcPr>
            <w:tcW w:w="999" w:type="dxa"/>
            <w:tcBorders>
              <w:top w:val="single" w:sz="8" w:space="0" w:color="000000"/>
              <w:left w:val="single" w:sz="8" w:space="0" w:color="000000"/>
              <w:bottom w:val="single" w:sz="8" w:space="0" w:color="000000"/>
              <w:right w:val="single" w:sz="8" w:space="0" w:color="000000"/>
            </w:tcBorders>
          </w:tcPr>
          <w:p w14:paraId="6D3239A5" w14:textId="77777777" w:rsidR="004C11AA" w:rsidRPr="00DF4CE5" w:rsidRDefault="004C11AA" w:rsidP="004C11AA">
            <w:pPr>
              <w:spacing w:after="0" w:line="240" w:lineRule="auto"/>
              <w:ind w:right="49"/>
              <w:jc w:val="center"/>
              <w:rPr>
                <w:rFonts w:ascii="Cambria" w:eastAsia="Times New Roman" w:hAnsi="Cambria" w:cs="Times New Roman"/>
                <w:lang w:val="hr-HR" w:eastAsia="hr-HR"/>
              </w:rPr>
            </w:pPr>
            <w:r w:rsidRPr="00DF4CE5">
              <w:rPr>
                <w:rFonts w:ascii="Cambria" w:eastAsia="Times New Roman" w:hAnsi="Cambria" w:cs="Times New Roman"/>
                <w:lang w:val="hr-HR" w:eastAsia="hr-HR"/>
              </w:rPr>
              <w:t>0,5</w:t>
            </w:r>
          </w:p>
        </w:tc>
        <w:tc>
          <w:tcPr>
            <w:tcW w:w="942" w:type="dxa"/>
            <w:tcBorders>
              <w:top w:val="single" w:sz="8" w:space="0" w:color="000000"/>
              <w:left w:val="single" w:sz="8" w:space="0" w:color="000000"/>
              <w:bottom w:val="single" w:sz="8" w:space="0" w:color="000000"/>
              <w:right w:val="single" w:sz="8" w:space="0" w:color="000000"/>
            </w:tcBorders>
          </w:tcPr>
          <w:p w14:paraId="3ADA4D94" w14:textId="77777777" w:rsidR="004C11AA" w:rsidRPr="00DF4CE5" w:rsidRDefault="004C11AA" w:rsidP="004C11AA">
            <w:pPr>
              <w:spacing w:after="0" w:line="240" w:lineRule="auto"/>
              <w:ind w:right="43"/>
              <w:jc w:val="center"/>
              <w:rPr>
                <w:rFonts w:ascii="Cambria" w:eastAsia="Times New Roman" w:hAnsi="Cambria" w:cs="Times New Roman"/>
                <w:lang w:val="hr-HR" w:eastAsia="hr-HR"/>
              </w:rPr>
            </w:pPr>
            <w:r w:rsidRPr="00DF4CE5">
              <w:rPr>
                <w:rFonts w:ascii="Cambria" w:eastAsia="Times New Roman" w:hAnsi="Cambria" w:cs="Times New Roman"/>
                <w:lang w:val="hr-HR" w:eastAsia="hr-HR"/>
              </w:rPr>
              <w:t>20%</w:t>
            </w:r>
          </w:p>
        </w:tc>
      </w:tr>
      <w:tr w:rsidR="004C11AA" w:rsidRPr="00DF4CE5" w14:paraId="0D2D41B6" w14:textId="77777777" w:rsidTr="00E62F3F">
        <w:tblPrEx>
          <w:tblCellMar>
            <w:top w:w="56" w:type="dxa"/>
            <w:left w:w="111" w:type="dxa"/>
            <w:right w:w="44" w:type="dxa"/>
          </w:tblCellMar>
        </w:tblPrEx>
        <w:trPr>
          <w:trHeight w:val="290"/>
        </w:trPr>
        <w:tc>
          <w:tcPr>
            <w:tcW w:w="2538" w:type="dxa"/>
            <w:tcBorders>
              <w:top w:val="nil"/>
              <w:left w:val="single" w:sz="8" w:space="0" w:color="000000"/>
              <w:bottom w:val="nil"/>
              <w:right w:val="single" w:sz="8" w:space="0" w:color="000000"/>
            </w:tcBorders>
            <w:shd w:val="clear" w:color="auto" w:fill="F3F3F3"/>
          </w:tcPr>
          <w:p w14:paraId="79C8B2C6" w14:textId="77777777" w:rsidR="004C11AA" w:rsidRPr="00DF4CE5" w:rsidRDefault="004C11AA" w:rsidP="004C11AA">
            <w:pPr>
              <w:spacing w:after="0" w:line="240" w:lineRule="auto"/>
              <w:rPr>
                <w:rFonts w:ascii="Cambria" w:eastAsia="Times New Roman" w:hAnsi="Cambria" w:cs="Times New Roman"/>
                <w:lang w:val="hr-HR" w:eastAsia="hr-HR"/>
              </w:rPr>
            </w:pPr>
          </w:p>
        </w:tc>
        <w:tc>
          <w:tcPr>
            <w:tcW w:w="2569" w:type="dxa"/>
            <w:gridSpan w:val="2"/>
            <w:tcBorders>
              <w:top w:val="single" w:sz="8" w:space="0" w:color="000000"/>
              <w:left w:val="single" w:sz="8" w:space="0" w:color="000000"/>
              <w:bottom w:val="single" w:sz="8" w:space="0" w:color="000000"/>
              <w:right w:val="single" w:sz="8" w:space="0" w:color="000000"/>
            </w:tcBorders>
          </w:tcPr>
          <w:p w14:paraId="237F5E60" w14:textId="77777777" w:rsidR="004C11AA" w:rsidRPr="00DF4CE5" w:rsidRDefault="004C11AA" w:rsidP="004C11AA">
            <w:pPr>
              <w:spacing w:after="0" w:line="240" w:lineRule="auto"/>
              <w:rPr>
                <w:rFonts w:ascii="Cambria" w:eastAsia="Times New Roman" w:hAnsi="Cambria" w:cs="Times New Roman"/>
                <w:lang w:val="hr-HR" w:eastAsia="hr-HR"/>
              </w:rPr>
            </w:pPr>
            <w:r w:rsidRPr="00DF4CE5">
              <w:rPr>
                <w:rFonts w:ascii="Cambria" w:eastAsia="Calibri" w:hAnsi="Cambria" w:cs="Calibri"/>
                <w:lang w:val="hr-HR" w:eastAsia="hr-HR"/>
              </w:rPr>
              <w:t xml:space="preserve">kolokviji/pismeni ispit </w:t>
            </w:r>
          </w:p>
        </w:tc>
        <w:tc>
          <w:tcPr>
            <w:tcW w:w="1169" w:type="dxa"/>
            <w:tcBorders>
              <w:top w:val="single" w:sz="8" w:space="0" w:color="000000"/>
              <w:left w:val="single" w:sz="8" w:space="0" w:color="000000"/>
              <w:bottom w:val="single" w:sz="8" w:space="0" w:color="000000"/>
              <w:right w:val="single" w:sz="8" w:space="0" w:color="000000"/>
            </w:tcBorders>
          </w:tcPr>
          <w:p w14:paraId="685459DF" w14:textId="5974E11D" w:rsidR="004C11AA" w:rsidRPr="00DF4CE5" w:rsidRDefault="004C11AA" w:rsidP="004C11AA">
            <w:pPr>
              <w:spacing w:after="0" w:line="240" w:lineRule="auto"/>
              <w:ind w:right="51"/>
              <w:jc w:val="center"/>
              <w:rPr>
                <w:rFonts w:ascii="Cambria" w:eastAsia="Times New Roman" w:hAnsi="Cambria" w:cs="Times New Roman"/>
                <w:lang w:val="hr-HR" w:eastAsia="hr-HR"/>
              </w:rPr>
            </w:pPr>
            <w:r w:rsidRPr="00DF4CE5">
              <w:rPr>
                <w:rFonts w:ascii="Cambria" w:eastAsia="Calibri" w:hAnsi="Cambria" w:cs="Calibri"/>
                <w:lang w:val="hr-HR" w:eastAsia="hr-HR"/>
              </w:rPr>
              <w:t>1. – 3.</w:t>
            </w:r>
          </w:p>
        </w:tc>
        <w:tc>
          <w:tcPr>
            <w:tcW w:w="1281" w:type="dxa"/>
            <w:gridSpan w:val="2"/>
            <w:tcBorders>
              <w:top w:val="single" w:sz="8" w:space="0" w:color="000000"/>
              <w:left w:val="single" w:sz="8" w:space="0" w:color="000000"/>
              <w:bottom w:val="single" w:sz="8" w:space="0" w:color="000000"/>
              <w:right w:val="single" w:sz="8" w:space="0" w:color="000000"/>
            </w:tcBorders>
          </w:tcPr>
          <w:p w14:paraId="0708A76B" w14:textId="77777777" w:rsidR="004C11AA" w:rsidRPr="00DF4CE5" w:rsidRDefault="004C11AA" w:rsidP="004C11AA">
            <w:pPr>
              <w:spacing w:after="0" w:line="240" w:lineRule="auto"/>
              <w:ind w:right="53"/>
              <w:jc w:val="center"/>
              <w:rPr>
                <w:rFonts w:ascii="Cambria" w:eastAsia="Times New Roman" w:hAnsi="Cambria" w:cs="Times New Roman"/>
                <w:lang w:val="hr-HR" w:eastAsia="hr-HR"/>
              </w:rPr>
            </w:pPr>
            <w:r w:rsidRPr="00DF4CE5">
              <w:rPr>
                <w:rFonts w:ascii="Cambria" w:eastAsia="Calibri" w:hAnsi="Cambria" w:cs="Calibri"/>
                <w:lang w:val="hr-HR" w:eastAsia="hr-HR"/>
              </w:rPr>
              <w:t>50</w:t>
            </w:r>
          </w:p>
        </w:tc>
        <w:tc>
          <w:tcPr>
            <w:tcW w:w="999" w:type="dxa"/>
            <w:tcBorders>
              <w:top w:val="single" w:sz="8" w:space="0" w:color="000000"/>
              <w:left w:val="single" w:sz="8" w:space="0" w:color="000000"/>
              <w:bottom w:val="single" w:sz="8" w:space="0" w:color="000000"/>
              <w:right w:val="single" w:sz="8" w:space="0" w:color="000000"/>
            </w:tcBorders>
          </w:tcPr>
          <w:p w14:paraId="720B5A75" w14:textId="77777777" w:rsidR="004C11AA" w:rsidRPr="00DF4CE5" w:rsidRDefault="004C11AA" w:rsidP="004C11AA">
            <w:pPr>
              <w:spacing w:after="0" w:line="240" w:lineRule="auto"/>
              <w:ind w:right="48"/>
              <w:jc w:val="center"/>
              <w:rPr>
                <w:rFonts w:ascii="Cambria" w:eastAsia="Times New Roman" w:hAnsi="Cambria" w:cs="Times New Roman"/>
                <w:lang w:val="hr-HR" w:eastAsia="hr-HR"/>
              </w:rPr>
            </w:pPr>
            <w:r w:rsidRPr="00DF4CE5">
              <w:rPr>
                <w:rFonts w:ascii="Cambria" w:eastAsia="Calibri" w:hAnsi="Cambria" w:cs="Calibri"/>
                <w:lang w:val="hr-HR" w:eastAsia="hr-HR"/>
              </w:rPr>
              <w:t>1,7</w:t>
            </w:r>
          </w:p>
        </w:tc>
        <w:tc>
          <w:tcPr>
            <w:tcW w:w="942" w:type="dxa"/>
            <w:tcBorders>
              <w:top w:val="single" w:sz="8" w:space="0" w:color="000000"/>
              <w:left w:val="single" w:sz="8" w:space="0" w:color="000000"/>
              <w:bottom w:val="single" w:sz="8" w:space="0" w:color="000000"/>
              <w:right w:val="single" w:sz="8" w:space="0" w:color="000000"/>
            </w:tcBorders>
          </w:tcPr>
          <w:p w14:paraId="389A2940" w14:textId="77777777" w:rsidR="004C11AA" w:rsidRPr="00DF4CE5" w:rsidRDefault="004C11AA" w:rsidP="004C11AA">
            <w:pPr>
              <w:spacing w:after="0" w:line="240" w:lineRule="auto"/>
              <w:ind w:right="45"/>
              <w:jc w:val="center"/>
              <w:rPr>
                <w:rFonts w:ascii="Cambria" w:eastAsia="Times New Roman" w:hAnsi="Cambria" w:cs="Times New Roman"/>
                <w:lang w:val="hr-HR" w:eastAsia="hr-HR"/>
              </w:rPr>
            </w:pPr>
            <w:r w:rsidRPr="00DF4CE5">
              <w:rPr>
                <w:rFonts w:ascii="Cambria" w:eastAsia="Calibri" w:hAnsi="Cambria" w:cs="Calibri"/>
                <w:lang w:val="hr-HR" w:eastAsia="hr-HR"/>
              </w:rPr>
              <w:t>30%</w:t>
            </w:r>
          </w:p>
        </w:tc>
      </w:tr>
      <w:tr w:rsidR="001222A9" w:rsidRPr="00DF4CE5" w14:paraId="66119B35" w14:textId="77777777" w:rsidTr="00E62F3F">
        <w:tblPrEx>
          <w:tblCellMar>
            <w:top w:w="56" w:type="dxa"/>
            <w:left w:w="111" w:type="dxa"/>
            <w:right w:w="44" w:type="dxa"/>
          </w:tblCellMar>
        </w:tblPrEx>
        <w:trPr>
          <w:trHeight w:val="290"/>
        </w:trPr>
        <w:tc>
          <w:tcPr>
            <w:tcW w:w="2538" w:type="dxa"/>
            <w:vMerge w:val="restart"/>
            <w:tcBorders>
              <w:top w:val="nil"/>
              <w:left w:val="single" w:sz="8" w:space="0" w:color="000000"/>
              <w:right w:val="single" w:sz="8" w:space="0" w:color="000000"/>
            </w:tcBorders>
            <w:shd w:val="clear" w:color="auto" w:fill="F3F3F3"/>
          </w:tcPr>
          <w:p w14:paraId="1C3EA535" w14:textId="77777777" w:rsidR="001222A9" w:rsidRPr="00DF4CE5" w:rsidRDefault="001222A9" w:rsidP="004C11AA">
            <w:pPr>
              <w:spacing w:after="0" w:line="240" w:lineRule="auto"/>
              <w:rPr>
                <w:rFonts w:ascii="Cambria" w:eastAsia="Times New Roman" w:hAnsi="Cambria" w:cs="Times New Roman"/>
                <w:lang w:val="hr-HR" w:eastAsia="hr-HR"/>
              </w:rPr>
            </w:pPr>
          </w:p>
        </w:tc>
        <w:tc>
          <w:tcPr>
            <w:tcW w:w="2569" w:type="dxa"/>
            <w:gridSpan w:val="2"/>
            <w:tcBorders>
              <w:top w:val="single" w:sz="8" w:space="0" w:color="000000"/>
              <w:left w:val="single" w:sz="8" w:space="0" w:color="000000"/>
              <w:bottom w:val="single" w:sz="8" w:space="0" w:color="000000"/>
              <w:right w:val="single" w:sz="8" w:space="0" w:color="000000"/>
            </w:tcBorders>
          </w:tcPr>
          <w:p w14:paraId="2A549DAC" w14:textId="77777777" w:rsidR="001222A9" w:rsidRPr="00DF4CE5" w:rsidRDefault="001222A9" w:rsidP="004C11AA">
            <w:pPr>
              <w:spacing w:after="0" w:line="240" w:lineRule="auto"/>
              <w:rPr>
                <w:rFonts w:ascii="Cambria" w:eastAsia="Calibri" w:hAnsi="Cambria" w:cs="Calibri"/>
                <w:lang w:val="hr-HR" w:eastAsia="hr-HR"/>
              </w:rPr>
            </w:pPr>
            <w:r w:rsidRPr="00DF4CE5">
              <w:rPr>
                <w:rFonts w:ascii="Cambria" w:eastAsia="Calibri" w:hAnsi="Cambria" w:cs="Calibri"/>
                <w:lang w:val="hr-HR" w:eastAsia="hr-HR"/>
              </w:rPr>
              <w:t>usmeni ispit</w:t>
            </w:r>
          </w:p>
        </w:tc>
        <w:tc>
          <w:tcPr>
            <w:tcW w:w="1169" w:type="dxa"/>
            <w:tcBorders>
              <w:top w:val="single" w:sz="8" w:space="0" w:color="000000"/>
              <w:left w:val="single" w:sz="8" w:space="0" w:color="000000"/>
              <w:bottom w:val="single" w:sz="8" w:space="0" w:color="000000"/>
              <w:right w:val="single" w:sz="8" w:space="0" w:color="000000"/>
            </w:tcBorders>
          </w:tcPr>
          <w:p w14:paraId="0B31AAE7" w14:textId="670F005C" w:rsidR="001222A9" w:rsidRPr="00DF4CE5" w:rsidRDefault="001222A9" w:rsidP="004C11AA">
            <w:pPr>
              <w:spacing w:after="0" w:line="240" w:lineRule="auto"/>
              <w:ind w:right="51"/>
              <w:jc w:val="center"/>
              <w:rPr>
                <w:rFonts w:ascii="Cambria" w:eastAsia="Calibri" w:hAnsi="Cambria" w:cs="Calibri"/>
                <w:lang w:val="hr-HR" w:eastAsia="hr-HR"/>
              </w:rPr>
            </w:pPr>
            <w:r w:rsidRPr="00DF4CE5">
              <w:rPr>
                <w:rFonts w:ascii="Cambria" w:eastAsia="Calibri" w:hAnsi="Cambria" w:cs="Calibri"/>
                <w:lang w:val="hr-HR" w:eastAsia="hr-HR"/>
              </w:rPr>
              <w:t>1. – 3.</w:t>
            </w:r>
          </w:p>
        </w:tc>
        <w:tc>
          <w:tcPr>
            <w:tcW w:w="1281" w:type="dxa"/>
            <w:gridSpan w:val="2"/>
            <w:tcBorders>
              <w:top w:val="single" w:sz="8" w:space="0" w:color="000000"/>
              <w:left w:val="single" w:sz="8" w:space="0" w:color="000000"/>
              <w:bottom w:val="single" w:sz="8" w:space="0" w:color="000000"/>
              <w:right w:val="single" w:sz="8" w:space="0" w:color="000000"/>
            </w:tcBorders>
          </w:tcPr>
          <w:p w14:paraId="0B76041D" w14:textId="77777777" w:rsidR="001222A9" w:rsidRPr="00DF4CE5" w:rsidRDefault="001222A9" w:rsidP="004C11AA">
            <w:pPr>
              <w:spacing w:after="0" w:line="240" w:lineRule="auto"/>
              <w:ind w:right="53"/>
              <w:jc w:val="center"/>
              <w:rPr>
                <w:rFonts w:ascii="Cambria" w:eastAsia="Calibri" w:hAnsi="Cambria" w:cs="Calibri"/>
                <w:lang w:val="hr-HR" w:eastAsia="hr-HR"/>
              </w:rPr>
            </w:pPr>
            <w:r w:rsidRPr="00DF4CE5">
              <w:rPr>
                <w:rFonts w:ascii="Cambria" w:eastAsia="Calibri" w:hAnsi="Cambria" w:cs="Calibri"/>
                <w:lang w:val="hr-HR" w:eastAsia="hr-HR"/>
              </w:rPr>
              <w:t>25</w:t>
            </w:r>
          </w:p>
        </w:tc>
        <w:tc>
          <w:tcPr>
            <w:tcW w:w="999" w:type="dxa"/>
            <w:tcBorders>
              <w:top w:val="single" w:sz="8" w:space="0" w:color="000000"/>
              <w:left w:val="single" w:sz="8" w:space="0" w:color="000000"/>
              <w:bottom w:val="single" w:sz="8" w:space="0" w:color="000000"/>
              <w:right w:val="single" w:sz="8" w:space="0" w:color="000000"/>
            </w:tcBorders>
          </w:tcPr>
          <w:p w14:paraId="498875BF" w14:textId="77777777" w:rsidR="001222A9" w:rsidRPr="00DF4CE5" w:rsidRDefault="001222A9" w:rsidP="004C11AA">
            <w:pPr>
              <w:spacing w:after="0" w:line="240" w:lineRule="auto"/>
              <w:ind w:right="48"/>
              <w:jc w:val="center"/>
              <w:rPr>
                <w:rFonts w:ascii="Cambria" w:eastAsia="Calibri" w:hAnsi="Cambria" w:cs="Calibri"/>
                <w:lang w:val="hr-HR" w:eastAsia="hr-HR"/>
              </w:rPr>
            </w:pPr>
            <w:r w:rsidRPr="00DF4CE5">
              <w:rPr>
                <w:rFonts w:ascii="Cambria" w:eastAsia="Calibri" w:hAnsi="Cambria" w:cs="Calibri"/>
                <w:lang w:val="hr-HR" w:eastAsia="hr-HR"/>
              </w:rPr>
              <w:t>0,8</w:t>
            </w:r>
          </w:p>
        </w:tc>
        <w:tc>
          <w:tcPr>
            <w:tcW w:w="942" w:type="dxa"/>
            <w:tcBorders>
              <w:top w:val="single" w:sz="8" w:space="0" w:color="000000"/>
              <w:left w:val="single" w:sz="8" w:space="0" w:color="000000"/>
              <w:bottom w:val="single" w:sz="8" w:space="0" w:color="000000"/>
              <w:right w:val="single" w:sz="8" w:space="0" w:color="000000"/>
            </w:tcBorders>
          </w:tcPr>
          <w:p w14:paraId="1319F67B" w14:textId="77777777" w:rsidR="001222A9" w:rsidRPr="00DF4CE5" w:rsidRDefault="001222A9" w:rsidP="004C11AA">
            <w:pPr>
              <w:spacing w:after="0" w:line="240" w:lineRule="auto"/>
              <w:ind w:right="45"/>
              <w:jc w:val="center"/>
              <w:rPr>
                <w:rFonts w:ascii="Cambria" w:eastAsia="Calibri" w:hAnsi="Cambria" w:cs="Calibri"/>
                <w:lang w:val="hr-HR" w:eastAsia="hr-HR"/>
              </w:rPr>
            </w:pPr>
            <w:r w:rsidRPr="00DF4CE5">
              <w:rPr>
                <w:rFonts w:ascii="Cambria" w:eastAsia="Calibri" w:hAnsi="Cambria" w:cs="Calibri"/>
                <w:lang w:val="hr-HR" w:eastAsia="hr-HR"/>
              </w:rPr>
              <w:t>30%</w:t>
            </w:r>
          </w:p>
        </w:tc>
      </w:tr>
      <w:tr w:rsidR="001222A9" w:rsidRPr="00DF4CE5" w14:paraId="2D39D403" w14:textId="77777777" w:rsidTr="00E62F3F">
        <w:tblPrEx>
          <w:tblCellMar>
            <w:top w:w="56" w:type="dxa"/>
            <w:left w:w="111" w:type="dxa"/>
            <w:right w:w="44" w:type="dxa"/>
          </w:tblCellMar>
        </w:tblPrEx>
        <w:trPr>
          <w:trHeight w:val="304"/>
        </w:trPr>
        <w:tc>
          <w:tcPr>
            <w:tcW w:w="2538" w:type="dxa"/>
            <w:vMerge/>
            <w:tcBorders>
              <w:left w:val="single" w:sz="8" w:space="0" w:color="000000"/>
              <w:right w:val="single" w:sz="8" w:space="0" w:color="000000"/>
            </w:tcBorders>
            <w:shd w:val="clear" w:color="auto" w:fill="F3F3F3"/>
          </w:tcPr>
          <w:p w14:paraId="4C7C27E1" w14:textId="77777777" w:rsidR="001222A9" w:rsidRPr="00DF4CE5" w:rsidRDefault="001222A9" w:rsidP="004C11AA">
            <w:pPr>
              <w:spacing w:after="0" w:line="240" w:lineRule="auto"/>
              <w:rPr>
                <w:rFonts w:ascii="Cambria" w:eastAsia="Times New Roman" w:hAnsi="Cambria" w:cs="Times New Roman"/>
                <w:lang w:val="hr-HR" w:eastAsia="hr-HR"/>
              </w:rPr>
            </w:pPr>
          </w:p>
        </w:tc>
        <w:tc>
          <w:tcPr>
            <w:tcW w:w="3738" w:type="dxa"/>
            <w:gridSpan w:val="3"/>
            <w:tcBorders>
              <w:top w:val="single" w:sz="8" w:space="0" w:color="000000"/>
              <w:left w:val="single" w:sz="8" w:space="0" w:color="000000"/>
              <w:bottom w:val="single" w:sz="8" w:space="0" w:color="000000"/>
              <w:right w:val="single" w:sz="8" w:space="0" w:color="000000"/>
            </w:tcBorders>
          </w:tcPr>
          <w:p w14:paraId="5212C498" w14:textId="77777777" w:rsidR="001222A9" w:rsidRPr="00DF4CE5" w:rsidRDefault="001222A9" w:rsidP="004C11AA">
            <w:pPr>
              <w:spacing w:after="0" w:line="240" w:lineRule="auto"/>
              <w:rPr>
                <w:rFonts w:ascii="Cambria" w:eastAsia="Times New Roman" w:hAnsi="Cambria" w:cs="Times New Roman"/>
                <w:lang w:val="hr-HR" w:eastAsia="hr-HR"/>
              </w:rPr>
            </w:pPr>
            <w:r w:rsidRPr="00DF4CE5">
              <w:rPr>
                <w:rFonts w:ascii="Cambria" w:eastAsia="Calibri" w:hAnsi="Cambria" w:cs="Calibri"/>
                <w:lang w:val="hr-HR" w:eastAsia="hr-HR"/>
              </w:rPr>
              <w:t xml:space="preserve">ukupno  </w:t>
            </w:r>
          </w:p>
        </w:tc>
        <w:tc>
          <w:tcPr>
            <w:tcW w:w="1281" w:type="dxa"/>
            <w:gridSpan w:val="2"/>
            <w:tcBorders>
              <w:top w:val="single" w:sz="8" w:space="0" w:color="000000"/>
              <w:left w:val="single" w:sz="8" w:space="0" w:color="000000"/>
              <w:bottom w:val="single" w:sz="8" w:space="0" w:color="000000"/>
              <w:right w:val="single" w:sz="8" w:space="0" w:color="000000"/>
            </w:tcBorders>
          </w:tcPr>
          <w:p w14:paraId="350CDD9A" w14:textId="77777777" w:rsidR="001222A9" w:rsidRPr="00DF4CE5" w:rsidRDefault="001222A9" w:rsidP="004C11AA">
            <w:pPr>
              <w:spacing w:after="0" w:line="240" w:lineRule="auto"/>
              <w:ind w:left="69"/>
              <w:jc w:val="center"/>
              <w:rPr>
                <w:rFonts w:ascii="Cambria" w:eastAsia="Times New Roman" w:hAnsi="Cambria" w:cs="Times New Roman"/>
                <w:lang w:val="hr-HR" w:eastAsia="hr-HR"/>
              </w:rPr>
            </w:pPr>
            <w:r w:rsidRPr="00DF4CE5">
              <w:rPr>
                <w:rFonts w:ascii="Cambria" w:eastAsia="Calibri" w:hAnsi="Cambria" w:cs="Calibri"/>
                <w:lang w:val="hr-HR" w:eastAsia="hr-HR"/>
              </w:rPr>
              <w:t>150</w:t>
            </w:r>
          </w:p>
        </w:tc>
        <w:tc>
          <w:tcPr>
            <w:tcW w:w="999" w:type="dxa"/>
            <w:tcBorders>
              <w:top w:val="single" w:sz="8" w:space="0" w:color="000000"/>
              <w:left w:val="single" w:sz="8" w:space="0" w:color="000000"/>
              <w:bottom w:val="single" w:sz="8" w:space="0" w:color="000000"/>
              <w:right w:val="single" w:sz="8" w:space="0" w:color="000000"/>
            </w:tcBorders>
          </w:tcPr>
          <w:p w14:paraId="499E2361" w14:textId="77777777" w:rsidR="001222A9" w:rsidRPr="00DF4CE5" w:rsidRDefault="001222A9" w:rsidP="004C11AA">
            <w:pPr>
              <w:spacing w:after="0" w:line="240" w:lineRule="auto"/>
              <w:ind w:right="48"/>
              <w:jc w:val="center"/>
              <w:rPr>
                <w:rFonts w:ascii="Cambria" w:eastAsia="Times New Roman" w:hAnsi="Cambria" w:cs="Times New Roman"/>
                <w:lang w:val="hr-HR" w:eastAsia="hr-HR"/>
              </w:rPr>
            </w:pPr>
            <w:r w:rsidRPr="00DF4CE5">
              <w:rPr>
                <w:rFonts w:ascii="Cambria" w:eastAsia="Calibri" w:hAnsi="Cambria" w:cs="Calibri"/>
                <w:lang w:val="hr-HR" w:eastAsia="hr-HR"/>
              </w:rPr>
              <w:t>5</w:t>
            </w:r>
          </w:p>
        </w:tc>
        <w:tc>
          <w:tcPr>
            <w:tcW w:w="942" w:type="dxa"/>
            <w:tcBorders>
              <w:top w:val="single" w:sz="8" w:space="0" w:color="000000"/>
              <w:left w:val="single" w:sz="8" w:space="0" w:color="000000"/>
              <w:bottom w:val="single" w:sz="8" w:space="0" w:color="000000"/>
              <w:right w:val="single" w:sz="8" w:space="0" w:color="000000"/>
            </w:tcBorders>
          </w:tcPr>
          <w:p w14:paraId="52C01030" w14:textId="77777777" w:rsidR="001222A9" w:rsidRPr="00DF4CE5" w:rsidRDefault="001222A9" w:rsidP="004C11AA">
            <w:pPr>
              <w:spacing w:after="0" w:line="240" w:lineRule="auto"/>
              <w:ind w:right="48"/>
              <w:jc w:val="center"/>
              <w:rPr>
                <w:rFonts w:ascii="Cambria" w:eastAsia="Times New Roman" w:hAnsi="Cambria" w:cs="Times New Roman"/>
                <w:lang w:val="hr-HR" w:eastAsia="hr-HR"/>
              </w:rPr>
            </w:pPr>
            <w:r w:rsidRPr="00DF4CE5">
              <w:rPr>
                <w:rFonts w:ascii="Cambria" w:eastAsia="Calibri" w:hAnsi="Cambria" w:cs="Calibri"/>
                <w:lang w:val="hr-HR" w:eastAsia="hr-HR"/>
              </w:rPr>
              <w:t>100%</w:t>
            </w:r>
          </w:p>
        </w:tc>
      </w:tr>
      <w:tr w:rsidR="001222A9" w:rsidRPr="00D0399C" w14:paraId="1E7D5A3A" w14:textId="77777777" w:rsidTr="00E62F3F">
        <w:tblPrEx>
          <w:tblCellMar>
            <w:top w:w="56" w:type="dxa"/>
            <w:left w:w="111" w:type="dxa"/>
            <w:right w:w="44" w:type="dxa"/>
          </w:tblCellMar>
        </w:tblPrEx>
        <w:trPr>
          <w:trHeight w:val="1626"/>
        </w:trPr>
        <w:tc>
          <w:tcPr>
            <w:tcW w:w="2538" w:type="dxa"/>
            <w:vMerge/>
            <w:tcBorders>
              <w:left w:val="single" w:sz="8" w:space="0" w:color="000000"/>
              <w:bottom w:val="single" w:sz="8" w:space="0" w:color="000000"/>
              <w:right w:val="single" w:sz="8" w:space="0" w:color="000000"/>
            </w:tcBorders>
            <w:shd w:val="clear" w:color="auto" w:fill="F3F3F3"/>
          </w:tcPr>
          <w:p w14:paraId="1E873103" w14:textId="77777777" w:rsidR="001222A9" w:rsidRPr="00DF4CE5" w:rsidRDefault="001222A9" w:rsidP="004C11AA">
            <w:pPr>
              <w:spacing w:after="0" w:line="240" w:lineRule="auto"/>
              <w:rPr>
                <w:rFonts w:ascii="Cambria" w:eastAsia="Times New Roman" w:hAnsi="Cambria" w:cs="Times New Roman"/>
                <w:lang w:val="hr-HR" w:eastAsia="hr-HR"/>
              </w:rPr>
            </w:pPr>
          </w:p>
        </w:tc>
        <w:tc>
          <w:tcPr>
            <w:tcW w:w="6960" w:type="dxa"/>
            <w:gridSpan w:val="7"/>
            <w:tcBorders>
              <w:top w:val="single" w:sz="8" w:space="0" w:color="000000"/>
              <w:left w:val="single" w:sz="8" w:space="0" w:color="000000"/>
              <w:bottom w:val="single" w:sz="8" w:space="0" w:color="000000"/>
              <w:right w:val="single" w:sz="8" w:space="0" w:color="000000"/>
            </w:tcBorders>
          </w:tcPr>
          <w:p w14:paraId="4370033A" w14:textId="77777777" w:rsidR="001222A9" w:rsidRPr="00DF4CE5" w:rsidRDefault="001222A9" w:rsidP="004C11AA">
            <w:pPr>
              <w:spacing w:after="0" w:line="240" w:lineRule="auto"/>
              <w:rPr>
                <w:rFonts w:ascii="Cambria" w:eastAsia="Calibri" w:hAnsi="Cambria" w:cs="Calibri"/>
                <w:lang w:val="hr-HR" w:eastAsia="hr-HR"/>
              </w:rPr>
            </w:pPr>
            <w:r w:rsidRPr="00DF4CE5">
              <w:rPr>
                <w:rFonts w:ascii="Cambria" w:eastAsia="Calibri" w:hAnsi="Cambria" w:cs="Calibri"/>
                <w:lang w:val="hr-HR" w:eastAsia="hr-HR"/>
              </w:rPr>
              <w:t>Dodatna pojašnjenja (kriteriji ocjenjivanja):</w:t>
            </w:r>
          </w:p>
          <w:p w14:paraId="3B389852" w14:textId="77777777" w:rsidR="001222A9" w:rsidRPr="00DF4CE5" w:rsidRDefault="001222A9" w:rsidP="004C11AA">
            <w:pPr>
              <w:spacing w:after="0" w:line="240" w:lineRule="auto"/>
              <w:rPr>
                <w:rFonts w:ascii="Cambria" w:eastAsia="Calibri" w:hAnsi="Cambria" w:cs="Calibri"/>
                <w:lang w:val="hr-HR" w:eastAsia="hr-HR"/>
              </w:rPr>
            </w:pPr>
            <w:r w:rsidRPr="00DF4CE5">
              <w:rPr>
                <w:rFonts w:ascii="Cambria" w:eastAsia="Calibri" w:hAnsi="Cambria" w:cs="Calibri"/>
                <w:lang w:val="hr-HR" w:eastAsia="hr-HR"/>
              </w:rPr>
              <w:t>Svaki se kolokvij sastoji od 20 pitanja različitog tipa. Prvi kolokvij obuhvaća prvu polovicu gradiva, a drugi drugu. Udio pojedinog odgovora u ukupnoj ocjeni kolegija je sljedeći:</w:t>
            </w:r>
          </w:p>
          <w:p w14:paraId="053849E0" w14:textId="77777777" w:rsidR="001222A9" w:rsidRPr="00DF4CE5" w:rsidRDefault="001222A9" w:rsidP="004C11AA">
            <w:pPr>
              <w:spacing w:after="0" w:line="240" w:lineRule="auto"/>
              <w:rPr>
                <w:rFonts w:ascii="Cambria" w:eastAsia="Calibri" w:hAnsi="Cambria" w:cs="Calibri"/>
                <w:lang w:val="hr-HR" w:eastAsia="hr-HR"/>
              </w:rPr>
            </w:pPr>
            <w:r w:rsidRPr="00DF4CE5">
              <w:rPr>
                <w:rFonts w:ascii="Cambria" w:eastAsia="Calibri" w:hAnsi="Cambria" w:cs="Calibri"/>
                <w:lang w:val="hr-HR" w:eastAsia="hr-HR"/>
              </w:rPr>
              <w:t>• 1% ako je odgovor točan</w:t>
            </w:r>
          </w:p>
          <w:p w14:paraId="5B76BFCF" w14:textId="77777777" w:rsidR="001222A9" w:rsidRPr="00DF4CE5" w:rsidRDefault="001222A9" w:rsidP="004C11AA">
            <w:pPr>
              <w:spacing w:after="0" w:line="240" w:lineRule="auto"/>
              <w:rPr>
                <w:rFonts w:ascii="Cambria" w:eastAsia="Calibri" w:hAnsi="Cambria" w:cs="Calibri"/>
                <w:lang w:val="hr-HR" w:eastAsia="hr-HR"/>
              </w:rPr>
            </w:pPr>
            <w:r w:rsidRPr="00DF4CE5">
              <w:rPr>
                <w:rFonts w:ascii="Cambria" w:eastAsia="Calibri" w:hAnsi="Cambria" w:cs="Calibri"/>
                <w:lang w:val="hr-HR" w:eastAsia="hr-HR"/>
              </w:rPr>
              <w:t xml:space="preserve">• 0% ako odgovora nema ili ako je netočan. </w:t>
            </w:r>
          </w:p>
          <w:p w14:paraId="7BE98DB0" w14:textId="72F65415" w:rsidR="001222A9" w:rsidRPr="00DF4CE5" w:rsidRDefault="001222A9" w:rsidP="004C11AA">
            <w:pPr>
              <w:spacing w:after="0" w:line="240" w:lineRule="auto"/>
              <w:rPr>
                <w:rFonts w:ascii="Cambria" w:eastAsia="Calibri" w:hAnsi="Cambria" w:cs="Calibri"/>
                <w:lang w:val="hr-HR" w:eastAsia="hr-HR"/>
              </w:rPr>
            </w:pPr>
            <w:r w:rsidRPr="00DF4CE5">
              <w:rPr>
                <w:rFonts w:ascii="Cambria" w:eastAsia="Calibri" w:hAnsi="Cambria" w:cs="Calibri"/>
                <w:lang w:val="hr-HR" w:eastAsia="hr-HR"/>
              </w:rPr>
              <w:t>Ostvareni rezultati su konačni i sudjeluju u ukupnoj ocjeni.</w:t>
            </w:r>
          </w:p>
          <w:p w14:paraId="49ED81C3" w14:textId="77777777" w:rsidR="001222A9" w:rsidRPr="00DF4CE5" w:rsidRDefault="001222A9" w:rsidP="004C11AA">
            <w:pPr>
              <w:spacing w:after="0" w:line="240" w:lineRule="auto"/>
              <w:rPr>
                <w:rFonts w:ascii="Cambria" w:eastAsia="Calibri" w:hAnsi="Cambria" w:cs="Calibri"/>
                <w:lang w:val="hr-HR" w:eastAsia="hr-HR"/>
              </w:rPr>
            </w:pPr>
            <w:r w:rsidRPr="00DF4CE5">
              <w:rPr>
                <w:rFonts w:ascii="Cambria" w:eastAsia="Calibri" w:hAnsi="Cambria" w:cs="Calibri"/>
                <w:lang w:val="hr-HR" w:eastAsia="hr-HR"/>
              </w:rPr>
              <w:t>Seminarski rad piše se tijekom semestra. Mora biti predan u zadanom roku i zadovoljavati propisane uvjete te ujedno mora biti adekvatno prezentiran u zadanom terminu.</w:t>
            </w:r>
            <w:r w:rsidRPr="00DF4CE5">
              <w:rPr>
                <w:rFonts w:ascii="Cambria" w:eastAsia="Calibri" w:hAnsi="Cambria" w:cs="Calibri"/>
                <w:shd w:val="clear" w:color="auto" w:fill="FFFF00"/>
                <w:lang w:val="hr-HR" w:eastAsia="hr-HR"/>
              </w:rPr>
              <w:t xml:space="preserve"> </w:t>
            </w:r>
          </w:p>
          <w:p w14:paraId="3797F42D" w14:textId="77777777" w:rsidR="001222A9" w:rsidRPr="00DF4CE5" w:rsidRDefault="001222A9" w:rsidP="004C11AA">
            <w:pPr>
              <w:spacing w:after="0" w:line="240" w:lineRule="auto"/>
              <w:rPr>
                <w:rFonts w:ascii="Cambria" w:eastAsia="Calibri" w:hAnsi="Cambria" w:cs="Calibri"/>
                <w:lang w:val="hr-HR" w:eastAsia="hr-HR"/>
              </w:rPr>
            </w:pPr>
            <w:r w:rsidRPr="00DF4CE5">
              <w:rPr>
                <w:rFonts w:ascii="Cambria" w:eastAsia="Calibri" w:hAnsi="Cambria" w:cs="Calibri"/>
                <w:lang w:val="hr-HR" w:eastAsia="hr-HR"/>
              </w:rPr>
              <w:t>Seminarski rad evaluira se zasebno u pismenom i usmenom djelu na sljedeći način:</w:t>
            </w:r>
          </w:p>
          <w:p w14:paraId="5B7F301F" w14:textId="77777777" w:rsidR="001222A9" w:rsidRPr="00DF4CE5" w:rsidRDefault="001222A9" w:rsidP="00065CB8">
            <w:pPr>
              <w:spacing w:after="0" w:line="240" w:lineRule="auto"/>
              <w:rPr>
                <w:rFonts w:ascii="Cambria" w:eastAsia="Calibri" w:hAnsi="Cambria" w:cs="Calibri"/>
                <w:lang w:val="hr-HR" w:eastAsia="hr-HR"/>
              </w:rPr>
            </w:pPr>
            <w:r w:rsidRPr="00DF4CE5">
              <w:rPr>
                <w:rFonts w:ascii="Cambria" w:eastAsia="Calibri" w:hAnsi="Cambria" w:cs="Calibri"/>
                <w:lang w:val="hr-HR" w:eastAsia="hr-HR"/>
              </w:rPr>
              <w:t xml:space="preserve">a) Pismeni dio:  </w:t>
            </w:r>
          </w:p>
          <w:p w14:paraId="396603EE" w14:textId="77777777" w:rsidR="001222A9" w:rsidRPr="00DF4CE5" w:rsidRDefault="001222A9" w:rsidP="00065CB8">
            <w:pPr>
              <w:spacing w:after="0" w:line="240" w:lineRule="auto"/>
              <w:contextualSpacing/>
              <w:rPr>
                <w:rFonts w:ascii="Cambria" w:eastAsia="Calibri" w:hAnsi="Cambria" w:cs="Calibri"/>
                <w:lang w:val="hr-HR" w:eastAsia="hr-HR"/>
              </w:rPr>
            </w:pPr>
            <w:r w:rsidRPr="00DF4CE5">
              <w:rPr>
                <w:rFonts w:ascii="Cambria" w:eastAsia="Calibri" w:hAnsi="Cambria" w:cs="Calibri"/>
                <w:lang w:val="hr-HR" w:eastAsia="hr-HR"/>
              </w:rPr>
              <w:t>0% seminarski rad nije predan ili nisu zadovoljeni minimalni kriteriji seminarskog rada s obzirom na strukturu, sadržaj, literaturu i jezik izražavanja</w:t>
            </w:r>
          </w:p>
          <w:p w14:paraId="19B1A62B" w14:textId="77777777" w:rsidR="001222A9" w:rsidRPr="00DF4CE5" w:rsidRDefault="001222A9" w:rsidP="00065CB8">
            <w:pPr>
              <w:spacing w:after="0" w:line="240" w:lineRule="auto"/>
              <w:contextualSpacing/>
              <w:rPr>
                <w:rFonts w:ascii="Cambria" w:eastAsia="Calibri" w:hAnsi="Cambria" w:cs="Calibri"/>
                <w:lang w:val="hr-HR" w:eastAsia="hr-HR"/>
              </w:rPr>
            </w:pPr>
            <w:r w:rsidRPr="00DF4CE5">
              <w:rPr>
                <w:rFonts w:ascii="Cambria" w:eastAsia="Calibri" w:hAnsi="Cambria" w:cs="Calibri"/>
                <w:lang w:val="hr-HR" w:eastAsia="hr-HR"/>
              </w:rPr>
              <w:t xml:space="preserve">20% seminar je izvrstan: jasna struktura, sadržaj je adekvatno prezentiran s pojedinačnim vlastitim osvrtom, literatura je bogata (korišteni vlastiti podaci dobiveni internetskim pretraživanjem), ispravno pismeno izražavanje.  </w:t>
            </w:r>
          </w:p>
          <w:p w14:paraId="4F4077E4" w14:textId="77777777" w:rsidR="001222A9" w:rsidRPr="00DF4CE5" w:rsidRDefault="001222A9" w:rsidP="00065CB8">
            <w:pPr>
              <w:spacing w:after="0" w:line="240" w:lineRule="auto"/>
              <w:rPr>
                <w:rFonts w:ascii="Cambria" w:eastAsia="Calibri" w:hAnsi="Cambria" w:cs="Calibri"/>
                <w:lang w:val="hr-HR" w:eastAsia="hr-HR"/>
              </w:rPr>
            </w:pPr>
            <w:r w:rsidRPr="00DF4CE5">
              <w:rPr>
                <w:rFonts w:ascii="Cambria" w:eastAsia="Calibri" w:hAnsi="Cambria" w:cs="Calibri"/>
                <w:lang w:val="hr-HR" w:eastAsia="hr-HR"/>
              </w:rPr>
              <w:t>b) Usmeni dio:</w:t>
            </w:r>
          </w:p>
          <w:p w14:paraId="77444F79" w14:textId="77777777" w:rsidR="001222A9" w:rsidRPr="00DF4CE5" w:rsidRDefault="001222A9" w:rsidP="00065CB8">
            <w:pPr>
              <w:spacing w:after="0" w:line="240" w:lineRule="auto"/>
              <w:contextualSpacing/>
              <w:rPr>
                <w:rFonts w:ascii="Cambria" w:eastAsia="Calibri" w:hAnsi="Cambria" w:cs="Calibri"/>
                <w:lang w:val="hr-HR" w:eastAsia="hr-HR"/>
              </w:rPr>
            </w:pPr>
            <w:r w:rsidRPr="00DF4CE5">
              <w:rPr>
                <w:rFonts w:ascii="Cambria" w:eastAsia="Calibri" w:hAnsi="Cambria" w:cs="Calibri"/>
                <w:lang w:val="hr-HR" w:eastAsia="hr-HR"/>
              </w:rPr>
              <w:t>0% seminarski rad nije prezentiran u zadanom terminu</w:t>
            </w:r>
          </w:p>
          <w:p w14:paraId="12A9D982" w14:textId="77777777" w:rsidR="001222A9" w:rsidRPr="00DF4CE5" w:rsidRDefault="001222A9" w:rsidP="00065CB8">
            <w:pPr>
              <w:spacing w:after="0" w:line="240" w:lineRule="auto"/>
              <w:contextualSpacing/>
              <w:rPr>
                <w:rFonts w:ascii="Cambria" w:eastAsia="Calibri" w:hAnsi="Cambria" w:cs="Calibri"/>
                <w:lang w:val="hr-HR" w:eastAsia="hr-HR"/>
              </w:rPr>
            </w:pPr>
            <w:r w:rsidRPr="00DF4CE5">
              <w:rPr>
                <w:rFonts w:ascii="Cambria" w:eastAsia="Calibri" w:hAnsi="Cambria" w:cs="Calibri"/>
                <w:lang w:val="hr-HR" w:eastAsia="hr-HR"/>
              </w:rPr>
              <w:t>20% prezentacija je izvrsna: korektna, jasna i precizna prezentacija koja sadrži osobni kritički osvrt.</w:t>
            </w:r>
          </w:p>
          <w:p w14:paraId="190A1025" w14:textId="1E116371" w:rsidR="001222A9" w:rsidRPr="00DF4CE5" w:rsidRDefault="001222A9" w:rsidP="00826F4D">
            <w:pPr>
              <w:spacing w:after="0" w:line="240" w:lineRule="auto"/>
              <w:rPr>
                <w:rFonts w:ascii="Cambria" w:hAnsi="Cambria"/>
                <w:bCs/>
                <w:lang w:val="it-IT"/>
              </w:rPr>
            </w:pPr>
            <w:proofErr w:type="spellStart"/>
            <w:r w:rsidRPr="00DF4CE5">
              <w:rPr>
                <w:rFonts w:ascii="Cambria" w:hAnsi="Cambria"/>
                <w:bCs/>
                <w:lang w:val="it-IT"/>
              </w:rPr>
              <w:t>Student</w:t>
            </w:r>
            <w:proofErr w:type="spellEnd"/>
            <w:r w:rsidRPr="00DF4CE5">
              <w:rPr>
                <w:rFonts w:ascii="Cambria" w:hAnsi="Cambria"/>
                <w:bCs/>
                <w:lang w:val="it-IT"/>
              </w:rPr>
              <w:t>/</w:t>
            </w:r>
            <w:proofErr w:type="spellStart"/>
            <w:r w:rsidRPr="00DF4CE5">
              <w:rPr>
                <w:rFonts w:ascii="Cambria" w:hAnsi="Cambria"/>
                <w:bCs/>
                <w:lang w:val="it-IT"/>
              </w:rPr>
              <w:t>studentica</w:t>
            </w:r>
            <w:proofErr w:type="spellEnd"/>
            <w:r w:rsidRPr="00DF4CE5">
              <w:rPr>
                <w:rFonts w:ascii="Cambria" w:hAnsi="Cambria"/>
                <w:bCs/>
                <w:lang w:val="it-IT"/>
              </w:rPr>
              <w:t xml:space="preserve"> </w:t>
            </w:r>
            <w:proofErr w:type="spellStart"/>
            <w:r w:rsidRPr="00DF4CE5">
              <w:rPr>
                <w:rFonts w:ascii="Cambria" w:hAnsi="Cambria"/>
                <w:bCs/>
                <w:lang w:val="it-IT"/>
              </w:rPr>
              <w:t>može</w:t>
            </w:r>
            <w:proofErr w:type="spellEnd"/>
            <w:r w:rsidRPr="00DF4CE5">
              <w:rPr>
                <w:rFonts w:ascii="Cambria" w:hAnsi="Cambria"/>
                <w:bCs/>
                <w:lang w:val="it-IT"/>
              </w:rPr>
              <w:t xml:space="preserve"> </w:t>
            </w:r>
            <w:proofErr w:type="spellStart"/>
            <w:r w:rsidRPr="00DF4CE5">
              <w:rPr>
                <w:rFonts w:ascii="Cambria" w:hAnsi="Cambria"/>
                <w:bCs/>
                <w:lang w:val="it-IT"/>
              </w:rPr>
              <w:t>ostvariti</w:t>
            </w:r>
            <w:proofErr w:type="spellEnd"/>
            <w:r w:rsidRPr="00DF4CE5">
              <w:rPr>
                <w:rFonts w:ascii="Cambria" w:hAnsi="Cambria"/>
                <w:bCs/>
                <w:lang w:val="it-IT"/>
              </w:rPr>
              <w:t xml:space="preserve"> </w:t>
            </w:r>
            <w:proofErr w:type="spellStart"/>
            <w:r w:rsidRPr="00DF4CE5">
              <w:rPr>
                <w:rFonts w:ascii="Cambria" w:hAnsi="Cambria"/>
                <w:bCs/>
                <w:lang w:val="it-IT"/>
              </w:rPr>
              <w:t>sve</w:t>
            </w:r>
            <w:proofErr w:type="spellEnd"/>
            <w:r w:rsidRPr="00DF4CE5">
              <w:rPr>
                <w:rFonts w:ascii="Cambria" w:hAnsi="Cambria"/>
                <w:bCs/>
                <w:lang w:val="it-IT"/>
              </w:rPr>
              <w:t xml:space="preserve"> </w:t>
            </w:r>
            <w:proofErr w:type="spellStart"/>
            <w:r w:rsidRPr="00DF4CE5">
              <w:rPr>
                <w:rFonts w:ascii="Cambria" w:hAnsi="Cambria"/>
                <w:bCs/>
                <w:lang w:val="it-IT"/>
              </w:rPr>
              <w:t>postotke</w:t>
            </w:r>
            <w:proofErr w:type="spellEnd"/>
            <w:r w:rsidRPr="00DF4CE5">
              <w:rPr>
                <w:rFonts w:ascii="Cambria" w:hAnsi="Cambria"/>
                <w:bCs/>
                <w:lang w:val="it-IT"/>
              </w:rPr>
              <w:t xml:space="preserve"> </w:t>
            </w:r>
            <w:proofErr w:type="gramStart"/>
            <w:r w:rsidRPr="00DF4CE5">
              <w:rPr>
                <w:rFonts w:ascii="Cambria" w:hAnsi="Cambria"/>
                <w:bCs/>
                <w:lang w:val="it-IT"/>
              </w:rPr>
              <w:t>od</w:t>
            </w:r>
            <w:proofErr w:type="gramEnd"/>
            <w:r w:rsidRPr="00DF4CE5">
              <w:rPr>
                <w:rFonts w:ascii="Cambria" w:hAnsi="Cambria"/>
                <w:bCs/>
                <w:lang w:val="it-IT"/>
              </w:rPr>
              <w:t xml:space="preserve"> 0-20% za seminar i </w:t>
            </w:r>
            <w:proofErr w:type="spellStart"/>
            <w:r w:rsidRPr="00DF4CE5">
              <w:rPr>
                <w:rFonts w:ascii="Cambria" w:hAnsi="Cambria"/>
                <w:bCs/>
                <w:lang w:val="it-IT"/>
              </w:rPr>
              <w:t>usmenu</w:t>
            </w:r>
            <w:proofErr w:type="spellEnd"/>
            <w:r w:rsidRPr="00DF4CE5">
              <w:rPr>
                <w:rFonts w:ascii="Cambria" w:hAnsi="Cambria"/>
                <w:bCs/>
                <w:lang w:val="it-IT"/>
              </w:rPr>
              <w:t xml:space="preserve"> </w:t>
            </w:r>
            <w:proofErr w:type="spellStart"/>
            <w:r w:rsidRPr="00DF4CE5">
              <w:rPr>
                <w:rFonts w:ascii="Cambria" w:hAnsi="Cambria"/>
                <w:bCs/>
                <w:lang w:val="it-IT"/>
              </w:rPr>
              <w:t>prezentaciju</w:t>
            </w:r>
            <w:proofErr w:type="spellEnd"/>
            <w:r w:rsidRPr="00DF4CE5">
              <w:rPr>
                <w:rFonts w:ascii="Cambria" w:hAnsi="Cambria"/>
                <w:bCs/>
                <w:lang w:val="it-IT"/>
              </w:rPr>
              <w:t xml:space="preserve"> </w:t>
            </w:r>
            <w:proofErr w:type="spellStart"/>
            <w:r w:rsidRPr="00DF4CE5">
              <w:rPr>
                <w:rFonts w:ascii="Cambria" w:hAnsi="Cambria"/>
                <w:bCs/>
                <w:lang w:val="it-IT"/>
              </w:rPr>
              <w:t>seminara</w:t>
            </w:r>
            <w:proofErr w:type="spellEnd"/>
            <w:r w:rsidRPr="00DF4CE5">
              <w:rPr>
                <w:rFonts w:ascii="Cambria" w:hAnsi="Cambria"/>
                <w:bCs/>
                <w:lang w:val="it-IT"/>
              </w:rPr>
              <w:t xml:space="preserve">. </w:t>
            </w:r>
            <w:proofErr w:type="spellStart"/>
            <w:r w:rsidRPr="00DF4CE5">
              <w:rPr>
                <w:rFonts w:ascii="Cambria" w:hAnsi="Cambria"/>
                <w:bCs/>
                <w:lang w:val="it-IT"/>
              </w:rPr>
              <w:t>Upute</w:t>
            </w:r>
            <w:proofErr w:type="spellEnd"/>
            <w:r w:rsidRPr="00DF4CE5">
              <w:rPr>
                <w:rFonts w:ascii="Cambria" w:hAnsi="Cambria"/>
                <w:bCs/>
                <w:lang w:val="it-IT"/>
              </w:rPr>
              <w:t xml:space="preserve"> i </w:t>
            </w:r>
            <w:proofErr w:type="spellStart"/>
            <w:r w:rsidRPr="00DF4CE5">
              <w:rPr>
                <w:rFonts w:ascii="Cambria" w:hAnsi="Cambria"/>
                <w:bCs/>
                <w:lang w:val="it-IT"/>
              </w:rPr>
              <w:t>kriteriji</w:t>
            </w:r>
            <w:proofErr w:type="spellEnd"/>
            <w:r w:rsidRPr="00DF4CE5">
              <w:rPr>
                <w:rFonts w:ascii="Cambria" w:hAnsi="Cambria"/>
                <w:bCs/>
                <w:lang w:val="it-IT"/>
              </w:rPr>
              <w:t xml:space="preserve"> </w:t>
            </w:r>
            <w:proofErr w:type="spellStart"/>
            <w:r w:rsidRPr="00DF4CE5">
              <w:rPr>
                <w:rFonts w:ascii="Cambria" w:hAnsi="Cambria"/>
                <w:bCs/>
                <w:lang w:val="it-IT"/>
              </w:rPr>
              <w:t>ocjenjivanja</w:t>
            </w:r>
            <w:proofErr w:type="spellEnd"/>
            <w:r w:rsidRPr="00DF4CE5">
              <w:rPr>
                <w:rFonts w:ascii="Cambria" w:hAnsi="Cambria"/>
                <w:bCs/>
                <w:lang w:val="it-IT"/>
              </w:rPr>
              <w:t xml:space="preserve"> bit </w:t>
            </w:r>
            <w:proofErr w:type="spellStart"/>
            <w:r w:rsidRPr="00DF4CE5">
              <w:rPr>
                <w:rFonts w:ascii="Cambria" w:hAnsi="Cambria"/>
                <w:bCs/>
                <w:lang w:val="it-IT"/>
              </w:rPr>
              <w:t>će</w:t>
            </w:r>
            <w:proofErr w:type="spellEnd"/>
            <w:r w:rsidRPr="00DF4CE5">
              <w:rPr>
                <w:rFonts w:ascii="Cambria" w:hAnsi="Cambria"/>
                <w:bCs/>
                <w:lang w:val="it-IT"/>
              </w:rPr>
              <w:t xml:space="preserve"> </w:t>
            </w:r>
            <w:proofErr w:type="spellStart"/>
            <w:r w:rsidRPr="00DF4CE5">
              <w:rPr>
                <w:rFonts w:ascii="Cambria" w:hAnsi="Cambria"/>
                <w:bCs/>
                <w:lang w:val="it-IT"/>
              </w:rPr>
              <w:t>objašnjeni</w:t>
            </w:r>
            <w:proofErr w:type="spellEnd"/>
            <w:r w:rsidRPr="00DF4CE5">
              <w:rPr>
                <w:rFonts w:ascii="Cambria" w:hAnsi="Cambria"/>
                <w:bCs/>
                <w:lang w:val="it-IT"/>
              </w:rPr>
              <w:t xml:space="preserve"> </w:t>
            </w:r>
            <w:proofErr w:type="spellStart"/>
            <w:r w:rsidRPr="00DF4CE5">
              <w:rPr>
                <w:rFonts w:ascii="Cambria" w:hAnsi="Cambria"/>
                <w:bCs/>
                <w:lang w:val="it-IT"/>
              </w:rPr>
              <w:t>n</w:t>
            </w:r>
            <w:r w:rsidR="00826F4D">
              <w:rPr>
                <w:rFonts w:ascii="Cambria" w:hAnsi="Cambria"/>
                <w:bCs/>
                <w:lang w:val="it-IT"/>
              </w:rPr>
              <w:t>a</w:t>
            </w:r>
            <w:proofErr w:type="spellEnd"/>
            <w:r w:rsidRPr="00DF4CE5">
              <w:rPr>
                <w:rFonts w:ascii="Cambria" w:hAnsi="Cambria"/>
                <w:bCs/>
                <w:lang w:val="it-IT"/>
              </w:rPr>
              <w:t xml:space="preserve"> </w:t>
            </w:r>
            <w:proofErr w:type="spellStart"/>
            <w:r w:rsidRPr="00DF4CE5">
              <w:rPr>
                <w:rFonts w:ascii="Cambria" w:hAnsi="Cambria"/>
                <w:bCs/>
                <w:lang w:val="it-IT"/>
              </w:rPr>
              <w:t>nastavi</w:t>
            </w:r>
            <w:proofErr w:type="spellEnd"/>
            <w:r w:rsidRPr="00DF4CE5">
              <w:rPr>
                <w:rFonts w:ascii="Cambria" w:hAnsi="Cambria"/>
                <w:bCs/>
                <w:lang w:val="it-IT"/>
              </w:rPr>
              <w:t xml:space="preserve">. </w:t>
            </w:r>
          </w:p>
          <w:p w14:paraId="321A0C98" w14:textId="77777777" w:rsidR="001222A9" w:rsidRPr="00DF4CE5" w:rsidRDefault="001222A9" w:rsidP="00826F4D">
            <w:pPr>
              <w:spacing w:after="0" w:line="240" w:lineRule="auto"/>
              <w:rPr>
                <w:rFonts w:ascii="Cambria" w:eastAsia="Times New Roman" w:hAnsi="Cambria" w:cs="Times New Roman"/>
                <w:lang w:val="hr-HR" w:eastAsia="hr-HR"/>
              </w:rPr>
            </w:pPr>
            <w:r w:rsidRPr="00DF4CE5">
              <w:rPr>
                <w:rFonts w:ascii="Cambria" w:eastAsia="Times New Roman" w:hAnsi="Cambria" w:cs="Times New Roman"/>
                <w:lang w:val="hr-HR" w:eastAsia="hr-HR"/>
              </w:rPr>
              <w:t>Kolokvij i pismeni ispit se vrednuju na sljedeći način:</w:t>
            </w:r>
          </w:p>
          <w:p w14:paraId="2C62030E" w14:textId="77777777" w:rsidR="001222A9" w:rsidRPr="00DF4CE5" w:rsidRDefault="001222A9" w:rsidP="00826F4D">
            <w:pPr>
              <w:spacing w:after="0" w:line="240" w:lineRule="auto"/>
              <w:rPr>
                <w:rFonts w:ascii="Cambria" w:eastAsia="Times New Roman" w:hAnsi="Cambria" w:cs="Times New Roman"/>
                <w:lang w:val="hr-HR" w:eastAsia="hr-HR"/>
              </w:rPr>
            </w:pPr>
            <w:r w:rsidRPr="00DF4CE5">
              <w:rPr>
                <w:rFonts w:ascii="Cambria" w:eastAsia="Times New Roman" w:hAnsi="Cambria" w:cs="Times New Roman"/>
                <w:lang w:val="hr-HR" w:eastAsia="hr-HR"/>
              </w:rPr>
              <w:t>manje od 50 % točnih odgovora  = 0% ocjene</w:t>
            </w:r>
          </w:p>
          <w:p w14:paraId="471BEFC6" w14:textId="77777777" w:rsidR="001222A9" w:rsidRPr="00DF4CE5" w:rsidRDefault="001222A9" w:rsidP="00826F4D">
            <w:pPr>
              <w:spacing w:after="0" w:line="240" w:lineRule="auto"/>
              <w:rPr>
                <w:rFonts w:ascii="Cambria" w:eastAsia="Times New Roman" w:hAnsi="Cambria" w:cs="Times New Roman"/>
                <w:lang w:val="hr-HR" w:eastAsia="hr-HR"/>
              </w:rPr>
            </w:pPr>
            <w:r w:rsidRPr="00DF4CE5">
              <w:rPr>
                <w:rFonts w:ascii="Cambria" w:eastAsia="Times New Roman" w:hAnsi="Cambria" w:cs="Times New Roman"/>
                <w:lang w:val="hr-HR" w:eastAsia="hr-HR"/>
              </w:rPr>
              <w:t>50-60% = 6% ocjene</w:t>
            </w:r>
          </w:p>
          <w:p w14:paraId="15CA67E8" w14:textId="77777777" w:rsidR="001222A9" w:rsidRPr="00DF4CE5" w:rsidRDefault="001222A9" w:rsidP="00826F4D">
            <w:pPr>
              <w:spacing w:after="0" w:line="240" w:lineRule="auto"/>
              <w:rPr>
                <w:rFonts w:ascii="Cambria" w:eastAsia="Times New Roman" w:hAnsi="Cambria" w:cs="Times New Roman"/>
                <w:lang w:val="hr-HR" w:eastAsia="hr-HR"/>
              </w:rPr>
            </w:pPr>
            <w:r w:rsidRPr="00DF4CE5">
              <w:rPr>
                <w:rFonts w:ascii="Cambria" w:eastAsia="Times New Roman" w:hAnsi="Cambria" w:cs="Times New Roman"/>
                <w:lang w:val="hr-HR" w:eastAsia="hr-HR"/>
              </w:rPr>
              <w:t>61-70% =12%</w:t>
            </w:r>
            <w:r w:rsidRPr="00DF4CE5">
              <w:rPr>
                <w:rFonts w:ascii="Cambria" w:eastAsia="Times New Roman" w:hAnsi="Cambria" w:cs="Times New Roman"/>
                <w:lang w:val="hr-HR" w:eastAsia="hr-HR"/>
              </w:rPr>
              <w:tab/>
              <w:t>ocjene</w:t>
            </w:r>
          </w:p>
          <w:p w14:paraId="1100F51E" w14:textId="77777777" w:rsidR="001222A9" w:rsidRPr="00DF4CE5" w:rsidRDefault="001222A9" w:rsidP="00065CB8">
            <w:pPr>
              <w:spacing w:after="0" w:line="240" w:lineRule="auto"/>
              <w:rPr>
                <w:rFonts w:ascii="Cambria" w:eastAsia="Times New Roman" w:hAnsi="Cambria" w:cs="Times New Roman"/>
                <w:lang w:val="hr-HR" w:eastAsia="hr-HR"/>
              </w:rPr>
            </w:pPr>
            <w:r w:rsidRPr="00DF4CE5">
              <w:rPr>
                <w:rFonts w:ascii="Cambria" w:eastAsia="Times New Roman" w:hAnsi="Cambria" w:cs="Times New Roman"/>
                <w:lang w:val="hr-HR" w:eastAsia="hr-HR"/>
              </w:rPr>
              <w:t>71-80% = 18%</w:t>
            </w:r>
            <w:r w:rsidRPr="00DF4CE5">
              <w:rPr>
                <w:rFonts w:ascii="Cambria" w:eastAsia="Times New Roman" w:hAnsi="Cambria" w:cs="Times New Roman"/>
                <w:lang w:val="hr-HR" w:eastAsia="hr-HR"/>
              </w:rPr>
              <w:tab/>
              <w:t xml:space="preserve"> ocjene</w:t>
            </w:r>
          </w:p>
          <w:p w14:paraId="6CC83E76" w14:textId="77777777" w:rsidR="001222A9" w:rsidRPr="00DF4CE5" w:rsidRDefault="001222A9" w:rsidP="00065CB8">
            <w:pPr>
              <w:spacing w:after="0" w:line="240" w:lineRule="auto"/>
              <w:rPr>
                <w:rFonts w:ascii="Cambria" w:eastAsia="Times New Roman" w:hAnsi="Cambria" w:cs="Times New Roman"/>
                <w:lang w:val="hr-HR" w:eastAsia="hr-HR"/>
              </w:rPr>
            </w:pPr>
            <w:r w:rsidRPr="00DF4CE5">
              <w:rPr>
                <w:rFonts w:ascii="Cambria" w:eastAsia="Times New Roman" w:hAnsi="Cambria" w:cs="Times New Roman"/>
                <w:lang w:val="hr-HR" w:eastAsia="hr-HR"/>
              </w:rPr>
              <w:t>81-90% = 24%</w:t>
            </w:r>
            <w:r w:rsidRPr="00DF4CE5">
              <w:rPr>
                <w:rFonts w:ascii="Cambria" w:eastAsia="Times New Roman" w:hAnsi="Cambria" w:cs="Times New Roman"/>
                <w:lang w:val="hr-HR" w:eastAsia="hr-HR"/>
              </w:rPr>
              <w:tab/>
              <w:t xml:space="preserve"> ocjene</w:t>
            </w:r>
          </w:p>
          <w:p w14:paraId="59112868" w14:textId="77777777" w:rsidR="001222A9" w:rsidRPr="00DF4CE5" w:rsidRDefault="001222A9" w:rsidP="00065CB8">
            <w:pPr>
              <w:spacing w:after="0" w:line="240" w:lineRule="auto"/>
              <w:rPr>
                <w:rFonts w:ascii="Cambria" w:eastAsia="Times New Roman" w:hAnsi="Cambria" w:cs="Times New Roman"/>
                <w:lang w:val="hr-HR" w:eastAsia="hr-HR"/>
              </w:rPr>
            </w:pPr>
            <w:r w:rsidRPr="00DF4CE5">
              <w:rPr>
                <w:rFonts w:ascii="Cambria" w:eastAsia="Times New Roman" w:hAnsi="Cambria" w:cs="Times New Roman"/>
                <w:lang w:val="hr-HR" w:eastAsia="hr-HR"/>
              </w:rPr>
              <w:t>91-100% = 30% ocjene</w:t>
            </w:r>
          </w:p>
          <w:p w14:paraId="0247FB39" w14:textId="77777777" w:rsidR="001222A9" w:rsidRPr="00DF4CE5" w:rsidRDefault="001222A9" w:rsidP="00065CB8">
            <w:pPr>
              <w:spacing w:after="0" w:line="240" w:lineRule="auto"/>
              <w:rPr>
                <w:rFonts w:ascii="Cambria" w:eastAsia="Times New Roman" w:hAnsi="Cambria" w:cs="Times New Roman"/>
                <w:lang w:val="hr-HR" w:eastAsia="hr-HR"/>
              </w:rPr>
            </w:pPr>
            <w:r w:rsidRPr="00DF4CE5">
              <w:rPr>
                <w:rFonts w:ascii="Cambria" w:eastAsia="Times New Roman" w:hAnsi="Cambria" w:cs="Times New Roman"/>
                <w:lang w:val="hr-HR" w:eastAsia="hr-HR"/>
              </w:rPr>
              <w:t xml:space="preserve">Usmeni ispit se sastoji od 4 pitanja (svako pitanje nosi 7,5%). Za položiti ispit student/studentica mora ispravno odgovoriti na barem dva i pol pitanja (15%). </w:t>
            </w:r>
          </w:p>
        </w:tc>
      </w:tr>
      <w:tr w:rsidR="00B31C4B" w:rsidRPr="00D0399C" w14:paraId="1B766B8E" w14:textId="77777777" w:rsidTr="00E62F3F">
        <w:tblPrEx>
          <w:tblCellMar>
            <w:top w:w="56" w:type="dxa"/>
            <w:left w:w="111" w:type="dxa"/>
            <w:right w:w="44" w:type="dxa"/>
          </w:tblCellMar>
        </w:tblPrEx>
        <w:trPr>
          <w:trHeight w:val="1342"/>
        </w:trPr>
        <w:tc>
          <w:tcPr>
            <w:tcW w:w="2538" w:type="dxa"/>
            <w:tcBorders>
              <w:top w:val="single" w:sz="8" w:space="0" w:color="000000"/>
              <w:left w:val="single" w:sz="8" w:space="0" w:color="000000"/>
              <w:right w:val="single" w:sz="8" w:space="0" w:color="000000"/>
            </w:tcBorders>
            <w:shd w:val="clear" w:color="auto" w:fill="F3F3F3"/>
          </w:tcPr>
          <w:p w14:paraId="49FB3678" w14:textId="77777777" w:rsidR="00B31C4B" w:rsidRPr="00DF4CE5" w:rsidRDefault="00B31C4B" w:rsidP="004C11AA">
            <w:pPr>
              <w:spacing w:after="0" w:line="240" w:lineRule="auto"/>
              <w:rPr>
                <w:rFonts w:ascii="Cambria" w:eastAsia="Times New Roman" w:hAnsi="Cambria" w:cs="Times New Roman"/>
                <w:lang w:val="hr-HR" w:eastAsia="hr-HR"/>
              </w:rPr>
            </w:pPr>
          </w:p>
        </w:tc>
        <w:tc>
          <w:tcPr>
            <w:tcW w:w="6960" w:type="dxa"/>
            <w:gridSpan w:val="7"/>
            <w:vMerge w:val="restart"/>
            <w:tcBorders>
              <w:top w:val="single" w:sz="8" w:space="0" w:color="000000"/>
              <w:left w:val="single" w:sz="8" w:space="0" w:color="000000"/>
              <w:bottom w:val="single" w:sz="8" w:space="0" w:color="000000"/>
              <w:right w:val="single" w:sz="8" w:space="0" w:color="000000"/>
            </w:tcBorders>
          </w:tcPr>
          <w:p w14:paraId="45656A71" w14:textId="0B6A4639" w:rsidR="00B31C4B" w:rsidRPr="00DF4CE5" w:rsidRDefault="00B31C4B" w:rsidP="004C11AA">
            <w:pPr>
              <w:spacing w:after="0" w:line="240" w:lineRule="auto"/>
              <w:ind w:left="36"/>
              <w:rPr>
                <w:rFonts w:ascii="Cambria" w:eastAsia="Times New Roman" w:hAnsi="Cambria" w:cs="Times New Roman"/>
                <w:lang w:val="hr-HR" w:eastAsia="hr-HR"/>
              </w:rPr>
            </w:pPr>
            <w:r w:rsidRPr="00DF4CE5">
              <w:rPr>
                <w:rFonts w:ascii="Cambria" w:eastAsia="Calibri" w:hAnsi="Cambria" w:cs="Calibri"/>
                <w:lang w:val="hr-HR" w:eastAsia="hr-HR"/>
              </w:rPr>
              <w:t xml:space="preserve">Da položi kolegij, student/studentica mora:  </w:t>
            </w:r>
          </w:p>
          <w:p w14:paraId="5EB14A83" w14:textId="1853A205" w:rsidR="00B31C4B" w:rsidRPr="00DF4CE5" w:rsidRDefault="00B31C4B" w:rsidP="004C11AA">
            <w:pPr>
              <w:spacing w:after="0" w:line="240" w:lineRule="auto"/>
              <w:rPr>
                <w:rFonts w:ascii="Cambria" w:eastAsia="Times New Roman" w:hAnsi="Cambria" w:cs="Calibri"/>
                <w:lang w:val="hr-HR" w:eastAsia="hr-HR"/>
              </w:rPr>
            </w:pPr>
            <w:r w:rsidRPr="00DF4CE5">
              <w:rPr>
                <w:rFonts w:ascii="Cambria" w:eastAsia="Times New Roman" w:hAnsi="Cambria" w:cs="Calibri"/>
                <w:lang w:val="hr-HR" w:eastAsia="hr-HR"/>
              </w:rPr>
              <w:t>1. aktivno sudjelovati u najmanje 70% nastave</w:t>
            </w:r>
          </w:p>
          <w:p w14:paraId="52847F25" w14:textId="58D7CAD4" w:rsidR="00B31C4B" w:rsidRPr="00DF4CE5" w:rsidRDefault="00B31C4B" w:rsidP="004C11AA">
            <w:pPr>
              <w:spacing w:after="0" w:line="240" w:lineRule="auto"/>
              <w:rPr>
                <w:rFonts w:ascii="Cambria" w:eastAsia="Times New Roman" w:hAnsi="Cambria" w:cs="Calibri"/>
                <w:lang w:val="hr-HR" w:eastAsia="hr-HR"/>
              </w:rPr>
            </w:pPr>
            <w:r w:rsidRPr="00DF4CE5">
              <w:rPr>
                <w:rFonts w:ascii="Cambria" w:eastAsia="Times New Roman" w:hAnsi="Cambria" w:cs="Calibri"/>
                <w:lang w:val="hr-HR" w:eastAsia="hr-HR"/>
              </w:rPr>
              <w:t>2. predati seminarske radove do zadanog termina</w:t>
            </w:r>
          </w:p>
          <w:p w14:paraId="69E63EB4" w14:textId="12CE37A6" w:rsidR="00B31C4B" w:rsidRPr="00DF4CE5" w:rsidRDefault="00B31C4B" w:rsidP="00065CB8">
            <w:pPr>
              <w:spacing w:after="0" w:line="240" w:lineRule="auto"/>
              <w:rPr>
                <w:rFonts w:ascii="Cambria" w:eastAsia="Times New Roman" w:hAnsi="Cambria" w:cs="Calibri"/>
                <w:lang w:val="hr-HR" w:eastAsia="hr-HR"/>
              </w:rPr>
            </w:pPr>
            <w:r w:rsidRPr="00DF4CE5">
              <w:rPr>
                <w:rFonts w:ascii="Cambria" w:eastAsia="Times New Roman" w:hAnsi="Cambria" w:cs="Calibri"/>
                <w:lang w:val="hr-HR" w:eastAsia="hr-HR"/>
              </w:rPr>
              <w:t>3. prezentirati seminarske radove u seminarskim grupama u zadanim terminima</w:t>
            </w:r>
          </w:p>
          <w:p w14:paraId="40B832BD" w14:textId="77777777" w:rsidR="00B31C4B" w:rsidRPr="00DF4CE5" w:rsidRDefault="00B31C4B" w:rsidP="00065CB8">
            <w:pPr>
              <w:spacing w:after="0" w:line="240" w:lineRule="auto"/>
              <w:rPr>
                <w:rFonts w:ascii="Cambria" w:eastAsia="Times New Roman" w:hAnsi="Cambria" w:cs="Calibri"/>
                <w:lang w:val="hr-HR" w:eastAsia="hr-HR"/>
              </w:rPr>
            </w:pPr>
            <w:r w:rsidRPr="00DF4CE5">
              <w:rPr>
                <w:rFonts w:ascii="Cambria" w:eastAsia="Times New Roman" w:hAnsi="Cambria" w:cs="Calibri"/>
                <w:lang w:val="hr-HR" w:eastAsia="hr-HR"/>
              </w:rPr>
              <w:lastRenderedPageBreak/>
              <w:t>4. položiti kolokvij</w:t>
            </w:r>
          </w:p>
          <w:p w14:paraId="63F7DF99" w14:textId="7C9DCF70" w:rsidR="00B31C4B" w:rsidRPr="00DF4CE5" w:rsidRDefault="00B31C4B" w:rsidP="00065CB8">
            <w:pPr>
              <w:spacing w:after="0" w:line="240" w:lineRule="auto"/>
              <w:rPr>
                <w:rFonts w:ascii="Cambria" w:eastAsia="Times New Roman" w:hAnsi="Cambria" w:cs="Calibri"/>
                <w:lang w:val="hr-HR" w:eastAsia="hr-HR"/>
              </w:rPr>
            </w:pPr>
            <w:r w:rsidRPr="00DF4CE5">
              <w:rPr>
                <w:rFonts w:ascii="Cambria" w:eastAsia="Times New Roman" w:hAnsi="Cambria" w:cs="Calibri"/>
                <w:lang w:val="hr-HR" w:eastAsia="hr-HR"/>
              </w:rPr>
              <w:t xml:space="preserve">5. položiti pismeni ispit </w:t>
            </w:r>
          </w:p>
          <w:p w14:paraId="38EB2F62" w14:textId="74ED2CE0" w:rsidR="00B31C4B" w:rsidRPr="00DF4CE5" w:rsidRDefault="00B31C4B" w:rsidP="00065CB8">
            <w:pPr>
              <w:spacing w:after="0" w:line="240" w:lineRule="auto"/>
              <w:rPr>
                <w:rFonts w:ascii="Cambria" w:eastAsia="Times New Roman" w:hAnsi="Cambria" w:cs="Calibri"/>
                <w:lang w:val="hr-HR" w:eastAsia="hr-HR"/>
              </w:rPr>
            </w:pPr>
            <w:r w:rsidRPr="00DF4CE5">
              <w:rPr>
                <w:rFonts w:ascii="Cambria" w:eastAsia="Times New Roman" w:hAnsi="Cambria" w:cs="Calibri"/>
                <w:lang w:val="hr-HR" w:eastAsia="hr-HR"/>
              </w:rPr>
              <w:t xml:space="preserve">6. položiti usmeni ispit. </w:t>
            </w:r>
          </w:p>
          <w:p w14:paraId="518FF9FE" w14:textId="44A11BAD" w:rsidR="00B31C4B" w:rsidRPr="00DF4CE5" w:rsidRDefault="00B31C4B" w:rsidP="00065CB8">
            <w:pPr>
              <w:spacing w:after="0" w:line="240" w:lineRule="auto"/>
              <w:rPr>
                <w:rFonts w:ascii="Cambria" w:eastAsia="Times New Roman" w:hAnsi="Cambria" w:cs="Calibri"/>
                <w:lang w:val="hr-HR" w:eastAsia="hr-HR"/>
              </w:rPr>
            </w:pPr>
            <w:r w:rsidRPr="00DF4CE5">
              <w:rPr>
                <w:rFonts w:ascii="Cambria" w:hAnsi="Cambria"/>
                <w:bCs/>
                <w:lang w:val="hr-HR"/>
              </w:rPr>
              <w:t>Napomena: Ako student/studentica ne izvrši prethodno navedene studentske obveze, morat će ponovno upisati kolegij sljedeće akademske godine.</w:t>
            </w:r>
          </w:p>
        </w:tc>
      </w:tr>
      <w:tr w:rsidR="004C11AA" w:rsidRPr="00DF4CE5" w14:paraId="5D2F7BB7" w14:textId="77777777" w:rsidTr="00E62F3F">
        <w:tblPrEx>
          <w:tblCellMar>
            <w:top w:w="56" w:type="dxa"/>
            <w:left w:w="111" w:type="dxa"/>
            <w:right w:w="44" w:type="dxa"/>
          </w:tblCellMar>
        </w:tblPrEx>
        <w:trPr>
          <w:trHeight w:val="1500"/>
        </w:trPr>
        <w:tc>
          <w:tcPr>
            <w:tcW w:w="2538" w:type="dxa"/>
            <w:tcBorders>
              <w:top w:val="nil"/>
              <w:left w:val="single" w:sz="8" w:space="0" w:color="000000"/>
              <w:bottom w:val="single" w:sz="8" w:space="0" w:color="000000"/>
              <w:right w:val="single" w:sz="8" w:space="0" w:color="000000"/>
            </w:tcBorders>
            <w:shd w:val="clear" w:color="auto" w:fill="F3F3F3"/>
          </w:tcPr>
          <w:p w14:paraId="22A847A1" w14:textId="77777777" w:rsidR="004C11AA" w:rsidRPr="00DF4CE5" w:rsidRDefault="004C11AA" w:rsidP="004C11AA">
            <w:pPr>
              <w:spacing w:after="0" w:line="240" w:lineRule="auto"/>
              <w:ind w:left="32"/>
              <w:rPr>
                <w:rFonts w:ascii="Cambria" w:eastAsia="Times New Roman" w:hAnsi="Cambria" w:cs="Times New Roman"/>
                <w:lang w:val="hr-HR" w:eastAsia="hr-HR"/>
              </w:rPr>
            </w:pPr>
            <w:r w:rsidRPr="00DF4CE5">
              <w:rPr>
                <w:rFonts w:ascii="Cambria" w:eastAsia="Calibri" w:hAnsi="Cambria" w:cs="Calibri"/>
                <w:lang w:val="hr-HR" w:eastAsia="hr-HR"/>
              </w:rPr>
              <w:lastRenderedPageBreak/>
              <w:t xml:space="preserve">Studentske obveze </w:t>
            </w:r>
          </w:p>
        </w:tc>
        <w:tc>
          <w:tcPr>
            <w:tcW w:w="6960" w:type="dxa"/>
            <w:gridSpan w:val="7"/>
            <w:vMerge/>
            <w:tcBorders>
              <w:top w:val="nil"/>
              <w:left w:val="single" w:sz="8" w:space="0" w:color="000000"/>
              <w:bottom w:val="single" w:sz="8" w:space="0" w:color="000000"/>
              <w:right w:val="single" w:sz="8" w:space="0" w:color="000000"/>
            </w:tcBorders>
          </w:tcPr>
          <w:p w14:paraId="2CD0B153" w14:textId="77777777" w:rsidR="004C11AA" w:rsidRPr="00DF4CE5" w:rsidRDefault="004C11AA" w:rsidP="004C11AA">
            <w:pPr>
              <w:spacing w:after="0" w:line="240" w:lineRule="auto"/>
              <w:rPr>
                <w:rFonts w:ascii="Cambria" w:eastAsia="Times New Roman" w:hAnsi="Cambria" w:cs="Times New Roman"/>
                <w:lang w:val="hr-HR" w:eastAsia="hr-HR"/>
              </w:rPr>
            </w:pPr>
          </w:p>
        </w:tc>
      </w:tr>
      <w:tr w:rsidR="004C11AA" w:rsidRPr="00D0399C" w14:paraId="00E994C2" w14:textId="77777777" w:rsidTr="00E62F3F">
        <w:tblPrEx>
          <w:tblCellMar>
            <w:top w:w="56" w:type="dxa"/>
            <w:left w:w="111" w:type="dxa"/>
            <w:right w:w="44" w:type="dxa"/>
          </w:tblCellMar>
        </w:tblPrEx>
        <w:trPr>
          <w:trHeight w:val="597"/>
        </w:trPr>
        <w:tc>
          <w:tcPr>
            <w:tcW w:w="2538"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01AA0F06" w14:textId="77777777" w:rsidR="004C11AA" w:rsidRPr="00DF4CE5" w:rsidRDefault="004C11AA" w:rsidP="004C11AA">
            <w:pPr>
              <w:spacing w:after="0" w:line="240" w:lineRule="auto"/>
              <w:ind w:left="32"/>
              <w:rPr>
                <w:rFonts w:ascii="Cambria" w:eastAsia="Times New Roman" w:hAnsi="Cambria" w:cs="Times New Roman"/>
                <w:lang w:val="hr-HR" w:eastAsia="hr-HR"/>
              </w:rPr>
            </w:pPr>
            <w:r w:rsidRPr="00DF4CE5">
              <w:rPr>
                <w:rFonts w:ascii="Cambria" w:eastAsia="Calibri" w:hAnsi="Cambria" w:cs="Calibri"/>
                <w:lang w:val="hr-HR" w:eastAsia="hr-HR"/>
              </w:rPr>
              <w:t xml:space="preserve">Rokovi ispita i kolokvija </w:t>
            </w:r>
          </w:p>
        </w:tc>
        <w:tc>
          <w:tcPr>
            <w:tcW w:w="6960" w:type="dxa"/>
            <w:gridSpan w:val="7"/>
            <w:tcBorders>
              <w:top w:val="single" w:sz="8" w:space="0" w:color="000000"/>
              <w:left w:val="single" w:sz="8" w:space="0" w:color="000000"/>
              <w:bottom w:val="single" w:sz="8" w:space="0" w:color="000000"/>
              <w:right w:val="single" w:sz="8" w:space="0" w:color="000000"/>
            </w:tcBorders>
          </w:tcPr>
          <w:p w14:paraId="740F1019" w14:textId="77777777" w:rsidR="004C11AA" w:rsidRPr="00DF4CE5" w:rsidRDefault="004C11AA" w:rsidP="004C11AA">
            <w:pPr>
              <w:spacing w:after="0" w:line="240" w:lineRule="auto"/>
              <w:ind w:left="36"/>
              <w:rPr>
                <w:rFonts w:ascii="Cambria" w:eastAsia="Times New Roman" w:hAnsi="Cambria" w:cs="Times New Roman"/>
                <w:lang w:val="hr-HR" w:eastAsia="hr-HR"/>
              </w:rPr>
            </w:pPr>
            <w:r w:rsidRPr="00DF4CE5">
              <w:rPr>
                <w:rFonts w:ascii="Cambria" w:eastAsia="Calibri" w:hAnsi="Cambria" w:cs="Calibri"/>
                <w:lang w:val="hr-HR" w:eastAsia="hr-HR"/>
              </w:rPr>
              <w:t xml:space="preserve">Daju se na početku akademske godine, objavljuju se na mrežnim stranicama Sveučilišta i u ISVU </w:t>
            </w:r>
          </w:p>
        </w:tc>
      </w:tr>
      <w:tr w:rsidR="004C11AA" w:rsidRPr="00DF4CE5" w14:paraId="1EC78DA5" w14:textId="77777777" w:rsidTr="00E62F3F">
        <w:tblPrEx>
          <w:tblCellMar>
            <w:top w:w="56" w:type="dxa"/>
            <w:left w:w="111" w:type="dxa"/>
            <w:right w:w="44" w:type="dxa"/>
          </w:tblCellMar>
        </w:tblPrEx>
        <w:trPr>
          <w:trHeight w:val="701"/>
        </w:trPr>
        <w:tc>
          <w:tcPr>
            <w:tcW w:w="2538" w:type="dxa"/>
            <w:tcBorders>
              <w:top w:val="single" w:sz="8" w:space="0" w:color="000000"/>
              <w:left w:val="single" w:sz="8" w:space="0" w:color="000000"/>
              <w:bottom w:val="single" w:sz="8" w:space="0" w:color="000000"/>
              <w:right w:val="single" w:sz="8" w:space="0" w:color="000000"/>
            </w:tcBorders>
            <w:shd w:val="clear" w:color="auto" w:fill="F3F3F3"/>
          </w:tcPr>
          <w:p w14:paraId="7033156A" w14:textId="77777777" w:rsidR="00826F4D" w:rsidRDefault="00826F4D" w:rsidP="00826F4D">
            <w:pPr>
              <w:spacing w:after="0" w:line="240" w:lineRule="auto"/>
              <w:ind w:left="32"/>
              <w:rPr>
                <w:rFonts w:ascii="Cambria" w:eastAsia="Calibri" w:hAnsi="Cambria" w:cs="Calibri"/>
                <w:lang w:val="hr-HR" w:eastAsia="hr-HR"/>
              </w:rPr>
            </w:pPr>
          </w:p>
          <w:p w14:paraId="33E65BDF" w14:textId="77777777" w:rsidR="00826F4D" w:rsidRDefault="00826F4D" w:rsidP="00826F4D">
            <w:pPr>
              <w:spacing w:after="0" w:line="240" w:lineRule="auto"/>
              <w:ind w:left="32"/>
              <w:rPr>
                <w:rFonts w:ascii="Cambria" w:eastAsia="Calibri" w:hAnsi="Cambria" w:cs="Calibri"/>
                <w:lang w:val="hr-HR" w:eastAsia="hr-HR"/>
              </w:rPr>
            </w:pPr>
          </w:p>
          <w:p w14:paraId="1BFC974B" w14:textId="72C969A2" w:rsidR="004C11AA" w:rsidRPr="00DF4CE5" w:rsidRDefault="004C11AA" w:rsidP="00826F4D">
            <w:pPr>
              <w:spacing w:after="0" w:line="240" w:lineRule="auto"/>
              <w:ind w:left="32"/>
              <w:rPr>
                <w:rFonts w:ascii="Cambria" w:eastAsia="Times New Roman" w:hAnsi="Cambria" w:cs="Times New Roman"/>
                <w:lang w:val="hr-HR" w:eastAsia="hr-HR"/>
              </w:rPr>
            </w:pPr>
            <w:r w:rsidRPr="00DF4CE5">
              <w:rPr>
                <w:rFonts w:ascii="Cambria" w:eastAsia="Calibri" w:hAnsi="Cambria" w:cs="Calibri"/>
                <w:lang w:val="hr-HR" w:eastAsia="hr-HR"/>
              </w:rPr>
              <w:t xml:space="preserve">Ostale važne činjenice vezane uz kolegij </w:t>
            </w:r>
          </w:p>
        </w:tc>
        <w:tc>
          <w:tcPr>
            <w:tcW w:w="6960" w:type="dxa"/>
            <w:gridSpan w:val="7"/>
            <w:tcBorders>
              <w:top w:val="single" w:sz="8" w:space="0" w:color="000000"/>
              <w:left w:val="single" w:sz="8" w:space="0" w:color="000000"/>
              <w:bottom w:val="single" w:sz="4" w:space="0" w:color="auto"/>
              <w:right w:val="single" w:sz="8" w:space="0" w:color="000000"/>
            </w:tcBorders>
            <w:vAlign w:val="center"/>
          </w:tcPr>
          <w:p w14:paraId="4444D04B" w14:textId="77777777" w:rsidR="004C11AA" w:rsidRPr="00DF4CE5" w:rsidRDefault="004C11AA" w:rsidP="004C11AA">
            <w:pPr>
              <w:spacing w:after="0" w:line="240" w:lineRule="auto"/>
              <w:ind w:left="36"/>
              <w:rPr>
                <w:rFonts w:ascii="Cambria" w:eastAsia="Calibri" w:hAnsi="Cambria" w:cs="Calibri"/>
                <w:lang w:val="hr-HR" w:eastAsia="hr-HR"/>
              </w:rPr>
            </w:pPr>
            <w:r w:rsidRPr="00DF4CE5">
              <w:rPr>
                <w:rFonts w:ascii="Cambria" w:eastAsia="Calibri" w:hAnsi="Cambria" w:cs="Calibri"/>
                <w:lang w:val="hr-HR" w:eastAsia="hr-HR"/>
              </w:rPr>
              <w:t xml:space="preserve">Prezentacije s predavanja objavljuju se na e-učenju </w:t>
            </w:r>
          </w:p>
          <w:p w14:paraId="1EF7AD7E" w14:textId="0909653D" w:rsidR="004C11AA" w:rsidRPr="00DF4CE5" w:rsidRDefault="004C11AA" w:rsidP="004C11AA">
            <w:pPr>
              <w:spacing w:after="0" w:line="240" w:lineRule="auto"/>
              <w:ind w:left="36"/>
              <w:rPr>
                <w:rFonts w:ascii="Cambria" w:eastAsia="Times New Roman" w:hAnsi="Cambria" w:cs="Times New Roman"/>
                <w:lang w:val="hr-HR" w:eastAsia="hr-HR"/>
              </w:rPr>
            </w:pPr>
            <w:r w:rsidRPr="00DF4CE5">
              <w:rPr>
                <w:rFonts w:ascii="Cambria" w:eastAsia="Times New Roman" w:hAnsi="Cambria" w:cs="Calibri"/>
                <w:lang w:val="hr-HR" w:eastAsia="hr-HR"/>
              </w:rPr>
              <w:t xml:space="preserve">U slučaju održavanja nastave na daljinu, moguće je odstupanje u: mjestu izvođenja kolegija, provedbi aktivnosti, metoda tumačenja i poučavanja i načinima vrednovanja, studentskim obvezama i dostupnoj literaturi. </w:t>
            </w:r>
            <w:r w:rsidRPr="00DF4CE5">
              <w:rPr>
                <w:rFonts w:ascii="Cambria" w:hAnsi="Cambria"/>
                <w:lang w:val="hr-HR"/>
              </w:rPr>
              <w:t>Nositeljica kolegija</w:t>
            </w:r>
            <w:r w:rsidR="00065CB8" w:rsidRPr="00DF4CE5">
              <w:rPr>
                <w:rFonts w:ascii="Cambria" w:hAnsi="Cambria"/>
                <w:lang w:val="hr-HR"/>
              </w:rPr>
              <w:t xml:space="preserve"> i </w:t>
            </w:r>
            <w:r w:rsidRPr="00DF4CE5">
              <w:rPr>
                <w:rFonts w:ascii="Cambria" w:hAnsi="Cambria"/>
                <w:lang w:val="hr-HR"/>
              </w:rPr>
              <w:t>predavačica obavijestit će studente i studentice o navedenom prilikom početka održavanja nastav</w:t>
            </w:r>
            <w:r w:rsidR="00065CB8" w:rsidRPr="00DF4CE5">
              <w:rPr>
                <w:rFonts w:ascii="Cambria" w:hAnsi="Cambria"/>
                <w:lang w:val="hr-HR"/>
              </w:rPr>
              <w:t>e</w:t>
            </w:r>
            <w:r w:rsidRPr="00DF4CE5">
              <w:rPr>
                <w:rFonts w:ascii="Cambria" w:hAnsi="Cambria"/>
                <w:lang w:val="hr-HR"/>
              </w:rPr>
              <w:t xml:space="preserve">. </w:t>
            </w:r>
            <w:r w:rsidRPr="00DF4CE5">
              <w:rPr>
                <w:rFonts w:ascii="Cambria" w:eastAsia="Times New Roman" w:hAnsi="Cambria" w:cs="Calibri"/>
                <w:lang w:val="hr-HR" w:eastAsia="hr-HR"/>
              </w:rPr>
              <w:t>Ishodi učenja ostaju nepromijenjeni.</w:t>
            </w:r>
          </w:p>
        </w:tc>
      </w:tr>
      <w:tr w:rsidR="004C11AA" w:rsidRPr="00DF4CE5" w14:paraId="117BAB2F" w14:textId="77777777" w:rsidTr="00E62F3F">
        <w:tblPrEx>
          <w:tblCellMar>
            <w:top w:w="56" w:type="dxa"/>
            <w:left w:w="111" w:type="dxa"/>
            <w:right w:w="44" w:type="dxa"/>
          </w:tblCellMar>
        </w:tblPrEx>
        <w:trPr>
          <w:trHeight w:val="491"/>
        </w:trPr>
        <w:tc>
          <w:tcPr>
            <w:tcW w:w="2538"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6891C8BB" w14:textId="77777777" w:rsidR="004C11AA" w:rsidRPr="00DF4CE5" w:rsidRDefault="004C11AA" w:rsidP="004C11AA">
            <w:pPr>
              <w:spacing w:after="0" w:line="240" w:lineRule="auto"/>
              <w:ind w:left="32"/>
              <w:rPr>
                <w:rFonts w:ascii="Cambria" w:eastAsia="Times New Roman" w:hAnsi="Cambria" w:cs="Times New Roman"/>
                <w:lang w:val="hr-HR" w:eastAsia="hr-HR"/>
              </w:rPr>
            </w:pPr>
            <w:r w:rsidRPr="00DF4CE5">
              <w:rPr>
                <w:rFonts w:ascii="Cambria" w:eastAsia="Calibri" w:hAnsi="Cambria" w:cs="Calibri"/>
                <w:lang w:val="hr-HR" w:eastAsia="hr-HR"/>
              </w:rPr>
              <w:t xml:space="preserve">Literatura </w:t>
            </w:r>
          </w:p>
        </w:tc>
        <w:tc>
          <w:tcPr>
            <w:tcW w:w="6960" w:type="dxa"/>
            <w:gridSpan w:val="7"/>
            <w:tcBorders>
              <w:top w:val="single" w:sz="4" w:space="0" w:color="auto"/>
              <w:left w:val="single" w:sz="8" w:space="0" w:color="000000"/>
              <w:bottom w:val="single" w:sz="8" w:space="0" w:color="000000"/>
              <w:right w:val="single" w:sz="8" w:space="0" w:color="000000"/>
            </w:tcBorders>
          </w:tcPr>
          <w:p w14:paraId="3BCEAD50" w14:textId="77777777" w:rsidR="004C11AA" w:rsidRPr="00DF4CE5" w:rsidRDefault="004C11AA" w:rsidP="004C11AA">
            <w:pPr>
              <w:spacing w:after="0" w:line="240" w:lineRule="auto"/>
              <w:ind w:left="36"/>
              <w:rPr>
                <w:rFonts w:ascii="Cambria" w:eastAsia="Times New Roman" w:hAnsi="Cambria" w:cs="Times New Roman"/>
                <w:lang w:val="hr-HR" w:eastAsia="hr-HR"/>
              </w:rPr>
            </w:pPr>
            <w:r w:rsidRPr="00DF4CE5">
              <w:rPr>
                <w:rFonts w:ascii="Cambria" w:eastAsia="Calibri" w:hAnsi="Cambria" w:cs="Calibri"/>
                <w:u w:color="000000"/>
                <w:lang w:val="hr-HR" w:eastAsia="hr-HR"/>
              </w:rPr>
              <w:t>Obvezna:</w:t>
            </w:r>
          </w:p>
          <w:p w14:paraId="02DBA7D0" w14:textId="77777777" w:rsidR="004C11AA" w:rsidRPr="00DF4CE5" w:rsidRDefault="004C11AA" w:rsidP="00065CB8">
            <w:pPr>
              <w:spacing w:after="0" w:line="240" w:lineRule="auto"/>
              <w:ind w:left="108"/>
              <w:rPr>
                <w:rFonts w:ascii="Cambria" w:eastAsia="Times New Roman" w:hAnsi="Cambria" w:cs="Times New Roman"/>
                <w:lang w:val="hr-HR" w:eastAsia="hr-HR"/>
              </w:rPr>
            </w:pPr>
            <w:r w:rsidRPr="00DF4CE5">
              <w:rPr>
                <w:rFonts w:ascii="Cambria" w:eastAsia="Calibri" w:hAnsi="Cambria" w:cs="Calibri"/>
                <w:lang w:val="hr-HR" w:eastAsia="hr-HR"/>
              </w:rPr>
              <w:t xml:space="preserve">1. </w:t>
            </w:r>
            <w:proofErr w:type="spellStart"/>
            <w:r w:rsidRPr="00DF4CE5">
              <w:rPr>
                <w:rFonts w:ascii="Cambria" w:eastAsia="Calibri" w:hAnsi="Cambria" w:cs="Calibri"/>
                <w:lang w:val="hr-HR" w:eastAsia="hr-HR"/>
              </w:rPr>
              <w:t>Berk</w:t>
            </w:r>
            <w:proofErr w:type="spellEnd"/>
            <w:r w:rsidRPr="00DF4CE5">
              <w:rPr>
                <w:rFonts w:ascii="Cambria" w:eastAsia="Calibri" w:hAnsi="Cambria" w:cs="Calibri"/>
                <w:lang w:val="hr-HR" w:eastAsia="hr-HR"/>
              </w:rPr>
              <w:t xml:space="preserve">, L. (2008). </w:t>
            </w:r>
            <w:r w:rsidRPr="00DF4CE5">
              <w:rPr>
                <w:rFonts w:ascii="Cambria" w:eastAsia="Calibri" w:hAnsi="Cambria" w:cs="Calibri"/>
                <w:i/>
                <w:iCs/>
                <w:lang w:val="hr-HR" w:eastAsia="hr-HR"/>
              </w:rPr>
              <w:t>Psihologija cjeloživotnog razvoja</w:t>
            </w:r>
            <w:r w:rsidRPr="00DF4CE5">
              <w:rPr>
                <w:rFonts w:ascii="Cambria" w:eastAsia="Calibri" w:hAnsi="Cambria" w:cs="Calibri"/>
                <w:lang w:val="hr-HR" w:eastAsia="hr-HR"/>
              </w:rPr>
              <w:t xml:space="preserve">. Naklada Slap, </w:t>
            </w:r>
          </w:p>
          <w:p w14:paraId="3FC1908F" w14:textId="77777777" w:rsidR="004C11AA" w:rsidRPr="00DF4CE5" w:rsidRDefault="004C11AA" w:rsidP="00065CB8">
            <w:pPr>
              <w:spacing w:after="0" w:line="240" w:lineRule="auto"/>
              <w:ind w:right="116"/>
              <w:rPr>
                <w:rFonts w:ascii="Cambria" w:eastAsia="Calibri" w:hAnsi="Cambria" w:cs="Calibri"/>
                <w:lang w:val="hr-HR" w:eastAsia="hr-HR"/>
              </w:rPr>
            </w:pPr>
            <w:r w:rsidRPr="00DF4CE5">
              <w:rPr>
                <w:rFonts w:ascii="Cambria" w:eastAsia="Calibri" w:hAnsi="Cambria" w:cs="Calibri"/>
                <w:lang w:val="hr-HR" w:eastAsia="hr-HR"/>
              </w:rPr>
              <w:t>Jastrebarsko.</w:t>
            </w:r>
          </w:p>
          <w:p w14:paraId="71176437" w14:textId="0391847C" w:rsidR="004C11AA" w:rsidRPr="00DF4CE5" w:rsidRDefault="004C11AA" w:rsidP="001222A9">
            <w:pPr>
              <w:spacing w:after="0" w:line="240" w:lineRule="auto"/>
              <w:ind w:right="116"/>
              <w:rPr>
                <w:rFonts w:ascii="Cambria" w:eastAsia="Times New Roman" w:hAnsi="Cambria" w:cs="Times New Roman"/>
                <w:lang w:val="hr-HR" w:eastAsia="hr-HR"/>
              </w:rPr>
            </w:pPr>
            <w:r w:rsidRPr="00DF4CE5">
              <w:rPr>
                <w:rFonts w:ascii="Cambria" w:eastAsia="Calibri" w:hAnsi="Cambria" w:cs="Calibri"/>
                <w:lang w:val="hr-HR" w:eastAsia="hr-HR"/>
              </w:rPr>
              <w:t xml:space="preserve"> (str. 8-41, 44-73, 277-308, 314-340,  344-361, 382-407, 434-443, 446, 449-477, 494-509, 512-514, 518-542, 570-581, 584. 587-615) </w:t>
            </w:r>
          </w:p>
          <w:p w14:paraId="296C77CF" w14:textId="77777777" w:rsidR="004C11AA" w:rsidRPr="00DF4CE5" w:rsidRDefault="004C11AA" w:rsidP="00065CB8">
            <w:pPr>
              <w:spacing w:after="0" w:line="240" w:lineRule="auto"/>
              <w:ind w:left="36"/>
              <w:rPr>
                <w:rFonts w:ascii="Cambria" w:eastAsia="Calibri" w:hAnsi="Cambria" w:cs="Calibri"/>
                <w:u w:color="000000"/>
                <w:lang w:val="hr-HR" w:eastAsia="hr-HR"/>
              </w:rPr>
            </w:pPr>
            <w:r w:rsidRPr="00DF4CE5">
              <w:rPr>
                <w:rFonts w:ascii="Cambria" w:eastAsia="Calibri" w:hAnsi="Cambria" w:cs="Calibri"/>
                <w:u w:color="000000"/>
                <w:lang w:val="hr-HR" w:eastAsia="hr-HR"/>
              </w:rPr>
              <w:t>Izborna:</w:t>
            </w:r>
          </w:p>
          <w:p w14:paraId="413D1458" w14:textId="77777777" w:rsidR="004C11AA" w:rsidRPr="00DF4CE5" w:rsidRDefault="004C11AA" w:rsidP="00A034E3">
            <w:pPr>
              <w:numPr>
                <w:ilvl w:val="0"/>
                <w:numId w:val="10"/>
              </w:numPr>
              <w:spacing w:after="0" w:line="240" w:lineRule="auto"/>
              <w:ind w:left="321" w:hanging="251"/>
              <w:contextualSpacing/>
              <w:rPr>
                <w:rFonts w:ascii="Cambria" w:eastAsia="Times New Roman" w:hAnsi="Cambria" w:cs="Times New Roman"/>
                <w:lang w:val="hr-HR" w:eastAsia="hr-HR"/>
              </w:rPr>
            </w:pPr>
            <w:proofErr w:type="spellStart"/>
            <w:r w:rsidRPr="00DF4CE5">
              <w:rPr>
                <w:rFonts w:ascii="Cambria" w:eastAsia="Times New Roman" w:hAnsi="Cambria" w:cs="Times New Roman"/>
                <w:lang w:val="hr-HR" w:eastAsia="hr-HR"/>
              </w:rPr>
              <w:t>Ambrosi-Randić</w:t>
            </w:r>
            <w:proofErr w:type="spellEnd"/>
            <w:r w:rsidRPr="00DF4CE5">
              <w:rPr>
                <w:rFonts w:ascii="Cambria" w:eastAsia="Times New Roman" w:hAnsi="Cambria" w:cs="Times New Roman"/>
                <w:lang w:val="hr-HR" w:eastAsia="hr-HR"/>
              </w:rPr>
              <w:t xml:space="preserve">, N., &amp; Plavšić, M. (2008). </w:t>
            </w:r>
            <w:r w:rsidRPr="00DF4CE5">
              <w:rPr>
                <w:rFonts w:ascii="Cambria" w:eastAsia="Times New Roman" w:hAnsi="Cambria" w:cs="Times New Roman"/>
                <w:i/>
                <w:iCs/>
                <w:lang w:val="hr-HR" w:eastAsia="hr-HR"/>
              </w:rPr>
              <w:t>Uspješno starenje</w:t>
            </w:r>
            <w:r w:rsidRPr="00DF4CE5">
              <w:rPr>
                <w:rFonts w:ascii="Cambria" w:eastAsia="Times New Roman" w:hAnsi="Cambria" w:cs="Times New Roman"/>
                <w:lang w:val="hr-HR" w:eastAsia="hr-HR"/>
              </w:rPr>
              <w:t xml:space="preserve">. Društvo psihologa Istre-Istarska županija-Sveučilište J. Dobrile, Pula. </w:t>
            </w:r>
          </w:p>
          <w:p w14:paraId="5F424D22" w14:textId="77777777" w:rsidR="004C11AA" w:rsidRPr="00DF4CE5" w:rsidRDefault="004C11AA" w:rsidP="00A034E3">
            <w:pPr>
              <w:numPr>
                <w:ilvl w:val="0"/>
                <w:numId w:val="10"/>
              </w:numPr>
              <w:spacing w:after="0" w:line="240" w:lineRule="auto"/>
              <w:ind w:left="321" w:hanging="251"/>
              <w:contextualSpacing/>
              <w:rPr>
                <w:rFonts w:ascii="Cambria" w:eastAsia="Times New Roman" w:hAnsi="Cambria" w:cs="Times New Roman"/>
                <w:lang w:val="hr-HR" w:eastAsia="hr-HR"/>
              </w:rPr>
            </w:pPr>
            <w:proofErr w:type="spellStart"/>
            <w:r w:rsidRPr="00DF4CE5">
              <w:rPr>
                <w:rFonts w:ascii="Cambria" w:eastAsia="Times New Roman" w:hAnsi="Cambria" w:cs="Times New Roman"/>
                <w:lang w:val="hr-HR" w:eastAsia="hr-HR"/>
              </w:rPr>
              <w:t>Berk</w:t>
            </w:r>
            <w:proofErr w:type="spellEnd"/>
            <w:r w:rsidRPr="00DF4CE5">
              <w:rPr>
                <w:rFonts w:ascii="Cambria" w:eastAsia="Times New Roman" w:hAnsi="Cambria" w:cs="Times New Roman"/>
                <w:lang w:val="hr-HR" w:eastAsia="hr-HR"/>
              </w:rPr>
              <w:t xml:space="preserve">, L. (2015). </w:t>
            </w:r>
            <w:r w:rsidRPr="00DF4CE5">
              <w:rPr>
                <w:rFonts w:ascii="Cambria" w:eastAsia="Times New Roman" w:hAnsi="Cambria" w:cs="Times New Roman"/>
                <w:i/>
                <w:iCs/>
                <w:lang w:val="hr-HR" w:eastAsia="hr-HR"/>
              </w:rPr>
              <w:t>Dječja razvojna psihologija</w:t>
            </w:r>
            <w:r w:rsidRPr="00DF4CE5">
              <w:rPr>
                <w:rFonts w:ascii="Cambria" w:eastAsia="Times New Roman" w:hAnsi="Cambria" w:cs="Times New Roman"/>
                <w:lang w:val="hr-HR" w:eastAsia="hr-HR"/>
              </w:rPr>
              <w:t xml:space="preserve">. Naklada Slap, Jastrebarsko. </w:t>
            </w:r>
          </w:p>
          <w:p w14:paraId="0D95F10A" w14:textId="77777777" w:rsidR="004C11AA" w:rsidRPr="00DF4CE5" w:rsidRDefault="004C11AA" w:rsidP="00A034E3">
            <w:pPr>
              <w:numPr>
                <w:ilvl w:val="0"/>
                <w:numId w:val="10"/>
              </w:numPr>
              <w:spacing w:after="0" w:line="240" w:lineRule="auto"/>
              <w:ind w:left="321" w:hanging="251"/>
              <w:contextualSpacing/>
              <w:rPr>
                <w:rFonts w:ascii="Cambria" w:eastAsia="Times New Roman" w:hAnsi="Cambria" w:cs="Times New Roman"/>
                <w:lang w:val="hr-HR" w:eastAsia="hr-HR"/>
              </w:rPr>
            </w:pPr>
            <w:r w:rsidRPr="00DF4CE5">
              <w:rPr>
                <w:rFonts w:ascii="Cambria" w:eastAsia="Times New Roman" w:hAnsi="Cambria" w:cs="Times New Roman"/>
                <w:lang w:val="hr-HR" w:eastAsia="hr-HR"/>
              </w:rPr>
              <w:t xml:space="preserve">Bilić, V., Buljan </w:t>
            </w:r>
            <w:proofErr w:type="spellStart"/>
            <w:r w:rsidRPr="00DF4CE5">
              <w:rPr>
                <w:rFonts w:ascii="Cambria" w:eastAsia="Times New Roman" w:hAnsi="Cambria" w:cs="Times New Roman"/>
                <w:lang w:val="hr-HR" w:eastAsia="hr-HR"/>
              </w:rPr>
              <w:t>Flander</w:t>
            </w:r>
            <w:proofErr w:type="spellEnd"/>
            <w:r w:rsidRPr="00DF4CE5">
              <w:rPr>
                <w:rFonts w:ascii="Cambria" w:eastAsia="Times New Roman" w:hAnsi="Cambria" w:cs="Times New Roman"/>
                <w:lang w:val="hr-HR" w:eastAsia="hr-HR"/>
              </w:rPr>
              <w:t xml:space="preserve">, G.,  &amp; </w:t>
            </w:r>
            <w:proofErr w:type="spellStart"/>
            <w:r w:rsidRPr="00DF4CE5">
              <w:rPr>
                <w:rFonts w:ascii="Cambria" w:eastAsia="Times New Roman" w:hAnsi="Cambria" w:cs="Times New Roman"/>
                <w:lang w:val="hr-HR" w:eastAsia="hr-HR"/>
              </w:rPr>
              <w:t>Hrpka</w:t>
            </w:r>
            <w:proofErr w:type="spellEnd"/>
            <w:r w:rsidRPr="00DF4CE5">
              <w:rPr>
                <w:rFonts w:ascii="Cambria" w:eastAsia="Times New Roman" w:hAnsi="Cambria" w:cs="Times New Roman"/>
                <w:lang w:val="hr-HR" w:eastAsia="hr-HR"/>
              </w:rPr>
              <w:t xml:space="preserve">, H.  (2012). </w:t>
            </w:r>
            <w:r w:rsidRPr="00DF4CE5">
              <w:rPr>
                <w:rFonts w:ascii="Cambria" w:eastAsia="Times New Roman" w:hAnsi="Cambria" w:cs="Times New Roman"/>
                <w:i/>
                <w:iCs/>
                <w:lang w:val="hr-HR" w:eastAsia="hr-HR"/>
              </w:rPr>
              <w:t>Nasilje nad djecom i među djecom</w:t>
            </w:r>
            <w:r w:rsidRPr="00DF4CE5">
              <w:rPr>
                <w:rFonts w:ascii="Cambria" w:eastAsia="Times New Roman" w:hAnsi="Cambria" w:cs="Times New Roman"/>
                <w:lang w:val="hr-HR" w:eastAsia="hr-HR"/>
              </w:rPr>
              <w:t xml:space="preserve">. Naklada Slap, Zagreb. </w:t>
            </w:r>
          </w:p>
          <w:p w14:paraId="4C4CBE63" w14:textId="77777777" w:rsidR="004C11AA" w:rsidRPr="00DF4CE5" w:rsidRDefault="004C11AA" w:rsidP="00A034E3">
            <w:pPr>
              <w:numPr>
                <w:ilvl w:val="0"/>
                <w:numId w:val="10"/>
              </w:numPr>
              <w:spacing w:after="0" w:line="240" w:lineRule="auto"/>
              <w:ind w:left="321" w:hanging="251"/>
              <w:contextualSpacing/>
              <w:rPr>
                <w:rFonts w:ascii="Cambria" w:eastAsia="Times New Roman" w:hAnsi="Cambria" w:cs="Times New Roman"/>
                <w:lang w:val="hr-HR" w:eastAsia="hr-HR"/>
              </w:rPr>
            </w:pPr>
            <w:proofErr w:type="spellStart"/>
            <w:r w:rsidRPr="00DF4CE5">
              <w:rPr>
                <w:rFonts w:ascii="Cambria" w:eastAsia="Times New Roman" w:hAnsi="Cambria" w:cs="Times New Roman"/>
                <w:lang w:val="hr-HR" w:eastAsia="hr-HR"/>
              </w:rPr>
              <w:t>Buggle</w:t>
            </w:r>
            <w:proofErr w:type="spellEnd"/>
            <w:r w:rsidRPr="00DF4CE5">
              <w:rPr>
                <w:rFonts w:ascii="Cambria" w:eastAsia="Times New Roman" w:hAnsi="Cambria" w:cs="Times New Roman"/>
                <w:lang w:val="hr-HR" w:eastAsia="hr-HR"/>
              </w:rPr>
              <w:t xml:space="preserve">, F. (2002). </w:t>
            </w:r>
            <w:r w:rsidRPr="00DF4CE5">
              <w:rPr>
                <w:rFonts w:ascii="Cambria" w:eastAsia="Times New Roman" w:hAnsi="Cambria" w:cs="Times New Roman"/>
                <w:i/>
                <w:iCs/>
                <w:lang w:val="hr-HR" w:eastAsia="hr-HR"/>
              </w:rPr>
              <w:t>Razvojna psihologija Jeana Piageta</w:t>
            </w:r>
            <w:r w:rsidRPr="00DF4CE5">
              <w:rPr>
                <w:rFonts w:ascii="Cambria" w:eastAsia="Times New Roman" w:hAnsi="Cambria" w:cs="Times New Roman"/>
                <w:lang w:val="hr-HR" w:eastAsia="hr-HR"/>
              </w:rPr>
              <w:t xml:space="preserve">. Naklada Slap, Jastrebarsko. </w:t>
            </w:r>
          </w:p>
          <w:p w14:paraId="3730A6D2" w14:textId="77777777" w:rsidR="004C11AA" w:rsidRPr="00DF4CE5" w:rsidRDefault="004C11AA" w:rsidP="00A034E3">
            <w:pPr>
              <w:numPr>
                <w:ilvl w:val="0"/>
                <w:numId w:val="10"/>
              </w:numPr>
              <w:spacing w:after="0" w:line="240" w:lineRule="auto"/>
              <w:ind w:left="321" w:hanging="251"/>
              <w:contextualSpacing/>
              <w:rPr>
                <w:rFonts w:ascii="Cambria" w:eastAsia="Times New Roman" w:hAnsi="Cambria" w:cs="Times New Roman"/>
                <w:lang w:val="hr-HR" w:eastAsia="hr-HR"/>
              </w:rPr>
            </w:pPr>
            <w:r w:rsidRPr="00DF4CE5">
              <w:rPr>
                <w:rFonts w:ascii="Cambria" w:eastAsia="Times New Roman" w:hAnsi="Cambria" w:cs="Times New Roman"/>
                <w:lang w:val="hr-HR" w:eastAsia="hr-HR"/>
              </w:rPr>
              <w:t xml:space="preserve">Cesar, S.; Bijelić N., &amp; Hodžić A. (2011). </w:t>
            </w:r>
            <w:r w:rsidRPr="00DF4CE5">
              <w:rPr>
                <w:rFonts w:ascii="Cambria" w:eastAsia="Times New Roman" w:hAnsi="Cambria" w:cs="Times New Roman"/>
                <w:i/>
                <w:iCs/>
                <w:lang w:val="hr-HR" w:eastAsia="hr-HR"/>
              </w:rPr>
              <w:t>Imaš pravo znati</w:t>
            </w:r>
            <w:r w:rsidRPr="00DF4CE5">
              <w:rPr>
                <w:rFonts w:ascii="Cambria" w:eastAsia="Times New Roman" w:hAnsi="Cambria" w:cs="Times New Roman"/>
                <w:lang w:val="hr-HR" w:eastAsia="hr-HR"/>
              </w:rPr>
              <w:t xml:space="preserve">. CESI, Zagreb </w:t>
            </w:r>
          </w:p>
          <w:p w14:paraId="607C8B5F" w14:textId="77777777" w:rsidR="004C11AA" w:rsidRPr="00DF4CE5" w:rsidRDefault="004C11AA" w:rsidP="00A034E3">
            <w:pPr>
              <w:numPr>
                <w:ilvl w:val="0"/>
                <w:numId w:val="10"/>
              </w:numPr>
              <w:spacing w:after="0" w:line="240" w:lineRule="auto"/>
              <w:ind w:left="321" w:hanging="251"/>
              <w:contextualSpacing/>
              <w:rPr>
                <w:rFonts w:ascii="Cambria" w:eastAsia="Times New Roman" w:hAnsi="Cambria" w:cs="Times New Roman"/>
                <w:lang w:val="hr-HR" w:eastAsia="hr-HR"/>
              </w:rPr>
            </w:pPr>
            <w:proofErr w:type="spellStart"/>
            <w:r w:rsidRPr="00DF4CE5">
              <w:rPr>
                <w:rFonts w:ascii="Cambria" w:eastAsia="Times New Roman" w:hAnsi="Cambria" w:cs="Times New Roman"/>
                <w:lang w:val="hr-HR" w:eastAsia="hr-HR"/>
              </w:rPr>
              <w:t>Juul</w:t>
            </w:r>
            <w:proofErr w:type="spellEnd"/>
            <w:r w:rsidRPr="00DF4CE5">
              <w:rPr>
                <w:rFonts w:ascii="Cambria" w:eastAsia="Times New Roman" w:hAnsi="Cambria" w:cs="Times New Roman"/>
                <w:lang w:val="hr-HR" w:eastAsia="hr-HR"/>
              </w:rPr>
              <w:t xml:space="preserve">, J. (2017). </w:t>
            </w:r>
            <w:r w:rsidRPr="00DF4CE5">
              <w:rPr>
                <w:rFonts w:ascii="Cambria" w:eastAsia="Times New Roman" w:hAnsi="Cambria" w:cs="Times New Roman"/>
                <w:i/>
                <w:iCs/>
                <w:lang w:val="hr-HR" w:eastAsia="hr-HR"/>
              </w:rPr>
              <w:t>Vaše kompetentno dijete</w:t>
            </w:r>
            <w:r w:rsidRPr="00DF4CE5">
              <w:rPr>
                <w:rFonts w:ascii="Cambria" w:eastAsia="Times New Roman" w:hAnsi="Cambria" w:cs="Times New Roman"/>
                <w:lang w:val="hr-HR" w:eastAsia="hr-HR"/>
              </w:rPr>
              <w:t xml:space="preserve">. Naklada </w:t>
            </w:r>
            <w:proofErr w:type="spellStart"/>
            <w:r w:rsidRPr="00DF4CE5">
              <w:rPr>
                <w:rFonts w:ascii="Cambria" w:eastAsia="Times New Roman" w:hAnsi="Cambria" w:cs="Times New Roman"/>
                <w:lang w:val="hr-HR" w:eastAsia="hr-HR"/>
              </w:rPr>
              <w:t>OceanMore</w:t>
            </w:r>
            <w:proofErr w:type="spellEnd"/>
            <w:r w:rsidRPr="00DF4CE5">
              <w:rPr>
                <w:rFonts w:ascii="Cambria" w:eastAsia="Times New Roman" w:hAnsi="Cambria" w:cs="Times New Roman"/>
                <w:lang w:val="hr-HR" w:eastAsia="hr-HR"/>
              </w:rPr>
              <w:t xml:space="preserve">, Zagreb. </w:t>
            </w:r>
          </w:p>
          <w:p w14:paraId="24FBA77C" w14:textId="77777777" w:rsidR="004C11AA" w:rsidRPr="00DF4CE5" w:rsidRDefault="004C11AA" w:rsidP="00A034E3">
            <w:pPr>
              <w:numPr>
                <w:ilvl w:val="0"/>
                <w:numId w:val="10"/>
              </w:numPr>
              <w:spacing w:after="0" w:line="240" w:lineRule="auto"/>
              <w:ind w:left="321" w:hanging="251"/>
              <w:contextualSpacing/>
              <w:rPr>
                <w:rFonts w:ascii="Cambria" w:eastAsia="Times New Roman" w:hAnsi="Cambria" w:cs="Times New Roman"/>
                <w:lang w:val="hr-HR" w:eastAsia="hr-HR"/>
              </w:rPr>
            </w:pPr>
            <w:r w:rsidRPr="00DF4CE5">
              <w:rPr>
                <w:rFonts w:ascii="Cambria" w:eastAsia="Times New Roman" w:hAnsi="Cambria" w:cs="Times New Roman"/>
                <w:lang w:val="hr-HR" w:eastAsia="hr-HR"/>
              </w:rPr>
              <w:t xml:space="preserve">Despot </w:t>
            </w:r>
            <w:proofErr w:type="spellStart"/>
            <w:r w:rsidRPr="00DF4CE5">
              <w:rPr>
                <w:rFonts w:ascii="Cambria" w:eastAsia="Times New Roman" w:hAnsi="Cambria" w:cs="Times New Roman"/>
                <w:lang w:val="hr-HR" w:eastAsia="hr-HR"/>
              </w:rPr>
              <w:t>Lučanin</w:t>
            </w:r>
            <w:proofErr w:type="spellEnd"/>
            <w:r w:rsidRPr="00DF4CE5">
              <w:rPr>
                <w:rFonts w:ascii="Cambria" w:eastAsia="Times New Roman" w:hAnsi="Cambria" w:cs="Times New Roman"/>
                <w:lang w:val="hr-HR" w:eastAsia="hr-HR"/>
              </w:rPr>
              <w:t xml:space="preserve">, J. (2022). </w:t>
            </w:r>
            <w:r w:rsidRPr="00DF4CE5">
              <w:rPr>
                <w:rFonts w:ascii="Cambria" w:eastAsia="Times New Roman" w:hAnsi="Cambria" w:cs="Times New Roman"/>
                <w:i/>
                <w:iCs/>
                <w:lang w:val="hr-HR" w:eastAsia="hr-HR"/>
              </w:rPr>
              <w:t>Psihologija starenja: izazovi i prilagodba.</w:t>
            </w:r>
            <w:r w:rsidRPr="00DF4CE5">
              <w:rPr>
                <w:rFonts w:ascii="Cambria" w:eastAsia="Times New Roman" w:hAnsi="Cambria" w:cs="Times New Roman"/>
                <w:i/>
                <w:iCs/>
                <w:shd w:val="clear" w:color="auto" w:fill="FFFF00"/>
                <w:lang w:val="hr-HR" w:eastAsia="hr-HR"/>
              </w:rPr>
              <w:t xml:space="preserve"> </w:t>
            </w:r>
            <w:r w:rsidRPr="00DF4CE5">
              <w:rPr>
                <w:rFonts w:ascii="Cambria" w:eastAsia="Times New Roman" w:hAnsi="Cambria" w:cs="Times New Roman"/>
                <w:i/>
                <w:iCs/>
                <w:lang w:val="hr-HR" w:eastAsia="hr-HR"/>
              </w:rPr>
              <w:t>Naklada Slap</w:t>
            </w:r>
            <w:r w:rsidRPr="00DF4CE5">
              <w:rPr>
                <w:rFonts w:ascii="Cambria" w:eastAsia="Times New Roman" w:hAnsi="Cambria" w:cs="Times New Roman"/>
                <w:lang w:val="hr-HR" w:eastAsia="hr-HR"/>
              </w:rPr>
              <w:t xml:space="preserve">, Jastrebarsko. </w:t>
            </w:r>
          </w:p>
          <w:p w14:paraId="6F1801F2" w14:textId="77777777" w:rsidR="00D41DC9" w:rsidRPr="00DF4CE5" w:rsidRDefault="004C11AA" w:rsidP="00A034E3">
            <w:pPr>
              <w:numPr>
                <w:ilvl w:val="0"/>
                <w:numId w:val="10"/>
              </w:numPr>
              <w:spacing w:after="0" w:line="240" w:lineRule="auto"/>
              <w:ind w:left="321" w:hanging="251"/>
              <w:contextualSpacing/>
              <w:rPr>
                <w:rFonts w:ascii="Cambria" w:eastAsia="Times New Roman" w:hAnsi="Cambria" w:cs="Times New Roman"/>
                <w:lang w:val="hr-HR" w:eastAsia="hr-HR"/>
              </w:rPr>
            </w:pPr>
            <w:r w:rsidRPr="00DF4CE5">
              <w:rPr>
                <w:rFonts w:ascii="Cambria" w:eastAsia="Times New Roman" w:hAnsi="Cambria" w:cs="Times New Roman"/>
                <w:lang w:val="hr-HR" w:eastAsia="hr-HR"/>
              </w:rPr>
              <w:t xml:space="preserve">Kardum, I. (2003). </w:t>
            </w:r>
            <w:r w:rsidRPr="00DF4CE5">
              <w:rPr>
                <w:rFonts w:ascii="Cambria" w:eastAsia="Times New Roman" w:hAnsi="Cambria" w:cs="Times New Roman"/>
                <w:i/>
                <w:iCs/>
                <w:lang w:val="hr-HR" w:eastAsia="hr-HR"/>
              </w:rPr>
              <w:t>Evolucija i ljudsko ponašanje</w:t>
            </w:r>
            <w:r w:rsidRPr="00DF4CE5">
              <w:rPr>
                <w:rFonts w:ascii="Cambria" w:eastAsia="Times New Roman" w:hAnsi="Cambria" w:cs="Times New Roman"/>
                <w:lang w:val="hr-HR" w:eastAsia="hr-HR"/>
              </w:rPr>
              <w:t xml:space="preserve">. Jesenski i Turk, Zagreb. </w:t>
            </w:r>
          </w:p>
          <w:p w14:paraId="0B565C15" w14:textId="24F99747" w:rsidR="004C11AA" w:rsidRPr="00DF4CE5" w:rsidRDefault="004C11AA" w:rsidP="00A034E3">
            <w:pPr>
              <w:numPr>
                <w:ilvl w:val="0"/>
                <w:numId w:val="10"/>
              </w:numPr>
              <w:spacing w:after="0" w:line="240" w:lineRule="auto"/>
              <w:ind w:left="321" w:hanging="251"/>
              <w:contextualSpacing/>
              <w:rPr>
                <w:rFonts w:ascii="Cambria" w:eastAsia="Times New Roman" w:hAnsi="Cambria" w:cs="Times New Roman"/>
                <w:lang w:val="hr-HR" w:eastAsia="hr-HR"/>
              </w:rPr>
            </w:pPr>
            <w:r w:rsidRPr="00DF4CE5">
              <w:rPr>
                <w:rFonts w:ascii="Cambria" w:eastAsia="Times New Roman" w:hAnsi="Cambria" w:cs="Times New Roman"/>
                <w:lang w:val="hr-HR" w:eastAsia="hr-HR"/>
              </w:rPr>
              <w:t>Lacković Grgin, K. (2006).</w:t>
            </w:r>
            <w:r w:rsidRPr="00DF4CE5">
              <w:rPr>
                <w:rFonts w:ascii="Cambria" w:eastAsia="Times New Roman" w:hAnsi="Cambria" w:cs="Times New Roman"/>
                <w:i/>
                <w:iCs/>
                <w:lang w:val="hr-HR" w:eastAsia="hr-HR"/>
              </w:rPr>
              <w:t xml:space="preserve"> Psihologija </w:t>
            </w:r>
            <w:proofErr w:type="spellStart"/>
            <w:r w:rsidRPr="00DF4CE5">
              <w:rPr>
                <w:rFonts w:ascii="Cambria" w:eastAsia="Times New Roman" w:hAnsi="Cambria" w:cs="Times New Roman"/>
                <w:i/>
                <w:iCs/>
                <w:lang w:val="hr-HR" w:eastAsia="hr-HR"/>
              </w:rPr>
              <w:t>asolescencije</w:t>
            </w:r>
            <w:proofErr w:type="spellEnd"/>
            <w:r w:rsidRPr="00DF4CE5">
              <w:rPr>
                <w:rFonts w:ascii="Cambria" w:eastAsia="Times New Roman" w:hAnsi="Cambria" w:cs="Times New Roman"/>
                <w:lang w:val="hr-HR" w:eastAsia="hr-HR"/>
              </w:rPr>
              <w:t xml:space="preserve">. Naklada Slap, Jastrebarsko. </w:t>
            </w:r>
          </w:p>
          <w:p w14:paraId="171C0A79" w14:textId="6C20453B" w:rsidR="004C11AA" w:rsidRPr="00DF4CE5" w:rsidRDefault="004C11AA" w:rsidP="00A034E3">
            <w:pPr>
              <w:pStyle w:val="Odlomakpopisa"/>
              <w:numPr>
                <w:ilvl w:val="0"/>
                <w:numId w:val="10"/>
              </w:numPr>
              <w:spacing w:after="0" w:line="240" w:lineRule="auto"/>
              <w:rPr>
                <w:rFonts w:ascii="Cambria" w:eastAsia="Times New Roman" w:hAnsi="Cambria"/>
                <w:lang w:eastAsia="hr-HR"/>
              </w:rPr>
            </w:pPr>
            <w:r w:rsidRPr="00DF4CE5">
              <w:rPr>
                <w:rFonts w:ascii="Cambria" w:eastAsia="Times New Roman" w:hAnsi="Cambria"/>
                <w:lang w:eastAsia="hr-HR"/>
              </w:rPr>
              <w:t xml:space="preserve">Lacković Grgin, K., </w:t>
            </w:r>
            <w:proofErr w:type="spellStart"/>
            <w:r w:rsidRPr="00DF4CE5">
              <w:rPr>
                <w:rFonts w:ascii="Cambria" w:eastAsia="Times New Roman" w:hAnsi="Cambria"/>
                <w:lang w:eastAsia="hr-HR"/>
              </w:rPr>
              <w:t>Ćubela</w:t>
            </w:r>
            <w:proofErr w:type="spellEnd"/>
            <w:r w:rsidRPr="00DF4CE5">
              <w:rPr>
                <w:rFonts w:ascii="Cambria" w:eastAsia="Times New Roman" w:hAnsi="Cambria"/>
                <w:lang w:eastAsia="hr-HR"/>
              </w:rPr>
              <w:t xml:space="preserve"> </w:t>
            </w:r>
            <w:proofErr w:type="spellStart"/>
            <w:r w:rsidRPr="00DF4CE5">
              <w:rPr>
                <w:rFonts w:ascii="Cambria" w:eastAsia="Times New Roman" w:hAnsi="Cambria"/>
                <w:lang w:eastAsia="hr-HR"/>
              </w:rPr>
              <w:t>Adorić</w:t>
            </w:r>
            <w:proofErr w:type="spellEnd"/>
            <w:r w:rsidRPr="00DF4CE5">
              <w:rPr>
                <w:rFonts w:ascii="Cambria" w:eastAsia="Times New Roman" w:hAnsi="Cambria"/>
                <w:lang w:eastAsia="hr-HR"/>
              </w:rPr>
              <w:t xml:space="preserve">, V. (2006). </w:t>
            </w:r>
            <w:r w:rsidRPr="00DF4CE5">
              <w:rPr>
                <w:rFonts w:ascii="Cambria" w:eastAsia="Times New Roman" w:hAnsi="Cambria"/>
                <w:i/>
                <w:iCs/>
                <w:lang w:eastAsia="hr-HR"/>
              </w:rPr>
              <w:t>Odabrane teme iz psihologije odraslih</w:t>
            </w:r>
            <w:r w:rsidRPr="00DF4CE5">
              <w:rPr>
                <w:rFonts w:ascii="Cambria" w:eastAsia="Times New Roman" w:hAnsi="Cambria"/>
                <w:lang w:eastAsia="hr-HR"/>
              </w:rPr>
              <w:t xml:space="preserve">. Naklada Slap, Jastrebarsko. </w:t>
            </w:r>
          </w:p>
          <w:p w14:paraId="29CA90AF" w14:textId="77777777" w:rsidR="004C11AA" w:rsidRPr="00DF4CE5" w:rsidRDefault="004C11AA" w:rsidP="00065CB8">
            <w:pPr>
              <w:spacing w:after="0" w:line="240" w:lineRule="auto"/>
              <w:ind w:left="36"/>
              <w:rPr>
                <w:rFonts w:ascii="Cambria" w:eastAsia="Times New Roman" w:hAnsi="Cambria" w:cs="Times New Roman"/>
                <w:lang w:val="hr-HR" w:eastAsia="hr-HR"/>
              </w:rPr>
            </w:pPr>
            <w:r w:rsidRPr="00DF4CE5">
              <w:rPr>
                <w:rFonts w:ascii="Cambria" w:eastAsia="Times New Roman" w:hAnsi="Cambria" w:cs="Times New Roman"/>
                <w:lang w:val="hr-HR" w:eastAsia="hr-HR"/>
              </w:rPr>
              <w:t>Priručna:</w:t>
            </w:r>
          </w:p>
          <w:p w14:paraId="5B1D6369" w14:textId="77777777" w:rsidR="004C11AA" w:rsidRPr="00DF4CE5" w:rsidRDefault="004C11AA" w:rsidP="00065CB8">
            <w:pPr>
              <w:spacing w:after="0" w:line="240" w:lineRule="auto"/>
              <w:ind w:left="36"/>
              <w:rPr>
                <w:rFonts w:ascii="Cambria" w:eastAsia="Times New Roman" w:hAnsi="Cambria" w:cs="Times New Roman"/>
                <w:lang w:val="hr-HR" w:eastAsia="hr-HR"/>
              </w:rPr>
            </w:pPr>
            <w:r w:rsidRPr="00DF4CE5">
              <w:rPr>
                <w:rFonts w:ascii="Cambria" w:eastAsia="Times New Roman" w:hAnsi="Cambria" w:cs="Times New Roman"/>
                <w:lang w:val="hr-HR" w:eastAsia="hr-HR"/>
              </w:rPr>
              <w:t xml:space="preserve">1. </w:t>
            </w:r>
            <w:proofErr w:type="spellStart"/>
            <w:r w:rsidRPr="00DF4CE5">
              <w:rPr>
                <w:rFonts w:ascii="Cambria" w:eastAsia="Times New Roman" w:hAnsi="Cambria" w:cs="Times New Roman"/>
                <w:lang w:val="hr-HR" w:eastAsia="hr-HR"/>
              </w:rPr>
              <w:t>Petz</w:t>
            </w:r>
            <w:proofErr w:type="spellEnd"/>
            <w:r w:rsidRPr="00DF4CE5">
              <w:rPr>
                <w:rFonts w:ascii="Cambria" w:eastAsia="Times New Roman" w:hAnsi="Cambria" w:cs="Times New Roman"/>
                <w:lang w:val="hr-HR" w:eastAsia="hr-HR"/>
              </w:rPr>
              <w:t>, B. (</w:t>
            </w:r>
            <w:proofErr w:type="spellStart"/>
            <w:r w:rsidRPr="00DF4CE5">
              <w:rPr>
                <w:rFonts w:ascii="Cambria" w:eastAsia="Times New Roman" w:hAnsi="Cambria" w:cs="Times New Roman"/>
                <w:lang w:val="hr-HR" w:eastAsia="hr-HR"/>
              </w:rPr>
              <w:t>ur</w:t>
            </w:r>
            <w:proofErr w:type="spellEnd"/>
            <w:r w:rsidRPr="00DF4CE5">
              <w:rPr>
                <w:rFonts w:ascii="Cambria" w:eastAsia="Times New Roman" w:hAnsi="Cambria" w:cs="Times New Roman"/>
                <w:lang w:val="hr-HR" w:eastAsia="hr-HR"/>
              </w:rPr>
              <w:t xml:space="preserve">.). </w:t>
            </w:r>
            <w:r w:rsidRPr="00DF4CE5">
              <w:rPr>
                <w:rFonts w:ascii="Cambria" w:eastAsia="Times New Roman" w:hAnsi="Cambria" w:cs="Times New Roman"/>
                <w:i/>
                <w:iCs/>
                <w:lang w:val="hr-HR" w:eastAsia="hr-HR"/>
              </w:rPr>
              <w:t>Psihologijski rječnik.</w:t>
            </w:r>
            <w:r w:rsidRPr="00DF4CE5">
              <w:rPr>
                <w:rFonts w:ascii="Cambria" w:eastAsia="Times New Roman" w:hAnsi="Cambria" w:cs="Times New Roman"/>
                <w:lang w:val="hr-HR" w:eastAsia="hr-HR"/>
              </w:rPr>
              <w:t xml:space="preserve"> Naklada Slap, Jastrebarsko, 2005.</w:t>
            </w:r>
          </w:p>
        </w:tc>
      </w:tr>
    </w:tbl>
    <w:p w14:paraId="52DB0E74" w14:textId="77777777" w:rsidR="00760C3A" w:rsidRPr="00DF4CE5" w:rsidRDefault="00760C3A" w:rsidP="00F50454">
      <w:pPr>
        <w:rPr>
          <w:rFonts w:ascii="Cambria" w:hAnsi="Cambria"/>
        </w:rPr>
      </w:pPr>
    </w:p>
    <w:p w14:paraId="2EB93406" w14:textId="77777777" w:rsidR="00760C3A" w:rsidRPr="00DF4CE5" w:rsidRDefault="00760C3A" w:rsidP="00F50454">
      <w:pPr>
        <w:rPr>
          <w:rFonts w:ascii="Cambria" w:hAnsi="Cambria"/>
        </w:rPr>
      </w:pPr>
    </w:p>
    <w:p w14:paraId="2FCA6BF5" w14:textId="77777777" w:rsidR="00760C3A" w:rsidRPr="00DF4CE5" w:rsidRDefault="00760C3A" w:rsidP="00F50454">
      <w:pPr>
        <w:rPr>
          <w:rFonts w:ascii="Cambria" w:hAnsi="Cambria"/>
        </w:rPr>
      </w:pPr>
    </w:p>
    <w:p w14:paraId="1FCCAD90" w14:textId="77777777" w:rsidR="00760C3A" w:rsidRPr="00DF4CE5" w:rsidRDefault="00760C3A" w:rsidP="00F50454">
      <w:pPr>
        <w:rPr>
          <w:rFonts w:ascii="Cambria" w:hAnsi="Cambria"/>
        </w:rPr>
      </w:pPr>
    </w:p>
    <w:p w14:paraId="026D56C0" w14:textId="106261D4" w:rsidR="00760C3A" w:rsidRPr="00DF4CE5" w:rsidRDefault="004C11AA" w:rsidP="00F50454">
      <w:pPr>
        <w:rPr>
          <w:rFonts w:ascii="Cambria" w:hAnsi="Cambria"/>
        </w:rPr>
      </w:pPr>
      <w:r w:rsidRPr="00DF4CE5">
        <w:rPr>
          <w:rFonts w:ascii="Cambria" w:hAnsi="Cambria"/>
        </w:rPr>
        <w:br w:type="page"/>
      </w:r>
    </w:p>
    <w:tbl>
      <w:tblPr>
        <w:tblW w:w="5000" w:type="pct"/>
        <w:tblLayout w:type="fixed"/>
        <w:tblCellMar>
          <w:left w:w="0" w:type="dxa"/>
          <w:right w:w="0" w:type="dxa"/>
        </w:tblCellMar>
        <w:tblLook w:val="0600" w:firstRow="0" w:lastRow="0" w:firstColumn="0" w:lastColumn="0" w:noHBand="1" w:noVBand="1"/>
      </w:tblPr>
      <w:tblGrid>
        <w:gridCol w:w="2814"/>
        <w:gridCol w:w="2669"/>
        <w:gridCol w:w="105"/>
        <w:gridCol w:w="1167"/>
        <w:gridCol w:w="297"/>
        <w:gridCol w:w="470"/>
        <w:gridCol w:w="1084"/>
        <w:gridCol w:w="1414"/>
      </w:tblGrid>
      <w:tr w:rsidR="00F50454" w:rsidRPr="00DF4CE5" w14:paraId="73044512" w14:textId="77777777" w:rsidTr="00891E8C">
        <w:tc>
          <w:tcPr>
            <w:tcW w:w="9360"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253C6F3" w14:textId="77777777" w:rsidR="00F50454" w:rsidRPr="00DF4CE5" w:rsidRDefault="00F50454" w:rsidP="00891E8C">
            <w:pPr>
              <w:spacing w:after="0" w:line="240" w:lineRule="auto"/>
              <w:jc w:val="right"/>
              <w:rPr>
                <w:rFonts w:ascii="Cambria" w:hAnsi="Cambria" w:cs="Calibri"/>
                <w:b/>
              </w:rPr>
            </w:pPr>
            <w:r w:rsidRPr="00DF4CE5">
              <w:rPr>
                <w:rFonts w:ascii="Cambria" w:hAnsi="Cambria" w:cs="Calibri"/>
                <w:b/>
              </w:rPr>
              <w:lastRenderedPageBreak/>
              <w:t>IZVEDBENI PLAN NASTAVE KOLEGIJA</w:t>
            </w:r>
          </w:p>
        </w:tc>
      </w:tr>
      <w:tr w:rsidR="00F50454" w:rsidRPr="00DF4CE5" w14:paraId="54E68D70" w14:textId="77777777" w:rsidTr="00891E8C">
        <w:tc>
          <w:tcPr>
            <w:tcW w:w="26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5DAB9DB" w14:textId="77777777" w:rsidR="00F50454" w:rsidRPr="00DF4CE5" w:rsidRDefault="00F50454" w:rsidP="00891E8C">
            <w:pPr>
              <w:spacing w:after="0" w:line="240" w:lineRule="auto"/>
              <w:rPr>
                <w:rFonts w:ascii="Cambria" w:hAnsi="Cambria" w:cs="Calibri"/>
              </w:rPr>
            </w:pPr>
            <w:proofErr w:type="spellStart"/>
            <w:r w:rsidRPr="00DF4CE5">
              <w:rPr>
                <w:rFonts w:ascii="Cambria" w:hAnsi="Cambria" w:cs="Calibri"/>
              </w:rPr>
              <w:t>Kod</w:t>
            </w:r>
            <w:proofErr w:type="spellEnd"/>
            <w:r w:rsidRPr="00DF4CE5">
              <w:rPr>
                <w:rFonts w:ascii="Cambria" w:hAnsi="Cambria" w:cs="Calibri"/>
              </w:rPr>
              <w:t xml:space="preserve"> </w:t>
            </w:r>
            <w:proofErr w:type="spellStart"/>
            <w:r w:rsidRPr="00DF4CE5">
              <w:rPr>
                <w:rFonts w:ascii="Cambria" w:hAnsi="Cambria" w:cs="Calibri"/>
              </w:rPr>
              <w:t>i</w:t>
            </w:r>
            <w:proofErr w:type="spellEnd"/>
            <w:r w:rsidRPr="00DF4CE5">
              <w:rPr>
                <w:rFonts w:ascii="Cambria" w:hAnsi="Cambria" w:cs="Calibri"/>
              </w:rPr>
              <w:t xml:space="preserve"> </w:t>
            </w:r>
            <w:proofErr w:type="spellStart"/>
            <w:r w:rsidRPr="00DF4CE5">
              <w:rPr>
                <w:rFonts w:ascii="Cambria" w:hAnsi="Cambria" w:cs="Calibri"/>
              </w:rPr>
              <w:t>naziv</w:t>
            </w:r>
            <w:proofErr w:type="spellEnd"/>
            <w:r w:rsidRPr="00DF4CE5">
              <w:rPr>
                <w:rFonts w:ascii="Cambria" w:hAnsi="Cambria" w:cs="Calibri"/>
              </w:rPr>
              <w:t xml:space="preserve"> </w:t>
            </w:r>
            <w:proofErr w:type="spellStart"/>
            <w:r w:rsidRPr="00DF4CE5">
              <w:rPr>
                <w:rFonts w:ascii="Cambria" w:hAnsi="Cambria" w:cs="Calibri"/>
              </w:rPr>
              <w:t>kolegija</w:t>
            </w:r>
            <w:proofErr w:type="spellEnd"/>
          </w:p>
        </w:tc>
        <w:tc>
          <w:tcPr>
            <w:tcW w:w="6731"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591C95B" w14:textId="79F8D8BE" w:rsidR="00F50454" w:rsidRPr="00DF4CE5" w:rsidRDefault="00F50454" w:rsidP="00891E8C">
            <w:pPr>
              <w:spacing w:after="0" w:line="240" w:lineRule="auto"/>
              <w:rPr>
                <w:rFonts w:ascii="Cambria" w:hAnsi="Cambria" w:cs="Calibri"/>
              </w:rPr>
            </w:pPr>
            <w:proofErr w:type="spellStart"/>
            <w:r w:rsidRPr="00DF4CE5">
              <w:rPr>
                <w:rFonts w:ascii="Cambria" w:hAnsi="Cambria" w:cs="Calibri"/>
              </w:rPr>
              <w:t>Obiteljska</w:t>
            </w:r>
            <w:proofErr w:type="spellEnd"/>
            <w:r w:rsidRPr="00DF4CE5">
              <w:rPr>
                <w:rFonts w:ascii="Cambria" w:hAnsi="Cambria" w:cs="Calibri"/>
              </w:rPr>
              <w:t xml:space="preserve"> </w:t>
            </w:r>
            <w:proofErr w:type="spellStart"/>
            <w:r w:rsidRPr="00DF4CE5">
              <w:rPr>
                <w:rFonts w:ascii="Cambria" w:hAnsi="Cambria" w:cs="Calibri"/>
              </w:rPr>
              <w:t>pedagogija</w:t>
            </w:r>
            <w:proofErr w:type="spellEnd"/>
          </w:p>
        </w:tc>
      </w:tr>
      <w:tr w:rsidR="00F50454" w:rsidRPr="00DF4CE5" w14:paraId="7C051E44" w14:textId="77777777" w:rsidTr="00891E8C">
        <w:tc>
          <w:tcPr>
            <w:tcW w:w="26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BCCD250" w14:textId="77777777" w:rsidR="00F50454" w:rsidRPr="00DF4CE5" w:rsidRDefault="00F50454" w:rsidP="00891E8C">
            <w:pPr>
              <w:spacing w:after="0" w:line="240" w:lineRule="auto"/>
              <w:rPr>
                <w:rFonts w:ascii="Cambria" w:hAnsi="Cambria" w:cs="Calibri"/>
              </w:rPr>
            </w:pPr>
            <w:proofErr w:type="spellStart"/>
            <w:r w:rsidRPr="00DF4CE5">
              <w:rPr>
                <w:rFonts w:ascii="Cambria" w:hAnsi="Cambria" w:cs="Calibri"/>
              </w:rPr>
              <w:t>Nastavnica</w:t>
            </w:r>
            <w:proofErr w:type="spellEnd"/>
            <w:r w:rsidRPr="00DF4CE5">
              <w:rPr>
                <w:rFonts w:ascii="Cambria" w:hAnsi="Cambria" w:cs="Calibri"/>
              </w:rPr>
              <w:t xml:space="preserve"> </w:t>
            </w:r>
          </w:p>
          <w:p w14:paraId="6BAD0B9F" w14:textId="77777777" w:rsidR="00F50454" w:rsidRPr="00DF4CE5" w:rsidRDefault="00F50454" w:rsidP="00891E8C">
            <w:pPr>
              <w:spacing w:after="0" w:line="240" w:lineRule="auto"/>
              <w:rPr>
                <w:rFonts w:ascii="Cambria" w:hAnsi="Cambria" w:cs="Calibri"/>
              </w:rPr>
            </w:pPr>
            <w:proofErr w:type="spellStart"/>
            <w:r w:rsidRPr="00DF4CE5">
              <w:rPr>
                <w:rFonts w:ascii="Cambria" w:hAnsi="Cambria" w:cs="Calibri"/>
              </w:rPr>
              <w:t>Suradnica</w:t>
            </w:r>
            <w:proofErr w:type="spellEnd"/>
          </w:p>
        </w:tc>
        <w:tc>
          <w:tcPr>
            <w:tcW w:w="6731"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8A3B451" w14:textId="74A23268" w:rsidR="00F50454" w:rsidRPr="00DF4CE5" w:rsidRDefault="001222A9" w:rsidP="00891E8C">
            <w:pPr>
              <w:spacing w:after="0" w:line="240" w:lineRule="auto"/>
              <w:rPr>
                <w:rFonts w:ascii="Cambria" w:hAnsi="Cambria" w:cs="Calibri"/>
                <w:lang w:val="it-IT"/>
              </w:rPr>
            </w:pPr>
            <w:hyperlink r:id="rId34" w:history="1">
              <w:proofErr w:type="spellStart"/>
              <w:r w:rsidRPr="00DF4CE5">
                <w:rPr>
                  <w:rStyle w:val="Hiperveza"/>
                  <w:rFonts w:ascii="Cambria" w:hAnsi="Cambria" w:cs="Calibri"/>
                  <w:lang w:val="it-IT"/>
                </w:rPr>
                <w:t>I</w:t>
              </w:r>
              <w:r w:rsidR="00F50454" w:rsidRPr="00DF4CE5">
                <w:rPr>
                  <w:rStyle w:val="Hiperveza"/>
                  <w:rFonts w:ascii="Cambria" w:hAnsi="Cambria" w:cs="Calibri"/>
                  <w:lang w:val="it-IT"/>
                </w:rPr>
                <w:t>zv</w:t>
              </w:r>
              <w:proofErr w:type="spellEnd"/>
              <w:r w:rsidR="00F50454" w:rsidRPr="00DF4CE5">
                <w:rPr>
                  <w:rStyle w:val="Hiperveza"/>
                  <w:rFonts w:ascii="Cambria" w:hAnsi="Cambria" w:cs="Calibri"/>
                  <w:lang w:val="it-IT"/>
                </w:rPr>
                <w:t xml:space="preserve">. prof. dr. sc. Marina </w:t>
              </w:r>
              <w:proofErr w:type="spellStart"/>
              <w:r w:rsidR="00F50454" w:rsidRPr="00DF4CE5">
                <w:rPr>
                  <w:rStyle w:val="Hiperveza"/>
                  <w:rFonts w:ascii="Cambria" w:hAnsi="Cambria" w:cs="Calibri"/>
                  <w:lang w:val="it-IT"/>
                </w:rPr>
                <w:t>Diković</w:t>
              </w:r>
              <w:proofErr w:type="spellEnd"/>
            </w:hyperlink>
            <w:r w:rsidR="00F50454" w:rsidRPr="00DF4CE5">
              <w:rPr>
                <w:rFonts w:ascii="Cambria" w:hAnsi="Cambria" w:cs="Calibri"/>
                <w:lang w:val="it-IT"/>
              </w:rPr>
              <w:t xml:space="preserve"> (</w:t>
            </w:r>
            <w:proofErr w:type="spellStart"/>
            <w:r w:rsidR="00F50454" w:rsidRPr="00DF4CE5">
              <w:rPr>
                <w:rFonts w:ascii="Cambria" w:hAnsi="Cambria" w:cs="Calibri"/>
                <w:lang w:val="it-IT"/>
              </w:rPr>
              <w:t>nositeljica</w:t>
            </w:r>
            <w:proofErr w:type="spellEnd"/>
            <w:r w:rsidR="00F50454" w:rsidRPr="00DF4CE5">
              <w:rPr>
                <w:rFonts w:ascii="Cambria" w:hAnsi="Cambria" w:cs="Calibri"/>
                <w:lang w:val="it-IT"/>
              </w:rPr>
              <w:t>)</w:t>
            </w:r>
          </w:p>
          <w:p w14:paraId="6B497472" w14:textId="77777777" w:rsidR="00F50454" w:rsidRPr="00DF4CE5" w:rsidRDefault="00F50454" w:rsidP="00891E8C">
            <w:pPr>
              <w:spacing w:after="0" w:line="240" w:lineRule="auto"/>
              <w:rPr>
                <w:rFonts w:ascii="Cambria" w:hAnsi="Cambria" w:cs="Calibri"/>
              </w:rPr>
            </w:pPr>
            <w:hyperlink r:id="rId35" w:history="1">
              <w:r w:rsidRPr="00DF4CE5">
                <w:rPr>
                  <w:rStyle w:val="Hiperveza"/>
                  <w:rFonts w:ascii="Cambria" w:hAnsi="Cambria" w:cs="Calibri"/>
                </w:rPr>
                <w:t xml:space="preserve">Monika Terlević, </w:t>
              </w:r>
              <w:proofErr w:type="spellStart"/>
              <w:r w:rsidRPr="00DF4CE5">
                <w:rPr>
                  <w:rStyle w:val="Hiperveza"/>
                  <w:rFonts w:ascii="Cambria" w:hAnsi="Cambria" w:cs="Calibri"/>
                </w:rPr>
                <w:t>asistentica</w:t>
              </w:r>
              <w:proofErr w:type="spellEnd"/>
            </w:hyperlink>
          </w:p>
        </w:tc>
      </w:tr>
      <w:tr w:rsidR="00F50454" w:rsidRPr="00DF4CE5" w14:paraId="65462567" w14:textId="77777777" w:rsidTr="00891E8C">
        <w:tc>
          <w:tcPr>
            <w:tcW w:w="26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B67036C" w14:textId="77777777" w:rsidR="00F50454" w:rsidRPr="00DF4CE5" w:rsidRDefault="00F50454" w:rsidP="00891E8C">
            <w:pPr>
              <w:spacing w:after="0" w:line="240" w:lineRule="auto"/>
              <w:rPr>
                <w:rFonts w:ascii="Cambria" w:hAnsi="Cambria" w:cs="Calibri"/>
              </w:rPr>
            </w:pPr>
            <w:proofErr w:type="spellStart"/>
            <w:r w:rsidRPr="00DF4CE5">
              <w:rPr>
                <w:rFonts w:ascii="Cambria" w:hAnsi="Cambria" w:cs="Calibri"/>
              </w:rPr>
              <w:t>Studijski</w:t>
            </w:r>
            <w:proofErr w:type="spellEnd"/>
            <w:r w:rsidRPr="00DF4CE5">
              <w:rPr>
                <w:rFonts w:ascii="Cambria" w:hAnsi="Cambria" w:cs="Calibri"/>
              </w:rPr>
              <w:t xml:space="preserve"> program</w:t>
            </w:r>
          </w:p>
        </w:tc>
        <w:tc>
          <w:tcPr>
            <w:tcW w:w="6731"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9FB35A7" w14:textId="77777777" w:rsidR="00F50454" w:rsidRPr="00DF4CE5" w:rsidRDefault="00F50454" w:rsidP="00891E8C">
            <w:pPr>
              <w:spacing w:after="0" w:line="240" w:lineRule="auto"/>
              <w:rPr>
                <w:rFonts w:ascii="Cambria" w:hAnsi="Cambria" w:cs="Calibri"/>
              </w:rPr>
            </w:pPr>
            <w:proofErr w:type="spellStart"/>
            <w:r w:rsidRPr="00DF4CE5">
              <w:rPr>
                <w:rFonts w:ascii="Cambria" w:hAnsi="Cambria" w:cs="Calibri"/>
              </w:rPr>
              <w:t>Sveučilišni</w:t>
            </w:r>
            <w:proofErr w:type="spellEnd"/>
            <w:r w:rsidRPr="00DF4CE5">
              <w:rPr>
                <w:rFonts w:ascii="Cambria" w:hAnsi="Cambria" w:cs="Calibri"/>
              </w:rPr>
              <w:t xml:space="preserve"> </w:t>
            </w:r>
            <w:proofErr w:type="spellStart"/>
            <w:r w:rsidRPr="00DF4CE5">
              <w:rPr>
                <w:rFonts w:ascii="Cambria" w:hAnsi="Cambria" w:cs="Calibri"/>
              </w:rPr>
              <w:t>integrirani</w:t>
            </w:r>
            <w:proofErr w:type="spellEnd"/>
            <w:r w:rsidRPr="00DF4CE5">
              <w:rPr>
                <w:rFonts w:ascii="Cambria" w:hAnsi="Cambria" w:cs="Calibri"/>
              </w:rPr>
              <w:t xml:space="preserve"> </w:t>
            </w:r>
            <w:proofErr w:type="spellStart"/>
            <w:r w:rsidRPr="00DF4CE5">
              <w:rPr>
                <w:rFonts w:ascii="Cambria" w:hAnsi="Cambria" w:cs="Calibri"/>
              </w:rPr>
              <w:t>prijediplomski</w:t>
            </w:r>
            <w:proofErr w:type="spellEnd"/>
            <w:r w:rsidRPr="00DF4CE5">
              <w:rPr>
                <w:rFonts w:ascii="Cambria" w:hAnsi="Cambria" w:cs="Calibri"/>
              </w:rPr>
              <w:t xml:space="preserve"> </w:t>
            </w:r>
            <w:proofErr w:type="spellStart"/>
            <w:r w:rsidRPr="00DF4CE5">
              <w:rPr>
                <w:rFonts w:ascii="Cambria" w:hAnsi="Cambria" w:cs="Calibri"/>
              </w:rPr>
              <w:t>i</w:t>
            </w:r>
            <w:proofErr w:type="spellEnd"/>
            <w:r w:rsidRPr="00DF4CE5">
              <w:rPr>
                <w:rFonts w:ascii="Cambria" w:hAnsi="Cambria" w:cs="Calibri"/>
              </w:rPr>
              <w:t xml:space="preserve"> </w:t>
            </w:r>
            <w:proofErr w:type="spellStart"/>
            <w:r w:rsidRPr="00DF4CE5">
              <w:rPr>
                <w:rFonts w:ascii="Cambria" w:hAnsi="Cambria" w:cs="Calibri"/>
              </w:rPr>
              <w:t>diplomski</w:t>
            </w:r>
            <w:proofErr w:type="spellEnd"/>
            <w:r w:rsidRPr="00DF4CE5">
              <w:rPr>
                <w:rFonts w:ascii="Cambria" w:hAnsi="Cambria" w:cs="Calibri"/>
              </w:rPr>
              <w:t xml:space="preserve"> </w:t>
            </w:r>
            <w:proofErr w:type="spellStart"/>
            <w:r w:rsidRPr="00DF4CE5">
              <w:rPr>
                <w:rFonts w:ascii="Cambria" w:hAnsi="Cambria" w:cs="Calibri"/>
              </w:rPr>
              <w:t>Učiteljski</w:t>
            </w:r>
            <w:proofErr w:type="spellEnd"/>
            <w:r w:rsidRPr="00DF4CE5">
              <w:rPr>
                <w:rFonts w:ascii="Cambria" w:hAnsi="Cambria" w:cs="Calibri"/>
              </w:rPr>
              <w:t xml:space="preserve"> </w:t>
            </w:r>
            <w:proofErr w:type="spellStart"/>
            <w:r w:rsidRPr="00DF4CE5">
              <w:rPr>
                <w:rFonts w:ascii="Cambria" w:hAnsi="Cambria" w:cs="Calibri"/>
              </w:rPr>
              <w:t>studij</w:t>
            </w:r>
            <w:proofErr w:type="spellEnd"/>
            <w:r w:rsidRPr="00DF4CE5">
              <w:rPr>
                <w:rFonts w:ascii="Cambria" w:hAnsi="Cambria" w:cs="Calibri"/>
              </w:rPr>
              <w:t xml:space="preserve"> </w:t>
            </w:r>
            <w:proofErr w:type="spellStart"/>
            <w:r w:rsidRPr="00DF4CE5">
              <w:rPr>
                <w:rFonts w:ascii="Cambria" w:hAnsi="Cambria" w:cs="Calibri"/>
              </w:rPr>
              <w:t>na</w:t>
            </w:r>
            <w:proofErr w:type="spellEnd"/>
            <w:r w:rsidRPr="00DF4CE5">
              <w:rPr>
                <w:rFonts w:ascii="Cambria" w:hAnsi="Cambria" w:cs="Calibri"/>
              </w:rPr>
              <w:t xml:space="preserve"> </w:t>
            </w:r>
            <w:proofErr w:type="spellStart"/>
            <w:r w:rsidRPr="00DF4CE5">
              <w:rPr>
                <w:rFonts w:ascii="Cambria" w:hAnsi="Cambria" w:cs="Calibri"/>
              </w:rPr>
              <w:t>hrvatskom</w:t>
            </w:r>
            <w:proofErr w:type="spellEnd"/>
            <w:r w:rsidRPr="00DF4CE5">
              <w:rPr>
                <w:rFonts w:ascii="Cambria" w:hAnsi="Cambria" w:cs="Calibri"/>
              </w:rPr>
              <w:t xml:space="preserve"> </w:t>
            </w:r>
            <w:proofErr w:type="spellStart"/>
            <w:r w:rsidRPr="00DF4CE5">
              <w:rPr>
                <w:rFonts w:ascii="Cambria" w:hAnsi="Cambria" w:cs="Calibri"/>
              </w:rPr>
              <w:t>jeziku</w:t>
            </w:r>
            <w:proofErr w:type="spellEnd"/>
          </w:p>
        </w:tc>
      </w:tr>
      <w:tr w:rsidR="00F50454" w:rsidRPr="00DF4CE5" w14:paraId="1D060992" w14:textId="77777777" w:rsidTr="00891E8C">
        <w:tc>
          <w:tcPr>
            <w:tcW w:w="26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F15C32C" w14:textId="77777777" w:rsidR="00F50454" w:rsidRPr="00DF4CE5" w:rsidRDefault="00F50454" w:rsidP="00891E8C">
            <w:pPr>
              <w:spacing w:after="0" w:line="240" w:lineRule="auto"/>
              <w:rPr>
                <w:rFonts w:ascii="Cambria" w:hAnsi="Cambria" w:cs="Calibri"/>
              </w:rPr>
            </w:pPr>
            <w:proofErr w:type="spellStart"/>
            <w:r w:rsidRPr="00DF4CE5">
              <w:rPr>
                <w:rFonts w:ascii="Cambria" w:hAnsi="Cambria" w:cs="Calibri"/>
              </w:rPr>
              <w:t>Vrsta</w:t>
            </w:r>
            <w:proofErr w:type="spellEnd"/>
            <w:r w:rsidRPr="00DF4CE5">
              <w:rPr>
                <w:rFonts w:ascii="Cambria" w:hAnsi="Cambria" w:cs="Calibri"/>
              </w:rPr>
              <w:t xml:space="preserve"> </w:t>
            </w:r>
            <w:proofErr w:type="spellStart"/>
            <w:r w:rsidRPr="00DF4CE5">
              <w:rPr>
                <w:rFonts w:ascii="Cambria" w:hAnsi="Cambria" w:cs="Calibri"/>
              </w:rPr>
              <w:t>kolegija</w:t>
            </w:r>
            <w:proofErr w:type="spellEnd"/>
          </w:p>
        </w:tc>
        <w:tc>
          <w:tcPr>
            <w:tcW w:w="249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0ED5843" w14:textId="77777777" w:rsidR="00F50454" w:rsidRPr="00DF4CE5" w:rsidRDefault="00F50454" w:rsidP="00891E8C">
            <w:pPr>
              <w:spacing w:after="0" w:line="240" w:lineRule="auto"/>
              <w:rPr>
                <w:rFonts w:ascii="Cambria" w:hAnsi="Cambria" w:cs="Calibri"/>
              </w:rPr>
            </w:pPr>
            <w:proofErr w:type="spellStart"/>
            <w:r w:rsidRPr="00DF4CE5">
              <w:rPr>
                <w:rFonts w:ascii="Cambria" w:hAnsi="Cambria" w:cs="Calibri"/>
              </w:rPr>
              <w:t>obvezan</w:t>
            </w:r>
            <w:proofErr w:type="spellEnd"/>
            <w:r w:rsidRPr="00DF4CE5">
              <w:rPr>
                <w:rFonts w:ascii="Cambria" w:hAnsi="Cambria" w:cs="Calibri"/>
              </w:rPr>
              <w:t xml:space="preserve"> </w:t>
            </w:r>
          </w:p>
        </w:tc>
        <w:tc>
          <w:tcPr>
            <w:tcW w:w="1465"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7C5FBDAE" w14:textId="77777777" w:rsidR="00F50454" w:rsidRPr="00DF4CE5" w:rsidRDefault="00F50454" w:rsidP="00891E8C">
            <w:pPr>
              <w:spacing w:after="0" w:line="240" w:lineRule="auto"/>
              <w:rPr>
                <w:rFonts w:ascii="Cambria" w:hAnsi="Cambria" w:cs="Calibri"/>
              </w:rPr>
            </w:pPr>
            <w:r w:rsidRPr="00DF4CE5">
              <w:rPr>
                <w:rFonts w:ascii="Cambria" w:hAnsi="Cambria" w:cs="Calibri"/>
              </w:rPr>
              <w:t xml:space="preserve">Razina </w:t>
            </w:r>
            <w:proofErr w:type="spellStart"/>
            <w:r w:rsidRPr="00DF4CE5">
              <w:rPr>
                <w:rFonts w:ascii="Cambria" w:hAnsi="Cambria" w:cs="Calibri"/>
              </w:rPr>
              <w:t>kolegija</w:t>
            </w:r>
            <w:proofErr w:type="spellEnd"/>
          </w:p>
        </w:tc>
        <w:tc>
          <w:tcPr>
            <w:tcW w:w="2773"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FFCB704" w14:textId="77777777" w:rsidR="00F50454" w:rsidRPr="00DF4CE5" w:rsidRDefault="00F50454" w:rsidP="00891E8C">
            <w:pPr>
              <w:spacing w:after="0" w:line="240" w:lineRule="auto"/>
              <w:rPr>
                <w:rFonts w:ascii="Cambria" w:hAnsi="Cambria" w:cs="Calibri"/>
              </w:rPr>
            </w:pPr>
            <w:proofErr w:type="spellStart"/>
            <w:r w:rsidRPr="00DF4CE5">
              <w:rPr>
                <w:rFonts w:ascii="Cambria" w:hAnsi="Cambria" w:cs="Calibri"/>
                <w:lang w:val="it-IT"/>
              </w:rPr>
              <w:t>integrirani</w:t>
            </w:r>
            <w:proofErr w:type="spellEnd"/>
          </w:p>
        </w:tc>
      </w:tr>
      <w:tr w:rsidR="00F50454" w:rsidRPr="00DF4CE5" w14:paraId="10DA9DC1" w14:textId="77777777" w:rsidTr="00891E8C">
        <w:tc>
          <w:tcPr>
            <w:tcW w:w="26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BA9D5EC" w14:textId="77777777" w:rsidR="00F50454" w:rsidRPr="00DF4CE5" w:rsidRDefault="00F50454" w:rsidP="00891E8C">
            <w:pPr>
              <w:spacing w:after="0" w:line="240" w:lineRule="auto"/>
              <w:rPr>
                <w:rFonts w:ascii="Cambria" w:hAnsi="Cambria" w:cs="Calibri"/>
              </w:rPr>
            </w:pPr>
            <w:proofErr w:type="spellStart"/>
            <w:r w:rsidRPr="00DF4CE5">
              <w:rPr>
                <w:rFonts w:ascii="Cambria" w:hAnsi="Cambria" w:cs="Calibri"/>
              </w:rPr>
              <w:t>Semestar</w:t>
            </w:r>
            <w:proofErr w:type="spellEnd"/>
          </w:p>
        </w:tc>
        <w:tc>
          <w:tcPr>
            <w:tcW w:w="249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D8074D6" w14:textId="77777777" w:rsidR="00F50454" w:rsidRPr="00DF4CE5" w:rsidRDefault="00F50454" w:rsidP="00891E8C">
            <w:pPr>
              <w:spacing w:after="0" w:line="240" w:lineRule="auto"/>
              <w:rPr>
                <w:rFonts w:ascii="Cambria" w:hAnsi="Cambria" w:cs="Calibri"/>
              </w:rPr>
            </w:pPr>
            <w:proofErr w:type="spellStart"/>
            <w:r w:rsidRPr="00DF4CE5">
              <w:rPr>
                <w:rFonts w:ascii="Cambria" w:hAnsi="Cambria" w:cs="Calibri"/>
              </w:rPr>
              <w:t>ljetni</w:t>
            </w:r>
            <w:proofErr w:type="spellEnd"/>
          </w:p>
        </w:tc>
        <w:tc>
          <w:tcPr>
            <w:tcW w:w="1465"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140EEEC4" w14:textId="77777777" w:rsidR="00F50454" w:rsidRPr="00DF4CE5" w:rsidRDefault="00F50454" w:rsidP="00891E8C">
            <w:pPr>
              <w:spacing w:after="0" w:line="240" w:lineRule="auto"/>
              <w:rPr>
                <w:rFonts w:ascii="Cambria" w:hAnsi="Cambria" w:cs="Calibri"/>
              </w:rPr>
            </w:pPr>
            <w:r w:rsidRPr="00DF4CE5">
              <w:rPr>
                <w:rFonts w:ascii="Cambria" w:hAnsi="Cambria" w:cs="Calibri"/>
              </w:rPr>
              <w:t xml:space="preserve">Godina </w:t>
            </w:r>
            <w:proofErr w:type="spellStart"/>
            <w:r w:rsidRPr="00DF4CE5">
              <w:rPr>
                <w:rFonts w:ascii="Cambria" w:hAnsi="Cambria" w:cs="Calibri"/>
              </w:rPr>
              <w:t>studija</w:t>
            </w:r>
            <w:proofErr w:type="spellEnd"/>
          </w:p>
        </w:tc>
        <w:tc>
          <w:tcPr>
            <w:tcW w:w="2773"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BEA9173" w14:textId="77777777" w:rsidR="00F50454" w:rsidRPr="00DF4CE5" w:rsidRDefault="00F50454" w:rsidP="00891E8C">
            <w:pPr>
              <w:spacing w:after="0" w:line="240" w:lineRule="auto"/>
              <w:rPr>
                <w:rFonts w:ascii="Cambria" w:hAnsi="Cambria" w:cs="Calibri"/>
              </w:rPr>
            </w:pPr>
            <w:r w:rsidRPr="00DF4CE5">
              <w:rPr>
                <w:rFonts w:ascii="Cambria" w:hAnsi="Cambria" w:cs="Calibri"/>
              </w:rPr>
              <w:t>I.</w:t>
            </w:r>
          </w:p>
        </w:tc>
      </w:tr>
      <w:tr w:rsidR="00F50454" w:rsidRPr="00DF4CE5" w14:paraId="07851DB0" w14:textId="77777777" w:rsidTr="00891E8C">
        <w:tc>
          <w:tcPr>
            <w:tcW w:w="26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DE2B8B3" w14:textId="77777777" w:rsidR="00F50454" w:rsidRPr="00DF4CE5" w:rsidRDefault="00F50454" w:rsidP="00891E8C">
            <w:pPr>
              <w:spacing w:after="0" w:line="240" w:lineRule="auto"/>
              <w:rPr>
                <w:rFonts w:ascii="Cambria" w:hAnsi="Cambria" w:cs="Calibri"/>
              </w:rPr>
            </w:pPr>
            <w:proofErr w:type="spellStart"/>
            <w:r w:rsidRPr="00DF4CE5">
              <w:rPr>
                <w:rFonts w:ascii="Cambria" w:hAnsi="Cambria" w:cs="Calibri"/>
              </w:rPr>
              <w:t>Mjesto</w:t>
            </w:r>
            <w:proofErr w:type="spellEnd"/>
            <w:r w:rsidRPr="00DF4CE5">
              <w:rPr>
                <w:rFonts w:ascii="Cambria" w:hAnsi="Cambria" w:cs="Calibri"/>
              </w:rPr>
              <w:t xml:space="preserve"> </w:t>
            </w:r>
            <w:proofErr w:type="spellStart"/>
            <w:r w:rsidRPr="00DF4CE5">
              <w:rPr>
                <w:rFonts w:ascii="Cambria" w:hAnsi="Cambria" w:cs="Calibri"/>
              </w:rPr>
              <w:t>izvođenja</w:t>
            </w:r>
            <w:proofErr w:type="spellEnd"/>
          </w:p>
        </w:tc>
        <w:tc>
          <w:tcPr>
            <w:tcW w:w="249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DD47EB8" w14:textId="77777777" w:rsidR="00F50454" w:rsidRPr="00DF4CE5" w:rsidRDefault="00F50454" w:rsidP="00891E8C">
            <w:pPr>
              <w:spacing w:after="0" w:line="240" w:lineRule="auto"/>
              <w:rPr>
                <w:rFonts w:ascii="Cambria" w:hAnsi="Cambria" w:cs="Calibri"/>
              </w:rPr>
            </w:pPr>
            <w:proofErr w:type="spellStart"/>
            <w:r w:rsidRPr="00DF4CE5">
              <w:rPr>
                <w:rFonts w:ascii="Cambria" w:hAnsi="Cambria" w:cs="Calibri"/>
              </w:rPr>
              <w:t>dvorana</w:t>
            </w:r>
            <w:proofErr w:type="spellEnd"/>
          </w:p>
        </w:tc>
        <w:tc>
          <w:tcPr>
            <w:tcW w:w="1465"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0C0E54EE" w14:textId="77777777" w:rsidR="00F50454" w:rsidRPr="00DF4CE5" w:rsidRDefault="00F50454" w:rsidP="00891E8C">
            <w:pPr>
              <w:spacing w:after="0" w:line="240" w:lineRule="auto"/>
              <w:rPr>
                <w:rFonts w:ascii="Cambria" w:hAnsi="Cambria" w:cs="Calibri"/>
              </w:rPr>
            </w:pPr>
            <w:r w:rsidRPr="00DF4CE5">
              <w:rPr>
                <w:rFonts w:ascii="Cambria" w:hAnsi="Cambria" w:cs="Calibri"/>
              </w:rPr>
              <w:t xml:space="preserve">Jezik </w:t>
            </w:r>
            <w:proofErr w:type="spellStart"/>
            <w:r w:rsidRPr="00DF4CE5">
              <w:rPr>
                <w:rFonts w:ascii="Cambria" w:hAnsi="Cambria" w:cs="Calibri"/>
              </w:rPr>
              <w:t>izvođenja</w:t>
            </w:r>
            <w:proofErr w:type="spellEnd"/>
            <w:r w:rsidRPr="00DF4CE5">
              <w:rPr>
                <w:rFonts w:ascii="Cambria" w:hAnsi="Cambria" w:cs="Calibri"/>
              </w:rPr>
              <w:t xml:space="preserve"> (</w:t>
            </w:r>
            <w:proofErr w:type="spellStart"/>
            <w:r w:rsidRPr="00DF4CE5">
              <w:rPr>
                <w:rFonts w:ascii="Cambria" w:hAnsi="Cambria" w:cs="Calibri"/>
              </w:rPr>
              <w:t>drugi</w:t>
            </w:r>
            <w:proofErr w:type="spellEnd"/>
            <w:r w:rsidRPr="00DF4CE5">
              <w:rPr>
                <w:rFonts w:ascii="Cambria" w:hAnsi="Cambria" w:cs="Calibri"/>
              </w:rPr>
              <w:t xml:space="preserve"> </w:t>
            </w:r>
            <w:proofErr w:type="spellStart"/>
            <w:r w:rsidRPr="00DF4CE5">
              <w:rPr>
                <w:rFonts w:ascii="Cambria" w:hAnsi="Cambria" w:cs="Calibri"/>
              </w:rPr>
              <w:t>jezici</w:t>
            </w:r>
            <w:proofErr w:type="spellEnd"/>
            <w:r w:rsidRPr="00DF4CE5">
              <w:rPr>
                <w:rFonts w:ascii="Cambria" w:hAnsi="Cambria" w:cs="Calibri"/>
              </w:rPr>
              <w:t>)</w:t>
            </w:r>
          </w:p>
        </w:tc>
        <w:tc>
          <w:tcPr>
            <w:tcW w:w="2773"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CDCDA26" w14:textId="77777777" w:rsidR="00F50454" w:rsidRPr="00DF4CE5" w:rsidRDefault="00F50454" w:rsidP="00891E8C">
            <w:pPr>
              <w:spacing w:after="0" w:line="240" w:lineRule="auto"/>
              <w:rPr>
                <w:rFonts w:ascii="Cambria" w:hAnsi="Cambria" w:cs="Calibri"/>
              </w:rPr>
            </w:pPr>
            <w:proofErr w:type="spellStart"/>
            <w:r w:rsidRPr="00DF4CE5">
              <w:rPr>
                <w:rFonts w:ascii="Cambria" w:hAnsi="Cambria" w:cs="Calibri"/>
              </w:rPr>
              <w:t>hrvatski</w:t>
            </w:r>
            <w:proofErr w:type="spellEnd"/>
            <w:r w:rsidRPr="00DF4CE5">
              <w:rPr>
                <w:rFonts w:ascii="Cambria" w:hAnsi="Cambria" w:cs="Calibri"/>
              </w:rPr>
              <w:t xml:space="preserve"> </w:t>
            </w:r>
          </w:p>
          <w:p w14:paraId="1B0F6FFB" w14:textId="77777777" w:rsidR="00F50454" w:rsidRDefault="00F50454" w:rsidP="00891E8C">
            <w:pPr>
              <w:spacing w:after="0" w:line="240" w:lineRule="auto"/>
              <w:rPr>
                <w:rFonts w:ascii="Cambria" w:hAnsi="Cambria" w:cs="Calibri"/>
              </w:rPr>
            </w:pPr>
            <w:r w:rsidRPr="00DF4CE5">
              <w:rPr>
                <w:rFonts w:ascii="Cambria" w:hAnsi="Cambria" w:cs="Calibri"/>
              </w:rPr>
              <w:t>(</w:t>
            </w:r>
            <w:proofErr w:type="spellStart"/>
            <w:r w:rsidRPr="00DF4CE5">
              <w:rPr>
                <w:rFonts w:ascii="Cambria" w:hAnsi="Cambria" w:cs="Calibri"/>
              </w:rPr>
              <w:t>talijanski</w:t>
            </w:r>
            <w:proofErr w:type="spellEnd"/>
            <w:r w:rsidRPr="00DF4CE5">
              <w:rPr>
                <w:rFonts w:ascii="Cambria" w:hAnsi="Cambria" w:cs="Calibri"/>
              </w:rPr>
              <w:t>)</w:t>
            </w:r>
          </w:p>
          <w:p w14:paraId="6A279303" w14:textId="77777777" w:rsidR="006B4FFE" w:rsidRDefault="006B4FFE" w:rsidP="00891E8C">
            <w:pPr>
              <w:spacing w:after="0" w:line="240" w:lineRule="auto"/>
              <w:rPr>
                <w:rFonts w:ascii="Cambria" w:hAnsi="Cambria" w:cs="Calibri"/>
              </w:rPr>
            </w:pPr>
          </w:p>
          <w:p w14:paraId="5FA9934F" w14:textId="3A47A8E8" w:rsidR="006B4FFE" w:rsidRPr="00DF4CE5" w:rsidRDefault="006B4FFE" w:rsidP="00891E8C">
            <w:pPr>
              <w:spacing w:after="0" w:line="240" w:lineRule="auto"/>
              <w:rPr>
                <w:rFonts w:ascii="Cambria" w:hAnsi="Cambria" w:cs="Calibri"/>
              </w:rPr>
            </w:pPr>
          </w:p>
        </w:tc>
      </w:tr>
      <w:tr w:rsidR="00F50454" w:rsidRPr="00DF4CE5" w14:paraId="4B698617" w14:textId="77777777" w:rsidTr="00891E8C">
        <w:tc>
          <w:tcPr>
            <w:tcW w:w="26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8D09034" w14:textId="77777777" w:rsidR="00F50454" w:rsidRPr="00DF4CE5" w:rsidRDefault="00F50454" w:rsidP="00891E8C">
            <w:pPr>
              <w:spacing w:after="0" w:line="240" w:lineRule="auto"/>
              <w:rPr>
                <w:rFonts w:ascii="Cambria" w:hAnsi="Cambria" w:cs="Calibri"/>
              </w:rPr>
            </w:pPr>
            <w:proofErr w:type="spellStart"/>
            <w:r w:rsidRPr="00DF4CE5">
              <w:rPr>
                <w:rFonts w:ascii="Cambria" w:hAnsi="Cambria" w:cs="Calibri"/>
              </w:rPr>
              <w:t>Broj</w:t>
            </w:r>
            <w:proofErr w:type="spellEnd"/>
            <w:r w:rsidRPr="00DF4CE5">
              <w:rPr>
                <w:rFonts w:ascii="Cambria" w:hAnsi="Cambria" w:cs="Calibri"/>
              </w:rPr>
              <w:t xml:space="preserve"> ECTS </w:t>
            </w:r>
            <w:proofErr w:type="spellStart"/>
            <w:r w:rsidRPr="00DF4CE5">
              <w:rPr>
                <w:rFonts w:ascii="Cambria" w:hAnsi="Cambria" w:cs="Calibri"/>
              </w:rPr>
              <w:t>bodova</w:t>
            </w:r>
            <w:proofErr w:type="spellEnd"/>
          </w:p>
        </w:tc>
        <w:tc>
          <w:tcPr>
            <w:tcW w:w="249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438D543" w14:textId="77777777" w:rsidR="00F50454" w:rsidRPr="00DF4CE5" w:rsidRDefault="00F50454" w:rsidP="00891E8C">
            <w:pPr>
              <w:spacing w:after="0" w:line="240" w:lineRule="auto"/>
              <w:rPr>
                <w:rFonts w:ascii="Cambria" w:hAnsi="Cambria" w:cs="Calibri"/>
              </w:rPr>
            </w:pPr>
            <w:r w:rsidRPr="00DF4CE5">
              <w:rPr>
                <w:rFonts w:ascii="Cambria" w:hAnsi="Cambria" w:cs="Calibri"/>
              </w:rPr>
              <w:t>4</w:t>
            </w:r>
          </w:p>
        </w:tc>
        <w:tc>
          <w:tcPr>
            <w:tcW w:w="1465"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635A31EC" w14:textId="77777777" w:rsidR="00F50454" w:rsidRPr="00DF4CE5" w:rsidRDefault="00F50454" w:rsidP="00891E8C">
            <w:pPr>
              <w:spacing w:after="0" w:line="240" w:lineRule="auto"/>
              <w:rPr>
                <w:rFonts w:ascii="Cambria" w:hAnsi="Cambria" w:cs="Calibri"/>
              </w:rPr>
            </w:pPr>
            <w:proofErr w:type="spellStart"/>
            <w:r w:rsidRPr="00DF4CE5">
              <w:rPr>
                <w:rFonts w:ascii="Cambria" w:hAnsi="Cambria" w:cs="Calibri"/>
              </w:rPr>
              <w:t>Broj</w:t>
            </w:r>
            <w:proofErr w:type="spellEnd"/>
            <w:r w:rsidRPr="00DF4CE5">
              <w:rPr>
                <w:rFonts w:ascii="Cambria" w:hAnsi="Cambria" w:cs="Calibri"/>
              </w:rPr>
              <w:t xml:space="preserve"> sati u </w:t>
            </w:r>
            <w:proofErr w:type="spellStart"/>
            <w:r w:rsidRPr="00DF4CE5">
              <w:rPr>
                <w:rFonts w:ascii="Cambria" w:hAnsi="Cambria" w:cs="Calibri"/>
              </w:rPr>
              <w:t>semestru</w:t>
            </w:r>
            <w:proofErr w:type="spellEnd"/>
          </w:p>
        </w:tc>
        <w:tc>
          <w:tcPr>
            <w:tcW w:w="2773"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63A089F" w14:textId="73A121ED" w:rsidR="00F50454" w:rsidRPr="00DF4CE5" w:rsidRDefault="000B2D2C" w:rsidP="00891E8C">
            <w:pPr>
              <w:spacing w:after="0" w:line="240" w:lineRule="auto"/>
              <w:rPr>
                <w:rFonts w:ascii="Cambria" w:hAnsi="Cambria" w:cs="Calibri"/>
              </w:rPr>
            </w:pPr>
            <w:r>
              <w:rPr>
                <w:rFonts w:ascii="Cambria" w:hAnsi="Cambria" w:cs="Calibri"/>
              </w:rPr>
              <w:t>15</w:t>
            </w:r>
            <w:r w:rsidR="00F50454" w:rsidRPr="00DF4CE5">
              <w:rPr>
                <w:rFonts w:ascii="Cambria" w:hAnsi="Cambria" w:cs="Calibri"/>
              </w:rPr>
              <w:t xml:space="preserve">P – </w:t>
            </w:r>
            <w:r w:rsidR="00760C3A" w:rsidRPr="00DF4CE5">
              <w:rPr>
                <w:rFonts w:ascii="Cambria" w:hAnsi="Cambria" w:cs="Calibri"/>
              </w:rPr>
              <w:t>15S</w:t>
            </w:r>
            <w:r w:rsidR="00F50454" w:rsidRPr="00DF4CE5">
              <w:rPr>
                <w:rFonts w:ascii="Cambria" w:hAnsi="Cambria" w:cs="Calibri"/>
              </w:rPr>
              <w:t xml:space="preserve"> – </w:t>
            </w:r>
            <w:r w:rsidR="00760C3A" w:rsidRPr="00DF4CE5">
              <w:rPr>
                <w:rFonts w:ascii="Cambria" w:hAnsi="Cambria" w:cs="Calibri"/>
              </w:rPr>
              <w:t>0V</w:t>
            </w:r>
            <w:r w:rsidR="00F50454" w:rsidRPr="00DF4CE5">
              <w:rPr>
                <w:rFonts w:ascii="Cambria" w:hAnsi="Cambria" w:cs="Calibri"/>
              </w:rPr>
              <w:t xml:space="preserve">   </w:t>
            </w:r>
          </w:p>
        </w:tc>
      </w:tr>
      <w:tr w:rsidR="00F50454" w:rsidRPr="00DF4CE5" w14:paraId="27569DA3" w14:textId="77777777" w:rsidTr="00891E8C">
        <w:tc>
          <w:tcPr>
            <w:tcW w:w="26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A4A0164" w14:textId="77777777" w:rsidR="00F50454" w:rsidRPr="00DF4CE5" w:rsidRDefault="00F50454" w:rsidP="00891E8C">
            <w:pPr>
              <w:spacing w:after="0" w:line="240" w:lineRule="auto"/>
              <w:rPr>
                <w:rFonts w:ascii="Cambria" w:hAnsi="Cambria" w:cs="Calibri"/>
                <w:lang w:val="it-IT"/>
              </w:rPr>
            </w:pPr>
            <w:proofErr w:type="spellStart"/>
            <w:r w:rsidRPr="00DF4CE5">
              <w:rPr>
                <w:rFonts w:ascii="Cambria" w:hAnsi="Cambria" w:cs="Calibri"/>
                <w:lang w:val="it-IT"/>
              </w:rPr>
              <w:t>Preduvjeti</w:t>
            </w:r>
            <w:proofErr w:type="spellEnd"/>
            <w:r w:rsidRPr="00DF4CE5">
              <w:rPr>
                <w:rFonts w:ascii="Cambria" w:hAnsi="Cambria" w:cs="Calibri"/>
                <w:lang w:val="it-IT"/>
              </w:rPr>
              <w:t xml:space="preserve"> za </w:t>
            </w:r>
            <w:proofErr w:type="spellStart"/>
            <w:r w:rsidRPr="00DF4CE5">
              <w:rPr>
                <w:rFonts w:ascii="Cambria" w:hAnsi="Cambria" w:cs="Calibri"/>
                <w:lang w:val="it-IT"/>
              </w:rPr>
              <w:t>upis</w:t>
            </w:r>
            <w:proofErr w:type="spellEnd"/>
            <w:r w:rsidRPr="00DF4CE5">
              <w:rPr>
                <w:rFonts w:ascii="Cambria" w:hAnsi="Cambria" w:cs="Calibri"/>
                <w:lang w:val="it-IT"/>
              </w:rPr>
              <w:t xml:space="preserve"> i za </w:t>
            </w:r>
            <w:proofErr w:type="spellStart"/>
            <w:r w:rsidRPr="00DF4CE5">
              <w:rPr>
                <w:rFonts w:ascii="Cambria" w:hAnsi="Cambria" w:cs="Calibri"/>
                <w:lang w:val="it-IT"/>
              </w:rPr>
              <w:t>svladavanje</w:t>
            </w:r>
            <w:proofErr w:type="spellEnd"/>
          </w:p>
        </w:tc>
        <w:tc>
          <w:tcPr>
            <w:tcW w:w="6731"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424156B" w14:textId="77777777" w:rsidR="00F50454" w:rsidRPr="00DF4CE5" w:rsidRDefault="00F50454" w:rsidP="00891E8C">
            <w:pPr>
              <w:spacing w:after="0" w:line="240" w:lineRule="auto"/>
              <w:rPr>
                <w:rFonts w:ascii="Cambria" w:hAnsi="Cambria" w:cs="Calibri"/>
              </w:rPr>
            </w:pPr>
            <w:r w:rsidRPr="00DF4CE5">
              <w:rPr>
                <w:rFonts w:ascii="Cambria" w:hAnsi="Cambria" w:cs="Calibri"/>
              </w:rPr>
              <w:t xml:space="preserve">Nema </w:t>
            </w:r>
            <w:proofErr w:type="spellStart"/>
            <w:r w:rsidRPr="00DF4CE5">
              <w:rPr>
                <w:rFonts w:ascii="Cambria" w:hAnsi="Cambria" w:cs="Calibri"/>
              </w:rPr>
              <w:t>preduvjeta</w:t>
            </w:r>
            <w:proofErr w:type="spellEnd"/>
            <w:r w:rsidRPr="00DF4CE5">
              <w:rPr>
                <w:rFonts w:ascii="Cambria" w:hAnsi="Cambria" w:cs="Calibri"/>
              </w:rPr>
              <w:t xml:space="preserve"> za </w:t>
            </w:r>
            <w:proofErr w:type="spellStart"/>
            <w:r w:rsidRPr="00DF4CE5">
              <w:rPr>
                <w:rFonts w:ascii="Cambria" w:hAnsi="Cambria" w:cs="Calibri"/>
              </w:rPr>
              <w:t>upis</w:t>
            </w:r>
            <w:proofErr w:type="spellEnd"/>
            <w:r w:rsidRPr="00DF4CE5">
              <w:rPr>
                <w:rFonts w:ascii="Cambria" w:hAnsi="Cambria" w:cs="Calibri"/>
              </w:rPr>
              <w:t xml:space="preserve">. </w:t>
            </w:r>
          </w:p>
        </w:tc>
      </w:tr>
      <w:tr w:rsidR="00F50454" w:rsidRPr="00D0399C" w14:paraId="6763763B" w14:textId="77777777" w:rsidTr="00891E8C">
        <w:tc>
          <w:tcPr>
            <w:tcW w:w="26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0EA421E" w14:textId="77777777" w:rsidR="00F50454" w:rsidRPr="00DF4CE5" w:rsidRDefault="00F50454" w:rsidP="00891E8C">
            <w:pPr>
              <w:spacing w:after="0" w:line="240" w:lineRule="auto"/>
              <w:rPr>
                <w:rFonts w:ascii="Cambria" w:hAnsi="Cambria" w:cs="Calibri"/>
              </w:rPr>
            </w:pPr>
            <w:proofErr w:type="spellStart"/>
            <w:r w:rsidRPr="00DF4CE5">
              <w:rPr>
                <w:rFonts w:ascii="Cambria" w:hAnsi="Cambria" w:cs="Calibri"/>
              </w:rPr>
              <w:t>Korelativnost</w:t>
            </w:r>
            <w:proofErr w:type="spellEnd"/>
          </w:p>
        </w:tc>
        <w:tc>
          <w:tcPr>
            <w:tcW w:w="6731"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5F752CF" w14:textId="77777777" w:rsidR="00F50454" w:rsidRPr="00DF4CE5" w:rsidRDefault="00F50454" w:rsidP="00891E8C">
            <w:pPr>
              <w:spacing w:after="0" w:line="240" w:lineRule="auto"/>
              <w:rPr>
                <w:rFonts w:ascii="Cambria" w:hAnsi="Cambria" w:cs="Calibri"/>
                <w:lang w:val="it-IT"/>
              </w:rPr>
            </w:pPr>
            <w:proofErr w:type="spellStart"/>
            <w:r w:rsidRPr="00DF4CE5">
              <w:rPr>
                <w:rFonts w:ascii="Cambria" w:hAnsi="Cambria" w:cs="Calibri"/>
                <w:lang w:val="it-IT"/>
              </w:rPr>
              <w:t>Pedagogija</w:t>
            </w:r>
            <w:proofErr w:type="spellEnd"/>
            <w:r w:rsidRPr="00DF4CE5">
              <w:rPr>
                <w:rFonts w:ascii="Cambria" w:hAnsi="Cambria" w:cs="Calibri"/>
                <w:lang w:val="it-IT"/>
              </w:rPr>
              <w:t xml:space="preserve">, </w:t>
            </w:r>
            <w:proofErr w:type="spellStart"/>
            <w:r w:rsidRPr="00DF4CE5">
              <w:rPr>
                <w:rFonts w:ascii="Cambria" w:hAnsi="Cambria" w:cs="Calibri"/>
                <w:lang w:val="it-IT"/>
              </w:rPr>
              <w:t>Sociologija</w:t>
            </w:r>
            <w:proofErr w:type="spellEnd"/>
            <w:r w:rsidRPr="00DF4CE5">
              <w:rPr>
                <w:rFonts w:ascii="Cambria" w:hAnsi="Cambria" w:cs="Calibri"/>
                <w:lang w:val="it-IT"/>
              </w:rPr>
              <w:t xml:space="preserve"> </w:t>
            </w:r>
            <w:proofErr w:type="spellStart"/>
            <w:r w:rsidRPr="00DF4CE5">
              <w:rPr>
                <w:rFonts w:ascii="Cambria" w:hAnsi="Cambria" w:cs="Calibri"/>
                <w:lang w:val="it-IT"/>
              </w:rPr>
              <w:t>odgoja</w:t>
            </w:r>
            <w:proofErr w:type="spellEnd"/>
            <w:r w:rsidRPr="00DF4CE5">
              <w:rPr>
                <w:rFonts w:ascii="Cambria" w:hAnsi="Cambria" w:cs="Calibri"/>
                <w:lang w:val="it-IT"/>
              </w:rPr>
              <w:t xml:space="preserve"> i </w:t>
            </w:r>
            <w:proofErr w:type="spellStart"/>
            <w:r w:rsidRPr="00DF4CE5">
              <w:rPr>
                <w:rFonts w:ascii="Cambria" w:hAnsi="Cambria" w:cs="Calibri"/>
                <w:lang w:val="it-IT"/>
              </w:rPr>
              <w:t>obrazovanja</w:t>
            </w:r>
            <w:proofErr w:type="spellEnd"/>
            <w:r w:rsidRPr="00DF4CE5">
              <w:rPr>
                <w:rFonts w:ascii="Cambria" w:hAnsi="Cambria" w:cs="Calibri"/>
                <w:lang w:val="it-IT"/>
              </w:rPr>
              <w:t xml:space="preserve">, </w:t>
            </w:r>
            <w:proofErr w:type="spellStart"/>
            <w:r w:rsidRPr="00DF4CE5">
              <w:rPr>
                <w:rFonts w:ascii="Cambria" w:hAnsi="Cambria" w:cs="Calibri"/>
                <w:lang w:val="it-IT"/>
              </w:rPr>
              <w:t>Filozofija</w:t>
            </w:r>
            <w:proofErr w:type="spellEnd"/>
            <w:r w:rsidRPr="00DF4CE5">
              <w:rPr>
                <w:rFonts w:ascii="Cambria" w:hAnsi="Cambria" w:cs="Calibri"/>
                <w:lang w:val="it-IT"/>
              </w:rPr>
              <w:t xml:space="preserve"> </w:t>
            </w:r>
            <w:proofErr w:type="spellStart"/>
            <w:r w:rsidRPr="00DF4CE5">
              <w:rPr>
                <w:rFonts w:ascii="Cambria" w:hAnsi="Cambria" w:cs="Calibri"/>
                <w:lang w:val="it-IT"/>
              </w:rPr>
              <w:t>odgoja</w:t>
            </w:r>
            <w:proofErr w:type="spellEnd"/>
          </w:p>
          <w:p w14:paraId="2C30CE34" w14:textId="77777777" w:rsidR="00F50454" w:rsidRPr="00DF4CE5" w:rsidRDefault="00F50454" w:rsidP="00891E8C">
            <w:pPr>
              <w:spacing w:after="0" w:line="240" w:lineRule="auto"/>
              <w:rPr>
                <w:rFonts w:ascii="Cambria" w:hAnsi="Cambria" w:cs="Calibri"/>
                <w:lang w:val="it-IT"/>
              </w:rPr>
            </w:pPr>
          </w:p>
        </w:tc>
      </w:tr>
      <w:tr w:rsidR="00F50454" w:rsidRPr="00DF4CE5" w14:paraId="393EED2A" w14:textId="77777777" w:rsidTr="00891E8C">
        <w:tc>
          <w:tcPr>
            <w:tcW w:w="26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DBBB15D" w14:textId="77777777" w:rsidR="00F50454" w:rsidRPr="00DF4CE5" w:rsidRDefault="00F50454" w:rsidP="00891E8C">
            <w:pPr>
              <w:spacing w:after="0" w:line="240" w:lineRule="auto"/>
              <w:rPr>
                <w:rFonts w:ascii="Cambria" w:hAnsi="Cambria" w:cs="Calibri"/>
              </w:rPr>
            </w:pPr>
            <w:proofErr w:type="spellStart"/>
            <w:r w:rsidRPr="00DF4CE5">
              <w:rPr>
                <w:rFonts w:ascii="Cambria" w:hAnsi="Cambria" w:cs="Calibri"/>
              </w:rPr>
              <w:t>Cilj</w:t>
            </w:r>
            <w:proofErr w:type="spellEnd"/>
            <w:r w:rsidRPr="00DF4CE5">
              <w:rPr>
                <w:rFonts w:ascii="Cambria" w:hAnsi="Cambria" w:cs="Calibri"/>
              </w:rPr>
              <w:t xml:space="preserve"> </w:t>
            </w:r>
            <w:proofErr w:type="spellStart"/>
            <w:r w:rsidRPr="00DF4CE5">
              <w:rPr>
                <w:rFonts w:ascii="Cambria" w:hAnsi="Cambria" w:cs="Calibri"/>
              </w:rPr>
              <w:t>kolegija</w:t>
            </w:r>
            <w:proofErr w:type="spellEnd"/>
            <w:r w:rsidRPr="00DF4CE5">
              <w:rPr>
                <w:rFonts w:ascii="Cambria" w:hAnsi="Cambria" w:cs="Calibri"/>
              </w:rPr>
              <w:t xml:space="preserve"> </w:t>
            </w:r>
          </w:p>
        </w:tc>
        <w:tc>
          <w:tcPr>
            <w:tcW w:w="6731"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4902742" w14:textId="77777777" w:rsidR="00F50454" w:rsidRPr="00DF4CE5" w:rsidRDefault="00F50454" w:rsidP="00891E8C">
            <w:pPr>
              <w:spacing w:after="0" w:line="240" w:lineRule="auto"/>
              <w:rPr>
                <w:rFonts w:ascii="Cambria" w:hAnsi="Cambria" w:cs="Calibri"/>
              </w:rPr>
            </w:pPr>
            <w:proofErr w:type="spellStart"/>
            <w:r w:rsidRPr="00DF4CE5">
              <w:rPr>
                <w:rFonts w:ascii="Cambria" w:hAnsi="Cambria" w:cs="Calibri"/>
              </w:rPr>
              <w:t>usvojiti</w:t>
            </w:r>
            <w:proofErr w:type="spellEnd"/>
            <w:r w:rsidRPr="00DF4CE5">
              <w:rPr>
                <w:rFonts w:ascii="Cambria" w:hAnsi="Cambria" w:cs="Calibri"/>
              </w:rPr>
              <w:t xml:space="preserve"> </w:t>
            </w:r>
            <w:proofErr w:type="spellStart"/>
            <w:r w:rsidRPr="00DF4CE5">
              <w:rPr>
                <w:rFonts w:ascii="Cambria" w:hAnsi="Cambria" w:cs="Calibri"/>
              </w:rPr>
              <w:t>kompetencije</w:t>
            </w:r>
            <w:proofErr w:type="spellEnd"/>
            <w:r w:rsidRPr="00DF4CE5">
              <w:rPr>
                <w:rFonts w:ascii="Cambria" w:hAnsi="Cambria" w:cs="Calibri"/>
              </w:rPr>
              <w:t xml:space="preserve"> za </w:t>
            </w:r>
            <w:proofErr w:type="spellStart"/>
            <w:r w:rsidRPr="00DF4CE5">
              <w:rPr>
                <w:rFonts w:ascii="Cambria" w:hAnsi="Cambria" w:cs="Calibri"/>
              </w:rPr>
              <w:t>određenje</w:t>
            </w:r>
            <w:proofErr w:type="spellEnd"/>
            <w:r w:rsidRPr="00DF4CE5">
              <w:rPr>
                <w:rFonts w:ascii="Cambria" w:hAnsi="Cambria" w:cs="Calibri"/>
              </w:rPr>
              <w:t xml:space="preserve"> </w:t>
            </w:r>
            <w:proofErr w:type="spellStart"/>
            <w:r w:rsidRPr="00DF4CE5">
              <w:rPr>
                <w:rFonts w:ascii="Cambria" w:hAnsi="Cambria" w:cs="Calibri"/>
              </w:rPr>
              <w:t>temeljnih</w:t>
            </w:r>
            <w:proofErr w:type="spellEnd"/>
            <w:r w:rsidRPr="00DF4CE5">
              <w:rPr>
                <w:rFonts w:ascii="Cambria" w:hAnsi="Cambria" w:cs="Calibri"/>
              </w:rPr>
              <w:t xml:space="preserve"> </w:t>
            </w:r>
            <w:proofErr w:type="spellStart"/>
            <w:r w:rsidRPr="00DF4CE5">
              <w:rPr>
                <w:rFonts w:ascii="Cambria" w:hAnsi="Cambria" w:cs="Calibri"/>
              </w:rPr>
              <w:t>značajki</w:t>
            </w:r>
            <w:proofErr w:type="spellEnd"/>
            <w:r w:rsidRPr="00DF4CE5">
              <w:rPr>
                <w:rFonts w:ascii="Cambria" w:hAnsi="Cambria" w:cs="Calibri"/>
              </w:rPr>
              <w:t xml:space="preserve"> </w:t>
            </w:r>
            <w:proofErr w:type="spellStart"/>
            <w:r w:rsidRPr="00DF4CE5">
              <w:rPr>
                <w:rFonts w:ascii="Cambria" w:hAnsi="Cambria" w:cs="Calibri"/>
              </w:rPr>
              <w:t>obitelji</w:t>
            </w:r>
            <w:proofErr w:type="spellEnd"/>
            <w:r w:rsidRPr="00DF4CE5">
              <w:rPr>
                <w:rFonts w:ascii="Cambria" w:hAnsi="Cambria" w:cs="Calibri"/>
              </w:rPr>
              <w:t xml:space="preserve"> </w:t>
            </w:r>
            <w:proofErr w:type="spellStart"/>
            <w:r w:rsidRPr="00DF4CE5">
              <w:rPr>
                <w:rFonts w:ascii="Cambria" w:hAnsi="Cambria" w:cs="Calibri"/>
              </w:rPr>
              <w:t>kao</w:t>
            </w:r>
            <w:proofErr w:type="spellEnd"/>
            <w:r w:rsidRPr="00DF4CE5">
              <w:rPr>
                <w:rFonts w:ascii="Cambria" w:hAnsi="Cambria" w:cs="Calibri"/>
              </w:rPr>
              <w:t xml:space="preserve"> </w:t>
            </w:r>
            <w:proofErr w:type="spellStart"/>
            <w:r w:rsidRPr="00DF4CE5">
              <w:rPr>
                <w:rFonts w:ascii="Cambria" w:hAnsi="Cambria" w:cs="Calibri"/>
              </w:rPr>
              <w:t>sociološke</w:t>
            </w:r>
            <w:proofErr w:type="spellEnd"/>
            <w:r w:rsidRPr="00DF4CE5">
              <w:rPr>
                <w:rFonts w:ascii="Cambria" w:hAnsi="Cambria" w:cs="Calibri"/>
              </w:rPr>
              <w:t xml:space="preserve"> </w:t>
            </w:r>
            <w:proofErr w:type="spellStart"/>
            <w:r w:rsidRPr="00DF4CE5">
              <w:rPr>
                <w:rFonts w:ascii="Cambria" w:hAnsi="Cambria" w:cs="Calibri"/>
              </w:rPr>
              <w:t>kategorije</w:t>
            </w:r>
            <w:proofErr w:type="spellEnd"/>
            <w:r w:rsidRPr="00DF4CE5">
              <w:rPr>
                <w:rFonts w:ascii="Cambria" w:hAnsi="Cambria" w:cs="Calibri"/>
              </w:rPr>
              <w:t xml:space="preserve"> </w:t>
            </w:r>
            <w:proofErr w:type="spellStart"/>
            <w:r w:rsidRPr="00DF4CE5">
              <w:rPr>
                <w:rFonts w:ascii="Cambria" w:hAnsi="Cambria" w:cs="Calibri"/>
              </w:rPr>
              <w:t>važne</w:t>
            </w:r>
            <w:proofErr w:type="spellEnd"/>
            <w:r w:rsidRPr="00DF4CE5">
              <w:rPr>
                <w:rFonts w:ascii="Cambria" w:hAnsi="Cambria" w:cs="Calibri"/>
              </w:rPr>
              <w:t xml:space="preserve"> za </w:t>
            </w:r>
            <w:proofErr w:type="spellStart"/>
            <w:r w:rsidRPr="00DF4CE5">
              <w:rPr>
                <w:rFonts w:ascii="Cambria" w:hAnsi="Cambria" w:cs="Calibri"/>
              </w:rPr>
              <w:t>razvoj</w:t>
            </w:r>
            <w:proofErr w:type="spellEnd"/>
            <w:r w:rsidRPr="00DF4CE5">
              <w:rPr>
                <w:rFonts w:ascii="Cambria" w:hAnsi="Cambria" w:cs="Calibri"/>
              </w:rPr>
              <w:t xml:space="preserve">, </w:t>
            </w:r>
            <w:proofErr w:type="spellStart"/>
            <w:r w:rsidRPr="00DF4CE5">
              <w:rPr>
                <w:rFonts w:ascii="Cambria" w:hAnsi="Cambria" w:cs="Calibri"/>
              </w:rPr>
              <w:t>odgoj</w:t>
            </w:r>
            <w:proofErr w:type="spellEnd"/>
            <w:r w:rsidRPr="00DF4CE5">
              <w:rPr>
                <w:rFonts w:ascii="Cambria" w:hAnsi="Cambria" w:cs="Calibri"/>
              </w:rPr>
              <w:t xml:space="preserve"> </w:t>
            </w:r>
            <w:proofErr w:type="spellStart"/>
            <w:r w:rsidRPr="00DF4CE5">
              <w:rPr>
                <w:rFonts w:ascii="Cambria" w:hAnsi="Cambria" w:cs="Calibri"/>
              </w:rPr>
              <w:t>i</w:t>
            </w:r>
            <w:proofErr w:type="spellEnd"/>
            <w:r w:rsidRPr="00DF4CE5">
              <w:rPr>
                <w:rFonts w:ascii="Cambria" w:hAnsi="Cambria" w:cs="Calibri"/>
              </w:rPr>
              <w:t xml:space="preserve"> </w:t>
            </w:r>
            <w:proofErr w:type="spellStart"/>
            <w:r w:rsidRPr="00DF4CE5">
              <w:rPr>
                <w:rFonts w:ascii="Cambria" w:hAnsi="Cambria" w:cs="Calibri"/>
              </w:rPr>
              <w:t>obrazovanje</w:t>
            </w:r>
            <w:proofErr w:type="spellEnd"/>
            <w:r w:rsidRPr="00DF4CE5">
              <w:rPr>
                <w:rFonts w:ascii="Cambria" w:hAnsi="Cambria" w:cs="Calibri"/>
              </w:rPr>
              <w:t xml:space="preserve"> </w:t>
            </w:r>
            <w:proofErr w:type="spellStart"/>
            <w:r w:rsidRPr="00DF4CE5">
              <w:rPr>
                <w:rFonts w:ascii="Cambria" w:hAnsi="Cambria" w:cs="Calibri"/>
              </w:rPr>
              <w:t>učenika</w:t>
            </w:r>
            <w:proofErr w:type="spellEnd"/>
          </w:p>
        </w:tc>
      </w:tr>
      <w:tr w:rsidR="00F50454" w:rsidRPr="00DF4CE5" w14:paraId="1FF6F166" w14:textId="77777777" w:rsidTr="00891E8C">
        <w:tc>
          <w:tcPr>
            <w:tcW w:w="26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E1D2419" w14:textId="77777777" w:rsidR="00F50454" w:rsidRPr="00DF4CE5" w:rsidRDefault="00F50454" w:rsidP="00891E8C">
            <w:pPr>
              <w:spacing w:after="0" w:line="240" w:lineRule="auto"/>
              <w:rPr>
                <w:rFonts w:ascii="Cambria" w:hAnsi="Cambria" w:cs="Calibri"/>
              </w:rPr>
            </w:pPr>
            <w:proofErr w:type="spellStart"/>
            <w:r w:rsidRPr="00DF4CE5">
              <w:rPr>
                <w:rFonts w:ascii="Cambria" w:hAnsi="Cambria" w:cs="Calibri"/>
              </w:rPr>
              <w:t>Ishodi</w:t>
            </w:r>
            <w:proofErr w:type="spellEnd"/>
            <w:r w:rsidRPr="00DF4CE5">
              <w:rPr>
                <w:rFonts w:ascii="Cambria" w:hAnsi="Cambria" w:cs="Calibri"/>
              </w:rPr>
              <w:t xml:space="preserve"> </w:t>
            </w:r>
            <w:proofErr w:type="spellStart"/>
            <w:r w:rsidRPr="00DF4CE5">
              <w:rPr>
                <w:rFonts w:ascii="Cambria" w:hAnsi="Cambria" w:cs="Calibri"/>
              </w:rPr>
              <w:t>učenja</w:t>
            </w:r>
            <w:proofErr w:type="spellEnd"/>
          </w:p>
        </w:tc>
        <w:tc>
          <w:tcPr>
            <w:tcW w:w="6731"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EFEA3A0" w14:textId="77777777" w:rsidR="00F50454" w:rsidRPr="00DF4CE5" w:rsidRDefault="00F50454" w:rsidP="00891E8C">
            <w:pPr>
              <w:spacing w:after="0" w:line="240" w:lineRule="auto"/>
              <w:rPr>
                <w:rFonts w:ascii="Cambria" w:hAnsi="Cambria" w:cs="Calibri"/>
              </w:rPr>
            </w:pPr>
            <w:r w:rsidRPr="00DF4CE5">
              <w:rPr>
                <w:rFonts w:ascii="Cambria" w:hAnsi="Cambria" w:cs="Calibri"/>
              </w:rPr>
              <w:t xml:space="preserve">1. </w:t>
            </w:r>
            <w:proofErr w:type="spellStart"/>
            <w:r w:rsidRPr="00DF4CE5">
              <w:rPr>
                <w:rFonts w:ascii="Cambria" w:hAnsi="Cambria" w:cs="Calibri"/>
              </w:rPr>
              <w:t>analizirati</w:t>
            </w:r>
            <w:proofErr w:type="spellEnd"/>
            <w:r w:rsidRPr="00DF4CE5">
              <w:rPr>
                <w:rFonts w:ascii="Cambria" w:hAnsi="Cambria" w:cs="Calibri"/>
              </w:rPr>
              <w:t xml:space="preserve"> </w:t>
            </w:r>
            <w:proofErr w:type="spellStart"/>
            <w:r w:rsidRPr="00DF4CE5">
              <w:rPr>
                <w:rFonts w:ascii="Cambria" w:hAnsi="Cambria" w:cs="Calibri"/>
              </w:rPr>
              <w:t>kvalitativne</w:t>
            </w:r>
            <w:proofErr w:type="spellEnd"/>
            <w:r w:rsidRPr="00DF4CE5">
              <w:rPr>
                <w:rFonts w:ascii="Cambria" w:hAnsi="Cambria" w:cs="Calibri"/>
              </w:rPr>
              <w:t xml:space="preserve"> </w:t>
            </w:r>
            <w:proofErr w:type="spellStart"/>
            <w:r w:rsidRPr="00DF4CE5">
              <w:rPr>
                <w:rFonts w:ascii="Cambria" w:hAnsi="Cambria" w:cs="Calibri"/>
              </w:rPr>
              <w:t>prednosti</w:t>
            </w:r>
            <w:proofErr w:type="spellEnd"/>
            <w:r w:rsidRPr="00DF4CE5">
              <w:rPr>
                <w:rFonts w:ascii="Cambria" w:hAnsi="Cambria" w:cs="Calibri"/>
              </w:rPr>
              <w:t xml:space="preserve"> </w:t>
            </w:r>
            <w:proofErr w:type="spellStart"/>
            <w:r w:rsidRPr="00DF4CE5">
              <w:rPr>
                <w:rFonts w:ascii="Cambria" w:hAnsi="Cambria" w:cs="Calibri"/>
              </w:rPr>
              <w:t>suvremene</w:t>
            </w:r>
            <w:proofErr w:type="spellEnd"/>
            <w:r w:rsidRPr="00DF4CE5">
              <w:rPr>
                <w:rFonts w:ascii="Cambria" w:hAnsi="Cambria" w:cs="Calibri"/>
              </w:rPr>
              <w:t xml:space="preserve"> </w:t>
            </w:r>
            <w:proofErr w:type="spellStart"/>
            <w:r w:rsidRPr="00DF4CE5">
              <w:rPr>
                <w:rFonts w:ascii="Cambria" w:hAnsi="Cambria" w:cs="Calibri"/>
              </w:rPr>
              <w:t>obitelji</w:t>
            </w:r>
            <w:proofErr w:type="spellEnd"/>
            <w:r w:rsidRPr="00DF4CE5">
              <w:rPr>
                <w:rFonts w:ascii="Cambria" w:hAnsi="Cambria" w:cs="Calibri"/>
              </w:rPr>
              <w:t xml:space="preserve"> </w:t>
            </w:r>
            <w:proofErr w:type="spellStart"/>
            <w:r w:rsidRPr="00DF4CE5">
              <w:rPr>
                <w:rFonts w:ascii="Cambria" w:hAnsi="Cambria" w:cs="Calibri"/>
              </w:rPr>
              <w:t>radi</w:t>
            </w:r>
            <w:proofErr w:type="spellEnd"/>
            <w:r w:rsidRPr="00DF4CE5">
              <w:rPr>
                <w:rFonts w:ascii="Cambria" w:hAnsi="Cambria" w:cs="Calibri"/>
              </w:rPr>
              <w:t xml:space="preserve"> </w:t>
            </w:r>
            <w:proofErr w:type="spellStart"/>
            <w:r w:rsidRPr="00DF4CE5">
              <w:rPr>
                <w:rFonts w:ascii="Cambria" w:hAnsi="Cambria" w:cs="Calibri"/>
              </w:rPr>
              <w:t>pedagoškog</w:t>
            </w:r>
            <w:proofErr w:type="spellEnd"/>
            <w:r w:rsidRPr="00DF4CE5">
              <w:rPr>
                <w:rFonts w:ascii="Cambria" w:hAnsi="Cambria" w:cs="Calibri"/>
              </w:rPr>
              <w:t xml:space="preserve"> </w:t>
            </w:r>
            <w:proofErr w:type="spellStart"/>
            <w:r w:rsidRPr="00DF4CE5">
              <w:rPr>
                <w:rFonts w:ascii="Cambria" w:hAnsi="Cambria" w:cs="Calibri"/>
              </w:rPr>
              <w:t>djelovanja</w:t>
            </w:r>
            <w:proofErr w:type="spellEnd"/>
            <w:r w:rsidRPr="00DF4CE5">
              <w:rPr>
                <w:rFonts w:ascii="Cambria" w:hAnsi="Cambria" w:cs="Calibri"/>
              </w:rPr>
              <w:t xml:space="preserve"> u </w:t>
            </w:r>
            <w:proofErr w:type="spellStart"/>
            <w:r w:rsidRPr="00DF4CE5">
              <w:rPr>
                <w:rFonts w:ascii="Cambria" w:hAnsi="Cambria" w:cs="Calibri"/>
              </w:rPr>
              <w:t>okvirima</w:t>
            </w:r>
            <w:proofErr w:type="spellEnd"/>
            <w:r w:rsidRPr="00DF4CE5">
              <w:rPr>
                <w:rFonts w:ascii="Cambria" w:hAnsi="Cambria" w:cs="Calibri"/>
              </w:rPr>
              <w:t xml:space="preserve"> </w:t>
            </w:r>
            <w:proofErr w:type="spellStart"/>
            <w:r w:rsidRPr="00DF4CE5">
              <w:rPr>
                <w:rFonts w:ascii="Cambria" w:hAnsi="Cambria" w:cs="Calibri"/>
              </w:rPr>
              <w:t>učiteljske</w:t>
            </w:r>
            <w:proofErr w:type="spellEnd"/>
            <w:r w:rsidRPr="00DF4CE5">
              <w:rPr>
                <w:rFonts w:ascii="Cambria" w:hAnsi="Cambria" w:cs="Calibri"/>
              </w:rPr>
              <w:t xml:space="preserve"> </w:t>
            </w:r>
            <w:proofErr w:type="spellStart"/>
            <w:r w:rsidRPr="00DF4CE5">
              <w:rPr>
                <w:rFonts w:ascii="Cambria" w:hAnsi="Cambria" w:cs="Calibri"/>
              </w:rPr>
              <w:t>uloge</w:t>
            </w:r>
            <w:proofErr w:type="spellEnd"/>
            <w:r w:rsidRPr="00DF4CE5">
              <w:rPr>
                <w:rFonts w:ascii="Cambria" w:hAnsi="Cambria" w:cs="Calibri"/>
              </w:rPr>
              <w:t xml:space="preserve"> </w:t>
            </w:r>
            <w:proofErr w:type="spellStart"/>
            <w:r w:rsidRPr="00DF4CE5">
              <w:rPr>
                <w:rFonts w:ascii="Cambria" w:hAnsi="Cambria" w:cs="Calibri"/>
              </w:rPr>
              <w:t>i</w:t>
            </w:r>
            <w:proofErr w:type="spellEnd"/>
            <w:r w:rsidRPr="00DF4CE5">
              <w:rPr>
                <w:rFonts w:ascii="Cambria" w:hAnsi="Cambria" w:cs="Calibri"/>
              </w:rPr>
              <w:t xml:space="preserve"> </w:t>
            </w:r>
            <w:proofErr w:type="spellStart"/>
            <w:r w:rsidRPr="00DF4CE5">
              <w:rPr>
                <w:rFonts w:ascii="Cambria" w:hAnsi="Cambria" w:cs="Calibri"/>
              </w:rPr>
              <w:t>na</w:t>
            </w:r>
            <w:proofErr w:type="spellEnd"/>
            <w:r w:rsidRPr="00DF4CE5">
              <w:rPr>
                <w:rFonts w:ascii="Cambria" w:hAnsi="Cambria" w:cs="Calibri"/>
              </w:rPr>
              <w:t xml:space="preserve"> </w:t>
            </w:r>
            <w:proofErr w:type="spellStart"/>
            <w:r w:rsidRPr="00DF4CE5">
              <w:rPr>
                <w:rFonts w:ascii="Cambria" w:hAnsi="Cambria" w:cs="Calibri"/>
              </w:rPr>
              <w:t>osobnoj</w:t>
            </w:r>
            <w:proofErr w:type="spellEnd"/>
            <w:r w:rsidRPr="00DF4CE5">
              <w:rPr>
                <w:rFonts w:ascii="Cambria" w:hAnsi="Cambria" w:cs="Calibri"/>
              </w:rPr>
              <w:t xml:space="preserve"> </w:t>
            </w:r>
            <w:proofErr w:type="spellStart"/>
            <w:r w:rsidRPr="00DF4CE5">
              <w:rPr>
                <w:rFonts w:ascii="Cambria" w:hAnsi="Cambria" w:cs="Calibri"/>
              </w:rPr>
              <w:t>razini</w:t>
            </w:r>
            <w:proofErr w:type="spellEnd"/>
            <w:r w:rsidRPr="00DF4CE5">
              <w:rPr>
                <w:rFonts w:ascii="Cambria" w:hAnsi="Cambria" w:cs="Calibri"/>
              </w:rPr>
              <w:t xml:space="preserve"> u </w:t>
            </w:r>
            <w:proofErr w:type="spellStart"/>
            <w:r w:rsidRPr="00DF4CE5">
              <w:rPr>
                <w:rFonts w:ascii="Cambria" w:hAnsi="Cambria" w:cs="Calibri"/>
              </w:rPr>
              <w:t>pravcu</w:t>
            </w:r>
            <w:proofErr w:type="spellEnd"/>
            <w:r w:rsidRPr="00DF4CE5">
              <w:rPr>
                <w:rFonts w:ascii="Cambria" w:hAnsi="Cambria" w:cs="Calibri"/>
              </w:rPr>
              <w:t xml:space="preserve"> </w:t>
            </w:r>
            <w:proofErr w:type="spellStart"/>
            <w:r w:rsidRPr="00DF4CE5">
              <w:rPr>
                <w:rFonts w:ascii="Cambria" w:hAnsi="Cambria" w:cs="Calibri"/>
              </w:rPr>
              <w:t>njezine</w:t>
            </w:r>
            <w:proofErr w:type="spellEnd"/>
            <w:r w:rsidRPr="00DF4CE5">
              <w:rPr>
                <w:rFonts w:ascii="Cambria" w:hAnsi="Cambria" w:cs="Calibri"/>
              </w:rPr>
              <w:t xml:space="preserve"> </w:t>
            </w:r>
            <w:proofErr w:type="spellStart"/>
            <w:r w:rsidRPr="00DF4CE5">
              <w:rPr>
                <w:rFonts w:ascii="Cambria" w:hAnsi="Cambria" w:cs="Calibri"/>
              </w:rPr>
              <w:t>kvalitetnije</w:t>
            </w:r>
            <w:proofErr w:type="spellEnd"/>
            <w:r w:rsidRPr="00DF4CE5">
              <w:rPr>
                <w:rFonts w:ascii="Cambria" w:hAnsi="Cambria" w:cs="Calibri"/>
              </w:rPr>
              <w:t xml:space="preserve"> </w:t>
            </w:r>
            <w:proofErr w:type="spellStart"/>
            <w:r w:rsidRPr="00DF4CE5">
              <w:rPr>
                <w:rFonts w:ascii="Cambria" w:hAnsi="Cambria" w:cs="Calibri"/>
              </w:rPr>
              <w:t>transformacije</w:t>
            </w:r>
            <w:proofErr w:type="spellEnd"/>
            <w:r w:rsidRPr="00DF4CE5">
              <w:rPr>
                <w:rFonts w:ascii="Cambria" w:hAnsi="Cambria" w:cs="Calibri"/>
              </w:rPr>
              <w:t xml:space="preserve"> u </w:t>
            </w:r>
            <w:proofErr w:type="spellStart"/>
            <w:r w:rsidRPr="00DF4CE5">
              <w:rPr>
                <w:rFonts w:ascii="Cambria" w:hAnsi="Cambria" w:cs="Calibri"/>
              </w:rPr>
              <w:t>suvremenu</w:t>
            </w:r>
            <w:proofErr w:type="spellEnd"/>
            <w:r w:rsidRPr="00DF4CE5">
              <w:rPr>
                <w:rFonts w:ascii="Cambria" w:hAnsi="Cambria" w:cs="Calibri"/>
              </w:rPr>
              <w:t xml:space="preserve"> </w:t>
            </w:r>
            <w:proofErr w:type="spellStart"/>
            <w:r w:rsidRPr="00DF4CE5">
              <w:rPr>
                <w:rFonts w:ascii="Cambria" w:hAnsi="Cambria" w:cs="Calibri"/>
              </w:rPr>
              <w:t>ljudsku</w:t>
            </w:r>
            <w:proofErr w:type="spellEnd"/>
            <w:r w:rsidRPr="00DF4CE5">
              <w:rPr>
                <w:rFonts w:ascii="Cambria" w:hAnsi="Cambria" w:cs="Calibri"/>
              </w:rPr>
              <w:t xml:space="preserve"> </w:t>
            </w:r>
            <w:proofErr w:type="spellStart"/>
            <w:r w:rsidRPr="00DF4CE5">
              <w:rPr>
                <w:rFonts w:ascii="Cambria" w:hAnsi="Cambria" w:cs="Calibri"/>
              </w:rPr>
              <w:t>zajednicu</w:t>
            </w:r>
            <w:proofErr w:type="spellEnd"/>
          </w:p>
          <w:p w14:paraId="09D83B72" w14:textId="77777777" w:rsidR="00F50454" w:rsidRPr="00DF4CE5" w:rsidRDefault="00F50454" w:rsidP="00891E8C">
            <w:pPr>
              <w:spacing w:after="0" w:line="240" w:lineRule="auto"/>
              <w:rPr>
                <w:rFonts w:ascii="Cambria" w:hAnsi="Cambria" w:cs="Calibri"/>
              </w:rPr>
            </w:pPr>
            <w:r w:rsidRPr="00DF4CE5">
              <w:rPr>
                <w:rFonts w:ascii="Cambria" w:hAnsi="Cambria" w:cs="Calibri"/>
              </w:rPr>
              <w:t xml:space="preserve">2. </w:t>
            </w:r>
            <w:proofErr w:type="spellStart"/>
            <w:r w:rsidRPr="00DF4CE5">
              <w:rPr>
                <w:rFonts w:ascii="Cambria" w:hAnsi="Cambria" w:cs="Calibri"/>
              </w:rPr>
              <w:t>istražiti</w:t>
            </w:r>
            <w:proofErr w:type="spellEnd"/>
            <w:r w:rsidRPr="00DF4CE5">
              <w:rPr>
                <w:rFonts w:ascii="Cambria" w:hAnsi="Cambria" w:cs="Calibri"/>
              </w:rPr>
              <w:t xml:space="preserve"> </w:t>
            </w:r>
            <w:proofErr w:type="spellStart"/>
            <w:r w:rsidRPr="00DF4CE5">
              <w:rPr>
                <w:rFonts w:ascii="Cambria" w:hAnsi="Cambria" w:cs="Calibri"/>
              </w:rPr>
              <w:t>spoznaje</w:t>
            </w:r>
            <w:proofErr w:type="spellEnd"/>
            <w:r w:rsidRPr="00DF4CE5">
              <w:rPr>
                <w:rFonts w:ascii="Cambria" w:hAnsi="Cambria" w:cs="Calibri"/>
              </w:rPr>
              <w:t xml:space="preserve"> o </w:t>
            </w:r>
            <w:proofErr w:type="spellStart"/>
            <w:r w:rsidRPr="00DF4CE5">
              <w:rPr>
                <w:rFonts w:ascii="Cambria" w:hAnsi="Cambria" w:cs="Calibri"/>
              </w:rPr>
              <w:t>značaju</w:t>
            </w:r>
            <w:proofErr w:type="spellEnd"/>
            <w:r w:rsidRPr="00DF4CE5">
              <w:rPr>
                <w:rFonts w:ascii="Cambria" w:hAnsi="Cambria" w:cs="Calibri"/>
              </w:rPr>
              <w:t xml:space="preserve"> </w:t>
            </w:r>
            <w:proofErr w:type="spellStart"/>
            <w:r w:rsidRPr="00DF4CE5">
              <w:rPr>
                <w:rFonts w:ascii="Cambria" w:hAnsi="Cambria" w:cs="Calibri"/>
              </w:rPr>
              <w:t>obiteljskog</w:t>
            </w:r>
            <w:proofErr w:type="spellEnd"/>
            <w:r w:rsidRPr="00DF4CE5">
              <w:rPr>
                <w:rFonts w:ascii="Cambria" w:hAnsi="Cambria" w:cs="Calibri"/>
              </w:rPr>
              <w:t xml:space="preserve"> </w:t>
            </w:r>
            <w:proofErr w:type="spellStart"/>
            <w:r w:rsidRPr="00DF4CE5">
              <w:rPr>
                <w:rFonts w:ascii="Cambria" w:hAnsi="Cambria" w:cs="Calibri"/>
              </w:rPr>
              <w:t>odgoja</w:t>
            </w:r>
            <w:proofErr w:type="spellEnd"/>
            <w:r w:rsidRPr="00DF4CE5">
              <w:rPr>
                <w:rFonts w:ascii="Cambria" w:hAnsi="Cambria" w:cs="Calibri"/>
              </w:rPr>
              <w:t xml:space="preserve"> </w:t>
            </w:r>
            <w:proofErr w:type="spellStart"/>
            <w:r w:rsidRPr="00DF4CE5">
              <w:rPr>
                <w:rFonts w:ascii="Cambria" w:hAnsi="Cambria" w:cs="Calibri"/>
              </w:rPr>
              <w:t>kao</w:t>
            </w:r>
            <w:proofErr w:type="spellEnd"/>
            <w:r w:rsidRPr="00DF4CE5">
              <w:rPr>
                <w:rFonts w:ascii="Cambria" w:hAnsi="Cambria" w:cs="Calibri"/>
              </w:rPr>
              <w:t xml:space="preserve"> </w:t>
            </w:r>
            <w:proofErr w:type="spellStart"/>
            <w:r w:rsidRPr="00DF4CE5">
              <w:rPr>
                <w:rFonts w:ascii="Cambria" w:hAnsi="Cambria" w:cs="Calibri"/>
              </w:rPr>
              <w:t>temeljnog</w:t>
            </w:r>
            <w:proofErr w:type="spellEnd"/>
            <w:r w:rsidRPr="00DF4CE5">
              <w:rPr>
                <w:rFonts w:ascii="Cambria" w:hAnsi="Cambria" w:cs="Calibri"/>
              </w:rPr>
              <w:t xml:space="preserve"> </w:t>
            </w:r>
            <w:proofErr w:type="spellStart"/>
            <w:r w:rsidRPr="00DF4CE5">
              <w:rPr>
                <w:rFonts w:ascii="Cambria" w:hAnsi="Cambria" w:cs="Calibri"/>
              </w:rPr>
              <w:t>sredinskog</w:t>
            </w:r>
            <w:proofErr w:type="spellEnd"/>
            <w:r w:rsidRPr="00DF4CE5">
              <w:rPr>
                <w:rFonts w:ascii="Cambria" w:hAnsi="Cambria" w:cs="Calibri"/>
              </w:rPr>
              <w:t xml:space="preserve"> </w:t>
            </w:r>
            <w:proofErr w:type="spellStart"/>
            <w:r w:rsidRPr="00DF4CE5">
              <w:rPr>
                <w:rFonts w:ascii="Cambria" w:hAnsi="Cambria" w:cs="Calibri"/>
              </w:rPr>
              <w:t>činitelja</w:t>
            </w:r>
            <w:proofErr w:type="spellEnd"/>
            <w:r w:rsidRPr="00DF4CE5">
              <w:rPr>
                <w:rFonts w:ascii="Cambria" w:hAnsi="Cambria" w:cs="Calibri"/>
              </w:rPr>
              <w:t xml:space="preserve"> u </w:t>
            </w:r>
            <w:proofErr w:type="spellStart"/>
            <w:r w:rsidRPr="00DF4CE5">
              <w:rPr>
                <w:rFonts w:ascii="Cambria" w:hAnsi="Cambria" w:cs="Calibri"/>
              </w:rPr>
              <w:t>razvoju</w:t>
            </w:r>
            <w:proofErr w:type="spellEnd"/>
            <w:r w:rsidRPr="00DF4CE5">
              <w:rPr>
                <w:rFonts w:ascii="Cambria" w:hAnsi="Cambria" w:cs="Calibri"/>
              </w:rPr>
              <w:t xml:space="preserve"> </w:t>
            </w:r>
            <w:proofErr w:type="spellStart"/>
            <w:r w:rsidRPr="00DF4CE5">
              <w:rPr>
                <w:rFonts w:ascii="Cambria" w:hAnsi="Cambria" w:cs="Calibri"/>
              </w:rPr>
              <w:t>osobnosti</w:t>
            </w:r>
            <w:proofErr w:type="spellEnd"/>
          </w:p>
          <w:p w14:paraId="476D43E1" w14:textId="77777777" w:rsidR="00F50454" w:rsidRPr="00DF4CE5" w:rsidRDefault="00F50454" w:rsidP="00891E8C">
            <w:pPr>
              <w:spacing w:after="0" w:line="240" w:lineRule="auto"/>
              <w:rPr>
                <w:rFonts w:ascii="Cambria" w:hAnsi="Cambria" w:cs="Calibri"/>
              </w:rPr>
            </w:pPr>
            <w:r w:rsidRPr="00DF4CE5">
              <w:rPr>
                <w:rFonts w:ascii="Cambria" w:hAnsi="Cambria" w:cs="Calibri"/>
              </w:rPr>
              <w:t xml:space="preserve">3. </w:t>
            </w:r>
            <w:proofErr w:type="spellStart"/>
            <w:r w:rsidRPr="00DF4CE5">
              <w:rPr>
                <w:rFonts w:ascii="Cambria" w:hAnsi="Cambria" w:cs="Calibri"/>
              </w:rPr>
              <w:t>usporediti</w:t>
            </w:r>
            <w:proofErr w:type="spellEnd"/>
            <w:r w:rsidRPr="00DF4CE5">
              <w:rPr>
                <w:rFonts w:ascii="Cambria" w:hAnsi="Cambria" w:cs="Calibri"/>
              </w:rPr>
              <w:t xml:space="preserve"> </w:t>
            </w:r>
            <w:proofErr w:type="spellStart"/>
            <w:r w:rsidRPr="00DF4CE5">
              <w:rPr>
                <w:rFonts w:ascii="Cambria" w:hAnsi="Cambria" w:cs="Calibri"/>
              </w:rPr>
              <w:t>odgojne</w:t>
            </w:r>
            <w:proofErr w:type="spellEnd"/>
            <w:r w:rsidRPr="00DF4CE5">
              <w:rPr>
                <w:rFonts w:ascii="Cambria" w:hAnsi="Cambria" w:cs="Calibri"/>
              </w:rPr>
              <w:t xml:space="preserve"> </w:t>
            </w:r>
            <w:proofErr w:type="spellStart"/>
            <w:r w:rsidRPr="00DF4CE5">
              <w:rPr>
                <w:rFonts w:ascii="Cambria" w:hAnsi="Cambria" w:cs="Calibri"/>
              </w:rPr>
              <w:t>funkcije</w:t>
            </w:r>
            <w:proofErr w:type="spellEnd"/>
            <w:r w:rsidRPr="00DF4CE5">
              <w:rPr>
                <w:rFonts w:ascii="Cambria" w:hAnsi="Cambria" w:cs="Calibri"/>
              </w:rPr>
              <w:t xml:space="preserve"> </w:t>
            </w:r>
            <w:proofErr w:type="spellStart"/>
            <w:r w:rsidRPr="00DF4CE5">
              <w:rPr>
                <w:rFonts w:ascii="Cambria" w:hAnsi="Cambria" w:cs="Calibri"/>
              </w:rPr>
              <w:t>suvremene</w:t>
            </w:r>
            <w:proofErr w:type="spellEnd"/>
            <w:r w:rsidRPr="00DF4CE5">
              <w:rPr>
                <w:rFonts w:ascii="Cambria" w:hAnsi="Cambria" w:cs="Calibri"/>
              </w:rPr>
              <w:t xml:space="preserve"> </w:t>
            </w:r>
            <w:proofErr w:type="spellStart"/>
            <w:r w:rsidRPr="00DF4CE5">
              <w:rPr>
                <w:rFonts w:ascii="Cambria" w:hAnsi="Cambria" w:cs="Calibri"/>
              </w:rPr>
              <w:t>obitelji</w:t>
            </w:r>
            <w:proofErr w:type="spellEnd"/>
            <w:r w:rsidRPr="00DF4CE5">
              <w:rPr>
                <w:rFonts w:ascii="Cambria" w:hAnsi="Cambria" w:cs="Calibri"/>
              </w:rPr>
              <w:t xml:space="preserve"> </w:t>
            </w:r>
            <w:proofErr w:type="spellStart"/>
            <w:r w:rsidRPr="00DF4CE5">
              <w:rPr>
                <w:rFonts w:ascii="Cambria" w:hAnsi="Cambria" w:cs="Calibri"/>
              </w:rPr>
              <w:t>radi</w:t>
            </w:r>
            <w:proofErr w:type="spellEnd"/>
            <w:r w:rsidRPr="00DF4CE5">
              <w:rPr>
                <w:rFonts w:ascii="Cambria" w:hAnsi="Cambria" w:cs="Calibri"/>
              </w:rPr>
              <w:t xml:space="preserve"> </w:t>
            </w:r>
            <w:proofErr w:type="spellStart"/>
            <w:r w:rsidRPr="00DF4CE5">
              <w:rPr>
                <w:rFonts w:ascii="Cambria" w:hAnsi="Cambria" w:cs="Calibri"/>
              </w:rPr>
              <w:t>izgrađivanja</w:t>
            </w:r>
            <w:proofErr w:type="spellEnd"/>
            <w:r w:rsidRPr="00DF4CE5">
              <w:rPr>
                <w:rFonts w:ascii="Cambria" w:hAnsi="Cambria" w:cs="Calibri"/>
              </w:rPr>
              <w:t xml:space="preserve"> </w:t>
            </w:r>
            <w:proofErr w:type="spellStart"/>
            <w:r w:rsidRPr="00DF4CE5">
              <w:rPr>
                <w:rFonts w:ascii="Cambria" w:hAnsi="Cambria" w:cs="Calibri"/>
              </w:rPr>
              <w:t>partnerskog</w:t>
            </w:r>
            <w:proofErr w:type="spellEnd"/>
            <w:r w:rsidRPr="00DF4CE5">
              <w:rPr>
                <w:rFonts w:ascii="Cambria" w:hAnsi="Cambria" w:cs="Calibri"/>
              </w:rPr>
              <w:t xml:space="preserve"> </w:t>
            </w:r>
            <w:proofErr w:type="spellStart"/>
            <w:r w:rsidRPr="00DF4CE5">
              <w:rPr>
                <w:rFonts w:ascii="Cambria" w:hAnsi="Cambria" w:cs="Calibri"/>
              </w:rPr>
              <w:t>odnosa</w:t>
            </w:r>
            <w:proofErr w:type="spellEnd"/>
            <w:r w:rsidRPr="00DF4CE5">
              <w:rPr>
                <w:rFonts w:ascii="Cambria" w:hAnsi="Cambria" w:cs="Calibri"/>
              </w:rPr>
              <w:t xml:space="preserve"> </w:t>
            </w:r>
            <w:proofErr w:type="spellStart"/>
            <w:r w:rsidRPr="00DF4CE5">
              <w:rPr>
                <w:rFonts w:ascii="Cambria" w:hAnsi="Cambria" w:cs="Calibri"/>
              </w:rPr>
              <w:t>između</w:t>
            </w:r>
            <w:proofErr w:type="spellEnd"/>
            <w:r w:rsidRPr="00DF4CE5">
              <w:rPr>
                <w:rFonts w:ascii="Cambria" w:hAnsi="Cambria" w:cs="Calibri"/>
              </w:rPr>
              <w:t xml:space="preserve"> </w:t>
            </w:r>
            <w:proofErr w:type="spellStart"/>
            <w:r w:rsidRPr="00DF4CE5">
              <w:rPr>
                <w:rFonts w:ascii="Cambria" w:hAnsi="Cambria" w:cs="Calibri"/>
              </w:rPr>
              <w:t>škole</w:t>
            </w:r>
            <w:proofErr w:type="spellEnd"/>
            <w:r w:rsidRPr="00DF4CE5">
              <w:rPr>
                <w:rFonts w:ascii="Cambria" w:hAnsi="Cambria" w:cs="Calibri"/>
              </w:rPr>
              <w:t xml:space="preserve"> </w:t>
            </w:r>
            <w:proofErr w:type="spellStart"/>
            <w:r w:rsidRPr="00DF4CE5">
              <w:rPr>
                <w:rFonts w:ascii="Cambria" w:hAnsi="Cambria" w:cs="Calibri"/>
              </w:rPr>
              <w:t>i</w:t>
            </w:r>
            <w:proofErr w:type="spellEnd"/>
            <w:r w:rsidRPr="00DF4CE5">
              <w:rPr>
                <w:rFonts w:ascii="Cambria" w:hAnsi="Cambria" w:cs="Calibri"/>
              </w:rPr>
              <w:t xml:space="preserve"> </w:t>
            </w:r>
            <w:proofErr w:type="spellStart"/>
            <w:r w:rsidRPr="00DF4CE5">
              <w:rPr>
                <w:rFonts w:ascii="Cambria" w:hAnsi="Cambria" w:cs="Calibri"/>
              </w:rPr>
              <w:t>obitelji</w:t>
            </w:r>
            <w:proofErr w:type="spellEnd"/>
            <w:r w:rsidRPr="00DF4CE5">
              <w:rPr>
                <w:rFonts w:ascii="Cambria" w:hAnsi="Cambria" w:cs="Calibri"/>
              </w:rPr>
              <w:t xml:space="preserve"> </w:t>
            </w:r>
            <w:proofErr w:type="spellStart"/>
            <w:r w:rsidRPr="00DF4CE5">
              <w:rPr>
                <w:rFonts w:ascii="Cambria" w:hAnsi="Cambria" w:cs="Calibri"/>
              </w:rPr>
              <w:t>i</w:t>
            </w:r>
            <w:proofErr w:type="spellEnd"/>
            <w:r w:rsidRPr="00DF4CE5">
              <w:rPr>
                <w:rFonts w:ascii="Cambria" w:hAnsi="Cambria" w:cs="Calibri"/>
              </w:rPr>
              <w:t xml:space="preserve"> </w:t>
            </w:r>
            <w:proofErr w:type="spellStart"/>
            <w:r w:rsidRPr="00DF4CE5">
              <w:rPr>
                <w:rFonts w:ascii="Cambria" w:hAnsi="Cambria" w:cs="Calibri"/>
              </w:rPr>
              <w:t>lokalne</w:t>
            </w:r>
            <w:proofErr w:type="spellEnd"/>
            <w:r w:rsidRPr="00DF4CE5">
              <w:rPr>
                <w:rFonts w:ascii="Cambria" w:hAnsi="Cambria" w:cs="Calibri"/>
              </w:rPr>
              <w:t xml:space="preserve"> </w:t>
            </w:r>
            <w:proofErr w:type="spellStart"/>
            <w:r w:rsidRPr="00DF4CE5">
              <w:rPr>
                <w:rFonts w:ascii="Cambria" w:hAnsi="Cambria" w:cs="Calibri"/>
              </w:rPr>
              <w:t>zajednice</w:t>
            </w:r>
            <w:proofErr w:type="spellEnd"/>
          </w:p>
          <w:p w14:paraId="45D1E2CF" w14:textId="77777777" w:rsidR="00F50454" w:rsidRPr="00DF4CE5" w:rsidRDefault="00F50454" w:rsidP="00891E8C">
            <w:pPr>
              <w:spacing w:after="0" w:line="240" w:lineRule="auto"/>
              <w:rPr>
                <w:rFonts w:ascii="Cambria" w:hAnsi="Cambria" w:cs="Calibri"/>
              </w:rPr>
            </w:pPr>
            <w:r w:rsidRPr="00DF4CE5">
              <w:rPr>
                <w:rFonts w:ascii="Cambria" w:hAnsi="Cambria" w:cs="Calibri"/>
              </w:rPr>
              <w:t xml:space="preserve">4. </w:t>
            </w:r>
            <w:proofErr w:type="spellStart"/>
            <w:r w:rsidRPr="00DF4CE5">
              <w:rPr>
                <w:rFonts w:ascii="Cambria" w:hAnsi="Cambria" w:cs="Calibri"/>
              </w:rPr>
              <w:t>interpretirati</w:t>
            </w:r>
            <w:proofErr w:type="spellEnd"/>
            <w:r w:rsidRPr="00DF4CE5">
              <w:rPr>
                <w:rFonts w:ascii="Cambria" w:hAnsi="Cambria" w:cs="Calibri"/>
              </w:rPr>
              <w:t xml:space="preserve"> </w:t>
            </w:r>
            <w:proofErr w:type="spellStart"/>
            <w:r w:rsidRPr="00DF4CE5">
              <w:rPr>
                <w:rFonts w:ascii="Cambria" w:hAnsi="Cambria" w:cs="Calibri"/>
              </w:rPr>
              <w:t>suvremene</w:t>
            </w:r>
            <w:proofErr w:type="spellEnd"/>
            <w:r w:rsidRPr="00DF4CE5">
              <w:rPr>
                <w:rFonts w:ascii="Cambria" w:hAnsi="Cambria" w:cs="Calibri"/>
              </w:rPr>
              <w:t xml:space="preserve"> </w:t>
            </w:r>
            <w:proofErr w:type="spellStart"/>
            <w:r w:rsidRPr="00DF4CE5">
              <w:rPr>
                <w:rFonts w:ascii="Cambria" w:hAnsi="Cambria" w:cs="Calibri"/>
              </w:rPr>
              <w:t>spoznaje</w:t>
            </w:r>
            <w:proofErr w:type="spellEnd"/>
            <w:r w:rsidRPr="00DF4CE5">
              <w:rPr>
                <w:rFonts w:ascii="Cambria" w:hAnsi="Cambria" w:cs="Calibri"/>
              </w:rPr>
              <w:t xml:space="preserve"> o </w:t>
            </w:r>
            <w:proofErr w:type="spellStart"/>
            <w:r w:rsidRPr="00DF4CE5">
              <w:rPr>
                <w:rFonts w:ascii="Cambria" w:hAnsi="Cambria" w:cs="Calibri"/>
              </w:rPr>
              <w:t>djetinjstvu</w:t>
            </w:r>
            <w:proofErr w:type="spellEnd"/>
            <w:r w:rsidRPr="00DF4CE5">
              <w:rPr>
                <w:rFonts w:ascii="Cambria" w:hAnsi="Cambria" w:cs="Calibri"/>
              </w:rPr>
              <w:t xml:space="preserve"> </w:t>
            </w:r>
            <w:proofErr w:type="spellStart"/>
            <w:r w:rsidRPr="00DF4CE5">
              <w:rPr>
                <w:rFonts w:ascii="Cambria" w:hAnsi="Cambria" w:cs="Calibri"/>
              </w:rPr>
              <w:t>kao</w:t>
            </w:r>
            <w:proofErr w:type="spellEnd"/>
            <w:r w:rsidRPr="00DF4CE5">
              <w:rPr>
                <w:rFonts w:ascii="Cambria" w:hAnsi="Cambria" w:cs="Calibri"/>
              </w:rPr>
              <w:t xml:space="preserve"> </w:t>
            </w:r>
            <w:proofErr w:type="spellStart"/>
            <w:r w:rsidRPr="00DF4CE5">
              <w:rPr>
                <w:rFonts w:ascii="Cambria" w:hAnsi="Cambria" w:cs="Calibri"/>
              </w:rPr>
              <w:t>interaktivnom</w:t>
            </w:r>
            <w:proofErr w:type="spellEnd"/>
            <w:r w:rsidRPr="00DF4CE5">
              <w:rPr>
                <w:rFonts w:ascii="Cambria" w:hAnsi="Cambria" w:cs="Calibri"/>
              </w:rPr>
              <w:t xml:space="preserve"> </w:t>
            </w:r>
            <w:proofErr w:type="spellStart"/>
            <w:r w:rsidRPr="00DF4CE5">
              <w:rPr>
                <w:rFonts w:ascii="Cambria" w:hAnsi="Cambria" w:cs="Calibri"/>
              </w:rPr>
              <w:t>odnosu</w:t>
            </w:r>
            <w:proofErr w:type="spellEnd"/>
            <w:r w:rsidRPr="00DF4CE5">
              <w:rPr>
                <w:rFonts w:ascii="Cambria" w:hAnsi="Cambria" w:cs="Calibri"/>
              </w:rPr>
              <w:t xml:space="preserve"> </w:t>
            </w:r>
            <w:proofErr w:type="spellStart"/>
            <w:r w:rsidRPr="00DF4CE5">
              <w:rPr>
                <w:rFonts w:ascii="Cambria" w:hAnsi="Cambria" w:cs="Calibri"/>
              </w:rPr>
              <w:t>izmedu</w:t>
            </w:r>
            <w:proofErr w:type="spellEnd"/>
            <w:r w:rsidRPr="00DF4CE5">
              <w:rPr>
                <w:rFonts w:ascii="Cambria" w:hAnsi="Cambria" w:cs="Calibri"/>
              </w:rPr>
              <w:t xml:space="preserve"> </w:t>
            </w:r>
            <w:proofErr w:type="spellStart"/>
            <w:r w:rsidRPr="00DF4CE5">
              <w:rPr>
                <w:rFonts w:ascii="Cambria" w:hAnsi="Cambria" w:cs="Calibri"/>
              </w:rPr>
              <w:t>učenika</w:t>
            </w:r>
            <w:proofErr w:type="spellEnd"/>
            <w:r w:rsidRPr="00DF4CE5">
              <w:rPr>
                <w:rFonts w:ascii="Cambria" w:hAnsi="Cambria" w:cs="Calibri"/>
              </w:rPr>
              <w:t xml:space="preserve"> </w:t>
            </w:r>
            <w:proofErr w:type="spellStart"/>
            <w:r w:rsidRPr="00DF4CE5">
              <w:rPr>
                <w:rFonts w:ascii="Cambria" w:hAnsi="Cambria" w:cs="Calibri"/>
              </w:rPr>
              <w:t>i</w:t>
            </w:r>
            <w:proofErr w:type="spellEnd"/>
            <w:r w:rsidRPr="00DF4CE5">
              <w:rPr>
                <w:rFonts w:ascii="Cambria" w:hAnsi="Cambria" w:cs="Calibri"/>
              </w:rPr>
              <w:t xml:space="preserve"> </w:t>
            </w:r>
            <w:proofErr w:type="spellStart"/>
            <w:r w:rsidRPr="00DF4CE5">
              <w:rPr>
                <w:rFonts w:ascii="Cambria" w:hAnsi="Cambria" w:cs="Calibri"/>
              </w:rPr>
              <w:t>okruženja</w:t>
            </w:r>
            <w:proofErr w:type="spellEnd"/>
            <w:r w:rsidRPr="00DF4CE5">
              <w:rPr>
                <w:rFonts w:ascii="Cambria" w:hAnsi="Cambria" w:cs="Calibri"/>
              </w:rPr>
              <w:t xml:space="preserve"> u </w:t>
            </w:r>
            <w:proofErr w:type="spellStart"/>
            <w:r w:rsidRPr="00DF4CE5">
              <w:rPr>
                <w:rFonts w:ascii="Cambria" w:hAnsi="Cambria" w:cs="Calibri"/>
              </w:rPr>
              <w:t>procesima</w:t>
            </w:r>
            <w:proofErr w:type="spellEnd"/>
            <w:r w:rsidRPr="00DF4CE5">
              <w:rPr>
                <w:rFonts w:ascii="Cambria" w:hAnsi="Cambria" w:cs="Calibri"/>
              </w:rPr>
              <w:t xml:space="preserve"> </w:t>
            </w:r>
            <w:proofErr w:type="spellStart"/>
            <w:r w:rsidRPr="00DF4CE5">
              <w:rPr>
                <w:rFonts w:ascii="Cambria" w:hAnsi="Cambria" w:cs="Calibri"/>
              </w:rPr>
              <w:t>izgradnje</w:t>
            </w:r>
            <w:proofErr w:type="spellEnd"/>
            <w:r w:rsidRPr="00DF4CE5">
              <w:rPr>
                <w:rFonts w:ascii="Cambria" w:hAnsi="Cambria" w:cs="Calibri"/>
              </w:rPr>
              <w:t xml:space="preserve"> </w:t>
            </w:r>
            <w:proofErr w:type="spellStart"/>
            <w:r w:rsidRPr="00DF4CE5">
              <w:rPr>
                <w:rFonts w:ascii="Cambria" w:hAnsi="Cambria" w:cs="Calibri"/>
              </w:rPr>
              <w:t>odnosnih</w:t>
            </w:r>
            <w:proofErr w:type="spellEnd"/>
            <w:r w:rsidRPr="00DF4CE5">
              <w:rPr>
                <w:rFonts w:ascii="Cambria" w:hAnsi="Cambria" w:cs="Calibri"/>
              </w:rPr>
              <w:t xml:space="preserve"> </w:t>
            </w:r>
            <w:proofErr w:type="spellStart"/>
            <w:r w:rsidRPr="00DF4CE5">
              <w:rPr>
                <w:rFonts w:ascii="Cambria" w:hAnsi="Cambria" w:cs="Calibri"/>
              </w:rPr>
              <w:t>relacija</w:t>
            </w:r>
            <w:proofErr w:type="spellEnd"/>
            <w:r w:rsidRPr="00DF4CE5">
              <w:rPr>
                <w:rFonts w:ascii="Cambria" w:hAnsi="Cambria" w:cs="Calibri"/>
              </w:rPr>
              <w:t xml:space="preserve"> </w:t>
            </w:r>
            <w:proofErr w:type="spellStart"/>
            <w:r w:rsidRPr="00DF4CE5">
              <w:rPr>
                <w:rFonts w:ascii="Cambria" w:hAnsi="Cambria" w:cs="Calibri"/>
              </w:rPr>
              <w:t>učenika</w:t>
            </w:r>
            <w:proofErr w:type="spellEnd"/>
            <w:r w:rsidRPr="00DF4CE5">
              <w:rPr>
                <w:rFonts w:ascii="Cambria" w:hAnsi="Cambria" w:cs="Calibri"/>
              </w:rPr>
              <w:t xml:space="preserve"> </w:t>
            </w:r>
            <w:proofErr w:type="spellStart"/>
            <w:r w:rsidRPr="00DF4CE5">
              <w:rPr>
                <w:rFonts w:ascii="Cambria" w:hAnsi="Cambria" w:cs="Calibri"/>
              </w:rPr>
              <w:t>i</w:t>
            </w:r>
            <w:proofErr w:type="spellEnd"/>
            <w:r w:rsidRPr="00DF4CE5">
              <w:rPr>
                <w:rFonts w:ascii="Cambria" w:hAnsi="Cambria" w:cs="Calibri"/>
              </w:rPr>
              <w:t xml:space="preserve"> </w:t>
            </w:r>
            <w:proofErr w:type="spellStart"/>
            <w:r w:rsidRPr="00DF4CE5">
              <w:rPr>
                <w:rFonts w:ascii="Cambria" w:hAnsi="Cambria" w:cs="Calibri"/>
              </w:rPr>
              <w:t>učitelja</w:t>
            </w:r>
            <w:proofErr w:type="spellEnd"/>
            <w:r w:rsidRPr="00DF4CE5">
              <w:rPr>
                <w:rFonts w:ascii="Cambria" w:hAnsi="Cambria" w:cs="Calibri"/>
              </w:rPr>
              <w:t xml:space="preserve"> u </w:t>
            </w:r>
            <w:proofErr w:type="spellStart"/>
            <w:r w:rsidRPr="00DF4CE5">
              <w:rPr>
                <w:rFonts w:ascii="Cambria" w:hAnsi="Cambria" w:cs="Calibri"/>
              </w:rPr>
              <w:t>složenim</w:t>
            </w:r>
            <w:proofErr w:type="spellEnd"/>
            <w:r w:rsidRPr="00DF4CE5">
              <w:rPr>
                <w:rFonts w:ascii="Cambria" w:hAnsi="Cambria" w:cs="Calibri"/>
              </w:rPr>
              <w:t xml:space="preserve"> </w:t>
            </w:r>
            <w:proofErr w:type="spellStart"/>
            <w:r w:rsidRPr="00DF4CE5">
              <w:rPr>
                <w:rFonts w:ascii="Cambria" w:hAnsi="Cambria" w:cs="Calibri"/>
              </w:rPr>
              <w:t>okolnostima</w:t>
            </w:r>
            <w:proofErr w:type="spellEnd"/>
            <w:r w:rsidRPr="00DF4CE5">
              <w:rPr>
                <w:rFonts w:ascii="Cambria" w:hAnsi="Cambria" w:cs="Calibri"/>
              </w:rPr>
              <w:t xml:space="preserve"> </w:t>
            </w:r>
            <w:proofErr w:type="spellStart"/>
            <w:r w:rsidRPr="00DF4CE5">
              <w:rPr>
                <w:rFonts w:ascii="Cambria" w:hAnsi="Cambria" w:cs="Calibri"/>
              </w:rPr>
              <w:t>poučavanja</w:t>
            </w:r>
            <w:proofErr w:type="spellEnd"/>
            <w:r w:rsidRPr="00DF4CE5">
              <w:rPr>
                <w:rFonts w:ascii="Cambria" w:hAnsi="Cambria" w:cs="Calibri"/>
              </w:rPr>
              <w:t xml:space="preserve"> u </w:t>
            </w:r>
            <w:proofErr w:type="spellStart"/>
            <w:r w:rsidRPr="00DF4CE5">
              <w:rPr>
                <w:rFonts w:ascii="Cambria" w:hAnsi="Cambria" w:cs="Calibri"/>
              </w:rPr>
              <w:t>sustavu</w:t>
            </w:r>
            <w:proofErr w:type="spellEnd"/>
            <w:r w:rsidRPr="00DF4CE5">
              <w:rPr>
                <w:rFonts w:ascii="Cambria" w:hAnsi="Cambria" w:cs="Calibri"/>
              </w:rPr>
              <w:t xml:space="preserve"> </w:t>
            </w:r>
            <w:proofErr w:type="spellStart"/>
            <w:r w:rsidRPr="00DF4CE5">
              <w:rPr>
                <w:rFonts w:ascii="Cambria" w:hAnsi="Cambria" w:cs="Calibri"/>
              </w:rPr>
              <w:t>primarnog</w:t>
            </w:r>
            <w:proofErr w:type="spellEnd"/>
            <w:r w:rsidRPr="00DF4CE5">
              <w:rPr>
                <w:rFonts w:ascii="Cambria" w:hAnsi="Cambria" w:cs="Calibri"/>
              </w:rPr>
              <w:t xml:space="preserve"> </w:t>
            </w:r>
            <w:proofErr w:type="spellStart"/>
            <w:r w:rsidRPr="00DF4CE5">
              <w:rPr>
                <w:rFonts w:ascii="Cambria" w:hAnsi="Cambria" w:cs="Calibri"/>
              </w:rPr>
              <w:t>obrazovanja</w:t>
            </w:r>
            <w:proofErr w:type="spellEnd"/>
          </w:p>
        </w:tc>
      </w:tr>
      <w:tr w:rsidR="00F50454" w:rsidRPr="00D0399C" w14:paraId="27C40970" w14:textId="77777777" w:rsidTr="00891E8C">
        <w:tc>
          <w:tcPr>
            <w:tcW w:w="2629"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5F97937F" w14:textId="77777777" w:rsidR="00F50454" w:rsidRPr="00DF4CE5" w:rsidRDefault="00F50454" w:rsidP="00891E8C">
            <w:pPr>
              <w:spacing w:after="0" w:line="240" w:lineRule="auto"/>
              <w:rPr>
                <w:rFonts w:ascii="Cambria" w:hAnsi="Cambria" w:cs="Calibri"/>
              </w:rPr>
            </w:pPr>
            <w:proofErr w:type="spellStart"/>
            <w:r w:rsidRPr="00DF4CE5">
              <w:rPr>
                <w:rFonts w:ascii="Cambria" w:hAnsi="Cambria" w:cs="Calibri"/>
              </w:rPr>
              <w:t>Sadržaj</w:t>
            </w:r>
            <w:proofErr w:type="spellEnd"/>
            <w:r w:rsidRPr="00DF4CE5">
              <w:rPr>
                <w:rFonts w:ascii="Cambria" w:hAnsi="Cambria" w:cs="Calibri"/>
              </w:rPr>
              <w:t xml:space="preserve"> </w:t>
            </w:r>
            <w:proofErr w:type="spellStart"/>
            <w:r w:rsidRPr="00DF4CE5">
              <w:rPr>
                <w:rFonts w:ascii="Cambria" w:hAnsi="Cambria" w:cs="Calibri"/>
              </w:rPr>
              <w:t>kolegija</w:t>
            </w:r>
            <w:proofErr w:type="spellEnd"/>
          </w:p>
        </w:tc>
        <w:tc>
          <w:tcPr>
            <w:tcW w:w="6731"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50246E0" w14:textId="77777777" w:rsidR="00F50454" w:rsidRPr="00DF4CE5" w:rsidRDefault="00F50454" w:rsidP="00891E8C">
            <w:pPr>
              <w:spacing w:after="0" w:line="240" w:lineRule="auto"/>
              <w:rPr>
                <w:rFonts w:ascii="Cambria" w:hAnsi="Cambria" w:cs="Calibri"/>
              </w:rPr>
            </w:pPr>
            <w:r w:rsidRPr="00DF4CE5">
              <w:rPr>
                <w:rFonts w:ascii="Cambria" w:hAnsi="Cambria" w:cs="Calibri"/>
              </w:rPr>
              <w:t xml:space="preserve">1. </w:t>
            </w:r>
            <w:proofErr w:type="spellStart"/>
            <w:r w:rsidRPr="00DF4CE5">
              <w:rPr>
                <w:rFonts w:ascii="Cambria" w:hAnsi="Cambria" w:cs="Calibri"/>
              </w:rPr>
              <w:t>Obiteljska</w:t>
            </w:r>
            <w:proofErr w:type="spellEnd"/>
            <w:r w:rsidRPr="00DF4CE5">
              <w:rPr>
                <w:rFonts w:ascii="Cambria" w:hAnsi="Cambria" w:cs="Calibri"/>
              </w:rPr>
              <w:t xml:space="preserve"> </w:t>
            </w:r>
            <w:proofErr w:type="spellStart"/>
            <w:r w:rsidRPr="00DF4CE5">
              <w:rPr>
                <w:rFonts w:ascii="Cambria" w:hAnsi="Cambria" w:cs="Calibri"/>
              </w:rPr>
              <w:t>pedagogija</w:t>
            </w:r>
            <w:proofErr w:type="spellEnd"/>
            <w:r w:rsidRPr="00DF4CE5">
              <w:rPr>
                <w:rFonts w:ascii="Cambria" w:hAnsi="Cambria" w:cs="Calibri"/>
              </w:rPr>
              <w:t xml:space="preserve"> </w:t>
            </w:r>
            <w:proofErr w:type="spellStart"/>
            <w:r w:rsidRPr="00DF4CE5">
              <w:rPr>
                <w:rFonts w:ascii="Cambria" w:hAnsi="Cambria" w:cs="Calibri"/>
              </w:rPr>
              <w:t>i</w:t>
            </w:r>
            <w:proofErr w:type="spellEnd"/>
            <w:r w:rsidRPr="00DF4CE5">
              <w:rPr>
                <w:rFonts w:ascii="Cambria" w:hAnsi="Cambria" w:cs="Calibri"/>
              </w:rPr>
              <w:t xml:space="preserve"> </w:t>
            </w:r>
            <w:proofErr w:type="spellStart"/>
            <w:r w:rsidRPr="00DF4CE5">
              <w:rPr>
                <w:rFonts w:ascii="Cambria" w:hAnsi="Cambria" w:cs="Calibri"/>
              </w:rPr>
              <w:t>njezine</w:t>
            </w:r>
            <w:proofErr w:type="spellEnd"/>
            <w:r w:rsidRPr="00DF4CE5">
              <w:rPr>
                <w:rFonts w:ascii="Cambria" w:hAnsi="Cambria" w:cs="Calibri"/>
              </w:rPr>
              <w:t xml:space="preserve"> </w:t>
            </w:r>
            <w:proofErr w:type="spellStart"/>
            <w:r w:rsidRPr="00DF4CE5">
              <w:rPr>
                <w:rFonts w:ascii="Cambria" w:hAnsi="Cambria" w:cs="Calibri"/>
              </w:rPr>
              <w:t>značajke</w:t>
            </w:r>
            <w:proofErr w:type="spellEnd"/>
          </w:p>
          <w:p w14:paraId="5365F41D" w14:textId="77777777" w:rsidR="00F50454" w:rsidRPr="00DF4CE5" w:rsidRDefault="00F50454" w:rsidP="00891E8C">
            <w:pPr>
              <w:spacing w:after="0" w:line="240" w:lineRule="auto"/>
              <w:rPr>
                <w:rFonts w:ascii="Cambria" w:hAnsi="Cambria" w:cs="Calibri"/>
              </w:rPr>
            </w:pPr>
            <w:r w:rsidRPr="00DF4CE5">
              <w:rPr>
                <w:rFonts w:ascii="Cambria" w:hAnsi="Cambria" w:cs="Calibri"/>
              </w:rPr>
              <w:t xml:space="preserve">2. </w:t>
            </w:r>
            <w:proofErr w:type="spellStart"/>
            <w:r w:rsidRPr="00DF4CE5">
              <w:rPr>
                <w:rFonts w:ascii="Cambria" w:hAnsi="Cambria" w:cs="Calibri"/>
              </w:rPr>
              <w:t>Obitelj</w:t>
            </w:r>
            <w:proofErr w:type="spellEnd"/>
            <w:r w:rsidRPr="00DF4CE5">
              <w:rPr>
                <w:rFonts w:ascii="Cambria" w:hAnsi="Cambria" w:cs="Calibri"/>
              </w:rPr>
              <w:t xml:space="preserve"> </w:t>
            </w:r>
            <w:proofErr w:type="spellStart"/>
            <w:r w:rsidRPr="00DF4CE5">
              <w:rPr>
                <w:rFonts w:ascii="Cambria" w:hAnsi="Cambria" w:cs="Calibri"/>
              </w:rPr>
              <w:t>kao</w:t>
            </w:r>
            <w:proofErr w:type="spellEnd"/>
            <w:r w:rsidRPr="00DF4CE5">
              <w:rPr>
                <w:rFonts w:ascii="Cambria" w:hAnsi="Cambria" w:cs="Calibri"/>
              </w:rPr>
              <w:t xml:space="preserve"> </w:t>
            </w:r>
            <w:proofErr w:type="spellStart"/>
            <w:r w:rsidRPr="00DF4CE5">
              <w:rPr>
                <w:rFonts w:ascii="Cambria" w:hAnsi="Cambria" w:cs="Calibri"/>
              </w:rPr>
              <w:t>socijalna</w:t>
            </w:r>
            <w:proofErr w:type="spellEnd"/>
            <w:r w:rsidRPr="00DF4CE5">
              <w:rPr>
                <w:rFonts w:ascii="Cambria" w:hAnsi="Cambria" w:cs="Calibri"/>
              </w:rPr>
              <w:t xml:space="preserve"> </w:t>
            </w:r>
            <w:proofErr w:type="spellStart"/>
            <w:r w:rsidRPr="00DF4CE5">
              <w:rPr>
                <w:rFonts w:ascii="Cambria" w:hAnsi="Cambria" w:cs="Calibri"/>
              </w:rPr>
              <w:t>zajednica</w:t>
            </w:r>
            <w:proofErr w:type="spellEnd"/>
          </w:p>
          <w:p w14:paraId="0952D63A" w14:textId="77777777" w:rsidR="00F50454" w:rsidRPr="00DF4CE5" w:rsidRDefault="00F50454" w:rsidP="00891E8C">
            <w:pPr>
              <w:spacing w:after="0" w:line="240" w:lineRule="auto"/>
              <w:rPr>
                <w:rFonts w:ascii="Cambria" w:hAnsi="Cambria" w:cs="Calibri"/>
              </w:rPr>
            </w:pPr>
            <w:r w:rsidRPr="00DF4CE5">
              <w:rPr>
                <w:rFonts w:ascii="Cambria" w:hAnsi="Cambria" w:cs="Calibri"/>
              </w:rPr>
              <w:t xml:space="preserve">3. </w:t>
            </w:r>
            <w:proofErr w:type="spellStart"/>
            <w:r w:rsidRPr="00DF4CE5">
              <w:rPr>
                <w:rFonts w:ascii="Cambria" w:hAnsi="Cambria" w:cs="Calibri"/>
              </w:rPr>
              <w:t>Obitelj</w:t>
            </w:r>
            <w:proofErr w:type="spellEnd"/>
            <w:r w:rsidRPr="00DF4CE5">
              <w:rPr>
                <w:rFonts w:ascii="Cambria" w:hAnsi="Cambria" w:cs="Calibri"/>
              </w:rPr>
              <w:t xml:space="preserve"> </w:t>
            </w:r>
            <w:proofErr w:type="spellStart"/>
            <w:r w:rsidRPr="00DF4CE5">
              <w:rPr>
                <w:rFonts w:ascii="Cambria" w:hAnsi="Cambria" w:cs="Calibri"/>
              </w:rPr>
              <w:t>kao</w:t>
            </w:r>
            <w:proofErr w:type="spellEnd"/>
            <w:r w:rsidRPr="00DF4CE5">
              <w:rPr>
                <w:rFonts w:ascii="Cambria" w:hAnsi="Cambria" w:cs="Calibri"/>
              </w:rPr>
              <w:t xml:space="preserve"> </w:t>
            </w:r>
            <w:proofErr w:type="spellStart"/>
            <w:r w:rsidRPr="00DF4CE5">
              <w:rPr>
                <w:rFonts w:ascii="Cambria" w:hAnsi="Cambria" w:cs="Calibri"/>
              </w:rPr>
              <w:t>odgojna</w:t>
            </w:r>
            <w:proofErr w:type="spellEnd"/>
            <w:r w:rsidRPr="00DF4CE5">
              <w:rPr>
                <w:rFonts w:ascii="Cambria" w:hAnsi="Cambria" w:cs="Calibri"/>
              </w:rPr>
              <w:t xml:space="preserve"> </w:t>
            </w:r>
            <w:proofErr w:type="spellStart"/>
            <w:r w:rsidRPr="00DF4CE5">
              <w:rPr>
                <w:rFonts w:ascii="Cambria" w:hAnsi="Cambria" w:cs="Calibri"/>
              </w:rPr>
              <w:t>zajednica</w:t>
            </w:r>
            <w:proofErr w:type="spellEnd"/>
          </w:p>
          <w:p w14:paraId="49F132CE" w14:textId="77777777" w:rsidR="00F50454" w:rsidRPr="00DF4CE5" w:rsidRDefault="00F50454" w:rsidP="00891E8C">
            <w:pPr>
              <w:spacing w:after="0" w:line="240" w:lineRule="auto"/>
              <w:rPr>
                <w:rFonts w:ascii="Cambria" w:hAnsi="Cambria" w:cs="Calibri"/>
              </w:rPr>
            </w:pPr>
            <w:r w:rsidRPr="00DF4CE5">
              <w:rPr>
                <w:rFonts w:ascii="Cambria" w:hAnsi="Cambria" w:cs="Calibri"/>
              </w:rPr>
              <w:t xml:space="preserve">4. </w:t>
            </w:r>
            <w:proofErr w:type="spellStart"/>
            <w:r w:rsidRPr="00DF4CE5">
              <w:rPr>
                <w:rFonts w:ascii="Cambria" w:hAnsi="Cambria" w:cs="Calibri"/>
              </w:rPr>
              <w:t>Karakteristike</w:t>
            </w:r>
            <w:proofErr w:type="spellEnd"/>
            <w:r w:rsidRPr="00DF4CE5">
              <w:rPr>
                <w:rFonts w:ascii="Cambria" w:hAnsi="Cambria" w:cs="Calibri"/>
              </w:rPr>
              <w:t xml:space="preserve"> </w:t>
            </w:r>
            <w:proofErr w:type="spellStart"/>
            <w:r w:rsidRPr="00DF4CE5">
              <w:rPr>
                <w:rFonts w:ascii="Cambria" w:hAnsi="Cambria" w:cs="Calibri"/>
              </w:rPr>
              <w:t>suvremene</w:t>
            </w:r>
            <w:proofErr w:type="spellEnd"/>
            <w:r w:rsidRPr="00DF4CE5">
              <w:rPr>
                <w:rFonts w:ascii="Cambria" w:hAnsi="Cambria" w:cs="Calibri"/>
              </w:rPr>
              <w:t xml:space="preserve"> </w:t>
            </w:r>
            <w:proofErr w:type="spellStart"/>
            <w:r w:rsidRPr="00DF4CE5">
              <w:rPr>
                <w:rFonts w:ascii="Cambria" w:hAnsi="Cambria" w:cs="Calibri"/>
              </w:rPr>
              <w:t>obitelji</w:t>
            </w:r>
            <w:proofErr w:type="spellEnd"/>
            <w:r w:rsidRPr="00DF4CE5">
              <w:rPr>
                <w:rFonts w:ascii="Cambria" w:hAnsi="Cambria" w:cs="Calibri"/>
              </w:rPr>
              <w:t xml:space="preserve"> </w:t>
            </w:r>
          </w:p>
          <w:p w14:paraId="4536EA78" w14:textId="77777777" w:rsidR="00F50454" w:rsidRPr="00DF4CE5" w:rsidRDefault="00F50454" w:rsidP="00891E8C">
            <w:pPr>
              <w:spacing w:after="0" w:line="240" w:lineRule="auto"/>
              <w:rPr>
                <w:rFonts w:ascii="Cambria" w:hAnsi="Cambria" w:cs="Calibri"/>
                <w:lang w:val="it-IT"/>
              </w:rPr>
            </w:pPr>
            <w:r w:rsidRPr="00DF4CE5">
              <w:rPr>
                <w:rFonts w:ascii="Cambria" w:hAnsi="Cambria" w:cs="Calibri"/>
                <w:lang w:val="it-IT"/>
              </w:rPr>
              <w:t xml:space="preserve">5. </w:t>
            </w:r>
            <w:proofErr w:type="spellStart"/>
            <w:r w:rsidRPr="00DF4CE5">
              <w:rPr>
                <w:rFonts w:ascii="Cambria" w:hAnsi="Cambria" w:cs="Calibri"/>
                <w:lang w:val="it-IT"/>
              </w:rPr>
              <w:t>Suvremeno</w:t>
            </w:r>
            <w:proofErr w:type="spellEnd"/>
            <w:r w:rsidRPr="00DF4CE5">
              <w:rPr>
                <w:rFonts w:ascii="Cambria" w:hAnsi="Cambria" w:cs="Calibri"/>
                <w:lang w:val="it-IT"/>
              </w:rPr>
              <w:t xml:space="preserve"> </w:t>
            </w:r>
            <w:proofErr w:type="spellStart"/>
            <w:r w:rsidRPr="00DF4CE5">
              <w:rPr>
                <w:rFonts w:ascii="Cambria" w:hAnsi="Cambria" w:cs="Calibri"/>
                <w:lang w:val="it-IT"/>
              </w:rPr>
              <w:t>roditeljstvo</w:t>
            </w:r>
            <w:proofErr w:type="spellEnd"/>
          </w:p>
          <w:p w14:paraId="66CDCB11" w14:textId="77777777" w:rsidR="00F50454" w:rsidRPr="00DF4CE5" w:rsidRDefault="00F50454" w:rsidP="00891E8C">
            <w:pPr>
              <w:spacing w:after="0" w:line="240" w:lineRule="auto"/>
              <w:rPr>
                <w:rFonts w:ascii="Cambria" w:hAnsi="Cambria" w:cs="Calibri"/>
                <w:lang w:val="it-IT"/>
              </w:rPr>
            </w:pPr>
            <w:r w:rsidRPr="00DF4CE5">
              <w:rPr>
                <w:rFonts w:ascii="Cambria" w:hAnsi="Cambria" w:cs="Calibri"/>
                <w:lang w:val="it-IT"/>
              </w:rPr>
              <w:t xml:space="preserve">6. Prava </w:t>
            </w:r>
            <w:proofErr w:type="spellStart"/>
            <w:r w:rsidRPr="00DF4CE5">
              <w:rPr>
                <w:rFonts w:ascii="Cambria" w:hAnsi="Cambria" w:cs="Calibri"/>
                <w:lang w:val="it-IT"/>
              </w:rPr>
              <w:t>djeteta</w:t>
            </w:r>
            <w:proofErr w:type="spellEnd"/>
            <w:r w:rsidRPr="00DF4CE5">
              <w:rPr>
                <w:rFonts w:ascii="Cambria" w:hAnsi="Cambria" w:cs="Calibri"/>
                <w:lang w:val="it-IT"/>
              </w:rPr>
              <w:t xml:space="preserve"> u </w:t>
            </w:r>
            <w:proofErr w:type="spellStart"/>
            <w:r w:rsidRPr="00DF4CE5">
              <w:rPr>
                <w:rFonts w:ascii="Cambria" w:hAnsi="Cambria" w:cs="Calibri"/>
                <w:lang w:val="it-IT"/>
              </w:rPr>
              <w:t>obitelji</w:t>
            </w:r>
            <w:proofErr w:type="spellEnd"/>
          </w:p>
          <w:p w14:paraId="7FF44455" w14:textId="77777777" w:rsidR="00F50454" w:rsidRPr="00DF4CE5" w:rsidRDefault="00F50454" w:rsidP="00891E8C">
            <w:pPr>
              <w:spacing w:after="0" w:line="240" w:lineRule="auto"/>
              <w:rPr>
                <w:rFonts w:ascii="Cambria" w:hAnsi="Cambria" w:cs="Calibri"/>
                <w:lang w:val="it-IT"/>
              </w:rPr>
            </w:pPr>
            <w:r w:rsidRPr="00DF4CE5">
              <w:rPr>
                <w:rFonts w:ascii="Cambria" w:hAnsi="Cambria" w:cs="Calibri"/>
                <w:lang w:val="it-IT"/>
              </w:rPr>
              <w:t xml:space="preserve">7. </w:t>
            </w:r>
            <w:proofErr w:type="spellStart"/>
            <w:r w:rsidRPr="00DF4CE5">
              <w:rPr>
                <w:rFonts w:ascii="Cambria" w:hAnsi="Cambria" w:cs="Calibri"/>
                <w:lang w:val="it-IT"/>
              </w:rPr>
              <w:t>Rodna</w:t>
            </w:r>
            <w:proofErr w:type="spellEnd"/>
            <w:r w:rsidRPr="00DF4CE5">
              <w:rPr>
                <w:rFonts w:ascii="Cambria" w:hAnsi="Cambria" w:cs="Calibri"/>
                <w:lang w:val="it-IT"/>
              </w:rPr>
              <w:t xml:space="preserve"> </w:t>
            </w:r>
            <w:proofErr w:type="spellStart"/>
            <w:r w:rsidRPr="00DF4CE5">
              <w:rPr>
                <w:rFonts w:ascii="Cambria" w:hAnsi="Cambria" w:cs="Calibri"/>
                <w:lang w:val="it-IT"/>
              </w:rPr>
              <w:t>ravnopravnost</w:t>
            </w:r>
            <w:proofErr w:type="spellEnd"/>
            <w:r w:rsidRPr="00DF4CE5">
              <w:rPr>
                <w:rFonts w:ascii="Cambria" w:hAnsi="Cambria" w:cs="Calibri"/>
                <w:lang w:val="it-IT"/>
              </w:rPr>
              <w:t xml:space="preserve"> i </w:t>
            </w:r>
            <w:proofErr w:type="spellStart"/>
            <w:r w:rsidRPr="00DF4CE5">
              <w:rPr>
                <w:rFonts w:ascii="Cambria" w:hAnsi="Cambria" w:cs="Calibri"/>
                <w:lang w:val="it-IT"/>
              </w:rPr>
              <w:t>obitelj</w:t>
            </w:r>
            <w:proofErr w:type="spellEnd"/>
          </w:p>
          <w:p w14:paraId="58EE6611" w14:textId="77777777" w:rsidR="00F50454" w:rsidRPr="00DF4CE5" w:rsidRDefault="00F50454" w:rsidP="00891E8C">
            <w:pPr>
              <w:spacing w:after="0" w:line="240" w:lineRule="auto"/>
              <w:rPr>
                <w:rFonts w:ascii="Cambria" w:hAnsi="Cambria" w:cs="Calibri"/>
                <w:lang w:val="it-IT"/>
              </w:rPr>
            </w:pPr>
            <w:r w:rsidRPr="00DF4CE5">
              <w:rPr>
                <w:rFonts w:ascii="Cambria" w:hAnsi="Cambria" w:cs="Calibri"/>
                <w:lang w:val="it-IT"/>
              </w:rPr>
              <w:t xml:space="preserve">8. </w:t>
            </w:r>
            <w:proofErr w:type="spellStart"/>
            <w:r w:rsidRPr="00DF4CE5">
              <w:rPr>
                <w:rFonts w:ascii="Cambria" w:hAnsi="Cambria" w:cs="Calibri"/>
                <w:lang w:val="it-IT"/>
              </w:rPr>
              <w:t>Otvorenost</w:t>
            </w:r>
            <w:proofErr w:type="spellEnd"/>
            <w:r w:rsidRPr="00DF4CE5">
              <w:rPr>
                <w:rFonts w:ascii="Cambria" w:hAnsi="Cambria" w:cs="Calibri"/>
                <w:lang w:val="it-IT"/>
              </w:rPr>
              <w:t xml:space="preserve"> </w:t>
            </w:r>
            <w:proofErr w:type="spellStart"/>
            <w:r w:rsidRPr="00DF4CE5">
              <w:rPr>
                <w:rFonts w:ascii="Cambria" w:hAnsi="Cambria" w:cs="Calibri"/>
                <w:lang w:val="it-IT"/>
              </w:rPr>
              <w:t>obitelji</w:t>
            </w:r>
            <w:proofErr w:type="spellEnd"/>
            <w:r w:rsidRPr="00DF4CE5">
              <w:rPr>
                <w:rFonts w:ascii="Cambria" w:hAnsi="Cambria" w:cs="Calibri"/>
                <w:lang w:val="it-IT"/>
              </w:rPr>
              <w:t xml:space="preserve"> prema </w:t>
            </w:r>
            <w:proofErr w:type="spellStart"/>
            <w:r w:rsidRPr="00DF4CE5">
              <w:rPr>
                <w:rFonts w:ascii="Cambria" w:hAnsi="Cambria" w:cs="Calibri"/>
                <w:lang w:val="it-IT"/>
              </w:rPr>
              <w:t>društvenoj</w:t>
            </w:r>
            <w:proofErr w:type="spellEnd"/>
            <w:r w:rsidRPr="00DF4CE5">
              <w:rPr>
                <w:rFonts w:ascii="Cambria" w:hAnsi="Cambria" w:cs="Calibri"/>
                <w:lang w:val="it-IT"/>
              </w:rPr>
              <w:t xml:space="preserve"> </w:t>
            </w:r>
            <w:proofErr w:type="spellStart"/>
            <w:r w:rsidRPr="00DF4CE5">
              <w:rPr>
                <w:rFonts w:ascii="Cambria" w:hAnsi="Cambria" w:cs="Calibri"/>
                <w:lang w:val="it-IT"/>
              </w:rPr>
              <w:t>sredini</w:t>
            </w:r>
            <w:proofErr w:type="spellEnd"/>
          </w:p>
          <w:p w14:paraId="4CCE7750" w14:textId="77777777" w:rsidR="00F50454" w:rsidRPr="00DF4CE5" w:rsidRDefault="00F50454" w:rsidP="00891E8C">
            <w:pPr>
              <w:spacing w:after="0" w:line="240" w:lineRule="auto"/>
              <w:rPr>
                <w:rFonts w:ascii="Cambria" w:hAnsi="Cambria" w:cs="Calibri"/>
                <w:lang w:val="it-IT"/>
              </w:rPr>
            </w:pPr>
            <w:r w:rsidRPr="00DF4CE5">
              <w:rPr>
                <w:rFonts w:ascii="Cambria" w:hAnsi="Cambria" w:cs="Calibri"/>
                <w:lang w:val="it-IT"/>
              </w:rPr>
              <w:t xml:space="preserve">9. </w:t>
            </w:r>
            <w:proofErr w:type="spellStart"/>
            <w:r w:rsidRPr="00DF4CE5">
              <w:rPr>
                <w:rFonts w:ascii="Cambria" w:hAnsi="Cambria" w:cs="Calibri"/>
                <w:lang w:val="it-IT"/>
              </w:rPr>
              <w:t>Učitelj</w:t>
            </w:r>
            <w:proofErr w:type="spellEnd"/>
            <w:r w:rsidRPr="00DF4CE5">
              <w:rPr>
                <w:rFonts w:ascii="Cambria" w:hAnsi="Cambria" w:cs="Calibri"/>
                <w:lang w:val="it-IT"/>
              </w:rPr>
              <w:t xml:space="preserve"> </w:t>
            </w:r>
            <w:proofErr w:type="spellStart"/>
            <w:r w:rsidRPr="00DF4CE5">
              <w:rPr>
                <w:rFonts w:ascii="Cambria" w:hAnsi="Cambria" w:cs="Calibri"/>
                <w:lang w:val="it-IT"/>
              </w:rPr>
              <w:t>kao</w:t>
            </w:r>
            <w:proofErr w:type="spellEnd"/>
            <w:r w:rsidRPr="00DF4CE5">
              <w:rPr>
                <w:rFonts w:ascii="Cambria" w:hAnsi="Cambria" w:cs="Calibri"/>
                <w:lang w:val="it-IT"/>
              </w:rPr>
              <w:t xml:space="preserve"> </w:t>
            </w:r>
            <w:proofErr w:type="spellStart"/>
            <w:r w:rsidRPr="00DF4CE5">
              <w:rPr>
                <w:rFonts w:ascii="Cambria" w:hAnsi="Cambria" w:cs="Calibri"/>
                <w:lang w:val="it-IT"/>
              </w:rPr>
              <w:t>ključni</w:t>
            </w:r>
            <w:proofErr w:type="spellEnd"/>
            <w:r w:rsidRPr="00DF4CE5">
              <w:rPr>
                <w:rFonts w:ascii="Cambria" w:hAnsi="Cambria" w:cs="Calibri"/>
                <w:lang w:val="it-IT"/>
              </w:rPr>
              <w:t xml:space="preserve"> </w:t>
            </w:r>
            <w:proofErr w:type="spellStart"/>
            <w:r w:rsidRPr="00DF4CE5">
              <w:rPr>
                <w:rFonts w:ascii="Cambria" w:hAnsi="Cambria" w:cs="Calibri"/>
                <w:lang w:val="it-IT"/>
              </w:rPr>
              <w:t>čimbenik</w:t>
            </w:r>
            <w:proofErr w:type="spellEnd"/>
            <w:r w:rsidRPr="00DF4CE5">
              <w:rPr>
                <w:rFonts w:ascii="Cambria" w:hAnsi="Cambria" w:cs="Calibri"/>
                <w:lang w:val="it-IT"/>
              </w:rPr>
              <w:t xml:space="preserve"> u </w:t>
            </w:r>
            <w:proofErr w:type="spellStart"/>
            <w:r w:rsidRPr="00DF4CE5">
              <w:rPr>
                <w:rFonts w:ascii="Cambria" w:hAnsi="Cambria" w:cs="Calibri"/>
                <w:lang w:val="it-IT"/>
              </w:rPr>
              <w:t>izgradnji</w:t>
            </w:r>
            <w:proofErr w:type="spellEnd"/>
            <w:r w:rsidRPr="00DF4CE5">
              <w:rPr>
                <w:rFonts w:ascii="Cambria" w:hAnsi="Cambria" w:cs="Calibri"/>
                <w:lang w:val="it-IT"/>
              </w:rPr>
              <w:t xml:space="preserve"> </w:t>
            </w:r>
            <w:proofErr w:type="spellStart"/>
            <w:r w:rsidRPr="00DF4CE5">
              <w:rPr>
                <w:rFonts w:ascii="Cambria" w:hAnsi="Cambria" w:cs="Calibri"/>
                <w:lang w:val="it-IT"/>
              </w:rPr>
              <w:t>partnerskoga</w:t>
            </w:r>
            <w:proofErr w:type="spellEnd"/>
            <w:r w:rsidRPr="00DF4CE5">
              <w:rPr>
                <w:rFonts w:ascii="Cambria" w:hAnsi="Cambria" w:cs="Calibri"/>
                <w:lang w:val="it-IT"/>
              </w:rPr>
              <w:t xml:space="preserve"> </w:t>
            </w:r>
            <w:proofErr w:type="spellStart"/>
            <w:r w:rsidRPr="00DF4CE5">
              <w:rPr>
                <w:rFonts w:ascii="Cambria" w:hAnsi="Cambria" w:cs="Calibri"/>
                <w:lang w:val="it-IT"/>
              </w:rPr>
              <w:t>odnosa</w:t>
            </w:r>
            <w:proofErr w:type="spellEnd"/>
            <w:r w:rsidRPr="00DF4CE5">
              <w:rPr>
                <w:rFonts w:ascii="Cambria" w:hAnsi="Cambria" w:cs="Calibri"/>
                <w:lang w:val="it-IT"/>
              </w:rPr>
              <w:t xml:space="preserve"> s </w:t>
            </w:r>
            <w:proofErr w:type="spellStart"/>
            <w:r w:rsidRPr="00DF4CE5">
              <w:rPr>
                <w:rFonts w:ascii="Cambria" w:hAnsi="Cambria" w:cs="Calibri"/>
                <w:lang w:val="it-IT"/>
              </w:rPr>
              <w:t>roditeljima</w:t>
            </w:r>
            <w:proofErr w:type="spellEnd"/>
          </w:p>
        </w:tc>
      </w:tr>
      <w:tr w:rsidR="00F50454" w:rsidRPr="00DF4CE5" w14:paraId="4D686771" w14:textId="77777777" w:rsidTr="00891E8C">
        <w:tc>
          <w:tcPr>
            <w:tcW w:w="2629" w:type="dxa"/>
            <w:vMerge w:val="restart"/>
            <w:tcBorders>
              <w:top w:val="single" w:sz="8" w:space="0" w:color="000000"/>
              <w:left w:val="single" w:sz="8" w:space="0" w:color="000000"/>
              <w:right w:val="single" w:sz="8" w:space="0" w:color="000000"/>
            </w:tcBorders>
            <w:shd w:val="clear" w:color="auto" w:fill="F2F2F2"/>
            <w:tcMar>
              <w:top w:w="15" w:type="dxa"/>
              <w:left w:w="108" w:type="dxa"/>
              <w:bottom w:w="0" w:type="dxa"/>
              <w:right w:w="108" w:type="dxa"/>
            </w:tcMar>
            <w:vAlign w:val="center"/>
            <w:hideMark/>
          </w:tcPr>
          <w:p w14:paraId="26AACB35" w14:textId="77777777" w:rsidR="00F50454" w:rsidRPr="00DF4CE5" w:rsidRDefault="00F50454" w:rsidP="00891E8C">
            <w:pPr>
              <w:spacing w:after="0" w:line="240" w:lineRule="auto"/>
              <w:rPr>
                <w:rFonts w:ascii="Cambria" w:hAnsi="Cambria" w:cs="Calibri"/>
                <w:lang w:val="it-IT"/>
              </w:rPr>
            </w:pPr>
            <w:proofErr w:type="spellStart"/>
            <w:r w:rsidRPr="00DF4CE5">
              <w:rPr>
                <w:rFonts w:ascii="Cambria" w:hAnsi="Cambria" w:cs="Calibri"/>
                <w:lang w:val="it-IT"/>
              </w:rPr>
              <w:t>Planirane</w:t>
            </w:r>
            <w:proofErr w:type="spellEnd"/>
            <w:r w:rsidRPr="00DF4CE5">
              <w:rPr>
                <w:rFonts w:ascii="Cambria" w:hAnsi="Cambria" w:cs="Calibri"/>
                <w:lang w:val="it-IT"/>
              </w:rPr>
              <w:t xml:space="preserve"> </w:t>
            </w:r>
            <w:proofErr w:type="spellStart"/>
            <w:r w:rsidRPr="00DF4CE5">
              <w:rPr>
                <w:rFonts w:ascii="Cambria" w:hAnsi="Cambria" w:cs="Calibri"/>
                <w:lang w:val="it-IT"/>
              </w:rPr>
              <w:t>aktivnosti</w:t>
            </w:r>
            <w:proofErr w:type="spellEnd"/>
            <w:r w:rsidRPr="00DF4CE5">
              <w:rPr>
                <w:rFonts w:ascii="Cambria" w:hAnsi="Cambria" w:cs="Calibri"/>
                <w:lang w:val="it-IT"/>
              </w:rPr>
              <w:t>,</w:t>
            </w:r>
          </w:p>
          <w:p w14:paraId="0142689B" w14:textId="77777777" w:rsidR="00F50454" w:rsidRPr="00DF4CE5" w:rsidRDefault="00F50454" w:rsidP="00891E8C">
            <w:pPr>
              <w:spacing w:after="0" w:line="240" w:lineRule="auto"/>
              <w:rPr>
                <w:rFonts w:ascii="Cambria" w:hAnsi="Cambria" w:cs="Calibri"/>
                <w:lang w:val="it-IT"/>
              </w:rPr>
            </w:pPr>
            <w:proofErr w:type="spellStart"/>
            <w:r w:rsidRPr="00DF4CE5">
              <w:rPr>
                <w:rFonts w:ascii="Cambria" w:hAnsi="Cambria" w:cs="Calibri"/>
                <w:lang w:val="it-IT"/>
              </w:rPr>
              <w:lastRenderedPageBreak/>
              <w:t>metode</w:t>
            </w:r>
            <w:proofErr w:type="spellEnd"/>
            <w:r w:rsidRPr="00DF4CE5">
              <w:rPr>
                <w:rFonts w:ascii="Cambria" w:hAnsi="Cambria" w:cs="Calibri"/>
                <w:lang w:val="it-IT"/>
              </w:rPr>
              <w:t xml:space="preserve"> </w:t>
            </w:r>
            <w:proofErr w:type="spellStart"/>
            <w:r w:rsidRPr="00DF4CE5">
              <w:rPr>
                <w:rFonts w:ascii="Cambria" w:hAnsi="Cambria" w:cs="Calibri"/>
                <w:lang w:val="it-IT"/>
              </w:rPr>
              <w:t>učenja</w:t>
            </w:r>
            <w:proofErr w:type="spellEnd"/>
            <w:r w:rsidRPr="00DF4CE5">
              <w:rPr>
                <w:rFonts w:ascii="Cambria" w:hAnsi="Cambria" w:cs="Calibri"/>
                <w:lang w:val="it-IT"/>
              </w:rPr>
              <w:t xml:space="preserve"> i </w:t>
            </w:r>
            <w:proofErr w:type="spellStart"/>
            <w:r w:rsidRPr="00DF4CE5">
              <w:rPr>
                <w:rFonts w:ascii="Cambria" w:hAnsi="Cambria" w:cs="Calibri"/>
                <w:lang w:val="it-IT"/>
              </w:rPr>
              <w:t>poučavanja</w:t>
            </w:r>
            <w:proofErr w:type="spellEnd"/>
            <w:r w:rsidRPr="00DF4CE5">
              <w:rPr>
                <w:rFonts w:ascii="Cambria" w:hAnsi="Cambria" w:cs="Calibri"/>
                <w:lang w:val="it-IT"/>
              </w:rPr>
              <w:t xml:space="preserve"> i </w:t>
            </w:r>
            <w:proofErr w:type="spellStart"/>
            <w:r w:rsidRPr="00DF4CE5">
              <w:rPr>
                <w:rFonts w:ascii="Cambria" w:hAnsi="Cambria" w:cs="Calibri"/>
                <w:lang w:val="it-IT"/>
              </w:rPr>
              <w:t>načini</w:t>
            </w:r>
            <w:proofErr w:type="spellEnd"/>
            <w:r w:rsidRPr="00DF4CE5">
              <w:rPr>
                <w:rFonts w:ascii="Cambria" w:hAnsi="Cambria" w:cs="Calibri"/>
                <w:lang w:val="it-IT"/>
              </w:rPr>
              <w:t xml:space="preserve"> </w:t>
            </w:r>
            <w:proofErr w:type="spellStart"/>
            <w:r w:rsidRPr="00DF4CE5">
              <w:rPr>
                <w:rFonts w:ascii="Cambria" w:hAnsi="Cambria" w:cs="Calibri"/>
                <w:lang w:val="it-IT"/>
              </w:rPr>
              <w:t>vrednovanja</w:t>
            </w:r>
            <w:proofErr w:type="spellEnd"/>
          </w:p>
        </w:tc>
        <w:tc>
          <w:tcPr>
            <w:tcW w:w="259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BB3A632" w14:textId="77777777" w:rsidR="00F50454" w:rsidRPr="00DF4CE5" w:rsidRDefault="00F50454" w:rsidP="00891E8C">
            <w:pPr>
              <w:spacing w:after="0" w:line="240" w:lineRule="auto"/>
              <w:rPr>
                <w:rFonts w:ascii="Cambria" w:hAnsi="Cambria" w:cs="Calibri"/>
              </w:rPr>
            </w:pPr>
            <w:proofErr w:type="spellStart"/>
            <w:r w:rsidRPr="00DF4CE5">
              <w:rPr>
                <w:rFonts w:ascii="Cambria" w:hAnsi="Cambria" w:cs="Calibri"/>
                <w:bCs/>
              </w:rPr>
              <w:lastRenderedPageBreak/>
              <w:t>Obveze</w:t>
            </w:r>
            <w:proofErr w:type="spellEnd"/>
            <w:r w:rsidRPr="00DF4CE5">
              <w:rPr>
                <w:rFonts w:ascii="Cambria" w:hAnsi="Cambria" w:cs="Calibri"/>
                <w:bCs/>
              </w:rPr>
              <w:t xml:space="preserve"> </w:t>
            </w:r>
          </w:p>
          <w:p w14:paraId="65FBCC97" w14:textId="77777777" w:rsidR="00F50454" w:rsidRPr="00DF4CE5" w:rsidRDefault="00F50454" w:rsidP="00891E8C">
            <w:pPr>
              <w:spacing w:after="0" w:line="240" w:lineRule="auto"/>
              <w:rPr>
                <w:rFonts w:ascii="Cambria" w:hAnsi="Cambria" w:cs="Calibri"/>
              </w:rPr>
            </w:pPr>
          </w:p>
        </w:tc>
        <w:tc>
          <w:tcPr>
            <w:tcW w:w="109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7E4AEFA" w14:textId="77777777" w:rsidR="00F50454" w:rsidRPr="00DF4CE5" w:rsidRDefault="00F50454" w:rsidP="00891E8C">
            <w:pPr>
              <w:spacing w:after="0" w:line="240" w:lineRule="auto"/>
              <w:rPr>
                <w:rFonts w:ascii="Cambria" w:hAnsi="Cambria" w:cs="Calibri"/>
              </w:rPr>
            </w:pPr>
            <w:proofErr w:type="spellStart"/>
            <w:r w:rsidRPr="00DF4CE5">
              <w:rPr>
                <w:rFonts w:ascii="Cambria" w:hAnsi="Cambria" w:cs="Calibri"/>
                <w:bCs/>
              </w:rPr>
              <w:t>Ishodi</w:t>
            </w:r>
            <w:proofErr w:type="spellEnd"/>
          </w:p>
        </w:tc>
        <w:tc>
          <w:tcPr>
            <w:tcW w:w="71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B19526F" w14:textId="77777777" w:rsidR="00F50454" w:rsidRPr="00DF4CE5" w:rsidRDefault="00F50454" w:rsidP="00891E8C">
            <w:pPr>
              <w:spacing w:after="0" w:line="240" w:lineRule="auto"/>
              <w:rPr>
                <w:rFonts w:ascii="Cambria" w:hAnsi="Cambria" w:cs="Calibri"/>
              </w:rPr>
            </w:pPr>
            <w:r w:rsidRPr="00DF4CE5">
              <w:rPr>
                <w:rFonts w:ascii="Cambria" w:hAnsi="Cambria" w:cs="Calibri"/>
                <w:bCs/>
              </w:rPr>
              <w:t>Sati</w:t>
            </w:r>
          </w:p>
        </w:tc>
        <w:tc>
          <w:tcPr>
            <w:tcW w:w="101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57C4D35" w14:textId="77777777" w:rsidR="00F50454" w:rsidRPr="00DF4CE5" w:rsidRDefault="00F50454" w:rsidP="00891E8C">
            <w:pPr>
              <w:spacing w:after="0" w:line="240" w:lineRule="auto"/>
              <w:rPr>
                <w:rFonts w:ascii="Cambria" w:hAnsi="Cambria" w:cs="Calibri"/>
              </w:rPr>
            </w:pPr>
            <w:r w:rsidRPr="00DF4CE5">
              <w:rPr>
                <w:rFonts w:ascii="Cambria" w:hAnsi="Cambria" w:cs="Calibri"/>
                <w:bCs/>
              </w:rPr>
              <w:t>ECTS</w:t>
            </w:r>
          </w:p>
        </w:tc>
        <w:tc>
          <w:tcPr>
            <w:tcW w:w="132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CAABED9" w14:textId="77777777" w:rsidR="00F50454" w:rsidRPr="00DF4CE5" w:rsidRDefault="00F50454" w:rsidP="00891E8C">
            <w:pPr>
              <w:spacing w:after="0" w:line="240" w:lineRule="auto"/>
              <w:rPr>
                <w:rFonts w:ascii="Cambria" w:hAnsi="Cambria" w:cs="Calibri"/>
              </w:rPr>
            </w:pPr>
            <w:proofErr w:type="spellStart"/>
            <w:r w:rsidRPr="00DF4CE5">
              <w:rPr>
                <w:rFonts w:ascii="Cambria" w:hAnsi="Cambria" w:cs="Calibri"/>
                <w:bCs/>
              </w:rPr>
              <w:t>Maksimalni</w:t>
            </w:r>
            <w:proofErr w:type="spellEnd"/>
            <w:r w:rsidRPr="00DF4CE5">
              <w:rPr>
                <w:rFonts w:ascii="Cambria" w:hAnsi="Cambria" w:cs="Calibri"/>
                <w:bCs/>
              </w:rPr>
              <w:t xml:space="preserve"> </w:t>
            </w:r>
            <w:proofErr w:type="spellStart"/>
            <w:r w:rsidRPr="00DF4CE5">
              <w:rPr>
                <w:rFonts w:ascii="Cambria" w:hAnsi="Cambria" w:cs="Calibri"/>
                <w:bCs/>
              </w:rPr>
              <w:t>udio</w:t>
            </w:r>
            <w:proofErr w:type="spellEnd"/>
            <w:r w:rsidRPr="00DF4CE5">
              <w:rPr>
                <w:rFonts w:ascii="Cambria" w:hAnsi="Cambria" w:cs="Calibri"/>
                <w:bCs/>
              </w:rPr>
              <w:t xml:space="preserve"> u </w:t>
            </w:r>
            <w:proofErr w:type="spellStart"/>
            <w:r w:rsidRPr="00DF4CE5">
              <w:rPr>
                <w:rFonts w:ascii="Cambria" w:hAnsi="Cambria" w:cs="Calibri"/>
                <w:bCs/>
              </w:rPr>
              <w:t>ocjeni</w:t>
            </w:r>
            <w:proofErr w:type="spellEnd"/>
            <w:r w:rsidRPr="00DF4CE5">
              <w:rPr>
                <w:rFonts w:ascii="Cambria" w:hAnsi="Cambria" w:cs="Calibri"/>
                <w:bCs/>
              </w:rPr>
              <w:t xml:space="preserve"> (%)</w:t>
            </w:r>
          </w:p>
        </w:tc>
      </w:tr>
      <w:tr w:rsidR="00F50454" w:rsidRPr="00DF4CE5" w14:paraId="25D581AC" w14:textId="77777777" w:rsidTr="00891E8C">
        <w:tc>
          <w:tcPr>
            <w:tcW w:w="2629" w:type="dxa"/>
            <w:vMerge/>
            <w:tcBorders>
              <w:left w:val="single" w:sz="8" w:space="0" w:color="000000"/>
              <w:right w:val="single" w:sz="8" w:space="0" w:color="000000"/>
            </w:tcBorders>
            <w:shd w:val="clear" w:color="auto" w:fill="F2F2F2"/>
            <w:vAlign w:val="center"/>
            <w:hideMark/>
          </w:tcPr>
          <w:p w14:paraId="3955475F" w14:textId="77777777" w:rsidR="00F50454" w:rsidRPr="00DF4CE5" w:rsidRDefault="00F50454" w:rsidP="00891E8C">
            <w:pPr>
              <w:spacing w:after="0" w:line="240" w:lineRule="auto"/>
              <w:rPr>
                <w:rFonts w:ascii="Cambria" w:hAnsi="Cambria" w:cs="Calibri"/>
              </w:rPr>
            </w:pPr>
          </w:p>
        </w:tc>
        <w:tc>
          <w:tcPr>
            <w:tcW w:w="259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79FE1E1" w14:textId="77777777" w:rsidR="00F50454" w:rsidRPr="00DF4CE5" w:rsidRDefault="00F50454" w:rsidP="00891E8C">
            <w:pPr>
              <w:spacing w:after="0" w:line="240" w:lineRule="auto"/>
              <w:rPr>
                <w:rFonts w:ascii="Cambria" w:hAnsi="Cambria" w:cs="Calibri"/>
                <w:lang w:val="it-IT"/>
              </w:rPr>
            </w:pPr>
            <w:proofErr w:type="spellStart"/>
            <w:r w:rsidRPr="00DF4CE5">
              <w:rPr>
                <w:rFonts w:ascii="Cambria" w:hAnsi="Cambria" w:cs="Calibri"/>
                <w:lang w:val="it-IT"/>
              </w:rPr>
              <w:t>interaktivne</w:t>
            </w:r>
            <w:proofErr w:type="spellEnd"/>
            <w:r w:rsidRPr="00DF4CE5">
              <w:rPr>
                <w:rFonts w:ascii="Cambria" w:hAnsi="Cambria" w:cs="Calibri"/>
                <w:lang w:val="it-IT"/>
              </w:rPr>
              <w:t xml:space="preserve"> </w:t>
            </w:r>
            <w:proofErr w:type="spellStart"/>
            <w:r w:rsidRPr="00DF4CE5">
              <w:rPr>
                <w:rFonts w:ascii="Cambria" w:hAnsi="Cambria" w:cs="Calibri"/>
                <w:lang w:val="it-IT"/>
              </w:rPr>
              <w:t>aktivnosti</w:t>
            </w:r>
            <w:proofErr w:type="spellEnd"/>
            <w:r w:rsidRPr="00DF4CE5">
              <w:rPr>
                <w:rFonts w:ascii="Cambria" w:hAnsi="Cambria" w:cs="Calibri"/>
                <w:lang w:val="it-IT"/>
              </w:rPr>
              <w:t xml:space="preserve"> </w:t>
            </w:r>
            <w:proofErr w:type="spellStart"/>
            <w:r w:rsidRPr="00DF4CE5">
              <w:rPr>
                <w:rFonts w:ascii="Cambria" w:hAnsi="Cambria" w:cs="Calibri"/>
                <w:lang w:val="it-IT"/>
              </w:rPr>
              <w:t>na</w:t>
            </w:r>
            <w:proofErr w:type="spellEnd"/>
            <w:r w:rsidRPr="00DF4CE5">
              <w:rPr>
                <w:rFonts w:ascii="Cambria" w:hAnsi="Cambria" w:cs="Calibri"/>
                <w:lang w:val="it-IT"/>
              </w:rPr>
              <w:t xml:space="preserve"> </w:t>
            </w:r>
            <w:proofErr w:type="spellStart"/>
            <w:r w:rsidRPr="00DF4CE5">
              <w:rPr>
                <w:rFonts w:ascii="Cambria" w:hAnsi="Cambria" w:cs="Calibri"/>
                <w:lang w:val="it-IT"/>
              </w:rPr>
              <w:t>nastavi</w:t>
            </w:r>
            <w:proofErr w:type="spellEnd"/>
            <w:r w:rsidRPr="00DF4CE5">
              <w:rPr>
                <w:rFonts w:ascii="Cambria" w:hAnsi="Cambria" w:cs="Calibri"/>
                <w:lang w:val="it-IT"/>
              </w:rPr>
              <w:t xml:space="preserve"> (P, S)</w:t>
            </w:r>
          </w:p>
        </w:tc>
        <w:tc>
          <w:tcPr>
            <w:tcW w:w="109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BA92A76" w14:textId="77777777" w:rsidR="00F50454" w:rsidRPr="00DF4CE5" w:rsidRDefault="00F50454" w:rsidP="00891E8C">
            <w:pPr>
              <w:spacing w:after="0" w:line="240" w:lineRule="auto"/>
              <w:jc w:val="center"/>
              <w:rPr>
                <w:rFonts w:ascii="Cambria" w:hAnsi="Cambria" w:cs="Calibri"/>
              </w:rPr>
            </w:pPr>
            <w:r w:rsidRPr="00DF4CE5">
              <w:rPr>
                <w:rFonts w:ascii="Cambria" w:hAnsi="Cambria" w:cs="Calibri"/>
              </w:rPr>
              <w:t xml:space="preserve">1. – 4. </w:t>
            </w:r>
          </w:p>
        </w:tc>
        <w:tc>
          <w:tcPr>
            <w:tcW w:w="71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3CED3C6" w14:textId="77777777" w:rsidR="00F50454" w:rsidRPr="00DF4CE5" w:rsidRDefault="00F50454" w:rsidP="00891E8C">
            <w:pPr>
              <w:spacing w:after="0" w:line="240" w:lineRule="auto"/>
              <w:jc w:val="center"/>
              <w:rPr>
                <w:rFonts w:ascii="Cambria" w:hAnsi="Cambria" w:cs="Calibri"/>
              </w:rPr>
            </w:pPr>
            <w:r w:rsidRPr="00DF4CE5">
              <w:rPr>
                <w:rFonts w:ascii="Cambria" w:hAnsi="Cambria" w:cs="Calibri"/>
              </w:rPr>
              <w:t>34</w:t>
            </w:r>
          </w:p>
        </w:tc>
        <w:tc>
          <w:tcPr>
            <w:tcW w:w="101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09F23C7" w14:textId="7942C0A0" w:rsidR="00F50454" w:rsidRPr="00DF4CE5" w:rsidRDefault="00F50454" w:rsidP="00891E8C">
            <w:pPr>
              <w:spacing w:after="0" w:line="240" w:lineRule="auto"/>
              <w:jc w:val="center"/>
              <w:rPr>
                <w:rFonts w:ascii="Cambria" w:hAnsi="Cambria" w:cs="Calibri"/>
              </w:rPr>
            </w:pPr>
            <w:r w:rsidRPr="00DF4CE5">
              <w:rPr>
                <w:rFonts w:ascii="Cambria" w:hAnsi="Cambria" w:cs="Calibri"/>
              </w:rPr>
              <w:t>1</w:t>
            </w:r>
            <w:r w:rsidR="00826F4D">
              <w:rPr>
                <w:rFonts w:ascii="Cambria" w:hAnsi="Cambria" w:cs="Calibri"/>
              </w:rPr>
              <w:t>,</w:t>
            </w:r>
            <w:r w:rsidRPr="00DF4CE5">
              <w:rPr>
                <w:rFonts w:ascii="Cambria" w:hAnsi="Cambria" w:cs="Calibri"/>
              </w:rPr>
              <w:t>1</w:t>
            </w:r>
          </w:p>
        </w:tc>
        <w:tc>
          <w:tcPr>
            <w:tcW w:w="132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42C62C2" w14:textId="77777777" w:rsidR="00F50454" w:rsidRPr="00DF4CE5" w:rsidRDefault="00F50454" w:rsidP="00891E8C">
            <w:pPr>
              <w:spacing w:after="0" w:line="240" w:lineRule="auto"/>
              <w:jc w:val="center"/>
              <w:rPr>
                <w:rFonts w:ascii="Cambria" w:hAnsi="Cambria" w:cs="Calibri"/>
              </w:rPr>
            </w:pPr>
            <w:r w:rsidRPr="00DF4CE5">
              <w:rPr>
                <w:rFonts w:ascii="Cambria" w:hAnsi="Cambria" w:cs="Calibri"/>
              </w:rPr>
              <w:t>10%</w:t>
            </w:r>
          </w:p>
        </w:tc>
      </w:tr>
      <w:tr w:rsidR="00F50454" w:rsidRPr="00DF4CE5" w14:paraId="4C9B4FD1" w14:textId="77777777" w:rsidTr="00891E8C">
        <w:tc>
          <w:tcPr>
            <w:tcW w:w="2629" w:type="dxa"/>
            <w:vMerge/>
            <w:tcBorders>
              <w:left w:val="single" w:sz="8" w:space="0" w:color="000000"/>
              <w:right w:val="single" w:sz="8" w:space="0" w:color="000000"/>
            </w:tcBorders>
            <w:shd w:val="clear" w:color="auto" w:fill="F2F2F2"/>
            <w:vAlign w:val="center"/>
            <w:hideMark/>
          </w:tcPr>
          <w:p w14:paraId="0ADC6B1F" w14:textId="77777777" w:rsidR="00F50454" w:rsidRPr="00DF4CE5" w:rsidRDefault="00F50454" w:rsidP="00891E8C">
            <w:pPr>
              <w:spacing w:after="0" w:line="240" w:lineRule="auto"/>
              <w:rPr>
                <w:rFonts w:ascii="Cambria" w:hAnsi="Cambria" w:cs="Calibri"/>
              </w:rPr>
            </w:pPr>
          </w:p>
        </w:tc>
        <w:tc>
          <w:tcPr>
            <w:tcW w:w="259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5062A40" w14:textId="77777777" w:rsidR="00F50454" w:rsidRPr="00DF4CE5" w:rsidRDefault="00F50454" w:rsidP="00891E8C">
            <w:pPr>
              <w:spacing w:after="0" w:line="240" w:lineRule="auto"/>
              <w:rPr>
                <w:rFonts w:ascii="Cambria" w:hAnsi="Cambria" w:cs="Calibri"/>
              </w:rPr>
            </w:pPr>
            <w:proofErr w:type="spellStart"/>
            <w:r w:rsidRPr="00DF4CE5">
              <w:rPr>
                <w:rFonts w:ascii="Cambria" w:hAnsi="Cambria" w:cs="Calibri"/>
              </w:rPr>
              <w:t>istraživački</w:t>
            </w:r>
            <w:proofErr w:type="spellEnd"/>
            <w:r w:rsidRPr="00DF4CE5">
              <w:rPr>
                <w:rFonts w:ascii="Cambria" w:hAnsi="Cambria" w:cs="Calibri"/>
              </w:rPr>
              <w:t xml:space="preserve"> </w:t>
            </w:r>
            <w:proofErr w:type="spellStart"/>
            <w:r w:rsidRPr="00DF4CE5">
              <w:rPr>
                <w:rFonts w:ascii="Cambria" w:hAnsi="Cambria" w:cs="Calibri"/>
              </w:rPr>
              <w:t>individualni</w:t>
            </w:r>
            <w:proofErr w:type="spellEnd"/>
            <w:r w:rsidRPr="00DF4CE5">
              <w:rPr>
                <w:rFonts w:ascii="Cambria" w:hAnsi="Cambria" w:cs="Calibri"/>
              </w:rPr>
              <w:t xml:space="preserve"> </w:t>
            </w:r>
            <w:proofErr w:type="spellStart"/>
            <w:r w:rsidRPr="00DF4CE5">
              <w:rPr>
                <w:rFonts w:ascii="Cambria" w:hAnsi="Cambria" w:cs="Calibri"/>
              </w:rPr>
              <w:t>zadatak</w:t>
            </w:r>
            <w:proofErr w:type="spellEnd"/>
          </w:p>
        </w:tc>
        <w:tc>
          <w:tcPr>
            <w:tcW w:w="109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88FB69D" w14:textId="77777777" w:rsidR="00F50454" w:rsidRPr="00DF4CE5" w:rsidRDefault="00F50454" w:rsidP="00891E8C">
            <w:pPr>
              <w:spacing w:after="0" w:line="240" w:lineRule="auto"/>
              <w:jc w:val="center"/>
              <w:rPr>
                <w:rFonts w:ascii="Cambria" w:hAnsi="Cambria" w:cs="Calibri"/>
              </w:rPr>
            </w:pPr>
            <w:r w:rsidRPr="00DF4CE5">
              <w:rPr>
                <w:rFonts w:ascii="Cambria" w:hAnsi="Cambria" w:cs="Calibri"/>
              </w:rPr>
              <w:t>1. – 4.</w:t>
            </w:r>
          </w:p>
        </w:tc>
        <w:tc>
          <w:tcPr>
            <w:tcW w:w="71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C5D64F3" w14:textId="77777777" w:rsidR="00F50454" w:rsidRPr="00DF4CE5" w:rsidRDefault="00F50454" w:rsidP="00891E8C">
            <w:pPr>
              <w:spacing w:after="0" w:line="240" w:lineRule="auto"/>
              <w:jc w:val="center"/>
              <w:rPr>
                <w:rFonts w:ascii="Cambria" w:hAnsi="Cambria" w:cs="Calibri"/>
              </w:rPr>
            </w:pPr>
            <w:r w:rsidRPr="00DF4CE5">
              <w:rPr>
                <w:rFonts w:ascii="Cambria" w:hAnsi="Cambria" w:cs="Calibri"/>
              </w:rPr>
              <w:t>30</w:t>
            </w:r>
          </w:p>
        </w:tc>
        <w:tc>
          <w:tcPr>
            <w:tcW w:w="101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5F695CC" w14:textId="77777777" w:rsidR="00F50454" w:rsidRPr="00DF4CE5" w:rsidRDefault="00F50454" w:rsidP="00891E8C">
            <w:pPr>
              <w:spacing w:after="0" w:line="240" w:lineRule="auto"/>
              <w:jc w:val="center"/>
              <w:rPr>
                <w:rFonts w:ascii="Cambria" w:hAnsi="Cambria" w:cs="Calibri"/>
              </w:rPr>
            </w:pPr>
            <w:r w:rsidRPr="00DF4CE5">
              <w:rPr>
                <w:rFonts w:ascii="Cambria" w:hAnsi="Cambria" w:cs="Calibri"/>
              </w:rPr>
              <w:t>1</w:t>
            </w:r>
          </w:p>
        </w:tc>
        <w:tc>
          <w:tcPr>
            <w:tcW w:w="132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FDD6C94" w14:textId="77777777" w:rsidR="00F50454" w:rsidRPr="00DF4CE5" w:rsidRDefault="00F50454" w:rsidP="00891E8C">
            <w:pPr>
              <w:spacing w:after="0" w:line="240" w:lineRule="auto"/>
              <w:jc w:val="center"/>
              <w:rPr>
                <w:rFonts w:ascii="Cambria" w:hAnsi="Cambria" w:cs="Calibri"/>
              </w:rPr>
            </w:pPr>
            <w:r w:rsidRPr="00DF4CE5">
              <w:rPr>
                <w:rFonts w:ascii="Cambria" w:hAnsi="Cambria" w:cs="Calibri"/>
              </w:rPr>
              <w:t>30%</w:t>
            </w:r>
          </w:p>
        </w:tc>
      </w:tr>
      <w:tr w:rsidR="00F50454" w:rsidRPr="00DF4CE5" w14:paraId="7804A895" w14:textId="77777777" w:rsidTr="00891E8C">
        <w:tc>
          <w:tcPr>
            <w:tcW w:w="2629" w:type="dxa"/>
            <w:vMerge/>
            <w:tcBorders>
              <w:left w:val="single" w:sz="8" w:space="0" w:color="000000"/>
              <w:right w:val="single" w:sz="8" w:space="0" w:color="000000"/>
            </w:tcBorders>
            <w:shd w:val="clear" w:color="auto" w:fill="F2F2F2"/>
            <w:vAlign w:val="center"/>
          </w:tcPr>
          <w:p w14:paraId="7D51EDE6" w14:textId="77777777" w:rsidR="00F50454" w:rsidRPr="00DF4CE5" w:rsidRDefault="00F50454" w:rsidP="00891E8C">
            <w:pPr>
              <w:spacing w:after="0" w:line="240" w:lineRule="auto"/>
              <w:rPr>
                <w:rFonts w:ascii="Cambria" w:hAnsi="Cambria" w:cs="Calibri"/>
              </w:rPr>
            </w:pPr>
          </w:p>
        </w:tc>
        <w:tc>
          <w:tcPr>
            <w:tcW w:w="259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B207CC0" w14:textId="77777777" w:rsidR="00F50454" w:rsidRPr="00DF4CE5" w:rsidRDefault="00F50454" w:rsidP="00891E8C">
            <w:pPr>
              <w:spacing w:after="0" w:line="240" w:lineRule="auto"/>
              <w:rPr>
                <w:rFonts w:ascii="Cambria" w:hAnsi="Cambria" w:cs="Calibri"/>
              </w:rPr>
            </w:pPr>
            <w:proofErr w:type="spellStart"/>
            <w:r w:rsidRPr="00DF4CE5">
              <w:rPr>
                <w:rFonts w:ascii="Cambria" w:hAnsi="Cambria" w:cs="Calibri"/>
              </w:rPr>
              <w:t>zadatak</w:t>
            </w:r>
            <w:proofErr w:type="spellEnd"/>
            <w:r w:rsidRPr="00DF4CE5">
              <w:rPr>
                <w:rFonts w:ascii="Cambria" w:hAnsi="Cambria" w:cs="Calibri"/>
              </w:rPr>
              <w:t xml:space="preserve"> u </w:t>
            </w:r>
            <w:proofErr w:type="spellStart"/>
            <w:r w:rsidRPr="00DF4CE5">
              <w:rPr>
                <w:rFonts w:ascii="Cambria" w:hAnsi="Cambria" w:cs="Calibri"/>
              </w:rPr>
              <w:t>paru</w:t>
            </w:r>
            <w:proofErr w:type="spellEnd"/>
          </w:p>
        </w:tc>
        <w:tc>
          <w:tcPr>
            <w:tcW w:w="109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85EB6AE" w14:textId="77777777" w:rsidR="00F50454" w:rsidRPr="00DF4CE5" w:rsidRDefault="00F50454" w:rsidP="00891E8C">
            <w:pPr>
              <w:spacing w:after="0" w:line="240" w:lineRule="auto"/>
              <w:jc w:val="center"/>
              <w:rPr>
                <w:rFonts w:ascii="Cambria" w:hAnsi="Cambria" w:cs="Calibri"/>
              </w:rPr>
            </w:pPr>
            <w:r w:rsidRPr="00DF4CE5">
              <w:rPr>
                <w:rFonts w:ascii="Cambria" w:hAnsi="Cambria" w:cs="Calibri"/>
              </w:rPr>
              <w:t>1. – 4.</w:t>
            </w:r>
          </w:p>
        </w:tc>
        <w:tc>
          <w:tcPr>
            <w:tcW w:w="71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492FE64" w14:textId="77777777" w:rsidR="00F50454" w:rsidRPr="00DF4CE5" w:rsidRDefault="00F50454" w:rsidP="00891E8C">
            <w:pPr>
              <w:spacing w:after="0" w:line="240" w:lineRule="auto"/>
              <w:jc w:val="center"/>
              <w:rPr>
                <w:rFonts w:ascii="Cambria" w:hAnsi="Cambria" w:cs="Calibri"/>
              </w:rPr>
            </w:pPr>
            <w:r w:rsidRPr="00DF4CE5">
              <w:rPr>
                <w:rFonts w:ascii="Cambria" w:hAnsi="Cambria" w:cs="Calibri"/>
              </w:rPr>
              <w:t>15</w:t>
            </w:r>
          </w:p>
        </w:tc>
        <w:tc>
          <w:tcPr>
            <w:tcW w:w="101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635F940" w14:textId="77777777" w:rsidR="00F50454" w:rsidRPr="00DF4CE5" w:rsidRDefault="00F50454" w:rsidP="00891E8C">
            <w:pPr>
              <w:spacing w:after="0" w:line="240" w:lineRule="auto"/>
              <w:jc w:val="center"/>
              <w:rPr>
                <w:rFonts w:ascii="Cambria" w:hAnsi="Cambria" w:cs="Calibri"/>
              </w:rPr>
            </w:pPr>
            <w:r w:rsidRPr="00DF4CE5">
              <w:rPr>
                <w:rFonts w:ascii="Cambria" w:hAnsi="Cambria" w:cs="Calibri"/>
              </w:rPr>
              <w:t>0,5</w:t>
            </w:r>
          </w:p>
        </w:tc>
        <w:tc>
          <w:tcPr>
            <w:tcW w:w="132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FA7EB8F" w14:textId="77777777" w:rsidR="00F50454" w:rsidRPr="00DF4CE5" w:rsidRDefault="00F50454" w:rsidP="00891E8C">
            <w:pPr>
              <w:spacing w:after="0" w:line="240" w:lineRule="auto"/>
              <w:jc w:val="center"/>
              <w:rPr>
                <w:rFonts w:ascii="Cambria" w:hAnsi="Cambria" w:cs="Calibri"/>
              </w:rPr>
            </w:pPr>
            <w:r w:rsidRPr="00DF4CE5">
              <w:rPr>
                <w:rFonts w:ascii="Cambria" w:hAnsi="Cambria" w:cs="Calibri"/>
              </w:rPr>
              <w:t>10%</w:t>
            </w:r>
          </w:p>
        </w:tc>
      </w:tr>
      <w:tr w:rsidR="00F50454" w:rsidRPr="00DF4CE5" w14:paraId="7B0EEDF1" w14:textId="77777777" w:rsidTr="00891E8C">
        <w:tc>
          <w:tcPr>
            <w:tcW w:w="2629" w:type="dxa"/>
            <w:vMerge/>
            <w:tcBorders>
              <w:left w:val="single" w:sz="8" w:space="0" w:color="000000"/>
              <w:right w:val="single" w:sz="8" w:space="0" w:color="000000"/>
            </w:tcBorders>
            <w:shd w:val="clear" w:color="auto" w:fill="F2F2F2"/>
            <w:vAlign w:val="center"/>
          </w:tcPr>
          <w:p w14:paraId="65C461F3" w14:textId="77777777" w:rsidR="00F50454" w:rsidRPr="00DF4CE5" w:rsidRDefault="00F50454" w:rsidP="00891E8C">
            <w:pPr>
              <w:spacing w:after="0" w:line="240" w:lineRule="auto"/>
              <w:rPr>
                <w:rFonts w:ascii="Cambria" w:hAnsi="Cambria" w:cs="Calibri"/>
              </w:rPr>
            </w:pPr>
          </w:p>
        </w:tc>
        <w:tc>
          <w:tcPr>
            <w:tcW w:w="259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9EE9100" w14:textId="77777777" w:rsidR="00F50454" w:rsidRPr="00DF4CE5" w:rsidRDefault="00F50454" w:rsidP="00891E8C">
            <w:pPr>
              <w:spacing w:after="0" w:line="240" w:lineRule="auto"/>
              <w:rPr>
                <w:rFonts w:ascii="Cambria" w:hAnsi="Cambria" w:cs="Calibri"/>
              </w:rPr>
            </w:pPr>
            <w:proofErr w:type="spellStart"/>
            <w:r w:rsidRPr="00DF4CE5">
              <w:rPr>
                <w:rFonts w:ascii="Cambria" w:hAnsi="Cambria" w:cs="Calibri"/>
              </w:rPr>
              <w:t>terenska</w:t>
            </w:r>
            <w:proofErr w:type="spellEnd"/>
            <w:r w:rsidRPr="00DF4CE5">
              <w:rPr>
                <w:rFonts w:ascii="Cambria" w:hAnsi="Cambria" w:cs="Calibri"/>
              </w:rPr>
              <w:t xml:space="preserve"> </w:t>
            </w:r>
            <w:proofErr w:type="spellStart"/>
            <w:r w:rsidRPr="00DF4CE5">
              <w:rPr>
                <w:rFonts w:ascii="Cambria" w:hAnsi="Cambria" w:cs="Calibri"/>
              </w:rPr>
              <w:t>nastava</w:t>
            </w:r>
            <w:proofErr w:type="spellEnd"/>
          </w:p>
        </w:tc>
        <w:tc>
          <w:tcPr>
            <w:tcW w:w="109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03D9228" w14:textId="77777777" w:rsidR="00F50454" w:rsidRPr="00DF4CE5" w:rsidRDefault="00F50454" w:rsidP="00891E8C">
            <w:pPr>
              <w:spacing w:after="0" w:line="240" w:lineRule="auto"/>
              <w:jc w:val="center"/>
              <w:rPr>
                <w:rFonts w:ascii="Cambria" w:hAnsi="Cambria" w:cs="Calibri"/>
              </w:rPr>
            </w:pPr>
            <w:r w:rsidRPr="00DF4CE5">
              <w:rPr>
                <w:rFonts w:ascii="Cambria" w:hAnsi="Cambria" w:cs="Calibri"/>
              </w:rPr>
              <w:t>1. – 4.</w:t>
            </w:r>
          </w:p>
        </w:tc>
        <w:tc>
          <w:tcPr>
            <w:tcW w:w="71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51CC440" w14:textId="77777777" w:rsidR="00F50454" w:rsidRPr="00DF4CE5" w:rsidRDefault="00F50454" w:rsidP="00891E8C">
            <w:pPr>
              <w:spacing w:after="0" w:line="240" w:lineRule="auto"/>
              <w:jc w:val="center"/>
              <w:rPr>
                <w:rFonts w:ascii="Cambria" w:hAnsi="Cambria" w:cs="Calibri"/>
              </w:rPr>
            </w:pPr>
            <w:r w:rsidRPr="00DF4CE5">
              <w:rPr>
                <w:rFonts w:ascii="Cambria" w:hAnsi="Cambria" w:cs="Calibri"/>
              </w:rPr>
              <w:t>11</w:t>
            </w:r>
          </w:p>
        </w:tc>
        <w:tc>
          <w:tcPr>
            <w:tcW w:w="101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BA19C2C" w14:textId="77777777" w:rsidR="00F50454" w:rsidRPr="00DF4CE5" w:rsidRDefault="00F50454" w:rsidP="00891E8C">
            <w:pPr>
              <w:spacing w:after="0" w:line="240" w:lineRule="auto"/>
              <w:jc w:val="center"/>
              <w:rPr>
                <w:rFonts w:ascii="Cambria" w:hAnsi="Cambria" w:cs="Calibri"/>
              </w:rPr>
            </w:pPr>
            <w:r w:rsidRPr="00DF4CE5">
              <w:rPr>
                <w:rFonts w:ascii="Cambria" w:hAnsi="Cambria" w:cs="Calibri"/>
              </w:rPr>
              <w:t>0,4</w:t>
            </w:r>
          </w:p>
        </w:tc>
        <w:tc>
          <w:tcPr>
            <w:tcW w:w="132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1F1246A" w14:textId="77777777" w:rsidR="00F50454" w:rsidRPr="00DF4CE5" w:rsidRDefault="00F50454" w:rsidP="00891E8C">
            <w:pPr>
              <w:spacing w:after="0" w:line="240" w:lineRule="auto"/>
              <w:jc w:val="center"/>
              <w:rPr>
                <w:rFonts w:ascii="Cambria" w:hAnsi="Cambria" w:cs="Calibri"/>
              </w:rPr>
            </w:pPr>
            <w:r w:rsidRPr="00DF4CE5">
              <w:rPr>
                <w:rFonts w:ascii="Cambria" w:hAnsi="Cambria" w:cs="Calibri"/>
              </w:rPr>
              <w:t>0%</w:t>
            </w:r>
          </w:p>
        </w:tc>
      </w:tr>
      <w:tr w:rsidR="00F50454" w:rsidRPr="00DF4CE5" w14:paraId="0B88CF3E" w14:textId="77777777" w:rsidTr="00891E8C">
        <w:tc>
          <w:tcPr>
            <w:tcW w:w="2629" w:type="dxa"/>
            <w:vMerge/>
            <w:tcBorders>
              <w:left w:val="single" w:sz="8" w:space="0" w:color="000000"/>
              <w:right w:val="single" w:sz="8" w:space="0" w:color="000000"/>
            </w:tcBorders>
            <w:shd w:val="clear" w:color="auto" w:fill="F2F2F2"/>
            <w:vAlign w:val="center"/>
          </w:tcPr>
          <w:p w14:paraId="06CB24ED" w14:textId="77777777" w:rsidR="00F50454" w:rsidRPr="00DF4CE5" w:rsidRDefault="00F50454" w:rsidP="00891E8C">
            <w:pPr>
              <w:spacing w:after="0" w:line="240" w:lineRule="auto"/>
              <w:rPr>
                <w:rFonts w:ascii="Cambria" w:hAnsi="Cambria" w:cs="Calibri"/>
              </w:rPr>
            </w:pPr>
          </w:p>
        </w:tc>
        <w:tc>
          <w:tcPr>
            <w:tcW w:w="259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A543AA4" w14:textId="77777777" w:rsidR="00F50454" w:rsidRPr="00DF4CE5" w:rsidRDefault="00F50454" w:rsidP="00891E8C">
            <w:pPr>
              <w:spacing w:after="0" w:line="240" w:lineRule="auto"/>
              <w:rPr>
                <w:rFonts w:ascii="Cambria" w:hAnsi="Cambria" w:cs="Calibri"/>
              </w:rPr>
            </w:pPr>
            <w:proofErr w:type="spellStart"/>
            <w:r w:rsidRPr="00DF4CE5">
              <w:rPr>
                <w:rFonts w:ascii="Cambria" w:hAnsi="Cambria" w:cs="Calibri"/>
              </w:rPr>
              <w:t>pismeni</w:t>
            </w:r>
            <w:proofErr w:type="spellEnd"/>
            <w:r w:rsidRPr="00DF4CE5">
              <w:rPr>
                <w:rFonts w:ascii="Cambria" w:hAnsi="Cambria" w:cs="Calibri"/>
              </w:rPr>
              <w:t xml:space="preserve"> </w:t>
            </w:r>
            <w:proofErr w:type="spellStart"/>
            <w:r w:rsidRPr="00DF4CE5">
              <w:rPr>
                <w:rFonts w:ascii="Cambria" w:hAnsi="Cambria" w:cs="Calibri"/>
              </w:rPr>
              <w:t>ispit</w:t>
            </w:r>
            <w:proofErr w:type="spellEnd"/>
          </w:p>
        </w:tc>
        <w:tc>
          <w:tcPr>
            <w:tcW w:w="109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C5A754D" w14:textId="77777777" w:rsidR="00F50454" w:rsidRPr="00DF4CE5" w:rsidRDefault="00F50454" w:rsidP="00891E8C">
            <w:pPr>
              <w:spacing w:after="0" w:line="240" w:lineRule="auto"/>
              <w:jc w:val="center"/>
              <w:rPr>
                <w:rFonts w:ascii="Cambria" w:hAnsi="Cambria" w:cs="Calibri"/>
              </w:rPr>
            </w:pPr>
            <w:r w:rsidRPr="00DF4CE5">
              <w:rPr>
                <w:rFonts w:ascii="Cambria" w:hAnsi="Cambria" w:cs="Calibri"/>
              </w:rPr>
              <w:t>1. – 4.</w:t>
            </w:r>
          </w:p>
        </w:tc>
        <w:tc>
          <w:tcPr>
            <w:tcW w:w="71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552EF00" w14:textId="77777777" w:rsidR="00F50454" w:rsidRPr="00DF4CE5" w:rsidRDefault="00F50454" w:rsidP="00891E8C">
            <w:pPr>
              <w:spacing w:after="0" w:line="240" w:lineRule="auto"/>
              <w:jc w:val="center"/>
              <w:rPr>
                <w:rFonts w:ascii="Cambria" w:hAnsi="Cambria" w:cs="Calibri"/>
              </w:rPr>
            </w:pPr>
            <w:r w:rsidRPr="00DF4CE5">
              <w:rPr>
                <w:rFonts w:ascii="Cambria" w:hAnsi="Cambria" w:cs="Calibri"/>
              </w:rPr>
              <w:t>30</w:t>
            </w:r>
          </w:p>
        </w:tc>
        <w:tc>
          <w:tcPr>
            <w:tcW w:w="101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9A7BFA6" w14:textId="77777777" w:rsidR="00F50454" w:rsidRPr="00DF4CE5" w:rsidRDefault="00F50454" w:rsidP="00891E8C">
            <w:pPr>
              <w:spacing w:after="0" w:line="240" w:lineRule="auto"/>
              <w:jc w:val="center"/>
              <w:rPr>
                <w:rFonts w:ascii="Cambria" w:hAnsi="Cambria" w:cs="Calibri"/>
              </w:rPr>
            </w:pPr>
            <w:r w:rsidRPr="00DF4CE5">
              <w:rPr>
                <w:rFonts w:ascii="Cambria" w:hAnsi="Cambria" w:cs="Calibri"/>
              </w:rPr>
              <w:t>1</w:t>
            </w:r>
          </w:p>
        </w:tc>
        <w:tc>
          <w:tcPr>
            <w:tcW w:w="132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3700551" w14:textId="77777777" w:rsidR="00F50454" w:rsidRPr="00DF4CE5" w:rsidRDefault="00F50454" w:rsidP="00891E8C">
            <w:pPr>
              <w:spacing w:after="0" w:line="240" w:lineRule="auto"/>
              <w:jc w:val="center"/>
              <w:rPr>
                <w:rFonts w:ascii="Cambria" w:hAnsi="Cambria" w:cs="Calibri"/>
              </w:rPr>
            </w:pPr>
            <w:r w:rsidRPr="00DF4CE5">
              <w:rPr>
                <w:rFonts w:ascii="Cambria" w:hAnsi="Cambria" w:cs="Calibri"/>
              </w:rPr>
              <w:t>50%</w:t>
            </w:r>
          </w:p>
        </w:tc>
      </w:tr>
      <w:tr w:rsidR="00F50454" w:rsidRPr="00DF4CE5" w14:paraId="0D282EE6" w14:textId="77777777" w:rsidTr="00891E8C">
        <w:tc>
          <w:tcPr>
            <w:tcW w:w="2629" w:type="dxa"/>
            <w:vMerge/>
            <w:tcBorders>
              <w:left w:val="single" w:sz="8" w:space="0" w:color="000000"/>
              <w:right w:val="single" w:sz="8" w:space="0" w:color="000000"/>
            </w:tcBorders>
            <w:shd w:val="clear" w:color="auto" w:fill="F2F2F2"/>
            <w:vAlign w:val="center"/>
            <w:hideMark/>
          </w:tcPr>
          <w:p w14:paraId="1A8336B2" w14:textId="77777777" w:rsidR="00F50454" w:rsidRPr="00DF4CE5" w:rsidRDefault="00F50454" w:rsidP="00891E8C">
            <w:pPr>
              <w:spacing w:after="0" w:line="240" w:lineRule="auto"/>
              <w:rPr>
                <w:rFonts w:ascii="Cambria" w:hAnsi="Cambria" w:cs="Calibri"/>
              </w:rPr>
            </w:pPr>
          </w:p>
        </w:tc>
        <w:tc>
          <w:tcPr>
            <w:tcW w:w="3681"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6D614D8" w14:textId="0C91415B" w:rsidR="00F50454" w:rsidRPr="00DF4CE5" w:rsidRDefault="00826F4D" w:rsidP="00891E8C">
            <w:pPr>
              <w:spacing w:after="0" w:line="240" w:lineRule="auto"/>
              <w:rPr>
                <w:rFonts w:ascii="Cambria" w:hAnsi="Cambria" w:cs="Calibri"/>
              </w:rPr>
            </w:pPr>
            <w:proofErr w:type="spellStart"/>
            <w:r>
              <w:rPr>
                <w:rFonts w:ascii="Cambria" w:hAnsi="Cambria" w:cs="Calibri"/>
                <w:lang w:val="it-IT"/>
              </w:rPr>
              <w:t>u</w:t>
            </w:r>
            <w:r w:rsidR="00F50454" w:rsidRPr="00DF4CE5">
              <w:rPr>
                <w:rFonts w:ascii="Cambria" w:hAnsi="Cambria" w:cs="Calibri"/>
                <w:lang w:val="it-IT"/>
              </w:rPr>
              <w:t>kupno</w:t>
            </w:r>
            <w:proofErr w:type="spellEnd"/>
          </w:p>
        </w:tc>
        <w:tc>
          <w:tcPr>
            <w:tcW w:w="71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DEA7590" w14:textId="77777777" w:rsidR="00F50454" w:rsidRPr="00DF4CE5" w:rsidRDefault="00F50454" w:rsidP="00891E8C">
            <w:pPr>
              <w:spacing w:after="0" w:line="240" w:lineRule="auto"/>
              <w:jc w:val="center"/>
              <w:rPr>
                <w:rFonts w:ascii="Cambria" w:hAnsi="Cambria" w:cs="Calibri"/>
              </w:rPr>
            </w:pPr>
            <w:r w:rsidRPr="00DF4CE5">
              <w:rPr>
                <w:rFonts w:ascii="Cambria" w:hAnsi="Cambria" w:cs="Calibri"/>
              </w:rPr>
              <w:t>120</w:t>
            </w:r>
          </w:p>
        </w:tc>
        <w:tc>
          <w:tcPr>
            <w:tcW w:w="101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6AD0003" w14:textId="77777777" w:rsidR="00F50454" w:rsidRPr="00DF4CE5" w:rsidRDefault="00F50454" w:rsidP="00891E8C">
            <w:pPr>
              <w:spacing w:after="0" w:line="240" w:lineRule="auto"/>
              <w:jc w:val="center"/>
              <w:rPr>
                <w:rFonts w:ascii="Cambria" w:hAnsi="Cambria" w:cs="Calibri"/>
              </w:rPr>
            </w:pPr>
            <w:r w:rsidRPr="00DF4CE5">
              <w:rPr>
                <w:rFonts w:ascii="Cambria" w:hAnsi="Cambria" w:cs="Calibri"/>
              </w:rPr>
              <w:t>4</w:t>
            </w:r>
          </w:p>
        </w:tc>
        <w:tc>
          <w:tcPr>
            <w:tcW w:w="132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5E63FBE" w14:textId="77777777" w:rsidR="00F50454" w:rsidRPr="00DF4CE5" w:rsidRDefault="00F50454" w:rsidP="00891E8C">
            <w:pPr>
              <w:spacing w:after="0" w:line="240" w:lineRule="auto"/>
              <w:jc w:val="center"/>
              <w:rPr>
                <w:rFonts w:ascii="Cambria" w:hAnsi="Cambria" w:cs="Calibri"/>
              </w:rPr>
            </w:pPr>
            <w:r w:rsidRPr="00DF4CE5">
              <w:rPr>
                <w:rFonts w:ascii="Cambria" w:hAnsi="Cambria" w:cs="Calibri"/>
              </w:rPr>
              <w:t>100 %</w:t>
            </w:r>
          </w:p>
        </w:tc>
      </w:tr>
      <w:tr w:rsidR="00F50454" w:rsidRPr="00D0399C" w14:paraId="657E274C" w14:textId="77777777" w:rsidTr="00891E8C">
        <w:tc>
          <w:tcPr>
            <w:tcW w:w="2629" w:type="dxa"/>
            <w:tcBorders>
              <w:left w:val="single" w:sz="8" w:space="0" w:color="000000"/>
              <w:right w:val="single" w:sz="8" w:space="0" w:color="000000"/>
            </w:tcBorders>
            <w:shd w:val="clear" w:color="auto" w:fill="F2F2F2"/>
            <w:vAlign w:val="center"/>
          </w:tcPr>
          <w:p w14:paraId="599BDCFC" w14:textId="77777777" w:rsidR="00F50454" w:rsidRPr="00DF4CE5" w:rsidRDefault="00F50454" w:rsidP="00891E8C">
            <w:pPr>
              <w:spacing w:after="0" w:line="240" w:lineRule="auto"/>
              <w:rPr>
                <w:rFonts w:ascii="Cambria" w:hAnsi="Cambria" w:cs="Calibri"/>
              </w:rPr>
            </w:pPr>
          </w:p>
        </w:tc>
        <w:tc>
          <w:tcPr>
            <w:tcW w:w="6731"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B798890" w14:textId="77777777" w:rsidR="00F50454" w:rsidRPr="00DF4CE5" w:rsidRDefault="00F50454" w:rsidP="00891E8C">
            <w:pPr>
              <w:spacing w:after="0" w:line="240" w:lineRule="auto"/>
              <w:rPr>
                <w:rFonts w:ascii="Cambria" w:hAnsi="Cambria" w:cs="Calibri"/>
              </w:rPr>
            </w:pPr>
            <w:proofErr w:type="spellStart"/>
            <w:r w:rsidRPr="00DF4CE5">
              <w:rPr>
                <w:rFonts w:ascii="Cambria" w:hAnsi="Cambria" w:cs="Calibri"/>
              </w:rPr>
              <w:t>Dodatna</w:t>
            </w:r>
            <w:proofErr w:type="spellEnd"/>
            <w:r w:rsidRPr="00DF4CE5">
              <w:rPr>
                <w:rFonts w:ascii="Cambria" w:hAnsi="Cambria" w:cs="Calibri"/>
              </w:rPr>
              <w:t xml:space="preserve"> </w:t>
            </w:r>
            <w:proofErr w:type="spellStart"/>
            <w:r w:rsidRPr="00DF4CE5">
              <w:rPr>
                <w:rFonts w:ascii="Cambria" w:hAnsi="Cambria" w:cs="Calibri"/>
              </w:rPr>
              <w:t>pojašnjenja</w:t>
            </w:r>
            <w:proofErr w:type="spellEnd"/>
            <w:r w:rsidRPr="00DF4CE5">
              <w:rPr>
                <w:rFonts w:ascii="Cambria" w:hAnsi="Cambria" w:cs="Calibri"/>
              </w:rPr>
              <w:t xml:space="preserve"> (</w:t>
            </w:r>
            <w:proofErr w:type="spellStart"/>
            <w:r w:rsidRPr="00DF4CE5">
              <w:rPr>
                <w:rFonts w:ascii="Cambria" w:hAnsi="Cambria" w:cs="Calibri"/>
              </w:rPr>
              <w:t>kriteriji</w:t>
            </w:r>
            <w:proofErr w:type="spellEnd"/>
            <w:r w:rsidRPr="00DF4CE5">
              <w:rPr>
                <w:rFonts w:ascii="Cambria" w:hAnsi="Cambria" w:cs="Calibri"/>
              </w:rPr>
              <w:t xml:space="preserve"> </w:t>
            </w:r>
            <w:proofErr w:type="spellStart"/>
            <w:r w:rsidRPr="00DF4CE5">
              <w:rPr>
                <w:rFonts w:ascii="Cambria" w:hAnsi="Cambria" w:cs="Calibri"/>
              </w:rPr>
              <w:t>ocjenjivanja</w:t>
            </w:r>
            <w:proofErr w:type="spellEnd"/>
            <w:r w:rsidRPr="00DF4CE5">
              <w:rPr>
                <w:rFonts w:ascii="Cambria" w:hAnsi="Cambria" w:cs="Calibri"/>
              </w:rPr>
              <w:t>):</w:t>
            </w:r>
          </w:p>
          <w:p w14:paraId="1078CE10" w14:textId="77777777" w:rsidR="00F50454" w:rsidRPr="00DF4CE5" w:rsidRDefault="00F50454" w:rsidP="00891E8C">
            <w:pPr>
              <w:spacing w:after="0" w:line="240" w:lineRule="auto"/>
              <w:rPr>
                <w:rFonts w:ascii="Cambria" w:hAnsi="Cambria" w:cs="Calibri"/>
              </w:rPr>
            </w:pPr>
            <w:proofErr w:type="spellStart"/>
            <w:r w:rsidRPr="00DF4CE5">
              <w:rPr>
                <w:rFonts w:ascii="Cambria" w:hAnsi="Cambria" w:cs="Calibri"/>
              </w:rPr>
              <w:t>Studenti</w:t>
            </w:r>
            <w:proofErr w:type="spellEnd"/>
            <w:r w:rsidRPr="00DF4CE5">
              <w:rPr>
                <w:rFonts w:ascii="Cambria" w:hAnsi="Cambria" w:cs="Calibri"/>
              </w:rPr>
              <w:t>/</w:t>
            </w:r>
            <w:proofErr w:type="spellStart"/>
            <w:r w:rsidRPr="00DF4CE5">
              <w:rPr>
                <w:rFonts w:ascii="Cambria" w:hAnsi="Cambria" w:cs="Calibri"/>
              </w:rPr>
              <w:t>studentice</w:t>
            </w:r>
            <w:proofErr w:type="spellEnd"/>
            <w:r w:rsidRPr="00DF4CE5">
              <w:rPr>
                <w:rFonts w:ascii="Cambria" w:hAnsi="Cambria" w:cs="Calibri"/>
              </w:rPr>
              <w:t xml:space="preserve"> </w:t>
            </w:r>
            <w:proofErr w:type="spellStart"/>
            <w:r w:rsidRPr="00DF4CE5">
              <w:rPr>
                <w:rFonts w:ascii="Cambria" w:hAnsi="Cambria" w:cs="Calibri"/>
              </w:rPr>
              <w:t>će</w:t>
            </w:r>
            <w:proofErr w:type="spellEnd"/>
            <w:r w:rsidRPr="00DF4CE5">
              <w:rPr>
                <w:rFonts w:ascii="Cambria" w:hAnsi="Cambria" w:cs="Calibri"/>
              </w:rPr>
              <w:t xml:space="preserve"> </w:t>
            </w:r>
            <w:proofErr w:type="spellStart"/>
            <w:r w:rsidRPr="00DF4CE5">
              <w:rPr>
                <w:rFonts w:ascii="Cambria" w:hAnsi="Cambria" w:cs="Calibri"/>
              </w:rPr>
              <w:t>istraživački</w:t>
            </w:r>
            <w:proofErr w:type="spellEnd"/>
            <w:r w:rsidRPr="00DF4CE5">
              <w:rPr>
                <w:rFonts w:ascii="Cambria" w:hAnsi="Cambria" w:cs="Calibri"/>
              </w:rPr>
              <w:t xml:space="preserve"> </w:t>
            </w:r>
            <w:proofErr w:type="spellStart"/>
            <w:r w:rsidRPr="00DF4CE5">
              <w:rPr>
                <w:rFonts w:ascii="Cambria" w:hAnsi="Cambria" w:cs="Calibri"/>
              </w:rPr>
              <w:t>individualni</w:t>
            </w:r>
            <w:proofErr w:type="spellEnd"/>
            <w:r w:rsidRPr="00DF4CE5">
              <w:rPr>
                <w:rFonts w:ascii="Cambria" w:hAnsi="Cambria" w:cs="Calibri"/>
              </w:rPr>
              <w:t xml:space="preserve"> rad </w:t>
            </w:r>
            <w:proofErr w:type="spellStart"/>
            <w:r w:rsidRPr="00DF4CE5">
              <w:rPr>
                <w:rFonts w:ascii="Cambria" w:hAnsi="Cambria" w:cs="Calibri"/>
              </w:rPr>
              <w:t>napisati</w:t>
            </w:r>
            <w:proofErr w:type="spellEnd"/>
            <w:r w:rsidRPr="00DF4CE5">
              <w:rPr>
                <w:rFonts w:ascii="Cambria" w:hAnsi="Cambria" w:cs="Calibri"/>
              </w:rPr>
              <w:t xml:space="preserve"> (20%) </w:t>
            </w:r>
            <w:proofErr w:type="spellStart"/>
            <w:r w:rsidRPr="00DF4CE5">
              <w:rPr>
                <w:rFonts w:ascii="Cambria" w:hAnsi="Cambria" w:cs="Calibri"/>
              </w:rPr>
              <w:t>i</w:t>
            </w:r>
            <w:proofErr w:type="spellEnd"/>
            <w:r w:rsidRPr="00DF4CE5">
              <w:rPr>
                <w:rFonts w:ascii="Cambria" w:hAnsi="Cambria" w:cs="Calibri"/>
              </w:rPr>
              <w:t xml:space="preserve"> </w:t>
            </w:r>
            <w:proofErr w:type="spellStart"/>
            <w:r w:rsidRPr="00DF4CE5">
              <w:rPr>
                <w:rFonts w:ascii="Cambria" w:hAnsi="Cambria" w:cs="Calibri"/>
              </w:rPr>
              <w:t>prikazati</w:t>
            </w:r>
            <w:proofErr w:type="spellEnd"/>
            <w:r w:rsidRPr="00DF4CE5">
              <w:rPr>
                <w:rFonts w:ascii="Cambria" w:hAnsi="Cambria" w:cs="Calibri"/>
              </w:rPr>
              <w:t xml:space="preserve"> (10%) pred </w:t>
            </w:r>
            <w:proofErr w:type="spellStart"/>
            <w:r w:rsidRPr="00DF4CE5">
              <w:rPr>
                <w:rFonts w:ascii="Cambria" w:hAnsi="Cambria" w:cs="Calibri"/>
              </w:rPr>
              <w:t>skupinom</w:t>
            </w:r>
            <w:proofErr w:type="spellEnd"/>
            <w:r w:rsidRPr="00DF4CE5">
              <w:rPr>
                <w:rFonts w:ascii="Cambria" w:hAnsi="Cambria" w:cs="Calibri"/>
              </w:rPr>
              <w:t xml:space="preserve"> </w:t>
            </w:r>
            <w:proofErr w:type="spellStart"/>
            <w:r w:rsidRPr="00DF4CE5">
              <w:rPr>
                <w:rFonts w:ascii="Cambria" w:hAnsi="Cambria" w:cs="Calibri"/>
              </w:rPr>
              <w:t>studenata</w:t>
            </w:r>
            <w:proofErr w:type="spellEnd"/>
            <w:r w:rsidRPr="00DF4CE5">
              <w:rPr>
                <w:rFonts w:ascii="Cambria" w:hAnsi="Cambria" w:cs="Calibri"/>
              </w:rPr>
              <w:t xml:space="preserve">. </w:t>
            </w:r>
          </w:p>
          <w:p w14:paraId="0585F5D0" w14:textId="77777777" w:rsidR="00F50454" w:rsidRPr="00DF4CE5" w:rsidRDefault="00F50454" w:rsidP="00891E8C">
            <w:pPr>
              <w:spacing w:after="0" w:line="240" w:lineRule="auto"/>
              <w:rPr>
                <w:rFonts w:ascii="Cambria" w:hAnsi="Cambria" w:cs="Calibri"/>
                <w:lang w:val="it-IT"/>
              </w:rPr>
            </w:pPr>
            <w:r w:rsidRPr="00DF4CE5">
              <w:rPr>
                <w:rFonts w:ascii="Cambria" w:hAnsi="Cambria" w:cs="Calibri"/>
                <w:lang w:val="it-IT"/>
              </w:rPr>
              <w:t xml:space="preserve">Elementi </w:t>
            </w:r>
            <w:proofErr w:type="spellStart"/>
            <w:r w:rsidRPr="00DF4CE5">
              <w:rPr>
                <w:rFonts w:ascii="Cambria" w:hAnsi="Cambria" w:cs="Calibri"/>
                <w:lang w:val="it-IT"/>
              </w:rPr>
              <w:t>ocjenjivanja</w:t>
            </w:r>
            <w:proofErr w:type="spellEnd"/>
            <w:r w:rsidRPr="00DF4CE5">
              <w:rPr>
                <w:rFonts w:ascii="Cambria" w:hAnsi="Cambria" w:cs="Calibri"/>
                <w:lang w:val="it-IT"/>
              </w:rPr>
              <w:t xml:space="preserve"> </w:t>
            </w:r>
            <w:proofErr w:type="spellStart"/>
            <w:r w:rsidRPr="00DF4CE5">
              <w:rPr>
                <w:rFonts w:ascii="Cambria" w:hAnsi="Cambria" w:cs="Calibri"/>
                <w:lang w:val="it-IT"/>
              </w:rPr>
              <w:t>pisanog</w:t>
            </w:r>
            <w:proofErr w:type="spellEnd"/>
            <w:r w:rsidRPr="00DF4CE5">
              <w:rPr>
                <w:rFonts w:ascii="Cambria" w:hAnsi="Cambria" w:cs="Calibri"/>
                <w:lang w:val="it-IT"/>
              </w:rPr>
              <w:t xml:space="preserve"> (20%) </w:t>
            </w:r>
            <w:proofErr w:type="spellStart"/>
            <w:r w:rsidRPr="00DF4CE5">
              <w:rPr>
                <w:rFonts w:ascii="Cambria" w:hAnsi="Cambria" w:cs="Calibri"/>
                <w:lang w:val="it-IT"/>
              </w:rPr>
              <w:t>individualnog</w:t>
            </w:r>
            <w:proofErr w:type="spellEnd"/>
            <w:r w:rsidRPr="00DF4CE5">
              <w:rPr>
                <w:rFonts w:ascii="Cambria" w:hAnsi="Cambria" w:cs="Calibri"/>
                <w:lang w:val="it-IT"/>
              </w:rPr>
              <w:t xml:space="preserve"> </w:t>
            </w:r>
            <w:proofErr w:type="spellStart"/>
            <w:r w:rsidRPr="00DF4CE5">
              <w:rPr>
                <w:rFonts w:ascii="Cambria" w:hAnsi="Cambria" w:cs="Calibri"/>
                <w:lang w:val="it-IT"/>
              </w:rPr>
              <w:t>istraživačkog</w:t>
            </w:r>
            <w:proofErr w:type="spellEnd"/>
            <w:r w:rsidRPr="00DF4CE5">
              <w:rPr>
                <w:rFonts w:ascii="Cambria" w:hAnsi="Cambria" w:cs="Calibri"/>
                <w:lang w:val="it-IT"/>
              </w:rPr>
              <w:t xml:space="preserve"> rada:</w:t>
            </w:r>
          </w:p>
          <w:p w14:paraId="7F33D04D" w14:textId="77777777" w:rsidR="00F50454" w:rsidRPr="00DF4CE5" w:rsidRDefault="00F50454" w:rsidP="00891E8C">
            <w:pPr>
              <w:spacing w:after="0" w:line="240" w:lineRule="auto"/>
              <w:rPr>
                <w:rFonts w:ascii="Cambria" w:hAnsi="Cambria" w:cs="Calibri"/>
                <w:lang w:val="it-IT"/>
              </w:rPr>
            </w:pPr>
            <w:r w:rsidRPr="00DF4CE5">
              <w:rPr>
                <w:rFonts w:ascii="Cambria" w:hAnsi="Cambria" w:cs="Calibri"/>
                <w:lang w:val="it-IT"/>
              </w:rPr>
              <w:t xml:space="preserve">- </w:t>
            </w:r>
            <w:proofErr w:type="spellStart"/>
            <w:r w:rsidRPr="00DF4CE5">
              <w:rPr>
                <w:rFonts w:ascii="Cambria" w:hAnsi="Cambria" w:cs="Calibri"/>
                <w:lang w:val="it-IT"/>
              </w:rPr>
              <w:t>Struktura</w:t>
            </w:r>
            <w:proofErr w:type="spellEnd"/>
            <w:r w:rsidRPr="00DF4CE5">
              <w:rPr>
                <w:rFonts w:ascii="Cambria" w:hAnsi="Cambria" w:cs="Calibri"/>
                <w:lang w:val="it-IT"/>
              </w:rPr>
              <w:t xml:space="preserve"> rada (3%)</w:t>
            </w:r>
          </w:p>
          <w:p w14:paraId="01CB0C78" w14:textId="77777777" w:rsidR="00F50454" w:rsidRPr="00DF4CE5" w:rsidRDefault="00F50454" w:rsidP="00891E8C">
            <w:pPr>
              <w:spacing w:after="0" w:line="240" w:lineRule="auto"/>
              <w:rPr>
                <w:rFonts w:ascii="Cambria" w:hAnsi="Cambria" w:cs="Calibri"/>
                <w:lang w:val="it-IT"/>
              </w:rPr>
            </w:pPr>
            <w:r w:rsidRPr="00DF4CE5">
              <w:rPr>
                <w:rFonts w:ascii="Cambria" w:hAnsi="Cambria" w:cs="Calibri"/>
                <w:lang w:val="it-IT"/>
              </w:rPr>
              <w:t xml:space="preserve">- </w:t>
            </w:r>
            <w:proofErr w:type="spellStart"/>
            <w:r w:rsidRPr="00DF4CE5">
              <w:rPr>
                <w:rFonts w:ascii="Cambria" w:hAnsi="Cambria" w:cs="Calibri"/>
                <w:lang w:val="it-IT"/>
              </w:rPr>
              <w:t>Smislenost</w:t>
            </w:r>
            <w:proofErr w:type="spellEnd"/>
            <w:r w:rsidRPr="00DF4CE5">
              <w:rPr>
                <w:rFonts w:ascii="Cambria" w:hAnsi="Cambria" w:cs="Calibri"/>
                <w:lang w:val="it-IT"/>
              </w:rPr>
              <w:t xml:space="preserve"> i </w:t>
            </w:r>
            <w:proofErr w:type="spellStart"/>
            <w:r w:rsidRPr="00DF4CE5">
              <w:rPr>
                <w:rFonts w:ascii="Cambria" w:hAnsi="Cambria" w:cs="Calibri"/>
                <w:lang w:val="it-IT"/>
              </w:rPr>
              <w:t>argumentacija</w:t>
            </w:r>
            <w:proofErr w:type="spellEnd"/>
            <w:r w:rsidRPr="00DF4CE5">
              <w:rPr>
                <w:rFonts w:ascii="Cambria" w:hAnsi="Cambria" w:cs="Calibri"/>
                <w:lang w:val="it-IT"/>
              </w:rPr>
              <w:t xml:space="preserve"> teme (7%)</w:t>
            </w:r>
          </w:p>
          <w:p w14:paraId="65A9F9AF" w14:textId="77777777" w:rsidR="00F50454" w:rsidRPr="00DF4CE5" w:rsidRDefault="00F50454" w:rsidP="00891E8C">
            <w:pPr>
              <w:spacing w:after="0" w:line="240" w:lineRule="auto"/>
              <w:rPr>
                <w:rFonts w:ascii="Cambria" w:hAnsi="Cambria" w:cs="Calibri"/>
                <w:lang w:val="it-IT"/>
              </w:rPr>
            </w:pPr>
            <w:r w:rsidRPr="00DF4CE5">
              <w:rPr>
                <w:rFonts w:ascii="Cambria" w:hAnsi="Cambria" w:cs="Calibri"/>
                <w:lang w:val="it-IT"/>
              </w:rPr>
              <w:t xml:space="preserve">- </w:t>
            </w:r>
            <w:proofErr w:type="spellStart"/>
            <w:r w:rsidRPr="00DF4CE5">
              <w:rPr>
                <w:rFonts w:ascii="Cambria" w:hAnsi="Cambria" w:cs="Calibri"/>
                <w:lang w:val="it-IT"/>
              </w:rPr>
              <w:t>Stručno</w:t>
            </w:r>
            <w:proofErr w:type="spellEnd"/>
            <w:r w:rsidRPr="00DF4CE5">
              <w:rPr>
                <w:rFonts w:ascii="Cambria" w:hAnsi="Cambria" w:cs="Calibri"/>
                <w:lang w:val="it-IT"/>
              </w:rPr>
              <w:t xml:space="preserve"> </w:t>
            </w:r>
            <w:proofErr w:type="spellStart"/>
            <w:r w:rsidRPr="00DF4CE5">
              <w:rPr>
                <w:rFonts w:ascii="Cambria" w:hAnsi="Cambria" w:cs="Calibri"/>
                <w:lang w:val="it-IT"/>
              </w:rPr>
              <w:t>izražavanje</w:t>
            </w:r>
            <w:proofErr w:type="spellEnd"/>
            <w:r w:rsidRPr="00DF4CE5">
              <w:rPr>
                <w:rFonts w:ascii="Cambria" w:hAnsi="Cambria" w:cs="Calibri"/>
                <w:lang w:val="it-IT"/>
              </w:rPr>
              <w:t xml:space="preserve"> te </w:t>
            </w:r>
            <w:proofErr w:type="spellStart"/>
            <w:r w:rsidRPr="00DF4CE5">
              <w:rPr>
                <w:rFonts w:ascii="Cambria" w:hAnsi="Cambria" w:cs="Calibri"/>
                <w:lang w:val="it-IT"/>
              </w:rPr>
              <w:t>kritičko</w:t>
            </w:r>
            <w:proofErr w:type="spellEnd"/>
            <w:r w:rsidRPr="00DF4CE5">
              <w:rPr>
                <w:rFonts w:ascii="Cambria" w:hAnsi="Cambria" w:cs="Calibri"/>
                <w:lang w:val="it-IT"/>
              </w:rPr>
              <w:t xml:space="preserve"> </w:t>
            </w:r>
            <w:proofErr w:type="spellStart"/>
            <w:r w:rsidRPr="00DF4CE5">
              <w:rPr>
                <w:rFonts w:ascii="Cambria" w:hAnsi="Cambria" w:cs="Calibri"/>
                <w:lang w:val="it-IT"/>
              </w:rPr>
              <w:t>korištenje</w:t>
            </w:r>
            <w:proofErr w:type="spellEnd"/>
            <w:r w:rsidRPr="00DF4CE5">
              <w:rPr>
                <w:rFonts w:ascii="Cambria" w:hAnsi="Cambria" w:cs="Calibri"/>
                <w:lang w:val="it-IT"/>
              </w:rPr>
              <w:t xml:space="preserve"> </w:t>
            </w:r>
            <w:proofErr w:type="spellStart"/>
            <w:r w:rsidRPr="00DF4CE5">
              <w:rPr>
                <w:rFonts w:ascii="Cambria" w:hAnsi="Cambria" w:cs="Calibri"/>
                <w:lang w:val="it-IT"/>
              </w:rPr>
              <w:t>relevantne</w:t>
            </w:r>
            <w:proofErr w:type="spellEnd"/>
            <w:r w:rsidRPr="00DF4CE5">
              <w:rPr>
                <w:rFonts w:ascii="Cambria" w:hAnsi="Cambria" w:cs="Calibri"/>
                <w:lang w:val="it-IT"/>
              </w:rPr>
              <w:t xml:space="preserve"> i </w:t>
            </w:r>
            <w:proofErr w:type="spellStart"/>
            <w:r w:rsidRPr="00DF4CE5">
              <w:rPr>
                <w:rFonts w:ascii="Cambria" w:hAnsi="Cambria" w:cs="Calibri"/>
                <w:lang w:val="it-IT"/>
              </w:rPr>
              <w:t>recentne</w:t>
            </w:r>
            <w:proofErr w:type="spellEnd"/>
            <w:r w:rsidRPr="00DF4CE5">
              <w:rPr>
                <w:rFonts w:ascii="Cambria" w:hAnsi="Cambria" w:cs="Calibri"/>
                <w:lang w:val="it-IT"/>
              </w:rPr>
              <w:t xml:space="preserve"> literature (6%)</w:t>
            </w:r>
          </w:p>
          <w:p w14:paraId="44DCA138" w14:textId="77777777" w:rsidR="00F50454" w:rsidRPr="00DF4CE5" w:rsidRDefault="00F50454" w:rsidP="00891E8C">
            <w:pPr>
              <w:spacing w:after="0" w:line="240" w:lineRule="auto"/>
              <w:rPr>
                <w:rFonts w:ascii="Cambria" w:hAnsi="Cambria" w:cs="Calibri"/>
                <w:lang w:val="it-IT"/>
              </w:rPr>
            </w:pPr>
            <w:r w:rsidRPr="00DF4CE5">
              <w:rPr>
                <w:rFonts w:ascii="Cambria" w:hAnsi="Cambria" w:cs="Calibri"/>
                <w:lang w:val="it-IT"/>
              </w:rPr>
              <w:t xml:space="preserve">- </w:t>
            </w:r>
            <w:proofErr w:type="spellStart"/>
            <w:r w:rsidRPr="00DF4CE5">
              <w:rPr>
                <w:rFonts w:ascii="Cambria" w:hAnsi="Cambria" w:cs="Calibri"/>
                <w:lang w:val="it-IT"/>
              </w:rPr>
              <w:t>Prikaz</w:t>
            </w:r>
            <w:proofErr w:type="spellEnd"/>
            <w:r w:rsidRPr="00DF4CE5">
              <w:rPr>
                <w:rFonts w:ascii="Cambria" w:hAnsi="Cambria" w:cs="Calibri"/>
                <w:lang w:val="it-IT"/>
              </w:rPr>
              <w:t xml:space="preserve"> </w:t>
            </w:r>
            <w:proofErr w:type="spellStart"/>
            <w:r w:rsidRPr="00DF4CE5">
              <w:rPr>
                <w:rFonts w:ascii="Cambria" w:hAnsi="Cambria" w:cs="Calibri"/>
                <w:lang w:val="it-IT"/>
              </w:rPr>
              <w:t>općih</w:t>
            </w:r>
            <w:proofErr w:type="spellEnd"/>
            <w:r w:rsidRPr="00DF4CE5">
              <w:rPr>
                <w:rFonts w:ascii="Cambria" w:hAnsi="Cambria" w:cs="Calibri"/>
                <w:lang w:val="it-IT"/>
              </w:rPr>
              <w:t xml:space="preserve"> </w:t>
            </w:r>
            <w:proofErr w:type="spellStart"/>
            <w:r w:rsidRPr="00DF4CE5">
              <w:rPr>
                <w:rFonts w:ascii="Cambria" w:hAnsi="Cambria" w:cs="Calibri"/>
                <w:lang w:val="it-IT"/>
              </w:rPr>
              <w:t>podataka</w:t>
            </w:r>
            <w:proofErr w:type="spellEnd"/>
            <w:r w:rsidRPr="00DF4CE5">
              <w:rPr>
                <w:rFonts w:ascii="Cambria" w:hAnsi="Cambria" w:cs="Calibri"/>
                <w:lang w:val="it-IT"/>
              </w:rPr>
              <w:t xml:space="preserve"> rada, </w:t>
            </w:r>
            <w:proofErr w:type="spellStart"/>
            <w:r w:rsidRPr="00DF4CE5">
              <w:rPr>
                <w:rFonts w:ascii="Cambria" w:hAnsi="Cambria" w:cs="Calibri"/>
                <w:lang w:val="it-IT"/>
              </w:rPr>
              <w:t>glavnih</w:t>
            </w:r>
            <w:proofErr w:type="spellEnd"/>
            <w:r w:rsidRPr="00DF4CE5">
              <w:rPr>
                <w:rFonts w:ascii="Cambria" w:hAnsi="Cambria" w:cs="Calibri"/>
                <w:lang w:val="it-IT"/>
              </w:rPr>
              <w:t xml:space="preserve"> </w:t>
            </w:r>
            <w:proofErr w:type="spellStart"/>
            <w:r w:rsidRPr="00DF4CE5">
              <w:rPr>
                <w:rFonts w:ascii="Cambria" w:hAnsi="Cambria" w:cs="Calibri"/>
                <w:lang w:val="it-IT"/>
              </w:rPr>
              <w:t>koncepata</w:t>
            </w:r>
            <w:proofErr w:type="spellEnd"/>
            <w:r w:rsidRPr="00DF4CE5">
              <w:rPr>
                <w:rFonts w:ascii="Cambria" w:hAnsi="Cambria" w:cs="Calibri"/>
                <w:lang w:val="it-IT"/>
              </w:rPr>
              <w:t xml:space="preserve">, </w:t>
            </w:r>
            <w:proofErr w:type="spellStart"/>
            <w:r w:rsidRPr="00DF4CE5">
              <w:rPr>
                <w:rFonts w:ascii="Cambria" w:hAnsi="Cambria" w:cs="Calibri"/>
                <w:lang w:val="it-IT"/>
              </w:rPr>
              <w:t>pojmova</w:t>
            </w:r>
            <w:proofErr w:type="spellEnd"/>
            <w:r w:rsidRPr="00DF4CE5">
              <w:rPr>
                <w:rFonts w:ascii="Cambria" w:hAnsi="Cambria" w:cs="Calibri"/>
                <w:lang w:val="it-IT"/>
              </w:rPr>
              <w:t xml:space="preserve"> i </w:t>
            </w:r>
            <w:proofErr w:type="spellStart"/>
            <w:r w:rsidRPr="00DF4CE5">
              <w:rPr>
                <w:rFonts w:ascii="Cambria" w:hAnsi="Cambria" w:cs="Calibri"/>
                <w:lang w:val="it-IT"/>
              </w:rPr>
              <w:t>teza</w:t>
            </w:r>
            <w:proofErr w:type="spellEnd"/>
            <w:r w:rsidRPr="00DF4CE5">
              <w:rPr>
                <w:rFonts w:ascii="Cambria" w:hAnsi="Cambria" w:cs="Calibri"/>
                <w:lang w:val="it-IT"/>
              </w:rPr>
              <w:t xml:space="preserve"> </w:t>
            </w:r>
            <w:proofErr w:type="spellStart"/>
            <w:r w:rsidRPr="00DF4CE5">
              <w:rPr>
                <w:rFonts w:ascii="Cambria" w:hAnsi="Cambria" w:cs="Calibri"/>
                <w:lang w:val="it-IT"/>
              </w:rPr>
              <w:t>uz</w:t>
            </w:r>
            <w:proofErr w:type="spellEnd"/>
            <w:r w:rsidRPr="00DF4CE5">
              <w:rPr>
                <w:rFonts w:ascii="Cambria" w:hAnsi="Cambria" w:cs="Calibri"/>
                <w:lang w:val="it-IT"/>
              </w:rPr>
              <w:t xml:space="preserve"> </w:t>
            </w:r>
            <w:proofErr w:type="spellStart"/>
            <w:r w:rsidRPr="00DF4CE5">
              <w:rPr>
                <w:rFonts w:ascii="Cambria" w:hAnsi="Cambria" w:cs="Calibri"/>
                <w:lang w:val="it-IT"/>
              </w:rPr>
              <w:t>kritičku</w:t>
            </w:r>
            <w:proofErr w:type="spellEnd"/>
            <w:r w:rsidRPr="00DF4CE5">
              <w:rPr>
                <w:rFonts w:ascii="Cambria" w:hAnsi="Cambria" w:cs="Calibri"/>
                <w:lang w:val="it-IT"/>
              </w:rPr>
              <w:t xml:space="preserve"> </w:t>
            </w:r>
            <w:proofErr w:type="spellStart"/>
            <w:r w:rsidRPr="00DF4CE5">
              <w:rPr>
                <w:rFonts w:ascii="Cambria" w:hAnsi="Cambria" w:cs="Calibri"/>
                <w:lang w:val="it-IT"/>
              </w:rPr>
              <w:t>procjenu</w:t>
            </w:r>
            <w:proofErr w:type="spellEnd"/>
            <w:r w:rsidRPr="00DF4CE5">
              <w:rPr>
                <w:rFonts w:ascii="Cambria" w:hAnsi="Cambria" w:cs="Calibri"/>
                <w:lang w:val="it-IT"/>
              </w:rPr>
              <w:t xml:space="preserve"> rada (4%)</w:t>
            </w:r>
          </w:p>
          <w:p w14:paraId="5F21A860" w14:textId="77777777" w:rsidR="00F50454" w:rsidRPr="00DF4CE5" w:rsidRDefault="00F50454" w:rsidP="00891E8C">
            <w:pPr>
              <w:spacing w:after="0" w:line="240" w:lineRule="auto"/>
              <w:rPr>
                <w:rFonts w:ascii="Cambria" w:hAnsi="Cambria" w:cs="Calibri"/>
                <w:lang w:val="it-IT"/>
              </w:rPr>
            </w:pPr>
            <w:r w:rsidRPr="00DF4CE5">
              <w:rPr>
                <w:rFonts w:ascii="Cambria" w:hAnsi="Cambria" w:cs="Calibri"/>
                <w:lang w:val="it-IT"/>
              </w:rPr>
              <w:t xml:space="preserve">Elementi </w:t>
            </w:r>
            <w:proofErr w:type="spellStart"/>
            <w:r w:rsidRPr="00DF4CE5">
              <w:rPr>
                <w:rFonts w:ascii="Cambria" w:hAnsi="Cambria" w:cs="Calibri"/>
                <w:lang w:val="it-IT"/>
              </w:rPr>
              <w:t>ocjenjivanja</w:t>
            </w:r>
            <w:proofErr w:type="spellEnd"/>
            <w:r w:rsidRPr="00DF4CE5">
              <w:rPr>
                <w:rFonts w:ascii="Cambria" w:hAnsi="Cambria" w:cs="Calibri"/>
                <w:lang w:val="it-IT"/>
              </w:rPr>
              <w:t xml:space="preserve"> </w:t>
            </w:r>
            <w:proofErr w:type="spellStart"/>
            <w:r w:rsidRPr="00DF4CE5">
              <w:rPr>
                <w:rFonts w:ascii="Cambria" w:hAnsi="Cambria" w:cs="Calibri"/>
                <w:lang w:val="it-IT"/>
              </w:rPr>
              <w:t>izloženog</w:t>
            </w:r>
            <w:proofErr w:type="spellEnd"/>
            <w:r w:rsidRPr="00DF4CE5">
              <w:rPr>
                <w:rFonts w:ascii="Cambria" w:hAnsi="Cambria" w:cs="Calibri"/>
                <w:lang w:val="it-IT"/>
              </w:rPr>
              <w:t xml:space="preserve"> (10%) </w:t>
            </w:r>
            <w:proofErr w:type="spellStart"/>
            <w:r w:rsidRPr="00DF4CE5">
              <w:rPr>
                <w:rFonts w:ascii="Cambria" w:hAnsi="Cambria" w:cs="Calibri"/>
                <w:lang w:val="it-IT"/>
              </w:rPr>
              <w:t>individualnog</w:t>
            </w:r>
            <w:proofErr w:type="spellEnd"/>
            <w:r w:rsidRPr="00DF4CE5">
              <w:rPr>
                <w:rFonts w:ascii="Cambria" w:hAnsi="Cambria" w:cs="Calibri"/>
                <w:lang w:val="it-IT"/>
              </w:rPr>
              <w:t xml:space="preserve"> </w:t>
            </w:r>
            <w:proofErr w:type="spellStart"/>
            <w:r w:rsidRPr="00DF4CE5">
              <w:rPr>
                <w:rFonts w:ascii="Cambria" w:hAnsi="Cambria" w:cs="Calibri"/>
                <w:lang w:val="it-IT"/>
              </w:rPr>
              <w:t>istraživačkog</w:t>
            </w:r>
            <w:proofErr w:type="spellEnd"/>
            <w:r w:rsidRPr="00DF4CE5">
              <w:rPr>
                <w:rFonts w:ascii="Cambria" w:hAnsi="Cambria" w:cs="Calibri"/>
                <w:lang w:val="it-IT"/>
              </w:rPr>
              <w:t xml:space="preserve"> rada:</w:t>
            </w:r>
          </w:p>
          <w:p w14:paraId="29454C35" w14:textId="77777777" w:rsidR="00F50454" w:rsidRPr="00DF4CE5" w:rsidRDefault="00F50454" w:rsidP="00891E8C">
            <w:pPr>
              <w:spacing w:after="0" w:line="240" w:lineRule="auto"/>
              <w:rPr>
                <w:rFonts w:ascii="Cambria" w:hAnsi="Cambria" w:cs="Calibri"/>
                <w:lang w:val="it-IT"/>
              </w:rPr>
            </w:pPr>
            <w:r w:rsidRPr="00DF4CE5">
              <w:rPr>
                <w:rFonts w:ascii="Cambria" w:hAnsi="Cambria" w:cs="Calibri"/>
                <w:lang w:val="it-IT"/>
              </w:rPr>
              <w:t xml:space="preserve">- </w:t>
            </w:r>
            <w:proofErr w:type="spellStart"/>
            <w:r w:rsidRPr="00DF4CE5">
              <w:rPr>
                <w:rFonts w:ascii="Cambria" w:hAnsi="Cambria" w:cs="Calibri"/>
                <w:lang w:val="it-IT"/>
              </w:rPr>
              <w:t>Kreativnost</w:t>
            </w:r>
            <w:proofErr w:type="spellEnd"/>
            <w:r w:rsidRPr="00DF4CE5">
              <w:rPr>
                <w:rFonts w:ascii="Cambria" w:hAnsi="Cambria" w:cs="Calibri"/>
                <w:lang w:val="it-IT"/>
              </w:rPr>
              <w:t xml:space="preserve"> u </w:t>
            </w:r>
            <w:proofErr w:type="spellStart"/>
            <w:r w:rsidRPr="00DF4CE5">
              <w:rPr>
                <w:rFonts w:ascii="Cambria" w:hAnsi="Cambria" w:cs="Calibri"/>
                <w:lang w:val="it-IT"/>
              </w:rPr>
              <w:t>izlaganju</w:t>
            </w:r>
            <w:proofErr w:type="spellEnd"/>
            <w:r w:rsidRPr="00DF4CE5">
              <w:rPr>
                <w:rFonts w:ascii="Cambria" w:hAnsi="Cambria" w:cs="Calibri"/>
                <w:lang w:val="it-IT"/>
              </w:rPr>
              <w:t xml:space="preserve"> (2%)</w:t>
            </w:r>
          </w:p>
          <w:p w14:paraId="62896538" w14:textId="77777777" w:rsidR="00F50454" w:rsidRPr="00DF4CE5" w:rsidRDefault="00F50454" w:rsidP="00891E8C">
            <w:pPr>
              <w:spacing w:after="0" w:line="240" w:lineRule="auto"/>
              <w:rPr>
                <w:rFonts w:ascii="Cambria" w:hAnsi="Cambria" w:cs="Calibri"/>
                <w:lang w:val="it-IT"/>
              </w:rPr>
            </w:pPr>
            <w:r w:rsidRPr="00DF4CE5">
              <w:rPr>
                <w:rFonts w:ascii="Cambria" w:hAnsi="Cambria" w:cs="Calibri"/>
                <w:lang w:val="it-IT"/>
              </w:rPr>
              <w:t xml:space="preserve">- </w:t>
            </w:r>
            <w:proofErr w:type="spellStart"/>
            <w:r w:rsidRPr="00DF4CE5">
              <w:rPr>
                <w:rFonts w:ascii="Cambria" w:hAnsi="Cambria" w:cs="Calibri"/>
                <w:lang w:val="it-IT"/>
              </w:rPr>
              <w:t>Kvaliteta</w:t>
            </w:r>
            <w:proofErr w:type="spellEnd"/>
            <w:r w:rsidRPr="00DF4CE5">
              <w:rPr>
                <w:rFonts w:ascii="Cambria" w:hAnsi="Cambria" w:cs="Calibri"/>
                <w:lang w:val="it-IT"/>
              </w:rPr>
              <w:t xml:space="preserve"> </w:t>
            </w:r>
            <w:proofErr w:type="spellStart"/>
            <w:r w:rsidRPr="00DF4CE5">
              <w:rPr>
                <w:rFonts w:ascii="Cambria" w:hAnsi="Cambria" w:cs="Calibri"/>
                <w:lang w:val="it-IT"/>
              </w:rPr>
              <w:t>verbalne</w:t>
            </w:r>
            <w:proofErr w:type="spellEnd"/>
            <w:r w:rsidRPr="00DF4CE5">
              <w:rPr>
                <w:rFonts w:ascii="Cambria" w:hAnsi="Cambria" w:cs="Calibri"/>
                <w:lang w:val="it-IT"/>
              </w:rPr>
              <w:t xml:space="preserve"> i </w:t>
            </w:r>
            <w:proofErr w:type="spellStart"/>
            <w:r w:rsidRPr="00DF4CE5">
              <w:rPr>
                <w:rFonts w:ascii="Cambria" w:hAnsi="Cambria" w:cs="Calibri"/>
                <w:lang w:val="it-IT"/>
              </w:rPr>
              <w:t>neverbalne</w:t>
            </w:r>
            <w:proofErr w:type="spellEnd"/>
            <w:r w:rsidRPr="00DF4CE5">
              <w:rPr>
                <w:rFonts w:ascii="Cambria" w:hAnsi="Cambria" w:cs="Calibri"/>
                <w:lang w:val="it-IT"/>
              </w:rPr>
              <w:t xml:space="preserve"> </w:t>
            </w:r>
            <w:proofErr w:type="spellStart"/>
            <w:r w:rsidRPr="00DF4CE5">
              <w:rPr>
                <w:rFonts w:ascii="Cambria" w:hAnsi="Cambria" w:cs="Calibri"/>
                <w:lang w:val="it-IT"/>
              </w:rPr>
              <w:t>komunikacije</w:t>
            </w:r>
            <w:proofErr w:type="spellEnd"/>
            <w:r w:rsidRPr="00DF4CE5">
              <w:rPr>
                <w:rFonts w:ascii="Cambria" w:hAnsi="Cambria" w:cs="Calibri"/>
                <w:lang w:val="it-IT"/>
              </w:rPr>
              <w:t xml:space="preserve"> (4%)</w:t>
            </w:r>
          </w:p>
          <w:p w14:paraId="4BFCF8A0" w14:textId="77777777" w:rsidR="00F50454" w:rsidRPr="00DF4CE5" w:rsidRDefault="00F50454" w:rsidP="00891E8C">
            <w:pPr>
              <w:spacing w:after="0" w:line="240" w:lineRule="auto"/>
              <w:rPr>
                <w:rFonts w:ascii="Cambria" w:hAnsi="Cambria" w:cs="Calibri"/>
                <w:lang w:val="it-IT"/>
              </w:rPr>
            </w:pPr>
            <w:r w:rsidRPr="00DF4CE5">
              <w:rPr>
                <w:rFonts w:ascii="Cambria" w:hAnsi="Cambria" w:cs="Calibri"/>
                <w:lang w:val="it-IT"/>
              </w:rPr>
              <w:t xml:space="preserve">- </w:t>
            </w:r>
            <w:proofErr w:type="spellStart"/>
            <w:r w:rsidRPr="00DF4CE5">
              <w:rPr>
                <w:rFonts w:ascii="Cambria" w:hAnsi="Cambria" w:cs="Calibri"/>
                <w:lang w:val="it-IT"/>
              </w:rPr>
              <w:t>Kvaliteta</w:t>
            </w:r>
            <w:proofErr w:type="spellEnd"/>
            <w:r w:rsidRPr="00DF4CE5">
              <w:rPr>
                <w:rFonts w:ascii="Cambria" w:hAnsi="Cambria" w:cs="Calibri"/>
                <w:lang w:val="it-IT"/>
              </w:rPr>
              <w:t xml:space="preserve"> </w:t>
            </w:r>
            <w:proofErr w:type="spellStart"/>
            <w:r w:rsidRPr="00DF4CE5">
              <w:rPr>
                <w:rFonts w:ascii="Cambria" w:hAnsi="Cambria" w:cs="Calibri"/>
                <w:lang w:val="it-IT"/>
              </w:rPr>
              <w:t>interakcije</w:t>
            </w:r>
            <w:proofErr w:type="spellEnd"/>
            <w:r w:rsidRPr="00DF4CE5">
              <w:rPr>
                <w:rFonts w:ascii="Cambria" w:hAnsi="Cambria" w:cs="Calibri"/>
                <w:lang w:val="it-IT"/>
              </w:rPr>
              <w:t xml:space="preserve"> s </w:t>
            </w:r>
            <w:proofErr w:type="spellStart"/>
            <w:r w:rsidRPr="00DF4CE5">
              <w:rPr>
                <w:rFonts w:ascii="Cambria" w:hAnsi="Cambria" w:cs="Calibri"/>
                <w:lang w:val="it-IT"/>
              </w:rPr>
              <w:t>publikom</w:t>
            </w:r>
            <w:proofErr w:type="spellEnd"/>
            <w:r w:rsidRPr="00DF4CE5">
              <w:rPr>
                <w:rFonts w:ascii="Cambria" w:hAnsi="Cambria" w:cs="Calibri"/>
                <w:lang w:val="it-IT"/>
              </w:rPr>
              <w:t xml:space="preserve"> (2%)</w:t>
            </w:r>
          </w:p>
          <w:p w14:paraId="42DADF73" w14:textId="77777777" w:rsidR="00F50454" w:rsidRPr="00DF4CE5" w:rsidRDefault="00F50454" w:rsidP="00891E8C">
            <w:pPr>
              <w:spacing w:after="0" w:line="240" w:lineRule="auto"/>
              <w:rPr>
                <w:rFonts w:ascii="Cambria" w:hAnsi="Cambria" w:cs="Calibri"/>
                <w:lang w:val="it-IT"/>
              </w:rPr>
            </w:pPr>
            <w:r w:rsidRPr="00DF4CE5">
              <w:rPr>
                <w:rFonts w:ascii="Cambria" w:hAnsi="Cambria" w:cs="Calibri"/>
                <w:lang w:val="it-IT"/>
              </w:rPr>
              <w:t xml:space="preserve">- </w:t>
            </w:r>
            <w:proofErr w:type="spellStart"/>
            <w:r w:rsidRPr="00DF4CE5">
              <w:rPr>
                <w:rFonts w:ascii="Cambria" w:hAnsi="Cambria" w:cs="Calibri"/>
                <w:lang w:val="it-IT"/>
              </w:rPr>
              <w:t>Korištenje</w:t>
            </w:r>
            <w:proofErr w:type="spellEnd"/>
            <w:r w:rsidRPr="00DF4CE5">
              <w:rPr>
                <w:rFonts w:ascii="Cambria" w:hAnsi="Cambria" w:cs="Calibri"/>
                <w:lang w:val="it-IT"/>
              </w:rPr>
              <w:t xml:space="preserve"> </w:t>
            </w:r>
            <w:proofErr w:type="spellStart"/>
            <w:r w:rsidRPr="00DF4CE5">
              <w:rPr>
                <w:rFonts w:ascii="Cambria" w:hAnsi="Cambria" w:cs="Calibri"/>
                <w:lang w:val="it-IT"/>
              </w:rPr>
              <w:t>digitalnih</w:t>
            </w:r>
            <w:proofErr w:type="spellEnd"/>
            <w:r w:rsidRPr="00DF4CE5">
              <w:rPr>
                <w:rFonts w:ascii="Cambria" w:hAnsi="Cambria" w:cs="Calibri"/>
                <w:lang w:val="it-IT"/>
              </w:rPr>
              <w:t xml:space="preserve"> i/ili </w:t>
            </w:r>
            <w:proofErr w:type="spellStart"/>
            <w:r w:rsidRPr="00DF4CE5">
              <w:rPr>
                <w:rFonts w:ascii="Cambria" w:hAnsi="Cambria" w:cs="Calibri"/>
                <w:lang w:val="it-IT"/>
              </w:rPr>
              <w:t>interaktivnih</w:t>
            </w:r>
            <w:proofErr w:type="spellEnd"/>
            <w:r w:rsidRPr="00DF4CE5">
              <w:rPr>
                <w:rFonts w:ascii="Cambria" w:hAnsi="Cambria" w:cs="Calibri"/>
                <w:lang w:val="it-IT"/>
              </w:rPr>
              <w:t xml:space="preserve"> </w:t>
            </w:r>
            <w:proofErr w:type="spellStart"/>
            <w:r w:rsidRPr="00DF4CE5">
              <w:rPr>
                <w:rFonts w:ascii="Cambria" w:hAnsi="Cambria" w:cs="Calibri"/>
                <w:lang w:val="it-IT"/>
              </w:rPr>
              <w:t>medija</w:t>
            </w:r>
            <w:proofErr w:type="spellEnd"/>
            <w:r w:rsidRPr="00DF4CE5">
              <w:rPr>
                <w:rFonts w:ascii="Cambria" w:hAnsi="Cambria" w:cs="Calibri"/>
                <w:lang w:val="it-IT"/>
              </w:rPr>
              <w:t xml:space="preserve"> (2%)</w:t>
            </w:r>
          </w:p>
          <w:p w14:paraId="61BB29FF" w14:textId="77777777" w:rsidR="00F50454" w:rsidRPr="00DF4CE5" w:rsidRDefault="00F50454" w:rsidP="00891E8C">
            <w:pPr>
              <w:spacing w:after="0" w:line="240" w:lineRule="auto"/>
              <w:rPr>
                <w:rFonts w:ascii="Cambria" w:hAnsi="Cambria" w:cs="Calibri"/>
                <w:lang w:val="it-IT"/>
              </w:rPr>
            </w:pPr>
            <w:r w:rsidRPr="00DF4CE5">
              <w:rPr>
                <w:rFonts w:ascii="Cambria" w:hAnsi="Cambria" w:cs="Calibri"/>
                <w:lang w:val="it-IT"/>
              </w:rPr>
              <w:t>Studenti/</w:t>
            </w:r>
            <w:proofErr w:type="spellStart"/>
            <w:r w:rsidRPr="00DF4CE5">
              <w:rPr>
                <w:rFonts w:ascii="Cambria" w:hAnsi="Cambria" w:cs="Calibri"/>
                <w:lang w:val="it-IT"/>
              </w:rPr>
              <w:t>studentice</w:t>
            </w:r>
            <w:proofErr w:type="spellEnd"/>
            <w:r w:rsidRPr="00DF4CE5">
              <w:rPr>
                <w:rFonts w:ascii="Cambria" w:hAnsi="Cambria" w:cs="Calibri"/>
                <w:lang w:val="it-IT"/>
              </w:rPr>
              <w:t xml:space="preserve"> </w:t>
            </w:r>
            <w:proofErr w:type="spellStart"/>
            <w:r w:rsidRPr="00DF4CE5">
              <w:rPr>
                <w:rFonts w:ascii="Cambria" w:hAnsi="Cambria" w:cs="Calibri"/>
                <w:lang w:val="it-IT"/>
              </w:rPr>
              <w:t>će</w:t>
            </w:r>
            <w:proofErr w:type="spellEnd"/>
            <w:r w:rsidRPr="00DF4CE5">
              <w:rPr>
                <w:rFonts w:ascii="Cambria" w:hAnsi="Cambria" w:cs="Calibri"/>
                <w:lang w:val="it-IT"/>
              </w:rPr>
              <w:t xml:space="preserve"> rad u </w:t>
            </w:r>
            <w:proofErr w:type="spellStart"/>
            <w:r w:rsidRPr="00DF4CE5">
              <w:rPr>
                <w:rFonts w:ascii="Cambria" w:hAnsi="Cambria" w:cs="Calibri"/>
                <w:lang w:val="it-IT"/>
              </w:rPr>
              <w:t>paru</w:t>
            </w:r>
            <w:proofErr w:type="spellEnd"/>
            <w:r w:rsidRPr="00DF4CE5">
              <w:rPr>
                <w:rFonts w:ascii="Cambria" w:hAnsi="Cambria" w:cs="Calibri"/>
                <w:lang w:val="it-IT"/>
              </w:rPr>
              <w:t xml:space="preserve"> </w:t>
            </w:r>
            <w:proofErr w:type="spellStart"/>
            <w:r w:rsidRPr="00DF4CE5">
              <w:rPr>
                <w:rFonts w:ascii="Cambria" w:hAnsi="Cambria" w:cs="Calibri"/>
                <w:lang w:val="it-IT"/>
              </w:rPr>
              <w:t>predstaviti</w:t>
            </w:r>
            <w:proofErr w:type="spellEnd"/>
            <w:r w:rsidRPr="00DF4CE5">
              <w:rPr>
                <w:rFonts w:ascii="Cambria" w:hAnsi="Cambria" w:cs="Calibri"/>
                <w:lang w:val="it-IT"/>
              </w:rPr>
              <w:t xml:space="preserve"> </w:t>
            </w:r>
            <w:proofErr w:type="spellStart"/>
            <w:r w:rsidRPr="00DF4CE5">
              <w:rPr>
                <w:rFonts w:ascii="Cambria" w:hAnsi="Cambria" w:cs="Calibri"/>
                <w:lang w:val="it-IT"/>
              </w:rPr>
              <w:t>pred</w:t>
            </w:r>
            <w:proofErr w:type="spellEnd"/>
            <w:r w:rsidRPr="00DF4CE5">
              <w:rPr>
                <w:rFonts w:ascii="Cambria" w:hAnsi="Cambria" w:cs="Calibri"/>
                <w:lang w:val="it-IT"/>
              </w:rPr>
              <w:t xml:space="preserve"> </w:t>
            </w:r>
            <w:proofErr w:type="spellStart"/>
            <w:r w:rsidRPr="00DF4CE5">
              <w:rPr>
                <w:rFonts w:ascii="Cambria" w:hAnsi="Cambria" w:cs="Calibri"/>
                <w:lang w:val="it-IT"/>
              </w:rPr>
              <w:t>skupinom</w:t>
            </w:r>
            <w:proofErr w:type="spellEnd"/>
            <w:r w:rsidRPr="00DF4CE5">
              <w:rPr>
                <w:rFonts w:ascii="Cambria" w:hAnsi="Cambria" w:cs="Calibri"/>
                <w:lang w:val="it-IT"/>
              </w:rPr>
              <w:t xml:space="preserve"> </w:t>
            </w:r>
            <w:proofErr w:type="spellStart"/>
            <w:r w:rsidRPr="00DF4CE5">
              <w:rPr>
                <w:rFonts w:ascii="Cambria" w:hAnsi="Cambria" w:cs="Calibri"/>
                <w:lang w:val="it-IT"/>
              </w:rPr>
              <w:t>studenata</w:t>
            </w:r>
            <w:proofErr w:type="spellEnd"/>
            <w:r w:rsidRPr="00DF4CE5">
              <w:rPr>
                <w:rFonts w:ascii="Cambria" w:hAnsi="Cambria" w:cs="Calibri"/>
                <w:lang w:val="it-IT"/>
              </w:rPr>
              <w:t xml:space="preserve"> (10%). </w:t>
            </w:r>
          </w:p>
          <w:p w14:paraId="64471911" w14:textId="77777777" w:rsidR="00F50454" w:rsidRPr="00DF4CE5" w:rsidRDefault="00F50454" w:rsidP="00891E8C">
            <w:pPr>
              <w:spacing w:after="0" w:line="240" w:lineRule="auto"/>
              <w:rPr>
                <w:rFonts w:ascii="Cambria" w:hAnsi="Cambria" w:cs="Calibri"/>
                <w:lang w:val="it-IT"/>
              </w:rPr>
            </w:pPr>
            <w:r w:rsidRPr="00DF4CE5">
              <w:rPr>
                <w:rFonts w:ascii="Cambria" w:hAnsi="Cambria" w:cs="Calibri"/>
                <w:lang w:val="it-IT"/>
              </w:rPr>
              <w:t xml:space="preserve">Elementi </w:t>
            </w:r>
            <w:proofErr w:type="spellStart"/>
            <w:r w:rsidRPr="00DF4CE5">
              <w:rPr>
                <w:rFonts w:ascii="Cambria" w:hAnsi="Cambria" w:cs="Calibri"/>
                <w:lang w:val="it-IT"/>
              </w:rPr>
              <w:t>ocjenjivanja</w:t>
            </w:r>
            <w:proofErr w:type="spellEnd"/>
            <w:r w:rsidRPr="00DF4CE5">
              <w:rPr>
                <w:rFonts w:ascii="Cambria" w:hAnsi="Cambria" w:cs="Calibri"/>
                <w:lang w:val="it-IT"/>
              </w:rPr>
              <w:t xml:space="preserve"> rada u </w:t>
            </w:r>
            <w:proofErr w:type="spellStart"/>
            <w:r w:rsidRPr="00DF4CE5">
              <w:rPr>
                <w:rFonts w:ascii="Cambria" w:hAnsi="Cambria" w:cs="Calibri"/>
                <w:lang w:val="it-IT"/>
              </w:rPr>
              <w:t>paru</w:t>
            </w:r>
            <w:proofErr w:type="spellEnd"/>
            <w:r w:rsidRPr="00DF4CE5">
              <w:rPr>
                <w:rFonts w:ascii="Cambria" w:hAnsi="Cambria" w:cs="Calibri"/>
                <w:lang w:val="it-IT"/>
              </w:rPr>
              <w:t>:</w:t>
            </w:r>
          </w:p>
          <w:p w14:paraId="16997D91" w14:textId="77777777" w:rsidR="00F50454" w:rsidRPr="00DF4CE5" w:rsidRDefault="00F50454" w:rsidP="00891E8C">
            <w:pPr>
              <w:spacing w:after="0" w:line="240" w:lineRule="auto"/>
              <w:rPr>
                <w:rFonts w:ascii="Cambria" w:hAnsi="Cambria" w:cs="Calibri"/>
                <w:lang w:val="it-IT"/>
              </w:rPr>
            </w:pPr>
            <w:r w:rsidRPr="00DF4CE5">
              <w:rPr>
                <w:rFonts w:ascii="Cambria" w:hAnsi="Cambria" w:cs="Calibri"/>
                <w:lang w:val="it-IT"/>
              </w:rPr>
              <w:t xml:space="preserve">- </w:t>
            </w:r>
            <w:proofErr w:type="spellStart"/>
            <w:r w:rsidRPr="00DF4CE5">
              <w:rPr>
                <w:rFonts w:ascii="Cambria" w:hAnsi="Cambria" w:cs="Calibri"/>
                <w:lang w:val="it-IT"/>
              </w:rPr>
              <w:t>Izbor</w:t>
            </w:r>
            <w:proofErr w:type="spellEnd"/>
            <w:r w:rsidRPr="00DF4CE5">
              <w:rPr>
                <w:rFonts w:ascii="Cambria" w:hAnsi="Cambria" w:cs="Calibri"/>
                <w:lang w:val="it-IT"/>
              </w:rPr>
              <w:t xml:space="preserve">, </w:t>
            </w:r>
            <w:proofErr w:type="spellStart"/>
            <w:r w:rsidRPr="00DF4CE5">
              <w:rPr>
                <w:rFonts w:ascii="Cambria" w:hAnsi="Cambria" w:cs="Calibri"/>
                <w:lang w:val="it-IT"/>
              </w:rPr>
              <w:t>prikaz</w:t>
            </w:r>
            <w:proofErr w:type="spellEnd"/>
            <w:r w:rsidRPr="00DF4CE5">
              <w:rPr>
                <w:rFonts w:ascii="Cambria" w:hAnsi="Cambria" w:cs="Calibri"/>
                <w:lang w:val="it-IT"/>
              </w:rPr>
              <w:t xml:space="preserve"> i </w:t>
            </w:r>
            <w:proofErr w:type="spellStart"/>
            <w:r w:rsidRPr="00DF4CE5">
              <w:rPr>
                <w:rFonts w:ascii="Cambria" w:hAnsi="Cambria" w:cs="Calibri"/>
                <w:lang w:val="it-IT"/>
              </w:rPr>
              <w:t>analiza</w:t>
            </w:r>
            <w:proofErr w:type="spellEnd"/>
            <w:r w:rsidRPr="00DF4CE5">
              <w:rPr>
                <w:rFonts w:ascii="Cambria" w:hAnsi="Cambria" w:cs="Calibri"/>
                <w:lang w:val="it-IT"/>
              </w:rPr>
              <w:t xml:space="preserve"> </w:t>
            </w:r>
            <w:proofErr w:type="spellStart"/>
            <w:r w:rsidRPr="00DF4CE5">
              <w:rPr>
                <w:rFonts w:ascii="Cambria" w:hAnsi="Cambria" w:cs="Calibri"/>
                <w:lang w:val="it-IT"/>
              </w:rPr>
              <w:t>relevantne</w:t>
            </w:r>
            <w:proofErr w:type="spellEnd"/>
            <w:r w:rsidRPr="00DF4CE5">
              <w:rPr>
                <w:rFonts w:ascii="Cambria" w:hAnsi="Cambria" w:cs="Calibri"/>
                <w:lang w:val="it-IT"/>
              </w:rPr>
              <w:t xml:space="preserve"> </w:t>
            </w:r>
            <w:proofErr w:type="spellStart"/>
            <w:r w:rsidRPr="00DF4CE5">
              <w:rPr>
                <w:rFonts w:ascii="Cambria" w:hAnsi="Cambria" w:cs="Calibri"/>
                <w:lang w:val="it-IT"/>
              </w:rPr>
              <w:t>problematike</w:t>
            </w:r>
            <w:proofErr w:type="spellEnd"/>
            <w:r w:rsidRPr="00DF4CE5">
              <w:rPr>
                <w:rFonts w:ascii="Cambria" w:hAnsi="Cambria" w:cs="Calibri"/>
                <w:lang w:val="it-IT"/>
              </w:rPr>
              <w:t xml:space="preserve"> </w:t>
            </w:r>
            <w:proofErr w:type="spellStart"/>
            <w:r w:rsidRPr="00DF4CE5">
              <w:rPr>
                <w:rFonts w:ascii="Cambria" w:hAnsi="Cambria" w:cs="Calibri"/>
                <w:lang w:val="it-IT"/>
              </w:rPr>
              <w:t>suvremene</w:t>
            </w:r>
            <w:proofErr w:type="spellEnd"/>
            <w:r w:rsidRPr="00DF4CE5">
              <w:rPr>
                <w:rFonts w:ascii="Cambria" w:hAnsi="Cambria" w:cs="Calibri"/>
                <w:lang w:val="it-IT"/>
              </w:rPr>
              <w:t xml:space="preserve"> </w:t>
            </w:r>
            <w:proofErr w:type="spellStart"/>
            <w:r w:rsidRPr="00DF4CE5">
              <w:rPr>
                <w:rFonts w:ascii="Cambria" w:hAnsi="Cambria" w:cs="Calibri"/>
                <w:lang w:val="it-IT"/>
              </w:rPr>
              <w:t>obitelji</w:t>
            </w:r>
            <w:proofErr w:type="spellEnd"/>
            <w:r w:rsidRPr="00DF4CE5">
              <w:rPr>
                <w:rFonts w:ascii="Cambria" w:hAnsi="Cambria" w:cs="Calibri"/>
                <w:lang w:val="it-IT"/>
              </w:rPr>
              <w:t xml:space="preserve"> (4%)</w:t>
            </w:r>
          </w:p>
          <w:p w14:paraId="1972D5BB" w14:textId="77777777" w:rsidR="00F50454" w:rsidRPr="00DF4CE5" w:rsidRDefault="00F50454" w:rsidP="00891E8C">
            <w:pPr>
              <w:spacing w:after="0" w:line="240" w:lineRule="auto"/>
              <w:rPr>
                <w:rFonts w:ascii="Cambria" w:hAnsi="Cambria" w:cs="Calibri"/>
                <w:lang w:val="it-IT"/>
              </w:rPr>
            </w:pPr>
            <w:r w:rsidRPr="00DF4CE5">
              <w:rPr>
                <w:rFonts w:ascii="Cambria" w:hAnsi="Cambria" w:cs="Calibri"/>
                <w:lang w:val="it-IT"/>
              </w:rPr>
              <w:t xml:space="preserve">- </w:t>
            </w:r>
            <w:proofErr w:type="spellStart"/>
            <w:r w:rsidRPr="00DF4CE5">
              <w:rPr>
                <w:rFonts w:ascii="Cambria" w:hAnsi="Cambria" w:cs="Calibri"/>
                <w:lang w:val="it-IT"/>
              </w:rPr>
              <w:t>Kvaliteta</w:t>
            </w:r>
            <w:proofErr w:type="spellEnd"/>
            <w:r w:rsidRPr="00DF4CE5">
              <w:rPr>
                <w:rFonts w:ascii="Cambria" w:hAnsi="Cambria" w:cs="Calibri"/>
                <w:lang w:val="it-IT"/>
              </w:rPr>
              <w:t xml:space="preserve"> </w:t>
            </w:r>
            <w:proofErr w:type="spellStart"/>
            <w:r w:rsidRPr="00DF4CE5">
              <w:rPr>
                <w:rFonts w:ascii="Cambria" w:hAnsi="Cambria" w:cs="Calibri"/>
                <w:lang w:val="it-IT"/>
              </w:rPr>
              <w:t>verbalne</w:t>
            </w:r>
            <w:proofErr w:type="spellEnd"/>
            <w:r w:rsidRPr="00DF4CE5">
              <w:rPr>
                <w:rFonts w:ascii="Cambria" w:hAnsi="Cambria" w:cs="Calibri"/>
                <w:lang w:val="it-IT"/>
              </w:rPr>
              <w:t xml:space="preserve"> i </w:t>
            </w:r>
            <w:proofErr w:type="spellStart"/>
            <w:r w:rsidRPr="00DF4CE5">
              <w:rPr>
                <w:rFonts w:ascii="Cambria" w:hAnsi="Cambria" w:cs="Calibri"/>
                <w:lang w:val="it-IT"/>
              </w:rPr>
              <w:t>neverbalne</w:t>
            </w:r>
            <w:proofErr w:type="spellEnd"/>
            <w:r w:rsidRPr="00DF4CE5">
              <w:rPr>
                <w:rFonts w:ascii="Cambria" w:hAnsi="Cambria" w:cs="Calibri"/>
                <w:lang w:val="it-IT"/>
              </w:rPr>
              <w:t xml:space="preserve"> </w:t>
            </w:r>
            <w:proofErr w:type="spellStart"/>
            <w:r w:rsidRPr="00DF4CE5">
              <w:rPr>
                <w:rFonts w:ascii="Cambria" w:hAnsi="Cambria" w:cs="Calibri"/>
                <w:lang w:val="it-IT"/>
              </w:rPr>
              <w:t>komunikacije</w:t>
            </w:r>
            <w:proofErr w:type="spellEnd"/>
            <w:r w:rsidRPr="00DF4CE5">
              <w:rPr>
                <w:rFonts w:ascii="Cambria" w:hAnsi="Cambria" w:cs="Calibri"/>
                <w:lang w:val="it-IT"/>
              </w:rPr>
              <w:t xml:space="preserve"> (6%)</w:t>
            </w:r>
          </w:p>
        </w:tc>
      </w:tr>
      <w:tr w:rsidR="00F50454" w:rsidRPr="00D0399C" w14:paraId="064FF3B8" w14:textId="77777777" w:rsidTr="00891E8C">
        <w:tc>
          <w:tcPr>
            <w:tcW w:w="26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3B66993" w14:textId="77777777" w:rsidR="00F50454" w:rsidRPr="00DF4CE5" w:rsidRDefault="00F50454" w:rsidP="00891E8C">
            <w:pPr>
              <w:spacing w:after="0" w:line="240" w:lineRule="auto"/>
              <w:rPr>
                <w:rFonts w:ascii="Cambria" w:hAnsi="Cambria" w:cs="Calibri"/>
              </w:rPr>
            </w:pPr>
            <w:proofErr w:type="spellStart"/>
            <w:r w:rsidRPr="00DF4CE5">
              <w:rPr>
                <w:rFonts w:ascii="Cambria" w:hAnsi="Cambria" w:cs="Calibri"/>
              </w:rPr>
              <w:t>Studentske</w:t>
            </w:r>
            <w:proofErr w:type="spellEnd"/>
            <w:r w:rsidRPr="00DF4CE5">
              <w:rPr>
                <w:rFonts w:ascii="Cambria" w:hAnsi="Cambria" w:cs="Calibri"/>
              </w:rPr>
              <w:t xml:space="preserve"> </w:t>
            </w:r>
            <w:proofErr w:type="spellStart"/>
            <w:r w:rsidRPr="00DF4CE5">
              <w:rPr>
                <w:rFonts w:ascii="Cambria" w:hAnsi="Cambria" w:cs="Calibri"/>
              </w:rPr>
              <w:t>obveze</w:t>
            </w:r>
            <w:proofErr w:type="spellEnd"/>
          </w:p>
        </w:tc>
        <w:tc>
          <w:tcPr>
            <w:tcW w:w="6731"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7FCF382" w14:textId="77777777" w:rsidR="00F50454" w:rsidRPr="00DF4CE5" w:rsidRDefault="00F50454" w:rsidP="00891E8C">
            <w:pPr>
              <w:spacing w:after="0" w:line="240" w:lineRule="auto"/>
              <w:rPr>
                <w:rFonts w:ascii="Cambria" w:hAnsi="Cambria" w:cs="Calibri"/>
                <w:lang w:val="it-IT"/>
              </w:rPr>
            </w:pPr>
            <w:r w:rsidRPr="00DF4CE5">
              <w:rPr>
                <w:rFonts w:ascii="Cambria" w:hAnsi="Cambria" w:cs="Calibri"/>
                <w:lang w:val="it-IT"/>
              </w:rPr>
              <w:t xml:space="preserve">Da </w:t>
            </w:r>
            <w:proofErr w:type="spellStart"/>
            <w:r w:rsidRPr="00DF4CE5">
              <w:rPr>
                <w:rFonts w:ascii="Cambria" w:hAnsi="Cambria" w:cs="Calibri"/>
                <w:lang w:val="it-IT"/>
              </w:rPr>
              <w:t>položi</w:t>
            </w:r>
            <w:proofErr w:type="spellEnd"/>
            <w:r w:rsidRPr="00DF4CE5">
              <w:rPr>
                <w:rFonts w:ascii="Cambria" w:hAnsi="Cambria" w:cs="Calibri"/>
                <w:lang w:val="it-IT"/>
              </w:rPr>
              <w:t xml:space="preserve"> </w:t>
            </w:r>
            <w:proofErr w:type="spellStart"/>
            <w:r w:rsidRPr="00DF4CE5">
              <w:rPr>
                <w:rFonts w:ascii="Cambria" w:hAnsi="Cambria" w:cs="Calibri"/>
                <w:lang w:val="it-IT"/>
              </w:rPr>
              <w:t>kolegij</w:t>
            </w:r>
            <w:proofErr w:type="spellEnd"/>
            <w:r w:rsidRPr="00DF4CE5">
              <w:rPr>
                <w:rFonts w:ascii="Cambria" w:hAnsi="Cambria" w:cs="Calibri"/>
                <w:lang w:val="it-IT"/>
              </w:rPr>
              <w:t xml:space="preserve">, </w:t>
            </w:r>
            <w:proofErr w:type="spellStart"/>
            <w:r w:rsidRPr="00DF4CE5">
              <w:rPr>
                <w:rFonts w:ascii="Cambria" w:hAnsi="Cambria" w:cs="Calibri"/>
                <w:lang w:val="it-IT"/>
              </w:rPr>
              <w:t>student</w:t>
            </w:r>
            <w:proofErr w:type="spellEnd"/>
            <w:r w:rsidRPr="00DF4CE5">
              <w:rPr>
                <w:rFonts w:ascii="Cambria" w:hAnsi="Cambria" w:cs="Calibri"/>
                <w:lang w:val="it-IT"/>
              </w:rPr>
              <w:t>/</w:t>
            </w:r>
            <w:proofErr w:type="spellStart"/>
            <w:r w:rsidRPr="00DF4CE5">
              <w:rPr>
                <w:rFonts w:ascii="Cambria" w:hAnsi="Cambria" w:cs="Calibri"/>
                <w:lang w:val="it-IT"/>
              </w:rPr>
              <w:t>studentica</w:t>
            </w:r>
            <w:proofErr w:type="spellEnd"/>
            <w:r w:rsidRPr="00DF4CE5">
              <w:rPr>
                <w:rFonts w:ascii="Cambria" w:hAnsi="Cambria" w:cs="Calibri"/>
                <w:lang w:val="it-IT"/>
              </w:rPr>
              <w:t xml:space="preserve"> mora: </w:t>
            </w:r>
          </w:p>
          <w:p w14:paraId="3E16AA87" w14:textId="77777777" w:rsidR="00F50454" w:rsidRPr="00DF4CE5" w:rsidRDefault="00F50454" w:rsidP="00891E8C">
            <w:pPr>
              <w:spacing w:after="0" w:line="240" w:lineRule="auto"/>
              <w:rPr>
                <w:rFonts w:ascii="Cambria" w:hAnsi="Cambria" w:cs="Calibri"/>
                <w:lang w:val="it-IT"/>
              </w:rPr>
            </w:pPr>
            <w:r w:rsidRPr="00DF4CE5">
              <w:rPr>
                <w:rFonts w:ascii="Cambria" w:hAnsi="Cambria" w:cs="Calibri"/>
                <w:lang w:val="it-IT"/>
              </w:rPr>
              <w:t xml:space="preserve">1. </w:t>
            </w:r>
            <w:proofErr w:type="spellStart"/>
            <w:r w:rsidRPr="00DF4CE5">
              <w:rPr>
                <w:rFonts w:ascii="Cambria" w:hAnsi="Cambria" w:cs="Calibri"/>
                <w:lang w:val="it-IT"/>
              </w:rPr>
              <w:t>aktivno</w:t>
            </w:r>
            <w:proofErr w:type="spellEnd"/>
            <w:r w:rsidRPr="00DF4CE5">
              <w:rPr>
                <w:rFonts w:ascii="Cambria" w:hAnsi="Cambria" w:cs="Calibri"/>
                <w:lang w:val="it-IT"/>
              </w:rPr>
              <w:t xml:space="preserve"> </w:t>
            </w:r>
            <w:proofErr w:type="spellStart"/>
            <w:r w:rsidRPr="00DF4CE5">
              <w:rPr>
                <w:rFonts w:ascii="Cambria" w:hAnsi="Cambria" w:cs="Calibri"/>
                <w:lang w:val="it-IT"/>
              </w:rPr>
              <w:t>sudjelovati</w:t>
            </w:r>
            <w:proofErr w:type="spellEnd"/>
            <w:r w:rsidRPr="00DF4CE5">
              <w:rPr>
                <w:rFonts w:ascii="Cambria" w:hAnsi="Cambria" w:cs="Calibri"/>
                <w:lang w:val="it-IT"/>
              </w:rPr>
              <w:t xml:space="preserve"> u </w:t>
            </w:r>
            <w:proofErr w:type="spellStart"/>
            <w:r w:rsidRPr="00DF4CE5">
              <w:rPr>
                <w:rFonts w:ascii="Cambria" w:hAnsi="Cambria" w:cs="Calibri"/>
                <w:lang w:val="it-IT"/>
              </w:rPr>
              <w:t>interaktivnim</w:t>
            </w:r>
            <w:proofErr w:type="spellEnd"/>
            <w:r w:rsidRPr="00DF4CE5">
              <w:rPr>
                <w:rFonts w:ascii="Cambria" w:hAnsi="Cambria" w:cs="Calibri"/>
                <w:lang w:val="it-IT"/>
              </w:rPr>
              <w:t xml:space="preserve"> </w:t>
            </w:r>
            <w:proofErr w:type="spellStart"/>
            <w:r w:rsidRPr="00DF4CE5">
              <w:rPr>
                <w:rFonts w:ascii="Cambria" w:hAnsi="Cambria" w:cs="Calibri"/>
                <w:lang w:val="it-IT"/>
              </w:rPr>
              <w:t>aktivnostima</w:t>
            </w:r>
            <w:proofErr w:type="spellEnd"/>
            <w:r w:rsidRPr="00DF4CE5">
              <w:rPr>
                <w:rFonts w:ascii="Cambria" w:hAnsi="Cambria" w:cs="Calibri"/>
                <w:lang w:val="it-IT"/>
              </w:rPr>
              <w:t xml:space="preserve"> </w:t>
            </w:r>
            <w:proofErr w:type="spellStart"/>
            <w:r w:rsidRPr="00DF4CE5">
              <w:rPr>
                <w:rFonts w:ascii="Cambria" w:hAnsi="Cambria" w:cs="Calibri"/>
                <w:lang w:val="it-IT"/>
              </w:rPr>
              <w:t>na</w:t>
            </w:r>
            <w:proofErr w:type="spellEnd"/>
            <w:r w:rsidRPr="00DF4CE5">
              <w:rPr>
                <w:rFonts w:ascii="Cambria" w:hAnsi="Cambria" w:cs="Calibri"/>
                <w:lang w:val="it-IT"/>
              </w:rPr>
              <w:t xml:space="preserve"> </w:t>
            </w:r>
            <w:proofErr w:type="spellStart"/>
            <w:r w:rsidRPr="00DF4CE5">
              <w:rPr>
                <w:rFonts w:ascii="Cambria" w:hAnsi="Cambria" w:cs="Calibri"/>
                <w:lang w:val="it-IT"/>
              </w:rPr>
              <w:t>nastavi</w:t>
            </w:r>
            <w:proofErr w:type="spellEnd"/>
            <w:r w:rsidRPr="00DF4CE5">
              <w:rPr>
                <w:rFonts w:ascii="Cambria" w:hAnsi="Cambria" w:cs="Calibri"/>
                <w:lang w:val="it-IT"/>
              </w:rPr>
              <w:t xml:space="preserve"> (</w:t>
            </w:r>
            <w:proofErr w:type="spellStart"/>
            <w:r w:rsidRPr="00DF4CE5">
              <w:rPr>
                <w:rFonts w:ascii="Cambria" w:hAnsi="Cambria" w:cs="Calibri"/>
                <w:lang w:val="it-IT"/>
              </w:rPr>
              <w:t>pedagoške</w:t>
            </w:r>
            <w:proofErr w:type="spellEnd"/>
            <w:r w:rsidRPr="00DF4CE5">
              <w:rPr>
                <w:rFonts w:ascii="Cambria" w:hAnsi="Cambria" w:cs="Calibri"/>
                <w:lang w:val="it-IT"/>
              </w:rPr>
              <w:t xml:space="preserve"> </w:t>
            </w:r>
            <w:proofErr w:type="spellStart"/>
            <w:r w:rsidRPr="00DF4CE5">
              <w:rPr>
                <w:rFonts w:ascii="Cambria" w:hAnsi="Cambria" w:cs="Calibri"/>
                <w:lang w:val="it-IT"/>
              </w:rPr>
              <w:t>radionice</w:t>
            </w:r>
            <w:proofErr w:type="spellEnd"/>
            <w:r w:rsidRPr="00DF4CE5">
              <w:rPr>
                <w:rFonts w:ascii="Cambria" w:hAnsi="Cambria" w:cs="Calibri"/>
                <w:lang w:val="it-IT"/>
              </w:rPr>
              <w:t xml:space="preserve">, </w:t>
            </w:r>
            <w:proofErr w:type="spellStart"/>
            <w:r w:rsidRPr="00DF4CE5">
              <w:rPr>
                <w:rFonts w:ascii="Cambria" w:hAnsi="Cambria" w:cs="Calibri"/>
                <w:lang w:val="it-IT"/>
              </w:rPr>
              <w:t>vježbe</w:t>
            </w:r>
            <w:proofErr w:type="spellEnd"/>
            <w:r w:rsidRPr="00DF4CE5">
              <w:rPr>
                <w:rFonts w:ascii="Cambria" w:hAnsi="Cambria" w:cs="Calibri"/>
                <w:lang w:val="it-IT"/>
              </w:rPr>
              <w:t xml:space="preserve">, </w:t>
            </w:r>
            <w:proofErr w:type="spellStart"/>
            <w:r w:rsidRPr="00DF4CE5">
              <w:rPr>
                <w:rFonts w:ascii="Cambria" w:hAnsi="Cambria" w:cs="Calibri"/>
                <w:lang w:val="it-IT"/>
              </w:rPr>
              <w:t>igre</w:t>
            </w:r>
            <w:proofErr w:type="spellEnd"/>
            <w:r w:rsidRPr="00DF4CE5">
              <w:rPr>
                <w:rFonts w:ascii="Cambria" w:hAnsi="Cambria" w:cs="Calibri"/>
                <w:lang w:val="it-IT"/>
              </w:rPr>
              <w:t xml:space="preserve"> i </w:t>
            </w:r>
            <w:proofErr w:type="spellStart"/>
            <w:r w:rsidRPr="00DF4CE5">
              <w:rPr>
                <w:rFonts w:ascii="Cambria" w:hAnsi="Cambria" w:cs="Calibri"/>
                <w:lang w:val="it-IT"/>
              </w:rPr>
              <w:t>sl</w:t>
            </w:r>
            <w:proofErr w:type="spellEnd"/>
            <w:r w:rsidRPr="00DF4CE5">
              <w:rPr>
                <w:rFonts w:ascii="Cambria" w:hAnsi="Cambria" w:cs="Calibri"/>
                <w:lang w:val="it-IT"/>
              </w:rPr>
              <w:t>.)</w:t>
            </w:r>
          </w:p>
          <w:p w14:paraId="0698D0E4" w14:textId="77777777" w:rsidR="00F50454" w:rsidRPr="00DF4CE5" w:rsidRDefault="00F50454" w:rsidP="00891E8C">
            <w:pPr>
              <w:spacing w:after="0" w:line="240" w:lineRule="auto"/>
              <w:rPr>
                <w:rFonts w:ascii="Cambria" w:hAnsi="Cambria" w:cs="Calibri"/>
                <w:lang w:val="it-IT"/>
              </w:rPr>
            </w:pPr>
            <w:r w:rsidRPr="00DF4CE5">
              <w:rPr>
                <w:rFonts w:ascii="Cambria" w:hAnsi="Cambria" w:cs="Calibri"/>
                <w:lang w:val="it-IT"/>
              </w:rPr>
              <w:t xml:space="preserve">2. </w:t>
            </w:r>
            <w:proofErr w:type="spellStart"/>
            <w:r w:rsidRPr="00DF4CE5">
              <w:rPr>
                <w:rFonts w:ascii="Cambria" w:hAnsi="Cambria" w:cs="Calibri"/>
                <w:lang w:val="it-IT"/>
              </w:rPr>
              <w:t>izraditi</w:t>
            </w:r>
            <w:proofErr w:type="spellEnd"/>
            <w:r w:rsidRPr="00DF4CE5">
              <w:rPr>
                <w:rFonts w:ascii="Cambria" w:hAnsi="Cambria" w:cs="Calibri"/>
                <w:lang w:val="it-IT"/>
              </w:rPr>
              <w:t xml:space="preserve"> </w:t>
            </w:r>
            <w:proofErr w:type="spellStart"/>
            <w:r w:rsidRPr="00DF4CE5">
              <w:rPr>
                <w:rFonts w:ascii="Cambria" w:hAnsi="Cambria" w:cs="Calibri"/>
                <w:lang w:val="it-IT"/>
              </w:rPr>
              <w:t>individualni</w:t>
            </w:r>
            <w:proofErr w:type="spellEnd"/>
            <w:r w:rsidRPr="00DF4CE5">
              <w:rPr>
                <w:rFonts w:ascii="Cambria" w:hAnsi="Cambria" w:cs="Calibri"/>
                <w:lang w:val="it-IT"/>
              </w:rPr>
              <w:t xml:space="preserve"> </w:t>
            </w:r>
            <w:proofErr w:type="spellStart"/>
            <w:r w:rsidRPr="00DF4CE5">
              <w:rPr>
                <w:rFonts w:ascii="Cambria" w:hAnsi="Cambria" w:cs="Calibri"/>
                <w:lang w:val="it-IT"/>
              </w:rPr>
              <w:t>istraživački</w:t>
            </w:r>
            <w:proofErr w:type="spellEnd"/>
            <w:r w:rsidRPr="00DF4CE5">
              <w:rPr>
                <w:rFonts w:ascii="Cambria" w:hAnsi="Cambria" w:cs="Calibri"/>
                <w:lang w:val="it-IT"/>
              </w:rPr>
              <w:t xml:space="preserve"> rad (</w:t>
            </w:r>
            <w:proofErr w:type="spellStart"/>
            <w:r w:rsidRPr="00DF4CE5">
              <w:rPr>
                <w:rFonts w:ascii="Cambria" w:hAnsi="Cambria" w:cs="Calibri"/>
                <w:lang w:val="it-IT"/>
              </w:rPr>
              <w:t>kritički</w:t>
            </w:r>
            <w:proofErr w:type="spellEnd"/>
            <w:r w:rsidRPr="00DF4CE5">
              <w:rPr>
                <w:rFonts w:ascii="Cambria" w:hAnsi="Cambria" w:cs="Calibri"/>
                <w:lang w:val="it-IT"/>
              </w:rPr>
              <w:t xml:space="preserve"> </w:t>
            </w:r>
            <w:proofErr w:type="spellStart"/>
            <w:r w:rsidRPr="00DF4CE5">
              <w:rPr>
                <w:rFonts w:ascii="Cambria" w:hAnsi="Cambria" w:cs="Calibri"/>
                <w:lang w:val="it-IT"/>
              </w:rPr>
              <w:t>osvrt</w:t>
            </w:r>
            <w:proofErr w:type="spellEnd"/>
            <w:r w:rsidRPr="00DF4CE5">
              <w:rPr>
                <w:rFonts w:ascii="Cambria" w:hAnsi="Cambria" w:cs="Calibri"/>
                <w:lang w:val="it-IT"/>
              </w:rPr>
              <w:t xml:space="preserve"> </w:t>
            </w:r>
            <w:proofErr w:type="spellStart"/>
            <w:r w:rsidRPr="00DF4CE5">
              <w:rPr>
                <w:rFonts w:ascii="Cambria" w:hAnsi="Cambria" w:cs="Calibri"/>
                <w:lang w:val="it-IT"/>
              </w:rPr>
              <w:t>izabranog</w:t>
            </w:r>
            <w:proofErr w:type="spellEnd"/>
            <w:r w:rsidRPr="00DF4CE5">
              <w:rPr>
                <w:rFonts w:ascii="Cambria" w:hAnsi="Cambria" w:cs="Calibri"/>
                <w:lang w:val="it-IT"/>
              </w:rPr>
              <w:t xml:space="preserve"> </w:t>
            </w:r>
            <w:proofErr w:type="spellStart"/>
            <w:r w:rsidRPr="00DF4CE5">
              <w:rPr>
                <w:rFonts w:ascii="Cambria" w:hAnsi="Cambria" w:cs="Calibri"/>
                <w:lang w:val="it-IT"/>
              </w:rPr>
              <w:t>znanstvenog</w:t>
            </w:r>
            <w:proofErr w:type="spellEnd"/>
            <w:r w:rsidRPr="00DF4CE5">
              <w:rPr>
                <w:rFonts w:ascii="Cambria" w:hAnsi="Cambria" w:cs="Calibri"/>
                <w:lang w:val="it-IT"/>
              </w:rPr>
              <w:t xml:space="preserve"> ili </w:t>
            </w:r>
            <w:proofErr w:type="spellStart"/>
            <w:r w:rsidRPr="00DF4CE5">
              <w:rPr>
                <w:rFonts w:ascii="Cambria" w:hAnsi="Cambria" w:cs="Calibri"/>
                <w:lang w:val="it-IT"/>
              </w:rPr>
              <w:t>stručnog</w:t>
            </w:r>
            <w:proofErr w:type="spellEnd"/>
            <w:r w:rsidRPr="00DF4CE5">
              <w:rPr>
                <w:rFonts w:ascii="Cambria" w:hAnsi="Cambria" w:cs="Calibri"/>
                <w:lang w:val="it-IT"/>
              </w:rPr>
              <w:t xml:space="preserve"> </w:t>
            </w:r>
            <w:proofErr w:type="spellStart"/>
            <w:r w:rsidRPr="00DF4CE5">
              <w:rPr>
                <w:rFonts w:ascii="Cambria" w:hAnsi="Cambria" w:cs="Calibri"/>
                <w:lang w:val="it-IT"/>
              </w:rPr>
              <w:t>članka</w:t>
            </w:r>
            <w:proofErr w:type="spellEnd"/>
            <w:r w:rsidRPr="00DF4CE5">
              <w:rPr>
                <w:rFonts w:ascii="Cambria" w:hAnsi="Cambria" w:cs="Calibri"/>
                <w:lang w:val="it-IT"/>
              </w:rPr>
              <w:t xml:space="preserve"> o </w:t>
            </w:r>
            <w:proofErr w:type="spellStart"/>
            <w:r w:rsidRPr="00DF4CE5">
              <w:rPr>
                <w:rFonts w:ascii="Cambria" w:hAnsi="Cambria" w:cs="Calibri"/>
                <w:lang w:val="it-IT"/>
              </w:rPr>
              <w:t>problematikama</w:t>
            </w:r>
            <w:proofErr w:type="spellEnd"/>
            <w:r w:rsidRPr="00DF4CE5">
              <w:rPr>
                <w:rFonts w:ascii="Cambria" w:hAnsi="Cambria" w:cs="Calibri"/>
                <w:lang w:val="it-IT"/>
              </w:rPr>
              <w:t xml:space="preserve"> </w:t>
            </w:r>
            <w:proofErr w:type="spellStart"/>
            <w:r w:rsidRPr="00DF4CE5">
              <w:rPr>
                <w:rFonts w:ascii="Cambria" w:hAnsi="Cambria" w:cs="Calibri"/>
                <w:lang w:val="it-IT"/>
              </w:rPr>
              <w:t>suvremene</w:t>
            </w:r>
            <w:proofErr w:type="spellEnd"/>
            <w:r w:rsidRPr="00DF4CE5">
              <w:rPr>
                <w:rFonts w:ascii="Cambria" w:hAnsi="Cambria" w:cs="Calibri"/>
                <w:lang w:val="it-IT"/>
              </w:rPr>
              <w:t xml:space="preserve"> </w:t>
            </w:r>
            <w:proofErr w:type="spellStart"/>
            <w:r w:rsidRPr="00DF4CE5">
              <w:rPr>
                <w:rFonts w:ascii="Cambria" w:hAnsi="Cambria" w:cs="Calibri"/>
                <w:lang w:val="it-IT"/>
              </w:rPr>
              <w:t>obitelji</w:t>
            </w:r>
            <w:proofErr w:type="spellEnd"/>
            <w:r w:rsidRPr="00DF4CE5">
              <w:rPr>
                <w:rFonts w:ascii="Cambria" w:hAnsi="Cambria" w:cs="Calibri"/>
                <w:lang w:val="it-IT"/>
              </w:rPr>
              <w:t>)</w:t>
            </w:r>
          </w:p>
          <w:p w14:paraId="2F92781F" w14:textId="77777777" w:rsidR="00F50454" w:rsidRPr="00DF4CE5" w:rsidRDefault="00F50454" w:rsidP="00891E8C">
            <w:pPr>
              <w:spacing w:after="0" w:line="240" w:lineRule="auto"/>
              <w:rPr>
                <w:rFonts w:ascii="Cambria" w:hAnsi="Cambria" w:cs="Calibri"/>
                <w:lang w:val="it-IT"/>
              </w:rPr>
            </w:pPr>
            <w:r w:rsidRPr="00DF4CE5">
              <w:rPr>
                <w:rFonts w:ascii="Cambria" w:hAnsi="Cambria" w:cs="Calibri"/>
                <w:lang w:val="it-IT"/>
              </w:rPr>
              <w:t xml:space="preserve">3. </w:t>
            </w:r>
            <w:proofErr w:type="spellStart"/>
            <w:r w:rsidRPr="00DF4CE5">
              <w:rPr>
                <w:rFonts w:ascii="Cambria" w:hAnsi="Cambria" w:cs="Calibri"/>
                <w:lang w:val="it-IT"/>
              </w:rPr>
              <w:t>sudjelovati</w:t>
            </w:r>
            <w:proofErr w:type="spellEnd"/>
            <w:r w:rsidRPr="00DF4CE5">
              <w:rPr>
                <w:rFonts w:ascii="Cambria" w:hAnsi="Cambria" w:cs="Calibri"/>
                <w:lang w:val="it-IT"/>
              </w:rPr>
              <w:t xml:space="preserve"> u </w:t>
            </w:r>
            <w:proofErr w:type="spellStart"/>
            <w:r w:rsidRPr="00DF4CE5">
              <w:rPr>
                <w:rFonts w:ascii="Cambria" w:hAnsi="Cambria" w:cs="Calibri"/>
                <w:lang w:val="it-IT"/>
              </w:rPr>
              <w:t>predstavljanju</w:t>
            </w:r>
            <w:proofErr w:type="spellEnd"/>
            <w:r w:rsidRPr="00DF4CE5">
              <w:rPr>
                <w:rFonts w:ascii="Cambria" w:hAnsi="Cambria" w:cs="Calibri"/>
                <w:lang w:val="it-IT"/>
              </w:rPr>
              <w:t xml:space="preserve"> </w:t>
            </w:r>
            <w:proofErr w:type="spellStart"/>
            <w:r w:rsidRPr="00DF4CE5">
              <w:rPr>
                <w:rFonts w:ascii="Cambria" w:hAnsi="Cambria" w:cs="Calibri"/>
                <w:lang w:val="it-IT"/>
              </w:rPr>
              <w:t>dijaloga</w:t>
            </w:r>
            <w:proofErr w:type="spellEnd"/>
            <w:r w:rsidRPr="00DF4CE5">
              <w:rPr>
                <w:rFonts w:ascii="Cambria" w:hAnsi="Cambria" w:cs="Calibri"/>
                <w:lang w:val="it-IT"/>
              </w:rPr>
              <w:t xml:space="preserve"> u </w:t>
            </w:r>
            <w:proofErr w:type="spellStart"/>
            <w:r w:rsidRPr="00DF4CE5">
              <w:rPr>
                <w:rFonts w:ascii="Cambria" w:hAnsi="Cambria" w:cs="Calibri"/>
                <w:lang w:val="it-IT"/>
              </w:rPr>
              <w:t>paru</w:t>
            </w:r>
            <w:proofErr w:type="spellEnd"/>
            <w:r w:rsidRPr="00DF4CE5">
              <w:rPr>
                <w:rFonts w:ascii="Cambria" w:hAnsi="Cambria" w:cs="Calibri"/>
                <w:lang w:val="it-IT"/>
              </w:rPr>
              <w:t xml:space="preserve"> </w:t>
            </w:r>
            <w:proofErr w:type="spellStart"/>
            <w:r w:rsidRPr="00DF4CE5">
              <w:rPr>
                <w:rFonts w:ascii="Cambria" w:hAnsi="Cambria" w:cs="Calibri"/>
                <w:lang w:val="it-IT"/>
              </w:rPr>
              <w:t>prilikom</w:t>
            </w:r>
            <w:proofErr w:type="spellEnd"/>
            <w:r w:rsidRPr="00DF4CE5">
              <w:rPr>
                <w:rFonts w:ascii="Cambria" w:hAnsi="Cambria" w:cs="Calibri"/>
                <w:lang w:val="it-IT"/>
              </w:rPr>
              <w:t xml:space="preserve"> </w:t>
            </w:r>
            <w:proofErr w:type="spellStart"/>
            <w:r w:rsidRPr="00DF4CE5">
              <w:rPr>
                <w:rFonts w:ascii="Cambria" w:hAnsi="Cambria" w:cs="Calibri"/>
                <w:lang w:val="it-IT"/>
              </w:rPr>
              <w:t>preuzimanja</w:t>
            </w:r>
            <w:proofErr w:type="spellEnd"/>
            <w:r w:rsidRPr="00DF4CE5">
              <w:rPr>
                <w:rFonts w:ascii="Cambria" w:hAnsi="Cambria" w:cs="Calibri"/>
                <w:lang w:val="it-IT"/>
              </w:rPr>
              <w:t xml:space="preserve"> </w:t>
            </w:r>
            <w:proofErr w:type="spellStart"/>
            <w:r w:rsidRPr="00DF4CE5">
              <w:rPr>
                <w:rFonts w:ascii="Cambria" w:hAnsi="Cambria" w:cs="Calibri"/>
                <w:lang w:val="it-IT"/>
              </w:rPr>
              <w:t>uloge</w:t>
            </w:r>
            <w:proofErr w:type="spellEnd"/>
            <w:r w:rsidRPr="00DF4CE5">
              <w:rPr>
                <w:rFonts w:ascii="Cambria" w:hAnsi="Cambria" w:cs="Calibri"/>
                <w:lang w:val="it-IT"/>
              </w:rPr>
              <w:t xml:space="preserve"> </w:t>
            </w:r>
            <w:proofErr w:type="spellStart"/>
            <w:r w:rsidRPr="00DF4CE5">
              <w:rPr>
                <w:rFonts w:ascii="Cambria" w:hAnsi="Cambria" w:cs="Calibri"/>
                <w:lang w:val="it-IT"/>
              </w:rPr>
              <w:t>učitelja</w:t>
            </w:r>
            <w:proofErr w:type="spellEnd"/>
            <w:r w:rsidRPr="00DF4CE5">
              <w:rPr>
                <w:rFonts w:ascii="Cambria" w:hAnsi="Cambria" w:cs="Calibri"/>
                <w:lang w:val="it-IT"/>
              </w:rPr>
              <w:t xml:space="preserve">, </w:t>
            </w:r>
            <w:proofErr w:type="spellStart"/>
            <w:r w:rsidRPr="00DF4CE5">
              <w:rPr>
                <w:rFonts w:ascii="Cambria" w:hAnsi="Cambria" w:cs="Calibri"/>
                <w:lang w:val="it-IT"/>
              </w:rPr>
              <w:t>odnosno</w:t>
            </w:r>
            <w:proofErr w:type="spellEnd"/>
            <w:r w:rsidRPr="00DF4CE5">
              <w:rPr>
                <w:rFonts w:ascii="Cambria" w:hAnsi="Cambria" w:cs="Calibri"/>
                <w:lang w:val="it-IT"/>
              </w:rPr>
              <w:t xml:space="preserve"> </w:t>
            </w:r>
            <w:proofErr w:type="spellStart"/>
            <w:r w:rsidRPr="00DF4CE5">
              <w:rPr>
                <w:rFonts w:ascii="Cambria" w:hAnsi="Cambria" w:cs="Calibri"/>
                <w:lang w:val="it-IT"/>
              </w:rPr>
              <w:t>roditelja</w:t>
            </w:r>
            <w:proofErr w:type="spellEnd"/>
            <w:r w:rsidRPr="00DF4CE5">
              <w:rPr>
                <w:rFonts w:ascii="Cambria" w:hAnsi="Cambria" w:cs="Calibri"/>
                <w:lang w:val="it-IT"/>
              </w:rPr>
              <w:t xml:space="preserve"> u </w:t>
            </w:r>
            <w:proofErr w:type="spellStart"/>
            <w:r w:rsidRPr="00DF4CE5">
              <w:rPr>
                <w:rFonts w:ascii="Cambria" w:hAnsi="Cambria" w:cs="Calibri"/>
                <w:lang w:val="it-IT"/>
              </w:rPr>
              <w:t>rješavanju</w:t>
            </w:r>
            <w:proofErr w:type="spellEnd"/>
            <w:r w:rsidRPr="00DF4CE5">
              <w:rPr>
                <w:rFonts w:ascii="Cambria" w:hAnsi="Cambria" w:cs="Calibri"/>
                <w:lang w:val="it-IT"/>
              </w:rPr>
              <w:t xml:space="preserve"> </w:t>
            </w:r>
            <w:proofErr w:type="spellStart"/>
            <w:r w:rsidRPr="00DF4CE5">
              <w:rPr>
                <w:rFonts w:ascii="Cambria" w:hAnsi="Cambria" w:cs="Calibri"/>
                <w:lang w:val="it-IT"/>
              </w:rPr>
              <w:t>relevantne</w:t>
            </w:r>
            <w:proofErr w:type="spellEnd"/>
            <w:r w:rsidRPr="00DF4CE5">
              <w:rPr>
                <w:rFonts w:ascii="Cambria" w:hAnsi="Cambria" w:cs="Calibri"/>
                <w:lang w:val="it-IT"/>
              </w:rPr>
              <w:t xml:space="preserve"> </w:t>
            </w:r>
            <w:proofErr w:type="spellStart"/>
            <w:r w:rsidRPr="00DF4CE5">
              <w:rPr>
                <w:rFonts w:ascii="Cambria" w:hAnsi="Cambria" w:cs="Calibri"/>
                <w:lang w:val="it-IT"/>
              </w:rPr>
              <w:t>problemske</w:t>
            </w:r>
            <w:proofErr w:type="spellEnd"/>
            <w:r w:rsidRPr="00DF4CE5">
              <w:rPr>
                <w:rFonts w:ascii="Cambria" w:hAnsi="Cambria" w:cs="Calibri"/>
                <w:lang w:val="it-IT"/>
              </w:rPr>
              <w:t xml:space="preserve"> </w:t>
            </w:r>
            <w:proofErr w:type="spellStart"/>
            <w:r w:rsidRPr="00DF4CE5">
              <w:rPr>
                <w:rFonts w:ascii="Cambria" w:hAnsi="Cambria" w:cs="Calibri"/>
                <w:lang w:val="it-IT"/>
              </w:rPr>
              <w:t>situacije</w:t>
            </w:r>
            <w:proofErr w:type="spellEnd"/>
            <w:r w:rsidRPr="00DF4CE5">
              <w:rPr>
                <w:rFonts w:ascii="Cambria" w:hAnsi="Cambria" w:cs="Calibri"/>
                <w:lang w:val="it-IT"/>
              </w:rPr>
              <w:t xml:space="preserve"> u </w:t>
            </w:r>
            <w:proofErr w:type="spellStart"/>
            <w:r w:rsidRPr="00DF4CE5">
              <w:rPr>
                <w:rFonts w:ascii="Cambria" w:hAnsi="Cambria" w:cs="Calibri"/>
                <w:lang w:val="it-IT"/>
              </w:rPr>
              <w:t>suvremenoj</w:t>
            </w:r>
            <w:proofErr w:type="spellEnd"/>
            <w:r w:rsidRPr="00DF4CE5">
              <w:rPr>
                <w:rFonts w:ascii="Cambria" w:hAnsi="Cambria" w:cs="Calibri"/>
                <w:lang w:val="it-IT"/>
              </w:rPr>
              <w:t xml:space="preserve"> </w:t>
            </w:r>
            <w:proofErr w:type="spellStart"/>
            <w:r w:rsidRPr="00DF4CE5">
              <w:rPr>
                <w:rFonts w:ascii="Cambria" w:hAnsi="Cambria" w:cs="Calibri"/>
                <w:lang w:val="it-IT"/>
              </w:rPr>
              <w:t>obitelji</w:t>
            </w:r>
            <w:proofErr w:type="spellEnd"/>
          </w:p>
          <w:p w14:paraId="21170711" w14:textId="77777777" w:rsidR="00F50454" w:rsidRPr="00DF4CE5" w:rsidRDefault="00F50454" w:rsidP="00891E8C">
            <w:pPr>
              <w:spacing w:after="0" w:line="240" w:lineRule="auto"/>
              <w:rPr>
                <w:rStyle w:val="Referencakomentara"/>
                <w:rFonts w:ascii="Cambria" w:hAnsi="Cambria" w:cs="Calibri"/>
                <w:sz w:val="22"/>
                <w:szCs w:val="22"/>
                <w:lang w:val="it-IT"/>
              </w:rPr>
            </w:pPr>
            <w:r w:rsidRPr="00DF4CE5">
              <w:rPr>
                <w:rStyle w:val="Referencakomentara"/>
                <w:rFonts w:ascii="Cambria" w:hAnsi="Cambria" w:cs="Calibri"/>
                <w:sz w:val="22"/>
                <w:szCs w:val="22"/>
                <w:lang w:val="it-IT"/>
              </w:rPr>
              <w:t xml:space="preserve">4. </w:t>
            </w:r>
            <w:proofErr w:type="spellStart"/>
            <w:r w:rsidRPr="00DF4CE5">
              <w:rPr>
                <w:rStyle w:val="Referencakomentara"/>
                <w:rFonts w:ascii="Cambria" w:hAnsi="Cambria" w:cs="Calibri"/>
                <w:sz w:val="22"/>
                <w:szCs w:val="22"/>
                <w:lang w:val="it-IT"/>
              </w:rPr>
              <w:t>sudjelovati</w:t>
            </w:r>
            <w:proofErr w:type="spellEnd"/>
            <w:r w:rsidRPr="00DF4CE5">
              <w:rPr>
                <w:rStyle w:val="Referencakomentara"/>
                <w:rFonts w:ascii="Cambria" w:hAnsi="Cambria" w:cs="Calibri"/>
                <w:sz w:val="22"/>
                <w:szCs w:val="22"/>
                <w:lang w:val="it-IT"/>
              </w:rPr>
              <w:t xml:space="preserve"> u </w:t>
            </w:r>
            <w:proofErr w:type="spellStart"/>
            <w:r w:rsidRPr="00DF4CE5">
              <w:rPr>
                <w:rStyle w:val="Referencakomentara"/>
                <w:rFonts w:ascii="Cambria" w:hAnsi="Cambria" w:cs="Calibri"/>
                <w:sz w:val="22"/>
                <w:szCs w:val="22"/>
                <w:lang w:val="it-IT"/>
              </w:rPr>
              <w:t>terenskoj</w:t>
            </w:r>
            <w:proofErr w:type="spellEnd"/>
            <w:r w:rsidRPr="00DF4CE5">
              <w:rPr>
                <w:rStyle w:val="Referencakomentara"/>
                <w:rFonts w:ascii="Cambria" w:hAnsi="Cambria" w:cs="Calibri"/>
                <w:sz w:val="22"/>
                <w:szCs w:val="22"/>
                <w:lang w:val="it-IT"/>
              </w:rPr>
              <w:t xml:space="preserve"> </w:t>
            </w:r>
            <w:proofErr w:type="spellStart"/>
            <w:r w:rsidRPr="00DF4CE5">
              <w:rPr>
                <w:rStyle w:val="Referencakomentara"/>
                <w:rFonts w:ascii="Cambria" w:hAnsi="Cambria" w:cs="Calibri"/>
                <w:sz w:val="22"/>
                <w:szCs w:val="22"/>
                <w:lang w:val="it-IT"/>
              </w:rPr>
              <w:t>nastavi</w:t>
            </w:r>
            <w:proofErr w:type="spellEnd"/>
            <w:r w:rsidRPr="00DF4CE5">
              <w:rPr>
                <w:rStyle w:val="Referencakomentara"/>
                <w:rFonts w:ascii="Cambria" w:hAnsi="Cambria" w:cs="Calibri"/>
                <w:sz w:val="22"/>
                <w:szCs w:val="22"/>
                <w:lang w:val="it-IT"/>
              </w:rPr>
              <w:t xml:space="preserve">: </w:t>
            </w:r>
            <w:proofErr w:type="spellStart"/>
            <w:r w:rsidRPr="00DF4CE5">
              <w:rPr>
                <w:rStyle w:val="Referencakomentara"/>
                <w:rFonts w:ascii="Cambria" w:hAnsi="Cambria" w:cs="Calibri"/>
                <w:sz w:val="22"/>
                <w:szCs w:val="22"/>
                <w:lang w:val="it-IT"/>
              </w:rPr>
              <w:t>Obiteljski</w:t>
            </w:r>
            <w:proofErr w:type="spellEnd"/>
            <w:r w:rsidRPr="00DF4CE5">
              <w:rPr>
                <w:rStyle w:val="Referencakomentara"/>
                <w:rFonts w:ascii="Cambria" w:hAnsi="Cambria" w:cs="Calibri"/>
                <w:sz w:val="22"/>
                <w:szCs w:val="22"/>
                <w:lang w:val="it-IT"/>
              </w:rPr>
              <w:t xml:space="preserve"> </w:t>
            </w:r>
            <w:proofErr w:type="spellStart"/>
            <w:r w:rsidRPr="00DF4CE5">
              <w:rPr>
                <w:rStyle w:val="Referencakomentara"/>
                <w:rFonts w:ascii="Cambria" w:hAnsi="Cambria" w:cs="Calibri"/>
                <w:sz w:val="22"/>
                <w:szCs w:val="22"/>
                <w:lang w:val="it-IT"/>
              </w:rPr>
              <w:t>centar</w:t>
            </w:r>
            <w:proofErr w:type="spellEnd"/>
            <w:r w:rsidRPr="00DF4CE5">
              <w:rPr>
                <w:rStyle w:val="Referencakomentara"/>
                <w:rFonts w:ascii="Cambria" w:hAnsi="Cambria" w:cs="Calibri"/>
                <w:sz w:val="22"/>
                <w:szCs w:val="22"/>
                <w:lang w:val="it-IT"/>
              </w:rPr>
              <w:t xml:space="preserve">, </w:t>
            </w:r>
            <w:proofErr w:type="spellStart"/>
            <w:r w:rsidRPr="00DF4CE5">
              <w:rPr>
                <w:rStyle w:val="Referencakomentara"/>
                <w:rFonts w:ascii="Cambria" w:hAnsi="Cambria" w:cs="Calibri"/>
                <w:sz w:val="22"/>
                <w:szCs w:val="22"/>
                <w:lang w:val="it-IT"/>
              </w:rPr>
              <w:t>Područna</w:t>
            </w:r>
            <w:proofErr w:type="spellEnd"/>
            <w:r w:rsidRPr="00DF4CE5">
              <w:rPr>
                <w:rStyle w:val="Referencakomentara"/>
                <w:rFonts w:ascii="Cambria" w:hAnsi="Cambria" w:cs="Calibri"/>
                <w:sz w:val="22"/>
                <w:szCs w:val="22"/>
                <w:lang w:val="it-IT"/>
              </w:rPr>
              <w:t xml:space="preserve"> </w:t>
            </w:r>
            <w:proofErr w:type="spellStart"/>
            <w:r w:rsidRPr="00DF4CE5">
              <w:rPr>
                <w:rStyle w:val="Referencakomentara"/>
                <w:rFonts w:ascii="Cambria" w:hAnsi="Cambria" w:cs="Calibri"/>
                <w:sz w:val="22"/>
                <w:szCs w:val="22"/>
                <w:lang w:val="it-IT"/>
              </w:rPr>
              <w:t>služba</w:t>
            </w:r>
            <w:proofErr w:type="spellEnd"/>
            <w:r w:rsidRPr="00DF4CE5">
              <w:rPr>
                <w:rStyle w:val="Referencakomentara"/>
                <w:rFonts w:ascii="Cambria" w:hAnsi="Cambria" w:cs="Calibri"/>
                <w:sz w:val="22"/>
                <w:szCs w:val="22"/>
                <w:lang w:val="it-IT"/>
              </w:rPr>
              <w:t xml:space="preserve"> </w:t>
            </w:r>
            <w:proofErr w:type="spellStart"/>
            <w:r w:rsidRPr="00DF4CE5">
              <w:rPr>
                <w:rStyle w:val="Referencakomentara"/>
                <w:rFonts w:ascii="Cambria" w:hAnsi="Cambria" w:cs="Calibri"/>
                <w:sz w:val="22"/>
                <w:szCs w:val="22"/>
                <w:lang w:val="it-IT"/>
              </w:rPr>
              <w:t>Istarska</w:t>
            </w:r>
            <w:proofErr w:type="spellEnd"/>
            <w:r w:rsidRPr="00DF4CE5">
              <w:rPr>
                <w:rStyle w:val="Referencakomentara"/>
                <w:rFonts w:ascii="Cambria" w:hAnsi="Cambria" w:cs="Calibri"/>
                <w:sz w:val="22"/>
                <w:szCs w:val="22"/>
                <w:lang w:val="it-IT"/>
              </w:rPr>
              <w:t xml:space="preserve"> i </w:t>
            </w:r>
            <w:proofErr w:type="spellStart"/>
            <w:r w:rsidRPr="00DF4CE5">
              <w:rPr>
                <w:rStyle w:val="Referencakomentara"/>
                <w:rFonts w:ascii="Cambria" w:hAnsi="Cambria" w:cs="Calibri"/>
                <w:sz w:val="22"/>
                <w:szCs w:val="22"/>
                <w:lang w:val="it-IT"/>
              </w:rPr>
              <w:t>Odsjek</w:t>
            </w:r>
            <w:proofErr w:type="spellEnd"/>
            <w:r w:rsidRPr="00DF4CE5">
              <w:rPr>
                <w:rStyle w:val="Referencakomentara"/>
                <w:rFonts w:ascii="Cambria" w:hAnsi="Cambria" w:cs="Calibri"/>
                <w:sz w:val="22"/>
                <w:szCs w:val="22"/>
                <w:lang w:val="it-IT"/>
              </w:rPr>
              <w:t xml:space="preserve"> za </w:t>
            </w:r>
            <w:proofErr w:type="spellStart"/>
            <w:r w:rsidRPr="00DF4CE5">
              <w:rPr>
                <w:rStyle w:val="Referencakomentara"/>
                <w:rFonts w:ascii="Cambria" w:hAnsi="Cambria" w:cs="Calibri"/>
                <w:sz w:val="22"/>
                <w:szCs w:val="22"/>
                <w:lang w:val="it-IT"/>
              </w:rPr>
              <w:t>skrb</w:t>
            </w:r>
            <w:proofErr w:type="spellEnd"/>
            <w:r w:rsidRPr="00DF4CE5">
              <w:rPr>
                <w:rStyle w:val="Referencakomentara"/>
                <w:rFonts w:ascii="Cambria" w:hAnsi="Cambria" w:cs="Calibri"/>
                <w:sz w:val="22"/>
                <w:szCs w:val="22"/>
                <w:lang w:val="it-IT"/>
              </w:rPr>
              <w:t xml:space="preserve"> i </w:t>
            </w:r>
            <w:proofErr w:type="spellStart"/>
            <w:r w:rsidRPr="00DF4CE5">
              <w:rPr>
                <w:rStyle w:val="Referencakomentara"/>
                <w:rFonts w:ascii="Cambria" w:hAnsi="Cambria" w:cs="Calibri"/>
                <w:sz w:val="22"/>
                <w:szCs w:val="22"/>
                <w:lang w:val="it-IT"/>
              </w:rPr>
              <w:t>zdravstvo</w:t>
            </w:r>
            <w:proofErr w:type="spellEnd"/>
            <w:r w:rsidRPr="00DF4CE5">
              <w:rPr>
                <w:rStyle w:val="Referencakomentara"/>
                <w:rFonts w:ascii="Cambria" w:hAnsi="Cambria" w:cs="Calibri"/>
                <w:sz w:val="22"/>
                <w:szCs w:val="22"/>
                <w:lang w:val="it-IT"/>
              </w:rPr>
              <w:t xml:space="preserve"> </w:t>
            </w:r>
            <w:proofErr w:type="spellStart"/>
            <w:r w:rsidRPr="00DF4CE5">
              <w:rPr>
                <w:rStyle w:val="Referencakomentara"/>
                <w:rFonts w:ascii="Cambria" w:hAnsi="Cambria" w:cs="Calibri"/>
                <w:sz w:val="22"/>
                <w:szCs w:val="22"/>
                <w:lang w:val="it-IT"/>
              </w:rPr>
              <w:t>Upravnog</w:t>
            </w:r>
            <w:proofErr w:type="spellEnd"/>
            <w:r w:rsidRPr="00DF4CE5">
              <w:rPr>
                <w:rStyle w:val="Referencakomentara"/>
                <w:rFonts w:ascii="Cambria" w:hAnsi="Cambria" w:cs="Calibri"/>
                <w:sz w:val="22"/>
                <w:szCs w:val="22"/>
                <w:lang w:val="it-IT"/>
              </w:rPr>
              <w:t xml:space="preserve"> </w:t>
            </w:r>
            <w:proofErr w:type="spellStart"/>
            <w:r w:rsidRPr="00DF4CE5">
              <w:rPr>
                <w:rStyle w:val="Referencakomentara"/>
                <w:rFonts w:ascii="Cambria" w:hAnsi="Cambria" w:cs="Calibri"/>
                <w:sz w:val="22"/>
                <w:szCs w:val="22"/>
                <w:lang w:val="it-IT"/>
              </w:rPr>
              <w:t>odjela</w:t>
            </w:r>
            <w:proofErr w:type="spellEnd"/>
            <w:r w:rsidRPr="00DF4CE5">
              <w:rPr>
                <w:rStyle w:val="Referencakomentara"/>
                <w:rFonts w:ascii="Cambria" w:hAnsi="Cambria" w:cs="Calibri"/>
                <w:sz w:val="22"/>
                <w:szCs w:val="22"/>
                <w:lang w:val="it-IT"/>
              </w:rPr>
              <w:t xml:space="preserve"> za </w:t>
            </w:r>
            <w:proofErr w:type="spellStart"/>
            <w:r w:rsidRPr="00DF4CE5">
              <w:rPr>
                <w:rStyle w:val="Referencakomentara"/>
                <w:rFonts w:ascii="Cambria" w:hAnsi="Cambria" w:cs="Calibri"/>
                <w:sz w:val="22"/>
                <w:szCs w:val="22"/>
                <w:lang w:val="it-IT"/>
              </w:rPr>
              <w:t>društvene</w:t>
            </w:r>
            <w:proofErr w:type="spellEnd"/>
            <w:r w:rsidRPr="00DF4CE5">
              <w:rPr>
                <w:rStyle w:val="Referencakomentara"/>
                <w:rFonts w:ascii="Cambria" w:hAnsi="Cambria" w:cs="Calibri"/>
                <w:sz w:val="22"/>
                <w:szCs w:val="22"/>
                <w:lang w:val="it-IT"/>
              </w:rPr>
              <w:t xml:space="preserve"> </w:t>
            </w:r>
            <w:proofErr w:type="spellStart"/>
            <w:r w:rsidRPr="00DF4CE5">
              <w:rPr>
                <w:rStyle w:val="Referencakomentara"/>
                <w:rFonts w:ascii="Cambria" w:hAnsi="Cambria" w:cs="Calibri"/>
                <w:sz w:val="22"/>
                <w:szCs w:val="22"/>
                <w:lang w:val="it-IT"/>
              </w:rPr>
              <w:t>djelatnosti</w:t>
            </w:r>
            <w:proofErr w:type="spellEnd"/>
            <w:r w:rsidRPr="00DF4CE5">
              <w:rPr>
                <w:rStyle w:val="Referencakomentara"/>
                <w:rFonts w:ascii="Cambria" w:hAnsi="Cambria" w:cs="Calibri"/>
                <w:sz w:val="22"/>
                <w:szCs w:val="22"/>
                <w:lang w:val="it-IT"/>
              </w:rPr>
              <w:t xml:space="preserve">, </w:t>
            </w:r>
            <w:proofErr w:type="spellStart"/>
            <w:r w:rsidRPr="00DF4CE5">
              <w:rPr>
                <w:rStyle w:val="Referencakomentara"/>
                <w:rFonts w:ascii="Cambria" w:hAnsi="Cambria" w:cs="Calibri"/>
                <w:sz w:val="22"/>
                <w:szCs w:val="22"/>
                <w:lang w:val="it-IT"/>
              </w:rPr>
              <w:t>mlade</w:t>
            </w:r>
            <w:proofErr w:type="spellEnd"/>
            <w:r w:rsidRPr="00DF4CE5">
              <w:rPr>
                <w:rStyle w:val="Referencakomentara"/>
                <w:rFonts w:ascii="Cambria" w:hAnsi="Cambria" w:cs="Calibri"/>
                <w:sz w:val="22"/>
                <w:szCs w:val="22"/>
                <w:lang w:val="it-IT"/>
              </w:rPr>
              <w:t xml:space="preserve"> </w:t>
            </w:r>
            <w:proofErr w:type="gramStart"/>
            <w:r w:rsidRPr="00DF4CE5">
              <w:rPr>
                <w:rStyle w:val="Referencakomentara"/>
                <w:rFonts w:ascii="Cambria" w:hAnsi="Cambria" w:cs="Calibri"/>
                <w:sz w:val="22"/>
                <w:szCs w:val="22"/>
                <w:lang w:val="it-IT"/>
              </w:rPr>
              <w:t>i</w:t>
            </w:r>
            <w:proofErr w:type="gramEnd"/>
            <w:r w:rsidRPr="00DF4CE5">
              <w:rPr>
                <w:rStyle w:val="Referencakomentara"/>
                <w:rFonts w:ascii="Cambria" w:hAnsi="Cambria" w:cs="Calibri"/>
                <w:sz w:val="22"/>
                <w:szCs w:val="22"/>
                <w:lang w:val="it-IT"/>
              </w:rPr>
              <w:t xml:space="preserve"> sport Pula</w:t>
            </w:r>
          </w:p>
          <w:p w14:paraId="0B76EDCC" w14:textId="77777777" w:rsidR="00F50454" w:rsidRPr="00DF4CE5" w:rsidRDefault="00F50454" w:rsidP="00891E8C">
            <w:pPr>
              <w:spacing w:after="0" w:line="240" w:lineRule="auto"/>
              <w:rPr>
                <w:rFonts w:ascii="Cambria" w:hAnsi="Cambria" w:cs="Calibri"/>
                <w:lang w:val="it-IT"/>
              </w:rPr>
            </w:pPr>
            <w:r w:rsidRPr="00DF4CE5">
              <w:rPr>
                <w:rFonts w:ascii="Cambria" w:hAnsi="Cambria" w:cs="Calibri"/>
                <w:lang w:val="it-IT"/>
              </w:rPr>
              <w:t xml:space="preserve">5. </w:t>
            </w:r>
            <w:proofErr w:type="spellStart"/>
            <w:r w:rsidRPr="00DF4CE5">
              <w:rPr>
                <w:rFonts w:ascii="Cambria" w:hAnsi="Cambria" w:cs="Calibri"/>
                <w:lang w:val="it-IT"/>
              </w:rPr>
              <w:t>položiti</w:t>
            </w:r>
            <w:proofErr w:type="spellEnd"/>
            <w:r w:rsidRPr="00DF4CE5">
              <w:rPr>
                <w:rFonts w:ascii="Cambria" w:hAnsi="Cambria" w:cs="Calibri"/>
                <w:lang w:val="it-IT"/>
              </w:rPr>
              <w:t xml:space="preserve"> </w:t>
            </w:r>
            <w:proofErr w:type="spellStart"/>
            <w:r w:rsidRPr="00DF4CE5">
              <w:rPr>
                <w:rFonts w:ascii="Cambria" w:hAnsi="Cambria" w:cs="Calibri"/>
                <w:lang w:val="it-IT"/>
              </w:rPr>
              <w:t>pismeni</w:t>
            </w:r>
            <w:proofErr w:type="spellEnd"/>
            <w:r w:rsidRPr="00DF4CE5">
              <w:rPr>
                <w:rFonts w:ascii="Cambria" w:hAnsi="Cambria" w:cs="Calibri"/>
                <w:lang w:val="it-IT"/>
              </w:rPr>
              <w:t xml:space="preserve"> </w:t>
            </w:r>
            <w:proofErr w:type="spellStart"/>
            <w:r w:rsidRPr="00DF4CE5">
              <w:rPr>
                <w:rFonts w:ascii="Cambria" w:hAnsi="Cambria" w:cs="Calibri"/>
                <w:lang w:val="it-IT"/>
              </w:rPr>
              <w:t>ispit</w:t>
            </w:r>
            <w:proofErr w:type="spellEnd"/>
            <w:r w:rsidRPr="00DF4CE5">
              <w:rPr>
                <w:rFonts w:ascii="Cambria" w:hAnsi="Cambria" w:cs="Calibri"/>
                <w:lang w:val="it-IT"/>
              </w:rPr>
              <w:t>.</w:t>
            </w:r>
          </w:p>
          <w:p w14:paraId="6C8D5DAF" w14:textId="77777777" w:rsidR="00F50454" w:rsidRPr="00DF4CE5" w:rsidRDefault="00F50454" w:rsidP="00891E8C">
            <w:pPr>
              <w:spacing w:after="0" w:line="240" w:lineRule="auto"/>
              <w:rPr>
                <w:rFonts w:ascii="Cambria" w:hAnsi="Cambria" w:cs="Calibri"/>
                <w:lang w:val="it-IT"/>
              </w:rPr>
            </w:pPr>
            <w:proofErr w:type="spellStart"/>
            <w:r w:rsidRPr="00DF4CE5">
              <w:rPr>
                <w:rFonts w:ascii="Cambria" w:hAnsi="Cambria" w:cs="Calibri"/>
                <w:lang w:val="it-IT"/>
              </w:rPr>
              <w:t>Napomena</w:t>
            </w:r>
            <w:proofErr w:type="spellEnd"/>
            <w:r w:rsidRPr="00DF4CE5">
              <w:rPr>
                <w:rFonts w:ascii="Cambria" w:hAnsi="Cambria" w:cs="Calibri"/>
                <w:lang w:val="it-IT"/>
              </w:rPr>
              <w:t>: (</w:t>
            </w:r>
            <w:proofErr w:type="spellStart"/>
            <w:r w:rsidRPr="00DF4CE5">
              <w:rPr>
                <w:rFonts w:ascii="Cambria" w:hAnsi="Cambria" w:cs="Calibri"/>
                <w:lang w:val="it-IT"/>
              </w:rPr>
              <w:t>vrijedi</w:t>
            </w:r>
            <w:proofErr w:type="spellEnd"/>
            <w:r w:rsidRPr="00DF4CE5">
              <w:rPr>
                <w:rFonts w:ascii="Cambria" w:hAnsi="Cambria" w:cs="Calibri"/>
                <w:lang w:val="it-IT"/>
              </w:rPr>
              <w:t xml:space="preserve"> za </w:t>
            </w:r>
            <w:proofErr w:type="spellStart"/>
            <w:r w:rsidRPr="00DF4CE5">
              <w:rPr>
                <w:rFonts w:ascii="Cambria" w:hAnsi="Cambria" w:cs="Calibri"/>
                <w:lang w:val="it-IT"/>
              </w:rPr>
              <w:t>obvezu</w:t>
            </w:r>
            <w:proofErr w:type="spellEnd"/>
            <w:r w:rsidRPr="00DF4CE5">
              <w:rPr>
                <w:rFonts w:ascii="Cambria" w:hAnsi="Cambria" w:cs="Calibri"/>
                <w:lang w:val="it-IT"/>
              </w:rPr>
              <w:t xml:space="preserve"> 1., 2. i 3.) </w:t>
            </w:r>
            <w:proofErr w:type="spellStart"/>
            <w:r w:rsidRPr="00DF4CE5">
              <w:rPr>
                <w:rFonts w:ascii="Cambria" w:hAnsi="Cambria" w:cs="Calibri"/>
                <w:lang w:val="it-IT"/>
              </w:rPr>
              <w:t>Student</w:t>
            </w:r>
            <w:proofErr w:type="spellEnd"/>
            <w:r w:rsidRPr="00DF4CE5">
              <w:rPr>
                <w:rFonts w:ascii="Cambria" w:hAnsi="Cambria" w:cs="Calibri"/>
                <w:lang w:val="it-IT"/>
              </w:rPr>
              <w:t>/</w:t>
            </w:r>
            <w:proofErr w:type="spellStart"/>
            <w:r w:rsidRPr="00DF4CE5">
              <w:rPr>
                <w:rFonts w:ascii="Cambria" w:hAnsi="Cambria" w:cs="Calibri"/>
                <w:lang w:val="it-IT"/>
              </w:rPr>
              <w:t>studentica</w:t>
            </w:r>
            <w:proofErr w:type="spellEnd"/>
            <w:r w:rsidRPr="00DF4CE5">
              <w:rPr>
                <w:rFonts w:ascii="Cambria" w:hAnsi="Cambria" w:cs="Calibri"/>
                <w:lang w:val="it-IT"/>
              </w:rPr>
              <w:t xml:space="preserve"> </w:t>
            </w:r>
            <w:proofErr w:type="spellStart"/>
            <w:r w:rsidRPr="00DF4CE5">
              <w:rPr>
                <w:rFonts w:ascii="Cambria" w:hAnsi="Cambria" w:cs="Calibri"/>
                <w:lang w:val="it-IT"/>
              </w:rPr>
              <w:t>treba</w:t>
            </w:r>
            <w:proofErr w:type="spellEnd"/>
            <w:r w:rsidRPr="00DF4CE5">
              <w:rPr>
                <w:rFonts w:ascii="Cambria" w:hAnsi="Cambria" w:cs="Calibri"/>
                <w:lang w:val="it-IT"/>
              </w:rPr>
              <w:t xml:space="preserve"> </w:t>
            </w:r>
            <w:proofErr w:type="spellStart"/>
            <w:r w:rsidRPr="00DF4CE5">
              <w:rPr>
                <w:rFonts w:ascii="Cambria" w:hAnsi="Cambria" w:cs="Calibri"/>
                <w:lang w:val="it-IT"/>
              </w:rPr>
              <w:t>aktivno</w:t>
            </w:r>
            <w:proofErr w:type="spellEnd"/>
            <w:r w:rsidRPr="00DF4CE5">
              <w:rPr>
                <w:rFonts w:ascii="Cambria" w:hAnsi="Cambria" w:cs="Calibri"/>
                <w:lang w:val="it-IT"/>
              </w:rPr>
              <w:t xml:space="preserve"> </w:t>
            </w:r>
            <w:proofErr w:type="spellStart"/>
            <w:r w:rsidRPr="00DF4CE5">
              <w:rPr>
                <w:rFonts w:ascii="Cambria" w:hAnsi="Cambria" w:cs="Calibri"/>
                <w:lang w:val="it-IT"/>
              </w:rPr>
              <w:t>sudjelovati</w:t>
            </w:r>
            <w:proofErr w:type="spellEnd"/>
            <w:r w:rsidRPr="00DF4CE5">
              <w:rPr>
                <w:rFonts w:ascii="Cambria" w:hAnsi="Cambria" w:cs="Calibri"/>
                <w:lang w:val="it-IT"/>
              </w:rPr>
              <w:t xml:space="preserve"> u </w:t>
            </w:r>
            <w:proofErr w:type="spellStart"/>
            <w:r w:rsidRPr="00DF4CE5">
              <w:rPr>
                <w:rFonts w:ascii="Cambria" w:hAnsi="Cambria" w:cs="Calibri"/>
                <w:lang w:val="it-IT"/>
              </w:rPr>
              <w:t>interaktivnim</w:t>
            </w:r>
            <w:proofErr w:type="spellEnd"/>
            <w:r w:rsidRPr="00DF4CE5">
              <w:rPr>
                <w:rFonts w:ascii="Cambria" w:hAnsi="Cambria" w:cs="Calibri"/>
                <w:lang w:val="it-IT"/>
              </w:rPr>
              <w:t xml:space="preserve"> </w:t>
            </w:r>
            <w:proofErr w:type="spellStart"/>
            <w:r w:rsidRPr="00DF4CE5">
              <w:rPr>
                <w:rFonts w:ascii="Cambria" w:hAnsi="Cambria" w:cs="Calibri"/>
                <w:lang w:val="it-IT"/>
              </w:rPr>
              <w:t>aktivnostima</w:t>
            </w:r>
            <w:proofErr w:type="spellEnd"/>
            <w:r w:rsidRPr="00DF4CE5">
              <w:rPr>
                <w:rFonts w:ascii="Cambria" w:hAnsi="Cambria" w:cs="Calibri"/>
                <w:lang w:val="it-IT"/>
              </w:rPr>
              <w:t xml:space="preserve"> </w:t>
            </w:r>
            <w:proofErr w:type="spellStart"/>
            <w:r w:rsidRPr="00DF4CE5">
              <w:rPr>
                <w:rFonts w:ascii="Cambria" w:hAnsi="Cambria" w:cs="Calibri"/>
                <w:lang w:val="it-IT"/>
              </w:rPr>
              <w:t>na</w:t>
            </w:r>
            <w:proofErr w:type="spellEnd"/>
            <w:r w:rsidRPr="00DF4CE5">
              <w:rPr>
                <w:rFonts w:ascii="Cambria" w:hAnsi="Cambria" w:cs="Calibri"/>
                <w:lang w:val="it-IT"/>
              </w:rPr>
              <w:t xml:space="preserve"> </w:t>
            </w:r>
            <w:proofErr w:type="spellStart"/>
            <w:r w:rsidRPr="00DF4CE5">
              <w:rPr>
                <w:rFonts w:ascii="Cambria" w:hAnsi="Cambria" w:cs="Calibri"/>
                <w:lang w:val="it-IT"/>
              </w:rPr>
              <w:t>nastavi</w:t>
            </w:r>
            <w:proofErr w:type="spellEnd"/>
            <w:r w:rsidRPr="00DF4CE5">
              <w:rPr>
                <w:rFonts w:ascii="Cambria" w:hAnsi="Cambria" w:cs="Calibri"/>
                <w:lang w:val="it-IT"/>
              </w:rPr>
              <w:t xml:space="preserve"> </w:t>
            </w:r>
            <w:proofErr w:type="spellStart"/>
            <w:r w:rsidRPr="00DF4CE5">
              <w:rPr>
                <w:rFonts w:ascii="Cambria" w:hAnsi="Cambria" w:cs="Calibri"/>
                <w:lang w:val="it-IT"/>
              </w:rPr>
              <w:t>predavanja</w:t>
            </w:r>
            <w:proofErr w:type="spellEnd"/>
            <w:r w:rsidRPr="00DF4CE5">
              <w:rPr>
                <w:rFonts w:ascii="Cambria" w:hAnsi="Cambria" w:cs="Calibri"/>
                <w:lang w:val="it-IT"/>
              </w:rPr>
              <w:t xml:space="preserve"> i </w:t>
            </w:r>
            <w:proofErr w:type="spellStart"/>
            <w:r w:rsidRPr="00DF4CE5">
              <w:rPr>
                <w:rFonts w:ascii="Cambria" w:hAnsi="Cambria" w:cs="Calibri"/>
                <w:lang w:val="it-IT"/>
              </w:rPr>
              <w:t>seminara</w:t>
            </w:r>
            <w:proofErr w:type="spellEnd"/>
            <w:r w:rsidRPr="00DF4CE5">
              <w:rPr>
                <w:rFonts w:ascii="Cambria" w:hAnsi="Cambria" w:cs="Calibri"/>
                <w:lang w:val="it-IT"/>
              </w:rPr>
              <w:t xml:space="preserve"> </w:t>
            </w:r>
            <w:proofErr w:type="spellStart"/>
            <w:r w:rsidRPr="00DF4CE5">
              <w:rPr>
                <w:rFonts w:ascii="Cambria" w:hAnsi="Cambria" w:cs="Calibri"/>
                <w:lang w:val="it-IT"/>
              </w:rPr>
              <w:t>najmanje</w:t>
            </w:r>
            <w:proofErr w:type="spellEnd"/>
            <w:r w:rsidRPr="00DF4CE5">
              <w:rPr>
                <w:rFonts w:ascii="Cambria" w:hAnsi="Cambria" w:cs="Calibri"/>
                <w:lang w:val="it-IT"/>
              </w:rPr>
              <w:t xml:space="preserve"> 70%. Studenti </w:t>
            </w:r>
            <w:proofErr w:type="spellStart"/>
            <w:r w:rsidRPr="00DF4CE5">
              <w:rPr>
                <w:rFonts w:ascii="Cambria" w:hAnsi="Cambria" w:cs="Calibri"/>
                <w:lang w:val="it-IT"/>
              </w:rPr>
              <w:t>trebaju</w:t>
            </w:r>
            <w:proofErr w:type="spellEnd"/>
            <w:r w:rsidRPr="00DF4CE5">
              <w:rPr>
                <w:rFonts w:ascii="Cambria" w:hAnsi="Cambria" w:cs="Calibri"/>
                <w:lang w:val="it-IT"/>
              </w:rPr>
              <w:t xml:space="preserve"> </w:t>
            </w:r>
            <w:proofErr w:type="spellStart"/>
            <w:r w:rsidRPr="00DF4CE5">
              <w:rPr>
                <w:rFonts w:ascii="Cambria" w:hAnsi="Cambria" w:cs="Calibri"/>
                <w:lang w:val="it-IT"/>
              </w:rPr>
              <w:t>riješiti</w:t>
            </w:r>
            <w:proofErr w:type="spellEnd"/>
            <w:r w:rsidRPr="00DF4CE5">
              <w:rPr>
                <w:rFonts w:ascii="Cambria" w:hAnsi="Cambria" w:cs="Calibri"/>
                <w:lang w:val="it-IT"/>
              </w:rPr>
              <w:t xml:space="preserve"> </w:t>
            </w:r>
            <w:proofErr w:type="spellStart"/>
            <w:r w:rsidRPr="00DF4CE5">
              <w:rPr>
                <w:rFonts w:ascii="Cambria" w:hAnsi="Cambria" w:cs="Calibri"/>
                <w:lang w:val="it-IT"/>
              </w:rPr>
              <w:t>obaveze</w:t>
            </w:r>
            <w:proofErr w:type="spellEnd"/>
            <w:r w:rsidRPr="00DF4CE5">
              <w:rPr>
                <w:rFonts w:ascii="Cambria" w:hAnsi="Cambria" w:cs="Calibri"/>
                <w:lang w:val="it-IT"/>
              </w:rPr>
              <w:t xml:space="preserve"> do </w:t>
            </w:r>
            <w:proofErr w:type="spellStart"/>
            <w:r w:rsidRPr="00DF4CE5">
              <w:rPr>
                <w:rFonts w:ascii="Cambria" w:hAnsi="Cambria" w:cs="Calibri"/>
                <w:lang w:val="it-IT"/>
              </w:rPr>
              <w:t>zadanog</w:t>
            </w:r>
            <w:proofErr w:type="spellEnd"/>
            <w:r w:rsidRPr="00DF4CE5">
              <w:rPr>
                <w:rFonts w:ascii="Cambria" w:hAnsi="Cambria" w:cs="Calibri"/>
                <w:lang w:val="it-IT"/>
              </w:rPr>
              <w:t xml:space="preserve"> </w:t>
            </w:r>
            <w:proofErr w:type="spellStart"/>
            <w:r w:rsidRPr="00DF4CE5">
              <w:rPr>
                <w:rFonts w:ascii="Cambria" w:hAnsi="Cambria" w:cs="Calibri"/>
                <w:lang w:val="it-IT"/>
              </w:rPr>
              <w:t>roka</w:t>
            </w:r>
            <w:proofErr w:type="spellEnd"/>
            <w:r w:rsidRPr="00DF4CE5">
              <w:rPr>
                <w:rFonts w:ascii="Cambria" w:hAnsi="Cambria" w:cs="Calibri"/>
                <w:lang w:val="it-IT"/>
              </w:rPr>
              <w:t xml:space="preserve">. </w:t>
            </w:r>
            <w:proofErr w:type="spellStart"/>
            <w:r w:rsidRPr="00DF4CE5">
              <w:rPr>
                <w:rFonts w:ascii="Cambria" w:hAnsi="Cambria" w:cs="Calibri"/>
                <w:lang w:val="it-IT"/>
              </w:rPr>
              <w:t>Rokovi</w:t>
            </w:r>
            <w:proofErr w:type="spellEnd"/>
            <w:r w:rsidRPr="00DF4CE5">
              <w:rPr>
                <w:rFonts w:ascii="Cambria" w:hAnsi="Cambria" w:cs="Calibri"/>
                <w:lang w:val="it-IT"/>
              </w:rPr>
              <w:t xml:space="preserve"> se u </w:t>
            </w:r>
            <w:proofErr w:type="spellStart"/>
            <w:r w:rsidRPr="00DF4CE5">
              <w:rPr>
                <w:rFonts w:ascii="Cambria" w:hAnsi="Cambria" w:cs="Calibri"/>
                <w:lang w:val="it-IT"/>
              </w:rPr>
              <w:t>ovome</w:t>
            </w:r>
            <w:proofErr w:type="spellEnd"/>
            <w:r w:rsidRPr="00DF4CE5">
              <w:rPr>
                <w:rFonts w:ascii="Cambria" w:hAnsi="Cambria" w:cs="Calibri"/>
                <w:lang w:val="it-IT"/>
              </w:rPr>
              <w:t xml:space="preserve"> </w:t>
            </w:r>
            <w:proofErr w:type="spellStart"/>
            <w:r w:rsidRPr="00DF4CE5">
              <w:rPr>
                <w:rFonts w:ascii="Cambria" w:hAnsi="Cambria" w:cs="Calibri"/>
                <w:lang w:val="it-IT"/>
              </w:rPr>
              <w:t>kolegiju</w:t>
            </w:r>
            <w:proofErr w:type="spellEnd"/>
            <w:r w:rsidRPr="00DF4CE5">
              <w:rPr>
                <w:rFonts w:ascii="Cambria" w:hAnsi="Cambria" w:cs="Calibri"/>
                <w:lang w:val="it-IT"/>
              </w:rPr>
              <w:t xml:space="preserve"> u </w:t>
            </w:r>
            <w:proofErr w:type="spellStart"/>
            <w:r w:rsidRPr="00DF4CE5">
              <w:rPr>
                <w:rFonts w:ascii="Cambria" w:hAnsi="Cambria" w:cs="Calibri"/>
                <w:lang w:val="it-IT"/>
              </w:rPr>
              <w:t>potpunosti</w:t>
            </w:r>
            <w:proofErr w:type="spellEnd"/>
            <w:r w:rsidRPr="00DF4CE5">
              <w:rPr>
                <w:rFonts w:ascii="Cambria" w:hAnsi="Cambria" w:cs="Calibri"/>
                <w:lang w:val="it-IT"/>
              </w:rPr>
              <w:t xml:space="preserve"> </w:t>
            </w:r>
            <w:proofErr w:type="spellStart"/>
            <w:r w:rsidRPr="00DF4CE5">
              <w:rPr>
                <w:rFonts w:ascii="Cambria" w:hAnsi="Cambria" w:cs="Calibri"/>
                <w:lang w:val="it-IT"/>
              </w:rPr>
              <w:t>poštuju</w:t>
            </w:r>
            <w:proofErr w:type="spellEnd"/>
            <w:r w:rsidRPr="00DF4CE5">
              <w:rPr>
                <w:rFonts w:ascii="Cambria" w:hAnsi="Cambria" w:cs="Calibri"/>
                <w:lang w:val="it-IT"/>
              </w:rPr>
              <w:t>.</w:t>
            </w:r>
          </w:p>
        </w:tc>
      </w:tr>
      <w:tr w:rsidR="00F50454" w:rsidRPr="00DF4CE5" w14:paraId="5B8F9C83" w14:textId="77777777" w:rsidTr="00891E8C">
        <w:tc>
          <w:tcPr>
            <w:tcW w:w="26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445981C" w14:textId="77777777" w:rsidR="00F50454" w:rsidRPr="00DF4CE5" w:rsidRDefault="00F50454" w:rsidP="00891E8C">
            <w:pPr>
              <w:spacing w:after="0" w:line="240" w:lineRule="auto"/>
              <w:rPr>
                <w:rFonts w:ascii="Cambria" w:hAnsi="Cambria" w:cs="Calibri"/>
              </w:rPr>
            </w:pPr>
            <w:proofErr w:type="spellStart"/>
            <w:r w:rsidRPr="00DF4CE5">
              <w:rPr>
                <w:rFonts w:ascii="Cambria" w:hAnsi="Cambria" w:cs="Calibri"/>
              </w:rPr>
              <w:t>Rokovi</w:t>
            </w:r>
            <w:proofErr w:type="spellEnd"/>
            <w:r w:rsidRPr="00DF4CE5">
              <w:rPr>
                <w:rFonts w:ascii="Cambria" w:hAnsi="Cambria" w:cs="Calibri"/>
              </w:rPr>
              <w:t xml:space="preserve"> </w:t>
            </w:r>
            <w:proofErr w:type="spellStart"/>
            <w:r w:rsidRPr="00DF4CE5">
              <w:rPr>
                <w:rFonts w:ascii="Cambria" w:hAnsi="Cambria" w:cs="Calibri"/>
              </w:rPr>
              <w:t>ispita</w:t>
            </w:r>
            <w:proofErr w:type="spellEnd"/>
          </w:p>
        </w:tc>
        <w:tc>
          <w:tcPr>
            <w:tcW w:w="6731"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CE941D7" w14:textId="77777777" w:rsidR="00F50454" w:rsidRPr="00DF4CE5" w:rsidRDefault="00F50454" w:rsidP="00891E8C">
            <w:pPr>
              <w:spacing w:after="0" w:line="240" w:lineRule="auto"/>
              <w:rPr>
                <w:rFonts w:ascii="Cambria" w:hAnsi="Cambria" w:cs="Calibri"/>
              </w:rPr>
            </w:pPr>
            <w:r w:rsidRPr="00DF4CE5">
              <w:rPr>
                <w:rFonts w:ascii="Cambria" w:hAnsi="Cambria" w:cs="Calibri"/>
              </w:rPr>
              <w:t xml:space="preserve">Daju se </w:t>
            </w:r>
            <w:proofErr w:type="spellStart"/>
            <w:r w:rsidRPr="00DF4CE5">
              <w:rPr>
                <w:rFonts w:ascii="Cambria" w:hAnsi="Cambria" w:cs="Calibri"/>
              </w:rPr>
              <w:t>na</w:t>
            </w:r>
            <w:proofErr w:type="spellEnd"/>
            <w:r w:rsidRPr="00DF4CE5">
              <w:rPr>
                <w:rFonts w:ascii="Cambria" w:hAnsi="Cambria" w:cs="Calibri"/>
              </w:rPr>
              <w:t xml:space="preserve"> </w:t>
            </w:r>
            <w:proofErr w:type="spellStart"/>
            <w:r w:rsidRPr="00DF4CE5">
              <w:rPr>
                <w:rFonts w:ascii="Cambria" w:hAnsi="Cambria" w:cs="Calibri"/>
              </w:rPr>
              <w:t>početku</w:t>
            </w:r>
            <w:proofErr w:type="spellEnd"/>
            <w:r w:rsidRPr="00DF4CE5">
              <w:rPr>
                <w:rFonts w:ascii="Cambria" w:hAnsi="Cambria" w:cs="Calibri"/>
              </w:rPr>
              <w:t xml:space="preserve"> </w:t>
            </w:r>
            <w:proofErr w:type="spellStart"/>
            <w:r w:rsidRPr="00DF4CE5">
              <w:rPr>
                <w:rFonts w:ascii="Cambria" w:hAnsi="Cambria" w:cs="Calibri"/>
              </w:rPr>
              <w:t>akademske</w:t>
            </w:r>
            <w:proofErr w:type="spellEnd"/>
            <w:r w:rsidRPr="00DF4CE5">
              <w:rPr>
                <w:rFonts w:ascii="Cambria" w:hAnsi="Cambria" w:cs="Calibri"/>
              </w:rPr>
              <w:t xml:space="preserve"> </w:t>
            </w:r>
            <w:proofErr w:type="spellStart"/>
            <w:r w:rsidRPr="00DF4CE5">
              <w:rPr>
                <w:rFonts w:ascii="Cambria" w:hAnsi="Cambria" w:cs="Calibri"/>
              </w:rPr>
              <w:t>godine</w:t>
            </w:r>
            <w:proofErr w:type="spellEnd"/>
            <w:r w:rsidRPr="00DF4CE5">
              <w:rPr>
                <w:rFonts w:ascii="Cambria" w:hAnsi="Cambria" w:cs="Calibri"/>
              </w:rPr>
              <w:t xml:space="preserve">, </w:t>
            </w:r>
            <w:proofErr w:type="spellStart"/>
            <w:r w:rsidRPr="00DF4CE5">
              <w:rPr>
                <w:rFonts w:ascii="Cambria" w:hAnsi="Cambria" w:cs="Calibri"/>
              </w:rPr>
              <w:t>objavljuju</w:t>
            </w:r>
            <w:proofErr w:type="spellEnd"/>
            <w:r w:rsidRPr="00DF4CE5">
              <w:rPr>
                <w:rFonts w:ascii="Cambria" w:hAnsi="Cambria" w:cs="Calibri"/>
              </w:rPr>
              <w:t xml:space="preserve"> se </w:t>
            </w:r>
            <w:proofErr w:type="spellStart"/>
            <w:r w:rsidRPr="00DF4CE5">
              <w:rPr>
                <w:rFonts w:ascii="Cambria" w:hAnsi="Cambria" w:cs="Calibri"/>
              </w:rPr>
              <w:t>na</w:t>
            </w:r>
            <w:proofErr w:type="spellEnd"/>
            <w:r w:rsidRPr="00DF4CE5">
              <w:rPr>
                <w:rFonts w:ascii="Cambria" w:hAnsi="Cambria" w:cs="Calibri"/>
              </w:rPr>
              <w:t xml:space="preserve"> </w:t>
            </w:r>
            <w:proofErr w:type="spellStart"/>
            <w:r w:rsidRPr="00DF4CE5">
              <w:rPr>
                <w:rFonts w:ascii="Cambria" w:hAnsi="Cambria" w:cs="Calibri"/>
              </w:rPr>
              <w:t>mrežnim</w:t>
            </w:r>
            <w:proofErr w:type="spellEnd"/>
            <w:r w:rsidRPr="00DF4CE5">
              <w:rPr>
                <w:rFonts w:ascii="Cambria" w:hAnsi="Cambria" w:cs="Calibri"/>
              </w:rPr>
              <w:t xml:space="preserve"> </w:t>
            </w:r>
            <w:proofErr w:type="spellStart"/>
            <w:r w:rsidRPr="00DF4CE5">
              <w:rPr>
                <w:rFonts w:ascii="Cambria" w:hAnsi="Cambria" w:cs="Calibri"/>
              </w:rPr>
              <w:t>stranicama</w:t>
            </w:r>
            <w:proofErr w:type="spellEnd"/>
            <w:r w:rsidRPr="00DF4CE5">
              <w:rPr>
                <w:rFonts w:ascii="Cambria" w:hAnsi="Cambria" w:cs="Calibri"/>
              </w:rPr>
              <w:t xml:space="preserve"> </w:t>
            </w:r>
            <w:proofErr w:type="spellStart"/>
            <w:r w:rsidRPr="00DF4CE5">
              <w:rPr>
                <w:rFonts w:ascii="Cambria" w:hAnsi="Cambria" w:cs="Calibri"/>
              </w:rPr>
              <w:t>Sveučilišta</w:t>
            </w:r>
            <w:proofErr w:type="spellEnd"/>
            <w:r w:rsidRPr="00DF4CE5">
              <w:rPr>
                <w:rFonts w:ascii="Cambria" w:hAnsi="Cambria" w:cs="Calibri"/>
              </w:rPr>
              <w:t xml:space="preserve"> </w:t>
            </w:r>
            <w:proofErr w:type="spellStart"/>
            <w:r w:rsidRPr="00DF4CE5">
              <w:rPr>
                <w:rFonts w:ascii="Cambria" w:hAnsi="Cambria" w:cs="Calibri"/>
              </w:rPr>
              <w:t>i</w:t>
            </w:r>
            <w:proofErr w:type="spellEnd"/>
            <w:r w:rsidRPr="00DF4CE5">
              <w:rPr>
                <w:rFonts w:ascii="Cambria" w:hAnsi="Cambria" w:cs="Calibri"/>
              </w:rPr>
              <w:t xml:space="preserve"> u ISVU.</w:t>
            </w:r>
          </w:p>
        </w:tc>
      </w:tr>
      <w:tr w:rsidR="00F50454" w:rsidRPr="00DF4CE5" w14:paraId="444A0585" w14:textId="77777777" w:rsidTr="00891E8C">
        <w:tc>
          <w:tcPr>
            <w:tcW w:w="26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F742B67" w14:textId="77777777" w:rsidR="00F50454" w:rsidRPr="00DF4CE5" w:rsidRDefault="00F50454" w:rsidP="00891E8C">
            <w:pPr>
              <w:spacing w:after="0" w:line="240" w:lineRule="auto"/>
              <w:rPr>
                <w:rFonts w:ascii="Cambria" w:hAnsi="Cambria" w:cs="Calibri"/>
                <w:lang w:val="it-IT"/>
              </w:rPr>
            </w:pPr>
            <w:r w:rsidRPr="00DF4CE5">
              <w:rPr>
                <w:rFonts w:ascii="Cambria" w:hAnsi="Cambria" w:cs="Calibri"/>
                <w:lang w:val="it-IT"/>
              </w:rPr>
              <w:t xml:space="preserve">Ostale </w:t>
            </w:r>
            <w:proofErr w:type="spellStart"/>
            <w:r w:rsidRPr="00DF4CE5">
              <w:rPr>
                <w:rFonts w:ascii="Cambria" w:hAnsi="Cambria" w:cs="Calibri"/>
                <w:lang w:val="it-IT"/>
              </w:rPr>
              <w:t>važne</w:t>
            </w:r>
            <w:proofErr w:type="spellEnd"/>
            <w:r w:rsidRPr="00DF4CE5">
              <w:rPr>
                <w:rFonts w:ascii="Cambria" w:hAnsi="Cambria" w:cs="Calibri"/>
                <w:lang w:val="it-IT"/>
              </w:rPr>
              <w:t xml:space="preserve"> </w:t>
            </w:r>
            <w:proofErr w:type="spellStart"/>
            <w:r w:rsidRPr="00DF4CE5">
              <w:rPr>
                <w:rFonts w:ascii="Cambria" w:hAnsi="Cambria" w:cs="Calibri"/>
                <w:lang w:val="it-IT"/>
              </w:rPr>
              <w:t>činjenice</w:t>
            </w:r>
            <w:proofErr w:type="spellEnd"/>
            <w:r w:rsidRPr="00DF4CE5">
              <w:rPr>
                <w:rFonts w:ascii="Cambria" w:hAnsi="Cambria" w:cs="Calibri"/>
                <w:lang w:val="it-IT"/>
              </w:rPr>
              <w:t xml:space="preserve"> </w:t>
            </w:r>
            <w:proofErr w:type="spellStart"/>
            <w:r w:rsidRPr="00DF4CE5">
              <w:rPr>
                <w:rFonts w:ascii="Cambria" w:hAnsi="Cambria" w:cs="Calibri"/>
                <w:lang w:val="it-IT"/>
              </w:rPr>
              <w:t>vezane</w:t>
            </w:r>
            <w:proofErr w:type="spellEnd"/>
            <w:r w:rsidRPr="00DF4CE5">
              <w:rPr>
                <w:rFonts w:ascii="Cambria" w:hAnsi="Cambria" w:cs="Calibri"/>
                <w:lang w:val="it-IT"/>
              </w:rPr>
              <w:t xml:space="preserve"> </w:t>
            </w:r>
            <w:proofErr w:type="spellStart"/>
            <w:r w:rsidRPr="00DF4CE5">
              <w:rPr>
                <w:rFonts w:ascii="Cambria" w:hAnsi="Cambria" w:cs="Calibri"/>
                <w:lang w:val="it-IT"/>
              </w:rPr>
              <w:t>uz</w:t>
            </w:r>
            <w:proofErr w:type="spellEnd"/>
            <w:r w:rsidRPr="00DF4CE5">
              <w:rPr>
                <w:rFonts w:ascii="Cambria" w:hAnsi="Cambria" w:cs="Calibri"/>
                <w:lang w:val="it-IT"/>
              </w:rPr>
              <w:t xml:space="preserve"> </w:t>
            </w:r>
            <w:proofErr w:type="spellStart"/>
            <w:r w:rsidRPr="00DF4CE5">
              <w:rPr>
                <w:rFonts w:ascii="Cambria" w:hAnsi="Cambria" w:cs="Calibri"/>
                <w:lang w:val="it-IT"/>
              </w:rPr>
              <w:t>kolegij</w:t>
            </w:r>
            <w:proofErr w:type="spellEnd"/>
          </w:p>
        </w:tc>
        <w:tc>
          <w:tcPr>
            <w:tcW w:w="6731"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6B1D1C8" w14:textId="77777777" w:rsidR="00F50454" w:rsidRPr="00DF4CE5" w:rsidRDefault="00F50454" w:rsidP="00891E8C">
            <w:pPr>
              <w:spacing w:after="0" w:line="240" w:lineRule="auto"/>
              <w:rPr>
                <w:rFonts w:ascii="Cambria" w:hAnsi="Cambria" w:cs="Calibri"/>
                <w:lang w:val="it-IT"/>
              </w:rPr>
            </w:pPr>
            <w:proofErr w:type="spellStart"/>
            <w:r w:rsidRPr="00DF4CE5">
              <w:rPr>
                <w:rFonts w:ascii="Cambria" w:hAnsi="Cambria" w:cs="Calibri"/>
                <w:lang w:val="it-IT"/>
              </w:rPr>
              <w:t>Materijali</w:t>
            </w:r>
            <w:proofErr w:type="spellEnd"/>
            <w:r w:rsidRPr="00DF4CE5">
              <w:rPr>
                <w:rFonts w:ascii="Cambria" w:hAnsi="Cambria" w:cs="Calibri"/>
                <w:lang w:val="it-IT"/>
              </w:rPr>
              <w:t xml:space="preserve"> za </w:t>
            </w:r>
            <w:proofErr w:type="spellStart"/>
            <w:r w:rsidRPr="00DF4CE5">
              <w:rPr>
                <w:rFonts w:ascii="Cambria" w:hAnsi="Cambria" w:cs="Calibri"/>
                <w:lang w:val="it-IT"/>
              </w:rPr>
              <w:t>predavanja</w:t>
            </w:r>
            <w:proofErr w:type="spellEnd"/>
            <w:r w:rsidRPr="00DF4CE5">
              <w:rPr>
                <w:rFonts w:ascii="Cambria" w:hAnsi="Cambria" w:cs="Calibri"/>
                <w:lang w:val="it-IT"/>
              </w:rPr>
              <w:t xml:space="preserve"> </w:t>
            </w:r>
            <w:proofErr w:type="gramStart"/>
            <w:r w:rsidRPr="00DF4CE5">
              <w:rPr>
                <w:rFonts w:ascii="Cambria" w:hAnsi="Cambria" w:cs="Calibri"/>
                <w:lang w:val="it-IT"/>
              </w:rPr>
              <w:t>i seminare</w:t>
            </w:r>
            <w:proofErr w:type="gramEnd"/>
            <w:r w:rsidRPr="00DF4CE5">
              <w:rPr>
                <w:rFonts w:ascii="Cambria" w:hAnsi="Cambria" w:cs="Calibri"/>
                <w:lang w:val="it-IT"/>
              </w:rPr>
              <w:t xml:space="preserve"> </w:t>
            </w:r>
            <w:proofErr w:type="spellStart"/>
            <w:r w:rsidRPr="00DF4CE5">
              <w:rPr>
                <w:rFonts w:ascii="Cambria" w:hAnsi="Cambria" w:cs="Calibri"/>
                <w:lang w:val="it-IT"/>
              </w:rPr>
              <w:t>objavljuju</w:t>
            </w:r>
            <w:proofErr w:type="spellEnd"/>
            <w:r w:rsidRPr="00DF4CE5">
              <w:rPr>
                <w:rFonts w:ascii="Cambria" w:hAnsi="Cambria" w:cs="Calibri"/>
                <w:lang w:val="it-IT"/>
              </w:rPr>
              <w:t xml:space="preserve"> se </w:t>
            </w:r>
            <w:proofErr w:type="spellStart"/>
            <w:r w:rsidRPr="00DF4CE5">
              <w:rPr>
                <w:rFonts w:ascii="Cambria" w:hAnsi="Cambria" w:cs="Calibri"/>
                <w:lang w:val="it-IT"/>
              </w:rPr>
              <w:t>na</w:t>
            </w:r>
            <w:proofErr w:type="spellEnd"/>
            <w:r w:rsidRPr="00DF4CE5">
              <w:rPr>
                <w:rFonts w:ascii="Cambria" w:hAnsi="Cambria" w:cs="Calibri"/>
                <w:lang w:val="it-IT"/>
              </w:rPr>
              <w:t xml:space="preserve"> e-</w:t>
            </w:r>
            <w:proofErr w:type="spellStart"/>
            <w:r w:rsidRPr="00DF4CE5">
              <w:rPr>
                <w:rFonts w:ascii="Cambria" w:hAnsi="Cambria" w:cs="Calibri"/>
                <w:lang w:val="it-IT"/>
              </w:rPr>
              <w:t>učenju</w:t>
            </w:r>
            <w:proofErr w:type="spellEnd"/>
            <w:r w:rsidRPr="00DF4CE5">
              <w:rPr>
                <w:rFonts w:ascii="Cambria" w:hAnsi="Cambria" w:cs="Calibri"/>
                <w:lang w:val="it-IT"/>
              </w:rPr>
              <w:t>.</w:t>
            </w:r>
          </w:p>
          <w:p w14:paraId="3EC9A472" w14:textId="77777777" w:rsidR="00F50454" w:rsidRPr="00DF4CE5" w:rsidRDefault="00F50454" w:rsidP="00891E8C">
            <w:pPr>
              <w:spacing w:after="0" w:line="240" w:lineRule="auto"/>
              <w:rPr>
                <w:rFonts w:ascii="Cambria" w:hAnsi="Cambria" w:cs="Calibri"/>
                <w:lang w:val="it-IT"/>
              </w:rPr>
            </w:pPr>
            <w:r w:rsidRPr="00DF4CE5">
              <w:rPr>
                <w:rFonts w:ascii="Cambria" w:hAnsi="Cambria" w:cs="Calibri"/>
                <w:lang w:val="it-IT"/>
              </w:rPr>
              <w:t xml:space="preserve">U </w:t>
            </w:r>
            <w:proofErr w:type="spellStart"/>
            <w:r w:rsidRPr="00DF4CE5">
              <w:rPr>
                <w:rFonts w:ascii="Cambria" w:hAnsi="Cambria" w:cs="Calibri"/>
                <w:lang w:val="it-IT"/>
              </w:rPr>
              <w:t>slučaju</w:t>
            </w:r>
            <w:proofErr w:type="spellEnd"/>
            <w:r w:rsidRPr="00DF4CE5">
              <w:rPr>
                <w:rFonts w:ascii="Cambria" w:hAnsi="Cambria" w:cs="Calibri"/>
                <w:lang w:val="it-IT"/>
              </w:rPr>
              <w:t xml:space="preserve"> </w:t>
            </w:r>
            <w:proofErr w:type="spellStart"/>
            <w:r w:rsidRPr="00DF4CE5">
              <w:rPr>
                <w:rFonts w:ascii="Cambria" w:hAnsi="Cambria" w:cs="Calibri"/>
                <w:lang w:val="it-IT"/>
              </w:rPr>
              <w:t>održavanja</w:t>
            </w:r>
            <w:proofErr w:type="spellEnd"/>
            <w:r w:rsidRPr="00DF4CE5">
              <w:rPr>
                <w:rFonts w:ascii="Cambria" w:hAnsi="Cambria" w:cs="Calibri"/>
                <w:lang w:val="it-IT"/>
              </w:rPr>
              <w:t xml:space="preserve"> </w:t>
            </w:r>
            <w:proofErr w:type="spellStart"/>
            <w:r w:rsidRPr="00DF4CE5">
              <w:rPr>
                <w:rFonts w:ascii="Cambria" w:hAnsi="Cambria" w:cs="Calibri"/>
                <w:lang w:val="it-IT"/>
              </w:rPr>
              <w:t>nastave</w:t>
            </w:r>
            <w:proofErr w:type="spellEnd"/>
            <w:r w:rsidRPr="00DF4CE5">
              <w:rPr>
                <w:rFonts w:ascii="Cambria" w:hAnsi="Cambria" w:cs="Calibri"/>
                <w:lang w:val="it-IT"/>
              </w:rPr>
              <w:t xml:space="preserve"> </w:t>
            </w:r>
            <w:proofErr w:type="spellStart"/>
            <w:r w:rsidRPr="00DF4CE5">
              <w:rPr>
                <w:rFonts w:ascii="Cambria" w:hAnsi="Cambria" w:cs="Calibri"/>
                <w:lang w:val="it-IT"/>
              </w:rPr>
              <w:t>na</w:t>
            </w:r>
            <w:proofErr w:type="spellEnd"/>
            <w:r w:rsidRPr="00DF4CE5">
              <w:rPr>
                <w:rFonts w:ascii="Cambria" w:hAnsi="Cambria" w:cs="Calibri"/>
                <w:lang w:val="it-IT"/>
              </w:rPr>
              <w:t xml:space="preserve"> </w:t>
            </w:r>
            <w:proofErr w:type="spellStart"/>
            <w:r w:rsidRPr="00DF4CE5">
              <w:rPr>
                <w:rFonts w:ascii="Cambria" w:hAnsi="Cambria" w:cs="Calibri"/>
                <w:lang w:val="it-IT"/>
              </w:rPr>
              <w:t>daljinu</w:t>
            </w:r>
            <w:proofErr w:type="spellEnd"/>
            <w:r w:rsidRPr="00DF4CE5">
              <w:rPr>
                <w:rFonts w:ascii="Cambria" w:hAnsi="Cambria" w:cs="Calibri"/>
                <w:lang w:val="it-IT"/>
              </w:rPr>
              <w:t xml:space="preserve">, </w:t>
            </w:r>
            <w:proofErr w:type="spellStart"/>
            <w:r w:rsidRPr="00DF4CE5">
              <w:rPr>
                <w:rFonts w:ascii="Cambria" w:hAnsi="Cambria" w:cs="Calibri"/>
                <w:lang w:val="it-IT"/>
              </w:rPr>
              <w:t>moguće</w:t>
            </w:r>
            <w:proofErr w:type="spellEnd"/>
            <w:r w:rsidRPr="00DF4CE5">
              <w:rPr>
                <w:rFonts w:ascii="Cambria" w:hAnsi="Cambria" w:cs="Calibri"/>
                <w:lang w:val="it-IT"/>
              </w:rPr>
              <w:t xml:space="preserve"> je </w:t>
            </w:r>
            <w:proofErr w:type="spellStart"/>
            <w:r w:rsidRPr="00DF4CE5">
              <w:rPr>
                <w:rFonts w:ascii="Cambria" w:hAnsi="Cambria" w:cs="Calibri"/>
                <w:lang w:val="it-IT"/>
              </w:rPr>
              <w:t>odstupanje</w:t>
            </w:r>
            <w:proofErr w:type="spellEnd"/>
            <w:r w:rsidRPr="00DF4CE5">
              <w:rPr>
                <w:rFonts w:ascii="Cambria" w:hAnsi="Cambria" w:cs="Calibri"/>
                <w:lang w:val="it-IT"/>
              </w:rPr>
              <w:t xml:space="preserve"> u:</w:t>
            </w:r>
          </w:p>
          <w:p w14:paraId="58B68B7E" w14:textId="77777777" w:rsidR="00F50454" w:rsidRPr="00DF4CE5" w:rsidRDefault="00F50454" w:rsidP="00891E8C">
            <w:pPr>
              <w:spacing w:after="0" w:line="240" w:lineRule="auto"/>
              <w:rPr>
                <w:rFonts w:ascii="Cambria" w:hAnsi="Cambria" w:cs="Calibri"/>
                <w:lang w:val="it-IT"/>
              </w:rPr>
            </w:pPr>
            <w:r w:rsidRPr="00DF4CE5">
              <w:rPr>
                <w:rFonts w:ascii="Cambria" w:hAnsi="Cambria" w:cs="Calibri"/>
                <w:lang w:val="it-IT"/>
              </w:rPr>
              <w:t xml:space="preserve">- </w:t>
            </w:r>
            <w:proofErr w:type="spellStart"/>
            <w:r w:rsidRPr="00DF4CE5">
              <w:rPr>
                <w:rFonts w:ascii="Cambria" w:hAnsi="Cambria" w:cs="Calibri"/>
                <w:lang w:val="it-IT"/>
              </w:rPr>
              <w:t>mjestu</w:t>
            </w:r>
            <w:proofErr w:type="spellEnd"/>
            <w:r w:rsidRPr="00DF4CE5">
              <w:rPr>
                <w:rFonts w:ascii="Cambria" w:hAnsi="Cambria" w:cs="Calibri"/>
                <w:lang w:val="it-IT"/>
              </w:rPr>
              <w:t xml:space="preserve"> </w:t>
            </w:r>
            <w:proofErr w:type="spellStart"/>
            <w:r w:rsidRPr="00DF4CE5">
              <w:rPr>
                <w:rFonts w:ascii="Cambria" w:hAnsi="Cambria" w:cs="Calibri"/>
                <w:lang w:val="it-IT"/>
              </w:rPr>
              <w:t>izvođenja</w:t>
            </w:r>
            <w:proofErr w:type="spellEnd"/>
            <w:r w:rsidRPr="00DF4CE5">
              <w:rPr>
                <w:rFonts w:ascii="Cambria" w:hAnsi="Cambria" w:cs="Calibri"/>
                <w:lang w:val="it-IT"/>
              </w:rPr>
              <w:t xml:space="preserve"> </w:t>
            </w:r>
            <w:proofErr w:type="spellStart"/>
            <w:r w:rsidRPr="00DF4CE5">
              <w:rPr>
                <w:rFonts w:ascii="Cambria" w:hAnsi="Cambria" w:cs="Calibri"/>
                <w:lang w:val="it-IT"/>
              </w:rPr>
              <w:t>kolegija</w:t>
            </w:r>
            <w:proofErr w:type="spellEnd"/>
          </w:p>
          <w:p w14:paraId="6E12580F" w14:textId="77777777" w:rsidR="00F50454" w:rsidRPr="00DF4CE5" w:rsidRDefault="00F50454" w:rsidP="00891E8C">
            <w:pPr>
              <w:spacing w:after="0" w:line="240" w:lineRule="auto"/>
              <w:rPr>
                <w:rFonts w:ascii="Cambria" w:hAnsi="Cambria" w:cs="Calibri"/>
                <w:lang w:val="it-IT"/>
              </w:rPr>
            </w:pPr>
            <w:r w:rsidRPr="00DF4CE5">
              <w:rPr>
                <w:rFonts w:ascii="Cambria" w:hAnsi="Cambria" w:cs="Calibri"/>
                <w:lang w:val="it-IT"/>
              </w:rPr>
              <w:t xml:space="preserve">- </w:t>
            </w:r>
            <w:proofErr w:type="spellStart"/>
            <w:r w:rsidRPr="00DF4CE5">
              <w:rPr>
                <w:rFonts w:ascii="Cambria" w:hAnsi="Cambria" w:cs="Calibri"/>
                <w:lang w:val="it-IT"/>
              </w:rPr>
              <w:t>provedbi</w:t>
            </w:r>
            <w:proofErr w:type="spellEnd"/>
            <w:r w:rsidRPr="00DF4CE5">
              <w:rPr>
                <w:rFonts w:ascii="Cambria" w:hAnsi="Cambria" w:cs="Calibri"/>
                <w:lang w:val="it-IT"/>
              </w:rPr>
              <w:t xml:space="preserve"> </w:t>
            </w:r>
            <w:proofErr w:type="spellStart"/>
            <w:r w:rsidRPr="00DF4CE5">
              <w:rPr>
                <w:rFonts w:ascii="Cambria" w:hAnsi="Cambria" w:cs="Calibri"/>
                <w:lang w:val="it-IT"/>
              </w:rPr>
              <w:t>aktivnosti</w:t>
            </w:r>
            <w:proofErr w:type="spellEnd"/>
            <w:r w:rsidRPr="00DF4CE5">
              <w:rPr>
                <w:rFonts w:ascii="Cambria" w:hAnsi="Cambria" w:cs="Calibri"/>
                <w:lang w:val="it-IT"/>
              </w:rPr>
              <w:t xml:space="preserve">, </w:t>
            </w:r>
            <w:proofErr w:type="spellStart"/>
            <w:r w:rsidRPr="00DF4CE5">
              <w:rPr>
                <w:rFonts w:ascii="Cambria" w:hAnsi="Cambria" w:cs="Calibri"/>
                <w:lang w:val="it-IT"/>
              </w:rPr>
              <w:t>metodama</w:t>
            </w:r>
            <w:proofErr w:type="spellEnd"/>
            <w:r w:rsidRPr="00DF4CE5">
              <w:rPr>
                <w:rFonts w:ascii="Cambria" w:hAnsi="Cambria" w:cs="Calibri"/>
                <w:lang w:val="it-IT"/>
              </w:rPr>
              <w:t xml:space="preserve"> </w:t>
            </w:r>
            <w:proofErr w:type="spellStart"/>
            <w:r w:rsidRPr="00DF4CE5">
              <w:rPr>
                <w:rFonts w:ascii="Cambria" w:hAnsi="Cambria" w:cs="Calibri"/>
                <w:lang w:val="it-IT"/>
              </w:rPr>
              <w:t>tumačenja</w:t>
            </w:r>
            <w:proofErr w:type="spellEnd"/>
            <w:r w:rsidRPr="00DF4CE5">
              <w:rPr>
                <w:rFonts w:ascii="Cambria" w:hAnsi="Cambria" w:cs="Calibri"/>
                <w:lang w:val="it-IT"/>
              </w:rPr>
              <w:t xml:space="preserve"> i </w:t>
            </w:r>
            <w:proofErr w:type="spellStart"/>
            <w:r w:rsidRPr="00DF4CE5">
              <w:rPr>
                <w:rFonts w:ascii="Cambria" w:hAnsi="Cambria" w:cs="Calibri"/>
                <w:lang w:val="it-IT"/>
              </w:rPr>
              <w:t>poučavanja</w:t>
            </w:r>
            <w:proofErr w:type="spellEnd"/>
            <w:r w:rsidRPr="00DF4CE5">
              <w:rPr>
                <w:rFonts w:ascii="Cambria" w:hAnsi="Cambria" w:cs="Calibri"/>
                <w:lang w:val="it-IT"/>
              </w:rPr>
              <w:t xml:space="preserve"> i </w:t>
            </w:r>
            <w:proofErr w:type="spellStart"/>
            <w:r w:rsidRPr="00DF4CE5">
              <w:rPr>
                <w:rFonts w:ascii="Cambria" w:hAnsi="Cambria" w:cs="Calibri"/>
                <w:lang w:val="it-IT"/>
              </w:rPr>
              <w:t>načinima</w:t>
            </w:r>
            <w:proofErr w:type="spellEnd"/>
          </w:p>
          <w:p w14:paraId="50C917E2" w14:textId="77777777" w:rsidR="00F50454" w:rsidRPr="00DF4CE5" w:rsidRDefault="00F50454" w:rsidP="00891E8C">
            <w:pPr>
              <w:spacing w:after="0" w:line="240" w:lineRule="auto"/>
              <w:rPr>
                <w:rFonts w:ascii="Cambria" w:hAnsi="Cambria" w:cs="Calibri"/>
                <w:lang w:val="it-IT"/>
              </w:rPr>
            </w:pPr>
            <w:proofErr w:type="spellStart"/>
            <w:r w:rsidRPr="00DF4CE5">
              <w:rPr>
                <w:rFonts w:ascii="Cambria" w:hAnsi="Cambria" w:cs="Calibri"/>
                <w:lang w:val="it-IT"/>
              </w:rPr>
              <w:t>vrednovanja</w:t>
            </w:r>
            <w:proofErr w:type="spellEnd"/>
          </w:p>
          <w:p w14:paraId="4DA60A40" w14:textId="77777777" w:rsidR="00F50454" w:rsidRPr="00DF4CE5" w:rsidRDefault="00F50454" w:rsidP="00891E8C">
            <w:pPr>
              <w:spacing w:after="0" w:line="240" w:lineRule="auto"/>
              <w:rPr>
                <w:rFonts w:ascii="Cambria" w:hAnsi="Cambria" w:cs="Calibri"/>
                <w:lang w:val="it-IT"/>
              </w:rPr>
            </w:pPr>
            <w:r w:rsidRPr="00DF4CE5">
              <w:rPr>
                <w:rFonts w:ascii="Cambria" w:hAnsi="Cambria" w:cs="Calibri"/>
                <w:lang w:val="it-IT"/>
              </w:rPr>
              <w:lastRenderedPageBreak/>
              <w:t xml:space="preserve">- </w:t>
            </w:r>
            <w:proofErr w:type="spellStart"/>
            <w:r w:rsidRPr="00DF4CE5">
              <w:rPr>
                <w:rFonts w:ascii="Cambria" w:hAnsi="Cambria" w:cs="Calibri"/>
                <w:lang w:val="it-IT"/>
              </w:rPr>
              <w:t>studentskim</w:t>
            </w:r>
            <w:proofErr w:type="spellEnd"/>
            <w:r w:rsidRPr="00DF4CE5">
              <w:rPr>
                <w:rFonts w:ascii="Cambria" w:hAnsi="Cambria" w:cs="Calibri"/>
                <w:lang w:val="it-IT"/>
              </w:rPr>
              <w:t xml:space="preserve"> </w:t>
            </w:r>
            <w:proofErr w:type="spellStart"/>
            <w:r w:rsidRPr="00DF4CE5">
              <w:rPr>
                <w:rFonts w:ascii="Cambria" w:hAnsi="Cambria" w:cs="Calibri"/>
                <w:lang w:val="it-IT"/>
              </w:rPr>
              <w:t>obvezama</w:t>
            </w:r>
            <w:proofErr w:type="spellEnd"/>
          </w:p>
          <w:p w14:paraId="75E40839" w14:textId="77777777" w:rsidR="00F50454" w:rsidRPr="00DF4CE5" w:rsidRDefault="00F50454" w:rsidP="00891E8C">
            <w:pPr>
              <w:spacing w:after="0" w:line="240" w:lineRule="auto"/>
              <w:rPr>
                <w:rFonts w:ascii="Cambria" w:hAnsi="Cambria" w:cs="Calibri"/>
                <w:lang w:val="it-IT"/>
              </w:rPr>
            </w:pPr>
            <w:r w:rsidRPr="00DF4CE5">
              <w:rPr>
                <w:rFonts w:ascii="Cambria" w:hAnsi="Cambria" w:cs="Calibri"/>
                <w:lang w:val="it-IT"/>
              </w:rPr>
              <w:t xml:space="preserve">- </w:t>
            </w:r>
            <w:proofErr w:type="spellStart"/>
            <w:r w:rsidRPr="00DF4CE5">
              <w:rPr>
                <w:rFonts w:ascii="Cambria" w:hAnsi="Cambria" w:cs="Calibri"/>
                <w:lang w:val="it-IT"/>
              </w:rPr>
              <w:t>dostupnoj</w:t>
            </w:r>
            <w:proofErr w:type="spellEnd"/>
            <w:r w:rsidRPr="00DF4CE5">
              <w:rPr>
                <w:rFonts w:ascii="Cambria" w:hAnsi="Cambria" w:cs="Calibri"/>
                <w:lang w:val="it-IT"/>
              </w:rPr>
              <w:t xml:space="preserve"> </w:t>
            </w:r>
            <w:proofErr w:type="spellStart"/>
            <w:r w:rsidRPr="00DF4CE5">
              <w:rPr>
                <w:rFonts w:ascii="Cambria" w:hAnsi="Cambria" w:cs="Calibri"/>
                <w:lang w:val="it-IT"/>
              </w:rPr>
              <w:t>literaturi</w:t>
            </w:r>
            <w:proofErr w:type="spellEnd"/>
            <w:r w:rsidRPr="00DF4CE5">
              <w:rPr>
                <w:rFonts w:ascii="Cambria" w:hAnsi="Cambria" w:cs="Calibri"/>
                <w:lang w:val="it-IT"/>
              </w:rPr>
              <w:t>.</w:t>
            </w:r>
          </w:p>
          <w:p w14:paraId="481C5DC8" w14:textId="77777777" w:rsidR="00F50454" w:rsidRPr="00DF4CE5" w:rsidRDefault="00F50454" w:rsidP="00891E8C">
            <w:pPr>
              <w:spacing w:after="0" w:line="240" w:lineRule="auto"/>
              <w:rPr>
                <w:rFonts w:ascii="Cambria" w:hAnsi="Cambria" w:cs="Calibri"/>
                <w:lang w:val="it-IT"/>
              </w:rPr>
            </w:pPr>
            <w:r w:rsidRPr="00DF4CE5">
              <w:rPr>
                <w:rFonts w:ascii="Cambria" w:hAnsi="Cambria" w:cs="Calibri"/>
                <w:lang w:val="it-IT"/>
              </w:rPr>
              <w:t xml:space="preserve">O tome </w:t>
            </w:r>
            <w:proofErr w:type="spellStart"/>
            <w:r w:rsidRPr="00DF4CE5">
              <w:rPr>
                <w:rFonts w:ascii="Cambria" w:hAnsi="Cambria" w:cs="Calibri"/>
                <w:lang w:val="it-IT"/>
              </w:rPr>
              <w:t>će</w:t>
            </w:r>
            <w:proofErr w:type="spellEnd"/>
            <w:r w:rsidRPr="00DF4CE5">
              <w:rPr>
                <w:rFonts w:ascii="Cambria" w:hAnsi="Cambria" w:cs="Calibri"/>
                <w:lang w:val="it-IT"/>
              </w:rPr>
              <w:t xml:space="preserve"> </w:t>
            </w:r>
            <w:proofErr w:type="spellStart"/>
            <w:r w:rsidRPr="00DF4CE5">
              <w:rPr>
                <w:rFonts w:ascii="Cambria" w:hAnsi="Cambria" w:cs="Calibri"/>
                <w:lang w:val="it-IT"/>
              </w:rPr>
              <w:t>nositeljica</w:t>
            </w:r>
            <w:proofErr w:type="spellEnd"/>
            <w:r w:rsidRPr="00DF4CE5">
              <w:rPr>
                <w:rFonts w:ascii="Cambria" w:hAnsi="Cambria" w:cs="Calibri"/>
                <w:lang w:val="it-IT"/>
              </w:rPr>
              <w:t xml:space="preserve"> </w:t>
            </w:r>
            <w:proofErr w:type="spellStart"/>
            <w:r w:rsidRPr="00DF4CE5">
              <w:rPr>
                <w:rFonts w:ascii="Cambria" w:hAnsi="Cambria" w:cs="Calibri"/>
                <w:lang w:val="it-IT"/>
              </w:rPr>
              <w:t>kolegija</w:t>
            </w:r>
            <w:proofErr w:type="spellEnd"/>
            <w:r w:rsidRPr="00DF4CE5">
              <w:rPr>
                <w:rFonts w:ascii="Cambria" w:hAnsi="Cambria" w:cs="Calibri"/>
                <w:lang w:val="it-IT"/>
              </w:rPr>
              <w:t xml:space="preserve"> i </w:t>
            </w:r>
            <w:proofErr w:type="spellStart"/>
            <w:r w:rsidRPr="00DF4CE5">
              <w:rPr>
                <w:rFonts w:ascii="Cambria" w:hAnsi="Cambria" w:cs="Calibri"/>
                <w:lang w:val="it-IT"/>
              </w:rPr>
              <w:t>asistentica</w:t>
            </w:r>
            <w:proofErr w:type="spellEnd"/>
            <w:r w:rsidRPr="00DF4CE5">
              <w:rPr>
                <w:rFonts w:ascii="Cambria" w:hAnsi="Cambria" w:cs="Calibri"/>
                <w:lang w:val="it-IT"/>
              </w:rPr>
              <w:t xml:space="preserve"> </w:t>
            </w:r>
            <w:proofErr w:type="spellStart"/>
            <w:r w:rsidRPr="00DF4CE5">
              <w:rPr>
                <w:rFonts w:ascii="Cambria" w:hAnsi="Cambria" w:cs="Calibri"/>
                <w:lang w:val="it-IT"/>
              </w:rPr>
              <w:t>obavijestiti</w:t>
            </w:r>
            <w:proofErr w:type="spellEnd"/>
            <w:r w:rsidRPr="00DF4CE5">
              <w:rPr>
                <w:rFonts w:ascii="Cambria" w:hAnsi="Cambria" w:cs="Calibri"/>
                <w:lang w:val="it-IT"/>
              </w:rPr>
              <w:t xml:space="preserve"> studente i </w:t>
            </w:r>
            <w:proofErr w:type="spellStart"/>
            <w:r w:rsidRPr="00DF4CE5">
              <w:rPr>
                <w:rFonts w:ascii="Cambria" w:hAnsi="Cambria" w:cs="Calibri"/>
                <w:lang w:val="it-IT"/>
              </w:rPr>
              <w:t>studentice</w:t>
            </w:r>
            <w:proofErr w:type="spellEnd"/>
            <w:r w:rsidRPr="00DF4CE5">
              <w:rPr>
                <w:rFonts w:ascii="Cambria" w:hAnsi="Cambria" w:cs="Calibri"/>
                <w:lang w:val="it-IT"/>
              </w:rPr>
              <w:t xml:space="preserve"> </w:t>
            </w:r>
            <w:proofErr w:type="spellStart"/>
            <w:r w:rsidRPr="00DF4CE5">
              <w:rPr>
                <w:rFonts w:ascii="Cambria" w:hAnsi="Cambria" w:cs="Calibri"/>
                <w:lang w:val="it-IT"/>
              </w:rPr>
              <w:t>kad</w:t>
            </w:r>
            <w:proofErr w:type="spellEnd"/>
            <w:r w:rsidRPr="00DF4CE5">
              <w:rPr>
                <w:rFonts w:ascii="Cambria" w:hAnsi="Cambria" w:cs="Calibri"/>
                <w:lang w:val="it-IT"/>
              </w:rPr>
              <w:t xml:space="preserve"> se </w:t>
            </w:r>
            <w:proofErr w:type="spellStart"/>
            <w:r w:rsidRPr="00DF4CE5">
              <w:rPr>
                <w:rFonts w:ascii="Cambria" w:hAnsi="Cambria" w:cs="Calibri"/>
                <w:lang w:val="it-IT"/>
              </w:rPr>
              <w:t>nastava</w:t>
            </w:r>
            <w:proofErr w:type="spellEnd"/>
            <w:r w:rsidRPr="00DF4CE5">
              <w:rPr>
                <w:rFonts w:ascii="Cambria" w:hAnsi="Cambria" w:cs="Calibri"/>
                <w:lang w:val="it-IT"/>
              </w:rPr>
              <w:t xml:space="preserve"> </w:t>
            </w:r>
            <w:proofErr w:type="spellStart"/>
            <w:r w:rsidRPr="00DF4CE5">
              <w:rPr>
                <w:rFonts w:ascii="Cambria" w:hAnsi="Cambria" w:cs="Calibri"/>
                <w:lang w:val="it-IT"/>
              </w:rPr>
              <w:t>na</w:t>
            </w:r>
            <w:proofErr w:type="spellEnd"/>
            <w:r w:rsidRPr="00DF4CE5">
              <w:rPr>
                <w:rFonts w:ascii="Cambria" w:hAnsi="Cambria" w:cs="Calibri"/>
                <w:lang w:val="it-IT"/>
              </w:rPr>
              <w:t xml:space="preserve"> </w:t>
            </w:r>
            <w:proofErr w:type="spellStart"/>
            <w:r w:rsidRPr="00DF4CE5">
              <w:rPr>
                <w:rFonts w:ascii="Cambria" w:hAnsi="Cambria" w:cs="Calibri"/>
                <w:lang w:val="it-IT"/>
              </w:rPr>
              <w:t>daljinu</w:t>
            </w:r>
            <w:proofErr w:type="spellEnd"/>
            <w:r w:rsidRPr="00DF4CE5">
              <w:rPr>
                <w:rFonts w:ascii="Cambria" w:hAnsi="Cambria" w:cs="Calibri"/>
                <w:lang w:val="it-IT"/>
              </w:rPr>
              <w:t xml:space="preserve"> </w:t>
            </w:r>
            <w:proofErr w:type="spellStart"/>
            <w:r w:rsidRPr="00DF4CE5">
              <w:rPr>
                <w:rFonts w:ascii="Cambria" w:hAnsi="Cambria" w:cs="Calibri"/>
                <w:lang w:val="it-IT"/>
              </w:rPr>
              <w:t>počne</w:t>
            </w:r>
            <w:proofErr w:type="spellEnd"/>
            <w:r w:rsidRPr="00DF4CE5">
              <w:rPr>
                <w:rFonts w:ascii="Cambria" w:hAnsi="Cambria" w:cs="Calibri"/>
                <w:lang w:val="it-IT"/>
              </w:rPr>
              <w:t xml:space="preserve"> </w:t>
            </w:r>
            <w:proofErr w:type="spellStart"/>
            <w:r w:rsidRPr="00DF4CE5">
              <w:rPr>
                <w:rFonts w:ascii="Cambria" w:hAnsi="Cambria" w:cs="Calibri"/>
                <w:lang w:val="it-IT"/>
              </w:rPr>
              <w:t>održavati</w:t>
            </w:r>
            <w:proofErr w:type="spellEnd"/>
            <w:r w:rsidRPr="00DF4CE5">
              <w:rPr>
                <w:rFonts w:ascii="Cambria" w:hAnsi="Cambria" w:cs="Calibri"/>
                <w:lang w:val="it-IT"/>
              </w:rPr>
              <w:t>.</w:t>
            </w:r>
          </w:p>
          <w:p w14:paraId="03468ADD" w14:textId="77777777" w:rsidR="00F50454" w:rsidRPr="00DF4CE5" w:rsidRDefault="00F50454" w:rsidP="00891E8C">
            <w:pPr>
              <w:spacing w:after="0" w:line="240" w:lineRule="auto"/>
              <w:rPr>
                <w:rFonts w:ascii="Cambria" w:hAnsi="Cambria" w:cs="Calibri"/>
              </w:rPr>
            </w:pPr>
            <w:proofErr w:type="spellStart"/>
            <w:r w:rsidRPr="00DF4CE5">
              <w:rPr>
                <w:rFonts w:ascii="Cambria" w:hAnsi="Cambria" w:cs="Calibri"/>
              </w:rPr>
              <w:t>Ishodi</w:t>
            </w:r>
            <w:proofErr w:type="spellEnd"/>
            <w:r w:rsidRPr="00DF4CE5">
              <w:rPr>
                <w:rFonts w:ascii="Cambria" w:hAnsi="Cambria" w:cs="Calibri"/>
              </w:rPr>
              <w:t xml:space="preserve"> </w:t>
            </w:r>
            <w:proofErr w:type="spellStart"/>
            <w:r w:rsidRPr="00DF4CE5">
              <w:rPr>
                <w:rFonts w:ascii="Cambria" w:hAnsi="Cambria" w:cs="Calibri"/>
              </w:rPr>
              <w:t>učenja</w:t>
            </w:r>
            <w:proofErr w:type="spellEnd"/>
            <w:r w:rsidRPr="00DF4CE5">
              <w:rPr>
                <w:rFonts w:ascii="Cambria" w:hAnsi="Cambria" w:cs="Calibri"/>
              </w:rPr>
              <w:t xml:space="preserve"> </w:t>
            </w:r>
            <w:proofErr w:type="spellStart"/>
            <w:r w:rsidRPr="00DF4CE5">
              <w:rPr>
                <w:rFonts w:ascii="Cambria" w:hAnsi="Cambria" w:cs="Calibri"/>
              </w:rPr>
              <w:t>ostaju</w:t>
            </w:r>
            <w:proofErr w:type="spellEnd"/>
            <w:r w:rsidRPr="00DF4CE5">
              <w:rPr>
                <w:rFonts w:ascii="Cambria" w:hAnsi="Cambria" w:cs="Calibri"/>
              </w:rPr>
              <w:t xml:space="preserve"> </w:t>
            </w:r>
            <w:proofErr w:type="spellStart"/>
            <w:r w:rsidRPr="00DF4CE5">
              <w:rPr>
                <w:rFonts w:ascii="Cambria" w:hAnsi="Cambria" w:cs="Calibri"/>
              </w:rPr>
              <w:t>nepromijenjeni</w:t>
            </w:r>
            <w:proofErr w:type="spellEnd"/>
            <w:r w:rsidRPr="00DF4CE5">
              <w:rPr>
                <w:rFonts w:ascii="Cambria" w:hAnsi="Cambria" w:cs="Calibri"/>
              </w:rPr>
              <w:t>.</w:t>
            </w:r>
          </w:p>
        </w:tc>
      </w:tr>
      <w:tr w:rsidR="00F50454" w:rsidRPr="00DF4CE5" w14:paraId="79993FE7" w14:textId="77777777" w:rsidTr="00891E8C">
        <w:trPr>
          <w:trHeight w:val="343"/>
        </w:trPr>
        <w:tc>
          <w:tcPr>
            <w:tcW w:w="26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6C292DD" w14:textId="77777777" w:rsidR="00F50454" w:rsidRPr="00DF4CE5" w:rsidRDefault="00F50454" w:rsidP="00891E8C">
            <w:pPr>
              <w:spacing w:after="0" w:line="240" w:lineRule="auto"/>
              <w:rPr>
                <w:rFonts w:ascii="Cambria" w:hAnsi="Cambria" w:cs="Calibri"/>
              </w:rPr>
            </w:pPr>
            <w:proofErr w:type="spellStart"/>
            <w:r w:rsidRPr="00DF4CE5">
              <w:rPr>
                <w:rFonts w:ascii="Cambria" w:hAnsi="Cambria" w:cs="Calibri"/>
              </w:rPr>
              <w:lastRenderedPageBreak/>
              <w:t>Literatura</w:t>
            </w:r>
            <w:proofErr w:type="spellEnd"/>
          </w:p>
        </w:tc>
        <w:tc>
          <w:tcPr>
            <w:tcW w:w="6731"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51890712" w14:textId="77777777" w:rsidR="00F50454" w:rsidRPr="00DF4CE5" w:rsidRDefault="00F50454" w:rsidP="00891E8C">
            <w:pPr>
              <w:spacing w:after="0" w:line="240" w:lineRule="auto"/>
              <w:rPr>
                <w:rFonts w:ascii="Cambria" w:hAnsi="Cambria" w:cs="Calibri"/>
              </w:rPr>
            </w:pPr>
            <w:proofErr w:type="spellStart"/>
            <w:r w:rsidRPr="00DF4CE5">
              <w:rPr>
                <w:rFonts w:ascii="Cambria" w:hAnsi="Cambria" w:cs="Calibri"/>
              </w:rPr>
              <w:t>Obavezna</w:t>
            </w:r>
            <w:proofErr w:type="spellEnd"/>
            <w:r w:rsidRPr="00DF4CE5">
              <w:rPr>
                <w:rFonts w:ascii="Cambria" w:hAnsi="Cambria" w:cs="Calibri"/>
              </w:rPr>
              <w:t>:</w:t>
            </w:r>
          </w:p>
          <w:p w14:paraId="10E10EC4" w14:textId="77777777" w:rsidR="00F50454" w:rsidRPr="00DF4CE5" w:rsidRDefault="00F50454" w:rsidP="00891E8C">
            <w:pPr>
              <w:spacing w:after="0" w:line="240" w:lineRule="auto"/>
              <w:rPr>
                <w:rFonts w:ascii="Cambria" w:hAnsi="Cambria" w:cs="Calibri"/>
              </w:rPr>
            </w:pPr>
            <w:r w:rsidRPr="00DF4CE5">
              <w:rPr>
                <w:rFonts w:ascii="Cambria" w:hAnsi="Cambria" w:cs="Calibri"/>
              </w:rPr>
              <w:t xml:space="preserve">1. Buljan Flander, G. </w:t>
            </w:r>
            <w:proofErr w:type="spellStart"/>
            <w:r w:rsidRPr="00DF4CE5">
              <w:rPr>
                <w:rFonts w:ascii="Cambria" w:hAnsi="Cambria" w:cs="Calibri"/>
              </w:rPr>
              <w:t>i</w:t>
            </w:r>
            <w:proofErr w:type="spellEnd"/>
            <w:r w:rsidRPr="00DF4CE5">
              <w:rPr>
                <w:rFonts w:ascii="Cambria" w:hAnsi="Cambria" w:cs="Calibri"/>
              </w:rPr>
              <w:t xml:space="preserve"> sur. (2018). </w:t>
            </w:r>
            <w:proofErr w:type="spellStart"/>
            <w:r w:rsidRPr="00DF4CE5">
              <w:rPr>
                <w:rFonts w:ascii="Cambria" w:hAnsi="Cambria" w:cs="Calibri"/>
              </w:rPr>
              <w:t>Znanost</w:t>
            </w:r>
            <w:proofErr w:type="spellEnd"/>
            <w:r w:rsidRPr="00DF4CE5">
              <w:rPr>
                <w:rFonts w:ascii="Cambria" w:hAnsi="Cambria" w:cs="Calibri"/>
              </w:rPr>
              <w:t xml:space="preserve"> </w:t>
            </w:r>
            <w:proofErr w:type="spellStart"/>
            <w:r w:rsidRPr="00DF4CE5">
              <w:rPr>
                <w:rFonts w:ascii="Cambria" w:hAnsi="Cambria" w:cs="Calibri"/>
              </w:rPr>
              <w:t>i</w:t>
            </w:r>
            <w:proofErr w:type="spellEnd"/>
            <w:r w:rsidRPr="00DF4CE5">
              <w:rPr>
                <w:rFonts w:ascii="Cambria" w:hAnsi="Cambria" w:cs="Calibri"/>
              </w:rPr>
              <w:t xml:space="preserve"> </w:t>
            </w:r>
            <w:proofErr w:type="spellStart"/>
            <w:r w:rsidRPr="00DF4CE5">
              <w:rPr>
                <w:rFonts w:ascii="Cambria" w:hAnsi="Cambria" w:cs="Calibri"/>
              </w:rPr>
              <w:t>umjetnost</w:t>
            </w:r>
            <w:proofErr w:type="spellEnd"/>
            <w:r w:rsidRPr="00DF4CE5">
              <w:rPr>
                <w:rFonts w:ascii="Cambria" w:hAnsi="Cambria" w:cs="Calibri"/>
              </w:rPr>
              <w:t xml:space="preserve"> </w:t>
            </w:r>
            <w:proofErr w:type="spellStart"/>
            <w:r w:rsidRPr="00DF4CE5">
              <w:rPr>
                <w:rFonts w:ascii="Cambria" w:hAnsi="Cambria" w:cs="Calibri"/>
              </w:rPr>
              <w:t>odgoja</w:t>
            </w:r>
            <w:proofErr w:type="spellEnd"/>
            <w:r w:rsidRPr="00DF4CE5">
              <w:rPr>
                <w:rFonts w:ascii="Cambria" w:hAnsi="Cambria" w:cs="Calibri"/>
              </w:rPr>
              <w:t xml:space="preserve">: </w:t>
            </w:r>
            <w:proofErr w:type="spellStart"/>
            <w:r w:rsidRPr="00DF4CE5">
              <w:rPr>
                <w:rFonts w:ascii="Cambria" w:hAnsi="Cambria" w:cs="Calibri"/>
              </w:rPr>
              <w:t>praktični</w:t>
            </w:r>
            <w:proofErr w:type="spellEnd"/>
            <w:r w:rsidRPr="00DF4CE5">
              <w:rPr>
                <w:rFonts w:ascii="Cambria" w:hAnsi="Cambria" w:cs="Calibri"/>
              </w:rPr>
              <w:t xml:space="preserve"> </w:t>
            </w:r>
            <w:proofErr w:type="spellStart"/>
            <w:r w:rsidRPr="00DF4CE5">
              <w:rPr>
                <w:rFonts w:ascii="Cambria" w:hAnsi="Cambria" w:cs="Calibri"/>
              </w:rPr>
              <w:t>priručnik</w:t>
            </w:r>
            <w:proofErr w:type="spellEnd"/>
            <w:r w:rsidRPr="00DF4CE5">
              <w:rPr>
                <w:rFonts w:ascii="Cambria" w:hAnsi="Cambria" w:cs="Calibri"/>
              </w:rPr>
              <w:t xml:space="preserve"> o </w:t>
            </w:r>
            <w:proofErr w:type="spellStart"/>
            <w:r w:rsidRPr="00DF4CE5">
              <w:rPr>
                <w:rFonts w:ascii="Cambria" w:hAnsi="Cambria" w:cs="Calibri"/>
              </w:rPr>
              <w:t>suvremenom</w:t>
            </w:r>
            <w:proofErr w:type="spellEnd"/>
            <w:r w:rsidRPr="00DF4CE5">
              <w:rPr>
                <w:rFonts w:ascii="Cambria" w:hAnsi="Cambria" w:cs="Calibri"/>
              </w:rPr>
              <w:t xml:space="preserve"> </w:t>
            </w:r>
            <w:proofErr w:type="spellStart"/>
            <w:r w:rsidRPr="00DF4CE5">
              <w:rPr>
                <w:rFonts w:ascii="Cambria" w:hAnsi="Cambria" w:cs="Calibri"/>
              </w:rPr>
              <w:t>odgoju</w:t>
            </w:r>
            <w:proofErr w:type="spellEnd"/>
            <w:r w:rsidRPr="00DF4CE5">
              <w:rPr>
                <w:rFonts w:ascii="Cambria" w:hAnsi="Cambria" w:cs="Calibri"/>
              </w:rPr>
              <w:t xml:space="preserve"> za </w:t>
            </w:r>
            <w:proofErr w:type="spellStart"/>
            <w:r w:rsidRPr="00DF4CE5">
              <w:rPr>
                <w:rFonts w:ascii="Cambria" w:hAnsi="Cambria" w:cs="Calibri"/>
              </w:rPr>
              <w:t>roditelje</w:t>
            </w:r>
            <w:proofErr w:type="spellEnd"/>
            <w:r w:rsidRPr="00DF4CE5">
              <w:rPr>
                <w:rFonts w:ascii="Cambria" w:hAnsi="Cambria" w:cs="Calibri"/>
              </w:rPr>
              <w:t xml:space="preserve"> </w:t>
            </w:r>
            <w:proofErr w:type="spellStart"/>
            <w:r w:rsidRPr="00DF4CE5">
              <w:rPr>
                <w:rFonts w:ascii="Cambria" w:hAnsi="Cambria" w:cs="Calibri"/>
              </w:rPr>
              <w:t>i</w:t>
            </w:r>
            <w:proofErr w:type="spellEnd"/>
            <w:r w:rsidRPr="00DF4CE5">
              <w:rPr>
                <w:rFonts w:ascii="Cambria" w:hAnsi="Cambria" w:cs="Calibri"/>
              </w:rPr>
              <w:t xml:space="preserve"> </w:t>
            </w:r>
            <w:proofErr w:type="spellStart"/>
            <w:r w:rsidRPr="00DF4CE5">
              <w:rPr>
                <w:rFonts w:ascii="Cambria" w:hAnsi="Cambria" w:cs="Calibri"/>
              </w:rPr>
              <w:t>odgojitelje</w:t>
            </w:r>
            <w:proofErr w:type="spellEnd"/>
            <w:r w:rsidRPr="00DF4CE5">
              <w:rPr>
                <w:rFonts w:ascii="Cambria" w:hAnsi="Cambria" w:cs="Calibri"/>
              </w:rPr>
              <w:t xml:space="preserve">. </w:t>
            </w:r>
            <w:proofErr w:type="spellStart"/>
            <w:r w:rsidRPr="00DF4CE5">
              <w:rPr>
                <w:rFonts w:ascii="Cambria" w:hAnsi="Cambria" w:cs="Calibri"/>
              </w:rPr>
              <w:t>Geromar</w:t>
            </w:r>
            <w:proofErr w:type="spellEnd"/>
            <w:r w:rsidRPr="00DF4CE5">
              <w:rPr>
                <w:rFonts w:ascii="Cambria" w:hAnsi="Cambria" w:cs="Calibri"/>
              </w:rPr>
              <w:t>.</w:t>
            </w:r>
          </w:p>
          <w:p w14:paraId="250024C9" w14:textId="77777777" w:rsidR="00F50454" w:rsidRPr="00DF4CE5" w:rsidRDefault="00F50454" w:rsidP="00891E8C">
            <w:pPr>
              <w:spacing w:after="0" w:line="240" w:lineRule="auto"/>
              <w:rPr>
                <w:rFonts w:ascii="Cambria" w:hAnsi="Cambria" w:cs="Calibri"/>
              </w:rPr>
            </w:pPr>
            <w:r w:rsidRPr="00DF4CE5">
              <w:rPr>
                <w:rFonts w:ascii="Cambria" w:hAnsi="Cambria" w:cs="Calibri"/>
              </w:rPr>
              <w:t xml:space="preserve">2. </w:t>
            </w:r>
            <w:proofErr w:type="spellStart"/>
            <w:r w:rsidRPr="00DF4CE5">
              <w:rPr>
                <w:rFonts w:ascii="Cambria" w:hAnsi="Cambria" w:cs="Calibri"/>
              </w:rPr>
              <w:t>Đuranović</w:t>
            </w:r>
            <w:proofErr w:type="spellEnd"/>
            <w:r w:rsidRPr="00DF4CE5">
              <w:rPr>
                <w:rFonts w:ascii="Cambria" w:hAnsi="Cambria" w:cs="Calibri"/>
              </w:rPr>
              <w:t xml:space="preserve">, M., Klasnić, I. (2020). </w:t>
            </w:r>
            <w:proofErr w:type="spellStart"/>
            <w:r w:rsidRPr="00DF4CE5">
              <w:rPr>
                <w:rFonts w:ascii="Cambria" w:hAnsi="Cambria" w:cs="Calibri"/>
              </w:rPr>
              <w:t>Dijete</w:t>
            </w:r>
            <w:proofErr w:type="spellEnd"/>
            <w:r w:rsidRPr="00DF4CE5">
              <w:rPr>
                <w:rFonts w:ascii="Cambria" w:hAnsi="Cambria" w:cs="Calibri"/>
              </w:rPr>
              <w:t xml:space="preserve">, </w:t>
            </w:r>
            <w:proofErr w:type="spellStart"/>
            <w:r w:rsidRPr="00DF4CE5">
              <w:rPr>
                <w:rFonts w:ascii="Cambria" w:hAnsi="Cambria" w:cs="Calibri"/>
              </w:rPr>
              <w:t>odgoj</w:t>
            </w:r>
            <w:proofErr w:type="spellEnd"/>
            <w:r w:rsidRPr="00DF4CE5">
              <w:rPr>
                <w:rFonts w:ascii="Cambria" w:hAnsi="Cambria" w:cs="Calibri"/>
              </w:rPr>
              <w:t xml:space="preserve"> </w:t>
            </w:r>
            <w:proofErr w:type="spellStart"/>
            <w:r w:rsidRPr="00DF4CE5">
              <w:rPr>
                <w:rFonts w:ascii="Cambria" w:hAnsi="Cambria" w:cs="Calibri"/>
              </w:rPr>
              <w:t>i</w:t>
            </w:r>
            <w:proofErr w:type="spellEnd"/>
            <w:r w:rsidRPr="00DF4CE5">
              <w:rPr>
                <w:rFonts w:ascii="Cambria" w:hAnsi="Cambria" w:cs="Calibri"/>
              </w:rPr>
              <w:t xml:space="preserve"> </w:t>
            </w:r>
            <w:proofErr w:type="spellStart"/>
            <w:r w:rsidRPr="00DF4CE5">
              <w:rPr>
                <w:rFonts w:ascii="Cambria" w:hAnsi="Cambria" w:cs="Calibri"/>
              </w:rPr>
              <w:t>obitelj</w:t>
            </w:r>
            <w:proofErr w:type="spellEnd"/>
            <w:r w:rsidRPr="00DF4CE5">
              <w:rPr>
                <w:rFonts w:ascii="Cambria" w:hAnsi="Cambria" w:cs="Calibri"/>
              </w:rPr>
              <w:t xml:space="preserve">. </w:t>
            </w:r>
            <w:proofErr w:type="spellStart"/>
            <w:r w:rsidRPr="00DF4CE5">
              <w:rPr>
                <w:rFonts w:ascii="Cambria" w:hAnsi="Cambria" w:cs="Calibri"/>
              </w:rPr>
              <w:t>Učiteljski</w:t>
            </w:r>
            <w:proofErr w:type="spellEnd"/>
            <w:r w:rsidRPr="00DF4CE5">
              <w:rPr>
                <w:rFonts w:ascii="Cambria" w:hAnsi="Cambria" w:cs="Calibri"/>
              </w:rPr>
              <w:t xml:space="preserve"> </w:t>
            </w:r>
            <w:proofErr w:type="spellStart"/>
            <w:r w:rsidRPr="00DF4CE5">
              <w:rPr>
                <w:rFonts w:ascii="Cambria" w:hAnsi="Cambria" w:cs="Calibri"/>
              </w:rPr>
              <w:t>fakultet</w:t>
            </w:r>
            <w:proofErr w:type="spellEnd"/>
            <w:r w:rsidRPr="00DF4CE5">
              <w:rPr>
                <w:rFonts w:ascii="Cambria" w:hAnsi="Cambria" w:cs="Calibri"/>
              </w:rPr>
              <w:t>.</w:t>
            </w:r>
          </w:p>
          <w:p w14:paraId="118FF39C" w14:textId="77777777" w:rsidR="00F50454" w:rsidRPr="00DF4CE5" w:rsidRDefault="00F50454" w:rsidP="00891E8C">
            <w:pPr>
              <w:spacing w:after="0" w:line="240" w:lineRule="auto"/>
              <w:rPr>
                <w:rFonts w:ascii="Cambria" w:hAnsi="Cambria" w:cs="Calibri"/>
                <w:lang w:val="it-IT"/>
              </w:rPr>
            </w:pPr>
            <w:r w:rsidRPr="00DF4CE5">
              <w:rPr>
                <w:rFonts w:ascii="Cambria" w:hAnsi="Cambria" w:cs="Calibri"/>
                <w:lang w:val="it-IT"/>
              </w:rPr>
              <w:t xml:space="preserve">3. </w:t>
            </w:r>
            <w:proofErr w:type="spellStart"/>
            <w:r w:rsidRPr="00DF4CE5">
              <w:rPr>
                <w:rFonts w:ascii="Cambria" w:hAnsi="Cambria" w:cs="Calibri"/>
                <w:lang w:val="it-IT"/>
              </w:rPr>
              <w:t>Ivoš</w:t>
            </w:r>
            <w:proofErr w:type="spellEnd"/>
            <w:r w:rsidRPr="00DF4CE5">
              <w:rPr>
                <w:rFonts w:ascii="Cambria" w:hAnsi="Cambria" w:cs="Calibri"/>
                <w:lang w:val="it-IT"/>
              </w:rPr>
              <w:t xml:space="preserve">, N. (2022). </w:t>
            </w:r>
            <w:proofErr w:type="spellStart"/>
            <w:r w:rsidRPr="00DF4CE5">
              <w:rPr>
                <w:rFonts w:ascii="Cambria" w:hAnsi="Cambria" w:cs="Calibri"/>
                <w:lang w:val="it-IT"/>
              </w:rPr>
              <w:t>Odgovoran</w:t>
            </w:r>
            <w:proofErr w:type="spellEnd"/>
            <w:r w:rsidRPr="00DF4CE5">
              <w:rPr>
                <w:rFonts w:ascii="Cambria" w:hAnsi="Cambria" w:cs="Calibri"/>
                <w:lang w:val="it-IT"/>
              </w:rPr>
              <w:t xml:space="preserve">, </w:t>
            </w:r>
            <w:proofErr w:type="spellStart"/>
            <w:r w:rsidRPr="00DF4CE5">
              <w:rPr>
                <w:rFonts w:ascii="Cambria" w:hAnsi="Cambria" w:cs="Calibri"/>
                <w:lang w:val="it-IT"/>
              </w:rPr>
              <w:t>ponosan</w:t>
            </w:r>
            <w:proofErr w:type="spellEnd"/>
            <w:r w:rsidRPr="00DF4CE5">
              <w:rPr>
                <w:rFonts w:ascii="Cambria" w:hAnsi="Cambria" w:cs="Calibri"/>
                <w:lang w:val="it-IT"/>
              </w:rPr>
              <w:t xml:space="preserve"> i </w:t>
            </w:r>
            <w:proofErr w:type="spellStart"/>
            <w:r w:rsidRPr="00DF4CE5">
              <w:rPr>
                <w:rFonts w:ascii="Cambria" w:hAnsi="Cambria" w:cs="Calibri"/>
                <w:lang w:val="it-IT"/>
              </w:rPr>
              <w:t>zadovoljan</w:t>
            </w:r>
            <w:proofErr w:type="spellEnd"/>
            <w:r w:rsidRPr="00DF4CE5">
              <w:rPr>
                <w:rFonts w:ascii="Cambria" w:hAnsi="Cambria" w:cs="Calibri"/>
                <w:lang w:val="it-IT"/>
              </w:rPr>
              <w:t xml:space="preserve"> </w:t>
            </w:r>
            <w:proofErr w:type="spellStart"/>
            <w:r w:rsidRPr="00DF4CE5">
              <w:rPr>
                <w:rFonts w:ascii="Cambria" w:hAnsi="Cambria" w:cs="Calibri"/>
                <w:lang w:val="it-IT"/>
              </w:rPr>
              <w:t>roditelj</w:t>
            </w:r>
            <w:proofErr w:type="spellEnd"/>
            <w:r w:rsidRPr="00DF4CE5">
              <w:rPr>
                <w:rFonts w:ascii="Cambria" w:hAnsi="Cambria" w:cs="Calibri"/>
                <w:lang w:val="it-IT"/>
              </w:rPr>
              <w:t xml:space="preserve"> = </w:t>
            </w:r>
            <w:proofErr w:type="spellStart"/>
            <w:r w:rsidRPr="00DF4CE5">
              <w:rPr>
                <w:rFonts w:ascii="Cambria" w:hAnsi="Cambria" w:cs="Calibri"/>
                <w:lang w:val="it-IT"/>
              </w:rPr>
              <w:t>sretna</w:t>
            </w:r>
            <w:proofErr w:type="spellEnd"/>
            <w:r w:rsidRPr="00DF4CE5">
              <w:rPr>
                <w:rFonts w:ascii="Cambria" w:hAnsi="Cambria" w:cs="Calibri"/>
                <w:lang w:val="it-IT"/>
              </w:rPr>
              <w:t xml:space="preserve"> </w:t>
            </w:r>
            <w:proofErr w:type="spellStart"/>
            <w:r w:rsidRPr="00DF4CE5">
              <w:rPr>
                <w:rFonts w:ascii="Cambria" w:hAnsi="Cambria" w:cs="Calibri"/>
                <w:lang w:val="it-IT"/>
              </w:rPr>
              <w:t>obitelj</w:t>
            </w:r>
            <w:proofErr w:type="spellEnd"/>
            <w:r w:rsidRPr="00DF4CE5">
              <w:rPr>
                <w:rFonts w:ascii="Cambria" w:hAnsi="Cambria" w:cs="Calibri"/>
                <w:lang w:val="it-IT"/>
              </w:rPr>
              <w:t xml:space="preserve">. S.O.S. – </w:t>
            </w:r>
            <w:proofErr w:type="spellStart"/>
            <w:r w:rsidRPr="00DF4CE5">
              <w:rPr>
                <w:rFonts w:ascii="Cambria" w:hAnsi="Cambria" w:cs="Calibri"/>
                <w:lang w:val="it-IT"/>
              </w:rPr>
              <w:t>savjetovanje</w:t>
            </w:r>
            <w:proofErr w:type="spellEnd"/>
            <w:r w:rsidRPr="00DF4CE5">
              <w:rPr>
                <w:rFonts w:ascii="Cambria" w:hAnsi="Cambria" w:cs="Calibri"/>
                <w:lang w:val="it-IT"/>
              </w:rPr>
              <w:t xml:space="preserve">, </w:t>
            </w:r>
            <w:proofErr w:type="spellStart"/>
            <w:r w:rsidRPr="00DF4CE5">
              <w:rPr>
                <w:rFonts w:ascii="Cambria" w:hAnsi="Cambria" w:cs="Calibri"/>
                <w:lang w:val="it-IT"/>
              </w:rPr>
              <w:t>osnaživanje</w:t>
            </w:r>
            <w:proofErr w:type="spellEnd"/>
            <w:r w:rsidRPr="00DF4CE5">
              <w:rPr>
                <w:rFonts w:ascii="Cambria" w:hAnsi="Cambria" w:cs="Calibri"/>
                <w:lang w:val="it-IT"/>
              </w:rPr>
              <w:t xml:space="preserve">, </w:t>
            </w:r>
            <w:proofErr w:type="spellStart"/>
            <w:r w:rsidRPr="00DF4CE5">
              <w:rPr>
                <w:rFonts w:ascii="Cambria" w:hAnsi="Cambria" w:cs="Calibri"/>
                <w:lang w:val="it-IT"/>
              </w:rPr>
              <w:t>suradnja</w:t>
            </w:r>
            <w:proofErr w:type="spellEnd"/>
            <w:r w:rsidRPr="00DF4CE5">
              <w:rPr>
                <w:rFonts w:ascii="Cambria" w:hAnsi="Cambria" w:cs="Calibri"/>
                <w:lang w:val="it-IT"/>
              </w:rPr>
              <w:t>.</w:t>
            </w:r>
          </w:p>
          <w:p w14:paraId="5A81712D" w14:textId="77777777" w:rsidR="00F50454" w:rsidRPr="00DF4CE5" w:rsidRDefault="00F50454" w:rsidP="00891E8C">
            <w:pPr>
              <w:spacing w:after="0" w:line="240" w:lineRule="auto"/>
              <w:rPr>
                <w:rFonts w:ascii="Cambria" w:hAnsi="Cambria" w:cs="Calibri"/>
                <w:lang w:val="it-IT"/>
              </w:rPr>
            </w:pPr>
            <w:r w:rsidRPr="00DF4CE5">
              <w:rPr>
                <w:rFonts w:ascii="Cambria" w:hAnsi="Cambria" w:cs="Calibri"/>
                <w:lang w:val="it-IT"/>
              </w:rPr>
              <w:t xml:space="preserve">4. </w:t>
            </w:r>
            <w:proofErr w:type="spellStart"/>
            <w:r w:rsidRPr="00DF4CE5">
              <w:rPr>
                <w:rFonts w:ascii="Cambria" w:hAnsi="Cambria" w:cs="Calibri"/>
                <w:lang w:val="it-IT"/>
              </w:rPr>
              <w:t>Juul</w:t>
            </w:r>
            <w:proofErr w:type="spellEnd"/>
            <w:r w:rsidRPr="00DF4CE5">
              <w:rPr>
                <w:rFonts w:ascii="Cambria" w:hAnsi="Cambria" w:cs="Calibri"/>
                <w:lang w:val="it-IT"/>
              </w:rPr>
              <w:t xml:space="preserve">, J. (2019). Od </w:t>
            </w:r>
            <w:proofErr w:type="spellStart"/>
            <w:r w:rsidRPr="00DF4CE5">
              <w:rPr>
                <w:rFonts w:ascii="Cambria" w:hAnsi="Cambria" w:cs="Calibri"/>
                <w:lang w:val="it-IT"/>
              </w:rPr>
              <w:t>odgoja</w:t>
            </w:r>
            <w:proofErr w:type="spellEnd"/>
            <w:r w:rsidRPr="00DF4CE5">
              <w:rPr>
                <w:rFonts w:ascii="Cambria" w:hAnsi="Cambria" w:cs="Calibri"/>
                <w:lang w:val="it-IT"/>
              </w:rPr>
              <w:t xml:space="preserve"> do </w:t>
            </w:r>
            <w:proofErr w:type="spellStart"/>
            <w:r w:rsidRPr="00DF4CE5">
              <w:rPr>
                <w:rFonts w:ascii="Cambria" w:hAnsi="Cambria" w:cs="Calibri"/>
                <w:lang w:val="it-IT"/>
              </w:rPr>
              <w:t>odnosa</w:t>
            </w:r>
            <w:proofErr w:type="spellEnd"/>
            <w:r w:rsidRPr="00DF4CE5">
              <w:rPr>
                <w:rFonts w:ascii="Cambria" w:hAnsi="Cambria" w:cs="Calibri"/>
                <w:lang w:val="it-IT"/>
              </w:rPr>
              <w:t xml:space="preserve">; </w:t>
            </w:r>
            <w:proofErr w:type="spellStart"/>
            <w:r w:rsidRPr="00DF4CE5">
              <w:rPr>
                <w:rFonts w:ascii="Cambria" w:hAnsi="Cambria" w:cs="Calibri"/>
                <w:lang w:val="it-IT"/>
              </w:rPr>
              <w:t>Autentični</w:t>
            </w:r>
            <w:proofErr w:type="spellEnd"/>
            <w:r w:rsidRPr="00DF4CE5">
              <w:rPr>
                <w:rFonts w:ascii="Cambria" w:hAnsi="Cambria" w:cs="Calibri"/>
                <w:lang w:val="it-IT"/>
              </w:rPr>
              <w:t xml:space="preserve"> </w:t>
            </w:r>
            <w:proofErr w:type="spellStart"/>
            <w:r w:rsidRPr="00DF4CE5">
              <w:rPr>
                <w:rFonts w:ascii="Cambria" w:hAnsi="Cambria" w:cs="Calibri"/>
                <w:lang w:val="it-IT"/>
              </w:rPr>
              <w:t>roditelji</w:t>
            </w:r>
            <w:proofErr w:type="spellEnd"/>
            <w:r w:rsidRPr="00DF4CE5">
              <w:rPr>
                <w:rFonts w:ascii="Cambria" w:hAnsi="Cambria" w:cs="Calibri"/>
                <w:lang w:val="it-IT"/>
              </w:rPr>
              <w:t xml:space="preserve"> – </w:t>
            </w:r>
            <w:proofErr w:type="spellStart"/>
            <w:r w:rsidRPr="00DF4CE5">
              <w:rPr>
                <w:rFonts w:ascii="Cambria" w:hAnsi="Cambria" w:cs="Calibri"/>
                <w:lang w:val="it-IT"/>
              </w:rPr>
              <w:t>kompetentna</w:t>
            </w:r>
            <w:proofErr w:type="spellEnd"/>
            <w:r w:rsidRPr="00DF4CE5">
              <w:rPr>
                <w:rFonts w:ascii="Cambria" w:hAnsi="Cambria" w:cs="Calibri"/>
                <w:lang w:val="it-IT"/>
              </w:rPr>
              <w:t xml:space="preserve"> </w:t>
            </w:r>
            <w:proofErr w:type="spellStart"/>
            <w:r w:rsidRPr="00DF4CE5">
              <w:rPr>
                <w:rFonts w:ascii="Cambria" w:hAnsi="Cambria" w:cs="Calibri"/>
                <w:lang w:val="it-IT"/>
              </w:rPr>
              <w:t>djeca</w:t>
            </w:r>
            <w:proofErr w:type="spellEnd"/>
            <w:r w:rsidRPr="00DF4CE5">
              <w:rPr>
                <w:rFonts w:ascii="Cambria" w:hAnsi="Cambria" w:cs="Calibri"/>
                <w:lang w:val="it-IT"/>
              </w:rPr>
              <w:t xml:space="preserve">. </w:t>
            </w:r>
            <w:proofErr w:type="spellStart"/>
            <w:r w:rsidRPr="00DF4CE5">
              <w:rPr>
                <w:rFonts w:ascii="Cambria" w:hAnsi="Cambria" w:cs="Calibri"/>
                <w:lang w:val="it-IT"/>
              </w:rPr>
              <w:t>Harfa</w:t>
            </w:r>
            <w:proofErr w:type="spellEnd"/>
            <w:r w:rsidRPr="00DF4CE5">
              <w:rPr>
                <w:rFonts w:ascii="Cambria" w:hAnsi="Cambria" w:cs="Calibri"/>
                <w:lang w:val="it-IT"/>
              </w:rPr>
              <w:t xml:space="preserve"> </w:t>
            </w:r>
            <w:proofErr w:type="spellStart"/>
            <w:r w:rsidRPr="00DF4CE5">
              <w:rPr>
                <w:rFonts w:ascii="Cambria" w:hAnsi="Cambria" w:cs="Calibri"/>
                <w:lang w:val="it-IT"/>
              </w:rPr>
              <w:t>d.o.o</w:t>
            </w:r>
            <w:proofErr w:type="spellEnd"/>
            <w:r w:rsidRPr="00DF4CE5">
              <w:rPr>
                <w:rFonts w:ascii="Cambria" w:hAnsi="Cambria" w:cs="Calibri"/>
                <w:lang w:val="it-IT"/>
              </w:rPr>
              <w:t>.</w:t>
            </w:r>
          </w:p>
          <w:p w14:paraId="32DFAC75" w14:textId="77777777" w:rsidR="00F50454" w:rsidRPr="00DF4CE5" w:rsidRDefault="00F50454" w:rsidP="00891E8C">
            <w:pPr>
              <w:spacing w:after="0" w:line="240" w:lineRule="auto"/>
              <w:rPr>
                <w:rFonts w:ascii="Cambria" w:hAnsi="Cambria" w:cs="Calibri"/>
                <w:lang w:val="it-IT"/>
              </w:rPr>
            </w:pPr>
            <w:r w:rsidRPr="00DF4CE5">
              <w:rPr>
                <w:rFonts w:ascii="Cambria" w:hAnsi="Cambria" w:cs="Calibri"/>
                <w:lang w:val="it-IT"/>
              </w:rPr>
              <w:t xml:space="preserve">5. </w:t>
            </w:r>
            <w:proofErr w:type="spellStart"/>
            <w:r w:rsidRPr="00DF4CE5">
              <w:rPr>
                <w:rFonts w:ascii="Cambria" w:hAnsi="Cambria" w:cs="Calibri"/>
                <w:lang w:val="it-IT"/>
              </w:rPr>
              <w:t>Ljubetić</w:t>
            </w:r>
            <w:proofErr w:type="spellEnd"/>
            <w:r w:rsidRPr="00DF4CE5">
              <w:rPr>
                <w:rFonts w:ascii="Cambria" w:hAnsi="Cambria" w:cs="Calibri"/>
                <w:lang w:val="it-IT"/>
              </w:rPr>
              <w:t xml:space="preserve">, M. (2010). </w:t>
            </w:r>
            <w:proofErr w:type="spellStart"/>
            <w:r w:rsidRPr="00DF4CE5">
              <w:rPr>
                <w:rFonts w:ascii="Cambria" w:hAnsi="Cambria" w:cs="Calibri"/>
                <w:lang w:val="it-IT"/>
              </w:rPr>
              <w:t>Partnerstvo</w:t>
            </w:r>
            <w:proofErr w:type="spellEnd"/>
            <w:r w:rsidRPr="00DF4CE5">
              <w:rPr>
                <w:rFonts w:ascii="Cambria" w:hAnsi="Cambria" w:cs="Calibri"/>
                <w:lang w:val="it-IT"/>
              </w:rPr>
              <w:t xml:space="preserve"> </w:t>
            </w:r>
            <w:proofErr w:type="spellStart"/>
            <w:r w:rsidRPr="00DF4CE5">
              <w:rPr>
                <w:rFonts w:ascii="Cambria" w:hAnsi="Cambria" w:cs="Calibri"/>
                <w:lang w:val="it-IT"/>
              </w:rPr>
              <w:t>obitelji</w:t>
            </w:r>
            <w:proofErr w:type="spellEnd"/>
            <w:r w:rsidRPr="00DF4CE5">
              <w:rPr>
                <w:rFonts w:ascii="Cambria" w:hAnsi="Cambria" w:cs="Calibri"/>
                <w:lang w:val="it-IT"/>
              </w:rPr>
              <w:t xml:space="preserve">, </w:t>
            </w:r>
            <w:proofErr w:type="spellStart"/>
            <w:r w:rsidRPr="00DF4CE5">
              <w:rPr>
                <w:rFonts w:ascii="Cambria" w:hAnsi="Cambria" w:cs="Calibri"/>
                <w:lang w:val="it-IT"/>
              </w:rPr>
              <w:t>vrtića</w:t>
            </w:r>
            <w:proofErr w:type="spellEnd"/>
            <w:r w:rsidRPr="00DF4CE5">
              <w:rPr>
                <w:rFonts w:ascii="Cambria" w:hAnsi="Cambria" w:cs="Calibri"/>
                <w:lang w:val="it-IT"/>
              </w:rPr>
              <w:t xml:space="preserve"> i </w:t>
            </w:r>
            <w:proofErr w:type="spellStart"/>
            <w:r w:rsidRPr="00DF4CE5">
              <w:rPr>
                <w:rFonts w:ascii="Cambria" w:hAnsi="Cambria" w:cs="Calibri"/>
                <w:lang w:val="it-IT"/>
              </w:rPr>
              <w:t>škole</w:t>
            </w:r>
            <w:proofErr w:type="spellEnd"/>
            <w:r w:rsidRPr="00DF4CE5">
              <w:rPr>
                <w:rFonts w:ascii="Cambria" w:hAnsi="Cambria" w:cs="Calibri"/>
                <w:lang w:val="it-IT"/>
              </w:rPr>
              <w:t xml:space="preserve">. </w:t>
            </w:r>
            <w:proofErr w:type="spellStart"/>
            <w:r w:rsidRPr="00DF4CE5">
              <w:rPr>
                <w:rFonts w:ascii="Cambria" w:hAnsi="Cambria" w:cs="Calibri"/>
                <w:lang w:val="it-IT"/>
              </w:rPr>
              <w:t>Školska</w:t>
            </w:r>
            <w:proofErr w:type="spellEnd"/>
            <w:r w:rsidRPr="00DF4CE5">
              <w:rPr>
                <w:rFonts w:ascii="Cambria" w:hAnsi="Cambria" w:cs="Calibri"/>
                <w:lang w:val="it-IT"/>
              </w:rPr>
              <w:t xml:space="preserve"> </w:t>
            </w:r>
            <w:proofErr w:type="spellStart"/>
            <w:r w:rsidRPr="00DF4CE5">
              <w:rPr>
                <w:rFonts w:ascii="Cambria" w:hAnsi="Cambria" w:cs="Calibri"/>
                <w:lang w:val="it-IT"/>
              </w:rPr>
              <w:t>knjiga</w:t>
            </w:r>
            <w:proofErr w:type="spellEnd"/>
            <w:r w:rsidRPr="00DF4CE5">
              <w:rPr>
                <w:rFonts w:ascii="Cambria" w:hAnsi="Cambria" w:cs="Calibri"/>
                <w:lang w:val="it-IT"/>
              </w:rPr>
              <w:t>.</w:t>
            </w:r>
          </w:p>
          <w:p w14:paraId="49E7C790" w14:textId="77777777" w:rsidR="00F50454" w:rsidRPr="00DF4CE5" w:rsidRDefault="00F50454" w:rsidP="00891E8C">
            <w:pPr>
              <w:spacing w:after="0" w:line="240" w:lineRule="auto"/>
              <w:rPr>
                <w:rFonts w:ascii="Cambria" w:hAnsi="Cambria" w:cs="Calibri"/>
                <w:lang w:val="it-IT"/>
              </w:rPr>
            </w:pPr>
            <w:r w:rsidRPr="00DF4CE5">
              <w:rPr>
                <w:rFonts w:ascii="Cambria" w:hAnsi="Cambria" w:cs="Calibri"/>
                <w:lang w:val="it-IT"/>
              </w:rPr>
              <w:t xml:space="preserve">6. </w:t>
            </w:r>
            <w:proofErr w:type="spellStart"/>
            <w:r w:rsidRPr="00DF4CE5">
              <w:rPr>
                <w:rFonts w:ascii="Cambria" w:hAnsi="Cambria" w:cs="Calibri"/>
                <w:lang w:val="it-IT"/>
              </w:rPr>
              <w:t>Rosić</w:t>
            </w:r>
            <w:proofErr w:type="spellEnd"/>
            <w:r w:rsidRPr="00DF4CE5">
              <w:rPr>
                <w:rFonts w:ascii="Cambria" w:hAnsi="Cambria" w:cs="Calibri"/>
                <w:lang w:val="it-IT"/>
              </w:rPr>
              <w:t xml:space="preserve">, V., </w:t>
            </w:r>
            <w:proofErr w:type="spellStart"/>
            <w:r w:rsidRPr="00DF4CE5">
              <w:rPr>
                <w:rFonts w:ascii="Cambria" w:hAnsi="Cambria" w:cs="Calibri"/>
                <w:lang w:val="it-IT"/>
              </w:rPr>
              <w:t>Zloković</w:t>
            </w:r>
            <w:proofErr w:type="spellEnd"/>
            <w:r w:rsidRPr="00DF4CE5">
              <w:rPr>
                <w:rFonts w:ascii="Cambria" w:hAnsi="Cambria" w:cs="Calibri"/>
                <w:lang w:val="it-IT"/>
              </w:rPr>
              <w:t xml:space="preserve">, J. (2002). </w:t>
            </w:r>
            <w:proofErr w:type="spellStart"/>
            <w:r w:rsidRPr="00DF4CE5">
              <w:rPr>
                <w:rFonts w:ascii="Cambria" w:hAnsi="Cambria" w:cs="Calibri"/>
                <w:lang w:val="it-IT"/>
              </w:rPr>
              <w:t>Prilozi</w:t>
            </w:r>
            <w:proofErr w:type="spellEnd"/>
            <w:r w:rsidRPr="00DF4CE5">
              <w:rPr>
                <w:rFonts w:ascii="Cambria" w:hAnsi="Cambria" w:cs="Calibri"/>
                <w:lang w:val="it-IT"/>
              </w:rPr>
              <w:t xml:space="preserve"> </w:t>
            </w:r>
            <w:proofErr w:type="spellStart"/>
            <w:r w:rsidRPr="00DF4CE5">
              <w:rPr>
                <w:rFonts w:ascii="Cambria" w:hAnsi="Cambria" w:cs="Calibri"/>
                <w:lang w:val="it-IT"/>
              </w:rPr>
              <w:t>obiteljskoj</w:t>
            </w:r>
            <w:proofErr w:type="spellEnd"/>
            <w:r w:rsidRPr="00DF4CE5">
              <w:rPr>
                <w:rFonts w:ascii="Cambria" w:hAnsi="Cambria" w:cs="Calibri"/>
                <w:lang w:val="it-IT"/>
              </w:rPr>
              <w:t xml:space="preserve"> </w:t>
            </w:r>
            <w:proofErr w:type="spellStart"/>
            <w:r w:rsidRPr="00DF4CE5">
              <w:rPr>
                <w:rFonts w:ascii="Cambria" w:hAnsi="Cambria" w:cs="Calibri"/>
                <w:lang w:val="it-IT"/>
              </w:rPr>
              <w:t>pedagogiji</w:t>
            </w:r>
            <w:proofErr w:type="spellEnd"/>
            <w:r w:rsidRPr="00DF4CE5">
              <w:rPr>
                <w:rFonts w:ascii="Cambria" w:hAnsi="Cambria" w:cs="Calibri"/>
                <w:lang w:val="it-IT"/>
              </w:rPr>
              <w:t xml:space="preserve">. </w:t>
            </w:r>
            <w:proofErr w:type="spellStart"/>
            <w:r w:rsidRPr="00DF4CE5">
              <w:rPr>
                <w:rFonts w:ascii="Cambria" w:hAnsi="Cambria" w:cs="Calibri"/>
                <w:lang w:val="it-IT"/>
              </w:rPr>
              <w:t>Graftrade</w:t>
            </w:r>
            <w:proofErr w:type="spellEnd"/>
            <w:r w:rsidRPr="00DF4CE5">
              <w:rPr>
                <w:rFonts w:ascii="Cambria" w:hAnsi="Cambria" w:cs="Calibri"/>
                <w:lang w:val="it-IT"/>
              </w:rPr>
              <w:t xml:space="preserve">. </w:t>
            </w:r>
          </w:p>
          <w:p w14:paraId="5BDFCEF4" w14:textId="77777777" w:rsidR="00F50454" w:rsidRPr="00DF4CE5" w:rsidRDefault="00F50454" w:rsidP="00891E8C">
            <w:pPr>
              <w:spacing w:after="0" w:line="240" w:lineRule="auto"/>
              <w:rPr>
                <w:rFonts w:ascii="Cambria" w:hAnsi="Cambria" w:cs="Calibri"/>
                <w:lang w:val="it-IT"/>
              </w:rPr>
            </w:pPr>
            <w:r w:rsidRPr="00DF4CE5">
              <w:rPr>
                <w:rFonts w:ascii="Cambria" w:hAnsi="Cambria" w:cs="Calibri"/>
                <w:lang w:val="it-IT"/>
              </w:rPr>
              <w:t xml:space="preserve">7. </w:t>
            </w:r>
            <w:proofErr w:type="spellStart"/>
            <w:r w:rsidRPr="00DF4CE5">
              <w:rPr>
                <w:rFonts w:ascii="Cambria" w:hAnsi="Cambria" w:cs="Calibri"/>
                <w:lang w:val="it-IT"/>
              </w:rPr>
              <w:t>Višnjić</w:t>
            </w:r>
            <w:proofErr w:type="spellEnd"/>
            <w:r w:rsidRPr="00DF4CE5">
              <w:rPr>
                <w:rFonts w:ascii="Cambria" w:hAnsi="Cambria" w:cs="Calibri"/>
                <w:lang w:val="it-IT"/>
              </w:rPr>
              <w:t xml:space="preserve"> </w:t>
            </w:r>
            <w:proofErr w:type="spellStart"/>
            <w:r w:rsidRPr="00DF4CE5">
              <w:rPr>
                <w:rFonts w:ascii="Cambria" w:hAnsi="Cambria" w:cs="Calibri"/>
                <w:lang w:val="it-IT"/>
              </w:rPr>
              <w:t>Jevtić</w:t>
            </w:r>
            <w:proofErr w:type="spellEnd"/>
            <w:r w:rsidRPr="00DF4CE5">
              <w:rPr>
                <w:rFonts w:ascii="Cambria" w:hAnsi="Cambria" w:cs="Calibri"/>
                <w:lang w:val="it-IT"/>
              </w:rPr>
              <w:t xml:space="preserve">, A., </w:t>
            </w:r>
            <w:proofErr w:type="spellStart"/>
            <w:r w:rsidRPr="00DF4CE5">
              <w:rPr>
                <w:rFonts w:ascii="Cambria" w:hAnsi="Cambria" w:cs="Calibri"/>
                <w:lang w:val="it-IT"/>
              </w:rPr>
              <w:t>Visković</w:t>
            </w:r>
            <w:proofErr w:type="spellEnd"/>
            <w:r w:rsidRPr="00DF4CE5">
              <w:rPr>
                <w:rFonts w:ascii="Cambria" w:hAnsi="Cambria" w:cs="Calibri"/>
                <w:lang w:val="it-IT"/>
              </w:rPr>
              <w:t xml:space="preserve">, I., </w:t>
            </w:r>
            <w:proofErr w:type="spellStart"/>
            <w:r w:rsidRPr="00DF4CE5">
              <w:rPr>
                <w:rFonts w:ascii="Cambria" w:hAnsi="Cambria" w:cs="Calibri"/>
                <w:lang w:val="it-IT"/>
              </w:rPr>
              <w:t>Rogulj</w:t>
            </w:r>
            <w:proofErr w:type="spellEnd"/>
            <w:r w:rsidRPr="00DF4CE5">
              <w:rPr>
                <w:rFonts w:ascii="Cambria" w:hAnsi="Cambria" w:cs="Calibri"/>
                <w:lang w:val="it-IT"/>
              </w:rPr>
              <w:t xml:space="preserve">, E., </w:t>
            </w:r>
            <w:proofErr w:type="spellStart"/>
            <w:r w:rsidRPr="00DF4CE5">
              <w:rPr>
                <w:rFonts w:ascii="Cambria" w:hAnsi="Cambria" w:cs="Calibri"/>
                <w:lang w:val="it-IT"/>
              </w:rPr>
              <w:t>Bogatić</w:t>
            </w:r>
            <w:proofErr w:type="spellEnd"/>
            <w:r w:rsidRPr="00DF4CE5">
              <w:rPr>
                <w:rFonts w:ascii="Cambria" w:hAnsi="Cambria" w:cs="Calibri"/>
                <w:lang w:val="it-IT"/>
              </w:rPr>
              <w:t xml:space="preserve">, K., </w:t>
            </w:r>
            <w:proofErr w:type="spellStart"/>
            <w:r w:rsidRPr="00DF4CE5">
              <w:rPr>
                <w:rFonts w:ascii="Cambria" w:hAnsi="Cambria" w:cs="Calibri"/>
                <w:lang w:val="it-IT"/>
              </w:rPr>
              <w:t>Glavina</w:t>
            </w:r>
            <w:proofErr w:type="spellEnd"/>
            <w:r w:rsidRPr="00DF4CE5">
              <w:rPr>
                <w:rFonts w:ascii="Cambria" w:hAnsi="Cambria" w:cs="Calibri"/>
                <w:lang w:val="it-IT"/>
              </w:rPr>
              <w:t xml:space="preserve">, E. (2018).  </w:t>
            </w:r>
            <w:proofErr w:type="spellStart"/>
            <w:r w:rsidRPr="00DF4CE5">
              <w:rPr>
                <w:rFonts w:ascii="Cambria" w:hAnsi="Cambria" w:cs="Calibri"/>
                <w:lang w:val="it-IT"/>
              </w:rPr>
              <w:t>Izazovi</w:t>
            </w:r>
            <w:proofErr w:type="spellEnd"/>
            <w:r w:rsidRPr="00DF4CE5">
              <w:rPr>
                <w:rFonts w:ascii="Cambria" w:hAnsi="Cambria" w:cs="Calibri"/>
                <w:lang w:val="it-IT"/>
              </w:rPr>
              <w:t xml:space="preserve"> </w:t>
            </w:r>
            <w:proofErr w:type="spellStart"/>
            <w:r w:rsidRPr="00DF4CE5">
              <w:rPr>
                <w:rFonts w:ascii="Cambria" w:hAnsi="Cambria" w:cs="Calibri"/>
                <w:lang w:val="it-IT"/>
              </w:rPr>
              <w:t>suradnje</w:t>
            </w:r>
            <w:proofErr w:type="spellEnd"/>
            <w:r w:rsidRPr="00DF4CE5">
              <w:rPr>
                <w:rFonts w:ascii="Cambria" w:hAnsi="Cambria" w:cs="Calibri"/>
                <w:lang w:val="it-IT"/>
              </w:rPr>
              <w:t xml:space="preserve">: </w:t>
            </w:r>
            <w:proofErr w:type="spellStart"/>
            <w:r w:rsidRPr="00DF4CE5">
              <w:rPr>
                <w:rFonts w:ascii="Cambria" w:hAnsi="Cambria" w:cs="Calibri"/>
                <w:lang w:val="it-IT"/>
              </w:rPr>
              <w:t>Razvoj</w:t>
            </w:r>
            <w:proofErr w:type="spellEnd"/>
            <w:r w:rsidRPr="00DF4CE5">
              <w:rPr>
                <w:rFonts w:ascii="Cambria" w:hAnsi="Cambria" w:cs="Calibri"/>
                <w:lang w:val="it-IT"/>
              </w:rPr>
              <w:t xml:space="preserve"> </w:t>
            </w:r>
            <w:proofErr w:type="spellStart"/>
            <w:r w:rsidRPr="00DF4CE5">
              <w:rPr>
                <w:rFonts w:ascii="Cambria" w:hAnsi="Cambria" w:cs="Calibri"/>
                <w:lang w:val="it-IT"/>
              </w:rPr>
              <w:t>profesionalnih</w:t>
            </w:r>
            <w:proofErr w:type="spellEnd"/>
            <w:r w:rsidRPr="00DF4CE5">
              <w:rPr>
                <w:rFonts w:ascii="Cambria" w:hAnsi="Cambria" w:cs="Calibri"/>
                <w:lang w:val="it-IT"/>
              </w:rPr>
              <w:t xml:space="preserve"> </w:t>
            </w:r>
            <w:proofErr w:type="spellStart"/>
            <w:r w:rsidRPr="00DF4CE5">
              <w:rPr>
                <w:rFonts w:ascii="Cambria" w:hAnsi="Cambria" w:cs="Calibri"/>
                <w:lang w:val="it-IT"/>
              </w:rPr>
              <w:t>kompetencija</w:t>
            </w:r>
            <w:proofErr w:type="spellEnd"/>
            <w:r w:rsidRPr="00DF4CE5">
              <w:rPr>
                <w:rFonts w:ascii="Cambria" w:hAnsi="Cambria" w:cs="Calibri"/>
                <w:lang w:val="it-IT"/>
              </w:rPr>
              <w:t xml:space="preserve"> </w:t>
            </w:r>
            <w:proofErr w:type="spellStart"/>
            <w:r w:rsidRPr="00DF4CE5">
              <w:rPr>
                <w:rFonts w:ascii="Cambria" w:hAnsi="Cambria" w:cs="Calibri"/>
                <w:lang w:val="it-IT"/>
              </w:rPr>
              <w:t>odgojitelja</w:t>
            </w:r>
            <w:proofErr w:type="spellEnd"/>
            <w:r w:rsidRPr="00DF4CE5">
              <w:rPr>
                <w:rFonts w:ascii="Cambria" w:hAnsi="Cambria" w:cs="Calibri"/>
                <w:lang w:val="it-IT"/>
              </w:rPr>
              <w:t xml:space="preserve"> za </w:t>
            </w:r>
            <w:proofErr w:type="spellStart"/>
            <w:r w:rsidRPr="00DF4CE5">
              <w:rPr>
                <w:rFonts w:ascii="Cambria" w:hAnsi="Cambria" w:cs="Calibri"/>
                <w:lang w:val="it-IT"/>
              </w:rPr>
              <w:t>suradnju</w:t>
            </w:r>
            <w:proofErr w:type="spellEnd"/>
            <w:r w:rsidRPr="00DF4CE5">
              <w:rPr>
                <w:rFonts w:ascii="Cambria" w:hAnsi="Cambria" w:cs="Calibri"/>
                <w:lang w:val="it-IT"/>
              </w:rPr>
              <w:t xml:space="preserve"> i </w:t>
            </w:r>
            <w:proofErr w:type="spellStart"/>
            <w:r w:rsidRPr="00DF4CE5">
              <w:rPr>
                <w:rFonts w:ascii="Cambria" w:hAnsi="Cambria" w:cs="Calibri"/>
                <w:lang w:val="it-IT"/>
              </w:rPr>
              <w:t>partnerstvo</w:t>
            </w:r>
            <w:proofErr w:type="spellEnd"/>
            <w:r w:rsidRPr="00DF4CE5">
              <w:rPr>
                <w:rFonts w:ascii="Cambria" w:hAnsi="Cambria" w:cs="Calibri"/>
                <w:lang w:val="it-IT"/>
              </w:rPr>
              <w:t xml:space="preserve"> s </w:t>
            </w:r>
            <w:proofErr w:type="spellStart"/>
            <w:r w:rsidRPr="00DF4CE5">
              <w:rPr>
                <w:rFonts w:ascii="Cambria" w:hAnsi="Cambria" w:cs="Calibri"/>
                <w:lang w:val="it-IT"/>
              </w:rPr>
              <w:t>roditeljima</w:t>
            </w:r>
            <w:proofErr w:type="spellEnd"/>
            <w:r w:rsidRPr="00DF4CE5">
              <w:rPr>
                <w:rFonts w:ascii="Cambria" w:hAnsi="Cambria" w:cs="Calibri"/>
                <w:lang w:val="it-IT"/>
              </w:rPr>
              <w:t xml:space="preserve">. Alfa </w:t>
            </w:r>
            <w:proofErr w:type="spellStart"/>
            <w:r w:rsidRPr="00DF4CE5">
              <w:rPr>
                <w:rFonts w:ascii="Cambria" w:hAnsi="Cambria" w:cs="Calibri"/>
                <w:lang w:val="it-IT"/>
              </w:rPr>
              <w:t>d.d</w:t>
            </w:r>
            <w:proofErr w:type="spellEnd"/>
            <w:r w:rsidRPr="00DF4CE5">
              <w:rPr>
                <w:rFonts w:ascii="Cambria" w:hAnsi="Cambria" w:cs="Calibri"/>
                <w:lang w:val="it-IT"/>
              </w:rPr>
              <w:t>.</w:t>
            </w:r>
          </w:p>
          <w:p w14:paraId="34135935" w14:textId="77777777" w:rsidR="00F50454" w:rsidRPr="00DF4CE5" w:rsidRDefault="00F50454" w:rsidP="00891E8C">
            <w:pPr>
              <w:spacing w:after="0" w:line="240" w:lineRule="auto"/>
              <w:rPr>
                <w:rFonts w:ascii="Cambria" w:hAnsi="Cambria" w:cs="Calibri"/>
                <w:lang w:val="it-IT"/>
              </w:rPr>
            </w:pPr>
            <w:proofErr w:type="spellStart"/>
            <w:r w:rsidRPr="00DF4CE5">
              <w:rPr>
                <w:rFonts w:ascii="Cambria" w:hAnsi="Cambria" w:cs="Calibri"/>
                <w:lang w:val="it-IT"/>
              </w:rPr>
              <w:t>Izborna</w:t>
            </w:r>
            <w:proofErr w:type="spellEnd"/>
            <w:r w:rsidRPr="00DF4CE5">
              <w:rPr>
                <w:rFonts w:ascii="Cambria" w:hAnsi="Cambria" w:cs="Calibri"/>
                <w:lang w:val="it-IT"/>
              </w:rPr>
              <w:t>:</w:t>
            </w:r>
          </w:p>
          <w:p w14:paraId="655215AD" w14:textId="77777777" w:rsidR="00F50454" w:rsidRPr="00DF4CE5" w:rsidRDefault="00F50454" w:rsidP="00891E8C">
            <w:pPr>
              <w:spacing w:after="0" w:line="240" w:lineRule="auto"/>
              <w:rPr>
                <w:rFonts w:ascii="Cambria" w:hAnsi="Cambria" w:cs="Calibri"/>
                <w:lang w:val="it-IT"/>
              </w:rPr>
            </w:pPr>
            <w:r w:rsidRPr="00DF4CE5">
              <w:rPr>
                <w:rFonts w:ascii="Cambria" w:hAnsi="Cambria" w:cs="Calibri"/>
                <w:lang w:val="it-IT"/>
              </w:rPr>
              <w:t xml:space="preserve">1. </w:t>
            </w:r>
            <w:proofErr w:type="spellStart"/>
            <w:r w:rsidRPr="00DF4CE5">
              <w:rPr>
                <w:rFonts w:ascii="Cambria" w:hAnsi="Cambria" w:cs="Calibri"/>
                <w:lang w:val="it-IT"/>
              </w:rPr>
              <w:t>Babić</w:t>
            </w:r>
            <w:proofErr w:type="spellEnd"/>
            <w:r w:rsidRPr="00DF4CE5">
              <w:rPr>
                <w:rFonts w:ascii="Cambria" w:hAnsi="Cambria" w:cs="Calibri"/>
                <w:lang w:val="it-IT"/>
              </w:rPr>
              <w:t xml:space="preserve">, N. (2014). </w:t>
            </w:r>
            <w:proofErr w:type="spellStart"/>
            <w:r w:rsidRPr="00DF4CE5">
              <w:rPr>
                <w:rFonts w:ascii="Cambria" w:hAnsi="Cambria" w:cs="Calibri"/>
                <w:lang w:val="it-IT"/>
              </w:rPr>
              <w:t>Suvremeno</w:t>
            </w:r>
            <w:proofErr w:type="spellEnd"/>
            <w:r w:rsidRPr="00DF4CE5">
              <w:rPr>
                <w:rFonts w:ascii="Cambria" w:hAnsi="Cambria" w:cs="Calibri"/>
                <w:lang w:val="it-IT"/>
              </w:rPr>
              <w:t xml:space="preserve"> </w:t>
            </w:r>
            <w:proofErr w:type="spellStart"/>
            <w:r w:rsidRPr="00DF4CE5">
              <w:rPr>
                <w:rFonts w:ascii="Cambria" w:hAnsi="Cambria" w:cs="Calibri"/>
                <w:lang w:val="it-IT"/>
              </w:rPr>
              <w:t>djetinjstvo</w:t>
            </w:r>
            <w:proofErr w:type="spellEnd"/>
            <w:r w:rsidRPr="00DF4CE5">
              <w:rPr>
                <w:rFonts w:ascii="Cambria" w:hAnsi="Cambria" w:cs="Calibri"/>
                <w:lang w:val="it-IT"/>
              </w:rPr>
              <w:t xml:space="preserve">: </w:t>
            </w:r>
            <w:proofErr w:type="spellStart"/>
            <w:r w:rsidRPr="00DF4CE5">
              <w:rPr>
                <w:rFonts w:ascii="Cambria" w:hAnsi="Cambria" w:cs="Calibri"/>
                <w:lang w:val="it-IT"/>
              </w:rPr>
              <w:t>teorijski</w:t>
            </w:r>
            <w:proofErr w:type="spellEnd"/>
            <w:r w:rsidRPr="00DF4CE5">
              <w:rPr>
                <w:rFonts w:ascii="Cambria" w:hAnsi="Cambria" w:cs="Calibri"/>
                <w:lang w:val="it-IT"/>
              </w:rPr>
              <w:t xml:space="preserve"> </w:t>
            </w:r>
            <w:proofErr w:type="spellStart"/>
            <w:r w:rsidRPr="00DF4CE5">
              <w:rPr>
                <w:rFonts w:ascii="Cambria" w:hAnsi="Cambria" w:cs="Calibri"/>
                <w:lang w:val="it-IT"/>
              </w:rPr>
              <w:t>pristupi</w:t>
            </w:r>
            <w:proofErr w:type="spellEnd"/>
            <w:r w:rsidRPr="00DF4CE5">
              <w:rPr>
                <w:rFonts w:ascii="Cambria" w:hAnsi="Cambria" w:cs="Calibri"/>
                <w:lang w:val="it-IT"/>
              </w:rPr>
              <w:t xml:space="preserve">, </w:t>
            </w:r>
            <w:proofErr w:type="spellStart"/>
            <w:r w:rsidRPr="00DF4CE5">
              <w:rPr>
                <w:rFonts w:ascii="Cambria" w:hAnsi="Cambria" w:cs="Calibri"/>
                <w:lang w:val="it-IT"/>
              </w:rPr>
              <w:t>prakse</w:t>
            </w:r>
            <w:proofErr w:type="spellEnd"/>
            <w:r w:rsidRPr="00DF4CE5">
              <w:rPr>
                <w:rFonts w:ascii="Cambria" w:hAnsi="Cambria" w:cs="Calibri"/>
                <w:lang w:val="it-IT"/>
              </w:rPr>
              <w:t xml:space="preserve"> i </w:t>
            </w:r>
            <w:proofErr w:type="spellStart"/>
            <w:r w:rsidRPr="00DF4CE5">
              <w:rPr>
                <w:rFonts w:ascii="Cambria" w:hAnsi="Cambria" w:cs="Calibri"/>
                <w:lang w:val="it-IT"/>
              </w:rPr>
              <w:t>istraživanja</w:t>
            </w:r>
            <w:proofErr w:type="spellEnd"/>
            <w:r w:rsidRPr="00DF4CE5">
              <w:rPr>
                <w:rFonts w:ascii="Cambria" w:hAnsi="Cambria" w:cs="Calibri"/>
                <w:lang w:val="it-IT"/>
              </w:rPr>
              <w:t xml:space="preserve">. </w:t>
            </w:r>
            <w:proofErr w:type="spellStart"/>
            <w:r w:rsidRPr="00DF4CE5">
              <w:rPr>
                <w:rFonts w:ascii="Cambria" w:hAnsi="Cambria" w:cs="Calibri"/>
                <w:lang w:val="it-IT"/>
              </w:rPr>
              <w:t>Filozofski</w:t>
            </w:r>
            <w:proofErr w:type="spellEnd"/>
            <w:r w:rsidRPr="00DF4CE5">
              <w:rPr>
                <w:rFonts w:ascii="Cambria" w:hAnsi="Cambria" w:cs="Calibri"/>
                <w:lang w:val="it-IT"/>
              </w:rPr>
              <w:t xml:space="preserve"> </w:t>
            </w:r>
            <w:proofErr w:type="spellStart"/>
            <w:r w:rsidRPr="00DF4CE5">
              <w:rPr>
                <w:rFonts w:ascii="Cambria" w:hAnsi="Cambria" w:cs="Calibri"/>
                <w:lang w:val="it-IT"/>
              </w:rPr>
              <w:t>fakultet</w:t>
            </w:r>
            <w:proofErr w:type="spellEnd"/>
            <w:r w:rsidRPr="00DF4CE5">
              <w:rPr>
                <w:rFonts w:ascii="Cambria" w:hAnsi="Cambria" w:cs="Calibri"/>
                <w:lang w:val="it-IT"/>
              </w:rPr>
              <w:t>.</w:t>
            </w:r>
          </w:p>
          <w:p w14:paraId="19167C5F" w14:textId="77777777" w:rsidR="00F50454" w:rsidRPr="00DF4CE5" w:rsidRDefault="00F50454" w:rsidP="00891E8C">
            <w:pPr>
              <w:spacing w:after="0" w:line="240" w:lineRule="auto"/>
              <w:rPr>
                <w:rFonts w:ascii="Cambria" w:hAnsi="Cambria" w:cs="Calibri"/>
              </w:rPr>
            </w:pPr>
            <w:r w:rsidRPr="00DF4CE5">
              <w:rPr>
                <w:rFonts w:ascii="Cambria" w:hAnsi="Cambria" w:cs="Calibri"/>
                <w:lang w:val="it-IT"/>
              </w:rPr>
              <w:t xml:space="preserve">2. Davies, S. (2022). Montessori </w:t>
            </w:r>
            <w:proofErr w:type="spellStart"/>
            <w:r w:rsidRPr="00DF4CE5">
              <w:rPr>
                <w:rFonts w:ascii="Cambria" w:hAnsi="Cambria" w:cs="Calibri"/>
                <w:lang w:val="it-IT"/>
              </w:rPr>
              <w:t>dijete</w:t>
            </w:r>
            <w:proofErr w:type="spellEnd"/>
            <w:r w:rsidRPr="00DF4CE5">
              <w:rPr>
                <w:rFonts w:ascii="Cambria" w:hAnsi="Cambria" w:cs="Calibri"/>
                <w:lang w:val="it-IT"/>
              </w:rPr>
              <w:t xml:space="preserve">: </w:t>
            </w:r>
            <w:proofErr w:type="spellStart"/>
            <w:r w:rsidRPr="00DF4CE5">
              <w:rPr>
                <w:rFonts w:ascii="Cambria" w:hAnsi="Cambria" w:cs="Calibri"/>
                <w:lang w:val="it-IT"/>
              </w:rPr>
              <w:t>vodič</w:t>
            </w:r>
            <w:proofErr w:type="spellEnd"/>
            <w:r w:rsidRPr="00DF4CE5">
              <w:rPr>
                <w:rFonts w:ascii="Cambria" w:hAnsi="Cambria" w:cs="Calibri"/>
                <w:lang w:val="it-IT"/>
              </w:rPr>
              <w:t xml:space="preserve"> za </w:t>
            </w:r>
            <w:proofErr w:type="spellStart"/>
            <w:r w:rsidRPr="00DF4CE5">
              <w:rPr>
                <w:rFonts w:ascii="Cambria" w:hAnsi="Cambria" w:cs="Calibri"/>
                <w:lang w:val="it-IT"/>
              </w:rPr>
              <w:t>roditelje</w:t>
            </w:r>
            <w:proofErr w:type="spellEnd"/>
            <w:r w:rsidRPr="00DF4CE5">
              <w:rPr>
                <w:rFonts w:ascii="Cambria" w:hAnsi="Cambria" w:cs="Calibri"/>
                <w:lang w:val="it-IT"/>
              </w:rPr>
              <w:t xml:space="preserve"> za </w:t>
            </w:r>
            <w:proofErr w:type="spellStart"/>
            <w:r w:rsidRPr="00DF4CE5">
              <w:rPr>
                <w:rFonts w:ascii="Cambria" w:hAnsi="Cambria" w:cs="Calibri"/>
                <w:lang w:val="it-IT"/>
              </w:rPr>
              <w:t>odgoj</w:t>
            </w:r>
            <w:proofErr w:type="spellEnd"/>
            <w:r w:rsidRPr="00DF4CE5">
              <w:rPr>
                <w:rFonts w:ascii="Cambria" w:hAnsi="Cambria" w:cs="Calibri"/>
                <w:lang w:val="it-IT"/>
              </w:rPr>
              <w:t xml:space="preserve"> </w:t>
            </w:r>
            <w:proofErr w:type="spellStart"/>
            <w:r w:rsidRPr="00DF4CE5">
              <w:rPr>
                <w:rFonts w:ascii="Cambria" w:hAnsi="Cambria" w:cs="Calibri"/>
                <w:lang w:val="it-IT"/>
              </w:rPr>
              <w:t>znatiželjnih</w:t>
            </w:r>
            <w:proofErr w:type="spellEnd"/>
            <w:r w:rsidRPr="00DF4CE5">
              <w:rPr>
                <w:rFonts w:ascii="Cambria" w:hAnsi="Cambria" w:cs="Calibri"/>
                <w:lang w:val="it-IT"/>
              </w:rPr>
              <w:t xml:space="preserve"> i </w:t>
            </w:r>
            <w:proofErr w:type="spellStart"/>
            <w:r w:rsidRPr="00DF4CE5">
              <w:rPr>
                <w:rFonts w:ascii="Cambria" w:hAnsi="Cambria" w:cs="Calibri"/>
                <w:lang w:val="it-IT"/>
              </w:rPr>
              <w:t>odgovornih</w:t>
            </w:r>
            <w:proofErr w:type="spellEnd"/>
            <w:r w:rsidRPr="00DF4CE5">
              <w:rPr>
                <w:rFonts w:ascii="Cambria" w:hAnsi="Cambria" w:cs="Calibri"/>
                <w:lang w:val="it-IT"/>
              </w:rPr>
              <w:t xml:space="preserve"> </w:t>
            </w:r>
            <w:proofErr w:type="spellStart"/>
            <w:r w:rsidRPr="00DF4CE5">
              <w:rPr>
                <w:rFonts w:ascii="Cambria" w:hAnsi="Cambria" w:cs="Calibri"/>
                <w:lang w:val="it-IT"/>
              </w:rPr>
              <w:t>ljudskih</w:t>
            </w:r>
            <w:proofErr w:type="spellEnd"/>
            <w:r w:rsidRPr="00DF4CE5">
              <w:rPr>
                <w:rFonts w:ascii="Cambria" w:hAnsi="Cambria" w:cs="Calibri"/>
                <w:lang w:val="it-IT"/>
              </w:rPr>
              <w:t xml:space="preserve"> </w:t>
            </w:r>
            <w:proofErr w:type="spellStart"/>
            <w:r w:rsidRPr="00DF4CE5">
              <w:rPr>
                <w:rFonts w:ascii="Cambria" w:hAnsi="Cambria" w:cs="Calibri"/>
                <w:lang w:val="it-IT"/>
              </w:rPr>
              <w:t>bića</w:t>
            </w:r>
            <w:proofErr w:type="spellEnd"/>
            <w:r w:rsidRPr="00DF4CE5">
              <w:rPr>
                <w:rFonts w:ascii="Cambria" w:hAnsi="Cambria" w:cs="Calibri"/>
                <w:lang w:val="it-IT"/>
              </w:rPr>
              <w:t xml:space="preserve">. </w:t>
            </w:r>
            <w:proofErr w:type="spellStart"/>
            <w:r w:rsidRPr="00DF4CE5">
              <w:rPr>
                <w:rFonts w:ascii="Cambria" w:hAnsi="Cambria" w:cs="Calibri"/>
              </w:rPr>
              <w:t>Harfa</w:t>
            </w:r>
            <w:proofErr w:type="spellEnd"/>
            <w:r w:rsidRPr="00DF4CE5">
              <w:rPr>
                <w:rFonts w:ascii="Cambria" w:hAnsi="Cambria" w:cs="Calibri"/>
              </w:rPr>
              <w:t xml:space="preserve"> d.o.o.</w:t>
            </w:r>
          </w:p>
          <w:p w14:paraId="0EADF8EB" w14:textId="77777777" w:rsidR="00F50454" w:rsidRPr="00DF4CE5" w:rsidRDefault="00F50454" w:rsidP="00891E8C">
            <w:pPr>
              <w:spacing w:after="0" w:line="240" w:lineRule="auto"/>
              <w:rPr>
                <w:rFonts w:ascii="Cambria" w:hAnsi="Cambria" w:cs="Calibri"/>
              </w:rPr>
            </w:pPr>
            <w:r w:rsidRPr="00DF4CE5">
              <w:rPr>
                <w:rFonts w:ascii="Cambria" w:hAnsi="Cambria" w:cs="Calibri"/>
              </w:rPr>
              <w:t xml:space="preserve">3. Dissing Sandahl, I., Alexander, J. J. (2017). </w:t>
            </w:r>
            <w:proofErr w:type="spellStart"/>
            <w:r w:rsidRPr="00DF4CE5">
              <w:rPr>
                <w:rFonts w:ascii="Cambria" w:hAnsi="Cambria" w:cs="Calibri"/>
              </w:rPr>
              <w:t>Danski</w:t>
            </w:r>
            <w:proofErr w:type="spellEnd"/>
            <w:r w:rsidRPr="00DF4CE5">
              <w:rPr>
                <w:rFonts w:ascii="Cambria" w:hAnsi="Cambria" w:cs="Calibri"/>
              </w:rPr>
              <w:t xml:space="preserve"> </w:t>
            </w:r>
            <w:proofErr w:type="spellStart"/>
            <w:r w:rsidRPr="00DF4CE5">
              <w:rPr>
                <w:rFonts w:ascii="Cambria" w:hAnsi="Cambria" w:cs="Calibri"/>
              </w:rPr>
              <w:t>odgoj</w:t>
            </w:r>
            <w:proofErr w:type="spellEnd"/>
            <w:r w:rsidRPr="00DF4CE5">
              <w:rPr>
                <w:rFonts w:ascii="Cambria" w:hAnsi="Cambria" w:cs="Calibri"/>
              </w:rPr>
              <w:t xml:space="preserve"> </w:t>
            </w:r>
            <w:proofErr w:type="spellStart"/>
            <w:r w:rsidRPr="00DF4CE5">
              <w:rPr>
                <w:rFonts w:ascii="Cambria" w:hAnsi="Cambria" w:cs="Calibri"/>
              </w:rPr>
              <w:t>djece</w:t>
            </w:r>
            <w:proofErr w:type="spellEnd"/>
            <w:r w:rsidRPr="00DF4CE5">
              <w:rPr>
                <w:rFonts w:ascii="Cambria" w:hAnsi="Cambria" w:cs="Calibri"/>
              </w:rPr>
              <w:t xml:space="preserve">: </w:t>
            </w:r>
            <w:proofErr w:type="spellStart"/>
            <w:r w:rsidRPr="00DF4CE5">
              <w:rPr>
                <w:rFonts w:ascii="Cambria" w:hAnsi="Cambria" w:cs="Calibri"/>
              </w:rPr>
              <w:t>Što</w:t>
            </w:r>
            <w:proofErr w:type="spellEnd"/>
            <w:r w:rsidRPr="00DF4CE5">
              <w:rPr>
                <w:rFonts w:ascii="Cambria" w:hAnsi="Cambria" w:cs="Calibri"/>
              </w:rPr>
              <w:t xml:space="preserve"> </w:t>
            </w:r>
            <w:proofErr w:type="spellStart"/>
            <w:r w:rsidRPr="00DF4CE5">
              <w:rPr>
                <w:rFonts w:ascii="Cambria" w:hAnsi="Cambria" w:cs="Calibri"/>
              </w:rPr>
              <w:t>najsretniji</w:t>
            </w:r>
            <w:proofErr w:type="spellEnd"/>
            <w:r w:rsidRPr="00DF4CE5">
              <w:rPr>
                <w:rFonts w:ascii="Cambria" w:hAnsi="Cambria" w:cs="Calibri"/>
              </w:rPr>
              <w:t xml:space="preserve"> </w:t>
            </w:r>
            <w:proofErr w:type="spellStart"/>
            <w:r w:rsidRPr="00DF4CE5">
              <w:rPr>
                <w:rFonts w:ascii="Cambria" w:hAnsi="Cambria" w:cs="Calibri"/>
              </w:rPr>
              <w:t>ljudi</w:t>
            </w:r>
            <w:proofErr w:type="spellEnd"/>
            <w:r w:rsidRPr="00DF4CE5">
              <w:rPr>
                <w:rFonts w:ascii="Cambria" w:hAnsi="Cambria" w:cs="Calibri"/>
              </w:rPr>
              <w:t xml:space="preserve"> </w:t>
            </w:r>
            <w:proofErr w:type="spellStart"/>
            <w:r w:rsidRPr="00DF4CE5">
              <w:rPr>
                <w:rFonts w:ascii="Cambria" w:hAnsi="Cambria" w:cs="Calibri"/>
              </w:rPr>
              <w:t>na</w:t>
            </w:r>
            <w:proofErr w:type="spellEnd"/>
            <w:r w:rsidRPr="00DF4CE5">
              <w:rPr>
                <w:rFonts w:ascii="Cambria" w:hAnsi="Cambria" w:cs="Calibri"/>
              </w:rPr>
              <w:t xml:space="preserve"> </w:t>
            </w:r>
            <w:proofErr w:type="spellStart"/>
            <w:r w:rsidRPr="00DF4CE5">
              <w:rPr>
                <w:rFonts w:ascii="Cambria" w:hAnsi="Cambria" w:cs="Calibri"/>
              </w:rPr>
              <w:t>svijetu</w:t>
            </w:r>
            <w:proofErr w:type="spellEnd"/>
            <w:r w:rsidRPr="00DF4CE5">
              <w:rPr>
                <w:rFonts w:ascii="Cambria" w:hAnsi="Cambria" w:cs="Calibri"/>
              </w:rPr>
              <w:t xml:space="preserve"> </w:t>
            </w:r>
            <w:proofErr w:type="spellStart"/>
            <w:r w:rsidRPr="00DF4CE5">
              <w:rPr>
                <w:rFonts w:ascii="Cambria" w:hAnsi="Cambria" w:cs="Calibri"/>
              </w:rPr>
              <w:t>znaju</w:t>
            </w:r>
            <w:proofErr w:type="spellEnd"/>
            <w:r w:rsidRPr="00DF4CE5">
              <w:rPr>
                <w:rFonts w:ascii="Cambria" w:hAnsi="Cambria" w:cs="Calibri"/>
              </w:rPr>
              <w:t xml:space="preserve"> o </w:t>
            </w:r>
            <w:proofErr w:type="spellStart"/>
            <w:r w:rsidRPr="00DF4CE5">
              <w:rPr>
                <w:rFonts w:ascii="Cambria" w:hAnsi="Cambria" w:cs="Calibri"/>
              </w:rPr>
              <w:t>odgoju</w:t>
            </w:r>
            <w:proofErr w:type="spellEnd"/>
            <w:r w:rsidRPr="00DF4CE5">
              <w:rPr>
                <w:rFonts w:ascii="Cambria" w:hAnsi="Cambria" w:cs="Calibri"/>
              </w:rPr>
              <w:t xml:space="preserve"> </w:t>
            </w:r>
            <w:proofErr w:type="spellStart"/>
            <w:r w:rsidRPr="00DF4CE5">
              <w:rPr>
                <w:rFonts w:ascii="Cambria" w:hAnsi="Cambria" w:cs="Calibri"/>
              </w:rPr>
              <w:t>samopouzdane</w:t>
            </w:r>
            <w:proofErr w:type="spellEnd"/>
            <w:r w:rsidRPr="00DF4CE5">
              <w:rPr>
                <w:rFonts w:ascii="Cambria" w:hAnsi="Cambria" w:cs="Calibri"/>
              </w:rPr>
              <w:t xml:space="preserve"> </w:t>
            </w:r>
            <w:proofErr w:type="spellStart"/>
            <w:r w:rsidRPr="00DF4CE5">
              <w:rPr>
                <w:rFonts w:ascii="Cambria" w:hAnsi="Cambria" w:cs="Calibri"/>
              </w:rPr>
              <w:t>i</w:t>
            </w:r>
            <w:proofErr w:type="spellEnd"/>
            <w:r w:rsidRPr="00DF4CE5">
              <w:rPr>
                <w:rFonts w:ascii="Cambria" w:hAnsi="Cambria" w:cs="Calibri"/>
              </w:rPr>
              <w:t xml:space="preserve"> </w:t>
            </w:r>
            <w:proofErr w:type="spellStart"/>
            <w:r w:rsidRPr="00DF4CE5">
              <w:rPr>
                <w:rFonts w:ascii="Cambria" w:hAnsi="Cambria" w:cs="Calibri"/>
              </w:rPr>
              <w:t>sposobne</w:t>
            </w:r>
            <w:proofErr w:type="spellEnd"/>
            <w:r w:rsidRPr="00DF4CE5">
              <w:rPr>
                <w:rFonts w:ascii="Cambria" w:hAnsi="Cambria" w:cs="Calibri"/>
              </w:rPr>
              <w:t xml:space="preserve"> </w:t>
            </w:r>
            <w:proofErr w:type="spellStart"/>
            <w:r w:rsidRPr="00DF4CE5">
              <w:rPr>
                <w:rFonts w:ascii="Cambria" w:hAnsi="Cambria" w:cs="Calibri"/>
              </w:rPr>
              <w:t>djece</w:t>
            </w:r>
            <w:proofErr w:type="spellEnd"/>
            <w:r w:rsidRPr="00DF4CE5">
              <w:rPr>
                <w:rFonts w:ascii="Cambria" w:hAnsi="Cambria" w:cs="Calibri"/>
              </w:rPr>
              <w:t>. Egmont.</w:t>
            </w:r>
          </w:p>
          <w:p w14:paraId="43330FE2" w14:textId="77777777" w:rsidR="00F50454" w:rsidRPr="00DF4CE5" w:rsidRDefault="00F50454" w:rsidP="00891E8C">
            <w:pPr>
              <w:spacing w:after="0" w:line="240" w:lineRule="auto"/>
              <w:rPr>
                <w:rFonts w:ascii="Cambria" w:hAnsi="Cambria" w:cs="Calibri"/>
              </w:rPr>
            </w:pPr>
            <w:r w:rsidRPr="00DF4CE5">
              <w:rPr>
                <w:rFonts w:ascii="Cambria" w:hAnsi="Cambria" w:cs="Calibri"/>
              </w:rPr>
              <w:t xml:space="preserve">4. Dissing Sandahl, I., Zobel, S. (2021). Kako </w:t>
            </w:r>
            <w:proofErr w:type="spellStart"/>
            <w:r w:rsidRPr="00DF4CE5">
              <w:rPr>
                <w:rFonts w:ascii="Cambria" w:hAnsi="Cambria" w:cs="Calibri"/>
              </w:rPr>
              <w:t>biti</w:t>
            </w:r>
            <w:proofErr w:type="spellEnd"/>
            <w:r w:rsidRPr="00DF4CE5">
              <w:rPr>
                <w:rFonts w:ascii="Cambria" w:hAnsi="Cambria" w:cs="Calibri"/>
              </w:rPr>
              <w:t xml:space="preserve"> </w:t>
            </w:r>
            <w:proofErr w:type="spellStart"/>
            <w:r w:rsidRPr="00DF4CE5">
              <w:rPr>
                <w:rFonts w:ascii="Cambria" w:hAnsi="Cambria" w:cs="Calibri"/>
              </w:rPr>
              <w:t>opušten</w:t>
            </w:r>
            <w:proofErr w:type="spellEnd"/>
            <w:r w:rsidRPr="00DF4CE5">
              <w:rPr>
                <w:rFonts w:ascii="Cambria" w:hAnsi="Cambria" w:cs="Calibri"/>
              </w:rPr>
              <w:t xml:space="preserve"> </w:t>
            </w:r>
            <w:proofErr w:type="spellStart"/>
            <w:r w:rsidRPr="00DF4CE5">
              <w:rPr>
                <w:rFonts w:ascii="Cambria" w:hAnsi="Cambria" w:cs="Calibri"/>
              </w:rPr>
              <w:t>roditelj</w:t>
            </w:r>
            <w:proofErr w:type="spellEnd"/>
            <w:r w:rsidRPr="00DF4CE5">
              <w:rPr>
                <w:rFonts w:ascii="Cambria" w:hAnsi="Cambria" w:cs="Calibri"/>
              </w:rPr>
              <w:t>. Egmont.</w:t>
            </w:r>
          </w:p>
          <w:p w14:paraId="18F53A01" w14:textId="77777777" w:rsidR="00F50454" w:rsidRPr="00DF4CE5" w:rsidRDefault="00F50454" w:rsidP="00891E8C">
            <w:pPr>
              <w:spacing w:after="0" w:line="240" w:lineRule="auto"/>
              <w:rPr>
                <w:rFonts w:ascii="Cambria" w:hAnsi="Cambria" w:cs="Calibri"/>
              </w:rPr>
            </w:pPr>
            <w:r w:rsidRPr="00DF4CE5">
              <w:rPr>
                <w:rFonts w:ascii="Cambria" w:hAnsi="Cambria" w:cs="Calibri"/>
              </w:rPr>
              <w:t xml:space="preserve">5. Jurčević Lozančić, A., Kunert, A. (2015). </w:t>
            </w:r>
            <w:proofErr w:type="spellStart"/>
            <w:r w:rsidRPr="00DF4CE5">
              <w:rPr>
                <w:rFonts w:ascii="Cambria" w:hAnsi="Cambria" w:cs="Calibri"/>
              </w:rPr>
              <w:t>Obrazovanje</w:t>
            </w:r>
            <w:proofErr w:type="spellEnd"/>
            <w:r w:rsidRPr="00DF4CE5">
              <w:rPr>
                <w:rFonts w:ascii="Cambria" w:hAnsi="Cambria" w:cs="Calibri"/>
              </w:rPr>
              <w:t xml:space="preserve"> </w:t>
            </w:r>
            <w:proofErr w:type="spellStart"/>
            <w:r w:rsidRPr="00DF4CE5">
              <w:rPr>
                <w:rFonts w:ascii="Cambria" w:hAnsi="Cambria" w:cs="Calibri"/>
              </w:rPr>
              <w:t>roditelja</w:t>
            </w:r>
            <w:proofErr w:type="spellEnd"/>
            <w:r w:rsidRPr="00DF4CE5">
              <w:rPr>
                <w:rFonts w:ascii="Cambria" w:hAnsi="Cambria" w:cs="Calibri"/>
              </w:rPr>
              <w:t xml:space="preserve"> </w:t>
            </w:r>
            <w:proofErr w:type="spellStart"/>
            <w:r w:rsidRPr="00DF4CE5">
              <w:rPr>
                <w:rFonts w:ascii="Cambria" w:hAnsi="Cambria" w:cs="Calibri"/>
              </w:rPr>
              <w:t>i</w:t>
            </w:r>
            <w:proofErr w:type="spellEnd"/>
            <w:r w:rsidRPr="00DF4CE5">
              <w:rPr>
                <w:rFonts w:ascii="Cambria" w:hAnsi="Cambria" w:cs="Calibri"/>
              </w:rPr>
              <w:t xml:space="preserve"> </w:t>
            </w:r>
            <w:proofErr w:type="spellStart"/>
            <w:r w:rsidRPr="00DF4CE5">
              <w:rPr>
                <w:rFonts w:ascii="Cambria" w:hAnsi="Cambria" w:cs="Calibri"/>
              </w:rPr>
              <w:t>roditeljska</w:t>
            </w:r>
            <w:proofErr w:type="spellEnd"/>
            <w:r w:rsidRPr="00DF4CE5">
              <w:rPr>
                <w:rFonts w:ascii="Cambria" w:hAnsi="Cambria" w:cs="Calibri"/>
              </w:rPr>
              <w:t xml:space="preserve"> </w:t>
            </w:r>
            <w:proofErr w:type="spellStart"/>
            <w:r w:rsidRPr="00DF4CE5">
              <w:rPr>
                <w:rFonts w:ascii="Cambria" w:hAnsi="Cambria" w:cs="Calibri"/>
              </w:rPr>
              <w:t>pedagoška</w:t>
            </w:r>
            <w:proofErr w:type="spellEnd"/>
            <w:r w:rsidRPr="00DF4CE5">
              <w:rPr>
                <w:rFonts w:ascii="Cambria" w:hAnsi="Cambria" w:cs="Calibri"/>
              </w:rPr>
              <w:t xml:space="preserve"> </w:t>
            </w:r>
            <w:proofErr w:type="spellStart"/>
            <w:r w:rsidRPr="00DF4CE5">
              <w:rPr>
                <w:rFonts w:ascii="Cambria" w:hAnsi="Cambria" w:cs="Calibri"/>
              </w:rPr>
              <w:t>kompetencija</w:t>
            </w:r>
            <w:proofErr w:type="spellEnd"/>
            <w:r w:rsidRPr="00DF4CE5">
              <w:rPr>
                <w:rFonts w:ascii="Cambria" w:hAnsi="Cambria" w:cs="Calibri"/>
              </w:rPr>
              <w:t xml:space="preserve">, </w:t>
            </w:r>
            <w:proofErr w:type="spellStart"/>
            <w:r w:rsidRPr="00DF4CE5">
              <w:rPr>
                <w:rFonts w:ascii="Cambria" w:hAnsi="Cambria" w:cs="Calibri"/>
              </w:rPr>
              <w:t>teorijski</w:t>
            </w:r>
            <w:proofErr w:type="spellEnd"/>
            <w:r w:rsidRPr="00DF4CE5">
              <w:rPr>
                <w:rFonts w:ascii="Cambria" w:hAnsi="Cambria" w:cs="Calibri"/>
              </w:rPr>
              <w:t xml:space="preserve"> </w:t>
            </w:r>
            <w:proofErr w:type="spellStart"/>
            <w:r w:rsidRPr="00DF4CE5">
              <w:rPr>
                <w:rFonts w:ascii="Cambria" w:hAnsi="Cambria" w:cs="Calibri"/>
              </w:rPr>
              <w:t>i</w:t>
            </w:r>
            <w:proofErr w:type="spellEnd"/>
            <w:r w:rsidRPr="00DF4CE5">
              <w:rPr>
                <w:rFonts w:ascii="Cambria" w:hAnsi="Cambria" w:cs="Calibri"/>
              </w:rPr>
              <w:t xml:space="preserve"> </w:t>
            </w:r>
            <w:proofErr w:type="spellStart"/>
            <w:r w:rsidRPr="00DF4CE5">
              <w:rPr>
                <w:rFonts w:ascii="Cambria" w:hAnsi="Cambria" w:cs="Calibri"/>
              </w:rPr>
              <w:t>praktički</w:t>
            </w:r>
            <w:proofErr w:type="spellEnd"/>
            <w:r w:rsidRPr="00DF4CE5">
              <w:rPr>
                <w:rFonts w:ascii="Cambria" w:hAnsi="Cambria" w:cs="Calibri"/>
              </w:rPr>
              <w:t xml:space="preserve"> </w:t>
            </w:r>
            <w:proofErr w:type="spellStart"/>
            <w:r w:rsidRPr="00DF4CE5">
              <w:rPr>
                <w:rFonts w:ascii="Cambria" w:hAnsi="Cambria" w:cs="Calibri"/>
              </w:rPr>
              <w:t>izazovi</w:t>
            </w:r>
            <w:proofErr w:type="spellEnd"/>
            <w:r w:rsidRPr="00DF4CE5">
              <w:rPr>
                <w:rFonts w:ascii="Cambria" w:hAnsi="Cambria" w:cs="Calibri"/>
              </w:rPr>
              <w:t xml:space="preserve">. </w:t>
            </w:r>
            <w:proofErr w:type="spellStart"/>
            <w:r w:rsidRPr="00DF4CE5">
              <w:rPr>
                <w:rFonts w:ascii="Cambria" w:hAnsi="Cambria" w:cs="Calibri"/>
              </w:rPr>
              <w:t>Metodički</w:t>
            </w:r>
            <w:proofErr w:type="spellEnd"/>
            <w:r w:rsidRPr="00DF4CE5">
              <w:rPr>
                <w:rFonts w:ascii="Cambria" w:hAnsi="Cambria" w:cs="Calibri"/>
              </w:rPr>
              <w:t xml:space="preserve"> </w:t>
            </w:r>
            <w:proofErr w:type="spellStart"/>
            <w:r w:rsidRPr="00DF4CE5">
              <w:rPr>
                <w:rFonts w:ascii="Cambria" w:hAnsi="Cambria" w:cs="Calibri"/>
              </w:rPr>
              <w:t>obzori</w:t>
            </w:r>
            <w:proofErr w:type="spellEnd"/>
            <w:r w:rsidRPr="00DF4CE5">
              <w:rPr>
                <w:rFonts w:ascii="Cambria" w:hAnsi="Cambria" w:cs="Calibri"/>
              </w:rPr>
              <w:t>, 10(2015)2 (22), 39-48.</w:t>
            </w:r>
          </w:p>
          <w:p w14:paraId="12BEF73B" w14:textId="77777777" w:rsidR="00F50454" w:rsidRPr="00DF4CE5" w:rsidRDefault="00F50454" w:rsidP="00891E8C">
            <w:pPr>
              <w:spacing w:after="0" w:line="240" w:lineRule="auto"/>
              <w:rPr>
                <w:rFonts w:ascii="Cambria" w:hAnsi="Cambria" w:cs="Calibri"/>
                <w:lang w:val="it-IT"/>
              </w:rPr>
            </w:pPr>
            <w:r w:rsidRPr="00DF4CE5">
              <w:rPr>
                <w:rFonts w:ascii="Cambria" w:hAnsi="Cambria" w:cs="Calibri"/>
              </w:rPr>
              <w:t xml:space="preserve">6. </w:t>
            </w:r>
            <w:proofErr w:type="spellStart"/>
            <w:r w:rsidRPr="00DF4CE5">
              <w:rPr>
                <w:rFonts w:ascii="Cambria" w:hAnsi="Cambria" w:cs="Calibri"/>
              </w:rPr>
              <w:t>Ljubetić</w:t>
            </w:r>
            <w:proofErr w:type="spellEnd"/>
            <w:r w:rsidRPr="00DF4CE5">
              <w:rPr>
                <w:rFonts w:ascii="Cambria" w:hAnsi="Cambria" w:cs="Calibri"/>
              </w:rPr>
              <w:t xml:space="preserve">, M. (2011). </w:t>
            </w:r>
            <w:proofErr w:type="spellStart"/>
            <w:r w:rsidRPr="00DF4CE5">
              <w:rPr>
                <w:rFonts w:ascii="Cambria" w:hAnsi="Cambria" w:cs="Calibri"/>
              </w:rPr>
              <w:t>Stabilna</w:t>
            </w:r>
            <w:proofErr w:type="spellEnd"/>
            <w:r w:rsidRPr="00DF4CE5">
              <w:rPr>
                <w:rFonts w:ascii="Cambria" w:hAnsi="Cambria" w:cs="Calibri"/>
              </w:rPr>
              <w:t xml:space="preserve"> </w:t>
            </w:r>
            <w:proofErr w:type="spellStart"/>
            <w:r w:rsidRPr="00DF4CE5">
              <w:rPr>
                <w:rFonts w:ascii="Cambria" w:hAnsi="Cambria" w:cs="Calibri"/>
              </w:rPr>
              <w:t>obitelj</w:t>
            </w:r>
            <w:proofErr w:type="spellEnd"/>
            <w:r w:rsidRPr="00DF4CE5">
              <w:rPr>
                <w:rFonts w:ascii="Cambria" w:hAnsi="Cambria" w:cs="Calibri"/>
              </w:rPr>
              <w:t xml:space="preserve"> </w:t>
            </w:r>
            <w:proofErr w:type="spellStart"/>
            <w:r w:rsidRPr="00DF4CE5">
              <w:rPr>
                <w:rFonts w:ascii="Cambria" w:hAnsi="Cambria" w:cs="Calibri"/>
              </w:rPr>
              <w:t>i</w:t>
            </w:r>
            <w:proofErr w:type="spellEnd"/>
            <w:r w:rsidRPr="00DF4CE5">
              <w:rPr>
                <w:rFonts w:ascii="Cambria" w:hAnsi="Cambria" w:cs="Calibri"/>
              </w:rPr>
              <w:t xml:space="preserve"> </w:t>
            </w:r>
            <w:proofErr w:type="spellStart"/>
            <w:r w:rsidRPr="00DF4CE5">
              <w:rPr>
                <w:rFonts w:ascii="Cambria" w:hAnsi="Cambria" w:cs="Calibri"/>
              </w:rPr>
              <w:t>poželjno</w:t>
            </w:r>
            <w:proofErr w:type="spellEnd"/>
            <w:r w:rsidRPr="00DF4CE5">
              <w:rPr>
                <w:rFonts w:ascii="Cambria" w:hAnsi="Cambria" w:cs="Calibri"/>
              </w:rPr>
              <w:t xml:space="preserve"> </w:t>
            </w:r>
            <w:proofErr w:type="spellStart"/>
            <w:r w:rsidRPr="00DF4CE5">
              <w:rPr>
                <w:rFonts w:ascii="Cambria" w:hAnsi="Cambria" w:cs="Calibri"/>
              </w:rPr>
              <w:t>roditeljstvo</w:t>
            </w:r>
            <w:proofErr w:type="spellEnd"/>
            <w:r w:rsidRPr="00DF4CE5">
              <w:rPr>
                <w:rFonts w:ascii="Cambria" w:hAnsi="Cambria" w:cs="Calibri"/>
              </w:rPr>
              <w:t xml:space="preserve"> u </w:t>
            </w:r>
            <w:proofErr w:type="spellStart"/>
            <w:r w:rsidRPr="00DF4CE5">
              <w:rPr>
                <w:rFonts w:ascii="Cambria" w:hAnsi="Cambria" w:cs="Calibri"/>
              </w:rPr>
              <w:t>kaotičnom</w:t>
            </w:r>
            <w:proofErr w:type="spellEnd"/>
            <w:r w:rsidRPr="00DF4CE5">
              <w:rPr>
                <w:rFonts w:ascii="Cambria" w:hAnsi="Cambria" w:cs="Calibri"/>
              </w:rPr>
              <w:t xml:space="preserve"> </w:t>
            </w:r>
            <w:proofErr w:type="spellStart"/>
            <w:r w:rsidRPr="00DF4CE5">
              <w:rPr>
                <w:rFonts w:ascii="Cambria" w:hAnsi="Cambria" w:cs="Calibri"/>
              </w:rPr>
              <w:t>svijetu</w:t>
            </w:r>
            <w:proofErr w:type="spellEnd"/>
            <w:r w:rsidRPr="00DF4CE5">
              <w:rPr>
                <w:rFonts w:ascii="Cambria" w:hAnsi="Cambria" w:cs="Calibri"/>
              </w:rPr>
              <w:t xml:space="preserve"> (</w:t>
            </w:r>
            <w:proofErr w:type="spellStart"/>
            <w:r w:rsidRPr="00DF4CE5">
              <w:rPr>
                <w:rFonts w:ascii="Cambria" w:hAnsi="Cambria" w:cs="Calibri"/>
              </w:rPr>
              <w:t>moguća</w:t>
            </w:r>
            <w:proofErr w:type="spellEnd"/>
            <w:r w:rsidRPr="00DF4CE5">
              <w:rPr>
                <w:rFonts w:ascii="Cambria" w:hAnsi="Cambria" w:cs="Calibri"/>
              </w:rPr>
              <w:t xml:space="preserve">) </w:t>
            </w:r>
            <w:proofErr w:type="spellStart"/>
            <w:r w:rsidRPr="00DF4CE5">
              <w:rPr>
                <w:rFonts w:ascii="Cambria" w:hAnsi="Cambria" w:cs="Calibri"/>
              </w:rPr>
              <w:t>stvarnost</w:t>
            </w:r>
            <w:proofErr w:type="spellEnd"/>
            <w:r w:rsidRPr="00DF4CE5">
              <w:rPr>
                <w:rFonts w:ascii="Cambria" w:hAnsi="Cambria" w:cs="Calibri"/>
              </w:rPr>
              <w:t xml:space="preserve"> </w:t>
            </w:r>
            <w:proofErr w:type="spellStart"/>
            <w:r w:rsidRPr="00DF4CE5">
              <w:rPr>
                <w:rFonts w:ascii="Cambria" w:hAnsi="Cambria" w:cs="Calibri"/>
              </w:rPr>
              <w:t>ili</w:t>
            </w:r>
            <w:proofErr w:type="spellEnd"/>
            <w:r w:rsidRPr="00DF4CE5">
              <w:rPr>
                <w:rFonts w:ascii="Cambria" w:hAnsi="Cambria" w:cs="Calibri"/>
              </w:rPr>
              <w:t xml:space="preserve"> </w:t>
            </w:r>
            <w:proofErr w:type="spellStart"/>
            <w:r w:rsidRPr="00DF4CE5">
              <w:rPr>
                <w:rFonts w:ascii="Cambria" w:hAnsi="Cambria" w:cs="Calibri"/>
              </w:rPr>
              <w:t>iluzija</w:t>
            </w:r>
            <w:proofErr w:type="spellEnd"/>
            <w:r w:rsidRPr="00DF4CE5">
              <w:rPr>
                <w:rFonts w:ascii="Cambria" w:hAnsi="Cambria" w:cs="Calibri"/>
              </w:rPr>
              <w:t xml:space="preserve">? </w:t>
            </w:r>
            <w:r w:rsidRPr="00DF4CE5">
              <w:rPr>
                <w:rFonts w:ascii="Cambria" w:hAnsi="Cambria" w:cs="Calibri"/>
                <w:lang w:val="it-IT"/>
              </w:rPr>
              <w:t>(</w:t>
            </w:r>
            <w:proofErr w:type="spellStart"/>
            <w:r w:rsidRPr="00DF4CE5">
              <w:rPr>
                <w:rFonts w:ascii="Cambria" w:hAnsi="Cambria" w:cs="Calibri"/>
                <w:lang w:val="it-IT"/>
              </w:rPr>
              <w:t>Imaju</w:t>
            </w:r>
            <w:proofErr w:type="spellEnd"/>
            <w:r w:rsidRPr="00DF4CE5">
              <w:rPr>
                <w:rFonts w:ascii="Cambria" w:hAnsi="Cambria" w:cs="Calibri"/>
                <w:lang w:val="it-IT"/>
              </w:rPr>
              <w:t xml:space="preserve"> li </w:t>
            </w:r>
            <w:proofErr w:type="spellStart"/>
            <w:r w:rsidRPr="00DF4CE5">
              <w:rPr>
                <w:rFonts w:ascii="Cambria" w:hAnsi="Cambria" w:cs="Calibri"/>
                <w:lang w:val="it-IT"/>
              </w:rPr>
              <w:t>perspektivu</w:t>
            </w:r>
            <w:proofErr w:type="spellEnd"/>
            <w:r w:rsidRPr="00DF4CE5">
              <w:rPr>
                <w:rFonts w:ascii="Cambria" w:hAnsi="Cambria" w:cs="Calibri"/>
                <w:lang w:val="it-IT"/>
              </w:rPr>
              <w:t xml:space="preserve"> i/ili </w:t>
            </w:r>
            <w:proofErr w:type="spellStart"/>
            <w:r w:rsidRPr="00DF4CE5">
              <w:rPr>
                <w:rFonts w:ascii="Cambria" w:hAnsi="Cambria" w:cs="Calibri"/>
                <w:lang w:val="it-IT"/>
              </w:rPr>
              <w:t>alternativu</w:t>
            </w:r>
            <w:proofErr w:type="spellEnd"/>
            <w:r w:rsidRPr="00DF4CE5">
              <w:rPr>
                <w:rFonts w:ascii="Cambria" w:hAnsi="Cambria" w:cs="Calibri"/>
                <w:lang w:val="it-IT"/>
              </w:rPr>
              <w:t xml:space="preserve">?) U: D. </w:t>
            </w:r>
            <w:proofErr w:type="spellStart"/>
            <w:r w:rsidRPr="00DF4CE5">
              <w:rPr>
                <w:rFonts w:ascii="Cambria" w:hAnsi="Cambria" w:cs="Calibri"/>
                <w:lang w:val="it-IT"/>
              </w:rPr>
              <w:t>Maleš</w:t>
            </w:r>
            <w:proofErr w:type="spellEnd"/>
            <w:r w:rsidRPr="00DF4CE5">
              <w:rPr>
                <w:rFonts w:ascii="Cambria" w:hAnsi="Cambria" w:cs="Calibri"/>
                <w:lang w:val="it-IT"/>
              </w:rPr>
              <w:t xml:space="preserve"> (</w:t>
            </w:r>
            <w:proofErr w:type="spellStart"/>
            <w:r w:rsidRPr="00DF4CE5">
              <w:rPr>
                <w:rFonts w:ascii="Cambria" w:hAnsi="Cambria" w:cs="Calibri"/>
                <w:lang w:val="it-IT"/>
              </w:rPr>
              <w:t>ur</w:t>
            </w:r>
            <w:proofErr w:type="spellEnd"/>
            <w:r w:rsidRPr="00DF4CE5">
              <w:rPr>
                <w:rFonts w:ascii="Cambria" w:hAnsi="Cambria" w:cs="Calibri"/>
                <w:lang w:val="it-IT"/>
              </w:rPr>
              <w:t xml:space="preserve">.), Nove </w:t>
            </w:r>
            <w:proofErr w:type="spellStart"/>
            <w:r w:rsidRPr="00DF4CE5">
              <w:rPr>
                <w:rFonts w:ascii="Cambria" w:hAnsi="Cambria" w:cs="Calibri"/>
                <w:lang w:val="it-IT"/>
              </w:rPr>
              <w:t>paradigme</w:t>
            </w:r>
            <w:proofErr w:type="spellEnd"/>
            <w:r w:rsidRPr="00DF4CE5">
              <w:rPr>
                <w:rFonts w:ascii="Cambria" w:hAnsi="Cambria" w:cs="Calibri"/>
                <w:lang w:val="it-IT"/>
              </w:rPr>
              <w:t xml:space="preserve"> </w:t>
            </w:r>
            <w:proofErr w:type="spellStart"/>
            <w:r w:rsidRPr="00DF4CE5">
              <w:rPr>
                <w:rFonts w:ascii="Cambria" w:hAnsi="Cambria" w:cs="Calibri"/>
                <w:lang w:val="it-IT"/>
              </w:rPr>
              <w:t>ranog</w:t>
            </w:r>
            <w:proofErr w:type="spellEnd"/>
            <w:r w:rsidRPr="00DF4CE5">
              <w:rPr>
                <w:rFonts w:ascii="Cambria" w:hAnsi="Cambria" w:cs="Calibri"/>
                <w:lang w:val="it-IT"/>
              </w:rPr>
              <w:t xml:space="preserve"> </w:t>
            </w:r>
            <w:proofErr w:type="spellStart"/>
            <w:r w:rsidRPr="00DF4CE5">
              <w:rPr>
                <w:rFonts w:ascii="Cambria" w:hAnsi="Cambria" w:cs="Calibri"/>
                <w:lang w:val="it-IT"/>
              </w:rPr>
              <w:t>odgoja</w:t>
            </w:r>
            <w:proofErr w:type="spellEnd"/>
            <w:r w:rsidRPr="00DF4CE5">
              <w:rPr>
                <w:rFonts w:ascii="Cambria" w:hAnsi="Cambria" w:cs="Calibri"/>
                <w:lang w:val="it-IT"/>
              </w:rPr>
              <w:t xml:space="preserve">. </w:t>
            </w:r>
            <w:proofErr w:type="spellStart"/>
            <w:r w:rsidRPr="00DF4CE5">
              <w:rPr>
                <w:rFonts w:ascii="Cambria" w:hAnsi="Cambria" w:cs="Calibri"/>
                <w:lang w:val="it-IT"/>
              </w:rPr>
              <w:t>Filozofski</w:t>
            </w:r>
            <w:proofErr w:type="spellEnd"/>
            <w:r w:rsidRPr="00DF4CE5">
              <w:rPr>
                <w:rFonts w:ascii="Cambria" w:hAnsi="Cambria" w:cs="Calibri"/>
                <w:lang w:val="it-IT"/>
              </w:rPr>
              <w:t xml:space="preserve"> </w:t>
            </w:r>
            <w:proofErr w:type="spellStart"/>
            <w:r w:rsidRPr="00DF4CE5">
              <w:rPr>
                <w:rFonts w:ascii="Cambria" w:hAnsi="Cambria" w:cs="Calibri"/>
                <w:lang w:val="it-IT"/>
              </w:rPr>
              <w:t>fakultet</w:t>
            </w:r>
            <w:proofErr w:type="spellEnd"/>
            <w:r w:rsidRPr="00DF4CE5">
              <w:rPr>
                <w:rFonts w:ascii="Cambria" w:hAnsi="Cambria" w:cs="Calibri"/>
                <w:lang w:val="it-IT"/>
              </w:rPr>
              <w:t xml:space="preserve"> </w:t>
            </w:r>
            <w:proofErr w:type="spellStart"/>
            <w:r w:rsidRPr="00DF4CE5">
              <w:rPr>
                <w:rFonts w:ascii="Cambria" w:hAnsi="Cambria" w:cs="Calibri"/>
                <w:lang w:val="it-IT"/>
              </w:rPr>
              <w:t>Sveučilišta</w:t>
            </w:r>
            <w:proofErr w:type="spellEnd"/>
            <w:r w:rsidRPr="00DF4CE5">
              <w:rPr>
                <w:rFonts w:ascii="Cambria" w:hAnsi="Cambria" w:cs="Calibri"/>
                <w:lang w:val="it-IT"/>
              </w:rPr>
              <w:t xml:space="preserve"> u </w:t>
            </w:r>
            <w:proofErr w:type="spellStart"/>
            <w:r w:rsidRPr="00DF4CE5">
              <w:rPr>
                <w:rFonts w:ascii="Cambria" w:hAnsi="Cambria" w:cs="Calibri"/>
                <w:lang w:val="it-IT"/>
              </w:rPr>
              <w:t>Zagrebu</w:t>
            </w:r>
            <w:proofErr w:type="spellEnd"/>
            <w:r w:rsidRPr="00DF4CE5">
              <w:rPr>
                <w:rFonts w:ascii="Cambria" w:hAnsi="Cambria" w:cs="Calibri"/>
                <w:lang w:val="it-IT"/>
              </w:rPr>
              <w:t xml:space="preserve">-Zavod za </w:t>
            </w:r>
            <w:proofErr w:type="spellStart"/>
            <w:r w:rsidRPr="00DF4CE5">
              <w:rPr>
                <w:rFonts w:ascii="Cambria" w:hAnsi="Cambria" w:cs="Calibri"/>
                <w:lang w:val="it-IT"/>
              </w:rPr>
              <w:t>pedagogiju</w:t>
            </w:r>
            <w:proofErr w:type="spellEnd"/>
            <w:r w:rsidRPr="00DF4CE5">
              <w:rPr>
                <w:rFonts w:ascii="Cambria" w:hAnsi="Cambria" w:cs="Calibri"/>
                <w:lang w:val="it-IT"/>
              </w:rPr>
              <w:t>.</w:t>
            </w:r>
          </w:p>
          <w:p w14:paraId="431F551F" w14:textId="77777777" w:rsidR="00F50454" w:rsidRPr="00DF4CE5" w:rsidRDefault="00F50454" w:rsidP="00891E8C">
            <w:pPr>
              <w:spacing w:after="0" w:line="240" w:lineRule="auto"/>
              <w:rPr>
                <w:rFonts w:ascii="Cambria" w:hAnsi="Cambria" w:cs="Calibri"/>
                <w:lang w:val="it-IT"/>
              </w:rPr>
            </w:pPr>
            <w:r w:rsidRPr="00DF4CE5">
              <w:rPr>
                <w:rFonts w:ascii="Cambria" w:hAnsi="Cambria" w:cs="Calibri"/>
                <w:lang w:val="it-IT"/>
              </w:rPr>
              <w:t xml:space="preserve">7. </w:t>
            </w:r>
            <w:proofErr w:type="spellStart"/>
            <w:r w:rsidRPr="00DF4CE5">
              <w:rPr>
                <w:rFonts w:ascii="Cambria" w:hAnsi="Cambria" w:cs="Calibri"/>
                <w:lang w:val="it-IT"/>
              </w:rPr>
              <w:t>Ljubetić</w:t>
            </w:r>
            <w:proofErr w:type="spellEnd"/>
            <w:r w:rsidRPr="00DF4CE5">
              <w:rPr>
                <w:rFonts w:ascii="Cambria" w:hAnsi="Cambria" w:cs="Calibri"/>
                <w:lang w:val="it-IT"/>
              </w:rPr>
              <w:t xml:space="preserve">, M. (2012). </w:t>
            </w:r>
            <w:proofErr w:type="spellStart"/>
            <w:r w:rsidRPr="00DF4CE5">
              <w:rPr>
                <w:rFonts w:ascii="Cambria" w:hAnsi="Cambria" w:cs="Calibri"/>
                <w:lang w:val="it-IT"/>
              </w:rPr>
              <w:t>Nosi</w:t>
            </w:r>
            <w:proofErr w:type="spellEnd"/>
            <w:r w:rsidRPr="00DF4CE5">
              <w:rPr>
                <w:rFonts w:ascii="Cambria" w:hAnsi="Cambria" w:cs="Calibri"/>
                <w:lang w:val="it-IT"/>
              </w:rPr>
              <w:t xml:space="preserve"> li </w:t>
            </w:r>
            <w:proofErr w:type="spellStart"/>
            <w:r w:rsidRPr="00DF4CE5">
              <w:rPr>
                <w:rFonts w:ascii="Cambria" w:hAnsi="Cambria" w:cs="Calibri"/>
                <w:lang w:val="it-IT"/>
              </w:rPr>
              <w:t>dobre</w:t>
            </w:r>
            <w:proofErr w:type="spellEnd"/>
            <w:r w:rsidRPr="00DF4CE5">
              <w:rPr>
                <w:rFonts w:ascii="Cambria" w:hAnsi="Cambria" w:cs="Calibri"/>
                <w:lang w:val="it-IT"/>
              </w:rPr>
              <w:t xml:space="preserve"> </w:t>
            </w:r>
            <w:proofErr w:type="spellStart"/>
            <w:r w:rsidRPr="00DF4CE5">
              <w:rPr>
                <w:rFonts w:ascii="Cambria" w:hAnsi="Cambria" w:cs="Calibri"/>
                <w:lang w:val="it-IT"/>
              </w:rPr>
              <w:t>roditelje</w:t>
            </w:r>
            <w:proofErr w:type="spellEnd"/>
            <w:r w:rsidRPr="00DF4CE5">
              <w:rPr>
                <w:rFonts w:ascii="Cambria" w:hAnsi="Cambria" w:cs="Calibri"/>
                <w:lang w:val="it-IT"/>
              </w:rPr>
              <w:t xml:space="preserve"> roda?!: </w:t>
            </w:r>
            <w:proofErr w:type="spellStart"/>
            <w:r w:rsidRPr="00DF4CE5">
              <w:rPr>
                <w:rFonts w:ascii="Cambria" w:hAnsi="Cambria" w:cs="Calibri"/>
                <w:lang w:val="it-IT"/>
              </w:rPr>
              <w:t>odgovorno</w:t>
            </w:r>
            <w:proofErr w:type="spellEnd"/>
            <w:r w:rsidRPr="00DF4CE5">
              <w:rPr>
                <w:rFonts w:ascii="Cambria" w:hAnsi="Cambria" w:cs="Calibri"/>
                <w:lang w:val="it-IT"/>
              </w:rPr>
              <w:t xml:space="preserve"> </w:t>
            </w:r>
            <w:proofErr w:type="spellStart"/>
            <w:r w:rsidRPr="00DF4CE5">
              <w:rPr>
                <w:rFonts w:ascii="Cambria" w:hAnsi="Cambria" w:cs="Calibri"/>
                <w:lang w:val="it-IT"/>
              </w:rPr>
              <w:t>roditeljstvo</w:t>
            </w:r>
            <w:proofErr w:type="spellEnd"/>
            <w:r w:rsidRPr="00DF4CE5">
              <w:rPr>
                <w:rFonts w:ascii="Cambria" w:hAnsi="Cambria" w:cs="Calibri"/>
                <w:lang w:val="it-IT"/>
              </w:rPr>
              <w:t xml:space="preserve"> za </w:t>
            </w:r>
            <w:proofErr w:type="spellStart"/>
            <w:r w:rsidRPr="00DF4CE5">
              <w:rPr>
                <w:rFonts w:ascii="Cambria" w:hAnsi="Cambria" w:cs="Calibri"/>
                <w:lang w:val="it-IT"/>
              </w:rPr>
              <w:t>kompetentno</w:t>
            </w:r>
            <w:proofErr w:type="spellEnd"/>
            <w:r w:rsidRPr="00DF4CE5">
              <w:rPr>
                <w:rFonts w:ascii="Cambria" w:hAnsi="Cambria" w:cs="Calibri"/>
                <w:lang w:val="it-IT"/>
              </w:rPr>
              <w:t xml:space="preserve"> </w:t>
            </w:r>
            <w:proofErr w:type="spellStart"/>
            <w:r w:rsidRPr="00DF4CE5">
              <w:rPr>
                <w:rFonts w:ascii="Cambria" w:hAnsi="Cambria" w:cs="Calibri"/>
                <w:lang w:val="it-IT"/>
              </w:rPr>
              <w:t>dijete</w:t>
            </w:r>
            <w:proofErr w:type="spellEnd"/>
            <w:r w:rsidRPr="00DF4CE5">
              <w:rPr>
                <w:rFonts w:ascii="Cambria" w:hAnsi="Cambria" w:cs="Calibri"/>
                <w:lang w:val="it-IT"/>
              </w:rPr>
              <w:t xml:space="preserve">. </w:t>
            </w:r>
            <w:proofErr w:type="spellStart"/>
            <w:r w:rsidRPr="00DF4CE5">
              <w:rPr>
                <w:rFonts w:ascii="Cambria" w:hAnsi="Cambria" w:cs="Calibri"/>
                <w:lang w:val="it-IT"/>
              </w:rPr>
              <w:t>Profil</w:t>
            </w:r>
            <w:proofErr w:type="spellEnd"/>
            <w:r w:rsidRPr="00DF4CE5">
              <w:rPr>
                <w:rFonts w:ascii="Cambria" w:hAnsi="Cambria" w:cs="Calibri"/>
                <w:lang w:val="it-IT"/>
              </w:rPr>
              <w:t xml:space="preserve"> International.</w:t>
            </w:r>
          </w:p>
          <w:p w14:paraId="24115311" w14:textId="77777777" w:rsidR="00F50454" w:rsidRPr="00DF4CE5" w:rsidRDefault="00F50454" w:rsidP="00891E8C">
            <w:pPr>
              <w:spacing w:after="0" w:line="240" w:lineRule="auto"/>
              <w:rPr>
                <w:rFonts w:ascii="Cambria" w:hAnsi="Cambria" w:cs="Calibri"/>
                <w:lang w:val="it-IT"/>
              </w:rPr>
            </w:pPr>
            <w:r w:rsidRPr="00DF4CE5">
              <w:rPr>
                <w:rFonts w:ascii="Cambria" w:hAnsi="Cambria" w:cs="Calibri"/>
                <w:lang w:val="it-IT"/>
              </w:rPr>
              <w:t xml:space="preserve">8. </w:t>
            </w:r>
            <w:proofErr w:type="spellStart"/>
            <w:r w:rsidRPr="00DF4CE5">
              <w:rPr>
                <w:rFonts w:ascii="Cambria" w:hAnsi="Cambria" w:cs="Calibri"/>
                <w:lang w:val="it-IT"/>
              </w:rPr>
              <w:t>Ljubetić</w:t>
            </w:r>
            <w:proofErr w:type="spellEnd"/>
            <w:r w:rsidRPr="00DF4CE5">
              <w:rPr>
                <w:rFonts w:ascii="Cambria" w:hAnsi="Cambria" w:cs="Calibri"/>
                <w:lang w:val="it-IT"/>
              </w:rPr>
              <w:t xml:space="preserve">, M. (2014). </w:t>
            </w:r>
            <w:proofErr w:type="gramStart"/>
            <w:r w:rsidRPr="00DF4CE5">
              <w:rPr>
                <w:rFonts w:ascii="Cambria" w:hAnsi="Cambria" w:cs="Calibri"/>
                <w:lang w:val="it-IT"/>
              </w:rPr>
              <w:t>Od</w:t>
            </w:r>
            <w:proofErr w:type="gramEnd"/>
            <w:r w:rsidRPr="00DF4CE5">
              <w:rPr>
                <w:rFonts w:ascii="Cambria" w:hAnsi="Cambria" w:cs="Calibri"/>
                <w:lang w:val="it-IT"/>
              </w:rPr>
              <w:t xml:space="preserve"> </w:t>
            </w:r>
            <w:proofErr w:type="spellStart"/>
            <w:r w:rsidRPr="00DF4CE5">
              <w:rPr>
                <w:rFonts w:ascii="Cambria" w:hAnsi="Cambria" w:cs="Calibri"/>
                <w:lang w:val="it-IT"/>
              </w:rPr>
              <w:t>suradnje</w:t>
            </w:r>
            <w:proofErr w:type="spellEnd"/>
            <w:r w:rsidRPr="00DF4CE5">
              <w:rPr>
                <w:rFonts w:ascii="Cambria" w:hAnsi="Cambria" w:cs="Calibri"/>
                <w:lang w:val="it-IT"/>
              </w:rPr>
              <w:t xml:space="preserve"> do </w:t>
            </w:r>
            <w:proofErr w:type="spellStart"/>
            <w:r w:rsidRPr="00DF4CE5">
              <w:rPr>
                <w:rFonts w:ascii="Cambria" w:hAnsi="Cambria" w:cs="Calibri"/>
                <w:lang w:val="it-IT"/>
              </w:rPr>
              <w:t>partnerstva</w:t>
            </w:r>
            <w:proofErr w:type="spellEnd"/>
            <w:r w:rsidRPr="00DF4CE5">
              <w:rPr>
                <w:rFonts w:ascii="Cambria" w:hAnsi="Cambria" w:cs="Calibri"/>
                <w:lang w:val="it-IT"/>
              </w:rPr>
              <w:t xml:space="preserve"> </w:t>
            </w:r>
            <w:proofErr w:type="spellStart"/>
            <w:r w:rsidRPr="00DF4CE5">
              <w:rPr>
                <w:rFonts w:ascii="Cambria" w:hAnsi="Cambria" w:cs="Calibri"/>
                <w:lang w:val="it-IT"/>
              </w:rPr>
              <w:t>obitelji</w:t>
            </w:r>
            <w:proofErr w:type="spellEnd"/>
            <w:r w:rsidRPr="00DF4CE5">
              <w:rPr>
                <w:rFonts w:ascii="Cambria" w:hAnsi="Cambria" w:cs="Calibri"/>
                <w:lang w:val="it-IT"/>
              </w:rPr>
              <w:t xml:space="preserve">, </w:t>
            </w:r>
            <w:proofErr w:type="spellStart"/>
            <w:r w:rsidRPr="00DF4CE5">
              <w:rPr>
                <w:rFonts w:ascii="Cambria" w:hAnsi="Cambria" w:cs="Calibri"/>
                <w:lang w:val="it-IT"/>
              </w:rPr>
              <w:t>odgojno-obrazovne</w:t>
            </w:r>
            <w:proofErr w:type="spellEnd"/>
            <w:r w:rsidRPr="00DF4CE5">
              <w:rPr>
                <w:rFonts w:ascii="Cambria" w:hAnsi="Cambria" w:cs="Calibri"/>
                <w:lang w:val="it-IT"/>
              </w:rPr>
              <w:t xml:space="preserve"> </w:t>
            </w:r>
            <w:proofErr w:type="spellStart"/>
            <w:r w:rsidRPr="00DF4CE5">
              <w:rPr>
                <w:rFonts w:ascii="Cambria" w:hAnsi="Cambria" w:cs="Calibri"/>
                <w:lang w:val="it-IT"/>
              </w:rPr>
              <w:t>ustanove</w:t>
            </w:r>
            <w:proofErr w:type="spellEnd"/>
            <w:r w:rsidRPr="00DF4CE5">
              <w:rPr>
                <w:rFonts w:ascii="Cambria" w:hAnsi="Cambria" w:cs="Calibri"/>
                <w:lang w:val="it-IT"/>
              </w:rPr>
              <w:t xml:space="preserve"> i </w:t>
            </w:r>
            <w:proofErr w:type="spellStart"/>
            <w:r w:rsidRPr="00DF4CE5">
              <w:rPr>
                <w:rFonts w:ascii="Cambria" w:hAnsi="Cambria" w:cs="Calibri"/>
                <w:lang w:val="it-IT"/>
              </w:rPr>
              <w:t>zajednice</w:t>
            </w:r>
            <w:proofErr w:type="spellEnd"/>
            <w:r w:rsidRPr="00DF4CE5">
              <w:rPr>
                <w:rFonts w:ascii="Cambria" w:hAnsi="Cambria" w:cs="Calibri"/>
                <w:lang w:val="it-IT"/>
              </w:rPr>
              <w:t xml:space="preserve">. </w:t>
            </w:r>
            <w:proofErr w:type="spellStart"/>
            <w:r w:rsidRPr="00DF4CE5">
              <w:rPr>
                <w:rFonts w:ascii="Cambria" w:hAnsi="Cambria" w:cs="Calibri"/>
                <w:lang w:val="it-IT"/>
              </w:rPr>
              <w:t>Element</w:t>
            </w:r>
            <w:proofErr w:type="spellEnd"/>
            <w:r w:rsidRPr="00DF4CE5">
              <w:rPr>
                <w:rFonts w:ascii="Cambria" w:hAnsi="Cambria" w:cs="Calibri"/>
                <w:lang w:val="it-IT"/>
              </w:rPr>
              <w:t>.</w:t>
            </w:r>
          </w:p>
          <w:p w14:paraId="47AC6D9F" w14:textId="77777777" w:rsidR="00F50454" w:rsidRPr="00DF4CE5" w:rsidRDefault="00F50454" w:rsidP="00891E8C">
            <w:pPr>
              <w:spacing w:after="0" w:line="240" w:lineRule="auto"/>
              <w:rPr>
                <w:rFonts w:ascii="Cambria" w:hAnsi="Cambria" w:cs="Calibri"/>
                <w:lang w:val="it-IT"/>
              </w:rPr>
            </w:pPr>
            <w:r w:rsidRPr="00DF4CE5">
              <w:rPr>
                <w:rFonts w:ascii="Cambria" w:hAnsi="Cambria" w:cs="Calibri"/>
                <w:lang w:val="it-IT"/>
              </w:rPr>
              <w:t xml:space="preserve">9. </w:t>
            </w:r>
            <w:proofErr w:type="spellStart"/>
            <w:r w:rsidRPr="00DF4CE5">
              <w:rPr>
                <w:rFonts w:ascii="Cambria" w:hAnsi="Cambria" w:cs="Calibri"/>
                <w:lang w:val="it-IT"/>
              </w:rPr>
              <w:t>Maleš</w:t>
            </w:r>
            <w:proofErr w:type="spellEnd"/>
            <w:r w:rsidRPr="00DF4CE5">
              <w:rPr>
                <w:rFonts w:ascii="Cambria" w:hAnsi="Cambria" w:cs="Calibri"/>
                <w:lang w:val="it-IT"/>
              </w:rPr>
              <w:t xml:space="preserve">, D., </w:t>
            </w:r>
            <w:proofErr w:type="spellStart"/>
            <w:r w:rsidRPr="00DF4CE5">
              <w:rPr>
                <w:rFonts w:ascii="Cambria" w:hAnsi="Cambria" w:cs="Calibri"/>
                <w:lang w:val="it-IT"/>
              </w:rPr>
              <w:t>Kušević</w:t>
            </w:r>
            <w:proofErr w:type="spellEnd"/>
            <w:r w:rsidRPr="00DF4CE5">
              <w:rPr>
                <w:rFonts w:ascii="Cambria" w:hAnsi="Cambria" w:cs="Calibri"/>
                <w:lang w:val="it-IT"/>
              </w:rPr>
              <w:t xml:space="preserve">, B. (2011). Nova paradigma </w:t>
            </w:r>
            <w:proofErr w:type="spellStart"/>
            <w:r w:rsidRPr="00DF4CE5">
              <w:rPr>
                <w:rFonts w:ascii="Cambria" w:hAnsi="Cambria" w:cs="Calibri"/>
                <w:lang w:val="it-IT"/>
              </w:rPr>
              <w:t>obiteljskog</w:t>
            </w:r>
            <w:proofErr w:type="spellEnd"/>
            <w:r w:rsidRPr="00DF4CE5">
              <w:rPr>
                <w:rFonts w:ascii="Cambria" w:hAnsi="Cambria" w:cs="Calibri"/>
                <w:lang w:val="it-IT"/>
              </w:rPr>
              <w:t xml:space="preserve"> </w:t>
            </w:r>
            <w:proofErr w:type="spellStart"/>
            <w:r w:rsidRPr="00DF4CE5">
              <w:rPr>
                <w:rFonts w:ascii="Cambria" w:hAnsi="Cambria" w:cs="Calibri"/>
                <w:lang w:val="it-IT"/>
              </w:rPr>
              <w:t>odgoja</w:t>
            </w:r>
            <w:proofErr w:type="spellEnd"/>
            <w:r w:rsidRPr="00DF4CE5">
              <w:rPr>
                <w:rFonts w:ascii="Cambria" w:hAnsi="Cambria" w:cs="Calibri"/>
                <w:lang w:val="it-IT"/>
              </w:rPr>
              <w:t xml:space="preserve">. U: D. </w:t>
            </w:r>
            <w:proofErr w:type="spellStart"/>
            <w:r w:rsidRPr="00DF4CE5">
              <w:rPr>
                <w:rFonts w:ascii="Cambria" w:hAnsi="Cambria" w:cs="Calibri"/>
                <w:lang w:val="it-IT"/>
              </w:rPr>
              <w:t>Maleš</w:t>
            </w:r>
            <w:proofErr w:type="spellEnd"/>
            <w:r w:rsidRPr="00DF4CE5">
              <w:rPr>
                <w:rFonts w:ascii="Cambria" w:hAnsi="Cambria" w:cs="Calibri"/>
                <w:lang w:val="it-IT"/>
              </w:rPr>
              <w:t xml:space="preserve"> (</w:t>
            </w:r>
            <w:proofErr w:type="spellStart"/>
            <w:r w:rsidRPr="00DF4CE5">
              <w:rPr>
                <w:rFonts w:ascii="Cambria" w:hAnsi="Cambria" w:cs="Calibri"/>
                <w:lang w:val="it-IT"/>
              </w:rPr>
              <w:t>ur</w:t>
            </w:r>
            <w:proofErr w:type="spellEnd"/>
            <w:r w:rsidRPr="00DF4CE5">
              <w:rPr>
                <w:rFonts w:ascii="Cambria" w:hAnsi="Cambria" w:cs="Calibri"/>
                <w:lang w:val="it-IT"/>
              </w:rPr>
              <w:t xml:space="preserve">.), Nove </w:t>
            </w:r>
            <w:proofErr w:type="spellStart"/>
            <w:r w:rsidRPr="00DF4CE5">
              <w:rPr>
                <w:rFonts w:ascii="Cambria" w:hAnsi="Cambria" w:cs="Calibri"/>
                <w:lang w:val="it-IT"/>
              </w:rPr>
              <w:t>paradigme</w:t>
            </w:r>
            <w:proofErr w:type="spellEnd"/>
            <w:r w:rsidRPr="00DF4CE5">
              <w:rPr>
                <w:rFonts w:ascii="Cambria" w:hAnsi="Cambria" w:cs="Calibri"/>
                <w:lang w:val="it-IT"/>
              </w:rPr>
              <w:t xml:space="preserve"> </w:t>
            </w:r>
            <w:proofErr w:type="spellStart"/>
            <w:r w:rsidRPr="00DF4CE5">
              <w:rPr>
                <w:rFonts w:ascii="Cambria" w:hAnsi="Cambria" w:cs="Calibri"/>
                <w:lang w:val="it-IT"/>
              </w:rPr>
              <w:t>ranog</w:t>
            </w:r>
            <w:proofErr w:type="spellEnd"/>
            <w:r w:rsidRPr="00DF4CE5">
              <w:rPr>
                <w:rFonts w:ascii="Cambria" w:hAnsi="Cambria" w:cs="Calibri"/>
                <w:lang w:val="it-IT"/>
              </w:rPr>
              <w:t xml:space="preserve"> </w:t>
            </w:r>
            <w:proofErr w:type="spellStart"/>
            <w:r w:rsidRPr="00DF4CE5">
              <w:rPr>
                <w:rFonts w:ascii="Cambria" w:hAnsi="Cambria" w:cs="Calibri"/>
                <w:lang w:val="it-IT"/>
              </w:rPr>
              <w:t>odgoja</w:t>
            </w:r>
            <w:proofErr w:type="spellEnd"/>
            <w:r w:rsidRPr="00DF4CE5">
              <w:rPr>
                <w:rFonts w:ascii="Cambria" w:hAnsi="Cambria" w:cs="Calibri"/>
                <w:lang w:val="it-IT"/>
              </w:rPr>
              <w:t xml:space="preserve">. </w:t>
            </w:r>
            <w:proofErr w:type="spellStart"/>
            <w:r w:rsidRPr="00DF4CE5">
              <w:rPr>
                <w:rFonts w:ascii="Cambria" w:hAnsi="Cambria" w:cs="Calibri"/>
                <w:lang w:val="it-IT"/>
              </w:rPr>
              <w:t>Filozofski</w:t>
            </w:r>
            <w:proofErr w:type="spellEnd"/>
            <w:r w:rsidRPr="00DF4CE5">
              <w:rPr>
                <w:rFonts w:ascii="Cambria" w:hAnsi="Cambria" w:cs="Calibri"/>
                <w:lang w:val="it-IT"/>
              </w:rPr>
              <w:t xml:space="preserve"> </w:t>
            </w:r>
            <w:proofErr w:type="spellStart"/>
            <w:r w:rsidRPr="00DF4CE5">
              <w:rPr>
                <w:rFonts w:ascii="Cambria" w:hAnsi="Cambria" w:cs="Calibri"/>
                <w:lang w:val="it-IT"/>
              </w:rPr>
              <w:t>fakultet</w:t>
            </w:r>
            <w:proofErr w:type="spellEnd"/>
            <w:r w:rsidRPr="00DF4CE5">
              <w:rPr>
                <w:rFonts w:ascii="Cambria" w:hAnsi="Cambria" w:cs="Calibri"/>
                <w:lang w:val="it-IT"/>
              </w:rPr>
              <w:t xml:space="preserve"> </w:t>
            </w:r>
            <w:proofErr w:type="spellStart"/>
            <w:r w:rsidRPr="00DF4CE5">
              <w:rPr>
                <w:rFonts w:ascii="Cambria" w:hAnsi="Cambria" w:cs="Calibri"/>
                <w:lang w:val="it-IT"/>
              </w:rPr>
              <w:t>Sveučilišta</w:t>
            </w:r>
            <w:proofErr w:type="spellEnd"/>
            <w:r w:rsidRPr="00DF4CE5">
              <w:rPr>
                <w:rFonts w:ascii="Cambria" w:hAnsi="Cambria" w:cs="Calibri"/>
                <w:lang w:val="it-IT"/>
              </w:rPr>
              <w:t xml:space="preserve"> u </w:t>
            </w:r>
            <w:proofErr w:type="spellStart"/>
            <w:r w:rsidRPr="00DF4CE5">
              <w:rPr>
                <w:rFonts w:ascii="Cambria" w:hAnsi="Cambria" w:cs="Calibri"/>
                <w:lang w:val="it-IT"/>
              </w:rPr>
              <w:t>Zagrebu</w:t>
            </w:r>
            <w:proofErr w:type="spellEnd"/>
            <w:r w:rsidRPr="00DF4CE5">
              <w:rPr>
                <w:rFonts w:ascii="Cambria" w:hAnsi="Cambria" w:cs="Calibri"/>
                <w:lang w:val="it-IT"/>
              </w:rPr>
              <w:t xml:space="preserve">-Zavod za </w:t>
            </w:r>
            <w:proofErr w:type="spellStart"/>
            <w:r w:rsidRPr="00DF4CE5">
              <w:rPr>
                <w:rFonts w:ascii="Cambria" w:hAnsi="Cambria" w:cs="Calibri"/>
                <w:lang w:val="it-IT"/>
              </w:rPr>
              <w:t>pedagogiju</w:t>
            </w:r>
            <w:proofErr w:type="spellEnd"/>
            <w:r w:rsidRPr="00DF4CE5">
              <w:rPr>
                <w:rFonts w:ascii="Cambria" w:hAnsi="Cambria" w:cs="Calibri"/>
                <w:lang w:val="it-IT"/>
              </w:rPr>
              <w:t>.</w:t>
            </w:r>
          </w:p>
          <w:p w14:paraId="3CF63A50" w14:textId="77777777" w:rsidR="00F50454" w:rsidRPr="00DF4CE5" w:rsidRDefault="00F50454" w:rsidP="00891E8C">
            <w:pPr>
              <w:spacing w:after="0" w:line="240" w:lineRule="auto"/>
              <w:rPr>
                <w:rFonts w:ascii="Cambria" w:hAnsi="Cambria" w:cs="Calibri"/>
                <w:lang w:val="it-IT"/>
              </w:rPr>
            </w:pPr>
            <w:r w:rsidRPr="00DF4CE5">
              <w:rPr>
                <w:rFonts w:ascii="Cambria" w:hAnsi="Cambria" w:cs="Calibri"/>
                <w:lang w:val="it-IT"/>
              </w:rPr>
              <w:t xml:space="preserve">10. </w:t>
            </w:r>
            <w:proofErr w:type="spellStart"/>
            <w:r w:rsidRPr="00DF4CE5">
              <w:rPr>
                <w:rFonts w:ascii="Cambria" w:hAnsi="Cambria" w:cs="Calibri"/>
                <w:lang w:val="it-IT"/>
              </w:rPr>
              <w:t>Puura</w:t>
            </w:r>
            <w:proofErr w:type="spellEnd"/>
            <w:r w:rsidRPr="00DF4CE5">
              <w:rPr>
                <w:rFonts w:ascii="Cambria" w:hAnsi="Cambria" w:cs="Calibri"/>
                <w:lang w:val="it-IT"/>
              </w:rPr>
              <w:t xml:space="preserve">, K. (2021). </w:t>
            </w:r>
            <w:proofErr w:type="spellStart"/>
            <w:r w:rsidRPr="00DF4CE5">
              <w:rPr>
                <w:rFonts w:ascii="Cambria" w:hAnsi="Cambria" w:cs="Calibri"/>
                <w:lang w:val="it-IT"/>
              </w:rPr>
              <w:t>Finski</w:t>
            </w:r>
            <w:proofErr w:type="spellEnd"/>
            <w:r w:rsidRPr="00DF4CE5">
              <w:rPr>
                <w:rFonts w:ascii="Cambria" w:hAnsi="Cambria" w:cs="Calibri"/>
                <w:lang w:val="it-IT"/>
              </w:rPr>
              <w:t xml:space="preserve"> </w:t>
            </w:r>
            <w:proofErr w:type="spellStart"/>
            <w:r w:rsidRPr="00DF4CE5">
              <w:rPr>
                <w:rFonts w:ascii="Cambria" w:hAnsi="Cambria" w:cs="Calibri"/>
                <w:lang w:val="it-IT"/>
              </w:rPr>
              <w:t>odgoj</w:t>
            </w:r>
            <w:proofErr w:type="spellEnd"/>
            <w:r w:rsidRPr="00DF4CE5">
              <w:rPr>
                <w:rFonts w:ascii="Cambria" w:hAnsi="Cambria" w:cs="Calibri"/>
                <w:lang w:val="it-IT"/>
              </w:rPr>
              <w:t xml:space="preserve"> </w:t>
            </w:r>
            <w:proofErr w:type="spellStart"/>
            <w:r w:rsidRPr="00DF4CE5">
              <w:rPr>
                <w:rFonts w:ascii="Cambria" w:hAnsi="Cambria" w:cs="Calibri"/>
                <w:lang w:val="it-IT"/>
              </w:rPr>
              <w:t>djece</w:t>
            </w:r>
            <w:proofErr w:type="spellEnd"/>
            <w:r w:rsidRPr="00DF4CE5">
              <w:rPr>
                <w:rFonts w:ascii="Cambria" w:hAnsi="Cambria" w:cs="Calibri"/>
                <w:lang w:val="it-IT"/>
              </w:rPr>
              <w:t xml:space="preserve">: </w:t>
            </w:r>
            <w:proofErr w:type="spellStart"/>
            <w:r w:rsidRPr="00DF4CE5">
              <w:rPr>
                <w:rFonts w:ascii="Cambria" w:hAnsi="Cambria" w:cs="Calibri"/>
                <w:lang w:val="it-IT"/>
              </w:rPr>
              <w:t>Tajna</w:t>
            </w:r>
            <w:proofErr w:type="spellEnd"/>
            <w:r w:rsidRPr="00DF4CE5">
              <w:rPr>
                <w:rFonts w:ascii="Cambria" w:hAnsi="Cambria" w:cs="Calibri"/>
                <w:lang w:val="it-IT"/>
              </w:rPr>
              <w:t xml:space="preserve"> </w:t>
            </w:r>
            <w:proofErr w:type="spellStart"/>
            <w:r w:rsidRPr="00DF4CE5">
              <w:rPr>
                <w:rFonts w:ascii="Cambria" w:hAnsi="Cambria" w:cs="Calibri"/>
                <w:lang w:val="it-IT"/>
              </w:rPr>
              <w:t>odgoja</w:t>
            </w:r>
            <w:proofErr w:type="spellEnd"/>
            <w:r w:rsidRPr="00DF4CE5">
              <w:rPr>
                <w:rFonts w:ascii="Cambria" w:hAnsi="Cambria" w:cs="Calibri"/>
                <w:lang w:val="it-IT"/>
              </w:rPr>
              <w:t xml:space="preserve"> </w:t>
            </w:r>
            <w:proofErr w:type="spellStart"/>
            <w:r w:rsidRPr="00DF4CE5">
              <w:rPr>
                <w:rFonts w:ascii="Cambria" w:hAnsi="Cambria" w:cs="Calibri"/>
                <w:lang w:val="it-IT"/>
              </w:rPr>
              <w:t>najsretnije</w:t>
            </w:r>
            <w:proofErr w:type="spellEnd"/>
            <w:r w:rsidRPr="00DF4CE5">
              <w:rPr>
                <w:rFonts w:ascii="Cambria" w:hAnsi="Cambria" w:cs="Calibri"/>
                <w:lang w:val="it-IT"/>
              </w:rPr>
              <w:t xml:space="preserve"> i </w:t>
            </w:r>
            <w:proofErr w:type="spellStart"/>
            <w:r w:rsidRPr="00DF4CE5">
              <w:rPr>
                <w:rFonts w:ascii="Cambria" w:hAnsi="Cambria" w:cs="Calibri"/>
                <w:lang w:val="it-IT"/>
              </w:rPr>
              <w:t>najbolje</w:t>
            </w:r>
            <w:proofErr w:type="spellEnd"/>
            <w:r w:rsidRPr="00DF4CE5">
              <w:rPr>
                <w:rFonts w:ascii="Cambria" w:hAnsi="Cambria" w:cs="Calibri"/>
                <w:lang w:val="it-IT"/>
              </w:rPr>
              <w:t xml:space="preserve"> </w:t>
            </w:r>
            <w:proofErr w:type="spellStart"/>
            <w:r w:rsidRPr="00DF4CE5">
              <w:rPr>
                <w:rFonts w:ascii="Cambria" w:hAnsi="Cambria" w:cs="Calibri"/>
                <w:lang w:val="it-IT"/>
              </w:rPr>
              <w:t>djece</w:t>
            </w:r>
            <w:proofErr w:type="spellEnd"/>
            <w:r w:rsidRPr="00DF4CE5">
              <w:rPr>
                <w:rFonts w:ascii="Cambria" w:hAnsi="Cambria" w:cs="Calibri"/>
                <w:lang w:val="it-IT"/>
              </w:rPr>
              <w:t xml:space="preserve"> </w:t>
            </w:r>
            <w:proofErr w:type="spellStart"/>
            <w:r w:rsidRPr="00DF4CE5">
              <w:rPr>
                <w:rFonts w:ascii="Cambria" w:hAnsi="Cambria" w:cs="Calibri"/>
                <w:lang w:val="it-IT"/>
              </w:rPr>
              <w:t>na</w:t>
            </w:r>
            <w:proofErr w:type="spellEnd"/>
            <w:r w:rsidRPr="00DF4CE5">
              <w:rPr>
                <w:rFonts w:ascii="Cambria" w:hAnsi="Cambria" w:cs="Calibri"/>
                <w:lang w:val="it-IT"/>
              </w:rPr>
              <w:t xml:space="preserve"> </w:t>
            </w:r>
            <w:proofErr w:type="spellStart"/>
            <w:r w:rsidRPr="00DF4CE5">
              <w:rPr>
                <w:rFonts w:ascii="Cambria" w:hAnsi="Cambria" w:cs="Calibri"/>
                <w:lang w:val="it-IT"/>
              </w:rPr>
              <w:t>svijetu</w:t>
            </w:r>
            <w:proofErr w:type="spellEnd"/>
            <w:r w:rsidRPr="00DF4CE5">
              <w:rPr>
                <w:rFonts w:ascii="Cambria" w:hAnsi="Cambria" w:cs="Calibri"/>
                <w:lang w:val="it-IT"/>
              </w:rPr>
              <w:t xml:space="preserve">. </w:t>
            </w:r>
            <w:proofErr w:type="spellStart"/>
            <w:r w:rsidRPr="00DF4CE5">
              <w:rPr>
                <w:rFonts w:ascii="Cambria" w:hAnsi="Cambria" w:cs="Calibri"/>
                <w:lang w:val="it-IT"/>
              </w:rPr>
              <w:t>Stilus</w:t>
            </w:r>
            <w:proofErr w:type="spellEnd"/>
            <w:r w:rsidRPr="00DF4CE5">
              <w:rPr>
                <w:rFonts w:ascii="Cambria" w:hAnsi="Cambria" w:cs="Calibri"/>
                <w:lang w:val="it-IT"/>
              </w:rPr>
              <w:t xml:space="preserve"> </w:t>
            </w:r>
            <w:proofErr w:type="spellStart"/>
            <w:r w:rsidRPr="00DF4CE5">
              <w:rPr>
                <w:rFonts w:ascii="Cambria" w:hAnsi="Cambria" w:cs="Calibri"/>
                <w:lang w:val="it-IT"/>
              </w:rPr>
              <w:t>knjiga</w:t>
            </w:r>
            <w:proofErr w:type="spellEnd"/>
            <w:r w:rsidRPr="00DF4CE5">
              <w:rPr>
                <w:rFonts w:ascii="Cambria" w:hAnsi="Cambria" w:cs="Calibri"/>
                <w:lang w:val="it-IT"/>
              </w:rPr>
              <w:t xml:space="preserve"> </w:t>
            </w:r>
            <w:proofErr w:type="spellStart"/>
            <w:r w:rsidRPr="00DF4CE5">
              <w:rPr>
                <w:rFonts w:ascii="Cambria" w:hAnsi="Cambria" w:cs="Calibri"/>
                <w:lang w:val="it-IT"/>
              </w:rPr>
              <w:t>d.o.o</w:t>
            </w:r>
            <w:proofErr w:type="spellEnd"/>
            <w:r w:rsidRPr="00DF4CE5">
              <w:rPr>
                <w:rFonts w:ascii="Cambria" w:hAnsi="Cambria" w:cs="Calibri"/>
                <w:lang w:val="it-IT"/>
              </w:rPr>
              <w:t>.</w:t>
            </w:r>
          </w:p>
          <w:p w14:paraId="4D27E8D3" w14:textId="77777777" w:rsidR="00F50454" w:rsidRPr="00DF4CE5" w:rsidRDefault="00F50454" w:rsidP="00891E8C">
            <w:pPr>
              <w:spacing w:after="0" w:line="240" w:lineRule="auto"/>
              <w:rPr>
                <w:rFonts w:ascii="Cambria" w:hAnsi="Cambria" w:cs="Calibri"/>
                <w:lang w:val="it-IT"/>
              </w:rPr>
            </w:pPr>
            <w:r w:rsidRPr="00DF4CE5">
              <w:rPr>
                <w:rFonts w:ascii="Cambria" w:hAnsi="Cambria" w:cs="Calibri"/>
                <w:lang w:val="it-IT"/>
              </w:rPr>
              <w:t xml:space="preserve">11. </w:t>
            </w:r>
            <w:proofErr w:type="spellStart"/>
            <w:r w:rsidRPr="00DF4CE5">
              <w:rPr>
                <w:rFonts w:ascii="Cambria" w:hAnsi="Cambria" w:cs="Calibri"/>
                <w:lang w:val="it-IT"/>
              </w:rPr>
              <w:t>Tsabary</w:t>
            </w:r>
            <w:proofErr w:type="spellEnd"/>
            <w:r w:rsidRPr="00DF4CE5">
              <w:rPr>
                <w:rFonts w:ascii="Cambria" w:hAnsi="Cambria" w:cs="Calibri"/>
                <w:lang w:val="it-IT"/>
              </w:rPr>
              <w:t xml:space="preserve">, S. (2019). </w:t>
            </w:r>
            <w:proofErr w:type="spellStart"/>
            <w:r w:rsidRPr="00DF4CE5">
              <w:rPr>
                <w:rFonts w:ascii="Cambria" w:hAnsi="Cambria" w:cs="Calibri"/>
                <w:lang w:val="it-IT"/>
              </w:rPr>
              <w:t>Svjesni</w:t>
            </w:r>
            <w:proofErr w:type="spellEnd"/>
            <w:r w:rsidRPr="00DF4CE5">
              <w:rPr>
                <w:rFonts w:ascii="Cambria" w:hAnsi="Cambria" w:cs="Calibri"/>
                <w:lang w:val="it-IT"/>
              </w:rPr>
              <w:t xml:space="preserve"> </w:t>
            </w:r>
            <w:proofErr w:type="spellStart"/>
            <w:r w:rsidRPr="00DF4CE5">
              <w:rPr>
                <w:rFonts w:ascii="Cambria" w:hAnsi="Cambria" w:cs="Calibri"/>
                <w:lang w:val="it-IT"/>
              </w:rPr>
              <w:t>roditelji</w:t>
            </w:r>
            <w:proofErr w:type="spellEnd"/>
            <w:r w:rsidRPr="00DF4CE5">
              <w:rPr>
                <w:rFonts w:ascii="Cambria" w:hAnsi="Cambria" w:cs="Calibri"/>
                <w:lang w:val="it-IT"/>
              </w:rPr>
              <w:t xml:space="preserve">: </w:t>
            </w:r>
            <w:proofErr w:type="spellStart"/>
            <w:r w:rsidRPr="00DF4CE5">
              <w:rPr>
                <w:rFonts w:ascii="Cambria" w:hAnsi="Cambria" w:cs="Calibri"/>
                <w:lang w:val="it-IT"/>
              </w:rPr>
              <w:t>Mijenjamo</w:t>
            </w:r>
            <w:proofErr w:type="spellEnd"/>
            <w:r w:rsidRPr="00DF4CE5">
              <w:rPr>
                <w:rFonts w:ascii="Cambria" w:hAnsi="Cambria" w:cs="Calibri"/>
                <w:lang w:val="it-IT"/>
              </w:rPr>
              <w:t xml:space="preserve"> </w:t>
            </w:r>
            <w:proofErr w:type="spellStart"/>
            <w:r w:rsidRPr="00DF4CE5">
              <w:rPr>
                <w:rFonts w:ascii="Cambria" w:hAnsi="Cambria" w:cs="Calibri"/>
                <w:lang w:val="it-IT"/>
              </w:rPr>
              <w:t>sebe</w:t>
            </w:r>
            <w:proofErr w:type="spellEnd"/>
            <w:r w:rsidRPr="00DF4CE5">
              <w:rPr>
                <w:rFonts w:ascii="Cambria" w:hAnsi="Cambria" w:cs="Calibri"/>
                <w:lang w:val="it-IT"/>
              </w:rPr>
              <w:t xml:space="preserve">, </w:t>
            </w:r>
            <w:proofErr w:type="spellStart"/>
            <w:r w:rsidRPr="00DF4CE5">
              <w:rPr>
                <w:rFonts w:ascii="Cambria" w:hAnsi="Cambria" w:cs="Calibri"/>
                <w:lang w:val="it-IT"/>
              </w:rPr>
              <w:t>osnažujemo</w:t>
            </w:r>
            <w:proofErr w:type="spellEnd"/>
            <w:r w:rsidRPr="00DF4CE5">
              <w:rPr>
                <w:rFonts w:ascii="Cambria" w:hAnsi="Cambria" w:cs="Calibri"/>
                <w:lang w:val="it-IT"/>
              </w:rPr>
              <w:t xml:space="preserve"> </w:t>
            </w:r>
            <w:proofErr w:type="spellStart"/>
            <w:r w:rsidRPr="00DF4CE5">
              <w:rPr>
                <w:rFonts w:ascii="Cambria" w:hAnsi="Cambria" w:cs="Calibri"/>
                <w:lang w:val="it-IT"/>
              </w:rPr>
              <w:t>svoju</w:t>
            </w:r>
            <w:proofErr w:type="spellEnd"/>
            <w:r w:rsidRPr="00DF4CE5">
              <w:rPr>
                <w:rFonts w:ascii="Cambria" w:hAnsi="Cambria" w:cs="Calibri"/>
                <w:lang w:val="it-IT"/>
              </w:rPr>
              <w:t xml:space="preserve"> </w:t>
            </w:r>
            <w:proofErr w:type="spellStart"/>
            <w:r w:rsidRPr="00DF4CE5">
              <w:rPr>
                <w:rFonts w:ascii="Cambria" w:hAnsi="Cambria" w:cs="Calibri"/>
                <w:lang w:val="it-IT"/>
              </w:rPr>
              <w:t>djecu</w:t>
            </w:r>
            <w:proofErr w:type="spellEnd"/>
            <w:r w:rsidRPr="00DF4CE5">
              <w:rPr>
                <w:rFonts w:ascii="Cambria" w:hAnsi="Cambria" w:cs="Calibri"/>
                <w:lang w:val="it-IT"/>
              </w:rPr>
              <w:t xml:space="preserve">. Split: </w:t>
            </w:r>
            <w:proofErr w:type="spellStart"/>
            <w:r w:rsidRPr="00DF4CE5">
              <w:rPr>
                <w:rFonts w:ascii="Cambria" w:hAnsi="Cambria" w:cs="Calibri"/>
                <w:lang w:val="it-IT"/>
              </w:rPr>
              <w:t>Harfa</w:t>
            </w:r>
            <w:proofErr w:type="spellEnd"/>
            <w:r w:rsidRPr="00DF4CE5">
              <w:rPr>
                <w:rFonts w:ascii="Cambria" w:hAnsi="Cambria" w:cs="Calibri"/>
                <w:lang w:val="it-IT"/>
              </w:rPr>
              <w:t xml:space="preserve"> </w:t>
            </w:r>
            <w:proofErr w:type="spellStart"/>
            <w:r w:rsidRPr="00DF4CE5">
              <w:rPr>
                <w:rFonts w:ascii="Cambria" w:hAnsi="Cambria" w:cs="Calibri"/>
                <w:lang w:val="it-IT"/>
              </w:rPr>
              <w:t>d.o.o</w:t>
            </w:r>
            <w:proofErr w:type="spellEnd"/>
            <w:r w:rsidRPr="00DF4CE5">
              <w:rPr>
                <w:rFonts w:ascii="Cambria" w:hAnsi="Cambria" w:cs="Calibri"/>
                <w:lang w:val="it-IT"/>
              </w:rPr>
              <w:t>.</w:t>
            </w:r>
          </w:p>
          <w:p w14:paraId="0F1BD7B9" w14:textId="77777777" w:rsidR="00F50454" w:rsidRPr="00DF4CE5" w:rsidRDefault="00F50454" w:rsidP="00891E8C">
            <w:pPr>
              <w:spacing w:after="0" w:line="240" w:lineRule="auto"/>
              <w:rPr>
                <w:rFonts w:ascii="Cambria" w:hAnsi="Cambria" w:cs="Calibri"/>
                <w:lang w:val="it-IT"/>
              </w:rPr>
            </w:pPr>
            <w:r w:rsidRPr="00DF4CE5">
              <w:rPr>
                <w:rFonts w:ascii="Cambria" w:hAnsi="Cambria" w:cs="Calibri"/>
                <w:lang w:val="it-IT"/>
              </w:rPr>
              <w:t xml:space="preserve">12. </w:t>
            </w:r>
            <w:proofErr w:type="spellStart"/>
            <w:r w:rsidRPr="00DF4CE5">
              <w:rPr>
                <w:rFonts w:ascii="Cambria" w:hAnsi="Cambria" w:cs="Calibri"/>
                <w:lang w:val="it-IT"/>
              </w:rPr>
              <w:t>Zloković</w:t>
            </w:r>
            <w:proofErr w:type="spellEnd"/>
            <w:r w:rsidRPr="00DF4CE5">
              <w:rPr>
                <w:rFonts w:ascii="Cambria" w:hAnsi="Cambria" w:cs="Calibri"/>
                <w:lang w:val="it-IT"/>
              </w:rPr>
              <w:t xml:space="preserve">, J. (2018). </w:t>
            </w:r>
            <w:proofErr w:type="spellStart"/>
            <w:r w:rsidRPr="00DF4CE5">
              <w:rPr>
                <w:rFonts w:ascii="Cambria" w:hAnsi="Cambria" w:cs="Calibri"/>
                <w:lang w:val="it-IT"/>
              </w:rPr>
              <w:t>Osnaživanje</w:t>
            </w:r>
            <w:proofErr w:type="spellEnd"/>
            <w:r w:rsidRPr="00DF4CE5">
              <w:rPr>
                <w:rFonts w:ascii="Cambria" w:hAnsi="Cambria" w:cs="Calibri"/>
                <w:lang w:val="it-IT"/>
              </w:rPr>
              <w:t xml:space="preserve"> </w:t>
            </w:r>
            <w:proofErr w:type="spellStart"/>
            <w:r w:rsidRPr="00DF4CE5">
              <w:rPr>
                <w:rFonts w:ascii="Cambria" w:hAnsi="Cambria" w:cs="Calibri"/>
                <w:lang w:val="it-IT"/>
              </w:rPr>
              <w:t>obitelji</w:t>
            </w:r>
            <w:proofErr w:type="spellEnd"/>
            <w:r w:rsidRPr="00DF4CE5">
              <w:rPr>
                <w:rFonts w:ascii="Cambria" w:hAnsi="Cambria" w:cs="Calibri"/>
                <w:lang w:val="it-IT"/>
              </w:rPr>
              <w:t xml:space="preserve"> za </w:t>
            </w:r>
            <w:proofErr w:type="spellStart"/>
            <w:r w:rsidRPr="00DF4CE5">
              <w:rPr>
                <w:rFonts w:ascii="Cambria" w:hAnsi="Cambria" w:cs="Calibri"/>
                <w:lang w:val="it-IT"/>
              </w:rPr>
              <w:t>razvoj</w:t>
            </w:r>
            <w:proofErr w:type="spellEnd"/>
            <w:r w:rsidRPr="00DF4CE5">
              <w:rPr>
                <w:rFonts w:ascii="Cambria" w:hAnsi="Cambria" w:cs="Calibri"/>
                <w:lang w:val="it-IT"/>
              </w:rPr>
              <w:t xml:space="preserve"> </w:t>
            </w:r>
            <w:proofErr w:type="spellStart"/>
            <w:r w:rsidRPr="00DF4CE5">
              <w:rPr>
                <w:rFonts w:ascii="Cambria" w:hAnsi="Cambria" w:cs="Calibri"/>
                <w:lang w:val="it-IT"/>
              </w:rPr>
              <w:t>pozitivnih</w:t>
            </w:r>
            <w:proofErr w:type="spellEnd"/>
            <w:r w:rsidRPr="00DF4CE5">
              <w:rPr>
                <w:rFonts w:ascii="Cambria" w:hAnsi="Cambria" w:cs="Calibri"/>
                <w:lang w:val="it-IT"/>
              </w:rPr>
              <w:t xml:space="preserve"> </w:t>
            </w:r>
            <w:proofErr w:type="spellStart"/>
            <w:r w:rsidRPr="00DF4CE5">
              <w:rPr>
                <w:rFonts w:ascii="Cambria" w:hAnsi="Cambria" w:cs="Calibri"/>
                <w:lang w:val="it-IT"/>
              </w:rPr>
              <w:t>odnosa</w:t>
            </w:r>
            <w:proofErr w:type="spellEnd"/>
            <w:r w:rsidRPr="00DF4CE5">
              <w:rPr>
                <w:rFonts w:ascii="Cambria" w:hAnsi="Cambria" w:cs="Calibri"/>
                <w:lang w:val="it-IT"/>
              </w:rPr>
              <w:t xml:space="preserve">. Rijeka: </w:t>
            </w:r>
            <w:proofErr w:type="spellStart"/>
            <w:r w:rsidRPr="00DF4CE5">
              <w:rPr>
                <w:rFonts w:ascii="Cambria" w:hAnsi="Cambria" w:cs="Calibri"/>
                <w:lang w:val="it-IT"/>
              </w:rPr>
              <w:t>Filozofski</w:t>
            </w:r>
            <w:proofErr w:type="spellEnd"/>
            <w:r w:rsidRPr="00DF4CE5">
              <w:rPr>
                <w:rFonts w:ascii="Cambria" w:hAnsi="Cambria" w:cs="Calibri"/>
                <w:lang w:val="it-IT"/>
              </w:rPr>
              <w:t xml:space="preserve"> </w:t>
            </w:r>
            <w:proofErr w:type="spellStart"/>
            <w:r w:rsidRPr="00DF4CE5">
              <w:rPr>
                <w:rFonts w:ascii="Cambria" w:hAnsi="Cambria" w:cs="Calibri"/>
                <w:lang w:val="it-IT"/>
              </w:rPr>
              <w:t>fakultet</w:t>
            </w:r>
            <w:proofErr w:type="spellEnd"/>
            <w:r w:rsidRPr="00DF4CE5">
              <w:rPr>
                <w:rFonts w:ascii="Cambria" w:hAnsi="Cambria" w:cs="Calibri"/>
                <w:lang w:val="it-IT"/>
              </w:rPr>
              <w:t>.</w:t>
            </w:r>
          </w:p>
          <w:p w14:paraId="3A2F8B5B" w14:textId="77777777" w:rsidR="00F50454" w:rsidRPr="00DF4CE5" w:rsidRDefault="00F50454" w:rsidP="00891E8C">
            <w:pPr>
              <w:spacing w:after="0" w:line="240" w:lineRule="auto"/>
              <w:rPr>
                <w:rFonts w:ascii="Cambria" w:hAnsi="Cambria" w:cs="Calibri"/>
                <w:lang w:val="it-IT"/>
              </w:rPr>
            </w:pPr>
            <w:proofErr w:type="spellStart"/>
            <w:r w:rsidRPr="00DF4CE5">
              <w:rPr>
                <w:rFonts w:ascii="Cambria" w:hAnsi="Cambria" w:cs="Calibri"/>
                <w:lang w:val="it-IT"/>
              </w:rPr>
              <w:t>Mrežne</w:t>
            </w:r>
            <w:proofErr w:type="spellEnd"/>
            <w:r w:rsidRPr="00DF4CE5">
              <w:rPr>
                <w:rFonts w:ascii="Cambria" w:hAnsi="Cambria" w:cs="Calibri"/>
                <w:lang w:val="it-IT"/>
              </w:rPr>
              <w:t xml:space="preserve"> </w:t>
            </w:r>
            <w:proofErr w:type="spellStart"/>
            <w:r w:rsidRPr="00DF4CE5">
              <w:rPr>
                <w:rFonts w:ascii="Cambria" w:hAnsi="Cambria" w:cs="Calibri"/>
                <w:lang w:val="it-IT"/>
              </w:rPr>
              <w:t>stranice</w:t>
            </w:r>
            <w:proofErr w:type="spellEnd"/>
            <w:r w:rsidRPr="00DF4CE5">
              <w:rPr>
                <w:rFonts w:ascii="Cambria" w:hAnsi="Cambria" w:cs="Calibri"/>
                <w:lang w:val="it-IT"/>
              </w:rPr>
              <w:t>:</w:t>
            </w:r>
          </w:p>
          <w:p w14:paraId="4D01EFE9" w14:textId="77777777" w:rsidR="00F50454" w:rsidRPr="00DF4CE5" w:rsidRDefault="00F50454" w:rsidP="00891E8C">
            <w:pPr>
              <w:spacing w:after="0" w:line="240" w:lineRule="auto"/>
              <w:rPr>
                <w:rFonts w:ascii="Cambria" w:hAnsi="Cambria" w:cs="Calibri"/>
                <w:lang w:val="it-IT"/>
              </w:rPr>
            </w:pPr>
            <w:r w:rsidRPr="00DF4CE5">
              <w:rPr>
                <w:rFonts w:ascii="Cambria" w:hAnsi="Cambria" w:cs="Calibri"/>
                <w:lang w:val="it-IT"/>
              </w:rPr>
              <w:t xml:space="preserve">1. </w:t>
            </w:r>
            <w:hyperlink r:id="rId36" w:history="1">
              <w:r w:rsidRPr="00DF4CE5">
                <w:rPr>
                  <w:rStyle w:val="Hiperveza"/>
                  <w:rFonts w:ascii="Cambria" w:hAnsi="Cambria" w:cs="Calibri"/>
                  <w:lang w:val="it-IT"/>
                </w:rPr>
                <w:t>https://www.civilnodrustvo-istra.hr/projekti/detaljnije/filantropija-oslonac-odrzhivih-zajednica</w:t>
              </w:r>
            </w:hyperlink>
          </w:p>
          <w:p w14:paraId="5E5D8CEB" w14:textId="77777777" w:rsidR="00F50454" w:rsidRPr="00DF4CE5" w:rsidRDefault="00F50454" w:rsidP="00891E8C">
            <w:pPr>
              <w:spacing w:after="0" w:line="240" w:lineRule="auto"/>
              <w:rPr>
                <w:rFonts w:ascii="Cambria" w:hAnsi="Cambria" w:cs="Calibri"/>
                <w:lang w:val="it-IT"/>
              </w:rPr>
            </w:pPr>
            <w:r w:rsidRPr="00DF4CE5">
              <w:rPr>
                <w:rFonts w:ascii="Cambria" w:hAnsi="Cambria" w:cs="Calibri"/>
                <w:lang w:val="it-IT"/>
              </w:rPr>
              <w:t xml:space="preserve">2. </w:t>
            </w:r>
            <w:hyperlink r:id="rId37" w:history="1">
              <w:r w:rsidRPr="00DF4CE5">
                <w:rPr>
                  <w:rStyle w:val="Hiperveza"/>
                  <w:rFonts w:ascii="Cambria" w:hAnsi="Cambria" w:cs="Calibri"/>
                  <w:lang w:val="it-IT"/>
                </w:rPr>
                <w:t>https://www.obiteljski.hr/sluzbe/istarska</w:t>
              </w:r>
            </w:hyperlink>
          </w:p>
          <w:p w14:paraId="45F3F3F4" w14:textId="77777777" w:rsidR="00F50454" w:rsidRPr="00DF4CE5" w:rsidRDefault="00F50454" w:rsidP="00891E8C">
            <w:pPr>
              <w:spacing w:after="0" w:line="240" w:lineRule="auto"/>
              <w:rPr>
                <w:rFonts w:ascii="Cambria" w:hAnsi="Cambria" w:cs="Calibri"/>
                <w:lang w:val="it-IT"/>
              </w:rPr>
            </w:pPr>
            <w:r w:rsidRPr="00DF4CE5">
              <w:rPr>
                <w:rFonts w:ascii="Cambria" w:hAnsi="Cambria" w:cs="Calibri"/>
                <w:lang w:val="it-IT"/>
              </w:rPr>
              <w:lastRenderedPageBreak/>
              <w:t>3. https://www.pula.hr/hr/gradska-uprava/upravni-odjeli-i-sluzbe/upravni-odjel-za-drustvene-djelatnosti-i-mlade/odsjek-za-socijalnu-skrb-i-zdravstvo/</w:t>
            </w:r>
          </w:p>
          <w:p w14:paraId="3AE2B6A6" w14:textId="77777777" w:rsidR="00F50454" w:rsidRPr="00DF4CE5" w:rsidRDefault="00F50454" w:rsidP="00891E8C">
            <w:pPr>
              <w:spacing w:after="0" w:line="240" w:lineRule="auto"/>
              <w:rPr>
                <w:rFonts w:ascii="Cambria" w:hAnsi="Cambria" w:cs="Calibri"/>
              </w:rPr>
            </w:pPr>
            <w:proofErr w:type="spellStart"/>
            <w:r w:rsidRPr="00DF4CE5">
              <w:rPr>
                <w:rFonts w:ascii="Cambria" w:hAnsi="Cambria" w:cs="Calibri"/>
              </w:rPr>
              <w:t>Priručna</w:t>
            </w:r>
            <w:proofErr w:type="spellEnd"/>
            <w:r w:rsidRPr="00DF4CE5">
              <w:rPr>
                <w:rFonts w:ascii="Cambria" w:hAnsi="Cambria" w:cs="Calibri"/>
              </w:rPr>
              <w:t>:</w:t>
            </w:r>
          </w:p>
          <w:p w14:paraId="2685E46F" w14:textId="77777777" w:rsidR="00F50454" w:rsidRPr="00DF4CE5" w:rsidRDefault="00F50454" w:rsidP="00891E8C">
            <w:pPr>
              <w:spacing w:after="0" w:line="240" w:lineRule="auto"/>
              <w:rPr>
                <w:rFonts w:ascii="Cambria" w:hAnsi="Cambria" w:cs="Calibri"/>
              </w:rPr>
            </w:pPr>
            <w:r w:rsidRPr="00DF4CE5">
              <w:rPr>
                <w:rFonts w:ascii="Cambria" w:hAnsi="Cambria" w:cs="Calibri"/>
              </w:rPr>
              <w:t xml:space="preserve">1. </w:t>
            </w:r>
            <w:proofErr w:type="spellStart"/>
            <w:r w:rsidRPr="00DF4CE5">
              <w:rPr>
                <w:rFonts w:ascii="Cambria" w:hAnsi="Cambria" w:cs="Calibri"/>
              </w:rPr>
              <w:t>Obiteljski</w:t>
            </w:r>
            <w:proofErr w:type="spellEnd"/>
            <w:r w:rsidRPr="00DF4CE5">
              <w:rPr>
                <w:rFonts w:ascii="Cambria" w:hAnsi="Cambria" w:cs="Calibri"/>
              </w:rPr>
              <w:t xml:space="preserve"> </w:t>
            </w:r>
            <w:proofErr w:type="spellStart"/>
            <w:r w:rsidRPr="00DF4CE5">
              <w:rPr>
                <w:rFonts w:ascii="Cambria" w:hAnsi="Cambria" w:cs="Calibri"/>
              </w:rPr>
              <w:t>zakon</w:t>
            </w:r>
            <w:proofErr w:type="spellEnd"/>
            <w:r w:rsidRPr="00DF4CE5">
              <w:rPr>
                <w:rFonts w:ascii="Cambria" w:hAnsi="Cambria" w:cs="Calibri"/>
              </w:rPr>
              <w:t xml:space="preserve"> NN 103/15, 98/19, 47/20</w:t>
            </w:r>
          </w:p>
        </w:tc>
      </w:tr>
    </w:tbl>
    <w:p w14:paraId="073568FF" w14:textId="77777777" w:rsidR="00F50454" w:rsidRPr="00DF4CE5" w:rsidRDefault="00F50454" w:rsidP="00F50454">
      <w:pPr>
        <w:rPr>
          <w:rFonts w:ascii="Cambria" w:hAnsi="Cambria"/>
        </w:rPr>
      </w:pPr>
    </w:p>
    <w:p w14:paraId="08E3877F" w14:textId="28986419" w:rsidR="00A31664" w:rsidRPr="00DF4CE5" w:rsidRDefault="00A31664">
      <w:pPr>
        <w:rPr>
          <w:rFonts w:ascii="Cambria" w:eastAsia="Times New Roman" w:hAnsi="Cambria" w:cs="Calibri"/>
          <w:lang w:val="hr-HR"/>
        </w:rPr>
      </w:pPr>
      <w:r w:rsidRPr="00DF4CE5">
        <w:rPr>
          <w:rFonts w:ascii="Cambria" w:eastAsia="Times New Roman" w:hAnsi="Cambria" w:cs="Calibri"/>
          <w:lang w:val="hr-HR"/>
        </w:rPr>
        <w:br w:type="page"/>
      </w:r>
    </w:p>
    <w:tbl>
      <w:tblPr>
        <w:tblW w:w="5000" w:type="pct"/>
        <w:tblLayout w:type="fixed"/>
        <w:tblCellMar>
          <w:left w:w="0" w:type="dxa"/>
          <w:right w:w="0" w:type="dxa"/>
        </w:tblCellMar>
        <w:tblLook w:val="0600" w:firstRow="0" w:lastRow="0" w:firstColumn="0" w:lastColumn="0" w:noHBand="1" w:noVBand="1"/>
      </w:tblPr>
      <w:tblGrid>
        <w:gridCol w:w="2806"/>
        <w:gridCol w:w="2663"/>
        <w:gridCol w:w="105"/>
        <w:gridCol w:w="1172"/>
        <w:gridCol w:w="300"/>
        <w:gridCol w:w="472"/>
        <w:gridCol w:w="1087"/>
        <w:gridCol w:w="1415"/>
      </w:tblGrid>
      <w:tr w:rsidR="00E41BE6" w:rsidRPr="00DF4CE5" w14:paraId="50501CAA" w14:textId="77777777" w:rsidTr="00A31664">
        <w:trPr>
          <w:trHeight w:val="346"/>
        </w:trPr>
        <w:tc>
          <w:tcPr>
            <w:tcW w:w="9340"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BB455E5" w14:textId="77777777" w:rsidR="00E41BE6" w:rsidRPr="00DF4CE5" w:rsidRDefault="00E41BE6" w:rsidP="00E41BE6">
            <w:pPr>
              <w:spacing w:after="0" w:line="240" w:lineRule="atLeast"/>
              <w:jc w:val="right"/>
              <w:rPr>
                <w:rFonts w:ascii="Cambria" w:eastAsia="Times New Roman" w:hAnsi="Cambria" w:cs="Calibri"/>
                <w:b/>
                <w:lang w:val="hr-HR"/>
              </w:rPr>
            </w:pPr>
            <w:r w:rsidRPr="00DF4CE5">
              <w:rPr>
                <w:rFonts w:ascii="Cambria" w:eastAsia="Times New Roman" w:hAnsi="Cambria" w:cs="Calibri"/>
                <w:b/>
                <w:lang w:val="hr-HR"/>
              </w:rPr>
              <w:lastRenderedPageBreak/>
              <w:t>IZVEDBENI PLAN NASTAVE KOLEGIJA</w:t>
            </w:r>
          </w:p>
        </w:tc>
      </w:tr>
      <w:tr w:rsidR="00E41BE6" w:rsidRPr="00DF4CE5" w14:paraId="6E4C6D59" w14:textId="77777777" w:rsidTr="00A31664">
        <w:tc>
          <w:tcPr>
            <w:tcW w:w="261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C6883F2" w14:textId="77777777" w:rsidR="00E41BE6" w:rsidRPr="00DF4CE5" w:rsidRDefault="00E41BE6" w:rsidP="00E41BE6">
            <w:pPr>
              <w:spacing w:after="0" w:line="240" w:lineRule="atLeast"/>
              <w:rPr>
                <w:rFonts w:ascii="Cambria" w:eastAsia="Times New Roman" w:hAnsi="Cambria" w:cs="Calibri"/>
                <w:lang w:val="hr-HR"/>
              </w:rPr>
            </w:pPr>
            <w:r w:rsidRPr="00DF4CE5">
              <w:rPr>
                <w:rFonts w:ascii="Cambria" w:eastAsia="Times New Roman" w:hAnsi="Cambria" w:cs="Calibri"/>
                <w:lang w:val="hr-HR"/>
              </w:rPr>
              <w:t>Kod i naziv kolegija</w:t>
            </w:r>
          </w:p>
        </w:tc>
        <w:tc>
          <w:tcPr>
            <w:tcW w:w="672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09A9AC1" w14:textId="64D7C080" w:rsidR="00E41BE6" w:rsidRPr="00DF4CE5" w:rsidRDefault="00A31664" w:rsidP="00E41BE6">
            <w:pPr>
              <w:keepNext/>
              <w:spacing w:after="60" w:line="240" w:lineRule="atLeast"/>
              <w:outlineLvl w:val="2"/>
              <w:rPr>
                <w:rFonts w:ascii="Cambria" w:eastAsia="Times New Roman" w:hAnsi="Cambria" w:cs="Calibri"/>
                <w:bCs/>
                <w:lang w:val="hr-HR" w:eastAsia="hr-HR"/>
              </w:rPr>
            </w:pPr>
            <w:r w:rsidRPr="00DF4CE5">
              <w:rPr>
                <w:rFonts w:ascii="Cambria" w:eastAsia="Times New Roman" w:hAnsi="Cambria" w:cs="Calibri"/>
                <w:bCs/>
                <w:lang w:val="hr-HR" w:eastAsia="hr-HR"/>
              </w:rPr>
              <w:t>257232</w:t>
            </w:r>
          </w:p>
          <w:p w14:paraId="062FAEAA" w14:textId="77777777" w:rsidR="00E41BE6" w:rsidRPr="00DF4CE5" w:rsidRDefault="00E41BE6" w:rsidP="00E41BE6">
            <w:pPr>
              <w:keepNext/>
              <w:spacing w:after="60" w:line="240" w:lineRule="atLeast"/>
              <w:outlineLvl w:val="2"/>
              <w:rPr>
                <w:rFonts w:ascii="Cambria" w:eastAsia="Times New Roman" w:hAnsi="Cambria" w:cs="Calibri"/>
                <w:bCs/>
                <w:lang w:val="hr-HR" w:eastAsia="hr-HR"/>
              </w:rPr>
            </w:pPr>
            <w:r w:rsidRPr="00DF4CE5">
              <w:rPr>
                <w:rFonts w:ascii="Cambria" w:eastAsia="Times New Roman" w:hAnsi="Cambria" w:cs="Calibri"/>
                <w:bCs/>
                <w:lang w:val="hr-HR" w:eastAsia="hr-HR"/>
              </w:rPr>
              <w:t xml:space="preserve">Sociologija odgoja i obrazovanja  </w:t>
            </w:r>
          </w:p>
        </w:tc>
      </w:tr>
      <w:tr w:rsidR="004C14A4" w:rsidRPr="00DF4CE5" w14:paraId="7B367362" w14:textId="77777777" w:rsidTr="00DF0864">
        <w:tc>
          <w:tcPr>
            <w:tcW w:w="261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50BD503" w14:textId="364421AB" w:rsidR="004C14A4" w:rsidRDefault="004C14A4" w:rsidP="004C14A4">
            <w:pPr>
              <w:spacing w:after="0" w:line="240" w:lineRule="atLeast"/>
              <w:rPr>
                <w:rFonts w:ascii="Cambria" w:eastAsia="Times New Roman" w:hAnsi="Cambria" w:cs="Calibri"/>
                <w:lang w:val="hr-HR"/>
              </w:rPr>
            </w:pPr>
            <w:r w:rsidRPr="00DF4CE5">
              <w:rPr>
                <w:rFonts w:ascii="Cambria" w:eastAsia="Times New Roman" w:hAnsi="Cambria" w:cs="Calibri"/>
                <w:lang w:val="hr-HR"/>
              </w:rPr>
              <w:t>Nastavnik</w:t>
            </w:r>
          </w:p>
          <w:p w14:paraId="6ECC60B4" w14:textId="02DC47A0" w:rsidR="006B4FFE" w:rsidRPr="00DF4CE5" w:rsidRDefault="006B4FFE" w:rsidP="004C14A4">
            <w:pPr>
              <w:spacing w:after="0" w:line="240" w:lineRule="atLeast"/>
              <w:rPr>
                <w:rFonts w:ascii="Cambria" w:eastAsia="Times New Roman" w:hAnsi="Cambria" w:cs="Calibri"/>
                <w:lang w:val="hr-HR"/>
              </w:rPr>
            </w:pPr>
            <w:r>
              <w:rPr>
                <w:rFonts w:ascii="Cambria" w:eastAsia="Times New Roman" w:hAnsi="Cambria" w:cs="Calibri"/>
                <w:lang w:val="hr-HR"/>
              </w:rPr>
              <w:t>Suradnik</w:t>
            </w:r>
          </w:p>
          <w:p w14:paraId="31F79A4D" w14:textId="77777777" w:rsidR="004C14A4" w:rsidRPr="00DF4CE5" w:rsidRDefault="004C14A4" w:rsidP="004C14A4">
            <w:pPr>
              <w:spacing w:after="0" w:line="240" w:lineRule="atLeast"/>
              <w:rPr>
                <w:rFonts w:ascii="Cambria" w:eastAsia="Times New Roman" w:hAnsi="Cambria" w:cs="Calibri"/>
                <w:lang w:val="hr-HR"/>
              </w:rPr>
            </w:pPr>
          </w:p>
        </w:tc>
        <w:tc>
          <w:tcPr>
            <w:tcW w:w="6724" w:type="dxa"/>
            <w:gridSpan w:val="7"/>
            <w:tcBorders>
              <w:top w:val="single" w:sz="2" w:space="0" w:color="auto"/>
              <w:left w:val="single" w:sz="2" w:space="0" w:color="auto"/>
              <w:bottom w:val="single" w:sz="2" w:space="0" w:color="auto"/>
              <w:right w:val="single" w:sz="2" w:space="0" w:color="auto"/>
            </w:tcBorders>
            <w:tcMar>
              <w:top w:w="72" w:type="dxa"/>
              <w:left w:w="144" w:type="dxa"/>
              <w:bottom w:w="72" w:type="dxa"/>
              <w:right w:w="144" w:type="dxa"/>
            </w:tcMar>
            <w:vAlign w:val="center"/>
          </w:tcPr>
          <w:p w14:paraId="2B2B2E4E" w14:textId="0766DE4B" w:rsidR="004C14A4" w:rsidRPr="00DF4CE5" w:rsidRDefault="006B4FFE" w:rsidP="004C14A4">
            <w:pPr>
              <w:widowControl w:val="0"/>
              <w:spacing w:after="0" w:line="240" w:lineRule="auto"/>
              <w:rPr>
                <w:rFonts w:ascii="Cambria" w:eastAsia="Cambria" w:hAnsi="Cambria" w:cs="Cambria"/>
                <w:lang w:val="hr-HR"/>
              </w:rPr>
            </w:pPr>
            <w:hyperlink r:id="rId38" w:history="1">
              <w:r w:rsidRPr="006B4FFE">
                <w:rPr>
                  <w:rStyle w:val="Hiperveza"/>
                  <w:rFonts w:ascii="Cambria" w:eastAsia="Cambria" w:hAnsi="Cambria" w:cs="Cambria"/>
                  <w:lang w:val="hr-HR"/>
                </w:rPr>
                <w:t>I</w:t>
              </w:r>
              <w:r w:rsidR="004C14A4" w:rsidRPr="006B4FFE">
                <w:rPr>
                  <w:rStyle w:val="Hiperveza"/>
                  <w:rFonts w:ascii="Cambria" w:eastAsia="Cambria" w:hAnsi="Cambria" w:cs="Cambria"/>
                  <w:lang w:val="hr-HR"/>
                </w:rPr>
                <w:t>zv. prof. dr. sc. Mauro Dujmović</w:t>
              </w:r>
            </w:hyperlink>
            <w:r w:rsidR="004C14A4" w:rsidRPr="00DF4CE5">
              <w:rPr>
                <w:rFonts w:ascii="Cambria" w:eastAsia="Cambria" w:hAnsi="Cambria" w:cs="Cambria"/>
                <w:lang w:val="hr-HR"/>
              </w:rPr>
              <w:t xml:space="preserve"> (nositelj)</w:t>
            </w:r>
          </w:p>
          <w:p w14:paraId="02E73705" w14:textId="655892CF" w:rsidR="004C14A4" w:rsidRPr="00DF4CE5" w:rsidRDefault="006B4FFE" w:rsidP="004C14A4">
            <w:pPr>
              <w:spacing w:after="0" w:line="240" w:lineRule="atLeast"/>
              <w:rPr>
                <w:rFonts w:ascii="Cambria" w:eastAsia="Calibri" w:hAnsi="Cambria" w:cs="Calibri"/>
                <w:lang w:val="hr-HR"/>
              </w:rPr>
            </w:pPr>
            <w:hyperlink r:id="rId39" w:history="1">
              <w:r w:rsidRPr="006B4FFE">
                <w:rPr>
                  <w:rStyle w:val="Hiperveza"/>
                  <w:rFonts w:ascii="Cambria" w:eastAsia="Times New Roman" w:hAnsi="Cambria" w:cs="Times New Roman"/>
                  <w:lang w:val="hr-HR"/>
                </w:rPr>
                <w:t>D</w:t>
              </w:r>
              <w:r w:rsidR="004C14A4" w:rsidRPr="006B4FFE">
                <w:rPr>
                  <w:rStyle w:val="Hiperveza"/>
                  <w:rFonts w:ascii="Cambria" w:eastAsia="Times New Roman" w:hAnsi="Cambria" w:cs="Times New Roman"/>
                  <w:lang w:val="hr-HR"/>
                </w:rPr>
                <w:t xml:space="preserve">r. sc. Edgar </w:t>
              </w:r>
              <w:proofErr w:type="spellStart"/>
              <w:r w:rsidR="004C14A4" w:rsidRPr="006B4FFE">
                <w:rPr>
                  <w:rStyle w:val="Hiperveza"/>
                  <w:rFonts w:ascii="Cambria" w:eastAsia="Times New Roman" w:hAnsi="Cambria" w:cs="Times New Roman"/>
                  <w:lang w:val="hr-HR"/>
                </w:rPr>
                <w:t>Buršić</w:t>
              </w:r>
              <w:proofErr w:type="spellEnd"/>
              <w:r w:rsidR="004C14A4" w:rsidRPr="006B4FFE">
                <w:rPr>
                  <w:rStyle w:val="Hiperveza"/>
                  <w:rFonts w:ascii="Cambria" w:eastAsia="Times New Roman" w:hAnsi="Cambria" w:cs="Times New Roman"/>
                  <w:lang w:val="hr-HR"/>
                </w:rPr>
                <w:t>, v. pred.</w:t>
              </w:r>
            </w:hyperlink>
          </w:p>
        </w:tc>
      </w:tr>
      <w:tr w:rsidR="00E41BE6" w:rsidRPr="00D0399C" w14:paraId="13F3A119" w14:textId="77777777" w:rsidTr="00A31664">
        <w:tc>
          <w:tcPr>
            <w:tcW w:w="261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2F57C20" w14:textId="77777777" w:rsidR="00E41BE6" w:rsidRPr="00DF4CE5" w:rsidRDefault="00E41BE6" w:rsidP="00E41BE6">
            <w:pPr>
              <w:spacing w:after="0" w:line="240" w:lineRule="atLeast"/>
              <w:rPr>
                <w:rFonts w:ascii="Cambria" w:eastAsia="Times New Roman" w:hAnsi="Cambria" w:cs="Calibri"/>
                <w:lang w:val="hr-HR"/>
              </w:rPr>
            </w:pPr>
            <w:r w:rsidRPr="00DF4CE5">
              <w:rPr>
                <w:rFonts w:ascii="Cambria" w:eastAsia="Times New Roman" w:hAnsi="Cambria" w:cs="Calibri"/>
                <w:lang w:val="hr-HR"/>
              </w:rPr>
              <w:t>Studijski program</w:t>
            </w:r>
          </w:p>
        </w:tc>
        <w:tc>
          <w:tcPr>
            <w:tcW w:w="672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EA7BC67" w14:textId="77777777" w:rsidR="00E41BE6" w:rsidRPr="00DF4CE5" w:rsidRDefault="00E41BE6" w:rsidP="00E41BE6">
            <w:pPr>
              <w:spacing w:after="0" w:line="240" w:lineRule="atLeast"/>
              <w:rPr>
                <w:rFonts w:ascii="Cambria" w:eastAsia="Calibri" w:hAnsi="Cambria" w:cs="Calibri"/>
                <w:lang w:val="hr-HR"/>
              </w:rPr>
            </w:pPr>
            <w:r w:rsidRPr="00DF4CE5">
              <w:rPr>
                <w:rFonts w:ascii="Cambria" w:eastAsia="Calibri" w:hAnsi="Cambria" w:cs="Calibri"/>
                <w:lang w:val="hr-HR"/>
              </w:rPr>
              <w:t>Sveučilišni integrirani prijediplomski i diplomski Učiteljski studij na hrvatskom jeziku</w:t>
            </w:r>
          </w:p>
        </w:tc>
      </w:tr>
      <w:tr w:rsidR="00E41BE6" w:rsidRPr="00DF4CE5" w14:paraId="1B72E654" w14:textId="77777777" w:rsidTr="00A31664">
        <w:tc>
          <w:tcPr>
            <w:tcW w:w="261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4780238" w14:textId="77777777" w:rsidR="00E41BE6" w:rsidRPr="00DF4CE5" w:rsidRDefault="00E41BE6" w:rsidP="00E41BE6">
            <w:pPr>
              <w:spacing w:after="0" w:line="240" w:lineRule="atLeast"/>
              <w:rPr>
                <w:rFonts w:ascii="Cambria" w:eastAsia="Times New Roman" w:hAnsi="Cambria" w:cs="Calibri"/>
                <w:lang w:val="hr-HR"/>
              </w:rPr>
            </w:pPr>
            <w:r w:rsidRPr="00DF4CE5">
              <w:rPr>
                <w:rFonts w:ascii="Cambria" w:eastAsia="Times New Roman" w:hAnsi="Cambria" w:cs="Calibri"/>
                <w:lang w:val="hr-HR"/>
              </w:rPr>
              <w:t>Vrsta kolegija</w:t>
            </w:r>
          </w:p>
        </w:tc>
        <w:tc>
          <w:tcPr>
            <w:tcW w:w="248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AF9D26C" w14:textId="77777777" w:rsidR="00E41BE6" w:rsidRPr="00DF4CE5" w:rsidRDefault="00E41BE6" w:rsidP="00E41BE6">
            <w:pPr>
              <w:spacing w:after="0" w:line="240" w:lineRule="atLeast"/>
              <w:rPr>
                <w:rFonts w:ascii="Cambria" w:eastAsia="Calibri" w:hAnsi="Cambria" w:cs="Calibri"/>
                <w:lang w:val="hr-HR"/>
              </w:rPr>
            </w:pPr>
            <w:r w:rsidRPr="00DF4CE5">
              <w:rPr>
                <w:rFonts w:ascii="Cambria" w:eastAsia="Calibri" w:hAnsi="Cambria" w:cs="Calibri"/>
                <w:lang w:val="hr-HR"/>
              </w:rPr>
              <w:t xml:space="preserve">obvezan </w:t>
            </w:r>
          </w:p>
        </w:tc>
        <w:tc>
          <w:tcPr>
            <w:tcW w:w="1470"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2D0A35EE" w14:textId="77777777" w:rsidR="00E41BE6" w:rsidRPr="00DF4CE5" w:rsidRDefault="00E41BE6" w:rsidP="00E41BE6">
            <w:pPr>
              <w:spacing w:after="0" w:line="240" w:lineRule="atLeast"/>
              <w:rPr>
                <w:rFonts w:ascii="Cambria" w:eastAsia="Calibri" w:hAnsi="Cambria" w:cs="Calibri"/>
                <w:lang w:val="hr-HR"/>
              </w:rPr>
            </w:pPr>
            <w:r w:rsidRPr="00DF4CE5">
              <w:rPr>
                <w:rFonts w:ascii="Cambria" w:eastAsia="Calibri" w:hAnsi="Cambria" w:cs="Calibri"/>
                <w:lang w:val="hr-HR"/>
              </w:rPr>
              <w:t>Razina kolegija</w:t>
            </w:r>
          </w:p>
        </w:tc>
        <w:tc>
          <w:tcPr>
            <w:tcW w:w="2772"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BC3A3E1" w14:textId="77777777" w:rsidR="00E41BE6" w:rsidRPr="00DF4CE5" w:rsidRDefault="00E41BE6" w:rsidP="00E41BE6">
            <w:pPr>
              <w:spacing w:after="0" w:line="240" w:lineRule="atLeast"/>
              <w:rPr>
                <w:rFonts w:ascii="Cambria" w:eastAsia="Times New Roman" w:hAnsi="Cambria" w:cs="Calibri"/>
                <w:lang w:val="hr-HR"/>
              </w:rPr>
            </w:pPr>
            <w:r w:rsidRPr="00DF4CE5">
              <w:rPr>
                <w:rFonts w:ascii="Cambria" w:eastAsia="Times New Roman" w:hAnsi="Cambria" w:cs="Calibri"/>
                <w:lang w:val="hr-HR"/>
              </w:rPr>
              <w:t>integrirani</w:t>
            </w:r>
          </w:p>
        </w:tc>
      </w:tr>
      <w:tr w:rsidR="00E41BE6" w:rsidRPr="00DF4CE5" w14:paraId="411A17E1" w14:textId="77777777" w:rsidTr="00A31664">
        <w:tc>
          <w:tcPr>
            <w:tcW w:w="261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1FAD419" w14:textId="77777777" w:rsidR="00E41BE6" w:rsidRPr="00DF4CE5" w:rsidRDefault="00E41BE6" w:rsidP="00E41BE6">
            <w:pPr>
              <w:spacing w:after="0" w:line="240" w:lineRule="atLeast"/>
              <w:rPr>
                <w:rFonts w:ascii="Cambria" w:eastAsia="Times New Roman" w:hAnsi="Cambria" w:cs="Calibri"/>
                <w:lang w:val="hr-HR"/>
              </w:rPr>
            </w:pPr>
            <w:r w:rsidRPr="00DF4CE5">
              <w:rPr>
                <w:rFonts w:ascii="Cambria" w:eastAsia="Times New Roman" w:hAnsi="Cambria" w:cs="Calibri"/>
                <w:lang w:val="hr-HR"/>
              </w:rPr>
              <w:t>Semestar</w:t>
            </w:r>
          </w:p>
        </w:tc>
        <w:tc>
          <w:tcPr>
            <w:tcW w:w="248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EA783AC" w14:textId="77777777" w:rsidR="00E41BE6" w:rsidRPr="00DF4CE5" w:rsidRDefault="00E41BE6" w:rsidP="00E41BE6">
            <w:pPr>
              <w:spacing w:after="0" w:line="240" w:lineRule="atLeast"/>
              <w:rPr>
                <w:rFonts w:ascii="Cambria" w:eastAsia="Calibri" w:hAnsi="Cambria" w:cs="Calibri"/>
                <w:lang w:val="hr-HR"/>
              </w:rPr>
            </w:pPr>
            <w:r w:rsidRPr="00DF4CE5">
              <w:rPr>
                <w:rFonts w:ascii="Cambria" w:eastAsia="Calibri" w:hAnsi="Cambria" w:cs="Calibri"/>
                <w:lang w:val="hr-HR"/>
              </w:rPr>
              <w:t xml:space="preserve">zimski </w:t>
            </w:r>
          </w:p>
        </w:tc>
        <w:tc>
          <w:tcPr>
            <w:tcW w:w="1470"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6B7326FD" w14:textId="77777777" w:rsidR="00E41BE6" w:rsidRPr="00DF4CE5" w:rsidRDefault="00E41BE6" w:rsidP="00E41BE6">
            <w:pPr>
              <w:spacing w:after="0" w:line="240" w:lineRule="atLeast"/>
              <w:rPr>
                <w:rFonts w:ascii="Cambria" w:eastAsia="Times New Roman" w:hAnsi="Cambria" w:cs="Calibri"/>
                <w:lang w:val="hr-HR"/>
              </w:rPr>
            </w:pPr>
            <w:r w:rsidRPr="00DF4CE5">
              <w:rPr>
                <w:rFonts w:ascii="Cambria" w:eastAsia="Times New Roman" w:hAnsi="Cambria" w:cs="Calibri"/>
                <w:lang w:val="hr-HR"/>
              </w:rPr>
              <w:t>Godina studija</w:t>
            </w:r>
          </w:p>
        </w:tc>
        <w:tc>
          <w:tcPr>
            <w:tcW w:w="2772"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BAB9905" w14:textId="77777777" w:rsidR="00E41BE6" w:rsidRPr="00DF4CE5" w:rsidRDefault="00E41BE6" w:rsidP="00E41BE6">
            <w:pPr>
              <w:spacing w:after="0" w:line="240" w:lineRule="atLeast"/>
              <w:rPr>
                <w:rFonts w:ascii="Cambria" w:eastAsia="Calibri" w:hAnsi="Cambria" w:cs="Calibri"/>
                <w:lang w:val="hr-HR"/>
              </w:rPr>
            </w:pPr>
            <w:r w:rsidRPr="00DF4CE5">
              <w:rPr>
                <w:rFonts w:ascii="Cambria" w:eastAsia="Calibri" w:hAnsi="Cambria" w:cs="Calibri"/>
                <w:lang w:val="hr-HR"/>
              </w:rPr>
              <w:t>I.</w:t>
            </w:r>
          </w:p>
        </w:tc>
      </w:tr>
      <w:tr w:rsidR="00E41BE6" w:rsidRPr="00DF4CE5" w14:paraId="419D130E" w14:textId="77777777" w:rsidTr="00A31664">
        <w:tc>
          <w:tcPr>
            <w:tcW w:w="261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112DC05" w14:textId="77777777" w:rsidR="00E41BE6" w:rsidRPr="00DF4CE5" w:rsidRDefault="00E41BE6" w:rsidP="00E41BE6">
            <w:pPr>
              <w:spacing w:after="0" w:line="240" w:lineRule="atLeast"/>
              <w:rPr>
                <w:rFonts w:ascii="Cambria" w:eastAsia="Times New Roman" w:hAnsi="Cambria" w:cs="Calibri"/>
                <w:lang w:val="hr-HR"/>
              </w:rPr>
            </w:pPr>
            <w:proofErr w:type="spellStart"/>
            <w:r w:rsidRPr="00DF4CE5">
              <w:rPr>
                <w:rFonts w:ascii="Cambria" w:eastAsia="Times New Roman" w:hAnsi="Cambria" w:cs="Calibri"/>
              </w:rPr>
              <w:t>Mjesto</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izvođenja</w:t>
            </w:r>
            <w:proofErr w:type="spellEnd"/>
          </w:p>
        </w:tc>
        <w:tc>
          <w:tcPr>
            <w:tcW w:w="248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B8F7804" w14:textId="77777777" w:rsidR="00E41BE6" w:rsidRPr="00DF4CE5" w:rsidRDefault="00E41BE6" w:rsidP="00E41BE6">
            <w:pPr>
              <w:spacing w:after="0" w:line="240" w:lineRule="atLeast"/>
              <w:rPr>
                <w:rFonts w:ascii="Cambria" w:eastAsia="Calibri" w:hAnsi="Cambria" w:cs="Calibri"/>
                <w:lang w:val="hr-HR"/>
              </w:rPr>
            </w:pPr>
            <w:r w:rsidRPr="00DF4CE5">
              <w:rPr>
                <w:rFonts w:ascii="Cambria" w:eastAsia="Calibri" w:hAnsi="Cambria" w:cs="Calibri"/>
                <w:lang w:val="hr-HR"/>
              </w:rPr>
              <w:t>dvorana</w:t>
            </w:r>
          </w:p>
        </w:tc>
        <w:tc>
          <w:tcPr>
            <w:tcW w:w="1470"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79FC273D" w14:textId="77777777" w:rsidR="00E41BE6" w:rsidRPr="00DF4CE5" w:rsidRDefault="00E41BE6" w:rsidP="00E41BE6">
            <w:pPr>
              <w:spacing w:after="0" w:line="240" w:lineRule="atLeast"/>
              <w:rPr>
                <w:rFonts w:ascii="Cambria" w:eastAsia="Times New Roman" w:hAnsi="Cambria" w:cs="Calibri"/>
                <w:lang w:val="hr-HR"/>
              </w:rPr>
            </w:pPr>
            <w:r w:rsidRPr="00DF4CE5">
              <w:rPr>
                <w:rFonts w:ascii="Cambria" w:eastAsia="Times New Roman" w:hAnsi="Cambria" w:cs="Calibri"/>
                <w:lang w:val="hr-HR"/>
              </w:rPr>
              <w:t xml:space="preserve">Jezik izvođenja </w:t>
            </w:r>
          </w:p>
        </w:tc>
        <w:tc>
          <w:tcPr>
            <w:tcW w:w="2772"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97A3DAE" w14:textId="77777777" w:rsidR="00E41BE6" w:rsidRPr="00DF4CE5" w:rsidRDefault="00E41BE6" w:rsidP="00E41BE6">
            <w:pPr>
              <w:spacing w:after="0" w:line="240" w:lineRule="atLeast"/>
              <w:rPr>
                <w:rFonts w:ascii="Cambria" w:eastAsia="Times New Roman" w:hAnsi="Cambria" w:cs="Calibri"/>
                <w:lang w:val="hr-HR"/>
              </w:rPr>
            </w:pPr>
            <w:r w:rsidRPr="00DF4CE5">
              <w:rPr>
                <w:rFonts w:ascii="Cambria" w:eastAsia="Times New Roman" w:hAnsi="Cambria" w:cs="Calibri"/>
                <w:lang w:val="hr-HR"/>
              </w:rPr>
              <w:t>hrvatski</w:t>
            </w:r>
          </w:p>
        </w:tc>
      </w:tr>
      <w:tr w:rsidR="00E41BE6" w:rsidRPr="00DF4CE5" w14:paraId="71D676C8" w14:textId="77777777" w:rsidTr="00A31664">
        <w:tc>
          <w:tcPr>
            <w:tcW w:w="261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1F0C791" w14:textId="77777777" w:rsidR="00E41BE6" w:rsidRPr="00DF4CE5" w:rsidRDefault="00E41BE6" w:rsidP="00E41BE6">
            <w:pPr>
              <w:spacing w:after="0" w:line="240" w:lineRule="atLeast"/>
              <w:rPr>
                <w:rFonts w:ascii="Cambria" w:eastAsia="Times New Roman" w:hAnsi="Cambria" w:cs="Calibri"/>
                <w:lang w:val="hr-HR"/>
              </w:rPr>
            </w:pPr>
            <w:r w:rsidRPr="00DF4CE5">
              <w:rPr>
                <w:rFonts w:ascii="Cambria" w:eastAsia="Times New Roman" w:hAnsi="Cambria" w:cs="Calibri"/>
                <w:lang w:val="hr-HR"/>
              </w:rPr>
              <w:t>Broj ECTS bodova</w:t>
            </w:r>
          </w:p>
        </w:tc>
        <w:tc>
          <w:tcPr>
            <w:tcW w:w="248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D24EA74" w14:textId="77777777" w:rsidR="00E41BE6" w:rsidRPr="00DF4CE5" w:rsidRDefault="00E41BE6" w:rsidP="00E41BE6">
            <w:pPr>
              <w:spacing w:after="0" w:line="240" w:lineRule="atLeast"/>
              <w:rPr>
                <w:rFonts w:ascii="Cambria" w:eastAsia="Calibri" w:hAnsi="Cambria" w:cs="Calibri"/>
                <w:lang w:val="hr-HR"/>
              </w:rPr>
            </w:pPr>
            <w:r w:rsidRPr="00DF4CE5">
              <w:rPr>
                <w:rFonts w:ascii="Cambria" w:eastAsia="Calibri" w:hAnsi="Cambria" w:cs="Calibri"/>
                <w:lang w:val="hr-HR"/>
              </w:rPr>
              <w:t>4</w:t>
            </w:r>
          </w:p>
        </w:tc>
        <w:tc>
          <w:tcPr>
            <w:tcW w:w="1470"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1C4349BF" w14:textId="77777777" w:rsidR="00E41BE6" w:rsidRPr="00DF4CE5" w:rsidRDefault="00E41BE6" w:rsidP="00E41BE6">
            <w:pPr>
              <w:spacing w:after="0" w:line="240" w:lineRule="atLeast"/>
              <w:rPr>
                <w:rFonts w:ascii="Cambria" w:eastAsia="Times New Roman" w:hAnsi="Cambria" w:cs="Calibri"/>
                <w:lang w:val="hr-HR"/>
              </w:rPr>
            </w:pPr>
            <w:r w:rsidRPr="00DF4CE5">
              <w:rPr>
                <w:rFonts w:ascii="Cambria" w:eastAsia="Times New Roman" w:hAnsi="Cambria" w:cs="Calibri"/>
                <w:lang w:val="hr-HR"/>
              </w:rPr>
              <w:t>Broj sati u semestru</w:t>
            </w:r>
          </w:p>
        </w:tc>
        <w:tc>
          <w:tcPr>
            <w:tcW w:w="2772"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C70E38D" w14:textId="6252EBF5" w:rsidR="00E41BE6" w:rsidRPr="00DF4CE5" w:rsidRDefault="00E41BE6" w:rsidP="00E41BE6">
            <w:pPr>
              <w:spacing w:after="0" w:line="240" w:lineRule="atLeast"/>
              <w:rPr>
                <w:rFonts w:ascii="Cambria" w:eastAsia="Times New Roman" w:hAnsi="Cambria" w:cs="Calibri"/>
                <w:lang w:val="hr-HR"/>
              </w:rPr>
            </w:pPr>
            <w:r w:rsidRPr="00DF4CE5">
              <w:rPr>
                <w:rFonts w:ascii="Cambria" w:eastAsia="Times New Roman" w:hAnsi="Cambria" w:cs="Calibri"/>
                <w:lang w:val="hr-HR"/>
              </w:rPr>
              <w:t xml:space="preserve">30P – </w:t>
            </w:r>
            <w:r w:rsidR="00760C3A" w:rsidRPr="00DF4CE5">
              <w:rPr>
                <w:rFonts w:ascii="Cambria" w:eastAsia="Times New Roman" w:hAnsi="Cambria" w:cs="Calibri"/>
                <w:lang w:val="hr-HR"/>
              </w:rPr>
              <w:t>15S</w:t>
            </w:r>
            <w:r w:rsidR="006B4FFE">
              <w:rPr>
                <w:rFonts w:ascii="Cambria" w:eastAsia="Times New Roman" w:hAnsi="Cambria" w:cs="Calibri"/>
                <w:lang w:val="hr-HR"/>
              </w:rPr>
              <w:t xml:space="preserve"> </w:t>
            </w:r>
            <w:r w:rsidRPr="00DF4CE5">
              <w:rPr>
                <w:rFonts w:ascii="Cambria" w:eastAsia="Times New Roman" w:hAnsi="Cambria" w:cs="Calibri"/>
                <w:lang w:val="hr-HR"/>
              </w:rPr>
              <w:t xml:space="preserve">– </w:t>
            </w:r>
            <w:r w:rsidR="00760C3A" w:rsidRPr="00DF4CE5">
              <w:rPr>
                <w:rFonts w:ascii="Cambria" w:eastAsia="Times New Roman" w:hAnsi="Cambria" w:cs="Calibri"/>
                <w:lang w:val="hr-HR"/>
              </w:rPr>
              <w:t>0V</w:t>
            </w:r>
          </w:p>
        </w:tc>
      </w:tr>
      <w:tr w:rsidR="00E41BE6" w:rsidRPr="00DF4CE5" w14:paraId="2B74928F" w14:textId="77777777" w:rsidTr="00A31664">
        <w:tc>
          <w:tcPr>
            <w:tcW w:w="261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B97B956" w14:textId="77777777" w:rsidR="00E41BE6" w:rsidRPr="00DF4CE5" w:rsidRDefault="00E41BE6" w:rsidP="00E41BE6">
            <w:pPr>
              <w:spacing w:after="0" w:line="240" w:lineRule="atLeast"/>
              <w:rPr>
                <w:rFonts w:ascii="Cambria" w:eastAsia="Times New Roman" w:hAnsi="Cambria" w:cs="Calibri"/>
                <w:lang w:val="hr-HR"/>
              </w:rPr>
            </w:pPr>
            <w:r w:rsidRPr="00DF4CE5">
              <w:rPr>
                <w:rFonts w:ascii="Cambria" w:eastAsia="Times New Roman" w:hAnsi="Cambria" w:cs="Calibri"/>
                <w:lang w:val="hr-HR"/>
              </w:rPr>
              <w:t>Preduvjeti za upis i za svladavanje</w:t>
            </w:r>
          </w:p>
        </w:tc>
        <w:tc>
          <w:tcPr>
            <w:tcW w:w="672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6ADFAA0" w14:textId="77777777" w:rsidR="00E41BE6" w:rsidRPr="00DF4CE5" w:rsidRDefault="00E41BE6" w:rsidP="00E41BE6">
            <w:pPr>
              <w:spacing w:after="0" w:line="240" w:lineRule="atLeast"/>
              <w:rPr>
                <w:rFonts w:ascii="Cambria" w:eastAsia="Calibri" w:hAnsi="Cambria" w:cs="Calibri"/>
                <w:lang w:val="hr-HR"/>
              </w:rPr>
            </w:pPr>
            <w:r w:rsidRPr="00DF4CE5">
              <w:rPr>
                <w:rFonts w:ascii="Cambria" w:eastAsia="Calibri" w:hAnsi="Cambria" w:cs="Calibri"/>
                <w:lang w:val="hr-HR"/>
              </w:rPr>
              <w:t>Nema preduvjeta.</w:t>
            </w:r>
          </w:p>
        </w:tc>
      </w:tr>
      <w:tr w:rsidR="00E41BE6" w:rsidRPr="00DF4CE5" w14:paraId="597D4CE8" w14:textId="77777777" w:rsidTr="00A31664">
        <w:tc>
          <w:tcPr>
            <w:tcW w:w="261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22747E6" w14:textId="77777777" w:rsidR="00E41BE6" w:rsidRPr="00DF4CE5" w:rsidRDefault="00E41BE6" w:rsidP="00E41BE6">
            <w:pPr>
              <w:spacing w:after="0" w:line="240" w:lineRule="atLeast"/>
              <w:rPr>
                <w:rFonts w:ascii="Cambria" w:eastAsia="Times New Roman" w:hAnsi="Cambria" w:cs="Calibri"/>
                <w:lang w:val="hr-HR"/>
              </w:rPr>
            </w:pPr>
            <w:proofErr w:type="spellStart"/>
            <w:r w:rsidRPr="00DF4CE5">
              <w:rPr>
                <w:rFonts w:ascii="Cambria" w:eastAsia="Times New Roman" w:hAnsi="Cambria" w:cs="Calibri"/>
              </w:rPr>
              <w:t>Korelativnost</w:t>
            </w:r>
            <w:proofErr w:type="spellEnd"/>
          </w:p>
        </w:tc>
        <w:tc>
          <w:tcPr>
            <w:tcW w:w="672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7FE1521" w14:textId="77777777" w:rsidR="00E41BE6" w:rsidRPr="00DF4CE5" w:rsidRDefault="00E41BE6" w:rsidP="00E41BE6">
            <w:pPr>
              <w:spacing w:after="0" w:line="240" w:lineRule="atLeast"/>
              <w:rPr>
                <w:rFonts w:ascii="Cambria" w:eastAsia="Calibri" w:hAnsi="Cambria" w:cs="Calibri"/>
                <w:lang w:val="hr-HR"/>
              </w:rPr>
            </w:pPr>
            <w:r w:rsidRPr="00DF4CE5">
              <w:rPr>
                <w:rFonts w:ascii="Cambria" w:eastAsia="Calibri" w:hAnsi="Cambria" w:cs="Calibri"/>
                <w:lang w:val="hr-HR"/>
              </w:rPr>
              <w:t>Filozofija odgoja; Pedagogija; Psihologija</w:t>
            </w:r>
          </w:p>
        </w:tc>
      </w:tr>
      <w:tr w:rsidR="00E41BE6" w:rsidRPr="00D0399C" w14:paraId="3864855D" w14:textId="77777777" w:rsidTr="00A31664">
        <w:tc>
          <w:tcPr>
            <w:tcW w:w="261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6FC49C8" w14:textId="77777777" w:rsidR="00E41BE6" w:rsidRPr="00DF4CE5" w:rsidRDefault="00E41BE6" w:rsidP="00E41BE6">
            <w:pPr>
              <w:spacing w:after="0" w:line="240" w:lineRule="atLeast"/>
              <w:rPr>
                <w:rFonts w:ascii="Cambria" w:eastAsia="Times New Roman" w:hAnsi="Cambria" w:cs="Calibri"/>
                <w:lang w:val="hr-HR"/>
              </w:rPr>
            </w:pPr>
            <w:r w:rsidRPr="00DF4CE5">
              <w:rPr>
                <w:rFonts w:ascii="Cambria" w:eastAsia="Times New Roman" w:hAnsi="Cambria" w:cs="Calibri"/>
                <w:lang w:val="hr-HR"/>
              </w:rPr>
              <w:t xml:space="preserve">Cilj kolegija </w:t>
            </w:r>
          </w:p>
        </w:tc>
        <w:tc>
          <w:tcPr>
            <w:tcW w:w="672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7A74DE9" w14:textId="77777777" w:rsidR="00E41BE6" w:rsidRPr="00DF4CE5" w:rsidRDefault="00E41BE6" w:rsidP="00E41BE6">
            <w:pPr>
              <w:spacing w:after="0" w:line="240" w:lineRule="atLeast"/>
              <w:rPr>
                <w:rFonts w:ascii="Cambria" w:eastAsia="Calibri" w:hAnsi="Cambria" w:cs="Calibri"/>
                <w:lang w:val="hr-HR"/>
              </w:rPr>
            </w:pPr>
            <w:r w:rsidRPr="00DF4CE5">
              <w:rPr>
                <w:rFonts w:ascii="Cambria" w:eastAsia="HWNDJR+Verdana" w:hAnsi="Cambria" w:cs="Calibri"/>
                <w:lang w:val="hr-HR"/>
              </w:rPr>
              <w:t xml:space="preserve">analizirati osnovne pojmove sociologije obrazovanja i </w:t>
            </w:r>
            <w:proofErr w:type="spellStart"/>
            <w:r w:rsidRPr="00DF4CE5">
              <w:rPr>
                <w:rFonts w:ascii="Cambria" w:eastAsia="HWNDJR+Verdana" w:hAnsi="Cambria" w:cs="Calibri"/>
                <w:lang w:val="hr-HR"/>
              </w:rPr>
              <w:t>istraživanja</w:t>
            </w:r>
            <w:proofErr w:type="spellEnd"/>
            <w:r w:rsidRPr="00DF4CE5">
              <w:rPr>
                <w:rFonts w:ascii="Cambria" w:eastAsia="HWNDJR+Verdana" w:hAnsi="Cambria" w:cs="Calibri"/>
                <w:lang w:val="hr-HR"/>
              </w:rPr>
              <w:t xml:space="preserve"> iz polja obrazovanja</w:t>
            </w:r>
          </w:p>
        </w:tc>
      </w:tr>
      <w:tr w:rsidR="00E41BE6" w:rsidRPr="00D0399C" w14:paraId="6A5CE0F4" w14:textId="77777777" w:rsidTr="00A31664">
        <w:tc>
          <w:tcPr>
            <w:tcW w:w="261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35D1096" w14:textId="77777777" w:rsidR="00E41BE6" w:rsidRPr="00DF4CE5" w:rsidRDefault="00E41BE6" w:rsidP="00E41BE6">
            <w:pPr>
              <w:spacing w:after="0" w:line="240" w:lineRule="atLeast"/>
              <w:rPr>
                <w:rFonts w:ascii="Cambria" w:eastAsia="Times New Roman" w:hAnsi="Cambria" w:cs="Calibri"/>
                <w:lang w:val="hr-HR"/>
              </w:rPr>
            </w:pPr>
            <w:r w:rsidRPr="00DF4CE5">
              <w:rPr>
                <w:rFonts w:ascii="Cambria" w:eastAsia="Times New Roman" w:hAnsi="Cambria" w:cs="Calibri"/>
                <w:lang w:val="hr-HR"/>
              </w:rPr>
              <w:t>Ishodi učenja</w:t>
            </w:r>
          </w:p>
        </w:tc>
        <w:tc>
          <w:tcPr>
            <w:tcW w:w="672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4520F21" w14:textId="77777777" w:rsidR="00E41BE6" w:rsidRPr="00DF4CE5" w:rsidRDefault="00E41BE6" w:rsidP="00E41BE6">
            <w:pPr>
              <w:spacing w:after="0" w:line="240" w:lineRule="atLeast"/>
              <w:rPr>
                <w:rFonts w:ascii="Cambria" w:eastAsia="Calibri" w:hAnsi="Cambria" w:cs="Calibri"/>
                <w:lang w:val="hr-HR"/>
              </w:rPr>
            </w:pPr>
            <w:r w:rsidRPr="00DF4CE5">
              <w:rPr>
                <w:rFonts w:ascii="Cambria" w:eastAsia="Calibri" w:hAnsi="Cambria" w:cs="Calibri"/>
                <w:lang w:val="hr-HR"/>
              </w:rPr>
              <w:t>1. prepoznati osnovne pojmove u sociologiji obrazovanja</w:t>
            </w:r>
          </w:p>
          <w:p w14:paraId="7B1B2726" w14:textId="77777777" w:rsidR="00E41BE6" w:rsidRPr="00DF4CE5" w:rsidRDefault="00E41BE6" w:rsidP="00E41BE6">
            <w:pPr>
              <w:spacing w:after="0" w:line="240" w:lineRule="atLeast"/>
              <w:rPr>
                <w:rFonts w:ascii="Cambria" w:eastAsia="TimesNewRomanPSMT" w:hAnsi="Cambria" w:cs="Calibri"/>
                <w:lang w:val="hr-HR"/>
              </w:rPr>
            </w:pPr>
            <w:r w:rsidRPr="00DF4CE5">
              <w:rPr>
                <w:rFonts w:ascii="Cambria" w:eastAsia="TimesNewRomanPSMT" w:hAnsi="Cambria" w:cs="Calibri"/>
                <w:lang w:val="hr-HR"/>
              </w:rPr>
              <w:t xml:space="preserve">2. </w:t>
            </w:r>
            <w:r w:rsidRPr="00DF4CE5">
              <w:rPr>
                <w:rFonts w:ascii="Cambria" w:eastAsia="Calibri" w:hAnsi="Cambria" w:cs="Calibri"/>
                <w:lang w:val="hr-HR"/>
              </w:rPr>
              <w:t>objasniti glavne razlike i komplementarnosti između različitih paradigmi</w:t>
            </w:r>
            <w:r w:rsidRPr="00DF4CE5">
              <w:rPr>
                <w:rFonts w:ascii="Cambria" w:eastAsia="TimesNewRomanPSMT" w:hAnsi="Cambria" w:cs="Calibri"/>
                <w:lang w:val="hr-HR"/>
              </w:rPr>
              <w:t xml:space="preserve"> iz područja sociologije odgoja i obrazovanja</w:t>
            </w:r>
          </w:p>
          <w:p w14:paraId="5BB9C58E" w14:textId="77777777" w:rsidR="00E41BE6" w:rsidRPr="00DF4CE5" w:rsidRDefault="00E41BE6" w:rsidP="00E41BE6">
            <w:pPr>
              <w:spacing w:after="0" w:line="240" w:lineRule="atLeast"/>
              <w:rPr>
                <w:rFonts w:ascii="Cambria" w:eastAsia="TimesNewRomanPSMT" w:hAnsi="Cambria" w:cs="Calibri"/>
                <w:lang w:val="hr-HR"/>
              </w:rPr>
            </w:pPr>
            <w:r w:rsidRPr="00DF4CE5">
              <w:rPr>
                <w:rFonts w:ascii="Cambria" w:eastAsia="TimesNewRomanPSMT" w:hAnsi="Cambria" w:cs="Calibri"/>
                <w:lang w:val="hr-HR"/>
              </w:rPr>
              <w:t>3.</w:t>
            </w:r>
            <w:r w:rsidRPr="00DF4CE5">
              <w:rPr>
                <w:rFonts w:ascii="Cambria" w:eastAsia="Calibri" w:hAnsi="Cambria" w:cs="Calibri"/>
                <w:lang w:val="hr-HR"/>
              </w:rPr>
              <w:t xml:space="preserve"> analizirati društvenu stvarnost putem socioloških teorija i koncepata</w:t>
            </w:r>
            <w:r w:rsidRPr="00DF4CE5">
              <w:rPr>
                <w:rFonts w:ascii="Cambria" w:eastAsia="Calibri" w:hAnsi="Cambria" w:cs="Times New Roman"/>
                <w:lang w:val="hr-HR"/>
              </w:rPr>
              <w:t xml:space="preserve"> </w:t>
            </w:r>
            <w:r w:rsidRPr="00DF4CE5">
              <w:rPr>
                <w:rFonts w:ascii="Cambria" w:eastAsia="Calibri" w:hAnsi="Cambria" w:cs="Calibri"/>
                <w:lang w:val="hr-HR"/>
              </w:rPr>
              <w:t>radi definiranja</w:t>
            </w:r>
            <w:r w:rsidRPr="00DF4CE5">
              <w:rPr>
                <w:rFonts w:ascii="Cambria" w:eastAsia="TimesNewRomanPSMT" w:hAnsi="Cambria" w:cs="Calibri"/>
                <w:lang w:val="hr-HR"/>
              </w:rPr>
              <w:t xml:space="preserve"> osobina odgojnog i obrazovnog sustava</w:t>
            </w:r>
          </w:p>
          <w:p w14:paraId="00DCB008" w14:textId="77777777" w:rsidR="00E41BE6" w:rsidRPr="00DF4CE5" w:rsidRDefault="00E41BE6" w:rsidP="00E41BE6">
            <w:pPr>
              <w:spacing w:after="0" w:line="240" w:lineRule="atLeast"/>
              <w:rPr>
                <w:rFonts w:ascii="Cambria" w:eastAsia="TimesNewRomanPSMT" w:hAnsi="Cambria" w:cs="Calibri"/>
                <w:lang w:val="hr-HR"/>
              </w:rPr>
            </w:pPr>
            <w:r w:rsidRPr="00DF4CE5">
              <w:rPr>
                <w:rFonts w:ascii="Cambria" w:eastAsia="TimesNewRomanPSMT" w:hAnsi="Cambria" w:cs="Calibri"/>
                <w:lang w:val="hr-HR"/>
              </w:rPr>
              <w:t xml:space="preserve">4. </w:t>
            </w:r>
            <w:r w:rsidRPr="00DF4CE5">
              <w:rPr>
                <w:rFonts w:ascii="Cambria" w:eastAsia="TimesNewRomanPS-BoldMT" w:hAnsi="Cambria" w:cs="Calibri"/>
                <w:bCs/>
                <w:lang w:val="hr-HR"/>
              </w:rPr>
              <w:t xml:space="preserve">uspoređivati </w:t>
            </w:r>
            <w:r w:rsidRPr="00DF4CE5">
              <w:rPr>
                <w:rFonts w:ascii="Cambria" w:eastAsia="TimesNewRomanPSMT" w:hAnsi="Cambria" w:cs="Calibri"/>
                <w:lang w:val="hr-HR"/>
              </w:rPr>
              <w:t>različite sociološke teorije o odgoju i obrazovanju</w:t>
            </w:r>
          </w:p>
          <w:p w14:paraId="2D59D569" w14:textId="77777777" w:rsidR="00E41BE6" w:rsidRPr="00DF4CE5" w:rsidRDefault="00E41BE6" w:rsidP="00E41BE6">
            <w:pPr>
              <w:spacing w:after="0" w:line="240" w:lineRule="atLeast"/>
              <w:rPr>
                <w:rFonts w:ascii="Cambria" w:eastAsia="Calibri" w:hAnsi="Cambria" w:cs="Calibri"/>
                <w:lang w:val="hr-HR"/>
              </w:rPr>
            </w:pPr>
            <w:r w:rsidRPr="00DF4CE5">
              <w:rPr>
                <w:rFonts w:ascii="Cambria" w:eastAsia="Calibri" w:hAnsi="Cambria" w:cs="Calibri"/>
                <w:lang w:val="hr-HR"/>
              </w:rPr>
              <w:t>5. povezati teorijske koncepte sa svakodnevnim društvenim pojavama</w:t>
            </w:r>
          </w:p>
        </w:tc>
      </w:tr>
      <w:tr w:rsidR="00E41BE6" w:rsidRPr="00D0399C" w14:paraId="57E55154" w14:textId="77777777" w:rsidTr="00A31664">
        <w:tc>
          <w:tcPr>
            <w:tcW w:w="2616"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082EE4BF" w14:textId="77777777" w:rsidR="00E41BE6" w:rsidRPr="00DF4CE5" w:rsidRDefault="00E41BE6" w:rsidP="00E41BE6">
            <w:pPr>
              <w:spacing w:after="0" w:line="240" w:lineRule="atLeast"/>
              <w:rPr>
                <w:rFonts w:ascii="Cambria" w:eastAsia="Times New Roman" w:hAnsi="Cambria" w:cs="Calibri"/>
                <w:lang w:val="hr-HR"/>
              </w:rPr>
            </w:pPr>
            <w:r w:rsidRPr="00DF4CE5">
              <w:rPr>
                <w:rFonts w:ascii="Cambria" w:eastAsia="Times New Roman" w:hAnsi="Cambria" w:cs="Calibri"/>
                <w:lang w:val="hr-HR"/>
              </w:rPr>
              <w:t>Sadržaj kolegija</w:t>
            </w:r>
          </w:p>
        </w:tc>
        <w:tc>
          <w:tcPr>
            <w:tcW w:w="6724"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A0A24FE" w14:textId="77777777" w:rsidR="00E41BE6" w:rsidRPr="00DF4CE5" w:rsidRDefault="00E41BE6" w:rsidP="00E41BE6">
            <w:pPr>
              <w:spacing w:after="0" w:line="240" w:lineRule="atLeast"/>
              <w:rPr>
                <w:rFonts w:ascii="Cambria" w:eastAsia="Calibri" w:hAnsi="Cambria" w:cs="Calibri"/>
                <w:lang w:val="hr-HR"/>
              </w:rPr>
            </w:pPr>
            <w:r w:rsidRPr="00DF4CE5">
              <w:rPr>
                <w:rFonts w:ascii="Cambria" w:eastAsia="Calibri" w:hAnsi="Cambria" w:cs="Calibri"/>
                <w:lang w:val="hr-HR"/>
              </w:rPr>
              <w:t>1. Prezentacija programa kolegija, seminari i obveze studenata.</w:t>
            </w:r>
          </w:p>
          <w:p w14:paraId="4239E131" w14:textId="77777777" w:rsidR="00E41BE6" w:rsidRPr="00DF4CE5" w:rsidRDefault="00E41BE6" w:rsidP="00E41BE6">
            <w:pPr>
              <w:spacing w:after="0" w:line="240" w:lineRule="atLeast"/>
              <w:rPr>
                <w:rFonts w:ascii="Cambria" w:eastAsia="Calibri" w:hAnsi="Cambria" w:cs="Calibri"/>
                <w:lang w:val="hr-HR"/>
              </w:rPr>
            </w:pPr>
            <w:r w:rsidRPr="00DF4CE5">
              <w:rPr>
                <w:rFonts w:ascii="Cambria" w:eastAsia="Calibri" w:hAnsi="Cambria" w:cs="Calibri"/>
                <w:lang w:val="hr-HR"/>
              </w:rPr>
              <w:t>2. Uvod u sociologiju – nastanak i razvoj sociologije: povijesni kontekst, društvene i  intelektualne snage u razvoju sociologije; pozitivizam, marksizam, društvena akcija.</w:t>
            </w:r>
          </w:p>
          <w:p w14:paraId="4180E221" w14:textId="77777777" w:rsidR="00E41BE6" w:rsidRPr="00DF4CE5" w:rsidRDefault="00E41BE6" w:rsidP="00E41BE6">
            <w:pPr>
              <w:spacing w:after="0" w:line="240" w:lineRule="atLeast"/>
              <w:rPr>
                <w:rFonts w:ascii="Cambria" w:eastAsia="Calibri" w:hAnsi="Cambria" w:cs="Calibri"/>
                <w:lang w:val="hr-HR"/>
              </w:rPr>
            </w:pPr>
            <w:r w:rsidRPr="00DF4CE5">
              <w:rPr>
                <w:rFonts w:ascii="Cambria" w:eastAsia="Calibri" w:hAnsi="Cambria" w:cs="Calibri"/>
                <w:lang w:val="hr-HR"/>
              </w:rPr>
              <w:t>3. Osnovni pojmovi i sociološke teorije.</w:t>
            </w:r>
          </w:p>
          <w:p w14:paraId="086FD0DA" w14:textId="77777777" w:rsidR="00E41BE6" w:rsidRPr="00DF4CE5" w:rsidRDefault="00E41BE6" w:rsidP="00E41BE6">
            <w:pPr>
              <w:spacing w:after="0" w:line="240" w:lineRule="atLeast"/>
              <w:rPr>
                <w:rFonts w:ascii="Cambria" w:eastAsia="Calibri" w:hAnsi="Cambria" w:cs="Calibri"/>
                <w:lang w:val="hr-HR"/>
              </w:rPr>
            </w:pPr>
            <w:r w:rsidRPr="00DF4CE5">
              <w:rPr>
                <w:rFonts w:ascii="Cambria" w:eastAsia="Calibri" w:hAnsi="Cambria" w:cs="Calibri"/>
                <w:lang w:val="hr-HR"/>
              </w:rPr>
              <w:t xml:space="preserve">4. Kultura i društvo: ukratko o odgoju i obrazovanju kroz povijest. </w:t>
            </w:r>
          </w:p>
          <w:p w14:paraId="44ABEBE6" w14:textId="77777777" w:rsidR="00E41BE6" w:rsidRPr="00DF4CE5" w:rsidRDefault="00E41BE6" w:rsidP="00E41BE6">
            <w:pPr>
              <w:spacing w:after="0" w:line="240" w:lineRule="atLeast"/>
              <w:rPr>
                <w:rFonts w:ascii="Cambria" w:eastAsia="Calibri" w:hAnsi="Cambria" w:cs="Calibri"/>
                <w:lang w:val="hr-HR"/>
              </w:rPr>
            </w:pPr>
            <w:r w:rsidRPr="00DF4CE5">
              <w:rPr>
                <w:rFonts w:ascii="Cambria" w:eastAsia="Calibri" w:hAnsi="Cambria" w:cs="Calibri"/>
                <w:lang w:val="hr-HR"/>
              </w:rPr>
              <w:t>5.  Klasna struktura i obrazovna postignuća: nejednakosti u obrazovanju.</w:t>
            </w:r>
          </w:p>
          <w:p w14:paraId="1285B2F2" w14:textId="77777777" w:rsidR="00E41BE6" w:rsidRPr="00DF4CE5" w:rsidRDefault="00E41BE6" w:rsidP="00E41BE6">
            <w:pPr>
              <w:spacing w:after="0" w:line="240" w:lineRule="atLeast"/>
              <w:rPr>
                <w:rFonts w:ascii="Cambria" w:eastAsia="Calibri" w:hAnsi="Cambria" w:cs="Calibri"/>
                <w:lang w:val="hr-HR"/>
              </w:rPr>
            </w:pPr>
            <w:r w:rsidRPr="00DF4CE5">
              <w:rPr>
                <w:rFonts w:ascii="Cambria" w:eastAsia="Calibri" w:hAnsi="Cambria" w:cs="Calibri"/>
                <w:lang w:val="hr-HR"/>
              </w:rPr>
              <w:t>6. Rod i obrazovanje: obrazovanje kao bitna društvena i klasna kategorija; spolne (rodne) nejednakosti u obrazovanju.</w:t>
            </w:r>
            <w:r w:rsidRPr="00DF4CE5">
              <w:rPr>
                <w:rFonts w:ascii="Cambria" w:eastAsia="Calibri" w:hAnsi="Cambria" w:cs="Calibri"/>
                <w:lang w:val="hr-HR"/>
              </w:rPr>
              <w:tab/>
            </w:r>
          </w:p>
          <w:p w14:paraId="2E2E9FF8" w14:textId="77777777" w:rsidR="00E41BE6" w:rsidRPr="00DF4CE5" w:rsidRDefault="00E41BE6" w:rsidP="00E41BE6">
            <w:pPr>
              <w:spacing w:after="0" w:line="240" w:lineRule="atLeast"/>
              <w:rPr>
                <w:rFonts w:ascii="Cambria" w:eastAsia="Calibri" w:hAnsi="Cambria" w:cs="Calibri"/>
                <w:lang w:val="hr-HR"/>
              </w:rPr>
            </w:pPr>
            <w:r w:rsidRPr="00DF4CE5">
              <w:rPr>
                <w:rFonts w:ascii="Cambria" w:eastAsia="Calibri" w:hAnsi="Cambria" w:cs="Calibri"/>
                <w:lang w:val="hr-HR"/>
              </w:rPr>
              <w:t>7. Etnička pripadnost i obrazovno postignuće</w:t>
            </w:r>
          </w:p>
          <w:p w14:paraId="4DBBAD75" w14:textId="77777777" w:rsidR="00E41BE6" w:rsidRPr="00DF4CE5" w:rsidRDefault="00E41BE6" w:rsidP="00E41BE6">
            <w:pPr>
              <w:spacing w:after="0" w:line="240" w:lineRule="atLeast"/>
              <w:rPr>
                <w:rFonts w:ascii="Cambria" w:eastAsia="Calibri" w:hAnsi="Cambria" w:cs="Calibri"/>
                <w:lang w:val="hr-HR"/>
              </w:rPr>
            </w:pPr>
            <w:r w:rsidRPr="00DF4CE5">
              <w:rPr>
                <w:rFonts w:ascii="Cambria" w:eastAsia="Calibri" w:hAnsi="Cambria" w:cs="Calibri"/>
                <w:lang w:val="hr-HR"/>
              </w:rPr>
              <w:t>8. Društveno relevantni nositelji odgoja i obrazovanja izvan školskih institucija.</w:t>
            </w:r>
          </w:p>
          <w:p w14:paraId="33FA3C78" w14:textId="77777777" w:rsidR="00E41BE6" w:rsidRPr="00DF4CE5" w:rsidRDefault="00E41BE6" w:rsidP="00E41BE6">
            <w:pPr>
              <w:spacing w:after="0" w:line="240" w:lineRule="atLeast"/>
              <w:rPr>
                <w:rFonts w:ascii="Cambria" w:eastAsia="Calibri" w:hAnsi="Cambria" w:cs="Calibri"/>
                <w:lang w:val="hr-HR"/>
              </w:rPr>
            </w:pPr>
            <w:r w:rsidRPr="00DF4CE5">
              <w:rPr>
                <w:rFonts w:ascii="Cambria" w:eastAsia="Calibri" w:hAnsi="Cambria" w:cs="Calibri"/>
                <w:lang w:val="hr-HR"/>
              </w:rPr>
              <w:t>9. Društvena devijantnost.</w:t>
            </w:r>
          </w:p>
          <w:p w14:paraId="21EE8EB4" w14:textId="77777777" w:rsidR="00E41BE6" w:rsidRPr="00DF4CE5" w:rsidRDefault="00E41BE6" w:rsidP="00E41BE6">
            <w:pPr>
              <w:spacing w:after="0" w:line="240" w:lineRule="atLeast"/>
              <w:rPr>
                <w:rFonts w:ascii="Cambria" w:eastAsia="Calibri" w:hAnsi="Cambria" w:cs="Calibri"/>
                <w:lang w:val="hr-HR"/>
              </w:rPr>
            </w:pPr>
            <w:r w:rsidRPr="00DF4CE5">
              <w:rPr>
                <w:rFonts w:ascii="Cambria" w:eastAsia="Calibri" w:hAnsi="Cambria" w:cs="Calibri"/>
                <w:lang w:val="hr-HR"/>
              </w:rPr>
              <w:t>10. Obrazovanje i ekonomska produktivnost; organizacija obrazovnog sustava; obrazovanje i nove komunikacijske tehnologije.</w:t>
            </w:r>
          </w:p>
        </w:tc>
      </w:tr>
      <w:tr w:rsidR="00E41BE6" w:rsidRPr="00DF4CE5" w14:paraId="7A0B9C6E" w14:textId="77777777" w:rsidTr="00A31664">
        <w:tc>
          <w:tcPr>
            <w:tcW w:w="2616"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hideMark/>
          </w:tcPr>
          <w:p w14:paraId="136DD75D" w14:textId="77777777" w:rsidR="00E41BE6" w:rsidRPr="00DF4CE5" w:rsidRDefault="00E41BE6" w:rsidP="00E41BE6">
            <w:pPr>
              <w:spacing w:after="0" w:line="240" w:lineRule="atLeast"/>
              <w:rPr>
                <w:rFonts w:ascii="Cambria" w:eastAsia="Times New Roman" w:hAnsi="Cambria" w:cs="Calibri"/>
                <w:lang w:val="hr-HR"/>
              </w:rPr>
            </w:pPr>
            <w:r w:rsidRPr="00DF4CE5">
              <w:rPr>
                <w:rFonts w:ascii="Cambria" w:eastAsia="Times New Roman" w:hAnsi="Cambria" w:cs="Calibri"/>
                <w:lang w:val="hr-HR"/>
              </w:rPr>
              <w:t>Planirane aktivnosti</w:t>
            </w:r>
            <w:r w:rsidRPr="00DF4CE5">
              <w:rPr>
                <w:rFonts w:ascii="Cambria" w:eastAsia="Times New Roman" w:hAnsi="Cambria" w:cs="Calibri"/>
                <w:lang w:val="it-IT"/>
              </w:rPr>
              <w:t>,</w:t>
            </w:r>
          </w:p>
          <w:p w14:paraId="77EBC813" w14:textId="77777777" w:rsidR="00E41BE6" w:rsidRPr="00DF4CE5" w:rsidRDefault="00E41BE6" w:rsidP="00E41BE6">
            <w:pPr>
              <w:spacing w:after="0" w:line="240" w:lineRule="atLeast"/>
              <w:rPr>
                <w:rFonts w:ascii="Cambria" w:eastAsia="Times New Roman" w:hAnsi="Cambria" w:cs="Calibri"/>
                <w:lang w:val="hr-HR"/>
              </w:rPr>
            </w:pPr>
            <w:proofErr w:type="spellStart"/>
            <w:r w:rsidRPr="00DF4CE5">
              <w:rPr>
                <w:rFonts w:ascii="Cambria" w:eastAsia="Times New Roman" w:hAnsi="Cambria" w:cs="Calibri"/>
                <w:lang w:val="it-IT"/>
              </w:rPr>
              <w:lastRenderedPageBreak/>
              <w:t>metode</w:t>
            </w:r>
            <w:proofErr w:type="spellEnd"/>
            <w:r w:rsidRPr="00DF4CE5">
              <w:rPr>
                <w:rFonts w:ascii="Cambria" w:eastAsia="Times New Roman" w:hAnsi="Cambria" w:cs="Calibri"/>
                <w:lang w:val="it-IT"/>
              </w:rPr>
              <w:t xml:space="preserve"> </w:t>
            </w:r>
            <w:r w:rsidRPr="00DF4CE5">
              <w:rPr>
                <w:rFonts w:ascii="Cambria" w:eastAsia="Times New Roman" w:hAnsi="Cambria" w:cs="Calibri"/>
                <w:lang w:val="hr-HR"/>
              </w:rPr>
              <w:t>učenja i poučavanja i načini vrednovanja</w:t>
            </w:r>
          </w:p>
        </w:tc>
        <w:tc>
          <w:tcPr>
            <w:tcW w:w="258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B677112" w14:textId="77777777" w:rsidR="00E41BE6" w:rsidRPr="00DF4CE5" w:rsidRDefault="00E41BE6" w:rsidP="00E41BE6">
            <w:pPr>
              <w:spacing w:after="0" w:line="240" w:lineRule="atLeast"/>
              <w:rPr>
                <w:rFonts w:ascii="Cambria" w:eastAsia="Times New Roman" w:hAnsi="Cambria" w:cs="Calibri"/>
                <w:lang w:val="hr-HR"/>
              </w:rPr>
            </w:pPr>
            <w:r w:rsidRPr="00DF4CE5">
              <w:rPr>
                <w:rFonts w:ascii="Cambria" w:eastAsia="Times New Roman" w:hAnsi="Cambria" w:cs="Calibri"/>
                <w:bCs/>
                <w:lang w:val="hr-HR"/>
              </w:rPr>
              <w:lastRenderedPageBreak/>
              <w:t>Obveze</w:t>
            </w:r>
          </w:p>
          <w:p w14:paraId="3A69963B" w14:textId="77777777" w:rsidR="00E41BE6" w:rsidRPr="00DF4CE5" w:rsidRDefault="00E41BE6" w:rsidP="00E41BE6">
            <w:pPr>
              <w:spacing w:after="0" w:line="240" w:lineRule="atLeast"/>
              <w:rPr>
                <w:rFonts w:ascii="Cambria" w:eastAsia="Times New Roman" w:hAnsi="Cambria" w:cs="Calibri"/>
                <w:lang w:val="hr-HR"/>
              </w:rPr>
            </w:pPr>
          </w:p>
        </w:tc>
        <w:tc>
          <w:tcPr>
            <w:tcW w:w="10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FB53557" w14:textId="77777777" w:rsidR="00E41BE6" w:rsidRPr="00DF4CE5" w:rsidRDefault="00E41BE6" w:rsidP="00E41BE6">
            <w:pPr>
              <w:spacing w:after="0" w:line="240" w:lineRule="atLeast"/>
              <w:rPr>
                <w:rFonts w:ascii="Cambria" w:eastAsia="Times New Roman" w:hAnsi="Cambria" w:cs="Calibri"/>
                <w:lang w:val="hr-HR"/>
              </w:rPr>
            </w:pPr>
            <w:r w:rsidRPr="00DF4CE5">
              <w:rPr>
                <w:rFonts w:ascii="Cambria" w:eastAsia="Times New Roman" w:hAnsi="Cambria" w:cs="Calibri"/>
                <w:bCs/>
                <w:lang w:val="hr-HR"/>
              </w:rPr>
              <w:t>Ishodi</w:t>
            </w:r>
          </w:p>
          <w:p w14:paraId="65CC37A0" w14:textId="77777777" w:rsidR="00E41BE6" w:rsidRPr="00DF4CE5" w:rsidRDefault="00E41BE6" w:rsidP="00E41BE6">
            <w:pPr>
              <w:spacing w:after="0" w:line="240" w:lineRule="atLeast"/>
              <w:rPr>
                <w:rFonts w:ascii="Cambria" w:eastAsia="Times New Roman" w:hAnsi="Cambria" w:cs="Calibri"/>
                <w:lang w:val="hr-HR"/>
              </w:rPr>
            </w:pPr>
          </w:p>
        </w:tc>
        <w:tc>
          <w:tcPr>
            <w:tcW w:w="72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67EDA0D" w14:textId="77777777" w:rsidR="00E41BE6" w:rsidRPr="00DF4CE5" w:rsidRDefault="00E41BE6" w:rsidP="00E41BE6">
            <w:pPr>
              <w:spacing w:after="0" w:line="240" w:lineRule="atLeast"/>
              <w:rPr>
                <w:rFonts w:ascii="Cambria" w:eastAsia="Times New Roman" w:hAnsi="Cambria" w:cs="Calibri"/>
                <w:lang w:val="hr-HR"/>
              </w:rPr>
            </w:pPr>
            <w:r w:rsidRPr="00DF4CE5">
              <w:rPr>
                <w:rFonts w:ascii="Cambria" w:eastAsia="Times New Roman" w:hAnsi="Cambria" w:cs="Calibri"/>
                <w:bCs/>
                <w:lang w:val="hr-HR"/>
              </w:rPr>
              <w:t>Sati</w:t>
            </w:r>
          </w:p>
        </w:tc>
        <w:tc>
          <w:tcPr>
            <w:tcW w:w="101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B801843" w14:textId="77777777" w:rsidR="00E41BE6" w:rsidRPr="00DF4CE5" w:rsidRDefault="00E41BE6" w:rsidP="00E41BE6">
            <w:pPr>
              <w:spacing w:after="0" w:line="240" w:lineRule="atLeast"/>
              <w:rPr>
                <w:rFonts w:ascii="Cambria" w:eastAsia="Times New Roman" w:hAnsi="Cambria" w:cs="Calibri"/>
                <w:lang w:val="hr-HR"/>
              </w:rPr>
            </w:pPr>
            <w:r w:rsidRPr="00DF4CE5">
              <w:rPr>
                <w:rFonts w:ascii="Cambria" w:eastAsia="Times New Roman" w:hAnsi="Cambria" w:cs="Calibri"/>
                <w:bCs/>
                <w:lang w:val="hr-HR"/>
              </w:rPr>
              <w:t>ECTS</w:t>
            </w:r>
          </w:p>
        </w:tc>
        <w:tc>
          <w:tcPr>
            <w:tcW w:w="13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C2F9FA0" w14:textId="77777777" w:rsidR="00E41BE6" w:rsidRPr="00DF4CE5" w:rsidRDefault="00E41BE6" w:rsidP="00E41BE6">
            <w:pPr>
              <w:spacing w:after="0" w:line="240" w:lineRule="atLeast"/>
              <w:rPr>
                <w:rFonts w:ascii="Cambria" w:eastAsia="Times New Roman" w:hAnsi="Cambria" w:cs="Calibri"/>
                <w:lang w:val="hr-HR"/>
              </w:rPr>
            </w:pPr>
            <w:r w:rsidRPr="00DF4CE5">
              <w:rPr>
                <w:rFonts w:ascii="Cambria" w:eastAsia="Times New Roman" w:hAnsi="Cambria" w:cs="Calibri"/>
                <w:bCs/>
                <w:lang w:val="hr-HR"/>
              </w:rPr>
              <w:t>Maksimalni udio u ocjeni</w:t>
            </w:r>
            <w:r w:rsidRPr="00DF4CE5">
              <w:rPr>
                <w:rFonts w:ascii="Cambria" w:eastAsia="Times New Roman" w:hAnsi="Cambria" w:cs="Calibri"/>
                <w:bCs/>
              </w:rPr>
              <w:t xml:space="preserve"> (%)</w:t>
            </w:r>
          </w:p>
        </w:tc>
      </w:tr>
      <w:tr w:rsidR="00E41BE6" w:rsidRPr="00DF4CE5" w14:paraId="2AD85AF6" w14:textId="77777777" w:rsidTr="00A31664">
        <w:tc>
          <w:tcPr>
            <w:tcW w:w="2616" w:type="dxa"/>
            <w:vMerge/>
            <w:tcBorders>
              <w:left w:val="single" w:sz="8" w:space="0" w:color="000000"/>
              <w:right w:val="single" w:sz="8" w:space="0" w:color="000000"/>
            </w:tcBorders>
            <w:vAlign w:val="center"/>
            <w:hideMark/>
          </w:tcPr>
          <w:p w14:paraId="2A7D29F7" w14:textId="77777777" w:rsidR="00E41BE6" w:rsidRPr="00DF4CE5" w:rsidRDefault="00E41BE6" w:rsidP="00E41BE6">
            <w:pPr>
              <w:spacing w:after="0" w:line="240" w:lineRule="atLeast"/>
              <w:rPr>
                <w:rFonts w:ascii="Cambria" w:eastAsia="Times New Roman" w:hAnsi="Cambria" w:cs="Calibri"/>
                <w:lang w:val="hr-HR"/>
              </w:rPr>
            </w:pPr>
          </w:p>
        </w:tc>
        <w:tc>
          <w:tcPr>
            <w:tcW w:w="258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EBFA1E7" w14:textId="7485CE83" w:rsidR="00E41BE6" w:rsidRPr="00DF4CE5" w:rsidRDefault="000F57D9" w:rsidP="00E41BE6">
            <w:pPr>
              <w:spacing w:after="0" w:line="240" w:lineRule="atLeast"/>
              <w:rPr>
                <w:rFonts w:ascii="Cambria" w:eastAsia="Calibri" w:hAnsi="Cambria" w:cs="Calibri"/>
                <w:lang w:val="hr-HR"/>
              </w:rPr>
            </w:pPr>
            <w:r w:rsidRPr="00DF4CE5">
              <w:rPr>
                <w:rFonts w:ascii="Cambria" w:eastAsia="Calibri" w:hAnsi="Cambria" w:cs="Calibri"/>
                <w:lang w:val="hr-HR"/>
              </w:rPr>
              <w:t>aktivnost</w:t>
            </w:r>
            <w:r w:rsidR="00E41BE6" w:rsidRPr="00DF4CE5">
              <w:rPr>
                <w:rFonts w:ascii="Cambria" w:eastAsia="Calibri" w:hAnsi="Cambria" w:cs="Calibri"/>
                <w:lang w:val="hr-HR"/>
              </w:rPr>
              <w:t xml:space="preserve"> na </w:t>
            </w:r>
            <w:r w:rsidRPr="00DF4CE5">
              <w:rPr>
                <w:rFonts w:ascii="Cambria" w:eastAsia="Calibri" w:hAnsi="Cambria" w:cs="Calibri"/>
                <w:lang w:val="hr-HR"/>
              </w:rPr>
              <w:t>nastavi</w:t>
            </w:r>
          </w:p>
        </w:tc>
        <w:tc>
          <w:tcPr>
            <w:tcW w:w="10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8B2E519" w14:textId="77777777" w:rsidR="00E41BE6" w:rsidRPr="00DF4CE5" w:rsidRDefault="00E41BE6" w:rsidP="00E41BE6">
            <w:pPr>
              <w:spacing w:after="0" w:line="240" w:lineRule="atLeast"/>
              <w:rPr>
                <w:rFonts w:ascii="Cambria" w:eastAsia="Calibri" w:hAnsi="Cambria" w:cs="Calibri"/>
                <w:lang w:val="hr-HR"/>
              </w:rPr>
            </w:pPr>
            <w:r w:rsidRPr="00DF4CE5">
              <w:rPr>
                <w:rFonts w:ascii="Cambria" w:eastAsia="Calibri" w:hAnsi="Cambria" w:cs="Calibri"/>
                <w:lang w:val="hr-HR"/>
              </w:rPr>
              <w:t>1.-5.</w:t>
            </w:r>
          </w:p>
        </w:tc>
        <w:tc>
          <w:tcPr>
            <w:tcW w:w="72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20BC32D" w14:textId="77777777" w:rsidR="00E41BE6" w:rsidRPr="00DF4CE5" w:rsidRDefault="00E41BE6" w:rsidP="00E41BE6">
            <w:pPr>
              <w:spacing w:after="0" w:line="240" w:lineRule="atLeast"/>
              <w:rPr>
                <w:rFonts w:ascii="Cambria" w:eastAsia="Calibri" w:hAnsi="Cambria" w:cs="Calibri"/>
                <w:lang w:val="hr-HR"/>
              </w:rPr>
            </w:pPr>
            <w:r w:rsidRPr="00DF4CE5">
              <w:rPr>
                <w:rFonts w:ascii="Cambria" w:eastAsia="Calibri" w:hAnsi="Cambria" w:cs="Calibri"/>
                <w:lang w:val="hr-HR"/>
              </w:rPr>
              <w:t>34</w:t>
            </w:r>
          </w:p>
        </w:tc>
        <w:tc>
          <w:tcPr>
            <w:tcW w:w="101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84B800B" w14:textId="77777777" w:rsidR="00E41BE6" w:rsidRPr="00DF4CE5" w:rsidRDefault="00E41BE6" w:rsidP="00E41BE6">
            <w:pPr>
              <w:spacing w:after="0" w:line="240" w:lineRule="atLeast"/>
              <w:rPr>
                <w:rFonts w:ascii="Cambria" w:eastAsia="Calibri" w:hAnsi="Cambria" w:cs="Calibri"/>
                <w:lang w:val="hr-HR"/>
              </w:rPr>
            </w:pPr>
            <w:r w:rsidRPr="00DF4CE5">
              <w:rPr>
                <w:rFonts w:ascii="Cambria" w:eastAsia="Calibri" w:hAnsi="Cambria" w:cs="Calibri"/>
                <w:lang w:val="hr-HR"/>
              </w:rPr>
              <w:t>1,2</w:t>
            </w:r>
          </w:p>
        </w:tc>
        <w:tc>
          <w:tcPr>
            <w:tcW w:w="13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37C1902" w14:textId="77777777" w:rsidR="00E41BE6" w:rsidRPr="00DF4CE5" w:rsidRDefault="00E41BE6" w:rsidP="00E41BE6">
            <w:pPr>
              <w:spacing w:after="0" w:line="240" w:lineRule="atLeast"/>
              <w:rPr>
                <w:rFonts w:ascii="Cambria" w:eastAsia="Calibri" w:hAnsi="Cambria" w:cs="Calibri"/>
                <w:lang w:val="hr-HR"/>
              </w:rPr>
            </w:pPr>
            <w:r w:rsidRPr="00DF4CE5">
              <w:rPr>
                <w:rFonts w:ascii="Cambria" w:eastAsia="Calibri" w:hAnsi="Cambria" w:cs="Calibri"/>
                <w:lang w:val="hr-HR"/>
              </w:rPr>
              <w:t>15 %</w:t>
            </w:r>
          </w:p>
        </w:tc>
      </w:tr>
      <w:tr w:rsidR="00E41BE6" w:rsidRPr="00DF4CE5" w14:paraId="7436D614" w14:textId="77777777" w:rsidTr="00A31664">
        <w:tc>
          <w:tcPr>
            <w:tcW w:w="2616" w:type="dxa"/>
            <w:vMerge/>
            <w:tcBorders>
              <w:left w:val="single" w:sz="8" w:space="0" w:color="000000"/>
              <w:right w:val="single" w:sz="8" w:space="0" w:color="000000"/>
            </w:tcBorders>
            <w:vAlign w:val="center"/>
            <w:hideMark/>
          </w:tcPr>
          <w:p w14:paraId="49266529" w14:textId="77777777" w:rsidR="00E41BE6" w:rsidRPr="00DF4CE5" w:rsidRDefault="00E41BE6" w:rsidP="00E41BE6">
            <w:pPr>
              <w:spacing w:after="0" w:line="240" w:lineRule="atLeast"/>
              <w:rPr>
                <w:rFonts w:ascii="Cambria" w:eastAsia="Times New Roman" w:hAnsi="Cambria" w:cs="Calibri"/>
                <w:lang w:val="hr-HR"/>
              </w:rPr>
            </w:pPr>
          </w:p>
        </w:tc>
        <w:tc>
          <w:tcPr>
            <w:tcW w:w="258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103AEE8" w14:textId="77777777" w:rsidR="00E41BE6" w:rsidRPr="00DF4CE5" w:rsidRDefault="00E41BE6" w:rsidP="00E41BE6">
            <w:pPr>
              <w:spacing w:after="0" w:line="240" w:lineRule="atLeast"/>
              <w:rPr>
                <w:rFonts w:ascii="Cambria" w:eastAsia="Calibri" w:hAnsi="Cambria" w:cs="Calibri"/>
                <w:lang w:val="hr-HR"/>
              </w:rPr>
            </w:pPr>
            <w:r w:rsidRPr="00DF4CE5">
              <w:rPr>
                <w:rFonts w:ascii="Cambria" w:eastAsia="Calibri" w:hAnsi="Cambria" w:cs="Calibri"/>
                <w:lang w:val="hr-HR"/>
              </w:rPr>
              <w:t>pismeni radovi (seminarski)</w:t>
            </w:r>
          </w:p>
        </w:tc>
        <w:tc>
          <w:tcPr>
            <w:tcW w:w="10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559F264" w14:textId="77777777" w:rsidR="00E41BE6" w:rsidRPr="00DF4CE5" w:rsidRDefault="00E41BE6" w:rsidP="00E41BE6">
            <w:pPr>
              <w:spacing w:after="0" w:line="240" w:lineRule="atLeast"/>
              <w:rPr>
                <w:rFonts w:ascii="Cambria" w:eastAsia="Calibri" w:hAnsi="Cambria" w:cs="Calibri"/>
                <w:lang w:val="hr-HR"/>
              </w:rPr>
            </w:pPr>
            <w:r w:rsidRPr="00DF4CE5">
              <w:rPr>
                <w:rFonts w:ascii="Cambria" w:eastAsia="Calibri" w:hAnsi="Cambria" w:cs="Calibri"/>
                <w:lang w:val="hr-HR"/>
              </w:rPr>
              <w:t>4.-5.</w:t>
            </w:r>
          </w:p>
        </w:tc>
        <w:tc>
          <w:tcPr>
            <w:tcW w:w="72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6B4C6B0" w14:textId="77777777" w:rsidR="00E41BE6" w:rsidRPr="00DF4CE5" w:rsidRDefault="00E41BE6" w:rsidP="00E41BE6">
            <w:pPr>
              <w:spacing w:after="0" w:line="240" w:lineRule="atLeast"/>
              <w:rPr>
                <w:rFonts w:ascii="Cambria" w:eastAsia="Calibri" w:hAnsi="Cambria" w:cs="Calibri"/>
                <w:lang w:val="hr-HR"/>
              </w:rPr>
            </w:pPr>
            <w:r w:rsidRPr="00DF4CE5">
              <w:rPr>
                <w:rFonts w:ascii="Cambria" w:eastAsia="Calibri" w:hAnsi="Cambria" w:cs="Calibri"/>
                <w:lang w:val="hr-HR"/>
              </w:rPr>
              <w:t>11</w:t>
            </w:r>
          </w:p>
        </w:tc>
        <w:tc>
          <w:tcPr>
            <w:tcW w:w="101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037180B" w14:textId="77777777" w:rsidR="00E41BE6" w:rsidRPr="00DF4CE5" w:rsidRDefault="00E41BE6" w:rsidP="00E41BE6">
            <w:pPr>
              <w:spacing w:after="0" w:line="240" w:lineRule="atLeast"/>
              <w:rPr>
                <w:rFonts w:ascii="Cambria" w:eastAsia="Calibri" w:hAnsi="Cambria" w:cs="Calibri"/>
                <w:lang w:val="hr-HR"/>
              </w:rPr>
            </w:pPr>
            <w:r w:rsidRPr="00DF4CE5">
              <w:rPr>
                <w:rFonts w:ascii="Cambria" w:eastAsia="Calibri" w:hAnsi="Cambria" w:cs="Calibri"/>
                <w:lang w:val="hr-HR"/>
              </w:rPr>
              <w:t>0,3</w:t>
            </w:r>
          </w:p>
        </w:tc>
        <w:tc>
          <w:tcPr>
            <w:tcW w:w="13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CA22A1F" w14:textId="77777777" w:rsidR="00E41BE6" w:rsidRPr="00DF4CE5" w:rsidRDefault="00E41BE6" w:rsidP="00E41BE6">
            <w:pPr>
              <w:spacing w:after="0" w:line="240" w:lineRule="atLeast"/>
              <w:rPr>
                <w:rFonts w:ascii="Cambria" w:eastAsia="Calibri" w:hAnsi="Cambria" w:cs="Calibri"/>
                <w:lang w:val="hr-HR"/>
              </w:rPr>
            </w:pPr>
            <w:r w:rsidRPr="00DF4CE5">
              <w:rPr>
                <w:rFonts w:ascii="Cambria" w:eastAsia="Calibri" w:hAnsi="Cambria" w:cs="Calibri"/>
                <w:lang w:val="hr-HR"/>
              </w:rPr>
              <w:t>10 %</w:t>
            </w:r>
          </w:p>
        </w:tc>
      </w:tr>
      <w:tr w:rsidR="00E41BE6" w:rsidRPr="00DF4CE5" w14:paraId="62460770" w14:textId="77777777" w:rsidTr="00A31664">
        <w:tc>
          <w:tcPr>
            <w:tcW w:w="2616" w:type="dxa"/>
            <w:vMerge/>
            <w:tcBorders>
              <w:left w:val="single" w:sz="8" w:space="0" w:color="000000"/>
              <w:right w:val="single" w:sz="8" w:space="0" w:color="000000"/>
            </w:tcBorders>
            <w:vAlign w:val="center"/>
          </w:tcPr>
          <w:p w14:paraId="76BFAFFA" w14:textId="77777777" w:rsidR="00E41BE6" w:rsidRPr="00DF4CE5" w:rsidRDefault="00E41BE6" w:rsidP="00E41BE6">
            <w:pPr>
              <w:spacing w:after="0" w:line="240" w:lineRule="atLeast"/>
              <w:rPr>
                <w:rFonts w:ascii="Cambria" w:eastAsia="Times New Roman" w:hAnsi="Cambria" w:cs="Calibri"/>
                <w:lang w:val="hr-HR"/>
              </w:rPr>
            </w:pPr>
          </w:p>
        </w:tc>
        <w:tc>
          <w:tcPr>
            <w:tcW w:w="258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2CF0D9F" w14:textId="77777777" w:rsidR="00E41BE6" w:rsidRPr="00DF4CE5" w:rsidRDefault="00E41BE6" w:rsidP="00E41BE6">
            <w:pPr>
              <w:spacing w:after="0" w:line="240" w:lineRule="atLeast"/>
              <w:rPr>
                <w:rFonts w:ascii="Cambria" w:eastAsia="Calibri" w:hAnsi="Cambria" w:cs="Calibri"/>
                <w:lang w:val="hr-HR"/>
              </w:rPr>
            </w:pPr>
            <w:proofErr w:type="spellStart"/>
            <w:r w:rsidRPr="00DF4CE5">
              <w:rPr>
                <w:rFonts w:ascii="Cambria" w:eastAsia="Calibri" w:hAnsi="Cambria" w:cs="Calibri"/>
                <w:lang w:val="hr-HR"/>
              </w:rPr>
              <w:t>power</w:t>
            </w:r>
            <w:proofErr w:type="spellEnd"/>
            <w:r w:rsidRPr="00DF4CE5">
              <w:rPr>
                <w:rFonts w:ascii="Cambria" w:eastAsia="Calibri" w:hAnsi="Cambria" w:cs="Calibri"/>
                <w:lang w:val="hr-HR"/>
              </w:rPr>
              <w:t xml:space="preserve"> </w:t>
            </w:r>
            <w:proofErr w:type="spellStart"/>
            <w:r w:rsidRPr="00DF4CE5">
              <w:rPr>
                <w:rFonts w:ascii="Cambria" w:eastAsia="Calibri" w:hAnsi="Cambria" w:cs="Calibri"/>
                <w:lang w:val="hr-HR"/>
              </w:rPr>
              <w:t>point</w:t>
            </w:r>
            <w:proofErr w:type="spellEnd"/>
            <w:r w:rsidRPr="00DF4CE5">
              <w:rPr>
                <w:rFonts w:ascii="Cambria" w:eastAsia="Calibri" w:hAnsi="Cambria" w:cs="Calibri"/>
                <w:lang w:val="hr-HR"/>
              </w:rPr>
              <w:t xml:space="preserve"> prezentacija</w:t>
            </w:r>
          </w:p>
        </w:tc>
        <w:tc>
          <w:tcPr>
            <w:tcW w:w="10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C4A53B8" w14:textId="77777777" w:rsidR="00E41BE6" w:rsidRPr="00DF4CE5" w:rsidRDefault="00E41BE6" w:rsidP="00E41BE6">
            <w:pPr>
              <w:spacing w:after="0" w:line="240" w:lineRule="atLeast"/>
              <w:rPr>
                <w:rFonts w:ascii="Cambria" w:eastAsia="Calibri" w:hAnsi="Cambria" w:cs="Calibri"/>
                <w:lang w:val="hr-HR"/>
              </w:rPr>
            </w:pPr>
            <w:r w:rsidRPr="00DF4CE5">
              <w:rPr>
                <w:rFonts w:ascii="Cambria" w:eastAsia="Calibri" w:hAnsi="Cambria" w:cs="Calibri"/>
                <w:lang w:val="hr-HR"/>
              </w:rPr>
              <w:t>3.-5.</w:t>
            </w:r>
          </w:p>
        </w:tc>
        <w:tc>
          <w:tcPr>
            <w:tcW w:w="72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A7A9435" w14:textId="77777777" w:rsidR="00E41BE6" w:rsidRPr="00DF4CE5" w:rsidRDefault="00E41BE6" w:rsidP="00E41BE6">
            <w:pPr>
              <w:spacing w:after="0" w:line="240" w:lineRule="atLeast"/>
              <w:rPr>
                <w:rFonts w:ascii="Cambria" w:eastAsia="Calibri" w:hAnsi="Cambria" w:cs="Calibri"/>
                <w:lang w:val="hr-HR"/>
              </w:rPr>
            </w:pPr>
            <w:r w:rsidRPr="00DF4CE5">
              <w:rPr>
                <w:rFonts w:ascii="Cambria" w:eastAsia="Calibri" w:hAnsi="Cambria" w:cs="Calibri"/>
                <w:lang w:val="hr-HR"/>
              </w:rPr>
              <w:t>15</w:t>
            </w:r>
          </w:p>
        </w:tc>
        <w:tc>
          <w:tcPr>
            <w:tcW w:w="101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B949158" w14:textId="77777777" w:rsidR="00E41BE6" w:rsidRPr="00DF4CE5" w:rsidRDefault="00E41BE6" w:rsidP="00E41BE6">
            <w:pPr>
              <w:spacing w:after="0" w:line="240" w:lineRule="atLeast"/>
              <w:rPr>
                <w:rFonts w:ascii="Cambria" w:eastAsia="Calibri" w:hAnsi="Cambria" w:cs="Calibri"/>
                <w:lang w:val="hr-HR"/>
              </w:rPr>
            </w:pPr>
            <w:r w:rsidRPr="00DF4CE5">
              <w:rPr>
                <w:rFonts w:ascii="Cambria" w:eastAsia="Calibri" w:hAnsi="Cambria" w:cs="Calibri"/>
                <w:lang w:val="hr-HR"/>
              </w:rPr>
              <w:t>0,5</w:t>
            </w:r>
          </w:p>
        </w:tc>
        <w:tc>
          <w:tcPr>
            <w:tcW w:w="13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D989982" w14:textId="77777777" w:rsidR="00E41BE6" w:rsidRPr="00DF4CE5" w:rsidRDefault="00E41BE6" w:rsidP="00E41BE6">
            <w:pPr>
              <w:spacing w:after="0" w:line="240" w:lineRule="atLeast"/>
              <w:rPr>
                <w:rFonts w:ascii="Cambria" w:eastAsia="Calibri" w:hAnsi="Cambria" w:cs="Calibri"/>
                <w:lang w:val="hr-HR"/>
              </w:rPr>
            </w:pPr>
            <w:r w:rsidRPr="00DF4CE5">
              <w:rPr>
                <w:rFonts w:ascii="Cambria" w:eastAsia="Calibri" w:hAnsi="Cambria" w:cs="Calibri"/>
                <w:lang w:val="hr-HR"/>
              </w:rPr>
              <w:t>25 %</w:t>
            </w:r>
          </w:p>
        </w:tc>
      </w:tr>
      <w:tr w:rsidR="00E41BE6" w:rsidRPr="00DF4CE5" w14:paraId="2CC97A17" w14:textId="77777777" w:rsidTr="00A31664">
        <w:tc>
          <w:tcPr>
            <w:tcW w:w="2616" w:type="dxa"/>
            <w:vMerge/>
            <w:tcBorders>
              <w:left w:val="single" w:sz="8" w:space="0" w:color="000000"/>
              <w:right w:val="single" w:sz="8" w:space="0" w:color="000000"/>
            </w:tcBorders>
            <w:vAlign w:val="center"/>
            <w:hideMark/>
          </w:tcPr>
          <w:p w14:paraId="33982D3A" w14:textId="77777777" w:rsidR="00E41BE6" w:rsidRPr="00DF4CE5" w:rsidRDefault="00E41BE6" w:rsidP="00E41BE6">
            <w:pPr>
              <w:spacing w:after="0" w:line="240" w:lineRule="atLeast"/>
              <w:rPr>
                <w:rFonts w:ascii="Cambria" w:eastAsia="Times New Roman" w:hAnsi="Cambria" w:cs="Calibri"/>
                <w:lang w:val="hr-HR"/>
              </w:rPr>
            </w:pPr>
          </w:p>
        </w:tc>
        <w:tc>
          <w:tcPr>
            <w:tcW w:w="258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00BE63B" w14:textId="77777777" w:rsidR="00E41BE6" w:rsidRPr="00DF4CE5" w:rsidRDefault="00E41BE6" w:rsidP="00E41BE6">
            <w:pPr>
              <w:spacing w:after="0" w:line="240" w:lineRule="atLeast"/>
              <w:rPr>
                <w:rFonts w:ascii="Cambria" w:eastAsia="Calibri" w:hAnsi="Cambria" w:cs="Calibri"/>
                <w:lang w:val="hr-HR"/>
              </w:rPr>
            </w:pPr>
            <w:r w:rsidRPr="00DF4CE5">
              <w:rPr>
                <w:rFonts w:ascii="Cambria" w:eastAsia="Calibri" w:hAnsi="Cambria" w:cs="Calibri"/>
                <w:lang w:val="hr-HR"/>
              </w:rPr>
              <w:t xml:space="preserve">pismeni ispit </w:t>
            </w:r>
          </w:p>
        </w:tc>
        <w:tc>
          <w:tcPr>
            <w:tcW w:w="10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38C4F4F" w14:textId="77777777" w:rsidR="00E41BE6" w:rsidRPr="00DF4CE5" w:rsidRDefault="00E41BE6" w:rsidP="00E41BE6">
            <w:pPr>
              <w:spacing w:after="0" w:line="240" w:lineRule="atLeast"/>
              <w:rPr>
                <w:rFonts w:ascii="Cambria" w:eastAsia="Calibri" w:hAnsi="Cambria" w:cs="Calibri"/>
                <w:lang w:val="hr-HR"/>
              </w:rPr>
            </w:pPr>
            <w:r w:rsidRPr="00DF4CE5">
              <w:rPr>
                <w:rFonts w:ascii="Cambria" w:eastAsia="Calibri" w:hAnsi="Cambria" w:cs="Calibri"/>
                <w:lang w:val="hr-HR"/>
              </w:rPr>
              <w:t>1.-5.</w:t>
            </w:r>
          </w:p>
        </w:tc>
        <w:tc>
          <w:tcPr>
            <w:tcW w:w="72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8CB5681" w14:textId="77777777" w:rsidR="00E41BE6" w:rsidRPr="00DF4CE5" w:rsidRDefault="00E41BE6" w:rsidP="00E41BE6">
            <w:pPr>
              <w:spacing w:after="0" w:line="240" w:lineRule="atLeast"/>
              <w:rPr>
                <w:rFonts w:ascii="Cambria" w:eastAsia="Calibri" w:hAnsi="Cambria" w:cs="Calibri"/>
                <w:lang w:val="hr-HR"/>
              </w:rPr>
            </w:pPr>
            <w:r w:rsidRPr="00DF4CE5">
              <w:rPr>
                <w:rFonts w:ascii="Cambria" w:eastAsia="Calibri" w:hAnsi="Cambria" w:cs="Calibri"/>
                <w:lang w:val="hr-HR"/>
              </w:rPr>
              <w:t>60</w:t>
            </w:r>
          </w:p>
        </w:tc>
        <w:tc>
          <w:tcPr>
            <w:tcW w:w="101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BC24D4E" w14:textId="77777777" w:rsidR="00E41BE6" w:rsidRPr="00DF4CE5" w:rsidRDefault="00E41BE6" w:rsidP="00E41BE6">
            <w:pPr>
              <w:spacing w:after="0" w:line="240" w:lineRule="atLeast"/>
              <w:rPr>
                <w:rFonts w:ascii="Cambria" w:eastAsia="Calibri" w:hAnsi="Cambria" w:cs="Calibri"/>
                <w:lang w:val="hr-HR"/>
              </w:rPr>
            </w:pPr>
            <w:r w:rsidRPr="00DF4CE5">
              <w:rPr>
                <w:rFonts w:ascii="Cambria" w:eastAsia="Calibri" w:hAnsi="Cambria" w:cs="Calibri"/>
                <w:lang w:val="hr-HR"/>
              </w:rPr>
              <w:t>2 </w:t>
            </w:r>
          </w:p>
        </w:tc>
        <w:tc>
          <w:tcPr>
            <w:tcW w:w="13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81C9D3F" w14:textId="77777777" w:rsidR="00E41BE6" w:rsidRPr="00DF4CE5" w:rsidRDefault="00E41BE6" w:rsidP="00E41BE6">
            <w:pPr>
              <w:spacing w:after="0" w:line="240" w:lineRule="atLeast"/>
              <w:rPr>
                <w:rFonts w:ascii="Cambria" w:eastAsia="Calibri" w:hAnsi="Cambria" w:cs="Calibri"/>
                <w:lang w:val="hr-HR"/>
              </w:rPr>
            </w:pPr>
            <w:r w:rsidRPr="00DF4CE5">
              <w:rPr>
                <w:rFonts w:ascii="Cambria" w:eastAsia="Calibri" w:hAnsi="Cambria" w:cs="Calibri"/>
                <w:lang w:val="hr-HR"/>
              </w:rPr>
              <w:t>50 %</w:t>
            </w:r>
          </w:p>
        </w:tc>
      </w:tr>
      <w:tr w:rsidR="00E41BE6" w:rsidRPr="00DF4CE5" w14:paraId="00A5A47F" w14:textId="77777777" w:rsidTr="00A31664">
        <w:tc>
          <w:tcPr>
            <w:tcW w:w="2616" w:type="dxa"/>
            <w:vMerge/>
            <w:tcBorders>
              <w:left w:val="single" w:sz="8" w:space="0" w:color="000000"/>
              <w:right w:val="single" w:sz="8" w:space="0" w:color="000000"/>
            </w:tcBorders>
            <w:vAlign w:val="center"/>
            <w:hideMark/>
          </w:tcPr>
          <w:p w14:paraId="485D9607" w14:textId="77777777" w:rsidR="00E41BE6" w:rsidRPr="00DF4CE5" w:rsidRDefault="00E41BE6" w:rsidP="00E41BE6">
            <w:pPr>
              <w:spacing w:after="0" w:line="240" w:lineRule="atLeast"/>
              <w:rPr>
                <w:rFonts w:ascii="Cambria" w:eastAsia="Times New Roman" w:hAnsi="Cambria" w:cs="Calibri"/>
                <w:lang w:val="hr-HR"/>
              </w:rPr>
            </w:pPr>
          </w:p>
        </w:tc>
        <w:tc>
          <w:tcPr>
            <w:tcW w:w="3672"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95163EF" w14:textId="44E8BC64" w:rsidR="00E41BE6" w:rsidRPr="00DF4CE5" w:rsidRDefault="000D37F8" w:rsidP="00E41BE6">
            <w:pPr>
              <w:spacing w:after="0" w:line="240" w:lineRule="atLeast"/>
              <w:rPr>
                <w:rFonts w:ascii="Cambria" w:eastAsia="Calibri" w:hAnsi="Cambria" w:cs="Calibri"/>
                <w:lang w:val="hr-HR"/>
              </w:rPr>
            </w:pPr>
            <w:proofErr w:type="spellStart"/>
            <w:r>
              <w:rPr>
                <w:rFonts w:ascii="Cambria" w:eastAsia="Calibri" w:hAnsi="Cambria" w:cs="Calibri"/>
              </w:rPr>
              <w:t>u</w:t>
            </w:r>
            <w:r w:rsidR="00E41BE6" w:rsidRPr="00DF4CE5">
              <w:rPr>
                <w:rFonts w:ascii="Cambria" w:eastAsia="Calibri" w:hAnsi="Cambria" w:cs="Calibri"/>
              </w:rPr>
              <w:t>kupno</w:t>
            </w:r>
            <w:proofErr w:type="spellEnd"/>
          </w:p>
        </w:tc>
        <w:tc>
          <w:tcPr>
            <w:tcW w:w="72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273960C" w14:textId="77777777" w:rsidR="00E41BE6" w:rsidRPr="00DF4CE5" w:rsidRDefault="00E41BE6" w:rsidP="00E41BE6">
            <w:pPr>
              <w:spacing w:after="0" w:line="240" w:lineRule="atLeast"/>
              <w:rPr>
                <w:rFonts w:ascii="Cambria" w:eastAsia="Calibri" w:hAnsi="Cambria" w:cs="Calibri"/>
                <w:lang w:val="hr-HR"/>
              </w:rPr>
            </w:pPr>
            <w:r w:rsidRPr="00DF4CE5">
              <w:rPr>
                <w:rFonts w:ascii="Cambria" w:eastAsia="Calibri" w:hAnsi="Cambria" w:cs="Calibri"/>
                <w:lang w:val="hr-HR"/>
              </w:rPr>
              <w:t>120</w:t>
            </w:r>
          </w:p>
        </w:tc>
        <w:tc>
          <w:tcPr>
            <w:tcW w:w="101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7503C7A" w14:textId="77777777" w:rsidR="00E41BE6" w:rsidRPr="00DF4CE5" w:rsidRDefault="00E41BE6" w:rsidP="00E41BE6">
            <w:pPr>
              <w:spacing w:after="0" w:line="240" w:lineRule="atLeast"/>
              <w:rPr>
                <w:rFonts w:ascii="Cambria" w:eastAsia="Calibri" w:hAnsi="Cambria" w:cs="Calibri"/>
                <w:lang w:val="hr-HR"/>
              </w:rPr>
            </w:pPr>
            <w:r w:rsidRPr="00DF4CE5">
              <w:rPr>
                <w:rFonts w:ascii="Cambria" w:eastAsia="Calibri" w:hAnsi="Cambria" w:cs="Calibri"/>
                <w:lang w:val="hr-HR"/>
              </w:rPr>
              <w:t>4</w:t>
            </w:r>
          </w:p>
        </w:tc>
        <w:tc>
          <w:tcPr>
            <w:tcW w:w="13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C2CE04D" w14:textId="77777777" w:rsidR="00E41BE6" w:rsidRPr="00DF4CE5" w:rsidRDefault="00E41BE6" w:rsidP="00E41BE6">
            <w:pPr>
              <w:spacing w:after="0" w:line="240" w:lineRule="atLeast"/>
              <w:rPr>
                <w:rFonts w:ascii="Cambria" w:eastAsia="Calibri" w:hAnsi="Cambria" w:cs="Calibri"/>
                <w:lang w:val="hr-HR"/>
              </w:rPr>
            </w:pPr>
            <w:r w:rsidRPr="00DF4CE5">
              <w:rPr>
                <w:rFonts w:ascii="Cambria" w:eastAsia="Calibri" w:hAnsi="Cambria" w:cs="Calibri"/>
                <w:lang w:val="hr-HR"/>
              </w:rPr>
              <w:t>100</w:t>
            </w:r>
          </w:p>
        </w:tc>
      </w:tr>
      <w:tr w:rsidR="00E41BE6" w:rsidRPr="00D0399C" w14:paraId="3AC079CE" w14:textId="77777777" w:rsidTr="00A31664">
        <w:tc>
          <w:tcPr>
            <w:tcW w:w="2616" w:type="dxa"/>
            <w:vMerge/>
            <w:tcBorders>
              <w:left w:val="single" w:sz="8" w:space="0" w:color="000000"/>
              <w:bottom w:val="single" w:sz="8" w:space="0" w:color="000000"/>
              <w:right w:val="single" w:sz="8" w:space="0" w:color="000000"/>
            </w:tcBorders>
            <w:vAlign w:val="center"/>
          </w:tcPr>
          <w:p w14:paraId="6DA44A4A" w14:textId="77777777" w:rsidR="00E41BE6" w:rsidRPr="00DF4CE5" w:rsidRDefault="00E41BE6" w:rsidP="00E41BE6">
            <w:pPr>
              <w:spacing w:after="0" w:line="240" w:lineRule="atLeast"/>
              <w:rPr>
                <w:rFonts w:ascii="Cambria" w:eastAsia="Times New Roman" w:hAnsi="Cambria" w:cs="Calibri"/>
                <w:lang w:val="hr-HR"/>
              </w:rPr>
            </w:pPr>
          </w:p>
        </w:tc>
        <w:tc>
          <w:tcPr>
            <w:tcW w:w="6724"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C39A586" w14:textId="1F4F5D16" w:rsidR="00E41BE6" w:rsidRPr="00DF4CE5" w:rsidRDefault="00E41BE6" w:rsidP="00E41BE6">
            <w:pPr>
              <w:spacing w:after="0" w:line="240" w:lineRule="atLeast"/>
              <w:rPr>
                <w:rFonts w:ascii="Cambria" w:eastAsia="Calibri" w:hAnsi="Cambria" w:cs="Calibri"/>
                <w:lang w:val="hr-HR"/>
              </w:rPr>
            </w:pPr>
            <w:r w:rsidRPr="00DF4CE5">
              <w:rPr>
                <w:rFonts w:ascii="Cambria" w:eastAsia="Calibri" w:hAnsi="Cambria" w:cs="Calibri"/>
                <w:lang w:val="hr-HR"/>
              </w:rPr>
              <w:t>Dodatna pojašnjenja (kriteriji ocjenjivanja):</w:t>
            </w:r>
          </w:p>
          <w:p w14:paraId="6A8FBF39" w14:textId="77777777" w:rsidR="00E41BE6" w:rsidRPr="00DF4CE5" w:rsidRDefault="00E41BE6" w:rsidP="00E41BE6">
            <w:pPr>
              <w:spacing w:after="0" w:line="240" w:lineRule="atLeast"/>
              <w:jc w:val="both"/>
              <w:rPr>
                <w:rFonts w:ascii="Cambria" w:eastAsia="Times New Roman" w:hAnsi="Cambria" w:cs="Times New Roman"/>
                <w:lang w:val="hr-HR"/>
              </w:rPr>
            </w:pPr>
            <w:r w:rsidRPr="00DF4CE5">
              <w:rPr>
                <w:rFonts w:ascii="Cambria" w:eastAsia="Times New Roman" w:hAnsi="Cambria" w:cs="Times New Roman"/>
                <w:lang w:val="hr-HR"/>
              </w:rPr>
              <w:t xml:space="preserve">Pohađanje i aktivnost u nastavi: student je dužan prisustvovati na najmanje 70% nastavnih sati, za nazočnost na više od 70% nastavnih sati sječe pravo na ostvarivanje 15% uspješnosti. </w:t>
            </w:r>
          </w:p>
          <w:p w14:paraId="27A7DABB" w14:textId="77777777" w:rsidR="00E41BE6" w:rsidRPr="00DF4CE5" w:rsidRDefault="00E41BE6" w:rsidP="00E41BE6">
            <w:pPr>
              <w:spacing w:after="0" w:line="240" w:lineRule="atLeast"/>
              <w:jc w:val="both"/>
              <w:rPr>
                <w:rFonts w:ascii="Cambria" w:eastAsia="Times New Roman" w:hAnsi="Cambria" w:cs="Times New Roman"/>
                <w:lang w:val="hr-HR"/>
              </w:rPr>
            </w:pPr>
            <w:r w:rsidRPr="00DF4CE5">
              <w:rPr>
                <w:rFonts w:ascii="Cambria" w:eastAsia="Times New Roman" w:hAnsi="Cambria" w:cs="Times New Roman"/>
                <w:lang w:val="hr-HR"/>
              </w:rPr>
              <w:t xml:space="preserve">Student je dužan napisati seminarski rad tijekom semestra. Isto podrazumijeva prezentaciju, sudjelovanje u raspravi kao i predaju seminarskog rada predmetnom nastavniku. Seminarski rad se predaje na pregled predmetnom nastavniku tjedan dana prije izlaganja (word dokument) te PPT prezentacija najkasnije tri dana prije termina izlaganja. Finalni  rad studenti su obvezni predati najkasnije na dan pisanog ispita. Studenti su dužni sami istražiti aktualnu literaturu vezano za problematiku i dati je na uvid nastavniku. Upute o izradi seminarskog rada daju se na prvom nastavnom satu/satu seminara u okviru PPT prezentacije o aktivnostima kolegija. </w:t>
            </w:r>
          </w:p>
          <w:p w14:paraId="6D7EF66C" w14:textId="77777777" w:rsidR="00E41BE6" w:rsidRPr="00DF4CE5" w:rsidRDefault="00E41BE6" w:rsidP="00E41BE6">
            <w:pPr>
              <w:spacing w:after="0" w:line="240" w:lineRule="atLeast"/>
              <w:rPr>
                <w:rFonts w:ascii="Cambria" w:eastAsia="Times New Roman" w:hAnsi="Cambria" w:cs="Times New Roman"/>
                <w:lang w:val="hr-HR"/>
              </w:rPr>
            </w:pPr>
            <w:r w:rsidRPr="00DF4CE5">
              <w:rPr>
                <w:rFonts w:ascii="Cambria" w:eastAsia="Times New Roman" w:hAnsi="Cambria" w:cs="Times New Roman"/>
                <w:lang w:val="hr-HR"/>
              </w:rPr>
              <w:t>Položenim pismenim ispitom smatra se test na kojem je student ostvario najmanje 50% od ukupnog broja bodova. Konačna ocjena iz predmeta izvodi se iz ukupno ostvarenog postotka uspješnosti na pismenom ispitu, iz seminara i izlaganja seminara te pohađanja   nastave.</w:t>
            </w:r>
          </w:p>
        </w:tc>
      </w:tr>
      <w:tr w:rsidR="00E41BE6" w:rsidRPr="00D0399C" w14:paraId="6BB76E18" w14:textId="77777777" w:rsidTr="00A31664">
        <w:tc>
          <w:tcPr>
            <w:tcW w:w="261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50DB552" w14:textId="77777777" w:rsidR="00E41BE6" w:rsidRPr="00DF4CE5" w:rsidRDefault="00E41BE6" w:rsidP="00E41BE6">
            <w:pPr>
              <w:spacing w:after="0" w:line="240" w:lineRule="atLeast"/>
              <w:rPr>
                <w:rFonts w:ascii="Cambria" w:eastAsia="Times New Roman" w:hAnsi="Cambria" w:cs="Calibri"/>
                <w:lang w:val="hr-HR"/>
              </w:rPr>
            </w:pPr>
            <w:r w:rsidRPr="00DF4CE5">
              <w:rPr>
                <w:rFonts w:ascii="Cambria" w:eastAsia="Times New Roman" w:hAnsi="Cambria" w:cs="Calibri"/>
                <w:lang w:val="hr-HR"/>
              </w:rPr>
              <w:t>Studentske obveze</w:t>
            </w:r>
          </w:p>
        </w:tc>
        <w:tc>
          <w:tcPr>
            <w:tcW w:w="672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925C96C" w14:textId="3F9AFF12" w:rsidR="000D37F8" w:rsidRPr="000D37F8" w:rsidRDefault="000D37F8" w:rsidP="000D37F8">
            <w:pPr>
              <w:spacing w:after="0" w:line="240" w:lineRule="auto"/>
              <w:rPr>
                <w:rFonts w:ascii="Cambria" w:hAnsi="Cambria" w:cs="Calibri"/>
                <w:lang w:val="it-IT"/>
              </w:rPr>
            </w:pPr>
            <w:r w:rsidRPr="00DF4CE5">
              <w:rPr>
                <w:rFonts w:ascii="Cambria" w:hAnsi="Cambria" w:cs="Calibri"/>
                <w:lang w:val="it-IT"/>
              </w:rPr>
              <w:t xml:space="preserve">Da </w:t>
            </w:r>
            <w:proofErr w:type="spellStart"/>
            <w:r w:rsidRPr="00DF4CE5">
              <w:rPr>
                <w:rFonts w:ascii="Cambria" w:hAnsi="Cambria" w:cs="Calibri"/>
                <w:lang w:val="it-IT"/>
              </w:rPr>
              <w:t>položi</w:t>
            </w:r>
            <w:proofErr w:type="spellEnd"/>
            <w:r w:rsidRPr="00DF4CE5">
              <w:rPr>
                <w:rFonts w:ascii="Cambria" w:hAnsi="Cambria" w:cs="Calibri"/>
                <w:lang w:val="it-IT"/>
              </w:rPr>
              <w:t xml:space="preserve"> </w:t>
            </w:r>
            <w:proofErr w:type="spellStart"/>
            <w:r w:rsidRPr="00DF4CE5">
              <w:rPr>
                <w:rFonts w:ascii="Cambria" w:hAnsi="Cambria" w:cs="Calibri"/>
                <w:lang w:val="it-IT"/>
              </w:rPr>
              <w:t>kolegij</w:t>
            </w:r>
            <w:proofErr w:type="spellEnd"/>
            <w:r w:rsidRPr="00DF4CE5">
              <w:rPr>
                <w:rFonts w:ascii="Cambria" w:hAnsi="Cambria" w:cs="Calibri"/>
                <w:lang w:val="it-IT"/>
              </w:rPr>
              <w:t xml:space="preserve">, </w:t>
            </w:r>
            <w:proofErr w:type="spellStart"/>
            <w:r w:rsidRPr="00DF4CE5">
              <w:rPr>
                <w:rFonts w:ascii="Cambria" w:hAnsi="Cambria" w:cs="Calibri"/>
                <w:lang w:val="it-IT"/>
              </w:rPr>
              <w:t>student</w:t>
            </w:r>
            <w:proofErr w:type="spellEnd"/>
            <w:r w:rsidRPr="00DF4CE5">
              <w:rPr>
                <w:rFonts w:ascii="Cambria" w:hAnsi="Cambria" w:cs="Calibri"/>
                <w:lang w:val="it-IT"/>
              </w:rPr>
              <w:t>/</w:t>
            </w:r>
            <w:proofErr w:type="spellStart"/>
            <w:r w:rsidRPr="00DF4CE5">
              <w:rPr>
                <w:rFonts w:ascii="Cambria" w:hAnsi="Cambria" w:cs="Calibri"/>
                <w:lang w:val="it-IT"/>
              </w:rPr>
              <w:t>studentica</w:t>
            </w:r>
            <w:proofErr w:type="spellEnd"/>
            <w:r w:rsidRPr="00DF4CE5">
              <w:rPr>
                <w:rFonts w:ascii="Cambria" w:hAnsi="Cambria" w:cs="Calibri"/>
                <w:lang w:val="it-IT"/>
              </w:rPr>
              <w:t xml:space="preserve"> mora: </w:t>
            </w:r>
          </w:p>
          <w:p w14:paraId="79F1CA53" w14:textId="03EDE98F" w:rsidR="00E41BE6" w:rsidRPr="00DF4CE5" w:rsidRDefault="000D37F8" w:rsidP="000D37F8">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tLeast"/>
              <w:rPr>
                <w:rFonts w:ascii="Cambria" w:eastAsia="Times New Roman" w:hAnsi="Cambria" w:cs="Times New Roman"/>
                <w:lang w:val="hr-HR"/>
              </w:rPr>
            </w:pPr>
            <w:r>
              <w:rPr>
                <w:rFonts w:ascii="Cambria" w:eastAsia="Times New Roman" w:hAnsi="Cambria" w:cs="Times New Roman"/>
                <w:lang w:val="hr-HR"/>
              </w:rPr>
              <w:t>1. p</w:t>
            </w:r>
            <w:r w:rsidR="00E41BE6" w:rsidRPr="00DF4CE5">
              <w:rPr>
                <w:rFonts w:ascii="Cambria" w:eastAsia="Times New Roman" w:hAnsi="Cambria" w:cs="Times New Roman"/>
                <w:lang w:val="hr-HR"/>
              </w:rPr>
              <w:t xml:space="preserve">ohađati nastavu i aktivno sudjelovati na predavanjima i </w:t>
            </w:r>
          </w:p>
          <w:p w14:paraId="4BEBD38E" w14:textId="27855CFE" w:rsidR="00E41BE6" w:rsidRPr="00DF4CE5" w:rsidRDefault="000D37F8" w:rsidP="00E41BE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tLeast"/>
              <w:rPr>
                <w:rFonts w:ascii="Cambria" w:eastAsia="Times New Roman" w:hAnsi="Cambria" w:cs="Times New Roman"/>
                <w:lang w:val="hr-HR"/>
              </w:rPr>
            </w:pPr>
            <w:r>
              <w:rPr>
                <w:rFonts w:ascii="Cambria" w:eastAsia="Times New Roman" w:hAnsi="Cambria" w:cs="Times New Roman"/>
                <w:lang w:val="hr-HR"/>
              </w:rPr>
              <w:t>s</w:t>
            </w:r>
            <w:r w:rsidR="00E41BE6" w:rsidRPr="00DF4CE5">
              <w:rPr>
                <w:rFonts w:ascii="Cambria" w:eastAsia="Times New Roman" w:hAnsi="Cambria" w:cs="Times New Roman"/>
                <w:lang w:val="hr-HR"/>
              </w:rPr>
              <w:t>eminarima</w:t>
            </w:r>
            <w:r>
              <w:rPr>
                <w:rFonts w:ascii="Cambria" w:eastAsia="Times New Roman" w:hAnsi="Cambria" w:cs="Times New Roman"/>
                <w:lang w:val="hr-HR"/>
              </w:rPr>
              <w:t xml:space="preserve"> (t</w:t>
            </w:r>
            <w:r w:rsidR="00E41BE6" w:rsidRPr="00DF4CE5">
              <w:rPr>
                <w:rFonts w:ascii="Cambria" w:eastAsia="Times New Roman" w:hAnsi="Cambria" w:cs="Times New Roman"/>
                <w:lang w:val="hr-HR"/>
              </w:rPr>
              <w:t>olerira se 30% izostanaka</w:t>
            </w:r>
            <w:r>
              <w:rPr>
                <w:rFonts w:ascii="Cambria" w:eastAsia="Times New Roman" w:hAnsi="Cambria" w:cs="Times New Roman"/>
                <w:lang w:val="hr-HR"/>
              </w:rPr>
              <w:t>)</w:t>
            </w:r>
          </w:p>
          <w:p w14:paraId="2CC3C823" w14:textId="77777777" w:rsidR="000D37F8" w:rsidRDefault="000D37F8" w:rsidP="000D37F8">
            <w:pPr>
              <w:spacing w:after="0" w:line="240" w:lineRule="atLeast"/>
              <w:contextualSpacing/>
              <w:jc w:val="both"/>
              <w:rPr>
                <w:rFonts w:ascii="Cambria" w:eastAsia="Calibri" w:hAnsi="Cambria" w:cs="Times New Roman"/>
                <w:lang w:val="hr-HR"/>
              </w:rPr>
            </w:pPr>
            <w:r>
              <w:rPr>
                <w:rFonts w:ascii="Cambria" w:eastAsia="Calibri" w:hAnsi="Cambria" w:cs="Times New Roman"/>
                <w:lang w:val="hr-HR"/>
              </w:rPr>
              <w:t>2. n</w:t>
            </w:r>
            <w:r w:rsidR="00E41BE6" w:rsidRPr="00DF4CE5">
              <w:rPr>
                <w:rFonts w:ascii="Cambria" w:eastAsia="Calibri" w:hAnsi="Cambria" w:cs="Times New Roman"/>
                <w:lang w:val="hr-HR"/>
              </w:rPr>
              <w:t>apisati seminar i predati isti u roku koji utvrdi predmetni nastavnik  te izvršiti njegovu prezentaciju prema dogovoru s predmetnim nastavnikom</w:t>
            </w:r>
          </w:p>
          <w:p w14:paraId="29986372" w14:textId="6CDC6348" w:rsidR="00E41BE6" w:rsidRPr="000D37F8" w:rsidRDefault="000D37F8" w:rsidP="000D37F8">
            <w:pPr>
              <w:spacing w:after="0" w:line="240" w:lineRule="atLeast"/>
              <w:contextualSpacing/>
              <w:jc w:val="both"/>
              <w:rPr>
                <w:rFonts w:ascii="Cambria" w:eastAsia="Calibri" w:hAnsi="Cambria" w:cs="Times New Roman"/>
                <w:lang w:val="hr-HR"/>
              </w:rPr>
            </w:pPr>
            <w:r>
              <w:rPr>
                <w:rFonts w:ascii="Cambria" w:eastAsia="Times New Roman" w:hAnsi="Cambria" w:cs="Times New Roman"/>
                <w:lang w:val="hr-HR"/>
              </w:rPr>
              <w:t>3. p</w:t>
            </w:r>
            <w:r w:rsidR="00E41BE6" w:rsidRPr="00DF4CE5">
              <w:rPr>
                <w:rFonts w:ascii="Cambria" w:eastAsia="Times New Roman" w:hAnsi="Cambria" w:cs="Times New Roman"/>
                <w:lang w:val="hr-HR"/>
              </w:rPr>
              <w:t>oložiti pismeni ispit</w:t>
            </w:r>
            <w:r>
              <w:rPr>
                <w:rFonts w:ascii="Cambria" w:eastAsia="Times New Roman" w:hAnsi="Cambria" w:cs="Times New Roman"/>
                <w:lang w:val="hr-HR"/>
              </w:rPr>
              <w:t>.</w:t>
            </w:r>
          </w:p>
          <w:p w14:paraId="562BDC83" w14:textId="7FE15E5C" w:rsidR="00E41BE6" w:rsidRPr="00DF4CE5" w:rsidRDefault="000D37F8" w:rsidP="00E41BE6">
            <w:pPr>
              <w:spacing w:after="0" w:line="240" w:lineRule="atLeast"/>
              <w:rPr>
                <w:rFonts w:ascii="Cambria" w:eastAsia="Times New Roman" w:hAnsi="Cambria" w:cs="Calibri"/>
                <w:lang w:val="hr-HR"/>
              </w:rPr>
            </w:pPr>
            <w:r>
              <w:rPr>
                <w:rFonts w:ascii="Cambria" w:eastAsia="Times New Roman" w:hAnsi="Cambria" w:cs="Times New Roman"/>
                <w:lang w:val="hr-HR"/>
              </w:rPr>
              <w:t xml:space="preserve">Napomena: </w:t>
            </w:r>
            <w:r w:rsidR="00E41BE6" w:rsidRPr="00DF4CE5">
              <w:rPr>
                <w:rFonts w:ascii="Cambria" w:eastAsia="Times New Roman" w:hAnsi="Cambria" w:cs="Times New Roman"/>
                <w:lang w:val="hr-HR"/>
              </w:rPr>
              <w:t>Da bi se pristupilo završnom pismenom ispitu, potrebno je izvršiti sve obveze u dogovoreno vrijeme.</w:t>
            </w:r>
          </w:p>
        </w:tc>
      </w:tr>
      <w:tr w:rsidR="00E41BE6" w:rsidRPr="00D0399C" w14:paraId="46C4F2BE" w14:textId="77777777" w:rsidTr="00A31664">
        <w:tc>
          <w:tcPr>
            <w:tcW w:w="261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7078D1F" w14:textId="77777777" w:rsidR="00E41BE6" w:rsidRPr="00DF4CE5" w:rsidRDefault="00E41BE6" w:rsidP="00E41BE6">
            <w:pPr>
              <w:spacing w:after="0" w:line="240" w:lineRule="atLeast"/>
              <w:rPr>
                <w:rFonts w:ascii="Cambria" w:eastAsia="Times New Roman" w:hAnsi="Cambria" w:cs="Calibri"/>
                <w:lang w:val="hr-HR"/>
              </w:rPr>
            </w:pPr>
            <w:proofErr w:type="spellStart"/>
            <w:r w:rsidRPr="00DF4CE5">
              <w:rPr>
                <w:rFonts w:ascii="Cambria" w:eastAsia="Times New Roman" w:hAnsi="Cambria" w:cs="Calibri"/>
              </w:rPr>
              <w:t>Rokovi</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ispita</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i</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kolokvija</w:t>
            </w:r>
            <w:proofErr w:type="spellEnd"/>
          </w:p>
        </w:tc>
        <w:tc>
          <w:tcPr>
            <w:tcW w:w="672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7BDC895" w14:textId="77777777" w:rsidR="00E41BE6" w:rsidRPr="00DF4CE5" w:rsidRDefault="00E41BE6" w:rsidP="00E41BE6">
            <w:pPr>
              <w:spacing w:after="0" w:line="240" w:lineRule="atLeast"/>
              <w:rPr>
                <w:rFonts w:ascii="Cambria" w:eastAsia="Times New Roman" w:hAnsi="Cambria" w:cs="Calibri"/>
                <w:lang w:val="hr-HR"/>
              </w:rPr>
            </w:pPr>
            <w:r w:rsidRPr="00DF4CE5">
              <w:rPr>
                <w:rFonts w:ascii="Cambria" w:eastAsia="Times New Roman" w:hAnsi="Cambria" w:cs="Calibri"/>
                <w:lang w:val="hr-HR"/>
              </w:rPr>
              <w:t>Daju se na početku akademske godine, objavljuju se na mrežnim stranicama Sveučilišta i u ISVU</w:t>
            </w:r>
          </w:p>
        </w:tc>
      </w:tr>
      <w:tr w:rsidR="00E41BE6" w:rsidRPr="007D2631" w14:paraId="5B55E132" w14:textId="77777777" w:rsidTr="00A31664">
        <w:tc>
          <w:tcPr>
            <w:tcW w:w="261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CA12B2F" w14:textId="77777777" w:rsidR="00E41BE6" w:rsidRPr="00DF4CE5" w:rsidRDefault="00E41BE6" w:rsidP="00E41BE6">
            <w:pPr>
              <w:spacing w:after="0" w:line="240" w:lineRule="atLeast"/>
              <w:rPr>
                <w:rFonts w:ascii="Cambria" w:eastAsia="Times New Roman" w:hAnsi="Cambria" w:cs="Calibri"/>
                <w:lang w:val="hr-HR"/>
              </w:rPr>
            </w:pPr>
            <w:r w:rsidRPr="00DF4CE5">
              <w:rPr>
                <w:rFonts w:ascii="Cambria" w:eastAsia="Times New Roman" w:hAnsi="Cambria" w:cs="Calibri"/>
                <w:lang w:val="hr-HR"/>
              </w:rPr>
              <w:t xml:space="preserve">Ostale važne činjenice </w:t>
            </w:r>
            <w:proofErr w:type="spellStart"/>
            <w:r w:rsidRPr="00DF4CE5">
              <w:rPr>
                <w:rFonts w:ascii="Cambria" w:eastAsia="Times New Roman" w:hAnsi="Cambria" w:cs="Calibri"/>
                <w:lang w:val="it-IT"/>
              </w:rPr>
              <w:t>vezane</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uz</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kolegij</w:t>
            </w:r>
            <w:proofErr w:type="spellEnd"/>
          </w:p>
        </w:tc>
        <w:tc>
          <w:tcPr>
            <w:tcW w:w="672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BA44EC2" w14:textId="77777777" w:rsidR="00E41BE6" w:rsidRDefault="00E41BE6" w:rsidP="00E41BE6">
            <w:pPr>
              <w:spacing w:after="0" w:line="240" w:lineRule="atLeast"/>
              <w:rPr>
                <w:rFonts w:ascii="Cambria" w:eastAsia="Calibri" w:hAnsi="Cambria" w:cs="Times New Roman"/>
                <w:lang w:val="hr-HR"/>
              </w:rPr>
            </w:pPr>
            <w:r w:rsidRPr="00DF4CE5">
              <w:rPr>
                <w:rFonts w:ascii="Cambria" w:eastAsia="Calibri" w:hAnsi="Cambria" w:cs="Times New Roman"/>
                <w:lang w:val="hr-HR"/>
              </w:rPr>
              <w:t>Materijali za predavanja, izlaganja i izradu samostalnog zadatka</w:t>
            </w:r>
            <w:r w:rsidRPr="00DF4CE5">
              <w:rPr>
                <w:rFonts w:ascii="Cambria" w:eastAsia="Calibri" w:hAnsi="Cambria" w:cs="Times New Roman"/>
                <w:lang w:val="hr-HR"/>
              </w:rPr>
              <w:br/>
              <w:t>objavljuju se na portalu za udaljeno učenje (e-učenju).</w:t>
            </w:r>
          </w:p>
          <w:p w14:paraId="6255E32B" w14:textId="77777777" w:rsidR="000D37F8" w:rsidRPr="000D37F8" w:rsidRDefault="000D37F8" w:rsidP="000D37F8">
            <w:pPr>
              <w:spacing w:after="0" w:line="240" w:lineRule="atLeast"/>
              <w:rPr>
                <w:rFonts w:ascii="Cambria" w:eastAsia="Calibri" w:hAnsi="Cambria" w:cs="Calibri"/>
                <w:lang w:val="hr-HR"/>
              </w:rPr>
            </w:pPr>
            <w:r w:rsidRPr="000D37F8">
              <w:rPr>
                <w:rFonts w:ascii="Cambria" w:eastAsia="Calibri" w:hAnsi="Cambria" w:cs="Calibri"/>
                <w:lang w:val="hr-HR"/>
              </w:rPr>
              <w:t>U slučaju održavanja nastave na daljinu, moguće je odstupanje u:</w:t>
            </w:r>
          </w:p>
          <w:p w14:paraId="13F8DABD" w14:textId="77777777" w:rsidR="000D37F8" w:rsidRPr="000D37F8" w:rsidRDefault="000D37F8" w:rsidP="000D37F8">
            <w:pPr>
              <w:spacing w:after="0" w:line="240" w:lineRule="atLeast"/>
              <w:rPr>
                <w:rFonts w:ascii="Cambria" w:eastAsia="Calibri" w:hAnsi="Cambria" w:cs="Calibri"/>
                <w:lang w:val="hr-HR"/>
              </w:rPr>
            </w:pPr>
            <w:r w:rsidRPr="000D37F8">
              <w:rPr>
                <w:rFonts w:ascii="Cambria" w:eastAsia="Calibri" w:hAnsi="Cambria" w:cs="Calibri"/>
                <w:lang w:val="hr-HR"/>
              </w:rPr>
              <w:t>- mjestu izvođenja kolegija</w:t>
            </w:r>
          </w:p>
          <w:p w14:paraId="4CEC50A3" w14:textId="77777777" w:rsidR="000D37F8" w:rsidRPr="000D37F8" w:rsidRDefault="000D37F8" w:rsidP="000D37F8">
            <w:pPr>
              <w:spacing w:after="0" w:line="240" w:lineRule="atLeast"/>
              <w:rPr>
                <w:rFonts w:ascii="Cambria" w:eastAsia="Calibri" w:hAnsi="Cambria" w:cs="Calibri"/>
                <w:lang w:val="hr-HR"/>
              </w:rPr>
            </w:pPr>
            <w:r w:rsidRPr="000D37F8">
              <w:rPr>
                <w:rFonts w:ascii="Cambria" w:eastAsia="Calibri" w:hAnsi="Cambria" w:cs="Calibri"/>
                <w:lang w:val="hr-HR"/>
              </w:rPr>
              <w:t>- provedbi aktivnosti, metodama tumačenja i poučavanja i načinima</w:t>
            </w:r>
          </w:p>
          <w:p w14:paraId="20DE5E19" w14:textId="77777777" w:rsidR="000D37F8" w:rsidRPr="000D37F8" w:rsidRDefault="000D37F8" w:rsidP="000D37F8">
            <w:pPr>
              <w:spacing w:after="0" w:line="240" w:lineRule="atLeast"/>
              <w:rPr>
                <w:rFonts w:ascii="Cambria" w:eastAsia="Calibri" w:hAnsi="Cambria" w:cs="Calibri"/>
                <w:lang w:val="hr-HR"/>
              </w:rPr>
            </w:pPr>
            <w:r w:rsidRPr="000D37F8">
              <w:rPr>
                <w:rFonts w:ascii="Cambria" w:eastAsia="Calibri" w:hAnsi="Cambria" w:cs="Calibri"/>
                <w:lang w:val="hr-HR"/>
              </w:rPr>
              <w:t>vrednovanja</w:t>
            </w:r>
          </w:p>
          <w:p w14:paraId="0DCCB99B" w14:textId="77777777" w:rsidR="000D37F8" w:rsidRPr="000D37F8" w:rsidRDefault="000D37F8" w:rsidP="000D37F8">
            <w:pPr>
              <w:spacing w:after="0" w:line="240" w:lineRule="atLeast"/>
              <w:rPr>
                <w:rFonts w:ascii="Cambria" w:eastAsia="Calibri" w:hAnsi="Cambria" w:cs="Calibri"/>
                <w:lang w:val="hr-HR"/>
              </w:rPr>
            </w:pPr>
            <w:r w:rsidRPr="000D37F8">
              <w:rPr>
                <w:rFonts w:ascii="Cambria" w:eastAsia="Calibri" w:hAnsi="Cambria" w:cs="Calibri"/>
                <w:lang w:val="hr-HR"/>
              </w:rPr>
              <w:t>- studentskim obvezama</w:t>
            </w:r>
          </w:p>
          <w:p w14:paraId="01F91E98" w14:textId="77777777" w:rsidR="000D37F8" w:rsidRPr="000D37F8" w:rsidRDefault="000D37F8" w:rsidP="000D37F8">
            <w:pPr>
              <w:spacing w:after="0" w:line="240" w:lineRule="atLeast"/>
              <w:rPr>
                <w:rFonts w:ascii="Cambria" w:eastAsia="Calibri" w:hAnsi="Cambria" w:cs="Calibri"/>
                <w:lang w:val="hr-HR"/>
              </w:rPr>
            </w:pPr>
            <w:r w:rsidRPr="000D37F8">
              <w:rPr>
                <w:rFonts w:ascii="Cambria" w:eastAsia="Calibri" w:hAnsi="Cambria" w:cs="Calibri"/>
                <w:lang w:val="hr-HR"/>
              </w:rPr>
              <w:t>- dostupnoj literaturi.</w:t>
            </w:r>
          </w:p>
          <w:p w14:paraId="4D1751EF" w14:textId="2B018E6D" w:rsidR="000D37F8" w:rsidRPr="000D37F8" w:rsidRDefault="000D37F8" w:rsidP="000D37F8">
            <w:pPr>
              <w:spacing w:after="0" w:line="240" w:lineRule="atLeast"/>
              <w:rPr>
                <w:rFonts w:ascii="Cambria" w:eastAsia="Calibri" w:hAnsi="Cambria" w:cs="Calibri"/>
                <w:lang w:val="hr-HR"/>
              </w:rPr>
            </w:pPr>
            <w:r w:rsidRPr="000D37F8">
              <w:rPr>
                <w:rFonts w:ascii="Cambria" w:eastAsia="Calibri" w:hAnsi="Cambria" w:cs="Calibri"/>
                <w:lang w:val="hr-HR"/>
              </w:rPr>
              <w:t xml:space="preserve">O tome će nositelj kolegija i </w:t>
            </w:r>
            <w:r>
              <w:rPr>
                <w:rFonts w:ascii="Cambria" w:eastAsia="Calibri" w:hAnsi="Cambria" w:cs="Calibri"/>
                <w:lang w:val="hr-HR"/>
              </w:rPr>
              <w:t>suradnik</w:t>
            </w:r>
            <w:r w:rsidRPr="000D37F8">
              <w:rPr>
                <w:rFonts w:ascii="Cambria" w:eastAsia="Calibri" w:hAnsi="Cambria" w:cs="Calibri"/>
                <w:lang w:val="hr-HR"/>
              </w:rPr>
              <w:t xml:space="preserve"> obavijestiti studente i studentice kad se nastava na daljinu počne održavati.</w:t>
            </w:r>
          </w:p>
          <w:p w14:paraId="1E025A7B" w14:textId="12AF17D2" w:rsidR="000D37F8" w:rsidRPr="00DF4CE5" w:rsidRDefault="000D37F8" w:rsidP="000D37F8">
            <w:pPr>
              <w:spacing w:after="0" w:line="240" w:lineRule="atLeast"/>
              <w:rPr>
                <w:rFonts w:ascii="Cambria" w:eastAsia="Calibri" w:hAnsi="Cambria" w:cs="Calibri"/>
                <w:lang w:val="hr-HR"/>
              </w:rPr>
            </w:pPr>
            <w:r w:rsidRPr="000D37F8">
              <w:rPr>
                <w:rFonts w:ascii="Cambria" w:eastAsia="Calibri" w:hAnsi="Cambria" w:cs="Calibri"/>
                <w:lang w:val="hr-HR"/>
              </w:rPr>
              <w:t>Ishodi učenja ostaju nepromijenjeni.</w:t>
            </w:r>
          </w:p>
        </w:tc>
      </w:tr>
      <w:tr w:rsidR="00E41BE6" w:rsidRPr="00D0399C" w14:paraId="2DA23A08" w14:textId="77777777" w:rsidTr="00A31664">
        <w:trPr>
          <w:trHeight w:val="770"/>
        </w:trPr>
        <w:tc>
          <w:tcPr>
            <w:tcW w:w="261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8AD2411" w14:textId="77777777" w:rsidR="00E41BE6" w:rsidRPr="00DF4CE5" w:rsidRDefault="00E41BE6" w:rsidP="00E41BE6">
            <w:pPr>
              <w:spacing w:after="0" w:line="240" w:lineRule="atLeast"/>
              <w:rPr>
                <w:rFonts w:ascii="Cambria" w:eastAsia="Times New Roman" w:hAnsi="Cambria" w:cs="Calibri"/>
                <w:lang w:val="hr-HR"/>
              </w:rPr>
            </w:pPr>
            <w:r w:rsidRPr="00DF4CE5">
              <w:rPr>
                <w:rFonts w:ascii="Cambria" w:eastAsia="Times New Roman" w:hAnsi="Cambria" w:cs="Calibri"/>
                <w:lang w:val="hr-HR"/>
              </w:rPr>
              <w:t>Literatura</w:t>
            </w:r>
          </w:p>
        </w:tc>
        <w:tc>
          <w:tcPr>
            <w:tcW w:w="6724"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754D5F0A" w14:textId="77777777" w:rsidR="00E41BE6" w:rsidRPr="00DF4CE5" w:rsidRDefault="00E41BE6" w:rsidP="00E41BE6">
            <w:pPr>
              <w:spacing w:after="0" w:line="240" w:lineRule="atLeast"/>
              <w:rPr>
                <w:rFonts w:ascii="Cambria" w:eastAsia="Calibri" w:hAnsi="Cambria" w:cs="Calibri"/>
                <w:lang w:val="hr-HR"/>
              </w:rPr>
            </w:pPr>
            <w:r w:rsidRPr="00DF4CE5">
              <w:rPr>
                <w:rFonts w:ascii="Cambria" w:eastAsia="Calibri" w:hAnsi="Cambria" w:cs="Calibri"/>
                <w:lang w:val="hr-HR"/>
              </w:rPr>
              <w:t xml:space="preserve">Obvezna: </w:t>
            </w:r>
          </w:p>
          <w:p w14:paraId="3443EBAF" w14:textId="77777777" w:rsidR="00E41BE6" w:rsidRPr="00DF4CE5" w:rsidRDefault="00E41BE6" w:rsidP="00E41BE6">
            <w:pPr>
              <w:spacing w:after="0" w:line="240" w:lineRule="atLeast"/>
              <w:rPr>
                <w:rFonts w:ascii="Cambria" w:eastAsia="Calibri" w:hAnsi="Cambria" w:cs="Calibri"/>
                <w:lang w:val="hr-HR"/>
              </w:rPr>
            </w:pPr>
            <w:r w:rsidRPr="00DF4CE5">
              <w:rPr>
                <w:rFonts w:ascii="Cambria" w:eastAsia="Calibri" w:hAnsi="Cambria" w:cs="Calibri"/>
                <w:lang w:val="hr-HR"/>
              </w:rPr>
              <w:t xml:space="preserve">1. </w:t>
            </w:r>
            <w:proofErr w:type="spellStart"/>
            <w:r w:rsidRPr="00DF4CE5">
              <w:rPr>
                <w:rFonts w:ascii="Cambria" w:eastAsia="Calibri" w:hAnsi="Cambria" w:cs="Calibri"/>
                <w:lang w:val="hr-HR"/>
              </w:rPr>
              <w:t>Šuràn</w:t>
            </w:r>
            <w:proofErr w:type="spellEnd"/>
            <w:r w:rsidRPr="00DF4CE5">
              <w:rPr>
                <w:rFonts w:ascii="Cambria" w:eastAsia="Calibri" w:hAnsi="Cambria" w:cs="Calibri"/>
                <w:lang w:val="hr-HR"/>
              </w:rPr>
              <w:t>, F. (2018.). Uvod u sociologiju odgoja i  obrazovanja, (skripta).</w:t>
            </w:r>
          </w:p>
          <w:p w14:paraId="2CB56587" w14:textId="77777777" w:rsidR="00E41BE6" w:rsidRPr="00DF4CE5" w:rsidRDefault="00E41BE6" w:rsidP="00E41BE6">
            <w:pPr>
              <w:spacing w:after="0" w:line="240" w:lineRule="atLeast"/>
              <w:rPr>
                <w:rFonts w:ascii="Cambria" w:eastAsia="Calibri" w:hAnsi="Cambria" w:cs="Calibri"/>
                <w:lang w:val="hr-HR"/>
              </w:rPr>
            </w:pPr>
            <w:r w:rsidRPr="00DF4CE5">
              <w:rPr>
                <w:rFonts w:ascii="Cambria" w:eastAsia="Calibri" w:hAnsi="Cambria" w:cs="Calibri"/>
                <w:lang w:val="hr-HR"/>
              </w:rPr>
              <w:t>2. Vujević, M.(1991.). Uvod u sociologiju obrazovanja, Zagreb: Informator.</w:t>
            </w:r>
          </w:p>
          <w:p w14:paraId="4604B46C" w14:textId="77777777" w:rsidR="00E41BE6" w:rsidRPr="00DF4CE5" w:rsidRDefault="00E41BE6" w:rsidP="00E41BE6">
            <w:pPr>
              <w:spacing w:after="0" w:line="240" w:lineRule="atLeast"/>
              <w:rPr>
                <w:rFonts w:ascii="Cambria" w:eastAsia="Calibri" w:hAnsi="Cambria" w:cs="Calibri"/>
                <w:lang w:val="hr-HR"/>
              </w:rPr>
            </w:pPr>
            <w:r w:rsidRPr="00DF4CE5">
              <w:rPr>
                <w:rFonts w:ascii="Cambria" w:eastAsia="Calibri" w:hAnsi="Cambria" w:cs="Calibri"/>
                <w:lang w:val="hr-HR"/>
              </w:rPr>
              <w:t xml:space="preserve">Izborna: </w:t>
            </w:r>
          </w:p>
          <w:p w14:paraId="3D8A7EE8" w14:textId="77777777" w:rsidR="00E41BE6" w:rsidRPr="00DF4CE5" w:rsidRDefault="00E41BE6" w:rsidP="00E41BE6">
            <w:pPr>
              <w:spacing w:after="0" w:line="240" w:lineRule="atLeast"/>
              <w:rPr>
                <w:rFonts w:ascii="Cambria" w:eastAsia="Calibri" w:hAnsi="Cambria" w:cs="Calibri"/>
                <w:lang w:val="hr-HR"/>
              </w:rPr>
            </w:pPr>
            <w:r w:rsidRPr="00DF4CE5">
              <w:rPr>
                <w:rFonts w:ascii="Cambria" w:eastAsia="Calibri" w:hAnsi="Cambria" w:cs="Calibri"/>
                <w:lang w:val="hr-HR"/>
              </w:rPr>
              <w:lastRenderedPageBreak/>
              <w:t xml:space="preserve">1. </w:t>
            </w:r>
            <w:proofErr w:type="spellStart"/>
            <w:r w:rsidRPr="00DF4CE5">
              <w:rPr>
                <w:rFonts w:ascii="Cambria" w:eastAsia="Calibri" w:hAnsi="Cambria" w:cs="Calibri"/>
                <w:lang w:val="hr-HR"/>
              </w:rPr>
              <w:t>Giddens</w:t>
            </w:r>
            <w:proofErr w:type="spellEnd"/>
            <w:r w:rsidRPr="00DF4CE5">
              <w:rPr>
                <w:rFonts w:ascii="Cambria" w:eastAsia="Calibri" w:hAnsi="Cambria" w:cs="Calibri"/>
                <w:lang w:val="hr-HR"/>
              </w:rPr>
              <w:t xml:space="preserve">, A., 2007. Sociologija (I. </w:t>
            </w:r>
            <w:proofErr w:type="spellStart"/>
            <w:r w:rsidRPr="00DF4CE5">
              <w:rPr>
                <w:rFonts w:ascii="Cambria" w:eastAsia="Calibri" w:hAnsi="Cambria" w:cs="Calibri"/>
                <w:lang w:val="hr-HR"/>
              </w:rPr>
              <w:t>pog</w:t>
            </w:r>
            <w:proofErr w:type="spellEnd"/>
            <w:r w:rsidRPr="00DF4CE5">
              <w:rPr>
                <w:rFonts w:ascii="Cambria" w:eastAsia="Calibri" w:hAnsi="Cambria" w:cs="Calibri"/>
                <w:lang w:val="hr-HR"/>
              </w:rPr>
              <w:t xml:space="preserve">. </w:t>
            </w:r>
            <w:proofErr w:type="spellStart"/>
            <w:r w:rsidRPr="00DF4CE5">
              <w:rPr>
                <w:rFonts w:ascii="Cambria" w:eastAsia="Calibri" w:hAnsi="Cambria" w:cs="Calibri"/>
                <w:lang w:val="hr-HR"/>
              </w:rPr>
              <w:t>Što</w:t>
            </w:r>
            <w:proofErr w:type="spellEnd"/>
            <w:r w:rsidRPr="00DF4CE5">
              <w:rPr>
                <w:rFonts w:ascii="Cambria" w:eastAsia="Calibri" w:hAnsi="Cambria" w:cs="Calibri"/>
                <w:lang w:val="hr-HR"/>
              </w:rPr>
              <w:t xml:space="preserve"> je sociologija, str. 1-19, II. </w:t>
            </w:r>
            <w:proofErr w:type="spellStart"/>
            <w:r w:rsidRPr="00DF4CE5">
              <w:rPr>
                <w:rFonts w:ascii="Cambria" w:eastAsia="Calibri" w:hAnsi="Cambria" w:cs="Calibri"/>
                <w:lang w:val="hr-HR"/>
              </w:rPr>
              <w:t>Pog</w:t>
            </w:r>
            <w:proofErr w:type="spellEnd"/>
            <w:r w:rsidRPr="00DF4CE5">
              <w:rPr>
                <w:rFonts w:ascii="Cambria" w:eastAsia="Calibri" w:hAnsi="Cambria" w:cs="Calibri"/>
                <w:lang w:val="hr-HR"/>
              </w:rPr>
              <w:t xml:space="preserve">. Kultura i društvo str. 22-47., XX. </w:t>
            </w:r>
            <w:proofErr w:type="spellStart"/>
            <w:r w:rsidRPr="00DF4CE5">
              <w:rPr>
                <w:rFonts w:ascii="Cambria" w:eastAsia="Calibri" w:hAnsi="Cambria" w:cs="Calibri"/>
                <w:lang w:val="hr-HR"/>
              </w:rPr>
              <w:t>pog</w:t>
            </w:r>
            <w:proofErr w:type="spellEnd"/>
            <w:r w:rsidRPr="00DF4CE5">
              <w:rPr>
                <w:rFonts w:ascii="Cambria" w:eastAsia="Calibri" w:hAnsi="Cambria" w:cs="Calibri"/>
                <w:lang w:val="hr-HR"/>
              </w:rPr>
              <w:t xml:space="preserve">. Metode </w:t>
            </w:r>
            <w:proofErr w:type="spellStart"/>
            <w:r w:rsidRPr="00DF4CE5">
              <w:rPr>
                <w:rFonts w:ascii="Cambria" w:eastAsia="Calibri" w:hAnsi="Cambria" w:cs="Calibri"/>
                <w:lang w:val="hr-HR"/>
              </w:rPr>
              <w:t>istraživanja</w:t>
            </w:r>
            <w:proofErr w:type="spellEnd"/>
            <w:r w:rsidRPr="00DF4CE5">
              <w:rPr>
                <w:rFonts w:ascii="Cambria" w:eastAsia="Calibri" w:hAnsi="Cambria" w:cs="Calibri"/>
                <w:lang w:val="hr-HR"/>
              </w:rPr>
              <w:t xml:space="preserve"> u sociologiji, str. 636-661.), Zagreb: Nakladni zavod Globus.</w:t>
            </w:r>
          </w:p>
          <w:p w14:paraId="053364CC" w14:textId="77777777" w:rsidR="00E41BE6" w:rsidRPr="00DF4CE5" w:rsidRDefault="00E41BE6" w:rsidP="00E41BE6">
            <w:pPr>
              <w:spacing w:after="0" w:line="240" w:lineRule="atLeast"/>
              <w:rPr>
                <w:rFonts w:ascii="Cambria" w:eastAsia="Calibri" w:hAnsi="Cambria" w:cs="Calibri"/>
                <w:lang w:val="hr-HR"/>
              </w:rPr>
            </w:pPr>
            <w:r w:rsidRPr="00DF4CE5">
              <w:rPr>
                <w:rFonts w:ascii="Cambria" w:eastAsia="Calibri" w:hAnsi="Cambria" w:cs="Calibri"/>
                <w:lang w:val="hr-HR"/>
              </w:rPr>
              <w:t xml:space="preserve">2. </w:t>
            </w:r>
            <w:proofErr w:type="spellStart"/>
            <w:r w:rsidRPr="00DF4CE5">
              <w:rPr>
                <w:rFonts w:ascii="Cambria" w:eastAsia="Calibri" w:hAnsi="Cambria" w:cs="Calibri"/>
                <w:lang w:val="hr-HR"/>
              </w:rPr>
              <w:t>Haralambos</w:t>
            </w:r>
            <w:proofErr w:type="spellEnd"/>
            <w:r w:rsidRPr="00DF4CE5">
              <w:rPr>
                <w:rFonts w:ascii="Cambria" w:eastAsia="Calibri" w:hAnsi="Cambria" w:cs="Calibri"/>
                <w:lang w:val="hr-HR"/>
              </w:rPr>
              <w:t xml:space="preserve">, M., </w:t>
            </w:r>
            <w:proofErr w:type="spellStart"/>
            <w:r w:rsidRPr="00DF4CE5">
              <w:rPr>
                <w:rFonts w:ascii="Cambria" w:eastAsia="Calibri" w:hAnsi="Cambria" w:cs="Calibri"/>
                <w:lang w:val="hr-HR"/>
              </w:rPr>
              <w:t>Holborn</w:t>
            </w:r>
            <w:proofErr w:type="spellEnd"/>
            <w:r w:rsidRPr="00DF4CE5">
              <w:rPr>
                <w:rFonts w:ascii="Cambria" w:eastAsia="Calibri" w:hAnsi="Cambria" w:cs="Calibri"/>
                <w:lang w:val="hr-HR"/>
              </w:rPr>
              <w:t xml:space="preserve">, 2002. Sociologija: teme i perspektive (I. </w:t>
            </w:r>
            <w:proofErr w:type="spellStart"/>
            <w:r w:rsidRPr="00DF4CE5">
              <w:rPr>
                <w:rFonts w:ascii="Cambria" w:eastAsia="Calibri" w:hAnsi="Cambria" w:cs="Calibri"/>
                <w:lang w:val="hr-HR"/>
              </w:rPr>
              <w:t>pog</w:t>
            </w:r>
            <w:proofErr w:type="spellEnd"/>
            <w:r w:rsidRPr="00DF4CE5">
              <w:rPr>
                <w:rFonts w:ascii="Cambria" w:eastAsia="Calibri" w:hAnsi="Cambria" w:cs="Calibri"/>
                <w:lang w:val="hr-HR"/>
              </w:rPr>
              <w:t xml:space="preserve">. </w:t>
            </w:r>
            <w:proofErr w:type="spellStart"/>
            <w:r w:rsidRPr="00DF4CE5">
              <w:rPr>
                <w:rFonts w:ascii="Cambria" w:eastAsia="Calibri" w:hAnsi="Cambria" w:cs="Calibri"/>
                <w:lang w:val="hr-HR"/>
              </w:rPr>
              <w:t>Sociološke</w:t>
            </w:r>
            <w:proofErr w:type="spellEnd"/>
            <w:r w:rsidRPr="00DF4CE5">
              <w:rPr>
                <w:rFonts w:ascii="Cambria" w:eastAsia="Calibri" w:hAnsi="Cambria" w:cs="Calibri"/>
                <w:lang w:val="hr-HR"/>
              </w:rPr>
              <w:t xml:space="preserve"> perspektive, str. 9-21, XI. </w:t>
            </w:r>
            <w:proofErr w:type="spellStart"/>
            <w:r w:rsidRPr="00DF4CE5">
              <w:rPr>
                <w:rFonts w:ascii="Cambria" w:eastAsia="Calibri" w:hAnsi="Cambria" w:cs="Calibri"/>
                <w:lang w:val="hr-HR"/>
              </w:rPr>
              <w:t>pog</w:t>
            </w:r>
            <w:proofErr w:type="spellEnd"/>
            <w:r w:rsidRPr="00DF4CE5">
              <w:rPr>
                <w:rFonts w:ascii="Cambria" w:eastAsia="Calibri" w:hAnsi="Cambria" w:cs="Calibri"/>
                <w:lang w:val="hr-HR"/>
              </w:rPr>
              <w:t>. Obrazovanje str. 737-882), Zagreb: Golden Marketing.</w:t>
            </w:r>
          </w:p>
          <w:p w14:paraId="1FAEA9C6" w14:textId="77777777" w:rsidR="00E41BE6" w:rsidRPr="00DF4CE5" w:rsidRDefault="00E41BE6" w:rsidP="00E41BE6">
            <w:pPr>
              <w:spacing w:after="0" w:line="240" w:lineRule="atLeast"/>
              <w:rPr>
                <w:rFonts w:ascii="Cambria" w:eastAsia="Calibri" w:hAnsi="Cambria" w:cs="Calibri"/>
                <w:lang w:val="hr-HR"/>
              </w:rPr>
            </w:pPr>
            <w:r w:rsidRPr="00DF4CE5">
              <w:rPr>
                <w:rFonts w:ascii="Cambria" w:eastAsia="Calibri" w:hAnsi="Cambria" w:cs="Calibri"/>
                <w:lang w:val="hr-HR"/>
              </w:rPr>
              <w:t>3. Pavić, Ž. (2012.). Sociologija odgoja i obrazovanja,</w:t>
            </w:r>
          </w:p>
          <w:p w14:paraId="0AB3C53C" w14:textId="77777777" w:rsidR="00E41BE6" w:rsidRPr="00DF4CE5" w:rsidRDefault="00E41BE6" w:rsidP="00E41BE6">
            <w:pPr>
              <w:spacing w:after="0" w:line="240" w:lineRule="atLeast"/>
              <w:rPr>
                <w:rFonts w:ascii="Cambria" w:eastAsia="Calibri" w:hAnsi="Cambria" w:cs="Calibri"/>
                <w:lang w:val="hr-HR"/>
              </w:rPr>
            </w:pPr>
            <w:hyperlink r:id="rId40" w:history="1">
              <w:r w:rsidRPr="00DF4CE5">
                <w:rPr>
                  <w:rFonts w:ascii="Cambria" w:eastAsia="Calibri" w:hAnsi="Cambria" w:cs="Calibri"/>
                  <w:color w:val="0000FF"/>
                  <w:u w:val="single"/>
                  <w:lang w:val="hr-HR"/>
                </w:rPr>
                <w:t>https://www.academia.edu/10374894/Sociologija_odgoja_i_obrazovanja_%</w:t>
              </w:r>
            </w:hyperlink>
            <w:hyperlink r:id="rId41" w:history="1">
              <w:r w:rsidRPr="00DF4CE5">
                <w:rPr>
                  <w:rFonts w:ascii="Cambria" w:eastAsia="Calibri" w:hAnsi="Cambria" w:cs="Calibri"/>
                  <w:color w:val="0000FF"/>
                  <w:u w:val="single"/>
                  <w:lang w:val="hr-HR"/>
                </w:rPr>
                <w:t>C5%BDeljko_Pavi%C4%87?auto=download</w:t>
              </w:r>
            </w:hyperlink>
          </w:p>
        </w:tc>
      </w:tr>
    </w:tbl>
    <w:p w14:paraId="39D6F0DD" w14:textId="3C3D1EC3" w:rsidR="000D37F8" w:rsidRDefault="000D37F8">
      <w:pPr>
        <w:rPr>
          <w:rFonts w:ascii="Cambria" w:eastAsia="Times New Roman" w:hAnsi="Cambria" w:cs="Calibri"/>
          <w:lang w:val="hr-HR"/>
        </w:rPr>
      </w:pPr>
    </w:p>
    <w:p w14:paraId="1F9BEF6E" w14:textId="294FCBAC" w:rsidR="00E41BE6" w:rsidRPr="00DF4CE5" w:rsidRDefault="000D37F8">
      <w:pPr>
        <w:rPr>
          <w:rFonts w:ascii="Cambria" w:eastAsia="Times New Roman" w:hAnsi="Cambria" w:cs="Calibri"/>
          <w:lang w:val="hr-HR"/>
        </w:rPr>
      </w:pPr>
      <w:r>
        <w:rPr>
          <w:rFonts w:ascii="Cambria" w:eastAsia="Times New Roman" w:hAnsi="Cambria" w:cs="Calibri"/>
          <w:lang w:val="hr-HR"/>
        </w:rPr>
        <w:br w:type="page"/>
      </w:r>
    </w:p>
    <w:tbl>
      <w:tblPr>
        <w:tblW w:w="5001" w:type="pct"/>
        <w:tblInd w:w="-1" w:type="dxa"/>
        <w:tblLayout w:type="fixed"/>
        <w:tblCellMar>
          <w:left w:w="0" w:type="dxa"/>
          <w:right w:w="0" w:type="dxa"/>
        </w:tblCellMar>
        <w:tblLook w:val="0600" w:firstRow="0" w:lastRow="0" w:firstColumn="0" w:lastColumn="0" w:noHBand="1" w:noVBand="1"/>
      </w:tblPr>
      <w:tblGrid>
        <w:gridCol w:w="2805"/>
        <w:gridCol w:w="2663"/>
        <w:gridCol w:w="105"/>
        <w:gridCol w:w="1171"/>
        <w:gridCol w:w="304"/>
        <w:gridCol w:w="471"/>
        <w:gridCol w:w="1087"/>
        <w:gridCol w:w="1416"/>
      </w:tblGrid>
      <w:tr w:rsidR="00E41BE6" w:rsidRPr="00DF4CE5" w14:paraId="07749686" w14:textId="77777777" w:rsidTr="00DB76CD">
        <w:tc>
          <w:tcPr>
            <w:tcW w:w="9342"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DA17E3D" w14:textId="77777777" w:rsidR="00E41BE6" w:rsidRPr="00DF4CE5" w:rsidRDefault="00E41BE6" w:rsidP="00E41BE6">
            <w:pPr>
              <w:spacing w:after="0" w:line="240" w:lineRule="atLeast"/>
              <w:jc w:val="right"/>
              <w:rPr>
                <w:rFonts w:ascii="Cambria" w:eastAsia="Times New Roman" w:hAnsi="Cambria" w:cs="Calibri"/>
                <w:b/>
                <w:lang w:val="hr-HR"/>
              </w:rPr>
            </w:pPr>
            <w:r w:rsidRPr="00DF4CE5">
              <w:rPr>
                <w:rFonts w:ascii="Cambria" w:eastAsia="Times New Roman" w:hAnsi="Cambria" w:cs="Calibri"/>
                <w:b/>
                <w:lang w:val="hr-HR"/>
              </w:rPr>
              <w:lastRenderedPageBreak/>
              <w:t>IZVEDBENI PLAN NASTAVE KOLEGIJA</w:t>
            </w:r>
          </w:p>
        </w:tc>
      </w:tr>
      <w:tr w:rsidR="00E41BE6" w:rsidRPr="00DF4CE5" w14:paraId="7A25A9B7" w14:textId="77777777" w:rsidTr="00DB76CD">
        <w:tc>
          <w:tcPr>
            <w:tcW w:w="261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EBF342D" w14:textId="77777777" w:rsidR="00E41BE6" w:rsidRPr="00DF4CE5" w:rsidRDefault="00E41BE6" w:rsidP="00E41BE6">
            <w:pPr>
              <w:spacing w:after="0" w:line="240" w:lineRule="atLeast"/>
              <w:rPr>
                <w:rFonts w:ascii="Cambria" w:eastAsia="Times New Roman" w:hAnsi="Cambria" w:cs="Calibri"/>
                <w:lang w:val="hr-HR"/>
              </w:rPr>
            </w:pPr>
            <w:r w:rsidRPr="00DF4CE5">
              <w:rPr>
                <w:rFonts w:ascii="Cambria" w:eastAsia="Times New Roman" w:hAnsi="Cambria" w:cs="Calibri"/>
                <w:lang w:val="hr-HR"/>
              </w:rPr>
              <w:t>Kod i naziv kolegija</w:t>
            </w:r>
          </w:p>
        </w:tc>
        <w:tc>
          <w:tcPr>
            <w:tcW w:w="672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8415D3E" w14:textId="33CD315B" w:rsidR="00E41BE6" w:rsidRPr="00DF4CE5" w:rsidRDefault="00A31664" w:rsidP="00E41BE6">
            <w:pPr>
              <w:spacing w:after="0" w:line="240" w:lineRule="atLeast"/>
              <w:outlineLvl w:val="2"/>
              <w:rPr>
                <w:rFonts w:ascii="Cambria" w:eastAsia="Times New Roman" w:hAnsi="Cambria" w:cs="Calibri"/>
                <w:bCs/>
                <w:lang w:val="hr-HR" w:eastAsia="hr-HR"/>
              </w:rPr>
            </w:pPr>
            <w:r w:rsidRPr="00DF4CE5">
              <w:rPr>
                <w:rFonts w:ascii="Cambria" w:eastAsia="Times New Roman" w:hAnsi="Cambria" w:cs="Calibri"/>
                <w:bCs/>
                <w:lang w:val="hr-HR" w:eastAsia="hr-HR"/>
              </w:rPr>
              <w:t>257233</w:t>
            </w:r>
          </w:p>
          <w:p w14:paraId="6EA2E485" w14:textId="080ABADB" w:rsidR="00E41BE6" w:rsidRPr="00DF4CE5" w:rsidRDefault="00E41BE6" w:rsidP="00E41BE6">
            <w:pPr>
              <w:spacing w:after="0" w:line="240" w:lineRule="atLeast"/>
              <w:outlineLvl w:val="2"/>
              <w:rPr>
                <w:rFonts w:ascii="Cambria" w:eastAsia="Times New Roman" w:hAnsi="Cambria" w:cs="Calibri"/>
                <w:bCs/>
                <w:lang w:val="hr-HR" w:eastAsia="hr-HR"/>
              </w:rPr>
            </w:pPr>
            <w:r w:rsidRPr="00DF4CE5">
              <w:rPr>
                <w:rFonts w:ascii="Cambria" w:eastAsia="Times New Roman" w:hAnsi="Cambria" w:cs="Calibri"/>
                <w:bCs/>
                <w:lang w:val="hr-HR" w:eastAsia="hr-HR"/>
              </w:rPr>
              <w:t xml:space="preserve">Hrvatski jezik </w:t>
            </w:r>
            <w:r w:rsidR="00CB02F8" w:rsidRPr="00DF4CE5">
              <w:rPr>
                <w:rFonts w:ascii="Cambria" w:eastAsia="Times New Roman" w:hAnsi="Cambria" w:cs="Calibri"/>
                <w:bCs/>
                <w:lang w:val="hr-HR" w:eastAsia="hr-HR"/>
              </w:rPr>
              <w:t>II</w:t>
            </w:r>
          </w:p>
        </w:tc>
      </w:tr>
      <w:tr w:rsidR="00E41BE6" w:rsidRPr="00D0399C" w14:paraId="71DB9308" w14:textId="77777777" w:rsidTr="00DB76CD">
        <w:tc>
          <w:tcPr>
            <w:tcW w:w="261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C2D2AD0" w14:textId="77777777" w:rsidR="006B4FFE" w:rsidRDefault="00E41BE6" w:rsidP="00E41BE6">
            <w:pPr>
              <w:spacing w:after="0" w:line="240" w:lineRule="atLeast"/>
              <w:rPr>
                <w:rFonts w:ascii="Cambria" w:eastAsia="Times New Roman" w:hAnsi="Cambria" w:cs="Calibri"/>
                <w:lang w:val="hr-HR"/>
              </w:rPr>
            </w:pPr>
            <w:r w:rsidRPr="00DF4CE5">
              <w:rPr>
                <w:rFonts w:ascii="Cambria" w:eastAsia="Times New Roman" w:hAnsi="Cambria" w:cs="Calibri"/>
                <w:lang w:val="hr-HR"/>
              </w:rPr>
              <w:t>Nastavnica</w:t>
            </w:r>
          </w:p>
          <w:p w14:paraId="11ECC4CC" w14:textId="251E54D1" w:rsidR="00E41BE6" w:rsidRPr="00DF4CE5" w:rsidRDefault="006B4FFE" w:rsidP="00E41BE6">
            <w:pPr>
              <w:spacing w:after="0" w:line="240" w:lineRule="atLeast"/>
              <w:rPr>
                <w:rFonts w:ascii="Cambria" w:eastAsia="Times New Roman" w:hAnsi="Cambria" w:cs="Calibri"/>
                <w:lang w:val="hr-HR"/>
              </w:rPr>
            </w:pPr>
            <w:r>
              <w:rPr>
                <w:rFonts w:ascii="Cambria" w:eastAsia="Times New Roman" w:hAnsi="Cambria" w:cs="Calibri"/>
                <w:lang w:val="hr-HR"/>
              </w:rPr>
              <w:t>S</w:t>
            </w:r>
            <w:r w:rsidR="00E41BE6" w:rsidRPr="00DF4CE5">
              <w:rPr>
                <w:rFonts w:ascii="Cambria" w:eastAsia="Times New Roman" w:hAnsi="Cambria" w:cs="Calibri"/>
                <w:lang w:val="hr-HR"/>
              </w:rPr>
              <w:t xml:space="preserve">uradnica </w:t>
            </w:r>
          </w:p>
        </w:tc>
        <w:tc>
          <w:tcPr>
            <w:tcW w:w="672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3468E91" w14:textId="0210817C" w:rsidR="00E41BE6" w:rsidRPr="00DF4CE5" w:rsidRDefault="006B4FFE" w:rsidP="00E41BE6">
            <w:pPr>
              <w:spacing w:after="0" w:line="240" w:lineRule="atLeast"/>
              <w:rPr>
                <w:rFonts w:ascii="Cambria" w:eastAsia="Times New Roman" w:hAnsi="Cambria" w:cs="Times New Roman"/>
                <w:color w:val="0000FF"/>
                <w:u w:val="single"/>
                <w:lang w:val="hr-HR"/>
              </w:rPr>
            </w:pPr>
            <w:r>
              <w:rPr>
                <w:rFonts w:ascii="Cambria" w:eastAsia="Times New Roman" w:hAnsi="Cambria" w:cs="Times New Roman"/>
                <w:color w:val="0000FF"/>
                <w:u w:val="single"/>
                <w:lang w:val="hr-HR"/>
              </w:rPr>
              <w:t>I</w:t>
            </w:r>
            <w:r w:rsidR="00E41BE6" w:rsidRPr="00DF4CE5">
              <w:rPr>
                <w:rFonts w:ascii="Cambria" w:eastAsia="Times New Roman" w:hAnsi="Cambria" w:cs="Times New Roman"/>
                <w:color w:val="0000FF"/>
                <w:u w:val="single"/>
                <w:lang w:val="hr-HR"/>
              </w:rPr>
              <w:t xml:space="preserve">zv. prof. dr. sc. Helena Pavletić </w:t>
            </w:r>
            <w:r w:rsidR="00E41BE6" w:rsidRPr="00DF4CE5">
              <w:rPr>
                <w:rFonts w:ascii="Cambria" w:eastAsia="Times New Roman" w:hAnsi="Cambria" w:cs="Times New Roman"/>
                <w:u w:val="single"/>
                <w:lang w:val="hr-HR"/>
              </w:rPr>
              <w:t>(nositeljica)</w:t>
            </w:r>
          </w:p>
          <w:p w14:paraId="04D81CF5" w14:textId="739A4C07" w:rsidR="00E41BE6" w:rsidRPr="000B2D2C" w:rsidRDefault="000B2D2C" w:rsidP="00E41BE6">
            <w:pPr>
              <w:spacing w:after="0" w:line="240" w:lineRule="atLeast"/>
              <w:rPr>
                <w:rFonts w:ascii="Cambria" w:eastAsia="Times New Roman" w:hAnsi="Cambria" w:cs="Calibri"/>
                <w:lang w:val="it-IT"/>
              </w:rPr>
            </w:pPr>
            <w:hyperlink r:id="rId42" w:history="1">
              <w:r w:rsidRPr="000B2D2C">
                <w:rPr>
                  <w:rStyle w:val="Hiperveza"/>
                  <w:rFonts w:ascii="Cambria" w:hAnsi="Cambria"/>
                  <w:lang w:val="it-IT"/>
                </w:rPr>
                <w:t xml:space="preserve">Doc. dr. sc. Ivana </w:t>
              </w:r>
              <w:proofErr w:type="spellStart"/>
              <w:r w:rsidRPr="000B2D2C">
                <w:rPr>
                  <w:rStyle w:val="Hiperveza"/>
                  <w:rFonts w:ascii="Cambria" w:hAnsi="Cambria"/>
                  <w:lang w:val="it-IT"/>
                </w:rPr>
                <w:t>Nežić</w:t>
              </w:r>
              <w:proofErr w:type="spellEnd"/>
            </w:hyperlink>
          </w:p>
        </w:tc>
      </w:tr>
      <w:tr w:rsidR="00E41BE6" w:rsidRPr="00D0399C" w14:paraId="50B1DAAD" w14:textId="77777777" w:rsidTr="00DB76CD">
        <w:tc>
          <w:tcPr>
            <w:tcW w:w="261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FA4844F" w14:textId="77777777" w:rsidR="00E41BE6" w:rsidRPr="00DF4CE5" w:rsidRDefault="00E41BE6" w:rsidP="00E41BE6">
            <w:pPr>
              <w:spacing w:after="0" w:line="240" w:lineRule="atLeast"/>
              <w:rPr>
                <w:rFonts w:ascii="Cambria" w:eastAsia="Times New Roman" w:hAnsi="Cambria" w:cs="Calibri"/>
                <w:lang w:val="hr-HR"/>
              </w:rPr>
            </w:pPr>
            <w:r w:rsidRPr="00DF4CE5">
              <w:rPr>
                <w:rFonts w:ascii="Cambria" w:eastAsia="Times New Roman" w:hAnsi="Cambria" w:cs="Calibri"/>
                <w:lang w:val="hr-HR"/>
              </w:rPr>
              <w:t>Studijski program</w:t>
            </w:r>
          </w:p>
        </w:tc>
        <w:tc>
          <w:tcPr>
            <w:tcW w:w="672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5747B7A" w14:textId="77777777" w:rsidR="00E41BE6" w:rsidRPr="00DF4CE5" w:rsidRDefault="00E41BE6" w:rsidP="00E41BE6">
            <w:pPr>
              <w:spacing w:after="0" w:line="240" w:lineRule="atLeast"/>
              <w:rPr>
                <w:rFonts w:ascii="Cambria" w:eastAsia="Times New Roman" w:hAnsi="Cambria" w:cs="Calibri"/>
                <w:lang w:val="hr-HR"/>
              </w:rPr>
            </w:pPr>
            <w:r w:rsidRPr="00DF4CE5">
              <w:rPr>
                <w:rFonts w:ascii="Cambria" w:eastAsia="Calibri" w:hAnsi="Cambria" w:cs="Calibri"/>
                <w:lang w:val="hr-HR"/>
              </w:rPr>
              <w:t>Sveučilišni integrirani prijediplomski i diplomski Učiteljski studij na hrvatskom jeziku</w:t>
            </w:r>
          </w:p>
        </w:tc>
      </w:tr>
      <w:tr w:rsidR="00E41BE6" w:rsidRPr="00DF4CE5" w14:paraId="3A58C601" w14:textId="77777777" w:rsidTr="00DB76CD">
        <w:tc>
          <w:tcPr>
            <w:tcW w:w="261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21EF324" w14:textId="77777777" w:rsidR="00E41BE6" w:rsidRPr="00DF4CE5" w:rsidRDefault="00E41BE6" w:rsidP="00E41BE6">
            <w:pPr>
              <w:spacing w:after="0" w:line="240" w:lineRule="atLeast"/>
              <w:rPr>
                <w:rFonts w:ascii="Cambria" w:eastAsia="Times New Roman" w:hAnsi="Cambria" w:cs="Calibri"/>
                <w:lang w:val="hr-HR"/>
              </w:rPr>
            </w:pPr>
            <w:r w:rsidRPr="00DF4CE5">
              <w:rPr>
                <w:rFonts w:ascii="Cambria" w:eastAsia="Times New Roman" w:hAnsi="Cambria" w:cs="Calibri"/>
                <w:lang w:val="hr-HR"/>
              </w:rPr>
              <w:t>Vrsta kolegija</w:t>
            </w:r>
          </w:p>
        </w:tc>
        <w:tc>
          <w:tcPr>
            <w:tcW w:w="248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862932F" w14:textId="77777777" w:rsidR="00E41BE6" w:rsidRPr="00DF4CE5" w:rsidRDefault="00E41BE6" w:rsidP="00E41BE6">
            <w:pPr>
              <w:spacing w:after="0" w:line="240" w:lineRule="atLeast"/>
              <w:rPr>
                <w:rFonts w:ascii="Cambria" w:eastAsia="Times New Roman" w:hAnsi="Cambria" w:cs="Calibri"/>
                <w:lang w:val="hr-HR"/>
              </w:rPr>
            </w:pPr>
            <w:r w:rsidRPr="00DF4CE5">
              <w:rPr>
                <w:rFonts w:ascii="Cambria" w:eastAsia="Times New Roman" w:hAnsi="Cambria" w:cs="Calibri"/>
                <w:lang w:val="hr-HR"/>
              </w:rPr>
              <w:t xml:space="preserve">obvezan </w:t>
            </w:r>
          </w:p>
          <w:p w14:paraId="48B52327" w14:textId="77777777" w:rsidR="00E41BE6" w:rsidRPr="00DF4CE5" w:rsidRDefault="00E41BE6" w:rsidP="00E41BE6">
            <w:pPr>
              <w:spacing w:after="0" w:line="240" w:lineRule="atLeast"/>
              <w:rPr>
                <w:rFonts w:ascii="Cambria" w:eastAsia="Times New Roman" w:hAnsi="Cambria" w:cs="Calibri"/>
                <w:lang w:val="hr-HR"/>
              </w:rPr>
            </w:pPr>
          </w:p>
        </w:tc>
        <w:tc>
          <w:tcPr>
            <w:tcW w:w="147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68126808" w14:textId="77777777" w:rsidR="00E41BE6" w:rsidRPr="00DF4CE5" w:rsidRDefault="00E41BE6" w:rsidP="00E41BE6">
            <w:pPr>
              <w:spacing w:after="0" w:line="240" w:lineRule="atLeast"/>
              <w:rPr>
                <w:rFonts w:ascii="Cambria" w:eastAsia="Times New Roman" w:hAnsi="Cambria" w:cs="Calibri"/>
                <w:lang w:val="hr-HR"/>
              </w:rPr>
            </w:pPr>
            <w:r w:rsidRPr="00DF4CE5">
              <w:rPr>
                <w:rFonts w:ascii="Cambria" w:eastAsia="Times New Roman" w:hAnsi="Cambria" w:cs="Calibri"/>
                <w:lang w:val="hr-HR"/>
              </w:rPr>
              <w:t>Razina kolegija</w:t>
            </w:r>
          </w:p>
        </w:tc>
        <w:tc>
          <w:tcPr>
            <w:tcW w:w="2772"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52DE515" w14:textId="77777777" w:rsidR="00E41BE6" w:rsidRPr="00DF4CE5" w:rsidRDefault="00E41BE6" w:rsidP="00E41BE6">
            <w:pPr>
              <w:spacing w:after="0" w:line="240" w:lineRule="atLeast"/>
              <w:rPr>
                <w:rFonts w:ascii="Cambria" w:eastAsia="Times New Roman" w:hAnsi="Cambria" w:cs="Calibri"/>
                <w:lang w:val="hr-HR"/>
              </w:rPr>
            </w:pPr>
            <w:proofErr w:type="spellStart"/>
            <w:r w:rsidRPr="00DF4CE5">
              <w:rPr>
                <w:rFonts w:ascii="Cambria" w:eastAsia="Times New Roman" w:hAnsi="Cambria" w:cs="Calibri"/>
              </w:rPr>
              <w:t>integrirani</w:t>
            </w:r>
            <w:proofErr w:type="spellEnd"/>
          </w:p>
          <w:p w14:paraId="6CBA18DD" w14:textId="77777777" w:rsidR="00E41BE6" w:rsidRPr="00DF4CE5" w:rsidRDefault="00E41BE6" w:rsidP="00E41BE6">
            <w:pPr>
              <w:spacing w:after="0" w:line="240" w:lineRule="atLeast"/>
              <w:rPr>
                <w:rFonts w:ascii="Cambria" w:eastAsia="Times New Roman" w:hAnsi="Cambria" w:cs="Calibri"/>
                <w:lang w:val="hr-HR"/>
              </w:rPr>
            </w:pPr>
          </w:p>
        </w:tc>
      </w:tr>
      <w:tr w:rsidR="00E41BE6" w:rsidRPr="00DF4CE5" w14:paraId="0F26B5AE" w14:textId="77777777" w:rsidTr="00DB76CD">
        <w:tc>
          <w:tcPr>
            <w:tcW w:w="261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AB0E79B" w14:textId="77777777" w:rsidR="00E41BE6" w:rsidRPr="00DF4CE5" w:rsidRDefault="00E41BE6" w:rsidP="00E41BE6">
            <w:pPr>
              <w:spacing w:after="0" w:line="240" w:lineRule="atLeast"/>
              <w:rPr>
                <w:rFonts w:ascii="Cambria" w:eastAsia="Times New Roman" w:hAnsi="Cambria" w:cs="Calibri"/>
                <w:lang w:val="hr-HR"/>
              </w:rPr>
            </w:pPr>
            <w:r w:rsidRPr="00DF4CE5">
              <w:rPr>
                <w:rFonts w:ascii="Cambria" w:eastAsia="Times New Roman" w:hAnsi="Cambria" w:cs="Calibri"/>
                <w:lang w:val="hr-HR"/>
              </w:rPr>
              <w:t>Semestar</w:t>
            </w:r>
          </w:p>
        </w:tc>
        <w:tc>
          <w:tcPr>
            <w:tcW w:w="248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FB21DF1" w14:textId="77777777" w:rsidR="00E41BE6" w:rsidRPr="00DF4CE5" w:rsidRDefault="00E41BE6" w:rsidP="00E41BE6">
            <w:pPr>
              <w:spacing w:after="0" w:line="240" w:lineRule="atLeast"/>
              <w:rPr>
                <w:rFonts w:ascii="Cambria" w:eastAsia="Times New Roman" w:hAnsi="Cambria" w:cs="Calibri"/>
                <w:lang w:val="hr-HR"/>
              </w:rPr>
            </w:pPr>
            <w:r w:rsidRPr="00DF4CE5">
              <w:rPr>
                <w:rFonts w:ascii="Cambria" w:eastAsia="Times New Roman" w:hAnsi="Cambria" w:cs="Calibri"/>
                <w:lang w:val="hr-HR"/>
              </w:rPr>
              <w:t>ljetni</w:t>
            </w:r>
          </w:p>
          <w:p w14:paraId="1F33917A" w14:textId="77777777" w:rsidR="00E41BE6" w:rsidRPr="00DF4CE5" w:rsidRDefault="00E41BE6" w:rsidP="00E41BE6">
            <w:pPr>
              <w:spacing w:after="0" w:line="240" w:lineRule="atLeast"/>
              <w:rPr>
                <w:rFonts w:ascii="Cambria" w:eastAsia="Times New Roman" w:hAnsi="Cambria" w:cs="Calibri"/>
                <w:lang w:val="hr-HR"/>
              </w:rPr>
            </w:pPr>
          </w:p>
        </w:tc>
        <w:tc>
          <w:tcPr>
            <w:tcW w:w="147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1860B097" w14:textId="77777777" w:rsidR="00E41BE6" w:rsidRPr="00DF4CE5" w:rsidRDefault="00E41BE6" w:rsidP="00E41BE6">
            <w:pPr>
              <w:spacing w:after="0" w:line="240" w:lineRule="atLeast"/>
              <w:rPr>
                <w:rFonts w:ascii="Cambria" w:eastAsia="Times New Roman" w:hAnsi="Cambria" w:cs="Calibri"/>
                <w:lang w:val="hr-HR"/>
              </w:rPr>
            </w:pPr>
            <w:r w:rsidRPr="00DF4CE5">
              <w:rPr>
                <w:rFonts w:ascii="Cambria" w:eastAsia="Times New Roman" w:hAnsi="Cambria" w:cs="Calibri"/>
                <w:lang w:val="hr-HR"/>
              </w:rPr>
              <w:t>Godina studija</w:t>
            </w:r>
          </w:p>
        </w:tc>
        <w:tc>
          <w:tcPr>
            <w:tcW w:w="2772"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0635E55" w14:textId="77777777" w:rsidR="00E41BE6" w:rsidRPr="00DF4CE5" w:rsidRDefault="00E41BE6" w:rsidP="00E41BE6">
            <w:pPr>
              <w:spacing w:after="0" w:line="240" w:lineRule="atLeast"/>
              <w:rPr>
                <w:rFonts w:ascii="Cambria" w:eastAsia="Times New Roman" w:hAnsi="Cambria" w:cs="Calibri"/>
                <w:lang w:val="hr-HR"/>
              </w:rPr>
            </w:pPr>
            <w:r w:rsidRPr="00DF4CE5">
              <w:rPr>
                <w:rFonts w:ascii="Cambria" w:eastAsia="Times New Roman" w:hAnsi="Cambria" w:cs="Calibri"/>
                <w:lang w:val="hr-HR"/>
              </w:rPr>
              <w:t>I.</w:t>
            </w:r>
          </w:p>
        </w:tc>
      </w:tr>
      <w:tr w:rsidR="00E41BE6" w:rsidRPr="00DF4CE5" w14:paraId="3E533A25" w14:textId="77777777" w:rsidTr="00DB76CD">
        <w:tc>
          <w:tcPr>
            <w:tcW w:w="261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B147CAC" w14:textId="77777777" w:rsidR="00E41BE6" w:rsidRPr="00DF4CE5" w:rsidRDefault="00E41BE6" w:rsidP="00E41BE6">
            <w:pPr>
              <w:spacing w:after="0" w:line="240" w:lineRule="atLeast"/>
              <w:rPr>
                <w:rFonts w:ascii="Cambria" w:eastAsia="Times New Roman" w:hAnsi="Cambria" w:cs="Calibri"/>
                <w:lang w:val="hr-HR"/>
              </w:rPr>
            </w:pPr>
            <w:proofErr w:type="spellStart"/>
            <w:r w:rsidRPr="00DF4CE5">
              <w:rPr>
                <w:rFonts w:ascii="Cambria" w:eastAsia="Times New Roman" w:hAnsi="Cambria" w:cs="Calibri"/>
              </w:rPr>
              <w:t>Mjesto</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izvođenja</w:t>
            </w:r>
            <w:proofErr w:type="spellEnd"/>
          </w:p>
        </w:tc>
        <w:tc>
          <w:tcPr>
            <w:tcW w:w="248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BFFAF9F" w14:textId="18E0F5EF" w:rsidR="00E41BE6" w:rsidRPr="00DF4CE5" w:rsidRDefault="00E41BE6" w:rsidP="00E41BE6">
            <w:pPr>
              <w:spacing w:after="0" w:line="240" w:lineRule="atLeast"/>
              <w:rPr>
                <w:rFonts w:ascii="Cambria" w:eastAsia="Times New Roman" w:hAnsi="Cambria" w:cs="Calibri"/>
                <w:lang w:val="hr-HR"/>
              </w:rPr>
            </w:pPr>
            <w:r w:rsidRPr="00DF4CE5">
              <w:rPr>
                <w:rFonts w:ascii="Cambria" w:eastAsia="Times New Roman" w:hAnsi="Cambria" w:cs="Calibri"/>
                <w:lang w:val="hr-HR"/>
              </w:rPr>
              <w:t xml:space="preserve">učionica </w:t>
            </w:r>
          </w:p>
        </w:tc>
        <w:tc>
          <w:tcPr>
            <w:tcW w:w="147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5B013822" w14:textId="77777777" w:rsidR="00E41BE6" w:rsidRPr="00DF4CE5" w:rsidRDefault="00E41BE6" w:rsidP="00E41BE6">
            <w:pPr>
              <w:spacing w:after="0" w:line="240" w:lineRule="atLeast"/>
              <w:rPr>
                <w:rFonts w:ascii="Cambria" w:eastAsia="Times New Roman" w:hAnsi="Cambria" w:cs="Calibri"/>
                <w:lang w:val="hr-HR"/>
              </w:rPr>
            </w:pPr>
            <w:r w:rsidRPr="00DF4CE5">
              <w:rPr>
                <w:rFonts w:ascii="Cambria" w:eastAsia="Times New Roman" w:hAnsi="Cambria" w:cs="Calibri"/>
              </w:rPr>
              <w:t>Jezik</w:t>
            </w:r>
            <w:r w:rsidRPr="00DF4CE5">
              <w:rPr>
                <w:rFonts w:ascii="Cambria" w:eastAsia="Times New Roman" w:hAnsi="Cambria" w:cs="Calibri"/>
                <w:lang w:val="hr-HR"/>
              </w:rPr>
              <w:t xml:space="preserve"> izvođenja </w:t>
            </w:r>
          </w:p>
        </w:tc>
        <w:tc>
          <w:tcPr>
            <w:tcW w:w="2772"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8D3543B" w14:textId="77777777" w:rsidR="00E41BE6" w:rsidRPr="00DF4CE5" w:rsidRDefault="00E41BE6" w:rsidP="00E41BE6">
            <w:pPr>
              <w:spacing w:after="0" w:line="240" w:lineRule="atLeast"/>
              <w:rPr>
                <w:rFonts w:ascii="Cambria" w:eastAsia="Times New Roman" w:hAnsi="Cambria" w:cs="Calibri"/>
                <w:lang w:val="hr-HR"/>
              </w:rPr>
            </w:pPr>
            <w:r w:rsidRPr="00DF4CE5">
              <w:rPr>
                <w:rFonts w:ascii="Cambria" w:eastAsia="Times New Roman" w:hAnsi="Cambria" w:cs="Calibri"/>
                <w:lang w:val="hr-HR"/>
              </w:rPr>
              <w:t>hrvatski</w:t>
            </w:r>
          </w:p>
        </w:tc>
      </w:tr>
      <w:tr w:rsidR="00E41BE6" w:rsidRPr="00DF4CE5" w14:paraId="090EABBB" w14:textId="77777777" w:rsidTr="00DB76CD">
        <w:tc>
          <w:tcPr>
            <w:tcW w:w="261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9EA67B3" w14:textId="77777777" w:rsidR="00E41BE6" w:rsidRPr="00DF4CE5" w:rsidRDefault="00E41BE6" w:rsidP="00E41BE6">
            <w:pPr>
              <w:spacing w:after="0" w:line="240" w:lineRule="atLeast"/>
              <w:rPr>
                <w:rFonts w:ascii="Cambria" w:eastAsia="Times New Roman" w:hAnsi="Cambria" w:cs="Calibri"/>
                <w:lang w:val="hr-HR"/>
              </w:rPr>
            </w:pPr>
            <w:r w:rsidRPr="00DF4CE5">
              <w:rPr>
                <w:rFonts w:ascii="Cambria" w:eastAsia="Times New Roman" w:hAnsi="Cambria" w:cs="Calibri"/>
                <w:lang w:val="hr-HR"/>
              </w:rPr>
              <w:t>Broj ECTS bodova</w:t>
            </w:r>
          </w:p>
        </w:tc>
        <w:tc>
          <w:tcPr>
            <w:tcW w:w="248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098F1BA" w14:textId="77777777" w:rsidR="00E41BE6" w:rsidRPr="00DF4CE5" w:rsidRDefault="00E41BE6" w:rsidP="00E41BE6">
            <w:pPr>
              <w:spacing w:after="0" w:line="240" w:lineRule="atLeast"/>
              <w:rPr>
                <w:rFonts w:ascii="Cambria" w:eastAsia="Times New Roman" w:hAnsi="Cambria" w:cs="Calibri"/>
                <w:lang w:val="hr-HR"/>
              </w:rPr>
            </w:pPr>
            <w:r w:rsidRPr="00DF4CE5">
              <w:rPr>
                <w:rFonts w:ascii="Cambria" w:eastAsia="Times New Roman" w:hAnsi="Cambria" w:cs="Calibri"/>
                <w:lang w:val="hr-HR"/>
              </w:rPr>
              <w:t>5</w:t>
            </w:r>
          </w:p>
        </w:tc>
        <w:tc>
          <w:tcPr>
            <w:tcW w:w="147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167E5326" w14:textId="77777777" w:rsidR="00E41BE6" w:rsidRPr="00DF4CE5" w:rsidRDefault="00E41BE6" w:rsidP="00E41BE6">
            <w:pPr>
              <w:spacing w:after="0" w:line="240" w:lineRule="atLeast"/>
              <w:rPr>
                <w:rFonts w:ascii="Cambria" w:eastAsia="Times New Roman" w:hAnsi="Cambria" w:cs="Calibri"/>
                <w:lang w:val="hr-HR"/>
              </w:rPr>
            </w:pPr>
            <w:r w:rsidRPr="00DF4CE5">
              <w:rPr>
                <w:rFonts w:ascii="Cambria" w:eastAsia="Times New Roman" w:hAnsi="Cambria" w:cs="Calibri"/>
                <w:lang w:val="hr-HR"/>
              </w:rPr>
              <w:t>Broj sati u semestru</w:t>
            </w:r>
          </w:p>
        </w:tc>
        <w:tc>
          <w:tcPr>
            <w:tcW w:w="2772"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748A5D6" w14:textId="21382297" w:rsidR="00E41BE6" w:rsidRPr="00DF4CE5" w:rsidRDefault="00E41BE6" w:rsidP="00E41BE6">
            <w:pPr>
              <w:spacing w:after="0" w:line="240" w:lineRule="atLeast"/>
              <w:rPr>
                <w:rFonts w:ascii="Cambria" w:eastAsia="Times New Roman" w:hAnsi="Cambria" w:cs="Calibri"/>
                <w:lang w:val="hr-HR"/>
              </w:rPr>
            </w:pPr>
            <w:r w:rsidRPr="00DF4CE5">
              <w:rPr>
                <w:rFonts w:ascii="Cambria" w:eastAsia="Times New Roman" w:hAnsi="Cambria" w:cs="Calibri"/>
                <w:lang w:val="hr-HR"/>
              </w:rPr>
              <w:t>30P – 15</w:t>
            </w:r>
            <w:r w:rsidR="00CB02F8" w:rsidRPr="00DF4CE5">
              <w:rPr>
                <w:rFonts w:ascii="Cambria" w:eastAsia="Times New Roman" w:hAnsi="Cambria" w:cs="Calibri"/>
                <w:lang w:val="hr-HR"/>
              </w:rPr>
              <w:t>S</w:t>
            </w:r>
            <w:r w:rsidR="006B4FFE">
              <w:rPr>
                <w:rFonts w:ascii="Cambria" w:eastAsia="Times New Roman" w:hAnsi="Cambria" w:cs="Calibri"/>
                <w:lang w:val="hr-HR"/>
              </w:rPr>
              <w:t xml:space="preserve"> </w:t>
            </w:r>
            <w:r w:rsidRPr="00DF4CE5">
              <w:rPr>
                <w:rFonts w:ascii="Cambria" w:eastAsia="Times New Roman" w:hAnsi="Cambria" w:cs="Calibri"/>
                <w:lang w:val="hr-HR"/>
              </w:rPr>
              <w:t>– 15</w:t>
            </w:r>
            <w:r w:rsidR="00CB02F8" w:rsidRPr="00DF4CE5">
              <w:rPr>
                <w:rFonts w:ascii="Cambria" w:eastAsia="Times New Roman" w:hAnsi="Cambria" w:cs="Calibri"/>
                <w:lang w:val="hr-HR"/>
              </w:rPr>
              <w:t>V</w:t>
            </w:r>
            <w:r w:rsidRPr="00DF4CE5">
              <w:rPr>
                <w:rFonts w:ascii="Cambria" w:eastAsia="Times New Roman" w:hAnsi="Cambria" w:cs="Calibri"/>
                <w:lang w:val="hr-HR"/>
              </w:rPr>
              <w:t xml:space="preserve">   </w:t>
            </w:r>
          </w:p>
        </w:tc>
      </w:tr>
      <w:tr w:rsidR="00E41BE6" w:rsidRPr="00D0399C" w14:paraId="043EAE50" w14:textId="77777777" w:rsidTr="00DB76CD">
        <w:tc>
          <w:tcPr>
            <w:tcW w:w="261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2DEE620" w14:textId="77777777" w:rsidR="00E41BE6" w:rsidRPr="00DF4CE5" w:rsidRDefault="00E41BE6" w:rsidP="00E41BE6">
            <w:pPr>
              <w:spacing w:after="0" w:line="240" w:lineRule="atLeast"/>
              <w:rPr>
                <w:rFonts w:ascii="Cambria" w:eastAsia="Times New Roman" w:hAnsi="Cambria" w:cs="Calibri"/>
                <w:lang w:val="hr-HR"/>
              </w:rPr>
            </w:pPr>
            <w:r w:rsidRPr="00DF4CE5">
              <w:rPr>
                <w:rFonts w:ascii="Cambria" w:eastAsia="Times New Roman" w:hAnsi="Cambria" w:cs="Calibri"/>
                <w:lang w:val="hr-HR"/>
              </w:rPr>
              <w:t>Preduvjeti za upis i za svladavanje</w:t>
            </w:r>
          </w:p>
        </w:tc>
        <w:tc>
          <w:tcPr>
            <w:tcW w:w="672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C2F0E27" w14:textId="77777777" w:rsidR="00E41BE6" w:rsidRPr="00DF4CE5" w:rsidRDefault="00E41BE6" w:rsidP="00E41BE6">
            <w:pPr>
              <w:spacing w:after="0" w:line="240" w:lineRule="atLeast"/>
              <w:rPr>
                <w:rFonts w:ascii="Cambria" w:eastAsia="Times New Roman" w:hAnsi="Cambria" w:cs="Calibri"/>
                <w:lang w:val="hr-HR"/>
              </w:rPr>
            </w:pPr>
            <w:r w:rsidRPr="00DF4CE5">
              <w:rPr>
                <w:rFonts w:ascii="Cambria" w:eastAsia="Times New Roman" w:hAnsi="Cambria" w:cs="Calibri"/>
                <w:lang w:val="hr-HR"/>
              </w:rPr>
              <w:t xml:space="preserve">Nema preduvjeta za upis kolegija, a za svladavanje je preduvjet upisati istoimeni kolegij na portalu za udaljeno učenje.  </w:t>
            </w:r>
          </w:p>
        </w:tc>
      </w:tr>
      <w:tr w:rsidR="00E41BE6" w:rsidRPr="00D0399C" w14:paraId="7E0F3E3D" w14:textId="77777777" w:rsidTr="00DB76CD">
        <w:tc>
          <w:tcPr>
            <w:tcW w:w="261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3B1D2C1" w14:textId="77777777" w:rsidR="00E41BE6" w:rsidRPr="00DF4CE5" w:rsidRDefault="00E41BE6" w:rsidP="00E41BE6">
            <w:pPr>
              <w:spacing w:after="0" w:line="240" w:lineRule="atLeast"/>
              <w:rPr>
                <w:rFonts w:ascii="Cambria" w:eastAsia="Times New Roman" w:hAnsi="Cambria" w:cs="Calibri"/>
                <w:lang w:val="hr-HR"/>
              </w:rPr>
            </w:pPr>
            <w:proofErr w:type="spellStart"/>
            <w:r w:rsidRPr="00DF4CE5">
              <w:rPr>
                <w:rFonts w:ascii="Cambria" w:eastAsia="Times New Roman" w:hAnsi="Cambria" w:cs="Calibri"/>
              </w:rPr>
              <w:t>Korelativnost</w:t>
            </w:r>
            <w:proofErr w:type="spellEnd"/>
          </w:p>
        </w:tc>
        <w:tc>
          <w:tcPr>
            <w:tcW w:w="672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7EF2FF3" w14:textId="77777777" w:rsidR="00E41BE6" w:rsidRPr="00DF4CE5" w:rsidRDefault="00E41BE6" w:rsidP="00E41BE6">
            <w:pPr>
              <w:spacing w:after="0" w:line="240" w:lineRule="atLeast"/>
              <w:rPr>
                <w:rFonts w:ascii="Cambria" w:eastAsia="Times New Roman" w:hAnsi="Cambria" w:cs="Calibri"/>
                <w:lang w:val="hr-HR"/>
              </w:rPr>
            </w:pPr>
            <w:r w:rsidRPr="00DF4CE5">
              <w:rPr>
                <w:rFonts w:ascii="Cambria" w:eastAsia="Times New Roman" w:hAnsi="Cambria" w:cs="Calibri"/>
                <w:lang w:val="hr-HR"/>
              </w:rPr>
              <w:t xml:space="preserve">Hrvatski jezik I., Dječja književnost, Medijska kultura </w:t>
            </w:r>
          </w:p>
        </w:tc>
      </w:tr>
      <w:tr w:rsidR="00E41BE6" w:rsidRPr="00D0399C" w14:paraId="37511B9C" w14:textId="77777777" w:rsidTr="00DB76CD">
        <w:tc>
          <w:tcPr>
            <w:tcW w:w="261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9D39682" w14:textId="77777777" w:rsidR="00E41BE6" w:rsidRPr="00DF4CE5" w:rsidRDefault="00E41BE6" w:rsidP="00E41BE6">
            <w:pPr>
              <w:spacing w:after="0" w:line="240" w:lineRule="atLeast"/>
              <w:rPr>
                <w:rFonts w:ascii="Cambria" w:eastAsia="Times New Roman" w:hAnsi="Cambria" w:cs="Calibri"/>
                <w:lang w:val="hr-HR"/>
              </w:rPr>
            </w:pPr>
            <w:r w:rsidRPr="00DF4CE5">
              <w:rPr>
                <w:rFonts w:ascii="Cambria" w:eastAsia="Times New Roman" w:hAnsi="Cambria" w:cs="Calibri"/>
                <w:lang w:val="hr-HR"/>
              </w:rPr>
              <w:t xml:space="preserve">Cilj kolegija </w:t>
            </w:r>
          </w:p>
        </w:tc>
        <w:tc>
          <w:tcPr>
            <w:tcW w:w="672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541C5E1" w14:textId="77777777" w:rsidR="00E41BE6" w:rsidRPr="00DF4CE5" w:rsidRDefault="00E41BE6" w:rsidP="00E41BE6">
            <w:pPr>
              <w:autoSpaceDE w:val="0"/>
              <w:autoSpaceDN w:val="0"/>
              <w:adjustRightInd w:val="0"/>
              <w:spacing w:after="0" w:line="240" w:lineRule="atLeast"/>
              <w:rPr>
                <w:rFonts w:ascii="Cambria" w:eastAsia="Times New Roman" w:hAnsi="Cambria" w:cs="Calibri"/>
                <w:lang w:val="hr-HR"/>
              </w:rPr>
            </w:pPr>
            <w:r w:rsidRPr="00DF4CE5">
              <w:rPr>
                <w:rFonts w:ascii="Cambria" w:eastAsia="Times New Roman" w:hAnsi="Cambria" w:cs="Calibri"/>
                <w:lang w:val="hr-HR"/>
              </w:rPr>
              <w:t xml:space="preserve">usvojiti kompetencije za pravilnu primjenu normi hrvatskoga standardnog jezika (gramatička, leksička i stilistička norma) </w:t>
            </w:r>
          </w:p>
        </w:tc>
      </w:tr>
      <w:tr w:rsidR="00E41BE6" w:rsidRPr="00D0399C" w14:paraId="2F31DA56" w14:textId="77777777" w:rsidTr="00DB76CD">
        <w:tc>
          <w:tcPr>
            <w:tcW w:w="261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D9D0577" w14:textId="77777777" w:rsidR="00E41BE6" w:rsidRPr="00DF4CE5" w:rsidRDefault="00E41BE6" w:rsidP="00E41BE6">
            <w:pPr>
              <w:spacing w:after="0" w:line="240" w:lineRule="atLeast"/>
              <w:rPr>
                <w:rFonts w:ascii="Cambria" w:eastAsia="Times New Roman" w:hAnsi="Cambria" w:cs="Calibri"/>
                <w:lang w:val="hr-HR"/>
              </w:rPr>
            </w:pPr>
            <w:r w:rsidRPr="00DF4CE5">
              <w:rPr>
                <w:rFonts w:ascii="Cambria" w:eastAsia="Times New Roman" w:hAnsi="Cambria" w:cs="Calibri"/>
                <w:lang w:val="hr-HR"/>
              </w:rPr>
              <w:t>Ishodi učenja</w:t>
            </w:r>
          </w:p>
        </w:tc>
        <w:tc>
          <w:tcPr>
            <w:tcW w:w="672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BE77F3F" w14:textId="77777777" w:rsidR="00E41BE6" w:rsidRPr="00DF4CE5" w:rsidRDefault="00E41BE6" w:rsidP="00E41BE6">
            <w:pPr>
              <w:spacing w:after="0" w:line="240" w:lineRule="atLeast"/>
              <w:rPr>
                <w:rFonts w:ascii="Cambria" w:eastAsia="Times New Roman" w:hAnsi="Cambria" w:cs="Calibri"/>
                <w:lang w:val="hr-HR"/>
              </w:rPr>
            </w:pPr>
            <w:r w:rsidRPr="00DF4CE5">
              <w:rPr>
                <w:rFonts w:ascii="Cambria" w:eastAsia="Times New Roman" w:hAnsi="Cambria" w:cs="Calibri"/>
                <w:lang w:val="hr-HR"/>
              </w:rPr>
              <w:t>1. pravilno definirati pojam jezičnih disciplina i jezičnih jedinica</w:t>
            </w:r>
          </w:p>
          <w:p w14:paraId="0B0965A3" w14:textId="77777777" w:rsidR="00E41BE6" w:rsidRPr="00DF4CE5" w:rsidRDefault="00E41BE6" w:rsidP="00E41BE6">
            <w:pPr>
              <w:spacing w:after="0" w:line="240" w:lineRule="atLeast"/>
              <w:rPr>
                <w:rFonts w:ascii="Cambria" w:eastAsia="Times New Roman" w:hAnsi="Cambria" w:cs="Calibri"/>
                <w:lang w:val="hr-HR"/>
              </w:rPr>
            </w:pPr>
            <w:r w:rsidRPr="00DF4CE5">
              <w:rPr>
                <w:rFonts w:ascii="Cambria" w:eastAsia="Times New Roman" w:hAnsi="Cambria" w:cs="Calibri"/>
                <w:lang w:val="hr-HR"/>
              </w:rPr>
              <w:t>2. prepoznati odmak od standardnojezičnih normi (gramatička i leksička razina)</w:t>
            </w:r>
          </w:p>
          <w:p w14:paraId="028CD837" w14:textId="77777777" w:rsidR="00E41BE6" w:rsidRPr="00DF4CE5" w:rsidRDefault="00E41BE6" w:rsidP="00E41BE6">
            <w:pPr>
              <w:spacing w:after="0" w:line="240" w:lineRule="atLeast"/>
              <w:rPr>
                <w:rFonts w:ascii="Cambria" w:eastAsia="Times New Roman" w:hAnsi="Cambria" w:cs="Calibri"/>
                <w:lang w:val="hr-HR"/>
              </w:rPr>
            </w:pPr>
            <w:r w:rsidRPr="00DF4CE5">
              <w:rPr>
                <w:rFonts w:ascii="Cambria" w:eastAsia="Times New Roman" w:hAnsi="Cambria" w:cs="Calibri"/>
                <w:lang w:val="hr-HR"/>
              </w:rPr>
              <w:t>3. tumačiti normativna pravila u normativnim priručnicima</w:t>
            </w:r>
          </w:p>
          <w:p w14:paraId="704F59B8" w14:textId="77777777" w:rsidR="00E41BE6" w:rsidRPr="00DF4CE5" w:rsidRDefault="00E41BE6" w:rsidP="00E41BE6">
            <w:pPr>
              <w:spacing w:after="0" w:line="240" w:lineRule="atLeast"/>
              <w:rPr>
                <w:rFonts w:ascii="Cambria" w:eastAsia="Times New Roman" w:hAnsi="Cambria" w:cs="Calibri"/>
                <w:lang w:val="hr-HR"/>
              </w:rPr>
            </w:pPr>
            <w:r w:rsidRPr="00DF4CE5">
              <w:rPr>
                <w:rFonts w:ascii="Cambria" w:eastAsia="Times New Roman" w:hAnsi="Cambria" w:cs="Calibri"/>
                <w:lang w:val="hr-HR"/>
              </w:rPr>
              <w:t>4. primjenjivati stečena znanja o gramatičkim i leksičkim značajkama hrvatskoga standardnog jezika u izradi seminarskog rada</w:t>
            </w:r>
          </w:p>
        </w:tc>
      </w:tr>
      <w:tr w:rsidR="00E41BE6" w:rsidRPr="00D0399C" w14:paraId="3CD79B49" w14:textId="77777777" w:rsidTr="00DB76CD">
        <w:tc>
          <w:tcPr>
            <w:tcW w:w="2615"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2691F4C7" w14:textId="77777777" w:rsidR="00E41BE6" w:rsidRPr="00DF4CE5" w:rsidRDefault="00E41BE6" w:rsidP="00E41BE6">
            <w:pPr>
              <w:spacing w:after="0" w:line="240" w:lineRule="atLeast"/>
              <w:rPr>
                <w:rFonts w:ascii="Cambria" w:eastAsia="Times New Roman" w:hAnsi="Cambria" w:cs="Calibri"/>
                <w:lang w:val="hr-HR"/>
              </w:rPr>
            </w:pPr>
            <w:r w:rsidRPr="00DF4CE5">
              <w:rPr>
                <w:rFonts w:ascii="Cambria" w:eastAsia="Times New Roman" w:hAnsi="Cambria" w:cs="Calibri"/>
                <w:lang w:val="hr-HR"/>
              </w:rPr>
              <w:t>Sadržaj kolegija</w:t>
            </w:r>
          </w:p>
        </w:tc>
        <w:tc>
          <w:tcPr>
            <w:tcW w:w="6727"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8684079" w14:textId="77777777" w:rsidR="00E41BE6" w:rsidRPr="00DF4CE5" w:rsidRDefault="00E41BE6" w:rsidP="00E41BE6">
            <w:pPr>
              <w:autoSpaceDE w:val="0"/>
              <w:autoSpaceDN w:val="0"/>
              <w:adjustRightInd w:val="0"/>
              <w:spacing w:after="0" w:line="240" w:lineRule="atLeast"/>
              <w:rPr>
                <w:rFonts w:ascii="Cambria" w:eastAsia="Times New Roman" w:hAnsi="Cambria" w:cs="Calibri"/>
                <w:lang w:val="hr-HR"/>
              </w:rPr>
            </w:pPr>
            <w:r w:rsidRPr="00DF4CE5">
              <w:rPr>
                <w:rFonts w:ascii="Cambria" w:eastAsia="Times New Roman" w:hAnsi="Cambria" w:cs="Calibri"/>
                <w:lang w:val="hr-HR"/>
              </w:rPr>
              <w:t>1. Morfološko ustrojstvo hrvatskoga standardnog jezika</w:t>
            </w:r>
          </w:p>
          <w:p w14:paraId="627E350D" w14:textId="77777777" w:rsidR="00E41BE6" w:rsidRPr="00DF4CE5" w:rsidRDefault="00E41BE6" w:rsidP="00E41BE6">
            <w:pPr>
              <w:spacing w:after="0" w:line="240" w:lineRule="atLeast"/>
              <w:rPr>
                <w:rFonts w:ascii="Cambria" w:eastAsia="Times New Roman" w:hAnsi="Cambria" w:cs="Calibri"/>
                <w:lang w:val="hr-HR"/>
              </w:rPr>
            </w:pPr>
            <w:r w:rsidRPr="00DF4CE5">
              <w:rPr>
                <w:rFonts w:ascii="Cambria" w:eastAsia="Times New Roman" w:hAnsi="Cambria" w:cs="Calibri"/>
                <w:lang w:val="hr-HR"/>
              </w:rPr>
              <w:t>2. Morfem, riječ, vrste riječi</w:t>
            </w:r>
          </w:p>
          <w:p w14:paraId="1EC61E6C" w14:textId="77777777" w:rsidR="00E41BE6" w:rsidRPr="00DF4CE5" w:rsidRDefault="00E41BE6" w:rsidP="00E41BE6">
            <w:pPr>
              <w:autoSpaceDE w:val="0"/>
              <w:autoSpaceDN w:val="0"/>
              <w:adjustRightInd w:val="0"/>
              <w:spacing w:after="0" w:line="240" w:lineRule="atLeast"/>
              <w:rPr>
                <w:rFonts w:ascii="Cambria" w:eastAsia="Times New Roman" w:hAnsi="Cambria" w:cs="Calibri"/>
                <w:lang w:val="hr-HR"/>
              </w:rPr>
            </w:pPr>
            <w:r w:rsidRPr="00DF4CE5">
              <w:rPr>
                <w:rFonts w:ascii="Cambria" w:eastAsia="Times New Roman" w:hAnsi="Cambria" w:cs="Calibri"/>
                <w:lang w:val="hr-HR"/>
              </w:rPr>
              <w:t>3. Sintaktičko ustrojstvo hrvatskoga standardnog jezika</w:t>
            </w:r>
          </w:p>
          <w:p w14:paraId="3189E1E3" w14:textId="77777777" w:rsidR="00E41BE6" w:rsidRPr="00DF4CE5" w:rsidRDefault="00E41BE6" w:rsidP="00E41BE6">
            <w:pPr>
              <w:spacing w:after="0" w:line="240" w:lineRule="atLeast"/>
              <w:rPr>
                <w:rFonts w:ascii="Cambria" w:eastAsia="Times New Roman" w:hAnsi="Cambria" w:cs="Calibri"/>
                <w:lang w:val="hr-HR"/>
              </w:rPr>
            </w:pPr>
            <w:r w:rsidRPr="00DF4CE5">
              <w:rPr>
                <w:rFonts w:ascii="Cambria" w:eastAsia="Times New Roman" w:hAnsi="Cambria" w:cs="Calibri"/>
                <w:lang w:val="hr-HR"/>
              </w:rPr>
              <w:t>4. Sintagma, rečenica, sintaktička služba riječi, vrste rečenica</w:t>
            </w:r>
          </w:p>
          <w:p w14:paraId="11AB9457" w14:textId="77777777" w:rsidR="00E41BE6" w:rsidRPr="00DF4CE5" w:rsidRDefault="00E41BE6" w:rsidP="00E41BE6">
            <w:pPr>
              <w:spacing w:after="0" w:line="240" w:lineRule="atLeast"/>
              <w:rPr>
                <w:rFonts w:ascii="Cambria" w:eastAsia="Times New Roman" w:hAnsi="Cambria" w:cs="Calibri"/>
                <w:lang w:val="hr-HR"/>
              </w:rPr>
            </w:pPr>
            <w:r w:rsidRPr="00DF4CE5">
              <w:rPr>
                <w:rFonts w:ascii="Cambria" w:eastAsia="Times New Roman" w:hAnsi="Cambria" w:cs="Calibri"/>
                <w:lang w:val="hr-HR"/>
              </w:rPr>
              <w:t>5. Tvorba riječi, tvorbeni načini</w:t>
            </w:r>
          </w:p>
          <w:p w14:paraId="7E667D08" w14:textId="77777777" w:rsidR="00E41BE6" w:rsidRPr="00DF4CE5" w:rsidRDefault="00E41BE6" w:rsidP="00E41BE6">
            <w:pPr>
              <w:autoSpaceDE w:val="0"/>
              <w:autoSpaceDN w:val="0"/>
              <w:adjustRightInd w:val="0"/>
              <w:spacing w:after="0" w:line="240" w:lineRule="atLeast"/>
              <w:rPr>
                <w:rFonts w:ascii="Cambria" w:eastAsia="Times New Roman" w:hAnsi="Cambria" w:cs="Calibri"/>
                <w:lang w:val="hr-HR"/>
              </w:rPr>
            </w:pPr>
            <w:r w:rsidRPr="00DF4CE5">
              <w:rPr>
                <w:rFonts w:ascii="Cambria" w:eastAsia="Times New Roman" w:hAnsi="Cambria" w:cs="Calibri"/>
                <w:lang w:val="hr-HR"/>
              </w:rPr>
              <w:t>6. Leksičko ustrojstvo hrvatskoga standardnog jezika</w:t>
            </w:r>
          </w:p>
        </w:tc>
      </w:tr>
      <w:tr w:rsidR="00E41BE6" w:rsidRPr="00DF4CE5" w14:paraId="566A5C38" w14:textId="77777777" w:rsidTr="00DB76CD">
        <w:tc>
          <w:tcPr>
            <w:tcW w:w="2615"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hideMark/>
          </w:tcPr>
          <w:p w14:paraId="366D1144" w14:textId="77777777" w:rsidR="00E41BE6" w:rsidRPr="00DF4CE5" w:rsidRDefault="00E41BE6" w:rsidP="00E41BE6">
            <w:pPr>
              <w:spacing w:after="0" w:line="240" w:lineRule="atLeast"/>
              <w:rPr>
                <w:rFonts w:ascii="Cambria" w:eastAsia="Times New Roman" w:hAnsi="Cambria" w:cs="Calibri"/>
                <w:lang w:val="hr-HR"/>
              </w:rPr>
            </w:pPr>
            <w:r w:rsidRPr="00DF4CE5">
              <w:rPr>
                <w:rFonts w:ascii="Cambria" w:eastAsia="Times New Roman" w:hAnsi="Cambria" w:cs="Calibri"/>
                <w:lang w:val="hr-HR"/>
              </w:rPr>
              <w:t>Planirane aktivnosti,</w:t>
            </w:r>
          </w:p>
          <w:p w14:paraId="113C3E10" w14:textId="77777777" w:rsidR="00E41BE6" w:rsidRPr="00DF4CE5" w:rsidRDefault="00E41BE6" w:rsidP="00E41BE6">
            <w:pPr>
              <w:spacing w:after="0" w:line="240" w:lineRule="atLeast"/>
              <w:rPr>
                <w:rFonts w:ascii="Cambria" w:eastAsia="Times New Roman" w:hAnsi="Cambria" w:cs="Calibri"/>
                <w:lang w:val="hr-HR"/>
              </w:rPr>
            </w:pPr>
            <w:r w:rsidRPr="00DF4CE5">
              <w:rPr>
                <w:rFonts w:ascii="Cambria" w:eastAsia="Times New Roman" w:hAnsi="Cambria" w:cs="Calibri"/>
                <w:lang w:val="hr-HR"/>
              </w:rPr>
              <w:t>metode učenja i poučavanja i načini vrednovanja</w:t>
            </w:r>
          </w:p>
          <w:p w14:paraId="4F25B5EA" w14:textId="77777777" w:rsidR="00E41BE6" w:rsidRPr="00DF4CE5" w:rsidRDefault="00E41BE6" w:rsidP="00E41BE6">
            <w:pPr>
              <w:spacing w:after="0" w:line="240" w:lineRule="atLeast"/>
              <w:rPr>
                <w:rFonts w:ascii="Cambria" w:eastAsia="Times New Roman" w:hAnsi="Cambria" w:cs="Calibri"/>
                <w:lang w:val="hr-HR"/>
              </w:rPr>
            </w:pPr>
          </w:p>
        </w:tc>
        <w:tc>
          <w:tcPr>
            <w:tcW w:w="258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4C0C47F" w14:textId="77777777" w:rsidR="00E41BE6" w:rsidRPr="00DF4CE5" w:rsidRDefault="00E41BE6" w:rsidP="00E41BE6">
            <w:pPr>
              <w:spacing w:after="0" w:line="240" w:lineRule="atLeast"/>
              <w:rPr>
                <w:rFonts w:ascii="Cambria" w:eastAsia="Times New Roman" w:hAnsi="Cambria" w:cs="Calibri"/>
                <w:lang w:val="hr-HR"/>
              </w:rPr>
            </w:pPr>
            <w:r w:rsidRPr="00DF4CE5">
              <w:rPr>
                <w:rFonts w:ascii="Cambria" w:eastAsia="Times New Roman" w:hAnsi="Cambria" w:cs="Calibri"/>
                <w:bCs/>
                <w:lang w:val="hr-HR"/>
              </w:rPr>
              <w:t xml:space="preserve">Obveze </w:t>
            </w:r>
          </w:p>
        </w:tc>
        <w:tc>
          <w:tcPr>
            <w:tcW w:w="10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23F2AF5" w14:textId="77777777" w:rsidR="00E41BE6" w:rsidRPr="00DF4CE5" w:rsidRDefault="00E41BE6" w:rsidP="00E41BE6">
            <w:pPr>
              <w:spacing w:after="0" w:line="240" w:lineRule="atLeast"/>
              <w:rPr>
                <w:rFonts w:ascii="Cambria" w:eastAsia="Times New Roman" w:hAnsi="Cambria" w:cs="Calibri"/>
                <w:b/>
                <w:bCs/>
                <w:lang w:val="hr-HR"/>
              </w:rPr>
            </w:pPr>
          </w:p>
          <w:p w14:paraId="6C5FC55A" w14:textId="77777777" w:rsidR="00E41BE6" w:rsidRPr="00DF4CE5" w:rsidRDefault="00E41BE6" w:rsidP="00E41BE6">
            <w:pPr>
              <w:spacing w:after="0" w:line="240" w:lineRule="atLeast"/>
              <w:rPr>
                <w:rFonts w:ascii="Cambria" w:eastAsia="Times New Roman" w:hAnsi="Cambria" w:cs="Calibri"/>
                <w:lang w:val="hr-HR"/>
              </w:rPr>
            </w:pPr>
            <w:r w:rsidRPr="00DF4CE5">
              <w:rPr>
                <w:rFonts w:ascii="Cambria" w:eastAsia="Times New Roman" w:hAnsi="Cambria" w:cs="Calibri"/>
                <w:bCs/>
                <w:lang w:val="hr-HR"/>
              </w:rPr>
              <w:t>Ishodi</w:t>
            </w:r>
          </w:p>
          <w:p w14:paraId="3123116C" w14:textId="77777777" w:rsidR="00E41BE6" w:rsidRPr="00DF4CE5" w:rsidRDefault="00E41BE6" w:rsidP="00E41BE6">
            <w:pPr>
              <w:spacing w:after="0" w:line="240" w:lineRule="atLeast"/>
              <w:rPr>
                <w:rFonts w:ascii="Cambria" w:eastAsia="Times New Roman" w:hAnsi="Cambria" w:cs="Calibri"/>
                <w:lang w:val="hr-HR"/>
              </w:rPr>
            </w:pPr>
          </w:p>
        </w:tc>
        <w:tc>
          <w:tcPr>
            <w:tcW w:w="72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9601C4D" w14:textId="77777777" w:rsidR="00E41BE6" w:rsidRPr="00DF4CE5" w:rsidRDefault="00E41BE6" w:rsidP="00E41BE6">
            <w:pPr>
              <w:spacing w:after="0" w:line="240" w:lineRule="atLeast"/>
              <w:rPr>
                <w:rFonts w:ascii="Cambria" w:eastAsia="Times New Roman" w:hAnsi="Cambria" w:cs="Calibri"/>
                <w:lang w:val="hr-HR"/>
              </w:rPr>
            </w:pPr>
            <w:r w:rsidRPr="00DF4CE5">
              <w:rPr>
                <w:rFonts w:ascii="Cambria" w:eastAsia="Times New Roman" w:hAnsi="Cambria" w:cs="Calibri"/>
                <w:bCs/>
                <w:lang w:val="hr-HR"/>
              </w:rPr>
              <w:t>Sati</w:t>
            </w:r>
          </w:p>
        </w:tc>
        <w:tc>
          <w:tcPr>
            <w:tcW w:w="101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72A750F" w14:textId="77777777" w:rsidR="00E41BE6" w:rsidRPr="00DF4CE5" w:rsidRDefault="00E41BE6" w:rsidP="00E41BE6">
            <w:pPr>
              <w:spacing w:after="0" w:line="240" w:lineRule="atLeast"/>
              <w:rPr>
                <w:rFonts w:ascii="Cambria" w:eastAsia="Times New Roman" w:hAnsi="Cambria" w:cs="Calibri"/>
                <w:lang w:val="hr-HR"/>
              </w:rPr>
            </w:pPr>
            <w:r w:rsidRPr="00DF4CE5">
              <w:rPr>
                <w:rFonts w:ascii="Cambria" w:eastAsia="Times New Roman" w:hAnsi="Cambria" w:cs="Calibri"/>
                <w:bCs/>
                <w:lang w:val="hr-HR"/>
              </w:rPr>
              <w:t>ECTS</w:t>
            </w:r>
          </w:p>
        </w:tc>
        <w:tc>
          <w:tcPr>
            <w:tcW w:w="132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2D9BE67" w14:textId="77777777" w:rsidR="00E41BE6" w:rsidRPr="00DF4CE5" w:rsidRDefault="00E41BE6" w:rsidP="00E41BE6">
            <w:pPr>
              <w:spacing w:after="0" w:line="240" w:lineRule="atLeast"/>
              <w:rPr>
                <w:rFonts w:ascii="Cambria" w:eastAsia="Times New Roman" w:hAnsi="Cambria" w:cs="Calibri"/>
                <w:lang w:val="hr-HR"/>
              </w:rPr>
            </w:pPr>
            <w:r w:rsidRPr="00DF4CE5">
              <w:rPr>
                <w:rFonts w:ascii="Cambria" w:eastAsia="Times New Roman" w:hAnsi="Cambria" w:cs="Calibri"/>
                <w:bCs/>
                <w:lang w:val="hr-HR"/>
              </w:rPr>
              <w:t>Maksimalni udio u ocjeni</w:t>
            </w:r>
            <w:r w:rsidRPr="00DF4CE5">
              <w:rPr>
                <w:rFonts w:ascii="Cambria" w:eastAsia="Times New Roman" w:hAnsi="Cambria" w:cs="Calibri"/>
                <w:bCs/>
              </w:rPr>
              <w:t xml:space="preserve"> (%)</w:t>
            </w:r>
          </w:p>
        </w:tc>
      </w:tr>
      <w:tr w:rsidR="00DB76CD" w:rsidRPr="00DF4CE5" w14:paraId="2BB5E7AB" w14:textId="77777777" w:rsidTr="00DB76CD">
        <w:tc>
          <w:tcPr>
            <w:tcW w:w="2615" w:type="dxa"/>
            <w:vMerge/>
            <w:tcBorders>
              <w:left w:val="single" w:sz="8" w:space="0" w:color="000000"/>
              <w:right w:val="single" w:sz="8" w:space="0" w:color="000000"/>
            </w:tcBorders>
            <w:vAlign w:val="center"/>
            <w:hideMark/>
          </w:tcPr>
          <w:p w14:paraId="4960B246" w14:textId="77777777" w:rsidR="00DB76CD" w:rsidRPr="00DF4CE5" w:rsidRDefault="00DB76CD" w:rsidP="00DB76CD">
            <w:pPr>
              <w:spacing w:after="0" w:line="240" w:lineRule="atLeast"/>
              <w:rPr>
                <w:rFonts w:ascii="Cambria" w:eastAsia="Times New Roman" w:hAnsi="Cambria" w:cs="Calibri"/>
                <w:lang w:val="hr-HR"/>
              </w:rPr>
            </w:pPr>
          </w:p>
        </w:tc>
        <w:tc>
          <w:tcPr>
            <w:tcW w:w="258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DA410C8" w14:textId="648C7661" w:rsidR="00DB76CD" w:rsidRPr="00DF4CE5" w:rsidRDefault="00DB76CD" w:rsidP="00DB76CD">
            <w:pPr>
              <w:spacing w:after="0" w:line="240" w:lineRule="atLeast"/>
              <w:rPr>
                <w:rFonts w:ascii="Cambria" w:eastAsia="Times New Roman" w:hAnsi="Cambria" w:cs="Calibri"/>
                <w:lang w:val="hr-HR"/>
              </w:rPr>
            </w:pPr>
            <w:proofErr w:type="spellStart"/>
            <w:r w:rsidRPr="00DF4CE5">
              <w:rPr>
                <w:rFonts w:ascii="Cambria" w:eastAsia="Times New Roman" w:hAnsi="Cambria" w:cs="Calibri"/>
              </w:rPr>
              <w:t>aktivnost</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na</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nastavi</w:t>
            </w:r>
            <w:proofErr w:type="spellEnd"/>
          </w:p>
        </w:tc>
        <w:tc>
          <w:tcPr>
            <w:tcW w:w="10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A248AF8" w14:textId="77777777" w:rsidR="00DB76CD" w:rsidRPr="00DF4CE5" w:rsidRDefault="00DB76CD" w:rsidP="00DB76CD">
            <w:pPr>
              <w:spacing w:after="0" w:line="240" w:lineRule="atLeast"/>
              <w:rPr>
                <w:rFonts w:ascii="Cambria" w:eastAsia="Times New Roman" w:hAnsi="Cambria" w:cs="Calibri"/>
                <w:lang w:val="hr-HR"/>
              </w:rPr>
            </w:pPr>
            <w:r w:rsidRPr="00DF4CE5">
              <w:rPr>
                <w:rFonts w:ascii="Cambria" w:eastAsia="Times New Roman" w:hAnsi="Cambria" w:cs="Calibri"/>
                <w:lang w:val="hr-HR"/>
              </w:rPr>
              <w:t> </w:t>
            </w:r>
            <w:r w:rsidRPr="00DF4CE5">
              <w:rPr>
                <w:rFonts w:ascii="Cambria" w:eastAsia="Times New Roman" w:hAnsi="Cambria" w:cs="Times New Roman"/>
                <w:lang w:val="hr-HR"/>
              </w:rPr>
              <w:t>1. ‒ 4.</w:t>
            </w:r>
          </w:p>
        </w:tc>
        <w:tc>
          <w:tcPr>
            <w:tcW w:w="72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6F41C6B" w14:textId="77777777" w:rsidR="00DB76CD" w:rsidRPr="00DF4CE5" w:rsidRDefault="00DB76CD" w:rsidP="00DB76CD">
            <w:pPr>
              <w:spacing w:after="0" w:line="240" w:lineRule="atLeast"/>
              <w:rPr>
                <w:rFonts w:ascii="Cambria" w:eastAsia="Times New Roman" w:hAnsi="Cambria" w:cs="Calibri"/>
                <w:lang w:val="hr-HR"/>
              </w:rPr>
            </w:pPr>
            <w:r w:rsidRPr="00DF4CE5">
              <w:rPr>
                <w:rFonts w:ascii="Cambria" w:eastAsia="Times New Roman" w:hAnsi="Cambria" w:cs="Calibri"/>
                <w:lang w:val="hr-HR"/>
              </w:rPr>
              <w:t> 45</w:t>
            </w:r>
          </w:p>
        </w:tc>
        <w:tc>
          <w:tcPr>
            <w:tcW w:w="101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DF303EB" w14:textId="77777777" w:rsidR="00DB76CD" w:rsidRPr="00DF4CE5" w:rsidRDefault="00DB76CD" w:rsidP="00DB76CD">
            <w:pPr>
              <w:spacing w:after="0" w:line="240" w:lineRule="atLeast"/>
              <w:rPr>
                <w:rFonts w:ascii="Cambria" w:eastAsia="Times New Roman" w:hAnsi="Cambria" w:cs="Calibri"/>
                <w:lang w:val="hr-HR"/>
              </w:rPr>
            </w:pPr>
            <w:r w:rsidRPr="00DF4CE5">
              <w:rPr>
                <w:rFonts w:ascii="Cambria" w:eastAsia="Times New Roman" w:hAnsi="Cambria" w:cs="Calibri"/>
                <w:lang w:val="hr-HR"/>
              </w:rPr>
              <w:t> 1,5</w:t>
            </w:r>
          </w:p>
        </w:tc>
        <w:tc>
          <w:tcPr>
            <w:tcW w:w="132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EEA4069" w14:textId="77777777" w:rsidR="00DB76CD" w:rsidRPr="00DF4CE5" w:rsidRDefault="00DB76CD" w:rsidP="00DB76CD">
            <w:pPr>
              <w:spacing w:after="0" w:line="240" w:lineRule="atLeast"/>
              <w:rPr>
                <w:rFonts w:ascii="Cambria" w:eastAsia="Times New Roman" w:hAnsi="Cambria" w:cs="Calibri"/>
                <w:lang w:val="hr-HR"/>
              </w:rPr>
            </w:pPr>
            <w:r w:rsidRPr="00DF4CE5">
              <w:rPr>
                <w:rFonts w:ascii="Cambria" w:eastAsia="Times New Roman" w:hAnsi="Cambria" w:cs="Calibri"/>
                <w:lang w:val="hr-HR"/>
              </w:rPr>
              <w:t> 10%</w:t>
            </w:r>
          </w:p>
        </w:tc>
      </w:tr>
      <w:tr w:rsidR="00DB76CD" w:rsidRPr="00DF4CE5" w14:paraId="21B037C5" w14:textId="77777777" w:rsidTr="00DB76CD">
        <w:tc>
          <w:tcPr>
            <w:tcW w:w="2615" w:type="dxa"/>
            <w:vMerge/>
            <w:tcBorders>
              <w:left w:val="single" w:sz="8" w:space="0" w:color="000000"/>
              <w:right w:val="single" w:sz="8" w:space="0" w:color="000000"/>
            </w:tcBorders>
            <w:vAlign w:val="center"/>
            <w:hideMark/>
          </w:tcPr>
          <w:p w14:paraId="7C8557C5" w14:textId="77777777" w:rsidR="00DB76CD" w:rsidRPr="00DF4CE5" w:rsidRDefault="00DB76CD" w:rsidP="00DB76CD">
            <w:pPr>
              <w:spacing w:after="0" w:line="240" w:lineRule="atLeast"/>
              <w:rPr>
                <w:rFonts w:ascii="Cambria" w:eastAsia="Times New Roman" w:hAnsi="Cambria" w:cs="Calibri"/>
                <w:lang w:val="hr-HR"/>
              </w:rPr>
            </w:pPr>
          </w:p>
        </w:tc>
        <w:tc>
          <w:tcPr>
            <w:tcW w:w="258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28519CD" w14:textId="77777777" w:rsidR="00DB76CD" w:rsidRPr="00DF4CE5" w:rsidRDefault="00DB76CD" w:rsidP="00DB76CD">
            <w:pPr>
              <w:spacing w:after="0" w:line="240" w:lineRule="atLeast"/>
              <w:rPr>
                <w:rFonts w:ascii="Cambria" w:eastAsia="Times New Roman" w:hAnsi="Cambria" w:cs="Calibri"/>
                <w:lang w:val="hr-HR"/>
              </w:rPr>
            </w:pPr>
            <w:r w:rsidRPr="00DF4CE5">
              <w:rPr>
                <w:rFonts w:ascii="Cambria" w:eastAsia="Times New Roman" w:hAnsi="Cambria" w:cs="Calibri"/>
                <w:lang w:val="hr-HR"/>
              </w:rPr>
              <w:t>samostalni zadatak</w:t>
            </w:r>
          </w:p>
        </w:tc>
        <w:tc>
          <w:tcPr>
            <w:tcW w:w="10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73BA36A" w14:textId="77777777" w:rsidR="00DB76CD" w:rsidRPr="00DF4CE5" w:rsidRDefault="00DB76CD" w:rsidP="00DB76CD">
            <w:pPr>
              <w:spacing w:after="0" w:line="240" w:lineRule="atLeast"/>
              <w:rPr>
                <w:rFonts w:ascii="Cambria" w:eastAsia="Times New Roman" w:hAnsi="Cambria" w:cs="Calibri"/>
                <w:lang w:val="hr-HR"/>
              </w:rPr>
            </w:pPr>
            <w:r w:rsidRPr="00DF4CE5">
              <w:rPr>
                <w:rFonts w:ascii="Cambria" w:eastAsia="Times New Roman" w:hAnsi="Cambria" w:cs="Times New Roman"/>
                <w:lang w:val="hr-HR"/>
              </w:rPr>
              <w:t xml:space="preserve"> 1. ‒ 2.</w:t>
            </w:r>
          </w:p>
        </w:tc>
        <w:tc>
          <w:tcPr>
            <w:tcW w:w="72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5F90075" w14:textId="77777777" w:rsidR="00DB76CD" w:rsidRPr="00DF4CE5" w:rsidRDefault="00DB76CD" w:rsidP="00DB76CD">
            <w:pPr>
              <w:spacing w:after="0" w:line="240" w:lineRule="atLeast"/>
              <w:rPr>
                <w:rFonts w:ascii="Cambria" w:eastAsia="Times New Roman" w:hAnsi="Cambria" w:cs="Calibri"/>
                <w:lang w:val="hr-HR"/>
              </w:rPr>
            </w:pPr>
            <w:r w:rsidRPr="00DF4CE5">
              <w:rPr>
                <w:rFonts w:ascii="Cambria" w:eastAsia="Times New Roman" w:hAnsi="Cambria" w:cs="Calibri"/>
                <w:lang w:val="hr-HR"/>
              </w:rPr>
              <w:t>  9</w:t>
            </w:r>
          </w:p>
        </w:tc>
        <w:tc>
          <w:tcPr>
            <w:tcW w:w="101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C93785F" w14:textId="77777777" w:rsidR="00DB76CD" w:rsidRPr="00DF4CE5" w:rsidRDefault="00DB76CD" w:rsidP="00DB76CD">
            <w:pPr>
              <w:spacing w:after="0" w:line="240" w:lineRule="atLeast"/>
              <w:rPr>
                <w:rFonts w:ascii="Cambria" w:eastAsia="Times New Roman" w:hAnsi="Cambria" w:cs="Calibri"/>
                <w:lang w:val="hr-HR"/>
              </w:rPr>
            </w:pPr>
            <w:r w:rsidRPr="00DF4CE5">
              <w:rPr>
                <w:rFonts w:ascii="Cambria" w:eastAsia="Times New Roman" w:hAnsi="Cambria" w:cs="Calibri"/>
                <w:lang w:val="hr-HR"/>
              </w:rPr>
              <w:t xml:space="preserve"> 0,3</w:t>
            </w:r>
          </w:p>
        </w:tc>
        <w:tc>
          <w:tcPr>
            <w:tcW w:w="132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07DB5B1" w14:textId="77777777" w:rsidR="00DB76CD" w:rsidRPr="00DF4CE5" w:rsidRDefault="00DB76CD" w:rsidP="00DB76CD">
            <w:pPr>
              <w:spacing w:after="0" w:line="240" w:lineRule="atLeast"/>
              <w:rPr>
                <w:rFonts w:ascii="Cambria" w:eastAsia="Times New Roman" w:hAnsi="Cambria" w:cs="Calibri"/>
                <w:lang w:val="hr-HR"/>
              </w:rPr>
            </w:pPr>
            <w:r w:rsidRPr="00DF4CE5">
              <w:rPr>
                <w:rFonts w:ascii="Cambria" w:eastAsia="Times New Roman" w:hAnsi="Cambria" w:cs="Calibri"/>
                <w:lang w:val="hr-HR"/>
              </w:rPr>
              <w:t> 15%</w:t>
            </w:r>
          </w:p>
        </w:tc>
      </w:tr>
      <w:tr w:rsidR="00DB76CD" w:rsidRPr="00DF4CE5" w14:paraId="2AF8BB02" w14:textId="77777777" w:rsidTr="00DB76CD">
        <w:tc>
          <w:tcPr>
            <w:tcW w:w="2615" w:type="dxa"/>
            <w:vMerge/>
            <w:tcBorders>
              <w:left w:val="single" w:sz="8" w:space="0" w:color="000000"/>
              <w:right w:val="single" w:sz="8" w:space="0" w:color="000000"/>
            </w:tcBorders>
            <w:vAlign w:val="center"/>
            <w:hideMark/>
          </w:tcPr>
          <w:p w14:paraId="00584CC6" w14:textId="77777777" w:rsidR="00DB76CD" w:rsidRPr="00DF4CE5" w:rsidRDefault="00DB76CD" w:rsidP="00DB76CD">
            <w:pPr>
              <w:spacing w:after="0" w:line="240" w:lineRule="atLeast"/>
              <w:rPr>
                <w:rFonts w:ascii="Cambria" w:eastAsia="Times New Roman" w:hAnsi="Cambria" w:cs="Calibri"/>
                <w:lang w:val="hr-HR"/>
              </w:rPr>
            </w:pPr>
          </w:p>
        </w:tc>
        <w:tc>
          <w:tcPr>
            <w:tcW w:w="258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685F0FD" w14:textId="77777777" w:rsidR="00DB76CD" w:rsidRPr="00DF4CE5" w:rsidRDefault="00DB76CD" w:rsidP="00DB76CD">
            <w:pPr>
              <w:spacing w:after="0" w:line="240" w:lineRule="atLeast"/>
              <w:rPr>
                <w:rFonts w:ascii="Cambria" w:eastAsia="Times New Roman" w:hAnsi="Cambria" w:cs="Calibri"/>
                <w:lang w:val="hr-HR"/>
              </w:rPr>
            </w:pPr>
            <w:r w:rsidRPr="00DF4CE5">
              <w:rPr>
                <w:rFonts w:ascii="Cambria" w:eastAsia="Times New Roman" w:hAnsi="Cambria" w:cs="Calibri"/>
                <w:lang w:val="hr-HR"/>
              </w:rPr>
              <w:t>istraživački zadatak + usmeno izlaganje</w:t>
            </w:r>
          </w:p>
        </w:tc>
        <w:tc>
          <w:tcPr>
            <w:tcW w:w="10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B7B086E" w14:textId="77777777" w:rsidR="00DB76CD" w:rsidRPr="00DF4CE5" w:rsidRDefault="00DB76CD" w:rsidP="00DB76CD">
            <w:pPr>
              <w:spacing w:after="0" w:line="240" w:lineRule="atLeast"/>
              <w:rPr>
                <w:rFonts w:ascii="Cambria" w:eastAsia="Times New Roman" w:hAnsi="Cambria" w:cs="Calibri"/>
                <w:lang w:val="hr-HR"/>
              </w:rPr>
            </w:pPr>
            <w:r w:rsidRPr="00DF4CE5">
              <w:rPr>
                <w:rFonts w:ascii="Cambria" w:eastAsia="Times New Roman" w:hAnsi="Cambria" w:cs="Times New Roman"/>
                <w:lang w:val="hr-HR"/>
              </w:rPr>
              <w:t xml:space="preserve"> 1. ‒ 4.</w:t>
            </w:r>
          </w:p>
        </w:tc>
        <w:tc>
          <w:tcPr>
            <w:tcW w:w="72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9FF491D" w14:textId="77777777" w:rsidR="00DB76CD" w:rsidRPr="00DF4CE5" w:rsidRDefault="00DB76CD" w:rsidP="00DB76CD">
            <w:pPr>
              <w:spacing w:after="0" w:line="240" w:lineRule="atLeast"/>
              <w:rPr>
                <w:rFonts w:ascii="Cambria" w:eastAsia="Times New Roman" w:hAnsi="Cambria" w:cs="Calibri"/>
                <w:lang w:val="hr-HR"/>
              </w:rPr>
            </w:pPr>
            <w:r w:rsidRPr="00DF4CE5">
              <w:rPr>
                <w:rFonts w:ascii="Cambria" w:eastAsia="Times New Roman" w:hAnsi="Cambria" w:cs="Calibri"/>
                <w:lang w:val="hr-HR"/>
              </w:rPr>
              <w:t> 36</w:t>
            </w:r>
          </w:p>
        </w:tc>
        <w:tc>
          <w:tcPr>
            <w:tcW w:w="101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1A4BFC5" w14:textId="77777777" w:rsidR="00DB76CD" w:rsidRPr="00DF4CE5" w:rsidRDefault="00DB76CD" w:rsidP="00DB76CD">
            <w:pPr>
              <w:spacing w:after="0" w:line="240" w:lineRule="atLeast"/>
              <w:rPr>
                <w:rFonts w:ascii="Cambria" w:eastAsia="Times New Roman" w:hAnsi="Cambria" w:cs="Calibri"/>
                <w:lang w:val="hr-HR"/>
              </w:rPr>
            </w:pPr>
            <w:r w:rsidRPr="00DF4CE5">
              <w:rPr>
                <w:rFonts w:ascii="Cambria" w:eastAsia="Times New Roman" w:hAnsi="Cambria" w:cs="Calibri"/>
                <w:lang w:val="hr-HR"/>
              </w:rPr>
              <w:t> 1,2</w:t>
            </w:r>
          </w:p>
        </w:tc>
        <w:tc>
          <w:tcPr>
            <w:tcW w:w="132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85DA110" w14:textId="77777777" w:rsidR="00DB76CD" w:rsidRPr="00DF4CE5" w:rsidRDefault="00DB76CD" w:rsidP="00DB76CD">
            <w:pPr>
              <w:spacing w:after="0" w:line="240" w:lineRule="atLeast"/>
              <w:rPr>
                <w:rFonts w:ascii="Cambria" w:eastAsia="Times New Roman" w:hAnsi="Cambria" w:cs="Calibri"/>
                <w:lang w:val="hr-HR"/>
              </w:rPr>
            </w:pPr>
            <w:r w:rsidRPr="00DF4CE5">
              <w:rPr>
                <w:rFonts w:ascii="Cambria" w:eastAsia="Times New Roman" w:hAnsi="Cambria" w:cs="Calibri"/>
                <w:lang w:val="hr-HR"/>
              </w:rPr>
              <w:t> 25%</w:t>
            </w:r>
          </w:p>
        </w:tc>
      </w:tr>
      <w:tr w:rsidR="00DB76CD" w:rsidRPr="00DF4CE5" w14:paraId="4D017A68" w14:textId="77777777" w:rsidTr="00DB76CD">
        <w:tc>
          <w:tcPr>
            <w:tcW w:w="2615" w:type="dxa"/>
            <w:vMerge/>
            <w:tcBorders>
              <w:left w:val="single" w:sz="8" w:space="0" w:color="000000"/>
              <w:right w:val="single" w:sz="8" w:space="0" w:color="000000"/>
            </w:tcBorders>
            <w:vAlign w:val="center"/>
            <w:hideMark/>
          </w:tcPr>
          <w:p w14:paraId="232AF2B0" w14:textId="77777777" w:rsidR="00DB76CD" w:rsidRPr="00DF4CE5" w:rsidRDefault="00DB76CD" w:rsidP="00DB76CD">
            <w:pPr>
              <w:spacing w:after="0" w:line="240" w:lineRule="atLeast"/>
              <w:rPr>
                <w:rFonts w:ascii="Cambria" w:eastAsia="Times New Roman" w:hAnsi="Cambria" w:cs="Calibri"/>
                <w:lang w:val="hr-HR"/>
              </w:rPr>
            </w:pPr>
          </w:p>
        </w:tc>
        <w:tc>
          <w:tcPr>
            <w:tcW w:w="258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1AD198D" w14:textId="77777777" w:rsidR="00DB76CD" w:rsidRPr="00DF4CE5" w:rsidRDefault="00DB76CD" w:rsidP="00DB76CD">
            <w:pPr>
              <w:spacing w:after="0" w:line="240" w:lineRule="atLeast"/>
              <w:rPr>
                <w:rFonts w:ascii="Cambria" w:eastAsia="Times New Roman" w:hAnsi="Cambria" w:cs="Calibri"/>
                <w:lang w:val="hr-HR"/>
              </w:rPr>
            </w:pPr>
            <w:r w:rsidRPr="00DF4CE5">
              <w:rPr>
                <w:rFonts w:ascii="Cambria" w:eastAsia="Times New Roman" w:hAnsi="Cambria" w:cs="Calibri"/>
                <w:lang w:val="hr-HR"/>
              </w:rPr>
              <w:t xml:space="preserve">dva kolokvija </w:t>
            </w:r>
          </w:p>
        </w:tc>
        <w:tc>
          <w:tcPr>
            <w:tcW w:w="10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8B9FC9F" w14:textId="77777777" w:rsidR="00DB76CD" w:rsidRPr="00DF4CE5" w:rsidRDefault="00DB76CD" w:rsidP="00DB76CD">
            <w:pPr>
              <w:spacing w:after="0" w:line="240" w:lineRule="atLeast"/>
              <w:rPr>
                <w:rFonts w:ascii="Cambria" w:eastAsia="Times New Roman" w:hAnsi="Cambria" w:cs="Calibri"/>
                <w:lang w:val="hr-HR"/>
              </w:rPr>
            </w:pPr>
            <w:r w:rsidRPr="00DF4CE5">
              <w:rPr>
                <w:rFonts w:ascii="Cambria" w:eastAsia="Times New Roman" w:hAnsi="Cambria" w:cs="Calibri"/>
                <w:lang w:val="hr-HR"/>
              </w:rPr>
              <w:t> </w:t>
            </w:r>
            <w:r w:rsidRPr="00DF4CE5">
              <w:rPr>
                <w:rFonts w:ascii="Cambria" w:eastAsia="Times New Roman" w:hAnsi="Cambria" w:cs="Times New Roman"/>
                <w:lang w:val="hr-HR"/>
              </w:rPr>
              <w:t>1. ‒ 4.</w:t>
            </w:r>
          </w:p>
        </w:tc>
        <w:tc>
          <w:tcPr>
            <w:tcW w:w="72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21D1903" w14:textId="77777777" w:rsidR="00DB76CD" w:rsidRPr="00DF4CE5" w:rsidRDefault="00DB76CD" w:rsidP="00DB76CD">
            <w:pPr>
              <w:spacing w:after="0" w:line="240" w:lineRule="atLeast"/>
              <w:rPr>
                <w:rFonts w:ascii="Cambria" w:eastAsia="Times New Roman" w:hAnsi="Cambria" w:cs="Calibri"/>
                <w:lang w:val="hr-HR"/>
              </w:rPr>
            </w:pPr>
            <w:r w:rsidRPr="00DF4CE5">
              <w:rPr>
                <w:rFonts w:ascii="Cambria" w:eastAsia="Times New Roman" w:hAnsi="Cambria" w:cs="Calibri"/>
                <w:lang w:val="hr-HR"/>
              </w:rPr>
              <w:t> 60</w:t>
            </w:r>
          </w:p>
        </w:tc>
        <w:tc>
          <w:tcPr>
            <w:tcW w:w="101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15532E0" w14:textId="77777777" w:rsidR="00DB76CD" w:rsidRPr="00DF4CE5" w:rsidRDefault="00DB76CD" w:rsidP="00DB76CD">
            <w:pPr>
              <w:spacing w:after="0" w:line="240" w:lineRule="atLeast"/>
              <w:rPr>
                <w:rFonts w:ascii="Cambria" w:eastAsia="Times New Roman" w:hAnsi="Cambria" w:cs="Calibri"/>
                <w:lang w:val="hr-HR"/>
              </w:rPr>
            </w:pPr>
            <w:r w:rsidRPr="00DF4CE5">
              <w:rPr>
                <w:rFonts w:ascii="Cambria" w:eastAsia="Times New Roman" w:hAnsi="Cambria" w:cs="Calibri"/>
                <w:lang w:val="hr-HR"/>
              </w:rPr>
              <w:t xml:space="preserve">  2</w:t>
            </w:r>
          </w:p>
        </w:tc>
        <w:tc>
          <w:tcPr>
            <w:tcW w:w="132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C8D8A5A" w14:textId="77777777" w:rsidR="00DB76CD" w:rsidRPr="00DF4CE5" w:rsidRDefault="00DB76CD" w:rsidP="00DB76CD">
            <w:pPr>
              <w:spacing w:after="0" w:line="240" w:lineRule="atLeast"/>
              <w:rPr>
                <w:rFonts w:ascii="Cambria" w:eastAsia="Times New Roman" w:hAnsi="Cambria" w:cs="Calibri"/>
                <w:lang w:val="hr-HR"/>
              </w:rPr>
            </w:pPr>
            <w:r w:rsidRPr="00DF4CE5">
              <w:rPr>
                <w:rFonts w:ascii="Cambria" w:eastAsia="Times New Roman" w:hAnsi="Cambria" w:cs="Calibri"/>
                <w:lang w:val="hr-HR"/>
              </w:rPr>
              <w:t> 25%+25%</w:t>
            </w:r>
          </w:p>
        </w:tc>
      </w:tr>
      <w:tr w:rsidR="00DB76CD" w:rsidRPr="00DF4CE5" w14:paraId="331AE17D" w14:textId="77777777" w:rsidTr="00DB76CD">
        <w:tc>
          <w:tcPr>
            <w:tcW w:w="2615" w:type="dxa"/>
            <w:vMerge/>
            <w:tcBorders>
              <w:left w:val="single" w:sz="8" w:space="0" w:color="000000"/>
              <w:right w:val="single" w:sz="8" w:space="0" w:color="000000"/>
            </w:tcBorders>
            <w:vAlign w:val="center"/>
            <w:hideMark/>
          </w:tcPr>
          <w:p w14:paraId="4CC1CE35" w14:textId="77777777" w:rsidR="00DB76CD" w:rsidRPr="00DF4CE5" w:rsidRDefault="00DB76CD" w:rsidP="00DB76CD">
            <w:pPr>
              <w:spacing w:after="0" w:line="240" w:lineRule="atLeast"/>
              <w:rPr>
                <w:rFonts w:ascii="Cambria" w:eastAsia="Times New Roman" w:hAnsi="Cambria" w:cs="Calibri"/>
                <w:lang w:val="hr-HR"/>
              </w:rPr>
            </w:pPr>
          </w:p>
        </w:tc>
        <w:tc>
          <w:tcPr>
            <w:tcW w:w="3672"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210ACB5" w14:textId="3F837563" w:rsidR="00DB76CD" w:rsidRPr="00DF4CE5" w:rsidRDefault="00CB02F8" w:rsidP="00DB76CD">
            <w:pPr>
              <w:spacing w:after="0" w:line="240" w:lineRule="atLeast"/>
              <w:rPr>
                <w:rFonts w:ascii="Cambria" w:eastAsia="Times New Roman" w:hAnsi="Cambria" w:cs="Calibri"/>
                <w:lang w:val="hr-HR"/>
              </w:rPr>
            </w:pPr>
            <w:r w:rsidRPr="00DF4CE5">
              <w:rPr>
                <w:rFonts w:ascii="Cambria" w:eastAsia="Times New Roman" w:hAnsi="Cambria" w:cs="Calibri"/>
                <w:lang w:val="hr-HR"/>
              </w:rPr>
              <w:t>U</w:t>
            </w:r>
            <w:r w:rsidR="00DB76CD" w:rsidRPr="00DF4CE5">
              <w:rPr>
                <w:rFonts w:ascii="Cambria" w:eastAsia="Times New Roman" w:hAnsi="Cambria" w:cs="Calibri"/>
                <w:lang w:val="hr-HR"/>
              </w:rPr>
              <w:t>kupno</w:t>
            </w:r>
          </w:p>
        </w:tc>
        <w:tc>
          <w:tcPr>
            <w:tcW w:w="72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4BE7359" w14:textId="77777777" w:rsidR="00DB76CD" w:rsidRPr="00DF4CE5" w:rsidRDefault="00DB76CD" w:rsidP="00DB76CD">
            <w:pPr>
              <w:spacing w:after="0" w:line="240" w:lineRule="atLeast"/>
              <w:rPr>
                <w:rFonts w:ascii="Cambria" w:eastAsia="Times New Roman" w:hAnsi="Cambria" w:cs="Calibri"/>
                <w:lang w:val="hr-HR"/>
              </w:rPr>
            </w:pPr>
            <w:r w:rsidRPr="00DF4CE5">
              <w:rPr>
                <w:rFonts w:ascii="Cambria" w:eastAsia="Times New Roman" w:hAnsi="Cambria" w:cs="Calibri"/>
                <w:lang w:val="hr-HR"/>
              </w:rPr>
              <w:t>150</w:t>
            </w:r>
          </w:p>
        </w:tc>
        <w:tc>
          <w:tcPr>
            <w:tcW w:w="101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95BDDC5" w14:textId="77777777" w:rsidR="00DB76CD" w:rsidRPr="00DF4CE5" w:rsidRDefault="00DB76CD" w:rsidP="00DB76CD">
            <w:pPr>
              <w:spacing w:after="0" w:line="240" w:lineRule="atLeast"/>
              <w:rPr>
                <w:rFonts w:ascii="Cambria" w:eastAsia="Times New Roman" w:hAnsi="Cambria" w:cs="Calibri"/>
                <w:lang w:val="hr-HR"/>
              </w:rPr>
            </w:pPr>
            <w:r w:rsidRPr="00DF4CE5">
              <w:rPr>
                <w:rFonts w:ascii="Cambria" w:eastAsia="Times New Roman" w:hAnsi="Cambria" w:cs="Calibri"/>
                <w:lang w:val="hr-HR"/>
              </w:rPr>
              <w:t xml:space="preserve">  5</w:t>
            </w:r>
          </w:p>
        </w:tc>
        <w:tc>
          <w:tcPr>
            <w:tcW w:w="132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457B080" w14:textId="77777777" w:rsidR="00DB76CD" w:rsidRPr="00DF4CE5" w:rsidRDefault="00DB76CD" w:rsidP="00DB76CD">
            <w:pPr>
              <w:spacing w:after="0" w:line="240" w:lineRule="atLeast"/>
              <w:rPr>
                <w:rFonts w:ascii="Cambria" w:eastAsia="Times New Roman" w:hAnsi="Cambria" w:cs="Calibri"/>
                <w:lang w:val="hr-HR"/>
              </w:rPr>
            </w:pPr>
            <w:r w:rsidRPr="00DF4CE5">
              <w:rPr>
                <w:rFonts w:ascii="Cambria" w:eastAsia="Times New Roman" w:hAnsi="Cambria" w:cs="Calibri"/>
                <w:lang w:val="hr-HR"/>
              </w:rPr>
              <w:t>100%</w:t>
            </w:r>
          </w:p>
        </w:tc>
      </w:tr>
      <w:tr w:rsidR="00DB76CD" w:rsidRPr="00D0399C" w14:paraId="0DE8B034" w14:textId="77777777" w:rsidTr="00DB76CD">
        <w:tc>
          <w:tcPr>
            <w:tcW w:w="261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9493AB9" w14:textId="77777777" w:rsidR="00DB76CD" w:rsidRPr="00DF4CE5" w:rsidRDefault="00DB76CD" w:rsidP="00DB76CD">
            <w:pPr>
              <w:spacing w:after="0" w:line="240" w:lineRule="atLeast"/>
              <w:rPr>
                <w:rFonts w:ascii="Cambria" w:eastAsia="Times New Roman" w:hAnsi="Cambria" w:cs="Calibri"/>
                <w:lang w:val="hr-HR"/>
              </w:rPr>
            </w:pPr>
            <w:r w:rsidRPr="00DF4CE5">
              <w:rPr>
                <w:rFonts w:ascii="Cambria" w:eastAsia="Times New Roman" w:hAnsi="Cambria" w:cs="Calibri"/>
                <w:lang w:val="hr-HR"/>
              </w:rPr>
              <w:t>Studentske obveze</w:t>
            </w:r>
          </w:p>
        </w:tc>
        <w:tc>
          <w:tcPr>
            <w:tcW w:w="672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95E9B87" w14:textId="77777777" w:rsidR="00DB76CD" w:rsidRPr="00DF4CE5" w:rsidRDefault="00DB76CD" w:rsidP="00DB76CD">
            <w:pPr>
              <w:spacing w:after="0" w:line="240" w:lineRule="atLeast"/>
              <w:rPr>
                <w:rFonts w:ascii="Cambria" w:eastAsia="Times New Roman" w:hAnsi="Cambria" w:cs="Calibri"/>
                <w:lang w:val="hr-HR"/>
              </w:rPr>
            </w:pPr>
            <w:r w:rsidRPr="00DF4CE5">
              <w:rPr>
                <w:rFonts w:ascii="Cambria" w:eastAsia="Times New Roman" w:hAnsi="Cambria" w:cs="Calibri"/>
                <w:lang w:val="hr-HR"/>
              </w:rPr>
              <w:t>Da položi kolegij, student/studentica mora:</w:t>
            </w:r>
          </w:p>
          <w:p w14:paraId="3D817F75" w14:textId="6EC05854" w:rsidR="00DB76CD" w:rsidRPr="00DF4CE5" w:rsidRDefault="00DB76CD" w:rsidP="00DB76CD">
            <w:pPr>
              <w:spacing w:after="0" w:line="240" w:lineRule="atLeast"/>
              <w:rPr>
                <w:rFonts w:ascii="Cambria" w:eastAsia="Times New Roman" w:hAnsi="Cambria" w:cs="Calibri"/>
                <w:lang w:val="hr-HR"/>
              </w:rPr>
            </w:pPr>
            <w:r w:rsidRPr="00DF4CE5">
              <w:rPr>
                <w:rFonts w:ascii="Cambria" w:eastAsia="Times New Roman" w:hAnsi="Cambria" w:cs="Calibri"/>
                <w:lang w:val="hr-HR"/>
              </w:rPr>
              <w:t xml:space="preserve">1. </w:t>
            </w:r>
            <w:r w:rsidR="000D37F8">
              <w:rPr>
                <w:rFonts w:ascii="Cambria" w:eastAsia="Times New Roman" w:hAnsi="Cambria" w:cs="Calibri"/>
                <w:lang w:val="hr-HR"/>
              </w:rPr>
              <w:t>p</w:t>
            </w:r>
            <w:r w:rsidRPr="00DF4CE5">
              <w:rPr>
                <w:rFonts w:ascii="Cambria" w:eastAsia="Times New Roman" w:hAnsi="Cambria" w:cs="Calibri"/>
                <w:lang w:val="hr-HR"/>
              </w:rPr>
              <w:t>ohađati nastavu</w:t>
            </w:r>
          </w:p>
          <w:p w14:paraId="2C037742" w14:textId="211D0A6F" w:rsidR="00DB76CD" w:rsidRPr="00DF4CE5" w:rsidRDefault="00DB76CD" w:rsidP="00DB76CD">
            <w:pPr>
              <w:spacing w:after="0" w:line="240" w:lineRule="atLeast"/>
              <w:rPr>
                <w:rFonts w:ascii="Cambria" w:eastAsia="Times New Roman" w:hAnsi="Cambria" w:cs="Calibri"/>
                <w:lang w:val="hr-HR"/>
              </w:rPr>
            </w:pPr>
            <w:r w:rsidRPr="00DF4CE5">
              <w:rPr>
                <w:rFonts w:ascii="Cambria" w:eastAsia="Times New Roman" w:hAnsi="Cambria" w:cs="Calibri"/>
                <w:lang w:val="hr-HR"/>
              </w:rPr>
              <w:t xml:space="preserve">2. </w:t>
            </w:r>
            <w:r w:rsidR="000D37F8">
              <w:rPr>
                <w:rFonts w:ascii="Cambria" w:eastAsia="Times New Roman" w:hAnsi="Cambria" w:cs="Calibri"/>
                <w:lang w:val="hr-HR"/>
              </w:rPr>
              <w:t>p</w:t>
            </w:r>
            <w:r w:rsidRPr="00DF4CE5">
              <w:rPr>
                <w:rFonts w:ascii="Cambria" w:eastAsia="Times New Roman" w:hAnsi="Cambria" w:cs="Calibri"/>
                <w:lang w:val="hr-HR"/>
              </w:rPr>
              <w:t>rovesti istraživački zadatak na odabranu temu i usmeno ga prezentirati</w:t>
            </w:r>
          </w:p>
          <w:p w14:paraId="1C02EAF5" w14:textId="03802DA0" w:rsidR="00DB76CD" w:rsidRPr="00DF4CE5" w:rsidRDefault="00DB76CD" w:rsidP="00DB76CD">
            <w:pPr>
              <w:spacing w:after="0" w:line="240" w:lineRule="atLeast"/>
              <w:rPr>
                <w:rFonts w:ascii="Cambria" w:eastAsia="Times New Roman" w:hAnsi="Cambria" w:cs="Calibri"/>
                <w:lang w:val="hr-HR"/>
              </w:rPr>
            </w:pPr>
            <w:r w:rsidRPr="00DF4CE5">
              <w:rPr>
                <w:rFonts w:ascii="Cambria" w:eastAsia="Times New Roman" w:hAnsi="Cambria" w:cs="Calibri"/>
                <w:lang w:val="hr-HR"/>
              </w:rPr>
              <w:lastRenderedPageBreak/>
              <w:t xml:space="preserve">3. </w:t>
            </w:r>
            <w:r w:rsidR="000D37F8">
              <w:rPr>
                <w:rFonts w:ascii="Cambria" w:eastAsia="Times New Roman" w:hAnsi="Cambria" w:cs="Calibri"/>
                <w:lang w:val="hr-HR"/>
              </w:rPr>
              <w:t>i</w:t>
            </w:r>
            <w:r w:rsidRPr="00DF4CE5">
              <w:rPr>
                <w:rFonts w:ascii="Cambria" w:eastAsia="Times New Roman" w:hAnsi="Cambria" w:cs="Calibri"/>
                <w:lang w:val="hr-HR"/>
              </w:rPr>
              <w:t>zraditi samostalan zadatak</w:t>
            </w:r>
          </w:p>
          <w:p w14:paraId="36FC7386" w14:textId="5E402543" w:rsidR="00DB76CD" w:rsidRPr="00DF4CE5" w:rsidRDefault="00DB76CD" w:rsidP="00DB76CD">
            <w:pPr>
              <w:spacing w:after="0" w:line="240" w:lineRule="atLeast"/>
              <w:rPr>
                <w:rFonts w:ascii="Cambria" w:eastAsia="Times New Roman" w:hAnsi="Cambria" w:cs="Calibri"/>
                <w:lang w:val="hr-HR"/>
              </w:rPr>
            </w:pPr>
            <w:r w:rsidRPr="00DF4CE5">
              <w:rPr>
                <w:rFonts w:ascii="Cambria" w:eastAsia="Times New Roman" w:hAnsi="Cambria" w:cs="Calibri"/>
                <w:lang w:val="hr-HR"/>
              </w:rPr>
              <w:t xml:space="preserve">4. </w:t>
            </w:r>
            <w:r w:rsidR="000D37F8">
              <w:rPr>
                <w:rFonts w:ascii="Cambria" w:eastAsia="Times New Roman" w:hAnsi="Cambria" w:cs="Calibri"/>
                <w:lang w:val="hr-HR"/>
              </w:rPr>
              <w:t>p</w:t>
            </w:r>
            <w:r w:rsidRPr="00DF4CE5">
              <w:rPr>
                <w:rFonts w:ascii="Cambria" w:eastAsia="Times New Roman" w:hAnsi="Cambria" w:cs="Calibri"/>
                <w:lang w:val="hr-HR"/>
              </w:rPr>
              <w:t>oložiti dva kolokvija koja se pišu tijekom nastave ili pismeni ispit.</w:t>
            </w:r>
          </w:p>
        </w:tc>
      </w:tr>
      <w:tr w:rsidR="00DB76CD" w:rsidRPr="00D0399C" w14:paraId="57FD70CD" w14:textId="77777777" w:rsidTr="00DB76CD">
        <w:tc>
          <w:tcPr>
            <w:tcW w:w="261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2BC6A2C" w14:textId="77777777" w:rsidR="00DB76CD" w:rsidRPr="00DF4CE5" w:rsidRDefault="00DB76CD" w:rsidP="00DB76CD">
            <w:pPr>
              <w:spacing w:after="0" w:line="240" w:lineRule="atLeast"/>
              <w:rPr>
                <w:rFonts w:ascii="Cambria" w:eastAsia="Times New Roman" w:hAnsi="Cambria" w:cs="Calibri"/>
                <w:lang w:val="hr-HR"/>
              </w:rPr>
            </w:pPr>
            <w:proofErr w:type="spellStart"/>
            <w:r w:rsidRPr="00DF4CE5">
              <w:rPr>
                <w:rFonts w:ascii="Cambria" w:eastAsia="Times New Roman" w:hAnsi="Cambria" w:cs="Calibri"/>
              </w:rPr>
              <w:lastRenderedPageBreak/>
              <w:t>Rokovi</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ispita</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i</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kolokvija</w:t>
            </w:r>
            <w:proofErr w:type="spellEnd"/>
          </w:p>
        </w:tc>
        <w:tc>
          <w:tcPr>
            <w:tcW w:w="672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141E511" w14:textId="77777777" w:rsidR="00DB76CD" w:rsidRPr="00DF4CE5" w:rsidRDefault="00DB76CD" w:rsidP="00DB76CD">
            <w:pPr>
              <w:spacing w:after="0" w:line="240" w:lineRule="atLeast"/>
              <w:rPr>
                <w:rFonts w:ascii="Cambria" w:eastAsia="Times New Roman" w:hAnsi="Cambria" w:cs="Calibri"/>
                <w:lang w:val="hr-HR"/>
              </w:rPr>
            </w:pPr>
            <w:r w:rsidRPr="00DF4CE5">
              <w:rPr>
                <w:rFonts w:ascii="Cambria" w:eastAsia="Times New Roman" w:hAnsi="Cambria" w:cs="Calibri"/>
                <w:lang w:val="hr-HR"/>
              </w:rPr>
              <w:t>Rokovi ispita se objavljuju na početku akademske godine na mrežnim stranicama Sveučilišta i u ISVU sustavu.</w:t>
            </w:r>
          </w:p>
        </w:tc>
      </w:tr>
      <w:tr w:rsidR="00DB76CD" w:rsidRPr="00DF4CE5" w14:paraId="7447700B" w14:textId="77777777" w:rsidTr="00DB76CD">
        <w:tc>
          <w:tcPr>
            <w:tcW w:w="261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0DD4815" w14:textId="77777777" w:rsidR="00DB76CD" w:rsidRPr="00DF4CE5" w:rsidRDefault="00DB76CD" w:rsidP="00DB76CD">
            <w:pPr>
              <w:spacing w:after="0" w:line="240" w:lineRule="atLeast"/>
              <w:rPr>
                <w:rFonts w:ascii="Cambria" w:eastAsia="Times New Roman" w:hAnsi="Cambria" w:cs="Calibri"/>
                <w:lang w:val="hr-HR"/>
              </w:rPr>
            </w:pPr>
            <w:r w:rsidRPr="00DF4CE5">
              <w:rPr>
                <w:rFonts w:ascii="Cambria" w:eastAsia="Times New Roman" w:hAnsi="Cambria" w:cs="Calibri"/>
                <w:lang w:val="hr-HR"/>
              </w:rPr>
              <w:t>Ostale važne činjenice vezane uz kolegij</w:t>
            </w:r>
          </w:p>
        </w:tc>
        <w:tc>
          <w:tcPr>
            <w:tcW w:w="672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4232A3E" w14:textId="77777777" w:rsidR="00DB76CD" w:rsidRPr="00DF4CE5" w:rsidRDefault="00DB76CD" w:rsidP="00DB76CD">
            <w:pPr>
              <w:spacing w:after="0" w:line="240" w:lineRule="atLeast"/>
              <w:rPr>
                <w:rFonts w:ascii="Cambria" w:eastAsia="Times New Roman" w:hAnsi="Cambria" w:cs="Calibri"/>
                <w:lang w:val="hr-HR"/>
              </w:rPr>
            </w:pPr>
            <w:r w:rsidRPr="00DF4CE5">
              <w:rPr>
                <w:rFonts w:ascii="Cambria" w:eastAsia="Times New Roman" w:hAnsi="Cambria" w:cs="Calibri"/>
                <w:lang w:val="hr-HR"/>
              </w:rPr>
              <w:t>Materijali za predavanja, seminare i samostalne zadatke objavljuju se na portalu za udaljeno učenje (e-učenju).</w:t>
            </w:r>
          </w:p>
          <w:p w14:paraId="4F49731D" w14:textId="77777777" w:rsidR="000D37F8" w:rsidRDefault="00DB76CD" w:rsidP="00DB76CD">
            <w:pPr>
              <w:spacing w:after="0" w:line="240" w:lineRule="atLeast"/>
              <w:rPr>
                <w:rFonts w:ascii="Cambria" w:eastAsia="Times New Roman" w:hAnsi="Cambria" w:cs="Calibri"/>
                <w:lang w:val="hr-HR"/>
              </w:rPr>
            </w:pPr>
            <w:r w:rsidRPr="00DF4CE5">
              <w:rPr>
                <w:rFonts w:ascii="Cambria" w:eastAsia="Times New Roman" w:hAnsi="Cambria" w:cs="Calibri"/>
                <w:lang w:val="hr-HR"/>
              </w:rPr>
              <w:t>Bodovi koje student/studentica postigne izvršavanjem zadataka i položenim kolokvijima vrijede najduže godinu dana nakon odslušanog kolegija.</w:t>
            </w:r>
          </w:p>
          <w:p w14:paraId="4418537B" w14:textId="5DE257A6" w:rsidR="00DB76CD" w:rsidRPr="00DF4CE5" w:rsidRDefault="00DB76CD" w:rsidP="00DB76CD">
            <w:pPr>
              <w:spacing w:after="0" w:line="240" w:lineRule="atLeast"/>
              <w:rPr>
                <w:rFonts w:ascii="Cambria" w:eastAsia="Times New Roman" w:hAnsi="Cambria" w:cs="Calibri"/>
                <w:lang w:val="hr-HR"/>
              </w:rPr>
            </w:pPr>
            <w:r w:rsidRPr="00DF4CE5">
              <w:rPr>
                <w:rFonts w:ascii="Cambria" w:eastAsia="Times New Roman" w:hAnsi="Cambria" w:cs="Calibri"/>
                <w:lang w:val="hr-HR"/>
              </w:rPr>
              <w:t>U slučaju održavanja nastave na daljinu, moguće je odstupanje u: mjestu izvođenja kolegija, provedbi aktivnosti, metoda tumačenja i poučavanja i načinima vrednovanja, studentskim obvezama i dostupnoj literaturi. O tome će nositeljica kolegija i asistentica obavijestiti studente i studentice kad se nastava na daljinu počne održavati. Ishodi učenja ostaju nepromijenjeni.</w:t>
            </w:r>
          </w:p>
        </w:tc>
      </w:tr>
      <w:tr w:rsidR="00DB76CD" w:rsidRPr="00D0399C" w14:paraId="4C5408C9" w14:textId="77777777" w:rsidTr="00DB76CD">
        <w:trPr>
          <w:trHeight w:val="770"/>
        </w:trPr>
        <w:tc>
          <w:tcPr>
            <w:tcW w:w="261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3A25872" w14:textId="77777777" w:rsidR="00DB76CD" w:rsidRPr="00DF4CE5" w:rsidRDefault="00DB76CD" w:rsidP="00DB76CD">
            <w:pPr>
              <w:spacing w:after="0" w:line="240" w:lineRule="atLeast"/>
              <w:rPr>
                <w:rFonts w:ascii="Cambria" w:eastAsia="Times New Roman" w:hAnsi="Cambria" w:cs="Calibri"/>
                <w:lang w:val="hr-HR"/>
              </w:rPr>
            </w:pPr>
            <w:r w:rsidRPr="00DF4CE5">
              <w:rPr>
                <w:rFonts w:ascii="Cambria" w:eastAsia="Times New Roman" w:hAnsi="Cambria" w:cs="Calibri"/>
                <w:lang w:val="hr-HR"/>
              </w:rPr>
              <w:t>Literatura</w:t>
            </w:r>
          </w:p>
        </w:tc>
        <w:tc>
          <w:tcPr>
            <w:tcW w:w="6727"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3627F065" w14:textId="77777777" w:rsidR="00DB76CD" w:rsidRPr="00DF4CE5" w:rsidRDefault="00DB76CD" w:rsidP="00DB76CD">
            <w:pPr>
              <w:spacing w:after="0" w:line="240" w:lineRule="atLeast"/>
              <w:rPr>
                <w:rFonts w:ascii="Cambria" w:eastAsia="Times New Roman" w:hAnsi="Cambria" w:cs="Calibri"/>
                <w:lang w:val="hr-HR"/>
              </w:rPr>
            </w:pPr>
            <w:r w:rsidRPr="00DF4CE5">
              <w:rPr>
                <w:rFonts w:ascii="Cambria" w:eastAsia="Times New Roman" w:hAnsi="Cambria" w:cs="Calibri"/>
                <w:lang w:val="hr-HR"/>
              </w:rPr>
              <w:t xml:space="preserve">Obvezna: </w:t>
            </w:r>
          </w:p>
          <w:p w14:paraId="353E2A95" w14:textId="77777777" w:rsidR="00DB76CD" w:rsidRPr="00DF4CE5" w:rsidRDefault="00DB76CD" w:rsidP="00DB76CD">
            <w:pPr>
              <w:autoSpaceDE w:val="0"/>
              <w:autoSpaceDN w:val="0"/>
              <w:adjustRightInd w:val="0"/>
              <w:spacing w:after="0" w:line="240" w:lineRule="atLeast"/>
              <w:rPr>
                <w:rFonts w:ascii="Cambria" w:eastAsia="Times New Roman" w:hAnsi="Cambria" w:cs="Calibri"/>
                <w:lang w:val="hr-HR" w:eastAsia="hr-HR"/>
              </w:rPr>
            </w:pPr>
            <w:r w:rsidRPr="00DF4CE5">
              <w:rPr>
                <w:rFonts w:ascii="Cambria" w:eastAsia="Times New Roman" w:hAnsi="Cambria" w:cs="Calibri"/>
                <w:lang w:val="hr-HR" w:eastAsia="hr-HR"/>
              </w:rPr>
              <w:t>1. E. Bari</w:t>
            </w:r>
            <w:r w:rsidRPr="00DF4CE5">
              <w:rPr>
                <w:rFonts w:ascii="Cambria" w:eastAsia="TimesNewRoman" w:hAnsi="Cambria" w:cs="Calibri"/>
                <w:lang w:val="hr-HR" w:eastAsia="hr-HR"/>
              </w:rPr>
              <w:t xml:space="preserve">ć </w:t>
            </w:r>
            <w:r w:rsidRPr="00DF4CE5">
              <w:rPr>
                <w:rFonts w:ascii="Cambria" w:eastAsia="Times New Roman" w:hAnsi="Cambria" w:cs="Calibri"/>
                <w:lang w:val="hr-HR" w:eastAsia="hr-HR"/>
              </w:rPr>
              <w:t xml:space="preserve">i dr.: </w:t>
            </w:r>
            <w:r w:rsidRPr="00DF4CE5">
              <w:rPr>
                <w:rFonts w:ascii="Cambria" w:eastAsia="Times New Roman" w:hAnsi="Cambria" w:cs="Calibri"/>
                <w:iCs/>
                <w:lang w:val="hr-HR" w:eastAsia="hr-HR"/>
              </w:rPr>
              <w:t>Hrvatska gramatika</w:t>
            </w:r>
            <w:r w:rsidRPr="00DF4CE5">
              <w:rPr>
                <w:rFonts w:ascii="Cambria" w:eastAsia="Times New Roman" w:hAnsi="Cambria" w:cs="Calibri"/>
                <w:lang w:val="hr-HR" w:eastAsia="hr-HR"/>
              </w:rPr>
              <w:t>, ŠK, Zagreb, 1997.</w:t>
            </w:r>
          </w:p>
          <w:p w14:paraId="2CF47271" w14:textId="77777777" w:rsidR="00DB76CD" w:rsidRPr="00DF4CE5" w:rsidRDefault="00DB76CD" w:rsidP="00DB76CD">
            <w:pPr>
              <w:autoSpaceDE w:val="0"/>
              <w:autoSpaceDN w:val="0"/>
              <w:adjustRightInd w:val="0"/>
              <w:spacing w:after="0" w:line="240" w:lineRule="atLeast"/>
              <w:rPr>
                <w:rFonts w:ascii="Cambria" w:eastAsia="Times New Roman" w:hAnsi="Cambria" w:cs="Calibri"/>
                <w:lang w:val="hr-HR"/>
              </w:rPr>
            </w:pPr>
            <w:r w:rsidRPr="00DF4CE5">
              <w:rPr>
                <w:rFonts w:ascii="Cambria" w:eastAsia="Calibri" w:hAnsi="Cambria" w:cs="Calibri"/>
                <w:lang w:val="hr-HR"/>
              </w:rPr>
              <w:t>2. E. Barić i dr. : Hrvatski jezični savjetnik, Institut za hrvatski jezik i jezikoslovlje, Zagreb, 1999.</w:t>
            </w:r>
          </w:p>
          <w:p w14:paraId="38D72A80" w14:textId="77777777" w:rsidR="00DB76CD" w:rsidRPr="00DF4CE5" w:rsidRDefault="00DB76CD" w:rsidP="00DB76CD">
            <w:pPr>
              <w:autoSpaceDE w:val="0"/>
              <w:autoSpaceDN w:val="0"/>
              <w:adjustRightInd w:val="0"/>
              <w:spacing w:after="0" w:line="240" w:lineRule="atLeast"/>
              <w:rPr>
                <w:rFonts w:ascii="Cambria" w:eastAsia="Times New Roman" w:hAnsi="Cambria" w:cs="Calibri"/>
                <w:lang w:val="hr-HR" w:eastAsia="hr-HR"/>
              </w:rPr>
            </w:pPr>
            <w:r w:rsidRPr="00DF4CE5">
              <w:rPr>
                <w:rFonts w:ascii="Cambria" w:eastAsia="Times New Roman" w:hAnsi="Cambria" w:cs="Calibri"/>
                <w:lang w:val="hr-HR" w:eastAsia="hr-HR"/>
              </w:rPr>
              <w:t>3. J. Sili</w:t>
            </w:r>
            <w:r w:rsidRPr="00DF4CE5">
              <w:rPr>
                <w:rFonts w:ascii="Cambria" w:eastAsia="TimesNewRoman" w:hAnsi="Cambria" w:cs="Calibri"/>
                <w:lang w:val="hr-HR" w:eastAsia="hr-HR"/>
              </w:rPr>
              <w:t>ć</w:t>
            </w:r>
            <w:r w:rsidRPr="00DF4CE5">
              <w:rPr>
                <w:rFonts w:ascii="Cambria" w:eastAsia="Times New Roman" w:hAnsi="Cambria" w:cs="Calibri"/>
                <w:lang w:val="hr-HR" w:eastAsia="hr-HR"/>
              </w:rPr>
              <w:t>, I. Pranjkovi</w:t>
            </w:r>
            <w:r w:rsidRPr="00DF4CE5">
              <w:rPr>
                <w:rFonts w:ascii="Cambria" w:eastAsia="TimesNewRoman" w:hAnsi="Cambria" w:cs="Calibri"/>
                <w:lang w:val="hr-HR" w:eastAsia="hr-HR"/>
              </w:rPr>
              <w:t>ć</w:t>
            </w:r>
            <w:r w:rsidRPr="00DF4CE5">
              <w:rPr>
                <w:rFonts w:ascii="Cambria" w:eastAsia="Times New Roman" w:hAnsi="Cambria" w:cs="Calibri"/>
                <w:lang w:val="hr-HR" w:eastAsia="hr-HR"/>
              </w:rPr>
              <w:t xml:space="preserve">: </w:t>
            </w:r>
            <w:r w:rsidRPr="00DF4CE5">
              <w:rPr>
                <w:rFonts w:ascii="Cambria" w:eastAsia="Times New Roman" w:hAnsi="Cambria" w:cs="Calibri"/>
                <w:iCs/>
                <w:lang w:val="hr-HR" w:eastAsia="hr-HR"/>
              </w:rPr>
              <w:t>Gramatika hrvatskoga jezika</w:t>
            </w:r>
            <w:r w:rsidRPr="00DF4CE5">
              <w:rPr>
                <w:rFonts w:ascii="Cambria" w:eastAsia="Times New Roman" w:hAnsi="Cambria" w:cs="Calibri"/>
                <w:lang w:val="hr-HR" w:eastAsia="hr-HR"/>
              </w:rPr>
              <w:t>, Školska knjiga, Zagreb, 2005.</w:t>
            </w:r>
          </w:p>
          <w:p w14:paraId="318634FC" w14:textId="77777777" w:rsidR="00DB76CD" w:rsidRPr="00DF4CE5" w:rsidRDefault="00DB76CD" w:rsidP="00DB76CD">
            <w:pPr>
              <w:spacing w:after="0" w:line="240" w:lineRule="atLeast"/>
              <w:rPr>
                <w:rFonts w:ascii="Cambria" w:eastAsia="Times New Roman" w:hAnsi="Cambria" w:cs="Calibri"/>
                <w:lang w:val="hr-HR"/>
              </w:rPr>
            </w:pPr>
            <w:r w:rsidRPr="00DF4CE5">
              <w:rPr>
                <w:rFonts w:ascii="Cambria" w:eastAsia="Times New Roman" w:hAnsi="Cambria" w:cs="Calibri"/>
                <w:lang w:val="hr-HR"/>
              </w:rPr>
              <w:t>Izborna:</w:t>
            </w:r>
          </w:p>
          <w:p w14:paraId="04AB8224" w14:textId="77777777" w:rsidR="00DB76CD" w:rsidRPr="00DF4CE5" w:rsidRDefault="00DB76CD" w:rsidP="00DB76CD">
            <w:pPr>
              <w:autoSpaceDE w:val="0"/>
              <w:autoSpaceDN w:val="0"/>
              <w:adjustRightInd w:val="0"/>
              <w:spacing w:after="0" w:line="240" w:lineRule="atLeast"/>
              <w:rPr>
                <w:rFonts w:ascii="Cambria" w:eastAsia="Calibri" w:hAnsi="Cambria" w:cs="Calibri"/>
                <w:lang w:val="hr-HR" w:eastAsia="hr-HR"/>
              </w:rPr>
            </w:pPr>
            <w:r w:rsidRPr="00DF4CE5">
              <w:rPr>
                <w:rFonts w:ascii="Cambria" w:eastAsia="Calibri" w:hAnsi="Cambria" w:cs="Calibri"/>
                <w:lang w:val="hr-HR" w:eastAsia="hr-HR"/>
              </w:rPr>
              <w:t>1. V. Anić: Veliki rječnik hrvatskoga jezika, NL, Zagreb, 2003.</w:t>
            </w:r>
          </w:p>
          <w:p w14:paraId="42AC4358" w14:textId="77777777" w:rsidR="00DB76CD" w:rsidRPr="00DF4CE5" w:rsidRDefault="00DB76CD" w:rsidP="00DB76CD">
            <w:pPr>
              <w:autoSpaceDE w:val="0"/>
              <w:autoSpaceDN w:val="0"/>
              <w:adjustRightInd w:val="0"/>
              <w:spacing w:after="0" w:line="240" w:lineRule="atLeast"/>
              <w:rPr>
                <w:rFonts w:ascii="Cambria" w:eastAsia="Calibri" w:hAnsi="Cambria" w:cs="Calibri"/>
                <w:lang w:val="hr-HR" w:eastAsia="hr-HR"/>
              </w:rPr>
            </w:pPr>
            <w:r w:rsidRPr="00DF4CE5">
              <w:rPr>
                <w:rFonts w:ascii="Cambria" w:eastAsia="Calibri" w:hAnsi="Cambria" w:cs="Calibri"/>
                <w:lang w:val="hr-HR" w:eastAsia="hr-HR"/>
              </w:rPr>
              <w:t xml:space="preserve">2.  A. Bičanić i dr. : A. </w:t>
            </w:r>
            <w:proofErr w:type="spellStart"/>
            <w:r w:rsidRPr="00DF4CE5">
              <w:rPr>
                <w:rFonts w:ascii="Cambria" w:eastAsia="Calibri" w:hAnsi="Cambria" w:cs="Calibri"/>
                <w:lang w:val="hr-HR" w:eastAsia="hr-HR"/>
              </w:rPr>
              <w:t>Frančić</w:t>
            </w:r>
            <w:proofErr w:type="spellEnd"/>
            <w:r w:rsidRPr="00DF4CE5">
              <w:rPr>
                <w:rFonts w:ascii="Cambria" w:eastAsia="Calibri" w:hAnsi="Cambria" w:cs="Calibri"/>
                <w:lang w:val="hr-HR" w:eastAsia="hr-HR"/>
              </w:rPr>
              <w:t xml:space="preserve">, L. Hudeček, M. Mihaljević: Pregled povijesti, gramatike i pravopisa hrvatskoga jezika, </w:t>
            </w:r>
            <w:proofErr w:type="spellStart"/>
            <w:r w:rsidRPr="00DF4CE5">
              <w:rPr>
                <w:rFonts w:ascii="Cambria" w:eastAsia="Calibri" w:hAnsi="Cambria" w:cs="Calibri"/>
                <w:lang w:val="hr-HR" w:eastAsia="hr-HR"/>
              </w:rPr>
              <w:t>Croatica</w:t>
            </w:r>
            <w:proofErr w:type="spellEnd"/>
            <w:r w:rsidRPr="00DF4CE5">
              <w:rPr>
                <w:rFonts w:ascii="Cambria" w:eastAsia="Calibri" w:hAnsi="Cambria" w:cs="Calibri"/>
                <w:lang w:val="hr-HR" w:eastAsia="hr-HR"/>
              </w:rPr>
              <w:t>, Zagreb, 2013.</w:t>
            </w:r>
          </w:p>
          <w:p w14:paraId="65A05D82" w14:textId="77777777" w:rsidR="00DB76CD" w:rsidRPr="00DF4CE5" w:rsidRDefault="00DB76CD" w:rsidP="00DB76CD">
            <w:pPr>
              <w:autoSpaceDE w:val="0"/>
              <w:autoSpaceDN w:val="0"/>
              <w:adjustRightInd w:val="0"/>
              <w:spacing w:after="0" w:line="240" w:lineRule="atLeast"/>
              <w:rPr>
                <w:rFonts w:ascii="Cambria" w:eastAsia="Calibri" w:hAnsi="Cambria" w:cs="Calibri"/>
                <w:lang w:val="hr-HR" w:eastAsia="hr-HR"/>
              </w:rPr>
            </w:pPr>
            <w:r w:rsidRPr="00DF4CE5">
              <w:rPr>
                <w:rFonts w:ascii="Cambria" w:eastAsia="Calibri" w:hAnsi="Cambria" w:cs="Calibri"/>
                <w:lang w:val="hr-HR" w:eastAsia="hr-HR"/>
              </w:rPr>
              <w:t xml:space="preserve">3. </w:t>
            </w:r>
            <w:proofErr w:type="spellStart"/>
            <w:r w:rsidRPr="00DF4CE5">
              <w:rPr>
                <w:rFonts w:ascii="Cambria" w:eastAsia="Calibri" w:hAnsi="Cambria" w:cs="Calibri"/>
                <w:lang w:val="hr-HR" w:eastAsia="hr-HR"/>
              </w:rPr>
              <w:t>Birtić</w:t>
            </w:r>
            <w:proofErr w:type="spellEnd"/>
            <w:r w:rsidRPr="00DF4CE5">
              <w:rPr>
                <w:rFonts w:ascii="Cambria" w:eastAsia="Calibri" w:hAnsi="Cambria" w:cs="Calibri"/>
                <w:lang w:val="hr-HR" w:eastAsia="hr-HR"/>
              </w:rPr>
              <w:t>, M i dr.: Školski rječnik hrvatskoga jezika, ŠK, IHJJ, Zagreb, 2012.</w:t>
            </w:r>
          </w:p>
          <w:p w14:paraId="54303C8F" w14:textId="77777777" w:rsidR="00DB76CD" w:rsidRPr="00DF4CE5" w:rsidRDefault="00DB76CD" w:rsidP="00DB76CD">
            <w:pPr>
              <w:autoSpaceDE w:val="0"/>
              <w:autoSpaceDN w:val="0"/>
              <w:adjustRightInd w:val="0"/>
              <w:spacing w:after="0" w:line="240" w:lineRule="atLeast"/>
              <w:rPr>
                <w:rFonts w:ascii="Cambria" w:eastAsia="Calibri" w:hAnsi="Cambria" w:cs="Calibri"/>
                <w:lang w:val="hr-HR" w:eastAsia="hr-HR"/>
              </w:rPr>
            </w:pPr>
            <w:r w:rsidRPr="00DF4CE5">
              <w:rPr>
                <w:rFonts w:ascii="Cambria" w:eastAsia="Calibri" w:hAnsi="Cambria" w:cs="Calibri"/>
                <w:lang w:val="hr-HR" w:eastAsia="hr-HR"/>
              </w:rPr>
              <w:t xml:space="preserve">4. D. Dujmović </w:t>
            </w:r>
            <w:proofErr w:type="spellStart"/>
            <w:r w:rsidRPr="00DF4CE5">
              <w:rPr>
                <w:rFonts w:ascii="Cambria" w:eastAsia="Calibri" w:hAnsi="Cambria" w:cs="Calibri"/>
                <w:lang w:val="hr-HR" w:eastAsia="hr-HR"/>
              </w:rPr>
              <w:t>Markusi</w:t>
            </w:r>
            <w:proofErr w:type="spellEnd"/>
            <w:r w:rsidRPr="00DF4CE5">
              <w:rPr>
                <w:rFonts w:ascii="Cambria" w:eastAsia="Calibri" w:hAnsi="Cambria" w:cs="Calibri"/>
                <w:lang w:val="hr-HR" w:eastAsia="hr-HR"/>
              </w:rPr>
              <w:t>, T. Pavić-</w:t>
            </w:r>
            <w:proofErr w:type="spellStart"/>
            <w:r w:rsidRPr="00DF4CE5">
              <w:rPr>
                <w:rFonts w:ascii="Cambria" w:eastAsia="Calibri" w:hAnsi="Cambria" w:cs="Calibri"/>
                <w:lang w:val="hr-HR" w:eastAsia="hr-HR"/>
              </w:rPr>
              <w:t>Pezer</w:t>
            </w:r>
            <w:proofErr w:type="spellEnd"/>
            <w:r w:rsidRPr="00DF4CE5">
              <w:rPr>
                <w:rFonts w:ascii="Cambria" w:eastAsia="Calibri" w:hAnsi="Cambria" w:cs="Calibri"/>
                <w:lang w:val="hr-HR" w:eastAsia="hr-HR"/>
              </w:rPr>
              <w:t xml:space="preserve">: Fon </w:t>
            </w:r>
            <w:proofErr w:type="spellStart"/>
            <w:r w:rsidRPr="00DF4CE5">
              <w:rPr>
                <w:rFonts w:ascii="Cambria" w:eastAsia="Calibri" w:hAnsi="Cambria" w:cs="Calibri"/>
                <w:lang w:val="hr-HR" w:eastAsia="hr-HR"/>
              </w:rPr>
              <w:t>Fon</w:t>
            </w:r>
            <w:proofErr w:type="spellEnd"/>
            <w:r w:rsidRPr="00DF4CE5">
              <w:rPr>
                <w:rFonts w:ascii="Cambria" w:eastAsia="Calibri" w:hAnsi="Cambria" w:cs="Calibri"/>
                <w:lang w:val="hr-HR" w:eastAsia="hr-HR"/>
              </w:rPr>
              <w:t xml:space="preserve"> 4: Udžbenik hrvatskoga jezika za 4. razred gimnazije, Profil </w:t>
            </w:r>
            <w:proofErr w:type="spellStart"/>
            <w:r w:rsidRPr="00DF4CE5">
              <w:rPr>
                <w:rFonts w:ascii="Cambria" w:eastAsia="Calibri" w:hAnsi="Cambria" w:cs="Calibri"/>
                <w:lang w:val="hr-HR" w:eastAsia="hr-HR"/>
              </w:rPr>
              <w:t>Klett</w:t>
            </w:r>
            <w:proofErr w:type="spellEnd"/>
            <w:r w:rsidRPr="00DF4CE5">
              <w:rPr>
                <w:rFonts w:ascii="Cambria" w:eastAsia="Calibri" w:hAnsi="Cambria" w:cs="Calibri"/>
                <w:lang w:val="hr-HR" w:eastAsia="hr-HR"/>
              </w:rPr>
              <w:t>, Zagreb, 2014.</w:t>
            </w:r>
          </w:p>
          <w:p w14:paraId="59902F36" w14:textId="77777777" w:rsidR="00DB76CD" w:rsidRPr="00DF4CE5" w:rsidRDefault="00DB76CD" w:rsidP="00DB76CD">
            <w:pPr>
              <w:autoSpaceDE w:val="0"/>
              <w:autoSpaceDN w:val="0"/>
              <w:adjustRightInd w:val="0"/>
              <w:spacing w:after="0" w:line="240" w:lineRule="atLeast"/>
              <w:rPr>
                <w:rFonts w:ascii="Cambria" w:eastAsia="Calibri" w:hAnsi="Cambria" w:cs="Calibri"/>
                <w:lang w:val="hr-HR" w:eastAsia="hr-HR"/>
              </w:rPr>
            </w:pPr>
            <w:r w:rsidRPr="00DF4CE5">
              <w:rPr>
                <w:rFonts w:ascii="Cambria" w:eastAsia="Calibri" w:hAnsi="Cambria" w:cs="Calibri"/>
                <w:lang w:val="hr-HR" w:eastAsia="hr-HR"/>
              </w:rPr>
              <w:t xml:space="preserve">5. I. Marković: Uvod u pridjev, </w:t>
            </w:r>
            <w:proofErr w:type="spellStart"/>
            <w:r w:rsidRPr="00DF4CE5">
              <w:rPr>
                <w:rFonts w:ascii="Cambria" w:eastAsia="Calibri" w:hAnsi="Cambria" w:cs="Calibri"/>
                <w:lang w:val="hr-HR" w:eastAsia="hr-HR"/>
              </w:rPr>
              <w:t>Disput</w:t>
            </w:r>
            <w:proofErr w:type="spellEnd"/>
            <w:r w:rsidRPr="00DF4CE5">
              <w:rPr>
                <w:rFonts w:ascii="Cambria" w:eastAsia="Calibri" w:hAnsi="Cambria" w:cs="Calibri"/>
                <w:lang w:val="hr-HR" w:eastAsia="hr-HR"/>
              </w:rPr>
              <w:t>, Zagreb, 2010.</w:t>
            </w:r>
          </w:p>
          <w:p w14:paraId="0B700EBA" w14:textId="77777777" w:rsidR="00DB76CD" w:rsidRPr="00DF4CE5" w:rsidRDefault="00DB76CD" w:rsidP="00DB76CD">
            <w:pPr>
              <w:autoSpaceDE w:val="0"/>
              <w:autoSpaceDN w:val="0"/>
              <w:adjustRightInd w:val="0"/>
              <w:spacing w:after="0" w:line="240" w:lineRule="atLeast"/>
              <w:rPr>
                <w:rFonts w:ascii="Cambria" w:eastAsia="Calibri" w:hAnsi="Cambria" w:cs="Calibri"/>
                <w:lang w:val="hr-HR" w:eastAsia="hr-HR"/>
              </w:rPr>
            </w:pPr>
            <w:r w:rsidRPr="00DF4CE5">
              <w:rPr>
                <w:rFonts w:ascii="Cambria" w:eastAsia="Calibri" w:hAnsi="Cambria" w:cs="Calibri"/>
                <w:lang w:val="hr-HR" w:eastAsia="hr-HR"/>
              </w:rPr>
              <w:t xml:space="preserve">6. I. Marković: Uvod u jezičnu morfologiju, </w:t>
            </w:r>
            <w:proofErr w:type="spellStart"/>
            <w:r w:rsidRPr="00DF4CE5">
              <w:rPr>
                <w:rFonts w:ascii="Cambria" w:eastAsia="Calibri" w:hAnsi="Cambria" w:cs="Calibri"/>
                <w:lang w:val="hr-HR" w:eastAsia="hr-HR"/>
              </w:rPr>
              <w:t>Disput</w:t>
            </w:r>
            <w:proofErr w:type="spellEnd"/>
            <w:r w:rsidRPr="00DF4CE5">
              <w:rPr>
                <w:rFonts w:ascii="Cambria" w:eastAsia="Calibri" w:hAnsi="Cambria" w:cs="Calibri"/>
                <w:lang w:val="hr-HR" w:eastAsia="hr-HR"/>
              </w:rPr>
              <w:t>, Zagreb, 2012.</w:t>
            </w:r>
          </w:p>
          <w:p w14:paraId="64F19C75" w14:textId="77777777" w:rsidR="00DB76CD" w:rsidRPr="00DF4CE5" w:rsidRDefault="00DB76CD" w:rsidP="00DB76CD">
            <w:pPr>
              <w:autoSpaceDE w:val="0"/>
              <w:autoSpaceDN w:val="0"/>
              <w:adjustRightInd w:val="0"/>
              <w:spacing w:after="0" w:line="240" w:lineRule="atLeast"/>
              <w:rPr>
                <w:rFonts w:ascii="Cambria" w:eastAsia="Calibri" w:hAnsi="Cambria" w:cs="Calibri"/>
                <w:lang w:val="hr-HR" w:eastAsia="hr-HR"/>
              </w:rPr>
            </w:pPr>
            <w:r w:rsidRPr="00DF4CE5">
              <w:rPr>
                <w:rFonts w:ascii="Cambria" w:eastAsia="Calibri" w:hAnsi="Cambria" w:cs="Calibri"/>
                <w:lang w:val="hr-HR" w:eastAsia="hr-HR"/>
              </w:rPr>
              <w:t>7. L. Hudeček, M. Mihaljević: Hrvatska školska gramatika, IHJJ, Zagreb, 2017.</w:t>
            </w:r>
          </w:p>
          <w:p w14:paraId="240C18C3" w14:textId="77777777" w:rsidR="00DB76CD" w:rsidRPr="00DF4CE5" w:rsidRDefault="00DB76CD" w:rsidP="00DB76CD">
            <w:pPr>
              <w:autoSpaceDE w:val="0"/>
              <w:autoSpaceDN w:val="0"/>
              <w:adjustRightInd w:val="0"/>
              <w:spacing w:after="0" w:line="240" w:lineRule="atLeast"/>
              <w:rPr>
                <w:rFonts w:ascii="Cambria" w:eastAsia="Calibri" w:hAnsi="Cambria" w:cs="Calibri"/>
                <w:lang w:val="hr-HR" w:eastAsia="hr-HR"/>
              </w:rPr>
            </w:pPr>
            <w:r w:rsidRPr="00DF4CE5">
              <w:rPr>
                <w:rFonts w:ascii="Cambria" w:eastAsia="Calibri" w:hAnsi="Cambria" w:cs="Calibri"/>
                <w:lang w:val="hr-HR" w:eastAsia="hr-HR"/>
              </w:rPr>
              <w:t>8. B. Klaić: Novi rječnik stranih riječi, Školska knjiga, Zagreb, 2012.</w:t>
            </w:r>
          </w:p>
          <w:p w14:paraId="7F1EA5A9" w14:textId="77777777" w:rsidR="00DB76CD" w:rsidRPr="00DF4CE5" w:rsidRDefault="00DB76CD" w:rsidP="00DB76CD">
            <w:pPr>
              <w:autoSpaceDE w:val="0"/>
              <w:autoSpaceDN w:val="0"/>
              <w:adjustRightInd w:val="0"/>
              <w:spacing w:after="0" w:line="240" w:lineRule="atLeast"/>
              <w:rPr>
                <w:rFonts w:ascii="Cambria" w:eastAsia="Calibri" w:hAnsi="Cambria" w:cs="Calibri"/>
                <w:lang w:val="hr-HR" w:eastAsia="hr-HR"/>
              </w:rPr>
            </w:pPr>
            <w:r w:rsidRPr="00DF4CE5">
              <w:rPr>
                <w:rFonts w:ascii="Cambria" w:eastAsia="Calibri" w:hAnsi="Cambria" w:cs="Calibri"/>
                <w:lang w:val="hr-HR" w:eastAsia="hr-HR"/>
              </w:rPr>
              <w:t>9. S. Težak, S. Babić: Gramatika hrvatskoga jezika, ŠK, Zagreb, 2000.</w:t>
            </w:r>
          </w:p>
          <w:p w14:paraId="55C646C5" w14:textId="77777777" w:rsidR="00DB76CD" w:rsidRPr="00DF4CE5" w:rsidRDefault="00DB76CD" w:rsidP="00DB76CD">
            <w:pPr>
              <w:autoSpaceDE w:val="0"/>
              <w:autoSpaceDN w:val="0"/>
              <w:adjustRightInd w:val="0"/>
              <w:spacing w:after="0" w:line="240" w:lineRule="atLeast"/>
              <w:rPr>
                <w:rFonts w:ascii="Cambria" w:eastAsia="Calibri" w:hAnsi="Cambria" w:cs="Calibri"/>
                <w:lang w:val="hr-HR" w:eastAsia="hr-HR"/>
              </w:rPr>
            </w:pPr>
            <w:r w:rsidRPr="00DF4CE5">
              <w:rPr>
                <w:rFonts w:ascii="Cambria" w:eastAsia="Calibri" w:hAnsi="Cambria" w:cs="Calibri"/>
                <w:lang w:val="hr-HR" w:eastAsia="hr-HR"/>
              </w:rPr>
              <w:t>10. Veliki rječnik hrvatskoga standardnog jezika (</w:t>
            </w:r>
            <w:proofErr w:type="spellStart"/>
            <w:r w:rsidRPr="00DF4CE5">
              <w:rPr>
                <w:rFonts w:ascii="Cambria" w:eastAsia="Calibri" w:hAnsi="Cambria" w:cs="Calibri"/>
                <w:lang w:val="hr-HR" w:eastAsia="hr-HR"/>
              </w:rPr>
              <w:t>ur</w:t>
            </w:r>
            <w:proofErr w:type="spellEnd"/>
            <w:r w:rsidRPr="00DF4CE5">
              <w:rPr>
                <w:rFonts w:ascii="Cambria" w:eastAsia="Calibri" w:hAnsi="Cambria" w:cs="Calibri"/>
                <w:lang w:val="hr-HR" w:eastAsia="hr-HR"/>
              </w:rPr>
              <w:t xml:space="preserve">. </w:t>
            </w:r>
            <w:proofErr w:type="spellStart"/>
            <w:r w:rsidRPr="00DF4CE5">
              <w:rPr>
                <w:rFonts w:ascii="Cambria" w:eastAsia="Calibri" w:hAnsi="Cambria" w:cs="Calibri"/>
                <w:lang w:val="hr-HR" w:eastAsia="hr-HR"/>
              </w:rPr>
              <w:t>Lj</w:t>
            </w:r>
            <w:proofErr w:type="spellEnd"/>
            <w:r w:rsidRPr="00DF4CE5">
              <w:rPr>
                <w:rFonts w:ascii="Cambria" w:eastAsia="Calibri" w:hAnsi="Cambria" w:cs="Calibri"/>
                <w:lang w:val="hr-HR" w:eastAsia="hr-HR"/>
              </w:rPr>
              <w:t>. Jojić), Školska knjiga, Zagreb, 2015.</w:t>
            </w:r>
          </w:p>
          <w:p w14:paraId="3295CF81" w14:textId="77777777" w:rsidR="00DB76CD" w:rsidRPr="00DF4CE5" w:rsidRDefault="00DB76CD" w:rsidP="00DB76CD">
            <w:pPr>
              <w:spacing w:after="0" w:line="240" w:lineRule="atLeast"/>
              <w:rPr>
                <w:rFonts w:ascii="Cambria" w:eastAsia="Calibri" w:hAnsi="Cambria" w:cs="Calibri"/>
                <w:lang w:val="hr-HR" w:eastAsia="hr-HR"/>
              </w:rPr>
            </w:pPr>
            <w:r w:rsidRPr="00DF4CE5">
              <w:rPr>
                <w:rFonts w:ascii="Cambria" w:eastAsia="Calibri" w:hAnsi="Cambria" w:cs="Calibri"/>
                <w:lang w:val="hr-HR" w:eastAsia="hr-HR"/>
              </w:rPr>
              <w:t>11. Časopis Hrvatski jezik, IHJJ, Zagreb.</w:t>
            </w:r>
          </w:p>
          <w:p w14:paraId="38465CD5" w14:textId="77777777" w:rsidR="00DB76CD" w:rsidRPr="00DF4CE5" w:rsidRDefault="00DB76CD" w:rsidP="00DB76CD">
            <w:pPr>
              <w:spacing w:after="0" w:line="240" w:lineRule="atLeast"/>
              <w:rPr>
                <w:rFonts w:ascii="Cambria" w:eastAsia="Times New Roman" w:hAnsi="Cambria" w:cs="Calibri"/>
                <w:lang w:val="hr-HR"/>
              </w:rPr>
            </w:pPr>
            <w:r w:rsidRPr="00DF4CE5">
              <w:rPr>
                <w:rFonts w:ascii="Cambria" w:eastAsia="Times New Roman" w:hAnsi="Cambria" w:cs="Calibri"/>
                <w:lang w:val="hr-HR"/>
              </w:rPr>
              <w:t xml:space="preserve">Priručna: </w:t>
            </w:r>
          </w:p>
          <w:p w14:paraId="7E643077" w14:textId="77777777" w:rsidR="00DB76CD" w:rsidRPr="00DF4CE5" w:rsidRDefault="00DB76CD" w:rsidP="00DB76CD">
            <w:pPr>
              <w:spacing w:after="0" w:line="240" w:lineRule="atLeast"/>
              <w:rPr>
                <w:rFonts w:ascii="Cambria" w:eastAsia="Times New Roman" w:hAnsi="Cambria" w:cs="Calibri"/>
                <w:lang w:val="hr-HR"/>
              </w:rPr>
            </w:pPr>
            <w:hyperlink r:id="rId43" w:history="1">
              <w:r w:rsidRPr="00DF4CE5">
                <w:rPr>
                  <w:rFonts w:ascii="Cambria" w:eastAsia="Times New Roman" w:hAnsi="Cambria" w:cs="Calibri"/>
                  <w:color w:val="0000FF"/>
                  <w:u w:val="single"/>
                  <w:lang w:val="hr-HR"/>
                </w:rPr>
                <w:t>http://www.hrvatskiplus.org/</w:t>
              </w:r>
            </w:hyperlink>
          </w:p>
          <w:p w14:paraId="64A4444F" w14:textId="77777777" w:rsidR="00DB76CD" w:rsidRPr="00DF4CE5" w:rsidRDefault="00DB76CD" w:rsidP="00DB76CD">
            <w:pPr>
              <w:spacing w:after="0" w:line="240" w:lineRule="atLeast"/>
              <w:rPr>
                <w:rFonts w:ascii="Cambria" w:eastAsia="Times New Roman" w:hAnsi="Cambria" w:cs="Calibri"/>
                <w:lang w:val="hr-HR"/>
              </w:rPr>
            </w:pPr>
            <w:hyperlink r:id="rId44" w:history="1">
              <w:r w:rsidRPr="00DF4CE5">
                <w:rPr>
                  <w:rFonts w:ascii="Cambria" w:eastAsia="Times New Roman" w:hAnsi="Cambria" w:cs="Calibri"/>
                  <w:color w:val="0000FF"/>
                  <w:u w:val="single"/>
                  <w:lang w:val="hr-HR"/>
                </w:rPr>
                <w:t>http://savjetnik.ihjj.hr/</w:t>
              </w:r>
            </w:hyperlink>
          </w:p>
          <w:p w14:paraId="0CDD66F0" w14:textId="77777777" w:rsidR="00DB76CD" w:rsidRPr="00DF4CE5" w:rsidRDefault="00DB76CD" w:rsidP="00DB76CD">
            <w:pPr>
              <w:spacing w:after="0" w:line="240" w:lineRule="atLeast"/>
              <w:rPr>
                <w:rFonts w:ascii="Cambria" w:eastAsia="Times New Roman" w:hAnsi="Cambria" w:cs="Calibri"/>
                <w:lang w:val="hr-HR"/>
              </w:rPr>
            </w:pPr>
            <w:hyperlink r:id="rId45" w:history="1">
              <w:r w:rsidRPr="00DF4CE5">
                <w:rPr>
                  <w:rFonts w:ascii="Cambria" w:eastAsia="Times New Roman" w:hAnsi="Cambria" w:cs="Calibri"/>
                  <w:color w:val="0000FF"/>
                  <w:u w:val="single"/>
                  <w:lang w:val="hr-HR"/>
                </w:rPr>
                <w:t>http://riznica.ihjj.hr/index.hr.html</w:t>
              </w:r>
            </w:hyperlink>
          </w:p>
          <w:p w14:paraId="24C2CFAB" w14:textId="77777777" w:rsidR="00DB76CD" w:rsidRPr="00DF4CE5" w:rsidRDefault="00DB76CD" w:rsidP="00DB76CD">
            <w:pPr>
              <w:spacing w:after="0" w:line="240" w:lineRule="atLeast"/>
              <w:rPr>
                <w:rFonts w:ascii="Cambria" w:eastAsia="Times New Roman" w:hAnsi="Cambria" w:cs="Calibri"/>
                <w:lang w:val="hr-HR"/>
              </w:rPr>
            </w:pPr>
            <w:hyperlink r:id="rId46" w:history="1">
              <w:r w:rsidRPr="00DF4CE5">
                <w:rPr>
                  <w:rFonts w:ascii="Cambria" w:eastAsia="Times New Roman" w:hAnsi="Cambria" w:cs="Calibri"/>
                  <w:color w:val="0000FF"/>
                  <w:u w:val="single"/>
                  <w:lang w:val="hr-HR"/>
                </w:rPr>
                <w:t>http://bolje.hr/</w:t>
              </w:r>
            </w:hyperlink>
          </w:p>
          <w:p w14:paraId="60A59BBA" w14:textId="77777777" w:rsidR="00DB76CD" w:rsidRPr="00DF4CE5" w:rsidRDefault="00DB76CD" w:rsidP="00DB76CD">
            <w:pPr>
              <w:spacing w:after="0" w:line="240" w:lineRule="atLeast"/>
              <w:rPr>
                <w:rFonts w:ascii="Cambria" w:eastAsia="Times New Roman" w:hAnsi="Cambria" w:cs="Calibri"/>
                <w:lang w:val="hr-HR"/>
              </w:rPr>
            </w:pPr>
            <w:hyperlink r:id="rId47" w:history="1">
              <w:r w:rsidRPr="00DF4CE5">
                <w:rPr>
                  <w:rFonts w:ascii="Cambria" w:eastAsia="Times New Roman" w:hAnsi="Cambria" w:cs="Calibri"/>
                  <w:color w:val="0000FF"/>
                  <w:u w:val="single"/>
                  <w:lang w:val="hr-HR"/>
                </w:rPr>
                <w:t>http://hjp.znanje.hr/</w:t>
              </w:r>
            </w:hyperlink>
          </w:p>
        </w:tc>
      </w:tr>
    </w:tbl>
    <w:p w14:paraId="48BBBDC5" w14:textId="77777777" w:rsidR="00E41BE6" w:rsidRPr="00DF4CE5" w:rsidRDefault="00E41BE6">
      <w:pPr>
        <w:rPr>
          <w:rFonts w:ascii="Cambria" w:eastAsia="Times New Roman" w:hAnsi="Cambria" w:cs="Calibri"/>
          <w:lang w:val="hr-HR"/>
        </w:rPr>
      </w:pPr>
    </w:p>
    <w:p w14:paraId="7B15A043" w14:textId="77777777" w:rsidR="00E41BE6" w:rsidRPr="00DF4CE5" w:rsidRDefault="00E41BE6">
      <w:pPr>
        <w:rPr>
          <w:rFonts w:ascii="Cambria" w:eastAsia="Times New Roman" w:hAnsi="Cambria" w:cs="Calibri"/>
          <w:lang w:val="hr-HR"/>
        </w:rPr>
      </w:pPr>
    </w:p>
    <w:p w14:paraId="58D1EB58" w14:textId="77777777" w:rsidR="00E41BE6" w:rsidRPr="00DF4CE5" w:rsidRDefault="00E41BE6">
      <w:pPr>
        <w:rPr>
          <w:rFonts w:ascii="Cambria" w:eastAsia="Times New Roman" w:hAnsi="Cambria" w:cs="Calibri"/>
          <w:lang w:val="hr-HR"/>
        </w:rPr>
      </w:pPr>
    </w:p>
    <w:p w14:paraId="61948D56" w14:textId="77777777" w:rsidR="00E41BE6" w:rsidRPr="00DF4CE5" w:rsidRDefault="00E41BE6">
      <w:pPr>
        <w:rPr>
          <w:rFonts w:ascii="Cambria" w:eastAsia="Times New Roman" w:hAnsi="Cambria" w:cs="Calibri"/>
          <w:lang w:val="hr-HR"/>
        </w:rPr>
      </w:pPr>
    </w:p>
    <w:p w14:paraId="075A0FD6" w14:textId="77777777" w:rsidR="00E41BE6" w:rsidRPr="00DF4CE5" w:rsidRDefault="00E41BE6">
      <w:pPr>
        <w:rPr>
          <w:rFonts w:ascii="Cambria" w:eastAsia="Times New Roman" w:hAnsi="Cambria" w:cs="Calibri"/>
          <w:lang w:val="hr-HR"/>
        </w:rPr>
      </w:pPr>
    </w:p>
    <w:tbl>
      <w:tblPr>
        <w:tblW w:w="5000" w:type="pct"/>
        <w:tblLayout w:type="fixed"/>
        <w:tblCellMar>
          <w:left w:w="0" w:type="dxa"/>
          <w:right w:w="0" w:type="dxa"/>
        </w:tblCellMar>
        <w:tblLook w:val="0600" w:firstRow="0" w:lastRow="0" w:firstColumn="0" w:lastColumn="0" w:noHBand="1" w:noVBand="1"/>
      </w:tblPr>
      <w:tblGrid>
        <w:gridCol w:w="2430"/>
        <w:gridCol w:w="2484"/>
        <w:gridCol w:w="569"/>
        <w:gridCol w:w="300"/>
        <w:gridCol w:w="676"/>
        <w:gridCol w:w="593"/>
        <w:gridCol w:w="1048"/>
        <w:gridCol w:w="1920"/>
      </w:tblGrid>
      <w:tr w:rsidR="00E41BE6" w:rsidRPr="00DF4CE5" w14:paraId="44B2A847" w14:textId="77777777" w:rsidTr="00C52F47">
        <w:tc>
          <w:tcPr>
            <w:tcW w:w="9340"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FC932E7" w14:textId="77777777" w:rsidR="00E41BE6" w:rsidRPr="00DF4CE5" w:rsidRDefault="00E41BE6" w:rsidP="00E41BE6">
            <w:pPr>
              <w:spacing w:after="0" w:line="240" w:lineRule="auto"/>
              <w:jc w:val="right"/>
              <w:rPr>
                <w:rFonts w:ascii="Cambria" w:eastAsia="Times New Roman" w:hAnsi="Cambria" w:cs="Calibri"/>
                <w:b/>
                <w:lang w:val="hr-HR"/>
              </w:rPr>
            </w:pPr>
            <w:r w:rsidRPr="00DF4CE5">
              <w:rPr>
                <w:rFonts w:ascii="Cambria" w:eastAsia="Times New Roman" w:hAnsi="Cambria" w:cs="Calibri"/>
                <w:b/>
                <w:lang w:val="hr-HR"/>
              </w:rPr>
              <w:lastRenderedPageBreak/>
              <w:t>IZVEDBENI PLAN NASTAVE KOLEGIJA</w:t>
            </w:r>
          </w:p>
        </w:tc>
      </w:tr>
      <w:tr w:rsidR="00E41BE6" w:rsidRPr="00DF4CE5" w14:paraId="1F289D30" w14:textId="77777777" w:rsidTr="00C52F47">
        <w:tc>
          <w:tcPr>
            <w:tcW w:w="226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4EE75E6"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Kod i naziv kolegija</w:t>
            </w:r>
          </w:p>
        </w:tc>
        <w:tc>
          <w:tcPr>
            <w:tcW w:w="707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B2DC4AF" w14:textId="6A0E5F95" w:rsidR="00E41BE6" w:rsidRPr="00DF4CE5" w:rsidRDefault="00A31664" w:rsidP="00E41BE6">
            <w:pPr>
              <w:spacing w:after="0" w:line="240" w:lineRule="auto"/>
              <w:rPr>
                <w:rFonts w:ascii="Cambria" w:eastAsia="Times New Roman" w:hAnsi="Cambria" w:cs="Calibri"/>
                <w:bCs/>
                <w:lang w:val="hr-HR"/>
              </w:rPr>
            </w:pPr>
            <w:r w:rsidRPr="00DF4CE5">
              <w:rPr>
                <w:rFonts w:ascii="Cambria" w:eastAsia="Times New Roman" w:hAnsi="Cambria" w:cs="Calibri"/>
                <w:bCs/>
                <w:lang w:val="hr-HR"/>
              </w:rPr>
              <w:t>257236</w:t>
            </w:r>
            <w:r w:rsidR="00E41BE6" w:rsidRPr="00DF4CE5">
              <w:rPr>
                <w:rFonts w:ascii="Cambria" w:eastAsia="Times New Roman" w:hAnsi="Cambria" w:cs="Calibri"/>
                <w:bCs/>
                <w:lang w:val="hr-HR"/>
              </w:rPr>
              <w:t xml:space="preserve">      </w:t>
            </w:r>
          </w:p>
          <w:p w14:paraId="45DF3608" w14:textId="77777777" w:rsidR="00E41BE6" w:rsidRPr="00DF4CE5" w:rsidRDefault="00E41BE6" w:rsidP="00E41BE6">
            <w:pPr>
              <w:spacing w:after="0" w:line="240" w:lineRule="auto"/>
              <w:rPr>
                <w:rFonts w:ascii="Cambria" w:eastAsia="Times New Roman" w:hAnsi="Cambria" w:cs="Calibri"/>
                <w:b/>
                <w:bCs/>
                <w:lang w:val="hr-HR"/>
              </w:rPr>
            </w:pPr>
            <w:r w:rsidRPr="00DF4CE5">
              <w:rPr>
                <w:rFonts w:ascii="Cambria" w:eastAsia="Times New Roman" w:hAnsi="Cambria" w:cs="Calibri"/>
                <w:bCs/>
                <w:lang w:val="hr-HR"/>
              </w:rPr>
              <w:t>Engleski jezik II</w:t>
            </w:r>
          </w:p>
        </w:tc>
      </w:tr>
      <w:tr w:rsidR="00E41BE6" w:rsidRPr="000B2D2C" w14:paraId="135C72D6" w14:textId="77777777" w:rsidTr="00C52F47">
        <w:trPr>
          <w:trHeight w:val="520"/>
        </w:trPr>
        <w:tc>
          <w:tcPr>
            <w:tcW w:w="226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422EA77"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 xml:space="preserve">Nastavnica </w:t>
            </w:r>
          </w:p>
          <w:p w14:paraId="11D614A2" w14:textId="3DC60F0A"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Suradni</w:t>
            </w:r>
            <w:r w:rsidR="000B2D2C">
              <w:rPr>
                <w:rFonts w:ascii="Cambria" w:eastAsia="Times New Roman" w:hAnsi="Cambria" w:cs="Calibri"/>
                <w:lang w:val="hr-HR"/>
              </w:rPr>
              <w:t>k</w:t>
            </w:r>
          </w:p>
        </w:tc>
        <w:tc>
          <w:tcPr>
            <w:tcW w:w="707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CE247EB" w14:textId="112FE954" w:rsidR="00E41BE6" w:rsidRPr="006B4FFE" w:rsidRDefault="006B4FFE" w:rsidP="00E41BE6">
            <w:pPr>
              <w:spacing w:after="0" w:line="240" w:lineRule="auto"/>
              <w:rPr>
                <w:rFonts w:ascii="Cambria" w:eastAsia="Times New Roman" w:hAnsi="Cambria" w:cs="Calibri"/>
                <w:lang w:val="hr-HR"/>
              </w:rPr>
            </w:pPr>
            <w:hyperlink r:id="rId48" w:history="1">
              <w:r w:rsidRPr="006B4FFE">
                <w:rPr>
                  <w:rStyle w:val="Hiperveza"/>
                  <w:rFonts w:ascii="Cambria" w:eastAsia="Times New Roman" w:hAnsi="Cambria" w:cs="Calibri"/>
                  <w:lang w:val="hr-HR"/>
                </w:rPr>
                <w:t>P</w:t>
              </w:r>
              <w:r w:rsidR="00C52F47" w:rsidRPr="006B4FFE">
                <w:rPr>
                  <w:rStyle w:val="Hiperveza"/>
                  <w:rFonts w:ascii="Cambria" w:eastAsia="Times New Roman" w:hAnsi="Cambria" w:cs="Calibri"/>
                  <w:lang w:val="hr-HR"/>
                </w:rPr>
                <w:t>r</w:t>
              </w:r>
              <w:r w:rsidR="00E41BE6" w:rsidRPr="006B4FFE">
                <w:rPr>
                  <w:rStyle w:val="Hiperveza"/>
                  <w:rFonts w:ascii="Cambria" w:eastAsia="Times New Roman" w:hAnsi="Cambria" w:cs="Calibri"/>
                  <w:lang w:val="hr-HR"/>
                </w:rPr>
                <w:t xml:space="preserve">of. dr. sc. </w:t>
              </w:r>
              <w:proofErr w:type="spellStart"/>
              <w:r w:rsidR="00E41BE6" w:rsidRPr="006B4FFE">
                <w:rPr>
                  <w:rStyle w:val="Hiperveza"/>
                  <w:rFonts w:ascii="Cambria" w:eastAsia="Times New Roman" w:hAnsi="Cambria" w:cs="Calibri"/>
                  <w:lang w:val="hr-HR"/>
                </w:rPr>
                <w:t>Moira</w:t>
              </w:r>
              <w:proofErr w:type="spellEnd"/>
              <w:r w:rsidR="00E41BE6" w:rsidRPr="006B4FFE">
                <w:rPr>
                  <w:rStyle w:val="Hiperveza"/>
                  <w:rFonts w:ascii="Cambria" w:eastAsia="Times New Roman" w:hAnsi="Cambria" w:cs="Calibri"/>
                  <w:lang w:val="hr-HR"/>
                </w:rPr>
                <w:t xml:space="preserve"> Kostić </w:t>
              </w:r>
              <w:proofErr w:type="spellStart"/>
              <w:r w:rsidR="00E41BE6" w:rsidRPr="006B4FFE">
                <w:rPr>
                  <w:rStyle w:val="Hiperveza"/>
                  <w:rFonts w:ascii="Cambria" w:eastAsia="Times New Roman" w:hAnsi="Cambria" w:cs="Calibri"/>
                  <w:lang w:val="hr-HR"/>
                </w:rPr>
                <w:t>Bobanović</w:t>
              </w:r>
              <w:proofErr w:type="spellEnd"/>
            </w:hyperlink>
            <w:r w:rsidR="00E41BE6" w:rsidRPr="006B4FFE">
              <w:rPr>
                <w:rFonts w:ascii="Cambria" w:eastAsia="Times New Roman" w:hAnsi="Cambria" w:cs="Calibri"/>
                <w:lang w:val="hr-HR"/>
              </w:rPr>
              <w:t xml:space="preserve"> </w:t>
            </w:r>
            <w:r w:rsidRPr="006B4FFE">
              <w:rPr>
                <w:rFonts w:ascii="Cambria" w:eastAsia="Times New Roman" w:hAnsi="Cambria" w:cs="Calibri"/>
                <w:lang w:val="hr-HR"/>
              </w:rPr>
              <w:t>(</w:t>
            </w:r>
            <w:r w:rsidR="00E41BE6" w:rsidRPr="006B4FFE">
              <w:rPr>
                <w:rFonts w:ascii="Cambria" w:eastAsia="Times New Roman" w:hAnsi="Cambria" w:cs="Calibri"/>
                <w:lang w:val="hr-HR"/>
              </w:rPr>
              <w:t>nositeljica</w:t>
            </w:r>
            <w:r w:rsidRPr="006B4FFE">
              <w:rPr>
                <w:rFonts w:ascii="Cambria" w:eastAsia="Times New Roman" w:hAnsi="Cambria" w:cs="Calibri"/>
                <w:lang w:val="hr-HR"/>
              </w:rPr>
              <w:t>)</w:t>
            </w:r>
          </w:p>
          <w:p w14:paraId="6FEDDDA2" w14:textId="640BDEA3" w:rsidR="00E41BE6" w:rsidRPr="000B2D2C" w:rsidRDefault="003C5D89" w:rsidP="00E41BE6">
            <w:pPr>
              <w:spacing w:after="0" w:line="240" w:lineRule="atLeast"/>
              <w:rPr>
                <w:rFonts w:ascii="Cambria" w:eastAsia="Times New Roman" w:hAnsi="Cambria" w:cs="Times New Roman"/>
                <w:lang w:val="hr-HR"/>
              </w:rPr>
            </w:pPr>
            <w:hyperlink r:id="rId49" w:history="1">
              <w:r w:rsidRPr="006B4FFE">
                <w:rPr>
                  <w:rStyle w:val="Hiperveza"/>
                  <w:rFonts w:ascii="Cambria" w:eastAsia="Times New Roman" w:hAnsi="Cambria" w:cs="Times New Roman"/>
                  <w:lang w:val="hr-HR"/>
                </w:rPr>
                <w:t xml:space="preserve">Ivan </w:t>
              </w:r>
              <w:proofErr w:type="spellStart"/>
              <w:r w:rsidRPr="006B4FFE">
                <w:rPr>
                  <w:rStyle w:val="Hiperveza"/>
                  <w:rFonts w:ascii="Cambria" w:eastAsia="Times New Roman" w:hAnsi="Cambria" w:cs="Times New Roman"/>
                  <w:lang w:val="hr-HR"/>
                </w:rPr>
                <w:t>Žufić</w:t>
              </w:r>
              <w:proofErr w:type="spellEnd"/>
              <w:r w:rsidRPr="006B4FFE">
                <w:rPr>
                  <w:rStyle w:val="Hiperveza"/>
                  <w:rFonts w:ascii="Cambria" w:eastAsia="Times New Roman" w:hAnsi="Cambria" w:cs="Times New Roman"/>
                  <w:lang w:val="hr-HR"/>
                </w:rPr>
                <w:t>, naslovni</w:t>
              </w:r>
              <w:r w:rsidR="000F57D9" w:rsidRPr="006B4FFE">
                <w:rPr>
                  <w:rStyle w:val="Hiperveza"/>
                  <w:rFonts w:ascii="Cambria" w:eastAsia="Times New Roman" w:hAnsi="Cambria" w:cs="Times New Roman"/>
                  <w:lang w:val="hr-HR"/>
                </w:rPr>
                <w:t xml:space="preserve"> pred.</w:t>
              </w:r>
            </w:hyperlink>
            <w:r w:rsidR="000F57D9" w:rsidRPr="006B4FFE">
              <w:rPr>
                <w:rStyle w:val="Hiperveza"/>
                <w:rFonts w:ascii="Cambria" w:eastAsia="Times New Roman" w:hAnsi="Cambria" w:cs="Times New Roman"/>
                <w:color w:val="auto"/>
                <w:u w:val="none"/>
                <w:lang w:val="hr-HR"/>
              </w:rPr>
              <w:t xml:space="preserve"> </w:t>
            </w:r>
          </w:p>
        </w:tc>
      </w:tr>
      <w:tr w:rsidR="00E41BE6" w:rsidRPr="00D0399C" w14:paraId="531536AF" w14:textId="77777777" w:rsidTr="00C52F47">
        <w:tc>
          <w:tcPr>
            <w:tcW w:w="226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CAE2D45"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Studijski program</w:t>
            </w:r>
          </w:p>
        </w:tc>
        <w:tc>
          <w:tcPr>
            <w:tcW w:w="707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10B8C61"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Calibri" w:hAnsi="Cambria" w:cs="Calibri"/>
                <w:lang w:val="hr-HR"/>
              </w:rPr>
              <w:t>Sveučilišni integrirani prijediplomski i diplomski Učiteljski studij na hrvatskom jeziku</w:t>
            </w:r>
          </w:p>
        </w:tc>
      </w:tr>
      <w:tr w:rsidR="00E41BE6" w:rsidRPr="00DF4CE5" w14:paraId="2A37063B" w14:textId="77777777" w:rsidTr="00C52F47">
        <w:tc>
          <w:tcPr>
            <w:tcW w:w="226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FDFC26B"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Vrsta kolegija</w:t>
            </w:r>
          </w:p>
        </w:tc>
        <w:tc>
          <w:tcPr>
            <w:tcW w:w="2845"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63283D2"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obvezni</w:t>
            </w:r>
          </w:p>
          <w:p w14:paraId="0AF8005C" w14:textId="77777777" w:rsidR="00E41BE6" w:rsidRPr="00DF4CE5" w:rsidRDefault="00E41BE6" w:rsidP="00E41BE6">
            <w:pPr>
              <w:spacing w:after="0" w:line="240" w:lineRule="auto"/>
              <w:rPr>
                <w:rFonts w:ascii="Cambria" w:eastAsia="Times New Roman" w:hAnsi="Cambria" w:cs="Calibri"/>
                <w:lang w:val="hr-HR"/>
              </w:rPr>
            </w:pPr>
          </w:p>
        </w:tc>
        <w:tc>
          <w:tcPr>
            <w:tcW w:w="146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673280A4"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Razina kolegija</w:t>
            </w:r>
          </w:p>
        </w:tc>
        <w:tc>
          <w:tcPr>
            <w:tcW w:w="2767"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77E0EC3" w14:textId="77777777" w:rsidR="00E41BE6" w:rsidRPr="00DF4CE5" w:rsidRDefault="00E41BE6" w:rsidP="00E41BE6">
            <w:pPr>
              <w:spacing w:after="0" w:line="240" w:lineRule="auto"/>
              <w:rPr>
                <w:rFonts w:ascii="Cambria" w:eastAsia="Times New Roman" w:hAnsi="Cambria" w:cs="Calibri"/>
                <w:lang w:val="hr-HR"/>
              </w:rPr>
            </w:pPr>
            <w:proofErr w:type="spellStart"/>
            <w:r w:rsidRPr="00DF4CE5">
              <w:rPr>
                <w:rFonts w:ascii="Cambria" w:eastAsia="Times New Roman" w:hAnsi="Cambria" w:cs="Calibri"/>
                <w:lang w:val="it-IT"/>
              </w:rPr>
              <w:t>integrirani</w:t>
            </w:r>
            <w:proofErr w:type="spellEnd"/>
          </w:p>
          <w:p w14:paraId="5A0919FE" w14:textId="77777777" w:rsidR="00E41BE6" w:rsidRPr="00DF4CE5" w:rsidRDefault="00E41BE6" w:rsidP="00E41BE6">
            <w:pPr>
              <w:spacing w:after="0" w:line="240" w:lineRule="auto"/>
              <w:rPr>
                <w:rFonts w:ascii="Cambria" w:eastAsia="Times New Roman" w:hAnsi="Cambria" w:cs="Calibri"/>
                <w:lang w:val="hr-HR"/>
              </w:rPr>
            </w:pPr>
          </w:p>
        </w:tc>
      </w:tr>
      <w:tr w:rsidR="00E41BE6" w:rsidRPr="00DF4CE5" w14:paraId="7648431C" w14:textId="77777777" w:rsidTr="00C52F47">
        <w:tc>
          <w:tcPr>
            <w:tcW w:w="226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BF6E0EC"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Semestar</w:t>
            </w:r>
          </w:p>
        </w:tc>
        <w:tc>
          <w:tcPr>
            <w:tcW w:w="2845"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91F8F41"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 xml:space="preserve">ljetni </w:t>
            </w:r>
          </w:p>
        </w:tc>
        <w:tc>
          <w:tcPr>
            <w:tcW w:w="146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7AC7A26D"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Godina studija</w:t>
            </w:r>
          </w:p>
        </w:tc>
        <w:tc>
          <w:tcPr>
            <w:tcW w:w="2767"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7AF2C6D"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I.</w:t>
            </w:r>
          </w:p>
        </w:tc>
      </w:tr>
      <w:tr w:rsidR="00E41BE6" w:rsidRPr="00DF4CE5" w14:paraId="3369471C" w14:textId="77777777" w:rsidTr="00C52F47">
        <w:tc>
          <w:tcPr>
            <w:tcW w:w="226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D43907E" w14:textId="77777777" w:rsidR="00E41BE6" w:rsidRPr="00DF4CE5" w:rsidRDefault="00E41BE6" w:rsidP="00E41BE6">
            <w:pPr>
              <w:spacing w:after="0" w:line="240" w:lineRule="auto"/>
              <w:rPr>
                <w:rFonts w:ascii="Cambria" w:eastAsia="Times New Roman" w:hAnsi="Cambria" w:cs="Calibri"/>
                <w:lang w:val="hr-HR"/>
              </w:rPr>
            </w:pPr>
            <w:proofErr w:type="spellStart"/>
            <w:r w:rsidRPr="00DF4CE5">
              <w:rPr>
                <w:rFonts w:ascii="Cambria" w:eastAsia="Times New Roman" w:hAnsi="Cambria" w:cs="Calibri"/>
              </w:rPr>
              <w:t>Mjesto</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izvođenja</w:t>
            </w:r>
            <w:proofErr w:type="spellEnd"/>
          </w:p>
        </w:tc>
        <w:tc>
          <w:tcPr>
            <w:tcW w:w="2845"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40B0D69" w14:textId="627028C9" w:rsidR="00E41BE6" w:rsidRPr="00DF4CE5" w:rsidRDefault="003C5D89"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U</w:t>
            </w:r>
            <w:r w:rsidR="00E41BE6" w:rsidRPr="00DF4CE5">
              <w:rPr>
                <w:rFonts w:ascii="Cambria" w:eastAsia="Times New Roman" w:hAnsi="Cambria" w:cs="Calibri"/>
                <w:lang w:val="hr-HR"/>
              </w:rPr>
              <w:t>čionica</w:t>
            </w:r>
          </w:p>
        </w:tc>
        <w:tc>
          <w:tcPr>
            <w:tcW w:w="146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270E549B"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rPr>
              <w:t>Jezik</w:t>
            </w:r>
            <w:r w:rsidRPr="00DF4CE5">
              <w:rPr>
                <w:rFonts w:ascii="Cambria" w:eastAsia="Times New Roman" w:hAnsi="Cambria" w:cs="Calibri"/>
                <w:lang w:val="hr-HR"/>
              </w:rPr>
              <w:t xml:space="preserve"> izvođenja </w:t>
            </w:r>
          </w:p>
        </w:tc>
        <w:tc>
          <w:tcPr>
            <w:tcW w:w="2767"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BD08184"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engleski</w:t>
            </w:r>
          </w:p>
          <w:p w14:paraId="3905A289" w14:textId="77777777" w:rsidR="00E41BE6" w:rsidRPr="00DF4CE5" w:rsidRDefault="00E41BE6" w:rsidP="00E41BE6">
            <w:pPr>
              <w:spacing w:after="0" w:line="240" w:lineRule="auto"/>
              <w:rPr>
                <w:rFonts w:ascii="Cambria" w:eastAsia="Times New Roman" w:hAnsi="Cambria" w:cs="Calibri"/>
                <w:lang w:val="hr-HR"/>
              </w:rPr>
            </w:pPr>
          </w:p>
          <w:p w14:paraId="283925BB" w14:textId="77777777" w:rsidR="00E41BE6" w:rsidRPr="00DF4CE5" w:rsidRDefault="00E41BE6" w:rsidP="00E41BE6">
            <w:pPr>
              <w:spacing w:after="0" w:line="240" w:lineRule="auto"/>
              <w:rPr>
                <w:rFonts w:ascii="Cambria" w:eastAsia="Times New Roman" w:hAnsi="Cambria" w:cs="Calibri"/>
                <w:lang w:val="hr-HR"/>
              </w:rPr>
            </w:pPr>
          </w:p>
        </w:tc>
      </w:tr>
      <w:tr w:rsidR="00E41BE6" w:rsidRPr="00DF4CE5" w14:paraId="7E396D60" w14:textId="77777777" w:rsidTr="00C52F47">
        <w:tc>
          <w:tcPr>
            <w:tcW w:w="226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8D9BE48"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Broj ECTS bodova</w:t>
            </w:r>
          </w:p>
        </w:tc>
        <w:tc>
          <w:tcPr>
            <w:tcW w:w="2845"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465CA71"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5</w:t>
            </w:r>
          </w:p>
        </w:tc>
        <w:tc>
          <w:tcPr>
            <w:tcW w:w="146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5014154F"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Broj sati u semestru</w:t>
            </w:r>
          </w:p>
        </w:tc>
        <w:tc>
          <w:tcPr>
            <w:tcW w:w="2767"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D8263BF" w14:textId="0BB9C2A2" w:rsidR="00E41BE6" w:rsidRPr="00DF4CE5" w:rsidRDefault="00E41BE6" w:rsidP="00E41BE6">
            <w:pPr>
              <w:spacing w:after="0" w:line="240" w:lineRule="auto"/>
              <w:rPr>
                <w:rFonts w:ascii="Cambria" w:eastAsia="Times New Roman" w:hAnsi="Cambria" w:cs="Calibri"/>
                <w:lang w:val="hr-HR"/>
              </w:rPr>
            </w:pPr>
            <w:r w:rsidRPr="00DF4CE5">
              <w:rPr>
                <w:rFonts w:ascii="Cambria" w:eastAsia="Calibri" w:hAnsi="Cambria" w:cs="Calibri"/>
                <w:lang w:val="hr-HR"/>
              </w:rPr>
              <w:t xml:space="preserve">30P – </w:t>
            </w:r>
            <w:r w:rsidR="00CB02F8" w:rsidRPr="00DF4CE5">
              <w:rPr>
                <w:rFonts w:ascii="Cambria" w:eastAsia="Calibri" w:hAnsi="Cambria" w:cs="Calibri"/>
                <w:lang w:val="hr-HR"/>
              </w:rPr>
              <w:t>0S</w:t>
            </w:r>
            <w:r w:rsidRPr="00DF4CE5">
              <w:rPr>
                <w:rFonts w:ascii="Cambria" w:eastAsia="Calibri" w:hAnsi="Cambria" w:cs="Calibri"/>
                <w:lang w:val="hr-HR"/>
              </w:rPr>
              <w:t xml:space="preserve"> – </w:t>
            </w:r>
            <w:r w:rsidR="00CB02F8" w:rsidRPr="00DF4CE5">
              <w:rPr>
                <w:rFonts w:ascii="Cambria" w:eastAsia="Calibri" w:hAnsi="Cambria" w:cs="Calibri"/>
                <w:lang w:val="hr-HR"/>
              </w:rPr>
              <w:t>30V</w:t>
            </w:r>
            <w:r w:rsidRPr="00DF4CE5">
              <w:rPr>
                <w:rFonts w:ascii="Cambria" w:eastAsia="Calibri" w:hAnsi="Cambria" w:cs="Calibri"/>
                <w:lang w:val="hr-HR"/>
              </w:rPr>
              <w:t xml:space="preserve">   </w:t>
            </w:r>
          </w:p>
        </w:tc>
      </w:tr>
      <w:tr w:rsidR="00E41BE6" w:rsidRPr="00D0399C" w14:paraId="6773D51A" w14:textId="77777777" w:rsidTr="00C52F47">
        <w:tc>
          <w:tcPr>
            <w:tcW w:w="226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C25F7A7"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Preduvjeti za upis i za svladavanje</w:t>
            </w:r>
          </w:p>
        </w:tc>
        <w:tc>
          <w:tcPr>
            <w:tcW w:w="707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79AC491"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Nema preduvjeta za upis, a za svladavanje je preduvjet mogućnost praćenja literature na engleskom jeziku.</w:t>
            </w:r>
          </w:p>
        </w:tc>
      </w:tr>
      <w:tr w:rsidR="00E41BE6" w:rsidRPr="00DF4CE5" w14:paraId="6EF7E83E" w14:textId="77777777" w:rsidTr="00C52F47">
        <w:tc>
          <w:tcPr>
            <w:tcW w:w="226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1C32BE5" w14:textId="77777777" w:rsidR="00E41BE6" w:rsidRPr="00DF4CE5" w:rsidRDefault="00E41BE6" w:rsidP="00E41BE6">
            <w:pPr>
              <w:spacing w:after="0" w:line="240" w:lineRule="auto"/>
              <w:rPr>
                <w:rFonts w:ascii="Cambria" w:eastAsia="Times New Roman" w:hAnsi="Cambria" w:cs="Calibri"/>
                <w:lang w:val="hr-HR"/>
              </w:rPr>
            </w:pPr>
            <w:proofErr w:type="spellStart"/>
            <w:r w:rsidRPr="00DF4CE5">
              <w:rPr>
                <w:rFonts w:ascii="Cambria" w:eastAsia="Times New Roman" w:hAnsi="Cambria" w:cs="Calibri"/>
              </w:rPr>
              <w:t>Korelativnost</w:t>
            </w:r>
            <w:proofErr w:type="spellEnd"/>
          </w:p>
        </w:tc>
        <w:tc>
          <w:tcPr>
            <w:tcW w:w="707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777EE26"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 xml:space="preserve">Engleski jezik I, Hrvatski jezik I </w:t>
            </w:r>
            <w:proofErr w:type="spellStart"/>
            <w:r w:rsidRPr="00DF4CE5">
              <w:rPr>
                <w:rFonts w:ascii="Cambria" w:eastAsia="Times New Roman" w:hAnsi="Cambria" w:cs="Calibri"/>
                <w:lang w:val="hr-HR"/>
              </w:rPr>
              <w:t>i</w:t>
            </w:r>
            <w:proofErr w:type="spellEnd"/>
            <w:r w:rsidRPr="00DF4CE5">
              <w:rPr>
                <w:rFonts w:ascii="Cambria" w:eastAsia="Times New Roman" w:hAnsi="Cambria" w:cs="Calibri"/>
                <w:lang w:val="hr-HR"/>
              </w:rPr>
              <w:t xml:space="preserve"> II</w:t>
            </w:r>
          </w:p>
        </w:tc>
      </w:tr>
      <w:tr w:rsidR="00E41BE6" w:rsidRPr="00D0399C" w14:paraId="7B41D6F4" w14:textId="77777777" w:rsidTr="00C52F47">
        <w:tc>
          <w:tcPr>
            <w:tcW w:w="226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7957475"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 xml:space="preserve">Cilj kolegija </w:t>
            </w:r>
          </w:p>
        </w:tc>
        <w:tc>
          <w:tcPr>
            <w:tcW w:w="707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BA16F90" w14:textId="77777777" w:rsidR="00E41BE6" w:rsidRPr="00DF4CE5" w:rsidRDefault="00E41BE6" w:rsidP="00E41BE6">
            <w:pPr>
              <w:autoSpaceDE w:val="0"/>
              <w:autoSpaceDN w:val="0"/>
              <w:adjustRightInd w:val="0"/>
              <w:spacing w:after="0" w:line="240" w:lineRule="auto"/>
              <w:rPr>
                <w:rFonts w:ascii="Cambria" w:eastAsia="Times New Roman" w:hAnsi="Cambria" w:cs="Calibri"/>
                <w:lang w:val="hr-HR" w:eastAsia="hr-HR"/>
              </w:rPr>
            </w:pPr>
            <w:r w:rsidRPr="00DF4CE5">
              <w:rPr>
                <w:rFonts w:ascii="Cambria" w:eastAsia="Times New Roman" w:hAnsi="Cambria" w:cs="Calibri"/>
                <w:lang w:val="hr-HR"/>
              </w:rPr>
              <w:t>nadograditi prethodno stečeno znanje engleskog jezika s naglaskom na intenzivnom uvježbavanju svih četiriju jezičnih vještina  (slušanje, govorenje, čitanje i pisanje).</w:t>
            </w:r>
          </w:p>
        </w:tc>
      </w:tr>
      <w:tr w:rsidR="00E41BE6" w:rsidRPr="00D0399C" w14:paraId="0FBA7720" w14:textId="77777777" w:rsidTr="00C52F47">
        <w:trPr>
          <w:trHeight w:val="2737"/>
        </w:trPr>
        <w:tc>
          <w:tcPr>
            <w:tcW w:w="226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7E0415C"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Ishodi učenja</w:t>
            </w:r>
          </w:p>
        </w:tc>
        <w:tc>
          <w:tcPr>
            <w:tcW w:w="707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1381D7E"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1. razlikovati osnovne gramatičke strukture u engleskom jeziku, neophodne za svakodnevnu pisanu ili govornu komunikaciju</w:t>
            </w:r>
          </w:p>
          <w:p w14:paraId="40D05805"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2. primijeniti osnovne gramatičke strukture u zadanom kontekstu pisanog ili govornog engleskog jezika</w:t>
            </w:r>
          </w:p>
          <w:p w14:paraId="13CD8B37" w14:textId="77777777" w:rsidR="00E41BE6" w:rsidRPr="00DF4CE5" w:rsidRDefault="00E41BE6" w:rsidP="00E41BE6">
            <w:pPr>
              <w:spacing w:after="0" w:line="240" w:lineRule="auto"/>
              <w:ind w:left="-2"/>
              <w:contextualSpacing/>
              <w:rPr>
                <w:rFonts w:ascii="Cambria" w:eastAsia="Calibri" w:hAnsi="Cambria" w:cs="Calibri"/>
                <w:lang w:val="hr-HR"/>
              </w:rPr>
            </w:pPr>
            <w:r w:rsidRPr="00DF4CE5">
              <w:rPr>
                <w:rFonts w:ascii="Cambria" w:eastAsia="Calibri" w:hAnsi="Cambria" w:cs="Calibri"/>
                <w:lang w:val="hr-HR"/>
              </w:rPr>
              <w:t xml:space="preserve">3. koristiti vještinu slušanja i analiziranja sadržaja pomoću izvornih </w:t>
            </w:r>
            <w:proofErr w:type="spellStart"/>
            <w:r w:rsidRPr="00DF4CE5">
              <w:rPr>
                <w:rFonts w:ascii="Cambria" w:eastAsia="Calibri" w:hAnsi="Cambria" w:cs="Calibri"/>
                <w:lang w:val="hr-HR"/>
              </w:rPr>
              <w:t>audiomaterijala</w:t>
            </w:r>
            <w:proofErr w:type="spellEnd"/>
          </w:p>
          <w:p w14:paraId="4F6276D3" w14:textId="77777777" w:rsidR="00E41BE6" w:rsidRPr="00DF4CE5" w:rsidRDefault="00E41BE6" w:rsidP="00E41BE6">
            <w:pPr>
              <w:spacing w:after="0" w:line="240" w:lineRule="auto"/>
              <w:ind w:left="-2"/>
              <w:contextualSpacing/>
              <w:rPr>
                <w:rFonts w:ascii="Cambria" w:eastAsia="Calibri" w:hAnsi="Cambria" w:cs="Calibri"/>
                <w:lang w:val="hr-HR"/>
              </w:rPr>
            </w:pPr>
            <w:r w:rsidRPr="00DF4CE5">
              <w:rPr>
                <w:rFonts w:ascii="Cambria" w:eastAsia="Calibri" w:hAnsi="Cambria" w:cs="Calibri"/>
                <w:lang w:val="hr-HR"/>
              </w:rPr>
              <w:t>4. izraziti vlastito mišljenje u diskusijama i razgovorima</w:t>
            </w:r>
          </w:p>
          <w:p w14:paraId="0F755F30"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5. pravilno čitati i izgovarati tekstove na engleskom jeziku</w:t>
            </w:r>
          </w:p>
          <w:p w14:paraId="24D16272"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6. pravilno napisati različite vrste tekstova</w:t>
            </w:r>
          </w:p>
        </w:tc>
      </w:tr>
      <w:tr w:rsidR="00E41BE6" w:rsidRPr="00DF4CE5" w14:paraId="42DECAD4" w14:textId="77777777" w:rsidTr="00C52F47">
        <w:tc>
          <w:tcPr>
            <w:tcW w:w="2265"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7F78B394"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Sadržaj kolegija</w:t>
            </w:r>
          </w:p>
        </w:tc>
        <w:tc>
          <w:tcPr>
            <w:tcW w:w="7075"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48E345E" w14:textId="1FCDCDF2" w:rsidR="00E41BE6" w:rsidRPr="00DF4CE5" w:rsidRDefault="00E41BE6" w:rsidP="00E41BE6">
            <w:pPr>
              <w:spacing w:before="20" w:after="20" w:line="240" w:lineRule="auto"/>
              <w:rPr>
                <w:rFonts w:ascii="Cambria" w:eastAsia="Times New Roman" w:hAnsi="Cambria" w:cs="Times New Roman"/>
                <w:lang w:val="hr-HR"/>
              </w:rPr>
            </w:pPr>
            <w:r w:rsidRPr="00DF4CE5">
              <w:rPr>
                <w:rFonts w:ascii="Cambria" w:eastAsia="Times New Roman" w:hAnsi="Cambria" w:cs="Times New Roman"/>
                <w:lang w:val="hr-HR"/>
              </w:rPr>
              <w:t>1.</w:t>
            </w:r>
            <w:r w:rsidR="00951B31" w:rsidRPr="00DF4CE5">
              <w:rPr>
                <w:rFonts w:ascii="Cambria" w:eastAsia="Times New Roman" w:hAnsi="Cambria" w:cs="Times New Roman"/>
                <w:lang w:val="hr-HR"/>
              </w:rPr>
              <w:t xml:space="preserve"> </w:t>
            </w:r>
            <w:proofErr w:type="spellStart"/>
            <w:r w:rsidRPr="00DF4CE5">
              <w:rPr>
                <w:rFonts w:ascii="Cambria" w:eastAsia="Times New Roman" w:hAnsi="Cambria" w:cs="Times New Roman"/>
                <w:lang w:val="hr-HR"/>
              </w:rPr>
              <w:t>Balance</w:t>
            </w:r>
            <w:proofErr w:type="spellEnd"/>
          </w:p>
          <w:p w14:paraId="6E7BE0DF" w14:textId="77777777" w:rsidR="00E41BE6" w:rsidRPr="00DF4CE5" w:rsidRDefault="00E41BE6" w:rsidP="00E41BE6">
            <w:pPr>
              <w:spacing w:before="20" w:after="20" w:line="240" w:lineRule="auto"/>
              <w:rPr>
                <w:rFonts w:ascii="Cambria" w:eastAsia="Times New Roman" w:hAnsi="Cambria" w:cs="Times New Roman"/>
                <w:lang w:val="hr-HR"/>
              </w:rPr>
            </w:pPr>
            <w:r w:rsidRPr="00DF4CE5">
              <w:rPr>
                <w:rFonts w:ascii="Cambria" w:eastAsia="Times New Roman" w:hAnsi="Cambria" w:cs="Times New Roman"/>
                <w:lang w:val="hr-HR"/>
              </w:rPr>
              <w:t xml:space="preserve">2. </w:t>
            </w:r>
            <w:proofErr w:type="spellStart"/>
            <w:r w:rsidRPr="00DF4CE5">
              <w:rPr>
                <w:rFonts w:ascii="Cambria" w:eastAsia="Times New Roman" w:hAnsi="Cambria" w:cs="Times New Roman"/>
                <w:lang w:val="hr-HR"/>
              </w:rPr>
              <w:t>Verb</w:t>
            </w:r>
            <w:proofErr w:type="spellEnd"/>
            <w:r w:rsidRPr="00DF4CE5">
              <w:rPr>
                <w:rFonts w:ascii="Cambria" w:eastAsia="Times New Roman" w:hAnsi="Cambria" w:cs="Times New Roman"/>
                <w:lang w:val="hr-HR"/>
              </w:rPr>
              <w:t xml:space="preserve"> </w:t>
            </w:r>
            <w:proofErr w:type="spellStart"/>
            <w:r w:rsidRPr="00DF4CE5">
              <w:rPr>
                <w:rFonts w:ascii="Cambria" w:eastAsia="Times New Roman" w:hAnsi="Cambria" w:cs="Times New Roman"/>
                <w:lang w:val="hr-HR"/>
              </w:rPr>
              <w:t>patterns</w:t>
            </w:r>
            <w:proofErr w:type="spellEnd"/>
            <w:r w:rsidRPr="00DF4CE5">
              <w:rPr>
                <w:rFonts w:ascii="Cambria" w:eastAsia="Times New Roman" w:hAnsi="Cambria" w:cs="Times New Roman"/>
                <w:lang w:val="hr-HR"/>
              </w:rPr>
              <w:t xml:space="preserve">, - </w:t>
            </w:r>
            <w:proofErr w:type="spellStart"/>
            <w:r w:rsidRPr="00DF4CE5">
              <w:rPr>
                <w:rFonts w:ascii="Cambria" w:eastAsia="Times New Roman" w:hAnsi="Cambria" w:cs="Times New Roman"/>
                <w:lang w:val="hr-HR"/>
              </w:rPr>
              <w:t>ing</w:t>
            </w:r>
            <w:proofErr w:type="spellEnd"/>
            <w:r w:rsidRPr="00DF4CE5">
              <w:rPr>
                <w:rFonts w:ascii="Cambria" w:eastAsia="Times New Roman" w:hAnsi="Cambria" w:cs="Times New Roman"/>
                <w:lang w:val="hr-HR"/>
              </w:rPr>
              <w:t xml:space="preserve"> </w:t>
            </w:r>
            <w:proofErr w:type="spellStart"/>
            <w:r w:rsidRPr="00DF4CE5">
              <w:rPr>
                <w:rFonts w:ascii="Cambria" w:eastAsia="Times New Roman" w:hAnsi="Cambria" w:cs="Times New Roman"/>
                <w:lang w:val="hr-HR"/>
              </w:rPr>
              <w:t>and</w:t>
            </w:r>
            <w:proofErr w:type="spellEnd"/>
            <w:r w:rsidRPr="00DF4CE5">
              <w:rPr>
                <w:rFonts w:ascii="Cambria" w:eastAsia="Times New Roman" w:hAnsi="Cambria" w:cs="Times New Roman"/>
                <w:lang w:val="hr-HR"/>
              </w:rPr>
              <w:t xml:space="preserve"> infinitive</w:t>
            </w:r>
          </w:p>
          <w:p w14:paraId="216ECC57" w14:textId="77777777" w:rsidR="00E41BE6" w:rsidRPr="00DF4CE5" w:rsidRDefault="00E41BE6" w:rsidP="00E41BE6">
            <w:pPr>
              <w:spacing w:before="20" w:after="20" w:line="240" w:lineRule="auto"/>
              <w:rPr>
                <w:rFonts w:ascii="Cambria" w:eastAsia="Times New Roman" w:hAnsi="Cambria" w:cs="Times New Roman"/>
                <w:lang w:val="hr-HR"/>
              </w:rPr>
            </w:pPr>
            <w:r w:rsidRPr="00DF4CE5">
              <w:rPr>
                <w:rFonts w:ascii="Cambria" w:eastAsia="Times New Roman" w:hAnsi="Cambria" w:cs="Times New Roman"/>
                <w:lang w:val="hr-HR"/>
              </w:rPr>
              <w:t xml:space="preserve">3. Creative </w:t>
            </w:r>
            <w:proofErr w:type="spellStart"/>
            <w:r w:rsidRPr="00DF4CE5">
              <w:rPr>
                <w:rFonts w:ascii="Cambria" w:eastAsia="Times New Roman" w:hAnsi="Cambria" w:cs="Times New Roman"/>
                <w:lang w:val="hr-HR"/>
              </w:rPr>
              <w:t>thinking</w:t>
            </w:r>
            <w:proofErr w:type="spellEnd"/>
          </w:p>
          <w:p w14:paraId="32A1ECDD" w14:textId="77777777" w:rsidR="00E41BE6" w:rsidRPr="00DF4CE5" w:rsidRDefault="00E41BE6" w:rsidP="00E41BE6">
            <w:pPr>
              <w:spacing w:before="20" w:after="20" w:line="240" w:lineRule="auto"/>
              <w:rPr>
                <w:rFonts w:ascii="Cambria" w:eastAsia="Times New Roman" w:hAnsi="Cambria" w:cs="Times New Roman"/>
                <w:lang w:val="hr-HR"/>
              </w:rPr>
            </w:pPr>
            <w:r w:rsidRPr="00DF4CE5">
              <w:rPr>
                <w:rFonts w:ascii="Cambria" w:eastAsia="Times New Roman" w:hAnsi="Cambria" w:cs="Times New Roman"/>
                <w:lang w:val="hr-HR"/>
              </w:rPr>
              <w:t xml:space="preserve">4. </w:t>
            </w:r>
            <w:proofErr w:type="spellStart"/>
            <w:r w:rsidRPr="00DF4CE5">
              <w:rPr>
                <w:rFonts w:ascii="Cambria" w:eastAsia="Times New Roman" w:hAnsi="Cambria" w:cs="Times New Roman"/>
                <w:lang w:val="hr-HR"/>
              </w:rPr>
              <w:t>Relative</w:t>
            </w:r>
            <w:proofErr w:type="spellEnd"/>
            <w:r w:rsidRPr="00DF4CE5">
              <w:rPr>
                <w:rFonts w:ascii="Cambria" w:eastAsia="Times New Roman" w:hAnsi="Cambria" w:cs="Times New Roman"/>
                <w:lang w:val="hr-HR"/>
              </w:rPr>
              <w:t xml:space="preserve"> </w:t>
            </w:r>
            <w:proofErr w:type="spellStart"/>
            <w:r w:rsidRPr="00DF4CE5">
              <w:rPr>
                <w:rFonts w:ascii="Cambria" w:eastAsia="Times New Roman" w:hAnsi="Cambria" w:cs="Times New Roman"/>
                <w:lang w:val="hr-HR"/>
              </w:rPr>
              <w:t>clauses</w:t>
            </w:r>
            <w:proofErr w:type="spellEnd"/>
          </w:p>
          <w:p w14:paraId="0908AA2A" w14:textId="77777777" w:rsidR="00E41BE6" w:rsidRPr="00DF4CE5" w:rsidRDefault="00E41BE6" w:rsidP="00E41BE6">
            <w:pPr>
              <w:spacing w:before="20" w:after="20" w:line="240" w:lineRule="auto"/>
              <w:rPr>
                <w:rFonts w:ascii="Cambria" w:eastAsia="Times New Roman" w:hAnsi="Cambria" w:cs="Times New Roman"/>
                <w:lang w:val="hr-HR"/>
              </w:rPr>
            </w:pPr>
            <w:r w:rsidRPr="00DF4CE5">
              <w:rPr>
                <w:rFonts w:ascii="Cambria" w:eastAsia="Times New Roman" w:hAnsi="Cambria" w:cs="Times New Roman"/>
                <w:lang w:val="hr-HR"/>
              </w:rPr>
              <w:t xml:space="preserve">5. </w:t>
            </w:r>
            <w:proofErr w:type="spellStart"/>
            <w:r w:rsidRPr="00DF4CE5">
              <w:rPr>
                <w:rFonts w:ascii="Cambria" w:eastAsia="Times New Roman" w:hAnsi="Cambria" w:cs="Times New Roman"/>
                <w:lang w:val="hr-HR"/>
              </w:rPr>
              <w:t>Connections</w:t>
            </w:r>
            <w:proofErr w:type="spellEnd"/>
          </w:p>
          <w:p w14:paraId="2C74B280" w14:textId="77777777" w:rsidR="00E41BE6" w:rsidRPr="00DF4CE5" w:rsidRDefault="00E41BE6" w:rsidP="00E41BE6">
            <w:pPr>
              <w:spacing w:before="20" w:after="20" w:line="240" w:lineRule="auto"/>
              <w:rPr>
                <w:rFonts w:ascii="Cambria" w:eastAsia="Times New Roman" w:hAnsi="Cambria" w:cs="Times New Roman"/>
                <w:lang w:val="hr-HR"/>
              </w:rPr>
            </w:pPr>
            <w:r w:rsidRPr="00DF4CE5">
              <w:rPr>
                <w:rFonts w:ascii="Cambria" w:eastAsia="Times New Roman" w:hAnsi="Cambria" w:cs="Times New Roman"/>
                <w:lang w:val="hr-HR"/>
              </w:rPr>
              <w:t xml:space="preserve">6. </w:t>
            </w:r>
            <w:proofErr w:type="spellStart"/>
            <w:r w:rsidRPr="00DF4CE5">
              <w:rPr>
                <w:rFonts w:ascii="Cambria" w:eastAsia="Times New Roman" w:hAnsi="Cambria" w:cs="Times New Roman"/>
                <w:lang w:val="hr-HR"/>
              </w:rPr>
              <w:t>Reported</w:t>
            </w:r>
            <w:proofErr w:type="spellEnd"/>
            <w:r w:rsidRPr="00DF4CE5">
              <w:rPr>
                <w:rFonts w:ascii="Cambria" w:eastAsia="Times New Roman" w:hAnsi="Cambria" w:cs="Times New Roman"/>
                <w:lang w:val="hr-HR"/>
              </w:rPr>
              <w:t xml:space="preserve"> </w:t>
            </w:r>
            <w:proofErr w:type="spellStart"/>
            <w:r w:rsidRPr="00DF4CE5">
              <w:rPr>
                <w:rFonts w:ascii="Cambria" w:eastAsia="Times New Roman" w:hAnsi="Cambria" w:cs="Times New Roman"/>
                <w:lang w:val="hr-HR"/>
              </w:rPr>
              <w:t>speech</w:t>
            </w:r>
            <w:proofErr w:type="spellEnd"/>
          </w:p>
          <w:p w14:paraId="13F0968B" w14:textId="77777777" w:rsidR="00E41BE6" w:rsidRPr="00DF4CE5" w:rsidRDefault="00E41BE6" w:rsidP="00E41BE6">
            <w:pPr>
              <w:spacing w:before="20" w:after="20" w:line="240" w:lineRule="auto"/>
              <w:rPr>
                <w:rFonts w:ascii="Cambria" w:eastAsia="Times New Roman" w:hAnsi="Cambria" w:cs="Times New Roman"/>
                <w:lang w:val="hr-HR"/>
              </w:rPr>
            </w:pPr>
            <w:r w:rsidRPr="00DF4CE5">
              <w:rPr>
                <w:rFonts w:ascii="Cambria" w:eastAsia="Times New Roman" w:hAnsi="Cambria" w:cs="Times New Roman"/>
                <w:lang w:val="hr-HR"/>
              </w:rPr>
              <w:t>7. Resources</w:t>
            </w:r>
          </w:p>
          <w:p w14:paraId="0FCC1543" w14:textId="77777777" w:rsidR="00E41BE6" w:rsidRPr="00DF4CE5" w:rsidRDefault="00E41BE6" w:rsidP="00E41BE6">
            <w:pPr>
              <w:spacing w:before="20" w:after="20" w:line="240" w:lineRule="auto"/>
              <w:rPr>
                <w:rFonts w:ascii="Cambria" w:eastAsia="Times New Roman" w:hAnsi="Cambria" w:cs="Times New Roman"/>
                <w:lang w:val="hr-HR"/>
              </w:rPr>
            </w:pPr>
            <w:r w:rsidRPr="00DF4CE5">
              <w:rPr>
                <w:rFonts w:ascii="Cambria" w:eastAsia="Times New Roman" w:hAnsi="Cambria" w:cs="Times New Roman"/>
                <w:lang w:val="hr-HR"/>
              </w:rPr>
              <w:t xml:space="preserve">8. </w:t>
            </w:r>
            <w:proofErr w:type="spellStart"/>
            <w:r w:rsidRPr="00DF4CE5">
              <w:rPr>
                <w:rFonts w:ascii="Cambria" w:eastAsia="Times New Roman" w:hAnsi="Cambria" w:cs="Times New Roman"/>
                <w:lang w:val="hr-HR"/>
              </w:rPr>
              <w:t>Articles</w:t>
            </w:r>
            <w:proofErr w:type="spellEnd"/>
            <w:r w:rsidRPr="00DF4CE5">
              <w:rPr>
                <w:rFonts w:ascii="Cambria" w:eastAsia="Times New Roman" w:hAnsi="Cambria" w:cs="Times New Roman"/>
                <w:lang w:val="hr-HR"/>
              </w:rPr>
              <w:t xml:space="preserve"> </w:t>
            </w:r>
            <w:proofErr w:type="spellStart"/>
            <w:r w:rsidRPr="00DF4CE5">
              <w:rPr>
                <w:rFonts w:ascii="Cambria" w:eastAsia="Times New Roman" w:hAnsi="Cambria" w:cs="Times New Roman"/>
                <w:lang w:val="hr-HR"/>
              </w:rPr>
              <w:t>and</w:t>
            </w:r>
            <w:proofErr w:type="spellEnd"/>
            <w:r w:rsidRPr="00DF4CE5">
              <w:rPr>
                <w:rFonts w:ascii="Cambria" w:eastAsia="Times New Roman" w:hAnsi="Cambria" w:cs="Times New Roman"/>
                <w:lang w:val="hr-HR"/>
              </w:rPr>
              <w:t xml:space="preserve"> </w:t>
            </w:r>
            <w:proofErr w:type="spellStart"/>
            <w:r w:rsidRPr="00DF4CE5">
              <w:rPr>
                <w:rFonts w:ascii="Cambria" w:eastAsia="Times New Roman" w:hAnsi="Cambria" w:cs="Times New Roman"/>
                <w:lang w:val="hr-HR"/>
              </w:rPr>
              <w:t>quantifiers</w:t>
            </w:r>
            <w:proofErr w:type="spellEnd"/>
          </w:p>
          <w:p w14:paraId="235858C0" w14:textId="77777777" w:rsidR="00E41BE6" w:rsidRPr="00DF4CE5" w:rsidRDefault="00E41BE6" w:rsidP="00E41BE6">
            <w:pPr>
              <w:spacing w:before="20" w:after="20" w:line="240" w:lineRule="auto"/>
              <w:rPr>
                <w:rFonts w:ascii="Cambria" w:eastAsia="Times New Roman" w:hAnsi="Cambria" w:cs="Times New Roman"/>
                <w:lang w:val="hr-HR"/>
              </w:rPr>
            </w:pPr>
            <w:r w:rsidRPr="00DF4CE5">
              <w:rPr>
                <w:rFonts w:ascii="Cambria" w:eastAsia="Times New Roman" w:hAnsi="Cambria" w:cs="Times New Roman"/>
                <w:lang w:val="hr-HR"/>
              </w:rPr>
              <w:t xml:space="preserve">9. </w:t>
            </w:r>
            <w:proofErr w:type="spellStart"/>
            <w:r w:rsidRPr="00DF4CE5">
              <w:rPr>
                <w:rFonts w:ascii="Cambria" w:eastAsia="Times New Roman" w:hAnsi="Cambria" w:cs="Times New Roman"/>
                <w:lang w:val="hr-HR"/>
              </w:rPr>
              <w:t>Change</w:t>
            </w:r>
            <w:proofErr w:type="spellEnd"/>
          </w:p>
          <w:p w14:paraId="0F517414" w14:textId="77777777" w:rsidR="00E41BE6" w:rsidRPr="00DF4CE5" w:rsidRDefault="00E41BE6" w:rsidP="00E41BE6">
            <w:pPr>
              <w:spacing w:before="20" w:after="20" w:line="240" w:lineRule="auto"/>
              <w:rPr>
                <w:rFonts w:ascii="Cambria" w:eastAsia="Times New Roman" w:hAnsi="Cambria" w:cs="Times New Roman"/>
                <w:i/>
                <w:lang w:val="hr-HR"/>
              </w:rPr>
            </w:pPr>
            <w:r w:rsidRPr="00DF4CE5">
              <w:rPr>
                <w:rFonts w:ascii="Cambria" w:eastAsia="Times New Roman" w:hAnsi="Cambria" w:cs="Times New Roman"/>
                <w:lang w:val="hr-HR"/>
              </w:rPr>
              <w:t xml:space="preserve">10. </w:t>
            </w:r>
            <w:proofErr w:type="spellStart"/>
            <w:r w:rsidRPr="00DF4CE5">
              <w:rPr>
                <w:rFonts w:ascii="Cambria" w:eastAsia="Times New Roman" w:hAnsi="Cambria" w:cs="Times New Roman"/>
                <w:lang w:val="hr-HR"/>
              </w:rPr>
              <w:t>Conditional</w:t>
            </w:r>
            <w:proofErr w:type="spellEnd"/>
            <w:r w:rsidRPr="00DF4CE5">
              <w:rPr>
                <w:rFonts w:ascii="Cambria" w:eastAsia="Times New Roman" w:hAnsi="Cambria" w:cs="Times New Roman"/>
                <w:lang w:val="hr-HR"/>
              </w:rPr>
              <w:t xml:space="preserve"> </w:t>
            </w:r>
            <w:proofErr w:type="spellStart"/>
            <w:r w:rsidRPr="00DF4CE5">
              <w:rPr>
                <w:rFonts w:ascii="Cambria" w:eastAsia="Times New Roman" w:hAnsi="Cambria" w:cs="Times New Roman"/>
                <w:lang w:val="hr-HR"/>
              </w:rPr>
              <w:t>sentences</w:t>
            </w:r>
            <w:proofErr w:type="spellEnd"/>
            <w:r w:rsidRPr="00DF4CE5">
              <w:rPr>
                <w:rFonts w:ascii="Cambria" w:eastAsia="Times New Roman" w:hAnsi="Cambria" w:cs="Times New Roman"/>
                <w:lang w:val="hr-HR"/>
              </w:rPr>
              <w:t xml:space="preserve"> 3, </w:t>
            </w:r>
            <w:proofErr w:type="spellStart"/>
            <w:r w:rsidRPr="00DF4CE5">
              <w:rPr>
                <w:rFonts w:ascii="Cambria" w:eastAsia="Times New Roman" w:hAnsi="Cambria" w:cs="Times New Roman"/>
                <w:lang w:val="hr-HR"/>
              </w:rPr>
              <w:t>wish</w:t>
            </w:r>
            <w:proofErr w:type="spellEnd"/>
          </w:p>
        </w:tc>
      </w:tr>
      <w:tr w:rsidR="00E41BE6" w:rsidRPr="00DF4CE5" w14:paraId="3AB1F2AD" w14:textId="77777777" w:rsidTr="00C52F47">
        <w:tc>
          <w:tcPr>
            <w:tcW w:w="2265"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hideMark/>
          </w:tcPr>
          <w:p w14:paraId="7817FD41"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Planirane aktivnosti</w:t>
            </w:r>
            <w:r w:rsidRPr="00DF4CE5">
              <w:rPr>
                <w:rFonts w:ascii="Cambria" w:eastAsia="Times New Roman" w:hAnsi="Cambria" w:cs="Calibri"/>
                <w:lang w:val="it-IT"/>
              </w:rPr>
              <w:t>,</w:t>
            </w:r>
          </w:p>
          <w:p w14:paraId="4B5BA970" w14:textId="77777777" w:rsidR="00E41BE6" w:rsidRPr="00DF4CE5" w:rsidRDefault="00E41BE6" w:rsidP="00E41BE6">
            <w:pPr>
              <w:spacing w:after="0" w:line="240" w:lineRule="auto"/>
              <w:rPr>
                <w:rFonts w:ascii="Cambria" w:eastAsia="Times New Roman" w:hAnsi="Cambria" w:cs="Calibri"/>
                <w:lang w:val="hr-HR"/>
              </w:rPr>
            </w:pPr>
            <w:proofErr w:type="spellStart"/>
            <w:r w:rsidRPr="00DF4CE5">
              <w:rPr>
                <w:rFonts w:ascii="Cambria" w:eastAsia="Times New Roman" w:hAnsi="Cambria" w:cs="Calibri"/>
                <w:lang w:val="it-IT"/>
              </w:rPr>
              <w:lastRenderedPageBreak/>
              <w:t>metode</w:t>
            </w:r>
            <w:proofErr w:type="spellEnd"/>
            <w:r w:rsidRPr="00DF4CE5">
              <w:rPr>
                <w:rFonts w:ascii="Cambria" w:eastAsia="Times New Roman" w:hAnsi="Cambria" w:cs="Calibri"/>
                <w:lang w:val="it-IT"/>
              </w:rPr>
              <w:t xml:space="preserve"> </w:t>
            </w:r>
            <w:r w:rsidRPr="00DF4CE5">
              <w:rPr>
                <w:rFonts w:ascii="Cambria" w:eastAsia="Times New Roman" w:hAnsi="Cambria" w:cs="Calibri"/>
                <w:lang w:val="hr-HR"/>
              </w:rPr>
              <w:t>učenja i poučavanja i načini vrednovanja</w:t>
            </w:r>
          </w:p>
          <w:p w14:paraId="16800D39" w14:textId="77777777" w:rsidR="00E41BE6" w:rsidRPr="00DF4CE5" w:rsidRDefault="00E41BE6" w:rsidP="00E41BE6">
            <w:pPr>
              <w:spacing w:after="0" w:line="240" w:lineRule="auto"/>
              <w:rPr>
                <w:rFonts w:ascii="Cambria" w:eastAsia="Times New Roman" w:hAnsi="Cambria" w:cs="Calibri"/>
                <w:lang w:val="hr-HR"/>
              </w:rPr>
            </w:pPr>
          </w:p>
        </w:tc>
        <w:tc>
          <w:tcPr>
            <w:tcW w:w="231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9880DE3" w14:textId="77777777" w:rsidR="00E41BE6" w:rsidRPr="00DF4CE5" w:rsidRDefault="00E41BE6" w:rsidP="00E41BE6">
            <w:pPr>
              <w:spacing w:after="0" w:line="240" w:lineRule="auto"/>
              <w:rPr>
                <w:rFonts w:ascii="Cambria" w:eastAsia="Times New Roman" w:hAnsi="Cambria" w:cs="Calibri"/>
                <w:bCs/>
                <w:lang w:val="hr-HR"/>
              </w:rPr>
            </w:pPr>
          </w:p>
          <w:p w14:paraId="03899090"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bCs/>
                <w:lang w:val="hr-HR"/>
              </w:rPr>
              <w:t>Obveze</w:t>
            </w:r>
          </w:p>
          <w:p w14:paraId="4F7BA8A6" w14:textId="77777777" w:rsidR="00E41BE6" w:rsidRPr="00DF4CE5" w:rsidRDefault="00E41BE6" w:rsidP="00E41BE6">
            <w:pPr>
              <w:spacing w:after="0" w:line="240" w:lineRule="auto"/>
              <w:rPr>
                <w:rFonts w:ascii="Cambria" w:eastAsia="Times New Roman" w:hAnsi="Cambria" w:cs="Calibri"/>
                <w:lang w:val="hr-HR"/>
              </w:rPr>
            </w:pPr>
          </w:p>
        </w:tc>
        <w:tc>
          <w:tcPr>
            <w:tcW w:w="81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601B4F5" w14:textId="77777777" w:rsidR="00E41BE6" w:rsidRPr="00DF4CE5" w:rsidRDefault="00E41BE6" w:rsidP="00E41BE6">
            <w:pPr>
              <w:spacing w:after="0" w:line="240" w:lineRule="auto"/>
              <w:rPr>
                <w:rFonts w:ascii="Cambria" w:eastAsia="Times New Roman" w:hAnsi="Cambria" w:cs="Calibri"/>
                <w:bCs/>
                <w:lang w:val="hr-HR"/>
              </w:rPr>
            </w:pPr>
          </w:p>
          <w:p w14:paraId="1A87EDE1"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bCs/>
                <w:lang w:val="hr-HR"/>
              </w:rPr>
              <w:t>Ishodi</w:t>
            </w:r>
          </w:p>
          <w:p w14:paraId="6BBD802A" w14:textId="77777777" w:rsidR="00E41BE6" w:rsidRPr="00DF4CE5" w:rsidRDefault="00E41BE6" w:rsidP="00E41BE6">
            <w:pPr>
              <w:spacing w:after="0" w:line="240" w:lineRule="auto"/>
              <w:rPr>
                <w:rFonts w:ascii="Cambria" w:eastAsia="Times New Roman" w:hAnsi="Cambria" w:cs="Calibri"/>
                <w:lang w:val="hr-HR"/>
              </w:rPr>
            </w:pPr>
          </w:p>
        </w:tc>
        <w:tc>
          <w:tcPr>
            <w:tcW w:w="63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FEACAA2"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bCs/>
                <w:lang w:val="hr-HR"/>
              </w:rPr>
              <w:t>Sati</w:t>
            </w:r>
          </w:p>
        </w:tc>
        <w:tc>
          <w:tcPr>
            <w:tcW w:w="153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D6CA0F6"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bCs/>
                <w:lang w:val="hr-HR"/>
              </w:rPr>
              <w:t>Udio u ECTS</w:t>
            </w:r>
          </w:p>
        </w:tc>
        <w:tc>
          <w:tcPr>
            <w:tcW w:w="179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B67DDB9"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bCs/>
                <w:lang w:val="hr-HR"/>
              </w:rPr>
              <w:t>Maksimalni udio u ocjeni</w:t>
            </w:r>
            <w:r w:rsidRPr="00DF4CE5">
              <w:rPr>
                <w:rFonts w:ascii="Cambria" w:eastAsia="Times New Roman" w:hAnsi="Cambria" w:cs="Calibri"/>
                <w:bCs/>
              </w:rPr>
              <w:t xml:space="preserve"> (%)</w:t>
            </w:r>
          </w:p>
        </w:tc>
      </w:tr>
      <w:tr w:rsidR="00E41BE6" w:rsidRPr="00DF4CE5" w14:paraId="0BECED2C" w14:textId="77777777" w:rsidTr="00C52F47">
        <w:tc>
          <w:tcPr>
            <w:tcW w:w="2265" w:type="dxa"/>
            <w:vMerge/>
            <w:tcBorders>
              <w:left w:val="single" w:sz="8" w:space="0" w:color="000000"/>
              <w:right w:val="single" w:sz="8" w:space="0" w:color="000000"/>
            </w:tcBorders>
            <w:vAlign w:val="center"/>
            <w:hideMark/>
          </w:tcPr>
          <w:p w14:paraId="57B7A2F9" w14:textId="77777777" w:rsidR="00E41BE6" w:rsidRPr="00DF4CE5" w:rsidRDefault="00E41BE6" w:rsidP="00E41BE6">
            <w:pPr>
              <w:spacing w:after="0" w:line="240" w:lineRule="auto"/>
              <w:rPr>
                <w:rFonts w:ascii="Cambria" w:eastAsia="Times New Roman" w:hAnsi="Cambria" w:cs="Calibri"/>
                <w:lang w:val="hr-HR"/>
              </w:rPr>
            </w:pPr>
          </w:p>
        </w:tc>
        <w:tc>
          <w:tcPr>
            <w:tcW w:w="231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AF41947" w14:textId="77AE611C"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 xml:space="preserve">aktivnost </w:t>
            </w:r>
            <w:r w:rsidR="000F57D9" w:rsidRPr="00DF4CE5">
              <w:rPr>
                <w:rFonts w:ascii="Cambria" w:eastAsia="Times New Roman" w:hAnsi="Cambria" w:cs="Calibri"/>
                <w:lang w:val="hr-HR"/>
              </w:rPr>
              <w:t>na</w:t>
            </w:r>
            <w:r w:rsidRPr="00DF4CE5">
              <w:rPr>
                <w:rFonts w:ascii="Cambria" w:eastAsia="Times New Roman" w:hAnsi="Cambria" w:cs="Calibri"/>
                <w:lang w:val="hr-HR"/>
              </w:rPr>
              <w:t xml:space="preserve"> nastavi</w:t>
            </w:r>
          </w:p>
        </w:tc>
        <w:tc>
          <w:tcPr>
            <w:tcW w:w="81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17A8512" w14:textId="77777777" w:rsidR="00E41BE6" w:rsidRPr="00DF4CE5" w:rsidRDefault="00E41BE6" w:rsidP="00E41BE6">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1.- 6.</w:t>
            </w:r>
          </w:p>
        </w:tc>
        <w:tc>
          <w:tcPr>
            <w:tcW w:w="63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44FD9EF" w14:textId="77777777" w:rsidR="00E41BE6" w:rsidRPr="00DF4CE5" w:rsidRDefault="00E41BE6" w:rsidP="00E41BE6">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45</w:t>
            </w:r>
          </w:p>
        </w:tc>
        <w:tc>
          <w:tcPr>
            <w:tcW w:w="153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66869DC" w14:textId="77777777" w:rsidR="00E41BE6" w:rsidRPr="00DF4CE5" w:rsidRDefault="00E41BE6" w:rsidP="00E41BE6">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1,5</w:t>
            </w:r>
          </w:p>
        </w:tc>
        <w:tc>
          <w:tcPr>
            <w:tcW w:w="179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EB1F40F" w14:textId="77777777" w:rsidR="00E41BE6" w:rsidRPr="00DF4CE5" w:rsidRDefault="00E41BE6" w:rsidP="00E41BE6">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10%</w:t>
            </w:r>
          </w:p>
        </w:tc>
      </w:tr>
      <w:tr w:rsidR="00E41BE6" w:rsidRPr="00DF4CE5" w14:paraId="34128C98" w14:textId="77777777" w:rsidTr="00C52F47">
        <w:tc>
          <w:tcPr>
            <w:tcW w:w="2265" w:type="dxa"/>
            <w:vMerge/>
            <w:tcBorders>
              <w:left w:val="single" w:sz="8" w:space="0" w:color="000000"/>
              <w:right w:val="single" w:sz="8" w:space="0" w:color="000000"/>
            </w:tcBorders>
            <w:vAlign w:val="center"/>
            <w:hideMark/>
          </w:tcPr>
          <w:p w14:paraId="1B535F11" w14:textId="77777777" w:rsidR="00E41BE6" w:rsidRPr="00DF4CE5" w:rsidRDefault="00E41BE6" w:rsidP="00E41BE6">
            <w:pPr>
              <w:spacing w:after="0" w:line="240" w:lineRule="auto"/>
              <w:rPr>
                <w:rFonts w:ascii="Cambria" w:eastAsia="Times New Roman" w:hAnsi="Cambria" w:cs="Calibri"/>
                <w:lang w:val="hr-HR"/>
              </w:rPr>
            </w:pPr>
          </w:p>
        </w:tc>
        <w:tc>
          <w:tcPr>
            <w:tcW w:w="231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872DDD9"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jedna prezentacija na zadanu temu</w:t>
            </w:r>
          </w:p>
        </w:tc>
        <w:tc>
          <w:tcPr>
            <w:tcW w:w="81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9B5C366" w14:textId="77777777" w:rsidR="00E41BE6" w:rsidRPr="00DF4CE5" w:rsidRDefault="00E41BE6" w:rsidP="00E41BE6">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1.- 6.</w:t>
            </w:r>
          </w:p>
        </w:tc>
        <w:tc>
          <w:tcPr>
            <w:tcW w:w="63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D15D34E" w14:textId="77777777" w:rsidR="00E41BE6" w:rsidRPr="00DF4CE5" w:rsidRDefault="00E41BE6" w:rsidP="00E41BE6">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21</w:t>
            </w:r>
          </w:p>
        </w:tc>
        <w:tc>
          <w:tcPr>
            <w:tcW w:w="153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9583A77" w14:textId="77777777" w:rsidR="00E41BE6" w:rsidRPr="00DF4CE5" w:rsidRDefault="00E41BE6" w:rsidP="00E41BE6">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0,7</w:t>
            </w:r>
          </w:p>
        </w:tc>
        <w:tc>
          <w:tcPr>
            <w:tcW w:w="179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8C7CD0F" w14:textId="77777777" w:rsidR="00E41BE6" w:rsidRPr="00DF4CE5" w:rsidRDefault="00E41BE6" w:rsidP="00E41BE6">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5%</w:t>
            </w:r>
          </w:p>
        </w:tc>
      </w:tr>
      <w:tr w:rsidR="00E41BE6" w:rsidRPr="00DF4CE5" w14:paraId="7F3A2E49" w14:textId="77777777" w:rsidTr="00C52F47">
        <w:tc>
          <w:tcPr>
            <w:tcW w:w="2265" w:type="dxa"/>
            <w:vMerge/>
            <w:tcBorders>
              <w:left w:val="single" w:sz="8" w:space="0" w:color="000000"/>
              <w:right w:val="single" w:sz="8" w:space="0" w:color="000000"/>
            </w:tcBorders>
            <w:vAlign w:val="center"/>
          </w:tcPr>
          <w:p w14:paraId="46A87C62" w14:textId="77777777" w:rsidR="00E41BE6" w:rsidRPr="00DF4CE5" w:rsidRDefault="00E41BE6" w:rsidP="00E41BE6">
            <w:pPr>
              <w:spacing w:after="0" w:line="240" w:lineRule="auto"/>
              <w:rPr>
                <w:rFonts w:ascii="Cambria" w:eastAsia="Times New Roman" w:hAnsi="Cambria" w:cs="Calibri"/>
                <w:lang w:val="hr-HR"/>
              </w:rPr>
            </w:pPr>
          </w:p>
        </w:tc>
        <w:tc>
          <w:tcPr>
            <w:tcW w:w="231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8B89B49" w14:textId="23676664" w:rsidR="00E41BE6" w:rsidRPr="00DF4CE5" w:rsidRDefault="000D37F8" w:rsidP="00E41BE6">
            <w:pPr>
              <w:spacing w:after="0" w:line="240" w:lineRule="auto"/>
              <w:rPr>
                <w:rFonts w:ascii="Cambria" w:eastAsia="Times New Roman" w:hAnsi="Cambria" w:cs="Calibri"/>
                <w:lang w:val="hr-HR"/>
              </w:rPr>
            </w:pPr>
            <w:r>
              <w:rPr>
                <w:rFonts w:ascii="Cambria" w:eastAsia="Times New Roman" w:hAnsi="Cambria" w:cs="Calibri"/>
                <w:lang w:val="hr-HR"/>
              </w:rPr>
              <w:t>e</w:t>
            </w:r>
            <w:r w:rsidR="00E41BE6" w:rsidRPr="00DF4CE5">
              <w:rPr>
                <w:rFonts w:ascii="Cambria" w:eastAsia="Times New Roman" w:hAnsi="Cambria" w:cs="Calibri"/>
                <w:lang w:val="hr-HR"/>
              </w:rPr>
              <w:t>sej</w:t>
            </w:r>
          </w:p>
        </w:tc>
        <w:tc>
          <w:tcPr>
            <w:tcW w:w="81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D2A17A2" w14:textId="77777777" w:rsidR="00E41BE6" w:rsidRPr="00DF4CE5" w:rsidRDefault="00E41BE6" w:rsidP="00E41BE6">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1.- 6.</w:t>
            </w:r>
          </w:p>
        </w:tc>
        <w:tc>
          <w:tcPr>
            <w:tcW w:w="63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2D99313" w14:textId="77777777" w:rsidR="00E41BE6" w:rsidRPr="00DF4CE5" w:rsidRDefault="00E41BE6" w:rsidP="00E41BE6">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21</w:t>
            </w:r>
          </w:p>
        </w:tc>
        <w:tc>
          <w:tcPr>
            <w:tcW w:w="153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FEBDEB2" w14:textId="77777777" w:rsidR="00E41BE6" w:rsidRPr="00DF4CE5" w:rsidRDefault="00E41BE6" w:rsidP="00E41BE6">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0,7</w:t>
            </w:r>
          </w:p>
        </w:tc>
        <w:tc>
          <w:tcPr>
            <w:tcW w:w="179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6CB459B" w14:textId="77777777" w:rsidR="00E41BE6" w:rsidRPr="00DF4CE5" w:rsidRDefault="00E41BE6" w:rsidP="00E41BE6">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5%</w:t>
            </w:r>
          </w:p>
        </w:tc>
      </w:tr>
      <w:tr w:rsidR="00E41BE6" w:rsidRPr="00DF4CE5" w14:paraId="30453383" w14:textId="77777777" w:rsidTr="00C52F47">
        <w:tc>
          <w:tcPr>
            <w:tcW w:w="2265" w:type="dxa"/>
            <w:vMerge/>
            <w:tcBorders>
              <w:left w:val="single" w:sz="8" w:space="0" w:color="000000"/>
              <w:right w:val="single" w:sz="8" w:space="0" w:color="000000"/>
            </w:tcBorders>
            <w:vAlign w:val="center"/>
            <w:hideMark/>
          </w:tcPr>
          <w:p w14:paraId="760EA4B2" w14:textId="77777777" w:rsidR="00E41BE6" w:rsidRPr="00DF4CE5" w:rsidRDefault="00E41BE6" w:rsidP="00E41BE6">
            <w:pPr>
              <w:spacing w:after="0" w:line="240" w:lineRule="auto"/>
              <w:rPr>
                <w:rFonts w:ascii="Cambria" w:eastAsia="Times New Roman" w:hAnsi="Cambria" w:cs="Calibri"/>
                <w:lang w:val="hr-HR"/>
              </w:rPr>
            </w:pPr>
          </w:p>
        </w:tc>
        <w:tc>
          <w:tcPr>
            <w:tcW w:w="231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AD13C5F"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dva kolokvija</w:t>
            </w:r>
          </w:p>
        </w:tc>
        <w:tc>
          <w:tcPr>
            <w:tcW w:w="81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805DE28" w14:textId="77777777" w:rsidR="00E41BE6" w:rsidRPr="00DF4CE5" w:rsidRDefault="00E41BE6" w:rsidP="00E41BE6">
            <w:pPr>
              <w:spacing w:after="0" w:line="240" w:lineRule="auto"/>
              <w:jc w:val="center"/>
              <w:rPr>
                <w:rFonts w:ascii="Cambria" w:eastAsia="Times New Roman" w:hAnsi="Cambria" w:cs="Calibri"/>
                <w:b/>
                <w:lang w:val="hr-HR"/>
              </w:rPr>
            </w:pPr>
            <w:r w:rsidRPr="00DF4CE5">
              <w:rPr>
                <w:rFonts w:ascii="Cambria" w:eastAsia="Times New Roman" w:hAnsi="Cambria" w:cs="Calibri"/>
                <w:lang w:val="hr-HR"/>
              </w:rPr>
              <w:t>1.- 6.</w:t>
            </w:r>
          </w:p>
        </w:tc>
        <w:tc>
          <w:tcPr>
            <w:tcW w:w="63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4286F9C" w14:textId="77777777" w:rsidR="00E41BE6" w:rsidRPr="00DF4CE5" w:rsidRDefault="00E41BE6" w:rsidP="00E41BE6">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42</w:t>
            </w:r>
          </w:p>
        </w:tc>
        <w:tc>
          <w:tcPr>
            <w:tcW w:w="153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E4E8DAA" w14:textId="77777777" w:rsidR="00E41BE6" w:rsidRPr="00DF4CE5" w:rsidRDefault="00E41BE6" w:rsidP="00E41BE6">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1,4</w:t>
            </w:r>
          </w:p>
        </w:tc>
        <w:tc>
          <w:tcPr>
            <w:tcW w:w="179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69D6C02" w14:textId="77777777" w:rsidR="00E41BE6" w:rsidRPr="00DF4CE5" w:rsidRDefault="00E41BE6" w:rsidP="00E41BE6">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2 x 25%</w:t>
            </w:r>
          </w:p>
        </w:tc>
      </w:tr>
      <w:tr w:rsidR="00E41BE6" w:rsidRPr="00DF4CE5" w14:paraId="065E387C" w14:textId="77777777" w:rsidTr="00C52F47">
        <w:tc>
          <w:tcPr>
            <w:tcW w:w="2265" w:type="dxa"/>
            <w:vMerge/>
            <w:tcBorders>
              <w:left w:val="single" w:sz="8" w:space="0" w:color="000000"/>
              <w:right w:val="single" w:sz="8" w:space="0" w:color="000000"/>
            </w:tcBorders>
            <w:vAlign w:val="center"/>
          </w:tcPr>
          <w:p w14:paraId="69D5F790" w14:textId="77777777" w:rsidR="00E41BE6" w:rsidRPr="00DF4CE5" w:rsidRDefault="00E41BE6" w:rsidP="00E41BE6">
            <w:pPr>
              <w:spacing w:after="0" w:line="240" w:lineRule="auto"/>
              <w:rPr>
                <w:rFonts w:ascii="Cambria" w:eastAsia="Times New Roman" w:hAnsi="Cambria" w:cs="Calibri"/>
                <w:lang w:val="hr-HR"/>
              </w:rPr>
            </w:pPr>
          </w:p>
        </w:tc>
        <w:tc>
          <w:tcPr>
            <w:tcW w:w="231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0873A62"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usmeni ispit</w:t>
            </w:r>
          </w:p>
        </w:tc>
        <w:tc>
          <w:tcPr>
            <w:tcW w:w="81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ED7B118" w14:textId="77777777" w:rsidR="00E41BE6" w:rsidRPr="00DF4CE5" w:rsidRDefault="00E41BE6" w:rsidP="00E41BE6">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1.- 6.</w:t>
            </w:r>
          </w:p>
        </w:tc>
        <w:tc>
          <w:tcPr>
            <w:tcW w:w="63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3B1CA58" w14:textId="77777777" w:rsidR="00E41BE6" w:rsidRPr="00DF4CE5" w:rsidRDefault="00E41BE6" w:rsidP="00E41BE6">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21</w:t>
            </w:r>
          </w:p>
        </w:tc>
        <w:tc>
          <w:tcPr>
            <w:tcW w:w="153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6AC9013" w14:textId="77777777" w:rsidR="00E41BE6" w:rsidRPr="00DF4CE5" w:rsidRDefault="00E41BE6" w:rsidP="00E41BE6">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0,7</w:t>
            </w:r>
          </w:p>
        </w:tc>
        <w:tc>
          <w:tcPr>
            <w:tcW w:w="179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51FF748" w14:textId="77777777" w:rsidR="00E41BE6" w:rsidRPr="00DF4CE5" w:rsidRDefault="00E41BE6" w:rsidP="00E41BE6">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30%</w:t>
            </w:r>
          </w:p>
        </w:tc>
      </w:tr>
      <w:tr w:rsidR="00E41BE6" w:rsidRPr="00DF4CE5" w14:paraId="4397838A" w14:textId="77777777" w:rsidTr="00C52F47">
        <w:tc>
          <w:tcPr>
            <w:tcW w:w="2265" w:type="dxa"/>
            <w:vMerge/>
            <w:tcBorders>
              <w:left w:val="single" w:sz="8" w:space="0" w:color="000000"/>
              <w:right w:val="single" w:sz="8" w:space="0" w:color="000000"/>
            </w:tcBorders>
            <w:vAlign w:val="center"/>
            <w:hideMark/>
          </w:tcPr>
          <w:p w14:paraId="67A9B0C8" w14:textId="77777777" w:rsidR="00E41BE6" w:rsidRPr="00DF4CE5" w:rsidRDefault="00E41BE6" w:rsidP="00E41BE6">
            <w:pPr>
              <w:spacing w:after="0" w:line="240" w:lineRule="auto"/>
              <w:rPr>
                <w:rFonts w:ascii="Cambria" w:eastAsia="Times New Roman" w:hAnsi="Cambria" w:cs="Calibri"/>
                <w:lang w:val="hr-HR"/>
              </w:rPr>
            </w:pPr>
          </w:p>
        </w:tc>
        <w:tc>
          <w:tcPr>
            <w:tcW w:w="3125"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3EFCA49" w14:textId="4F3AFC48" w:rsidR="00E41BE6" w:rsidRPr="00DF4CE5" w:rsidRDefault="000D37F8" w:rsidP="00E41BE6">
            <w:pPr>
              <w:spacing w:after="0" w:line="240" w:lineRule="auto"/>
              <w:rPr>
                <w:rFonts w:ascii="Cambria" w:eastAsia="Times New Roman" w:hAnsi="Cambria" w:cs="Calibri"/>
                <w:lang w:val="hr-HR"/>
              </w:rPr>
            </w:pPr>
            <w:proofErr w:type="spellStart"/>
            <w:r>
              <w:rPr>
                <w:rFonts w:ascii="Cambria" w:eastAsia="Times New Roman" w:hAnsi="Cambria" w:cs="Calibri"/>
              </w:rPr>
              <w:t>u</w:t>
            </w:r>
            <w:r w:rsidR="00E41BE6" w:rsidRPr="00DF4CE5">
              <w:rPr>
                <w:rFonts w:ascii="Cambria" w:eastAsia="Times New Roman" w:hAnsi="Cambria" w:cs="Calibri"/>
              </w:rPr>
              <w:t>kupno</w:t>
            </w:r>
            <w:proofErr w:type="spellEnd"/>
          </w:p>
        </w:tc>
        <w:tc>
          <w:tcPr>
            <w:tcW w:w="63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130465C" w14:textId="77777777" w:rsidR="00E41BE6" w:rsidRPr="00DF4CE5" w:rsidRDefault="00E41BE6" w:rsidP="00E41BE6">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150</w:t>
            </w:r>
          </w:p>
        </w:tc>
        <w:tc>
          <w:tcPr>
            <w:tcW w:w="153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4080A5E" w14:textId="77777777" w:rsidR="00E41BE6" w:rsidRPr="00DF4CE5" w:rsidRDefault="00E41BE6" w:rsidP="00E41BE6">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5</w:t>
            </w:r>
          </w:p>
        </w:tc>
        <w:tc>
          <w:tcPr>
            <w:tcW w:w="179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38294EA" w14:textId="77777777" w:rsidR="00E41BE6" w:rsidRPr="00DF4CE5" w:rsidRDefault="00E41BE6" w:rsidP="00E41BE6">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100%</w:t>
            </w:r>
          </w:p>
        </w:tc>
      </w:tr>
      <w:tr w:rsidR="00E41BE6" w:rsidRPr="00D0399C" w14:paraId="49BC096B" w14:textId="77777777" w:rsidTr="00C52F47">
        <w:tc>
          <w:tcPr>
            <w:tcW w:w="226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69E1742"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Studentske obveze</w:t>
            </w:r>
          </w:p>
        </w:tc>
        <w:tc>
          <w:tcPr>
            <w:tcW w:w="707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9EEF574"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Da položi kolegij, student/studentica mora :</w:t>
            </w:r>
          </w:p>
          <w:p w14:paraId="7F4B18A3"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1. pohađati nastavu (do najviše 30% izostanaka)</w:t>
            </w:r>
          </w:p>
          <w:p w14:paraId="7EFD1993"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 xml:space="preserve">2. redovito donositi propisani udžbenik te pisati domaće zadaće </w:t>
            </w:r>
          </w:p>
          <w:p w14:paraId="4ECB200D"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3. izraditi i izložiti jednu prezentaciju na zadanu temu</w:t>
            </w:r>
          </w:p>
          <w:p w14:paraId="6199721B"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4. napisati jedan esej na zadanu temu</w:t>
            </w:r>
          </w:p>
          <w:p w14:paraId="56BB586A"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 xml:space="preserve">5. položiti dva kolokvija </w:t>
            </w:r>
          </w:p>
          <w:p w14:paraId="6C3BB5D8" w14:textId="24ED24E8"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6. položiti usmeni ispit</w:t>
            </w:r>
            <w:r w:rsidR="000D37F8">
              <w:rPr>
                <w:rFonts w:ascii="Cambria" w:eastAsia="Times New Roman" w:hAnsi="Cambria" w:cs="Calibri"/>
                <w:lang w:val="hr-HR"/>
              </w:rPr>
              <w:t>.</w:t>
            </w:r>
          </w:p>
        </w:tc>
      </w:tr>
      <w:tr w:rsidR="00E41BE6" w:rsidRPr="00D0399C" w14:paraId="73600184" w14:textId="77777777" w:rsidTr="00C52F47">
        <w:tc>
          <w:tcPr>
            <w:tcW w:w="226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DC221B7" w14:textId="77777777" w:rsidR="00E41BE6" w:rsidRPr="00DF4CE5" w:rsidRDefault="00E41BE6" w:rsidP="00E41BE6">
            <w:pPr>
              <w:spacing w:after="0" w:line="240" w:lineRule="auto"/>
              <w:rPr>
                <w:rFonts w:ascii="Cambria" w:eastAsia="Times New Roman" w:hAnsi="Cambria" w:cs="Calibri"/>
                <w:lang w:val="hr-HR"/>
              </w:rPr>
            </w:pPr>
            <w:proofErr w:type="spellStart"/>
            <w:r w:rsidRPr="00DF4CE5">
              <w:rPr>
                <w:rFonts w:ascii="Cambria" w:eastAsia="Times New Roman" w:hAnsi="Cambria" w:cs="Calibri"/>
              </w:rPr>
              <w:t>Rokovi</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ispita</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i</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kolokvija</w:t>
            </w:r>
            <w:proofErr w:type="spellEnd"/>
          </w:p>
        </w:tc>
        <w:tc>
          <w:tcPr>
            <w:tcW w:w="707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B944D23"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 xml:space="preserve">Daju se na početku akademske godine, objavljuju se na mrežnim stranicama Sveučilišta i u ISVU. </w:t>
            </w:r>
          </w:p>
        </w:tc>
      </w:tr>
      <w:tr w:rsidR="00E41BE6" w:rsidRPr="000D37F8" w14:paraId="31388F7E" w14:textId="77777777" w:rsidTr="00C52F47">
        <w:tc>
          <w:tcPr>
            <w:tcW w:w="226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52721EF"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 xml:space="preserve">Ostale važne činjenice </w:t>
            </w:r>
            <w:proofErr w:type="spellStart"/>
            <w:r w:rsidRPr="00DF4CE5">
              <w:rPr>
                <w:rFonts w:ascii="Cambria" w:eastAsia="Times New Roman" w:hAnsi="Cambria" w:cs="Calibri"/>
                <w:lang w:val="it-IT"/>
              </w:rPr>
              <w:t>vezane</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uz</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kolegij</w:t>
            </w:r>
            <w:proofErr w:type="spellEnd"/>
          </w:p>
        </w:tc>
        <w:tc>
          <w:tcPr>
            <w:tcW w:w="707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94DA6C5"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Pohađanje nastave je obvezno. Praćenje i ocjenjivanje studenata izvodi se tijekom nastave i na završnom ispitu. Tijekom nastave student ostvaruje 70% ocjene, a na završnom ispitu 30% ocjene.</w:t>
            </w:r>
          </w:p>
          <w:p w14:paraId="030377FC"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Usmeni ispit je svojevrsna rekapitulacija svega naučenog tijekom semestra i odražava opću pripremljenost i spremnost za primjenu naučenih sadržaja kolegija.</w:t>
            </w:r>
          </w:p>
          <w:p w14:paraId="371EBCAA" w14:textId="56022ADF"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 xml:space="preserve">U slučaju održavanja nastave na daljinu, moguće je odstupanje u: mjestu izvođenja kolegija, provedbi aktivnosti, metoda tumačenja i poučavanja i načinima vrednovanja, studentskim obvezama i dostupnoj literaturi. O tome će nositeljica kolegija i </w:t>
            </w:r>
            <w:r w:rsidR="000D37F8">
              <w:rPr>
                <w:rFonts w:ascii="Cambria" w:eastAsia="Times New Roman" w:hAnsi="Cambria" w:cs="Calibri"/>
                <w:lang w:val="hr-HR"/>
              </w:rPr>
              <w:t>suradnici</w:t>
            </w:r>
            <w:r w:rsidRPr="00DF4CE5">
              <w:rPr>
                <w:rFonts w:ascii="Cambria" w:eastAsia="Times New Roman" w:hAnsi="Cambria" w:cs="Calibri"/>
                <w:lang w:val="hr-HR"/>
              </w:rPr>
              <w:t xml:space="preserve"> obavijestiti studente i studentice kad se nastava na daljinu počne održavati. Ishodi učenja ostaju nepromijenjeni.</w:t>
            </w:r>
          </w:p>
        </w:tc>
      </w:tr>
      <w:tr w:rsidR="00E41BE6" w:rsidRPr="00DF4CE5" w14:paraId="400A38A8" w14:textId="77777777" w:rsidTr="00C52F47">
        <w:trPr>
          <w:trHeight w:val="187"/>
        </w:trPr>
        <w:tc>
          <w:tcPr>
            <w:tcW w:w="226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1E5950F"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Literatura</w:t>
            </w:r>
          </w:p>
        </w:tc>
        <w:tc>
          <w:tcPr>
            <w:tcW w:w="7075"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3F945ACF"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 xml:space="preserve">Obvezna: </w:t>
            </w:r>
          </w:p>
          <w:p w14:paraId="396C826E"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 xml:space="preserve">1. H. </w:t>
            </w:r>
            <w:proofErr w:type="spellStart"/>
            <w:r w:rsidRPr="00DF4CE5">
              <w:rPr>
                <w:rFonts w:ascii="Cambria" w:eastAsia="Times New Roman" w:hAnsi="Cambria" w:cs="Calibri"/>
                <w:lang w:val="hr-HR"/>
              </w:rPr>
              <w:t>Stephenson</w:t>
            </w:r>
            <w:proofErr w:type="spellEnd"/>
            <w:r w:rsidRPr="00DF4CE5">
              <w:rPr>
                <w:rFonts w:ascii="Cambria" w:eastAsia="Times New Roman" w:hAnsi="Cambria" w:cs="Calibri"/>
                <w:lang w:val="hr-HR"/>
              </w:rPr>
              <w:t xml:space="preserve">, L. </w:t>
            </w:r>
            <w:proofErr w:type="spellStart"/>
            <w:r w:rsidRPr="00DF4CE5">
              <w:rPr>
                <w:rFonts w:ascii="Cambria" w:eastAsia="Times New Roman" w:hAnsi="Cambria" w:cs="Calibri"/>
                <w:lang w:val="hr-HR"/>
              </w:rPr>
              <w:t>Lansford</w:t>
            </w:r>
            <w:proofErr w:type="spellEnd"/>
            <w:r w:rsidRPr="00DF4CE5">
              <w:rPr>
                <w:rFonts w:ascii="Cambria" w:eastAsia="Times New Roman" w:hAnsi="Cambria" w:cs="Calibri"/>
                <w:lang w:val="hr-HR"/>
              </w:rPr>
              <w:t xml:space="preserve">, P. </w:t>
            </w:r>
            <w:proofErr w:type="spellStart"/>
            <w:r w:rsidRPr="00DF4CE5">
              <w:rPr>
                <w:rFonts w:ascii="Cambria" w:eastAsia="Times New Roman" w:hAnsi="Cambria" w:cs="Calibri"/>
                <w:lang w:val="hr-HR"/>
              </w:rPr>
              <w:t>Dummett</w:t>
            </w:r>
            <w:proofErr w:type="spellEnd"/>
            <w:r w:rsidRPr="00DF4CE5">
              <w:rPr>
                <w:rFonts w:ascii="Cambria" w:eastAsia="Times New Roman" w:hAnsi="Cambria" w:cs="Calibri"/>
                <w:lang w:val="hr-HR"/>
              </w:rPr>
              <w:t xml:space="preserve"> (2016). </w:t>
            </w:r>
            <w:proofErr w:type="spellStart"/>
            <w:r w:rsidRPr="00DF4CE5">
              <w:rPr>
                <w:rFonts w:ascii="Cambria" w:eastAsia="Times New Roman" w:hAnsi="Cambria" w:cs="Calibri"/>
                <w:lang w:val="hr-HR"/>
              </w:rPr>
              <w:t>Keynote</w:t>
            </w:r>
            <w:proofErr w:type="spellEnd"/>
            <w:r w:rsidRPr="00DF4CE5">
              <w:rPr>
                <w:rFonts w:ascii="Cambria" w:eastAsia="Times New Roman" w:hAnsi="Cambria" w:cs="Calibri"/>
                <w:lang w:val="hr-HR"/>
              </w:rPr>
              <w:t xml:space="preserve">,  </w:t>
            </w:r>
            <w:proofErr w:type="spellStart"/>
            <w:r w:rsidRPr="00DF4CE5">
              <w:rPr>
                <w:rFonts w:ascii="Cambria" w:eastAsia="Times New Roman" w:hAnsi="Cambria" w:cs="Calibri"/>
                <w:lang w:val="hr-HR"/>
              </w:rPr>
              <w:t>upper-intermediate</w:t>
            </w:r>
            <w:proofErr w:type="spellEnd"/>
            <w:r w:rsidRPr="00DF4CE5">
              <w:rPr>
                <w:rFonts w:ascii="Cambria" w:eastAsia="Times New Roman" w:hAnsi="Cambria" w:cs="Calibri"/>
                <w:lang w:val="hr-HR"/>
              </w:rPr>
              <w:t xml:space="preserve">, National Geographic </w:t>
            </w:r>
            <w:proofErr w:type="spellStart"/>
            <w:r w:rsidRPr="00DF4CE5">
              <w:rPr>
                <w:rFonts w:ascii="Cambria" w:eastAsia="Times New Roman" w:hAnsi="Cambria" w:cs="Calibri"/>
                <w:lang w:val="hr-HR"/>
              </w:rPr>
              <w:t>Learning</w:t>
            </w:r>
            <w:proofErr w:type="spellEnd"/>
          </w:p>
          <w:p w14:paraId="12D47787"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 xml:space="preserve">2. R. </w:t>
            </w:r>
            <w:proofErr w:type="spellStart"/>
            <w:r w:rsidRPr="00DF4CE5">
              <w:rPr>
                <w:rFonts w:ascii="Cambria" w:eastAsia="Times New Roman" w:hAnsi="Cambria" w:cs="Calibri"/>
                <w:lang w:val="hr-HR"/>
              </w:rPr>
              <w:t>Reppen</w:t>
            </w:r>
            <w:proofErr w:type="spellEnd"/>
            <w:r w:rsidRPr="00DF4CE5">
              <w:rPr>
                <w:rFonts w:ascii="Cambria" w:eastAsia="Times New Roman" w:hAnsi="Cambria" w:cs="Calibri"/>
                <w:lang w:val="hr-HR"/>
              </w:rPr>
              <w:t xml:space="preserve"> (2011). </w:t>
            </w:r>
            <w:proofErr w:type="spellStart"/>
            <w:r w:rsidRPr="00DF4CE5">
              <w:rPr>
                <w:rFonts w:ascii="Cambria" w:eastAsia="Times New Roman" w:hAnsi="Cambria" w:cs="Calibri"/>
                <w:lang w:val="hr-HR"/>
              </w:rPr>
              <w:t>GrammarAndBeyond</w:t>
            </w:r>
            <w:proofErr w:type="spellEnd"/>
            <w:r w:rsidRPr="00DF4CE5">
              <w:rPr>
                <w:rFonts w:ascii="Cambria" w:eastAsia="Times New Roman" w:hAnsi="Cambria" w:cs="Calibri"/>
                <w:lang w:val="hr-HR"/>
              </w:rPr>
              <w:t xml:space="preserve"> 2 i 3,  Cambridge UP</w:t>
            </w:r>
          </w:p>
          <w:p w14:paraId="7BFA270B"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Izborna:</w:t>
            </w:r>
          </w:p>
          <w:p w14:paraId="46B8C942"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 xml:space="preserve">1. Gude, K. (2011). </w:t>
            </w:r>
            <w:r w:rsidRPr="00DF4CE5">
              <w:rPr>
                <w:rFonts w:ascii="Cambria" w:eastAsia="Times New Roman" w:hAnsi="Cambria" w:cs="Calibri"/>
                <w:i/>
                <w:lang w:val="hr-HR"/>
              </w:rPr>
              <w:t xml:space="preserve">New </w:t>
            </w:r>
            <w:proofErr w:type="spellStart"/>
            <w:r w:rsidRPr="00DF4CE5">
              <w:rPr>
                <w:rFonts w:ascii="Cambria" w:eastAsia="Times New Roman" w:hAnsi="Cambria" w:cs="Calibri"/>
                <w:i/>
                <w:lang w:val="hr-HR"/>
              </w:rPr>
              <w:t>Matrix</w:t>
            </w:r>
            <w:proofErr w:type="spellEnd"/>
            <w:r w:rsidRPr="00DF4CE5">
              <w:rPr>
                <w:rFonts w:ascii="Cambria" w:eastAsia="Times New Roman" w:hAnsi="Cambria" w:cs="Calibri"/>
                <w:i/>
                <w:lang w:val="hr-HR"/>
              </w:rPr>
              <w:t xml:space="preserve">, </w:t>
            </w:r>
            <w:proofErr w:type="spellStart"/>
            <w:r w:rsidRPr="00DF4CE5">
              <w:rPr>
                <w:rFonts w:ascii="Cambria" w:eastAsia="Times New Roman" w:hAnsi="Cambria" w:cs="Calibri"/>
                <w:i/>
                <w:lang w:val="hr-HR"/>
              </w:rPr>
              <w:t>Intermediate</w:t>
            </w:r>
            <w:r w:rsidRPr="00DF4CE5">
              <w:rPr>
                <w:rFonts w:ascii="Cambria" w:eastAsia="Times New Roman" w:hAnsi="Cambria" w:cs="Calibri"/>
                <w:lang w:val="hr-HR"/>
              </w:rPr>
              <w:t>,Student</w:t>
            </w:r>
            <w:proofErr w:type="spellEnd"/>
            <w:r w:rsidRPr="00DF4CE5">
              <w:rPr>
                <w:rFonts w:ascii="Cambria" w:eastAsia="Times New Roman" w:hAnsi="Cambria" w:cs="Calibri"/>
                <w:lang w:val="hr-HR"/>
              </w:rPr>
              <w:t xml:space="preserve">' </w:t>
            </w:r>
            <w:proofErr w:type="spellStart"/>
            <w:r w:rsidRPr="00DF4CE5">
              <w:rPr>
                <w:rFonts w:ascii="Cambria" w:eastAsia="Times New Roman" w:hAnsi="Cambria" w:cs="Calibri"/>
                <w:lang w:val="hr-HR"/>
              </w:rPr>
              <w:t>book</w:t>
            </w:r>
            <w:proofErr w:type="spellEnd"/>
            <w:r w:rsidRPr="00DF4CE5">
              <w:rPr>
                <w:rFonts w:ascii="Cambria" w:eastAsia="Times New Roman" w:hAnsi="Cambria" w:cs="Calibri"/>
                <w:lang w:val="hr-HR"/>
              </w:rPr>
              <w:t>, OUP</w:t>
            </w:r>
          </w:p>
          <w:p w14:paraId="3A0DB0FC"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 xml:space="preserve">2. Gude, K. (2011). </w:t>
            </w:r>
            <w:r w:rsidRPr="00DF4CE5">
              <w:rPr>
                <w:rFonts w:ascii="Cambria" w:eastAsia="Times New Roman" w:hAnsi="Cambria" w:cs="Calibri"/>
                <w:i/>
                <w:lang w:val="hr-HR"/>
              </w:rPr>
              <w:t xml:space="preserve">New </w:t>
            </w:r>
            <w:proofErr w:type="spellStart"/>
            <w:r w:rsidRPr="00DF4CE5">
              <w:rPr>
                <w:rFonts w:ascii="Cambria" w:eastAsia="Times New Roman" w:hAnsi="Cambria" w:cs="Calibri"/>
                <w:i/>
                <w:lang w:val="hr-HR"/>
              </w:rPr>
              <w:t>Matrix</w:t>
            </w:r>
            <w:proofErr w:type="spellEnd"/>
            <w:r w:rsidRPr="00DF4CE5">
              <w:rPr>
                <w:rFonts w:ascii="Cambria" w:eastAsia="Times New Roman" w:hAnsi="Cambria" w:cs="Calibri"/>
                <w:i/>
                <w:lang w:val="hr-HR"/>
              </w:rPr>
              <w:t xml:space="preserve">, </w:t>
            </w:r>
            <w:proofErr w:type="spellStart"/>
            <w:r w:rsidRPr="00DF4CE5">
              <w:rPr>
                <w:rFonts w:ascii="Cambria" w:eastAsia="Times New Roman" w:hAnsi="Cambria" w:cs="Calibri"/>
                <w:i/>
                <w:lang w:val="hr-HR"/>
              </w:rPr>
              <w:t>Intermediate</w:t>
            </w:r>
            <w:r w:rsidRPr="00DF4CE5">
              <w:rPr>
                <w:rFonts w:ascii="Cambria" w:eastAsia="Times New Roman" w:hAnsi="Cambria" w:cs="Calibri"/>
                <w:lang w:val="hr-HR"/>
              </w:rPr>
              <w:t>,Workbook</w:t>
            </w:r>
            <w:proofErr w:type="spellEnd"/>
            <w:r w:rsidRPr="00DF4CE5">
              <w:rPr>
                <w:rFonts w:ascii="Cambria" w:eastAsia="Times New Roman" w:hAnsi="Cambria" w:cs="Calibri"/>
                <w:lang w:val="hr-HR"/>
              </w:rPr>
              <w:t xml:space="preserve"> </w:t>
            </w:r>
            <w:proofErr w:type="spellStart"/>
            <w:r w:rsidRPr="00DF4CE5">
              <w:rPr>
                <w:rFonts w:ascii="Cambria" w:eastAsia="Times New Roman" w:hAnsi="Cambria" w:cs="Calibri"/>
                <w:lang w:val="hr-HR"/>
              </w:rPr>
              <w:t>book</w:t>
            </w:r>
            <w:proofErr w:type="spellEnd"/>
            <w:r w:rsidRPr="00DF4CE5">
              <w:rPr>
                <w:rFonts w:ascii="Cambria" w:eastAsia="Times New Roman" w:hAnsi="Cambria" w:cs="Calibri"/>
                <w:lang w:val="hr-HR"/>
              </w:rPr>
              <w:t>, OUP</w:t>
            </w:r>
          </w:p>
          <w:p w14:paraId="3A4B7C61"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 xml:space="preserve">3. Murphy, R. (2007). </w:t>
            </w:r>
            <w:r w:rsidRPr="00DF4CE5">
              <w:rPr>
                <w:rFonts w:ascii="Cambria" w:eastAsia="Times New Roman" w:hAnsi="Cambria" w:cs="Calibri"/>
                <w:i/>
                <w:lang w:val="hr-HR"/>
              </w:rPr>
              <w:t xml:space="preserve">English </w:t>
            </w:r>
            <w:proofErr w:type="spellStart"/>
            <w:r w:rsidRPr="00DF4CE5">
              <w:rPr>
                <w:rFonts w:ascii="Cambria" w:eastAsia="Times New Roman" w:hAnsi="Cambria" w:cs="Calibri"/>
                <w:i/>
                <w:lang w:val="hr-HR"/>
              </w:rPr>
              <w:t>Grammar</w:t>
            </w:r>
            <w:proofErr w:type="spellEnd"/>
            <w:r w:rsidRPr="00DF4CE5">
              <w:rPr>
                <w:rFonts w:ascii="Cambria" w:eastAsia="Times New Roman" w:hAnsi="Cambria" w:cs="Calibri"/>
                <w:i/>
                <w:lang w:val="hr-HR"/>
              </w:rPr>
              <w:t xml:space="preserve"> </w:t>
            </w:r>
            <w:proofErr w:type="spellStart"/>
            <w:r w:rsidRPr="00DF4CE5">
              <w:rPr>
                <w:rFonts w:ascii="Cambria" w:eastAsia="Times New Roman" w:hAnsi="Cambria" w:cs="Calibri"/>
                <w:i/>
                <w:lang w:val="hr-HR"/>
              </w:rPr>
              <w:t>in</w:t>
            </w:r>
            <w:proofErr w:type="spellEnd"/>
            <w:r w:rsidRPr="00DF4CE5">
              <w:rPr>
                <w:rFonts w:ascii="Cambria" w:eastAsia="Times New Roman" w:hAnsi="Cambria" w:cs="Calibri"/>
                <w:i/>
                <w:lang w:val="hr-HR"/>
              </w:rPr>
              <w:t xml:space="preserve"> Use</w:t>
            </w:r>
            <w:r w:rsidRPr="00DF4CE5">
              <w:rPr>
                <w:rFonts w:ascii="Cambria" w:eastAsia="Times New Roman" w:hAnsi="Cambria" w:cs="Calibri"/>
                <w:lang w:val="hr-HR"/>
              </w:rPr>
              <w:t>, Cambridge University Press</w:t>
            </w:r>
          </w:p>
          <w:p w14:paraId="7CEF5DFE"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 xml:space="preserve">4. Eastwood, J. (2009). </w:t>
            </w:r>
            <w:r w:rsidRPr="00DF4CE5">
              <w:rPr>
                <w:rFonts w:ascii="Cambria" w:eastAsia="Times New Roman" w:hAnsi="Cambria" w:cs="Calibri"/>
                <w:i/>
                <w:lang w:val="hr-HR"/>
              </w:rPr>
              <w:t xml:space="preserve">Oxford </w:t>
            </w:r>
            <w:proofErr w:type="spellStart"/>
            <w:r w:rsidRPr="00DF4CE5">
              <w:rPr>
                <w:rFonts w:ascii="Cambria" w:eastAsia="Times New Roman" w:hAnsi="Cambria" w:cs="Calibri"/>
                <w:i/>
                <w:lang w:val="hr-HR"/>
              </w:rPr>
              <w:t>Learner's</w:t>
            </w:r>
            <w:proofErr w:type="spellEnd"/>
            <w:r w:rsidRPr="00DF4CE5">
              <w:rPr>
                <w:rFonts w:ascii="Cambria" w:eastAsia="Times New Roman" w:hAnsi="Cambria" w:cs="Calibri"/>
                <w:i/>
                <w:lang w:val="hr-HR"/>
              </w:rPr>
              <w:t xml:space="preserve"> </w:t>
            </w:r>
            <w:proofErr w:type="spellStart"/>
            <w:r w:rsidRPr="00DF4CE5">
              <w:rPr>
                <w:rFonts w:ascii="Cambria" w:eastAsia="Times New Roman" w:hAnsi="Cambria" w:cs="Calibri"/>
                <w:i/>
                <w:lang w:val="hr-HR"/>
              </w:rPr>
              <w:t>Grammar</w:t>
            </w:r>
            <w:proofErr w:type="spellEnd"/>
            <w:r w:rsidRPr="00DF4CE5">
              <w:rPr>
                <w:rFonts w:ascii="Cambria" w:eastAsia="Times New Roman" w:hAnsi="Cambria" w:cs="Calibri"/>
                <w:i/>
                <w:lang w:val="hr-HR"/>
              </w:rPr>
              <w:t xml:space="preserve"> – </w:t>
            </w:r>
            <w:proofErr w:type="spellStart"/>
            <w:r w:rsidRPr="00DF4CE5">
              <w:rPr>
                <w:rFonts w:ascii="Cambria" w:eastAsia="Times New Roman" w:hAnsi="Cambria" w:cs="Calibri"/>
                <w:i/>
                <w:lang w:val="hr-HR"/>
              </w:rPr>
              <w:t>Grammar</w:t>
            </w:r>
            <w:proofErr w:type="spellEnd"/>
            <w:r w:rsidRPr="00DF4CE5">
              <w:rPr>
                <w:rFonts w:ascii="Cambria" w:eastAsia="Times New Roman" w:hAnsi="Cambria" w:cs="Calibri"/>
                <w:i/>
                <w:lang w:val="hr-HR"/>
              </w:rPr>
              <w:t xml:space="preserve"> </w:t>
            </w:r>
            <w:proofErr w:type="spellStart"/>
            <w:r w:rsidRPr="00DF4CE5">
              <w:rPr>
                <w:rFonts w:ascii="Cambria" w:eastAsia="Times New Roman" w:hAnsi="Cambria" w:cs="Calibri"/>
                <w:i/>
                <w:lang w:val="hr-HR"/>
              </w:rPr>
              <w:t>Finder</w:t>
            </w:r>
            <w:proofErr w:type="spellEnd"/>
            <w:r w:rsidRPr="00DF4CE5">
              <w:rPr>
                <w:rFonts w:ascii="Cambria" w:eastAsia="Times New Roman" w:hAnsi="Cambria" w:cs="Calibri"/>
                <w:lang w:val="hr-HR"/>
              </w:rPr>
              <w:t>, OUP</w:t>
            </w:r>
          </w:p>
          <w:p w14:paraId="05F5C16D" w14:textId="58430B19" w:rsidR="00E41BE6" w:rsidRPr="00DF4CE5" w:rsidRDefault="00E41BE6" w:rsidP="00E41BE6">
            <w:pPr>
              <w:spacing w:after="0" w:line="240" w:lineRule="auto"/>
              <w:rPr>
                <w:rFonts w:ascii="Cambria" w:eastAsia="Times New Roman" w:hAnsi="Cambria" w:cs="Calibri"/>
                <w:lang w:val="en-GB"/>
              </w:rPr>
            </w:pPr>
            <w:r w:rsidRPr="00DF4CE5">
              <w:rPr>
                <w:rFonts w:ascii="Cambria" w:eastAsia="Times New Roman" w:hAnsi="Cambria" w:cs="Calibri"/>
                <w:lang w:val="hr-HR"/>
              </w:rPr>
              <w:t xml:space="preserve">5. Eastwood, J. (2009). </w:t>
            </w:r>
            <w:r w:rsidRPr="00DF4CE5">
              <w:rPr>
                <w:rFonts w:ascii="Cambria" w:eastAsia="Times New Roman" w:hAnsi="Cambria" w:cs="Calibri"/>
                <w:i/>
                <w:lang w:val="hr-HR"/>
              </w:rPr>
              <w:t xml:space="preserve">Oxford </w:t>
            </w:r>
            <w:proofErr w:type="spellStart"/>
            <w:r w:rsidRPr="00DF4CE5">
              <w:rPr>
                <w:rFonts w:ascii="Cambria" w:eastAsia="Times New Roman" w:hAnsi="Cambria" w:cs="Calibri"/>
                <w:i/>
                <w:lang w:val="hr-HR"/>
              </w:rPr>
              <w:t>Learner's</w:t>
            </w:r>
            <w:proofErr w:type="spellEnd"/>
            <w:r w:rsidRPr="00DF4CE5">
              <w:rPr>
                <w:rFonts w:ascii="Cambria" w:eastAsia="Times New Roman" w:hAnsi="Cambria" w:cs="Calibri"/>
                <w:i/>
                <w:lang w:val="hr-HR"/>
              </w:rPr>
              <w:t xml:space="preserve"> </w:t>
            </w:r>
            <w:proofErr w:type="spellStart"/>
            <w:r w:rsidRPr="00DF4CE5">
              <w:rPr>
                <w:rFonts w:ascii="Cambria" w:eastAsia="Times New Roman" w:hAnsi="Cambria" w:cs="Calibri"/>
                <w:i/>
                <w:lang w:val="hr-HR"/>
              </w:rPr>
              <w:t>Grammar</w:t>
            </w:r>
            <w:proofErr w:type="spellEnd"/>
            <w:r w:rsidRPr="00DF4CE5">
              <w:rPr>
                <w:rFonts w:ascii="Cambria" w:eastAsia="Times New Roman" w:hAnsi="Cambria" w:cs="Calibri"/>
                <w:i/>
                <w:lang w:val="hr-HR"/>
              </w:rPr>
              <w:t xml:space="preserve"> – </w:t>
            </w:r>
            <w:proofErr w:type="spellStart"/>
            <w:r w:rsidRPr="00DF4CE5">
              <w:rPr>
                <w:rFonts w:ascii="Cambria" w:eastAsia="Times New Roman" w:hAnsi="Cambria" w:cs="Calibri"/>
                <w:i/>
                <w:lang w:val="hr-HR"/>
              </w:rPr>
              <w:t>Grammar</w:t>
            </w:r>
            <w:proofErr w:type="spellEnd"/>
            <w:r w:rsidRPr="00DF4CE5">
              <w:rPr>
                <w:rFonts w:ascii="Cambria" w:eastAsia="Times New Roman" w:hAnsi="Cambria" w:cs="Calibri"/>
                <w:i/>
                <w:lang w:val="hr-HR"/>
              </w:rPr>
              <w:t xml:space="preserve"> </w:t>
            </w:r>
            <w:proofErr w:type="spellStart"/>
            <w:r w:rsidRPr="00DF4CE5">
              <w:rPr>
                <w:rFonts w:ascii="Cambria" w:eastAsia="Times New Roman" w:hAnsi="Cambria" w:cs="Calibri"/>
                <w:i/>
                <w:lang w:val="hr-HR"/>
              </w:rPr>
              <w:t>Builder</w:t>
            </w:r>
            <w:proofErr w:type="spellEnd"/>
            <w:r w:rsidRPr="00DF4CE5">
              <w:rPr>
                <w:rFonts w:ascii="Cambria" w:eastAsia="Times New Roman" w:hAnsi="Cambria" w:cs="Calibri"/>
                <w:lang w:val="hr-HR"/>
              </w:rPr>
              <w:t>,</w:t>
            </w:r>
            <w:r w:rsidR="00951B31" w:rsidRPr="00DF4CE5">
              <w:rPr>
                <w:rFonts w:ascii="Cambria" w:eastAsia="Times New Roman" w:hAnsi="Cambria" w:cs="Calibri"/>
                <w:lang w:val="hr-HR"/>
              </w:rPr>
              <w:t xml:space="preserve"> </w:t>
            </w:r>
            <w:r w:rsidRPr="00DF4CE5">
              <w:rPr>
                <w:rFonts w:ascii="Cambria" w:eastAsia="Times New Roman" w:hAnsi="Cambria" w:cs="Calibri"/>
                <w:lang w:val="hr-HR"/>
              </w:rPr>
              <w:t>OUP</w:t>
            </w:r>
          </w:p>
        </w:tc>
      </w:tr>
    </w:tbl>
    <w:p w14:paraId="28C1126E" w14:textId="646B1F73" w:rsidR="00E41BE6" w:rsidRPr="00DF4CE5" w:rsidRDefault="00E41BE6">
      <w:pPr>
        <w:rPr>
          <w:rFonts w:ascii="Cambria" w:eastAsia="Times New Roman" w:hAnsi="Cambria" w:cs="Calibri"/>
          <w:lang w:val="hr-HR"/>
        </w:rPr>
      </w:pPr>
    </w:p>
    <w:p w14:paraId="7CA26174" w14:textId="7C81A7CE" w:rsidR="000F57D9" w:rsidRPr="00DF4CE5" w:rsidRDefault="000F57D9">
      <w:pPr>
        <w:rPr>
          <w:rFonts w:ascii="Cambria" w:eastAsia="Times New Roman" w:hAnsi="Cambria" w:cs="Calibri"/>
          <w:lang w:val="hr-HR"/>
        </w:rPr>
      </w:pPr>
    </w:p>
    <w:p w14:paraId="150F9608" w14:textId="11FB5EB1" w:rsidR="000F57D9" w:rsidRPr="00DF4CE5" w:rsidRDefault="000F57D9">
      <w:pPr>
        <w:rPr>
          <w:rFonts w:ascii="Cambria" w:eastAsia="Times New Roman" w:hAnsi="Cambria" w:cs="Calibri"/>
          <w:lang w:val="hr-HR"/>
        </w:rPr>
      </w:pPr>
    </w:p>
    <w:p w14:paraId="736C5F19" w14:textId="1F894822" w:rsidR="000F57D9" w:rsidRPr="00DF4CE5" w:rsidRDefault="000F57D9">
      <w:pPr>
        <w:rPr>
          <w:rFonts w:ascii="Cambria" w:eastAsia="Times New Roman" w:hAnsi="Cambria" w:cs="Calibri"/>
          <w:lang w:val="hr-HR"/>
        </w:rPr>
      </w:pPr>
    </w:p>
    <w:p w14:paraId="70A0F22D" w14:textId="77777777" w:rsidR="000F57D9" w:rsidRPr="00DF4CE5" w:rsidRDefault="000F57D9">
      <w:pPr>
        <w:rPr>
          <w:rFonts w:ascii="Cambria" w:eastAsia="Times New Roman" w:hAnsi="Cambria" w:cs="Calibri"/>
          <w:lang w:val="hr-HR"/>
        </w:rPr>
      </w:pPr>
    </w:p>
    <w:p w14:paraId="0E834BFD" w14:textId="77777777" w:rsidR="00CB02F8" w:rsidRPr="00DF4CE5" w:rsidRDefault="00CB02F8">
      <w:pPr>
        <w:rPr>
          <w:rFonts w:ascii="Cambria" w:eastAsia="Times New Roman" w:hAnsi="Cambria" w:cs="Calibri"/>
          <w:lang w:val="hr-HR"/>
        </w:rPr>
      </w:pPr>
    </w:p>
    <w:p w14:paraId="40D1EDF8" w14:textId="50A315F7" w:rsidR="006B4FFE" w:rsidRDefault="006B4FFE">
      <w:pPr>
        <w:rPr>
          <w:rFonts w:ascii="Cambria" w:eastAsia="Times New Roman" w:hAnsi="Cambria" w:cs="Calibri"/>
          <w:lang w:val="hr-HR"/>
        </w:rPr>
      </w:pPr>
    </w:p>
    <w:p w14:paraId="1B8E7A87" w14:textId="723BC7AC" w:rsidR="000B2D2C" w:rsidRDefault="000B2D2C">
      <w:pPr>
        <w:rPr>
          <w:rFonts w:ascii="Cambria" w:eastAsia="Times New Roman" w:hAnsi="Cambria" w:cs="Calibri"/>
          <w:lang w:val="hr-HR"/>
        </w:rPr>
      </w:pPr>
      <w:r>
        <w:rPr>
          <w:rFonts w:ascii="Cambria" w:eastAsia="Times New Roman" w:hAnsi="Cambria" w:cs="Calibri"/>
          <w:lang w:val="hr-HR"/>
        </w:rPr>
        <w:br w:type="page"/>
      </w:r>
    </w:p>
    <w:p w14:paraId="7A6817E7" w14:textId="77777777" w:rsidR="006B4FFE" w:rsidRPr="00DF4CE5" w:rsidRDefault="006B4FFE">
      <w:pPr>
        <w:rPr>
          <w:rFonts w:ascii="Cambria" w:eastAsia="Times New Roman" w:hAnsi="Cambria" w:cs="Calibri"/>
          <w:lang w:val="hr-HR"/>
        </w:rPr>
      </w:pPr>
    </w:p>
    <w:tbl>
      <w:tblPr>
        <w:tblW w:w="5000" w:type="pct"/>
        <w:tblLayout w:type="fixed"/>
        <w:tblCellMar>
          <w:left w:w="0" w:type="dxa"/>
          <w:right w:w="0" w:type="dxa"/>
        </w:tblCellMar>
        <w:tblLook w:val="0600" w:firstRow="0" w:lastRow="0" w:firstColumn="0" w:lastColumn="0" w:noHBand="1" w:noVBand="1"/>
      </w:tblPr>
      <w:tblGrid>
        <w:gridCol w:w="2800"/>
        <w:gridCol w:w="2659"/>
        <w:gridCol w:w="105"/>
        <w:gridCol w:w="1176"/>
        <w:gridCol w:w="303"/>
        <w:gridCol w:w="473"/>
        <w:gridCol w:w="1089"/>
        <w:gridCol w:w="1415"/>
      </w:tblGrid>
      <w:tr w:rsidR="00E41BE6" w:rsidRPr="00DF4CE5" w14:paraId="788AA7D8" w14:textId="77777777" w:rsidTr="000D37F8">
        <w:tc>
          <w:tcPr>
            <w:tcW w:w="10020"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760D2FB" w14:textId="77777777" w:rsidR="00E41BE6" w:rsidRPr="00DF4CE5" w:rsidRDefault="00E41BE6" w:rsidP="00E41BE6">
            <w:pPr>
              <w:spacing w:after="0" w:line="240" w:lineRule="auto"/>
              <w:jc w:val="right"/>
              <w:rPr>
                <w:rFonts w:ascii="Cambria" w:eastAsia="Times New Roman" w:hAnsi="Cambria" w:cs="Calibri"/>
                <w:b/>
                <w:lang w:val="hr-HR"/>
              </w:rPr>
            </w:pPr>
            <w:r w:rsidRPr="00DF4CE5">
              <w:rPr>
                <w:rFonts w:ascii="Cambria" w:eastAsia="Times New Roman" w:hAnsi="Cambria" w:cs="Calibri"/>
                <w:b/>
                <w:lang w:val="hr-HR"/>
              </w:rPr>
              <w:t>IZVEDBENI PLAN NASTAVE KOLEGIJA</w:t>
            </w:r>
          </w:p>
        </w:tc>
      </w:tr>
      <w:tr w:rsidR="00E41BE6" w:rsidRPr="00DF4CE5" w14:paraId="3A7A5644" w14:textId="77777777" w:rsidTr="000D37F8">
        <w:tc>
          <w:tcPr>
            <w:tcW w:w="28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A56004D"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Kod i naziv kolegija</w:t>
            </w:r>
          </w:p>
        </w:tc>
        <w:tc>
          <w:tcPr>
            <w:tcW w:w="7220"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0568D79" w14:textId="40767D0B" w:rsidR="00E41BE6" w:rsidRPr="00DF4CE5" w:rsidRDefault="00A31664" w:rsidP="00E41BE6">
            <w:pPr>
              <w:spacing w:after="0" w:line="240" w:lineRule="auto"/>
              <w:rPr>
                <w:rFonts w:ascii="Cambria" w:eastAsia="Times New Roman" w:hAnsi="Cambria" w:cs="Calibri"/>
                <w:bCs/>
                <w:lang w:val="hr-HR"/>
              </w:rPr>
            </w:pPr>
            <w:r w:rsidRPr="00DF4CE5">
              <w:rPr>
                <w:rFonts w:ascii="Cambria" w:eastAsia="Times New Roman" w:hAnsi="Cambria" w:cs="Calibri"/>
                <w:bCs/>
                <w:lang w:val="hr-HR"/>
              </w:rPr>
              <w:t>257237</w:t>
            </w:r>
          </w:p>
          <w:p w14:paraId="237E2C68" w14:textId="77777777" w:rsidR="00E41BE6" w:rsidRPr="00DF4CE5" w:rsidRDefault="00E41BE6" w:rsidP="00E41BE6">
            <w:pPr>
              <w:spacing w:after="0" w:line="240" w:lineRule="auto"/>
              <w:rPr>
                <w:rFonts w:ascii="Cambria" w:eastAsia="Times New Roman" w:hAnsi="Cambria" w:cs="Calibri"/>
                <w:bCs/>
                <w:lang w:val="hr-HR"/>
              </w:rPr>
            </w:pPr>
            <w:r w:rsidRPr="00DF4CE5">
              <w:rPr>
                <w:rFonts w:ascii="Cambria" w:eastAsia="Times New Roman" w:hAnsi="Cambria" w:cs="Calibri"/>
                <w:bCs/>
                <w:lang w:val="hr-HR"/>
              </w:rPr>
              <w:t>Njemački jezik II</w:t>
            </w:r>
          </w:p>
        </w:tc>
      </w:tr>
      <w:tr w:rsidR="00E41BE6" w:rsidRPr="00DF4CE5" w14:paraId="2F2ACB30" w14:textId="77777777" w:rsidTr="000D37F8">
        <w:tc>
          <w:tcPr>
            <w:tcW w:w="28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ABD43EC" w14:textId="2C17E443" w:rsidR="00E41BE6" w:rsidRPr="00DF4CE5" w:rsidRDefault="00E41BE6" w:rsidP="006B4FFE">
            <w:pPr>
              <w:spacing w:after="0" w:line="240" w:lineRule="auto"/>
              <w:rPr>
                <w:rFonts w:ascii="Cambria" w:eastAsia="Times New Roman" w:hAnsi="Cambria" w:cs="Calibri"/>
                <w:lang w:val="hr-HR"/>
              </w:rPr>
            </w:pPr>
            <w:r w:rsidRPr="00DF4CE5">
              <w:rPr>
                <w:rFonts w:ascii="Cambria" w:eastAsia="Times New Roman" w:hAnsi="Cambria" w:cs="Calibri"/>
                <w:lang w:val="hr-HR"/>
              </w:rPr>
              <w:t xml:space="preserve">Nastavnica </w:t>
            </w:r>
          </w:p>
        </w:tc>
        <w:tc>
          <w:tcPr>
            <w:tcW w:w="7220"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666572A" w14:textId="325F6C04" w:rsidR="00E41BE6" w:rsidRPr="00DF4CE5" w:rsidRDefault="00E41BE6" w:rsidP="00E41BE6">
            <w:pPr>
              <w:spacing w:after="0" w:line="240" w:lineRule="auto"/>
              <w:rPr>
                <w:rFonts w:ascii="Cambria" w:eastAsia="Times New Roman" w:hAnsi="Cambria" w:cs="Calibri"/>
                <w:lang w:val="hr-HR"/>
              </w:rPr>
            </w:pPr>
            <w:hyperlink r:id="rId50" w:history="1">
              <w:proofErr w:type="spellStart"/>
              <w:r w:rsidRPr="000D37F8">
                <w:rPr>
                  <w:rStyle w:val="Hiperveza"/>
                  <w:rFonts w:ascii="Cambria" w:eastAsia="Times New Roman" w:hAnsi="Cambria" w:cs="Calibri"/>
                  <w:lang w:val="hr-HR"/>
                </w:rPr>
                <w:t>Marieta</w:t>
              </w:r>
              <w:proofErr w:type="spellEnd"/>
              <w:r w:rsidRPr="000D37F8">
                <w:rPr>
                  <w:rStyle w:val="Hiperveza"/>
                  <w:rFonts w:ascii="Cambria" w:eastAsia="Times New Roman" w:hAnsi="Cambria" w:cs="Calibri"/>
                  <w:lang w:val="hr-HR"/>
                </w:rPr>
                <w:t xml:space="preserve"> Djaković, v</w:t>
              </w:r>
              <w:r w:rsidR="006B4FFE" w:rsidRPr="000D37F8">
                <w:rPr>
                  <w:rStyle w:val="Hiperveza"/>
                  <w:rFonts w:ascii="Cambria" w:eastAsia="Times New Roman" w:hAnsi="Cambria" w:cs="Calibri"/>
                  <w:lang w:val="hr-HR"/>
                </w:rPr>
                <w:t>.</w:t>
              </w:r>
              <w:r w:rsidRPr="000D37F8">
                <w:rPr>
                  <w:rStyle w:val="Hiperveza"/>
                  <w:rFonts w:ascii="Cambria" w:eastAsia="Times New Roman" w:hAnsi="Cambria" w:cs="Calibri"/>
                  <w:lang w:val="hr-HR"/>
                </w:rPr>
                <w:t xml:space="preserve"> pred</w:t>
              </w:r>
              <w:r w:rsidR="006B4FFE" w:rsidRPr="000D37F8">
                <w:rPr>
                  <w:rStyle w:val="Hiperveza"/>
                  <w:rFonts w:ascii="Cambria" w:eastAsia="Times New Roman" w:hAnsi="Cambria" w:cs="Calibri"/>
                  <w:lang w:val="hr-HR"/>
                </w:rPr>
                <w:t>.</w:t>
              </w:r>
            </w:hyperlink>
            <w:r w:rsidR="000D37F8">
              <w:rPr>
                <w:rFonts w:ascii="Cambria" w:eastAsia="Times New Roman" w:hAnsi="Cambria" w:cs="Calibri"/>
                <w:lang w:val="hr-HR"/>
              </w:rPr>
              <w:t xml:space="preserve"> (nositeljica)</w:t>
            </w:r>
            <w:r w:rsidRPr="00DF4CE5">
              <w:rPr>
                <w:rFonts w:ascii="Cambria" w:eastAsia="Times New Roman" w:hAnsi="Cambria" w:cs="Calibri"/>
                <w:lang w:val="hr-HR"/>
              </w:rPr>
              <w:t xml:space="preserve"> </w:t>
            </w:r>
          </w:p>
        </w:tc>
      </w:tr>
      <w:tr w:rsidR="00E41BE6" w:rsidRPr="00D0399C" w14:paraId="10CFE21A" w14:textId="77777777" w:rsidTr="000D37F8">
        <w:tc>
          <w:tcPr>
            <w:tcW w:w="28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7C1BD9E"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Studijski program</w:t>
            </w:r>
          </w:p>
        </w:tc>
        <w:tc>
          <w:tcPr>
            <w:tcW w:w="7220"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E940D51"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Calibri" w:hAnsi="Cambria" w:cs="Calibri"/>
                <w:lang w:val="hr-HR"/>
              </w:rPr>
              <w:t>Sveučilišni integrirani prijediplomski i diplomski Učiteljski studij na hrvatskom jeziku</w:t>
            </w:r>
          </w:p>
        </w:tc>
      </w:tr>
      <w:tr w:rsidR="00E41BE6" w:rsidRPr="00DF4CE5" w14:paraId="610B44FF" w14:textId="77777777" w:rsidTr="000D37F8">
        <w:tc>
          <w:tcPr>
            <w:tcW w:w="28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221B4B9"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Vrsta kolegija</w:t>
            </w:r>
          </w:p>
        </w:tc>
        <w:tc>
          <w:tcPr>
            <w:tcW w:w="265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21ED64E"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obavezni</w:t>
            </w:r>
          </w:p>
          <w:p w14:paraId="6410318B" w14:textId="77777777" w:rsidR="00E41BE6" w:rsidRPr="00DF4CE5" w:rsidRDefault="00E41BE6" w:rsidP="00E41BE6">
            <w:pPr>
              <w:spacing w:after="0" w:line="240" w:lineRule="auto"/>
              <w:rPr>
                <w:rFonts w:ascii="Cambria" w:eastAsia="Times New Roman" w:hAnsi="Cambria" w:cs="Calibri"/>
                <w:lang w:val="hr-HR"/>
              </w:rPr>
            </w:pPr>
          </w:p>
        </w:tc>
        <w:tc>
          <w:tcPr>
            <w:tcW w:w="1584"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5C499F13"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Razina kolegija</w:t>
            </w:r>
          </w:p>
        </w:tc>
        <w:tc>
          <w:tcPr>
            <w:tcW w:w="2977"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F68863B" w14:textId="77777777" w:rsidR="00E41BE6" w:rsidRPr="00DF4CE5" w:rsidRDefault="00E41BE6" w:rsidP="00E41BE6">
            <w:pPr>
              <w:spacing w:after="0" w:line="240" w:lineRule="auto"/>
              <w:rPr>
                <w:rFonts w:ascii="Cambria" w:eastAsia="Times New Roman" w:hAnsi="Cambria" w:cs="Calibri"/>
                <w:lang w:val="hr-HR"/>
              </w:rPr>
            </w:pPr>
            <w:proofErr w:type="spellStart"/>
            <w:r w:rsidRPr="00DF4CE5">
              <w:rPr>
                <w:rFonts w:ascii="Cambria" w:eastAsia="Times New Roman" w:hAnsi="Cambria" w:cs="Calibri"/>
                <w:lang w:val="it-IT"/>
              </w:rPr>
              <w:t>integrirani</w:t>
            </w:r>
            <w:proofErr w:type="spellEnd"/>
          </w:p>
          <w:p w14:paraId="37F22F3F" w14:textId="77777777" w:rsidR="00E41BE6" w:rsidRPr="00DF4CE5" w:rsidRDefault="00E41BE6" w:rsidP="00E41BE6">
            <w:pPr>
              <w:spacing w:after="0" w:line="240" w:lineRule="auto"/>
              <w:rPr>
                <w:rFonts w:ascii="Cambria" w:eastAsia="Times New Roman" w:hAnsi="Cambria" w:cs="Calibri"/>
                <w:lang w:val="hr-HR"/>
              </w:rPr>
            </w:pPr>
          </w:p>
        </w:tc>
      </w:tr>
      <w:tr w:rsidR="00E41BE6" w:rsidRPr="00DF4CE5" w14:paraId="28501314" w14:textId="77777777" w:rsidTr="000D37F8">
        <w:tc>
          <w:tcPr>
            <w:tcW w:w="28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862E4EC"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Semestar</w:t>
            </w:r>
          </w:p>
        </w:tc>
        <w:tc>
          <w:tcPr>
            <w:tcW w:w="265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4F4F5FE" w14:textId="3161C74A" w:rsidR="00E41BE6" w:rsidRPr="00DF4CE5" w:rsidRDefault="006B4FFE" w:rsidP="00E41BE6">
            <w:pPr>
              <w:spacing w:after="0" w:line="240" w:lineRule="auto"/>
              <w:rPr>
                <w:rFonts w:ascii="Cambria" w:eastAsia="Times New Roman" w:hAnsi="Cambria" w:cs="Calibri"/>
                <w:lang w:val="hr-HR"/>
              </w:rPr>
            </w:pPr>
            <w:r>
              <w:rPr>
                <w:rFonts w:ascii="Cambria" w:eastAsia="Times New Roman" w:hAnsi="Cambria" w:cs="Calibri"/>
                <w:lang w:val="hr-HR"/>
              </w:rPr>
              <w:t>l</w:t>
            </w:r>
            <w:r w:rsidR="00E41BE6" w:rsidRPr="00DF4CE5">
              <w:rPr>
                <w:rFonts w:ascii="Cambria" w:eastAsia="Times New Roman" w:hAnsi="Cambria" w:cs="Calibri"/>
                <w:lang w:val="hr-HR"/>
              </w:rPr>
              <w:t>jetni</w:t>
            </w:r>
          </w:p>
        </w:tc>
        <w:tc>
          <w:tcPr>
            <w:tcW w:w="1584"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548DFD52"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Godina studija</w:t>
            </w:r>
          </w:p>
        </w:tc>
        <w:tc>
          <w:tcPr>
            <w:tcW w:w="2977"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63C09C7"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I.</w:t>
            </w:r>
          </w:p>
        </w:tc>
      </w:tr>
      <w:tr w:rsidR="00E41BE6" w:rsidRPr="00DF4CE5" w14:paraId="4AFABD39" w14:textId="77777777" w:rsidTr="000D37F8">
        <w:tc>
          <w:tcPr>
            <w:tcW w:w="28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2F89C71" w14:textId="77777777" w:rsidR="00E41BE6" w:rsidRPr="00DF4CE5" w:rsidRDefault="00E41BE6" w:rsidP="00E41BE6">
            <w:pPr>
              <w:spacing w:after="0" w:line="240" w:lineRule="auto"/>
              <w:rPr>
                <w:rFonts w:ascii="Cambria" w:eastAsia="Times New Roman" w:hAnsi="Cambria" w:cs="Calibri"/>
                <w:lang w:val="hr-HR"/>
              </w:rPr>
            </w:pPr>
            <w:proofErr w:type="spellStart"/>
            <w:r w:rsidRPr="00DF4CE5">
              <w:rPr>
                <w:rFonts w:ascii="Cambria" w:eastAsia="Times New Roman" w:hAnsi="Cambria" w:cs="Calibri"/>
              </w:rPr>
              <w:t>Mjesto</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izvođenja</w:t>
            </w:r>
            <w:proofErr w:type="spellEnd"/>
          </w:p>
        </w:tc>
        <w:tc>
          <w:tcPr>
            <w:tcW w:w="265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6965B0A"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učionica / vanjske institucije</w:t>
            </w:r>
          </w:p>
          <w:p w14:paraId="412F6D1E" w14:textId="77777777" w:rsidR="00E41BE6" w:rsidRPr="00DF4CE5" w:rsidRDefault="00E41BE6" w:rsidP="00E41BE6">
            <w:pPr>
              <w:spacing w:after="0" w:line="240" w:lineRule="auto"/>
              <w:rPr>
                <w:rFonts w:ascii="Cambria" w:eastAsia="Times New Roman" w:hAnsi="Cambria" w:cs="Calibri"/>
                <w:lang w:val="hr-HR"/>
              </w:rPr>
            </w:pPr>
          </w:p>
        </w:tc>
        <w:tc>
          <w:tcPr>
            <w:tcW w:w="1584"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5379F39C"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rPr>
              <w:t>Jezik</w:t>
            </w:r>
            <w:r w:rsidRPr="00DF4CE5">
              <w:rPr>
                <w:rFonts w:ascii="Cambria" w:eastAsia="Times New Roman" w:hAnsi="Cambria" w:cs="Calibri"/>
                <w:lang w:val="hr-HR"/>
              </w:rPr>
              <w:t xml:space="preserve"> izvođenja </w:t>
            </w:r>
          </w:p>
        </w:tc>
        <w:tc>
          <w:tcPr>
            <w:tcW w:w="2977"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8838E1A"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njemački / hrvatski</w:t>
            </w:r>
          </w:p>
          <w:p w14:paraId="39EF3A89" w14:textId="77777777" w:rsidR="00E41BE6" w:rsidRPr="00DF4CE5" w:rsidRDefault="00E41BE6" w:rsidP="00E41BE6">
            <w:pPr>
              <w:spacing w:after="0" w:line="240" w:lineRule="auto"/>
              <w:rPr>
                <w:rFonts w:ascii="Cambria" w:eastAsia="Times New Roman" w:hAnsi="Cambria" w:cs="Calibri"/>
                <w:lang w:val="hr-HR"/>
              </w:rPr>
            </w:pPr>
          </w:p>
          <w:p w14:paraId="29A5715D" w14:textId="77777777" w:rsidR="00E41BE6" w:rsidRPr="00DF4CE5" w:rsidRDefault="00E41BE6" w:rsidP="00E41BE6">
            <w:pPr>
              <w:spacing w:after="0" w:line="240" w:lineRule="auto"/>
              <w:rPr>
                <w:rFonts w:ascii="Cambria" w:eastAsia="Times New Roman" w:hAnsi="Cambria" w:cs="Calibri"/>
                <w:lang w:val="hr-HR"/>
              </w:rPr>
            </w:pPr>
          </w:p>
        </w:tc>
      </w:tr>
      <w:tr w:rsidR="00E41BE6" w:rsidRPr="00DF4CE5" w14:paraId="1E878DD9" w14:textId="77777777" w:rsidTr="000D37F8">
        <w:tc>
          <w:tcPr>
            <w:tcW w:w="28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03A15A4"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Broj ECTS bodova</w:t>
            </w:r>
          </w:p>
        </w:tc>
        <w:tc>
          <w:tcPr>
            <w:tcW w:w="265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F5CF791"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5</w:t>
            </w:r>
          </w:p>
        </w:tc>
        <w:tc>
          <w:tcPr>
            <w:tcW w:w="1584"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4C9237FD"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Broj sati u semestru</w:t>
            </w:r>
          </w:p>
        </w:tc>
        <w:tc>
          <w:tcPr>
            <w:tcW w:w="2977"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07AB53C" w14:textId="43EFC3FF" w:rsidR="00E41BE6" w:rsidRPr="00DF4CE5" w:rsidRDefault="00E41BE6" w:rsidP="00E41BE6">
            <w:pPr>
              <w:spacing w:after="0" w:line="240" w:lineRule="auto"/>
              <w:rPr>
                <w:rFonts w:ascii="Cambria" w:eastAsia="Times New Roman" w:hAnsi="Cambria" w:cs="Calibri"/>
                <w:lang w:val="hr-HR"/>
              </w:rPr>
            </w:pPr>
            <w:r w:rsidRPr="00DF4CE5">
              <w:rPr>
                <w:rFonts w:ascii="Cambria" w:eastAsia="Calibri" w:hAnsi="Cambria" w:cs="Calibri"/>
                <w:lang w:val="hr-HR"/>
              </w:rPr>
              <w:t>30P – 0</w:t>
            </w:r>
            <w:r w:rsidR="00CB02F8" w:rsidRPr="00DF4CE5">
              <w:rPr>
                <w:rFonts w:ascii="Cambria" w:eastAsia="Calibri" w:hAnsi="Cambria" w:cs="Calibri"/>
                <w:lang w:val="hr-HR"/>
              </w:rPr>
              <w:t>S</w:t>
            </w:r>
            <w:r w:rsidRPr="00DF4CE5">
              <w:rPr>
                <w:rFonts w:ascii="Cambria" w:eastAsia="Calibri" w:hAnsi="Cambria" w:cs="Calibri"/>
                <w:lang w:val="hr-HR"/>
              </w:rPr>
              <w:t xml:space="preserve"> – </w:t>
            </w:r>
            <w:r w:rsidR="00CB02F8" w:rsidRPr="00DF4CE5">
              <w:rPr>
                <w:rFonts w:ascii="Cambria" w:eastAsia="Calibri" w:hAnsi="Cambria" w:cs="Calibri"/>
                <w:lang w:val="hr-HR"/>
              </w:rPr>
              <w:t>30V</w:t>
            </w:r>
            <w:r w:rsidRPr="00DF4CE5">
              <w:rPr>
                <w:rFonts w:ascii="Cambria" w:eastAsia="Calibri" w:hAnsi="Cambria" w:cs="Calibri"/>
                <w:lang w:val="hr-HR"/>
              </w:rPr>
              <w:t xml:space="preserve">   </w:t>
            </w:r>
          </w:p>
        </w:tc>
      </w:tr>
      <w:tr w:rsidR="00E41BE6" w:rsidRPr="00DF4CE5" w14:paraId="757E7195" w14:textId="77777777" w:rsidTr="000D37F8">
        <w:tc>
          <w:tcPr>
            <w:tcW w:w="28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1598982"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Preduvjeti za upis i za svladavanje</w:t>
            </w:r>
          </w:p>
        </w:tc>
        <w:tc>
          <w:tcPr>
            <w:tcW w:w="7220"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2FD2B99"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Njemački jezik I</w:t>
            </w:r>
          </w:p>
        </w:tc>
      </w:tr>
      <w:tr w:rsidR="00E41BE6" w:rsidRPr="00DF4CE5" w14:paraId="481B29CB" w14:textId="77777777" w:rsidTr="000D37F8">
        <w:tc>
          <w:tcPr>
            <w:tcW w:w="28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ED85BA4" w14:textId="77777777" w:rsidR="00E41BE6" w:rsidRPr="00DF4CE5" w:rsidRDefault="00E41BE6" w:rsidP="00E41BE6">
            <w:pPr>
              <w:spacing w:after="0" w:line="240" w:lineRule="auto"/>
              <w:rPr>
                <w:rFonts w:ascii="Cambria" w:eastAsia="Times New Roman" w:hAnsi="Cambria" w:cs="Calibri"/>
                <w:lang w:val="hr-HR"/>
              </w:rPr>
            </w:pPr>
            <w:proofErr w:type="spellStart"/>
            <w:r w:rsidRPr="00DF4CE5">
              <w:rPr>
                <w:rFonts w:ascii="Cambria" w:eastAsia="Times New Roman" w:hAnsi="Cambria" w:cs="Calibri"/>
              </w:rPr>
              <w:t>Korelativnost</w:t>
            </w:r>
            <w:proofErr w:type="spellEnd"/>
          </w:p>
        </w:tc>
        <w:tc>
          <w:tcPr>
            <w:tcW w:w="7220"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D405575"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Njemački jezik</w:t>
            </w:r>
          </w:p>
        </w:tc>
      </w:tr>
      <w:tr w:rsidR="00E41BE6" w:rsidRPr="00D0399C" w14:paraId="4833772D" w14:textId="77777777" w:rsidTr="000D37F8">
        <w:tc>
          <w:tcPr>
            <w:tcW w:w="28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51F24BD"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 xml:space="preserve">Cilj kolegija </w:t>
            </w:r>
          </w:p>
        </w:tc>
        <w:tc>
          <w:tcPr>
            <w:tcW w:w="7220"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6D15841" w14:textId="77777777" w:rsidR="00E41BE6" w:rsidRPr="00DF4CE5" w:rsidRDefault="00E41BE6" w:rsidP="00E41BE6">
            <w:pPr>
              <w:spacing w:after="0" w:line="240" w:lineRule="auto"/>
              <w:rPr>
                <w:rFonts w:ascii="Cambria" w:eastAsia="Times New Roman" w:hAnsi="Cambria" w:cs="Calibri"/>
                <w:lang w:val="hr-HR" w:eastAsia="hr-HR"/>
              </w:rPr>
            </w:pPr>
            <w:r w:rsidRPr="00DF4CE5">
              <w:rPr>
                <w:rFonts w:ascii="Cambria" w:eastAsia="Times New Roman" w:hAnsi="Cambria" w:cs="Calibri"/>
                <w:lang w:val="hr-HR"/>
              </w:rPr>
              <w:t>Upoznavanje njemačkog jezika i kulture te usvajanje vještina u korištenju tog jezika.</w:t>
            </w:r>
          </w:p>
        </w:tc>
      </w:tr>
      <w:tr w:rsidR="00E41BE6" w:rsidRPr="00D0399C" w14:paraId="23EFB2AE" w14:textId="77777777" w:rsidTr="000D37F8">
        <w:tc>
          <w:tcPr>
            <w:tcW w:w="28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96FD0B6"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Ishodi učenja</w:t>
            </w:r>
          </w:p>
        </w:tc>
        <w:tc>
          <w:tcPr>
            <w:tcW w:w="7220"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1A6CE60" w14:textId="11BFA81A" w:rsidR="00E41BE6" w:rsidRPr="00DF4CE5" w:rsidRDefault="00E41BE6" w:rsidP="00E41BE6">
            <w:pPr>
              <w:spacing w:after="0" w:line="240" w:lineRule="auto"/>
              <w:rPr>
                <w:rFonts w:ascii="Cambria" w:eastAsia="Calibri" w:hAnsi="Cambria" w:cs="Calibri"/>
                <w:lang w:val="hr-HR"/>
              </w:rPr>
            </w:pPr>
            <w:r w:rsidRPr="00DF4CE5">
              <w:rPr>
                <w:rFonts w:ascii="Cambria" w:eastAsia="Calibri" w:hAnsi="Cambria" w:cs="Calibri"/>
                <w:lang w:val="hr-HR"/>
              </w:rPr>
              <w:t>1.</w:t>
            </w:r>
            <w:r w:rsidR="000D37F8">
              <w:rPr>
                <w:rFonts w:ascii="Cambria" w:eastAsia="Calibri" w:hAnsi="Cambria" w:cs="Calibri"/>
                <w:lang w:val="hr-HR"/>
              </w:rPr>
              <w:t xml:space="preserve"> </w:t>
            </w:r>
            <w:r w:rsidRPr="00DF4CE5">
              <w:rPr>
                <w:rFonts w:ascii="Cambria" w:eastAsia="Calibri" w:hAnsi="Cambria" w:cs="Calibri"/>
                <w:lang w:val="hr-HR"/>
              </w:rPr>
              <w:t xml:space="preserve">Koristiti jezična znanja i vještine na razini A1-2 prema ZEROJ-u </w:t>
            </w:r>
          </w:p>
          <w:p w14:paraId="07482740" w14:textId="77777777" w:rsidR="00E41BE6" w:rsidRPr="00DF4CE5" w:rsidRDefault="00E41BE6" w:rsidP="00E41BE6">
            <w:pPr>
              <w:spacing w:after="0" w:line="240" w:lineRule="auto"/>
              <w:rPr>
                <w:rFonts w:ascii="Cambria" w:eastAsia="Calibri" w:hAnsi="Cambria" w:cs="Calibri"/>
                <w:lang w:val="hr-HR"/>
              </w:rPr>
            </w:pPr>
            <w:r w:rsidRPr="00DF4CE5">
              <w:rPr>
                <w:rFonts w:ascii="Cambria" w:eastAsia="Calibri" w:hAnsi="Cambria" w:cs="Calibri"/>
                <w:lang w:val="hr-HR"/>
              </w:rPr>
              <w:t>2. Ispravno čitati i izgovarati tekstove na njemačkom jeziku na razini A1-2</w:t>
            </w:r>
          </w:p>
          <w:p w14:paraId="761664B7" w14:textId="77777777" w:rsidR="00E41BE6" w:rsidRPr="00DF4CE5" w:rsidRDefault="00E41BE6" w:rsidP="00E41BE6">
            <w:pPr>
              <w:spacing w:after="0" w:line="240" w:lineRule="auto"/>
              <w:rPr>
                <w:rFonts w:ascii="Cambria" w:eastAsia="Calibri" w:hAnsi="Cambria" w:cs="Calibri"/>
                <w:lang w:val="hr-HR"/>
              </w:rPr>
            </w:pPr>
            <w:r w:rsidRPr="00DF4CE5">
              <w:rPr>
                <w:rFonts w:ascii="Cambria" w:eastAsia="Calibri" w:hAnsi="Cambria" w:cs="Calibri"/>
                <w:lang w:val="hr-HR"/>
              </w:rPr>
              <w:t>3. Ispravno primijeniti gramatičke strukture u zadanom kontekstu pisanog ili govornog njemačkog jezika</w:t>
            </w:r>
          </w:p>
          <w:p w14:paraId="5422AF99" w14:textId="77777777" w:rsidR="00E41BE6" w:rsidRPr="00DF4CE5" w:rsidRDefault="00E41BE6" w:rsidP="00E41BE6">
            <w:pPr>
              <w:spacing w:after="0" w:line="240" w:lineRule="auto"/>
              <w:rPr>
                <w:rFonts w:ascii="Cambria" w:eastAsia="Calibri" w:hAnsi="Cambria" w:cs="Calibri"/>
                <w:lang w:val="hr-HR"/>
              </w:rPr>
            </w:pPr>
            <w:r w:rsidRPr="00DF4CE5">
              <w:rPr>
                <w:rFonts w:ascii="Cambria" w:eastAsia="Calibri" w:hAnsi="Cambria" w:cs="Calibri"/>
                <w:lang w:val="hr-HR"/>
              </w:rPr>
              <w:t xml:space="preserve">4.  </w:t>
            </w:r>
            <w:r w:rsidRPr="00DF4CE5">
              <w:rPr>
                <w:rFonts w:ascii="Cambria" w:eastAsia="Times New Roman" w:hAnsi="Cambria" w:cs="Calibri"/>
                <w:lang w:val="hr-HR"/>
              </w:rPr>
              <w:t>koristiti vještinu slušanja i analiziranja sadržaja pomoću izvornih audio-materijala</w:t>
            </w:r>
          </w:p>
          <w:p w14:paraId="51B768CE" w14:textId="77777777" w:rsidR="00E41BE6" w:rsidRPr="00DF4CE5" w:rsidRDefault="00E41BE6" w:rsidP="00E41BE6">
            <w:pPr>
              <w:spacing w:after="0" w:line="240" w:lineRule="auto"/>
              <w:rPr>
                <w:rFonts w:ascii="Cambria" w:eastAsia="Calibri" w:hAnsi="Cambria" w:cs="Calibri"/>
                <w:lang w:val="hr-HR"/>
              </w:rPr>
            </w:pPr>
            <w:r w:rsidRPr="00DF4CE5">
              <w:rPr>
                <w:rFonts w:ascii="Cambria" w:eastAsia="Calibri" w:hAnsi="Cambria" w:cs="Calibri"/>
                <w:lang w:val="hr-HR"/>
              </w:rPr>
              <w:t>5. Razviti jezične sposobnosti za govorno i pisano komuniciranje na razini A1-2</w:t>
            </w:r>
          </w:p>
          <w:p w14:paraId="043C9A14" w14:textId="12E76113"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6. Primijeniti usvojeno (usmeno i pismeno) na razini A1-A2</w:t>
            </w:r>
          </w:p>
        </w:tc>
      </w:tr>
      <w:tr w:rsidR="00E41BE6" w:rsidRPr="00DF4CE5" w14:paraId="16D2F6C4" w14:textId="77777777" w:rsidTr="000D37F8">
        <w:trPr>
          <w:trHeight w:val="244"/>
        </w:trPr>
        <w:tc>
          <w:tcPr>
            <w:tcW w:w="2800"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3DA686A4"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Sadržaj kolegija</w:t>
            </w:r>
          </w:p>
        </w:tc>
        <w:tc>
          <w:tcPr>
            <w:tcW w:w="7220"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8881BB8" w14:textId="645D8439" w:rsidR="00E41BE6" w:rsidRPr="00DF4CE5" w:rsidRDefault="000D37F8" w:rsidP="00E41BE6">
            <w:pPr>
              <w:spacing w:after="0" w:line="240" w:lineRule="auto"/>
              <w:rPr>
                <w:rFonts w:ascii="Cambria" w:eastAsia="Times New Roman" w:hAnsi="Cambria" w:cs="Calibri"/>
                <w:lang w:val="hr-HR"/>
              </w:rPr>
            </w:pPr>
            <w:r>
              <w:rPr>
                <w:rFonts w:ascii="Cambria" w:eastAsia="Times New Roman" w:hAnsi="Cambria" w:cs="Calibri"/>
                <w:lang w:val="hr-HR"/>
              </w:rPr>
              <w:t xml:space="preserve">1. </w:t>
            </w:r>
            <w:proofErr w:type="spellStart"/>
            <w:r w:rsidR="00E41BE6" w:rsidRPr="00DF4CE5">
              <w:rPr>
                <w:rFonts w:ascii="Cambria" w:eastAsia="Times New Roman" w:hAnsi="Cambria" w:cs="Calibri"/>
                <w:lang w:val="hr-HR"/>
              </w:rPr>
              <w:t>Sprache</w:t>
            </w:r>
            <w:proofErr w:type="spellEnd"/>
            <w:r w:rsidR="00E41BE6" w:rsidRPr="00DF4CE5">
              <w:rPr>
                <w:rFonts w:ascii="Cambria" w:eastAsia="Times New Roman" w:hAnsi="Cambria" w:cs="Calibri"/>
                <w:lang w:val="hr-HR"/>
              </w:rPr>
              <w:t xml:space="preserve"> </w:t>
            </w:r>
            <w:proofErr w:type="spellStart"/>
            <w:r w:rsidR="00E41BE6" w:rsidRPr="00DF4CE5">
              <w:rPr>
                <w:rFonts w:ascii="Cambria" w:eastAsia="Times New Roman" w:hAnsi="Cambria" w:cs="Calibri"/>
                <w:lang w:val="hr-HR"/>
              </w:rPr>
              <w:t>spielend</w:t>
            </w:r>
            <w:proofErr w:type="spellEnd"/>
            <w:r w:rsidR="00E41BE6" w:rsidRPr="00DF4CE5">
              <w:rPr>
                <w:rFonts w:ascii="Cambria" w:eastAsia="Times New Roman" w:hAnsi="Cambria" w:cs="Calibri"/>
                <w:lang w:val="hr-HR"/>
              </w:rPr>
              <w:t xml:space="preserve"> </w:t>
            </w:r>
            <w:proofErr w:type="spellStart"/>
            <w:r w:rsidR="00E41BE6" w:rsidRPr="00DF4CE5">
              <w:rPr>
                <w:rFonts w:ascii="Cambria" w:eastAsia="Times New Roman" w:hAnsi="Cambria" w:cs="Calibri"/>
                <w:lang w:val="hr-HR"/>
              </w:rPr>
              <w:t>lernen</w:t>
            </w:r>
            <w:proofErr w:type="spellEnd"/>
          </w:p>
          <w:p w14:paraId="589C2906" w14:textId="0A7D302C" w:rsidR="00E41BE6" w:rsidRPr="00DF4CE5" w:rsidRDefault="000D37F8" w:rsidP="00E41BE6">
            <w:pPr>
              <w:spacing w:after="0" w:line="240" w:lineRule="auto"/>
              <w:rPr>
                <w:rFonts w:ascii="Cambria" w:eastAsia="Times New Roman" w:hAnsi="Cambria" w:cs="Calibri"/>
                <w:lang w:val="hr-HR"/>
              </w:rPr>
            </w:pPr>
            <w:r>
              <w:rPr>
                <w:rFonts w:ascii="Cambria" w:eastAsia="Times New Roman" w:hAnsi="Cambria" w:cs="Calibri"/>
                <w:lang w:val="hr-HR"/>
              </w:rPr>
              <w:t xml:space="preserve">2. </w:t>
            </w:r>
            <w:proofErr w:type="spellStart"/>
            <w:r w:rsidR="00E41BE6" w:rsidRPr="00DF4CE5">
              <w:rPr>
                <w:rFonts w:ascii="Cambria" w:eastAsia="Times New Roman" w:hAnsi="Cambria" w:cs="Calibri"/>
                <w:lang w:val="hr-HR"/>
              </w:rPr>
              <w:t>Neue</w:t>
            </w:r>
            <w:proofErr w:type="spellEnd"/>
            <w:r w:rsidR="00E41BE6" w:rsidRPr="00DF4CE5">
              <w:rPr>
                <w:rFonts w:ascii="Cambria" w:eastAsia="Times New Roman" w:hAnsi="Cambria" w:cs="Calibri"/>
                <w:lang w:val="hr-HR"/>
              </w:rPr>
              <w:t xml:space="preserve"> </w:t>
            </w:r>
            <w:proofErr w:type="spellStart"/>
            <w:r w:rsidR="00E41BE6" w:rsidRPr="00DF4CE5">
              <w:rPr>
                <w:rFonts w:ascii="Cambria" w:eastAsia="Times New Roman" w:hAnsi="Cambria" w:cs="Calibri"/>
                <w:lang w:val="hr-HR"/>
              </w:rPr>
              <w:t>Medien</w:t>
            </w:r>
            <w:proofErr w:type="spellEnd"/>
            <w:r w:rsidR="00E41BE6" w:rsidRPr="00DF4CE5">
              <w:rPr>
                <w:rFonts w:ascii="Cambria" w:eastAsia="Times New Roman" w:hAnsi="Cambria" w:cs="Calibri"/>
                <w:lang w:val="hr-HR"/>
              </w:rPr>
              <w:t xml:space="preserve"> </w:t>
            </w:r>
            <w:proofErr w:type="spellStart"/>
            <w:r w:rsidR="00E41BE6" w:rsidRPr="00DF4CE5">
              <w:rPr>
                <w:rFonts w:ascii="Cambria" w:eastAsia="Times New Roman" w:hAnsi="Cambria" w:cs="Calibri"/>
                <w:lang w:val="hr-HR"/>
              </w:rPr>
              <w:t>in</w:t>
            </w:r>
            <w:proofErr w:type="spellEnd"/>
            <w:r w:rsidR="00E41BE6" w:rsidRPr="00DF4CE5">
              <w:rPr>
                <w:rFonts w:ascii="Cambria" w:eastAsia="Times New Roman" w:hAnsi="Cambria" w:cs="Calibri"/>
                <w:lang w:val="hr-HR"/>
              </w:rPr>
              <w:t xml:space="preserve"> </w:t>
            </w:r>
            <w:proofErr w:type="spellStart"/>
            <w:r w:rsidR="00E41BE6" w:rsidRPr="00DF4CE5">
              <w:rPr>
                <w:rFonts w:ascii="Cambria" w:eastAsia="Times New Roman" w:hAnsi="Cambria" w:cs="Calibri"/>
                <w:lang w:val="hr-HR"/>
              </w:rPr>
              <w:t>der</w:t>
            </w:r>
            <w:proofErr w:type="spellEnd"/>
            <w:r w:rsidR="00E41BE6" w:rsidRPr="00DF4CE5">
              <w:rPr>
                <w:rFonts w:ascii="Cambria" w:eastAsia="Times New Roman" w:hAnsi="Cambria" w:cs="Calibri"/>
                <w:lang w:val="hr-HR"/>
              </w:rPr>
              <w:t xml:space="preserve"> </w:t>
            </w:r>
            <w:proofErr w:type="spellStart"/>
            <w:r w:rsidR="00E41BE6" w:rsidRPr="00DF4CE5">
              <w:rPr>
                <w:rFonts w:ascii="Cambria" w:eastAsia="Times New Roman" w:hAnsi="Cambria" w:cs="Calibri"/>
                <w:lang w:val="hr-HR"/>
              </w:rPr>
              <w:t>Primarschule</w:t>
            </w:r>
            <w:proofErr w:type="spellEnd"/>
          </w:p>
          <w:p w14:paraId="79DEBA72" w14:textId="46F13F80" w:rsidR="00E41BE6" w:rsidRPr="00DF4CE5" w:rsidRDefault="000D37F8" w:rsidP="00E41BE6">
            <w:pPr>
              <w:spacing w:after="0" w:line="240" w:lineRule="auto"/>
              <w:rPr>
                <w:rFonts w:ascii="Cambria" w:eastAsia="Times New Roman" w:hAnsi="Cambria" w:cs="Calibri"/>
                <w:lang w:val="hr-HR"/>
              </w:rPr>
            </w:pPr>
            <w:r>
              <w:rPr>
                <w:rFonts w:ascii="Cambria" w:eastAsia="Times New Roman" w:hAnsi="Cambria" w:cs="Calibri"/>
                <w:lang w:val="hr-HR"/>
              </w:rPr>
              <w:t xml:space="preserve">3. </w:t>
            </w:r>
            <w:proofErr w:type="spellStart"/>
            <w:r w:rsidR="00E41BE6" w:rsidRPr="00DF4CE5">
              <w:rPr>
                <w:rFonts w:ascii="Cambria" w:eastAsia="Times New Roman" w:hAnsi="Cambria" w:cs="Calibri"/>
                <w:lang w:val="hr-HR"/>
              </w:rPr>
              <w:t>Märchen</w:t>
            </w:r>
            <w:proofErr w:type="spellEnd"/>
            <w:r w:rsidR="00E41BE6" w:rsidRPr="00DF4CE5">
              <w:rPr>
                <w:rFonts w:ascii="Cambria" w:eastAsia="Times New Roman" w:hAnsi="Cambria" w:cs="Calibri"/>
                <w:lang w:val="hr-HR"/>
              </w:rPr>
              <w:t xml:space="preserve"> </w:t>
            </w:r>
          </w:p>
          <w:p w14:paraId="37CFFC2D" w14:textId="77777777" w:rsidR="000D37F8" w:rsidRDefault="000D37F8" w:rsidP="000D37F8">
            <w:pPr>
              <w:spacing w:after="0" w:line="240" w:lineRule="auto"/>
              <w:rPr>
                <w:rFonts w:ascii="Cambria" w:eastAsia="Times New Roman" w:hAnsi="Cambria" w:cs="Calibri"/>
                <w:lang w:val="hr-HR"/>
              </w:rPr>
            </w:pPr>
            <w:r>
              <w:rPr>
                <w:rFonts w:ascii="Cambria" w:eastAsia="Times New Roman" w:hAnsi="Cambria" w:cs="Calibri"/>
                <w:lang w:val="hr-HR"/>
              </w:rPr>
              <w:t xml:space="preserve">4. </w:t>
            </w:r>
            <w:proofErr w:type="spellStart"/>
            <w:r w:rsidR="00E41BE6" w:rsidRPr="00DF4CE5">
              <w:rPr>
                <w:rFonts w:ascii="Cambria" w:eastAsia="Times New Roman" w:hAnsi="Cambria" w:cs="Calibri"/>
                <w:lang w:val="hr-HR"/>
              </w:rPr>
              <w:t>Kinderfilme</w:t>
            </w:r>
            <w:proofErr w:type="spellEnd"/>
          </w:p>
          <w:p w14:paraId="4FDE1B87" w14:textId="7F3AEEC8" w:rsidR="00E41BE6" w:rsidRPr="000D37F8" w:rsidRDefault="000D37F8" w:rsidP="000D37F8">
            <w:pPr>
              <w:spacing w:after="0" w:line="240" w:lineRule="auto"/>
              <w:rPr>
                <w:rFonts w:ascii="Cambria" w:eastAsia="Times New Roman" w:hAnsi="Cambria" w:cs="Calibri"/>
                <w:lang w:val="hr-HR"/>
              </w:rPr>
            </w:pPr>
            <w:r>
              <w:rPr>
                <w:rFonts w:ascii="Cambria" w:eastAsia="Calibri" w:hAnsi="Cambria" w:cs="Calibri"/>
                <w:lang w:val="hr-HR"/>
              </w:rPr>
              <w:t xml:space="preserve">5. </w:t>
            </w:r>
            <w:proofErr w:type="spellStart"/>
            <w:r w:rsidR="00E41BE6" w:rsidRPr="00DF4CE5">
              <w:rPr>
                <w:rFonts w:ascii="Cambria" w:eastAsia="Calibri" w:hAnsi="Cambria" w:cs="Calibri"/>
                <w:lang w:val="hr-HR"/>
              </w:rPr>
              <w:t>Musik</w:t>
            </w:r>
            <w:proofErr w:type="spellEnd"/>
          </w:p>
        </w:tc>
      </w:tr>
      <w:tr w:rsidR="000D37F8" w:rsidRPr="00DF4CE5" w14:paraId="2C2BF5D9" w14:textId="77777777" w:rsidTr="000D37F8">
        <w:tc>
          <w:tcPr>
            <w:tcW w:w="2800"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hideMark/>
          </w:tcPr>
          <w:p w14:paraId="3651862F" w14:textId="77777777" w:rsidR="000D37F8" w:rsidRPr="00DF4CE5" w:rsidRDefault="000D37F8"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Planirane aktivnosti</w:t>
            </w:r>
            <w:r w:rsidRPr="00DF4CE5">
              <w:rPr>
                <w:rFonts w:ascii="Cambria" w:eastAsia="Times New Roman" w:hAnsi="Cambria" w:cs="Calibri"/>
                <w:lang w:val="it-IT"/>
              </w:rPr>
              <w:t>,</w:t>
            </w:r>
          </w:p>
          <w:p w14:paraId="70958FC3" w14:textId="77777777" w:rsidR="000D37F8" w:rsidRPr="00DF4CE5" w:rsidRDefault="000D37F8" w:rsidP="00E41BE6">
            <w:pPr>
              <w:spacing w:after="0" w:line="240" w:lineRule="auto"/>
              <w:rPr>
                <w:rFonts w:ascii="Cambria" w:eastAsia="Times New Roman" w:hAnsi="Cambria" w:cs="Calibri"/>
                <w:lang w:val="hr-HR"/>
              </w:rPr>
            </w:pPr>
            <w:proofErr w:type="spellStart"/>
            <w:r w:rsidRPr="00DF4CE5">
              <w:rPr>
                <w:rFonts w:ascii="Cambria" w:eastAsia="Times New Roman" w:hAnsi="Cambria" w:cs="Calibri"/>
                <w:lang w:val="it-IT"/>
              </w:rPr>
              <w:t>metode</w:t>
            </w:r>
            <w:proofErr w:type="spellEnd"/>
            <w:r w:rsidRPr="00DF4CE5">
              <w:rPr>
                <w:rFonts w:ascii="Cambria" w:eastAsia="Times New Roman" w:hAnsi="Cambria" w:cs="Calibri"/>
                <w:lang w:val="it-IT"/>
              </w:rPr>
              <w:t xml:space="preserve"> </w:t>
            </w:r>
            <w:r w:rsidRPr="00DF4CE5">
              <w:rPr>
                <w:rFonts w:ascii="Cambria" w:eastAsia="Times New Roman" w:hAnsi="Cambria" w:cs="Calibri"/>
                <w:lang w:val="hr-HR"/>
              </w:rPr>
              <w:t>učenja i poučavanja i načini vrednovanja</w:t>
            </w:r>
          </w:p>
          <w:p w14:paraId="34B9321D" w14:textId="77777777" w:rsidR="000D37F8" w:rsidRPr="00DF4CE5" w:rsidRDefault="000D37F8" w:rsidP="00E41BE6">
            <w:pPr>
              <w:spacing w:after="0" w:line="240" w:lineRule="auto"/>
              <w:rPr>
                <w:rFonts w:ascii="Cambria" w:eastAsia="Times New Roman" w:hAnsi="Cambria" w:cs="Calibri"/>
                <w:lang w:val="hr-HR"/>
              </w:rPr>
            </w:pPr>
          </w:p>
        </w:tc>
        <w:tc>
          <w:tcPr>
            <w:tcW w:w="2764"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FC44931" w14:textId="77777777" w:rsidR="000D37F8" w:rsidRPr="00DF4CE5" w:rsidRDefault="000D37F8" w:rsidP="00E41BE6">
            <w:pPr>
              <w:spacing w:after="0" w:line="240" w:lineRule="auto"/>
              <w:rPr>
                <w:rFonts w:ascii="Cambria" w:eastAsia="Times New Roman" w:hAnsi="Cambria" w:cs="Calibri"/>
                <w:bCs/>
                <w:lang w:val="hr-HR"/>
              </w:rPr>
            </w:pPr>
          </w:p>
          <w:p w14:paraId="6838C1A7" w14:textId="77777777" w:rsidR="000D37F8" w:rsidRPr="00DF4CE5" w:rsidRDefault="000D37F8" w:rsidP="00E41BE6">
            <w:pPr>
              <w:spacing w:after="0" w:line="240" w:lineRule="auto"/>
              <w:rPr>
                <w:rFonts w:ascii="Cambria" w:eastAsia="Times New Roman" w:hAnsi="Cambria" w:cs="Calibri"/>
                <w:lang w:val="hr-HR"/>
              </w:rPr>
            </w:pPr>
            <w:r w:rsidRPr="00DF4CE5">
              <w:rPr>
                <w:rFonts w:ascii="Cambria" w:eastAsia="Times New Roman" w:hAnsi="Cambria" w:cs="Calibri"/>
                <w:bCs/>
                <w:lang w:val="hr-HR"/>
              </w:rPr>
              <w:t>Obveze</w:t>
            </w:r>
          </w:p>
          <w:p w14:paraId="646A103D" w14:textId="77777777" w:rsidR="000D37F8" w:rsidRPr="00DF4CE5" w:rsidRDefault="000D37F8" w:rsidP="00E41BE6">
            <w:pPr>
              <w:spacing w:after="0" w:line="240" w:lineRule="auto"/>
              <w:rPr>
                <w:rFonts w:ascii="Cambria" w:eastAsia="Times New Roman" w:hAnsi="Cambria" w:cs="Calibri"/>
                <w:lang w:val="hr-HR"/>
              </w:rPr>
            </w:pPr>
          </w:p>
        </w:tc>
        <w:tc>
          <w:tcPr>
            <w:tcW w:w="11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3FDD591" w14:textId="77777777" w:rsidR="000D37F8" w:rsidRPr="00DF4CE5" w:rsidRDefault="000D37F8" w:rsidP="00E41BE6">
            <w:pPr>
              <w:spacing w:after="0" w:line="240" w:lineRule="auto"/>
              <w:rPr>
                <w:rFonts w:ascii="Cambria" w:eastAsia="Times New Roman" w:hAnsi="Cambria" w:cs="Calibri"/>
                <w:bCs/>
                <w:lang w:val="hr-HR"/>
              </w:rPr>
            </w:pPr>
          </w:p>
          <w:p w14:paraId="4BF6FA9C" w14:textId="77777777" w:rsidR="000D37F8" w:rsidRPr="00DF4CE5" w:rsidRDefault="000D37F8" w:rsidP="00E41BE6">
            <w:pPr>
              <w:spacing w:after="0" w:line="240" w:lineRule="auto"/>
              <w:rPr>
                <w:rFonts w:ascii="Cambria" w:eastAsia="Times New Roman" w:hAnsi="Cambria" w:cs="Calibri"/>
                <w:lang w:val="hr-HR"/>
              </w:rPr>
            </w:pPr>
            <w:r w:rsidRPr="00DF4CE5">
              <w:rPr>
                <w:rFonts w:ascii="Cambria" w:eastAsia="Times New Roman" w:hAnsi="Cambria" w:cs="Calibri"/>
                <w:bCs/>
                <w:lang w:val="hr-HR"/>
              </w:rPr>
              <w:t>Ishodi</w:t>
            </w:r>
          </w:p>
          <w:p w14:paraId="5CF911D4" w14:textId="77777777" w:rsidR="000D37F8" w:rsidRPr="00DF4CE5" w:rsidRDefault="000D37F8" w:rsidP="00E41BE6">
            <w:pPr>
              <w:spacing w:after="0" w:line="240" w:lineRule="auto"/>
              <w:rPr>
                <w:rFonts w:ascii="Cambria" w:eastAsia="Times New Roman" w:hAnsi="Cambria" w:cs="Calibri"/>
                <w:lang w:val="hr-HR"/>
              </w:rPr>
            </w:pPr>
          </w:p>
        </w:tc>
        <w:tc>
          <w:tcPr>
            <w:tcW w:w="77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A2DE614" w14:textId="77777777" w:rsidR="000D37F8" w:rsidRPr="00DF4CE5" w:rsidRDefault="000D37F8" w:rsidP="00E41BE6">
            <w:pPr>
              <w:spacing w:after="0" w:line="240" w:lineRule="auto"/>
              <w:rPr>
                <w:rFonts w:ascii="Cambria" w:eastAsia="Times New Roman" w:hAnsi="Cambria" w:cs="Calibri"/>
                <w:lang w:val="hr-HR"/>
              </w:rPr>
            </w:pPr>
            <w:r w:rsidRPr="00DF4CE5">
              <w:rPr>
                <w:rFonts w:ascii="Cambria" w:eastAsia="Times New Roman" w:hAnsi="Cambria" w:cs="Calibri"/>
                <w:bCs/>
                <w:lang w:val="hr-HR"/>
              </w:rPr>
              <w:t>Sati</w:t>
            </w:r>
          </w:p>
        </w:tc>
        <w:tc>
          <w:tcPr>
            <w:tcW w:w="108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DE074F8" w14:textId="77777777" w:rsidR="000D37F8" w:rsidRPr="00DF4CE5" w:rsidRDefault="000D37F8" w:rsidP="00E41BE6">
            <w:pPr>
              <w:spacing w:after="0" w:line="240" w:lineRule="auto"/>
              <w:rPr>
                <w:rFonts w:ascii="Cambria" w:eastAsia="Times New Roman" w:hAnsi="Cambria" w:cs="Calibri"/>
                <w:lang w:val="hr-HR"/>
              </w:rPr>
            </w:pPr>
            <w:r w:rsidRPr="00DF4CE5">
              <w:rPr>
                <w:rFonts w:ascii="Cambria" w:eastAsia="Times New Roman" w:hAnsi="Cambria" w:cs="Calibri"/>
                <w:bCs/>
                <w:lang w:val="hr-HR"/>
              </w:rPr>
              <w:t>Udio u ECTS</w:t>
            </w:r>
          </w:p>
        </w:tc>
        <w:tc>
          <w:tcPr>
            <w:tcW w:w="141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6F4108F" w14:textId="77777777" w:rsidR="000D37F8" w:rsidRPr="00DF4CE5" w:rsidRDefault="000D37F8" w:rsidP="00E41BE6">
            <w:pPr>
              <w:spacing w:after="0" w:line="240" w:lineRule="auto"/>
              <w:rPr>
                <w:rFonts w:ascii="Cambria" w:eastAsia="Times New Roman" w:hAnsi="Cambria" w:cs="Calibri"/>
                <w:lang w:val="hr-HR"/>
              </w:rPr>
            </w:pPr>
            <w:r w:rsidRPr="00DF4CE5">
              <w:rPr>
                <w:rFonts w:ascii="Cambria" w:eastAsia="Times New Roman" w:hAnsi="Cambria" w:cs="Calibri"/>
                <w:bCs/>
                <w:lang w:val="hr-HR"/>
              </w:rPr>
              <w:t>Maksimalni udio u ocjeni</w:t>
            </w:r>
            <w:r w:rsidRPr="00DF4CE5">
              <w:rPr>
                <w:rFonts w:ascii="Cambria" w:eastAsia="Times New Roman" w:hAnsi="Cambria" w:cs="Calibri"/>
                <w:bCs/>
              </w:rPr>
              <w:t xml:space="preserve"> (%)</w:t>
            </w:r>
          </w:p>
        </w:tc>
      </w:tr>
      <w:tr w:rsidR="000D37F8" w:rsidRPr="00DF4CE5" w14:paraId="0128845A" w14:textId="77777777" w:rsidTr="000D37F8">
        <w:tc>
          <w:tcPr>
            <w:tcW w:w="2800" w:type="dxa"/>
            <w:vMerge/>
            <w:tcBorders>
              <w:left w:val="single" w:sz="8" w:space="0" w:color="000000"/>
              <w:right w:val="single" w:sz="8" w:space="0" w:color="000000"/>
            </w:tcBorders>
            <w:vAlign w:val="center"/>
            <w:hideMark/>
          </w:tcPr>
          <w:p w14:paraId="2D834CA4" w14:textId="77777777" w:rsidR="000D37F8" w:rsidRPr="00DF4CE5" w:rsidRDefault="000D37F8" w:rsidP="00E41BE6">
            <w:pPr>
              <w:spacing w:after="0" w:line="240" w:lineRule="auto"/>
              <w:rPr>
                <w:rFonts w:ascii="Cambria" w:eastAsia="Times New Roman" w:hAnsi="Cambria" w:cs="Calibri"/>
                <w:lang w:val="hr-HR"/>
              </w:rPr>
            </w:pPr>
          </w:p>
        </w:tc>
        <w:tc>
          <w:tcPr>
            <w:tcW w:w="2764"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11FFC02" w14:textId="088328A9" w:rsidR="000D37F8" w:rsidRPr="00DF4CE5" w:rsidRDefault="000D37F8"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aktivnost na nastavi</w:t>
            </w:r>
          </w:p>
        </w:tc>
        <w:tc>
          <w:tcPr>
            <w:tcW w:w="11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31396B1" w14:textId="77777777" w:rsidR="000D37F8" w:rsidRPr="00DF4CE5" w:rsidRDefault="000D37F8" w:rsidP="00E41BE6">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1. – 6.</w:t>
            </w:r>
          </w:p>
        </w:tc>
        <w:tc>
          <w:tcPr>
            <w:tcW w:w="77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188E676" w14:textId="77777777" w:rsidR="000D37F8" w:rsidRPr="00DF4CE5" w:rsidRDefault="000D37F8" w:rsidP="00E41BE6">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45</w:t>
            </w:r>
          </w:p>
        </w:tc>
        <w:tc>
          <w:tcPr>
            <w:tcW w:w="108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BFDEE64" w14:textId="77777777" w:rsidR="000D37F8" w:rsidRPr="00DF4CE5" w:rsidRDefault="000D37F8" w:rsidP="00E41BE6">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1,5</w:t>
            </w:r>
          </w:p>
        </w:tc>
        <w:tc>
          <w:tcPr>
            <w:tcW w:w="141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7AF7501" w14:textId="77777777" w:rsidR="000D37F8" w:rsidRPr="00DF4CE5" w:rsidRDefault="000D37F8" w:rsidP="00E41BE6">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10%</w:t>
            </w:r>
          </w:p>
        </w:tc>
      </w:tr>
      <w:tr w:rsidR="000D37F8" w:rsidRPr="00DF4CE5" w14:paraId="4F8EF36B" w14:textId="77777777" w:rsidTr="000D37F8">
        <w:tc>
          <w:tcPr>
            <w:tcW w:w="2800" w:type="dxa"/>
            <w:vMerge/>
            <w:tcBorders>
              <w:left w:val="single" w:sz="8" w:space="0" w:color="000000"/>
              <w:right w:val="single" w:sz="8" w:space="0" w:color="000000"/>
            </w:tcBorders>
            <w:vAlign w:val="center"/>
          </w:tcPr>
          <w:p w14:paraId="0A6A3422" w14:textId="77777777" w:rsidR="000D37F8" w:rsidRPr="00DF4CE5" w:rsidRDefault="000D37F8" w:rsidP="00E41BE6">
            <w:pPr>
              <w:spacing w:after="0" w:line="240" w:lineRule="auto"/>
              <w:rPr>
                <w:rFonts w:ascii="Cambria" w:eastAsia="Times New Roman" w:hAnsi="Cambria" w:cs="Calibri"/>
                <w:lang w:val="hr-HR"/>
              </w:rPr>
            </w:pPr>
          </w:p>
        </w:tc>
        <w:tc>
          <w:tcPr>
            <w:tcW w:w="2764"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75EC21D" w14:textId="77777777" w:rsidR="000D37F8" w:rsidRPr="00DF4CE5" w:rsidRDefault="000D37F8"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prezentacije na zadanu temu</w:t>
            </w:r>
          </w:p>
        </w:tc>
        <w:tc>
          <w:tcPr>
            <w:tcW w:w="11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94995A1" w14:textId="77777777" w:rsidR="000D37F8" w:rsidRPr="00DF4CE5" w:rsidRDefault="000D37F8" w:rsidP="00E41BE6">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1. – 6.</w:t>
            </w:r>
          </w:p>
        </w:tc>
        <w:tc>
          <w:tcPr>
            <w:tcW w:w="77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6FE47CD" w14:textId="77777777" w:rsidR="000D37F8" w:rsidRPr="00DF4CE5" w:rsidRDefault="000D37F8" w:rsidP="00E41BE6">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15</w:t>
            </w:r>
          </w:p>
        </w:tc>
        <w:tc>
          <w:tcPr>
            <w:tcW w:w="108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4153A8C" w14:textId="77777777" w:rsidR="000D37F8" w:rsidRPr="00DF4CE5" w:rsidRDefault="000D37F8" w:rsidP="00E41BE6">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0,5</w:t>
            </w:r>
          </w:p>
        </w:tc>
        <w:tc>
          <w:tcPr>
            <w:tcW w:w="141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73D3BE" w14:textId="77777777" w:rsidR="000D37F8" w:rsidRPr="00DF4CE5" w:rsidRDefault="000D37F8" w:rsidP="00E41BE6">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5%</w:t>
            </w:r>
          </w:p>
        </w:tc>
      </w:tr>
      <w:tr w:rsidR="000D37F8" w:rsidRPr="00DF4CE5" w14:paraId="1C01C826" w14:textId="77777777" w:rsidTr="000D37F8">
        <w:tc>
          <w:tcPr>
            <w:tcW w:w="2800" w:type="dxa"/>
            <w:vMerge/>
            <w:tcBorders>
              <w:left w:val="single" w:sz="8" w:space="0" w:color="000000"/>
              <w:right w:val="single" w:sz="8" w:space="0" w:color="000000"/>
            </w:tcBorders>
            <w:vAlign w:val="center"/>
          </w:tcPr>
          <w:p w14:paraId="3A1D3014" w14:textId="77777777" w:rsidR="000D37F8" w:rsidRPr="00DF4CE5" w:rsidRDefault="000D37F8" w:rsidP="00E41BE6">
            <w:pPr>
              <w:spacing w:after="0" w:line="240" w:lineRule="auto"/>
              <w:rPr>
                <w:rFonts w:ascii="Cambria" w:eastAsia="Times New Roman" w:hAnsi="Cambria" w:cs="Calibri"/>
                <w:lang w:val="hr-HR"/>
              </w:rPr>
            </w:pPr>
          </w:p>
        </w:tc>
        <w:tc>
          <w:tcPr>
            <w:tcW w:w="2764"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CCA51CD" w14:textId="49EDC799" w:rsidR="000D37F8" w:rsidRPr="00DF4CE5" w:rsidRDefault="000D37F8" w:rsidP="00E41BE6">
            <w:pPr>
              <w:spacing w:after="0" w:line="240" w:lineRule="auto"/>
              <w:rPr>
                <w:rFonts w:ascii="Cambria" w:eastAsia="Times New Roman" w:hAnsi="Cambria" w:cs="Calibri"/>
                <w:lang w:val="hr-HR"/>
              </w:rPr>
            </w:pPr>
            <w:r>
              <w:rPr>
                <w:rFonts w:ascii="Cambria" w:eastAsia="Times New Roman" w:hAnsi="Cambria" w:cs="Calibri"/>
                <w:lang w:val="hr-HR"/>
              </w:rPr>
              <w:t>e</w:t>
            </w:r>
            <w:r w:rsidRPr="00DF4CE5">
              <w:rPr>
                <w:rFonts w:ascii="Cambria" w:eastAsia="Times New Roman" w:hAnsi="Cambria" w:cs="Calibri"/>
                <w:lang w:val="hr-HR"/>
              </w:rPr>
              <w:t>sej</w:t>
            </w:r>
          </w:p>
        </w:tc>
        <w:tc>
          <w:tcPr>
            <w:tcW w:w="11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8B0D37A" w14:textId="77777777" w:rsidR="000D37F8" w:rsidRPr="00DF4CE5" w:rsidRDefault="000D37F8" w:rsidP="00E41BE6">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 xml:space="preserve">1. - 6. </w:t>
            </w:r>
          </w:p>
        </w:tc>
        <w:tc>
          <w:tcPr>
            <w:tcW w:w="77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2ADDD64" w14:textId="77777777" w:rsidR="000D37F8" w:rsidRPr="00DF4CE5" w:rsidRDefault="000D37F8" w:rsidP="00E41BE6">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15</w:t>
            </w:r>
          </w:p>
        </w:tc>
        <w:tc>
          <w:tcPr>
            <w:tcW w:w="108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31318A7" w14:textId="77777777" w:rsidR="000D37F8" w:rsidRPr="00DF4CE5" w:rsidRDefault="000D37F8" w:rsidP="00E41BE6">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0,5</w:t>
            </w:r>
          </w:p>
        </w:tc>
        <w:tc>
          <w:tcPr>
            <w:tcW w:w="141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EA5718C" w14:textId="77777777" w:rsidR="000D37F8" w:rsidRPr="00DF4CE5" w:rsidRDefault="000D37F8" w:rsidP="00E41BE6">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5%</w:t>
            </w:r>
          </w:p>
        </w:tc>
      </w:tr>
      <w:tr w:rsidR="000D37F8" w:rsidRPr="00DF4CE5" w14:paraId="435C9750" w14:textId="77777777" w:rsidTr="000D37F8">
        <w:tc>
          <w:tcPr>
            <w:tcW w:w="2800" w:type="dxa"/>
            <w:vMerge/>
            <w:tcBorders>
              <w:left w:val="single" w:sz="8" w:space="0" w:color="000000"/>
              <w:right w:val="single" w:sz="8" w:space="0" w:color="000000"/>
            </w:tcBorders>
            <w:vAlign w:val="center"/>
          </w:tcPr>
          <w:p w14:paraId="0B682DCE" w14:textId="77777777" w:rsidR="000D37F8" w:rsidRPr="00DF4CE5" w:rsidRDefault="000D37F8" w:rsidP="00E41BE6">
            <w:pPr>
              <w:spacing w:after="0" w:line="240" w:lineRule="auto"/>
              <w:rPr>
                <w:rFonts w:ascii="Cambria" w:eastAsia="Times New Roman" w:hAnsi="Cambria" w:cs="Calibri"/>
                <w:lang w:val="hr-HR"/>
              </w:rPr>
            </w:pPr>
          </w:p>
        </w:tc>
        <w:tc>
          <w:tcPr>
            <w:tcW w:w="2764"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6B1DCB4" w14:textId="77777777" w:rsidR="000D37F8" w:rsidRPr="00DF4CE5" w:rsidRDefault="000D37F8"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vježbe/kolokvij</w:t>
            </w:r>
          </w:p>
        </w:tc>
        <w:tc>
          <w:tcPr>
            <w:tcW w:w="11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06CA6F4" w14:textId="77777777" w:rsidR="000D37F8" w:rsidRPr="00DF4CE5" w:rsidRDefault="000D37F8" w:rsidP="00E41BE6">
            <w:pPr>
              <w:spacing w:after="0" w:line="240" w:lineRule="auto"/>
              <w:jc w:val="center"/>
              <w:rPr>
                <w:rFonts w:ascii="Cambria" w:eastAsia="Times New Roman" w:hAnsi="Cambria" w:cs="Calibri"/>
                <w:b/>
                <w:lang w:val="hr-HR"/>
              </w:rPr>
            </w:pPr>
            <w:r w:rsidRPr="00DF4CE5">
              <w:rPr>
                <w:rFonts w:ascii="Cambria" w:eastAsia="Times New Roman" w:hAnsi="Cambria" w:cs="Calibri"/>
                <w:lang w:val="hr-HR"/>
              </w:rPr>
              <w:t>1. – 6.</w:t>
            </w:r>
          </w:p>
        </w:tc>
        <w:tc>
          <w:tcPr>
            <w:tcW w:w="77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34DB602" w14:textId="77777777" w:rsidR="000D37F8" w:rsidRPr="00DF4CE5" w:rsidRDefault="000D37F8" w:rsidP="00E41BE6">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30</w:t>
            </w:r>
          </w:p>
        </w:tc>
        <w:tc>
          <w:tcPr>
            <w:tcW w:w="108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74C3CA0" w14:textId="77777777" w:rsidR="000D37F8" w:rsidRPr="00DF4CE5" w:rsidRDefault="000D37F8" w:rsidP="00E41BE6">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1</w:t>
            </w:r>
          </w:p>
        </w:tc>
        <w:tc>
          <w:tcPr>
            <w:tcW w:w="141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2BE8E0E" w14:textId="77777777" w:rsidR="000D37F8" w:rsidRPr="00DF4CE5" w:rsidRDefault="000D37F8" w:rsidP="00E41BE6">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50%</w:t>
            </w:r>
          </w:p>
        </w:tc>
      </w:tr>
      <w:tr w:rsidR="000D37F8" w:rsidRPr="00DF4CE5" w14:paraId="260A3D16" w14:textId="77777777" w:rsidTr="000D37F8">
        <w:trPr>
          <w:trHeight w:val="168"/>
        </w:trPr>
        <w:tc>
          <w:tcPr>
            <w:tcW w:w="2800" w:type="dxa"/>
            <w:vMerge/>
            <w:tcBorders>
              <w:left w:val="single" w:sz="8" w:space="0" w:color="000000"/>
              <w:right w:val="single" w:sz="8" w:space="0" w:color="000000"/>
            </w:tcBorders>
            <w:vAlign w:val="center"/>
          </w:tcPr>
          <w:p w14:paraId="5225A4F0" w14:textId="77777777" w:rsidR="000D37F8" w:rsidRPr="00DF4CE5" w:rsidRDefault="000D37F8" w:rsidP="00E41BE6">
            <w:pPr>
              <w:spacing w:after="0" w:line="240" w:lineRule="auto"/>
              <w:rPr>
                <w:rFonts w:ascii="Cambria" w:eastAsia="Times New Roman" w:hAnsi="Cambria" w:cs="Calibri"/>
                <w:lang w:val="hr-HR"/>
              </w:rPr>
            </w:pPr>
          </w:p>
        </w:tc>
        <w:tc>
          <w:tcPr>
            <w:tcW w:w="2764"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93572F8" w14:textId="77777777" w:rsidR="000D37F8" w:rsidRPr="00DF4CE5" w:rsidRDefault="000D37F8"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pismeni ispit / usmeni ispit</w:t>
            </w:r>
          </w:p>
        </w:tc>
        <w:tc>
          <w:tcPr>
            <w:tcW w:w="11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2883729" w14:textId="77777777" w:rsidR="000D37F8" w:rsidRPr="00DF4CE5" w:rsidRDefault="000D37F8" w:rsidP="00E41BE6">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1. – 6.</w:t>
            </w:r>
          </w:p>
        </w:tc>
        <w:tc>
          <w:tcPr>
            <w:tcW w:w="77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EB8FA09" w14:textId="77777777" w:rsidR="000D37F8" w:rsidRPr="00DF4CE5" w:rsidRDefault="000D37F8" w:rsidP="00E41BE6">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45</w:t>
            </w:r>
          </w:p>
        </w:tc>
        <w:tc>
          <w:tcPr>
            <w:tcW w:w="108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95CF274" w14:textId="77777777" w:rsidR="000D37F8" w:rsidRPr="00DF4CE5" w:rsidRDefault="000D37F8" w:rsidP="00E41BE6">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1,5</w:t>
            </w:r>
          </w:p>
        </w:tc>
        <w:tc>
          <w:tcPr>
            <w:tcW w:w="141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DCE150C" w14:textId="77777777" w:rsidR="000D37F8" w:rsidRPr="00DF4CE5" w:rsidRDefault="000D37F8" w:rsidP="00E41BE6">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30%</w:t>
            </w:r>
          </w:p>
        </w:tc>
      </w:tr>
      <w:tr w:rsidR="000D37F8" w:rsidRPr="00DF4CE5" w14:paraId="7CD97785" w14:textId="77777777" w:rsidTr="000D37F8">
        <w:tc>
          <w:tcPr>
            <w:tcW w:w="2800" w:type="dxa"/>
            <w:vMerge/>
            <w:tcBorders>
              <w:left w:val="single" w:sz="8" w:space="0" w:color="000000"/>
              <w:right w:val="single" w:sz="8" w:space="0" w:color="000000"/>
            </w:tcBorders>
            <w:vAlign w:val="center"/>
            <w:hideMark/>
          </w:tcPr>
          <w:p w14:paraId="71D632A8" w14:textId="77777777" w:rsidR="000D37F8" w:rsidRPr="00DF4CE5" w:rsidRDefault="000D37F8" w:rsidP="00E41BE6">
            <w:pPr>
              <w:spacing w:after="0" w:line="240" w:lineRule="auto"/>
              <w:rPr>
                <w:rFonts w:ascii="Cambria" w:eastAsia="Times New Roman" w:hAnsi="Cambria" w:cs="Calibri"/>
                <w:lang w:val="hr-HR"/>
              </w:rPr>
            </w:pPr>
          </w:p>
        </w:tc>
        <w:tc>
          <w:tcPr>
            <w:tcW w:w="3940"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16243AD" w14:textId="5611D89D" w:rsidR="000D37F8" w:rsidRPr="00DF4CE5" w:rsidRDefault="000D37F8" w:rsidP="00E41BE6">
            <w:pPr>
              <w:spacing w:after="0" w:line="240" w:lineRule="auto"/>
              <w:rPr>
                <w:rFonts w:ascii="Cambria" w:eastAsia="Times New Roman" w:hAnsi="Cambria" w:cs="Calibri"/>
                <w:lang w:val="hr-HR"/>
              </w:rPr>
            </w:pPr>
            <w:proofErr w:type="spellStart"/>
            <w:r>
              <w:rPr>
                <w:rFonts w:ascii="Cambria" w:eastAsia="Times New Roman" w:hAnsi="Cambria" w:cs="Calibri"/>
              </w:rPr>
              <w:t>u</w:t>
            </w:r>
            <w:r w:rsidRPr="00DF4CE5">
              <w:rPr>
                <w:rFonts w:ascii="Cambria" w:eastAsia="Times New Roman" w:hAnsi="Cambria" w:cs="Calibri"/>
              </w:rPr>
              <w:t>kupno</w:t>
            </w:r>
            <w:proofErr w:type="spellEnd"/>
          </w:p>
        </w:tc>
        <w:tc>
          <w:tcPr>
            <w:tcW w:w="77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1CB2C5F" w14:textId="77777777" w:rsidR="000D37F8" w:rsidRPr="00DF4CE5" w:rsidRDefault="000D37F8" w:rsidP="00E41BE6">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150</w:t>
            </w:r>
          </w:p>
        </w:tc>
        <w:tc>
          <w:tcPr>
            <w:tcW w:w="108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A722144" w14:textId="77777777" w:rsidR="000D37F8" w:rsidRPr="00DF4CE5" w:rsidRDefault="000D37F8" w:rsidP="00E41BE6">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5</w:t>
            </w:r>
          </w:p>
        </w:tc>
        <w:tc>
          <w:tcPr>
            <w:tcW w:w="141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772DEC8" w14:textId="77777777" w:rsidR="000D37F8" w:rsidRPr="00DF4CE5" w:rsidRDefault="000D37F8" w:rsidP="00E41BE6">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100%</w:t>
            </w:r>
          </w:p>
        </w:tc>
      </w:tr>
      <w:tr w:rsidR="000D37F8" w:rsidRPr="00D0399C" w14:paraId="68229FE3" w14:textId="77777777" w:rsidTr="000D37F8">
        <w:tc>
          <w:tcPr>
            <w:tcW w:w="2800" w:type="dxa"/>
            <w:vMerge/>
            <w:tcBorders>
              <w:left w:val="single" w:sz="8" w:space="0" w:color="000000"/>
              <w:right w:val="single" w:sz="8" w:space="0" w:color="000000"/>
            </w:tcBorders>
            <w:vAlign w:val="center"/>
          </w:tcPr>
          <w:p w14:paraId="595E6A6A" w14:textId="77777777" w:rsidR="000D37F8" w:rsidRPr="00DF4CE5" w:rsidRDefault="000D37F8" w:rsidP="00E41BE6">
            <w:pPr>
              <w:spacing w:after="0" w:line="240" w:lineRule="auto"/>
              <w:rPr>
                <w:rFonts w:ascii="Cambria" w:eastAsia="Times New Roman" w:hAnsi="Cambria" w:cs="Calibri"/>
                <w:lang w:val="hr-HR"/>
              </w:rPr>
            </w:pPr>
          </w:p>
        </w:tc>
        <w:tc>
          <w:tcPr>
            <w:tcW w:w="7220"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9C95D48" w14:textId="77777777" w:rsidR="000D37F8" w:rsidRPr="00DF4CE5" w:rsidRDefault="000D37F8" w:rsidP="000D37F8">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Dodatna pojašnjenja (kriteriji ocjenjivanja):</w:t>
            </w:r>
          </w:p>
          <w:p w14:paraId="1C399555" w14:textId="4C6B9619" w:rsidR="000D37F8" w:rsidRPr="00DF4CE5" w:rsidRDefault="000D37F8" w:rsidP="000D37F8">
            <w:pPr>
              <w:spacing w:after="0" w:line="240" w:lineRule="auto"/>
              <w:rPr>
                <w:rFonts w:ascii="Cambria" w:eastAsia="Times New Roman" w:hAnsi="Cambria" w:cs="Calibri"/>
                <w:lang w:val="hr-HR"/>
              </w:rPr>
            </w:pPr>
            <w:r w:rsidRPr="00DF4CE5">
              <w:rPr>
                <w:rFonts w:ascii="Cambria" w:eastAsia="Times New Roman" w:hAnsi="Cambria" w:cs="Calibri"/>
                <w:lang w:val="hr-HR"/>
              </w:rPr>
              <w:t>Pohađanje nastave je obvezno. U toku nastave student može steći do 70 % ocjene kroz pozitivno ocijenjene zadatke i aktivnosti.</w:t>
            </w:r>
          </w:p>
        </w:tc>
      </w:tr>
      <w:tr w:rsidR="00E41BE6" w:rsidRPr="000D37F8" w14:paraId="73FEC913" w14:textId="77777777" w:rsidTr="000D37F8">
        <w:tc>
          <w:tcPr>
            <w:tcW w:w="28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DCB137E"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Studentske obveze</w:t>
            </w:r>
          </w:p>
        </w:tc>
        <w:tc>
          <w:tcPr>
            <w:tcW w:w="7220"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CD64179" w14:textId="3D0E6809"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Da položi kolegij, student/studentica mora</w:t>
            </w:r>
            <w:r w:rsidR="000D37F8">
              <w:rPr>
                <w:rFonts w:ascii="Cambria" w:eastAsia="Times New Roman" w:hAnsi="Cambria" w:cs="Calibri"/>
                <w:lang w:val="hr-HR"/>
              </w:rPr>
              <w:t>:</w:t>
            </w:r>
          </w:p>
          <w:p w14:paraId="229AB100" w14:textId="3502086F" w:rsidR="00E41BE6" w:rsidRPr="00DF4CE5" w:rsidRDefault="000D37F8" w:rsidP="000D37F8">
            <w:pPr>
              <w:spacing w:after="0" w:line="240" w:lineRule="auto"/>
              <w:contextualSpacing/>
              <w:rPr>
                <w:rFonts w:ascii="Cambria" w:eastAsia="Calibri" w:hAnsi="Cambria" w:cs="Calibri"/>
                <w:lang w:val="hr-HR"/>
              </w:rPr>
            </w:pPr>
            <w:r>
              <w:rPr>
                <w:rFonts w:ascii="Cambria" w:eastAsia="Calibri" w:hAnsi="Cambria" w:cs="Calibri"/>
                <w:lang w:val="hr-HR"/>
              </w:rPr>
              <w:t>1. p</w:t>
            </w:r>
            <w:r w:rsidR="00E41BE6" w:rsidRPr="00DF4CE5">
              <w:rPr>
                <w:rFonts w:ascii="Cambria" w:eastAsia="Calibri" w:hAnsi="Cambria" w:cs="Calibri"/>
                <w:lang w:val="hr-HR"/>
              </w:rPr>
              <w:t>ohađati nastavu i aktivno sudjelovati u svim nastavnim aktivnostima, pripremati se za nastavu svakog tjedna</w:t>
            </w:r>
          </w:p>
          <w:p w14:paraId="310A10B5" w14:textId="77777777" w:rsidR="000D37F8" w:rsidRDefault="000D37F8" w:rsidP="00E41BE6">
            <w:pPr>
              <w:spacing w:after="0" w:line="240" w:lineRule="auto"/>
              <w:contextualSpacing/>
              <w:rPr>
                <w:rFonts w:ascii="Cambria" w:eastAsia="Calibri" w:hAnsi="Cambria" w:cs="Calibri"/>
                <w:lang w:val="hr-HR"/>
              </w:rPr>
            </w:pPr>
            <w:r>
              <w:rPr>
                <w:rFonts w:ascii="Cambria" w:eastAsia="Calibri" w:hAnsi="Cambria" w:cs="Calibri"/>
                <w:lang w:val="hr-HR"/>
              </w:rPr>
              <w:t>2. r</w:t>
            </w:r>
            <w:r w:rsidR="00E41BE6" w:rsidRPr="00DF4CE5">
              <w:rPr>
                <w:rFonts w:ascii="Cambria" w:eastAsia="Calibri" w:hAnsi="Cambria" w:cs="Calibri"/>
                <w:lang w:val="hr-HR"/>
              </w:rPr>
              <w:t>edovito izrađivati zadaće, napisati zadani esej, izraditi prezentacije te voditi jezični portfolio</w:t>
            </w:r>
          </w:p>
          <w:p w14:paraId="4310BBBB" w14:textId="052D7C83" w:rsidR="00E41BE6" w:rsidRPr="000D37F8" w:rsidRDefault="000D37F8" w:rsidP="00E41BE6">
            <w:pPr>
              <w:spacing w:after="0" w:line="240" w:lineRule="auto"/>
              <w:contextualSpacing/>
              <w:rPr>
                <w:rFonts w:ascii="Cambria" w:eastAsia="Calibri" w:hAnsi="Cambria" w:cs="Calibri"/>
                <w:lang w:val="hr-HR"/>
              </w:rPr>
            </w:pPr>
            <w:r>
              <w:rPr>
                <w:rFonts w:ascii="Cambria" w:eastAsia="Times New Roman" w:hAnsi="Cambria" w:cs="Calibri"/>
                <w:lang w:val="hr-HR"/>
              </w:rPr>
              <w:t>3. p</w:t>
            </w:r>
            <w:r w:rsidR="00E41BE6" w:rsidRPr="00DF4CE5">
              <w:rPr>
                <w:rFonts w:ascii="Cambria" w:eastAsia="Times New Roman" w:hAnsi="Cambria" w:cs="Calibri"/>
                <w:lang w:val="hr-HR"/>
              </w:rPr>
              <w:t>oložiti završni ispit.</w:t>
            </w:r>
          </w:p>
        </w:tc>
      </w:tr>
      <w:tr w:rsidR="00E41BE6" w:rsidRPr="00D0399C" w14:paraId="6641E5CC" w14:textId="77777777" w:rsidTr="000D37F8">
        <w:tc>
          <w:tcPr>
            <w:tcW w:w="28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074DD6F" w14:textId="77777777" w:rsidR="00E41BE6" w:rsidRPr="00DF4CE5" w:rsidRDefault="00E41BE6" w:rsidP="00E41BE6">
            <w:pPr>
              <w:spacing w:after="0" w:line="240" w:lineRule="auto"/>
              <w:rPr>
                <w:rFonts w:ascii="Cambria" w:eastAsia="Times New Roman" w:hAnsi="Cambria" w:cs="Calibri"/>
                <w:lang w:val="hr-HR"/>
              </w:rPr>
            </w:pPr>
            <w:proofErr w:type="spellStart"/>
            <w:r w:rsidRPr="00DF4CE5">
              <w:rPr>
                <w:rFonts w:ascii="Cambria" w:eastAsia="Times New Roman" w:hAnsi="Cambria" w:cs="Calibri"/>
              </w:rPr>
              <w:t>Rokovi</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ispita</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i</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kolokvija</w:t>
            </w:r>
            <w:proofErr w:type="spellEnd"/>
          </w:p>
        </w:tc>
        <w:tc>
          <w:tcPr>
            <w:tcW w:w="7220"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E5FA4CB"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 xml:space="preserve">Daju se na početku akademske godine, objavljuju se na mrežnim stranicama Sveučilišta i u ISVU. </w:t>
            </w:r>
          </w:p>
        </w:tc>
      </w:tr>
      <w:tr w:rsidR="00E41BE6" w:rsidRPr="00DF4CE5" w14:paraId="67640DB5" w14:textId="77777777" w:rsidTr="000D37F8">
        <w:tc>
          <w:tcPr>
            <w:tcW w:w="28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919AC3D"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 xml:space="preserve">Ostale važne činjenice </w:t>
            </w:r>
            <w:proofErr w:type="spellStart"/>
            <w:r w:rsidRPr="00DF4CE5">
              <w:rPr>
                <w:rFonts w:ascii="Cambria" w:eastAsia="Times New Roman" w:hAnsi="Cambria" w:cs="Calibri"/>
                <w:lang w:val="it-IT"/>
              </w:rPr>
              <w:t>vezane</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uz</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kolegij</w:t>
            </w:r>
            <w:proofErr w:type="spellEnd"/>
          </w:p>
        </w:tc>
        <w:tc>
          <w:tcPr>
            <w:tcW w:w="7220"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8F14D91"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Pohađanje nastave je obvezno. Praćenje i ocjenjivanje studenata izvodi se tijekom nastave i na završnom ispitu. Tijekom nastave student ostvaruje 70% ocjene, a na završnom ispitu 30% ocjene.</w:t>
            </w:r>
          </w:p>
          <w:p w14:paraId="1C39905D"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U slučaju održavanja nastave na daljinu, moguće je odstupanje u: mjestu izvođenja kolegija, provedbi aktivnosti, metoda tumačenja i poučavanja i načinima vrednovanja, studentskim obvezama i dostupnoj literaturi. O tome će nositeljica kolegija obavijestiti studente i studentice kad se nastava na daljinu počne održavati. Ishodi učenja ostaju nepromijenjeni.</w:t>
            </w:r>
          </w:p>
        </w:tc>
      </w:tr>
      <w:tr w:rsidR="00E41BE6" w:rsidRPr="00DF4CE5" w14:paraId="120D7472" w14:textId="77777777" w:rsidTr="000D37F8">
        <w:trPr>
          <w:trHeight w:val="612"/>
        </w:trPr>
        <w:tc>
          <w:tcPr>
            <w:tcW w:w="28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46ED55D"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Literatura</w:t>
            </w:r>
          </w:p>
        </w:tc>
        <w:tc>
          <w:tcPr>
            <w:tcW w:w="7220"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2AFC06E3" w14:textId="77777777" w:rsidR="00E41BE6" w:rsidRPr="000D37F8" w:rsidRDefault="00E41BE6" w:rsidP="00E41BE6">
            <w:pPr>
              <w:spacing w:after="0" w:line="240" w:lineRule="auto"/>
              <w:rPr>
                <w:rFonts w:ascii="Cambria" w:eastAsia="Times New Roman" w:hAnsi="Cambria" w:cs="Calibri"/>
                <w:lang w:val="hr-HR"/>
              </w:rPr>
            </w:pPr>
            <w:r w:rsidRPr="000D37F8">
              <w:rPr>
                <w:rFonts w:ascii="Cambria" w:eastAsia="Times New Roman" w:hAnsi="Cambria" w:cs="Calibri"/>
                <w:lang w:val="hr-HR"/>
              </w:rPr>
              <w:t xml:space="preserve">Obvezna: </w:t>
            </w:r>
          </w:p>
          <w:p w14:paraId="21A0EB7D" w14:textId="77777777" w:rsidR="00E41BE6" w:rsidRPr="000D37F8" w:rsidRDefault="00E41BE6" w:rsidP="00A034E3">
            <w:pPr>
              <w:numPr>
                <w:ilvl w:val="0"/>
                <w:numId w:val="63"/>
              </w:numPr>
              <w:spacing w:after="0" w:line="240" w:lineRule="auto"/>
              <w:contextualSpacing/>
              <w:rPr>
                <w:rFonts w:ascii="Cambria" w:eastAsia="Calibri" w:hAnsi="Cambria" w:cs="Calibri"/>
                <w:lang w:val="hr-HR"/>
              </w:rPr>
            </w:pPr>
            <w:proofErr w:type="spellStart"/>
            <w:r w:rsidRPr="000D37F8">
              <w:rPr>
                <w:rFonts w:ascii="Cambria" w:eastAsia="Calibri" w:hAnsi="Cambria" w:cs="Calibri"/>
                <w:lang w:val="hr-HR"/>
              </w:rPr>
              <w:t>Eine</w:t>
            </w:r>
            <w:proofErr w:type="spellEnd"/>
            <w:r w:rsidRPr="000D37F8">
              <w:rPr>
                <w:rFonts w:ascii="Cambria" w:eastAsia="Calibri" w:hAnsi="Cambria" w:cs="Calibri"/>
                <w:lang w:val="hr-HR"/>
              </w:rPr>
              <w:t xml:space="preserve"> von </w:t>
            </w:r>
            <w:proofErr w:type="spellStart"/>
            <w:r w:rsidRPr="000D37F8">
              <w:rPr>
                <w:rFonts w:ascii="Cambria" w:eastAsia="Calibri" w:hAnsi="Cambria" w:cs="Calibri"/>
                <w:lang w:val="hr-HR"/>
              </w:rPr>
              <w:t>der</w:t>
            </w:r>
            <w:proofErr w:type="spellEnd"/>
            <w:r w:rsidRPr="000D37F8">
              <w:rPr>
                <w:rFonts w:ascii="Cambria" w:eastAsia="Calibri" w:hAnsi="Cambria" w:cs="Calibri"/>
                <w:lang w:val="hr-HR"/>
              </w:rPr>
              <w:t xml:space="preserve"> </w:t>
            </w:r>
            <w:proofErr w:type="spellStart"/>
            <w:r w:rsidRPr="000D37F8">
              <w:rPr>
                <w:rFonts w:ascii="Cambria" w:eastAsia="Calibri" w:hAnsi="Cambria" w:cs="Calibri"/>
                <w:lang w:val="hr-HR"/>
              </w:rPr>
              <w:t>Lehrerin</w:t>
            </w:r>
            <w:proofErr w:type="spellEnd"/>
            <w:r w:rsidRPr="000D37F8">
              <w:rPr>
                <w:rFonts w:ascii="Cambria" w:eastAsia="Calibri" w:hAnsi="Cambria" w:cs="Calibri"/>
                <w:lang w:val="hr-HR"/>
              </w:rPr>
              <w:t xml:space="preserve"> </w:t>
            </w:r>
            <w:proofErr w:type="spellStart"/>
            <w:r w:rsidRPr="000D37F8">
              <w:rPr>
                <w:rFonts w:ascii="Cambria" w:eastAsia="Calibri" w:hAnsi="Cambria" w:cs="Calibri"/>
                <w:lang w:val="hr-HR"/>
              </w:rPr>
              <w:t>erstellte</w:t>
            </w:r>
            <w:proofErr w:type="spellEnd"/>
            <w:r w:rsidRPr="000D37F8">
              <w:rPr>
                <w:rFonts w:ascii="Cambria" w:eastAsia="Calibri" w:hAnsi="Cambria" w:cs="Calibri"/>
                <w:lang w:val="hr-HR"/>
              </w:rPr>
              <w:t xml:space="preserve"> </w:t>
            </w:r>
            <w:proofErr w:type="spellStart"/>
            <w:r w:rsidRPr="000D37F8">
              <w:rPr>
                <w:rFonts w:ascii="Cambria" w:eastAsia="Calibri" w:hAnsi="Cambria" w:cs="Calibri"/>
                <w:lang w:val="hr-HR"/>
              </w:rPr>
              <w:t>und</w:t>
            </w:r>
            <w:proofErr w:type="spellEnd"/>
            <w:r w:rsidRPr="000D37F8">
              <w:rPr>
                <w:rFonts w:ascii="Cambria" w:eastAsia="Calibri" w:hAnsi="Cambria" w:cs="Calibri"/>
                <w:lang w:val="hr-HR"/>
              </w:rPr>
              <w:t xml:space="preserve"> </w:t>
            </w:r>
            <w:proofErr w:type="spellStart"/>
            <w:r w:rsidRPr="000D37F8">
              <w:rPr>
                <w:rFonts w:ascii="Cambria" w:eastAsia="Calibri" w:hAnsi="Cambria" w:cs="Calibri"/>
                <w:lang w:val="hr-HR"/>
              </w:rPr>
              <w:t>laufend</w:t>
            </w:r>
            <w:proofErr w:type="spellEnd"/>
            <w:r w:rsidRPr="000D37F8">
              <w:rPr>
                <w:rFonts w:ascii="Cambria" w:eastAsia="Calibri" w:hAnsi="Cambria" w:cs="Calibri"/>
                <w:lang w:val="hr-HR"/>
              </w:rPr>
              <w:t xml:space="preserve"> </w:t>
            </w:r>
            <w:proofErr w:type="spellStart"/>
            <w:r w:rsidRPr="000D37F8">
              <w:rPr>
                <w:rFonts w:ascii="Cambria" w:eastAsia="Calibri" w:hAnsi="Cambria" w:cs="Calibri"/>
                <w:lang w:val="hr-HR"/>
              </w:rPr>
              <w:t>wechselnde</w:t>
            </w:r>
            <w:proofErr w:type="spellEnd"/>
            <w:r w:rsidRPr="000D37F8">
              <w:rPr>
                <w:rFonts w:ascii="Cambria" w:eastAsia="Calibri" w:hAnsi="Cambria" w:cs="Calibri"/>
                <w:lang w:val="hr-HR"/>
              </w:rPr>
              <w:t xml:space="preserve"> / </w:t>
            </w:r>
            <w:proofErr w:type="spellStart"/>
            <w:r w:rsidRPr="000D37F8">
              <w:rPr>
                <w:rFonts w:ascii="Cambria" w:eastAsia="Calibri" w:hAnsi="Cambria" w:cs="Calibri"/>
                <w:lang w:val="hr-HR"/>
              </w:rPr>
              <w:t>aktualisierte</w:t>
            </w:r>
            <w:proofErr w:type="spellEnd"/>
            <w:r w:rsidRPr="000D37F8">
              <w:rPr>
                <w:rFonts w:ascii="Cambria" w:eastAsia="Calibri" w:hAnsi="Cambria" w:cs="Calibri"/>
                <w:lang w:val="hr-HR"/>
              </w:rPr>
              <w:t xml:space="preserve"> </w:t>
            </w:r>
            <w:proofErr w:type="spellStart"/>
            <w:r w:rsidRPr="000D37F8">
              <w:rPr>
                <w:rFonts w:ascii="Cambria" w:eastAsia="Calibri" w:hAnsi="Cambria" w:cs="Calibri"/>
                <w:lang w:val="hr-HR"/>
              </w:rPr>
              <w:t>Sammlung</w:t>
            </w:r>
            <w:proofErr w:type="spellEnd"/>
            <w:r w:rsidRPr="000D37F8">
              <w:rPr>
                <w:rFonts w:ascii="Cambria" w:eastAsia="Calibri" w:hAnsi="Cambria" w:cs="Calibri"/>
                <w:lang w:val="hr-HR"/>
              </w:rPr>
              <w:t xml:space="preserve"> von </w:t>
            </w:r>
            <w:proofErr w:type="spellStart"/>
            <w:r w:rsidRPr="000D37F8">
              <w:rPr>
                <w:rFonts w:ascii="Cambria" w:eastAsia="Calibri" w:hAnsi="Cambria" w:cs="Calibri"/>
                <w:lang w:val="hr-HR"/>
              </w:rPr>
              <w:t>Texten</w:t>
            </w:r>
            <w:proofErr w:type="spellEnd"/>
            <w:r w:rsidRPr="000D37F8">
              <w:rPr>
                <w:rFonts w:ascii="Cambria" w:eastAsia="Calibri" w:hAnsi="Cambria" w:cs="Calibri"/>
                <w:lang w:val="hr-HR"/>
              </w:rPr>
              <w:t xml:space="preserve"> </w:t>
            </w:r>
            <w:proofErr w:type="spellStart"/>
            <w:r w:rsidRPr="000D37F8">
              <w:rPr>
                <w:rFonts w:ascii="Cambria" w:eastAsia="Calibri" w:hAnsi="Cambria" w:cs="Calibri"/>
                <w:lang w:val="hr-HR"/>
              </w:rPr>
              <w:t>und</w:t>
            </w:r>
            <w:proofErr w:type="spellEnd"/>
            <w:r w:rsidRPr="000D37F8">
              <w:rPr>
                <w:rFonts w:ascii="Cambria" w:eastAsia="Calibri" w:hAnsi="Cambria" w:cs="Calibri"/>
                <w:lang w:val="hr-HR"/>
              </w:rPr>
              <w:t xml:space="preserve"> </w:t>
            </w:r>
            <w:proofErr w:type="spellStart"/>
            <w:r w:rsidRPr="000D37F8">
              <w:rPr>
                <w:rFonts w:ascii="Cambria" w:eastAsia="Calibri" w:hAnsi="Cambria" w:cs="Calibri"/>
                <w:lang w:val="hr-HR"/>
              </w:rPr>
              <w:t>Übungen</w:t>
            </w:r>
            <w:proofErr w:type="spellEnd"/>
          </w:p>
          <w:p w14:paraId="3576D6A7" w14:textId="77777777" w:rsidR="00E41BE6" w:rsidRPr="000D37F8" w:rsidRDefault="00E41BE6" w:rsidP="00A034E3">
            <w:pPr>
              <w:numPr>
                <w:ilvl w:val="0"/>
                <w:numId w:val="63"/>
              </w:numPr>
              <w:spacing w:after="0" w:line="240" w:lineRule="auto"/>
              <w:contextualSpacing/>
              <w:rPr>
                <w:rFonts w:ascii="Cambria" w:eastAsia="Calibri" w:hAnsi="Cambria" w:cs="Calibri"/>
                <w:lang w:val="hr-HR"/>
              </w:rPr>
            </w:pPr>
            <w:r w:rsidRPr="000D37F8">
              <w:rPr>
                <w:rFonts w:ascii="Cambria" w:eastAsia="Calibri" w:hAnsi="Cambria" w:cs="Calibri"/>
                <w:lang w:val="hr-HR"/>
              </w:rPr>
              <w:t xml:space="preserve">Marčetić: Deutsche </w:t>
            </w:r>
            <w:proofErr w:type="spellStart"/>
            <w:r w:rsidRPr="000D37F8">
              <w:rPr>
                <w:rFonts w:ascii="Cambria" w:eastAsia="Calibri" w:hAnsi="Cambria" w:cs="Calibri"/>
                <w:lang w:val="hr-HR"/>
              </w:rPr>
              <w:t>Grammatik</w:t>
            </w:r>
            <w:proofErr w:type="spellEnd"/>
            <w:r w:rsidRPr="000D37F8">
              <w:rPr>
                <w:rFonts w:ascii="Cambria" w:eastAsia="Calibri" w:hAnsi="Cambria" w:cs="Calibri"/>
                <w:lang w:val="hr-HR"/>
              </w:rPr>
              <w:t xml:space="preserve"> im </w:t>
            </w:r>
            <w:proofErr w:type="spellStart"/>
            <w:r w:rsidRPr="000D37F8">
              <w:rPr>
                <w:rFonts w:ascii="Cambria" w:eastAsia="Calibri" w:hAnsi="Cambria" w:cs="Calibri"/>
                <w:lang w:val="hr-HR"/>
              </w:rPr>
              <w:t>Überblick</w:t>
            </w:r>
            <w:proofErr w:type="spellEnd"/>
            <w:r w:rsidRPr="000D37F8">
              <w:rPr>
                <w:rFonts w:ascii="Cambria" w:eastAsia="Calibri" w:hAnsi="Cambria" w:cs="Calibri"/>
                <w:lang w:val="hr-HR"/>
              </w:rPr>
              <w:t xml:space="preserve">, Školska knjiga Zagreb, zadnje izdanje; </w:t>
            </w:r>
          </w:p>
          <w:p w14:paraId="2B15A002" w14:textId="77777777" w:rsidR="00E41BE6" w:rsidRPr="000D37F8" w:rsidRDefault="00E41BE6" w:rsidP="00A034E3">
            <w:pPr>
              <w:numPr>
                <w:ilvl w:val="0"/>
                <w:numId w:val="63"/>
              </w:numPr>
              <w:spacing w:after="0" w:line="240" w:lineRule="auto"/>
              <w:contextualSpacing/>
              <w:rPr>
                <w:rFonts w:ascii="Cambria" w:eastAsia="Calibri" w:hAnsi="Cambria" w:cs="Calibri"/>
                <w:lang w:val="hr-HR"/>
              </w:rPr>
            </w:pPr>
            <w:proofErr w:type="spellStart"/>
            <w:r w:rsidRPr="000D37F8">
              <w:rPr>
                <w:rFonts w:ascii="Cambria" w:eastAsia="Calibri" w:hAnsi="Cambria" w:cs="Calibri"/>
                <w:lang w:val="hr-HR"/>
              </w:rPr>
              <w:t>Habersack</w:t>
            </w:r>
            <w:proofErr w:type="spellEnd"/>
            <w:r w:rsidRPr="000D37F8">
              <w:rPr>
                <w:rFonts w:ascii="Cambria" w:eastAsia="Calibri" w:hAnsi="Cambria" w:cs="Calibri"/>
                <w:lang w:val="hr-HR"/>
              </w:rPr>
              <w:t xml:space="preserve">, </w:t>
            </w:r>
            <w:proofErr w:type="spellStart"/>
            <w:r w:rsidRPr="000D37F8">
              <w:rPr>
                <w:rFonts w:ascii="Cambria" w:eastAsia="Calibri" w:hAnsi="Cambria" w:cs="Calibri"/>
                <w:lang w:val="hr-HR"/>
              </w:rPr>
              <w:t>Ch</w:t>
            </w:r>
            <w:proofErr w:type="spellEnd"/>
            <w:r w:rsidRPr="000D37F8">
              <w:rPr>
                <w:rFonts w:ascii="Cambria" w:eastAsia="Calibri" w:hAnsi="Cambria" w:cs="Calibri"/>
                <w:lang w:val="hr-HR"/>
              </w:rPr>
              <w:t xml:space="preserve">., </w:t>
            </w:r>
            <w:proofErr w:type="spellStart"/>
            <w:r w:rsidRPr="000D37F8">
              <w:rPr>
                <w:rFonts w:ascii="Cambria" w:eastAsia="Calibri" w:hAnsi="Cambria" w:cs="Calibri"/>
                <w:lang w:val="hr-HR"/>
              </w:rPr>
              <w:t>Pude</w:t>
            </w:r>
            <w:proofErr w:type="spellEnd"/>
            <w:r w:rsidRPr="000D37F8">
              <w:rPr>
                <w:rFonts w:ascii="Cambria" w:eastAsia="Calibri" w:hAnsi="Cambria" w:cs="Calibri"/>
                <w:lang w:val="hr-HR"/>
              </w:rPr>
              <w:t xml:space="preserve">, A., </w:t>
            </w:r>
            <w:proofErr w:type="spellStart"/>
            <w:r w:rsidRPr="000D37F8">
              <w:rPr>
                <w:rFonts w:ascii="Cambria" w:eastAsia="Calibri" w:hAnsi="Cambria" w:cs="Calibri"/>
                <w:lang w:val="hr-HR"/>
              </w:rPr>
              <w:t>Specht</w:t>
            </w:r>
            <w:proofErr w:type="spellEnd"/>
            <w:r w:rsidRPr="000D37F8">
              <w:rPr>
                <w:rFonts w:ascii="Cambria" w:eastAsia="Calibri" w:hAnsi="Cambria" w:cs="Calibri"/>
                <w:lang w:val="hr-HR"/>
              </w:rPr>
              <w:t xml:space="preserve">, F., </w:t>
            </w:r>
            <w:proofErr w:type="spellStart"/>
            <w:r w:rsidRPr="000D37F8">
              <w:rPr>
                <w:rFonts w:ascii="Cambria" w:eastAsia="Calibri" w:hAnsi="Cambria" w:cs="Calibri"/>
                <w:lang w:val="hr-HR"/>
              </w:rPr>
              <w:t>Menschen</w:t>
            </w:r>
            <w:proofErr w:type="spellEnd"/>
            <w:r w:rsidRPr="000D37F8">
              <w:rPr>
                <w:rFonts w:ascii="Cambria" w:eastAsia="Calibri" w:hAnsi="Cambria" w:cs="Calibri"/>
                <w:lang w:val="hr-HR"/>
              </w:rPr>
              <w:t xml:space="preserve"> </w:t>
            </w:r>
            <w:proofErr w:type="spellStart"/>
            <w:r w:rsidRPr="000D37F8">
              <w:rPr>
                <w:rFonts w:ascii="Cambria" w:eastAsia="Calibri" w:hAnsi="Cambria" w:cs="Calibri"/>
                <w:lang w:val="hr-HR"/>
              </w:rPr>
              <w:t>Deutsch</w:t>
            </w:r>
            <w:proofErr w:type="spellEnd"/>
            <w:r w:rsidRPr="000D37F8">
              <w:rPr>
                <w:rFonts w:ascii="Cambria" w:eastAsia="Calibri" w:hAnsi="Cambria" w:cs="Calibri"/>
                <w:lang w:val="hr-HR"/>
              </w:rPr>
              <w:t xml:space="preserve"> </w:t>
            </w:r>
            <w:proofErr w:type="spellStart"/>
            <w:r w:rsidRPr="000D37F8">
              <w:rPr>
                <w:rFonts w:ascii="Cambria" w:eastAsia="Calibri" w:hAnsi="Cambria" w:cs="Calibri"/>
                <w:lang w:val="hr-HR"/>
              </w:rPr>
              <w:t>als</w:t>
            </w:r>
            <w:proofErr w:type="spellEnd"/>
            <w:r w:rsidRPr="000D37F8">
              <w:rPr>
                <w:rFonts w:ascii="Cambria" w:eastAsia="Calibri" w:hAnsi="Cambria" w:cs="Calibri"/>
                <w:lang w:val="hr-HR"/>
              </w:rPr>
              <w:t xml:space="preserve"> </w:t>
            </w:r>
            <w:proofErr w:type="spellStart"/>
            <w:r w:rsidRPr="000D37F8">
              <w:rPr>
                <w:rFonts w:ascii="Cambria" w:eastAsia="Calibri" w:hAnsi="Cambria" w:cs="Calibri"/>
                <w:lang w:val="hr-HR"/>
              </w:rPr>
              <w:t>Fremdsprache</w:t>
            </w:r>
            <w:proofErr w:type="spellEnd"/>
            <w:r w:rsidRPr="000D37F8">
              <w:rPr>
                <w:rFonts w:ascii="Cambria" w:eastAsia="Calibri" w:hAnsi="Cambria" w:cs="Calibri"/>
                <w:lang w:val="hr-HR"/>
              </w:rPr>
              <w:t xml:space="preserve">, </w:t>
            </w:r>
            <w:proofErr w:type="spellStart"/>
            <w:r w:rsidRPr="000D37F8">
              <w:rPr>
                <w:rFonts w:ascii="Cambria" w:eastAsia="Calibri" w:hAnsi="Cambria" w:cs="Calibri"/>
                <w:lang w:val="hr-HR"/>
              </w:rPr>
              <w:t>Lehrbuch</w:t>
            </w:r>
            <w:proofErr w:type="spellEnd"/>
            <w:r w:rsidRPr="000D37F8">
              <w:rPr>
                <w:rFonts w:ascii="Cambria" w:eastAsia="Calibri" w:hAnsi="Cambria" w:cs="Calibri"/>
                <w:lang w:val="hr-HR"/>
              </w:rPr>
              <w:t xml:space="preserve">, </w:t>
            </w:r>
            <w:proofErr w:type="spellStart"/>
            <w:r w:rsidRPr="000D37F8">
              <w:rPr>
                <w:rFonts w:ascii="Cambria" w:eastAsia="Calibri" w:hAnsi="Cambria" w:cs="Calibri"/>
                <w:lang w:val="hr-HR"/>
              </w:rPr>
              <w:t>Hueber</w:t>
            </w:r>
            <w:proofErr w:type="spellEnd"/>
            <w:r w:rsidRPr="000D37F8">
              <w:rPr>
                <w:rFonts w:ascii="Cambria" w:eastAsia="Calibri" w:hAnsi="Cambria" w:cs="Calibri"/>
                <w:lang w:val="hr-HR"/>
              </w:rPr>
              <w:t xml:space="preserve"> </w:t>
            </w:r>
            <w:proofErr w:type="spellStart"/>
            <w:r w:rsidRPr="000D37F8">
              <w:rPr>
                <w:rFonts w:ascii="Cambria" w:eastAsia="Calibri" w:hAnsi="Cambria" w:cs="Calibri"/>
                <w:lang w:val="hr-HR"/>
              </w:rPr>
              <w:t>Verlag</w:t>
            </w:r>
            <w:proofErr w:type="spellEnd"/>
            <w:r w:rsidRPr="000D37F8">
              <w:rPr>
                <w:rFonts w:ascii="Cambria" w:eastAsia="Calibri" w:hAnsi="Cambria" w:cs="Calibri"/>
                <w:lang w:val="hr-HR"/>
              </w:rPr>
              <w:t xml:space="preserve">, </w:t>
            </w:r>
            <w:proofErr w:type="spellStart"/>
            <w:r w:rsidRPr="000D37F8">
              <w:rPr>
                <w:rFonts w:ascii="Cambria" w:eastAsia="Calibri" w:hAnsi="Cambria" w:cs="Calibri"/>
                <w:lang w:val="hr-HR"/>
              </w:rPr>
              <w:t>Ismaning</w:t>
            </w:r>
            <w:proofErr w:type="spellEnd"/>
            <w:r w:rsidRPr="000D37F8">
              <w:rPr>
                <w:rFonts w:ascii="Cambria" w:eastAsia="Calibri" w:hAnsi="Cambria" w:cs="Calibri"/>
                <w:lang w:val="hr-HR"/>
              </w:rPr>
              <w:t>, zadnje izdanje</w:t>
            </w:r>
          </w:p>
          <w:p w14:paraId="77A8304F" w14:textId="77777777" w:rsidR="00E41BE6" w:rsidRPr="000D37F8" w:rsidRDefault="00E41BE6" w:rsidP="00A034E3">
            <w:pPr>
              <w:numPr>
                <w:ilvl w:val="0"/>
                <w:numId w:val="63"/>
              </w:numPr>
              <w:spacing w:after="0" w:line="240" w:lineRule="auto"/>
              <w:contextualSpacing/>
              <w:rPr>
                <w:rFonts w:ascii="Cambria" w:eastAsia="Calibri" w:hAnsi="Cambria" w:cs="Calibri"/>
                <w:lang w:val="hr-HR"/>
              </w:rPr>
            </w:pPr>
            <w:proofErr w:type="spellStart"/>
            <w:r w:rsidRPr="000D37F8">
              <w:rPr>
                <w:rFonts w:ascii="Cambria" w:eastAsia="Calibri" w:hAnsi="Cambria" w:cs="Calibri"/>
                <w:lang w:val="hr-HR"/>
              </w:rPr>
              <w:t>Habersack</w:t>
            </w:r>
            <w:proofErr w:type="spellEnd"/>
            <w:r w:rsidRPr="000D37F8">
              <w:rPr>
                <w:rFonts w:ascii="Cambria" w:eastAsia="Calibri" w:hAnsi="Cambria" w:cs="Calibri"/>
                <w:lang w:val="hr-HR"/>
              </w:rPr>
              <w:t xml:space="preserve">, </w:t>
            </w:r>
            <w:proofErr w:type="spellStart"/>
            <w:r w:rsidRPr="000D37F8">
              <w:rPr>
                <w:rFonts w:ascii="Cambria" w:eastAsia="Calibri" w:hAnsi="Cambria" w:cs="Calibri"/>
                <w:lang w:val="hr-HR"/>
              </w:rPr>
              <w:t>Ch</w:t>
            </w:r>
            <w:proofErr w:type="spellEnd"/>
            <w:r w:rsidRPr="000D37F8">
              <w:rPr>
                <w:rFonts w:ascii="Cambria" w:eastAsia="Calibri" w:hAnsi="Cambria" w:cs="Calibri"/>
                <w:lang w:val="hr-HR"/>
              </w:rPr>
              <w:t xml:space="preserve">., </w:t>
            </w:r>
            <w:proofErr w:type="spellStart"/>
            <w:r w:rsidRPr="000D37F8">
              <w:rPr>
                <w:rFonts w:ascii="Cambria" w:eastAsia="Calibri" w:hAnsi="Cambria" w:cs="Calibri"/>
                <w:lang w:val="hr-HR"/>
              </w:rPr>
              <w:t>Pude</w:t>
            </w:r>
            <w:proofErr w:type="spellEnd"/>
            <w:r w:rsidRPr="000D37F8">
              <w:rPr>
                <w:rFonts w:ascii="Cambria" w:eastAsia="Calibri" w:hAnsi="Cambria" w:cs="Calibri"/>
                <w:lang w:val="hr-HR"/>
              </w:rPr>
              <w:t xml:space="preserve">, A., </w:t>
            </w:r>
            <w:proofErr w:type="spellStart"/>
            <w:r w:rsidRPr="000D37F8">
              <w:rPr>
                <w:rFonts w:ascii="Cambria" w:eastAsia="Calibri" w:hAnsi="Cambria" w:cs="Calibri"/>
                <w:lang w:val="hr-HR"/>
              </w:rPr>
              <w:t>Specht</w:t>
            </w:r>
            <w:proofErr w:type="spellEnd"/>
            <w:r w:rsidRPr="000D37F8">
              <w:rPr>
                <w:rFonts w:ascii="Cambria" w:eastAsia="Calibri" w:hAnsi="Cambria" w:cs="Calibri"/>
                <w:lang w:val="hr-HR"/>
              </w:rPr>
              <w:t xml:space="preserve">, F., </w:t>
            </w:r>
            <w:proofErr w:type="spellStart"/>
            <w:r w:rsidRPr="000D37F8">
              <w:rPr>
                <w:rFonts w:ascii="Cambria" w:eastAsia="Calibri" w:hAnsi="Cambria" w:cs="Calibri"/>
                <w:lang w:val="hr-HR"/>
              </w:rPr>
              <w:t>Menschen</w:t>
            </w:r>
            <w:proofErr w:type="spellEnd"/>
            <w:r w:rsidRPr="000D37F8">
              <w:rPr>
                <w:rFonts w:ascii="Cambria" w:eastAsia="Calibri" w:hAnsi="Cambria" w:cs="Calibri"/>
                <w:lang w:val="hr-HR"/>
              </w:rPr>
              <w:t xml:space="preserve"> </w:t>
            </w:r>
            <w:proofErr w:type="spellStart"/>
            <w:r w:rsidRPr="000D37F8">
              <w:rPr>
                <w:rFonts w:ascii="Cambria" w:eastAsia="Calibri" w:hAnsi="Cambria" w:cs="Calibri"/>
                <w:lang w:val="hr-HR"/>
              </w:rPr>
              <w:t>Deutsch</w:t>
            </w:r>
            <w:proofErr w:type="spellEnd"/>
            <w:r w:rsidRPr="000D37F8">
              <w:rPr>
                <w:rFonts w:ascii="Cambria" w:eastAsia="Calibri" w:hAnsi="Cambria" w:cs="Calibri"/>
                <w:lang w:val="hr-HR"/>
              </w:rPr>
              <w:t xml:space="preserve"> </w:t>
            </w:r>
            <w:proofErr w:type="spellStart"/>
            <w:r w:rsidRPr="000D37F8">
              <w:rPr>
                <w:rFonts w:ascii="Cambria" w:eastAsia="Calibri" w:hAnsi="Cambria" w:cs="Calibri"/>
                <w:lang w:val="hr-HR"/>
              </w:rPr>
              <w:t>als</w:t>
            </w:r>
            <w:proofErr w:type="spellEnd"/>
            <w:r w:rsidRPr="000D37F8">
              <w:rPr>
                <w:rFonts w:ascii="Cambria" w:eastAsia="Calibri" w:hAnsi="Cambria" w:cs="Calibri"/>
                <w:lang w:val="hr-HR"/>
              </w:rPr>
              <w:t xml:space="preserve"> </w:t>
            </w:r>
            <w:proofErr w:type="spellStart"/>
            <w:r w:rsidRPr="000D37F8">
              <w:rPr>
                <w:rFonts w:ascii="Cambria" w:eastAsia="Calibri" w:hAnsi="Cambria" w:cs="Calibri"/>
                <w:lang w:val="hr-HR"/>
              </w:rPr>
              <w:t>Fremdsprache</w:t>
            </w:r>
            <w:proofErr w:type="spellEnd"/>
            <w:r w:rsidRPr="000D37F8">
              <w:rPr>
                <w:rFonts w:ascii="Cambria" w:eastAsia="Calibri" w:hAnsi="Cambria" w:cs="Calibri"/>
                <w:lang w:val="hr-HR"/>
              </w:rPr>
              <w:t xml:space="preserve">, </w:t>
            </w:r>
            <w:proofErr w:type="spellStart"/>
            <w:r w:rsidRPr="000D37F8">
              <w:rPr>
                <w:rFonts w:ascii="Cambria" w:eastAsia="Calibri" w:hAnsi="Cambria" w:cs="Calibri"/>
                <w:lang w:val="hr-HR"/>
              </w:rPr>
              <w:t>Arbeitsbuch</w:t>
            </w:r>
            <w:proofErr w:type="spellEnd"/>
            <w:r w:rsidRPr="000D37F8">
              <w:rPr>
                <w:rFonts w:ascii="Cambria" w:eastAsia="Calibri" w:hAnsi="Cambria" w:cs="Calibri"/>
                <w:lang w:val="hr-HR"/>
              </w:rPr>
              <w:t xml:space="preserve">, </w:t>
            </w:r>
            <w:proofErr w:type="spellStart"/>
            <w:r w:rsidRPr="000D37F8">
              <w:rPr>
                <w:rFonts w:ascii="Cambria" w:eastAsia="Calibri" w:hAnsi="Cambria" w:cs="Calibri"/>
                <w:lang w:val="hr-HR"/>
              </w:rPr>
              <w:t>Hueber</w:t>
            </w:r>
            <w:proofErr w:type="spellEnd"/>
            <w:r w:rsidRPr="000D37F8">
              <w:rPr>
                <w:rFonts w:ascii="Cambria" w:eastAsia="Calibri" w:hAnsi="Cambria" w:cs="Calibri"/>
                <w:lang w:val="hr-HR"/>
              </w:rPr>
              <w:t xml:space="preserve"> </w:t>
            </w:r>
            <w:proofErr w:type="spellStart"/>
            <w:r w:rsidRPr="000D37F8">
              <w:rPr>
                <w:rFonts w:ascii="Cambria" w:eastAsia="Calibri" w:hAnsi="Cambria" w:cs="Calibri"/>
                <w:lang w:val="hr-HR"/>
              </w:rPr>
              <w:t>Verlag</w:t>
            </w:r>
            <w:proofErr w:type="spellEnd"/>
            <w:r w:rsidRPr="000D37F8">
              <w:rPr>
                <w:rFonts w:ascii="Cambria" w:eastAsia="Calibri" w:hAnsi="Cambria" w:cs="Calibri"/>
                <w:lang w:val="hr-HR"/>
              </w:rPr>
              <w:t xml:space="preserve">, </w:t>
            </w:r>
            <w:proofErr w:type="spellStart"/>
            <w:r w:rsidRPr="000D37F8">
              <w:rPr>
                <w:rFonts w:ascii="Cambria" w:eastAsia="Calibri" w:hAnsi="Cambria" w:cs="Calibri"/>
                <w:lang w:val="hr-HR"/>
              </w:rPr>
              <w:t>Ismaning</w:t>
            </w:r>
            <w:proofErr w:type="spellEnd"/>
            <w:r w:rsidRPr="000D37F8">
              <w:rPr>
                <w:rFonts w:ascii="Cambria" w:eastAsia="Calibri" w:hAnsi="Cambria" w:cs="Calibri"/>
                <w:lang w:val="hr-HR"/>
              </w:rPr>
              <w:t xml:space="preserve">, </w:t>
            </w:r>
            <w:proofErr w:type="spellStart"/>
            <w:r w:rsidRPr="000D37F8">
              <w:rPr>
                <w:rFonts w:ascii="Cambria" w:eastAsia="Calibri" w:hAnsi="Cambria" w:cs="Calibri"/>
                <w:lang w:val="hr-HR"/>
              </w:rPr>
              <w:t>zadnej</w:t>
            </w:r>
            <w:proofErr w:type="spellEnd"/>
            <w:r w:rsidRPr="000D37F8">
              <w:rPr>
                <w:rFonts w:ascii="Cambria" w:eastAsia="Calibri" w:hAnsi="Cambria" w:cs="Calibri"/>
                <w:lang w:val="hr-HR"/>
              </w:rPr>
              <w:t xml:space="preserve"> izdanje.</w:t>
            </w:r>
          </w:p>
          <w:p w14:paraId="0A5240C3" w14:textId="77777777" w:rsidR="00E41BE6" w:rsidRPr="000D37F8" w:rsidRDefault="00E41BE6" w:rsidP="00E41BE6">
            <w:pPr>
              <w:spacing w:after="0" w:line="240" w:lineRule="auto"/>
              <w:rPr>
                <w:rFonts w:ascii="Cambria" w:eastAsia="Times New Roman" w:hAnsi="Cambria" w:cs="Calibri"/>
                <w:lang w:val="hr-HR"/>
              </w:rPr>
            </w:pPr>
            <w:r w:rsidRPr="000D37F8">
              <w:rPr>
                <w:rFonts w:ascii="Cambria" w:eastAsia="Times New Roman" w:hAnsi="Cambria" w:cs="Calibri"/>
                <w:lang w:val="hr-HR"/>
              </w:rPr>
              <w:t>Izborna:</w:t>
            </w:r>
          </w:p>
          <w:p w14:paraId="108B2846" w14:textId="77777777" w:rsidR="00E41BE6" w:rsidRPr="000D37F8" w:rsidRDefault="00E41BE6" w:rsidP="00E41BE6">
            <w:pPr>
              <w:spacing w:after="0" w:line="240" w:lineRule="auto"/>
              <w:ind w:left="720"/>
              <w:contextualSpacing/>
              <w:rPr>
                <w:rFonts w:ascii="Cambria" w:eastAsia="Calibri" w:hAnsi="Cambria" w:cs="Calibri"/>
                <w:lang w:val="hr-HR"/>
              </w:rPr>
            </w:pPr>
            <w:r w:rsidRPr="000D37F8">
              <w:rPr>
                <w:rFonts w:ascii="Cambria" w:eastAsia="Calibri" w:hAnsi="Cambria" w:cs="Calibri"/>
                <w:lang w:val="hr-HR"/>
              </w:rPr>
              <w:t xml:space="preserve">1. </w:t>
            </w:r>
            <w:proofErr w:type="spellStart"/>
            <w:r w:rsidRPr="000D37F8">
              <w:rPr>
                <w:rFonts w:ascii="Cambria" w:eastAsia="Calibri" w:hAnsi="Cambria" w:cs="Calibri"/>
                <w:lang w:val="hr-HR"/>
              </w:rPr>
              <w:t>Montali-Motta</w:t>
            </w:r>
            <w:proofErr w:type="spellEnd"/>
            <w:r w:rsidRPr="000D37F8">
              <w:rPr>
                <w:rFonts w:ascii="Cambria" w:eastAsia="Calibri" w:hAnsi="Cambria" w:cs="Calibri"/>
                <w:lang w:val="hr-HR"/>
              </w:rPr>
              <w:t xml:space="preserve">: </w:t>
            </w:r>
            <w:proofErr w:type="spellStart"/>
            <w:r w:rsidRPr="000D37F8">
              <w:rPr>
                <w:rFonts w:ascii="Cambria" w:eastAsia="Calibri" w:hAnsi="Cambria" w:cs="Calibri"/>
                <w:lang w:val="hr-HR"/>
              </w:rPr>
              <w:t>Übungsheft</w:t>
            </w:r>
            <w:proofErr w:type="spellEnd"/>
            <w:r w:rsidRPr="000D37F8">
              <w:rPr>
                <w:rFonts w:ascii="Cambria" w:eastAsia="Calibri" w:hAnsi="Cambria" w:cs="Calibri"/>
                <w:lang w:val="hr-HR"/>
              </w:rPr>
              <w:t xml:space="preserve"> </w:t>
            </w:r>
            <w:proofErr w:type="spellStart"/>
            <w:r w:rsidRPr="000D37F8">
              <w:rPr>
                <w:rFonts w:ascii="Cambria" w:eastAsia="Calibri" w:hAnsi="Cambria" w:cs="Calibri"/>
                <w:lang w:val="hr-HR"/>
              </w:rPr>
              <w:t>zur</w:t>
            </w:r>
            <w:proofErr w:type="spellEnd"/>
            <w:r w:rsidRPr="000D37F8">
              <w:rPr>
                <w:rFonts w:ascii="Cambria" w:eastAsia="Calibri" w:hAnsi="Cambria" w:cs="Calibri"/>
                <w:lang w:val="hr-HR"/>
              </w:rPr>
              <w:t xml:space="preserve"> </w:t>
            </w:r>
            <w:proofErr w:type="spellStart"/>
            <w:r w:rsidRPr="000D37F8">
              <w:rPr>
                <w:rFonts w:ascii="Cambria" w:eastAsia="Calibri" w:hAnsi="Cambria" w:cs="Calibri"/>
                <w:lang w:val="hr-HR"/>
              </w:rPr>
              <w:t>Festigung</w:t>
            </w:r>
            <w:proofErr w:type="spellEnd"/>
            <w:r w:rsidRPr="000D37F8">
              <w:rPr>
                <w:rFonts w:ascii="Cambria" w:eastAsia="Calibri" w:hAnsi="Cambria" w:cs="Calibri"/>
                <w:lang w:val="hr-HR"/>
              </w:rPr>
              <w:t xml:space="preserve"> </w:t>
            </w:r>
            <w:proofErr w:type="spellStart"/>
            <w:r w:rsidRPr="000D37F8">
              <w:rPr>
                <w:rFonts w:ascii="Cambria" w:eastAsia="Calibri" w:hAnsi="Cambria" w:cs="Calibri"/>
                <w:lang w:val="hr-HR"/>
              </w:rPr>
              <w:t>der</w:t>
            </w:r>
            <w:proofErr w:type="spellEnd"/>
            <w:r w:rsidRPr="000D37F8">
              <w:rPr>
                <w:rFonts w:ascii="Cambria" w:eastAsia="Calibri" w:hAnsi="Cambria" w:cs="Calibri"/>
                <w:lang w:val="hr-HR"/>
              </w:rPr>
              <w:t xml:space="preserve"> </w:t>
            </w:r>
            <w:proofErr w:type="spellStart"/>
            <w:r w:rsidRPr="000D37F8">
              <w:rPr>
                <w:rFonts w:ascii="Cambria" w:eastAsia="Calibri" w:hAnsi="Cambria" w:cs="Calibri"/>
                <w:lang w:val="hr-HR"/>
              </w:rPr>
              <w:t>grammatischen</w:t>
            </w:r>
            <w:proofErr w:type="spellEnd"/>
            <w:r w:rsidRPr="000D37F8">
              <w:rPr>
                <w:rFonts w:ascii="Cambria" w:eastAsia="Calibri" w:hAnsi="Cambria" w:cs="Calibri"/>
                <w:lang w:val="hr-HR"/>
              </w:rPr>
              <w:t xml:space="preserve"> </w:t>
            </w:r>
            <w:proofErr w:type="spellStart"/>
            <w:r w:rsidRPr="000D37F8">
              <w:rPr>
                <w:rFonts w:ascii="Cambria" w:eastAsia="Calibri" w:hAnsi="Cambria" w:cs="Calibri"/>
                <w:lang w:val="hr-HR"/>
              </w:rPr>
              <w:t>Kompetenz</w:t>
            </w:r>
            <w:proofErr w:type="spellEnd"/>
            <w:r w:rsidRPr="000D37F8">
              <w:rPr>
                <w:rFonts w:ascii="Cambria" w:eastAsia="Calibri" w:hAnsi="Cambria" w:cs="Calibri"/>
                <w:lang w:val="hr-HR"/>
              </w:rPr>
              <w:t xml:space="preserve">, </w:t>
            </w:r>
            <w:proofErr w:type="spellStart"/>
            <w:r w:rsidRPr="000D37F8">
              <w:rPr>
                <w:rFonts w:ascii="Cambria" w:eastAsia="Calibri" w:hAnsi="Cambria" w:cs="Calibri"/>
                <w:lang w:val="hr-HR"/>
              </w:rPr>
              <w:t>Firenze</w:t>
            </w:r>
            <w:proofErr w:type="spellEnd"/>
            <w:r w:rsidRPr="000D37F8">
              <w:rPr>
                <w:rFonts w:ascii="Cambria" w:eastAsia="Calibri" w:hAnsi="Cambria" w:cs="Calibri"/>
                <w:lang w:val="hr-HR"/>
              </w:rPr>
              <w:t xml:space="preserve">   </w:t>
            </w:r>
          </w:p>
          <w:p w14:paraId="4594B815" w14:textId="77777777" w:rsidR="00E41BE6" w:rsidRPr="000D37F8" w:rsidRDefault="00E41BE6" w:rsidP="00E41BE6">
            <w:pPr>
              <w:spacing w:after="0" w:line="240" w:lineRule="auto"/>
              <w:ind w:left="720"/>
              <w:contextualSpacing/>
              <w:rPr>
                <w:rFonts w:ascii="Cambria" w:eastAsia="Calibri" w:hAnsi="Cambria" w:cs="Calibri"/>
                <w:lang w:val="hr-HR"/>
              </w:rPr>
            </w:pPr>
            <w:r w:rsidRPr="000D37F8">
              <w:rPr>
                <w:rFonts w:ascii="Cambria" w:eastAsia="Calibri" w:hAnsi="Cambria" w:cs="Calibri"/>
                <w:lang w:val="hr-HR"/>
              </w:rPr>
              <w:t xml:space="preserve">2. </w:t>
            </w:r>
            <w:proofErr w:type="spellStart"/>
            <w:r w:rsidRPr="000D37F8">
              <w:rPr>
                <w:rFonts w:ascii="Cambria" w:eastAsia="Calibri" w:hAnsi="Cambria" w:cs="Calibri"/>
                <w:lang w:val="hr-HR"/>
              </w:rPr>
              <w:t>Autorengruppe</w:t>
            </w:r>
            <w:proofErr w:type="spellEnd"/>
            <w:r w:rsidRPr="000D37F8">
              <w:rPr>
                <w:rFonts w:ascii="Cambria" w:eastAsia="Calibri" w:hAnsi="Cambria" w:cs="Calibri"/>
                <w:lang w:val="hr-HR"/>
              </w:rPr>
              <w:t>: Hrvatsko-njemački frazeološki rječnik;</w:t>
            </w:r>
          </w:p>
          <w:p w14:paraId="7566CF5F" w14:textId="77777777" w:rsidR="00E41BE6" w:rsidRPr="000D37F8" w:rsidRDefault="00E41BE6" w:rsidP="00E41BE6">
            <w:pPr>
              <w:spacing w:after="0" w:line="240" w:lineRule="auto"/>
              <w:ind w:left="720"/>
              <w:contextualSpacing/>
              <w:rPr>
                <w:rFonts w:ascii="Cambria" w:eastAsia="Calibri" w:hAnsi="Cambria" w:cs="Calibri"/>
                <w:lang w:val="hr-HR"/>
              </w:rPr>
            </w:pPr>
            <w:r w:rsidRPr="000D37F8">
              <w:rPr>
                <w:rFonts w:ascii="Cambria" w:eastAsia="Calibri" w:hAnsi="Cambria" w:cs="Calibri"/>
                <w:lang w:val="hr-HR"/>
              </w:rPr>
              <w:t xml:space="preserve">3. </w:t>
            </w:r>
            <w:proofErr w:type="spellStart"/>
            <w:r w:rsidRPr="000D37F8">
              <w:rPr>
                <w:rFonts w:ascii="Cambria" w:eastAsia="Calibri" w:hAnsi="Cambria" w:cs="Calibri"/>
                <w:lang w:val="hr-HR"/>
              </w:rPr>
              <w:t>Duden</w:t>
            </w:r>
            <w:proofErr w:type="spellEnd"/>
            <w:r w:rsidRPr="000D37F8">
              <w:rPr>
                <w:rFonts w:ascii="Cambria" w:eastAsia="Calibri" w:hAnsi="Cambria" w:cs="Calibri"/>
                <w:lang w:val="hr-HR"/>
              </w:rPr>
              <w:t xml:space="preserve">: </w:t>
            </w:r>
            <w:proofErr w:type="spellStart"/>
            <w:r w:rsidRPr="000D37F8">
              <w:rPr>
                <w:rFonts w:ascii="Cambria" w:eastAsia="Calibri" w:hAnsi="Cambria" w:cs="Calibri"/>
                <w:lang w:val="hr-HR"/>
              </w:rPr>
              <w:t>Redewendungen</w:t>
            </w:r>
            <w:proofErr w:type="spellEnd"/>
            <w:r w:rsidRPr="000D37F8">
              <w:rPr>
                <w:rFonts w:ascii="Cambria" w:eastAsia="Calibri" w:hAnsi="Cambria" w:cs="Calibri"/>
                <w:lang w:val="hr-HR"/>
              </w:rPr>
              <w:t xml:space="preserve"> </w:t>
            </w:r>
            <w:proofErr w:type="spellStart"/>
            <w:r w:rsidRPr="000D37F8">
              <w:rPr>
                <w:rFonts w:ascii="Cambria" w:eastAsia="Calibri" w:hAnsi="Cambria" w:cs="Calibri"/>
                <w:lang w:val="hr-HR"/>
              </w:rPr>
              <w:t>und</w:t>
            </w:r>
            <w:proofErr w:type="spellEnd"/>
            <w:r w:rsidRPr="000D37F8">
              <w:rPr>
                <w:rFonts w:ascii="Cambria" w:eastAsia="Calibri" w:hAnsi="Cambria" w:cs="Calibri"/>
                <w:lang w:val="hr-HR"/>
              </w:rPr>
              <w:t xml:space="preserve"> </w:t>
            </w:r>
            <w:proofErr w:type="spellStart"/>
            <w:r w:rsidRPr="000D37F8">
              <w:rPr>
                <w:rFonts w:ascii="Cambria" w:eastAsia="Calibri" w:hAnsi="Cambria" w:cs="Calibri"/>
                <w:lang w:val="hr-HR"/>
              </w:rPr>
              <w:t>sprichwörtliche</w:t>
            </w:r>
            <w:proofErr w:type="spellEnd"/>
            <w:r w:rsidRPr="000D37F8">
              <w:rPr>
                <w:rFonts w:ascii="Cambria" w:eastAsia="Calibri" w:hAnsi="Cambria" w:cs="Calibri"/>
                <w:lang w:val="hr-HR"/>
              </w:rPr>
              <w:t xml:space="preserve"> </w:t>
            </w:r>
            <w:proofErr w:type="spellStart"/>
            <w:r w:rsidRPr="000D37F8">
              <w:rPr>
                <w:rFonts w:ascii="Cambria" w:eastAsia="Calibri" w:hAnsi="Cambria" w:cs="Calibri"/>
                <w:lang w:val="hr-HR"/>
              </w:rPr>
              <w:t>Redensarten</w:t>
            </w:r>
            <w:proofErr w:type="spellEnd"/>
            <w:r w:rsidRPr="000D37F8">
              <w:rPr>
                <w:rFonts w:ascii="Cambria" w:eastAsia="Calibri" w:hAnsi="Cambria" w:cs="Calibri"/>
                <w:lang w:val="hr-HR"/>
              </w:rPr>
              <w:t xml:space="preserve">, </w:t>
            </w:r>
            <w:proofErr w:type="spellStart"/>
            <w:r w:rsidRPr="000D37F8">
              <w:rPr>
                <w:rFonts w:ascii="Cambria" w:eastAsia="Calibri" w:hAnsi="Cambria" w:cs="Calibri"/>
                <w:lang w:val="hr-HR"/>
              </w:rPr>
              <w:t>Dudenverlag</w:t>
            </w:r>
            <w:proofErr w:type="spellEnd"/>
            <w:r w:rsidRPr="000D37F8">
              <w:rPr>
                <w:rFonts w:ascii="Cambria" w:eastAsia="Calibri" w:hAnsi="Cambria" w:cs="Calibri"/>
                <w:lang w:val="hr-HR"/>
              </w:rPr>
              <w:t xml:space="preserve"> </w:t>
            </w:r>
            <w:proofErr w:type="spellStart"/>
            <w:r w:rsidRPr="000D37F8">
              <w:rPr>
                <w:rFonts w:ascii="Cambria" w:eastAsia="Calibri" w:hAnsi="Cambria" w:cs="Calibri"/>
                <w:lang w:val="hr-HR"/>
              </w:rPr>
              <w:t>Mannheim</w:t>
            </w:r>
            <w:proofErr w:type="spellEnd"/>
            <w:r w:rsidRPr="000D37F8">
              <w:rPr>
                <w:rFonts w:ascii="Cambria" w:eastAsia="Calibri" w:hAnsi="Cambria" w:cs="Calibri"/>
                <w:lang w:val="hr-HR"/>
              </w:rPr>
              <w:t xml:space="preserve">, Leipzig, </w:t>
            </w:r>
            <w:proofErr w:type="spellStart"/>
            <w:r w:rsidRPr="000D37F8">
              <w:rPr>
                <w:rFonts w:ascii="Cambria" w:eastAsia="Calibri" w:hAnsi="Cambria" w:cs="Calibri"/>
                <w:lang w:val="hr-HR"/>
              </w:rPr>
              <w:t>Wien</w:t>
            </w:r>
            <w:proofErr w:type="spellEnd"/>
            <w:r w:rsidRPr="000D37F8">
              <w:rPr>
                <w:rFonts w:ascii="Cambria" w:eastAsia="Calibri" w:hAnsi="Cambria" w:cs="Calibri"/>
                <w:lang w:val="hr-HR"/>
              </w:rPr>
              <w:t xml:space="preserve"> Zürich, zadnje izdanje</w:t>
            </w:r>
          </w:p>
          <w:p w14:paraId="042E763D" w14:textId="77777777" w:rsidR="00E41BE6" w:rsidRPr="000D37F8" w:rsidRDefault="00E41BE6" w:rsidP="00E41BE6">
            <w:pPr>
              <w:spacing w:after="0" w:line="240" w:lineRule="auto"/>
              <w:rPr>
                <w:rFonts w:ascii="Cambria" w:eastAsia="Times New Roman" w:hAnsi="Cambria" w:cs="Calibri"/>
                <w:lang w:val="hr-HR"/>
              </w:rPr>
            </w:pPr>
            <w:r w:rsidRPr="000D37F8">
              <w:rPr>
                <w:rFonts w:ascii="Cambria" w:eastAsia="Times New Roman" w:hAnsi="Cambria" w:cs="Calibri"/>
                <w:lang w:val="hr-HR"/>
              </w:rPr>
              <w:t>Priručna:</w:t>
            </w:r>
          </w:p>
          <w:p w14:paraId="057AA60E" w14:textId="77777777" w:rsidR="00E41BE6" w:rsidRPr="00DF4CE5" w:rsidRDefault="00E41BE6" w:rsidP="00A034E3">
            <w:pPr>
              <w:numPr>
                <w:ilvl w:val="0"/>
                <w:numId w:val="63"/>
              </w:numPr>
              <w:spacing w:after="0" w:line="240" w:lineRule="auto"/>
              <w:contextualSpacing/>
              <w:rPr>
                <w:rFonts w:ascii="Cambria" w:eastAsia="Calibri" w:hAnsi="Cambria" w:cs="Calibri"/>
                <w:lang w:val="hr-HR"/>
              </w:rPr>
            </w:pPr>
            <w:r w:rsidRPr="000D37F8">
              <w:rPr>
                <w:rFonts w:ascii="Cambria" w:eastAsia="Calibri" w:hAnsi="Cambria" w:cs="Calibri"/>
                <w:lang w:val="hr-HR"/>
              </w:rPr>
              <w:t>Jakić-</w:t>
            </w:r>
            <w:proofErr w:type="spellStart"/>
            <w:r w:rsidRPr="000D37F8">
              <w:rPr>
                <w:rFonts w:ascii="Cambria" w:eastAsia="Calibri" w:hAnsi="Cambria" w:cs="Calibri"/>
                <w:lang w:val="hr-HR"/>
              </w:rPr>
              <w:t>Hurm</w:t>
            </w:r>
            <w:proofErr w:type="spellEnd"/>
            <w:r w:rsidRPr="00DF4CE5">
              <w:rPr>
                <w:rFonts w:ascii="Cambria" w:eastAsia="Calibri" w:hAnsi="Cambria" w:cs="Calibri"/>
                <w:lang w:val="hr-HR"/>
              </w:rPr>
              <w:t xml:space="preserve">: </w:t>
            </w:r>
            <w:r w:rsidRPr="00DF4CE5">
              <w:rPr>
                <w:rFonts w:ascii="Cambria" w:eastAsia="Calibri" w:hAnsi="Cambria" w:cs="Calibri"/>
                <w:i/>
                <w:lang w:val="hr-HR"/>
              </w:rPr>
              <w:t>Hrvatsko-njemački rječnik</w:t>
            </w:r>
            <w:r w:rsidRPr="00DF4CE5">
              <w:rPr>
                <w:rFonts w:ascii="Cambria" w:eastAsia="Calibri" w:hAnsi="Cambria" w:cs="Calibri"/>
                <w:lang w:val="hr-HR"/>
              </w:rPr>
              <w:t xml:space="preserve">, Školska knjiga Zagreb, zadnje izdanje; </w:t>
            </w:r>
          </w:p>
          <w:p w14:paraId="4D411AC9" w14:textId="77777777" w:rsidR="00E41BE6" w:rsidRPr="00DF4CE5" w:rsidRDefault="00E41BE6" w:rsidP="00A034E3">
            <w:pPr>
              <w:numPr>
                <w:ilvl w:val="0"/>
                <w:numId w:val="63"/>
              </w:numPr>
              <w:spacing w:after="0" w:line="240" w:lineRule="auto"/>
              <w:contextualSpacing/>
              <w:rPr>
                <w:rFonts w:ascii="Cambria" w:eastAsia="Calibri" w:hAnsi="Cambria" w:cs="Calibri"/>
                <w:lang w:val="hr-HR"/>
              </w:rPr>
            </w:pPr>
            <w:r w:rsidRPr="00DF4CE5">
              <w:rPr>
                <w:rFonts w:ascii="Cambria" w:eastAsia="Calibri" w:hAnsi="Cambria" w:cs="Calibri"/>
                <w:lang w:val="hr-HR"/>
              </w:rPr>
              <w:t>Jakić-</w:t>
            </w:r>
            <w:proofErr w:type="spellStart"/>
            <w:r w:rsidRPr="00DF4CE5">
              <w:rPr>
                <w:rFonts w:ascii="Cambria" w:eastAsia="Calibri" w:hAnsi="Cambria" w:cs="Calibri"/>
                <w:lang w:val="hr-HR"/>
              </w:rPr>
              <w:t>Hurm</w:t>
            </w:r>
            <w:proofErr w:type="spellEnd"/>
            <w:r w:rsidRPr="00DF4CE5">
              <w:rPr>
                <w:rFonts w:ascii="Cambria" w:eastAsia="Calibri" w:hAnsi="Cambria" w:cs="Calibri"/>
                <w:lang w:val="hr-HR"/>
              </w:rPr>
              <w:t>: N</w:t>
            </w:r>
            <w:r w:rsidRPr="00DF4CE5">
              <w:rPr>
                <w:rFonts w:ascii="Cambria" w:eastAsia="Calibri" w:hAnsi="Cambria" w:cs="Calibri"/>
                <w:i/>
                <w:lang w:val="hr-HR"/>
              </w:rPr>
              <w:t>jemačko-hrvatski  rječnik</w:t>
            </w:r>
            <w:r w:rsidRPr="00DF4CE5">
              <w:rPr>
                <w:rFonts w:ascii="Cambria" w:eastAsia="Calibri" w:hAnsi="Cambria" w:cs="Calibri"/>
                <w:lang w:val="hr-HR"/>
              </w:rPr>
              <w:t xml:space="preserve">, Školska knjiga Zagreb, zadnje izdanje; </w:t>
            </w:r>
          </w:p>
          <w:p w14:paraId="55AD7798" w14:textId="77777777" w:rsidR="00E41BE6" w:rsidRPr="00DF4CE5" w:rsidRDefault="00E41BE6" w:rsidP="00A034E3">
            <w:pPr>
              <w:numPr>
                <w:ilvl w:val="0"/>
                <w:numId w:val="63"/>
              </w:numPr>
              <w:spacing w:after="0" w:line="240" w:lineRule="auto"/>
              <w:rPr>
                <w:rFonts w:ascii="Cambria" w:eastAsia="Times New Roman" w:hAnsi="Cambria" w:cs="Calibri"/>
                <w:lang w:val="hr-HR"/>
              </w:rPr>
            </w:pPr>
            <w:r w:rsidRPr="00DF4CE5">
              <w:rPr>
                <w:rFonts w:ascii="Cambria" w:eastAsia="Times New Roman" w:hAnsi="Cambria" w:cs="Calibri"/>
                <w:lang w:val="hr-HR"/>
              </w:rPr>
              <w:t xml:space="preserve">M. </w:t>
            </w:r>
            <w:proofErr w:type="spellStart"/>
            <w:r w:rsidRPr="00DF4CE5">
              <w:rPr>
                <w:rFonts w:ascii="Cambria" w:eastAsia="Times New Roman" w:hAnsi="Cambria" w:cs="Calibri"/>
                <w:lang w:val="hr-HR"/>
              </w:rPr>
              <w:t>Reimann</w:t>
            </w:r>
            <w:proofErr w:type="spellEnd"/>
            <w:r w:rsidRPr="00DF4CE5">
              <w:rPr>
                <w:rFonts w:ascii="Cambria" w:eastAsia="Times New Roman" w:hAnsi="Cambria" w:cs="Calibri"/>
                <w:lang w:val="hr-HR"/>
              </w:rPr>
              <w:t xml:space="preserve"> - </w:t>
            </w:r>
            <w:proofErr w:type="spellStart"/>
            <w:r w:rsidRPr="00DF4CE5">
              <w:rPr>
                <w:rFonts w:ascii="Cambria" w:eastAsia="Times New Roman" w:hAnsi="Cambria" w:cs="Calibri"/>
                <w:lang w:val="hr-HR"/>
              </w:rPr>
              <w:t>Grundstufengrammatik</w:t>
            </w:r>
            <w:proofErr w:type="spellEnd"/>
            <w:r w:rsidRPr="00DF4CE5">
              <w:rPr>
                <w:rFonts w:ascii="Cambria" w:eastAsia="Times New Roman" w:hAnsi="Cambria" w:cs="Calibri"/>
                <w:lang w:val="hr-HR"/>
              </w:rPr>
              <w:t xml:space="preserve"> </w:t>
            </w:r>
            <w:proofErr w:type="spellStart"/>
            <w:r w:rsidRPr="00DF4CE5">
              <w:rPr>
                <w:rFonts w:ascii="Cambria" w:eastAsia="Times New Roman" w:hAnsi="Cambria" w:cs="Calibri"/>
                <w:lang w:val="hr-HR"/>
              </w:rPr>
              <w:t>für</w:t>
            </w:r>
            <w:proofErr w:type="spellEnd"/>
            <w:r w:rsidRPr="00DF4CE5">
              <w:rPr>
                <w:rFonts w:ascii="Cambria" w:eastAsia="Times New Roman" w:hAnsi="Cambria" w:cs="Calibri"/>
                <w:lang w:val="hr-HR"/>
              </w:rPr>
              <w:t xml:space="preserve"> </w:t>
            </w:r>
            <w:proofErr w:type="spellStart"/>
            <w:r w:rsidRPr="00DF4CE5">
              <w:rPr>
                <w:rFonts w:ascii="Cambria" w:eastAsia="Times New Roman" w:hAnsi="Cambria" w:cs="Calibri"/>
                <w:lang w:val="hr-HR"/>
              </w:rPr>
              <w:t>Deutsch</w:t>
            </w:r>
            <w:proofErr w:type="spellEnd"/>
            <w:r w:rsidRPr="00DF4CE5">
              <w:rPr>
                <w:rFonts w:ascii="Cambria" w:eastAsia="Times New Roman" w:hAnsi="Cambria" w:cs="Calibri"/>
                <w:lang w:val="hr-HR"/>
              </w:rPr>
              <w:t xml:space="preserve"> </w:t>
            </w:r>
            <w:proofErr w:type="spellStart"/>
            <w:r w:rsidRPr="00DF4CE5">
              <w:rPr>
                <w:rFonts w:ascii="Cambria" w:eastAsia="Times New Roman" w:hAnsi="Cambria" w:cs="Calibri"/>
                <w:lang w:val="hr-HR"/>
              </w:rPr>
              <w:t>als</w:t>
            </w:r>
            <w:proofErr w:type="spellEnd"/>
            <w:r w:rsidRPr="00DF4CE5">
              <w:rPr>
                <w:rFonts w:ascii="Cambria" w:eastAsia="Times New Roman" w:hAnsi="Cambria" w:cs="Calibri"/>
                <w:lang w:val="hr-HR"/>
              </w:rPr>
              <w:t xml:space="preserve"> </w:t>
            </w:r>
            <w:proofErr w:type="spellStart"/>
            <w:r w:rsidRPr="00DF4CE5">
              <w:rPr>
                <w:rFonts w:ascii="Cambria" w:eastAsia="Times New Roman" w:hAnsi="Cambria" w:cs="Calibri"/>
                <w:lang w:val="hr-HR"/>
              </w:rPr>
              <w:t>Fremdsprache</w:t>
            </w:r>
            <w:proofErr w:type="spellEnd"/>
            <w:r w:rsidRPr="00DF4CE5">
              <w:rPr>
                <w:rFonts w:ascii="Cambria" w:eastAsia="Times New Roman" w:hAnsi="Cambria" w:cs="Calibri"/>
                <w:lang w:val="hr-HR"/>
              </w:rPr>
              <w:t xml:space="preserve">, </w:t>
            </w:r>
            <w:proofErr w:type="spellStart"/>
            <w:r w:rsidRPr="00DF4CE5">
              <w:rPr>
                <w:rFonts w:ascii="Cambria" w:eastAsia="Times New Roman" w:hAnsi="Cambria" w:cs="Calibri"/>
                <w:lang w:val="hr-HR"/>
              </w:rPr>
              <w:t>Hueber</w:t>
            </w:r>
            <w:proofErr w:type="spellEnd"/>
            <w:r w:rsidRPr="00DF4CE5">
              <w:rPr>
                <w:rFonts w:ascii="Cambria" w:eastAsia="Times New Roman" w:hAnsi="Cambria" w:cs="Calibri"/>
                <w:lang w:val="hr-HR"/>
              </w:rPr>
              <w:t xml:space="preserve"> </w:t>
            </w:r>
          </w:p>
          <w:p w14:paraId="7AD1F59B" w14:textId="77777777" w:rsidR="00E41BE6" w:rsidRPr="00DF4CE5" w:rsidRDefault="00E41BE6" w:rsidP="00E41BE6">
            <w:pPr>
              <w:spacing w:after="0" w:line="240" w:lineRule="auto"/>
              <w:ind w:left="720"/>
              <w:contextualSpacing/>
              <w:rPr>
                <w:rFonts w:ascii="Cambria" w:eastAsia="Calibri" w:hAnsi="Cambria" w:cs="Calibri"/>
                <w:lang w:val="hr-HR"/>
              </w:rPr>
            </w:pPr>
          </w:p>
          <w:p w14:paraId="63C83105" w14:textId="77777777" w:rsidR="00E41BE6" w:rsidRPr="00DF4CE5" w:rsidRDefault="00E41BE6" w:rsidP="00E41BE6">
            <w:pPr>
              <w:spacing w:after="0" w:line="240" w:lineRule="auto"/>
              <w:rPr>
                <w:rFonts w:ascii="Cambria" w:eastAsia="Times New Roman" w:hAnsi="Cambria" w:cs="Calibri"/>
                <w:strike/>
                <w:lang w:val="de-DE"/>
              </w:rPr>
            </w:pPr>
            <w:r w:rsidRPr="00DF4CE5">
              <w:rPr>
                <w:rFonts w:ascii="Cambria" w:eastAsia="Times New Roman" w:hAnsi="Cambria" w:cs="Calibri"/>
                <w:lang w:val="hr-HR"/>
              </w:rPr>
              <w:t xml:space="preserve">Internet adrese: </w:t>
            </w:r>
            <w:hyperlink r:id="rId51" w:history="1">
              <w:r w:rsidRPr="00DF4CE5">
                <w:rPr>
                  <w:rFonts w:ascii="Cambria" w:eastAsia="Times New Roman" w:hAnsi="Cambria" w:cs="Calibri"/>
                  <w:color w:val="0563C1"/>
                  <w:u w:val="single"/>
                  <w:lang w:val="hr-HR"/>
                </w:rPr>
                <w:t>https://www.tatsachen-ueber-deutschland.de/de</w:t>
              </w:r>
            </w:hyperlink>
            <w:r w:rsidRPr="00DF4CE5">
              <w:rPr>
                <w:rFonts w:ascii="Cambria" w:eastAsia="Times New Roman" w:hAnsi="Cambria" w:cs="Calibri"/>
                <w:lang w:val="hr-HR"/>
              </w:rPr>
              <w:t xml:space="preserve">,  </w:t>
            </w:r>
            <w:hyperlink r:id="rId52" w:history="1">
              <w:r w:rsidRPr="00DF4CE5">
                <w:rPr>
                  <w:rFonts w:ascii="Cambria" w:eastAsia="Times New Roman" w:hAnsi="Cambria" w:cs="Calibri"/>
                  <w:color w:val="0563C1"/>
                  <w:u w:val="single"/>
                  <w:lang w:val="hr-HR"/>
                </w:rPr>
                <w:t>https://www.austria.info/at/service-fakten/uber-osterreich</w:t>
              </w:r>
            </w:hyperlink>
            <w:r w:rsidRPr="00DF4CE5">
              <w:rPr>
                <w:rFonts w:ascii="Cambria" w:eastAsia="Times New Roman" w:hAnsi="Cambria" w:cs="Calibri"/>
                <w:lang w:val="hr-HR"/>
              </w:rPr>
              <w:t>,</w:t>
            </w:r>
            <w:hyperlink r:id="rId53" w:history="1">
              <w:r w:rsidRPr="00DF4CE5">
                <w:rPr>
                  <w:rFonts w:ascii="Cambria" w:eastAsia="Times New Roman" w:hAnsi="Cambria" w:cs="Calibri"/>
                  <w:color w:val="0563C1"/>
                  <w:u w:val="single"/>
                  <w:lang w:val="hr-HR"/>
                </w:rPr>
                <w:t>www.dw-world.de</w:t>
              </w:r>
            </w:hyperlink>
            <w:r w:rsidRPr="00DF4CE5">
              <w:rPr>
                <w:rFonts w:ascii="Cambria" w:eastAsia="Times New Roman" w:hAnsi="Cambria" w:cs="Calibri"/>
                <w:lang w:val="hr-HR"/>
              </w:rPr>
              <w:t xml:space="preserve">,  </w:t>
            </w:r>
            <w:hyperlink r:id="rId54" w:history="1">
              <w:r w:rsidRPr="00DF4CE5">
                <w:rPr>
                  <w:rFonts w:ascii="Cambria" w:eastAsia="Times New Roman" w:hAnsi="Cambria" w:cs="Calibri"/>
                  <w:color w:val="0563C1"/>
                  <w:u w:val="single"/>
                  <w:lang w:val="hr-HR"/>
                </w:rPr>
                <w:t>https://www.goethe.de/de/index.html</w:t>
              </w:r>
            </w:hyperlink>
            <w:r w:rsidRPr="00DF4CE5">
              <w:rPr>
                <w:rFonts w:ascii="Cambria" w:eastAsia="Times New Roman" w:hAnsi="Cambria" w:cs="Calibri"/>
                <w:lang w:val="hr-HR"/>
              </w:rPr>
              <w:t xml:space="preserve">, </w:t>
            </w:r>
            <w:hyperlink r:id="rId55" w:history="1">
              <w:r w:rsidRPr="00DF4CE5">
                <w:rPr>
                  <w:rFonts w:ascii="Cambria" w:eastAsia="Times New Roman" w:hAnsi="Cambria" w:cs="Calibri"/>
                  <w:color w:val="0563C1"/>
                  <w:u w:val="single"/>
                  <w:lang w:val="hr-HR"/>
                </w:rPr>
                <w:t>www.deutschlandpanorama.de</w:t>
              </w:r>
            </w:hyperlink>
            <w:r w:rsidRPr="00DF4CE5">
              <w:rPr>
                <w:rFonts w:ascii="Cambria" w:eastAsia="Times New Roman" w:hAnsi="Cambria" w:cs="Calibri"/>
                <w:lang w:val="hr-HR"/>
              </w:rPr>
              <w:t xml:space="preserve">,  </w:t>
            </w:r>
            <w:hyperlink r:id="rId56" w:history="1">
              <w:r w:rsidRPr="00DF4CE5">
                <w:rPr>
                  <w:rFonts w:ascii="Cambria" w:eastAsia="Times New Roman" w:hAnsi="Cambria" w:cs="Calibri"/>
                  <w:color w:val="0563C1"/>
                  <w:u w:val="single"/>
                  <w:lang w:val="hr-HR"/>
                </w:rPr>
                <w:t>www.vitaminde.de</w:t>
              </w:r>
            </w:hyperlink>
            <w:r w:rsidRPr="00DF4CE5">
              <w:rPr>
                <w:rFonts w:ascii="Cambria" w:eastAsia="Times New Roman" w:hAnsi="Cambria" w:cs="Calibri"/>
                <w:lang w:val="hr-HR"/>
              </w:rPr>
              <w:t xml:space="preserve">, </w:t>
            </w:r>
            <w:hyperlink r:id="rId57" w:history="1">
              <w:r w:rsidRPr="00DF4CE5">
                <w:rPr>
                  <w:rFonts w:ascii="Cambria" w:eastAsia="Times New Roman" w:hAnsi="Cambria" w:cs="Calibri"/>
                  <w:color w:val="0563C1"/>
                  <w:u w:val="single"/>
                  <w:lang w:val="hr-HR"/>
                </w:rPr>
                <w:t>http://www.alumniportal-deutschland.org</w:t>
              </w:r>
            </w:hyperlink>
            <w:r w:rsidRPr="00DF4CE5">
              <w:rPr>
                <w:rFonts w:ascii="Cambria" w:eastAsia="Times New Roman" w:hAnsi="Cambria" w:cs="Calibri"/>
                <w:lang w:val="hr-HR"/>
              </w:rPr>
              <w:t xml:space="preserve"> </w:t>
            </w:r>
          </w:p>
        </w:tc>
      </w:tr>
    </w:tbl>
    <w:p w14:paraId="09184AAA" w14:textId="77777777" w:rsidR="00E41BE6" w:rsidRPr="00DF4CE5" w:rsidRDefault="00E41BE6">
      <w:pPr>
        <w:rPr>
          <w:rFonts w:ascii="Cambria" w:eastAsia="Times New Roman" w:hAnsi="Cambria" w:cs="Calibri"/>
          <w:lang w:val="hr-HR"/>
        </w:rPr>
      </w:pPr>
    </w:p>
    <w:p w14:paraId="6E2D81BF" w14:textId="77777777" w:rsidR="00E41BE6" w:rsidRPr="00DF4CE5" w:rsidRDefault="00E41BE6">
      <w:pPr>
        <w:rPr>
          <w:rFonts w:ascii="Cambria" w:eastAsia="Times New Roman" w:hAnsi="Cambria" w:cs="Calibri"/>
          <w:lang w:val="hr-HR"/>
        </w:rPr>
      </w:pPr>
    </w:p>
    <w:p w14:paraId="30BAE57D" w14:textId="77777777" w:rsidR="00E41BE6" w:rsidRPr="00DF4CE5" w:rsidRDefault="00E41BE6">
      <w:pPr>
        <w:rPr>
          <w:rFonts w:ascii="Cambria" w:eastAsia="Times New Roman" w:hAnsi="Cambria" w:cs="Calibri"/>
          <w:lang w:val="hr-HR"/>
        </w:rPr>
      </w:pPr>
    </w:p>
    <w:tbl>
      <w:tblPr>
        <w:tblW w:w="9072" w:type="dxa"/>
        <w:tblInd w:w="-10" w:type="dxa"/>
        <w:tblLayout w:type="fixed"/>
        <w:tblCellMar>
          <w:top w:w="72" w:type="dxa"/>
          <w:left w:w="144" w:type="dxa"/>
          <w:bottom w:w="72" w:type="dxa"/>
          <w:right w:w="144" w:type="dxa"/>
        </w:tblCellMar>
        <w:tblLook w:val="0000" w:firstRow="0" w:lastRow="0" w:firstColumn="0" w:lastColumn="0" w:noHBand="0" w:noVBand="0"/>
      </w:tblPr>
      <w:tblGrid>
        <w:gridCol w:w="10"/>
        <w:gridCol w:w="2542"/>
        <w:gridCol w:w="2410"/>
        <w:gridCol w:w="95"/>
        <w:gridCol w:w="1054"/>
        <w:gridCol w:w="268"/>
        <w:gridCol w:w="425"/>
        <w:gridCol w:w="980"/>
        <w:gridCol w:w="1278"/>
        <w:gridCol w:w="10"/>
      </w:tblGrid>
      <w:tr w:rsidR="00E41BE6" w:rsidRPr="00DF4CE5" w14:paraId="0DDCDB26" w14:textId="77777777" w:rsidTr="00E41BE6">
        <w:tc>
          <w:tcPr>
            <w:tcW w:w="9072" w:type="dxa"/>
            <w:gridSpan w:val="10"/>
            <w:tcBorders>
              <w:top w:val="single" w:sz="8" w:space="0" w:color="000000"/>
              <w:left w:val="single" w:sz="8" w:space="0" w:color="000000"/>
              <w:bottom w:val="single" w:sz="8" w:space="0" w:color="000000"/>
              <w:right w:val="single" w:sz="8" w:space="0" w:color="000000"/>
            </w:tcBorders>
            <w:shd w:val="clear" w:color="auto" w:fill="F3F3F3"/>
            <w:vAlign w:val="center"/>
          </w:tcPr>
          <w:p w14:paraId="389D83FA" w14:textId="77777777" w:rsidR="00E41BE6" w:rsidRPr="00DF4CE5" w:rsidRDefault="00E41BE6" w:rsidP="00E41BE6">
            <w:pPr>
              <w:snapToGrid w:val="0"/>
              <w:spacing w:after="0" w:line="240" w:lineRule="auto"/>
              <w:jc w:val="right"/>
              <w:rPr>
                <w:rFonts w:ascii="Cambria" w:eastAsia="Times New Roman" w:hAnsi="Cambria" w:cs="Calibri"/>
                <w:lang w:val="hr-HR"/>
              </w:rPr>
            </w:pPr>
            <w:r w:rsidRPr="00DF4CE5">
              <w:rPr>
                <w:rFonts w:ascii="Cambria" w:eastAsia="Times New Roman" w:hAnsi="Cambria" w:cs="Calibri"/>
                <w:lang w:val="hr-HR"/>
              </w:rPr>
              <w:t>IZVEDBENI PLAN NASTAVE KOLEGIJA</w:t>
            </w:r>
          </w:p>
        </w:tc>
      </w:tr>
      <w:tr w:rsidR="00E41BE6" w:rsidRPr="00DF4CE5" w14:paraId="65FC7830" w14:textId="77777777" w:rsidTr="00E41BE6">
        <w:tblPrEx>
          <w:tblCellMar>
            <w:top w:w="0" w:type="dxa"/>
            <w:left w:w="0" w:type="dxa"/>
            <w:bottom w:w="0" w:type="dxa"/>
            <w:right w:w="0" w:type="dxa"/>
          </w:tblCellMar>
        </w:tblPrEx>
        <w:trPr>
          <w:gridBefore w:val="1"/>
          <w:gridAfter w:val="1"/>
          <w:wBefore w:w="10" w:type="dxa"/>
          <w:wAfter w:w="10" w:type="dxa"/>
        </w:trPr>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CD005A9" w14:textId="77777777" w:rsidR="00E41BE6" w:rsidRPr="000D37F8" w:rsidRDefault="00E41BE6" w:rsidP="00E41BE6">
            <w:pPr>
              <w:spacing w:after="0" w:line="240" w:lineRule="auto"/>
              <w:rPr>
                <w:rFonts w:ascii="Cambria" w:eastAsia="Times New Roman" w:hAnsi="Cambria" w:cs="Calibri"/>
                <w:lang w:val="hr-HR"/>
              </w:rPr>
            </w:pPr>
            <w:r w:rsidRPr="000D37F8">
              <w:rPr>
                <w:rFonts w:ascii="Cambria" w:eastAsia="Times New Roman" w:hAnsi="Cambria" w:cs="Calibri"/>
                <w:lang w:val="hr-HR"/>
              </w:rPr>
              <w:t>Kod i naziv kolegija</w:t>
            </w:r>
          </w:p>
        </w:tc>
        <w:tc>
          <w:tcPr>
            <w:tcW w:w="6510"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9836925" w14:textId="1897AD96" w:rsidR="003A07AA" w:rsidRPr="000D37F8" w:rsidRDefault="003A07AA" w:rsidP="00E41BE6">
            <w:pPr>
              <w:spacing w:after="0" w:line="240" w:lineRule="auto"/>
              <w:rPr>
                <w:rFonts w:ascii="Cambria" w:eastAsia="Times New Roman" w:hAnsi="Cambria" w:cs="Calibri"/>
                <w:lang w:val="it-IT"/>
              </w:rPr>
            </w:pPr>
            <w:r w:rsidRPr="000D37F8">
              <w:rPr>
                <w:rFonts w:ascii="Cambria" w:eastAsia="Times New Roman" w:hAnsi="Cambria" w:cs="Calibri"/>
                <w:lang w:val="it-IT"/>
              </w:rPr>
              <w:t>257234</w:t>
            </w:r>
          </w:p>
          <w:p w14:paraId="037621D4" w14:textId="32FC061E" w:rsidR="00E41BE6" w:rsidRPr="000D37F8" w:rsidRDefault="00E41BE6" w:rsidP="00E41BE6">
            <w:pPr>
              <w:spacing w:after="0" w:line="240" w:lineRule="auto"/>
              <w:rPr>
                <w:rFonts w:ascii="Cambria" w:eastAsia="Times New Roman" w:hAnsi="Cambria" w:cs="Calibri"/>
                <w:b/>
                <w:lang w:val="it-IT"/>
              </w:rPr>
            </w:pPr>
            <w:proofErr w:type="spellStart"/>
            <w:r w:rsidRPr="000D37F8">
              <w:rPr>
                <w:rFonts w:ascii="Cambria" w:eastAsia="Times New Roman" w:hAnsi="Cambria" w:cs="Calibri"/>
                <w:lang w:val="it-IT"/>
              </w:rPr>
              <w:t>Hrvatska</w:t>
            </w:r>
            <w:proofErr w:type="spellEnd"/>
            <w:r w:rsidRPr="000D37F8">
              <w:rPr>
                <w:rFonts w:ascii="Cambria" w:eastAsia="Times New Roman" w:hAnsi="Cambria" w:cs="Calibri"/>
                <w:lang w:val="it-IT"/>
              </w:rPr>
              <w:t xml:space="preserve"> </w:t>
            </w:r>
            <w:proofErr w:type="spellStart"/>
            <w:r w:rsidRPr="000D37F8">
              <w:rPr>
                <w:rFonts w:ascii="Cambria" w:eastAsia="Times New Roman" w:hAnsi="Cambria" w:cs="Calibri"/>
                <w:lang w:val="it-IT"/>
              </w:rPr>
              <w:t>povijest</w:t>
            </w:r>
            <w:proofErr w:type="spellEnd"/>
          </w:p>
        </w:tc>
      </w:tr>
      <w:tr w:rsidR="00E41BE6" w:rsidRPr="00DF4CE5" w14:paraId="3662AB49" w14:textId="77777777" w:rsidTr="00E41BE6">
        <w:tblPrEx>
          <w:tblCellMar>
            <w:top w:w="0" w:type="dxa"/>
            <w:left w:w="0" w:type="dxa"/>
            <w:bottom w:w="0" w:type="dxa"/>
            <w:right w:w="0" w:type="dxa"/>
          </w:tblCellMar>
        </w:tblPrEx>
        <w:trPr>
          <w:gridBefore w:val="1"/>
          <w:gridAfter w:val="1"/>
          <w:wBefore w:w="10" w:type="dxa"/>
          <w:wAfter w:w="10" w:type="dxa"/>
        </w:trPr>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CB3B6DD" w14:textId="2F689C18" w:rsidR="00E41BE6" w:rsidRPr="000D37F8" w:rsidRDefault="00E41BE6" w:rsidP="00E41BE6">
            <w:pPr>
              <w:spacing w:after="0" w:line="240" w:lineRule="auto"/>
              <w:rPr>
                <w:rFonts w:ascii="Cambria" w:eastAsia="Times New Roman" w:hAnsi="Cambria" w:cs="Calibri"/>
                <w:lang w:val="hr-HR"/>
              </w:rPr>
            </w:pPr>
            <w:r w:rsidRPr="000D37F8">
              <w:rPr>
                <w:rFonts w:ascii="Cambria" w:eastAsia="Times New Roman" w:hAnsi="Cambria" w:cs="Calibri"/>
                <w:lang w:val="hr-HR"/>
              </w:rPr>
              <w:t>Nastavnik</w:t>
            </w:r>
          </w:p>
        </w:tc>
        <w:tc>
          <w:tcPr>
            <w:tcW w:w="6510"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41435DA" w14:textId="01DCA452" w:rsidR="00E41BE6" w:rsidRPr="00450B7A" w:rsidRDefault="006B4FFE" w:rsidP="00E41BE6">
            <w:pPr>
              <w:spacing w:after="0" w:line="240" w:lineRule="auto"/>
              <w:rPr>
                <w:rFonts w:ascii="Cambria" w:eastAsia="Times New Roman" w:hAnsi="Cambria" w:cs="Calibri"/>
                <w:lang w:val="hr-HR"/>
              </w:rPr>
            </w:pPr>
            <w:hyperlink r:id="rId58" w:history="1">
              <w:r w:rsidRPr="000D37F8">
                <w:rPr>
                  <w:rFonts w:ascii="Cambria" w:eastAsia="Times New Roman" w:hAnsi="Cambria" w:cs="Calibri"/>
                  <w:color w:val="0000FF"/>
                  <w:u w:val="single"/>
                  <w:lang w:val="hr-HR"/>
                </w:rPr>
                <w:t>P</w:t>
              </w:r>
              <w:r w:rsidR="00E41BE6" w:rsidRPr="000D37F8">
                <w:rPr>
                  <w:rFonts w:ascii="Cambria" w:eastAsia="Times New Roman" w:hAnsi="Cambria" w:cs="Calibri"/>
                  <w:color w:val="0000FF"/>
                  <w:u w:val="single"/>
                  <w:lang w:val="hr-HR"/>
                </w:rPr>
                <w:t xml:space="preserve">rof. dr. sc. Slaven </w:t>
              </w:r>
              <w:proofErr w:type="spellStart"/>
              <w:r w:rsidR="00E41BE6" w:rsidRPr="000D37F8">
                <w:rPr>
                  <w:rFonts w:ascii="Cambria" w:eastAsia="Times New Roman" w:hAnsi="Cambria" w:cs="Calibri"/>
                  <w:color w:val="0000FF"/>
                  <w:u w:val="single"/>
                  <w:lang w:val="hr-HR"/>
                </w:rPr>
                <w:t>Bertoša</w:t>
              </w:r>
              <w:proofErr w:type="spellEnd"/>
            </w:hyperlink>
            <w:r w:rsidR="00E41BE6" w:rsidRPr="000D37F8">
              <w:rPr>
                <w:rFonts w:ascii="Cambria" w:eastAsia="Times New Roman" w:hAnsi="Cambria" w:cs="Calibri"/>
                <w:lang w:val="hr-HR"/>
              </w:rPr>
              <w:t xml:space="preserve"> (nositelj)</w:t>
            </w:r>
          </w:p>
        </w:tc>
      </w:tr>
      <w:tr w:rsidR="00E41BE6" w:rsidRPr="00D0399C" w14:paraId="1CD14965" w14:textId="77777777" w:rsidTr="00E41BE6">
        <w:tblPrEx>
          <w:tblCellMar>
            <w:top w:w="0" w:type="dxa"/>
            <w:left w:w="0" w:type="dxa"/>
            <w:bottom w:w="0" w:type="dxa"/>
            <w:right w:w="0" w:type="dxa"/>
          </w:tblCellMar>
        </w:tblPrEx>
        <w:trPr>
          <w:gridBefore w:val="1"/>
          <w:gridAfter w:val="1"/>
          <w:wBefore w:w="10" w:type="dxa"/>
          <w:wAfter w:w="10" w:type="dxa"/>
        </w:trPr>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251E71D" w14:textId="77777777" w:rsidR="00E41BE6" w:rsidRPr="000D37F8" w:rsidRDefault="00E41BE6" w:rsidP="00E41BE6">
            <w:pPr>
              <w:spacing w:after="0" w:line="240" w:lineRule="auto"/>
              <w:rPr>
                <w:rFonts w:ascii="Cambria" w:eastAsia="Times New Roman" w:hAnsi="Cambria" w:cs="Calibri"/>
                <w:lang w:val="hr-HR"/>
              </w:rPr>
            </w:pPr>
            <w:r w:rsidRPr="000D37F8">
              <w:rPr>
                <w:rFonts w:ascii="Cambria" w:eastAsia="Times New Roman" w:hAnsi="Cambria" w:cs="Calibri"/>
                <w:lang w:val="hr-HR"/>
              </w:rPr>
              <w:t>Studijski program</w:t>
            </w:r>
          </w:p>
        </w:tc>
        <w:tc>
          <w:tcPr>
            <w:tcW w:w="6510"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B1C03FA" w14:textId="77777777" w:rsidR="00E41BE6" w:rsidRPr="000D37F8" w:rsidRDefault="00E41BE6" w:rsidP="00E41BE6">
            <w:pPr>
              <w:spacing w:after="0" w:line="240" w:lineRule="auto"/>
              <w:rPr>
                <w:rFonts w:ascii="Cambria" w:eastAsia="Times New Roman" w:hAnsi="Cambria" w:cs="Calibri"/>
                <w:lang w:val="hr-HR"/>
              </w:rPr>
            </w:pPr>
            <w:r w:rsidRPr="000D37F8">
              <w:rPr>
                <w:rFonts w:ascii="Cambria" w:eastAsia="Calibri" w:hAnsi="Cambria" w:cs="Calibri"/>
                <w:lang w:val="hr-HR"/>
              </w:rPr>
              <w:t>Sveučilišni integrirani prijediplomski i diplomski Učiteljski studij na hrvatskom jeziku</w:t>
            </w:r>
          </w:p>
        </w:tc>
      </w:tr>
      <w:tr w:rsidR="00E41BE6" w:rsidRPr="00DF4CE5" w14:paraId="62B7B88A" w14:textId="77777777" w:rsidTr="00E41BE6">
        <w:tblPrEx>
          <w:tblCellMar>
            <w:top w:w="0" w:type="dxa"/>
            <w:left w:w="0" w:type="dxa"/>
            <w:bottom w:w="0" w:type="dxa"/>
            <w:right w:w="0" w:type="dxa"/>
          </w:tblCellMar>
        </w:tblPrEx>
        <w:trPr>
          <w:gridBefore w:val="1"/>
          <w:gridAfter w:val="1"/>
          <w:wBefore w:w="10" w:type="dxa"/>
          <w:wAfter w:w="10" w:type="dxa"/>
        </w:trPr>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3F95B52" w14:textId="77777777" w:rsidR="00E41BE6" w:rsidRPr="000D37F8" w:rsidRDefault="00E41BE6" w:rsidP="00E41BE6">
            <w:pPr>
              <w:spacing w:after="0" w:line="240" w:lineRule="auto"/>
              <w:rPr>
                <w:rFonts w:ascii="Cambria" w:eastAsia="Times New Roman" w:hAnsi="Cambria" w:cs="Calibri"/>
                <w:lang w:val="hr-HR"/>
              </w:rPr>
            </w:pPr>
            <w:r w:rsidRPr="000D37F8">
              <w:rPr>
                <w:rFonts w:ascii="Cambria" w:eastAsia="Times New Roman" w:hAnsi="Cambria" w:cs="Calibri"/>
                <w:lang w:val="hr-HR"/>
              </w:rPr>
              <w:t>Vrsta kolegija</w:t>
            </w:r>
          </w:p>
        </w:tc>
        <w:tc>
          <w:tcPr>
            <w:tcW w:w="241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0311209" w14:textId="35625325" w:rsidR="00E41BE6" w:rsidRPr="000D37F8" w:rsidRDefault="006B4FFE" w:rsidP="00E41BE6">
            <w:pPr>
              <w:spacing w:after="0" w:line="240" w:lineRule="auto"/>
              <w:rPr>
                <w:rFonts w:ascii="Cambria" w:eastAsia="Times New Roman" w:hAnsi="Cambria" w:cs="Calibri"/>
                <w:lang w:val="hr-HR"/>
              </w:rPr>
            </w:pPr>
            <w:r w:rsidRPr="000D37F8">
              <w:rPr>
                <w:rFonts w:ascii="Cambria" w:eastAsia="Times New Roman" w:hAnsi="Cambria" w:cs="Calibri"/>
                <w:lang w:val="hr-HR"/>
              </w:rPr>
              <w:t>o</w:t>
            </w:r>
            <w:r w:rsidR="00E41BE6" w:rsidRPr="000D37F8">
              <w:rPr>
                <w:rFonts w:ascii="Cambria" w:eastAsia="Times New Roman" w:hAnsi="Cambria" w:cs="Calibri"/>
                <w:lang w:val="hr-HR"/>
              </w:rPr>
              <w:t>bvezan</w:t>
            </w:r>
          </w:p>
        </w:tc>
        <w:tc>
          <w:tcPr>
            <w:tcW w:w="1417"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658DB46A" w14:textId="77777777" w:rsidR="00E41BE6" w:rsidRPr="000D37F8" w:rsidRDefault="00E41BE6" w:rsidP="00E41BE6">
            <w:pPr>
              <w:spacing w:after="0" w:line="240" w:lineRule="auto"/>
              <w:rPr>
                <w:rFonts w:ascii="Cambria" w:eastAsia="Times New Roman" w:hAnsi="Cambria" w:cs="Calibri"/>
                <w:lang w:val="hr-HR"/>
              </w:rPr>
            </w:pPr>
            <w:r w:rsidRPr="000D37F8">
              <w:rPr>
                <w:rFonts w:ascii="Cambria" w:eastAsia="Times New Roman" w:hAnsi="Cambria" w:cs="Calibri"/>
                <w:lang w:val="hr-HR"/>
              </w:rPr>
              <w:t>Razina kolegija</w:t>
            </w:r>
          </w:p>
        </w:tc>
        <w:tc>
          <w:tcPr>
            <w:tcW w:w="2683"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84F3BD9" w14:textId="77777777" w:rsidR="00E41BE6" w:rsidRPr="00DF4CE5" w:rsidRDefault="00E41BE6" w:rsidP="00E41BE6">
            <w:pPr>
              <w:spacing w:after="0" w:line="240" w:lineRule="auto"/>
              <w:rPr>
                <w:rFonts w:ascii="Cambria" w:eastAsia="Times New Roman" w:hAnsi="Cambria" w:cs="Calibri"/>
                <w:lang w:val="hr-HR"/>
              </w:rPr>
            </w:pPr>
            <w:proofErr w:type="spellStart"/>
            <w:r w:rsidRPr="00DF4CE5">
              <w:rPr>
                <w:rFonts w:ascii="Cambria" w:eastAsia="Times New Roman" w:hAnsi="Cambria" w:cs="Calibri"/>
              </w:rPr>
              <w:t>integrirani</w:t>
            </w:r>
            <w:proofErr w:type="spellEnd"/>
          </w:p>
        </w:tc>
      </w:tr>
      <w:tr w:rsidR="00E41BE6" w:rsidRPr="00DF4CE5" w14:paraId="72D1F99F" w14:textId="77777777" w:rsidTr="00E41BE6">
        <w:tblPrEx>
          <w:tblCellMar>
            <w:top w:w="0" w:type="dxa"/>
            <w:left w:w="0" w:type="dxa"/>
            <w:bottom w:w="0" w:type="dxa"/>
            <w:right w:w="0" w:type="dxa"/>
          </w:tblCellMar>
        </w:tblPrEx>
        <w:trPr>
          <w:gridBefore w:val="1"/>
          <w:gridAfter w:val="1"/>
          <w:wBefore w:w="10" w:type="dxa"/>
          <w:wAfter w:w="10" w:type="dxa"/>
        </w:trPr>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D2F75A0"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Semestar</w:t>
            </w:r>
          </w:p>
        </w:tc>
        <w:tc>
          <w:tcPr>
            <w:tcW w:w="241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0C05FC1" w14:textId="19194506" w:rsidR="00E41BE6" w:rsidRPr="00DF4CE5" w:rsidRDefault="006B4FFE" w:rsidP="00E41BE6">
            <w:pPr>
              <w:spacing w:after="0" w:line="240" w:lineRule="auto"/>
              <w:rPr>
                <w:rFonts w:ascii="Cambria" w:eastAsia="Times New Roman" w:hAnsi="Cambria" w:cs="Calibri"/>
                <w:lang w:val="hr-HR"/>
              </w:rPr>
            </w:pPr>
            <w:r>
              <w:rPr>
                <w:rFonts w:ascii="Cambria" w:eastAsia="Times New Roman" w:hAnsi="Cambria" w:cs="Calibri"/>
                <w:lang w:val="hr-HR"/>
              </w:rPr>
              <w:t>l</w:t>
            </w:r>
            <w:r w:rsidR="00E41BE6" w:rsidRPr="00DF4CE5">
              <w:rPr>
                <w:rFonts w:ascii="Cambria" w:eastAsia="Times New Roman" w:hAnsi="Cambria" w:cs="Calibri"/>
                <w:lang w:val="hr-HR"/>
              </w:rPr>
              <w:t>jetni</w:t>
            </w:r>
          </w:p>
        </w:tc>
        <w:tc>
          <w:tcPr>
            <w:tcW w:w="1417"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4F2646C7"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Godina studija</w:t>
            </w:r>
          </w:p>
        </w:tc>
        <w:tc>
          <w:tcPr>
            <w:tcW w:w="2683"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A762E11"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 xml:space="preserve">I. </w:t>
            </w:r>
          </w:p>
        </w:tc>
      </w:tr>
      <w:tr w:rsidR="00E41BE6" w:rsidRPr="00DF4CE5" w14:paraId="276398BF" w14:textId="77777777" w:rsidTr="00E41BE6">
        <w:tblPrEx>
          <w:tblCellMar>
            <w:top w:w="0" w:type="dxa"/>
            <w:left w:w="0" w:type="dxa"/>
            <w:bottom w:w="0" w:type="dxa"/>
            <w:right w:w="0" w:type="dxa"/>
          </w:tblCellMar>
        </w:tblPrEx>
        <w:trPr>
          <w:gridBefore w:val="1"/>
          <w:gridAfter w:val="1"/>
          <w:wBefore w:w="10" w:type="dxa"/>
          <w:wAfter w:w="10" w:type="dxa"/>
        </w:trPr>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C62327B" w14:textId="77777777" w:rsidR="00E41BE6" w:rsidRPr="00DF4CE5" w:rsidRDefault="00E41BE6" w:rsidP="00E41BE6">
            <w:pPr>
              <w:spacing w:after="0" w:line="240" w:lineRule="auto"/>
              <w:rPr>
                <w:rFonts w:ascii="Cambria" w:eastAsia="Times New Roman" w:hAnsi="Cambria" w:cs="Calibri"/>
                <w:lang w:val="hr-HR"/>
              </w:rPr>
            </w:pPr>
            <w:proofErr w:type="spellStart"/>
            <w:r w:rsidRPr="00DF4CE5">
              <w:rPr>
                <w:rFonts w:ascii="Cambria" w:eastAsia="Times New Roman" w:hAnsi="Cambria" w:cs="Calibri"/>
              </w:rPr>
              <w:t>Mjesto</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izvo</w:t>
            </w:r>
            <w:proofErr w:type="spellEnd"/>
            <w:r w:rsidRPr="00DF4CE5">
              <w:rPr>
                <w:rFonts w:ascii="Cambria" w:eastAsia="Times New Roman" w:hAnsi="Cambria" w:cs="Calibri"/>
                <w:lang w:val="hr-HR"/>
              </w:rPr>
              <w:t>đ</w:t>
            </w:r>
            <w:proofErr w:type="spellStart"/>
            <w:r w:rsidRPr="00DF4CE5">
              <w:rPr>
                <w:rFonts w:ascii="Cambria" w:eastAsia="Times New Roman" w:hAnsi="Cambria" w:cs="Calibri"/>
              </w:rPr>
              <w:t>enja</w:t>
            </w:r>
            <w:proofErr w:type="spellEnd"/>
          </w:p>
        </w:tc>
        <w:tc>
          <w:tcPr>
            <w:tcW w:w="241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E37A446" w14:textId="4B444453" w:rsidR="00E41BE6" w:rsidRPr="00DF4CE5" w:rsidRDefault="006B4FFE" w:rsidP="00E41BE6">
            <w:pPr>
              <w:spacing w:after="0" w:line="240" w:lineRule="auto"/>
              <w:rPr>
                <w:rFonts w:ascii="Cambria" w:eastAsia="Times New Roman" w:hAnsi="Cambria" w:cs="Calibri"/>
                <w:lang w:val="hr-HR"/>
              </w:rPr>
            </w:pPr>
            <w:r>
              <w:rPr>
                <w:rFonts w:ascii="Cambria" w:eastAsia="Times New Roman" w:hAnsi="Cambria" w:cs="Calibri"/>
                <w:lang w:val="hr-HR"/>
              </w:rPr>
              <w:t>u</w:t>
            </w:r>
            <w:r w:rsidR="00E41BE6" w:rsidRPr="00DF4CE5">
              <w:rPr>
                <w:rFonts w:ascii="Cambria" w:eastAsia="Times New Roman" w:hAnsi="Cambria" w:cs="Calibri"/>
                <w:lang w:val="hr-HR"/>
              </w:rPr>
              <w:t>čionica</w:t>
            </w:r>
          </w:p>
        </w:tc>
        <w:tc>
          <w:tcPr>
            <w:tcW w:w="1417"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17A5FA8F"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rPr>
              <w:t>Jezik</w:t>
            </w:r>
            <w:r w:rsidRPr="00DF4CE5">
              <w:rPr>
                <w:rFonts w:ascii="Cambria" w:eastAsia="Times New Roman" w:hAnsi="Cambria" w:cs="Calibri"/>
                <w:lang w:val="hr-HR"/>
              </w:rPr>
              <w:t xml:space="preserve"> izvođenja </w:t>
            </w:r>
          </w:p>
        </w:tc>
        <w:tc>
          <w:tcPr>
            <w:tcW w:w="2683"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589ED5B" w14:textId="77777777" w:rsidR="00E41BE6" w:rsidRPr="00DF4CE5" w:rsidRDefault="00E41BE6" w:rsidP="00E41BE6">
            <w:pPr>
              <w:spacing w:after="0" w:line="240" w:lineRule="auto"/>
              <w:rPr>
                <w:rFonts w:ascii="Cambria" w:eastAsia="Times New Roman" w:hAnsi="Cambria" w:cs="Calibri"/>
              </w:rPr>
            </w:pPr>
            <w:proofErr w:type="spellStart"/>
            <w:r w:rsidRPr="00DF4CE5">
              <w:rPr>
                <w:rFonts w:ascii="Cambria" w:eastAsia="Times New Roman" w:hAnsi="Cambria" w:cs="Calibri"/>
              </w:rPr>
              <w:t>hrvatski</w:t>
            </w:r>
            <w:proofErr w:type="spellEnd"/>
          </w:p>
        </w:tc>
      </w:tr>
      <w:tr w:rsidR="00E41BE6" w:rsidRPr="00DF4CE5" w14:paraId="7E2A511E" w14:textId="77777777" w:rsidTr="00E41BE6">
        <w:tblPrEx>
          <w:tblCellMar>
            <w:top w:w="0" w:type="dxa"/>
            <w:left w:w="0" w:type="dxa"/>
            <w:bottom w:w="0" w:type="dxa"/>
            <w:right w:w="0" w:type="dxa"/>
          </w:tblCellMar>
        </w:tblPrEx>
        <w:trPr>
          <w:gridBefore w:val="1"/>
          <w:gridAfter w:val="1"/>
          <w:wBefore w:w="10" w:type="dxa"/>
          <w:wAfter w:w="10" w:type="dxa"/>
        </w:trPr>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2E7A550"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Broj ECTS bodova</w:t>
            </w:r>
          </w:p>
        </w:tc>
        <w:tc>
          <w:tcPr>
            <w:tcW w:w="241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BBDC44D"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3</w:t>
            </w:r>
          </w:p>
        </w:tc>
        <w:tc>
          <w:tcPr>
            <w:tcW w:w="1417"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3A20C0CC"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Broj sati u semestru</w:t>
            </w:r>
          </w:p>
        </w:tc>
        <w:tc>
          <w:tcPr>
            <w:tcW w:w="2683"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59131A5" w14:textId="1D707D0D"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 xml:space="preserve">30P – </w:t>
            </w:r>
            <w:r w:rsidR="00CB02F8" w:rsidRPr="00DF4CE5">
              <w:rPr>
                <w:rFonts w:ascii="Cambria" w:eastAsia="Times New Roman" w:hAnsi="Cambria" w:cs="Calibri"/>
                <w:lang w:val="hr-HR"/>
              </w:rPr>
              <w:t>15S</w:t>
            </w:r>
            <w:r w:rsidR="00E91AAA">
              <w:rPr>
                <w:rFonts w:ascii="Cambria" w:eastAsia="Times New Roman" w:hAnsi="Cambria" w:cs="Calibri"/>
                <w:lang w:val="hr-HR"/>
              </w:rPr>
              <w:t xml:space="preserve"> </w:t>
            </w:r>
            <w:r w:rsidRPr="00DF4CE5">
              <w:rPr>
                <w:rFonts w:ascii="Cambria" w:eastAsia="Times New Roman" w:hAnsi="Cambria" w:cs="Calibri"/>
                <w:lang w:val="hr-HR"/>
              </w:rPr>
              <w:t xml:space="preserve">– </w:t>
            </w:r>
            <w:r w:rsidR="00CB02F8" w:rsidRPr="00DF4CE5">
              <w:rPr>
                <w:rFonts w:ascii="Cambria" w:eastAsia="Times New Roman" w:hAnsi="Cambria" w:cs="Calibri"/>
                <w:lang w:val="hr-HR"/>
              </w:rPr>
              <w:t>0V</w:t>
            </w:r>
            <w:r w:rsidRPr="00DF4CE5">
              <w:rPr>
                <w:rFonts w:ascii="Cambria" w:eastAsia="Times New Roman" w:hAnsi="Cambria" w:cs="Calibri"/>
                <w:lang w:val="hr-HR"/>
              </w:rPr>
              <w:t xml:space="preserve"> </w:t>
            </w:r>
          </w:p>
        </w:tc>
      </w:tr>
      <w:tr w:rsidR="00E41BE6" w:rsidRPr="00DF4CE5" w14:paraId="5C2AC4FF" w14:textId="77777777" w:rsidTr="00E41BE6">
        <w:tblPrEx>
          <w:tblCellMar>
            <w:top w:w="0" w:type="dxa"/>
            <w:left w:w="0" w:type="dxa"/>
            <w:bottom w:w="0" w:type="dxa"/>
            <w:right w:w="0" w:type="dxa"/>
          </w:tblCellMar>
        </w:tblPrEx>
        <w:trPr>
          <w:gridBefore w:val="1"/>
          <w:gridAfter w:val="1"/>
          <w:wBefore w:w="10" w:type="dxa"/>
          <w:wAfter w:w="10" w:type="dxa"/>
        </w:trPr>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876E55C"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Preduvjeti</w:t>
            </w:r>
          </w:p>
        </w:tc>
        <w:tc>
          <w:tcPr>
            <w:tcW w:w="6510"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449BED5" w14:textId="2E6347EC" w:rsidR="00E41BE6" w:rsidRPr="00DF4CE5" w:rsidRDefault="003C5D89"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N</w:t>
            </w:r>
            <w:r w:rsidR="00E41BE6" w:rsidRPr="00DF4CE5">
              <w:rPr>
                <w:rFonts w:ascii="Cambria" w:eastAsia="Times New Roman" w:hAnsi="Cambria" w:cs="Calibri"/>
                <w:lang w:val="hr-HR"/>
              </w:rPr>
              <w:t>ema</w:t>
            </w:r>
          </w:p>
        </w:tc>
      </w:tr>
      <w:tr w:rsidR="00E41BE6" w:rsidRPr="00DF4CE5" w14:paraId="1F30F304" w14:textId="77777777" w:rsidTr="00E41BE6">
        <w:tblPrEx>
          <w:tblCellMar>
            <w:top w:w="0" w:type="dxa"/>
            <w:left w:w="0" w:type="dxa"/>
            <w:bottom w:w="0" w:type="dxa"/>
            <w:right w:w="0" w:type="dxa"/>
          </w:tblCellMar>
        </w:tblPrEx>
        <w:trPr>
          <w:gridBefore w:val="1"/>
          <w:gridAfter w:val="1"/>
          <w:wBefore w:w="10" w:type="dxa"/>
          <w:wAfter w:w="10" w:type="dxa"/>
        </w:trPr>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FD45FBF" w14:textId="77777777" w:rsidR="00E41BE6" w:rsidRPr="00DF4CE5" w:rsidRDefault="00E41BE6" w:rsidP="00E41BE6">
            <w:pPr>
              <w:spacing w:after="0" w:line="240" w:lineRule="auto"/>
              <w:rPr>
                <w:rFonts w:ascii="Cambria" w:eastAsia="Times New Roman" w:hAnsi="Cambria" w:cs="Calibri"/>
                <w:lang w:val="hr-HR"/>
              </w:rPr>
            </w:pPr>
            <w:proofErr w:type="spellStart"/>
            <w:r w:rsidRPr="00DF4CE5">
              <w:rPr>
                <w:rFonts w:ascii="Cambria" w:eastAsia="Times New Roman" w:hAnsi="Cambria" w:cs="Calibri"/>
              </w:rPr>
              <w:t>Korelativnost</w:t>
            </w:r>
            <w:proofErr w:type="spellEnd"/>
          </w:p>
        </w:tc>
        <w:tc>
          <w:tcPr>
            <w:tcW w:w="6510"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16A1EEB"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Svi predmeti slične tematike</w:t>
            </w:r>
          </w:p>
        </w:tc>
      </w:tr>
      <w:tr w:rsidR="00E41BE6" w:rsidRPr="00D0399C" w14:paraId="4414B44D" w14:textId="77777777" w:rsidTr="00E41BE6">
        <w:tblPrEx>
          <w:tblCellMar>
            <w:top w:w="0" w:type="dxa"/>
            <w:left w:w="0" w:type="dxa"/>
            <w:bottom w:w="0" w:type="dxa"/>
            <w:right w:w="0" w:type="dxa"/>
          </w:tblCellMar>
        </w:tblPrEx>
        <w:trPr>
          <w:gridBefore w:val="1"/>
          <w:gridAfter w:val="1"/>
          <w:wBefore w:w="10" w:type="dxa"/>
          <w:wAfter w:w="10" w:type="dxa"/>
        </w:trPr>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3E7AB88"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 xml:space="preserve">Cilj kolegija </w:t>
            </w:r>
          </w:p>
        </w:tc>
        <w:tc>
          <w:tcPr>
            <w:tcW w:w="6510"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9AC5A65" w14:textId="5F88C342" w:rsidR="00E41BE6" w:rsidRPr="00DF4CE5" w:rsidRDefault="00E41BE6" w:rsidP="00E41BE6">
            <w:pPr>
              <w:spacing w:after="0" w:line="240" w:lineRule="auto"/>
              <w:rPr>
                <w:rFonts w:ascii="Cambria" w:eastAsia="Times New Roman" w:hAnsi="Cambria" w:cs="Calibri"/>
                <w:lang w:val="hr-HR"/>
              </w:rPr>
            </w:pPr>
            <w:proofErr w:type="spellStart"/>
            <w:r w:rsidRPr="00DF4CE5">
              <w:rPr>
                <w:rFonts w:ascii="Cambria" w:eastAsia="Times New Roman" w:hAnsi="Cambria" w:cs="Calibri"/>
                <w:lang w:val="hr-HR"/>
              </w:rPr>
              <w:t>pr</w:t>
            </w:r>
            <w:proofErr w:type="spellEnd"/>
            <w:r w:rsidRPr="00DF4CE5">
              <w:rPr>
                <w:rFonts w:ascii="Cambria" w:eastAsia="Times New Roman" w:hAnsi="Cambria" w:cs="Calibri"/>
                <w:lang w:val="pt-PT"/>
              </w:rPr>
              <w:t>epoznati</w:t>
            </w:r>
            <w:r w:rsidRPr="00DF4CE5">
              <w:rPr>
                <w:rFonts w:ascii="Cambria" w:eastAsia="Times New Roman" w:hAnsi="Cambria" w:cs="Calibri"/>
                <w:lang w:val="hr-HR"/>
              </w:rPr>
              <w:t xml:space="preserve">, </w:t>
            </w:r>
            <w:r w:rsidRPr="00DF4CE5">
              <w:rPr>
                <w:rFonts w:ascii="Cambria" w:eastAsia="Times New Roman" w:hAnsi="Cambria" w:cs="Calibri"/>
                <w:lang w:val="pt-PT"/>
              </w:rPr>
              <w:t>argumentirano definirati</w:t>
            </w:r>
            <w:r w:rsidRPr="00DF4CE5">
              <w:rPr>
                <w:rFonts w:ascii="Cambria" w:eastAsia="Times New Roman" w:hAnsi="Cambria" w:cs="Calibri"/>
                <w:lang w:val="hr-HR"/>
              </w:rPr>
              <w:t xml:space="preserve">, </w:t>
            </w:r>
            <w:r w:rsidRPr="00DF4CE5">
              <w:rPr>
                <w:rFonts w:ascii="Cambria" w:eastAsia="Times New Roman" w:hAnsi="Cambria" w:cs="Calibri"/>
                <w:lang w:val="pt-PT"/>
              </w:rPr>
              <w:t>opisati i kriti</w:t>
            </w:r>
            <w:r w:rsidRPr="00DF4CE5">
              <w:rPr>
                <w:rFonts w:ascii="Cambria" w:eastAsia="Times New Roman" w:hAnsi="Cambria" w:cs="Calibri"/>
                <w:lang w:val="hr-HR"/>
              </w:rPr>
              <w:t>č</w:t>
            </w:r>
            <w:r w:rsidRPr="00DF4CE5">
              <w:rPr>
                <w:rFonts w:ascii="Cambria" w:eastAsia="Times New Roman" w:hAnsi="Cambria" w:cs="Calibri"/>
                <w:lang w:val="pt-PT"/>
              </w:rPr>
              <w:t>no protuma</w:t>
            </w:r>
            <w:r w:rsidRPr="00DF4CE5">
              <w:rPr>
                <w:rFonts w:ascii="Cambria" w:eastAsia="Times New Roman" w:hAnsi="Cambria" w:cs="Calibri"/>
                <w:lang w:val="hr-HR"/>
              </w:rPr>
              <w:t>č</w:t>
            </w:r>
            <w:r w:rsidRPr="00DF4CE5">
              <w:rPr>
                <w:rFonts w:ascii="Cambria" w:eastAsia="Times New Roman" w:hAnsi="Cambria" w:cs="Calibri"/>
                <w:lang w:val="pt-PT"/>
              </w:rPr>
              <w:t>iti najva</w:t>
            </w:r>
            <w:r w:rsidRPr="00DF4CE5">
              <w:rPr>
                <w:rFonts w:ascii="Cambria" w:eastAsia="Times New Roman" w:hAnsi="Cambria" w:cs="Calibri"/>
                <w:lang w:val="hr-HR"/>
              </w:rPr>
              <w:t>ž</w:t>
            </w:r>
            <w:r w:rsidRPr="00DF4CE5">
              <w:rPr>
                <w:rFonts w:ascii="Cambria" w:eastAsia="Times New Roman" w:hAnsi="Cambria" w:cs="Calibri"/>
                <w:lang w:val="pt-PT"/>
              </w:rPr>
              <w:t>nija pitanja</w:t>
            </w:r>
            <w:r w:rsidRPr="00DF4CE5">
              <w:rPr>
                <w:rFonts w:ascii="Cambria" w:eastAsia="Times New Roman" w:hAnsi="Cambria" w:cs="Calibri"/>
                <w:lang w:val="hr-HR"/>
              </w:rPr>
              <w:t xml:space="preserve"> iz hrvatske povijesti od prapovijesti do danas</w:t>
            </w:r>
          </w:p>
        </w:tc>
      </w:tr>
      <w:tr w:rsidR="00E41BE6" w:rsidRPr="00D0399C" w14:paraId="318C5F6C" w14:textId="77777777" w:rsidTr="00E41BE6">
        <w:tblPrEx>
          <w:tblCellMar>
            <w:top w:w="0" w:type="dxa"/>
            <w:left w:w="0" w:type="dxa"/>
            <w:bottom w:w="0" w:type="dxa"/>
            <w:right w:w="0" w:type="dxa"/>
          </w:tblCellMar>
        </w:tblPrEx>
        <w:trPr>
          <w:gridBefore w:val="1"/>
          <w:gridAfter w:val="1"/>
          <w:wBefore w:w="10" w:type="dxa"/>
          <w:wAfter w:w="10" w:type="dxa"/>
        </w:trPr>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955BF1E"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Ishodi učenja</w:t>
            </w:r>
          </w:p>
        </w:tc>
        <w:tc>
          <w:tcPr>
            <w:tcW w:w="6510"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991D73D"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1. usporediti temeljne pojmove iz naše nacionalne povijesti</w:t>
            </w:r>
          </w:p>
          <w:p w14:paraId="0AFB03DF"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2. interdisciplinarno kritički analizirati bitna obilježja i pojave</w:t>
            </w:r>
          </w:p>
          <w:p w14:paraId="5AD04B24"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3. objasniti važnost najpoznatijih ličnosti i događaja</w:t>
            </w:r>
          </w:p>
          <w:p w14:paraId="03DF88B6"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4. procijeniti kako primijeniti stečena znanja i vještine u budućem radu s učenicima</w:t>
            </w:r>
          </w:p>
        </w:tc>
      </w:tr>
      <w:tr w:rsidR="00E41BE6" w:rsidRPr="00D0399C" w14:paraId="1CFE5CF5" w14:textId="77777777" w:rsidTr="00E41BE6">
        <w:tblPrEx>
          <w:tblCellMar>
            <w:top w:w="0" w:type="dxa"/>
            <w:left w:w="0" w:type="dxa"/>
            <w:bottom w:w="0" w:type="dxa"/>
            <w:right w:w="0" w:type="dxa"/>
          </w:tblCellMar>
        </w:tblPrEx>
        <w:trPr>
          <w:gridBefore w:val="1"/>
          <w:gridAfter w:val="1"/>
          <w:wBefore w:w="10" w:type="dxa"/>
          <w:wAfter w:w="10" w:type="dxa"/>
        </w:trPr>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713579A3"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Sadržaj kolegija</w:t>
            </w:r>
          </w:p>
        </w:tc>
        <w:tc>
          <w:tcPr>
            <w:tcW w:w="6510"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B886664" w14:textId="77777777" w:rsidR="00E41BE6" w:rsidRPr="00DF4CE5" w:rsidRDefault="00E41BE6" w:rsidP="00E41BE6">
            <w:pPr>
              <w:spacing w:after="0" w:line="240" w:lineRule="auto"/>
              <w:rPr>
                <w:rFonts w:ascii="Cambria" w:eastAsia="Times New Roman" w:hAnsi="Cambria" w:cs="Times New Roman"/>
                <w:lang w:val="hr-HR"/>
              </w:rPr>
            </w:pPr>
            <w:r w:rsidRPr="00DF4CE5">
              <w:rPr>
                <w:rFonts w:ascii="Cambria" w:eastAsia="Times New Roman" w:hAnsi="Cambria" w:cs="Times New Roman"/>
                <w:lang w:val="hr-HR"/>
              </w:rPr>
              <w:t>1. Povijest i njezino značenje</w:t>
            </w:r>
          </w:p>
          <w:p w14:paraId="2ACCCDB1" w14:textId="77777777" w:rsidR="00E41BE6" w:rsidRPr="00DF4CE5" w:rsidRDefault="00E41BE6" w:rsidP="00E41BE6">
            <w:pPr>
              <w:spacing w:after="0" w:line="240" w:lineRule="auto"/>
              <w:rPr>
                <w:rFonts w:ascii="Cambria" w:eastAsia="Times New Roman" w:hAnsi="Cambria" w:cs="Times New Roman"/>
                <w:lang w:val="hr-HR"/>
              </w:rPr>
            </w:pPr>
            <w:r w:rsidRPr="00DF4CE5">
              <w:rPr>
                <w:rFonts w:ascii="Cambria" w:eastAsia="Times New Roman" w:hAnsi="Cambria" w:cs="Times New Roman"/>
                <w:lang w:val="hr-HR"/>
              </w:rPr>
              <w:t xml:space="preserve">2. Kratki pregled hrvatske povijesti: antičko doba; srednji vijek (od doseljenja do 1526.); moderno doba (XVI.-XIX. stoljeće); suvremena povijest. </w:t>
            </w:r>
          </w:p>
          <w:p w14:paraId="0DFBBE18" w14:textId="77777777" w:rsidR="00E41BE6" w:rsidRPr="00DF4CE5" w:rsidRDefault="00E41BE6" w:rsidP="00E41BE6">
            <w:pPr>
              <w:spacing w:after="0" w:line="240" w:lineRule="auto"/>
              <w:rPr>
                <w:rFonts w:ascii="Cambria" w:eastAsia="Times New Roman" w:hAnsi="Cambria" w:cs="Times New Roman"/>
                <w:lang w:val="hr-HR"/>
              </w:rPr>
            </w:pPr>
            <w:r w:rsidRPr="00DF4CE5">
              <w:rPr>
                <w:rFonts w:ascii="Cambria" w:eastAsia="Times New Roman" w:hAnsi="Cambria" w:cs="Times New Roman"/>
                <w:lang w:val="hr-HR"/>
              </w:rPr>
              <w:t>3. Doseljenje Hrvata, knezovi, kraljevi, gradovi, plemići-feudalci i njihove obitelji, društvo, kulturno nasljeđe</w:t>
            </w:r>
          </w:p>
          <w:p w14:paraId="0DB85A71" w14:textId="77777777" w:rsidR="00E41BE6" w:rsidRPr="00DF4CE5" w:rsidRDefault="00E41BE6" w:rsidP="00E41BE6">
            <w:pPr>
              <w:spacing w:after="0" w:line="240" w:lineRule="auto"/>
              <w:rPr>
                <w:rFonts w:ascii="Cambria" w:eastAsia="Times New Roman" w:hAnsi="Cambria" w:cs="Times New Roman"/>
                <w:lang w:val="hr-HR"/>
              </w:rPr>
            </w:pPr>
            <w:r w:rsidRPr="00DF4CE5">
              <w:rPr>
                <w:rFonts w:ascii="Cambria" w:eastAsia="Times New Roman" w:hAnsi="Cambria" w:cs="Times New Roman"/>
                <w:lang w:val="hr-HR"/>
              </w:rPr>
              <w:t>4. Ratovi s Osmanlijama, Vojna granica; mletačka, austrijska i francuska vlast u našim krajevima</w:t>
            </w:r>
          </w:p>
          <w:p w14:paraId="74724B9B" w14:textId="7721E6D0" w:rsidR="00E41BE6" w:rsidRPr="00DF4CE5" w:rsidRDefault="00E41BE6" w:rsidP="00E41BE6">
            <w:pPr>
              <w:spacing w:after="0" w:line="240" w:lineRule="auto"/>
              <w:rPr>
                <w:rFonts w:ascii="Cambria" w:eastAsia="Times New Roman" w:hAnsi="Cambria" w:cs="Times New Roman"/>
                <w:lang w:val="hr-HR"/>
              </w:rPr>
            </w:pPr>
            <w:r w:rsidRPr="00DF4CE5">
              <w:rPr>
                <w:rFonts w:ascii="Cambria" w:eastAsia="Times New Roman" w:hAnsi="Cambria" w:cs="Times New Roman"/>
                <w:lang w:val="hr-HR"/>
              </w:rPr>
              <w:t>5. Političke stranke, državnopravni identitet, ratovi (s Osmanlijama, Prvi svjetski rat, Drugi svjetski rat, Domovinski rat</w:t>
            </w:r>
            <w:r w:rsidR="000D37F8">
              <w:rPr>
                <w:rFonts w:ascii="Cambria" w:eastAsia="Times New Roman" w:hAnsi="Cambria" w:cs="Times New Roman"/>
                <w:lang w:val="hr-HR"/>
              </w:rPr>
              <w:t>)</w:t>
            </w:r>
          </w:p>
          <w:p w14:paraId="5FCB801A"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Times New Roman"/>
                <w:lang w:val="hr-HR"/>
              </w:rPr>
              <w:t>6. Terenski obilazak jednog povijesnog lokaliteta u Istri</w:t>
            </w:r>
          </w:p>
        </w:tc>
      </w:tr>
      <w:tr w:rsidR="00E41BE6" w:rsidRPr="00DF4CE5" w14:paraId="2200497A" w14:textId="77777777" w:rsidTr="00E41BE6">
        <w:tblPrEx>
          <w:tblCellMar>
            <w:top w:w="0" w:type="dxa"/>
            <w:left w:w="0" w:type="dxa"/>
            <w:bottom w:w="0" w:type="dxa"/>
            <w:right w:w="0" w:type="dxa"/>
          </w:tblCellMar>
        </w:tblPrEx>
        <w:trPr>
          <w:gridBefore w:val="1"/>
          <w:gridAfter w:val="1"/>
          <w:wBefore w:w="10" w:type="dxa"/>
          <w:wAfter w:w="10" w:type="dxa"/>
        </w:trPr>
        <w:tc>
          <w:tcPr>
            <w:tcW w:w="2542" w:type="dxa"/>
            <w:vMerge w:val="restart"/>
            <w:tcBorders>
              <w:top w:val="single" w:sz="8" w:space="0" w:color="000000"/>
              <w:left w:val="single" w:sz="8" w:space="0" w:color="000000"/>
              <w:bottom w:val="single" w:sz="8" w:space="0" w:color="000000"/>
              <w:right w:val="single" w:sz="8" w:space="0" w:color="000000"/>
            </w:tcBorders>
            <w:shd w:val="clear" w:color="auto" w:fill="F3F3F3"/>
            <w:vAlign w:val="center"/>
          </w:tcPr>
          <w:p w14:paraId="6540F1FA"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Planirane aktivnosti,</w:t>
            </w:r>
          </w:p>
          <w:p w14:paraId="078FEEE6"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metode učenja i poučavanja i načini vrednovanja</w:t>
            </w:r>
          </w:p>
        </w:tc>
        <w:tc>
          <w:tcPr>
            <w:tcW w:w="2505" w:type="dxa"/>
            <w:gridSpan w:val="2"/>
            <w:tcBorders>
              <w:top w:val="single" w:sz="8" w:space="0" w:color="000000"/>
              <w:left w:val="single" w:sz="8" w:space="0" w:color="000000"/>
              <w:bottom w:val="single" w:sz="8" w:space="0" w:color="000000"/>
              <w:right w:val="single" w:sz="8" w:space="0" w:color="000000"/>
            </w:tcBorders>
            <w:vAlign w:val="center"/>
          </w:tcPr>
          <w:p w14:paraId="37CC9052"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bCs/>
                <w:lang w:val="hr-HR"/>
              </w:rPr>
              <w:t xml:space="preserve"> Obveze</w:t>
            </w:r>
          </w:p>
          <w:p w14:paraId="3DC97E6B" w14:textId="77777777" w:rsidR="00E41BE6" w:rsidRPr="00DF4CE5" w:rsidRDefault="00E41BE6" w:rsidP="00E41BE6">
            <w:pPr>
              <w:spacing w:after="0" w:line="240" w:lineRule="auto"/>
              <w:rPr>
                <w:rFonts w:ascii="Cambria" w:eastAsia="Times New Roman" w:hAnsi="Cambria" w:cs="Calibri"/>
                <w:lang w:val="hr-HR"/>
              </w:rPr>
            </w:pPr>
          </w:p>
        </w:tc>
        <w:tc>
          <w:tcPr>
            <w:tcW w:w="1054" w:type="dxa"/>
            <w:tcBorders>
              <w:top w:val="single" w:sz="8" w:space="0" w:color="000000"/>
              <w:left w:val="single" w:sz="8" w:space="0" w:color="000000"/>
              <w:bottom w:val="single" w:sz="8" w:space="0" w:color="000000"/>
              <w:right w:val="single" w:sz="8" w:space="0" w:color="000000"/>
            </w:tcBorders>
            <w:vAlign w:val="center"/>
          </w:tcPr>
          <w:p w14:paraId="7603A689"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bCs/>
                <w:lang w:val="hr-HR"/>
              </w:rPr>
              <w:t>Ishodi</w:t>
            </w:r>
          </w:p>
        </w:tc>
        <w:tc>
          <w:tcPr>
            <w:tcW w:w="693" w:type="dxa"/>
            <w:gridSpan w:val="2"/>
            <w:tcBorders>
              <w:top w:val="single" w:sz="8" w:space="0" w:color="000000"/>
              <w:left w:val="single" w:sz="8" w:space="0" w:color="000000"/>
              <w:bottom w:val="single" w:sz="8" w:space="0" w:color="000000"/>
              <w:right w:val="single" w:sz="8" w:space="0" w:color="000000"/>
            </w:tcBorders>
            <w:vAlign w:val="center"/>
          </w:tcPr>
          <w:p w14:paraId="0518C38B"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bCs/>
                <w:lang w:val="hr-HR"/>
              </w:rPr>
              <w:t>Sati</w:t>
            </w:r>
          </w:p>
        </w:tc>
        <w:tc>
          <w:tcPr>
            <w:tcW w:w="9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2126305"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bCs/>
                <w:lang w:val="hr-HR"/>
              </w:rPr>
              <w:t>Udio u ECTS-u</w:t>
            </w:r>
          </w:p>
        </w:tc>
        <w:tc>
          <w:tcPr>
            <w:tcW w:w="127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66D8125"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bCs/>
                <w:lang w:val="hr-HR"/>
              </w:rPr>
              <w:t>Maksimalni udio u ocjeni</w:t>
            </w:r>
            <w:r w:rsidRPr="00DF4CE5">
              <w:rPr>
                <w:rFonts w:ascii="Cambria" w:eastAsia="Times New Roman" w:hAnsi="Cambria" w:cs="Calibri"/>
                <w:bCs/>
              </w:rPr>
              <w:t xml:space="preserve"> (%)</w:t>
            </w:r>
          </w:p>
        </w:tc>
      </w:tr>
      <w:tr w:rsidR="00E41BE6" w:rsidRPr="00DF4CE5" w14:paraId="576ABD21" w14:textId="77777777" w:rsidTr="00E41BE6">
        <w:tblPrEx>
          <w:tblCellMar>
            <w:top w:w="0" w:type="dxa"/>
            <w:left w:w="0" w:type="dxa"/>
            <w:bottom w:w="0" w:type="dxa"/>
            <w:right w:w="0" w:type="dxa"/>
          </w:tblCellMar>
        </w:tblPrEx>
        <w:trPr>
          <w:gridBefore w:val="1"/>
          <w:gridAfter w:val="1"/>
          <w:wBefore w:w="10" w:type="dxa"/>
          <w:wAfter w:w="10" w:type="dxa"/>
        </w:trPr>
        <w:tc>
          <w:tcPr>
            <w:tcW w:w="2542" w:type="dxa"/>
            <w:vMerge/>
            <w:tcBorders>
              <w:top w:val="single" w:sz="8" w:space="0" w:color="000000"/>
              <w:left w:val="single" w:sz="8" w:space="0" w:color="000000"/>
              <w:bottom w:val="single" w:sz="8" w:space="0" w:color="000000"/>
              <w:right w:val="single" w:sz="8" w:space="0" w:color="000000"/>
            </w:tcBorders>
            <w:vAlign w:val="center"/>
          </w:tcPr>
          <w:p w14:paraId="000F896B" w14:textId="77777777" w:rsidR="00E41BE6" w:rsidRPr="00DF4CE5" w:rsidRDefault="00E41BE6" w:rsidP="00E41BE6">
            <w:pPr>
              <w:spacing w:after="0" w:line="240" w:lineRule="auto"/>
              <w:rPr>
                <w:rFonts w:ascii="Cambria" w:eastAsia="Times New Roman" w:hAnsi="Cambria" w:cs="Calibri"/>
                <w:lang w:val="hr-HR"/>
              </w:rPr>
            </w:pPr>
          </w:p>
        </w:tc>
        <w:tc>
          <w:tcPr>
            <w:tcW w:w="2505" w:type="dxa"/>
            <w:gridSpan w:val="2"/>
            <w:tcBorders>
              <w:top w:val="single" w:sz="8" w:space="0" w:color="000000"/>
              <w:left w:val="single" w:sz="8" w:space="0" w:color="000000"/>
              <w:bottom w:val="single" w:sz="8" w:space="0" w:color="000000"/>
              <w:right w:val="single" w:sz="8" w:space="0" w:color="000000"/>
            </w:tcBorders>
          </w:tcPr>
          <w:p w14:paraId="6F1774E8" w14:textId="18AD8313" w:rsidR="00E41BE6" w:rsidRPr="00DF4CE5" w:rsidRDefault="000F57D9" w:rsidP="00E41BE6">
            <w:pPr>
              <w:spacing w:after="0" w:line="240" w:lineRule="auto"/>
              <w:rPr>
                <w:rFonts w:ascii="Cambria" w:eastAsia="Times New Roman" w:hAnsi="Cambria" w:cs="Calibri"/>
                <w:lang w:val="hr-HR"/>
              </w:rPr>
            </w:pPr>
            <w:proofErr w:type="spellStart"/>
            <w:r w:rsidRPr="00DF4CE5">
              <w:rPr>
                <w:rFonts w:ascii="Cambria" w:eastAsia="Times New Roman" w:hAnsi="Cambria" w:cs="Calibri"/>
                <w:lang w:val="it-IT"/>
              </w:rPr>
              <w:t>aktivnost</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na</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nastavi</w:t>
            </w:r>
            <w:proofErr w:type="spellEnd"/>
            <w:r w:rsidR="00E41BE6" w:rsidRPr="00DF4CE5">
              <w:rPr>
                <w:rFonts w:ascii="Cambria" w:eastAsia="Times New Roman" w:hAnsi="Cambria" w:cs="Calibri"/>
                <w:lang w:val="hr-HR"/>
              </w:rPr>
              <w:t xml:space="preserve"> P, S</w:t>
            </w:r>
          </w:p>
        </w:tc>
        <w:tc>
          <w:tcPr>
            <w:tcW w:w="1054" w:type="dxa"/>
            <w:tcBorders>
              <w:top w:val="single" w:sz="8" w:space="0" w:color="000000"/>
              <w:left w:val="single" w:sz="8" w:space="0" w:color="000000"/>
              <w:bottom w:val="single" w:sz="8" w:space="0" w:color="000000"/>
              <w:right w:val="single" w:sz="8" w:space="0" w:color="000000"/>
            </w:tcBorders>
            <w:vAlign w:val="center"/>
          </w:tcPr>
          <w:p w14:paraId="71ECDA78"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 1. ‒ 4.</w:t>
            </w:r>
          </w:p>
        </w:tc>
        <w:tc>
          <w:tcPr>
            <w:tcW w:w="693" w:type="dxa"/>
            <w:gridSpan w:val="2"/>
            <w:tcBorders>
              <w:top w:val="single" w:sz="8" w:space="0" w:color="000000"/>
              <w:left w:val="single" w:sz="8" w:space="0" w:color="000000"/>
              <w:bottom w:val="single" w:sz="8" w:space="0" w:color="000000"/>
              <w:right w:val="single" w:sz="8" w:space="0" w:color="000000"/>
            </w:tcBorders>
            <w:vAlign w:val="center"/>
          </w:tcPr>
          <w:p w14:paraId="268634B1"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 34</w:t>
            </w:r>
          </w:p>
        </w:tc>
        <w:tc>
          <w:tcPr>
            <w:tcW w:w="9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5A030F6"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0,1</w:t>
            </w:r>
          </w:p>
        </w:tc>
        <w:tc>
          <w:tcPr>
            <w:tcW w:w="127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D830BDB"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5 % </w:t>
            </w:r>
          </w:p>
        </w:tc>
      </w:tr>
      <w:tr w:rsidR="00E41BE6" w:rsidRPr="00DF4CE5" w14:paraId="41AC2093" w14:textId="77777777" w:rsidTr="00E41BE6">
        <w:tblPrEx>
          <w:tblCellMar>
            <w:top w:w="0" w:type="dxa"/>
            <w:left w:w="0" w:type="dxa"/>
            <w:bottom w:w="0" w:type="dxa"/>
            <w:right w:w="0" w:type="dxa"/>
          </w:tblCellMar>
        </w:tblPrEx>
        <w:trPr>
          <w:gridBefore w:val="1"/>
          <w:gridAfter w:val="1"/>
          <w:wBefore w:w="10" w:type="dxa"/>
          <w:wAfter w:w="10" w:type="dxa"/>
        </w:trPr>
        <w:tc>
          <w:tcPr>
            <w:tcW w:w="2542" w:type="dxa"/>
            <w:vMerge/>
            <w:tcBorders>
              <w:top w:val="single" w:sz="8" w:space="0" w:color="000000"/>
              <w:left w:val="single" w:sz="8" w:space="0" w:color="000000"/>
              <w:bottom w:val="single" w:sz="8" w:space="0" w:color="000000"/>
              <w:right w:val="single" w:sz="8" w:space="0" w:color="000000"/>
            </w:tcBorders>
            <w:vAlign w:val="center"/>
          </w:tcPr>
          <w:p w14:paraId="34E67C79" w14:textId="77777777" w:rsidR="00E41BE6" w:rsidRPr="00DF4CE5" w:rsidRDefault="00E41BE6" w:rsidP="00E41BE6">
            <w:pPr>
              <w:spacing w:after="0" w:line="240" w:lineRule="auto"/>
              <w:rPr>
                <w:rFonts w:ascii="Cambria" w:eastAsia="Times New Roman" w:hAnsi="Cambria" w:cs="Calibri"/>
                <w:lang w:val="hr-HR"/>
              </w:rPr>
            </w:pPr>
          </w:p>
        </w:tc>
        <w:tc>
          <w:tcPr>
            <w:tcW w:w="2505" w:type="dxa"/>
            <w:gridSpan w:val="2"/>
            <w:tcBorders>
              <w:top w:val="single" w:sz="8" w:space="0" w:color="000000"/>
              <w:left w:val="single" w:sz="8" w:space="0" w:color="000000"/>
              <w:bottom w:val="single" w:sz="8" w:space="0" w:color="000000"/>
              <w:right w:val="single" w:sz="8" w:space="0" w:color="000000"/>
            </w:tcBorders>
          </w:tcPr>
          <w:p w14:paraId="0941ED80"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seminarski uradak</w:t>
            </w:r>
          </w:p>
        </w:tc>
        <w:tc>
          <w:tcPr>
            <w:tcW w:w="1054" w:type="dxa"/>
            <w:tcBorders>
              <w:top w:val="single" w:sz="8" w:space="0" w:color="000000"/>
              <w:left w:val="single" w:sz="8" w:space="0" w:color="000000"/>
              <w:bottom w:val="single" w:sz="8" w:space="0" w:color="000000"/>
              <w:right w:val="single" w:sz="8" w:space="0" w:color="000000"/>
            </w:tcBorders>
            <w:vAlign w:val="center"/>
          </w:tcPr>
          <w:p w14:paraId="4140FC2D"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 1. ‒ 4.</w:t>
            </w:r>
          </w:p>
        </w:tc>
        <w:tc>
          <w:tcPr>
            <w:tcW w:w="693" w:type="dxa"/>
            <w:gridSpan w:val="2"/>
            <w:tcBorders>
              <w:top w:val="single" w:sz="8" w:space="0" w:color="000000"/>
              <w:left w:val="single" w:sz="8" w:space="0" w:color="000000"/>
              <w:bottom w:val="single" w:sz="8" w:space="0" w:color="000000"/>
              <w:right w:val="single" w:sz="8" w:space="0" w:color="000000"/>
            </w:tcBorders>
            <w:vAlign w:val="center"/>
          </w:tcPr>
          <w:p w14:paraId="7517186C"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 6</w:t>
            </w:r>
          </w:p>
        </w:tc>
        <w:tc>
          <w:tcPr>
            <w:tcW w:w="9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210CB6B"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0,4</w:t>
            </w:r>
          </w:p>
        </w:tc>
        <w:tc>
          <w:tcPr>
            <w:tcW w:w="127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95875CE"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15 %</w:t>
            </w:r>
          </w:p>
        </w:tc>
      </w:tr>
      <w:tr w:rsidR="00E41BE6" w:rsidRPr="00DF4CE5" w14:paraId="3701E987" w14:textId="77777777" w:rsidTr="00E41BE6">
        <w:tblPrEx>
          <w:tblCellMar>
            <w:top w:w="0" w:type="dxa"/>
            <w:left w:w="0" w:type="dxa"/>
            <w:bottom w:w="0" w:type="dxa"/>
            <w:right w:w="0" w:type="dxa"/>
          </w:tblCellMar>
        </w:tblPrEx>
        <w:trPr>
          <w:gridBefore w:val="1"/>
          <w:gridAfter w:val="1"/>
          <w:wBefore w:w="10" w:type="dxa"/>
          <w:wAfter w:w="10" w:type="dxa"/>
        </w:trPr>
        <w:tc>
          <w:tcPr>
            <w:tcW w:w="2542" w:type="dxa"/>
            <w:vMerge/>
            <w:tcBorders>
              <w:top w:val="single" w:sz="8" w:space="0" w:color="000000"/>
              <w:left w:val="single" w:sz="8" w:space="0" w:color="000000"/>
              <w:bottom w:val="single" w:sz="8" w:space="0" w:color="000000"/>
              <w:right w:val="single" w:sz="8" w:space="0" w:color="000000"/>
            </w:tcBorders>
            <w:vAlign w:val="center"/>
          </w:tcPr>
          <w:p w14:paraId="036A7ED9" w14:textId="77777777" w:rsidR="00E41BE6" w:rsidRPr="00DF4CE5" w:rsidRDefault="00E41BE6" w:rsidP="00E41BE6">
            <w:pPr>
              <w:spacing w:after="0" w:line="240" w:lineRule="auto"/>
              <w:rPr>
                <w:rFonts w:ascii="Cambria" w:eastAsia="Times New Roman" w:hAnsi="Cambria" w:cs="Calibri"/>
                <w:lang w:val="hr-HR"/>
              </w:rPr>
            </w:pPr>
          </w:p>
        </w:tc>
        <w:tc>
          <w:tcPr>
            <w:tcW w:w="2505" w:type="dxa"/>
            <w:gridSpan w:val="2"/>
            <w:tcBorders>
              <w:top w:val="single" w:sz="8" w:space="0" w:color="000000"/>
              <w:left w:val="single" w:sz="8" w:space="0" w:color="000000"/>
              <w:bottom w:val="single" w:sz="8" w:space="0" w:color="000000"/>
              <w:right w:val="single" w:sz="8" w:space="0" w:color="000000"/>
            </w:tcBorders>
          </w:tcPr>
          <w:p w14:paraId="2790FD56"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it-IT"/>
              </w:rPr>
              <w:t>tri pisana testa</w:t>
            </w:r>
          </w:p>
        </w:tc>
        <w:tc>
          <w:tcPr>
            <w:tcW w:w="1054" w:type="dxa"/>
            <w:tcBorders>
              <w:top w:val="single" w:sz="8" w:space="0" w:color="000000"/>
              <w:left w:val="single" w:sz="8" w:space="0" w:color="000000"/>
              <w:bottom w:val="single" w:sz="8" w:space="0" w:color="000000"/>
              <w:right w:val="single" w:sz="8" w:space="0" w:color="000000"/>
            </w:tcBorders>
            <w:vAlign w:val="center"/>
          </w:tcPr>
          <w:p w14:paraId="0053900E"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 1. ‒ 4.</w:t>
            </w:r>
          </w:p>
        </w:tc>
        <w:tc>
          <w:tcPr>
            <w:tcW w:w="693" w:type="dxa"/>
            <w:gridSpan w:val="2"/>
            <w:tcBorders>
              <w:top w:val="single" w:sz="8" w:space="0" w:color="000000"/>
              <w:left w:val="single" w:sz="8" w:space="0" w:color="000000"/>
              <w:bottom w:val="single" w:sz="8" w:space="0" w:color="000000"/>
              <w:right w:val="single" w:sz="8" w:space="0" w:color="000000"/>
            </w:tcBorders>
            <w:vAlign w:val="center"/>
          </w:tcPr>
          <w:p w14:paraId="20CA2B53"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 10</w:t>
            </w:r>
          </w:p>
        </w:tc>
        <w:tc>
          <w:tcPr>
            <w:tcW w:w="9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6ECD883"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0,4</w:t>
            </w:r>
          </w:p>
        </w:tc>
        <w:tc>
          <w:tcPr>
            <w:tcW w:w="127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73AD4C8"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25 % </w:t>
            </w:r>
          </w:p>
        </w:tc>
      </w:tr>
      <w:tr w:rsidR="00E41BE6" w:rsidRPr="00DF4CE5" w14:paraId="7E55894A" w14:textId="77777777" w:rsidTr="00E41BE6">
        <w:tblPrEx>
          <w:tblCellMar>
            <w:top w:w="0" w:type="dxa"/>
            <w:left w:w="0" w:type="dxa"/>
            <w:bottom w:w="0" w:type="dxa"/>
            <w:right w:w="0" w:type="dxa"/>
          </w:tblCellMar>
        </w:tblPrEx>
        <w:trPr>
          <w:gridBefore w:val="1"/>
          <w:gridAfter w:val="1"/>
          <w:wBefore w:w="10" w:type="dxa"/>
          <w:wAfter w:w="10" w:type="dxa"/>
        </w:trPr>
        <w:tc>
          <w:tcPr>
            <w:tcW w:w="2542" w:type="dxa"/>
            <w:vMerge/>
            <w:tcBorders>
              <w:top w:val="single" w:sz="8" w:space="0" w:color="000000"/>
              <w:left w:val="single" w:sz="8" w:space="0" w:color="000000"/>
              <w:bottom w:val="single" w:sz="8" w:space="0" w:color="000000"/>
              <w:right w:val="single" w:sz="8" w:space="0" w:color="000000"/>
            </w:tcBorders>
            <w:vAlign w:val="center"/>
          </w:tcPr>
          <w:p w14:paraId="5F68B6F5" w14:textId="77777777" w:rsidR="00E41BE6" w:rsidRPr="00DF4CE5" w:rsidRDefault="00E41BE6" w:rsidP="00E41BE6">
            <w:pPr>
              <w:spacing w:after="0" w:line="240" w:lineRule="auto"/>
              <w:rPr>
                <w:rFonts w:ascii="Cambria" w:eastAsia="Times New Roman" w:hAnsi="Cambria" w:cs="Calibri"/>
                <w:lang w:val="hr-HR"/>
              </w:rPr>
            </w:pPr>
          </w:p>
        </w:tc>
        <w:tc>
          <w:tcPr>
            <w:tcW w:w="2505" w:type="dxa"/>
            <w:gridSpan w:val="2"/>
            <w:tcBorders>
              <w:top w:val="single" w:sz="8" w:space="0" w:color="000000"/>
              <w:left w:val="single" w:sz="8" w:space="0" w:color="000000"/>
              <w:bottom w:val="single" w:sz="8" w:space="0" w:color="000000"/>
              <w:right w:val="single" w:sz="8" w:space="0" w:color="000000"/>
            </w:tcBorders>
          </w:tcPr>
          <w:p w14:paraId="4F3FC9D1" w14:textId="77777777" w:rsidR="00E41BE6" w:rsidRPr="00DF4CE5" w:rsidRDefault="00E41BE6" w:rsidP="00E41BE6">
            <w:pPr>
              <w:spacing w:after="0" w:line="240" w:lineRule="auto"/>
              <w:rPr>
                <w:rFonts w:ascii="Cambria" w:eastAsia="Times New Roman" w:hAnsi="Cambria" w:cs="Calibri"/>
                <w:lang w:val="it-IT"/>
              </w:rPr>
            </w:pPr>
            <w:proofErr w:type="spellStart"/>
            <w:r w:rsidRPr="00DF4CE5">
              <w:rPr>
                <w:rFonts w:ascii="Cambria" w:eastAsia="Times New Roman" w:hAnsi="Cambria" w:cs="Calibri"/>
                <w:lang w:val="it-IT"/>
              </w:rPr>
              <w:t>terenski</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obilazak</w:t>
            </w:r>
            <w:proofErr w:type="spellEnd"/>
          </w:p>
        </w:tc>
        <w:tc>
          <w:tcPr>
            <w:tcW w:w="1054" w:type="dxa"/>
            <w:tcBorders>
              <w:top w:val="single" w:sz="8" w:space="0" w:color="000000"/>
              <w:left w:val="single" w:sz="8" w:space="0" w:color="000000"/>
              <w:bottom w:val="single" w:sz="8" w:space="0" w:color="000000"/>
              <w:right w:val="single" w:sz="8" w:space="0" w:color="000000"/>
            </w:tcBorders>
            <w:vAlign w:val="center"/>
          </w:tcPr>
          <w:p w14:paraId="5D2E3795"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 xml:space="preserve"> 1. ‒ 4.</w:t>
            </w:r>
          </w:p>
        </w:tc>
        <w:tc>
          <w:tcPr>
            <w:tcW w:w="693" w:type="dxa"/>
            <w:gridSpan w:val="2"/>
            <w:tcBorders>
              <w:top w:val="single" w:sz="8" w:space="0" w:color="000000"/>
              <w:left w:val="single" w:sz="8" w:space="0" w:color="000000"/>
              <w:bottom w:val="single" w:sz="8" w:space="0" w:color="000000"/>
              <w:right w:val="single" w:sz="8" w:space="0" w:color="000000"/>
            </w:tcBorders>
            <w:vAlign w:val="center"/>
          </w:tcPr>
          <w:p w14:paraId="5117351B"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 xml:space="preserve">   5</w:t>
            </w:r>
          </w:p>
        </w:tc>
        <w:tc>
          <w:tcPr>
            <w:tcW w:w="9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25D2ED2"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0,1</w:t>
            </w:r>
          </w:p>
        </w:tc>
        <w:tc>
          <w:tcPr>
            <w:tcW w:w="127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BD9D1E1"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5 %</w:t>
            </w:r>
          </w:p>
        </w:tc>
      </w:tr>
      <w:tr w:rsidR="00E41BE6" w:rsidRPr="00DF4CE5" w14:paraId="0CEDACDD" w14:textId="77777777" w:rsidTr="00E41BE6">
        <w:tblPrEx>
          <w:tblCellMar>
            <w:top w:w="0" w:type="dxa"/>
            <w:left w:w="0" w:type="dxa"/>
            <w:bottom w:w="0" w:type="dxa"/>
            <w:right w:w="0" w:type="dxa"/>
          </w:tblCellMar>
        </w:tblPrEx>
        <w:trPr>
          <w:gridBefore w:val="1"/>
          <w:gridAfter w:val="1"/>
          <w:wBefore w:w="10" w:type="dxa"/>
          <w:wAfter w:w="10" w:type="dxa"/>
        </w:trPr>
        <w:tc>
          <w:tcPr>
            <w:tcW w:w="2542" w:type="dxa"/>
            <w:vMerge/>
            <w:tcBorders>
              <w:top w:val="single" w:sz="8" w:space="0" w:color="000000"/>
              <w:left w:val="single" w:sz="8" w:space="0" w:color="000000"/>
              <w:bottom w:val="single" w:sz="8" w:space="0" w:color="000000"/>
              <w:right w:val="single" w:sz="8" w:space="0" w:color="000000"/>
            </w:tcBorders>
            <w:vAlign w:val="center"/>
          </w:tcPr>
          <w:p w14:paraId="3280E9F3" w14:textId="77777777" w:rsidR="00E41BE6" w:rsidRPr="00DF4CE5" w:rsidRDefault="00E41BE6" w:rsidP="00E41BE6">
            <w:pPr>
              <w:spacing w:after="0" w:line="240" w:lineRule="auto"/>
              <w:rPr>
                <w:rFonts w:ascii="Cambria" w:eastAsia="Times New Roman" w:hAnsi="Cambria" w:cs="Calibri"/>
                <w:lang w:val="hr-HR"/>
              </w:rPr>
            </w:pPr>
          </w:p>
        </w:tc>
        <w:tc>
          <w:tcPr>
            <w:tcW w:w="2505" w:type="dxa"/>
            <w:gridSpan w:val="2"/>
            <w:tcBorders>
              <w:top w:val="single" w:sz="8" w:space="0" w:color="000000"/>
              <w:left w:val="single" w:sz="8" w:space="0" w:color="000000"/>
              <w:bottom w:val="single" w:sz="8" w:space="0" w:color="000000"/>
              <w:right w:val="single" w:sz="8" w:space="0" w:color="000000"/>
            </w:tcBorders>
          </w:tcPr>
          <w:p w14:paraId="169BD1BE"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završni usmeni ispit</w:t>
            </w:r>
          </w:p>
        </w:tc>
        <w:tc>
          <w:tcPr>
            <w:tcW w:w="1054" w:type="dxa"/>
            <w:tcBorders>
              <w:top w:val="single" w:sz="8" w:space="0" w:color="000000"/>
              <w:left w:val="single" w:sz="8" w:space="0" w:color="000000"/>
              <w:bottom w:val="single" w:sz="8" w:space="0" w:color="000000"/>
              <w:right w:val="single" w:sz="8" w:space="0" w:color="000000"/>
            </w:tcBorders>
            <w:vAlign w:val="center"/>
          </w:tcPr>
          <w:p w14:paraId="72CA1DEB"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 1. ‒ 4.</w:t>
            </w:r>
          </w:p>
        </w:tc>
        <w:tc>
          <w:tcPr>
            <w:tcW w:w="693" w:type="dxa"/>
            <w:gridSpan w:val="2"/>
            <w:tcBorders>
              <w:top w:val="single" w:sz="8" w:space="0" w:color="000000"/>
              <w:left w:val="single" w:sz="8" w:space="0" w:color="000000"/>
              <w:bottom w:val="single" w:sz="8" w:space="0" w:color="000000"/>
              <w:right w:val="single" w:sz="8" w:space="0" w:color="000000"/>
            </w:tcBorders>
            <w:vAlign w:val="center"/>
          </w:tcPr>
          <w:p w14:paraId="4EEAAD8B"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 35</w:t>
            </w:r>
          </w:p>
        </w:tc>
        <w:tc>
          <w:tcPr>
            <w:tcW w:w="9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C107A00"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2</w:t>
            </w:r>
          </w:p>
        </w:tc>
        <w:tc>
          <w:tcPr>
            <w:tcW w:w="127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F2516EF"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50 %</w:t>
            </w:r>
          </w:p>
        </w:tc>
      </w:tr>
      <w:tr w:rsidR="00E41BE6" w:rsidRPr="00DF4CE5" w14:paraId="0CF1895F" w14:textId="77777777" w:rsidTr="00E41BE6">
        <w:tblPrEx>
          <w:tblCellMar>
            <w:top w:w="0" w:type="dxa"/>
            <w:left w:w="0" w:type="dxa"/>
            <w:bottom w:w="0" w:type="dxa"/>
            <w:right w:w="0" w:type="dxa"/>
          </w:tblCellMar>
        </w:tblPrEx>
        <w:trPr>
          <w:gridBefore w:val="1"/>
          <w:gridAfter w:val="1"/>
          <w:wBefore w:w="10" w:type="dxa"/>
          <w:wAfter w:w="10" w:type="dxa"/>
        </w:trPr>
        <w:tc>
          <w:tcPr>
            <w:tcW w:w="2542" w:type="dxa"/>
            <w:vMerge/>
            <w:tcBorders>
              <w:top w:val="single" w:sz="8" w:space="0" w:color="000000"/>
              <w:left w:val="single" w:sz="8" w:space="0" w:color="000000"/>
              <w:bottom w:val="single" w:sz="8" w:space="0" w:color="000000"/>
              <w:right w:val="single" w:sz="8" w:space="0" w:color="000000"/>
            </w:tcBorders>
            <w:vAlign w:val="center"/>
          </w:tcPr>
          <w:p w14:paraId="150D4C31" w14:textId="77777777" w:rsidR="00E41BE6" w:rsidRPr="00DF4CE5" w:rsidRDefault="00E41BE6" w:rsidP="00E41BE6">
            <w:pPr>
              <w:spacing w:after="0" w:line="240" w:lineRule="auto"/>
              <w:rPr>
                <w:rFonts w:ascii="Cambria" w:eastAsia="Times New Roman" w:hAnsi="Cambria" w:cs="Calibri"/>
                <w:lang w:val="hr-HR"/>
              </w:rPr>
            </w:pPr>
          </w:p>
        </w:tc>
        <w:tc>
          <w:tcPr>
            <w:tcW w:w="3559" w:type="dxa"/>
            <w:gridSpan w:val="3"/>
            <w:tcBorders>
              <w:top w:val="single" w:sz="8" w:space="0" w:color="000000"/>
              <w:left w:val="single" w:sz="8" w:space="0" w:color="000000"/>
              <w:bottom w:val="single" w:sz="8" w:space="0" w:color="000000"/>
              <w:right w:val="single" w:sz="8" w:space="0" w:color="000000"/>
            </w:tcBorders>
          </w:tcPr>
          <w:p w14:paraId="3A30A63A" w14:textId="3211F0D0" w:rsidR="00E41BE6" w:rsidRPr="00DF4CE5" w:rsidRDefault="000D37F8" w:rsidP="00E41BE6">
            <w:pPr>
              <w:spacing w:after="0" w:line="240" w:lineRule="auto"/>
              <w:rPr>
                <w:rFonts w:ascii="Cambria" w:eastAsia="Times New Roman" w:hAnsi="Cambria" w:cs="Calibri"/>
                <w:lang w:val="hr-HR"/>
              </w:rPr>
            </w:pPr>
            <w:proofErr w:type="spellStart"/>
            <w:r>
              <w:rPr>
                <w:rFonts w:ascii="Cambria" w:eastAsia="Times New Roman" w:hAnsi="Cambria" w:cs="Calibri"/>
                <w:lang w:val="it-IT"/>
              </w:rPr>
              <w:t>u</w:t>
            </w:r>
            <w:r w:rsidR="00E41BE6" w:rsidRPr="00DF4CE5">
              <w:rPr>
                <w:rFonts w:ascii="Cambria" w:eastAsia="Times New Roman" w:hAnsi="Cambria" w:cs="Calibri"/>
                <w:lang w:val="it-IT"/>
              </w:rPr>
              <w:t>kupno</w:t>
            </w:r>
            <w:proofErr w:type="spellEnd"/>
          </w:p>
        </w:tc>
        <w:tc>
          <w:tcPr>
            <w:tcW w:w="69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765E246"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90</w:t>
            </w:r>
          </w:p>
        </w:tc>
        <w:tc>
          <w:tcPr>
            <w:tcW w:w="9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AA68427"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3</w:t>
            </w:r>
          </w:p>
        </w:tc>
        <w:tc>
          <w:tcPr>
            <w:tcW w:w="127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128953A"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100 %</w:t>
            </w:r>
          </w:p>
        </w:tc>
      </w:tr>
      <w:tr w:rsidR="00E41BE6" w:rsidRPr="00DF4CE5" w14:paraId="1AE015D1" w14:textId="77777777" w:rsidTr="00E41BE6">
        <w:tblPrEx>
          <w:tblCellMar>
            <w:top w:w="0" w:type="dxa"/>
            <w:left w:w="0" w:type="dxa"/>
            <w:bottom w:w="0" w:type="dxa"/>
            <w:right w:w="0" w:type="dxa"/>
          </w:tblCellMar>
        </w:tblPrEx>
        <w:trPr>
          <w:gridBefore w:val="1"/>
          <w:gridAfter w:val="1"/>
          <w:wBefore w:w="10" w:type="dxa"/>
          <w:wAfter w:w="10" w:type="dxa"/>
        </w:trPr>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92FB6F0"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lastRenderedPageBreak/>
              <w:t>Studentske obveze</w:t>
            </w:r>
          </w:p>
        </w:tc>
        <w:tc>
          <w:tcPr>
            <w:tcW w:w="6510"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689E7B9"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Da bi položio predmet, student mora:</w:t>
            </w:r>
          </w:p>
          <w:p w14:paraId="138B6DD4"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1. redovito pohađati i pozorno pratiti nastavu (iznimno se toleriraju samo opravdani izostanci)</w:t>
            </w:r>
          </w:p>
          <w:p w14:paraId="67011007"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 xml:space="preserve">2. održati seminarsko izlaganje na nastavi </w:t>
            </w:r>
          </w:p>
          <w:p w14:paraId="2ED0D2F8"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3. položiti sva tri pisana testa</w:t>
            </w:r>
          </w:p>
          <w:p w14:paraId="1C3A3DFA"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4. napisati i na vrijeme predati seminarski uradak</w:t>
            </w:r>
          </w:p>
          <w:p w14:paraId="0168570C"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5. položiti završni usmeni ispit.</w:t>
            </w:r>
          </w:p>
        </w:tc>
      </w:tr>
      <w:tr w:rsidR="00E41BE6" w:rsidRPr="00D0399C" w14:paraId="3CA73058" w14:textId="77777777" w:rsidTr="00E41BE6">
        <w:tblPrEx>
          <w:tblCellMar>
            <w:top w:w="0" w:type="dxa"/>
            <w:left w:w="0" w:type="dxa"/>
            <w:bottom w:w="0" w:type="dxa"/>
            <w:right w:w="0" w:type="dxa"/>
          </w:tblCellMar>
        </w:tblPrEx>
        <w:trPr>
          <w:gridBefore w:val="1"/>
          <w:gridAfter w:val="1"/>
          <w:wBefore w:w="10" w:type="dxa"/>
          <w:wAfter w:w="10" w:type="dxa"/>
        </w:trPr>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1B1BE15"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Rokovi ispita i testova</w:t>
            </w:r>
          </w:p>
        </w:tc>
        <w:tc>
          <w:tcPr>
            <w:tcW w:w="6510"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AD5F1BA" w14:textId="77777777" w:rsidR="00E41BE6" w:rsidRPr="00DF4CE5" w:rsidRDefault="00E41BE6" w:rsidP="00E41BE6">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Ispitni rokovi objavljuju se početkom akademske godine, a datumi testova na prvom predavanju.</w:t>
            </w:r>
          </w:p>
        </w:tc>
      </w:tr>
      <w:tr w:rsidR="00E41BE6" w:rsidRPr="000D37F8" w14:paraId="5E11D731" w14:textId="77777777" w:rsidTr="00E41BE6">
        <w:tblPrEx>
          <w:tblCellMar>
            <w:top w:w="0" w:type="dxa"/>
            <w:left w:w="0" w:type="dxa"/>
            <w:bottom w:w="0" w:type="dxa"/>
            <w:right w:w="0" w:type="dxa"/>
          </w:tblCellMar>
        </w:tblPrEx>
        <w:trPr>
          <w:gridBefore w:val="1"/>
          <w:gridAfter w:val="1"/>
          <w:wBefore w:w="10" w:type="dxa"/>
          <w:wAfter w:w="10" w:type="dxa"/>
        </w:trPr>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4F671F0"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 xml:space="preserve">Ostale važne činjenice </w:t>
            </w:r>
            <w:r w:rsidRPr="00DF4CE5">
              <w:rPr>
                <w:rFonts w:ascii="Cambria" w:eastAsia="Times New Roman" w:hAnsi="Cambria" w:cs="Calibri"/>
                <w:lang w:val="pl-PL"/>
              </w:rPr>
              <w:t>vezane uz kolegij</w:t>
            </w:r>
          </w:p>
        </w:tc>
        <w:tc>
          <w:tcPr>
            <w:tcW w:w="6510"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D7DF974" w14:textId="77777777" w:rsidR="00E41BE6" w:rsidRPr="00DF4CE5" w:rsidRDefault="00E41BE6" w:rsidP="00E41BE6">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1. Nastava se izvodi u obliku predavanja, seminara, konzultacija (osobno u kabinetu i putem e-maila) i mentorskog rada. Nazočnost na nastavi podrazumijeva se od početka do završetka sata.</w:t>
            </w:r>
          </w:p>
          <w:p w14:paraId="54D794F5" w14:textId="77777777" w:rsidR="00E41BE6" w:rsidRPr="00DF4CE5" w:rsidRDefault="00E41BE6" w:rsidP="00E41BE6">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2. Predavanja su zamišljena kao pregledna izlaganja odabranih tema i ne pokrivaju čitavu ispitnu literaturu jer se od studenata očekuje i sposobnost samostalnog intelektualnog rada. </w:t>
            </w:r>
          </w:p>
          <w:p w14:paraId="6D7A4F39" w14:textId="77777777" w:rsidR="00E41BE6" w:rsidRPr="00DF4CE5" w:rsidRDefault="00E41BE6" w:rsidP="00E41BE6">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3. Kontinuirana provjera znanja: provodi se tri puta u semestru (datumi se obznanjuju na uvodnom predavanju). Svaki test ima 10 pitanja, a donosi najviše 10 % udjela u ocjeni (1 točan odgovor = 1 % udjela u ocjeni). Student koji nema najmanje 5 točnih odgovora dobiva 0 % udjela u ocjeni. U posljednjem tjednu nastave održavaju se popravni testovi za sve tri provjere znanja. Ako žele, popravne testove mogu pisati studenti koji nisu položili neki redoviti test, a moraju ih pisati oni koji iz opravdanog razloga nisu bili na sva tri redovita testa. Opravdani razlog mora biti pravovremeno i valjano dokumentiran; u suprotnom se nedolazak na test računa kao 0 % ocjene. Konačni rezultat iz testa računa se kao srednja ocjena redovitog i popravnog testa. Studenti koji nisu pisali ni redoviti ni popravni test gube pravo pristupa završnom ispitu i trebaju ponovno upisati predmet u sljedećoj akademskoj godini.</w:t>
            </w:r>
          </w:p>
          <w:p w14:paraId="083E1DD8" w14:textId="77777777" w:rsidR="00E41BE6" w:rsidRPr="00DF4CE5" w:rsidRDefault="00E41BE6" w:rsidP="00E41BE6">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4. Seminarski uradak (s prezentacijom na satu) ocjenjuje se prema kvaliteti obavljenog rada, pri čemu se u obzir uzimaju ovi elementi: sposobnost sastavljanja suvislog uratka (s naslovnicom, uvodom, razradom teme, zaključkom i popisom literature), jasno razlučivanje bitnih i nebitnih činjenica, količina pravopisnih pogrešaka i izvornost rada (istraživanje i korištenje neobjavljene arhivske građe ili pisanje prema postojećoj literaturi). Kod prezentacije na nastavi ocjenjivat će se i vještina izlaganja (suvislost, jasnoća, preglednost i sl.). Tema rada je po slobodnom odabiru, pri čemu će se posebice cijeniti analiza nekog arhivskog dokumenta, knjige, male povijesne „sinteze“ pojedinih mjesta i sl. Tekst je potrebno dostaviti do unaprijed dogovorenog datuma, a postoji i mogućnost njegovog kasnijeg proširivanja u diplomski rad.</w:t>
            </w:r>
          </w:p>
          <w:p w14:paraId="520B9CBE"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5. Obveza je studenata nazočiti svakom predavanju i svakom seminarskom satu, a valjano opravdanje izostanka u obzir se uzima samo u iznimnim slučajevima (nesreća, bolest i sl.)</w:t>
            </w:r>
          </w:p>
          <w:p w14:paraId="2289047C"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6. Dan-dva prije svakog izlaska na ispit, studenti su dužni provjeriti datum i sat njegovog održavanja.</w:t>
            </w:r>
          </w:p>
          <w:p w14:paraId="7D7DCC41" w14:textId="349A487D"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 xml:space="preserve">U slučaju održavanja nastave na daljinu, moguće je odstupanje u: mjestu izvođenja kolegija, provedbi aktivnosti, metoda tumačenja i poučavanja i načinima vrednovanja, studentskim obvezama i dostupnoj literaturi. O tome će nositelj kolegija obavijestiti </w:t>
            </w:r>
            <w:r w:rsidRPr="00DF4CE5">
              <w:rPr>
                <w:rFonts w:ascii="Cambria" w:eastAsia="Times New Roman" w:hAnsi="Cambria" w:cs="Calibri"/>
                <w:lang w:val="hr-HR"/>
              </w:rPr>
              <w:lastRenderedPageBreak/>
              <w:t>studente i studentice kad se nastava na daljinu počne održavati. Ishodi učenja ostaju nepromijenjeni.</w:t>
            </w:r>
          </w:p>
        </w:tc>
      </w:tr>
      <w:tr w:rsidR="00E41BE6" w:rsidRPr="00D0399C" w14:paraId="27D026BB" w14:textId="77777777" w:rsidTr="00E41BE6">
        <w:tblPrEx>
          <w:tblCellMar>
            <w:top w:w="0" w:type="dxa"/>
            <w:left w:w="0" w:type="dxa"/>
            <w:bottom w:w="0" w:type="dxa"/>
            <w:right w:w="0" w:type="dxa"/>
          </w:tblCellMar>
        </w:tblPrEx>
        <w:trPr>
          <w:gridBefore w:val="1"/>
          <w:gridAfter w:val="1"/>
          <w:wBefore w:w="10" w:type="dxa"/>
          <w:wAfter w:w="10" w:type="dxa"/>
          <w:trHeight w:val="770"/>
        </w:trPr>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D795D1F"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lastRenderedPageBreak/>
              <w:br w:type="page"/>
              <w:t>Literatura</w:t>
            </w:r>
          </w:p>
        </w:tc>
        <w:tc>
          <w:tcPr>
            <w:tcW w:w="6510"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63F664CC" w14:textId="7992CF31" w:rsidR="00E41BE6" w:rsidRPr="00DF4CE5" w:rsidRDefault="00E41BE6" w:rsidP="000D37F8">
            <w:pPr>
              <w:spacing w:after="0" w:line="240" w:lineRule="auto"/>
              <w:rPr>
                <w:rFonts w:ascii="Cambria" w:eastAsia="Times New Roman" w:hAnsi="Cambria" w:cs="Calibri"/>
                <w:lang w:val="hr-HR"/>
              </w:rPr>
            </w:pPr>
            <w:r w:rsidRPr="00DF4CE5">
              <w:rPr>
                <w:rFonts w:ascii="Cambria" w:eastAsia="Times New Roman" w:hAnsi="Cambria" w:cs="Calibri"/>
                <w:lang w:val="hr-HR"/>
              </w:rPr>
              <w:t>Ob</w:t>
            </w:r>
            <w:r w:rsidR="000D37F8">
              <w:rPr>
                <w:rFonts w:ascii="Cambria" w:eastAsia="Times New Roman" w:hAnsi="Cambria" w:cs="Calibri"/>
                <w:lang w:val="hr-HR"/>
              </w:rPr>
              <w:t>avezna</w:t>
            </w:r>
            <w:r w:rsidRPr="00DF4CE5">
              <w:rPr>
                <w:rFonts w:ascii="Cambria" w:eastAsia="Times New Roman" w:hAnsi="Cambria" w:cs="Calibri"/>
                <w:lang w:val="hr-HR"/>
              </w:rPr>
              <w:t xml:space="preserve">: </w:t>
            </w:r>
          </w:p>
          <w:p w14:paraId="6E328727" w14:textId="1DDBBF20" w:rsidR="00E41BE6" w:rsidRPr="00DF4CE5" w:rsidRDefault="00E41BE6" w:rsidP="000D37F8">
            <w:pPr>
              <w:spacing w:after="0" w:line="240" w:lineRule="auto"/>
              <w:rPr>
                <w:rFonts w:ascii="Cambria" w:eastAsia="Times New Roman" w:hAnsi="Cambria" w:cs="Calibri"/>
                <w:lang w:val="hr-HR" w:eastAsia="hr-HR"/>
              </w:rPr>
            </w:pPr>
            <w:r w:rsidRPr="00DF4CE5">
              <w:rPr>
                <w:rFonts w:ascii="Cambria" w:eastAsia="Times New Roman" w:hAnsi="Cambria" w:cs="Segoe UI Symbol"/>
                <w:lang w:val="hr-HR" w:eastAsia="hr-HR"/>
              </w:rPr>
              <w:t xml:space="preserve">1. </w:t>
            </w:r>
            <w:r w:rsidRPr="00DF4CE5">
              <w:rPr>
                <w:rFonts w:ascii="Cambria" w:eastAsia="Times New Roman" w:hAnsi="Cambria" w:cs="Calibri"/>
                <w:lang w:val="hr-HR" w:eastAsia="hr-HR"/>
              </w:rPr>
              <w:t>Dragutin Pavličević, „Povijest Hrvatske”, Zagreb 2000. (ili kasnija izdanja): 1. test: str. 17.-198.; 2. test: str. 199.-372.; 3. test: str. 373.-560.</w:t>
            </w:r>
          </w:p>
          <w:p w14:paraId="2377C5B3" w14:textId="77777777" w:rsidR="00E41BE6" w:rsidRPr="00DF4CE5" w:rsidRDefault="00E41BE6" w:rsidP="000D37F8">
            <w:pPr>
              <w:spacing w:after="0" w:line="240" w:lineRule="auto"/>
              <w:rPr>
                <w:rFonts w:ascii="Cambria" w:eastAsia="Times New Roman" w:hAnsi="Cambria" w:cs="Calibri"/>
                <w:lang w:val="hr-HR"/>
              </w:rPr>
            </w:pPr>
            <w:r w:rsidRPr="00DF4CE5">
              <w:rPr>
                <w:rFonts w:ascii="Cambria" w:eastAsia="Times New Roman" w:hAnsi="Cambria" w:cs="Calibri"/>
                <w:lang w:val="hr-HR"/>
              </w:rPr>
              <w:t>Izborna:</w:t>
            </w:r>
          </w:p>
          <w:p w14:paraId="44E83879" w14:textId="77777777" w:rsidR="00E41BE6" w:rsidRPr="00DF4CE5" w:rsidRDefault="00E41BE6" w:rsidP="000D37F8">
            <w:pPr>
              <w:spacing w:after="0" w:line="240" w:lineRule="auto"/>
              <w:rPr>
                <w:rFonts w:ascii="Cambria" w:eastAsia="Times New Roman" w:hAnsi="Cambria" w:cs="Calibri"/>
                <w:lang w:val="hr-HR"/>
              </w:rPr>
            </w:pPr>
            <w:r w:rsidRPr="00DF4CE5">
              <w:rPr>
                <w:rFonts w:ascii="Cambria" w:eastAsia="Times New Roman" w:hAnsi="Cambria" w:cs="Calibri"/>
                <w:lang w:val="hr-HR"/>
              </w:rPr>
              <w:t xml:space="preserve">1. Miroslav </w:t>
            </w:r>
            <w:proofErr w:type="spellStart"/>
            <w:r w:rsidRPr="00DF4CE5">
              <w:rPr>
                <w:rFonts w:ascii="Cambria" w:eastAsia="Times New Roman" w:hAnsi="Cambria" w:cs="Calibri"/>
                <w:lang w:val="hr-HR"/>
              </w:rPr>
              <w:t>Bertoša</w:t>
            </w:r>
            <w:proofErr w:type="spellEnd"/>
            <w:r w:rsidRPr="00DF4CE5">
              <w:rPr>
                <w:rFonts w:ascii="Cambria" w:eastAsia="Times New Roman" w:hAnsi="Cambria" w:cs="Calibri"/>
                <w:lang w:val="hr-HR"/>
              </w:rPr>
              <w:t>, „Istra: Doba Venecije (XVI.-XVIII. stoljeće)“, Pula 1995.</w:t>
            </w:r>
          </w:p>
          <w:p w14:paraId="1BCB48A2" w14:textId="77777777" w:rsidR="00E41BE6" w:rsidRPr="00DF4CE5" w:rsidRDefault="00E41BE6" w:rsidP="000D37F8">
            <w:pPr>
              <w:spacing w:after="0" w:line="240" w:lineRule="auto"/>
              <w:rPr>
                <w:rFonts w:ascii="Cambria" w:eastAsia="Times New Roman" w:hAnsi="Cambria" w:cs="Calibri"/>
                <w:lang w:val="hr-HR"/>
              </w:rPr>
            </w:pPr>
            <w:r w:rsidRPr="00DF4CE5">
              <w:rPr>
                <w:rFonts w:ascii="Cambria" w:eastAsia="Times New Roman" w:hAnsi="Cambria" w:cs="Calibri"/>
                <w:lang w:val="hr-HR"/>
              </w:rPr>
              <w:t xml:space="preserve">2. Slaven </w:t>
            </w:r>
            <w:proofErr w:type="spellStart"/>
            <w:r w:rsidRPr="00DF4CE5">
              <w:rPr>
                <w:rFonts w:ascii="Cambria" w:eastAsia="Times New Roman" w:hAnsi="Cambria" w:cs="Calibri"/>
                <w:lang w:val="hr-HR"/>
              </w:rPr>
              <w:t>Bertoša</w:t>
            </w:r>
            <w:proofErr w:type="spellEnd"/>
            <w:r w:rsidRPr="00DF4CE5">
              <w:rPr>
                <w:rFonts w:ascii="Cambria" w:eastAsia="Times New Roman" w:hAnsi="Cambria" w:cs="Calibri"/>
                <w:lang w:val="hr-HR"/>
              </w:rPr>
              <w:t>, „Život i smrt u Puli. Starosjeditelji i doseljenici od XVII. do početka XIX. stoljeća”, Pula 2002.</w:t>
            </w:r>
          </w:p>
          <w:p w14:paraId="60AE3E0D" w14:textId="77777777" w:rsidR="00E41BE6" w:rsidRPr="00DF4CE5" w:rsidRDefault="00E41BE6" w:rsidP="000D37F8">
            <w:pPr>
              <w:spacing w:after="0" w:line="240" w:lineRule="auto"/>
              <w:rPr>
                <w:rFonts w:ascii="Cambria" w:eastAsia="Times New Roman" w:hAnsi="Cambria" w:cs="Calibri"/>
                <w:lang w:val="hr-HR"/>
              </w:rPr>
            </w:pPr>
            <w:r w:rsidRPr="00DF4CE5">
              <w:rPr>
                <w:rFonts w:ascii="Cambria" w:eastAsia="Times New Roman" w:hAnsi="Cambria" w:cs="Calibri"/>
                <w:lang w:val="hr-HR"/>
              </w:rPr>
              <w:t xml:space="preserve">3. Ivan </w:t>
            </w:r>
            <w:proofErr w:type="spellStart"/>
            <w:r w:rsidRPr="00DF4CE5">
              <w:rPr>
                <w:rFonts w:ascii="Cambria" w:eastAsia="Times New Roman" w:hAnsi="Cambria" w:cs="Calibri"/>
                <w:lang w:val="hr-HR"/>
              </w:rPr>
              <w:t>Kampuš</w:t>
            </w:r>
            <w:proofErr w:type="spellEnd"/>
            <w:r w:rsidRPr="00DF4CE5">
              <w:rPr>
                <w:rFonts w:ascii="Cambria" w:eastAsia="Times New Roman" w:hAnsi="Cambria" w:cs="Calibri"/>
                <w:lang w:val="hr-HR"/>
              </w:rPr>
              <w:t xml:space="preserve"> – Igor Karaman, „Tisućljetni Zagreb”, Zagreb 1994.</w:t>
            </w:r>
          </w:p>
          <w:p w14:paraId="178F5257" w14:textId="77777777" w:rsidR="00E41BE6" w:rsidRPr="00DF4CE5" w:rsidRDefault="00E41BE6" w:rsidP="000D37F8">
            <w:pPr>
              <w:spacing w:after="0" w:line="240" w:lineRule="auto"/>
              <w:rPr>
                <w:rFonts w:ascii="Cambria" w:eastAsia="Times New Roman" w:hAnsi="Cambria" w:cs="Calibri"/>
                <w:lang w:val="hr-HR" w:eastAsia="hr-HR"/>
              </w:rPr>
            </w:pPr>
            <w:r w:rsidRPr="00DF4CE5">
              <w:rPr>
                <w:rFonts w:ascii="Cambria" w:eastAsia="Times New Roman" w:hAnsi="Cambria" w:cs="Segoe UI Symbol"/>
                <w:lang w:val="hr-HR" w:eastAsia="hr-HR"/>
              </w:rPr>
              <w:t xml:space="preserve">4. </w:t>
            </w:r>
            <w:r w:rsidRPr="00DF4CE5">
              <w:rPr>
                <w:rFonts w:ascii="Cambria" w:eastAsia="Times New Roman" w:hAnsi="Cambria" w:cs="Calibri"/>
                <w:lang w:val="hr-HR" w:eastAsia="hr-HR"/>
              </w:rPr>
              <w:t xml:space="preserve"> „</w:t>
            </w:r>
            <w:r w:rsidRPr="00DF4CE5">
              <w:rPr>
                <w:rFonts w:ascii="Cambria" w:eastAsia="Times New Roman" w:hAnsi="Cambria" w:cs="Calibri"/>
                <w:lang w:val="pl-PL" w:eastAsia="hr-HR"/>
              </w:rPr>
              <w:t>Crkva u Istri</w:t>
            </w:r>
            <w:r w:rsidRPr="00DF4CE5">
              <w:rPr>
                <w:rFonts w:ascii="Cambria" w:eastAsia="Times New Roman" w:hAnsi="Cambria" w:cs="Calibri"/>
                <w:lang w:val="hr-HR" w:eastAsia="hr-HR"/>
              </w:rPr>
              <w:t xml:space="preserve">: </w:t>
            </w:r>
            <w:r w:rsidRPr="00DF4CE5">
              <w:rPr>
                <w:rFonts w:ascii="Cambria" w:eastAsia="Times New Roman" w:hAnsi="Cambria" w:cs="Calibri"/>
                <w:lang w:val="pl-PL" w:eastAsia="hr-HR"/>
              </w:rPr>
              <w:t>osobe</w:t>
            </w:r>
            <w:r w:rsidRPr="00DF4CE5">
              <w:rPr>
                <w:rFonts w:ascii="Cambria" w:eastAsia="Times New Roman" w:hAnsi="Cambria" w:cs="Calibri"/>
                <w:lang w:val="hr-HR" w:eastAsia="hr-HR"/>
              </w:rPr>
              <w:t xml:space="preserve">, </w:t>
            </w:r>
            <w:r w:rsidRPr="00DF4CE5">
              <w:rPr>
                <w:rFonts w:ascii="Cambria" w:eastAsia="Times New Roman" w:hAnsi="Cambria" w:cs="Calibri"/>
                <w:lang w:val="pl-PL" w:eastAsia="hr-HR"/>
              </w:rPr>
              <w:t>mjesta i drugi podaci pore</w:t>
            </w:r>
            <w:r w:rsidRPr="00DF4CE5">
              <w:rPr>
                <w:rFonts w:ascii="Cambria" w:eastAsia="Times New Roman" w:hAnsi="Cambria" w:cs="Calibri"/>
                <w:lang w:val="hr-HR" w:eastAsia="hr-HR"/>
              </w:rPr>
              <w:t>č</w:t>
            </w:r>
            <w:r w:rsidRPr="00DF4CE5">
              <w:rPr>
                <w:rFonts w:ascii="Cambria" w:eastAsia="Times New Roman" w:hAnsi="Cambria" w:cs="Calibri"/>
                <w:lang w:val="pl-PL" w:eastAsia="hr-HR"/>
              </w:rPr>
              <w:t>ke i pulske  biskupije</w:t>
            </w:r>
            <w:r w:rsidRPr="00DF4CE5">
              <w:rPr>
                <w:rFonts w:ascii="Cambria" w:eastAsia="Times New Roman" w:hAnsi="Cambria" w:cs="Calibri"/>
                <w:lang w:val="hr-HR" w:eastAsia="hr-HR"/>
              </w:rPr>
              <w:t>” (</w:t>
            </w:r>
            <w:r w:rsidRPr="00DF4CE5">
              <w:rPr>
                <w:rFonts w:ascii="Cambria" w:eastAsia="Times New Roman" w:hAnsi="Cambria" w:cs="Calibri"/>
                <w:lang w:val="pl-PL" w:eastAsia="hr-HR"/>
              </w:rPr>
              <w:t>ured</w:t>
            </w:r>
            <w:r w:rsidRPr="00DF4CE5">
              <w:rPr>
                <w:rFonts w:ascii="Cambria" w:eastAsia="Times New Roman" w:hAnsi="Cambria" w:cs="Calibri"/>
                <w:lang w:val="hr-HR" w:eastAsia="hr-HR"/>
              </w:rPr>
              <w:t>. Marijan Bartolić i Ivan Grah), Pazin 1991.</w:t>
            </w:r>
          </w:p>
          <w:p w14:paraId="7056905F" w14:textId="77777777" w:rsidR="00E41BE6" w:rsidRPr="00DF4CE5" w:rsidRDefault="00E41BE6" w:rsidP="000D37F8">
            <w:pPr>
              <w:spacing w:after="0" w:line="240" w:lineRule="auto"/>
              <w:rPr>
                <w:rFonts w:ascii="Cambria" w:eastAsia="Times New Roman" w:hAnsi="Cambria" w:cs="Calibri"/>
                <w:lang w:val="hr-HR" w:eastAsia="hr-HR"/>
              </w:rPr>
            </w:pPr>
            <w:r w:rsidRPr="00DF4CE5">
              <w:rPr>
                <w:rFonts w:ascii="Cambria" w:eastAsia="Times New Roman" w:hAnsi="Cambria" w:cs="Calibri"/>
                <w:lang w:val="hr-HR" w:eastAsia="hr-HR"/>
              </w:rPr>
              <w:t>5. Dražen Vlahov, „</w:t>
            </w:r>
            <w:proofErr w:type="spellStart"/>
            <w:r w:rsidRPr="00DF4CE5">
              <w:rPr>
                <w:rFonts w:ascii="Cambria" w:eastAsia="Times New Roman" w:hAnsi="Cambria" w:cs="Calibri"/>
                <w:lang w:val="hr-HR" w:eastAsia="hr-HR"/>
              </w:rPr>
              <w:t>Boljunska</w:t>
            </w:r>
            <w:proofErr w:type="spellEnd"/>
            <w:r w:rsidRPr="00DF4CE5">
              <w:rPr>
                <w:rFonts w:ascii="Cambria" w:eastAsia="Times New Roman" w:hAnsi="Cambria" w:cs="Calibri"/>
                <w:lang w:val="hr-HR" w:eastAsia="hr-HR"/>
              </w:rPr>
              <w:t xml:space="preserve"> kronika”, Poreč 2006.</w:t>
            </w:r>
          </w:p>
          <w:p w14:paraId="43ED7244" w14:textId="77777777" w:rsidR="00E41BE6" w:rsidRPr="00DF4CE5" w:rsidRDefault="00E41BE6" w:rsidP="000D37F8">
            <w:pPr>
              <w:spacing w:after="0" w:line="240" w:lineRule="auto"/>
              <w:rPr>
                <w:rFonts w:ascii="Cambria" w:eastAsia="Times New Roman" w:hAnsi="Cambria" w:cs="Calibri"/>
                <w:lang w:val="hr-HR"/>
              </w:rPr>
            </w:pPr>
            <w:r w:rsidRPr="00DF4CE5">
              <w:rPr>
                <w:rFonts w:ascii="Cambria" w:eastAsia="Times New Roman" w:hAnsi="Cambria" w:cs="Segoe UI Symbol"/>
                <w:lang w:val="hr-HR"/>
              </w:rPr>
              <w:t xml:space="preserve">6. </w:t>
            </w:r>
            <w:r w:rsidRPr="00DF4CE5">
              <w:rPr>
                <w:rFonts w:ascii="Cambria" w:eastAsia="Times New Roman" w:hAnsi="Cambria" w:cs="Calibri"/>
                <w:lang w:val="hr-HR"/>
              </w:rPr>
              <w:t xml:space="preserve"> Julijano Sokolić, „Zavičajni kalendar cresko-lošinjskoga otočja”, Mali Lošinj 2008.</w:t>
            </w:r>
          </w:p>
          <w:p w14:paraId="074567F5" w14:textId="77777777" w:rsidR="00E41BE6" w:rsidRPr="00DF4CE5" w:rsidRDefault="00E41BE6" w:rsidP="000D37F8">
            <w:pPr>
              <w:spacing w:after="0" w:line="240" w:lineRule="auto"/>
              <w:rPr>
                <w:rFonts w:ascii="Cambria" w:eastAsia="Times New Roman" w:hAnsi="Cambria" w:cs="Calibri"/>
                <w:lang w:val="hr-HR"/>
              </w:rPr>
            </w:pPr>
            <w:r w:rsidRPr="00DF4CE5">
              <w:rPr>
                <w:rFonts w:ascii="Cambria" w:eastAsia="Times New Roman" w:hAnsi="Cambria" w:cs="Calibri"/>
                <w:lang w:val="hr-HR"/>
              </w:rPr>
              <w:t xml:space="preserve">7. </w:t>
            </w:r>
            <w:r w:rsidRPr="00DF4CE5">
              <w:rPr>
                <w:rFonts w:ascii="Cambria" w:eastAsia="Times New Roman" w:hAnsi="Cambria" w:cs="Calibri"/>
                <w:lang w:val="pl-PL"/>
              </w:rPr>
              <w:t>Vesna Bauer Muni</w:t>
            </w:r>
            <w:r w:rsidRPr="00DF4CE5">
              <w:rPr>
                <w:rFonts w:ascii="Cambria" w:eastAsia="Times New Roman" w:hAnsi="Cambria" w:cs="Calibri"/>
                <w:lang w:val="hr-HR"/>
              </w:rPr>
              <w:t>ć, „</w:t>
            </w:r>
            <w:r w:rsidRPr="00DF4CE5">
              <w:rPr>
                <w:rFonts w:ascii="Cambria" w:eastAsia="Times New Roman" w:hAnsi="Cambria" w:cs="Calibri"/>
                <w:lang w:val="pl-PL"/>
              </w:rPr>
              <w:t>Sakralna arhitektura isto</w:t>
            </w:r>
            <w:r w:rsidRPr="00DF4CE5">
              <w:rPr>
                <w:rFonts w:ascii="Cambria" w:eastAsia="Times New Roman" w:hAnsi="Cambria" w:cs="Calibri"/>
                <w:lang w:val="hr-HR"/>
              </w:rPr>
              <w:t>č</w:t>
            </w:r>
            <w:r w:rsidRPr="00DF4CE5">
              <w:rPr>
                <w:rFonts w:ascii="Cambria" w:eastAsia="Times New Roman" w:hAnsi="Cambria" w:cs="Calibri"/>
                <w:lang w:val="pl-PL"/>
              </w:rPr>
              <w:t>noistarskih komuna od XII</w:t>
            </w:r>
            <w:r w:rsidRPr="00DF4CE5">
              <w:rPr>
                <w:rFonts w:ascii="Cambria" w:eastAsia="Times New Roman" w:hAnsi="Cambria" w:cs="Calibri"/>
                <w:lang w:val="hr-HR"/>
              </w:rPr>
              <w:t xml:space="preserve">. </w:t>
            </w:r>
            <w:r w:rsidRPr="00DF4CE5">
              <w:rPr>
                <w:rFonts w:ascii="Cambria" w:eastAsia="Times New Roman" w:hAnsi="Cambria" w:cs="Calibri"/>
                <w:lang w:val="pl-PL"/>
              </w:rPr>
              <w:t>do XVIII</w:t>
            </w:r>
            <w:r w:rsidRPr="00DF4CE5">
              <w:rPr>
                <w:rFonts w:ascii="Cambria" w:eastAsia="Times New Roman" w:hAnsi="Cambria" w:cs="Calibri"/>
                <w:lang w:val="hr-HR"/>
              </w:rPr>
              <w:t xml:space="preserve">. </w:t>
            </w:r>
            <w:r w:rsidRPr="00DF4CE5">
              <w:rPr>
                <w:rFonts w:ascii="Cambria" w:eastAsia="Times New Roman" w:hAnsi="Cambria" w:cs="Calibri"/>
                <w:lang w:val="pl-PL"/>
              </w:rPr>
              <w:t>stolje</w:t>
            </w:r>
            <w:r w:rsidRPr="00DF4CE5">
              <w:rPr>
                <w:rFonts w:ascii="Cambria" w:eastAsia="Times New Roman" w:hAnsi="Cambria" w:cs="Calibri"/>
                <w:lang w:val="hr-HR"/>
              </w:rPr>
              <w:t>ć</w:t>
            </w:r>
            <w:r w:rsidRPr="00DF4CE5">
              <w:rPr>
                <w:rFonts w:ascii="Cambria" w:eastAsia="Times New Roman" w:hAnsi="Cambria" w:cs="Calibri"/>
                <w:lang w:val="pl-PL"/>
              </w:rPr>
              <w:t>a</w:t>
            </w:r>
            <w:r w:rsidRPr="00DF4CE5">
              <w:rPr>
                <w:rFonts w:ascii="Cambria" w:eastAsia="Times New Roman" w:hAnsi="Cambria" w:cs="Calibri"/>
                <w:lang w:val="hr-HR"/>
              </w:rPr>
              <w:t xml:space="preserve">”, </w:t>
            </w:r>
            <w:r w:rsidRPr="00DF4CE5">
              <w:rPr>
                <w:rFonts w:ascii="Cambria" w:eastAsia="Times New Roman" w:hAnsi="Cambria" w:cs="Calibri"/>
                <w:lang w:val="pl-PL"/>
              </w:rPr>
              <w:t xml:space="preserve">Zagreb </w:t>
            </w:r>
            <w:r w:rsidRPr="00DF4CE5">
              <w:rPr>
                <w:rFonts w:ascii="Cambria" w:eastAsia="Times New Roman" w:hAnsi="Cambria" w:cs="Calibri"/>
                <w:lang w:val="hr-HR"/>
              </w:rPr>
              <w:t>2005.</w:t>
            </w:r>
          </w:p>
          <w:p w14:paraId="0CB1DFE6" w14:textId="77777777" w:rsidR="00E41BE6" w:rsidRPr="00DF4CE5" w:rsidRDefault="00E41BE6" w:rsidP="000D37F8">
            <w:pPr>
              <w:spacing w:after="0" w:line="240" w:lineRule="auto"/>
              <w:rPr>
                <w:rFonts w:ascii="Cambria" w:eastAsia="Times New Roman" w:hAnsi="Cambria" w:cs="Calibri"/>
                <w:lang w:val="hr-HR"/>
              </w:rPr>
            </w:pPr>
            <w:r w:rsidRPr="00DF4CE5">
              <w:rPr>
                <w:rFonts w:ascii="Cambria" w:eastAsia="Times New Roman" w:hAnsi="Cambria" w:cs="Calibri"/>
                <w:lang w:val="hr-HR"/>
              </w:rPr>
              <w:t>Priručna:</w:t>
            </w:r>
          </w:p>
          <w:p w14:paraId="1EE72F62" w14:textId="77777777" w:rsidR="00E41BE6" w:rsidRPr="00DF4CE5" w:rsidRDefault="00E41BE6" w:rsidP="000D37F8">
            <w:pPr>
              <w:spacing w:after="0" w:line="240" w:lineRule="auto"/>
              <w:rPr>
                <w:rFonts w:ascii="Cambria" w:eastAsia="Times New Roman" w:hAnsi="Cambria" w:cs="Calibri"/>
                <w:lang w:val="pl-PL" w:eastAsia="hr-HR"/>
              </w:rPr>
            </w:pPr>
            <w:r w:rsidRPr="00DF4CE5">
              <w:rPr>
                <w:rFonts w:ascii="Cambria" w:eastAsia="Times New Roman" w:hAnsi="Cambria" w:cs="Segoe UI Symbol"/>
                <w:lang w:val="pl-PL" w:eastAsia="hr-HR"/>
              </w:rPr>
              <w:t xml:space="preserve">1. </w:t>
            </w:r>
            <w:r w:rsidRPr="00DF4CE5">
              <w:rPr>
                <w:rFonts w:ascii="Cambria" w:eastAsia="Times New Roman" w:hAnsi="Cambria" w:cs="Calibri"/>
                <w:lang w:val="pl-PL" w:eastAsia="hr-HR"/>
              </w:rPr>
              <w:t>Ljubo Boban, „Hrvatske granice od 1918. do 1993.”, Zagreb 1995. (ili kasnija izdanja).</w:t>
            </w:r>
          </w:p>
          <w:p w14:paraId="26117841" w14:textId="77777777" w:rsidR="00E41BE6" w:rsidRPr="00DF4CE5" w:rsidRDefault="00E41BE6" w:rsidP="000D37F8">
            <w:pPr>
              <w:spacing w:after="0" w:line="240" w:lineRule="auto"/>
              <w:rPr>
                <w:rFonts w:ascii="Cambria" w:eastAsia="Times New Roman" w:hAnsi="Cambria" w:cs="Calibri"/>
                <w:lang w:val="pl-PL" w:eastAsia="hr-HR"/>
              </w:rPr>
            </w:pPr>
            <w:r w:rsidRPr="00DF4CE5">
              <w:rPr>
                <w:rFonts w:ascii="Cambria" w:eastAsia="Times New Roman" w:hAnsi="Cambria" w:cs="Segoe UI Symbol"/>
                <w:lang w:val="pl-PL" w:eastAsia="hr-HR"/>
              </w:rPr>
              <w:t>2.</w:t>
            </w:r>
            <w:r w:rsidRPr="00DF4CE5">
              <w:rPr>
                <w:rFonts w:ascii="Cambria" w:eastAsia="Times New Roman" w:hAnsi="Cambria" w:cs="Calibri"/>
                <w:lang w:val="pl-PL" w:eastAsia="hr-HR"/>
              </w:rPr>
              <w:t xml:space="preserve"> Hrvatski povijesni zemljovidi”, Zagreb 1996. (ili kasnija izdanja).</w:t>
            </w:r>
          </w:p>
          <w:p w14:paraId="073F0B31" w14:textId="77777777" w:rsidR="00E41BE6" w:rsidRPr="00DF4CE5" w:rsidRDefault="00E41BE6" w:rsidP="000D37F8">
            <w:pPr>
              <w:spacing w:after="0" w:line="240" w:lineRule="auto"/>
              <w:rPr>
                <w:rFonts w:ascii="Cambria" w:eastAsia="Times New Roman" w:hAnsi="Cambria" w:cs="Calibri"/>
                <w:lang w:val="pl-PL" w:eastAsia="hr-HR"/>
              </w:rPr>
            </w:pPr>
            <w:r w:rsidRPr="00DF4CE5">
              <w:rPr>
                <w:rFonts w:ascii="Cambria" w:eastAsia="Times New Roman" w:hAnsi="Cambria" w:cs="Segoe UI Symbol"/>
                <w:lang w:val="hr-HR" w:eastAsia="hr-HR"/>
              </w:rPr>
              <w:t xml:space="preserve">3. </w:t>
            </w:r>
            <w:r w:rsidRPr="00DF4CE5">
              <w:rPr>
                <w:rFonts w:ascii="Cambria" w:eastAsia="Times New Roman" w:hAnsi="Cambria" w:cs="Calibri"/>
                <w:lang w:val="pl-PL" w:eastAsia="hr-HR"/>
              </w:rPr>
              <w:t>Rosanna Biasiol-Babić – Ivanka Šverko-Blašković, „Istarska županija: zavičajni priručnik za učenice i učenike”, Zagreb 2010.</w:t>
            </w:r>
          </w:p>
          <w:p w14:paraId="189D0569" w14:textId="77777777" w:rsidR="00E41BE6" w:rsidRPr="00DF4CE5" w:rsidRDefault="00E41BE6" w:rsidP="000D37F8">
            <w:pPr>
              <w:spacing w:after="0" w:line="240" w:lineRule="auto"/>
              <w:rPr>
                <w:rFonts w:ascii="Cambria" w:eastAsia="Times New Roman" w:hAnsi="Cambria" w:cs="Calibri"/>
                <w:lang w:val="hr-HR"/>
              </w:rPr>
            </w:pPr>
            <w:r w:rsidRPr="00DF4CE5">
              <w:rPr>
                <w:rFonts w:ascii="Cambria" w:eastAsia="Times New Roman" w:hAnsi="Cambria" w:cs="Segoe UI Symbol"/>
                <w:lang w:val="hr-HR"/>
              </w:rPr>
              <w:t xml:space="preserve">4. </w:t>
            </w:r>
            <w:r w:rsidRPr="00DF4CE5">
              <w:rPr>
                <w:rFonts w:ascii="Cambria" w:eastAsia="Times New Roman" w:hAnsi="Cambria" w:cs="Calibri"/>
                <w:lang w:val="hr-HR"/>
              </w:rPr>
              <w:t>T</w:t>
            </w:r>
            <w:r w:rsidRPr="00DF4CE5">
              <w:rPr>
                <w:rFonts w:ascii="Cambria" w:eastAsia="Times New Roman" w:hAnsi="Cambria" w:cs="Calibri"/>
                <w:lang w:val="pl-PL"/>
              </w:rPr>
              <w:t>rpimir Macan</w:t>
            </w:r>
            <w:r w:rsidRPr="00DF4CE5">
              <w:rPr>
                <w:rFonts w:ascii="Cambria" w:eastAsia="Times New Roman" w:hAnsi="Cambria" w:cs="Calibri"/>
                <w:lang w:val="hr-HR"/>
              </w:rPr>
              <w:t>, „</w:t>
            </w:r>
            <w:r w:rsidRPr="00DF4CE5">
              <w:rPr>
                <w:rFonts w:ascii="Cambria" w:eastAsia="Times New Roman" w:hAnsi="Cambria" w:cs="Calibri"/>
                <w:lang w:val="pl-PL"/>
              </w:rPr>
              <w:t>Povijesthrvatskognaroda</w:t>
            </w:r>
            <w:r w:rsidRPr="00DF4CE5">
              <w:rPr>
                <w:rFonts w:ascii="Cambria" w:eastAsia="Times New Roman" w:hAnsi="Cambria" w:cs="Calibri"/>
                <w:lang w:val="hr-HR"/>
              </w:rPr>
              <w:t xml:space="preserve">”, </w:t>
            </w:r>
            <w:r w:rsidRPr="00DF4CE5">
              <w:rPr>
                <w:rFonts w:ascii="Cambria" w:eastAsia="Times New Roman" w:hAnsi="Cambria" w:cs="Calibri"/>
                <w:lang w:val="pl-PL"/>
              </w:rPr>
              <w:t>Zagreb</w:t>
            </w:r>
            <w:r w:rsidRPr="00DF4CE5">
              <w:rPr>
                <w:rFonts w:ascii="Cambria" w:eastAsia="Times New Roman" w:hAnsi="Cambria" w:cs="Calibri"/>
                <w:lang w:val="hr-HR"/>
              </w:rPr>
              <w:t xml:space="preserve"> 1992.</w:t>
            </w:r>
          </w:p>
          <w:p w14:paraId="5AE53FDF" w14:textId="77777777" w:rsidR="00E41BE6" w:rsidRPr="00DF4CE5" w:rsidRDefault="00E41BE6" w:rsidP="000D37F8">
            <w:pPr>
              <w:spacing w:after="0" w:line="240" w:lineRule="auto"/>
              <w:rPr>
                <w:rFonts w:ascii="Cambria" w:eastAsia="Times New Roman" w:hAnsi="Cambria" w:cs="Calibri"/>
                <w:lang w:val="pl-PL"/>
              </w:rPr>
            </w:pPr>
            <w:r w:rsidRPr="00DF4CE5">
              <w:rPr>
                <w:rFonts w:ascii="Cambria" w:eastAsia="Times New Roman" w:hAnsi="Cambria" w:cs="Segoe UI Symbol"/>
                <w:lang w:val="hr-HR"/>
              </w:rPr>
              <w:t xml:space="preserve">5. </w:t>
            </w:r>
            <w:r w:rsidRPr="00DF4CE5">
              <w:rPr>
                <w:rFonts w:ascii="Cambria" w:eastAsia="Times New Roman" w:hAnsi="Cambria" w:cs="Calibri"/>
                <w:lang w:val="pl-PL"/>
              </w:rPr>
              <w:t>Ivo Perić, „Povijest Hrvata”, Zagreb 1997.</w:t>
            </w:r>
          </w:p>
        </w:tc>
      </w:tr>
    </w:tbl>
    <w:p w14:paraId="4D3594AD" w14:textId="77777777" w:rsidR="00E41BE6" w:rsidRPr="00DF4CE5" w:rsidRDefault="00E41BE6">
      <w:pPr>
        <w:rPr>
          <w:rFonts w:ascii="Cambria" w:eastAsia="Times New Roman" w:hAnsi="Cambria" w:cs="Calibri"/>
          <w:lang w:val="hr-HR"/>
        </w:rPr>
      </w:pPr>
    </w:p>
    <w:p w14:paraId="5626AEE1" w14:textId="77777777" w:rsidR="00E41BE6" w:rsidRPr="00DF4CE5" w:rsidRDefault="00E41BE6">
      <w:pPr>
        <w:rPr>
          <w:rFonts w:ascii="Cambria" w:eastAsia="Times New Roman" w:hAnsi="Cambria" w:cs="Calibri"/>
          <w:lang w:val="hr-HR"/>
        </w:rPr>
      </w:pPr>
    </w:p>
    <w:p w14:paraId="6C2B6A9F" w14:textId="77777777" w:rsidR="00E41BE6" w:rsidRPr="00DF4CE5" w:rsidRDefault="00E41BE6">
      <w:pPr>
        <w:rPr>
          <w:rFonts w:ascii="Cambria" w:eastAsia="Times New Roman" w:hAnsi="Cambria" w:cs="Calibri"/>
          <w:lang w:val="hr-HR"/>
        </w:rPr>
      </w:pPr>
    </w:p>
    <w:p w14:paraId="663362D1" w14:textId="77777777" w:rsidR="00CB02F8" w:rsidRPr="00DF4CE5" w:rsidRDefault="00CB02F8">
      <w:pPr>
        <w:rPr>
          <w:rFonts w:ascii="Cambria" w:eastAsia="Times New Roman" w:hAnsi="Cambria" w:cs="Calibri"/>
          <w:lang w:val="hr-HR"/>
        </w:rPr>
      </w:pPr>
    </w:p>
    <w:p w14:paraId="57ED17F9" w14:textId="77777777" w:rsidR="00CB02F8" w:rsidRPr="00DF4CE5" w:rsidRDefault="00CB02F8">
      <w:pPr>
        <w:rPr>
          <w:rFonts w:ascii="Cambria" w:eastAsia="Times New Roman" w:hAnsi="Cambria" w:cs="Calibri"/>
          <w:lang w:val="hr-HR"/>
        </w:rPr>
      </w:pPr>
    </w:p>
    <w:p w14:paraId="2BBDBA20" w14:textId="77777777" w:rsidR="00CB02F8" w:rsidRPr="00DF4CE5" w:rsidRDefault="00CB02F8">
      <w:pPr>
        <w:rPr>
          <w:rFonts w:ascii="Cambria" w:eastAsia="Times New Roman" w:hAnsi="Cambria" w:cs="Calibri"/>
          <w:lang w:val="hr-HR"/>
        </w:rPr>
      </w:pPr>
    </w:p>
    <w:p w14:paraId="3EADA925" w14:textId="77777777" w:rsidR="00CB02F8" w:rsidRPr="00DF4CE5" w:rsidRDefault="00CB02F8">
      <w:pPr>
        <w:rPr>
          <w:rFonts w:ascii="Cambria" w:eastAsia="Times New Roman" w:hAnsi="Cambria" w:cs="Calibri"/>
          <w:lang w:val="hr-HR"/>
        </w:rPr>
      </w:pPr>
    </w:p>
    <w:p w14:paraId="2EE8BD92" w14:textId="77777777" w:rsidR="00CB02F8" w:rsidRPr="00DF4CE5" w:rsidRDefault="00CB02F8">
      <w:pPr>
        <w:rPr>
          <w:rFonts w:ascii="Cambria" w:eastAsia="Times New Roman" w:hAnsi="Cambria" w:cs="Calibri"/>
          <w:lang w:val="hr-HR"/>
        </w:rPr>
      </w:pPr>
    </w:p>
    <w:p w14:paraId="48600F69" w14:textId="77777777" w:rsidR="00CB02F8" w:rsidRPr="00DF4CE5" w:rsidRDefault="00CB02F8">
      <w:pPr>
        <w:rPr>
          <w:rFonts w:ascii="Cambria" w:eastAsia="Times New Roman" w:hAnsi="Cambria" w:cs="Calibri"/>
          <w:lang w:val="hr-HR"/>
        </w:rPr>
      </w:pPr>
    </w:p>
    <w:p w14:paraId="24C69F7A" w14:textId="77777777" w:rsidR="00CB02F8" w:rsidRPr="00DF4CE5" w:rsidRDefault="00CB02F8">
      <w:pPr>
        <w:rPr>
          <w:rFonts w:ascii="Cambria" w:eastAsia="Times New Roman" w:hAnsi="Cambria" w:cs="Calibri"/>
          <w:lang w:val="hr-HR"/>
        </w:rPr>
      </w:pPr>
    </w:p>
    <w:p w14:paraId="330294F9" w14:textId="77777777" w:rsidR="00CB02F8" w:rsidRPr="00DF4CE5" w:rsidRDefault="00CB02F8">
      <w:pPr>
        <w:rPr>
          <w:rFonts w:ascii="Cambria" w:eastAsia="Times New Roman" w:hAnsi="Cambria" w:cs="Calibri"/>
          <w:lang w:val="hr-HR"/>
        </w:rPr>
      </w:pPr>
    </w:p>
    <w:p w14:paraId="399EE26D" w14:textId="7ED48270" w:rsidR="00CB02F8" w:rsidRPr="00DF4CE5" w:rsidRDefault="000D37F8">
      <w:pPr>
        <w:rPr>
          <w:rFonts w:ascii="Cambria" w:eastAsia="Times New Roman" w:hAnsi="Cambria" w:cs="Calibri"/>
          <w:lang w:val="hr-HR"/>
        </w:rPr>
      </w:pPr>
      <w:r>
        <w:rPr>
          <w:rFonts w:ascii="Cambria" w:eastAsia="Times New Roman" w:hAnsi="Cambria" w:cs="Calibri"/>
          <w:lang w:val="hr-HR"/>
        </w:rPr>
        <w:br w:type="page"/>
      </w:r>
    </w:p>
    <w:tbl>
      <w:tblPr>
        <w:tblW w:w="5000" w:type="pct"/>
        <w:tblLayout w:type="fixed"/>
        <w:tblCellMar>
          <w:left w:w="0" w:type="dxa"/>
          <w:right w:w="0" w:type="dxa"/>
        </w:tblCellMar>
        <w:tblLook w:val="0600" w:firstRow="0" w:lastRow="0" w:firstColumn="0" w:lastColumn="0" w:noHBand="1" w:noVBand="1"/>
      </w:tblPr>
      <w:tblGrid>
        <w:gridCol w:w="2809"/>
        <w:gridCol w:w="2935"/>
        <w:gridCol w:w="928"/>
        <w:gridCol w:w="375"/>
        <w:gridCol w:w="690"/>
        <w:gridCol w:w="868"/>
        <w:gridCol w:w="1415"/>
      </w:tblGrid>
      <w:tr w:rsidR="00E41BE6" w:rsidRPr="00DF4CE5" w14:paraId="55E3295E" w14:textId="77777777" w:rsidTr="000F57D9">
        <w:tc>
          <w:tcPr>
            <w:tcW w:w="9648" w:type="dxa"/>
            <w:gridSpan w:val="7"/>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7FA3C2B" w14:textId="77777777" w:rsidR="00E41BE6" w:rsidRPr="00DF4CE5" w:rsidRDefault="00E41BE6" w:rsidP="00E41BE6">
            <w:pPr>
              <w:spacing w:after="0" w:line="240" w:lineRule="auto"/>
              <w:jc w:val="right"/>
              <w:rPr>
                <w:rFonts w:ascii="Cambria" w:eastAsia="Times New Roman" w:hAnsi="Cambria" w:cs="Calibri"/>
                <w:b/>
                <w:lang w:val="hr-HR"/>
              </w:rPr>
            </w:pPr>
            <w:r w:rsidRPr="00DF4CE5">
              <w:rPr>
                <w:rFonts w:ascii="Cambria" w:eastAsia="Times New Roman" w:hAnsi="Cambria" w:cs="Calibri"/>
                <w:b/>
                <w:lang w:val="hr-HR"/>
              </w:rPr>
              <w:lastRenderedPageBreak/>
              <w:t>IZVEDBENI PLAN NASTAVE KOLEGIJA</w:t>
            </w:r>
          </w:p>
        </w:tc>
      </w:tr>
      <w:tr w:rsidR="00E41BE6" w:rsidRPr="00DF4CE5" w14:paraId="0DACA1A2" w14:textId="77777777" w:rsidTr="000F57D9">
        <w:tc>
          <w:tcPr>
            <w:tcW w:w="270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6B6DCC9"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Kod i naziv kolegija</w:t>
            </w:r>
          </w:p>
        </w:tc>
        <w:tc>
          <w:tcPr>
            <w:tcW w:w="6943"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040B222" w14:textId="281141E1" w:rsidR="00E41BE6" w:rsidRPr="00DF4CE5" w:rsidRDefault="001216EA"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257235</w:t>
            </w:r>
          </w:p>
          <w:p w14:paraId="3CFE9526"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Glazbeno pismo</w:t>
            </w:r>
          </w:p>
        </w:tc>
      </w:tr>
      <w:tr w:rsidR="00E41BE6" w:rsidRPr="00DF4CE5" w14:paraId="7F6E8A82" w14:textId="77777777" w:rsidTr="000F57D9">
        <w:tc>
          <w:tcPr>
            <w:tcW w:w="270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2C17AA0"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 xml:space="preserve">Nastavnica </w:t>
            </w:r>
          </w:p>
          <w:p w14:paraId="438A1D7F"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Suradnik</w:t>
            </w:r>
          </w:p>
        </w:tc>
        <w:tc>
          <w:tcPr>
            <w:tcW w:w="6943"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49A7505" w14:textId="48AFA4D6" w:rsidR="00E41BE6" w:rsidRPr="00DF4CE5" w:rsidRDefault="00EB7E2C" w:rsidP="00E41BE6">
            <w:pPr>
              <w:spacing w:after="0" w:line="240" w:lineRule="auto"/>
              <w:rPr>
                <w:rFonts w:ascii="Cambria" w:eastAsia="Times New Roman" w:hAnsi="Cambria" w:cs="Times New Roman"/>
                <w:lang w:val="hr-HR"/>
              </w:rPr>
            </w:pPr>
            <w:hyperlink r:id="rId59" w:history="1">
              <w:r w:rsidRPr="00DF4CE5">
                <w:rPr>
                  <w:rFonts w:ascii="Cambria" w:eastAsia="Times New Roman" w:hAnsi="Cambria" w:cs="Times New Roman"/>
                  <w:color w:val="0000FF"/>
                  <w:u w:val="single"/>
                  <w:lang w:val="hr-HR"/>
                </w:rPr>
                <w:t>P</w:t>
              </w:r>
              <w:r w:rsidR="00E41BE6" w:rsidRPr="00DF4CE5">
                <w:rPr>
                  <w:rFonts w:ascii="Cambria" w:eastAsia="Times New Roman" w:hAnsi="Cambria" w:cs="Times New Roman"/>
                  <w:color w:val="0000FF"/>
                  <w:u w:val="single"/>
                  <w:lang w:val="hr-HR"/>
                </w:rPr>
                <w:t>rof. dr. sc. Ivana Paula Gortan-Carlin</w:t>
              </w:r>
            </w:hyperlink>
            <w:r w:rsidR="00E41BE6" w:rsidRPr="00DF4CE5">
              <w:rPr>
                <w:rFonts w:ascii="Cambria" w:eastAsia="Times New Roman" w:hAnsi="Cambria" w:cs="Times New Roman"/>
                <w:lang w:val="hr-HR"/>
              </w:rPr>
              <w:t xml:space="preserve"> (nositeljica)</w:t>
            </w:r>
          </w:p>
          <w:p w14:paraId="5487F929" w14:textId="3F6C3EA4" w:rsidR="00E41BE6" w:rsidRPr="00DF4CE5" w:rsidRDefault="00EB7E2C" w:rsidP="00E41BE6">
            <w:pPr>
              <w:spacing w:after="0" w:line="240" w:lineRule="auto"/>
              <w:rPr>
                <w:rFonts w:ascii="Cambria" w:eastAsia="Times New Roman" w:hAnsi="Cambria" w:cs="Calibri"/>
                <w:lang w:val="hr-HR"/>
              </w:rPr>
            </w:pPr>
            <w:hyperlink r:id="rId60" w:history="1">
              <w:r w:rsidRPr="00DF4CE5">
                <w:rPr>
                  <w:rFonts w:ascii="Cambria" w:eastAsia="Times New Roman" w:hAnsi="Cambria" w:cs="Times New Roman"/>
                  <w:color w:val="0000FF"/>
                  <w:u w:val="single"/>
                  <w:lang w:val="hr-HR"/>
                </w:rPr>
                <w:t>M</w:t>
              </w:r>
              <w:r w:rsidR="00E41BE6" w:rsidRPr="00DF4CE5">
                <w:rPr>
                  <w:rFonts w:ascii="Cambria" w:eastAsia="Times New Roman" w:hAnsi="Cambria" w:cs="Times New Roman"/>
                  <w:color w:val="0000FF"/>
                  <w:u w:val="single"/>
                  <w:lang w:val="hr-HR"/>
                </w:rPr>
                <w:t>r. sc. Branko Radić, pred.</w:t>
              </w:r>
            </w:hyperlink>
          </w:p>
        </w:tc>
      </w:tr>
      <w:tr w:rsidR="00E41BE6" w:rsidRPr="00D0399C" w14:paraId="3C595BA8" w14:textId="77777777" w:rsidTr="000F57D9">
        <w:tc>
          <w:tcPr>
            <w:tcW w:w="270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EC49DA7"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Studijski program</w:t>
            </w:r>
          </w:p>
        </w:tc>
        <w:tc>
          <w:tcPr>
            <w:tcW w:w="6943"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7E0F664"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Sveučilišni integrirani prijediplomski i diplomski Učiteljski studij na hrvatskom jeziku</w:t>
            </w:r>
          </w:p>
        </w:tc>
      </w:tr>
      <w:tr w:rsidR="00E41BE6" w:rsidRPr="00DF4CE5" w14:paraId="28FE9083" w14:textId="77777777" w:rsidTr="000F57D9">
        <w:tc>
          <w:tcPr>
            <w:tcW w:w="270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B1E0323"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Vrsta kolegija</w:t>
            </w:r>
          </w:p>
        </w:tc>
        <w:tc>
          <w:tcPr>
            <w:tcW w:w="282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96B3E04"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 xml:space="preserve">obvezan </w:t>
            </w:r>
          </w:p>
        </w:tc>
        <w:tc>
          <w:tcPr>
            <w:tcW w:w="1255"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0236F34D"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Razina kolegija</w:t>
            </w:r>
          </w:p>
        </w:tc>
        <w:tc>
          <w:tcPr>
            <w:tcW w:w="2862"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1208E44" w14:textId="77777777" w:rsidR="00E41BE6" w:rsidRPr="00DF4CE5" w:rsidRDefault="00E41BE6" w:rsidP="00E41BE6">
            <w:pPr>
              <w:spacing w:after="0" w:line="240" w:lineRule="auto"/>
              <w:rPr>
                <w:rFonts w:ascii="Cambria" w:eastAsia="Times New Roman" w:hAnsi="Cambria" w:cs="Calibri"/>
                <w:lang w:val="hr-HR"/>
              </w:rPr>
            </w:pPr>
            <w:proofErr w:type="spellStart"/>
            <w:r w:rsidRPr="00DF4CE5">
              <w:rPr>
                <w:rFonts w:ascii="Cambria" w:eastAsia="Times New Roman" w:hAnsi="Cambria" w:cs="Calibri"/>
                <w:lang w:val="it-IT"/>
              </w:rPr>
              <w:t>integrirani</w:t>
            </w:r>
            <w:proofErr w:type="spellEnd"/>
          </w:p>
        </w:tc>
      </w:tr>
      <w:tr w:rsidR="00E41BE6" w:rsidRPr="00DF4CE5" w14:paraId="25DD01FE" w14:textId="77777777" w:rsidTr="000F57D9">
        <w:tc>
          <w:tcPr>
            <w:tcW w:w="270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8FAB8D9"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Semestar</w:t>
            </w:r>
          </w:p>
        </w:tc>
        <w:tc>
          <w:tcPr>
            <w:tcW w:w="282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5922CB4" w14:textId="64021101" w:rsidR="00E41BE6" w:rsidRPr="00DF4CE5" w:rsidRDefault="003C5D89"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L</w:t>
            </w:r>
            <w:r w:rsidR="00E41BE6" w:rsidRPr="00DF4CE5">
              <w:rPr>
                <w:rFonts w:ascii="Cambria" w:eastAsia="Times New Roman" w:hAnsi="Cambria" w:cs="Calibri"/>
                <w:lang w:val="hr-HR"/>
              </w:rPr>
              <w:t>jetni</w:t>
            </w:r>
          </w:p>
        </w:tc>
        <w:tc>
          <w:tcPr>
            <w:tcW w:w="1255"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63C9E75B"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Godina studija</w:t>
            </w:r>
          </w:p>
        </w:tc>
        <w:tc>
          <w:tcPr>
            <w:tcW w:w="2862"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3BD7276"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I.</w:t>
            </w:r>
          </w:p>
        </w:tc>
      </w:tr>
      <w:tr w:rsidR="00E41BE6" w:rsidRPr="00DF4CE5" w14:paraId="4C2BEB6E" w14:textId="77777777" w:rsidTr="000F57D9">
        <w:tc>
          <w:tcPr>
            <w:tcW w:w="270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AA2410B" w14:textId="77777777" w:rsidR="00E41BE6" w:rsidRPr="00DF4CE5" w:rsidRDefault="00E41BE6" w:rsidP="00E41BE6">
            <w:pPr>
              <w:spacing w:after="0" w:line="240" w:lineRule="auto"/>
              <w:rPr>
                <w:rFonts w:ascii="Cambria" w:eastAsia="Times New Roman" w:hAnsi="Cambria" w:cs="Calibri"/>
                <w:lang w:val="hr-HR"/>
              </w:rPr>
            </w:pPr>
            <w:proofErr w:type="spellStart"/>
            <w:r w:rsidRPr="00DF4CE5">
              <w:rPr>
                <w:rFonts w:ascii="Cambria" w:eastAsia="Times New Roman" w:hAnsi="Cambria" w:cs="Calibri"/>
              </w:rPr>
              <w:t>Mjesto</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izvođenja</w:t>
            </w:r>
            <w:proofErr w:type="spellEnd"/>
          </w:p>
        </w:tc>
        <w:tc>
          <w:tcPr>
            <w:tcW w:w="282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DA61FAF" w14:textId="1A137D62" w:rsidR="00E41BE6" w:rsidRPr="00DF4CE5" w:rsidRDefault="003C5D89"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U</w:t>
            </w:r>
            <w:r w:rsidR="00E41BE6" w:rsidRPr="00DF4CE5">
              <w:rPr>
                <w:rFonts w:ascii="Cambria" w:eastAsia="Times New Roman" w:hAnsi="Cambria" w:cs="Calibri"/>
                <w:lang w:val="hr-HR"/>
              </w:rPr>
              <w:t>čionica</w:t>
            </w:r>
          </w:p>
        </w:tc>
        <w:tc>
          <w:tcPr>
            <w:tcW w:w="1255"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591A4A80"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rPr>
              <w:t>Jezik</w:t>
            </w:r>
            <w:r w:rsidRPr="00DF4CE5">
              <w:rPr>
                <w:rFonts w:ascii="Cambria" w:eastAsia="Times New Roman" w:hAnsi="Cambria" w:cs="Calibri"/>
                <w:lang w:val="hr-HR"/>
              </w:rPr>
              <w:t xml:space="preserve"> izvođenja (drugi jezici)</w:t>
            </w:r>
          </w:p>
        </w:tc>
        <w:tc>
          <w:tcPr>
            <w:tcW w:w="2862"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0A8E6BE"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 xml:space="preserve">hrvatski </w:t>
            </w:r>
          </w:p>
          <w:p w14:paraId="4AA8E37C"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(talijanski, slovenski)</w:t>
            </w:r>
          </w:p>
        </w:tc>
      </w:tr>
      <w:tr w:rsidR="00E41BE6" w:rsidRPr="00DF4CE5" w14:paraId="6FABD33B" w14:textId="77777777" w:rsidTr="000F57D9">
        <w:tc>
          <w:tcPr>
            <w:tcW w:w="270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BF3BD91"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Broj ECTS bodova</w:t>
            </w:r>
          </w:p>
        </w:tc>
        <w:tc>
          <w:tcPr>
            <w:tcW w:w="282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0BC3F03"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3</w:t>
            </w:r>
          </w:p>
        </w:tc>
        <w:tc>
          <w:tcPr>
            <w:tcW w:w="1255"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30CA400A"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Broj sati u semestru</w:t>
            </w:r>
          </w:p>
        </w:tc>
        <w:tc>
          <w:tcPr>
            <w:tcW w:w="2862"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A079354" w14:textId="50962C2A"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 xml:space="preserve">15P – </w:t>
            </w:r>
            <w:r w:rsidR="00CB02F8" w:rsidRPr="00DF4CE5">
              <w:rPr>
                <w:rFonts w:ascii="Cambria" w:eastAsia="Times New Roman" w:hAnsi="Cambria" w:cs="Calibri"/>
                <w:lang w:val="hr-HR"/>
              </w:rPr>
              <w:t>0S</w:t>
            </w:r>
            <w:r w:rsidRPr="00DF4CE5">
              <w:rPr>
                <w:rFonts w:ascii="Cambria" w:eastAsia="Times New Roman" w:hAnsi="Cambria" w:cs="Calibri"/>
                <w:lang w:val="hr-HR"/>
              </w:rPr>
              <w:t xml:space="preserve"> – </w:t>
            </w:r>
            <w:r w:rsidR="00CB02F8" w:rsidRPr="00DF4CE5">
              <w:rPr>
                <w:rFonts w:ascii="Cambria" w:eastAsia="Times New Roman" w:hAnsi="Cambria" w:cs="Calibri"/>
                <w:lang w:val="hr-HR"/>
              </w:rPr>
              <w:t>15V</w:t>
            </w:r>
            <w:r w:rsidRPr="00DF4CE5">
              <w:rPr>
                <w:rFonts w:ascii="Cambria" w:eastAsia="Times New Roman" w:hAnsi="Cambria" w:cs="Calibri"/>
                <w:lang w:val="hr-HR"/>
              </w:rPr>
              <w:t xml:space="preserve">   </w:t>
            </w:r>
          </w:p>
        </w:tc>
      </w:tr>
      <w:tr w:rsidR="00E41BE6" w:rsidRPr="00DF4CE5" w14:paraId="53662D18" w14:textId="77777777" w:rsidTr="000F57D9">
        <w:tc>
          <w:tcPr>
            <w:tcW w:w="270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DD376D8"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Preduvjeti za upis i za svladavanje</w:t>
            </w:r>
          </w:p>
        </w:tc>
        <w:tc>
          <w:tcPr>
            <w:tcW w:w="6943"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483126A"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Nema preduvjeta</w:t>
            </w:r>
          </w:p>
        </w:tc>
      </w:tr>
      <w:tr w:rsidR="00E41BE6" w:rsidRPr="00D0399C" w14:paraId="2E078F02" w14:textId="77777777" w:rsidTr="000F57D9">
        <w:tc>
          <w:tcPr>
            <w:tcW w:w="270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1DCE197" w14:textId="77777777" w:rsidR="00E41BE6" w:rsidRPr="00DF4CE5" w:rsidRDefault="00E41BE6" w:rsidP="00E41BE6">
            <w:pPr>
              <w:spacing w:after="0" w:line="240" w:lineRule="auto"/>
              <w:rPr>
                <w:rFonts w:ascii="Cambria" w:eastAsia="Times New Roman" w:hAnsi="Cambria" w:cs="Calibri"/>
                <w:lang w:val="hr-HR"/>
              </w:rPr>
            </w:pPr>
            <w:proofErr w:type="spellStart"/>
            <w:r w:rsidRPr="00DF4CE5">
              <w:rPr>
                <w:rFonts w:ascii="Cambria" w:eastAsia="Times New Roman" w:hAnsi="Cambria" w:cs="Calibri"/>
              </w:rPr>
              <w:t>Korelativnost</w:t>
            </w:r>
            <w:proofErr w:type="spellEnd"/>
          </w:p>
        </w:tc>
        <w:tc>
          <w:tcPr>
            <w:tcW w:w="6943"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1C71899"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pl-PL"/>
              </w:rPr>
              <w:t>Sviranje, Metodika glazbene kulture I., II., III.</w:t>
            </w:r>
          </w:p>
        </w:tc>
      </w:tr>
      <w:tr w:rsidR="00E41BE6" w:rsidRPr="00D0399C" w14:paraId="5BE442F5" w14:textId="77777777" w:rsidTr="000F57D9">
        <w:tc>
          <w:tcPr>
            <w:tcW w:w="270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3060901"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 xml:space="preserve">Cilj kolegija </w:t>
            </w:r>
          </w:p>
        </w:tc>
        <w:tc>
          <w:tcPr>
            <w:tcW w:w="6943"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9945DEE" w14:textId="77777777" w:rsidR="00E41BE6" w:rsidRPr="00DF4CE5" w:rsidRDefault="00E41BE6" w:rsidP="00E41BE6">
            <w:pPr>
              <w:spacing w:after="0" w:line="240" w:lineRule="auto"/>
              <w:rPr>
                <w:rFonts w:ascii="Cambria" w:eastAsia="Times New Roman" w:hAnsi="Cambria" w:cs="Calibri"/>
                <w:lang w:val="pl-PL"/>
              </w:rPr>
            </w:pPr>
            <w:r w:rsidRPr="00DF4CE5">
              <w:rPr>
                <w:rFonts w:ascii="Cambria" w:eastAsia="Times New Roman" w:hAnsi="Cambria" w:cs="Calibri"/>
                <w:lang w:val="hr-HR"/>
              </w:rPr>
              <w:t>p</w:t>
            </w:r>
            <w:r w:rsidRPr="00DF4CE5">
              <w:rPr>
                <w:rFonts w:ascii="Cambria" w:eastAsia="Times New Roman" w:hAnsi="Cambria" w:cs="Calibri"/>
                <w:lang w:val="pl-PL"/>
              </w:rPr>
              <w:t>rimjeniti znanja iz teorije glazbe za čitanje notnog zapisa</w:t>
            </w:r>
          </w:p>
        </w:tc>
      </w:tr>
      <w:tr w:rsidR="00E41BE6" w:rsidRPr="00D0399C" w14:paraId="28B20034" w14:textId="77777777" w:rsidTr="000F57D9">
        <w:tc>
          <w:tcPr>
            <w:tcW w:w="270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EE9A67D"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Ishodi učenja</w:t>
            </w:r>
          </w:p>
        </w:tc>
        <w:tc>
          <w:tcPr>
            <w:tcW w:w="6943"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4A5026B" w14:textId="6B1288F7" w:rsidR="00E41BE6" w:rsidRPr="00DF4CE5" w:rsidRDefault="00E41BE6" w:rsidP="00E41BE6">
            <w:pPr>
              <w:autoSpaceDE w:val="0"/>
              <w:autoSpaceDN w:val="0"/>
              <w:adjustRightInd w:val="0"/>
              <w:spacing w:after="0" w:line="240" w:lineRule="auto"/>
              <w:rPr>
                <w:rFonts w:ascii="Cambria" w:eastAsia="Times New Roman" w:hAnsi="Cambria" w:cs="Calibri"/>
                <w:lang w:val="hr-HR"/>
              </w:rPr>
            </w:pPr>
            <w:r w:rsidRPr="00DF4CE5">
              <w:rPr>
                <w:rFonts w:ascii="Cambria" w:eastAsia="Times New Roman" w:hAnsi="Cambria" w:cs="Calibri"/>
                <w:lang w:val="hr-HR"/>
              </w:rPr>
              <w:t xml:space="preserve">1. samostalno </w:t>
            </w:r>
            <w:r w:rsidR="000D37F8">
              <w:rPr>
                <w:rFonts w:ascii="Cambria" w:eastAsia="Times New Roman" w:hAnsi="Cambria" w:cs="Calibri"/>
                <w:lang w:val="hr-HR"/>
              </w:rPr>
              <w:t>opisati</w:t>
            </w:r>
            <w:r w:rsidRPr="00DF4CE5">
              <w:rPr>
                <w:rFonts w:ascii="Cambria" w:eastAsia="Times New Roman" w:hAnsi="Cambria" w:cs="Calibri"/>
                <w:lang w:val="hr-HR"/>
              </w:rPr>
              <w:t xml:space="preserve"> vještinu čitanja notnog zapisa za interpretaciju jednostavnijih skladbi </w:t>
            </w:r>
          </w:p>
          <w:p w14:paraId="095AAA20" w14:textId="77777777" w:rsidR="00E41BE6" w:rsidRPr="00DF4CE5" w:rsidRDefault="00E41BE6" w:rsidP="00E41BE6">
            <w:pPr>
              <w:autoSpaceDE w:val="0"/>
              <w:autoSpaceDN w:val="0"/>
              <w:adjustRightInd w:val="0"/>
              <w:spacing w:after="0" w:line="240" w:lineRule="auto"/>
              <w:rPr>
                <w:rFonts w:ascii="Cambria" w:eastAsia="Times New Roman" w:hAnsi="Cambria" w:cs="Calibri"/>
                <w:lang w:val="hr-HR"/>
              </w:rPr>
            </w:pPr>
            <w:r w:rsidRPr="00DF4CE5">
              <w:rPr>
                <w:rFonts w:ascii="Cambria" w:eastAsia="Times New Roman" w:hAnsi="Cambria" w:cs="Calibri"/>
                <w:lang w:val="hr-HR"/>
              </w:rPr>
              <w:t>2. analizirati jednostavni notni zapis</w:t>
            </w:r>
          </w:p>
          <w:p w14:paraId="763D4CA3" w14:textId="77777777" w:rsidR="00E41BE6" w:rsidRPr="00DF4CE5" w:rsidRDefault="00E41BE6" w:rsidP="00E41BE6">
            <w:pPr>
              <w:autoSpaceDE w:val="0"/>
              <w:autoSpaceDN w:val="0"/>
              <w:adjustRightInd w:val="0"/>
              <w:spacing w:after="0" w:line="240" w:lineRule="auto"/>
              <w:rPr>
                <w:rFonts w:ascii="Cambria" w:eastAsia="Times New Roman" w:hAnsi="Cambria" w:cs="Calibri"/>
                <w:lang w:val="hr-HR"/>
              </w:rPr>
            </w:pPr>
            <w:r w:rsidRPr="00DF4CE5">
              <w:rPr>
                <w:rFonts w:ascii="Cambria" w:eastAsia="Times New Roman" w:hAnsi="Cambria" w:cs="Calibri"/>
                <w:lang w:val="hr-HR"/>
              </w:rPr>
              <w:t>3. izvoditi ritam i metar</w:t>
            </w:r>
          </w:p>
        </w:tc>
      </w:tr>
      <w:tr w:rsidR="00E41BE6" w:rsidRPr="00DF4CE5" w14:paraId="4B75F4F8" w14:textId="77777777" w:rsidTr="000F57D9">
        <w:tc>
          <w:tcPr>
            <w:tcW w:w="2705"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4FBE8F73"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Sadržaj kolegija</w:t>
            </w:r>
          </w:p>
        </w:tc>
        <w:tc>
          <w:tcPr>
            <w:tcW w:w="6943" w:type="dxa"/>
            <w:gridSpan w:val="6"/>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C921055"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1. Ton</w:t>
            </w:r>
          </w:p>
          <w:p w14:paraId="6A8979BF"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2. Notne vrijednosti</w:t>
            </w:r>
          </w:p>
          <w:p w14:paraId="371091AB"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3. Glazbeni metar i ritam</w:t>
            </w:r>
          </w:p>
          <w:p w14:paraId="11B11B93"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4. Ljestvice</w:t>
            </w:r>
          </w:p>
          <w:p w14:paraId="527B90B2"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5. Akordi (</w:t>
            </w:r>
            <w:proofErr w:type="spellStart"/>
            <w:r w:rsidRPr="00DF4CE5">
              <w:rPr>
                <w:rFonts w:ascii="Cambria" w:eastAsia="Times New Roman" w:hAnsi="Cambria" w:cs="Calibri"/>
                <w:lang w:val="hr-HR"/>
              </w:rPr>
              <w:t>kvintakordi</w:t>
            </w:r>
            <w:proofErr w:type="spellEnd"/>
            <w:r w:rsidRPr="00DF4CE5">
              <w:rPr>
                <w:rFonts w:ascii="Cambria" w:eastAsia="Times New Roman" w:hAnsi="Cambria" w:cs="Calibri"/>
                <w:lang w:val="hr-HR"/>
              </w:rPr>
              <w:t xml:space="preserve">, dominantni </w:t>
            </w:r>
            <w:proofErr w:type="spellStart"/>
            <w:r w:rsidRPr="00DF4CE5">
              <w:rPr>
                <w:rFonts w:ascii="Cambria" w:eastAsia="Times New Roman" w:hAnsi="Cambria" w:cs="Calibri"/>
                <w:lang w:val="hr-HR"/>
              </w:rPr>
              <w:t>septakord</w:t>
            </w:r>
            <w:proofErr w:type="spellEnd"/>
            <w:r w:rsidRPr="00DF4CE5">
              <w:rPr>
                <w:rFonts w:ascii="Cambria" w:eastAsia="Times New Roman" w:hAnsi="Cambria" w:cs="Calibri"/>
                <w:lang w:val="hr-HR"/>
              </w:rPr>
              <w:t>)</w:t>
            </w:r>
          </w:p>
          <w:p w14:paraId="696AE2A4"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6. Melodija</w:t>
            </w:r>
          </w:p>
          <w:p w14:paraId="44858F96"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7. Tempo</w:t>
            </w:r>
          </w:p>
          <w:p w14:paraId="52E23772"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8. Dinamika</w:t>
            </w:r>
          </w:p>
        </w:tc>
      </w:tr>
      <w:tr w:rsidR="00E41BE6" w:rsidRPr="00DF4CE5" w14:paraId="4C574C64" w14:textId="77777777" w:rsidTr="000F57D9">
        <w:tc>
          <w:tcPr>
            <w:tcW w:w="2705"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07439ECC"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Planirane aktivnosti</w:t>
            </w:r>
            <w:r w:rsidRPr="00DF4CE5">
              <w:rPr>
                <w:rFonts w:ascii="Cambria" w:eastAsia="Times New Roman" w:hAnsi="Cambria" w:cs="Calibri"/>
                <w:lang w:val="it-IT"/>
              </w:rPr>
              <w:t>,</w:t>
            </w:r>
          </w:p>
          <w:p w14:paraId="482F9D46" w14:textId="77777777" w:rsidR="00E41BE6" w:rsidRPr="00DF4CE5" w:rsidRDefault="00E41BE6" w:rsidP="00E41BE6">
            <w:pPr>
              <w:spacing w:after="0" w:line="240" w:lineRule="auto"/>
              <w:rPr>
                <w:rFonts w:ascii="Cambria" w:eastAsia="Times New Roman" w:hAnsi="Cambria" w:cs="Calibri"/>
                <w:lang w:val="hr-HR"/>
              </w:rPr>
            </w:pPr>
            <w:proofErr w:type="spellStart"/>
            <w:r w:rsidRPr="00DF4CE5">
              <w:rPr>
                <w:rFonts w:ascii="Cambria" w:eastAsia="Times New Roman" w:hAnsi="Cambria" w:cs="Calibri"/>
                <w:lang w:val="it-IT"/>
              </w:rPr>
              <w:t>metode</w:t>
            </w:r>
            <w:proofErr w:type="spellEnd"/>
            <w:r w:rsidRPr="00DF4CE5">
              <w:rPr>
                <w:rFonts w:ascii="Cambria" w:eastAsia="Times New Roman" w:hAnsi="Cambria" w:cs="Calibri"/>
                <w:lang w:val="it-IT"/>
              </w:rPr>
              <w:t xml:space="preserve"> </w:t>
            </w:r>
            <w:r w:rsidRPr="00DF4CE5">
              <w:rPr>
                <w:rFonts w:ascii="Cambria" w:eastAsia="Times New Roman" w:hAnsi="Cambria" w:cs="Calibri"/>
                <w:lang w:val="hr-HR"/>
              </w:rPr>
              <w:t>učenja i poučavanja i načini vrednovanja</w:t>
            </w:r>
          </w:p>
        </w:tc>
        <w:tc>
          <w:tcPr>
            <w:tcW w:w="28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5B163DD"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bCs/>
                <w:lang w:val="hr-HR"/>
              </w:rPr>
              <w:t>Obveze</w:t>
            </w:r>
          </w:p>
        </w:tc>
        <w:tc>
          <w:tcPr>
            <w:tcW w:w="89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1510287"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bCs/>
                <w:lang w:val="hr-HR"/>
              </w:rPr>
              <w:t>Ishodi</w:t>
            </w:r>
          </w:p>
        </w:tc>
        <w:tc>
          <w:tcPr>
            <w:tcW w:w="102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BDAEECC"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bCs/>
                <w:lang w:val="hr-HR"/>
              </w:rPr>
              <w:t>Sati</w:t>
            </w:r>
          </w:p>
        </w:tc>
        <w:tc>
          <w:tcPr>
            <w:tcW w:w="83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9080EAF"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bCs/>
                <w:lang w:val="hr-HR"/>
              </w:rPr>
              <w:t>ECTS</w:t>
            </w:r>
          </w:p>
        </w:tc>
        <w:tc>
          <w:tcPr>
            <w:tcW w:w="13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5280BBD"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bCs/>
                <w:lang w:val="hr-HR"/>
              </w:rPr>
              <w:t>Maksimalni udio u ocjeni</w:t>
            </w:r>
            <w:r w:rsidRPr="00DF4CE5">
              <w:rPr>
                <w:rFonts w:ascii="Cambria" w:eastAsia="Times New Roman" w:hAnsi="Cambria" w:cs="Calibri"/>
                <w:bCs/>
              </w:rPr>
              <w:t xml:space="preserve"> (%)</w:t>
            </w:r>
          </w:p>
        </w:tc>
      </w:tr>
      <w:tr w:rsidR="00E41BE6" w:rsidRPr="00DF4CE5" w14:paraId="57F19BEE" w14:textId="77777777" w:rsidTr="000F57D9">
        <w:tc>
          <w:tcPr>
            <w:tcW w:w="2705" w:type="dxa"/>
            <w:vMerge/>
            <w:tcBorders>
              <w:left w:val="single" w:sz="8" w:space="0" w:color="000000"/>
              <w:right w:val="single" w:sz="8" w:space="0" w:color="000000"/>
            </w:tcBorders>
            <w:vAlign w:val="center"/>
          </w:tcPr>
          <w:p w14:paraId="4C1A8666" w14:textId="77777777" w:rsidR="00E41BE6" w:rsidRPr="00DF4CE5" w:rsidRDefault="00E41BE6" w:rsidP="00E41BE6">
            <w:pPr>
              <w:spacing w:after="0" w:line="240" w:lineRule="auto"/>
              <w:rPr>
                <w:rFonts w:ascii="Cambria" w:eastAsia="Times New Roman" w:hAnsi="Cambria" w:cs="Calibri"/>
                <w:lang w:val="hr-HR"/>
              </w:rPr>
            </w:pPr>
          </w:p>
        </w:tc>
        <w:tc>
          <w:tcPr>
            <w:tcW w:w="28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0A2CA60" w14:textId="11F9B3D0" w:rsidR="00E41BE6" w:rsidRPr="00DF4CE5" w:rsidRDefault="000F57D9" w:rsidP="00E41BE6">
            <w:pPr>
              <w:spacing w:after="0" w:line="240" w:lineRule="auto"/>
              <w:rPr>
                <w:rFonts w:ascii="Cambria" w:eastAsia="Times New Roman" w:hAnsi="Cambria" w:cs="Calibri"/>
                <w:lang w:val="hr-HR"/>
              </w:rPr>
            </w:pPr>
            <w:proofErr w:type="spellStart"/>
            <w:r w:rsidRPr="00DF4CE5">
              <w:rPr>
                <w:rFonts w:ascii="Cambria" w:eastAsia="Times New Roman" w:hAnsi="Cambria" w:cs="Calibri"/>
                <w:lang w:val="it-IT"/>
              </w:rPr>
              <w:t>aktivnost</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na</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nastavi</w:t>
            </w:r>
            <w:proofErr w:type="spellEnd"/>
            <w:r w:rsidR="00E41BE6" w:rsidRPr="00DF4CE5">
              <w:rPr>
                <w:rFonts w:ascii="Cambria" w:eastAsia="Times New Roman" w:hAnsi="Cambria" w:cs="Calibri"/>
                <w:lang w:val="hr-HR"/>
              </w:rPr>
              <w:t xml:space="preserve"> (P, V)</w:t>
            </w:r>
          </w:p>
        </w:tc>
        <w:tc>
          <w:tcPr>
            <w:tcW w:w="89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03A9E1D" w14:textId="78FC1C55" w:rsidR="00E41BE6" w:rsidRPr="00DF4CE5" w:rsidRDefault="00E41BE6" w:rsidP="00E41BE6">
            <w:pPr>
              <w:spacing w:after="0" w:line="240" w:lineRule="auto"/>
              <w:rPr>
                <w:rFonts w:ascii="Cambria" w:eastAsia="Times New Roman" w:hAnsi="Cambria" w:cs="Times New Roman"/>
                <w:lang w:val="hr-HR"/>
              </w:rPr>
            </w:pPr>
            <w:r w:rsidRPr="00DF4CE5">
              <w:rPr>
                <w:rFonts w:ascii="Cambria" w:eastAsia="Times New Roman" w:hAnsi="Cambria" w:cs="Calibri"/>
                <w:lang w:val="hr-HR"/>
              </w:rPr>
              <w:t xml:space="preserve">1. </w:t>
            </w:r>
            <w:r w:rsidR="00F04B06">
              <w:rPr>
                <w:rFonts w:ascii="Cambria" w:eastAsia="Times New Roman" w:hAnsi="Cambria" w:cs="Calibri"/>
                <w:lang w:val="hr-HR"/>
              </w:rPr>
              <w:t>–</w:t>
            </w:r>
            <w:r w:rsidRPr="00DF4CE5">
              <w:rPr>
                <w:rFonts w:ascii="Cambria" w:eastAsia="Times New Roman" w:hAnsi="Cambria" w:cs="Calibri"/>
                <w:lang w:val="hr-HR"/>
              </w:rPr>
              <w:t xml:space="preserve"> 3.</w:t>
            </w:r>
          </w:p>
        </w:tc>
        <w:tc>
          <w:tcPr>
            <w:tcW w:w="102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3D0A531" w14:textId="77777777" w:rsidR="00E41BE6" w:rsidRPr="00DF4CE5" w:rsidRDefault="00E41BE6" w:rsidP="00E41BE6">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22,5</w:t>
            </w:r>
          </w:p>
        </w:tc>
        <w:tc>
          <w:tcPr>
            <w:tcW w:w="83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65DF695"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0,75</w:t>
            </w:r>
          </w:p>
        </w:tc>
        <w:tc>
          <w:tcPr>
            <w:tcW w:w="13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DC98B4C" w14:textId="77777777" w:rsidR="00E41BE6" w:rsidRPr="00DF4CE5" w:rsidRDefault="00E41BE6" w:rsidP="00E41BE6">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 xml:space="preserve"> 20 %</w:t>
            </w:r>
          </w:p>
        </w:tc>
      </w:tr>
      <w:tr w:rsidR="00E41BE6" w:rsidRPr="00DF4CE5" w14:paraId="1479E596" w14:textId="77777777" w:rsidTr="000F57D9">
        <w:tc>
          <w:tcPr>
            <w:tcW w:w="2705" w:type="dxa"/>
            <w:vMerge/>
            <w:tcBorders>
              <w:left w:val="single" w:sz="8" w:space="0" w:color="000000"/>
              <w:right w:val="single" w:sz="8" w:space="0" w:color="000000"/>
            </w:tcBorders>
            <w:vAlign w:val="center"/>
          </w:tcPr>
          <w:p w14:paraId="6AF7D193" w14:textId="77777777" w:rsidR="00E41BE6" w:rsidRPr="00DF4CE5" w:rsidRDefault="00E41BE6" w:rsidP="00E41BE6">
            <w:pPr>
              <w:spacing w:after="0" w:line="240" w:lineRule="auto"/>
              <w:rPr>
                <w:rFonts w:ascii="Cambria" w:eastAsia="Times New Roman" w:hAnsi="Cambria" w:cs="Calibri"/>
                <w:lang w:val="hr-HR"/>
              </w:rPr>
            </w:pPr>
          </w:p>
        </w:tc>
        <w:tc>
          <w:tcPr>
            <w:tcW w:w="28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02FE59F" w14:textId="77777777" w:rsidR="00E41BE6" w:rsidRPr="00DF4CE5" w:rsidRDefault="00E41BE6" w:rsidP="00E41BE6">
            <w:pPr>
              <w:spacing w:after="0" w:line="240" w:lineRule="auto"/>
              <w:rPr>
                <w:rFonts w:ascii="Cambria" w:eastAsia="Times New Roman" w:hAnsi="Cambria" w:cs="Calibri"/>
              </w:rPr>
            </w:pPr>
            <w:r w:rsidRPr="00DF4CE5">
              <w:rPr>
                <w:rFonts w:ascii="Cambria" w:eastAsia="Times New Roman" w:hAnsi="Cambria" w:cs="Calibri"/>
                <w:lang w:val="hr-HR"/>
              </w:rPr>
              <w:t>vježbe pisanja nota</w:t>
            </w:r>
          </w:p>
        </w:tc>
        <w:tc>
          <w:tcPr>
            <w:tcW w:w="89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888C9ED" w14:textId="6967A336" w:rsidR="00E41BE6" w:rsidRPr="00DF4CE5" w:rsidRDefault="00E41BE6" w:rsidP="00E41BE6">
            <w:pPr>
              <w:spacing w:after="0" w:line="240" w:lineRule="auto"/>
              <w:rPr>
                <w:rFonts w:ascii="Cambria" w:eastAsia="Times New Roman" w:hAnsi="Cambria" w:cs="Times New Roman"/>
                <w:lang w:val="hr-HR"/>
              </w:rPr>
            </w:pPr>
            <w:r w:rsidRPr="00DF4CE5">
              <w:rPr>
                <w:rFonts w:ascii="Cambria" w:eastAsia="Times New Roman" w:hAnsi="Cambria" w:cs="Calibri"/>
                <w:lang w:val="hr-HR"/>
              </w:rPr>
              <w:t xml:space="preserve">1. </w:t>
            </w:r>
            <w:r w:rsidR="00F04B06">
              <w:rPr>
                <w:rFonts w:ascii="Cambria" w:eastAsia="Times New Roman" w:hAnsi="Cambria" w:cs="Calibri"/>
                <w:lang w:val="hr-HR"/>
              </w:rPr>
              <w:t>–</w:t>
            </w:r>
            <w:r w:rsidRPr="00DF4CE5">
              <w:rPr>
                <w:rFonts w:ascii="Cambria" w:eastAsia="Times New Roman" w:hAnsi="Cambria" w:cs="Calibri"/>
                <w:lang w:val="hr-HR"/>
              </w:rPr>
              <w:t xml:space="preserve"> 3.</w:t>
            </w:r>
          </w:p>
        </w:tc>
        <w:tc>
          <w:tcPr>
            <w:tcW w:w="102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2B72F51" w14:textId="77777777" w:rsidR="00E41BE6" w:rsidRPr="00DF4CE5" w:rsidRDefault="00E41BE6" w:rsidP="00E41BE6">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15</w:t>
            </w:r>
          </w:p>
        </w:tc>
        <w:tc>
          <w:tcPr>
            <w:tcW w:w="83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89EDBF7"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0,5</w:t>
            </w:r>
          </w:p>
        </w:tc>
        <w:tc>
          <w:tcPr>
            <w:tcW w:w="13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1696CA6" w14:textId="77777777" w:rsidR="00E41BE6" w:rsidRPr="00DF4CE5" w:rsidRDefault="00E41BE6" w:rsidP="00E41BE6">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 xml:space="preserve"> 20 %</w:t>
            </w:r>
          </w:p>
        </w:tc>
      </w:tr>
      <w:tr w:rsidR="00E41BE6" w:rsidRPr="00DF4CE5" w14:paraId="5DDE8FCD" w14:textId="77777777" w:rsidTr="000F57D9">
        <w:tc>
          <w:tcPr>
            <w:tcW w:w="2705" w:type="dxa"/>
            <w:vMerge/>
            <w:tcBorders>
              <w:left w:val="single" w:sz="8" w:space="0" w:color="000000"/>
              <w:right w:val="single" w:sz="8" w:space="0" w:color="000000"/>
            </w:tcBorders>
            <w:vAlign w:val="center"/>
          </w:tcPr>
          <w:p w14:paraId="236977B2" w14:textId="77777777" w:rsidR="00E41BE6" w:rsidRPr="00DF4CE5" w:rsidRDefault="00E41BE6" w:rsidP="00E41BE6">
            <w:pPr>
              <w:spacing w:after="0" w:line="240" w:lineRule="auto"/>
              <w:rPr>
                <w:rFonts w:ascii="Cambria" w:eastAsia="Times New Roman" w:hAnsi="Cambria" w:cs="Calibri"/>
                <w:lang w:val="hr-HR"/>
              </w:rPr>
            </w:pPr>
          </w:p>
        </w:tc>
        <w:tc>
          <w:tcPr>
            <w:tcW w:w="28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021B717"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vježbe čitanja doba</w:t>
            </w:r>
          </w:p>
        </w:tc>
        <w:tc>
          <w:tcPr>
            <w:tcW w:w="89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879B583" w14:textId="62C7B555" w:rsidR="00E41BE6" w:rsidRPr="00DF4CE5" w:rsidRDefault="00E41BE6" w:rsidP="00E41BE6">
            <w:pPr>
              <w:spacing w:after="0" w:line="240" w:lineRule="auto"/>
              <w:rPr>
                <w:rFonts w:ascii="Cambria" w:eastAsia="Times New Roman" w:hAnsi="Cambria" w:cs="Times New Roman"/>
                <w:lang w:val="hr-HR"/>
              </w:rPr>
            </w:pPr>
            <w:r w:rsidRPr="00DF4CE5">
              <w:rPr>
                <w:rFonts w:ascii="Cambria" w:eastAsia="Times New Roman" w:hAnsi="Cambria" w:cs="Calibri"/>
                <w:lang w:val="hr-HR"/>
              </w:rPr>
              <w:t xml:space="preserve">1. </w:t>
            </w:r>
            <w:r w:rsidR="00F04B06">
              <w:rPr>
                <w:rFonts w:ascii="Cambria" w:eastAsia="Times New Roman" w:hAnsi="Cambria" w:cs="Calibri"/>
                <w:lang w:val="hr-HR"/>
              </w:rPr>
              <w:t>–</w:t>
            </w:r>
            <w:r w:rsidRPr="00DF4CE5">
              <w:rPr>
                <w:rFonts w:ascii="Cambria" w:eastAsia="Times New Roman" w:hAnsi="Cambria" w:cs="Calibri"/>
                <w:lang w:val="hr-HR"/>
              </w:rPr>
              <w:t xml:space="preserve"> 3.</w:t>
            </w:r>
          </w:p>
        </w:tc>
        <w:tc>
          <w:tcPr>
            <w:tcW w:w="102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035395C" w14:textId="77777777" w:rsidR="00E41BE6" w:rsidRPr="00DF4CE5" w:rsidRDefault="00E41BE6" w:rsidP="00E41BE6">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15</w:t>
            </w:r>
          </w:p>
        </w:tc>
        <w:tc>
          <w:tcPr>
            <w:tcW w:w="83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4E63EF0"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0,5</w:t>
            </w:r>
          </w:p>
        </w:tc>
        <w:tc>
          <w:tcPr>
            <w:tcW w:w="13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0093FB9" w14:textId="77777777" w:rsidR="00E41BE6" w:rsidRPr="00DF4CE5" w:rsidRDefault="00E41BE6" w:rsidP="00E41BE6">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 xml:space="preserve"> 20 %</w:t>
            </w:r>
          </w:p>
        </w:tc>
      </w:tr>
      <w:tr w:rsidR="00E41BE6" w:rsidRPr="00DF4CE5" w14:paraId="2EB2129E" w14:textId="77777777" w:rsidTr="000F57D9">
        <w:tc>
          <w:tcPr>
            <w:tcW w:w="2705" w:type="dxa"/>
            <w:vMerge/>
            <w:tcBorders>
              <w:left w:val="single" w:sz="8" w:space="0" w:color="000000"/>
              <w:right w:val="single" w:sz="8" w:space="0" w:color="000000"/>
            </w:tcBorders>
            <w:vAlign w:val="center"/>
          </w:tcPr>
          <w:p w14:paraId="3E3F9798" w14:textId="77777777" w:rsidR="00E41BE6" w:rsidRPr="00DF4CE5" w:rsidRDefault="00E41BE6" w:rsidP="00E41BE6">
            <w:pPr>
              <w:spacing w:after="0" w:line="240" w:lineRule="auto"/>
              <w:rPr>
                <w:rFonts w:ascii="Cambria" w:eastAsia="Times New Roman" w:hAnsi="Cambria" w:cs="Calibri"/>
                <w:lang w:val="hr-HR"/>
              </w:rPr>
            </w:pPr>
          </w:p>
        </w:tc>
        <w:tc>
          <w:tcPr>
            <w:tcW w:w="28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8A7802E"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it-IT"/>
              </w:rPr>
              <w:t>k</w:t>
            </w:r>
            <w:proofErr w:type="spellStart"/>
            <w:r w:rsidRPr="00DF4CE5">
              <w:rPr>
                <w:rFonts w:ascii="Cambria" w:eastAsia="Times New Roman" w:hAnsi="Cambria" w:cs="Calibri"/>
                <w:lang w:val="hr-HR"/>
              </w:rPr>
              <w:t>olokvij</w:t>
            </w:r>
            <w:proofErr w:type="spellEnd"/>
            <w:r w:rsidRPr="00DF4CE5">
              <w:rPr>
                <w:rFonts w:ascii="Cambria" w:eastAsia="Times New Roman" w:hAnsi="Cambria" w:cs="Calibri"/>
                <w:lang w:val="it-IT"/>
              </w:rPr>
              <w:t xml:space="preserve"> I. (</w:t>
            </w:r>
            <w:proofErr w:type="spellStart"/>
            <w:r w:rsidRPr="00DF4CE5">
              <w:rPr>
                <w:rFonts w:ascii="Cambria" w:eastAsia="Times New Roman" w:hAnsi="Cambria" w:cs="Calibri"/>
                <w:lang w:val="it-IT"/>
              </w:rPr>
              <w:t>pismeni</w:t>
            </w:r>
            <w:proofErr w:type="spellEnd"/>
            <w:r w:rsidRPr="00DF4CE5">
              <w:rPr>
                <w:rFonts w:ascii="Cambria" w:eastAsia="Times New Roman" w:hAnsi="Cambria" w:cs="Calibri"/>
                <w:lang w:val="it-IT"/>
              </w:rPr>
              <w:t>)</w:t>
            </w:r>
          </w:p>
        </w:tc>
        <w:tc>
          <w:tcPr>
            <w:tcW w:w="89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ED3602" w14:textId="473E7C40" w:rsidR="00E41BE6" w:rsidRPr="00DF4CE5" w:rsidRDefault="00E41BE6" w:rsidP="00E41BE6">
            <w:pPr>
              <w:spacing w:after="0" w:line="240" w:lineRule="auto"/>
              <w:rPr>
                <w:rFonts w:ascii="Cambria" w:eastAsia="Times New Roman" w:hAnsi="Cambria" w:cs="Times New Roman"/>
                <w:lang w:val="hr-HR"/>
              </w:rPr>
            </w:pPr>
            <w:r w:rsidRPr="00DF4CE5">
              <w:rPr>
                <w:rFonts w:ascii="Cambria" w:eastAsia="Times New Roman" w:hAnsi="Cambria" w:cs="Calibri"/>
                <w:lang w:val="hr-HR"/>
              </w:rPr>
              <w:t xml:space="preserve">1. </w:t>
            </w:r>
            <w:r w:rsidR="00F04B06">
              <w:rPr>
                <w:rFonts w:ascii="Cambria" w:eastAsia="Times New Roman" w:hAnsi="Cambria" w:cs="Calibri"/>
                <w:lang w:val="hr-HR"/>
              </w:rPr>
              <w:t>–</w:t>
            </w:r>
            <w:r w:rsidRPr="00DF4CE5">
              <w:rPr>
                <w:rFonts w:ascii="Cambria" w:eastAsia="Times New Roman" w:hAnsi="Cambria" w:cs="Calibri"/>
                <w:lang w:val="hr-HR"/>
              </w:rPr>
              <w:t xml:space="preserve"> </w:t>
            </w:r>
            <w:r w:rsidR="00F04B06">
              <w:rPr>
                <w:rFonts w:ascii="Cambria" w:eastAsia="Times New Roman" w:hAnsi="Cambria" w:cs="Calibri"/>
                <w:lang w:val="hr-HR"/>
              </w:rPr>
              <w:t>3</w:t>
            </w:r>
            <w:r w:rsidRPr="00DF4CE5">
              <w:rPr>
                <w:rFonts w:ascii="Cambria" w:eastAsia="Times New Roman" w:hAnsi="Cambria" w:cs="Calibri"/>
                <w:lang w:val="hr-HR"/>
              </w:rPr>
              <w:t>.</w:t>
            </w:r>
          </w:p>
        </w:tc>
        <w:tc>
          <w:tcPr>
            <w:tcW w:w="102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33DC7A3" w14:textId="77777777" w:rsidR="00E41BE6" w:rsidRPr="00DF4CE5" w:rsidRDefault="00E41BE6" w:rsidP="00E41BE6">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22,5</w:t>
            </w:r>
          </w:p>
        </w:tc>
        <w:tc>
          <w:tcPr>
            <w:tcW w:w="83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4209B0C"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0,75</w:t>
            </w:r>
          </w:p>
        </w:tc>
        <w:tc>
          <w:tcPr>
            <w:tcW w:w="13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1E8E551" w14:textId="77777777" w:rsidR="00E41BE6" w:rsidRPr="00DF4CE5" w:rsidRDefault="00E41BE6" w:rsidP="00E41BE6">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 xml:space="preserve"> 20 %</w:t>
            </w:r>
          </w:p>
        </w:tc>
      </w:tr>
      <w:tr w:rsidR="00E41BE6" w:rsidRPr="00DF4CE5" w14:paraId="7E7143C9" w14:textId="77777777" w:rsidTr="000F57D9">
        <w:tc>
          <w:tcPr>
            <w:tcW w:w="2705" w:type="dxa"/>
            <w:vMerge/>
            <w:tcBorders>
              <w:left w:val="single" w:sz="8" w:space="0" w:color="000000"/>
              <w:right w:val="single" w:sz="8" w:space="0" w:color="000000"/>
            </w:tcBorders>
            <w:vAlign w:val="center"/>
          </w:tcPr>
          <w:p w14:paraId="0081081A" w14:textId="77777777" w:rsidR="00E41BE6" w:rsidRPr="00DF4CE5" w:rsidRDefault="00E41BE6" w:rsidP="00E41BE6">
            <w:pPr>
              <w:spacing w:after="0" w:line="240" w:lineRule="auto"/>
              <w:rPr>
                <w:rFonts w:ascii="Cambria" w:eastAsia="Times New Roman" w:hAnsi="Cambria" w:cs="Calibri"/>
                <w:lang w:val="hr-HR"/>
              </w:rPr>
            </w:pPr>
          </w:p>
        </w:tc>
        <w:tc>
          <w:tcPr>
            <w:tcW w:w="28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20729B" w14:textId="77777777" w:rsidR="00E41BE6" w:rsidRPr="00DF4CE5" w:rsidRDefault="00E41BE6" w:rsidP="00E41BE6">
            <w:pPr>
              <w:spacing w:after="0" w:line="240" w:lineRule="auto"/>
              <w:rPr>
                <w:rFonts w:ascii="Cambria" w:eastAsia="Times New Roman" w:hAnsi="Cambria" w:cs="Calibri"/>
                <w:lang w:val="it-IT"/>
              </w:rPr>
            </w:pPr>
            <w:proofErr w:type="spellStart"/>
            <w:r w:rsidRPr="00DF4CE5">
              <w:rPr>
                <w:rFonts w:ascii="Cambria" w:eastAsia="Times New Roman" w:hAnsi="Cambria" w:cs="Calibri"/>
                <w:lang w:val="it-IT"/>
              </w:rPr>
              <w:t>usmeni</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ispit</w:t>
            </w:r>
            <w:proofErr w:type="spellEnd"/>
          </w:p>
        </w:tc>
        <w:tc>
          <w:tcPr>
            <w:tcW w:w="89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D9A81D" w14:textId="1F6EFEFD" w:rsidR="00E41BE6" w:rsidRPr="00DF4CE5" w:rsidRDefault="00E41BE6" w:rsidP="00E41BE6">
            <w:pPr>
              <w:spacing w:after="0" w:line="240" w:lineRule="auto"/>
              <w:rPr>
                <w:rFonts w:ascii="Cambria" w:eastAsia="Times New Roman" w:hAnsi="Cambria" w:cs="Times New Roman"/>
                <w:lang w:val="hr-HR"/>
              </w:rPr>
            </w:pPr>
            <w:r w:rsidRPr="00DF4CE5">
              <w:rPr>
                <w:rFonts w:ascii="Cambria" w:eastAsia="Times New Roman" w:hAnsi="Cambria" w:cs="Calibri"/>
                <w:lang w:val="hr-HR"/>
              </w:rPr>
              <w:t xml:space="preserve">1. </w:t>
            </w:r>
            <w:r w:rsidR="00F04B06">
              <w:rPr>
                <w:rFonts w:ascii="Cambria" w:eastAsia="Times New Roman" w:hAnsi="Cambria" w:cs="Calibri"/>
                <w:lang w:val="hr-HR"/>
              </w:rPr>
              <w:t>–</w:t>
            </w:r>
            <w:r w:rsidRPr="00DF4CE5">
              <w:rPr>
                <w:rFonts w:ascii="Cambria" w:eastAsia="Times New Roman" w:hAnsi="Cambria" w:cs="Calibri"/>
                <w:lang w:val="hr-HR"/>
              </w:rPr>
              <w:t xml:space="preserve"> 3.</w:t>
            </w:r>
          </w:p>
        </w:tc>
        <w:tc>
          <w:tcPr>
            <w:tcW w:w="102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130CAB" w14:textId="77777777" w:rsidR="00E41BE6" w:rsidRPr="00DF4CE5" w:rsidRDefault="00E41BE6" w:rsidP="00E41BE6">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15</w:t>
            </w:r>
          </w:p>
        </w:tc>
        <w:tc>
          <w:tcPr>
            <w:tcW w:w="83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ED9D56F"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0,5</w:t>
            </w:r>
          </w:p>
        </w:tc>
        <w:tc>
          <w:tcPr>
            <w:tcW w:w="13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5DDF0F2" w14:textId="77777777" w:rsidR="00E41BE6" w:rsidRPr="00DF4CE5" w:rsidRDefault="00E41BE6" w:rsidP="00E41BE6">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 xml:space="preserve">  20 %</w:t>
            </w:r>
          </w:p>
        </w:tc>
      </w:tr>
      <w:tr w:rsidR="00E41BE6" w:rsidRPr="00DF4CE5" w14:paraId="5A2E72EB" w14:textId="77777777" w:rsidTr="000F57D9">
        <w:tc>
          <w:tcPr>
            <w:tcW w:w="2705" w:type="dxa"/>
            <w:vMerge/>
            <w:tcBorders>
              <w:left w:val="single" w:sz="8" w:space="0" w:color="000000"/>
              <w:right w:val="single" w:sz="8" w:space="0" w:color="000000"/>
            </w:tcBorders>
            <w:vAlign w:val="center"/>
          </w:tcPr>
          <w:p w14:paraId="5A4267FC" w14:textId="77777777" w:rsidR="00E41BE6" w:rsidRPr="00DF4CE5" w:rsidRDefault="00E41BE6" w:rsidP="00E41BE6">
            <w:pPr>
              <w:spacing w:after="0" w:line="240" w:lineRule="auto"/>
              <w:rPr>
                <w:rFonts w:ascii="Cambria" w:eastAsia="Times New Roman" w:hAnsi="Cambria" w:cs="Calibri"/>
                <w:lang w:val="hr-HR"/>
              </w:rPr>
            </w:pPr>
          </w:p>
        </w:tc>
        <w:tc>
          <w:tcPr>
            <w:tcW w:w="372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09C1307" w14:textId="223E75B7" w:rsidR="00E41BE6" w:rsidRPr="00DF4CE5" w:rsidRDefault="00F04B06" w:rsidP="00E41BE6">
            <w:pPr>
              <w:spacing w:after="0" w:line="240" w:lineRule="auto"/>
              <w:rPr>
                <w:rFonts w:ascii="Cambria" w:eastAsia="Times New Roman" w:hAnsi="Cambria" w:cs="Calibri"/>
                <w:lang w:val="hr-HR"/>
              </w:rPr>
            </w:pPr>
            <w:proofErr w:type="spellStart"/>
            <w:r>
              <w:rPr>
                <w:rFonts w:ascii="Cambria" w:eastAsia="Times New Roman" w:hAnsi="Cambria" w:cs="Calibri"/>
                <w:lang w:val="it-IT"/>
              </w:rPr>
              <w:t>u</w:t>
            </w:r>
            <w:r w:rsidR="00E41BE6" w:rsidRPr="00DF4CE5">
              <w:rPr>
                <w:rFonts w:ascii="Cambria" w:eastAsia="Times New Roman" w:hAnsi="Cambria" w:cs="Calibri"/>
                <w:lang w:val="it-IT"/>
              </w:rPr>
              <w:t>kupno</w:t>
            </w:r>
            <w:proofErr w:type="spellEnd"/>
          </w:p>
        </w:tc>
        <w:tc>
          <w:tcPr>
            <w:tcW w:w="102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E92BD46" w14:textId="77777777" w:rsidR="00E41BE6" w:rsidRPr="00DF4CE5" w:rsidRDefault="00E41BE6" w:rsidP="00E41BE6">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90</w:t>
            </w:r>
          </w:p>
        </w:tc>
        <w:tc>
          <w:tcPr>
            <w:tcW w:w="83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E73F615"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3</w:t>
            </w:r>
          </w:p>
        </w:tc>
        <w:tc>
          <w:tcPr>
            <w:tcW w:w="13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1B43A53" w14:textId="77777777" w:rsidR="00E41BE6" w:rsidRPr="00DF4CE5" w:rsidRDefault="00E41BE6" w:rsidP="00E41BE6">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100 %</w:t>
            </w:r>
          </w:p>
        </w:tc>
      </w:tr>
      <w:tr w:rsidR="00E41BE6" w:rsidRPr="00D0399C" w14:paraId="056BE774" w14:textId="77777777" w:rsidTr="000F57D9">
        <w:tc>
          <w:tcPr>
            <w:tcW w:w="2705" w:type="dxa"/>
            <w:vMerge/>
            <w:tcBorders>
              <w:left w:val="single" w:sz="8" w:space="0" w:color="000000"/>
              <w:bottom w:val="single" w:sz="8" w:space="0" w:color="000000"/>
              <w:right w:val="single" w:sz="8" w:space="0" w:color="000000"/>
            </w:tcBorders>
            <w:vAlign w:val="center"/>
          </w:tcPr>
          <w:p w14:paraId="42FB895F" w14:textId="77777777" w:rsidR="00E41BE6" w:rsidRPr="00DF4CE5" w:rsidRDefault="00E41BE6" w:rsidP="00E41BE6">
            <w:pPr>
              <w:spacing w:after="0" w:line="240" w:lineRule="auto"/>
              <w:rPr>
                <w:rFonts w:ascii="Cambria" w:eastAsia="Times New Roman" w:hAnsi="Cambria" w:cs="Calibri"/>
                <w:lang w:val="hr-HR"/>
              </w:rPr>
            </w:pPr>
          </w:p>
        </w:tc>
        <w:tc>
          <w:tcPr>
            <w:tcW w:w="6943" w:type="dxa"/>
            <w:gridSpan w:val="6"/>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6D1DFD9"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Dodatna pojašnjenja (kriteriji ocjenjivanja):</w:t>
            </w:r>
          </w:p>
          <w:p w14:paraId="7C85559B"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lastRenderedPageBreak/>
              <w:t>Pohađanje je nastave obvezno. Tolerira se 30 % izostanaka koje nije potrebno opravdati. Svaki dolazak na nastavu donosi 1 bod. Max. 20 bodova.</w:t>
            </w:r>
          </w:p>
          <w:p w14:paraId="223209FB" w14:textId="77777777" w:rsidR="00E41BE6" w:rsidRPr="00DF4CE5" w:rsidRDefault="00E41BE6" w:rsidP="00E41BE6">
            <w:pPr>
              <w:spacing w:after="0" w:line="240" w:lineRule="auto"/>
              <w:rPr>
                <w:rFonts w:ascii="Cambria" w:eastAsia="Times New Roman" w:hAnsi="Cambria" w:cs="Calibri"/>
                <w:lang w:val="pl-PL"/>
              </w:rPr>
            </w:pPr>
            <w:r w:rsidRPr="00DF4CE5">
              <w:rPr>
                <w:rFonts w:ascii="Cambria" w:eastAsia="Times New Roman" w:hAnsi="Cambria" w:cs="Calibri"/>
                <w:lang w:val="pl-PL"/>
              </w:rPr>
              <w:t>Tehničke vježbe sviranja</w:t>
            </w:r>
          </w:p>
          <w:p w14:paraId="74B5A099" w14:textId="77777777" w:rsidR="00E41BE6" w:rsidRPr="00DF4CE5" w:rsidRDefault="00E41BE6" w:rsidP="00E41BE6">
            <w:pPr>
              <w:spacing w:after="0" w:line="240" w:lineRule="auto"/>
              <w:rPr>
                <w:rFonts w:ascii="Cambria" w:eastAsia="Times New Roman" w:hAnsi="Cambria" w:cs="Calibri"/>
                <w:lang w:val="pl-PL"/>
              </w:rPr>
            </w:pPr>
            <w:r w:rsidRPr="00DF4CE5">
              <w:rPr>
                <w:rFonts w:ascii="Cambria" w:eastAsia="Times New Roman" w:hAnsi="Cambria" w:cs="Calibri"/>
                <w:lang w:val="pl-PL"/>
              </w:rPr>
              <w:t>Svaki uspješno odsvirani zadatak nosi 2 boda. Student može max. ostvariti 20 % udjela u ocjeni.</w:t>
            </w:r>
          </w:p>
          <w:p w14:paraId="76DEF32F" w14:textId="77777777" w:rsidR="00E41BE6" w:rsidRPr="00DF4CE5" w:rsidRDefault="00E41BE6" w:rsidP="00E41BE6">
            <w:pPr>
              <w:spacing w:after="0" w:line="240" w:lineRule="auto"/>
              <w:rPr>
                <w:rFonts w:ascii="Cambria" w:eastAsia="Times New Roman" w:hAnsi="Cambria" w:cs="Calibri"/>
                <w:lang w:val="pl-PL"/>
              </w:rPr>
            </w:pPr>
            <w:r w:rsidRPr="00DF4CE5">
              <w:rPr>
                <w:rFonts w:ascii="Cambria" w:eastAsia="Times New Roman" w:hAnsi="Cambria" w:cs="Calibri"/>
                <w:lang w:val="pl-PL"/>
              </w:rPr>
              <w:t>Vježbe iz teorije</w:t>
            </w:r>
          </w:p>
          <w:p w14:paraId="6224379A" w14:textId="77777777" w:rsidR="00E41BE6" w:rsidRPr="00DF4CE5" w:rsidRDefault="00E41BE6" w:rsidP="00E41BE6">
            <w:pPr>
              <w:spacing w:after="0" w:line="240" w:lineRule="auto"/>
              <w:rPr>
                <w:rFonts w:ascii="Cambria" w:eastAsia="Times New Roman" w:hAnsi="Cambria" w:cs="Calibri"/>
                <w:lang w:val="pl-PL"/>
              </w:rPr>
            </w:pPr>
            <w:r w:rsidRPr="00DF4CE5">
              <w:rPr>
                <w:rFonts w:ascii="Cambria" w:eastAsia="Times New Roman" w:hAnsi="Cambria" w:cs="Calibri"/>
                <w:lang w:val="pl-PL"/>
              </w:rPr>
              <w:t>Svaki uspješno napisani domaći zadatak iz teorije nosi 2 boda. Student može max. ostvariti 20 % udjela u ocjeni.</w:t>
            </w:r>
          </w:p>
          <w:p w14:paraId="2275ED95" w14:textId="77777777" w:rsidR="00E41BE6" w:rsidRPr="00DF4CE5" w:rsidRDefault="00E41BE6" w:rsidP="00E41BE6">
            <w:pPr>
              <w:spacing w:after="0" w:line="240" w:lineRule="auto"/>
              <w:rPr>
                <w:rFonts w:ascii="Cambria" w:eastAsia="Times New Roman" w:hAnsi="Cambria" w:cs="Calibri"/>
                <w:lang w:val="pl-PL"/>
              </w:rPr>
            </w:pPr>
            <w:r w:rsidRPr="00DF4CE5">
              <w:rPr>
                <w:rFonts w:ascii="Cambria" w:eastAsia="Times New Roman" w:hAnsi="Cambria" w:cs="Calibri"/>
                <w:lang w:val="pl-PL"/>
              </w:rPr>
              <w:t xml:space="preserve">Na kolokviju se piše glazbena teorija. Kolokvij nosi 20 %. </w:t>
            </w:r>
          </w:p>
          <w:p w14:paraId="2128306B"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Kolokviji se ocjenjuju na sljedeći način:</w:t>
            </w:r>
          </w:p>
          <w:p w14:paraId="1DD630B2"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ab/>
              <w:t>50 % točnih odgovora i manje = 0 %</w:t>
            </w:r>
          </w:p>
          <w:p w14:paraId="3D16DC81"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ab/>
              <w:t>svaki slijedeći točni postotak nosi udio u ocjeni, u proporcionalnom postotku.</w:t>
            </w:r>
          </w:p>
          <w:p w14:paraId="3116116A"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Usmeni ispit</w:t>
            </w:r>
          </w:p>
          <w:p w14:paraId="36A6CD1A"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 xml:space="preserve">        Na usmenom ispitu ocjenjuje se čitanje „a prima </w:t>
            </w:r>
            <w:proofErr w:type="spellStart"/>
            <w:r w:rsidRPr="00DF4CE5">
              <w:rPr>
                <w:rFonts w:ascii="Cambria" w:eastAsia="Times New Roman" w:hAnsi="Cambria" w:cs="Calibri"/>
                <w:lang w:val="hr-HR"/>
              </w:rPr>
              <w:t>vista</w:t>
            </w:r>
            <w:proofErr w:type="spellEnd"/>
            <w:r w:rsidRPr="00DF4CE5">
              <w:rPr>
                <w:rFonts w:ascii="Cambria" w:eastAsia="Times New Roman" w:hAnsi="Cambria" w:cs="Calibri"/>
                <w:lang w:val="hr-HR"/>
              </w:rPr>
              <w:t>“:</w:t>
            </w:r>
          </w:p>
          <w:p w14:paraId="38171DC3" w14:textId="77777777" w:rsidR="00E41BE6" w:rsidRPr="00DF4CE5" w:rsidRDefault="00E41BE6" w:rsidP="00E41BE6">
            <w:pPr>
              <w:spacing w:after="0" w:line="240" w:lineRule="auto"/>
              <w:ind w:firstLine="360"/>
              <w:rPr>
                <w:rFonts w:ascii="Cambria" w:eastAsia="Times New Roman" w:hAnsi="Cambria" w:cs="Calibri"/>
                <w:lang w:val="hr-HR"/>
              </w:rPr>
            </w:pPr>
            <w:r w:rsidRPr="00DF4CE5">
              <w:rPr>
                <w:rFonts w:ascii="Cambria" w:eastAsia="Times New Roman" w:hAnsi="Cambria" w:cs="Calibri"/>
                <w:lang w:val="hr-HR"/>
              </w:rPr>
              <w:t>0 %  = nije savladana vještina čitanja notnog pisma</w:t>
            </w:r>
          </w:p>
          <w:p w14:paraId="69DD87F8" w14:textId="77777777" w:rsidR="00E41BE6" w:rsidRPr="00DF4CE5" w:rsidRDefault="00E41BE6" w:rsidP="00E41BE6">
            <w:pPr>
              <w:spacing w:after="0" w:line="240" w:lineRule="auto"/>
              <w:ind w:firstLine="360"/>
              <w:rPr>
                <w:rFonts w:ascii="Cambria" w:eastAsia="Times New Roman" w:hAnsi="Cambria" w:cs="Calibri"/>
                <w:lang w:val="hr-HR"/>
              </w:rPr>
            </w:pPr>
            <w:r w:rsidRPr="00DF4CE5">
              <w:rPr>
                <w:rFonts w:ascii="Cambria" w:eastAsia="Times New Roman" w:hAnsi="Cambria" w:cs="Calibri"/>
                <w:lang w:val="hr-HR"/>
              </w:rPr>
              <w:t>5 % = nije savladana vještina čitanja notnog pisma</w:t>
            </w:r>
          </w:p>
          <w:p w14:paraId="72B635E5" w14:textId="77777777" w:rsidR="00E41BE6" w:rsidRPr="00DF4CE5" w:rsidRDefault="00E41BE6" w:rsidP="00E41BE6">
            <w:pPr>
              <w:spacing w:after="0" w:line="240" w:lineRule="auto"/>
              <w:ind w:firstLine="360"/>
              <w:rPr>
                <w:rFonts w:ascii="Cambria" w:eastAsia="Times New Roman" w:hAnsi="Cambria" w:cs="Calibri"/>
                <w:lang w:val="hr-HR"/>
              </w:rPr>
            </w:pPr>
            <w:r w:rsidRPr="00DF4CE5">
              <w:rPr>
                <w:rFonts w:ascii="Cambria" w:eastAsia="Times New Roman" w:hAnsi="Cambria" w:cs="Calibri"/>
                <w:lang w:val="hr-HR"/>
              </w:rPr>
              <w:t>10 % = srednja ocjena svih segmenata dobar</w:t>
            </w:r>
          </w:p>
          <w:p w14:paraId="533E753F" w14:textId="77777777" w:rsidR="00E41BE6" w:rsidRPr="00DF4CE5" w:rsidRDefault="00E41BE6" w:rsidP="00E41BE6">
            <w:pPr>
              <w:spacing w:after="0" w:line="240" w:lineRule="auto"/>
              <w:ind w:firstLine="360"/>
              <w:rPr>
                <w:rFonts w:ascii="Cambria" w:eastAsia="Times New Roman" w:hAnsi="Cambria" w:cs="Calibri"/>
                <w:lang w:val="hr-HR"/>
              </w:rPr>
            </w:pPr>
            <w:r w:rsidRPr="00DF4CE5">
              <w:rPr>
                <w:rFonts w:ascii="Cambria" w:eastAsia="Times New Roman" w:hAnsi="Cambria" w:cs="Calibri"/>
                <w:lang w:val="hr-HR"/>
              </w:rPr>
              <w:t>20 % = srednja ocjena svih segmenata odličan</w:t>
            </w:r>
          </w:p>
          <w:p w14:paraId="1E24D0D3"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Na usmenom ispitu mogu se polagati i elementi koji nisu savladani tijekom semestra.</w:t>
            </w:r>
          </w:p>
        </w:tc>
      </w:tr>
      <w:tr w:rsidR="00E41BE6" w:rsidRPr="00D0399C" w14:paraId="3BEC8ED3" w14:textId="77777777" w:rsidTr="000F57D9">
        <w:tc>
          <w:tcPr>
            <w:tcW w:w="270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79AF47B"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lastRenderedPageBreak/>
              <w:t>Studentske obveze</w:t>
            </w:r>
          </w:p>
        </w:tc>
        <w:tc>
          <w:tcPr>
            <w:tcW w:w="6943"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EA1D406" w14:textId="2D218412" w:rsidR="00E41BE6" w:rsidRPr="00DF4CE5" w:rsidRDefault="00F04B06" w:rsidP="00E41BE6">
            <w:pPr>
              <w:spacing w:after="0" w:line="240" w:lineRule="auto"/>
              <w:rPr>
                <w:rFonts w:ascii="Cambria" w:eastAsia="Times New Roman" w:hAnsi="Cambria" w:cs="Calibri"/>
                <w:lang w:val="hr-HR"/>
              </w:rPr>
            </w:pPr>
            <w:r>
              <w:rPr>
                <w:rFonts w:ascii="Cambria" w:eastAsia="Times New Roman" w:hAnsi="Cambria" w:cs="Calibri"/>
                <w:lang w:val="hr-HR"/>
              </w:rPr>
              <w:t>Da</w:t>
            </w:r>
            <w:r w:rsidR="00E41BE6" w:rsidRPr="00DF4CE5">
              <w:rPr>
                <w:rFonts w:ascii="Cambria" w:eastAsia="Times New Roman" w:hAnsi="Cambria" w:cs="Calibri"/>
                <w:lang w:val="hr-HR"/>
              </w:rPr>
              <w:t xml:space="preserve"> položi kolegij, student/studentica mora:</w:t>
            </w:r>
          </w:p>
          <w:p w14:paraId="114FACA5" w14:textId="3A97344F" w:rsidR="00E41BE6" w:rsidRPr="00DF4CE5" w:rsidRDefault="00F04B06" w:rsidP="00F04B06">
            <w:pPr>
              <w:spacing w:after="0" w:line="240" w:lineRule="auto"/>
              <w:contextualSpacing/>
              <w:rPr>
                <w:rFonts w:ascii="Cambria" w:eastAsia="Times New Roman" w:hAnsi="Cambria" w:cs="Calibri"/>
                <w:lang w:val="hr-HR"/>
              </w:rPr>
            </w:pPr>
            <w:r>
              <w:rPr>
                <w:rFonts w:ascii="Cambria" w:eastAsia="Times New Roman" w:hAnsi="Cambria" w:cs="Calibri"/>
                <w:lang w:val="hr-HR"/>
              </w:rPr>
              <w:t>1. p</w:t>
            </w:r>
            <w:r w:rsidR="00E41BE6" w:rsidRPr="00DF4CE5">
              <w:rPr>
                <w:rFonts w:ascii="Cambria" w:eastAsia="Times New Roman" w:hAnsi="Cambria" w:cs="Calibri"/>
                <w:lang w:val="hr-HR"/>
              </w:rPr>
              <w:t>ohađati nastavu</w:t>
            </w:r>
          </w:p>
          <w:p w14:paraId="389EEDD7" w14:textId="036C5767" w:rsidR="00E41BE6" w:rsidRPr="00DF4CE5" w:rsidRDefault="00F04B06" w:rsidP="00F04B06">
            <w:pPr>
              <w:spacing w:after="0" w:line="240" w:lineRule="auto"/>
              <w:contextualSpacing/>
              <w:rPr>
                <w:rFonts w:ascii="Cambria" w:eastAsia="Times New Roman" w:hAnsi="Cambria" w:cs="Calibri"/>
                <w:lang w:val="hr-HR"/>
              </w:rPr>
            </w:pPr>
            <w:r>
              <w:rPr>
                <w:rFonts w:ascii="Cambria" w:eastAsia="Times New Roman" w:hAnsi="Cambria" w:cs="Calibri"/>
                <w:lang w:val="hr-HR"/>
              </w:rPr>
              <w:t>2. r</w:t>
            </w:r>
            <w:r w:rsidR="00E41BE6" w:rsidRPr="00DF4CE5">
              <w:rPr>
                <w:rFonts w:ascii="Cambria" w:eastAsia="Times New Roman" w:hAnsi="Cambria" w:cs="Calibri"/>
                <w:lang w:val="hr-HR"/>
              </w:rPr>
              <w:t>ealizirati vježbe teorije</w:t>
            </w:r>
          </w:p>
          <w:p w14:paraId="441717EA" w14:textId="63B90B73" w:rsidR="00E41BE6" w:rsidRPr="00DF4CE5" w:rsidRDefault="00F04B06" w:rsidP="00F04B06">
            <w:pPr>
              <w:spacing w:after="0" w:line="240" w:lineRule="auto"/>
              <w:contextualSpacing/>
              <w:rPr>
                <w:rFonts w:ascii="Cambria" w:eastAsia="Times New Roman" w:hAnsi="Cambria" w:cs="Calibri"/>
                <w:lang w:val="hr-HR"/>
              </w:rPr>
            </w:pPr>
            <w:r>
              <w:rPr>
                <w:rFonts w:ascii="Cambria" w:eastAsia="Times New Roman" w:hAnsi="Cambria" w:cs="Calibri"/>
                <w:lang w:val="hr-HR"/>
              </w:rPr>
              <w:t>3. r</w:t>
            </w:r>
            <w:r w:rsidR="00E41BE6" w:rsidRPr="00DF4CE5">
              <w:rPr>
                <w:rFonts w:ascii="Cambria" w:eastAsia="Times New Roman" w:hAnsi="Cambria" w:cs="Calibri"/>
                <w:lang w:val="hr-HR"/>
              </w:rPr>
              <w:t>ealizirati vježbe sviranja</w:t>
            </w:r>
          </w:p>
          <w:p w14:paraId="44FD386F" w14:textId="453B3944" w:rsidR="00E41BE6" w:rsidRPr="00DF4CE5" w:rsidRDefault="00F04B06" w:rsidP="00F04B06">
            <w:pPr>
              <w:spacing w:after="0" w:line="240" w:lineRule="auto"/>
              <w:contextualSpacing/>
              <w:rPr>
                <w:rFonts w:ascii="Cambria" w:eastAsia="Times New Roman" w:hAnsi="Cambria" w:cs="Calibri"/>
                <w:lang w:val="hr-HR"/>
              </w:rPr>
            </w:pPr>
            <w:r>
              <w:rPr>
                <w:rFonts w:ascii="Cambria" w:eastAsia="Times New Roman" w:hAnsi="Cambria" w:cs="Calibri"/>
                <w:lang w:val="hr-HR"/>
              </w:rPr>
              <w:t>4. p</w:t>
            </w:r>
            <w:r w:rsidR="00E41BE6" w:rsidRPr="00DF4CE5">
              <w:rPr>
                <w:rFonts w:ascii="Cambria" w:eastAsia="Times New Roman" w:hAnsi="Cambria" w:cs="Calibri"/>
                <w:lang w:val="hr-HR"/>
              </w:rPr>
              <w:t>oložiti kolokvije</w:t>
            </w:r>
          </w:p>
          <w:p w14:paraId="416ADEA7" w14:textId="225E0264" w:rsidR="00E41BE6" w:rsidRPr="00DF4CE5" w:rsidRDefault="00F04B06" w:rsidP="00F04B06">
            <w:pPr>
              <w:spacing w:after="0" w:line="240" w:lineRule="auto"/>
              <w:contextualSpacing/>
              <w:rPr>
                <w:rFonts w:ascii="Cambria" w:eastAsia="Times New Roman" w:hAnsi="Cambria" w:cs="Calibri"/>
                <w:lang w:val="hr-HR"/>
              </w:rPr>
            </w:pPr>
            <w:r>
              <w:rPr>
                <w:rFonts w:ascii="Cambria" w:eastAsia="Times New Roman" w:hAnsi="Cambria" w:cs="Calibri"/>
                <w:lang w:val="hr-HR"/>
              </w:rPr>
              <w:t>5. p</w:t>
            </w:r>
            <w:r w:rsidR="00E41BE6" w:rsidRPr="00DF4CE5">
              <w:rPr>
                <w:rFonts w:ascii="Cambria" w:eastAsia="Times New Roman" w:hAnsi="Cambria" w:cs="Calibri"/>
                <w:lang w:val="hr-HR"/>
              </w:rPr>
              <w:t>ristupiti usmenom ispitu</w:t>
            </w:r>
            <w:r>
              <w:rPr>
                <w:rFonts w:ascii="Cambria" w:eastAsia="Times New Roman" w:hAnsi="Cambria" w:cs="Calibri"/>
                <w:lang w:val="hr-HR"/>
              </w:rPr>
              <w:t xml:space="preserve">. </w:t>
            </w:r>
          </w:p>
        </w:tc>
      </w:tr>
      <w:tr w:rsidR="00E41BE6" w:rsidRPr="00D0399C" w14:paraId="5789CECA" w14:textId="77777777" w:rsidTr="000F57D9">
        <w:tc>
          <w:tcPr>
            <w:tcW w:w="270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D300C8A" w14:textId="77777777" w:rsidR="00E41BE6" w:rsidRPr="00DF4CE5" w:rsidRDefault="00E41BE6" w:rsidP="00E41BE6">
            <w:pPr>
              <w:spacing w:after="0" w:line="240" w:lineRule="auto"/>
              <w:rPr>
                <w:rFonts w:ascii="Cambria" w:eastAsia="Times New Roman" w:hAnsi="Cambria" w:cs="Calibri"/>
                <w:lang w:val="hr-HR"/>
              </w:rPr>
            </w:pPr>
            <w:proofErr w:type="spellStart"/>
            <w:r w:rsidRPr="00DF4CE5">
              <w:rPr>
                <w:rFonts w:ascii="Cambria" w:eastAsia="Times New Roman" w:hAnsi="Cambria" w:cs="Calibri"/>
              </w:rPr>
              <w:t>Rokovi</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ispita</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i</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kolokvija</w:t>
            </w:r>
            <w:proofErr w:type="spellEnd"/>
          </w:p>
        </w:tc>
        <w:tc>
          <w:tcPr>
            <w:tcW w:w="6943"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75E0CCF" w14:textId="77777777" w:rsidR="00E41BE6" w:rsidRPr="00DF4CE5" w:rsidRDefault="00E41BE6" w:rsidP="00E41BE6">
            <w:pPr>
              <w:spacing w:after="0" w:line="240" w:lineRule="auto"/>
              <w:rPr>
                <w:rFonts w:ascii="Cambria" w:eastAsia="Times New Roman" w:hAnsi="Cambria" w:cs="Calibri"/>
                <w:lang w:val="pl-PL"/>
              </w:rPr>
            </w:pPr>
            <w:r w:rsidRPr="00DF4CE5">
              <w:rPr>
                <w:rFonts w:ascii="Cambria" w:eastAsia="Times New Roman" w:hAnsi="Cambria" w:cs="Calibri"/>
                <w:lang w:val="pl-PL"/>
              </w:rPr>
              <w:t xml:space="preserve">Kolokviji se pišu u travnju i svibnju. Na predzadnjem satu semestra dodatni je rok kolokvija za studente koji iz opravdanih razloga nisu pristupili prije ili nisu ostvarili minimalni postotak. </w:t>
            </w:r>
          </w:p>
          <w:p w14:paraId="2E1E32A6"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pl-PL"/>
              </w:rPr>
              <w:t>Rokovi se objavljuju na mrežnim stranicama Fakulteta za odgojne i obrazovne znanosti i ISVU</w:t>
            </w:r>
          </w:p>
        </w:tc>
      </w:tr>
      <w:tr w:rsidR="00E41BE6" w:rsidRPr="00F04B06" w14:paraId="3EC773D7" w14:textId="77777777" w:rsidTr="000F57D9">
        <w:tc>
          <w:tcPr>
            <w:tcW w:w="270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CCEF5F8"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 xml:space="preserve">Ostale važne činjenice </w:t>
            </w:r>
            <w:proofErr w:type="spellStart"/>
            <w:r w:rsidRPr="00DF4CE5">
              <w:rPr>
                <w:rFonts w:ascii="Cambria" w:eastAsia="Times New Roman" w:hAnsi="Cambria" w:cs="Calibri"/>
                <w:lang w:val="it-IT"/>
              </w:rPr>
              <w:t>vezane</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uz</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kolegij</w:t>
            </w:r>
            <w:proofErr w:type="spellEnd"/>
          </w:p>
        </w:tc>
        <w:tc>
          <w:tcPr>
            <w:tcW w:w="6943"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ABF1C17" w14:textId="77777777" w:rsidR="00E41BE6" w:rsidRPr="00DF4CE5" w:rsidRDefault="00E41BE6" w:rsidP="00E41BE6">
            <w:pPr>
              <w:spacing w:after="0" w:line="240" w:lineRule="auto"/>
              <w:rPr>
                <w:rFonts w:ascii="Cambria" w:eastAsia="Times New Roman" w:hAnsi="Cambria" w:cs="Calibri"/>
                <w:lang w:val="pl-PL"/>
              </w:rPr>
            </w:pPr>
            <w:r w:rsidRPr="00DF4CE5">
              <w:rPr>
                <w:rFonts w:ascii="Cambria" w:eastAsia="Times New Roman" w:hAnsi="Cambria" w:cs="Calibri"/>
                <w:lang w:val="pl-PL"/>
              </w:rPr>
              <w:t xml:space="preserve">Tijekom nastave potrebno je doseći minimalni udio u ocjeni (ukupno 20%) za pristupiti usmenom. </w:t>
            </w:r>
          </w:p>
          <w:p w14:paraId="60A54E88" w14:textId="77777777" w:rsidR="00E41BE6" w:rsidRPr="00DF4CE5" w:rsidRDefault="00E41BE6" w:rsidP="00E41BE6">
            <w:pPr>
              <w:spacing w:after="0" w:line="240" w:lineRule="auto"/>
              <w:rPr>
                <w:rFonts w:ascii="Cambria" w:eastAsia="Times New Roman" w:hAnsi="Cambria" w:cs="Calibri"/>
                <w:lang w:val="pl-PL"/>
              </w:rPr>
            </w:pPr>
            <w:r w:rsidRPr="00DF4CE5">
              <w:rPr>
                <w:rFonts w:ascii="Cambria" w:eastAsia="Times New Roman" w:hAnsi="Cambria" w:cs="Calibri"/>
                <w:lang w:val="pl-PL"/>
              </w:rPr>
              <w:t>Svi elementi moraju biti pozitivno ocijenjeni.</w:t>
            </w:r>
          </w:p>
          <w:p w14:paraId="40C2AFBE"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pl-PL"/>
              </w:rPr>
              <w:t>Prije usmenog, na roku se mogu položiti i ostali negativno ocijenjeni segmenti.</w:t>
            </w:r>
          </w:p>
          <w:p w14:paraId="07DCDAED" w14:textId="529EE2F6"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 xml:space="preserve">U slučaju održavanja nastave na daljinu, moguće je odstupanje u: mjestu izvođenja kolegija, provedbi aktivnosti, metoda tumačenja i poučavanja i načinima vrednovanja, studentskim obvezama i dostupnoj literaturi. O tome će nositeljica i </w:t>
            </w:r>
            <w:r w:rsidR="00F04B06">
              <w:rPr>
                <w:rFonts w:ascii="Cambria" w:eastAsia="Times New Roman" w:hAnsi="Cambria" w:cs="Calibri"/>
                <w:lang w:val="hr-HR"/>
              </w:rPr>
              <w:t>suradnik</w:t>
            </w:r>
            <w:r w:rsidRPr="00DF4CE5">
              <w:rPr>
                <w:rFonts w:ascii="Cambria" w:eastAsia="Times New Roman" w:hAnsi="Cambria" w:cs="Calibri"/>
                <w:lang w:val="hr-HR"/>
              </w:rPr>
              <w:t xml:space="preserve"> obavijestiti studente i studentice kad se nastava na daljinu počne održavati. Ishodi učenja ostaju nepromijenjeni.</w:t>
            </w:r>
          </w:p>
        </w:tc>
      </w:tr>
      <w:tr w:rsidR="00E41BE6" w:rsidRPr="00DF4CE5" w14:paraId="62A1181E" w14:textId="77777777" w:rsidTr="000F57D9">
        <w:trPr>
          <w:trHeight w:val="770"/>
        </w:trPr>
        <w:tc>
          <w:tcPr>
            <w:tcW w:w="270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4B3CC5C"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Literatura</w:t>
            </w:r>
          </w:p>
        </w:tc>
        <w:tc>
          <w:tcPr>
            <w:tcW w:w="6943" w:type="dxa"/>
            <w:gridSpan w:val="6"/>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00B3A351"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 xml:space="preserve">Obvezna: </w:t>
            </w:r>
          </w:p>
          <w:p w14:paraId="068D0F41"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1. Petrović, T. (2007). Osnove teorije glazbe. Zagreb: Hrvatsko društvo glazbenih teoretičara, str. 3-120.</w:t>
            </w:r>
          </w:p>
          <w:p w14:paraId="6C8EE643"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2. Sam, R. (1998). Glazbeni doživljaj u odgoju djeteta. Rijeka: Glosa, str. 11.-35., 107.-135.</w:t>
            </w:r>
          </w:p>
          <w:p w14:paraId="41247FC6"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 xml:space="preserve">3. </w:t>
            </w:r>
            <w:proofErr w:type="spellStart"/>
            <w:r w:rsidRPr="00DF4CE5">
              <w:rPr>
                <w:rFonts w:ascii="Cambria" w:eastAsia="Times New Roman" w:hAnsi="Cambria" w:cs="Calibri"/>
                <w:lang w:val="hr-HR"/>
              </w:rPr>
              <w:t>Završki</w:t>
            </w:r>
            <w:proofErr w:type="spellEnd"/>
            <w:r w:rsidRPr="00DF4CE5">
              <w:rPr>
                <w:rFonts w:ascii="Cambria" w:eastAsia="Times New Roman" w:hAnsi="Cambria" w:cs="Calibri"/>
                <w:lang w:val="hr-HR"/>
              </w:rPr>
              <w:t>, J. (1995). Teorija glazbe. Zagreb: Pedagoško-književni zbor, str. 13.-109.</w:t>
            </w:r>
          </w:p>
          <w:p w14:paraId="3046AB05"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Izborna:</w:t>
            </w:r>
          </w:p>
          <w:p w14:paraId="221B9B5C"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lastRenderedPageBreak/>
              <w:t xml:space="preserve">1.  </w:t>
            </w:r>
            <w:proofErr w:type="spellStart"/>
            <w:r w:rsidRPr="00DF4CE5">
              <w:rPr>
                <w:rFonts w:ascii="Cambria" w:eastAsia="Times New Roman" w:hAnsi="Cambria" w:cs="Calibri"/>
                <w:lang w:val="hr-HR"/>
              </w:rPr>
              <w:t>Ashworth</w:t>
            </w:r>
            <w:proofErr w:type="spellEnd"/>
            <w:r w:rsidRPr="00DF4CE5">
              <w:rPr>
                <w:rFonts w:ascii="Cambria" w:eastAsia="Times New Roman" w:hAnsi="Cambria" w:cs="Calibri"/>
                <w:lang w:val="hr-HR"/>
              </w:rPr>
              <w:t>, S. (2011). Naučite svirati klavijature. Zagreb: Mozaik knjiga.</w:t>
            </w:r>
          </w:p>
          <w:p w14:paraId="1823E946"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 xml:space="preserve">2. </w:t>
            </w:r>
            <w:proofErr w:type="spellStart"/>
            <w:r w:rsidRPr="00DF4CE5">
              <w:rPr>
                <w:rFonts w:ascii="Cambria" w:eastAsia="Times New Roman" w:hAnsi="Cambria" w:cs="Calibri"/>
                <w:lang w:val="hr-HR"/>
              </w:rPr>
              <w:t>Riman</w:t>
            </w:r>
            <w:proofErr w:type="spellEnd"/>
            <w:r w:rsidRPr="00DF4CE5">
              <w:rPr>
                <w:rFonts w:ascii="Cambria" w:eastAsia="Times New Roman" w:hAnsi="Cambria" w:cs="Calibri"/>
                <w:lang w:val="hr-HR"/>
              </w:rPr>
              <w:t>, M. (2001). Zvončići. Rijeka: Izdavački centar Rijeka.</w:t>
            </w:r>
          </w:p>
          <w:p w14:paraId="34B8D588"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3. Tomašić, Đ. (2003). Osnove glazbene teorije. Zagreb: Erudit</w:t>
            </w:r>
          </w:p>
          <w:p w14:paraId="2998B694" w14:textId="3475D088"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 xml:space="preserve">4. </w:t>
            </w:r>
            <w:proofErr w:type="spellStart"/>
            <w:r w:rsidRPr="00DF4CE5">
              <w:rPr>
                <w:rFonts w:ascii="Cambria" w:eastAsia="Times New Roman" w:hAnsi="Cambria" w:cs="Calibri"/>
                <w:lang w:val="hr-HR"/>
              </w:rPr>
              <w:t>Spiller</w:t>
            </w:r>
            <w:proofErr w:type="spellEnd"/>
            <w:r w:rsidRPr="00DF4CE5">
              <w:rPr>
                <w:rFonts w:ascii="Cambria" w:eastAsia="Times New Roman" w:hAnsi="Cambria" w:cs="Calibri"/>
                <w:lang w:val="hr-HR"/>
              </w:rPr>
              <w:t>, F. (1996). Muzički sustav. Zagreb: Šolta.</w:t>
            </w:r>
          </w:p>
        </w:tc>
      </w:tr>
    </w:tbl>
    <w:p w14:paraId="4B410E41" w14:textId="77777777" w:rsidR="00E41BE6" w:rsidRPr="00DF4CE5" w:rsidRDefault="00E41BE6">
      <w:pPr>
        <w:rPr>
          <w:rFonts w:ascii="Cambria" w:eastAsia="Times New Roman" w:hAnsi="Cambria" w:cs="Calibri"/>
          <w:lang w:val="hr-HR"/>
        </w:rPr>
      </w:pPr>
    </w:p>
    <w:p w14:paraId="5BCDF0D2" w14:textId="77777777" w:rsidR="00E41BE6" w:rsidRPr="00DF4CE5" w:rsidRDefault="00E41BE6">
      <w:pPr>
        <w:rPr>
          <w:rFonts w:ascii="Cambria" w:eastAsia="Times New Roman" w:hAnsi="Cambria" w:cs="Calibri"/>
          <w:lang w:val="hr-HR"/>
        </w:rPr>
      </w:pPr>
    </w:p>
    <w:p w14:paraId="3F0D8895" w14:textId="77777777" w:rsidR="00E41BE6" w:rsidRPr="00DF4CE5" w:rsidRDefault="00E41BE6">
      <w:pPr>
        <w:rPr>
          <w:rFonts w:ascii="Cambria" w:eastAsia="Times New Roman" w:hAnsi="Cambria" w:cs="Calibri"/>
          <w:lang w:val="hr-HR"/>
        </w:rPr>
      </w:pPr>
    </w:p>
    <w:p w14:paraId="23AF9F4C" w14:textId="77777777" w:rsidR="00E41BE6" w:rsidRPr="00DF4CE5" w:rsidRDefault="00E41BE6">
      <w:pPr>
        <w:rPr>
          <w:rFonts w:ascii="Cambria" w:eastAsia="Times New Roman" w:hAnsi="Cambria" w:cs="Calibri"/>
          <w:lang w:val="hr-HR"/>
        </w:rPr>
      </w:pPr>
    </w:p>
    <w:p w14:paraId="585B434E" w14:textId="77777777" w:rsidR="00E41BE6" w:rsidRPr="00DF4CE5" w:rsidRDefault="00E41BE6">
      <w:pPr>
        <w:rPr>
          <w:rFonts w:ascii="Cambria" w:eastAsia="Times New Roman" w:hAnsi="Cambria" w:cs="Calibri"/>
          <w:lang w:val="hr-HR"/>
        </w:rPr>
      </w:pPr>
    </w:p>
    <w:p w14:paraId="556A2394" w14:textId="77777777" w:rsidR="00E41BE6" w:rsidRPr="00DF4CE5" w:rsidRDefault="00E41BE6">
      <w:pPr>
        <w:rPr>
          <w:rFonts w:ascii="Cambria" w:eastAsia="Times New Roman" w:hAnsi="Cambria" w:cs="Calibri"/>
          <w:lang w:val="hr-HR"/>
        </w:rPr>
      </w:pPr>
    </w:p>
    <w:p w14:paraId="33EBA848" w14:textId="77777777" w:rsidR="00E41BE6" w:rsidRPr="00DF4CE5" w:rsidRDefault="00E41BE6">
      <w:pPr>
        <w:rPr>
          <w:rFonts w:ascii="Cambria" w:eastAsia="Times New Roman" w:hAnsi="Cambria" w:cs="Calibri"/>
          <w:lang w:val="hr-HR"/>
        </w:rPr>
      </w:pPr>
    </w:p>
    <w:p w14:paraId="0BA58BD7" w14:textId="77777777" w:rsidR="00E41BE6" w:rsidRPr="00DF4CE5" w:rsidRDefault="00E41BE6">
      <w:pPr>
        <w:rPr>
          <w:rFonts w:ascii="Cambria" w:eastAsia="Times New Roman" w:hAnsi="Cambria" w:cs="Calibri"/>
          <w:lang w:val="hr-HR"/>
        </w:rPr>
      </w:pPr>
    </w:p>
    <w:p w14:paraId="357FB85B" w14:textId="77777777" w:rsidR="00E41BE6" w:rsidRPr="00DF4CE5" w:rsidRDefault="00E41BE6">
      <w:pPr>
        <w:rPr>
          <w:rFonts w:ascii="Cambria" w:eastAsia="Times New Roman" w:hAnsi="Cambria" w:cs="Calibri"/>
          <w:lang w:val="hr-HR"/>
        </w:rPr>
      </w:pPr>
    </w:p>
    <w:p w14:paraId="74D49E8E" w14:textId="77777777" w:rsidR="00E41BE6" w:rsidRPr="00DF4CE5" w:rsidRDefault="00E41BE6">
      <w:pPr>
        <w:rPr>
          <w:rFonts w:ascii="Cambria" w:eastAsia="Times New Roman" w:hAnsi="Cambria" w:cs="Calibri"/>
          <w:lang w:val="hr-HR"/>
        </w:rPr>
      </w:pPr>
    </w:p>
    <w:p w14:paraId="1F329900" w14:textId="77777777" w:rsidR="00E41BE6" w:rsidRPr="00DF4CE5" w:rsidRDefault="00E41BE6">
      <w:pPr>
        <w:rPr>
          <w:rFonts w:ascii="Cambria" w:eastAsia="Times New Roman" w:hAnsi="Cambria" w:cs="Calibri"/>
          <w:lang w:val="hr-HR"/>
        </w:rPr>
      </w:pPr>
    </w:p>
    <w:p w14:paraId="0966808A" w14:textId="75454E29" w:rsidR="00E41BE6" w:rsidRPr="00DF4CE5" w:rsidRDefault="00E91AAA">
      <w:pPr>
        <w:rPr>
          <w:rFonts w:ascii="Cambria" w:eastAsia="Times New Roman" w:hAnsi="Cambria" w:cs="Calibri"/>
          <w:lang w:val="hr-HR"/>
        </w:rPr>
      </w:pPr>
      <w:r>
        <w:rPr>
          <w:rFonts w:ascii="Cambria" w:eastAsia="Times New Roman" w:hAnsi="Cambria" w:cs="Calibri"/>
          <w:lang w:val="hr-HR"/>
        </w:rPr>
        <w:br w:type="page"/>
      </w:r>
    </w:p>
    <w:tbl>
      <w:tblPr>
        <w:tblW w:w="5000" w:type="pct"/>
        <w:tblLayout w:type="fixed"/>
        <w:tblCellMar>
          <w:left w:w="0" w:type="dxa"/>
          <w:right w:w="0" w:type="dxa"/>
        </w:tblCellMar>
        <w:tblLook w:val="0000" w:firstRow="0" w:lastRow="0" w:firstColumn="0" w:lastColumn="0" w:noHBand="0" w:noVBand="0"/>
      </w:tblPr>
      <w:tblGrid>
        <w:gridCol w:w="2279"/>
        <w:gridCol w:w="3203"/>
        <w:gridCol w:w="105"/>
        <w:gridCol w:w="1167"/>
        <w:gridCol w:w="297"/>
        <w:gridCol w:w="470"/>
        <w:gridCol w:w="1085"/>
        <w:gridCol w:w="1414"/>
      </w:tblGrid>
      <w:tr w:rsidR="00E41BE6" w:rsidRPr="00DF4CE5" w14:paraId="04DC05C4" w14:textId="77777777" w:rsidTr="00C52F47">
        <w:tc>
          <w:tcPr>
            <w:tcW w:w="9340"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21CC5C5" w14:textId="77777777" w:rsidR="00E41BE6" w:rsidRPr="00DF4CE5" w:rsidRDefault="00E41BE6" w:rsidP="00E41BE6">
            <w:pPr>
              <w:spacing w:after="0" w:line="240" w:lineRule="auto"/>
              <w:jc w:val="right"/>
              <w:rPr>
                <w:rFonts w:ascii="Cambria" w:eastAsia="Times New Roman" w:hAnsi="Cambria" w:cs="Calibri"/>
                <w:b/>
                <w:lang w:val="hr-HR"/>
              </w:rPr>
            </w:pPr>
            <w:bookmarkStart w:id="103" w:name="_Hlk187750121"/>
            <w:r w:rsidRPr="00DF4CE5">
              <w:rPr>
                <w:rFonts w:ascii="Cambria" w:eastAsia="Times New Roman" w:hAnsi="Cambria" w:cs="Calibri"/>
                <w:b/>
                <w:lang w:val="hr-HR"/>
              </w:rPr>
              <w:lastRenderedPageBreak/>
              <w:t>IZVEDBENI PLAN NASTAVE KOLEGIJA</w:t>
            </w:r>
          </w:p>
        </w:tc>
      </w:tr>
      <w:tr w:rsidR="00E41BE6" w:rsidRPr="00DF4CE5" w14:paraId="77AD2FC4" w14:textId="77777777" w:rsidTr="00C52F47">
        <w:tc>
          <w:tcPr>
            <w:tcW w:w="212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7D5D299"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Kod i naziv kolegija</w:t>
            </w:r>
          </w:p>
        </w:tc>
        <w:tc>
          <w:tcPr>
            <w:tcW w:w="721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0FCF95F"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42324</w:t>
            </w:r>
          </w:p>
          <w:p w14:paraId="73F7776B"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 xml:space="preserve">Kineziološka kultura II. </w:t>
            </w:r>
          </w:p>
        </w:tc>
      </w:tr>
      <w:tr w:rsidR="00E41BE6" w:rsidRPr="00DF4CE5" w14:paraId="5DB76B26" w14:textId="77777777" w:rsidTr="00C52F47">
        <w:tc>
          <w:tcPr>
            <w:tcW w:w="212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A0E619F" w14:textId="32FF3AFD"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Nastavni</w:t>
            </w:r>
            <w:r w:rsidR="00E91AAA">
              <w:rPr>
                <w:rFonts w:ascii="Cambria" w:eastAsia="Times New Roman" w:hAnsi="Cambria" w:cs="Calibri"/>
                <w:lang w:val="hr-HR"/>
              </w:rPr>
              <w:t xml:space="preserve">ca </w:t>
            </w:r>
          </w:p>
          <w:p w14:paraId="24C3EE80"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Suradnik</w:t>
            </w:r>
          </w:p>
        </w:tc>
        <w:tc>
          <w:tcPr>
            <w:tcW w:w="721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BA160E5" w14:textId="77743D0D" w:rsidR="00E41BE6" w:rsidRPr="00DF4CE5" w:rsidRDefault="00E91AAA" w:rsidP="00E41BE6">
            <w:pPr>
              <w:spacing w:after="0" w:line="240" w:lineRule="auto"/>
              <w:rPr>
                <w:rFonts w:ascii="Cambria" w:eastAsia="Times New Roman" w:hAnsi="Cambria" w:cs="Calibri"/>
                <w:color w:val="0000FF"/>
                <w:u w:val="single"/>
                <w:lang w:val="hr-HR"/>
              </w:rPr>
            </w:pPr>
            <w:r>
              <w:rPr>
                <w:rFonts w:ascii="Cambria" w:eastAsia="Times New Roman" w:hAnsi="Cambria" w:cs="Calibri"/>
                <w:color w:val="0000FF"/>
                <w:u w:val="single"/>
                <w:lang w:val="hr-HR"/>
              </w:rPr>
              <w:t>P</w:t>
            </w:r>
            <w:r w:rsidR="00E41BE6" w:rsidRPr="00DF4CE5">
              <w:rPr>
                <w:rFonts w:ascii="Cambria" w:eastAsia="Times New Roman" w:hAnsi="Cambria" w:cs="Calibri"/>
                <w:color w:val="0000FF"/>
                <w:u w:val="single"/>
                <w:lang w:val="hr-HR"/>
              </w:rPr>
              <w:t>rof. dr. sc. Iva Blažević</w:t>
            </w:r>
            <w:r w:rsidR="00E41BE6" w:rsidRPr="00DF4CE5">
              <w:rPr>
                <w:rFonts w:ascii="Cambria" w:eastAsia="Times New Roman" w:hAnsi="Cambria" w:cs="Calibri"/>
                <w:color w:val="0000FF"/>
                <w:lang w:val="hr-HR"/>
              </w:rPr>
              <w:t xml:space="preserve"> </w:t>
            </w:r>
            <w:r w:rsidR="00E41BE6" w:rsidRPr="00DF4CE5">
              <w:rPr>
                <w:rFonts w:ascii="Cambria" w:eastAsia="Times New Roman" w:hAnsi="Cambria" w:cs="Calibri"/>
                <w:lang w:val="hr-HR"/>
              </w:rPr>
              <w:t>(nositeljica)</w:t>
            </w:r>
          </w:p>
          <w:p w14:paraId="490EF41A" w14:textId="19EB183D" w:rsidR="00E41BE6" w:rsidRPr="00DF4CE5" w:rsidRDefault="00E91AAA" w:rsidP="00E41BE6">
            <w:pPr>
              <w:spacing w:after="0" w:line="240" w:lineRule="auto"/>
              <w:rPr>
                <w:rFonts w:ascii="Cambria" w:eastAsia="Times New Roman" w:hAnsi="Cambria" w:cs="Calibri"/>
                <w:color w:val="0000FF"/>
                <w:u w:val="single"/>
                <w:lang w:val="hr-HR"/>
              </w:rPr>
            </w:pPr>
            <w:r>
              <w:rPr>
                <w:rFonts w:ascii="Cambria" w:eastAsia="Times New Roman" w:hAnsi="Cambria" w:cs="Calibri"/>
                <w:color w:val="0000FF"/>
                <w:u w:val="single"/>
                <w:lang w:val="hr-HR"/>
              </w:rPr>
              <w:t>D</w:t>
            </w:r>
            <w:r w:rsidR="00E83929" w:rsidRPr="00DF4CE5">
              <w:rPr>
                <w:rFonts w:ascii="Cambria" w:eastAsia="Times New Roman" w:hAnsi="Cambria" w:cs="Calibri"/>
                <w:color w:val="0000FF"/>
                <w:u w:val="single"/>
                <w:lang w:val="hr-HR"/>
              </w:rPr>
              <w:t>r.</w:t>
            </w:r>
            <w:r>
              <w:rPr>
                <w:rFonts w:ascii="Cambria" w:eastAsia="Times New Roman" w:hAnsi="Cambria" w:cs="Calibri"/>
                <w:color w:val="0000FF"/>
                <w:u w:val="single"/>
                <w:lang w:val="hr-HR"/>
              </w:rPr>
              <w:t xml:space="preserve"> </w:t>
            </w:r>
            <w:r w:rsidR="00E83929" w:rsidRPr="00DF4CE5">
              <w:rPr>
                <w:rFonts w:ascii="Cambria" w:eastAsia="Times New Roman" w:hAnsi="Cambria" w:cs="Calibri"/>
                <w:color w:val="0000FF"/>
                <w:u w:val="single"/>
                <w:lang w:val="hr-HR"/>
              </w:rPr>
              <w:t>sc.</w:t>
            </w:r>
            <w:r>
              <w:rPr>
                <w:rFonts w:ascii="Cambria" w:eastAsia="Times New Roman" w:hAnsi="Cambria" w:cs="Calibri"/>
                <w:color w:val="0000FF"/>
                <w:u w:val="single"/>
                <w:lang w:val="hr-HR"/>
              </w:rPr>
              <w:t xml:space="preserve"> </w:t>
            </w:r>
            <w:r w:rsidR="00E41BE6" w:rsidRPr="00DF4CE5">
              <w:rPr>
                <w:rFonts w:ascii="Cambria" w:eastAsia="Times New Roman" w:hAnsi="Cambria" w:cs="Calibri"/>
                <w:color w:val="0000FF"/>
                <w:u w:val="single"/>
                <w:lang w:val="hr-HR"/>
              </w:rPr>
              <w:t>Ivan Oreb, pred.</w:t>
            </w:r>
          </w:p>
        </w:tc>
      </w:tr>
      <w:tr w:rsidR="00E41BE6" w:rsidRPr="00D0399C" w14:paraId="0BCB1952" w14:textId="77777777" w:rsidTr="00C52F47">
        <w:tc>
          <w:tcPr>
            <w:tcW w:w="212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0968B9C"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Studijski program</w:t>
            </w:r>
          </w:p>
        </w:tc>
        <w:tc>
          <w:tcPr>
            <w:tcW w:w="721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A76D4B7"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Calibri" w:hAnsi="Cambria" w:cs="Calibri"/>
                <w:lang w:val="hr-HR"/>
              </w:rPr>
              <w:t>Sveučilišni integrirani prijediplomski i diplomski Učiteljski studij na hrvatskom jeziku</w:t>
            </w:r>
          </w:p>
        </w:tc>
      </w:tr>
      <w:tr w:rsidR="00E41BE6" w:rsidRPr="00DF4CE5" w14:paraId="73A10E1B" w14:textId="77777777" w:rsidTr="00C52F47">
        <w:tc>
          <w:tcPr>
            <w:tcW w:w="212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997120B"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Vrsta kolegija</w:t>
            </w:r>
          </w:p>
        </w:tc>
        <w:tc>
          <w:tcPr>
            <w:tcW w:w="298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39BECC4"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 xml:space="preserve">obvezan </w:t>
            </w:r>
          </w:p>
        </w:tc>
        <w:tc>
          <w:tcPr>
            <w:tcW w:w="146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0FD6DA99"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Razina kolegija</w:t>
            </w:r>
          </w:p>
        </w:tc>
        <w:tc>
          <w:tcPr>
            <w:tcW w:w="2767"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08CC652"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integrirani</w:t>
            </w:r>
          </w:p>
        </w:tc>
      </w:tr>
      <w:tr w:rsidR="00E41BE6" w:rsidRPr="00DF4CE5" w14:paraId="475F8AA8" w14:textId="77777777" w:rsidTr="00C52F47">
        <w:tc>
          <w:tcPr>
            <w:tcW w:w="212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4A7053E"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Semestar</w:t>
            </w:r>
          </w:p>
        </w:tc>
        <w:tc>
          <w:tcPr>
            <w:tcW w:w="298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680D080" w14:textId="1E57C83E" w:rsidR="00E41BE6" w:rsidRPr="00DF4CE5" w:rsidRDefault="00E91AAA" w:rsidP="00E41BE6">
            <w:pPr>
              <w:spacing w:after="0" w:line="240" w:lineRule="auto"/>
              <w:rPr>
                <w:rFonts w:ascii="Cambria" w:eastAsia="Times New Roman" w:hAnsi="Cambria" w:cs="Calibri"/>
                <w:lang w:val="hr-HR"/>
              </w:rPr>
            </w:pPr>
            <w:r>
              <w:rPr>
                <w:rFonts w:ascii="Cambria" w:eastAsia="Times New Roman" w:hAnsi="Cambria" w:cs="Calibri"/>
                <w:lang w:val="hr-HR"/>
              </w:rPr>
              <w:t>l</w:t>
            </w:r>
            <w:r w:rsidR="00E41BE6" w:rsidRPr="00DF4CE5">
              <w:rPr>
                <w:rFonts w:ascii="Cambria" w:eastAsia="Times New Roman" w:hAnsi="Cambria" w:cs="Calibri"/>
                <w:lang w:val="hr-HR"/>
              </w:rPr>
              <w:t>jetni</w:t>
            </w:r>
          </w:p>
        </w:tc>
        <w:tc>
          <w:tcPr>
            <w:tcW w:w="146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66CB8215"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Godina studija</w:t>
            </w:r>
          </w:p>
        </w:tc>
        <w:tc>
          <w:tcPr>
            <w:tcW w:w="2767"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84A59B0"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I.</w:t>
            </w:r>
          </w:p>
        </w:tc>
      </w:tr>
      <w:tr w:rsidR="00E41BE6" w:rsidRPr="00DF4CE5" w14:paraId="18176130" w14:textId="77777777" w:rsidTr="00C52F47">
        <w:tc>
          <w:tcPr>
            <w:tcW w:w="212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7572114"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Mjesto izvođenja</w:t>
            </w:r>
          </w:p>
        </w:tc>
        <w:tc>
          <w:tcPr>
            <w:tcW w:w="298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49CD223"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sportska dvorana Sveučilišta</w:t>
            </w:r>
          </w:p>
          <w:p w14:paraId="2F364256"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 xml:space="preserve">terenska nastava </w:t>
            </w:r>
          </w:p>
        </w:tc>
        <w:tc>
          <w:tcPr>
            <w:tcW w:w="146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4F9BAADE"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 xml:space="preserve">Jezik izvođenja </w:t>
            </w:r>
          </w:p>
        </w:tc>
        <w:tc>
          <w:tcPr>
            <w:tcW w:w="2767"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1F6E762"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hrvatski</w:t>
            </w:r>
          </w:p>
        </w:tc>
      </w:tr>
      <w:tr w:rsidR="00E41BE6" w:rsidRPr="00DF4CE5" w14:paraId="0BBD7289" w14:textId="77777777" w:rsidTr="00C52F47">
        <w:tc>
          <w:tcPr>
            <w:tcW w:w="212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3F825F5"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Broj ECTS bodova</w:t>
            </w:r>
          </w:p>
        </w:tc>
        <w:tc>
          <w:tcPr>
            <w:tcW w:w="298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1D518B1"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1</w:t>
            </w:r>
          </w:p>
        </w:tc>
        <w:tc>
          <w:tcPr>
            <w:tcW w:w="146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172145B3"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Broj sati u semestru</w:t>
            </w:r>
          </w:p>
        </w:tc>
        <w:tc>
          <w:tcPr>
            <w:tcW w:w="2767"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27BA031" w14:textId="0486C592"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 xml:space="preserve">0P – </w:t>
            </w:r>
            <w:r w:rsidR="006E74CB" w:rsidRPr="00DF4CE5">
              <w:rPr>
                <w:rFonts w:ascii="Cambria" w:eastAsia="Times New Roman" w:hAnsi="Cambria" w:cs="Calibri"/>
                <w:lang w:val="hr-HR"/>
              </w:rPr>
              <w:t>0S</w:t>
            </w:r>
            <w:r w:rsidR="00E91AAA">
              <w:rPr>
                <w:rFonts w:ascii="Cambria" w:eastAsia="Times New Roman" w:hAnsi="Cambria" w:cs="Calibri"/>
                <w:lang w:val="hr-HR"/>
              </w:rPr>
              <w:t xml:space="preserve"> </w:t>
            </w:r>
            <w:r w:rsidRPr="00DF4CE5">
              <w:rPr>
                <w:rFonts w:ascii="Cambria" w:eastAsia="Times New Roman" w:hAnsi="Cambria" w:cs="Calibri"/>
                <w:lang w:val="hr-HR"/>
              </w:rPr>
              <w:t xml:space="preserve">– </w:t>
            </w:r>
            <w:r w:rsidR="006E74CB" w:rsidRPr="00DF4CE5">
              <w:rPr>
                <w:rFonts w:ascii="Cambria" w:eastAsia="Times New Roman" w:hAnsi="Cambria" w:cs="Calibri"/>
                <w:lang w:val="hr-HR"/>
              </w:rPr>
              <w:t>30V</w:t>
            </w:r>
          </w:p>
        </w:tc>
      </w:tr>
      <w:tr w:rsidR="00E41BE6" w:rsidRPr="00D0399C" w14:paraId="773E50BF" w14:textId="77777777" w:rsidTr="00C52F47">
        <w:tc>
          <w:tcPr>
            <w:tcW w:w="212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DDFB99F"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Preduvjeti za upis i za svladavanje</w:t>
            </w:r>
          </w:p>
        </w:tc>
        <w:tc>
          <w:tcPr>
            <w:tcW w:w="721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AE11063" w14:textId="77777777" w:rsidR="00E41BE6" w:rsidRPr="00DF4CE5" w:rsidRDefault="00E41BE6" w:rsidP="00E41BE6">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Usvojena temeljna motorička znanja tijekom dosadašnjeg školovanja i razina motoričkih i funkcionalnih sposobnosti primjerena dobi.</w:t>
            </w:r>
          </w:p>
        </w:tc>
      </w:tr>
      <w:tr w:rsidR="00E41BE6" w:rsidRPr="00D0399C" w14:paraId="65D9AB07" w14:textId="77777777" w:rsidTr="00C52F47">
        <w:tc>
          <w:tcPr>
            <w:tcW w:w="212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CACA4BA" w14:textId="77777777" w:rsidR="00E41BE6" w:rsidRPr="00DF4CE5" w:rsidRDefault="00E41BE6" w:rsidP="00E41BE6">
            <w:pPr>
              <w:spacing w:after="0" w:line="240" w:lineRule="auto"/>
              <w:rPr>
                <w:rFonts w:ascii="Cambria" w:eastAsia="Times New Roman" w:hAnsi="Cambria" w:cs="Calibri"/>
                <w:lang w:val="hr-HR"/>
              </w:rPr>
            </w:pPr>
            <w:proofErr w:type="spellStart"/>
            <w:r w:rsidRPr="00DF4CE5">
              <w:rPr>
                <w:rFonts w:ascii="Cambria" w:eastAsia="Times New Roman" w:hAnsi="Cambria" w:cs="Calibri"/>
                <w:lang w:val="hr-HR"/>
              </w:rPr>
              <w:t>Korelativnost</w:t>
            </w:r>
            <w:proofErr w:type="spellEnd"/>
          </w:p>
        </w:tc>
        <w:tc>
          <w:tcPr>
            <w:tcW w:w="721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638386D" w14:textId="77777777" w:rsidR="00E41BE6" w:rsidRPr="00DF4CE5" w:rsidRDefault="00E41BE6" w:rsidP="00E41BE6">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Kineziologija, Kineziološka metodika, Glazbena kultura, Prirodoslovlje, Geografija, Povijest</w:t>
            </w:r>
          </w:p>
        </w:tc>
      </w:tr>
      <w:tr w:rsidR="00E41BE6" w:rsidRPr="00D0399C" w14:paraId="21B204E3" w14:textId="77777777" w:rsidTr="00C52F47">
        <w:tc>
          <w:tcPr>
            <w:tcW w:w="212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A830814"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 xml:space="preserve">Cilj kolegija </w:t>
            </w:r>
          </w:p>
        </w:tc>
        <w:tc>
          <w:tcPr>
            <w:tcW w:w="721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FD9CD9E" w14:textId="77777777" w:rsidR="00E41BE6" w:rsidRPr="00DF4CE5" w:rsidRDefault="00E41BE6" w:rsidP="00E41BE6">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Utjecati na razvoj antropoloških obilježja s ciljem očuvanja i unapređenja zdravlja i kvalitete života.</w:t>
            </w:r>
          </w:p>
        </w:tc>
      </w:tr>
      <w:tr w:rsidR="00E41BE6" w:rsidRPr="00D0399C" w14:paraId="211E27C8" w14:textId="77777777" w:rsidTr="00C52F47">
        <w:tc>
          <w:tcPr>
            <w:tcW w:w="212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5722DD0"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Ishodi učenja</w:t>
            </w:r>
          </w:p>
        </w:tc>
        <w:tc>
          <w:tcPr>
            <w:tcW w:w="721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8546AFD" w14:textId="77777777" w:rsidR="00E41BE6" w:rsidRPr="00DF4CE5" w:rsidRDefault="00E41BE6" w:rsidP="00E41BE6">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1. primijeniti usvojena teorijska znanja pojedinih kinezioloških aktivnosti i temeljna metodička načela</w:t>
            </w:r>
          </w:p>
          <w:p w14:paraId="6999515C" w14:textId="77777777" w:rsidR="00E41BE6" w:rsidRPr="00DF4CE5" w:rsidRDefault="00E41BE6" w:rsidP="00E41BE6">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2. demonstrirati sve prirodne oblike kretanja i bazične strukture sve četiri skupine biotičkih motoričkih znanja (za savladavanje prostora, prepreka, otpora i manipulaciju predmetima); bazične strukture iz područja atletike, gimnastike, košarke i plivanja</w:t>
            </w:r>
          </w:p>
          <w:p w14:paraId="39D33461" w14:textId="77777777" w:rsidR="00E41BE6" w:rsidRPr="00DF4CE5" w:rsidRDefault="00E41BE6" w:rsidP="00E41BE6">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3. primijeniti osnove procjene i vrednovanja rezultata rada u nastavi Kineziološke kulture (Tjelesne i zdravstvene kulture)</w:t>
            </w:r>
          </w:p>
          <w:p w14:paraId="768D2DAC" w14:textId="77777777" w:rsidR="00E41BE6" w:rsidRPr="00DF4CE5" w:rsidRDefault="00E41BE6" w:rsidP="00E41BE6">
            <w:pPr>
              <w:spacing w:after="0" w:line="240" w:lineRule="auto"/>
              <w:jc w:val="both"/>
              <w:rPr>
                <w:rFonts w:ascii="Cambria" w:eastAsia="Times New Roman" w:hAnsi="Cambria" w:cs="Calibri"/>
                <w:vertAlign w:val="subscript"/>
                <w:lang w:val="hr-HR"/>
              </w:rPr>
            </w:pPr>
            <w:r w:rsidRPr="00DF4CE5">
              <w:rPr>
                <w:rFonts w:ascii="Cambria" w:eastAsia="Times New Roman" w:hAnsi="Cambria" w:cs="Calibri"/>
                <w:lang w:val="hr-HR"/>
              </w:rPr>
              <w:t>4. interpretirati spoznaju o koristi redovitog, cjeloživotnog tjelesnog vježbanja u cilju unapređenja zdravlja, unaprjeđenjem i održavanjem osobnih motoričkih i funkcionalnih sposobnosti u svakodnevnom životu i radu kao i u svom budućem radu s djecom, te o ispravnoj prehrani, štetnosti i prevenciji bolesti ovisnosti koje izaziva konzumiranje cigareta, alkohola i opojnih droga</w:t>
            </w:r>
          </w:p>
        </w:tc>
      </w:tr>
      <w:tr w:rsidR="00E41BE6" w:rsidRPr="00DF4CE5" w14:paraId="132F90F2" w14:textId="77777777" w:rsidTr="00C52F47">
        <w:tc>
          <w:tcPr>
            <w:tcW w:w="2124"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1CE8E6B8"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Sadržaj kolegija</w:t>
            </w:r>
          </w:p>
        </w:tc>
        <w:tc>
          <w:tcPr>
            <w:tcW w:w="7216"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E7EA20" w14:textId="77777777" w:rsidR="00E41BE6" w:rsidRPr="00DF4CE5" w:rsidRDefault="00E41BE6" w:rsidP="00E41BE6">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1. Opće pripremne vježbe (dinamičke vježbe istezanja, vježbe snage, statičke vježbe istezanja), kroz različite organizacijske oblike rada (sa i bez rekvizita, sa i na spravama, sa i bez glazbe, samostalno i u paru).</w:t>
            </w:r>
          </w:p>
          <w:p w14:paraId="350D99D4" w14:textId="77777777" w:rsidR="00E41BE6" w:rsidRPr="00DF4CE5" w:rsidRDefault="00E41BE6" w:rsidP="00E41BE6">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2. Sadržaji sportske gimnastike: parter (kolut naprijed, upor stražnji, stoj na rukama), preča (upor prednji i </w:t>
            </w:r>
            <w:proofErr w:type="spellStart"/>
            <w:r w:rsidRPr="00DF4CE5">
              <w:rPr>
                <w:rFonts w:ascii="Cambria" w:eastAsia="Times New Roman" w:hAnsi="Cambria" w:cs="Calibri"/>
                <w:lang w:val="hr-HR"/>
              </w:rPr>
              <w:t>kovrtljaj</w:t>
            </w:r>
            <w:proofErr w:type="spellEnd"/>
            <w:r w:rsidRPr="00DF4CE5">
              <w:rPr>
                <w:rFonts w:ascii="Cambria" w:eastAsia="Times New Roman" w:hAnsi="Cambria" w:cs="Calibri"/>
                <w:lang w:val="hr-HR"/>
              </w:rPr>
              <w:t xml:space="preserve"> naprijed), karike (</w:t>
            </w:r>
            <w:proofErr w:type="spellStart"/>
            <w:r w:rsidRPr="00DF4CE5">
              <w:rPr>
                <w:rFonts w:ascii="Cambria" w:eastAsia="Times New Roman" w:hAnsi="Cambria" w:cs="Calibri"/>
                <w:lang w:val="hr-HR"/>
              </w:rPr>
              <w:t>kovrtljaj</w:t>
            </w:r>
            <w:proofErr w:type="spellEnd"/>
            <w:r w:rsidRPr="00DF4CE5">
              <w:rPr>
                <w:rFonts w:ascii="Cambria" w:eastAsia="Times New Roman" w:hAnsi="Cambria" w:cs="Calibri"/>
                <w:lang w:val="hr-HR"/>
              </w:rPr>
              <w:t xml:space="preserve"> unazad), penjanje (kvadrati, mornarske ljestve), preskoci (</w:t>
            </w:r>
            <w:proofErr w:type="spellStart"/>
            <w:r w:rsidRPr="00DF4CE5">
              <w:rPr>
                <w:rFonts w:ascii="Cambria" w:eastAsia="Times New Roman" w:hAnsi="Cambria" w:cs="Calibri"/>
                <w:lang w:val="hr-HR"/>
              </w:rPr>
              <w:t>raznoška</w:t>
            </w:r>
            <w:proofErr w:type="spellEnd"/>
            <w:r w:rsidRPr="00DF4CE5">
              <w:rPr>
                <w:rFonts w:ascii="Cambria" w:eastAsia="Times New Roman" w:hAnsi="Cambria" w:cs="Calibri"/>
                <w:lang w:val="hr-HR"/>
              </w:rPr>
              <w:t>).</w:t>
            </w:r>
          </w:p>
          <w:p w14:paraId="65D32970" w14:textId="77777777" w:rsidR="00E41BE6" w:rsidRPr="00DF4CE5" w:rsidRDefault="00E41BE6" w:rsidP="00E41BE6">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3. Sportske igre: Košarka - uvježbavanje elemenata košarke (vođenje lopte, dodavanje, primanje, košarkaški </w:t>
            </w:r>
            <w:proofErr w:type="spellStart"/>
            <w:r w:rsidRPr="00DF4CE5">
              <w:rPr>
                <w:rFonts w:ascii="Cambria" w:eastAsia="Times New Roman" w:hAnsi="Cambria" w:cs="Calibri"/>
                <w:lang w:val="hr-HR"/>
              </w:rPr>
              <w:t>dvokorak</w:t>
            </w:r>
            <w:proofErr w:type="spellEnd"/>
            <w:r w:rsidRPr="00DF4CE5">
              <w:rPr>
                <w:rFonts w:ascii="Cambria" w:eastAsia="Times New Roman" w:hAnsi="Cambria" w:cs="Calibri"/>
                <w:lang w:val="hr-HR"/>
              </w:rPr>
              <w:t>, šut na koš), pravila igre, igra.</w:t>
            </w:r>
          </w:p>
          <w:p w14:paraId="70E99C34" w14:textId="77777777" w:rsidR="00E41BE6" w:rsidRPr="00DF4CE5" w:rsidRDefault="00E41BE6" w:rsidP="00E41BE6">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4. Sadržaji atletike: bacanja (loptica u dalj i u cilj), trčanje i vježbanje na trim stazi.</w:t>
            </w:r>
          </w:p>
          <w:p w14:paraId="4D1A7405" w14:textId="77777777" w:rsidR="00E41BE6" w:rsidRPr="00DF4CE5" w:rsidRDefault="00E41BE6" w:rsidP="00E41BE6">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5. Pješačenje u prirodi i planinarenje.</w:t>
            </w:r>
          </w:p>
          <w:p w14:paraId="0AE1CAD9" w14:textId="77777777" w:rsidR="00E41BE6" w:rsidRPr="00DF4CE5" w:rsidRDefault="00E41BE6" w:rsidP="00E41BE6">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6. Plivanje - provjera znanja plivanja i škola plivanja za neplivače (ako ih ima). Sadržaji plivanja: prsno plivanje, kraul, leđni kraul, spašavanje utopljenika.</w:t>
            </w:r>
          </w:p>
        </w:tc>
      </w:tr>
      <w:tr w:rsidR="00E41BE6" w:rsidRPr="00DF4CE5" w14:paraId="40EBF8FB" w14:textId="77777777" w:rsidTr="00C52F47">
        <w:tc>
          <w:tcPr>
            <w:tcW w:w="2124"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22D84A8A"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lastRenderedPageBreak/>
              <w:t>Planirane aktivnosti,</w:t>
            </w:r>
          </w:p>
          <w:p w14:paraId="5EB05391"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metode učenja i poučavanja i načini vrednovanja</w:t>
            </w:r>
          </w:p>
          <w:p w14:paraId="2D82CDCC" w14:textId="77777777" w:rsidR="00E41BE6" w:rsidRPr="00DF4CE5" w:rsidRDefault="00E41BE6" w:rsidP="00E41BE6">
            <w:pPr>
              <w:spacing w:after="0" w:line="240" w:lineRule="auto"/>
              <w:rPr>
                <w:rFonts w:ascii="Cambria" w:eastAsia="Times New Roman" w:hAnsi="Cambria" w:cs="Calibri"/>
                <w:lang w:val="hr-HR"/>
              </w:rPr>
            </w:pPr>
          </w:p>
        </w:tc>
        <w:tc>
          <w:tcPr>
            <w:tcW w:w="3084"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E1DE913" w14:textId="77777777" w:rsidR="00E41BE6" w:rsidRPr="00DF4CE5" w:rsidRDefault="00E41BE6" w:rsidP="00E41BE6">
            <w:pPr>
              <w:spacing w:after="0" w:line="240" w:lineRule="auto"/>
              <w:jc w:val="center"/>
              <w:rPr>
                <w:rFonts w:ascii="Cambria" w:eastAsia="Times New Roman" w:hAnsi="Cambria" w:cs="Calibri"/>
                <w:lang w:val="hr-HR"/>
              </w:rPr>
            </w:pPr>
            <w:r w:rsidRPr="00DF4CE5">
              <w:rPr>
                <w:rFonts w:ascii="Cambria" w:eastAsia="Times New Roman" w:hAnsi="Cambria" w:cs="Calibri"/>
                <w:bCs/>
                <w:lang w:val="hr-HR"/>
              </w:rPr>
              <w:t>Obveze</w:t>
            </w:r>
          </w:p>
        </w:tc>
        <w:tc>
          <w:tcPr>
            <w:tcW w:w="10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C8328D6" w14:textId="77777777" w:rsidR="00E41BE6" w:rsidRPr="00DF4CE5" w:rsidRDefault="00E41BE6" w:rsidP="00E41BE6">
            <w:pPr>
              <w:spacing w:after="0" w:line="240" w:lineRule="auto"/>
              <w:jc w:val="center"/>
              <w:rPr>
                <w:rFonts w:ascii="Cambria" w:eastAsia="Times New Roman" w:hAnsi="Cambria" w:cs="Calibri"/>
                <w:bCs/>
                <w:lang w:val="hr-HR"/>
              </w:rPr>
            </w:pPr>
          </w:p>
          <w:p w14:paraId="3EC276A7" w14:textId="77777777" w:rsidR="00E41BE6" w:rsidRPr="00DF4CE5" w:rsidRDefault="00E41BE6" w:rsidP="00E41BE6">
            <w:pPr>
              <w:spacing w:after="0" w:line="240" w:lineRule="auto"/>
              <w:jc w:val="center"/>
              <w:rPr>
                <w:rFonts w:ascii="Cambria" w:eastAsia="Times New Roman" w:hAnsi="Cambria" w:cs="Calibri"/>
                <w:lang w:val="hr-HR"/>
              </w:rPr>
            </w:pPr>
            <w:r w:rsidRPr="00DF4CE5">
              <w:rPr>
                <w:rFonts w:ascii="Cambria" w:eastAsia="Times New Roman" w:hAnsi="Cambria" w:cs="Calibri"/>
                <w:bCs/>
                <w:lang w:val="hr-HR"/>
              </w:rPr>
              <w:t>Ishodi</w:t>
            </w:r>
          </w:p>
          <w:p w14:paraId="454EC780" w14:textId="77777777" w:rsidR="00E41BE6" w:rsidRPr="00DF4CE5" w:rsidRDefault="00E41BE6" w:rsidP="00E41BE6">
            <w:pPr>
              <w:spacing w:after="0" w:line="240" w:lineRule="auto"/>
              <w:jc w:val="center"/>
              <w:rPr>
                <w:rFonts w:ascii="Cambria" w:eastAsia="Times New Roman" w:hAnsi="Cambria" w:cs="Calibri"/>
                <w:lang w:val="hr-HR"/>
              </w:rPr>
            </w:pPr>
          </w:p>
        </w:tc>
        <w:tc>
          <w:tcPr>
            <w:tcW w:w="71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A484360" w14:textId="77777777" w:rsidR="00E41BE6" w:rsidRPr="00DF4CE5" w:rsidRDefault="00E41BE6" w:rsidP="00E41BE6">
            <w:pPr>
              <w:spacing w:after="0" w:line="240" w:lineRule="auto"/>
              <w:jc w:val="center"/>
              <w:rPr>
                <w:rFonts w:ascii="Cambria" w:eastAsia="Times New Roman" w:hAnsi="Cambria" w:cs="Calibri"/>
                <w:vertAlign w:val="superscript"/>
                <w:lang w:val="hr-HR"/>
              </w:rPr>
            </w:pPr>
            <w:r w:rsidRPr="00DF4CE5">
              <w:rPr>
                <w:rFonts w:ascii="Cambria" w:eastAsia="Times New Roman" w:hAnsi="Cambria" w:cs="Calibri"/>
                <w:bCs/>
                <w:lang w:val="hr-HR"/>
              </w:rPr>
              <w:t>Sati</w:t>
            </w:r>
          </w:p>
        </w:tc>
        <w:tc>
          <w:tcPr>
            <w:tcW w:w="101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14DBDD3" w14:textId="77777777" w:rsidR="00E41BE6" w:rsidRPr="00DF4CE5" w:rsidRDefault="00E41BE6" w:rsidP="00E41BE6">
            <w:pPr>
              <w:spacing w:after="0" w:line="240" w:lineRule="auto"/>
              <w:jc w:val="center"/>
              <w:rPr>
                <w:rFonts w:ascii="Cambria" w:eastAsia="Times New Roman" w:hAnsi="Cambria" w:cs="Calibri"/>
                <w:lang w:val="hr-HR"/>
              </w:rPr>
            </w:pPr>
            <w:r w:rsidRPr="00DF4CE5">
              <w:rPr>
                <w:rFonts w:ascii="Cambria" w:eastAsia="Times New Roman" w:hAnsi="Cambria" w:cs="Calibri"/>
                <w:bCs/>
                <w:lang w:val="hr-HR"/>
              </w:rPr>
              <w:t>ECTS</w:t>
            </w:r>
          </w:p>
        </w:tc>
        <w:tc>
          <w:tcPr>
            <w:tcW w:w="131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E781C8B" w14:textId="77777777" w:rsidR="00E41BE6" w:rsidRPr="00DF4CE5" w:rsidRDefault="00E41BE6" w:rsidP="00E41BE6">
            <w:pPr>
              <w:spacing w:after="0" w:line="240" w:lineRule="auto"/>
              <w:jc w:val="center"/>
              <w:rPr>
                <w:rFonts w:ascii="Cambria" w:eastAsia="Times New Roman" w:hAnsi="Cambria" w:cs="Calibri"/>
                <w:lang w:val="hr-HR"/>
              </w:rPr>
            </w:pPr>
            <w:r w:rsidRPr="00DF4CE5">
              <w:rPr>
                <w:rFonts w:ascii="Cambria" w:eastAsia="Times New Roman" w:hAnsi="Cambria" w:cs="Calibri"/>
                <w:bCs/>
                <w:lang w:val="hr-HR"/>
              </w:rPr>
              <w:t>Maksimalni udio u ocjeni (%)</w:t>
            </w:r>
          </w:p>
        </w:tc>
      </w:tr>
      <w:tr w:rsidR="00E41BE6" w:rsidRPr="00DF4CE5" w14:paraId="52B4E602" w14:textId="77777777" w:rsidTr="00C52F47">
        <w:tc>
          <w:tcPr>
            <w:tcW w:w="2124" w:type="dxa"/>
            <w:vMerge/>
            <w:tcBorders>
              <w:left w:val="single" w:sz="8" w:space="0" w:color="000000"/>
              <w:right w:val="single" w:sz="8" w:space="0" w:color="000000"/>
            </w:tcBorders>
            <w:vAlign w:val="center"/>
          </w:tcPr>
          <w:p w14:paraId="37BB9205" w14:textId="77777777" w:rsidR="00E41BE6" w:rsidRPr="00DF4CE5" w:rsidRDefault="00E41BE6" w:rsidP="00E41BE6">
            <w:pPr>
              <w:spacing w:after="0" w:line="240" w:lineRule="auto"/>
              <w:rPr>
                <w:rFonts w:ascii="Cambria" w:eastAsia="Times New Roman" w:hAnsi="Cambria" w:cs="Calibri"/>
                <w:lang w:val="hr-HR"/>
              </w:rPr>
            </w:pPr>
          </w:p>
        </w:tc>
        <w:tc>
          <w:tcPr>
            <w:tcW w:w="3084"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1DDA5AE" w14:textId="06924CC3"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aktivnosti</w:t>
            </w:r>
            <w:r w:rsidR="000F57D9" w:rsidRPr="00DF4CE5">
              <w:rPr>
                <w:rFonts w:ascii="Cambria" w:eastAsia="Times New Roman" w:hAnsi="Cambria" w:cs="Calibri"/>
                <w:lang w:val="hr-HR"/>
              </w:rPr>
              <w:t xml:space="preserve"> na nastavi</w:t>
            </w:r>
          </w:p>
        </w:tc>
        <w:tc>
          <w:tcPr>
            <w:tcW w:w="10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F29D237" w14:textId="77777777" w:rsidR="00E41BE6" w:rsidRPr="00DF4CE5" w:rsidRDefault="00E41BE6" w:rsidP="00E41BE6">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1. - 4.</w:t>
            </w:r>
          </w:p>
        </w:tc>
        <w:tc>
          <w:tcPr>
            <w:tcW w:w="71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2723ED5" w14:textId="5928DBA5" w:rsidR="00E41BE6" w:rsidRPr="00DF4CE5" w:rsidRDefault="00F04B06" w:rsidP="00E41BE6">
            <w:pPr>
              <w:spacing w:after="0" w:line="240" w:lineRule="auto"/>
              <w:jc w:val="center"/>
              <w:rPr>
                <w:rFonts w:ascii="Cambria" w:eastAsia="Times New Roman" w:hAnsi="Cambria" w:cs="Calibri"/>
                <w:lang w:val="hr-HR"/>
              </w:rPr>
            </w:pPr>
            <w:r w:rsidRPr="00F04B06">
              <w:rPr>
                <w:rFonts w:ascii="Cambria" w:eastAsia="Times New Roman" w:hAnsi="Cambria" w:cs="Calibri"/>
                <w:lang w:val="hr-HR"/>
              </w:rPr>
              <w:t>23</w:t>
            </w:r>
          </w:p>
        </w:tc>
        <w:tc>
          <w:tcPr>
            <w:tcW w:w="101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3E1235C" w14:textId="77777777" w:rsidR="00E41BE6" w:rsidRPr="00DF4CE5" w:rsidRDefault="00E41BE6" w:rsidP="00E41BE6">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0,8</w:t>
            </w:r>
          </w:p>
        </w:tc>
        <w:tc>
          <w:tcPr>
            <w:tcW w:w="131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F1639D1" w14:textId="77777777" w:rsidR="00E41BE6" w:rsidRPr="00DF4CE5" w:rsidRDefault="00E41BE6" w:rsidP="00E41BE6">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80%</w:t>
            </w:r>
          </w:p>
        </w:tc>
      </w:tr>
      <w:tr w:rsidR="00E41BE6" w:rsidRPr="00DF4CE5" w14:paraId="3C54A154" w14:textId="77777777" w:rsidTr="00C52F47">
        <w:tc>
          <w:tcPr>
            <w:tcW w:w="2124" w:type="dxa"/>
            <w:vMerge/>
            <w:tcBorders>
              <w:left w:val="single" w:sz="8" w:space="0" w:color="000000"/>
              <w:right w:val="single" w:sz="8" w:space="0" w:color="000000"/>
            </w:tcBorders>
            <w:vAlign w:val="center"/>
          </w:tcPr>
          <w:p w14:paraId="00E8C7D4" w14:textId="77777777" w:rsidR="00E41BE6" w:rsidRPr="00DF4CE5" w:rsidRDefault="00E41BE6" w:rsidP="00E41BE6">
            <w:pPr>
              <w:spacing w:after="0" w:line="240" w:lineRule="auto"/>
              <w:rPr>
                <w:rFonts w:ascii="Cambria" w:eastAsia="Times New Roman" w:hAnsi="Cambria" w:cs="Calibri"/>
                <w:lang w:val="hr-HR"/>
              </w:rPr>
            </w:pPr>
          </w:p>
        </w:tc>
        <w:tc>
          <w:tcPr>
            <w:tcW w:w="3084"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D46AF1C"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terenska nastava</w:t>
            </w:r>
          </w:p>
        </w:tc>
        <w:tc>
          <w:tcPr>
            <w:tcW w:w="10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BB8ADA0" w14:textId="77777777" w:rsidR="00E41BE6" w:rsidRPr="00DF4CE5" w:rsidRDefault="00E41BE6" w:rsidP="00E41BE6">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1. - 4.</w:t>
            </w:r>
          </w:p>
        </w:tc>
        <w:tc>
          <w:tcPr>
            <w:tcW w:w="71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6E99A16" w14:textId="1E1DC509" w:rsidR="00E41BE6" w:rsidRPr="00DF4CE5" w:rsidRDefault="00F04B06" w:rsidP="00E41BE6">
            <w:pPr>
              <w:spacing w:after="0" w:line="240" w:lineRule="auto"/>
              <w:jc w:val="center"/>
              <w:rPr>
                <w:rFonts w:ascii="Cambria" w:eastAsia="Times New Roman" w:hAnsi="Cambria" w:cs="Calibri"/>
                <w:lang w:val="hr-HR"/>
              </w:rPr>
            </w:pPr>
            <w:r>
              <w:rPr>
                <w:rFonts w:ascii="Cambria" w:eastAsia="Times New Roman" w:hAnsi="Cambria" w:cs="Calibri"/>
                <w:lang w:val="hr-HR"/>
              </w:rPr>
              <w:t>7</w:t>
            </w:r>
          </w:p>
        </w:tc>
        <w:tc>
          <w:tcPr>
            <w:tcW w:w="101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AC8F1FF" w14:textId="77777777" w:rsidR="00E41BE6" w:rsidRPr="00DF4CE5" w:rsidRDefault="00E41BE6" w:rsidP="00E41BE6">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0,2</w:t>
            </w:r>
          </w:p>
        </w:tc>
        <w:tc>
          <w:tcPr>
            <w:tcW w:w="131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9F8795D" w14:textId="77777777" w:rsidR="00E41BE6" w:rsidRPr="00DF4CE5" w:rsidRDefault="00E41BE6" w:rsidP="00E41BE6">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20%</w:t>
            </w:r>
          </w:p>
        </w:tc>
      </w:tr>
      <w:tr w:rsidR="00E41BE6" w:rsidRPr="00DF4CE5" w14:paraId="776A298D" w14:textId="77777777" w:rsidTr="00C52F47">
        <w:tc>
          <w:tcPr>
            <w:tcW w:w="2124" w:type="dxa"/>
            <w:vMerge/>
            <w:tcBorders>
              <w:left w:val="single" w:sz="8" w:space="0" w:color="000000"/>
              <w:right w:val="single" w:sz="8" w:space="0" w:color="000000"/>
            </w:tcBorders>
            <w:vAlign w:val="center"/>
          </w:tcPr>
          <w:p w14:paraId="15BDE45E" w14:textId="77777777" w:rsidR="00E41BE6" w:rsidRPr="00DF4CE5" w:rsidRDefault="00E41BE6" w:rsidP="00E41BE6">
            <w:pPr>
              <w:spacing w:after="0" w:line="240" w:lineRule="auto"/>
              <w:rPr>
                <w:rFonts w:ascii="Cambria" w:eastAsia="Times New Roman" w:hAnsi="Cambria" w:cs="Calibri"/>
                <w:lang w:val="hr-HR"/>
              </w:rPr>
            </w:pPr>
          </w:p>
        </w:tc>
        <w:tc>
          <w:tcPr>
            <w:tcW w:w="4172"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0EE9D40" w14:textId="677B4F4F" w:rsidR="00E41BE6" w:rsidRPr="00DF4CE5" w:rsidRDefault="003C5D89"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U</w:t>
            </w:r>
            <w:r w:rsidR="00E41BE6" w:rsidRPr="00DF4CE5">
              <w:rPr>
                <w:rFonts w:ascii="Cambria" w:eastAsia="Times New Roman" w:hAnsi="Cambria" w:cs="Calibri"/>
                <w:lang w:val="hr-HR"/>
              </w:rPr>
              <w:t>kupno</w:t>
            </w:r>
          </w:p>
        </w:tc>
        <w:tc>
          <w:tcPr>
            <w:tcW w:w="71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137571" w14:textId="77777777" w:rsidR="00E41BE6" w:rsidRPr="00DF4CE5" w:rsidRDefault="00E41BE6" w:rsidP="00E41BE6">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30</w:t>
            </w:r>
          </w:p>
        </w:tc>
        <w:tc>
          <w:tcPr>
            <w:tcW w:w="101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E8D5E0B" w14:textId="77777777" w:rsidR="00E41BE6" w:rsidRPr="00DF4CE5" w:rsidRDefault="00E41BE6" w:rsidP="00E41BE6">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1</w:t>
            </w:r>
          </w:p>
        </w:tc>
        <w:tc>
          <w:tcPr>
            <w:tcW w:w="131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05DBEB7" w14:textId="77777777" w:rsidR="00E41BE6" w:rsidRPr="00DF4CE5" w:rsidRDefault="00E41BE6" w:rsidP="00E41BE6">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100%</w:t>
            </w:r>
          </w:p>
        </w:tc>
      </w:tr>
      <w:tr w:rsidR="00E41BE6" w:rsidRPr="00D0399C" w14:paraId="1F181436" w14:textId="77777777" w:rsidTr="00C52F47">
        <w:tc>
          <w:tcPr>
            <w:tcW w:w="2124" w:type="dxa"/>
            <w:vMerge/>
            <w:tcBorders>
              <w:left w:val="single" w:sz="8" w:space="0" w:color="000000"/>
              <w:bottom w:val="single" w:sz="8" w:space="0" w:color="000000"/>
              <w:right w:val="single" w:sz="8" w:space="0" w:color="000000"/>
            </w:tcBorders>
            <w:vAlign w:val="center"/>
          </w:tcPr>
          <w:p w14:paraId="3EC8F378" w14:textId="77777777" w:rsidR="00E41BE6" w:rsidRPr="00DF4CE5" w:rsidRDefault="00E41BE6" w:rsidP="00E41BE6">
            <w:pPr>
              <w:spacing w:after="0" w:line="240" w:lineRule="auto"/>
              <w:rPr>
                <w:rFonts w:ascii="Cambria" w:eastAsia="Times New Roman" w:hAnsi="Cambria" w:cs="Calibri"/>
                <w:lang w:val="hr-HR"/>
              </w:rPr>
            </w:pPr>
          </w:p>
        </w:tc>
        <w:tc>
          <w:tcPr>
            <w:tcW w:w="7216"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E311624" w14:textId="77777777" w:rsidR="00E41BE6" w:rsidRPr="00DF4CE5" w:rsidRDefault="00E41BE6" w:rsidP="00E41BE6">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Dodatna pojašnjenja (kriteriji ocjenjivanja):</w:t>
            </w:r>
          </w:p>
          <w:p w14:paraId="7C2B2ADB" w14:textId="77777777" w:rsidR="00E41BE6" w:rsidRPr="00DF4CE5" w:rsidRDefault="00E41BE6" w:rsidP="00E41BE6">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Ocjenjuje se aktivnost na nastavi, zadani elementi motoričkih znanja i rezultati testova (razina) motoričkih i funkcionalnih sposobnosti.</w:t>
            </w:r>
          </w:p>
        </w:tc>
      </w:tr>
      <w:tr w:rsidR="00E41BE6" w:rsidRPr="00DF4CE5" w14:paraId="142D1389" w14:textId="77777777" w:rsidTr="00C52F47">
        <w:tc>
          <w:tcPr>
            <w:tcW w:w="212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9CC30CF"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Studentske obveze</w:t>
            </w:r>
          </w:p>
        </w:tc>
        <w:tc>
          <w:tcPr>
            <w:tcW w:w="721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9796332" w14:textId="77777777" w:rsidR="00E41BE6" w:rsidRPr="00DF4CE5" w:rsidRDefault="00E41BE6" w:rsidP="00E41BE6">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Da položi kolegij, student/studentica treba:</w:t>
            </w:r>
          </w:p>
          <w:p w14:paraId="30DF4184" w14:textId="2F29C36D" w:rsidR="00E41BE6" w:rsidRPr="00DF4CE5" w:rsidRDefault="00E41BE6" w:rsidP="00E41BE6">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1. </w:t>
            </w:r>
            <w:r w:rsidR="00F04B06">
              <w:rPr>
                <w:rFonts w:ascii="Cambria" w:eastAsia="Times New Roman" w:hAnsi="Cambria" w:cs="Calibri"/>
                <w:lang w:val="hr-HR"/>
              </w:rPr>
              <w:t>r</w:t>
            </w:r>
            <w:r w:rsidRPr="00DF4CE5">
              <w:rPr>
                <w:rFonts w:ascii="Cambria" w:eastAsia="Times New Roman" w:hAnsi="Cambria" w:cs="Calibri"/>
                <w:lang w:val="hr-HR"/>
              </w:rPr>
              <w:t>edovito dolaziti na nastavu; može izostati s nastave maksimalno 4 puta</w:t>
            </w:r>
          </w:p>
          <w:p w14:paraId="7FE1424F" w14:textId="3D4B4B16" w:rsidR="00E41BE6" w:rsidRPr="00DF4CE5" w:rsidRDefault="00E41BE6" w:rsidP="00E41BE6">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2. </w:t>
            </w:r>
            <w:r w:rsidR="00F04B06">
              <w:rPr>
                <w:rFonts w:ascii="Cambria" w:eastAsia="Times New Roman" w:hAnsi="Cambria" w:cs="Calibri"/>
                <w:lang w:val="hr-HR"/>
              </w:rPr>
              <w:t>a</w:t>
            </w:r>
            <w:r w:rsidRPr="00DF4CE5">
              <w:rPr>
                <w:rFonts w:ascii="Cambria" w:eastAsia="Times New Roman" w:hAnsi="Cambria" w:cs="Calibri"/>
                <w:lang w:val="hr-HR"/>
              </w:rPr>
              <w:t>ktivno sudjelovati na nastavi</w:t>
            </w:r>
          </w:p>
          <w:p w14:paraId="7FB9DD56" w14:textId="6FD6F5A7" w:rsidR="00E41BE6" w:rsidRPr="00DF4CE5" w:rsidRDefault="00E41BE6" w:rsidP="00E41BE6">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3. </w:t>
            </w:r>
            <w:r w:rsidR="00F04B06">
              <w:rPr>
                <w:rFonts w:ascii="Cambria" w:eastAsia="Times New Roman" w:hAnsi="Cambria" w:cs="Calibri"/>
                <w:lang w:val="hr-HR"/>
              </w:rPr>
              <w:t>d</w:t>
            </w:r>
            <w:r w:rsidRPr="00DF4CE5">
              <w:rPr>
                <w:rFonts w:ascii="Cambria" w:eastAsia="Times New Roman" w:hAnsi="Cambria" w:cs="Calibri"/>
                <w:lang w:val="hr-HR"/>
              </w:rPr>
              <w:t>olaziti na nastavu bez ikakvog nakita u sportskoj odjeći i obući (tenisicama, bijeloj sportskoj majici, sportskim hlačicama ili trenirci)</w:t>
            </w:r>
          </w:p>
          <w:p w14:paraId="186D2A33" w14:textId="1609D783" w:rsidR="00E41BE6" w:rsidRPr="00DF4CE5" w:rsidRDefault="00E41BE6" w:rsidP="00F04B06">
            <w:pPr>
              <w:spacing w:after="0" w:line="240" w:lineRule="auto"/>
              <w:rPr>
                <w:rFonts w:ascii="Cambria" w:eastAsia="Times New Roman" w:hAnsi="Cambria" w:cs="Calibri"/>
                <w:lang w:val="hr-HR"/>
              </w:rPr>
            </w:pPr>
            <w:r w:rsidRPr="00DF4CE5">
              <w:rPr>
                <w:rFonts w:ascii="Cambria" w:eastAsia="Times New Roman" w:hAnsi="Cambria" w:cs="Calibri"/>
                <w:lang w:val="hr-HR"/>
              </w:rPr>
              <w:t xml:space="preserve">4. </w:t>
            </w:r>
            <w:r w:rsidR="00F04B06">
              <w:rPr>
                <w:rFonts w:ascii="Cambria" w:eastAsia="Times New Roman" w:hAnsi="Cambria" w:cs="Calibri"/>
                <w:lang w:val="hr-HR"/>
              </w:rPr>
              <w:t>s</w:t>
            </w:r>
            <w:r w:rsidRPr="00DF4CE5">
              <w:rPr>
                <w:rFonts w:ascii="Cambria" w:eastAsia="Times New Roman" w:hAnsi="Cambria" w:cs="Calibri"/>
                <w:lang w:val="hr-HR"/>
              </w:rPr>
              <w:t>udjelovati u terenskoj nastavi, pješačenju u prirodi i planinarenju te sportsko-rekreativnom danu Fakulteta za odgojne i obrazovne znanosti (na Fratarskom otoku krajem akademske godine)</w:t>
            </w:r>
          </w:p>
          <w:p w14:paraId="2EF8A70B" w14:textId="4039A74F" w:rsidR="00E41BE6" w:rsidRPr="00DF4CE5" w:rsidRDefault="00E41BE6" w:rsidP="00E41BE6">
            <w:pPr>
              <w:spacing w:after="0" w:line="240" w:lineRule="auto"/>
              <w:jc w:val="both"/>
              <w:rPr>
                <w:rFonts w:ascii="Cambria" w:eastAsia="Times New Roman" w:hAnsi="Cambria" w:cs="Calibri"/>
                <w:b/>
                <w:lang w:val="hr-HR"/>
              </w:rPr>
            </w:pPr>
            <w:r w:rsidRPr="00DF4CE5">
              <w:rPr>
                <w:rFonts w:ascii="Cambria" w:eastAsia="Times New Roman" w:hAnsi="Cambria" w:cs="Calibri"/>
                <w:lang w:val="hr-HR"/>
              </w:rPr>
              <w:t xml:space="preserve">5. </w:t>
            </w:r>
            <w:r w:rsidR="00F04B06">
              <w:rPr>
                <w:rFonts w:ascii="Cambria" w:eastAsia="Times New Roman" w:hAnsi="Cambria" w:cs="Calibri"/>
                <w:lang w:val="hr-HR"/>
              </w:rPr>
              <w:t>s</w:t>
            </w:r>
            <w:r w:rsidRPr="00DF4CE5">
              <w:rPr>
                <w:rFonts w:ascii="Cambria" w:eastAsia="Times New Roman" w:hAnsi="Cambria" w:cs="Calibri"/>
                <w:lang w:val="hr-HR"/>
              </w:rPr>
              <w:t>avladati sve zadane elemente.</w:t>
            </w:r>
          </w:p>
        </w:tc>
      </w:tr>
      <w:tr w:rsidR="00E41BE6" w:rsidRPr="00D0399C" w14:paraId="5932D2B8" w14:textId="77777777" w:rsidTr="00C52F47">
        <w:tc>
          <w:tcPr>
            <w:tcW w:w="212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0532DA3"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Rokovi ispita i kolokvija</w:t>
            </w:r>
          </w:p>
        </w:tc>
        <w:tc>
          <w:tcPr>
            <w:tcW w:w="721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20A88E7" w14:textId="77777777" w:rsidR="00E41BE6" w:rsidRPr="00DF4CE5" w:rsidRDefault="00E41BE6" w:rsidP="00E41BE6">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Objavljuju se na početku akademske godine u ISVU.</w:t>
            </w:r>
          </w:p>
        </w:tc>
      </w:tr>
      <w:tr w:rsidR="00E41BE6" w:rsidRPr="00DF4CE5" w14:paraId="6747E750" w14:textId="77777777" w:rsidTr="00C52F47">
        <w:tc>
          <w:tcPr>
            <w:tcW w:w="212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DCABDA8"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Ostale važne činjenice vezane uz kolegij</w:t>
            </w:r>
          </w:p>
        </w:tc>
        <w:tc>
          <w:tcPr>
            <w:tcW w:w="721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5DA7D38" w14:textId="77777777" w:rsidR="00E41BE6" w:rsidRPr="00DF4CE5" w:rsidRDefault="00E41BE6" w:rsidP="00E41BE6">
            <w:pPr>
              <w:tabs>
                <w:tab w:val="left" w:pos="376"/>
              </w:tabs>
              <w:spacing w:after="0" w:line="240" w:lineRule="auto"/>
              <w:jc w:val="both"/>
              <w:rPr>
                <w:rFonts w:ascii="Cambria" w:eastAsia="Times New Roman" w:hAnsi="Cambria" w:cs="Calibri"/>
                <w:lang w:val="hr-HR"/>
              </w:rPr>
            </w:pPr>
            <w:r w:rsidRPr="00DF4CE5">
              <w:rPr>
                <w:rFonts w:ascii="Cambria" w:eastAsia="Times New Roman" w:hAnsi="Cambria" w:cs="Calibri"/>
                <w:lang w:val="hr-HR"/>
              </w:rPr>
              <w:t>Za provjeru stupnja razvoja općih kompetencija koristit će se standardizirani testovi motoričkih sposobnosti (testovi eksplozivne, statičke i repetitivne snage, brzine, koordinacije i fleksibilnosti), test funkcionalnih sposobnosti (trčanje 1300 m), testovi motoričkih znanja (ocjenjivanje zadanih elemenata tijekom nastave) i test znanja plivanja osnovnim plivačkim tehnikama.</w:t>
            </w:r>
          </w:p>
          <w:p w14:paraId="1A02A71C" w14:textId="77777777" w:rsidR="00E41BE6" w:rsidRPr="00DF4CE5" w:rsidRDefault="00E41BE6" w:rsidP="00E41BE6">
            <w:pPr>
              <w:tabs>
                <w:tab w:val="left" w:pos="376"/>
              </w:tabs>
              <w:spacing w:after="0" w:line="240" w:lineRule="auto"/>
              <w:jc w:val="both"/>
              <w:rPr>
                <w:rFonts w:ascii="Cambria" w:eastAsia="Times New Roman" w:hAnsi="Cambria" w:cs="Calibri"/>
                <w:lang w:val="hr-HR"/>
              </w:rPr>
            </w:pPr>
            <w:r w:rsidRPr="00DF4CE5">
              <w:rPr>
                <w:rFonts w:ascii="Cambria" w:eastAsia="Times New Roman" w:hAnsi="Cambria" w:cs="Calibri"/>
                <w:lang w:val="hr-HR"/>
              </w:rPr>
              <w:t>Studenti koji imaju u bilo kom obliku narušen zdravstveni status, dužni su već na početku akademske godine priložiti zdravstvenu dokumentaciju i mišljenje nadležnog sveučilišnog liječnika o eventualnoj djelomičnoj poštedi s posebnim naglaskom na onaj dio aktivnosti u Kineziološkoj kulturi, kojih bi zbog narušenog zdravstvenog statusa trebali biti djelomično pošteđeni.</w:t>
            </w:r>
          </w:p>
          <w:p w14:paraId="72D1A7DF" w14:textId="77777777" w:rsidR="00E41BE6" w:rsidRPr="00DF4CE5" w:rsidRDefault="00E41BE6" w:rsidP="00E41BE6">
            <w:pPr>
              <w:tabs>
                <w:tab w:val="left" w:pos="376"/>
              </w:tabs>
              <w:spacing w:after="0" w:line="240" w:lineRule="auto"/>
              <w:jc w:val="both"/>
              <w:rPr>
                <w:rFonts w:ascii="Cambria" w:eastAsia="Times New Roman" w:hAnsi="Cambria" w:cs="Calibri"/>
                <w:lang w:val="hr-HR"/>
              </w:rPr>
            </w:pPr>
            <w:r w:rsidRPr="00DF4CE5">
              <w:rPr>
                <w:rFonts w:ascii="Cambria" w:eastAsia="Times New Roman" w:hAnsi="Cambria" w:cs="Calibri"/>
                <w:lang w:val="hr-HR"/>
              </w:rPr>
              <w:t>Vrijeme konzultacija bit će određeno na početku svakog semestra (nakon službene objave rasporeda sati).</w:t>
            </w:r>
          </w:p>
          <w:p w14:paraId="702219E2" w14:textId="77777777" w:rsidR="00E41BE6" w:rsidRPr="00DF4CE5" w:rsidRDefault="00E41BE6" w:rsidP="00E41BE6">
            <w:pPr>
              <w:tabs>
                <w:tab w:val="left" w:pos="376"/>
              </w:tabs>
              <w:spacing w:after="0" w:line="240" w:lineRule="auto"/>
              <w:jc w:val="both"/>
              <w:rPr>
                <w:rFonts w:ascii="Cambria" w:eastAsia="Times New Roman" w:hAnsi="Cambria" w:cs="Calibri"/>
                <w:lang w:val="hr-HR"/>
              </w:rPr>
            </w:pPr>
            <w:r w:rsidRPr="00DF4CE5">
              <w:rPr>
                <w:rFonts w:ascii="Cambria" w:eastAsia="Times New Roman" w:hAnsi="Cambria" w:cs="Calibri"/>
                <w:lang w:val="hr-HR"/>
              </w:rPr>
              <w:t>U slučaju održavanja nastave na daljinu, moguće je odstupanje u: mjestu izvođenja kolegija, provedbi aktivnosti, metoda tumačenja i poučavanja i načinima vrednovanja, studentskim obvezama i dostupnoj literaturi. O tome će nositeljica kolegija i suradnik obavijestiti studente i studentice kad se nastava na daljinu počne održavati. Ishodi učenja ostaju nepromijenjeni.</w:t>
            </w:r>
          </w:p>
        </w:tc>
      </w:tr>
      <w:tr w:rsidR="00E41BE6" w:rsidRPr="00D0399C" w14:paraId="6216B8C2" w14:textId="77777777" w:rsidTr="00C52F47">
        <w:trPr>
          <w:trHeight w:val="770"/>
        </w:trPr>
        <w:tc>
          <w:tcPr>
            <w:tcW w:w="212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C81DDC6" w14:textId="77777777" w:rsidR="00E41BE6" w:rsidRPr="00DF4CE5" w:rsidRDefault="00E41BE6" w:rsidP="00E41BE6">
            <w:pPr>
              <w:spacing w:after="0" w:line="240" w:lineRule="auto"/>
              <w:rPr>
                <w:rFonts w:ascii="Cambria" w:eastAsia="Times New Roman" w:hAnsi="Cambria" w:cs="Calibri"/>
                <w:lang w:val="hr-HR"/>
              </w:rPr>
            </w:pPr>
            <w:r w:rsidRPr="00DF4CE5">
              <w:rPr>
                <w:rFonts w:ascii="Cambria" w:eastAsia="Times New Roman" w:hAnsi="Cambria" w:cs="Calibri"/>
                <w:lang w:val="hr-HR"/>
              </w:rPr>
              <w:t>Literatura</w:t>
            </w:r>
          </w:p>
        </w:tc>
        <w:tc>
          <w:tcPr>
            <w:tcW w:w="7216"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2D25DC7B" w14:textId="77777777" w:rsidR="00E41BE6" w:rsidRPr="00DF4CE5" w:rsidRDefault="00E41BE6" w:rsidP="00E41BE6">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Obvezna: Literatura nije obvezna.</w:t>
            </w:r>
          </w:p>
          <w:p w14:paraId="20883593" w14:textId="77777777" w:rsidR="00E41BE6" w:rsidRPr="00DF4CE5" w:rsidRDefault="00E41BE6" w:rsidP="00E41BE6">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Izborna:</w:t>
            </w:r>
          </w:p>
          <w:p w14:paraId="247C088B" w14:textId="77777777" w:rsidR="00E41BE6" w:rsidRPr="00DF4CE5" w:rsidRDefault="00E41BE6" w:rsidP="00E41BE6">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1. </w:t>
            </w:r>
            <w:proofErr w:type="spellStart"/>
            <w:r w:rsidRPr="00DF4CE5">
              <w:rPr>
                <w:rFonts w:ascii="Cambria" w:eastAsia="Times New Roman" w:hAnsi="Cambria" w:cs="Calibri"/>
                <w:lang w:val="hr-HR"/>
              </w:rPr>
              <w:t>Findak</w:t>
            </w:r>
            <w:proofErr w:type="spellEnd"/>
            <w:r w:rsidRPr="00DF4CE5">
              <w:rPr>
                <w:rFonts w:ascii="Cambria" w:eastAsia="Times New Roman" w:hAnsi="Cambria" w:cs="Calibri"/>
                <w:lang w:val="hr-HR"/>
              </w:rPr>
              <w:t xml:space="preserve">, V. (2001). </w:t>
            </w:r>
            <w:r w:rsidRPr="00DF4CE5">
              <w:rPr>
                <w:rFonts w:ascii="Cambria" w:eastAsia="Times New Roman" w:hAnsi="Cambria" w:cs="Calibri"/>
                <w:i/>
                <w:lang w:val="hr-HR"/>
              </w:rPr>
              <w:t>Metodika tjelesne i zdravstvene kulture</w:t>
            </w:r>
            <w:r w:rsidRPr="00DF4CE5">
              <w:rPr>
                <w:rFonts w:ascii="Cambria" w:eastAsia="Times New Roman" w:hAnsi="Cambria" w:cs="Calibri"/>
                <w:lang w:val="hr-HR"/>
              </w:rPr>
              <w:t>. Zagreb: Školska knjiga.</w:t>
            </w:r>
          </w:p>
          <w:p w14:paraId="4560828E" w14:textId="77777777" w:rsidR="00E41BE6" w:rsidRPr="00DF4CE5" w:rsidRDefault="00E41BE6" w:rsidP="00E41BE6">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2. </w:t>
            </w:r>
            <w:proofErr w:type="spellStart"/>
            <w:r w:rsidRPr="00DF4CE5">
              <w:rPr>
                <w:rFonts w:ascii="Cambria" w:eastAsia="Times New Roman" w:hAnsi="Cambria" w:cs="Calibri"/>
                <w:lang w:val="hr-HR"/>
              </w:rPr>
              <w:t>Findak</w:t>
            </w:r>
            <w:proofErr w:type="spellEnd"/>
            <w:r w:rsidRPr="00DF4CE5">
              <w:rPr>
                <w:rFonts w:ascii="Cambria" w:eastAsia="Times New Roman" w:hAnsi="Cambria" w:cs="Calibri"/>
                <w:lang w:val="hr-HR"/>
              </w:rPr>
              <w:t xml:space="preserve">, V., Prskalo, I., Babin, J. (2011). </w:t>
            </w:r>
            <w:r w:rsidRPr="00DF4CE5">
              <w:rPr>
                <w:rFonts w:ascii="Cambria" w:eastAsia="Times New Roman" w:hAnsi="Cambria" w:cs="Calibri"/>
                <w:i/>
                <w:lang w:val="hr-HR"/>
              </w:rPr>
              <w:t>Sat Tjelesne i zdravstvene kulture u primarnoj edukaciji.</w:t>
            </w:r>
            <w:r w:rsidRPr="00DF4CE5">
              <w:rPr>
                <w:rFonts w:ascii="Cambria" w:eastAsia="Times New Roman" w:hAnsi="Cambria" w:cs="Calibri"/>
                <w:lang w:val="hr-HR"/>
              </w:rPr>
              <w:t xml:space="preserve"> Zagreb: Učiteljski fakultet Sveučilišta u Zagrebu.</w:t>
            </w:r>
          </w:p>
          <w:p w14:paraId="227D550F" w14:textId="77777777" w:rsidR="00E41BE6" w:rsidRPr="00DF4CE5" w:rsidRDefault="00E41BE6" w:rsidP="00E41BE6">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3. </w:t>
            </w:r>
            <w:proofErr w:type="spellStart"/>
            <w:r w:rsidRPr="00DF4CE5">
              <w:rPr>
                <w:rFonts w:ascii="Cambria" w:eastAsia="Times New Roman" w:hAnsi="Cambria" w:cs="Calibri"/>
                <w:lang w:val="hr-HR"/>
              </w:rPr>
              <w:t>Kosinac</w:t>
            </w:r>
            <w:proofErr w:type="spellEnd"/>
            <w:r w:rsidRPr="00DF4CE5">
              <w:rPr>
                <w:rFonts w:ascii="Cambria" w:eastAsia="Times New Roman" w:hAnsi="Cambria" w:cs="Calibri"/>
                <w:lang w:val="hr-HR"/>
              </w:rPr>
              <w:t xml:space="preserve">, Z. (2011). </w:t>
            </w:r>
            <w:r w:rsidRPr="00DF4CE5">
              <w:rPr>
                <w:rFonts w:ascii="Cambria" w:eastAsia="Times New Roman" w:hAnsi="Cambria" w:cs="Calibri"/>
                <w:i/>
                <w:lang w:val="hr-HR"/>
              </w:rPr>
              <w:t>Morfološko-motorički i funkcionalni razvoj djece uzrasne dobi od 5. do 11. godine</w:t>
            </w:r>
            <w:r w:rsidRPr="00DF4CE5">
              <w:rPr>
                <w:rFonts w:ascii="Cambria" w:eastAsia="Times New Roman" w:hAnsi="Cambria" w:cs="Calibri"/>
                <w:lang w:val="hr-HR"/>
              </w:rPr>
              <w:t>. Split: Savez školskih športskih društava grada Splita.</w:t>
            </w:r>
          </w:p>
          <w:p w14:paraId="3D34E143" w14:textId="77777777" w:rsidR="00E41BE6" w:rsidRPr="00DF4CE5" w:rsidRDefault="00E41BE6" w:rsidP="00E41BE6">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4. Pejčić, A. i </w:t>
            </w:r>
            <w:proofErr w:type="spellStart"/>
            <w:r w:rsidRPr="00DF4CE5">
              <w:rPr>
                <w:rFonts w:ascii="Cambria" w:eastAsia="Times New Roman" w:hAnsi="Cambria" w:cs="Calibri"/>
                <w:lang w:val="hr-HR"/>
              </w:rPr>
              <w:t>Trajkovski</w:t>
            </w:r>
            <w:proofErr w:type="spellEnd"/>
            <w:r w:rsidRPr="00DF4CE5">
              <w:rPr>
                <w:rFonts w:ascii="Cambria" w:eastAsia="Times New Roman" w:hAnsi="Cambria" w:cs="Calibri"/>
                <w:lang w:val="hr-HR"/>
              </w:rPr>
              <w:t xml:space="preserve">, B. (2018). </w:t>
            </w:r>
            <w:r w:rsidRPr="00DF4CE5">
              <w:rPr>
                <w:rFonts w:ascii="Cambria" w:eastAsia="Times New Roman" w:hAnsi="Cambria" w:cs="Calibri"/>
                <w:i/>
                <w:lang w:val="hr-HR"/>
              </w:rPr>
              <w:t>Što i kako vježbati s djecom u vrtiću i školi.</w:t>
            </w:r>
            <w:r w:rsidRPr="00DF4CE5">
              <w:rPr>
                <w:rFonts w:ascii="Cambria" w:eastAsia="Times New Roman" w:hAnsi="Cambria" w:cs="Calibri"/>
                <w:lang w:val="hr-HR"/>
              </w:rPr>
              <w:t xml:space="preserve"> Rijeka: Učiteljski fakultet Sveučilišta u Rijeci.</w:t>
            </w:r>
          </w:p>
          <w:p w14:paraId="30B2A5C0" w14:textId="77777777" w:rsidR="00E41BE6" w:rsidRPr="00DF4CE5" w:rsidRDefault="00E41BE6" w:rsidP="00E41BE6">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5. Prskalo, I., Sporiš, G. (2016). </w:t>
            </w:r>
            <w:r w:rsidRPr="00DF4CE5">
              <w:rPr>
                <w:rFonts w:ascii="Cambria" w:eastAsia="Times New Roman" w:hAnsi="Cambria" w:cs="Calibri"/>
                <w:i/>
                <w:lang w:val="hr-HR"/>
              </w:rPr>
              <w:t>Osnove kineziologije</w:t>
            </w:r>
            <w:r w:rsidRPr="00DF4CE5">
              <w:rPr>
                <w:rFonts w:ascii="Cambria" w:eastAsia="Times New Roman" w:hAnsi="Cambria" w:cs="Calibri"/>
                <w:lang w:val="hr-HR"/>
              </w:rPr>
              <w:t>. Zagreb: Školska knjiga, Učiteljski fakultet Sveučilišta u Zagrebu i Kineziološki fakultet Sveučilišta u Zagrebu.</w:t>
            </w:r>
          </w:p>
          <w:p w14:paraId="508D8B7E" w14:textId="77777777" w:rsidR="00E41BE6" w:rsidRPr="00DF4CE5" w:rsidRDefault="00E41BE6" w:rsidP="00E41BE6">
            <w:pPr>
              <w:spacing w:after="0" w:line="240" w:lineRule="auto"/>
              <w:jc w:val="both"/>
              <w:rPr>
                <w:rFonts w:ascii="Cambria" w:eastAsia="Times New Roman" w:hAnsi="Cambria" w:cs="Calibri"/>
                <w:lang w:val="hr-HR"/>
              </w:rPr>
            </w:pPr>
            <w:r w:rsidRPr="00DF4CE5">
              <w:rPr>
                <w:rFonts w:ascii="Cambria" w:eastAsia="Times New Roman" w:hAnsi="Cambria" w:cs="Calibri"/>
                <w:lang w:val="hr-HR"/>
              </w:rPr>
              <w:lastRenderedPageBreak/>
              <w:t xml:space="preserve">6. Sekulić, D., Metikoš, D. (2007). </w:t>
            </w:r>
            <w:r w:rsidRPr="00DF4CE5">
              <w:rPr>
                <w:rFonts w:ascii="Cambria" w:eastAsia="Times New Roman" w:hAnsi="Cambria" w:cs="Calibri"/>
                <w:i/>
                <w:lang w:val="hr-HR"/>
              </w:rPr>
              <w:t>Osnove transformacijskih postupaka u kineziologiji.</w:t>
            </w:r>
            <w:r w:rsidRPr="00DF4CE5">
              <w:rPr>
                <w:rFonts w:ascii="Cambria" w:eastAsia="Times New Roman" w:hAnsi="Cambria" w:cs="Calibri"/>
                <w:lang w:val="hr-HR"/>
              </w:rPr>
              <w:t xml:space="preserve"> Sveučilište u Splitu: Fakultet prirodoslovno-matematičkih znanosti i kineziologije.</w:t>
            </w:r>
          </w:p>
          <w:p w14:paraId="612D4B52" w14:textId="77777777" w:rsidR="00E41BE6" w:rsidRPr="00DF4CE5" w:rsidRDefault="00E41BE6" w:rsidP="00E41BE6">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Priručna:</w:t>
            </w:r>
          </w:p>
          <w:p w14:paraId="21AF6DDF" w14:textId="77777777" w:rsidR="00E41BE6" w:rsidRPr="00DF4CE5" w:rsidRDefault="00E41BE6" w:rsidP="00E41BE6">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1. </w:t>
            </w:r>
            <w:proofErr w:type="spellStart"/>
            <w:r w:rsidRPr="00DF4CE5">
              <w:rPr>
                <w:rFonts w:ascii="Cambria" w:eastAsia="Times New Roman" w:hAnsi="Cambria" w:cs="Calibri"/>
                <w:lang w:val="hr-HR"/>
              </w:rPr>
              <w:t>Findak</w:t>
            </w:r>
            <w:proofErr w:type="spellEnd"/>
            <w:r w:rsidRPr="00DF4CE5">
              <w:rPr>
                <w:rFonts w:ascii="Cambria" w:eastAsia="Times New Roman" w:hAnsi="Cambria" w:cs="Calibri"/>
                <w:lang w:val="hr-HR"/>
              </w:rPr>
              <w:t xml:space="preserve">, V., Metikoš, D., Mraković, M., </w:t>
            </w:r>
            <w:proofErr w:type="spellStart"/>
            <w:r w:rsidRPr="00DF4CE5">
              <w:rPr>
                <w:rFonts w:ascii="Cambria" w:eastAsia="Times New Roman" w:hAnsi="Cambria" w:cs="Calibri"/>
                <w:lang w:val="hr-HR"/>
              </w:rPr>
              <w:t>Neljak</w:t>
            </w:r>
            <w:proofErr w:type="spellEnd"/>
            <w:r w:rsidRPr="00DF4CE5">
              <w:rPr>
                <w:rFonts w:ascii="Cambria" w:eastAsia="Times New Roman" w:hAnsi="Cambria" w:cs="Calibri"/>
                <w:lang w:val="hr-HR"/>
              </w:rPr>
              <w:t xml:space="preserve">, B. (1996). </w:t>
            </w:r>
            <w:r w:rsidRPr="00DF4CE5">
              <w:rPr>
                <w:rFonts w:ascii="Cambria" w:eastAsia="Times New Roman" w:hAnsi="Cambria" w:cs="Calibri"/>
                <w:i/>
                <w:lang w:val="hr-HR"/>
              </w:rPr>
              <w:t>Primijenjena kineziologija u školstvu-NORME</w:t>
            </w:r>
            <w:r w:rsidRPr="00DF4CE5">
              <w:rPr>
                <w:rFonts w:ascii="Cambria" w:eastAsia="Times New Roman" w:hAnsi="Cambria" w:cs="Calibri"/>
                <w:lang w:val="hr-HR"/>
              </w:rPr>
              <w:t>. Zagreb: Hrvatski pedagoško-književni zbor, Fakultet za fizičku kulturu Sveučilišta u Zagrebu.</w:t>
            </w:r>
          </w:p>
        </w:tc>
      </w:tr>
      <w:bookmarkEnd w:id="103"/>
    </w:tbl>
    <w:p w14:paraId="4911EF29" w14:textId="77777777" w:rsidR="00E41BE6" w:rsidRPr="00DF4CE5" w:rsidRDefault="00E41BE6">
      <w:pPr>
        <w:rPr>
          <w:rFonts w:ascii="Cambria" w:eastAsia="Times New Roman" w:hAnsi="Cambria" w:cs="Calibri"/>
          <w:lang w:val="hr-HR"/>
        </w:rPr>
      </w:pPr>
    </w:p>
    <w:p w14:paraId="2F81B406" w14:textId="51D857C8" w:rsidR="00E41BE6" w:rsidRPr="00DF4CE5" w:rsidRDefault="00E41BE6">
      <w:pPr>
        <w:rPr>
          <w:rFonts w:ascii="Cambria" w:eastAsia="Times New Roman" w:hAnsi="Cambria" w:cs="Calibri"/>
          <w:lang w:val="hr-HR"/>
        </w:rPr>
      </w:pPr>
    </w:p>
    <w:p w14:paraId="12B358BF" w14:textId="39C23A9A" w:rsidR="00450B7A" w:rsidRDefault="00450B7A">
      <w:pPr>
        <w:rPr>
          <w:rFonts w:ascii="Cambria" w:eastAsia="Times New Roman" w:hAnsi="Cambria" w:cs="Calibri"/>
          <w:lang w:val="hr-HR"/>
        </w:rPr>
      </w:pPr>
      <w:r>
        <w:rPr>
          <w:rFonts w:ascii="Cambria" w:eastAsia="Times New Roman" w:hAnsi="Cambria" w:cs="Calibri"/>
          <w:lang w:val="hr-HR"/>
        </w:rPr>
        <w:br w:type="page"/>
      </w:r>
    </w:p>
    <w:p w14:paraId="6B4F01BB" w14:textId="3205F563" w:rsidR="00256832" w:rsidRPr="00450B7A" w:rsidRDefault="00450B7A" w:rsidP="00450B7A">
      <w:pPr>
        <w:jc w:val="center"/>
        <w:rPr>
          <w:rFonts w:ascii="Cambria" w:eastAsia="Times New Roman" w:hAnsi="Cambria" w:cs="Calibri"/>
          <w:b/>
          <w:lang w:val="hr-HR"/>
        </w:rPr>
      </w:pPr>
      <w:r w:rsidRPr="00450B7A">
        <w:rPr>
          <w:rFonts w:ascii="Cambria" w:eastAsia="Times New Roman" w:hAnsi="Cambria" w:cs="Calibri"/>
          <w:b/>
          <w:lang w:val="hr-HR"/>
        </w:rPr>
        <w:lastRenderedPageBreak/>
        <w:t>III. semestar</w:t>
      </w:r>
    </w:p>
    <w:tbl>
      <w:tblPr>
        <w:tblW w:w="5000" w:type="pct"/>
        <w:tblLayout w:type="fixed"/>
        <w:tblCellMar>
          <w:left w:w="0" w:type="dxa"/>
          <w:right w:w="0" w:type="dxa"/>
        </w:tblCellMar>
        <w:tblLook w:val="0000" w:firstRow="0" w:lastRow="0" w:firstColumn="0" w:lastColumn="0" w:noHBand="0" w:noVBand="0"/>
      </w:tblPr>
      <w:tblGrid>
        <w:gridCol w:w="2275"/>
        <w:gridCol w:w="3195"/>
        <w:gridCol w:w="105"/>
        <w:gridCol w:w="1171"/>
        <w:gridCol w:w="300"/>
        <w:gridCol w:w="472"/>
        <w:gridCol w:w="1087"/>
        <w:gridCol w:w="1415"/>
      </w:tblGrid>
      <w:tr w:rsidR="00F04B06" w:rsidRPr="005C2363" w14:paraId="5B635497" w14:textId="77777777" w:rsidTr="00F04B06">
        <w:tc>
          <w:tcPr>
            <w:tcW w:w="9052"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59D3767" w14:textId="77777777" w:rsidR="00F04B06" w:rsidRPr="005C2363" w:rsidRDefault="00F04B06" w:rsidP="00F04B06">
            <w:pPr>
              <w:spacing w:after="0" w:line="240" w:lineRule="auto"/>
              <w:jc w:val="right"/>
              <w:rPr>
                <w:rFonts w:ascii="Cambria" w:eastAsia="Times New Roman" w:hAnsi="Cambria" w:cs="Calibri"/>
                <w:b/>
                <w:lang w:val="hr-HR"/>
              </w:rPr>
            </w:pPr>
            <w:r w:rsidRPr="005C2363">
              <w:rPr>
                <w:rFonts w:ascii="Cambria" w:eastAsia="Times New Roman" w:hAnsi="Cambria" w:cs="Calibri"/>
                <w:b/>
                <w:lang w:val="hr-HR"/>
              </w:rPr>
              <w:t>IZVEDBENI PLAN NASTAVE KOLEGIJA</w:t>
            </w:r>
          </w:p>
        </w:tc>
      </w:tr>
      <w:tr w:rsidR="00F04B06" w:rsidRPr="005C2363" w14:paraId="2B0CFD2C" w14:textId="77777777" w:rsidTr="00F04B06">
        <w:tc>
          <w:tcPr>
            <w:tcW w:w="205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CB10D75" w14:textId="77777777" w:rsidR="00F04B06" w:rsidRPr="005C2363" w:rsidRDefault="00F04B06" w:rsidP="00F04B06">
            <w:pPr>
              <w:spacing w:after="0" w:line="240" w:lineRule="auto"/>
              <w:rPr>
                <w:rFonts w:ascii="Cambria" w:eastAsia="Times New Roman" w:hAnsi="Cambria" w:cs="Calibri"/>
                <w:lang w:val="hr-HR"/>
              </w:rPr>
            </w:pPr>
            <w:r w:rsidRPr="005C2363">
              <w:rPr>
                <w:rFonts w:ascii="Cambria" w:eastAsia="Times New Roman" w:hAnsi="Cambria" w:cs="Calibri"/>
                <w:lang w:val="hr-HR"/>
              </w:rPr>
              <w:t>Kod i naziv kolegija</w:t>
            </w:r>
          </w:p>
        </w:tc>
        <w:tc>
          <w:tcPr>
            <w:tcW w:w="6996"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7F5E0ADB" w14:textId="77777777" w:rsidR="00F04B06" w:rsidRPr="005C2363" w:rsidRDefault="00F04B06" w:rsidP="00F04B06">
            <w:pPr>
              <w:snapToGrid w:val="0"/>
              <w:spacing w:after="0" w:line="100" w:lineRule="atLeast"/>
              <w:rPr>
                <w:rFonts w:ascii="Cambria" w:eastAsia="Times New Roman" w:hAnsi="Cambria" w:cs="Calibri"/>
                <w:lang w:val="hr-HR"/>
              </w:rPr>
            </w:pPr>
            <w:r w:rsidRPr="005C2363">
              <w:rPr>
                <w:rFonts w:ascii="Cambria" w:eastAsia="Times New Roman" w:hAnsi="Cambria" w:cs="Calibri"/>
                <w:lang w:val="hr-HR"/>
              </w:rPr>
              <w:t>227422</w:t>
            </w:r>
          </w:p>
          <w:p w14:paraId="55D36D17" w14:textId="77777777" w:rsidR="00F04B06" w:rsidRPr="005C2363" w:rsidRDefault="00F04B06" w:rsidP="00F04B06">
            <w:pPr>
              <w:snapToGrid w:val="0"/>
              <w:spacing w:after="0" w:line="100" w:lineRule="atLeast"/>
              <w:rPr>
                <w:rFonts w:ascii="Cambria" w:eastAsia="Times New Roman" w:hAnsi="Cambria" w:cs="Calibri"/>
                <w:lang w:val="hr-HR"/>
              </w:rPr>
            </w:pPr>
            <w:r w:rsidRPr="005C2363">
              <w:rPr>
                <w:rFonts w:ascii="Cambria" w:eastAsia="Times New Roman" w:hAnsi="Cambria" w:cs="Calibri"/>
                <w:lang w:val="hr-HR"/>
              </w:rPr>
              <w:t>Didaktika</w:t>
            </w:r>
          </w:p>
        </w:tc>
      </w:tr>
      <w:tr w:rsidR="00F04B06" w:rsidRPr="00D0399C" w14:paraId="2E5FC099" w14:textId="77777777" w:rsidTr="00F04B06">
        <w:tc>
          <w:tcPr>
            <w:tcW w:w="205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A7CC824" w14:textId="100C3B98" w:rsidR="00F04B06" w:rsidRPr="005C2363" w:rsidRDefault="00F04B06" w:rsidP="00F04B06">
            <w:pPr>
              <w:spacing w:after="0" w:line="240" w:lineRule="auto"/>
              <w:rPr>
                <w:rFonts w:ascii="Cambria" w:eastAsia="Times New Roman" w:hAnsi="Cambria" w:cs="Calibri"/>
                <w:lang w:val="hr-HR"/>
              </w:rPr>
            </w:pPr>
            <w:r w:rsidRPr="005C2363">
              <w:rPr>
                <w:rFonts w:ascii="Cambria" w:eastAsia="Times New Roman" w:hAnsi="Cambria" w:cs="Calibri"/>
                <w:lang w:val="hr-HR"/>
              </w:rPr>
              <w:t xml:space="preserve">Nastavnica </w:t>
            </w:r>
          </w:p>
        </w:tc>
        <w:tc>
          <w:tcPr>
            <w:tcW w:w="6996"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20170677" w14:textId="77777777" w:rsidR="00F04B06" w:rsidRPr="005C2363" w:rsidRDefault="00F04B06" w:rsidP="00F04B06">
            <w:pPr>
              <w:snapToGrid w:val="0"/>
              <w:spacing w:after="0" w:line="100" w:lineRule="atLeast"/>
              <w:rPr>
                <w:rFonts w:ascii="Cambria" w:eastAsia="Times New Roman" w:hAnsi="Cambria" w:cs="Calibri"/>
                <w:lang w:val="hr-HR"/>
              </w:rPr>
            </w:pPr>
            <w:r w:rsidRPr="005C2363">
              <w:rPr>
                <w:rFonts w:ascii="Cambria" w:eastAsia="Times New Roman" w:hAnsi="Cambria" w:cs="Calibri"/>
                <w:lang w:val="hr-HR"/>
              </w:rPr>
              <w:t xml:space="preserve"> </w:t>
            </w:r>
            <w:hyperlink r:id="rId61" w:history="1">
              <w:r w:rsidRPr="005C2363">
                <w:rPr>
                  <w:rStyle w:val="Hiperveza"/>
                  <w:rFonts w:ascii="Cambria" w:eastAsia="Times New Roman" w:hAnsi="Cambria" w:cs="Calibri"/>
                  <w:lang w:val="hr-HR"/>
                </w:rPr>
                <w:t xml:space="preserve">Izv. prof. dr. sc. Sandra </w:t>
              </w:r>
              <w:proofErr w:type="spellStart"/>
              <w:r w:rsidRPr="005C2363">
                <w:rPr>
                  <w:rStyle w:val="Hiperveza"/>
                  <w:rFonts w:ascii="Cambria" w:eastAsia="Times New Roman" w:hAnsi="Cambria" w:cs="Calibri"/>
                  <w:lang w:val="hr-HR"/>
                </w:rPr>
                <w:t>Kadum</w:t>
              </w:r>
              <w:proofErr w:type="spellEnd"/>
            </w:hyperlink>
            <w:r w:rsidRPr="005C2363">
              <w:rPr>
                <w:rFonts w:ascii="Cambria" w:eastAsia="Times New Roman" w:hAnsi="Cambria" w:cs="Calibri"/>
                <w:lang w:val="hr-HR"/>
              </w:rPr>
              <w:t xml:space="preserve"> (nositeljica)</w:t>
            </w:r>
          </w:p>
        </w:tc>
      </w:tr>
      <w:tr w:rsidR="00F04B06" w:rsidRPr="00D0399C" w14:paraId="4B518FE6" w14:textId="77777777" w:rsidTr="00F04B06">
        <w:tc>
          <w:tcPr>
            <w:tcW w:w="205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A6C7E5B" w14:textId="77777777" w:rsidR="00F04B06" w:rsidRPr="005C2363" w:rsidRDefault="00F04B06" w:rsidP="00F04B06">
            <w:pPr>
              <w:spacing w:after="0" w:line="240" w:lineRule="auto"/>
              <w:rPr>
                <w:rFonts w:ascii="Cambria" w:eastAsia="Times New Roman" w:hAnsi="Cambria" w:cs="Calibri"/>
                <w:lang w:val="hr-HR"/>
              </w:rPr>
            </w:pPr>
            <w:r w:rsidRPr="005C2363">
              <w:rPr>
                <w:rFonts w:ascii="Cambria" w:eastAsia="Times New Roman" w:hAnsi="Cambria" w:cs="Calibri"/>
                <w:lang w:val="hr-HR"/>
              </w:rPr>
              <w:t>Studijski program</w:t>
            </w:r>
          </w:p>
        </w:tc>
        <w:tc>
          <w:tcPr>
            <w:tcW w:w="6996"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1F383B8F" w14:textId="77777777" w:rsidR="00F04B06" w:rsidRPr="005C2363" w:rsidRDefault="00F04B06" w:rsidP="00F04B06">
            <w:pPr>
              <w:snapToGrid w:val="0"/>
              <w:spacing w:after="0" w:line="100" w:lineRule="atLeast"/>
              <w:rPr>
                <w:rFonts w:ascii="Cambria" w:eastAsia="Times New Roman" w:hAnsi="Cambria" w:cs="Calibri"/>
                <w:lang w:val="hr-HR"/>
              </w:rPr>
            </w:pPr>
            <w:r w:rsidRPr="005C2363">
              <w:rPr>
                <w:rFonts w:ascii="Cambria" w:eastAsia="Calibri" w:hAnsi="Cambria" w:cs="Calibri"/>
                <w:lang w:val="hr-HR"/>
              </w:rPr>
              <w:t>Sveučilišni integrirani prijediplomski i diplomski Učiteljski studij na hrvatskom jeziku</w:t>
            </w:r>
          </w:p>
        </w:tc>
      </w:tr>
      <w:tr w:rsidR="00F04B06" w:rsidRPr="005C2363" w14:paraId="5144EEE3" w14:textId="77777777" w:rsidTr="00F04B06">
        <w:tc>
          <w:tcPr>
            <w:tcW w:w="205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30A582E" w14:textId="77777777" w:rsidR="00F04B06" w:rsidRPr="005C2363" w:rsidRDefault="00F04B06" w:rsidP="00F04B06">
            <w:pPr>
              <w:spacing w:after="0" w:line="240" w:lineRule="auto"/>
              <w:rPr>
                <w:rFonts w:ascii="Cambria" w:eastAsia="Times New Roman" w:hAnsi="Cambria" w:cs="Calibri"/>
                <w:lang w:val="hr-HR"/>
              </w:rPr>
            </w:pPr>
            <w:r w:rsidRPr="005C2363">
              <w:rPr>
                <w:rFonts w:ascii="Cambria" w:eastAsia="Times New Roman" w:hAnsi="Cambria" w:cs="Calibri"/>
                <w:lang w:val="hr-HR"/>
              </w:rPr>
              <w:t>Vrsta kolegija</w:t>
            </w:r>
          </w:p>
        </w:tc>
        <w:tc>
          <w:tcPr>
            <w:tcW w:w="2886" w:type="dxa"/>
            <w:tcBorders>
              <w:top w:val="single" w:sz="8" w:space="0" w:color="000000"/>
              <w:left w:val="single" w:sz="8" w:space="0" w:color="000000"/>
              <w:bottom w:val="single" w:sz="8" w:space="0" w:color="000000"/>
            </w:tcBorders>
            <w:shd w:val="clear" w:color="auto" w:fill="FFFFFF"/>
            <w:tcMar>
              <w:top w:w="72" w:type="dxa"/>
              <w:left w:w="144" w:type="dxa"/>
              <w:bottom w:w="72" w:type="dxa"/>
              <w:right w:w="144" w:type="dxa"/>
            </w:tcMar>
            <w:vAlign w:val="center"/>
          </w:tcPr>
          <w:p w14:paraId="0EE58639" w14:textId="77777777" w:rsidR="00F04B06" w:rsidRPr="005C2363" w:rsidRDefault="00F04B06" w:rsidP="00F04B06">
            <w:pPr>
              <w:spacing w:after="0" w:line="100" w:lineRule="atLeast"/>
              <w:rPr>
                <w:rFonts w:ascii="Cambria" w:eastAsia="Times New Roman" w:hAnsi="Cambria" w:cs="Calibri"/>
                <w:lang w:val="hr-HR"/>
              </w:rPr>
            </w:pPr>
            <w:r w:rsidRPr="005C2363">
              <w:rPr>
                <w:rFonts w:ascii="Cambria" w:eastAsia="Times New Roman" w:hAnsi="Cambria" w:cs="Calibri"/>
                <w:lang w:val="hr-HR"/>
              </w:rPr>
              <w:t xml:space="preserve"> obvezan </w:t>
            </w:r>
          </w:p>
        </w:tc>
        <w:tc>
          <w:tcPr>
            <w:tcW w:w="1424"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165B0450" w14:textId="77777777" w:rsidR="00F04B06" w:rsidRPr="005C2363" w:rsidRDefault="00F04B06" w:rsidP="00F04B06">
            <w:pPr>
              <w:spacing w:after="0" w:line="240" w:lineRule="auto"/>
              <w:rPr>
                <w:rFonts w:ascii="Cambria" w:eastAsia="Times New Roman" w:hAnsi="Cambria" w:cs="Calibri"/>
                <w:lang w:val="hr-HR"/>
              </w:rPr>
            </w:pPr>
            <w:r w:rsidRPr="005C2363">
              <w:rPr>
                <w:rFonts w:ascii="Cambria" w:eastAsia="Times New Roman" w:hAnsi="Cambria" w:cs="Calibri"/>
                <w:lang w:val="hr-HR"/>
              </w:rPr>
              <w:t>Razina kolegija</w:t>
            </w:r>
          </w:p>
        </w:tc>
        <w:tc>
          <w:tcPr>
            <w:tcW w:w="2686" w:type="dxa"/>
            <w:gridSpan w:val="3"/>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3CC12F1B" w14:textId="77777777" w:rsidR="00F04B06" w:rsidRPr="005C2363" w:rsidRDefault="00F04B06" w:rsidP="00F04B06">
            <w:pPr>
              <w:snapToGrid w:val="0"/>
              <w:spacing w:after="0" w:line="100" w:lineRule="atLeast"/>
              <w:rPr>
                <w:rFonts w:ascii="Cambria" w:eastAsia="Times New Roman" w:hAnsi="Cambria" w:cs="Calibri"/>
                <w:lang w:val="hr-HR"/>
              </w:rPr>
            </w:pPr>
          </w:p>
          <w:p w14:paraId="5A38E192" w14:textId="77777777" w:rsidR="00F04B06" w:rsidRPr="005C2363" w:rsidRDefault="00F04B06" w:rsidP="00F04B06">
            <w:pPr>
              <w:spacing w:after="0" w:line="100" w:lineRule="atLeast"/>
              <w:rPr>
                <w:rFonts w:ascii="Cambria" w:eastAsia="Times New Roman" w:hAnsi="Cambria" w:cs="Calibri"/>
                <w:lang w:val="hr-HR"/>
              </w:rPr>
            </w:pPr>
            <w:r w:rsidRPr="005C2363">
              <w:rPr>
                <w:rFonts w:ascii="Cambria" w:eastAsia="Times New Roman" w:hAnsi="Cambria" w:cs="Calibri"/>
                <w:lang w:val="hr-HR"/>
              </w:rPr>
              <w:t xml:space="preserve"> integrirani</w:t>
            </w:r>
          </w:p>
          <w:p w14:paraId="533271CF" w14:textId="77777777" w:rsidR="00F04B06" w:rsidRPr="005C2363" w:rsidRDefault="00F04B06" w:rsidP="00F04B06">
            <w:pPr>
              <w:spacing w:after="0" w:line="100" w:lineRule="atLeast"/>
              <w:rPr>
                <w:rFonts w:ascii="Cambria" w:eastAsia="Times New Roman" w:hAnsi="Cambria" w:cs="Calibri"/>
                <w:lang w:val="hr-HR"/>
              </w:rPr>
            </w:pPr>
          </w:p>
        </w:tc>
      </w:tr>
      <w:tr w:rsidR="00F04B06" w:rsidRPr="005C2363" w14:paraId="0CC24B62" w14:textId="77777777" w:rsidTr="00F04B06">
        <w:tc>
          <w:tcPr>
            <w:tcW w:w="205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C8D4864" w14:textId="77777777" w:rsidR="00F04B06" w:rsidRPr="005C2363" w:rsidRDefault="00F04B06" w:rsidP="00F04B06">
            <w:pPr>
              <w:spacing w:after="0" w:line="240" w:lineRule="auto"/>
              <w:rPr>
                <w:rFonts w:ascii="Cambria" w:eastAsia="Times New Roman" w:hAnsi="Cambria" w:cs="Calibri"/>
                <w:lang w:val="hr-HR"/>
              </w:rPr>
            </w:pPr>
            <w:r w:rsidRPr="005C2363">
              <w:rPr>
                <w:rFonts w:ascii="Cambria" w:eastAsia="Times New Roman" w:hAnsi="Cambria" w:cs="Calibri"/>
                <w:lang w:val="hr-HR"/>
              </w:rPr>
              <w:t>Semestar</w:t>
            </w:r>
          </w:p>
        </w:tc>
        <w:tc>
          <w:tcPr>
            <w:tcW w:w="2886" w:type="dxa"/>
            <w:tcBorders>
              <w:top w:val="single" w:sz="8" w:space="0" w:color="000000"/>
              <w:left w:val="single" w:sz="8" w:space="0" w:color="000000"/>
              <w:bottom w:val="single" w:sz="8" w:space="0" w:color="000000"/>
            </w:tcBorders>
            <w:shd w:val="clear" w:color="auto" w:fill="FFFFFF"/>
            <w:tcMar>
              <w:top w:w="72" w:type="dxa"/>
              <w:left w:w="144" w:type="dxa"/>
              <w:bottom w:w="72" w:type="dxa"/>
              <w:right w:w="144" w:type="dxa"/>
            </w:tcMar>
            <w:vAlign w:val="center"/>
          </w:tcPr>
          <w:p w14:paraId="331EFA92" w14:textId="77777777" w:rsidR="00F04B06" w:rsidRPr="005C2363" w:rsidRDefault="00F04B06" w:rsidP="00F04B06">
            <w:pPr>
              <w:snapToGrid w:val="0"/>
              <w:spacing w:after="0" w:line="100" w:lineRule="atLeast"/>
              <w:rPr>
                <w:rFonts w:ascii="Cambria" w:eastAsia="Times New Roman" w:hAnsi="Cambria" w:cs="Calibri"/>
                <w:lang w:val="hr-HR"/>
              </w:rPr>
            </w:pPr>
          </w:p>
          <w:p w14:paraId="467F8F80" w14:textId="77777777" w:rsidR="00F04B06" w:rsidRPr="005C2363" w:rsidRDefault="00F04B06" w:rsidP="00F04B06">
            <w:pPr>
              <w:spacing w:after="0" w:line="100" w:lineRule="atLeast"/>
              <w:rPr>
                <w:rFonts w:ascii="Cambria" w:eastAsia="Calibri" w:hAnsi="Cambria" w:cs="Calibri"/>
                <w:b/>
                <w:bCs/>
                <w:lang w:val="hr-HR"/>
              </w:rPr>
            </w:pPr>
            <w:r w:rsidRPr="005C2363">
              <w:rPr>
                <w:rFonts w:ascii="Cambria" w:eastAsia="Times New Roman" w:hAnsi="Cambria" w:cs="Calibri"/>
                <w:lang w:val="hr-HR"/>
              </w:rPr>
              <w:t xml:space="preserve"> zimski</w:t>
            </w:r>
          </w:p>
          <w:p w14:paraId="26B100E3" w14:textId="77777777" w:rsidR="00F04B06" w:rsidRPr="005C2363" w:rsidRDefault="00F04B06" w:rsidP="00F04B06">
            <w:pPr>
              <w:spacing w:after="0" w:line="100" w:lineRule="atLeast"/>
              <w:rPr>
                <w:rFonts w:ascii="Cambria" w:eastAsia="Times New Roman" w:hAnsi="Cambria" w:cs="Calibri"/>
                <w:lang w:val="hr-HR"/>
              </w:rPr>
            </w:pPr>
          </w:p>
        </w:tc>
        <w:tc>
          <w:tcPr>
            <w:tcW w:w="1424"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6F7BC0B4" w14:textId="77777777" w:rsidR="00F04B06" w:rsidRPr="005C2363" w:rsidRDefault="00F04B06" w:rsidP="00F04B06">
            <w:pPr>
              <w:spacing w:after="0" w:line="240" w:lineRule="auto"/>
              <w:rPr>
                <w:rFonts w:ascii="Cambria" w:eastAsia="Times New Roman" w:hAnsi="Cambria" w:cs="Calibri"/>
                <w:lang w:val="hr-HR"/>
              </w:rPr>
            </w:pPr>
            <w:r w:rsidRPr="005C2363">
              <w:rPr>
                <w:rFonts w:ascii="Cambria" w:eastAsia="Times New Roman" w:hAnsi="Cambria" w:cs="Calibri"/>
                <w:lang w:val="hr-HR"/>
              </w:rPr>
              <w:t>Godina studija</w:t>
            </w:r>
          </w:p>
        </w:tc>
        <w:tc>
          <w:tcPr>
            <w:tcW w:w="2686" w:type="dxa"/>
            <w:gridSpan w:val="3"/>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799CBB17" w14:textId="77777777" w:rsidR="00F04B06" w:rsidRPr="005C2363" w:rsidRDefault="00F04B06" w:rsidP="00F04B06">
            <w:pPr>
              <w:snapToGrid w:val="0"/>
              <w:spacing w:after="0" w:line="100" w:lineRule="atLeast"/>
              <w:rPr>
                <w:rFonts w:ascii="Cambria" w:eastAsia="Times New Roman" w:hAnsi="Cambria" w:cs="Calibri"/>
                <w:lang w:val="hr-HR"/>
              </w:rPr>
            </w:pPr>
            <w:r w:rsidRPr="005C2363">
              <w:rPr>
                <w:rFonts w:ascii="Cambria" w:eastAsia="Times New Roman" w:hAnsi="Cambria" w:cs="Calibri"/>
                <w:lang w:val="hr-HR"/>
              </w:rPr>
              <w:t xml:space="preserve"> II.</w:t>
            </w:r>
          </w:p>
        </w:tc>
      </w:tr>
      <w:tr w:rsidR="00F04B06" w:rsidRPr="005C2363" w14:paraId="5B8DA553" w14:textId="77777777" w:rsidTr="00F04B06">
        <w:tc>
          <w:tcPr>
            <w:tcW w:w="205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4D2A2FB" w14:textId="77777777" w:rsidR="00F04B06" w:rsidRPr="005C2363" w:rsidRDefault="00F04B06" w:rsidP="00F04B06">
            <w:pPr>
              <w:spacing w:after="0" w:line="240" w:lineRule="auto"/>
              <w:rPr>
                <w:rFonts w:ascii="Cambria" w:eastAsia="Times New Roman" w:hAnsi="Cambria" w:cs="Calibri"/>
                <w:lang w:val="hr-HR"/>
              </w:rPr>
            </w:pPr>
            <w:r w:rsidRPr="005C2363">
              <w:rPr>
                <w:rFonts w:ascii="Cambria" w:eastAsia="Times New Roman" w:hAnsi="Cambria" w:cs="Calibri"/>
                <w:lang w:val="hr-HR"/>
              </w:rPr>
              <w:t>Mjesto izvođenja</w:t>
            </w:r>
          </w:p>
        </w:tc>
        <w:tc>
          <w:tcPr>
            <w:tcW w:w="2886" w:type="dxa"/>
            <w:tcBorders>
              <w:top w:val="single" w:sz="8" w:space="0" w:color="000000"/>
              <w:left w:val="single" w:sz="8" w:space="0" w:color="000000"/>
              <w:bottom w:val="single" w:sz="8" w:space="0" w:color="000000"/>
            </w:tcBorders>
            <w:shd w:val="clear" w:color="auto" w:fill="FFFFFF"/>
            <w:tcMar>
              <w:top w:w="72" w:type="dxa"/>
              <w:left w:w="144" w:type="dxa"/>
              <w:bottom w:w="72" w:type="dxa"/>
              <w:right w:w="144" w:type="dxa"/>
            </w:tcMar>
            <w:vAlign w:val="center"/>
          </w:tcPr>
          <w:p w14:paraId="6FC32962" w14:textId="77777777" w:rsidR="00F04B06" w:rsidRPr="005C2363" w:rsidRDefault="00F04B06" w:rsidP="00F04B06">
            <w:pPr>
              <w:snapToGrid w:val="0"/>
              <w:spacing w:after="0" w:line="100" w:lineRule="atLeast"/>
              <w:rPr>
                <w:rFonts w:ascii="Cambria" w:eastAsia="Times New Roman" w:hAnsi="Cambria" w:cs="Calibri"/>
                <w:lang w:val="hr-HR"/>
              </w:rPr>
            </w:pPr>
            <w:r w:rsidRPr="005C2363">
              <w:rPr>
                <w:rFonts w:ascii="Cambria" w:eastAsia="Times New Roman" w:hAnsi="Cambria" w:cs="Calibri"/>
                <w:lang w:val="hr-HR"/>
              </w:rPr>
              <w:t xml:space="preserve"> učionica</w:t>
            </w:r>
          </w:p>
        </w:tc>
        <w:tc>
          <w:tcPr>
            <w:tcW w:w="1424"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2D178944" w14:textId="77777777" w:rsidR="00F04B06" w:rsidRPr="005C2363" w:rsidRDefault="00F04B06" w:rsidP="00F04B06">
            <w:pPr>
              <w:spacing w:after="0" w:line="240" w:lineRule="auto"/>
              <w:rPr>
                <w:rFonts w:ascii="Cambria" w:eastAsia="Times New Roman" w:hAnsi="Cambria" w:cs="Calibri"/>
                <w:lang w:val="hr-HR"/>
              </w:rPr>
            </w:pPr>
            <w:r w:rsidRPr="005C2363">
              <w:rPr>
                <w:rFonts w:ascii="Cambria" w:eastAsia="Times New Roman" w:hAnsi="Cambria" w:cs="Calibri"/>
                <w:lang w:val="hr-HR"/>
              </w:rPr>
              <w:t xml:space="preserve">Jezik izvođenja </w:t>
            </w:r>
          </w:p>
        </w:tc>
        <w:tc>
          <w:tcPr>
            <w:tcW w:w="2686" w:type="dxa"/>
            <w:gridSpan w:val="3"/>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7AF9C87F" w14:textId="77777777" w:rsidR="00F04B06" w:rsidRPr="005C2363" w:rsidRDefault="00F04B06" w:rsidP="00F04B06">
            <w:pPr>
              <w:snapToGrid w:val="0"/>
              <w:spacing w:after="0" w:line="100" w:lineRule="atLeast"/>
              <w:rPr>
                <w:rFonts w:ascii="Cambria" w:eastAsia="Times New Roman" w:hAnsi="Cambria" w:cs="Calibri"/>
                <w:lang w:val="hr-HR"/>
              </w:rPr>
            </w:pPr>
            <w:r w:rsidRPr="005C2363">
              <w:rPr>
                <w:rFonts w:ascii="Cambria" w:eastAsia="Times New Roman" w:hAnsi="Cambria" w:cs="Calibri"/>
                <w:lang w:val="hr-HR"/>
              </w:rPr>
              <w:t xml:space="preserve"> hrvatski (talijanski)</w:t>
            </w:r>
          </w:p>
        </w:tc>
      </w:tr>
      <w:tr w:rsidR="00F04B06" w:rsidRPr="005C2363" w14:paraId="0C71AE4E" w14:textId="77777777" w:rsidTr="00F04B06">
        <w:tc>
          <w:tcPr>
            <w:tcW w:w="205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40C3E49" w14:textId="77777777" w:rsidR="00F04B06" w:rsidRPr="005C2363" w:rsidRDefault="00F04B06" w:rsidP="00F04B06">
            <w:pPr>
              <w:spacing w:after="0" w:line="240" w:lineRule="auto"/>
              <w:rPr>
                <w:rFonts w:ascii="Cambria" w:eastAsia="Times New Roman" w:hAnsi="Cambria" w:cs="Calibri"/>
                <w:lang w:val="hr-HR"/>
              </w:rPr>
            </w:pPr>
            <w:r w:rsidRPr="005C2363">
              <w:rPr>
                <w:rFonts w:ascii="Cambria" w:eastAsia="Times New Roman" w:hAnsi="Cambria" w:cs="Calibri"/>
                <w:lang w:val="hr-HR"/>
              </w:rPr>
              <w:t>Broj ECTS bodova</w:t>
            </w:r>
          </w:p>
        </w:tc>
        <w:tc>
          <w:tcPr>
            <w:tcW w:w="2886" w:type="dxa"/>
            <w:tcBorders>
              <w:top w:val="single" w:sz="8" w:space="0" w:color="000000"/>
              <w:left w:val="single" w:sz="8" w:space="0" w:color="000000"/>
              <w:bottom w:val="single" w:sz="8" w:space="0" w:color="000000"/>
            </w:tcBorders>
            <w:shd w:val="clear" w:color="auto" w:fill="FFFFFF"/>
            <w:tcMar>
              <w:top w:w="72" w:type="dxa"/>
              <w:left w:w="144" w:type="dxa"/>
              <w:bottom w:w="72" w:type="dxa"/>
              <w:right w:w="144" w:type="dxa"/>
            </w:tcMar>
            <w:vAlign w:val="center"/>
          </w:tcPr>
          <w:p w14:paraId="44BE6E41" w14:textId="77777777" w:rsidR="00F04B06" w:rsidRPr="005C2363" w:rsidRDefault="00F04B06" w:rsidP="00F04B06">
            <w:pPr>
              <w:snapToGrid w:val="0"/>
              <w:spacing w:after="0" w:line="100" w:lineRule="atLeast"/>
              <w:rPr>
                <w:rFonts w:ascii="Cambria" w:eastAsia="Times New Roman" w:hAnsi="Cambria" w:cs="Calibri"/>
                <w:lang w:val="hr-HR"/>
              </w:rPr>
            </w:pPr>
            <w:r w:rsidRPr="005C2363">
              <w:rPr>
                <w:rFonts w:ascii="Cambria" w:eastAsia="Times New Roman" w:hAnsi="Cambria" w:cs="Calibri"/>
                <w:lang w:val="hr-HR"/>
              </w:rPr>
              <w:t xml:space="preserve"> 6</w:t>
            </w:r>
          </w:p>
        </w:tc>
        <w:tc>
          <w:tcPr>
            <w:tcW w:w="1424"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5898977E" w14:textId="77777777" w:rsidR="00F04B06" w:rsidRPr="005C2363" w:rsidRDefault="00F04B06" w:rsidP="00F04B06">
            <w:pPr>
              <w:spacing w:after="0" w:line="240" w:lineRule="auto"/>
              <w:rPr>
                <w:rFonts w:ascii="Cambria" w:eastAsia="Times New Roman" w:hAnsi="Cambria" w:cs="Calibri"/>
                <w:lang w:val="hr-HR"/>
              </w:rPr>
            </w:pPr>
            <w:r w:rsidRPr="005C2363">
              <w:rPr>
                <w:rFonts w:ascii="Cambria" w:eastAsia="Times New Roman" w:hAnsi="Cambria" w:cs="Calibri"/>
                <w:lang w:val="hr-HR"/>
              </w:rPr>
              <w:t>Broj sati u semestru</w:t>
            </w:r>
          </w:p>
        </w:tc>
        <w:tc>
          <w:tcPr>
            <w:tcW w:w="2686" w:type="dxa"/>
            <w:gridSpan w:val="3"/>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70F89B7B" w14:textId="77777777" w:rsidR="00F04B06" w:rsidRPr="005C2363" w:rsidRDefault="00F04B06" w:rsidP="00F04B06">
            <w:pPr>
              <w:spacing w:after="0" w:line="100" w:lineRule="atLeast"/>
              <w:rPr>
                <w:rFonts w:ascii="Cambria" w:eastAsia="Times New Roman" w:hAnsi="Cambria" w:cs="Calibri"/>
                <w:lang w:val="hr-HR"/>
              </w:rPr>
            </w:pPr>
            <w:r w:rsidRPr="005C2363">
              <w:rPr>
                <w:rFonts w:ascii="Cambria" w:eastAsia="Times New Roman" w:hAnsi="Cambria" w:cs="Calibri"/>
                <w:lang w:val="hr-HR"/>
              </w:rPr>
              <w:t xml:space="preserve"> 30P – 0S – 30V   </w:t>
            </w:r>
          </w:p>
        </w:tc>
      </w:tr>
      <w:tr w:rsidR="00F04B06" w:rsidRPr="005C2363" w14:paraId="571D88C0" w14:textId="77777777" w:rsidTr="00F04B06">
        <w:tc>
          <w:tcPr>
            <w:tcW w:w="205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0389A1E" w14:textId="77777777" w:rsidR="00F04B06" w:rsidRPr="005C2363" w:rsidRDefault="00F04B06" w:rsidP="00F04B06">
            <w:pPr>
              <w:spacing w:after="0" w:line="240" w:lineRule="auto"/>
              <w:rPr>
                <w:rFonts w:ascii="Cambria" w:eastAsia="Times New Roman" w:hAnsi="Cambria" w:cs="Calibri"/>
                <w:lang w:val="hr-HR"/>
              </w:rPr>
            </w:pPr>
            <w:r w:rsidRPr="005C2363">
              <w:rPr>
                <w:rFonts w:ascii="Cambria" w:eastAsia="Times New Roman" w:hAnsi="Cambria" w:cs="Calibri"/>
                <w:lang w:val="hr-HR"/>
              </w:rPr>
              <w:t>Preduvjeti za upis i za svladavanje</w:t>
            </w:r>
          </w:p>
        </w:tc>
        <w:tc>
          <w:tcPr>
            <w:tcW w:w="6996"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167D11B8" w14:textId="77777777" w:rsidR="00F04B06" w:rsidRPr="005C2363" w:rsidRDefault="00F04B06" w:rsidP="00F04B06">
            <w:pPr>
              <w:snapToGrid w:val="0"/>
              <w:spacing w:after="0" w:line="100" w:lineRule="atLeast"/>
              <w:rPr>
                <w:rFonts w:ascii="Cambria" w:eastAsia="Times New Roman" w:hAnsi="Cambria" w:cs="Calibri"/>
                <w:lang w:val="hr-HR"/>
              </w:rPr>
            </w:pPr>
            <w:r w:rsidRPr="005C2363">
              <w:rPr>
                <w:rFonts w:ascii="Cambria" w:eastAsia="Times New Roman" w:hAnsi="Cambria" w:cs="Calibri"/>
                <w:lang w:val="hr-HR"/>
              </w:rPr>
              <w:t>Položen ispit iz Pedagogije</w:t>
            </w:r>
          </w:p>
        </w:tc>
      </w:tr>
      <w:tr w:rsidR="00F04B06" w:rsidRPr="005C2363" w14:paraId="38EEAEB2" w14:textId="77777777" w:rsidTr="00F04B06">
        <w:tc>
          <w:tcPr>
            <w:tcW w:w="205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3140BD8" w14:textId="77777777" w:rsidR="00F04B06" w:rsidRPr="005C2363" w:rsidRDefault="00F04B06" w:rsidP="00F04B06">
            <w:pPr>
              <w:spacing w:after="0" w:line="240" w:lineRule="auto"/>
              <w:rPr>
                <w:rFonts w:ascii="Cambria" w:eastAsia="Times New Roman" w:hAnsi="Cambria" w:cs="Calibri"/>
                <w:lang w:val="hr-HR"/>
              </w:rPr>
            </w:pPr>
            <w:proofErr w:type="spellStart"/>
            <w:r w:rsidRPr="005C2363">
              <w:rPr>
                <w:rFonts w:ascii="Cambria" w:eastAsia="Times New Roman" w:hAnsi="Cambria" w:cs="Calibri"/>
                <w:lang w:val="hr-HR"/>
              </w:rPr>
              <w:t>Korelativnost</w:t>
            </w:r>
            <w:proofErr w:type="spellEnd"/>
          </w:p>
        </w:tc>
        <w:tc>
          <w:tcPr>
            <w:tcW w:w="6996"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53171E35" w14:textId="77777777" w:rsidR="00F04B06" w:rsidRPr="005C2363" w:rsidRDefault="00F04B06" w:rsidP="00F04B06">
            <w:pPr>
              <w:snapToGrid w:val="0"/>
              <w:spacing w:after="0" w:line="100" w:lineRule="atLeast"/>
              <w:rPr>
                <w:rFonts w:ascii="Cambria" w:eastAsia="Times New Roman" w:hAnsi="Cambria" w:cs="Calibri"/>
                <w:lang w:val="hr-HR"/>
              </w:rPr>
            </w:pPr>
            <w:r w:rsidRPr="005C2363">
              <w:rPr>
                <w:rFonts w:ascii="Cambria" w:eastAsia="Times New Roman" w:hAnsi="Cambria" w:cs="Calibri"/>
                <w:lang w:val="hr-HR"/>
              </w:rPr>
              <w:t>Pedagogija, Opća psihologija</w:t>
            </w:r>
          </w:p>
        </w:tc>
      </w:tr>
      <w:tr w:rsidR="00F04B06" w:rsidRPr="00D0399C" w14:paraId="1A6F6A95" w14:textId="77777777" w:rsidTr="00F04B06">
        <w:tc>
          <w:tcPr>
            <w:tcW w:w="205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7B0BB88" w14:textId="77777777" w:rsidR="00F04B06" w:rsidRPr="005C2363" w:rsidRDefault="00F04B06" w:rsidP="00F04B06">
            <w:pPr>
              <w:spacing w:after="0" w:line="240" w:lineRule="auto"/>
              <w:rPr>
                <w:rFonts w:ascii="Cambria" w:eastAsia="Times New Roman" w:hAnsi="Cambria" w:cs="Calibri"/>
                <w:lang w:val="hr-HR"/>
              </w:rPr>
            </w:pPr>
            <w:r w:rsidRPr="005C2363">
              <w:rPr>
                <w:rFonts w:ascii="Cambria" w:eastAsia="Times New Roman" w:hAnsi="Cambria" w:cs="Calibri"/>
                <w:lang w:val="hr-HR"/>
              </w:rPr>
              <w:t xml:space="preserve">Cilj kolegija </w:t>
            </w:r>
          </w:p>
        </w:tc>
        <w:tc>
          <w:tcPr>
            <w:tcW w:w="6996"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12171438" w14:textId="77777777" w:rsidR="00F04B06" w:rsidRPr="005C2363" w:rsidRDefault="00F04B06" w:rsidP="00F04B06">
            <w:pPr>
              <w:snapToGrid w:val="0"/>
              <w:spacing w:after="0" w:line="100" w:lineRule="atLeast"/>
              <w:rPr>
                <w:rFonts w:ascii="Cambria" w:eastAsia="Times New Roman" w:hAnsi="Cambria" w:cs="Calibri"/>
                <w:lang w:val="hr-HR"/>
              </w:rPr>
            </w:pPr>
            <w:r w:rsidRPr="005C2363">
              <w:rPr>
                <w:rFonts w:ascii="Cambria" w:eastAsia="Times New Roman" w:hAnsi="Cambria" w:cs="Calibri"/>
                <w:lang w:val="hr-HR"/>
              </w:rPr>
              <w:t>Stjecati znanja o osnovnim zakonitostima nastave, temeljnih didaktičkih znanja neophodnih za uspješno i kvalitetno poučavanje, što predstavlja temelj za njihovu kasniju primjenu u svakodnevnoj školskoj i izvanškolskoj praksi</w:t>
            </w:r>
          </w:p>
        </w:tc>
      </w:tr>
      <w:tr w:rsidR="00F04B06" w:rsidRPr="00D0399C" w14:paraId="1D0B89BF" w14:textId="77777777" w:rsidTr="00F04B06">
        <w:tc>
          <w:tcPr>
            <w:tcW w:w="205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F589F7C" w14:textId="77777777" w:rsidR="00F04B06" w:rsidRPr="005C2363" w:rsidRDefault="00F04B06" w:rsidP="00F04B06">
            <w:pPr>
              <w:spacing w:after="0" w:line="240" w:lineRule="auto"/>
              <w:rPr>
                <w:rFonts w:ascii="Cambria" w:eastAsia="Times New Roman" w:hAnsi="Cambria" w:cs="Calibri"/>
                <w:lang w:val="hr-HR"/>
              </w:rPr>
            </w:pPr>
            <w:r w:rsidRPr="005C2363">
              <w:rPr>
                <w:rFonts w:ascii="Cambria" w:eastAsia="Times New Roman" w:hAnsi="Cambria" w:cs="Calibri"/>
                <w:lang w:val="hr-HR"/>
              </w:rPr>
              <w:t>Ishodi učenja</w:t>
            </w:r>
          </w:p>
        </w:tc>
        <w:tc>
          <w:tcPr>
            <w:tcW w:w="6996"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45EB2B38" w14:textId="77777777" w:rsidR="00F04B06" w:rsidRPr="005C2363" w:rsidRDefault="00F04B06" w:rsidP="00F04B06">
            <w:pPr>
              <w:spacing w:after="0" w:line="200" w:lineRule="atLeast"/>
              <w:rPr>
                <w:rFonts w:ascii="Cambria" w:eastAsia="Times New Roman" w:hAnsi="Cambria" w:cs="Calibri"/>
                <w:lang w:val="hr-HR"/>
              </w:rPr>
            </w:pPr>
            <w:r w:rsidRPr="005C2363">
              <w:rPr>
                <w:rFonts w:ascii="Cambria" w:eastAsia="Times New Roman" w:hAnsi="Cambria" w:cs="Calibri"/>
                <w:lang w:val="hr-HR"/>
              </w:rPr>
              <w:t xml:space="preserve">1. definirati teorijsko-metodološko utemeljenje u odgojno-obrazovnoj praksi </w:t>
            </w:r>
          </w:p>
          <w:p w14:paraId="69E5CEA5" w14:textId="77777777" w:rsidR="00F04B06" w:rsidRPr="005C2363" w:rsidRDefault="00F04B06" w:rsidP="00F04B06">
            <w:pPr>
              <w:spacing w:after="0" w:line="200" w:lineRule="atLeast"/>
              <w:rPr>
                <w:rFonts w:ascii="Cambria" w:eastAsia="Times New Roman" w:hAnsi="Cambria" w:cs="Calibri"/>
                <w:lang w:val="hr-HR"/>
              </w:rPr>
            </w:pPr>
            <w:r w:rsidRPr="005C2363">
              <w:rPr>
                <w:rFonts w:ascii="Cambria" w:eastAsia="Times New Roman" w:hAnsi="Cambria" w:cs="Calibri"/>
                <w:lang w:val="hr-HR"/>
              </w:rPr>
              <w:t xml:space="preserve">2. </w:t>
            </w:r>
            <w:proofErr w:type="spellStart"/>
            <w:r w:rsidRPr="005C2363">
              <w:rPr>
                <w:rFonts w:ascii="Cambria" w:eastAsia="Times New Roman" w:hAnsi="Cambria" w:cs="Calibri"/>
                <w:lang w:val="hr-HR"/>
              </w:rPr>
              <w:t>primjeniti</w:t>
            </w:r>
            <w:proofErr w:type="spellEnd"/>
            <w:r w:rsidRPr="005C2363">
              <w:rPr>
                <w:rFonts w:ascii="Cambria" w:eastAsia="Times New Roman" w:hAnsi="Cambria" w:cs="Calibri"/>
                <w:lang w:val="hr-HR"/>
              </w:rPr>
              <w:t xml:space="preserve"> niz suvremenih pristupa nastavi (rad na projektima, istraživanje, igra uloga, suradničko učenje) </w:t>
            </w:r>
          </w:p>
          <w:p w14:paraId="30357ED6" w14:textId="77777777" w:rsidR="00F04B06" w:rsidRPr="005C2363" w:rsidRDefault="00F04B06" w:rsidP="00F04B06">
            <w:pPr>
              <w:spacing w:after="0" w:line="200" w:lineRule="atLeast"/>
              <w:rPr>
                <w:rFonts w:ascii="Cambria" w:eastAsia="Times New Roman" w:hAnsi="Cambria" w:cs="Calibri"/>
                <w:lang w:val="hr-HR"/>
              </w:rPr>
            </w:pPr>
            <w:r w:rsidRPr="005C2363">
              <w:rPr>
                <w:rFonts w:ascii="Cambria" w:eastAsia="Times New Roman" w:hAnsi="Cambria" w:cs="Calibri"/>
                <w:lang w:val="hr-HR"/>
              </w:rPr>
              <w:t>3. isplanirati nastavu u kombinaciji i način organizacije integriranog dana u čistim i kombiniranim odjeljenjima i u produženom boravku</w:t>
            </w:r>
          </w:p>
          <w:p w14:paraId="0F4FAAFE" w14:textId="77777777" w:rsidR="00F04B06" w:rsidRPr="005C2363" w:rsidRDefault="00F04B06" w:rsidP="00F04B06">
            <w:pPr>
              <w:spacing w:after="0" w:line="200" w:lineRule="atLeast"/>
              <w:rPr>
                <w:rFonts w:ascii="Cambria" w:eastAsia="Times New Roman" w:hAnsi="Cambria" w:cs="Calibri"/>
                <w:lang w:val="hr-HR"/>
              </w:rPr>
            </w:pPr>
            <w:r w:rsidRPr="005C2363">
              <w:rPr>
                <w:rFonts w:ascii="Cambria" w:eastAsia="Times New Roman" w:hAnsi="Cambria" w:cs="Calibri"/>
                <w:lang w:val="hr-HR"/>
              </w:rPr>
              <w:t>4. usporediti različite stilove učenja djece i obrazložiti njihovo postojanje i uvažavanje u nastavi</w:t>
            </w:r>
          </w:p>
          <w:p w14:paraId="7E5F7E2E" w14:textId="77777777" w:rsidR="00F04B06" w:rsidRPr="005C2363" w:rsidRDefault="00F04B06" w:rsidP="00F04B06">
            <w:pPr>
              <w:spacing w:after="0" w:line="200" w:lineRule="atLeast"/>
              <w:rPr>
                <w:rFonts w:ascii="Cambria" w:eastAsia="Times New Roman" w:hAnsi="Cambria" w:cs="Calibri"/>
                <w:lang w:val="hr-HR"/>
              </w:rPr>
            </w:pPr>
            <w:r w:rsidRPr="005C2363">
              <w:rPr>
                <w:rFonts w:ascii="Cambria" w:eastAsia="Times New Roman" w:hAnsi="Cambria" w:cs="Calibri"/>
                <w:lang w:val="hr-HR"/>
              </w:rPr>
              <w:t>5. kreirati primjere za istraživački rad na području didaktike</w:t>
            </w:r>
          </w:p>
          <w:p w14:paraId="3078957C" w14:textId="77777777" w:rsidR="00F04B06" w:rsidRPr="005C2363" w:rsidRDefault="00F04B06" w:rsidP="00F04B06">
            <w:pPr>
              <w:spacing w:after="0" w:line="200" w:lineRule="atLeast"/>
              <w:rPr>
                <w:rFonts w:ascii="Cambria" w:eastAsia="Times New Roman" w:hAnsi="Cambria" w:cs="Calibri"/>
                <w:lang w:val="hr-HR"/>
              </w:rPr>
            </w:pPr>
            <w:r w:rsidRPr="005C2363">
              <w:rPr>
                <w:rFonts w:ascii="Cambria" w:eastAsia="Times New Roman" w:hAnsi="Cambria" w:cs="Calibri"/>
                <w:lang w:val="hr-HR"/>
              </w:rPr>
              <w:t xml:space="preserve">6.  </w:t>
            </w:r>
            <w:proofErr w:type="spellStart"/>
            <w:r w:rsidRPr="005C2363">
              <w:rPr>
                <w:rFonts w:ascii="Cambria" w:eastAsia="Times New Roman" w:hAnsi="Cambria" w:cs="Calibri"/>
                <w:lang w:val="hr-HR"/>
              </w:rPr>
              <w:t>primjeniti</w:t>
            </w:r>
            <w:proofErr w:type="spellEnd"/>
            <w:r w:rsidRPr="005C2363">
              <w:rPr>
                <w:rFonts w:ascii="Cambria" w:eastAsia="Times New Roman" w:hAnsi="Cambria" w:cs="Calibri"/>
                <w:lang w:val="hr-HR"/>
              </w:rPr>
              <w:t xml:space="preserve"> profesionalni odnosa u radu učitelja</w:t>
            </w:r>
          </w:p>
        </w:tc>
      </w:tr>
      <w:tr w:rsidR="00F04B06" w:rsidRPr="005C2363" w14:paraId="64E5EB59" w14:textId="77777777" w:rsidTr="00F04B06">
        <w:tc>
          <w:tcPr>
            <w:tcW w:w="2056"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5EB013BD" w14:textId="77777777" w:rsidR="00F04B06" w:rsidRPr="005C2363" w:rsidRDefault="00F04B06" w:rsidP="00F04B06">
            <w:pPr>
              <w:spacing w:after="0" w:line="240" w:lineRule="auto"/>
              <w:rPr>
                <w:rFonts w:ascii="Cambria" w:eastAsia="Times New Roman" w:hAnsi="Cambria" w:cs="Calibri"/>
                <w:lang w:val="hr-HR"/>
              </w:rPr>
            </w:pPr>
            <w:r w:rsidRPr="005C2363">
              <w:rPr>
                <w:rFonts w:ascii="Cambria" w:eastAsia="Times New Roman" w:hAnsi="Cambria" w:cs="Calibri"/>
                <w:lang w:val="hr-HR"/>
              </w:rPr>
              <w:t>Sadržaj kolegija</w:t>
            </w:r>
          </w:p>
        </w:tc>
        <w:tc>
          <w:tcPr>
            <w:tcW w:w="6996"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3F23212" w14:textId="77777777" w:rsidR="00F04B06" w:rsidRPr="005C2363" w:rsidRDefault="00F04B06" w:rsidP="00F04B06">
            <w:pPr>
              <w:snapToGrid w:val="0"/>
              <w:spacing w:after="0" w:line="100" w:lineRule="atLeast"/>
              <w:rPr>
                <w:rFonts w:ascii="Cambria" w:eastAsia="Times New Roman" w:hAnsi="Cambria" w:cs="Calibri"/>
                <w:lang w:val="hr-HR"/>
              </w:rPr>
            </w:pPr>
            <w:r w:rsidRPr="005C2363">
              <w:rPr>
                <w:rFonts w:ascii="Cambria" w:eastAsia="Times New Roman" w:hAnsi="Cambria" w:cs="Calibri"/>
                <w:lang w:val="hr-HR"/>
              </w:rPr>
              <w:t>1.  Temeljni didaktički pojmovi i didaktički sustav</w:t>
            </w:r>
          </w:p>
          <w:p w14:paraId="1D77B269" w14:textId="77777777" w:rsidR="00F04B06" w:rsidRPr="005C2363" w:rsidRDefault="00F04B06" w:rsidP="00F04B06">
            <w:pPr>
              <w:spacing w:after="0" w:line="240" w:lineRule="auto"/>
              <w:rPr>
                <w:rFonts w:ascii="Cambria" w:eastAsia="Times New Roman" w:hAnsi="Cambria" w:cs="Calibri"/>
                <w:lang w:val="hr-HR"/>
              </w:rPr>
            </w:pPr>
            <w:r w:rsidRPr="005C2363">
              <w:rPr>
                <w:rFonts w:ascii="Cambria" w:eastAsia="Times New Roman" w:hAnsi="Cambria" w:cs="Calibri"/>
                <w:lang w:val="hr-HR"/>
              </w:rPr>
              <w:t xml:space="preserve">2. </w:t>
            </w:r>
            <w:proofErr w:type="spellStart"/>
            <w:r w:rsidRPr="005C2363">
              <w:rPr>
                <w:rFonts w:ascii="Cambria" w:eastAsia="Times New Roman" w:hAnsi="Cambria" w:cs="Calibri"/>
                <w:lang w:val="hr-HR"/>
              </w:rPr>
              <w:t>Međupredmetne</w:t>
            </w:r>
            <w:proofErr w:type="spellEnd"/>
            <w:r w:rsidRPr="005C2363">
              <w:rPr>
                <w:rFonts w:ascii="Cambria" w:eastAsia="Times New Roman" w:hAnsi="Cambria" w:cs="Calibri"/>
                <w:lang w:val="hr-HR"/>
              </w:rPr>
              <w:t xml:space="preserve"> teme</w:t>
            </w:r>
          </w:p>
          <w:p w14:paraId="14041FC4" w14:textId="77777777" w:rsidR="00F04B06" w:rsidRPr="005C2363" w:rsidRDefault="00F04B06" w:rsidP="00F04B06">
            <w:pPr>
              <w:spacing w:after="0" w:line="240" w:lineRule="auto"/>
              <w:rPr>
                <w:rFonts w:ascii="Cambria" w:eastAsia="Times New Roman" w:hAnsi="Cambria" w:cs="Calibri"/>
                <w:lang w:val="hr-HR"/>
              </w:rPr>
            </w:pPr>
            <w:r w:rsidRPr="005C2363">
              <w:rPr>
                <w:rFonts w:ascii="Cambria" w:eastAsia="Times New Roman" w:hAnsi="Cambria" w:cs="Calibri"/>
                <w:lang w:val="hr-HR"/>
              </w:rPr>
              <w:t>3. Tipovi nastavnika</w:t>
            </w:r>
          </w:p>
          <w:p w14:paraId="7D436FD3" w14:textId="77777777" w:rsidR="00F04B06" w:rsidRPr="005C2363" w:rsidRDefault="00F04B06" w:rsidP="00F04B06">
            <w:pPr>
              <w:spacing w:after="0" w:line="240" w:lineRule="auto"/>
              <w:rPr>
                <w:rFonts w:ascii="Cambria" w:eastAsia="Times New Roman" w:hAnsi="Cambria" w:cs="Calibri"/>
                <w:lang w:val="hr-HR"/>
              </w:rPr>
            </w:pPr>
            <w:r w:rsidRPr="005C2363">
              <w:rPr>
                <w:rFonts w:ascii="Cambria" w:eastAsia="Times New Roman" w:hAnsi="Cambria" w:cs="Calibri"/>
                <w:lang w:val="hr-HR"/>
              </w:rPr>
              <w:t>4. Obrazovanje i nastava (ciljevi, zadaci-ishodi učenja i sadržaji; zakoni i zakonitosti, zakonite tendencije)</w:t>
            </w:r>
          </w:p>
          <w:p w14:paraId="1F25F8C0" w14:textId="77777777" w:rsidR="00F04B06" w:rsidRPr="005C2363" w:rsidRDefault="00F04B06" w:rsidP="00F04B06">
            <w:pPr>
              <w:spacing w:after="0" w:line="240" w:lineRule="auto"/>
              <w:rPr>
                <w:rFonts w:ascii="Cambria" w:eastAsia="Times New Roman" w:hAnsi="Cambria" w:cs="Calibri"/>
                <w:lang w:val="hr-HR"/>
              </w:rPr>
            </w:pPr>
            <w:r w:rsidRPr="005C2363">
              <w:rPr>
                <w:rFonts w:ascii="Cambria" w:eastAsia="Times New Roman" w:hAnsi="Cambria" w:cs="Calibri"/>
                <w:lang w:val="hr-HR"/>
              </w:rPr>
              <w:t>5. Odgojno-obrazovne i nastavne situacije</w:t>
            </w:r>
          </w:p>
          <w:p w14:paraId="0EC4A469" w14:textId="77777777" w:rsidR="00F04B06" w:rsidRPr="005C2363" w:rsidRDefault="00F04B06" w:rsidP="00F04B06">
            <w:pPr>
              <w:snapToGrid w:val="0"/>
              <w:spacing w:after="0" w:line="100" w:lineRule="atLeast"/>
              <w:rPr>
                <w:rFonts w:ascii="Cambria" w:eastAsia="Times New Roman" w:hAnsi="Cambria" w:cs="Calibri"/>
                <w:lang w:val="hr-HR"/>
              </w:rPr>
            </w:pPr>
            <w:r w:rsidRPr="005C2363">
              <w:rPr>
                <w:rFonts w:ascii="Cambria" w:eastAsia="Times New Roman" w:hAnsi="Cambria" w:cs="Calibri"/>
                <w:lang w:val="hr-HR"/>
              </w:rPr>
              <w:t>6. Nastavni plan, program i kurikulum</w:t>
            </w:r>
          </w:p>
          <w:p w14:paraId="28E40EA3" w14:textId="77777777" w:rsidR="00F04B06" w:rsidRPr="005C2363" w:rsidRDefault="00F04B06" w:rsidP="00F04B06">
            <w:pPr>
              <w:spacing w:after="0" w:line="240" w:lineRule="auto"/>
              <w:rPr>
                <w:rFonts w:ascii="Cambria" w:eastAsia="Times New Roman" w:hAnsi="Cambria" w:cs="Calibri"/>
                <w:lang w:val="hr-HR"/>
              </w:rPr>
            </w:pPr>
            <w:r w:rsidRPr="005C2363">
              <w:rPr>
                <w:rFonts w:ascii="Cambria" w:eastAsia="Times New Roman" w:hAnsi="Cambria" w:cs="Calibri"/>
                <w:lang w:val="hr-HR"/>
              </w:rPr>
              <w:t>7.Planiranje i programiranje nastave (strukturiranje kurikuluma)</w:t>
            </w:r>
          </w:p>
          <w:p w14:paraId="5012496C" w14:textId="77777777" w:rsidR="00F04B06" w:rsidRPr="005C2363" w:rsidRDefault="00F04B06" w:rsidP="00F04B06">
            <w:pPr>
              <w:spacing w:after="0" w:line="240" w:lineRule="auto"/>
              <w:rPr>
                <w:rFonts w:ascii="Cambria" w:eastAsia="Times New Roman" w:hAnsi="Cambria" w:cs="Calibri"/>
                <w:lang w:val="hr-HR"/>
              </w:rPr>
            </w:pPr>
            <w:r w:rsidRPr="005C2363">
              <w:rPr>
                <w:rFonts w:ascii="Cambria" w:eastAsia="Times New Roman" w:hAnsi="Cambria" w:cs="Calibri"/>
                <w:lang w:val="hr-HR"/>
              </w:rPr>
              <w:t>8. Makro i mikro organizacija obrazovanja i nastave</w:t>
            </w:r>
          </w:p>
          <w:p w14:paraId="689795A4" w14:textId="77777777" w:rsidR="00F04B06" w:rsidRPr="005C2363" w:rsidRDefault="00F04B06" w:rsidP="00F04B06">
            <w:pPr>
              <w:spacing w:after="0" w:line="240" w:lineRule="auto"/>
              <w:rPr>
                <w:rFonts w:ascii="Cambria" w:eastAsia="Times New Roman" w:hAnsi="Cambria" w:cs="Calibri"/>
                <w:lang w:val="hr-HR"/>
              </w:rPr>
            </w:pPr>
            <w:r w:rsidRPr="005C2363">
              <w:rPr>
                <w:rFonts w:ascii="Cambria" w:eastAsia="Times New Roman" w:hAnsi="Cambria" w:cs="Calibri"/>
                <w:lang w:val="hr-HR"/>
              </w:rPr>
              <w:t>9. Didaktički ciklus i njegove etape (pripremanje, realizacija i evaluacija nastave i obrazovanja)</w:t>
            </w:r>
          </w:p>
          <w:p w14:paraId="1A549384" w14:textId="77777777" w:rsidR="00F04B06" w:rsidRPr="005C2363" w:rsidRDefault="00F04B06" w:rsidP="00F04B06">
            <w:pPr>
              <w:spacing w:after="0" w:line="240" w:lineRule="auto"/>
              <w:rPr>
                <w:rFonts w:ascii="Cambria" w:eastAsia="Times New Roman" w:hAnsi="Cambria" w:cs="Calibri"/>
                <w:lang w:val="hr-HR"/>
              </w:rPr>
            </w:pPr>
            <w:r w:rsidRPr="005C2363">
              <w:rPr>
                <w:rFonts w:ascii="Cambria" w:eastAsia="Times New Roman" w:hAnsi="Cambria" w:cs="Calibri"/>
                <w:lang w:val="hr-HR"/>
              </w:rPr>
              <w:t>10. Artikulacija situacije učenja i nastave</w:t>
            </w:r>
          </w:p>
          <w:p w14:paraId="39ABE7C0" w14:textId="77777777" w:rsidR="00F04B06" w:rsidRPr="005C2363" w:rsidRDefault="00F04B06" w:rsidP="00F04B06">
            <w:pPr>
              <w:spacing w:after="0" w:line="240" w:lineRule="auto"/>
              <w:rPr>
                <w:rFonts w:ascii="Cambria" w:eastAsia="Times New Roman" w:hAnsi="Cambria" w:cs="Calibri"/>
                <w:lang w:val="hr-HR"/>
              </w:rPr>
            </w:pPr>
            <w:r w:rsidRPr="005C2363">
              <w:rPr>
                <w:rFonts w:ascii="Cambria" w:eastAsia="Times New Roman" w:hAnsi="Cambria" w:cs="Calibri"/>
                <w:lang w:val="hr-HR"/>
              </w:rPr>
              <w:t>11. Didaktička načela u procesu nastave i učenja</w:t>
            </w:r>
          </w:p>
          <w:p w14:paraId="12E67E74" w14:textId="77777777" w:rsidR="00F04B06" w:rsidRPr="005C2363" w:rsidRDefault="00F04B06" w:rsidP="00F04B06">
            <w:pPr>
              <w:spacing w:after="0" w:line="240" w:lineRule="auto"/>
              <w:rPr>
                <w:rFonts w:ascii="Cambria" w:eastAsia="Times New Roman" w:hAnsi="Cambria" w:cs="Calibri"/>
                <w:lang w:val="hr-HR"/>
              </w:rPr>
            </w:pPr>
            <w:r w:rsidRPr="005C2363">
              <w:rPr>
                <w:rFonts w:ascii="Cambria" w:eastAsia="Times New Roman" w:hAnsi="Cambria" w:cs="Calibri"/>
                <w:lang w:val="hr-HR"/>
              </w:rPr>
              <w:t>12. Didaktičke metode nastave i učenja</w:t>
            </w:r>
          </w:p>
          <w:p w14:paraId="2F8DE97B" w14:textId="77777777" w:rsidR="00F04B06" w:rsidRPr="005C2363" w:rsidRDefault="00F04B06" w:rsidP="00F04B06">
            <w:pPr>
              <w:spacing w:after="0" w:line="240" w:lineRule="auto"/>
              <w:rPr>
                <w:rFonts w:ascii="Cambria" w:eastAsia="Times New Roman" w:hAnsi="Cambria" w:cs="Calibri"/>
                <w:lang w:val="hr-HR"/>
              </w:rPr>
            </w:pPr>
            <w:r w:rsidRPr="005C2363">
              <w:rPr>
                <w:rFonts w:ascii="Cambria" w:eastAsia="Times New Roman" w:hAnsi="Cambria" w:cs="Calibri"/>
                <w:lang w:val="hr-HR"/>
              </w:rPr>
              <w:lastRenderedPageBreak/>
              <w:t>13. Socijalni oblici rada u nastavi i učenju</w:t>
            </w:r>
          </w:p>
          <w:p w14:paraId="7242D624" w14:textId="77777777" w:rsidR="00F04B06" w:rsidRPr="005C2363" w:rsidRDefault="00F04B06" w:rsidP="00F04B06">
            <w:pPr>
              <w:spacing w:after="0" w:line="240" w:lineRule="auto"/>
              <w:rPr>
                <w:rFonts w:ascii="Cambria" w:eastAsia="Times New Roman" w:hAnsi="Cambria" w:cs="Calibri"/>
                <w:lang w:val="hr-HR"/>
              </w:rPr>
            </w:pPr>
            <w:r w:rsidRPr="005C2363">
              <w:rPr>
                <w:rFonts w:ascii="Cambria" w:eastAsia="Times New Roman" w:hAnsi="Cambria" w:cs="Calibri"/>
                <w:lang w:val="hr-HR"/>
              </w:rPr>
              <w:t>14. Tehnologija i mediji obrazovanja i nastave</w:t>
            </w:r>
          </w:p>
          <w:p w14:paraId="091E27B4" w14:textId="77777777" w:rsidR="00F04B06" w:rsidRPr="005C2363" w:rsidRDefault="00F04B06" w:rsidP="00F04B06">
            <w:pPr>
              <w:spacing w:after="0" w:line="240" w:lineRule="auto"/>
              <w:jc w:val="both"/>
              <w:rPr>
                <w:rFonts w:ascii="Cambria" w:eastAsia="Times New Roman" w:hAnsi="Cambria" w:cs="Calibri"/>
                <w:lang w:val="hr-HR"/>
              </w:rPr>
            </w:pPr>
            <w:r w:rsidRPr="005C2363">
              <w:rPr>
                <w:rFonts w:ascii="Cambria" w:eastAsia="Times New Roman" w:hAnsi="Cambria" w:cs="Calibri"/>
                <w:lang w:val="hr-HR"/>
              </w:rPr>
              <w:t>15. Produženi boravak učenika</w:t>
            </w:r>
          </w:p>
        </w:tc>
      </w:tr>
      <w:tr w:rsidR="00F04B06" w:rsidRPr="005C2363" w14:paraId="346ABCD1" w14:textId="77777777" w:rsidTr="00F04B06">
        <w:tc>
          <w:tcPr>
            <w:tcW w:w="2056"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63828FB2" w14:textId="77777777" w:rsidR="00F04B06" w:rsidRPr="005C2363" w:rsidRDefault="00F04B06" w:rsidP="00F04B06">
            <w:pPr>
              <w:spacing w:after="0" w:line="240" w:lineRule="auto"/>
              <w:rPr>
                <w:rFonts w:ascii="Cambria" w:eastAsia="Times New Roman" w:hAnsi="Cambria" w:cs="Calibri"/>
                <w:lang w:val="hr-HR"/>
              </w:rPr>
            </w:pPr>
            <w:r w:rsidRPr="005C2363">
              <w:rPr>
                <w:rFonts w:ascii="Cambria" w:eastAsia="Times New Roman" w:hAnsi="Cambria" w:cs="Calibri"/>
                <w:lang w:val="hr-HR"/>
              </w:rPr>
              <w:lastRenderedPageBreak/>
              <w:t>Planirane aktivnosti,</w:t>
            </w:r>
          </w:p>
          <w:p w14:paraId="22CF7BC1" w14:textId="77777777" w:rsidR="00F04B06" w:rsidRPr="005C2363" w:rsidRDefault="00F04B06" w:rsidP="00F04B06">
            <w:pPr>
              <w:spacing w:after="0" w:line="240" w:lineRule="auto"/>
              <w:rPr>
                <w:rFonts w:ascii="Cambria" w:eastAsia="Times New Roman" w:hAnsi="Cambria" w:cs="Calibri"/>
                <w:lang w:val="hr-HR"/>
              </w:rPr>
            </w:pPr>
            <w:r w:rsidRPr="005C2363">
              <w:rPr>
                <w:rFonts w:ascii="Cambria" w:eastAsia="Times New Roman" w:hAnsi="Cambria" w:cs="Calibri"/>
                <w:lang w:val="hr-HR"/>
              </w:rPr>
              <w:t>metode učenja i poučavanja i načini vrednovanja</w:t>
            </w:r>
          </w:p>
          <w:p w14:paraId="0CCB57A9" w14:textId="77777777" w:rsidR="00F04B06" w:rsidRPr="005C2363" w:rsidRDefault="00F04B06" w:rsidP="00F04B06">
            <w:pPr>
              <w:spacing w:after="0" w:line="240" w:lineRule="auto"/>
              <w:rPr>
                <w:rFonts w:ascii="Cambria" w:eastAsia="Times New Roman" w:hAnsi="Cambria" w:cs="Calibri"/>
                <w:lang w:val="hr-HR"/>
              </w:rPr>
            </w:pPr>
          </w:p>
        </w:tc>
        <w:tc>
          <w:tcPr>
            <w:tcW w:w="298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FEE98E0" w14:textId="77777777" w:rsidR="00F04B06" w:rsidRPr="005C2363" w:rsidRDefault="00F04B06" w:rsidP="00F04B06">
            <w:pPr>
              <w:spacing w:after="0" w:line="240" w:lineRule="auto"/>
              <w:jc w:val="center"/>
              <w:rPr>
                <w:rFonts w:ascii="Cambria" w:eastAsia="Times New Roman" w:hAnsi="Cambria" w:cs="Calibri"/>
                <w:lang w:val="hr-HR"/>
              </w:rPr>
            </w:pPr>
            <w:r w:rsidRPr="005C2363">
              <w:rPr>
                <w:rFonts w:ascii="Cambria" w:eastAsia="Times New Roman" w:hAnsi="Cambria" w:cs="Calibri"/>
                <w:bCs/>
                <w:lang w:val="hr-HR"/>
              </w:rPr>
              <w:t>Obveze</w:t>
            </w:r>
          </w:p>
        </w:tc>
        <w:tc>
          <w:tcPr>
            <w:tcW w:w="1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F6BC934" w14:textId="77777777" w:rsidR="00F04B06" w:rsidRPr="005C2363" w:rsidRDefault="00F04B06" w:rsidP="00F04B06">
            <w:pPr>
              <w:spacing w:after="0" w:line="240" w:lineRule="auto"/>
              <w:jc w:val="center"/>
              <w:rPr>
                <w:rFonts w:ascii="Cambria" w:eastAsia="Times New Roman" w:hAnsi="Cambria" w:cs="Calibri"/>
                <w:bCs/>
                <w:lang w:val="hr-HR"/>
              </w:rPr>
            </w:pPr>
          </w:p>
          <w:p w14:paraId="5512A53C" w14:textId="77777777" w:rsidR="00F04B06" w:rsidRPr="005C2363" w:rsidRDefault="00F04B06" w:rsidP="00F04B06">
            <w:pPr>
              <w:spacing w:after="0" w:line="240" w:lineRule="auto"/>
              <w:jc w:val="center"/>
              <w:rPr>
                <w:rFonts w:ascii="Cambria" w:eastAsia="Times New Roman" w:hAnsi="Cambria" w:cs="Calibri"/>
                <w:lang w:val="hr-HR"/>
              </w:rPr>
            </w:pPr>
            <w:r w:rsidRPr="005C2363">
              <w:rPr>
                <w:rFonts w:ascii="Cambria" w:eastAsia="Times New Roman" w:hAnsi="Cambria" w:cs="Calibri"/>
                <w:bCs/>
                <w:lang w:val="hr-HR"/>
              </w:rPr>
              <w:t>Ishodi</w:t>
            </w:r>
          </w:p>
          <w:p w14:paraId="4759C45D" w14:textId="77777777" w:rsidR="00F04B06" w:rsidRPr="005C2363" w:rsidRDefault="00F04B06" w:rsidP="00F04B06">
            <w:pPr>
              <w:spacing w:after="0" w:line="240" w:lineRule="auto"/>
              <w:jc w:val="center"/>
              <w:rPr>
                <w:rFonts w:ascii="Cambria" w:eastAsia="Times New Roman" w:hAnsi="Cambria" w:cs="Calibri"/>
                <w:lang w:val="hr-HR"/>
              </w:rPr>
            </w:pPr>
          </w:p>
        </w:tc>
        <w:tc>
          <w:tcPr>
            <w:tcW w:w="69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9CF0E42" w14:textId="77777777" w:rsidR="00F04B06" w:rsidRPr="005C2363" w:rsidRDefault="00F04B06" w:rsidP="00F04B06">
            <w:pPr>
              <w:spacing w:after="0" w:line="240" w:lineRule="auto"/>
              <w:jc w:val="center"/>
              <w:rPr>
                <w:rFonts w:ascii="Cambria" w:eastAsia="Times New Roman" w:hAnsi="Cambria" w:cs="Calibri"/>
                <w:vertAlign w:val="superscript"/>
                <w:lang w:val="hr-HR"/>
              </w:rPr>
            </w:pPr>
            <w:r w:rsidRPr="005C2363">
              <w:rPr>
                <w:rFonts w:ascii="Cambria" w:eastAsia="Times New Roman" w:hAnsi="Cambria" w:cs="Calibri"/>
                <w:bCs/>
                <w:lang w:val="hr-HR"/>
              </w:rPr>
              <w:t>Sati</w:t>
            </w:r>
          </w:p>
        </w:tc>
        <w:tc>
          <w:tcPr>
            <w:tcW w:w="9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762D815" w14:textId="77777777" w:rsidR="00F04B06" w:rsidRPr="005C2363" w:rsidRDefault="00F04B06" w:rsidP="00F04B06">
            <w:pPr>
              <w:spacing w:after="0" w:line="240" w:lineRule="auto"/>
              <w:jc w:val="center"/>
              <w:rPr>
                <w:rFonts w:ascii="Cambria" w:eastAsia="Times New Roman" w:hAnsi="Cambria" w:cs="Calibri"/>
                <w:lang w:val="hr-HR"/>
              </w:rPr>
            </w:pPr>
            <w:r w:rsidRPr="005C2363">
              <w:rPr>
                <w:rFonts w:ascii="Cambria" w:eastAsia="Times New Roman" w:hAnsi="Cambria" w:cs="Calibri"/>
                <w:bCs/>
                <w:lang w:val="hr-HR"/>
              </w:rPr>
              <w:t>ECTS</w:t>
            </w:r>
          </w:p>
        </w:tc>
        <w:tc>
          <w:tcPr>
            <w:tcW w:w="127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608A33A" w14:textId="77777777" w:rsidR="00F04B06" w:rsidRPr="005C2363" w:rsidRDefault="00F04B06" w:rsidP="00F04B06">
            <w:pPr>
              <w:spacing w:after="0" w:line="240" w:lineRule="auto"/>
              <w:jc w:val="center"/>
              <w:rPr>
                <w:rFonts w:ascii="Cambria" w:eastAsia="Times New Roman" w:hAnsi="Cambria" w:cs="Calibri"/>
                <w:lang w:val="hr-HR"/>
              </w:rPr>
            </w:pPr>
            <w:r w:rsidRPr="005C2363">
              <w:rPr>
                <w:rFonts w:ascii="Cambria" w:eastAsia="Times New Roman" w:hAnsi="Cambria" w:cs="Calibri"/>
                <w:bCs/>
                <w:lang w:val="hr-HR"/>
              </w:rPr>
              <w:t>Maksimalni udio u ocjeni (%)</w:t>
            </w:r>
          </w:p>
        </w:tc>
      </w:tr>
      <w:tr w:rsidR="00F04B06" w:rsidRPr="005C2363" w14:paraId="747FE544" w14:textId="77777777" w:rsidTr="00F04B06">
        <w:tc>
          <w:tcPr>
            <w:tcW w:w="2056" w:type="dxa"/>
            <w:vMerge/>
            <w:tcBorders>
              <w:left w:val="single" w:sz="8" w:space="0" w:color="000000"/>
              <w:right w:val="single" w:sz="8" w:space="0" w:color="000000"/>
            </w:tcBorders>
            <w:vAlign w:val="center"/>
          </w:tcPr>
          <w:p w14:paraId="7DDA621B" w14:textId="77777777" w:rsidR="00F04B06" w:rsidRPr="005C2363" w:rsidRDefault="00F04B06" w:rsidP="00F04B06">
            <w:pPr>
              <w:spacing w:after="0" w:line="240" w:lineRule="auto"/>
              <w:rPr>
                <w:rFonts w:ascii="Cambria" w:eastAsia="Times New Roman" w:hAnsi="Cambria" w:cs="Calibri"/>
                <w:lang w:val="hr-HR"/>
              </w:rPr>
            </w:pPr>
          </w:p>
        </w:tc>
        <w:tc>
          <w:tcPr>
            <w:tcW w:w="298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DF2B140" w14:textId="77777777" w:rsidR="00F04B06" w:rsidRPr="005C2363" w:rsidRDefault="00F04B06" w:rsidP="00F04B06">
            <w:pPr>
              <w:spacing w:after="0" w:line="240" w:lineRule="auto"/>
              <w:rPr>
                <w:rFonts w:ascii="Cambria" w:eastAsia="Times New Roman" w:hAnsi="Cambria" w:cs="Calibri"/>
                <w:lang w:val="hr-HR"/>
              </w:rPr>
            </w:pPr>
            <w:r w:rsidRPr="005C2363">
              <w:rPr>
                <w:rFonts w:ascii="Cambria" w:eastAsia="Times New Roman" w:hAnsi="Cambria" w:cs="Calibri"/>
                <w:lang w:val="hr-HR"/>
              </w:rPr>
              <w:t>aktivnosti na nastavi</w:t>
            </w:r>
          </w:p>
        </w:tc>
        <w:tc>
          <w:tcPr>
            <w:tcW w:w="1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286BF71" w14:textId="77777777" w:rsidR="00F04B06" w:rsidRPr="005C2363" w:rsidRDefault="00F04B06" w:rsidP="00F04B06">
            <w:pPr>
              <w:spacing w:after="0" w:line="240" w:lineRule="auto"/>
              <w:jc w:val="center"/>
              <w:rPr>
                <w:rFonts w:ascii="Cambria" w:eastAsia="Times New Roman" w:hAnsi="Cambria" w:cs="Calibri"/>
                <w:lang w:val="hr-HR"/>
              </w:rPr>
            </w:pPr>
            <w:r w:rsidRPr="005C2363">
              <w:rPr>
                <w:rFonts w:ascii="Cambria" w:eastAsia="Times New Roman" w:hAnsi="Cambria" w:cs="Calibri"/>
                <w:lang w:val="hr-HR"/>
              </w:rPr>
              <w:t>1. - 6.</w:t>
            </w:r>
          </w:p>
        </w:tc>
        <w:tc>
          <w:tcPr>
            <w:tcW w:w="69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66B07B4" w14:textId="77777777" w:rsidR="00F04B06" w:rsidRPr="005C2363" w:rsidRDefault="00F04B06" w:rsidP="00F04B06">
            <w:pPr>
              <w:spacing w:after="0" w:line="240" w:lineRule="auto"/>
              <w:jc w:val="center"/>
              <w:rPr>
                <w:rFonts w:ascii="Cambria" w:eastAsia="Times New Roman" w:hAnsi="Cambria" w:cs="Calibri"/>
                <w:lang w:val="hr-HR"/>
              </w:rPr>
            </w:pPr>
            <w:r w:rsidRPr="005C2363">
              <w:rPr>
                <w:rFonts w:ascii="Cambria" w:eastAsia="Times New Roman" w:hAnsi="Cambria" w:cs="Calibri"/>
                <w:lang w:val="hr-HR"/>
              </w:rPr>
              <w:t>45</w:t>
            </w:r>
          </w:p>
        </w:tc>
        <w:tc>
          <w:tcPr>
            <w:tcW w:w="9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31339F6" w14:textId="77777777" w:rsidR="00F04B06" w:rsidRPr="005C2363" w:rsidRDefault="00F04B06" w:rsidP="00F04B06">
            <w:pPr>
              <w:spacing w:after="0" w:line="240" w:lineRule="auto"/>
              <w:jc w:val="center"/>
              <w:rPr>
                <w:rFonts w:ascii="Cambria" w:eastAsia="Times New Roman" w:hAnsi="Cambria" w:cs="Calibri"/>
                <w:lang w:val="hr-HR"/>
              </w:rPr>
            </w:pPr>
            <w:r w:rsidRPr="005C2363">
              <w:rPr>
                <w:rFonts w:ascii="Cambria" w:eastAsia="Times New Roman" w:hAnsi="Cambria" w:cs="Calibri"/>
                <w:lang w:val="hr-HR"/>
              </w:rPr>
              <w:t>1,5</w:t>
            </w:r>
          </w:p>
        </w:tc>
        <w:tc>
          <w:tcPr>
            <w:tcW w:w="127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3A38DB3" w14:textId="77777777" w:rsidR="00F04B06" w:rsidRPr="005C2363" w:rsidRDefault="00F04B06" w:rsidP="00F04B06">
            <w:pPr>
              <w:spacing w:after="0" w:line="240" w:lineRule="auto"/>
              <w:jc w:val="center"/>
              <w:rPr>
                <w:rFonts w:ascii="Cambria" w:eastAsia="Times New Roman" w:hAnsi="Cambria" w:cs="Calibri"/>
                <w:lang w:val="hr-HR"/>
              </w:rPr>
            </w:pPr>
            <w:r w:rsidRPr="005C2363">
              <w:rPr>
                <w:rFonts w:ascii="Cambria" w:eastAsia="Times New Roman" w:hAnsi="Cambria" w:cs="Calibri"/>
                <w:lang w:val="hr-HR"/>
              </w:rPr>
              <w:t>5%</w:t>
            </w:r>
          </w:p>
        </w:tc>
      </w:tr>
      <w:tr w:rsidR="00F04B06" w:rsidRPr="005C2363" w14:paraId="15ACA90D" w14:textId="77777777" w:rsidTr="00F04B06">
        <w:tc>
          <w:tcPr>
            <w:tcW w:w="2056" w:type="dxa"/>
            <w:vMerge/>
            <w:tcBorders>
              <w:left w:val="single" w:sz="8" w:space="0" w:color="000000"/>
              <w:right w:val="single" w:sz="8" w:space="0" w:color="000000"/>
            </w:tcBorders>
            <w:vAlign w:val="center"/>
          </w:tcPr>
          <w:p w14:paraId="698B485A" w14:textId="77777777" w:rsidR="00F04B06" w:rsidRPr="005C2363" w:rsidRDefault="00F04B06" w:rsidP="00F04B06">
            <w:pPr>
              <w:spacing w:after="0" w:line="240" w:lineRule="auto"/>
              <w:rPr>
                <w:rFonts w:ascii="Cambria" w:eastAsia="Times New Roman" w:hAnsi="Cambria" w:cs="Calibri"/>
                <w:lang w:val="hr-HR"/>
              </w:rPr>
            </w:pPr>
          </w:p>
        </w:tc>
        <w:tc>
          <w:tcPr>
            <w:tcW w:w="298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F639F35" w14:textId="77777777" w:rsidR="00F04B06" w:rsidRPr="005C2363" w:rsidRDefault="00F04B06" w:rsidP="00F04B06">
            <w:pPr>
              <w:spacing w:after="0" w:line="240" w:lineRule="auto"/>
              <w:rPr>
                <w:rFonts w:ascii="Cambria" w:eastAsia="Times New Roman" w:hAnsi="Cambria" w:cs="Calibri"/>
                <w:lang w:val="hr-HR"/>
              </w:rPr>
            </w:pPr>
            <w:r w:rsidRPr="005C2363">
              <w:rPr>
                <w:rFonts w:ascii="Cambria" w:eastAsia="Times New Roman" w:hAnsi="Cambria" w:cs="Calibri"/>
                <w:lang w:val="hr-HR"/>
              </w:rPr>
              <w:t>terenska nastava</w:t>
            </w:r>
          </w:p>
        </w:tc>
        <w:tc>
          <w:tcPr>
            <w:tcW w:w="1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BDF670E" w14:textId="77777777" w:rsidR="00F04B06" w:rsidRPr="005C2363" w:rsidRDefault="00F04B06" w:rsidP="00F04B06">
            <w:pPr>
              <w:spacing w:after="0" w:line="240" w:lineRule="auto"/>
              <w:jc w:val="center"/>
              <w:rPr>
                <w:rFonts w:ascii="Cambria" w:eastAsia="Times New Roman" w:hAnsi="Cambria" w:cs="Calibri"/>
                <w:lang w:val="hr-HR"/>
              </w:rPr>
            </w:pPr>
            <w:r w:rsidRPr="005C2363">
              <w:rPr>
                <w:rFonts w:ascii="Cambria" w:eastAsia="Times New Roman" w:hAnsi="Cambria" w:cs="Calibri"/>
                <w:lang w:val="hr-HR"/>
              </w:rPr>
              <w:t>1. - 6.</w:t>
            </w:r>
          </w:p>
        </w:tc>
        <w:tc>
          <w:tcPr>
            <w:tcW w:w="69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48163C5" w14:textId="77777777" w:rsidR="00F04B06" w:rsidRPr="005C2363" w:rsidRDefault="00F04B06" w:rsidP="00F04B06">
            <w:pPr>
              <w:spacing w:after="0" w:line="240" w:lineRule="auto"/>
              <w:jc w:val="center"/>
              <w:rPr>
                <w:rFonts w:ascii="Cambria" w:eastAsia="Times New Roman" w:hAnsi="Cambria" w:cs="Calibri"/>
                <w:lang w:val="hr-HR"/>
              </w:rPr>
            </w:pPr>
            <w:r w:rsidRPr="005C2363">
              <w:rPr>
                <w:rFonts w:ascii="Cambria" w:eastAsia="Times New Roman" w:hAnsi="Cambria" w:cs="Calibri"/>
                <w:lang w:val="hr-HR"/>
              </w:rPr>
              <w:t>33</w:t>
            </w:r>
          </w:p>
        </w:tc>
        <w:tc>
          <w:tcPr>
            <w:tcW w:w="9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2DD54B0" w14:textId="77777777" w:rsidR="00F04B06" w:rsidRPr="005C2363" w:rsidRDefault="00F04B06" w:rsidP="00F04B06">
            <w:pPr>
              <w:spacing w:after="0" w:line="240" w:lineRule="auto"/>
              <w:jc w:val="center"/>
              <w:rPr>
                <w:rFonts w:ascii="Cambria" w:eastAsia="Times New Roman" w:hAnsi="Cambria" w:cs="Calibri"/>
                <w:lang w:val="hr-HR"/>
              </w:rPr>
            </w:pPr>
            <w:r w:rsidRPr="005C2363">
              <w:rPr>
                <w:rFonts w:ascii="Cambria" w:eastAsia="Times New Roman" w:hAnsi="Cambria" w:cs="Calibri"/>
                <w:lang w:val="hr-HR"/>
              </w:rPr>
              <w:t>1,1</w:t>
            </w:r>
          </w:p>
        </w:tc>
        <w:tc>
          <w:tcPr>
            <w:tcW w:w="127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006886F" w14:textId="77777777" w:rsidR="00F04B06" w:rsidRPr="005C2363" w:rsidRDefault="00F04B06" w:rsidP="00F04B06">
            <w:pPr>
              <w:spacing w:after="0" w:line="240" w:lineRule="auto"/>
              <w:jc w:val="center"/>
              <w:rPr>
                <w:rFonts w:ascii="Cambria" w:eastAsia="Times New Roman" w:hAnsi="Cambria" w:cs="Calibri"/>
                <w:lang w:val="hr-HR"/>
              </w:rPr>
            </w:pPr>
            <w:r w:rsidRPr="005C2363">
              <w:rPr>
                <w:rFonts w:ascii="Cambria" w:eastAsia="Times New Roman" w:hAnsi="Cambria" w:cs="Calibri"/>
                <w:lang w:val="hr-HR"/>
              </w:rPr>
              <w:t>20%</w:t>
            </w:r>
          </w:p>
        </w:tc>
      </w:tr>
      <w:tr w:rsidR="00F04B06" w:rsidRPr="005C2363" w14:paraId="693D887A" w14:textId="77777777" w:rsidTr="00F04B06">
        <w:tc>
          <w:tcPr>
            <w:tcW w:w="2056" w:type="dxa"/>
            <w:vMerge/>
            <w:tcBorders>
              <w:left w:val="single" w:sz="8" w:space="0" w:color="000000"/>
              <w:right w:val="single" w:sz="8" w:space="0" w:color="000000"/>
            </w:tcBorders>
            <w:vAlign w:val="center"/>
          </w:tcPr>
          <w:p w14:paraId="1BDE0DF8" w14:textId="77777777" w:rsidR="00F04B06" w:rsidRPr="005C2363" w:rsidRDefault="00F04B06" w:rsidP="00F04B06">
            <w:pPr>
              <w:spacing w:after="0" w:line="240" w:lineRule="auto"/>
              <w:rPr>
                <w:rFonts w:ascii="Cambria" w:eastAsia="Times New Roman" w:hAnsi="Cambria" w:cs="Calibri"/>
                <w:lang w:val="hr-HR"/>
              </w:rPr>
            </w:pPr>
          </w:p>
        </w:tc>
        <w:tc>
          <w:tcPr>
            <w:tcW w:w="2981" w:type="dxa"/>
            <w:gridSpan w:val="2"/>
            <w:tcBorders>
              <w:top w:val="single" w:sz="8" w:space="0" w:color="000000"/>
              <w:left w:val="single" w:sz="8" w:space="0" w:color="000000"/>
              <w:bottom w:val="single" w:sz="8" w:space="0" w:color="000000"/>
            </w:tcBorders>
            <w:shd w:val="clear" w:color="auto" w:fill="FFFFFF"/>
            <w:tcMar>
              <w:top w:w="15" w:type="dxa"/>
              <w:left w:w="108" w:type="dxa"/>
              <w:bottom w:w="0" w:type="dxa"/>
              <w:right w:w="108" w:type="dxa"/>
            </w:tcMar>
          </w:tcPr>
          <w:p w14:paraId="30CA9915" w14:textId="77777777" w:rsidR="00F04B06" w:rsidRPr="005C2363" w:rsidRDefault="00F04B06" w:rsidP="00F04B06">
            <w:pPr>
              <w:spacing w:after="0" w:line="100" w:lineRule="atLeast"/>
              <w:rPr>
                <w:rFonts w:ascii="Cambria" w:eastAsia="Times New Roman" w:hAnsi="Cambria" w:cs="Calibri"/>
                <w:lang w:val="hr-HR"/>
              </w:rPr>
            </w:pPr>
            <w:r w:rsidRPr="005C2363">
              <w:rPr>
                <w:rFonts w:ascii="Cambria" w:eastAsia="Times New Roman" w:hAnsi="Cambria" w:cs="Calibri"/>
                <w:lang w:val="hr-HR"/>
              </w:rPr>
              <w:t>pismeni ispit</w:t>
            </w:r>
          </w:p>
        </w:tc>
        <w:tc>
          <w:tcPr>
            <w:tcW w:w="1058" w:type="dxa"/>
            <w:tcBorders>
              <w:top w:val="single" w:sz="8" w:space="0" w:color="000000"/>
              <w:left w:val="single" w:sz="8" w:space="0" w:color="000000"/>
              <w:bottom w:val="single" w:sz="8" w:space="0" w:color="000000"/>
            </w:tcBorders>
            <w:shd w:val="clear" w:color="auto" w:fill="FFFFFF"/>
            <w:tcMar>
              <w:top w:w="15" w:type="dxa"/>
              <w:left w:w="108" w:type="dxa"/>
              <w:bottom w:w="0" w:type="dxa"/>
              <w:right w:w="108" w:type="dxa"/>
            </w:tcMar>
            <w:vAlign w:val="center"/>
          </w:tcPr>
          <w:p w14:paraId="675F7C60" w14:textId="77777777" w:rsidR="00F04B06" w:rsidRPr="005C2363" w:rsidRDefault="00F04B06" w:rsidP="00F04B06">
            <w:pPr>
              <w:spacing w:after="0" w:line="100" w:lineRule="atLeast"/>
              <w:jc w:val="center"/>
              <w:rPr>
                <w:rFonts w:ascii="Cambria" w:eastAsia="Times New Roman" w:hAnsi="Cambria" w:cs="Calibri"/>
                <w:lang w:val="hr-HR"/>
              </w:rPr>
            </w:pPr>
            <w:r w:rsidRPr="005C2363">
              <w:rPr>
                <w:rFonts w:ascii="Cambria" w:eastAsia="Times New Roman" w:hAnsi="Cambria" w:cs="Calibri"/>
                <w:lang w:val="hr-HR"/>
              </w:rPr>
              <w:t>1. – 6.</w:t>
            </w:r>
          </w:p>
        </w:tc>
        <w:tc>
          <w:tcPr>
            <w:tcW w:w="697" w:type="dxa"/>
            <w:gridSpan w:val="2"/>
            <w:tcBorders>
              <w:top w:val="single" w:sz="8" w:space="0" w:color="000000"/>
              <w:left w:val="single" w:sz="8" w:space="0" w:color="000000"/>
              <w:bottom w:val="single" w:sz="8" w:space="0" w:color="000000"/>
            </w:tcBorders>
            <w:shd w:val="clear" w:color="auto" w:fill="FFFFFF"/>
            <w:tcMar>
              <w:top w:w="15" w:type="dxa"/>
              <w:left w:w="108" w:type="dxa"/>
              <w:bottom w:w="0" w:type="dxa"/>
              <w:right w:w="108" w:type="dxa"/>
            </w:tcMar>
            <w:vAlign w:val="center"/>
          </w:tcPr>
          <w:p w14:paraId="55336AD8" w14:textId="77777777" w:rsidR="00F04B06" w:rsidRPr="005C2363" w:rsidRDefault="00F04B06" w:rsidP="00F04B06">
            <w:pPr>
              <w:spacing w:after="0" w:line="100" w:lineRule="atLeast"/>
              <w:jc w:val="center"/>
              <w:rPr>
                <w:rFonts w:ascii="Cambria" w:eastAsia="Times New Roman" w:hAnsi="Cambria" w:cs="Calibri"/>
                <w:lang w:val="hr-HR"/>
              </w:rPr>
            </w:pPr>
            <w:r w:rsidRPr="005C2363">
              <w:rPr>
                <w:rFonts w:ascii="Cambria" w:eastAsia="Times New Roman" w:hAnsi="Cambria" w:cs="Calibri"/>
                <w:lang w:val="hr-HR"/>
              </w:rPr>
              <w:t> 75</w:t>
            </w:r>
          </w:p>
        </w:tc>
        <w:tc>
          <w:tcPr>
            <w:tcW w:w="982" w:type="dxa"/>
            <w:tcBorders>
              <w:top w:val="single" w:sz="8" w:space="0" w:color="000000"/>
              <w:left w:val="single" w:sz="8" w:space="0" w:color="000000"/>
              <w:bottom w:val="single" w:sz="8" w:space="0" w:color="000000"/>
            </w:tcBorders>
            <w:shd w:val="clear" w:color="auto" w:fill="FFFFFF"/>
            <w:tcMar>
              <w:top w:w="15" w:type="dxa"/>
              <w:left w:w="108" w:type="dxa"/>
              <w:bottom w:w="0" w:type="dxa"/>
              <w:right w:w="108" w:type="dxa"/>
            </w:tcMar>
            <w:vAlign w:val="center"/>
          </w:tcPr>
          <w:p w14:paraId="3096BB48" w14:textId="77777777" w:rsidR="00F04B06" w:rsidRPr="005C2363" w:rsidRDefault="00F04B06" w:rsidP="00F04B06">
            <w:pPr>
              <w:spacing w:after="0" w:line="100" w:lineRule="atLeast"/>
              <w:jc w:val="center"/>
              <w:rPr>
                <w:rFonts w:ascii="Cambria" w:eastAsia="Times New Roman" w:hAnsi="Cambria" w:cs="Calibri"/>
                <w:highlight w:val="yellow"/>
                <w:lang w:val="hr-HR"/>
              </w:rPr>
            </w:pPr>
            <w:r w:rsidRPr="005C2363">
              <w:rPr>
                <w:rFonts w:ascii="Cambria" w:eastAsia="Times New Roman" w:hAnsi="Cambria" w:cs="Calibri"/>
                <w:lang w:val="hr-HR"/>
              </w:rPr>
              <w:t>2,5</w:t>
            </w:r>
          </w:p>
        </w:tc>
        <w:tc>
          <w:tcPr>
            <w:tcW w:w="127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14:paraId="219B98B1" w14:textId="77777777" w:rsidR="00F04B06" w:rsidRPr="005C2363" w:rsidRDefault="00F04B06" w:rsidP="00F04B06">
            <w:pPr>
              <w:spacing w:after="0" w:line="100" w:lineRule="atLeast"/>
              <w:jc w:val="center"/>
              <w:rPr>
                <w:rFonts w:ascii="Cambria" w:eastAsia="Times New Roman" w:hAnsi="Cambria" w:cs="Calibri"/>
                <w:lang w:val="hr-HR"/>
              </w:rPr>
            </w:pPr>
            <w:r w:rsidRPr="005C2363">
              <w:rPr>
                <w:rFonts w:ascii="Cambria" w:eastAsia="Times New Roman" w:hAnsi="Cambria" w:cs="Calibri"/>
                <w:lang w:val="hr-HR"/>
              </w:rPr>
              <w:t> 50%</w:t>
            </w:r>
          </w:p>
        </w:tc>
      </w:tr>
      <w:tr w:rsidR="00F04B06" w:rsidRPr="005C2363" w14:paraId="0C24976F" w14:textId="77777777" w:rsidTr="00F04B06">
        <w:tc>
          <w:tcPr>
            <w:tcW w:w="2056" w:type="dxa"/>
            <w:vMerge/>
            <w:tcBorders>
              <w:left w:val="single" w:sz="8" w:space="0" w:color="000000"/>
              <w:right w:val="single" w:sz="8" w:space="0" w:color="000000"/>
            </w:tcBorders>
            <w:vAlign w:val="center"/>
          </w:tcPr>
          <w:p w14:paraId="78A9A9C7" w14:textId="77777777" w:rsidR="00F04B06" w:rsidRPr="005C2363" w:rsidRDefault="00F04B06" w:rsidP="00F04B06">
            <w:pPr>
              <w:spacing w:after="0" w:line="240" w:lineRule="auto"/>
              <w:rPr>
                <w:rFonts w:ascii="Cambria" w:eastAsia="Times New Roman" w:hAnsi="Cambria" w:cs="Calibri"/>
                <w:lang w:val="hr-HR"/>
              </w:rPr>
            </w:pPr>
          </w:p>
        </w:tc>
        <w:tc>
          <w:tcPr>
            <w:tcW w:w="2981" w:type="dxa"/>
            <w:gridSpan w:val="2"/>
            <w:tcBorders>
              <w:top w:val="single" w:sz="8" w:space="0" w:color="000000"/>
              <w:left w:val="single" w:sz="8" w:space="0" w:color="000000"/>
              <w:bottom w:val="single" w:sz="8" w:space="0" w:color="000000"/>
            </w:tcBorders>
            <w:shd w:val="clear" w:color="auto" w:fill="FFFFFF"/>
            <w:tcMar>
              <w:top w:w="15" w:type="dxa"/>
              <w:left w:w="108" w:type="dxa"/>
              <w:bottom w:w="0" w:type="dxa"/>
              <w:right w:w="108" w:type="dxa"/>
            </w:tcMar>
          </w:tcPr>
          <w:p w14:paraId="1FE321FE" w14:textId="77777777" w:rsidR="00F04B06" w:rsidRPr="005C2363" w:rsidRDefault="00F04B06" w:rsidP="00F04B06">
            <w:pPr>
              <w:spacing w:after="0" w:line="100" w:lineRule="atLeast"/>
              <w:rPr>
                <w:rFonts w:ascii="Cambria" w:eastAsia="Times New Roman" w:hAnsi="Cambria" w:cs="Calibri"/>
                <w:lang w:val="hr-HR"/>
              </w:rPr>
            </w:pPr>
            <w:r w:rsidRPr="005C2363">
              <w:rPr>
                <w:rFonts w:ascii="Cambria" w:eastAsia="Times New Roman" w:hAnsi="Cambria" w:cs="Calibri"/>
                <w:lang w:val="hr-HR"/>
              </w:rPr>
              <w:t>usmeni ispit</w:t>
            </w:r>
          </w:p>
        </w:tc>
        <w:tc>
          <w:tcPr>
            <w:tcW w:w="1058" w:type="dxa"/>
            <w:tcBorders>
              <w:top w:val="single" w:sz="8" w:space="0" w:color="000000"/>
              <w:left w:val="single" w:sz="8" w:space="0" w:color="000000"/>
              <w:bottom w:val="single" w:sz="8" w:space="0" w:color="000000"/>
            </w:tcBorders>
            <w:shd w:val="clear" w:color="auto" w:fill="FFFFFF"/>
            <w:tcMar>
              <w:top w:w="15" w:type="dxa"/>
              <w:left w:w="108" w:type="dxa"/>
              <w:bottom w:w="0" w:type="dxa"/>
              <w:right w:w="108" w:type="dxa"/>
            </w:tcMar>
            <w:vAlign w:val="center"/>
          </w:tcPr>
          <w:p w14:paraId="679BD9EC" w14:textId="77777777" w:rsidR="00F04B06" w:rsidRPr="005C2363" w:rsidRDefault="00F04B06" w:rsidP="00F04B06">
            <w:pPr>
              <w:spacing w:after="0" w:line="100" w:lineRule="atLeast"/>
              <w:jc w:val="center"/>
              <w:rPr>
                <w:rFonts w:ascii="Cambria" w:eastAsia="Times New Roman" w:hAnsi="Cambria" w:cs="Calibri"/>
                <w:lang w:val="hr-HR"/>
              </w:rPr>
            </w:pPr>
            <w:r w:rsidRPr="005C2363">
              <w:rPr>
                <w:rFonts w:ascii="Cambria" w:eastAsia="Times New Roman" w:hAnsi="Cambria" w:cs="Calibri"/>
                <w:lang w:val="hr-HR"/>
              </w:rPr>
              <w:t>1. – 6.</w:t>
            </w:r>
          </w:p>
        </w:tc>
        <w:tc>
          <w:tcPr>
            <w:tcW w:w="697" w:type="dxa"/>
            <w:gridSpan w:val="2"/>
            <w:tcBorders>
              <w:top w:val="single" w:sz="8" w:space="0" w:color="000000"/>
              <w:left w:val="single" w:sz="8" w:space="0" w:color="000000"/>
              <w:bottom w:val="single" w:sz="8" w:space="0" w:color="000000"/>
            </w:tcBorders>
            <w:shd w:val="clear" w:color="auto" w:fill="FFFFFF"/>
            <w:tcMar>
              <w:top w:w="15" w:type="dxa"/>
              <w:left w:w="108" w:type="dxa"/>
              <w:bottom w:w="0" w:type="dxa"/>
              <w:right w:w="108" w:type="dxa"/>
            </w:tcMar>
            <w:vAlign w:val="center"/>
          </w:tcPr>
          <w:p w14:paraId="61042BF7" w14:textId="77777777" w:rsidR="00F04B06" w:rsidRPr="005C2363" w:rsidRDefault="00F04B06" w:rsidP="00F04B06">
            <w:pPr>
              <w:spacing w:after="0" w:line="100" w:lineRule="atLeast"/>
              <w:jc w:val="center"/>
              <w:rPr>
                <w:rFonts w:ascii="Cambria" w:eastAsia="Times New Roman" w:hAnsi="Cambria" w:cs="Calibri"/>
                <w:lang w:val="hr-HR"/>
              </w:rPr>
            </w:pPr>
            <w:r w:rsidRPr="005C2363">
              <w:rPr>
                <w:rFonts w:ascii="Cambria" w:eastAsia="Times New Roman" w:hAnsi="Cambria" w:cs="Calibri"/>
                <w:lang w:val="hr-HR"/>
              </w:rPr>
              <w:t>27</w:t>
            </w:r>
          </w:p>
        </w:tc>
        <w:tc>
          <w:tcPr>
            <w:tcW w:w="982" w:type="dxa"/>
            <w:tcBorders>
              <w:top w:val="single" w:sz="8" w:space="0" w:color="000000"/>
              <w:left w:val="single" w:sz="8" w:space="0" w:color="000000"/>
              <w:bottom w:val="single" w:sz="8" w:space="0" w:color="000000"/>
            </w:tcBorders>
            <w:shd w:val="clear" w:color="auto" w:fill="FFFFFF"/>
            <w:tcMar>
              <w:top w:w="15" w:type="dxa"/>
              <w:left w:w="108" w:type="dxa"/>
              <w:bottom w:w="0" w:type="dxa"/>
              <w:right w:w="108" w:type="dxa"/>
            </w:tcMar>
            <w:vAlign w:val="center"/>
          </w:tcPr>
          <w:p w14:paraId="78179EE2" w14:textId="77777777" w:rsidR="00F04B06" w:rsidRPr="005C2363" w:rsidRDefault="00F04B06" w:rsidP="00F04B06">
            <w:pPr>
              <w:spacing w:after="0" w:line="100" w:lineRule="atLeast"/>
              <w:jc w:val="center"/>
              <w:rPr>
                <w:rFonts w:ascii="Cambria" w:eastAsia="Times New Roman" w:hAnsi="Cambria" w:cs="Calibri"/>
                <w:highlight w:val="yellow"/>
                <w:lang w:val="hr-HR"/>
              </w:rPr>
            </w:pPr>
            <w:r w:rsidRPr="005C2363">
              <w:rPr>
                <w:rFonts w:ascii="Cambria" w:eastAsia="Times New Roman" w:hAnsi="Cambria" w:cs="Calibri"/>
                <w:lang w:val="hr-HR"/>
              </w:rPr>
              <w:t>0,9</w:t>
            </w:r>
          </w:p>
        </w:tc>
        <w:tc>
          <w:tcPr>
            <w:tcW w:w="127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14:paraId="3D37437B" w14:textId="77777777" w:rsidR="00F04B06" w:rsidRPr="005C2363" w:rsidRDefault="00F04B06" w:rsidP="00F04B06">
            <w:pPr>
              <w:spacing w:after="0" w:line="100" w:lineRule="atLeast"/>
              <w:jc w:val="center"/>
              <w:rPr>
                <w:rFonts w:ascii="Cambria" w:eastAsia="Times New Roman" w:hAnsi="Cambria" w:cs="Calibri"/>
                <w:lang w:val="hr-HR"/>
              </w:rPr>
            </w:pPr>
            <w:r w:rsidRPr="005C2363">
              <w:rPr>
                <w:rFonts w:ascii="Cambria" w:eastAsia="Times New Roman" w:hAnsi="Cambria" w:cs="Calibri"/>
                <w:lang w:val="hr-HR"/>
              </w:rPr>
              <w:t>25%</w:t>
            </w:r>
          </w:p>
        </w:tc>
      </w:tr>
      <w:tr w:rsidR="00F04B06" w:rsidRPr="005C2363" w14:paraId="5C2CBBDA" w14:textId="77777777" w:rsidTr="00F04B06">
        <w:tc>
          <w:tcPr>
            <w:tcW w:w="2056" w:type="dxa"/>
            <w:vMerge/>
            <w:tcBorders>
              <w:left w:val="single" w:sz="8" w:space="0" w:color="000000"/>
              <w:right w:val="single" w:sz="8" w:space="0" w:color="000000"/>
            </w:tcBorders>
            <w:vAlign w:val="center"/>
          </w:tcPr>
          <w:p w14:paraId="72D23751" w14:textId="77777777" w:rsidR="00F04B06" w:rsidRPr="005C2363" w:rsidRDefault="00F04B06" w:rsidP="00F04B06">
            <w:pPr>
              <w:spacing w:after="0" w:line="240" w:lineRule="auto"/>
              <w:rPr>
                <w:rFonts w:ascii="Cambria" w:eastAsia="Times New Roman" w:hAnsi="Cambria" w:cs="Calibri"/>
                <w:lang w:val="hr-HR"/>
              </w:rPr>
            </w:pPr>
          </w:p>
        </w:tc>
        <w:tc>
          <w:tcPr>
            <w:tcW w:w="4039"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5A10EE6" w14:textId="77777777" w:rsidR="00F04B06" w:rsidRPr="005C2363" w:rsidRDefault="00F04B06" w:rsidP="00F04B06">
            <w:pPr>
              <w:spacing w:after="0" w:line="240" w:lineRule="auto"/>
              <w:rPr>
                <w:rFonts w:ascii="Cambria" w:eastAsia="Times New Roman" w:hAnsi="Cambria" w:cs="Calibri"/>
                <w:lang w:val="hr-HR"/>
              </w:rPr>
            </w:pPr>
            <w:r w:rsidRPr="005C2363">
              <w:rPr>
                <w:rFonts w:ascii="Cambria" w:eastAsia="Times New Roman" w:hAnsi="Cambria" w:cs="Calibri"/>
                <w:lang w:val="hr-HR"/>
              </w:rPr>
              <w:t>ukupno</w:t>
            </w:r>
          </w:p>
        </w:tc>
        <w:tc>
          <w:tcPr>
            <w:tcW w:w="69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EC53366" w14:textId="77777777" w:rsidR="00F04B06" w:rsidRPr="005C2363" w:rsidRDefault="00F04B06" w:rsidP="00F04B06">
            <w:pPr>
              <w:spacing w:after="0" w:line="240" w:lineRule="auto"/>
              <w:jc w:val="center"/>
              <w:rPr>
                <w:rFonts w:ascii="Cambria" w:eastAsia="Times New Roman" w:hAnsi="Cambria" w:cs="Calibri"/>
                <w:lang w:val="hr-HR"/>
              </w:rPr>
            </w:pPr>
            <w:r w:rsidRPr="005C2363">
              <w:rPr>
                <w:rFonts w:ascii="Cambria" w:eastAsia="Times New Roman" w:hAnsi="Cambria" w:cs="Calibri"/>
                <w:lang w:val="hr-HR"/>
              </w:rPr>
              <w:t>180</w:t>
            </w:r>
          </w:p>
        </w:tc>
        <w:tc>
          <w:tcPr>
            <w:tcW w:w="9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E51791E" w14:textId="77777777" w:rsidR="00F04B06" w:rsidRPr="005C2363" w:rsidRDefault="00F04B06" w:rsidP="00F04B06">
            <w:pPr>
              <w:spacing w:after="0" w:line="240" w:lineRule="auto"/>
              <w:jc w:val="center"/>
              <w:rPr>
                <w:rFonts w:ascii="Cambria" w:eastAsia="Times New Roman" w:hAnsi="Cambria" w:cs="Calibri"/>
                <w:lang w:val="hr-HR"/>
              </w:rPr>
            </w:pPr>
            <w:r w:rsidRPr="005C2363">
              <w:rPr>
                <w:rFonts w:ascii="Cambria" w:eastAsia="Times New Roman" w:hAnsi="Cambria" w:cs="Calibri"/>
                <w:lang w:val="hr-HR"/>
              </w:rPr>
              <w:t>6</w:t>
            </w:r>
          </w:p>
        </w:tc>
        <w:tc>
          <w:tcPr>
            <w:tcW w:w="127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6A03C0E" w14:textId="77777777" w:rsidR="00F04B06" w:rsidRPr="005C2363" w:rsidRDefault="00F04B06" w:rsidP="00F04B06">
            <w:pPr>
              <w:spacing w:after="0" w:line="240" w:lineRule="auto"/>
              <w:jc w:val="center"/>
              <w:rPr>
                <w:rFonts w:ascii="Cambria" w:eastAsia="Times New Roman" w:hAnsi="Cambria" w:cs="Calibri"/>
                <w:lang w:val="hr-HR"/>
              </w:rPr>
            </w:pPr>
            <w:r w:rsidRPr="005C2363">
              <w:rPr>
                <w:rFonts w:ascii="Cambria" w:eastAsia="Times New Roman" w:hAnsi="Cambria" w:cs="Calibri"/>
                <w:lang w:val="hr-HR"/>
              </w:rPr>
              <w:t>100%</w:t>
            </w:r>
          </w:p>
        </w:tc>
      </w:tr>
      <w:tr w:rsidR="00F04B06" w:rsidRPr="005C2363" w14:paraId="1E844801" w14:textId="77777777" w:rsidTr="00F04B06">
        <w:tc>
          <w:tcPr>
            <w:tcW w:w="205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B2F8113" w14:textId="77777777" w:rsidR="00F04B06" w:rsidRPr="005C2363" w:rsidRDefault="00F04B06" w:rsidP="00F04B06">
            <w:pPr>
              <w:spacing w:after="0" w:line="240" w:lineRule="auto"/>
              <w:rPr>
                <w:rFonts w:ascii="Cambria" w:eastAsia="Times New Roman" w:hAnsi="Cambria" w:cs="Calibri"/>
                <w:lang w:val="hr-HR"/>
              </w:rPr>
            </w:pPr>
            <w:r w:rsidRPr="005C2363">
              <w:rPr>
                <w:rFonts w:ascii="Cambria" w:eastAsia="Times New Roman" w:hAnsi="Cambria" w:cs="Calibri"/>
                <w:lang w:val="hr-HR"/>
              </w:rPr>
              <w:t>Studentske obveze</w:t>
            </w:r>
          </w:p>
        </w:tc>
        <w:tc>
          <w:tcPr>
            <w:tcW w:w="699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8777871" w14:textId="77777777" w:rsidR="00F04B06" w:rsidRPr="005C2363" w:rsidRDefault="00F04B06" w:rsidP="00F04B06">
            <w:pPr>
              <w:spacing w:after="0" w:line="240" w:lineRule="auto"/>
              <w:rPr>
                <w:rFonts w:ascii="Cambria" w:eastAsia="Times New Roman" w:hAnsi="Cambria" w:cs="Calibri"/>
                <w:lang w:val="hr-HR"/>
              </w:rPr>
            </w:pPr>
            <w:r w:rsidRPr="005C2363">
              <w:rPr>
                <w:rFonts w:ascii="Cambria" w:eastAsia="Times New Roman" w:hAnsi="Cambria" w:cs="Calibri"/>
                <w:lang w:val="hr-HR"/>
              </w:rPr>
              <w:t xml:space="preserve">Da položi kolegij, student/studentica mora: </w:t>
            </w:r>
          </w:p>
          <w:p w14:paraId="0A5445EB" w14:textId="77777777" w:rsidR="00F04B06" w:rsidRPr="005C2363" w:rsidRDefault="00F04B06" w:rsidP="00F04B06">
            <w:pPr>
              <w:spacing w:after="0" w:line="240" w:lineRule="auto"/>
              <w:rPr>
                <w:rFonts w:ascii="Cambria" w:eastAsia="Times New Roman" w:hAnsi="Cambria" w:cs="Calibri"/>
                <w:lang w:val="hr-HR"/>
              </w:rPr>
            </w:pPr>
            <w:r w:rsidRPr="005C2363">
              <w:rPr>
                <w:rFonts w:ascii="Cambria" w:eastAsia="Times New Roman" w:hAnsi="Cambria" w:cs="Calibri"/>
                <w:lang w:val="hr-HR"/>
              </w:rPr>
              <w:t>1. redovito pratiti nastavu i aktivno sudjelovati u svim oblicima nastave, posebno u vježbama</w:t>
            </w:r>
          </w:p>
          <w:p w14:paraId="5E0B0B0E" w14:textId="77777777" w:rsidR="00F04B06" w:rsidRPr="005C2363" w:rsidRDefault="00F04B06" w:rsidP="00F04B06">
            <w:pPr>
              <w:spacing w:after="0" w:line="240" w:lineRule="auto"/>
              <w:rPr>
                <w:rFonts w:ascii="Cambria" w:eastAsia="Times New Roman" w:hAnsi="Cambria" w:cs="Calibri"/>
                <w:lang w:val="hr-HR"/>
              </w:rPr>
            </w:pPr>
            <w:r w:rsidRPr="005C2363">
              <w:rPr>
                <w:rFonts w:ascii="Cambria" w:eastAsia="Times New Roman" w:hAnsi="Cambria" w:cs="Calibri"/>
                <w:lang w:val="hr-HR"/>
              </w:rPr>
              <w:t>2. Izraditi praktične radove</w:t>
            </w:r>
          </w:p>
          <w:p w14:paraId="68B40B40" w14:textId="77777777" w:rsidR="00F04B06" w:rsidRPr="005C2363" w:rsidRDefault="00F04B06" w:rsidP="00F04B06">
            <w:pPr>
              <w:spacing w:after="0" w:line="240" w:lineRule="auto"/>
              <w:rPr>
                <w:rFonts w:ascii="Cambria" w:eastAsia="Times New Roman" w:hAnsi="Cambria" w:cs="Calibri"/>
                <w:lang w:val="hr-HR"/>
              </w:rPr>
            </w:pPr>
            <w:r w:rsidRPr="005C2363">
              <w:rPr>
                <w:rFonts w:ascii="Cambria" w:eastAsia="Times New Roman" w:hAnsi="Cambria" w:cs="Calibri"/>
                <w:lang w:val="hr-HR"/>
              </w:rPr>
              <w:t>3. Položiti pismeni  i usmeni ispit</w:t>
            </w:r>
          </w:p>
          <w:p w14:paraId="5E20770E" w14:textId="77777777" w:rsidR="00F04B06" w:rsidRPr="005C2363" w:rsidRDefault="00F04B06" w:rsidP="00F04B06">
            <w:pPr>
              <w:spacing w:after="0" w:line="240" w:lineRule="auto"/>
              <w:jc w:val="both"/>
              <w:rPr>
                <w:rFonts w:ascii="Cambria" w:eastAsia="Times New Roman" w:hAnsi="Cambria" w:cs="Calibri"/>
                <w:b/>
                <w:lang w:val="hr-HR"/>
              </w:rPr>
            </w:pPr>
            <w:r w:rsidRPr="005C2363">
              <w:rPr>
                <w:rFonts w:ascii="Cambria" w:eastAsia="Times New Roman" w:hAnsi="Cambria" w:cs="Calibri"/>
                <w:lang w:val="hr-HR"/>
              </w:rPr>
              <w:t>Napomena: (vrijedi za obvezu 2.) Student/studentica treba napisati praktične radove u zadanome roku. Ako ne riješi obveze do zadanoga roka, tada gubi pravo na ECTS-e iz kolegija u toj akademskoj godini. Rokovi se u ovome kolegiju u potpunosti poštuju.</w:t>
            </w:r>
          </w:p>
        </w:tc>
      </w:tr>
      <w:tr w:rsidR="00F04B06" w:rsidRPr="00D0399C" w14:paraId="24B74FCB" w14:textId="77777777" w:rsidTr="00F04B06">
        <w:tc>
          <w:tcPr>
            <w:tcW w:w="205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3CB01C3" w14:textId="77777777" w:rsidR="00F04B06" w:rsidRPr="005C2363" w:rsidRDefault="00F04B06" w:rsidP="00F04B06">
            <w:pPr>
              <w:spacing w:after="0" w:line="240" w:lineRule="auto"/>
              <w:rPr>
                <w:rFonts w:ascii="Cambria" w:eastAsia="Times New Roman" w:hAnsi="Cambria" w:cs="Calibri"/>
                <w:lang w:val="hr-HR"/>
              </w:rPr>
            </w:pPr>
            <w:r w:rsidRPr="005C2363">
              <w:rPr>
                <w:rFonts w:ascii="Cambria" w:eastAsia="Times New Roman" w:hAnsi="Cambria" w:cs="Calibri"/>
                <w:lang w:val="hr-HR"/>
              </w:rPr>
              <w:t>Rokovi ispita i kolokvija</w:t>
            </w:r>
          </w:p>
        </w:tc>
        <w:tc>
          <w:tcPr>
            <w:tcW w:w="6996"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2E0F86E8" w14:textId="77777777" w:rsidR="00F04B06" w:rsidRPr="005C2363" w:rsidRDefault="00F04B06" w:rsidP="00F04B06">
            <w:pPr>
              <w:snapToGrid w:val="0"/>
              <w:spacing w:after="0" w:line="100" w:lineRule="atLeast"/>
              <w:rPr>
                <w:rFonts w:ascii="Cambria" w:eastAsia="Times New Roman" w:hAnsi="Cambria" w:cs="Calibri"/>
                <w:lang w:val="hr-HR"/>
              </w:rPr>
            </w:pPr>
            <w:r w:rsidRPr="005C2363">
              <w:rPr>
                <w:rFonts w:ascii="Cambria" w:eastAsia="Times New Roman" w:hAnsi="Cambria" w:cs="Calibri"/>
                <w:lang w:val="hr-HR"/>
              </w:rPr>
              <w:t>Daju se na početku akademske godine, objavljuju se na mrežnim stranicama Sveučilišta i ISVU.</w:t>
            </w:r>
          </w:p>
        </w:tc>
      </w:tr>
      <w:tr w:rsidR="00F04B06" w:rsidRPr="005C2363" w14:paraId="56D0D5DF" w14:textId="77777777" w:rsidTr="00F04B06">
        <w:tc>
          <w:tcPr>
            <w:tcW w:w="205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77CEC99" w14:textId="77777777" w:rsidR="00F04B06" w:rsidRPr="005C2363" w:rsidRDefault="00F04B06" w:rsidP="00F04B06">
            <w:pPr>
              <w:spacing w:after="0" w:line="240" w:lineRule="auto"/>
              <w:rPr>
                <w:rFonts w:ascii="Cambria" w:eastAsia="Times New Roman" w:hAnsi="Cambria" w:cs="Calibri"/>
                <w:lang w:val="hr-HR"/>
              </w:rPr>
            </w:pPr>
            <w:r w:rsidRPr="005C2363">
              <w:rPr>
                <w:rFonts w:ascii="Cambria" w:eastAsia="Times New Roman" w:hAnsi="Cambria" w:cs="Calibri"/>
                <w:lang w:val="hr-HR"/>
              </w:rPr>
              <w:t>Ostale važne činjenice vezane uz kolegij</w:t>
            </w:r>
          </w:p>
        </w:tc>
        <w:tc>
          <w:tcPr>
            <w:tcW w:w="6996"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7E8D78DA" w14:textId="77777777" w:rsidR="00F04B06" w:rsidRPr="005C2363" w:rsidRDefault="00F04B06" w:rsidP="00F04B06">
            <w:pPr>
              <w:snapToGrid w:val="0"/>
              <w:spacing w:after="0" w:line="100" w:lineRule="atLeast"/>
              <w:rPr>
                <w:rFonts w:ascii="Cambria" w:eastAsia="Times New Roman" w:hAnsi="Cambria" w:cs="Calibri"/>
                <w:lang w:val="hr-HR"/>
              </w:rPr>
            </w:pPr>
            <w:r w:rsidRPr="005C2363">
              <w:rPr>
                <w:rFonts w:ascii="Cambria" w:eastAsia="Times New Roman" w:hAnsi="Cambria" w:cs="Calibri"/>
                <w:lang w:val="hr-HR"/>
              </w:rPr>
              <w:t>U slučaju održavanja nastave na daljinu, moguće je odstupanje u:</w:t>
            </w:r>
          </w:p>
          <w:p w14:paraId="14624A25" w14:textId="77777777" w:rsidR="00F04B06" w:rsidRPr="005C2363" w:rsidRDefault="00F04B06" w:rsidP="00F04B06">
            <w:pPr>
              <w:snapToGrid w:val="0"/>
              <w:spacing w:after="0" w:line="100" w:lineRule="atLeast"/>
              <w:rPr>
                <w:rFonts w:ascii="Cambria" w:eastAsia="Times New Roman" w:hAnsi="Cambria" w:cs="Calibri"/>
                <w:lang w:val="hr-HR"/>
              </w:rPr>
            </w:pPr>
            <w:r w:rsidRPr="005C2363">
              <w:rPr>
                <w:rFonts w:ascii="Cambria" w:eastAsia="Times New Roman" w:hAnsi="Cambria" w:cs="Calibri"/>
                <w:lang w:val="hr-HR"/>
              </w:rPr>
              <w:t>- mjestu izvođenja kolegija</w:t>
            </w:r>
          </w:p>
          <w:p w14:paraId="19C3262A" w14:textId="77777777" w:rsidR="00F04B06" w:rsidRPr="005C2363" w:rsidRDefault="00F04B06" w:rsidP="00F04B06">
            <w:pPr>
              <w:snapToGrid w:val="0"/>
              <w:spacing w:after="0" w:line="100" w:lineRule="atLeast"/>
              <w:rPr>
                <w:rFonts w:ascii="Cambria" w:eastAsia="Times New Roman" w:hAnsi="Cambria" w:cs="Calibri"/>
                <w:lang w:val="hr-HR"/>
              </w:rPr>
            </w:pPr>
            <w:r w:rsidRPr="005C2363">
              <w:rPr>
                <w:rFonts w:ascii="Cambria" w:eastAsia="Times New Roman" w:hAnsi="Cambria" w:cs="Calibri"/>
                <w:lang w:val="hr-HR"/>
              </w:rPr>
              <w:t>- provedbi aktivnosti, metodama tumačenja i poučavanja i načinima</w:t>
            </w:r>
          </w:p>
          <w:p w14:paraId="6E9BDFFD" w14:textId="77777777" w:rsidR="00F04B06" w:rsidRPr="005C2363" w:rsidRDefault="00F04B06" w:rsidP="00F04B06">
            <w:pPr>
              <w:snapToGrid w:val="0"/>
              <w:spacing w:after="0" w:line="100" w:lineRule="atLeast"/>
              <w:rPr>
                <w:rFonts w:ascii="Cambria" w:eastAsia="Times New Roman" w:hAnsi="Cambria" w:cs="Calibri"/>
                <w:lang w:val="hr-HR"/>
              </w:rPr>
            </w:pPr>
            <w:r w:rsidRPr="005C2363">
              <w:rPr>
                <w:rFonts w:ascii="Cambria" w:eastAsia="Times New Roman" w:hAnsi="Cambria" w:cs="Calibri"/>
                <w:lang w:val="hr-HR"/>
              </w:rPr>
              <w:t>vrednovanja</w:t>
            </w:r>
          </w:p>
          <w:p w14:paraId="6CECD8BB" w14:textId="77777777" w:rsidR="00F04B06" w:rsidRPr="005C2363" w:rsidRDefault="00F04B06" w:rsidP="00F04B06">
            <w:pPr>
              <w:snapToGrid w:val="0"/>
              <w:spacing w:after="0" w:line="100" w:lineRule="atLeast"/>
              <w:rPr>
                <w:rFonts w:ascii="Cambria" w:eastAsia="Times New Roman" w:hAnsi="Cambria" w:cs="Calibri"/>
                <w:lang w:val="hr-HR"/>
              </w:rPr>
            </w:pPr>
            <w:r w:rsidRPr="005C2363">
              <w:rPr>
                <w:rFonts w:ascii="Cambria" w:eastAsia="Times New Roman" w:hAnsi="Cambria" w:cs="Calibri"/>
                <w:lang w:val="hr-HR"/>
              </w:rPr>
              <w:t>- studentskim obvezama</w:t>
            </w:r>
          </w:p>
          <w:p w14:paraId="55436675" w14:textId="77777777" w:rsidR="00F04B06" w:rsidRPr="005C2363" w:rsidRDefault="00F04B06" w:rsidP="00F04B06">
            <w:pPr>
              <w:snapToGrid w:val="0"/>
              <w:spacing w:after="0" w:line="100" w:lineRule="atLeast"/>
              <w:rPr>
                <w:rFonts w:ascii="Cambria" w:eastAsia="Times New Roman" w:hAnsi="Cambria" w:cs="Calibri"/>
                <w:lang w:val="hr-HR"/>
              </w:rPr>
            </w:pPr>
            <w:r w:rsidRPr="005C2363">
              <w:rPr>
                <w:rFonts w:ascii="Cambria" w:eastAsia="Times New Roman" w:hAnsi="Cambria" w:cs="Calibri"/>
                <w:lang w:val="hr-HR"/>
              </w:rPr>
              <w:t>- dostupnoj literaturi.</w:t>
            </w:r>
          </w:p>
          <w:p w14:paraId="482797C6" w14:textId="1ED92D66" w:rsidR="00F04B06" w:rsidRPr="005C2363" w:rsidRDefault="00F04B06" w:rsidP="00F04B06">
            <w:pPr>
              <w:snapToGrid w:val="0"/>
              <w:spacing w:after="0" w:line="100" w:lineRule="atLeast"/>
              <w:rPr>
                <w:rFonts w:ascii="Cambria" w:eastAsia="Times New Roman" w:hAnsi="Cambria" w:cs="Calibri"/>
                <w:lang w:val="hr-HR"/>
              </w:rPr>
            </w:pPr>
            <w:r w:rsidRPr="005C2363">
              <w:rPr>
                <w:rFonts w:ascii="Cambria" w:eastAsia="Times New Roman" w:hAnsi="Cambria" w:cs="Calibri"/>
                <w:lang w:val="hr-HR"/>
              </w:rPr>
              <w:t>O tome će nositeljica kolegija obavijestiti</w:t>
            </w:r>
            <w:r>
              <w:rPr>
                <w:rFonts w:ascii="Cambria" w:eastAsia="Times New Roman" w:hAnsi="Cambria" w:cs="Calibri"/>
                <w:lang w:val="hr-HR"/>
              </w:rPr>
              <w:t xml:space="preserve"> </w:t>
            </w:r>
            <w:r w:rsidRPr="005C2363">
              <w:rPr>
                <w:rFonts w:ascii="Cambria" w:eastAsia="Times New Roman" w:hAnsi="Cambria" w:cs="Calibri"/>
                <w:lang w:val="hr-HR"/>
              </w:rPr>
              <w:t>studente i studentice kad se nastava na daljinu počne održavati.</w:t>
            </w:r>
          </w:p>
          <w:p w14:paraId="31F6741A" w14:textId="77777777" w:rsidR="00F04B06" w:rsidRPr="005C2363" w:rsidRDefault="00F04B06" w:rsidP="00F04B06">
            <w:pPr>
              <w:snapToGrid w:val="0"/>
              <w:spacing w:after="0" w:line="100" w:lineRule="atLeast"/>
              <w:rPr>
                <w:rFonts w:ascii="Cambria" w:eastAsia="Times New Roman" w:hAnsi="Cambria" w:cs="Calibri"/>
                <w:lang w:val="hr-HR"/>
              </w:rPr>
            </w:pPr>
            <w:r w:rsidRPr="005C2363">
              <w:rPr>
                <w:rFonts w:ascii="Cambria" w:eastAsia="Times New Roman" w:hAnsi="Cambria" w:cs="Calibri"/>
                <w:lang w:val="hr-HR"/>
              </w:rPr>
              <w:t>Ishodi učenja ostaju nepromijenjeni.</w:t>
            </w:r>
          </w:p>
        </w:tc>
      </w:tr>
      <w:tr w:rsidR="00F04B06" w:rsidRPr="005C2363" w14:paraId="567439B0" w14:textId="77777777" w:rsidTr="00F04B06">
        <w:trPr>
          <w:trHeight w:val="770"/>
        </w:trPr>
        <w:tc>
          <w:tcPr>
            <w:tcW w:w="205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4A9B058" w14:textId="77777777" w:rsidR="00F04B06" w:rsidRPr="005C2363" w:rsidRDefault="00F04B06" w:rsidP="00F04B06">
            <w:pPr>
              <w:spacing w:after="0" w:line="240" w:lineRule="auto"/>
              <w:rPr>
                <w:rFonts w:ascii="Cambria" w:eastAsia="Times New Roman" w:hAnsi="Cambria" w:cs="Calibri"/>
                <w:lang w:val="hr-HR"/>
              </w:rPr>
            </w:pPr>
            <w:r w:rsidRPr="005C2363">
              <w:rPr>
                <w:rFonts w:ascii="Cambria" w:eastAsia="Times New Roman" w:hAnsi="Cambria" w:cs="Calibri"/>
                <w:lang w:val="hr-HR"/>
              </w:rPr>
              <w:t>Literatura</w:t>
            </w:r>
          </w:p>
        </w:tc>
        <w:tc>
          <w:tcPr>
            <w:tcW w:w="6996"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1CDEDBC4" w14:textId="77777777" w:rsidR="00F04B06" w:rsidRPr="005C2363" w:rsidRDefault="00F04B06" w:rsidP="00F04B06">
            <w:pPr>
              <w:spacing w:after="0" w:line="100" w:lineRule="atLeast"/>
              <w:rPr>
                <w:rFonts w:ascii="Cambria" w:eastAsia="Times New Roman" w:hAnsi="Cambria" w:cs="Calibri"/>
                <w:lang w:val="hr-HR"/>
              </w:rPr>
            </w:pPr>
            <w:r w:rsidRPr="005C2363">
              <w:rPr>
                <w:rFonts w:ascii="Cambria" w:eastAsia="Times New Roman" w:hAnsi="Cambria" w:cs="Calibri"/>
                <w:lang w:val="hr-HR"/>
              </w:rPr>
              <w:t xml:space="preserve">Obvezna: </w:t>
            </w:r>
          </w:p>
          <w:p w14:paraId="2CA19FBB" w14:textId="77777777" w:rsidR="00F04B06" w:rsidRPr="005C2363" w:rsidRDefault="00F04B06" w:rsidP="00F04B06">
            <w:pPr>
              <w:spacing w:after="0" w:line="100" w:lineRule="atLeast"/>
              <w:rPr>
                <w:rFonts w:ascii="Cambria" w:eastAsia="Times New Roman" w:hAnsi="Cambria" w:cs="Calibri"/>
                <w:lang w:val="hr-HR"/>
              </w:rPr>
            </w:pPr>
            <w:r w:rsidRPr="005C2363">
              <w:rPr>
                <w:rFonts w:ascii="Cambria" w:eastAsia="Times New Roman" w:hAnsi="Cambria" w:cs="Calibri"/>
                <w:lang w:val="hr-HR"/>
              </w:rPr>
              <w:t xml:space="preserve">1. </w:t>
            </w:r>
            <w:proofErr w:type="spellStart"/>
            <w:r w:rsidRPr="005C2363">
              <w:rPr>
                <w:rFonts w:ascii="Cambria" w:eastAsia="Times New Roman" w:hAnsi="Cambria" w:cs="Calibri"/>
                <w:lang w:val="hr-HR"/>
              </w:rPr>
              <w:t>Kipper</w:t>
            </w:r>
            <w:proofErr w:type="spellEnd"/>
            <w:r w:rsidRPr="005C2363">
              <w:rPr>
                <w:rFonts w:ascii="Cambria" w:eastAsia="Times New Roman" w:hAnsi="Cambria" w:cs="Calibri"/>
                <w:lang w:val="hr-HR"/>
              </w:rPr>
              <w:t xml:space="preserve">, H., </w:t>
            </w:r>
            <w:proofErr w:type="spellStart"/>
            <w:r w:rsidRPr="005C2363">
              <w:rPr>
                <w:rFonts w:ascii="Cambria" w:eastAsia="Times New Roman" w:hAnsi="Cambria" w:cs="Calibri"/>
                <w:lang w:val="hr-HR"/>
              </w:rPr>
              <w:t>Mischke</w:t>
            </w:r>
            <w:proofErr w:type="spellEnd"/>
            <w:r w:rsidRPr="005C2363">
              <w:rPr>
                <w:rFonts w:ascii="Cambria" w:eastAsia="Times New Roman" w:hAnsi="Cambria" w:cs="Calibri"/>
                <w:lang w:val="hr-HR"/>
              </w:rPr>
              <w:t xml:space="preserve">, W. (2008). Uvod u opću didaktiku. </w:t>
            </w:r>
            <w:proofErr w:type="spellStart"/>
            <w:r w:rsidRPr="005C2363">
              <w:rPr>
                <w:rFonts w:ascii="Cambria" w:eastAsia="Times New Roman" w:hAnsi="Cambria" w:cs="Calibri"/>
                <w:lang w:val="hr-HR"/>
              </w:rPr>
              <w:t>Zagreb:Educa</w:t>
            </w:r>
            <w:proofErr w:type="spellEnd"/>
          </w:p>
          <w:p w14:paraId="4F79A53F" w14:textId="77777777" w:rsidR="00F04B06" w:rsidRPr="005C2363" w:rsidRDefault="00F04B06" w:rsidP="00F04B06">
            <w:pPr>
              <w:spacing w:after="0" w:line="100" w:lineRule="atLeast"/>
              <w:rPr>
                <w:rFonts w:ascii="Cambria" w:eastAsia="Times New Roman" w:hAnsi="Cambria" w:cs="Calibri"/>
                <w:lang w:val="hr-HR"/>
              </w:rPr>
            </w:pPr>
            <w:r w:rsidRPr="005C2363">
              <w:rPr>
                <w:rFonts w:ascii="Cambria" w:eastAsia="Times New Roman" w:hAnsi="Cambria" w:cs="Calibri"/>
                <w:lang w:val="hr-HR"/>
              </w:rPr>
              <w:t xml:space="preserve">2. Matijević, M. i </w:t>
            </w:r>
            <w:proofErr w:type="spellStart"/>
            <w:r w:rsidRPr="005C2363">
              <w:rPr>
                <w:rFonts w:ascii="Cambria" w:eastAsia="Times New Roman" w:hAnsi="Cambria" w:cs="Calibri"/>
                <w:lang w:val="hr-HR"/>
              </w:rPr>
              <w:t>Topolovčan</w:t>
            </w:r>
            <w:proofErr w:type="spellEnd"/>
            <w:r w:rsidRPr="005C2363">
              <w:rPr>
                <w:rFonts w:ascii="Cambria" w:eastAsia="Times New Roman" w:hAnsi="Cambria" w:cs="Calibri"/>
                <w:lang w:val="hr-HR"/>
              </w:rPr>
              <w:t>, T. (2017). Multimedijska didaktika. Školska knjiga</w:t>
            </w:r>
          </w:p>
          <w:p w14:paraId="08C53356" w14:textId="77777777" w:rsidR="00F04B06" w:rsidRPr="005C2363" w:rsidRDefault="00F04B06" w:rsidP="00F04B06">
            <w:pPr>
              <w:spacing w:after="0" w:line="100" w:lineRule="atLeast"/>
              <w:rPr>
                <w:rFonts w:ascii="Cambria" w:eastAsia="Times New Roman" w:hAnsi="Cambria" w:cs="Calibri"/>
                <w:lang w:val="hr-HR"/>
              </w:rPr>
            </w:pPr>
            <w:r w:rsidRPr="005C2363">
              <w:rPr>
                <w:rFonts w:ascii="Cambria" w:eastAsia="Times New Roman" w:hAnsi="Cambria" w:cs="Calibri"/>
                <w:lang w:val="hr-HR"/>
              </w:rPr>
              <w:t xml:space="preserve">3. </w:t>
            </w:r>
            <w:proofErr w:type="spellStart"/>
            <w:r w:rsidRPr="005C2363">
              <w:rPr>
                <w:rFonts w:ascii="Cambria" w:eastAsia="Times New Roman" w:hAnsi="Cambria" w:cs="Calibri"/>
                <w:lang w:val="hr-HR"/>
              </w:rPr>
              <w:t>Mušanović</w:t>
            </w:r>
            <w:proofErr w:type="spellEnd"/>
            <w:r w:rsidRPr="005C2363">
              <w:rPr>
                <w:rFonts w:ascii="Cambria" w:eastAsia="Times New Roman" w:hAnsi="Cambria" w:cs="Calibri"/>
                <w:lang w:val="hr-HR"/>
              </w:rPr>
              <w:t xml:space="preserve"> M., Vasilj, M., Kovačević, S. (2010). Vježbe iz didaktike. Rijeka: Hrvatsko </w:t>
            </w:r>
            <w:proofErr w:type="spellStart"/>
            <w:r w:rsidRPr="005C2363">
              <w:rPr>
                <w:rFonts w:ascii="Cambria" w:eastAsia="Times New Roman" w:hAnsi="Cambria" w:cs="Calibri"/>
                <w:lang w:val="hr-HR"/>
              </w:rPr>
              <w:t>futurološko</w:t>
            </w:r>
            <w:proofErr w:type="spellEnd"/>
            <w:r w:rsidRPr="005C2363">
              <w:rPr>
                <w:rFonts w:ascii="Cambria" w:eastAsia="Times New Roman" w:hAnsi="Cambria" w:cs="Calibri"/>
                <w:lang w:val="hr-HR"/>
              </w:rPr>
              <w:t xml:space="preserve"> društvo</w:t>
            </w:r>
          </w:p>
          <w:p w14:paraId="104F2EBB" w14:textId="77777777" w:rsidR="00F04B06" w:rsidRPr="005C2363" w:rsidRDefault="00F04B06" w:rsidP="00F04B06">
            <w:pPr>
              <w:spacing w:after="0" w:line="100" w:lineRule="atLeast"/>
              <w:rPr>
                <w:rFonts w:ascii="Cambria" w:eastAsia="Times New Roman" w:hAnsi="Cambria" w:cs="Calibri"/>
                <w:lang w:val="hr-HR"/>
              </w:rPr>
            </w:pPr>
            <w:r w:rsidRPr="005C2363">
              <w:rPr>
                <w:rFonts w:ascii="Cambria" w:eastAsia="Times New Roman" w:hAnsi="Cambria" w:cs="Calibri"/>
                <w:lang w:val="hr-HR"/>
              </w:rPr>
              <w:t>4. Vlatko Previšić (</w:t>
            </w:r>
            <w:proofErr w:type="spellStart"/>
            <w:r w:rsidRPr="005C2363">
              <w:rPr>
                <w:rFonts w:ascii="Cambria" w:eastAsia="Times New Roman" w:hAnsi="Cambria" w:cs="Calibri"/>
                <w:lang w:val="hr-HR"/>
              </w:rPr>
              <w:t>ur</w:t>
            </w:r>
            <w:proofErr w:type="spellEnd"/>
            <w:r w:rsidRPr="005C2363">
              <w:rPr>
                <w:rFonts w:ascii="Cambria" w:eastAsia="Times New Roman" w:hAnsi="Cambria" w:cs="Calibri"/>
                <w:lang w:val="hr-HR"/>
              </w:rPr>
              <w:t>.) (2007). Kurikulum: teorije-metodologija-sadržaj-struktura. Zagreb: Zavod za pedagogiju Filozofskog fakulteta Sveučilišta u Zagrebu i Školska knjiga</w:t>
            </w:r>
          </w:p>
          <w:p w14:paraId="48C07029" w14:textId="77777777" w:rsidR="00F04B06" w:rsidRPr="005C2363" w:rsidRDefault="00F04B06" w:rsidP="00F04B06">
            <w:pPr>
              <w:spacing w:after="0" w:line="100" w:lineRule="atLeast"/>
              <w:rPr>
                <w:rFonts w:ascii="Cambria" w:eastAsia="Times New Roman" w:hAnsi="Cambria" w:cs="Calibri"/>
                <w:lang w:val="hr-HR"/>
              </w:rPr>
            </w:pPr>
            <w:r w:rsidRPr="005C2363">
              <w:rPr>
                <w:rFonts w:ascii="Cambria" w:eastAsia="Times New Roman" w:hAnsi="Cambria" w:cs="Calibri"/>
                <w:lang w:val="hr-HR"/>
              </w:rPr>
              <w:t xml:space="preserve">pedagogiju Filozofskog fakulteta Sveučilišta u Zagrebu, Školska knjiga. </w:t>
            </w:r>
          </w:p>
          <w:p w14:paraId="199B9F87" w14:textId="77777777" w:rsidR="00F04B06" w:rsidRPr="005C2363" w:rsidRDefault="00F04B06" w:rsidP="00F04B06">
            <w:pPr>
              <w:spacing w:after="0" w:line="100" w:lineRule="atLeast"/>
              <w:rPr>
                <w:rFonts w:ascii="Cambria" w:eastAsia="Times New Roman" w:hAnsi="Cambria" w:cs="Calibri"/>
                <w:lang w:val="hr-HR"/>
              </w:rPr>
            </w:pPr>
            <w:r w:rsidRPr="005C2363">
              <w:rPr>
                <w:rFonts w:ascii="Cambria" w:eastAsia="Times New Roman" w:hAnsi="Cambria" w:cs="Calibri"/>
                <w:lang w:val="hr-HR"/>
              </w:rPr>
              <w:t xml:space="preserve">5. </w:t>
            </w:r>
            <w:proofErr w:type="spellStart"/>
            <w:r w:rsidRPr="005C2363">
              <w:rPr>
                <w:rFonts w:ascii="Cambria" w:eastAsia="Times New Roman" w:hAnsi="Cambria" w:cs="Calibri"/>
                <w:lang w:val="hr-HR"/>
              </w:rPr>
              <w:t>Kadum</w:t>
            </w:r>
            <w:proofErr w:type="spellEnd"/>
            <w:r w:rsidRPr="005C2363">
              <w:rPr>
                <w:rFonts w:ascii="Cambria" w:eastAsia="Times New Roman" w:hAnsi="Cambria" w:cs="Calibri"/>
                <w:lang w:val="hr-HR"/>
              </w:rPr>
              <w:t xml:space="preserve">-Bošnjak, S., </w:t>
            </w:r>
            <w:proofErr w:type="spellStart"/>
            <w:r w:rsidRPr="005C2363">
              <w:rPr>
                <w:rFonts w:ascii="Cambria" w:eastAsia="Times New Roman" w:hAnsi="Cambria" w:cs="Calibri"/>
                <w:lang w:val="hr-HR"/>
              </w:rPr>
              <w:t>Cotič</w:t>
            </w:r>
            <w:proofErr w:type="spellEnd"/>
            <w:r w:rsidRPr="005C2363">
              <w:rPr>
                <w:rFonts w:ascii="Cambria" w:eastAsia="Times New Roman" w:hAnsi="Cambria" w:cs="Calibri"/>
                <w:lang w:val="hr-HR"/>
              </w:rPr>
              <w:t xml:space="preserve">, M., </w:t>
            </w:r>
            <w:proofErr w:type="spellStart"/>
            <w:r w:rsidRPr="005C2363">
              <w:rPr>
                <w:rFonts w:ascii="Cambria" w:eastAsia="Times New Roman" w:hAnsi="Cambria" w:cs="Calibri"/>
                <w:lang w:val="hr-HR"/>
              </w:rPr>
              <w:t>Felda</w:t>
            </w:r>
            <w:proofErr w:type="spellEnd"/>
            <w:r w:rsidRPr="005C2363">
              <w:rPr>
                <w:rFonts w:ascii="Cambria" w:eastAsia="Times New Roman" w:hAnsi="Cambria" w:cs="Calibri"/>
                <w:lang w:val="hr-HR"/>
              </w:rPr>
              <w:t xml:space="preserve"> D. (2014). Činitelji uspješnosti nastave u primarnom obrazovanju, Kopar, </w:t>
            </w:r>
            <w:proofErr w:type="spellStart"/>
            <w:r w:rsidRPr="005C2363">
              <w:rPr>
                <w:rFonts w:ascii="Cambria" w:eastAsia="Times New Roman" w:hAnsi="Cambria" w:cs="Calibri"/>
                <w:lang w:val="hr-HR"/>
              </w:rPr>
              <w:t>Univerza</w:t>
            </w:r>
            <w:proofErr w:type="spellEnd"/>
            <w:r w:rsidRPr="005C2363">
              <w:rPr>
                <w:rFonts w:ascii="Cambria" w:eastAsia="Times New Roman" w:hAnsi="Cambria" w:cs="Calibri"/>
                <w:lang w:val="hr-HR"/>
              </w:rPr>
              <w:t xml:space="preserve"> na </w:t>
            </w:r>
            <w:proofErr w:type="spellStart"/>
            <w:r w:rsidRPr="005C2363">
              <w:rPr>
                <w:rFonts w:ascii="Cambria" w:eastAsia="Times New Roman" w:hAnsi="Cambria" w:cs="Calibri"/>
                <w:lang w:val="hr-HR"/>
              </w:rPr>
              <w:t>Primorskem</w:t>
            </w:r>
            <w:proofErr w:type="spellEnd"/>
            <w:r w:rsidRPr="005C2363">
              <w:rPr>
                <w:rFonts w:ascii="Cambria" w:eastAsia="Times New Roman" w:hAnsi="Cambria" w:cs="Calibri"/>
                <w:lang w:val="hr-HR"/>
              </w:rPr>
              <w:t>, Pedagoška fakulteta</w:t>
            </w:r>
          </w:p>
          <w:p w14:paraId="797F92AD" w14:textId="104597F3" w:rsidR="00F04B06" w:rsidRPr="005C2363" w:rsidRDefault="00F04B06" w:rsidP="00F04B06">
            <w:pPr>
              <w:spacing w:after="0" w:line="100" w:lineRule="atLeast"/>
              <w:rPr>
                <w:rFonts w:ascii="Cambria" w:eastAsia="Times New Roman" w:hAnsi="Cambria" w:cs="Calibri"/>
                <w:lang w:val="hr-HR"/>
              </w:rPr>
            </w:pPr>
            <w:r w:rsidRPr="005C2363">
              <w:rPr>
                <w:rFonts w:ascii="Cambria" w:eastAsia="Times New Roman" w:hAnsi="Cambria" w:cs="Calibri"/>
                <w:lang w:val="hr-HR"/>
              </w:rPr>
              <w:t xml:space="preserve">6. </w:t>
            </w:r>
            <w:proofErr w:type="spellStart"/>
            <w:r w:rsidRPr="005C2363">
              <w:rPr>
                <w:rFonts w:ascii="Cambria" w:eastAsia="Times New Roman" w:hAnsi="Cambria" w:cs="Calibri"/>
                <w:lang w:val="hr-HR"/>
              </w:rPr>
              <w:t>Bjelopoljak</w:t>
            </w:r>
            <w:proofErr w:type="spellEnd"/>
            <w:r w:rsidRPr="005C2363">
              <w:rPr>
                <w:rFonts w:ascii="Cambria" w:eastAsia="Times New Roman" w:hAnsi="Cambria" w:cs="Calibri"/>
                <w:lang w:val="hr-HR"/>
              </w:rPr>
              <w:t xml:space="preserve">, Š., </w:t>
            </w:r>
            <w:proofErr w:type="spellStart"/>
            <w:r w:rsidRPr="005C2363">
              <w:rPr>
                <w:rFonts w:ascii="Cambria" w:eastAsia="Times New Roman" w:hAnsi="Cambria" w:cs="Calibri"/>
                <w:lang w:val="hr-HR"/>
              </w:rPr>
              <w:t>Redžić</w:t>
            </w:r>
            <w:proofErr w:type="spellEnd"/>
            <w:r w:rsidRPr="005C2363">
              <w:rPr>
                <w:rFonts w:ascii="Cambria" w:eastAsia="Times New Roman" w:hAnsi="Cambria" w:cs="Calibri"/>
                <w:lang w:val="hr-HR"/>
              </w:rPr>
              <w:t xml:space="preserve">, U. (2020). Kurikulum produženog boravka na osnovu realizacije </w:t>
            </w:r>
            <w:proofErr w:type="spellStart"/>
            <w:r w:rsidRPr="005C2363">
              <w:rPr>
                <w:rFonts w:ascii="Cambria" w:eastAsia="Times New Roman" w:hAnsi="Cambria" w:cs="Calibri"/>
                <w:lang w:val="hr-HR"/>
              </w:rPr>
              <w:t>odgojnoobrazovnog</w:t>
            </w:r>
            <w:proofErr w:type="spellEnd"/>
            <w:r w:rsidRPr="005C2363">
              <w:rPr>
                <w:rFonts w:ascii="Cambria" w:eastAsia="Times New Roman" w:hAnsi="Cambria" w:cs="Calibri"/>
                <w:lang w:val="hr-HR"/>
              </w:rPr>
              <w:t xml:space="preserve"> procesa. Zbornik radova Odsjeka za pedagogiju: ka novim iskoracima u odgoju i obrazovanju, 91-104</w:t>
            </w:r>
            <w:r>
              <w:rPr>
                <w:rFonts w:ascii="Cambria" w:eastAsia="Times New Roman" w:hAnsi="Cambria" w:cs="Calibri"/>
                <w:lang w:val="hr-HR"/>
              </w:rPr>
              <w:t>.</w:t>
            </w:r>
          </w:p>
          <w:p w14:paraId="2E2AEC1D" w14:textId="77777777" w:rsidR="00F04B06" w:rsidRPr="005C2363" w:rsidRDefault="00F04B06" w:rsidP="00F04B06">
            <w:pPr>
              <w:spacing w:after="0" w:line="100" w:lineRule="atLeast"/>
              <w:rPr>
                <w:rFonts w:ascii="Cambria" w:eastAsia="Times New Roman" w:hAnsi="Cambria" w:cs="Calibri"/>
                <w:lang w:val="hr-HR"/>
              </w:rPr>
            </w:pPr>
            <w:r w:rsidRPr="005C2363">
              <w:rPr>
                <w:rFonts w:ascii="Cambria" w:eastAsia="Times New Roman" w:hAnsi="Cambria" w:cs="Calibri"/>
                <w:lang w:val="hr-HR"/>
              </w:rPr>
              <w:t>Izborna:</w:t>
            </w:r>
          </w:p>
          <w:p w14:paraId="3FB0E948" w14:textId="3FFAB6DA" w:rsidR="00F04B06" w:rsidRPr="005C2363" w:rsidRDefault="00F04B06" w:rsidP="00F04B06">
            <w:pPr>
              <w:spacing w:after="0" w:line="100" w:lineRule="atLeast"/>
              <w:rPr>
                <w:rFonts w:ascii="Cambria" w:eastAsia="Times New Roman" w:hAnsi="Cambria" w:cs="Calibri"/>
                <w:lang w:val="hr-HR"/>
              </w:rPr>
            </w:pPr>
            <w:r w:rsidRPr="005C2363">
              <w:rPr>
                <w:rFonts w:ascii="Cambria" w:eastAsia="Times New Roman" w:hAnsi="Cambria" w:cs="Calibri"/>
                <w:lang w:val="hr-HR"/>
              </w:rPr>
              <w:t xml:space="preserve">1. Marin, G. (2021). Didaktičke smjernice za implementaciju kurikuluma </w:t>
            </w:r>
            <w:proofErr w:type="spellStart"/>
            <w:r w:rsidRPr="005C2363">
              <w:rPr>
                <w:rFonts w:ascii="Cambria" w:eastAsia="Times New Roman" w:hAnsi="Cambria" w:cs="Calibri"/>
                <w:lang w:val="hr-HR"/>
              </w:rPr>
              <w:t>međupredmetne</w:t>
            </w:r>
            <w:proofErr w:type="spellEnd"/>
            <w:r w:rsidRPr="005C2363">
              <w:rPr>
                <w:rFonts w:ascii="Cambria" w:eastAsia="Times New Roman" w:hAnsi="Cambria" w:cs="Calibri"/>
                <w:lang w:val="hr-HR"/>
              </w:rPr>
              <w:t xml:space="preserve"> teme» Održivi razvoj «u predmetne kurikulume. Metodički ogledi: časopis za filozofiju odgoja, 28(1), 271-292</w:t>
            </w:r>
            <w:r>
              <w:rPr>
                <w:rFonts w:ascii="Cambria" w:eastAsia="Times New Roman" w:hAnsi="Cambria" w:cs="Calibri"/>
                <w:lang w:val="hr-HR"/>
              </w:rPr>
              <w:t>.</w:t>
            </w:r>
          </w:p>
          <w:p w14:paraId="00F23358" w14:textId="77777777" w:rsidR="00F04B06" w:rsidRPr="005C2363" w:rsidRDefault="00F04B06" w:rsidP="00F04B06">
            <w:pPr>
              <w:spacing w:after="0" w:line="100" w:lineRule="atLeast"/>
              <w:rPr>
                <w:rFonts w:ascii="Cambria" w:eastAsia="Times New Roman" w:hAnsi="Cambria" w:cs="Calibri"/>
                <w:lang w:val="hr-HR"/>
              </w:rPr>
            </w:pPr>
            <w:r w:rsidRPr="005C2363">
              <w:rPr>
                <w:rFonts w:ascii="Cambria" w:eastAsia="Times New Roman" w:hAnsi="Cambria" w:cs="Calibri"/>
                <w:lang w:val="hr-HR"/>
              </w:rPr>
              <w:t xml:space="preserve">2. Cindrić, M., Miljković, D., Strugar, V. (2010). Didaktika i kurikulum. Zagreb: IEP </w:t>
            </w:r>
            <w:proofErr w:type="spellStart"/>
            <w:r w:rsidRPr="005C2363">
              <w:rPr>
                <w:rFonts w:ascii="Cambria" w:eastAsia="Times New Roman" w:hAnsi="Cambria" w:cs="Calibri"/>
                <w:lang w:val="hr-HR"/>
              </w:rPr>
              <w:t>d.o.o</w:t>
            </w:r>
            <w:proofErr w:type="spellEnd"/>
          </w:p>
          <w:p w14:paraId="66A875AF" w14:textId="77777777" w:rsidR="00F04B06" w:rsidRPr="005C2363" w:rsidRDefault="00F04B06" w:rsidP="00F04B06">
            <w:pPr>
              <w:spacing w:after="0" w:line="100" w:lineRule="atLeast"/>
              <w:rPr>
                <w:rFonts w:ascii="Cambria" w:eastAsia="Times New Roman" w:hAnsi="Cambria" w:cs="Calibri"/>
                <w:lang w:val="hr-HR"/>
              </w:rPr>
            </w:pPr>
            <w:r w:rsidRPr="005C2363">
              <w:rPr>
                <w:rFonts w:ascii="Cambria" w:eastAsia="Times New Roman" w:hAnsi="Cambria" w:cs="Calibri"/>
                <w:lang w:val="hr-HR"/>
              </w:rPr>
              <w:lastRenderedPageBreak/>
              <w:t xml:space="preserve">3. Udžbenici i metodički priručnici za učitelje u razrednoj nastavi. </w:t>
            </w:r>
          </w:p>
          <w:p w14:paraId="67B795B0" w14:textId="77777777" w:rsidR="00F04B06" w:rsidRPr="005C2363" w:rsidRDefault="00F04B06" w:rsidP="00F04B06">
            <w:pPr>
              <w:spacing w:after="0" w:line="100" w:lineRule="atLeast"/>
              <w:rPr>
                <w:rFonts w:ascii="Cambria" w:eastAsia="Times New Roman" w:hAnsi="Cambria" w:cs="Calibri"/>
                <w:lang w:val="hr-HR"/>
              </w:rPr>
            </w:pPr>
            <w:r w:rsidRPr="005C2363">
              <w:rPr>
                <w:rFonts w:ascii="Cambria" w:eastAsia="Times New Roman" w:hAnsi="Cambria" w:cs="Calibri"/>
                <w:lang w:val="hr-HR"/>
              </w:rPr>
              <w:t xml:space="preserve">4. Bušljeta Kardum, R. (2020). Zastupljenost vještina kritičkoga mišljenja u ishodima učenja </w:t>
            </w:r>
            <w:proofErr w:type="spellStart"/>
            <w:r w:rsidRPr="005C2363">
              <w:rPr>
                <w:rFonts w:ascii="Cambria" w:eastAsia="Times New Roman" w:hAnsi="Cambria" w:cs="Calibri"/>
                <w:lang w:val="hr-HR"/>
              </w:rPr>
              <w:t>međupredmetnih</w:t>
            </w:r>
            <w:proofErr w:type="spellEnd"/>
            <w:r w:rsidRPr="005C2363">
              <w:rPr>
                <w:rFonts w:ascii="Cambria" w:eastAsia="Times New Roman" w:hAnsi="Cambria" w:cs="Calibri"/>
                <w:lang w:val="hr-HR"/>
              </w:rPr>
              <w:t xml:space="preserve"> tema. Nova prisutnost, XVIII (3), 471-482</w:t>
            </w:r>
          </w:p>
          <w:p w14:paraId="08F66173" w14:textId="77777777" w:rsidR="00F04B06" w:rsidRPr="005C2363" w:rsidRDefault="00F04B06" w:rsidP="00F04B06">
            <w:pPr>
              <w:spacing w:after="0" w:line="100" w:lineRule="atLeast"/>
              <w:rPr>
                <w:rFonts w:ascii="Cambria" w:eastAsia="Times New Roman" w:hAnsi="Cambria" w:cs="Calibri"/>
                <w:lang w:val="hr-HR"/>
              </w:rPr>
            </w:pPr>
            <w:r w:rsidRPr="005C2363">
              <w:rPr>
                <w:rFonts w:ascii="Cambria" w:eastAsia="Times New Roman" w:hAnsi="Cambria" w:cs="Calibri"/>
                <w:lang w:val="hr-HR"/>
              </w:rPr>
              <w:t>5. Meyer, H. (2002). Didaktika razredne kvake. Zagreb, Educa</w:t>
            </w:r>
          </w:p>
          <w:p w14:paraId="6F052A74" w14:textId="77777777" w:rsidR="00F04B06" w:rsidRPr="005C2363" w:rsidRDefault="00F04B06" w:rsidP="00F04B06">
            <w:pPr>
              <w:spacing w:after="0" w:line="100" w:lineRule="atLeast"/>
              <w:rPr>
                <w:rFonts w:ascii="Cambria" w:eastAsia="Times New Roman" w:hAnsi="Cambria" w:cs="Calibri"/>
                <w:lang w:val="hr-HR"/>
              </w:rPr>
            </w:pPr>
            <w:r w:rsidRPr="005C2363">
              <w:rPr>
                <w:rFonts w:ascii="Cambria" w:eastAsia="Times New Roman" w:hAnsi="Cambria" w:cs="Calibri"/>
                <w:lang w:val="hr-HR"/>
              </w:rPr>
              <w:t>6. Meyer, H. (2005). Što je dobra nastava? Zagreb: Erudita 3.</w:t>
            </w:r>
          </w:p>
          <w:p w14:paraId="343A8E64" w14:textId="58E2F515" w:rsidR="00F04B06" w:rsidRPr="005C2363" w:rsidRDefault="00F04B06" w:rsidP="00F04B06">
            <w:pPr>
              <w:spacing w:after="0" w:line="100" w:lineRule="atLeast"/>
              <w:rPr>
                <w:rFonts w:ascii="Cambria" w:eastAsia="Times New Roman" w:hAnsi="Cambria" w:cs="Calibri"/>
                <w:lang w:val="hr-HR"/>
              </w:rPr>
            </w:pPr>
            <w:r w:rsidRPr="005C2363">
              <w:rPr>
                <w:rFonts w:ascii="Cambria" w:eastAsia="Times New Roman" w:hAnsi="Cambria" w:cs="Calibri"/>
                <w:lang w:val="hr-HR"/>
              </w:rPr>
              <w:t xml:space="preserve">7. </w:t>
            </w:r>
            <w:proofErr w:type="spellStart"/>
            <w:r w:rsidRPr="005C2363">
              <w:rPr>
                <w:rFonts w:ascii="Cambria" w:eastAsia="Times New Roman" w:hAnsi="Cambria" w:cs="Calibri"/>
                <w:lang w:val="hr-HR"/>
              </w:rPr>
              <w:t>Lersch</w:t>
            </w:r>
            <w:proofErr w:type="spellEnd"/>
            <w:r w:rsidRPr="005C2363">
              <w:rPr>
                <w:rFonts w:ascii="Cambria" w:eastAsia="Times New Roman" w:hAnsi="Cambria" w:cs="Calibri"/>
                <w:lang w:val="hr-HR"/>
              </w:rPr>
              <w:t>, R. (2005). Nastava kao čin uravnoteženja. Pedagogijska istraživanja, II(1), 85-100</w:t>
            </w:r>
            <w:r>
              <w:rPr>
                <w:rFonts w:ascii="Cambria" w:eastAsia="Times New Roman" w:hAnsi="Cambria" w:cs="Calibri"/>
                <w:lang w:val="hr-HR"/>
              </w:rPr>
              <w:t>.</w:t>
            </w:r>
          </w:p>
          <w:p w14:paraId="45755BAF" w14:textId="77777777" w:rsidR="00F04B06" w:rsidRPr="005C2363" w:rsidRDefault="00F04B06" w:rsidP="00F04B06">
            <w:pPr>
              <w:spacing w:after="0" w:line="100" w:lineRule="atLeast"/>
              <w:rPr>
                <w:rFonts w:ascii="Cambria" w:eastAsia="Times New Roman" w:hAnsi="Cambria" w:cs="Calibri"/>
                <w:lang w:val="hr-HR"/>
              </w:rPr>
            </w:pPr>
            <w:r w:rsidRPr="005C2363">
              <w:rPr>
                <w:rFonts w:ascii="Cambria" w:eastAsia="Times New Roman" w:hAnsi="Cambria" w:cs="Calibri"/>
                <w:lang w:val="hr-HR"/>
              </w:rPr>
              <w:t xml:space="preserve">8. </w:t>
            </w:r>
            <w:proofErr w:type="spellStart"/>
            <w:r w:rsidRPr="005C2363">
              <w:rPr>
                <w:rFonts w:ascii="Cambria" w:eastAsia="Times New Roman" w:hAnsi="Cambria" w:cs="Calibri"/>
                <w:lang w:val="hr-HR"/>
              </w:rPr>
              <w:t>Palekčić</w:t>
            </w:r>
            <w:proofErr w:type="spellEnd"/>
            <w:r w:rsidRPr="005C2363">
              <w:rPr>
                <w:rFonts w:ascii="Cambria" w:eastAsia="Times New Roman" w:hAnsi="Cambria" w:cs="Calibri"/>
                <w:lang w:val="hr-HR"/>
              </w:rPr>
              <w:t>, M. (2005). Utjecaj kvalitete nastave na postignuća učenika.</w:t>
            </w:r>
          </w:p>
          <w:p w14:paraId="424B1BBF" w14:textId="15E0FC20" w:rsidR="00F04B06" w:rsidRPr="005C2363" w:rsidRDefault="00F04B06" w:rsidP="00F04B06">
            <w:pPr>
              <w:spacing w:after="0" w:line="240" w:lineRule="auto"/>
              <w:rPr>
                <w:rFonts w:ascii="Cambria" w:eastAsia="Times New Roman" w:hAnsi="Cambria" w:cs="Calibri"/>
                <w:lang w:val="hr-HR"/>
              </w:rPr>
            </w:pPr>
            <w:r w:rsidRPr="005C2363">
              <w:rPr>
                <w:rFonts w:ascii="Cambria" w:eastAsia="Times New Roman" w:hAnsi="Cambria" w:cs="Calibri"/>
                <w:lang w:val="hr-HR"/>
              </w:rPr>
              <w:t>Pedagogijska istraživanja, II (2), 209-233</w:t>
            </w:r>
            <w:r>
              <w:rPr>
                <w:rFonts w:ascii="Cambria" w:eastAsia="Times New Roman" w:hAnsi="Cambria" w:cs="Calibri"/>
                <w:lang w:val="hr-HR"/>
              </w:rPr>
              <w:t>.</w:t>
            </w:r>
          </w:p>
        </w:tc>
      </w:tr>
    </w:tbl>
    <w:p w14:paraId="51724614" w14:textId="2854CAEA" w:rsidR="00534AC3" w:rsidRPr="00DF4CE5" w:rsidRDefault="00534AC3">
      <w:pPr>
        <w:rPr>
          <w:rFonts w:ascii="Cambria" w:eastAsia="Times New Roman" w:hAnsi="Cambria" w:cs="Calibri"/>
          <w:lang w:val="hr-HR"/>
        </w:rPr>
      </w:pPr>
      <w:r w:rsidRPr="00DF4CE5">
        <w:rPr>
          <w:rFonts w:ascii="Cambria" w:eastAsia="Times New Roman" w:hAnsi="Cambria" w:cs="Calibri"/>
          <w:lang w:val="hr-HR"/>
        </w:rPr>
        <w:lastRenderedPageBreak/>
        <w:br w:type="page"/>
      </w:r>
    </w:p>
    <w:tbl>
      <w:tblPr>
        <w:tblW w:w="9052" w:type="dxa"/>
        <w:tblInd w:w="-14" w:type="dxa"/>
        <w:tblCellMar>
          <w:top w:w="61" w:type="dxa"/>
          <w:left w:w="107" w:type="dxa"/>
          <w:right w:w="54" w:type="dxa"/>
        </w:tblCellMar>
        <w:tblLook w:val="04A0" w:firstRow="1" w:lastRow="0" w:firstColumn="1" w:lastColumn="0" w:noHBand="0" w:noVBand="1"/>
      </w:tblPr>
      <w:tblGrid>
        <w:gridCol w:w="2315"/>
        <w:gridCol w:w="2206"/>
        <w:gridCol w:w="316"/>
        <w:gridCol w:w="813"/>
        <w:gridCol w:w="513"/>
        <w:gridCol w:w="643"/>
        <w:gridCol w:w="909"/>
        <w:gridCol w:w="1337"/>
      </w:tblGrid>
      <w:tr w:rsidR="00534AC3" w:rsidRPr="00DF4CE5" w14:paraId="23E5B751" w14:textId="77777777" w:rsidTr="00333E65">
        <w:trPr>
          <w:trHeight w:val="405"/>
        </w:trPr>
        <w:tc>
          <w:tcPr>
            <w:tcW w:w="9052" w:type="dxa"/>
            <w:gridSpan w:val="8"/>
            <w:tcBorders>
              <w:top w:val="single" w:sz="8" w:space="0" w:color="000000"/>
              <w:left w:val="single" w:sz="8" w:space="0" w:color="000000"/>
              <w:bottom w:val="single" w:sz="8" w:space="0" w:color="000000"/>
              <w:right w:val="single" w:sz="8" w:space="0" w:color="000000"/>
            </w:tcBorders>
            <w:shd w:val="clear" w:color="auto" w:fill="F3F3F3"/>
          </w:tcPr>
          <w:p w14:paraId="699568E3" w14:textId="77777777" w:rsidR="00534AC3" w:rsidRPr="00DF4CE5" w:rsidRDefault="00534AC3" w:rsidP="00333E65">
            <w:pPr>
              <w:spacing w:after="0" w:line="240" w:lineRule="auto"/>
              <w:ind w:right="89"/>
              <w:jc w:val="right"/>
              <w:rPr>
                <w:rFonts w:ascii="Cambria" w:eastAsia="Times New Roman" w:hAnsi="Cambria" w:cs="Times New Roman"/>
                <w:lang w:val="hr-HR" w:eastAsia="hr-HR"/>
              </w:rPr>
            </w:pPr>
            <w:r w:rsidRPr="00DF4CE5">
              <w:rPr>
                <w:rFonts w:ascii="Cambria" w:eastAsia="Calibri" w:hAnsi="Cambria" w:cs="Calibri"/>
                <w:b/>
                <w:lang w:val="hr-HR" w:eastAsia="hr-HR"/>
              </w:rPr>
              <w:lastRenderedPageBreak/>
              <w:t xml:space="preserve">IZVEDBENI PLAN NASTAVE KOLEGIJA </w:t>
            </w:r>
          </w:p>
        </w:tc>
      </w:tr>
      <w:tr w:rsidR="00534AC3" w:rsidRPr="00DF4CE5" w14:paraId="76196F36" w14:textId="77777777" w:rsidTr="006B4F3C">
        <w:trPr>
          <w:trHeight w:val="432"/>
        </w:trPr>
        <w:tc>
          <w:tcPr>
            <w:tcW w:w="2315" w:type="dxa"/>
            <w:tcBorders>
              <w:top w:val="single" w:sz="8" w:space="0" w:color="000000"/>
              <w:left w:val="single" w:sz="8" w:space="0" w:color="000000"/>
              <w:bottom w:val="single" w:sz="8" w:space="0" w:color="000000"/>
              <w:right w:val="single" w:sz="8" w:space="0" w:color="000000"/>
            </w:tcBorders>
            <w:shd w:val="clear" w:color="auto" w:fill="F3F3F3"/>
          </w:tcPr>
          <w:p w14:paraId="3EB652A7" w14:textId="77777777" w:rsidR="00534AC3" w:rsidRPr="00DF4CE5" w:rsidRDefault="00534AC3" w:rsidP="00333E65">
            <w:pPr>
              <w:spacing w:after="0" w:line="240" w:lineRule="auto"/>
              <w:ind w:left="36"/>
              <w:rPr>
                <w:rFonts w:ascii="Cambria" w:eastAsia="Times New Roman" w:hAnsi="Cambria" w:cs="Times New Roman"/>
                <w:lang w:val="hr-HR" w:eastAsia="hr-HR"/>
              </w:rPr>
            </w:pPr>
            <w:r w:rsidRPr="00DF4CE5">
              <w:rPr>
                <w:rFonts w:ascii="Cambria" w:eastAsia="Calibri" w:hAnsi="Cambria" w:cs="Calibri"/>
                <w:lang w:val="hr-HR" w:eastAsia="hr-HR"/>
              </w:rPr>
              <w:t xml:space="preserve">Kod i naziv kolegija </w:t>
            </w:r>
          </w:p>
        </w:tc>
        <w:tc>
          <w:tcPr>
            <w:tcW w:w="6737" w:type="dxa"/>
            <w:gridSpan w:val="7"/>
            <w:tcBorders>
              <w:top w:val="single" w:sz="8" w:space="0" w:color="000000"/>
              <w:left w:val="single" w:sz="8" w:space="0" w:color="000000"/>
              <w:bottom w:val="single" w:sz="8" w:space="0" w:color="000000"/>
              <w:right w:val="single" w:sz="8" w:space="0" w:color="000000"/>
            </w:tcBorders>
          </w:tcPr>
          <w:p w14:paraId="50DCF4A9" w14:textId="77777777" w:rsidR="006B4F3C" w:rsidRPr="00DF4CE5" w:rsidRDefault="00534AC3" w:rsidP="006B4F3C">
            <w:pPr>
              <w:spacing w:after="0" w:line="240" w:lineRule="auto"/>
              <w:ind w:left="40"/>
              <w:rPr>
                <w:rFonts w:ascii="Cambria" w:eastAsia="Calibri" w:hAnsi="Cambria" w:cs="Calibri"/>
                <w:lang w:val="hr-HR" w:eastAsia="hr-HR"/>
              </w:rPr>
            </w:pPr>
            <w:r w:rsidRPr="00DF4CE5">
              <w:rPr>
                <w:rFonts w:ascii="Cambria" w:eastAsia="Calibri" w:hAnsi="Cambria" w:cs="Calibri"/>
                <w:lang w:val="hr-HR" w:eastAsia="hr-HR"/>
              </w:rPr>
              <w:t>273596</w:t>
            </w:r>
            <w:r w:rsidR="006B4F3C" w:rsidRPr="00DF4CE5">
              <w:rPr>
                <w:rFonts w:ascii="Cambria" w:eastAsia="Calibri" w:hAnsi="Cambria" w:cs="Calibri"/>
                <w:lang w:val="hr-HR" w:eastAsia="hr-HR"/>
              </w:rPr>
              <w:t xml:space="preserve"> </w:t>
            </w:r>
          </w:p>
          <w:p w14:paraId="1A8B8927" w14:textId="47A2CB2A" w:rsidR="00534AC3" w:rsidRPr="00DF4CE5" w:rsidRDefault="006B4F3C" w:rsidP="006B4F3C">
            <w:pPr>
              <w:spacing w:after="0" w:line="240" w:lineRule="auto"/>
              <w:ind w:left="40"/>
              <w:rPr>
                <w:rFonts w:ascii="Cambria" w:eastAsia="Calibri" w:hAnsi="Cambria" w:cs="Calibri"/>
                <w:lang w:val="hr-HR" w:eastAsia="hr-HR"/>
              </w:rPr>
            </w:pPr>
            <w:r w:rsidRPr="00DF4CE5">
              <w:rPr>
                <w:rFonts w:ascii="Cambria" w:eastAsia="Calibri" w:hAnsi="Cambria" w:cs="Calibri"/>
                <w:lang w:val="hr-HR" w:eastAsia="hr-HR"/>
              </w:rPr>
              <w:t>Edukacijska psihologija</w:t>
            </w:r>
          </w:p>
        </w:tc>
      </w:tr>
      <w:tr w:rsidR="00534AC3" w:rsidRPr="00DF4CE5" w14:paraId="5DDEE61D" w14:textId="77777777" w:rsidTr="006B4F3C">
        <w:trPr>
          <w:trHeight w:val="701"/>
        </w:trPr>
        <w:tc>
          <w:tcPr>
            <w:tcW w:w="2315" w:type="dxa"/>
            <w:tcBorders>
              <w:top w:val="single" w:sz="8" w:space="0" w:color="000000"/>
              <w:left w:val="single" w:sz="8" w:space="0" w:color="000000"/>
              <w:bottom w:val="single" w:sz="8" w:space="0" w:color="000000"/>
              <w:right w:val="single" w:sz="8" w:space="0" w:color="000000"/>
            </w:tcBorders>
            <w:shd w:val="clear" w:color="auto" w:fill="F3F3F3"/>
          </w:tcPr>
          <w:p w14:paraId="48CC66D9" w14:textId="77777777" w:rsidR="00534AC3" w:rsidRPr="00DF4CE5" w:rsidRDefault="00534AC3" w:rsidP="00333E65">
            <w:pPr>
              <w:spacing w:after="0" w:line="240" w:lineRule="auto"/>
              <w:ind w:left="36"/>
              <w:rPr>
                <w:rFonts w:ascii="Cambria" w:eastAsia="Calibri" w:hAnsi="Cambria" w:cs="Calibri"/>
                <w:lang w:val="hr-HR" w:eastAsia="hr-HR"/>
              </w:rPr>
            </w:pPr>
            <w:r w:rsidRPr="00DF4CE5">
              <w:rPr>
                <w:rFonts w:ascii="Cambria" w:eastAsia="Calibri" w:hAnsi="Cambria" w:cs="Calibri"/>
                <w:lang w:val="hr-HR" w:eastAsia="hr-HR"/>
              </w:rPr>
              <w:t xml:space="preserve">Nastavnica  </w:t>
            </w:r>
          </w:p>
          <w:p w14:paraId="649272F7" w14:textId="63330D9B" w:rsidR="00534AC3" w:rsidRPr="00DF4CE5" w:rsidRDefault="00534AC3" w:rsidP="00333E65">
            <w:pPr>
              <w:spacing w:after="0" w:line="240" w:lineRule="auto"/>
              <w:ind w:left="36"/>
              <w:rPr>
                <w:rFonts w:ascii="Cambria" w:eastAsia="Times New Roman" w:hAnsi="Cambria" w:cs="Times New Roman"/>
                <w:lang w:val="hr-HR" w:eastAsia="hr-HR"/>
              </w:rPr>
            </w:pPr>
            <w:r w:rsidRPr="00DF4CE5">
              <w:rPr>
                <w:rFonts w:ascii="Cambria" w:eastAsia="Calibri" w:hAnsi="Cambria" w:cs="Calibri"/>
                <w:lang w:val="hr-HR" w:eastAsia="hr-HR"/>
              </w:rPr>
              <w:t>Suradnic</w:t>
            </w:r>
            <w:r w:rsidR="000B2D2C">
              <w:rPr>
                <w:rFonts w:ascii="Cambria" w:eastAsia="Calibri" w:hAnsi="Cambria" w:cs="Calibri"/>
                <w:lang w:val="hr-HR" w:eastAsia="hr-HR"/>
              </w:rPr>
              <w:t>a</w:t>
            </w:r>
          </w:p>
        </w:tc>
        <w:tc>
          <w:tcPr>
            <w:tcW w:w="6737" w:type="dxa"/>
            <w:gridSpan w:val="7"/>
            <w:tcBorders>
              <w:top w:val="single" w:sz="8" w:space="0" w:color="000000"/>
              <w:left w:val="single" w:sz="8" w:space="0" w:color="000000"/>
              <w:bottom w:val="single" w:sz="8" w:space="0" w:color="000000"/>
              <w:right w:val="single" w:sz="8" w:space="0" w:color="000000"/>
            </w:tcBorders>
            <w:vAlign w:val="center"/>
          </w:tcPr>
          <w:p w14:paraId="6151494B" w14:textId="01BC45D8" w:rsidR="00534AC3" w:rsidRPr="00DF4CE5" w:rsidRDefault="00534AC3" w:rsidP="006B4F3C">
            <w:pPr>
              <w:spacing w:after="0" w:line="240" w:lineRule="auto"/>
              <w:ind w:left="36"/>
              <w:rPr>
                <w:rFonts w:ascii="Cambria" w:eastAsia="Times New Roman" w:hAnsi="Cambria" w:cs="Times New Roman"/>
                <w:lang w:val="hr-HR" w:eastAsia="hr-HR"/>
              </w:rPr>
            </w:pPr>
            <w:hyperlink r:id="rId62" w:history="1">
              <w:r w:rsidRPr="00DF4CE5">
                <w:rPr>
                  <w:rStyle w:val="Hiperveza"/>
                  <w:rFonts w:ascii="Cambria" w:eastAsia="Times New Roman" w:hAnsi="Cambria" w:cs="Times New Roman"/>
                  <w:lang w:val="hr-HR" w:eastAsia="hr-HR"/>
                </w:rPr>
                <w:t xml:space="preserve">Doc. dr. sc. </w:t>
              </w:r>
              <w:proofErr w:type="spellStart"/>
              <w:r w:rsidRPr="00DF4CE5">
                <w:rPr>
                  <w:rStyle w:val="Hiperveza"/>
                  <w:rFonts w:ascii="Cambria" w:eastAsia="Times New Roman" w:hAnsi="Cambria" w:cs="Times New Roman"/>
                  <w:lang w:val="hr-HR" w:eastAsia="hr-HR"/>
                </w:rPr>
                <w:t>Marlena</w:t>
              </w:r>
              <w:proofErr w:type="spellEnd"/>
              <w:r w:rsidRPr="00DF4CE5">
                <w:rPr>
                  <w:rStyle w:val="Hiperveza"/>
                  <w:rFonts w:ascii="Cambria" w:eastAsia="Times New Roman" w:hAnsi="Cambria" w:cs="Times New Roman"/>
                  <w:lang w:val="hr-HR" w:eastAsia="hr-HR"/>
                </w:rPr>
                <w:t xml:space="preserve"> Plavšić</w:t>
              </w:r>
            </w:hyperlink>
            <w:r w:rsidRPr="00DF4CE5">
              <w:rPr>
                <w:rFonts w:ascii="Cambria" w:eastAsia="Times New Roman" w:hAnsi="Cambria" w:cs="Times New Roman"/>
                <w:lang w:val="hr-HR" w:eastAsia="hr-HR"/>
              </w:rPr>
              <w:t xml:space="preserve"> </w:t>
            </w:r>
            <w:r w:rsidR="00D41DC9" w:rsidRPr="00DF4CE5">
              <w:rPr>
                <w:rFonts w:ascii="Cambria" w:eastAsia="Times New Roman" w:hAnsi="Cambria" w:cs="Times New Roman"/>
                <w:lang w:val="hr-HR" w:eastAsia="hr-HR"/>
              </w:rPr>
              <w:t>(</w:t>
            </w:r>
            <w:r w:rsidRPr="00DF4CE5">
              <w:rPr>
                <w:rFonts w:ascii="Cambria" w:eastAsia="Times New Roman" w:hAnsi="Cambria" w:cs="Times New Roman"/>
                <w:lang w:val="hr-HR" w:eastAsia="hr-HR"/>
              </w:rPr>
              <w:t>nositeljica</w:t>
            </w:r>
            <w:r w:rsidR="00D41DC9" w:rsidRPr="00DF4CE5">
              <w:rPr>
                <w:rFonts w:ascii="Cambria" w:eastAsia="Times New Roman" w:hAnsi="Cambria" w:cs="Times New Roman"/>
                <w:lang w:val="hr-HR" w:eastAsia="hr-HR"/>
              </w:rPr>
              <w:t>)</w:t>
            </w:r>
          </w:p>
          <w:p w14:paraId="68BE0BFD" w14:textId="08B77937" w:rsidR="00534AC3" w:rsidRPr="00DF4CE5" w:rsidRDefault="00534AC3" w:rsidP="00333E65">
            <w:pPr>
              <w:spacing w:after="0" w:line="240" w:lineRule="auto"/>
              <w:ind w:left="40"/>
              <w:rPr>
                <w:rFonts w:ascii="Cambria" w:eastAsia="Times New Roman" w:hAnsi="Cambria" w:cs="Times New Roman"/>
                <w:lang w:val="hr-HR" w:eastAsia="hr-HR"/>
              </w:rPr>
            </w:pPr>
            <w:hyperlink r:id="rId63" w:history="1">
              <w:r w:rsidRPr="00DF4CE5">
                <w:rPr>
                  <w:rStyle w:val="Hiperveza"/>
                  <w:rFonts w:ascii="Cambria" w:hAnsi="Cambria"/>
                </w:rPr>
                <w:t xml:space="preserve">Sanja Tatković, </w:t>
              </w:r>
              <w:proofErr w:type="spellStart"/>
              <w:r w:rsidRPr="00DF4CE5">
                <w:rPr>
                  <w:rStyle w:val="Hiperveza"/>
                  <w:rFonts w:ascii="Cambria" w:hAnsi="Cambria"/>
                </w:rPr>
                <w:t>asistentica</w:t>
              </w:r>
              <w:proofErr w:type="spellEnd"/>
            </w:hyperlink>
            <w:hyperlink r:id="rId64"/>
          </w:p>
        </w:tc>
      </w:tr>
      <w:tr w:rsidR="00534AC3" w:rsidRPr="00D0399C" w14:paraId="4CA0E90E" w14:textId="77777777" w:rsidTr="006B4F3C">
        <w:trPr>
          <w:trHeight w:val="432"/>
        </w:trPr>
        <w:tc>
          <w:tcPr>
            <w:tcW w:w="2315" w:type="dxa"/>
            <w:tcBorders>
              <w:top w:val="single" w:sz="8" w:space="0" w:color="000000"/>
              <w:left w:val="single" w:sz="8" w:space="0" w:color="000000"/>
              <w:bottom w:val="single" w:sz="8" w:space="0" w:color="000000"/>
              <w:right w:val="single" w:sz="8" w:space="0" w:color="000000"/>
            </w:tcBorders>
            <w:shd w:val="clear" w:color="auto" w:fill="F3F3F3"/>
          </w:tcPr>
          <w:p w14:paraId="4B2ED461" w14:textId="77777777" w:rsidR="00534AC3" w:rsidRPr="00DF4CE5" w:rsidRDefault="00534AC3" w:rsidP="00333E65">
            <w:pPr>
              <w:spacing w:after="0" w:line="240" w:lineRule="auto"/>
              <w:ind w:left="36"/>
              <w:rPr>
                <w:rFonts w:ascii="Cambria" w:eastAsia="Times New Roman" w:hAnsi="Cambria" w:cs="Times New Roman"/>
                <w:lang w:val="hr-HR" w:eastAsia="hr-HR"/>
              </w:rPr>
            </w:pPr>
            <w:r w:rsidRPr="00DF4CE5">
              <w:rPr>
                <w:rFonts w:ascii="Cambria" w:eastAsia="Calibri" w:hAnsi="Cambria" w:cs="Calibri"/>
                <w:lang w:val="hr-HR" w:eastAsia="hr-HR"/>
              </w:rPr>
              <w:t xml:space="preserve">Studijski programi </w:t>
            </w:r>
          </w:p>
        </w:tc>
        <w:tc>
          <w:tcPr>
            <w:tcW w:w="6737" w:type="dxa"/>
            <w:gridSpan w:val="7"/>
            <w:tcBorders>
              <w:top w:val="single" w:sz="8" w:space="0" w:color="000000"/>
              <w:left w:val="single" w:sz="8" w:space="0" w:color="000000"/>
              <w:bottom w:val="single" w:sz="8" w:space="0" w:color="000000"/>
              <w:right w:val="single" w:sz="8" w:space="0" w:color="000000"/>
            </w:tcBorders>
          </w:tcPr>
          <w:p w14:paraId="5E967204" w14:textId="77777777" w:rsidR="00534AC3" w:rsidRPr="00DF4CE5" w:rsidRDefault="00534AC3" w:rsidP="00333E65">
            <w:pPr>
              <w:spacing w:after="0" w:line="240" w:lineRule="auto"/>
              <w:ind w:left="40"/>
              <w:rPr>
                <w:rFonts w:ascii="Cambria" w:eastAsia="Times New Roman" w:hAnsi="Cambria" w:cs="Times New Roman"/>
                <w:lang w:val="hr-HR" w:eastAsia="hr-HR"/>
              </w:rPr>
            </w:pPr>
            <w:r w:rsidRPr="00DF4CE5">
              <w:rPr>
                <w:rFonts w:ascii="Cambria" w:eastAsia="Calibri" w:hAnsi="Cambria" w:cs="Calibri"/>
                <w:lang w:val="hr-HR"/>
              </w:rPr>
              <w:t>Sveučilišni integrirani prijediplomski i diplomski Učiteljski studij na hrvatskom jeziku</w:t>
            </w:r>
          </w:p>
        </w:tc>
      </w:tr>
      <w:tr w:rsidR="00534AC3" w:rsidRPr="00DF4CE5" w14:paraId="4B7FCFB2" w14:textId="77777777" w:rsidTr="006B4F3C">
        <w:trPr>
          <w:trHeight w:val="701"/>
        </w:trPr>
        <w:tc>
          <w:tcPr>
            <w:tcW w:w="2315"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5419A39D" w14:textId="77777777" w:rsidR="00534AC3" w:rsidRPr="00DF4CE5" w:rsidRDefault="00534AC3" w:rsidP="00333E65">
            <w:pPr>
              <w:spacing w:after="0" w:line="240" w:lineRule="auto"/>
              <w:ind w:left="36"/>
              <w:rPr>
                <w:rFonts w:ascii="Cambria" w:eastAsia="Times New Roman" w:hAnsi="Cambria" w:cs="Times New Roman"/>
                <w:lang w:val="hr-HR" w:eastAsia="hr-HR"/>
              </w:rPr>
            </w:pPr>
            <w:r w:rsidRPr="00DF4CE5">
              <w:rPr>
                <w:rFonts w:ascii="Cambria" w:eastAsia="Calibri" w:hAnsi="Cambria" w:cs="Calibri"/>
                <w:lang w:val="hr-HR" w:eastAsia="hr-HR"/>
              </w:rPr>
              <w:t xml:space="preserve">Vrsta kolegija </w:t>
            </w:r>
          </w:p>
        </w:tc>
        <w:tc>
          <w:tcPr>
            <w:tcW w:w="2206" w:type="dxa"/>
            <w:tcBorders>
              <w:top w:val="single" w:sz="8" w:space="0" w:color="000000"/>
              <w:left w:val="single" w:sz="8" w:space="0" w:color="000000"/>
              <w:bottom w:val="single" w:sz="8" w:space="0" w:color="000000"/>
              <w:right w:val="single" w:sz="8" w:space="0" w:color="000000"/>
            </w:tcBorders>
            <w:vAlign w:val="center"/>
          </w:tcPr>
          <w:p w14:paraId="76A69C97" w14:textId="77777777" w:rsidR="00534AC3" w:rsidRPr="00DF4CE5" w:rsidRDefault="00534AC3" w:rsidP="00333E65">
            <w:pPr>
              <w:spacing w:after="0" w:line="240" w:lineRule="auto"/>
              <w:ind w:left="40"/>
              <w:rPr>
                <w:rFonts w:ascii="Cambria" w:eastAsia="Times New Roman" w:hAnsi="Cambria" w:cs="Times New Roman"/>
                <w:lang w:val="hr-HR" w:eastAsia="hr-HR"/>
              </w:rPr>
            </w:pPr>
            <w:r w:rsidRPr="00DF4CE5">
              <w:rPr>
                <w:rFonts w:ascii="Cambria" w:eastAsia="Calibri" w:hAnsi="Cambria" w:cs="Calibri"/>
                <w:lang w:val="hr-HR" w:eastAsia="hr-HR"/>
              </w:rPr>
              <w:t xml:space="preserve">obvezan </w:t>
            </w:r>
          </w:p>
        </w:tc>
        <w:tc>
          <w:tcPr>
            <w:tcW w:w="1642" w:type="dxa"/>
            <w:gridSpan w:val="3"/>
            <w:tcBorders>
              <w:top w:val="single" w:sz="8" w:space="0" w:color="000000"/>
              <w:left w:val="single" w:sz="8" w:space="0" w:color="000000"/>
              <w:bottom w:val="single" w:sz="8" w:space="0" w:color="000000"/>
              <w:right w:val="single" w:sz="8" w:space="0" w:color="000000"/>
            </w:tcBorders>
            <w:shd w:val="clear" w:color="auto" w:fill="E6E6E6"/>
          </w:tcPr>
          <w:p w14:paraId="70D255E6" w14:textId="77777777" w:rsidR="00534AC3" w:rsidRPr="00DF4CE5" w:rsidRDefault="00534AC3" w:rsidP="00333E65">
            <w:pPr>
              <w:spacing w:after="0" w:line="240" w:lineRule="auto"/>
              <w:ind w:left="36"/>
              <w:rPr>
                <w:rFonts w:ascii="Cambria" w:eastAsia="Times New Roman" w:hAnsi="Cambria" w:cs="Times New Roman"/>
                <w:lang w:val="hr-HR" w:eastAsia="hr-HR"/>
              </w:rPr>
            </w:pPr>
            <w:r w:rsidRPr="00DF4CE5">
              <w:rPr>
                <w:rFonts w:ascii="Cambria" w:eastAsia="Calibri" w:hAnsi="Cambria" w:cs="Calibri"/>
                <w:lang w:val="hr-HR" w:eastAsia="hr-HR"/>
              </w:rPr>
              <w:t xml:space="preserve">Razina kolegija </w:t>
            </w:r>
          </w:p>
        </w:tc>
        <w:tc>
          <w:tcPr>
            <w:tcW w:w="2889" w:type="dxa"/>
            <w:gridSpan w:val="3"/>
            <w:tcBorders>
              <w:top w:val="single" w:sz="8" w:space="0" w:color="000000"/>
              <w:left w:val="single" w:sz="8" w:space="0" w:color="000000"/>
              <w:bottom w:val="single" w:sz="8" w:space="0" w:color="000000"/>
              <w:right w:val="single" w:sz="8" w:space="0" w:color="000000"/>
            </w:tcBorders>
            <w:vAlign w:val="center"/>
          </w:tcPr>
          <w:p w14:paraId="50363AEF" w14:textId="77777777" w:rsidR="00534AC3" w:rsidRPr="00DF4CE5" w:rsidRDefault="00534AC3" w:rsidP="00333E65">
            <w:pPr>
              <w:spacing w:after="0" w:line="240" w:lineRule="auto"/>
              <w:ind w:left="40"/>
              <w:rPr>
                <w:rFonts w:ascii="Cambria" w:eastAsia="Times New Roman" w:hAnsi="Cambria" w:cs="Times New Roman"/>
                <w:lang w:val="hr-HR" w:eastAsia="hr-HR"/>
              </w:rPr>
            </w:pPr>
            <w:r w:rsidRPr="00DF4CE5">
              <w:rPr>
                <w:rFonts w:ascii="Cambria" w:eastAsia="Calibri" w:hAnsi="Cambria" w:cs="Calibri"/>
                <w:lang w:val="hr-HR" w:eastAsia="hr-HR"/>
              </w:rPr>
              <w:t xml:space="preserve">integrirani </w:t>
            </w:r>
          </w:p>
        </w:tc>
      </w:tr>
      <w:tr w:rsidR="00534AC3" w:rsidRPr="00DF4CE5" w14:paraId="4DE4A4D6" w14:textId="77777777" w:rsidTr="006B4F3C">
        <w:trPr>
          <w:trHeight w:val="703"/>
        </w:trPr>
        <w:tc>
          <w:tcPr>
            <w:tcW w:w="2315"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014FB696" w14:textId="77777777" w:rsidR="00534AC3" w:rsidRPr="00DF4CE5" w:rsidRDefault="00534AC3" w:rsidP="00333E65">
            <w:pPr>
              <w:spacing w:after="0" w:line="240" w:lineRule="auto"/>
              <w:ind w:left="36"/>
              <w:rPr>
                <w:rFonts w:ascii="Cambria" w:eastAsia="Times New Roman" w:hAnsi="Cambria" w:cs="Times New Roman"/>
                <w:lang w:val="hr-HR" w:eastAsia="hr-HR"/>
              </w:rPr>
            </w:pPr>
            <w:r w:rsidRPr="00DF4CE5">
              <w:rPr>
                <w:rFonts w:ascii="Cambria" w:eastAsia="Calibri" w:hAnsi="Cambria" w:cs="Calibri"/>
                <w:lang w:val="hr-HR" w:eastAsia="hr-HR"/>
              </w:rPr>
              <w:t xml:space="preserve">Semestar </w:t>
            </w:r>
          </w:p>
        </w:tc>
        <w:tc>
          <w:tcPr>
            <w:tcW w:w="2206" w:type="dxa"/>
            <w:tcBorders>
              <w:top w:val="single" w:sz="8" w:space="0" w:color="000000"/>
              <w:left w:val="single" w:sz="8" w:space="0" w:color="000000"/>
              <w:bottom w:val="single" w:sz="8" w:space="0" w:color="000000"/>
              <w:right w:val="single" w:sz="8" w:space="0" w:color="000000"/>
            </w:tcBorders>
            <w:vAlign w:val="center"/>
          </w:tcPr>
          <w:p w14:paraId="6A1C4094" w14:textId="77777777" w:rsidR="00534AC3" w:rsidRPr="00DF4CE5" w:rsidRDefault="00534AC3" w:rsidP="00333E65">
            <w:pPr>
              <w:spacing w:after="0" w:line="240" w:lineRule="auto"/>
              <w:rPr>
                <w:rFonts w:ascii="Cambria" w:eastAsia="Times New Roman" w:hAnsi="Cambria" w:cs="Times New Roman"/>
                <w:lang w:val="hr-HR" w:eastAsia="hr-HR"/>
              </w:rPr>
            </w:pPr>
            <w:r w:rsidRPr="00DF4CE5">
              <w:rPr>
                <w:rFonts w:ascii="Cambria" w:eastAsia="Calibri" w:hAnsi="Cambria" w:cs="Calibri"/>
                <w:lang w:val="hr-HR" w:eastAsia="hr-HR"/>
              </w:rPr>
              <w:t xml:space="preserve">zimski </w:t>
            </w:r>
          </w:p>
        </w:tc>
        <w:tc>
          <w:tcPr>
            <w:tcW w:w="1642" w:type="dxa"/>
            <w:gridSpan w:val="3"/>
            <w:tcBorders>
              <w:top w:val="single" w:sz="8" w:space="0" w:color="000000"/>
              <w:left w:val="single" w:sz="8" w:space="0" w:color="000000"/>
              <w:bottom w:val="single" w:sz="8" w:space="0" w:color="000000"/>
              <w:right w:val="single" w:sz="8" w:space="0" w:color="000000"/>
            </w:tcBorders>
            <w:shd w:val="clear" w:color="auto" w:fill="E6E6E6"/>
          </w:tcPr>
          <w:p w14:paraId="58E64E6C" w14:textId="77777777" w:rsidR="00534AC3" w:rsidRPr="00DF4CE5" w:rsidRDefault="00534AC3" w:rsidP="00333E65">
            <w:pPr>
              <w:spacing w:after="0" w:line="240" w:lineRule="auto"/>
              <w:ind w:left="36"/>
              <w:rPr>
                <w:rFonts w:ascii="Cambria" w:eastAsia="Times New Roman" w:hAnsi="Cambria" w:cs="Times New Roman"/>
                <w:lang w:val="hr-HR" w:eastAsia="hr-HR"/>
              </w:rPr>
            </w:pPr>
            <w:r w:rsidRPr="00DF4CE5">
              <w:rPr>
                <w:rFonts w:ascii="Cambria" w:eastAsia="Calibri" w:hAnsi="Cambria" w:cs="Calibri"/>
                <w:lang w:val="hr-HR" w:eastAsia="hr-HR"/>
              </w:rPr>
              <w:t xml:space="preserve">Godina studija </w:t>
            </w:r>
          </w:p>
        </w:tc>
        <w:tc>
          <w:tcPr>
            <w:tcW w:w="2889" w:type="dxa"/>
            <w:gridSpan w:val="3"/>
            <w:tcBorders>
              <w:top w:val="single" w:sz="8" w:space="0" w:color="000000"/>
              <w:left w:val="single" w:sz="8" w:space="0" w:color="000000"/>
              <w:bottom w:val="single" w:sz="8" w:space="0" w:color="000000"/>
              <w:right w:val="single" w:sz="8" w:space="0" w:color="000000"/>
            </w:tcBorders>
            <w:vAlign w:val="center"/>
          </w:tcPr>
          <w:p w14:paraId="165B76AE" w14:textId="77777777" w:rsidR="00534AC3" w:rsidRPr="00DF4CE5" w:rsidRDefault="00534AC3" w:rsidP="00333E65">
            <w:pPr>
              <w:spacing w:after="0" w:line="240" w:lineRule="auto"/>
              <w:ind w:left="40"/>
              <w:rPr>
                <w:rFonts w:ascii="Cambria" w:eastAsia="Times New Roman" w:hAnsi="Cambria" w:cs="Times New Roman"/>
                <w:lang w:val="hr-HR" w:eastAsia="hr-HR"/>
              </w:rPr>
            </w:pPr>
            <w:r w:rsidRPr="00DF4CE5">
              <w:rPr>
                <w:rFonts w:ascii="Cambria" w:eastAsia="Calibri" w:hAnsi="Cambria" w:cs="Calibri"/>
                <w:lang w:val="hr-HR" w:eastAsia="hr-HR"/>
              </w:rPr>
              <w:t xml:space="preserve"> II. </w:t>
            </w:r>
          </w:p>
        </w:tc>
      </w:tr>
      <w:tr w:rsidR="00534AC3" w:rsidRPr="00DF4CE5" w14:paraId="5F8263FC" w14:textId="77777777" w:rsidTr="006B4F3C">
        <w:trPr>
          <w:trHeight w:val="970"/>
        </w:trPr>
        <w:tc>
          <w:tcPr>
            <w:tcW w:w="2315"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57948559" w14:textId="77777777" w:rsidR="00534AC3" w:rsidRPr="00DF4CE5" w:rsidRDefault="00534AC3" w:rsidP="00333E65">
            <w:pPr>
              <w:spacing w:after="0" w:line="240" w:lineRule="auto"/>
              <w:ind w:left="36"/>
              <w:rPr>
                <w:rFonts w:ascii="Cambria" w:eastAsia="Times New Roman" w:hAnsi="Cambria" w:cs="Times New Roman"/>
                <w:lang w:val="hr-HR" w:eastAsia="hr-HR"/>
              </w:rPr>
            </w:pPr>
            <w:r w:rsidRPr="00DF4CE5">
              <w:rPr>
                <w:rFonts w:ascii="Cambria" w:eastAsia="Calibri" w:hAnsi="Cambria" w:cs="Calibri"/>
                <w:lang w:val="hr-HR" w:eastAsia="hr-HR"/>
              </w:rPr>
              <w:t xml:space="preserve">Mjesto izvođenja </w:t>
            </w:r>
          </w:p>
        </w:tc>
        <w:tc>
          <w:tcPr>
            <w:tcW w:w="2206" w:type="dxa"/>
            <w:tcBorders>
              <w:top w:val="single" w:sz="8" w:space="0" w:color="000000"/>
              <w:left w:val="single" w:sz="8" w:space="0" w:color="000000"/>
              <w:bottom w:val="single" w:sz="8" w:space="0" w:color="000000"/>
              <w:right w:val="single" w:sz="8" w:space="0" w:color="000000"/>
            </w:tcBorders>
            <w:vAlign w:val="center"/>
          </w:tcPr>
          <w:p w14:paraId="77CC9ED7" w14:textId="5BF34B8A" w:rsidR="00534AC3" w:rsidRPr="00DF4CE5" w:rsidRDefault="00534AC3" w:rsidP="00333E65">
            <w:pPr>
              <w:spacing w:after="0" w:line="240" w:lineRule="auto"/>
              <w:ind w:left="40"/>
              <w:rPr>
                <w:rFonts w:ascii="Cambria" w:eastAsia="Times New Roman" w:hAnsi="Cambria" w:cs="Times New Roman"/>
                <w:lang w:val="hr-HR" w:eastAsia="hr-HR"/>
              </w:rPr>
            </w:pPr>
            <w:r w:rsidRPr="00DF4CE5">
              <w:rPr>
                <w:rFonts w:ascii="Cambria" w:eastAsia="Calibri" w:hAnsi="Cambria" w:cs="Calibri"/>
                <w:lang w:val="hr-HR" w:eastAsia="hr-HR"/>
              </w:rPr>
              <w:t>učionica</w:t>
            </w:r>
          </w:p>
        </w:tc>
        <w:tc>
          <w:tcPr>
            <w:tcW w:w="1642" w:type="dxa"/>
            <w:gridSpan w:val="3"/>
            <w:tcBorders>
              <w:top w:val="single" w:sz="8" w:space="0" w:color="000000"/>
              <w:left w:val="single" w:sz="8" w:space="0" w:color="000000"/>
              <w:bottom w:val="single" w:sz="8" w:space="0" w:color="000000"/>
              <w:right w:val="single" w:sz="8" w:space="0" w:color="000000"/>
            </w:tcBorders>
            <w:shd w:val="clear" w:color="auto" w:fill="E6E6E6"/>
          </w:tcPr>
          <w:p w14:paraId="7FF69371" w14:textId="77777777" w:rsidR="00534AC3" w:rsidRPr="00DF4CE5" w:rsidRDefault="00534AC3" w:rsidP="00333E65">
            <w:pPr>
              <w:spacing w:after="0" w:line="240" w:lineRule="auto"/>
              <w:ind w:left="36"/>
              <w:rPr>
                <w:rFonts w:ascii="Cambria" w:eastAsia="Times New Roman" w:hAnsi="Cambria" w:cs="Times New Roman"/>
                <w:lang w:val="hr-HR" w:eastAsia="hr-HR"/>
              </w:rPr>
            </w:pPr>
            <w:r w:rsidRPr="00DF4CE5">
              <w:rPr>
                <w:rFonts w:ascii="Cambria" w:eastAsia="Calibri" w:hAnsi="Cambria" w:cs="Calibri"/>
                <w:lang w:val="hr-HR" w:eastAsia="hr-HR"/>
              </w:rPr>
              <w:t xml:space="preserve">Jezik </w:t>
            </w:r>
          </w:p>
          <w:p w14:paraId="31834146" w14:textId="77777777" w:rsidR="00534AC3" w:rsidRPr="00DF4CE5" w:rsidRDefault="00534AC3" w:rsidP="00333E65">
            <w:pPr>
              <w:spacing w:after="0" w:line="240" w:lineRule="auto"/>
              <w:ind w:left="36"/>
              <w:rPr>
                <w:rFonts w:ascii="Cambria" w:eastAsia="Times New Roman" w:hAnsi="Cambria" w:cs="Times New Roman"/>
                <w:lang w:val="hr-HR" w:eastAsia="hr-HR"/>
              </w:rPr>
            </w:pPr>
            <w:r w:rsidRPr="00DF4CE5">
              <w:rPr>
                <w:rFonts w:ascii="Cambria" w:eastAsia="Calibri" w:hAnsi="Cambria" w:cs="Calibri"/>
                <w:lang w:val="hr-HR" w:eastAsia="hr-HR"/>
              </w:rPr>
              <w:t xml:space="preserve">izvođenja </w:t>
            </w:r>
          </w:p>
          <w:p w14:paraId="136BF193" w14:textId="77777777" w:rsidR="00534AC3" w:rsidRPr="00DF4CE5" w:rsidRDefault="00534AC3" w:rsidP="00333E65">
            <w:pPr>
              <w:spacing w:after="0" w:line="240" w:lineRule="auto"/>
              <w:ind w:left="36"/>
              <w:rPr>
                <w:rFonts w:ascii="Cambria" w:eastAsia="Times New Roman" w:hAnsi="Cambria" w:cs="Times New Roman"/>
                <w:lang w:val="hr-HR" w:eastAsia="hr-HR"/>
              </w:rPr>
            </w:pPr>
            <w:r w:rsidRPr="00DF4CE5">
              <w:rPr>
                <w:rFonts w:ascii="Cambria" w:eastAsia="Calibri" w:hAnsi="Cambria" w:cs="Calibri"/>
                <w:lang w:val="hr-HR" w:eastAsia="hr-HR"/>
              </w:rPr>
              <w:t xml:space="preserve">(drugi jezici) </w:t>
            </w:r>
          </w:p>
        </w:tc>
        <w:tc>
          <w:tcPr>
            <w:tcW w:w="2889" w:type="dxa"/>
            <w:gridSpan w:val="3"/>
            <w:tcBorders>
              <w:top w:val="single" w:sz="8" w:space="0" w:color="000000"/>
              <w:left w:val="single" w:sz="8" w:space="0" w:color="000000"/>
              <w:bottom w:val="single" w:sz="8" w:space="0" w:color="000000"/>
              <w:right w:val="single" w:sz="8" w:space="0" w:color="000000"/>
            </w:tcBorders>
            <w:vAlign w:val="center"/>
          </w:tcPr>
          <w:p w14:paraId="2F1F5165" w14:textId="77777777" w:rsidR="00534AC3" w:rsidRPr="00DF4CE5" w:rsidRDefault="00534AC3" w:rsidP="00333E65">
            <w:pPr>
              <w:spacing w:after="0" w:line="240" w:lineRule="auto"/>
              <w:ind w:left="40"/>
              <w:rPr>
                <w:rFonts w:ascii="Cambria" w:eastAsia="Times New Roman" w:hAnsi="Cambria" w:cs="Times New Roman"/>
                <w:lang w:val="hr-HR" w:eastAsia="hr-HR"/>
              </w:rPr>
            </w:pPr>
            <w:r w:rsidRPr="00DF4CE5">
              <w:rPr>
                <w:rFonts w:ascii="Cambria" w:eastAsia="Calibri" w:hAnsi="Cambria" w:cs="Calibri"/>
                <w:lang w:val="hr-HR" w:eastAsia="hr-HR"/>
              </w:rPr>
              <w:t xml:space="preserve">hrvatski </w:t>
            </w:r>
          </w:p>
        </w:tc>
      </w:tr>
      <w:tr w:rsidR="00534AC3" w:rsidRPr="00DF4CE5" w14:paraId="637830E8" w14:textId="77777777" w:rsidTr="006B4F3C">
        <w:trPr>
          <w:trHeight w:val="701"/>
        </w:trPr>
        <w:tc>
          <w:tcPr>
            <w:tcW w:w="2315"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2842A1A6" w14:textId="77777777" w:rsidR="00534AC3" w:rsidRPr="00DF4CE5" w:rsidRDefault="00534AC3" w:rsidP="00333E65">
            <w:pPr>
              <w:spacing w:after="0" w:line="240" w:lineRule="auto"/>
              <w:ind w:left="36"/>
              <w:rPr>
                <w:rFonts w:ascii="Cambria" w:eastAsia="Times New Roman" w:hAnsi="Cambria" w:cs="Times New Roman"/>
                <w:lang w:val="hr-HR" w:eastAsia="hr-HR"/>
              </w:rPr>
            </w:pPr>
            <w:r w:rsidRPr="00DF4CE5">
              <w:rPr>
                <w:rFonts w:ascii="Cambria" w:eastAsia="Calibri" w:hAnsi="Cambria" w:cs="Calibri"/>
                <w:lang w:val="hr-HR" w:eastAsia="hr-HR"/>
              </w:rPr>
              <w:t xml:space="preserve">Broj ECTS bodova </w:t>
            </w:r>
          </w:p>
        </w:tc>
        <w:tc>
          <w:tcPr>
            <w:tcW w:w="2206" w:type="dxa"/>
            <w:tcBorders>
              <w:top w:val="single" w:sz="8" w:space="0" w:color="000000"/>
              <w:left w:val="single" w:sz="8" w:space="0" w:color="000000"/>
              <w:bottom w:val="single" w:sz="8" w:space="0" w:color="000000"/>
              <w:right w:val="single" w:sz="8" w:space="0" w:color="000000"/>
            </w:tcBorders>
            <w:vAlign w:val="center"/>
          </w:tcPr>
          <w:p w14:paraId="1F4034C0" w14:textId="77777777" w:rsidR="00534AC3" w:rsidRPr="00DF4CE5" w:rsidRDefault="00534AC3" w:rsidP="00333E65">
            <w:pPr>
              <w:spacing w:after="0" w:line="240" w:lineRule="auto"/>
              <w:ind w:left="40"/>
              <w:rPr>
                <w:rFonts w:ascii="Cambria" w:eastAsia="Times New Roman" w:hAnsi="Cambria" w:cs="Times New Roman"/>
                <w:lang w:val="hr-HR" w:eastAsia="hr-HR"/>
              </w:rPr>
            </w:pPr>
            <w:r w:rsidRPr="00DF4CE5">
              <w:rPr>
                <w:rFonts w:ascii="Cambria" w:eastAsia="Calibri" w:hAnsi="Cambria" w:cs="Calibri"/>
                <w:lang w:val="hr-HR" w:eastAsia="hr-HR"/>
              </w:rPr>
              <w:t>6</w:t>
            </w:r>
          </w:p>
        </w:tc>
        <w:tc>
          <w:tcPr>
            <w:tcW w:w="1642" w:type="dxa"/>
            <w:gridSpan w:val="3"/>
            <w:tcBorders>
              <w:top w:val="single" w:sz="8" w:space="0" w:color="000000"/>
              <w:left w:val="single" w:sz="8" w:space="0" w:color="000000"/>
              <w:bottom w:val="single" w:sz="8" w:space="0" w:color="000000"/>
              <w:right w:val="single" w:sz="8" w:space="0" w:color="000000"/>
            </w:tcBorders>
            <w:shd w:val="clear" w:color="auto" w:fill="E6E6E6"/>
          </w:tcPr>
          <w:p w14:paraId="7D345C40" w14:textId="77777777" w:rsidR="00534AC3" w:rsidRPr="00DF4CE5" w:rsidRDefault="00534AC3" w:rsidP="00333E65">
            <w:pPr>
              <w:spacing w:after="0" w:line="240" w:lineRule="auto"/>
              <w:ind w:left="36"/>
              <w:rPr>
                <w:rFonts w:ascii="Cambria" w:eastAsia="Times New Roman" w:hAnsi="Cambria" w:cs="Times New Roman"/>
                <w:lang w:val="hr-HR" w:eastAsia="hr-HR"/>
              </w:rPr>
            </w:pPr>
            <w:r w:rsidRPr="00DF4CE5">
              <w:rPr>
                <w:rFonts w:ascii="Cambria" w:eastAsia="Calibri" w:hAnsi="Cambria" w:cs="Calibri"/>
                <w:lang w:val="hr-HR" w:eastAsia="hr-HR"/>
              </w:rPr>
              <w:t xml:space="preserve">Broj sati u semestru </w:t>
            </w:r>
          </w:p>
        </w:tc>
        <w:tc>
          <w:tcPr>
            <w:tcW w:w="2889" w:type="dxa"/>
            <w:gridSpan w:val="3"/>
            <w:tcBorders>
              <w:top w:val="single" w:sz="8" w:space="0" w:color="000000"/>
              <w:left w:val="single" w:sz="8" w:space="0" w:color="000000"/>
              <w:bottom w:val="single" w:sz="8" w:space="0" w:color="000000"/>
              <w:right w:val="single" w:sz="8" w:space="0" w:color="000000"/>
            </w:tcBorders>
            <w:vAlign w:val="center"/>
          </w:tcPr>
          <w:p w14:paraId="5CC3ED6C" w14:textId="7E92AF29" w:rsidR="00534AC3" w:rsidRPr="00DF4CE5" w:rsidRDefault="00534AC3" w:rsidP="00333E65">
            <w:pPr>
              <w:spacing w:after="0" w:line="240" w:lineRule="auto"/>
              <w:ind w:left="40"/>
              <w:rPr>
                <w:rFonts w:ascii="Cambria" w:eastAsia="Times New Roman" w:hAnsi="Cambria" w:cs="Times New Roman"/>
                <w:lang w:val="hr-HR" w:eastAsia="hr-HR"/>
              </w:rPr>
            </w:pPr>
            <w:r w:rsidRPr="00DF4CE5">
              <w:rPr>
                <w:rFonts w:ascii="Cambria" w:eastAsia="Calibri" w:hAnsi="Cambria" w:cs="Calibri"/>
                <w:lang w:val="hr-HR" w:eastAsia="hr-HR"/>
              </w:rPr>
              <w:t>30P – 15</w:t>
            </w:r>
            <w:r w:rsidR="006B4F3C" w:rsidRPr="00DF4CE5">
              <w:rPr>
                <w:rFonts w:ascii="Cambria" w:eastAsia="Calibri" w:hAnsi="Cambria" w:cs="Calibri"/>
                <w:lang w:val="hr-HR" w:eastAsia="hr-HR"/>
              </w:rPr>
              <w:t>S</w:t>
            </w:r>
            <w:r w:rsidRPr="00DF4CE5">
              <w:rPr>
                <w:rFonts w:ascii="Cambria" w:eastAsia="Calibri" w:hAnsi="Cambria" w:cs="Calibri"/>
                <w:lang w:val="hr-HR" w:eastAsia="hr-HR"/>
              </w:rPr>
              <w:t xml:space="preserve"> – 15</w:t>
            </w:r>
            <w:r w:rsidR="006B4F3C" w:rsidRPr="00DF4CE5">
              <w:rPr>
                <w:rFonts w:ascii="Cambria" w:eastAsia="Calibri" w:hAnsi="Cambria" w:cs="Calibri"/>
                <w:lang w:val="hr-HR" w:eastAsia="hr-HR"/>
              </w:rPr>
              <w:t>V</w:t>
            </w:r>
            <w:r w:rsidRPr="00DF4CE5">
              <w:rPr>
                <w:rFonts w:ascii="Cambria" w:eastAsia="Calibri" w:hAnsi="Cambria" w:cs="Calibri"/>
                <w:lang w:val="hr-HR" w:eastAsia="hr-HR"/>
              </w:rPr>
              <w:t xml:space="preserve"> </w:t>
            </w:r>
          </w:p>
        </w:tc>
      </w:tr>
      <w:tr w:rsidR="00534AC3" w:rsidRPr="00D0399C" w14:paraId="28D3C61F" w14:textId="77777777" w:rsidTr="006B4F3C">
        <w:trPr>
          <w:trHeight w:val="799"/>
        </w:trPr>
        <w:tc>
          <w:tcPr>
            <w:tcW w:w="2315"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14F92AF8" w14:textId="77777777" w:rsidR="00534AC3" w:rsidRPr="00DF4CE5" w:rsidRDefault="00534AC3" w:rsidP="00333E65">
            <w:pPr>
              <w:spacing w:after="0" w:line="240" w:lineRule="auto"/>
              <w:ind w:left="36"/>
              <w:rPr>
                <w:rFonts w:ascii="Cambria" w:eastAsia="Times New Roman" w:hAnsi="Cambria" w:cs="Times New Roman"/>
                <w:lang w:val="hr-HR" w:eastAsia="hr-HR"/>
              </w:rPr>
            </w:pPr>
            <w:r w:rsidRPr="00DF4CE5">
              <w:rPr>
                <w:rFonts w:ascii="Cambria" w:eastAsia="Calibri" w:hAnsi="Cambria" w:cs="Calibri"/>
                <w:lang w:val="hr-HR" w:eastAsia="hr-HR"/>
              </w:rPr>
              <w:t xml:space="preserve">Preduvjeti za upis i za svladavanje </w:t>
            </w:r>
          </w:p>
        </w:tc>
        <w:tc>
          <w:tcPr>
            <w:tcW w:w="6737" w:type="dxa"/>
            <w:gridSpan w:val="7"/>
            <w:tcBorders>
              <w:top w:val="single" w:sz="8" w:space="0" w:color="000000"/>
              <w:left w:val="single" w:sz="8" w:space="0" w:color="000000"/>
              <w:bottom w:val="single" w:sz="8" w:space="0" w:color="000000"/>
              <w:right w:val="single" w:sz="8" w:space="0" w:color="000000"/>
            </w:tcBorders>
          </w:tcPr>
          <w:p w14:paraId="35F23B25" w14:textId="77777777" w:rsidR="00534AC3" w:rsidRPr="00DF4CE5" w:rsidRDefault="00534AC3" w:rsidP="00333E65">
            <w:pPr>
              <w:spacing w:after="0" w:line="240" w:lineRule="auto"/>
              <w:ind w:left="40"/>
              <w:rPr>
                <w:rFonts w:ascii="Cambria" w:eastAsia="Times New Roman" w:hAnsi="Cambria" w:cs="Times New Roman"/>
                <w:lang w:val="hr-HR" w:eastAsia="hr-HR"/>
              </w:rPr>
            </w:pPr>
            <w:r w:rsidRPr="00DF4CE5">
              <w:rPr>
                <w:rFonts w:ascii="Cambria" w:eastAsia="Calibri" w:hAnsi="Cambria" w:cs="Calibri"/>
                <w:lang w:val="hr-HR" w:eastAsia="hr-HR"/>
              </w:rPr>
              <w:t>Preduvjet za upis je položen ispit iz Opće psihologije i odslušana Razvojna psihologija, a uvjet za izlazak na ispit su položena oba spomenuta kolegija.</w:t>
            </w:r>
          </w:p>
        </w:tc>
      </w:tr>
      <w:tr w:rsidR="00534AC3" w:rsidRPr="00DF4CE5" w14:paraId="08296AB0" w14:textId="77777777" w:rsidTr="006B4F3C">
        <w:trPr>
          <w:trHeight w:val="358"/>
        </w:trPr>
        <w:tc>
          <w:tcPr>
            <w:tcW w:w="2315" w:type="dxa"/>
            <w:tcBorders>
              <w:top w:val="single" w:sz="8" w:space="0" w:color="000000"/>
              <w:left w:val="single" w:sz="8" w:space="0" w:color="000000"/>
              <w:bottom w:val="single" w:sz="8" w:space="0" w:color="000000"/>
              <w:right w:val="single" w:sz="8" w:space="0" w:color="000000"/>
            </w:tcBorders>
            <w:shd w:val="clear" w:color="auto" w:fill="F3F3F3"/>
          </w:tcPr>
          <w:p w14:paraId="5F645845" w14:textId="77777777" w:rsidR="00534AC3" w:rsidRPr="00DF4CE5" w:rsidRDefault="00534AC3" w:rsidP="00333E65">
            <w:pPr>
              <w:spacing w:after="0" w:line="240" w:lineRule="auto"/>
              <w:ind w:left="36"/>
              <w:rPr>
                <w:rFonts w:ascii="Cambria" w:eastAsia="Times New Roman" w:hAnsi="Cambria" w:cs="Times New Roman"/>
                <w:lang w:val="hr-HR" w:eastAsia="hr-HR"/>
              </w:rPr>
            </w:pPr>
            <w:proofErr w:type="spellStart"/>
            <w:r w:rsidRPr="00DF4CE5">
              <w:rPr>
                <w:rFonts w:ascii="Cambria" w:eastAsia="Calibri" w:hAnsi="Cambria" w:cs="Calibri"/>
                <w:lang w:val="hr-HR" w:eastAsia="hr-HR"/>
              </w:rPr>
              <w:t>Korelativnost</w:t>
            </w:r>
            <w:proofErr w:type="spellEnd"/>
            <w:r w:rsidRPr="00DF4CE5">
              <w:rPr>
                <w:rFonts w:ascii="Cambria" w:eastAsia="Calibri" w:hAnsi="Cambria" w:cs="Calibri"/>
                <w:lang w:val="hr-HR" w:eastAsia="hr-HR"/>
              </w:rPr>
              <w:t xml:space="preserve"> </w:t>
            </w:r>
          </w:p>
        </w:tc>
        <w:tc>
          <w:tcPr>
            <w:tcW w:w="6737" w:type="dxa"/>
            <w:gridSpan w:val="7"/>
            <w:tcBorders>
              <w:top w:val="single" w:sz="8" w:space="0" w:color="000000"/>
              <w:left w:val="single" w:sz="8" w:space="0" w:color="000000"/>
              <w:bottom w:val="single" w:sz="8" w:space="0" w:color="000000"/>
              <w:right w:val="single" w:sz="8" w:space="0" w:color="000000"/>
            </w:tcBorders>
          </w:tcPr>
          <w:p w14:paraId="279B3412" w14:textId="77777777" w:rsidR="00534AC3" w:rsidRPr="00DF4CE5" w:rsidRDefault="00534AC3" w:rsidP="00333E65">
            <w:pPr>
              <w:spacing w:after="0" w:line="240" w:lineRule="auto"/>
              <w:ind w:left="40"/>
              <w:rPr>
                <w:rFonts w:ascii="Cambria" w:eastAsia="Times New Roman" w:hAnsi="Cambria" w:cs="Times New Roman"/>
                <w:lang w:val="hr-HR" w:eastAsia="hr-HR"/>
              </w:rPr>
            </w:pPr>
            <w:r w:rsidRPr="00DF4CE5">
              <w:rPr>
                <w:rFonts w:ascii="Cambria" w:eastAsia="Calibri" w:hAnsi="Cambria" w:cs="Calibri"/>
                <w:lang w:val="hr-HR" w:eastAsia="hr-HR"/>
              </w:rPr>
              <w:t>Opća psihologija, Razvojna psihologija</w:t>
            </w:r>
          </w:p>
        </w:tc>
      </w:tr>
      <w:tr w:rsidR="00534AC3" w:rsidRPr="00D0399C" w14:paraId="10136616" w14:textId="77777777" w:rsidTr="006B4F3C">
        <w:trPr>
          <w:trHeight w:val="432"/>
        </w:trPr>
        <w:tc>
          <w:tcPr>
            <w:tcW w:w="2315" w:type="dxa"/>
            <w:tcBorders>
              <w:top w:val="single" w:sz="8" w:space="0" w:color="000000"/>
              <w:left w:val="single" w:sz="8" w:space="0" w:color="000000"/>
              <w:bottom w:val="single" w:sz="8" w:space="0" w:color="000000"/>
              <w:right w:val="single" w:sz="8" w:space="0" w:color="000000"/>
            </w:tcBorders>
            <w:shd w:val="clear" w:color="auto" w:fill="F3F3F3"/>
          </w:tcPr>
          <w:p w14:paraId="37EE94BD" w14:textId="77777777" w:rsidR="00534AC3" w:rsidRPr="00DF4CE5" w:rsidRDefault="00534AC3" w:rsidP="00333E65">
            <w:pPr>
              <w:spacing w:after="0" w:line="240" w:lineRule="auto"/>
              <w:ind w:left="36"/>
              <w:rPr>
                <w:rFonts w:ascii="Cambria" w:eastAsia="Times New Roman" w:hAnsi="Cambria" w:cs="Times New Roman"/>
                <w:lang w:val="hr-HR" w:eastAsia="hr-HR"/>
              </w:rPr>
            </w:pPr>
            <w:r w:rsidRPr="00DF4CE5">
              <w:rPr>
                <w:rFonts w:ascii="Cambria" w:eastAsia="Calibri" w:hAnsi="Cambria" w:cs="Calibri"/>
                <w:lang w:val="hr-HR" w:eastAsia="hr-HR"/>
              </w:rPr>
              <w:t xml:space="preserve">Cilj kolegija  </w:t>
            </w:r>
          </w:p>
        </w:tc>
        <w:tc>
          <w:tcPr>
            <w:tcW w:w="6737" w:type="dxa"/>
            <w:gridSpan w:val="7"/>
            <w:tcBorders>
              <w:top w:val="single" w:sz="8" w:space="0" w:color="000000"/>
              <w:left w:val="single" w:sz="8" w:space="0" w:color="000000"/>
              <w:bottom w:val="single" w:sz="8" w:space="0" w:color="000000"/>
              <w:right w:val="single" w:sz="8" w:space="0" w:color="000000"/>
            </w:tcBorders>
          </w:tcPr>
          <w:p w14:paraId="56CCF658" w14:textId="77777777" w:rsidR="00534AC3" w:rsidRPr="00DF4CE5" w:rsidRDefault="00534AC3" w:rsidP="00333E65">
            <w:pPr>
              <w:spacing w:after="0" w:line="240" w:lineRule="auto"/>
              <w:ind w:left="40"/>
              <w:rPr>
                <w:rFonts w:ascii="Cambria" w:eastAsia="Times New Roman" w:hAnsi="Cambria" w:cs="Times New Roman"/>
                <w:lang w:val="hr-HR" w:eastAsia="hr-HR"/>
              </w:rPr>
            </w:pPr>
            <w:r w:rsidRPr="00DF4CE5">
              <w:rPr>
                <w:rFonts w:ascii="Cambria" w:eastAsia="Calibri" w:hAnsi="Cambria" w:cs="Calibri"/>
                <w:lang w:val="hr-HR" w:eastAsia="hr-HR"/>
              </w:rPr>
              <w:t>usvojiti kompetencije za primjenu spoznaja psihologije učenja u poučavanju učenika i učenica</w:t>
            </w:r>
          </w:p>
        </w:tc>
      </w:tr>
      <w:tr w:rsidR="00534AC3" w:rsidRPr="00D0399C" w14:paraId="78A80927" w14:textId="77777777" w:rsidTr="006B4F3C">
        <w:trPr>
          <w:trHeight w:val="2300"/>
        </w:trPr>
        <w:tc>
          <w:tcPr>
            <w:tcW w:w="2315"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534024D8" w14:textId="77777777" w:rsidR="00534AC3" w:rsidRPr="00DF4CE5" w:rsidRDefault="00534AC3" w:rsidP="00333E65">
            <w:pPr>
              <w:spacing w:after="0" w:line="240" w:lineRule="auto"/>
              <w:ind w:left="36"/>
              <w:rPr>
                <w:rFonts w:ascii="Cambria" w:eastAsia="Times New Roman" w:hAnsi="Cambria" w:cs="Times New Roman"/>
                <w:lang w:val="hr-HR" w:eastAsia="hr-HR"/>
              </w:rPr>
            </w:pPr>
            <w:r w:rsidRPr="00DF4CE5">
              <w:rPr>
                <w:rFonts w:ascii="Cambria" w:eastAsia="Calibri" w:hAnsi="Cambria" w:cs="Calibri"/>
                <w:lang w:val="hr-HR" w:eastAsia="hr-HR"/>
              </w:rPr>
              <w:t xml:space="preserve">Ishodi učenja </w:t>
            </w:r>
          </w:p>
        </w:tc>
        <w:tc>
          <w:tcPr>
            <w:tcW w:w="6737" w:type="dxa"/>
            <w:gridSpan w:val="7"/>
            <w:tcBorders>
              <w:top w:val="single" w:sz="8" w:space="0" w:color="000000"/>
              <w:left w:val="single" w:sz="8" w:space="0" w:color="000000"/>
              <w:bottom w:val="single" w:sz="8" w:space="0" w:color="000000"/>
              <w:right w:val="single" w:sz="8" w:space="0" w:color="000000"/>
            </w:tcBorders>
          </w:tcPr>
          <w:p w14:paraId="5ED25DEA" w14:textId="233BAD26" w:rsidR="00534AC3" w:rsidRPr="00DF4CE5" w:rsidRDefault="00534AC3" w:rsidP="00A034E3">
            <w:pPr>
              <w:numPr>
                <w:ilvl w:val="0"/>
                <w:numId w:val="60"/>
              </w:numPr>
              <w:spacing w:after="0" w:line="240" w:lineRule="auto"/>
              <w:ind w:left="188" w:hanging="188"/>
              <w:contextualSpacing/>
              <w:rPr>
                <w:rFonts w:ascii="Cambria" w:eastAsia="Times New Roman" w:hAnsi="Cambria" w:cs="Times New Roman"/>
                <w:lang w:val="hr-HR" w:eastAsia="hr-HR"/>
              </w:rPr>
            </w:pPr>
            <w:r w:rsidRPr="00DF4CE5">
              <w:rPr>
                <w:rFonts w:ascii="Cambria" w:eastAsia="Times New Roman" w:hAnsi="Cambria" w:cs="Times New Roman"/>
                <w:lang w:val="hr-HR" w:eastAsia="hr-HR"/>
              </w:rPr>
              <w:t xml:space="preserve"> </w:t>
            </w:r>
            <w:r w:rsidR="006B4F3C" w:rsidRPr="00DF4CE5">
              <w:rPr>
                <w:rFonts w:ascii="Cambria" w:eastAsia="Times New Roman" w:hAnsi="Cambria" w:cs="Times New Roman"/>
                <w:lang w:val="hr-HR" w:eastAsia="hr-HR"/>
              </w:rPr>
              <w:t>a</w:t>
            </w:r>
            <w:r w:rsidRPr="00DF4CE5">
              <w:rPr>
                <w:rFonts w:ascii="Cambria" w:eastAsia="Times New Roman" w:hAnsi="Cambria" w:cs="Times New Roman"/>
                <w:lang w:val="hr-HR" w:eastAsia="hr-HR"/>
              </w:rPr>
              <w:t>nalizirati povezanost intelektualnih i drugih sposobnosti, temperamenta, ličnosti i učenja</w:t>
            </w:r>
          </w:p>
          <w:p w14:paraId="4769C5FB" w14:textId="7A6EB543" w:rsidR="00534AC3" w:rsidRPr="00DF4CE5" w:rsidRDefault="00534AC3" w:rsidP="00A034E3">
            <w:pPr>
              <w:numPr>
                <w:ilvl w:val="0"/>
                <w:numId w:val="60"/>
              </w:numPr>
              <w:spacing w:after="0" w:line="240" w:lineRule="auto"/>
              <w:ind w:left="188" w:hanging="188"/>
              <w:contextualSpacing/>
              <w:rPr>
                <w:rFonts w:ascii="Cambria" w:eastAsia="Times New Roman" w:hAnsi="Cambria" w:cs="Times New Roman"/>
                <w:lang w:val="hr-HR" w:eastAsia="hr-HR"/>
              </w:rPr>
            </w:pPr>
            <w:r w:rsidRPr="00DF4CE5">
              <w:rPr>
                <w:rFonts w:ascii="Cambria" w:eastAsia="Times New Roman" w:hAnsi="Cambria" w:cs="Times New Roman"/>
                <w:lang w:val="hr-HR" w:eastAsia="hr-HR"/>
              </w:rPr>
              <w:t xml:space="preserve"> </w:t>
            </w:r>
            <w:r w:rsidR="006B4F3C" w:rsidRPr="00DF4CE5">
              <w:rPr>
                <w:rFonts w:ascii="Cambria" w:eastAsia="Times New Roman" w:hAnsi="Cambria" w:cs="Times New Roman"/>
                <w:lang w:val="hr-HR" w:eastAsia="hr-HR"/>
              </w:rPr>
              <w:t>p</w:t>
            </w:r>
            <w:r w:rsidRPr="00DF4CE5">
              <w:rPr>
                <w:rFonts w:ascii="Cambria" w:eastAsia="Times New Roman" w:hAnsi="Cambria" w:cs="Times New Roman"/>
                <w:lang w:val="hr-HR" w:eastAsia="hr-HR"/>
              </w:rPr>
              <w:t>repoznati činitelje uspješnog učenja i socijalnog statusa učenica i učenika u razredu</w:t>
            </w:r>
          </w:p>
          <w:p w14:paraId="3FDCFE35" w14:textId="46BFD747" w:rsidR="00534AC3" w:rsidRPr="00DF4CE5" w:rsidRDefault="00534AC3" w:rsidP="00A034E3">
            <w:pPr>
              <w:numPr>
                <w:ilvl w:val="0"/>
                <w:numId w:val="60"/>
              </w:numPr>
              <w:spacing w:after="0" w:line="240" w:lineRule="auto"/>
              <w:ind w:left="188" w:hanging="188"/>
              <w:contextualSpacing/>
              <w:rPr>
                <w:rFonts w:ascii="Cambria" w:eastAsia="Times New Roman" w:hAnsi="Cambria" w:cs="Times New Roman"/>
                <w:lang w:val="hr-HR" w:eastAsia="hr-HR"/>
              </w:rPr>
            </w:pPr>
            <w:r w:rsidRPr="00DF4CE5">
              <w:rPr>
                <w:rFonts w:ascii="Cambria" w:eastAsia="Times New Roman" w:hAnsi="Cambria" w:cs="Times New Roman"/>
                <w:lang w:val="hr-HR" w:eastAsia="hr-HR"/>
              </w:rPr>
              <w:t xml:space="preserve"> </w:t>
            </w:r>
            <w:r w:rsidR="006B4F3C" w:rsidRPr="00DF4CE5">
              <w:rPr>
                <w:rFonts w:ascii="Cambria" w:eastAsia="Times New Roman" w:hAnsi="Cambria" w:cs="Times New Roman"/>
                <w:lang w:val="hr-HR" w:eastAsia="hr-HR"/>
              </w:rPr>
              <w:t>p</w:t>
            </w:r>
            <w:r w:rsidRPr="00DF4CE5">
              <w:rPr>
                <w:rFonts w:ascii="Cambria" w:eastAsia="Times New Roman" w:hAnsi="Cambria" w:cs="Times New Roman"/>
                <w:lang w:val="hr-HR" w:eastAsia="hr-HR"/>
              </w:rPr>
              <w:t>repoznati djecu s posebnim potrebama i adekvatne načine rada  prema njihovim potrebama</w:t>
            </w:r>
          </w:p>
          <w:p w14:paraId="1C1110CC" w14:textId="041B0D1C" w:rsidR="00534AC3" w:rsidRPr="00DF4CE5" w:rsidRDefault="00534AC3" w:rsidP="00A034E3">
            <w:pPr>
              <w:numPr>
                <w:ilvl w:val="0"/>
                <w:numId w:val="60"/>
              </w:numPr>
              <w:spacing w:after="0" w:line="240" w:lineRule="auto"/>
              <w:ind w:left="188" w:hanging="188"/>
              <w:contextualSpacing/>
              <w:rPr>
                <w:rFonts w:ascii="Cambria" w:eastAsia="Times New Roman" w:hAnsi="Cambria" w:cs="Times New Roman"/>
                <w:lang w:val="hr-HR" w:eastAsia="hr-HR"/>
              </w:rPr>
            </w:pPr>
            <w:r w:rsidRPr="00DF4CE5">
              <w:rPr>
                <w:rFonts w:ascii="Cambria" w:eastAsia="Times New Roman" w:hAnsi="Cambria" w:cs="Times New Roman"/>
                <w:lang w:val="hr-HR" w:eastAsia="hr-HR"/>
              </w:rPr>
              <w:t xml:space="preserve"> </w:t>
            </w:r>
            <w:r w:rsidR="006B4F3C" w:rsidRPr="00DF4CE5">
              <w:rPr>
                <w:rFonts w:ascii="Cambria" w:eastAsia="Times New Roman" w:hAnsi="Cambria" w:cs="Times New Roman"/>
                <w:lang w:val="hr-HR" w:eastAsia="hr-HR"/>
              </w:rPr>
              <w:t>u</w:t>
            </w:r>
            <w:r w:rsidRPr="00DF4CE5">
              <w:rPr>
                <w:rFonts w:ascii="Cambria" w:eastAsia="Times New Roman" w:hAnsi="Cambria" w:cs="Times New Roman"/>
                <w:lang w:val="hr-HR" w:eastAsia="hr-HR"/>
              </w:rPr>
              <w:t>sporediti različite metode motiviranja i discipliniranja učenika i učenica</w:t>
            </w:r>
          </w:p>
          <w:p w14:paraId="55BE17E8" w14:textId="558D89F4" w:rsidR="00534AC3" w:rsidRPr="00DF4CE5" w:rsidRDefault="00534AC3" w:rsidP="00A034E3">
            <w:pPr>
              <w:numPr>
                <w:ilvl w:val="0"/>
                <w:numId w:val="60"/>
              </w:numPr>
              <w:spacing w:after="0" w:line="240" w:lineRule="auto"/>
              <w:ind w:left="188" w:hanging="188"/>
              <w:contextualSpacing/>
              <w:rPr>
                <w:rFonts w:ascii="Cambria" w:eastAsia="Times New Roman" w:hAnsi="Cambria" w:cs="Times New Roman"/>
                <w:lang w:val="hr-HR" w:eastAsia="hr-HR"/>
              </w:rPr>
            </w:pPr>
            <w:r w:rsidRPr="00DF4CE5">
              <w:rPr>
                <w:rFonts w:ascii="Cambria" w:eastAsia="Times New Roman" w:hAnsi="Cambria" w:cs="Times New Roman"/>
                <w:lang w:val="hr-HR" w:eastAsia="hr-HR"/>
              </w:rPr>
              <w:t xml:space="preserve"> </w:t>
            </w:r>
            <w:r w:rsidR="006B4F3C" w:rsidRPr="00DF4CE5">
              <w:rPr>
                <w:rFonts w:ascii="Cambria" w:eastAsia="Times New Roman" w:hAnsi="Cambria" w:cs="Times New Roman"/>
                <w:lang w:val="hr-HR" w:eastAsia="hr-HR"/>
              </w:rPr>
              <w:t>a</w:t>
            </w:r>
            <w:r w:rsidRPr="00DF4CE5">
              <w:rPr>
                <w:rFonts w:ascii="Cambria" w:eastAsia="Times New Roman" w:hAnsi="Cambria" w:cs="Times New Roman"/>
                <w:lang w:val="hr-HR" w:eastAsia="hr-HR"/>
              </w:rPr>
              <w:t>nalizirati ulogu učiteljice/učitelja u odgojno-obrazovnom procesu</w:t>
            </w:r>
          </w:p>
        </w:tc>
      </w:tr>
      <w:tr w:rsidR="00534AC3" w:rsidRPr="00DF4CE5" w14:paraId="0DE35CDB" w14:textId="77777777" w:rsidTr="006B4F3C">
        <w:trPr>
          <w:trHeight w:val="1859"/>
        </w:trPr>
        <w:tc>
          <w:tcPr>
            <w:tcW w:w="2315"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61741042" w14:textId="77777777" w:rsidR="00534AC3" w:rsidRPr="00DF4CE5" w:rsidRDefault="00534AC3" w:rsidP="00333E65">
            <w:pPr>
              <w:spacing w:after="0" w:line="240" w:lineRule="auto"/>
              <w:rPr>
                <w:rFonts w:ascii="Cambria" w:eastAsia="Times New Roman" w:hAnsi="Cambria" w:cs="Times New Roman"/>
                <w:lang w:val="hr-HR" w:eastAsia="hr-HR"/>
              </w:rPr>
            </w:pPr>
            <w:r w:rsidRPr="00DF4CE5">
              <w:rPr>
                <w:rFonts w:ascii="Cambria" w:eastAsia="Calibri" w:hAnsi="Cambria" w:cs="Calibri"/>
                <w:lang w:val="hr-HR" w:eastAsia="hr-HR"/>
              </w:rPr>
              <w:t xml:space="preserve">Sadržaj </w:t>
            </w:r>
            <w:r w:rsidRPr="00DF4CE5">
              <w:rPr>
                <w:rFonts w:ascii="Cambria" w:eastAsia="Calibri" w:hAnsi="Cambria" w:cs="Calibri"/>
                <w:color w:val="000000"/>
                <w:lang w:val="hr-HR" w:eastAsia="hr-HR"/>
              </w:rPr>
              <w:t>kolegija</w:t>
            </w:r>
            <w:r w:rsidRPr="00DF4CE5">
              <w:rPr>
                <w:rFonts w:ascii="Cambria" w:eastAsia="Calibri" w:hAnsi="Cambria" w:cs="Calibri"/>
                <w:lang w:val="hr-HR" w:eastAsia="hr-HR"/>
              </w:rPr>
              <w:t xml:space="preserve"> </w:t>
            </w:r>
          </w:p>
        </w:tc>
        <w:tc>
          <w:tcPr>
            <w:tcW w:w="6737" w:type="dxa"/>
            <w:gridSpan w:val="7"/>
            <w:tcBorders>
              <w:top w:val="single" w:sz="8" w:space="0" w:color="000000"/>
              <w:left w:val="single" w:sz="8" w:space="0" w:color="000000"/>
              <w:bottom w:val="single" w:sz="8" w:space="0" w:color="000000"/>
              <w:right w:val="single" w:sz="8" w:space="0" w:color="000000"/>
            </w:tcBorders>
          </w:tcPr>
          <w:p w14:paraId="3CA08DD1" w14:textId="77777777" w:rsidR="00534AC3" w:rsidRPr="00DF4CE5" w:rsidRDefault="00534AC3" w:rsidP="00A034E3">
            <w:pPr>
              <w:numPr>
                <w:ilvl w:val="0"/>
                <w:numId w:val="61"/>
              </w:numPr>
              <w:spacing w:after="0" w:line="240" w:lineRule="auto"/>
              <w:ind w:left="188" w:hanging="188"/>
              <w:contextualSpacing/>
              <w:rPr>
                <w:rFonts w:ascii="Cambria" w:eastAsia="Times New Roman" w:hAnsi="Cambria" w:cs="Times New Roman"/>
                <w:color w:val="000000"/>
                <w:lang w:val="hr-HR" w:eastAsia="hr-HR"/>
              </w:rPr>
            </w:pPr>
            <w:r w:rsidRPr="00DF4CE5">
              <w:rPr>
                <w:rFonts w:ascii="Cambria" w:eastAsia="Times New Roman" w:hAnsi="Cambria" w:cs="Times New Roman"/>
                <w:color w:val="000000"/>
                <w:lang w:val="hr-HR" w:eastAsia="hr-HR"/>
              </w:rPr>
              <w:t xml:space="preserve"> učenje i  vrste učenja</w:t>
            </w:r>
          </w:p>
          <w:p w14:paraId="766D5C98" w14:textId="77777777" w:rsidR="00534AC3" w:rsidRPr="00DF4CE5" w:rsidRDefault="00534AC3" w:rsidP="00A034E3">
            <w:pPr>
              <w:numPr>
                <w:ilvl w:val="0"/>
                <w:numId w:val="61"/>
              </w:numPr>
              <w:spacing w:after="0" w:line="240" w:lineRule="auto"/>
              <w:ind w:left="188" w:hanging="188"/>
              <w:contextualSpacing/>
              <w:rPr>
                <w:rFonts w:ascii="Cambria" w:eastAsia="Times New Roman" w:hAnsi="Cambria" w:cs="Times New Roman"/>
                <w:color w:val="000000"/>
                <w:lang w:val="hr-HR" w:eastAsia="hr-HR"/>
              </w:rPr>
            </w:pPr>
            <w:r w:rsidRPr="00DF4CE5">
              <w:rPr>
                <w:rFonts w:ascii="Cambria" w:eastAsia="Times New Roman" w:hAnsi="Cambria" w:cs="Times New Roman"/>
                <w:color w:val="000000"/>
                <w:lang w:val="hr-HR" w:eastAsia="hr-HR"/>
              </w:rPr>
              <w:t xml:space="preserve"> intelektualne sposobnosti: struktura i mjerenje inteligencije, inteligencija i školski uspjeh</w:t>
            </w:r>
          </w:p>
          <w:p w14:paraId="5C8632F8" w14:textId="77777777" w:rsidR="00534AC3" w:rsidRPr="00DF4CE5" w:rsidRDefault="00534AC3" w:rsidP="00A034E3">
            <w:pPr>
              <w:numPr>
                <w:ilvl w:val="0"/>
                <w:numId w:val="61"/>
              </w:numPr>
              <w:spacing w:after="0" w:line="240" w:lineRule="auto"/>
              <w:ind w:left="188" w:hanging="188"/>
              <w:contextualSpacing/>
              <w:rPr>
                <w:rFonts w:ascii="Cambria" w:eastAsia="Times New Roman" w:hAnsi="Cambria" w:cs="Times New Roman"/>
                <w:color w:val="000000"/>
                <w:lang w:val="hr-HR" w:eastAsia="hr-HR"/>
              </w:rPr>
            </w:pPr>
            <w:r w:rsidRPr="00DF4CE5">
              <w:rPr>
                <w:rFonts w:ascii="Cambria" w:eastAsia="Times New Roman" w:hAnsi="Cambria" w:cs="Times New Roman"/>
                <w:color w:val="000000"/>
                <w:lang w:val="hr-HR" w:eastAsia="hr-HR"/>
              </w:rPr>
              <w:t>pamćenje i zaboravljanje: vrste pamćenja i tehnike zapamćivanja</w:t>
            </w:r>
          </w:p>
          <w:p w14:paraId="235E48C2" w14:textId="77777777" w:rsidR="00534AC3" w:rsidRPr="00DF4CE5" w:rsidRDefault="00534AC3" w:rsidP="00A034E3">
            <w:pPr>
              <w:numPr>
                <w:ilvl w:val="0"/>
                <w:numId w:val="61"/>
              </w:numPr>
              <w:spacing w:after="0" w:line="240" w:lineRule="auto"/>
              <w:ind w:left="188" w:hanging="188"/>
              <w:contextualSpacing/>
              <w:rPr>
                <w:rFonts w:ascii="Cambria" w:eastAsia="Times New Roman" w:hAnsi="Cambria" w:cs="Times New Roman"/>
                <w:color w:val="000000"/>
                <w:lang w:val="hr-HR" w:eastAsia="hr-HR"/>
              </w:rPr>
            </w:pPr>
            <w:r w:rsidRPr="00DF4CE5">
              <w:rPr>
                <w:rFonts w:ascii="Cambria" w:eastAsia="Times New Roman" w:hAnsi="Cambria" w:cs="Times New Roman"/>
                <w:color w:val="000000"/>
                <w:lang w:val="hr-HR" w:eastAsia="hr-HR"/>
              </w:rPr>
              <w:t xml:space="preserve"> pojave koje prate učenje: transfer i interferencija </w:t>
            </w:r>
          </w:p>
          <w:p w14:paraId="731A0D32" w14:textId="77777777" w:rsidR="00534AC3" w:rsidRPr="00DF4CE5" w:rsidRDefault="00534AC3" w:rsidP="00A034E3">
            <w:pPr>
              <w:numPr>
                <w:ilvl w:val="0"/>
                <w:numId w:val="61"/>
              </w:numPr>
              <w:spacing w:after="0" w:line="240" w:lineRule="auto"/>
              <w:ind w:left="188" w:hanging="188"/>
              <w:contextualSpacing/>
              <w:rPr>
                <w:rFonts w:ascii="Cambria" w:eastAsia="Times New Roman" w:hAnsi="Cambria" w:cs="Times New Roman"/>
                <w:color w:val="000000"/>
                <w:lang w:val="hr-HR" w:eastAsia="hr-HR"/>
              </w:rPr>
            </w:pPr>
            <w:r w:rsidRPr="00DF4CE5">
              <w:rPr>
                <w:rFonts w:ascii="Cambria" w:eastAsia="Times New Roman" w:hAnsi="Cambria" w:cs="Times New Roman"/>
                <w:color w:val="000000"/>
                <w:lang w:val="hr-HR" w:eastAsia="hr-HR"/>
              </w:rPr>
              <w:t xml:space="preserve"> učenje i ličnost</w:t>
            </w:r>
          </w:p>
          <w:p w14:paraId="49792562" w14:textId="77777777" w:rsidR="00534AC3" w:rsidRPr="00DF4CE5" w:rsidRDefault="00534AC3" w:rsidP="00A034E3">
            <w:pPr>
              <w:numPr>
                <w:ilvl w:val="0"/>
                <w:numId w:val="61"/>
              </w:numPr>
              <w:spacing w:after="0" w:line="240" w:lineRule="auto"/>
              <w:ind w:left="188" w:hanging="188"/>
              <w:contextualSpacing/>
              <w:rPr>
                <w:rFonts w:ascii="Cambria" w:eastAsia="Times New Roman" w:hAnsi="Cambria" w:cs="Times New Roman"/>
                <w:color w:val="000000"/>
                <w:lang w:val="hr-HR" w:eastAsia="hr-HR"/>
              </w:rPr>
            </w:pPr>
            <w:r w:rsidRPr="00DF4CE5">
              <w:rPr>
                <w:rFonts w:ascii="Cambria" w:eastAsia="Times New Roman" w:hAnsi="Cambria" w:cs="Times New Roman"/>
                <w:color w:val="000000"/>
                <w:lang w:val="hr-HR" w:eastAsia="hr-HR"/>
              </w:rPr>
              <w:t xml:space="preserve">anksioznost u ispitnoj situaciji, matematička anksioznost, </w:t>
            </w:r>
            <w:proofErr w:type="spellStart"/>
            <w:r w:rsidRPr="00DF4CE5">
              <w:rPr>
                <w:rFonts w:ascii="Cambria" w:eastAsia="Times New Roman" w:hAnsi="Cambria" w:cs="Times New Roman"/>
                <w:i/>
                <w:iCs/>
                <w:color w:val="000000"/>
                <w:lang w:val="hr-HR" w:eastAsia="hr-HR"/>
              </w:rPr>
              <w:t>stereotype</w:t>
            </w:r>
            <w:proofErr w:type="spellEnd"/>
            <w:r w:rsidRPr="00DF4CE5">
              <w:rPr>
                <w:rFonts w:ascii="Cambria" w:eastAsia="Times New Roman" w:hAnsi="Cambria" w:cs="Times New Roman"/>
                <w:i/>
                <w:iCs/>
                <w:color w:val="000000"/>
                <w:lang w:val="hr-HR" w:eastAsia="hr-HR"/>
              </w:rPr>
              <w:t xml:space="preserve"> </w:t>
            </w:r>
            <w:proofErr w:type="spellStart"/>
            <w:r w:rsidRPr="00DF4CE5">
              <w:rPr>
                <w:rFonts w:ascii="Cambria" w:eastAsia="Times New Roman" w:hAnsi="Cambria" w:cs="Times New Roman"/>
                <w:i/>
                <w:iCs/>
                <w:color w:val="000000"/>
                <w:lang w:val="hr-HR" w:eastAsia="hr-HR"/>
              </w:rPr>
              <w:t>threat</w:t>
            </w:r>
            <w:proofErr w:type="spellEnd"/>
          </w:p>
          <w:p w14:paraId="479C01EF" w14:textId="77777777" w:rsidR="00534AC3" w:rsidRPr="00DF4CE5" w:rsidRDefault="00534AC3" w:rsidP="00A034E3">
            <w:pPr>
              <w:numPr>
                <w:ilvl w:val="0"/>
                <w:numId w:val="61"/>
              </w:numPr>
              <w:spacing w:after="0" w:line="240" w:lineRule="auto"/>
              <w:ind w:left="188" w:hanging="188"/>
              <w:contextualSpacing/>
              <w:rPr>
                <w:rFonts w:ascii="Cambria" w:eastAsia="Times New Roman" w:hAnsi="Cambria" w:cs="Times New Roman"/>
                <w:color w:val="000000"/>
                <w:lang w:val="hr-HR" w:eastAsia="hr-HR"/>
              </w:rPr>
            </w:pPr>
            <w:r w:rsidRPr="00DF4CE5">
              <w:rPr>
                <w:rFonts w:ascii="Cambria" w:eastAsia="Times New Roman" w:hAnsi="Cambria" w:cs="Times New Roman"/>
                <w:color w:val="000000"/>
                <w:lang w:val="hr-HR" w:eastAsia="hr-HR"/>
              </w:rPr>
              <w:t xml:space="preserve"> osobine uspješnog učitelja/učiteljice</w:t>
            </w:r>
          </w:p>
          <w:p w14:paraId="470305CA" w14:textId="77777777" w:rsidR="00534AC3" w:rsidRPr="00DF4CE5" w:rsidRDefault="00534AC3" w:rsidP="00A034E3">
            <w:pPr>
              <w:numPr>
                <w:ilvl w:val="0"/>
                <w:numId w:val="61"/>
              </w:numPr>
              <w:spacing w:after="0" w:line="240" w:lineRule="auto"/>
              <w:ind w:left="188" w:hanging="188"/>
              <w:contextualSpacing/>
              <w:rPr>
                <w:rFonts w:ascii="Cambria" w:eastAsia="Times New Roman" w:hAnsi="Cambria" w:cs="Times New Roman"/>
                <w:color w:val="000000"/>
                <w:lang w:val="hr-HR" w:eastAsia="hr-HR"/>
              </w:rPr>
            </w:pPr>
            <w:r w:rsidRPr="00DF4CE5">
              <w:rPr>
                <w:rFonts w:ascii="Cambria" w:eastAsia="Times New Roman" w:hAnsi="Cambria" w:cs="Times New Roman"/>
                <w:color w:val="000000"/>
                <w:lang w:val="hr-HR" w:eastAsia="hr-HR"/>
              </w:rPr>
              <w:t xml:space="preserve"> motivacija u učenju i nastavi</w:t>
            </w:r>
          </w:p>
          <w:p w14:paraId="5A01F9A9" w14:textId="77777777" w:rsidR="00534AC3" w:rsidRPr="00DF4CE5" w:rsidRDefault="00534AC3" w:rsidP="00A034E3">
            <w:pPr>
              <w:numPr>
                <w:ilvl w:val="0"/>
                <w:numId w:val="61"/>
              </w:numPr>
              <w:spacing w:after="0" w:line="240" w:lineRule="auto"/>
              <w:ind w:left="188" w:hanging="188"/>
              <w:contextualSpacing/>
              <w:rPr>
                <w:rFonts w:ascii="Cambria" w:eastAsia="Times New Roman" w:hAnsi="Cambria" w:cs="Times New Roman"/>
                <w:color w:val="000000"/>
                <w:lang w:val="hr-HR" w:eastAsia="hr-HR"/>
              </w:rPr>
            </w:pPr>
            <w:r w:rsidRPr="00DF4CE5">
              <w:rPr>
                <w:rFonts w:ascii="Cambria" w:eastAsia="Times New Roman" w:hAnsi="Cambria" w:cs="Times New Roman"/>
                <w:color w:val="000000"/>
                <w:lang w:val="hr-HR" w:eastAsia="hr-HR"/>
              </w:rPr>
              <w:t xml:space="preserve"> disciplina u razredu</w:t>
            </w:r>
          </w:p>
          <w:p w14:paraId="18D3BC16" w14:textId="77777777" w:rsidR="00534AC3" w:rsidRPr="00DF4CE5" w:rsidRDefault="00534AC3" w:rsidP="00333E65">
            <w:pPr>
              <w:spacing w:after="0" w:line="240" w:lineRule="auto"/>
              <w:rPr>
                <w:rFonts w:ascii="Cambria" w:eastAsia="Times New Roman" w:hAnsi="Cambria" w:cs="Times New Roman"/>
                <w:color w:val="000000"/>
                <w:lang w:val="hr-HR" w:eastAsia="hr-HR"/>
              </w:rPr>
            </w:pPr>
            <w:r w:rsidRPr="00DF4CE5">
              <w:rPr>
                <w:rFonts w:ascii="Cambria" w:eastAsia="Times New Roman" w:hAnsi="Cambria" w:cs="Times New Roman"/>
                <w:color w:val="000000"/>
                <w:lang w:val="hr-HR" w:eastAsia="hr-HR"/>
              </w:rPr>
              <w:t>10.  suradnja s roditeljima</w:t>
            </w:r>
          </w:p>
        </w:tc>
      </w:tr>
      <w:tr w:rsidR="00534AC3" w:rsidRPr="00DF4CE5" w14:paraId="0A5A864E" w14:textId="77777777" w:rsidTr="006B4F3C">
        <w:trPr>
          <w:trHeight w:val="834"/>
        </w:trPr>
        <w:tc>
          <w:tcPr>
            <w:tcW w:w="2315" w:type="dxa"/>
            <w:vMerge w:val="restart"/>
            <w:tcBorders>
              <w:top w:val="single" w:sz="8" w:space="0" w:color="000000"/>
              <w:left w:val="single" w:sz="8" w:space="0" w:color="000000"/>
              <w:bottom w:val="single" w:sz="8" w:space="0" w:color="000000"/>
              <w:right w:val="single" w:sz="8" w:space="0" w:color="000000"/>
            </w:tcBorders>
            <w:shd w:val="clear" w:color="auto" w:fill="F3F3F3"/>
            <w:vAlign w:val="center"/>
          </w:tcPr>
          <w:p w14:paraId="666DEE43" w14:textId="77777777" w:rsidR="00534AC3" w:rsidRPr="00DF4CE5" w:rsidRDefault="00534AC3" w:rsidP="00333E65">
            <w:pPr>
              <w:spacing w:after="0" w:line="240" w:lineRule="auto"/>
              <w:rPr>
                <w:rFonts w:ascii="Cambria" w:eastAsia="Times New Roman" w:hAnsi="Cambria" w:cs="Times New Roman"/>
                <w:lang w:val="hr-HR" w:eastAsia="hr-HR"/>
              </w:rPr>
            </w:pPr>
            <w:r w:rsidRPr="00DF4CE5">
              <w:rPr>
                <w:rFonts w:ascii="Cambria" w:eastAsia="Calibri" w:hAnsi="Cambria" w:cs="Calibri"/>
                <w:lang w:val="hr-HR" w:eastAsia="hr-HR"/>
              </w:rPr>
              <w:lastRenderedPageBreak/>
              <w:t xml:space="preserve">Planirane aktivnosti, metode učenja i poučavanja i načini vrednovanja </w:t>
            </w:r>
          </w:p>
        </w:tc>
        <w:tc>
          <w:tcPr>
            <w:tcW w:w="2522" w:type="dxa"/>
            <w:gridSpan w:val="2"/>
            <w:tcBorders>
              <w:top w:val="single" w:sz="8" w:space="0" w:color="000000"/>
              <w:left w:val="single" w:sz="8" w:space="0" w:color="000000"/>
              <w:bottom w:val="single" w:sz="8" w:space="0" w:color="000000"/>
              <w:right w:val="single" w:sz="8" w:space="0" w:color="000000"/>
            </w:tcBorders>
            <w:vAlign w:val="center"/>
          </w:tcPr>
          <w:p w14:paraId="225A5CBB" w14:textId="77777777" w:rsidR="00534AC3" w:rsidRPr="00DF4CE5" w:rsidRDefault="00534AC3" w:rsidP="00333E65">
            <w:pPr>
              <w:spacing w:after="0" w:line="240" w:lineRule="auto"/>
              <w:ind w:left="4"/>
              <w:rPr>
                <w:rFonts w:ascii="Cambria" w:eastAsia="Times New Roman" w:hAnsi="Cambria" w:cs="Times New Roman"/>
                <w:lang w:val="hr-HR" w:eastAsia="hr-HR"/>
              </w:rPr>
            </w:pPr>
            <w:r w:rsidRPr="00DF4CE5">
              <w:rPr>
                <w:rFonts w:ascii="Cambria" w:eastAsia="Calibri" w:hAnsi="Cambria" w:cs="Calibri"/>
                <w:lang w:val="hr-HR" w:eastAsia="hr-HR"/>
              </w:rPr>
              <w:t>Obveze</w:t>
            </w:r>
          </w:p>
        </w:tc>
        <w:tc>
          <w:tcPr>
            <w:tcW w:w="813" w:type="dxa"/>
            <w:tcBorders>
              <w:top w:val="single" w:sz="8" w:space="0" w:color="000000"/>
              <w:left w:val="single" w:sz="8" w:space="0" w:color="000000"/>
              <w:bottom w:val="single" w:sz="8" w:space="0" w:color="000000"/>
              <w:right w:val="single" w:sz="8" w:space="0" w:color="000000"/>
            </w:tcBorders>
            <w:vAlign w:val="center"/>
          </w:tcPr>
          <w:p w14:paraId="7FA423FB" w14:textId="77777777" w:rsidR="00534AC3" w:rsidRPr="00DF4CE5" w:rsidRDefault="00534AC3" w:rsidP="00333E65">
            <w:pPr>
              <w:spacing w:after="0" w:line="240" w:lineRule="auto"/>
              <w:ind w:left="1"/>
              <w:rPr>
                <w:rFonts w:ascii="Cambria" w:eastAsia="Times New Roman" w:hAnsi="Cambria" w:cs="Times New Roman"/>
                <w:lang w:val="hr-HR" w:eastAsia="hr-HR"/>
              </w:rPr>
            </w:pPr>
            <w:r w:rsidRPr="00DF4CE5">
              <w:rPr>
                <w:rFonts w:ascii="Cambria" w:eastAsia="Calibri" w:hAnsi="Cambria" w:cs="Calibri"/>
                <w:lang w:val="hr-HR" w:eastAsia="hr-HR"/>
              </w:rPr>
              <w:t>Ishodi</w:t>
            </w:r>
          </w:p>
        </w:tc>
        <w:tc>
          <w:tcPr>
            <w:tcW w:w="1156" w:type="dxa"/>
            <w:gridSpan w:val="2"/>
            <w:tcBorders>
              <w:top w:val="single" w:sz="8" w:space="0" w:color="000000"/>
              <w:left w:val="single" w:sz="8" w:space="0" w:color="000000"/>
              <w:bottom w:val="single" w:sz="8" w:space="0" w:color="000000"/>
              <w:right w:val="single" w:sz="8" w:space="0" w:color="000000"/>
            </w:tcBorders>
            <w:vAlign w:val="center"/>
          </w:tcPr>
          <w:p w14:paraId="57056146" w14:textId="77777777" w:rsidR="00534AC3" w:rsidRPr="00DF4CE5" w:rsidRDefault="00534AC3" w:rsidP="00333E65">
            <w:pPr>
              <w:spacing w:after="0" w:line="240" w:lineRule="auto"/>
              <w:ind w:left="1"/>
              <w:rPr>
                <w:rFonts w:ascii="Cambria" w:eastAsia="Times New Roman" w:hAnsi="Cambria" w:cs="Times New Roman"/>
                <w:lang w:val="hr-HR" w:eastAsia="hr-HR"/>
              </w:rPr>
            </w:pPr>
            <w:r w:rsidRPr="00DF4CE5">
              <w:rPr>
                <w:rFonts w:ascii="Cambria" w:eastAsia="Calibri" w:hAnsi="Cambria" w:cs="Calibri"/>
                <w:lang w:val="hr-HR" w:eastAsia="hr-HR"/>
              </w:rPr>
              <w:t>Sati</w:t>
            </w:r>
          </w:p>
        </w:tc>
        <w:tc>
          <w:tcPr>
            <w:tcW w:w="909" w:type="dxa"/>
            <w:tcBorders>
              <w:top w:val="single" w:sz="8" w:space="0" w:color="000000"/>
              <w:left w:val="single" w:sz="8" w:space="0" w:color="000000"/>
              <w:bottom w:val="single" w:sz="8" w:space="0" w:color="000000"/>
              <w:right w:val="single" w:sz="8" w:space="0" w:color="000000"/>
            </w:tcBorders>
            <w:vAlign w:val="center"/>
          </w:tcPr>
          <w:p w14:paraId="04719579" w14:textId="77777777" w:rsidR="00534AC3" w:rsidRPr="00DF4CE5" w:rsidRDefault="00534AC3" w:rsidP="00333E65">
            <w:pPr>
              <w:spacing w:after="0" w:line="240" w:lineRule="auto"/>
              <w:ind w:left="4"/>
              <w:rPr>
                <w:rFonts w:ascii="Cambria" w:eastAsia="Times New Roman" w:hAnsi="Cambria" w:cs="Times New Roman"/>
                <w:lang w:val="hr-HR" w:eastAsia="hr-HR"/>
              </w:rPr>
            </w:pPr>
            <w:r w:rsidRPr="00DF4CE5">
              <w:rPr>
                <w:rFonts w:ascii="Cambria" w:eastAsia="Calibri" w:hAnsi="Cambria" w:cs="Calibri"/>
                <w:lang w:val="hr-HR" w:eastAsia="hr-HR"/>
              </w:rPr>
              <w:t>ECTS</w:t>
            </w:r>
          </w:p>
        </w:tc>
        <w:tc>
          <w:tcPr>
            <w:tcW w:w="1337" w:type="dxa"/>
            <w:tcBorders>
              <w:top w:val="single" w:sz="8" w:space="0" w:color="000000"/>
              <w:left w:val="single" w:sz="8" w:space="0" w:color="000000"/>
              <w:bottom w:val="single" w:sz="8" w:space="0" w:color="000000"/>
              <w:right w:val="single" w:sz="8" w:space="0" w:color="000000"/>
            </w:tcBorders>
          </w:tcPr>
          <w:p w14:paraId="147FEAAC" w14:textId="77777777" w:rsidR="00534AC3" w:rsidRPr="00DF4CE5" w:rsidRDefault="00534AC3" w:rsidP="00333E65">
            <w:pPr>
              <w:spacing w:after="0" w:line="240" w:lineRule="auto"/>
              <w:ind w:left="4"/>
              <w:rPr>
                <w:rFonts w:ascii="Cambria" w:eastAsia="Times New Roman" w:hAnsi="Cambria" w:cs="Times New Roman"/>
                <w:lang w:val="hr-HR" w:eastAsia="hr-HR"/>
              </w:rPr>
            </w:pPr>
            <w:r w:rsidRPr="00DF4CE5">
              <w:rPr>
                <w:rFonts w:ascii="Cambria" w:eastAsia="Calibri" w:hAnsi="Cambria" w:cs="Calibri"/>
                <w:lang w:val="hr-HR" w:eastAsia="hr-HR"/>
              </w:rPr>
              <w:t>Maksimalni udio u ocjeni (%)</w:t>
            </w:r>
          </w:p>
        </w:tc>
      </w:tr>
      <w:tr w:rsidR="00534AC3" w:rsidRPr="00DF4CE5" w14:paraId="5F25C33E" w14:textId="77777777" w:rsidTr="006B4F3C">
        <w:trPr>
          <w:trHeight w:val="305"/>
        </w:trPr>
        <w:tc>
          <w:tcPr>
            <w:tcW w:w="2315" w:type="dxa"/>
            <w:vMerge/>
            <w:tcBorders>
              <w:top w:val="nil"/>
              <w:left w:val="single" w:sz="8" w:space="0" w:color="000000"/>
              <w:bottom w:val="nil"/>
              <w:right w:val="single" w:sz="8" w:space="0" w:color="000000"/>
            </w:tcBorders>
          </w:tcPr>
          <w:p w14:paraId="4DDF0C31" w14:textId="77777777" w:rsidR="00534AC3" w:rsidRPr="00DF4CE5" w:rsidRDefault="00534AC3" w:rsidP="00333E65">
            <w:pPr>
              <w:spacing w:after="0" w:line="240" w:lineRule="auto"/>
              <w:rPr>
                <w:rFonts w:ascii="Cambria" w:eastAsia="Times New Roman" w:hAnsi="Cambria" w:cs="Times New Roman"/>
                <w:lang w:val="hr-HR" w:eastAsia="hr-HR"/>
              </w:rPr>
            </w:pPr>
          </w:p>
        </w:tc>
        <w:tc>
          <w:tcPr>
            <w:tcW w:w="2522" w:type="dxa"/>
            <w:gridSpan w:val="2"/>
            <w:tcBorders>
              <w:top w:val="single" w:sz="8" w:space="0" w:color="000000"/>
              <w:left w:val="single" w:sz="8" w:space="0" w:color="000000"/>
              <w:bottom w:val="single" w:sz="8" w:space="0" w:color="000000"/>
              <w:right w:val="single" w:sz="8" w:space="0" w:color="000000"/>
            </w:tcBorders>
          </w:tcPr>
          <w:p w14:paraId="00E393F0" w14:textId="57958022" w:rsidR="00534AC3" w:rsidRPr="00DF4CE5" w:rsidRDefault="00534AC3" w:rsidP="00333E65">
            <w:pPr>
              <w:spacing w:after="0" w:line="240" w:lineRule="auto"/>
              <w:ind w:left="4"/>
              <w:rPr>
                <w:rFonts w:ascii="Cambria" w:eastAsia="Times New Roman" w:hAnsi="Cambria" w:cs="Times New Roman"/>
                <w:lang w:val="hr-HR" w:eastAsia="hr-HR"/>
              </w:rPr>
            </w:pPr>
            <w:r w:rsidRPr="00DF4CE5">
              <w:rPr>
                <w:rFonts w:ascii="Cambria" w:eastAsia="Calibri" w:hAnsi="Cambria" w:cs="Calibri"/>
                <w:lang w:val="hr-HR" w:eastAsia="hr-HR"/>
              </w:rPr>
              <w:t>aktivnost u nastavi (P,</w:t>
            </w:r>
            <w:r w:rsidR="006B4F3C" w:rsidRPr="00DF4CE5">
              <w:rPr>
                <w:rFonts w:ascii="Cambria" w:eastAsia="Calibri" w:hAnsi="Cambria" w:cs="Calibri"/>
                <w:lang w:val="hr-HR" w:eastAsia="hr-HR"/>
              </w:rPr>
              <w:t xml:space="preserve"> </w:t>
            </w:r>
            <w:r w:rsidRPr="00DF4CE5">
              <w:rPr>
                <w:rFonts w:ascii="Cambria" w:eastAsia="Calibri" w:hAnsi="Cambria" w:cs="Calibri"/>
                <w:lang w:val="hr-HR" w:eastAsia="hr-HR"/>
              </w:rPr>
              <w:t>S,</w:t>
            </w:r>
            <w:r w:rsidR="006B4F3C" w:rsidRPr="00DF4CE5">
              <w:rPr>
                <w:rFonts w:ascii="Cambria" w:eastAsia="Calibri" w:hAnsi="Cambria" w:cs="Calibri"/>
                <w:lang w:val="hr-HR" w:eastAsia="hr-HR"/>
              </w:rPr>
              <w:t xml:space="preserve"> </w:t>
            </w:r>
            <w:r w:rsidRPr="00DF4CE5">
              <w:rPr>
                <w:rFonts w:ascii="Cambria" w:eastAsia="Calibri" w:hAnsi="Cambria" w:cs="Calibri"/>
                <w:lang w:val="hr-HR" w:eastAsia="hr-HR"/>
              </w:rPr>
              <w:t xml:space="preserve">V) </w:t>
            </w:r>
          </w:p>
        </w:tc>
        <w:tc>
          <w:tcPr>
            <w:tcW w:w="813" w:type="dxa"/>
            <w:tcBorders>
              <w:top w:val="single" w:sz="8" w:space="0" w:color="000000"/>
              <w:left w:val="single" w:sz="8" w:space="0" w:color="000000"/>
              <w:bottom w:val="single" w:sz="8" w:space="0" w:color="000000"/>
              <w:right w:val="single" w:sz="8" w:space="0" w:color="000000"/>
            </w:tcBorders>
          </w:tcPr>
          <w:p w14:paraId="35AF1363" w14:textId="650189EA" w:rsidR="00534AC3" w:rsidRPr="00DF4CE5" w:rsidRDefault="00534AC3" w:rsidP="00333E65">
            <w:pPr>
              <w:spacing w:after="0" w:line="240" w:lineRule="auto"/>
              <w:ind w:right="50"/>
              <w:jc w:val="center"/>
              <w:rPr>
                <w:rFonts w:ascii="Cambria" w:eastAsia="Times New Roman" w:hAnsi="Cambria" w:cs="Times New Roman"/>
                <w:lang w:val="hr-HR" w:eastAsia="hr-HR"/>
              </w:rPr>
            </w:pPr>
            <w:r w:rsidRPr="00DF4CE5">
              <w:rPr>
                <w:rFonts w:ascii="Cambria" w:eastAsia="Calibri" w:hAnsi="Cambria" w:cs="Calibri"/>
                <w:lang w:val="hr-HR" w:eastAsia="hr-HR"/>
              </w:rPr>
              <w:t>1</w:t>
            </w:r>
            <w:r w:rsidR="006B4F3C" w:rsidRPr="00DF4CE5">
              <w:rPr>
                <w:rFonts w:ascii="Cambria" w:eastAsia="Calibri" w:hAnsi="Cambria" w:cs="Calibri"/>
                <w:lang w:val="hr-HR" w:eastAsia="hr-HR"/>
              </w:rPr>
              <w:t xml:space="preserve">. – </w:t>
            </w:r>
            <w:r w:rsidRPr="00DF4CE5">
              <w:rPr>
                <w:rFonts w:ascii="Cambria" w:eastAsia="Calibri" w:hAnsi="Cambria" w:cs="Calibri"/>
                <w:lang w:val="hr-HR" w:eastAsia="hr-HR"/>
              </w:rPr>
              <w:t>4</w:t>
            </w:r>
            <w:r w:rsidR="006B4F3C" w:rsidRPr="00DF4CE5">
              <w:rPr>
                <w:rFonts w:ascii="Cambria" w:eastAsia="Calibri" w:hAnsi="Cambria" w:cs="Calibri"/>
                <w:lang w:val="hr-HR" w:eastAsia="hr-HR"/>
              </w:rPr>
              <w:t xml:space="preserve">. </w:t>
            </w:r>
          </w:p>
        </w:tc>
        <w:tc>
          <w:tcPr>
            <w:tcW w:w="1156" w:type="dxa"/>
            <w:gridSpan w:val="2"/>
            <w:tcBorders>
              <w:top w:val="single" w:sz="8" w:space="0" w:color="000000"/>
              <w:left w:val="single" w:sz="8" w:space="0" w:color="000000"/>
              <w:bottom w:val="single" w:sz="8" w:space="0" w:color="000000"/>
              <w:right w:val="single" w:sz="8" w:space="0" w:color="000000"/>
            </w:tcBorders>
          </w:tcPr>
          <w:p w14:paraId="18879576" w14:textId="77777777" w:rsidR="00534AC3" w:rsidRPr="00DF4CE5" w:rsidRDefault="00534AC3" w:rsidP="00333E65">
            <w:pPr>
              <w:spacing w:after="0" w:line="240" w:lineRule="auto"/>
              <w:ind w:right="54"/>
              <w:jc w:val="center"/>
              <w:rPr>
                <w:rFonts w:ascii="Cambria" w:eastAsia="Times New Roman" w:hAnsi="Cambria" w:cs="Times New Roman"/>
                <w:lang w:val="hr-HR" w:eastAsia="hr-HR"/>
              </w:rPr>
            </w:pPr>
            <w:r w:rsidRPr="00DF4CE5">
              <w:rPr>
                <w:rFonts w:ascii="Cambria" w:eastAsia="Calibri" w:hAnsi="Cambria" w:cs="Calibri"/>
                <w:lang w:val="hr-HR" w:eastAsia="hr-HR"/>
              </w:rPr>
              <w:t>45</w:t>
            </w:r>
          </w:p>
        </w:tc>
        <w:tc>
          <w:tcPr>
            <w:tcW w:w="909" w:type="dxa"/>
            <w:tcBorders>
              <w:top w:val="single" w:sz="8" w:space="0" w:color="000000"/>
              <w:left w:val="single" w:sz="8" w:space="0" w:color="000000"/>
              <w:bottom w:val="single" w:sz="8" w:space="0" w:color="000000"/>
              <w:right w:val="single" w:sz="8" w:space="0" w:color="000000"/>
            </w:tcBorders>
          </w:tcPr>
          <w:p w14:paraId="247D7C4D" w14:textId="77777777" w:rsidR="00534AC3" w:rsidRPr="00DF4CE5" w:rsidRDefault="00534AC3" w:rsidP="00333E65">
            <w:pPr>
              <w:spacing w:after="0" w:line="240" w:lineRule="auto"/>
              <w:ind w:right="49"/>
              <w:jc w:val="center"/>
              <w:rPr>
                <w:rFonts w:ascii="Cambria" w:eastAsia="Times New Roman" w:hAnsi="Cambria" w:cs="Times New Roman"/>
                <w:lang w:val="hr-HR" w:eastAsia="hr-HR"/>
              </w:rPr>
            </w:pPr>
            <w:r w:rsidRPr="00DF4CE5">
              <w:rPr>
                <w:rFonts w:ascii="Cambria" w:eastAsia="Calibri" w:hAnsi="Cambria" w:cs="Calibri"/>
                <w:lang w:val="hr-HR" w:eastAsia="hr-HR"/>
              </w:rPr>
              <w:t>1,5</w:t>
            </w:r>
          </w:p>
        </w:tc>
        <w:tc>
          <w:tcPr>
            <w:tcW w:w="1337" w:type="dxa"/>
            <w:tcBorders>
              <w:top w:val="single" w:sz="8" w:space="0" w:color="000000"/>
              <w:left w:val="single" w:sz="8" w:space="0" w:color="000000"/>
              <w:bottom w:val="single" w:sz="8" w:space="0" w:color="000000"/>
              <w:right w:val="single" w:sz="8" w:space="0" w:color="000000"/>
            </w:tcBorders>
          </w:tcPr>
          <w:p w14:paraId="7D1664CB" w14:textId="77777777" w:rsidR="00534AC3" w:rsidRPr="00DF4CE5" w:rsidRDefault="00534AC3" w:rsidP="00333E65">
            <w:pPr>
              <w:spacing w:after="0" w:line="240" w:lineRule="auto"/>
              <w:ind w:right="43"/>
              <w:jc w:val="center"/>
              <w:rPr>
                <w:rFonts w:ascii="Cambria" w:eastAsia="Times New Roman" w:hAnsi="Cambria" w:cs="Times New Roman"/>
                <w:lang w:val="hr-HR" w:eastAsia="hr-HR"/>
              </w:rPr>
            </w:pPr>
            <w:r w:rsidRPr="00DF4CE5">
              <w:rPr>
                <w:rFonts w:ascii="Cambria" w:eastAsia="Calibri" w:hAnsi="Cambria" w:cs="Calibri"/>
                <w:lang w:val="hr-HR" w:eastAsia="hr-HR"/>
              </w:rPr>
              <w:t xml:space="preserve">0% </w:t>
            </w:r>
          </w:p>
        </w:tc>
      </w:tr>
      <w:tr w:rsidR="00534AC3" w:rsidRPr="00DF4CE5" w14:paraId="148B621D" w14:textId="77777777" w:rsidTr="006B4F3C">
        <w:trPr>
          <w:trHeight w:val="302"/>
        </w:trPr>
        <w:tc>
          <w:tcPr>
            <w:tcW w:w="2315" w:type="dxa"/>
            <w:vMerge/>
            <w:tcBorders>
              <w:top w:val="nil"/>
              <w:left w:val="single" w:sz="8" w:space="0" w:color="000000"/>
              <w:bottom w:val="nil"/>
              <w:right w:val="single" w:sz="8" w:space="0" w:color="000000"/>
            </w:tcBorders>
          </w:tcPr>
          <w:p w14:paraId="46C01955" w14:textId="77777777" w:rsidR="00534AC3" w:rsidRPr="00DF4CE5" w:rsidRDefault="00534AC3" w:rsidP="00333E65">
            <w:pPr>
              <w:spacing w:after="0" w:line="240" w:lineRule="auto"/>
              <w:rPr>
                <w:rFonts w:ascii="Cambria" w:eastAsia="Times New Roman" w:hAnsi="Cambria" w:cs="Times New Roman"/>
                <w:lang w:val="hr-HR" w:eastAsia="hr-HR"/>
              </w:rPr>
            </w:pPr>
          </w:p>
        </w:tc>
        <w:tc>
          <w:tcPr>
            <w:tcW w:w="2522" w:type="dxa"/>
            <w:gridSpan w:val="2"/>
            <w:tcBorders>
              <w:top w:val="single" w:sz="8" w:space="0" w:color="000000"/>
              <w:left w:val="single" w:sz="8" w:space="0" w:color="000000"/>
              <w:bottom w:val="single" w:sz="8" w:space="0" w:color="000000"/>
              <w:right w:val="single" w:sz="8" w:space="0" w:color="000000"/>
            </w:tcBorders>
          </w:tcPr>
          <w:p w14:paraId="5298BCBA" w14:textId="77777777" w:rsidR="00534AC3" w:rsidRPr="00DF4CE5" w:rsidRDefault="00534AC3" w:rsidP="00333E65">
            <w:pPr>
              <w:spacing w:after="0" w:line="240" w:lineRule="auto"/>
              <w:ind w:left="4"/>
              <w:rPr>
                <w:rFonts w:ascii="Cambria" w:eastAsia="Times New Roman" w:hAnsi="Cambria" w:cs="Times New Roman"/>
                <w:lang w:val="hr-HR" w:eastAsia="hr-HR"/>
              </w:rPr>
            </w:pPr>
            <w:r w:rsidRPr="00DF4CE5">
              <w:rPr>
                <w:rFonts w:ascii="Cambria" w:eastAsia="Calibri" w:hAnsi="Cambria" w:cs="Calibri"/>
                <w:lang w:val="hr-HR" w:eastAsia="hr-HR"/>
              </w:rPr>
              <w:t>pismeni radovi (seminari)</w:t>
            </w:r>
          </w:p>
        </w:tc>
        <w:tc>
          <w:tcPr>
            <w:tcW w:w="813" w:type="dxa"/>
            <w:tcBorders>
              <w:top w:val="single" w:sz="8" w:space="0" w:color="000000"/>
              <w:left w:val="single" w:sz="8" w:space="0" w:color="000000"/>
              <w:bottom w:val="single" w:sz="8" w:space="0" w:color="000000"/>
              <w:right w:val="single" w:sz="8" w:space="0" w:color="000000"/>
            </w:tcBorders>
          </w:tcPr>
          <w:p w14:paraId="488D0629" w14:textId="2EA7B925" w:rsidR="00534AC3" w:rsidRPr="00DF4CE5" w:rsidRDefault="006B4F3C" w:rsidP="00333E65">
            <w:pPr>
              <w:spacing w:after="0" w:line="240" w:lineRule="auto"/>
              <w:ind w:right="55"/>
              <w:jc w:val="center"/>
              <w:rPr>
                <w:rFonts w:ascii="Cambria" w:eastAsia="Times New Roman" w:hAnsi="Cambria" w:cs="Times New Roman"/>
                <w:lang w:val="hr-HR" w:eastAsia="hr-HR"/>
              </w:rPr>
            </w:pPr>
            <w:r w:rsidRPr="00DF4CE5">
              <w:rPr>
                <w:rFonts w:ascii="Cambria" w:eastAsia="Times New Roman" w:hAnsi="Cambria" w:cs="Times New Roman"/>
                <w:lang w:val="hr-HR" w:eastAsia="hr-HR"/>
              </w:rPr>
              <w:t>1. – 4.</w:t>
            </w:r>
          </w:p>
        </w:tc>
        <w:tc>
          <w:tcPr>
            <w:tcW w:w="1156" w:type="dxa"/>
            <w:gridSpan w:val="2"/>
            <w:tcBorders>
              <w:top w:val="single" w:sz="8" w:space="0" w:color="000000"/>
              <w:left w:val="single" w:sz="8" w:space="0" w:color="000000"/>
              <w:bottom w:val="single" w:sz="8" w:space="0" w:color="000000"/>
              <w:right w:val="single" w:sz="8" w:space="0" w:color="000000"/>
            </w:tcBorders>
          </w:tcPr>
          <w:p w14:paraId="65321D85" w14:textId="77777777" w:rsidR="00534AC3" w:rsidRPr="00DF4CE5" w:rsidRDefault="00534AC3" w:rsidP="00333E65">
            <w:pPr>
              <w:spacing w:after="0" w:line="240" w:lineRule="auto"/>
              <w:ind w:right="54"/>
              <w:jc w:val="center"/>
              <w:rPr>
                <w:rFonts w:ascii="Cambria" w:eastAsia="Times New Roman" w:hAnsi="Cambria" w:cs="Times New Roman"/>
                <w:lang w:val="hr-HR" w:eastAsia="hr-HR"/>
              </w:rPr>
            </w:pPr>
            <w:r w:rsidRPr="00DF4CE5">
              <w:rPr>
                <w:rFonts w:ascii="Cambria" w:eastAsia="Calibri" w:hAnsi="Cambria" w:cs="Calibri"/>
                <w:lang w:val="hr-HR" w:eastAsia="hr-HR"/>
              </w:rPr>
              <w:t>30</w:t>
            </w:r>
          </w:p>
        </w:tc>
        <w:tc>
          <w:tcPr>
            <w:tcW w:w="909" w:type="dxa"/>
            <w:tcBorders>
              <w:top w:val="single" w:sz="8" w:space="0" w:color="000000"/>
              <w:left w:val="single" w:sz="8" w:space="0" w:color="000000"/>
              <w:bottom w:val="single" w:sz="8" w:space="0" w:color="000000"/>
              <w:right w:val="single" w:sz="8" w:space="0" w:color="000000"/>
            </w:tcBorders>
          </w:tcPr>
          <w:p w14:paraId="4EA37439" w14:textId="77777777" w:rsidR="00534AC3" w:rsidRPr="00DF4CE5" w:rsidRDefault="00534AC3" w:rsidP="00333E65">
            <w:pPr>
              <w:spacing w:after="0" w:line="240" w:lineRule="auto"/>
              <w:ind w:right="49"/>
              <w:jc w:val="center"/>
              <w:rPr>
                <w:rFonts w:ascii="Cambria" w:eastAsia="Times New Roman" w:hAnsi="Cambria" w:cs="Times New Roman"/>
                <w:lang w:val="hr-HR" w:eastAsia="hr-HR"/>
              </w:rPr>
            </w:pPr>
            <w:r w:rsidRPr="00DF4CE5">
              <w:rPr>
                <w:rFonts w:ascii="Cambria" w:eastAsia="Calibri" w:hAnsi="Cambria" w:cs="Calibri"/>
                <w:lang w:val="hr-HR" w:eastAsia="hr-HR"/>
              </w:rPr>
              <w:t xml:space="preserve">1 </w:t>
            </w:r>
          </w:p>
        </w:tc>
        <w:tc>
          <w:tcPr>
            <w:tcW w:w="1337" w:type="dxa"/>
            <w:tcBorders>
              <w:top w:val="single" w:sz="8" w:space="0" w:color="000000"/>
              <w:left w:val="single" w:sz="8" w:space="0" w:color="000000"/>
              <w:bottom w:val="single" w:sz="8" w:space="0" w:color="000000"/>
              <w:right w:val="single" w:sz="8" w:space="0" w:color="000000"/>
            </w:tcBorders>
          </w:tcPr>
          <w:p w14:paraId="6FAE80AD" w14:textId="77777777" w:rsidR="00534AC3" w:rsidRPr="00DF4CE5" w:rsidRDefault="00534AC3" w:rsidP="00333E65">
            <w:pPr>
              <w:spacing w:after="0" w:line="240" w:lineRule="auto"/>
              <w:ind w:right="43"/>
              <w:jc w:val="center"/>
              <w:rPr>
                <w:rFonts w:ascii="Cambria" w:eastAsia="Times New Roman" w:hAnsi="Cambria" w:cs="Times New Roman"/>
                <w:lang w:val="hr-HR" w:eastAsia="hr-HR"/>
              </w:rPr>
            </w:pPr>
            <w:r w:rsidRPr="00DF4CE5">
              <w:rPr>
                <w:rFonts w:ascii="Cambria" w:eastAsia="Calibri" w:hAnsi="Cambria" w:cs="Calibri"/>
                <w:lang w:val="hr-HR" w:eastAsia="hr-HR"/>
              </w:rPr>
              <w:t xml:space="preserve">20% </w:t>
            </w:r>
          </w:p>
        </w:tc>
      </w:tr>
      <w:tr w:rsidR="00534AC3" w:rsidRPr="00DF4CE5" w14:paraId="57AB43DA" w14:textId="77777777" w:rsidTr="006B4F3C">
        <w:trPr>
          <w:trHeight w:val="305"/>
        </w:trPr>
        <w:tc>
          <w:tcPr>
            <w:tcW w:w="2315" w:type="dxa"/>
            <w:vMerge/>
            <w:tcBorders>
              <w:top w:val="nil"/>
              <w:left w:val="single" w:sz="8" w:space="0" w:color="000000"/>
              <w:bottom w:val="nil"/>
              <w:right w:val="single" w:sz="8" w:space="0" w:color="000000"/>
            </w:tcBorders>
          </w:tcPr>
          <w:p w14:paraId="423FB05A" w14:textId="77777777" w:rsidR="00534AC3" w:rsidRPr="00DF4CE5" w:rsidRDefault="00534AC3" w:rsidP="00333E65">
            <w:pPr>
              <w:spacing w:after="0" w:line="240" w:lineRule="auto"/>
              <w:rPr>
                <w:rFonts w:ascii="Cambria" w:eastAsia="Times New Roman" w:hAnsi="Cambria" w:cs="Times New Roman"/>
                <w:lang w:val="hr-HR" w:eastAsia="hr-HR"/>
              </w:rPr>
            </w:pPr>
          </w:p>
        </w:tc>
        <w:tc>
          <w:tcPr>
            <w:tcW w:w="2522" w:type="dxa"/>
            <w:gridSpan w:val="2"/>
            <w:tcBorders>
              <w:top w:val="single" w:sz="8" w:space="0" w:color="000000"/>
              <w:left w:val="single" w:sz="8" w:space="0" w:color="000000"/>
              <w:bottom w:val="single" w:sz="8" w:space="0" w:color="000000"/>
              <w:right w:val="single" w:sz="8" w:space="0" w:color="000000"/>
            </w:tcBorders>
          </w:tcPr>
          <w:p w14:paraId="205D40EB" w14:textId="77777777" w:rsidR="00534AC3" w:rsidRPr="00DF4CE5" w:rsidRDefault="00534AC3" w:rsidP="00333E65">
            <w:pPr>
              <w:spacing w:after="0" w:line="240" w:lineRule="auto"/>
              <w:ind w:left="4"/>
              <w:rPr>
                <w:rFonts w:ascii="Cambria" w:eastAsia="Times New Roman" w:hAnsi="Cambria" w:cs="Times New Roman"/>
                <w:lang w:val="hr-HR" w:eastAsia="hr-HR"/>
              </w:rPr>
            </w:pPr>
            <w:r w:rsidRPr="00DF4CE5">
              <w:rPr>
                <w:rFonts w:ascii="Cambria" w:eastAsia="Calibri" w:hAnsi="Cambria" w:cs="Calibri"/>
                <w:lang w:val="hr-HR" w:eastAsia="hr-HR"/>
              </w:rPr>
              <w:t>usmena izlaganja seminara</w:t>
            </w:r>
          </w:p>
        </w:tc>
        <w:tc>
          <w:tcPr>
            <w:tcW w:w="813" w:type="dxa"/>
            <w:tcBorders>
              <w:top w:val="single" w:sz="8" w:space="0" w:color="000000"/>
              <w:left w:val="single" w:sz="8" w:space="0" w:color="000000"/>
              <w:bottom w:val="single" w:sz="8" w:space="0" w:color="000000"/>
              <w:right w:val="single" w:sz="8" w:space="0" w:color="000000"/>
            </w:tcBorders>
          </w:tcPr>
          <w:p w14:paraId="34903124" w14:textId="0FB36ACF" w:rsidR="00534AC3" w:rsidRPr="00DF4CE5" w:rsidRDefault="006B4F3C" w:rsidP="00333E65">
            <w:pPr>
              <w:spacing w:after="0" w:line="240" w:lineRule="auto"/>
              <w:ind w:right="49"/>
              <w:jc w:val="center"/>
              <w:rPr>
                <w:rFonts w:ascii="Cambria" w:eastAsia="Times New Roman" w:hAnsi="Cambria" w:cs="Times New Roman"/>
                <w:lang w:val="hr-HR" w:eastAsia="hr-HR"/>
              </w:rPr>
            </w:pPr>
            <w:r w:rsidRPr="00DF4CE5">
              <w:rPr>
                <w:rFonts w:ascii="Cambria" w:eastAsia="Times New Roman" w:hAnsi="Cambria" w:cs="Times New Roman"/>
                <w:lang w:val="hr-HR" w:eastAsia="hr-HR"/>
              </w:rPr>
              <w:t>1. – 4.</w:t>
            </w:r>
          </w:p>
        </w:tc>
        <w:tc>
          <w:tcPr>
            <w:tcW w:w="1156" w:type="dxa"/>
            <w:gridSpan w:val="2"/>
            <w:tcBorders>
              <w:top w:val="single" w:sz="8" w:space="0" w:color="000000"/>
              <w:left w:val="single" w:sz="8" w:space="0" w:color="000000"/>
              <w:bottom w:val="single" w:sz="8" w:space="0" w:color="000000"/>
              <w:right w:val="single" w:sz="8" w:space="0" w:color="000000"/>
            </w:tcBorders>
          </w:tcPr>
          <w:p w14:paraId="1ABA0DA5" w14:textId="77777777" w:rsidR="00534AC3" w:rsidRPr="00DF4CE5" w:rsidRDefault="00534AC3" w:rsidP="00333E65">
            <w:pPr>
              <w:spacing w:after="0" w:line="240" w:lineRule="auto"/>
              <w:ind w:right="54"/>
              <w:jc w:val="center"/>
              <w:rPr>
                <w:rFonts w:ascii="Cambria" w:eastAsia="Times New Roman" w:hAnsi="Cambria" w:cs="Times New Roman"/>
                <w:lang w:val="hr-HR" w:eastAsia="hr-HR"/>
              </w:rPr>
            </w:pPr>
            <w:r w:rsidRPr="00DF4CE5">
              <w:rPr>
                <w:rFonts w:ascii="Cambria" w:eastAsia="Calibri" w:hAnsi="Cambria" w:cs="Calibri"/>
                <w:lang w:val="hr-HR" w:eastAsia="hr-HR"/>
              </w:rPr>
              <w:t>20</w:t>
            </w:r>
          </w:p>
        </w:tc>
        <w:tc>
          <w:tcPr>
            <w:tcW w:w="909" w:type="dxa"/>
            <w:tcBorders>
              <w:top w:val="single" w:sz="8" w:space="0" w:color="000000"/>
              <w:left w:val="single" w:sz="8" w:space="0" w:color="000000"/>
              <w:bottom w:val="single" w:sz="8" w:space="0" w:color="000000"/>
              <w:right w:val="single" w:sz="8" w:space="0" w:color="000000"/>
            </w:tcBorders>
          </w:tcPr>
          <w:p w14:paraId="6EAA2511" w14:textId="77777777" w:rsidR="00534AC3" w:rsidRPr="00DF4CE5" w:rsidRDefault="00534AC3" w:rsidP="00333E65">
            <w:pPr>
              <w:spacing w:after="0" w:line="240" w:lineRule="auto"/>
              <w:ind w:right="49"/>
              <w:jc w:val="center"/>
              <w:rPr>
                <w:rFonts w:ascii="Cambria" w:eastAsia="Times New Roman" w:hAnsi="Cambria" w:cs="Times New Roman"/>
                <w:lang w:val="hr-HR" w:eastAsia="hr-HR"/>
              </w:rPr>
            </w:pPr>
            <w:r w:rsidRPr="00DF4CE5">
              <w:rPr>
                <w:rFonts w:ascii="Cambria" w:eastAsia="Calibri" w:hAnsi="Cambria" w:cs="Calibri"/>
                <w:lang w:val="hr-HR" w:eastAsia="hr-HR"/>
              </w:rPr>
              <w:t>0,7</w:t>
            </w:r>
          </w:p>
        </w:tc>
        <w:tc>
          <w:tcPr>
            <w:tcW w:w="1337" w:type="dxa"/>
            <w:tcBorders>
              <w:top w:val="single" w:sz="8" w:space="0" w:color="000000"/>
              <w:left w:val="single" w:sz="8" w:space="0" w:color="000000"/>
              <w:bottom w:val="single" w:sz="8" w:space="0" w:color="000000"/>
              <w:right w:val="single" w:sz="8" w:space="0" w:color="000000"/>
            </w:tcBorders>
          </w:tcPr>
          <w:p w14:paraId="105CEAE0" w14:textId="77777777" w:rsidR="00534AC3" w:rsidRPr="00DF4CE5" w:rsidRDefault="00534AC3" w:rsidP="00333E65">
            <w:pPr>
              <w:spacing w:after="0" w:line="240" w:lineRule="auto"/>
              <w:ind w:right="43"/>
              <w:jc w:val="center"/>
              <w:rPr>
                <w:rFonts w:ascii="Cambria" w:eastAsia="Times New Roman" w:hAnsi="Cambria" w:cs="Times New Roman"/>
                <w:lang w:val="hr-HR" w:eastAsia="hr-HR"/>
              </w:rPr>
            </w:pPr>
            <w:r w:rsidRPr="00DF4CE5">
              <w:rPr>
                <w:rFonts w:ascii="Cambria" w:eastAsia="Calibri" w:hAnsi="Cambria" w:cs="Calibri"/>
                <w:lang w:val="hr-HR" w:eastAsia="hr-HR"/>
              </w:rPr>
              <w:t xml:space="preserve">20% </w:t>
            </w:r>
          </w:p>
        </w:tc>
      </w:tr>
      <w:tr w:rsidR="00534AC3" w:rsidRPr="00DF4CE5" w14:paraId="40D83ACD" w14:textId="77777777" w:rsidTr="006B4F3C">
        <w:trPr>
          <w:trHeight w:val="305"/>
        </w:trPr>
        <w:tc>
          <w:tcPr>
            <w:tcW w:w="2315" w:type="dxa"/>
            <w:vMerge/>
            <w:tcBorders>
              <w:top w:val="nil"/>
              <w:left w:val="single" w:sz="8" w:space="0" w:color="000000"/>
              <w:bottom w:val="nil"/>
              <w:right w:val="single" w:sz="8" w:space="0" w:color="000000"/>
            </w:tcBorders>
          </w:tcPr>
          <w:p w14:paraId="6056F00A" w14:textId="77777777" w:rsidR="00534AC3" w:rsidRPr="00DF4CE5" w:rsidRDefault="00534AC3" w:rsidP="00333E65">
            <w:pPr>
              <w:spacing w:after="0" w:line="240" w:lineRule="auto"/>
              <w:rPr>
                <w:rFonts w:ascii="Cambria" w:eastAsia="Times New Roman" w:hAnsi="Cambria" w:cs="Times New Roman"/>
                <w:lang w:val="hr-HR" w:eastAsia="hr-HR"/>
              </w:rPr>
            </w:pPr>
          </w:p>
        </w:tc>
        <w:tc>
          <w:tcPr>
            <w:tcW w:w="2522" w:type="dxa"/>
            <w:gridSpan w:val="2"/>
            <w:tcBorders>
              <w:top w:val="single" w:sz="8" w:space="0" w:color="000000"/>
              <w:left w:val="single" w:sz="8" w:space="0" w:color="000000"/>
              <w:bottom w:val="single" w:sz="8" w:space="0" w:color="000000"/>
              <w:right w:val="single" w:sz="8" w:space="0" w:color="000000"/>
            </w:tcBorders>
          </w:tcPr>
          <w:p w14:paraId="0243946A" w14:textId="77777777" w:rsidR="00534AC3" w:rsidRPr="00DF4CE5" w:rsidRDefault="00534AC3" w:rsidP="00333E65">
            <w:pPr>
              <w:spacing w:after="0" w:line="240" w:lineRule="auto"/>
              <w:ind w:left="4"/>
              <w:rPr>
                <w:rFonts w:ascii="Cambria" w:eastAsia="Calibri" w:hAnsi="Cambria" w:cs="Calibri"/>
                <w:lang w:val="hr-HR" w:eastAsia="hr-HR"/>
              </w:rPr>
            </w:pPr>
            <w:r w:rsidRPr="00DF4CE5">
              <w:rPr>
                <w:rFonts w:ascii="Cambria" w:eastAsia="Calibri" w:hAnsi="Cambria" w:cs="Calibri"/>
                <w:lang w:val="hr-HR" w:eastAsia="hr-HR"/>
              </w:rPr>
              <w:t>pismeni ispit</w:t>
            </w:r>
          </w:p>
        </w:tc>
        <w:tc>
          <w:tcPr>
            <w:tcW w:w="813" w:type="dxa"/>
            <w:tcBorders>
              <w:top w:val="single" w:sz="8" w:space="0" w:color="000000"/>
              <w:left w:val="single" w:sz="8" w:space="0" w:color="000000"/>
              <w:bottom w:val="single" w:sz="8" w:space="0" w:color="000000"/>
              <w:right w:val="single" w:sz="8" w:space="0" w:color="000000"/>
            </w:tcBorders>
          </w:tcPr>
          <w:p w14:paraId="75A165BF" w14:textId="0B62285B" w:rsidR="00534AC3" w:rsidRPr="00DF4CE5" w:rsidRDefault="006B4F3C" w:rsidP="00333E65">
            <w:pPr>
              <w:spacing w:after="0" w:line="240" w:lineRule="auto"/>
              <w:ind w:right="49"/>
              <w:jc w:val="center"/>
              <w:rPr>
                <w:rFonts w:ascii="Cambria" w:eastAsia="Calibri" w:hAnsi="Cambria" w:cs="Calibri"/>
                <w:lang w:val="hr-HR" w:eastAsia="hr-HR"/>
              </w:rPr>
            </w:pPr>
            <w:r w:rsidRPr="00DF4CE5">
              <w:rPr>
                <w:rFonts w:ascii="Cambria" w:eastAsia="Calibri" w:hAnsi="Cambria" w:cs="Calibri"/>
                <w:lang w:val="hr-HR" w:eastAsia="hr-HR"/>
              </w:rPr>
              <w:t>1. – 4.</w:t>
            </w:r>
          </w:p>
        </w:tc>
        <w:tc>
          <w:tcPr>
            <w:tcW w:w="1156" w:type="dxa"/>
            <w:gridSpan w:val="2"/>
            <w:tcBorders>
              <w:top w:val="single" w:sz="8" w:space="0" w:color="000000"/>
              <w:left w:val="single" w:sz="8" w:space="0" w:color="000000"/>
              <w:bottom w:val="single" w:sz="8" w:space="0" w:color="000000"/>
              <w:right w:val="single" w:sz="8" w:space="0" w:color="000000"/>
            </w:tcBorders>
          </w:tcPr>
          <w:p w14:paraId="4BC935EB" w14:textId="77777777" w:rsidR="00534AC3" w:rsidRPr="00DF4CE5" w:rsidRDefault="00534AC3" w:rsidP="00333E65">
            <w:pPr>
              <w:spacing w:after="0" w:line="240" w:lineRule="auto"/>
              <w:ind w:right="54"/>
              <w:jc w:val="center"/>
              <w:rPr>
                <w:rFonts w:ascii="Cambria" w:eastAsia="Calibri" w:hAnsi="Cambria" w:cs="Calibri"/>
                <w:lang w:val="hr-HR" w:eastAsia="hr-HR"/>
              </w:rPr>
            </w:pPr>
            <w:r w:rsidRPr="00DF4CE5">
              <w:rPr>
                <w:rFonts w:ascii="Cambria" w:eastAsia="Calibri" w:hAnsi="Cambria" w:cs="Calibri"/>
                <w:lang w:val="hr-HR" w:eastAsia="hr-HR"/>
              </w:rPr>
              <w:t>60</w:t>
            </w:r>
          </w:p>
        </w:tc>
        <w:tc>
          <w:tcPr>
            <w:tcW w:w="909" w:type="dxa"/>
            <w:tcBorders>
              <w:top w:val="single" w:sz="8" w:space="0" w:color="000000"/>
              <w:left w:val="single" w:sz="8" w:space="0" w:color="000000"/>
              <w:bottom w:val="single" w:sz="8" w:space="0" w:color="000000"/>
              <w:right w:val="single" w:sz="8" w:space="0" w:color="000000"/>
            </w:tcBorders>
          </w:tcPr>
          <w:p w14:paraId="01264793" w14:textId="77777777" w:rsidR="00534AC3" w:rsidRPr="00DF4CE5" w:rsidRDefault="00534AC3" w:rsidP="00333E65">
            <w:pPr>
              <w:spacing w:after="0" w:line="240" w:lineRule="auto"/>
              <w:ind w:right="49"/>
              <w:jc w:val="center"/>
              <w:rPr>
                <w:rFonts w:ascii="Cambria" w:eastAsia="Calibri" w:hAnsi="Cambria" w:cs="Calibri"/>
                <w:lang w:val="hr-HR" w:eastAsia="hr-HR"/>
              </w:rPr>
            </w:pPr>
            <w:r w:rsidRPr="00DF4CE5">
              <w:rPr>
                <w:rFonts w:ascii="Cambria" w:eastAsia="Calibri" w:hAnsi="Cambria" w:cs="Calibri"/>
                <w:lang w:val="hr-HR" w:eastAsia="hr-HR"/>
              </w:rPr>
              <w:t>2</w:t>
            </w:r>
          </w:p>
        </w:tc>
        <w:tc>
          <w:tcPr>
            <w:tcW w:w="1337" w:type="dxa"/>
            <w:tcBorders>
              <w:top w:val="single" w:sz="8" w:space="0" w:color="000000"/>
              <w:left w:val="single" w:sz="8" w:space="0" w:color="000000"/>
              <w:bottom w:val="single" w:sz="8" w:space="0" w:color="000000"/>
              <w:right w:val="single" w:sz="8" w:space="0" w:color="000000"/>
            </w:tcBorders>
          </w:tcPr>
          <w:p w14:paraId="349485A8" w14:textId="77777777" w:rsidR="00534AC3" w:rsidRPr="00DF4CE5" w:rsidRDefault="00534AC3" w:rsidP="00333E65">
            <w:pPr>
              <w:spacing w:after="0" w:line="240" w:lineRule="auto"/>
              <w:ind w:right="43"/>
              <w:jc w:val="center"/>
              <w:rPr>
                <w:rFonts w:ascii="Cambria" w:eastAsia="Calibri" w:hAnsi="Cambria" w:cs="Calibri"/>
                <w:lang w:val="hr-HR" w:eastAsia="hr-HR"/>
              </w:rPr>
            </w:pPr>
            <w:r w:rsidRPr="00DF4CE5">
              <w:rPr>
                <w:rFonts w:ascii="Cambria" w:eastAsia="Calibri" w:hAnsi="Cambria" w:cs="Calibri"/>
                <w:lang w:val="hr-HR" w:eastAsia="hr-HR"/>
              </w:rPr>
              <w:t>30%</w:t>
            </w:r>
          </w:p>
        </w:tc>
      </w:tr>
      <w:tr w:rsidR="00534AC3" w:rsidRPr="00DF4CE5" w14:paraId="7A4933CA" w14:textId="77777777" w:rsidTr="006B4F3C">
        <w:trPr>
          <w:trHeight w:val="302"/>
        </w:trPr>
        <w:tc>
          <w:tcPr>
            <w:tcW w:w="2315" w:type="dxa"/>
            <w:vMerge/>
            <w:tcBorders>
              <w:top w:val="nil"/>
              <w:left w:val="single" w:sz="8" w:space="0" w:color="000000"/>
              <w:bottom w:val="nil"/>
              <w:right w:val="single" w:sz="8" w:space="0" w:color="000000"/>
            </w:tcBorders>
          </w:tcPr>
          <w:p w14:paraId="4254955D" w14:textId="77777777" w:rsidR="00534AC3" w:rsidRPr="00DF4CE5" w:rsidRDefault="00534AC3" w:rsidP="00333E65">
            <w:pPr>
              <w:spacing w:after="0" w:line="240" w:lineRule="auto"/>
              <w:rPr>
                <w:rFonts w:ascii="Cambria" w:eastAsia="Times New Roman" w:hAnsi="Cambria" w:cs="Times New Roman"/>
                <w:lang w:val="hr-HR" w:eastAsia="hr-HR"/>
              </w:rPr>
            </w:pPr>
          </w:p>
        </w:tc>
        <w:tc>
          <w:tcPr>
            <w:tcW w:w="2522" w:type="dxa"/>
            <w:gridSpan w:val="2"/>
            <w:tcBorders>
              <w:top w:val="single" w:sz="8" w:space="0" w:color="000000"/>
              <w:left w:val="single" w:sz="8" w:space="0" w:color="000000"/>
              <w:bottom w:val="single" w:sz="8" w:space="0" w:color="000000"/>
              <w:right w:val="single" w:sz="8" w:space="0" w:color="000000"/>
            </w:tcBorders>
          </w:tcPr>
          <w:p w14:paraId="41F2EC7F" w14:textId="77777777" w:rsidR="00534AC3" w:rsidRPr="00DF4CE5" w:rsidRDefault="00534AC3" w:rsidP="00333E65">
            <w:pPr>
              <w:spacing w:after="0" w:line="240" w:lineRule="auto"/>
              <w:ind w:left="4"/>
              <w:rPr>
                <w:rFonts w:ascii="Cambria" w:eastAsia="Times New Roman" w:hAnsi="Cambria" w:cs="Times New Roman"/>
                <w:lang w:val="hr-HR" w:eastAsia="hr-HR"/>
              </w:rPr>
            </w:pPr>
            <w:r w:rsidRPr="00DF4CE5">
              <w:rPr>
                <w:rFonts w:ascii="Cambria" w:eastAsia="Calibri" w:hAnsi="Cambria" w:cs="Calibri"/>
                <w:lang w:val="hr-HR" w:eastAsia="hr-HR"/>
              </w:rPr>
              <w:t>ispit (usmeni)</w:t>
            </w:r>
          </w:p>
        </w:tc>
        <w:tc>
          <w:tcPr>
            <w:tcW w:w="813" w:type="dxa"/>
            <w:tcBorders>
              <w:top w:val="single" w:sz="8" w:space="0" w:color="000000"/>
              <w:left w:val="single" w:sz="8" w:space="0" w:color="000000"/>
              <w:bottom w:val="single" w:sz="8" w:space="0" w:color="000000"/>
              <w:right w:val="single" w:sz="8" w:space="0" w:color="000000"/>
            </w:tcBorders>
          </w:tcPr>
          <w:p w14:paraId="1F67AA91" w14:textId="4499212B" w:rsidR="00534AC3" w:rsidRPr="00DF4CE5" w:rsidRDefault="006B4F3C" w:rsidP="00333E65">
            <w:pPr>
              <w:spacing w:after="0" w:line="240" w:lineRule="auto"/>
              <w:ind w:right="49"/>
              <w:jc w:val="center"/>
              <w:rPr>
                <w:rFonts w:ascii="Cambria" w:eastAsia="Times New Roman" w:hAnsi="Cambria" w:cs="Times New Roman"/>
                <w:lang w:val="hr-HR" w:eastAsia="hr-HR"/>
              </w:rPr>
            </w:pPr>
            <w:r w:rsidRPr="00DF4CE5">
              <w:rPr>
                <w:rFonts w:ascii="Cambria" w:eastAsia="Times New Roman" w:hAnsi="Cambria" w:cs="Times New Roman"/>
                <w:lang w:val="hr-HR" w:eastAsia="hr-HR"/>
              </w:rPr>
              <w:t>1. – 4.</w:t>
            </w:r>
          </w:p>
        </w:tc>
        <w:tc>
          <w:tcPr>
            <w:tcW w:w="1156" w:type="dxa"/>
            <w:gridSpan w:val="2"/>
            <w:tcBorders>
              <w:top w:val="single" w:sz="8" w:space="0" w:color="000000"/>
              <w:left w:val="single" w:sz="8" w:space="0" w:color="000000"/>
              <w:bottom w:val="single" w:sz="8" w:space="0" w:color="000000"/>
              <w:right w:val="single" w:sz="8" w:space="0" w:color="000000"/>
            </w:tcBorders>
          </w:tcPr>
          <w:p w14:paraId="67073BC3" w14:textId="77777777" w:rsidR="00534AC3" w:rsidRPr="00DF4CE5" w:rsidRDefault="00534AC3" w:rsidP="00333E65">
            <w:pPr>
              <w:spacing w:after="0" w:line="240" w:lineRule="auto"/>
              <w:ind w:right="54"/>
              <w:jc w:val="center"/>
              <w:rPr>
                <w:rFonts w:ascii="Cambria" w:eastAsia="Times New Roman" w:hAnsi="Cambria" w:cs="Times New Roman"/>
                <w:lang w:val="hr-HR" w:eastAsia="hr-HR"/>
              </w:rPr>
            </w:pPr>
            <w:r w:rsidRPr="00DF4CE5">
              <w:rPr>
                <w:rFonts w:ascii="Cambria" w:eastAsia="Calibri" w:hAnsi="Cambria" w:cs="Calibri"/>
                <w:lang w:val="hr-HR" w:eastAsia="hr-HR"/>
              </w:rPr>
              <w:t>25</w:t>
            </w:r>
          </w:p>
        </w:tc>
        <w:tc>
          <w:tcPr>
            <w:tcW w:w="909" w:type="dxa"/>
            <w:tcBorders>
              <w:top w:val="single" w:sz="8" w:space="0" w:color="000000"/>
              <w:left w:val="single" w:sz="8" w:space="0" w:color="000000"/>
              <w:bottom w:val="single" w:sz="8" w:space="0" w:color="000000"/>
              <w:right w:val="single" w:sz="8" w:space="0" w:color="000000"/>
            </w:tcBorders>
          </w:tcPr>
          <w:p w14:paraId="1B8CA5CC" w14:textId="77777777" w:rsidR="00534AC3" w:rsidRPr="00DF4CE5" w:rsidRDefault="00534AC3" w:rsidP="00333E65">
            <w:pPr>
              <w:spacing w:after="0" w:line="240" w:lineRule="auto"/>
              <w:ind w:right="49"/>
              <w:jc w:val="center"/>
              <w:rPr>
                <w:rFonts w:ascii="Cambria" w:eastAsia="Times New Roman" w:hAnsi="Cambria" w:cs="Times New Roman"/>
                <w:lang w:val="hr-HR" w:eastAsia="hr-HR"/>
              </w:rPr>
            </w:pPr>
            <w:r w:rsidRPr="00DF4CE5">
              <w:rPr>
                <w:rFonts w:ascii="Cambria" w:eastAsia="Calibri" w:hAnsi="Cambria" w:cs="Calibri"/>
                <w:lang w:val="hr-HR" w:eastAsia="hr-HR"/>
              </w:rPr>
              <w:t>0,8</w:t>
            </w:r>
          </w:p>
        </w:tc>
        <w:tc>
          <w:tcPr>
            <w:tcW w:w="1337" w:type="dxa"/>
            <w:tcBorders>
              <w:top w:val="single" w:sz="8" w:space="0" w:color="000000"/>
              <w:left w:val="single" w:sz="8" w:space="0" w:color="000000"/>
              <w:bottom w:val="single" w:sz="8" w:space="0" w:color="000000"/>
              <w:right w:val="single" w:sz="8" w:space="0" w:color="000000"/>
            </w:tcBorders>
          </w:tcPr>
          <w:p w14:paraId="7DC1438B" w14:textId="77777777" w:rsidR="00534AC3" w:rsidRPr="00DF4CE5" w:rsidRDefault="00534AC3" w:rsidP="00333E65">
            <w:pPr>
              <w:spacing w:after="0" w:line="240" w:lineRule="auto"/>
              <w:ind w:right="43"/>
              <w:jc w:val="center"/>
              <w:rPr>
                <w:rFonts w:ascii="Cambria" w:eastAsia="Times New Roman" w:hAnsi="Cambria" w:cs="Times New Roman"/>
                <w:lang w:val="hr-HR" w:eastAsia="hr-HR"/>
              </w:rPr>
            </w:pPr>
            <w:r w:rsidRPr="00DF4CE5">
              <w:rPr>
                <w:rFonts w:ascii="Cambria" w:eastAsia="Calibri" w:hAnsi="Cambria" w:cs="Calibri"/>
                <w:lang w:val="hr-HR" w:eastAsia="hr-HR"/>
              </w:rPr>
              <w:t xml:space="preserve">30% </w:t>
            </w:r>
          </w:p>
        </w:tc>
      </w:tr>
      <w:tr w:rsidR="00534AC3" w:rsidRPr="00DF4CE5" w14:paraId="00CDBB78" w14:textId="77777777" w:rsidTr="006B4F3C">
        <w:trPr>
          <w:trHeight w:val="305"/>
        </w:trPr>
        <w:tc>
          <w:tcPr>
            <w:tcW w:w="2315" w:type="dxa"/>
            <w:vMerge/>
            <w:tcBorders>
              <w:top w:val="nil"/>
              <w:left w:val="single" w:sz="8" w:space="0" w:color="000000"/>
              <w:bottom w:val="nil"/>
              <w:right w:val="single" w:sz="8" w:space="0" w:color="000000"/>
            </w:tcBorders>
          </w:tcPr>
          <w:p w14:paraId="6554B5CE" w14:textId="77777777" w:rsidR="00534AC3" w:rsidRPr="00DF4CE5" w:rsidRDefault="00534AC3" w:rsidP="00333E65">
            <w:pPr>
              <w:spacing w:after="0" w:line="240" w:lineRule="auto"/>
              <w:rPr>
                <w:rFonts w:ascii="Cambria" w:eastAsia="Times New Roman" w:hAnsi="Cambria" w:cs="Times New Roman"/>
                <w:lang w:val="hr-HR" w:eastAsia="hr-HR"/>
              </w:rPr>
            </w:pPr>
          </w:p>
        </w:tc>
        <w:tc>
          <w:tcPr>
            <w:tcW w:w="3335" w:type="dxa"/>
            <w:gridSpan w:val="3"/>
            <w:tcBorders>
              <w:top w:val="single" w:sz="8" w:space="0" w:color="000000"/>
              <w:left w:val="single" w:sz="8" w:space="0" w:color="000000"/>
              <w:bottom w:val="single" w:sz="8" w:space="0" w:color="000000"/>
              <w:right w:val="single" w:sz="8" w:space="0" w:color="000000"/>
            </w:tcBorders>
          </w:tcPr>
          <w:p w14:paraId="7DCF8F8D" w14:textId="77777777" w:rsidR="00534AC3" w:rsidRPr="00DF4CE5" w:rsidRDefault="00534AC3" w:rsidP="00333E65">
            <w:pPr>
              <w:spacing w:after="0" w:line="240" w:lineRule="auto"/>
              <w:ind w:left="4"/>
              <w:rPr>
                <w:rFonts w:ascii="Cambria" w:eastAsia="Times New Roman" w:hAnsi="Cambria" w:cs="Times New Roman"/>
                <w:lang w:val="hr-HR" w:eastAsia="hr-HR"/>
              </w:rPr>
            </w:pPr>
            <w:r w:rsidRPr="00DF4CE5">
              <w:rPr>
                <w:rFonts w:ascii="Cambria" w:eastAsia="Calibri" w:hAnsi="Cambria" w:cs="Calibri"/>
                <w:lang w:val="hr-HR" w:eastAsia="hr-HR"/>
              </w:rPr>
              <w:t xml:space="preserve">ukupno </w:t>
            </w:r>
          </w:p>
        </w:tc>
        <w:tc>
          <w:tcPr>
            <w:tcW w:w="1156" w:type="dxa"/>
            <w:gridSpan w:val="2"/>
            <w:tcBorders>
              <w:top w:val="single" w:sz="8" w:space="0" w:color="000000"/>
              <w:left w:val="single" w:sz="8" w:space="0" w:color="000000"/>
              <w:bottom w:val="single" w:sz="8" w:space="0" w:color="000000"/>
              <w:right w:val="single" w:sz="8" w:space="0" w:color="000000"/>
            </w:tcBorders>
          </w:tcPr>
          <w:p w14:paraId="1EC30DC2" w14:textId="77777777" w:rsidR="00534AC3" w:rsidRPr="00DF4CE5" w:rsidRDefault="00534AC3" w:rsidP="00333E65">
            <w:pPr>
              <w:spacing w:after="0" w:line="240" w:lineRule="auto"/>
              <w:ind w:left="73"/>
              <w:jc w:val="center"/>
              <w:rPr>
                <w:rFonts w:ascii="Cambria" w:eastAsia="Times New Roman" w:hAnsi="Cambria" w:cs="Times New Roman"/>
                <w:lang w:val="hr-HR" w:eastAsia="hr-HR"/>
              </w:rPr>
            </w:pPr>
            <w:r w:rsidRPr="00DF4CE5">
              <w:rPr>
                <w:rFonts w:ascii="Cambria" w:eastAsia="Calibri" w:hAnsi="Cambria" w:cs="Calibri"/>
                <w:lang w:val="hr-HR" w:eastAsia="hr-HR"/>
              </w:rPr>
              <w:t>180</w:t>
            </w:r>
          </w:p>
        </w:tc>
        <w:tc>
          <w:tcPr>
            <w:tcW w:w="909" w:type="dxa"/>
            <w:tcBorders>
              <w:top w:val="single" w:sz="8" w:space="0" w:color="000000"/>
              <w:left w:val="single" w:sz="8" w:space="0" w:color="000000"/>
              <w:bottom w:val="single" w:sz="8" w:space="0" w:color="000000"/>
              <w:right w:val="single" w:sz="8" w:space="0" w:color="000000"/>
            </w:tcBorders>
          </w:tcPr>
          <w:p w14:paraId="3BF396EE" w14:textId="77777777" w:rsidR="00534AC3" w:rsidRPr="00DF4CE5" w:rsidRDefault="00534AC3" w:rsidP="00333E65">
            <w:pPr>
              <w:spacing w:after="0" w:line="240" w:lineRule="auto"/>
              <w:ind w:right="49"/>
              <w:jc w:val="center"/>
              <w:rPr>
                <w:rFonts w:ascii="Cambria" w:eastAsia="Times New Roman" w:hAnsi="Cambria" w:cs="Times New Roman"/>
                <w:lang w:val="hr-HR" w:eastAsia="hr-HR"/>
              </w:rPr>
            </w:pPr>
            <w:r w:rsidRPr="00DF4CE5">
              <w:rPr>
                <w:rFonts w:ascii="Cambria" w:eastAsia="Calibri" w:hAnsi="Cambria" w:cs="Calibri"/>
                <w:lang w:val="hr-HR" w:eastAsia="hr-HR"/>
              </w:rPr>
              <w:t>6</w:t>
            </w:r>
          </w:p>
        </w:tc>
        <w:tc>
          <w:tcPr>
            <w:tcW w:w="1337" w:type="dxa"/>
            <w:tcBorders>
              <w:top w:val="single" w:sz="8" w:space="0" w:color="000000"/>
              <w:left w:val="single" w:sz="8" w:space="0" w:color="000000"/>
              <w:bottom w:val="single" w:sz="8" w:space="0" w:color="000000"/>
              <w:right w:val="single" w:sz="8" w:space="0" w:color="000000"/>
            </w:tcBorders>
          </w:tcPr>
          <w:p w14:paraId="0AF1FEEF" w14:textId="77777777" w:rsidR="00534AC3" w:rsidRPr="00DF4CE5" w:rsidRDefault="00534AC3" w:rsidP="00333E65">
            <w:pPr>
              <w:spacing w:after="0" w:line="240" w:lineRule="auto"/>
              <w:ind w:right="46"/>
              <w:jc w:val="center"/>
              <w:rPr>
                <w:rFonts w:ascii="Cambria" w:eastAsia="Times New Roman" w:hAnsi="Cambria" w:cs="Times New Roman"/>
                <w:lang w:val="hr-HR" w:eastAsia="hr-HR"/>
              </w:rPr>
            </w:pPr>
            <w:r w:rsidRPr="00DF4CE5">
              <w:rPr>
                <w:rFonts w:ascii="Cambria" w:eastAsia="Calibri" w:hAnsi="Cambria" w:cs="Calibri"/>
                <w:lang w:val="hr-HR" w:eastAsia="hr-HR"/>
              </w:rPr>
              <w:t xml:space="preserve">100% </w:t>
            </w:r>
          </w:p>
        </w:tc>
      </w:tr>
      <w:tr w:rsidR="00534AC3" w:rsidRPr="00D0399C" w14:paraId="1AA36657" w14:textId="77777777" w:rsidTr="006B4F3C">
        <w:trPr>
          <w:trHeight w:val="628"/>
        </w:trPr>
        <w:tc>
          <w:tcPr>
            <w:tcW w:w="2315" w:type="dxa"/>
            <w:vMerge/>
            <w:tcBorders>
              <w:top w:val="nil"/>
              <w:left w:val="single" w:sz="8" w:space="0" w:color="000000"/>
              <w:bottom w:val="single" w:sz="8" w:space="0" w:color="000000"/>
              <w:right w:val="single" w:sz="8" w:space="0" w:color="000000"/>
            </w:tcBorders>
          </w:tcPr>
          <w:p w14:paraId="6F9D9740" w14:textId="77777777" w:rsidR="00534AC3" w:rsidRPr="00DF4CE5" w:rsidRDefault="00534AC3" w:rsidP="00333E65">
            <w:pPr>
              <w:spacing w:after="0" w:line="240" w:lineRule="auto"/>
              <w:rPr>
                <w:rFonts w:ascii="Cambria" w:eastAsia="Times New Roman" w:hAnsi="Cambria" w:cs="Times New Roman"/>
                <w:lang w:val="hr-HR" w:eastAsia="hr-HR"/>
              </w:rPr>
            </w:pPr>
          </w:p>
        </w:tc>
        <w:tc>
          <w:tcPr>
            <w:tcW w:w="6737" w:type="dxa"/>
            <w:gridSpan w:val="7"/>
            <w:tcBorders>
              <w:top w:val="single" w:sz="8" w:space="0" w:color="000000"/>
              <w:left w:val="single" w:sz="8" w:space="0" w:color="000000"/>
              <w:bottom w:val="single" w:sz="8" w:space="0" w:color="000000"/>
              <w:right w:val="single" w:sz="8" w:space="0" w:color="000000"/>
            </w:tcBorders>
          </w:tcPr>
          <w:p w14:paraId="0BC055FC" w14:textId="77777777" w:rsidR="00534AC3" w:rsidRPr="00DF4CE5" w:rsidRDefault="00534AC3" w:rsidP="00333E65">
            <w:pPr>
              <w:spacing w:after="0" w:line="240" w:lineRule="auto"/>
              <w:rPr>
                <w:rFonts w:ascii="Cambria" w:eastAsia="Calibri" w:hAnsi="Cambria" w:cs="Calibri"/>
                <w:lang w:val="hr-HR" w:eastAsia="hr-HR"/>
              </w:rPr>
            </w:pPr>
            <w:r w:rsidRPr="00DF4CE5">
              <w:rPr>
                <w:rFonts w:ascii="Cambria" w:eastAsia="Calibri" w:hAnsi="Cambria" w:cs="Calibri"/>
                <w:lang w:val="hr-HR" w:eastAsia="hr-HR"/>
              </w:rPr>
              <w:t>Dodatna pojašnjenja (kriteriji ocjenjivanja):</w:t>
            </w:r>
          </w:p>
          <w:p w14:paraId="6CAF5A91" w14:textId="77777777" w:rsidR="00534AC3" w:rsidRPr="00DF4CE5" w:rsidRDefault="00534AC3" w:rsidP="00333E65">
            <w:pPr>
              <w:spacing w:after="0" w:line="240" w:lineRule="auto"/>
              <w:rPr>
                <w:rFonts w:ascii="Cambria" w:eastAsia="Calibri" w:hAnsi="Cambria" w:cs="Calibri"/>
                <w:lang w:val="hr-HR" w:eastAsia="hr-HR"/>
              </w:rPr>
            </w:pPr>
            <w:r w:rsidRPr="00DF4CE5">
              <w:rPr>
                <w:rFonts w:ascii="Cambria" w:eastAsia="Calibri" w:hAnsi="Cambria" w:cs="Calibri"/>
                <w:lang w:val="hr-HR" w:eastAsia="hr-HR"/>
              </w:rPr>
              <w:t>Seminarski rad vrednuje se zasebno u pismenom i usmenom djelu na sljedeći način:</w:t>
            </w:r>
          </w:p>
          <w:p w14:paraId="1E326B75" w14:textId="77777777" w:rsidR="00534AC3" w:rsidRPr="00DF4CE5" w:rsidRDefault="00534AC3" w:rsidP="00333E65">
            <w:pPr>
              <w:spacing w:after="0" w:line="240" w:lineRule="auto"/>
              <w:rPr>
                <w:rFonts w:ascii="Cambria" w:eastAsia="Calibri" w:hAnsi="Cambria" w:cs="Calibri"/>
                <w:lang w:val="hr-HR" w:eastAsia="hr-HR"/>
              </w:rPr>
            </w:pPr>
            <w:r w:rsidRPr="00DF4CE5">
              <w:rPr>
                <w:rFonts w:ascii="Cambria" w:eastAsia="Calibri" w:hAnsi="Cambria" w:cs="Calibri"/>
                <w:lang w:val="hr-HR" w:eastAsia="hr-HR"/>
              </w:rPr>
              <w:t>a) Pismeni dio:</w:t>
            </w:r>
          </w:p>
          <w:p w14:paraId="0F5127DF" w14:textId="77777777" w:rsidR="00534AC3" w:rsidRPr="00DF4CE5" w:rsidRDefault="00534AC3" w:rsidP="006B4F3C">
            <w:pPr>
              <w:spacing w:after="0" w:line="240" w:lineRule="auto"/>
              <w:rPr>
                <w:rFonts w:ascii="Cambria" w:eastAsia="Times New Roman" w:hAnsi="Cambria" w:cs="Times New Roman"/>
                <w:lang w:val="hr-HR" w:eastAsia="hr-HR"/>
              </w:rPr>
            </w:pPr>
            <w:r w:rsidRPr="00DF4CE5">
              <w:rPr>
                <w:rFonts w:ascii="Cambria" w:eastAsia="Times New Roman" w:hAnsi="Cambria" w:cs="Times New Roman"/>
                <w:lang w:val="hr-HR" w:eastAsia="hr-HR"/>
              </w:rPr>
              <w:t>0%  seminarski rad nije predan ili nisu zadovoljeni minimalni kriteriji seminarskog rada s obzirom na strukturu, sadržaj, literaturu i jezik izražavanja</w:t>
            </w:r>
          </w:p>
          <w:p w14:paraId="5D023024" w14:textId="1994396C" w:rsidR="00534AC3" w:rsidRPr="00DF4CE5" w:rsidRDefault="00534AC3" w:rsidP="006B4F3C">
            <w:pPr>
              <w:spacing w:after="0" w:line="240" w:lineRule="auto"/>
              <w:rPr>
                <w:rFonts w:ascii="Cambria" w:eastAsia="Times New Roman" w:hAnsi="Cambria" w:cs="Times New Roman"/>
                <w:lang w:val="hr-HR" w:eastAsia="hr-HR"/>
              </w:rPr>
            </w:pPr>
            <w:r w:rsidRPr="00DF4CE5">
              <w:rPr>
                <w:rFonts w:ascii="Cambria" w:eastAsia="Times New Roman" w:hAnsi="Cambria" w:cs="Times New Roman"/>
                <w:lang w:val="hr-HR" w:eastAsia="hr-HR"/>
              </w:rPr>
              <w:t xml:space="preserve">20% seminar je izvrstan: jasna struktura, sadržaj je adekvatno prezentiran s pojedinačnim vlastitim osvrtom, literatura je bogata, korišteni vlastiti podaci dobiveni internetskim pretraživanjem, ispravno pismeno izražavanje.   </w:t>
            </w:r>
          </w:p>
          <w:p w14:paraId="37FDBD61" w14:textId="77777777" w:rsidR="00534AC3" w:rsidRPr="00DF4CE5" w:rsidRDefault="00534AC3" w:rsidP="006B4F3C">
            <w:pPr>
              <w:spacing w:after="0" w:line="240" w:lineRule="auto"/>
              <w:rPr>
                <w:rFonts w:ascii="Cambria" w:eastAsia="Times New Roman" w:hAnsi="Cambria" w:cs="Times New Roman"/>
                <w:lang w:val="hr-HR" w:eastAsia="hr-HR"/>
              </w:rPr>
            </w:pPr>
            <w:r w:rsidRPr="00DF4CE5">
              <w:rPr>
                <w:rFonts w:ascii="Cambria" w:eastAsia="Times New Roman" w:hAnsi="Cambria" w:cs="Times New Roman"/>
                <w:lang w:val="hr-HR" w:eastAsia="hr-HR"/>
              </w:rPr>
              <w:t>b) Usmeni dio:</w:t>
            </w:r>
          </w:p>
          <w:p w14:paraId="1C570616" w14:textId="77777777" w:rsidR="00534AC3" w:rsidRPr="00DF4CE5" w:rsidRDefault="00534AC3" w:rsidP="006B4F3C">
            <w:pPr>
              <w:spacing w:after="0" w:line="240" w:lineRule="auto"/>
              <w:rPr>
                <w:rFonts w:ascii="Cambria" w:eastAsia="Times New Roman" w:hAnsi="Cambria" w:cs="Times New Roman"/>
                <w:lang w:val="hr-HR" w:eastAsia="hr-HR"/>
              </w:rPr>
            </w:pPr>
            <w:r w:rsidRPr="00DF4CE5">
              <w:rPr>
                <w:rFonts w:ascii="Cambria" w:eastAsia="Times New Roman" w:hAnsi="Cambria" w:cs="Times New Roman"/>
                <w:lang w:val="hr-HR" w:eastAsia="hr-HR"/>
              </w:rPr>
              <w:t>0% seminarski rad nije prezentiran u zadanom terminu</w:t>
            </w:r>
          </w:p>
          <w:p w14:paraId="51913748" w14:textId="77777777" w:rsidR="00534AC3" w:rsidRPr="00DF4CE5" w:rsidRDefault="00534AC3" w:rsidP="006B4F3C">
            <w:pPr>
              <w:spacing w:after="0" w:line="240" w:lineRule="auto"/>
              <w:rPr>
                <w:rFonts w:ascii="Cambria" w:eastAsia="Times New Roman" w:hAnsi="Cambria" w:cs="Times New Roman"/>
                <w:lang w:val="hr-HR" w:eastAsia="hr-HR"/>
              </w:rPr>
            </w:pPr>
            <w:r w:rsidRPr="00DF4CE5">
              <w:rPr>
                <w:rFonts w:ascii="Cambria" w:eastAsia="Times New Roman" w:hAnsi="Cambria" w:cs="Times New Roman"/>
                <w:lang w:val="hr-HR" w:eastAsia="hr-HR"/>
              </w:rPr>
              <w:t>20% prezentacija je izvrsna: korektna, jasna i precizna prezentacija koja sadrži osobni kritički osvrt.</w:t>
            </w:r>
          </w:p>
          <w:p w14:paraId="368427FB" w14:textId="4D7195FF" w:rsidR="006B4F3C" w:rsidRPr="00DF4CE5" w:rsidRDefault="00534AC3" w:rsidP="006B4F3C">
            <w:pPr>
              <w:spacing w:after="0" w:line="240" w:lineRule="auto"/>
              <w:rPr>
                <w:rFonts w:ascii="Cambria" w:eastAsia="Times New Roman" w:hAnsi="Cambria" w:cs="Times New Roman"/>
                <w:lang w:val="hr-HR" w:eastAsia="hr-HR"/>
              </w:rPr>
            </w:pPr>
            <w:r w:rsidRPr="00DF4CE5">
              <w:rPr>
                <w:rFonts w:ascii="Cambria" w:eastAsia="Times New Roman" w:hAnsi="Cambria" w:cs="Times New Roman"/>
                <w:lang w:val="hr-HR" w:eastAsia="hr-HR"/>
              </w:rPr>
              <w:t xml:space="preserve">Moguće je dobiti sve postotke od 0-20% za pismeni i usmeni dio seminara. </w:t>
            </w:r>
          </w:p>
          <w:p w14:paraId="237DE982" w14:textId="1FA5CBB2" w:rsidR="00534AC3" w:rsidRPr="00DF4CE5" w:rsidRDefault="00534AC3" w:rsidP="006B4F3C">
            <w:pPr>
              <w:spacing w:after="0" w:line="240" w:lineRule="auto"/>
              <w:rPr>
                <w:rFonts w:ascii="Cambria" w:eastAsia="Times New Roman" w:hAnsi="Cambria" w:cs="Times New Roman"/>
                <w:lang w:val="hr-HR" w:eastAsia="hr-HR"/>
              </w:rPr>
            </w:pPr>
            <w:r w:rsidRPr="00DF4CE5">
              <w:rPr>
                <w:rFonts w:ascii="Cambria" w:eastAsia="Times New Roman" w:hAnsi="Cambria" w:cs="Times New Roman"/>
                <w:lang w:val="hr-HR" w:eastAsia="hr-HR"/>
              </w:rPr>
              <w:t>Pismeni ispit se vrednuje na sljedeći način:</w:t>
            </w:r>
          </w:p>
          <w:p w14:paraId="3073EB02" w14:textId="77777777" w:rsidR="00534AC3" w:rsidRPr="00DF4CE5" w:rsidRDefault="00534AC3" w:rsidP="006B4F3C">
            <w:pPr>
              <w:spacing w:after="0" w:line="240" w:lineRule="auto"/>
              <w:rPr>
                <w:rFonts w:ascii="Cambria" w:eastAsia="Times New Roman" w:hAnsi="Cambria" w:cs="Times New Roman"/>
                <w:lang w:val="hr-HR" w:eastAsia="hr-HR"/>
              </w:rPr>
            </w:pPr>
            <w:r w:rsidRPr="00DF4CE5">
              <w:rPr>
                <w:rFonts w:ascii="Cambria" w:eastAsia="Times New Roman" w:hAnsi="Cambria" w:cs="Times New Roman"/>
                <w:lang w:val="hr-HR" w:eastAsia="hr-HR"/>
              </w:rPr>
              <w:t>manje od 50 % točnih odgovora  = 0 % ocjene</w:t>
            </w:r>
          </w:p>
          <w:p w14:paraId="6A0B69D7" w14:textId="77777777" w:rsidR="00534AC3" w:rsidRPr="00DF4CE5" w:rsidRDefault="00534AC3" w:rsidP="006B4F3C">
            <w:pPr>
              <w:spacing w:after="0" w:line="240" w:lineRule="auto"/>
              <w:rPr>
                <w:rFonts w:ascii="Cambria" w:eastAsia="Times New Roman" w:hAnsi="Cambria" w:cs="Times New Roman"/>
                <w:lang w:val="hr-HR" w:eastAsia="hr-HR"/>
              </w:rPr>
            </w:pPr>
            <w:r w:rsidRPr="00DF4CE5">
              <w:rPr>
                <w:rFonts w:ascii="Cambria" w:eastAsia="Times New Roman" w:hAnsi="Cambria" w:cs="Times New Roman"/>
                <w:lang w:val="hr-HR" w:eastAsia="hr-HR"/>
              </w:rPr>
              <w:t>od 50 % do 60 %</w:t>
            </w:r>
            <w:r w:rsidRPr="00DF4CE5">
              <w:rPr>
                <w:rFonts w:ascii="Cambria" w:eastAsia="Times New Roman" w:hAnsi="Cambria" w:cs="Times New Roman"/>
                <w:lang w:val="hr-HR" w:eastAsia="hr-HR"/>
              </w:rPr>
              <w:tab/>
            </w:r>
            <w:r w:rsidRPr="00DF4CE5">
              <w:rPr>
                <w:rFonts w:ascii="Cambria" w:eastAsia="Times New Roman" w:hAnsi="Cambria" w:cs="Times New Roman"/>
                <w:lang w:val="hr-HR" w:eastAsia="hr-HR"/>
              </w:rPr>
              <w:tab/>
              <w:t xml:space="preserve">      = 6% ocjene</w:t>
            </w:r>
          </w:p>
          <w:p w14:paraId="52E84D33" w14:textId="77777777" w:rsidR="00534AC3" w:rsidRPr="00DF4CE5" w:rsidRDefault="00534AC3" w:rsidP="006B4F3C">
            <w:pPr>
              <w:spacing w:after="0" w:line="240" w:lineRule="auto"/>
              <w:rPr>
                <w:rFonts w:ascii="Cambria" w:eastAsia="Times New Roman" w:hAnsi="Cambria" w:cs="Times New Roman"/>
                <w:lang w:val="hr-HR" w:eastAsia="hr-HR"/>
              </w:rPr>
            </w:pPr>
            <w:r w:rsidRPr="00DF4CE5">
              <w:rPr>
                <w:rFonts w:ascii="Cambria" w:eastAsia="Times New Roman" w:hAnsi="Cambria" w:cs="Times New Roman"/>
                <w:lang w:val="hr-HR" w:eastAsia="hr-HR"/>
              </w:rPr>
              <w:t>od 61 % do 70 %</w:t>
            </w:r>
            <w:r w:rsidRPr="00DF4CE5">
              <w:rPr>
                <w:rFonts w:ascii="Cambria" w:eastAsia="Times New Roman" w:hAnsi="Cambria" w:cs="Times New Roman"/>
                <w:lang w:val="hr-HR" w:eastAsia="hr-HR"/>
              </w:rPr>
              <w:tab/>
            </w:r>
            <w:r w:rsidRPr="00DF4CE5">
              <w:rPr>
                <w:rFonts w:ascii="Cambria" w:eastAsia="Times New Roman" w:hAnsi="Cambria" w:cs="Times New Roman"/>
                <w:lang w:val="hr-HR" w:eastAsia="hr-HR"/>
              </w:rPr>
              <w:tab/>
              <w:t xml:space="preserve">      = 12% ocjene</w:t>
            </w:r>
          </w:p>
          <w:p w14:paraId="34E66D2D" w14:textId="77777777" w:rsidR="00534AC3" w:rsidRPr="00DF4CE5" w:rsidRDefault="00534AC3" w:rsidP="006B4F3C">
            <w:pPr>
              <w:spacing w:after="0" w:line="240" w:lineRule="auto"/>
              <w:rPr>
                <w:rFonts w:ascii="Cambria" w:eastAsia="Times New Roman" w:hAnsi="Cambria" w:cs="Times New Roman"/>
                <w:lang w:val="hr-HR" w:eastAsia="hr-HR"/>
              </w:rPr>
            </w:pPr>
            <w:r w:rsidRPr="00DF4CE5">
              <w:rPr>
                <w:rFonts w:ascii="Cambria" w:eastAsia="Times New Roman" w:hAnsi="Cambria" w:cs="Times New Roman"/>
                <w:lang w:val="hr-HR" w:eastAsia="hr-HR"/>
              </w:rPr>
              <w:t>od 71 % do 80 %</w:t>
            </w:r>
            <w:r w:rsidRPr="00DF4CE5">
              <w:rPr>
                <w:rFonts w:ascii="Cambria" w:eastAsia="Times New Roman" w:hAnsi="Cambria" w:cs="Times New Roman"/>
                <w:lang w:val="hr-HR" w:eastAsia="hr-HR"/>
              </w:rPr>
              <w:tab/>
            </w:r>
            <w:r w:rsidRPr="00DF4CE5">
              <w:rPr>
                <w:rFonts w:ascii="Cambria" w:eastAsia="Times New Roman" w:hAnsi="Cambria" w:cs="Times New Roman"/>
                <w:lang w:val="hr-HR" w:eastAsia="hr-HR"/>
              </w:rPr>
              <w:tab/>
              <w:t xml:space="preserve">       = 18% ocjene</w:t>
            </w:r>
          </w:p>
          <w:p w14:paraId="06F7346A" w14:textId="77777777" w:rsidR="00534AC3" w:rsidRPr="00DF4CE5" w:rsidRDefault="00534AC3" w:rsidP="006B4F3C">
            <w:pPr>
              <w:spacing w:after="0" w:line="240" w:lineRule="auto"/>
              <w:rPr>
                <w:rFonts w:ascii="Cambria" w:eastAsia="Times New Roman" w:hAnsi="Cambria" w:cs="Times New Roman"/>
                <w:lang w:val="hr-HR" w:eastAsia="hr-HR"/>
              </w:rPr>
            </w:pPr>
            <w:r w:rsidRPr="00DF4CE5">
              <w:rPr>
                <w:rFonts w:ascii="Cambria" w:eastAsia="Times New Roman" w:hAnsi="Cambria" w:cs="Times New Roman"/>
                <w:lang w:val="hr-HR" w:eastAsia="hr-HR"/>
              </w:rPr>
              <w:t>od 81 % do 90 %</w:t>
            </w:r>
            <w:r w:rsidRPr="00DF4CE5">
              <w:rPr>
                <w:rFonts w:ascii="Cambria" w:eastAsia="Times New Roman" w:hAnsi="Cambria" w:cs="Times New Roman"/>
                <w:lang w:val="hr-HR" w:eastAsia="hr-HR"/>
              </w:rPr>
              <w:tab/>
            </w:r>
            <w:r w:rsidRPr="00DF4CE5">
              <w:rPr>
                <w:rFonts w:ascii="Cambria" w:eastAsia="Times New Roman" w:hAnsi="Cambria" w:cs="Times New Roman"/>
                <w:lang w:val="hr-HR" w:eastAsia="hr-HR"/>
              </w:rPr>
              <w:tab/>
              <w:t xml:space="preserve">       = 24% ocjene</w:t>
            </w:r>
          </w:p>
          <w:p w14:paraId="6FD02A41" w14:textId="1037F2FD" w:rsidR="00534AC3" w:rsidRPr="00DF4CE5" w:rsidRDefault="00534AC3" w:rsidP="00333E65">
            <w:pPr>
              <w:spacing w:after="0" w:line="240" w:lineRule="auto"/>
              <w:rPr>
                <w:rFonts w:ascii="Cambria" w:eastAsia="Times New Roman" w:hAnsi="Cambria" w:cs="Times New Roman"/>
                <w:lang w:val="hr-HR" w:eastAsia="hr-HR"/>
              </w:rPr>
            </w:pPr>
            <w:r w:rsidRPr="00DF4CE5">
              <w:rPr>
                <w:rFonts w:ascii="Cambria" w:eastAsia="Times New Roman" w:hAnsi="Cambria" w:cs="Times New Roman"/>
                <w:lang w:val="hr-HR" w:eastAsia="hr-HR"/>
              </w:rPr>
              <w:t>od 91 % do 100 %</w:t>
            </w:r>
            <w:r w:rsidRPr="00DF4CE5">
              <w:rPr>
                <w:rFonts w:ascii="Cambria" w:eastAsia="Times New Roman" w:hAnsi="Cambria" w:cs="Times New Roman"/>
                <w:lang w:val="hr-HR" w:eastAsia="hr-HR"/>
              </w:rPr>
              <w:tab/>
            </w:r>
            <w:r w:rsidRPr="00DF4CE5">
              <w:rPr>
                <w:rFonts w:ascii="Cambria" w:eastAsia="Times New Roman" w:hAnsi="Cambria" w:cs="Times New Roman"/>
                <w:lang w:val="hr-HR" w:eastAsia="hr-HR"/>
              </w:rPr>
              <w:tab/>
              <w:t xml:space="preserve">       = 30 % ocjene</w:t>
            </w:r>
          </w:p>
          <w:p w14:paraId="2023DB5E" w14:textId="79E0B879" w:rsidR="00534AC3" w:rsidRPr="00DF4CE5" w:rsidRDefault="00534AC3" w:rsidP="00333E65">
            <w:pPr>
              <w:spacing w:after="0" w:line="240" w:lineRule="auto"/>
              <w:rPr>
                <w:rFonts w:ascii="Cambria" w:eastAsia="Times New Roman" w:hAnsi="Cambria" w:cs="Times New Roman"/>
                <w:lang w:val="hr-HR" w:eastAsia="hr-HR"/>
              </w:rPr>
            </w:pPr>
            <w:r w:rsidRPr="00DF4CE5">
              <w:rPr>
                <w:rFonts w:ascii="Cambria" w:eastAsia="Times New Roman" w:hAnsi="Cambria" w:cs="Times New Roman"/>
                <w:lang w:val="hr-HR" w:eastAsia="hr-HR"/>
              </w:rPr>
              <w:t xml:space="preserve">Usmeni ispit se sastoji od 4 pitanja (svako pitanje nosi 7,5%). </w:t>
            </w:r>
            <w:r w:rsidR="006B4F3C" w:rsidRPr="00DF4CE5">
              <w:rPr>
                <w:rFonts w:ascii="Cambria" w:eastAsia="Times New Roman" w:hAnsi="Cambria" w:cs="Times New Roman"/>
                <w:lang w:val="hr-HR" w:eastAsia="hr-HR"/>
              </w:rPr>
              <w:t xml:space="preserve">Da bi položio </w:t>
            </w:r>
            <w:r w:rsidRPr="00DF4CE5">
              <w:rPr>
                <w:rFonts w:ascii="Cambria" w:eastAsia="Times New Roman" w:hAnsi="Cambria" w:cs="Times New Roman"/>
                <w:lang w:val="hr-HR" w:eastAsia="hr-HR"/>
              </w:rPr>
              <w:t>usmeni ispit</w:t>
            </w:r>
            <w:r w:rsidR="006B4F3C" w:rsidRPr="00DF4CE5">
              <w:rPr>
                <w:rFonts w:ascii="Cambria" w:eastAsia="Times New Roman" w:hAnsi="Cambria" w:cs="Times New Roman"/>
                <w:lang w:val="hr-HR" w:eastAsia="hr-HR"/>
              </w:rPr>
              <w:t xml:space="preserve">, </w:t>
            </w:r>
            <w:r w:rsidRPr="00DF4CE5">
              <w:rPr>
                <w:rFonts w:ascii="Cambria" w:eastAsia="Times New Roman" w:hAnsi="Cambria" w:cs="Times New Roman"/>
                <w:lang w:val="hr-HR" w:eastAsia="hr-HR"/>
              </w:rPr>
              <w:t>student/studentica mora ispravno odgovoriti na barem 50% pitanja (15%).</w:t>
            </w:r>
          </w:p>
        </w:tc>
      </w:tr>
      <w:tr w:rsidR="00534AC3" w:rsidRPr="00D0399C" w14:paraId="0D30BFAA" w14:textId="77777777" w:rsidTr="006B4F3C">
        <w:tblPrEx>
          <w:tblCellMar>
            <w:top w:w="68" w:type="dxa"/>
            <w:left w:w="111" w:type="dxa"/>
            <w:right w:w="61" w:type="dxa"/>
          </w:tblCellMar>
        </w:tblPrEx>
        <w:trPr>
          <w:trHeight w:val="2181"/>
        </w:trPr>
        <w:tc>
          <w:tcPr>
            <w:tcW w:w="2315"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0999CC22" w14:textId="77777777" w:rsidR="00534AC3" w:rsidRPr="00DF4CE5" w:rsidRDefault="00534AC3" w:rsidP="00333E65">
            <w:pPr>
              <w:spacing w:after="0" w:line="240" w:lineRule="auto"/>
              <w:rPr>
                <w:rFonts w:ascii="Cambria" w:eastAsia="Times New Roman" w:hAnsi="Cambria" w:cs="Times New Roman"/>
                <w:lang w:val="hr-HR" w:eastAsia="hr-HR"/>
              </w:rPr>
            </w:pPr>
            <w:r w:rsidRPr="00DF4CE5">
              <w:rPr>
                <w:rFonts w:ascii="Cambria" w:eastAsia="Calibri" w:hAnsi="Cambria" w:cs="Calibri"/>
                <w:lang w:val="hr-HR" w:eastAsia="hr-HR"/>
              </w:rPr>
              <w:t xml:space="preserve">Studentske obveze </w:t>
            </w:r>
          </w:p>
        </w:tc>
        <w:tc>
          <w:tcPr>
            <w:tcW w:w="6737" w:type="dxa"/>
            <w:gridSpan w:val="7"/>
            <w:tcBorders>
              <w:top w:val="single" w:sz="8" w:space="0" w:color="000000"/>
              <w:left w:val="single" w:sz="8" w:space="0" w:color="000000"/>
              <w:bottom w:val="single" w:sz="8" w:space="0" w:color="000000"/>
              <w:right w:val="single" w:sz="8" w:space="0" w:color="000000"/>
            </w:tcBorders>
          </w:tcPr>
          <w:p w14:paraId="6C38F47D" w14:textId="77777777" w:rsidR="00534AC3" w:rsidRPr="00DF4CE5" w:rsidRDefault="00534AC3" w:rsidP="00333E65">
            <w:pPr>
              <w:spacing w:after="0" w:line="240" w:lineRule="auto"/>
              <w:rPr>
                <w:rFonts w:ascii="Cambria" w:eastAsia="Calibri" w:hAnsi="Cambria" w:cs="Calibri"/>
                <w:lang w:val="hr-HR" w:eastAsia="hr-HR"/>
              </w:rPr>
            </w:pPr>
            <w:r w:rsidRPr="00DF4CE5">
              <w:rPr>
                <w:rFonts w:ascii="Cambria" w:eastAsia="Calibri" w:hAnsi="Cambria" w:cs="Calibri"/>
                <w:lang w:val="hr-HR" w:eastAsia="hr-HR"/>
              </w:rPr>
              <w:t xml:space="preserve">Da položi kolegij, student/studentica mora: </w:t>
            </w:r>
          </w:p>
          <w:p w14:paraId="60084BD4" w14:textId="180B38B5" w:rsidR="00534AC3" w:rsidRPr="00DF4CE5" w:rsidRDefault="00534AC3" w:rsidP="00333E65">
            <w:pPr>
              <w:spacing w:after="0" w:line="240" w:lineRule="auto"/>
              <w:rPr>
                <w:rFonts w:ascii="Cambria" w:eastAsia="Calibri" w:hAnsi="Cambria" w:cs="Calibri"/>
                <w:lang w:val="hr-HR" w:eastAsia="hr-HR"/>
              </w:rPr>
            </w:pPr>
            <w:r w:rsidRPr="00DF4CE5">
              <w:rPr>
                <w:rFonts w:ascii="Cambria" w:eastAsia="Calibri" w:hAnsi="Cambria" w:cs="Calibri"/>
                <w:lang w:val="hr-HR" w:eastAsia="hr-HR"/>
              </w:rPr>
              <w:t xml:space="preserve">1. </w:t>
            </w:r>
            <w:r w:rsidR="007828F8" w:rsidRPr="00DF4CE5">
              <w:rPr>
                <w:rFonts w:ascii="Cambria" w:eastAsia="Calibri" w:hAnsi="Cambria" w:cs="Calibri"/>
                <w:lang w:val="hr-HR" w:eastAsia="hr-HR"/>
              </w:rPr>
              <w:t xml:space="preserve">aktivno sudjelovati u </w:t>
            </w:r>
            <w:r w:rsidRPr="00DF4CE5">
              <w:rPr>
                <w:rFonts w:ascii="Cambria" w:eastAsia="Calibri" w:hAnsi="Cambria" w:cs="Calibri"/>
                <w:lang w:val="hr-HR" w:eastAsia="hr-HR"/>
              </w:rPr>
              <w:t xml:space="preserve">najmanje 70% nastave </w:t>
            </w:r>
          </w:p>
          <w:p w14:paraId="3A5F49ED" w14:textId="77777777" w:rsidR="007828F8" w:rsidRPr="00DF4CE5" w:rsidRDefault="00534AC3" w:rsidP="007828F8">
            <w:pPr>
              <w:spacing w:after="0" w:line="240" w:lineRule="auto"/>
              <w:rPr>
                <w:rFonts w:ascii="Cambria" w:eastAsia="Calibri" w:hAnsi="Cambria" w:cs="Calibri"/>
                <w:lang w:val="hr-HR" w:eastAsia="hr-HR"/>
              </w:rPr>
            </w:pPr>
            <w:r w:rsidRPr="00DF4CE5">
              <w:rPr>
                <w:rFonts w:ascii="Cambria" w:eastAsia="Calibri" w:hAnsi="Cambria" w:cs="Calibri"/>
                <w:lang w:val="hr-HR" w:eastAsia="hr-HR"/>
              </w:rPr>
              <w:t xml:space="preserve">2. </w:t>
            </w:r>
            <w:r w:rsidR="006B4F3C" w:rsidRPr="00DF4CE5">
              <w:rPr>
                <w:rFonts w:ascii="Cambria" w:eastAsia="Calibri" w:hAnsi="Cambria" w:cs="Calibri"/>
                <w:lang w:val="hr-HR" w:eastAsia="hr-HR"/>
              </w:rPr>
              <w:t>p</w:t>
            </w:r>
            <w:r w:rsidRPr="00DF4CE5">
              <w:rPr>
                <w:rFonts w:ascii="Cambria" w:eastAsia="Calibri" w:hAnsi="Cambria" w:cs="Calibri"/>
                <w:lang w:val="hr-HR" w:eastAsia="hr-HR"/>
              </w:rPr>
              <w:t xml:space="preserve">redati </w:t>
            </w:r>
            <w:r w:rsidR="006B4F3C" w:rsidRPr="00DF4CE5">
              <w:rPr>
                <w:rFonts w:ascii="Cambria" w:eastAsia="Calibri" w:hAnsi="Cambria" w:cs="Calibri"/>
                <w:lang w:val="hr-HR" w:eastAsia="hr-HR"/>
              </w:rPr>
              <w:t xml:space="preserve">seminarski rad </w:t>
            </w:r>
            <w:r w:rsidRPr="00DF4CE5">
              <w:rPr>
                <w:rFonts w:ascii="Cambria" w:eastAsia="Calibri" w:hAnsi="Cambria" w:cs="Calibri"/>
                <w:lang w:val="hr-HR" w:eastAsia="hr-HR"/>
              </w:rPr>
              <w:t>u zadanom roku i prezentirati</w:t>
            </w:r>
            <w:r w:rsidR="006B4F3C" w:rsidRPr="00DF4CE5">
              <w:rPr>
                <w:rFonts w:ascii="Cambria" w:eastAsia="Calibri" w:hAnsi="Cambria" w:cs="Calibri"/>
                <w:lang w:val="hr-HR" w:eastAsia="hr-HR"/>
              </w:rPr>
              <w:t xml:space="preserve"> ga</w:t>
            </w:r>
          </w:p>
          <w:p w14:paraId="67599108" w14:textId="6B87233A" w:rsidR="006B4F3C" w:rsidRPr="00DF4CE5" w:rsidRDefault="00534AC3" w:rsidP="007828F8">
            <w:pPr>
              <w:spacing w:after="0" w:line="240" w:lineRule="auto"/>
              <w:rPr>
                <w:rFonts w:ascii="Cambria" w:eastAsia="Calibri" w:hAnsi="Cambria" w:cs="Calibri"/>
                <w:lang w:val="hr-HR" w:eastAsia="hr-HR"/>
              </w:rPr>
            </w:pPr>
            <w:r w:rsidRPr="00DF4CE5">
              <w:rPr>
                <w:rFonts w:ascii="Cambria" w:eastAsia="Calibri" w:hAnsi="Cambria" w:cs="Calibri"/>
                <w:lang w:val="hr-HR" w:eastAsia="hr-HR"/>
              </w:rPr>
              <w:t xml:space="preserve">3. </w:t>
            </w:r>
            <w:r w:rsidR="006B4F3C" w:rsidRPr="00DF4CE5">
              <w:rPr>
                <w:rFonts w:ascii="Cambria" w:eastAsia="Calibri" w:hAnsi="Cambria" w:cs="Calibri"/>
                <w:lang w:val="hr-HR" w:eastAsia="hr-HR"/>
              </w:rPr>
              <w:t>p</w:t>
            </w:r>
            <w:r w:rsidRPr="00DF4CE5">
              <w:rPr>
                <w:rFonts w:ascii="Cambria" w:eastAsia="Calibri" w:hAnsi="Cambria" w:cs="Calibri"/>
                <w:lang w:val="hr-HR" w:eastAsia="hr-HR"/>
              </w:rPr>
              <w:t xml:space="preserve">oložiti pismeni </w:t>
            </w:r>
            <w:r w:rsidR="006B4F3C" w:rsidRPr="00DF4CE5">
              <w:rPr>
                <w:rFonts w:ascii="Cambria" w:eastAsia="Calibri" w:hAnsi="Cambria" w:cs="Calibri"/>
                <w:lang w:val="hr-HR" w:eastAsia="hr-HR"/>
              </w:rPr>
              <w:t>ispit</w:t>
            </w:r>
          </w:p>
          <w:p w14:paraId="198734E2" w14:textId="66757F3F" w:rsidR="00534AC3" w:rsidRPr="00DF4CE5" w:rsidRDefault="006B4F3C" w:rsidP="007828F8">
            <w:pPr>
              <w:spacing w:after="0" w:line="240" w:lineRule="auto"/>
              <w:rPr>
                <w:rFonts w:ascii="Cambria" w:eastAsia="Calibri" w:hAnsi="Cambria" w:cs="Calibri"/>
                <w:lang w:val="hr-HR" w:eastAsia="hr-HR"/>
              </w:rPr>
            </w:pPr>
            <w:r w:rsidRPr="00DF4CE5">
              <w:rPr>
                <w:rFonts w:ascii="Cambria" w:eastAsia="Calibri" w:hAnsi="Cambria" w:cs="Calibri"/>
                <w:lang w:val="hr-HR" w:eastAsia="hr-HR"/>
              </w:rPr>
              <w:t xml:space="preserve">4. položiti </w:t>
            </w:r>
            <w:r w:rsidR="00534AC3" w:rsidRPr="00DF4CE5">
              <w:rPr>
                <w:rFonts w:ascii="Cambria" w:eastAsia="Calibri" w:hAnsi="Cambria" w:cs="Calibri"/>
                <w:lang w:val="hr-HR" w:eastAsia="hr-HR"/>
              </w:rPr>
              <w:t>usmeni ispit.</w:t>
            </w:r>
          </w:p>
          <w:p w14:paraId="73047606" w14:textId="04F69940" w:rsidR="00534AC3" w:rsidRPr="00DF4CE5" w:rsidRDefault="007828F8" w:rsidP="007828F8">
            <w:pPr>
              <w:spacing w:after="0" w:line="240" w:lineRule="auto"/>
              <w:rPr>
                <w:rFonts w:ascii="Cambria" w:hAnsi="Cambria"/>
                <w:bCs/>
                <w:shd w:val="clear" w:color="auto" w:fill="FFFF00"/>
                <w:lang w:val="hr-HR"/>
              </w:rPr>
            </w:pPr>
            <w:r w:rsidRPr="00DF4CE5">
              <w:rPr>
                <w:rFonts w:ascii="Cambria" w:hAnsi="Cambria"/>
                <w:bCs/>
                <w:lang w:val="hr-HR"/>
              </w:rPr>
              <w:t>Napomena: Ako student/studentica ne izvrši prethodno navedene studentske obveze, morat će ponovno upisati kolegij sljedeće akademske godine.</w:t>
            </w:r>
          </w:p>
        </w:tc>
      </w:tr>
      <w:tr w:rsidR="00534AC3" w:rsidRPr="00D0399C" w14:paraId="568BE4BD" w14:textId="77777777" w:rsidTr="006B4F3C">
        <w:tblPrEx>
          <w:tblCellMar>
            <w:top w:w="68" w:type="dxa"/>
            <w:left w:w="111" w:type="dxa"/>
            <w:right w:w="61" w:type="dxa"/>
          </w:tblCellMar>
        </w:tblPrEx>
        <w:trPr>
          <w:trHeight w:val="531"/>
        </w:trPr>
        <w:tc>
          <w:tcPr>
            <w:tcW w:w="2315"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22359D6C" w14:textId="77777777" w:rsidR="00534AC3" w:rsidRPr="00DF4CE5" w:rsidRDefault="00534AC3" w:rsidP="00333E65">
            <w:pPr>
              <w:spacing w:after="0" w:line="240" w:lineRule="auto"/>
              <w:ind w:left="32"/>
              <w:rPr>
                <w:rFonts w:ascii="Cambria" w:eastAsia="Times New Roman" w:hAnsi="Cambria" w:cs="Times New Roman"/>
                <w:lang w:val="hr-HR" w:eastAsia="hr-HR"/>
              </w:rPr>
            </w:pPr>
            <w:r w:rsidRPr="00DF4CE5">
              <w:rPr>
                <w:rFonts w:ascii="Cambria" w:eastAsia="Calibri" w:hAnsi="Cambria" w:cs="Calibri"/>
                <w:lang w:val="hr-HR" w:eastAsia="hr-HR"/>
              </w:rPr>
              <w:t xml:space="preserve">Rokovi ispita i kolokvija </w:t>
            </w:r>
          </w:p>
        </w:tc>
        <w:tc>
          <w:tcPr>
            <w:tcW w:w="6737" w:type="dxa"/>
            <w:gridSpan w:val="7"/>
            <w:tcBorders>
              <w:top w:val="single" w:sz="8" w:space="0" w:color="000000"/>
              <w:left w:val="single" w:sz="8" w:space="0" w:color="000000"/>
              <w:bottom w:val="single" w:sz="8" w:space="0" w:color="000000"/>
              <w:right w:val="single" w:sz="8" w:space="0" w:color="000000"/>
            </w:tcBorders>
          </w:tcPr>
          <w:p w14:paraId="7DE508B4" w14:textId="77777777" w:rsidR="00534AC3" w:rsidRPr="00DF4CE5" w:rsidRDefault="00534AC3" w:rsidP="00333E65">
            <w:pPr>
              <w:spacing w:after="0" w:line="240" w:lineRule="auto"/>
              <w:ind w:left="36"/>
              <w:rPr>
                <w:rFonts w:ascii="Cambria" w:eastAsia="Times New Roman" w:hAnsi="Cambria" w:cs="Times New Roman"/>
                <w:lang w:val="hr-HR" w:eastAsia="hr-HR"/>
              </w:rPr>
            </w:pPr>
            <w:r w:rsidRPr="00DF4CE5">
              <w:rPr>
                <w:rFonts w:ascii="Cambria" w:eastAsia="Calibri" w:hAnsi="Cambria" w:cs="Calibri"/>
                <w:lang w:val="hr-HR" w:eastAsia="hr-HR"/>
              </w:rPr>
              <w:t xml:space="preserve">Daju se na početku akademske godine, objavljuju se na mrežnim stranicama Sveučilišta i u ISVU </w:t>
            </w:r>
          </w:p>
        </w:tc>
      </w:tr>
      <w:tr w:rsidR="00534AC3" w:rsidRPr="007D2631" w14:paraId="583AF5F9" w14:textId="77777777" w:rsidTr="00333E65">
        <w:tblPrEx>
          <w:tblCellMar>
            <w:top w:w="68" w:type="dxa"/>
            <w:left w:w="111" w:type="dxa"/>
            <w:right w:w="61" w:type="dxa"/>
          </w:tblCellMar>
        </w:tblPrEx>
        <w:trPr>
          <w:trHeight w:val="1613"/>
        </w:trPr>
        <w:tc>
          <w:tcPr>
            <w:tcW w:w="2315"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4FD31088" w14:textId="77777777" w:rsidR="00534AC3" w:rsidRPr="00DF4CE5" w:rsidRDefault="00534AC3" w:rsidP="00333E65">
            <w:pPr>
              <w:spacing w:after="0" w:line="240" w:lineRule="auto"/>
              <w:ind w:left="32"/>
              <w:rPr>
                <w:rFonts w:ascii="Cambria" w:eastAsia="Calibri" w:hAnsi="Cambria" w:cs="Calibri"/>
                <w:lang w:val="hr-HR" w:eastAsia="hr-HR"/>
              </w:rPr>
            </w:pPr>
            <w:r w:rsidRPr="00DF4CE5">
              <w:rPr>
                <w:rFonts w:ascii="Cambria" w:eastAsia="Calibri" w:hAnsi="Cambria" w:cs="Calibri"/>
                <w:lang w:val="hr-HR" w:eastAsia="hr-HR"/>
              </w:rPr>
              <w:lastRenderedPageBreak/>
              <w:t>Ostale važne činjenice vezane uz kolegij</w:t>
            </w:r>
          </w:p>
        </w:tc>
        <w:tc>
          <w:tcPr>
            <w:tcW w:w="6737" w:type="dxa"/>
            <w:gridSpan w:val="7"/>
            <w:tcBorders>
              <w:top w:val="single" w:sz="8" w:space="0" w:color="000000"/>
              <w:left w:val="single" w:sz="8" w:space="0" w:color="000000"/>
              <w:bottom w:val="single" w:sz="8" w:space="0" w:color="000000"/>
              <w:right w:val="single" w:sz="8" w:space="0" w:color="000000"/>
            </w:tcBorders>
          </w:tcPr>
          <w:p w14:paraId="6F2E247E" w14:textId="3EBAB45C" w:rsidR="00534AC3" w:rsidRPr="00DF4CE5" w:rsidRDefault="00534AC3" w:rsidP="00333E65">
            <w:pPr>
              <w:spacing w:after="0" w:line="240" w:lineRule="auto"/>
              <w:ind w:left="36"/>
              <w:rPr>
                <w:rFonts w:ascii="Cambria" w:eastAsia="Calibri" w:hAnsi="Cambria" w:cs="Calibri"/>
                <w:lang w:val="it-IT" w:eastAsia="hr-HR"/>
              </w:rPr>
            </w:pPr>
            <w:r w:rsidRPr="00DF4CE5">
              <w:rPr>
                <w:rFonts w:ascii="Cambria" w:eastAsia="Times New Roman" w:hAnsi="Cambria" w:cs="Calibri"/>
                <w:lang w:val="hr-HR" w:eastAsia="hr-HR"/>
              </w:rPr>
              <w:t xml:space="preserve">U slučaju održavanja nastave na daljinu, moguće je odstupanje u: mjestu izvođenja kolegija, provedbi aktivnosti, metoda tumačenja i poučavanja i načinima vrednovanja, studentskim obvezama i dostupnoj literaturi. </w:t>
            </w:r>
            <w:r w:rsidR="00F04B06" w:rsidRPr="00F04B06">
              <w:rPr>
                <w:rFonts w:ascii="Cambria" w:hAnsi="Cambria"/>
                <w:shd w:val="clear" w:color="auto" w:fill="FFFFFF" w:themeFill="background1"/>
                <w:lang w:val="it-IT"/>
              </w:rPr>
              <w:t xml:space="preserve">O tome </w:t>
            </w:r>
            <w:proofErr w:type="spellStart"/>
            <w:r w:rsidR="00F04B06" w:rsidRPr="00F04B06">
              <w:rPr>
                <w:rFonts w:ascii="Cambria" w:hAnsi="Cambria"/>
                <w:shd w:val="clear" w:color="auto" w:fill="FFFFFF" w:themeFill="background1"/>
                <w:lang w:val="it-IT"/>
              </w:rPr>
              <w:t>će</w:t>
            </w:r>
            <w:proofErr w:type="spellEnd"/>
            <w:r w:rsidR="00F04B06" w:rsidRPr="00F04B06">
              <w:rPr>
                <w:rFonts w:ascii="Cambria" w:hAnsi="Cambria"/>
                <w:shd w:val="clear" w:color="auto" w:fill="FFFFFF" w:themeFill="background1"/>
                <w:lang w:val="it-IT"/>
              </w:rPr>
              <w:t xml:space="preserve"> </w:t>
            </w:r>
            <w:proofErr w:type="spellStart"/>
            <w:r w:rsidR="00F04B06" w:rsidRPr="00F04B06">
              <w:rPr>
                <w:rFonts w:ascii="Cambria" w:hAnsi="Cambria"/>
                <w:shd w:val="clear" w:color="auto" w:fill="FFFFFF" w:themeFill="background1"/>
                <w:lang w:val="it-IT"/>
              </w:rPr>
              <w:t>nositeljica</w:t>
            </w:r>
            <w:proofErr w:type="spellEnd"/>
            <w:r w:rsidR="00F04B06" w:rsidRPr="00F04B06">
              <w:rPr>
                <w:rFonts w:ascii="Cambria" w:hAnsi="Cambria"/>
                <w:shd w:val="clear" w:color="auto" w:fill="FFFFFF" w:themeFill="background1"/>
                <w:lang w:val="it-IT"/>
              </w:rPr>
              <w:t xml:space="preserve"> </w:t>
            </w:r>
            <w:proofErr w:type="spellStart"/>
            <w:r w:rsidR="00F04B06" w:rsidRPr="00F04B06">
              <w:rPr>
                <w:rFonts w:ascii="Cambria" w:hAnsi="Cambria"/>
                <w:shd w:val="clear" w:color="auto" w:fill="FFFFFF" w:themeFill="background1"/>
                <w:lang w:val="it-IT"/>
              </w:rPr>
              <w:t>kolegija</w:t>
            </w:r>
            <w:proofErr w:type="spellEnd"/>
            <w:r w:rsidR="00F04B06" w:rsidRPr="00F04B06">
              <w:rPr>
                <w:rFonts w:ascii="Cambria" w:hAnsi="Cambria"/>
                <w:shd w:val="clear" w:color="auto" w:fill="FFFFFF" w:themeFill="background1"/>
                <w:lang w:val="it-IT"/>
              </w:rPr>
              <w:t xml:space="preserve"> </w:t>
            </w:r>
            <w:r w:rsidR="00F04B06">
              <w:rPr>
                <w:rFonts w:ascii="Cambria" w:hAnsi="Cambria"/>
                <w:shd w:val="clear" w:color="auto" w:fill="FFFFFF" w:themeFill="background1"/>
                <w:lang w:val="it-IT"/>
              </w:rPr>
              <w:t xml:space="preserve">i </w:t>
            </w:r>
            <w:proofErr w:type="spellStart"/>
            <w:r w:rsidR="00F04B06">
              <w:rPr>
                <w:rFonts w:ascii="Cambria" w:hAnsi="Cambria"/>
                <w:shd w:val="clear" w:color="auto" w:fill="FFFFFF" w:themeFill="background1"/>
                <w:lang w:val="it-IT"/>
              </w:rPr>
              <w:t>suradnice</w:t>
            </w:r>
            <w:proofErr w:type="spellEnd"/>
            <w:r w:rsidR="00F04B06">
              <w:rPr>
                <w:rFonts w:ascii="Cambria" w:hAnsi="Cambria"/>
                <w:shd w:val="clear" w:color="auto" w:fill="FFFFFF" w:themeFill="background1"/>
                <w:lang w:val="it-IT"/>
              </w:rPr>
              <w:t xml:space="preserve"> </w:t>
            </w:r>
            <w:proofErr w:type="spellStart"/>
            <w:r w:rsidR="00F04B06" w:rsidRPr="00F04B06">
              <w:rPr>
                <w:rFonts w:ascii="Cambria" w:hAnsi="Cambria"/>
                <w:shd w:val="clear" w:color="auto" w:fill="FFFFFF" w:themeFill="background1"/>
                <w:lang w:val="it-IT"/>
              </w:rPr>
              <w:t>obavijestiti</w:t>
            </w:r>
            <w:proofErr w:type="spellEnd"/>
            <w:r w:rsidR="00F04B06" w:rsidRPr="00F04B06">
              <w:rPr>
                <w:rFonts w:ascii="Cambria" w:hAnsi="Cambria"/>
                <w:shd w:val="clear" w:color="auto" w:fill="FFFFFF" w:themeFill="background1"/>
                <w:lang w:val="it-IT"/>
              </w:rPr>
              <w:t xml:space="preserve"> studente i </w:t>
            </w:r>
            <w:proofErr w:type="spellStart"/>
            <w:r w:rsidR="00F04B06" w:rsidRPr="00F04B06">
              <w:rPr>
                <w:rFonts w:ascii="Cambria" w:hAnsi="Cambria"/>
                <w:shd w:val="clear" w:color="auto" w:fill="FFFFFF" w:themeFill="background1"/>
                <w:lang w:val="it-IT"/>
              </w:rPr>
              <w:t>studentice</w:t>
            </w:r>
            <w:proofErr w:type="spellEnd"/>
            <w:r w:rsidR="00F04B06" w:rsidRPr="00F04B06">
              <w:rPr>
                <w:rFonts w:ascii="Cambria" w:hAnsi="Cambria"/>
                <w:shd w:val="clear" w:color="auto" w:fill="FFFFFF" w:themeFill="background1"/>
                <w:lang w:val="it-IT"/>
              </w:rPr>
              <w:t xml:space="preserve"> </w:t>
            </w:r>
            <w:proofErr w:type="spellStart"/>
            <w:r w:rsidR="00F04B06" w:rsidRPr="00F04B06">
              <w:rPr>
                <w:rFonts w:ascii="Cambria" w:hAnsi="Cambria"/>
                <w:shd w:val="clear" w:color="auto" w:fill="FFFFFF" w:themeFill="background1"/>
                <w:lang w:val="it-IT"/>
              </w:rPr>
              <w:t>kad</w:t>
            </w:r>
            <w:proofErr w:type="spellEnd"/>
            <w:r w:rsidR="00F04B06" w:rsidRPr="00F04B06">
              <w:rPr>
                <w:rFonts w:ascii="Cambria" w:hAnsi="Cambria"/>
                <w:shd w:val="clear" w:color="auto" w:fill="FFFFFF" w:themeFill="background1"/>
                <w:lang w:val="it-IT"/>
              </w:rPr>
              <w:t xml:space="preserve"> se </w:t>
            </w:r>
            <w:proofErr w:type="spellStart"/>
            <w:r w:rsidR="00F04B06" w:rsidRPr="00F04B06">
              <w:rPr>
                <w:rFonts w:ascii="Cambria" w:hAnsi="Cambria"/>
                <w:shd w:val="clear" w:color="auto" w:fill="FFFFFF" w:themeFill="background1"/>
                <w:lang w:val="it-IT"/>
              </w:rPr>
              <w:t>nastava</w:t>
            </w:r>
            <w:proofErr w:type="spellEnd"/>
            <w:r w:rsidR="00F04B06" w:rsidRPr="00F04B06">
              <w:rPr>
                <w:rFonts w:ascii="Cambria" w:hAnsi="Cambria"/>
                <w:shd w:val="clear" w:color="auto" w:fill="FFFFFF" w:themeFill="background1"/>
                <w:lang w:val="it-IT"/>
              </w:rPr>
              <w:t xml:space="preserve"> </w:t>
            </w:r>
            <w:proofErr w:type="spellStart"/>
            <w:r w:rsidR="00F04B06" w:rsidRPr="00F04B06">
              <w:rPr>
                <w:rFonts w:ascii="Cambria" w:hAnsi="Cambria"/>
                <w:shd w:val="clear" w:color="auto" w:fill="FFFFFF" w:themeFill="background1"/>
                <w:lang w:val="it-IT"/>
              </w:rPr>
              <w:t>na</w:t>
            </w:r>
            <w:proofErr w:type="spellEnd"/>
            <w:r w:rsidR="00F04B06" w:rsidRPr="00F04B06">
              <w:rPr>
                <w:rFonts w:ascii="Cambria" w:hAnsi="Cambria"/>
                <w:shd w:val="clear" w:color="auto" w:fill="FFFFFF" w:themeFill="background1"/>
                <w:lang w:val="it-IT"/>
              </w:rPr>
              <w:t xml:space="preserve"> </w:t>
            </w:r>
            <w:proofErr w:type="spellStart"/>
            <w:r w:rsidR="00F04B06" w:rsidRPr="00F04B06">
              <w:rPr>
                <w:rFonts w:ascii="Cambria" w:hAnsi="Cambria"/>
                <w:shd w:val="clear" w:color="auto" w:fill="FFFFFF" w:themeFill="background1"/>
                <w:lang w:val="it-IT"/>
              </w:rPr>
              <w:t>daljinu</w:t>
            </w:r>
            <w:proofErr w:type="spellEnd"/>
            <w:r w:rsidR="00F04B06" w:rsidRPr="00F04B06">
              <w:rPr>
                <w:rFonts w:ascii="Cambria" w:hAnsi="Cambria"/>
                <w:shd w:val="clear" w:color="auto" w:fill="FFFFFF" w:themeFill="background1"/>
                <w:lang w:val="it-IT"/>
              </w:rPr>
              <w:t xml:space="preserve"> </w:t>
            </w:r>
            <w:proofErr w:type="spellStart"/>
            <w:r w:rsidR="00F04B06" w:rsidRPr="00F04B06">
              <w:rPr>
                <w:rFonts w:ascii="Cambria" w:hAnsi="Cambria"/>
                <w:shd w:val="clear" w:color="auto" w:fill="FFFFFF" w:themeFill="background1"/>
                <w:lang w:val="it-IT"/>
              </w:rPr>
              <w:t>počne</w:t>
            </w:r>
            <w:proofErr w:type="spellEnd"/>
            <w:r w:rsidR="00F04B06" w:rsidRPr="00F04B06">
              <w:rPr>
                <w:rFonts w:ascii="Cambria" w:hAnsi="Cambria"/>
                <w:shd w:val="clear" w:color="auto" w:fill="FFFFFF" w:themeFill="background1"/>
                <w:lang w:val="it-IT"/>
              </w:rPr>
              <w:t xml:space="preserve"> </w:t>
            </w:r>
            <w:proofErr w:type="spellStart"/>
            <w:r w:rsidR="00F04B06" w:rsidRPr="00F04B06">
              <w:rPr>
                <w:rFonts w:ascii="Cambria" w:hAnsi="Cambria"/>
                <w:shd w:val="clear" w:color="auto" w:fill="FFFFFF" w:themeFill="background1"/>
                <w:lang w:val="it-IT"/>
              </w:rPr>
              <w:t>održavati</w:t>
            </w:r>
            <w:proofErr w:type="spellEnd"/>
            <w:r w:rsidR="00F04B06" w:rsidRPr="00F04B06">
              <w:rPr>
                <w:rFonts w:ascii="Cambria" w:hAnsi="Cambria"/>
                <w:shd w:val="clear" w:color="auto" w:fill="FFFFFF" w:themeFill="background1"/>
                <w:lang w:val="it-IT"/>
              </w:rPr>
              <w:t>.</w:t>
            </w:r>
            <w:r w:rsidR="00F04B06" w:rsidRPr="00F04B06">
              <w:rPr>
                <w:lang w:val="it-IT"/>
              </w:rPr>
              <w:t xml:space="preserve"> </w:t>
            </w:r>
            <w:proofErr w:type="spellStart"/>
            <w:r w:rsidR="00F04B06" w:rsidRPr="00F04B06">
              <w:rPr>
                <w:rFonts w:ascii="Cambria" w:hAnsi="Cambria"/>
                <w:shd w:val="clear" w:color="auto" w:fill="FFFFFF" w:themeFill="background1"/>
                <w:lang w:val="it-IT"/>
              </w:rPr>
              <w:t>Ishodi</w:t>
            </w:r>
            <w:proofErr w:type="spellEnd"/>
            <w:r w:rsidR="00F04B06" w:rsidRPr="00F04B06">
              <w:rPr>
                <w:rFonts w:ascii="Cambria" w:hAnsi="Cambria"/>
                <w:shd w:val="clear" w:color="auto" w:fill="FFFFFF" w:themeFill="background1"/>
                <w:lang w:val="it-IT"/>
              </w:rPr>
              <w:t xml:space="preserve"> </w:t>
            </w:r>
            <w:proofErr w:type="spellStart"/>
            <w:r w:rsidR="00F04B06" w:rsidRPr="00F04B06">
              <w:rPr>
                <w:rFonts w:ascii="Cambria" w:hAnsi="Cambria"/>
                <w:shd w:val="clear" w:color="auto" w:fill="FFFFFF" w:themeFill="background1"/>
                <w:lang w:val="it-IT"/>
              </w:rPr>
              <w:t>učenja</w:t>
            </w:r>
            <w:proofErr w:type="spellEnd"/>
            <w:r w:rsidR="00F04B06" w:rsidRPr="00F04B06">
              <w:rPr>
                <w:rFonts w:ascii="Cambria" w:hAnsi="Cambria"/>
                <w:shd w:val="clear" w:color="auto" w:fill="FFFFFF" w:themeFill="background1"/>
                <w:lang w:val="it-IT"/>
              </w:rPr>
              <w:t xml:space="preserve"> </w:t>
            </w:r>
            <w:proofErr w:type="spellStart"/>
            <w:r w:rsidR="00F04B06" w:rsidRPr="00F04B06">
              <w:rPr>
                <w:rFonts w:ascii="Cambria" w:hAnsi="Cambria"/>
                <w:shd w:val="clear" w:color="auto" w:fill="FFFFFF" w:themeFill="background1"/>
                <w:lang w:val="it-IT"/>
              </w:rPr>
              <w:t>ostaju</w:t>
            </w:r>
            <w:proofErr w:type="spellEnd"/>
            <w:r w:rsidR="00F04B06" w:rsidRPr="00F04B06">
              <w:rPr>
                <w:rFonts w:ascii="Cambria" w:hAnsi="Cambria"/>
                <w:shd w:val="clear" w:color="auto" w:fill="FFFFFF" w:themeFill="background1"/>
                <w:lang w:val="it-IT"/>
              </w:rPr>
              <w:t xml:space="preserve"> </w:t>
            </w:r>
            <w:proofErr w:type="spellStart"/>
            <w:r w:rsidR="00F04B06" w:rsidRPr="00F04B06">
              <w:rPr>
                <w:rFonts w:ascii="Cambria" w:hAnsi="Cambria"/>
                <w:shd w:val="clear" w:color="auto" w:fill="FFFFFF" w:themeFill="background1"/>
                <w:lang w:val="it-IT"/>
              </w:rPr>
              <w:t>nepromijenjeni</w:t>
            </w:r>
            <w:proofErr w:type="spellEnd"/>
            <w:r w:rsidR="00F04B06" w:rsidRPr="00F04B06">
              <w:rPr>
                <w:rFonts w:ascii="Cambria" w:hAnsi="Cambria"/>
                <w:shd w:val="clear" w:color="auto" w:fill="FFFFFF" w:themeFill="background1"/>
                <w:lang w:val="it-IT"/>
              </w:rPr>
              <w:t>.</w:t>
            </w:r>
          </w:p>
        </w:tc>
      </w:tr>
      <w:tr w:rsidR="006B4F3C" w:rsidRPr="00D0399C" w14:paraId="5D7C8F48" w14:textId="77777777" w:rsidTr="006B4F3C">
        <w:tblPrEx>
          <w:tblCellMar>
            <w:top w:w="68" w:type="dxa"/>
            <w:left w:w="111" w:type="dxa"/>
            <w:right w:w="61" w:type="dxa"/>
          </w:tblCellMar>
        </w:tblPrEx>
        <w:trPr>
          <w:trHeight w:val="7310"/>
        </w:trPr>
        <w:tc>
          <w:tcPr>
            <w:tcW w:w="2315" w:type="dxa"/>
            <w:tcBorders>
              <w:top w:val="single" w:sz="8" w:space="0" w:color="000000"/>
              <w:left w:val="single" w:sz="8" w:space="0" w:color="000000"/>
              <w:bottom w:val="single" w:sz="4" w:space="0" w:color="auto"/>
              <w:right w:val="single" w:sz="8" w:space="0" w:color="000000"/>
            </w:tcBorders>
            <w:shd w:val="clear" w:color="auto" w:fill="F3F3F3"/>
          </w:tcPr>
          <w:p w14:paraId="68FB4991" w14:textId="77777777" w:rsidR="006B4F3C" w:rsidRPr="00DF4CE5" w:rsidRDefault="006B4F3C" w:rsidP="00333E65">
            <w:pPr>
              <w:spacing w:after="0" w:line="240" w:lineRule="auto"/>
              <w:ind w:left="32"/>
              <w:rPr>
                <w:rFonts w:ascii="Cambria" w:eastAsia="Calibri" w:hAnsi="Cambria" w:cs="Calibri"/>
                <w:lang w:val="hr-HR" w:eastAsia="hr-HR"/>
              </w:rPr>
            </w:pPr>
          </w:p>
          <w:p w14:paraId="67A2EE74" w14:textId="77777777" w:rsidR="00333E65" w:rsidRPr="00DF4CE5" w:rsidRDefault="00333E65" w:rsidP="00333E65">
            <w:pPr>
              <w:spacing w:after="0" w:line="240" w:lineRule="auto"/>
              <w:rPr>
                <w:rFonts w:ascii="Cambria" w:eastAsia="Calibri" w:hAnsi="Cambria" w:cs="Calibri"/>
                <w:lang w:val="hr-HR" w:eastAsia="hr-HR"/>
              </w:rPr>
            </w:pPr>
          </w:p>
          <w:p w14:paraId="32721838" w14:textId="77777777" w:rsidR="00333E65" w:rsidRPr="00DF4CE5" w:rsidRDefault="00333E65" w:rsidP="00333E65">
            <w:pPr>
              <w:spacing w:after="0" w:line="240" w:lineRule="auto"/>
              <w:rPr>
                <w:rFonts w:ascii="Cambria" w:eastAsia="Calibri" w:hAnsi="Cambria" w:cs="Calibri"/>
                <w:lang w:val="hr-HR" w:eastAsia="hr-HR"/>
              </w:rPr>
            </w:pPr>
          </w:p>
          <w:p w14:paraId="5732876B" w14:textId="77777777" w:rsidR="00333E65" w:rsidRPr="00DF4CE5" w:rsidRDefault="00333E65" w:rsidP="00333E65">
            <w:pPr>
              <w:spacing w:after="0" w:line="240" w:lineRule="auto"/>
              <w:rPr>
                <w:rFonts w:ascii="Cambria" w:eastAsia="Calibri" w:hAnsi="Cambria" w:cs="Calibri"/>
                <w:lang w:val="hr-HR" w:eastAsia="hr-HR"/>
              </w:rPr>
            </w:pPr>
          </w:p>
          <w:p w14:paraId="3E800EA6" w14:textId="77777777" w:rsidR="00333E65" w:rsidRPr="00DF4CE5" w:rsidRDefault="00333E65" w:rsidP="00333E65">
            <w:pPr>
              <w:spacing w:after="0" w:line="240" w:lineRule="auto"/>
              <w:rPr>
                <w:rFonts w:ascii="Cambria" w:eastAsia="Calibri" w:hAnsi="Cambria" w:cs="Calibri"/>
                <w:lang w:val="hr-HR" w:eastAsia="hr-HR"/>
              </w:rPr>
            </w:pPr>
          </w:p>
          <w:p w14:paraId="1E21C5B0" w14:textId="77777777" w:rsidR="00333E65" w:rsidRPr="00DF4CE5" w:rsidRDefault="00333E65" w:rsidP="00333E65">
            <w:pPr>
              <w:spacing w:after="0" w:line="240" w:lineRule="auto"/>
              <w:rPr>
                <w:rFonts w:ascii="Cambria" w:eastAsia="Calibri" w:hAnsi="Cambria" w:cs="Calibri"/>
                <w:lang w:val="hr-HR" w:eastAsia="hr-HR"/>
              </w:rPr>
            </w:pPr>
          </w:p>
          <w:p w14:paraId="595FADCC" w14:textId="77777777" w:rsidR="00333E65" w:rsidRPr="00DF4CE5" w:rsidRDefault="00333E65" w:rsidP="00333E65">
            <w:pPr>
              <w:spacing w:after="0" w:line="240" w:lineRule="auto"/>
              <w:rPr>
                <w:rFonts w:ascii="Cambria" w:eastAsia="Calibri" w:hAnsi="Cambria" w:cs="Calibri"/>
                <w:lang w:val="hr-HR" w:eastAsia="hr-HR"/>
              </w:rPr>
            </w:pPr>
          </w:p>
          <w:p w14:paraId="4E1E2B09" w14:textId="77777777" w:rsidR="00333E65" w:rsidRPr="00DF4CE5" w:rsidRDefault="00333E65" w:rsidP="00333E65">
            <w:pPr>
              <w:spacing w:after="0" w:line="240" w:lineRule="auto"/>
              <w:rPr>
                <w:rFonts w:ascii="Cambria" w:eastAsia="Calibri" w:hAnsi="Cambria" w:cs="Calibri"/>
                <w:lang w:val="hr-HR" w:eastAsia="hr-HR"/>
              </w:rPr>
            </w:pPr>
          </w:p>
          <w:p w14:paraId="3AB0540D" w14:textId="77777777" w:rsidR="00333E65" w:rsidRPr="00DF4CE5" w:rsidRDefault="00333E65" w:rsidP="00333E65">
            <w:pPr>
              <w:spacing w:after="0" w:line="240" w:lineRule="auto"/>
              <w:rPr>
                <w:rFonts w:ascii="Cambria" w:eastAsia="Calibri" w:hAnsi="Cambria" w:cs="Calibri"/>
                <w:lang w:val="hr-HR" w:eastAsia="hr-HR"/>
              </w:rPr>
            </w:pPr>
          </w:p>
          <w:p w14:paraId="111AEC29" w14:textId="77777777" w:rsidR="00333E65" w:rsidRPr="00DF4CE5" w:rsidRDefault="00333E65" w:rsidP="00333E65">
            <w:pPr>
              <w:spacing w:after="0" w:line="240" w:lineRule="auto"/>
              <w:rPr>
                <w:rFonts w:ascii="Cambria" w:eastAsia="Calibri" w:hAnsi="Cambria" w:cs="Calibri"/>
                <w:lang w:val="hr-HR" w:eastAsia="hr-HR"/>
              </w:rPr>
            </w:pPr>
          </w:p>
          <w:p w14:paraId="1E601DD3" w14:textId="77777777" w:rsidR="00333E65" w:rsidRPr="00DF4CE5" w:rsidRDefault="00333E65" w:rsidP="00333E65">
            <w:pPr>
              <w:spacing w:after="0" w:line="240" w:lineRule="auto"/>
              <w:rPr>
                <w:rFonts w:ascii="Cambria" w:eastAsia="Calibri" w:hAnsi="Cambria" w:cs="Calibri"/>
                <w:lang w:val="hr-HR" w:eastAsia="hr-HR"/>
              </w:rPr>
            </w:pPr>
          </w:p>
          <w:p w14:paraId="03FD2736" w14:textId="77777777" w:rsidR="00333E65" w:rsidRPr="00DF4CE5" w:rsidRDefault="00333E65" w:rsidP="00333E65">
            <w:pPr>
              <w:spacing w:after="0" w:line="240" w:lineRule="auto"/>
              <w:rPr>
                <w:rFonts w:ascii="Cambria" w:eastAsia="Calibri" w:hAnsi="Cambria" w:cs="Calibri"/>
                <w:lang w:val="hr-HR" w:eastAsia="hr-HR"/>
              </w:rPr>
            </w:pPr>
          </w:p>
          <w:p w14:paraId="0B422009" w14:textId="6D1481DB" w:rsidR="006B4F3C" w:rsidRPr="00DF4CE5" w:rsidRDefault="006B4F3C" w:rsidP="00333E65">
            <w:pPr>
              <w:spacing w:after="0" w:line="240" w:lineRule="auto"/>
              <w:rPr>
                <w:rFonts w:ascii="Cambria" w:eastAsia="Times New Roman" w:hAnsi="Cambria" w:cs="Times New Roman"/>
                <w:lang w:val="hr-HR" w:eastAsia="hr-HR"/>
              </w:rPr>
            </w:pPr>
            <w:r w:rsidRPr="00DF4CE5">
              <w:rPr>
                <w:rFonts w:ascii="Cambria" w:eastAsia="Calibri" w:hAnsi="Cambria" w:cs="Calibri"/>
                <w:lang w:val="hr-HR" w:eastAsia="hr-HR"/>
              </w:rPr>
              <w:t>Literatura</w:t>
            </w:r>
          </w:p>
        </w:tc>
        <w:tc>
          <w:tcPr>
            <w:tcW w:w="6737" w:type="dxa"/>
            <w:gridSpan w:val="7"/>
            <w:tcBorders>
              <w:top w:val="single" w:sz="8" w:space="0" w:color="000000"/>
              <w:left w:val="single" w:sz="8" w:space="0" w:color="000000"/>
              <w:bottom w:val="single" w:sz="4" w:space="0" w:color="auto"/>
              <w:right w:val="single" w:sz="8" w:space="0" w:color="000000"/>
            </w:tcBorders>
            <w:shd w:val="clear" w:color="auto" w:fill="FFFFFF" w:themeFill="background1"/>
            <w:vAlign w:val="center"/>
          </w:tcPr>
          <w:p w14:paraId="02D3C361" w14:textId="77777777" w:rsidR="006B4F3C" w:rsidRPr="00DF4CE5" w:rsidRDefault="006B4F3C" w:rsidP="00333E65">
            <w:pPr>
              <w:spacing w:after="0" w:line="240" w:lineRule="auto"/>
              <w:rPr>
                <w:rFonts w:ascii="Cambria" w:eastAsia="Calibri" w:hAnsi="Cambria" w:cs="Calibri"/>
                <w:lang w:val="hr-HR" w:eastAsia="hr-HR"/>
              </w:rPr>
            </w:pPr>
            <w:r w:rsidRPr="00DF4CE5">
              <w:rPr>
                <w:rFonts w:ascii="Cambria" w:eastAsia="Calibri" w:hAnsi="Cambria" w:cs="Calibri"/>
                <w:lang w:val="hr-HR" w:eastAsia="hr-HR"/>
              </w:rPr>
              <w:t xml:space="preserve">Obvezna: </w:t>
            </w:r>
          </w:p>
          <w:p w14:paraId="10FB0601" w14:textId="77777777" w:rsidR="006B4F3C" w:rsidRPr="00DF4CE5" w:rsidRDefault="006B4F3C" w:rsidP="00A034E3">
            <w:pPr>
              <w:numPr>
                <w:ilvl w:val="0"/>
                <w:numId w:val="59"/>
              </w:numPr>
              <w:spacing w:after="0" w:line="240" w:lineRule="auto"/>
              <w:ind w:left="172" w:hanging="172"/>
              <w:contextualSpacing/>
              <w:rPr>
                <w:rFonts w:ascii="Cambria" w:eastAsia="Calibri" w:hAnsi="Cambria" w:cs="Calibri"/>
                <w:lang w:val="hr-HR" w:eastAsia="hr-HR"/>
              </w:rPr>
            </w:pPr>
            <w:r w:rsidRPr="00DF4CE5">
              <w:rPr>
                <w:rFonts w:ascii="Cambria" w:eastAsia="Calibri" w:hAnsi="Cambria" w:cs="Calibri"/>
                <w:lang w:val="hr-HR" w:eastAsia="hr-HR"/>
              </w:rPr>
              <w:t xml:space="preserve"> Grgin, T</w:t>
            </w:r>
            <w:r w:rsidRPr="00DF4CE5">
              <w:rPr>
                <w:rFonts w:ascii="Cambria" w:eastAsia="Calibri" w:hAnsi="Cambria" w:cs="Calibri"/>
                <w:shd w:val="clear" w:color="auto" w:fill="FFFFFF" w:themeFill="background1"/>
                <w:lang w:val="hr-HR" w:eastAsia="hr-HR"/>
              </w:rPr>
              <w:t xml:space="preserve">. (2004). </w:t>
            </w:r>
            <w:r w:rsidRPr="00DF4CE5">
              <w:rPr>
                <w:rFonts w:ascii="Cambria" w:eastAsia="Calibri" w:hAnsi="Cambria" w:cs="Calibri"/>
                <w:i/>
                <w:iCs/>
                <w:shd w:val="clear" w:color="auto" w:fill="FFFFFF" w:themeFill="background1"/>
                <w:lang w:val="hr-HR" w:eastAsia="hr-HR"/>
              </w:rPr>
              <w:t>Edukacijska psihologija</w:t>
            </w:r>
            <w:r w:rsidRPr="00DF4CE5">
              <w:rPr>
                <w:rFonts w:ascii="Cambria" w:eastAsia="Calibri" w:hAnsi="Cambria" w:cs="Calibri"/>
                <w:shd w:val="clear" w:color="auto" w:fill="FFFFFF" w:themeFill="background1"/>
                <w:lang w:val="hr-HR" w:eastAsia="hr-HR"/>
              </w:rPr>
              <w:t>.</w:t>
            </w:r>
            <w:r w:rsidRPr="00DF4CE5">
              <w:rPr>
                <w:rFonts w:ascii="Cambria" w:eastAsia="Calibri" w:hAnsi="Cambria" w:cs="Calibri"/>
                <w:lang w:val="hr-HR" w:eastAsia="hr-HR"/>
              </w:rPr>
              <w:t xml:space="preserve"> Jastrebarsko: Naklada Slap. </w:t>
            </w:r>
          </w:p>
          <w:p w14:paraId="09221CD3" w14:textId="77777777" w:rsidR="006B4F3C" w:rsidRPr="00DF4CE5" w:rsidRDefault="006B4F3C" w:rsidP="00A034E3">
            <w:pPr>
              <w:numPr>
                <w:ilvl w:val="0"/>
                <w:numId w:val="59"/>
              </w:numPr>
              <w:spacing w:after="0" w:line="240" w:lineRule="auto"/>
              <w:ind w:left="172" w:hanging="172"/>
              <w:contextualSpacing/>
              <w:rPr>
                <w:rFonts w:ascii="Cambria" w:eastAsia="Calibri" w:hAnsi="Cambria" w:cs="Calibri"/>
                <w:lang w:val="hr-HR" w:eastAsia="hr-HR"/>
              </w:rPr>
            </w:pPr>
            <w:r w:rsidRPr="00DF4CE5">
              <w:rPr>
                <w:rFonts w:ascii="Cambria" w:eastAsia="Calibri" w:hAnsi="Cambria" w:cs="Calibri"/>
                <w:lang w:val="hr-HR" w:eastAsia="hr-HR"/>
              </w:rPr>
              <w:t xml:space="preserve"> </w:t>
            </w:r>
            <w:proofErr w:type="spellStart"/>
            <w:r w:rsidRPr="00DF4CE5">
              <w:rPr>
                <w:rFonts w:ascii="Cambria" w:eastAsia="Calibri" w:hAnsi="Cambria" w:cs="Calibri"/>
                <w:lang w:val="hr-HR" w:eastAsia="hr-HR"/>
              </w:rPr>
              <w:t>Radetić</w:t>
            </w:r>
            <w:proofErr w:type="spellEnd"/>
            <w:r w:rsidRPr="00DF4CE5">
              <w:rPr>
                <w:rFonts w:ascii="Cambria" w:eastAsia="Calibri" w:hAnsi="Cambria" w:cs="Calibri"/>
                <w:lang w:val="hr-HR" w:eastAsia="hr-HR"/>
              </w:rPr>
              <w:t>-Paić, M., Ružić-</w:t>
            </w:r>
            <w:proofErr w:type="spellStart"/>
            <w:r w:rsidRPr="00DF4CE5">
              <w:rPr>
                <w:rFonts w:ascii="Cambria" w:eastAsia="Calibri" w:hAnsi="Cambria" w:cs="Calibri"/>
                <w:lang w:val="hr-HR" w:eastAsia="hr-HR"/>
              </w:rPr>
              <w:t>Baf</w:t>
            </w:r>
            <w:proofErr w:type="spellEnd"/>
            <w:r w:rsidRPr="00DF4CE5">
              <w:rPr>
                <w:rFonts w:ascii="Cambria" w:eastAsia="Calibri" w:hAnsi="Cambria" w:cs="Calibri"/>
                <w:lang w:val="hr-HR" w:eastAsia="hr-HR"/>
              </w:rPr>
              <w:t xml:space="preserve">, M.,  </w:t>
            </w:r>
            <w:r w:rsidRPr="00DF4CE5">
              <w:rPr>
                <w:rFonts w:ascii="Cambria" w:eastAsia="Calibri" w:hAnsi="Cambria" w:cs="Calibri"/>
                <w:shd w:val="clear" w:color="auto" w:fill="FFFFFF" w:themeFill="background1"/>
                <w:lang w:val="hr-HR" w:eastAsia="hr-HR"/>
              </w:rPr>
              <w:t>&amp;</w:t>
            </w:r>
            <w:r w:rsidRPr="00DF4CE5">
              <w:rPr>
                <w:rFonts w:ascii="Cambria" w:eastAsia="Calibri" w:hAnsi="Cambria" w:cs="Calibri"/>
                <w:lang w:val="hr-HR" w:eastAsia="hr-HR"/>
              </w:rPr>
              <w:t xml:space="preserve"> </w:t>
            </w:r>
            <w:proofErr w:type="spellStart"/>
            <w:r w:rsidRPr="00DF4CE5">
              <w:rPr>
                <w:rFonts w:ascii="Cambria" w:eastAsia="Calibri" w:hAnsi="Cambria" w:cs="Calibri"/>
                <w:lang w:val="hr-HR" w:eastAsia="hr-HR"/>
              </w:rPr>
              <w:t>Zuliani</w:t>
            </w:r>
            <w:proofErr w:type="spellEnd"/>
            <w:r w:rsidRPr="00DF4CE5">
              <w:rPr>
                <w:rFonts w:ascii="Cambria" w:eastAsia="Calibri" w:hAnsi="Cambria" w:cs="Calibri"/>
                <w:lang w:val="hr-HR" w:eastAsia="hr-HR"/>
              </w:rPr>
              <w:t xml:space="preserve">, Đ. (2011). </w:t>
            </w:r>
            <w:r w:rsidRPr="00DF4CE5">
              <w:rPr>
                <w:rFonts w:ascii="Cambria" w:eastAsia="Calibri" w:hAnsi="Cambria" w:cs="Calibri"/>
                <w:i/>
                <w:iCs/>
                <w:shd w:val="clear" w:color="auto" w:fill="FFFFFF" w:themeFill="background1"/>
                <w:lang w:val="hr-HR" w:eastAsia="hr-HR"/>
              </w:rPr>
              <w:t xml:space="preserve">Poremećaji nedovoljno kontroliranog ponašanja sa psihološkog, </w:t>
            </w:r>
            <w:proofErr w:type="spellStart"/>
            <w:r w:rsidRPr="00DF4CE5">
              <w:rPr>
                <w:rFonts w:ascii="Cambria" w:eastAsia="Calibri" w:hAnsi="Cambria" w:cs="Calibri"/>
                <w:i/>
                <w:iCs/>
                <w:shd w:val="clear" w:color="auto" w:fill="FFFFFF" w:themeFill="background1"/>
                <w:lang w:val="hr-HR" w:eastAsia="hr-HR"/>
              </w:rPr>
              <w:t>sociopedagoškog</w:t>
            </w:r>
            <w:proofErr w:type="spellEnd"/>
            <w:r w:rsidRPr="00DF4CE5">
              <w:rPr>
                <w:rFonts w:ascii="Cambria" w:eastAsia="Calibri" w:hAnsi="Cambria" w:cs="Calibri"/>
                <w:i/>
                <w:iCs/>
                <w:shd w:val="clear" w:color="auto" w:fill="FFFFFF" w:themeFill="background1"/>
                <w:lang w:val="hr-HR" w:eastAsia="hr-HR"/>
              </w:rPr>
              <w:t>, informatičkog i komunikacijskog aspekta</w:t>
            </w:r>
            <w:r w:rsidRPr="00DF4CE5">
              <w:rPr>
                <w:rFonts w:ascii="Cambria" w:eastAsia="Calibri" w:hAnsi="Cambria" w:cs="Calibri"/>
                <w:shd w:val="clear" w:color="auto" w:fill="FFFFFF" w:themeFill="background1"/>
                <w:lang w:val="hr-HR" w:eastAsia="hr-HR"/>
              </w:rPr>
              <w:t>.</w:t>
            </w:r>
            <w:r w:rsidRPr="00DF4CE5">
              <w:rPr>
                <w:rFonts w:ascii="Cambria" w:eastAsia="Calibri" w:hAnsi="Cambria" w:cs="Calibri"/>
                <w:lang w:val="hr-HR" w:eastAsia="hr-HR"/>
              </w:rPr>
              <w:t xml:space="preserve"> Zagreb: Učiteljski fakultet, poglavlje I.</w:t>
            </w:r>
          </w:p>
          <w:p w14:paraId="3726E7C6" w14:textId="77777777" w:rsidR="00F04B06" w:rsidRDefault="006B4F3C" w:rsidP="00A034E3">
            <w:pPr>
              <w:numPr>
                <w:ilvl w:val="0"/>
                <w:numId w:val="59"/>
              </w:numPr>
              <w:spacing w:after="0" w:line="240" w:lineRule="auto"/>
              <w:ind w:left="172" w:hanging="172"/>
              <w:contextualSpacing/>
              <w:rPr>
                <w:rFonts w:ascii="Cambria" w:eastAsia="Calibri" w:hAnsi="Cambria" w:cs="Calibri"/>
                <w:lang w:val="hr-HR" w:eastAsia="hr-HR"/>
              </w:rPr>
            </w:pPr>
            <w:r w:rsidRPr="00DF4CE5">
              <w:rPr>
                <w:rFonts w:ascii="Cambria" w:eastAsia="Calibri" w:hAnsi="Cambria" w:cs="Calibri"/>
                <w:lang w:val="hr-HR" w:eastAsia="hr-HR"/>
              </w:rPr>
              <w:t xml:space="preserve"> Vizek-Vidović, V., Vlahović-</w:t>
            </w:r>
            <w:proofErr w:type="spellStart"/>
            <w:r w:rsidRPr="00DF4CE5">
              <w:rPr>
                <w:rFonts w:ascii="Cambria" w:eastAsia="Calibri" w:hAnsi="Cambria" w:cs="Calibri"/>
                <w:lang w:val="hr-HR" w:eastAsia="hr-HR"/>
              </w:rPr>
              <w:t>Štetić</w:t>
            </w:r>
            <w:proofErr w:type="spellEnd"/>
            <w:r w:rsidRPr="00DF4CE5">
              <w:rPr>
                <w:rFonts w:ascii="Cambria" w:eastAsia="Calibri" w:hAnsi="Cambria" w:cs="Calibri"/>
                <w:lang w:val="hr-HR" w:eastAsia="hr-HR"/>
              </w:rPr>
              <w:t>, V., Rijavec, M</w:t>
            </w:r>
            <w:r w:rsidRPr="00DF4CE5">
              <w:rPr>
                <w:rFonts w:ascii="Cambria" w:eastAsia="Calibri" w:hAnsi="Cambria" w:cs="Calibri"/>
                <w:shd w:val="clear" w:color="auto" w:fill="FFFFFF" w:themeFill="background1"/>
                <w:lang w:val="hr-HR" w:eastAsia="hr-HR"/>
              </w:rPr>
              <w:t xml:space="preserve">., &amp; </w:t>
            </w:r>
            <w:r w:rsidRPr="00DF4CE5">
              <w:rPr>
                <w:rFonts w:ascii="Cambria" w:eastAsia="Calibri" w:hAnsi="Cambria" w:cs="Calibri"/>
                <w:lang w:val="hr-HR" w:eastAsia="hr-HR"/>
              </w:rPr>
              <w:t xml:space="preserve">Miljković, D. </w:t>
            </w:r>
            <w:r w:rsidRPr="00DF4CE5">
              <w:rPr>
                <w:rFonts w:ascii="Cambria" w:eastAsia="Calibri" w:hAnsi="Cambria" w:cs="Calibri"/>
                <w:shd w:val="clear" w:color="auto" w:fill="FFFFFF" w:themeFill="background1"/>
                <w:lang w:val="hr-HR" w:eastAsia="hr-HR"/>
              </w:rPr>
              <w:t xml:space="preserve">(2003). </w:t>
            </w:r>
            <w:r w:rsidRPr="00DF4CE5">
              <w:rPr>
                <w:rFonts w:ascii="Cambria" w:eastAsia="Calibri" w:hAnsi="Cambria" w:cs="Calibri"/>
                <w:i/>
                <w:iCs/>
                <w:shd w:val="clear" w:color="auto" w:fill="FFFFFF" w:themeFill="background1"/>
                <w:lang w:val="hr-HR" w:eastAsia="hr-HR"/>
              </w:rPr>
              <w:t>Psihologija obrazovanja</w:t>
            </w:r>
            <w:r w:rsidRPr="00DF4CE5">
              <w:rPr>
                <w:rFonts w:ascii="Cambria" w:eastAsia="Calibri" w:hAnsi="Cambria" w:cs="Calibri"/>
                <w:shd w:val="clear" w:color="auto" w:fill="FFFFFF" w:themeFill="background1"/>
                <w:lang w:val="hr-HR" w:eastAsia="hr-HR"/>
              </w:rPr>
              <w:t>.</w:t>
            </w:r>
            <w:r w:rsidRPr="00DF4CE5">
              <w:rPr>
                <w:rFonts w:ascii="Cambria" w:eastAsia="Calibri" w:hAnsi="Cambria" w:cs="Calibri"/>
                <w:lang w:val="hr-HR" w:eastAsia="hr-HR"/>
              </w:rPr>
              <w:t xml:space="preserve"> Zagreb. </w:t>
            </w:r>
          </w:p>
          <w:p w14:paraId="5A9B76D1" w14:textId="77777777" w:rsidR="00F04B06" w:rsidRDefault="00F04B06" w:rsidP="00A034E3">
            <w:pPr>
              <w:numPr>
                <w:ilvl w:val="0"/>
                <w:numId w:val="59"/>
              </w:numPr>
              <w:spacing w:after="0" w:line="240" w:lineRule="auto"/>
              <w:ind w:left="172" w:hanging="172"/>
              <w:contextualSpacing/>
              <w:rPr>
                <w:rFonts w:ascii="Cambria" w:eastAsia="Calibri" w:hAnsi="Cambria" w:cs="Calibri"/>
                <w:lang w:val="hr-HR" w:eastAsia="hr-HR"/>
              </w:rPr>
            </w:pPr>
            <w:r>
              <w:rPr>
                <w:rFonts w:ascii="Cambria" w:eastAsia="Calibri" w:hAnsi="Cambria" w:cs="Calibri"/>
                <w:lang w:val="hr-HR" w:eastAsia="hr-HR"/>
              </w:rPr>
              <w:t xml:space="preserve"> </w:t>
            </w:r>
            <w:proofErr w:type="spellStart"/>
            <w:r w:rsidR="006B4F3C" w:rsidRPr="00F04B06">
              <w:rPr>
                <w:rFonts w:ascii="Cambria" w:eastAsia="Calibri" w:hAnsi="Cambria" w:cs="Calibri"/>
                <w:lang w:val="hr-HR" w:eastAsia="hr-HR"/>
              </w:rPr>
              <w:t>Zarevski</w:t>
            </w:r>
            <w:proofErr w:type="spellEnd"/>
            <w:r w:rsidR="006B4F3C" w:rsidRPr="00F04B06">
              <w:rPr>
                <w:rFonts w:ascii="Cambria" w:eastAsia="Calibri" w:hAnsi="Cambria" w:cs="Calibri"/>
                <w:lang w:val="hr-HR" w:eastAsia="hr-HR"/>
              </w:rPr>
              <w:t xml:space="preserve">, P. (2007). </w:t>
            </w:r>
            <w:r w:rsidR="006B4F3C" w:rsidRPr="00F04B06">
              <w:rPr>
                <w:rFonts w:ascii="Cambria" w:eastAsia="Calibri" w:hAnsi="Cambria" w:cs="Calibri"/>
                <w:i/>
                <w:iCs/>
                <w:shd w:val="clear" w:color="auto" w:fill="FFFFFF" w:themeFill="background1"/>
                <w:lang w:val="hr-HR" w:eastAsia="hr-HR"/>
              </w:rPr>
              <w:t>Psihologija pamćenja i učenja</w:t>
            </w:r>
            <w:r w:rsidR="006B4F3C" w:rsidRPr="00F04B06">
              <w:rPr>
                <w:rFonts w:ascii="Cambria" w:eastAsia="Calibri" w:hAnsi="Cambria" w:cs="Calibri"/>
                <w:lang w:val="hr-HR" w:eastAsia="hr-HR"/>
              </w:rPr>
              <w:t xml:space="preserve">. Jastrebarsko: Naklada Slap. </w:t>
            </w:r>
          </w:p>
          <w:p w14:paraId="28CFAB15" w14:textId="77777777" w:rsidR="00F04B06" w:rsidRDefault="00F04B06" w:rsidP="00A034E3">
            <w:pPr>
              <w:numPr>
                <w:ilvl w:val="0"/>
                <w:numId w:val="59"/>
              </w:numPr>
              <w:spacing w:after="0" w:line="240" w:lineRule="auto"/>
              <w:ind w:left="172" w:hanging="172"/>
              <w:contextualSpacing/>
              <w:rPr>
                <w:rFonts w:ascii="Cambria" w:eastAsia="Calibri" w:hAnsi="Cambria" w:cs="Calibri"/>
                <w:lang w:val="hr-HR" w:eastAsia="hr-HR"/>
              </w:rPr>
            </w:pPr>
            <w:r>
              <w:rPr>
                <w:rFonts w:ascii="Cambria" w:eastAsia="Calibri" w:hAnsi="Cambria" w:cs="Calibri"/>
                <w:lang w:val="hr-HR" w:eastAsia="hr-HR"/>
              </w:rPr>
              <w:t xml:space="preserve"> </w:t>
            </w:r>
            <w:proofErr w:type="spellStart"/>
            <w:r w:rsidR="006B4F3C" w:rsidRPr="00F04B06">
              <w:rPr>
                <w:rFonts w:ascii="Cambria" w:eastAsia="Calibri" w:hAnsi="Cambria" w:cs="Calibri"/>
                <w:lang w:val="hr-HR" w:eastAsia="hr-HR"/>
              </w:rPr>
              <w:t>Zarevski</w:t>
            </w:r>
            <w:proofErr w:type="spellEnd"/>
            <w:r w:rsidR="006B4F3C" w:rsidRPr="00F04B06">
              <w:rPr>
                <w:rFonts w:ascii="Cambria" w:eastAsia="Calibri" w:hAnsi="Cambria" w:cs="Calibri"/>
                <w:lang w:val="hr-HR" w:eastAsia="hr-HR"/>
              </w:rPr>
              <w:t xml:space="preserve">, P. </w:t>
            </w:r>
            <w:r w:rsidR="006B4F3C" w:rsidRPr="00F04B06">
              <w:rPr>
                <w:rFonts w:ascii="Cambria" w:eastAsia="Calibri" w:hAnsi="Cambria" w:cs="Calibri"/>
                <w:shd w:val="clear" w:color="auto" w:fill="FFFFFF" w:themeFill="background1"/>
                <w:lang w:val="hr-HR" w:eastAsia="hr-HR"/>
              </w:rPr>
              <w:t xml:space="preserve">(2012). </w:t>
            </w:r>
            <w:r w:rsidR="006B4F3C" w:rsidRPr="00F04B06">
              <w:rPr>
                <w:rFonts w:ascii="Cambria" w:eastAsia="Calibri" w:hAnsi="Cambria" w:cs="Calibri"/>
                <w:i/>
                <w:iCs/>
                <w:shd w:val="clear" w:color="auto" w:fill="FFFFFF" w:themeFill="background1"/>
                <w:lang w:val="hr-HR" w:eastAsia="hr-HR"/>
              </w:rPr>
              <w:t>Struktura i priroda inteligencije</w:t>
            </w:r>
            <w:r w:rsidR="006B4F3C" w:rsidRPr="00F04B06">
              <w:rPr>
                <w:rFonts w:ascii="Cambria" w:eastAsia="Calibri" w:hAnsi="Cambria" w:cs="Calibri"/>
                <w:lang w:val="hr-HR" w:eastAsia="hr-HR"/>
              </w:rPr>
              <w:t>. Jastrebarsko: Naklada Slap.</w:t>
            </w:r>
          </w:p>
          <w:p w14:paraId="4096F71C" w14:textId="41E313FA" w:rsidR="006B4F3C" w:rsidRPr="00F04B06" w:rsidRDefault="00F04B06" w:rsidP="00A034E3">
            <w:pPr>
              <w:numPr>
                <w:ilvl w:val="0"/>
                <w:numId w:val="59"/>
              </w:numPr>
              <w:spacing w:after="0" w:line="240" w:lineRule="auto"/>
              <w:ind w:left="172" w:hanging="172"/>
              <w:contextualSpacing/>
              <w:rPr>
                <w:rFonts w:ascii="Cambria" w:eastAsia="Calibri" w:hAnsi="Cambria" w:cs="Calibri"/>
                <w:lang w:val="hr-HR" w:eastAsia="hr-HR"/>
              </w:rPr>
            </w:pPr>
            <w:r>
              <w:rPr>
                <w:rFonts w:ascii="Cambria" w:eastAsia="Calibri" w:hAnsi="Cambria" w:cs="Calibri"/>
                <w:lang w:val="hr-HR" w:eastAsia="hr-HR"/>
              </w:rPr>
              <w:t xml:space="preserve"> </w:t>
            </w:r>
            <w:proofErr w:type="spellStart"/>
            <w:r w:rsidR="006B4F3C" w:rsidRPr="00F04B06">
              <w:rPr>
                <w:rFonts w:ascii="Cambria" w:eastAsia="Calibri" w:hAnsi="Cambria" w:cs="Calibri"/>
                <w:lang w:val="hr-HR" w:eastAsia="hr-HR"/>
              </w:rPr>
              <w:t>Zarevski</w:t>
            </w:r>
            <w:proofErr w:type="spellEnd"/>
            <w:r w:rsidR="006B4F3C" w:rsidRPr="00F04B06">
              <w:rPr>
                <w:rFonts w:ascii="Cambria" w:eastAsia="Calibri" w:hAnsi="Cambria" w:cs="Calibri"/>
                <w:lang w:val="hr-HR" w:eastAsia="hr-HR"/>
              </w:rPr>
              <w:t>, P. (</w:t>
            </w:r>
            <w:proofErr w:type="spellStart"/>
            <w:r w:rsidR="006B4F3C" w:rsidRPr="00F04B06">
              <w:rPr>
                <w:rFonts w:ascii="Cambria" w:eastAsia="Calibri" w:hAnsi="Cambria" w:cs="Calibri"/>
                <w:lang w:val="hr-HR" w:eastAsia="hr-HR"/>
              </w:rPr>
              <w:t>ur</w:t>
            </w:r>
            <w:proofErr w:type="spellEnd"/>
            <w:r w:rsidR="006B4F3C" w:rsidRPr="00F04B06">
              <w:rPr>
                <w:rFonts w:ascii="Cambria" w:eastAsia="Calibri" w:hAnsi="Cambria" w:cs="Calibri"/>
                <w:lang w:val="hr-HR" w:eastAsia="hr-HR"/>
              </w:rPr>
              <w:t xml:space="preserve">.) (2000). </w:t>
            </w:r>
            <w:r w:rsidR="006B4F3C" w:rsidRPr="00F04B06">
              <w:rPr>
                <w:rFonts w:ascii="Cambria" w:eastAsia="Calibri" w:hAnsi="Cambria" w:cs="Calibri"/>
                <w:i/>
                <w:iCs/>
                <w:shd w:val="clear" w:color="auto" w:fill="FFFFFF" w:themeFill="background1"/>
                <w:lang w:val="hr-HR" w:eastAsia="hr-HR"/>
              </w:rPr>
              <w:t>Učitelji za učitelje: primjeri provedbe načela Aktivne/efikasne škole</w:t>
            </w:r>
            <w:r w:rsidR="006B4F3C" w:rsidRPr="00F04B06">
              <w:rPr>
                <w:rFonts w:ascii="Cambria" w:eastAsia="Calibri" w:hAnsi="Cambria" w:cs="Calibri"/>
                <w:shd w:val="clear" w:color="auto" w:fill="FFFFFF" w:themeFill="background1"/>
                <w:lang w:val="hr-HR" w:eastAsia="hr-HR"/>
              </w:rPr>
              <w:t>.</w:t>
            </w:r>
            <w:r w:rsidR="006B4F3C" w:rsidRPr="00F04B06">
              <w:rPr>
                <w:rFonts w:ascii="Cambria" w:eastAsia="Calibri" w:hAnsi="Cambria" w:cs="Calibri"/>
                <w:lang w:val="hr-HR" w:eastAsia="hr-HR"/>
              </w:rPr>
              <w:t xml:space="preserve"> Zagreb: IEP. </w:t>
            </w:r>
          </w:p>
          <w:p w14:paraId="7A92C476" w14:textId="77777777" w:rsidR="006B4F3C" w:rsidRPr="00DF4CE5" w:rsidRDefault="006B4F3C" w:rsidP="00333E65">
            <w:pPr>
              <w:spacing w:after="0" w:line="240" w:lineRule="auto"/>
              <w:rPr>
                <w:rFonts w:ascii="Cambria" w:eastAsia="Calibri" w:hAnsi="Cambria" w:cs="Calibri"/>
                <w:lang w:val="hr-HR" w:eastAsia="hr-HR"/>
              </w:rPr>
            </w:pPr>
            <w:r w:rsidRPr="00DF4CE5">
              <w:rPr>
                <w:rFonts w:ascii="Cambria" w:eastAsia="Calibri" w:hAnsi="Cambria" w:cs="Calibri"/>
                <w:lang w:val="hr-HR" w:eastAsia="hr-HR"/>
              </w:rPr>
              <w:t>Izborna:</w:t>
            </w:r>
          </w:p>
          <w:p w14:paraId="6B87D428" w14:textId="77777777" w:rsidR="006B4F3C" w:rsidRPr="00DF4CE5" w:rsidRDefault="006B4F3C" w:rsidP="00333E65">
            <w:pPr>
              <w:spacing w:after="0" w:line="240" w:lineRule="auto"/>
              <w:ind w:left="338" w:hanging="284"/>
              <w:rPr>
                <w:rFonts w:ascii="Cambria" w:eastAsia="Calibri" w:hAnsi="Cambria" w:cs="Calibri"/>
                <w:lang w:val="hr-HR" w:eastAsia="hr-HR"/>
              </w:rPr>
            </w:pPr>
            <w:r w:rsidRPr="00DF4CE5">
              <w:rPr>
                <w:rFonts w:ascii="Cambria" w:eastAsia="Calibri" w:hAnsi="Cambria" w:cs="Calibri"/>
                <w:lang w:val="hr-HR" w:eastAsia="hr-HR"/>
              </w:rPr>
              <w:t>1.</w:t>
            </w:r>
            <w:r w:rsidRPr="00DF4CE5">
              <w:rPr>
                <w:rFonts w:ascii="Cambria" w:eastAsia="Calibri" w:hAnsi="Cambria" w:cs="Calibri"/>
                <w:lang w:val="hr-HR" w:eastAsia="hr-HR"/>
              </w:rPr>
              <w:tab/>
              <w:t xml:space="preserve">Bilić, V., Buljan </w:t>
            </w:r>
            <w:proofErr w:type="spellStart"/>
            <w:r w:rsidRPr="00DF4CE5">
              <w:rPr>
                <w:rFonts w:ascii="Cambria" w:eastAsia="Calibri" w:hAnsi="Cambria" w:cs="Calibri"/>
                <w:lang w:val="hr-HR" w:eastAsia="hr-HR"/>
              </w:rPr>
              <w:t>Flander</w:t>
            </w:r>
            <w:proofErr w:type="spellEnd"/>
            <w:r w:rsidRPr="00DF4CE5">
              <w:rPr>
                <w:rFonts w:ascii="Cambria" w:eastAsia="Calibri" w:hAnsi="Cambria" w:cs="Calibri"/>
                <w:lang w:val="hr-HR" w:eastAsia="hr-HR"/>
              </w:rPr>
              <w:t>,</w:t>
            </w:r>
            <w:r w:rsidRPr="00DF4CE5">
              <w:rPr>
                <w:rFonts w:ascii="Cambria" w:eastAsia="Calibri" w:hAnsi="Cambria" w:cs="Calibri"/>
                <w:shd w:val="clear" w:color="auto" w:fill="FFFFFF" w:themeFill="background1"/>
                <w:lang w:val="hr-HR" w:eastAsia="hr-HR"/>
              </w:rPr>
              <w:t xml:space="preserve"> &amp;</w:t>
            </w:r>
            <w:r w:rsidRPr="00DF4CE5">
              <w:rPr>
                <w:rFonts w:ascii="Cambria" w:eastAsia="Calibri" w:hAnsi="Cambria" w:cs="Calibri"/>
                <w:lang w:val="hr-HR" w:eastAsia="hr-HR"/>
              </w:rPr>
              <w:t xml:space="preserve"> G., </w:t>
            </w:r>
            <w:proofErr w:type="spellStart"/>
            <w:r w:rsidRPr="00DF4CE5">
              <w:rPr>
                <w:rFonts w:ascii="Cambria" w:eastAsia="Calibri" w:hAnsi="Cambria" w:cs="Calibri"/>
                <w:lang w:val="hr-HR" w:eastAsia="hr-HR"/>
              </w:rPr>
              <w:t>Hrpka</w:t>
            </w:r>
            <w:proofErr w:type="spellEnd"/>
            <w:r w:rsidRPr="00DF4CE5">
              <w:rPr>
                <w:rFonts w:ascii="Cambria" w:eastAsia="Calibri" w:hAnsi="Cambria" w:cs="Calibri"/>
                <w:lang w:val="hr-HR" w:eastAsia="hr-HR"/>
              </w:rPr>
              <w:t xml:space="preserve">, H. (2012). </w:t>
            </w:r>
            <w:r w:rsidRPr="00DF4CE5">
              <w:rPr>
                <w:rFonts w:ascii="Cambria" w:eastAsia="Calibri" w:hAnsi="Cambria" w:cs="Calibri"/>
                <w:i/>
                <w:iCs/>
                <w:shd w:val="clear" w:color="auto" w:fill="FFFFFF" w:themeFill="background1"/>
                <w:lang w:val="hr-HR" w:eastAsia="hr-HR"/>
              </w:rPr>
              <w:t>Nasilje nad djecom i među djecom</w:t>
            </w:r>
            <w:r w:rsidRPr="00DF4CE5">
              <w:rPr>
                <w:rFonts w:ascii="Cambria" w:eastAsia="Calibri" w:hAnsi="Cambria" w:cs="Calibri"/>
                <w:lang w:val="hr-HR" w:eastAsia="hr-HR"/>
              </w:rPr>
              <w:t>. Naklada Slap, Zagreb.</w:t>
            </w:r>
          </w:p>
          <w:p w14:paraId="54E2F4F2" w14:textId="77777777" w:rsidR="006B4F3C" w:rsidRPr="00DF4CE5" w:rsidRDefault="006B4F3C" w:rsidP="00333E65">
            <w:pPr>
              <w:spacing w:after="0" w:line="240" w:lineRule="auto"/>
              <w:ind w:left="338" w:hanging="284"/>
              <w:rPr>
                <w:rFonts w:ascii="Cambria" w:eastAsia="Calibri" w:hAnsi="Cambria" w:cs="Calibri"/>
                <w:lang w:val="hr-HR" w:eastAsia="hr-HR"/>
              </w:rPr>
            </w:pPr>
            <w:r w:rsidRPr="00DF4CE5">
              <w:rPr>
                <w:rFonts w:ascii="Cambria" w:eastAsia="Calibri" w:hAnsi="Cambria" w:cs="Calibri"/>
                <w:lang w:val="hr-HR" w:eastAsia="hr-HR"/>
              </w:rPr>
              <w:t>2.</w:t>
            </w:r>
            <w:r w:rsidRPr="00DF4CE5">
              <w:rPr>
                <w:rFonts w:ascii="Cambria" w:eastAsia="Calibri" w:hAnsi="Cambria" w:cs="Calibri"/>
                <w:lang w:val="hr-HR" w:eastAsia="hr-HR"/>
              </w:rPr>
              <w:tab/>
            </w:r>
            <w:proofErr w:type="spellStart"/>
            <w:r w:rsidRPr="00DF4CE5">
              <w:rPr>
                <w:rFonts w:ascii="Cambria" w:eastAsia="Calibri" w:hAnsi="Cambria" w:cs="Calibri"/>
                <w:lang w:val="hr-HR" w:eastAsia="hr-HR"/>
              </w:rPr>
              <w:t>Woolfolk</w:t>
            </w:r>
            <w:proofErr w:type="spellEnd"/>
            <w:r w:rsidRPr="00DF4CE5">
              <w:rPr>
                <w:rFonts w:ascii="Cambria" w:eastAsia="Calibri" w:hAnsi="Cambria" w:cs="Calibri"/>
                <w:lang w:val="hr-HR" w:eastAsia="hr-HR"/>
              </w:rPr>
              <w:t xml:space="preserve">, A. (2007). </w:t>
            </w:r>
            <w:r w:rsidRPr="00DF4CE5">
              <w:rPr>
                <w:rFonts w:ascii="Cambria" w:eastAsia="Calibri" w:hAnsi="Cambria" w:cs="Calibri"/>
                <w:i/>
                <w:iCs/>
                <w:shd w:val="clear" w:color="auto" w:fill="FFFFFF" w:themeFill="background1"/>
                <w:lang w:val="hr-HR" w:eastAsia="hr-HR"/>
              </w:rPr>
              <w:t>Edukacijska psihologija</w:t>
            </w:r>
            <w:r w:rsidRPr="00DF4CE5">
              <w:rPr>
                <w:rFonts w:ascii="Cambria" w:eastAsia="Calibri" w:hAnsi="Cambria" w:cs="Calibri"/>
                <w:lang w:val="hr-HR" w:eastAsia="hr-HR"/>
              </w:rPr>
              <w:t xml:space="preserve">. Naklada Slap, Jastrebarsko. </w:t>
            </w:r>
          </w:p>
          <w:p w14:paraId="21DBCFD7" w14:textId="77777777" w:rsidR="006B4F3C" w:rsidRPr="00DF4CE5" w:rsidRDefault="006B4F3C" w:rsidP="00333E65">
            <w:pPr>
              <w:spacing w:after="0" w:line="240" w:lineRule="auto"/>
              <w:ind w:left="338" w:hanging="284"/>
              <w:rPr>
                <w:rFonts w:ascii="Cambria" w:eastAsia="Calibri" w:hAnsi="Cambria" w:cs="Calibri"/>
                <w:lang w:val="hr-HR" w:eastAsia="hr-HR"/>
              </w:rPr>
            </w:pPr>
            <w:r w:rsidRPr="00DF4CE5">
              <w:rPr>
                <w:rFonts w:ascii="Cambria" w:eastAsia="Calibri" w:hAnsi="Cambria" w:cs="Calibri"/>
                <w:lang w:val="hr-HR" w:eastAsia="hr-HR"/>
              </w:rPr>
              <w:t>3.</w:t>
            </w:r>
            <w:r w:rsidRPr="00DF4CE5">
              <w:rPr>
                <w:rFonts w:ascii="Cambria" w:eastAsia="Calibri" w:hAnsi="Cambria" w:cs="Calibri"/>
                <w:lang w:val="hr-HR" w:eastAsia="hr-HR"/>
              </w:rPr>
              <w:tab/>
              <w:t xml:space="preserve">Rijavec, M. </w:t>
            </w:r>
            <w:r w:rsidRPr="00DF4CE5">
              <w:rPr>
                <w:rFonts w:ascii="Cambria" w:eastAsia="Calibri" w:hAnsi="Cambria" w:cs="Calibri"/>
                <w:shd w:val="clear" w:color="auto" w:fill="FFFFFF" w:themeFill="background1"/>
                <w:lang w:val="hr-HR" w:eastAsia="hr-HR"/>
              </w:rPr>
              <w:t>&amp;</w:t>
            </w:r>
            <w:r w:rsidRPr="00DF4CE5">
              <w:rPr>
                <w:rFonts w:ascii="Cambria" w:eastAsia="Calibri" w:hAnsi="Cambria" w:cs="Calibri"/>
                <w:lang w:val="hr-HR" w:eastAsia="hr-HR"/>
              </w:rPr>
              <w:t xml:space="preserve"> Miljković, D. (2010). </w:t>
            </w:r>
            <w:r w:rsidRPr="00DF4CE5">
              <w:rPr>
                <w:rFonts w:ascii="Cambria" w:eastAsia="Calibri" w:hAnsi="Cambria" w:cs="Calibri"/>
                <w:i/>
                <w:iCs/>
                <w:shd w:val="clear" w:color="auto" w:fill="FFFFFF" w:themeFill="background1"/>
                <w:lang w:val="hr-HR" w:eastAsia="hr-HR"/>
              </w:rPr>
              <w:t>Pozitivna disciplina u razredu</w:t>
            </w:r>
            <w:r w:rsidRPr="00DF4CE5">
              <w:rPr>
                <w:rFonts w:ascii="Cambria" w:eastAsia="Calibri" w:hAnsi="Cambria" w:cs="Calibri"/>
                <w:lang w:val="hr-HR" w:eastAsia="hr-HR"/>
              </w:rPr>
              <w:t>. IEP, Zagreb.</w:t>
            </w:r>
          </w:p>
          <w:p w14:paraId="791FEDDA" w14:textId="6037E121" w:rsidR="006B4F3C" w:rsidRPr="00DF4CE5" w:rsidRDefault="006B4F3C" w:rsidP="006B4F3C">
            <w:pPr>
              <w:spacing w:after="0" w:line="240" w:lineRule="auto"/>
              <w:ind w:left="338" w:hanging="284"/>
              <w:rPr>
                <w:rFonts w:ascii="Cambria" w:eastAsia="Calibri" w:hAnsi="Cambria" w:cs="Calibri"/>
                <w:lang w:val="hr-HR" w:eastAsia="hr-HR"/>
              </w:rPr>
            </w:pPr>
            <w:r w:rsidRPr="00DF4CE5">
              <w:rPr>
                <w:rFonts w:ascii="Cambria" w:eastAsia="Calibri" w:hAnsi="Cambria" w:cs="Calibri"/>
                <w:lang w:val="hr-HR" w:eastAsia="hr-HR"/>
              </w:rPr>
              <w:t>4.</w:t>
            </w:r>
            <w:r w:rsidRPr="00DF4CE5">
              <w:rPr>
                <w:rFonts w:ascii="Cambria" w:eastAsia="Calibri" w:hAnsi="Cambria" w:cs="Calibri"/>
                <w:lang w:val="hr-HR" w:eastAsia="hr-HR"/>
              </w:rPr>
              <w:tab/>
            </w:r>
            <w:proofErr w:type="spellStart"/>
            <w:r w:rsidRPr="00DF4CE5">
              <w:rPr>
                <w:rFonts w:ascii="Cambria" w:eastAsia="Calibri" w:hAnsi="Cambria" w:cs="Calibri"/>
                <w:lang w:val="hr-HR" w:eastAsia="hr-HR"/>
              </w:rPr>
              <w:t>Trussler</w:t>
            </w:r>
            <w:proofErr w:type="spellEnd"/>
            <w:r w:rsidRPr="00DF4CE5">
              <w:rPr>
                <w:rFonts w:ascii="Cambria" w:eastAsia="Calibri" w:hAnsi="Cambria" w:cs="Calibri"/>
                <w:lang w:val="hr-HR" w:eastAsia="hr-HR"/>
              </w:rPr>
              <w:t xml:space="preserve">, S. </w:t>
            </w:r>
            <w:r w:rsidRPr="00DF4CE5">
              <w:rPr>
                <w:rFonts w:ascii="Cambria" w:eastAsia="Calibri" w:hAnsi="Cambria" w:cs="Calibri"/>
                <w:shd w:val="clear" w:color="auto" w:fill="FFFFFF" w:themeFill="background1"/>
                <w:lang w:val="hr-HR" w:eastAsia="hr-HR"/>
              </w:rPr>
              <w:t>&amp;</w:t>
            </w:r>
            <w:r w:rsidRPr="00DF4CE5">
              <w:rPr>
                <w:rFonts w:ascii="Cambria" w:eastAsia="Calibri" w:hAnsi="Cambria" w:cs="Calibri"/>
                <w:lang w:val="hr-HR" w:eastAsia="hr-HR"/>
              </w:rPr>
              <w:t xml:space="preserve"> Robinson, D. (2015). </w:t>
            </w:r>
            <w:proofErr w:type="spellStart"/>
            <w:r w:rsidRPr="00DF4CE5">
              <w:rPr>
                <w:rFonts w:ascii="Cambria" w:eastAsia="Calibri" w:hAnsi="Cambria" w:cs="Calibri"/>
                <w:i/>
                <w:iCs/>
                <w:shd w:val="clear" w:color="auto" w:fill="FFFFFF" w:themeFill="background1"/>
                <w:lang w:val="hr-HR" w:eastAsia="hr-HR"/>
              </w:rPr>
              <w:t>Inclusive</w:t>
            </w:r>
            <w:proofErr w:type="spellEnd"/>
            <w:r w:rsidRPr="00DF4CE5">
              <w:rPr>
                <w:rFonts w:ascii="Cambria" w:eastAsia="Calibri" w:hAnsi="Cambria" w:cs="Calibri"/>
                <w:i/>
                <w:iCs/>
                <w:shd w:val="clear" w:color="auto" w:fill="FFFFFF" w:themeFill="background1"/>
                <w:lang w:val="hr-HR" w:eastAsia="hr-HR"/>
              </w:rPr>
              <w:t xml:space="preserve"> </w:t>
            </w:r>
            <w:proofErr w:type="spellStart"/>
            <w:r w:rsidRPr="00DF4CE5">
              <w:rPr>
                <w:rFonts w:ascii="Cambria" w:eastAsia="Calibri" w:hAnsi="Cambria" w:cs="Calibri"/>
                <w:i/>
                <w:iCs/>
                <w:shd w:val="clear" w:color="auto" w:fill="FFFFFF" w:themeFill="background1"/>
                <w:lang w:val="hr-HR" w:eastAsia="hr-HR"/>
              </w:rPr>
              <w:t>practice</w:t>
            </w:r>
            <w:proofErr w:type="spellEnd"/>
            <w:r w:rsidRPr="00DF4CE5">
              <w:rPr>
                <w:rFonts w:ascii="Cambria" w:eastAsia="Calibri" w:hAnsi="Cambria" w:cs="Calibri"/>
                <w:i/>
                <w:iCs/>
                <w:shd w:val="clear" w:color="auto" w:fill="FFFFFF" w:themeFill="background1"/>
                <w:lang w:val="hr-HR" w:eastAsia="hr-HR"/>
              </w:rPr>
              <w:t xml:space="preserve"> </w:t>
            </w:r>
            <w:proofErr w:type="spellStart"/>
            <w:r w:rsidRPr="00DF4CE5">
              <w:rPr>
                <w:rFonts w:ascii="Cambria" w:eastAsia="Calibri" w:hAnsi="Cambria" w:cs="Calibri"/>
                <w:i/>
                <w:iCs/>
                <w:shd w:val="clear" w:color="auto" w:fill="FFFFFF" w:themeFill="background1"/>
                <w:lang w:val="hr-HR" w:eastAsia="hr-HR"/>
              </w:rPr>
              <w:t>in</w:t>
            </w:r>
            <w:proofErr w:type="spellEnd"/>
            <w:r w:rsidRPr="00DF4CE5">
              <w:rPr>
                <w:rFonts w:ascii="Cambria" w:eastAsia="Calibri" w:hAnsi="Cambria" w:cs="Calibri"/>
                <w:i/>
                <w:iCs/>
                <w:shd w:val="clear" w:color="auto" w:fill="FFFFFF" w:themeFill="background1"/>
                <w:lang w:val="hr-HR" w:eastAsia="hr-HR"/>
              </w:rPr>
              <w:t xml:space="preserve"> </w:t>
            </w:r>
            <w:proofErr w:type="spellStart"/>
            <w:r w:rsidRPr="00DF4CE5">
              <w:rPr>
                <w:rFonts w:ascii="Cambria" w:eastAsia="Calibri" w:hAnsi="Cambria" w:cs="Calibri"/>
                <w:i/>
                <w:iCs/>
                <w:shd w:val="clear" w:color="auto" w:fill="FFFFFF" w:themeFill="background1"/>
                <w:lang w:val="hr-HR" w:eastAsia="hr-HR"/>
              </w:rPr>
              <w:t>the</w:t>
            </w:r>
            <w:proofErr w:type="spellEnd"/>
            <w:r w:rsidRPr="00DF4CE5">
              <w:rPr>
                <w:rFonts w:ascii="Cambria" w:eastAsia="Calibri" w:hAnsi="Cambria" w:cs="Calibri"/>
                <w:i/>
                <w:iCs/>
                <w:shd w:val="clear" w:color="auto" w:fill="FFFFFF" w:themeFill="background1"/>
                <w:lang w:val="hr-HR" w:eastAsia="hr-HR"/>
              </w:rPr>
              <w:t xml:space="preserve"> </w:t>
            </w:r>
            <w:proofErr w:type="spellStart"/>
            <w:r w:rsidRPr="00DF4CE5">
              <w:rPr>
                <w:rFonts w:ascii="Cambria" w:eastAsia="Calibri" w:hAnsi="Cambria" w:cs="Calibri"/>
                <w:i/>
                <w:iCs/>
                <w:shd w:val="clear" w:color="auto" w:fill="FFFFFF" w:themeFill="background1"/>
                <w:lang w:val="hr-HR" w:eastAsia="hr-HR"/>
              </w:rPr>
              <w:t>primary</w:t>
            </w:r>
            <w:proofErr w:type="spellEnd"/>
            <w:r w:rsidRPr="00DF4CE5">
              <w:rPr>
                <w:rFonts w:ascii="Cambria" w:eastAsia="Calibri" w:hAnsi="Cambria" w:cs="Calibri"/>
                <w:i/>
                <w:iCs/>
                <w:shd w:val="clear" w:color="auto" w:fill="FFFFFF" w:themeFill="background1"/>
                <w:lang w:val="hr-HR" w:eastAsia="hr-HR"/>
              </w:rPr>
              <w:t xml:space="preserve"> </w:t>
            </w:r>
            <w:proofErr w:type="spellStart"/>
            <w:r w:rsidRPr="00DF4CE5">
              <w:rPr>
                <w:rFonts w:ascii="Cambria" w:eastAsia="Calibri" w:hAnsi="Cambria" w:cs="Calibri"/>
                <w:i/>
                <w:iCs/>
                <w:shd w:val="clear" w:color="auto" w:fill="FFFFFF" w:themeFill="background1"/>
                <w:lang w:val="hr-HR" w:eastAsia="hr-HR"/>
              </w:rPr>
              <w:t>school</w:t>
            </w:r>
            <w:proofErr w:type="spellEnd"/>
            <w:r w:rsidRPr="00DF4CE5">
              <w:rPr>
                <w:rFonts w:ascii="Cambria" w:eastAsia="Calibri" w:hAnsi="Cambria" w:cs="Calibri"/>
                <w:i/>
                <w:iCs/>
                <w:shd w:val="clear" w:color="auto" w:fill="FFFFFF" w:themeFill="background1"/>
                <w:lang w:val="hr-HR" w:eastAsia="hr-HR"/>
              </w:rPr>
              <w:t>.</w:t>
            </w:r>
            <w:r w:rsidRPr="00DF4CE5">
              <w:rPr>
                <w:rFonts w:ascii="Cambria" w:eastAsia="Calibri" w:hAnsi="Cambria" w:cs="Calibri"/>
                <w:shd w:val="clear" w:color="auto" w:fill="FFFFFF" w:themeFill="background1"/>
                <w:lang w:val="hr-HR" w:eastAsia="hr-HR"/>
              </w:rPr>
              <w:t xml:space="preserve"> </w:t>
            </w:r>
            <w:r w:rsidRPr="00DF4CE5">
              <w:rPr>
                <w:rFonts w:ascii="Cambria" w:eastAsia="Calibri" w:hAnsi="Cambria" w:cs="Calibri"/>
                <w:lang w:val="hr-HR" w:eastAsia="hr-HR"/>
              </w:rPr>
              <w:t>London: Sage.</w:t>
            </w:r>
          </w:p>
          <w:p w14:paraId="58F4B27D" w14:textId="77777777" w:rsidR="006B4F3C" w:rsidRPr="00DF4CE5" w:rsidRDefault="006B4F3C" w:rsidP="00333E65">
            <w:pPr>
              <w:spacing w:after="0" w:line="240" w:lineRule="auto"/>
              <w:ind w:left="36"/>
              <w:rPr>
                <w:rFonts w:ascii="Cambria" w:eastAsia="Calibri" w:hAnsi="Cambria" w:cs="Calibri"/>
                <w:lang w:val="hr-HR" w:eastAsia="hr-HR"/>
              </w:rPr>
            </w:pPr>
            <w:r w:rsidRPr="00DF4CE5">
              <w:rPr>
                <w:rFonts w:ascii="Cambria" w:eastAsia="Calibri" w:hAnsi="Cambria" w:cs="Calibri"/>
                <w:lang w:val="hr-HR" w:eastAsia="hr-HR"/>
              </w:rPr>
              <w:t>Priručna:</w:t>
            </w:r>
          </w:p>
          <w:p w14:paraId="0913F3CC" w14:textId="3E704DA3" w:rsidR="006B4F3C" w:rsidRPr="00DF4CE5" w:rsidRDefault="006B4F3C" w:rsidP="00333E65">
            <w:pPr>
              <w:spacing w:after="0" w:line="240" w:lineRule="auto"/>
              <w:ind w:left="36"/>
              <w:rPr>
                <w:rFonts w:ascii="Cambria" w:eastAsia="Calibri" w:hAnsi="Cambria" w:cs="Calibri"/>
                <w:lang w:val="hr-HR" w:eastAsia="hr-HR"/>
              </w:rPr>
            </w:pPr>
            <w:r w:rsidRPr="00DF4CE5">
              <w:rPr>
                <w:rFonts w:ascii="Cambria" w:eastAsia="Calibri" w:hAnsi="Cambria" w:cs="Calibri"/>
                <w:lang w:val="hr-HR" w:eastAsia="hr-HR"/>
              </w:rPr>
              <w:t xml:space="preserve">1. </w:t>
            </w:r>
            <w:proofErr w:type="spellStart"/>
            <w:r w:rsidRPr="00DF4CE5">
              <w:rPr>
                <w:rFonts w:ascii="Cambria" w:eastAsia="Times New Roman" w:hAnsi="Cambria" w:cs="Times New Roman"/>
                <w:lang w:val="hr-HR" w:eastAsia="hr-HR"/>
              </w:rPr>
              <w:t>Petz</w:t>
            </w:r>
            <w:proofErr w:type="spellEnd"/>
            <w:r w:rsidRPr="00DF4CE5">
              <w:rPr>
                <w:rFonts w:ascii="Cambria" w:eastAsia="Times New Roman" w:hAnsi="Cambria" w:cs="Times New Roman"/>
                <w:lang w:val="hr-HR" w:eastAsia="hr-HR"/>
              </w:rPr>
              <w:t>, B. (</w:t>
            </w:r>
            <w:proofErr w:type="spellStart"/>
            <w:r w:rsidRPr="00DF4CE5">
              <w:rPr>
                <w:rFonts w:ascii="Cambria" w:eastAsia="Times New Roman" w:hAnsi="Cambria" w:cs="Times New Roman"/>
                <w:lang w:val="hr-HR" w:eastAsia="hr-HR"/>
              </w:rPr>
              <w:t>ur</w:t>
            </w:r>
            <w:proofErr w:type="spellEnd"/>
            <w:r w:rsidRPr="00DF4CE5">
              <w:rPr>
                <w:rFonts w:ascii="Cambria" w:eastAsia="Times New Roman" w:hAnsi="Cambria" w:cs="Times New Roman"/>
                <w:lang w:val="hr-HR" w:eastAsia="hr-HR"/>
              </w:rPr>
              <w:t xml:space="preserve">.) (2005). </w:t>
            </w:r>
            <w:r w:rsidRPr="00DF4CE5">
              <w:rPr>
                <w:rFonts w:ascii="Cambria" w:eastAsia="Times New Roman" w:hAnsi="Cambria" w:cs="Times New Roman"/>
                <w:i/>
                <w:lang w:val="hr-HR" w:eastAsia="hr-HR"/>
              </w:rPr>
              <w:t>Psihologijski rječnik</w:t>
            </w:r>
            <w:r w:rsidRPr="00DF4CE5">
              <w:rPr>
                <w:rFonts w:ascii="Cambria" w:eastAsia="Times New Roman" w:hAnsi="Cambria" w:cs="Times New Roman"/>
                <w:lang w:val="hr-HR" w:eastAsia="hr-HR"/>
              </w:rPr>
              <w:t>. Jastrebarsko: Naklada Slap.</w:t>
            </w:r>
          </w:p>
        </w:tc>
      </w:tr>
    </w:tbl>
    <w:p w14:paraId="1C61DC44" w14:textId="77777777" w:rsidR="00534AC3" w:rsidRPr="00DF4CE5" w:rsidRDefault="00534AC3" w:rsidP="00534AC3">
      <w:pPr>
        <w:rPr>
          <w:rFonts w:ascii="Cambria" w:hAnsi="Cambria"/>
          <w:lang w:val="hr-HR"/>
        </w:rPr>
      </w:pPr>
    </w:p>
    <w:p w14:paraId="57F94B7F" w14:textId="77777777" w:rsidR="00E41BE6" w:rsidRPr="00DF4CE5" w:rsidRDefault="00E41BE6">
      <w:pPr>
        <w:rPr>
          <w:rFonts w:ascii="Cambria" w:eastAsia="Times New Roman" w:hAnsi="Cambria" w:cs="Calibri"/>
          <w:lang w:val="hr-HR"/>
        </w:rPr>
      </w:pPr>
    </w:p>
    <w:p w14:paraId="02734E77" w14:textId="08B6327F" w:rsidR="00FC5FBF" w:rsidRPr="00DF4CE5" w:rsidRDefault="00E91AAA" w:rsidP="00F04B06">
      <w:pPr>
        <w:rPr>
          <w:rFonts w:ascii="Cambria" w:hAnsi="Cambria"/>
          <w:lang w:val="hr-HR"/>
        </w:rPr>
      </w:pPr>
      <w:r>
        <w:rPr>
          <w:rFonts w:ascii="Cambria" w:hAnsi="Cambria"/>
          <w:lang w:val="hr-HR"/>
        </w:rPr>
        <w:br w:type="page"/>
      </w:r>
    </w:p>
    <w:tbl>
      <w:tblPr>
        <w:tblW w:w="5000" w:type="pct"/>
        <w:tblLayout w:type="fixed"/>
        <w:tblCellMar>
          <w:left w:w="0" w:type="dxa"/>
          <w:right w:w="0" w:type="dxa"/>
        </w:tblCellMar>
        <w:tblLook w:val="0000" w:firstRow="0" w:lastRow="0" w:firstColumn="0" w:lastColumn="0" w:noHBand="0" w:noVBand="0"/>
      </w:tblPr>
      <w:tblGrid>
        <w:gridCol w:w="2275"/>
        <w:gridCol w:w="3195"/>
        <w:gridCol w:w="105"/>
        <w:gridCol w:w="1171"/>
        <w:gridCol w:w="300"/>
        <w:gridCol w:w="472"/>
        <w:gridCol w:w="1087"/>
        <w:gridCol w:w="1415"/>
      </w:tblGrid>
      <w:tr w:rsidR="00ED1945" w:rsidRPr="005C2363" w14:paraId="2CFF5514" w14:textId="77777777" w:rsidTr="00ED1945">
        <w:tc>
          <w:tcPr>
            <w:tcW w:w="9052"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C809C77" w14:textId="77777777" w:rsidR="00ED1945" w:rsidRPr="005C2363" w:rsidRDefault="00ED1945" w:rsidP="00ED1945">
            <w:pPr>
              <w:spacing w:after="0" w:line="240" w:lineRule="auto"/>
              <w:jc w:val="right"/>
              <w:rPr>
                <w:rFonts w:ascii="Cambria" w:eastAsia="Times New Roman" w:hAnsi="Cambria" w:cs="Calibri"/>
                <w:b/>
                <w:lang w:val="hr-HR"/>
              </w:rPr>
            </w:pPr>
            <w:bookmarkStart w:id="104" w:name="_Hlk187750444"/>
            <w:r w:rsidRPr="005C2363">
              <w:rPr>
                <w:rFonts w:ascii="Cambria" w:eastAsia="Times New Roman" w:hAnsi="Cambria" w:cs="Calibri"/>
                <w:b/>
                <w:lang w:val="hr-HR"/>
              </w:rPr>
              <w:lastRenderedPageBreak/>
              <w:t>IZVEDBENI PLAN NASTAVE KOLEGIJA</w:t>
            </w:r>
          </w:p>
        </w:tc>
      </w:tr>
      <w:tr w:rsidR="00ED1945" w:rsidRPr="005C2363" w14:paraId="236E98E0" w14:textId="77777777" w:rsidTr="00ED1945">
        <w:tc>
          <w:tcPr>
            <w:tcW w:w="205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A6F9D8E" w14:textId="77777777" w:rsidR="00ED1945" w:rsidRPr="005C2363" w:rsidRDefault="00ED1945" w:rsidP="00ED1945">
            <w:pPr>
              <w:spacing w:after="0" w:line="240" w:lineRule="auto"/>
              <w:rPr>
                <w:rFonts w:ascii="Cambria" w:eastAsia="Times New Roman" w:hAnsi="Cambria" w:cs="Calibri"/>
                <w:lang w:val="hr-HR"/>
              </w:rPr>
            </w:pPr>
            <w:r w:rsidRPr="005C2363">
              <w:rPr>
                <w:rFonts w:ascii="Cambria" w:eastAsia="Times New Roman" w:hAnsi="Cambria" w:cs="Calibri"/>
                <w:lang w:val="hr-HR"/>
              </w:rPr>
              <w:t>Kod i naziv kolegija</w:t>
            </w:r>
          </w:p>
        </w:tc>
        <w:tc>
          <w:tcPr>
            <w:tcW w:w="699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6FC40C2" w14:textId="77777777" w:rsidR="00ED1945" w:rsidRPr="00DF4CE5" w:rsidRDefault="00ED1945" w:rsidP="00ED1945">
            <w:pPr>
              <w:snapToGrid w:val="0"/>
              <w:spacing w:after="0" w:line="256" w:lineRule="auto"/>
              <w:rPr>
                <w:rFonts w:ascii="Cambria" w:hAnsi="Cambria" w:cs="Calibri"/>
              </w:rPr>
            </w:pPr>
            <w:r w:rsidRPr="00DF4CE5">
              <w:rPr>
                <w:rFonts w:ascii="Cambria" w:hAnsi="Cambria" w:cs="Calibri"/>
              </w:rPr>
              <w:t>78355</w:t>
            </w:r>
          </w:p>
          <w:p w14:paraId="164D02BC" w14:textId="77777777" w:rsidR="00ED1945" w:rsidRPr="00DF4CE5" w:rsidRDefault="00ED1945" w:rsidP="00ED1945">
            <w:pPr>
              <w:snapToGrid w:val="0"/>
              <w:spacing w:after="0" w:line="256" w:lineRule="auto"/>
              <w:rPr>
                <w:rFonts w:ascii="Cambria" w:hAnsi="Cambria" w:cs="Calibri"/>
                <w:bCs/>
              </w:rPr>
            </w:pPr>
            <w:proofErr w:type="spellStart"/>
            <w:r w:rsidRPr="00DF4CE5">
              <w:rPr>
                <w:rFonts w:ascii="Cambria" w:hAnsi="Cambria" w:cs="Calibri"/>
                <w:bCs/>
              </w:rPr>
              <w:t>Dječja</w:t>
            </w:r>
            <w:proofErr w:type="spellEnd"/>
            <w:r w:rsidRPr="00DF4CE5">
              <w:rPr>
                <w:rFonts w:ascii="Cambria" w:hAnsi="Cambria" w:cs="Calibri"/>
                <w:bCs/>
              </w:rPr>
              <w:t xml:space="preserve"> </w:t>
            </w:r>
            <w:proofErr w:type="spellStart"/>
            <w:r w:rsidRPr="00DF4CE5">
              <w:rPr>
                <w:rFonts w:ascii="Cambria" w:hAnsi="Cambria" w:cs="Calibri"/>
                <w:bCs/>
              </w:rPr>
              <w:t>književnost</w:t>
            </w:r>
            <w:proofErr w:type="spellEnd"/>
          </w:p>
        </w:tc>
      </w:tr>
      <w:tr w:rsidR="00ED1945" w:rsidRPr="00D0399C" w14:paraId="69B46AEB" w14:textId="77777777" w:rsidTr="00E62F3F">
        <w:tc>
          <w:tcPr>
            <w:tcW w:w="205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C9F80A6" w14:textId="33840751" w:rsidR="00ED1945" w:rsidRPr="005C2363" w:rsidRDefault="00ED1945" w:rsidP="00ED1945">
            <w:pPr>
              <w:spacing w:after="0" w:line="240" w:lineRule="auto"/>
              <w:rPr>
                <w:rFonts w:ascii="Cambria" w:eastAsia="Times New Roman" w:hAnsi="Cambria" w:cs="Calibri"/>
                <w:lang w:val="hr-HR"/>
              </w:rPr>
            </w:pPr>
            <w:r w:rsidRPr="005C2363">
              <w:rPr>
                <w:rFonts w:ascii="Cambria" w:eastAsia="Times New Roman" w:hAnsi="Cambria" w:cs="Calibri"/>
                <w:lang w:val="hr-HR"/>
              </w:rPr>
              <w:t xml:space="preserve">Nastavnica </w:t>
            </w:r>
          </w:p>
        </w:tc>
        <w:tc>
          <w:tcPr>
            <w:tcW w:w="699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E172A09" w14:textId="77777777" w:rsidR="00ED1945" w:rsidRPr="00DF4CE5" w:rsidRDefault="00ED1945" w:rsidP="00ED1945">
            <w:pPr>
              <w:snapToGrid w:val="0"/>
              <w:spacing w:after="0" w:line="256" w:lineRule="auto"/>
              <w:rPr>
                <w:rFonts w:ascii="Cambria" w:hAnsi="Cambria" w:cs="Calibri"/>
                <w:lang w:val="it-IT"/>
              </w:rPr>
            </w:pPr>
            <w:hyperlink r:id="rId65" w:history="1">
              <w:r w:rsidRPr="00DF4CE5">
                <w:rPr>
                  <w:rStyle w:val="Hiperveza"/>
                  <w:rFonts w:ascii="Cambria" w:hAnsi="Cambria"/>
                  <w:lang w:val="it-IT"/>
                </w:rPr>
                <w:t xml:space="preserve">Prof. dr. sc. </w:t>
              </w:r>
              <w:proofErr w:type="spellStart"/>
              <w:r w:rsidRPr="00DF4CE5">
                <w:rPr>
                  <w:rStyle w:val="Hiperveza"/>
                  <w:rFonts w:ascii="Cambria" w:hAnsi="Cambria"/>
                  <w:lang w:val="it-IT"/>
                </w:rPr>
                <w:t>Vjekoslava</w:t>
              </w:r>
              <w:proofErr w:type="spellEnd"/>
              <w:r w:rsidRPr="00DF4CE5">
                <w:rPr>
                  <w:rStyle w:val="Hiperveza"/>
                  <w:rFonts w:ascii="Cambria" w:hAnsi="Cambria"/>
                  <w:lang w:val="it-IT"/>
                </w:rPr>
                <w:t xml:space="preserve"> </w:t>
              </w:r>
              <w:proofErr w:type="spellStart"/>
              <w:r w:rsidRPr="00DF4CE5">
                <w:rPr>
                  <w:rStyle w:val="Hiperveza"/>
                  <w:rFonts w:ascii="Cambria" w:hAnsi="Cambria"/>
                  <w:lang w:val="it-IT"/>
                </w:rPr>
                <w:t>Jurdana</w:t>
              </w:r>
              <w:proofErr w:type="spellEnd"/>
            </w:hyperlink>
            <w:r w:rsidRPr="00DF4CE5">
              <w:rPr>
                <w:rStyle w:val="Hiperveza"/>
                <w:rFonts w:ascii="Cambria" w:hAnsi="Cambria"/>
                <w:lang w:val="it-IT"/>
              </w:rPr>
              <w:t xml:space="preserve"> </w:t>
            </w:r>
            <w:r w:rsidRPr="00DF4CE5">
              <w:rPr>
                <w:rFonts w:ascii="Cambria" w:hAnsi="Cambria"/>
                <w:lang w:val="it-IT"/>
              </w:rPr>
              <w:t>(</w:t>
            </w:r>
            <w:proofErr w:type="spellStart"/>
            <w:r w:rsidRPr="00DF4CE5">
              <w:rPr>
                <w:rFonts w:ascii="Cambria" w:hAnsi="Cambria"/>
                <w:lang w:val="it-IT"/>
              </w:rPr>
              <w:t>nositeljica</w:t>
            </w:r>
            <w:proofErr w:type="spellEnd"/>
            <w:r w:rsidRPr="00DF4CE5">
              <w:rPr>
                <w:rFonts w:ascii="Cambria" w:hAnsi="Cambria"/>
                <w:lang w:val="it-IT"/>
              </w:rPr>
              <w:t>)</w:t>
            </w:r>
          </w:p>
        </w:tc>
      </w:tr>
      <w:tr w:rsidR="00ED1945" w:rsidRPr="00D0399C" w14:paraId="77BAC991" w14:textId="77777777" w:rsidTr="00E62F3F">
        <w:tc>
          <w:tcPr>
            <w:tcW w:w="205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976966F" w14:textId="77777777" w:rsidR="00ED1945" w:rsidRPr="005C2363" w:rsidRDefault="00ED1945" w:rsidP="00ED1945">
            <w:pPr>
              <w:spacing w:after="0" w:line="240" w:lineRule="auto"/>
              <w:rPr>
                <w:rFonts w:ascii="Cambria" w:eastAsia="Times New Roman" w:hAnsi="Cambria" w:cs="Calibri"/>
                <w:lang w:val="hr-HR"/>
              </w:rPr>
            </w:pPr>
            <w:r w:rsidRPr="005C2363">
              <w:rPr>
                <w:rFonts w:ascii="Cambria" w:eastAsia="Times New Roman" w:hAnsi="Cambria" w:cs="Calibri"/>
                <w:lang w:val="hr-HR"/>
              </w:rPr>
              <w:t>Studijski program</w:t>
            </w:r>
          </w:p>
        </w:tc>
        <w:tc>
          <w:tcPr>
            <w:tcW w:w="6996" w:type="dxa"/>
            <w:gridSpan w:val="7"/>
            <w:tcBorders>
              <w:top w:val="single" w:sz="8" w:space="0" w:color="000000"/>
              <w:left w:val="single" w:sz="8" w:space="0" w:color="000000"/>
              <w:bottom w:val="single" w:sz="8" w:space="0" w:color="000000"/>
              <w:right w:val="single" w:sz="4" w:space="0" w:color="auto"/>
            </w:tcBorders>
            <w:tcMar>
              <w:top w:w="72" w:type="dxa"/>
              <w:left w:w="144" w:type="dxa"/>
              <w:bottom w:w="72" w:type="dxa"/>
              <w:right w:w="144" w:type="dxa"/>
            </w:tcMar>
            <w:vAlign w:val="center"/>
          </w:tcPr>
          <w:p w14:paraId="6575EABA" w14:textId="4CB45184" w:rsidR="00ED1945" w:rsidRPr="00E62F3F" w:rsidRDefault="00E62F3F" w:rsidP="00ED1945">
            <w:pPr>
              <w:snapToGrid w:val="0"/>
              <w:spacing w:line="256" w:lineRule="auto"/>
              <w:rPr>
                <w:rFonts w:ascii="Cambria" w:hAnsi="Cambria" w:cs="Calibri"/>
                <w:lang w:val="hr-HR"/>
              </w:rPr>
            </w:pPr>
            <w:r w:rsidRPr="00DF4CE5">
              <w:rPr>
                <w:rFonts w:ascii="Cambria" w:hAnsi="Cambria"/>
                <w:lang w:val="hr-HR"/>
              </w:rPr>
              <w:t>Sveučilišni integrirani prijediplomski i diplomski Učiteljski studij na hrvatskom jeziku</w:t>
            </w:r>
          </w:p>
        </w:tc>
      </w:tr>
      <w:tr w:rsidR="00ED1945" w:rsidRPr="005C2363" w14:paraId="0B2881CD" w14:textId="77777777" w:rsidTr="00E62F3F">
        <w:trPr>
          <w:trHeight w:val="850"/>
        </w:trPr>
        <w:tc>
          <w:tcPr>
            <w:tcW w:w="205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3D3C45F" w14:textId="77777777" w:rsidR="00ED1945" w:rsidRPr="005C2363" w:rsidRDefault="00ED1945" w:rsidP="00ED1945">
            <w:pPr>
              <w:spacing w:after="0" w:line="240" w:lineRule="auto"/>
              <w:rPr>
                <w:rFonts w:ascii="Cambria" w:eastAsia="Times New Roman" w:hAnsi="Cambria" w:cs="Calibri"/>
                <w:lang w:val="hr-HR"/>
              </w:rPr>
            </w:pPr>
            <w:r w:rsidRPr="005C2363">
              <w:rPr>
                <w:rFonts w:ascii="Cambria" w:eastAsia="Times New Roman" w:hAnsi="Cambria" w:cs="Calibri"/>
                <w:lang w:val="hr-HR"/>
              </w:rPr>
              <w:t>Vrsta kolegija</w:t>
            </w:r>
          </w:p>
        </w:tc>
        <w:tc>
          <w:tcPr>
            <w:tcW w:w="2886" w:type="dxa"/>
            <w:tcBorders>
              <w:top w:val="single" w:sz="8" w:space="0" w:color="000000"/>
              <w:left w:val="single" w:sz="8" w:space="0" w:color="000000"/>
              <w:bottom w:val="single" w:sz="8" w:space="0" w:color="000000"/>
              <w:right w:val="nil"/>
            </w:tcBorders>
            <w:tcMar>
              <w:top w:w="72" w:type="dxa"/>
              <w:left w:w="144" w:type="dxa"/>
              <w:bottom w:w="72" w:type="dxa"/>
              <w:right w:w="144" w:type="dxa"/>
            </w:tcMar>
            <w:vAlign w:val="center"/>
          </w:tcPr>
          <w:p w14:paraId="2CE36903" w14:textId="77777777" w:rsidR="00E62F3F" w:rsidRDefault="00E62F3F" w:rsidP="00ED1945">
            <w:pPr>
              <w:snapToGrid w:val="0"/>
              <w:spacing w:line="256" w:lineRule="auto"/>
              <w:rPr>
                <w:rFonts w:ascii="Cambria" w:hAnsi="Cambria" w:cs="Calibri"/>
              </w:rPr>
            </w:pPr>
          </w:p>
          <w:p w14:paraId="7E2164B9" w14:textId="73CD7A8D" w:rsidR="00ED1945" w:rsidRPr="00DF4CE5" w:rsidRDefault="00E62F3F" w:rsidP="00ED1945">
            <w:pPr>
              <w:snapToGrid w:val="0"/>
              <w:spacing w:line="256" w:lineRule="auto"/>
              <w:rPr>
                <w:rFonts w:ascii="Cambria" w:hAnsi="Cambria" w:cs="Calibri"/>
              </w:rPr>
            </w:pPr>
            <w:proofErr w:type="spellStart"/>
            <w:r>
              <w:rPr>
                <w:rFonts w:ascii="Cambria" w:hAnsi="Cambria" w:cs="Calibri"/>
              </w:rPr>
              <w:t>obvezan</w:t>
            </w:r>
            <w:proofErr w:type="spellEnd"/>
          </w:p>
        </w:tc>
        <w:tc>
          <w:tcPr>
            <w:tcW w:w="1424"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622202D8" w14:textId="77777777" w:rsidR="00ED1945" w:rsidRPr="005C2363" w:rsidRDefault="00ED1945" w:rsidP="00ED1945">
            <w:pPr>
              <w:spacing w:after="0" w:line="240" w:lineRule="auto"/>
              <w:rPr>
                <w:rFonts w:ascii="Cambria" w:eastAsia="Times New Roman" w:hAnsi="Cambria" w:cs="Calibri"/>
                <w:lang w:val="hr-HR"/>
              </w:rPr>
            </w:pPr>
            <w:r w:rsidRPr="005C2363">
              <w:rPr>
                <w:rFonts w:ascii="Cambria" w:eastAsia="Times New Roman" w:hAnsi="Cambria" w:cs="Calibri"/>
                <w:lang w:val="hr-HR"/>
              </w:rPr>
              <w:t>Razina kolegija</w:t>
            </w:r>
          </w:p>
        </w:tc>
        <w:tc>
          <w:tcPr>
            <w:tcW w:w="2686"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DD3F933" w14:textId="77777777" w:rsidR="00ED1945" w:rsidRDefault="00ED1945" w:rsidP="00ED1945">
            <w:pPr>
              <w:snapToGrid w:val="0"/>
              <w:spacing w:line="256" w:lineRule="auto"/>
              <w:rPr>
                <w:rFonts w:ascii="Cambria" w:hAnsi="Cambria" w:cs="Calibri"/>
                <w:lang w:val="it-IT"/>
              </w:rPr>
            </w:pPr>
          </w:p>
          <w:p w14:paraId="60612DD7" w14:textId="32048E22" w:rsidR="00ED1945" w:rsidRPr="00E62F3F" w:rsidRDefault="00ED1945" w:rsidP="00E62F3F">
            <w:pPr>
              <w:snapToGrid w:val="0"/>
              <w:spacing w:line="256" w:lineRule="auto"/>
              <w:rPr>
                <w:rFonts w:ascii="Cambria" w:hAnsi="Cambria" w:cs="Calibri"/>
                <w:lang w:val="it-IT"/>
              </w:rPr>
            </w:pPr>
            <w:proofErr w:type="spellStart"/>
            <w:r w:rsidRPr="00DF4CE5">
              <w:rPr>
                <w:rFonts w:ascii="Cambria" w:hAnsi="Cambria" w:cs="Calibri"/>
                <w:lang w:val="it-IT"/>
              </w:rPr>
              <w:t>integrirani</w:t>
            </w:r>
            <w:proofErr w:type="spellEnd"/>
          </w:p>
        </w:tc>
      </w:tr>
      <w:tr w:rsidR="00ED1945" w:rsidRPr="005C2363" w14:paraId="44A26582" w14:textId="77777777" w:rsidTr="00ED1945">
        <w:tc>
          <w:tcPr>
            <w:tcW w:w="205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C085025" w14:textId="77777777" w:rsidR="00ED1945" w:rsidRPr="005C2363" w:rsidRDefault="00ED1945" w:rsidP="00ED1945">
            <w:pPr>
              <w:spacing w:after="0" w:line="240" w:lineRule="auto"/>
              <w:rPr>
                <w:rFonts w:ascii="Cambria" w:eastAsia="Times New Roman" w:hAnsi="Cambria" w:cs="Calibri"/>
                <w:lang w:val="hr-HR"/>
              </w:rPr>
            </w:pPr>
            <w:r w:rsidRPr="005C2363">
              <w:rPr>
                <w:rFonts w:ascii="Cambria" w:eastAsia="Times New Roman" w:hAnsi="Cambria" w:cs="Calibri"/>
                <w:lang w:val="hr-HR"/>
              </w:rPr>
              <w:t>Semestar</w:t>
            </w:r>
          </w:p>
        </w:tc>
        <w:tc>
          <w:tcPr>
            <w:tcW w:w="2886" w:type="dxa"/>
            <w:tcBorders>
              <w:top w:val="single" w:sz="8" w:space="0" w:color="000000"/>
              <w:left w:val="single" w:sz="8" w:space="0" w:color="000000"/>
              <w:bottom w:val="single" w:sz="8" w:space="0" w:color="000000"/>
              <w:right w:val="nil"/>
            </w:tcBorders>
            <w:tcMar>
              <w:top w:w="72" w:type="dxa"/>
              <w:left w:w="144" w:type="dxa"/>
              <w:bottom w:w="72" w:type="dxa"/>
              <w:right w:w="144" w:type="dxa"/>
            </w:tcMar>
            <w:vAlign w:val="center"/>
          </w:tcPr>
          <w:p w14:paraId="55F75788" w14:textId="66324867" w:rsidR="00ED1945" w:rsidRPr="00DF4CE5" w:rsidRDefault="00E62F3F" w:rsidP="00ED1945">
            <w:pPr>
              <w:snapToGrid w:val="0"/>
              <w:spacing w:line="256" w:lineRule="auto"/>
              <w:rPr>
                <w:rFonts w:ascii="Cambria" w:hAnsi="Cambria" w:cs="Calibri"/>
                <w:lang w:val="hr-HR"/>
              </w:rPr>
            </w:pPr>
            <w:r>
              <w:rPr>
                <w:rFonts w:ascii="Cambria" w:hAnsi="Cambria" w:cs="Calibri"/>
                <w:lang w:val="hr-HR"/>
              </w:rPr>
              <w:t>zimski</w:t>
            </w:r>
          </w:p>
        </w:tc>
        <w:tc>
          <w:tcPr>
            <w:tcW w:w="1424"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0CE5F02D" w14:textId="77777777" w:rsidR="00ED1945" w:rsidRPr="005C2363" w:rsidRDefault="00ED1945" w:rsidP="00ED1945">
            <w:pPr>
              <w:spacing w:after="0" w:line="240" w:lineRule="auto"/>
              <w:rPr>
                <w:rFonts w:ascii="Cambria" w:eastAsia="Times New Roman" w:hAnsi="Cambria" w:cs="Calibri"/>
                <w:lang w:val="hr-HR"/>
              </w:rPr>
            </w:pPr>
            <w:r w:rsidRPr="005C2363">
              <w:rPr>
                <w:rFonts w:ascii="Cambria" w:eastAsia="Times New Roman" w:hAnsi="Cambria" w:cs="Calibri"/>
                <w:lang w:val="hr-HR"/>
              </w:rPr>
              <w:t>Godina studija</w:t>
            </w:r>
          </w:p>
        </w:tc>
        <w:tc>
          <w:tcPr>
            <w:tcW w:w="2686"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C3B93CF" w14:textId="77777777" w:rsidR="00ED1945" w:rsidRPr="00DF4CE5" w:rsidRDefault="00ED1945" w:rsidP="00ED1945">
            <w:pPr>
              <w:snapToGrid w:val="0"/>
              <w:spacing w:line="256" w:lineRule="auto"/>
              <w:rPr>
                <w:rFonts w:ascii="Cambria" w:hAnsi="Cambria" w:cs="Calibri"/>
              </w:rPr>
            </w:pPr>
            <w:r w:rsidRPr="00DF4CE5">
              <w:rPr>
                <w:rFonts w:ascii="Cambria" w:hAnsi="Cambria" w:cs="Calibri"/>
              </w:rPr>
              <w:t>II.</w:t>
            </w:r>
          </w:p>
        </w:tc>
      </w:tr>
      <w:tr w:rsidR="00ED1945" w:rsidRPr="005C2363" w14:paraId="0638C057" w14:textId="77777777" w:rsidTr="00ED1945">
        <w:tc>
          <w:tcPr>
            <w:tcW w:w="205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51D0911" w14:textId="77777777" w:rsidR="00ED1945" w:rsidRPr="005C2363" w:rsidRDefault="00ED1945" w:rsidP="00ED1945">
            <w:pPr>
              <w:spacing w:after="0" w:line="240" w:lineRule="auto"/>
              <w:rPr>
                <w:rFonts w:ascii="Cambria" w:eastAsia="Times New Roman" w:hAnsi="Cambria" w:cs="Calibri"/>
                <w:lang w:val="hr-HR"/>
              </w:rPr>
            </w:pPr>
            <w:r w:rsidRPr="005C2363">
              <w:rPr>
                <w:rFonts w:ascii="Cambria" w:eastAsia="Times New Roman" w:hAnsi="Cambria" w:cs="Calibri"/>
                <w:lang w:val="hr-HR"/>
              </w:rPr>
              <w:t>Mjesto izvođenja</w:t>
            </w:r>
          </w:p>
        </w:tc>
        <w:tc>
          <w:tcPr>
            <w:tcW w:w="2886" w:type="dxa"/>
            <w:tcBorders>
              <w:top w:val="single" w:sz="8" w:space="0" w:color="000000"/>
              <w:left w:val="single" w:sz="8" w:space="0" w:color="000000"/>
              <w:bottom w:val="single" w:sz="8" w:space="0" w:color="000000"/>
              <w:right w:val="nil"/>
            </w:tcBorders>
            <w:tcMar>
              <w:top w:w="72" w:type="dxa"/>
              <w:left w:w="144" w:type="dxa"/>
              <w:bottom w:w="72" w:type="dxa"/>
              <w:right w:w="144" w:type="dxa"/>
            </w:tcMar>
            <w:vAlign w:val="center"/>
          </w:tcPr>
          <w:p w14:paraId="65F186AC" w14:textId="34867028" w:rsidR="00ED1945" w:rsidRPr="00DF4CE5" w:rsidRDefault="00E62F3F" w:rsidP="00ED1945">
            <w:pPr>
              <w:snapToGrid w:val="0"/>
              <w:spacing w:line="256" w:lineRule="auto"/>
              <w:rPr>
                <w:rFonts w:ascii="Cambria" w:hAnsi="Cambria" w:cs="Calibri"/>
              </w:rPr>
            </w:pPr>
            <w:proofErr w:type="spellStart"/>
            <w:r>
              <w:rPr>
                <w:rFonts w:ascii="Cambria" w:hAnsi="Cambria" w:cs="Calibri"/>
              </w:rPr>
              <w:t>učionica</w:t>
            </w:r>
            <w:proofErr w:type="spellEnd"/>
          </w:p>
        </w:tc>
        <w:tc>
          <w:tcPr>
            <w:tcW w:w="1424"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7DC868D8" w14:textId="77777777" w:rsidR="00ED1945" w:rsidRPr="005C2363" w:rsidRDefault="00ED1945" w:rsidP="00ED1945">
            <w:pPr>
              <w:spacing w:after="0" w:line="240" w:lineRule="auto"/>
              <w:rPr>
                <w:rFonts w:ascii="Cambria" w:eastAsia="Times New Roman" w:hAnsi="Cambria" w:cs="Calibri"/>
                <w:lang w:val="hr-HR"/>
              </w:rPr>
            </w:pPr>
            <w:r w:rsidRPr="005C2363">
              <w:rPr>
                <w:rFonts w:ascii="Cambria" w:eastAsia="Times New Roman" w:hAnsi="Cambria" w:cs="Calibri"/>
                <w:lang w:val="hr-HR"/>
              </w:rPr>
              <w:t xml:space="preserve">Jezik izvođenja </w:t>
            </w:r>
          </w:p>
        </w:tc>
        <w:tc>
          <w:tcPr>
            <w:tcW w:w="2686"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C6B2A0C" w14:textId="77777777" w:rsidR="00ED1945" w:rsidRPr="00DF4CE5" w:rsidRDefault="00ED1945" w:rsidP="00ED1945">
            <w:pPr>
              <w:snapToGrid w:val="0"/>
              <w:spacing w:line="256" w:lineRule="auto"/>
              <w:rPr>
                <w:rFonts w:ascii="Cambria" w:hAnsi="Cambria" w:cs="Calibri"/>
              </w:rPr>
            </w:pPr>
            <w:proofErr w:type="spellStart"/>
            <w:r w:rsidRPr="00DF4CE5">
              <w:rPr>
                <w:rFonts w:ascii="Cambria" w:hAnsi="Cambria" w:cs="Calibri"/>
              </w:rPr>
              <w:t>hrvatski</w:t>
            </w:r>
            <w:proofErr w:type="spellEnd"/>
            <w:r w:rsidRPr="00DF4CE5">
              <w:rPr>
                <w:rFonts w:ascii="Cambria" w:hAnsi="Cambria" w:cs="Calibri"/>
              </w:rPr>
              <w:t xml:space="preserve"> </w:t>
            </w:r>
          </w:p>
        </w:tc>
      </w:tr>
      <w:tr w:rsidR="00ED1945" w:rsidRPr="005C2363" w14:paraId="3BB755FE" w14:textId="77777777" w:rsidTr="00ED1945">
        <w:tc>
          <w:tcPr>
            <w:tcW w:w="205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A378300" w14:textId="77777777" w:rsidR="00ED1945" w:rsidRPr="005C2363" w:rsidRDefault="00ED1945" w:rsidP="00ED1945">
            <w:pPr>
              <w:spacing w:after="0" w:line="240" w:lineRule="auto"/>
              <w:rPr>
                <w:rFonts w:ascii="Cambria" w:eastAsia="Times New Roman" w:hAnsi="Cambria" w:cs="Calibri"/>
                <w:lang w:val="hr-HR"/>
              </w:rPr>
            </w:pPr>
            <w:r w:rsidRPr="005C2363">
              <w:rPr>
                <w:rFonts w:ascii="Cambria" w:eastAsia="Times New Roman" w:hAnsi="Cambria" w:cs="Calibri"/>
                <w:lang w:val="hr-HR"/>
              </w:rPr>
              <w:t>Broj ECTS bodova</w:t>
            </w:r>
          </w:p>
        </w:tc>
        <w:tc>
          <w:tcPr>
            <w:tcW w:w="2886" w:type="dxa"/>
            <w:tcBorders>
              <w:top w:val="single" w:sz="8" w:space="0" w:color="000000"/>
              <w:left w:val="single" w:sz="8" w:space="0" w:color="000000"/>
              <w:bottom w:val="single" w:sz="8" w:space="0" w:color="000000"/>
              <w:right w:val="nil"/>
            </w:tcBorders>
            <w:tcMar>
              <w:top w:w="72" w:type="dxa"/>
              <w:left w:w="144" w:type="dxa"/>
              <w:bottom w:w="72" w:type="dxa"/>
              <w:right w:w="144" w:type="dxa"/>
            </w:tcMar>
            <w:vAlign w:val="center"/>
          </w:tcPr>
          <w:p w14:paraId="4EA97615" w14:textId="1E155657" w:rsidR="00ED1945" w:rsidRPr="00DF4CE5" w:rsidRDefault="00E62F3F" w:rsidP="00ED1945">
            <w:pPr>
              <w:snapToGrid w:val="0"/>
              <w:spacing w:line="256" w:lineRule="auto"/>
              <w:rPr>
                <w:rFonts w:ascii="Cambria" w:hAnsi="Cambria" w:cs="Calibri"/>
              </w:rPr>
            </w:pPr>
            <w:r>
              <w:rPr>
                <w:rFonts w:ascii="Cambria" w:hAnsi="Cambria" w:cs="Calibri"/>
              </w:rPr>
              <w:t>5</w:t>
            </w:r>
          </w:p>
        </w:tc>
        <w:tc>
          <w:tcPr>
            <w:tcW w:w="1424"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5623F0B9" w14:textId="77777777" w:rsidR="00ED1945" w:rsidRPr="005C2363" w:rsidRDefault="00ED1945" w:rsidP="00ED1945">
            <w:pPr>
              <w:spacing w:after="0" w:line="240" w:lineRule="auto"/>
              <w:rPr>
                <w:rFonts w:ascii="Cambria" w:eastAsia="Times New Roman" w:hAnsi="Cambria" w:cs="Calibri"/>
                <w:lang w:val="hr-HR"/>
              </w:rPr>
            </w:pPr>
            <w:r w:rsidRPr="005C2363">
              <w:rPr>
                <w:rFonts w:ascii="Cambria" w:eastAsia="Times New Roman" w:hAnsi="Cambria" w:cs="Calibri"/>
                <w:lang w:val="hr-HR"/>
              </w:rPr>
              <w:t>Broj sati u semestru</w:t>
            </w:r>
          </w:p>
        </w:tc>
        <w:tc>
          <w:tcPr>
            <w:tcW w:w="2686"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BD6D508" w14:textId="77777777" w:rsidR="00ED1945" w:rsidRPr="00DF4CE5" w:rsidRDefault="00ED1945" w:rsidP="00ED1945">
            <w:pPr>
              <w:snapToGrid w:val="0"/>
              <w:spacing w:line="256" w:lineRule="auto"/>
              <w:rPr>
                <w:rFonts w:ascii="Cambria" w:hAnsi="Cambria" w:cs="Calibri"/>
              </w:rPr>
            </w:pPr>
            <w:r w:rsidRPr="00DF4CE5">
              <w:rPr>
                <w:rFonts w:ascii="Cambria" w:hAnsi="Cambria" w:cs="Calibri"/>
              </w:rPr>
              <w:t xml:space="preserve">30P – 30S – 0V   </w:t>
            </w:r>
          </w:p>
        </w:tc>
      </w:tr>
      <w:tr w:rsidR="00ED1945" w:rsidRPr="005C2363" w14:paraId="216D480E" w14:textId="77777777" w:rsidTr="00ED1945">
        <w:tc>
          <w:tcPr>
            <w:tcW w:w="205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36AD30F" w14:textId="77777777" w:rsidR="00ED1945" w:rsidRPr="005C2363" w:rsidRDefault="00ED1945" w:rsidP="00ED1945">
            <w:pPr>
              <w:spacing w:after="0" w:line="240" w:lineRule="auto"/>
              <w:rPr>
                <w:rFonts w:ascii="Cambria" w:eastAsia="Times New Roman" w:hAnsi="Cambria" w:cs="Calibri"/>
                <w:lang w:val="hr-HR"/>
              </w:rPr>
            </w:pPr>
            <w:r w:rsidRPr="005C2363">
              <w:rPr>
                <w:rFonts w:ascii="Cambria" w:eastAsia="Times New Roman" w:hAnsi="Cambria" w:cs="Calibri"/>
                <w:lang w:val="hr-HR"/>
              </w:rPr>
              <w:t>Preduvjeti za upis i za svladavanje</w:t>
            </w:r>
          </w:p>
        </w:tc>
        <w:tc>
          <w:tcPr>
            <w:tcW w:w="699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42F9B80" w14:textId="77777777" w:rsidR="00ED1945" w:rsidRPr="00DF4CE5" w:rsidRDefault="00ED1945" w:rsidP="00ED1945">
            <w:pPr>
              <w:snapToGrid w:val="0"/>
              <w:spacing w:line="256" w:lineRule="auto"/>
              <w:rPr>
                <w:rFonts w:ascii="Cambria" w:hAnsi="Cambria" w:cs="Calibri"/>
              </w:rPr>
            </w:pPr>
            <w:r w:rsidRPr="00DF4CE5">
              <w:rPr>
                <w:rFonts w:ascii="Cambria" w:hAnsi="Cambria" w:cs="Calibri"/>
              </w:rPr>
              <w:t xml:space="preserve">Nema </w:t>
            </w:r>
            <w:proofErr w:type="spellStart"/>
            <w:r w:rsidRPr="00DF4CE5">
              <w:rPr>
                <w:rFonts w:ascii="Cambria" w:hAnsi="Cambria" w:cs="Calibri"/>
              </w:rPr>
              <w:t>preduvjeta</w:t>
            </w:r>
            <w:proofErr w:type="spellEnd"/>
            <w:r w:rsidRPr="00DF4CE5">
              <w:rPr>
                <w:rFonts w:ascii="Cambria" w:hAnsi="Cambria" w:cs="Calibri"/>
              </w:rPr>
              <w:t>.</w:t>
            </w:r>
          </w:p>
        </w:tc>
      </w:tr>
      <w:tr w:rsidR="00ED1945" w:rsidRPr="00D0399C" w14:paraId="5970FF02" w14:textId="77777777" w:rsidTr="00ED1945">
        <w:tc>
          <w:tcPr>
            <w:tcW w:w="205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87210A8" w14:textId="77777777" w:rsidR="00ED1945" w:rsidRPr="005C2363" w:rsidRDefault="00ED1945" w:rsidP="00ED1945">
            <w:pPr>
              <w:spacing w:after="0" w:line="240" w:lineRule="auto"/>
              <w:rPr>
                <w:rFonts w:ascii="Cambria" w:eastAsia="Times New Roman" w:hAnsi="Cambria" w:cs="Calibri"/>
                <w:lang w:val="hr-HR"/>
              </w:rPr>
            </w:pPr>
            <w:proofErr w:type="spellStart"/>
            <w:r w:rsidRPr="005C2363">
              <w:rPr>
                <w:rFonts w:ascii="Cambria" w:eastAsia="Times New Roman" w:hAnsi="Cambria" w:cs="Calibri"/>
                <w:lang w:val="hr-HR"/>
              </w:rPr>
              <w:t>Korelativnost</w:t>
            </w:r>
            <w:proofErr w:type="spellEnd"/>
          </w:p>
        </w:tc>
        <w:tc>
          <w:tcPr>
            <w:tcW w:w="699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AF5F97D" w14:textId="77777777" w:rsidR="00ED1945" w:rsidRPr="00DF4CE5" w:rsidRDefault="00ED1945" w:rsidP="00ED1945">
            <w:pPr>
              <w:snapToGrid w:val="0"/>
              <w:spacing w:line="256" w:lineRule="auto"/>
              <w:rPr>
                <w:rFonts w:ascii="Cambria" w:hAnsi="Cambria" w:cs="Calibri"/>
                <w:lang w:val="hr-HR"/>
              </w:rPr>
            </w:pPr>
            <w:r w:rsidRPr="005C2363">
              <w:rPr>
                <w:rFonts w:ascii="Cambria" w:hAnsi="Cambria" w:cs="Calibri"/>
                <w:lang w:val="hr-HR"/>
              </w:rPr>
              <w:t>Usmena zavičajna baština, Medijska kultura, Hrvatski jezik, Glazbena kultura, Govorno izražavanje, Likovna kultura, Lektira u razrednoj nastavi</w:t>
            </w:r>
          </w:p>
        </w:tc>
      </w:tr>
      <w:tr w:rsidR="00ED1945" w:rsidRPr="00D0399C" w14:paraId="696D706F" w14:textId="77777777" w:rsidTr="00ED1945">
        <w:tc>
          <w:tcPr>
            <w:tcW w:w="205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EF3DE52" w14:textId="77777777" w:rsidR="00ED1945" w:rsidRPr="005C2363" w:rsidRDefault="00ED1945" w:rsidP="00ED1945">
            <w:pPr>
              <w:spacing w:after="0" w:line="240" w:lineRule="auto"/>
              <w:rPr>
                <w:rFonts w:ascii="Cambria" w:eastAsia="Times New Roman" w:hAnsi="Cambria" w:cs="Calibri"/>
                <w:lang w:val="hr-HR"/>
              </w:rPr>
            </w:pPr>
            <w:r w:rsidRPr="005C2363">
              <w:rPr>
                <w:rFonts w:ascii="Cambria" w:eastAsia="Times New Roman" w:hAnsi="Cambria" w:cs="Calibri"/>
                <w:lang w:val="hr-HR"/>
              </w:rPr>
              <w:t xml:space="preserve">Cilj kolegija </w:t>
            </w:r>
          </w:p>
        </w:tc>
        <w:tc>
          <w:tcPr>
            <w:tcW w:w="699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CA4CD86" w14:textId="77777777" w:rsidR="00ED1945" w:rsidRPr="005C2363" w:rsidRDefault="00ED1945" w:rsidP="00ED1945">
            <w:pPr>
              <w:snapToGrid w:val="0"/>
              <w:spacing w:line="256" w:lineRule="auto"/>
              <w:rPr>
                <w:rFonts w:ascii="Cambria" w:hAnsi="Cambria" w:cs="Calibri"/>
                <w:lang w:val="hr-HR"/>
              </w:rPr>
            </w:pPr>
            <w:r w:rsidRPr="005C2363">
              <w:rPr>
                <w:rFonts w:ascii="Cambria" w:hAnsi="Cambria" w:cs="Calibri"/>
                <w:lang w:val="hr-HR"/>
              </w:rPr>
              <w:t>upoznati korpus dječje književnosti te znanstvene i stručne  spoznaje o njezinim vrstama u razvoju literarnih sposobnosti djeteta</w:t>
            </w:r>
          </w:p>
        </w:tc>
      </w:tr>
      <w:tr w:rsidR="00ED1945" w:rsidRPr="00D0399C" w14:paraId="44A5D073" w14:textId="77777777" w:rsidTr="00ED1945">
        <w:tc>
          <w:tcPr>
            <w:tcW w:w="205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67F3B9A" w14:textId="77777777" w:rsidR="00ED1945" w:rsidRPr="005C2363" w:rsidRDefault="00ED1945" w:rsidP="00ED1945">
            <w:pPr>
              <w:spacing w:after="0" w:line="240" w:lineRule="auto"/>
              <w:rPr>
                <w:rFonts w:ascii="Cambria" w:eastAsia="Times New Roman" w:hAnsi="Cambria" w:cs="Calibri"/>
                <w:lang w:val="hr-HR"/>
              </w:rPr>
            </w:pPr>
            <w:r w:rsidRPr="005C2363">
              <w:rPr>
                <w:rFonts w:ascii="Cambria" w:eastAsia="Times New Roman" w:hAnsi="Cambria" w:cs="Calibri"/>
                <w:lang w:val="hr-HR"/>
              </w:rPr>
              <w:t>Ishodi učenja</w:t>
            </w:r>
          </w:p>
        </w:tc>
        <w:tc>
          <w:tcPr>
            <w:tcW w:w="699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A1E3E49" w14:textId="77777777" w:rsidR="00ED1945" w:rsidRPr="005C2363" w:rsidRDefault="00ED1945" w:rsidP="00ED1945">
            <w:pPr>
              <w:snapToGrid w:val="0"/>
              <w:spacing w:after="0" w:line="240" w:lineRule="auto"/>
              <w:rPr>
                <w:rFonts w:ascii="Cambria" w:hAnsi="Cambria" w:cs="Calibri"/>
                <w:lang w:val="hr-HR"/>
              </w:rPr>
            </w:pPr>
            <w:r w:rsidRPr="005C2363">
              <w:rPr>
                <w:rFonts w:ascii="Cambria" w:hAnsi="Cambria" w:cs="Calibri"/>
                <w:lang w:val="hr-HR"/>
              </w:rPr>
              <w:t>1. pravilno tumačiti temeljne pojmove dječje književnosti u korištenju i služiti se osnovnim književnoteorijskim aparatom</w:t>
            </w:r>
          </w:p>
          <w:p w14:paraId="75487153" w14:textId="77777777" w:rsidR="00ED1945" w:rsidRPr="00DF4CE5" w:rsidRDefault="00ED1945" w:rsidP="00ED1945">
            <w:pPr>
              <w:spacing w:after="0" w:line="240" w:lineRule="auto"/>
              <w:rPr>
                <w:rFonts w:ascii="Cambria" w:hAnsi="Cambria" w:cs="Calibri"/>
                <w:lang w:val="it-IT"/>
              </w:rPr>
            </w:pPr>
            <w:r w:rsidRPr="00DF4CE5">
              <w:rPr>
                <w:rFonts w:ascii="Cambria" w:hAnsi="Cambria" w:cs="Calibri"/>
                <w:lang w:val="it-IT"/>
              </w:rPr>
              <w:t xml:space="preserve">2. </w:t>
            </w:r>
            <w:proofErr w:type="spellStart"/>
            <w:r w:rsidRPr="00DF4CE5">
              <w:rPr>
                <w:rFonts w:ascii="Cambria" w:hAnsi="Cambria" w:cs="Calibri"/>
                <w:lang w:val="it-IT"/>
              </w:rPr>
              <w:t>koristiti</w:t>
            </w:r>
            <w:proofErr w:type="spellEnd"/>
            <w:r w:rsidRPr="00DF4CE5">
              <w:rPr>
                <w:rFonts w:ascii="Cambria" w:hAnsi="Cambria" w:cs="Calibri"/>
                <w:lang w:val="it-IT"/>
              </w:rPr>
              <w:t xml:space="preserve"> </w:t>
            </w:r>
            <w:proofErr w:type="spellStart"/>
            <w:r w:rsidRPr="00DF4CE5">
              <w:rPr>
                <w:rFonts w:ascii="Cambria" w:hAnsi="Cambria" w:cs="Calibri"/>
                <w:lang w:val="it-IT"/>
              </w:rPr>
              <w:t>stručnu</w:t>
            </w:r>
            <w:proofErr w:type="spellEnd"/>
            <w:r w:rsidRPr="00DF4CE5">
              <w:rPr>
                <w:rFonts w:ascii="Cambria" w:hAnsi="Cambria" w:cs="Calibri"/>
                <w:lang w:val="it-IT"/>
              </w:rPr>
              <w:t xml:space="preserve"> i </w:t>
            </w:r>
            <w:proofErr w:type="spellStart"/>
            <w:r w:rsidRPr="00DF4CE5">
              <w:rPr>
                <w:rFonts w:ascii="Cambria" w:hAnsi="Cambria" w:cs="Calibri"/>
                <w:lang w:val="it-IT"/>
              </w:rPr>
              <w:t>znanstvenu</w:t>
            </w:r>
            <w:proofErr w:type="spellEnd"/>
            <w:r w:rsidRPr="00DF4CE5">
              <w:rPr>
                <w:rFonts w:ascii="Cambria" w:hAnsi="Cambria" w:cs="Calibri"/>
                <w:lang w:val="it-IT"/>
              </w:rPr>
              <w:t xml:space="preserve"> </w:t>
            </w:r>
            <w:proofErr w:type="spellStart"/>
            <w:r w:rsidRPr="00DF4CE5">
              <w:rPr>
                <w:rFonts w:ascii="Cambria" w:hAnsi="Cambria" w:cs="Calibri"/>
                <w:lang w:val="it-IT"/>
              </w:rPr>
              <w:t>literaturu</w:t>
            </w:r>
            <w:proofErr w:type="spellEnd"/>
            <w:r w:rsidRPr="00DF4CE5">
              <w:rPr>
                <w:rFonts w:ascii="Cambria" w:hAnsi="Cambria" w:cs="Calibri"/>
                <w:lang w:val="it-IT"/>
              </w:rPr>
              <w:t xml:space="preserve"> te </w:t>
            </w:r>
            <w:proofErr w:type="spellStart"/>
            <w:r w:rsidRPr="00DF4CE5">
              <w:rPr>
                <w:rFonts w:ascii="Cambria" w:hAnsi="Cambria" w:cs="Calibri"/>
                <w:lang w:val="it-IT"/>
              </w:rPr>
              <w:t>pravilno</w:t>
            </w:r>
            <w:proofErr w:type="spellEnd"/>
            <w:r w:rsidRPr="00DF4CE5">
              <w:rPr>
                <w:rFonts w:ascii="Cambria" w:hAnsi="Cambria" w:cs="Calibri"/>
                <w:lang w:val="it-IT"/>
              </w:rPr>
              <w:t xml:space="preserve"> </w:t>
            </w:r>
            <w:proofErr w:type="spellStart"/>
            <w:r w:rsidRPr="00DF4CE5">
              <w:rPr>
                <w:rFonts w:ascii="Cambria" w:hAnsi="Cambria" w:cs="Calibri"/>
                <w:lang w:val="it-IT"/>
              </w:rPr>
              <w:t>primijeniti</w:t>
            </w:r>
            <w:proofErr w:type="spellEnd"/>
            <w:r w:rsidRPr="00DF4CE5">
              <w:rPr>
                <w:rFonts w:ascii="Cambria" w:hAnsi="Cambria" w:cs="Calibri"/>
                <w:lang w:val="it-IT"/>
              </w:rPr>
              <w:t xml:space="preserve"> </w:t>
            </w:r>
            <w:proofErr w:type="spellStart"/>
            <w:r w:rsidRPr="00DF4CE5">
              <w:rPr>
                <w:rFonts w:ascii="Cambria" w:hAnsi="Cambria" w:cs="Calibri"/>
                <w:lang w:val="it-IT"/>
              </w:rPr>
              <w:t>stečene</w:t>
            </w:r>
            <w:proofErr w:type="spellEnd"/>
            <w:r w:rsidRPr="00DF4CE5">
              <w:rPr>
                <w:rFonts w:ascii="Cambria" w:hAnsi="Cambria" w:cs="Calibri"/>
                <w:lang w:val="it-IT"/>
              </w:rPr>
              <w:t xml:space="preserve"> </w:t>
            </w:r>
            <w:proofErr w:type="spellStart"/>
            <w:r w:rsidRPr="00DF4CE5">
              <w:rPr>
                <w:rFonts w:ascii="Cambria" w:hAnsi="Cambria" w:cs="Calibri"/>
                <w:lang w:val="it-IT"/>
              </w:rPr>
              <w:t>spoznaje</w:t>
            </w:r>
            <w:proofErr w:type="spellEnd"/>
            <w:r w:rsidRPr="00DF4CE5">
              <w:rPr>
                <w:rFonts w:ascii="Cambria" w:hAnsi="Cambria" w:cs="Calibri"/>
                <w:lang w:val="it-IT"/>
              </w:rPr>
              <w:t xml:space="preserve"> u </w:t>
            </w:r>
            <w:proofErr w:type="spellStart"/>
            <w:r w:rsidRPr="00DF4CE5">
              <w:rPr>
                <w:rFonts w:ascii="Cambria" w:hAnsi="Cambria" w:cs="Calibri"/>
                <w:lang w:val="it-IT"/>
              </w:rPr>
              <w:t>izradi</w:t>
            </w:r>
            <w:proofErr w:type="spellEnd"/>
            <w:r w:rsidRPr="00DF4CE5">
              <w:rPr>
                <w:rFonts w:ascii="Cambria" w:hAnsi="Cambria" w:cs="Calibri"/>
                <w:lang w:val="it-IT"/>
              </w:rPr>
              <w:t xml:space="preserve"> </w:t>
            </w:r>
            <w:proofErr w:type="spellStart"/>
            <w:r w:rsidRPr="00DF4CE5">
              <w:rPr>
                <w:rFonts w:ascii="Cambria" w:hAnsi="Cambria" w:cs="Calibri"/>
                <w:lang w:val="it-IT"/>
              </w:rPr>
              <w:t>zadataka</w:t>
            </w:r>
            <w:proofErr w:type="spellEnd"/>
          </w:p>
          <w:p w14:paraId="77307243" w14:textId="77777777" w:rsidR="00ED1945" w:rsidRPr="00DF4CE5" w:rsidRDefault="00ED1945" w:rsidP="00ED1945">
            <w:pPr>
              <w:spacing w:after="0" w:line="240" w:lineRule="auto"/>
              <w:rPr>
                <w:rFonts w:ascii="Cambria" w:hAnsi="Cambria" w:cs="Calibri"/>
                <w:lang w:val="it-IT"/>
              </w:rPr>
            </w:pPr>
            <w:r w:rsidRPr="00DF4CE5">
              <w:rPr>
                <w:rFonts w:ascii="Cambria" w:hAnsi="Cambria" w:cs="Calibri"/>
                <w:lang w:val="it-IT"/>
              </w:rPr>
              <w:t xml:space="preserve">3. </w:t>
            </w:r>
            <w:proofErr w:type="spellStart"/>
            <w:r w:rsidRPr="00DF4CE5">
              <w:rPr>
                <w:rFonts w:ascii="Cambria" w:hAnsi="Cambria" w:cs="Calibri"/>
                <w:lang w:val="it-IT"/>
              </w:rPr>
              <w:t>kreativno</w:t>
            </w:r>
            <w:proofErr w:type="spellEnd"/>
            <w:r w:rsidRPr="00DF4CE5">
              <w:rPr>
                <w:rFonts w:ascii="Cambria" w:hAnsi="Cambria" w:cs="Calibri"/>
                <w:lang w:val="it-IT"/>
              </w:rPr>
              <w:t xml:space="preserve"> </w:t>
            </w:r>
            <w:proofErr w:type="spellStart"/>
            <w:r w:rsidRPr="00DF4CE5">
              <w:rPr>
                <w:rFonts w:ascii="Cambria" w:hAnsi="Cambria" w:cs="Calibri"/>
                <w:lang w:val="it-IT"/>
              </w:rPr>
              <w:t>realizirati</w:t>
            </w:r>
            <w:proofErr w:type="spellEnd"/>
            <w:r w:rsidRPr="00DF4CE5">
              <w:rPr>
                <w:rFonts w:ascii="Cambria" w:hAnsi="Cambria" w:cs="Calibri"/>
                <w:lang w:val="it-IT"/>
              </w:rPr>
              <w:t xml:space="preserve"> </w:t>
            </w:r>
            <w:proofErr w:type="spellStart"/>
            <w:r w:rsidRPr="00DF4CE5">
              <w:rPr>
                <w:rFonts w:ascii="Cambria" w:hAnsi="Cambria" w:cs="Calibri"/>
                <w:lang w:val="it-IT"/>
              </w:rPr>
              <w:t>osmišljen</w:t>
            </w:r>
            <w:proofErr w:type="spellEnd"/>
            <w:r w:rsidRPr="00DF4CE5">
              <w:rPr>
                <w:rFonts w:ascii="Cambria" w:hAnsi="Cambria" w:cs="Calibri"/>
                <w:lang w:val="it-IT"/>
              </w:rPr>
              <w:t xml:space="preserve"> </w:t>
            </w:r>
            <w:proofErr w:type="spellStart"/>
            <w:r w:rsidRPr="00DF4CE5">
              <w:rPr>
                <w:rFonts w:ascii="Cambria" w:hAnsi="Cambria" w:cs="Calibri"/>
                <w:lang w:val="it-IT"/>
              </w:rPr>
              <w:t>konkretan</w:t>
            </w:r>
            <w:proofErr w:type="spellEnd"/>
            <w:r w:rsidRPr="00DF4CE5">
              <w:rPr>
                <w:rFonts w:ascii="Cambria" w:hAnsi="Cambria" w:cs="Calibri"/>
                <w:lang w:val="it-IT"/>
              </w:rPr>
              <w:t xml:space="preserve"> </w:t>
            </w:r>
            <w:proofErr w:type="spellStart"/>
            <w:r w:rsidRPr="00DF4CE5">
              <w:rPr>
                <w:rFonts w:ascii="Cambria" w:hAnsi="Cambria" w:cs="Calibri"/>
                <w:lang w:val="it-IT"/>
              </w:rPr>
              <w:t>nastavni</w:t>
            </w:r>
            <w:proofErr w:type="spellEnd"/>
            <w:r w:rsidRPr="00DF4CE5">
              <w:rPr>
                <w:rFonts w:ascii="Cambria" w:hAnsi="Cambria" w:cs="Calibri"/>
                <w:lang w:val="it-IT"/>
              </w:rPr>
              <w:t xml:space="preserve"> model </w:t>
            </w:r>
            <w:proofErr w:type="spellStart"/>
            <w:r w:rsidRPr="00DF4CE5">
              <w:rPr>
                <w:rFonts w:ascii="Cambria" w:hAnsi="Cambria" w:cs="Calibri"/>
                <w:lang w:val="it-IT"/>
              </w:rPr>
              <w:t>po</w:t>
            </w:r>
            <w:proofErr w:type="spellEnd"/>
            <w:r w:rsidRPr="00DF4CE5">
              <w:rPr>
                <w:rFonts w:ascii="Cambria" w:hAnsi="Cambria" w:cs="Calibri"/>
                <w:lang w:val="it-IT"/>
              </w:rPr>
              <w:t xml:space="preserve"> </w:t>
            </w:r>
            <w:proofErr w:type="spellStart"/>
            <w:r w:rsidRPr="00DF4CE5">
              <w:rPr>
                <w:rFonts w:ascii="Cambria" w:hAnsi="Cambria" w:cs="Calibri"/>
                <w:lang w:val="it-IT"/>
              </w:rPr>
              <w:t>mjeri</w:t>
            </w:r>
            <w:proofErr w:type="spellEnd"/>
            <w:r w:rsidRPr="00DF4CE5">
              <w:rPr>
                <w:rFonts w:ascii="Cambria" w:hAnsi="Cambria" w:cs="Calibri"/>
                <w:lang w:val="it-IT"/>
              </w:rPr>
              <w:t xml:space="preserve"> </w:t>
            </w:r>
            <w:proofErr w:type="spellStart"/>
            <w:r w:rsidRPr="00DF4CE5">
              <w:rPr>
                <w:rFonts w:ascii="Cambria" w:hAnsi="Cambria" w:cs="Calibri"/>
                <w:lang w:val="it-IT"/>
              </w:rPr>
              <w:t>djeteta</w:t>
            </w:r>
            <w:proofErr w:type="spellEnd"/>
            <w:r w:rsidRPr="00DF4CE5">
              <w:rPr>
                <w:rFonts w:ascii="Cambria" w:hAnsi="Cambria" w:cs="Calibri"/>
                <w:lang w:val="it-IT"/>
              </w:rPr>
              <w:t xml:space="preserve"> </w:t>
            </w:r>
            <w:proofErr w:type="gramStart"/>
            <w:r w:rsidRPr="00DF4CE5">
              <w:rPr>
                <w:rFonts w:ascii="Cambria" w:hAnsi="Cambria" w:cs="Calibri"/>
                <w:lang w:val="it-IT"/>
              </w:rPr>
              <w:t>i u</w:t>
            </w:r>
            <w:proofErr w:type="gramEnd"/>
            <w:r w:rsidRPr="00DF4CE5">
              <w:rPr>
                <w:rFonts w:ascii="Cambria" w:hAnsi="Cambria" w:cs="Calibri"/>
                <w:lang w:val="it-IT"/>
              </w:rPr>
              <w:t xml:space="preserve"> </w:t>
            </w:r>
            <w:proofErr w:type="spellStart"/>
            <w:r w:rsidRPr="00DF4CE5">
              <w:rPr>
                <w:rFonts w:ascii="Cambria" w:hAnsi="Cambria" w:cs="Calibri"/>
                <w:lang w:val="it-IT"/>
              </w:rPr>
              <w:t>okviru</w:t>
            </w:r>
            <w:proofErr w:type="spellEnd"/>
            <w:r w:rsidRPr="00DF4CE5">
              <w:rPr>
                <w:rFonts w:ascii="Cambria" w:hAnsi="Cambria" w:cs="Calibri"/>
                <w:lang w:val="it-IT"/>
              </w:rPr>
              <w:t xml:space="preserve"> </w:t>
            </w:r>
            <w:proofErr w:type="spellStart"/>
            <w:r w:rsidRPr="00DF4CE5">
              <w:rPr>
                <w:rFonts w:ascii="Cambria" w:hAnsi="Cambria" w:cs="Calibri"/>
                <w:lang w:val="it-IT"/>
              </w:rPr>
              <w:t>odgojno-obrazovnih</w:t>
            </w:r>
            <w:proofErr w:type="spellEnd"/>
            <w:r w:rsidRPr="00DF4CE5">
              <w:rPr>
                <w:rFonts w:ascii="Cambria" w:hAnsi="Cambria" w:cs="Calibri"/>
                <w:lang w:val="it-IT"/>
              </w:rPr>
              <w:t xml:space="preserve"> </w:t>
            </w:r>
            <w:proofErr w:type="spellStart"/>
            <w:r w:rsidRPr="00DF4CE5">
              <w:rPr>
                <w:rFonts w:ascii="Cambria" w:hAnsi="Cambria" w:cs="Calibri"/>
                <w:lang w:val="it-IT"/>
              </w:rPr>
              <w:t>zahtjeva</w:t>
            </w:r>
            <w:proofErr w:type="spellEnd"/>
          </w:p>
          <w:p w14:paraId="189C70F3" w14:textId="77777777" w:rsidR="00ED1945" w:rsidRPr="00DF4CE5" w:rsidRDefault="00ED1945" w:rsidP="00ED1945">
            <w:pPr>
              <w:spacing w:after="0" w:line="240" w:lineRule="auto"/>
              <w:rPr>
                <w:rFonts w:ascii="Cambria" w:hAnsi="Cambria" w:cs="Calibri"/>
                <w:lang w:val="it-IT"/>
              </w:rPr>
            </w:pPr>
            <w:r w:rsidRPr="00DF4CE5">
              <w:rPr>
                <w:rFonts w:ascii="Cambria" w:hAnsi="Cambria" w:cs="Calibri"/>
                <w:lang w:val="it-IT"/>
              </w:rPr>
              <w:t xml:space="preserve">4. </w:t>
            </w:r>
            <w:proofErr w:type="spellStart"/>
            <w:r w:rsidRPr="00DF4CE5">
              <w:rPr>
                <w:rFonts w:ascii="Cambria" w:hAnsi="Cambria" w:cs="Calibri"/>
                <w:lang w:val="it-IT"/>
              </w:rPr>
              <w:t>pokazati</w:t>
            </w:r>
            <w:proofErr w:type="spellEnd"/>
            <w:r w:rsidRPr="00DF4CE5">
              <w:rPr>
                <w:rFonts w:ascii="Cambria" w:hAnsi="Cambria" w:cs="Calibri"/>
                <w:lang w:val="it-IT"/>
              </w:rPr>
              <w:t xml:space="preserve"> </w:t>
            </w:r>
            <w:proofErr w:type="spellStart"/>
            <w:r w:rsidRPr="00DF4CE5">
              <w:rPr>
                <w:rFonts w:ascii="Cambria" w:hAnsi="Cambria" w:cs="Calibri"/>
                <w:lang w:val="it-IT"/>
              </w:rPr>
              <w:t>osobne</w:t>
            </w:r>
            <w:proofErr w:type="spellEnd"/>
            <w:r w:rsidRPr="00DF4CE5">
              <w:rPr>
                <w:rFonts w:ascii="Cambria" w:hAnsi="Cambria" w:cs="Calibri"/>
                <w:lang w:val="it-IT"/>
              </w:rPr>
              <w:t xml:space="preserve"> </w:t>
            </w:r>
            <w:proofErr w:type="spellStart"/>
            <w:r w:rsidRPr="00DF4CE5">
              <w:rPr>
                <w:rFonts w:ascii="Cambria" w:hAnsi="Cambria" w:cs="Calibri"/>
                <w:lang w:val="it-IT"/>
              </w:rPr>
              <w:t>kvalitete</w:t>
            </w:r>
            <w:proofErr w:type="spellEnd"/>
            <w:r w:rsidRPr="00DF4CE5">
              <w:rPr>
                <w:rFonts w:ascii="Cambria" w:hAnsi="Cambria" w:cs="Calibri"/>
                <w:lang w:val="it-IT"/>
              </w:rPr>
              <w:t xml:space="preserve"> </w:t>
            </w:r>
            <w:proofErr w:type="spellStart"/>
            <w:r w:rsidRPr="00DF4CE5">
              <w:rPr>
                <w:rFonts w:ascii="Cambria" w:hAnsi="Cambria" w:cs="Calibri"/>
                <w:lang w:val="it-IT"/>
              </w:rPr>
              <w:t>ličnosti</w:t>
            </w:r>
            <w:proofErr w:type="spellEnd"/>
            <w:r w:rsidRPr="00DF4CE5">
              <w:rPr>
                <w:rFonts w:ascii="Cambria" w:hAnsi="Cambria" w:cs="Calibri"/>
                <w:lang w:val="it-IT"/>
              </w:rPr>
              <w:t xml:space="preserve"> i </w:t>
            </w:r>
            <w:proofErr w:type="spellStart"/>
            <w:r w:rsidRPr="00DF4CE5">
              <w:rPr>
                <w:rFonts w:ascii="Cambria" w:hAnsi="Cambria" w:cs="Calibri"/>
                <w:lang w:val="it-IT"/>
              </w:rPr>
              <w:t>kreativnu</w:t>
            </w:r>
            <w:proofErr w:type="spellEnd"/>
            <w:r w:rsidRPr="00DF4CE5">
              <w:rPr>
                <w:rFonts w:ascii="Cambria" w:hAnsi="Cambria" w:cs="Calibri"/>
                <w:lang w:val="it-IT"/>
              </w:rPr>
              <w:t xml:space="preserve"> </w:t>
            </w:r>
            <w:proofErr w:type="spellStart"/>
            <w:r w:rsidRPr="00DF4CE5">
              <w:rPr>
                <w:rFonts w:ascii="Cambria" w:hAnsi="Cambria" w:cs="Calibri"/>
                <w:lang w:val="it-IT"/>
              </w:rPr>
              <w:t>dimenziju</w:t>
            </w:r>
            <w:proofErr w:type="spellEnd"/>
            <w:r w:rsidRPr="00DF4CE5">
              <w:rPr>
                <w:rFonts w:ascii="Cambria" w:hAnsi="Cambria" w:cs="Calibri"/>
                <w:lang w:val="it-IT"/>
              </w:rPr>
              <w:t xml:space="preserve"> </w:t>
            </w:r>
            <w:proofErr w:type="spellStart"/>
            <w:r w:rsidRPr="00DF4CE5">
              <w:rPr>
                <w:rFonts w:ascii="Cambria" w:hAnsi="Cambria" w:cs="Calibri"/>
                <w:lang w:val="it-IT"/>
              </w:rPr>
              <w:t>profesije</w:t>
            </w:r>
            <w:proofErr w:type="spellEnd"/>
          </w:p>
        </w:tc>
      </w:tr>
      <w:tr w:rsidR="00ED1945" w:rsidRPr="005C2363" w14:paraId="045F553F" w14:textId="77777777" w:rsidTr="00ED1945">
        <w:tc>
          <w:tcPr>
            <w:tcW w:w="2056"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283AB222" w14:textId="77777777" w:rsidR="00ED1945" w:rsidRPr="005C2363" w:rsidRDefault="00ED1945" w:rsidP="00ED1945">
            <w:pPr>
              <w:spacing w:after="0" w:line="240" w:lineRule="auto"/>
              <w:rPr>
                <w:rFonts w:ascii="Cambria" w:eastAsia="Times New Roman" w:hAnsi="Cambria" w:cs="Calibri"/>
                <w:lang w:val="hr-HR"/>
              </w:rPr>
            </w:pPr>
            <w:r w:rsidRPr="005C2363">
              <w:rPr>
                <w:rFonts w:ascii="Cambria" w:eastAsia="Times New Roman" w:hAnsi="Cambria" w:cs="Calibri"/>
                <w:lang w:val="hr-HR"/>
              </w:rPr>
              <w:t>Sadržaj kolegija</w:t>
            </w:r>
          </w:p>
        </w:tc>
        <w:tc>
          <w:tcPr>
            <w:tcW w:w="6996"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ED07A78" w14:textId="77777777" w:rsidR="00ED1945" w:rsidRPr="005C2363" w:rsidRDefault="00ED1945" w:rsidP="00ED1945">
            <w:pPr>
              <w:snapToGrid w:val="0"/>
              <w:spacing w:after="0" w:line="256" w:lineRule="auto"/>
              <w:rPr>
                <w:rFonts w:ascii="Cambria" w:hAnsi="Cambria" w:cs="Calibri"/>
                <w:lang w:val="hr-HR"/>
              </w:rPr>
            </w:pPr>
            <w:r w:rsidRPr="005C2363">
              <w:rPr>
                <w:rFonts w:ascii="Cambria" w:hAnsi="Cambria" w:cs="Calibri"/>
                <w:lang w:val="hr-HR"/>
              </w:rPr>
              <w:t>1. Dječja književnost: specifičnost, vrste, naziv, definicija</w:t>
            </w:r>
          </w:p>
          <w:p w14:paraId="4EF74FAB" w14:textId="77777777" w:rsidR="00ED1945" w:rsidRPr="005C2363" w:rsidRDefault="00ED1945" w:rsidP="00ED1945">
            <w:pPr>
              <w:spacing w:after="0" w:line="256" w:lineRule="auto"/>
              <w:rPr>
                <w:rFonts w:ascii="Cambria" w:hAnsi="Cambria" w:cs="Calibri"/>
                <w:lang w:val="hr-HR"/>
              </w:rPr>
            </w:pPr>
            <w:r w:rsidRPr="005C2363">
              <w:rPr>
                <w:rFonts w:ascii="Cambria" w:hAnsi="Cambria" w:cs="Calibri"/>
                <w:lang w:val="hr-HR"/>
              </w:rPr>
              <w:t>2. Slikovnica</w:t>
            </w:r>
          </w:p>
          <w:p w14:paraId="00B8398D" w14:textId="77777777" w:rsidR="00ED1945" w:rsidRPr="005C2363" w:rsidRDefault="00ED1945" w:rsidP="00ED1945">
            <w:pPr>
              <w:spacing w:after="0" w:line="256" w:lineRule="auto"/>
              <w:rPr>
                <w:rFonts w:ascii="Cambria" w:hAnsi="Cambria" w:cs="Calibri"/>
                <w:lang w:val="hr-HR"/>
              </w:rPr>
            </w:pPr>
            <w:r w:rsidRPr="005C2363">
              <w:rPr>
                <w:rFonts w:ascii="Cambria" w:hAnsi="Cambria" w:cs="Calibri"/>
                <w:lang w:val="hr-HR"/>
              </w:rPr>
              <w:t xml:space="preserve">3. Priča: vrste i najznačajniji primjeri </w:t>
            </w:r>
          </w:p>
          <w:p w14:paraId="36849550" w14:textId="77777777" w:rsidR="00ED1945" w:rsidRPr="005C2363" w:rsidRDefault="00ED1945" w:rsidP="00ED1945">
            <w:pPr>
              <w:spacing w:after="0" w:line="256" w:lineRule="auto"/>
              <w:rPr>
                <w:rFonts w:ascii="Cambria" w:hAnsi="Cambria" w:cs="Calibri"/>
                <w:lang w:val="hr-HR"/>
              </w:rPr>
            </w:pPr>
            <w:r w:rsidRPr="005C2363">
              <w:rPr>
                <w:rFonts w:ascii="Cambria" w:hAnsi="Cambria" w:cs="Calibri"/>
                <w:lang w:val="hr-HR"/>
              </w:rPr>
              <w:t>4. Dječji roman (pojam i karakteristike)</w:t>
            </w:r>
          </w:p>
          <w:p w14:paraId="1760F5A8" w14:textId="77777777" w:rsidR="00ED1945" w:rsidRPr="00DF4CE5" w:rsidRDefault="00ED1945" w:rsidP="00ED1945">
            <w:pPr>
              <w:spacing w:after="0" w:line="256" w:lineRule="auto"/>
              <w:rPr>
                <w:rFonts w:ascii="Cambria" w:hAnsi="Cambria" w:cs="Calibri"/>
              </w:rPr>
            </w:pPr>
            <w:r w:rsidRPr="00DF4CE5">
              <w:rPr>
                <w:rFonts w:ascii="Cambria" w:hAnsi="Cambria" w:cs="Calibri"/>
              </w:rPr>
              <w:t xml:space="preserve">5. </w:t>
            </w:r>
            <w:proofErr w:type="spellStart"/>
            <w:r w:rsidRPr="00DF4CE5">
              <w:rPr>
                <w:rFonts w:ascii="Cambria" w:hAnsi="Cambria" w:cs="Calibri"/>
              </w:rPr>
              <w:t>Basna</w:t>
            </w:r>
            <w:proofErr w:type="spellEnd"/>
          </w:p>
          <w:p w14:paraId="7DBCF9EE" w14:textId="77777777" w:rsidR="00ED1945" w:rsidRPr="00DF4CE5" w:rsidRDefault="00ED1945" w:rsidP="00ED1945">
            <w:pPr>
              <w:spacing w:after="0" w:line="256" w:lineRule="auto"/>
              <w:rPr>
                <w:rFonts w:ascii="Cambria" w:hAnsi="Cambria" w:cs="Calibri"/>
              </w:rPr>
            </w:pPr>
            <w:r w:rsidRPr="00DF4CE5">
              <w:rPr>
                <w:rFonts w:ascii="Cambria" w:hAnsi="Cambria" w:cs="Calibri"/>
              </w:rPr>
              <w:t xml:space="preserve">6. </w:t>
            </w:r>
            <w:proofErr w:type="spellStart"/>
            <w:r w:rsidRPr="00DF4CE5">
              <w:rPr>
                <w:rFonts w:ascii="Cambria" w:hAnsi="Cambria" w:cs="Calibri"/>
              </w:rPr>
              <w:t>Igrokaz</w:t>
            </w:r>
            <w:proofErr w:type="spellEnd"/>
            <w:r w:rsidRPr="00DF4CE5">
              <w:rPr>
                <w:rFonts w:ascii="Cambria" w:hAnsi="Cambria" w:cs="Calibri"/>
              </w:rPr>
              <w:t xml:space="preserve"> (</w:t>
            </w:r>
            <w:proofErr w:type="spellStart"/>
            <w:r w:rsidRPr="00DF4CE5">
              <w:rPr>
                <w:rFonts w:ascii="Cambria" w:hAnsi="Cambria" w:cs="Calibri"/>
              </w:rPr>
              <w:t>pojam</w:t>
            </w:r>
            <w:proofErr w:type="spellEnd"/>
            <w:r w:rsidRPr="00DF4CE5">
              <w:rPr>
                <w:rFonts w:ascii="Cambria" w:hAnsi="Cambria" w:cs="Calibri"/>
              </w:rPr>
              <w:t xml:space="preserve">, </w:t>
            </w:r>
            <w:proofErr w:type="spellStart"/>
            <w:r w:rsidRPr="00DF4CE5">
              <w:rPr>
                <w:rFonts w:ascii="Cambria" w:hAnsi="Cambria" w:cs="Calibri"/>
              </w:rPr>
              <w:t>odlike</w:t>
            </w:r>
            <w:proofErr w:type="spellEnd"/>
            <w:r w:rsidRPr="00DF4CE5">
              <w:rPr>
                <w:rFonts w:ascii="Cambria" w:hAnsi="Cambria" w:cs="Calibri"/>
              </w:rPr>
              <w:t xml:space="preserve"> </w:t>
            </w:r>
            <w:proofErr w:type="spellStart"/>
            <w:r w:rsidRPr="00DF4CE5">
              <w:rPr>
                <w:rFonts w:ascii="Cambria" w:hAnsi="Cambria" w:cs="Calibri"/>
              </w:rPr>
              <w:t>i</w:t>
            </w:r>
            <w:proofErr w:type="spellEnd"/>
            <w:r w:rsidRPr="00DF4CE5">
              <w:rPr>
                <w:rFonts w:ascii="Cambria" w:hAnsi="Cambria" w:cs="Calibri"/>
              </w:rPr>
              <w:t xml:space="preserve"> </w:t>
            </w:r>
            <w:proofErr w:type="spellStart"/>
            <w:r w:rsidRPr="00DF4CE5">
              <w:rPr>
                <w:rFonts w:ascii="Cambria" w:hAnsi="Cambria" w:cs="Calibri"/>
              </w:rPr>
              <w:t>primjeri</w:t>
            </w:r>
            <w:proofErr w:type="spellEnd"/>
            <w:r w:rsidRPr="00DF4CE5">
              <w:rPr>
                <w:rFonts w:ascii="Cambria" w:hAnsi="Cambria" w:cs="Calibri"/>
              </w:rPr>
              <w:t>)</w:t>
            </w:r>
          </w:p>
          <w:p w14:paraId="55CD1FBD" w14:textId="77777777" w:rsidR="00ED1945" w:rsidRPr="00DF4CE5" w:rsidRDefault="00ED1945" w:rsidP="00ED1945">
            <w:pPr>
              <w:spacing w:after="0" w:line="256" w:lineRule="auto"/>
              <w:rPr>
                <w:rFonts w:ascii="Cambria" w:hAnsi="Cambria" w:cs="Calibri"/>
                <w:lang w:val="it-IT"/>
              </w:rPr>
            </w:pPr>
            <w:r w:rsidRPr="00DF4CE5">
              <w:rPr>
                <w:rFonts w:ascii="Cambria" w:hAnsi="Cambria" w:cs="Calibri"/>
                <w:lang w:val="it-IT"/>
              </w:rPr>
              <w:t xml:space="preserve">7. </w:t>
            </w:r>
            <w:proofErr w:type="spellStart"/>
            <w:r w:rsidRPr="00DF4CE5">
              <w:rPr>
                <w:rFonts w:ascii="Cambria" w:hAnsi="Cambria" w:cs="Calibri"/>
                <w:lang w:val="it-IT"/>
              </w:rPr>
              <w:t>Poezija</w:t>
            </w:r>
            <w:proofErr w:type="spellEnd"/>
            <w:r w:rsidRPr="00DF4CE5">
              <w:rPr>
                <w:rFonts w:ascii="Cambria" w:hAnsi="Cambria" w:cs="Calibri"/>
                <w:lang w:val="it-IT"/>
              </w:rPr>
              <w:t xml:space="preserve"> (</w:t>
            </w:r>
            <w:proofErr w:type="spellStart"/>
            <w:r w:rsidRPr="00DF4CE5">
              <w:rPr>
                <w:rFonts w:ascii="Cambria" w:hAnsi="Cambria" w:cs="Calibri"/>
                <w:lang w:val="it-IT"/>
              </w:rPr>
              <w:t>specifičnosti</w:t>
            </w:r>
            <w:proofErr w:type="spellEnd"/>
            <w:r w:rsidRPr="00DF4CE5">
              <w:rPr>
                <w:rFonts w:ascii="Cambria" w:hAnsi="Cambria" w:cs="Calibri"/>
                <w:lang w:val="it-IT"/>
              </w:rPr>
              <w:t xml:space="preserve"> i </w:t>
            </w:r>
            <w:proofErr w:type="spellStart"/>
            <w:r w:rsidRPr="00DF4CE5">
              <w:rPr>
                <w:rFonts w:ascii="Cambria" w:hAnsi="Cambria" w:cs="Calibri"/>
                <w:lang w:val="it-IT"/>
              </w:rPr>
              <w:t>najznačajniji</w:t>
            </w:r>
            <w:proofErr w:type="spellEnd"/>
            <w:r w:rsidRPr="00DF4CE5">
              <w:rPr>
                <w:rFonts w:ascii="Cambria" w:hAnsi="Cambria" w:cs="Calibri"/>
                <w:lang w:val="it-IT"/>
              </w:rPr>
              <w:t xml:space="preserve"> </w:t>
            </w:r>
            <w:proofErr w:type="spellStart"/>
            <w:r w:rsidRPr="00DF4CE5">
              <w:rPr>
                <w:rFonts w:ascii="Cambria" w:hAnsi="Cambria" w:cs="Calibri"/>
                <w:lang w:val="it-IT"/>
              </w:rPr>
              <w:t>primjeri</w:t>
            </w:r>
            <w:proofErr w:type="spellEnd"/>
            <w:r w:rsidRPr="00DF4CE5">
              <w:rPr>
                <w:rFonts w:ascii="Cambria" w:hAnsi="Cambria" w:cs="Calibri"/>
                <w:lang w:val="it-IT"/>
              </w:rPr>
              <w:t>)</w:t>
            </w:r>
          </w:p>
          <w:p w14:paraId="39476E4D" w14:textId="77777777" w:rsidR="00ED1945" w:rsidRPr="00DF4CE5" w:rsidRDefault="00ED1945" w:rsidP="00ED1945">
            <w:pPr>
              <w:spacing w:after="0" w:line="256" w:lineRule="auto"/>
              <w:rPr>
                <w:rFonts w:ascii="Cambria" w:hAnsi="Cambria" w:cs="Calibri"/>
              </w:rPr>
            </w:pPr>
            <w:r w:rsidRPr="00DF4CE5">
              <w:rPr>
                <w:rFonts w:ascii="Cambria" w:hAnsi="Cambria" w:cs="Calibri"/>
              </w:rPr>
              <w:t>8. Strip (</w:t>
            </w:r>
            <w:proofErr w:type="spellStart"/>
            <w:r w:rsidRPr="00DF4CE5">
              <w:rPr>
                <w:rFonts w:ascii="Cambria" w:hAnsi="Cambria" w:cs="Calibri"/>
              </w:rPr>
              <w:t>pojam</w:t>
            </w:r>
            <w:proofErr w:type="spellEnd"/>
            <w:r w:rsidRPr="00DF4CE5">
              <w:rPr>
                <w:rFonts w:ascii="Cambria" w:hAnsi="Cambria" w:cs="Calibri"/>
              </w:rPr>
              <w:t xml:space="preserve">, </w:t>
            </w:r>
            <w:proofErr w:type="spellStart"/>
            <w:r w:rsidRPr="00DF4CE5">
              <w:rPr>
                <w:rFonts w:ascii="Cambria" w:hAnsi="Cambria" w:cs="Calibri"/>
              </w:rPr>
              <w:t>izraz</w:t>
            </w:r>
            <w:proofErr w:type="spellEnd"/>
            <w:r w:rsidRPr="00DF4CE5">
              <w:rPr>
                <w:rFonts w:ascii="Cambria" w:hAnsi="Cambria" w:cs="Calibri"/>
              </w:rPr>
              <w:t xml:space="preserve">, </w:t>
            </w:r>
            <w:proofErr w:type="spellStart"/>
            <w:r w:rsidRPr="00DF4CE5">
              <w:rPr>
                <w:rFonts w:ascii="Cambria" w:hAnsi="Cambria" w:cs="Calibri"/>
              </w:rPr>
              <w:t>tema</w:t>
            </w:r>
            <w:proofErr w:type="spellEnd"/>
            <w:r w:rsidRPr="00DF4CE5">
              <w:rPr>
                <w:rFonts w:ascii="Cambria" w:hAnsi="Cambria" w:cs="Calibri"/>
              </w:rPr>
              <w:t>)</w:t>
            </w:r>
          </w:p>
        </w:tc>
      </w:tr>
      <w:tr w:rsidR="00ED1945" w:rsidRPr="005C2363" w14:paraId="2A7AB4E0" w14:textId="77777777" w:rsidTr="00ED1945">
        <w:tc>
          <w:tcPr>
            <w:tcW w:w="2056"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5855FA1F" w14:textId="77777777" w:rsidR="00ED1945" w:rsidRPr="005C2363" w:rsidRDefault="00ED1945" w:rsidP="00ED1945">
            <w:pPr>
              <w:spacing w:after="0" w:line="240" w:lineRule="auto"/>
              <w:rPr>
                <w:rFonts w:ascii="Cambria" w:eastAsia="Times New Roman" w:hAnsi="Cambria" w:cs="Calibri"/>
                <w:lang w:val="hr-HR"/>
              </w:rPr>
            </w:pPr>
            <w:r w:rsidRPr="005C2363">
              <w:rPr>
                <w:rFonts w:ascii="Cambria" w:eastAsia="Times New Roman" w:hAnsi="Cambria" w:cs="Calibri"/>
                <w:lang w:val="hr-HR"/>
              </w:rPr>
              <w:t>Planirane aktivnosti,</w:t>
            </w:r>
          </w:p>
          <w:p w14:paraId="756965DA" w14:textId="77777777" w:rsidR="00ED1945" w:rsidRPr="005C2363" w:rsidRDefault="00ED1945" w:rsidP="00ED1945">
            <w:pPr>
              <w:spacing w:after="0" w:line="240" w:lineRule="auto"/>
              <w:rPr>
                <w:rFonts w:ascii="Cambria" w:eastAsia="Times New Roman" w:hAnsi="Cambria" w:cs="Calibri"/>
                <w:lang w:val="hr-HR"/>
              </w:rPr>
            </w:pPr>
            <w:r w:rsidRPr="005C2363">
              <w:rPr>
                <w:rFonts w:ascii="Cambria" w:eastAsia="Times New Roman" w:hAnsi="Cambria" w:cs="Calibri"/>
                <w:lang w:val="hr-HR"/>
              </w:rPr>
              <w:t>metode učenja i poučavanja i načini vrednovanja</w:t>
            </w:r>
          </w:p>
          <w:p w14:paraId="6775604B" w14:textId="77777777" w:rsidR="00ED1945" w:rsidRPr="005C2363" w:rsidRDefault="00ED1945" w:rsidP="00ED1945">
            <w:pPr>
              <w:spacing w:after="0" w:line="240" w:lineRule="auto"/>
              <w:rPr>
                <w:rFonts w:ascii="Cambria" w:eastAsia="Times New Roman" w:hAnsi="Cambria" w:cs="Calibri"/>
                <w:lang w:val="hr-HR"/>
              </w:rPr>
            </w:pPr>
          </w:p>
        </w:tc>
        <w:tc>
          <w:tcPr>
            <w:tcW w:w="298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CFC0014" w14:textId="77777777" w:rsidR="00ED1945" w:rsidRPr="005C2363" w:rsidRDefault="00ED1945" w:rsidP="00ED1945">
            <w:pPr>
              <w:spacing w:after="0" w:line="240" w:lineRule="auto"/>
              <w:jc w:val="center"/>
              <w:rPr>
                <w:rFonts w:ascii="Cambria" w:eastAsia="Times New Roman" w:hAnsi="Cambria" w:cs="Calibri"/>
                <w:lang w:val="hr-HR"/>
              </w:rPr>
            </w:pPr>
            <w:r w:rsidRPr="005C2363">
              <w:rPr>
                <w:rFonts w:ascii="Cambria" w:eastAsia="Times New Roman" w:hAnsi="Cambria" w:cs="Calibri"/>
                <w:bCs/>
                <w:lang w:val="hr-HR"/>
              </w:rPr>
              <w:t>Obveze</w:t>
            </w:r>
          </w:p>
        </w:tc>
        <w:tc>
          <w:tcPr>
            <w:tcW w:w="1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A9BC926" w14:textId="77777777" w:rsidR="00ED1945" w:rsidRPr="005C2363" w:rsidRDefault="00ED1945" w:rsidP="00ED1945">
            <w:pPr>
              <w:spacing w:after="0" w:line="240" w:lineRule="auto"/>
              <w:jc w:val="center"/>
              <w:rPr>
                <w:rFonts w:ascii="Cambria" w:eastAsia="Times New Roman" w:hAnsi="Cambria" w:cs="Calibri"/>
                <w:bCs/>
                <w:lang w:val="hr-HR"/>
              </w:rPr>
            </w:pPr>
          </w:p>
          <w:p w14:paraId="15806E08" w14:textId="77777777" w:rsidR="00ED1945" w:rsidRPr="005C2363" w:rsidRDefault="00ED1945" w:rsidP="00ED1945">
            <w:pPr>
              <w:spacing w:after="0" w:line="240" w:lineRule="auto"/>
              <w:jc w:val="center"/>
              <w:rPr>
                <w:rFonts w:ascii="Cambria" w:eastAsia="Times New Roman" w:hAnsi="Cambria" w:cs="Calibri"/>
                <w:lang w:val="hr-HR"/>
              </w:rPr>
            </w:pPr>
            <w:r w:rsidRPr="005C2363">
              <w:rPr>
                <w:rFonts w:ascii="Cambria" w:eastAsia="Times New Roman" w:hAnsi="Cambria" w:cs="Calibri"/>
                <w:bCs/>
                <w:lang w:val="hr-HR"/>
              </w:rPr>
              <w:t>Ishodi</w:t>
            </w:r>
          </w:p>
          <w:p w14:paraId="7B09D75C" w14:textId="77777777" w:rsidR="00ED1945" w:rsidRPr="005C2363" w:rsidRDefault="00ED1945" w:rsidP="00ED1945">
            <w:pPr>
              <w:spacing w:after="0" w:line="240" w:lineRule="auto"/>
              <w:jc w:val="center"/>
              <w:rPr>
                <w:rFonts w:ascii="Cambria" w:eastAsia="Times New Roman" w:hAnsi="Cambria" w:cs="Calibri"/>
                <w:lang w:val="hr-HR"/>
              </w:rPr>
            </w:pPr>
          </w:p>
        </w:tc>
        <w:tc>
          <w:tcPr>
            <w:tcW w:w="69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397D5F0" w14:textId="77777777" w:rsidR="00ED1945" w:rsidRPr="005C2363" w:rsidRDefault="00ED1945" w:rsidP="00ED1945">
            <w:pPr>
              <w:spacing w:after="0" w:line="240" w:lineRule="auto"/>
              <w:jc w:val="center"/>
              <w:rPr>
                <w:rFonts w:ascii="Cambria" w:eastAsia="Times New Roman" w:hAnsi="Cambria" w:cs="Calibri"/>
                <w:vertAlign w:val="superscript"/>
                <w:lang w:val="hr-HR"/>
              </w:rPr>
            </w:pPr>
            <w:r w:rsidRPr="005C2363">
              <w:rPr>
                <w:rFonts w:ascii="Cambria" w:eastAsia="Times New Roman" w:hAnsi="Cambria" w:cs="Calibri"/>
                <w:bCs/>
                <w:lang w:val="hr-HR"/>
              </w:rPr>
              <w:t>Sati</w:t>
            </w:r>
          </w:p>
        </w:tc>
        <w:tc>
          <w:tcPr>
            <w:tcW w:w="9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2F73939" w14:textId="77777777" w:rsidR="00ED1945" w:rsidRPr="005C2363" w:rsidRDefault="00ED1945" w:rsidP="00ED1945">
            <w:pPr>
              <w:spacing w:after="0" w:line="240" w:lineRule="auto"/>
              <w:jc w:val="center"/>
              <w:rPr>
                <w:rFonts w:ascii="Cambria" w:eastAsia="Times New Roman" w:hAnsi="Cambria" w:cs="Calibri"/>
                <w:lang w:val="hr-HR"/>
              </w:rPr>
            </w:pPr>
            <w:r w:rsidRPr="005C2363">
              <w:rPr>
                <w:rFonts w:ascii="Cambria" w:eastAsia="Times New Roman" w:hAnsi="Cambria" w:cs="Calibri"/>
                <w:bCs/>
                <w:lang w:val="hr-HR"/>
              </w:rPr>
              <w:t>ECTS</w:t>
            </w:r>
          </w:p>
        </w:tc>
        <w:tc>
          <w:tcPr>
            <w:tcW w:w="127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15AFBCC" w14:textId="77777777" w:rsidR="00ED1945" w:rsidRPr="005C2363" w:rsidRDefault="00ED1945" w:rsidP="00ED1945">
            <w:pPr>
              <w:spacing w:after="0" w:line="240" w:lineRule="auto"/>
              <w:jc w:val="center"/>
              <w:rPr>
                <w:rFonts w:ascii="Cambria" w:eastAsia="Times New Roman" w:hAnsi="Cambria" w:cs="Calibri"/>
                <w:lang w:val="hr-HR"/>
              </w:rPr>
            </w:pPr>
            <w:r w:rsidRPr="005C2363">
              <w:rPr>
                <w:rFonts w:ascii="Cambria" w:eastAsia="Times New Roman" w:hAnsi="Cambria" w:cs="Calibri"/>
                <w:bCs/>
                <w:lang w:val="hr-HR"/>
              </w:rPr>
              <w:t>Maksimalni udio u ocjeni (%)</w:t>
            </w:r>
          </w:p>
        </w:tc>
      </w:tr>
      <w:tr w:rsidR="00ED1945" w:rsidRPr="005C2363" w14:paraId="06F21009" w14:textId="77777777" w:rsidTr="00ED1945">
        <w:tc>
          <w:tcPr>
            <w:tcW w:w="2056" w:type="dxa"/>
            <w:vMerge/>
            <w:tcBorders>
              <w:left w:val="single" w:sz="8" w:space="0" w:color="000000"/>
              <w:right w:val="single" w:sz="8" w:space="0" w:color="000000"/>
            </w:tcBorders>
            <w:vAlign w:val="center"/>
          </w:tcPr>
          <w:p w14:paraId="4079C134" w14:textId="77777777" w:rsidR="00ED1945" w:rsidRPr="005C2363" w:rsidRDefault="00ED1945" w:rsidP="00ED1945">
            <w:pPr>
              <w:spacing w:after="0" w:line="240" w:lineRule="auto"/>
              <w:rPr>
                <w:rFonts w:ascii="Cambria" w:eastAsia="Times New Roman" w:hAnsi="Cambria" w:cs="Calibri"/>
                <w:lang w:val="hr-HR"/>
              </w:rPr>
            </w:pPr>
          </w:p>
        </w:tc>
        <w:tc>
          <w:tcPr>
            <w:tcW w:w="298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9F5BAD7" w14:textId="77777777" w:rsidR="00ED1945" w:rsidRPr="005C2363" w:rsidRDefault="00ED1945" w:rsidP="00ED1945">
            <w:pPr>
              <w:spacing w:after="0" w:line="240" w:lineRule="auto"/>
              <w:rPr>
                <w:rFonts w:ascii="Cambria" w:eastAsia="Times New Roman" w:hAnsi="Cambria" w:cs="Calibri"/>
                <w:lang w:val="hr-HR"/>
              </w:rPr>
            </w:pPr>
            <w:r w:rsidRPr="005C2363">
              <w:rPr>
                <w:rFonts w:ascii="Cambria" w:eastAsia="Times New Roman" w:hAnsi="Cambria" w:cs="Calibri"/>
                <w:lang w:val="hr-HR"/>
              </w:rPr>
              <w:t>aktivnosti na nastavi</w:t>
            </w:r>
            <w:r>
              <w:rPr>
                <w:rFonts w:ascii="Cambria" w:eastAsia="Times New Roman" w:hAnsi="Cambria" w:cs="Calibri"/>
                <w:lang w:val="hr-HR"/>
              </w:rPr>
              <w:t xml:space="preserve"> (P, S)</w:t>
            </w:r>
          </w:p>
        </w:tc>
        <w:tc>
          <w:tcPr>
            <w:tcW w:w="1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30D8082" w14:textId="77777777" w:rsidR="00ED1945" w:rsidRPr="005C2363" w:rsidRDefault="00ED1945" w:rsidP="00ED1945">
            <w:pPr>
              <w:spacing w:after="0" w:line="240" w:lineRule="auto"/>
              <w:jc w:val="center"/>
              <w:rPr>
                <w:rFonts w:ascii="Cambria" w:eastAsia="Times New Roman" w:hAnsi="Cambria" w:cs="Calibri"/>
                <w:lang w:val="hr-HR"/>
              </w:rPr>
            </w:pPr>
            <w:r w:rsidRPr="005C2363">
              <w:rPr>
                <w:rFonts w:ascii="Cambria" w:eastAsia="Times New Roman" w:hAnsi="Cambria" w:cs="Calibri"/>
                <w:lang w:val="hr-HR"/>
              </w:rPr>
              <w:t xml:space="preserve">1. - </w:t>
            </w:r>
            <w:r>
              <w:rPr>
                <w:rFonts w:ascii="Cambria" w:eastAsia="Times New Roman" w:hAnsi="Cambria" w:cs="Calibri"/>
                <w:lang w:val="hr-HR"/>
              </w:rPr>
              <w:t>4</w:t>
            </w:r>
            <w:r w:rsidRPr="005C2363">
              <w:rPr>
                <w:rFonts w:ascii="Cambria" w:eastAsia="Times New Roman" w:hAnsi="Cambria" w:cs="Calibri"/>
                <w:lang w:val="hr-HR"/>
              </w:rPr>
              <w:t>.</w:t>
            </w:r>
          </w:p>
        </w:tc>
        <w:tc>
          <w:tcPr>
            <w:tcW w:w="697" w:type="dxa"/>
            <w:gridSpan w:val="2"/>
            <w:tcBorders>
              <w:top w:val="single" w:sz="8" w:space="0" w:color="000000"/>
              <w:left w:val="single" w:sz="8" w:space="0" w:color="000000"/>
              <w:bottom w:val="single" w:sz="8" w:space="0" w:color="000000"/>
              <w:right w:val="nil"/>
            </w:tcBorders>
            <w:tcMar>
              <w:top w:w="15" w:type="dxa"/>
              <w:left w:w="108" w:type="dxa"/>
              <w:bottom w:w="0" w:type="dxa"/>
              <w:right w:w="108" w:type="dxa"/>
            </w:tcMar>
            <w:vAlign w:val="center"/>
          </w:tcPr>
          <w:p w14:paraId="3807A9C2" w14:textId="77777777" w:rsidR="00ED1945" w:rsidRPr="00DF4CE5" w:rsidRDefault="00ED1945" w:rsidP="00ED1945">
            <w:pPr>
              <w:snapToGrid w:val="0"/>
              <w:spacing w:after="0" w:line="256" w:lineRule="auto"/>
              <w:jc w:val="center"/>
              <w:rPr>
                <w:rFonts w:ascii="Cambria" w:hAnsi="Cambria" w:cs="Calibri"/>
              </w:rPr>
            </w:pPr>
            <w:r w:rsidRPr="00DF4CE5">
              <w:rPr>
                <w:rFonts w:ascii="Cambria" w:hAnsi="Cambria" w:cs="Calibri"/>
              </w:rPr>
              <w:t>45</w:t>
            </w:r>
          </w:p>
        </w:tc>
        <w:tc>
          <w:tcPr>
            <w:tcW w:w="982" w:type="dxa"/>
            <w:tcBorders>
              <w:top w:val="single" w:sz="8" w:space="0" w:color="000000"/>
              <w:left w:val="single" w:sz="8" w:space="0" w:color="000000"/>
              <w:bottom w:val="single" w:sz="8" w:space="0" w:color="000000"/>
              <w:right w:val="nil"/>
            </w:tcBorders>
            <w:tcMar>
              <w:top w:w="15" w:type="dxa"/>
              <w:left w:w="108" w:type="dxa"/>
              <w:bottom w:w="0" w:type="dxa"/>
              <w:right w:w="108" w:type="dxa"/>
            </w:tcMar>
            <w:vAlign w:val="center"/>
          </w:tcPr>
          <w:p w14:paraId="1908499A" w14:textId="77777777" w:rsidR="00ED1945" w:rsidRPr="00DF4CE5" w:rsidRDefault="00ED1945" w:rsidP="00ED1945">
            <w:pPr>
              <w:snapToGrid w:val="0"/>
              <w:spacing w:after="0" w:line="256" w:lineRule="auto"/>
              <w:jc w:val="center"/>
              <w:rPr>
                <w:rFonts w:ascii="Cambria" w:hAnsi="Cambria" w:cs="Calibri"/>
              </w:rPr>
            </w:pPr>
            <w:r w:rsidRPr="00DF4CE5">
              <w:rPr>
                <w:rFonts w:ascii="Cambria" w:hAnsi="Cambria" w:cs="Calibri"/>
              </w:rPr>
              <w:t>1,5</w:t>
            </w:r>
          </w:p>
        </w:tc>
        <w:tc>
          <w:tcPr>
            <w:tcW w:w="127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DFC666B" w14:textId="77777777" w:rsidR="00ED1945" w:rsidRPr="00DF4CE5" w:rsidRDefault="00ED1945" w:rsidP="00ED1945">
            <w:pPr>
              <w:snapToGrid w:val="0"/>
              <w:spacing w:after="0" w:line="256" w:lineRule="auto"/>
              <w:jc w:val="center"/>
              <w:rPr>
                <w:rFonts w:ascii="Cambria" w:hAnsi="Cambria" w:cs="Calibri"/>
              </w:rPr>
            </w:pPr>
            <w:r w:rsidRPr="00DF4CE5">
              <w:rPr>
                <w:rFonts w:ascii="Cambria" w:hAnsi="Cambria" w:cs="Calibri"/>
              </w:rPr>
              <w:t>10 %</w:t>
            </w:r>
          </w:p>
        </w:tc>
      </w:tr>
      <w:tr w:rsidR="00ED1945" w:rsidRPr="005C2363" w14:paraId="20C11038" w14:textId="77777777" w:rsidTr="00ED1945">
        <w:tc>
          <w:tcPr>
            <w:tcW w:w="2056" w:type="dxa"/>
            <w:vMerge/>
            <w:tcBorders>
              <w:left w:val="single" w:sz="8" w:space="0" w:color="000000"/>
              <w:right w:val="single" w:sz="8" w:space="0" w:color="000000"/>
            </w:tcBorders>
            <w:vAlign w:val="center"/>
          </w:tcPr>
          <w:p w14:paraId="0F5DD1CF" w14:textId="77777777" w:rsidR="00ED1945" w:rsidRPr="005C2363" w:rsidRDefault="00ED1945" w:rsidP="00ED1945">
            <w:pPr>
              <w:spacing w:after="0" w:line="240" w:lineRule="auto"/>
              <w:rPr>
                <w:rFonts w:ascii="Cambria" w:eastAsia="Times New Roman" w:hAnsi="Cambria" w:cs="Calibri"/>
                <w:lang w:val="hr-HR"/>
              </w:rPr>
            </w:pPr>
          </w:p>
        </w:tc>
        <w:tc>
          <w:tcPr>
            <w:tcW w:w="298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D46AFF1" w14:textId="77777777" w:rsidR="00ED1945" w:rsidRPr="005C2363" w:rsidRDefault="00ED1945" w:rsidP="00ED1945">
            <w:pPr>
              <w:spacing w:after="0" w:line="240" w:lineRule="auto"/>
              <w:rPr>
                <w:rFonts w:ascii="Cambria" w:eastAsia="Times New Roman" w:hAnsi="Cambria" w:cs="Calibri"/>
                <w:lang w:val="hr-HR"/>
              </w:rPr>
            </w:pPr>
            <w:r w:rsidRPr="005C2363">
              <w:rPr>
                <w:rFonts w:ascii="Cambria" w:eastAsia="Times New Roman" w:hAnsi="Cambria" w:cs="Calibri"/>
                <w:lang w:val="hr-HR"/>
              </w:rPr>
              <w:t>terenska nastava</w:t>
            </w:r>
          </w:p>
        </w:tc>
        <w:tc>
          <w:tcPr>
            <w:tcW w:w="1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BD87DCD" w14:textId="77777777" w:rsidR="00ED1945" w:rsidRPr="005C2363" w:rsidRDefault="00ED1945" w:rsidP="00ED1945">
            <w:pPr>
              <w:spacing w:after="0" w:line="240" w:lineRule="auto"/>
              <w:jc w:val="center"/>
              <w:rPr>
                <w:rFonts w:ascii="Cambria" w:eastAsia="Times New Roman" w:hAnsi="Cambria" w:cs="Calibri"/>
                <w:lang w:val="hr-HR"/>
              </w:rPr>
            </w:pPr>
            <w:r>
              <w:rPr>
                <w:rFonts w:ascii="Cambria" w:eastAsia="Times New Roman" w:hAnsi="Cambria" w:cs="Calibri"/>
                <w:lang w:val="hr-HR"/>
              </w:rPr>
              <w:t>2.</w:t>
            </w:r>
          </w:p>
        </w:tc>
        <w:tc>
          <w:tcPr>
            <w:tcW w:w="697" w:type="dxa"/>
            <w:gridSpan w:val="2"/>
            <w:tcBorders>
              <w:top w:val="single" w:sz="8" w:space="0" w:color="000000"/>
              <w:left w:val="single" w:sz="8" w:space="0" w:color="000000"/>
              <w:bottom w:val="single" w:sz="8" w:space="0" w:color="000000"/>
              <w:right w:val="nil"/>
            </w:tcBorders>
            <w:tcMar>
              <w:top w:w="15" w:type="dxa"/>
              <w:left w:w="108" w:type="dxa"/>
              <w:bottom w:w="0" w:type="dxa"/>
              <w:right w:w="108" w:type="dxa"/>
            </w:tcMar>
            <w:vAlign w:val="center"/>
          </w:tcPr>
          <w:p w14:paraId="7B5F05B9" w14:textId="77777777" w:rsidR="00ED1945" w:rsidRPr="00DF4CE5" w:rsidRDefault="00ED1945" w:rsidP="00ED1945">
            <w:pPr>
              <w:snapToGrid w:val="0"/>
              <w:spacing w:after="0" w:line="256" w:lineRule="auto"/>
              <w:jc w:val="center"/>
              <w:rPr>
                <w:rFonts w:ascii="Cambria" w:hAnsi="Cambria" w:cs="Calibri"/>
              </w:rPr>
            </w:pPr>
            <w:r w:rsidRPr="00DF4CE5">
              <w:rPr>
                <w:rFonts w:ascii="Cambria" w:hAnsi="Cambria" w:cs="Calibri"/>
              </w:rPr>
              <w:t>5</w:t>
            </w:r>
          </w:p>
        </w:tc>
        <w:tc>
          <w:tcPr>
            <w:tcW w:w="982" w:type="dxa"/>
            <w:tcBorders>
              <w:top w:val="single" w:sz="8" w:space="0" w:color="000000"/>
              <w:left w:val="single" w:sz="8" w:space="0" w:color="000000"/>
              <w:bottom w:val="single" w:sz="8" w:space="0" w:color="000000"/>
              <w:right w:val="nil"/>
            </w:tcBorders>
            <w:tcMar>
              <w:top w:w="15" w:type="dxa"/>
              <w:left w:w="108" w:type="dxa"/>
              <w:bottom w:w="0" w:type="dxa"/>
              <w:right w:w="108" w:type="dxa"/>
            </w:tcMar>
            <w:vAlign w:val="center"/>
          </w:tcPr>
          <w:p w14:paraId="076B8BC3" w14:textId="77777777" w:rsidR="00ED1945" w:rsidRPr="00DF4CE5" w:rsidRDefault="00ED1945" w:rsidP="00ED1945">
            <w:pPr>
              <w:snapToGrid w:val="0"/>
              <w:spacing w:after="0" w:line="256" w:lineRule="auto"/>
              <w:jc w:val="center"/>
              <w:rPr>
                <w:rFonts w:ascii="Cambria" w:hAnsi="Cambria" w:cs="Calibri"/>
              </w:rPr>
            </w:pPr>
            <w:r w:rsidRPr="00DF4CE5">
              <w:rPr>
                <w:rFonts w:ascii="Cambria" w:hAnsi="Cambria" w:cs="Calibri"/>
              </w:rPr>
              <w:t>0,2</w:t>
            </w:r>
          </w:p>
        </w:tc>
        <w:tc>
          <w:tcPr>
            <w:tcW w:w="127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3DD6D90" w14:textId="77777777" w:rsidR="00ED1945" w:rsidRPr="00DF4CE5" w:rsidRDefault="00ED1945" w:rsidP="00ED1945">
            <w:pPr>
              <w:snapToGrid w:val="0"/>
              <w:spacing w:after="0" w:line="256" w:lineRule="auto"/>
              <w:jc w:val="center"/>
              <w:rPr>
                <w:rFonts w:ascii="Cambria" w:hAnsi="Cambria" w:cs="Calibri"/>
              </w:rPr>
            </w:pPr>
            <w:r w:rsidRPr="00DF4CE5">
              <w:rPr>
                <w:rFonts w:ascii="Cambria" w:hAnsi="Cambria" w:cs="Calibri"/>
              </w:rPr>
              <w:t>0 %</w:t>
            </w:r>
          </w:p>
        </w:tc>
      </w:tr>
      <w:tr w:rsidR="00ED1945" w:rsidRPr="005C2363" w14:paraId="67E38873" w14:textId="77777777" w:rsidTr="00ED1945">
        <w:tc>
          <w:tcPr>
            <w:tcW w:w="2056" w:type="dxa"/>
            <w:vMerge/>
            <w:tcBorders>
              <w:left w:val="single" w:sz="8" w:space="0" w:color="000000"/>
              <w:right w:val="single" w:sz="8" w:space="0" w:color="000000"/>
            </w:tcBorders>
            <w:vAlign w:val="center"/>
          </w:tcPr>
          <w:p w14:paraId="29980531" w14:textId="77777777" w:rsidR="00ED1945" w:rsidRPr="005C2363" w:rsidRDefault="00ED1945" w:rsidP="00ED1945">
            <w:pPr>
              <w:spacing w:after="0" w:line="240" w:lineRule="auto"/>
              <w:rPr>
                <w:rFonts w:ascii="Cambria" w:eastAsia="Times New Roman" w:hAnsi="Cambria" w:cs="Calibri"/>
                <w:lang w:val="hr-HR"/>
              </w:rPr>
            </w:pPr>
          </w:p>
        </w:tc>
        <w:tc>
          <w:tcPr>
            <w:tcW w:w="2981" w:type="dxa"/>
            <w:gridSpan w:val="2"/>
            <w:tcBorders>
              <w:top w:val="single" w:sz="8" w:space="0" w:color="000000"/>
              <w:left w:val="single" w:sz="8" w:space="0" w:color="000000"/>
              <w:bottom w:val="single" w:sz="8" w:space="0" w:color="000000"/>
            </w:tcBorders>
            <w:shd w:val="clear" w:color="auto" w:fill="FFFFFF"/>
            <w:tcMar>
              <w:top w:w="15" w:type="dxa"/>
              <w:left w:w="108" w:type="dxa"/>
              <w:bottom w:w="0" w:type="dxa"/>
              <w:right w:w="108" w:type="dxa"/>
            </w:tcMar>
          </w:tcPr>
          <w:p w14:paraId="480C0244" w14:textId="77777777" w:rsidR="00ED1945" w:rsidRPr="005C2363" w:rsidRDefault="00ED1945" w:rsidP="00ED1945">
            <w:pPr>
              <w:spacing w:after="0" w:line="100" w:lineRule="atLeast"/>
              <w:rPr>
                <w:rFonts w:ascii="Cambria" w:eastAsia="Times New Roman" w:hAnsi="Cambria" w:cs="Calibri"/>
                <w:lang w:val="hr-HR"/>
              </w:rPr>
            </w:pPr>
            <w:r>
              <w:rPr>
                <w:rFonts w:ascii="Cambria" w:eastAsia="Times New Roman" w:hAnsi="Cambria" w:cs="Calibri"/>
                <w:lang w:val="hr-HR"/>
              </w:rPr>
              <w:t>istraživanje</w:t>
            </w:r>
          </w:p>
        </w:tc>
        <w:tc>
          <w:tcPr>
            <w:tcW w:w="1058" w:type="dxa"/>
            <w:tcBorders>
              <w:top w:val="single" w:sz="8" w:space="0" w:color="000000"/>
              <w:left w:val="single" w:sz="8" w:space="0" w:color="000000"/>
              <w:bottom w:val="single" w:sz="8" w:space="0" w:color="000000"/>
            </w:tcBorders>
            <w:shd w:val="clear" w:color="auto" w:fill="FFFFFF"/>
            <w:tcMar>
              <w:top w:w="15" w:type="dxa"/>
              <w:left w:w="108" w:type="dxa"/>
              <w:bottom w:w="0" w:type="dxa"/>
              <w:right w:w="108" w:type="dxa"/>
            </w:tcMar>
            <w:vAlign w:val="center"/>
          </w:tcPr>
          <w:p w14:paraId="0FBFBFE6" w14:textId="77777777" w:rsidR="00ED1945" w:rsidRPr="005C2363" w:rsidRDefault="00ED1945" w:rsidP="00ED1945">
            <w:pPr>
              <w:spacing w:after="0" w:line="100" w:lineRule="atLeast"/>
              <w:jc w:val="center"/>
              <w:rPr>
                <w:rFonts w:ascii="Cambria" w:eastAsia="Times New Roman" w:hAnsi="Cambria" w:cs="Calibri"/>
                <w:lang w:val="hr-HR"/>
              </w:rPr>
            </w:pPr>
            <w:r>
              <w:rPr>
                <w:rFonts w:ascii="Cambria" w:eastAsia="Times New Roman" w:hAnsi="Cambria" w:cs="Calibri"/>
                <w:lang w:val="hr-HR"/>
              </w:rPr>
              <w:t>3.</w:t>
            </w:r>
          </w:p>
        </w:tc>
        <w:tc>
          <w:tcPr>
            <w:tcW w:w="697" w:type="dxa"/>
            <w:gridSpan w:val="2"/>
            <w:tcBorders>
              <w:top w:val="single" w:sz="8" w:space="0" w:color="000000"/>
              <w:left w:val="single" w:sz="8" w:space="0" w:color="000000"/>
              <w:bottom w:val="single" w:sz="8" w:space="0" w:color="000000"/>
              <w:right w:val="nil"/>
            </w:tcBorders>
            <w:tcMar>
              <w:top w:w="15" w:type="dxa"/>
              <w:left w:w="108" w:type="dxa"/>
              <w:bottom w:w="0" w:type="dxa"/>
              <w:right w:w="108" w:type="dxa"/>
            </w:tcMar>
            <w:vAlign w:val="center"/>
          </w:tcPr>
          <w:p w14:paraId="4A31A230" w14:textId="77777777" w:rsidR="00ED1945" w:rsidRPr="00DF4CE5" w:rsidRDefault="00ED1945" w:rsidP="00ED1945">
            <w:pPr>
              <w:snapToGrid w:val="0"/>
              <w:spacing w:after="0" w:line="256" w:lineRule="auto"/>
              <w:jc w:val="center"/>
              <w:rPr>
                <w:rFonts w:ascii="Cambria" w:hAnsi="Cambria" w:cs="Calibri"/>
              </w:rPr>
            </w:pPr>
            <w:r w:rsidRPr="00DF4CE5">
              <w:rPr>
                <w:rFonts w:ascii="Cambria" w:hAnsi="Cambria" w:cs="Calibri"/>
              </w:rPr>
              <w:t>45</w:t>
            </w:r>
          </w:p>
        </w:tc>
        <w:tc>
          <w:tcPr>
            <w:tcW w:w="982" w:type="dxa"/>
            <w:tcBorders>
              <w:top w:val="single" w:sz="8" w:space="0" w:color="000000"/>
              <w:left w:val="single" w:sz="8" w:space="0" w:color="000000"/>
              <w:bottom w:val="single" w:sz="8" w:space="0" w:color="000000"/>
              <w:right w:val="nil"/>
            </w:tcBorders>
            <w:tcMar>
              <w:top w:w="15" w:type="dxa"/>
              <w:left w:w="108" w:type="dxa"/>
              <w:bottom w:w="0" w:type="dxa"/>
              <w:right w:w="108" w:type="dxa"/>
            </w:tcMar>
            <w:vAlign w:val="center"/>
          </w:tcPr>
          <w:p w14:paraId="6D27D7C9" w14:textId="77777777" w:rsidR="00ED1945" w:rsidRPr="00DF4CE5" w:rsidRDefault="00ED1945" w:rsidP="00ED1945">
            <w:pPr>
              <w:snapToGrid w:val="0"/>
              <w:spacing w:after="0" w:line="256" w:lineRule="auto"/>
              <w:jc w:val="center"/>
              <w:rPr>
                <w:rFonts w:ascii="Cambria" w:hAnsi="Cambria" w:cs="Calibri"/>
              </w:rPr>
            </w:pPr>
            <w:r w:rsidRPr="00DF4CE5">
              <w:rPr>
                <w:rFonts w:ascii="Cambria" w:hAnsi="Cambria" w:cs="Calibri"/>
              </w:rPr>
              <w:t>1,5</w:t>
            </w:r>
          </w:p>
        </w:tc>
        <w:tc>
          <w:tcPr>
            <w:tcW w:w="127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C8E3DBF" w14:textId="77777777" w:rsidR="00ED1945" w:rsidRPr="00DF4CE5" w:rsidRDefault="00ED1945" w:rsidP="00ED1945">
            <w:pPr>
              <w:snapToGrid w:val="0"/>
              <w:spacing w:after="0" w:line="256" w:lineRule="auto"/>
              <w:jc w:val="center"/>
              <w:rPr>
                <w:rFonts w:ascii="Cambria" w:hAnsi="Cambria" w:cs="Calibri"/>
              </w:rPr>
            </w:pPr>
            <w:r w:rsidRPr="00DF4CE5">
              <w:rPr>
                <w:rFonts w:ascii="Cambria" w:hAnsi="Cambria" w:cs="Calibri"/>
              </w:rPr>
              <w:t>35 %</w:t>
            </w:r>
          </w:p>
        </w:tc>
      </w:tr>
      <w:tr w:rsidR="00ED1945" w:rsidRPr="005C2363" w14:paraId="28A1C45C" w14:textId="77777777" w:rsidTr="00ED1945">
        <w:tc>
          <w:tcPr>
            <w:tcW w:w="2056" w:type="dxa"/>
            <w:vMerge/>
            <w:tcBorders>
              <w:left w:val="single" w:sz="8" w:space="0" w:color="000000"/>
              <w:right w:val="single" w:sz="8" w:space="0" w:color="000000"/>
            </w:tcBorders>
            <w:vAlign w:val="center"/>
          </w:tcPr>
          <w:p w14:paraId="1EF6893C" w14:textId="77777777" w:rsidR="00ED1945" w:rsidRPr="005C2363" w:rsidRDefault="00ED1945" w:rsidP="00ED1945">
            <w:pPr>
              <w:spacing w:after="0" w:line="240" w:lineRule="auto"/>
              <w:rPr>
                <w:rFonts w:ascii="Cambria" w:eastAsia="Times New Roman" w:hAnsi="Cambria" w:cs="Calibri"/>
                <w:lang w:val="hr-HR"/>
              </w:rPr>
            </w:pPr>
          </w:p>
        </w:tc>
        <w:tc>
          <w:tcPr>
            <w:tcW w:w="2981" w:type="dxa"/>
            <w:gridSpan w:val="2"/>
            <w:tcBorders>
              <w:top w:val="single" w:sz="8" w:space="0" w:color="000000"/>
              <w:left w:val="single" w:sz="8" w:space="0" w:color="000000"/>
              <w:bottom w:val="single" w:sz="8" w:space="0" w:color="000000"/>
            </w:tcBorders>
            <w:shd w:val="clear" w:color="auto" w:fill="FFFFFF"/>
            <w:tcMar>
              <w:top w:w="15" w:type="dxa"/>
              <w:left w:w="108" w:type="dxa"/>
              <w:bottom w:w="0" w:type="dxa"/>
              <w:right w:w="108" w:type="dxa"/>
            </w:tcMar>
          </w:tcPr>
          <w:p w14:paraId="72FB7406" w14:textId="77777777" w:rsidR="00ED1945" w:rsidRDefault="00ED1945" w:rsidP="00ED1945">
            <w:pPr>
              <w:spacing w:after="0" w:line="100" w:lineRule="atLeast"/>
              <w:rPr>
                <w:rFonts w:ascii="Cambria" w:eastAsia="Times New Roman" w:hAnsi="Cambria" w:cs="Calibri"/>
                <w:lang w:val="hr-HR"/>
              </w:rPr>
            </w:pPr>
            <w:r>
              <w:rPr>
                <w:rFonts w:ascii="Cambria" w:eastAsia="Times New Roman" w:hAnsi="Cambria" w:cs="Calibri"/>
                <w:lang w:val="hr-HR"/>
              </w:rPr>
              <w:t>kolokvij (pismeni)</w:t>
            </w:r>
          </w:p>
        </w:tc>
        <w:tc>
          <w:tcPr>
            <w:tcW w:w="1058" w:type="dxa"/>
            <w:tcBorders>
              <w:top w:val="single" w:sz="8" w:space="0" w:color="000000"/>
              <w:left w:val="single" w:sz="8" w:space="0" w:color="000000"/>
              <w:bottom w:val="single" w:sz="8" w:space="0" w:color="000000"/>
            </w:tcBorders>
            <w:shd w:val="clear" w:color="auto" w:fill="FFFFFF"/>
            <w:tcMar>
              <w:top w:w="15" w:type="dxa"/>
              <w:left w:w="108" w:type="dxa"/>
              <w:bottom w:w="0" w:type="dxa"/>
              <w:right w:w="108" w:type="dxa"/>
            </w:tcMar>
            <w:vAlign w:val="center"/>
          </w:tcPr>
          <w:p w14:paraId="339EF0FB" w14:textId="77777777" w:rsidR="00ED1945" w:rsidRPr="005C2363" w:rsidRDefault="00ED1945" w:rsidP="00ED1945">
            <w:pPr>
              <w:spacing w:after="0" w:line="100" w:lineRule="atLeast"/>
              <w:jc w:val="center"/>
              <w:rPr>
                <w:rFonts w:ascii="Cambria" w:eastAsia="Times New Roman" w:hAnsi="Cambria" w:cs="Calibri"/>
                <w:lang w:val="hr-HR"/>
              </w:rPr>
            </w:pPr>
            <w:r>
              <w:rPr>
                <w:rFonts w:ascii="Cambria" w:eastAsia="Times New Roman" w:hAnsi="Cambria" w:cs="Calibri"/>
                <w:lang w:val="hr-HR"/>
              </w:rPr>
              <w:t xml:space="preserve">1. – 4. </w:t>
            </w:r>
          </w:p>
        </w:tc>
        <w:tc>
          <w:tcPr>
            <w:tcW w:w="697" w:type="dxa"/>
            <w:gridSpan w:val="2"/>
            <w:tcBorders>
              <w:top w:val="single" w:sz="8" w:space="0" w:color="000000"/>
              <w:left w:val="single" w:sz="8" w:space="0" w:color="000000"/>
              <w:bottom w:val="single" w:sz="8" w:space="0" w:color="000000"/>
              <w:right w:val="nil"/>
            </w:tcBorders>
            <w:tcMar>
              <w:top w:w="15" w:type="dxa"/>
              <w:left w:w="108" w:type="dxa"/>
              <w:bottom w:w="0" w:type="dxa"/>
              <w:right w:w="108" w:type="dxa"/>
            </w:tcMar>
            <w:vAlign w:val="center"/>
          </w:tcPr>
          <w:p w14:paraId="738FAF1D" w14:textId="77777777" w:rsidR="00ED1945" w:rsidRPr="00DF4CE5" w:rsidRDefault="00ED1945" w:rsidP="00ED1945">
            <w:pPr>
              <w:snapToGrid w:val="0"/>
              <w:spacing w:after="0" w:line="256" w:lineRule="auto"/>
              <w:jc w:val="center"/>
              <w:rPr>
                <w:rFonts w:ascii="Cambria" w:hAnsi="Cambria" w:cs="Calibri"/>
              </w:rPr>
            </w:pPr>
            <w:r w:rsidRPr="00DF4CE5">
              <w:rPr>
                <w:rFonts w:ascii="Cambria" w:hAnsi="Cambria" w:cs="Calibri"/>
              </w:rPr>
              <w:t>35</w:t>
            </w:r>
          </w:p>
        </w:tc>
        <w:tc>
          <w:tcPr>
            <w:tcW w:w="982" w:type="dxa"/>
            <w:tcBorders>
              <w:top w:val="single" w:sz="8" w:space="0" w:color="000000"/>
              <w:left w:val="single" w:sz="8" w:space="0" w:color="000000"/>
              <w:bottom w:val="single" w:sz="8" w:space="0" w:color="000000"/>
              <w:right w:val="nil"/>
            </w:tcBorders>
            <w:tcMar>
              <w:top w:w="15" w:type="dxa"/>
              <w:left w:w="108" w:type="dxa"/>
              <w:bottom w:w="0" w:type="dxa"/>
              <w:right w:w="108" w:type="dxa"/>
            </w:tcMar>
            <w:vAlign w:val="center"/>
          </w:tcPr>
          <w:p w14:paraId="6A3DD4E2" w14:textId="77777777" w:rsidR="00ED1945" w:rsidRPr="00DF4CE5" w:rsidRDefault="00ED1945" w:rsidP="00ED1945">
            <w:pPr>
              <w:snapToGrid w:val="0"/>
              <w:spacing w:after="0" w:line="256" w:lineRule="auto"/>
              <w:jc w:val="center"/>
              <w:rPr>
                <w:rFonts w:ascii="Cambria" w:hAnsi="Cambria" w:cs="Calibri"/>
              </w:rPr>
            </w:pPr>
            <w:r w:rsidRPr="00DF4CE5">
              <w:rPr>
                <w:rFonts w:ascii="Cambria" w:hAnsi="Cambria" w:cs="Calibri"/>
              </w:rPr>
              <w:t>1,1</w:t>
            </w:r>
          </w:p>
        </w:tc>
        <w:tc>
          <w:tcPr>
            <w:tcW w:w="127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11CCAED" w14:textId="77777777" w:rsidR="00ED1945" w:rsidRPr="00DF4CE5" w:rsidRDefault="00ED1945" w:rsidP="00ED1945">
            <w:pPr>
              <w:snapToGrid w:val="0"/>
              <w:spacing w:after="0" w:line="256" w:lineRule="auto"/>
              <w:jc w:val="center"/>
              <w:rPr>
                <w:rFonts w:ascii="Cambria" w:hAnsi="Cambria" w:cs="Calibri"/>
              </w:rPr>
            </w:pPr>
            <w:r w:rsidRPr="00DF4CE5">
              <w:rPr>
                <w:rFonts w:ascii="Cambria" w:hAnsi="Cambria" w:cs="Calibri"/>
              </w:rPr>
              <w:t>25 %</w:t>
            </w:r>
          </w:p>
        </w:tc>
      </w:tr>
      <w:tr w:rsidR="00ED1945" w:rsidRPr="005C2363" w14:paraId="515926C2" w14:textId="77777777" w:rsidTr="00ED1945">
        <w:tc>
          <w:tcPr>
            <w:tcW w:w="2056" w:type="dxa"/>
            <w:vMerge/>
            <w:tcBorders>
              <w:left w:val="single" w:sz="8" w:space="0" w:color="000000"/>
              <w:right w:val="single" w:sz="8" w:space="0" w:color="000000"/>
            </w:tcBorders>
            <w:vAlign w:val="center"/>
          </w:tcPr>
          <w:p w14:paraId="60F6C43A" w14:textId="77777777" w:rsidR="00ED1945" w:rsidRPr="005C2363" w:rsidRDefault="00ED1945" w:rsidP="00ED1945">
            <w:pPr>
              <w:spacing w:after="0" w:line="240" w:lineRule="auto"/>
              <w:rPr>
                <w:rFonts w:ascii="Cambria" w:eastAsia="Times New Roman" w:hAnsi="Cambria" w:cs="Calibri"/>
                <w:lang w:val="hr-HR"/>
              </w:rPr>
            </w:pPr>
          </w:p>
        </w:tc>
        <w:tc>
          <w:tcPr>
            <w:tcW w:w="2981" w:type="dxa"/>
            <w:gridSpan w:val="2"/>
            <w:tcBorders>
              <w:top w:val="single" w:sz="8" w:space="0" w:color="000000"/>
              <w:left w:val="single" w:sz="8" w:space="0" w:color="000000"/>
              <w:bottom w:val="single" w:sz="8" w:space="0" w:color="000000"/>
            </w:tcBorders>
            <w:shd w:val="clear" w:color="auto" w:fill="FFFFFF"/>
            <w:tcMar>
              <w:top w:w="15" w:type="dxa"/>
              <w:left w:w="108" w:type="dxa"/>
              <w:bottom w:w="0" w:type="dxa"/>
              <w:right w:w="108" w:type="dxa"/>
            </w:tcMar>
          </w:tcPr>
          <w:p w14:paraId="75D2D7DC" w14:textId="77777777" w:rsidR="00ED1945" w:rsidRPr="005C2363" w:rsidRDefault="00ED1945" w:rsidP="00ED1945">
            <w:pPr>
              <w:spacing w:after="0" w:line="100" w:lineRule="atLeast"/>
              <w:rPr>
                <w:rFonts w:ascii="Cambria" w:eastAsia="Times New Roman" w:hAnsi="Cambria" w:cs="Calibri"/>
                <w:lang w:val="hr-HR"/>
              </w:rPr>
            </w:pPr>
            <w:r>
              <w:rPr>
                <w:rFonts w:ascii="Cambria" w:eastAsia="Times New Roman" w:hAnsi="Cambria" w:cs="Calibri"/>
                <w:lang w:val="hr-HR"/>
              </w:rPr>
              <w:t>i</w:t>
            </w:r>
            <w:r w:rsidRPr="005C2363">
              <w:rPr>
                <w:rFonts w:ascii="Cambria" w:eastAsia="Times New Roman" w:hAnsi="Cambria" w:cs="Calibri"/>
                <w:lang w:val="hr-HR"/>
              </w:rPr>
              <w:t>spit</w:t>
            </w:r>
            <w:r>
              <w:rPr>
                <w:rFonts w:ascii="Cambria" w:eastAsia="Times New Roman" w:hAnsi="Cambria" w:cs="Calibri"/>
                <w:lang w:val="hr-HR"/>
              </w:rPr>
              <w:t xml:space="preserve"> (usmeni)</w:t>
            </w:r>
          </w:p>
        </w:tc>
        <w:tc>
          <w:tcPr>
            <w:tcW w:w="1058" w:type="dxa"/>
            <w:tcBorders>
              <w:top w:val="single" w:sz="8" w:space="0" w:color="000000"/>
              <w:left w:val="single" w:sz="8" w:space="0" w:color="000000"/>
              <w:bottom w:val="single" w:sz="8" w:space="0" w:color="000000"/>
            </w:tcBorders>
            <w:shd w:val="clear" w:color="auto" w:fill="FFFFFF"/>
            <w:tcMar>
              <w:top w:w="15" w:type="dxa"/>
              <w:left w:w="108" w:type="dxa"/>
              <w:bottom w:w="0" w:type="dxa"/>
              <w:right w:w="108" w:type="dxa"/>
            </w:tcMar>
            <w:vAlign w:val="center"/>
          </w:tcPr>
          <w:p w14:paraId="34AFF740" w14:textId="77777777" w:rsidR="00ED1945" w:rsidRPr="005C2363" w:rsidRDefault="00ED1945" w:rsidP="00ED1945">
            <w:pPr>
              <w:spacing w:after="0" w:line="100" w:lineRule="atLeast"/>
              <w:jc w:val="center"/>
              <w:rPr>
                <w:rFonts w:ascii="Cambria" w:eastAsia="Times New Roman" w:hAnsi="Cambria" w:cs="Calibri"/>
                <w:lang w:val="hr-HR"/>
              </w:rPr>
            </w:pPr>
            <w:r w:rsidRPr="005C2363">
              <w:rPr>
                <w:rFonts w:ascii="Cambria" w:eastAsia="Times New Roman" w:hAnsi="Cambria" w:cs="Calibri"/>
                <w:lang w:val="hr-HR"/>
              </w:rPr>
              <w:t xml:space="preserve">1. – </w:t>
            </w:r>
            <w:r>
              <w:rPr>
                <w:rFonts w:ascii="Cambria" w:eastAsia="Times New Roman" w:hAnsi="Cambria" w:cs="Calibri"/>
                <w:lang w:val="hr-HR"/>
              </w:rPr>
              <w:t>4</w:t>
            </w:r>
            <w:r w:rsidRPr="005C2363">
              <w:rPr>
                <w:rFonts w:ascii="Cambria" w:eastAsia="Times New Roman" w:hAnsi="Cambria" w:cs="Calibri"/>
                <w:lang w:val="hr-HR"/>
              </w:rPr>
              <w:t>.</w:t>
            </w:r>
          </w:p>
        </w:tc>
        <w:tc>
          <w:tcPr>
            <w:tcW w:w="697" w:type="dxa"/>
            <w:gridSpan w:val="2"/>
            <w:tcBorders>
              <w:top w:val="single" w:sz="8" w:space="0" w:color="000000"/>
              <w:left w:val="single" w:sz="8" w:space="0" w:color="000000"/>
              <w:bottom w:val="single" w:sz="8" w:space="0" w:color="000000"/>
              <w:right w:val="nil"/>
            </w:tcBorders>
            <w:tcMar>
              <w:top w:w="15" w:type="dxa"/>
              <w:left w:w="108" w:type="dxa"/>
              <w:bottom w:w="0" w:type="dxa"/>
              <w:right w:w="108" w:type="dxa"/>
            </w:tcMar>
            <w:vAlign w:val="center"/>
          </w:tcPr>
          <w:p w14:paraId="5DAD347B" w14:textId="77777777" w:rsidR="00ED1945" w:rsidRPr="00DF4CE5" w:rsidRDefault="00ED1945" w:rsidP="00ED1945">
            <w:pPr>
              <w:snapToGrid w:val="0"/>
              <w:spacing w:after="0" w:line="256" w:lineRule="auto"/>
              <w:jc w:val="center"/>
              <w:rPr>
                <w:rFonts w:ascii="Cambria" w:hAnsi="Cambria" w:cs="Calibri"/>
              </w:rPr>
            </w:pPr>
            <w:r w:rsidRPr="00DF4CE5">
              <w:rPr>
                <w:rFonts w:ascii="Cambria" w:hAnsi="Cambria" w:cs="Calibri"/>
              </w:rPr>
              <w:t>20</w:t>
            </w:r>
          </w:p>
        </w:tc>
        <w:tc>
          <w:tcPr>
            <w:tcW w:w="982" w:type="dxa"/>
            <w:tcBorders>
              <w:top w:val="single" w:sz="8" w:space="0" w:color="000000"/>
              <w:left w:val="single" w:sz="8" w:space="0" w:color="000000"/>
              <w:bottom w:val="single" w:sz="8" w:space="0" w:color="000000"/>
              <w:right w:val="nil"/>
            </w:tcBorders>
            <w:tcMar>
              <w:top w:w="15" w:type="dxa"/>
              <w:left w:w="108" w:type="dxa"/>
              <w:bottom w:w="0" w:type="dxa"/>
              <w:right w:w="108" w:type="dxa"/>
            </w:tcMar>
            <w:vAlign w:val="center"/>
          </w:tcPr>
          <w:p w14:paraId="58C3318B" w14:textId="77777777" w:rsidR="00ED1945" w:rsidRPr="00DF4CE5" w:rsidRDefault="00ED1945" w:rsidP="00ED1945">
            <w:pPr>
              <w:snapToGrid w:val="0"/>
              <w:spacing w:after="0" w:line="256" w:lineRule="auto"/>
              <w:jc w:val="center"/>
              <w:rPr>
                <w:rFonts w:ascii="Cambria" w:hAnsi="Cambria" w:cs="Calibri"/>
              </w:rPr>
            </w:pPr>
            <w:r w:rsidRPr="00DF4CE5">
              <w:rPr>
                <w:rFonts w:ascii="Cambria" w:hAnsi="Cambria" w:cs="Calibri"/>
              </w:rPr>
              <w:t>0,7</w:t>
            </w:r>
          </w:p>
        </w:tc>
        <w:tc>
          <w:tcPr>
            <w:tcW w:w="127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35079B0" w14:textId="77777777" w:rsidR="00ED1945" w:rsidRPr="00DF4CE5" w:rsidRDefault="00ED1945" w:rsidP="00ED1945">
            <w:pPr>
              <w:snapToGrid w:val="0"/>
              <w:spacing w:after="0" w:line="256" w:lineRule="auto"/>
              <w:jc w:val="center"/>
              <w:rPr>
                <w:rFonts w:ascii="Cambria" w:hAnsi="Cambria" w:cs="Calibri"/>
              </w:rPr>
            </w:pPr>
            <w:r w:rsidRPr="00DF4CE5">
              <w:rPr>
                <w:rFonts w:ascii="Cambria" w:hAnsi="Cambria" w:cs="Calibri"/>
              </w:rPr>
              <w:t>30 %</w:t>
            </w:r>
          </w:p>
        </w:tc>
      </w:tr>
      <w:tr w:rsidR="00ED1945" w:rsidRPr="005C2363" w14:paraId="0340F928" w14:textId="77777777" w:rsidTr="00ED1945">
        <w:tc>
          <w:tcPr>
            <w:tcW w:w="2056" w:type="dxa"/>
            <w:vMerge/>
            <w:tcBorders>
              <w:left w:val="single" w:sz="8" w:space="0" w:color="000000"/>
              <w:right w:val="single" w:sz="8" w:space="0" w:color="000000"/>
            </w:tcBorders>
            <w:vAlign w:val="center"/>
          </w:tcPr>
          <w:p w14:paraId="6430C7CD" w14:textId="77777777" w:rsidR="00ED1945" w:rsidRPr="005C2363" w:rsidRDefault="00ED1945" w:rsidP="00ED1945">
            <w:pPr>
              <w:spacing w:after="0" w:line="240" w:lineRule="auto"/>
              <w:rPr>
                <w:rFonts w:ascii="Cambria" w:eastAsia="Times New Roman" w:hAnsi="Cambria" w:cs="Calibri"/>
                <w:lang w:val="hr-HR"/>
              </w:rPr>
            </w:pPr>
          </w:p>
        </w:tc>
        <w:tc>
          <w:tcPr>
            <w:tcW w:w="4039"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E6DEFD2" w14:textId="77777777" w:rsidR="00ED1945" w:rsidRPr="005C2363" w:rsidRDefault="00ED1945" w:rsidP="00ED1945">
            <w:pPr>
              <w:spacing w:after="0" w:line="240" w:lineRule="auto"/>
              <w:rPr>
                <w:rFonts w:ascii="Cambria" w:eastAsia="Times New Roman" w:hAnsi="Cambria" w:cs="Calibri"/>
                <w:lang w:val="hr-HR"/>
              </w:rPr>
            </w:pPr>
            <w:r w:rsidRPr="005C2363">
              <w:rPr>
                <w:rFonts w:ascii="Cambria" w:eastAsia="Times New Roman" w:hAnsi="Cambria" w:cs="Calibri"/>
                <w:lang w:val="hr-HR"/>
              </w:rPr>
              <w:t>ukupno</w:t>
            </w:r>
          </w:p>
        </w:tc>
        <w:tc>
          <w:tcPr>
            <w:tcW w:w="69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A9617CB" w14:textId="77777777" w:rsidR="00ED1945" w:rsidRPr="005C2363" w:rsidRDefault="00ED1945" w:rsidP="00ED1945">
            <w:pPr>
              <w:spacing w:after="0" w:line="240" w:lineRule="auto"/>
              <w:jc w:val="center"/>
              <w:rPr>
                <w:rFonts w:ascii="Cambria" w:eastAsia="Times New Roman" w:hAnsi="Cambria" w:cs="Calibri"/>
                <w:lang w:val="hr-HR"/>
              </w:rPr>
            </w:pPr>
            <w:r>
              <w:rPr>
                <w:rFonts w:ascii="Cambria" w:eastAsia="Times New Roman" w:hAnsi="Cambria" w:cs="Calibri"/>
                <w:lang w:val="hr-HR"/>
              </w:rPr>
              <w:t>150</w:t>
            </w:r>
          </w:p>
        </w:tc>
        <w:tc>
          <w:tcPr>
            <w:tcW w:w="9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B1B8BAF" w14:textId="77777777" w:rsidR="00ED1945" w:rsidRPr="005C2363" w:rsidRDefault="00ED1945" w:rsidP="00ED1945">
            <w:pPr>
              <w:spacing w:after="0" w:line="240" w:lineRule="auto"/>
              <w:jc w:val="center"/>
              <w:rPr>
                <w:rFonts w:ascii="Cambria" w:eastAsia="Times New Roman" w:hAnsi="Cambria" w:cs="Calibri"/>
                <w:lang w:val="hr-HR"/>
              </w:rPr>
            </w:pPr>
            <w:r>
              <w:rPr>
                <w:rFonts w:ascii="Cambria" w:eastAsia="Times New Roman" w:hAnsi="Cambria" w:cs="Calibri"/>
                <w:lang w:val="hr-HR"/>
              </w:rPr>
              <w:t>5,0</w:t>
            </w:r>
          </w:p>
        </w:tc>
        <w:tc>
          <w:tcPr>
            <w:tcW w:w="127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ACA703F" w14:textId="77777777" w:rsidR="00ED1945" w:rsidRPr="005C2363" w:rsidRDefault="00ED1945" w:rsidP="00ED1945">
            <w:pPr>
              <w:spacing w:after="0" w:line="240" w:lineRule="auto"/>
              <w:jc w:val="center"/>
              <w:rPr>
                <w:rFonts w:ascii="Cambria" w:eastAsia="Times New Roman" w:hAnsi="Cambria" w:cs="Calibri"/>
                <w:lang w:val="hr-HR"/>
              </w:rPr>
            </w:pPr>
            <w:r>
              <w:rPr>
                <w:rFonts w:ascii="Cambria" w:eastAsia="Times New Roman" w:hAnsi="Cambria" w:cs="Calibri"/>
                <w:lang w:val="hr-HR"/>
              </w:rPr>
              <w:t>100%</w:t>
            </w:r>
          </w:p>
        </w:tc>
      </w:tr>
      <w:tr w:rsidR="00ED1945" w:rsidRPr="00D0399C" w14:paraId="4C5E6E50" w14:textId="77777777" w:rsidTr="00ED1945">
        <w:tc>
          <w:tcPr>
            <w:tcW w:w="205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EA325F5" w14:textId="77777777" w:rsidR="00ED1945" w:rsidRPr="005C2363" w:rsidRDefault="00ED1945" w:rsidP="00ED1945">
            <w:pPr>
              <w:spacing w:after="0" w:line="240" w:lineRule="auto"/>
              <w:rPr>
                <w:rFonts w:ascii="Cambria" w:eastAsia="Times New Roman" w:hAnsi="Cambria" w:cs="Calibri"/>
                <w:lang w:val="hr-HR"/>
              </w:rPr>
            </w:pPr>
            <w:r w:rsidRPr="005C2363">
              <w:rPr>
                <w:rFonts w:ascii="Cambria" w:eastAsia="Times New Roman" w:hAnsi="Cambria" w:cs="Calibri"/>
                <w:lang w:val="hr-HR"/>
              </w:rPr>
              <w:t>Studentske obveze</w:t>
            </w:r>
          </w:p>
        </w:tc>
        <w:tc>
          <w:tcPr>
            <w:tcW w:w="699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3F40B37" w14:textId="77777777" w:rsidR="00ED1945" w:rsidRPr="00DF4CE5" w:rsidRDefault="00ED1945" w:rsidP="00ED1945">
            <w:pPr>
              <w:snapToGrid w:val="0"/>
              <w:spacing w:after="0" w:line="240" w:lineRule="auto"/>
              <w:rPr>
                <w:rFonts w:ascii="Cambria" w:hAnsi="Cambria" w:cs="Calibri"/>
                <w:lang w:val="it-IT"/>
              </w:rPr>
            </w:pPr>
            <w:r w:rsidRPr="00DF4CE5">
              <w:rPr>
                <w:rFonts w:ascii="Cambria" w:hAnsi="Cambria" w:cs="Calibri"/>
                <w:lang w:val="it-IT"/>
              </w:rPr>
              <w:t xml:space="preserve">Da </w:t>
            </w:r>
            <w:proofErr w:type="spellStart"/>
            <w:r w:rsidRPr="00DF4CE5">
              <w:rPr>
                <w:rFonts w:ascii="Cambria" w:hAnsi="Cambria" w:cs="Calibri"/>
                <w:lang w:val="it-IT"/>
              </w:rPr>
              <w:t>položi</w:t>
            </w:r>
            <w:proofErr w:type="spellEnd"/>
            <w:r w:rsidRPr="00DF4CE5">
              <w:rPr>
                <w:rFonts w:ascii="Cambria" w:hAnsi="Cambria" w:cs="Calibri"/>
                <w:lang w:val="it-IT"/>
              </w:rPr>
              <w:t xml:space="preserve"> </w:t>
            </w:r>
            <w:proofErr w:type="spellStart"/>
            <w:r w:rsidRPr="00DF4CE5">
              <w:rPr>
                <w:rFonts w:ascii="Cambria" w:hAnsi="Cambria" w:cs="Calibri"/>
                <w:lang w:val="it-IT"/>
              </w:rPr>
              <w:t>kolegij</w:t>
            </w:r>
            <w:proofErr w:type="spellEnd"/>
            <w:r w:rsidRPr="00DF4CE5">
              <w:rPr>
                <w:rFonts w:ascii="Cambria" w:hAnsi="Cambria" w:cs="Calibri"/>
                <w:lang w:val="it-IT"/>
              </w:rPr>
              <w:t xml:space="preserve">, </w:t>
            </w:r>
            <w:proofErr w:type="spellStart"/>
            <w:r w:rsidRPr="00DF4CE5">
              <w:rPr>
                <w:rFonts w:ascii="Cambria" w:hAnsi="Cambria" w:cs="Calibri"/>
                <w:lang w:val="it-IT"/>
              </w:rPr>
              <w:t>student</w:t>
            </w:r>
            <w:proofErr w:type="spellEnd"/>
            <w:r w:rsidRPr="00DF4CE5">
              <w:rPr>
                <w:rFonts w:ascii="Cambria" w:hAnsi="Cambria" w:cs="Calibri"/>
                <w:lang w:val="it-IT"/>
              </w:rPr>
              <w:t>/</w:t>
            </w:r>
            <w:proofErr w:type="spellStart"/>
            <w:r w:rsidRPr="00DF4CE5">
              <w:rPr>
                <w:rFonts w:ascii="Cambria" w:hAnsi="Cambria" w:cs="Calibri"/>
                <w:lang w:val="it-IT"/>
              </w:rPr>
              <w:t>studentica</w:t>
            </w:r>
            <w:proofErr w:type="spellEnd"/>
            <w:r w:rsidRPr="00DF4CE5">
              <w:rPr>
                <w:rFonts w:ascii="Cambria" w:hAnsi="Cambria" w:cs="Calibri"/>
                <w:lang w:val="it-IT"/>
              </w:rPr>
              <w:t xml:space="preserve"> mora: </w:t>
            </w:r>
          </w:p>
          <w:p w14:paraId="445EF40E" w14:textId="77777777" w:rsidR="00ED1945" w:rsidRPr="00DF4CE5" w:rsidRDefault="00ED1945" w:rsidP="00ED1945">
            <w:pPr>
              <w:spacing w:after="0" w:line="240" w:lineRule="auto"/>
              <w:rPr>
                <w:rFonts w:ascii="Cambria" w:hAnsi="Cambria" w:cs="Calibri"/>
                <w:lang w:val="it-IT"/>
              </w:rPr>
            </w:pPr>
            <w:r w:rsidRPr="00DF4CE5">
              <w:rPr>
                <w:rFonts w:ascii="Cambria" w:hAnsi="Cambria" w:cs="Calibri"/>
                <w:lang w:val="it-IT"/>
              </w:rPr>
              <w:t xml:space="preserve">1. </w:t>
            </w:r>
            <w:proofErr w:type="spellStart"/>
            <w:r w:rsidRPr="00DF4CE5">
              <w:rPr>
                <w:rFonts w:ascii="Cambria" w:hAnsi="Cambria" w:cs="Calibri"/>
                <w:lang w:val="it-IT"/>
              </w:rPr>
              <w:t>pohađati</w:t>
            </w:r>
            <w:proofErr w:type="spellEnd"/>
            <w:r w:rsidRPr="00DF4CE5">
              <w:rPr>
                <w:rFonts w:ascii="Cambria" w:hAnsi="Cambria" w:cs="Calibri"/>
                <w:lang w:val="it-IT"/>
              </w:rPr>
              <w:t xml:space="preserve"> </w:t>
            </w:r>
            <w:proofErr w:type="spellStart"/>
            <w:r w:rsidRPr="00DF4CE5">
              <w:rPr>
                <w:rFonts w:ascii="Cambria" w:hAnsi="Cambria" w:cs="Calibri"/>
                <w:lang w:val="it-IT"/>
              </w:rPr>
              <w:t>redovito</w:t>
            </w:r>
            <w:proofErr w:type="spellEnd"/>
            <w:r w:rsidRPr="00DF4CE5">
              <w:rPr>
                <w:rFonts w:ascii="Cambria" w:hAnsi="Cambria" w:cs="Calibri"/>
                <w:lang w:val="it-IT"/>
              </w:rPr>
              <w:t xml:space="preserve"> (</w:t>
            </w:r>
            <w:proofErr w:type="spellStart"/>
            <w:r w:rsidRPr="00DF4CE5">
              <w:rPr>
                <w:rFonts w:ascii="Cambria" w:hAnsi="Cambria" w:cs="Calibri"/>
                <w:lang w:val="it-IT"/>
              </w:rPr>
              <w:t>tolerancija</w:t>
            </w:r>
            <w:proofErr w:type="spellEnd"/>
            <w:r w:rsidRPr="00DF4CE5">
              <w:rPr>
                <w:rFonts w:ascii="Cambria" w:hAnsi="Cambria" w:cs="Calibri"/>
                <w:lang w:val="it-IT"/>
              </w:rPr>
              <w:t xml:space="preserve"> do tri </w:t>
            </w:r>
            <w:proofErr w:type="spellStart"/>
            <w:r w:rsidRPr="00DF4CE5">
              <w:rPr>
                <w:rFonts w:ascii="Cambria" w:hAnsi="Cambria" w:cs="Calibri"/>
                <w:lang w:val="it-IT"/>
              </w:rPr>
              <w:t>izostanka</w:t>
            </w:r>
            <w:proofErr w:type="spellEnd"/>
            <w:r w:rsidRPr="00DF4CE5">
              <w:rPr>
                <w:rFonts w:ascii="Cambria" w:hAnsi="Cambria" w:cs="Calibri"/>
                <w:lang w:val="it-IT"/>
              </w:rPr>
              <w:t xml:space="preserve">) </w:t>
            </w:r>
            <w:proofErr w:type="spellStart"/>
            <w:r w:rsidRPr="00DF4CE5">
              <w:rPr>
                <w:rFonts w:ascii="Cambria" w:hAnsi="Cambria" w:cs="Calibri"/>
                <w:lang w:val="it-IT"/>
              </w:rPr>
              <w:t>nastavu</w:t>
            </w:r>
            <w:proofErr w:type="spellEnd"/>
            <w:r w:rsidRPr="00DF4CE5">
              <w:rPr>
                <w:rFonts w:ascii="Cambria" w:hAnsi="Cambria" w:cs="Calibri"/>
                <w:lang w:val="it-IT"/>
              </w:rPr>
              <w:t xml:space="preserve"> i </w:t>
            </w:r>
            <w:proofErr w:type="spellStart"/>
            <w:r w:rsidRPr="00DF4CE5">
              <w:rPr>
                <w:rFonts w:ascii="Cambria" w:hAnsi="Cambria" w:cs="Calibri"/>
                <w:lang w:val="it-IT"/>
              </w:rPr>
              <w:t>aktivno</w:t>
            </w:r>
            <w:proofErr w:type="spellEnd"/>
            <w:r w:rsidRPr="00DF4CE5">
              <w:rPr>
                <w:rFonts w:ascii="Cambria" w:hAnsi="Cambria" w:cs="Calibri"/>
                <w:lang w:val="it-IT"/>
              </w:rPr>
              <w:t xml:space="preserve"> </w:t>
            </w:r>
            <w:proofErr w:type="spellStart"/>
            <w:r w:rsidRPr="00DF4CE5">
              <w:rPr>
                <w:rFonts w:ascii="Cambria" w:hAnsi="Cambria" w:cs="Calibri"/>
                <w:lang w:val="it-IT"/>
              </w:rPr>
              <w:t>sudjelovati</w:t>
            </w:r>
            <w:proofErr w:type="spellEnd"/>
            <w:r w:rsidRPr="00DF4CE5">
              <w:rPr>
                <w:rFonts w:ascii="Cambria" w:hAnsi="Cambria" w:cs="Calibri"/>
                <w:lang w:val="it-IT"/>
              </w:rPr>
              <w:t xml:space="preserve"> </w:t>
            </w:r>
            <w:proofErr w:type="spellStart"/>
            <w:r w:rsidRPr="00DF4CE5">
              <w:rPr>
                <w:rFonts w:ascii="Cambria" w:hAnsi="Cambria" w:cs="Calibri"/>
                <w:lang w:val="it-IT"/>
              </w:rPr>
              <w:t>na</w:t>
            </w:r>
            <w:proofErr w:type="spellEnd"/>
            <w:r w:rsidRPr="00DF4CE5">
              <w:rPr>
                <w:rFonts w:ascii="Cambria" w:hAnsi="Cambria" w:cs="Calibri"/>
                <w:lang w:val="it-IT"/>
              </w:rPr>
              <w:t xml:space="preserve"> </w:t>
            </w:r>
            <w:proofErr w:type="spellStart"/>
            <w:r w:rsidRPr="00DF4CE5">
              <w:rPr>
                <w:rFonts w:ascii="Cambria" w:hAnsi="Cambria" w:cs="Calibri"/>
                <w:lang w:val="it-IT"/>
              </w:rPr>
              <w:t>predavanjima</w:t>
            </w:r>
            <w:proofErr w:type="spellEnd"/>
            <w:r w:rsidRPr="00DF4CE5">
              <w:rPr>
                <w:rFonts w:ascii="Cambria" w:hAnsi="Cambria" w:cs="Calibri"/>
                <w:lang w:val="it-IT"/>
              </w:rPr>
              <w:t xml:space="preserve"> i </w:t>
            </w:r>
            <w:proofErr w:type="spellStart"/>
            <w:r w:rsidRPr="00DF4CE5">
              <w:rPr>
                <w:rFonts w:ascii="Cambria" w:hAnsi="Cambria" w:cs="Calibri"/>
                <w:lang w:val="it-IT"/>
              </w:rPr>
              <w:t>seminarima</w:t>
            </w:r>
            <w:proofErr w:type="spellEnd"/>
            <w:r w:rsidRPr="00DF4CE5">
              <w:rPr>
                <w:rFonts w:ascii="Cambria" w:hAnsi="Cambria" w:cs="Calibri"/>
                <w:lang w:val="it-IT"/>
              </w:rPr>
              <w:t xml:space="preserve"> </w:t>
            </w:r>
          </w:p>
          <w:p w14:paraId="09C583F9" w14:textId="77777777" w:rsidR="00ED1945" w:rsidRPr="00DF4CE5" w:rsidRDefault="00ED1945" w:rsidP="00ED1945">
            <w:pPr>
              <w:spacing w:after="0" w:line="240" w:lineRule="auto"/>
              <w:rPr>
                <w:rFonts w:ascii="Cambria" w:hAnsi="Cambria" w:cs="Calibri"/>
                <w:lang w:val="it-IT"/>
              </w:rPr>
            </w:pPr>
            <w:r w:rsidRPr="00DF4CE5">
              <w:rPr>
                <w:rFonts w:ascii="Cambria" w:hAnsi="Cambria" w:cs="Calibri"/>
                <w:lang w:val="it-IT"/>
              </w:rPr>
              <w:t xml:space="preserve">2.  u </w:t>
            </w:r>
            <w:proofErr w:type="spellStart"/>
            <w:r w:rsidRPr="00DF4CE5">
              <w:rPr>
                <w:rFonts w:ascii="Cambria" w:hAnsi="Cambria" w:cs="Calibri"/>
                <w:lang w:val="it-IT"/>
              </w:rPr>
              <w:t>skladu</w:t>
            </w:r>
            <w:proofErr w:type="spellEnd"/>
            <w:r w:rsidRPr="00DF4CE5">
              <w:rPr>
                <w:rFonts w:ascii="Cambria" w:hAnsi="Cambria" w:cs="Calibri"/>
                <w:lang w:val="it-IT"/>
              </w:rPr>
              <w:t xml:space="preserve"> s </w:t>
            </w:r>
            <w:proofErr w:type="spellStart"/>
            <w:r w:rsidRPr="00DF4CE5">
              <w:rPr>
                <w:rFonts w:ascii="Cambria" w:hAnsi="Cambria" w:cs="Calibri"/>
                <w:lang w:val="it-IT"/>
              </w:rPr>
              <w:t>postulatima</w:t>
            </w:r>
            <w:proofErr w:type="spellEnd"/>
            <w:r w:rsidRPr="00DF4CE5">
              <w:rPr>
                <w:rFonts w:ascii="Cambria" w:hAnsi="Cambria" w:cs="Calibri"/>
                <w:lang w:val="it-IT"/>
              </w:rPr>
              <w:t xml:space="preserve"> </w:t>
            </w:r>
            <w:proofErr w:type="spellStart"/>
            <w:r w:rsidRPr="00DF4CE5">
              <w:rPr>
                <w:rFonts w:ascii="Cambria" w:hAnsi="Cambria" w:cs="Calibri"/>
                <w:lang w:val="it-IT"/>
              </w:rPr>
              <w:t>teorije</w:t>
            </w:r>
            <w:proofErr w:type="spellEnd"/>
            <w:r w:rsidRPr="00DF4CE5">
              <w:rPr>
                <w:rFonts w:ascii="Cambria" w:hAnsi="Cambria" w:cs="Calibri"/>
                <w:lang w:val="it-IT"/>
              </w:rPr>
              <w:t xml:space="preserve"> </w:t>
            </w:r>
            <w:proofErr w:type="spellStart"/>
            <w:r w:rsidRPr="00DF4CE5">
              <w:rPr>
                <w:rFonts w:ascii="Cambria" w:hAnsi="Cambria" w:cs="Calibri"/>
                <w:lang w:val="it-IT"/>
              </w:rPr>
              <w:t>recepcije</w:t>
            </w:r>
            <w:proofErr w:type="spellEnd"/>
            <w:r w:rsidRPr="00DF4CE5">
              <w:rPr>
                <w:rFonts w:ascii="Cambria" w:hAnsi="Cambria" w:cs="Calibri"/>
                <w:lang w:val="it-IT"/>
              </w:rPr>
              <w:t xml:space="preserve"> </w:t>
            </w:r>
            <w:proofErr w:type="spellStart"/>
            <w:proofErr w:type="gramStart"/>
            <w:r w:rsidRPr="00DF4CE5">
              <w:rPr>
                <w:rFonts w:ascii="Cambria" w:hAnsi="Cambria" w:cs="Calibri"/>
                <w:lang w:val="it-IT"/>
              </w:rPr>
              <w:t>aktivno</w:t>
            </w:r>
            <w:proofErr w:type="spellEnd"/>
            <w:r w:rsidRPr="00DF4CE5">
              <w:rPr>
                <w:rFonts w:ascii="Cambria" w:hAnsi="Cambria" w:cs="Calibri"/>
                <w:lang w:val="it-IT"/>
              </w:rPr>
              <w:t xml:space="preserve">  </w:t>
            </w:r>
            <w:proofErr w:type="spellStart"/>
            <w:r w:rsidRPr="00DF4CE5">
              <w:rPr>
                <w:rFonts w:ascii="Cambria" w:hAnsi="Cambria" w:cs="Calibri"/>
                <w:lang w:val="it-IT"/>
              </w:rPr>
              <w:t>pratiti</w:t>
            </w:r>
            <w:proofErr w:type="spellEnd"/>
            <w:proofErr w:type="gramEnd"/>
            <w:r w:rsidRPr="00DF4CE5">
              <w:rPr>
                <w:rFonts w:ascii="Cambria" w:hAnsi="Cambria" w:cs="Calibri"/>
                <w:lang w:val="it-IT"/>
              </w:rPr>
              <w:t xml:space="preserve"> i </w:t>
            </w:r>
            <w:proofErr w:type="spellStart"/>
            <w:r w:rsidRPr="00DF4CE5">
              <w:rPr>
                <w:rFonts w:ascii="Cambria" w:hAnsi="Cambria" w:cs="Calibri"/>
                <w:lang w:val="it-IT"/>
              </w:rPr>
              <w:t>vrednovati</w:t>
            </w:r>
            <w:proofErr w:type="spellEnd"/>
            <w:r w:rsidRPr="00DF4CE5">
              <w:rPr>
                <w:rFonts w:ascii="Cambria" w:hAnsi="Cambria" w:cs="Calibri"/>
                <w:lang w:val="it-IT"/>
              </w:rPr>
              <w:t xml:space="preserve"> </w:t>
            </w:r>
            <w:proofErr w:type="spellStart"/>
            <w:r w:rsidRPr="00DF4CE5">
              <w:rPr>
                <w:rFonts w:ascii="Cambria" w:hAnsi="Cambria" w:cs="Calibri"/>
                <w:lang w:val="it-IT"/>
              </w:rPr>
              <w:t>seminarske</w:t>
            </w:r>
            <w:proofErr w:type="spellEnd"/>
            <w:r w:rsidRPr="00DF4CE5">
              <w:rPr>
                <w:rFonts w:ascii="Cambria" w:hAnsi="Cambria" w:cs="Calibri"/>
                <w:lang w:val="it-IT"/>
              </w:rPr>
              <w:t xml:space="preserve"> </w:t>
            </w:r>
            <w:proofErr w:type="spellStart"/>
            <w:r w:rsidRPr="00DF4CE5">
              <w:rPr>
                <w:rFonts w:ascii="Cambria" w:hAnsi="Cambria" w:cs="Calibri"/>
                <w:lang w:val="it-IT"/>
              </w:rPr>
              <w:t>radove</w:t>
            </w:r>
            <w:proofErr w:type="spellEnd"/>
          </w:p>
          <w:p w14:paraId="7964947C" w14:textId="77777777" w:rsidR="00ED1945" w:rsidRPr="00DF4CE5" w:rsidRDefault="00ED1945" w:rsidP="00ED1945">
            <w:pPr>
              <w:spacing w:after="0" w:line="240" w:lineRule="auto"/>
              <w:rPr>
                <w:rFonts w:ascii="Cambria" w:hAnsi="Cambria" w:cs="Calibri"/>
                <w:lang w:val="it-IT"/>
              </w:rPr>
            </w:pPr>
            <w:r w:rsidRPr="00DF4CE5">
              <w:rPr>
                <w:rFonts w:ascii="Cambria" w:hAnsi="Cambria" w:cs="Calibri"/>
                <w:lang w:val="it-IT"/>
              </w:rPr>
              <w:t xml:space="preserve">3. </w:t>
            </w:r>
            <w:proofErr w:type="spellStart"/>
            <w:r w:rsidRPr="00DF4CE5">
              <w:rPr>
                <w:rFonts w:ascii="Cambria" w:hAnsi="Cambria" w:cs="Calibri"/>
                <w:lang w:val="it-IT"/>
              </w:rPr>
              <w:t>aktivno</w:t>
            </w:r>
            <w:proofErr w:type="spellEnd"/>
            <w:r w:rsidRPr="00DF4CE5">
              <w:rPr>
                <w:rFonts w:ascii="Cambria" w:hAnsi="Cambria" w:cs="Calibri"/>
                <w:lang w:val="it-IT"/>
              </w:rPr>
              <w:t xml:space="preserve"> se </w:t>
            </w:r>
            <w:proofErr w:type="spellStart"/>
            <w:r w:rsidRPr="00DF4CE5">
              <w:rPr>
                <w:rFonts w:ascii="Cambria" w:hAnsi="Cambria" w:cs="Calibri"/>
                <w:lang w:val="it-IT"/>
              </w:rPr>
              <w:t>uključiti</w:t>
            </w:r>
            <w:proofErr w:type="spellEnd"/>
            <w:r w:rsidRPr="00DF4CE5">
              <w:rPr>
                <w:rFonts w:ascii="Cambria" w:hAnsi="Cambria" w:cs="Calibri"/>
                <w:lang w:val="it-IT"/>
              </w:rPr>
              <w:t xml:space="preserve"> u </w:t>
            </w:r>
            <w:proofErr w:type="spellStart"/>
            <w:r w:rsidRPr="00DF4CE5">
              <w:rPr>
                <w:rFonts w:ascii="Cambria" w:hAnsi="Cambria" w:cs="Calibri"/>
                <w:lang w:val="it-IT"/>
              </w:rPr>
              <w:t>terensku</w:t>
            </w:r>
            <w:proofErr w:type="spellEnd"/>
            <w:r w:rsidRPr="00DF4CE5">
              <w:rPr>
                <w:rFonts w:ascii="Cambria" w:hAnsi="Cambria" w:cs="Calibri"/>
                <w:lang w:val="it-IT"/>
              </w:rPr>
              <w:t xml:space="preserve"> </w:t>
            </w:r>
            <w:proofErr w:type="spellStart"/>
            <w:r w:rsidRPr="00DF4CE5">
              <w:rPr>
                <w:rFonts w:ascii="Cambria" w:hAnsi="Cambria" w:cs="Calibri"/>
                <w:lang w:val="it-IT"/>
              </w:rPr>
              <w:t>nastavu</w:t>
            </w:r>
            <w:proofErr w:type="spellEnd"/>
            <w:r w:rsidRPr="00DF4CE5">
              <w:rPr>
                <w:rFonts w:ascii="Cambria" w:hAnsi="Cambria" w:cs="Calibri"/>
                <w:lang w:val="it-IT"/>
              </w:rPr>
              <w:t xml:space="preserve">: </w:t>
            </w:r>
            <w:proofErr w:type="spellStart"/>
            <w:r w:rsidRPr="00DF4CE5">
              <w:rPr>
                <w:rFonts w:ascii="Cambria" w:hAnsi="Cambria" w:cs="Calibri"/>
                <w:lang w:val="it-IT"/>
              </w:rPr>
              <w:t>Sajam</w:t>
            </w:r>
            <w:proofErr w:type="spellEnd"/>
            <w:r w:rsidRPr="00DF4CE5">
              <w:rPr>
                <w:rFonts w:ascii="Cambria" w:hAnsi="Cambria" w:cs="Calibri"/>
                <w:lang w:val="it-IT"/>
              </w:rPr>
              <w:t xml:space="preserve"> </w:t>
            </w:r>
            <w:proofErr w:type="spellStart"/>
            <w:r w:rsidRPr="00DF4CE5">
              <w:rPr>
                <w:rFonts w:ascii="Cambria" w:hAnsi="Cambria" w:cs="Calibri"/>
                <w:lang w:val="it-IT"/>
              </w:rPr>
              <w:t>knjiga</w:t>
            </w:r>
            <w:proofErr w:type="spellEnd"/>
            <w:r w:rsidRPr="00DF4CE5">
              <w:rPr>
                <w:rFonts w:ascii="Cambria" w:hAnsi="Cambria" w:cs="Calibri"/>
                <w:lang w:val="it-IT"/>
              </w:rPr>
              <w:t xml:space="preserve"> u </w:t>
            </w:r>
            <w:proofErr w:type="spellStart"/>
            <w:r w:rsidRPr="00DF4CE5">
              <w:rPr>
                <w:rFonts w:ascii="Cambria" w:hAnsi="Cambria" w:cs="Calibri"/>
                <w:lang w:val="it-IT"/>
              </w:rPr>
              <w:t>Istri</w:t>
            </w:r>
            <w:proofErr w:type="spellEnd"/>
            <w:r w:rsidRPr="00DF4CE5">
              <w:rPr>
                <w:rFonts w:ascii="Cambria" w:hAnsi="Cambria" w:cs="Calibri"/>
                <w:lang w:val="it-IT"/>
              </w:rPr>
              <w:t xml:space="preserve">; Monte </w:t>
            </w:r>
            <w:proofErr w:type="spellStart"/>
            <w:proofErr w:type="gramStart"/>
            <w:r w:rsidRPr="00DF4CE5">
              <w:rPr>
                <w:rFonts w:ascii="Cambria" w:hAnsi="Cambria" w:cs="Calibri"/>
                <w:lang w:val="it-IT"/>
              </w:rPr>
              <w:t>Librić</w:t>
            </w:r>
            <w:proofErr w:type="spellEnd"/>
            <w:r w:rsidRPr="00DF4CE5">
              <w:rPr>
                <w:rFonts w:ascii="Cambria" w:hAnsi="Cambria" w:cs="Calibri"/>
                <w:lang w:val="it-IT"/>
              </w:rPr>
              <w:t xml:space="preserve"> ,</w:t>
            </w:r>
            <w:proofErr w:type="gramEnd"/>
            <w:r w:rsidRPr="00DF4CE5">
              <w:rPr>
                <w:rFonts w:ascii="Cambria" w:hAnsi="Cambria" w:cs="Calibri"/>
                <w:lang w:val="it-IT"/>
              </w:rPr>
              <w:t xml:space="preserve"> </w:t>
            </w:r>
            <w:proofErr w:type="spellStart"/>
            <w:r w:rsidRPr="00DF4CE5">
              <w:rPr>
                <w:rFonts w:ascii="Cambria" w:hAnsi="Cambria" w:cs="Calibri"/>
                <w:lang w:val="it-IT"/>
              </w:rPr>
              <w:t>književne</w:t>
            </w:r>
            <w:proofErr w:type="spellEnd"/>
            <w:r w:rsidRPr="00DF4CE5">
              <w:rPr>
                <w:rFonts w:ascii="Cambria" w:hAnsi="Cambria" w:cs="Calibri"/>
                <w:lang w:val="it-IT"/>
              </w:rPr>
              <w:t xml:space="preserve"> </w:t>
            </w:r>
            <w:proofErr w:type="spellStart"/>
            <w:r w:rsidRPr="00DF4CE5">
              <w:rPr>
                <w:rFonts w:ascii="Cambria" w:hAnsi="Cambria" w:cs="Calibri"/>
                <w:lang w:val="it-IT"/>
              </w:rPr>
              <w:t>promocije</w:t>
            </w:r>
            <w:proofErr w:type="spellEnd"/>
            <w:r w:rsidRPr="00DF4CE5">
              <w:rPr>
                <w:rFonts w:ascii="Cambria" w:hAnsi="Cambria" w:cs="Calibri"/>
                <w:lang w:val="it-IT"/>
              </w:rPr>
              <w:t xml:space="preserve"> </w:t>
            </w:r>
            <w:proofErr w:type="spellStart"/>
            <w:r w:rsidRPr="00DF4CE5">
              <w:rPr>
                <w:rFonts w:ascii="Cambria" w:hAnsi="Cambria" w:cs="Calibri"/>
                <w:lang w:val="it-IT"/>
              </w:rPr>
              <w:t>odabranih</w:t>
            </w:r>
            <w:proofErr w:type="spellEnd"/>
            <w:r w:rsidRPr="00DF4CE5">
              <w:rPr>
                <w:rFonts w:ascii="Cambria" w:hAnsi="Cambria" w:cs="Calibri"/>
                <w:lang w:val="it-IT"/>
              </w:rPr>
              <w:t xml:space="preserve"> </w:t>
            </w:r>
            <w:proofErr w:type="spellStart"/>
            <w:r w:rsidRPr="00DF4CE5">
              <w:rPr>
                <w:rFonts w:ascii="Cambria" w:hAnsi="Cambria" w:cs="Calibri"/>
                <w:lang w:val="it-IT"/>
              </w:rPr>
              <w:t>djela</w:t>
            </w:r>
            <w:proofErr w:type="spellEnd"/>
          </w:p>
          <w:p w14:paraId="22A15F9F" w14:textId="77777777" w:rsidR="00ED1945" w:rsidRPr="00DF4CE5" w:rsidRDefault="00ED1945" w:rsidP="00ED1945">
            <w:pPr>
              <w:spacing w:after="0" w:line="240" w:lineRule="auto"/>
              <w:rPr>
                <w:rFonts w:ascii="Cambria" w:hAnsi="Cambria" w:cs="Calibri"/>
                <w:lang w:val="it-IT"/>
              </w:rPr>
            </w:pPr>
            <w:r w:rsidRPr="00DF4CE5">
              <w:rPr>
                <w:rFonts w:ascii="Cambria" w:hAnsi="Cambria" w:cs="Calibri"/>
                <w:lang w:val="it-IT"/>
              </w:rPr>
              <w:t xml:space="preserve">4. </w:t>
            </w:r>
            <w:proofErr w:type="spellStart"/>
            <w:r w:rsidRPr="00DF4CE5">
              <w:rPr>
                <w:rFonts w:ascii="Cambria" w:hAnsi="Cambria" w:cs="Calibri"/>
                <w:lang w:val="it-IT"/>
              </w:rPr>
              <w:t>Proučiti</w:t>
            </w:r>
            <w:proofErr w:type="spellEnd"/>
            <w:r w:rsidRPr="00DF4CE5">
              <w:rPr>
                <w:rFonts w:ascii="Cambria" w:hAnsi="Cambria" w:cs="Calibri"/>
                <w:lang w:val="it-IT"/>
              </w:rPr>
              <w:t xml:space="preserve"> </w:t>
            </w:r>
            <w:proofErr w:type="spellStart"/>
            <w:r w:rsidRPr="00DF4CE5">
              <w:rPr>
                <w:rFonts w:ascii="Cambria" w:hAnsi="Cambria" w:cs="Calibri"/>
                <w:lang w:val="it-IT"/>
              </w:rPr>
              <w:t>teorijsku</w:t>
            </w:r>
            <w:proofErr w:type="spellEnd"/>
            <w:r w:rsidRPr="00DF4CE5">
              <w:rPr>
                <w:rFonts w:ascii="Cambria" w:hAnsi="Cambria" w:cs="Calibri"/>
                <w:lang w:val="it-IT"/>
              </w:rPr>
              <w:t xml:space="preserve"> </w:t>
            </w:r>
            <w:proofErr w:type="spellStart"/>
            <w:r w:rsidRPr="00DF4CE5">
              <w:rPr>
                <w:rFonts w:ascii="Cambria" w:hAnsi="Cambria" w:cs="Calibri"/>
                <w:lang w:val="it-IT"/>
              </w:rPr>
              <w:t>literaturu</w:t>
            </w:r>
            <w:proofErr w:type="spellEnd"/>
            <w:r w:rsidRPr="00DF4CE5">
              <w:rPr>
                <w:rFonts w:ascii="Cambria" w:hAnsi="Cambria" w:cs="Calibri"/>
                <w:lang w:val="it-IT"/>
              </w:rPr>
              <w:t xml:space="preserve"> i </w:t>
            </w:r>
            <w:proofErr w:type="spellStart"/>
            <w:r w:rsidRPr="00DF4CE5">
              <w:rPr>
                <w:rFonts w:ascii="Cambria" w:hAnsi="Cambria" w:cs="Calibri"/>
                <w:lang w:val="it-IT"/>
              </w:rPr>
              <w:t>primijeniti</w:t>
            </w:r>
            <w:proofErr w:type="spellEnd"/>
            <w:r w:rsidRPr="00DF4CE5">
              <w:rPr>
                <w:rFonts w:ascii="Cambria" w:hAnsi="Cambria" w:cs="Calibri"/>
                <w:lang w:val="it-IT"/>
              </w:rPr>
              <w:t xml:space="preserve"> je u </w:t>
            </w:r>
            <w:proofErr w:type="spellStart"/>
            <w:r w:rsidRPr="00DF4CE5">
              <w:rPr>
                <w:rFonts w:ascii="Cambria" w:hAnsi="Cambria" w:cs="Calibri"/>
                <w:lang w:val="it-IT"/>
              </w:rPr>
              <w:t>radu</w:t>
            </w:r>
            <w:proofErr w:type="spellEnd"/>
            <w:r w:rsidRPr="00DF4CE5">
              <w:rPr>
                <w:rFonts w:ascii="Cambria" w:hAnsi="Cambria" w:cs="Calibri"/>
                <w:lang w:val="it-IT"/>
              </w:rPr>
              <w:t xml:space="preserve"> s </w:t>
            </w:r>
            <w:proofErr w:type="spellStart"/>
            <w:r w:rsidRPr="00DF4CE5">
              <w:rPr>
                <w:rFonts w:ascii="Cambria" w:hAnsi="Cambria" w:cs="Calibri"/>
                <w:lang w:val="it-IT"/>
              </w:rPr>
              <w:t>mlađim</w:t>
            </w:r>
            <w:proofErr w:type="spellEnd"/>
            <w:r w:rsidRPr="00DF4CE5">
              <w:rPr>
                <w:rFonts w:ascii="Cambria" w:hAnsi="Cambria" w:cs="Calibri"/>
                <w:lang w:val="it-IT"/>
              </w:rPr>
              <w:t xml:space="preserve"> </w:t>
            </w:r>
            <w:proofErr w:type="spellStart"/>
            <w:r w:rsidRPr="00DF4CE5">
              <w:rPr>
                <w:rFonts w:ascii="Cambria" w:hAnsi="Cambria" w:cs="Calibri"/>
                <w:lang w:val="it-IT"/>
              </w:rPr>
              <w:t>školskim</w:t>
            </w:r>
            <w:proofErr w:type="spellEnd"/>
            <w:r w:rsidRPr="00DF4CE5">
              <w:rPr>
                <w:rFonts w:ascii="Cambria" w:hAnsi="Cambria" w:cs="Calibri"/>
                <w:lang w:val="it-IT"/>
              </w:rPr>
              <w:t xml:space="preserve"> </w:t>
            </w:r>
            <w:proofErr w:type="spellStart"/>
            <w:r w:rsidRPr="00DF4CE5">
              <w:rPr>
                <w:rFonts w:ascii="Cambria" w:hAnsi="Cambria" w:cs="Calibri"/>
                <w:lang w:val="it-IT"/>
              </w:rPr>
              <w:t>djetetom</w:t>
            </w:r>
            <w:proofErr w:type="spellEnd"/>
            <w:r w:rsidRPr="00DF4CE5">
              <w:rPr>
                <w:rFonts w:ascii="Cambria" w:hAnsi="Cambria" w:cs="Calibri"/>
                <w:lang w:val="it-IT"/>
              </w:rPr>
              <w:t xml:space="preserve"> </w:t>
            </w:r>
            <w:proofErr w:type="spellStart"/>
            <w:r w:rsidRPr="00DF4CE5">
              <w:rPr>
                <w:rFonts w:ascii="Cambria" w:hAnsi="Cambria" w:cs="Calibri"/>
                <w:lang w:val="it-IT"/>
              </w:rPr>
              <w:t>pri</w:t>
            </w:r>
            <w:proofErr w:type="spellEnd"/>
            <w:r w:rsidRPr="00DF4CE5">
              <w:rPr>
                <w:rFonts w:ascii="Cambria" w:hAnsi="Cambria" w:cs="Calibri"/>
                <w:lang w:val="it-IT"/>
              </w:rPr>
              <w:t xml:space="preserve"> </w:t>
            </w:r>
            <w:proofErr w:type="spellStart"/>
            <w:r w:rsidRPr="00DF4CE5">
              <w:rPr>
                <w:rFonts w:ascii="Cambria" w:hAnsi="Cambria" w:cs="Calibri"/>
                <w:lang w:val="it-IT"/>
              </w:rPr>
              <w:t>osmišljavanju</w:t>
            </w:r>
            <w:proofErr w:type="spellEnd"/>
            <w:r w:rsidRPr="00DF4CE5">
              <w:rPr>
                <w:rFonts w:ascii="Cambria" w:hAnsi="Cambria" w:cs="Calibri"/>
                <w:lang w:val="it-IT"/>
              </w:rPr>
              <w:t xml:space="preserve"> </w:t>
            </w:r>
            <w:proofErr w:type="spellStart"/>
            <w:r w:rsidRPr="00DF4CE5">
              <w:rPr>
                <w:rFonts w:ascii="Cambria" w:hAnsi="Cambria" w:cs="Calibri"/>
                <w:lang w:val="it-IT"/>
              </w:rPr>
              <w:t>konkretnoga</w:t>
            </w:r>
            <w:proofErr w:type="spellEnd"/>
            <w:r w:rsidRPr="00DF4CE5">
              <w:rPr>
                <w:rFonts w:ascii="Cambria" w:hAnsi="Cambria" w:cs="Calibri"/>
                <w:lang w:val="it-IT"/>
              </w:rPr>
              <w:t xml:space="preserve"> </w:t>
            </w:r>
            <w:proofErr w:type="spellStart"/>
            <w:r w:rsidRPr="00DF4CE5">
              <w:rPr>
                <w:rFonts w:ascii="Cambria" w:hAnsi="Cambria" w:cs="Calibri"/>
                <w:lang w:val="it-IT"/>
              </w:rPr>
              <w:t>modela</w:t>
            </w:r>
            <w:proofErr w:type="spellEnd"/>
            <w:r w:rsidRPr="00DF4CE5">
              <w:rPr>
                <w:rFonts w:ascii="Cambria" w:hAnsi="Cambria" w:cs="Calibri"/>
                <w:lang w:val="it-IT"/>
              </w:rPr>
              <w:t xml:space="preserve"> rada. </w:t>
            </w:r>
          </w:p>
          <w:p w14:paraId="23DE12EE" w14:textId="77777777" w:rsidR="00ED1945" w:rsidRPr="00DF4CE5" w:rsidRDefault="00ED1945" w:rsidP="00ED1945">
            <w:pPr>
              <w:spacing w:after="0" w:line="240" w:lineRule="auto"/>
              <w:rPr>
                <w:rFonts w:ascii="Cambria" w:hAnsi="Cambria" w:cs="Calibri"/>
                <w:lang w:val="it-IT"/>
              </w:rPr>
            </w:pPr>
            <w:r w:rsidRPr="00DF4CE5">
              <w:rPr>
                <w:rFonts w:ascii="Cambria" w:hAnsi="Cambria" w:cs="Calibri"/>
                <w:lang w:val="it-IT"/>
              </w:rPr>
              <w:t xml:space="preserve">5.  </w:t>
            </w:r>
            <w:proofErr w:type="spellStart"/>
            <w:r w:rsidRPr="00DF4CE5">
              <w:rPr>
                <w:rFonts w:ascii="Cambria" w:hAnsi="Cambria" w:cs="Calibri"/>
                <w:lang w:val="it-IT"/>
              </w:rPr>
              <w:t>Pročitati</w:t>
            </w:r>
            <w:proofErr w:type="spellEnd"/>
            <w:r w:rsidRPr="00DF4CE5">
              <w:rPr>
                <w:rFonts w:ascii="Cambria" w:hAnsi="Cambria" w:cs="Calibri"/>
                <w:lang w:val="it-IT"/>
              </w:rPr>
              <w:t xml:space="preserve"> </w:t>
            </w:r>
            <w:proofErr w:type="spellStart"/>
            <w:r w:rsidRPr="00DF4CE5">
              <w:rPr>
                <w:rFonts w:ascii="Cambria" w:hAnsi="Cambria" w:cs="Calibri"/>
                <w:lang w:val="it-IT"/>
              </w:rPr>
              <w:t>lektiru</w:t>
            </w:r>
            <w:proofErr w:type="spellEnd"/>
            <w:r w:rsidRPr="00DF4CE5">
              <w:rPr>
                <w:rFonts w:ascii="Cambria" w:hAnsi="Cambria" w:cs="Calibri"/>
                <w:lang w:val="it-IT"/>
              </w:rPr>
              <w:t xml:space="preserve"> – </w:t>
            </w:r>
            <w:proofErr w:type="spellStart"/>
            <w:r w:rsidRPr="00DF4CE5">
              <w:rPr>
                <w:rFonts w:ascii="Cambria" w:hAnsi="Cambria" w:cs="Calibri"/>
                <w:lang w:val="it-IT"/>
              </w:rPr>
              <w:t>obavezna</w:t>
            </w:r>
            <w:proofErr w:type="spellEnd"/>
            <w:r w:rsidRPr="00DF4CE5">
              <w:rPr>
                <w:rFonts w:ascii="Cambria" w:hAnsi="Cambria" w:cs="Calibri"/>
                <w:lang w:val="it-IT"/>
              </w:rPr>
              <w:t xml:space="preserve"> za </w:t>
            </w:r>
            <w:proofErr w:type="spellStart"/>
            <w:r w:rsidRPr="00DF4CE5">
              <w:rPr>
                <w:rFonts w:ascii="Cambria" w:hAnsi="Cambria" w:cs="Calibri"/>
                <w:lang w:val="it-IT"/>
              </w:rPr>
              <w:t>kolokvij</w:t>
            </w:r>
            <w:proofErr w:type="spellEnd"/>
            <w:r w:rsidRPr="00DF4CE5">
              <w:rPr>
                <w:rFonts w:ascii="Cambria" w:hAnsi="Cambria" w:cs="Calibri"/>
                <w:lang w:val="it-IT"/>
              </w:rPr>
              <w:t xml:space="preserve"> i </w:t>
            </w:r>
            <w:proofErr w:type="spellStart"/>
            <w:r w:rsidRPr="00DF4CE5">
              <w:rPr>
                <w:rFonts w:ascii="Cambria" w:hAnsi="Cambria" w:cs="Calibri"/>
                <w:lang w:val="it-IT"/>
              </w:rPr>
              <w:t>ispit</w:t>
            </w:r>
            <w:proofErr w:type="spellEnd"/>
            <w:r w:rsidRPr="00DF4CE5">
              <w:rPr>
                <w:rFonts w:ascii="Cambria" w:hAnsi="Cambria" w:cs="Calibri"/>
                <w:lang w:val="it-IT"/>
              </w:rPr>
              <w:t>.</w:t>
            </w:r>
          </w:p>
          <w:p w14:paraId="198908D5" w14:textId="77777777" w:rsidR="00ED1945" w:rsidRPr="00DF4CE5" w:rsidRDefault="00ED1945" w:rsidP="00ED1945">
            <w:pPr>
              <w:spacing w:after="0" w:line="240" w:lineRule="auto"/>
              <w:rPr>
                <w:rFonts w:ascii="Cambria" w:hAnsi="Cambria" w:cs="Calibri"/>
                <w:lang w:val="it-IT"/>
              </w:rPr>
            </w:pPr>
            <w:r w:rsidRPr="00DF4CE5">
              <w:rPr>
                <w:rFonts w:ascii="Cambria" w:hAnsi="Cambria" w:cs="Calibri"/>
                <w:lang w:val="it-IT"/>
              </w:rPr>
              <w:t xml:space="preserve">6. </w:t>
            </w:r>
            <w:proofErr w:type="spellStart"/>
            <w:r w:rsidRPr="00DF4CE5">
              <w:rPr>
                <w:rFonts w:ascii="Cambria" w:hAnsi="Cambria" w:cs="Calibri"/>
                <w:lang w:val="it-IT"/>
              </w:rPr>
              <w:t>Položiti</w:t>
            </w:r>
            <w:proofErr w:type="spellEnd"/>
            <w:r w:rsidRPr="00DF4CE5">
              <w:rPr>
                <w:rFonts w:ascii="Cambria" w:hAnsi="Cambria" w:cs="Calibri"/>
                <w:lang w:val="it-IT"/>
              </w:rPr>
              <w:t xml:space="preserve"> </w:t>
            </w:r>
            <w:proofErr w:type="spellStart"/>
            <w:r w:rsidRPr="00DF4CE5">
              <w:rPr>
                <w:rFonts w:ascii="Cambria" w:hAnsi="Cambria" w:cs="Calibri"/>
                <w:lang w:val="it-IT"/>
              </w:rPr>
              <w:t>pismeni</w:t>
            </w:r>
            <w:proofErr w:type="spellEnd"/>
            <w:r w:rsidRPr="00DF4CE5">
              <w:rPr>
                <w:rFonts w:ascii="Cambria" w:hAnsi="Cambria" w:cs="Calibri"/>
                <w:lang w:val="it-IT"/>
              </w:rPr>
              <w:t xml:space="preserve"> </w:t>
            </w:r>
            <w:proofErr w:type="spellStart"/>
            <w:r w:rsidRPr="00DF4CE5">
              <w:rPr>
                <w:rFonts w:ascii="Cambria" w:hAnsi="Cambria" w:cs="Calibri"/>
                <w:lang w:val="it-IT"/>
              </w:rPr>
              <w:t>kolokvij</w:t>
            </w:r>
            <w:proofErr w:type="spellEnd"/>
            <w:r w:rsidRPr="00DF4CE5">
              <w:rPr>
                <w:rFonts w:ascii="Cambria" w:hAnsi="Cambria" w:cs="Calibri"/>
                <w:lang w:val="it-IT"/>
              </w:rPr>
              <w:t>.</w:t>
            </w:r>
          </w:p>
          <w:p w14:paraId="39249B16" w14:textId="77777777" w:rsidR="00ED1945" w:rsidRPr="00DF4CE5" w:rsidRDefault="00ED1945" w:rsidP="00ED1945">
            <w:pPr>
              <w:spacing w:after="0" w:line="240" w:lineRule="auto"/>
              <w:rPr>
                <w:rFonts w:ascii="Cambria" w:hAnsi="Cambria" w:cs="Calibri"/>
                <w:lang w:val="it-IT"/>
              </w:rPr>
            </w:pPr>
            <w:r w:rsidRPr="00DF4CE5">
              <w:rPr>
                <w:rFonts w:ascii="Cambria" w:hAnsi="Cambria" w:cs="Calibri"/>
                <w:lang w:val="it-IT"/>
              </w:rPr>
              <w:t xml:space="preserve">7. </w:t>
            </w:r>
            <w:proofErr w:type="spellStart"/>
            <w:r w:rsidRPr="00DF4CE5">
              <w:rPr>
                <w:rFonts w:ascii="Cambria" w:hAnsi="Cambria" w:cs="Calibri"/>
                <w:lang w:val="it-IT"/>
              </w:rPr>
              <w:t>Položiti</w:t>
            </w:r>
            <w:proofErr w:type="spellEnd"/>
            <w:r w:rsidRPr="00DF4CE5">
              <w:rPr>
                <w:rFonts w:ascii="Cambria" w:hAnsi="Cambria" w:cs="Calibri"/>
                <w:lang w:val="it-IT"/>
              </w:rPr>
              <w:t xml:space="preserve"> </w:t>
            </w:r>
            <w:proofErr w:type="spellStart"/>
            <w:r w:rsidRPr="00DF4CE5">
              <w:rPr>
                <w:rFonts w:ascii="Cambria" w:hAnsi="Cambria" w:cs="Calibri"/>
                <w:lang w:val="it-IT"/>
              </w:rPr>
              <w:t>usmeni</w:t>
            </w:r>
            <w:proofErr w:type="spellEnd"/>
            <w:r w:rsidRPr="00DF4CE5">
              <w:rPr>
                <w:rFonts w:ascii="Cambria" w:hAnsi="Cambria" w:cs="Calibri"/>
                <w:lang w:val="it-IT"/>
              </w:rPr>
              <w:t xml:space="preserve"> </w:t>
            </w:r>
            <w:proofErr w:type="spellStart"/>
            <w:r w:rsidRPr="00DF4CE5">
              <w:rPr>
                <w:rFonts w:ascii="Cambria" w:hAnsi="Cambria" w:cs="Calibri"/>
                <w:lang w:val="it-IT"/>
              </w:rPr>
              <w:t>ispit</w:t>
            </w:r>
            <w:proofErr w:type="spellEnd"/>
            <w:r w:rsidRPr="00DF4CE5">
              <w:rPr>
                <w:rFonts w:ascii="Cambria" w:hAnsi="Cambria" w:cs="Calibri"/>
                <w:lang w:val="it-IT"/>
              </w:rPr>
              <w:t>.</w:t>
            </w:r>
          </w:p>
        </w:tc>
      </w:tr>
      <w:tr w:rsidR="00ED1945" w:rsidRPr="00D0399C" w14:paraId="47EBAA1F" w14:textId="77777777" w:rsidTr="00ED1945">
        <w:tc>
          <w:tcPr>
            <w:tcW w:w="205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DBACC4D" w14:textId="77777777" w:rsidR="00ED1945" w:rsidRPr="005C2363" w:rsidRDefault="00ED1945" w:rsidP="00ED1945">
            <w:pPr>
              <w:spacing w:after="0" w:line="240" w:lineRule="auto"/>
              <w:rPr>
                <w:rFonts w:ascii="Cambria" w:eastAsia="Times New Roman" w:hAnsi="Cambria" w:cs="Calibri"/>
                <w:lang w:val="hr-HR"/>
              </w:rPr>
            </w:pPr>
            <w:r w:rsidRPr="005C2363">
              <w:rPr>
                <w:rFonts w:ascii="Cambria" w:eastAsia="Times New Roman" w:hAnsi="Cambria" w:cs="Calibri"/>
                <w:lang w:val="hr-HR"/>
              </w:rPr>
              <w:t>Rokovi ispita i kolokvija</w:t>
            </w:r>
          </w:p>
        </w:tc>
        <w:tc>
          <w:tcPr>
            <w:tcW w:w="699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23C8C9F" w14:textId="77777777" w:rsidR="00ED1945" w:rsidRPr="00DF4CE5" w:rsidRDefault="00ED1945" w:rsidP="00ED1945">
            <w:pPr>
              <w:snapToGrid w:val="0"/>
              <w:spacing w:line="256" w:lineRule="auto"/>
              <w:rPr>
                <w:rFonts w:ascii="Cambria" w:hAnsi="Cambria" w:cs="Calibri"/>
                <w:lang w:val="hr-HR"/>
              </w:rPr>
            </w:pPr>
            <w:r w:rsidRPr="00C26BD1">
              <w:rPr>
                <w:rFonts w:ascii="Cambria" w:hAnsi="Cambria" w:cs="Calibri"/>
                <w:lang w:val="hr-HR"/>
              </w:rPr>
              <w:t xml:space="preserve">Daju se na početku akademske godine, objavljuju se na mrežnim stranicama Sveučilišta i u ISVU. </w:t>
            </w:r>
          </w:p>
        </w:tc>
      </w:tr>
      <w:tr w:rsidR="00ED1945" w:rsidRPr="005C2363" w14:paraId="48E9B991" w14:textId="77777777" w:rsidTr="00ED1945">
        <w:tc>
          <w:tcPr>
            <w:tcW w:w="205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6EA327E" w14:textId="77777777" w:rsidR="00ED1945" w:rsidRPr="005C2363" w:rsidRDefault="00ED1945" w:rsidP="00ED1945">
            <w:pPr>
              <w:spacing w:after="0" w:line="240" w:lineRule="auto"/>
              <w:rPr>
                <w:rFonts w:ascii="Cambria" w:eastAsia="Times New Roman" w:hAnsi="Cambria" w:cs="Calibri"/>
                <w:lang w:val="hr-HR"/>
              </w:rPr>
            </w:pPr>
            <w:r w:rsidRPr="005C2363">
              <w:rPr>
                <w:rFonts w:ascii="Cambria" w:eastAsia="Times New Roman" w:hAnsi="Cambria" w:cs="Calibri"/>
                <w:lang w:val="hr-HR"/>
              </w:rPr>
              <w:t>Ostale važne činjenice vezane uz kolegij</w:t>
            </w:r>
          </w:p>
        </w:tc>
        <w:tc>
          <w:tcPr>
            <w:tcW w:w="699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19FCD56" w14:textId="77777777" w:rsidR="00ED1945" w:rsidRPr="00DF4CE5" w:rsidRDefault="00ED1945" w:rsidP="00ED1945">
            <w:pPr>
              <w:snapToGrid w:val="0"/>
              <w:spacing w:after="0" w:line="240" w:lineRule="auto"/>
              <w:rPr>
                <w:rFonts w:ascii="Cambria" w:hAnsi="Cambria" w:cs="Calibri"/>
                <w:lang w:val="hr-HR"/>
              </w:rPr>
            </w:pPr>
            <w:proofErr w:type="spellStart"/>
            <w:r w:rsidRPr="00DF4CE5">
              <w:rPr>
                <w:rFonts w:ascii="Cambria" w:hAnsi="Cambria" w:cs="Calibri"/>
                <w:lang w:val="it-IT"/>
              </w:rPr>
              <w:t>Materijali</w:t>
            </w:r>
            <w:proofErr w:type="spellEnd"/>
            <w:r w:rsidRPr="00DF4CE5">
              <w:rPr>
                <w:rFonts w:ascii="Cambria" w:hAnsi="Cambria" w:cs="Calibri"/>
                <w:lang w:val="it-IT"/>
              </w:rPr>
              <w:t xml:space="preserve"> za </w:t>
            </w:r>
            <w:proofErr w:type="spellStart"/>
            <w:r w:rsidRPr="00DF4CE5">
              <w:rPr>
                <w:rFonts w:ascii="Cambria" w:hAnsi="Cambria" w:cs="Calibri"/>
                <w:lang w:val="it-IT"/>
              </w:rPr>
              <w:t>predavanja</w:t>
            </w:r>
            <w:proofErr w:type="spellEnd"/>
            <w:r w:rsidRPr="00DF4CE5">
              <w:rPr>
                <w:rFonts w:ascii="Cambria" w:hAnsi="Cambria" w:cs="Calibri"/>
                <w:lang w:val="it-IT"/>
              </w:rPr>
              <w:t xml:space="preserve"> </w:t>
            </w:r>
            <w:proofErr w:type="gramStart"/>
            <w:r w:rsidRPr="00DF4CE5">
              <w:rPr>
                <w:rFonts w:ascii="Cambria" w:hAnsi="Cambria" w:cs="Calibri"/>
                <w:lang w:val="it-IT"/>
              </w:rPr>
              <w:t>i seminare</w:t>
            </w:r>
            <w:proofErr w:type="gramEnd"/>
            <w:r w:rsidRPr="00DF4CE5">
              <w:rPr>
                <w:rFonts w:ascii="Cambria" w:hAnsi="Cambria" w:cs="Calibri"/>
                <w:lang w:val="it-IT"/>
              </w:rPr>
              <w:t xml:space="preserve"> </w:t>
            </w:r>
            <w:proofErr w:type="spellStart"/>
            <w:r w:rsidRPr="00DF4CE5">
              <w:rPr>
                <w:rFonts w:ascii="Cambria" w:hAnsi="Cambria" w:cs="Calibri"/>
                <w:lang w:val="it-IT"/>
              </w:rPr>
              <w:t>objavljuju</w:t>
            </w:r>
            <w:proofErr w:type="spellEnd"/>
            <w:r w:rsidRPr="00DF4CE5">
              <w:rPr>
                <w:rFonts w:ascii="Cambria" w:hAnsi="Cambria" w:cs="Calibri"/>
                <w:lang w:val="it-IT"/>
              </w:rPr>
              <w:t xml:space="preserve"> se </w:t>
            </w:r>
            <w:proofErr w:type="spellStart"/>
            <w:r w:rsidRPr="00DF4CE5">
              <w:rPr>
                <w:rFonts w:ascii="Cambria" w:hAnsi="Cambria" w:cs="Calibri"/>
                <w:lang w:val="it-IT"/>
              </w:rPr>
              <w:t>na</w:t>
            </w:r>
            <w:proofErr w:type="spellEnd"/>
            <w:r w:rsidRPr="00DF4CE5">
              <w:rPr>
                <w:rFonts w:ascii="Cambria" w:hAnsi="Cambria" w:cs="Calibri"/>
                <w:lang w:val="it-IT"/>
              </w:rPr>
              <w:t xml:space="preserve"> e-</w:t>
            </w:r>
            <w:proofErr w:type="spellStart"/>
            <w:r w:rsidRPr="00DF4CE5">
              <w:rPr>
                <w:rFonts w:ascii="Cambria" w:hAnsi="Cambria" w:cs="Calibri"/>
                <w:lang w:val="it-IT"/>
              </w:rPr>
              <w:t>učenju</w:t>
            </w:r>
            <w:proofErr w:type="spellEnd"/>
            <w:r w:rsidRPr="00DF4CE5">
              <w:rPr>
                <w:rFonts w:ascii="Cambria" w:hAnsi="Cambria" w:cs="Calibri"/>
                <w:lang w:val="it-IT"/>
              </w:rPr>
              <w:t>.</w:t>
            </w:r>
          </w:p>
          <w:p w14:paraId="7A95339B" w14:textId="77777777" w:rsidR="00ED1945" w:rsidRPr="00C26BD1" w:rsidRDefault="00ED1945" w:rsidP="00ED1945">
            <w:pPr>
              <w:snapToGrid w:val="0"/>
              <w:spacing w:after="0" w:line="240" w:lineRule="auto"/>
              <w:rPr>
                <w:rFonts w:ascii="Cambria" w:hAnsi="Cambria" w:cs="Calibri"/>
                <w:lang w:val="hr-HR"/>
              </w:rPr>
            </w:pPr>
            <w:r w:rsidRPr="00DF4CE5">
              <w:rPr>
                <w:rFonts w:ascii="Cambria" w:hAnsi="Cambria" w:cs="Calibri"/>
                <w:lang w:val="hr-HR"/>
              </w:rPr>
              <w:t xml:space="preserve">U slučaju održavanja nastave na daljinu, moguće je odstupanje u: mjestu izvođenja kolegija, provedbi aktivnosti, metoda tumačenja i poučavanja i načinima vrednovanja, studentskim obvezama i dostupnoj literaturi. </w:t>
            </w:r>
            <w:r w:rsidRPr="00C26BD1">
              <w:rPr>
                <w:rFonts w:ascii="Cambria" w:hAnsi="Cambria" w:cs="Calibri"/>
                <w:lang w:val="hr-HR"/>
              </w:rPr>
              <w:t>O tome će nositeljica kolegija obavijestiti studente i studentice kad se nastava na daljinu počne održavati. Ishodi učenja ostaju nepromijenjeni.</w:t>
            </w:r>
          </w:p>
        </w:tc>
      </w:tr>
      <w:tr w:rsidR="00ED1945" w:rsidRPr="00D0399C" w14:paraId="51EE9E96" w14:textId="77777777" w:rsidTr="00ED1945">
        <w:trPr>
          <w:trHeight w:val="770"/>
        </w:trPr>
        <w:tc>
          <w:tcPr>
            <w:tcW w:w="205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980DE0B" w14:textId="77777777" w:rsidR="00ED1945" w:rsidRPr="005C2363" w:rsidRDefault="00ED1945" w:rsidP="00ED1945">
            <w:pPr>
              <w:spacing w:after="0" w:line="240" w:lineRule="auto"/>
              <w:rPr>
                <w:rFonts w:ascii="Cambria" w:eastAsia="Times New Roman" w:hAnsi="Cambria" w:cs="Calibri"/>
                <w:lang w:val="hr-HR"/>
              </w:rPr>
            </w:pPr>
            <w:r w:rsidRPr="005C2363">
              <w:rPr>
                <w:rFonts w:ascii="Cambria" w:eastAsia="Times New Roman" w:hAnsi="Cambria" w:cs="Calibri"/>
                <w:lang w:val="hr-HR"/>
              </w:rPr>
              <w:t>Literatura</w:t>
            </w:r>
          </w:p>
        </w:tc>
        <w:tc>
          <w:tcPr>
            <w:tcW w:w="6996"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6FD33B30" w14:textId="77777777" w:rsidR="00ED1945" w:rsidRPr="00C26BD1" w:rsidRDefault="00ED1945" w:rsidP="00ED1945">
            <w:pPr>
              <w:snapToGrid w:val="0"/>
              <w:spacing w:after="0" w:line="240" w:lineRule="auto"/>
              <w:rPr>
                <w:rFonts w:ascii="Cambria" w:hAnsi="Cambria" w:cs="Calibri"/>
                <w:lang w:val="hr-HR"/>
              </w:rPr>
            </w:pPr>
            <w:r w:rsidRPr="00C26BD1">
              <w:rPr>
                <w:rFonts w:ascii="Cambria" w:hAnsi="Cambria" w:cs="Calibri"/>
                <w:lang w:val="hr-HR"/>
              </w:rPr>
              <w:t xml:space="preserve">Obvezna: </w:t>
            </w:r>
          </w:p>
          <w:p w14:paraId="15928F8F" w14:textId="6B1988C9" w:rsidR="00ED1945" w:rsidRPr="00C26BD1" w:rsidRDefault="00ED1945" w:rsidP="00ED1945">
            <w:pPr>
              <w:spacing w:after="0" w:line="240" w:lineRule="auto"/>
              <w:rPr>
                <w:rFonts w:ascii="Cambria" w:hAnsi="Cambria" w:cs="Calibri"/>
                <w:lang w:val="hr-HR"/>
              </w:rPr>
            </w:pPr>
            <w:r w:rsidRPr="00C26BD1">
              <w:rPr>
                <w:rFonts w:ascii="Cambria" w:hAnsi="Cambria" w:cs="Calibri"/>
                <w:lang w:val="hr-HR"/>
              </w:rPr>
              <w:t>1.</w:t>
            </w:r>
            <w:r>
              <w:rPr>
                <w:rFonts w:ascii="Cambria" w:hAnsi="Cambria" w:cs="Calibri"/>
                <w:lang w:val="hr-HR"/>
              </w:rPr>
              <w:t xml:space="preserve"> </w:t>
            </w:r>
            <w:r w:rsidRPr="00C26BD1">
              <w:rPr>
                <w:rFonts w:ascii="Cambria" w:hAnsi="Cambria" w:cs="Calibri"/>
                <w:lang w:val="hr-HR"/>
              </w:rPr>
              <w:t>Crnković, M. (1990). Dječja književnost, Školska knjiga, Zagreb.</w:t>
            </w:r>
          </w:p>
          <w:p w14:paraId="329A22D0" w14:textId="77777777" w:rsidR="00ED1945" w:rsidRPr="00C26BD1" w:rsidRDefault="00ED1945" w:rsidP="00ED1945">
            <w:pPr>
              <w:spacing w:after="0" w:line="240" w:lineRule="auto"/>
              <w:rPr>
                <w:rFonts w:ascii="Cambria" w:hAnsi="Cambria" w:cs="Calibri"/>
                <w:lang w:val="hr-HR"/>
              </w:rPr>
            </w:pPr>
            <w:r w:rsidRPr="00C26BD1">
              <w:rPr>
                <w:rFonts w:ascii="Cambria" w:hAnsi="Cambria" w:cs="Calibri"/>
                <w:lang w:val="hr-HR"/>
              </w:rPr>
              <w:t>2. Crnković, M., Težak, D. (2002). Hrvatska dječja književnost od početaka do 1995., Znanje, Zagreb.</w:t>
            </w:r>
          </w:p>
          <w:p w14:paraId="5E365270" w14:textId="77777777" w:rsidR="00ED1945" w:rsidRPr="00C26BD1" w:rsidRDefault="00ED1945" w:rsidP="00ED1945">
            <w:pPr>
              <w:spacing w:after="0" w:line="240" w:lineRule="auto"/>
              <w:rPr>
                <w:rFonts w:ascii="Cambria" w:hAnsi="Cambria" w:cs="Calibri"/>
                <w:lang w:val="hr-HR"/>
              </w:rPr>
            </w:pPr>
            <w:r w:rsidRPr="00C26BD1">
              <w:rPr>
                <w:rFonts w:ascii="Cambria" w:hAnsi="Cambria" w:cs="Calibri"/>
                <w:lang w:val="hr-HR"/>
              </w:rPr>
              <w:t xml:space="preserve">3. </w:t>
            </w:r>
            <w:proofErr w:type="spellStart"/>
            <w:r w:rsidRPr="00C26BD1">
              <w:rPr>
                <w:rFonts w:ascii="Cambria" w:hAnsi="Cambria" w:cs="Calibri"/>
                <w:lang w:val="hr-HR"/>
              </w:rPr>
              <w:t>Hameršak</w:t>
            </w:r>
            <w:proofErr w:type="spellEnd"/>
            <w:r w:rsidRPr="00C26BD1">
              <w:rPr>
                <w:rFonts w:ascii="Cambria" w:hAnsi="Cambria" w:cs="Calibri"/>
                <w:lang w:val="hr-HR"/>
              </w:rPr>
              <w:t xml:space="preserve">, M., Zima, D. (2015). Uvod u dječju književnost, </w:t>
            </w:r>
            <w:proofErr w:type="spellStart"/>
            <w:r w:rsidRPr="00C26BD1">
              <w:rPr>
                <w:rFonts w:ascii="Cambria" w:hAnsi="Cambria" w:cs="Calibri"/>
                <w:lang w:val="hr-HR"/>
              </w:rPr>
              <w:t>Leykam</w:t>
            </w:r>
            <w:proofErr w:type="spellEnd"/>
            <w:r w:rsidRPr="00C26BD1">
              <w:rPr>
                <w:rFonts w:ascii="Cambria" w:hAnsi="Cambria" w:cs="Calibri"/>
                <w:lang w:val="hr-HR"/>
              </w:rPr>
              <w:t xml:space="preserve"> </w:t>
            </w:r>
            <w:proofErr w:type="spellStart"/>
            <w:r w:rsidRPr="00C26BD1">
              <w:rPr>
                <w:rFonts w:ascii="Cambria" w:hAnsi="Cambria" w:cs="Calibri"/>
                <w:lang w:val="hr-HR"/>
              </w:rPr>
              <w:t>international</w:t>
            </w:r>
            <w:proofErr w:type="spellEnd"/>
            <w:r w:rsidRPr="00C26BD1">
              <w:rPr>
                <w:rFonts w:ascii="Cambria" w:hAnsi="Cambria" w:cs="Calibri"/>
                <w:lang w:val="hr-HR"/>
              </w:rPr>
              <w:t>, Zagreb.</w:t>
            </w:r>
          </w:p>
          <w:p w14:paraId="65057A76" w14:textId="77777777" w:rsidR="00ED1945" w:rsidRPr="00C26BD1" w:rsidRDefault="00ED1945" w:rsidP="00ED1945">
            <w:pPr>
              <w:spacing w:after="0" w:line="240" w:lineRule="auto"/>
              <w:rPr>
                <w:rFonts w:ascii="Cambria" w:hAnsi="Cambria" w:cs="Calibri"/>
                <w:lang w:val="hr-HR"/>
              </w:rPr>
            </w:pPr>
            <w:r w:rsidRPr="00C26BD1">
              <w:rPr>
                <w:rFonts w:ascii="Cambria" w:hAnsi="Cambria" w:cs="Calibri"/>
                <w:lang w:val="hr-HR"/>
              </w:rPr>
              <w:t xml:space="preserve">4. </w:t>
            </w:r>
            <w:proofErr w:type="spellStart"/>
            <w:r w:rsidRPr="00C26BD1">
              <w:rPr>
                <w:rFonts w:ascii="Cambria" w:hAnsi="Cambria" w:cs="Calibri"/>
                <w:lang w:val="hr-HR"/>
              </w:rPr>
              <w:t>Hranjec</w:t>
            </w:r>
            <w:proofErr w:type="spellEnd"/>
            <w:r w:rsidRPr="00C26BD1">
              <w:rPr>
                <w:rFonts w:ascii="Cambria" w:hAnsi="Cambria" w:cs="Calibri"/>
                <w:lang w:val="hr-HR"/>
              </w:rPr>
              <w:t>, S. (2007). Pregled hrvatske dječje književnosti, Školska knjiga, Zagreb.</w:t>
            </w:r>
          </w:p>
          <w:p w14:paraId="1E37F0AA" w14:textId="77777777" w:rsidR="00ED1945" w:rsidRPr="00C26BD1" w:rsidRDefault="00ED1945" w:rsidP="00ED1945">
            <w:pPr>
              <w:spacing w:after="0" w:line="240" w:lineRule="auto"/>
              <w:rPr>
                <w:rFonts w:ascii="Cambria" w:hAnsi="Cambria" w:cs="Calibri"/>
                <w:lang w:val="hr-HR"/>
              </w:rPr>
            </w:pPr>
            <w:r w:rsidRPr="00C26BD1">
              <w:rPr>
                <w:rFonts w:ascii="Cambria" w:hAnsi="Cambria" w:cs="Calibri"/>
                <w:lang w:val="hr-HR"/>
              </w:rPr>
              <w:t>5. Zalar, I. (1991). Pregled hrvatske dječje poezije, Školska knjiga, Zagreb.</w:t>
            </w:r>
          </w:p>
          <w:p w14:paraId="63185D88" w14:textId="77777777" w:rsidR="00ED1945" w:rsidRPr="00DF4CE5" w:rsidRDefault="00ED1945" w:rsidP="00ED1945">
            <w:pPr>
              <w:spacing w:after="0" w:line="240" w:lineRule="auto"/>
              <w:rPr>
                <w:rFonts w:ascii="Cambria" w:hAnsi="Cambria" w:cs="Calibri"/>
                <w:lang w:val="it-IT"/>
              </w:rPr>
            </w:pPr>
            <w:proofErr w:type="spellStart"/>
            <w:r w:rsidRPr="00DF4CE5">
              <w:rPr>
                <w:rFonts w:ascii="Cambria" w:hAnsi="Cambria" w:cs="Calibri"/>
                <w:lang w:val="it-IT"/>
              </w:rPr>
              <w:t>Izborna</w:t>
            </w:r>
            <w:proofErr w:type="spellEnd"/>
            <w:r w:rsidRPr="00DF4CE5">
              <w:rPr>
                <w:rFonts w:ascii="Cambria" w:hAnsi="Cambria" w:cs="Calibri"/>
                <w:lang w:val="it-IT"/>
              </w:rPr>
              <w:t>:</w:t>
            </w:r>
          </w:p>
          <w:p w14:paraId="38C917F4" w14:textId="77777777" w:rsidR="00ED1945" w:rsidRPr="00DF4CE5" w:rsidRDefault="00ED1945" w:rsidP="00ED1945">
            <w:pPr>
              <w:spacing w:after="0" w:line="240" w:lineRule="auto"/>
              <w:rPr>
                <w:rFonts w:ascii="Cambria" w:hAnsi="Cambria" w:cs="Calibri"/>
                <w:lang w:val="it-IT"/>
              </w:rPr>
            </w:pPr>
            <w:r w:rsidRPr="00DF4CE5">
              <w:rPr>
                <w:rFonts w:ascii="Cambria" w:hAnsi="Cambria" w:cs="Calibri"/>
                <w:lang w:val="it-IT"/>
              </w:rPr>
              <w:t xml:space="preserve">1. </w:t>
            </w:r>
            <w:proofErr w:type="spellStart"/>
            <w:r w:rsidRPr="00DF4CE5">
              <w:rPr>
                <w:rFonts w:ascii="Cambria" w:hAnsi="Cambria" w:cs="Calibri"/>
                <w:lang w:val="it-IT"/>
              </w:rPr>
              <w:t>Crnković</w:t>
            </w:r>
            <w:proofErr w:type="spellEnd"/>
            <w:r w:rsidRPr="00DF4CE5">
              <w:rPr>
                <w:rFonts w:ascii="Cambria" w:hAnsi="Cambria" w:cs="Calibri"/>
                <w:lang w:val="it-IT"/>
              </w:rPr>
              <w:t xml:space="preserve">, M. (1987). Sto </w:t>
            </w:r>
            <w:proofErr w:type="spellStart"/>
            <w:r w:rsidRPr="00DF4CE5">
              <w:rPr>
                <w:rFonts w:ascii="Cambria" w:hAnsi="Cambria" w:cs="Calibri"/>
                <w:lang w:val="it-IT"/>
              </w:rPr>
              <w:t>lica</w:t>
            </w:r>
            <w:proofErr w:type="spellEnd"/>
            <w:r w:rsidRPr="00DF4CE5">
              <w:rPr>
                <w:rFonts w:ascii="Cambria" w:hAnsi="Cambria" w:cs="Calibri"/>
                <w:lang w:val="it-IT"/>
              </w:rPr>
              <w:t xml:space="preserve"> </w:t>
            </w:r>
            <w:proofErr w:type="spellStart"/>
            <w:r w:rsidRPr="00DF4CE5">
              <w:rPr>
                <w:rFonts w:ascii="Cambria" w:hAnsi="Cambria" w:cs="Calibri"/>
                <w:lang w:val="it-IT"/>
              </w:rPr>
              <w:t>priče</w:t>
            </w:r>
            <w:proofErr w:type="spellEnd"/>
            <w:r w:rsidRPr="00DF4CE5">
              <w:rPr>
                <w:rFonts w:ascii="Cambria" w:hAnsi="Cambria" w:cs="Calibri"/>
                <w:lang w:val="it-IT"/>
              </w:rPr>
              <w:t xml:space="preserve">, </w:t>
            </w:r>
            <w:proofErr w:type="spellStart"/>
            <w:r w:rsidRPr="00DF4CE5">
              <w:rPr>
                <w:rFonts w:ascii="Cambria" w:hAnsi="Cambria" w:cs="Calibri"/>
                <w:lang w:val="it-IT"/>
              </w:rPr>
              <w:t>Školska</w:t>
            </w:r>
            <w:proofErr w:type="spellEnd"/>
            <w:r w:rsidRPr="00DF4CE5">
              <w:rPr>
                <w:rFonts w:ascii="Cambria" w:hAnsi="Cambria" w:cs="Calibri"/>
                <w:lang w:val="it-IT"/>
              </w:rPr>
              <w:t xml:space="preserve"> </w:t>
            </w:r>
            <w:proofErr w:type="spellStart"/>
            <w:r w:rsidRPr="00DF4CE5">
              <w:rPr>
                <w:rFonts w:ascii="Cambria" w:hAnsi="Cambria" w:cs="Calibri"/>
                <w:lang w:val="it-IT"/>
              </w:rPr>
              <w:t>knjiga</w:t>
            </w:r>
            <w:proofErr w:type="spellEnd"/>
            <w:r w:rsidRPr="00DF4CE5">
              <w:rPr>
                <w:rFonts w:ascii="Cambria" w:hAnsi="Cambria" w:cs="Calibri"/>
                <w:lang w:val="it-IT"/>
              </w:rPr>
              <w:t xml:space="preserve"> </w:t>
            </w:r>
            <w:proofErr w:type="spellStart"/>
            <w:r w:rsidRPr="00DF4CE5">
              <w:rPr>
                <w:rFonts w:ascii="Cambria" w:hAnsi="Cambria" w:cs="Calibri"/>
                <w:lang w:val="it-IT"/>
              </w:rPr>
              <w:t>Zagreb</w:t>
            </w:r>
            <w:proofErr w:type="spellEnd"/>
            <w:r w:rsidRPr="00DF4CE5">
              <w:rPr>
                <w:rFonts w:ascii="Cambria" w:hAnsi="Cambria" w:cs="Calibri"/>
                <w:lang w:val="it-IT"/>
              </w:rPr>
              <w:t>.</w:t>
            </w:r>
          </w:p>
          <w:p w14:paraId="15A8B48C" w14:textId="77777777" w:rsidR="00ED1945" w:rsidRPr="00DF4CE5" w:rsidRDefault="00ED1945" w:rsidP="00ED1945">
            <w:pPr>
              <w:spacing w:after="0" w:line="240" w:lineRule="auto"/>
              <w:rPr>
                <w:rFonts w:ascii="Cambria" w:hAnsi="Cambria" w:cs="Calibri"/>
                <w:lang w:val="it-IT"/>
              </w:rPr>
            </w:pPr>
            <w:r w:rsidRPr="00DF4CE5">
              <w:rPr>
                <w:rFonts w:ascii="Cambria" w:hAnsi="Cambria" w:cs="Calibri"/>
                <w:lang w:val="it-IT"/>
              </w:rPr>
              <w:t xml:space="preserve">2. </w:t>
            </w:r>
            <w:proofErr w:type="spellStart"/>
            <w:r w:rsidRPr="00DF4CE5">
              <w:rPr>
                <w:rFonts w:ascii="Cambria" w:hAnsi="Cambria" w:cs="Calibri"/>
                <w:lang w:val="it-IT"/>
              </w:rPr>
              <w:t>Diklić</w:t>
            </w:r>
            <w:proofErr w:type="spellEnd"/>
            <w:r w:rsidRPr="00DF4CE5">
              <w:rPr>
                <w:rFonts w:ascii="Cambria" w:hAnsi="Cambria" w:cs="Calibri"/>
                <w:lang w:val="it-IT"/>
              </w:rPr>
              <w:t xml:space="preserve">, </w:t>
            </w:r>
            <w:proofErr w:type="spellStart"/>
            <w:r w:rsidRPr="00DF4CE5">
              <w:rPr>
                <w:rFonts w:ascii="Cambria" w:hAnsi="Cambria" w:cs="Calibri"/>
                <w:lang w:val="it-IT"/>
              </w:rPr>
              <w:t>Težak</w:t>
            </w:r>
            <w:proofErr w:type="spellEnd"/>
            <w:r w:rsidRPr="00DF4CE5">
              <w:rPr>
                <w:rFonts w:ascii="Cambria" w:hAnsi="Cambria" w:cs="Calibri"/>
                <w:lang w:val="it-IT"/>
              </w:rPr>
              <w:t xml:space="preserve">, </w:t>
            </w:r>
            <w:proofErr w:type="spellStart"/>
            <w:r w:rsidRPr="00DF4CE5">
              <w:rPr>
                <w:rFonts w:ascii="Cambria" w:hAnsi="Cambria" w:cs="Calibri"/>
                <w:lang w:val="it-IT"/>
              </w:rPr>
              <w:t>Zalar</w:t>
            </w:r>
            <w:proofErr w:type="spellEnd"/>
            <w:r w:rsidRPr="00DF4CE5">
              <w:rPr>
                <w:rFonts w:ascii="Cambria" w:hAnsi="Cambria" w:cs="Calibri"/>
                <w:lang w:val="it-IT"/>
              </w:rPr>
              <w:t xml:space="preserve"> (1996). </w:t>
            </w:r>
            <w:proofErr w:type="spellStart"/>
            <w:r w:rsidRPr="00DF4CE5">
              <w:rPr>
                <w:rFonts w:ascii="Cambria" w:hAnsi="Cambria" w:cs="Calibri"/>
                <w:lang w:val="it-IT"/>
              </w:rPr>
              <w:t>Primjeri</w:t>
            </w:r>
            <w:proofErr w:type="spellEnd"/>
            <w:r w:rsidRPr="00DF4CE5">
              <w:rPr>
                <w:rFonts w:ascii="Cambria" w:hAnsi="Cambria" w:cs="Calibri"/>
                <w:lang w:val="it-IT"/>
              </w:rPr>
              <w:t xml:space="preserve"> </w:t>
            </w:r>
            <w:proofErr w:type="spellStart"/>
            <w:r w:rsidRPr="00DF4CE5">
              <w:rPr>
                <w:rFonts w:ascii="Cambria" w:hAnsi="Cambria" w:cs="Calibri"/>
                <w:lang w:val="it-IT"/>
              </w:rPr>
              <w:t>iz</w:t>
            </w:r>
            <w:proofErr w:type="spellEnd"/>
            <w:r w:rsidRPr="00DF4CE5">
              <w:rPr>
                <w:rFonts w:ascii="Cambria" w:hAnsi="Cambria" w:cs="Calibri"/>
                <w:lang w:val="it-IT"/>
              </w:rPr>
              <w:t xml:space="preserve"> </w:t>
            </w:r>
            <w:proofErr w:type="spellStart"/>
            <w:r w:rsidRPr="00DF4CE5">
              <w:rPr>
                <w:rFonts w:ascii="Cambria" w:hAnsi="Cambria" w:cs="Calibri"/>
                <w:lang w:val="it-IT"/>
              </w:rPr>
              <w:t>dječje</w:t>
            </w:r>
            <w:proofErr w:type="spellEnd"/>
            <w:r w:rsidRPr="00DF4CE5">
              <w:rPr>
                <w:rFonts w:ascii="Cambria" w:hAnsi="Cambria" w:cs="Calibri"/>
                <w:lang w:val="it-IT"/>
              </w:rPr>
              <w:t xml:space="preserve"> </w:t>
            </w:r>
            <w:proofErr w:type="spellStart"/>
            <w:r w:rsidRPr="00DF4CE5">
              <w:rPr>
                <w:rFonts w:ascii="Cambria" w:hAnsi="Cambria" w:cs="Calibri"/>
                <w:lang w:val="it-IT"/>
              </w:rPr>
              <w:t>književnosti</w:t>
            </w:r>
            <w:proofErr w:type="spellEnd"/>
            <w:r w:rsidRPr="00DF4CE5">
              <w:rPr>
                <w:rFonts w:ascii="Cambria" w:hAnsi="Cambria" w:cs="Calibri"/>
                <w:lang w:val="it-IT"/>
              </w:rPr>
              <w:t xml:space="preserve">, </w:t>
            </w:r>
            <w:proofErr w:type="spellStart"/>
            <w:r w:rsidRPr="00DF4CE5">
              <w:rPr>
                <w:rFonts w:ascii="Cambria" w:hAnsi="Cambria" w:cs="Calibri"/>
                <w:lang w:val="it-IT"/>
              </w:rPr>
              <w:t>DiVič</w:t>
            </w:r>
            <w:proofErr w:type="spellEnd"/>
            <w:r w:rsidRPr="00DF4CE5">
              <w:rPr>
                <w:rFonts w:ascii="Cambria" w:hAnsi="Cambria" w:cs="Calibri"/>
                <w:lang w:val="it-IT"/>
              </w:rPr>
              <w:t xml:space="preserve">, </w:t>
            </w:r>
            <w:proofErr w:type="spellStart"/>
            <w:r w:rsidRPr="00DF4CE5">
              <w:rPr>
                <w:rFonts w:ascii="Cambria" w:hAnsi="Cambria" w:cs="Calibri"/>
                <w:lang w:val="it-IT"/>
              </w:rPr>
              <w:t>Zagreb</w:t>
            </w:r>
            <w:proofErr w:type="spellEnd"/>
            <w:r w:rsidRPr="00DF4CE5">
              <w:rPr>
                <w:rFonts w:ascii="Cambria" w:hAnsi="Cambria" w:cs="Calibri"/>
                <w:lang w:val="it-IT"/>
              </w:rPr>
              <w:t>.</w:t>
            </w:r>
          </w:p>
          <w:p w14:paraId="04232E96" w14:textId="77777777" w:rsidR="00ED1945" w:rsidRPr="00DF4CE5" w:rsidRDefault="00ED1945" w:rsidP="00ED1945">
            <w:pPr>
              <w:spacing w:after="0" w:line="240" w:lineRule="auto"/>
              <w:rPr>
                <w:rFonts w:ascii="Cambria" w:hAnsi="Cambria" w:cs="Calibri"/>
                <w:lang w:val="it-IT"/>
              </w:rPr>
            </w:pPr>
            <w:r w:rsidRPr="00DF4CE5">
              <w:rPr>
                <w:rFonts w:ascii="Cambria" w:hAnsi="Cambria" w:cs="Calibri"/>
                <w:lang w:val="it-IT"/>
              </w:rPr>
              <w:t xml:space="preserve">3. </w:t>
            </w:r>
            <w:proofErr w:type="spellStart"/>
            <w:r w:rsidRPr="00DF4CE5">
              <w:rPr>
                <w:rFonts w:ascii="Cambria" w:hAnsi="Cambria" w:cs="Calibri"/>
                <w:lang w:val="it-IT"/>
              </w:rPr>
              <w:t>Hranjec</w:t>
            </w:r>
            <w:proofErr w:type="spellEnd"/>
            <w:r w:rsidRPr="00DF4CE5">
              <w:rPr>
                <w:rFonts w:ascii="Cambria" w:hAnsi="Cambria" w:cs="Calibri"/>
                <w:lang w:val="it-IT"/>
              </w:rPr>
              <w:t xml:space="preserve">, S. (1998). </w:t>
            </w:r>
            <w:proofErr w:type="spellStart"/>
            <w:r w:rsidRPr="00DF4CE5">
              <w:rPr>
                <w:rFonts w:ascii="Cambria" w:hAnsi="Cambria" w:cs="Calibri"/>
                <w:lang w:val="it-IT"/>
              </w:rPr>
              <w:t>Hrvatski</w:t>
            </w:r>
            <w:proofErr w:type="spellEnd"/>
            <w:r w:rsidRPr="00DF4CE5">
              <w:rPr>
                <w:rFonts w:ascii="Cambria" w:hAnsi="Cambria" w:cs="Calibri"/>
                <w:lang w:val="it-IT"/>
              </w:rPr>
              <w:t xml:space="preserve"> </w:t>
            </w:r>
            <w:proofErr w:type="spellStart"/>
            <w:r w:rsidRPr="00DF4CE5">
              <w:rPr>
                <w:rFonts w:ascii="Cambria" w:hAnsi="Cambria" w:cs="Calibri"/>
                <w:lang w:val="it-IT"/>
              </w:rPr>
              <w:t>dječji</w:t>
            </w:r>
            <w:proofErr w:type="spellEnd"/>
            <w:r w:rsidRPr="00DF4CE5">
              <w:rPr>
                <w:rFonts w:ascii="Cambria" w:hAnsi="Cambria" w:cs="Calibri"/>
                <w:lang w:val="it-IT"/>
              </w:rPr>
              <w:t xml:space="preserve"> </w:t>
            </w:r>
            <w:proofErr w:type="spellStart"/>
            <w:r w:rsidRPr="00DF4CE5">
              <w:rPr>
                <w:rFonts w:ascii="Cambria" w:hAnsi="Cambria" w:cs="Calibri"/>
                <w:lang w:val="it-IT"/>
              </w:rPr>
              <w:t>roman</w:t>
            </w:r>
            <w:proofErr w:type="spellEnd"/>
            <w:r w:rsidRPr="00DF4CE5">
              <w:rPr>
                <w:rFonts w:ascii="Cambria" w:hAnsi="Cambria" w:cs="Calibri"/>
                <w:lang w:val="it-IT"/>
              </w:rPr>
              <w:t xml:space="preserve">, </w:t>
            </w:r>
            <w:proofErr w:type="spellStart"/>
            <w:r w:rsidRPr="00DF4CE5">
              <w:rPr>
                <w:rFonts w:ascii="Cambria" w:hAnsi="Cambria" w:cs="Calibri"/>
                <w:lang w:val="it-IT"/>
              </w:rPr>
              <w:t>Znanje</w:t>
            </w:r>
            <w:proofErr w:type="spellEnd"/>
            <w:r w:rsidRPr="00DF4CE5">
              <w:rPr>
                <w:rFonts w:ascii="Cambria" w:hAnsi="Cambria" w:cs="Calibri"/>
                <w:lang w:val="it-IT"/>
              </w:rPr>
              <w:t xml:space="preserve">, </w:t>
            </w:r>
            <w:proofErr w:type="spellStart"/>
            <w:r w:rsidRPr="00DF4CE5">
              <w:rPr>
                <w:rFonts w:ascii="Cambria" w:hAnsi="Cambria" w:cs="Calibri"/>
                <w:lang w:val="it-IT"/>
              </w:rPr>
              <w:t>Zagreb</w:t>
            </w:r>
            <w:proofErr w:type="spellEnd"/>
            <w:r w:rsidRPr="00DF4CE5">
              <w:rPr>
                <w:rFonts w:ascii="Cambria" w:hAnsi="Cambria" w:cs="Calibri"/>
                <w:lang w:val="it-IT"/>
              </w:rPr>
              <w:t>.</w:t>
            </w:r>
          </w:p>
          <w:p w14:paraId="54BEEE28" w14:textId="77777777" w:rsidR="00ED1945" w:rsidRPr="00DF4CE5" w:rsidRDefault="00ED1945" w:rsidP="00ED1945">
            <w:pPr>
              <w:spacing w:after="0" w:line="240" w:lineRule="auto"/>
              <w:rPr>
                <w:rFonts w:ascii="Cambria" w:hAnsi="Cambria" w:cs="Calibri"/>
                <w:lang w:val="it-IT"/>
              </w:rPr>
            </w:pPr>
            <w:r w:rsidRPr="00DF4CE5">
              <w:rPr>
                <w:rFonts w:ascii="Cambria" w:hAnsi="Cambria" w:cs="Calibri"/>
                <w:lang w:val="it-IT"/>
              </w:rPr>
              <w:t xml:space="preserve">4. </w:t>
            </w:r>
            <w:proofErr w:type="spellStart"/>
            <w:r w:rsidRPr="00DF4CE5">
              <w:rPr>
                <w:rFonts w:ascii="Cambria" w:hAnsi="Cambria" w:cs="Calibri"/>
                <w:lang w:val="it-IT"/>
              </w:rPr>
              <w:t>Hranjec</w:t>
            </w:r>
            <w:proofErr w:type="spellEnd"/>
            <w:r w:rsidRPr="00DF4CE5">
              <w:rPr>
                <w:rFonts w:ascii="Cambria" w:hAnsi="Cambria" w:cs="Calibri"/>
                <w:lang w:val="it-IT"/>
              </w:rPr>
              <w:t xml:space="preserve">, S. (2004). </w:t>
            </w:r>
            <w:proofErr w:type="spellStart"/>
            <w:r w:rsidRPr="00DF4CE5">
              <w:rPr>
                <w:rFonts w:ascii="Cambria" w:hAnsi="Cambria" w:cs="Calibri"/>
                <w:lang w:val="it-IT"/>
              </w:rPr>
              <w:t>Dječji</w:t>
            </w:r>
            <w:proofErr w:type="spellEnd"/>
            <w:r w:rsidRPr="00DF4CE5">
              <w:rPr>
                <w:rFonts w:ascii="Cambria" w:hAnsi="Cambria" w:cs="Calibri"/>
                <w:lang w:val="it-IT"/>
              </w:rPr>
              <w:t xml:space="preserve"> </w:t>
            </w:r>
            <w:proofErr w:type="spellStart"/>
            <w:r w:rsidRPr="00DF4CE5">
              <w:rPr>
                <w:rFonts w:ascii="Cambria" w:hAnsi="Cambria" w:cs="Calibri"/>
                <w:lang w:val="it-IT"/>
              </w:rPr>
              <w:t>hrvatski</w:t>
            </w:r>
            <w:proofErr w:type="spellEnd"/>
            <w:r w:rsidRPr="00DF4CE5">
              <w:rPr>
                <w:rFonts w:ascii="Cambria" w:hAnsi="Cambria" w:cs="Calibri"/>
                <w:lang w:val="it-IT"/>
              </w:rPr>
              <w:t xml:space="preserve"> </w:t>
            </w:r>
            <w:proofErr w:type="spellStart"/>
            <w:r w:rsidRPr="00DF4CE5">
              <w:rPr>
                <w:rFonts w:ascii="Cambria" w:hAnsi="Cambria" w:cs="Calibri"/>
                <w:lang w:val="it-IT"/>
              </w:rPr>
              <w:t>klasici</w:t>
            </w:r>
            <w:proofErr w:type="spellEnd"/>
            <w:r w:rsidRPr="00DF4CE5">
              <w:rPr>
                <w:rFonts w:ascii="Cambria" w:hAnsi="Cambria" w:cs="Calibri"/>
                <w:lang w:val="it-IT"/>
              </w:rPr>
              <w:t xml:space="preserve">, </w:t>
            </w:r>
            <w:proofErr w:type="spellStart"/>
            <w:r w:rsidRPr="00DF4CE5">
              <w:rPr>
                <w:rFonts w:ascii="Cambria" w:hAnsi="Cambria" w:cs="Calibri"/>
                <w:lang w:val="it-IT"/>
              </w:rPr>
              <w:t>Školska</w:t>
            </w:r>
            <w:proofErr w:type="spellEnd"/>
            <w:r w:rsidRPr="00DF4CE5">
              <w:rPr>
                <w:rFonts w:ascii="Cambria" w:hAnsi="Cambria" w:cs="Calibri"/>
                <w:lang w:val="it-IT"/>
              </w:rPr>
              <w:t xml:space="preserve"> </w:t>
            </w:r>
            <w:proofErr w:type="spellStart"/>
            <w:r w:rsidRPr="00DF4CE5">
              <w:rPr>
                <w:rFonts w:ascii="Cambria" w:hAnsi="Cambria" w:cs="Calibri"/>
                <w:lang w:val="it-IT"/>
              </w:rPr>
              <w:t>knjiga</w:t>
            </w:r>
            <w:proofErr w:type="spellEnd"/>
            <w:r w:rsidRPr="00DF4CE5">
              <w:rPr>
                <w:rFonts w:ascii="Cambria" w:hAnsi="Cambria" w:cs="Calibri"/>
                <w:lang w:val="it-IT"/>
              </w:rPr>
              <w:t xml:space="preserve"> </w:t>
            </w:r>
            <w:proofErr w:type="spellStart"/>
            <w:r w:rsidRPr="00DF4CE5">
              <w:rPr>
                <w:rFonts w:ascii="Cambria" w:hAnsi="Cambria" w:cs="Calibri"/>
                <w:lang w:val="it-IT"/>
              </w:rPr>
              <w:t>Zagreb</w:t>
            </w:r>
            <w:proofErr w:type="spellEnd"/>
            <w:r w:rsidRPr="00DF4CE5">
              <w:rPr>
                <w:rFonts w:ascii="Cambria" w:hAnsi="Cambria" w:cs="Calibri"/>
                <w:lang w:val="it-IT"/>
              </w:rPr>
              <w:t>.</w:t>
            </w:r>
          </w:p>
          <w:p w14:paraId="3BC3612E" w14:textId="77777777" w:rsidR="00ED1945" w:rsidRPr="00DF4CE5" w:rsidRDefault="00ED1945" w:rsidP="00ED1945">
            <w:pPr>
              <w:spacing w:after="0" w:line="240" w:lineRule="auto"/>
              <w:rPr>
                <w:rFonts w:ascii="Cambria" w:hAnsi="Cambria" w:cs="Calibri"/>
                <w:lang w:val="it-IT"/>
              </w:rPr>
            </w:pPr>
            <w:r w:rsidRPr="00DF4CE5">
              <w:rPr>
                <w:rFonts w:ascii="Cambria" w:hAnsi="Cambria" w:cs="Calibri"/>
                <w:lang w:val="it-IT"/>
              </w:rPr>
              <w:t xml:space="preserve">5. </w:t>
            </w:r>
            <w:proofErr w:type="spellStart"/>
            <w:r w:rsidRPr="00DF4CE5">
              <w:rPr>
                <w:rFonts w:ascii="Cambria" w:hAnsi="Cambria" w:cs="Calibri"/>
                <w:lang w:val="it-IT"/>
              </w:rPr>
              <w:t>Težak</w:t>
            </w:r>
            <w:proofErr w:type="spellEnd"/>
            <w:r w:rsidRPr="00DF4CE5">
              <w:rPr>
                <w:rFonts w:ascii="Cambria" w:hAnsi="Cambria" w:cs="Calibri"/>
                <w:lang w:val="it-IT"/>
              </w:rPr>
              <w:t xml:space="preserve">, D. (1991). </w:t>
            </w:r>
            <w:proofErr w:type="spellStart"/>
            <w:r w:rsidRPr="00DF4CE5">
              <w:rPr>
                <w:rFonts w:ascii="Cambria" w:hAnsi="Cambria" w:cs="Calibri"/>
                <w:lang w:val="it-IT"/>
              </w:rPr>
              <w:t>Hrvatska</w:t>
            </w:r>
            <w:proofErr w:type="spellEnd"/>
            <w:r w:rsidRPr="00DF4CE5">
              <w:rPr>
                <w:rFonts w:ascii="Cambria" w:hAnsi="Cambria" w:cs="Calibri"/>
                <w:lang w:val="it-IT"/>
              </w:rPr>
              <w:t xml:space="preserve"> </w:t>
            </w:r>
            <w:proofErr w:type="spellStart"/>
            <w:r w:rsidRPr="00DF4CE5">
              <w:rPr>
                <w:rFonts w:ascii="Cambria" w:hAnsi="Cambria" w:cs="Calibri"/>
                <w:lang w:val="it-IT"/>
              </w:rPr>
              <w:t>dječja</w:t>
            </w:r>
            <w:proofErr w:type="spellEnd"/>
            <w:r w:rsidRPr="00DF4CE5">
              <w:rPr>
                <w:rFonts w:ascii="Cambria" w:hAnsi="Cambria" w:cs="Calibri"/>
                <w:lang w:val="it-IT"/>
              </w:rPr>
              <w:t xml:space="preserve"> </w:t>
            </w:r>
            <w:proofErr w:type="spellStart"/>
            <w:r w:rsidRPr="00DF4CE5">
              <w:rPr>
                <w:rFonts w:ascii="Cambria" w:hAnsi="Cambria" w:cs="Calibri"/>
                <w:lang w:val="it-IT"/>
              </w:rPr>
              <w:t>poratna</w:t>
            </w:r>
            <w:proofErr w:type="spellEnd"/>
            <w:r w:rsidRPr="00DF4CE5">
              <w:rPr>
                <w:rFonts w:ascii="Cambria" w:hAnsi="Cambria" w:cs="Calibri"/>
                <w:lang w:val="it-IT"/>
              </w:rPr>
              <w:t xml:space="preserve"> </w:t>
            </w:r>
            <w:proofErr w:type="spellStart"/>
            <w:r w:rsidRPr="00DF4CE5">
              <w:rPr>
                <w:rFonts w:ascii="Cambria" w:hAnsi="Cambria" w:cs="Calibri"/>
                <w:lang w:val="it-IT"/>
              </w:rPr>
              <w:t>priča</w:t>
            </w:r>
            <w:proofErr w:type="spellEnd"/>
            <w:r w:rsidRPr="00DF4CE5">
              <w:rPr>
                <w:rFonts w:ascii="Cambria" w:hAnsi="Cambria" w:cs="Calibri"/>
                <w:lang w:val="it-IT"/>
              </w:rPr>
              <w:t xml:space="preserve">, </w:t>
            </w:r>
            <w:proofErr w:type="spellStart"/>
            <w:r w:rsidRPr="00DF4CE5">
              <w:rPr>
                <w:rFonts w:ascii="Cambria" w:hAnsi="Cambria" w:cs="Calibri"/>
                <w:lang w:val="it-IT"/>
              </w:rPr>
              <w:t>Školska</w:t>
            </w:r>
            <w:proofErr w:type="spellEnd"/>
            <w:r w:rsidRPr="00DF4CE5">
              <w:rPr>
                <w:rFonts w:ascii="Cambria" w:hAnsi="Cambria" w:cs="Calibri"/>
                <w:lang w:val="it-IT"/>
              </w:rPr>
              <w:t xml:space="preserve"> </w:t>
            </w:r>
            <w:proofErr w:type="spellStart"/>
            <w:r w:rsidRPr="00DF4CE5">
              <w:rPr>
                <w:rFonts w:ascii="Cambria" w:hAnsi="Cambria" w:cs="Calibri"/>
                <w:lang w:val="it-IT"/>
              </w:rPr>
              <w:t>knjiga</w:t>
            </w:r>
            <w:proofErr w:type="spellEnd"/>
            <w:r w:rsidRPr="00DF4CE5">
              <w:rPr>
                <w:rFonts w:ascii="Cambria" w:hAnsi="Cambria" w:cs="Calibri"/>
                <w:lang w:val="it-IT"/>
              </w:rPr>
              <w:t xml:space="preserve">, </w:t>
            </w:r>
            <w:proofErr w:type="spellStart"/>
            <w:r w:rsidRPr="00DF4CE5">
              <w:rPr>
                <w:rFonts w:ascii="Cambria" w:hAnsi="Cambria" w:cs="Calibri"/>
                <w:lang w:val="it-IT"/>
              </w:rPr>
              <w:t>Zagreb</w:t>
            </w:r>
            <w:proofErr w:type="spellEnd"/>
            <w:r w:rsidRPr="00DF4CE5">
              <w:rPr>
                <w:rFonts w:ascii="Cambria" w:hAnsi="Cambria" w:cs="Calibri"/>
                <w:lang w:val="it-IT"/>
              </w:rPr>
              <w:t>.</w:t>
            </w:r>
          </w:p>
          <w:p w14:paraId="5173E3B9" w14:textId="77777777" w:rsidR="00ED1945" w:rsidRPr="00DF4CE5" w:rsidRDefault="00ED1945" w:rsidP="00ED1945">
            <w:pPr>
              <w:spacing w:after="0" w:line="240" w:lineRule="auto"/>
              <w:rPr>
                <w:rFonts w:ascii="Cambria" w:hAnsi="Cambria" w:cs="Calibri"/>
                <w:lang w:val="it-IT"/>
              </w:rPr>
            </w:pPr>
            <w:r w:rsidRPr="00DF4CE5">
              <w:rPr>
                <w:rFonts w:ascii="Cambria" w:hAnsi="Cambria" w:cs="Calibri"/>
                <w:lang w:val="it-IT"/>
              </w:rPr>
              <w:t xml:space="preserve">6. </w:t>
            </w:r>
            <w:proofErr w:type="spellStart"/>
            <w:r w:rsidRPr="00DF4CE5">
              <w:rPr>
                <w:rFonts w:ascii="Cambria" w:hAnsi="Cambria" w:cs="Calibri"/>
                <w:lang w:val="it-IT"/>
              </w:rPr>
              <w:t>Težak</w:t>
            </w:r>
            <w:proofErr w:type="spellEnd"/>
            <w:r w:rsidRPr="00DF4CE5">
              <w:rPr>
                <w:rFonts w:ascii="Cambria" w:hAnsi="Cambria" w:cs="Calibri"/>
                <w:lang w:val="it-IT"/>
              </w:rPr>
              <w:t xml:space="preserve">, D., </w:t>
            </w:r>
            <w:proofErr w:type="spellStart"/>
            <w:r w:rsidRPr="00DF4CE5">
              <w:rPr>
                <w:rFonts w:ascii="Cambria" w:hAnsi="Cambria" w:cs="Calibri"/>
                <w:lang w:val="it-IT"/>
              </w:rPr>
              <w:t>Težak</w:t>
            </w:r>
            <w:proofErr w:type="spellEnd"/>
            <w:r w:rsidRPr="00DF4CE5">
              <w:rPr>
                <w:rFonts w:ascii="Cambria" w:hAnsi="Cambria" w:cs="Calibri"/>
                <w:lang w:val="it-IT"/>
              </w:rPr>
              <w:t xml:space="preserve">, S. (1997). </w:t>
            </w:r>
            <w:proofErr w:type="spellStart"/>
            <w:r w:rsidRPr="00DF4CE5">
              <w:rPr>
                <w:rFonts w:ascii="Cambria" w:hAnsi="Cambria" w:cs="Calibri"/>
                <w:lang w:val="it-IT"/>
              </w:rPr>
              <w:t>Interpretacija</w:t>
            </w:r>
            <w:proofErr w:type="spellEnd"/>
            <w:r w:rsidRPr="00DF4CE5">
              <w:rPr>
                <w:rFonts w:ascii="Cambria" w:hAnsi="Cambria" w:cs="Calibri"/>
                <w:lang w:val="it-IT"/>
              </w:rPr>
              <w:t xml:space="preserve"> </w:t>
            </w:r>
            <w:proofErr w:type="spellStart"/>
            <w:r w:rsidRPr="00DF4CE5">
              <w:rPr>
                <w:rFonts w:ascii="Cambria" w:hAnsi="Cambria" w:cs="Calibri"/>
                <w:lang w:val="it-IT"/>
              </w:rPr>
              <w:t>bajke</w:t>
            </w:r>
            <w:proofErr w:type="spellEnd"/>
            <w:r w:rsidRPr="00DF4CE5">
              <w:rPr>
                <w:rFonts w:ascii="Cambria" w:hAnsi="Cambria" w:cs="Calibri"/>
                <w:lang w:val="it-IT"/>
              </w:rPr>
              <w:t xml:space="preserve">, </w:t>
            </w:r>
            <w:proofErr w:type="spellStart"/>
            <w:r w:rsidRPr="00DF4CE5">
              <w:rPr>
                <w:rFonts w:ascii="Cambria" w:hAnsi="Cambria" w:cs="Calibri"/>
                <w:lang w:val="it-IT"/>
              </w:rPr>
              <w:t>DiVič</w:t>
            </w:r>
            <w:proofErr w:type="spellEnd"/>
            <w:r w:rsidRPr="00DF4CE5">
              <w:rPr>
                <w:rFonts w:ascii="Cambria" w:hAnsi="Cambria" w:cs="Calibri"/>
                <w:lang w:val="it-IT"/>
              </w:rPr>
              <w:t xml:space="preserve">, </w:t>
            </w:r>
            <w:proofErr w:type="spellStart"/>
            <w:r w:rsidRPr="00DF4CE5">
              <w:rPr>
                <w:rFonts w:ascii="Cambria" w:hAnsi="Cambria" w:cs="Calibri"/>
                <w:lang w:val="it-IT"/>
              </w:rPr>
              <w:t>Zagreb</w:t>
            </w:r>
            <w:proofErr w:type="spellEnd"/>
            <w:r w:rsidRPr="00DF4CE5">
              <w:rPr>
                <w:rFonts w:ascii="Cambria" w:hAnsi="Cambria" w:cs="Calibri"/>
                <w:lang w:val="it-IT"/>
              </w:rPr>
              <w:t>.</w:t>
            </w:r>
          </w:p>
          <w:p w14:paraId="65F40B05" w14:textId="77777777" w:rsidR="00ED1945" w:rsidRPr="00DF4CE5" w:rsidRDefault="00ED1945" w:rsidP="00ED1945">
            <w:pPr>
              <w:spacing w:after="0" w:line="240" w:lineRule="auto"/>
              <w:rPr>
                <w:rFonts w:ascii="Cambria" w:hAnsi="Cambria" w:cs="Calibri"/>
                <w:lang w:val="it-IT"/>
              </w:rPr>
            </w:pPr>
            <w:r w:rsidRPr="00DF4CE5">
              <w:rPr>
                <w:rFonts w:ascii="Cambria" w:hAnsi="Cambria" w:cs="Calibri"/>
                <w:lang w:val="it-IT"/>
              </w:rPr>
              <w:t xml:space="preserve">7. </w:t>
            </w:r>
            <w:proofErr w:type="spellStart"/>
            <w:r w:rsidRPr="00DF4CE5">
              <w:rPr>
                <w:rFonts w:ascii="Cambria" w:hAnsi="Cambria" w:cs="Calibri"/>
                <w:lang w:val="it-IT"/>
              </w:rPr>
              <w:t>Visinko</w:t>
            </w:r>
            <w:proofErr w:type="spellEnd"/>
            <w:r w:rsidRPr="00DF4CE5">
              <w:rPr>
                <w:rFonts w:ascii="Cambria" w:hAnsi="Cambria" w:cs="Calibri"/>
                <w:lang w:val="it-IT"/>
              </w:rPr>
              <w:t xml:space="preserve">, K. (2005). </w:t>
            </w:r>
            <w:proofErr w:type="spellStart"/>
            <w:r w:rsidRPr="00DF4CE5">
              <w:rPr>
                <w:rFonts w:ascii="Cambria" w:hAnsi="Cambria" w:cs="Calibri"/>
                <w:lang w:val="it-IT"/>
              </w:rPr>
              <w:t>Dječja</w:t>
            </w:r>
            <w:proofErr w:type="spellEnd"/>
            <w:r w:rsidRPr="00DF4CE5">
              <w:rPr>
                <w:rFonts w:ascii="Cambria" w:hAnsi="Cambria" w:cs="Calibri"/>
                <w:lang w:val="it-IT"/>
              </w:rPr>
              <w:t xml:space="preserve"> </w:t>
            </w:r>
            <w:proofErr w:type="spellStart"/>
            <w:r w:rsidRPr="00DF4CE5">
              <w:rPr>
                <w:rFonts w:ascii="Cambria" w:hAnsi="Cambria" w:cs="Calibri"/>
                <w:lang w:val="it-IT"/>
              </w:rPr>
              <w:t>priča</w:t>
            </w:r>
            <w:proofErr w:type="spellEnd"/>
            <w:r w:rsidRPr="00DF4CE5">
              <w:rPr>
                <w:rFonts w:ascii="Cambria" w:hAnsi="Cambria" w:cs="Calibri"/>
                <w:lang w:val="it-IT"/>
              </w:rPr>
              <w:t xml:space="preserve"> – </w:t>
            </w:r>
            <w:proofErr w:type="spellStart"/>
            <w:r w:rsidRPr="00DF4CE5">
              <w:rPr>
                <w:rFonts w:ascii="Cambria" w:hAnsi="Cambria" w:cs="Calibri"/>
                <w:lang w:val="it-IT"/>
              </w:rPr>
              <w:t>povijest</w:t>
            </w:r>
            <w:proofErr w:type="spellEnd"/>
            <w:r w:rsidRPr="00DF4CE5">
              <w:rPr>
                <w:rFonts w:ascii="Cambria" w:hAnsi="Cambria" w:cs="Calibri"/>
                <w:lang w:val="it-IT"/>
              </w:rPr>
              <w:t xml:space="preserve">, </w:t>
            </w:r>
            <w:proofErr w:type="spellStart"/>
            <w:r w:rsidRPr="00DF4CE5">
              <w:rPr>
                <w:rFonts w:ascii="Cambria" w:hAnsi="Cambria" w:cs="Calibri"/>
                <w:lang w:val="it-IT"/>
              </w:rPr>
              <w:t>teorija</w:t>
            </w:r>
            <w:proofErr w:type="spellEnd"/>
            <w:r w:rsidRPr="00DF4CE5">
              <w:rPr>
                <w:rFonts w:ascii="Cambria" w:hAnsi="Cambria" w:cs="Calibri"/>
                <w:lang w:val="it-IT"/>
              </w:rPr>
              <w:t xml:space="preserve">, </w:t>
            </w:r>
            <w:proofErr w:type="spellStart"/>
            <w:r w:rsidRPr="00DF4CE5">
              <w:rPr>
                <w:rFonts w:ascii="Cambria" w:hAnsi="Cambria" w:cs="Calibri"/>
                <w:lang w:val="it-IT"/>
              </w:rPr>
              <w:t>recepcija</w:t>
            </w:r>
            <w:proofErr w:type="spellEnd"/>
            <w:r w:rsidRPr="00DF4CE5">
              <w:rPr>
                <w:rFonts w:ascii="Cambria" w:hAnsi="Cambria" w:cs="Calibri"/>
                <w:lang w:val="it-IT"/>
              </w:rPr>
              <w:t xml:space="preserve"> i </w:t>
            </w:r>
            <w:proofErr w:type="spellStart"/>
            <w:r w:rsidRPr="00DF4CE5">
              <w:rPr>
                <w:rFonts w:ascii="Cambria" w:hAnsi="Cambria" w:cs="Calibri"/>
                <w:lang w:val="it-IT"/>
              </w:rPr>
              <w:t>interpretacija</w:t>
            </w:r>
            <w:proofErr w:type="spellEnd"/>
            <w:r w:rsidRPr="00DF4CE5">
              <w:rPr>
                <w:rFonts w:ascii="Cambria" w:hAnsi="Cambria" w:cs="Calibri"/>
                <w:lang w:val="it-IT"/>
              </w:rPr>
              <w:t xml:space="preserve">, </w:t>
            </w:r>
            <w:proofErr w:type="spellStart"/>
            <w:r w:rsidRPr="00DF4CE5">
              <w:rPr>
                <w:rFonts w:ascii="Cambria" w:hAnsi="Cambria" w:cs="Calibri"/>
                <w:lang w:val="it-IT"/>
              </w:rPr>
              <w:t>Školska</w:t>
            </w:r>
            <w:proofErr w:type="spellEnd"/>
            <w:r w:rsidRPr="00DF4CE5">
              <w:rPr>
                <w:rFonts w:ascii="Cambria" w:hAnsi="Cambria" w:cs="Calibri"/>
                <w:lang w:val="it-IT"/>
              </w:rPr>
              <w:t xml:space="preserve"> </w:t>
            </w:r>
            <w:proofErr w:type="spellStart"/>
            <w:r w:rsidRPr="00DF4CE5">
              <w:rPr>
                <w:rFonts w:ascii="Cambria" w:hAnsi="Cambria" w:cs="Calibri"/>
                <w:lang w:val="it-IT"/>
              </w:rPr>
              <w:t>knjiga</w:t>
            </w:r>
            <w:proofErr w:type="spellEnd"/>
            <w:r w:rsidRPr="00DF4CE5">
              <w:rPr>
                <w:rFonts w:ascii="Cambria" w:hAnsi="Cambria" w:cs="Calibri"/>
                <w:lang w:val="it-IT"/>
              </w:rPr>
              <w:t xml:space="preserve">, </w:t>
            </w:r>
            <w:proofErr w:type="spellStart"/>
            <w:r w:rsidRPr="00DF4CE5">
              <w:rPr>
                <w:rFonts w:ascii="Cambria" w:hAnsi="Cambria" w:cs="Calibri"/>
                <w:lang w:val="it-IT"/>
              </w:rPr>
              <w:t>Zagreb</w:t>
            </w:r>
            <w:proofErr w:type="spellEnd"/>
            <w:r w:rsidRPr="00DF4CE5">
              <w:rPr>
                <w:rFonts w:ascii="Cambria" w:hAnsi="Cambria" w:cs="Calibri"/>
                <w:lang w:val="it-IT"/>
              </w:rPr>
              <w:t>.</w:t>
            </w:r>
          </w:p>
          <w:p w14:paraId="5E579E59" w14:textId="77777777" w:rsidR="00ED1945" w:rsidRPr="00F942C2" w:rsidRDefault="00ED1945" w:rsidP="00ED1945">
            <w:pPr>
              <w:spacing w:after="0" w:line="240" w:lineRule="auto"/>
              <w:rPr>
                <w:rFonts w:ascii="Cambria" w:hAnsi="Cambria" w:cs="Calibri"/>
                <w:lang w:val="it-IT"/>
              </w:rPr>
            </w:pPr>
            <w:proofErr w:type="spellStart"/>
            <w:r w:rsidRPr="00F942C2">
              <w:rPr>
                <w:rFonts w:ascii="Cambria" w:hAnsi="Cambria" w:cs="Calibri"/>
                <w:lang w:val="it-IT"/>
              </w:rPr>
              <w:t>Priručna</w:t>
            </w:r>
            <w:proofErr w:type="spellEnd"/>
            <w:r w:rsidRPr="00F942C2">
              <w:rPr>
                <w:rFonts w:ascii="Cambria" w:hAnsi="Cambria" w:cs="Calibri"/>
                <w:lang w:val="it-IT"/>
              </w:rPr>
              <w:t>:</w:t>
            </w:r>
          </w:p>
          <w:p w14:paraId="6262ACDF" w14:textId="77471637" w:rsidR="00ED1945" w:rsidRPr="00DF4CE5" w:rsidRDefault="00ED1945" w:rsidP="00ED1945">
            <w:pPr>
              <w:suppressAutoHyphens/>
              <w:spacing w:after="0" w:line="240" w:lineRule="auto"/>
              <w:rPr>
                <w:rFonts w:ascii="Cambria" w:hAnsi="Cambria" w:cs="Calibri"/>
                <w:lang w:val="it-IT"/>
              </w:rPr>
            </w:pPr>
            <w:r>
              <w:rPr>
                <w:rFonts w:ascii="Cambria" w:hAnsi="Cambria" w:cs="Calibri"/>
                <w:lang w:val="it-IT"/>
              </w:rPr>
              <w:t xml:space="preserve">1. </w:t>
            </w:r>
            <w:proofErr w:type="spellStart"/>
            <w:r w:rsidRPr="00DF4CE5">
              <w:rPr>
                <w:rFonts w:ascii="Cambria" w:hAnsi="Cambria" w:cs="Calibri"/>
                <w:lang w:val="it-IT"/>
              </w:rPr>
              <w:t>Diklić</w:t>
            </w:r>
            <w:proofErr w:type="spellEnd"/>
            <w:r w:rsidRPr="00DF4CE5">
              <w:rPr>
                <w:rFonts w:ascii="Cambria" w:hAnsi="Cambria" w:cs="Calibri"/>
                <w:lang w:val="it-IT"/>
              </w:rPr>
              <w:t xml:space="preserve">. Z. i </w:t>
            </w:r>
            <w:proofErr w:type="spellStart"/>
            <w:r w:rsidRPr="00DF4CE5">
              <w:rPr>
                <w:rFonts w:ascii="Cambria" w:hAnsi="Cambria" w:cs="Calibri"/>
                <w:lang w:val="it-IT"/>
              </w:rPr>
              <w:t>drugi</w:t>
            </w:r>
            <w:proofErr w:type="spellEnd"/>
            <w:r w:rsidRPr="00DF4CE5">
              <w:rPr>
                <w:rFonts w:ascii="Cambria" w:hAnsi="Cambria" w:cs="Calibri"/>
                <w:lang w:val="it-IT"/>
              </w:rPr>
              <w:t xml:space="preserve"> autori (1990). </w:t>
            </w:r>
            <w:proofErr w:type="spellStart"/>
            <w:r w:rsidRPr="00DF4CE5">
              <w:rPr>
                <w:rFonts w:ascii="Cambria" w:hAnsi="Cambria" w:cs="Calibri"/>
                <w:lang w:val="it-IT"/>
              </w:rPr>
              <w:t>Dozivi</w:t>
            </w:r>
            <w:proofErr w:type="spellEnd"/>
            <w:r w:rsidRPr="00DF4CE5">
              <w:rPr>
                <w:rFonts w:ascii="Cambria" w:hAnsi="Cambria" w:cs="Calibri"/>
                <w:lang w:val="it-IT"/>
              </w:rPr>
              <w:t xml:space="preserve"> i </w:t>
            </w:r>
            <w:proofErr w:type="spellStart"/>
            <w:r w:rsidRPr="00DF4CE5">
              <w:rPr>
                <w:rFonts w:ascii="Cambria" w:hAnsi="Cambria" w:cs="Calibri"/>
                <w:lang w:val="it-IT"/>
              </w:rPr>
              <w:t>odzivi</w:t>
            </w:r>
            <w:proofErr w:type="spellEnd"/>
            <w:r w:rsidRPr="00DF4CE5">
              <w:rPr>
                <w:rFonts w:ascii="Cambria" w:hAnsi="Cambria" w:cs="Calibri"/>
                <w:lang w:val="it-IT"/>
              </w:rPr>
              <w:t xml:space="preserve"> </w:t>
            </w:r>
            <w:proofErr w:type="spellStart"/>
            <w:r w:rsidRPr="00DF4CE5">
              <w:rPr>
                <w:rFonts w:ascii="Cambria" w:hAnsi="Cambria" w:cs="Calibri"/>
                <w:lang w:val="it-IT"/>
              </w:rPr>
              <w:t>lirske</w:t>
            </w:r>
            <w:proofErr w:type="spellEnd"/>
            <w:r w:rsidRPr="00DF4CE5">
              <w:rPr>
                <w:rFonts w:ascii="Cambria" w:hAnsi="Cambria" w:cs="Calibri"/>
                <w:lang w:val="it-IT"/>
              </w:rPr>
              <w:t xml:space="preserve"> </w:t>
            </w:r>
            <w:proofErr w:type="spellStart"/>
            <w:r w:rsidRPr="00DF4CE5">
              <w:rPr>
                <w:rFonts w:ascii="Cambria" w:hAnsi="Cambria" w:cs="Calibri"/>
                <w:lang w:val="it-IT"/>
              </w:rPr>
              <w:t>pjesme</w:t>
            </w:r>
            <w:proofErr w:type="spellEnd"/>
            <w:r w:rsidRPr="00DF4CE5">
              <w:rPr>
                <w:rFonts w:ascii="Cambria" w:hAnsi="Cambria" w:cs="Calibri"/>
                <w:lang w:val="it-IT"/>
              </w:rPr>
              <w:t xml:space="preserve">: </w:t>
            </w:r>
            <w:proofErr w:type="spellStart"/>
            <w:r w:rsidRPr="00DF4CE5">
              <w:rPr>
                <w:rFonts w:ascii="Cambria" w:hAnsi="Cambria" w:cs="Calibri"/>
                <w:lang w:val="it-IT"/>
              </w:rPr>
              <w:t>metodički</w:t>
            </w:r>
            <w:proofErr w:type="spellEnd"/>
            <w:r w:rsidRPr="00DF4CE5">
              <w:rPr>
                <w:rFonts w:ascii="Cambria" w:hAnsi="Cambria" w:cs="Calibri"/>
                <w:lang w:val="it-IT"/>
              </w:rPr>
              <w:t xml:space="preserve"> </w:t>
            </w:r>
            <w:proofErr w:type="spellStart"/>
            <w:r w:rsidRPr="00DF4CE5">
              <w:rPr>
                <w:rFonts w:ascii="Cambria" w:hAnsi="Cambria" w:cs="Calibri"/>
                <w:lang w:val="it-IT"/>
              </w:rPr>
              <w:t>priručnik</w:t>
            </w:r>
            <w:proofErr w:type="spellEnd"/>
            <w:r w:rsidRPr="00DF4CE5">
              <w:rPr>
                <w:rFonts w:ascii="Cambria" w:hAnsi="Cambria" w:cs="Calibri"/>
                <w:lang w:val="it-IT"/>
              </w:rPr>
              <w:t xml:space="preserve"> za </w:t>
            </w:r>
            <w:proofErr w:type="spellStart"/>
            <w:r w:rsidRPr="00DF4CE5">
              <w:rPr>
                <w:rFonts w:ascii="Cambria" w:hAnsi="Cambria" w:cs="Calibri"/>
                <w:lang w:val="it-IT"/>
              </w:rPr>
              <w:t>razrednu</w:t>
            </w:r>
            <w:proofErr w:type="spellEnd"/>
            <w:r w:rsidRPr="00DF4CE5">
              <w:rPr>
                <w:rFonts w:ascii="Cambria" w:hAnsi="Cambria" w:cs="Calibri"/>
                <w:lang w:val="it-IT"/>
              </w:rPr>
              <w:t xml:space="preserve"> </w:t>
            </w:r>
            <w:proofErr w:type="spellStart"/>
            <w:r w:rsidRPr="00DF4CE5">
              <w:rPr>
                <w:rFonts w:ascii="Cambria" w:hAnsi="Cambria" w:cs="Calibri"/>
                <w:lang w:val="it-IT"/>
              </w:rPr>
              <w:t>nastavu</w:t>
            </w:r>
            <w:proofErr w:type="spellEnd"/>
            <w:r w:rsidRPr="00DF4CE5">
              <w:rPr>
                <w:rFonts w:ascii="Cambria" w:hAnsi="Cambria" w:cs="Calibri"/>
                <w:lang w:val="it-IT"/>
              </w:rPr>
              <w:t xml:space="preserve">, </w:t>
            </w:r>
            <w:proofErr w:type="spellStart"/>
            <w:r w:rsidRPr="00DF4CE5">
              <w:rPr>
                <w:rFonts w:ascii="Cambria" w:hAnsi="Cambria" w:cs="Calibri"/>
                <w:lang w:val="it-IT"/>
              </w:rPr>
              <w:t>Pedagoško</w:t>
            </w:r>
            <w:proofErr w:type="spellEnd"/>
            <w:r w:rsidRPr="00DF4CE5">
              <w:rPr>
                <w:rFonts w:ascii="Cambria" w:hAnsi="Cambria" w:cs="Calibri"/>
                <w:lang w:val="it-IT"/>
              </w:rPr>
              <w:t xml:space="preserve"> </w:t>
            </w:r>
            <w:proofErr w:type="spellStart"/>
            <w:r w:rsidRPr="00DF4CE5">
              <w:rPr>
                <w:rFonts w:ascii="Cambria" w:hAnsi="Cambria" w:cs="Calibri"/>
                <w:lang w:val="it-IT"/>
              </w:rPr>
              <w:t>književni</w:t>
            </w:r>
            <w:proofErr w:type="spellEnd"/>
            <w:r w:rsidRPr="00DF4CE5">
              <w:rPr>
                <w:rFonts w:ascii="Cambria" w:hAnsi="Cambria" w:cs="Calibri"/>
                <w:lang w:val="it-IT"/>
              </w:rPr>
              <w:t xml:space="preserve"> </w:t>
            </w:r>
            <w:proofErr w:type="spellStart"/>
            <w:r w:rsidRPr="00DF4CE5">
              <w:rPr>
                <w:rFonts w:ascii="Cambria" w:hAnsi="Cambria" w:cs="Calibri"/>
                <w:lang w:val="it-IT"/>
              </w:rPr>
              <w:t>zbor</w:t>
            </w:r>
            <w:proofErr w:type="spellEnd"/>
            <w:r w:rsidRPr="00DF4CE5">
              <w:rPr>
                <w:rFonts w:ascii="Cambria" w:hAnsi="Cambria" w:cs="Calibri"/>
                <w:lang w:val="it-IT"/>
              </w:rPr>
              <w:t xml:space="preserve">, </w:t>
            </w:r>
            <w:proofErr w:type="spellStart"/>
            <w:r w:rsidRPr="00DF4CE5">
              <w:rPr>
                <w:rFonts w:ascii="Cambria" w:hAnsi="Cambria" w:cs="Calibri"/>
                <w:lang w:val="it-IT"/>
              </w:rPr>
              <w:t>Zagreb</w:t>
            </w:r>
            <w:proofErr w:type="spellEnd"/>
            <w:r w:rsidRPr="00DF4CE5">
              <w:rPr>
                <w:rFonts w:ascii="Cambria" w:hAnsi="Cambria" w:cs="Calibri"/>
                <w:lang w:val="it-IT"/>
              </w:rPr>
              <w:t>.</w:t>
            </w:r>
          </w:p>
          <w:p w14:paraId="7E8EE078" w14:textId="0ADF2B97" w:rsidR="00ED1945" w:rsidRPr="00DF4CE5" w:rsidRDefault="00ED1945" w:rsidP="00ED1945">
            <w:pPr>
              <w:suppressAutoHyphens/>
              <w:spacing w:after="0" w:line="240" w:lineRule="auto"/>
              <w:rPr>
                <w:rFonts w:ascii="Cambria" w:hAnsi="Cambria" w:cs="Calibri"/>
                <w:lang w:val="it-IT"/>
              </w:rPr>
            </w:pPr>
            <w:r>
              <w:rPr>
                <w:rFonts w:ascii="Cambria" w:hAnsi="Cambria" w:cs="Calibri"/>
                <w:lang w:val="it-IT"/>
              </w:rPr>
              <w:t xml:space="preserve">2. </w:t>
            </w:r>
            <w:proofErr w:type="spellStart"/>
            <w:r w:rsidRPr="00DF4CE5">
              <w:rPr>
                <w:rFonts w:ascii="Cambria" w:hAnsi="Cambria" w:cs="Calibri"/>
                <w:lang w:val="it-IT"/>
              </w:rPr>
              <w:t>Lučić</w:t>
            </w:r>
            <w:proofErr w:type="spellEnd"/>
            <w:r w:rsidRPr="00DF4CE5">
              <w:rPr>
                <w:rFonts w:ascii="Cambria" w:hAnsi="Cambria" w:cs="Calibri"/>
                <w:lang w:val="it-IT"/>
              </w:rPr>
              <w:t xml:space="preserve">, K. (2008). </w:t>
            </w:r>
            <w:proofErr w:type="spellStart"/>
            <w:r w:rsidRPr="00DF4CE5">
              <w:rPr>
                <w:rFonts w:ascii="Cambria" w:hAnsi="Cambria" w:cs="Calibri"/>
                <w:lang w:val="it-IT"/>
              </w:rPr>
              <w:t>Prožimanje</w:t>
            </w:r>
            <w:proofErr w:type="spellEnd"/>
            <w:r w:rsidRPr="00DF4CE5">
              <w:rPr>
                <w:rFonts w:ascii="Cambria" w:hAnsi="Cambria" w:cs="Calibri"/>
                <w:lang w:val="it-IT"/>
              </w:rPr>
              <w:t xml:space="preserve"> </w:t>
            </w:r>
            <w:proofErr w:type="spellStart"/>
            <w:r w:rsidRPr="00DF4CE5">
              <w:rPr>
                <w:rFonts w:ascii="Cambria" w:hAnsi="Cambria" w:cs="Calibri"/>
                <w:lang w:val="it-IT"/>
              </w:rPr>
              <w:t>riječi</w:t>
            </w:r>
            <w:proofErr w:type="spellEnd"/>
            <w:r w:rsidRPr="00DF4CE5">
              <w:rPr>
                <w:rFonts w:ascii="Cambria" w:hAnsi="Cambria" w:cs="Calibri"/>
                <w:lang w:val="it-IT"/>
              </w:rPr>
              <w:t xml:space="preserve">, </w:t>
            </w:r>
            <w:proofErr w:type="spellStart"/>
            <w:r w:rsidRPr="00DF4CE5">
              <w:rPr>
                <w:rFonts w:ascii="Cambria" w:hAnsi="Cambria" w:cs="Calibri"/>
                <w:lang w:val="it-IT"/>
              </w:rPr>
              <w:t>slike</w:t>
            </w:r>
            <w:proofErr w:type="spellEnd"/>
            <w:r w:rsidRPr="00DF4CE5">
              <w:rPr>
                <w:rFonts w:ascii="Cambria" w:hAnsi="Cambria" w:cs="Calibri"/>
                <w:lang w:val="it-IT"/>
              </w:rPr>
              <w:t xml:space="preserve"> i </w:t>
            </w:r>
            <w:proofErr w:type="spellStart"/>
            <w:r w:rsidRPr="00DF4CE5">
              <w:rPr>
                <w:rFonts w:ascii="Cambria" w:hAnsi="Cambria" w:cs="Calibri"/>
                <w:lang w:val="it-IT"/>
              </w:rPr>
              <w:t>glazbe</w:t>
            </w:r>
            <w:proofErr w:type="spellEnd"/>
            <w:r w:rsidRPr="00DF4CE5">
              <w:rPr>
                <w:rFonts w:ascii="Cambria" w:hAnsi="Cambria" w:cs="Calibri"/>
                <w:lang w:val="it-IT"/>
              </w:rPr>
              <w:t xml:space="preserve"> u metodici </w:t>
            </w:r>
            <w:proofErr w:type="spellStart"/>
            <w:r w:rsidRPr="00DF4CE5">
              <w:rPr>
                <w:rFonts w:ascii="Cambria" w:hAnsi="Cambria" w:cs="Calibri"/>
                <w:lang w:val="it-IT"/>
              </w:rPr>
              <w:t>književnosti</w:t>
            </w:r>
            <w:proofErr w:type="spellEnd"/>
            <w:r w:rsidRPr="00DF4CE5">
              <w:rPr>
                <w:rFonts w:ascii="Cambria" w:hAnsi="Cambria" w:cs="Calibri"/>
                <w:lang w:val="it-IT"/>
              </w:rPr>
              <w:t xml:space="preserve"> u </w:t>
            </w:r>
            <w:proofErr w:type="spellStart"/>
            <w:r w:rsidRPr="00DF4CE5">
              <w:rPr>
                <w:rFonts w:ascii="Cambria" w:hAnsi="Cambria" w:cs="Calibri"/>
                <w:lang w:val="it-IT"/>
              </w:rPr>
              <w:t>razrednoj</w:t>
            </w:r>
            <w:proofErr w:type="spellEnd"/>
            <w:r w:rsidRPr="00DF4CE5">
              <w:rPr>
                <w:rFonts w:ascii="Cambria" w:hAnsi="Cambria" w:cs="Calibri"/>
                <w:lang w:val="it-IT"/>
              </w:rPr>
              <w:t xml:space="preserve"> </w:t>
            </w:r>
            <w:proofErr w:type="spellStart"/>
            <w:r w:rsidRPr="00DF4CE5">
              <w:rPr>
                <w:rFonts w:ascii="Cambria" w:hAnsi="Cambria" w:cs="Calibri"/>
                <w:lang w:val="it-IT"/>
              </w:rPr>
              <w:t>nastavi</w:t>
            </w:r>
            <w:proofErr w:type="spellEnd"/>
            <w:r w:rsidRPr="00DF4CE5">
              <w:rPr>
                <w:rFonts w:ascii="Cambria" w:hAnsi="Cambria" w:cs="Calibri"/>
                <w:lang w:val="it-IT"/>
              </w:rPr>
              <w:t xml:space="preserve">, </w:t>
            </w:r>
            <w:proofErr w:type="spellStart"/>
            <w:r w:rsidRPr="00DF4CE5">
              <w:rPr>
                <w:rFonts w:ascii="Cambria" w:hAnsi="Cambria" w:cs="Calibri"/>
                <w:lang w:val="it-IT"/>
              </w:rPr>
              <w:t>Školska</w:t>
            </w:r>
            <w:proofErr w:type="spellEnd"/>
            <w:r w:rsidRPr="00DF4CE5">
              <w:rPr>
                <w:rFonts w:ascii="Cambria" w:hAnsi="Cambria" w:cs="Calibri"/>
                <w:lang w:val="it-IT"/>
              </w:rPr>
              <w:t xml:space="preserve"> </w:t>
            </w:r>
            <w:proofErr w:type="spellStart"/>
            <w:r w:rsidRPr="00DF4CE5">
              <w:rPr>
                <w:rFonts w:ascii="Cambria" w:hAnsi="Cambria" w:cs="Calibri"/>
                <w:lang w:val="it-IT"/>
              </w:rPr>
              <w:t>knjiga</w:t>
            </w:r>
            <w:proofErr w:type="spellEnd"/>
            <w:r w:rsidRPr="00DF4CE5">
              <w:rPr>
                <w:rFonts w:ascii="Cambria" w:hAnsi="Cambria" w:cs="Calibri"/>
                <w:lang w:val="it-IT"/>
              </w:rPr>
              <w:t>, 2008.</w:t>
            </w:r>
          </w:p>
          <w:p w14:paraId="4A46464B" w14:textId="68C2A2B3" w:rsidR="00ED1945" w:rsidRPr="00DF4CE5" w:rsidRDefault="00ED1945" w:rsidP="00ED1945">
            <w:pPr>
              <w:suppressAutoHyphens/>
              <w:spacing w:after="0" w:line="240" w:lineRule="auto"/>
              <w:rPr>
                <w:rFonts w:ascii="Cambria" w:hAnsi="Cambria" w:cs="Calibri"/>
                <w:lang w:val="it-IT"/>
              </w:rPr>
            </w:pPr>
            <w:r>
              <w:rPr>
                <w:rFonts w:ascii="Cambria" w:hAnsi="Cambria" w:cs="Calibri"/>
                <w:lang w:val="it-IT"/>
              </w:rPr>
              <w:t xml:space="preserve">3. </w:t>
            </w:r>
            <w:proofErr w:type="spellStart"/>
            <w:r w:rsidRPr="00DF4CE5">
              <w:rPr>
                <w:rFonts w:ascii="Cambria" w:hAnsi="Cambria" w:cs="Calibri"/>
                <w:lang w:val="it-IT"/>
              </w:rPr>
              <w:t>Jurdana</w:t>
            </w:r>
            <w:proofErr w:type="spellEnd"/>
            <w:r w:rsidRPr="00DF4CE5">
              <w:rPr>
                <w:rFonts w:ascii="Cambria" w:hAnsi="Cambria" w:cs="Calibri"/>
                <w:lang w:val="it-IT"/>
              </w:rPr>
              <w:t xml:space="preserve">, V. (2015). </w:t>
            </w:r>
            <w:proofErr w:type="spellStart"/>
            <w:r w:rsidRPr="00DF4CE5">
              <w:rPr>
                <w:rFonts w:ascii="Cambria" w:hAnsi="Cambria" w:cs="Calibri"/>
                <w:lang w:val="it-IT"/>
              </w:rPr>
              <w:t>Igri</w:t>
            </w:r>
            <w:proofErr w:type="spellEnd"/>
            <w:r w:rsidRPr="00DF4CE5">
              <w:rPr>
                <w:rFonts w:ascii="Cambria" w:hAnsi="Cambria" w:cs="Calibri"/>
                <w:lang w:val="it-IT"/>
              </w:rPr>
              <w:t xml:space="preserve">. Mala </w:t>
            </w:r>
            <w:proofErr w:type="spellStart"/>
            <w:r w:rsidRPr="00DF4CE5">
              <w:rPr>
                <w:rFonts w:ascii="Cambria" w:hAnsi="Cambria" w:cs="Calibri"/>
                <w:lang w:val="it-IT"/>
              </w:rPr>
              <w:t>zaviČAjna</w:t>
            </w:r>
            <w:proofErr w:type="spellEnd"/>
            <w:r w:rsidRPr="00DF4CE5">
              <w:rPr>
                <w:rFonts w:ascii="Cambria" w:hAnsi="Cambria" w:cs="Calibri"/>
                <w:lang w:val="it-IT"/>
              </w:rPr>
              <w:t xml:space="preserve"> </w:t>
            </w:r>
            <w:proofErr w:type="spellStart"/>
            <w:r w:rsidRPr="00DF4CE5">
              <w:rPr>
                <w:rFonts w:ascii="Cambria" w:hAnsi="Cambria" w:cs="Calibri"/>
                <w:lang w:val="it-IT"/>
              </w:rPr>
              <w:t>čitanka</w:t>
            </w:r>
            <w:proofErr w:type="spellEnd"/>
            <w:r w:rsidRPr="00DF4CE5">
              <w:rPr>
                <w:rFonts w:ascii="Cambria" w:hAnsi="Cambria" w:cs="Calibri"/>
                <w:lang w:val="it-IT"/>
              </w:rPr>
              <w:t xml:space="preserve"> (s </w:t>
            </w:r>
            <w:proofErr w:type="spellStart"/>
            <w:r w:rsidRPr="00DF4CE5">
              <w:rPr>
                <w:rFonts w:ascii="Cambria" w:hAnsi="Cambria" w:cs="Calibri"/>
                <w:lang w:val="it-IT"/>
              </w:rPr>
              <w:t>primjerima</w:t>
            </w:r>
            <w:proofErr w:type="spellEnd"/>
            <w:r w:rsidRPr="00DF4CE5">
              <w:rPr>
                <w:rFonts w:ascii="Cambria" w:hAnsi="Cambria" w:cs="Calibri"/>
                <w:lang w:val="it-IT"/>
              </w:rPr>
              <w:t xml:space="preserve"> </w:t>
            </w:r>
            <w:proofErr w:type="spellStart"/>
            <w:r w:rsidRPr="00DF4CE5">
              <w:rPr>
                <w:rFonts w:ascii="Cambria" w:hAnsi="Cambria" w:cs="Calibri"/>
                <w:lang w:val="it-IT"/>
              </w:rPr>
              <w:t>iz</w:t>
            </w:r>
            <w:proofErr w:type="spellEnd"/>
            <w:r w:rsidRPr="00DF4CE5">
              <w:rPr>
                <w:rFonts w:ascii="Cambria" w:hAnsi="Cambria" w:cs="Calibri"/>
                <w:lang w:val="it-IT"/>
              </w:rPr>
              <w:t xml:space="preserve"> </w:t>
            </w:r>
            <w:proofErr w:type="spellStart"/>
            <w:r w:rsidRPr="00DF4CE5">
              <w:rPr>
                <w:rFonts w:ascii="Cambria" w:hAnsi="Cambria" w:cs="Calibri"/>
                <w:lang w:val="it-IT"/>
              </w:rPr>
              <w:t>čakavske</w:t>
            </w:r>
            <w:proofErr w:type="spellEnd"/>
            <w:r w:rsidRPr="00DF4CE5">
              <w:rPr>
                <w:rFonts w:ascii="Cambria" w:hAnsi="Cambria" w:cs="Calibri"/>
                <w:lang w:val="it-IT"/>
              </w:rPr>
              <w:t xml:space="preserve"> </w:t>
            </w:r>
            <w:proofErr w:type="spellStart"/>
            <w:r w:rsidRPr="00DF4CE5">
              <w:rPr>
                <w:rFonts w:ascii="Cambria" w:hAnsi="Cambria" w:cs="Calibri"/>
                <w:lang w:val="it-IT"/>
              </w:rPr>
              <w:t>poezije</w:t>
            </w:r>
            <w:proofErr w:type="spellEnd"/>
            <w:r w:rsidRPr="00DF4CE5">
              <w:rPr>
                <w:rFonts w:ascii="Cambria" w:hAnsi="Cambria" w:cs="Calibri"/>
                <w:lang w:val="it-IT"/>
              </w:rPr>
              <w:t xml:space="preserve"> </w:t>
            </w:r>
            <w:proofErr w:type="spellStart"/>
            <w:r w:rsidRPr="00DF4CE5">
              <w:rPr>
                <w:rFonts w:ascii="Cambria" w:hAnsi="Cambria" w:cs="Calibri"/>
                <w:lang w:val="it-IT"/>
              </w:rPr>
              <w:t>Drage</w:t>
            </w:r>
            <w:proofErr w:type="spellEnd"/>
            <w:r w:rsidRPr="00DF4CE5">
              <w:rPr>
                <w:rFonts w:ascii="Cambria" w:hAnsi="Cambria" w:cs="Calibri"/>
                <w:lang w:val="it-IT"/>
              </w:rPr>
              <w:t xml:space="preserve"> </w:t>
            </w:r>
            <w:proofErr w:type="spellStart"/>
            <w:r w:rsidRPr="00DF4CE5">
              <w:rPr>
                <w:rFonts w:ascii="Cambria" w:hAnsi="Cambria" w:cs="Calibri"/>
                <w:lang w:val="it-IT"/>
              </w:rPr>
              <w:t>Gervaisa</w:t>
            </w:r>
            <w:proofErr w:type="spellEnd"/>
            <w:r w:rsidRPr="00DF4CE5">
              <w:rPr>
                <w:rFonts w:ascii="Cambria" w:hAnsi="Cambria" w:cs="Calibri"/>
                <w:lang w:val="it-IT"/>
              </w:rPr>
              <w:t xml:space="preserve">), </w:t>
            </w:r>
            <w:proofErr w:type="spellStart"/>
            <w:r w:rsidRPr="00DF4CE5">
              <w:rPr>
                <w:rFonts w:ascii="Cambria" w:hAnsi="Cambria" w:cs="Calibri"/>
                <w:lang w:val="it-IT"/>
              </w:rPr>
              <w:t>Sveučilište</w:t>
            </w:r>
            <w:proofErr w:type="spellEnd"/>
            <w:r w:rsidRPr="00DF4CE5">
              <w:rPr>
                <w:rFonts w:ascii="Cambria" w:hAnsi="Cambria" w:cs="Calibri"/>
                <w:lang w:val="it-IT"/>
              </w:rPr>
              <w:t xml:space="preserve"> </w:t>
            </w:r>
            <w:proofErr w:type="spellStart"/>
            <w:r w:rsidRPr="00DF4CE5">
              <w:rPr>
                <w:rFonts w:ascii="Cambria" w:hAnsi="Cambria" w:cs="Calibri"/>
                <w:lang w:val="it-IT"/>
              </w:rPr>
              <w:t>Jurja</w:t>
            </w:r>
            <w:proofErr w:type="spellEnd"/>
            <w:r w:rsidRPr="00DF4CE5">
              <w:rPr>
                <w:rFonts w:ascii="Cambria" w:hAnsi="Cambria" w:cs="Calibri"/>
                <w:lang w:val="it-IT"/>
              </w:rPr>
              <w:t xml:space="preserve"> </w:t>
            </w:r>
            <w:proofErr w:type="spellStart"/>
            <w:r w:rsidRPr="00DF4CE5">
              <w:rPr>
                <w:rFonts w:ascii="Cambria" w:hAnsi="Cambria" w:cs="Calibri"/>
                <w:lang w:val="it-IT"/>
              </w:rPr>
              <w:t>Dobrile</w:t>
            </w:r>
            <w:proofErr w:type="spellEnd"/>
            <w:r w:rsidRPr="00DF4CE5">
              <w:rPr>
                <w:rFonts w:ascii="Cambria" w:hAnsi="Cambria" w:cs="Calibri"/>
                <w:lang w:val="it-IT"/>
              </w:rPr>
              <w:t xml:space="preserve"> u </w:t>
            </w:r>
            <w:proofErr w:type="spellStart"/>
            <w:r w:rsidRPr="00DF4CE5">
              <w:rPr>
                <w:rFonts w:ascii="Cambria" w:hAnsi="Cambria" w:cs="Calibri"/>
                <w:lang w:val="it-IT"/>
              </w:rPr>
              <w:t>Puli-Ustanova</w:t>
            </w:r>
            <w:proofErr w:type="spellEnd"/>
            <w:r w:rsidRPr="00DF4CE5">
              <w:rPr>
                <w:rFonts w:ascii="Cambria" w:hAnsi="Cambria" w:cs="Calibri"/>
                <w:lang w:val="it-IT"/>
              </w:rPr>
              <w:t xml:space="preserve"> „Ivan </w:t>
            </w:r>
            <w:proofErr w:type="spellStart"/>
            <w:r w:rsidRPr="00DF4CE5">
              <w:rPr>
                <w:rFonts w:ascii="Cambria" w:hAnsi="Cambria" w:cs="Calibri"/>
                <w:lang w:val="it-IT"/>
              </w:rPr>
              <w:t>Matetić</w:t>
            </w:r>
            <w:proofErr w:type="spellEnd"/>
            <w:r w:rsidRPr="00DF4CE5">
              <w:rPr>
                <w:rFonts w:ascii="Cambria" w:hAnsi="Cambria" w:cs="Calibri"/>
                <w:lang w:val="it-IT"/>
              </w:rPr>
              <w:t xml:space="preserve"> </w:t>
            </w:r>
            <w:proofErr w:type="spellStart"/>
            <w:proofErr w:type="gramStart"/>
            <w:r w:rsidRPr="00DF4CE5">
              <w:rPr>
                <w:rFonts w:ascii="Cambria" w:hAnsi="Cambria" w:cs="Calibri"/>
                <w:lang w:val="it-IT"/>
              </w:rPr>
              <w:t>Ronjgov</w:t>
            </w:r>
            <w:proofErr w:type="spellEnd"/>
            <w:r w:rsidRPr="00DF4CE5">
              <w:rPr>
                <w:rFonts w:ascii="Cambria" w:hAnsi="Cambria" w:cs="Calibri"/>
                <w:lang w:val="it-IT"/>
              </w:rPr>
              <w:t>“</w:t>
            </w:r>
            <w:proofErr w:type="gramEnd"/>
            <w:r w:rsidRPr="00DF4CE5">
              <w:rPr>
                <w:rFonts w:ascii="Cambria" w:hAnsi="Cambria" w:cs="Calibri"/>
                <w:lang w:val="it-IT"/>
              </w:rPr>
              <w:t>, Pula.</w:t>
            </w:r>
          </w:p>
          <w:p w14:paraId="050377E7" w14:textId="3820EBE7" w:rsidR="00ED1945" w:rsidRPr="00DF4CE5" w:rsidRDefault="00ED1945" w:rsidP="00ED1945">
            <w:pPr>
              <w:suppressAutoHyphens/>
              <w:spacing w:after="0" w:line="240" w:lineRule="auto"/>
              <w:rPr>
                <w:rFonts w:ascii="Cambria" w:hAnsi="Cambria" w:cs="Calibri"/>
                <w:lang w:val="it-IT"/>
              </w:rPr>
            </w:pPr>
            <w:r>
              <w:rPr>
                <w:rFonts w:ascii="Cambria" w:hAnsi="Cambria" w:cs="Calibri"/>
                <w:lang w:val="it-IT"/>
              </w:rPr>
              <w:lastRenderedPageBreak/>
              <w:t xml:space="preserve">4. </w:t>
            </w:r>
            <w:proofErr w:type="spellStart"/>
            <w:r w:rsidRPr="00DF4CE5">
              <w:rPr>
                <w:rFonts w:ascii="Cambria" w:hAnsi="Cambria" w:cs="Calibri"/>
                <w:lang w:val="it-IT"/>
              </w:rPr>
              <w:t>Ministarstvo</w:t>
            </w:r>
            <w:proofErr w:type="spellEnd"/>
            <w:r w:rsidRPr="00DF4CE5">
              <w:rPr>
                <w:rFonts w:ascii="Cambria" w:hAnsi="Cambria" w:cs="Calibri"/>
                <w:lang w:val="it-IT"/>
              </w:rPr>
              <w:t xml:space="preserve"> </w:t>
            </w:r>
            <w:proofErr w:type="spellStart"/>
            <w:r w:rsidRPr="00DF4CE5">
              <w:rPr>
                <w:rFonts w:ascii="Cambria" w:hAnsi="Cambria" w:cs="Calibri"/>
                <w:lang w:val="it-IT"/>
              </w:rPr>
              <w:t>znanosti</w:t>
            </w:r>
            <w:proofErr w:type="spellEnd"/>
            <w:r w:rsidRPr="00DF4CE5">
              <w:rPr>
                <w:rFonts w:ascii="Cambria" w:hAnsi="Cambria" w:cs="Calibri"/>
                <w:lang w:val="it-IT"/>
              </w:rPr>
              <w:t xml:space="preserve">, </w:t>
            </w:r>
            <w:proofErr w:type="spellStart"/>
            <w:r w:rsidRPr="00DF4CE5">
              <w:rPr>
                <w:rFonts w:ascii="Cambria" w:hAnsi="Cambria" w:cs="Calibri"/>
                <w:lang w:val="it-IT"/>
              </w:rPr>
              <w:t>obrazovanja</w:t>
            </w:r>
            <w:proofErr w:type="spellEnd"/>
            <w:r w:rsidRPr="00DF4CE5">
              <w:rPr>
                <w:rFonts w:ascii="Cambria" w:hAnsi="Cambria" w:cs="Calibri"/>
                <w:lang w:val="it-IT"/>
              </w:rPr>
              <w:t xml:space="preserve"> </w:t>
            </w:r>
            <w:proofErr w:type="gramStart"/>
            <w:r w:rsidRPr="00DF4CE5">
              <w:rPr>
                <w:rFonts w:ascii="Cambria" w:hAnsi="Cambria" w:cs="Calibri"/>
                <w:lang w:val="it-IT"/>
              </w:rPr>
              <w:t>i sporta</w:t>
            </w:r>
            <w:proofErr w:type="gramEnd"/>
            <w:r w:rsidRPr="00DF4CE5">
              <w:rPr>
                <w:rFonts w:ascii="Cambria" w:hAnsi="Cambria" w:cs="Calibri"/>
                <w:lang w:val="it-IT"/>
              </w:rPr>
              <w:t xml:space="preserve"> (2006). </w:t>
            </w:r>
            <w:proofErr w:type="spellStart"/>
            <w:r w:rsidRPr="00DF4CE5">
              <w:rPr>
                <w:rFonts w:ascii="Cambria" w:hAnsi="Cambria" w:cs="Calibri"/>
                <w:lang w:val="it-IT"/>
              </w:rPr>
              <w:t>Nastavni</w:t>
            </w:r>
            <w:proofErr w:type="spellEnd"/>
            <w:r w:rsidRPr="00DF4CE5">
              <w:rPr>
                <w:rFonts w:ascii="Cambria" w:hAnsi="Cambria" w:cs="Calibri"/>
                <w:lang w:val="it-IT"/>
              </w:rPr>
              <w:t xml:space="preserve"> plan i </w:t>
            </w:r>
            <w:proofErr w:type="spellStart"/>
            <w:r w:rsidRPr="00DF4CE5">
              <w:rPr>
                <w:rFonts w:ascii="Cambria" w:hAnsi="Cambria" w:cs="Calibri"/>
                <w:lang w:val="it-IT"/>
              </w:rPr>
              <w:t>program</w:t>
            </w:r>
            <w:proofErr w:type="spellEnd"/>
            <w:r w:rsidRPr="00DF4CE5">
              <w:rPr>
                <w:rFonts w:ascii="Cambria" w:hAnsi="Cambria" w:cs="Calibri"/>
                <w:lang w:val="it-IT"/>
              </w:rPr>
              <w:t xml:space="preserve"> za </w:t>
            </w:r>
            <w:proofErr w:type="spellStart"/>
            <w:r w:rsidRPr="00DF4CE5">
              <w:rPr>
                <w:rFonts w:ascii="Cambria" w:hAnsi="Cambria" w:cs="Calibri"/>
                <w:lang w:val="it-IT"/>
              </w:rPr>
              <w:t>osnovnu</w:t>
            </w:r>
            <w:proofErr w:type="spellEnd"/>
            <w:r w:rsidRPr="00DF4CE5">
              <w:rPr>
                <w:rFonts w:ascii="Cambria" w:hAnsi="Cambria" w:cs="Calibri"/>
                <w:lang w:val="it-IT"/>
              </w:rPr>
              <w:t xml:space="preserve"> </w:t>
            </w:r>
            <w:proofErr w:type="spellStart"/>
            <w:r w:rsidRPr="00DF4CE5">
              <w:rPr>
                <w:rFonts w:ascii="Cambria" w:hAnsi="Cambria" w:cs="Calibri"/>
                <w:lang w:val="it-IT"/>
              </w:rPr>
              <w:t>školu</w:t>
            </w:r>
            <w:proofErr w:type="spellEnd"/>
            <w:r w:rsidRPr="00DF4CE5">
              <w:rPr>
                <w:rFonts w:ascii="Cambria" w:hAnsi="Cambria" w:cs="Calibri"/>
                <w:lang w:val="it-IT"/>
              </w:rPr>
              <w:t>.</w:t>
            </w:r>
          </w:p>
          <w:p w14:paraId="711B856C" w14:textId="46B9BFF9" w:rsidR="00ED1945" w:rsidRPr="00DF4CE5" w:rsidRDefault="00ED1945" w:rsidP="00ED1945">
            <w:pPr>
              <w:suppressAutoHyphens/>
              <w:spacing w:after="0" w:line="240" w:lineRule="auto"/>
              <w:rPr>
                <w:rFonts w:ascii="Cambria" w:hAnsi="Cambria" w:cs="Calibri"/>
                <w:lang w:val="it-IT"/>
              </w:rPr>
            </w:pPr>
            <w:r>
              <w:rPr>
                <w:rFonts w:ascii="Cambria" w:hAnsi="Cambria" w:cs="Calibri"/>
                <w:lang w:val="it-IT"/>
              </w:rPr>
              <w:t xml:space="preserve">5. </w:t>
            </w:r>
            <w:proofErr w:type="spellStart"/>
            <w:r w:rsidRPr="00DF4CE5">
              <w:rPr>
                <w:rFonts w:ascii="Cambria" w:hAnsi="Cambria" w:cs="Calibri"/>
                <w:lang w:val="it-IT"/>
              </w:rPr>
              <w:t>Rosandić</w:t>
            </w:r>
            <w:proofErr w:type="spellEnd"/>
            <w:r w:rsidRPr="00DF4CE5">
              <w:rPr>
                <w:rFonts w:ascii="Cambria" w:hAnsi="Cambria" w:cs="Calibri"/>
                <w:lang w:val="it-IT"/>
              </w:rPr>
              <w:t xml:space="preserve">, D. (1986). </w:t>
            </w:r>
            <w:proofErr w:type="spellStart"/>
            <w:r w:rsidRPr="00DF4CE5">
              <w:rPr>
                <w:rFonts w:ascii="Cambria" w:hAnsi="Cambria" w:cs="Calibri"/>
                <w:lang w:val="it-IT"/>
              </w:rPr>
              <w:t>Metodika</w:t>
            </w:r>
            <w:proofErr w:type="spellEnd"/>
            <w:r w:rsidRPr="00DF4CE5">
              <w:rPr>
                <w:rFonts w:ascii="Cambria" w:hAnsi="Cambria" w:cs="Calibri"/>
                <w:lang w:val="it-IT"/>
              </w:rPr>
              <w:t xml:space="preserve"> </w:t>
            </w:r>
            <w:proofErr w:type="spellStart"/>
            <w:r w:rsidRPr="00DF4CE5">
              <w:rPr>
                <w:rFonts w:ascii="Cambria" w:hAnsi="Cambria" w:cs="Calibri"/>
                <w:lang w:val="it-IT"/>
              </w:rPr>
              <w:t>književnog</w:t>
            </w:r>
            <w:proofErr w:type="spellEnd"/>
            <w:r w:rsidRPr="00DF4CE5">
              <w:rPr>
                <w:rFonts w:ascii="Cambria" w:hAnsi="Cambria" w:cs="Calibri"/>
                <w:lang w:val="it-IT"/>
              </w:rPr>
              <w:t xml:space="preserve"> </w:t>
            </w:r>
            <w:proofErr w:type="spellStart"/>
            <w:r w:rsidRPr="00DF4CE5">
              <w:rPr>
                <w:rFonts w:ascii="Cambria" w:hAnsi="Cambria" w:cs="Calibri"/>
                <w:lang w:val="it-IT"/>
              </w:rPr>
              <w:t>odgoja</w:t>
            </w:r>
            <w:proofErr w:type="spellEnd"/>
            <w:r w:rsidRPr="00DF4CE5">
              <w:rPr>
                <w:rFonts w:ascii="Cambria" w:hAnsi="Cambria" w:cs="Calibri"/>
                <w:lang w:val="it-IT"/>
              </w:rPr>
              <w:t xml:space="preserve"> i </w:t>
            </w:r>
            <w:proofErr w:type="spellStart"/>
            <w:r w:rsidRPr="00DF4CE5">
              <w:rPr>
                <w:rFonts w:ascii="Cambria" w:hAnsi="Cambria" w:cs="Calibri"/>
                <w:lang w:val="it-IT"/>
              </w:rPr>
              <w:t>obrazovanja</w:t>
            </w:r>
            <w:proofErr w:type="spellEnd"/>
            <w:r w:rsidRPr="00DF4CE5">
              <w:rPr>
                <w:rFonts w:ascii="Cambria" w:hAnsi="Cambria" w:cs="Calibri"/>
                <w:lang w:val="it-IT"/>
              </w:rPr>
              <w:t xml:space="preserve">, </w:t>
            </w:r>
            <w:proofErr w:type="spellStart"/>
            <w:r w:rsidRPr="00DF4CE5">
              <w:rPr>
                <w:rFonts w:ascii="Cambria" w:hAnsi="Cambria" w:cs="Calibri"/>
                <w:lang w:val="it-IT"/>
              </w:rPr>
              <w:t>Školska</w:t>
            </w:r>
            <w:proofErr w:type="spellEnd"/>
            <w:r w:rsidRPr="00DF4CE5">
              <w:rPr>
                <w:rFonts w:ascii="Cambria" w:hAnsi="Cambria" w:cs="Calibri"/>
                <w:lang w:val="it-IT"/>
              </w:rPr>
              <w:t xml:space="preserve"> </w:t>
            </w:r>
            <w:proofErr w:type="spellStart"/>
            <w:r w:rsidRPr="00DF4CE5">
              <w:rPr>
                <w:rFonts w:ascii="Cambria" w:hAnsi="Cambria" w:cs="Calibri"/>
                <w:lang w:val="it-IT"/>
              </w:rPr>
              <w:t>knjiga</w:t>
            </w:r>
            <w:proofErr w:type="spellEnd"/>
            <w:r w:rsidRPr="00DF4CE5">
              <w:rPr>
                <w:rFonts w:ascii="Cambria" w:hAnsi="Cambria" w:cs="Calibri"/>
                <w:lang w:val="it-IT"/>
              </w:rPr>
              <w:t xml:space="preserve">, </w:t>
            </w:r>
            <w:proofErr w:type="spellStart"/>
            <w:r w:rsidRPr="00DF4CE5">
              <w:rPr>
                <w:rFonts w:ascii="Cambria" w:hAnsi="Cambria" w:cs="Calibri"/>
                <w:lang w:val="it-IT"/>
              </w:rPr>
              <w:t>Zagreb</w:t>
            </w:r>
            <w:proofErr w:type="spellEnd"/>
            <w:r w:rsidRPr="00DF4CE5">
              <w:rPr>
                <w:rFonts w:ascii="Cambria" w:hAnsi="Cambria" w:cs="Calibri"/>
                <w:lang w:val="it-IT"/>
              </w:rPr>
              <w:t>.</w:t>
            </w:r>
          </w:p>
          <w:p w14:paraId="47DA7C64" w14:textId="69D86392" w:rsidR="00ED1945" w:rsidRPr="00DF4CE5" w:rsidRDefault="00ED1945" w:rsidP="00ED1945">
            <w:pPr>
              <w:suppressAutoHyphens/>
              <w:spacing w:after="0" w:line="240" w:lineRule="auto"/>
              <w:rPr>
                <w:rFonts w:ascii="Cambria" w:hAnsi="Cambria" w:cs="Calibri"/>
                <w:lang w:val="it-IT"/>
              </w:rPr>
            </w:pPr>
            <w:r>
              <w:rPr>
                <w:rFonts w:ascii="Cambria" w:hAnsi="Cambria" w:cs="Calibri"/>
                <w:lang w:val="it-IT"/>
              </w:rPr>
              <w:t xml:space="preserve">6. </w:t>
            </w:r>
            <w:proofErr w:type="spellStart"/>
            <w:r w:rsidRPr="00DF4CE5">
              <w:rPr>
                <w:rFonts w:ascii="Cambria" w:hAnsi="Cambria" w:cs="Calibri"/>
                <w:lang w:val="it-IT"/>
              </w:rPr>
              <w:t>Rosandić</w:t>
            </w:r>
            <w:proofErr w:type="spellEnd"/>
            <w:r w:rsidRPr="00DF4CE5">
              <w:rPr>
                <w:rFonts w:ascii="Cambria" w:hAnsi="Cambria" w:cs="Calibri"/>
                <w:lang w:val="it-IT"/>
              </w:rPr>
              <w:t xml:space="preserve">, D. (2005). </w:t>
            </w:r>
            <w:proofErr w:type="spellStart"/>
            <w:r w:rsidRPr="00DF4CE5">
              <w:rPr>
                <w:rFonts w:ascii="Cambria" w:hAnsi="Cambria" w:cs="Calibri"/>
                <w:lang w:val="it-IT"/>
              </w:rPr>
              <w:t>Metodika</w:t>
            </w:r>
            <w:proofErr w:type="spellEnd"/>
            <w:r w:rsidRPr="00DF4CE5">
              <w:rPr>
                <w:rFonts w:ascii="Cambria" w:hAnsi="Cambria" w:cs="Calibri"/>
                <w:lang w:val="it-IT"/>
              </w:rPr>
              <w:t xml:space="preserve"> </w:t>
            </w:r>
            <w:proofErr w:type="spellStart"/>
            <w:r w:rsidRPr="00DF4CE5">
              <w:rPr>
                <w:rFonts w:ascii="Cambria" w:hAnsi="Cambria" w:cs="Calibri"/>
                <w:lang w:val="it-IT"/>
              </w:rPr>
              <w:t>književnog</w:t>
            </w:r>
            <w:proofErr w:type="spellEnd"/>
            <w:r w:rsidRPr="00DF4CE5">
              <w:rPr>
                <w:rFonts w:ascii="Cambria" w:hAnsi="Cambria" w:cs="Calibri"/>
                <w:lang w:val="it-IT"/>
              </w:rPr>
              <w:t xml:space="preserve"> </w:t>
            </w:r>
            <w:proofErr w:type="spellStart"/>
            <w:r w:rsidRPr="00DF4CE5">
              <w:rPr>
                <w:rFonts w:ascii="Cambria" w:hAnsi="Cambria" w:cs="Calibri"/>
                <w:lang w:val="it-IT"/>
              </w:rPr>
              <w:t>odgoja-temeljci</w:t>
            </w:r>
            <w:proofErr w:type="spellEnd"/>
            <w:r w:rsidRPr="00DF4CE5">
              <w:rPr>
                <w:rFonts w:ascii="Cambria" w:hAnsi="Cambria" w:cs="Calibri"/>
                <w:lang w:val="it-IT"/>
              </w:rPr>
              <w:t xml:space="preserve"> </w:t>
            </w:r>
            <w:proofErr w:type="spellStart"/>
            <w:r w:rsidRPr="00DF4CE5">
              <w:rPr>
                <w:rFonts w:ascii="Cambria" w:hAnsi="Cambria" w:cs="Calibri"/>
                <w:lang w:val="it-IT"/>
              </w:rPr>
              <w:t>metodičkoknjiževne</w:t>
            </w:r>
            <w:proofErr w:type="spellEnd"/>
            <w:r w:rsidRPr="00DF4CE5">
              <w:rPr>
                <w:rFonts w:ascii="Cambria" w:hAnsi="Cambria" w:cs="Calibri"/>
                <w:lang w:val="it-IT"/>
              </w:rPr>
              <w:t xml:space="preserve"> </w:t>
            </w:r>
            <w:proofErr w:type="spellStart"/>
            <w:r w:rsidRPr="00DF4CE5">
              <w:rPr>
                <w:rFonts w:ascii="Cambria" w:hAnsi="Cambria" w:cs="Calibri"/>
                <w:lang w:val="it-IT"/>
              </w:rPr>
              <w:t>enciklopedije</w:t>
            </w:r>
            <w:proofErr w:type="spellEnd"/>
            <w:r w:rsidRPr="00DF4CE5">
              <w:rPr>
                <w:rFonts w:ascii="Cambria" w:hAnsi="Cambria" w:cs="Calibri"/>
                <w:lang w:val="it-IT"/>
              </w:rPr>
              <w:t xml:space="preserve">, </w:t>
            </w:r>
            <w:proofErr w:type="spellStart"/>
            <w:r w:rsidRPr="00DF4CE5">
              <w:rPr>
                <w:rFonts w:ascii="Cambria" w:hAnsi="Cambria" w:cs="Calibri"/>
                <w:lang w:val="it-IT"/>
              </w:rPr>
              <w:t>Školska</w:t>
            </w:r>
            <w:proofErr w:type="spellEnd"/>
            <w:r w:rsidRPr="00DF4CE5">
              <w:rPr>
                <w:rFonts w:ascii="Cambria" w:hAnsi="Cambria" w:cs="Calibri"/>
                <w:lang w:val="it-IT"/>
              </w:rPr>
              <w:t xml:space="preserve"> </w:t>
            </w:r>
            <w:proofErr w:type="spellStart"/>
            <w:r w:rsidRPr="00DF4CE5">
              <w:rPr>
                <w:rFonts w:ascii="Cambria" w:hAnsi="Cambria" w:cs="Calibri"/>
                <w:lang w:val="it-IT"/>
              </w:rPr>
              <w:t>knjiga</w:t>
            </w:r>
            <w:proofErr w:type="spellEnd"/>
            <w:r w:rsidRPr="00DF4CE5">
              <w:rPr>
                <w:rFonts w:ascii="Cambria" w:hAnsi="Cambria" w:cs="Calibri"/>
                <w:lang w:val="it-IT"/>
              </w:rPr>
              <w:t xml:space="preserve">, </w:t>
            </w:r>
            <w:proofErr w:type="spellStart"/>
            <w:r w:rsidRPr="00DF4CE5">
              <w:rPr>
                <w:rFonts w:ascii="Cambria" w:hAnsi="Cambria" w:cs="Calibri"/>
                <w:lang w:val="it-IT"/>
              </w:rPr>
              <w:t>Zagreb</w:t>
            </w:r>
            <w:proofErr w:type="spellEnd"/>
            <w:r w:rsidRPr="00DF4CE5">
              <w:rPr>
                <w:rFonts w:ascii="Cambria" w:hAnsi="Cambria" w:cs="Calibri"/>
                <w:lang w:val="it-IT"/>
              </w:rPr>
              <w:t>.</w:t>
            </w:r>
          </w:p>
          <w:p w14:paraId="23E2E16B" w14:textId="4497A063" w:rsidR="00ED1945" w:rsidRPr="00DF4CE5" w:rsidRDefault="00ED1945" w:rsidP="00ED1945">
            <w:pPr>
              <w:suppressAutoHyphens/>
              <w:spacing w:after="0" w:line="240" w:lineRule="auto"/>
              <w:rPr>
                <w:rFonts w:ascii="Cambria" w:hAnsi="Cambria" w:cs="Calibri"/>
                <w:lang w:val="it-IT"/>
              </w:rPr>
            </w:pPr>
            <w:r>
              <w:rPr>
                <w:rFonts w:ascii="Cambria" w:hAnsi="Cambria" w:cs="Calibri"/>
                <w:lang w:val="it-IT"/>
              </w:rPr>
              <w:t xml:space="preserve">7. </w:t>
            </w:r>
            <w:proofErr w:type="spellStart"/>
            <w:r w:rsidRPr="00DF4CE5">
              <w:rPr>
                <w:rFonts w:ascii="Cambria" w:hAnsi="Cambria" w:cs="Calibri"/>
                <w:lang w:val="it-IT"/>
              </w:rPr>
              <w:t>Šabić</w:t>
            </w:r>
            <w:proofErr w:type="spellEnd"/>
            <w:r w:rsidRPr="00DF4CE5">
              <w:rPr>
                <w:rFonts w:ascii="Cambria" w:hAnsi="Cambria" w:cs="Calibri"/>
                <w:lang w:val="it-IT"/>
              </w:rPr>
              <w:t xml:space="preserve">, A. </w:t>
            </w:r>
            <w:proofErr w:type="gramStart"/>
            <w:r w:rsidRPr="00DF4CE5">
              <w:rPr>
                <w:rFonts w:ascii="Cambria" w:hAnsi="Cambria" w:cs="Calibri"/>
                <w:lang w:val="it-IT"/>
              </w:rPr>
              <w:t>G.(</w:t>
            </w:r>
            <w:proofErr w:type="gramEnd"/>
            <w:r w:rsidRPr="00DF4CE5">
              <w:rPr>
                <w:rFonts w:ascii="Cambria" w:hAnsi="Cambria" w:cs="Calibri"/>
                <w:lang w:val="it-IT"/>
              </w:rPr>
              <w:t xml:space="preserve">1983). </w:t>
            </w:r>
            <w:proofErr w:type="spellStart"/>
            <w:r w:rsidRPr="00DF4CE5">
              <w:rPr>
                <w:rFonts w:ascii="Cambria" w:hAnsi="Cambria" w:cs="Calibri"/>
                <w:lang w:val="it-IT"/>
              </w:rPr>
              <w:t>Lirska</w:t>
            </w:r>
            <w:proofErr w:type="spellEnd"/>
            <w:r w:rsidRPr="00DF4CE5">
              <w:rPr>
                <w:rFonts w:ascii="Cambria" w:hAnsi="Cambria" w:cs="Calibri"/>
                <w:lang w:val="it-IT"/>
              </w:rPr>
              <w:t xml:space="preserve"> </w:t>
            </w:r>
            <w:proofErr w:type="spellStart"/>
            <w:r w:rsidRPr="00DF4CE5">
              <w:rPr>
                <w:rFonts w:ascii="Cambria" w:hAnsi="Cambria" w:cs="Calibri"/>
                <w:lang w:val="it-IT"/>
              </w:rPr>
              <w:t>poezija</w:t>
            </w:r>
            <w:proofErr w:type="spellEnd"/>
            <w:r w:rsidRPr="00DF4CE5">
              <w:rPr>
                <w:rFonts w:ascii="Cambria" w:hAnsi="Cambria" w:cs="Calibri"/>
                <w:lang w:val="it-IT"/>
              </w:rPr>
              <w:t xml:space="preserve"> u </w:t>
            </w:r>
            <w:proofErr w:type="spellStart"/>
            <w:r w:rsidRPr="00DF4CE5">
              <w:rPr>
                <w:rFonts w:ascii="Cambria" w:hAnsi="Cambria" w:cs="Calibri"/>
                <w:lang w:val="it-IT"/>
              </w:rPr>
              <w:t>razrednoj</w:t>
            </w:r>
            <w:proofErr w:type="spellEnd"/>
            <w:r w:rsidRPr="00DF4CE5">
              <w:rPr>
                <w:rFonts w:ascii="Cambria" w:hAnsi="Cambria" w:cs="Calibri"/>
                <w:lang w:val="it-IT"/>
              </w:rPr>
              <w:t xml:space="preserve"> </w:t>
            </w:r>
            <w:proofErr w:type="spellStart"/>
            <w:r w:rsidRPr="00DF4CE5">
              <w:rPr>
                <w:rFonts w:ascii="Cambria" w:hAnsi="Cambria" w:cs="Calibri"/>
                <w:lang w:val="it-IT"/>
              </w:rPr>
              <w:t>nastavi</w:t>
            </w:r>
            <w:proofErr w:type="spellEnd"/>
            <w:r w:rsidRPr="00DF4CE5">
              <w:rPr>
                <w:rFonts w:ascii="Cambria" w:hAnsi="Cambria" w:cs="Calibri"/>
                <w:lang w:val="it-IT"/>
              </w:rPr>
              <w:t xml:space="preserve">, </w:t>
            </w:r>
            <w:proofErr w:type="spellStart"/>
            <w:r w:rsidRPr="00DF4CE5">
              <w:rPr>
                <w:rFonts w:ascii="Cambria" w:hAnsi="Cambria" w:cs="Calibri"/>
                <w:lang w:val="it-IT"/>
              </w:rPr>
              <w:t>Školska</w:t>
            </w:r>
            <w:proofErr w:type="spellEnd"/>
            <w:r w:rsidRPr="00DF4CE5">
              <w:rPr>
                <w:rFonts w:ascii="Cambria" w:hAnsi="Cambria" w:cs="Calibri"/>
                <w:lang w:val="it-IT"/>
              </w:rPr>
              <w:t xml:space="preserve"> </w:t>
            </w:r>
            <w:proofErr w:type="spellStart"/>
            <w:r w:rsidRPr="00DF4CE5">
              <w:rPr>
                <w:rFonts w:ascii="Cambria" w:hAnsi="Cambria" w:cs="Calibri"/>
                <w:lang w:val="it-IT"/>
              </w:rPr>
              <w:t>knjiga</w:t>
            </w:r>
            <w:proofErr w:type="spellEnd"/>
            <w:r w:rsidRPr="00DF4CE5">
              <w:rPr>
                <w:rFonts w:ascii="Cambria" w:hAnsi="Cambria" w:cs="Calibri"/>
                <w:lang w:val="it-IT"/>
              </w:rPr>
              <w:t xml:space="preserve">, </w:t>
            </w:r>
            <w:proofErr w:type="spellStart"/>
            <w:r w:rsidRPr="00DF4CE5">
              <w:rPr>
                <w:rFonts w:ascii="Cambria" w:hAnsi="Cambria" w:cs="Calibri"/>
                <w:lang w:val="it-IT"/>
              </w:rPr>
              <w:t>Zagreb</w:t>
            </w:r>
            <w:proofErr w:type="spellEnd"/>
            <w:r w:rsidRPr="00DF4CE5">
              <w:rPr>
                <w:rFonts w:ascii="Cambria" w:hAnsi="Cambria" w:cs="Calibri"/>
                <w:lang w:val="it-IT"/>
              </w:rPr>
              <w:t>.</w:t>
            </w:r>
          </w:p>
        </w:tc>
      </w:tr>
      <w:bookmarkEnd w:id="104"/>
    </w:tbl>
    <w:p w14:paraId="4A46BCBB" w14:textId="77777777" w:rsidR="00ED1945" w:rsidRPr="009D1050" w:rsidRDefault="00ED1945" w:rsidP="00ED1945">
      <w:pPr>
        <w:rPr>
          <w:lang w:val="hr-HR"/>
        </w:rPr>
      </w:pPr>
    </w:p>
    <w:p w14:paraId="1C621CBB" w14:textId="77777777" w:rsidR="002D5B02" w:rsidRPr="00DF4CE5" w:rsidRDefault="002D5B02" w:rsidP="008B34AF">
      <w:pPr>
        <w:jc w:val="both"/>
        <w:rPr>
          <w:rFonts w:ascii="Cambria" w:hAnsi="Cambria"/>
          <w:lang w:val="hr-HR"/>
        </w:rPr>
      </w:pPr>
    </w:p>
    <w:p w14:paraId="7AF4F105" w14:textId="77777777" w:rsidR="003F228B" w:rsidRPr="00DF4CE5" w:rsidRDefault="003F228B" w:rsidP="008B34AF">
      <w:pPr>
        <w:jc w:val="both"/>
        <w:rPr>
          <w:rFonts w:ascii="Cambria" w:hAnsi="Cambria"/>
          <w:lang w:val="hr-HR"/>
        </w:rPr>
      </w:pPr>
    </w:p>
    <w:p w14:paraId="21CF4AC6" w14:textId="77777777" w:rsidR="003F228B" w:rsidRPr="00DF4CE5" w:rsidRDefault="003F228B" w:rsidP="008B34AF">
      <w:pPr>
        <w:jc w:val="both"/>
        <w:rPr>
          <w:rFonts w:ascii="Cambria" w:hAnsi="Cambria"/>
          <w:lang w:val="hr-HR"/>
        </w:rPr>
      </w:pPr>
    </w:p>
    <w:p w14:paraId="28744E72" w14:textId="77777777" w:rsidR="003F228B" w:rsidRPr="00DF4CE5" w:rsidRDefault="003F228B" w:rsidP="008B34AF">
      <w:pPr>
        <w:jc w:val="both"/>
        <w:rPr>
          <w:rFonts w:ascii="Cambria" w:hAnsi="Cambria"/>
          <w:lang w:val="hr-HR"/>
        </w:rPr>
      </w:pPr>
    </w:p>
    <w:p w14:paraId="10F22DF4" w14:textId="0559801E" w:rsidR="003F228B" w:rsidRPr="00DF4CE5" w:rsidRDefault="003F228B" w:rsidP="008B34AF">
      <w:pPr>
        <w:jc w:val="both"/>
        <w:rPr>
          <w:rFonts w:ascii="Cambria" w:hAnsi="Cambria"/>
          <w:lang w:val="hr-HR"/>
        </w:rPr>
      </w:pPr>
    </w:p>
    <w:p w14:paraId="5594B2F9" w14:textId="44A2DD83" w:rsidR="00172DF4" w:rsidRPr="00DF4CE5" w:rsidRDefault="00172DF4" w:rsidP="008B34AF">
      <w:pPr>
        <w:jc w:val="both"/>
        <w:rPr>
          <w:rFonts w:ascii="Cambria" w:hAnsi="Cambria"/>
          <w:lang w:val="hr-HR"/>
        </w:rPr>
      </w:pPr>
    </w:p>
    <w:p w14:paraId="3718C960" w14:textId="77777777" w:rsidR="00172DF4" w:rsidRPr="00DF4CE5" w:rsidRDefault="00172DF4" w:rsidP="008B34AF">
      <w:pPr>
        <w:jc w:val="both"/>
        <w:rPr>
          <w:rFonts w:ascii="Cambria" w:hAnsi="Cambria"/>
          <w:lang w:val="hr-HR"/>
        </w:rPr>
      </w:pPr>
    </w:p>
    <w:p w14:paraId="35D9A882" w14:textId="631A252D" w:rsidR="003F228B" w:rsidRPr="00DF4CE5" w:rsidRDefault="003F228B" w:rsidP="008B34AF">
      <w:pPr>
        <w:jc w:val="both"/>
        <w:rPr>
          <w:rFonts w:ascii="Cambria" w:hAnsi="Cambria"/>
          <w:lang w:val="hr-HR"/>
        </w:rPr>
      </w:pPr>
    </w:p>
    <w:p w14:paraId="74BD696B" w14:textId="21823532" w:rsidR="00DC4673" w:rsidRPr="00DF4CE5" w:rsidRDefault="00DC4673" w:rsidP="008B34AF">
      <w:pPr>
        <w:jc w:val="both"/>
        <w:rPr>
          <w:rFonts w:ascii="Cambria" w:hAnsi="Cambria"/>
          <w:lang w:val="hr-HR"/>
        </w:rPr>
      </w:pPr>
    </w:p>
    <w:p w14:paraId="1B3F7471" w14:textId="6C62CC25" w:rsidR="00DC4673" w:rsidRPr="00DF4CE5" w:rsidRDefault="00DC4673" w:rsidP="008B34AF">
      <w:pPr>
        <w:jc w:val="both"/>
        <w:rPr>
          <w:rFonts w:ascii="Cambria" w:hAnsi="Cambria"/>
          <w:lang w:val="hr-HR"/>
        </w:rPr>
      </w:pPr>
    </w:p>
    <w:p w14:paraId="253E9104" w14:textId="6C4E1DBE" w:rsidR="00DC4673" w:rsidRPr="00DF4CE5" w:rsidRDefault="00DC4673" w:rsidP="008B34AF">
      <w:pPr>
        <w:jc w:val="both"/>
        <w:rPr>
          <w:rFonts w:ascii="Cambria" w:hAnsi="Cambria"/>
          <w:lang w:val="hr-HR"/>
        </w:rPr>
      </w:pPr>
    </w:p>
    <w:p w14:paraId="0BD7F352" w14:textId="769E367A" w:rsidR="00DC4673" w:rsidRPr="00DF4CE5" w:rsidRDefault="00DC4673" w:rsidP="008B34AF">
      <w:pPr>
        <w:jc w:val="both"/>
        <w:rPr>
          <w:rFonts w:ascii="Cambria" w:hAnsi="Cambria"/>
          <w:lang w:val="hr-HR"/>
        </w:rPr>
      </w:pPr>
    </w:p>
    <w:p w14:paraId="2E9CCE2C" w14:textId="509E3E88" w:rsidR="00DC4673" w:rsidRPr="00DF4CE5" w:rsidRDefault="00DC4673" w:rsidP="008B34AF">
      <w:pPr>
        <w:jc w:val="both"/>
        <w:rPr>
          <w:rFonts w:ascii="Cambria" w:hAnsi="Cambria"/>
          <w:lang w:val="hr-HR"/>
        </w:rPr>
      </w:pPr>
    </w:p>
    <w:p w14:paraId="28CE2D8D" w14:textId="593B3EB3" w:rsidR="00DC4673" w:rsidRPr="00DF4CE5" w:rsidRDefault="00F04B06" w:rsidP="00ED1945">
      <w:pPr>
        <w:rPr>
          <w:rFonts w:ascii="Cambria" w:hAnsi="Cambria"/>
          <w:lang w:val="hr-HR"/>
        </w:rPr>
      </w:pPr>
      <w:r>
        <w:rPr>
          <w:rFonts w:ascii="Cambria" w:hAnsi="Cambria"/>
          <w:lang w:val="hr-HR"/>
        </w:rPr>
        <w:br w:type="page"/>
      </w:r>
    </w:p>
    <w:tbl>
      <w:tblPr>
        <w:tblW w:w="5236" w:type="pct"/>
        <w:tblLayout w:type="fixed"/>
        <w:tblCellMar>
          <w:left w:w="0" w:type="dxa"/>
          <w:right w:w="0" w:type="dxa"/>
        </w:tblCellMar>
        <w:tblLook w:val="0600" w:firstRow="0" w:lastRow="0" w:firstColumn="0" w:lastColumn="0" w:noHBand="1" w:noVBand="1"/>
      </w:tblPr>
      <w:tblGrid>
        <w:gridCol w:w="2346"/>
        <w:gridCol w:w="3314"/>
        <w:gridCol w:w="851"/>
        <w:gridCol w:w="992"/>
        <w:gridCol w:w="132"/>
        <w:gridCol w:w="860"/>
        <w:gridCol w:w="1998"/>
      </w:tblGrid>
      <w:tr w:rsidR="003B70E5" w:rsidRPr="00DF4CE5" w14:paraId="7AF99E2A" w14:textId="77777777" w:rsidTr="00ED1945">
        <w:tc>
          <w:tcPr>
            <w:tcW w:w="10493" w:type="dxa"/>
            <w:gridSpan w:val="7"/>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BE9FF73" w14:textId="77777777" w:rsidR="003B70E5" w:rsidRPr="00DF4CE5" w:rsidRDefault="003B70E5" w:rsidP="00891E8C">
            <w:pPr>
              <w:jc w:val="right"/>
              <w:rPr>
                <w:rFonts w:ascii="Cambria" w:hAnsi="Cambria" w:cs="Calibri"/>
                <w:b/>
              </w:rPr>
            </w:pPr>
            <w:r w:rsidRPr="00DF4CE5">
              <w:rPr>
                <w:rFonts w:ascii="Cambria" w:hAnsi="Cambria" w:cs="Calibri"/>
                <w:lang w:val="it-IT"/>
              </w:rPr>
              <w:lastRenderedPageBreak/>
              <w:br w:type="page"/>
            </w:r>
            <w:r w:rsidRPr="00DF4CE5">
              <w:rPr>
                <w:rFonts w:ascii="Cambria" w:hAnsi="Cambria" w:cs="Calibri"/>
                <w:b/>
              </w:rPr>
              <w:t>IZVEDBENI PLAN NASTAVE KOLEGIJA</w:t>
            </w:r>
          </w:p>
        </w:tc>
      </w:tr>
      <w:tr w:rsidR="003B70E5" w:rsidRPr="00DF4CE5" w14:paraId="7CB90A52" w14:textId="77777777" w:rsidTr="00ED1945">
        <w:tc>
          <w:tcPr>
            <w:tcW w:w="234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535A4B9" w14:textId="77777777" w:rsidR="003B70E5" w:rsidRPr="00DF4CE5" w:rsidRDefault="003B70E5" w:rsidP="00A26C52">
            <w:pPr>
              <w:spacing w:after="0"/>
              <w:rPr>
                <w:rFonts w:ascii="Cambria" w:hAnsi="Cambria" w:cs="Calibri"/>
              </w:rPr>
            </w:pPr>
            <w:proofErr w:type="spellStart"/>
            <w:r w:rsidRPr="00DF4CE5">
              <w:rPr>
                <w:rFonts w:ascii="Cambria" w:hAnsi="Cambria" w:cs="Calibri"/>
              </w:rPr>
              <w:t>Kod</w:t>
            </w:r>
            <w:proofErr w:type="spellEnd"/>
            <w:r w:rsidRPr="00DF4CE5">
              <w:rPr>
                <w:rFonts w:ascii="Cambria" w:hAnsi="Cambria" w:cs="Calibri"/>
              </w:rPr>
              <w:t xml:space="preserve"> </w:t>
            </w:r>
            <w:proofErr w:type="spellStart"/>
            <w:r w:rsidRPr="00DF4CE5">
              <w:rPr>
                <w:rFonts w:ascii="Cambria" w:hAnsi="Cambria" w:cs="Calibri"/>
              </w:rPr>
              <w:t>i</w:t>
            </w:r>
            <w:proofErr w:type="spellEnd"/>
            <w:r w:rsidRPr="00DF4CE5">
              <w:rPr>
                <w:rFonts w:ascii="Cambria" w:hAnsi="Cambria" w:cs="Calibri"/>
              </w:rPr>
              <w:t xml:space="preserve"> </w:t>
            </w:r>
            <w:proofErr w:type="spellStart"/>
            <w:r w:rsidRPr="00DF4CE5">
              <w:rPr>
                <w:rFonts w:ascii="Cambria" w:hAnsi="Cambria" w:cs="Calibri"/>
              </w:rPr>
              <w:t>naziv</w:t>
            </w:r>
            <w:proofErr w:type="spellEnd"/>
            <w:r w:rsidRPr="00DF4CE5">
              <w:rPr>
                <w:rFonts w:ascii="Cambria" w:hAnsi="Cambria" w:cs="Calibri"/>
              </w:rPr>
              <w:t xml:space="preserve"> </w:t>
            </w:r>
            <w:proofErr w:type="spellStart"/>
            <w:r w:rsidRPr="00DF4CE5">
              <w:rPr>
                <w:rFonts w:ascii="Cambria" w:hAnsi="Cambria" w:cs="Calibri"/>
              </w:rPr>
              <w:t>kolegija</w:t>
            </w:r>
            <w:proofErr w:type="spellEnd"/>
          </w:p>
        </w:tc>
        <w:tc>
          <w:tcPr>
            <w:tcW w:w="8147"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05FD239A" w14:textId="196897F0" w:rsidR="003B70E5" w:rsidRPr="00DF4CE5" w:rsidRDefault="00A26C52" w:rsidP="00A26C52">
            <w:pPr>
              <w:spacing w:after="0"/>
              <w:rPr>
                <w:rFonts w:ascii="Cambria" w:hAnsi="Cambria" w:cs="Calibri"/>
              </w:rPr>
            </w:pPr>
            <w:r w:rsidRPr="00DF4CE5">
              <w:rPr>
                <w:rFonts w:ascii="Cambria" w:hAnsi="Cambria" w:cs="Calibri"/>
              </w:rPr>
              <w:t>273598</w:t>
            </w:r>
          </w:p>
          <w:p w14:paraId="5B4B8EFB" w14:textId="77777777" w:rsidR="003B70E5" w:rsidRPr="00DF4CE5" w:rsidRDefault="003B70E5" w:rsidP="00A26C52">
            <w:pPr>
              <w:spacing w:after="0"/>
              <w:rPr>
                <w:rFonts w:ascii="Cambria" w:hAnsi="Cambria" w:cs="Calibri"/>
                <w:bCs/>
              </w:rPr>
            </w:pPr>
            <w:proofErr w:type="spellStart"/>
            <w:r w:rsidRPr="00DF4CE5">
              <w:rPr>
                <w:rFonts w:ascii="Cambria" w:hAnsi="Cambria" w:cs="Calibri"/>
              </w:rPr>
              <w:t>Osnove</w:t>
            </w:r>
            <w:proofErr w:type="spellEnd"/>
            <w:r w:rsidRPr="00DF4CE5">
              <w:rPr>
                <w:rFonts w:ascii="Cambria" w:hAnsi="Cambria" w:cs="Calibri"/>
              </w:rPr>
              <w:t xml:space="preserve"> </w:t>
            </w:r>
            <w:proofErr w:type="spellStart"/>
            <w:r w:rsidRPr="00DF4CE5">
              <w:rPr>
                <w:rFonts w:ascii="Cambria" w:hAnsi="Cambria" w:cs="Calibri"/>
              </w:rPr>
              <w:t>matematike</w:t>
            </w:r>
            <w:proofErr w:type="spellEnd"/>
          </w:p>
        </w:tc>
      </w:tr>
      <w:tr w:rsidR="003B70E5" w:rsidRPr="00D0399C" w14:paraId="7288A355" w14:textId="77777777" w:rsidTr="00ED1945">
        <w:trPr>
          <w:trHeight w:val="812"/>
        </w:trPr>
        <w:tc>
          <w:tcPr>
            <w:tcW w:w="234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1CDF581" w14:textId="77777777" w:rsidR="003B70E5" w:rsidRPr="00DF4CE5" w:rsidRDefault="003B70E5" w:rsidP="00A26C52">
            <w:pPr>
              <w:spacing w:after="0"/>
              <w:rPr>
                <w:rFonts w:ascii="Cambria" w:hAnsi="Cambria" w:cs="Calibri"/>
              </w:rPr>
            </w:pPr>
            <w:proofErr w:type="spellStart"/>
            <w:r w:rsidRPr="00DF4CE5">
              <w:rPr>
                <w:rFonts w:ascii="Cambria" w:hAnsi="Cambria" w:cs="Calibri"/>
              </w:rPr>
              <w:t>Nastavnik</w:t>
            </w:r>
            <w:proofErr w:type="spellEnd"/>
            <w:r w:rsidRPr="00DF4CE5">
              <w:rPr>
                <w:rFonts w:ascii="Cambria" w:hAnsi="Cambria" w:cs="Calibri"/>
              </w:rPr>
              <w:t xml:space="preserve"> </w:t>
            </w:r>
          </w:p>
          <w:p w14:paraId="355050AC" w14:textId="77777777" w:rsidR="003B70E5" w:rsidRPr="00DF4CE5" w:rsidRDefault="003B70E5" w:rsidP="00A26C52">
            <w:pPr>
              <w:spacing w:after="0"/>
              <w:rPr>
                <w:rFonts w:ascii="Cambria" w:hAnsi="Cambria" w:cs="Calibri"/>
              </w:rPr>
            </w:pPr>
            <w:proofErr w:type="spellStart"/>
            <w:r w:rsidRPr="00DF4CE5">
              <w:rPr>
                <w:rFonts w:ascii="Cambria" w:hAnsi="Cambria" w:cs="Calibri"/>
              </w:rPr>
              <w:t>Suradnica</w:t>
            </w:r>
            <w:proofErr w:type="spellEnd"/>
          </w:p>
        </w:tc>
        <w:tc>
          <w:tcPr>
            <w:tcW w:w="8147"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533A528" w14:textId="217A237D" w:rsidR="003B70E5" w:rsidRPr="00DF4CE5" w:rsidRDefault="00E91AAA" w:rsidP="00A26C52">
            <w:pPr>
              <w:pStyle w:val="Naslov1"/>
              <w:spacing w:before="0" w:after="0"/>
              <w:rPr>
                <w:rFonts w:ascii="Cambria" w:eastAsia="Calibri" w:hAnsi="Cambria" w:cs="Calibri"/>
                <w:b w:val="0"/>
                <w:bCs w:val="0"/>
                <w:sz w:val="22"/>
                <w:szCs w:val="22"/>
                <w:lang w:eastAsia="en-US"/>
              </w:rPr>
            </w:pPr>
            <w:hyperlink r:id="rId66" w:history="1">
              <w:r>
                <w:rPr>
                  <w:rStyle w:val="Hiperveza"/>
                  <w:rFonts w:ascii="Cambria" w:eastAsia="Calibri" w:hAnsi="Cambria" w:cs="Calibri"/>
                  <w:b w:val="0"/>
                  <w:bCs w:val="0"/>
                  <w:sz w:val="22"/>
                  <w:szCs w:val="22"/>
                  <w:lang w:eastAsia="en-US"/>
                </w:rPr>
                <w:t>P</w:t>
              </w:r>
              <w:r w:rsidR="003B70E5" w:rsidRPr="00DF4CE5">
                <w:rPr>
                  <w:rStyle w:val="Hiperveza"/>
                  <w:rFonts w:ascii="Cambria" w:eastAsia="Calibri" w:hAnsi="Cambria" w:cs="Calibri"/>
                  <w:b w:val="0"/>
                  <w:bCs w:val="0"/>
                  <w:sz w:val="22"/>
                  <w:szCs w:val="22"/>
                  <w:lang w:eastAsia="en-US"/>
                </w:rPr>
                <w:t>rof. dr. sc. Neven Grbac</w:t>
              </w:r>
            </w:hyperlink>
            <w:r w:rsidR="003B70E5" w:rsidRPr="00DF4CE5">
              <w:rPr>
                <w:rFonts w:ascii="Cambria" w:eastAsia="Calibri" w:hAnsi="Cambria" w:cs="Calibri"/>
                <w:b w:val="0"/>
                <w:bCs w:val="0"/>
                <w:sz w:val="22"/>
                <w:szCs w:val="22"/>
                <w:lang w:eastAsia="en-US"/>
              </w:rPr>
              <w:t xml:space="preserve"> (nositelj)</w:t>
            </w:r>
          </w:p>
          <w:p w14:paraId="0953E519" w14:textId="469A11E4" w:rsidR="003B70E5" w:rsidRPr="00DF4CE5" w:rsidRDefault="00E91AAA" w:rsidP="00A26C52">
            <w:pPr>
              <w:spacing w:after="0"/>
              <w:rPr>
                <w:rFonts w:ascii="Cambria" w:hAnsi="Cambria" w:cs="Calibri"/>
                <w:lang w:val="it-IT"/>
              </w:rPr>
            </w:pPr>
            <w:hyperlink r:id="rId67" w:history="1">
              <w:r w:rsidRPr="00E91AAA">
                <w:rPr>
                  <w:rStyle w:val="Hiperveza"/>
                  <w:rFonts w:ascii="Cambria" w:hAnsi="Cambria"/>
                  <w:lang w:val="it-IT"/>
                </w:rPr>
                <w:t>D</w:t>
              </w:r>
              <w:r w:rsidR="003B70E5" w:rsidRPr="00E91AAA">
                <w:rPr>
                  <w:rStyle w:val="Hiperveza"/>
                  <w:rFonts w:ascii="Cambria" w:hAnsi="Cambria"/>
                  <w:lang w:val="it-IT"/>
                </w:rPr>
                <w:t>r.</w:t>
              </w:r>
              <w:r w:rsidRPr="00E91AAA">
                <w:rPr>
                  <w:rStyle w:val="Hiperveza"/>
                  <w:rFonts w:ascii="Cambria" w:hAnsi="Cambria"/>
                  <w:lang w:val="it-IT"/>
                </w:rPr>
                <w:t xml:space="preserve"> </w:t>
              </w:r>
              <w:r w:rsidR="003B70E5" w:rsidRPr="00E91AAA">
                <w:rPr>
                  <w:rStyle w:val="Hiperveza"/>
                  <w:rFonts w:ascii="Cambria" w:hAnsi="Cambria"/>
                  <w:lang w:val="it-IT"/>
                </w:rPr>
                <w:t xml:space="preserve">sc. </w:t>
              </w:r>
              <w:proofErr w:type="spellStart"/>
              <w:r w:rsidR="003B70E5" w:rsidRPr="00E91AAA">
                <w:rPr>
                  <w:rStyle w:val="Hiperveza"/>
                  <w:rFonts w:ascii="Cambria" w:hAnsi="Cambria" w:cs="Calibri"/>
                  <w:lang w:val="it-IT"/>
                </w:rPr>
                <w:t>Branka</w:t>
              </w:r>
              <w:proofErr w:type="spellEnd"/>
              <w:r w:rsidR="003B70E5" w:rsidRPr="00E91AAA">
                <w:rPr>
                  <w:rStyle w:val="Hiperveza"/>
                  <w:rFonts w:ascii="Cambria" w:hAnsi="Cambria" w:cs="Calibri"/>
                  <w:lang w:val="it-IT"/>
                </w:rPr>
                <w:t xml:space="preserve"> </w:t>
              </w:r>
              <w:proofErr w:type="spellStart"/>
              <w:r w:rsidR="003B70E5" w:rsidRPr="00E91AAA">
                <w:rPr>
                  <w:rStyle w:val="Hiperveza"/>
                  <w:rFonts w:ascii="Cambria" w:hAnsi="Cambria" w:cs="Calibri"/>
                  <w:lang w:val="it-IT"/>
                </w:rPr>
                <w:t>Antunović</w:t>
              </w:r>
              <w:proofErr w:type="spellEnd"/>
              <w:r w:rsidR="003B70E5" w:rsidRPr="00E91AAA">
                <w:rPr>
                  <w:rStyle w:val="Hiperveza"/>
                  <w:rFonts w:ascii="Cambria" w:hAnsi="Cambria" w:cs="Calibri"/>
                  <w:lang w:val="it-IT"/>
                </w:rPr>
                <w:t>,</w:t>
              </w:r>
              <w:r w:rsidR="003B70E5" w:rsidRPr="00E91AAA">
                <w:rPr>
                  <w:rStyle w:val="Hiperveza"/>
                  <w:rFonts w:ascii="Cambria" w:hAnsi="Cambria"/>
                  <w:lang w:val="it-IT"/>
                </w:rPr>
                <w:t xml:space="preserve"> </w:t>
              </w:r>
              <w:proofErr w:type="spellStart"/>
              <w:r w:rsidR="003B70E5" w:rsidRPr="00E91AAA">
                <w:rPr>
                  <w:rStyle w:val="Hiperveza"/>
                  <w:rFonts w:ascii="Cambria" w:eastAsia="Calibri" w:hAnsi="Cambria" w:cs="Calibri"/>
                  <w:kern w:val="32"/>
                  <w:lang w:val="it-IT"/>
                </w:rPr>
                <w:t>viša</w:t>
              </w:r>
              <w:proofErr w:type="spellEnd"/>
              <w:r w:rsidR="003B70E5" w:rsidRPr="00E91AAA">
                <w:rPr>
                  <w:rStyle w:val="Hiperveza"/>
                  <w:rFonts w:ascii="Cambria" w:eastAsia="Calibri" w:hAnsi="Cambria" w:cs="Calibri"/>
                  <w:kern w:val="32"/>
                  <w:lang w:val="it-IT"/>
                </w:rPr>
                <w:t xml:space="preserve"> </w:t>
              </w:r>
              <w:proofErr w:type="spellStart"/>
              <w:r w:rsidR="003B70E5" w:rsidRPr="00E91AAA">
                <w:rPr>
                  <w:rStyle w:val="Hiperveza"/>
                  <w:rFonts w:ascii="Cambria" w:eastAsia="Calibri" w:hAnsi="Cambria" w:cs="Calibri"/>
                  <w:kern w:val="32"/>
                  <w:lang w:val="it-IT"/>
                </w:rPr>
                <w:t>asistentica</w:t>
              </w:r>
              <w:proofErr w:type="spellEnd"/>
            </w:hyperlink>
          </w:p>
        </w:tc>
      </w:tr>
      <w:tr w:rsidR="003B70E5" w:rsidRPr="00DF4CE5" w14:paraId="4B9B14BB" w14:textId="77777777" w:rsidTr="00ED1945">
        <w:tc>
          <w:tcPr>
            <w:tcW w:w="234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EEED701" w14:textId="77777777" w:rsidR="003B70E5" w:rsidRPr="00DF4CE5" w:rsidRDefault="003B70E5" w:rsidP="00A26C52">
            <w:pPr>
              <w:spacing w:after="0"/>
              <w:rPr>
                <w:rFonts w:ascii="Cambria" w:hAnsi="Cambria" w:cs="Calibri"/>
              </w:rPr>
            </w:pPr>
            <w:proofErr w:type="spellStart"/>
            <w:r w:rsidRPr="00DF4CE5">
              <w:rPr>
                <w:rFonts w:ascii="Cambria" w:hAnsi="Cambria" w:cs="Calibri"/>
              </w:rPr>
              <w:t>Studijski</w:t>
            </w:r>
            <w:proofErr w:type="spellEnd"/>
            <w:r w:rsidRPr="00DF4CE5">
              <w:rPr>
                <w:rFonts w:ascii="Cambria" w:hAnsi="Cambria" w:cs="Calibri"/>
              </w:rPr>
              <w:t xml:space="preserve"> program</w:t>
            </w:r>
          </w:p>
        </w:tc>
        <w:tc>
          <w:tcPr>
            <w:tcW w:w="8147"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2BBB4D8E" w14:textId="77777777" w:rsidR="003B70E5" w:rsidRPr="00DF4CE5" w:rsidRDefault="003B70E5" w:rsidP="00A26C52">
            <w:pPr>
              <w:spacing w:after="0"/>
              <w:rPr>
                <w:rFonts w:ascii="Cambria" w:hAnsi="Cambria" w:cs="Calibri"/>
                <w:b/>
                <w:bCs/>
              </w:rPr>
            </w:pPr>
            <w:proofErr w:type="spellStart"/>
            <w:r w:rsidRPr="00DF4CE5">
              <w:rPr>
                <w:rFonts w:ascii="Cambria" w:hAnsi="Cambria" w:cs="Calibri"/>
              </w:rPr>
              <w:t>Sveučilišni</w:t>
            </w:r>
            <w:proofErr w:type="spellEnd"/>
            <w:r w:rsidRPr="00DF4CE5">
              <w:rPr>
                <w:rFonts w:ascii="Cambria" w:hAnsi="Cambria" w:cs="Calibri"/>
              </w:rPr>
              <w:t xml:space="preserve"> </w:t>
            </w:r>
            <w:proofErr w:type="spellStart"/>
            <w:r w:rsidRPr="00DF4CE5">
              <w:rPr>
                <w:rFonts w:ascii="Cambria" w:hAnsi="Cambria" w:cs="Calibri"/>
              </w:rPr>
              <w:t>integrirani</w:t>
            </w:r>
            <w:proofErr w:type="spellEnd"/>
            <w:r w:rsidRPr="00DF4CE5">
              <w:rPr>
                <w:rFonts w:ascii="Cambria" w:hAnsi="Cambria" w:cs="Calibri"/>
              </w:rPr>
              <w:t xml:space="preserve"> </w:t>
            </w:r>
            <w:proofErr w:type="spellStart"/>
            <w:r w:rsidRPr="00DF4CE5">
              <w:rPr>
                <w:rFonts w:ascii="Cambria" w:hAnsi="Cambria" w:cs="Calibri"/>
              </w:rPr>
              <w:t>prijediplomski</w:t>
            </w:r>
            <w:proofErr w:type="spellEnd"/>
            <w:r w:rsidRPr="00DF4CE5">
              <w:rPr>
                <w:rFonts w:ascii="Cambria" w:hAnsi="Cambria" w:cs="Calibri"/>
              </w:rPr>
              <w:t xml:space="preserve"> </w:t>
            </w:r>
            <w:proofErr w:type="spellStart"/>
            <w:r w:rsidRPr="00DF4CE5">
              <w:rPr>
                <w:rFonts w:ascii="Cambria" w:hAnsi="Cambria" w:cs="Calibri"/>
              </w:rPr>
              <w:t>i</w:t>
            </w:r>
            <w:proofErr w:type="spellEnd"/>
            <w:r w:rsidRPr="00DF4CE5">
              <w:rPr>
                <w:rFonts w:ascii="Cambria" w:hAnsi="Cambria" w:cs="Calibri"/>
              </w:rPr>
              <w:t xml:space="preserve"> </w:t>
            </w:r>
            <w:proofErr w:type="spellStart"/>
            <w:r w:rsidRPr="00DF4CE5">
              <w:rPr>
                <w:rFonts w:ascii="Cambria" w:hAnsi="Cambria" w:cs="Calibri"/>
              </w:rPr>
              <w:t>diplomski</w:t>
            </w:r>
            <w:proofErr w:type="spellEnd"/>
            <w:r w:rsidRPr="00DF4CE5">
              <w:rPr>
                <w:rFonts w:ascii="Cambria" w:hAnsi="Cambria" w:cs="Calibri"/>
              </w:rPr>
              <w:t xml:space="preserve"> </w:t>
            </w:r>
            <w:proofErr w:type="spellStart"/>
            <w:r w:rsidRPr="00DF4CE5">
              <w:rPr>
                <w:rFonts w:ascii="Cambria" w:hAnsi="Cambria" w:cs="Calibri"/>
              </w:rPr>
              <w:t>Učiteljski</w:t>
            </w:r>
            <w:proofErr w:type="spellEnd"/>
            <w:r w:rsidRPr="00DF4CE5">
              <w:rPr>
                <w:rFonts w:ascii="Cambria" w:hAnsi="Cambria" w:cs="Calibri"/>
              </w:rPr>
              <w:t xml:space="preserve"> </w:t>
            </w:r>
            <w:proofErr w:type="spellStart"/>
            <w:r w:rsidRPr="00DF4CE5">
              <w:rPr>
                <w:rFonts w:ascii="Cambria" w:hAnsi="Cambria" w:cs="Calibri"/>
              </w:rPr>
              <w:t>studij</w:t>
            </w:r>
            <w:proofErr w:type="spellEnd"/>
            <w:r w:rsidRPr="00DF4CE5">
              <w:rPr>
                <w:rFonts w:ascii="Cambria" w:hAnsi="Cambria" w:cs="Calibri"/>
              </w:rPr>
              <w:t xml:space="preserve"> </w:t>
            </w:r>
            <w:proofErr w:type="spellStart"/>
            <w:r w:rsidRPr="00DF4CE5">
              <w:rPr>
                <w:rFonts w:ascii="Cambria" w:hAnsi="Cambria" w:cs="Calibri"/>
              </w:rPr>
              <w:t>na</w:t>
            </w:r>
            <w:proofErr w:type="spellEnd"/>
            <w:r w:rsidRPr="00DF4CE5">
              <w:rPr>
                <w:rFonts w:ascii="Cambria" w:hAnsi="Cambria" w:cs="Calibri"/>
              </w:rPr>
              <w:t xml:space="preserve"> </w:t>
            </w:r>
            <w:proofErr w:type="spellStart"/>
            <w:r w:rsidRPr="00DF4CE5">
              <w:rPr>
                <w:rFonts w:ascii="Cambria" w:hAnsi="Cambria" w:cs="Calibri"/>
              </w:rPr>
              <w:t>hrvatskom</w:t>
            </w:r>
            <w:proofErr w:type="spellEnd"/>
            <w:r w:rsidRPr="00DF4CE5">
              <w:rPr>
                <w:rFonts w:ascii="Cambria" w:hAnsi="Cambria" w:cs="Calibri"/>
              </w:rPr>
              <w:t xml:space="preserve"> </w:t>
            </w:r>
            <w:proofErr w:type="spellStart"/>
            <w:r w:rsidRPr="00DF4CE5">
              <w:rPr>
                <w:rFonts w:ascii="Cambria" w:hAnsi="Cambria" w:cs="Calibri"/>
              </w:rPr>
              <w:t>jeziku</w:t>
            </w:r>
            <w:proofErr w:type="spellEnd"/>
          </w:p>
        </w:tc>
      </w:tr>
      <w:tr w:rsidR="003B70E5" w:rsidRPr="00DF4CE5" w14:paraId="68159B06" w14:textId="77777777" w:rsidTr="00ED1945">
        <w:tc>
          <w:tcPr>
            <w:tcW w:w="234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777231A" w14:textId="77777777" w:rsidR="003B70E5" w:rsidRPr="00DF4CE5" w:rsidRDefault="003B70E5" w:rsidP="00A26C52">
            <w:pPr>
              <w:spacing w:after="0"/>
              <w:rPr>
                <w:rFonts w:ascii="Cambria" w:hAnsi="Cambria" w:cs="Calibri"/>
              </w:rPr>
            </w:pPr>
            <w:proofErr w:type="spellStart"/>
            <w:r w:rsidRPr="00DF4CE5">
              <w:rPr>
                <w:rFonts w:ascii="Cambria" w:hAnsi="Cambria" w:cs="Calibri"/>
              </w:rPr>
              <w:t>Vrsta</w:t>
            </w:r>
            <w:proofErr w:type="spellEnd"/>
            <w:r w:rsidRPr="00DF4CE5">
              <w:rPr>
                <w:rFonts w:ascii="Cambria" w:hAnsi="Cambria" w:cs="Calibri"/>
              </w:rPr>
              <w:t xml:space="preserve"> </w:t>
            </w:r>
            <w:proofErr w:type="spellStart"/>
            <w:r w:rsidRPr="00DF4CE5">
              <w:rPr>
                <w:rFonts w:ascii="Cambria" w:hAnsi="Cambria" w:cs="Calibri"/>
              </w:rPr>
              <w:t>kolegija</w:t>
            </w:r>
            <w:proofErr w:type="spellEnd"/>
          </w:p>
        </w:tc>
        <w:tc>
          <w:tcPr>
            <w:tcW w:w="331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08A55C4" w14:textId="77777777" w:rsidR="003B70E5" w:rsidRPr="00DF4CE5" w:rsidRDefault="003B70E5" w:rsidP="00A26C52">
            <w:pPr>
              <w:spacing w:after="0"/>
              <w:rPr>
                <w:rFonts w:ascii="Cambria" w:hAnsi="Cambria" w:cs="Calibri"/>
              </w:rPr>
            </w:pPr>
            <w:proofErr w:type="spellStart"/>
            <w:r w:rsidRPr="00DF4CE5">
              <w:rPr>
                <w:rFonts w:ascii="Cambria" w:hAnsi="Cambria" w:cs="Calibri"/>
              </w:rPr>
              <w:t>obavezan</w:t>
            </w:r>
            <w:proofErr w:type="spellEnd"/>
            <w:r w:rsidRPr="00DF4CE5">
              <w:rPr>
                <w:rFonts w:ascii="Cambria" w:hAnsi="Cambria" w:cs="Calibri"/>
              </w:rPr>
              <w:t xml:space="preserve"> </w:t>
            </w:r>
          </w:p>
        </w:tc>
        <w:tc>
          <w:tcPr>
            <w:tcW w:w="1975"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66091851" w14:textId="77777777" w:rsidR="003B70E5" w:rsidRPr="00DF4CE5" w:rsidRDefault="003B70E5" w:rsidP="00A26C52">
            <w:pPr>
              <w:spacing w:after="0"/>
              <w:rPr>
                <w:rFonts w:ascii="Cambria" w:hAnsi="Cambria" w:cs="Calibri"/>
              </w:rPr>
            </w:pPr>
            <w:r w:rsidRPr="00DF4CE5">
              <w:rPr>
                <w:rFonts w:ascii="Cambria" w:hAnsi="Cambria" w:cs="Calibri"/>
              </w:rPr>
              <w:t xml:space="preserve">Razina </w:t>
            </w:r>
            <w:proofErr w:type="spellStart"/>
            <w:r w:rsidRPr="00DF4CE5">
              <w:rPr>
                <w:rFonts w:ascii="Cambria" w:hAnsi="Cambria" w:cs="Calibri"/>
              </w:rPr>
              <w:t>kolegija</w:t>
            </w:r>
            <w:proofErr w:type="spellEnd"/>
          </w:p>
        </w:tc>
        <w:tc>
          <w:tcPr>
            <w:tcW w:w="2858"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5F6CCA5" w14:textId="77777777" w:rsidR="003B70E5" w:rsidRPr="00DF4CE5" w:rsidRDefault="003B70E5" w:rsidP="00A26C52">
            <w:pPr>
              <w:spacing w:after="0"/>
              <w:rPr>
                <w:rFonts w:ascii="Cambria" w:hAnsi="Cambria" w:cs="Calibri"/>
              </w:rPr>
            </w:pPr>
            <w:proofErr w:type="spellStart"/>
            <w:r w:rsidRPr="00DF4CE5">
              <w:rPr>
                <w:rFonts w:ascii="Cambria" w:hAnsi="Cambria" w:cs="Calibri"/>
              </w:rPr>
              <w:t>integrirani</w:t>
            </w:r>
            <w:proofErr w:type="spellEnd"/>
          </w:p>
        </w:tc>
      </w:tr>
      <w:tr w:rsidR="003B70E5" w:rsidRPr="00DF4CE5" w14:paraId="11D02C15" w14:textId="77777777" w:rsidTr="00ED1945">
        <w:tc>
          <w:tcPr>
            <w:tcW w:w="234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FE92127" w14:textId="77777777" w:rsidR="003B70E5" w:rsidRPr="00DF4CE5" w:rsidRDefault="003B70E5" w:rsidP="00A26C52">
            <w:pPr>
              <w:spacing w:after="0"/>
              <w:rPr>
                <w:rFonts w:ascii="Cambria" w:hAnsi="Cambria" w:cs="Calibri"/>
              </w:rPr>
            </w:pPr>
            <w:proofErr w:type="spellStart"/>
            <w:r w:rsidRPr="00DF4CE5">
              <w:rPr>
                <w:rFonts w:ascii="Cambria" w:hAnsi="Cambria" w:cs="Calibri"/>
              </w:rPr>
              <w:t>Semestar</w:t>
            </w:r>
            <w:proofErr w:type="spellEnd"/>
          </w:p>
        </w:tc>
        <w:tc>
          <w:tcPr>
            <w:tcW w:w="331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DA9A531" w14:textId="5FB927A7" w:rsidR="003B70E5" w:rsidRPr="00DF4CE5" w:rsidRDefault="00E62F3F" w:rsidP="00A26C52">
            <w:pPr>
              <w:spacing w:after="0"/>
              <w:rPr>
                <w:rFonts w:ascii="Cambria" w:hAnsi="Cambria" w:cs="Calibri"/>
              </w:rPr>
            </w:pPr>
            <w:proofErr w:type="spellStart"/>
            <w:r>
              <w:rPr>
                <w:rFonts w:ascii="Cambria" w:hAnsi="Cambria" w:cs="Calibri"/>
              </w:rPr>
              <w:t>z</w:t>
            </w:r>
            <w:r w:rsidR="003B70E5" w:rsidRPr="00DF4CE5">
              <w:rPr>
                <w:rFonts w:ascii="Cambria" w:hAnsi="Cambria" w:cs="Calibri"/>
              </w:rPr>
              <w:t>imski</w:t>
            </w:r>
            <w:proofErr w:type="spellEnd"/>
          </w:p>
        </w:tc>
        <w:tc>
          <w:tcPr>
            <w:tcW w:w="1975"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00332258" w14:textId="77777777" w:rsidR="003B70E5" w:rsidRPr="00DF4CE5" w:rsidRDefault="003B70E5" w:rsidP="00A26C52">
            <w:pPr>
              <w:spacing w:after="0"/>
              <w:rPr>
                <w:rFonts w:ascii="Cambria" w:hAnsi="Cambria" w:cs="Calibri"/>
              </w:rPr>
            </w:pPr>
            <w:r w:rsidRPr="00DF4CE5">
              <w:rPr>
                <w:rFonts w:ascii="Cambria" w:hAnsi="Cambria" w:cs="Calibri"/>
              </w:rPr>
              <w:t xml:space="preserve">Godina </w:t>
            </w:r>
            <w:proofErr w:type="spellStart"/>
            <w:r w:rsidRPr="00DF4CE5">
              <w:rPr>
                <w:rFonts w:ascii="Cambria" w:hAnsi="Cambria" w:cs="Calibri"/>
              </w:rPr>
              <w:t>studija</w:t>
            </w:r>
            <w:proofErr w:type="spellEnd"/>
          </w:p>
        </w:tc>
        <w:tc>
          <w:tcPr>
            <w:tcW w:w="2858"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4B93FC4" w14:textId="77777777" w:rsidR="003B70E5" w:rsidRPr="00DF4CE5" w:rsidRDefault="003B70E5" w:rsidP="00A26C52">
            <w:pPr>
              <w:spacing w:after="0"/>
              <w:rPr>
                <w:rFonts w:ascii="Cambria" w:hAnsi="Cambria" w:cs="Calibri"/>
              </w:rPr>
            </w:pPr>
            <w:r w:rsidRPr="00DF4CE5">
              <w:rPr>
                <w:rFonts w:ascii="Cambria" w:hAnsi="Cambria" w:cs="Calibri"/>
              </w:rPr>
              <w:t>II.</w:t>
            </w:r>
          </w:p>
        </w:tc>
      </w:tr>
      <w:tr w:rsidR="003B70E5" w:rsidRPr="00DF4CE5" w14:paraId="767BDDE7" w14:textId="77777777" w:rsidTr="00ED1945">
        <w:tc>
          <w:tcPr>
            <w:tcW w:w="234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A37D660" w14:textId="77777777" w:rsidR="003B70E5" w:rsidRPr="00DF4CE5" w:rsidRDefault="003B70E5" w:rsidP="00A26C52">
            <w:pPr>
              <w:spacing w:after="0"/>
              <w:rPr>
                <w:rFonts w:ascii="Cambria" w:hAnsi="Cambria" w:cs="Calibri"/>
              </w:rPr>
            </w:pPr>
            <w:proofErr w:type="spellStart"/>
            <w:r w:rsidRPr="00DF4CE5">
              <w:rPr>
                <w:rFonts w:ascii="Cambria" w:hAnsi="Cambria" w:cs="Calibri"/>
              </w:rPr>
              <w:t>Mjesto</w:t>
            </w:r>
            <w:proofErr w:type="spellEnd"/>
            <w:r w:rsidRPr="00DF4CE5">
              <w:rPr>
                <w:rFonts w:ascii="Cambria" w:hAnsi="Cambria" w:cs="Calibri"/>
              </w:rPr>
              <w:t xml:space="preserve"> </w:t>
            </w:r>
            <w:proofErr w:type="spellStart"/>
            <w:r w:rsidRPr="00DF4CE5">
              <w:rPr>
                <w:rFonts w:ascii="Cambria" w:hAnsi="Cambria" w:cs="Calibri"/>
              </w:rPr>
              <w:t>izvođenja</w:t>
            </w:r>
            <w:proofErr w:type="spellEnd"/>
          </w:p>
        </w:tc>
        <w:tc>
          <w:tcPr>
            <w:tcW w:w="331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B281C48" w14:textId="7060DD9D" w:rsidR="003B70E5" w:rsidRPr="00DF4CE5" w:rsidRDefault="003B70E5" w:rsidP="00A26C52">
            <w:pPr>
              <w:spacing w:after="0"/>
              <w:rPr>
                <w:rFonts w:ascii="Cambria" w:hAnsi="Cambria" w:cs="Calibri"/>
              </w:rPr>
            </w:pPr>
            <w:proofErr w:type="spellStart"/>
            <w:r w:rsidRPr="00DF4CE5">
              <w:rPr>
                <w:rFonts w:ascii="Cambria" w:hAnsi="Cambria" w:cs="Calibri"/>
              </w:rPr>
              <w:t>učionica</w:t>
            </w:r>
            <w:proofErr w:type="spellEnd"/>
            <w:r w:rsidRPr="00DF4CE5">
              <w:rPr>
                <w:rFonts w:ascii="Cambria" w:hAnsi="Cambria" w:cs="Calibri"/>
              </w:rPr>
              <w:t xml:space="preserve"> (</w:t>
            </w:r>
            <w:proofErr w:type="spellStart"/>
            <w:r w:rsidRPr="00DF4CE5">
              <w:rPr>
                <w:rFonts w:ascii="Cambria" w:hAnsi="Cambria" w:cs="Calibri"/>
              </w:rPr>
              <w:t>dvorana</w:t>
            </w:r>
            <w:proofErr w:type="spellEnd"/>
            <w:r w:rsidRPr="00DF4CE5">
              <w:rPr>
                <w:rFonts w:ascii="Cambria" w:hAnsi="Cambria" w:cs="Calibri"/>
              </w:rPr>
              <w:t xml:space="preserve">) </w:t>
            </w:r>
          </w:p>
        </w:tc>
        <w:tc>
          <w:tcPr>
            <w:tcW w:w="1975"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5CD1D64A" w14:textId="77777777" w:rsidR="003B70E5" w:rsidRPr="00DF4CE5" w:rsidRDefault="003B70E5" w:rsidP="00A26C52">
            <w:pPr>
              <w:spacing w:after="0"/>
              <w:rPr>
                <w:rFonts w:ascii="Cambria" w:hAnsi="Cambria" w:cs="Calibri"/>
              </w:rPr>
            </w:pPr>
            <w:r w:rsidRPr="00DF4CE5">
              <w:rPr>
                <w:rFonts w:ascii="Cambria" w:hAnsi="Cambria" w:cs="Calibri"/>
              </w:rPr>
              <w:t xml:space="preserve">Jezik </w:t>
            </w:r>
            <w:proofErr w:type="spellStart"/>
            <w:r w:rsidRPr="00DF4CE5">
              <w:rPr>
                <w:rFonts w:ascii="Cambria" w:hAnsi="Cambria" w:cs="Calibri"/>
              </w:rPr>
              <w:t>izvođenja</w:t>
            </w:r>
            <w:proofErr w:type="spellEnd"/>
            <w:r w:rsidRPr="00DF4CE5">
              <w:rPr>
                <w:rFonts w:ascii="Cambria" w:hAnsi="Cambria" w:cs="Calibri"/>
              </w:rPr>
              <w:t xml:space="preserve"> (</w:t>
            </w:r>
            <w:proofErr w:type="spellStart"/>
            <w:r w:rsidRPr="00DF4CE5">
              <w:rPr>
                <w:rFonts w:ascii="Cambria" w:hAnsi="Cambria" w:cs="Calibri"/>
              </w:rPr>
              <w:t>drugi</w:t>
            </w:r>
            <w:proofErr w:type="spellEnd"/>
            <w:r w:rsidRPr="00DF4CE5">
              <w:rPr>
                <w:rFonts w:ascii="Cambria" w:hAnsi="Cambria" w:cs="Calibri"/>
              </w:rPr>
              <w:t xml:space="preserve"> </w:t>
            </w:r>
            <w:proofErr w:type="spellStart"/>
            <w:r w:rsidRPr="00DF4CE5">
              <w:rPr>
                <w:rFonts w:ascii="Cambria" w:hAnsi="Cambria" w:cs="Calibri"/>
              </w:rPr>
              <w:t>jezici</w:t>
            </w:r>
            <w:proofErr w:type="spellEnd"/>
            <w:r w:rsidRPr="00DF4CE5">
              <w:rPr>
                <w:rFonts w:ascii="Cambria" w:hAnsi="Cambria" w:cs="Calibri"/>
              </w:rPr>
              <w:t>)</w:t>
            </w:r>
          </w:p>
        </w:tc>
        <w:tc>
          <w:tcPr>
            <w:tcW w:w="2858"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916B071" w14:textId="77777777" w:rsidR="003B70E5" w:rsidRPr="00DF4CE5" w:rsidRDefault="003B70E5" w:rsidP="00A26C52">
            <w:pPr>
              <w:spacing w:after="0"/>
              <w:rPr>
                <w:rFonts w:ascii="Cambria" w:hAnsi="Cambria" w:cs="Calibri"/>
              </w:rPr>
            </w:pPr>
            <w:proofErr w:type="spellStart"/>
            <w:r w:rsidRPr="00DF4CE5">
              <w:rPr>
                <w:rFonts w:ascii="Cambria" w:hAnsi="Cambria" w:cs="Calibri"/>
              </w:rPr>
              <w:t>hrvatski</w:t>
            </w:r>
            <w:proofErr w:type="spellEnd"/>
          </w:p>
        </w:tc>
      </w:tr>
      <w:tr w:rsidR="003B70E5" w:rsidRPr="00DF4CE5" w14:paraId="37E7D370" w14:textId="77777777" w:rsidTr="00ED1945">
        <w:tc>
          <w:tcPr>
            <w:tcW w:w="234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8FCD4B1" w14:textId="77777777" w:rsidR="003B70E5" w:rsidRPr="00DF4CE5" w:rsidRDefault="003B70E5" w:rsidP="00A26C52">
            <w:pPr>
              <w:spacing w:after="0"/>
              <w:rPr>
                <w:rFonts w:ascii="Cambria" w:hAnsi="Cambria" w:cs="Calibri"/>
              </w:rPr>
            </w:pPr>
            <w:proofErr w:type="spellStart"/>
            <w:r w:rsidRPr="00DF4CE5">
              <w:rPr>
                <w:rFonts w:ascii="Cambria" w:hAnsi="Cambria" w:cs="Calibri"/>
              </w:rPr>
              <w:t>Broj</w:t>
            </w:r>
            <w:proofErr w:type="spellEnd"/>
            <w:r w:rsidRPr="00DF4CE5">
              <w:rPr>
                <w:rFonts w:ascii="Cambria" w:hAnsi="Cambria" w:cs="Calibri"/>
              </w:rPr>
              <w:t xml:space="preserve"> ECTS </w:t>
            </w:r>
            <w:proofErr w:type="spellStart"/>
            <w:r w:rsidRPr="00DF4CE5">
              <w:rPr>
                <w:rFonts w:ascii="Cambria" w:hAnsi="Cambria" w:cs="Calibri"/>
              </w:rPr>
              <w:t>bodova</w:t>
            </w:r>
            <w:proofErr w:type="spellEnd"/>
          </w:p>
        </w:tc>
        <w:tc>
          <w:tcPr>
            <w:tcW w:w="331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67841D2" w14:textId="77777777" w:rsidR="003B70E5" w:rsidRPr="00DF4CE5" w:rsidRDefault="003B70E5" w:rsidP="00A26C52">
            <w:pPr>
              <w:spacing w:after="0"/>
              <w:rPr>
                <w:rFonts w:ascii="Cambria" w:hAnsi="Cambria" w:cs="Calibri"/>
              </w:rPr>
            </w:pPr>
            <w:r w:rsidRPr="00DF4CE5">
              <w:rPr>
                <w:rFonts w:ascii="Cambria" w:hAnsi="Cambria" w:cs="Calibri"/>
              </w:rPr>
              <w:t>5</w:t>
            </w:r>
          </w:p>
        </w:tc>
        <w:tc>
          <w:tcPr>
            <w:tcW w:w="1975"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2E8205FC" w14:textId="77777777" w:rsidR="003B70E5" w:rsidRPr="00DF4CE5" w:rsidRDefault="003B70E5" w:rsidP="00A26C52">
            <w:pPr>
              <w:spacing w:after="0"/>
              <w:rPr>
                <w:rFonts w:ascii="Cambria" w:hAnsi="Cambria" w:cs="Calibri"/>
              </w:rPr>
            </w:pPr>
            <w:proofErr w:type="spellStart"/>
            <w:r w:rsidRPr="00DF4CE5">
              <w:rPr>
                <w:rFonts w:ascii="Cambria" w:hAnsi="Cambria" w:cs="Calibri"/>
              </w:rPr>
              <w:t>Broj</w:t>
            </w:r>
            <w:proofErr w:type="spellEnd"/>
            <w:r w:rsidRPr="00DF4CE5">
              <w:rPr>
                <w:rFonts w:ascii="Cambria" w:hAnsi="Cambria" w:cs="Calibri"/>
              </w:rPr>
              <w:t xml:space="preserve"> sati u </w:t>
            </w:r>
            <w:proofErr w:type="spellStart"/>
            <w:r w:rsidRPr="00DF4CE5">
              <w:rPr>
                <w:rFonts w:ascii="Cambria" w:hAnsi="Cambria" w:cs="Calibri"/>
              </w:rPr>
              <w:t>semestru</w:t>
            </w:r>
            <w:proofErr w:type="spellEnd"/>
          </w:p>
        </w:tc>
        <w:tc>
          <w:tcPr>
            <w:tcW w:w="2858"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D2C4F37" w14:textId="38A6E5D9" w:rsidR="003B70E5" w:rsidRPr="00DF4CE5" w:rsidRDefault="003B70E5" w:rsidP="00A26C52">
            <w:pPr>
              <w:spacing w:after="0"/>
              <w:rPr>
                <w:rFonts w:ascii="Cambria" w:hAnsi="Cambria" w:cs="Calibri"/>
              </w:rPr>
            </w:pPr>
            <w:r w:rsidRPr="00DF4CE5">
              <w:rPr>
                <w:rFonts w:ascii="Cambria" w:hAnsi="Cambria" w:cs="Calibri"/>
              </w:rPr>
              <w:t xml:space="preserve">30P – </w:t>
            </w:r>
            <w:r w:rsidR="00A26C52" w:rsidRPr="00DF4CE5">
              <w:rPr>
                <w:rFonts w:ascii="Cambria" w:hAnsi="Cambria" w:cs="Calibri"/>
              </w:rPr>
              <w:t>0S</w:t>
            </w:r>
            <w:r w:rsidR="00E91AAA">
              <w:rPr>
                <w:rFonts w:ascii="Cambria" w:hAnsi="Cambria" w:cs="Calibri"/>
              </w:rPr>
              <w:t xml:space="preserve"> </w:t>
            </w:r>
            <w:r w:rsidRPr="00DF4CE5">
              <w:rPr>
                <w:rFonts w:ascii="Cambria" w:hAnsi="Cambria" w:cs="Calibri"/>
              </w:rPr>
              <w:t xml:space="preserve">– </w:t>
            </w:r>
            <w:r w:rsidR="00A26C52" w:rsidRPr="00DF4CE5">
              <w:rPr>
                <w:rFonts w:ascii="Cambria" w:hAnsi="Cambria" w:cs="Calibri"/>
              </w:rPr>
              <w:t>30V</w:t>
            </w:r>
          </w:p>
        </w:tc>
      </w:tr>
      <w:tr w:rsidR="003B70E5" w:rsidRPr="00D0399C" w14:paraId="02864906" w14:textId="77777777" w:rsidTr="00ED1945">
        <w:tc>
          <w:tcPr>
            <w:tcW w:w="234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3A73D16" w14:textId="77777777" w:rsidR="003B70E5" w:rsidRPr="00DF4CE5" w:rsidRDefault="003B70E5" w:rsidP="00A26C52">
            <w:pPr>
              <w:spacing w:after="0"/>
              <w:rPr>
                <w:rFonts w:ascii="Cambria" w:hAnsi="Cambria" w:cs="Calibri"/>
                <w:lang w:val="it-IT"/>
              </w:rPr>
            </w:pPr>
            <w:proofErr w:type="spellStart"/>
            <w:r w:rsidRPr="00DF4CE5">
              <w:rPr>
                <w:rFonts w:ascii="Cambria" w:hAnsi="Cambria" w:cs="Calibri"/>
                <w:lang w:val="it-IT"/>
              </w:rPr>
              <w:t>Preduvjeti</w:t>
            </w:r>
            <w:proofErr w:type="spellEnd"/>
            <w:r w:rsidRPr="00DF4CE5">
              <w:rPr>
                <w:rFonts w:ascii="Cambria" w:hAnsi="Cambria" w:cs="Calibri"/>
                <w:lang w:val="it-IT"/>
              </w:rPr>
              <w:t xml:space="preserve"> za </w:t>
            </w:r>
            <w:proofErr w:type="spellStart"/>
            <w:r w:rsidRPr="00DF4CE5">
              <w:rPr>
                <w:rFonts w:ascii="Cambria" w:hAnsi="Cambria" w:cs="Calibri"/>
                <w:lang w:val="it-IT"/>
              </w:rPr>
              <w:t>upis</w:t>
            </w:r>
            <w:proofErr w:type="spellEnd"/>
            <w:r w:rsidRPr="00DF4CE5">
              <w:rPr>
                <w:rFonts w:ascii="Cambria" w:hAnsi="Cambria" w:cs="Calibri"/>
                <w:lang w:val="it-IT"/>
              </w:rPr>
              <w:t xml:space="preserve"> i za </w:t>
            </w:r>
            <w:proofErr w:type="spellStart"/>
            <w:r w:rsidRPr="00DF4CE5">
              <w:rPr>
                <w:rFonts w:ascii="Cambria" w:hAnsi="Cambria" w:cs="Calibri"/>
                <w:lang w:val="it-IT"/>
              </w:rPr>
              <w:t>svladavanje</w:t>
            </w:r>
            <w:proofErr w:type="spellEnd"/>
          </w:p>
        </w:tc>
        <w:tc>
          <w:tcPr>
            <w:tcW w:w="8147"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1DF672F" w14:textId="77777777" w:rsidR="003B70E5" w:rsidRPr="00DF4CE5" w:rsidRDefault="003B70E5" w:rsidP="00A26C52">
            <w:pPr>
              <w:spacing w:after="0"/>
              <w:rPr>
                <w:rFonts w:ascii="Cambria" w:hAnsi="Cambria" w:cs="Calibri"/>
                <w:lang w:val="it-IT"/>
              </w:rPr>
            </w:pPr>
            <w:proofErr w:type="spellStart"/>
            <w:r w:rsidRPr="00DF4CE5">
              <w:rPr>
                <w:rFonts w:ascii="Cambria" w:hAnsi="Cambria" w:cs="Calibri"/>
                <w:lang w:val="it-IT"/>
              </w:rPr>
              <w:t>Temeljna</w:t>
            </w:r>
            <w:proofErr w:type="spellEnd"/>
            <w:r w:rsidRPr="00DF4CE5">
              <w:rPr>
                <w:rFonts w:ascii="Cambria" w:hAnsi="Cambria" w:cs="Calibri"/>
                <w:lang w:val="it-IT"/>
              </w:rPr>
              <w:t xml:space="preserve"> </w:t>
            </w:r>
            <w:proofErr w:type="spellStart"/>
            <w:r w:rsidRPr="00DF4CE5">
              <w:rPr>
                <w:rFonts w:ascii="Cambria" w:hAnsi="Cambria" w:cs="Calibri"/>
                <w:lang w:val="it-IT"/>
              </w:rPr>
              <w:t>znanja</w:t>
            </w:r>
            <w:proofErr w:type="spellEnd"/>
            <w:r w:rsidRPr="00DF4CE5">
              <w:rPr>
                <w:rFonts w:ascii="Cambria" w:hAnsi="Cambria" w:cs="Calibri"/>
                <w:lang w:val="it-IT"/>
              </w:rPr>
              <w:t xml:space="preserve"> </w:t>
            </w:r>
            <w:proofErr w:type="spellStart"/>
            <w:r w:rsidRPr="00DF4CE5">
              <w:rPr>
                <w:rFonts w:ascii="Cambria" w:hAnsi="Cambria" w:cs="Calibri"/>
                <w:lang w:val="it-IT"/>
              </w:rPr>
              <w:t>iz</w:t>
            </w:r>
            <w:proofErr w:type="spellEnd"/>
            <w:r w:rsidRPr="00DF4CE5">
              <w:rPr>
                <w:rFonts w:ascii="Cambria" w:hAnsi="Cambria" w:cs="Calibri"/>
                <w:lang w:val="it-IT"/>
              </w:rPr>
              <w:t xml:space="preserve"> </w:t>
            </w:r>
            <w:proofErr w:type="spellStart"/>
            <w:r w:rsidRPr="00DF4CE5">
              <w:rPr>
                <w:rFonts w:ascii="Cambria" w:hAnsi="Cambria" w:cs="Calibri"/>
                <w:lang w:val="it-IT"/>
              </w:rPr>
              <w:t>elementarne</w:t>
            </w:r>
            <w:proofErr w:type="spellEnd"/>
            <w:r w:rsidRPr="00DF4CE5">
              <w:rPr>
                <w:rFonts w:ascii="Cambria" w:hAnsi="Cambria" w:cs="Calibri"/>
                <w:lang w:val="it-IT"/>
              </w:rPr>
              <w:t xml:space="preserve"> </w:t>
            </w:r>
            <w:proofErr w:type="spellStart"/>
            <w:r w:rsidRPr="00DF4CE5">
              <w:rPr>
                <w:rFonts w:ascii="Cambria" w:hAnsi="Cambria" w:cs="Calibri"/>
                <w:lang w:val="it-IT"/>
              </w:rPr>
              <w:t>matematike</w:t>
            </w:r>
            <w:proofErr w:type="spellEnd"/>
            <w:r w:rsidRPr="00DF4CE5">
              <w:rPr>
                <w:rFonts w:ascii="Cambria" w:hAnsi="Cambria" w:cs="Calibri"/>
                <w:lang w:val="it-IT"/>
              </w:rPr>
              <w:t xml:space="preserve"> </w:t>
            </w:r>
            <w:proofErr w:type="spellStart"/>
            <w:r w:rsidRPr="00DF4CE5">
              <w:rPr>
                <w:rFonts w:ascii="Cambria" w:hAnsi="Cambria" w:cs="Calibri"/>
                <w:lang w:val="it-IT"/>
              </w:rPr>
              <w:t>obrađena</w:t>
            </w:r>
            <w:proofErr w:type="spellEnd"/>
            <w:r w:rsidRPr="00DF4CE5">
              <w:rPr>
                <w:rFonts w:ascii="Cambria" w:hAnsi="Cambria" w:cs="Calibri"/>
                <w:lang w:val="it-IT"/>
              </w:rPr>
              <w:t xml:space="preserve"> </w:t>
            </w:r>
            <w:proofErr w:type="spellStart"/>
            <w:r w:rsidRPr="00DF4CE5">
              <w:rPr>
                <w:rFonts w:ascii="Cambria" w:hAnsi="Cambria" w:cs="Calibri"/>
                <w:lang w:val="it-IT"/>
              </w:rPr>
              <w:t>tokom</w:t>
            </w:r>
            <w:proofErr w:type="spellEnd"/>
            <w:r w:rsidRPr="00DF4CE5">
              <w:rPr>
                <w:rFonts w:ascii="Cambria" w:hAnsi="Cambria" w:cs="Calibri"/>
                <w:lang w:val="it-IT"/>
              </w:rPr>
              <w:t xml:space="preserve"> </w:t>
            </w:r>
            <w:proofErr w:type="spellStart"/>
            <w:r w:rsidRPr="00DF4CE5">
              <w:rPr>
                <w:rFonts w:ascii="Cambria" w:hAnsi="Cambria" w:cs="Calibri"/>
                <w:lang w:val="it-IT"/>
              </w:rPr>
              <w:t>srednjoškolskog</w:t>
            </w:r>
            <w:proofErr w:type="spellEnd"/>
            <w:r w:rsidRPr="00DF4CE5">
              <w:rPr>
                <w:rFonts w:ascii="Cambria" w:hAnsi="Cambria" w:cs="Calibri"/>
                <w:lang w:val="it-IT"/>
              </w:rPr>
              <w:t xml:space="preserve"> </w:t>
            </w:r>
            <w:proofErr w:type="spellStart"/>
            <w:r w:rsidRPr="00DF4CE5">
              <w:rPr>
                <w:rFonts w:ascii="Cambria" w:hAnsi="Cambria" w:cs="Calibri"/>
                <w:lang w:val="it-IT"/>
              </w:rPr>
              <w:t>obrazovanja</w:t>
            </w:r>
            <w:proofErr w:type="spellEnd"/>
            <w:r w:rsidRPr="00DF4CE5">
              <w:rPr>
                <w:rFonts w:ascii="Cambria" w:hAnsi="Cambria" w:cs="Calibri"/>
                <w:lang w:val="it-IT"/>
              </w:rPr>
              <w:t>.</w:t>
            </w:r>
          </w:p>
        </w:tc>
      </w:tr>
      <w:tr w:rsidR="003B70E5" w:rsidRPr="00DF4CE5" w14:paraId="77ACDF84" w14:textId="77777777" w:rsidTr="00ED1945">
        <w:tc>
          <w:tcPr>
            <w:tcW w:w="234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4AC2193" w14:textId="77777777" w:rsidR="003B70E5" w:rsidRPr="00DF4CE5" w:rsidRDefault="003B70E5" w:rsidP="00891E8C">
            <w:pPr>
              <w:rPr>
                <w:rFonts w:ascii="Cambria" w:hAnsi="Cambria" w:cs="Calibri"/>
              </w:rPr>
            </w:pPr>
            <w:proofErr w:type="spellStart"/>
            <w:r w:rsidRPr="00DF4CE5">
              <w:rPr>
                <w:rFonts w:ascii="Cambria" w:hAnsi="Cambria" w:cs="Calibri"/>
              </w:rPr>
              <w:t>Korelativnost</w:t>
            </w:r>
            <w:proofErr w:type="spellEnd"/>
          </w:p>
        </w:tc>
        <w:tc>
          <w:tcPr>
            <w:tcW w:w="8147"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A90FFAA" w14:textId="5C224F61" w:rsidR="003B70E5" w:rsidRPr="00DF4CE5" w:rsidRDefault="0008561B" w:rsidP="00891E8C">
            <w:pPr>
              <w:rPr>
                <w:rFonts w:ascii="Cambria" w:hAnsi="Cambria" w:cs="Calibri"/>
              </w:rPr>
            </w:pPr>
            <w:proofErr w:type="spellStart"/>
            <w:r>
              <w:rPr>
                <w:rFonts w:ascii="Cambria" w:hAnsi="Cambria" w:cs="Calibri"/>
              </w:rPr>
              <w:t>Informatika</w:t>
            </w:r>
            <w:proofErr w:type="spellEnd"/>
          </w:p>
        </w:tc>
      </w:tr>
      <w:tr w:rsidR="003B70E5" w:rsidRPr="00DF4CE5" w14:paraId="4185D5E1" w14:textId="77777777" w:rsidTr="00ED1945">
        <w:tc>
          <w:tcPr>
            <w:tcW w:w="234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E07C516" w14:textId="77777777" w:rsidR="003B70E5" w:rsidRPr="00DF4CE5" w:rsidRDefault="003B70E5" w:rsidP="00891E8C">
            <w:pPr>
              <w:rPr>
                <w:rFonts w:ascii="Cambria" w:hAnsi="Cambria" w:cs="Calibri"/>
              </w:rPr>
            </w:pPr>
            <w:proofErr w:type="spellStart"/>
            <w:r w:rsidRPr="00DF4CE5">
              <w:rPr>
                <w:rFonts w:ascii="Cambria" w:hAnsi="Cambria" w:cs="Calibri"/>
              </w:rPr>
              <w:t>Cilj</w:t>
            </w:r>
            <w:proofErr w:type="spellEnd"/>
            <w:r w:rsidRPr="00DF4CE5">
              <w:rPr>
                <w:rFonts w:ascii="Cambria" w:hAnsi="Cambria" w:cs="Calibri"/>
              </w:rPr>
              <w:t xml:space="preserve"> </w:t>
            </w:r>
            <w:proofErr w:type="spellStart"/>
            <w:r w:rsidRPr="00DF4CE5">
              <w:rPr>
                <w:rFonts w:ascii="Cambria" w:hAnsi="Cambria" w:cs="Calibri"/>
              </w:rPr>
              <w:t>kolegija</w:t>
            </w:r>
            <w:proofErr w:type="spellEnd"/>
            <w:r w:rsidRPr="00DF4CE5">
              <w:rPr>
                <w:rFonts w:ascii="Cambria" w:hAnsi="Cambria" w:cs="Calibri"/>
              </w:rPr>
              <w:t xml:space="preserve"> </w:t>
            </w:r>
          </w:p>
        </w:tc>
        <w:tc>
          <w:tcPr>
            <w:tcW w:w="8147"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B20B9D4" w14:textId="77777777" w:rsidR="003B70E5" w:rsidRPr="00DF4CE5" w:rsidRDefault="003B70E5" w:rsidP="00891E8C">
            <w:pPr>
              <w:rPr>
                <w:rFonts w:ascii="Cambria" w:hAnsi="Cambria" w:cs="Calibri"/>
              </w:rPr>
            </w:pPr>
            <w:proofErr w:type="spellStart"/>
            <w:r w:rsidRPr="00DF4CE5">
              <w:rPr>
                <w:rFonts w:ascii="Cambria" w:hAnsi="Cambria" w:cs="Calibri"/>
              </w:rPr>
              <w:t>unaprijediti</w:t>
            </w:r>
            <w:proofErr w:type="spellEnd"/>
            <w:r w:rsidRPr="00DF4CE5">
              <w:rPr>
                <w:rFonts w:ascii="Cambria" w:hAnsi="Cambria" w:cs="Calibri"/>
              </w:rPr>
              <w:t xml:space="preserve"> </w:t>
            </w:r>
            <w:proofErr w:type="spellStart"/>
            <w:r w:rsidRPr="00DF4CE5">
              <w:rPr>
                <w:rFonts w:ascii="Cambria" w:hAnsi="Cambria" w:cs="Calibri"/>
              </w:rPr>
              <w:t>sposobnost</w:t>
            </w:r>
            <w:proofErr w:type="spellEnd"/>
            <w:r w:rsidRPr="00DF4CE5">
              <w:rPr>
                <w:rFonts w:ascii="Cambria" w:hAnsi="Cambria" w:cs="Calibri"/>
              </w:rPr>
              <w:t xml:space="preserve"> </w:t>
            </w:r>
            <w:proofErr w:type="spellStart"/>
            <w:r w:rsidRPr="00DF4CE5">
              <w:rPr>
                <w:rFonts w:ascii="Cambria" w:hAnsi="Cambria" w:cs="Calibri"/>
              </w:rPr>
              <w:t>matematičkog</w:t>
            </w:r>
            <w:proofErr w:type="spellEnd"/>
            <w:r w:rsidRPr="00DF4CE5">
              <w:rPr>
                <w:rFonts w:ascii="Cambria" w:hAnsi="Cambria" w:cs="Calibri"/>
              </w:rPr>
              <w:t xml:space="preserve"> </w:t>
            </w:r>
            <w:proofErr w:type="spellStart"/>
            <w:r w:rsidRPr="00DF4CE5">
              <w:rPr>
                <w:rFonts w:ascii="Cambria" w:hAnsi="Cambria" w:cs="Calibri"/>
              </w:rPr>
              <w:t>mišljenja</w:t>
            </w:r>
            <w:proofErr w:type="spellEnd"/>
            <w:r w:rsidRPr="00DF4CE5">
              <w:rPr>
                <w:rFonts w:ascii="Cambria" w:hAnsi="Cambria" w:cs="Calibri"/>
              </w:rPr>
              <w:t xml:space="preserve"> </w:t>
            </w:r>
            <w:proofErr w:type="spellStart"/>
            <w:proofErr w:type="gramStart"/>
            <w:r w:rsidRPr="00DF4CE5">
              <w:rPr>
                <w:rFonts w:ascii="Cambria" w:hAnsi="Cambria" w:cs="Calibri"/>
              </w:rPr>
              <w:t>studenata</w:t>
            </w:r>
            <w:proofErr w:type="spellEnd"/>
            <w:r w:rsidRPr="00DF4CE5">
              <w:rPr>
                <w:rFonts w:ascii="Cambria" w:hAnsi="Cambria" w:cs="Calibri"/>
              </w:rPr>
              <w:t xml:space="preserve">,  </w:t>
            </w:r>
            <w:proofErr w:type="spellStart"/>
            <w:r w:rsidRPr="00DF4CE5">
              <w:rPr>
                <w:rFonts w:ascii="Cambria" w:hAnsi="Cambria" w:cs="Calibri"/>
              </w:rPr>
              <w:t>argumentiranog</w:t>
            </w:r>
            <w:proofErr w:type="spellEnd"/>
            <w:proofErr w:type="gramEnd"/>
            <w:r w:rsidRPr="00DF4CE5">
              <w:rPr>
                <w:rFonts w:ascii="Cambria" w:hAnsi="Cambria" w:cs="Calibri"/>
              </w:rPr>
              <w:t xml:space="preserve"> </w:t>
            </w:r>
            <w:proofErr w:type="spellStart"/>
            <w:r w:rsidRPr="00DF4CE5">
              <w:rPr>
                <w:rFonts w:ascii="Cambria" w:hAnsi="Cambria" w:cs="Calibri"/>
              </w:rPr>
              <w:t>i</w:t>
            </w:r>
            <w:proofErr w:type="spellEnd"/>
            <w:r w:rsidRPr="00DF4CE5">
              <w:rPr>
                <w:rFonts w:ascii="Cambria" w:hAnsi="Cambria" w:cs="Calibri"/>
              </w:rPr>
              <w:t xml:space="preserve"> </w:t>
            </w:r>
            <w:proofErr w:type="spellStart"/>
            <w:r w:rsidRPr="00DF4CE5">
              <w:rPr>
                <w:rFonts w:ascii="Cambria" w:hAnsi="Cambria" w:cs="Calibri"/>
              </w:rPr>
              <w:t>učinkovitog</w:t>
            </w:r>
            <w:proofErr w:type="spellEnd"/>
            <w:r w:rsidRPr="00DF4CE5">
              <w:rPr>
                <w:rFonts w:ascii="Cambria" w:hAnsi="Cambria" w:cs="Calibri"/>
              </w:rPr>
              <w:t xml:space="preserve"> </w:t>
            </w:r>
            <w:proofErr w:type="spellStart"/>
            <w:r w:rsidRPr="00DF4CE5">
              <w:rPr>
                <w:rFonts w:ascii="Cambria" w:hAnsi="Cambria" w:cs="Calibri"/>
              </w:rPr>
              <w:t>komuniciranja</w:t>
            </w:r>
            <w:proofErr w:type="spellEnd"/>
            <w:r w:rsidRPr="00DF4CE5">
              <w:rPr>
                <w:rFonts w:ascii="Cambria" w:hAnsi="Cambria" w:cs="Calibri"/>
              </w:rPr>
              <w:t xml:space="preserve"> </w:t>
            </w:r>
            <w:proofErr w:type="spellStart"/>
            <w:r w:rsidRPr="00DF4CE5">
              <w:rPr>
                <w:rFonts w:ascii="Cambria" w:hAnsi="Cambria" w:cs="Calibri"/>
              </w:rPr>
              <w:t>matematičkih</w:t>
            </w:r>
            <w:proofErr w:type="spellEnd"/>
            <w:r w:rsidRPr="00DF4CE5">
              <w:rPr>
                <w:rFonts w:ascii="Cambria" w:hAnsi="Cambria" w:cs="Calibri"/>
              </w:rPr>
              <w:t xml:space="preserve"> </w:t>
            </w:r>
            <w:proofErr w:type="spellStart"/>
            <w:r w:rsidRPr="00DF4CE5">
              <w:rPr>
                <w:rFonts w:ascii="Cambria" w:hAnsi="Cambria" w:cs="Calibri"/>
              </w:rPr>
              <w:t>znanja</w:t>
            </w:r>
            <w:proofErr w:type="spellEnd"/>
            <w:r w:rsidRPr="00DF4CE5">
              <w:rPr>
                <w:rFonts w:ascii="Cambria" w:hAnsi="Cambria" w:cs="Calibri"/>
              </w:rPr>
              <w:t xml:space="preserve">, </w:t>
            </w:r>
            <w:proofErr w:type="spellStart"/>
            <w:r w:rsidRPr="00DF4CE5">
              <w:rPr>
                <w:rFonts w:ascii="Cambria" w:hAnsi="Cambria" w:cs="Calibri"/>
              </w:rPr>
              <w:t>ideja</w:t>
            </w:r>
            <w:proofErr w:type="spellEnd"/>
            <w:r w:rsidRPr="00DF4CE5">
              <w:rPr>
                <w:rFonts w:ascii="Cambria" w:hAnsi="Cambria" w:cs="Calibri"/>
              </w:rPr>
              <w:t xml:space="preserve"> </w:t>
            </w:r>
            <w:proofErr w:type="spellStart"/>
            <w:r w:rsidRPr="00DF4CE5">
              <w:rPr>
                <w:rFonts w:ascii="Cambria" w:hAnsi="Cambria" w:cs="Calibri"/>
              </w:rPr>
              <w:t>i</w:t>
            </w:r>
            <w:proofErr w:type="spellEnd"/>
            <w:r w:rsidRPr="00DF4CE5">
              <w:rPr>
                <w:rFonts w:ascii="Cambria" w:hAnsi="Cambria" w:cs="Calibri"/>
              </w:rPr>
              <w:t xml:space="preserve"> </w:t>
            </w:r>
            <w:proofErr w:type="spellStart"/>
            <w:r w:rsidRPr="00DF4CE5">
              <w:rPr>
                <w:rFonts w:ascii="Cambria" w:hAnsi="Cambria" w:cs="Calibri"/>
              </w:rPr>
              <w:t>rezultata</w:t>
            </w:r>
            <w:proofErr w:type="spellEnd"/>
            <w:r w:rsidRPr="00DF4CE5">
              <w:rPr>
                <w:rFonts w:ascii="Cambria" w:hAnsi="Cambria" w:cs="Calibri"/>
              </w:rPr>
              <w:t xml:space="preserve"> o </w:t>
            </w:r>
            <w:proofErr w:type="spellStart"/>
            <w:r w:rsidRPr="00DF4CE5">
              <w:rPr>
                <w:rFonts w:ascii="Cambria" w:hAnsi="Cambria" w:cs="Calibri"/>
              </w:rPr>
              <w:t>strukturi</w:t>
            </w:r>
            <w:proofErr w:type="spellEnd"/>
            <w:r w:rsidRPr="00DF4CE5">
              <w:rPr>
                <w:rFonts w:ascii="Cambria" w:hAnsi="Cambria" w:cs="Calibri"/>
              </w:rPr>
              <w:t xml:space="preserve"> </w:t>
            </w:r>
            <w:proofErr w:type="spellStart"/>
            <w:r w:rsidRPr="00DF4CE5">
              <w:rPr>
                <w:rFonts w:ascii="Cambria" w:hAnsi="Cambria" w:cs="Calibri"/>
              </w:rPr>
              <w:t>matematike</w:t>
            </w:r>
            <w:proofErr w:type="spellEnd"/>
            <w:r w:rsidRPr="00DF4CE5">
              <w:rPr>
                <w:rFonts w:ascii="Cambria" w:hAnsi="Cambria" w:cs="Calibri"/>
              </w:rPr>
              <w:t xml:space="preserve">, </w:t>
            </w:r>
            <w:proofErr w:type="spellStart"/>
            <w:r w:rsidRPr="00DF4CE5">
              <w:rPr>
                <w:rFonts w:ascii="Cambria" w:hAnsi="Cambria" w:cs="Calibri"/>
              </w:rPr>
              <w:t>skupovima</w:t>
            </w:r>
            <w:proofErr w:type="spellEnd"/>
            <w:r w:rsidRPr="00DF4CE5">
              <w:rPr>
                <w:rFonts w:ascii="Cambria" w:hAnsi="Cambria" w:cs="Calibri"/>
              </w:rPr>
              <w:t xml:space="preserve"> </w:t>
            </w:r>
            <w:proofErr w:type="spellStart"/>
            <w:r w:rsidRPr="00DF4CE5">
              <w:rPr>
                <w:rFonts w:ascii="Cambria" w:hAnsi="Cambria" w:cs="Calibri"/>
              </w:rPr>
              <w:t>brojeva</w:t>
            </w:r>
            <w:proofErr w:type="spellEnd"/>
            <w:r w:rsidRPr="00DF4CE5">
              <w:rPr>
                <w:rFonts w:ascii="Cambria" w:hAnsi="Cambria" w:cs="Calibri"/>
              </w:rPr>
              <w:t xml:space="preserve"> </w:t>
            </w:r>
            <w:proofErr w:type="spellStart"/>
            <w:r w:rsidRPr="00DF4CE5">
              <w:rPr>
                <w:rFonts w:ascii="Cambria" w:hAnsi="Cambria" w:cs="Calibri"/>
              </w:rPr>
              <w:t>i</w:t>
            </w:r>
            <w:proofErr w:type="spellEnd"/>
            <w:r w:rsidRPr="00DF4CE5">
              <w:rPr>
                <w:rFonts w:ascii="Cambria" w:hAnsi="Cambria" w:cs="Calibri"/>
              </w:rPr>
              <w:t xml:space="preserve"> </w:t>
            </w:r>
            <w:proofErr w:type="spellStart"/>
            <w:r w:rsidRPr="00DF4CE5">
              <w:rPr>
                <w:rFonts w:ascii="Cambria" w:hAnsi="Cambria" w:cs="Calibri"/>
              </w:rPr>
              <w:t>funkcijama</w:t>
            </w:r>
            <w:proofErr w:type="spellEnd"/>
            <w:r w:rsidRPr="00DF4CE5">
              <w:rPr>
                <w:rFonts w:ascii="Cambria" w:hAnsi="Cambria" w:cs="Calibri"/>
              </w:rPr>
              <w:t xml:space="preserve"> </w:t>
            </w:r>
            <w:proofErr w:type="spellStart"/>
            <w:r w:rsidRPr="00DF4CE5">
              <w:rPr>
                <w:rFonts w:ascii="Cambria" w:hAnsi="Cambria" w:cs="Calibri"/>
              </w:rPr>
              <w:t>te</w:t>
            </w:r>
            <w:proofErr w:type="spellEnd"/>
            <w:r w:rsidRPr="00DF4CE5">
              <w:rPr>
                <w:rFonts w:ascii="Cambria" w:hAnsi="Cambria" w:cs="Calibri"/>
              </w:rPr>
              <w:t xml:space="preserve"> </w:t>
            </w:r>
            <w:proofErr w:type="spellStart"/>
            <w:r w:rsidRPr="00DF4CE5">
              <w:rPr>
                <w:rFonts w:ascii="Cambria" w:hAnsi="Cambria" w:cs="Calibri"/>
              </w:rPr>
              <w:t>razvijati</w:t>
            </w:r>
            <w:proofErr w:type="spellEnd"/>
            <w:r w:rsidRPr="00DF4CE5">
              <w:rPr>
                <w:rFonts w:ascii="Cambria" w:hAnsi="Cambria" w:cs="Calibri"/>
              </w:rPr>
              <w:t xml:space="preserve"> </w:t>
            </w:r>
            <w:proofErr w:type="spellStart"/>
            <w:r w:rsidRPr="00DF4CE5">
              <w:rPr>
                <w:rFonts w:ascii="Cambria" w:hAnsi="Cambria" w:cs="Calibri"/>
              </w:rPr>
              <w:t>strategije</w:t>
            </w:r>
            <w:proofErr w:type="spellEnd"/>
            <w:r w:rsidRPr="00DF4CE5">
              <w:rPr>
                <w:rFonts w:ascii="Cambria" w:hAnsi="Cambria" w:cs="Calibri"/>
              </w:rPr>
              <w:t xml:space="preserve"> </w:t>
            </w:r>
            <w:proofErr w:type="spellStart"/>
            <w:r w:rsidRPr="00DF4CE5">
              <w:rPr>
                <w:rFonts w:ascii="Cambria" w:hAnsi="Cambria" w:cs="Calibri"/>
              </w:rPr>
              <w:t>rješavanja</w:t>
            </w:r>
            <w:proofErr w:type="spellEnd"/>
            <w:r w:rsidRPr="00DF4CE5">
              <w:rPr>
                <w:rFonts w:ascii="Cambria" w:hAnsi="Cambria" w:cs="Calibri"/>
              </w:rPr>
              <w:t xml:space="preserve"> </w:t>
            </w:r>
            <w:proofErr w:type="spellStart"/>
            <w:r w:rsidRPr="00DF4CE5">
              <w:rPr>
                <w:rFonts w:ascii="Cambria" w:hAnsi="Cambria" w:cs="Calibri"/>
              </w:rPr>
              <w:t>matematičkih</w:t>
            </w:r>
            <w:proofErr w:type="spellEnd"/>
            <w:r w:rsidRPr="00DF4CE5">
              <w:rPr>
                <w:rFonts w:ascii="Cambria" w:hAnsi="Cambria" w:cs="Calibri"/>
              </w:rPr>
              <w:t xml:space="preserve"> </w:t>
            </w:r>
            <w:proofErr w:type="spellStart"/>
            <w:r w:rsidRPr="00DF4CE5">
              <w:rPr>
                <w:rFonts w:ascii="Cambria" w:hAnsi="Cambria" w:cs="Calibri"/>
              </w:rPr>
              <w:t>problema</w:t>
            </w:r>
            <w:proofErr w:type="spellEnd"/>
            <w:r w:rsidRPr="00DF4CE5">
              <w:rPr>
                <w:rFonts w:ascii="Cambria" w:hAnsi="Cambria" w:cs="Calibri"/>
              </w:rPr>
              <w:t xml:space="preserve"> </w:t>
            </w:r>
            <w:proofErr w:type="spellStart"/>
            <w:r w:rsidRPr="00DF4CE5">
              <w:rPr>
                <w:rFonts w:ascii="Cambria" w:hAnsi="Cambria" w:cs="Calibri"/>
              </w:rPr>
              <w:t>i</w:t>
            </w:r>
            <w:proofErr w:type="spellEnd"/>
            <w:r w:rsidRPr="00DF4CE5">
              <w:rPr>
                <w:rFonts w:ascii="Cambria" w:hAnsi="Cambria" w:cs="Calibri"/>
              </w:rPr>
              <w:t xml:space="preserve"> </w:t>
            </w:r>
            <w:proofErr w:type="spellStart"/>
            <w:r w:rsidRPr="00DF4CE5">
              <w:rPr>
                <w:rFonts w:ascii="Cambria" w:hAnsi="Cambria" w:cs="Calibri"/>
              </w:rPr>
              <w:t>problema</w:t>
            </w:r>
            <w:proofErr w:type="spellEnd"/>
            <w:r w:rsidRPr="00DF4CE5">
              <w:rPr>
                <w:rFonts w:ascii="Cambria" w:hAnsi="Cambria" w:cs="Calibri"/>
              </w:rPr>
              <w:t xml:space="preserve"> koji se </w:t>
            </w:r>
            <w:proofErr w:type="spellStart"/>
            <w:r w:rsidRPr="00DF4CE5">
              <w:rPr>
                <w:rFonts w:ascii="Cambria" w:hAnsi="Cambria" w:cs="Calibri"/>
              </w:rPr>
              <w:t>svode</w:t>
            </w:r>
            <w:proofErr w:type="spellEnd"/>
            <w:r w:rsidRPr="00DF4CE5">
              <w:rPr>
                <w:rFonts w:ascii="Cambria" w:hAnsi="Cambria" w:cs="Calibri"/>
              </w:rPr>
              <w:t xml:space="preserve"> </w:t>
            </w:r>
            <w:proofErr w:type="spellStart"/>
            <w:r w:rsidRPr="00DF4CE5">
              <w:rPr>
                <w:rFonts w:ascii="Cambria" w:hAnsi="Cambria" w:cs="Calibri"/>
              </w:rPr>
              <w:t>na</w:t>
            </w:r>
            <w:proofErr w:type="spellEnd"/>
            <w:r w:rsidRPr="00DF4CE5">
              <w:rPr>
                <w:rFonts w:ascii="Cambria" w:hAnsi="Cambria" w:cs="Calibri"/>
              </w:rPr>
              <w:t xml:space="preserve"> </w:t>
            </w:r>
            <w:proofErr w:type="spellStart"/>
            <w:r w:rsidRPr="00DF4CE5">
              <w:rPr>
                <w:rFonts w:ascii="Cambria" w:hAnsi="Cambria" w:cs="Calibri"/>
              </w:rPr>
              <w:t>matematički</w:t>
            </w:r>
            <w:proofErr w:type="spellEnd"/>
            <w:r w:rsidRPr="00DF4CE5">
              <w:rPr>
                <w:rFonts w:ascii="Cambria" w:hAnsi="Cambria" w:cs="Calibri"/>
              </w:rPr>
              <w:t xml:space="preserve"> model</w:t>
            </w:r>
          </w:p>
        </w:tc>
      </w:tr>
      <w:tr w:rsidR="003B70E5" w:rsidRPr="00D0399C" w14:paraId="7172604B" w14:textId="77777777" w:rsidTr="00ED1945">
        <w:tc>
          <w:tcPr>
            <w:tcW w:w="234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66AE6BD" w14:textId="77777777" w:rsidR="003B70E5" w:rsidRPr="00DF4CE5" w:rsidRDefault="003B70E5" w:rsidP="00891E8C">
            <w:pPr>
              <w:rPr>
                <w:rFonts w:ascii="Cambria" w:hAnsi="Cambria" w:cs="Calibri"/>
              </w:rPr>
            </w:pPr>
            <w:proofErr w:type="spellStart"/>
            <w:r w:rsidRPr="00DF4CE5">
              <w:rPr>
                <w:rFonts w:ascii="Cambria" w:hAnsi="Cambria" w:cs="Calibri"/>
              </w:rPr>
              <w:t>Ishodi</w:t>
            </w:r>
            <w:proofErr w:type="spellEnd"/>
            <w:r w:rsidRPr="00DF4CE5">
              <w:rPr>
                <w:rFonts w:ascii="Cambria" w:hAnsi="Cambria" w:cs="Calibri"/>
              </w:rPr>
              <w:t xml:space="preserve"> </w:t>
            </w:r>
            <w:proofErr w:type="spellStart"/>
            <w:r w:rsidRPr="00DF4CE5">
              <w:rPr>
                <w:rFonts w:ascii="Cambria" w:hAnsi="Cambria" w:cs="Calibri"/>
              </w:rPr>
              <w:t>učenja</w:t>
            </w:r>
            <w:proofErr w:type="spellEnd"/>
          </w:p>
        </w:tc>
        <w:tc>
          <w:tcPr>
            <w:tcW w:w="8147"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E22BDE0" w14:textId="77777777" w:rsidR="003B70E5" w:rsidRPr="00DF4CE5" w:rsidRDefault="003B70E5" w:rsidP="00A034E3">
            <w:pPr>
              <w:numPr>
                <w:ilvl w:val="0"/>
                <w:numId w:val="7"/>
              </w:numPr>
              <w:spacing w:after="0" w:line="240" w:lineRule="auto"/>
              <w:rPr>
                <w:rFonts w:ascii="Cambria" w:hAnsi="Cambria" w:cs="Calibri"/>
              </w:rPr>
            </w:pPr>
            <w:proofErr w:type="spellStart"/>
            <w:r w:rsidRPr="00DF4CE5">
              <w:rPr>
                <w:rFonts w:ascii="Cambria" w:hAnsi="Cambria" w:cs="Calibri"/>
              </w:rPr>
              <w:t>opisati</w:t>
            </w:r>
            <w:proofErr w:type="spellEnd"/>
            <w:r w:rsidRPr="00DF4CE5">
              <w:rPr>
                <w:rFonts w:ascii="Cambria" w:hAnsi="Cambria" w:cs="Calibri"/>
              </w:rPr>
              <w:t xml:space="preserve"> </w:t>
            </w:r>
            <w:proofErr w:type="spellStart"/>
            <w:r w:rsidRPr="00DF4CE5">
              <w:rPr>
                <w:rFonts w:ascii="Cambria" w:hAnsi="Cambria" w:cs="Calibri"/>
              </w:rPr>
              <w:t>matematičke</w:t>
            </w:r>
            <w:proofErr w:type="spellEnd"/>
            <w:r w:rsidRPr="00DF4CE5">
              <w:rPr>
                <w:rFonts w:ascii="Cambria" w:hAnsi="Cambria" w:cs="Calibri"/>
              </w:rPr>
              <w:t xml:space="preserve"> </w:t>
            </w:r>
            <w:proofErr w:type="spellStart"/>
            <w:r w:rsidRPr="00DF4CE5">
              <w:rPr>
                <w:rFonts w:ascii="Cambria" w:hAnsi="Cambria" w:cs="Calibri"/>
              </w:rPr>
              <w:t>pojmove</w:t>
            </w:r>
            <w:proofErr w:type="spellEnd"/>
          </w:p>
          <w:p w14:paraId="65DAEC5A" w14:textId="77777777" w:rsidR="003B70E5" w:rsidRPr="00DF4CE5" w:rsidRDefault="003B70E5" w:rsidP="00A034E3">
            <w:pPr>
              <w:numPr>
                <w:ilvl w:val="0"/>
                <w:numId w:val="7"/>
              </w:numPr>
              <w:spacing w:after="0" w:line="240" w:lineRule="auto"/>
              <w:rPr>
                <w:rFonts w:ascii="Cambria" w:hAnsi="Cambria" w:cs="Calibri"/>
              </w:rPr>
            </w:pPr>
            <w:proofErr w:type="spellStart"/>
            <w:r w:rsidRPr="00DF4CE5">
              <w:rPr>
                <w:rFonts w:ascii="Cambria" w:hAnsi="Cambria" w:cs="Calibri"/>
              </w:rPr>
              <w:t>obrazložiti</w:t>
            </w:r>
            <w:proofErr w:type="spellEnd"/>
            <w:r w:rsidRPr="00DF4CE5">
              <w:rPr>
                <w:rFonts w:ascii="Cambria" w:hAnsi="Cambria" w:cs="Calibri"/>
              </w:rPr>
              <w:t xml:space="preserve"> </w:t>
            </w:r>
            <w:proofErr w:type="spellStart"/>
            <w:r w:rsidRPr="00DF4CE5">
              <w:rPr>
                <w:rFonts w:ascii="Cambria" w:hAnsi="Cambria" w:cs="Calibri"/>
              </w:rPr>
              <w:t>matematičke</w:t>
            </w:r>
            <w:proofErr w:type="spellEnd"/>
            <w:r w:rsidRPr="00DF4CE5">
              <w:rPr>
                <w:rFonts w:ascii="Cambria" w:hAnsi="Cambria" w:cs="Calibri"/>
              </w:rPr>
              <w:t xml:space="preserve"> </w:t>
            </w:r>
            <w:proofErr w:type="spellStart"/>
            <w:r w:rsidRPr="00DF4CE5">
              <w:rPr>
                <w:rFonts w:ascii="Cambria" w:hAnsi="Cambria" w:cs="Calibri"/>
              </w:rPr>
              <w:t>tvrdnje</w:t>
            </w:r>
            <w:proofErr w:type="spellEnd"/>
          </w:p>
          <w:p w14:paraId="1AAA1875" w14:textId="77777777" w:rsidR="003B70E5" w:rsidRPr="00DF4CE5" w:rsidRDefault="003B70E5" w:rsidP="00A034E3">
            <w:pPr>
              <w:numPr>
                <w:ilvl w:val="0"/>
                <w:numId w:val="7"/>
              </w:numPr>
              <w:spacing w:after="0" w:line="240" w:lineRule="auto"/>
              <w:rPr>
                <w:rFonts w:ascii="Cambria" w:hAnsi="Cambria" w:cs="Calibri"/>
              </w:rPr>
            </w:pPr>
            <w:proofErr w:type="spellStart"/>
            <w:r w:rsidRPr="00DF4CE5">
              <w:rPr>
                <w:rFonts w:ascii="Cambria" w:hAnsi="Cambria" w:cs="Calibri"/>
              </w:rPr>
              <w:t>uspostavljati</w:t>
            </w:r>
            <w:proofErr w:type="spellEnd"/>
            <w:r w:rsidRPr="00DF4CE5">
              <w:rPr>
                <w:rFonts w:ascii="Cambria" w:hAnsi="Cambria" w:cs="Calibri"/>
              </w:rPr>
              <w:t xml:space="preserve"> </w:t>
            </w:r>
            <w:proofErr w:type="spellStart"/>
            <w:r w:rsidRPr="00DF4CE5">
              <w:rPr>
                <w:rFonts w:ascii="Cambria" w:hAnsi="Cambria" w:cs="Calibri"/>
              </w:rPr>
              <w:t>veze</w:t>
            </w:r>
            <w:proofErr w:type="spellEnd"/>
            <w:r w:rsidRPr="00DF4CE5">
              <w:rPr>
                <w:rFonts w:ascii="Cambria" w:hAnsi="Cambria" w:cs="Calibri"/>
              </w:rPr>
              <w:t xml:space="preserve"> </w:t>
            </w:r>
            <w:proofErr w:type="spellStart"/>
            <w:r w:rsidRPr="00DF4CE5">
              <w:rPr>
                <w:rFonts w:ascii="Cambria" w:hAnsi="Cambria" w:cs="Calibri"/>
              </w:rPr>
              <w:t>između</w:t>
            </w:r>
            <w:proofErr w:type="spellEnd"/>
            <w:r w:rsidRPr="00DF4CE5">
              <w:rPr>
                <w:rFonts w:ascii="Cambria" w:hAnsi="Cambria" w:cs="Calibri"/>
              </w:rPr>
              <w:t xml:space="preserve"> </w:t>
            </w:r>
            <w:proofErr w:type="spellStart"/>
            <w:r w:rsidRPr="00DF4CE5">
              <w:rPr>
                <w:rFonts w:ascii="Cambria" w:hAnsi="Cambria" w:cs="Calibri"/>
              </w:rPr>
              <w:t>različitih</w:t>
            </w:r>
            <w:proofErr w:type="spellEnd"/>
            <w:r w:rsidRPr="00DF4CE5">
              <w:rPr>
                <w:rFonts w:ascii="Cambria" w:hAnsi="Cambria" w:cs="Calibri"/>
              </w:rPr>
              <w:t xml:space="preserve"> </w:t>
            </w:r>
            <w:proofErr w:type="spellStart"/>
            <w:r w:rsidRPr="00DF4CE5">
              <w:rPr>
                <w:rFonts w:ascii="Cambria" w:hAnsi="Cambria" w:cs="Calibri"/>
              </w:rPr>
              <w:t>reprezentacija</w:t>
            </w:r>
            <w:proofErr w:type="spellEnd"/>
            <w:r w:rsidRPr="00DF4CE5">
              <w:rPr>
                <w:rFonts w:ascii="Cambria" w:hAnsi="Cambria" w:cs="Calibri"/>
              </w:rPr>
              <w:t xml:space="preserve">, </w:t>
            </w:r>
            <w:proofErr w:type="spellStart"/>
            <w:r w:rsidRPr="00DF4CE5">
              <w:rPr>
                <w:rFonts w:ascii="Cambria" w:hAnsi="Cambria" w:cs="Calibri"/>
              </w:rPr>
              <w:t>govornog</w:t>
            </w:r>
            <w:proofErr w:type="spellEnd"/>
            <w:r w:rsidRPr="00DF4CE5">
              <w:rPr>
                <w:rFonts w:ascii="Cambria" w:hAnsi="Cambria" w:cs="Calibri"/>
              </w:rPr>
              <w:t xml:space="preserve"> </w:t>
            </w:r>
            <w:proofErr w:type="spellStart"/>
            <w:r w:rsidRPr="00DF4CE5">
              <w:rPr>
                <w:rFonts w:ascii="Cambria" w:hAnsi="Cambria" w:cs="Calibri"/>
              </w:rPr>
              <w:t>jezika</w:t>
            </w:r>
            <w:proofErr w:type="spellEnd"/>
            <w:r w:rsidRPr="00DF4CE5">
              <w:rPr>
                <w:rFonts w:ascii="Cambria" w:hAnsi="Cambria" w:cs="Calibri"/>
              </w:rPr>
              <w:t xml:space="preserve">, </w:t>
            </w:r>
            <w:proofErr w:type="spellStart"/>
            <w:r w:rsidRPr="00DF4CE5">
              <w:rPr>
                <w:rFonts w:ascii="Cambria" w:hAnsi="Cambria" w:cs="Calibri"/>
              </w:rPr>
              <w:t>simboličkog</w:t>
            </w:r>
            <w:proofErr w:type="spellEnd"/>
            <w:r w:rsidRPr="00DF4CE5">
              <w:rPr>
                <w:rFonts w:ascii="Cambria" w:hAnsi="Cambria" w:cs="Calibri"/>
              </w:rPr>
              <w:t xml:space="preserve"> </w:t>
            </w:r>
            <w:proofErr w:type="spellStart"/>
            <w:r w:rsidRPr="00DF4CE5">
              <w:rPr>
                <w:rFonts w:ascii="Cambria" w:hAnsi="Cambria" w:cs="Calibri"/>
              </w:rPr>
              <w:t>zapisa</w:t>
            </w:r>
            <w:proofErr w:type="spellEnd"/>
            <w:r w:rsidRPr="00DF4CE5">
              <w:rPr>
                <w:rFonts w:ascii="Cambria" w:hAnsi="Cambria" w:cs="Calibri"/>
              </w:rPr>
              <w:t xml:space="preserve"> </w:t>
            </w:r>
            <w:proofErr w:type="spellStart"/>
            <w:r w:rsidRPr="00DF4CE5">
              <w:rPr>
                <w:rFonts w:ascii="Cambria" w:hAnsi="Cambria" w:cs="Calibri"/>
              </w:rPr>
              <w:t>i</w:t>
            </w:r>
            <w:proofErr w:type="spellEnd"/>
            <w:r w:rsidRPr="00DF4CE5">
              <w:rPr>
                <w:rFonts w:ascii="Cambria" w:hAnsi="Cambria" w:cs="Calibri"/>
              </w:rPr>
              <w:t xml:space="preserve"> </w:t>
            </w:r>
            <w:proofErr w:type="spellStart"/>
            <w:r w:rsidRPr="00DF4CE5">
              <w:rPr>
                <w:rFonts w:ascii="Cambria" w:hAnsi="Cambria" w:cs="Calibri"/>
              </w:rPr>
              <w:t>vizualnog</w:t>
            </w:r>
            <w:proofErr w:type="spellEnd"/>
            <w:r w:rsidRPr="00DF4CE5">
              <w:rPr>
                <w:rFonts w:ascii="Cambria" w:hAnsi="Cambria" w:cs="Calibri"/>
              </w:rPr>
              <w:t xml:space="preserve"> </w:t>
            </w:r>
            <w:proofErr w:type="spellStart"/>
            <w:r w:rsidRPr="00DF4CE5">
              <w:rPr>
                <w:rFonts w:ascii="Cambria" w:hAnsi="Cambria" w:cs="Calibri"/>
              </w:rPr>
              <w:t>prikaza</w:t>
            </w:r>
            <w:proofErr w:type="spellEnd"/>
            <w:r w:rsidRPr="00DF4CE5">
              <w:rPr>
                <w:rFonts w:ascii="Cambria" w:hAnsi="Cambria" w:cs="Calibri"/>
              </w:rPr>
              <w:t xml:space="preserve"> </w:t>
            </w:r>
          </w:p>
          <w:p w14:paraId="0A78F93A" w14:textId="77777777" w:rsidR="003B70E5" w:rsidRPr="00DF4CE5" w:rsidRDefault="003B70E5" w:rsidP="00A034E3">
            <w:pPr>
              <w:numPr>
                <w:ilvl w:val="0"/>
                <w:numId w:val="7"/>
              </w:numPr>
              <w:spacing w:after="0" w:line="240" w:lineRule="auto"/>
              <w:rPr>
                <w:rFonts w:ascii="Cambria" w:hAnsi="Cambria" w:cs="Calibri"/>
                <w:lang w:val="it-IT"/>
              </w:rPr>
            </w:pPr>
            <w:proofErr w:type="spellStart"/>
            <w:r w:rsidRPr="00DF4CE5">
              <w:rPr>
                <w:rFonts w:ascii="Cambria" w:hAnsi="Cambria" w:cs="Calibri"/>
                <w:lang w:val="it-IT"/>
              </w:rPr>
              <w:t>primjenjivati</w:t>
            </w:r>
            <w:proofErr w:type="spellEnd"/>
            <w:r w:rsidRPr="00DF4CE5">
              <w:rPr>
                <w:rFonts w:ascii="Cambria" w:hAnsi="Cambria" w:cs="Calibri"/>
                <w:lang w:val="it-IT"/>
              </w:rPr>
              <w:t xml:space="preserve"> </w:t>
            </w:r>
            <w:proofErr w:type="spellStart"/>
            <w:r w:rsidRPr="00DF4CE5">
              <w:rPr>
                <w:rFonts w:ascii="Cambria" w:hAnsi="Cambria" w:cs="Calibri"/>
                <w:lang w:val="it-IT"/>
              </w:rPr>
              <w:t>znanja</w:t>
            </w:r>
            <w:proofErr w:type="spellEnd"/>
            <w:r w:rsidRPr="00DF4CE5">
              <w:rPr>
                <w:rFonts w:ascii="Cambria" w:hAnsi="Cambria" w:cs="Calibri"/>
                <w:lang w:val="it-IT"/>
              </w:rPr>
              <w:t xml:space="preserve"> i </w:t>
            </w:r>
            <w:proofErr w:type="spellStart"/>
            <w:r w:rsidRPr="00DF4CE5">
              <w:rPr>
                <w:rFonts w:ascii="Cambria" w:hAnsi="Cambria" w:cs="Calibri"/>
                <w:lang w:val="it-IT"/>
              </w:rPr>
              <w:t>vještine</w:t>
            </w:r>
            <w:proofErr w:type="spellEnd"/>
            <w:r w:rsidRPr="00DF4CE5">
              <w:rPr>
                <w:rFonts w:ascii="Cambria" w:hAnsi="Cambria" w:cs="Calibri"/>
                <w:lang w:val="it-IT"/>
              </w:rPr>
              <w:t xml:space="preserve"> o </w:t>
            </w:r>
            <w:proofErr w:type="spellStart"/>
            <w:r w:rsidRPr="00DF4CE5">
              <w:rPr>
                <w:rFonts w:ascii="Cambria" w:hAnsi="Cambria" w:cs="Calibri"/>
                <w:lang w:val="it-IT"/>
              </w:rPr>
              <w:t>brojevima</w:t>
            </w:r>
            <w:proofErr w:type="spellEnd"/>
            <w:r w:rsidRPr="00DF4CE5">
              <w:rPr>
                <w:rFonts w:ascii="Cambria" w:hAnsi="Cambria" w:cs="Calibri"/>
                <w:lang w:val="it-IT"/>
              </w:rPr>
              <w:t xml:space="preserve"> </w:t>
            </w:r>
            <w:proofErr w:type="gramStart"/>
            <w:r w:rsidRPr="00DF4CE5">
              <w:rPr>
                <w:rFonts w:ascii="Cambria" w:hAnsi="Cambria" w:cs="Calibri"/>
                <w:lang w:val="it-IT"/>
              </w:rPr>
              <w:t xml:space="preserve">i  </w:t>
            </w:r>
            <w:proofErr w:type="spellStart"/>
            <w:r w:rsidRPr="00DF4CE5">
              <w:rPr>
                <w:rFonts w:ascii="Cambria" w:hAnsi="Cambria" w:cs="Calibri"/>
                <w:lang w:val="it-IT"/>
              </w:rPr>
              <w:t>funkcijama</w:t>
            </w:r>
            <w:proofErr w:type="spellEnd"/>
            <w:proofErr w:type="gramEnd"/>
            <w:r w:rsidRPr="00DF4CE5">
              <w:rPr>
                <w:rFonts w:ascii="Cambria" w:hAnsi="Cambria" w:cs="Calibri"/>
                <w:lang w:val="it-IT"/>
              </w:rPr>
              <w:t xml:space="preserve"> za </w:t>
            </w:r>
            <w:proofErr w:type="spellStart"/>
            <w:r w:rsidRPr="00DF4CE5">
              <w:rPr>
                <w:rFonts w:ascii="Cambria" w:hAnsi="Cambria" w:cs="Calibri"/>
                <w:lang w:val="it-IT"/>
              </w:rPr>
              <w:t>opis</w:t>
            </w:r>
            <w:proofErr w:type="spellEnd"/>
            <w:r w:rsidRPr="00DF4CE5">
              <w:rPr>
                <w:rFonts w:ascii="Cambria" w:hAnsi="Cambria" w:cs="Calibri"/>
                <w:lang w:val="it-IT"/>
              </w:rPr>
              <w:t xml:space="preserve"> i </w:t>
            </w:r>
            <w:proofErr w:type="spellStart"/>
            <w:r w:rsidRPr="00DF4CE5">
              <w:rPr>
                <w:rFonts w:ascii="Cambria" w:hAnsi="Cambria" w:cs="Calibri"/>
                <w:lang w:val="it-IT"/>
              </w:rPr>
              <w:t>analizu</w:t>
            </w:r>
            <w:proofErr w:type="spellEnd"/>
            <w:r w:rsidRPr="00DF4CE5">
              <w:rPr>
                <w:rFonts w:ascii="Cambria" w:hAnsi="Cambria" w:cs="Calibri"/>
                <w:lang w:val="it-IT"/>
              </w:rPr>
              <w:t xml:space="preserve"> </w:t>
            </w:r>
            <w:proofErr w:type="spellStart"/>
            <w:r w:rsidRPr="00DF4CE5">
              <w:rPr>
                <w:rFonts w:ascii="Cambria" w:hAnsi="Cambria" w:cs="Calibri"/>
                <w:lang w:val="it-IT"/>
              </w:rPr>
              <w:t>svijeta</w:t>
            </w:r>
            <w:proofErr w:type="spellEnd"/>
            <w:r w:rsidRPr="00DF4CE5">
              <w:rPr>
                <w:rFonts w:ascii="Cambria" w:hAnsi="Cambria" w:cs="Calibri"/>
                <w:lang w:val="it-IT"/>
              </w:rPr>
              <w:t xml:space="preserve"> </w:t>
            </w:r>
            <w:proofErr w:type="spellStart"/>
            <w:r w:rsidRPr="00DF4CE5">
              <w:rPr>
                <w:rFonts w:ascii="Cambria" w:hAnsi="Cambria" w:cs="Calibri"/>
                <w:lang w:val="it-IT"/>
              </w:rPr>
              <w:t>oko</w:t>
            </w:r>
            <w:proofErr w:type="spellEnd"/>
            <w:r w:rsidRPr="00DF4CE5">
              <w:rPr>
                <w:rFonts w:ascii="Cambria" w:hAnsi="Cambria" w:cs="Calibri"/>
                <w:lang w:val="it-IT"/>
              </w:rPr>
              <w:t xml:space="preserve"> </w:t>
            </w:r>
            <w:proofErr w:type="spellStart"/>
            <w:r w:rsidRPr="00DF4CE5">
              <w:rPr>
                <w:rFonts w:ascii="Cambria" w:hAnsi="Cambria" w:cs="Calibri"/>
                <w:lang w:val="it-IT"/>
              </w:rPr>
              <w:t>sebe</w:t>
            </w:r>
            <w:proofErr w:type="spellEnd"/>
          </w:p>
          <w:p w14:paraId="5DFDECCD" w14:textId="77777777" w:rsidR="003B70E5" w:rsidRPr="00DF4CE5" w:rsidRDefault="003B70E5" w:rsidP="00A034E3">
            <w:pPr>
              <w:numPr>
                <w:ilvl w:val="0"/>
                <w:numId w:val="7"/>
              </w:numPr>
              <w:spacing w:after="0" w:line="240" w:lineRule="auto"/>
              <w:rPr>
                <w:rFonts w:ascii="Cambria" w:hAnsi="Cambria" w:cs="Calibri"/>
                <w:b/>
                <w:lang w:val="it-IT"/>
              </w:rPr>
            </w:pPr>
            <w:proofErr w:type="spellStart"/>
            <w:r w:rsidRPr="00DF4CE5">
              <w:rPr>
                <w:rFonts w:ascii="Cambria" w:hAnsi="Cambria" w:cs="Calibri"/>
                <w:lang w:val="it-IT"/>
              </w:rPr>
              <w:t>argumentirati</w:t>
            </w:r>
            <w:proofErr w:type="spellEnd"/>
            <w:r w:rsidRPr="00DF4CE5">
              <w:rPr>
                <w:rFonts w:ascii="Cambria" w:hAnsi="Cambria" w:cs="Calibri"/>
                <w:lang w:val="it-IT"/>
              </w:rPr>
              <w:t xml:space="preserve"> </w:t>
            </w:r>
            <w:proofErr w:type="spellStart"/>
            <w:r w:rsidRPr="00DF4CE5">
              <w:rPr>
                <w:rFonts w:ascii="Cambria" w:hAnsi="Cambria" w:cs="Calibri"/>
                <w:lang w:val="it-IT"/>
              </w:rPr>
              <w:t>matematička</w:t>
            </w:r>
            <w:proofErr w:type="spellEnd"/>
            <w:r w:rsidRPr="00DF4CE5">
              <w:rPr>
                <w:rFonts w:ascii="Cambria" w:hAnsi="Cambria" w:cs="Calibri"/>
                <w:lang w:val="it-IT"/>
              </w:rPr>
              <w:t xml:space="preserve"> </w:t>
            </w:r>
            <w:proofErr w:type="spellStart"/>
            <w:r w:rsidRPr="00DF4CE5">
              <w:rPr>
                <w:rFonts w:ascii="Cambria" w:hAnsi="Cambria" w:cs="Calibri"/>
                <w:lang w:val="it-IT"/>
              </w:rPr>
              <w:t>znanja</w:t>
            </w:r>
            <w:proofErr w:type="spellEnd"/>
            <w:r w:rsidRPr="00DF4CE5">
              <w:rPr>
                <w:rFonts w:ascii="Cambria" w:hAnsi="Cambria" w:cs="Calibri"/>
                <w:lang w:val="it-IT"/>
              </w:rPr>
              <w:t xml:space="preserve">, </w:t>
            </w:r>
            <w:proofErr w:type="spellStart"/>
            <w:r w:rsidRPr="00DF4CE5">
              <w:rPr>
                <w:rFonts w:ascii="Cambria" w:hAnsi="Cambria" w:cs="Calibri"/>
                <w:lang w:val="it-IT"/>
              </w:rPr>
              <w:t>ideje</w:t>
            </w:r>
            <w:proofErr w:type="spellEnd"/>
            <w:r w:rsidRPr="00DF4CE5">
              <w:rPr>
                <w:rFonts w:ascii="Cambria" w:hAnsi="Cambria" w:cs="Calibri"/>
                <w:lang w:val="it-IT"/>
              </w:rPr>
              <w:t xml:space="preserve"> i </w:t>
            </w:r>
            <w:proofErr w:type="spellStart"/>
            <w:r w:rsidRPr="00DF4CE5">
              <w:rPr>
                <w:rFonts w:ascii="Cambria" w:hAnsi="Cambria" w:cs="Calibri"/>
                <w:lang w:val="it-IT"/>
              </w:rPr>
              <w:t>rezultate</w:t>
            </w:r>
            <w:proofErr w:type="spellEnd"/>
          </w:p>
        </w:tc>
      </w:tr>
      <w:tr w:rsidR="003B70E5" w:rsidRPr="00DF4CE5" w14:paraId="286AFEF6" w14:textId="77777777" w:rsidTr="00ED1945">
        <w:trPr>
          <w:trHeight w:val="391"/>
        </w:trPr>
        <w:tc>
          <w:tcPr>
            <w:tcW w:w="2346"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4BE505B2" w14:textId="77777777" w:rsidR="003B70E5" w:rsidRPr="00DF4CE5" w:rsidRDefault="003B70E5" w:rsidP="00891E8C">
            <w:pPr>
              <w:rPr>
                <w:rFonts w:ascii="Cambria" w:hAnsi="Cambria" w:cs="Calibri"/>
              </w:rPr>
            </w:pPr>
            <w:proofErr w:type="spellStart"/>
            <w:r w:rsidRPr="00DF4CE5">
              <w:rPr>
                <w:rFonts w:ascii="Cambria" w:hAnsi="Cambria" w:cs="Calibri"/>
              </w:rPr>
              <w:t>Sadržaj</w:t>
            </w:r>
            <w:proofErr w:type="spellEnd"/>
            <w:r w:rsidRPr="00DF4CE5">
              <w:rPr>
                <w:rFonts w:ascii="Cambria" w:hAnsi="Cambria" w:cs="Calibri"/>
              </w:rPr>
              <w:t xml:space="preserve"> </w:t>
            </w:r>
            <w:proofErr w:type="spellStart"/>
            <w:r w:rsidRPr="00DF4CE5">
              <w:rPr>
                <w:rFonts w:ascii="Cambria" w:hAnsi="Cambria" w:cs="Calibri"/>
              </w:rPr>
              <w:t>kolegija</w:t>
            </w:r>
            <w:proofErr w:type="spellEnd"/>
          </w:p>
        </w:tc>
        <w:tc>
          <w:tcPr>
            <w:tcW w:w="8147" w:type="dxa"/>
            <w:gridSpan w:val="6"/>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C185F99" w14:textId="77777777" w:rsidR="003B70E5" w:rsidRPr="00DF4CE5" w:rsidRDefault="003B70E5" w:rsidP="00A034E3">
            <w:pPr>
              <w:numPr>
                <w:ilvl w:val="0"/>
                <w:numId w:val="8"/>
              </w:numPr>
              <w:spacing w:after="0" w:line="240" w:lineRule="auto"/>
              <w:ind w:left="360"/>
              <w:rPr>
                <w:rFonts w:ascii="Cambria" w:eastAsia="SimSun" w:hAnsi="Cambria" w:cs="Calibri"/>
                <w:lang w:eastAsia="hr-HR"/>
              </w:rPr>
            </w:pPr>
            <w:proofErr w:type="spellStart"/>
            <w:r w:rsidRPr="00DF4CE5">
              <w:rPr>
                <w:rFonts w:ascii="Cambria" w:eastAsia="SimSun" w:hAnsi="Cambria" w:cs="Calibri"/>
                <w:lang w:eastAsia="hr-HR"/>
              </w:rPr>
              <w:t>Struktura</w:t>
            </w:r>
            <w:proofErr w:type="spellEnd"/>
            <w:r w:rsidRPr="00DF4CE5">
              <w:rPr>
                <w:rFonts w:ascii="Cambria" w:eastAsia="SimSun" w:hAnsi="Cambria" w:cs="Calibri"/>
                <w:lang w:eastAsia="hr-HR"/>
              </w:rPr>
              <w:t xml:space="preserve"> </w:t>
            </w:r>
            <w:proofErr w:type="spellStart"/>
            <w:r w:rsidRPr="00DF4CE5">
              <w:rPr>
                <w:rFonts w:ascii="Cambria" w:eastAsia="SimSun" w:hAnsi="Cambria" w:cs="Calibri"/>
                <w:lang w:eastAsia="hr-HR"/>
              </w:rPr>
              <w:t>matematike</w:t>
            </w:r>
            <w:proofErr w:type="spellEnd"/>
          </w:p>
          <w:p w14:paraId="3E183392" w14:textId="77777777" w:rsidR="003B70E5" w:rsidRPr="00DF4CE5" w:rsidRDefault="003B70E5" w:rsidP="00A034E3">
            <w:pPr>
              <w:numPr>
                <w:ilvl w:val="0"/>
                <w:numId w:val="8"/>
              </w:numPr>
              <w:spacing w:after="0" w:line="240" w:lineRule="auto"/>
              <w:ind w:left="360"/>
              <w:rPr>
                <w:rFonts w:ascii="Cambria" w:eastAsia="SimSun" w:hAnsi="Cambria" w:cs="Calibri"/>
                <w:lang w:eastAsia="hr-HR"/>
              </w:rPr>
            </w:pPr>
            <w:proofErr w:type="spellStart"/>
            <w:r w:rsidRPr="00DF4CE5">
              <w:rPr>
                <w:rFonts w:ascii="Cambria" w:eastAsia="SimSun" w:hAnsi="Cambria" w:cs="Calibri"/>
                <w:lang w:eastAsia="hr-HR"/>
              </w:rPr>
              <w:t>Osnove</w:t>
            </w:r>
            <w:proofErr w:type="spellEnd"/>
            <w:r w:rsidRPr="00DF4CE5">
              <w:rPr>
                <w:rFonts w:ascii="Cambria" w:eastAsia="SimSun" w:hAnsi="Cambria" w:cs="Calibri"/>
                <w:lang w:eastAsia="hr-HR"/>
              </w:rPr>
              <w:t xml:space="preserve"> </w:t>
            </w:r>
            <w:proofErr w:type="spellStart"/>
            <w:r w:rsidRPr="00DF4CE5">
              <w:rPr>
                <w:rFonts w:ascii="Cambria" w:eastAsia="SimSun" w:hAnsi="Cambria" w:cs="Calibri"/>
                <w:lang w:eastAsia="hr-HR"/>
              </w:rPr>
              <w:t>matematičke</w:t>
            </w:r>
            <w:proofErr w:type="spellEnd"/>
            <w:r w:rsidRPr="00DF4CE5">
              <w:rPr>
                <w:rFonts w:ascii="Cambria" w:eastAsia="SimSun" w:hAnsi="Cambria" w:cs="Calibri"/>
                <w:lang w:eastAsia="hr-HR"/>
              </w:rPr>
              <w:t xml:space="preserve"> </w:t>
            </w:r>
            <w:proofErr w:type="spellStart"/>
            <w:r w:rsidRPr="00DF4CE5">
              <w:rPr>
                <w:rFonts w:ascii="Cambria" w:eastAsia="SimSun" w:hAnsi="Cambria" w:cs="Calibri"/>
                <w:lang w:eastAsia="hr-HR"/>
              </w:rPr>
              <w:t>logike</w:t>
            </w:r>
            <w:proofErr w:type="spellEnd"/>
          </w:p>
          <w:p w14:paraId="417F2A5A" w14:textId="77777777" w:rsidR="003B70E5" w:rsidRPr="00DF4CE5" w:rsidRDefault="003B70E5" w:rsidP="00A034E3">
            <w:pPr>
              <w:numPr>
                <w:ilvl w:val="0"/>
                <w:numId w:val="8"/>
              </w:numPr>
              <w:spacing w:after="0" w:line="240" w:lineRule="auto"/>
              <w:ind w:left="360"/>
              <w:rPr>
                <w:rFonts w:ascii="Cambria" w:eastAsia="SimSun" w:hAnsi="Cambria" w:cs="Calibri"/>
                <w:lang w:eastAsia="hr-HR"/>
              </w:rPr>
            </w:pPr>
            <w:proofErr w:type="spellStart"/>
            <w:r w:rsidRPr="00DF4CE5">
              <w:rPr>
                <w:rFonts w:ascii="Cambria" w:eastAsia="SimSun" w:hAnsi="Cambria" w:cs="Calibri"/>
                <w:lang w:eastAsia="hr-HR"/>
              </w:rPr>
              <w:t>Skupovi</w:t>
            </w:r>
            <w:proofErr w:type="spellEnd"/>
          </w:p>
          <w:p w14:paraId="46888F05" w14:textId="77777777" w:rsidR="003B70E5" w:rsidRPr="00DF4CE5" w:rsidRDefault="003B70E5" w:rsidP="00A034E3">
            <w:pPr>
              <w:numPr>
                <w:ilvl w:val="0"/>
                <w:numId w:val="8"/>
              </w:numPr>
              <w:spacing w:after="0" w:line="240" w:lineRule="auto"/>
              <w:ind w:left="360"/>
              <w:rPr>
                <w:rFonts w:ascii="Cambria" w:eastAsia="SimSun" w:hAnsi="Cambria" w:cs="Calibri"/>
                <w:lang w:eastAsia="hr-HR"/>
              </w:rPr>
            </w:pPr>
            <w:proofErr w:type="spellStart"/>
            <w:r w:rsidRPr="00DF4CE5">
              <w:rPr>
                <w:rFonts w:ascii="Cambria" w:eastAsia="SimSun" w:hAnsi="Cambria" w:cs="Calibri"/>
                <w:lang w:eastAsia="hr-HR"/>
              </w:rPr>
              <w:t>Relacije</w:t>
            </w:r>
            <w:proofErr w:type="spellEnd"/>
          </w:p>
          <w:p w14:paraId="7FE381DD" w14:textId="77777777" w:rsidR="003B70E5" w:rsidRPr="00DF4CE5" w:rsidRDefault="003B70E5" w:rsidP="00A034E3">
            <w:pPr>
              <w:numPr>
                <w:ilvl w:val="0"/>
                <w:numId w:val="8"/>
              </w:numPr>
              <w:spacing w:after="0" w:line="240" w:lineRule="auto"/>
              <w:ind w:left="360"/>
              <w:rPr>
                <w:rFonts w:ascii="Cambria" w:hAnsi="Cambria" w:cs="Calibri"/>
              </w:rPr>
            </w:pPr>
            <w:proofErr w:type="spellStart"/>
            <w:r w:rsidRPr="00DF4CE5">
              <w:rPr>
                <w:rFonts w:ascii="Cambria" w:eastAsia="SimSun" w:hAnsi="Cambria" w:cs="Calibri"/>
                <w:lang w:eastAsia="hr-HR"/>
              </w:rPr>
              <w:t>Prirodni</w:t>
            </w:r>
            <w:proofErr w:type="spellEnd"/>
            <w:r w:rsidRPr="00DF4CE5">
              <w:rPr>
                <w:rFonts w:ascii="Cambria" w:eastAsia="SimSun" w:hAnsi="Cambria" w:cs="Calibri"/>
                <w:lang w:eastAsia="hr-HR"/>
              </w:rPr>
              <w:t xml:space="preserve"> </w:t>
            </w:r>
            <w:proofErr w:type="spellStart"/>
            <w:r w:rsidRPr="00DF4CE5">
              <w:rPr>
                <w:rFonts w:ascii="Cambria" w:eastAsia="SimSun" w:hAnsi="Cambria" w:cs="Calibri"/>
                <w:lang w:eastAsia="hr-HR"/>
              </w:rPr>
              <w:t>brojevi</w:t>
            </w:r>
            <w:proofErr w:type="spellEnd"/>
            <w:r w:rsidRPr="00DF4CE5">
              <w:rPr>
                <w:rFonts w:ascii="Cambria" w:eastAsia="SimSun" w:hAnsi="Cambria" w:cs="Calibri"/>
                <w:lang w:eastAsia="hr-HR"/>
              </w:rPr>
              <w:t xml:space="preserve">. </w:t>
            </w:r>
          </w:p>
          <w:p w14:paraId="55F9ED53" w14:textId="77777777" w:rsidR="003B70E5" w:rsidRPr="00DF4CE5" w:rsidRDefault="003B70E5" w:rsidP="00A034E3">
            <w:pPr>
              <w:numPr>
                <w:ilvl w:val="0"/>
                <w:numId w:val="8"/>
              </w:numPr>
              <w:spacing w:after="0" w:line="240" w:lineRule="auto"/>
              <w:ind w:left="360"/>
              <w:rPr>
                <w:rFonts w:ascii="Cambria" w:hAnsi="Cambria" w:cs="Calibri"/>
              </w:rPr>
            </w:pPr>
            <w:proofErr w:type="spellStart"/>
            <w:r w:rsidRPr="00DF4CE5">
              <w:rPr>
                <w:rFonts w:ascii="Cambria" w:eastAsia="SimSun" w:hAnsi="Cambria" w:cs="Calibri"/>
                <w:lang w:eastAsia="hr-HR"/>
              </w:rPr>
              <w:t>Djeljivost</w:t>
            </w:r>
            <w:proofErr w:type="spellEnd"/>
            <w:r w:rsidRPr="00DF4CE5">
              <w:rPr>
                <w:rFonts w:ascii="Cambria" w:eastAsia="SimSun" w:hAnsi="Cambria" w:cs="Calibri"/>
                <w:lang w:eastAsia="hr-HR"/>
              </w:rPr>
              <w:t xml:space="preserve"> </w:t>
            </w:r>
            <w:proofErr w:type="spellStart"/>
            <w:r w:rsidRPr="00DF4CE5">
              <w:rPr>
                <w:rFonts w:ascii="Cambria" w:eastAsia="SimSun" w:hAnsi="Cambria" w:cs="Calibri"/>
                <w:lang w:eastAsia="hr-HR"/>
              </w:rPr>
              <w:t>prirodnih</w:t>
            </w:r>
            <w:proofErr w:type="spellEnd"/>
            <w:r w:rsidRPr="00DF4CE5">
              <w:rPr>
                <w:rFonts w:ascii="Cambria" w:eastAsia="SimSun" w:hAnsi="Cambria" w:cs="Calibri"/>
                <w:lang w:eastAsia="hr-HR"/>
              </w:rPr>
              <w:t xml:space="preserve"> </w:t>
            </w:r>
            <w:proofErr w:type="spellStart"/>
            <w:r w:rsidRPr="00DF4CE5">
              <w:rPr>
                <w:rFonts w:ascii="Cambria" w:eastAsia="SimSun" w:hAnsi="Cambria" w:cs="Calibri"/>
                <w:lang w:eastAsia="hr-HR"/>
              </w:rPr>
              <w:t>brojeva</w:t>
            </w:r>
            <w:proofErr w:type="spellEnd"/>
          </w:p>
          <w:p w14:paraId="701274AC" w14:textId="77777777" w:rsidR="003B70E5" w:rsidRPr="00DF4CE5" w:rsidRDefault="003B70E5" w:rsidP="00A034E3">
            <w:pPr>
              <w:numPr>
                <w:ilvl w:val="0"/>
                <w:numId w:val="8"/>
              </w:numPr>
              <w:spacing w:after="0" w:line="240" w:lineRule="auto"/>
              <w:ind w:left="360"/>
              <w:rPr>
                <w:rFonts w:ascii="Cambria" w:hAnsi="Cambria" w:cs="Calibri"/>
              </w:rPr>
            </w:pPr>
            <w:r w:rsidRPr="00DF4CE5">
              <w:rPr>
                <w:rFonts w:ascii="Cambria" w:eastAsia="SimSun" w:hAnsi="Cambria" w:cs="Calibri"/>
                <w:lang w:eastAsia="hr-HR"/>
              </w:rPr>
              <w:t xml:space="preserve">Princip </w:t>
            </w:r>
            <w:proofErr w:type="spellStart"/>
            <w:r w:rsidRPr="00DF4CE5">
              <w:rPr>
                <w:rFonts w:ascii="Cambria" w:eastAsia="SimSun" w:hAnsi="Cambria" w:cs="Calibri"/>
                <w:lang w:eastAsia="hr-HR"/>
              </w:rPr>
              <w:t>matematičke</w:t>
            </w:r>
            <w:proofErr w:type="spellEnd"/>
            <w:r w:rsidRPr="00DF4CE5">
              <w:rPr>
                <w:rFonts w:ascii="Cambria" w:eastAsia="SimSun" w:hAnsi="Cambria" w:cs="Calibri"/>
                <w:lang w:eastAsia="hr-HR"/>
              </w:rPr>
              <w:t xml:space="preserve"> </w:t>
            </w:r>
            <w:proofErr w:type="spellStart"/>
            <w:r w:rsidRPr="00DF4CE5">
              <w:rPr>
                <w:rFonts w:ascii="Cambria" w:eastAsia="SimSun" w:hAnsi="Cambria" w:cs="Calibri"/>
                <w:lang w:eastAsia="hr-HR"/>
              </w:rPr>
              <w:t>indukcije</w:t>
            </w:r>
            <w:proofErr w:type="spellEnd"/>
          </w:p>
          <w:p w14:paraId="0F12DD6D" w14:textId="77777777" w:rsidR="003B70E5" w:rsidRPr="00DF4CE5" w:rsidRDefault="003B70E5" w:rsidP="00A034E3">
            <w:pPr>
              <w:numPr>
                <w:ilvl w:val="0"/>
                <w:numId w:val="8"/>
              </w:numPr>
              <w:spacing w:after="0" w:line="240" w:lineRule="auto"/>
              <w:ind w:left="360"/>
              <w:rPr>
                <w:rFonts w:ascii="Cambria" w:hAnsi="Cambria" w:cs="Calibri"/>
              </w:rPr>
            </w:pPr>
            <w:proofErr w:type="spellStart"/>
            <w:r w:rsidRPr="00DF4CE5">
              <w:rPr>
                <w:rFonts w:ascii="Cambria" w:hAnsi="Cambria" w:cs="Calibri"/>
              </w:rPr>
              <w:t>Cijeli</w:t>
            </w:r>
            <w:proofErr w:type="spellEnd"/>
            <w:r w:rsidRPr="00DF4CE5">
              <w:rPr>
                <w:rFonts w:ascii="Cambria" w:hAnsi="Cambria" w:cs="Calibri"/>
              </w:rPr>
              <w:t xml:space="preserve"> </w:t>
            </w:r>
            <w:proofErr w:type="spellStart"/>
            <w:r w:rsidRPr="00DF4CE5">
              <w:rPr>
                <w:rFonts w:ascii="Cambria" w:hAnsi="Cambria" w:cs="Calibri"/>
              </w:rPr>
              <w:t>brojevi</w:t>
            </w:r>
            <w:proofErr w:type="spellEnd"/>
          </w:p>
          <w:p w14:paraId="61C56AA6" w14:textId="77777777" w:rsidR="003B70E5" w:rsidRPr="00DF4CE5" w:rsidRDefault="003B70E5" w:rsidP="00A034E3">
            <w:pPr>
              <w:numPr>
                <w:ilvl w:val="0"/>
                <w:numId w:val="8"/>
              </w:numPr>
              <w:spacing w:after="0" w:line="240" w:lineRule="auto"/>
              <w:ind w:left="360"/>
              <w:rPr>
                <w:rFonts w:ascii="Cambria" w:hAnsi="Cambria" w:cs="Calibri"/>
              </w:rPr>
            </w:pPr>
            <w:proofErr w:type="spellStart"/>
            <w:r w:rsidRPr="00DF4CE5">
              <w:rPr>
                <w:rFonts w:ascii="Cambria" w:hAnsi="Cambria" w:cs="Calibri"/>
              </w:rPr>
              <w:t>Racionalni</w:t>
            </w:r>
            <w:proofErr w:type="spellEnd"/>
            <w:r w:rsidRPr="00DF4CE5">
              <w:rPr>
                <w:rFonts w:ascii="Cambria" w:hAnsi="Cambria" w:cs="Calibri"/>
              </w:rPr>
              <w:t xml:space="preserve"> </w:t>
            </w:r>
            <w:proofErr w:type="spellStart"/>
            <w:r w:rsidRPr="00DF4CE5">
              <w:rPr>
                <w:rFonts w:ascii="Cambria" w:hAnsi="Cambria" w:cs="Calibri"/>
              </w:rPr>
              <w:t>brojevi</w:t>
            </w:r>
            <w:proofErr w:type="spellEnd"/>
          </w:p>
          <w:p w14:paraId="6D994A27" w14:textId="77777777" w:rsidR="003B70E5" w:rsidRPr="00DF4CE5" w:rsidRDefault="003B70E5" w:rsidP="00A034E3">
            <w:pPr>
              <w:numPr>
                <w:ilvl w:val="0"/>
                <w:numId w:val="8"/>
              </w:numPr>
              <w:spacing w:after="0" w:line="240" w:lineRule="auto"/>
              <w:ind w:left="360"/>
              <w:rPr>
                <w:rFonts w:ascii="Cambria" w:hAnsi="Cambria" w:cs="Calibri"/>
              </w:rPr>
            </w:pPr>
            <w:proofErr w:type="spellStart"/>
            <w:r w:rsidRPr="00DF4CE5">
              <w:rPr>
                <w:rFonts w:ascii="Cambria" w:hAnsi="Cambria" w:cs="Calibri"/>
              </w:rPr>
              <w:t>Realni</w:t>
            </w:r>
            <w:proofErr w:type="spellEnd"/>
            <w:r w:rsidRPr="00DF4CE5">
              <w:rPr>
                <w:rFonts w:ascii="Cambria" w:hAnsi="Cambria" w:cs="Calibri"/>
              </w:rPr>
              <w:t xml:space="preserve"> </w:t>
            </w:r>
            <w:proofErr w:type="spellStart"/>
            <w:r w:rsidRPr="00DF4CE5">
              <w:rPr>
                <w:rFonts w:ascii="Cambria" w:hAnsi="Cambria" w:cs="Calibri"/>
              </w:rPr>
              <w:t>brojevi</w:t>
            </w:r>
            <w:proofErr w:type="spellEnd"/>
          </w:p>
          <w:p w14:paraId="2CBEB0EE" w14:textId="77777777" w:rsidR="003B70E5" w:rsidRPr="00DF4CE5" w:rsidRDefault="003B70E5" w:rsidP="00A034E3">
            <w:pPr>
              <w:numPr>
                <w:ilvl w:val="0"/>
                <w:numId w:val="8"/>
              </w:numPr>
              <w:spacing w:after="0" w:line="240" w:lineRule="auto"/>
              <w:ind w:left="360"/>
              <w:rPr>
                <w:rFonts w:ascii="Cambria" w:hAnsi="Cambria" w:cs="Calibri"/>
              </w:rPr>
            </w:pPr>
            <w:proofErr w:type="spellStart"/>
            <w:r w:rsidRPr="00DF4CE5">
              <w:rPr>
                <w:rFonts w:ascii="Cambria" w:hAnsi="Cambria" w:cs="Calibri"/>
              </w:rPr>
              <w:t>Omjeri</w:t>
            </w:r>
            <w:proofErr w:type="spellEnd"/>
            <w:r w:rsidRPr="00DF4CE5">
              <w:rPr>
                <w:rFonts w:ascii="Cambria" w:hAnsi="Cambria" w:cs="Calibri"/>
              </w:rPr>
              <w:t xml:space="preserve">, </w:t>
            </w:r>
            <w:proofErr w:type="spellStart"/>
            <w:r w:rsidRPr="00DF4CE5">
              <w:rPr>
                <w:rFonts w:ascii="Cambria" w:hAnsi="Cambria" w:cs="Calibri"/>
              </w:rPr>
              <w:t>razmjeri</w:t>
            </w:r>
            <w:proofErr w:type="spellEnd"/>
            <w:r w:rsidRPr="00DF4CE5">
              <w:rPr>
                <w:rFonts w:ascii="Cambria" w:hAnsi="Cambria" w:cs="Calibri"/>
              </w:rPr>
              <w:t xml:space="preserve">, </w:t>
            </w:r>
            <w:proofErr w:type="spellStart"/>
            <w:r w:rsidRPr="00DF4CE5">
              <w:rPr>
                <w:rFonts w:ascii="Cambria" w:hAnsi="Cambria" w:cs="Calibri"/>
              </w:rPr>
              <w:t>proporcionalnost</w:t>
            </w:r>
            <w:proofErr w:type="spellEnd"/>
          </w:p>
          <w:p w14:paraId="2A96708E" w14:textId="77777777" w:rsidR="003B70E5" w:rsidRPr="00DF4CE5" w:rsidRDefault="003B70E5" w:rsidP="00A034E3">
            <w:pPr>
              <w:numPr>
                <w:ilvl w:val="0"/>
                <w:numId w:val="8"/>
              </w:numPr>
              <w:spacing w:after="0" w:line="240" w:lineRule="auto"/>
              <w:ind w:left="360"/>
              <w:rPr>
                <w:rFonts w:ascii="Cambria" w:hAnsi="Cambria" w:cs="Calibri"/>
              </w:rPr>
            </w:pPr>
            <w:proofErr w:type="spellStart"/>
            <w:r w:rsidRPr="00DF4CE5">
              <w:rPr>
                <w:rFonts w:ascii="Cambria" w:hAnsi="Cambria" w:cs="Calibri"/>
              </w:rPr>
              <w:t>Linearne</w:t>
            </w:r>
            <w:proofErr w:type="spellEnd"/>
            <w:r w:rsidRPr="00DF4CE5">
              <w:rPr>
                <w:rFonts w:ascii="Cambria" w:hAnsi="Cambria" w:cs="Calibri"/>
              </w:rPr>
              <w:t xml:space="preserve"> </w:t>
            </w:r>
            <w:proofErr w:type="spellStart"/>
            <w:r w:rsidRPr="00DF4CE5">
              <w:rPr>
                <w:rFonts w:ascii="Cambria" w:hAnsi="Cambria" w:cs="Calibri"/>
              </w:rPr>
              <w:t>jednadžbe</w:t>
            </w:r>
            <w:proofErr w:type="spellEnd"/>
            <w:r w:rsidRPr="00DF4CE5">
              <w:rPr>
                <w:rFonts w:ascii="Cambria" w:hAnsi="Cambria" w:cs="Calibri"/>
              </w:rPr>
              <w:t xml:space="preserve"> s </w:t>
            </w:r>
            <w:proofErr w:type="spellStart"/>
            <w:r w:rsidRPr="00DF4CE5">
              <w:rPr>
                <w:rFonts w:ascii="Cambria" w:hAnsi="Cambria" w:cs="Calibri"/>
              </w:rPr>
              <w:t>jednom</w:t>
            </w:r>
            <w:proofErr w:type="spellEnd"/>
            <w:r w:rsidRPr="00DF4CE5">
              <w:rPr>
                <w:rFonts w:ascii="Cambria" w:hAnsi="Cambria" w:cs="Calibri"/>
              </w:rPr>
              <w:t xml:space="preserve"> </w:t>
            </w:r>
            <w:proofErr w:type="spellStart"/>
            <w:r w:rsidRPr="00DF4CE5">
              <w:rPr>
                <w:rFonts w:ascii="Cambria" w:hAnsi="Cambria" w:cs="Calibri"/>
              </w:rPr>
              <w:t>nepoznanicom</w:t>
            </w:r>
            <w:proofErr w:type="spellEnd"/>
          </w:p>
          <w:p w14:paraId="6868C61C" w14:textId="77777777" w:rsidR="003B70E5" w:rsidRPr="00DF4CE5" w:rsidRDefault="003B70E5" w:rsidP="00A034E3">
            <w:pPr>
              <w:numPr>
                <w:ilvl w:val="0"/>
                <w:numId w:val="8"/>
              </w:numPr>
              <w:spacing w:after="0" w:line="240" w:lineRule="auto"/>
              <w:ind w:left="360"/>
              <w:rPr>
                <w:rFonts w:ascii="Cambria" w:hAnsi="Cambria" w:cs="Calibri"/>
              </w:rPr>
            </w:pPr>
            <w:proofErr w:type="spellStart"/>
            <w:r w:rsidRPr="00DF4CE5">
              <w:rPr>
                <w:rFonts w:ascii="Cambria" w:hAnsi="Cambria" w:cs="Calibri"/>
              </w:rPr>
              <w:t>Sustavi</w:t>
            </w:r>
            <w:proofErr w:type="spellEnd"/>
            <w:r w:rsidRPr="00DF4CE5">
              <w:rPr>
                <w:rFonts w:ascii="Cambria" w:hAnsi="Cambria" w:cs="Calibri"/>
              </w:rPr>
              <w:t xml:space="preserve"> </w:t>
            </w:r>
            <w:proofErr w:type="spellStart"/>
            <w:r w:rsidRPr="00DF4CE5">
              <w:rPr>
                <w:rFonts w:ascii="Cambria" w:hAnsi="Cambria" w:cs="Calibri"/>
              </w:rPr>
              <w:t>dviju</w:t>
            </w:r>
            <w:proofErr w:type="spellEnd"/>
            <w:r w:rsidRPr="00DF4CE5">
              <w:rPr>
                <w:rFonts w:ascii="Cambria" w:hAnsi="Cambria" w:cs="Calibri"/>
              </w:rPr>
              <w:t xml:space="preserve"> </w:t>
            </w:r>
            <w:proofErr w:type="spellStart"/>
            <w:r w:rsidRPr="00DF4CE5">
              <w:rPr>
                <w:rFonts w:ascii="Cambria" w:hAnsi="Cambria" w:cs="Calibri"/>
              </w:rPr>
              <w:t>linearnih</w:t>
            </w:r>
            <w:proofErr w:type="spellEnd"/>
            <w:r w:rsidRPr="00DF4CE5">
              <w:rPr>
                <w:rFonts w:ascii="Cambria" w:hAnsi="Cambria" w:cs="Calibri"/>
              </w:rPr>
              <w:t xml:space="preserve"> </w:t>
            </w:r>
            <w:proofErr w:type="spellStart"/>
            <w:r w:rsidRPr="00DF4CE5">
              <w:rPr>
                <w:rFonts w:ascii="Cambria" w:hAnsi="Cambria" w:cs="Calibri"/>
              </w:rPr>
              <w:t>jednadžbi</w:t>
            </w:r>
            <w:proofErr w:type="spellEnd"/>
            <w:r w:rsidRPr="00DF4CE5">
              <w:rPr>
                <w:rFonts w:ascii="Cambria" w:hAnsi="Cambria" w:cs="Calibri"/>
              </w:rPr>
              <w:t xml:space="preserve"> s </w:t>
            </w:r>
            <w:proofErr w:type="spellStart"/>
            <w:r w:rsidRPr="00DF4CE5">
              <w:rPr>
                <w:rFonts w:ascii="Cambria" w:hAnsi="Cambria" w:cs="Calibri"/>
              </w:rPr>
              <w:t>dvije</w:t>
            </w:r>
            <w:proofErr w:type="spellEnd"/>
            <w:r w:rsidRPr="00DF4CE5">
              <w:rPr>
                <w:rFonts w:ascii="Cambria" w:hAnsi="Cambria" w:cs="Calibri"/>
              </w:rPr>
              <w:t xml:space="preserve"> </w:t>
            </w:r>
            <w:proofErr w:type="spellStart"/>
            <w:r w:rsidRPr="00DF4CE5">
              <w:rPr>
                <w:rFonts w:ascii="Cambria" w:hAnsi="Cambria" w:cs="Calibri"/>
              </w:rPr>
              <w:t>nepoznanice</w:t>
            </w:r>
            <w:proofErr w:type="spellEnd"/>
          </w:p>
          <w:p w14:paraId="168507CD" w14:textId="77777777" w:rsidR="003B70E5" w:rsidRPr="00DF4CE5" w:rsidRDefault="003B70E5" w:rsidP="00A034E3">
            <w:pPr>
              <w:numPr>
                <w:ilvl w:val="0"/>
                <w:numId w:val="8"/>
              </w:numPr>
              <w:spacing w:after="0" w:line="240" w:lineRule="auto"/>
              <w:ind w:left="360"/>
              <w:rPr>
                <w:rFonts w:ascii="Cambria" w:hAnsi="Cambria" w:cs="Calibri"/>
              </w:rPr>
            </w:pPr>
            <w:proofErr w:type="spellStart"/>
            <w:r w:rsidRPr="00DF4CE5">
              <w:rPr>
                <w:rFonts w:ascii="Cambria" w:hAnsi="Cambria" w:cs="Calibri"/>
              </w:rPr>
              <w:t>Kompleksni</w:t>
            </w:r>
            <w:proofErr w:type="spellEnd"/>
            <w:r w:rsidRPr="00DF4CE5">
              <w:rPr>
                <w:rFonts w:ascii="Cambria" w:hAnsi="Cambria" w:cs="Calibri"/>
              </w:rPr>
              <w:t xml:space="preserve"> </w:t>
            </w:r>
            <w:proofErr w:type="spellStart"/>
            <w:r w:rsidRPr="00DF4CE5">
              <w:rPr>
                <w:rFonts w:ascii="Cambria" w:hAnsi="Cambria" w:cs="Calibri"/>
              </w:rPr>
              <w:t>brojevi</w:t>
            </w:r>
            <w:proofErr w:type="spellEnd"/>
          </w:p>
          <w:p w14:paraId="0888FEF8" w14:textId="77777777" w:rsidR="003B70E5" w:rsidRPr="00DF4CE5" w:rsidRDefault="003B70E5" w:rsidP="00A034E3">
            <w:pPr>
              <w:pStyle w:val="Odlomakpopisa"/>
              <w:numPr>
                <w:ilvl w:val="0"/>
                <w:numId w:val="8"/>
              </w:numPr>
              <w:autoSpaceDE w:val="0"/>
              <w:autoSpaceDN w:val="0"/>
              <w:adjustRightInd w:val="0"/>
              <w:spacing w:line="240" w:lineRule="auto"/>
              <w:ind w:left="360"/>
              <w:rPr>
                <w:rFonts w:ascii="Cambria" w:hAnsi="Cambria" w:cs="Calibri"/>
              </w:rPr>
            </w:pPr>
            <w:r w:rsidRPr="00DF4CE5">
              <w:rPr>
                <w:rFonts w:ascii="Cambria" w:hAnsi="Cambria" w:cs="Calibri"/>
              </w:rPr>
              <w:t>Osnovni pojmovi o funkciji</w:t>
            </w:r>
          </w:p>
          <w:p w14:paraId="0AAA2C1D" w14:textId="77777777" w:rsidR="003B70E5" w:rsidRPr="00DF4CE5" w:rsidRDefault="003B70E5" w:rsidP="00A034E3">
            <w:pPr>
              <w:pStyle w:val="Odlomakpopisa"/>
              <w:numPr>
                <w:ilvl w:val="0"/>
                <w:numId w:val="8"/>
              </w:numPr>
              <w:autoSpaceDE w:val="0"/>
              <w:autoSpaceDN w:val="0"/>
              <w:adjustRightInd w:val="0"/>
              <w:spacing w:after="0" w:line="240" w:lineRule="auto"/>
              <w:ind w:left="360"/>
              <w:rPr>
                <w:rFonts w:ascii="Cambria" w:hAnsi="Cambria" w:cs="Calibri"/>
              </w:rPr>
            </w:pPr>
            <w:r w:rsidRPr="00DF4CE5">
              <w:rPr>
                <w:rFonts w:ascii="Cambria" w:hAnsi="Cambria" w:cs="Calibri"/>
              </w:rPr>
              <w:lastRenderedPageBreak/>
              <w:t xml:space="preserve">Svojstva funkcija </w:t>
            </w:r>
          </w:p>
          <w:p w14:paraId="3D6B1AF8" w14:textId="77777777" w:rsidR="003B70E5" w:rsidRPr="00DF4CE5" w:rsidRDefault="003B70E5" w:rsidP="00A034E3">
            <w:pPr>
              <w:pStyle w:val="Odlomakpopisa"/>
              <w:numPr>
                <w:ilvl w:val="0"/>
                <w:numId w:val="8"/>
              </w:numPr>
              <w:autoSpaceDE w:val="0"/>
              <w:autoSpaceDN w:val="0"/>
              <w:adjustRightInd w:val="0"/>
              <w:spacing w:after="0" w:line="240" w:lineRule="auto"/>
              <w:ind w:left="360"/>
              <w:rPr>
                <w:rFonts w:ascii="Cambria" w:hAnsi="Cambria" w:cs="Calibri"/>
              </w:rPr>
            </w:pPr>
            <w:r w:rsidRPr="00DF4CE5">
              <w:rPr>
                <w:rFonts w:ascii="Cambria" w:hAnsi="Cambria" w:cs="Calibri"/>
              </w:rPr>
              <w:t>Operacije s funkcijama</w:t>
            </w:r>
          </w:p>
          <w:p w14:paraId="50F66C0B" w14:textId="77777777" w:rsidR="003B70E5" w:rsidRPr="00DF4CE5" w:rsidRDefault="003B70E5" w:rsidP="00A034E3">
            <w:pPr>
              <w:pStyle w:val="Odlomakpopisa"/>
              <w:numPr>
                <w:ilvl w:val="0"/>
                <w:numId w:val="8"/>
              </w:numPr>
              <w:autoSpaceDE w:val="0"/>
              <w:autoSpaceDN w:val="0"/>
              <w:adjustRightInd w:val="0"/>
              <w:spacing w:after="0" w:line="240" w:lineRule="auto"/>
              <w:ind w:left="360"/>
              <w:rPr>
                <w:rFonts w:ascii="Cambria" w:hAnsi="Cambria" w:cs="Calibri"/>
              </w:rPr>
            </w:pPr>
            <w:r w:rsidRPr="00DF4CE5">
              <w:rPr>
                <w:rFonts w:ascii="Cambria" w:hAnsi="Cambria" w:cs="Calibri"/>
              </w:rPr>
              <w:t>Inverzna funkcija</w:t>
            </w:r>
          </w:p>
          <w:p w14:paraId="189BB492" w14:textId="77777777" w:rsidR="003B70E5" w:rsidRPr="00DF4CE5" w:rsidRDefault="003B70E5" w:rsidP="00A034E3">
            <w:pPr>
              <w:pStyle w:val="Odlomakpopisa"/>
              <w:numPr>
                <w:ilvl w:val="0"/>
                <w:numId w:val="8"/>
              </w:numPr>
              <w:autoSpaceDE w:val="0"/>
              <w:autoSpaceDN w:val="0"/>
              <w:adjustRightInd w:val="0"/>
              <w:spacing w:after="0" w:line="240" w:lineRule="auto"/>
              <w:ind w:left="360"/>
              <w:rPr>
                <w:rFonts w:ascii="Cambria" w:hAnsi="Cambria" w:cs="Calibri"/>
              </w:rPr>
            </w:pPr>
            <w:r w:rsidRPr="00DF4CE5">
              <w:rPr>
                <w:rFonts w:ascii="Cambria" w:hAnsi="Cambria" w:cs="Calibri"/>
              </w:rPr>
              <w:t xml:space="preserve">Realne funkcije realne varijable </w:t>
            </w:r>
          </w:p>
        </w:tc>
      </w:tr>
      <w:tr w:rsidR="003B70E5" w:rsidRPr="00DF4CE5" w14:paraId="10086B82" w14:textId="77777777" w:rsidTr="00ED1945">
        <w:tc>
          <w:tcPr>
            <w:tcW w:w="2346"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2BC3E681" w14:textId="77777777" w:rsidR="003B70E5" w:rsidRPr="00DF4CE5" w:rsidRDefault="003B70E5" w:rsidP="00CE1FD6">
            <w:pPr>
              <w:spacing w:after="0"/>
              <w:rPr>
                <w:rFonts w:ascii="Cambria" w:hAnsi="Cambria" w:cs="Calibri"/>
              </w:rPr>
            </w:pPr>
            <w:proofErr w:type="spellStart"/>
            <w:r w:rsidRPr="00DF4CE5">
              <w:rPr>
                <w:rFonts w:ascii="Cambria" w:hAnsi="Cambria" w:cs="Calibri"/>
              </w:rPr>
              <w:lastRenderedPageBreak/>
              <w:t>Planirane</w:t>
            </w:r>
            <w:proofErr w:type="spellEnd"/>
            <w:r w:rsidRPr="00DF4CE5">
              <w:rPr>
                <w:rFonts w:ascii="Cambria" w:hAnsi="Cambria" w:cs="Calibri"/>
              </w:rPr>
              <w:t xml:space="preserve"> </w:t>
            </w:r>
            <w:proofErr w:type="spellStart"/>
            <w:r w:rsidRPr="00DF4CE5">
              <w:rPr>
                <w:rFonts w:ascii="Cambria" w:hAnsi="Cambria" w:cs="Calibri"/>
              </w:rPr>
              <w:t>aktivnosti</w:t>
            </w:r>
            <w:proofErr w:type="spellEnd"/>
            <w:r w:rsidRPr="00DF4CE5">
              <w:rPr>
                <w:rFonts w:ascii="Cambria" w:hAnsi="Cambria" w:cs="Calibri"/>
                <w:lang w:val="it-IT"/>
              </w:rPr>
              <w:t>,</w:t>
            </w:r>
          </w:p>
          <w:p w14:paraId="156EB31D" w14:textId="77777777" w:rsidR="003B70E5" w:rsidRPr="00DF4CE5" w:rsidRDefault="003B70E5" w:rsidP="00CE1FD6">
            <w:pPr>
              <w:spacing w:after="0"/>
              <w:rPr>
                <w:rFonts w:ascii="Cambria" w:hAnsi="Cambria" w:cs="Calibri"/>
                <w:lang w:val="it-IT"/>
              </w:rPr>
            </w:pPr>
            <w:proofErr w:type="spellStart"/>
            <w:r w:rsidRPr="00DF4CE5">
              <w:rPr>
                <w:rFonts w:ascii="Cambria" w:hAnsi="Cambria" w:cs="Calibri"/>
                <w:lang w:val="it-IT"/>
              </w:rPr>
              <w:t>metode</w:t>
            </w:r>
            <w:proofErr w:type="spellEnd"/>
            <w:r w:rsidRPr="00DF4CE5">
              <w:rPr>
                <w:rFonts w:ascii="Cambria" w:hAnsi="Cambria" w:cs="Calibri"/>
                <w:lang w:val="it-IT"/>
              </w:rPr>
              <w:t xml:space="preserve"> </w:t>
            </w:r>
            <w:proofErr w:type="spellStart"/>
            <w:r w:rsidRPr="00DF4CE5">
              <w:rPr>
                <w:rFonts w:ascii="Cambria" w:hAnsi="Cambria" w:cs="Calibri"/>
                <w:lang w:val="it-IT"/>
              </w:rPr>
              <w:t>učenja</w:t>
            </w:r>
            <w:proofErr w:type="spellEnd"/>
            <w:r w:rsidRPr="00DF4CE5">
              <w:rPr>
                <w:rFonts w:ascii="Cambria" w:hAnsi="Cambria" w:cs="Calibri"/>
                <w:lang w:val="it-IT"/>
              </w:rPr>
              <w:t xml:space="preserve"> i </w:t>
            </w:r>
            <w:proofErr w:type="spellStart"/>
            <w:r w:rsidRPr="00DF4CE5">
              <w:rPr>
                <w:rFonts w:ascii="Cambria" w:hAnsi="Cambria" w:cs="Calibri"/>
                <w:lang w:val="it-IT"/>
              </w:rPr>
              <w:t>poučavanja</w:t>
            </w:r>
            <w:proofErr w:type="spellEnd"/>
            <w:r w:rsidRPr="00DF4CE5">
              <w:rPr>
                <w:rFonts w:ascii="Cambria" w:hAnsi="Cambria" w:cs="Calibri"/>
                <w:lang w:val="it-IT"/>
              </w:rPr>
              <w:t xml:space="preserve"> i </w:t>
            </w:r>
            <w:proofErr w:type="spellStart"/>
            <w:r w:rsidRPr="00DF4CE5">
              <w:rPr>
                <w:rFonts w:ascii="Cambria" w:hAnsi="Cambria" w:cs="Calibri"/>
                <w:lang w:val="it-IT"/>
              </w:rPr>
              <w:t>načini</w:t>
            </w:r>
            <w:proofErr w:type="spellEnd"/>
            <w:r w:rsidRPr="00DF4CE5">
              <w:rPr>
                <w:rFonts w:ascii="Cambria" w:hAnsi="Cambria" w:cs="Calibri"/>
                <w:lang w:val="it-IT"/>
              </w:rPr>
              <w:t xml:space="preserve"> </w:t>
            </w:r>
            <w:proofErr w:type="spellStart"/>
            <w:r w:rsidRPr="00DF4CE5">
              <w:rPr>
                <w:rFonts w:ascii="Cambria" w:hAnsi="Cambria" w:cs="Calibri"/>
                <w:lang w:val="it-IT"/>
              </w:rPr>
              <w:t>vrednovanja</w:t>
            </w:r>
            <w:proofErr w:type="spellEnd"/>
          </w:p>
          <w:p w14:paraId="52DA279E" w14:textId="77777777" w:rsidR="003B70E5" w:rsidRPr="00DF4CE5" w:rsidRDefault="003B70E5" w:rsidP="00CE1FD6">
            <w:pPr>
              <w:spacing w:after="0"/>
              <w:jc w:val="center"/>
              <w:rPr>
                <w:rFonts w:ascii="Cambria" w:hAnsi="Cambria" w:cs="Calibri"/>
                <w:lang w:val="it-IT"/>
              </w:rPr>
            </w:pPr>
          </w:p>
        </w:tc>
        <w:tc>
          <w:tcPr>
            <w:tcW w:w="331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62EA833" w14:textId="77777777" w:rsidR="003B70E5" w:rsidRPr="00DF4CE5" w:rsidRDefault="003B70E5" w:rsidP="00CE1FD6">
            <w:pPr>
              <w:spacing w:after="0"/>
              <w:rPr>
                <w:rFonts w:ascii="Cambria" w:hAnsi="Cambria" w:cs="Calibri"/>
              </w:rPr>
            </w:pPr>
            <w:proofErr w:type="spellStart"/>
            <w:r w:rsidRPr="00DF4CE5">
              <w:rPr>
                <w:rFonts w:ascii="Cambria" w:hAnsi="Cambria" w:cs="Calibri"/>
              </w:rPr>
              <w:t>Obaveze</w:t>
            </w:r>
            <w:proofErr w:type="spellEnd"/>
          </w:p>
        </w:tc>
        <w:tc>
          <w:tcPr>
            <w:tcW w:w="8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6F7712A" w14:textId="77777777" w:rsidR="003B70E5" w:rsidRPr="00DF4CE5" w:rsidRDefault="003B70E5" w:rsidP="00CE1FD6">
            <w:pPr>
              <w:spacing w:after="0"/>
              <w:jc w:val="center"/>
              <w:rPr>
                <w:rFonts w:ascii="Cambria" w:hAnsi="Cambria" w:cs="Calibri"/>
              </w:rPr>
            </w:pPr>
            <w:proofErr w:type="spellStart"/>
            <w:r w:rsidRPr="00DF4CE5">
              <w:rPr>
                <w:rFonts w:ascii="Cambria" w:hAnsi="Cambria" w:cs="Calibri"/>
              </w:rPr>
              <w:t>Ishodi</w:t>
            </w:r>
            <w:proofErr w:type="spellEnd"/>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BD1A6C" w14:textId="77777777" w:rsidR="003B70E5" w:rsidRPr="00DF4CE5" w:rsidRDefault="003B70E5" w:rsidP="00CE1FD6">
            <w:pPr>
              <w:spacing w:after="0"/>
              <w:jc w:val="center"/>
              <w:rPr>
                <w:rFonts w:ascii="Cambria" w:hAnsi="Cambria" w:cs="Calibri"/>
              </w:rPr>
            </w:pPr>
            <w:r w:rsidRPr="00DF4CE5">
              <w:rPr>
                <w:rFonts w:ascii="Cambria" w:hAnsi="Cambria" w:cs="Calibri"/>
              </w:rPr>
              <w:t>Sati</w:t>
            </w:r>
          </w:p>
        </w:tc>
        <w:tc>
          <w:tcPr>
            <w:tcW w:w="99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AAB639F" w14:textId="77777777" w:rsidR="003B70E5" w:rsidRPr="00DF4CE5" w:rsidRDefault="003B70E5" w:rsidP="00CE1FD6">
            <w:pPr>
              <w:spacing w:after="0"/>
              <w:jc w:val="center"/>
              <w:rPr>
                <w:rFonts w:ascii="Cambria" w:hAnsi="Cambria" w:cs="Calibri"/>
              </w:rPr>
            </w:pPr>
            <w:r w:rsidRPr="00DF4CE5">
              <w:rPr>
                <w:rFonts w:ascii="Cambria" w:hAnsi="Cambria" w:cs="Calibri"/>
              </w:rPr>
              <w:t>ECTS</w:t>
            </w:r>
          </w:p>
        </w:tc>
        <w:tc>
          <w:tcPr>
            <w:tcW w:w="199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C19A20E" w14:textId="77777777" w:rsidR="003B70E5" w:rsidRPr="00DF4CE5" w:rsidRDefault="003B70E5" w:rsidP="00CE1FD6">
            <w:pPr>
              <w:spacing w:after="0"/>
              <w:jc w:val="center"/>
              <w:rPr>
                <w:rFonts w:ascii="Cambria" w:hAnsi="Cambria" w:cs="Calibri"/>
              </w:rPr>
            </w:pPr>
            <w:proofErr w:type="spellStart"/>
            <w:r w:rsidRPr="00DF4CE5">
              <w:rPr>
                <w:rFonts w:ascii="Cambria" w:hAnsi="Cambria" w:cs="Calibri"/>
              </w:rPr>
              <w:t>Maksimalni</w:t>
            </w:r>
            <w:proofErr w:type="spellEnd"/>
          </w:p>
          <w:p w14:paraId="6E6ABE03" w14:textId="77777777" w:rsidR="003B70E5" w:rsidRPr="00DF4CE5" w:rsidRDefault="003B70E5" w:rsidP="00CE1FD6">
            <w:pPr>
              <w:spacing w:after="0"/>
              <w:jc w:val="center"/>
              <w:rPr>
                <w:rFonts w:ascii="Cambria" w:hAnsi="Cambria" w:cs="Calibri"/>
              </w:rPr>
            </w:pPr>
            <w:proofErr w:type="spellStart"/>
            <w:r w:rsidRPr="00DF4CE5">
              <w:rPr>
                <w:rFonts w:ascii="Cambria" w:hAnsi="Cambria" w:cs="Calibri"/>
              </w:rPr>
              <w:t>udio</w:t>
            </w:r>
            <w:proofErr w:type="spellEnd"/>
            <w:r w:rsidRPr="00DF4CE5">
              <w:rPr>
                <w:rFonts w:ascii="Cambria" w:hAnsi="Cambria" w:cs="Calibri"/>
              </w:rPr>
              <w:t xml:space="preserve"> u </w:t>
            </w:r>
            <w:proofErr w:type="spellStart"/>
            <w:r w:rsidRPr="00DF4CE5">
              <w:rPr>
                <w:rFonts w:ascii="Cambria" w:hAnsi="Cambria" w:cs="Calibri"/>
              </w:rPr>
              <w:t>ocjeni</w:t>
            </w:r>
            <w:proofErr w:type="spellEnd"/>
            <w:r w:rsidRPr="00DF4CE5">
              <w:rPr>
                <w:rFonts w:ascii="Cambria" w:hAnsi="Cambria" w:cs="Calibri"/>
              </w:rPr>
              <w:t xml:space="preserve"> (%)</w:t>
            </w:r>
          </w:p>
        </w:tc>
      </w:tr>
      <w:tr w:rsidR="003B70E5" w:rsidRPr="00DF4CE5" w14:paraId="7860BBDC" w14:textId="77777777" w:rsidTr="00ED1945">
        <w:tc>
          <w:tcPr>
            <w:tcW w:w="2346" w:type="dxa"/>
            <w:vMerge/>
            <w:tcBorders>
              <w:left w:val="single" w:sz="8" w:space="0" w:color="000000"/>
              <w:right w:val="single" w:sz="8" w:space="0" w:color="000000"/>
            </w:tcBorders>
            <w:vAlign w:val="center"/>
          </w:tcPr>
          <w:p w14:paraId="2E111BCA" w14:textId="77777777" w:rsidR="003B70E5" w:rsidRPr="00DF4CE5" w:rsidRDefault="003B70E5" w:rsidP="00CE1FD6">
            <w:pPr>
              <w:spacing w:after="0"/>
              <w:rPr>
                <w:rFonts w:ascii="Cambria" w:hAnsi="Cambria" w:cs="Calibri"/>
              </w:rPr>
            </w:pPr>
          </w:p>
        </w:tc>
        <w:tc>
          <w:tcPr>
            <w:tcW w:w="331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163EBBF" w14:textId="0E5686A5" w:rsidR="003B70E5" w:rsidRPr="00DF4CE5" w:rsidRDefault="003B70E5" w:rsidP="00CE1FD6">
            <w:pPr>
              <w:spacing w:after="0"/>
              <w:rPr>
                <w:rFonts w:ascii="Cambria" w:hAnsi="Cambria" w:cs="Calibri"/>
                <w:lang w:val="it-IT"/>
              </w:rPr>
            </w:pPr>
            <w:proofErr w:type="spellStart"/>
            <w:r w:rsidRPr="00DF4CE5">
              <w:rPr>
                <w:rFonts w:ascii="Cambria" w:hAnsi="Cambria" w:cs="Calibri"/>
                <w:lang w:val="it-IT"/>
              </w:rPr>
              <w:t>aktivnosti</w:t>
            </w:r>
            <w:proofErr w:type="spellEnd"/>
            <w:r w:rsidRPr="00DF4CE5">
              <w:rPr>
                <w:rFonts w:ascii="Cambria" w:hAnsi="Cambria" w:cs="Calibri"/>
                <w:lang w:val="it-IT"/>
              </w:rPr>
              <w:t xml:space="preserve"> u </w:t>
            </w:r>
            <w:proofErr w:type="spellStart"/>
            <w:r w:rsidRPr="00DF4CE5">
              <w:rPr>
                <w:rFonts w:ascii="Cambria" w:hAnsi="Cambria" w:cs="Calibri"/>
                <w:lang w:val="it-IT"/>
              </w:rPr>
              <w:t>nastavi</w:t>
            </w:r>
            <w:proofErr w:type="spellEnd"/>
            <w:r w:rsidR="00ED1945">
              <w:rPr>
                <w:rFonts w:ascii="Cambria" w:hAnsi="Cambria" w:cs="Calibri"/>
                <w:lang w:val="it-IT"/>
              </w:rPr>
              <w:t xml:space="preserve"> </w:t>
            </w:r>
            <w:r w:rsidRPr="00DF4CE5">
              <w:rPr>
                <w:rFonts w:ascii="Cambria" w:hAnsi="Cambria" w:cs="Calibri"/>
                <w:lang w:val="it-IT"/>
              </w:rPr>
              <w:t>(</w:t>
            </w:r>
            <w:proofErr w:type="gramStart"/>
            <w:r w:rsidRPr="00DF4CE5">
              <w:rPr>
                <w:rFonts w:ascii="Cambria" w:hAnsi="Cambria" w:cs="Calibri"/>
                <w:lang w:val="it-IT"/>
              </w:rPr>
              <w:t>P,V</w:t>
            </w:r>
            <w:proofErr w:type="gramEnd"/>
            <w:r w:rsidRPr="00DF4CE5">
              <w:rPr>
                <w:rFonts w:ascii="Cambria" w:hAnsi="Cambria" w:cs="Calibri"/>
                <w:lang w:val="it-IT"/>
              </w:rPr>
              <w:t>)</w:t>
            </w:r>
          </w:p>
        </w:tc>
        <w:tc>
          <w:tcPr>
            <w:tcW w:w="8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157F6A5" w14:textId="3678181E" w:rsidR="003B70E5" w:rsidRPr="00DF4CE5" w:rsidRDefault="003B70E5" w:rsidP="00CE1FD6">
            <w:pPr>
              <w:spacing w:after="0"/>
              <w:jc w:val="center"/>
              <w:rPr>
                <w:rFonts w:ascii="Cambria" w:hAnsi="Cambria" w:cs="Calibri"/>
              </w:rPr>
            </w:pPr>
            <w:r w:rsidRPr="00DF4CE5">
              <w:rPr>
                <w:rFonts w:ascii="Cambria" w:hAnsi="Cambria" w:cs="Calibri"/>
              </w:rPr>
              <w:t xml:space="preserve">1. </w:t>
            </w:r>
            <w:r w:rsidR="00ED1945">
              <w:rPr>
                <w:rFonts w:ascii="Cambria" w:hAnsi="Cambria" w:cs="Calibri"/>
              </w:rPr>
              <w:t xml:space="preserve">– </w:t>
            </w:r>
            <w:r w:rsidRPr="00DF4CE5">
              <w:rPr>
                <w:rFonts w:ascii="Cambria" w:hAnsi="Cambria" w:cs="Calibri"/>
              </w:rPr>
              <w:t>5.</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69E063D" w14:textId="714D8930" w:rsidR="003B70E5" w:rsidRPr="00DF4CE5" w:rsidRDefault="00ED1945" w:rsidP="00CE1FD6">
            <w:pPr>
              <w:spacing w:after="0"/>
              <w:jc w:val="center"/>
              <w:rPr>
                <w:rFonts w:ascii="Cambria" w:hAnsi="Cambria" w:cs="Calibri"/>
              </w:rPr>
            </w:pPr>
            <w:r w:rsidRPr="00ED1945">
              <w:rPr>
                <w:rFonts w:ascii="Cambria" w:hAnsi="Cambria" w:cs="Calibri"/>
              </w:rPr>
              <w:t>45</w:t>
            </w:r>
          </w:p>
        </w:tc>
        <w:tc>
          <w:tcPr>
            <w:tcW w:w="99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7621405" w14:textId="64D1AA59" w:rsidR="003B70E5" w:rsidRPr="00DF4CE5" w:rsidRDefault="00ED1945" w:rsidP="00CE1FD6">
            <w:pPr>
              <w:spacing w:after="0"/>
              <w:jc w:val="center"/>
              <w:rPr>
                <w:rFonts w:ascii="Cambria" w:hAnsi="Cambria" w:cs="Calibri"/>
              </w:rPr>
            </w:pPr>
            <w:r>
              <w:rPr>
                <w:rFonts w:ascii="Cambria" w:hAnsi="Cambria" w:cs="Calibri"/>
              </w:rPr>
              <w:t>1,5</w:t>
            </w:r>
          </w:p>
        </w:tc>
        <w:tc>
          <w:tcPr>
            <w:tcW w:w="199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8A6F70F" w14:textId="77777777" w:rsidR="003B70E5" w:rsidRPr="00DF4CE5" w:rsidRDefault="003B70E5" w:rsidP="00CE1FD6">
            <w:pPr>
              <w:spacing w:after="0"/>
              <w:jc w:val="center"/>
              <w:rPr>
                <w:rFonts w:ascii="Cambria" w:hAnsi="Cambria" w:cs="Calibri"/>
              </w:rPr>
            </w:pPr>
            <w:r w:rsidRPr="00DF4CE5">
              <w:rPr>
                <w:rFonts w:ascii="Cambria" w:hAnsi="Cambria" w:cs="Calibri"/>
              </w:rPr>
              <w:t>10%</w:t>
            </w:r>
          </w:p>
        </w:tc>
      </w:tr>
      <w:tr w:rsidR="003B70E5" w:rsidRPr="00DF4CE5" w14:paraId="046E388C" w14:textId="77777777" w:rsidTr="00ED1945">
        <w:tc>
          <w:tcPr>
            <w:tcW w:w="2346" w:type="dxa"/>
            <w:vMerge/>
            <w:tcBorders>
              <w:left w:val="single" w:sz="8" w:space="0" w:color="000000"/>
              <w:right w:val="single" w:sz="8" w:space="0" w:color="000000"/>
            </w:tcBorders>
            <w:vAlign w:val="center"/>
          </w:tcPr>
          <w:p w14:paraId="3213D6B7" w14:textId="77777777" w:rsidR="003B70E5" w:rsidRPr="00DF4CE5" w:rsidRDefault="003B70E5" w:rsidP="00CE1FD6">
            <w:pPr>
              <w:spacing w:after="0"/>
              <w:rPr>
                <w:rFonts w:ascii="Cambria" w:hAnsi="Cambria" w:cs="Calibri"/>
              </w:rPr>
            </w:pPr>
          </w:p>
        </w:tc>
        <w:tc>
          <w:tcPr>
            <w:tcW w:w="331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E21049F" w14:textId="77777777" w:rsidR="003B70E5" w:rsidRPr="00DF4CE5" w:rsidRDefault="003B70E5" w:rsidP="00CE1FD6">
            <w:pPr>
              <w:spacing w:after="0"/>
              <w:rPr>
                <w:rFonts w:ascii="Cambria" w:hAnsi="Cambria" w:cs="Calibri"/>
                <w:lang w:val="it-IT"/>
              </w:rPr>
            </w:pPr>
            <w:proofErr w:type="spellStart"/>
            <w:r w:rsidRPr="00DF4CE5">
              <w:rPr>
                <w:rFonts w:ascii="Cambria" w:hAnsi="Cambria" w:cs="Calibri"/>
                <w:lang w:val="it-IT"/>
              </w:rPr>
              <w:t>pismeni</w:t>
            </w:r>
            <w:proofErr w:type="spellEnd"/>
            <w:r w:rsidRPr="00DF4CE5">
              <w:rPr>
                <w:rFonts w:ascii="Cambria" w:hAnsi="Cambria" w:cs="Calibri"/>
                <w:lang w:val="it-IT"/>
              </w:rPr>
              <w:t xml:space="preserve"> </w:t>
            </w:r>
            <w:proofErr w:type="spellStart"/>
            <w:proofErr w:type="gramStart"/>
            <w:r w:rsidRPr="00DF4CE5">
              <w:rPr>
                <w:rFonts w:ascii="Cambria" w:hAnsi="Cambria" w:cs="Calibri"/>
                <w:lang w:val="it-IT"/>
              </w:rPr>
              <w:t>ispit</w:t>
            </w:r>
            <w:proofErr w:type="spellEnd"/>
            <w:r w:rsidRPr="00DF4CE5">
              <w:rPr>
                <w:rFonts w:ascii="Cambria" w:hAnsi="Cambria" w:cs="Calibri"/>
                <w:lang w:val="it-IT"/>
              </w:rPr>
              <w:t xml:space="preserve">  ili</w:t>
            </w:r>
            <w:proofErr w:type="gramEnd"/>
            <w:r w:rsidRPr="00DF4CE5">
              <w:rPr>
                <w:rFonts w:ascii="Cambria" w:hAnsi="Cambria" w:cs="Calibri"/>
                <w:lang w:val="it-IT"/>
              </w:rPr>
              <w:t xml:space="preserve"> </w:t>
            </w:r>
            <w:proofErr w:type="spellStart"/>
            <w:r w:rsidRPr="00DF4CE5">
              <w:rPr>
                <w:rFonts w:ascii="Cambria" w:hAnsi="Cambria" w:cs="Calibri"/>
                <w:lang w:val="it-IT"/>
              </w:rPr>
              <w:t>dva</w:t>
            </w:r>
            <w:proofErr w:type="spellEnd"/>
            <w:r w:rsidRPr="00DF4CE5">
              <w:rPr>
                <w:rFonts w:ascii="Cambria" w:hAnsi="Cambria" w:cs="Calibri"/>
                <w:lang w:val="it-IT"/>
              </w:rPr>
              <w:t xml:space="preserve"> </w:t>
            </w:r>
            <w:proofErr w:type="spellStart"/>
            <w:r w:rsidRPr="00DF4CE5">
              <w:rPr>
                <w:rFonts w:ascii="Cambria" w:hAnsi="Cambria" w:cs="Calibri"/>
                <w:lang w:val="it-IT"/>
              </w:rPr>
              <w:t>kolokvija</w:t>
            </w:r>
            <w:proofErr w:type="spellEnd"/>
            <w:r w:rsidRPr="00DF4CE5">
              <w:rPr>
                <w:rFonts w:ascii="Cambria" w:hAnsi="Cambria" w:cs="Calibri"/>
                <w:lang w:val="it-IT"/>
              </w:rPr>
              <w:t xml:space="preserve">  </w:t>
            </w:r>
          </w:p>
        </w:tc>
        <w:tc>
          <w:tcPr>
            <w:tcW w:w="8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3BB0EF2" w14:textId="7A1E3C9B" w:rsidR="003B70E5" w:rsidRPr="00DF4CE5" w:rsidRDefault="00ED1945" w:rsidP="00CE1FD6">
            <w:pPr>
              <w:spacing w:after="0"/>
              <w:jc w:val="center"/>
              <w:rPr>
                <w:rFonts w:ascii="Cambria" w:hAnsi="Cambria" w:cs="Calibri"/>
              </w:rPr>
            </w:pPr>
            <w:r w:rsidRPr="00DF4CE5">
              <w:rPr>
                <w:rFonts w:ascii="Cambria" w:hAnsi="Cambria" w:cs="Calibri"/>
              </w:rPr>
              <w:t xml:space="preserve">1. </w:t>
            </w:r>
            <w:r>
              <w:rPr>
                <w:rFonts w:ascii="Cambria" w:hAnsi="Cambria" w:cs="Calibri"/>
              </w:rPr>
              <w:t xml:space="preserve">– </w:t>
            </w:r>
            <w:r w:rsidRPr="00DF4CE5">
              <w:rPr>
                <w:rFonts w:ascii="Cambria" w:hAnsi="Cambria" w:cs="Calibri"/>
              </w:rPr>
              <w:t>5.</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A3922D3" w14:textId="73D291F6" w:rsidR="003B70E5" w:rsidRPr="00DF4CE5" w:rsidRDefault="00ED1945" w:rsidP="00CE1FD6">
            <w:pPr>
              <w:spacing w:after="0"/>
              <w:jc w:val="center"/>
              <w:rPr>
                <w:rFonts w:ascii="Cambria" w:hAnsi="Cambria" w:cs="Calibri"/>
              </w:rPr>
            </w:pPr>
            <w:r>
              <w:rPr>
                <w:rFonts w:ascii="Cambria" w:hAnsi="Cambria" w:cs="Calibri"/>
              </w:rPr>
              <w:t>60</w:t>
            </w:r>
          </w:p>
        </w:tc>
        <w:tc>
          <w:tcPr>
            <w:tcW w:w="99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CF9A203" w14:textId="2582F259" w:rsidR="003B70E5" w:rsidRPr="00DF4CE5" w:rsidRDefault="00ED1945" w:rsidP="00CE1FD6">
            <w:pPr>
              <w:spacing w:after="0"/>
              <w:jc w:val="center"/>
              <w:rPr>
                <w:rFonts w:ascii="Cambria" w:hAnsi="Cambria" w:cs="Calibri"/>
              </w:rPr>
            </w:pPr>
            <w:r>
              <w:rPr>
                <w:rFonts w:ascii="Cambria" w:hAnsi="Cambria" w:cs="Calibri"/>
              </w:rPr>
              <w:t>2</w:t>
            </w:r>
          </w:p>
        </w:tc>
        <w:tc>
          <w:tcPr>
            <w:tcW w:w="199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FC9311F" w14:textId="77777777" w:rsidR="003B70E5" w:rsidRPr="00DF4CE5" w:rsidRDefault="003B70E5" w:rsidP="00CE1FD6">
            <w:pPr>
              <w:spacing w:after="0"/>
              <w:jc w:val="center"/>
              <w:rPr>
                <w:rFonts w:ascii="Cambria" w:hAnsi="Cambria" w:cs="Calibri"/>
              </w:rPr>
            </w:pPr>
            <w:r w:rsidRPr="00DF4CE5">
              <w:rPr>
                <w:rFonts w:ascii="Cambria" w:hAnsi="Cambria" w:cs="Calibri"/>
              </w:rPr>
              <w:t>40%</w:t>
            </w:r>
          </w:p>
        </w:tc>
      </w:tr>
      <w:tr w:rsidR="003B70E5" w:rsidRPr="00DF4CE5" w14:paraId="707D249B" w14:textId="77777777" w:rsidTr="00ED1945">
        <w:tc>
          <w:tcPr>
            <w:tcW w:w="2346" w:type="dxa"/>
            <w:vMerge/>
            <w:tcBorders>
              <w:left w:val="single" w:sz="8" w:space="0" w:color="000000"/>
              <w:right w:val="single" w:sz="8" w:space="0" w:color="000000"/>
            </w:tcBorders>
            <w:vAlign w:val="center"/>
          </w:tcPr>
          <w:p w14:paraId="137C14E0" w14:textId="77777777" w:rsidR="003B70E5" w:rsidRPr="00DF4CE5" w:rsidRDefault="003B70E5" w:rsidP="00CE1FD6">
            <w:pPr>
              <w:spacing w:after="0"/>
              <w:rPr>
                <w:rFonts w:ascii="Cambria" w:hAnsi="Cambria" w:cs="Calibri"/>
              </w:rPr>
            </w:pPr>
          </w:p>
        </w:tc>
        <w:tc>
          <w:tcPr>
            <w:tcW w:w="331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A3989D4" w14:textId="77777777" w:rsidR="003B70E5" w:rsidRPr="00DF4CE5" w:rsidRDefault="003B70E5" w:rsidP="00CE1FD6">
            <w:pPr>
              <w:spacing w:after="0"/>
              <w:rPr>
                <w:rFonts w:ascii="Cambria" w:hAnsi="Cambria" w:cs="Calibri"/>
              </w:rPr>
            </w:pPr>
            <w:proofErr w:type="spellStart"/>
            <w:r w:rsidRPr="00DF4CE5">
              <w:rPr>
                <w:rFonts w:ascii="Cambria" w:hAnsi="Cambria" w:cs="Calibri"/>
              </w:rPr>
              <w:t>usmeni</w:t>
            </w:r>
            <w:proofErr w:type="spellEnd"/>
            <w:r w:rsidRPr="00DF4CE5">
              <w:rPr>
                <w:rFonts w:ascii="Cambria" w:hAnsi="Cambria" w:cs="Calibri"/>
              </w:rPr>
              <w:t xml:space="preserve"> </w:t>
            </w:r>
            <w:proofErr w:type="spellStart"/>
            <w:r w:rsidRPr="00DF4CE5">
              <w:rPr>
                <w:rFonts w:ascii="Cambria" w:hAnsi="Cambria" w:cs="Calibri"/>
              </w:rPr>
              <w:t>ispit</w:t>
            </w:r>
            <w:proofErr w:type="spellEnd"/>
          </w:p>
        </w:tc>
        <w:tc>
          <w:tcPr>
            <w:tcW w:w="8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C694330" w14:textId="50AF38BF" w:rsidR="003B70E5" w:rsidRPr="00DF4CE5" w:rsidRDefault="00ED1945" w:rsidP="00CE1FD6">
            <w:pPr>
              <w:spacing w:after="0"/>
              <w:jc w:val="center"/>
              <w:rPr>
                <w:rFonts w:ascii="Cambria" w:hAnsi="Cambria" w:cs="Calibri"/>
              </w:rPr>
            </w:pPr>
            <w:r w:rsidRPr="00DF4CE5">
              <w:rPr>
                <w:rFonts w:ascii="Cambria" w:hAnsi="Cambria" w:cs="Calibri"/>
              </w:rPr>
              <w:t xml:space="preserve">1. </w:t>
            </w:r>
            <w:r>
              <w:rPr>
                <w:rFonts w:ascii="Cambria" w:hAnsi="Cambria" w:cs="Calibri"/>
              </w:rPr>
              <w:t xml:space="preserve">– </w:t>
            </w:r>
            <w:r w:rsidRPr="00DF4CE5">
              <w:rPr>
                <w:rFonts w:ascii="Cambria" w:hAnsi="Cambria" w:cs="Calibri"/>
              </w:rPr>
              <w:t>5.</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D43529D" w14:textId="77777777" w:rsidR="003B70E5" w:rsidRPr="00DF4CE5" w:rsidRDefault="003B70E5" w:rsidP="00CE1FD6">
            <w:pPr>
              <w:spacing w:after="0"/>
              <w:jc w:val="center"/>
              <w:rPr>
                <w:rFonts w:ascii="Cambria" w:hAnsi="Cambria" w:cs="Calibri"/>
              </w:rPr>
            </w:pPr>
            <w:r w:rsidRPr="00DF4CE5">
              <w:rPr>
                <w:rFonts w:ascii="Cambria" w:hAnsi="Cambria" w:cs="Calibri"/>
              </w:rPr>
              <w:t>45</w:t>
            </w:r>
          </w:p>
        </w:tc>
        <w:tc>
          <w:tcPr>
            <w:tcW w:w="99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AC54A7E" w14:textId="77777777" w:rsidR="003B70E5" w:rsidRPr="00DF4CE5" w:rsidRDefault="003B70E5" w:rsidP="00CE1FD6">
            <w:pPr>
              <w:spacing w:after="0"/>
              <w:jc w:val="center"/>
              <w:rPr>
                <w:rFonts w:ascii="Cambria" w:hAnsi="Cambria" w:cs="Calibri"/>
              </w:rPr>
            </w:pPr>
            <w:r w:rsidRPr="00DF4CE5">
              <w:rPr>
                <w:rFonts w:ascii="Cambria" w:hAnsi="Cambria" w:cs="Calibri"/>
              </w:rPr>
              <w:t>1,5</w:t>
            </w:r>
          </w:p>
        </w:tc>
        <w:tc>
          <w:tcPr>
            <w:tcW w:w="199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DC7AE78" w14:textId="77777777" w:rsidR="003B70E5" w:rsidRPr="00DF4CE5" w:rsidRDefault="003B70E5" w:rsidP="00CE1FD6">
            <w:pPr>
              <w:spacing w:after="0"/>
              <w:jc w:val="center"/>
              <w:rPr>
                <w:rFonts w:ascii="Cambria" w:hAnsi="Cambria" w:cs="Calibri"/>
              </w:rPr>
            </w:pPr>
            <w:r w:rsidRPr="00DF4CE5">
              <w:rPr>
                <w:rFonts w:ascii="Cambria" w:hAnsi="Cambria" w:cs="Calibri"/>
              </w:rPr>
              <w:t>50%</w:t>
            </w:r>
          </w:p>
        </w:tc>
      </w:tr>
      <w:tr w:rsidR="003B70E5" w:rsidRPr="00DF4CE5" w14:paraId="0041A443" w14:textId="77777777" w:rsidTr="00ED1945">
        <w:tc>
          <w:tcPr>
            <w:tcW w:w="2346" w:type="dxa"/>
            <w:vMerge/>
            <w:tcBorders>
              <w:left w:val="single" w:sz="8" w:space="0" w:color="000000"/>
              <w:right w:val="single" w:sz="8" w:space="0" w:color="000000"/>
            </w:tcBorders>
            <w:vAlign w:val="center"/>
          </w:tcPr>
          <w:p w14:paraId="0BF2479F" w14:textId="77777777" w:rsidR="003B70E5" w:rsidRPr="00DF4CE5" w:rsidRDefault="003B70E5" w:rsidP="00CE1FD6">
            <w:pPr>
              <w:spacing w:after="0"/>
              <w:rPr>
                <w:rFonts w:ascii="Cambria" w:hAnsi="Cambria" w:cs="Calibri"/>
              </w:rPr>
            </w:pPr>
          </w:p>
        </w:tc>
        <w:tc>
          <w:tcPr>
            <w:tcW w:w="416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8B2553C" w14:textId="77777777" w:rsidR="003B70E5" w:rsidRPr="00DF4CE5" w:rsidRDefault="003B70E5" w:rsidP="00CE1FD6">
            <w:pPr>
              <w:spacing w:after="0"/>
              <w:rPr>
                <w:rFonts w:ascii="Cambria" w:hAnsi="Cambria" w:cs="Calibri"/>
              </w:rPr>
            </w:pPr>
            <w:proofErr w:type="spellStart"/>
            <w:r w:rsidRPr="00DF4CE5">
              <w:rPr>
                <w:rFonts w:ascii="Cambria" w:hAnsi="Cambria" w:cs="Calibri"/>
              </w:rPr>
              <w:t>ukupno</w:t>
            </w:r>
            <w:proofErr w:type="spellEnd"/>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C7CBAA9" w14:textId="77777777" w:rsidR="003B70E5" w:rsidRPr="00DF4CE5" w:rsidRDefault="003B70E5" w:rsidP="00CE1FD6">
            <w:pPr>
              <w:spacing w:after="0"/>
              <w:jc w:val="center"/>
              <w:rPr>
                <w:rFonts w:ascii="Cambria" w:hAnsi="Cambria" w:cs="Calibri"/>
              </w:rPr>
            </w:pPr>
            <w:r w:rsidRPr="00DF4CE5">
              <w:rPr>
                <w:rFonts w:ascii="Cambria" w:hAnsi="Cambria" w:cs="Calibri"/>
              </w:rPr>
              <w:t>150</w:t>
            </w:r>
          </w:p>
        </w:tc>
        <w:tc>
          <w:tcPr>
            <w:tcW w:w="99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811B364" w14:textId="77777777" w:rsidR="003B70E5" w:rsidRPr="00DF4CE5" w:rsidRDefault="003B70E5" w:rsidP="00CE1FD6">
            <w:pPr>
              <w:spacing w:after="0"/>
              <w:jc w:val="center"/>
              <w:rPr>
                <w:rFonts w:ascii="Cambria" w:hAnsi="Cambria" w:cs="Calibri"/>
              </w:rPr>
            </w:pPr>
            <w:r w:rsidRPr="00DF4CE5">
              <w:rPr>
                <w:rFonts w:ascii="Cambria" w:hAnsi="Cambria" w:cs="Calibri"/>
              </w:rPr>
              <w:t>5</w:t>
            </w:r>
          </w:p>
        </w:tc>
        <w:tc>
          <w:tcPr>
            <w:tcW w:w="199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A1C06E7" w14:textId="77777777" w:rsidR="003B70E5" w:rsidRPr="00DF4CE5" w:rsidRDefault="003B70E5" w:rsidP="00CE1FD6">
            <w:pPr>
              <w:spacing w:after="0"/>
              <w:jc w:val="center"/>
              <w:rPr>
                <w:rFonts w:ascii="Cambria" w:hAnsi="Cambria" w:cs="Calibri"/>
              </w:rPr>
            </w:pPr>
            <w:r w:rsidRPr="00DF4CE5">
              <w:rPr>
                <w:rFonts w:ascii="Cambria" w:hAnsi="Cambria" w:cs="Calibri"/>
              </w:rPr>
              <w:t>100%</w:t>
            </w:r>
          </w:p>
        </w:tc>
      </w:tr>
      <w:tr w:rsidR="003B70E5" w:rsidRPr="00DF4CE5" w14:paraId="68E658B4" w14:textId="77777777" w:rsidTr="00ED1945">
        <w:tc>
          <w:tcPr>
            <w:tcW w:w="2346" w:type="dxa"/>
            <w:vMerge/>
            <w:tcBorders>
              <w:left w:val="single" w:sz="8" w:space="0" w:color="000000"/>
              <w:bottom w:val="single" w:sz="8" w:space="0" w:color="000000"/>
              <w:right w:val="single" w:sz="8" w:space="0" w:color="000000"/>
            </w:tcBorders>
            <w:vAlign w:val="center"/>
          </w:tcPr>
          <w:p w14:paraId="714757BB" w14:textId="77777777" w:rsidR="003B70E5" w:rsidRPr="00DF4CE5" w:rsidRDefault="003B70E5" w:rsidP="00CE1FD6">
            <w:pPr>
              <w:spacing w:after="0"/>
              <w:rPr>
                <w:rFonts w:ascii="Cambria" w:hAnsi="Cambria" w:cs="Calibri"/>
              </w:rPr>
            </w:pPr>
          </w:p>
        </w:tc>
        <w:tc>
          <w:tcPr>
            <w:tcW w:w="8147" w:type="dxa"/>
            <w:gridSpan w:val="6"/>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8FDA662" w14:textId="77777777" w:rsidR="003B70E5" w:rsidRPr="00DF4CE5" w:rsidRDefault="003B70E5" w:rsidP="00CE1FD6">
            <w:pPr>
              <w:spacing w:after="0"/>
              <w:rPr>
                <w:rFonts w:ascii="Cambria" w:hAnsi="Cambria" w:cs="Calibri"/>
              </w:rPr>
            </w:pPr>
            <w:proofErr w:type="spellStart"/>
            <w:r w:rsidRPr="00DF4CE5">
              <w:rPr>
                <w:rFonts w:ascii="Cambria" w:hAnsi="Cambria" w:cs="Calibri"/>
              </w:rPr>
              <w:t>Dodatna</w:t>
            </w:r>
            <w:proofErr w:type="spellEnd"/>
            <w:r w:rsidRPr="00DF4CE5">
              <w:rPr>
                <w:rFonts w:ascii="Cambria" w:hAnsi="Cambria" w:cs="Calibri"/>
              </w:rPr>
              <w:t xml:space="preserve"> </w:t>
            </w:r>
            <w:proofErr w:type="spellStart"/>
            <w:r w:rsidRPr="00DF4CE5">
              <w:rPr>
                <w:rFonts w:ascii="Cambria" w:hAnsi="Cambria" w:cs="Calibri"/>
              </w:rPr>
              <w:t>pojašnjenja</w:t>
            </w:r>
            <w:proofErr w:type="spellEnd"/>
            <w:r w:rsidRPr="00DF4CE5">
              <w:rPr>
                <w:rFonts w:ascii="Cambria" w:hAnsi="Cambria" w:cs="Calibri"/>
              </w:rPr>
              <w:t xml:space="preserve"> (</w:t>
            </w:r>
            <w:proofErr w:type="spellStart"/>
            <w:r w:rsidRPr="00DF4CE5">
              <w:rPr>
                <w:rFonts w:ascii="Cambria" w:hAnsi="Cambria" w:cs="Calibri"/>
              </w:rPr>
              <w:t>kriteriji</w:t>
            </w:r>
            <w:proofErr w:type="spellEnd"/>
            <w:r w:rsidRPr="00DF4CE5">
              <w:rPr>
                <w:rFonts w:ascii="Cambria" w:hAnsi="Cambria" w:cs="Calibri"/>
              </w:rPr>
              <w:t xml:space="preserve"> </w:t>
            </w:r>
            <w:proofErr w:type="spellStart"/>
            <w:r w:rsidRPr="00DF4CE5">
              <w:rPr>
                <w:rFonts w:ascii="Cambria" w:hAnsi="Cambria" w:cs="Calibri"/>
              </w:rPr>
              <w:t>ocjenjivanja</w:t>
            </w:r>
            <w:proofErr w:type="spellEnd"/>
            <w:r w:rsidRPr="00DF4CE5">
              <w:rPr>
                <w:rFonts w:ascii="Cambria" w:hAnsi="Cambria" w:cs="Calibri"/>
              </w:rPr>
              <w:t>):</w:t>
            </w:r>
          </w:p>
          <w:p w14:paraId="15E4D2CC" w14:textId="77777777" w:rsidR="003B70E5" w:rsidRPr="00DF4CE5" w:rsidRDefault="003B70E5" w:rsidP="00CE1FD6">
            <w:pPr>
              <w:spacing w:after="0"/>
              <w:rPr>
                <w:rFonts w:ascii="Cambria" w:hAnsi="Cambria" w:cs="Calibri"/>
              </w:rPr>
            </w:pPr>
            <w:proofErr w:type="spellStart"/>
            <w:r w:rsidRPr="00DF4CE5">
              <w:rPr>
                <w:rFonts w:ascii="Cambria" w:hAnsi="Cambria" w:cs="Calibri"/>
              </w:rPr>
              <w:t>Kolokviji</w:t>
            </w:r>
            <w:proofErr w:type="spellEnd"/>
            <w:r w:rsidRPr="00DF4CE5">
              <w:rPr>
                <w:rFonts w:ascii="Cambria" w:hAnsi="Cambria" w:cs="Calibri"/>
              </w:rPr>
              <w:t xml:space="preserve"> </w:t>
            </w:r>
            <w:proofErr w:type="spellStart"/>
            <w:r w:rsidRPr="00DF4CE5">
              <w:rPr>
                <w:rFonts w:ascii="Cambria" w:hAnsi="Cambria" w:cs="Calibri"/>
              </w:rPr>
              <w:t>i</w:t>
            </w:r>
            <w:proofErr w:type="spellEnd"/>
            <w:r w:rsidRPr="00DF4CE5">
              <w:rPr>
                <w:rFonts w:ascii="Cambria" w:hAnsi="Cambria" w:cs="Calibri"/>
              </w:rPr>
              <w:t>/</w:t>
            </w:r>
            <w:proofErr w:type="spellStart"/>
            <w:r w:rsidRPr="00DF4CE5">
              <w:rPr>
                <w:rFonts w:ascii="Cambria" w:hAnsi="Cambria" w:cs="Calibri"/>
              </w:rPr>
              <w:t>ili</w:t>
            </w:r>
            <w:proofErr w:type="spellEnd"/>
            <w:r w:rsidRPr="00DF4CE5">
              <w:rPr>
                <w:rFonts w:ascii="Cambria" w:hAnsi="Cambria" w:cs="Calibri"/>
              </w:rPr>
              <w:t xml:space="preserve"> </w:t>
            </w:r>
            <w:proofErr w:type="spellStart"/>
            <w:r w:rsidRPr="00DF4CE5">
              <w:rPr>
                <w:rFonts w:ascii="Cambria" w:hAnsi="Cambria" w:cs="Calibri"/>
              </w:rPr>
              <w:t>pismeni</w:t>
            </w:r>
            <w:proofErr w:type="spellEnd"/>
            <w:r w:rsidRPr="00DF4CE5">
              <w:rPr>
                <w:rFonts w:ascii="Cambria" w:hAnsi="Cambria" w:cs="Calibri"/>
              </w:rPr>
              <w:t xml:space="preserve"> </w:t>
            </w:r>
            <w:proofErr w:type="spellStart"/>
            <w:r w:rsidRPr="00DF4CE5">
              <w:rPr>
                <w:rFonts w:ascii="Cambria" w:hAnsi="Cambria" w:cs="Calibri"/>
              </w:rPr>
              <w:t>ispiti</w:t>
            </w:r>
            <w:proofErr w:type="spellEnd"/>
            <w:r w:rsidRPr="00DF4CE5">
              <w:rPr>
                <w:rFonts w:ascii="Cambria" w:hAnsi="Cambria" w:cs="Calibri"/>
              </w:rPr>
              <w:t xml:space="preserve"> </w:t>
            </w:r>
            <w:proofErr w:type="spellStart"/>
            <w:r w:rsidRPr="00DF4CE5">
              <w:rPr>
                <w:rFonts w:ascii="Cambria" w:hAnsi="Cambria" w:cs="Calibri"/>
              </w:rPr>
              <w:t>ocjenjuju</w:t>
            </w:r>
            <w:proofErr w:type="spellEnd"/>
            <w:r w:rsidRPr="00DF4CE5">
              <w:rPr>
                <w:rFonts w:ascii="Cambria" w:hAnsi="Cambria" w:cs="Calibri"/>
              </w:rPr>
              <w:t xml:space="preserve"> se </w:t>
            </w:r>
            <w:proofErr w:type="spellStart"/>
            <w:r w:rsidRPr="00DF4CE5">
              <w:rPr>
                <w:rFonts w:ascii="Cambria" w:hAnsi="Cambria" w:cs="Calibri"/>
              </w:rPr>
              <w:t>na</w:t>
            </w:r>
            <w:proofErr w:type="spellEnd"/>
            <w:r w:rsidRPr="00DF4CE5">
              <w:rPr>
                <w:rFonts w:ascii="Cambria" w:hAnsi="Cambria" w:cs="Calibri"/>
              </w:rPr>
              <w:t xml:space="preserve"> </w:t>
            </w:r>
            <w:proofErr w:type="spellStart"/>
            <w:r w:rsidRPr="00DF4CE5">
              <w:rPr>
                <w:rFonts w:ascii="Cambria" w:hAnsi="Cambria" w:cs="Calibri"/>
              </w:rPr>
              <w:t>sljedeći</w:t>
            </w:r>
            <w:proofErr w:type="spellEnd"/>
            <w:r w:rsidRPr="00DF4CE5">
              <w:rPr>
                <w:rFonts w:ascii="Cambria" w:hAnsi="Cambria" w:cs="Calibri"/>
              </w:rPr>
              <w:t xml:space="preserve"> </w:t>
            </w:r>
            <w:proofErr w:type="spellStart"/>
            <w:r w:rsidRPr="00DF4CE5">
              <w:rPr>
                <w:rFonts w:ascii="Cambria" w:hAnsi="Cambria" w:cs="Calibri"/>
              </w:rPr>
              <w:t>način</w:t>
            </w:r>
            <w:proofErr w:type="spellEnd"/>
            <w:r w:rsidRPr="00DF4CE5">
              <w:rPr>
                <w:rFonts w:ascii="Cambria" w:hAnsi="Cambria" w:cs="Calibri"/>
              </w:rPr>
              <w:t xml:space="preserve"> (</w:t>
            </w:r>
            <w:proofErr w:type="spellStart"/>
            <w:r w:rsidRPr="00DF4CE5">
              <w:rPr>
                <w:rFonts w:ascii="Cambria" w:hAnsi="Cambria" w:cs="Calibri"/>
              </w:rPr>
              <w:t>ali</w:t>
            </w:r>
            <w:proofErr w:type="spellEnd"/>
            <w:r w:rsidRPr="00DF4CE5">
              <w:rPr>
                <w:rFonts w:ascii="Cambria" w:hAnsi="Cambria" w:cs="Calibri"/>
              </w:rPr>
              <w:t xml:space="preserve"> </w:t>
            </w:r>
            <w:proofErr w:type="spellStart"/>
            <w:r w:rsidRPr="00DF4CE5">
              <w:rPr>
                <w:rFonts w:ascii="Cambria" w:hAnsi="Cambria" w:cs="Calibri"/>
              </w:rPr>
              <w:t>i</w:t>
            </w:r>
            <w:proofErr w:type="spellEnd"/>
            <w:r w:rsidRPr="00DF4CE5">
              <w:rPr>
                <w:rFonts w:ascii="Cambria" w:hAnsi="Cambria" w:cs="Calibri"/>
              </w:rPr>
              <w:t xml:space="preserve"> </w:t>
            </w:r>
            <w:proofErr w:type="spellStart"/>
            <w:r w:rsidRPr="00DF4CE5">
              <w:rPr>
                <w:rFonts w:ascii="Cambria" w:hAnsi="Cambria" w:cs="Calibri"/>
              </w:rPr>
              <w:t>detaljnije</w:t>
            </w:r>
            <w:proofErr w:type="spellEnd"/>
            <w:r w:rsidRPr="00DF4CE5">
              <w:rPr>
                <w:rFonts w:ascii="Cambria" w:hAnsi="Cambria" w:cs="Calibri"/>
              </w:rPr>
              <w:t xml:space="preserve"> u </w:t>
            </w:r>
            <w:proofErr w:type="spellStart"/>
            <w:r w:rsidRPr="00DF4CE5">
              <w:rPr>
                <w:rFonts w:ascii="Cambria" w:hAnsi="Cambria" w:cs="Calibri"/>
              </w:rPr>
              <w:t>postotku</w:t>
            </w:r>
            <w:proofErr w:type="spellEnd"/>
            <w:r w:rsidRPr="00DF4CE5">
              <w:rPr>
                <w:rFonts w:ascii="Cambria" w:hAnsi="Cambria" w:cs="Calibri"/>
              </w:rPr>
              <w:t xml:space="preserve">, </w:t>
            </w:r>
            <w:proofErr w:type="spellStart"/>
            <w:r w:rsidRPr="00DF4CE5">
              <w:rPr>
                <w:rFonts w:ascii="Cambria" w:hAnsi="Cambria" w:cs="Calibri"/>
              </w:rPr>
              <w:t>pri</w:t>
            </w:r>
            <w:proofErr w:type="spellEnd"/>
            <w:r w:rsidRPr="00DF4CE5">
              <w:rPr>
                <w:rFonts w:ascii="Cambria" w:hAnsi="Cambria" w:cs="Calibri"/>
              </w:rPr>
              <w:t xml:space="preserve"> </w:t>
            </w:r>
            <w:proofErr w:type="spellStart"/>
            <w:r w:rsidRPr="00DF4CE5">
              <w:rPr>
                <w:rFonts w:ascii="Cambria" w:hAnsi="Cambria" w:cs="Calibri"/>
              </w:rPr>
              <w:t>čemu</w:t>
            </w:r>
            <w:proofErr w:type="spellEnd"/>
            <w:r w:rsidRPr="00DF4CE5">
              <w:rPr>
                <w:rFonts w:ascii="Cambria" w:hAnsi="Cambria" w:cs="Calibri"/>
              </w:rPr>
              <w:t xml:space="preserve"> se </w:t>
            </w:r>
            <w:proofErr w:type="spellStart"/>
            <w:r w:rsidRPr="00DF4CE5">
              <w:rPr>
                <w:rFonts w:ascii="Cambria" w:hAnsi="Cambria" w:cs="Calibri"/>
              </w:rPr>
              <w:t>uzima</w:t>
            </w:r>
            <w:proofErr w:type="spellEnd"/>
            <w:r w:rsidRPr="00DF4CE5">
              <w:rPr>
                <w:rFonts w:ascii="Cambria" w:hAnsi="Cambria" w:cs="Calibri"/>
              </w:rPr>
              <w:t xml:space="preserve"> u </w:t>
            </w:r>
            <w:proofErr w:type="spellStart"/>
            <w:r w:rsidRPr="00DF4CE5">
              <w:rPr>
                <w:rFonts w:ascii="Cambria" w:hAnsi="Cambria" w:cs="Calibri"/>
              </w:rPr>
              <w:t>obzir</w:t>
            </w:r>
            <w:proofErr w:type="spellEnd"/>
            <w:r w:rsidRPr="00DF4CE5">
              <w:rPr>
                <w:rFonts w:ascii="Cambria" w:hAnsi="Cambria" w:cs="Calibri"/>
              </w:rPr>
              <w:t xml:space="preserve"> </w:t>
            </w:r>
            <w:proofErr w:type="spellStart"/>
            <w:r w:rsidRPr="00DF4CE5">
              <w:rPr>
                <w:rFonts w:ascii="Cambria" w:hAnsi="Cambria" w:cs="Calibri"/>
              </w:rPr>
              <w:t>udio</w:t>
            </w:r>
            <w:proofErr w:type="spellEnd"/>
            <w:r w:rsidRPr="00DF4CE5">
              <w:rPr>
                <w:rFonts w:ascii="Cambria" w:hAnsi="Cambria" w:cs="Calibri"/>
              </w:rPr>
              <w:t xml:space="preserve"> </w:t>
            </w:r>
            <w:proofErr w:type="spellStart"/>
            <w:r w:rsidRPr="00DF4CE5">
              <w:rPr>
                <w:rFonts w:ascii="Cambria" w:hAnsi="Cambria" w:cs="Calibri"/>
              </w:rPr>
              <w:t>bodova</w:t>
            </w:r>
            <w:proofErr w:type="spellEnd"/>
            <w:r w:rsidRPr="00DF4CE5">
              <w:rPr>
                <w:rFonts w:ascii="Cambria" w:hAnsi="Cambria" w:cs="Calibri"/>
              </w:rPr>
              <w:t xml:space="preserve"> u </w:t>
            </w:r>
            <w:proofErr w:type="spellStart"/>
            <w:r w:rsidRPr="00DF4CE5">
              <w:rPr>
                <w:rFonts w:ascii="Cambria" w:hAnsi="Cambria" w:cs="Calibri"/>
              </w:rPr>
              <w:t>ukupnom</w:t>
            </w:r>
            <w:proofErr w:type="spellEnd"/>
            <w:r w:rsidRPr="00DF4CE5">
              <w:rPr>
                <w:rFonts w:ascii="Cambria" w:hAnsi="Cambria" w:cs="Calibri"/>
              </w:rPr>
              <w:t xml:space="preserve"> </w:t>
            </w:r>
            <w:proofErr w:type="spellStart"/>
            <w:r w:rsidRPr="00DF4CE5">
              <w:rPr>
                <w:rFonts w:ascii="Cambria" w:hAnsi="Cambria" w:cs="Calibri"/>
              </w:rPr>
              <w:t>broju</w:t>
            </w:r>
            <w:proofErr w:type="spellEnd"/>
            <w:r w:rsidRPr="00DF4CE5">
              <w:rPr>
                <w:rFonts w:ascii="Cambria" w:hAnsi="Cambria" w:cs="Calibri"/>
              </w:rPr>
              <w:t xml:space="preserve"> </w:t>
            </w:r>
            <w:proofErr w:type="spellStart"/>
            <w:r w:rsidRPr="00DF4CE5">
              <w:rPr>
                <w:rFonts w:ascii="Cambria" w:hAnsi="Cambria" w:cs="Calibri"/>
              </w:rPr>
              <w:t>bodova</w:t>
            </w:r>
            <w:proofErr w:type="spellEnd"/>
            <w:r w:rsidRPr="00DF4CE5">
              <w:rPr>
                <w:rFonts w:ascii="Cambria" w:hAnsi="Cambria" w:cs="Calibri"/>
              </w:rPr>
              <w:t xml:space="preserve">, </w:t>
            </w:r>
            <w:proofErr w:type="spellStart"/>
            <w:r w:rsidRPr="00DF4CE5">
              <w:rPr>
                <w:rFonts w:ascii="Cambria" w:hAnsi="Cambria" w:cs="Calibri"/>
              </w:rPr>
              <w:t>te</w:t>
            </w:r>
            <w:proofErr w:type="spellEnd"/>
            <w:r w:rsidRPr="00DF4CE5">
              <w:rPr>
                <w:rFonts w:ascii="Cambria" w:hAnsi="Cambria" w:cs="Calibri"/>
              </w:rPr>
              <w:t xml:space="preserve"> </w:t>
            </w:r>
            <w:proofErr w:type="spellStart"/>
            <w:r w:rsidRPr="00DF4CE5">
              <w:rPr>
                <w:rFonts w:ascii="Cambria" w:hAnsi="Cambria" w:cs="Calibri"/>
              </w:rPr>
              <w:t>onda</w:t>
            </w:r>
            <w:proofErr w:type="spellEnd"/>
            <w:r w:rsidRPr="00DF4CE5">
              <w:rPr>
                <w:rFonts w:ascii="Cambria" w:hAnsi="Cambria" w:cs="Calibri"/>
              </w:rPr>
              <w:t xml:space="preserve"> </w:t>
            </w:r>
            <w:proofErr w:type="spellStart"/>
            <w:r w:rsidRPr="00DF4CE5">
              <w:rPr>
                <w:rFonts w:ascii="Cambria" w:hAnsi="Cambria" w:cs="Calibri"/>
              </w:rPr>
              <w:t>udio</w:t>
            </w:r>
            <w:proofErr w:type="spellEnd"/>
            <w:r w:rsidRPr="00DF4CE5">
              <w:rPr>
                <w:rFonts w:ascii="Cambria" w:hAnsi="Cambria" w:cs="Calibri"/>
              </w:rPr>
              <w:t xml:space="preserve"> u </w:t>
            </w:r>
            <w:proofErr w:type="spellStart"/>
            <w:r w:rsidRPr="00DF4CE5">
              <w:rPr>
                <w:rFonts w:ascii="Cambria" w:hAnsi="Cambria" w:cs="Calibri"/>
              </w:rPr>
              <w:t>ukupnoj</w:t>
            </w:r>
            <w:proofErr w:type="spellEnd"/>
            <w:r w:rsidRPr="00DF4CE5">
              <w:rPr>
                <w:rFonts w:ascii="Cambria" w:hAnsi="Cambria" w:cs="Calibri"/>
              </w:rPr>
              <w:t xml:space="preserve"> </w:t>
            </w:r>
            <w:proofErr w:type="spellStart"/>
            <w:r w:rsidRPr="00DF4CE5">
              <w:rPr>
                <w:rFonts w:ascii="Cambria" w:hAnsi="Cambria" w:cs="Calibri"/>
              </w:rPr>
              <w:t>ocjeni</w:t>
            </w:r>
            <w:proofErr w:type="spellEnd"/>
            <w:r w:rsidRPr="00DF4CE5">
              <w:rPr>
                <w:rFonts w:ascii="Cambria" w:hAnsi="Cambria" w:cs="Calibri"/>
              </w:rPr>
              <w:t>):</w:t>
            </w:r>
          </w:p>
          <w:p w14:paraId="0677A3BF" w14:textId="77777777" w:rsidR="003B70E5" w:rsidRPr="00DF4CE5" w:rsidRDefault="003B70E5" w:rsidP="00CE1FD6">
            <w:pPr>
              <w:spacing w:after="0"/>
              <w:rPr>
                <w:rFonts w:ascii="Cambria" w:hAnsi="Cambria" w:cs="Calibri"/>
              </w:rPr>
            </w:pPr>
            <w:r w:rsidRPr="00DF4CE5">
              <w:rPr>
                <w:rFonts w:ascii="Cambria" w:hAnsi="Cambria" w:cs="Calibri"/>
              </w:rPr>
              <w:tab/>
            </w:r>
            <w:proofErr w:type="spellStart"/>
            <w:r w:rsidRPr="00DF4CE5">
              <w:rPr>
                <w:rFonts w:ascii="Cambria" w:hAnsi="Cambria" w:cs="Calibri"/>
              </w:rPr>
              <w:t>manje</w:t>
            </w:r>
            <w:proofErr w:type="spellEnd"/>
            <w:r w:rsidRPr="00DF4CE5">
              <w:rPr>
                <w:rFonts w:ascii="Cambria" w:hAnsi="Cambria" w:cs="Calibri"/>
              </w:rPr>
              <w:t xml:space="preserve"> od 9 </w:t>
            </w:r>
            <w:proofErr w:type="spellStart"/>
            <w:r w:rsidRPr="00DF4CE5">
              <w:rPr>
                <w:rFonts w:ascii="Cambria" w:hAnsi="Cambria" w:cs="Calibri"/>
              </w:rPr>
              <w:t>bodova</w:t>
            </w:r>
            <w:proofErr w:type="spellEnd"/>
            <w:r w:rsidRPr="00DF4CE5">
              <w:rPr>
                <w:rFonts w:ascii="Cambria" w:hAnsi="Cambria" w:cs="Calibri"/>
              </w:rPr>
              <w:t xml:space="preserve"> </w:t>
            </w:r>
            <w:r w:rsidRPr="00DF4CE5">
              <w:rPr>
                <w:rFonts w:ascii="Cambria" w:hAnsi="Cambria" w:cs="Calibri"/>
              </w:rPr>
              <w:tab/>
              <w:t xml:space="preserve">= </w:t>
            </w:r>
            <w:r w:rsidRPr="00DF4CE5">
              <w:rPr>
                <w:rFonts w:ascii="Cambria" w:hAnsi="Cambria" w:cs="Calibri"/>
              </w:rPr>
              <w:tab/>
              <w:t xml:space="preserve">bez </w:t>
            </w:r>
            <w:proofErr w:type="spellStart"/>
            <w:r w:rsidRPr="00DF4CE5">
              <w:rPr>
                <w:rFonts w:ascii="Cambria" w:hAnsi="Cambria" w:cs="Calibri"/>
              </w:rPr>
              <w:t>ocjene</w:t>
            </w:r>
            <w:proofErr w:type="spellEnd"/>
          </w:p>
          <w:p w14:paraId="36D17C60" w14:textId="77777777" w:rsidR="003B70E5" w:rsidRPr="00DF4CE5" w:rsidRDefault="003B70E5" w:rsidP="00CE1FD6">
            <w:pPr>
              <w:spacing w:after="0"/>
              <w:rPr>
                <w:rFonts w:ascii="Cambria" w:hAnsi="Cambria" w:cs="Calibri"/>
              </w:rPr>
            </w:pPr>
            <w:r w:rsidRPr="00DF4CE5">
              <w:rPr>
                <w:rFonts w:ascii="Cambria" w:hAnsi="Cambria" w:cs="Calibri"/>
              </w:rPr>
              <w:tab/>
              <w:t xml:space="preserve">od 9 do 10 </w:t>
            </w:r>
            <w:proofErr w:type="spellStart"/>
            <w:r w:rsidRPr="00DF4CE5">
              <w:rPr>
                <w:rFonts w:ascii="Cambria" w:hAnsi="Cambria" w:cs="Calibri"/>
              </w:rPr>
              <w:t>bodova</w:t>
            </w:r>
            <w:proofErr w:type="spellEnd"/>
            <w:r w:rsidRPr="00DF4CE5">
              <w:rPr>
                <w:rFonts w:ascii="Cambria" w:hAnsi="Cambria" w:cs="Calibri"/>
              </w:rPr>
              <w:tab/>
              <w:t>=</w:t>
            </w:r>
            <w:r w:rsidRPr="00DF4CE5">
              <w:rPr>
                <w:rFonts w:ascii="Cambria" w:hAnsi="Cambria" w:cs="Calibri"/>
              </w:rPr>
              <w:tab/>
            </w:r>
            <w:proofErr w:type="spellStart"/>
            <w:r w:rsidRPr="00DF4CE5">
              <w:rPr>
                <w:rFonts w:ascii="Cambria" w:hAnsi="Cambria" w:cs="Calibri"/>
              </w:rPr>
              <w:t>ocjena</w:t>
            </w:r>
            <w:proofErr w:type="spellEnd"/>
            <w:r w:rsidRPr="00DF4CE5">
              <w:rPr>
                <w:rFonts w:ascii="Cambria" w:hAnsi="Cambria" w:cs="Calibri"/>
              </w:rPr>
              <w:t xml:space="preserve"> 2</w:t>
            </w:r>
          </w:p>
          <w:p w14:paraId="1D9D4C3D" w14:textId="77777777" w:rsidR="003B70E5" w:rsidRPr="00DF4CE5" w:rsidRDefault="003B70E5" w:rsidP="00CE1FD6">
            <w:pPr>
              <w:spacing w:after="0"/>
              <w:rPr>
                <w:rFonts w:ascii="Cambria" w:hAnsi="Cambria" w:cs="Calibri"/>
              </w:rPr>
            </w:pPr>
            <w:r w:rsidRPr="00DF4CE5">
              <w:rPr>
                <w:rFonts w:ascii="Cambria" w:hAnsi="Cambria" w:cs="Calibri"/>
              </w:rPr>
              <w:tab/>
              <w:t xml:space="preserve">od 11 do 13 </w:t>
            </w:r>
            <w:proofErr w:type="spellStart"/>
            <w:r w:rsidRPr="00DF4CE5">
              <w:rPr>
                <w:rFonts w:ascii="Cambria" w:hAnsi="Cambria" w:cs="Calibri"/>
              </w:rPr>
              <w:t>bodova</w:t>
            </w:r>
            <w:proofErr w:type="spellEnd"/>
            <w:r w:rsidRPr="00DF4CE5">
              <w:rPr>
                <w:rFonts w:ascii="Cambria" w:hAnsi="Cambria" w:cs="Calibri"/>
              </w:rPr>
              <w:tab/>
              <w:t>=</w:t>
            </w:r>
            <w:r w:rsidRPr="00DF4CE5">
              <w:rPr>
                <w:rFonts w:ascii="Cambria" w:hAnsi="Cambria" w:cs="Calibri"/>
              </w:rPr>
              <w:tab/>
            </w:r>
            <w:proofErr w:type="spellStart"/>
            <w:r w:rsidRPr="00DF4CE5">
              <w:rPr>
                <w:rFonts w:ascii="Cambria" w:hAnsi="Cambria" w:cs="Calibri"/>
              </w:rPr>
              <w:t>ocjena</w:t>
            </w:r>
            <w:proofErr w:type="spellEnd"/>
            <w:r w:rsidRPr="00DF4CE5">
              <w:rPr>
                <w:rFonts w:ascii="Cambria" w:hAnsi="Cambria" w:cs="Calibri"/>
              </w:rPr>
              <w:t xml:space="preserve"> 3</w:t>
            </w:r>
          </w:p>
          <w:p w14:paraId="36828013" w14:textId="77777777" w:rsidR="003B70E5" w:rsidRPr="00DF4CE5" w:rsidRDefault="003B70E5" w:rsidP="00CE1FD6">
            <w:pPr>
              <w:spacing w:after="0"/>
              <w:rPr>
                <w:rFonts w:ascii="Cambria" w:hAnsi="Cambria" w:cs="Calibri"/>
              </w:rPr>
            </w:pPr>
            <w:r w:rsidRPr="00DF4CE5">
              <w:rPr>
                <w:rFonts w:ascii="Cambria" w:hAnsi="Cambria" w:cs="Calibri"/>
              </w:rPr>
              <w:tab/>
              <w:t xml:space="preserve">od 14 do </w:t>
            </w:r>
            <w:proofErr w:type="gramStart"/>
            <w:r w:rsidRPr="00DF4CE5">
              <w:rPr>
                <w:rFonts w:ascii="Cambria" w:hAnsi="Cambria" w:cs="Calibri"/>
              </w:rPr>
              <w:t xml:space="preserve">15  </w:t>
            </w:r>
            <w:proofErr w:type="spellStart"/>
            <w:r w:rsidRPr="00DF4CE5">
              <w:rPr>
                <w:rFonts w:ascii="Cambria" w:hAnsi="Cambria" w:cs="Calibri"/>
              </w:rPr>
              <w:t>bodova</w:t>
            </w:r>
            <w:proofErr w:type="spellEnd"/>
            <w:proofErr w:type="gramEnd"/>
            <w:r w:rsidRPr="00DF4CE5">
              <w:rPr>
                <w:rFonts w:ascii="Cambria" w:hAnsi="Cambria" w:cs="Calibri"/>
              </w:rPr>
              <w:tab/>
              <w:t>=</w:t>
            </w:r>
            <w:r w:rsidRPr="00DF4CE5">
              <w:rPr>
                <w:rFonts w:ascii="Cambria" w:hAnsi="Cambria" w:cs="Calibri"/>
              </w:rPr>
              <w:tab/>
            </w:r>
            <w:proofErr w:type="spellStart"/>
            <w:r w:rsidRPr="00DF4CE5">
              <w:rPr>
                <w:rFonts w:ascii="Cambria" w:hAnsi="Cambria" w:cs="Calibri"/>
              </w:rPr>
              <w:t>ocjena</w:t>
            </w:r>
            <w:proofErr w:type="spellEnd"/>
            <w:r w:rsidRPr="00DF4CE5">
              <w:rPr>
                <w:rFonts w:ascii="Cambria" w:hAnsi="Cambria" w:cs="Calibri"/>
              </w:rPr>
              <w:t xml:space="preserve"> 4</w:t>
            </w:r>
          </w:p>
          <w:p w14:paraId="4778306B" w14:textId="77777777" w:rsidR="003B70E5" w:rsidRPr="00DF4CE5" w:rsidRDefault="003B70E5" w:rsidP="00CE1FD6">
            <w:pPr>
              <w:spacing w:after="0"/>
              <w:rPr>
                <w:rFonts w:ascii="Cambria" w:hAnsi="Cambria" w:cs="Calibri"/>
              </w:rPr>
            </w:pPr>
            <w:r w:rsidRPr="00DF4CE5">
              <w:rPr>
                <w:rFonts w:ascii="Cambria" w:hAnsi="Cambria" w:cs="Calibri"/>
              </w:rPr>
              <w:tab/>
              <w:t xml:space="preserve">od 16 do 18 </w:t>
            </w:r>
            <w:proofErr w:type="spellStart"/>
            <w:r w:rsidRPr="00DF4CE5">
              <w:rPr>
                <w:rFonts w:ascii="Cambria" w:hAnsi="Cambria" w:cs="Calibri"/>
              </w:rPr>
              <w:t>bodova</w:t>
            </w:r>
            <w:proofErr w:type="spellEnd"/>
            <w:r w:rsidRPr="00DF4CE5">
              <w:rPr>
                <w:rFonts w:ascii="Cambria" w:hAnsi="Cambria" w:cs="Calibri"/>
              </w:rPr>
              <w:tab/>
              <w:t>=</w:t>
            </w:r>
            <w:r w:rsidRPr="00DF4CE5">
              <w:rPr>
                <w:rFonts w:ascii="Cambria" w:hAnsi="Cambria" w:cs="Calibri"/>
              </w:rPr>
              <w:tab/>
            </w:r>
            <w:proofErr w:type="spellStart"/>
            <w:r w:rsidRPr="00DF4CE5">
              <w:rPr>
                <w:rFonts w:ascii="Cambria" w:hAnsi="Cambria" w:cs="Calibri"/>
              </w:rPr>
              <w:t>ocjena</w:t>
            </w:r>
            <w:proofErr w:type="spellEnd"/>
            <w:r w:rsidRPr="00DF4CE5">
              <w:rPr>
                <w:rFonts w:ascii="Cambria" w:hAnsi="Cambria" w:cs="Calibri"/>
              </w:rPr>
              <w:t xml:space="preserve"> 5</w:t>
            </w:r>
          </w:p>
        </w:tc>
      </w:tr>
      <w:tr w:rsidR="003B70E5" w:rsidRPr="00DF4CE5" w14:paraId="79BCA9D8" w14:textId="77777777" w:rsidTr="00ED1945">
        <w:tc>
          <w:tcPr>
            <w:tcW w:w="234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7E5D771" w14:textId="77777777" w:rsidR="003B70E5" w:rsidRPr="00DF4CE5" w:rsidRDefault="003B70E5" w:rsidP="00891E8C">
            <w:pPr>
              <w:rPr>
                <w:rFonts w:ascii="Cambria" w:hAnsi="Cambria" w:cs="Calibri"/>
              </w:rPr>
            </w:pPr>
            <w:proofErr w:type="spellStart"/>
            <w:r w:rsidRPr="00DF4CE5">
              <w:rPr>
                <w:rFonts w:ascii="Cambria" w:hAnsi="Cambria" w:cs="Calibri"/>
              </w:rPr>
              <w:t>Studentske</w:t>
            </w:r>
            <w:proofErr w:type="spellEnd"/>
            <w:r w:rsidRPr="00DF4CE5">
              <w:rPr>
                <w:rFonts w:ascii="Cambria" w:hAnsi="Cambria" w:cs="Calibri"/>
              </w:rPr>
              <w:t xml:space="preserve"> </w:t>
            </w:r>
            <w:proofErr w:type="spellStart"/>
            <w:r w:rsidRPr="00DF4CE5">
              <w:rPr>
                <w:rFonts w:ascii="Cambria" w:hAnsi="Cambria" w:cs="Calibri"/>
              </w:rPr>
              <w:t>obveze</w:t>
            </w:r>
            <w:proofErr w:type="spellEnd"/>
          </w:p>
        </w:tc>
        <w:tc>
          <w:tcPr>
            <w:tcW w:w="8147"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786F306" w14:textId="08F08622" w:rsidR="003B70E5" w:rsidRPr="00DF4CE5" w:rsidRDefault="003B70E5" w:rsidP="00ED1945">
            <w:pPr>
              <w:spacing w:after="0" w:line="240" w:lineRule="auto"/>
              <w:rPr>
                <w:rFonts w:ascii="Cambria" w:hAnsi="Cambria" w:cs="Calibri"/>
                <w:lang w:val="it-IT"/>
              </w:rPr>
            </w:pPr>
            <w:r w:rsidRPr="00DF4CE5">
              <w:rPr>
                <w:rFonts w:ascii="Cambria" w:hAnsi="Cambria" w:cs="Calibri"/>
                <w:lang w:val="it-IT"/>
              </w:rPr>
              <w:t xml:space="preserve">Da </w:t>
            </w:r>
            <w:proofErr w:type="spellStart"/>
            <w:r w:rsidRPr="00DF4CE5">
              <w:rPr>
                <w:rFonts w:ascii="Cambria" w:hAnsi="Cambria" w:cs="Calibri"/>
                <w:lang w:val="it-IT"/>
              </w:rPr>
              <w:t>položi</w:t>
            </w:r>
            <w:proofErr w:type="spellEnd"/>
            <w:r w:rsidRPr="00DF4CE5">
              <w:rPr>
                <w:rFonts w:ascii="Cambria" w:hAnsi="Cambria" w:cs="Calibri"/>
                <w:lang w:val="it-IT"/>
              </w:rPr>
              <w:t xml:space="preserve"> </w:t>
            </w:r>
            <w:proofErr w:type="spellStart"/>
            <w:r w:rsidRPr="00DF4CE5">
              <w:rPr>
                <w:rFonts w:ascii="Cambria" w:hAnsi="Cambria" w:cs="Calibri"/>
                <w:lang w:val="it-IT"/>
              </w:rPr>
              <w:t>kolegij</w:t>
            </w:r>
            <w:proofErr w:type="spellEnd"/>
            <w:r w:rsidRPr="00DF4CE5">
              <w:rPr>
                <w:rFonts w:ascii="Cambria" w:hAnsi="Cambria" w:cs="Calibri"/>
                <w:lang w:val="it-IT"/>
              </w:rPr>
              <w:t xml:space="preserve">, </w:t>
            </w:r>
            <w:proofErr w:type="spellStart"/>
            <w:r w:rsidRPr="00DF4CE5">
              <w:rPr>
                <w:rFonts w:ascii="Cambria" w:hAnsi="Cambria" w:cs="Calibri"/>
                <w:lang w:val="it-IT"/>
              </w:rPr>
              <w:t>student</w:t>
            </w:r>
            <w:proofErr w:type="spellEnd"/>
            <w:r w:rsidRPr="00DF4CE5">
              <w:rPr>
                <w:rFonts w:ascii="Cambria" w:hAnsi="Cambria" w:cs="Calibri"/>
                <w:lang w:val="it-IT"/>
              </w:rPr>
              <w:t>/</w:t>
            </w:r>
            <w:proofErr w:type="spellStart"/>
            <w:r w:rsidRPr="00DF4CE5">
              <w:rPr>
                <w:rFonts w:ascii="Cambria" w:hAnsi="Cambria" w:cs="Calibri"/>
                <w:lang w:val="it-IT"/>
              </w:rPr>
              <w:t>studentica</w:t>
            </w:r>
            <w:proofErr w:type="spellEnd"/>
            <w:r w:rsidRPr="00DF4CE5">
              <w:rPr>
                <w:rFonts w:ascii="Cambria" w:hAnsi="Cambria" w:cs="Calibri"/>
                <w:lang w:val="it-IT"/>
              </w:rPr>
              <w:t xml:space="preserve"> mora</w:t>
            </w:r>
            <w:r w:rsidR="00ED1945">
              <w:rPr>
                <w:rFonts w:ascii="Cambria" w:hAnsi="Cambria" w:cs="Calibri"/>
                <w:lang w:val="it-IT"/>
              </w:rPr>
              <w:t xml:space="preserve">: </w:t>
            </w:r>
          </w:p>
          <w:p w14:paraId="0F261961" w14:textId="77777777" w:rsidR="003B70E5" w:rsidRPr="00DF4CE5" w:rsidRDefault="003B70E5" w:rsidP="00ED1945">
            <w:pPr>
              <w:spacing w:after="0" w:line="240" w:lineRule="auto"/>
              <w:rPr>
                <w:rFonts w:ascii="Cambria" w:hAnsi="Cambria" w:cs="Calibri"/>
                <w:lang w:val="it-IT"/>
              </w:rPr>
            </w:pPr>
            <w:r w:rsidRPr="00DF4CE5">
              <w:rPr>
                <w:rFonts w:ascii="Cambria" w:hAnsi="Cambria" w:cs="Calibri"/>
                <w:lang w:val="it-IT"/>
              </w:rPr>
              <w:t xml:space="preserve">1. </w:t>
            </w:r>
            <w:proofErr w:type="spellStart"/>
            <w:r w:rsidRPr="00DF4CE5">
              <w:rPr>
                <w:rFonts w:ascii="Cambria" w:hAnsi="Cambria" w:cs="Calibri"/>
                <w:lang w:val="it-IT"/>
              </w:rPr>
              <w:t>redovito</w:t>
            </w:r>
            <w:proofErr w:type="spellEnd"/>
            <w:r w:rsidRPr="00DF4CE5">
              <w:rPr>
                <w:rFonts w:ascii="Cambria" w:hAnsi="Cambria" w:cs="Calibri"/>
                <w:lang w:val="it-IT"/>
              </w:rPr>
              <w:t xml:space="preserve"> </w:t>
            </w:r>
            <w:proofErr w:type="spellStart"/>
            <w:proofErr w:type="gramStart"/>
            <w:r w:rsidRPr="00DF4CE5">
              <w:rPr>
                <w:rFonts w:ascii="Cambria" w:hAnsi="Cambria" w:cs="Calibri"/>
                <w:lang w:val="it-IT"/>
              </w:rPr>
              <w:t>pohađati</w:t>
            </w:r>
            <w:proofErr w:type="spellEnd"/>
            <w:r w:rsidRPr="00DF4CE5">
              <w:rPr>
                <w:rFonts w:ascii="Cambria" w:hAnsi="Cambria" w:cs="Calibri"/>
                <w:lang w:val="it-IT"/>
              </w:rPr>
              <w:t xml:space="preserve">  </w:t>
            </w:r>
            <w:proofErr w:type="spellStart"/>
            <w:r w:rsidRPr="00DF4CE5">
              <w:rPr>
                <w:rFonts w:ascii="Cambria" w:hAnsi="Cambria" w:cs="Calibri"/>
                <w:lang w:val="it-IT"/>
              </w:rPr>
              <w:t>nastavu</w:t>
            </w:r>
            <w:proofErr w:type="spellEnd"/>
            <w:proofErr w:type="gramEnd"/>
            <w:r w:rsidRPr="00DF4CE5">
              <w:rPr>
                <w:rFonts w:ascii="Cambria" w:hAnsi="Cambria" w:cs="Calibri"/>
                <w:lang w:val="it-IT"/>
              </w:rPr>
              <w:t xml:space="preserve"> i </w:t>
            </w:r>
            <w:proofErr w:type="spellStart"/>
            <w:r w:rsidRPr="00DF4CE5">
              <w:rPr>
                <w:rFonts w:ascii="Cambria" w:hAnsi="Cambria" w:cs="Calibri"/>
                <w:lang w:val="it-IT"/>
              </w:rPr>
              <w:t>aktivno</w:t>
            </w:r>
            <w:proofErr w:type="spellEnd"/>
            <w:r w:rsidRPr="00DF4CE5">
              <w:rPr>
                <w:rFonts w:ascii="Cambria" w:hAnsi="Cambria" w:cs="Calibri"/>
                <w:lang w:val="it-IT"/>
              </w:rPr>
              <w:t xml:space="preserve"> </w:t>
            </w:r>
            <w:proofErr w:type="spellStart"/>
            <w:r w:rsidRPr="00DF4CE5">
              <w:rPr>
                <w:rFonts w:ascii="Cambria" w:hAnsi="Cambria" w:cs="Calibri"/>
                <w:lang w:val="it-IT"/>
              </w:rPr>
              <w:t>sudjelovati</w:t>
            </w:r>
            <w:proofErr w:type="spellEnd"/>
            <w:r w:rsidRPr="00DF4CE5">
              <w:rPr>
                <w:rFonts w:ascii="Cambria" w:hAnsi="Cambria" w:cs="Calibri"/>
                <w:lang w:val="it-IT"/>
              </w:rPr>
              <w:t xml:space="preserve"> u </w:t>
            </w:r>
            <w:proofErr w:type="spellStart"/>
            <w:r w:rsidRPr="00DF4CE5">
              <w:rPr>
                <w:rFonts w:ascii="Cambria" w:hAnsi="Cambria" w:cs="Calibri"/>
                <w:lang w:val="it-IT"/>
              </w:rPr>
              <w:t>svim</w:t>
            </w:r>
            <w:proofErr w:type="spellEnd"/>
            <w:r w:rsidRPr="00DF4CE5">
              <w:rPr>
                <w:rFonts w:ascii="Cambria" w:hAnsi="Cambria" w:cs="Calibri"/>
                <w:lang w:val="it-IT"/>
              </w:rPr>
              <w:t xml:space="preserve"> </w:t>
            </w:r>
            <w:proofErr w:type="spellStart"/>
            <w:r w:rsidRPr="00DF4CE5">
              <w:rPr>
                <w:rFonts w:ascii="Cambria" w:hAnsi="Cambria" w:cs="Calibri"/>
                <w:lang w:val="it-IT"/>
              </w:rPr>
              <w:t>oblicima</w:t>
            </w:r>
            <w:proofErr w:type="spellEnd"/>
            <w:r w:rsidRPr="00DF4CE5">
              <w:rPr>
                <w:rFonts w:ascii="Cambria" w:hAnsi="Cambria" w:cs="Calibri"/>
                <w:lang w:val="it-IT"/>
              </w:rPr>
              <w:t xml:space="preserve"> </w:t>
            </w:r>
            <w:proofErr w:type="spellStart"/>
            <w:r w:rsidRPr="00DF4CE5">
              <w:rPr>
                <w:rFonts w:ascii="Cambria" w:hAnsi="Cambria" w:cs="Calibri"/>
                <w:lang w:val="it-IT"/>
              </w:rPr>
              <w:t>nastave</w:t>
            </w:r>
            <w:proofErr w:type="spellEnd"/>
            <w:r w:rsidRPr="00DF4CE5">
              <w:rPr>
                <w:rFonts w:ascii="Cambria" w:hAnsi="Cambria" w:cs="Calibri"/>
                <w:lang w:val="it-IT"/>
              </w:rPr>
              <w:t xml:space="preserve"> (</w:t>
            </w:r>
            <w:proofErr w:type="spellStart"/>
            <w:r w:rsidRPr="00DF4CE5">
              <w:rPr>
                <w:rFonts w:ascii="Cambria" w:hAnsi="Cambria" w:cs="Calibri"/>
                <w:lang w:val="it-IT"/>
              </w:rPr>
              <w:t>barem</w:t>
            </w:r>
            <w:proofErr w:type="spellEnd"/>
            <w:r w:rsidRPr="00DF4CE5">
              <w:rPr>
                <w:rFonts w:ascii="Cambria" w:hAnsi="Cambria" w:cs="Calibri"/>
                <w:lang w:val="it-IT"/>
              </w:rPr>
              <w:t xml:space="preserve"> 70% </w:t>
            </w:r>
            <w:proofErr w:type="spellStart"/>
            <w:r w:rsidRPr="00DF4CE5">
              <w:rPr>
                <w:rFonts w:ascii="Cambria" w:hAnsi="Cambria" w:cs="Calibri"/>
                <w:lang w:val="it-IT"/>
              </w:rPr>
              <w:t>prisustva</w:t>
            </w:r>
            <w:proofErr w:type="spellEnd"/>
            <w:r w:rsidRPr="00DF4CE5">
              <w:rPr>
                <w:rFonts w:ascii="Cambria" w:hAnsi="Cambria" w:cs="Calibri"/>
                <w:lang w:val="it-IT"/>
              </w:rPr>
              <w:t>)</w:t>
            </w:r>
          </w:p>
          <w:p w14:paraId="43A85CCE" w14:textId="77777777" w:rsidR="003B70E5" w:rsidRPr="00DF4CE5" w:rsidRDefault="003B70E5" w:rsidP="00ED1945">
            <w:pPr>
              <w:spacing w:after="0" w:line="240" w:lineRule="auto"/>
              <w:rPr>
                <w:rFonts w:ascii="Cambria" w:hAnsi="Cambria" w:cs="Calibri"/>
                <w:lang w:val="it-IT"/>
              </w:rPr>
            </w:pPr>
            <w:r w:rsidRPr="00DF4CE5">
              <w:rPr>
                <w:rFonts w:ascii="Cambria" w:hAnsi="Cambria" w:cs="Calibri"/>
                <w:lang w:val="it-IT"/>
              </w:rPr>
              <w:t xml:space="preserve">2. </w:t>
            </w:r>
            <w:proofErr w:type="spellStart"/>
            <w:r w:rsidRPr="00DF4CE5">
              <w:rPr>
                <w:rFonts w:ascii="Cambria" w:hAnsi="Cambria" w:cs="Calibri"/>
                <w:lang w:val="it-IT"/>
              </w:rPr>
              <w:t>zadovoljiti</w:t>
            </w:r>
            <w:proofErr w:type="spellEnd"/>
            <w:r w:rsidRPr="00DF4CE5">
              <w:rPr>
                <w:rFonts w:ascii="Cambria" w:hAnsi="Cambria" w:cs="Calibri"/>
                <w:lang w:val="it-IT"/>
              </w:rPr>
              <w:t xml:space="preserve"> </w:t>
            </w:r>
            <w:proofErr w:type="spellStart"/>
            <w:r w:rsidRPr="00DF4CE5">
              <w:rPr>
                <w:rFonts w:ascii="Cambria" w:hAnsi="Cambria" w:cs="Calibri"/>
                <w:lang w:val="it-IT"/>
              </w:rPr>
              <w:t>na</w:t>
            </w:r>
            <w:proofErr w:type="spellEnd"/>
            <w:r w:rsidRPr="00DF4CE5">
              <w:rPr>
                <w:rFonts w:ascii="Cambria" w:hAnsi="Cambria" w:cs="Calibri"/>
                <w:lang w:val="it-IT"/>
              </w:rPr>
              <w:t xml:space="preserve"> </w:t>
            </w:r>
            <w:proofErr w:type="spellStart"/>
            <w:r w:rsidRPr="00DF4CE5">
              <w:rPr>
                <w:rFonts w:ascii="Cambria" w:hAnsi="Cambria" w:cs="Calibri"/>
                <w:lang w:val="it-IT"/>
              </w:rPr>
              <w:t>dva</w:t>
            </w:r>
            <w:proofErr w:type="spellEnd"/>
            <w:r w:rsidRPr="00DF4CE5">
              <w:rPr>
                <w:rFonts w:ascii="Cambria" w:hAnsi="Cambria" w:cs="Calibri"/>
                <w:lang w:val="it-IT"/>
              </w:rPr>
              <w:t xml:space="preserve"> </w:t>
            </w:r>
            <w:proofErr w:type="spellStart"/>
            <w:r w:rsidRPr="00DF4CE5">
              <w:rPr>
                <w:rFonts w:ascii="Cambria" w:hAnsi="Cambria" w:cs="Calibri"/>
                <w:lang w:val="it-IT"/>
              </w:rPr>
              <w:t>pismena</w:t>
            </w:r>
            <w:proofErr w:type="spellEnd"/>
            <w:r w:rsidRPr="00DF4CE5">
              <w:rPr>
                <w:rFonts w:ascii="Cambria" w:hAnsi="Cambria" w:cs="Calibri"/>
                <w:lang w:val="it-IT"/>
              </w:rPr>
              <w:t xml:space="preserve"> </w:t>
            </w:r>
            <w:proofErr w:type="spellStart"/>
            <w:r w:rsidRPr="00DF4CE5">
              <w:rPr>
                <w:rFonts w:ascii="Cambria" w:hAnsi="Cambria" w:cs="Calibri"/>
                <w:lang w:val="it-IT"/>
              </w:rPr>
              <w:t>kolokvija</w:t>
            </w:r>
            <w:proofErr w:type="spellEnd"/>
            <w:r w:rsidRPr="00DF4CE5">
              <w:rPr>
                <w:rFonts w:ascii="Cambria" w:hAnsi="Cambria" w:cs="Calibri"/>
                <w:lang w:val="it-IT"/>
              </w:rPr>
              <w:t xml:space="preserve"> (</w:t>
            </w:r>
            <w:proofErr w:type="spellStart"/>
            <w:r w:rsidRPr="00DF4CE5">
              <w:rPr>
                <w:rFonts w:ascii="Cambria" w:hAnsi="Cambria" w:cs="Calibri"/>
                <w:lang w:val="it-IT"/>
              </w:rPr>
              <w:t>barem</w:t>
            </w:r>
            <w:proofErr w:type="spellEnd"/>
            <w:r w:rsidRPr="00DF4CE5">
              <w:rPr>
                <w:rFonts w:ascii="Cambria" w:hAnsi="Cambria" w:cs="Calibri"/>
                <w:lang w:val="it-IT"/>
              </w:rPr>
              <w:t xml:space="preserve"> 50% </w:t>
            </w:r>
            <w:proofErr w:type="spellStart"/>
            <w:r w:rsidRPr="00DF4CE5">
              <w:rPr>
                <w:rFonts w:ascii="Cambria" w:hAnsi="Cambria" w:cs="Calibri"/>
                <w:lang w:val="it-IT"/>
              </w:rPr>
              <w:t>bodova</w:t>
            </w:r>
            <w:proofErr w:type="spellEnd"/>
            <w:r w:rsidRPr="00DF4CE5">
              <w:rPr>
                <w:rFonts w:ascii="Cambria" w:hAnsi="Cambria" w:cs="Calibri"/>
                <w:lang w:val="it-IT"/>
              </w:rPr>
              <w:t xml:space="preserve"> </w:t>
            </w:r>
            <w:proofErr w:type="spellStart"/>
            <w:r w:rsidRPr="00DF4CE5">
              <w:rPr>
                <w:rFonts w:ascii="Cambria" w:hAnsi="Cambria" w:cs="Calibri"/>
                <w:lang w:val="it-IT"/>
              </w:rPr>
              <w:t>po</w:t>
            </w:r>
            <w:proofErr w:type="spellEnd"/>
            <w:r w:rsidRPr="00DF4CE5">
              <w:rPr>
                <w:rFonts w:ascii="Cambria" w:hAnsi="Cambria" w:cs="Calibri"/>
                <w:lang w:val="it-IT"/>
              </w:rPr>
              <w:t xml:space="preserve"> </w:t>
            </w:r>
            <w:proofErr w:type="spellStart"/>
            <w:r w:rsidRPr="00DF4CE5">
              <w:rPr>
                <w:rFonts w:ascii="Cambria" w:hAnsi="Cambria" w:cs="Calibri"/>
                <w:lang w:val="it-IT"/>
              </w:rPr>
              <w:t>svakom</w:t>
            </w:r>
            <w:proofErr w:type="spellEnd"/>
            <w:r w:rsidRPr="00DF4CE5">
              <w:rPr>
                <w:rFonts w:ascii="Cambria" w:hAnsi="Cambria" w:cs="Calibri"/>
                <w:lang w:val="it-IT"/>
              </w:rPr>
              <w:t xml:space="preserve"> </w:t>
            </w:r>
            <w:proofErr w:type="spellStart"/>
            <w:r w:rsidRPr="00DF4CE5">
              <w:rPr>
                <w:rFonts w:ascii="Cambria" w:hAnsi="Cambria" w:cs="Calibri"/>
                <w:lang w:val="it-IT"/>
              </w:rPr>
              <w:t>kolokviju</w:t>
            </w:r>
            <w:proofErr w:type="spellEnd"/>
            <w:r w:rsidRPr="00DF4CE5">
              <w:rPr>
                <w:rFonts w:ascii="Cambria" w:hAnsi="Cambria" w:cs="Calibri"/>
                <w:lang w:val="it-IT"/>
              </w:rPr>
              <w:t>)</w:t>
            </w:r>
          </w:p>
          <w:p w14:paraId="2CFD1803" w14:textId="77777777" w:rsidR="003B70E5" w:rsidRPr="00DF4CE5" w:rsidRDefault="003B70E5" w:rsidP="00ED1945">
            <w:pPr>
              <w:spacing w:after="0" w:line="240" w:lineRule="auto"/>
              <w:rPr>
                <w:rFonts w:ascii="Cambria" w:hAnsi="Cambria" w:cs="Calibri"/>
                <w:lang w:val="it-IT"/>
              </w:rPr>
            </w:pPr>
            <w:r w:rsidRPr="00DF4CE5">
              <w:rPr>
                <w:rFonts w:ascii="Cambria" w:hAnsi="Cambria" w:cs="Calibri"/>
                <w:lang w:val="it-IT"/>
              </w:rPr>
              <w:t xml:space="preserve">3. </w:t>
            </w:r>
            <w:proofErr w:type="spellStart"/>
            <w:r w:rsidRPr="00DF4CE5">
              <w:rPr>
                <w:rFonts w:ascii="Cambria" w:hAnsi="Cambria" w:cs="Calibri"/>
                <w:lang w:val="it-IT"/>
              </w:rPr>
              <w:t>zadovoljiti</w:t>
            </w:r>
            <w:proofErr w:type="spellEnd"/>
            <w:r w:rsidRPr="00DF4CE5">
              <w:rPr>
                <w:rFonts w:ascii="Cambria" w:hAnsi="Cambria" w:cs="Calibri"/>
                <w:lang w:val="it-IT"/>
              </w:rPr>
              <w:t xml:space="preserve"> </w:t>
            </w:r>
            <w:proofErr w:type="spellStart"/>
            <w:r w:rsidRPr="00DF4CE5">
              <w:rPr>
                <w:rFonts w:ascii="Cambria" w:hAnsi="Cambria" w:cs="Calibri"/>
                <w:lang w:val="it-IT"/>
              </w:rPr>
              <w:t>na</w:t>
            </w:r>
            <w:proofErr w:type="spellEnd"/>
            <w:r w:rsidRPr="00DF4CE5">
              <w:rPr>
                <w:rFonts w:ascii="Cambria" w:hAnsi="Cambria" w:cs="Calibri"/>
                <w:lang w:val="it-IT"/>
              </w:rPr>
              <w:t xml:space="preserve"> </w:t>
            </w:r>
            <w:proofErr w:type="spellStart"/>
            <w:r w:rsidRPr="00DF4CE5">
              <w:rPr>
                <w:rFonts w:ascii="Cambria" w:hAnsi="Cambria" w:cs="Calibri"/>
                <w:lang w:val="it-IT"/>
              </w:rPr>
              <w:t>usmenom</w:t>
            </w:r>
            <w:proofErr w:type="spellEnd"/>
            <w:r w:rsidRPr="00DF4CE5">
              <w:rPr>
                <w:rFonts w:ascii="Cambria" w:hAnsi="Cambria" w:cs="Calibri"/>
                <w:lang w:val="it-IT"/>
              </w:rPr>
              <w:t xml:space="preserve"> </w:t>
            </w:r>
            <w:proofErr w:type="spellStart"/>
            <w:r w:rsidRPr="00DF4CE5">
              <w:rPr>
                <w:rFonts w:ascii="Cambria" w:hAnsi="Cambria" w:cs="Calibri"/>
                <w:lang w:val="it-IT"/>
              </w:rPr>
              <w:t>ispitu</w:t>
            </w:r>
            <w:proofErr w:type="spellEnd"/>
          </w:p>
          <w:p w14:paraId="048F0861" w14:textId="77777777" w:rsidR="003B70E5" w:rsidRPr="00DF4CE5" w:rsidRDefault="003B70E5" w:rsidP="00ED1945">
            <w:pPr>
              <w:spacing w:after="0" w:line="240" w:lineRule="auto"/>
              <w:rPr>
                <w:rFonts w:ascii="Cambria" w:hAnsi="Cambria" w:cs="Calibri"/>
                <w:lang w:val="it-IT"/>
              </w:rPr>
            </w:pPr>
            <w:r w:rsidRPr="00DF4CE5">
              <w:rPr>
                <w:rFonts w:ascii="Cambria" w:hAnsi="Cambria" w:cs="Calibri"/>
                <w:lang w:val="it-IT"/>
              </w:rPr>
              <w:t>ILI</w:t>
            </w:r>
          </w:p>
          <w:p w14:paraId="7E412A2E" w14:textId="77777777" w:rsidR="003B70E5" w:rsidRPr="00DF4CE5" w:rsidRDefault="003B70E5" w:rsidP="00ED1945">
            <w:pPr>
              <w:spacing w:after="0" w:line="240" w:lineRule="auto"/>
              <w:rPr>
                <w:rFonts w:ascii="Cambria" w:hAnsi="Cambria" w:cs="Calibri"/>
                <w:lang w:val="it-IT"/>
              </w:rPr>
            </w:pPr>
            <w:r w:rsidRPr="00DF4CE5">
              <w:rPr>
                <w:rFonts w:ascii="Cambria" w:hAnsi="Cambria" w:cs="Calibri"/>
                <w:lang w:val="it-IT"/>
              </w:rPr>
              <w:t xml:space="preserve">1. </w:t>
            </w:r>
            <w:proofErr w:type="spellStart"/>
            <w:r w:rsidRPr="00DF4CE5">
              <w:rPr>
                <w:rFonts w:ascii="Cambria" w:hAnsi="Cambria" w:cs="Calibri"/>
                <w:lang w:val="it-IT"/>
              </w:rPr>
              <w:t>redovito</w:t>
            </w:r>
            <w:proofErr w:type="spellEnd"/>
            <w:r w:rsidRPr="00DF4CE5">
              <w:rPr>
                <w:rFonts w:ascii="Cambria" w:hAnsi="Cambria" w:cs="Calibri"/>
                <w:lang w:val="it-IT"/>
              </w:rPr>
              <w:t xml:space="preserve"> </w:t>
            </w:r>
            <w:proofErr w:type="spellStart"/>
            <w:r w:rsidRPr="00DF4CE5">
              <w:rPr>
                <w:rFonts w:ascii="Cambria" w:hAnsi="Cambria" w:cs="Calibri"/>
                <w:lang w:val="it-IT"/>
              </w:rPr>
              <w:t>pohađati</w:t>
            </w:r>
            <w:proofErr w:type="spellEnd"/>
            <w:r w:rsidRPr="00DF4CE5">
              <w:rPr>
                <w:rFonts w:ascii="Cambria" w:hAnsi="Cambria" w:cs="Calibri"/>
                <w:lang w:val="it-IT"/>
              </w:rPr>
              <w:t xml:space="preserve"> </w:t>
            </w:r>
            <w:proofErr w:type="spellStart"/>
            <w:r w:rsidRPr="00DF4CE5">
              <w:rPr>
                <w:rFonts w:ascii="Cambria" w:hAnsi="Cambria" w:cs="Calibri"/>
                <w:lang w:val="it-IT"/>
              </w:rPr>
              <w:t>nastavu</w:t>
            </w:r>
            <w:proofErr w:type="spellEnd"/>
            <w:r w:rsidRPr="00DF4CE5">
              <w:rPr>
                <w:rFonts w:ascii="Cambria" w:hAnsi="Cambria" w:cs="Calibri"/>
                <w:lang w:val="it-IT"/>
              </w:rPr>
              <w:t xml:space="preserve"> i </w:t>
            </w:r>
            <w:proofErr w:type="spellStart"/>
            <w:r w:rsidRPr="00DF4CE5">
              <w:rPr>
                <w:rFonts w:ascii="Cambria" w:hAnsi="Cambria" w:cs="Calibri"/>
                <w:lang w:val="it-IT"/>
              </w:rPr>
              <w:t>aktivno</w:t>
            </w:r>
            <w:proofErr w:type="spellEnd"/>
            <w:r w:rsidRPr="00DF4CE5">
              <w:rPr>
                <w:rFonts w:ascii="Cambria" w:hAnsi="Cambria" w:cs="Calibri"/>
                <w:lang w:val="it-IT"/>
              </w:rPr>
              <w:t xml:space="preserve"> </w:t>
            </w:r>
            <w:proofErr w:type="spellStart"/>
            <w:r w:rsidRPr="00DF4CE5">
              <w:rPr>
                <w:rFonts w:ascii="Cambria" w:hAnsi="Cambria" w:cs="Calibri"/>
                <w:lang w:val="it-IT"/>
              </w:rPr>
              <w:t>sudjelovati</w:t>
            </w:r>
            <w:proofErr w:type="spellEnd"/>
            <w:r w:rsidRPr="00DF4CE5">
              <w:rPr>
                <w:rFonts w:ascii="Cambria" w:hAnsi="Cambria" w:cs="Calibri"/>
                <w:lang w:val="it-IT"/>
              </w:rPr>
              <w:t xml:space="preserve"> u </w:t>
            </w:r>
            <w:proofErr w:type="spellStart"/>
            <w:r w:rsidRPr="00DF4CE5">
              <w:rPr>
                <w:rFonts w:ascii="Cambria" w:hAnsi="Cambria" w:cs="Calibri"/>
                <w:lang w:val="it-IT"/>
              </w:rPr>
              <w:t>svim</w:t>
            </w:r>
            <w:proofErr w:type="spellEnd"/>
            <w:r w:rsidRPr="00DF4CE5">
              <w:rPr>
                <w:rFonts w:ascii="Cambria" w:hAnsi="Cambria" w:cs="Calibri"/>
                <w:lang w:val="it-IT"/>
              </w:rPr>
              <w:t xml:space="preserve"> </w:t>
            </w:r>
            <w:proofErr w:type="spellStart"/>
            <w:r w:rsidRPr="00DF4CE5">
              <w:rPr>
                <w:rFonts w:ascii="Cambria" w:hAnsi="Cambria" w:cs="Calibri"/>
                <w:lang w:val="it-IT"/>
              </w:rPr>
              <w:t>oblicima</w:t>
            </w:r>
            <w:proofErr w:type="spellEnd"/>
            <w:r w:rsidRPr="00DF4CE5">
              <w:rPr>
                <w:rFonts w:ascii="Cambria" w:hAnsi="Cambria" w:cs="Calibri"/>
                <w:lang w:val="it-IT"/>
              </w:rPr>
              <w:t xml:space="preserve"> </w:t>
            </w:r>
            <w:proofErr w:type="spellStart"/>
            <w:r w:rsidRPr="00DF4CE5">
              <w:rPr>
                <w:rFonts w:ascii="Cambria" w:hAnsi="Cambria" w:cs="Calibri"/>
                <w:lang w:val="it-IT"/>
              </w:rPr>
              <w:t>nastave</w:t>
            </w:r>
            <w:proofErr w:type="spellEnd"/>
            <w:r w:rsidRPr="00DF4CE5">
              <w:rPr>
                <w:rFonts w:ascii="Cambria" w:hAnsi="Cambria" w:cs="Calibri"/>
                <w:lang w:val="it-IT"/>
              </w:rPr>
              <w:t xml:space="preserve"> (</w:t>
            </w:r>
            <w:proofErr w:type="spellStart"/>
            <w:r w:rsidRPr="00DF4CE5">
              <w:rPr>
                <w:rFonts w:ascii="Cambria" w:hAnsi="Cambria" w:cs="Calibri"/>
                <w:lang w:val="it-IT"/>
              </w:rPr>
              <w:t>barem</w:t>
            </w:r>
            <w:proofErr w:type="spellEnd"/>
            <w:r w:rsidRPr="00DF4CE5">
              <w:rPr>
                <w:rFonts w:ascii="Cambria" w:hAnsi="Cambria" w:cs="Calibri"/>
                <w:lang w:val="it-IT"/>
              </w:rPr>
              <w:t xml:space="preserve"> 70% </w:t>
            </w:r>
            <w:proofErr w:type="spellStart"/>
            <w:r w:rsidRPr="00DF4CE5">
              <w:rPr>
                <w:rFonts w:ascii="Cambria" w:hAnsi="Cambria" w:cs="Calibri"/>
                <w:lang w:val="it-IT"/>
              </w:rPr>
              <w:t>prisustva</w:t>
            </w:r>
            <w:proofErr w:type="spellEnd"/>
            <w:r w:rsidRPr="00DF4CE5">
              <w:rPr>
                <w:rFonts w:ascii="Cambria" w:hAnsi="Cambria" w:cs="Calibri"/>
                <w:lang w:val="it-IT"/>
              </w:rPr>
              <w:t>)</w:t>
            </w:r>
          </w:p>
          <w:p w14:paraId="24FC28B7" w14:textId="77777777" w:rsidR="003B70E5" w:rsidRPr="00DF4CE5" w:rsidRDefault="003B70E5" w:rsidP="00ED1945">
            <w:pPr>
              <w:spacing w:after="0" w:line="240" w:lineRule="auto"/>
              <w:rPr>
                <w:rFonts w:ascii="Cambria" w:hAnsi="Cambria" w:cs="Calibri"/>
                <w:lang w:val="it-IT"/>
              </w:rPr>
            </w:pPr>
            <w:r w:rsidRPr="00DF4CE5">
              <w:rPr>
                <w:rFonts w:ascii="Cambria" w:hAnsi="Cambria" w:cs="Calibri"/>
                <w:lang w:val="it-IT"/>
              </w:rPr>
              <w:t xml:space="preserve">2. </w:t>
            </w:r>
            <w:proofErr w:type="spellStart"/>
            <w:r w:rsidRPr="00DF4CE5">
              <w:rPr>
                <w:rFonts w:ascii="Cambria" w:hAnsi="Cambria" w:cs="Calibri"/>
                <w:lang w:val="it-IT"/>
              </w:rPr>
              <w:t>zadovoljiti</w:t>
            </w:r>
            <w:proofErr w:type="spellEnd"/>
            <w:r w:rsidRPr="00DF4CE5">
              <w:rPr>
                <w:rFonts w:ascii="Cambria" w:hAnsi="Cambria" w:cs="Calibri"/>
                <w:lang w:val="it-IT"/>
              </w:rPr>
              <w:t xml:space="preserve"> </w:t>
            </w:r>
            <w:proofErr w:type="spellStart"/>
            <w:r w:rsidRPr="00DF4CE5">
              <w:rPr>
                <w:rFonts w:ascii="Cambria" w:hAnsi="Cambria" w:cs="Calibri"/>
                <w:lang w:val="it-IT"/>
              </w:rPr>
              <w:t>na</w:t>
            </w:r>
            <w:proofErr w:type="spellEnd"/>
            <w:r w:rsidRPr="00DF4CE5">
              <w:rPr>
                <w:rFonts w:ascii="Cambria" w:hAnsi="Cambria" w:cs="Calibri"/>
                <w:lang w:val="it-IT"/>
              </w:rPr>
              <w:t xml:space="preserve"> </w:t>
            </w:r>
            <w:proofErr w:type="spellStart"/>
            <w:r w:rsidRPr="00DF4CE5">
              <w:rPr>
                <w:rFonts w:ascii="Cambria" w:hAnsi="Cambria" w:cs="Calibri"/>
                <w:lang w:val="it-IT"/>
              </w:rPr>
              <w:t>pismenom</w:t>
            </w:r>
            <w:proofErr w:type="spellEnd"/>
            <w:r w:rsidRPr="00DF4CE5">
              <w:rPr>
                <w:rFonts w:ascii="Cambria" w:hAnsi="Cambria" w:cs="Calibri"/>
                <w:lang w:val="it-IT"/>
              </w:rPr>
              <w:t xml:space="preserve"> </w:t>
            </w:r>
            <w:proofErr w:type="spellStart"/>
            <w:r w:rsidRPr="00DF4CE5">
              <w:rPr>
                <w:rFonts w:ascii="Cambria" w:hAnsi="Cambria" w:cs="Calibri"/>
                <w:lang w:val="it-IT"/>
              </w:rPr>
              <w:t>ispitu</w:t>
            </w:r>
            <w:proofErr w:type="spellEnd"/>
            <w:r w:rsidRPr="00DF4CE5">
              <w:rPr>
                <w:rFonts w:ascii="Cambria" w:hAnsi="Cambria" w:cs="Calibri"/>
                <w:lang w:val="it-IT"/>
              </w:rPr>
              <w:t xml:space="preserve"> (</w:t>
            </w:r>
            <w:proofErr w:type="spellStart"/>
            <w:r w:rsidRPr="00DF4CE5">
              <w:rPr>
                <w:rFonts w:ascii="Cambria" w:hAnsi="Cambria" w:cs="Calibri"/>
                <w:lang w:val="it-IT"/>
              </w:rPr>
              <w:t>barem</w:t>
            </w:r>
            <w:proofErr w:type="spellEnd"/>
            <w:r w:rsidRPr="00DF4CE5">
              <w:rPr>
                <w:rFonts w:ascii="Cambria" w:hAnsi="Cambria" w:cs="Calibri"/>
                <w:lang w:val="it-IT"/>
              </w:rPr>
              <w:t xml:space="preserve"> 50% </w:t>
            </w:r>
            <w:proofErr w:type="spellStart"/>
            <w:r w:rsidRPr="00DF4CE5">
              <w:rPr>
                <w:rFonts w:ascii="Cambria" w:hAnsi="Cambria" w:cs="Calibri"/>
                <w:lang w:val="it-IT"/>
              </w:rPr>
              <w:t>bodova</w:t>
            </w:r>
            <w:proofErr w:type="spellEnd"/>
            <w:r w:rsidRPr="00DF4CE5">
              <w:rPr>
                <w:rFonts w:ascii="Cambria" w:hAnsi="Cambria" w:cs="Calibri"/>
                <w:lang w:val="it-IT"/>
              </w:rPr>
              <w:t>)</w:t>
            </w:r>
          </w:p>
          <w:p w14:paraId="78B2ADA6" w14:textId="5860E04A" w:rsidR="003B70E5" w:rsidRPr="00DF4CE5" w:rsidRDefault="003B70E5" w:rsidP="00ED1945">
            <w:pPr>
              <w:spacing w:after="0" w:line="240" w:lineRule="auto"/>
              <w:rPr>
                <w:rFonts w:ascii="Cambria" w:hAnsi="Cambria" w:cs="Calibri"/>
              </w:rPr>
            </w:pPr>
            <w:r w:rsidRPr="00DF4CE5">
              <w:rPr>
                <w:rFonts w:ascii="Cambria" w:hAnsi="Cambria" w:cs="Calibri"/>
              </w:rPr>
              <w:t xml:space="preserve">3. </w:t>
            </w:r>
            <w:proofErr w:type="spellStart"/>
            <w:r w:rsidRPr="00DF4CE5">
              <w:rPr>
                <w:rFonts w:ascii="Cambria" w:hAnsi="Cambria" w:cs="Calibri"/>
              </w:rPr>
              <w:t>zadovoljiti</w:t>
            </w:r>
            <w:proofErr w:type="spellEnd"/>
            <w:r w:rsidRPr="00DF4CE5">
              <w:rPr>
                <w:rFonts w:ascii="Cambria" w:hAnsi="Cambria" w:cs="Calibri"/>
              </w:rPr>
              <w:t xml:space="preserve"> </w:t>
            </w:r>
            <w:proofErr w:type="spellStart"/>
            <w:r w:rsidRPr="00DF4CE5">
              <w:rPr>
                <w:rFonts w:ascii="Cambria" w:hAnsi="Cambria" w:cs="Calibri"/>
              </w:rPr>
              <w:t>na</w:t>
            </w:r>
            <w:proofErr w:type="spellEnd"/>
            <w:r w:rsidRPr="00DF4CE5">
              <w:rPr>
                <w:rFonts w:ascii="Cambria" w:hAnsi="Cambria" w:cs="Calibri"/>
              </w:rPr>
              <w:t xml:space="preserve"> </w:t>
            </w:r>
            <w:proofErr w:type="spellStart"/>
            <w:r w:rsidRPr="00DF4CE5">
              <w:rPr>
                <w:rFonts w:ascii="Cambria" w:hAnsi="Cambria" w:cs="Calibri"/>
              </w:rPr>
              <w:t>usmenom</w:t>
            </w:r>
            <w:proofErr w:type="spellEnd"/>
            <w:r w:rsidRPr="00DF4CE5">
              <w:rPr>
                <w:rFonts w:ascii="Cambria" w:hAnsi="Cambria" w:cs="Calibri"/>
              </w:rPr>
              <w:t xml:space="preserve"> </w:t>
            </w:r>
            <w:proofErr w:type="spellStart"/>
            <w:r w:rsidRPr="00DF4CE5">
              <w:rPr>
                <w:rFonts w:ascii="Cambria" w:hAnsi="Cambria" w:cs="Calibri"/>
              </w:rPr>
              <w:t>ispitu</w:t>
            </w:r>
            <w:proofErr w:type="spellEnd"/>
            <w:r w:rsidR="00ED1945">
              <w:rPr>
                <w:rFonts w:ascii="Cambria" w:hAnsi="Cambria" w:cs="Calibri"/>
              </w:rPr>
              <w:t xml:space="preserve">. </w:t>
            </w:r>
          </w:p>
        </w:tc>
      </w:tr>
      <w:tr w:rsidR="003B70E5" w:rsidRPr="00D0399C" w14:paraId="5132A46A" w14:textId="77777777" w:rsidTr="00ED1945">
        <w:trPr>
          <w:trHeight w:val="222"/>
        </w:trPr>
        <w:tc>
          <w:tcPr>
            <w:tcW w:w="234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5CCBD14" w14:textId="77777777" w:rsidR="003B70E5" w:rsidRPr="00DF4CE5" w:rsidRDefault="003B70E5" w:rsidP="00891E8C">
            <w:pPr>
              <w:rPr>
                <w:rFonts w:ascii="Cambria" w:hAnsi="Cambria" w:cs="Calibri"/>
              </w:rPr>
            </w:pPr>
            <w:proofErr w:type="spellStart"/>
            <w:r w:rsidRPr="00DF4CE5">
              <w:rPr>
                <w:rFonts w:ascii="Cambria" w:hAnsi="Cambria" w:cs="Calibri"/>
              </w:rPr>
              <w:t>Rokovi</w:t>
            </w:r>
            <w:proofErr w:type="spellEnd"/>
            <w:r w:rsidRPr="00DF4CE5">
              <w:rPr>
                <w:rFonts w:ascii="Cambria" w:hAnsi="Cambria" w:cs="Calibri"/>
              </w:rPr>
              <w:t xml:space="preserve"> </w:t>
            </w:r>
            <w:proofErr w:type="spellStart"/>
            <w:r w:rsidRPr="00DF4CE5">
              <w:rPr>
                <w:rFonts w:ascii="Cambria" w:hAnsi="Cambria" w:cs="Calibri"/>
              </w:rPr>
              <w:t>ispita</w:t>
            </w:r>
            <w:proofErr w:type="spellEnd"/>
            <w:r w:rsidRPr="00DF4CE5">
              <w:rPr>
                <w:rFonts w:ascii="Cambria" w:hAnsi="Cambria" w:cs="Calibri"/>
              </w:rPr>
              <w:t xml:space="preserve"> </w:t>
            </w:r>
          </w:p>
        </w:tc>
        <w:tc>
          <w:tcPr>
            <w:tcW w:w="8147"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A7E7A9D" w14:textId="77777777" w:rsidR="003B70E5" w:rsidRPr="00DF4CE5" w:rsidRDefault="003B70E5" w:rsidP="00ED1945">
            <w:pPr>
              <w:spacing w:after="0" w:line="240" w:lineRule="auto"/>
              <w:rPr>
                <w:rFonts w:ascii="Cambria" w:hAnsi="Cambria" w:cs="Calibri"/>
                <w:lang w:val="it-IT"/>
              </w:rPr>
            </w:pPr>
            <w:proofErr w:type="spellStart"/>
            <w:r w:rsidRPr="00DF4CE5">
              <w:rPr>
                <w:rFonts w:ascii="Cambria" w:hAnsi="Cambria" w:cs="Calibri"/>
                <w:lang w:val="it-IT"/>
              </w:rPr>
              <w:t>Datumi</w:t>
            </w:r>
            <w:proofErr w:type="spellEnd"/>
            <w:r w:rsidRPr="00DF4CE5">
              <w:rPr>
                <w:rFonts w:ascii="Cambria" w:hAnsi="Cambria" w:cs="Calibri"/>
                <w:lang w:val="it-IT"/>
              </w:rPr>
              <w:t xml:space="preserve"> </w:t>
            </w:r>
            <w:proofErr w:type="spellStart"/>
            <w:r w:rsidRPr="00DF4CE5">
              <w:rPr>
                <w:rFonts w:ascii="Cambria" w:hAnsi="Cambria" w:cs="Calibri"/>
                <w:lang w:val="it-IT"/>
              </w:rPr>
              <w:t>dostupni</w:t>
            </w:r>
            <w:proofErr w:type="spellEnd"/>
            <w:r w:rsidRPr="00DF4CE5">
              <w:rPr>
                <w:rFonts w:ascii="Cambria" w:hAnsi="Cambria" w:cs="Calibri"/>
                <w:lang w:val="it-IT"/>
              </w:rPr>
              <w:t xml:space="preserve"> </w:t>
            </w:r>
            <w:proofErr w:type="spellStart"/>
            <w:r w:rsidRPr="00DF4CE5">
              <w:rPr>
                <w:rFonts w:ascii="Cambria" w:hAnsi="Cambria" w:cs="Calibri"/>
                <w:lang w:val="it-IT"/>
              </w:rPr>
              <w:t>na</w:t>
            </w:r>
            <w:proofErr w:type="spellEnd"/>
            <w:r w:rsidRPr="00DF4CE5">
              <w:rPr>
                <w:rFonts w:ascii="Cambria" w:hAnsi="Cambria" w:cs="Calibri"/>
                <w:lang w:val="it-IT"/>
              </w:rPr>
              <w:t xml:space="preserve"> </w:t>
            </w:r>
            <w:proofErr w:type="spellStart"/>
            <w:r w:rsidRPr="00DF4CE5">
              <w:rPr>
                <w:rFonts w:ascii="Cambria" w:hAnsi="Cambria" w:cs="Calibri"/>
                <w:lang w:val="it-IT"/>
              </w:rPr>
              <w:t>mrežnim</w:t>
            </w:r>
            <w:proofErr w:type="spellEnd"/>
            <w:r w:rsidRPr="00DF4CE5">
              <w:rPr>
                <w:rFonts w:ascii="Cambria" w:hAnsi="Cambria" w:cs="Calibri"/>
                <w:lang w:val="it-IT"/>
              </w:rPr>
              <w:t xml:space="preserve"> </w:t>
            </w:r>
            <w:proofErr w:type="spellStart"/>
            <w:r w:rsidRPr="00DF4CE5">
              <w:rPr>
                <w:rFonts w:ascii="Cambria" w:hAnsi="Cambria" w:cs="Calibri"/>
                <w:lang w:val="it-IT"/>
              </w:rPr>
              <w:t>stranicama</w:t>
            </w:r>
            <w:proofErr w:type="spellEnd"/>
            <w:r w:rsidRPr="00DF4CE5">
              <w:rPr>
                <w:rFonts w:ascii="Cambria" w:hAnsi="Cambria" w:cs="Calibri"/>
                <w:lang w:val="it-IT"/>
              </w:rPr>
              <w:t xml:space="preserve"> </w:t>
            </w:r>
            <w:proofErr w:type="spellStart"/>
            <w:r w:rsidRPr="00DF4CE5">
              <w:rPr>
                <w:rFonts w:ascii="Cambria" w:hAnsi="Cambria" w:cs="Calibri"/>
                <w:lang w:val="it-IT"/>
              </w:rPr>
              <w:t>Odjela</w:t>
            </w:r>
            <w:proofErr w:type="spellEnd"/>
            <w:r w:rsidRPr="00DF4CE5">
              <w:rPr>
                <w:rFonts w:ascii="Cambria" w:hAnsi="Cambria" w:cs="Calibri"/>
                <w:lang w:val="it-IT"/>
              </w:rPr>
              <w:t xml:space="preserve"> i ISVU </w:t>
            </w:r>
            <w:proofErr w:type="spellStart"/>
            <w:r w:rsidRPr="00DF4CE5">
              <w:rPr>
                <w:rFonts w:ascii="Cambria" w:hAnsi="Cambria" w:cs="Calibri"/>
                <w:lang w:val="it-IT"/>
              </w:rPr>
              <w:t>bazi</w:t>
            </w:r>
            <w:proofErr w:type="spellEnd"/>
            <w:r w:rsidRPr="00DF4CE5">
              <w:rPr>
                <w:rFonts w:ascii="Cambria" w:hAnsi="Cambria" w:cs="Calibri"/>
                <w:lang w:val="it-IT"/>
              </w:rPr>
              <w:t>.</w:t>
            </w:r>
          </w:p>
        </w:tc>
      </w:tr>
      <w:tr w:rsidR="003B70E5" w:rsidRPr="00343270" w14:paraId="1D6E195C" w14:textId="77777777" w:rsidTr="00ED1945">
        <w:tc>
          <w:tcPr>
            <w:tcW w:w="234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EDA4602" w14:textId="77777777" w:rsidR="003B70E5" w:rsidRPr="00DF4CE5" w:rsidRDefault="003B70E5" w:rsidP="00891E8C">
            <w:pPr>
              <w:rPr>
                <w:rFonts w:ascii="Cambria" w:hAnsi="Cambria" w:cs="Calibri"/>
                <w:lang w:val="it-IT"/>
              </w:rPr>
            </w:pPr>
            <w:r w:rsidRPr="00DF4CE5">
              <w:rPr>
                <w:rFonts w:ascii="Cambria" w:hAnsi="Cambria" w:cs="Calibri"/>
                <w:lang w:val="it-IT"/>
              </w:rPr>
              <w:t xml:space="preserve">Ostale </w:t>
            </w:r>
            <w:proofErr w:type="spellStart"/>
            <w:r w:rsidRPr="00DF4CE5">
              <w:rPr>
                <w:rFonts w:ascii="Cambria" w:hAnsi="Cambria" w:cs="Calibri"/>
                <w:lang w:val="it-IT"/>
              </w:rPr>
              <w:t>važne</w:t>
            </w:r>
            <w:proofErr w:type="spellEnd"/>
            <w:r w:rsidRPr="00DF4CE5">
              <w:rPr>
                <w:rFonts w:ascii="Cambria" w:hAnsi="Cambria" w:cs="Calibri"/>
                <w:lang w:val="it-IT"/>
              </w:rPr>
              <w:t xml:space="preserve"> </w:t>
            </w:r>
            <w:proofErr w:type="spellStart"/>
            <w:r w:rsidRPr="00DF4CE5">
              <w:rPr>
                <w:rFonts w:ascii="Cambria" w:hAnsi="Cambria" w:cs="Calibri"/>
                <w:lang w:val="it-IT"/>
              </w:rPr>
              <w:t>činjenice</w:t>
            </w:r>
            <w:proofErr w:type="spellEnd"/>
            <w:r w:rsidRPr="00DF4CE5">
              <w:rPr>
                <w:rFonts w:ascii="Cambria" w:hAnsi="Cambria" w:cs="Calibri"/>
                <w:lang w:val="it-IT"/>
              </w:rPr>
              <w:t xml:space="preserve"> </w:t>
            </w:r>
            <w:proofErr w:type="spellStart"/>
            <w:r w:rsidRPr="00DF4CE5">
              <w:rPr>
                <w:rFonts w:ascii="Cambria" w:hAnsi="Cambria" w:cs="Calibri"/>
                <w:lang w:val="it-IT"/>
              </w:rPr>
              <w:t>vezane</w:t>
            </w:r>
            <w:proofErr w:type="spellEnd"/>
            <w:r w:rsidRPr="00DF4CE5">
              <w:rPr>
                <w:rFonts w:ascii="Cambria" w:hAnsi="Cambria" w:cs="Calibri"/>
                <w:lang w:val="it-IT"/>
              </w:rPr>
              <w:t xml:space="preserve"> </w:t>
            </w:r>
            <w:proofErr w:type="spellStart"/>
            <w:r w:rsidRPr="00DF4CE5">
              <w:rPr>
                <w:rFonts w:ascii="Cambria" w:hAnsi="Cambria" w:cs="Calibri"/>
                <w:lang w:val="it-IT"/>
              </w:rPr>
              <w:t>uz</w:t>
            </w:r>
            <w:proofErr w:type="spellEnd"/>
            <w:r w:rsidRPr="00DF4CE5">
              <w:rPr>
                <w:rFonts w:ascii="Cambria" w:hAnsi="Cambria" w:cs="Calibri"/>
                <w:lang w:val="it-IT"/>
              </w:rPr>
              <w:t xml:space="preserve"> </w:t>
            </w:r>
            <w:proofErr w:type="spellStart"/>
            <w:r w:rsidRPr="00DF4CE5">
              <w:rPr>
                <w:rFonts w:ascii="Cambria" w:hAnsi="Cambria" w:cs="Calibri"/>
                <w:lang w:val="it-IT"/>
              </w:rPr>
              <w:t>kolegij</w:t>
            </w:r>
            <w:proofErr w:type="spellEnd"/>
          </w:p>
        </w:tc>
        <w:tc>
          <w:tcPr>
            <w:tcW w:w="8147"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6BC89DA" w14:textId="77777777" w:rsidR="003B70E5" w:rsidRPr="00DF4CE5" w:rsidRDefault="003B70E5" w:rsidP="00ED1945">
            <w:pPr>
              <w:spacing w:after="0" w:line="240" w:lineRule="auto"/>
              <w:rPr>
                <w:rFonts w:ascii="Cambria" w:hAnsi="Cambria" w:cs="Calibri"/>
                <w:lang w:val="it-IT"/>
              </w:rPr>
            </w:pPr>
            <w:proofErr w:type="spellStart"/>
            <w:r w:rsidRPr="00DF4CE5">
              <w:rPr>
                <w:rFonts w:ascii="Cambria" w:hAnsi="Cambria" w:cs="Calibri"/>
                <w:lang w:val="it-IT"/>
              </w:rPr>
              <w:t>Materijali</w:t>
            </w:r>
            <w:proofErr w:type="spellEnd"/>
            <w:r w:rsidRPr="00DF4CE5">
              <w:rPr>
                <w:rFonts w:ascii="Cambria" w:hAnsi="Cambria" w:cs="Calibri"/>
                <w:lang w:val="it-IT"/>
              </w:rPr>
              <w:t xml:space="preserve"> za </w:t>
            </w:r>
            <w:proofErr w:type="spellStart"/>
            <w:r w:rsidRPr="00DF4CE5">
              <w:rPr>
                <w:rFonts w:ascii="Cambria" w:hAnsi="Cambria" w:cs="Calibri"/>
                <w:lang w:val="it-IT"/>
              </w:rPr>
              <w:t>predavanja</w:t>
            </w:r>
            <w:proofErr w:type="spellEnd"/>
            <w:r w:rsidRPr="00DF4CE5">
              <w:rPr>
                <w:rFonts w:ascii="Cambria" w:hAnsi="Cambria" w:cs="Calibri"/>
                <w:lang w:val="it-IT"/>
              </w:rPr>
              <w:t xml:space="preserve"> i </w:t>
            </w:r>
            <w:proofErr w:type="spellStart"/>
            <w:r w:rsidRPr="00DF4CE5">
              <w:rPr>
                <w:rFonts w:ascii="Cambria" w:hAnsi="Cambria" w:cs="Calibri"/>
                <w:lang w:val="it-IT"/>
              </w:rPr>
              <w:t>vježbe</w:t>
            </w:r>
            <w:proofErr w:type="spellEnd"/>
            <w:r w:rsidRPr="00DF4CE5">
              <w:rPr>
                <w:rFonts w:ascii="Cambria" w:hAnsi="Cambria" w:cs="Calibri"/>
                <w:lang w:val="it-IT"/>
              </w:rPr>
              <w:t xml:space="preserve"> </w:t>
            </w:r>
            <w:proofErr w:type="spellStart"/>
            <w:r w:rsidRPr="00DF4CE5">
              <w:rPr>
                <w:rFonts w:ascii="Cambria" w:hAnsi="Cambria" w:cs="Calibri"/>
                <w:lang w:val="it-IT"/>
              </w:rPr>
              <w:t>objavljuju</w:t>
            </w:r>
            <w:proofErr w:type="spellEnd"/>
            <w:r w:rsidRPr="00DF4CE5">
              <w:rPr>
                <w:rFonts w:ascii="Cambria" w:hAnsi="Cambria" w:cs="Calibri"/>
                <w:lang w:val="it-IT"/>
              </w:rPr>
              <w:t xml:space="preserve"> se </w:t>
            </w:r>
            <w:proofErr w:type="spellStart"/>
            <w:r w:rsidRPr="00DF4CE5">
              <w:rPr>
                <w:rFonts w:ascii="Cambria" w:hAnsi="Cambria" w:cs="Calibri"/>
                <w:lang w:val="it-IT"/>
              </w:rPr>
              <w:t>na</w:t>
            </w:r>
            <w:proofErr w:type="spellEnd"/>
            <w:r w:rsidRPr="00DF4CE5">
              <w:rPr>
                <w:rFonts w:ascii="Cambria" w:hAnsi="Cambria" w:cs="Calibri"/>
                <w:lang w:val="it-IT"/>
              </w:rPr>
              <w:t xml:space="preserve"> e-</w:t>
            </w:r>
            <w:proofErr w:type="spellStart"/>
            <w:r w:rsidRPr="00DF4CE5">
              <w:rPr>
                <w:rFonts w:ascii="Cambria" w:hAnsi="Cambria" w:cs="Calibri"/>
                <w:lang w:val="it-IT"/>
              </w:rPr>
              <w:t>učenju</w:t>
            </w:r>
            <w:proofErr w:type="spellEnd"/>
            <w:r w:rsidRPr="00DF4CE5">
              <w:rPr>
                <w:rFonts w:ascii="Cambria" w:hAnsi="Cambria" w:cs="Calibri"/>
                <w:lang w:val="it-IT"/>
              </w:rPr>
              <w:t>.</w:t>
            </w:r>
          </w:p>
          <w:p w14:paraId="7A0142D7" w14:textId="32E4ADAD" w:rsidR="003B70E5" w:rsidRPr="00343270" w:rsidRDefault="003B70E5" w:rsidP="00ED1945">
            <w:pPr>
              <w:spacing w:after="0" w:line="240" w:lineRule="auto"/>
              <w:rPr>
                <w:rFonts w:ascii="Cambria" w:hAnsi="Cambria" w:cs="Calibri"/>
                <w:lang w:val="it-IT"/>
              </w:rPr>
            </w:pPr>
            <w:r w:rsidRPr="00DF4CE5">
              <w:rPr>
                <w:rFonts w:ascii="Cambria" w:hAnsi="Cambria" w:cs="Calibri"/>
                <w:lang w:val="it-IT"/>
              </w:rPr>
              <w:t xml:space="preserve">U </w:t>
            </w:r>
            <w:proofErr w:type="spellStart"/>
            <w:r w:rsidRPr="00DF4CE5">
              <w:rPr>
                <w:rFonts w:ascii="Cambria" w:hAnsi="Cambria" w:cs="Calibri"/>
                <w:lang w:val="it-IT"/>
              </w:rPr>
              <w:t>slučaju</w:t>
            </w:r>
            <w:proofErr w:type="spellEnd"/>
            <w:r w:rsidRPr="00DF4CE5">
              <w:rPr>
                <w:rFonts w:ascii="Cambria" w:hAnsi="Cambria" w:cs="Calibri"/>
                <w:lang w:val="it-IT"/>
              </w:rPr>
              <w:t xml:space="preserve"> </w:t>
            </w:r>
            <w:proofErr w:type="spellStart"/>
            <w:r w:rsidRPr="00DF4CE5">
              <w:rPr>
                <w:rFonts w:ascii="Cambria" w:hAnsi="Cambria" w:cs="Calibri"/>
                <w:lang w:val="it-IT"/>
              </w:rPr>
              <w:t>održavanja</w:t>
            </w:r>
            <w:proofErr w:type="spellEnd"/>
            <w:r w:rsidRPr="00DF4CE5">
              <w:rPr>
                <w:rFonts w:ascii="Cambria" w:hAnsi="Cambria" w:cs="Calibri"/>
                <w:lang w:val="it-IT"/>
              </w:rPr>
              <w:t xml:space="preserve"> </w:t>
            </w:r>
            <w:proofErr w:type="spellStart"/>
            <w:r w:rsidRPr="00DF4CE5">
              <w:rPr>
                <w:rFonts w:ascii="Cambria" w:hAnsi="Cambria" w:cs="Calibri"/>
                <w:lang w:val="it-IT"/>
              </w:rPr>
              <w:t>nastave</w:t>
            </w:r>
            <w:proofErr w:type="spellEnd"/>
            <w:r w:rsidRPr="00DF4CE5">
              <w:rPr>
                <w:rFonts w:ascii="Cambria" w:hAnsi="Cambria" w:cs="Calibri"/>
                <w:lang w:val="it-IT"/>
              </w:rPr>
              <w:t xml:space="preserve"> </w:t>
            </w:r>
            <w:proofErr w:type="spellStart"/>
            <w:r w:rsidRPr="00DF4CE5">
              <w:rPr>
                <w:rFonts w:ascii="Cambria" w:hAnsi="Cambria" w:cs="Calibri"/>
                <w:lang w:val="it-IT"/>
              </w:rPr>
              <w:t>na</w:t>
            </w:r>
            <w:proofErr w:type="spellEnd"/>
            <w:r w:rsidRPr="00DF4CE5">
              <w:rPr>
                <w:rFonts w:ascii="Cambria" w:hAnsi="Cambria" w:cs="Calibri"/>
                <w:lang w:val="it-IT"/>
              </w:rPr>
              <w:t xml:space="preserve"> </w:t>
            </w:r>
            <w:proofErr w:type="spellStart"/>
            <w:r w:rsidRPr="00DF4CE5">
              <w:rPr>
                <w:rFonts w:ascii="Cambria" w:hAnsi="Cambria" w:cs="Calibri"/>
                <w:lang w:val="it-IT"/>
              </w:rPr>
              <w:t>daljinu</w:t>
            </w:r>
            <w:proofErr w:type="spellEnd"/>
            <w:r w:rsidRPr="00DF4CE5">
              <w:rPr>
                <w:rFonts w:ascii="Cambria" w:hAnsi="Cambria" w:cs="Calibri"/>
                <w:lang w:val="it-IT"/>
              </w:rPr>
              <w:t xml:space="preserve">, </w:t>
            </w:r>
            <w:proofErr w:type="spellStart"/>
            <w:r w:rsidRPr="00DF4CE5">
              <w:rPr>
                <w:rFonts w:ascii="Cambria" w:hAnsi="Cambria" w:cs="Calibri"/>
                <w:lang w:val="it-IT"/>
              </w:rPr>
              <w:t>moguće</w:t>
            </w:r>
            <w:proofErr w:type="spellEnd"/>
            <w:r w:rsidRPr="00DF4CE5">
              <w:rPr>
                <w:rFonts w:ascii="Cambria" w:hAnsi="Cambria" w:cs="Calibri"/>
                <w:lang w:val="it-IT"/>
              </w:rPr>
              <w:t xml:space="preserve"> je </w:t>
            </w:r>
            <w:proofErr w:type="spellStart"/>
            <w:r w:rsidRPr="00DF4CE5">
              <w:rPr>
                <w:rFonts w:ascii="Cambria" w:hAnsi="Cambria" w:cs="Calibri"/>
                <w:lang w:val="it-IT"/>
              </w:rPr>
              <w:t>odstupanje</w:t>
            </w:r>
            <w:proofErr w:type="spellEnd"/>
            <w:r w:rsidRPr="00DF4CE5">
              <w:rPr>
                <w:rFonts w:ascii="Cambria" w:hAnsi="Cambria" w:cs="Calibri"/>
                <w:lang w:val="it-IT"/>
              </w:rPr>
              <w:t xml:space="preserve"> u: </w:t>
            </w:r>
            <w:proofErr w:type="spellStart"/>
            <w:r w:rsidRPr="00DF4CE5">
              <w:rPr>
                <w:rFonts w:ascii="Cambria" w:hAnsi="Cambria" w:cs="Calibri"/>
                <w:lang w:val="it-IT"/>
              </w:rPr>
              <w:t>mjestu</w:t>
            </w:r>
            <w:proofErr w:type="spellEnd"/>
            <w:r w:rsidRPr="00DF4CE5">
              <w:rPr>
                <w:rFonts w:ascii="Cambria" w:hAnsi="Cambria" w:cs="Calibri"/>
                <w:lang w:val="it-IT"/>
              </w:rPr>
              <w:t xml:space="preserve"> </w:t>
            </w:r>
            <w:proofErr w:type="spellStart"/>
            <w:r w:rsidRPr="00DF4CE5">
              <w:rPr>
                <w:rFonts w:ascii="Cambria" w:hAnsi="Cambria" w:cs="Calibri"/>
                <w:lang w:val="it-IT"/>
              </w:rPr>
              <w:t>izvođenja</w:t>
            </w:r>
            <w:proofErr w:type="spellEnd"/>
            <w:r w:rsidRPr="00DF4CE5">
              <w:rPr>
                <w:rFonts w:ascii="Cambria" w:hAnsi="Cambria" w:cs="Calibri"/>
                <w:lang w:val="it-IT"/>
              </w:rPr>
              <w:t xml:space="preserve"> </w:t>
            </w:r>
            <w:proofErr w:type="spellStart"/>
            <w:r w:rsidRPr="00DF4CE5">
              <w:rPr>
                <w:rFonts w:ascii="Cambria" w:hAnsi="Cambria" w:cs="Calibri"/>
                <w:lang w:val="it-IT"/>
              </w:rPr>
              <w:t>kolegija</w:t>
            </w:r>
            <w:proofErr w:type="spellEnd"/>
            <w:r w:rsidRPr="00DF4CE5">
              <w:rPr>
                <w:rFonts w:ascii="Cambria" w:hAnsi="Cambria" w:cs="Calibri"/>
                <w:lang w:val="it-IT"/>
              </w:rPr>
              <w:t xml:space="preserve">, </w:t>
            </w:r>
            <w:proofErr w:type="spellStart"/>
            <w:r w:rsidRPr="00DF4CE5">
              <w:rPr>
                <w:rFonts w:ascii="Cambria" w:hAnsi="Cambria" w:cs="Calibri"/>
                <w:lang w:val="it-IT"/>
              </w:rPr>
              <w:t>provedbi</w:t>
            </w:r>
            <w:proofErr w:type="spellEnd"/>
            <w:r w:rsidRPr="00DF4CE5">
              <w:rPr>
                <w:rFonts w:ascii="Cambria" w:hAnsi="Cambria" w:cs="Calibri"/>
                <w:lang w:val="it-IT"/>
              </w:rPr>
              <w:t xml:space="preserve"> </w:t>
            </w:r>
            <w:proofErr w:type="spellStart"/>
            <w:r w:rsidRPr="00DF4CE5">
              <w:rPr>
                <w:rFonts w:ascii="Cambria" w:hAnsi="Cambria" w:cs="Calibri"/>
                <w:lang w:val="it-IT"/>
              </w:rPr>
              <w:t>aktivnosti</w:t>
            </w:r>
            <w:proofErr w:type="spellEnd"/>
            <w:r w:rsidRPr="00DF4CE5">
              <w:rPr>
                <w:rFonts w:ascii="Cambria" w:hAnsi="Cambria" w:cs="Calibri"/>
                <w:lang w:val="it-IT"/>
              </w:rPr>
              <w:t xml:space="preserve">, </w:t>
            </w:r>
            <w:proofErr w:type="spellStart"/>
            <w:r w:rsidRPr="00DF4CE5">
              <w:rPr>
                <w:rFonts w:ascii="Cambria" w:hAnsi="Cambria" w:cs="Calibri"/>
                <w:lang w:val="it-IT"/>
              </w:rPr>
              <w:t>metoda</w:t>
            </w:r>
            <w:proofErr w:type="spellEnd"/>
            <w:r w:rsidRPr="00DF4CE5">
              <w:rPr>
                <w:rFonts w:ascii="Cambria" w:hAnsi="Cambria" w:cs="Calibri"/>
                <w:lang w:val="it-IT"/>
              </w:rPr>
              <w:t xml:space="preserve"> </w:t>
            </w:r>
            <w:proofErr w:type="spellStart"/>
            <w:r w:rsidRPr="00DF4CE5">
              <w:rPr>
                <w:rFonts w:ascii="Cambria" w:hAnsi="Cambria" w:cs="Calibri"/>
                <w:lang w:val="it-IT"/>
              </w:rPr>
              <w:t>tumačenja</w:t>
            </w:r>
            <w:proofErr w:type="spellEnd"/>
            <w:r w:rsidRPr="00DF4CE5">
              <w:rPr>
                <w:rFonts w:ascii="Cambria" w:hAnsi="Cambria" w:cs="Calibri"/>
                <w:lang w:val="it-IT"/>
              </w:rPr>
              <w:t xml:space="preserve"> i </w:t>
            </w:r>
            <w:proofErr w:type="spellStart"/>
            <w:r w:rsidRPr="00DF4CE5">
              <w:rPr>
                <w:rFonts w:ascii="Cambria" w:hAnsi="Cambria" w:cs="Calibri"/>
                <w:lang w:val="it-IT"/>
              </w:rPr>
              <w:t>poučavanja</w:t>
            </w:r>
            <w:proofErr w:type="spellEnd"/>
            <w:r w:rsidRPr="00DF4CE5">
              <w:rPr>
                <w:rFonts w:ascii="Cambria" w:hAnsi="Cambria" w:cs="Calibri"/>
                <w:lang w:val="it-IT"/>
              </w:rPr>
              <w:t xml:space="preserve"> i </w:t>
            </w:r>
            <w:proofErr w:type="spellStart"/>
            <w:r w:rsidRPr="00DF4CE5">
              <w:rPr>
                <w:rFonts w:ascii="Cambria" w:hAnsi="Cambria" w:cs="Calibri"/>
                <w:lang w:val="it-IT"/>
              </w:rPr>
              <w:t>načinima</w:t>
            </w:r>
            <w:proofErr w:type="spellEnd"/>
            <w:r w:rsidRPr="00DF4CE5">
              <w:rPr>
                <w:rFonts w:ascii="Cambria" w:hAnsi="Cambria" w:cs="Calibri"/>
                <w:lang w:val="it-IT"/>
              </w:rPr>
              <w:t xml:space="preserve"> </w:t>
            </w:r>
            <w:proofErr w:type="spellStart"/>
            <w:r w:rsidRPr="00DF4CE5">
              <w:rPr>
                <w:rFonts w:ascii="Cambria" w:hAnsi="Cambria" w:cs="Calibri"/>
                <w:lang w:val="it-IT"/>
              </w:rPr>
              <w:t>vrednovanja</w:t>
            </w:r>
            <w:proofErr w:type="spellEnd"/>
            <w:r w:rsidRPr="00DF4CE5">
              <w:rPr>
                <w:rFonts w:ascii="Cambria" w:hAnsi="Cambria" w:cs="Calibri"/>
                <w:lang w:val="it-IT"/>
              </w:rPr>
              <w:t xml:space="preserve">, </w:t>
            </w:r>
            <w:proofErr w:type="spellStart"/>
            <w:r w:rsidRPr="00DF4CE5">
              <w:rPr>
                <w:rFonts w:ascii="Cambria" w:hAnsi="Cambria" w:cs="Calibri"/>
                <w:lang w:val="it-IT"/>
              </w:rPr>
              <w:t>studentskim</w:t>
            </w:r>
            <w:proofErr w:type="spellEnd"/>
            <w:r w:rsidRPr="00DF4CE5">
              <w:rPr>
                <w:rFonts w:ascii="Cambria" w:hAnsi="Cambria" w:cs="Calibri"/>
                <w:lang w:val="it-IT"/>
              </w:rPr>
              <w:t xml:space="preserve"> </w:t>
            </w:r>
            <w:proofErr w:type="spellStart"/>
            <w:r w:rsidRPr="00DF4CE5">
              <w:rPr>
                <w:rFonts w:ascii="Cambria" w:hAnsi="Cambria" w:cs="Calibri"/>
                <w:lang w:val="it-IT"/>
              </w:rPr>
              <w:t>obvezama</w:t>
            </w:r>
            <w:proofErr w:type="spellEnd"/>
            <w:r w:rsidRPr="00DF4CE5">
              <w:rPr>
                <w:rFonts w:ascii="Cambria" w:hAnsi="Cambria" w:cs="Calibri"/>
                <w:lang w:val="it-IT"/>
              </w:rPr>
              <w:t xml:space="preserve"> i </w:t>
            </w:r>
            <w:proofErr w:type="spellStart"/>
            <w:r w:rsidRPr="00DF4CE5">
              <w:rPr>
                <w:rFonts w:ascii="Cambria" w:hAnsi="Cambria" w:cs="Calibri"/>
                <w:lang w:val="it-IT"/>
              </w:rPr>
              <w:t>dostupnoj</w:t>
            </w:r>
            <w:proofErr w:type="spellEnd"/>
            <w:r w:rsidRPr="00DF4CE5">
              <w:rPr>
                <w:rFonts w:ascii="Cambria" w:hAnsi="Cambria" w:cs="Calibri"/>
                <w:lang w:val="it-IT"/>
              </w:rPr>
              <w:t xml:space="preserve"> </w:t>
            </w:r>
            <w:proofErr w:type="spellStart"/>
            <w:r w:rsidRPr="00DF4CE5">
              <w:rPr>
                <w:rFonts w:ascii="Cambria" w:hAnsi="Cambria" w:cs="Calibri"/>
                <w:lang w:val="it-IT"/>
              </w:rPr>
              <w:t>literaturi</w:t>
            </w:r>
            <w:proofErr w:type="spellEnd"/>
            <w:r w:rsidRPr="00DF4CE5">
              <w:rPr>
                <w:rFonts w:ascii="Cambria" w:hAnsi="Cambria" w:cs="Calibri"/>
                <w:lang w:val="it-IT"/>
              </w:rPr>
              <w:t xml:space="preserve">. O tome </w:t>
            </w:r>
            <w:proofErr w:type="spellStart"/>
            <w:r w:rsidRPr="00DF4CE5">
              <w:rPr>
                <w:rFonts w:ascii="Cambria" w:hAnsi="Cambria" w:cs="Calibri"/>
                <w:lang w:val="it-IT"/>
              </w:rPr>
              <w:t>će</w:t>
            </w:r>
            <w:proofErr w:type="spellEnd"/>
            <w:r w:rsidRPr="00DF4CE5">
              <w:rPr>
                <w:rFonts w:ascii="Cambria" w:hAnsi="Cambria" w:cs="Calibri"/>
                <w:lang w:val="it-IT"/>
              </w:rPr>
              <w:t xml:space="preserve"> </w:t>
            </w:r>
            <w:proofErr w:type="spellStart"/>
            <w:r w:rsidRPr="00DF4CE5">
              <w:rPr>
                <w:rFonts w:ascii="Cambria" w:hAnsi="Cambria" w:cs="Calibri"/>
                <w:lang w:val="it-IT"/>
              </w:rPr>
              <w:t>nositelj</w:t>
            </w:r>
            <w:proofErr w:type="spellEnd"/>
            <w:r w:rsidRPr="00DF4CE5">
              <w:rPr>
                <w:rFonts w:ascii="Cambria" w:hAnsi="Cambria" w:cs="Calibri"/>
                <w:lang w:val="it-IT"/>
              </w:rPr>
              <w:t xml:space="preserve"> i </w:t>
            </w:r>
            <w:proofErr w:type="spellStart"/>
            <w:r w:rsidR="00343270">
              <w:rPr>
                <w:rFonts w:ascii="Cambria" w:hAnsi="Cambria" w:cs="Calibri"/>
                <w:lang w:val="it-IT"/>
              </w:rPr>
              <w:t>suradnica</w:t>
            </w:r>
            <w:proofErr w:type="spellEnd"/>
            <w:r w:rsidRPr="00DF4CE5">
              <w:rPr>
                <w:rFonts w:ascii="Cambria" w:hAnsi="Cambria" w:cs="Calibri"/>
                <w:lang w:val="it-IT"/>
              </w:rPr>
              <w:t xml:space="preserve"> </w:t>
            </w:r>
            <w:proofErr w:type="spellStart"/>
            <w:r w:rsidRPr="00DF4CE5">
              <w:rPr>
                <w:rFonts w:ascii="Cambria" w:hAnsi="Cambria" w:cs="Calibri"/>
                <w:lang w:val="it-IT"/>
              </w:rPr>
              <w:t>obavijestiti</w:t>
            </w:r>
            <w:proofErr w:type="spellEnd"/>
            <w:r w:rsidRPr="00DF4CE5">
              <w:rPr>
                <w:rFonts w:ascii="Cambria" w:hAnsi="Cambria" w:cs="Calibri"/>
                <w:lang w:val="it-IT"/>
              </w:rPr>
              <w:t xml:space="preserve"> studente i </w:t>
            </w:r>
            <w:proofErr w:type="spellStart"/>
            <w:r w:rsidRPr="00DF4CE5">
              <w:rPr>
                <w:rFonts w:ascii="Cambria" w:hAnsi="Cambria" w:cs="Calibri"/>
                <w:lang w:val="it-IT"/>
              </w:rPr>
              <w:t>studentice</w:t>
            </w:r>
            <w:proofErr w:type="spellEnd"/>
            <w:r w:rsidRPr="00DF4CE5">
              <w:rPr>
                <w:rFonts w:ascii="Cambria" w:hAnsi="Cambria" w:cs="Calibri"/>
                <w:lang w:val="it-IT"/>
              </w:rPr>
              <w:t xml:space="preserve"> </w:t>
            </w:r>
            <w:proofErr w:type="spellStart"/>
            <w:r w:rsidRPr="00DF4CE5">
              <w:rPr>
                <w:rFonts w:ascii="Cambria" w:hAnsi="Cambria" w:cs="Calibri"/>
                <w:lang w:val="it-IT"/>
              </w:rPr>
              <w:t>kad</w:t>
            </w:r>
            <w:proofErr w:type="spellEnd"/>
            <w:r w:rsidRPr="00DF4CE5">
              <w:rPr>
                <w:rFonts w:ascii="Cambria" w:hAnsi="Cambria" w:cs="Calibri"/>
                <w:lang w:val="it-IT"/>
              </w:rPr>
              <w:t xml:space="preserve"> se </w:t>
            </w:r>
            <w:proofErr w:type="spellStart"/>
            <w:r w:rsidRPr="00DF4CE5">
              <w:rPr>
                <w:rFonts w:ascii="Cambria" w:hAnsi="Cambria" w:cs="Calibri"/>
                <w:lang w:val="it-IT"/>
              </w:rPr>
              <w:t>nastava</w:t>
            </w:r>
            <w:proofErr w:type="spellEnd"/>
            <w:r w:rsidRPr="00DF4CE5">
              <w:rPr>
                <w:rFonts w:ascii="Cambria" w:hAnsi="Cambria" w:cs="Calibri"/>
                <w:lang w:val="it-IT"/>
              </w:rPr>
              <w:t xml:space="preserve"> </w:t>
            </w:r>
            <w:proofErr w:type="spellStart"/>
            <w:r w:rsidRPr="00DF4CE5">
              <w:rPr>
                <w:rFonts w:ascii="Cambria" w:hAnsi="Cambria" w:cs="Calibri"/>
                <w:lang w:val="it-IT"/>
              </w:rPr>
              <w:t>na</w:t>
            </w:r>
            <w:proofErr w:type="spellEnd"/>
            <w:r w:rsidRPr="00DF4CE5">
              <w:rPr>
                <w:rFonts w:ascii="Cambria" w:hAnsi="Cambria" w:cs="Calibri"/>
                <w:lang w:val="it-IT"/>
              </w:rPr>
              <w:t xml:space="preserve"> </w:t>
            </w:r>
            <w:proofErr w:type="spellStart"/>
            <w:r w:rsidRPr="00DF4CE5">
              <w:rPr>
                <w:rFonts w:ascii="Cambria" w:hAnsi="Cambria" w:cs="Calibri"/>
                <w:lang w:val="it-IT"/>
              </w:rPr>
              <w:t>daljinu</w:t>
            </w:r>
            <w:proofErr w:type="spellEnd"/>
            <w:r w:rsidRPr="00DF4CE5">
              <w:rPr>
                <w:rFonts w:ascii="Cambria" w:hAnsi="Cambria" w:cs="Calibri"/>
                <w:lang w:val="it-IT"/>
              </w:rPr>
              <w:t xml:space="preserve"> </w:t>
            </w:r>
            <w:proofErr w:type="spellStart"/>
            <w:r w:rsidRPr="00DF4CE5">
              <w:rPr>
                <w:rFonts w:ascii="Cambria" w:hAnsi="Cambria" w:cs="Calibri"/>
                <w:lang w:val="it-IT"/>
              </w:rPr>
              <w:t>počne</w:t>
            </w:r>
            <w:proofErr w:type="spellEnd"/>
            <w:r w:rsidRPr="00DF4CE5">
              <w:rPr>
                <w:rFonts w:ascii="Cambria" w:hAnsi="Cambria" w:cs="Calibri"/>
                <w:lang w:val="it-IT"/>
              </w:rPr>
              <w:t xml:space="preserve"> </w:t>
            </w:r>
            <w:proofErr w:type="spellStart"/>
            <w:r w:rsidRPr="00DF4CE5">
              <w:rPr>
                <w:rFonts w:ascii="Cambria" w:hAnsi="Cambria" w:cs="Calibri"/>
                <w:lang w:val="it-IT"/>
              </w:rPr>
              <w:t>održavati</w:t>
            </w:r>
            <w:proofErr w:type="spellEnd"/>
            <w:r w:rsidRPr="00DF4CE5">
              <w:rPr>
                <w:rFonts w:ascii="Cambria" w:hAnsi="Cambria" w:cs="Calibri"/>
                <w:lang w:val="it-IT"/>
              </w:rPr>
              <w:t xml:space="preserve">. </w:t>
            </w:r>
            <w:proofErr w:type="spellStart"/>
            <w:r w:rsidRPr="00343270">
              <w:rPr>
                <w:rFonts w:ascii="Cambria" w:hAnsi="Cambria" w:cs="Calibri"/>
                <w:lang w:val="it-IT"/>
              </w:rPr>
              <w:t>Ishodi</w:t>
            </w:r>
            <w:proofErr w:type="spellEnd"/>
            <w:r w:rsidRPr="00343270">
              <w:rPr>
                <w:rFonts w:ascii="Cambria" w:hAnsi="Cambria" w:cs="Calibri"/>
                <w:lang w:val="it-IT"/>
              </w:rPr>
              <w:t xml:space="preserve"> </w:t>
            </w:r>
            <w:proofErr w:type="spellStart"/>
            <w:r w:rsidRPr="00343270">
              <w:rPr>
                <w:rFonts w:ascii="Cambria" w:hAnsi="Cambria" w:cs="Calibri"/>
                <w:lang w:val="it-IT"/>
              </w:rPr>
              <w:t>učenja</w:t>
            </w:r>
            <w:proofErr w:type="spellEnd"/>
            <w:r w:rsidRPr="00343270">
              <w:rPr>
                <w:rFonts w:ascii="Cambria" w:hAnsi="Cambria" w:cs="Calibri"/>
                <w:lang w:val="it-IT"/>
              </w:rPr>
              <w:t xml:space="preserve"> </w:t>
            </w:r>
            <w:proofErr w:type="spellStart"/>
            <w:r w:rsidRPr="00343270">
              <w:rPr>
                <w:rFonts w:ascii="Cambria" w:hAnsi="Cambria" w:cs="Calibri"/>
                <w:lang w:val="it-IT"/>
              </w:rPr>
              <w:t>ostaju</w:t>
            </w:r>
            <w:proofErr w:type="spellEnd"/>
            <w:r w:rsidRPr="00343270">
              <w:rPr>
                <w:rFonts w:ascii="Cambria" w:hAnsi="Cambria" w:cs="Calibri"/>
                <w:lang w:val="it-IT"/>
              </w:rPr>
              <w:t xml:space="preserve"> </w:t>
            </w:r>
            <w:proofErr w:type="spellStart"/>
            <w:r w:rsidRPr="00343270">
              <w:rPr>
                <w:rFonts w:ascii="Cambria" w:hAnsi="Cambria" w:cs="Calibri"/>
                <w:lang w:val="it-IT"/>
              </w:rPr>
              <w:t>nepromijenjeni</w:t>
            </w:r>
            <w:proofErr w:type="spellEnd"/>
            <w:r w:rsidRPr="00343270">
              <w:rPr>
                <w:rFonts w:ascii="Cambria" w:hAnsi="Cambria" w:cs="Calibri"/>
                <w:lang w:val="it-IT"/>
              </w:rPr>
              <w:t>.</w:t>
            </w:r>
          </w:p>
        </w:tc>
      </w:tr>
      <w:tr w:rsidR="003B70E5" w:rsidRPr="00D0399C" w14:paraId="25807C4D" w14:textId="77777777" w:rsidTr="00ED1945">
        <w:trPr>
          <w:trHeight w:val="770"/>
        </w:trPr>
        <w:tc>
          <w:tcPr>
            <w:tcW w:w="234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3CF9D97" w14:textId="77777777" w:rsidR="003B70E5" w:rsidRPr="00DF4CE5" w:rsidRDefault="003B70E5" w:rsidP="00891E8C">
            <w:pPr>
              <w:rPr>
                <w:rFonts w:ascii="Cambria" w:hAnsi="Cambria" w:cs="Calibri"/>
              </w:rPr>
            </w:pPr>
            <w:proofErr w:type="spellStart"/>
            <w:r w:rsidRPr="00DF4CE5">
              <w:rPr>
                <w:rFonts w:ascii="Cambria" w:hAnsi="Cambria" w:cs="Calibri"/>
              </w:rPr>
              <w:t>Literatura</w:t>
            </w:r>
            <w:proofErr w:type="spellEnd"/>
          </w:p>
        </w:tc>
        <w:tc>
          <w:tcPr>
            <w:tcW w:w="8147" w:type="dxa"/>
            <w:gridSpan w:val="6"/>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6EDD620D" w14:textId="77777777" w:rsidR="003B70E5" w:rsidRPr="00DF4CE5" w:rsidRDefault="003B70E5" w:rsidP="00ED1945">
            <w:pPr>
              <w:spacing w:after="0" w:line="240" w:lineRule="auto"/>
              <w:rPr>
                <w:rFonts w:ascii="Cambria" w:hAnsi="Cambria" w:cs="Calibri"/>
                <w:bCs/>
              </w:rPr>
            </w:pPr>
            <w:proofErr w:type="spellStart"/>
            <w:r w:rsidRPr="00DF4CE5">
              <w:rPr>
                <w:rFonts w:ascii="Cambria" w:hAnsi="Cambria" w:cs="Calibri"/>
                <w:bCs/>
              </w:rPr>
              <w:t>Obvezna</w:t>
            </w:r>
            <w:proofErr w:type="spellEnd"/>
            <w:r w:rsidRPr="00DF4CE5">
              <w:rPr>
                <w:rFonts w:ascii="Cambria" w:hAnsi="Cambria" w:cs="Calibri"/>
                <w:bCs/>
              </w:rPr>
              <w:t xml:space="preserve">: </w:t>
            </w:r>
          </w:p>
          <w:p w14:paraId="3E076F67" w14:textId="77777777" w:rsidR="003B70E5" w:rsidRPr="00DF4CE5" w:rsidRDefault="003B70E5" w:rsidP="00A034E3">
            <w:pPr>
              <w:numPr>
                <w:ilvl w:val="0"/>
                <w:numId w:val="9"/>
              </w:numPr>
              <w:spacing w:after="0" w:line="240" w:lineRule="auto"/>
              <w:rPr>
                <w:rFonts w:ascii="Cambria" w:hAnsi="Cambria" w:cs="Calibri"/>
                <w:bCs/>
              </w:rPr>
            </w:pPr>
            <w:proofErr w:type="spellStart"/>
            <w:r w:rsidRPr="00DF4CE5">
              <w:rPr>
                <w:rFonts w:ascii="Cambria" w:hAnsi="Cambria" w:cs="Calibri"/>
              </w:rPr>
              <w:t>Mintaković</w:t>
            </w:r>
            <w:proofErr w:type="spellEnd"/>
            <w:r w:rsidRPr="00DF4CE5">
              <w:rPr>
                <w:rFonts w:ascii="Cambria" w:hAnsi="Cambria" w:cs="Calibri"/>
              </w:rPr>
              <w:t xml:space="preserve">, S., Ćurić, F., (2003). </w:t>
            </w:r>
            <w:proofErr w:type="spellStart"/>
            <w:r w:rsidRPr="00DF4CE5">
              <w:rPr>
                <w:rFonts w:ascii="Cambria" w:hAnsi="Cambria" w:cs="Calibri"/>
              </w:rPr>
              <w:t>Matematika</w:t>
            </w:r>
            <w:proofErr w:type="spellEnd"/>
            <w:r w:rsidRPr="00DF4CE5">
              <w:rPr>
                <w:rFonts w:ascii="Cambria" w:hAnsi="Cambria" w:cs="Calibri"/>
              </w:rPr>
              <w:t xml:space="preserve"> </w:t>
            </w:r>
            <w:proofErr w:type="spellStart"/>
            <w:r w:rsidRPr="00DF4CE5">
              <w:rPr>
                <w:rFonts w:ascii="Cambria" w:hAnsi="Cambria" w:cs="Calibri"/>
              </w:rPr>
              <w:t>sa</w:t>
            </w:r>
            <w:proofErr w:type="spellEnd"/>
            <w:r w:rsidRPr="00DF4CE5">
              <w:rPr>
                <w:rFonts w:ascii="Cambria" w:hAnsi="Cambria" w:cs="Calibri"/>
              </w:rPr>
              <w:t xml:space="preserve"> </w:t>
            </w:r>
            <w:proofErr w:type="spellStart"/>
            <w:r w:rsidRPr="00DF4CE5">
              <w:rPr>
                <w:rFonts w:ascii="Cambria" w:hAnsi="Cambria" w:cs="Calibri"/>
              </w:rPr>
              <w:t>zbirkom</w:t>
            </w:r>
            <w:proofErr w:type="spellEnd"/>
            <w:r w:rsidRPr="00DF4CE5">
              <w:rPr>
                <w:rFonts w:ascii="Cambria" w:hAnsi="Cambria" w:cs="Calibri"/>
              </w:rPr>
              <w:t xml:space="preserve"> </w:t>
            </w:r>
            <w:proofErr w:type="spellStart"/>
            <w:r w:rsidRPr="00DF4CE5">
              <w:rPr>
                <w:rFonts w:ascii="Cambria" w:hAnsi="Cambria" w:cs="Calibri"/>
              </w:rPr>
              <w:t>zadataka</w:t>
            </w:r>
            <w:proofErr w:type="spellEnd"/>
            <w:r w:rsidRPr="00DF4CE5">
              <w:rPr>
                <w:rFonts w:ascii="Cambria" w:hAnsi="Cambria" w:cs="Calibri"/>
              </w:rPr>
              <w:t xml:space="preserve">, </w:t>
            </w:r>
            <w:proofErr w:type="spellStart"/>
            <w:r w:rsidRPr="00DF4CE5">
              <w:rPr>
                <w:rFonts w:ascii="Cambria" w:hAnsi="Cambria" w:cs="Calibri"/>
              </w:rPr>
              <w:t>Školska</w:t>
            </w:r>
            <w:proofErr w:type="spellEnd"/>
            <w:r w:rsidRPr="00DF4CE5">
              <w:rPr>
                <w:rFonts w:ascii="Cambria" w:hAnsi="Cambria" w:cs="Calibri"/>
              </w:rPr>
              <w:t xml:space="preserve"> </w:t>
            </w:r>
            <w:proofErr w:type="spellStart"/>
            <w:r w:rsidRPr="00DF4CE5">
              <w:rPr>
                <w:rFonts w:ascii="Cambria" w:hAnsi="Cambria" w:cs="Calibri"/>
              </w:rPr>
              <w:t>knjiga</w:t>
            </w:r>
            <w:proofErr w:type="spellEnd"/>
            <w:r w:rsidRPr="00DF4CE5">
              <w:rPr>
                <w:rFonts w:ascii="Cambria" w:hAnsi="Cambria" w:cs="Calibri"/>
              </w:rPr>
              <w:t>, Zagreb</w:t>
            </w:r>
          </w:p>
          <w:p w14:paraId="3E49A4CD" w14:textId="77777777" w:rsidR="003B70E5" w:rsidRPr="00DF4CE5" w:rsidRDefault="003B70E5" w:rsidP="00A034E3">
            <w:pPr>
              <w:numPr>
                <w:ilvl w:val="0"/>
                <w:numId w:val="9"/>
              </w:numPr>
              <w:spacing w:after="0" w:line="240" w:lineRule="auto"/>
              <w:rPr>
                <w:rFonts w:ascii="Cambria" w:hAnsi="Cambria" w:cs="Calibri"/>
                <w:bCs/>
                <w:lang w:val="it-IT"/>
              </w:rPr>
            </w:pPr>
            <w:proofErr w:type="spellStart"/>
            <w:r w:rsidRPr="00DF4CE5">
              <w:rPr>
                <w:rFonts w:ascii="Cambria" w:hAnsi="Cambria" w:cs="Calibri"/>
                <w:lang w:val="it-IT"/>
              </w:rPr>
              <w:t>Pavković</w:t>
            </w:r>
            <w:proofErr w:type="spellEnd"/>
            <w:r w:rsidRPr="00DF4CE5">
              <w:rPr>
                <w:rFonts w:ascii="Cambria" w:hAnsi="Cambria" w:cs="Calibri"/>
                <w:lang w:val="it-IT"/>
              </w:rPr>
              <w:t xml:space="preserve">, B., </w:t>
            </w:r>
            <w:proofErr w:type="spellStart"/>
            <w:r w:rsidRPr="00DF4CE5">
              <w:rPr>
                <w:rFonts w:ascii="Cambria" w:hAnsi="Cambria" w:cs="Calibri"/>
                <w:lang w:val="it-IT"/>
              </w:rPr>
              <w:t>Veljan</w:t>
            </w:r>
            <w:proofErr w:type="spellEnd"/>
            <w:r w:rsidRPr="00DF4CE5">
              <w:rPr>
                <w:rFonts w:ascii="Cambria" w:hAnsi="Cambria" w:cs="Calibri"/>
                <w:lang w:val="it-IT"/>
              </w:rPr>
              <w:t xml:space="preserve">, D., (2004). </w:t>
            </w:r>
            <w:proofErr w:type="spellStart"/>
            <w:r w:rsidRPr="00DF4CE5">
              <w:rPr>
                <w:rFonts w:ascii="Cambria" w:hAnsi="Cambria" w:cs="Calibri"/>
                <w:lang w:val="it-IT"/>
              </w:rPr>
              <w:t>Elementarna</w:t>
            </w:r>
            <w:proofErr w:type="spellEnd"/>
            <w:r w:rsidRPr="00DF4CE5">
              <w:rPr>
                <w:rFonts w:ascii="Cambria" w:hAnsi="Cambria" w:cs="Calibri"/>
                <w:lang w:val="it-IT"/>
              </w:rPr>
              <w:t xml:space="preserve"> </w:t>
            </w:r>
            <w:proofErr w:type="spellStart"/>
            <w:r w:rsidRPr="00DF4CE5">
              <w:rPr>
                <w:rFonts w:ascii="Cambria" w:hAnsi="Cambria" w:cs="Calibri"/>
                <w:lang w:val="it-IT"/>
              </w:rPr>
              <w:t>matematika</w:t>
            </w:r>
            <w:proofErr w:type="spellEnd"/>
            <w:r w:rsidRPr="00DF4CE5">
              <w:rPr>
                <w:rFonts w:ascii="Cambria" w:hAnsi="Cambria" w:cs="Calibri"/>
                <w:lang w:val="it-IT"/>
              </w:rPr>
              <w:t xml:space="preserve"> I, </w:t>
            </w:r>
            <w:proofErr w:type="spellStart"/>
            <w:r w:rsidRPr="00DF4CE5">
              <w:rPr>
                <w:rFonts w:ascii="Cambria" w:hAnsi="Cambria" w:cs="Calibri"/>
                <w:lang w:val="it-IT"/>
              </w:rPr>
              <w:t>Školska</w:t>
            </w:r>
            <w:proofErr w:type="spellEnd"/>
            <w:r w:rsidRPr="00DF4CE5">
              <w:rPr>
                <w:rFonts w:ascii="Cambria" w:hAnsi="Cambria" w:cs="Calibri"/>
                <w:lang w:val="it-IT"/>
              </w:rPr>
              <w:t xml:space="preserve"> </w:t>
            </w:r>
            <w:proofErr w:type="spellStart"/>
            <w:r w:rsidRPr="00DF4CE5">
              <w:rPr>
                <w:rFonts w:ascii="Cambria" w:hAnsi="Cambria" w:cs="Calibri"/>
                <w:lang w:val="it-IT"/>
              </w:rPr>
              <w:t>knjiga</w:t>
            </w:r>
            <w:proofErr w:type="spellEnd"/>
            <w:r w:rsidRPr="00DF4CE5">
              <w:rPr>
                <w:rFonts w:ascii="Cambria" w:hAnsi="Cambria" w:cs="Calibri"/>
                <w:lang w:val="it-IT"/>
              </w:rPr>
              <w:t xml:space="preserve">, </w:t>
            </w:r>
            <w:proofErr w:type="spellStart"/>
            <w:r w:rsidRPr="00DF4CE5">
              <w:rPr>
                <w:rFonts w:ascii="Cambria" w:hAnsi="Cambria" w:cs="Calibri"/>
                <w:lang w:val="it-IT"/>
              </w:rPr>
              <w:t>Zagreb</w:t>
            </w:r>
            <w:proofErr w:type="spellEnd"/>
          </w:p>
          <w:p w14:paraId="10961E3C" w14:textId="6D56A790" w:rsidR="003B70E5" w:rsidRPr="00ED1945" w:rsidRDefault="003B70E5" w:rsidP="00A034E3">
            <w:pPr>
              <w:numPr>
                <w:ilvl w:val="0"/>
                <w:numId w:val="9"/>
              </w:numPr>
              <w:spacing w:after="0" w:line="240" w:lineRule="auto"/>
              <w:rPr>
                <w:rFonts w:ascii="Cambria" w:hAnsi="Cambria" w:cs="Calibri"/>
              </w:rPr>
            </w:pPr>
            <w:proofErr w:type="spellStart"/>
            <w:r w:rsidRPr="00DF4CE5">
              <w:rPr>
                <w:rFonts w:ascii="Cambria" w:hAnsi="Cambria" w:cs="Calibri"/>
                <w:lang w:val="it-IT"/>
              </w:rPr>
              <w:t>Sedmak</w:t>
            </w:r>
            <w:proofErr w:type="spellEnd"/>
            <w:r w:rsidRPr="00DF4CE5">
              <w:rPr>
                <w:rFonts w:ascii="Cambria" w:hAnsi="Cambria" w:cs="Calibri"/>
                <w:lang w:val="it-IT"/>
              </w:rPr>
              <w:t xml:space="preserve"> S. (2010</w:t>
            </w:r>
            <w:proofErr w:type="gramStart"/>
            <w:r w:rsidRPr="00DF4CE5">
              <w:rPr>
                <w:rFonts w:ascii="Cambria" w:hAnsi="Cambria" w:cs="Calibri"/>
                <w:lang w:val="it-IT"/>
              </w:rPr>
              <w:t>).</w:t>
            </w:r>
            <w:proofErr w:type="spellStart"/>
            <w:r w:rsidRPr="00DF4CE5">
              <w:rPr>
                <w:rFonts w:ascii="Cambria" w:hAnsi="Cambria" w:cs="Calibri"/>
                <w:lang w:val="it-IT"/>
              </w:rPr>
              <w:t>Demistificirana</w:t>
            </w:r>
            <w:proofErr w:type="spellEnd"/>
            <w:proofErr w:type="gramEnd"/>
            <w:r w:rsidRPr="00DF4CE5">
              <w:rPr>
                <w:rFonts w:ascii="Cambria" w:hAnsi="Cambria" w:cs="Calibri"/>
                <w:lang w:val="it-IT"/>
              </w:rPr>
              <w:t xml:space="preserve"> </w:t>
            </w:r>
            <w:proofErr w:type="spellStart"/>
            <w:r w:rsidRPr="00DF4CE5">
              <w:rPr>
                <w:rFonts w:ascii="Cambria" w:hAnsi="Cambria" w:cs="Calibri"/>
                <w:lang w:val="it-IT"/>
              </w:rPr>
              <w:t>matematika</w:t>
            </w:r>
            <w:proofErr w:type="spellEnd"/>
            <w:r w:rsidRPr="00DF4CE5">
              <w:rPr>
                <w:rFonts w:ascii="Cambria" w:hAnsi="Cambria" w:cs="Calibri"/>
                <w:lang w:val="it-IT"/>
              </w:rPr>
              <w:t xml:space="preserve">, </w:t>
            </w:r>
            <w:proofErr w:type="spellStart"/>
            <w:r w:rsidRPr="00DF4CE5">
              <w:rPr>
                <w:rFonts w:ascii="Cambria" w:hAnsi="Cambria" w:cs="Calibri"/>
                <w:lang w:val="it-IT"/>
              </w:rPr>
              <w:t>Element</w:t>
            </w:r>
            <w:proofErr w:type="spellEnd"/>
            <w:r w:rsidRPr="00DF4CE5">
              <w:rPr>
                <w:rFonts w:ascii="Cambria" w:hAnsi="Cambria" w:cs="Calibri"/>
                <w:lang w:val="it-IT"/>
              </w:rPr>
              <w:t xml:space="preserve">. </w:t>
            </w:r>
            <w:r w:rsidRPr="00DF4CE5">
              <w:rPr>
                <w:rFonts w:ascii="Cambria" w:hAnsi="Cambria" w:cs="Calibri"/>
              </w:rPr>
              <w:t>Zagreb</w:t>
            </w:r>
          </w:p>
          <w:p w14:paraId="6A129001" w14:textId="77777777" w:rsidR="003B70E5" w:rsidRPr="00DF4CE5" w:rsidRDefault="003B70E5" w:rsidP="00ED1945">
            <w:pPr>
              <w:spacing w:after="0" w:line="240" w:lineRule="auto"/>
              <w:rPr>
                <w:rFonts w:ascii="Cambria" w:hAnsi="Cambria" w:cs="Calibri"/>
                <w:bCs/>
              </w:rPr>
            </w:pPr>
            <w:proofErr w:type="spellStart"/>
            <w:r w:rsidRPr="00DF4CE5">
              <w:rPr>
                <w:rFonts w:ascii="Cambria" w:hAnsi="Cambria" w:cs="Calibri"/>
                <w:bCs/>
              </w:rPr>
              <w:t>Priručna</w:t>
            </w:r>
            <w:proofErr w:type="spellEnd"/>
            <w:r w:rsidRPr="00DF4CE5">
              <w:rPr>
                <w:rFonts w:ascii="Cambria" w:hAnsi="Cambria" w:cs="Calibri"/>
                <w:bCs/>
              </w:rPr>
              <w:t>:</w:t>
            </w:r>
          </w:p>
          <w:p w14:paraId="652B56A5" w14:textId="073283B4" w:rsidR="003B70E5" w:rsidRPr="00DF4CE5" w:rsidRDefault="003B70E5" w:rsidP="00A034E3">
            <w:pPr>
              <w:pStyle w:val="Odlomakpopisa"/>
              <w:numPr>
                <w:ilvl w:val="0"/>
                <w:numId w:val="62"/>
              </w:numPr>
              <w:spacing w:after="0" w:line="240" w:lineRule="auto"/>
              <w:rPr>
                <w:rFonts w:ascii="Cambria" w:hAnsi="Cambria" w:cs="Calibri"/>
              </w:rPr>
            </w:pPr>
            <w:r w:rsidRPr="00DF4CE5">
              <w:rPr>
                <w:rFonts w:ascii="Cambria" w:hAnsi="Cambria" w:cs="Calibri"/>
              </w:rPr>
              <w:t xml:space="preserve">Juričić Devčić,  M., Perkov, T.,  Trupčević, G., Vuković, P. (2018). Zbirka zadataka iz matematike za studente učiteljskih studija (2018). Učiteljski fakultet Sveučilišta u Zagrebu, Zagreb  </w:t>
            </w:r>
            <w:hyperlink r:id="rId68" w:history="1">
              <w:r w:rsidR="00E91AAA" w:rsidRPr="007017E9">
                <w:rPr>
                  <w:rStyle w:val="Hiperveza"/>
                  <w:rFonts w:ascii="Cambria" w:hAnsi="Cambria" w:cs="Calibri"/>
                </w:rPr>
                <w:t>http://ed2.ufzg.hr/press/index.php/UFZG/catalog/book/87</w:t>
              </w:r>
            </w:hyperlink>
            <w:r w:rsidRPr="00DF4CE5">
              <w:rPr>
                <w:rFonts w:ascii="Cambria" w:hAnsi="Cambria" w:cs="Calibri"/>
              </w:rPr>
              <w:t xml:space="preserve"> </w:t>
            </w:r>
          </w:p>
          <w:p w14:paraId="4AA7E171" w14:textId="77777777" w:rsidR="003B70E5" w:rsidRPr="00DF4CE5" w:rsidRDefault="003B70E5" w:rsidP="00A034E3">
            <w:pPr>
              <w:numPr>
                <w:ilvl w:val="0"/>
                <w:numId w:val="62"/>
              </w:numPr>
              <w:spacing w:after="0" w:line="240" w:lineRule="auto"/>
              <w:rPr>
                <w:rFonts w:ascii="Cambria" w:hAnsi="Cambria" w:cs="Calibri"/>
                <w:lang w:val="it-IT"/>
              </w:rPr>
            </w:pPr>
            <w:proofErr w:type="spellStart"/>
            <w:r w:rsidRPr="00DF4CE5">
              <w:rPr>
                <w:rFonts w:ascii="Cambria" w:hAnsi="Cambria" w:cs="Calibri"/>
                <w:lang w:val="it-IT"/>
              </w:rPr>
              <w:t>Udžbenici</w:t>
            </w:r>
            <w:proofErr w:type="spellEnd"/>
            <w:r w:rsidRPr="00DF4CE5">
              <w:rPr>
                <w:rFonts w:ascii="Cambria" w:hAnsi="Cambria" w:cs="Calibri"/>
                <w:lang w:val="it-IT"/>
              </w:rPr>
              <w:t xml:space="preserve"> i </w:t>
            </w:r>
            <w:proofErr w:type="spellStart"/>
            <w:r w:rsidRPr="00DF4CE5">
              <w:rPr>
                <w:rFonts w:ascii="Cambria" w:hAnsi="Cambria" w:cs="Calibri"/>
                <w:lang w:val="it-IT"/>
              </w:rPr>
              <w:t>zbirke</w:t>
            </w:r>
            <w:proofErr w:type="spellEnd"/>
            <w:r w:rsidRPr="00DF4CE5">
              <w:rPr>
                <w:rFonts w:ascii="Cambria" w:hAnsi="Cambria" w:cs="Calibri"/>
                <w:lang w:val="it-IT"/>
              </w:rPr>
              <w:t xml:space="preserve"> </w:t>
            </w:r>
            <w:proofErr w:type="spellStart"/>
            <w:r w:rsidRPr="00DF4CE5">
              <w:rPr>
                <w:rFonts w:ascii="Cambria" w:hAnsi="Cambria" w:cs="Calibri"/>
                <w:lang w:val="it-IT"/>
              </w:rPr>
              <w:t>zadataka</w:t>
            </w:r>
            <w:proofErr w:type="spellEnd"/>
            <w:r w:rsidRPr="00DF4CE5">
              <w:rPr>
                <w:rFonts w:ascii="Cambria" w:hAnsi="Cambria" w:cs="Calibri"/>
                <w:lang w:val="it-IT"/>
              </w:rPr>
              <w:t xml:space="preserve"> za </w:t>
            </w:r>
            <w:proofErr w:type="spellStart"/>
            <w:r w:rsidRPr="00DF4CE5">
              <w:rPr>
                <w:rFonts w:ascii="Cambria" w:hAnsi="Cambria" w:cs="Calibri"/>
                <w:lang w:val="it-IT"/>
              </w:rPr>
              <w:t>matematiku</w:t>
            </w:r>
            <w:proofErr w:type="spellEnd"/>
            <w:r w:rsidRPr="00DF4CE5">
              <w:rPr>
                <w:rFonts w:ascii="Cambria" w:hAnsi="Cambria" w:cs="Calibri"/>
                <w:lang w:val="it-IT"/>
              </w:rPr>
              <w:t xml:space="preserve"> u </w:t>
            </w:r>
            <w:proofErr w:type="spellStart"/>
            <w:r w:rsidRPr="00DF4CE5">
              <w:rPr>
                <w:rFonts w:ascii="Cambria" w:hAnsi="Cambria" w:cs="Calibri"/>
                <w:lang w:val="it-IT"/>
              </w:rPr>
              <w:t>osnovnim</w:t>
            </w:r>
            <w:proofErr w:type="spellEnd"/>
            <w:r w:rsidRPr="00DF4CE5">
              <w:rPr>
                <w:rFonts w:ascii="Cambria" w:hAnsi="Cambria" w:cs="Calibri"/>
                <w:lang w:val="it-IT"/>
              </w:rPr>
              <w:t xml:space="preserve"> i </w:t>
            </w:r>
            <w:proofErr w:type="spellStart"/>
            <w:r w:rsidRPr="00DF4CE5">
              <w:rPr>
                <w:rFonts w:ascii="Cambria" w:hAnsi="Cambria" w:cs="Calibri"/>
                <w:lang w:val="it-IT"/>
              </w:rPr>
              <w:t>srednjim</w:t>
            </w:r>
            <w:proofErr w:type="spellEnd"/>
            <w:r w:rsidRPr="00DF4CE5">
              <w:rPr>
                <w:rFonts w:ascii="Cambria" w:hAnsi="Cambria" w:cs="Calibri"/>
                <w:lang w:val="it-IT"/>
              </w:rPr>
              <w:t xml:space="preserve"> </w:t>
            </w:r>
            <w:proofErr w:type="spellStart"/>
            <w:r w:rsidRPr="00DF4CE5">
              <w:rPr>
                <w:rFonts w:ascii="Cambria" w:hAnsi="Cambria" w:cs="Calibri"/>
                <w:lang w:val="it-IT"/>
              </w:rPr>
              <w:t>školama</w:t>
            </w:r>
            <w:proofErr w:type="spellEnd"/>
          </w:p>
        </w:tc>
      </w:tr>
    </w:tbl>
    <w:p w14:paraId="4268D9E6" w14:textId="04611841" w:rsidR="00510729" w:rsidRPr="00DF4CE5" w:rsidRDefault="00510729" w:rsidP="00ED1945">
      <w:pPr>
        <w:rPr>
          <w:rFonts w:ascii="Cambria" w:hAnsi="Cambria"/>
          <w:lang w:val="hr-HR"/>
        </w:rPr>
      </w:pPr>
    </w:p>
    <w:tbl>
      <w:tblPr>
        <w:tblW w:w="5000" w:type="pct"/>
        <w:tblLayout w:type="fixed"/>
        <w:tblCellMar>
          <w:left w:w="0" w:type="dxa"/>
          <w:right w:w="0" w:type="dxa"/>
        </w:tblCellMar>
        <w:tblLook w:val="0600" w:firstRow="0" w:lastRow="0" w:firstColumn="0" w:lastColumn="0" w:noHBand="1" w:noVBand="1"/>
      </w:tblPr>
      <w:tblGrid>
        <w:gridCol w:w="2809"/>
        <w:gridCol w:w="2575"/>
        <w:gridCol w:w="360"/>
        <w:gridCol w:w="1003"/>
        <w:gridCol w:w="158"/>
        <w:gridCol w:w="613"/>
        <w:gridCol w:w="1087"/>
        <w:gridCol w:w="1415"/>
      </w:tblGrid>
      <w:tr w:rsidR="00510729" w:rsidRPr="00DF4CE5" w14:paraId="0CBF1C0B" w14:textId="77777777" w:rsidTr="00B71FDE">
        <w:tc>
          <w:tcPr>
            <w:tcW w:w="9648"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6AED8C7" w14:textId="77777777" w:rsidR="00510729" w:rsidRPr="00DF4CE5" w:rsidRDefault="00510729" w:rsidP="00510729">
            <w:pPr>
              <w:spacing w:after="0" w:line="240" w:lineRule="atLeast"/>
              <w:jc w:val="right"/>
              <w:rPr>
                <w:rFonts w:ascii="Cambria" w:eastAsia="Times New Roman" w:hAnsi="Cambria" w:cs="Calibri"/>
                <w:b/>
                <w:lang w:val="hr-HR"/>
              </w:rPr>
            </w:pPr>
            <w:r w:rsidRPr="00DF4CE5">
              <w:rPr>
                <w:rFonts w:ascii="Cambria" w:eastAsia="Times New Roman" w:hAnsi="Cambria" w:cs="Calibri"/>
                <w:b/>
                <w:lang w:val="hr-HR"/>
              </w:rPr>
              <w:lastRenderedPageBreak/>
              <w:t>IZVEDBENI PLAN NASTAVE KOLEGIJA</w:t>
            </w:r>
          </w:p>
        </w:tc>
      </w:tr>
      <w:tr w:rsidR="00510729" w:rsidRPr="00DF4CE5" w14:paraId="694FA09A" w14:textId="77777777" w:rsidTr="00B71FDE">
        <w:tc>
          <w:tcPr>
            <w:tcW w:w="270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AA38BFE" w14:textId="77777777" w:rsidR="00510729" w:rsidRPr="00DF4CE5" w:rsidRDefault="00510729" w:rsidP="00510729">
            <w:pPr>
              <w:spacing w:after="0" w:line="240" w:lineRule="atLeast"/>
              <w:rPr>
                <w:rFonts w:ascii="Cambria" w:eastAsia="Times New Roman" w:hAnsi="Cambria" w:cs="Calibri"/>
                <w:lang w:val="hr-HR"/>
              </w:rPr>
            </w:pPr>
            <w:r w:rsidRPr="00DF4CE5">
              <w:rPr>
                <w:rFonts w:ascii="Cambria" w:eastAsia="Times New Roman" w:hAnsi="Cambria" w:cs="Calibri"/>
                <w:lang w:val="hr-HR"/>
              </w:rPr>
              <w:t>Kod i naziv kolegija</w:t>
            </w:r>
          </w:p>
        </w:tc>
        <w:tc>
          <w:tcPr>
            <w:tcW w:w="6943"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61B7C30" w14:textId="77777777" w:rsidR="00CE1FD6" w:rsidRPr="00DF4CE5" w:rsidRDefault="00CE1FD6" w:rsidP="00510729">
            <w:pPr>
              <w:spacing w:after="0" w:line="240" w:lineRule="atLeast"/>
              <w:rPr>
                <w:rFonts w:ascii="Cambria" w:eastAsia="Times New Roman" w:hAnsi="Cambria" w:cs="Calibri"/>
                <w:bCs/>
                <w:lang w:val="hr-HR"/>
              </w:rPr>
            </w:pPr>
            <w:r w:rsidRPr="00DF4CE5">
              <w:rPr>
                <w:rFonts w:ascii="Cambria" w:eastAsia="Times New Roman" w:hAnsi="Cambria" w:cs="Calibri"/>
                <w:bCs/>
                <w:lang w:val="hr-HR"/>
              </w:rPr>
              <w:t>63578</w:t>
            </w:r>
          </w:p>
          <w:p w14:paraId="65F7AA5D" w14:textId="3A9C37F5" w:rsidR="00510729" w:rsidRPr="00DF4CE5" w:rsidRDefault="00510729" w:rsidP="00510729">
            <w:pPr>
              <w:spacing w:after="0" w:line="240" w:lineRule="atLeast"/>
              <w:rPr>
                <w:rFonts w:ascii="Cambria" w:eastAsia="Times New Roman" w:hAnsi="Cambria" w:cs="Calibri"/>
                <w:bCs/>
                <w:lang w:val="hr-HR"/>
              </w:rPr>
            </w:pPr>
            <w:r w:rsidRPr="00DF4CE5">
              <w:rPr>
                <w:rFonts w:ascii="Cambria" w:eastAsia="Times New Roman" w:hAnsi="Cambria" w:cs="Calibri"/>
                <w:bCs/>
                <w:lang w:val="hr-HR"/>
              </w:rPr>
              <w:t>Geografija</w:t>
            </w:r>
          </w:p>
        </w:tc>
      </w:tr>
      <w:tr w:rsidR="00510729" w:rsidRPr="00D0399C" w14:paraId="1F5E3BA5" w14:textId="77777777" w:rsidTr="00B71FDE">
        <w:tc>
          <w:tcPr>
            <w:tcW w:w="270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ED12696" w14:textId="77777777" w:rsidR="00510729" w:rsidRPr="00DF4CE5" w:rsidRDefault="00510729" w:rsidP="00510729">
            <w:pPr>
              <w:spacing w:after="0" w:line="240" w:lineRule="atLeast"/>
              <w:rPr>
                <w:rFonts w:ascii="Cambria" w:eastAsia="Times New Roman" w:hAnsi="Cambria" w:cs="Calibri"/>
                <w:lang w:val="hr-HR"/>
              </w:rPr>
            </w:pPr>
            <w:r w:rsidRPr="00DF4CE5">
              <w:rPr>
                <w:rFonts w:ascii="Cambria" w:eastAsia="Times New Roman" w:hAnsi="Cambria" w:cs="Calibri"/>
                <w:lang w:val="hr-HR"/>
              </w:rPr>
              <w:t>Nastavnik</w:t>
            </w:r>
          </w:p>
          <w:p w14:paraId="28C21EE3" w14:textId="77777777" w:rsidR="00510729" w:rsidRPr="00DF4CE5" w:rsidRDefault="00510729" w:rsidP="00510729">
            <w:pPr>
              <w:spacing w:after="0" w:line="240" w:lineRule="atLeast"/>
              <w:rPr>
                <w:rFonts w:ascii="Cambria" w:eastAsia="Times New Roman" w:hAnsi="Cambria" w:cs="Calibri"/>
                <w:lang w:val="hr-HR"/>
              </w:rPr>
            </w:pPr>
          </w:p>
        </w:tc>
        <w:tc>
          <w:tcPr>
            <w:tcW w:w="6943"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A27AE80" w14:textId="3F8699D3" w:rsidR="00510729" w:rsidRPr="00DF4CE5" w:rsidRDefault="00E91AAA" w:rsidP="00510729">
            <w:pPr>
              <w:spacing w:after="0" w:line="240" w:lineRule="atLeast"/>
              <w:rPr>
                <w:rFonts w:ascii="Cambria" w:eastAsia="Calibri" w:hAnsi="Cambria" w:cs="Calibri"/>
                <w:lang w:val="hr-HR"/>
              </w:rPr>
            </w:pPr>
            <w:hyperlink r:id="rId69" w:history="1">
              <w:r w:rsidRPr="00ED1945">
                <w:rPr>
                  <w:rStyle w:val="Hiperveza"/>
                  <w:rFonts w:ascii="Cambria" w:eastAsia="Calibri" w:hAnsi="Cambria" w:cs="Calibri"/>
                  <w:lang w:val="hr-HR"/>
                </w:rPr>
                <w:t>I</w:t>
              </w:r>
              <w:r w:rsidR="00510729" w:rsidRPr="00ED1945">
                <w:rPr>
                  <w:rStyle w:val="Hiperveza"/>
                  <w:rFonts w:ascii="Cambria" w:eastAsia="Calibri" w:hAnsi="Cambria" w:cs="Calibri"/>
                  <w:lang w:val="hr-HR"/>
                </w:rPr>
                <w:t>zv. prof. dr. sc. Nikola Vojnović</w:t>
              </w:r>
            </w:hyperlink>
            <w:r w:rsidR="00510729" w:rsidRPr="00ED1945">
              <w:rPr>
                <w:rFonts w:ascii="Cambria" w:eastAsia="Calibri" w:hAnsi="Cambria" w:cs="Calibri"/>
                <w:lang w:val="hr-HR"/>
              </w:rPr>
              <w:t xml:space="preserve"> </w:t>
            </w:r>
            <w:r w:rsidR="00510729" w:rsidRPr="00DF4CE5">
              <w:rPr>
                <w:rFonts w:ascii="Cambria" w:eastAsia="Calibri" w:hAnsi="Cambria" w:cs="Calibri"/>
                <w:lang w:val="hr-HR"/>
              </w:rPr>
              <w:t>(nositelj)</w:t>
            </w:r>
          </w:p>
        </w:tc>
      </w:tr>
      <w:tr w:rsidR="00510729" w:rsidRPr="00D0399C" w14:paraId="12B22414" w14:textId="77777777" w:rsidTr="00B71FDE">
        <w:tc>
          <w:tcPr>
            <w:tcW w:w="270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D22E5EE" w14:textId="77777777" w:rsidR="00510729" w:rsidRPr="00DF4CE5" w:rsidRDefault="00510729" w:rsidP="00510729">
            <w:pPr>
              <w:spacing w:after="0" w:line="240" w:lineRule="atLeast"/>
              <w:rPr>
                <w:rFonts w:ascii="Cambria" w:eastAsia="Times New Roman" w:hAnsi="Cambria" w:cs="Calibri"/>
                <w:lang w:val="hr-HR"/>
              </w:rPr>
            </w:pPr>
            <w:r w:rsidRPr="00DF4CE5">
              <w:rPr>
                <w:rFonts w:ascii="Cambria" w:eastAsia="Times New Roman" w:hAnsi="Cambria" w:cs="Calibri"/>
                <w:lang w:val="hr-HR"/>
              </w:rPr>
              <w:t>Studijski program</w:t>
            </w:r>
          </w:p>
        </w:tc>
        <w:tc>
          <w:tcPr>
            <w:tcW w:w="6943"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EDBD61E" w14:textId="77777777" w:rsidR="00510729" w:rsidRPr="00DF4CE5" w:rsidRDefault="00510729" w:rsidP="00510729">
            <w:pPr>
              <w:spacing w:after="0" w:line="240" w:lineRule="atLeast"/>
              <w:rPr>
                <w:rFonts w:ascii="Cambria" w:eastAsia="Times New Roman" w:hAnsi="Cambria" w:cs="Calibri"/>
                <w:lang w:val="hr-HR"/>
              </w:rPr>
            </w:pPr>
            <w:r w:rsidRPr="00DF4CE5">
              <w:rPr>
                <w:rFonts w:ascii="Cambria" w:eastAsia="Calibri" w:hAnsi="Cambria" w:cs="Calibri"/>
                <w:lang w:val="hr-HR"/>
              </w:rPr>
              <w:t>Sveučilišni integrirani prijediplomski i diplomski Učiteljski studij na hrvatskom jeziku</w:t>
            </w:r>
          </w:p>
        </w:tc>
      </w:tr>
      <w:tr w:rsidR="00510729" w:rsidRPr="00DF4CE5" w14:paraId="3D7E5353" w14:textId="77777777" w:rsidTr="00B71FDE">
        <w:tc>
          <w:tcPr>
            <w:tcW w:w="270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71ECB50" w14:textId="77777777" w:rsidR="00510729" w:rsidRPr="00DF4CE5" w:rsidRDefault="00510729" w:rsidP="00510729">
            <w:pPr>
              <w:spacing w:after="0" w:line="240" w:lineRule="atLeast"/>
              <w:rPr>
                <w:rFonts w:ascii="Cambria" w:eastAsia="Times New Roman" w:hAnsi="Cambria" w:cs="Calibri"/>
                <w:lang w:val="hr-HR"/>
              </w:rPr>
            </w:pPr>
            <w:r w:rsidRPr="00DF4CE5">
              <w:rPr>
                <w:rFonts w:ascii="Cambria" w:eastAsia="Times New Roman" w:hAnsi="Cambria" w:cs="Calibri"/>
                <w:lang w:val="hr-HR"/>
              </w:rPr>
              <w:t>Vrsta kolegija</w:t>
            </w:r>
          </w:p>
        </w:tc>
        <w:tc>
          <w:tcPr>
            <w:tcW w:w="247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36A90CE" w14:textId="77777777" w:rsidR="00510729" w:rsidRPr="00DF4CE5" w:rsidRDefault="00510729" w:rsidP="00510729">
            <w:pPr>
              <w:spacing w:after="0" w:line="240" w:lineRule="atLeast"/>
              <w:rPr>
                <w:rFonts w:ascii="Cambria" w:eastAsia="Times New Roman" w:hAnsi="Cambria" w:cs="Calibri"/>
                <w:lang w:val="hr-HR"/>
              </w:rPr>
            </w:pPr>
            <w:r w:rsidRPr="00DF4CE5">
              <w:rPr>
                <w:rFonts w:ascii="Cambria" w:eastAsia="Times New Roman" w:hAnsi="Cambria" w:cs="Calibri"/>
                <w:lang w:val="hr-HR"/>
              </w:rPr>
              <w:t xml:space="preserve">obvezan </w:t>
            </w:r>
          </w:p>
        </w:tc>
        <w:tc>
          <w:tcPr>
            <w:tcW w:w="1465"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3A421962" w14:textId="77777777" w:rsidR="00510729" w:rsidRPr="00DF4CE5" w:rsidRDefault="00510729" w:rsidP="00510729">
            <w:pPr>
              <w:spacing w:after="0" w:line="240" w:lineRule="atLeast"/>
              <w:rPr>
                <w:rFonts w:ascii="Cambria" w:eastAsia="Times New Roman" w:hAnsi="Cambria" w:cs="Calibri"/>
                <w:lang w:val="hr-HR"/>
              </w:rPr>
            </w:pPr>
            <w:r w:rsidRPr="00DF4CE5">
              <w:rPr>
                <w:rFonts w:ascii="Cambria" w:eastAsia="Times New Roman" w:hAnsi="Cambria" w:cs="Calibri"/>
                <w:lang w:val="hr-HR"/>
              </w:rPr>
              <w:t>Razina kolegija</w:t>
            </w:r>
          </w:p>
        </w:tc>
        <w:tc>
          <w:tcPr>
            <w:tcW w:w="2999"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4D4A9AF" w14:textId="0E5F5E53" w:rsidR="00510729" w:rsidRPr="00DF4CE5" w:rsidRDefault="00CE1FD6" w:rsidP="00510729">
            <w:pPr>
              <w:spacing w:after="0" w:line="240" w:lineRule="atLeast"/>
              <w:rPr>
                <w:rFonts w:ascii="Cambria" w:eastAsia="Times New Roman" w:hAnsi="Cambria" w:cs="Calibri"/>
                <w:lang w:val="hr-HR"/>
              </w:rPr>
            </w:pPr>
            <w:r w:rsidRPr="00DF4CE5">
              <w:rPr>
                <w:rFonts w:ascii="Cambria" w:eastAsia="Times New Roman" w:hAnsi="Cambria" w:cs="Calibri"/>
                <w:lang w:val="hr-HR"/>
              </w:rPr>
              <w:t>I</w:t>
            </w:r>
            <w:r w:rsidR="00510729" w:rsidRPr="00DF4CE5">
              <w:rPr>
                <w:rFonts w:ascii="Cambria" w:eastAsia="Times New Roman" w:hAnsi="Cambria" w:cs="Calibri"/>
                <w:lang w:val="hr-HR"/>
              </w:rPr>
              <w:t>ntegrirani</w:t>
            </w:r>
          </w:p>
        </w:tc>
      </w:tr>
      <w:tr w:rsidR="00510729" w:rsidRPr="00DF4CE5" w14:paraId="702FE872" w14:textId="77777777" w:rsidTr="00B71FDE">
        <w:tc>
          <w:tcPr>
            <w:tcW w:w="270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24F6C32" w14:textId="77777777" w:rsidR="00510729" w:rsidRPr="00DF4CE5" w:rsidRDefault="00510729" w:rsidP="00510729">
            <w:pPr>
              <w:spacing w:after="0" w:line="240" w:lineRule="atLeast"/>
              <w:rPr>
                <w:rFonts w:ascii="Cambria" w:eastAsia="Times New Roman" w:hAnsi="Cambria" w:cs="Calibri"/>
                <w:lang w:val="hr-HR"/>
              </w:rPr>
            </w:pPr>
            <w:r w:rsidRPr="00DF4CE5">
              <w:rPr>
                <w:rFonts w:ascii="Cambria" w:eastAsia="Times New Roman" w:hAnsi="Cambria" w:cs="Calibri"/>
                <w:lang w:val="hr-HR"/>
              </w:rPr>
              <w:t>Semestar</w:t>
            </w:r>
          </w:p>
        </w:tc>
        <w:tc>
          <w:tcPr>
            <w:tcW w:w="247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BF69A39" w14:textId="0C6F0905" w:rsidR="00510729" w:rsidRPr="00DF4CE5" w:rsidRDefault="00ED1945" w:rsidP="00510729">
            <w:pPr>
              <w:spacing w:after="0" w:line="240" w:lineRule="atLeast"/>
              <w:rPr>
                <w:rFonts w:ascii="Cambria" w:eastAsia="Times New Roman" w:hAnsi="Cambria" w:cs="Calibri"/>
                <w:lang w:val="hr-HR"/>
              </w:rPr>
            </w:pPr>
            <w:r>
              <w:rPr>
                <w:rFonts w:ascii="Cambria" w:eastAsia="Times New Roman" w:hAnsi="Cambria" w:cs="Calibri"/>
                <w:lang w:val="hr-HR"/>
              </w:rPr>
              <w:t>z</w:t>
            </w:r>
            <w:r w:rsidR="00510729" w:rsidRPr="00DF4CE5">
              <w:rPr>
                <w:rFonts w:ascii="Cambria" w:eastAsia="Times New Roman" w:hAnsi="Cambria" w:cs="Calibri"/>
                <w:lang w:val="hr-HR"/>
              </w:rPr>
              <w:t>imski</w:t>
            </w:r>
          </w:p>
        </w:tc>
        <w:tc>
          <w:tcPr>
            <w:tcW w:w="1465"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2E87514D" w14:textId="77777777" w:rsidR="00510729" w:rsidRPr="00DF4CE5" w:rsidRDefault="00510729" w:rsidP="00510729">
            <w:pPr>
              <w:spacing w:after="0" w:line="240" w:lineRule="atLeast"/>
              <w:rPr>
                <w:rFonts w:ascii="Cambria" w:eastAsia="Times New Roman" w:hAnsi="Cambria" w:cs="Calibri"/>
                <w:lang w:val="hr-HR"/>
              </w:rPr>
            </w:pPr>
            <w:r w:rsidRPr="00DF4CE5">
              <w:rPr>
                <w:rFonts w:ascii="Cambria" w:eastAsia="Times New Roman" w:hAnsi="Cambria" w:cs="Calibri"/>
                <w:lang w:val="hr-HR"/>
              </w:rPr>
              <w:t>Godina studija</w:t>
            </w:r>
          </w:p>
        </w:tc>
        <w:tc>
          <w:tcPr>
            <w:tcW w:w="2999"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846D396" w14:textId="77777777" w:rsidR="00510729" w:rsidRPr="00DF4CE5" w:rsidRDefault="00510729" w:rsidP="00510729">
            <w:pPr>
              <w:spacing w:after="0" w:line="240" w:lineRule="atLeast"/>
              <w:rPr>
                <w:rFonts w:ascii="Cambria" w:eastAsia="Times New Roman" w:hAnsi="Cambria" w:cs="Calibri"/>
                <w:lang w:val="hr-HR"/>
              </w:rPr>
            </w:pPr>
            <w:r w:rsidRPr="00DF4CE5">
              <w:rPr>
                <w:rFonts w:ascii="Cambria" w:eastAsia="Times New Roman" w:hAnsi="Cambria" w:cs="Calibri"/>
                <w:lang w:val="hr-HR"/>
              </w:rPr>
              <w:t xml:space="preserve">II. </w:t>
            </w:r>
          </w:p>
        </w:tc>
      </w:tr>
      <w:tr w:rsidR="00510729" w:rsidRPr="00DF4CE5" w14:paraId="0F581C71" w14:textId="77777777" w:rsidTr="00B71FDE">
        <w:tc>
          <w:tcPr>
            <w:tcW w:w="270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8F55E23" w14:textId="77777777" w:rsidR="00510729" w:rsidRPr="00DF4CE5" w:rsidRDefault="00510729" w:rsidP="00510729">
            <w:pPr>
              <w:spacing w:after="0" w:line="240" w:lineRule="atLeast"/>
              <w:rPr>
                <w:rFonts w:ascii="Cambria" w:eastAsia="Times New Roman" w:hAnsi="Cambria" w:cs="Calibri"/>
                <w:lang w:val="hr-HR"/>
              </w:rPr>
            </w:pPr>
            <w:r w:rsidRPr="00DF4CE5">
              <w:rPr>
                <w:rFonts w:ascii="Cambria" w:eastAsia="Times New Roman" w:hAnsi="Cambria" w:cs="Calibri"/>
                <w:lang w:val="hr-HR"/>
              </w:rPr>
              <w:t>Mjesto izvođenja</w:t>
            </w:r>
          </w:p>
        </w:tc>
        <w:tc>
          <w:tcPr>
            <w:tcW w:w="247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8296750" w14:textId="6629FA52" w:rsidR="00510729" w:rsidRPr="00DF4CE5" w:rsidRDefault="00ED1945" w:rsidP="00510729">
            <w:pPr>
              <w:spacing w:after="0" w:line="240" w:lineRule="atLeast"/>
              <w:rPr>
                <w:rFonts w:ascii="Cambria" w:eastAsia="Times New Roman" w:hAnsi="Cambria" w:cs="Calibri"/>
                <w:lang w:val="hr-HR"/>
              </w:rPr>
            </w:pPr>
            <w:r>
              <w:rPr>
                <w:rFonts w:ascii="Cambria" w:eastAsia="Times New Roman" w:hAnsi="Cambria" w:cs="Calibri"/>
                <w:lang w:val="hr-HR"/>
              </w:rPr>
              <w:t>učionica</w:t>
            </w:r>
          </w:p>
        </w:tc>
        <w:tc>
          <w:tcPr>
            <w:tcW w:w="1465"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676D58FA" w14:textId="77777777" w:rsidR="00510729" w:rsidRPr="00DF4CE5" w:rsidRDefault="00510729" w:rsidP="00510729">
            <w:pPr>
              <w:spacing w:after="0" w:line="240" w:lineRule="atLeast"/>
              <w:rPr>
                <w:rFonts w:ascii="Cambria" w:eastAsia="Times New Roman" w:hAnsi="Cambria" w:cs="Calibri"/>
                <w:lang w:val="hr-HR"/>
              </w:rPr>
            </w:pPr>
            <w:r w:rsidRPr="00DF4CE5">
              <w:rPr>
                <w:rFonts w:ascii="Cambria" w:eastAsia="Times New Roman" w:hAnsi="Cambria" w:cs="Calibri"/>
                <w:lang w:val="hr-HR"/>
              </w:rPr>
              <w:t>Jezik izvođenja (drugi jezici)</w:t>
            </w:r>
          </w:p>
        </w:tc>
        <w:tc>
          <w:tcPr>
            <w:tcW w:w="2999"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8FB64D5" w14:textId="789E04C1" w:rsidR="00510729" w:rsidRPr="00DF4CE5" w:rsidRDefault="00ED1945" w:rsidP="00510729">
            <w:pPr>
              <w:spacing w:after="0" w:line="240" w:lineRule="atLeast"/>
              <w:rPr>
                <w:rFonts w:ascii="Cambria" w:eastAsia="Times New Roman" w:hAnsi="Cambria" w:cs="Calibri"/>
                <w:lang w:val="hr-HR"/>
              </w:rPr>
            </w:pPr>
            <w:r>
              <w:rPr>
                <w:rFonts w:ascii="Cambria" w:eastAsia="Times New Roman" w:hAnsi="Cambria" w:cs="Calibri"/>
                <w:lang w:val="hr-HR"/>
              </w:rPr>
              <w:t>h</w:t>
            </w:r>
            <w:r w:rsidR="00510729" w:rsidRPr="00DF4CE5">
              <w:rPr>
                <w:rFonts w:ascii="Cambria" w:eastAsia="Times New Roman" w:hAnsi="Cambria" w:cs="Calibri"/>
                <w:lang w:val="hr-HR"/>
              </w:rPr>
              <w:t>rvatski</w:t>
            </w:r>
          </w:p>
        </w:tc>
      </w:tr>
      <w:tr w:rsidR="00510729" w:rsidRPr="00DF4CE5" w14:paraId="49ADAAFA" w14:textId="77777777" w:rsidTr="00B71FDE">
        <w:tc>
          <w:tcPr>
            <w:tcW w:w="270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247E574" w14:textId="77777777" w:rsidR="00510729" w:rsidRPr="00DF4CE5" w:rsidRDefault="00510729" w:rsidP="00510729">
            <w:pPr>
              <w:spacing w:after="0" w:line="240" w:lineRule="atLeast"/>
              <w:rPr>
                <w:rFonts w:ascii="Cambria" w:eastAsia="Times New Roman" w:hAnsi="Cambria" w:cs="Calibri"/>
                <w:lang w:val="hr-HR"/>
              </w:rPr>
            </w:pPr>
            <w:r w:rsidRPr="00DF4CE5">
              <w:rPr>
                <w:rFonts w:ascii="Cambria" w:eastAsia="Times New Roman" w:hAnsi="Cambria" w:cs="Calibri"/>
                <w:lang w:val="hr-HR"/>
              </w:rPr>
              <w:t>Broj ECTS bodova</w:t>
            </w:r>
          </w:p>
        </w:tc>
        <w:tc>
          <w:tcPr>
            <w:tcW w:w="247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B3A7B24" w14:textId="77777777" w:rsidR="00510729" w:rsidRPr="00DF4CE5" w:rsidRDefault="00510729" w:rsidP="00E91AAA">
            <w:pPr>
              <w:spacing w:after="0" w:line="240" w:lineRule="atLeast"/>
              <w:rPr>
                <w:rFonts w:ascii="Cambria" w:eastAsia="Times New Roman" w:hAnsi="Cambria" w:cs="Calibri"/>
                <w:lang w:val="hr-HR"/>
              </w:rPr>
            </w:pPr>
            <w:r w:rsidRPr="00DF4CE5">
              <w:rPr>
                <w:rFonts w:ascii="Cambria" w:eastAsia="Times New Roman" w:hAnsi="Cambria" w:cs="Calibri"/>
                <w:lang w:val="hr-HR"/>
              </w:rPr>
              <w:t>3</w:t>
            </w:r>
          </w:p>
        </w:tc>
        <w:tc>
          <w:tcPr>
            <w:tcW w:w="1465"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6D92F269" w14:textId="77777777" w:rsidR="00510729" w:rsidRPr="00DF4CE5" w:rsidRDefault="00510729" w:rsidP="00510729">
            <w:pPr>
              <w:spacing w:after="0" w:line="240" w:lineRule="atLeast"/>
              <w:rPr>
                <w:rFonts w:ascii="Cambria" w:eastAsia="Times New Roman" w:hAnsi="Cambria" w:cs="Calibri"/>
                <w:lang w:val="hr-HR"/>
              </w:rPr>
            </w:pPr>
            <w:r w:rsidRPr="00DF4CE5">
              <w:rPr>
                <w:rFonts w:ascii="Cambria" w:eastAsia="Times New Roman" w:hAnsi="Cambria" w:cs="Calibri"/>
                <w:lang w:val="hr-HR"/>
              </w:rPr>
              <w:t>Broj sati u semestru</w:t>
            </w:r>
          </w:p>
        </w:tc>
        <w:tc>
          <w:tcPr>
            <w:tcW w:w="2999"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96A9A49" w14:textId="1BECEE38" w:rsidR="00510729" w:rsidRPr="00DF4CE5" w:rsidRDefault="00510729" w:rsidP="00510729">
            <w:pPr>
              <w:spacing w:after="0" w:line="240" w:lineRule="atLeast"/>
              <w:rPr>
                <w:rFonts w:ascii="Cambria" w:eastAsia="Times New Roman" w:hAnsi="Cambria" w:cs="Calibri"/>
                <w:lang w:val="hr-HR"/>
              </w:rPr>
            </w:pPr>
            <w:r w:rsidRPr="00DF4CE5">
              <w:rPr>
                <w:rFonts w:ascii="Cambria" w:eastAsia="Times New Roman" w:hAnsi="Cambria" w:cs="Calibri"/>
                <w:lang w:val="hr-HR"/>
              </w:rPr>
              <w:t xml:space="preserve">30P – </w:t>
            </w:r>
            <w:r w:rsidR="00CE1FD6" w:rsidRPr="00DF4CE5">
              <w:rPr>
                <w:rFonts w:ascii="Cambria" w:eastAsia="Times New Roman" w:hAnsi="Cambria" w:cs="Calibri"/>
                <w:lang w:val="hr-HR"/>
              </w:rPr>
              <w:t>15S</w:t>
            </w:r>
            <w:r w:rsidRPr="00DF4CE5">
              <w:rPr>
                <w:rFonts w:ascii="Cambria" w:eastAsia="Times New Roman" w:hAnsi="Cambria" w:cs="Calibri"/>
                <w:lang w:val="hr-HR"/>
              </w:rPr>
              <w:t xml:space="preserve"> – </w:t>
            </w:r>
            <w:r w:rsidR="00CE1FD6" w:rsidRPr="00DF4CE5">
              <w:rPr>
                <w:rFonts w:ascii="Cambria" w:eastAsia="Times New Roman" w:hAnsi="Cambria" w:cs="Calibri"/>
                <w:lang w:val="hr-HR"/>
              </w:rPr>
              <w:t>0V</w:t>
            </w:r>
            <w:r w:rsidRPr="00DF4CE5">
              <w:rPr>
                <w:rFonts w:ascii="Cambria" w:eastAsia="Times New Roman" w:hAnsi="Cambria" w:cs="Calibri"/>
                <w:lang w:val="hr-HR"/>
              </w:rPr>
              <w:t xml:space="preserve">   </w:t>
            </w:r>
          </w:p>
        </w:tc>
      </w:tr>
      <w:tr w:rsidR="00510729" w:rsidRPr="00DF4CE5" w14:paraId="14651A5C" w14:textId="77777777" w:rsidTr="00B71FDE">
        <w:tc>
          <w:tcPr>
            <w:tcW w:w="270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6850519" w14:textId="77777777" w:rsidR="00510729" w:rsidRPr="00DF4CE5" w:rsidRDefault="00510729" w:rsidP="00510729">
            <w:pPr>
              <w:spacing w:after="0" w:line="240" w:lineRule="atLeast"/>
              <w:rPr>
                <w:rFonts w:ascii="Cambria" w:eastAsia="Times New Roman" w:hAnsi="Cambria" w:cs="Calibri"/>
                <w:lang w:val="hr-HR"/>
              </w:rPr>
            </w:pPr>
            <w:r w:rsidRPr="00DF4CE5">
              <w:rPr>
                <w:rFonts w:ascii="Cambria" w:eastAsia="Times New Roman" w:hAnsi="Cambria" w:cs="Calibri"/>
                <w:lang w:val="hr-HR"/>
              </w:rPr>
              <w:t>Preduvjeti za upis i za svladavanje</w:t>
            </w:r>
          </w:p>
        </w:tc>
        <w:tc>
          <w:tcPr>
            <w:tcW w:w="6943"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8216679" w14:textId="77777777" w:rsidR="00510729" w:rsidRPr="00DF4CE5" w:rsidRDefault="00510729" w:rsidP="00510729">
            <w:pPr>
              <w:spacing w:after="0" w:line="240" w:lineRule="atLeast"/>
              <w:rPr>
                <w:rFonts w:ascii="Cambria" w:eastAsia="Times New Roman" w:hAnsi="Cambria" w:cs="Calibri"/>
                <w:lang w:val="hr-HR"/>
              </w:rPr>
            </w:pPr>
            <w:r w:rsidRPr="00DF4CE5">
              <w:rPr>
                <w:rFonts w:ascii="Cambria" w:eastAsia="Times New Roman" w:hAnsi="Cambria" w:cs="Calibri"/>
                <w:lang w:val="hr-HR"/>
              </w:rPr>
              <w:t>Nema preduvjeta</w:t>
            </w:r>
          </w:p>
        </w:tc>
      </w:tr>
      <w:tr w:rsidR="00510729" w:rsidRPr="00D0399C" w14:paraId="661C4EDE" w14:textId="77777777" w:rsidTr="00B71FDE">
        <w:tc>
          <w:tcPr>
            <w:tcW w:w="270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5B0EC34" w14:textId="77777777" w:rsidR="00510729" w:rsidRPr="00DF4CE5" w:rsidRDefault="00510729" w:rsidP="00510729">
            <w:pPr>
              <w:spacing w:after="0" w:line="240" w:lineRule="atLeast"/>
              <w:rPr>
                <w:rFonts w:ascii="Cambria" w:eastAsia="Times New Roman" w:hAnsi="Cambria" w:cs="Calibri"/>
                <w:lang w:val="hr-HR"/>
              </w:rPr>
            </w:pPr>
            <w:proofErr w:type="spellStart"/>
            <w:r w:rsidRPr="00DF4CE5">
              <w:rPr>
                <w:rFonts w:ascii="Cambria" w:eastAsia="Times New Roman" w:hAnsi="Cambria" w:cs="Calibri"/>
                <w:lang w:val="hr-HR"/>
              </w:rPr>
              <w:t>Korelativnost</w:t>
            </w:r>
            <w:proofErr w:type="spellEnd"/>
          </w:p>
        </w:tc>
        <w:tc>
          <w:tcPr>
            <w:tcW w:w="6943"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F6243E1" w14:textId="77777777" w:rsidR="00510729" w:rsidRPr="00DF4CE5" w:rsidRDefault="00510729" w:rsidP="00510729">
            <w:pPr>
              <w:spacing w:after="0" w:line="240" w:lineRule="atLeast"/>
              <w:rPr>
                <w:rFonts w:ascii="Cambria" w:eastAsia="Times New Roman" w:hAnsi="Cambria" w:cs="Calibri"/>
                <w:lang w:val="hr-HR"/>
              </w:rPr>
            </w:pPr>
            <w:r w:rsidRPr="00DF4CE5">
              <w:rPr>
                <w:rFonts w:ascii="Cambria" w:eastAsia="Times New Roman" w:hAnsi="Cambria" w:cs="Calibri"/>
                <w:lang w:val="hr-HR"/>
              </w:rPr>
              <w:t>Sociologija obrazovanja, Uvod u matematiku, Osnove informatike, Prirodoslovlje, Osnove ekologije, Metodika prirode i društva I,</w:t>
            </w:r>
          </w:p>
          <w:p w14:paraId="27D30966" w14:textId="77777777" w:rsidR="00510729" w:rsidRPr="00DF4CE5" w:rsidRDefault="00510729" w:rsidP="00510729">
            <w:pPr>
              <w:spacing w:after="0" w:line="240" w:lineRule="atLeast"/>
              <w:rPr>
                <w:rFonts w:ascii="Cambria" w:eastAsia="Times New Roman" w:hAnsi="Cambria" w:cs="Calibri"/>
                <w:lang w:val="hr-HR"/>
              </w:rPr>
            </w:pPr>
            <w:r w:rsidRPr="00DF4CE5">
              <w:rPr>
                <w:rFonts w:ascii="Cambria" w:eastAsia="Times New Roman" w:hAnsi="Cambria" w:cs="Calibri"/>
                <w:lang w:val="hr-HR"/>
              </w:rPr>
              <w:t>Metodika prirode i društva II, Metodika prirode i društva III</w:t>
            </w:r>
          </w:p>
        </w:tc>
      </w:tr>
      <w:tr w:rsidR="00510729" w:rsidRPr="00D0399C" w14:paraId="1614875A" w14:textId="77777777" w:rsidTr="00B71FDE">
        <w:tc>
          <w:tcPr>
            <w:tcW w:w="270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70A790E" w14:textId="77777777" w:rsidR="00510729" w:rsidRPr="00DF4CE5" w:rsidRDefault="00510729" w:rsidP="00510729">
            <w:pPr>
              <w:spacing w:after="0" w:line="240" w:lineRule="atLeast"/>
              <w:rPr>
                <w:rFonts w:ascii="Cambria" w:eastAsia="Times New Roman" w:hAnsi="Cambria" w:cs="Calibri"/>
                <w:lang w:val="hr-HR"/>
              </w:rPr>
            </w:pPr>
            <w:r w:rsidRPr="00DF4CE5">
              <w:rPr>
                <w:rFonts w:ascii="Cambria" w:eastAsia="Times New Roman" w:hAnsi="Cambria" w:cs="Calibri"/>
                <w:lang w:val="hr-HR"/>
              </w:rPr>
              <w:t xml:space="preserve">Cilj kolegija </w:t>
            </w:r>
          </w:p>
        </w:tc>
        <w:tc>
          <w:tcPr>
            <w:tcW w:w="6943"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7D30932" w14:textId="4C0BF9F1" w:rsidR="00510729" w:rsidRPr="00DF4CE5" w:rsidRDefault="00ED1945" w:rsidP="00510729">
            <w:pPr>
              <w:spacing w:after="0" w:line="240" w:lineRule="atLeast"/>
              <w:rPr>
                <w:rFonts w:ascii="Cambria" w:eastAsia="Times New Roman" w:hAnsi="Cambria" w:cs="Calibri"/>
                <w:lang w:val="hr-HR"/>
              </w:rPr>
            </w:pPr>
            <w:r>
              <w:rPr>
                <w:rFonts w:ascii="Cambria" w:eastAsia="Times New Roman" w:hAnsi="Cambria" w:cs="Calibri"/>
                <w:lang w:val="hr-HR"/>
              </w:rPr>
              <w:t>o</w:t>
            </w:r>
            <w:r w:rsidR="00510729" w:rsidRPr="00DF4CE5">
              <w:rPr>
                <w:rFonts w:ascii="Cambria" w:eastAsia="Times New Roman" w:hAnsi="Cambria" w:cs="Calibri"/>
                <w:lang w:val="hr-HR"/>
              </w:rPr>
              <w:t>bjasniti temeljne pojmove geografije kao znanstvenog polja u interdisciplinarnom području znanosti kao i prostornim aspektima vrednovanja prirodne osnove, odnosno tumačenja i analiziranja zakonitosti u prostornim odnosima na Zemljinoj površini sa svrhom rješavanja aktualnih problema stanovništva te aplikativnim modelima i praksama u nastavi</w:t>
            </w:r>
          </w:p>
        </w:tc>
      </w:tr>
      <w:tr w:rsidR="00510729" w:rsidRPr="00D0399C" w14:paraId="7E7F40B4" w14:textId="77777777" w:rsidTr="00B71FDE">
        <w:tc>
          <w:tcPr>
            <w:tcW w:w="270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C994669" w14:textId="77777777" w:rsidR="00510729" w:rsidRPr="00DF4CE5" w:rsidRDefault="00510729" w:rsidP="00510729">
            <w:pPr>
              <w:spacing w:after="0" w:line="240" w:lineRule="atLeast"/>
              <w:rPr>
                <w:rFonts w:ascii="Cambria" w:eastAsia="Times New Roman" w:hAnsi="Cambria" w:cs="Calibri"/>
                <w:lang w:val="hr-HR"/>
              </w:rPr>
            </w:pPr>
            <w:r w:rsidRPr="00DF4CE5">
              <w:rPr>
                <w:rFonts w:ascii="Cambria" w:eastAsia="Times New Roman" w:hAnsi="Cambria" w:cs="Calibri"/>
                <w:lang w:val="hr-HR"/>
              </w:rPr>
              <w:t>Ishodi učenja</w:t>
            </w:r>
          </w:p>
        </w:tc>
        <w:tc>
          <w:tcPr>
            <w:tcW w:w="6943"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F2F0543" w14:textId="77777777" w:rsidR="00510729" w:rsidRPr="00DF4CE5" w:rsidRDefault="00510729" w:rsidP="00510729">
            <w:pPr>
              <w:spacing w:after="0" w:line="240" w:lineRule="atLeast"/>
              <w:rPr>
                <w:rFonts w:ascii="Cambria" w:eastAsia="Times New Roman" w:hAnsi="Cambria" w:cs="Calibri"/>
                <w:lang w:val="hr-HR"/>
              </w:rPr>
            </w:pPr>
            <w:r w:rsidRPr="00DF4CE5">
              <w:rPr>
                <w:rFonts w:ascii="Cambria" w:eastAsia="Times New Roman" w:hAnsi="Cambria" w:cs="Calibri"/>
                <w:lang w:val="hr-HR"/>
              </w:rPr>
              <w:t>1. definirati temeljne geografske pojmove</w:t>
            </w:r>
          </w:p>
          <w:p w14:paraId="19E98A06" w14:textId="77777777" w:rsidR="00510729" w:rsidRPr="00DF4CE5" w:rsidRDefault="00510729" w:rsidP="00510729">
            <w:pPr>
              <w:spacing w:after="0" w:line="240" w:lineRule="atLeast"/>
              <w:rPr>
                <w:rFonts w:ascii="Cambria" w:eastAsia="Times New Roman" w:hAnsi="Cambria" w:cs="Calibri"/>
                <w:lang w:val="hr-HR"/>
              </w:rPr>
            </w:pPr>
            <w:r w:rsidRPr="00DF4CE5">
              <w:rPr>
                <w:rFonts w:ascii="Cambria" w:eastAsia="Times New Roman" w:hAnsi="Cambria" w:cs="Calibri"/>
                <w:lang w:val="hr-HR"/>
              </w:rPr>
              <w:t>2. izdvojiti osnovna obilježja fizičko geografskih elemenata (faktora) i procesa</w:t>
            </w:r>
          </w:p>
          <w:p w14:paraId="2F60C1E0" w14:textId="77777777" w:rsidR="00510729" w:rsidRPr="00DF4CE5" w:rsidRDefault="00510729" w:rsidP="00510729">
            <w:pPr>
              <w:spacing w:after="0" w:line="240" w:lineRule="atLeast"/>
              <w:rPr>
                <w:rFonts w:ascii="Cambria" w:eastAsia="Times New Roman" w:hAnsi="Cambria" w:cs="Calibri"/>
                <w:lang w:val="hr-HR"/>
              </w:rPr>
            </w:pPr>
            <w:r w:rsidRPr="00DF4CE5">
              <w:rPr>
                <w:rFonts w:ascii="Cambria" w:eastAsia="Times New Roman" w:hAnsi="Cambria" w:cs="Calibri"/>
                <w:lang w:val="hr-HR"/>
              </w:rPr>
              <w:t xml:space="preserve">3. upotrijebiti stečena znanja i vještine o geografskim obilježjima RH u nastavnom procesu </w:t>
            </w:r>
          </w:p>
          <w:p w14:paraId="2DFA82F8" w14:textId="77777777" w:rsidR="00510729" w:rsidRPr="00DF4CE5" w:rsidRDefault="00510729" w:rsidP="00510729">
            <w:pPr>
              <w:spacing w:after="0" w:line="240" w:lineRule="atLeast"/>
              <w:rPr>
                <w:rFonts w:ascii="Cambria" w:eastAsia="Times New Roman" w:hAnsi="Cambria" w:cs="Calibri"/>
                <w:lang w:val="hr-HR"/>
              </w:rPr>
            </w:pPr>
            <w:r w:rsidRPr="00DF4CE5">
              <w:rPr>
                <w:rFonts w:ascii="Cambria" w:eastAsia="Times New Roman" w:hAnsi="Cambria" w:cs="Calibri"/>
                <w:lang w:val="hr-HR"/>
              </w:rPr>
              <w:t>4. analizirati pojedine sadržaje, procese, veze, odnose i modele u održivom razvoju geografskog prostora s aplikacijom u nastavi</w:t>
            </w:r>
          </w:p>
        </w:tc>
      </w:tr>
      <w:tr w:rsidR="00510729" w:rsidRPr="00D0399C" w14:paraId="7D6BD321" w14:textId="77777777" w:rsidTr="00B71FDE">
        <w:tc>
          <w:tcPr>
            <w:tcW w:w="2705"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72E226B5" w14:textId="77777777" w:rsidR="00510729" w:rsidRPr="00DF4CE5" w:rsidRDefault="00510729" w:rsidP="00510729">
            <w:pPr>
              <w:spacing w:after="0" w:line="240" w:lineRule="atLeast"/>
              <w:rPr>
                <w:rFonts w:ascii="Cambria" w:eastAsia="Times New Roman" w:hAnsi="Cambria" w:cs="Calibri"/>
                <w:lang w:val="hr-HR"/>
              </w:rPr>
            </w:pPr>
            <w:r w:rsidRPr="00DF4CE5">
              <w:rPr>
                <w:rFonts w:ascii="Cambria" w:eastAsia="Times New Roman" w:hAnsi="Cambria" w:cs="Calibri"/>
                <w:lang w:val="hr-HR"/>
              </w:rPr>
              <w:t>Sadržaj kolegija</w:t>
            </w:r>
          </w:p>
        </w:tc>
        <w:tc>
          <w:tcPr>
            <w:tcW w:w="6943"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8F3EE8E" w14:textId="77777777" w:rsidR="00510729" w:rsidRPr="00DF4CE5" w:rsidRDefault="00510729" w:rsidP="00510729">
            <w:pPr>
              <w:spacing w:after="0" w:line="240" w:lineRule="atLeast"/>
              <w:rPr>
                <w:rFonts w:ascii="Cambria" w:eastAsia="Times New Roman" w:hAnsi="Cambria" w:cs="Calibri"/>
                <w:lang w:val="hr-HR"/>
              </w:rPr>
            </w:pPr>
            <w:r w:rsidRPr="00DF4CE5">
              <w:rPr>
                <w:rFonts w:ascii="Cambria" w:eastAsia="Times New Roman" w:hAnsi="Cambria" w:cs="Calibri"/>
                <w:lang w:val="hr-HR"/>
              </w:rPr>
              <w:t>OPĆA GEOGRAFIJA</w:t>
            </w:r>
          </w:p>
          <w:p w14:paraId="7113A0B7" w14:textId="77777777" w:rsidR="00510729" w:rsidRPr="00DF4CE5" w:rsidRDefault="00510729" w:rsidP="00510729">
            <w:pPr>
              <w:spacing w:after="0" w:line="240" w:lineRule="atLeast"/>
              <w:rPr>
                <w:rFonts w:ascii="Cambria" w:eastAsia="Times New Roman" w:hAnsi="Cambria" w:cs="Calibri"/>
                <w:lang w:val="hr-HR"/>
              </w:rPr>
            </w:pPr>
            <w:r w:rsidRPr="00DF4CE5">
              <w:rPr>
                <w:rFonts w:ascii="Cambria" w:eastAsia="Times New Roman" w:hAnsi="Cambria" w:cs="Calibri"/>
                <w:lang w:val="hr-HR"/>
              </w:rPr>
              <w:t>1.Uvod u geografiju</w:t>
            </w:r>
          </w:p>
          <w:p w14:paraId="1909723C" w14:textId="77777777" w:rsidR="00510729" w:rsidRPr="00DF4CE5" w:rsidRDefault="00510729" w:rsidP="00510729">
            <w:pPr>
              <w:spacing w:after="0" w:line="240" w:lineRule="atLeast"/>
              <w:rPr>
                <w:rFonts w:ascii="Cambria" w:eastAsia="Times New Roman" w:hAnsi="Cambria" w:cs="Calibri"/>
                <w:lang w:val="hr-HR"/>
              </w:rPr>
            </w:pPr>
            <w:r w:rsidRPr="00DF4CE5">
              <w:rPr>
                <w:rFonts w:ascii="Cambria" w:eastAsia="Times New Roman" w:hAnsi="Cambria" w:cs="Calibri"/>
                <w:lang w:val="hr-HR"/>
              </w:rPr>
              <w:t>2. Oblik, veličina i gibanje Zemlje. Posljedice i primjena u nastavi</w:t>
            </w:r>
          </w:p>
          <w:p w14:paraId="1A70350D" w14:textId="77777777" w:rsidR="00510729" w:rsidRPr="00DF4CE5" w:rsidRDefault="00510729" w:rsidP="00510729">
            <w:pPr>
              <w:spacing w:after="0" w:line="240" w:lineRule="atLeast"/>
              <w:rPr>
                <w:rFonts w:ascii="Cambria" w:eastAsia="Times New Roman" w:hAnsi="Cambria" w:cs="Calibri"/>
                <w:lang w:val="hr-HR"/>
              </w:rPr>
            </w:pPr>
            <w:r w:rsidRPr="00DF4CE5">
              <w:rPr>
                <w:rFonts w:ascii="Cambria" w:eastAsia="Times New Roman" w:hAnsi="Cambria" w:cs="Calibri"/>
                <w:lang w:val="hr-HR"/>
              </w:rPr>
              <w:t xml:space="preserve">3. Geografska karta i primjena u nastavi </w:t>
            </w:r>
          </w:p>
          <w:p w14:paraId="5DAFF19D" w14:textId="77777777" w:rsidR="00510729" w:rsidRPr="00DF4CE5" w:rsidRDefault="00510729" w:rsidP="00510729">
            <w:pPr>
              <w:spacing w:after="0" w:line="240" w:lineRule="atLeast"/>
              <w:rPr>
                <w:rFonts w:ascii="Cambria" w:eastAsia="Times New Roman" w:hAnsi="Cambria" w:cs="Calibri"/>
                <w:lang w:val="hr-HR"/>
              </w:rPr>
            </w:pPr>
            <w:r w:rsidRPr="00DF4CE5">
              <w:rPr>
                <w:rFonts w:ascii="Cambria" w:eastAsia="Times New Roman" w:hAnsi="Cambria" w:cs="Calibri"/>
                <w:lang w:val="hr-HR"/>
              </w:rPr>
              <w:t xml:space="preserve">4. Reljef – temeljni pojmovi </w:t>
            </w:r>
          </w:p>
          <w:p w14:paraId="41D4EF39" w14:textId="77777777" w:rsidR="00510729" w:rsidRPr="00DF4CE5" w:rsidRDefault="00510729" w:rsidP="00510729">
            <w:pPr>
              <w:spacing w:after="0" w:line="240" w:lineRule="atLeast"/>
              <w:rPr>
                <w:rFonts w:ascii="Cambria" w:eastAsia="Times New Roman" w:hAnsi="Cambria" w:cs="Calibri"/>
                <w:lang w:val="hr-HR"/>
              </w:rPr>
            </w:pPr>
            <w:r w:rsidRPr="00DF4CE5">
              <w:rPr>
                <w:rFonts w:ascii="Cambria" w:eastAsia="Times New Roman" w:hAnsi="Cambria" w:cs="Calibri"/>
                <w:lang w:val="hr-HR"/>
              </w:rPr>
              <w:t>5. Reljef u nastavi</w:t>
            </w:r>
          </w:p>
          <w:p w14:paraId="20EA39B9" w14:textId="77777777" w:rsidR="00510729" w:rsidRPr="00DF4CE5" w:rsidRDefault="00510729" w:rsidP="00510729">
            <w:pPr>
              <w:spacing w:after="0" w:line="240" w:lineRule="atLeast"/>
              <w:rPr>
                <w:rFonts w:ascii="Cambria" w:eastAsia="Times New Roman" w:hAnsi="Cambria" w:cs="Calibri"/>
                <w:lang w:val="hr-HR"/>
              </w:rPr>
            </w:pPr>
            <w:r w:rsidRPr="00DF4CE5">
              <w:rPr>
                <w:rFonts w:ascii="Cambria" w:eastAsia="Times New Roman" w:hAnsi="Cambria" w:cs="Calibri"/>
                <w:lang w:val="hr-HR"/>
              </w:rPr>
              <w:t>6. Klima – temeljni pojmovi</w:t>
            </w:r>
          </w:p>
          <w:p w14:paraId="54B523C8" w14:textId="77777777" w:rsidR="00510729" w:rsidRPr="00DF4CE5" w:rsidRDefault="00510729" w:rsidP="00510729">
            <w:pPr>
              <w:spacing w:after="0" w:line="240" w:lineRule="atLeast"/>
              <w:rPr>
                <w:rFonts w:ascii="Cambria" w:eastAsia="Times New Roman" w:hAnsi="Cambria" w:cs="Calibri"/>
                <w:lang w:val="hr-HR"/>
              </w:rPr>
            </w:pPr>
            <w:r w:rsidRPr="00DF4CE5">
              <w:rPr>
                <w:rFonts w:ascii="Cambria" w:eastAsia="Times New Roman" w:hAnsi="Cambria" w:cs="Calibri"/>
                <w:lang w:val="hr-HR"/>
              </w:rPr>
              <w:t>7. Klima: klasifikacija klima, promjene klime, klima u nastavi</w:t>
            </w:r>
          </w:p>
          <w:p w14:paraId="442A84A0" w14:textId="77777777" w:rsidR="00510729" w:rsidRPr="00DF4CE5" w:rsidRDefault="00510729" w:rsidP="00510729">
            <w:pPr>
              <w:spacing w:after="0" w:line="240" w:lineRule="atLeast"/>
              <w:rPr>
                <w:rFonts w:ascii="Cambria" w:eastAsia="Times New Roman" w:hAnsi="Cambria" w:cs="Calibri"/>
                <w:lang w:val="hr-HR"/>
              </w:rPr>
            </w:pPr>
            <w:r w:rsidRPr="00DF4CE5">
              <w:rPr>
                <w:rFonts w:ascii="Cambria" w:eastAsia="Times New Roman" w:hAnsi="Cambria" w:cs="Calibri"/>
                <w:lang w:val="hr-HR"/>
              </w:rPr>
              <w:t>8. More i voda na kopnu.</w:t>
            </w:r>
          </w:p>
          <w:p w14:paraId="2E2EC737" w14:textId="77777777" w:rsidR="00510729" w:rsidRPr="00DF4CE5" w:rsidRDefault="00510729" w:rsidP="00510729">
            <w:pPr>
              <w:spacing w:after="0" w:line="240" w:lineRule="atLeast"/>
              <w:rPr>
                <w:rFonts w:ascii="Cambria" w:eastAsia="Times New Roman" w:hAnsi="Cambria" w:cs="Calibri"/>
                <w:lang w:val="hr-HR"/>
              </w:rPr>
            </w:pPr>
            <w:r w:rsidRPr="00DF4CE5">
              <w:rPr>
                <w:rFonts w:ascii="Cambria" w:eastAsia="Times New Roman" w:hAnsi="Cambria" w:cs="Calibri"/>
                <w:lang w:val="hr-HR"/>
              </w:rPr>
              <w:t>9. Stanovništvo – temeljni pojmovi</w:t>
            </w:r>
          </w:p>
          <w:p w14:paraId="539D61B2" w14:textId="77777777" w:rsidR="00510729" w:rsidRPr="00DF4CE5" w:rsidRDefault="00510729" w:rsidP="00510729">
            <w:pPr>
              <w:spacing w:after="0" w:line="240" w:lineRule="atLeast"/>
              <w:rPr>
                <w:rFonts w:ascii="Cambria" w:eastAsia="Times New Roman" w:hAnsi="Cambria" w:cs="Calibri"/>
                <w:lang w:val="hr-HR"/>
              </w:rPr>
            </w:pPr>
            <w:r w:rsidRPr="00DF4CE5">
              <w:rPr>
                <w:rFonts w:ascii="Cambria" w:eastAsia="Times New Roman" w:hAnsi="Cambria" w:cs="Calibri"/>
                <w:lang w:val="hr-HR"/>
              </w:rPr>
              <w:t>10. Stanovništvo – suvremeni procesi i odrazi u obrazovnom sustavu Republike Hrvatske</w:t>
            </w:r>
          </w:p>
          <w:p w14:paraId="57B9C5E6" w14:textId="77777777" w:rsidR="00510729" w:rsidRPr="00DF4CE5" w:rsidRDefault="00510729" w:rsidP="00510729">
            <w:pPr>
              <w:spacing w:after="0" w:line="240" w:lineRule="atLeast"/>
              <w:rPr>
                <w:rFonts w:ascii="Cambria" w:eastAsia="Times New Roman" w:hAnsi="Cambria" w:cs="Calibri"/>
                <w:lang w:val="hr-HR"/>
              </w:rPr>
            </w:pPr>
            <w:r w:rsidRPr="00DF4CE5">
              <w:rPr>
                <w:rFonts w:ascii="Cambria" w:eastAsia="Times New Roman" w:hAnsi="Cambria" w:cs="Calibri"/>
                <w:lang w:val="hr-HR"/>
              </w:rPr>
              <w:t>11. Naselja – temeljni pojmovi. Naselja u nastavi</w:t>
            </w:r>
          </w:p>
          <w:p w14:paraId="0CE9F966" w14:textId="77777777" w:rsidR="00510729" w:rsidRPr="00DF4CE5" w:rsidRDefault="00510729" w:rsidP="00510729">
            <w:pPr>
              <w:spacing w:after="0" w:line="240" w:lineRule="atLeast"/>
              <w:rPr>
                <w:rFonts w:ascii="Cambria" w:eastAsia="Times New Roman" w:hAnsi="Cambria" w:cs="Calibri"/>
                <w:lang w:val="hr-HR"/>
              </w:rPr>
            </w:pPr>
            <w:r w:rsidRPr="00DF4CE5">
              <w:rPr>
                <w:rFonts w:ascii="Cambria" w:eastAsia="Times New Roman" w:hAnsi="Cambria" w:cs="Calibri"/>
                <w:lang w:val="hr-HR"/>
              </w:rPr>
              <w:lastRenderedPageBreak/>
              <w:t>12. Gospodarske djelatnosti. Održivost u suvremenim procesima</w:t>
            </w:r>
          </w:p>
          <w:p w14:paraId="071186AA" w14:textId="77777777" w:rsidR="00510729" w:rsidRPr="00DF4CE5" w:rsidRDefault="00510729" w:rsidP="00510729">
            <w:pPr>
              <w:spacing w:after="0" w:line="240" w:lineRule="atLeast"/>
              <w:rPr>
                <w:rFonts w:ascii="Cambria" w:eastAsia="Times New Roman" w:hAnsi="Cambria" w:cs="Calibri"/>
                <w:lang w:val="hr-HR"/>
              </w:rPr>
            </w:pPr>
            <w:r w:rsidRPr="00DF4CE5">
              <w:rPr>
                <w:rFonts w:ascii="Cambria" w:eastAsia="Times New Roman" w:hAnsi="Cambria" w:cs="Calibri"/>
                <w:lang w:val="hr-HR"/>
              </w:rPr>
              <w:t xml:space="preserve">13. Prostorni aspekt gospodarstva u nastavi zavičajne geografije </w:t>
            </w:r>
          </w:p>
          <w:p w14:paraId="4667DB9C" w14:textId="77777777" w:rsidR="00510729" w:rsidRPr="00DF4CE5" w:rsidRDefault="00510729" w:rsidP="00510729">
            <w:pPr>
              <w:spacing w:after="0" w:line="240" w:lineRule="atLeast"/>
              <w:rPr>
                <w:rFonts w:ascii="Cambria" w:eastAsia="Times New Roman" w:hAnsi="Cambria" w:cs="Calibri"/>
                <w:lang w:val="hr-HR"/>
              </w:rPr>
            </w:pPr>
            <w:r w:rsidRPr="00DF4CE5">
              <w:rPr>
                <w:rFonts w:ascii="Cambria" w:eastAsia="Times New Roman" w:hAnsi="Cambria" w:cs="Calibri"/>
                <w:lang w:val="hr-HR"/>
              </w:rPr>
              <w:t>14. Završno predavanje s osvrtima na aplikativna obilježja geografije u nastavi</w:t>
            </w:r>
          </w:p>
          <w:p w14:paraId="1960BDD3" w14:textId="77777777" w:rsidR="00510729" w:rsidRPr="00DF4CE5" w:rsidRDefault="00510729" w:rsidP="00510729">
            <w:pPr>
              <w:spacing w:after="0" w:line="240" w:lineRule="atLeast"/>
              <w:rPr>
                <w:rFonts w:ascii="Cambria" w:eastAsia="Times New Roman" w:hAnsi="Cambria" w:cs="Calibri"/>
                <w:bCs/>
                <w:lang w:val="hr-HR"/>
              </w:rPr>
            </w:pPr>
            <w:r w:rsidRPr="00DF4CE5">
              <w:rPr>
                <w:rFonts w:ascii="Cambria" w:eastAsia="Times New Roman" w:hAnsi="Cambria" w:cs="Calibri"/>
                <w:bCs/>
                <w:lang w:val="hr-HR"/>
              </w:rPr>
              <w:t>2. GEOGRAFIJA HRVATSKE I ZAVIČAJNA GEOGRAFIJA</w:t>
            </w:r>
          </w:p>
          <w:p w14:paraId="2F5F0C70" w14:textId="77777777" w:rsidR="00510729" w:rsidRPr="00DF4CE5" w:rsidRDefault="00510729" w:rsidP="00510729">
            <w:pPr>
              <w:spacing w:after="0" w:line="240" w:lineRule="atLeast"/>
              <w:rPr>
                <w:rFonts w:ascii="Cambria" w:eastAsia="Times New Roman" w:hAnsi="Cambria" w:cs="Calibri"/>
                <w:lang w:val="hr-HR"/>
              </w:rPr>
            </w:pPr>
            <w:r w:rsidRPr="00DF4CE5">
              <w:rPr>
                <w:rFonts w:ascii="Cambria" w:eastAsia="Times New Roman" w:hAnsi="Cambria" w:cs="Calibri"/>
                <w:lang w:val="hr-HR"/>
              </w:rPr>
              <w:t>Problematika regionalnog razvoja</w:t>
            </w:r>
          </w:p>
          <w:p w14:paraId="6C6CF4C9" w14:textId="77777777" w:rsidR="00510729" w:rsidRPr="00DF4CE5" w:rsidRDefault="00510729" w:rsidP="00510729">
            <w:pPr>
              <w:spacing w:after="0" w:line="240" w:lineRule="atLeast"/>
              <w:rPr>
                <w:rFonts w:ascii="Cambria" w:eastAsia="Times New Roman" w:hAnsi="Cambria" w:cs="Calibri"/>
                <w:lang w:val="hr-HR"/>
              </w:rPr>
            </w:pPr>
            <w:r w:rsidRPr="00DF4CE5">
              <w:rPr>
                <w:rFonts w:ascii="Cambria" w:eastAsia="Times New Roman" w:hAnsi="Cambria" w:cs="Calibri"/>
                <w:lang w:val="hr-HR"/>
              </w:rPr>
              <w:t xml:space="preserve">Prirodno-geografska obilježja </w:t>
            </w:r>
          </w:p>
          <w:p w14:paraId="2AF7A387" w14:textId="77777777" w:rsidR="00510729" w:rsidRPr="00DF4CE5" w:rsidRDefault="00510729" w:rsidP="00510729">
            <w:pPr>
              <w:spacing w:after="0" w:line="240" w:lineRule="atLeast"/>
              <w:rPr>
                <w:rFonts w:ascii="Cambria" w:eastAsia="Times New Roman" w:hAnsi="Cambria" w:cs="Calibri"/>
                <w:lang w:val="hr-HR"/>
              </w:rPr>
            </w:pPr>
            <w:r w:rsidRPr="00DF4CE5">
              <w:rPr>
                <w:rFonts w:ascii="Cambria" w:eastAsia="Times New Roman" w:hAnsi="Cambria" w:cs="Calibri"/>
                <w:lang w:val="hr-HR"/>
              </w:rPr>
              <w:t xml:space="preserve">Stanovništvo i naselja </w:t>
            </w:r>
          </w:p>
          <w:p w14:paraId="79494A15" w14:textId="77777777" w:rsidR="00510729" w:rsidRPr="00DF4CE5" w:rsidRDefault="00510729" w:rsidP="00510729">
            <w:pPr>
              <w:spacing w:after="0" w:line="240" w:lineRule="atLeast"/>
              <w:rPr>
                <w:rFonts w:ascii="Cambria" w:eastAsia="Times New Roman" w:hAnsi="Cambria" w:cs="Calibri"/>
                <w:lang w:val="hr-HR"/>
              </w:rPr>
            </w:pPr>
            <w:r w:rsidRPr="00DF4CE5">
              <w:rPr>
                <w:rFonts w:ascii="Cambria" w:eastAsia="Times New Roman" w:hAnsi="Cambria" w:cs="Calibri"/>
                <w:lang w:val="hr-HR"/>
              </w:rPr>
              <w:t>Prostorni aspekt gospodarstva</w:t>
            </w:r>
          </w:p>
          <w:p w14:paraId="0BABF1E1" w14:textId="77777777" w:rsidR="00510729" w:rsidRPr="00DF4CE5" w:rsidRDefault="00510729" w:rsidP="00510729">
            <w:pPr>
              <w:spacing w:after="0" w:line="240" w:lineRule="atLeast"/>
              <w:rPr>
                <w:rFonts w:ascii="Cambria" w:eastAsia="Times New Roman" w:hAnsi="Cambria" w:cs="Calibri"/>
                <w:lang w:val="hr-HR"/>
              </w:rPr>
            </w:pPr>
            <w:r w:rsidRPr="00DF4CE5">
              <w:rPr>
                <w:rFonts w:ascii="Cambria" w:eastAsia="Times New Roman" w:hAnsi="Cambria" w:cs="Calibri"/>
                <w:lang w:val="hr-HR"/>
              </w:rPr>
              <w:t>Zavičajna geografija (geografija odabranih regija Republike Hrvatske) s implementacijom u nastavi</w:t>
            </w:r>
          </w:p>
          <w:p w14:paraId="5E6B0E17" w14:textId="77777777" w:rsidR="00510729" w:rsidRPr="00DF4CE5" w:rsidRDefault="00510729" w:rsidP="00510729">
            <w:pPr>
              <w:spacing w:after="0" w:line="240" w:lineRule="atLeast"/>
              <w:rPr>
                <w:rFonts w:ascii="Cambria" w:eastAsia="Times New Roman" w:hAnsi="Cambria" w:cs="Calibri"/>
                <w:bCs/>
                <w:lang w:val="hr-HR"/>
              </w:rPr>
            </w:pPr>
            <w:r w:rsidRPr="00DF4CE5">
              <w:rPr>
                <w:rFonts w:ascii="Cambria" w:eastAsia="Times New Roman" w:hAnsi="Cambria" w:cs="Calibri"/>
                <w:bCs/>
                <w:lang w:val="hr-HR"/>
              </w:rPr>
              <w:t>3. TERENSKA NASTAVA</w:t>
            </w:r>
          </w:p>
          <w:p w14:paraId="4C0881E4" w14:textId="77777777" w:rsidR="00510729" w:rsidRPr="00DF4CE5" w:rsidRDefault="00510729" w:rsidP="00510729">
            <w:pPr>
              <w:spacing w:after="0" w:line="240" w:lineRule="atLeast"/>
              <w:rPr>
                <w:rFonts w:ascii="Cambria" w:eastAsia="Times New Roman" w:hAnsi="Cambria" w:cs="Calibri"/>
                <w:lang w:val="hr-HR"/>
              </w:rPr>
            </w:pPr>
            <w:r w:rsidRPr="00DF4CE5">
              <w:rPr>
                <w:rFonts w:ascii="Cambria" w:eastAsia="Times New Roman" w:hAnsi="Cambria" w:cs="Calibri"/>
                <w:lang w:val="hr-HR"/>
              </w:rPr>
              <w:t>Terenska nastava je skladu s temama opće, regionalne i zavičajne geografije i u korelaciji i suradnji sa srodnim kolegijima.</w:t>
            </w:r>
          </w:p>
        </w:tc>
      </w:tr>
      <w:tr w:rsidR="00510729" w:rsidRPr="00DF4CE5" w14:paraId="0EB55285" w14:textId="77777777" w:rsidTr="00B71FDE">
        <w:tc>
          <w:tcPr>
            <w:tcW w:w="2705"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hideMark/>
          </w:tcPr>
          <w:p w14:paraId="2C8F87E2" w14:textId="77777777" w:rsidR="00510729" w:rsidRPr="00DF4CE5" w:rsidRDefault="00510729" w:rsidP="00510729">
            <w:pPr>
              <w:spacing w:after="0" w:line="240" w:lineRule="atLeast"/>
              <w:rPr>
                <w:rFonts w:ascii="Cambria" w:eastAsia="Times New Roman" w:hAnsi="Cambria" w:cs="Calibri"/>
                <w:lang w:val="hr-HR"/>
              </w:rPr>
            </w:pPr>
            <w:r w:rsidRPr="00DF4CE5">
              <w:rPr>
                <w:rFonts w:ascii="Cambria" w:eastAsia="Times New Roman" w:hAnsi="Cambria" w:cs="Calibri"/>
                <w:lang w:val="hr-HR"/>
              </w:rPr>
              <w:lastRenderedPageBreak/>
              <w:t>Planirane aktivnosti,</w:t>
            </w:r>
          </w:p>
          <w:p w14:paraId="195CBC59" w14:textId="77777777" w:rsidR="00510729" w:rsidRPr="00DF4CE5" w:rsidRDefault="00510729" w:rsidP="00510729">
            <w:pPr>
              <w:spacing w:after="0" w:line="240" w:lineRule="atLeast"/>
              <w:rPr>
                <w:rFonts w:ascii="Cambria" w:eastAsia="Times New Roman" w:hAnsi="Cambria" w:cs="Calibri"/>
                <w:lang w:val="hr-HR"/>
              </w:rPr>
            </w:pPr>
            <w:r w:rsidRPr="00DF4CE5">
              <w:rPr>
                <w:rFonts w:ascii="Cambria" w:eastAsia="Times New Roman" w:hAnsi="Cambria" w:cs="Calibri"/>
                <w:lang w:val="hr-HR"/>
              </w:rPr>
              <w:t>metode učenja i poučavanja i načini vrednovanja</w:t>
            </w:r>
          </w:p>
          <w:p w14:paraId="15B2749B" w14:textId="77777777" w:rsidR="00510729" w:rsidRPr="00DF4CE5" w:rsidRDefault="00510729" w:rsidP="00510729">
            <w:pPr>
              <w:spacing w:after="0" w:line="240" w:lineRule="atLeast"/>
              <w:rPr>
                <w:rFonts w:ascii="Cambria" w:eastAsia="Times New Roman" w:hAnsi="Cambria" w:cs="Calibri"/>
                <w:lang w:val="hr-HR"/>
              </w:rPr>
            </w:pPr>
          </w:p>
        </w:tc>
        <w:tc>
          <w:tcPr>
            <w:tcW w:w="28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A3022B7" w14:textId="77777777" w:rsidR="00510729" w:rsidRPr="00DF4CE5" w:rsidRDefault="00510729" w:rsidP="00510729">
            <w:pPr>
              <w:spacing w:after="0" w:line="240" w:lineRule="atLeast"/>
              <w:rPr>
                <w:rFonts w:ascii="Cambria" w:eastAsia="Times New Roman" w:hAnsi="Cambria" w:cs="Calibri"/>
                <w:lang w:val="hr-HR"/>
              </w:rPr>
            </w:pPr>
            <w:r w:rsidRPr="00DF4CE5">
              <w:rPr>
                <w:rFonts w:ascii="Cambria" w:eastAsia="Times New Roman" w:hAnsi="Cambria" w:cs="Calibri"/>
                <w:bCs/>
                <w:lang w:val="hr-HR"/>
              </w:rPr>
              <w:t>Obveze</w:t>
            </w:r>
          </w:p>
          <w:p w14:paraId="23B0C077" w14:textId="77777777" w:rsidR="00510729" w:rsidRPr="00DF4CE5" w:rsidRDefault="00510729" w:rsidP="00510729">
            <w:pPr>
              <w:spacing w:after="0" w:line="240" w:lineRule="atLeast"/>
              <w:rPr>
                <w:rFonts w:ascii="Cambria" w:eastAsia="Times New Roman" w:hAnsi="Cambria" w:cs="Calibri"/>
                <w:lang w:val="hr-HR"/>
              </w:rPr>
            </w:pPr>
          </w:p>
        </w:tc>
        <w:tc>
          <w:tcPr>
            <w:tcW w:w="9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ED463FB" w14:textId="77777777" w:rsidR="00510729" w:rsidRPr="00DF4CE5" w:rsidRDefault="00510729" w:rsidP="00510729">
            <w:pPr>
              <w:spacing w:after="0" w:line="240" w:lineRule="atLeast"/>
              <w:rPr>
                <w:rFonts w:ascii="Cambria" w:eastAsia="Times New Roman" w:hAnsi="Cambria" w:cs="Calibri"/>
                <w:lang w:val="hr-HR"/>
              </w:rPr>
            </w:pPr>
            <w:r w:rsidRPr="00DF4CE5">
              <w:rPr>
                <w:rFonts w:ascii="Cambria" w:eastAsia="Times New Roman" w:hAnsi="Cambria" w:cs="Calibri"/>
                <w:bCs/>
                <w:lang w:val="hr-HR"/>
              </w:rPr>
              <w:t>Ishodi</w:t>
            </w:r>
          </w:p>
          <w:p w14:paraId="450C6A5A" w14:textId="77777777" w:rsidR="00510729" w:rsidRPr="00DF4CE5" w:rsidRDefault="00510729" w:rsidP="00510729">
            <w:pPr>
              <w:spacing w:after="0" w:line="240" w:lineRule="atLeast"/>
              <w:rPr>
                <w:rFonts w:ascii="Cambria" w:eastAsia="Times New Roman" w:hAnsi="Cambria" w:cs="Calibri"/>
                <w:lang w:val="hr-HR"/>
              </w:rPr>
            </w:pPr>
          </w:p>
        </w:tc>
        <w:tc>
          <w:tcPr>
            <w:tcW w:w="742" w:type="dxa"/>
            <w:gridSpan w:val="2"/>
            <w:tcBorders>
              <w:top w:val="single" w:sz="8" w:space="0" w:color="000000"/>
              <w:left w:val="single" w:sz="8" w:space="0" w:color="000000"/>
              <w:bottom w:val="single" w:sz="4" w:space="0" w:color="auto"/>
              <w:right w:val="single" w:sz="8" w:space="0" w:color="000000"/>
            </w:tcBorders>
            <w:tcMar>
              <w:top w:w="15" w:type="dxa"/>
              <w:left w:w="108" w:type="dxa"/>
              <w:bottom w:w="0" w:type="dxa"/>
              <w:right w:w="108" w:type="dxa"/>
            </w:tcMar>
            <w:vAlign w:val="center"/>
            <w:hideMark/>
          </w:tcPr>
          <w:p w14:paraId="0858D431" w14:textId="77777777" w:rsidR="00510729" w:rsidRPr="00DF4CE5" w:rsidRDefault="00510729" w:rsidP="00510729">
            <w:pPr>
              <w:spacing w:after="0" w:line="240" w:lineRule="atLeast"/>
              <w:rPr>
                <w:rFonts w:ascii="Cambria" w:eastAsia="Times New Roman" w:hAnsi="Cambria" w:cs="Calibri"/>
                <w:lang w:val="hr-HR"/>
              </w:rPr>
            </w:pPr>
            <w:r w:rsidRPr="00DF4CE5">
              <w:rPr>
                <w:rFonts w:ascii="Cambria" w:eastAsia="Times New Roman" w:hAnsi="Cambria" w:cs="Calibri"/>
                <w:bCs/>
                <w:lang w:val="hr-HR"/>
              </w:rPr>
              <w:t>Sati</w:t>
            </w:r>
          </w:p>
        </w:tc>
        <w:tc>
          <w:tcPr>
            <w:tcW w:w="1047" w:type="dxa"/>
            <w:tcBorders>
              <w:top w:val="single" w:sz="8" w:space="0" w:color="000000"/>
              <w:left w:val="single" w:sz="8" w:space="0" w:color="000000"/>
              <w:bottom w:val="single" w:sz="4" w:space="0" w:color="auto"/>
              <w:right w:val="single" w:sz="8" w:space="0" w:color="000000"/>
            </w:tcBorders>
            <w:tcMar>
              <w:top w:w="15" w:type="dxa"/>
              <w:left w:w="108" w:type="dxa"/>
              <w:bottom w:w="0" w:type="dxa"/>
              <w:right w:w="108" w:type="dxa"/>
            </w:tcMar>
            <w:vAlign w:val="center"/>
            <w:hideMark/>
          </w:tcPr>
          <w:p w14:paraId="52D118F1" w14:textId="77777777" w:rsidR="00510729" w:rsidRPr="00DF4CE5" w:rsidRDefault="00510729" w:rsidP="00510729">
            <w:pPr>
              <w:spacing w:after="0" w:line="240" w:lineRule="atLeast"/>
              <w:rPr>
                <w:rFonts w:ascii="Cambria" w:eastAsia="Times New Roman" w:hAnsi="Cambria" w:cs="Calibri"/>
                <w:lang w:val="hr-HR"/>
              </w:rPr>
            </w:pPr>
            <w:r w:rsidRPr="00DF4CE5">
              <w:rPr>
                <w:rFonts w:ascii="Cambria" w:eastAsia="Times New Roman" w:hAnsi="Cambria" w:cs="Calibri"/>
                <w:bCs/>
                <w:lang w:val="hr-HR"/>
              </w:rPr>
              <w:t>Udio u ECTS</w:t>
            </w:r>
          </w:p>
        </w:tc>
        <w:tc>
          <w:tcPr>
            <w:tcW w:w="1362" w:type="dxa"/>
            <w:tcBorders>
              <w:top w:val="single" w:sz="8" w:space="0" w:color="000000"/>
              <w:left w:val="single" w:sz="8" w:space="0" w:color="000000"/>
              <w:bottom w:val="single" w:sz="4" w:space="0" w:color="auto"/>
              <w:right w:val="single" w:sz="8" w:space="0" w:color="000000"/>
            </w:tcBorders>
            <w:tcMar>
              <w:top w:w="15" w:type="dxa"/>
              <w:left w:w="108" w:type="dxa"/>
              <w:bottom w:w="0" w:type="dxa"/>
              <w:right w:w="108" w:type="dxa"/>
            </w:tcMar>
            <w:vAlign w:val="center"/>
            <w:hideMark/>
          </w:tcPr>
          <w:p w14:paraId="3AB6B7C8" w14:textId="77777777" w:rsidR="00510729" w:rsidRPr="00DF4CE5" w:rsidRDefault="00510729" w:rsidP="00510729">
            <w:pPr>
              <w:spacing w:after="0" w:line="240" w:lineRule="atLeast"/>
              <w:rPr>
                <w:rFonts w:ascii="Cambria" w:eastAsia="Times New Roman" w:hAnsi="Cambria" w:cs="Calibri"/>
                <w:lang w:val="hr-HR"/>
              </w:rPr>
            </w:pPr>
            <w:r w:rsidRPr="00DF4CE5">
              <w:rPr>
                <w:rFonts w:ascii="Cambria" w:eastAsia="Times New Roman" w:hAnsi="Cambria" w:cs="Calibri"/>
                <w:bCs/>
                <w:lang w:val="hr-HR"/>
              </w:rPr>
              <w:t>Maksimalni udio u ocjeni (%)</w:t>
            </w:r>
          </w:p>
        </w:tc>
      </w:tr>
      <w:tr w:rsidR="00510729" w:rsidRPr="00DF4CE5" w14:paraId="19E0CF9B" w14:textId="77777777" w:rsidTr="00B71FDE">
        <w:tc>
          <w:tcPr>
            <w:tcW w:w="2705" w:type="dxa"/>
            <w:vMerge/>
            <w:tcBorders>
              <w:left w:val="single" w:sz="8" w:space="0" w:color="000000"/>
              <w:right w:val="single" w:sz="8" w:space="0" w:color="000000"/>
            </w:tcBorders>
            <w:vAlign w:val="center"/>
            <w:hideMark/>
          </w:tcPr>
          <w:p w14:paraId="5D2B6A24" w14:textId="77777777" w:rsidR="00510729" w:rsidRPr="00DF4CE5" w:rsidRDefault="00510729" w:rsidP="00510729">
            <w:pPr>
              <w:spacing w:after="0" w:line="240" w:lineRule="atLeast"/>
              <w:rPr>
                <w:rFonts w:ascii="Cambria" w:eastAsia="Times New Roman" w:hAnsi="Cambria" w:cs="Calibri"/>
                <w:lang w:val="hr-HR"/>
              </w:rPr>
            </w:pPr>
          </w:p>
        </w:tc>
        <w:tc>
          <w:tcPr>
            <w:tcW w:w="28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593DF43" w14:textId="31FC2A8C" w:rsidR="00510729" w:rsidRPr="00DF4CE5" w:rsidRDefault="00B71FDE" w:rsidP="00510729">
            <w:pPr>
              <w:spacing w:after="0" w:line="240" w:lineRule="atLeast"/>
              <w:rPr>
                <w:rFonts w:ascii="Cambria" w:eastAsia="Times New Roman" w:hAnsi="Cambria" w:cs="Calibri"/>
                <w:lang w:val="hr-HR"/>
              </w:rPr>
            </w:pPr>
            <w:r w:rsidRPr="00DF4CE5">
              <w:rPr>
                <w:rFonts w:ascii="Cambria" w:eastAsia="Times New Roman" w:hAnsi="Cambria" w:cs="Calibri"/>
                <w:lang w:val="hr-HR"/>
              </w:rPr>
              <w:t>aktivnost na nastavi</w:t>
            </w:r>
            <w:r w:rsidR="00510729" w:rsidRPr="00DF4CE5">
              <w:rPr>
                <w:rFonts w:ascii="Cambria" w:eastAsia="Times New Roman" w:hAnsi="Cambria" w:cs="Calibri"/>
                <w:lang w:val="hr-HR"/>
              </w:rPr>
              <w:t xml:space="preserve"> </w:t>
            </w:r>
            <w:r w:rsidR="00ED1945">
              <w:rPr>
                <w:rFonts w:ascii="Cambria" w:eastAsia="Times New Roman" w:hAnsi="Cambria" w:cs="Calibri"/>
                <w:lang w:val="hr-HR"/>
              </w:rPr>
              <w:t>(</w:t>
            </w:r>
            <w:r w:rsidR="00510729" w:rsidRPr="00DF4CE5">
              <w:rPr>
                <w:rFonts w:ascii="Cambria" w:eastAsia="Times New Roman" w:hAnsi="Cambria" w:cs="Calibri"/>
                <w:lang w:val="hr-HR"/>
              </w:rPr>
              <w:t>P, S</w:t>
            </w:r>
            <w:r w:rsidR="00ED1945">
              <w:rPr>
                <w:rFonts w:ascii="Cambria" w:eastAsia="Times New Roman" w:hAnsi="Cambria" w:cs="Calibri"/>
                <w:lang w:val="hr-HR"/>
              </w:rPr>
              <w:t>)</w:t>
            </w:r>
          </w:p>
        </w:tc>
        <w:tc>
          <w:tcPr>
            <w:tcW w:w="966" w:type="dxa"/>
            <w:tcBorders>
              <w:top w:val="single" w:sz="8" w:space="0" w:color="000000"/>
              <w:left w:val="single" w:sz="8" w:space="0" w:color="000000"/>
              <w:bottom w:val="single" w:sz="8" w:space="0" w:color="000000"/>
              <w:right w:val="single" w:sz="4" w:space="0" w:color="auto"/>
            </w:tcBorders>
            <w:tcMar>
              <w:top w:w="15" w:type="dxa"/>
              <w:left w:w="108" w:type="dxa"/>
              <w:bottom w:w="0" w:type="dxa"/>
              <w:right w:w="108" w:type="dxa"/>
            </w:tcMar>
            <w:vAlign w:val="center"/>
            <w:hideMark/>
          </w:tcPr>
          <w:p w14:paraId="74E8F4AA" w14:textId="190BEDE7" w:rsidR="00510729" w:rsidRPr="00DF4CE5" w:rsidRDefault="00ED1945" w:rsidP="00ED1945">
            <w:pPr>
              <w:spacing w:after="0" w:line="240" w:lineRule="atLeast"/>
              <w:jc w:val="center"/>
              <w:rPr>
                <w:rFonts w:ascii="Cambria" w:eastAsia="Times New Roman" w:hAnsi="Cambria" w:cs="Calibri"/>
                <w:lang w:val="hr-HR"/>
              </w:rPr>
            </w:pPr>
            <w:r>
              <w:rPr>
                <w:rFonts w:ascii="Cambria" w:eastAsia="Times New Roman" w:hAnsi="Cambria" w:cs="Calibri"/>
                <w:lang w:val="hr-HR"/>
              </w:rPr>
              <w:t>1. – 4.</w:t>
            </w:r>
          </w:p>
        </w:tc>
        <w:tc>
          <w:tcPr>
            <w:tcW w:w="742" w:type="dxa"/>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bottom"/>
            <w:hideMark/>
          </w:tcPr>
          <w:p w14:paraId="27FF0A1B" w14:textId="1740622C" w:rsidR="00510729" w:rsidRPr="00DF4CE5" w:rsidRDefault="00510729" w:rsidP="00E91AAA">
            <w:pPr>
              <w:spacing w:after="0" w:line="240" w:lineRule="atLeast"/>
              <w:jc w:val="center"/>
              <w:rPr>
                <w:rFonts w:ascii="Cambria" w:eastAsia="Times New Roman" w:hAnsi="Cambria" w:cs="Calibri"/>
                <w:lang w:val="hr-HR"/>
              </w:rPr>
            </w:pPr>
            <w:r w:rsidRPr="00ED1945">
              <w:rPr>
                <w:rFonts w:ascii="Cambria" w:eastAsia="Times New Roman" w:hAnsi="Cambria" w:cs="Calibri"/>
                <w:color w:val="000000"/>
                <w:lang w:val="hr-HR"/>
              </w:rPr>
              <w:t>3</w:t>
            </w:r>
            <w:r w:rsidR="00ED1945" w:rsidRPr="00ED1945">
              <w:rPr>
                <w:rFonts w:ascii="Cambria" w:eastAsia="Times New Roman" w:hAnsi="Cambria" w:cs="Calibri"/>
                <w:color w:val="000000"/>
                <w:lang w:val="hr-HR"/>
              </w:rPr>
              <w:t>4</w:t>
            </w:r>
          </w:p>
        </w:tc>
        <w:tc>
          <w:tcPr>
            <w:tcW w:w="1047" w:type="dxa"/>
            <w:tcBorders>
              <w:top w:val="single" w:sz="4" w:space="0" w:color="auto"/>
              <w:left w:val="nil"/>
              <w:bottom w:val="single" w:sz="4" w:space="0" w:color="auto"/>
              <w:right w:val="nil"/>
            </w:tcBorders>
            <w:tcMar>
              <w:top w:w="15" w:type="dxa"/>
              <w:left w:w="108" w:type="dxa"/>
              <w:bottom w:w="0" w:type="dxa"/>
              <w:right w:w="108" w:type="dxa"/>
            </w:tcMar>
            <w:vAlign w:val="bottom"/>
            <w:hideMark/>
          </w:tcPr>
          <w:p w14:paraId="7E337A75" w14:textId="39A11CF4" w:rsidR="00510729" w:rsidRPr="00DF4CE5" w:rsidRDefault="00510729" w:rsidP="00E91AAA">
            <w:pPr>
              <w:spacing w:after="0" w:line="240" w:lineRule="atLeast"/>
              <w:jc w:val="center"/>
              <w:rPr>
                <w:rFonts w:ascii="Cambria" w:eastAsia="Times New Roman" w:hAnsi="Cambria" w:cs="Calibri"/>
                <w:lang w:val="hr-HR"/>
              </w:rPr>
            </w:pPr>
            <w:r w:rsidRPr="00DF4CE5">
              <w:rPr>
                <w:rFonts w:ascii="Cambria" w:eastAsia="Times New Roman" w:hAnsi="Cambria" w:cs="Calibri"/>
                <w:color w:val="000000"/>
                <w:lang w:val="hr-HR"/>
              </w:rPr>
              <w:t>1,</w:t>
            </w:r>
            <w:r w:rsidR="00ED1945">
              <w:rPr>
                <w:rFonts w:ascii="Cambria" w:eastAsia="Times New Roman" w:hAnsi="Cambria" w:cs="Calibri"/>
                <w:color w:val="000000"/>
                <w:lang w:val="hr-HR"/>
              </w:rPr>
              <w:t>1</w:t>
            </w:r>
          </w:p>
        </w:tc>
        <w:tc>
          <w:tcPr>
            <w:tcW w:w="136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bottom"/>
          </w:tcPr>
          <w:p w14:paraId="17EDD3BE" w14:textId="0B96D777" w:rsidR="00510729" w:rsidRPr="00DF4CE5" w:rsidRDefault="00510729" w:rsidP="00E91AAA">
            <w:pPr>
              <w:spacing w:after="0" w:line="240" w:lineRule="atLeast"/>
              <w:jc w:val="center"/>
              <w:rPr>
                <w:rFonts w:ascii="Cambria" w:eastAsia="Times New Roman" w:hAnsi="Cambria" w:cs="Calibri"/>
                <w:lang w:val="hr-HR"/>
              </w:rPr>
            </w:pPr>
            <w:r w:rsidRPr="00DF4CE5">
              <w:rPr>
                <w:rFonts w:ascii="Cambria" w:eastAsia="Times New Roman" w:hAnsi="Cambria" w:cs="Calibri"/>
                <w:color w:val="000000"/>
                <w:lang w:val="hr-HR"/>
              </w:rPr>
              <w:t>0</w:t>
            </w:r>
            <w:r w:rsidR="00ED1945">
              <w:rPr>
                <w:rFonts w:ascii="Cambria" w:eastAsia="Times New Roman" w:hAnsi="Cambria" w:cs="Calibri"/>
                <w:color w:val="000000"/>
                <w:lang w:val="hr-HR"/>
              </w:rPr>
              <w:t>%</w:t>
            </w:r>
          </w:p>
        </w:tc>
      </w:tr>
      <w:tr w:rsidR="00510729" w:rsidRPr="00DF4CE5" w14:paraId="5B76E6FA" w14:textId="77777777" w:rsidTr="00B71FDE">
        <w:tc>
          <w:tcPr>
            <w:tcW w:w="2705" w:type="dxa"/>
            <w:vMerge/>
            <w:tcBorders>
              <w:left w:val="single" w:sz="8" w:space="0" w:color="000000"/>
              <w:right w:val="single" w:sz="8" w:space="0" w:color="000000"/>
            </w:tcBorders>
            <w:vAlign w:val="center"/>
            <w:hideMark/>
          </w:tcPr>
          <w:p w14:paraId="60892DE5" w14:textId="77777777" w:rsidR="00510729" w:rsidRPr="00DF4CE5" w:rsidRDefault="00510729" w:rsidP="00510729">
            <w:pPr>
              <w:spacing w:after="0" w:line="240" w:lineRule="atLeast"/>
              <w:rPr>
                <w:rFonts w:ascii="Cambria" w:eastAsia="Times New Roman" w:hAnsi="Cambria" w:cs="Calibri"/>
                <w:lang w:val="hr-HR"/>
              </w:rPr>
            </w:pPr>
          </w:p>
        </w:tc>
        <w:tc>
          <w:tcPr>
            <w:tcW w:w="28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9B29A10" w14:textId="77777777" w:rsidR="00510729" w:rsidRPr="00DF4CE5" w:rsidRDefault="00510729" w:rsidP="00510729">
            <w:pPr>
              <w:spacing w:after="0" w:line="240" w:lineRule="atLeast"/>
              <w:rPr>
                <w:rFonts w:ascii="Cambria" w:eastAsia="Times New Roman" w:hAnsi="Cambria" w:cs="Calibri"/>
                <w:lang w:val="hr-HR"/>
              </w:rPr>
            </w:pPr>
            <w:r w:rsidRPr="00DF4CE5">
              <w:rPr>
                <w:rFonts w:ascii="Cambria" w:eastAsia="Times New Roman" w:hAnsi="Cambria" w:cs="Calibri"/>
                <w:lang w:val="hr-HR"/>
              </w:rPr>
              <w:t>terenska nastava</w:t>
            </w:r>
          </w:p>
        </w:tc>
        <w:tc>
          <w:tcPr>
            <w:tcW w:w="966" w:type="dxa"/>
            <w:tcBorders>
              <w:top w:val="single" w:sz="8" w:space="0" w:color="000000"/>
              <w:left w:val="single" w:sz="8" w:space="0" w:color="000000"/>
              <w:bottom w:val="single" w:sz="8" w:space="0" w:color="000000"/>
              <w:right w:val="single" w:sz="4" w:space="0" w:color="auto"/>
            </w:tcBorders>
            <w:tcMar>
              <w:top w:w="15" w:type="dxa"/>
              <w:left w:w="108" w:type="dxa"/>
              <w:bottom w:w="0" w:type="dxa"/>
              <w:right w:w="108" w:type="dxa"/>
            </w:tcMar>
            <w:vAlign w:val="center"/>
            <w:hideMark/>
          </w:tcPr>
          <w:p w14:paraId="23CD128F" w14:textId="79B2704F" w:rsidR="00510729" w:rsidRPr="00DF4CE5" w:rsidRDefault="00ED1945" w:rsidP="00ED1945">
            <w:pPr>
              <w:spacing w:after="0" w:line="240" w:lineRule="atLeast"/>
              <w:jc w:val="center"/>
              <w:rPr>
                <w:rFonts w:ascii="Cambria" w:eastAsia="Times New Roman" w:hAnsi="Cambria" w:cs="Calibri"/>
                <w:lang w:val="hr-HR"/>
              </w:rPr>
            </w:pPr>
            <w:r>
              <w:rPr>
                <w:rFonts w:ascii="Cambria" w:eastAsia="Times New Roman" w:hAnsi="Cambria" w:cs="Calibri"/>
                <w:lang w:val="hr-HR"/>
              </w:rPr>
              <w:t>1. – 4.</w:t>
            </w:r>
          </w:p>
        </w:tc>
        <w:tc>
          <w:tcPr>
            <w:tcW w:w="742" w:type="dxa"/>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bottom"/>
            <w:hideMark/>
          </w:tcPr>
          <w:p w14:paraId="0D4DBB03" w14:textId="657522DA" w:rsidR="00510729" w:rsidRPr="00DF4CE5" w:rsidRDefault="00343270" w:rsidP="00E91AAA">
            <w:pPr>
              <w:spacing w:after="0" w:line="240" w:lineRule="atLeast"/>
              <w:jc w:val="center"/>
              <w:rPr>
                <w:rFonts w:ascii="Cambria" w:eastAsia="Times New Roman" w:hAnsi="Cambria" w:cs="Calibri"/>
                <w:lang w:val="hr-HR"/>
              </w:rPr>
            </w:pPr>
            <w:r>
              <w:rPr>
                <w:rFonts w:ascii="Cambria" w:eastAsia="Times New Roman" w:hAnsi="Cambria" w:cs="Calibri"/>
                <w:color w:val="000000"/>
                <w:lang w:val="hr-HR"/>
              </w:rPr>
              <w:t>9</w:t>
            </w:r>
          </w:p>
        </w:tc>
        <w:tc>
          <w:tcPr>
            <w:tcW w:w="1047" w:type="dxa"/>
            <w:tcBorders>
              <w:top w:val="single" w:sz="4" w:space="0" w:color="auto"/>
              <w:left w:val="nil"/>
              <w:bottom w:val="single" w:sz="4" w:space="0" w:color="auto"/>
              <w:right w:val="nil"/>
            </w:tcBorders>
            <w:tcMar>
              <w:top w:w="15" w:type="dxa"/>
              <w:left w:w="108" w:type="dxa"/>
              <w:bottom w:w="0" w:type="dxa"/>
              <w:right w:w="108" w:type="dxa"/>
            </w:tcMar>
            <w:vAlign w:val="bottom"/>
            <w:hideMark/>
          </w:tcPr>
          <w:p w14:paraId="7A0C2B5E" w14:textId="3E3344C2" w:rsidR="00510729" w:rsidRPr="00DF4CE5" w:rsidRDefault="00510729" w:rsidP="00E91AAA">
            <w:pPr>
              <w:spacing w:after="0" w:line="240" w:lineRule="atLeast"/>
              <w:jc w:val="center"/>
              <w:rPr>
                <w:rFonts w:ascii="Cambria" w:eastAsia="Times New Roman" w:hAnsi="Cambria" w:cs="Calibri"/>
                <w:lang w:val="hr-HR"/>
              </w:rPr>
            </w:pPr>
            <w:r w:rsidRPr="00DF4CE5">
              <w:rPr>
                <w:rFonts w:ascii="Cambria" w:eastAsia="Times New Roman" w:hAnsi="Cambria" w:cs="Calibri"/>
                <w:color w:val="000000"/>
                <w:lang w:val="hr-HR"/>
              </w:rPr>
              <w:t>0,</w:t>
            </w:r>
            <w:r w:rsidR="00343270">
              <w:rPr>
                <w:rFonts w:ascii="Cambria" w:eastAsia="Times New Roman" w:hAnsi="Cambria" w:cs="Calibri"/>
                <w:color w:val="000000"/>
                <w:lang w:val="hr-HR"/>
              </w:rPr>
              <w:t>3</w:t>
            </w:r>
          </w:p>
        </w:tc>
        <w:tc>
          <w:tcPr>
            <w:tcW w:w="136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bottom"/>
          </w:tcPr>
          <w:p w14:paraId="3FE8A7B7" w14:textId="34D4AE32" w:rsidR="00510729" w:rsidRPr="00DF4CE5" w:rsidRDefault="00510729" w:rsidP="00E91AAA">
            <w:pPr>
              <w:spacing w:after="0" w:line="240" w:lineRule="atLeast"/>
              <w:jc w:val="center"/>
              <w:rPr>
                <w:rFonts w:ascii="Cambria" w:eastAsia="Times New Roman" w:hAnsi="Cambria" w:cs="Calibri"/>
                <w:lang w:val="hr-HR"/>
              </w:rPr>
            </w:pPr>
            <w:r w:rsidRPr="00DF4CE5">
              <w:rPr>
                <w:rFonts w:ascii="Cambria" w:eastAsia="Times New Roman" w:hAnsi="Cambria" w:cs="Calibri"/>
                <w:color w:val="000000"/>
                <w:lang w:val="hr-HR"/>
              </w:rPr>
              <w:t>0</w:t>
            </w:r>
            <w:r w:rsidR="00ED1945">
              <w:rPr>
                <w:rFonts w:ascii="Cambria" w:eastAsia="Times New Roman" w:hAnsi="Cambria" w:cs="Calibri"/>
                <w:color w:val="000000"/>
                <w:lang w:val="hr-HR"/>
              </w:rPr>
              <w:t>%</w:t>
            </w:r>
          </w:p>
        </w:tc>
      </w:tr>
      <w:tr w:rsidR="00510729" w:rsidRPr="00DF4CE5" w14:paraId="6A57E71C" w14:textId="77777777" w:rsidTr="00B71FDE">
        <w:tc>
          <w:tcPr>
            <w:tcW w:w="2705" w:type="dxa"/>
            <w:vMerge/>
            <w:tcBorders>
              <w:left w:val="single" w:sz="8" w:space="0" w:color="000000"/>
              <w:right w:val="single" w:sz="8" w:space="0" w:color="000000"/>
            </w:tcBorders>
            <w:vAlign w:val="center"/>
            <w:hideMark/>
          </w:tcPr>
          <w:p w14:paraId="7B87FA4E" w14:textId="77777777" w:rsidR="00510729" w:rsidRPr="00DF4CE5" w:rsidRDefault="00510729" w:rsidP="00510729">
            <w:pPr>
              <w:spacing w:after="0" w:line="240" w:lineRule="atLeast"/>
              <w:rPr>
                <w:rFonts w:ascii="Cambria" w:eastAsia="Times New Roman" w:hAnsi="Cambria" w:cs="Calibri"/>
                <w:lang w:val="hr-HR"/>
              </w:rPr>
            </w:pPr>
          </w:p>
        </w:tc>
        <w:tc>
          <w:tcPr>
            <w:tcW w:w="28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A9A7B59" w14:textId="77777777" w:rsidR="00510729" w:rsidRPr="00DF4CE5" w:rsidRDefault="00510729" w:rsidP="00510729">
            <w:pPr>
              <w:spacing w:after="0" w:line="240" w:lineRule="atLeast"/>
              <w:rPr>
                <w:rFonts w:ascii="Cambria" w:eastAsia="Times New Roman" w:hAnsi="Cambria" w:cs="Calibri"/>
                <w:lang w:val="hr-HR"/>
              </w:rPr>
            </w:pPr>
            <w:r w:rsidRPr="00DF4CE5">
              <w:rPr>
                <w:rFonts w:ascii="Cambria" w:eastAsia="Times New Roman" w:hAnsi="Cambria" w:cs="Calibri"/>
                <w:lang w:val="hr-HR"/>
              </w:rPr>
              <w:t>pismeni radovi (seminarski rad)</w:t>
            </w:r>
          </w:p>
        </w:tc>
        <w:tc>
          <w:tcPr>
            <w:tcW w:w="966" w:type="dxa"/>
            <w:tcBorders>
              <w:top w:val="single" w:sz="8" w:space="0" w:color="000000"/>
              <w:left w:val="single" w:sz="8" w:space="0" w:color="000000"/>
              <w:bottom w:val="single" w:sz="8" w:space="0" w:color="000000"/>
              <w:right w:val="single" w:sz="4" w:space="0" w:color="auto"/>
            </w:tcBorders>
            <w:tcMar>
              <w:top w:w="15" w:type="dxa"/>
              <w:left w:w="108" w:type="dxa"/>
              <w:bottom w:w="0" w:type="dxa"/>
              <w:right w:w="108" w:type="dxa"/>
            </w:tcMar>
            <w:vAlign w:val="center"/>
            <w:hideMark/>
          </w:tcPr>
          <w:p w14:paraId="037AC64D" w14:textId="4D8B8C25" w:rsidR="00510729" w:rsidRPr="00DF4CE5" w:rsidRDefault="00ED1945" w:rsidP="00ED1945">
            <w:pPr>
              <w:spacing w:after="0" w:line="240" w:lineRule="atLeast"/>
              <w:jc w:val="center"/>
              <w:rPr>
                <w:rFonts w:ascii="Cambria" w:eastAsia="Times New Roman" w:hAnsi="Cambria" w:cs="Calibri"/>
                <w:lang w:val="hr-HR"/>
              </w:rPr>
            </w:pPr>
            <w:r>
              <w:rPr>
                <w:rFonts w:ascii="Cambria" w:eastAsia="Times New Roman" w:hAnsi="Cambria" w:cs="Calibri"/>
                <w:lang w:val="hr-HR"/>
              </w:rPr>
              <w:t>1. – 4.</w:t>
            </w:r>
          </w:p>
        </w:tc>
        <w:tc>
          <w:tcPr>
            <w:tcW w:w="742" w:type="dxa"/>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bottom"/>
            <w:hideMark/>
          </w:tcPr>
          <w:p w14:paraId="18161798" w14:textId="5B271401" w:rsidR="00510729" w:rsidRPr="00DF4CE5" w:rsidRDefault="00ED1945" w:rsidP="00E91AAA">
            <w:pPr>
              <w:spacing w:after="0" w:line="240" w:lineRule="atLeast"/>
              <w:jc w:val="center"/>
              <w:rPr>
                <w:rFonts w:ascii="Cambria" w:eastAsia="Times New Roman" w:hAnsi="Cambria" w:cs="Calibri"/>
                <w:lang w:val="hr-HR"/>
              </w:rPr>
            </w:pPr>
            <w:r>
              <w:rPr>
                <w:rFonts w:ascii="Cambria" w:eastAsia="Times New Roman" w:hAnsi="Cambria" w:cs="Calibri"/>
                <w:color w:val="000000"/>
                <w:lang w:val="hr-HR"/>
              </w:rPr>
              <w:t>20</w:t>
            </w:r>
          </w:p>
        </w:tc>
        <w:tc>
          <w:tcPr>
            <w:tcW w:w="1047" w:type="dxa"/>
            <w:tcBorders>
              <w:top w:val="single" w:sz="4" w:space="0" w:color="auto"/>
              <w:left w:val="nil"/>
              <w:bottom w:val="single" w:sz="4" w:space="0" w:color="auto"/>
              <w:right w:val="nil"/>
            </w:tcBorders>
            <w:tcMar>
              <w:top w:w="15" w:type="dxa"/>
              <w:left w:w="108" w:type="dxa"/>
              <w:bottom w:w="0" w:type="dxa"/>
              <w:right w:w="108" w:type="dxa"/>
            </w:tcMar>
            <w:vAlign w:val="bottom"/>
            <w:hideMark/>
          </w:tcPr>
          <w:p w14:paraId="2293EEB9" w14:textId="3368BA43" w:rsidR="00510729" w:rsidRPr="00DF4CE5" w:rsidRDefault="00510729" w:rsidP="00E91AAA">
            <w:pPr>
              <w:spacing w:after="0" w:line="240" w:lineRule="atLeast"/>
              <w:jc w:val="center"/>
              <w:rPr>
                <w:rFonts w:ascii="Cambria" w:eastAsia="Times New Roman" w:hAnsi="Cambria" w:cs="Calibri"/>
                <w:lang w:val="hr-HR"/>
              </w:rPr>
            </w:pPr>
            <w:r w:rsidRPr="00DF4CE5">
              <w:rPr>
                <w:rFonts w:ascii="Cambria" w:eastAsia="Times New Roman" w:hAnsi="Cambria" w:cs="Calibri"/>
                <w:color w:val="000000"/>
                <w:lang w:val="hr-HR"/>
              </w:rPr>
              <w:t>0,</w:t>
            </w:r>
            <w:r w:rsidR="00ED1945">
              <w:rPr>
                <w:rFonts w:ascii="Cambria" w:eastAsia="Times New Roman" w:hAnsi="Cambria" w:cs="Calibri"/>
                <w:color w:val="000000"/>
                <w:lang w:val="hr-HR"/>
              </w:rPr>
              <w:t>7</w:t>
            </w:r>
          </w:p>
        </w:tc>
        <w:tc>
          <w:tcPr>
            <w:tcW w:w="136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bottom"/>
          </w:tcPr>
          <w:p w14:paraId="2039F425" w14:textId="6B7B8FEA" w:rsidR="00510729" w:rsidRPr="00DF4CE5" w:rsidRDefault="00510729" w:rsidP="00E91AAA">
            <w:pPr>
              <w:spacing w:after="0" w:line="240" w:lineRule="atLeast"/>
              <w:jc w:val="center"/>
              <w:rPr>
                <w:rFonts w:ascii="Cambria" w:eastAsia="Times New Roman" w:hAnsi="Cambria" w:cs="Calibri"/>
                <w:lang w:val="hr-HR"/>
              </w:rPr>
            </w:pPr>
            <w:r w:rsidRPr="00DF4CE5">
              <w:rPr>
                <w:rFonts w:ascii="Cambria" w:eastAsia="Times New Roman" w:hAnsi="Cambria" w:cs="Calibri"/>
                <w:color w:val="000000"/>
                <w:lang w:val="hr-HR"/>
              </w:rPr>
              <w:t>50</w:t>
            </w:r>
            <w:r w:rsidR="00CE1FD6" w:rsidRPr="00DF4CE5">
              <w:rPr>
                <w:rFonts w:ascii="Cambria" w:eastAsia="Times New Roman" w:hAnsi="Cambria" w:cs="Calibri"/>
                <w:color w:val="000000"/>
                <w:lang w:val="hr-HR"/>
              </w:rPr>
              <w:t>%</w:t>
            </w:r>
          </w:p>
        </w:tc>
      </w:tr>
      <w:tr w:rsidR="00510729" w:rsidRPr="00DF4CE5" w14:paraId="361A2361" w14:textId="77777777" w:rsidTr="00B71FDE">
        <w:tc>
          <w:tcPr>
            <w:tcW w:w="2705" w:type="dxa"/>
            <w:vMerge/>
            <w:tcBorders>
              <w:left w:val="single" w:sz="8" w:space="0" w:color="000000"/>
              <w:right w:val="single" w:sz="8" w:space="0" w:color="000000"/>
            </w:tcBorders>
            <w:vAlign w:val="center"/>
            <w:hideMark/>
          </w:tcPr>
          <w:p w14:paraId="494A1BCD" w14:textId="77777777" w:rsidR="00510729" w:rsidRPr="00DF4CE5" w:rsidRDefault="00510729" w:rsidP="00510729">
            <w:pPr>
              <w:spacing w:after="0" w:line="240" w:lineRule="atLeast"/>
              <w:rPr>
                <w:rFonts w:ascii="Cambria" w:eastAsia="Times New Roman" w:hAnsi="Cambria" w:cs="Calibri"/>
                <w:lang w:val="hr-HR"/>
              </w:rPr>
            </w:pPr>
          </w:p>
        </w:tc>
        <w:tc>
          <w:tcPr>
            <w:tcW w:w="28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B196043" w14:textId="77777777" w:rsidR="00510729" w:rsidRPr="00DF4CE5" w:rsidRDefault="00510729" w:rsidP="00510729">
            <w:pPr>
              <w:spacing w:after="0" w:line="240" w:lineRule="atLeast"/>
              <w:rPr>
                <w:rFonts w:ascii="Cambria" w:eastAsia="Times New Roman" w:hAnsi="Cambria" w:cs="Calibri"/>
                <w:lang w:val="hr-HR"/>
              </w:rPr>
            </w:pPr>
            <w:r w:rsidRPr="00DF4CE5">
              <w:rPr>
                <w:rFonts w:ascii="Cambria" w:eastAsia="Times New Roman" w:hAnsi="Cambria" w:cs="Calibri"/>
                <w:lang w:val="hr-HR"/>
              </w:rPr>
              <w:t xml:space="preserve">usmena izlaganja </w:t>
            </w:r>
          </w:p>
        </w:tc>
        <w:tc>
          <w:tcPr>
            <w:tcW w:w="966" w:type="dxa"/>
            <w:tcBorders>
              <w:top w:val="single" w:sz="8" w:space="0" w:color="000000"/>
              <w:left w:val="single" w:sz="8" w:space="0" w:color="000000"/>
              <w:bottom w:val="single" w:sz="8" w:space="0" w:color="000000"/>
              <w:right w:val="single" w:sz="4" w:space="0" w:color="auto"/>
            </w:tcBorders>
            <w:tcMar>
              <w:top w:w="15" w:type="dxa"/>
              <w:left w:w="108" w:type="dxa"/>
              <w:bottom w:w="0" w:type="dxa"/>
              <w:right w:w="108" w:type="dxa"/>
            </w:tcMar>
            <w:vAlign w:val="center"/>
            <w:hideMark/>
          </w:tcPr>
          <w:p w14:paraId="578ECD8B" w14:textId="611BB586" w:rsidR="00510729" w:rsidRPr="00DF4CE5" w:rsidRDefault="00ED1945" w:rsidP="00ED1945">
            <w:pPr>
              <w:spacing w:after="0" w:line="240" w:lineRule="atLeast"/>
              <w:jc w:val="center"/>
              <w:rPr>
                <w:rFonts w:ascii="Cambria" w:eastAsia="Times New Roman" w:hAnsi="Cambria" w:cs="Calibri"/>
                <w:lang w:val="hr-HR"/>
              </w:rPr>
            </w:pPr>
            <w:r>
              <w:rPr>
                <w:rFonts w:ascii="Cambria" w:eastAsia="Times New Roman" w:hAnsi="Cambria" w:cs="Calibri"/>
                <w:lang w:val="hr-HR"/>
              </w:rPr>
              <w:t>1. – 4.</w:t>
            </w:r>
          </w:p>
        </w:tc>
        <w:tc>
          <w:tcPr>
            <w:tcW w:w="742" w:type="dxa"/>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bottom"/>
            <w:hideMark/>
          </w:tcPr>
          <w:p w14:paraId="1C703A38" w14:textId="06703D8C" w:rsidR="00510729" w:rsidRPr="00DF4CE5" w:rsidRDefault="00343270" w:rsidP="00E91AAA">
            <w:pPr>
              <w:spacing w:after="0" w:line="240" w:lineRule="atLeast"/>
              <w:jc w:val="center"/>
              <w:rPr>
                <w:rFonts w:ascii="Cambria" w:eastAsia="Times New Roman" w:hAnsi="Cambria" w:cs="Calibri"/>
                <w:lang w:val="hr-HR"/>
              </w:rPr>
            </w:pPr>
            <w:r>
              <w:rPr>
                <w:rFonts w:ascii="Cambria" w:eastAsia="Times New Roman" w:hAnsi="Cambria" w:cs="Calibri"/>
                <w:color w:val="000000"/>
                <w:lang w:val="hr-HR"/>
              </w:rPr>
              <w:t>9</w:t>
            </w:r>
          </w:p>
        </w:tc>
        <w:tc>
          <w:tcPr>
            <w:tcW w:w="1047" w:type="dxa"/>
            <w:tcBorders>
              <w:top w:val="single" w:sz="4" w:space="0" w:color="auto"/>
              <w:left w:val="nil"/>
              <w:bottom w:val="single" w:sz="4" w:space="0" w:color="auto"/>
              <w:right w:val="nil"/>
            </w:tcBorders>
            <w:tcMar>
              <w:top w:w="15" w:type="dxa"/>
              <w:left w:w="108" w:type="dxa"/>
              <w:bottom w:w="0" w:type="dxa"/>
              <w:right w:w="108" w:type="dxa"/>
            </w:tcMar>
            <w:vAlign w:val="bottom"/>
            <w:hideMark/>
          </w:tcPr>
          <w:p w14:paraId="18763F54" w14:textId="4F156704" w:rsidR="00510729" w:rsidRPr="00DF4CE5" w:rsidRDefault="00510729" w:rsidP="00E91AAA">
            <w:pPr>
              <w:spacing w:after="0" w:line="240" w:lineRule="atLeast"/>
              <w:jc w:val="center"/>
              <w:rPr>
                <w:rFonts w:ascii="Cambria" w:eastAsia="Times New Roman" w:hAnsi="Cambria" w:cs="Calibri"/>
                <w:lang w:val="hr-HR"/>
              </w:rPr>
            </w:pPr>
            <w:r w:rsidRPr="00DF4CE5">
              <w:rPr>
                <w:rFonts w:ascii="Cambria" w:eastAsia="Times New Roman" w:hAnsi="Cambria" w:cs="Calibri"/>
                <w:color w:val="000000"/>
                <w:lang w:val="hr-HR"/>
              </w:rPr>
              <w:t>0,</w:t>
            </w:r>
            <w:r w:rsidR="00343270">
              <w:rPr>
                <w:rFonts w:ascii="Cambria" w:eastAsia="Times New Roman" w:hAnsi="Cambria" w:cs="Calibri"/>
                <w:color w:val="000000"/>
                <w:lang w:val="hr-HR"/>
              </w:rPr>
              <w:t>3</w:t>
            </w:r>
          </w:p>
        </w:tc>
        <w:tc>
          <w:tcPr>
            <w:tcW w:w="136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bottom"/>
          </w:tcPr>
          <w:p w14:paraId="0B6829D9" w14:textId="5E2B9652" w:rsidR="00510729" w:rsidRPr="00DF4CE5" w:rsidRDefault="00510729" w:rsidP="00E91AAA">
            <w:pPr>
              <w:spacing w:after="0" w:line="240" w:lineRule="atLeast"/>
              <w:jc w:val="center"/>
              <w:rPr>
                <w:rFonts w:ascii="Cambria" w:eastAsia="Times New Roman" w:hAnsi="Cambria" w:cs="Calibri"/>
                <w:lang w:val="hr-HR"/>
              </w:rPr>
            </w:pPr>
            <w:r w:rsidRPr="00DF4CE5">
              <w:rPr>
                <w:rFonts w:ascii="Cambria" w:eastAsia="Times New Roman" w:hAnsi="Cambria" w:cs="Calibri"/>
                <w:color w:val="000000"/>
                <w:lang w:val="hr-HR"/>
              </w:rPr>
              <w:t>0</w:t>
            </w:r>
            <w:r w:rsidR="00ED1945">
              <w:rPr>
                <w:rFonts w:ascii="Cambria" w:eastAsia="Times New Roman" w:hAnsi="Cambria" w:cs="Calibri"/>
                <w:color w:val="000000"/>
                <w:lang w:val="hr-HR"/>
              </w:rPr>
              <w:t>%</w:t>
            </w:r>
          </w:p>
        </w:tc>
      </w:tr>
      <w:tr w:rsidR="00510729" w:rsidRPr="00DF4CE5" w14:paraId="6795ACA8" w14:textId="77777777" w:rsidTr="00B71FDE">
        <w:tc>
          <w:tcPr>
            <w:tcW w:w="2705" w:type="dxa"/>
            <w:vMerge/>
            <w:tcBorders>
              <w:left w:val="single" w:sz="8" w:space="0" w:color="000000"/>
              <w:right w:val="single" w:sz="8" w:space="0" w:color="000000"/>
            </w:tcBorders>
            <w:vAlign w:val="center"/>
            <w:hideMark/>
          </w:tcPr>
          <w:p w14:paraId="23CC06E6" w14:textId="77777777" w:rsidR="00510729" w:rsidRPr="00DF4CE5" w:rsidRDefault="00510729" w:rsidP="00510729">
            <w:pPr>
              <w:spacing w:after="0" w:line="240" w:lineRule="atLeast"/>
              <w:rPr>
                <w:rFonts w:ascii="Cambria" w:eastAsia="Times New Roman" w:hAnsi="Cambria" w:cs="Calibri"/>
                <w:lang w:val="hr-HR"/>
              </w:rPr>
            </w:pPr>
          </w:p>
        </w:tc>
        <w:tc>
          <w:tcPr>
            <w:tcW w:w="28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531640B" w14:textId="77777777" w:rsidR="00510729" w:rsidRPr="00DF4CE5" w:rsidRDefault="00510729" w:rsidP="00510729">
            <w:pPr>
              <w:spacing w:after="0" w:line="240" w:lineRule="atLeast"/>
              <w:rPr>
                <w:rFonts w:ascii="Cambria" w:eastAsia="Times New Roman" w:hAnsi="Cambria" w:cs="Calibri"/>
                <w:lang w:val="hr-HR"/>
              </w:rPr>
            </w:pPr>
            <w:r w:rsidRPr="00DF4CE5">
              <w:rPr>
                <w:rFonts w:ascii="Cambria" w:eastAsia="Times New Roman" w:hAnsi="Cambria" w:cs="Calibri"/>
                <w:lang w:val="hr-HR"/>
              </w:rPr>
              <w:t>pisani ispit</w:t>
            </w:r>
          </w:p>
        </w:tc>
        <w:tc>
          <w:tcPr>
            <w:tcW w:w="966" w:type="dxa"/>
            <w:tcBorders>
              <w:top w:val="single" w:sz="8" w:space="0" w:color="000000"/>
              <w:left w:val="single" w:sz="8" w:space="0" w:color="000000"/>
              <w:bottom w:val="single" w:sz="8" w:space="0" w:color="000000"/>
              <w:right w:val="single" w:sz="4" w:space="0" w:color="auto"/>
            </w:tcBorders>
            <w:tcMar>
              <w:top w:w="15" w:type="dxa"/>
              <w:left w:w="108" w:type="dxa"/>
              <w:bottom w:w="0" w:type="dxa"/>
              <w:right w:w="108" w:type="dxa"/>
            </w:tcMar>
            <w:vAlign w:val="center"/>
            <w:hideMark/>
          </w:tcPr>
          <w:p w14:paraId="32D7E691" w14:textId="7D8C549C" w:rsidR="00510729" w:rsidRPr="00DF4CE5" w:rsidRDefault="00ED1945" w:rsidP="00ED1945">
            <w:pPr>
              <w:spacing w:after="0" w:line="240" w:lineRule="atLeast"/>
              <w:jc w:val="center"/>
              <w:rPr>
                <w:rFonts w:ascii="Cambria" w:eastAsia="Times New Roman" w:hAnsi="Cambria" w:cs="Calibri"/>
                <w:lang w:val="hr-HR"/>
              </w:rPr>
            </w:pPr>
            <w:r>
              <w:rPr>
                <w:rFonts w:ascii="Cambria" w:eastAsia="Times New Roman" w:hAnsi="Cambria" w:cs="Calibri"/>
                <w:lang w:val="hr-HR"/>
              </w:rPr>
              <w:t>1. – 4.</w:t>
            </w:r>
          </w:p>
        </w:tc>
        <w:tc>
          <w:tcPr>
            <w:tcW w:w="742" w:type="dxa"/>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bottom"/>
            <w:hideMark/>
          </w:tcPr>
          <w:p w14:paraId="1FB52A16" w14:textId="1FE3DD2D" w:rsidR="00510729" w:rsidRPr="00DF4CE5" w:rsidRDefault="00343270" w:rsidP="00E91AAA">
            <w:pPr>
              <w:spacing w:after="0" w:line="240" w:lineRule="atLeast"/>
              <w:jc w:val="center"/>
              <w:rPr>
                <w:rFonts w:ascii="Cambria" w:eastAsia="Times New Roman" w:hAnsi="Cambria" w:cs="Calibri"/>
                <w:lang w:val="hr-HR"/>
              </w:rPr>
            </w:pPr>
            <w:r>
              <w:rPr>
                <w:rFonts w:ascii="Cambria" w:eastAsia="Times New Roman" w:hAnsi="Cambria" w:cs="Calibri"/>
                <w:color w:val="000000"/>
                <w:lang w:val="hr-HR"/>
              </w:rPr>
              <w:t>18</w:t>
            </w:r>
          </w:p>
        </w:tc>
        <w:tc>
          <w:tcPr>
            <w:tcW w:w="1047" w:type="dxa"/>
            <w:tcBorders>
              <w:top w:val="single" w:sz="4" w:space="0" w:color="auto"/>
              <w:left w:val="nil"/>
              <w:bottom w:val="single" w:sz="4" w:space="0" w:color="auto"/>
              <w:right w:val="nil"/>
            </w:tcBorders>
            <w:tcMar>
              <w:top w:w="15" w:type="dxa"/>
              <w:left w:w="108" w:type="dxa"/>
              <w:bottom w:w="0" w:type="dxa"/>
              <w:right w:w="108" w:type="dxa"/>
            </w:tcMar>
            <w:vAlign w:val="bottom"/>
            <w:hideMark/>
          </w:tcPr>
          <w:p w14:paraId="041C4691" w14:textId="17F6F209" w:rsidR="00510729" w:rsidRPr="00DF4CE5" w:rsidRDefault="00510729" w:rsidP="00E91AAA">
            <w:pPr>
              <w:spacing w:after="0" w:line="240" w:lineRule="atLeast"/>
              <w:jc w:val="center"/>
              <w:rPr>
                <w:rFonts w:ascii="Cambria" w:eastAsia="Times New Roman" w:hAnsi="Cambria" w:cs="Calibri"/>
                <w:lang w:val="hr-HR"/>
              </w:rPr>
            </w:pPr>
            <w:r w:rsidRPr="00DF4CE5">
              <w:rPr>
                <w:rFonts w:ascii="Cambria" w:eastAsia="Times New Roman" w:hAnsi="Cambria" w:cs="Calibri"/>
                <w:color w:val="000000"/>
                <w:lang w:val="hr-HR"/>
              </w:rPr>
              <w:t>0,</w:t>
            </w:r>
            <w:r w:rsidR="00343270">
              <w:rPr>
                <w:rFonts w:ascii="Cambria" w:eastAsia="Times New Roman" w:hAnsi="Cambria" w:cs="Calibri"/>
                <w:color w:val="000000"/>
                <w:lang w:val="hr-HR"/>
              </w:rPr>
              <w:t>6</w:t>
            </w:r>
          </w:p>
        </w:tc>
        <w:tc>
          <w:tcPr>
            <w:tcW w:w="136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bottom"/>
          </w:tcPr>
          <w:p w14:paraId="4BCBE179" w14:textId="7E4CFF56" w:rsidR="00510729" w:rsidRPr="00DF4CE5" w:rsidRDefault="00510729" w:rsidP="00E91AAA">
            <w:pPr>
              <w:spacing w:after="0" w:line="240" w:lineRule="atLeast"/>
              <w:jc w:val="center"/>
              <w:rPr>
                <w:rFonts w:ascii="Cambria" w:eastAsia="Times New Roman" w:hAnsi="Cambria" w:cs="Calibri"/>
                <w:lang w:val="hr-HR"/>
              </w:rPr>
            </w:pPr>
            <w:r w:rsidRPr="00DF4CE5">
              <w:rPr>
                <w:rFonts w:ascii="Cambria" w:eastAsia="Times New Roman" w:hAnsi="Cambria" w:cs="Calibri"/>
                <w:color w:val="000000"/>
                <w:lang w:val="hr-HR"/>
              </w:rPr>
              <w:t>50</w:t>
            </w:r>
            <w:r w:rsidR="00CE1FD6" w:rsidRPr="00DF4CE5">
              <w:rPr>
                <w:rFonts w:ascii="Cambria" w:eastAsia="Times New Roman" w:hAnsi="Cambria" w:cs="Calibri"/>
                <w:color w:val="000000"/>
                <w:lang w:val="hr-HR"/>
              </w:rPr>
              <w:t>%</w:t>
            </w:r>
          </w:p>
        </w:tc>
      </w:tr>
      <w:tr w:rsidR="00510729" w:rsidRPr="00DF4CE5" w14:paraId="21BE8B5A" w14:textId="77777777" w:rsidTr="00B71FDE">
        <w:tc>
          <w:tcPr>
            <w:tcW w:w="2705" w:type="dxa"/>
            <w:vMerge/>
            <w:tcBorders>
              <w:left w:val="single" w:sz="8" w:space="0" w:color="000000"/>
              <w:right w:val="single" w:sz="8" w:space="0" w:color="000000"/>
            </w:tcBorders>
            <w:vAlign w:val="center"/>
            <w:hideMark/>
          </w:tcPr>
          <w:p w14:paraId="740D90BB" w14:textId="77777777" w:rsidR="00510729" w:rsidRPr="00DF4CE5" w:rsidRDefault="00510729" w:rsidP="00510729">
            <w:pPr>
              <w:spacing w:after="0" w:line="240" w:lineRule="atLeast"/>
              <w:rPr>
                <w:rFonts w:ascii="Cambria" w:eastAsia="Times New Roman" w:hAnsi="Cambria" w:cs="Calibri"/>
                <w:lang w:val="hr-HR"/>
              </w:rPr>
            </w:pPr>
          </w:p>
        </w:tc>
        <w:tc>
          <w:tcPr>
            <w:tcW w:w="3792" w:type="dxa"/>
            <w:gridSpan w:val="3"/>
            <w:tcBorders>
              <w:top w:val="single" w:sz="8" w:space="0" w:color="000000"/>
              <w:left w:val="single" w:sz="8" w:space="0" w:color="000000"/>
              <w:bottom w:val="single" w:sz="8" w:space="0" w:color="000000"/>
              <w:right w:val="single" w:sz="4" w:space="0" w:color="auto"/>
            </w:tcBorders>
            <w:tcMar>
              <w:top w:w="15" w:type="dxa"/>
              <w:left w:w="108" w:type="dxa"/>
              <w:bottom w:w="0" w:type="dxa"/>
              <w:right w:w="108" w:type="dxa"/>
            </w:tcMar>
            <w:hideMark/>
          </w:tcPr>
          <w:p w14:paraId="47763EC2" w14:textId="3FBCCBD1" w:rsidR="00510729" w:rsidRPr="00DF4CE5" w:rsidRDefault="00C9480F" w:rsidP="00510729">
            <w:pPr>
              <w:spacing w:after="0" w:line="240" w:lineRule="atLeast"/>
              <w:rPr>
                <w:rFonts w:ascii="Cambria" w:eastAsia="Times New Roman" w:hAnsi="Cambria" w:cs="Calibri"/>
                <w:lang w:val="hr-HR"/>
              </w:rPr>
            </w:pPr>
            <w:r w:rsidRPr="00DF4CE5">
              <w:rPr>
                <w:rFonts w:ascii="Cambria" w:eastAsia="Times New Roman" w:hAnsi="Cambria" w:cs="Calibri"/>
                <w:lang w:val="hr-HR"/>
              </w:rPr>
              <w:t>U</w:t>
            </w:r>
            <w:r w:rsidR="00510729" w:rsidRPr="00DF4CE5">
              <w:rPr>
                <w:rFonts w:ascii="Cambria" w:eastAsia="Times New Roman" w:hAnsi="Cambria" w:cs="Calibri"/>
                <w:lang w:val="hr-HR"/>
              </w:rPr>
              <w:t>kupno</w:t>
            </w:r>
          </w:p>
        </w:tc>
        <w:tc>
          <w:tcPr>
            <w:tcW w:w="742" w:type="dxa"/>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E5276D0" w14:textId="77777777" w:rsidR="00510729" w:rsidRPr="00DF4CE5" w:rsidRDefault="00510729" w:rsidP="00E91AAA">
            <w:pPr>
              <w:spacing w:after="0" w:line="240" w:lineRule="atLeast"/>
              <w:jc w:val="center"/>
              <w:rPr>
                <w:rFonts w:ascii="Cambria" w:eastAsia="Times New Roman" w:hAnsi="Cambria" w:cs="Calibri"/>
                <w:lang w:val="hr-HR"/>
              </w:rPr>
            </w:pPr>
            <w:r w:rsidRPr="00DF4CE5">
              <w:rPr>
                <w:rFonts w:ascii="Cambria" w:eastAsia="Times New Roman" w:hAnsi="Cambria" w:cs="Calibri"/>
                <w:lang w:val="hr-HR"/>
              </w:rPr>
              <w:t>90</w:t>
            </w:r>
          </w:p>
        </w:tc>
        <w:tc>
          <w:tcPr>
            <w:tcW w:w="1047" w:type="dxa"/>
            <w:tcBorders>
              <w:top w:val="single" w:sz="4" w:space="0" w:color="auto"/>
              <w:left w:val="nil"/>
              <w:bottom w:val="single" w:sz="4" w:space="0" w:color="auto"/>
              <w:right w:val="single" w:sz="4" w:space="0" w:color="auto"/>
            </w:tcBorders>
            <w:tcMar>
              <w:top w:w="15" w:type="dxa"/>
              <w:left w:w="108" w:type="dxa"/>
              <w:bottom w:w="0" w:type="dxa"/>
              <w:right w:w="108" w:type="dxa"/>
            </w:tcMar>
            <w:vAlign w:val="bottom"/>
            <w:hideMark/>
          </w:tcPr>
          <w:p w14:paraId="5CA4D756" w14:textId="77777777" w:rsidR="00510729" w:rsidRPr="00DF4CE5" w:rsidRDefault="00510729" w:rsidP="00E91AAA">
            <w:pPr>
              <w:spacing w:after="0" w:line="240" w:lineRule="atLeast"/>
              <w:jc w:val="center"/>
              <w:rPr>
                <w:rFonts w:ascii="Cambria" w:eastAsia="Times New Roman" w:hAnsi="Cambria" w:cs="Calibri"/>
                <w:lang w:val="hr-HR"/>
              </w:rPr>
            </w:pPr>
            <w:r w:rsidRPr="00DF4CE5">
              <w:rPr>
                <w:rFonts w:ascii="Cambria" w:eastAsia="Times New Roman" w:hAnsi="Cambria" w:cs="Calibri"/>
                <w:color w:val="000000"/>
                <w:lang w:val="hr-HR"/>
              </w:rPr>
              <w:t>3</w:t>
            </w:r>
          </w:p>
        </w:tc>
        <w:tc>
          <w:tcPr>
            <w:tcW w:w="136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bottom"/>
            <w:hideMark/>
          </w:tcPr>
          <w:p w14:paraId="3AE5ECE9" w14:textId="6AEC85D8" w:rsidR="00510729" w:rsidRPr="00DF4CE5" w:rsidRDefault="00510729" w:rsidP="00E91AAA">
            <w:pPr>
              <w:spacing w:after="0" w:line="240" w:lineRule="atLeast"/>
              <w:jc w:val="center"/>
              <w:rPr>
                <w:rFonts w:ascii="Cambria" w:eastAsia="Times New Roman" w:hAnsi="Cambria" w:cs="Calibri"/>
                <w:lang w:val="hr-HR"/>
              </w:rPr>
            </w:pPr>
            <w:r w:rsidRPr="00DF4CE5">
              <w:rPr>
                <w:rFonts w:ascii="Cambria" w:eastAsia="Times New Roman" w:hAnsi="Cambria" w:cs="Calibri"/>
                <w:color w:val="000000"/>
                <w:lang w:val="hr-HR"/>
              </w:rPr>
              <w:t>100</w:t>
            </w:r>
            <w:r w:rsidR="00CE1FD6" w:rsidRPr="00DF4CE5">
              <w:rPr>
                <w:rFonts w:ascii="Cambria" w:eastAsia="Times New Roman" w:hAnsi="Cambria" w:cs="Calibri"/>
                <w:color w:val="000000"/>
                <w:lang w:val="hr-HR"/>
              </w:rPr>
              <w:t>%</w:t>
            </w:r>
          </w:p>
        </w:tc>
      </w:tr>
      <w:tr w:rsidR="00510729" w:rsidRPr="00DF4CE5" w14:paraId="67B40B6C" w14:textId="77777777" w:rsidTr="00B71FDE">
        <w:tc>
          <w:tcPr>
            <w:tcW w:w="2705" w:type="dxa"/>
            <w:vMerge/>
            <w:tcBorders>
              <w:left w:val="single" w:sz="8" w:space="0" w:color="000000"/>
              <w:bottom w:val="single" w:sz="8" w:space="0" w:color="000000"/>
              <w:right w:val="single" w:sz="8" w:space="0" w:color="000000"/>
            </w:tcBorders>
            <w:vAlign w:val="center"/>
          </w:tcPr>
          <w:p w14:paraId="25F4B3F8" w14:textId="77777777" w:rsidR="00510729" w:rsidRPr="00DF4CE5" w:rsidRDefault="00510729" w:rsidP="00510729">
            <w:pPr>
              <w:spacing w:after="0" w:line="240" w:lineRule="atLeast"/>
              <w:rPr>
                <w:rFonts w:ascii="Cambria" w:eastAsia="Times New Roman" w:hAnsi="Cambria" w:cs="Calibri"/>
                <w:lang w:val="hr-HR"/>
              </w:rPr>
            </w:pPr>
          </w:p>
        </w:tc>
        <w:tc>
          <w:tcPr>
            <w:tcW w:w="6943"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7A8F461" w14:textId="77777777" w:rsidR="00510729" w:rsidRPr="00DF4CE5" w:rsidRDefault="00510729" w:rsidP="00510729">
            <w:pPr>
              <w:spacing w:after="0" w:line="240" w:lineRule="atLeast"/>
              <w:rPr>
                <w:rFonts w:ascii="Cambria" w:eastAsia="Times New Roman" w:hAnsi="Cambria" w:cs="Calibri"/>
                <w:lang w:val="hr-HR"/>
              </w:rPr>
            </w:pPr>
            <w:r w:rsidRPr="00DF4CE5">
              <w:rPr>
                <w:rFonts w:ascii="Cambria" w:eastAsia="Times New Roman" w:hAnsi="Cambria" w:cs="Calibri"/>
                <w:lang w:val="hr-HR"/>
              </w:rPr>
              <w:t>Dodatna pojašnjenja</w:t>
            </w:r>
          </w:p>
        </w:tc>
      </w:tr>
      <w:tr w:rsidR="00510729" w:rsidRPr="00D0399C" w14:paraId="695CDFCE" w14:textId="77777777" w:rsidTr="00B71FDE">
        <w:tc>
          <w:tcPr>
            <w:tcW w:w="270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1271471" w14:textId="77777777" w:rsidR="00510729" w:rsidRPr="00DF4CE5" w:rsidRDefault="00510729" w:rsidP="00510729">
            <w:pPr>
              <w:spacing w:after="0" w:line="240" w:lineRule="atLeast"/>
              <w:rPr>
                <w:rFonts w:ascii="Cambria" w:eastAsia="Times New Roman" w:hAnsi="Cambria" w:cs="Calibri"/>
                <w:lang w:val="hr-HR"/>
              </w:rPr>
            </w:pPr>
            <w:r w:rsidRPr="00DF4CE5">
              <w:rPr>
                <w:rFonts w:ascii="Cambria" w:eastAsia="Times New Roman" w:hAnsi="Cambria" w:cs="Calibri"/>
                <w:lang w:val="hr-HR"/>
              </w:rPr>
              <w:t>Studentske obveze</w:t>
            </w:r>
          </w:p>
        </w:tc>
        <w:tc>
          <w:tcPr>
            <w:tcW w:w="6943"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347DD3C" w14:textId="77777777" w:rsidR="00510729" w:rsidRPr="00DF4CE5" w:rsidRDefault="00510729" w:rsidP="00510729">
            <w:pPr>
              <w:spacing w:after="0" w:line="240" w:lineRule="atLeast"/>
              <w:rPr>
                <w:rFonts w:ascii="Cambria" w:eastAsia="Times New Roman" w:hAnsi="Cambria" w:cs="Calibri"/>
                <w:lang w:val="hr-HR"/>
              </w:rPr>
            </w:pPr>
            <w:r w:rsidRPr="00DF4CE5">
              <w:rPr>
                <w:rFonts w:ascii="Cambria" w:eastAsia="Times New Roman" w:hAnsi="Cambria" w:cs="Calibri"/>
                <w:lang w:val="hr-HR"/>
              </w:rPr>
              <w:t>Da položi kolegij, student/studentica mora:</w:t>
            </w:r>
          </w:p>
          <w:p w14:paraId="06FF2AC2" w14:textId="77777777" w:rsidR="00510729" w:rsidRPr="00DF4CE5" w:rsidRDefault="00510729" w:rsidP="00510729">
            <w:pPr>
              <w:spacing w:after="0" w:line="240" w:lineRule="atLeast"/>
              <w:rPr>
                <w:rFonts w:ascii="Cambria" w:eastAsia="Times New Roman" w:hAnsi="Cambria" w:cs="Calibri"/>
                <w:lang w:val="hr-HR"/>
              </w:rPr>
            </w:pPr>
            <w:r w:rsidRPr="00DF4CE5">
              <w:rPr>
                <w:rFonts w:ascii="Cambria" w:eastAsia="Times New Roman" w:hAnsi="Cambria" w:cs="Calibri"/>
                <w:lang w:val="hr-HR"/>
              </w:rPr>
              <w:t>1. pohađati nastavu i aktivno sudjelovati u nastavnome procesu tijekom cijelog semestra</w:t>
            </w:r>
          </w:p>
          <w:p w14:paraId="0617F8E5" w14:textId="77777777" w:rsidR="00510729" w:rsidRPr="00DF4CE5" w:rsidRDefault="00510729" w:rsidP="00510729">
            <w:pPr>
              <w:spacing w:after="0" w:line="240" w:lineRule="atLeast"/>
              <w:rPr>
                <w:rFonts w:ascii="Cambria" w:eastAsia="Times New Roman" w:hAnsi="Cambria" w:cs="Calibri"/>
                <w:lang w:val="hr-HR"/>
              </w:rPr>
            </w:pPr>
            <w:r w:rsidRPr="00DF4CE5">
              <w:rPr>
                <w:rFonts w:ascii="Cambria" w:eastAsia="Times New Roman" w:hAnsi="Cambria" w:cs="Calibri"/>
                <w:lang w:val="hr-HR"/>
              </w:rPr>
              <w:t>2  pred studentima izložiti seminarski rad na zadanu temu regionalne ili primijenjene geografije u nastavi</w:t>
            </w:r>
          </w:p>
          <w:p w14:paraId="60B4274E" w14:textId="77777777" w:rsidR="00510729" w:rsidRPr="00DF4CE5" w:rsidRDefault="00510729" w:rsidP="00510729">
            <w:pPr>
              <w:spacing w:after="0" w:line="240" w:lineRule="atLeast"/>
              <w:rPr>
                <w:rFonts w:ascii="Cambria" w:eastAsia="Times New Roman" w:hAnsi="Cambria" w:cs="Calibri"/>
                <w:lang w:val="hr-HR"/>
              </w:rPr>
            </w:pPr>
            <w:r w:rsidRPr="00DF4CE5">
              <w:rPr>
                <w:rFonts w:ascii="Cambria" w:eastAsia="Times New Roman" w:hAnsi="Cambria" w:cs="Calibri"/>
                <w:lang w:val="hr-HR"/>
              </w:rPr>
              <w:t>3. napisati cjelovit seminarski rad. Rok za predaju rada isključivo na portal za e-učenje je najkasnije sedam dana prije pisanog ispita, a prema kalendaru objavljenom na portalu za e-učenje</w:t>
            </w:r>
          </w:p>
          <w:p w14:paraId="7A54CB6D" w14:textId="77777777" w:rsidR="00510729" w:rsidRPr="00DF4CE5" w:rsidRDefault="00510729" w:rsidP="00510729">
            <w:pPr>
              <w:spacing w:after="0" w:line="240" w:lineRule="atLeast"/>
              <w:rPr>
                <w:rFonts w:ascii="Cambria" w:eastAsia="Times New Roman" w:hAnsi="Cambria" w:cs="Calibri"/>
                <w:lang w:val="hr-HR"/>
              </w:rPr>
            </w:pPr>
            <w:r w:rsidRPr="00DF4CE5">
              <w:rPr>
                <w:rFonts w:ascii="Cambria" w:eastAsia="Times New Roman" w:hAnsi="Cambria" w:cs="Calibri"/>
                <w:lang w:val="hr-HR"/>
              </w:rPr>
              <w:t>4. aktivno sudjelovati u terenskoj nastavi</w:t>
            </w:r>
          </w:p>
          <w:p w14:paraId="220D0A9D" w14:textId="77777777" w:rsidR="00510729" w:rsidRPr="00DF4CE5" w:rsidRDefault="00510729" w:rsidP="00510729">
            <w:pPr>
              <w:spacing w:after="0" w:line="240" w:lineRule="atLeast"/>
              <w:rPr>
                <w:rFonts w:ascii="Cambria" w:eastAsia="Times New Roman" w:hAnsi="Cambria" w:cs="Calibri"/>
                <w:lang w:val="hr-HR"/>
              </w:rPr>
            </w:pPr>
            <w:r w:rsidRPr="00DF4CE5">
              <w:rPr>
                <w:rFonts w:ascii="Cambria" w:eastAsia="Times New Roman" w:hAnsi="Cambria" w:cs="Calibri"/>
                <w:lang w:val="hr-HR"/>
              </w:rPr>
              <w:t>5. položiti pisani ispit.</w:t>
            </w:r>
          </w:p>
        </w:tc>
      </w:tr>
      <w:tr w:rsidR="00510729" w:rsidRPr="00D0399C" w14:paraId="665AAB14" w14:textId="77777777" w:rsidTr="00B71FDE">
        <w:tc>
          <w:tcPr>
            <w:tcW w:w="270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B02D993" w14:textId="77777777" w:rsidR="00510729" w:rsidRPr="00DF4CE5" w:rsidRDefault="00510729" w:rsidP="00510729">
            <w:pPr>
              <w:spacing w:after="0" w:line="240" w:lineRule="atLeast"/>
              <w:rPr>
                <w:rFonts w:ascii="Cambria" w:eastAsia="Times New Roman" w:hAnsi="Cambria" w:cs="Calibri"/>
                <w:lang w:val="hr-HR"/>
              </w:rPr>
            </w:pPr>
            <w:r w:rsidRPr="00DF4CE5">
              <w:rPr>
                <w:rFonts w:ascii="Cambria" w:eastAsia="Times New Roman" w:hAnsi="Cambria" w:cs="Calibri"/>
                <w:lang w:val="hr-HR"/>
              </w:rPr>
              <w:t>Rokovi ispita i kolokvija</w:t>
            </w:r>
          </w:p>
        </w:tc>
        <w:tc>
          <w:tcPr>
            <w:tcW w:w="6943"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76199EC" w14:textId="77777777" w:rsidR="00510729" w:rsidRPr="00DF4CE5" w:rsidRDefault="00510729" w:rsidP="00510729">
            <w:pPr>
              <w:spacing w:after="0" w:line="240" w:lineRule="atLeast"/>
              <w:rPr>
                <w:rFonts w:ascii="Cambria" w:eastAsia="Times New Roman" w:hAnsi="Cambria" w:cs="Calibri"/>
                <w:lang w:val="hr-HR"/>
              </w:rPr>
            </w:pPr>
            <w:r w:rsidRPr="00DF4CE5">
              <w:rPr>
                <w:rFonts w:ascii="Cambria" w:eastAsia="Times New Roman" w:hAnsi="Cambria" w:cs="Calibri"/>
                <w:lang w:val="hr-HR"/>
              </w:rPr>
              <w:t>Daju se na početku akademske godine, objavljuju se na mrežnim stranicama Sveučilišta i u ISVU.</w:t>
            </w:r>
          </w:p>
        </w:tc>
      </w:tr>
      <w:tr w:rsidR="00510729" w:rsidRPr="00343270" w14:paraId="08A561D7" w14:textId="77777777" w:rsidTr="00B71FDE">
        <w:tc>
          <w:tcPr>
            <w:tcW w:w="270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F620EE2" w14:textId="77777777" w:rsidR="00510729" w:rsidRPr="00DF4CE5" w:rsidRDefault="00510729" w:rsidP="00510729">
            <w:pPr>
              <w:spacing w:after="0" w:line="240" w:lineRule="atLeast"/>
              <w:rPr>
                <w:rFonts w:ascii="Cambria" w:eastAsia="Times New Roman" w:hAnsi="Cambria" w:cs="Calibri"/>
                <w:lang w:val="hr-HR"/>
              </w:rPr>
            </w:pPr>
            <w:r w:rsidRPr="00DF4CE5">
              <w:rPr>
                <w:rFonts w:ascii="Cambria" w:eastAsia="Times New Roman" w:hAnsi="Cambria" w:cs="Calibri"/>
                <w:lang w:val="hr-HR"/>
              </w:rPr>
              <w:t>Ostale važne činjenice vezane uz kolegij</w:t>
            </w:r>
          </w:p>
        </w:tc>
        <w:tc>
          <w:tcPr>
            <w:tcW w:w="6943"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FE1CE2B" w14:textId="77777777" w:rsidR="00510729" w:rsidRPr="00DF4CE5" w:rsidRDefault="00510729" w:rsidP="00510729">
            <w:pPr>
              <w:spacing w:after="0" w:line="240" w:lineRule="atLeast"/>
              <w:rPr>
                <w:rFonts w:ascii="Cambria" w:eastAsia="Times New Roman" w:hAnsi="Cambria" w:cs="Calibri"/>
                <w:lang w:val="hr-HR"/>
              </w:rPr>
            </w:pPr>
            <w:r w:rsidRPr="00DF4CE5">
              <w:rPr>
                <w:rFonts w:ascii="Cambria" w:eastAsia="Times New Roman" w:hAnsi="Cambria" w:cs="Calibri"/>
                <w:lang w:val="hr-HR"/>
              </w:rPr>
              <w:t>Pohađanje nastave je obvezno. Student koji izostane više od 4 puta nema pravo prijave i  pristupa ispitu te moraju ponovno upisati kolegij.</w:t>
            </w:r>
          </w:p>
          <w:p w14:paraId="04AF07D7" w14:textId="77777777" w:rsidR="00510729" w:rsidRPr="00DF4CE5" w:rsidRDefault="00510729" w:rsidP="00510729">
            <w:pPr>
              <w:spacing w:after="0" w:line="240" w:lineRule="atLeast"/>
              <w:rPr>
                <w:rFonts w:ascii="Cambria" w:eastAsia="Times New Roman" w:hAnsi="Cambria" w:cs="Calibri"/>
                <w:lang w:val="hr-HR"/>
              </w:rPr>
            </w:pPr>
            <w:r w:rsidRPr="00DF4CE5">
              <w:rPr>
                <w:rFonts w:ascii="Cambria" w:eastAsia="Times New Roman" w:hAnsi="Cambria" w:cs="Calibri"/>
                <w:lang w:val="hr-HR"/>
              </w:rPr>
              <w:t>Terenska nastava je uvjet je za ispit.</w:t>
            </w:r>
          </w:p>
          <w:p w14:paraId="49CC69C5" w14:textId="77777777" w:rsidR="00510729" w:rsidRPr="00DF4CE5" w:rsidRDefault="00510729" w:rsidP="00510729">
            <w:pPr>
              <w:spacing w:after="0" w:line="240" w:lineRule="atLeast"/>
              <w:rPr>
                <w:rFonts w:ascii="Cambria" w:eastAsia="Times New Roman" w:hAnsi="Cambria" w:cs="Calibri"/>
                <w:b/>
                <w:lang w:val="hr-HR"/>
              </w:rPr>
            </w:pPr>
            <w:r w:rsidRPr="00DF4CE5">
              <w:rPr>
                <w:rFonts w:ascii="Cambria" w:eastAsia="Times New Roman" w:hAnsi="Cambria" w:cs="Calibri"/>
                <w:lang w:val="hr-HR"/>
              </w:rPr>
              <w:t xml:space="preserve">Seminarski rad se izrađuje u pisanom obliku prema naputku koji je studentima prezentiran na prvom terminu seminara i objavljen na mrežnim stranicama (portal za e-učenje, forum s vijestima Geografija). Temu seminara je zadana na početku semestra. Seminar se usmeno prezentira ostalim studentima. Pisani rad može se u više navrata dati na pregled i eventualne ispravke nositelju kolegija. Prezentacija seminara pred studentima jedan je od uvjeta za prijavu i pristupanje ispitu.  Student koji ne izvrši obvezu mora ponovo upisati kolegij. Izrada pisanog seminarskog rada uvjet je za pristupanje ispitu. Seminar se na pregled i ocjenu može slati najviše jednom po ispitnom roku isključivo na portal za </w:t>
            </w:r>
            <w:r w:rsidRPr="00DF4CE5">
              <w:rPr>
                <w:rFonts w:ascii="Cambria" w:eastAsia="Times New Roman" w:hAnsi="Cambria" w:cs="Calibri"/>
                <w:lang w:val="hr-HR"/>
              </w:rPr>
              <w:lastRenderedPageBreak/>
              <w:t>e-učenje. Studenti koji ne izvrše obvezu prezentacije i izrade pisanog dijela seminara ne mogu prijaviti i pristupiti ispitu.</w:t>
            </w:r>
            <w:r w:rsidRPr="00DF4CE5">
              <w:rPr>
                <w:rFonts w:ascii="Cambria" w:eastAsia="Times New Roman" w:hAnsi="Cambria" w:cs="Calibri"/>
                <w:b/>
                <w:lang w:val="hr-HR"/>
              </w:rPr>
              <w:t xml:space="preserve"> </w:t>
            </w:r>
          </w:p>
          <w:p w14:paraId="420279EA" w14:textId="5CED35AF" w:rsidR="00510729" w:rsidRDefault="00510729" w:rsidP="00510729">
            <w:pPr>
              <w:spacing w:after="0" w:line="240" w:lineRule="atLeast"/>
              <w:rPr>
                <w:rFonts w:ascii="Cambria" w:eastAsia="Times New Roman" w:hAnsi="Cambria" w:cs="Calibri"/>
                <w:lang w:val="hr-HR"/>
              </w:rPr>
            </w:pPr>
            <w:r w:rsidRPr="00DF4CE5">
              <w:rPr>
                <w:rFonts w:ascii="Cambria" w:eastAsia="Times New Roman" w:hAnsi="Cambria" w:cs="Calibri"/>
                <w:lang w:val="hr-HR"/>
              </w:rPr>
              <w:t>Pisani ispit</w:t>
            </w:r>
            <w:r w:rsidRPr="00DF4CE5">
              <w:rPr>
                <w:rFonts w:ascii="Cambria" w:eastAsia="Times New Roman" w:hAnsi="Cambria" w:cs="Calibri"/>
                <w:b/>
                <w:lang w:val="hr-HR"/>
              </w:rPr>
              <w:t xml:space="preserve"> </w:t>
            </w:r>
            <w:r w:rsidRPr="00DF4CE5">
              <w:rPr>
                <w:rFonts w:ascii="Cambria" w:eastAsia="Times New Roman" w:hAnsi="Cambria" w:cs="Calibri"/>
                <w:lang w:val="hr-HR"/>
              </w:rPr>
              <w:t>se sastoji od testa sa zadacima objektivnog tipa. Pisani ispit donosi najviše 50% bodova</w:t>
            </w:r>
            <w:r w:rsidR="00343270">
              <w:rPr>
                <w:rFonts w:ascii="Cambria" w:eastAsia="Times New Roman" w:hAnsi="Cambria" w:cs="Calibri"/>
                <w:lang w:val="hr-HR"/>
              </w:rPr>
              <w:t>.</w:t>
            </w:r>
          </w:p>
          <w:p w14:paraId="13315CBC" w14:textId="1CFA22D8" w:rsidR="00343270" w:rsidRPr="00DF4CE5" w:rsidRDefault="00343270" w:rsidP="00510729">
            <w:pPr>
              <w:spacing w:after="0" w:line="240" w:lineRule="atLeast"/>
              <w:rPr>
                <w:rFonts w:ascii="Cambria" w:eastAsia="Times New Roman" w:hAnsi="Cambria" w:cs="Calibri"/>
                <w:lang w:val="hr-HR"/>
              </w:rPr>
            </w:pPr>
            <w:r w:rsidRPr="00343270">
              <w:rPr>
                <w:rFonts w:ascii="Cambria" w:eastAsia="Times New Roman" w:hAnsi="Cambria" w:cs="Calibri"/>
                <w:lang w:val="hr-HR"/>
              </w:rPr>
              <w:t>U slučaju održavanja nastave na daljinu, moguće je odstupanje u: mjestu izvođenja kolegija, provedbi aktivnosti, metoda tumačenja i poučavanja i načinima vrednovanja, studentskim obvezama i dostupnoj literaturi. O tome će nositelj obavijestiti studente i studentice kad se nastava na daljinu počne održavati. Ishodi učenja ostaju nepromijenjeni.</w:t>
            </w:r>
          </w:p>
          <w:p w14:paraId="740BED8E" w14:textId="77777777" w:rsidR="00510729" w:rsidRPr="00DF4CE5" w:rsidRDefault="00510729" w:rsidP="00510729">
            <w:pPr>
              <w:spacing w:after="0" w:line="240" w:lineRule="atLeast"/>
              <w:rPr>
                <w:rFonts w:ascii="Cambria" w:eastAsia="Times New Roman" w:hAnsi="Cambria" w:cs="Calibri"/>
                <w:lang w:val="hr-HR"/>
              </w:rPr>
            </w:pPr>
          </w:p>
        </w:tc>
      </w:tr>
      <w:tr w:rsidR="00510729" w:rsidRPr="00D0399C" w14:paraId="65531581" w14:textId="77777777" w:rsidTr="00B71FDE">
        <w:trPr>
          <w:trHeight w:val="770"/>
        </w:trPr>
        <w:tc>
          <w:tcPr>
            <w:tcW w:w="270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BA73552" w14:textId="77777777" w:rsidR="00510729" w:rsidRPr="00DF4CE5" w:rsidRDefault="00510729" w:rsidP="00510729">
            <w:pPr>
              <w:spacing w:after="0" w:line="240" w:lineRule="atLeast"/>
              <w:rPr>
                <w:rFonts w:ascii="Cambria" w:eastAsia="Times New Roman" w:hAnsi="Cambria" w:cs="Calibri"/>
                <w:lang w:val="hr-HR"/>
              </w:rPr>
            </w:pPr>
            <w:r w:rsidRPr="00DF4CE5">
              <w:rPr>
                <w:rFonts w:ascii="Cambria" w:eastAsia="Times New Roman" w:hAnsi="Cambria" w:cs="Calibri"/>
                <w:lang w:val="hr-HR"/>
              </w:rPr>
              <w:lastRenderedPageBreak/>
              <w:t>Literatura</w:t>
            </w:r>
          </w:p>
        </w:tc>
        <w:tc>
          <w:tcPr>
            <w:tcW w:w="6943"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68B557D0" w14:textId="77777777" w:rsidR="00510729" w:rsidRPr="00DF4CE5" w:rsidRDefault="00510729" w:rsidP="00510729">
            <w:pPr>
              <w:spacing w:after="0" w:line="240" w:lineRule="atLeast"/>
              <w:rPr>
                <w:rFonts w:ascii="Cambria" w:eastAsia="Times New Roman" w:hAnsi="Cambria" w:cs="Calibri"/>
                <w:lang w:val="hr-HR"/>
              </w:rPr>
            </w:pPr>
            <w:r w:rsidRPr="00DF4CE5">
              <w:rPr>
                <w:rFonts w:ascii="Cambria" w:eastAsia="Times New Roman" w:hAnsi="Cambria" w:cs="Calibri"/>
                <w:lang w:val="hr-HR"/>
              </w:rPr>
              <w:t xml:space="preserve">Obvezna: </w:t>
            </w:r>
          </w:p>
          <w:p w14:paraId="0FF6BC47" w14:textId="77777777" w:rsidR="00510729" w:rsidRPr="00DF4CE5" w:rsidRDefault="00510729" w:rsidP="00510729">
            <w:pPr>
              <w:spacing w:after="0" w:line="240" w:lineRule="atLeast"/>
              <w:rPr>
                <w:rFonts w:ascii="Cambria" w:eastAsia="Times New Roman" w:hAnsi="Cambria" w:cs="Calibri"/>
                <w:lang w:val="hr-HR"/>
              </w:rPr>
            </w:pPr>
            <w:r w:rsidRPr="00DF4CE5">
              <w:rPr>
                <w:rFonts w:ascii="Cambria" w:eastAsia="Times New Roman" w:hAnsi="Cambria" w:cs="Calibri"/>
                <w:lang w:val="hr-HR"/>
              </w:rPr>
              <w:t xml:space="preserve">1. </w:t>
            </w:r>
            <w:proofErr w:type="spellStart"/>
            <w:r w:rsidRPr="00DF4CE5">
              <w:rPr>
                <w:rFonts w:ascii="Cambria" w:eastAsia="Times New Roman" w:hAnsi="Cambria" w:cs="Calibri"/>
                <w:lang w:val="hr-HR"/>
              </w:rPr>
              <w:t>Nejašmić</w:t>
            </w:r>
            <w:proofErr w:type="spellEnd"/>
            <w:r w:rsidRPr="00DF4CE5">
              <w:rPr>
                <w:rFonts w:ascii="Cambria" w:eastAsia="Times New Roman" w:hAnsi="Cambria" w:cs="Calibri"/>
                <w:lang w:val="hr-HR"/>
              </w:rPr>
              <w:t>, I., 1998: Osnove opće geografije, Educa, Zagreb (13-380)</w:t>
            </w:r>
          </w:p>
          <w:p w14:paraId="07A1B0FC" w14:textId="77777777" w:rsidR="00510729" w:rsidRPr="00DF4CE5" w:rsidRDefault="00510729" w:rsidP="00510729">
            <w:pPr>
              <w:spacing w:after="0" w:line="240" w:lineRule="atLeast"/>
              <w:rPr>
                <w:rFonts w:ascii="Cambria" w:eastAsia="Times New Roman" w:hAnsi="Cambria" w:cs="Calibri"/>
                <w:lang w:val="hr-HR"/>
              </w:rPr>
            </w:pPr>
            <w:r w:rsidRPr="00DF4CE5">
              <w:rPr>
                <w:rFonts w:ascii="Cambria" w:eastAsia="Times New Roman" w:hAnsi="Cambria" w:cs="Calibri"/>
                <w:lang w:val="hr-HR"/>
              </w:rPr>
              <w:t>2. Brazda, M., 1985: Terenski rad i ekskurzije u nastavi geografije, Školska knjiga, Zagreb (5-49)</w:t>
            </w:r>
          </w:p>
          <w:p w14:paraId="610F6812" w14:textId="77777777" w:rsidR="00510729" w:rsidRPr="00DF4CE5" w:rsidRDefault="00510729" w:rsidP="00510729">
            <w:pPr>
              <w:spacing w:after="0" w:line="240" w:lineRule="atLeast"/>
              <w:rPr>
                <w:rFonts w:ascii="Cambria" w:eastAsia="Times New Roman" w:hAnsi="Cambria" w:cs="Calibri"/>
                <w:lang w:val="hr-HR"/>
              </w:rPr>
            </w:pPr>
            <w:r w:rsidRPr="00DF4CE5">
              <w:rPr>
                <w:rFonts w:ascii="Cambria" w:eastAsia="Times New Roman" w:hAnsi="Cambria" w:cs="Calibri"/>
                <w:lang w:val="hr-HR"/>
              </w:rPr>
              <w:t>3. Matas, M., 1996: Metodika nastave geografije, HGD, Zagreb (7-28; 129-142)</w:t>
            </w:r>
          </w:p>
          <w:p w14:paraId="2718610B" w14:textId="77777777" w:rsidR="00510729" w:rsidRPr="00DF4CE5" w:rsidRDefault="00510729" w:rsidP="00510729">
            <w:pPr>
              <w:spacing w:after="0" w:line="240" w:lineRule="atLeast"/>
              <w:rPr>
                <w:rFonts w:ascii="Cambria" w:eastAsia="Times New Roman" w:hAnsi="Cambria" w:cs="Calibri"/>
                <w:lang w:val="hr-HR"/>
              </w:rPr>
            </w:pPr>
            <w:r w:rsidRPr="00DF4CE5">
              <w:rPr>
                <w:rFonts w:ascii="Cambria" w:eastAsia="Times New Roman" w:hAnsi="Cambria" w:cs="Calibri"/>
                <w:lang w:val="hr-HR"/>
              </w:rPr>
              <w:t xml:space="preserve">4. </w:t>
            </w:r>
            <w:proofErr w:type="spellStart"/>
            <w:r w:rsidRPr="00DF4CE5">
              <w:rPr>
                <w:rFonts w:ascii="Cambria" w:eastAsia="Times New Roman" w:hAnsi="Cambria" w:cs="Calibri"/>
                <w:lang w:val="hr-HR"/>
              </w:rPr>
              <w:t>Matthews</w:t>
            </w:r>
            <w:proofErr w:type="spellEnd"/>
            <w:r w:rsidRPr="00DF4CE5">
              <w:rPr>
                <w:rFonts w:ascii="Cambria" w:eastAsia="Times New Roman" w:hAnsi="Cambria" w:cs="Calibri"/>
                <w:lang w:val="hr-HR"/>
              </w:rPr>
              <w:t xml:space="preserve">,  J.A., Herbert D.T., 2008: </w:t>
            </w:r>
            <w:proofErr w:type="spellStart"/>
            <w:r w:rsidRPr="00DF4CE5">
              <w:rPr>
                <w:rFonts w:ascii="Cambria" w:eastAsia="Times New Roman" w:hAnsi="Cambria" w:cs="Calibri"/>
                <w:lang w:val="hr-HR"/>
              </w:rPr>
              <w:t>Geography</w:t>
            </w:r>
            <w:proofErr w:type="spellEnd"/>
            <w:r w:rsidRPr="00DF4CE5">
              <w:rPr>
                <w:rFonts w:ascii="Cambria" w:eastAsia="Times New Roman" w:hAnsi="Cambria" w:cs="Calibri"/>
                <w:lang w:val="hr-HR"/>
              </w:rPr>
              <w:t xml:space="preserve">- a </w:t>
            </w:r>
            <w:proofErr w:type="spellStart"/>
            <w:r w:rsidRPr="00DF4CE5">
              <w:rPr>
                <w:rFonts w:ascii="Cambria" w:eastAsia="Times New Roman" w:hAnsi="Cambria" w:cs="Calibri"/>
                <w:lang w:val="hr-HR"/>
              </w:rPr>
              <w:t>very</w:t>
            </w:r>
            <w:proofErr w:type="spellEnd"/>
            <w:r w:rsidRPr="00DF4CE5">
              <w:rPr>
                <w:rFonts w:ascii="Cambria" w:eastAsia="Times New Roman" w:hAnsi="Cambria" w:cs="Calibri"/>
                <w:lang w:val="hr-HR"/>
              </w:rPr>
              <w:t xml:space="preserve"> short </w:t>
            </w:r>
            <w:proofErr w:type="spellStart"/>
            <w:r w:rsidRPr="00DF4CE5">
              <w:rPr>
                <w:rFonts w:ascii="Cambria" w:eastAsia="Times New Roman" w:hAnsi="Cambria" w:cs="Calibri"/>
                <w:lang w:val="hr-HR"/>
              </w:rPr>
              <w:t>introduction</w:t>
            </w:r>
            <w:proofErr w:type="spellEnd"/>
            <w:r w:rsidRPr="00DF4CE5">
              <w:rPr>
                <w:rFonts w:ascii="Cambria" w:eastAsia="Times New Roman" w:hAnsi="Cambria" w:cs="Calibri"/>
                <w:lang w:val="hr-HR"/>
              </w:rPr>
              <w:t xml:space="preserve">, Oxford </w:t>
            </w:r>
            <w:proofErr w:type="spellStart"/>
            <w:r w:rsidRPr="00DF4CE5">
              <w:rPr>
                <w:rFonts w:ascii="Cambria" w:eastAsia="Times New Roman" w:hAnsi="Cambria" w:cs="Calibri"/>
                <w:lang w:val="hr-HR"/>
              </w:rPr>
              <w:t>university</w:t>
            </w:r>
            <w:proofErr w:type="spellEnd"/>
            <w:r w:rsidRPr="00DF4CE5">
              <w:rPr>
                <w:rFonts w:ascii="Cambria" w:eastAsia="Times New Roman" w:hAnsi="Cambria" w:cs="Calibri"/>
                <w:lang w:val="hr-HR"/>
              </w:rPr>
              <w:t xml:space="preserve"> press, Oxford (1-81)</w:t>
            </w:r>
          </w:p>
          <w:p w14:paraId="6D4FA90D" w14:textId="77777777" w:rsidR="00510729" w:rsidRPr="00DF4CE5" w:rsidRDefault="00510729" w:rsidP="00510729">
            <w:pPr>
              <w:spacing w:after="0" w:line="240" w:lineRule="atLeast"/>
              <w:rPr>
                <w:rFonts w:ascii="Cambria" w:eastAsia="Times New Roman" w:hAnsi="Cambria" w:cs="Calibri"/>
                <w:lang w:val="hr-HR"/>
              </w:rPr>
            </w:pPr>
            <w:r w:rsidRPr="00DF4CE5">
              <w:rPr>
                <w:rFonts w:ascii="Cambria" w:eastAsia="Times New Roman" w:hAnsi="Cambria" w:cs="Calibri"/>
                <w:lang w:val="hr-HR"/>
              </w:rPr>
              <w:t>Izborna:</w:t>
            </w:r>
          </w:p>
          <w:p w14:paraId="2415518F" w14:textId="77777777" w:rsidR="00510729" w:rsidRPr="00DF4CE5" w:rsidRDefault="00510729" w:rsidP="00510729">
            <w:pPr>
              <w:spacing w:after="0" w:line="240" w:lineRule="atLeast"/>
              <w:rPr>
                <w:rFonts w:ascii="Cambria" w:eastAsia="Times New Roman" w:hAnsi="Cambria" w:cs="Calibri"/>
                <w:lang w:val="hr-HR"/>
              </w:rPr>
            </w:pPr>
            <w:r w:rsidRPr="00DF4CE5">
              <w:rPr>
                <w:rFonts w:ascii="Cambria" w:eastAsia="Times New Roman" w:hAnsi="Cambria" w:cs="Calibri"/>
                <w:lang w:val="hr-HR"/>
              </w:rPr>
              <w:t xml:space="preserve">1. </w:t>
            </w:r>
            <w:proofErr w:type="spellStart"/>
            <w:r w:rsidRPr="00DF4CE5">
              <w:rPr>
                <w:rFonts w:ascii="Cambria" w:eastAsia="Times New Roman" w:hAnsi="Cambria" w:cs="Calibri"/>
                <w:lang w:val="hr-HR"/>
              </w:rPr>
              <w:t>Vresk</w:t>
            </w:r>
            <w:proofErr w:type="spellEnd"/>
            <w:r w:rsidRPr="00DF4CE5">
              <w:rPr>
                <w:rFonts w:ascii="Cambria" w:eastAsia="Times New Roman" w:hAnsi="Cambria" w:cs="Calibri"/>
                <w:lang w:val="hr-HR"/>
              </w:rPr>
              <w:t>, M., 1997: Uvod u geografiju, Školska knjiga, Zagreb</w:t>
            </w:r>
          </w:p>
          <w:p w14:paraId="60E69BE9" w14:textId="77777777" w:rsidR="00510729" w:rsidRPr="00DF4CE5" w:rsidRDefault="00510729" w:rsidP="00510729">
            <w:pPr>
              <w:spacing w:after="0" w:line="240" w:lineRule="atLeast"/>
              <w:rPr>
                <w:rFonts w:ascii="Cambria" w:eastAsia="Times New Roman" w:hAnsi="Cambria" w:cs="Calibri"/>
                <w:lang w:val="hr-HR"/>
              </w:rPr>
            </w:pPr>
            <w:r w:rsidRPr="00DF4CE5">
              <w:rPr>
                <w:rFonts w:ascii="Cambria" w:eastAsia="Times New Roman" w:hAnsi="Cambria" w:cs="Calibri"/>
                <w:lang w:val="hr-HR"/>
              </w:rPr>
              <w:t>2. Šegota, T., Filipčić, A., 1996: Klimatologija za geografe, Školska knjiga, Zagreb</w:t>
            </w:r>
          </w:p>
          <w:p w14:paraId="09F825FF" w14:textId="77777777" w:rsidR="00510729" w:rsidRPr="00DF4CE5" w:rsidRDefault="00510729" w:rsidP="00510729">
            <w:pPr>
              <w:spacing w:after="0" w:line="240" w:lineRule="atLeast"/>
              <w:rPr>
                <w:rFonts w:ascii="Cambria" w:eastAsia="Times New Roman" w:hAnsi="Cambria" w:cs="Calibri"/>
                <w:lang w:val="hr-HR"/>
              </w:rPr>
            </w:pPr>
            <w:r w:rsidRPr="00DF4CE5">
              <w:rPr>
                <w:rFonts w:ascii="Cambria" w:eastAsia="Times New Roman" w:hAnsi="Cambria" w:cs="Calibri"/>
                <w:lang w:val="hr-HR"/>
              </w:rPr>
              <w:t xml:space="preserve">3. </w:t>
            </w:r>
            <w:proofErr w:type="spellStart"/>
            <w:r w:rsidRPr="00DF4CE5">
              <w:rPr>
                <w:rFonts w:ascii="Cambria" w:eastAsia="Times New Roman" w:hAnsi="Cambria" w:cs="Calibri"/>
                <w:lang w:val="hr-HR"/>
              </w:rPr>
              <w:t>Nejašmić</w:t>
            </w:r>
            <w:proofErr w:type="spellEnd"/>
            <w:r w:rsidRPr="00DF4CE5">
              <w:rPr>
                <w:rFonts w:ascii="Cambria" w:eastAsia="Times New Roman" w:hAnsi="Cambria" w:cs="Calibri"/>
                <w:lang w:val="hr-HR"/>
              </w:rPr>
              <w:t xml:space="preserve">, I., 2005: </w:t>
            </w:r>
            <w:proofErr w:type="spellStart"/>
            <w:r w:rsidRPr="00DF4CE5">
              <w:rPr>
                <w:rFonts w:ascii="Cambria" w:eastAsia="Times New Roman" w:hAnsi="Cambria" w:cs="Calibri"/>
                <w:lang w:val="hr-HR"/>
              </w:rPr>
              <w:t>Demogeografija</w:t>
            </w:r>
            <w:proofErr w:type="spellEnd"/>
            <w:r w:rsidRPr="00DF4CE5">
              <w:rPr>
                <w:rFonts w:ascii="Cambria" w:eastAsia="Times New Roman" w:hAnsi="Cambria" w:cs="Calibri"/>
                <w:lang w:val="hr-HR"/>
              </w:rPr>
              <w:t>- Stanovništvo u prostornim odnosima i procesima, Školska knjiga,  Zagreb</w:t>
            </w:r>
          </w:p>
          <w:p w14:paraId="0FD64DC7" w14:textId="77777777" w:rsidR="00510729" w:rsidRPr="00DF4CE5" w:rsidRDefault="00510729" w:rsidP="00510729">
            <w:pPr>
              <w:spacing w:after="0" w:line="240" w:lineRule="atLeast"/>
              <w:rPr>
                <w:rFonts w:ascii="Cambria" w:eastAsia="Times New Roman" w:hAnsi="Cambria" w:cs="Calibri"/>
                <w:lang w:val="hr-HR"/>
              </w:rPr>
            </w:pPr>
            <w:r w:rsidRPr="00DF4CE5">
              <w:rPr>
                <w:rFonts w:ascii="Cambria" w:eastAsia="Times New Roman" w:hAnsi="Cambria" w:cs="Calibri"/>
                <w:lang w:val="hr-HR"/>
              </w:rPr>
              <w:t xml:space="preserve">3. </w:t>
            </w:r>
            <w:proofErr w:type="spellStart"/>
            <w:r w:rsidRPr="00DF4CE5">
              <w:rPr>
                <w:rFonts w:ascii="Cambria" w:eastAsia="Times New Roman" w:hAnsi="Cambria" w:cs="Calibri"/>
                <w:lang w:val="hr-HR"/>
              </w:rPr>
              <w:t>Marsh</w:t>
            </w:r>
            <w:proofErr w:type="spellEnd"/>
            <w:r w:rsidRPr="00DF4CE5">
              <w:rPr>
                <w:rFonts w:ascii="Cambria" w:eastAsia="Times New Roman" w:hAnsi="Cambria" w:cs="Calibri"/>
                <w:lang w:val="hr-HR"/>
              </w:rPr>
              <w:t xml:space="preserve">, W.M., 1987: </w:t>
            </w:r>
            <w:proofErr w:type="spellStart"/>
            <w:r w:rsidRPr="00DF4CE5">
              <w:rPr>
                <w:rFonts w:ascii="Cambria" w:eastAsia="Times New Roman" w:hAnsi="Cambria" w:cs="Calibri"/>
                <w:lang w:val="hr-HR"/>
              </w:rPr>
              <w:t>Earthscape</w:t>
            </w:r>
            <w:proofErr w:type="spellEnd"/>
            <w:r w:rsidRPr="00DF4CE5">
              <w:rPr>
                <w:rFonts w:ascii="Cambria" w:eastAsia="Times New Roman" w:hAnsi="Cambria" w:cs="Calibri"/>
                <w:lang w:val="hr-HR"/>
              </w:rPr>
              <w:t xml:space="preserve">- A </w:t>
            </w:r>
            <w:proofErr w:type="spellStart"/>
            <w:r w:rsidRPr="00DF4CE5">
              <w:rPr>
                <w:rFonts w:ascii="Cambria" w:eastAsia="Times New Roman" w:hAnsi="Cambria" w:cs="Calibri"/>
                <w:lang w:val="hr-HR"/>
              </w:rPr>
              <w:t>physical</w:t>
            </w:r>
            <w:proofErr w:type="spellEnd"/>
            <w:r w:rsidRPr="00DF4CE5">
              <w:rPr>
                <w:rFonts w:ascii="Cambria" w:eastAsia="Times New Roman" w:hAnsi="Cambria" w:cs="Calibri"/>
                <w:lang w:val="hr-HR"/>
              </w:rPr>
              <w:t xml:space="preserve"> </w:t>
            </w:r>
            <w:proofErr w:type="spellStart"/>
            <w:r w:rsidRPr="00DF4CE5">
              <w:rPr>
                <w:rFonts w:ascii="Cambria" w:eastAsia="Times New Roman" w:hAnsi="Cambria" w:cs="Calibri"/>
                <w:lang w:val="hr-HR"/>
              </w:rPr>
              <w:t>geography</w:t>
            </w:r>
            <w:proofErr w:type="spellEnd"/>
            <w:r w:rsidRPr="00DF4CE5">
              <w:rPr>
                <w:rFonts w:ascii="Cambria" w:eastAsia="Times New Roman" w:hAnsi="Cambria" w:cs="Calibri"/>
                <w:lang w:val="hr-HR"/>
              </w:rPr>
              <w:t xml:space="preserve">, John </w:t>
            </w:r>
            <w:proofErr w:type="spellStart"/>
            <w:r w:rsidRPr="00DF4CE5">
              <w:rPr>
                <w:rFonts w:ascii="Cambria" w:eastAsia="Times New Roman" w:hAnsi="Cambria" w:cs="Calibri"/>
                <w:lang w:val="hr-HR"/>
              </w:rPr>
              <w:t>Wiley</w:t>
            </w:r>
            <w:proofErr w:type="spellEnd"/>
            <w:r w:rsidRPr="00DF4CE5">
              <w:rPr>
                <w:rFonts w:ascii="Cambria" w:eastAsia="Times New Roman" w:hAnsi="Cambria" w:cs="Calibri"/>
                <w:lang w:val="hr-HR"/>
              </w:rPr>
              <w:t xml:space="preserve"> &amp; </w:t>
            </w:r>
            <w:proofErr w:type="spellStart"/>
            <w:r w:rsidRPr="00DF4CE5">
              <w:rPr>
                <w:rFonts w:ascii="Cambria" w:eastAsia="Times New Roman" w:hAnsi="Cambria" w:cs="Calibri"/>
                <w:lang w:val="hr-HR"/>
              </w:rPr>
              <w:t>Sons</w:t>
            </w:r>
            <w:proofErr w:type="spellEnd"/>
            <w:r w:rsidRPr="00DF4CE5">
              <w:rPr>
                <w:rFonts w:ascii="Cambria" w:eastAsia="Times New Roman" w:hAnsi="Cambria" w:cs="Calibri"/>
                <w:lang w:val="hr-HR"/>
              </w:rPr>
              <w:t xml:space="preserve"> Inc., Toronto</w:t>
            </w:r>
          </w:p>
          <w:p w14:paraId="2B72903B" w14:textId="77777777" w:rsidR="00510729" w:rsidRPr="00DF4CE5" w:rsidRDefault="00510729" w:rsidP="00510729">
            <w:pPr>
              <w:spacing w:after="0" w:line="240" w:lineRule="atLeast"/>
              <w:rPr>
                <w:rFonts w:ascii="Cambria" w:eastAsia="Times New Roman" w:hAnsi="Cambria" w:cs="Calibri"/>
                <w:lang w:val="hr-HR"/>
              </w:rPr>
            </w:pPr>
            <w:r w:rsidRPr="00DF4CE5">
              <w:rPr>
                <w:rFonts w:ascii="Cambria" w:eastAsia="Times New Roman" w:hAnsi="Cambria" w:cs="Calibri"/>
                <w:lang w:val="hr-HR"/>
              </w:rPr>
              <w:t xml:space="preserve">Priručna: </w:t>
            </w:r>
          </w:p>
          <w:p w14:paraId="6513DF1A" w14:textId="77777777" w:rsidR="00510729" w:rsidRPr="00DF4CE5" w:rsidRDefault="00510729" w:rsidP="00510729">
            <w:pPr>
              <w:spacing w:after="0" w:line="240" w:lineRule="atLeast"/>
              <w:rPr>
                <w:rFonts w:ascii="Cambria" w:eastAsia="Times New Roman" w:hAnsi="Cambria" w:cs="Calibri"/>
                <w:lang w:val="hr-HR"/>
              </w:rPr>
            </w:pPr>
            <w:r w:rsidRPr="00DF4CE5">
              <w:rPr>
                <w:rFonts w:ascii="Cambria" w:eastAsia="Times New Roman" w:hAnsi="Cambria" w:cs="Calibri"/>
                <w:lang w:val="hr-HR"/>
              </w:rPr>
              <w:t>1. Geografski atlasi svijeta i Hrvatske</w:t>
            </w:r>
          </w:p>
          <w:p w14:paraId="4662E713" w14:textId="77777777" w:rsidR="00510729" w:rsidRPr="00DF4CE5" w:rsidRDefault="00510729" w:rsidP="00510729">
            <w:pPr>
              <w:spacing w:after="0" w:line="240" w:lineRule="atLeast"/>
              <w:rPr>
                <w:rFonts w:ascii="Cambria" w:eastAsia="Times New Roman" w:hAnsi="Cambria" w:cs="Calibri"/>
                <w:lang w:val="hr-HR"/>
              </w:rPr>
            </w:pPr>
            <w:r w:rsidRPr="00DF4CE5">
              <w:rPr>
                <w:rFonts w:ascii="Cambria" w:eastAsia="Times New Roman" w:hAnsi="Cambria" w:cs="Calibri"/>
                <w:lang w:val="hr-HR"/>
              </w:rPr>
              <w:t>2. Digitalna verzija sažetaka predavanja (video i tekstualni format)</w:t>
            </w:r>
          </w:p>
          <w:p w14:paraId="5B479CB1" w14:textId="77777777" w:rsidR="00510729" w:rsidRPr="00DF4CE5" w:rsidRDefault="00510729" w:rsidP="00510729">
            <w:pPr>
              <w:spacing w:after="0" w:line="240" w:lineRule="atLeast"/>
              <w:rPr>
                <w:rFonts w:ascii="Cambria" w:eastAsia="Times New Roman" w:hAnsi="Cambria" w:cs="Calibri"/>
                <w:lang w:val="hr-HR"/>
              </w:rPr>
            </w:pPr>
          </w:p>
        </w:tc>
      </w:tr>
    </w:tbl>
    <w:p w14:paraId="5001406D" w14:textId="0037C1A7" w:rsidR="00510729" w:rsidRPr="00DF4CE5" w:rsidRDefault="00510729" w:rsidP="008B34AF">
      <w:pPr>
        <w:jc w:val="both"/>
        <w:rPr>
          <w:rFonts w:ascii="Cambria" w:hAnsi="Cambria"/>
          <w:lang w:val="hr-HR"/>
        </w:rPr>
      </w:pPr>
    </w:p>
    <w:p w14:paraId="760CDD36" w14:textId="668F4DA3" w:rsidR="00510729" w:rsidRPr="00DF4CE5" w:rsidRDefault="00510729" w:rsidP="008B34AF">
      <w:pPr>
        <w:jc w:val="both"/>
        <w:rPr>
          <w:rFonts w:ascii="Cambria" w:hAnsi="Cambria"/>
          <w:lang w:val="hr-HR"/>
        </w:rPr>
      </w:pPr>
    </w:p>
    <w:p w14:paraId="1C8FD774" w14:textId="77777777" w:rsidR="00510729" w:rsidRPr="00DF4CE5" w:rsidRDefault="00510729" w:rsidP="00510729">
      <w:pPr>
        <w:spacing w:after="0" w:line="240" w:lineRule="auto"/>
        <w:rPr>
          <w:rFonts w:ascii="Cambria" w:eastAsia="Cambria" w:hAnsi="Cambria" w:cs="Cambria"/>
          <w:lang w:val="hr-HR"/>
        </w:rPr>
      </w:pPr>
    </w:p>
    <w:p w14:paraId="55494884" w14:textId="3A4050C0" w:rsidR="00510729" w:rsidRPr="00DF4CE5" w:rsidRDefault="00510729" w:rsidP="00510729">
      <w:pPr>
        <w:spacing w:after="0" w:line="240" w:lineRule="auto"/>
        <w:rPr>
          <w:rFonts w:ascii="Cambria" w:eastAsia="Cambria" w:hAnsi="Cambria" w:cs="Cambria"/>
          <w:lang w:val="hr-HR"/>
        </w:rPr>
      </w:pPr>
    </w:p>
    <w:p w14:paraId="5066A28D" w14:textId="0C76DC09" w:rsidR="00DC4673" w:rsidRPr="00DF4CE5" w:rsidRDefault="00DC4673" w:rsidP="00510729">
      <w:pPr>
        <w:spacing w:after="0" w:line="240" w:lineRule="auto"/>
        <w:rPr>
          <w:rFonts w:ascii="Cambria" w:eastAsia="Cambria" w:hAnsi="Cambria" w:cs="Cambria"/>
          <w:lang w:val="hr-HR"/>
        </w:rPr>
      </w:pPr>
    </w:p>
    <w:p w14:paraId="46E3EC75" w14:textId="30F31E45" w:rsidR="00DC4673" w:rsidRPr="00DF4CE5" w:rsidRDefault="00DC4673" w:rsidP="00510729">
      <w:pPr>
        <w:spacing w:after="0" w:line="240" w:lineRule="auto"/>
        <w:rPr>
          <w:rFonts w:ascii="Cambria" w:eastAsia="Cambria" w:hAnsi="Cambria" w:cs="Cambria"/>
          <w:lang w:val="hr-HR"/>
        </w:rPr>
      </w:pPr>
    </w:p>
    <w:p w14:paraId="79DD07C4" w14:textId="2F7FEE14" w:rsidR="00DC4673" w:rsidRPr="00DF4CE5" w:rsidRDefault="00DC4673" w:rsidP="00510729">
      <w:pPr>
        <w:spacing w:after="0" w:line="240" w:lineRule="auto"/>
        <w:rPr>
          <w:rFonts w:ascii="Cambria" w:eastAsia="Cambria" w:hAnsi="Cambria" w:cs="Cambria"/>
          <w:lang w:val="hr-HR"/>
        </w:rPr>
      </w:pPr>
    </w:p>
    <w:p w14:paraId="59DD431D" w14:textId="77777777" w:rsidR="00DC4673" w:rsidRPr="00DF4CE5" w:rsidRDefault="00DC4673" w:rsidP="00510729">
      <w:pPr>
        <w:spacing w:after="0" w:line="240" w:lineRule="auto"/>
        <w:rPr>
          <w:rFonts w:ascii="Cambria" w:eastAsia="Cambria" w:hAnsi="Cambria" w:cs="Cambria"/>
          <w:lang w:val="hr-HR"/>
        </w:rPr>
      </w:pPr>
    </w:p>
    <w:p w14:paraId="7FA9D733" w14:textId="77777777" w:rsidR="00CE1FD6" w:rsidRPr="00DF4CE5" w:rsidRDefault="00CE1FD6" w:rsidP="00510729">
      <w:pPr>
        <w:spacing w:after="0" w:line="240" w:lineRule="auto"/>
        <w:rPr>
          <w:rFonts w:ascii="Cambria" w:eastAsia="Cambria" w:hAnsi="Cambria" w:cs="Cambria"/>
          <w:lang w:val="hr-HR"/>
        </w:rPr>
      </w:pPr>
    </w:p>
    <w:p w14:paraId="0951EF10" w14:textId="77777777" w:rsidR="00CE1FD6" w:rsidRPr="00DF4CE5" w:rsidRDefault="00CE1FD6" w:rsidP="00510729">
      <w:pPr>
        <w:spacing w:after="0" w:line="240" w:lineRule="auto"/>
        <w:rPr>
          <w:rFonts w:ascii="Cambria" w:eastAsia="Cambria" w:hAnsi="Cambria" w:cs="Cambria"/>
          <w:lang w:val="hr-HR"/>
        </w:rPr>
      </w:pPr>
    </w:p>
    <w:p w14:paraId="4E50B633" w14:textId="77777777" w:rsidR="00CE1FD6" w:rsidRPr="00DF4CE5" w:rsidRDefault="00CE1FD6" w:rsidP="00510729">
      <w:pPr>
        <w:spacing w:after="0" w:line="240" w:lineRule="auto"/>
        <w:rPr>
          <w:rFonts w:ascii="Cambria" w:eastAsia="Cambria" w:hAnsi="Cambria" w:cs="Cambria"/>
          <w:lang w:val="hr-HR"/>
        </w:rPr>
      </w:pPr>
    </w:p>
    <w:p w14:paraId="5A5C6F8D" w14:textId="77777777" w:rsidR="00CE1FD6" w:rsidRPr="00DF4CE5" w:rsidRDefault="00CE1FD6" w:rsidP="00510729">
      <w:pPr>
        <w:spacing w:after="0" w:line="240" w:lineRule="auto"/>
        <w:rPr>
          <w:rFonts w:ascii="Cambria" w:eastAsia="Cambria" w:hAnsi="Cambria" w:cs="Cambria"/>
          <w:lang w:val="hr-HR"/>
        </w:rPr>
      </w:pPr>
    </w:p>
    <w:p w14:paraId="05BC1022" w14:textId="77777777" w:rsidR="00CE1FD6" w:rsidRPr="00DF4CE5" w:rsidRDefault="00CE1FD6" w:rsidP="00510729">
      <w:pPr>
        <w:spacing w:after="0" w:line="240" w:lineRule="auto"/>
        <w:rPr>
          <w:rFonts w:ascii="Cambria" w:eastAsia="Cambria" w:hAnsi="Cambria" w:cs="Cambria"/>
          <w:lang w:val="hr-HR"/>
        </w:rPr>
      </w:pPr>
    </w:p>
    <w:p w14:paraId="5AF65FF0" w14:textId="77777777" w:rsidR="00CE1FD6" w:rsidRPr="00DF4CE5" w:rsidRDefault="00CE1FD6" w:rsidP="00510729">
      <w:pPr>
        <w:spacing w:after="0" w:line="240" w:lineRule="auto"/>
        <w:rPr>
          <w:rFonts w:ascii="Cambria" w:eastAsia="Cambria" w:hAnsi="Cambria" w:cs="Cambria"/>
          <w:lang w:val="hr-HR"/>
        </w:rPr>
      </w:pPr>
    </w:p>
    <w:p w14:paraId="6FF54D94" w14:textId="77777777" w:rsidR="00CE1FD6" w:rsidRPr="00DF4CE5" w:rsidRDefault="00CE1FD6" w:rsidP="00510729">
      <w:pPr>
        <w:spacing w:after="0" w:line="240" w:lineRule="auto"/>
        <w:rPr>
          <w:rFonts w:ascii="Cambria" w:eastAsia="Cambria" w:hAnsi="Cambria" w:cs="Cambria"/>
          <w:lang w:val="hr-HR"/>
        </w:rPr>
      </w:pPr>
    </w:p>
    <w:p w14:paraId="1FE3DA44" w14:textId="77777777" w:rsidR="00CE1FD6" w:rsidRPr="00DF4CE5" w:rsidRDefault="00CE1FD6" w:rsidP="00510729">
      <w:pPr>
        <w:spacing w:after="0" w:line="240" w:lineRule="auto"/>
        <w:rPr>
          <w:rFonts w:ascii="Cambria" w:eastAsia="Cambria" w:hAnsi="Cambria" w:cs="Cambria"/>
          <w:lang w:val="hr-HR"/>
        </w:rPr>
      </w:pPr>
    </w:p>
    <w:p w14:paraId="41A44268" w14:textId="77777777" w:rsidR="00CE1FD6" w:rsidRPr="00DF4CE5" w:rsidRDefault="00CE1FD6" w:rsidP="00510729">
      <w:pPr>
        <w:spacing w:after="0" w:line="240" w:lineRule="auto"/>
        <w:rPr>
          <w:rFonts w:ascii="Cambria" w:eastAsia="Cambria" w:hAnsi="Cambria" w:cs="Cambria"/>
          <w:lang w:val="hr-HR"/>
        </w:rPr>
      </w:pPr>
    </w:p>
    <w:p w14:paraId="39F83DB0" w14:textId="77777777" w:rsidR="00CE1FD6" w:rsidRPr="00DF4CE5" w:rsidRDefault="00CE1FD6" w:rsidP="00510729">
      <w:pPr>
        <w:spacing w:after="0" w:line="240" w:lineRule="auto"/>
        <w:rPr>
          <w:rFonts w:ascii="Cambria" w:eastAsia="Cambria" w:hAnsi="Cambria" w:cs="Cambria"/>
          <w:lang w:val="hr-HR"/>
        </w:rPr>
      </w:pPr>
    </w:p>
    <w:p w14:paraId="14BA9606" w14:textId="77777777" w:rsidR="00CE1FD6" w:rsidRPr="00DF4CE5" w:rsidRDefault="00CE1FD6" w:rsidP="00510729">
      <w:pPr>
        <w:spacing w:after="0" w:line="240" w:lineRule="auto"/>
        <w:rPr>
          <w:rFonts w:ascii="Cambria" w:eastAsia="Cambria" w:hAnsi="Cambria" w:cs="Cambria"/>
          <w:lang w:val="hr-HR"/>
        </w:rPr>
      </w:pPr>
    </w:p>
    <w:p w14:paraId="776FE5D0" w14:textId="77777777" w:rsidR="00510729" w:rsidRPr="00DF4CE5" w:rsidRDefault="00510729" w:rsidP="00510729">
      <w:pPr>
        <w:spacing w:after="0" w:line="240" w:lineRule="auto"/>
        <w:rPr>
          <w:rFonts w:ascii="Cambria" w:eastAsia="Cambria" w:hAnsi="Cambria" w:cs="Cambria"/>
          <w:lang w:val="hr-HR"/>
        </w:rPr>
      </w:pPr>
    </w:p>
    <w:p w14:paraId="64DC5BC5" w14:textId="77777777" w:rsidR="00CE1FD6" w:rsidRPr="00DF4CE5" w:rsidRDefault="00CE1FD6" w:rsidP="00510729">
      <w:pPr>
        <w:spacing w:after="0" w:line="240" w:lineRule="auto"/>
        <w:rPr>
          <w:rFonts w:ascii="Cambria" w:eastAsia="Cambria" w:hAnsi="Cambria" w:cs="Cambria"/>
          <w:lang w:val="hr-HR"/>
        </w:rPr>
      </w:pPr>
    </w:p>
    <w:p w14:paraId="0CDDEEA4" w14:textId="77777777" w:rsidR="00CE1FD6" w:rsidRPr="00DF4CE5" w:rsidRDefault="00CE1FD6" w:rsidP="00510729">
      <w:pPr>
        <w:spacing w:after="0" w:line="240" w:lineRule="auto"/>
        <w:rPr>
          <w:rFonts w:ascii="Cambria" w:eastAsia="Cambria" w:hAnsi="Cambria" w:cs="Cambria"/>
          <w:lang w:val="hr-HR"/>
        </w:rPr>
      </w:pPr>
    </w:p>
    <w:p w14:paraId="6756DC56" w14:textId="77777777" w:rsidR="00CE1FD6" w:rsidRPr="00DF4CE5" w:rsidRDefault="00CE1FD6" w:rsidP="00510729">
      <w:pPr>
        <w:spacing w:after="0" w:line="240" w:lineRule="auto"/>
        <w:rPr>
          <w:rFonts w:ascii="Cambria" w:eastAsia="Cambria" w:hAnsi="Cambria" w:cs="Cambria"/>
          <w:lang w:val="hr-HR"/>
        </w:rPr>
      </w:pPr>
    </w:p>
    <w:p w14:paraId="1AD0520D" w14:textId="77777777" w:rsidR="00510729" w:rsidRPr="00DF4CE5" w:rsidRDefault="00510729" w:rsidP="00510729">
      <w:pPr>
        <w:spacing w:after="0" w:line="240" w:lineRule="auto"/>
        <w:rPr>
          <w:rFonts w:ascii="Cambria" w:eastAsia="Cambria" w:hAnsi="Cambria" w:cs="Cambria"/>
          <w:lang w:val="hr-HR"/>
        </w:rPr>
      </w:pPr>
    </w:p>
    <w:tbl>
      <w:tblPr>
        <w:tblW w:w="5000" w:type="pct"/>
        <w:tblLayout w:type="fixed"/>
        <w:tblCellMar>
          <w:left w:w="0" w:type="dxa"/>
          <w:right w:w="0" w:type="dxa"/>
        </w:tblCellMar>
        <w:tblLook w:val="0600" w:firstRow="0" w:lastRow="0" w:firstColumn="0" w:lastColumn="0" w:noHBand="1" w:noVBand="1"/>
      </w:tblPr>
      <w:tblGrid>
        <w:gridCol w:w="2814"/>
        <w:gridCol w:w="2669"/>
        <w:gridCol w:w="105"/>
        <w:gridCol w:w="1167"/>
        <w:gridCol w:w="297"/>
        <w:gridCol w:w="470"/>
        <w:gridCol w:w="1084"/>
        <w:gridCol w:w="1414"/>
      </w:tblGrid>
      <w:tr w:rsidR="00510729" w:rsidRPr="00DF4CE5" w14:paraId="28D0F067" w14:textId="77777777" w:rsidTr="00510729">
        <w:tc>
          <w:tcPr>
            <w:tcW w:w="9360"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4E88F5E" w14:textId="77777777" w:rsidR="00510729" w:rsidRPr="00DF4CE5" w:rsidRDefault="00510729" w:rsidP="00510729">
            <w:pPr>
              <w:spacing w:after="0" w:line="240" w:lineRule="auto"/>
              <w:jc w:val="right"/>
              <w:rPr>
                <w:rFonts w:ascii="Cambria" w:eastAsia="Times New Roman" w:hAnsi="Cambria" w:cs="Calibri"/>
                <w:b/>
                <w:lang w:val="hr-HR"/>
              </w:rPr>
            </w:pPr>
            <w:r w:rsidRPr="00DF4CE5">
              <w:rPr>
                <w:rFonts w:ascii="Cambria" w:eastAsia="Times New Roman" w:hAnsi="Cambria" w:cs="Calibri"/>
                <w:b/>
                <w:lang w:val="hr-HR"/>
              </w:rPr>
              <w:t>IZVEDBENI PLAN NASTAVE KOLEGIJA</w:t>
            </w:r>
          </w:p>
        </w:tc>
      </w:tr>
      <w:tr w:rsidR="00510729" w:rsidRPr="00DF4CE5" w14:paraId="36C8014D" w14:textId="77777777" w:rsidTr="00510729">
        <w:tc>
          <w:tcPr>
            <w:tcW w:w="26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2A35E6E"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Kod i naziv kolegija</w:t>
            </w:r>
          </w:p>
        </w:tc>
        <w:tc>
          <w:tcPr>
            <w:tcW w:w="6731"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06A98F4" w14:textId="7ACF2006" w:rsidR="00510729" w:rsidRPr="00DF4CE5" w:rsidRDefault="00CE1FD6"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199983</w:t>
            </w:r>
          </w:p>
          <w:p w14:paraId="147A66D7"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Cambria" w:hAnsi="Cambria" w:cs="Cambria"/>
                <w:lang w:val="hr-HR"/>
              </w:rPr>
              <w:t>Glazbeni praktikum I</w:t>
            </w:r>
          </w:p>
        </w:tc>
      </w:tr>
      <w:tr w:rsidR="00510729" w:rsidRPr="00DF4CE5" w14:paraId="444C866C" w14:textId="77777777" w:rsidTr="00510729">
        <w:tc>
          <w:tcPr>
            <w:tcW w:w="26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1E6B8FC"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 xml:space="preserve">Nastavnica </w:t>
            </w:r>
          </w:p>
          <w:p w14:paraId="7B535AC8" w14:textId="71594A84"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Suradnik</w:t>
            </w:r>
          </w:p>
        </w:tc>
        <w:tc>
          <w:tcPr>
            <w:tcW w:w="6731"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7CEB68C" w14:textId="13633CA7" w:rsidR="00510729" w:rsidRPr="00DF4CE5" w:rsidRDefault="00EB7E2C" w:rsidP="00510729">
            <w:pPr>
              <w:spacing w:after="0" w:line="240" w:lineRule="auto"/>
              <w:rPr>
                <w:rFonts w:ascii="Cambria" w:eastAsia="Times New Roman" w:hAnsi="Cambria" w:cs="Times New Roman"/>
                <w:lang w:val="hr-HR"/>
              </w:rPr>
            </w:pPr>
            <w:hyperlink r:id="rId70" w:history="1">
              <w:r w:rsidRPr="00DF4CE5">
                <w:rPr>
                  <w:rFonts w:ascii="Cambria" w:eastAsia="Times New Roman" w:hAnsi="Cambria" w:cs="Times New Roman"/>
                  <w:color w:val="0000FF"/>
                  <w:u w:val="single"/>
                  <w:lang w:val="hr-HR"/>
                </w:rPr>
                <w:t>P</w:t>
              </w:r>
              <w:r w:rsidR="00510729" w:rsidRPr="00DF4CE5">
                <w:rPr>
                  <w:rFonts w:ascii="Cambria" w:eastAsia="Times New Roman" w:hAnsi="Cambria" w:cs="Times New Roman"/>
                  <w:color w:val="0000FF"/>
                  <w:u w:val="single"/>
                  <w:lang w:val="hr-HR"/>
                </w:rPr>
                <w:t>rof. dr. sc. Ivana Paula Gortan-Carlin</w:t>
              </w:r>
            </w:hyperlink>
            <w:r w:rsidR="00510729" w:rsidRPr="00DF4CE5">
              <w:rPr>
                <w:rFonts w:ascii="Cambria" w:eastAsia="Times New Roman" w:hAnsi="Cambria" w:cs="Times New Roman"/>
                <w:lang w:val="hr-HR"/>
              </w:rPr>
              <w:t xml:space="preserve"> (nositeljica)</w:t>
            </w:r>
          </w:p>
          <w:p w14:paraId="603DF77E" w14:textId="51D84844" w:rsidR="00510729" w:rsidRPr="00DF4CE5" w:rsidRDefault="00EB7E2C" w:rsidP="00510729">
            <w:pPr>
              <w:spacing w:after="0" w:line="240" w:lineRule="auto"/>
              <w:rPr>
                <w:rFonts w:ascii="Cambria" w:eastAsia="Times New Roman" w:hAnsi="Cambria" w:cs="Calibri"/>
                <w:lang w:val="hr-HR"/>
              </w:rPr>
            </w:pPr>
            <w:hyperlink r:id="rId71" w:history="1">
              <w:r w:rsidRPr="00DF4CE5">
                <w:rPr>
                  <w:rFonts w:ascii="Cambria" w:eastAsia="Times New Roman" w:hAnsi="Cambria" w:cs="Times New Roman"/>
                  <w:color w:val="0000FF"/>
                  <w:u w:val="single"/>
                  <w:lang w:val="hr-HR"/>
                </w:rPr>
                <w:t>M</w:t>
              </w:r>
              <w:r w:rsidR="00510729" w:rsidRPr="00DF4CE5">
                <w:rPr>
                  <w:rFonts w:ascii="Cambria" w:eastAsia="Times New Roman" w:hAnsi="Cambria" w:cs="Times New Roman"/>
                  <w:color w:val="0000FF"/>
                  <w:u w:val="single"/>
                  <w:lang w:val="hr-HR"/>
                </w:rPr>
                <w:t>r. sc. Branko Radić, pred.</w:t>
              </w:r>
            </w:hyperlink>
          </w:p>
        </w:tc>
      </w:tr>
      <w:tr w:rsidR="00510729" w:rsidRPr="00D0399C" w14:paraId="3FA34F73" w14:textId="77777777" w:rsidTr="00510729">
        <w:tc>
          <w:tcPr>
            <w:tcW w:w="26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6CDBB6B"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Studijski program</w:t>
            </w:r>
          </w:p>
        </w:tc>
        <w:tc>
          <w:tcPr>
            <w:tcW w:w="6731"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D9BDE12"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Sveučilišni integrirani prijediplomski i diplomski Učiteljski studij na hrvatskom jeziku</w:t>
            </w:r>
          </w:p>
        </w:tc>
      </w:tr>
      <w:tr w:rsidR="00510729" w:rsidRPr="00DF4CE5" w14:paraId="28A2A666" w14:textId="77777777" w:rsidTr="00510729">
        <w:tc>
          <w:tcPr>
            <w:tcW w:w="26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72BD2BB"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Vrsta kolegija</w:t>
            </w:r>
          </w:p>
        </w:tc>
        <w:tc>
          <w:tcPr>
            <w:tcW w:w="249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740359C"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 xml:space="preserve">obvezan </w:t>
            </w:r>
          </w:p>
        </w:tc>
        <w:tc>
          <w:tcPr>
            <w:tcW w:w="1465"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25558E3F"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Razina kolegija</w:t>
            </w:r>
          </w:p>
        </w:tc>
        <w:tc>
          <w:tcPr>
            <w:tcW w:w="2773"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E3EC1EE" w14:textId="77777777" w:rsidR="00510729" w:rsidRPr="00DF4CE5" w:rsidRDefault="00510729" w:rsidP="00510729">
            <w:pPr>
              <w:spacing w:after="0" w:line="240" w:lineRule="auto"/>
              <w:rPr>
                <w:rFonts w:ascii="Cambria" w:eastAsia="Times New Roman" w:hAnsi="Cambria" w:cs="Calibri"/>
                <w:lang w:val="hr-HR"/>
              </w:rPr>
            </w:pPr>
            <w:proofErr w:type="spellStart"/>
            <w:r w:rsidRPr="00DF4CE5">
              <w:rPr>
                <w:rFonts w:ascii="Cambria" w:eastAsia="Times New Roman" w:hAnsi="Cambria" w:cs="Calibri"/>
                <w:lang w:val="it-IT"/>
              </w:rPr>
              <w:t>integrirani</w:t>
            </w:r>
            <w:proofErr w:type="spellEnd"/>
          </w:p>
        </w:tc>
      </w:tr>
      <w:tr w:rsidR="00510729" w:rsidRPr="00DF4CE5" w14:paraId="5854F318" w14:textId="77777777" w:rsidTr="00510729">
        <w:tc>
          <w:tcPr>
            <w:tcW w:w="26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2D64FDB"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Semestar</w:t>
            </w:r>
          </w:p>
        </w:tc>
        <w:tc>
          <w:tcPr>
            <w:tcW w:w="249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2C22BE5" w14:textId="7DDAD478" w:rsidR="00510729" w:rsidRPr="00DF4CE5" w:rsidRDefault="00E25602"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Z</w:t>
            </w:r>
            <w:r w:rsidR="00510729" w:rsidRPr="00DF4CE5">
              <w:rPr>
                <w:rFonts w:ascii="Cambria" w:eastAsia="Times New Roman" w:hAnsi="Cambria" w:cs="Calibri"/>
                <w:lang w:val="hr-HR"/>
              </w:rPr>
              <w:t>imski</w:t>
            </w:r>
          </w:p>
        </w:tc>
        <w:tc>
          <w:tcPr>
            <w:tcW w:w="1465"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1E1AD7E6"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Godina studija</w:t>
            </w:r>
          </w:p>
        </w:tc>
        <w:tc>
          <w:tcPr>
            <w:tcW w:w="2773"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6D945BC"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II.</w:t>
            </w:r>
          </w:p>
        </w:tc>
      </w:tr>
      <w:tr w:rsidR="00510729" w:rsidRPr="00DF4CE5" w14:paraId="7F1AF843" w14:textId="77777777" w:rsidTr="00510729">
        <w:tc>
          <w:tcPr>
            <w:tcW w:w="26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DFEC998" w14:textId="77777777" w:rsidR="00510729" w:rsidRPr="00DF4CE5" w:rsidRDefault="00510729" w:rsidP="00510729">
            <w:pPr>
              <w:spacing w:after="0" w:line="240" w:lineRule="auto"/>
              <w:rPr>
                <w:rFonts w:ascii="Cambria" w:eastAsia="Times New Roman" w:hAnsi="Cambria" w:cs="Calibri"/>
                <w:lang w:val="hr-HR"/>
              </w:rPr>
            </w:pPr>
            <w:proofErr w:type="spellStart"/>
            <w:r w:rsidRPr="00DF4CE5">
              <w:rPr>
                <w:rFonts w:ascii="Cambria" w:eastAsia="Times New Roman" w:hAnsi="Cambria" w:cs="Calibri"/>
              </w:rPr>
              <w:t>Mjestoizvođenja</w:t>
            </w:r>
            <w:proofErr w:type="spellEnd"/>
          </w:p>
        </w:tc>
        <w:tc>
          <w:tcPr>
            <w:tcW w:w="249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28898F2"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učionica</w:t>
            </w:r>
          </w:p>
          <w:p w14:paraId="0D6055C2" w14:textId="77777777" w:rsidR="00510729" w:rsidRPr="00DF4CE5" w:rsidRDefault="00510729" w:rsidP="00510729">
            <w:pPr>
              <w:spacing w:after="0" w:line="240" w:lineRule="auto"/>
              <w:rPr>
                <w:rFonts w:ascii="Cambria" w:eastAsia="Times New Roman" w:hAnsi="Cambria" w:cs="Calibri"/>
                <w:lang w:val="hr-HR"/>
              </w:rPr>
            </w:pPr>
          </w:p>
        </w:tc>
        <w:tc>
          <w:tcPr>
            <w:tcW w:w="1465"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43C69EC9"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rPr>
              <w:t>Jezik</w:t>
            </w:r>
            <w:r w:rsidRPr="00DF4CE5">
              <w:rPr>
                <w:rFonts w:ascii="Cambria" w:eastAsia="Times New Roman" w:hAnsi="Cambria" w:cs="Calibri"/>
                <w:lang w:val="hr-HR"/>
              </w:rPr>
              <w:t xml:space="preserve"> izvođenja (drugi jezici)</w:t>
            </w:r>
          </w:p>
        </w:tc>
        <w:tc>
          <w:tcPr>
            <w:tcW w:w="2773"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5C65E69"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 xml:space="preserve">hrvatski </w:t>
            </w:r>
          </w:p>
          <w:p w14:paraId="1620B05F"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(talijanski, slovenski)</w:t>
            </w:r>
          </w:p>
        </w:tc>
      </w:tr>
      <w:tr w:rsidR="00510729" w:rsidRPr="00DF4CE5" w14:paraId="68B66C64" w14:textId="77777777" w:rsidTr="00510729">
        <w:tc>
          <w:tcPr>
            <w:tcW w:w="26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8B314AE"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Broj ECTS bodova</w:t>
            </w:r>
          </w:p>
        </w:tc>
        <w:tc>
          <w:tcPr>
            <w:tcW w:w="249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92D383F"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2</w:t>
            </w:r>
          </w:p>
        </w:tc>
        <w:tc>
          <w:tcPr>
            <w:tcW w:w="1465"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76D384FA"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Broj sati u semestru</w:t>
            </w:r>
          </w:p>
        </w:tc>
        <w:tc>
          <w:tcPr>
            <w:tcW w:w="2773"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BA15E96" w14:textId="2505EA31"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 xml:space="preserve">0P – </w:t>
            </w:r>
            <w:r w:rsidR="00F942C2" w:rsidRPr="00DF4CE5">
              <w:rPr>
                <w:rFonts w:ascii="Cambria" w:eastAsia="Times New Roman" w:hAnsi="Cambria" w:cs="Calibri"/>
                <w:lang w:val="hr-HR"/>
              </w:rPr>
              <w:t>30S</w:t>
            </w:r>
            <w:r w:rsidR="00F942C2">
              <w:rPr>
                <w:rFonts w:ascii="Cambria" w:eastAsia="Times New Roman" w:hAnsi="Cambria" w:cs="Calibri"/>
                <w:lang w:val="hr-HR"/>
              </w:rPr>
              <w:t xml:space="preserve"> – </w:t>
            </w:r>
            <w:r w:rsidR="00CE1FD6" w:rsidRPr="00DF4CE5">
              <w:rPr>
                <w:rFonts w:ascii="Cambria" w:eastAsia="Times New Roman" w:hAnsi="Cambria" w:cs="Calibri"/>
                <w:lang w:val="hr-HR"/>
              </w:rPr>
              <w:t>0</w:t>
            </w:r>
            <w:r w:rsidRPr="00DF4CE5">
              <w:rPr>
                <w:rFonts w:ascii="Cambria" w:eastAsia="Times New Roman" w:hAnsi="Cambria" w:cs="Calibri"/>
                <w:lang w:val="hr-HR"/>
              </w:rPr>
              <w:t xml:space="preserve">V  </w:t>
            </w:r>
          </w:p>
        </w:tc>
      </w:tr>
      <w:tr w:rsidR="00510729" w:rsidRPr="00D0399C" w14:paraId="5BECC18B" w14:textId="77777777" w:rsidTr="00510729">
        <w:tc>
          <w:tcPr>
            <w:tcW w:w="26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969389B"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Preduvjeti za upis i za svladavanje</w:t>
            </w:r>
          </w:p>
        </w:tc>
        <w:tc>
          <w:tcPr>
            <w:tcW w:w="6731"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4AD6AF4"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Položen ispit Glazbeno pismo i sviranje</w:t>
            </w:r>
          </w:p>
        </w:tc>
      </w:tr>
      <w:tr w:rsidR="00510729" w:rsidRPr="00D0399C" w14:paraId="7EC4CDC1" w14:textId="77777777" w:rsidTr="00510729">
        <w:tc>
          <w:tcPr>
            <w:tcW w:w="26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4C9E676" w14:textId="77777777" w:rsidR="00510729" w:rsidRPr="00DF4CE5" w:rsidRDefault="00510729" w:rsidP="00510729">
            <w:pPr>
              <w:spacing w:after="0" w:line="240" w:lineRule="auto"/>
              <w:rPr>
                <w:rFonts w:ascii="Cambria" w:eastAsia="Times New Roman" w:hAnsi="Cambria" w:cs="Calibri"/>
                <w:lang w:val="hr-HR"/>
              </w:rPr>
            </w:pPr>
            <w:proofErr w:type="spellStart"/>
            <w:r w:rsidRPr="00DF4CE5">
              <w:rPr>
                <w:rFonts w:ascii="Cambria" w:eastAsia="Times New Roman" w:hAnsi="Cambria" w:cs="Calibri"/>
              </w:rPr>
              <w:t>Korelativnost</w:t>
            </w:r>
            <w:proofErr w:type="spellEnd"/>
          </w:p>
        </w:tc>
        <w:tc>
          <w:tcPr>
            <w:tcW w:w="6731"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09B0518" w14:textId="77777777" w:rsidR="00510729" w:rsidRPr="00DF4CE5" w:rsidRDefault="00510729" w:rsidP="00510729">
            <w:pPr>
              <w:autoSpaceDE w:val="0"/>
              <w:autoSpaceDN w:val="0"/>
              <w:adjustRightInd w:val="0"/>
              <w:spacing w:after="0" w:line="240" w:lineRule="auto"/>
              <w:rPr>
                <w:rFonts w:ascii="Cambria" w:eastAsia="Times New Roman" w:hAnsi="Cambria" w:cs="Calibri"/>
                <w:lang w:val="hr-HR"/>
              </w:rPr>
            </w:pPr>
            <w:r w:rsidRPr="00DF4CE5">
              <w:rPr>
                <w:rFonts w:ascii="Cambria" w:eastAsia="Times New Roman" w:hAnsi="Cambria" w:cs="Calibri"/>
                <w:lang w:val="hr-HR"/>
              </w:rPr>
              <w:t xml:space="preserve">Glazbeno pismo i sviranje, </w:t>
            </w:r>
          </w:p>
          <w:p w14:paraId="061F6DD2" w14:textId="77777777" w:rsidR="00510729" w:rsidRPr="00DF4CE5" w:rsidRDefault="00510729" w:rsidP="00510729">
            <w:pPr>
              <w:autoSpaceDE w:val="0"/>
              <w:autoSpaceDN w:val="0"/>
              <w:adjustRightInd w:val="0"/>
              <w:spacing w:after="0" w:line="240" w:lineRule="auto"/>
              <w:rPr>
                <w:rFonts w:ascii="Cambria" w:eastAsia="Times New Roman" w:hAnsi="Cambria" w:cs="Calibri"/>
                <w:lang w:val="hr-HR"/>
              </w:rPr>
            </w:pPr>
            <w:r w:rsidRPr="00DF4CE5">
              <w:rPr>
                <w:rFonts w:ascii="Cambria" w:eastAsia="Times New Roman" w:hAnsi="Cambria" w:cs="Calibri"/>
                <w:lang w:val="pl-PL"/>
              </w:rPr>
              <w:t>Metodika glazbene kulture I., II</w:t>
            </w:r>
            <w:r w:rsidRPr="00DF4CE5">
              <w:rPr>
                <w:rFonts w:ascii="Cambria" w:eastAsia="Times New Roman" w:hAnsi="Cambria" w:cs="Calibri"/>
                <w:lang w:val="hr-HR"/>
              </w:rPr>
              <w:t xml:space="preserve">. </w:t>
            </w:r>
          </w:p>
        </w:tc>
      </w:tr>
      <w:tr w:rsidR="00510729" w:rsidRPr="00D0399C" w14:paraId="73158B80" w14:textId="77777777" w:rsidTr="00510729">
        <w:tc>
          <w:tcPr>
            <w:tcW w:w="26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F16555B"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 xml:space="preserve">Cilj kolegija </w:t>
            </w:r>
          </w:p>
        </w:tc>
        <w:tc>
          <w:tcPr>
            <w:tcW w:w="6731"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6D561CA" w14:textId="77777777" w:rsidR="00510729" w:rsidRPr="00DF4CE5" w:rsidRDefault="00510729" w:rsidP="00510729">
            <w:pPr>
              <w:spacing w:after="0" w:line="240" w:lineRule="auto"/>
              <w:rPr>
                <w:rFonts w:ascii="Cambria" w:eastAsia="Times New Roman" w:hAnsi="Cambria" w:cs="Calibri"/>
                <w:lang w:val="pl-PL"/>
              </w:rPr>
            </w:pPr>
            <w:r w:rsidRPr="00DF4CE5">
              <w:rPr>
                <w:rFonts w:ascii="Cambria" w:eastAsia="Times New Roman" w:hAnsi="Cambria" w:cs="Calibri"/>
                <w:lang w:val="pl-PL"/>
              </w:rPr>
              <w:t>primjeniti znanja glazbene pismenosti te svirati i pjevati jednostavne pjesme na instrumentu s tipkama (glasovir, klavijature) te svirati i pjevati s Orffovim instrumentarijem</w:t>
            </w:r>
          </w:p>
        </w:tc>
      </w:tr>
      <w:tr w:rsidR="00510729" w:rsidRPr="00DF4CE5" w14:paraId="110A3868" w14:textId="77777777" w:rsidTr="00510729">
        <w:tc>
          <w:tcPr>
            <w:tcW w:w="26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C9596ED"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Ishodi učenja</w:t>
            </w:r>
          </w:p>
        </w:tc>
        <w:tc>
          <w:tcPr>
            <w:tcW w:w="6731"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1CBCB74" w14:textId="70A1ABE0" w:rsidR="00510729" w:rsidRPr="00DF4CE5" w:rsidRDefault="00510729" w:rsidP="00510729">
            <w:pPr>
              <w:autoSpaceDE w:val="0"/>
              <w:autoSpaceDN w:val="0"/>
              <w:adjustRightInd w:val="0"/>
              <w:spacing w:after="0" w:line="240" w:lineRule="auto"/>
              <w:rPr>
                <w:rFonts w:ascii="Cambria" w:eastAsia="Times New Roman" w:hAnsi="Cambria" w:cs="Calibri"/>
                <w:lang w:val="hr-HR"/>
              </w:rPr>
            </w:pPr>
            <w:r w:rsidRPr="00DF4CE5">
              <w:rPr>
                <w:rFonts w:ascii="Cambria" w:eastAsia="Times New Roman" w:hAnsi="Cambria" w:cs="Calibri"/>
                <w:lang w:val="hr-HR"/>
              </w:rPr>
              <w:t xml:space="preserve">1. </w:t>
            </w:r>
            <w:r w:rsidR="00F942C2">
              <w:rPr>
                <w:rFonts w:ascii="Cambria" w:eastAsia="Times New Roman" w:hAnsi="Cambria" w:cs="Calibri"/>
                <w:lang w:val="hr-HR"/>
              </w:rPr>
              <w:t>s</w:t>
            </w:r>
            <w:r w:rsidRPr="00DF4CE5">
              <w:rPr>
                <w:rFonts w:ascii="Cambria" w:eastAsia="Times New Roman" w:hAnsi="Cambria" w:cs="Calibri"/>
                <w:lang w:val="hr-HR"/>
              </w:rPr>
              <w:t>virati jednostavne pjesme na klavijaturi posebno lijevom i desnom rukom i zajedno.</w:t>
            </w:r>
          </w:p>
          <w:p w14:paraId="7248F44F" w14:textId="42DBF9DC" w:rsidR="00510729" w:rsidRPr="00DF4CE5" w:rsidRDefault="00510729" w:rsidP="00510729">
            <w:pPr>
              <w:autoSpaceDE w:val="0"/>
              <w:autoSpaceDN w:val="0"/>
              <w:adjustRightInd w:val="0"/>
              <w:spacing w:after="0" w:line="240" w:lineRule="auto"/>
              <w:rPr>
                <w:rFonts w:ascii="Cambria" w:eastAsia="Times New Roman" w:hAnsi="Cambria" w:cs="Calibri"/>
                <w:lang w:val="hr-HR"/>
              </w:rPr>
            </w:pPr>
            <w:r w:rsidRPr="00DF4CE5">
              <w:rPr>
                <w:rFonts w:ascii="Cambria" w:eastAsia="Times New Roman" w:hAnsi="Cambria" w:cs="Calibri"/>
                <w:lang w:val="hr-HR"/>
              </w:rPr>
              <w:t xml:space="preserve">2. </w:t>
            </w:r>
            <w:r w:rsidR="00F942C2">
              <w:rPr>
                <w:rFonts w:ascii="Cambria" w:eastAsia="Times New Roman" w:hAnsi="Cambria" w:cs="Calibri"/>
                <w:lang w:val="hr-HR"/>
              </w:rPr>
              <w:t>p</w:t>
            </w:r>
            <w:r w:rsidRPr="00DF4CE5">
              <w:rPr>
                <w:rFonts w:ascii="Cambria" w:eastAsia="Times New Roman" w:hAnsi="Cambria" w:cs="Calibri"/>
                <w:lang w:val="hr-HR"/>
              </w:rPr>
              <w:t>rimijeniti vještinu čitanja notnog zapisa za interpretaciju jednostavnijih skladbi pjevanjem i sviranjem na glasoviru (klavijaturi).</w:t>
            </w:r>
          </w:p>
          <w:p w14:paraId="73D16C5D" w14:textId="7304A828" w:rsidR="00510729" w:rsidRPr="00DF4CE5" w:rsidRDefault="00510729" w:rsidP="00510729">
            <w:pPr>
              <w:autoSpaceDE w:val="0"/>
              <w:autoSpaceDN w:val="0"/>
              <w:adjustRightInd w:val="0"/>
              <w:spacing w:after="0" w:line="240" w:lineRule="auto"/>
              <w:rPr>
                <w:rFonts w:ascii="Cambria" w:eastAsia="Times New Roman" w:hAnsi="Cambria" w:cs="Calibri"/>
                <w:lang w:val="hr-HR"/>
              </w:rPr>
            </w:pPr>
            <w:r w:rsidRPr="00DF4CE5">
              <w:rPr>
                <w:rFonts w:ascii="Cambria" w:eastAsia="Times New Roman" w:hAnsi="Cambria" w:cs="Calibri"/>
                <w:lang w:val="hr-HR"/>
              </w:rPr>
              <w:t xml:space="preserve">3. </w:t>
            </w:r>
            <w:r w:rsidR="00F942C2">
              <w:rPr>
                <w:rFonts w:ascii="Cambria" w:eastAsia="Times New Roman" w:hAnsi="Cambria" w:cs="Calibri"/>
                <w:lang w:val="hr-HR"/>
              </w:rPr>
              <w:t>s</w:t>
            </w:r>
            <w:r w:rsidRPr="00DF4CE5">
              <w:rPr>
                <w:rFonts w:ascii="Cambria" w:eastAsia="Times New Roman" w:hAnsi="Cambria" w:cs="Calibri"/>
                <w:lang w:val="hr-HR"/>
              </w:rPr>
              <w:t xml:space="preserve">virati metar i ritam na </w:t>
            </w:r>
            <w:proofErr w:type="spellStart"/>
            <w:r w:rsidRPr="00DF4CE5">
              <w:rPr>
                <w:rFonts w:ascii="Cambria" w:eastAsia="Times New Roman" w:hAnsi="Cambria" w:cs="Calibri"/>
                <w:lang w:val="hr-HR"/>
              </w:rPr>
              <w:t>Orffovom</w:t>
            </w:r>
            <w:proofErr w:type="spellEnd"/>
            <w:r w:rsidRPr="00DF4CE5">
              <w:rPr>
                <w:rFonts w:ascii="Cambria" w:eastAsia="Times New Roman" w:hAnsi="Cambria" w:cs="Calibri"/>
                <w:lang w:val="hr-HR"/>
              </w:rPr>
              <w:t xml:space="preserve"> instrumentariju.</w:t>
            </w:r>
          </w:p>
          <w:p w14:paraId="44371AC1" w14:textId="595F0CDF" w:rsidR="00510729" w:rsidRPr="00DF4CE5" w:rsidRDefault="00510729" w:rsidP="00510729">
            <w:pPr>
              <w:autoSpaceDE w:val="0"/>
              <w:autoSpaceDN w:val="0"/>
              <w:adjustRightInd w:val="0"/>
              <w:spacing w:after="0" w:line="240" w:lineRule="auto"/>
              <w:rPr>
                <w:rFonts w:ascii="Cambria" w:eastAsia="Times New Roman" w:hAnsi="Cambria" w:cs="Calibri"/>
                <w:lang w:val="hr-HR"/>
              </w:rPr>
            </w:pPr>
            <w:r w:rsidRPr="00DF4CE5">
              <w:rPr>
                <w:rFonts w:ascii="Cambria" w:eastAsia="Times New Roman" w:hAnsi="Cambria" w:cs="Calibri"/>
                <w:lang w:val="hr-HR"/>
              </w:rPr>
              <w:t xml:space="preserve">4. </w:t>
            </w:r>
            <w:r w:rsidR="00F942C2">
              <w:rPr>
                <w:rFonts w:ascii="Cambria" w:eastAsia="Times New Roman" w:hAnsi="Cambria" w:cs="Calibri"/>
                <w:lang w:val="hr-HR"/>
              </w:rPr>
              <w:t>p</w:t>
            </w:r>
            <w:r w:rsidRPr="00DF4CE5">
              <w:rPr>
                <w:rFonts w:ascii="Cambria" w:eastAsia="Times New Roman" w:hAnsi="Cambria" w:cs="Calibri"/>
                <w:lang w:val="hr-HR"/>
              </w:rPr>
              <w:t>jevati dječje pjesme</w:t>
            </w:r>
          </w:p>
        </w:tc>
      </w:tr>
      <w:tr w:rsidR="00510729" w:rsidRPr="00DF4CE5" w14:paraId="37691DF6" w14:textId="77777777" w:rsidTr="00510729">
        <w:tc>
          <w:tcPr>
            <w:tcW w:w="2629"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50229C89"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Sadržaj kolegija</w:t>
            </w:r>
          </w:p>
        </w:tc>
        <w:tc>
          <w:tcPr>
            <w:tcW w:w="6731"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ADC1ACB" w14:textId="77777777" w:rsidR="00510729" w:rsidRPr="00DF4CE5" w:rsidRDefault="00510729" w:rsidP="00510729">
            <w:pPr>
              <w:autoSpaceDE w:val="0"/>
              <w:autoSpaceDN w:val="0"/>
              <w:adjustRightInd w:val="0"/>
              <w:spacing w:after="0" w:line="240" w:lineRule="auto"/>
              <w:rPr>
                <w:rFonts w:ascii="Cambria" w:eastAsia="Times New Roman" w:hAnsi="Cambria" w:cs="Calibri"/>
                <w:lang w:val="hr-HR"/>
              </w:rPr>
            </w:pPr>
            <w:r w:rsidRPr="00DF4CE5">
              <w:rPr>
                <w:rFonts w:ascii="Cambria" w:eastAsia="Times New Roman" w:hAnsi="Cambria" w:cs="Calibri"/>
                <w:lang w:val="hr-HR"/>
              </w:rPr>
              <w:t>1. Tehničke vježbe za razvoj motorike prstiju</w:t>
            </w:r>
          </w:p>
          <w:p w14:paraId="48FCD495" w14:textId="77777777" w:rsidR="00510729" w:rsidRPr="00DF4CE5" w:rsidRDefault="00510729" w:rsidP="00510729">
            <w:pPr>
              <w:autoSpaceDE w:val="0"/>
              <w:autoSpaceDN w:val="0"/>
              <w:adjustRightInd w:val="0"/>
              <w:spacing w:after="0" w:line="240" w:lineRule="auto"/>
              <w:rPr>
                <w:rFonts w:ascii="Cambria" w:eastAsia="Times New Roman" w:hAnsi="Cambria" w:cs="Calibri"/>
                <w:lang w:val="hr-HR"/>
              </w:rPr>
            </w:pPr>
            <w:r w:rsidRPr="00DF4CE5">
              <w:rPr>
                <w:rFonts w:ascii="Cambria" w:eastAsia="Times New Roman" w:hAnsi="Cambria" w:cs="Calibri"/>
                <w:lang w:val="hr-HR"/>
              </w:rPr>
              <w:t>2. Sviranje ljestvica (dur i mol), kroz jednu oktavu, do četiri predznaka</w:t>
            </w:r>
          </w:p>
          <w:p w14:paraId="2674351E" w14:textId="77777777" w:rsidR="00510729" w:rsidRPr="00DF4CE5" w:rsidRDefault="00510729" w:rsidP="00510729">
            <w:pPr>
              <w:autoSpaceDE w:val="0"/>
              <w:autoSpaceDN w:val="0"/>
              <w:adjustRightInd w:val="0"/>
              <w:spacing w:after="0" w:line="240" w:lineRule="auto"/>
              <w:rPr>
                <w:rFonts w:ascii="Cambria" w:eastAsia="Times New Roman" w:hAnsi="Cambria" w:cs="Calibri"/>
                <w:lang w:val="hr-HR"/>
              </w:rPr>
            </w:pPr>
            <w:r w:rsidRPr="00DF4CE5">
              <w:rPr>
                <w:rFonts w:ascii="Cambria" w:eastAsia="Times New Roman" w:hAnsi="Cambria" w:cs="Calibri"/>
                <w:lang w:val="hr-HR"/>
              </w:rPr>
              <w:t>3. Sviranje melodije desnom rukom i jednostavne harmonijske pratnje lijevom rukom (zajedno) na klavijaturi</w:t>
            </w:r>
          </w:p>
          <w:p w14:paraId="53268355" w14:textId="77777777" w:rsidR="00510729" w:rsidRPr="00DF4CE5" w:rsidRDefault="00510729" w:rsidP="00510729">
            <w:pPr>
              <w:autoSpaceDE w:val="0"/>
              <w:autoSpaceDN w:val="0"/>
              <w:adjustRightInd w:val="0"/>
              <w:spacing w:after="0" w:line="240" w:lineRule="auto"/>
              <w:rPr>
                <w:rFonts w:ascii="Cambria" w:eastAsia="Times New Roman" w:hAnsi="Cambria" w:cs="Calibri"/>
                <w:lang w:val="hr-HR"/>
              </w:rPr>
            </w:pPr>
            <w:r w:rsidRPr="00DF4CE5">
              <w:rPr>
                <w:rFonts w:ascii="Cambria" w:eastAsia="Times New Roman" w:hAnsi="Cambria" w:cs="Calibri"/>
                <w:lang w:val="hr-HR"/>
              </w:rPr>
              <w:t>4. Brojanje doba</w:t>
            </w:r>
          </w:p>
          <w:p w14:paraId="07894001" w14:textId="77777777" w:rsidR="00510729" w:rsidRPr="00DF4CE5" w:rsidRDefault="00510729" w:rsidP="00510729">
            <w:pPr>
              <w:autoSpaceDE w:val="0"/>
              <w:autoSpaceDN w:val="0"/>
              <w:adjustRightInd w:val="0"/>
              <w:spacing w:after="0" w:line="240" w:lineRule="auto"/>
              <w:rPr>
                <w:rFonts w:ascii="Cambria" w:eastAsia="Times New Roman" w:hAnsi="Cambria" w:cs="Calibri"/>
                <w:lang w:val="hr-HR"/>
              </w:rPr>
            </w:pPr>
            <w:r w:rsidRPr="00DF4CE5">
              <w:rPr>
                <w:rFonts w:ascii="Cambria" w:eastAsia="Times New Roman" w:hAnsi="Cambria" w:cs="Calibri"/>
                <w:lang w:val="hr-HR"/>
              </w:rPr>
              <w:t>5. Pjevanje pjesama</w:t>
            </w:r>
          </w:p>
        </w:tc>
      </w:tr>
      <w:tr w:rsidR="00510729" w:rsidRPr="00DF4CE5" w14:paraId="35A5CB85" w14:textId="77777777" w:rsidTr="00510729">
        <w:tc>
          <w:tcPr>
            <w:tcW w:w="2629"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hideMark/>
          </w:tcPr>
          <w:p w14:paraId="56AF37AA"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Planirane aktivnosti</w:t>
            </w:r>
            <w:r w:rsidRPr="00DF4CE5">
              <w:rPr>
                <w:rFonts w:ascii="Cambria" w:eastAsia="Times New Roman" w:hAnsi="Cambria" w:cs="Calibri"/>
                <w:lang w:val="it-IT"/>
              </w:rPr>
              <w:t>,</w:t>
            </w:r>
          </w:p>
          <w:p w14:paraId="1AF751AC" w14:textId="77777777" w:rsidR="00510729" w:rsidRPr="00DF4CE5" w:rsidRDefault="00510729" w:rsidP="00510729">
            <w:pPr>
              <w:spacing w:after="0" w:line="240" w:lineRule="auto"/>
              <w:rPr>
                <w:rFonts w:ascii="Cambria" w:eastAsia="Times New Roman" w:hAnsi="Cambria" w:cs="Calibri"/>
                <w:lang w:val="hr-HR"/>
              </w:rPr>
            </w:pPr>
            <w:proofErr w:type="spellStart"/>
            <w:r w:rsidRPr="00DF4CE5">
              <w:rPr>
                <w:rFonts w:ascii="Cambria" w:eastAsia="Times New Roman" w:hAnsi="Cambria" w:cs="Calibri"/>
                <w:lang w:val="it-IT"/>
              </w:rPr>
              <w:t>metode</w:t>
            </w:r>
            <w:proofErr w:type="spellEnd"/>
            <w:r w:rsidRPr="00DF4CE5">
              <w:rPr>
                <w:rFonts w:ascii="Cambria" w:eastAsia="Times New Roman" w:hAnsi="Cambria" w:cs="Calibri"/>
                <w:lang w:val="it-IT"/>
              </w:rPr>
              <w:t xml:space="preserve"> </w:t>
            </w:r>
            <w:r w:rsidRPr="00DF4CE5">
              <w:rPr>
                <w:rFonts w:ascii="Cambria" w:eastAsia="Times New Roman" w:hAnsi="Cambria" w:cs="Calibri"/>
                <w:lang w:val="hr-HR"/>
              </w:rPr>
              <w:t>učenja i poučavanja i načini vrednovanja</w:t>
            </w:r>
          </w:p>
        </w:tc>
        <w:tc>
          <w:tcPr>
            <w:tcW w:w="259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D04EFF4"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bCs/>
                <w:lang w:val="hr-HR"/>
              </w:rPr>
              <w:t>Obveze</w:t>
            </w:r>
          </w:p>
        </w:tc>
        <w:tc>
          <w:tcPr>
            <w:tcW w:w="109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1762D85"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bCs/>
                <w:lang w:val="hr-HR"/>
              </w:rPr>
              <w:t>Ishodi</w:t>
            </w:r>
          </w:p>
        </w:tc>
        <w:tc>
          <w:tcPr>
            <w:tcW w:w="71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DBD24E8"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bCs/>
                <w:lang w:val="hr-HR"/>
              </w:rPr>
              <w:t>Sati</w:t>
            </w:r>
          </w:p>
        </w:tc>
        <w:tc>
          <w:tcPr>
            <w:tcW w:w="101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C3D86BD"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bCs/>
                <w:lang w:val="hr-HR"/>
              </w:rPr>
              <w:t>ECTS</w:t>
            </w:r>
          </w:p>
        </w:tc>
        <w:tc>
          <w:tcPr>
            <w:tcW w:w="132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F66CBD0"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bCs/>
                <w:lang w:val="hr-HR"/>
              </w:rPr>
              <w:t>Maksimalni udio u ocjeni</w:t>
            </w:r>
            <w:r w:rsidRPr="00DF4CE5">
              <w:rPr>
                <w:rFonts w:ascii="Cambria" w:eastAsia="Times New Roman" w:hAnsi="Cambria" w:cs="Calibri"/>
                <w:bCs/>
              </w:rPr>
              <w:t xml:space="preserve"> (%)</w:t>
            </w:r>
          </w:p>
        </w:tc>
      </w:tr>
      <w:tr w:rsidR="00510729" w:rsidRPr="00DF4CE5" w14:paraId="75791E6B" w14:textId="77777777" w:rsidTr="00510729">
        <w:tc>
          <w:tcPr>
            <w:tcW w:w="2629" w:type="dxa"/>
            <w:vMerge/>
            <w:tcBorders>
              <w:left w:val="single" w:sz="8" w:space="0" w:color="000000"/>
              <w:right w:val="single" w:sz="8" w:space="0" w:color="000000"/>
            </w:tcBorders>
            <w:vAlign w:val="center"/>
            <w:hideMark/>
          </w:tcPr>
          <w:p w14:paraId="347D88CE" w14:textId="77777777" w:rsidR="00510729" w:rsidRPr="00DF4CE5" w:rsidRDefault="00510729" w:rsidP="00510729">
            <w:pPr>
              <w:spacing w:after="0" w:line="240" w:lineRule="auto"/>
              <w:rPr>
                <w:rFonts w:ascii="Cambria" w:eastAsia="Times New Roman" w:hAnsi="Cambria" w:cs="Calibri"/>
                <w:lang w:val="hr-HR"/>
              </w:rPr>
            </w:pPr>
          </w:p>
        </w:tc>
        <w:tc>
          <w:tcPr>
            <w:tcW w:w="259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EF6185B" w14:textId="1933DC58" w:rsidR="00510729" w:rsidRPr="00DF4CE5" w:rsidRDefault="00F942C2" w:rsidP="00510729">
            <w:pPr>
              <w:spacing w:after="0" w:line="240" w:lineRule="auto"/>
              <w:rPr>
                <w:rFonts w:ascii="Cambria" w:eastAsia="Times New Roman" w:hAnsi="Cambria" w:cs="Calibri"/>
                <w:lang w:val="hr-HR"/>
              </w:rPr>
            </w:pPr>
            <w:proofErr w:type="spellStart"/>
            <w:r>
              <w:rPr>
                <w:rFonts w:ascii="Cambria" w:eastAsia="Times New Roman" w:hAnsi="Cambria" w:cs="Calibri"/>
              </w:rPr>
              <w:t>a</w:t>
            </w:r>
            <w:r w:rsidR="00B71FDE" w:rsidRPr="00DF4CE5">
              <w:rPr>
                <w:rFonts w:ascii="Cambria" w:eastAsia="Times New Roman" w:hAnsi="Cambria" w:cs="Calibri"/>
              </w:rPr>
              <w:t>ktivnost</w:t>
            </w:r>
            <w:proofErr w:type="spellEnd"/>
            <w:r w:rsidR="00B71FDE" w:rsidRPr="00DF4CE5">
              <w:rPr>
                <w:rFonts w:ascii="Cambria" w:eastAsia="Times New Roman" w:hAnsi="Cambria" w:cs="Calibri"/>
              </w:rPr>
              <w:t xml:space="preserve"> </w:t>
            </w:r>
            <w:proofErr w:type="spellStart"/>
            <w:r w:rsidR="00B71FDE" w:rsidRPr="00DF4CE5">
              <w:rPr>
                <w:rFonts w:ascii="Cambria" w:eastAsia="Times New Roman" w:hAnsi="Cambria" w:cs="Calibri"/>
              </w:rPr>
              <w:t>na</w:t>
            </w:r>
            <w:proofErr w:type="spellEnd"/>
            <w:r w:rsidR="00B71FDE" w:rsidRPr="00DF4CE5">
              <w:rPr>
                <w:rFonts w:ascii="Cambria" w:eastAsia="Times New Roman" w:hAnsi="Cambria" w:cs="Calibri"/>
              </w:rPr>
              <w:t xml:space="preserve"> </w:t>
            </w:r>
            <w:proofErr w:type="spellStart"/>
            <w:r w:rsidR="00B71FDE" w:rsidRPr="00DF4CE5">
              <w:rPr>
                <w:rFonts w:ascii="Cambria" w:eastAsia="Times New Roman" w:hAnsi="Cambria" w:cs="Calibri"/>
              </w:rPr>
              <w:t>nastavi</w:t>
            </w:r>
            <w:proofErr w:type="spellEnd"/>
            <w:r>
              <w:rPr>
                <w:rFonts w:ascii="Cambria" w:eastAsia="Times New Roman" w:hAnsi="Cambria" w:cs="Calibri"/>
              </w:rPr>
              <w:t xml:space="preserve"> (S)</w:t>
            </w:r>
          </w:p>
        </w:tc>
        <w:tc>
          <w:tcPr>
            <w:tcW w:w="109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2114CE0" w14:textId="11F46CB6"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 xml:space="preserve">1. </w:t>
            </w:r>
            <w:r w:rsidR="00F942C2">
              <w:rPr>
                <w:rFonts w:ascii="Cambria" w:eastAsia="Times New Roman" w:hAnsi="Cambria" w:cs="Calibri"/>
                <w:lang w:val="hr-HR"/>
              </w:rPr>
              <w:t>–</w:t>
            </w:r>
            <w:r w:rsidRPr="00DF4CE5">
              <w:rPr>
                <w:rFonts w:ascii="Cambria" w:eastAsia="Times New Roman" w:hAnsi="Cambria" w:cs="Calibri"/>
                <w:lang w:val="hr-HR"/>
              </w:rPr>
              <w:t xml:space="preserve"> 4.</w:t>
            </w:r>
          </w:p>
        </w:tc>
        <w:tc>
          <w:tcPr>
            <w:tcW w:w="71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CBF03D7"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22,5</w:t>
            </w:r>
          </w:p>
        </w:tc>
        <w:tc>
          <w:tcPr>
            <w:tcW w:w="101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7034079"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 0,75</w:t>
            </w:r>
          </w:p>
        </w:tc>
        <w:tc>
          <w:tcPr>
            <w:tcW w:w="132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2CD350D"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  20 %</w:t>
            </w:r>
          </w:p>
        </w:tc>
      </w:tr>
      <w:tr w:rsidR="00510729" w:rsidRPr="00DF4CE5" w14:paraId="713AF8E5" w14:textId="77777777" w:rsidTr="00510729">
        <w:trPr>
          <w:trHeight w:val="307"/>
        </w:trPr>
        <w:tc>
          <w:tcPr>
            <w:tcW w:w="2629" w:type="dxa"/>
            <w:vMerge/>
            <w:tcBorders>
              <w:left w:val="single" w:sz="8" w:space="0" w:color="000000"/>
              <w:right w:val="single" w:sz="8" w:space="0" w:color="000000"/>
            </w:tcBorders>
            <w:vAlign w:val="center"/>
            <w:hideMark/>
          </w:tcPr>
          <w:p w14:paraId="4290E1E3" w14:textId="77777777" w:rsidR="00510729" w:rsidRPr="00DF4CE5" w:rsidRDefault="00510729" w:rsidP="00510729">
            <w:pPr>
              <w:spacing w:after="0" w:line="240" w:lineRule="auto"/>
              <w:rPr>
                <w:rFonts w:ascii="Cambria" w:eastAsia="Times New Roman" w:hAnsi="Cambria" w:cs="Calibri"/>
                <w:lang w:val="hr-HR"/>
              </w:rPr>
            </w:pPr>
          </w:p>
        </w:tc>
        <w:tc>
          <w:tcPr>
            <w:tcW w:w="259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B369469" w14:textId="05ADF3CF" w:rsidR="00510729" w:rsidRPr="00DF4CE5" w:rsidRDefault="00F942C2" w:rsidP="00510729">
            <w:pPr>
              <w:spacing w:after="0" w:line="240" w:lineRule="auto"/>
              <w:rPr>
                <w:rFonts w:ascii="Cambria" w:eastAsia="Times New Roman" w:hAnsi="Cambria" w:cs="Calibri"/>
                <w:lang w:val="hr-HR"/>
              </w:rPr>
            </w:pPr>
            <w:r>
              <w:rPr>
                <w:rFonts w:ascii="Cambria" w:eastAsia="Times New Roman" w:hAnsi="Cambria" w:cs="Calibri"/>
                <w:lang w:val="hr-HR"/>
              </w:rPr>
              <w:t>k</w:t>
            </w:r>
            <w:r w:rsidR="00510729" w:rsidRPr="00DF4CE5">
              <w:rPr>
                <w:rFonts w:ascii="Cambria" w:eastAsia="Times New Roman" w:hAnsi="Cambria" w:cs="Calibri"/>
                <w:lang w:val="hr-HR"/>
              </w:rPr>
              <w:t>ontinuirana provjera znanja</w:t>
            </w:r>
          </w:p>
        </w:tc>
        <w:tc>
          <w:tcPr>
            <w:tcW w:w="109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7E85CE9" w14:textId="6616A725"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 xml:space="preserve">1. </w:t>
            </w:r>
            <w:r w:rsidR="00F942C2">
              <w:rPr>
                <w:rFonts w:ascii="Cambria" w:eastAsia="Times New Roman" w:hAnsi="Cambria" w:cs="Calibri"/>
                <w:lang w:val="hr-HR"/>
              </w:rPr>
              <w:t>–</w:t>
            </w:r>
            <w:r w:rsidRPr="00DF4CE5">
              <w:rPr>
                <w:rFonts w:ascii="Cambria" w:eastAsia="Times New Roman" w:hAnsi="Cambria" w:cs="Calibri"/>
                <w:lang w:val="hr-HR"/>
              </w:rPr>
              <w:t xml:space="preserve"> 4.</w:t>
            </w:r>
          </w:p>
        </w:tc>
        <w:tc>
          <w:tcPr>
            <w:tcW w:w="71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841052C"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22,5</w:t>
            </w:r>
          </w:p>
        </w:tc>
        <w:tc>
          <w:tcPr>
            <w:tcW w:w="101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1706177"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 xml:space="preserve"> 0,75</w:t>
            </w:r>
          </w:p>
        </w:tc>
        <w:tc>
          <w:tcPr>
            <w:tcW w:w="132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F58156D"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 xml:space="preserve">  50 %</w:t>
            </w:r>
          </w:p>
        </w:tc>
      </w:tr>
      <w:tr w:rsidR="00510729" w:rsidRPr="00DF4CE5" w14:paraId="02D80D78" w14:textId="77777777" w:rsidTr="00510729">
        <w:tc>
          <w:tcPr>
            <w:tcW w:w="2629" w:type="dxa"/>
            <w:vMerge/>
            <w:tcBorders>
              <w:left w:val="single" w:sz="8" w:space="0" w:color="000000"/>
              <w:right w:val="single" w:sz="8" w:space="0" w:color="000000"/>
            </w:tcBorders>
            <w:vAlign w:val="center"/>
            <w:hideMark/>
          </w:tcPr>
          <w:p w14:paraId="7E6B6498" w14:textId="77777777" w:rsidR="00510729" w:rsidRPr="00DF4CE5" w:rsidRDefault="00510729" w:rsidP="00510729">
            <w:pPr>
              <w:spacing w:after="0" w:line="240" w:lineRule="auto"/>
              <w:rPr>
                <w:rFonts w:ascii="Cambria" w:eastAsia="Times New Roman" w:hAnsi="Cambria" w:cs="Calibri"/>
                <w:lang w:val="hr-HR"/>
              </w:rPr>
            </w:pPr>
          </w:p>
        </w:tc>
        <w:tc>
          <w:tcPr>
            <w:tcW w:w="259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8FF21B6" w14:textId="5523146D" w:rsidR="00510729" w:rsidRPr="00DF4CE5" w:rsidRDefault="00F942C2" w:rsidP="00510729">
            <w:pPr>
              <w:spacing w:after="0" w:line="240" w:lineRule="auto"/>
              <w:rPr>
                <w:rFonts w:ascii="Cambria" w:eastAsia="Times New Roman" w:hAnsi="Cambria" w:cs="Calibri"/>
                <w:lang w:val="hr-HR"/>
              </w:rPr>
            </w:pPr>
            <w:r>
              <w:rPr>
                <w:rFonts w:ascii="Cambria" w:eastAsia="Times New Roman" w:hAnsi="Cambria" w:cs="Calibri"/>
                <w:lang w:val="hr-HR"/>
              </w:rPr>
              <w:t>is</w:t>
            </w:r>
            <w:r w:rsidR="00510729" w:rsidRPr="00DF4CE5">
              <w:rPr>
                <w:rFonts w:ascii="Cambria" w:eastAsia="Times New Roman" w:hAnsi="Cambria" w:cs="Calibri"/>
                <w:lang w:val="hr-HR"/>
              </w:rPr>
              <w:t>pit</w:t>
            </w:r>
            <w:r>
              <w:rPr>
                <w:rFonts w:ascii="Cambria" w:eastAsia="Times New Roman" w:hAnsi="Cambria" w:cs="Calibri"/>
                <w:lang w:val="hr-HR"/>
              </w:rPr>
              <w:t xml:space="preserve"> (</w:t>
            </w:r>
            <w:r w:rsidR="00510729" w:rsidRPr="00DF4CE5">
              <w:rPr>
                <w:rFonts w:ascii="Cambria" w:eastAsia="Times New Roman" w:hAnsi="Cambria" w:cs="Calibri"/>
                <w:lang w:val="hr-HR"/>
              </w:rPr>
              <w:t>usmeni</w:t>
            </w:r>
            <w:r>
              <w:rPr>
                <w:rFonts w:ascii="Cambria" w:eastAsia="Times New Roman" w:hAnsi="Cambria" w:cs="Calibri"/>
                <w:lang w:val="hr-HR"/>
              </w:rPr>
              <w:t>)</w:t>
            </w:r>
          </w:p>
        </w:tc>
        <w:tc>
          <w:tcPr>
            <w:tcW w:w="109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EBD451E" w14:textId="601FC41A"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 xml:space="preserve">1. </w:t>
            </w:r>
            <w:r w:rsidR="00F942C2">
              <w:rPr>
                <w:rFonts w:ascii="Cambria" w:eastAsia="Times New Roman" w:hAnsi="Cambria" w:cs="Calibri"/>
                <w:lang w:val="hr-HR"/>
              </w:rPr>
              <w:t>–</w:t>
            </w:r>
            <w:r w:rsidRPr="00DF4CE5">
              <w:rPr>
                <w:rFonts w:ascii="Cambria" w:eastAsia="Times New Roman" w:hAnsi="Cambria" w:cs="Calibri"/>
                <w:lang w:val="hr-HR"/>
              </w:rPr>
              <w:t xml:space="preserve"> 4.</w:t>
            </w:r>
          </w:p>
        </w:tc>
        <w:tc>
          <w:tcPr>
            <w:tcW w:w="71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E116F6E"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15</w:t>
            </w:r>
          </w:p>
        </w:tc>
        <w:tc>
          <w:tcPr>
            <w:tcW w:w="101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DECBF94"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 xml:space="preserve"> 0,5</w:t>
            </w:r>
          </w:p>
        </w:tc>
        <w:tc>
          <w:tcPr>
            <w:tcW w:w="132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E7E6AE7"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  30 %</w:t>
            </w:r>
          </w:p>
        </w:tc>
      </w:tr>
      <w:tr w:rsidR="00510729" w:rsidRPr="00DF4CE5" w14:paraId="3F442907" w14:textId="77777777" w:rsidTr="00510729">
        <w:tc>
          <w:tcPr>
            <w:tcW w:w="2629" w:type="dxa"/>
            <w:vMerge/>
            <w:tcBorders>
              <w:left w:val="single" w:sz="8" w:space="0" w:color="000000"/>
              <w:right w:val="single" w:sz="8" w:space="0" w:color="000000"/>
            </w:tcBorders>
            <w:vAlign w:val="center"/>
            <w:hideMark/>
          </w:tcPr>
          <w:p w14:paraId="35895749" w14:textId="77777777" w:rsidR="00510729" w:rsidRPr="00DF4CE5" w:rsidRDefault="00510729" w:rsidP="00510729">
            <w:pPr>
              <w:spacing w:after="0" w:line="240" w:lineRule="auto"/>
              <w:rPr>
                <w:rFonts w:ascii="Cambria" w:eastAsia="Times New Roman" w:hAnsi="Cambria" w:cs="Calibri"/>
                <w:lang w:val="hr-HR"/>
              </w:rPr>
            </w:pPr>
          </w:p>
        </w:tc>
        <w:tc>
          <w:tcPr>
            <w:tcW w:w="3681"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0E6692E" w14:textId="4116A359" w:rsidR="00510729" w:rsidRPr="00DF4CE5" w:rsidRDefault="00F942C2" w:rsidP="00510729">
            <w:pPr>
              <w:spacing w:after="0" w:line="240" w:lineRule="auto"/>
              <w:rPr>
                <w:rFonts w:ascii="Cambria" w:eastAsia="Times New Roman" w:hAnsi="Cambria" w:cs="Calibri"/>
                <w:lang w:val="hr-HR"/>
              </w:rPr>
            </w:pPr>
            <w:proofErr w:type="spellStart"/>
            <w:r>
              <w:rPr>
                <w:rFonts w:ascii="Cambria" w:eastAsia="Times New Roman" w:hAnsi="Cambria" w:cs="Calibri"/>
              </w:rPr>
              <w:t>u</w:t>
            </w:r>
            <w:r w:rsidR="00510729" w:rsidRPr="00DF4CE5">
              <w:rPr>
                <w:rFonts w:ascii="Cambria" w:eastAsia="Times New Roman" w:hAnsi="Cambria" w:cs="Calibri"/>
              </w:rPr>
              <w:t>kupno</w:t>
            </w:r>
            <w:proofErr w:type="spellEnd"/>
          </w:p>
        </w:tc>
        <w:tc>
          <w:tcPr>
            <w:tcW w:w="71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25DFC80"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60</w:t>
            </w:r>
          </w:p>
        </w:tc>
        <w:tc>
          <w:tcPr>
            <w:tcW w:w="101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AAC9ED3"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 xml:space="preserve">    2</w:t>
            </w:r>
          </w:p>
        </w:tc>
        <w:tc>
          <w:tcPr>
            <w:tcW w:w="132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B560D2C"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100 %</w:t>
            </w:r>
          </w:p>
        </w:tc>
      </w:tr>
      <w:tr w:rsidR="00510729" w:rsidRPr="00D0399C" w14:paraId="45FF5B65" w14:textId="77777777" w:rsidTr="00510729">
        <w:tc>
          <w:tcPr>
            <w:tcW w:w="2629" w:type="dxa"/>
            <w:vMerge/>
            <w:tcBorders>
              <w:left w:val="single" w:sz="8" w:space="0" w:color="000000"/>
              <w:bottom w:val="single" w:sz="8" w:space="0" w:color="000000"/>
              <w:right w:val="single" w:sz="8" w:space="0" w:color="000000"/>
            </w:tcBorders>
            <w:vAlign w:val="center"/>
          </w:tcPr>
          <w:p w14:paraId="34E6B56E" w14:textId="77777777" w:rsidR="00510729" w:rsidRPr="00DF4CE5" w:rsidRDefault="00510729" w:rsidP="00510729">
            <w:pPr>
              <w:spacing w:after="0" w:line="240" w:lineRule="auto"/>
              <w:rPr>
                <w:rFonts w:ascii="Cambria" w:eastAsia="Times New Roman" w:hAnsi="Cambria" w:cs="Calibri"/>
                <w:lang w:val="hr-HR"/>
              </w:rPr>
            </w:pPr>
          </w:p>
        </w:tc>
        <w:tc>
          <w:tcPr>
            <w:tcW w:w="6731"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1CB062B"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Dodatna pojašnjenja (kriteriji ocjenjivanja):</w:t>
            </w:r>
          </w:p>
          <w:p w14:paraId="34B864DB"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lastRenderedPageBreak/>
              <w:t>Pohađanje nastave je obvezno. Tolerira se 30% izostanaka (dakle, 4 izostanka) i njih nije potrebno opravdati.</w:t>
            </w:r>
          </w:p>
          <w:p w14:paraId="2101F91B" w14:textId="297AD74B" w:rsidR="00510729" w:rsidRPr="00DF4CE5" w:rsidRDefault="008942B3"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Aktivnost na</w:t>
            </w:r>
            <w:r w:rsidR="00510729" w:rsidRPr="00DF4CE5">
              <w:rPr>
                <w:rFonts w:ascii="Cambria" w:eastAsia="Times New Roman" w:hAnsi="Cambria" w:cs="Calibri"/>
                <w:lang w:val="hr-HR"/>
              </w:rPr>
              <w:t xml:space="preserve"> nastav</w:t>
            </w:r>
            <w:r w:rsidRPr="00DF4CE5">
              <w:rPr>
                <w:rFonts w:ascii="Cambria" w:eastAsia="Times New Roman" w:hAnsi="Cambria" w:cs="Calibri"/>
                <w:lang w:val="hr-HR"/>
              </w:rPr>
              <w:t>i</w:t>
            </w:r>
            <w:r w:rsidR="00510729" w:rsidRPr="00DF4CE5">
              <w:rPr>
                <w:rFonts w:ascii="Cambria" w:eastAsia="Times New Roman" w:hAnsi="Cambria" w:cs="Calibri"/>
                <w:lang w:val="hr-HR"/>
              </w:rPr>
              <w:t xml:space="preserve"> ocjenjuje se na sljedeći način:</w:t>
            </w:r>
          </w:p>
          <w:p w14:paraId="63BE4897"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0%   = Ne dolazi na predavanja (od 5 izostanaka nadalje)</w:t>
            </w:r>
          </w:p>
          <w:p w14:paraId="15F3A326" w14:textId="50DADA1B"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 xml:space="preserve">20% = </w:t>
            </w:r>
            <w:r w:rsidR="008942B3" w:rsidRPr="00DF4CE5">
              <w:rPr>
                <w:rFonts w:ascii="Cambria" w:eastAsia="Times New Roman" w:hAnsi="Cambria" w:cs="Calibri"/>
                <w:lang w:val="hr-HR"/>
              </w:rPr>
              <w:t>aktivan</w:t>
            </w:r>
            <w:r w:rsidRPr="00DF4CE5">
              <w:rPr>
                <w:rFonts w:ascii="Cambria" w:eastAsia="Times New Roman" w:hAnsi="Cambria" w:cs="Calibri"/>
                <w:lang w:val="hr-HR"/>
              </w:rPr>
              <w:t xml:space="preserve"> na predavanj</w:t>
            </w:r>
            <w:r w:rsidR="008942B3" w:rsidRPr="00DF4CE5">
              <w:rPr>
                <w:rFonts w:ascii="Cambria" w:eastAsia="Times New Roman" w:hAnsi="Cambria" w:cs="Calibri"/>
                <w:lang w:val="hr-HR"/>
              </w:rPr>
              <w:t>im</w:t>
            </w:r>
            <w:r w:rsidRPr="00DF4CE5">
              <w:rPr>
                <w:rFonts w:ascii="Cambria" w:eastAsia="Times New Roman" w:hAnsi="Cambria" w:cs="Calibri"/>
                <w:lang w:val="hr-HR"/>
              </w:rPr>
              <w:t>a.</w:t>
            </w:r>
          </w:p>
          <w:p w14:paraId="3EC6978F"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 xml:space="preserve">Kontinuirana provjera znanja je potrebna zbog što kvalitetnijeg usvajanja vještine sviranja i pjevanja. Studenti tijekom vježbi sviraju individualno i skupno prema uputama (provjera ljestvica i </w:t>
            </w:r>
            <w:proofErr w:type="spellStart"/>
            <w:r w:rsidRPr="00DF4CE5">
              <w:rPr>
                <w:rFonts w:ascii="Cambria" w:eastAsia="Times New Roman" w:hAnsi="Cambria" w:cs="Calibri"/>
                <w:lang w:val="hr-HR"/>
              </w:rPr>
              <w:t>navježbanih</w:t>
            </w:r>
            <w:proofErr w:type="spellEnd"/>
            <w:r w:rsidRPr="00DF4CE5">
              <w:rPr>
                <w:rFonts w:ascii="Cambria" w:eastAsia="Times New Roman" w:hAnsi="Cambria" w:cs="Calibri"/>
                <w:lang w:val="hr-HR"/>
              </w:rPr>
              <w:t xml:space="preserve"> pjesama) te pjevaju pojedinačno i skupno. Sve se ocjenjuje ocjenom od 1 do 5 te se na kraju, na osnovi svega izvježbanog izračunava srednja ocjena.</w:t>
            </w:r>
          </w:p>
          <w:p w14:paraId="63B12FF9" w14:textId="77777777" w:rsidR="00510729" w:rsidRPr="00DF4CE5" w:rsidRDefault="00510729" w:rsidP="00510729">
            <w:pPr>
              <w:spacing w:after="0" w:line="240" w:lineRule="auto"/>
              <w:rPr>
                <w:rFonts w:ascii="Cambria" w:eastAsia="Times New Roman" w:hAnsi="Cambria" w:cs="Calibri"/>
                <w:lang w:val="pl-PL"/>
              </w:rPr>
            </w:pPr>
            <w:r w:rsidRPr="00DF4CE5">
              <w:rPr>
                <w:rFonts w:ascii="Cambria" w:eastAsia="Times New Roman" w:hAnsi="Cambria" w:cs="Calibri"/>
                <w:lang w:val="pl-PL"/>
              </w:rPr>
              <w:t xml:space="preserve">  0 %  = Student nije naučio zadano gradivo</w:t>
            </w:r>
          </w:p>
          <w:p w14:paraId="1F8A5A4C" w14:textId="77777777" w:rsidR="00510729" w:rsidRPr="00DF4CE5" w:rsidRDefault="00510729" w:rsidP="00510729">
            <w:pPr>
              <w:spacing w:after="0" w:line="240" w:lineRule="auto"/>
              <w:rPr>
                <w:rFonts w:ascii="Cambria" w:eastAsia="Times New Roman" w:hAnsi="Cambria" w:cs="Calibri"/>
                <w:lang w:val="pl-PL"/>
              </w:rPr>
            </w:pPr>
            <w:r w:rsidRPr="00DF4CE5">
              <w:rPr>
                <w:rFonts w:ascii="Cambria" w:eastAsia="Times New Roman" w:hAnsi="Cambria" w:cs="Calibri"/>
                <w:lang w:val="pl-PL"/>
              </w:rPr>
              <w:t>10 %  = Student tijekom provjere ima prosjek ocjene 1,50-2,19</w:t>
            </w:r>
          </w:p>
          <w:p w14:paraId="19B6CC3C" w14:textId="77777777" w:rsidR="00510729" w:rsidRPr="00DF4CE5" w:rsidRDefault="00510729" w:rsidP="00510729">
            <w:pPr>
              <w:spacing w:after="0" w:line="240" w:lineRule="auto"/>
              <w:rPr>
                <w:rFonts w:ascii="Cambria" w:eastAsia="Times New Roman" w:hAnsi="Cambria" w:cs="Calibri"/>
                <w:lang w:val="pl-PL"/>
              </w:rPr>
            </w:pPr>
            <w:r w:rsidRPr="00DF4CE5">
              <w:rPr>
                <w:rFonts w:ascii="Cambria" w:eastAsia="Times New Roman" w:hAnsi="Cambria" w:cs="Calibri"/>
                <w:lang w:val="pl-PL"/>
              </w:rPr>
              <w:t>20 %  = Student tijekom provjere ima prosjek ocjene 2,20-2,89</w:t>
            </w:r>
          </w:p>
          <w:p w14:paraId="14C5DD3C" w14:textId="77777777" w:rsidR="00510729" w:rsidRPr="00DF4CE5" w:rsidRDefault="00510729" w:rsidP="00510729">
            <w:pPr>
              <w:spacing w:after="0" w:line="240" w:lineRule="auto"/>
              <w:rPr>
                <w:rFonts w:ascii="Cambria" w:eastAsia="Times New Roman" w:hAnsi="Cambria" w:cs="Calibri"/>
                <w:lang w:val="pl-PL"/>
              </w:rPr>
            </w:pPr>
            <w:r w:rsidRPr="00DF4CE5">
              <w:rPr>
                <w:rFonts w:ascii="Cambria" w:eastAsia="Times New Roman" w:hAnsi="Cambria" w:cs="Calibri"/>
                <w:lang w:val="pl-PL"/>
              </w:rPr>
              <w:t>30 %  = Student tijekom provjere ima prosjek ocjene 2,90-3,59</w:t>
            </w:r>
          </w:p>
          <w:p w14:paraId="05C50C8F" w14:textId="77777777" w:rsidR="00510729" w:rsidRPr="00DF4CE5" w:rsidRDefault="00510729" w:rsidP="00510729">
            <w:pPr>
              <w:spacing w:after="0" w:line="240" w:lineRule="auto"/>
              <w:rPr>
                <w:rFonts w:ascii="Cambria" w:eastAsia="Times New Roman" w:hAnsi="Cambria" w:cs="Calibri"/>
                <w:lang w:val="pl-PL"/>
              </w:rPr>
            </w:pPr>
            <w:r w:rsidRPr="00DF4CE5">
              <w:rPr>
                <w:rFonts w:ascii="Cambria" w:eastAsia="Times New Roman" w:hAnsi="Cambria" w:cs="Calibri"/>
                <w:lang w:val="pl-PL"/>
              </w:rPr>
              <w:t>40 %  = Student tijekom provjere ima prosjek ocjene 3,60-4,29</w:t>
            </w:r>
          </w:p>
          <w:p w14:paraId="737F818B" w14:textId="77777777" w:rsidR="00510729" w:rsidRPr="00DF4CE5" w:rsidRDefault="00510729" w:rsidP="00510729">
            <w:pPr>
              <w:spacing w:after="0" w:line="240" w:lineRule="auto"/>
              <w:rPr>
                <w:rFonts w:ascii="Cambria" w:eastAsia="Times New Roman" w:hAnsi="Cambria" w:cs="Calibri"/>
                <w:lang w:val="pl-PL"/>
              </w:rPr>
            </w:pPr>
            <w:r w:rsidRPr="00DF4CE5">
              <w:rPr>
                <w:rFonts w:ascii="Cambria" w:eastAsia="Times New Roman" w:hAnsi="Cambria" w:cs="Calibri"/>
                <w:lang w:val="pl-PL"/>
              </w:rPr>
              <w:t>50 %  = Student tijekom provjere ima prosjek ocjene 4,30-5,00</w:t>
            </w:r>
          </w:p>
          <w:p w14:paraId="7D99A927" w14:textId="505A845A"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 xml:space="preserve">Usmeni ispit </w:t>
            </w:r>
            <w:r w:rsidR="00F942C2">
              <w:rPr>
                <w:rFonts w:ascii="Cambria" w:eastAsia="Times New Roman" w:hAnsi="Cambria" w:cs="Calibri"/>
                <w:lang w:val="hr-HR"/>
              </w:rPr>
              <w:t>–</w:t>
            </w:r>
            <w:r w:rsidRPr="00DF4CE5">
              <w:rPr>
                <w:rFonts w:ascii="Cambria" w:eastAsia="Times New Roman" w:hAnsi="Cambria" w:cs="Calibri"/>
                <w:lang w:val="hr-HR"/>
              </w:rPr>
              <w:t xml:space="preserve"> ocjenjuje se sviranje ljestvice, skladbu koju bira student i 2 skladbe koje bira nastavnik od zadanih skladbi za vježbanje.  Svira se objema rukama zajedno.  Sva tri elementa moraju biti pozitivno odsvirana za položiti usmeni dio ispita. Ocjenjuje se ocjenama od 1 do 5.</w:t>
            </w:r>
          </w:p>
          <w:p w14:paraId="0AFB4085"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0%    = ne vlada vještinom sviranja, nije savladana vještina čitanja notnog pisma, nije odsvirana tražena skladba.</w:t>
            </w:r>
          </w:p>
          <w:p w14:paraId="63E6F1D3"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7,5% = srednja ocjena svih elemenata je od 2 do 2,4</w:t>
            </w:r>
          </w:p>
          <w:p w14:paraId="2DD81EBE"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15% = srednja ocjena svih elemenata je do 3,4</w:t>
            </w:r>
          </w:p>
          <w:p w14:paraId="572038DD"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22,5% = srednja ocjena svih elemenata je do 4,4</w:t>
            </w:r>
          </w:p>
          <w:p w14:paraId="0A3247F6"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30% = srednja ocjena svih elemenata je od 4,5.</w:t>
            </w:r>
          </w:p>
        </w:tc>
      </w:tr>
      <w:tr w:rsidR="00510729" w:rsidRPr="00D0399C" w14:paraId="62B39961" w14:textId="77777777" w:rsidTr="00510729">
        <w:tc>
          <w:tcPr>
            <w:tcW w:w="26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061FFEA"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lastRenderedPageBreak/>
              <w:t>Studentske obveze</w:t>
            </w:r>
          </w:p>
        </w:tc>
        <w:tc>
          <w:tcPr>
            <w:tcW w:w="6731"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AA3A61F" w14:textId="0944AB54" w:rsidR="00510729" w:rsidRPr="00DF4CE5" w:rsidRDefault="00F942C2" w:rsidP="00510729">
            <w:pPr>
              <w:spacing w:after="0" w:line="240" w:lineRule="auto"/>
              <w:rPr>
                <w:rFonts w:ascii="Cambria" w:eastAsia="Times New Roman" w:hAnsi="Cambria" w:cs="Calibri"/>
                <w:lang w:val="pl-PL"/>
              </w:rPr>
            </w:pPr>
            <w:r>
              <w:rPr>
                <w:rFonts w:ascii="Cambria" w:eastAsia="Times New Roman" w:hAnsi="Cambria" w:cs="Calibri"/>
                <w:lang w:val="pl-PL"/>
              </w:rPr>
              <w:t>Da</w:t>
            </w:r>
            <w:r w:rsidR="00510729" w:rsidRPr="00DF4CE5">
              <w:rPr>
                <w:rFonts w:ascii="Cambria" w:eastAsia="Times New Roman" w:hAnsi="Cambria" w:cs="Calibri"/>
                <w:lang w:val="pl-PL"/>
              </w:rPr>
              <w:t xml:space="preserve"> položi kolegij, student/studentica mora:</w:t>
            </w:r>
          </w:p>
          <w:p w14:paraId="7328E5AD" w14:textId="13545CEF" w:rsidR="00510729" w:rsidRPr="00DF4CE5" w:rsidRDefault="00510729" w:rsidP="00510729">
            <w:pPr>
              <w:spacing w:after="0" w:line="240" w:lineRule="auto"/>
              <w:rPr>
                <w:rFonts w:ascii="Cambria" w:eastAsia="Times New Roman" w:hAnsi="Cambria" w:cs="Calibri"/>
                <w:lang w:val="pl-PL"/>
              </w:rPr>
            </w:pPr>
            <w:r w:rsidRPr="00DF4CE5">
              <w:rPr>
                <w:rFonts w:ascii="Cambria" w:eastAsia="Times New Roman" w:hAnsi="Cambria" w:cs="Calibri"/>
                <w:lang w:val="pl-PL"/>
              </w:rPr>
              <w:t xml:space="preserve">1. pohađati </w:t>
            </w:r>
            <w:r w:rsidR="00F942C2">
              <w:rPr>
                <w:rFonts w:ascii="Cambria" w:eastAsia="Times New Roman" w:hAnsi="Cambria" w:cs="Calibri"/>
                <w:lang w:val="pl-PL"/>
              </w:rPr>
              <w:t xml:space="preserve">i aktivno sudjelovati u </w:t>
            </w:r>
            <w:r w:rsidRPr="00DF4CE5">
              <w:rPr>
                <w:rFonts w:ascii="Cambria" w:eastAsia="Times New Roman" w:hAnsi="Cambria" w:cs="Calibri"/>
                <w:lang w:val="pl-PL"/>
              </w:rPr>
              <w:t>nastav</w:t>
            </w:r>
            <w:r w:rsidR="00F942C2">
              <w:rPr>
                <w:rFonts w:ascii="Cambria" w:eastAsia="Times New Roman" w:hAnsi="Cambria" w:cs="Calibri"/>
                <w:lang w:val="pl-PL"/>
              </w:rPr>
              <w:t>i</w:t>
            </w:r>
          </w:p>
          <w:p w14:paraId="030005C7" w14:textId="77777777" w:rsidR="00510729" w:rsidRPr="00DF4CE5" w:rsidRDefault="00510729" w:rsidP="00510729">
            <w:pPr>
              <w:spacing w:after="0" w:line="240" w:lineRule="auto"/>
              <w:rPr>
                <w:rFonts w:ascii="Cambria" w:eastAsia="Times New Roman" w:hAnsi="Cambria" w:cs="Calibri"/>
                <w:lang w:val="pl-PL"/>
              </w:rPr>
            </w:pPr>
            <w:r w:rsidRPr="00DF4CE5">
              <w:rPr>
                <w:rFonts w:ascii="Cambria" w:eastAsia="Times New Roman" w:hAnsi="Cambria" w:cs="Calibri"/>
                <w:lang w:val="pl-PL"/>
              </w:rPr>
              <w:t>2. svirati zadane vježbe</w:t>
            </w:r>
          </w:p>
          <w:p w14:paraId="32EA545F" w14:textId="49C03CE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pl-PL"/>
              </w:rPr>
              <w:t>3. pristupiti usmenom ispitu</w:t>
            </w:r>
            <w:r w:rsidR="00F942C2">
              <w:rPr>
                <w:rFonts w:ascii="Cambria" w:eastAsia="Times New Roman" w:hAnsi="Cambria" w:cs="Calibri"/>
                <w:lang w:val="pl-PL"/>
              </w:rPr>
              <w:t xml:space="preserve">. </w:t>
            </w:r>
          </w:p>
        </w:tc>
      </w:tr>
      <w:tr w:rsidR="00510729" w:rsidRPr="00D0399C" w14:paraId="18047929" w14:textId="77777777" w:rsidTr="00510729">
        <w:tc>
          <w:tcPr>
            <w:tcW w:w="26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F0FF90E" w14:textId="77777777" w:rsidR="00510729" w:rsidRPr="00DF4CE5" w:rsidRDefault="00510729" w:rsidP="00510729">
            <w:pPr>
              <w:spacing w:after="0" w:line="240" w:lineRule="auto"/>
              <w:rPr>
                <w:rFonts w:ascii="Cambria" w:eastAsia="Times New Roman" w:hAnsi="Cambria" w:cs="Calibri"/>
                <w:lang w:val="hr-HR"/>
              </w:rPr>
            </w:pPr>
            <w:proofErr w:type="spellStart"/>
            <w:r w:rsidRPr="00DF4CE5">
              <w:rPr>
                <w:rFonts w:ascii="Cambria" w:eastAsia="Times New Roman" w:hAnsi="Cambria" w:cs="Calibri"/>
              </w:rPr>
              <w:t>Rokovi</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ispita</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i</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kolokvija</w:t>
            </w:r>
            <w:proofErr w:type="spellEnd"/>
          </w:p>
        </w:tc>
        <w:tc>
          <w:tcPr>
            <w:tcW w:w="6731"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2D24742"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Rokovi se objavljuju na mrežnim stranicama Fakulteta za odgojne i obrazovne znanosti i u ISVU.</w:t>
            </w:r>
          </w:p>
        </w:tc>
      </w:tr>
      <w:tr w:rsidR="00510729" w:rsidRPr="00DF4CE5" w14:paraId="40644435" w14:textId="77777777" w:rsidTr="00510729">
        <w:tc>
          <w:tcPr>
            <w:tcW w:w="26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EA8C6A0"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 xml:space="preserve">Ostale važne činjenice </w:t>
            </w:r>
            <w:proofErr w:type="spellStart"/>
            <w:r w:rsidRPr="00DF4CE5">
              <w:rPr>
                <w:rFonts w:ascii="Cambria" w:eastAsia="Times New Roman" w:hAnsi="Cambria" w:cs="Calibri"/>
                <w:lang w:val="it-IT"/>
              </w:rPr>
              <w:t>vezaneuzkolegij</w:t>
            </w:r>
            <w:proofErr w:type="spellEnd"/>
          </w:p>
        </w:tc>
        <w:tc>
          <w:tcPr>
            <w:tcW w:w="6731"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BD8D2D3"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Položeni ispit iz Glazbenog praktikuma I. uvjet je za polaganje kolegija Glazbenog praktikuma II.</w:t>
            </w:r>
          </w:p>
          <w:p w14:paraId="381CB54E" w14:textId="01A597F6"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 xml:space="preserve">U slučaju održavanja nastave na daljinu, moguće je odstupanje u: mjestu izvođenja kolegija, provedbi aktivnosti, metoda tumačenja i poučavanja i načinima vrednovanja, studentskim obvezama i dostupnoj literaturi. O tome će nositeljica i </w:t>
            </w:r>
            <w:r w:rsidR="00F942C2">
              <w:rPr>
                <w:rFonts w:ascii="Cambria" w:eastAsia="Times New Roman" w:hAnsi="Cambria" w:cs="Calibri"/>
                <w:lang w:val="hr-HR"/>
              </w:rPr>
              <w:t>suradnik</w:t>
            </w:r>
            <w:r w:rsidRPr="00DF4CE5">
              <w:rPr>
                <w:rFonts w:ascii="Cambria" w:eastAsia="Times New Roman" w:hAnsi="Cambria" w:cs="Calibri"/>
                <w:lang w:val="hr-HR"/>
              </w:rPr>
              <w:t xml:space="preserve"> obavijestiti studente i studentice kad se nastava na daljinu počne održavati. Ishodi učenja ostaju nepromijenjeni.</w:t>
            </w:r>
          </w:p>
        </w:tc>
      </w:tr>
      <w:tr w:rsidR="00510729" w:rsidRPr="00DF4CE5" w14:paraId="03117E63" w14:textId="77777777" w:rsidTr="00E91AAA">
        <w:trPr>
          <w:trHeight w:val="334"/>
        </w:trPr>
        <w:tc>
          <w:tcPr>
            <w:tcW w:w="26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1997B0C"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Literatura</w:t>
            </w:r>
          </w:p>
        </w:tc>
        <w:tc>
          <w:tcPr>
            <w:tcW w:w="6731"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5812545F"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 xml:space="preserve">Obvezna: </w:t>
            </w:r>
          </w:p>
          <w:p w14:paraId="523BB89F"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 xml:space="preserve">1. Jurišić, G., Sam </w:t>
            </w:r>
            <w:proofErr w:type="spellStart"/>
            <w:r w:rsidRPr="00DF4CE5">
              <w:rPr>
                <w:rFonts w:ascii="Cambria" w:eastAsia="Times New Roman" w:hAnsi="Cambria" w:cs="Calibri"/>
                <w:lang w:val="hr-HR"/>
              </w:rPr>
              <w:t>Palmić</w:t>
            </w:r>
            <w:proofErr w:type="spellEnd"/>
            <w:r w:rsidRPr="00DF4CE5">
              <w:rPr>
                <w:rFonts w:ascii="Cambria" w:eastAsia="Times New Roman" w:hAnsi="Cambria" w:cs="Calibri"/>
                <w:lang w:val="hr-HR"/>
              </w:rPr>
              <w:t xml:space="preserve">, R. (2002). Brojalica, snažni glazbeni poticaj. Rijeka: </w:t>
            </w:r>
            <w:proofErr w:type="spellStart"/>
            <w:r w:rsidRPr="00DF4CE5">
              <w:rPr>
                <w:rFonts w:ascii="Cambria" w:eastAsia="Times New Roman" w:hAnsi="Cambria" w:cs="Calibri"/>
                <w:lang w:val="hr-HR"/>
              </w:rPr>
              <w:t>Adamić</w:t>
            </w:r>
            <w:proofErr w:type="spellEnd"/>
          </w:p>
          <w:p w14:paraId="58268C1E"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 xml:space="preserve">2. </w:t>
            </w:r>
            <w:proofErr w:type="spellStart"/>
            <w:r w:rsidRPr="00DF4CE5">
              <w:rPr>
                <w:rFonts w:ascii="Cambria" w:eastAsia="Times New Roman" w:hAnsi="Cambria" w:cs="Calibri"/>
                <w:lang w:val="hr-HR"/>
              </w:rPr>
              <w:t>Riman</w:t>
            </w:r>
            <w:proofErr w:type="spellEnd"/>
            <w:r w:rsidRPr="00DF4CE5">
              <w:rPr>
                <w:rFonts w:ascii="Cambria" w:eastAsia="Times New Roman" w:hAnsi="Cambria" w:cs="Calibri"/>
                <w:lang w:val="hr-HR"/>
              </w:rPr>
              <w:t>, M. (2001). Zvončići. Rijeka: Izdavački centar Rijeka.</w:t>
            </w:r>
          </w:p>
          <w:p w14:paraId="59DA4B5D"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 xml:space="preserve">3. Sam, R. (1992). Sviramo uz pjesmu. Rijeka: Glosa. </w:t>
            </w:r>
          </w:p>
          <w:p w14:paraId="268A2147"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Izborna:</w:t>
            </w:r>
          </w:p>
          <w:p w14:paraId="1C2B6940"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 xml:space="preserve">1. </w:t>
            </w:r>
            <w:proofErr w:type="spellStart"/>
            <w:r w:rsidRPr="00DF4CE5">
              <w:rPr>
                <w:rFonts w:ascii="Cambria" w:eastAsia="Times New Roman" w:hAnsi="Cambria" w:cs="Calibri"/>
                <w:lang w:val="hr-HR"/>
              </w:rPr>
              <w:t>Ashworth</w:t>
            </w:r>
            <w:proofErr w:type="spellEnd"/>
            <w:r w:rsidRPr="00DF4CE5">
              <w:rPr>
                <w:rFonts w:ascii="Cambria" w:eastAsia="Times New Roman" w:hAnsi="Cambria" w:cs="Calibri"/>
                <w:lang w:val="hr-HR"/>
              </w:rPr>
              <w:t>, S. (2011). Naučite svirati klavijature. Zagreb: Mozaik knjiga.</w:t>
            </w:r>
          </w:p>
          <w:p w14:paraId="48718887"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 xml:space="preserve">2. </w:t>
            </w:r>
            <w:proofErr w:type="spellStart"/>
            <w:r w:rsidRPr="00DF4CE5">
              <w:rPr>
                <w:rFonts w:ascii="Cambria" w:eastAsia="Times New Roman" w:hAnsi="Cambria" w:cs="Calibri"/>
                <w:lang w:val="hr-HR"/>
              </w:rPr>
              <w:t>Prašelj</w:t>
            </w:r>
            <w:proofErr w:type="spellEnd"/>
            <w:r w:rsidRPr="00DF4CE5">
              <w:rPr>
                <w:rFonts w:ascii="Cambria" w:eastAsia="Times New Roman" w:hAnsi="Cambria" w:cs="Calibri"/>
                <w:lang w:val="hr-HR"/>
              </w:rPr>
              <w:t>, D.(</w:t>
            </w:r>
            <w:proofErr w:type="spellStart"/>
            <w:r w:rsidRPr="00DF4CE5">
              <w:rPr>
                <w:rFonts w:ascii="Cambria" w:eastAsia="Times New Roman" w:hAnsi="Cambria" w:cs="Calibri"/>
                <w:lang w:val="hr-HR"/>
              </w:rPr>
              <w:t>prir</w:t>
            </w:r>
            <w:proofErr w:type="spellEnd"/>
            <w:r w:rsidRPr="00DF4CE5">
              <w:rPr>
                <w:rFonts w:ascii="Cambria" w:eastAsia="Times New Roman" w:hAnsi="Cambria" w:cs="Calibri"/>
                <w:lang w:val="hr-HR"/>
              </w:rPr>
              <w:t xml:space="preserve">.)(1990). Ivan Matetić-Ronjgov: </w:t>
            </w:r>
            <w:proofErr w:type="spellStart"/>
            <w:r w:rsidRPr="00DF4CE5">
              <w:rPr>
                <w:rFonts w:ascii="Cambria" w:eastAsia="Times New Roman" w:hAnsi="Cambria" w:cs="Calibri"/>
                <w:lang w:val="hr-HR"/>
              </w:rPr>
              <w:t>Zaspal</w:t>
            </w:r>
            <w:proofErr w:type="spellEnd"/>
            <w:r w:rsidRPr="00DF4CE5">
              <w:rPr>
                <w:rFonts w:ascii="Cambria" w:eastAsia="Times New Roman" w:hAnsi="Cambria" w:cs="Calibri"/>
                <w:lang w:val="hr-HR"/>
              </w:rPr>
              <w:t xml:space="preserve"> Pave, Rijeka : Izdavački centar Rijeka i KPD „Ivan Matetić-Ronjgov“</w:t>
            </w:r>
          </w:p>
          <w:p w14:paraId="468F796F"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3. Petrović, T. (2007). Osnove teorije glazbe. Zagreb: Hrvatsko društvo glazbenih teoretičara.</w:t>
            </w:r>
          </w:p>
          <w:p w14:paraId="093281BA"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lastRenderedPageBreak/>
              <w:t>4. Udžbenici glazbene kulture koji se primjenjuju za 1.-4. razred osnovne škole</w:t>
            </w:r>
          </w:p>
          <w:p w14:paraId="71A76D59"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 xml:space="preserve">Priručna: </w:t>
            </w:r>
          </w:p>
          <w:p w14:paraId="3F1AD2B0" w14:textId="48C37356"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razne pjesmarice</w:t>
            </w:r>
          </w:p>
        </w:tc>
      </w:tr>
    </w:tbl>
    <w:p w14:paraId="512A4447" w14:textId="77777777" w:rsidR="00510729" w:rsidRPr="00DF4CE5" w:rsidRDefault="00510729" w:rsidP="00510729">
      <w:pPr>
        <w:spacing w:after="0" w:line="240" w:lineRule="auto"/>
        <w:rPr>
          <w:rFonts w:ascii="Cambria" w:eastAsia="Cambria" w:hAnsi="Cambria" w:cs="Cambria"/>
          <w:lang w:val="hr-HR"/>
        </w:rPr>
      </w:pPr>
    </w:p>
    <w:p w14:paraId="5D8A26FE" w14:textId="77777777" w:rsidR="00510729" w:rsidRPr="00DF4CE5" w:rsidRDefault="00510729" w:rsidP="00510729">
      <w:pPr>
        <w:spacing w:after="0" w:line="240" w:lineRule="auto"/>
        <w:rPr>
          <w:rFonts w:ascii="Cambria" w:eastAsia="Cambria" w:hAnsi="Cambria" w:cs="Cambria"/>
          <w:lang w:val="hr-HR"/>
        </w:rPr>
      </w:pPr>
    </w:p>
    <w:p w14:paraId="1806CEE5" w14:textId="77777777" w:rsidR="00510729" w:rsidRPr="00DF4CE5" w:rsidRDefault="00510729" w:rsidP="00510729">
      <w:pPr>
        <w:spacing w:after="0" w:line="240" w:lineRule="auto"/>
        <w:rPr>
          <w:rFonts w:ascii="Cambria" w:eastAsia="Cambria" w:hAnsi="Cambria" w:cs="Cambria"/>
          <w:lang w:val="hr-HR"/>
        </w:rPr>
      </w:pPr>
    </w:p>
    <w:p w14:paraId="583BDAE4" w14:textId="77777777" w:rsidR="00510729" w:rsidRPr="00DF4CE5" w:rsidRDefault="00510729" w:rsidP="00510729">
      <w:pPr>
        <w:spacing w:after="0" w:line="240" w:lineRule="auto"/>
        <w:rPr>
          <w:rFonts w:ascii="Cambria" w:eastAsia="Cambria" w:hAnsi="Cambria" w:cs="Cambria"/>
          <w:lang w:val="hr-HR"/>
        </w:rPr>
      </w:pPr>
    </w:p>
    <w:p w14:paraId="0B494369" w14:textId="77777777" w:rsidR="00510729" w:rsidRPr="00DF4CE5" w:rsidRDefault="00510729" w:rsidP="00510729">
      <w:pPr>
        <w:spacing w:after="0" w:line="240" w:lineRule="auto"/>
        <w:rPr>
          <w:rFonts w:ascii="Cambria" w:eastAsia="Cambria" w:hAnsi="Cambria" w:cs="Cambria"/>
          <w:lang w:val="hr-HR"/>
        </w:rPr>
      </w:pPr>
    </w:p>
    <w:p w14:paraId="14ABB9CF" w14:textId="77777777" w:rsidR="00510729" w:rsidRPr="00DF4CE5" w:rsidRDefault="00510729" w:rsidP="00510729">
      <w:pPr>
        <w:spacing w:after="0" w:line="240" w:lineRule="auto"/>
        <w:rPr>
          <w:rFonts w:ascii="Cambria" w:eastAsia="Cambria" w:hAnsi="Cambria" w:cs="Cambria"/>
          <w:lang w:val="hr-HR"/>
        </w:rPr>
      </w:pPr>
    </w:p>
    <w:p w14:paraId="1B04098D" w14:textId="77777777" w:rsidR="00510729" w:rsidRPr="00DF4CE5" w:rsidRDefault="00510729" w:rsidP="00510729">
      <w:pPr>
        <w:spacing w:after="0" w:line="240" w:lineRule="auto"/>
        <w:rPr>
          <w:rFonts w:ascii="Cambria" w:eastAsia="Cambria" w:hAnsi="Cambria" w:cs="Cambria"/>
          <w:lang w:val="hr-HR"/>
        </w:rPr>
      </w:pPr>
    </w:p>
    <w:p w14:paraId="04EF276A" w14:textId="77777777" w:rsidR="00510729" w:rsidRPr="00DF4CE5" w:rsidRDefault="00510729" w:rsidP="00510729">
      <w:pPr>
        <w:spacing w:after="0" w:line="240" w:lineRule="auto"/>
        <w:rPr>
          <w:rFonts w:ascii="Cambria" w:eastAsia="Cambria" w:hAnsi="Cambria" w:cs="Cambria"/>
          <w:lang w:val="hr-HR"/>
        </w:rPr>
      </w:pPr>
    </w:p>
    <w:p w14:paraId="65C7C208" w14:textId="77777777" w:rsidR="00510729" w:rsidRPr="00DF4CE5" w:rsidRDefault="00510729" w:rsidP="00510729">
      <w:pPr>
        <w:spacing w:after="0" w:line="240" w:lineRule="auto"/>
        <w:rPr>
          <w:rFonts w:ascii="Cambria" w:eastAsia="Cambria" w:hAnsi="Cambria" w:cs="Cambria"/>
          <w:lang w:val="hr-HR"/>
        </w:rPr>
      </w:pPr>
    </w:p>
    <w:p w14:paraId="3B6B9369" w14:textId="77777777" w:rsidR="00510729" w:rsidRPr="00DF4CE5" w:rsidRDefault="00510729" w:rsidP="00510729">
      <w:pPr>
        <w:spacing w:after="0" w:line="240" w:lineRule="auto"/>
        <w:rPr>
          <w:rFonts w:ascii="Cambria" w:eastAsia="Cambria" w:hAnsi="Cambria" w:cs="Cambria"/>
          <w:lang w:val="hr-HR"/>
        </w:rPr>
      </w:pPr>
    </w:p>
    <w:p w14:paraId="2902E934" w14:textId="77777777" w:rsidR="00510729" w:rsidRPr="00DF4CE5" w:rsidRDefault="00510729" w:rsidP="00510729">
      <w:pPr>
        <w:spacing w:after="0" w:line="240" w:lineRule="auto"/>
        <w:rPr>
          <w:rFonts w:ascii="Cambria" w:eastAsia="Cambria" w:hAnsi="Cambria" w:cs="Cambria"/>
          <w:lang w:val="hr-HR"/>
        </w:rPr>
      </w:pPr>
    </w:p>
    <w:p w14:paraId="6FB9435C" w14:textId="77777777" w:rsidR="00510729" w:rsidRPr="00DF4CE5" w:rsidRDefault="00510729" w:rsidP="00510729">
      <w:pPr>
        <w:spacing w:after="0" w:line="240" w:lineRule="auto"/>
        <w:rPr>
          <w:rFonts w:ascii="Cambria" w:eastAsia="Cambria" w:hAnsi="Cambria" w:cs="Cambria"/>
          <w:lang w:val="hr-HR"/>
        </w:rPr>
      </w:pPr>
    </w:p>
    <w:p w14:paraId="315A0799" w14:textId="77777777" w:rsidR="00510729" w:rsidRPr="00DF4CE5" w:rsidRDefault="00510729" w:rsidP="00510729">
      <w:pPr>
        <w:spacing w:after="0" w:line="240" w:lineRule="auto"/>
        <w:rPr>
          <w:rFonts w:ascii="Cambria" w:eastAsia="Cambria" w:hAnsi="Cambria" w:cs="Cambria"/>
          <w:lang w:val="hr-HR"/>
        </w:rPr>
      </w:pPr>
    </w:p>
    <w:p w14:paraId="65E25711" w14:textId="77777777" w:rsidR="00510729" w:rsidRPr="00DF4CE5" w:rsidRDefault="00510729" w:rsidP="00510729">
      <w:pPr>
        <w:spacing w:after="0" w:line="240" w:lineRule="auto"/>
        <w:rPr>
          <w:rFonts w:ascii="Cambria" w:eastAsia="Cambria" w:hAnsi="Cambria" w:cs="Cambria"/>
          <w:lang w:val="hr-HR"/>
        </w:rPr>
      </w:pPr>
    </w:p>
    <w:p w14:paraId="373302E4" w14:textId="1864A52D" w:rsidR="00510729" w:rsidRPr="00DF4CE5" w:rsidRDefault="00510729" w:rsidP="00510729">
      <w:pPr>
        <w:spacing w:after="0" w:line="240" w:lineRule="auto"/>
        <w:rPr>
          <w:rFonts w:ascii="Cambria" w:eastAsia="Cambria" w:hAnsi="Cambria" w:cs="Cambria"/>
          <w:lang w:val="hr-HR"/>
        </w:rPr>
      </w:pPr>
    </w:p>
    <w:p w14:paraId="68216991" w14:textId="64DBBEAF" w:rsidR="00DC4673" w:rsidRPr="00DF4CE5" w:rsidRDefault="00DC4673" w:rsidP="00510729">
      <w:pPr>
        <w:spacing w:after="0" w:line="240" w:lineRule="auto"/>
        <w:rPr>
          <w:rFonts w:ascii="Cambria" w:eastAsia="Cambria" w:hAnsi="Cambria" w:cs="Cambria"/>
          <w:lang w:val="hr-HR"/>
        </w:rPr>
      </w:pPr>
    </w:p>
    <w:p w14:paraId="5D2F25B3" w14:textId="74C633F8" w:rsidR="00DC4673" w:rsidRPr="00DF4CE5" w:rsidRDefault="00DC4673" w:rsidP="00510729">
      <w:pPr>
        <w:spacing w:after="0" w:line="240" w:lineRule="auto"/>
        <w:rPr>
          <w:rFonts w:ascii="Cambria" w:eastAsia="Cambria" w:hAnsi="Cambria" w:cs="Cambria"/>
          <w:lang w:val="hr-HR"/>
        </w:rPr>
      </w:pPr>
    </w:p>
    <w:p w14:paraId="72C4992B" w14:textId="7B34EBFF" w:rsidR="00DC4673" w:rsidRPr="00DF4CE5" w:rsidRDefault="00DC4673" w:rsidP="00510729">
      <w:pPr>
        <w:spacing w:after="0" w:line="240" w:lineRule="auto"/>
        <w:rPr>
          <w:rFonts w:ascii="Cambria" w:eastAsia="Cambria" w:hAnsi="Cambria" w:cs="Cambria"/>
          <w:lang w:val="hr-HR"/>
        </w:rPr>
      </w:pPr>
    </w:p>
    <w:p w14:paraId="384E8CB3" w14:textId="38787AA1" w:rsidR="00DC4673" w:rsidRPr="00DF4CE5" w:rsidRDefault="00DC4673" w:rsidP="00510729">
      <w:pPr>
        <w:spacing w:after="0" w:line="240" w:lineRule="auto"/>
        <w:rPr>
          <w:rFonts w:ascii="Cambria" w:eastAsia="Cambria" w:hAnsi="Cambria" w:cs="Cambria"/>
          <w:lang w:val="hr-HR"/>
        </w:rPr>
      </w:pPr>
    </w:p>
    <w:p w14:paraId="1FF33ACC" w14:textId="7F8C19FF" w:rsidR="00510729" w:rsidRPr="00DF4CE5" w:rsidRDefault="00E91AAA" w:rsidP="00F942C2">
      <w:pPr>
        <w:rPr>
          <w:rFonts w:ascii="Cambria" w:eastAsia="Cambria" w:hAnsi="Cambria" w:cs="Cambria"/>
          <w:lang w:val="hr-HR"/>
        </w:rPr>
      </w:pPr>
      <w:r>
        <w:rPr>
          <w:rFonts w:ascii="Cambria" w:eastAsia="Cambria" w:hAnsi="Cambria" w:cs="Cambria"/>
          <w:lang w:val="hr-HR"/>
        </w:rPr>
        <w:br w:type="page"/>
      </w:r>
    </w:p>
    <w:tbl>
      <w:tblPr>
        <w:tblW w:w="5000" w:type="pct"/>
        <w:tblLayout w:type="fixed"/>
        <w:tblCellMar>
          <w:left w:w="0" w:type="dxa"/>
          <w:right w:w="0" w:type="dxa"/>
        </w:tblCellMar>
        <w:tblLook w:val="0000" w:firstRow="0" w:lastRow="0" w:firstColumn="0" w:lastColumn="0" w:noHBand="0" w:noVBand="0"/>
      </w:tblPr>
      <w:tblGrid>
        <w:gridCol w:w="2279"/>
        <w:gridCol w:w="3204"/>
        <w:gridCol w:w="105"/>
        <w:gridCol w:w="1167"/>
        <w:gridCol w:w="297"/>
        <w:gridCol w:w="470"/>
        <w:gridCol w:w="1084"/>
        <w:gridCol w:w="1414"/>
      </w:tblGrid>
      <w:tr w:rsidR="00510729" w:rsidRPr="00DF4CE5" w14:paraId="58A99033" w14:textId="77777777" w:rsidTr="00510729">
        <w:tc>
          <w:tcPr>
            <w:tcW w:w="9360"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123776E" w14:textId="77777777" w:rsidR="00510729" w:rsidRPr="00DF4CE5" w:rsidRDefault="00510729" w:rsidP="00510729">
            <w:pPr>
              <w:spacing w:after="0" w:line="240" w:lineRule="auto"/>
              <w:jc w:val="right"/>
              <w:rPr>
                <w:rFonts w:ascii="Cambria" w:eastAsia="Times New Roman" w:hAnsi="Cambria" w:cs="Calibri"/>
                <w:b/>
                <w:lang w:val="hr-HR"/>
              </w:rPr>
            </w:pPr>
            <w:r w:rsidRPr="00DF4CE5">
              <w:rPr>
                <w:rFonts w:ascii="Cambria" w:eastAsia="Times New Roman" w:hAnsi="Cambria" w:cs="Calibri"/>
                <w:b/>
                <w:lang w:val="hr-HR"/>
              </w:rPr>
              <w:lastRenderedPageBreak/>
              <w:t>IZVEDBENI PLAN NASTAVE KOLEGIJA</w:t>
            </w:r>
          </w:p>
        </w:tc>
      </w:tr>
      <w:tr w:rsidR="00510729" w:rsidRPr="00DF4CE5" w14:paraId="3F2225FB" w14:textId="77777777" w:rsidTr="00510729">
        <w:tc>
          <w:tcPr>
            <w:tcW w:w="21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C0DDB2D"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Kod i naziv kolegija</w:t>
            </w:r>
          </w:p>
        </w:tc>
        <w:tc>
          <w:tcPr>
            <w:tcW w:w="7231"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A9E47B5"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42327</w:t>
            </w:r>
          </w:p>
          <w:p w14:paraId="6531B60E" w14:textId="4CF43BB5"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Kineziološka kultura III</w:t>
            </w:r>
          </w:p>
        </w:tc>
      </w:tr>
      <w:tr w:rsidR="00510729" w:rsidRPr="00DF4CE5" w14:paraId="7AA91D1F" w14:textId="77777777" w:rsidTr="00510729">
        <w:tc>
          <w:tcPr>
            <w:tcW w:w="21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C17E16E" w14:textId="2E424122"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Nastavni</w:t>
            </w:r>
            <w:r w:rsidR="00F942C2">
              <w:rPr>
                <w:rFonts w:ascii="Cambria" w:eastAsia="Times New Roman" w:hAnsi="Cambria" w:cs="Calibri"/>
                <w:lang w:val="hr-HR"/>
              </w:rPr>
              <w:t>ca</w:t>
            </w:r>
          </w:p>
          <w:p w14:paraId="5B300B3B"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Suradnik</w:t>
            </w:r>
          </w:p>
        </w:tc>
        <w:tc>
          <w:tcPr>
            <w:tcW w:w="7231"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D2BC134" w14:textId="2A302496" w:rsidR="00510729" w:rsidRPr="00DF4CE5" w:rsidRDefault="00E91AAA" w:rsidP="00510729">
            <w:pPr>
              <w:spacing w:after="0" w:line="240" w:lineRule="auto"/>
              <w:rPr>
                <w:rFonts w:ascii="Cambria" w:eastAsia="Times New Roman" w:hAnsi="Cambria" w:cs="Calibri"/>
                <w:color w:val="0000FF"/>
                <w:u w:val="single"/>
                <w:lang w:val="hr-HR"/>
              </w:rPr>
            </w:pPr>
            <w:r>
              <w:rPr>
                <w:rFonts w:ascii="Cambria" w:eastAsia="Times New Roman" w:hAnsi="Cambria" w:cs="Calibri"/>
                <w:color w:val="0000FF"/>
                <w:u w:val="single"/>
                <w:lang w:val="hr-HR"/>
              </w:rPr>
              <w:t>P</w:t>
            </w:r>
            <w:r w:rsidR="00510729" w:rsidRPr="00DF4CE5">
              <w:rPr>
                <w:rFonts w:ascii="Cambria" w:eastAsia="Times New Roman" w:hAnsi="Cambria" w:cs="Calibri"/>
                <w:color w:val="0000FF"/>
                <w:u w:val="single"/>
                <w:lang w:val="hr-HR"/>
              </w:rPr>
              <w:t>rof. dr. sc. Iva Blažević</w:t>
            </w:r>
            <w:r w:rsidR="00510729" w:rsidRPr="00DF4CE5">
              <w:rPr>
                <w:rFonts w:ascii="Cambria" w:eastAsia="Times New Roman" w:hAnsi="Cambria" w:cs="Calibri"/>
                <w:color w:val="0000FF"/>
                <w:lang w:val="hr-HR"/>
              </w:rPr>
              <w:t xml:space="preserve"> </w:t>
            </w:r>
            <w:r w:rsidR="00510729" w:rsidRPr="00DF4CE5">
              <w:rPr>
                <w:rFonts w:ascii="Cambria" w:eastAsia="Times New Roman" w:hAnsi="Cambria" w:cs="Calibri"/>
                <w:lang w:val="hr-HR"/>
              </w:rPr>
              <w:t>(nositeljica)</w:t>
            </w:r>
          </w:p>
          <w:p w14:paraId="729FE1DF" w14:textId="13F86257" w:rsidR="00510729" w:rsidRPr="00DF4CE5" w:rsidRDefault="00E91AAA" w:rsidP="00510729">
            <w:pPr>
              <w:spacing w:after="0" w:line="240" w:lineRule="auto"/>
              <w:rPr>
                <w:rFonts w:ascii="Cambria" w:eastAsia="Times New Roman" w:hAnsi="Cambria" w:cs="Calibri"/>
                <w:color w:val="0000FF"/>
                <w:u w:val="single"/>
                <w:lang w:val="hr-HR"/>
              </w:rPr>
            </w:pPr>
            <w:r>
              <w:rPr>
                <w:rFonts w:ascii="Cambria" w:eastAsia="Times New Roman" w:hAnsi="Cambria" w:cs="Calibri"/>
                <w:color w:val="0000FF"/>
                <w:u w:val="single"/>
                <w:lang w:val="hr-HR"/>
              </w:rPr>
              <w:t>D</w:t>
            </w:r>
            <w:r w:rsidR="00E83929" w:rsidRPr="00DF4CE5">
              <w:rPr>
                <w:rFonts w:ascii="Cambria" w:eastAsia="Times New Roman" w:hAnsi="Cambria" w:cs="Calibri"/>
                <w:color w:val="0000FF"/>
                <w:u w:val="single"/>
                <w:lang w:val="hr-HR"/>
              </w:rPr>
              <w:t>r.</w:t>
            </w:r>
            <w:r>
              <w:rPr>
                <w:rFonts w:ascii="Cambria" w:eastAsia="Times New Roman" w:hAnsi="Cambria" w:cs="Calibri"/>
                <w:color w:val="0000FF"/>
                <w:u w:val="single"/>
                <w:lang w:val="hr-HR"/>
              </w:rPr>
              <w:t xml:space="preserve"> </w:t>
            </w:r>
            <w:r w:rsidR="00E83929" w:rsidRPr="00DF4CE5">
              <w:rPr>
                <w:rFonts w:ascii="Cambria" w:eastAsia="Times New Roman" w:hAnsi="Cambria" w:cs="Calibri"/>
                <w:color w:val="0000FF"/>
                <w:u w:val="single"/>
                <w:lang w:val="hr-HR"/>
              </w:rPr>
              <w:t>sc.</w:t>
            </w:r>
            <w:r>
              <w:rPr>
                <w:rFonts w:ascii="Cambria" w:eastAsia="Times New Roman" w:hAnsi="Cambria" w:cs="Calibri"/>
                <w:color w:val="0000FF"/>
                <w:u w:val="single"/>
                <w:lang w:val="hr-HR"/>
              </w:rPr>
              <w:t xml:space="preserve"> </w:t>
            </w:r>
            <w:r w:rsidR="00510729" w:rsidRPr="00DF4CE5">
              <w:rPr>
                <w:rFonts w:ascii="Cambria" w:eastAsia="Times New Roman" w:hAnsi="Cambria" w:cs="Calibri"/>
                <w:color w:val="0000FF"/>
                <w:u w:val="single"/>
                <w:lang w:val="hr-HR"/>
              </w:rPr>
              <w:t>Ivan Oreb, pred.</w:t>
            </w:r>
          </w:p>
        </w:tc>
      </w:tr>
      <w:tr w:rsidR="00510729" w:rsidRPr="00D0399C" w14:paraId="2265E86E" w14:textId="77777777" w:rsidTr="00510729">
        <w:tc>
          <w:tcPr>
            <w:tcW w:w="21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4CF2ADE"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Studijski program</w:t>
            </w:r>
          </w:p>
        </w:tc>
        <w:tc>
          <w:tcPr>
            <w:tcW w:w="7231"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AAC632F"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Calibri" w:hAnsi="Cambria" w:cs="Calibri"/>
                <w:lang w:val="hr-HR"/>
              </w:rPr>
              <w:t>Sveučilišni integrirani prijediplomski i diplomski Učiteljski studij na hrvatskom jeziku</w:t>
            </w:r>
          </w:p>
        </w:tc>
      </w:tr>
      <w:tr w:rsidR="00510729" w:rsidRPr="00DF4CE5" w14:paraId="20EA0A2A" w14:textId="77777777" w:rsidTr="00510729">
        <w:tc>
          <w:tcPr>
            <w:tcW w:w="21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A927C15"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Vrsta kolegija</w:t>
            </w:r>
          </w:p>
        </w:tc>
        <w:tc>
          <w:tcPr>
            <w:tcW w:w="299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0AF0D58"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 xml:space="preserve">obvezan </w:t>
            </w:r>
          </w:p>
        </w:tc>
        <w:tc>
          <w:tcPr>
            <w:tcW w:w="1465"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769FA908"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Razina kolegija</w:t>
            </w:r>
          </w:p>
        </w:tc>
        <w:tc>
          <w:tcPr>
            <w:tcW w:w="2773"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6247D5B"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integrirani</w:t>
            </w:r>
          </w:p>
        </w:tc>
      </w:tr>
      <w:tr w:rsidR="00510729" w:rsidRPr="00DF4CE5" w14:paraId="246531A7" w14:textId="77777777" w:rsidTr="00510729">
        <w:tc>
          <w:tcPr>
            <w:tcW w:w="21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D94BBA2"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Semestar</w:t>
            </w:r>
          </w:p>
        </w:tc>
        <w:tc>
          <w:tcPr>
            <w:tcW w:w="299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DEF0F8A" w14:textId="168DAEB1" w:rsidR="00510729" w:rsidRPr="00DF4CE5" w:rsidRDefault="00E25602"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Z</w:t>
            </w:r>
            <w:r w:rsidR="00510729" w:rsidRPr="00DF4CE5">
              <w:rPr>
                <w:rFonts w:ascii="Cambria" w:eastAsia="Times New Roman" w:hAnsi="Cambria" w:cs="Calibri"/>
                <w:lang w:val="hr-HR"/>
              </w:rPr>
              <w:t>imski</w:t>
            </w:r>
          </w:p>
        </w:tc>
        <w:tc>
          <w:tcPr>
            <w:tcW w:w="1465"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37340B3B"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Godina studija</w:t>
            </w:r>
          </w:p>
        </w:tc>
        <w:tc>
          <w:tcPr>
            <w:tcW w:w="2773"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29FB810"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II.</w:t>
            </w:r>
          </w:p>
        </w:tc>
      </w:tr>
      <w:tr w:rsidR="00510729" w:rsidRPr="00DF4CE5" w14:paraId="7E13E730" w14:textId="77777777" w:rsidTr="00510729">
        <w:tc>
          <w:tcPr>
            <w:tcW w:w="21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92EA676"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Mjesto izvođenja</w:t>
            </w:r>
          </w:p>
        </w:tc>
        <w:tc>
          <w:tcPr>
            <w:tcW w:w="299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DB4F20D"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sportska dvorana Sveučilišta</w:t>
            </w:r>
          </w:p>
          <w:p w14:paraId="51B6E039"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 xml:space="preserve">terenska nastava </w:t>
            </w:r>
          </w:p>
        </w:tc>
        <w:tc>
          <w:tcPr>
            <w:tcW w:w="1465"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6FC4BC27"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 xml:space="preserve">Jezik izvođenja </w:t>
            </w:r>
          </w:p>
        </w:tc>
        <w:tc>
          <w:tcPr>
            <w:tcW w:w="2773"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9730F03"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hrvatski</w:t>
            </w:r>
          </w:p>
        </w:tc>
      </w:tr>
      <w:tr w:rsidR="00510729" w:rsidRPr="00DF4CE5" w14:paraId="304ABF77" w14:textId="77777777" w:rsidTr="00510729">
        <w:tc>
          <w:tcPr>
            <w:tcW w:w="21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C991B5D"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Broj ECTS bodova</w:t>
            </w:r>
          </w:p>
        </w:tc>
        <w:tc>
          <w:tcPr>
            <w:tcW w:w="299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8BBB398"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1</w:t>
            </w:r>
          </w:p>
        </w:tc>
        <w:tc>
          <w:tcPr>
            <w:tcW w:w="1465"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53E5D53D"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Broj sati u semestru</w:t>
            </w:r>
          </w:p>
        </w:tc>
        <w:tc>
          <w:tcPr>
            <w:tcW w:w="2773"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3326B4A" w14:textId="7042D3A3"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 xml:space="preserve">0P – </w:t>
            </w:r>
            <w:r w:rsidR="00CE1FD6" w:rsidRPr="00DF4CE5">
              <w:rPr>
                <w:rFonts w:ascii="Cambria" w:eastAsia="Times New Roman" w:hAnsi="Cambria" w:cs="Calibri"/>
                <w:lang w:val="hr-HR"/>
              </w:rPr>
              <w:t>0S</w:t>
            </w:r>
            <w:r w:rsidRPr="00DF4CE5">
              <w:rPr>
                <w:rFonts w:ascii="Cambria" w:eastAsia="Times New Roman" w:hAnsi="Cambria" w:cs="Calibri"/>
                <w:lang w:val="hr-HR"/>
              </w:rPr>
              <w:t xml:space="preserve"> – </w:t>
            </w:r>
            <w:r w:rsidR="00CE1FD6" w:rsidRPr="00DF4CE5">
              <w:rPr>
                <w:rFonts w:ascii="Cambria" w:eastAsia="Times New Roman" w:hAnsi="Cambria" w:cs="Calibri"/>
                <w:lang w:val="hr-HR"/>
              </w:rPr>
              <w:t>30V</w:t>
            </w:r>
          </w:p>
        </w:tc>
      </w:tr>
      <w:tr w:rsidR="00510729" w:rsidRPr="00D0399C" w14:paraId="4FB6D636" w14:textId="77777777" w:rsidTr="00510729">
        <w:tc>
          <w:tcPr>
            <w:tcW w:w="21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E9FF9F1"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Preduvjeti za upis i za svladavanje</w:t>
            </w:r>
          </w:p>
        </w:tc>
        <w:tc>
          <w:tcPr>
            <w:tcW w:w="7231"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A4477DB" w14:textId="77777777" w:rsidR="00510729" w:rsidRPr="00DF4CE5" w:rsidRDefault="00510729" w:rsidP="00510729">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Usvojena temeljna motorička znanja tijekom dosadašnjeg školovanja i razina motoričkih i funkcionalnih sposobnosti primjerena dobi.</w:t>
            </w:r>
          </w:p>
        </w:tc>
      </w:tr>
      <w:tr w:rsidR="00510729" w:rsidRPr="00D0399C" w14:paraId="2E6DBFCC" w14:textId="77777777" w:rsidTr="00510729">
        <w:tc>
          <w:tcPr>
            <w:tcW w:w="21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444C4A9" w14:textId="77777777" w:rsidR="00510729" w:rsidRPr="00DF4CE5" w:rsidRDefault="00510729" w:rsidP="00510729">
            <w:pPr>
              <w:spacing w:after="0" w:line="240" w:lineRule="auto"/>
              <w:rPr>
                <w:rFonts w:ascii="Cambria" w:eastAsia="Times New Roman" w:hAnsi="Cambria" w:cs="Calibri"/>
                <w:lang w:val="hr-HR"/>
              </w:rPr>
            </w:pPr>
            <w:proofErr w:type="spellStart"/>
            <w:r w:rsidRPr="00DF4CE5">
              <w:rPr>
                <w:rFonts w:ascii="Cambria" w:eastAsia="Times New Roman" w:hAnsi="Cambria" w:cs="Calibri"/>
                <w:lang w:val="hr-HR"/>
              </w:rPr>
              <w:t>Korelativnost</w:t>
            </w:r>
            <w:proofErr w:type="spellEnd"/>
          </w:p>
        </w:tc>
        <w:tc>
          <w:tcPr>
            <w:tcW w:w="7231"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D396893" w14:textId="77777777" w:rsidR="00510729" w:rsidRPr="00DF4CE5" w:rsidRDefault="00510729" w:rsidP="00510729">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Kineziologija, Kineziološka metodika, Glazbena kultura, Prirodoslovlje, Geografija, Povijest</w:t>
            </w:r>
          </w:p>
        </w:tc>
      </w:tr>
      <w:tr w:rsidR="00510729" w:rsidRPr="00D0399C" w14:paraId="315E46D8" w14:textId="77777777" w:rsidTr="00510729">
        <w:tc>
          <w:tcPr>
            <w:tcW w:w="21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363BA45"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 xml:space="preserve">Cilj kolegija </w:t>
            </w:r>
          </w:p>
        </w:tc>
        <w:tc>
          <w:tcPr>
            <w:tcW w:w="7231"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3EDB5A4" w14:textId="77777777" w:rsidR="00510729" w:rsidRPr="00DF4CE5" w:rsidRDefault="00510729" w:rsidP="00510729">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Utjecati na razvoj antropoloških obilježja s ciljem očuvanja i unapređenja zdravlja i kvalitete života.</w:t>
            </w:r>
          </w:p>
        </w:tc>
      </w:tr>
      <w:tr w:rsidR="00510729" w:rsidRPr="00D0399C" w14:paraId="21C0330D" w14:textId="77777777" w:rsidTr="00510729">
        <w:tc>
          <w:tcPr>
            <w:tcW w:w="21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8D0A663"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Ishodi učenja</w:t>
            </w:r>
          </w:p>
        </w:tc>
        <w:tc>
          <w:tcPr>
            <w:tcW w:w="7231"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78BD63E" w14:textId="77777777" w:rsidR="00510729" w:rsidRPr="00DF4CE5" w:rsidRDefault="00510729" w:rsidP="00510729">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1. primijeniti usvojena teorijska znanja pojedinih kinezioloških aktivnosti i temeljna metodička načela</w:t>
            </w:r>
          </w:p>
          <w:p w14:paraId="5AA6DDCA" w14:textId="77777777" w:rsidR="00510729" w:rsidRPr="00DF4CE5" w:rsidRDefault="00510729" w:rsidP="00510729">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2. demonstrirati bazične strukture iz područja atletike, odbojke, nogometa, rukometa i plesa</w:t>
            </w:r>
          </w:p>
          <w:p w14:paraId="4E978358" w14:textId="77777777" w:rsidR="00510729" w:rsidRPr="00DF4CE5" w:rsidRDefault="00510729" w:rsidP="00510729">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3. primijeniti osnove procjene i vrednovanja rezultata rada u nastavi Kineziološke kulture (Tjelesne i zdravstvene kulture)</w:t>
            </w:r>
          </w:p>
          <w:p w14:paraId="2596B591" w14:textId="77777777" w:rsidR="00510729" w:rsidRPr="00DF4CE5" w:rsidRDefault="00510729" w:rsidP="00510729">
            <w:pPr>
              <w:spacing w:after="0" w:line="240" w:lineRule="auto"/>
              <w:jc w:val="both"/>
              <w:rPr>
                <w:rFonts w:ascii="Cambria" w:eastAsia="Times New Roman" w:hAnsi="Cambria" w:cs="Calibri"/>
                <w:vertAlign w:val="subscript"/>
                <w:lang w:val="hr-HR"/>
              </w:rPr>
            </w:pPr>
            <w:r w:rsidRPr="00DF4CE5">
              <w:rPr>
                <w:rFonts w:ascii="Cambria" w:eastAsia="Times New Roman" w:hAnsi="Cambria" w:cs="Calibri"/>
                <w:lang w:val="hr-HR"/>
              </w:rPr>
              <w:t>4. interpretirati spoznaju o koristi redovitog, cjeloživotnog tjelesnog vježbanja u cilju unapređenja zdravlja, unaprjeđenjem i održavanjem osobnih motoričkih i funkcionalnih sposobnosti u svakodnevnom životu i radu</w:t>
            </w:r>
          </w:p>
        </w:tc>
      </w:tr>
      <w:tr w:rsidR="00510729" w:rsidRPr="00D0399C" w14:paraId="14EE6C73" w14:textId="77777777" w:rsidTr="00510729">
        <w:tc>
          <w:tcPr>
            <w:tcW w:w="2129"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6573361D"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Sadržaj kolegija</w:t>
            </w:r>
          </w:p>
        </w:tc>
        <w:tc>
          <w:tcPr>
            <w:tcW w:w="7231"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FEFDFD0" w14:textId="77777777" w:rsidR="00510729" w:rsidRPr="00DF4CE5" w:rsidRDefault="00510729" w:rsidP="00510729">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1. Opće pripremne vježbe (dinamičke vježbe istezanja, vježbe snage, statičke vježbe istezanja), kroz različite organizacijske oblike rada (sa i bez rekvizita, sa i na spravama, sa i bez glazbe, samostalno i u paru).</w:t>
            </w:r>
          </w:p>
          <w:p w14:paraId="0069E9E9" w14:textId="77777777" w:rsidR="00510729" w:rsidRPr="00DF4CE5" w:rsidRDefault="00510729" w:rsidP="00510729">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2. Odbojka - udarci po lopti u skoku na mreži „smeč“, gornji servis, pravila igre, taktika igre, igra.</w:t>
            </w:r>
          </w:p>
          <w:p w14:paraId="7A3F3DB9" w14:textId="77777777" w:rsidR="00510729" w:rsidRPr="00DF4CE5" w:rsidRDefault="00510729" w:rsidP="00510729">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3. Nogomet - dodavanje i primanje lopte nogom po podu i visoke (leteće) lopte, vođenje lopte i šut nogom.</w:t>
            </w:r>
          </w:p>
          <w:p w14:paraId="672FD73F" w14:textId="77777777" w:rsidR="00510729" w:rsidRPr="00DF4CE5" w:rsidRDefault="00510729" w:rsidP="00510729">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4. Rukomet – dodavanje, primanje i vođenje lopte, skok-šut.</w:t>
            </w:r>
          </w:p>
          <w:p w14:paraId="31616979" w14:textId="77777777" w:rsidR="00510729" w:rsidRPr="00DF4CE5" w:rsidRDefault="00510729" w:rsidP="00510729">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5. Društveni plesovi: </w:t>
            </w:r>
            <w:proofErr w:type="spellStart"/>
            <w:r w:rsidRPr="00DF4CE5">
              <w:rPr>
                <w:rFonts w:ascii="Cambria" w:eastAsia="Times New Roman" w:hAnsi="Cambria" w:cs="Calibri"/>
                <w:lang w:val="hr-HR"/>
              </w:rPr>
              <w:t>Foxtrot</w:t>
            </w:r>
            <w:proofErr w:type="spellEnd"/>
            <w:r w:rsidRPr="00DF4CE5">
              <w:rPr>
                <w:rFonts w:ascii="Cambria" w:eastAsia="Times New Roman" w:hAnsi="Cambria" w:cs="Calibri"/>
                <w:lang w:val="hr-HR"/>
              </w:rPr>
              <w:t xml:space="preserve">, </w:t>
            </w:r>
            <w:proofErr w:type="spellStart"/>
            <w:r w:rsidRPr="00DF4CE5">
              <w:rPr>
                <w:rFonts w:ascii="Cambria" w:eastAsia="Times New Roman" w:hAnsi="Cambria" w:cs="Calibri"/>
                <w:lang w:val="hr-HR"/>
              </w:rPr>
              <w:t>Slow</w:t>
            </w:r>
            <w:proofErr w:type="spellEnd"/>
            <w:r w:rsidRPr="00DF4CE5">
              <w:rPr>
                <w:rFonts w:ascii="Cambria" w:eastAsia="Times New Roman" w:hAnsi="Cambria" w:cs="Calibri"/>
                <w:lang w:val="hr-HR"/>
              </w:rPr>
              <w:t xml:space="preserve"> </w:t>
            </w:r>
            <w:proofErr w:type="spellStart"/>
            <w:r w:rsidRPr="00DF4CE5">
              <w:rPr>
                <w:rFonts w:ascii="Cambria" w:eastAsia="Times New Roman" w:hAnsi="Cambria" w:cs="Calibri"/>
                <w:lang w:val="hr-HR"/>
              </w:rPr>
              <w:t>fox</w:t>
            </w:r>
            <w:proofErr w:type="spellEnd"/>
            <w:r w:rsidRPr="00DF4CE5">
              <w:rPr>
                <w:rFonts w:ascii="Cambria" w:eastAsia="Times New Roman" w:hAnsi="Cambria" w:cs="Calibri"/>
                <w:lang w:val="hr-HR"/>
              </w:rPr>
              <w:t>.</w:t>
            </w:r>
          </w:p>
          <w:p w14:paraId="01181BC8" w14:textId="77777777" w:rsidR="00510729" w:rsidRPr="00DF4CE5" w:rsidRDefault="00510729" w:rsidP="00510729">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6. Pješačenje u prirodi i planinarenje.</w:t>
            </w:r>
          </w:p>
        </w:tc>
      </w:tr>
      <w:tr w:rsidR="00510729" w:rsidRPr="00DF4CE5" w14:paraId="75EDD528" w14:textId="77777777" w:rsidTr="00510729">
        <w:tc>
          <w:tcPr>
            <w:tcW w:w="2129"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19C33260"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Planirane aktivnosti,</w:t>
            </w:r>
          </w:p>
          <w:p w14:paraId="70704D7F"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metode učenja i poučavanja i načini vrednovanja</w:t>
            </w:r>
          </w:p>
          <w:p w14:paraId="1F5A07AC" w14:textId="77777777" w:rsidR="00510729" w:rsidRPr="00DF4CE5" w:rsidRDefault="00510729" w:rsidP="00510729">
            <w:pPr>
              <w:spacing w:after="0" w:line="240" w:lineRule="auto"/>
              <w:rPr>
                <w:rFonts w:ascii="Cambria" w:eastAsia="Times New Roman" w:hAnsi="Cambria" w:cs="Calibri"/>
                <w:lang w:val="hr-HR"/>
              </w:rPr>
            </w:pPr>
          </w:p>
        </w:tc>
        <w:tc>
          <w:tcPr>
            <w:tcW w:w="309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BE51D63" w14:textId="77777777" w:rsidR="00510729" w:rsidRPr="00DF4CE5" w:rsidRDefault="00510729" w:rsidP="00510729">
            <w:pPr>
              <w:spacing w:after="0" w:line="240" w:lineRule="auto"/>
              <w:jc w:val="center"/>
              <w:rPr>
                <w:rFonts w:ascii="Cambria" w:eastAsia="Times New Roman" w:hAnsi="Cambria" w:cs="Calibri"/>
                <w:lang w:val="hr-HR"/>
              </w:rPr>
            </w:pPr>
            <w:r w:rsidRPr="00DF4CE5">
              <w:rPr>
                <w:rFonts w:ascii="Cambria" w:eastAsia="Times New Roman" w:hAnsi="Cambria" w:cs="Calibri"/>
                <w:bCs/>
                <w:lang w:val="hr-HR"/>
              </w:rPr>
              <w:t>Obveze</w:t>
            </w:r>
          </w:p>
        </w:tc>
        <w:tc>
          <w:tcPr>
            <w:tcW w:w="109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FA538E0" w14:textId="77777777" w:rsidR="00510729" w:rsidRPr="00DF4CE5" w:rsidRDefault="00510729" w:rsidP="00510729">
            <w:pPr>
              <w:spacing w:after="0" w:line="240" w:lineRule="auto"/>
              <w:jc w:val="center"/>
              <w:rPr>
                <w:rFonts w:ascii="Cambria" w:eastAsia="Times New Roman" w:hAnsi="Cambria" w:cs="Calibri"/>
                <w:bCs/>
                <w:lang w:val="hr-HR"/>
              </w:rPr>
            </w:pPr>
          </w:p>
          <w:p w14:paraId="0083E862" w14:textId="77777777" w:rsidR="00510729" w:rsidRPr="00DF4CE5" w:rsidRDefault="00510729" w:rsidP="00510729">
            <w:pPr>
              <w:spacing w:after="0" w:line="240" w:lineRule="auto"/>
              <w:jc w:val="center"/>
              <w:rPr>
                <w:rFonts w:ascii="Cambria" w:eastAsia="Times New Roman" w:hAnsi="Cambria" w:cs="Calibri"/>
                <w:lang w:val="hr-HR"/>
              </w:rPr>
            </w:pPr>
            <w:r w:rsidRPr="00DF4CE5">
              <w:rPr>
                <w:rFonts w:ascii="Cambria" w:eastAsia="Times New Roman" w:hAnsi="Cambria" w:cs="Calibri"/>
                <w:bCs/>
                <w:lang w:val="hr-HR"/>
              </w:rPr>
              <w:t>Ishodi</w:t>
            </w:r>
          </w:p>
          <w:p w14:paraId="5F76A694" w14:textId="77777777" w:rsidR="00510729" w:rsidRPr="00DF4CE5" w:rsidRDefault="00510729" w:rsidP="00510729">
            <w:pPr>
              <w:spacing w:after="0" w:line="240" w:lineRule="auto"/>
              <w:jc w:val="center"/>
              <w:rPr>
                <w:rFonts w:ascii="Cambria" w:eastAsia="Times New Roman" w:hAnsi="Cambria" w:cs="Calibri"/>
                <w:lang w:val="hr-HR"/>
              </w:rPr>
            </w:pPr>
          </w:p>
        </w:tc>
        <w:tc>
          <w:tcPr>
            <w:tcW w:w="71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5E177B2" w14:textId="77777777" w:rsidR="00510729" w:rsidRPr="00DF4CE5" w:rsidRDefault="00510729" w:rsidP="00510729">
            <w:pPr>
              <w:spacing w:after="0" w:line="240" w:lineRule="auto"/>
              <w:jc w:val="center"/>
              <w:rPr>
                <w:rFonts w:ascii="Cambria" w:eastAsia="Times New Roman" w:hAnsi="Cambria" w:cs="Calibri"/>
                <w:vertAlign w:val="superscript"/>
                <w:lang w:val="hr-HR"/>
              </w:rPr>
            </w:pPr>
            <w:r w:rsidRPr="00DF4CE5">
              <w:rPr>
                <w:rFonts w:ascii="Cambria" w:eastAsia="Times New Roman" w:hAnsi="Cambria" w:cs="Calibri"/>
                <w:bCs/>
                <w:lang w:val="hr-HR"/>
              </w:rPr>
              <w:t>Sati</w:t>
            </w:r>
          </w:p>
        </w:tc>
        <w:tc>
          <w:tcPr>
            <w:tcW w:w="101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5B9DD9B" w14:textId="77777777" w:rsidR="00510729" w:rsidRPr="00DF4CE5" w:rsidRDefault="00510729" w:rsidP="00510729">
            <w:pPr>
              <w:spacing w:after="0" w:line="240" w:lineRule="auto"/>
              <w:jc w:val="center"/>
              <w:rPr>
                <w:rFonts w:ascii="Cambria" w:eastAsia="Times New Roman" w:hAnsi="Cambria" w:cs="Calibri"/>
                <w:lang w:val="hr-HR"/>
              </w:rPr>
            </w:pPr>
            <w:r w:rsidRPr="00DF4CE5">
              <w:rPr>
                <w:rFonts w:ascii="Cambria" w:eastAsia="Times New Roman" w:hAnsi="Cambria" w:cs="Calibri"/>
                <w:bCs/>
                <w:lang w:val="hr-HR"/>
              </w:rPr>
              <w:t>ECTS</w:t>
            </w:r>
          </w:p>
        </w:tc>
        <w:tc>
          <w:tcPr>
            <w:tcW w:w="132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677330A" w14:textId="77777777" w:rsidR="00510729" w:rsidRPr="00DF4CE5" w:rsidRDefault="00510729" w:rsidP="00510729">
            <w:pPr>
              <w:spacing w:after="0" w:line="240" w:lineRule="auto"/>
              <w:jc w:val="center"/>
              <w:rPr>
                <w:rFonts w:ascii="Cambria" w:eastAsia="Times New Roman" w:hAnsi="Cambria" w:cs="Calibri"/>
                <w:lang w:val="hr-HR"/>
              </w:rPr>
            </w:pPr>
            <w:r w:rsidRPr="00DF4CE5">
              <w:rPr>
                <w:rFonts w:ascii="Cambria" w:eastAsia="Times New Roman" w:hAnsi="Cambria" w:cs="Calibri"/>
                <w:bCs/>
                <w:lang w:val="hr-HR"/>
              </w:rPr>
              <w:t>Maksimalni udio u ocjeni (%)</w:t>
            </w:r>
          </w:p>
        </w:tc>
      </w:tr>
      <w:tr w:rsidR="00510729" w:rsidRPr="00DF4CE5" w14:paraId="0E6031DA" w14:textId="77777777" w:rsidTr="00510729">
        <w:tc>
          <w:tcPr>
            <w:tcW w:w="2129" w:type="dxa"/>
            <w:vMerge/>
            <w:tcBorders>
              <w:left w:val="single" w:sz="8" w:space="0" w:color="000000"/>
              <w:right w:val="single" w:sz="8" w:space="0" w:color="000000"/>
            </w:tcBorders>
            <w:vAlign w:val="center"/>
          </w:tcPr>
          <w:p w14:paraId="40174728" w14:textId="77777777" w:rsidR="00510729" w:rsidRPr="00DF4CE5" w:rsidRDefault="00510729" w:rsidP="00510729">
            <w:pPr>
              <w:spacing w:after="0" w:line="240" w:lineRule="auto"/>
              <w:rPr>
                <w:rFonts w:ascii="Cambria" w:eastAsia="Times New Roman" w:hAnsi="Cambria" w:cs="Calibri"/>
                <w:lang w:val="hr-HR"/>
              </w:rPr>
            </w:pPr>
          </w:p>
        </w:tc>
        <w:tc>
          <w:tcPr>
            <w:tcW w:w="309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811AB76" w14:textId="1BD99F71" w:rsidR="00510729" w:rsidRPr="00DF4CE5" w:rsidRDefault="00B71FDE"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aktivnost na nastavi</w:t>
            </w:r>
            <w:r w:rsidR="00F942C2">
              <w:rPr>
                <w:rFonts w:ascii="Cambria" w:eastAsia="Times New Roman" w:hAnsi="Cambria" w:cs="Calibri"/>
                <w:lang w:val="hr-HR"/>
              </w:rPr>
              <w:t xml:space="preserve"> (V)</w:t>
            </w:r>
          </w:p>
        </w:tc>
        <w:tc>
          <w:tcPr>
            <w:tcW w:w="109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8EBB738" w14:textId="77777777" w:rsidR="00510729" w:rsidRPr="00DF4CE5" w:rsidRDefault="00510729" w:rsidP="00510729">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1. - 4.</w:t>
            </w:r>
          </w:p>
        </w:tc>
        <w:tc>
          <w:tcPr>
            <w:tcW w:w="71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5E0A1A8" w14:textId="54594A0D" w:rsidR="00510729" w:rsidRPr="00DF4CE5" w:rsidRDefault="00510729" w:rsidP="00510729">
            <w:pPr>
              <w:spacing w:after="0" w:line="240" w:lineRule="auto"/>
              <w:jc w:val="center"/>
              <w:rPr>
                <w:rFonts w:ascii="Cambria" w:eastAsia="Times New Roman" w:hAnsi="Cambria" w:cs="Calibri"/>
                <w:lang w:val="hr-HR"/>
              </w:rPr>
            </w:pPr>
            <w:r w:rsidRPr="00F942C2">
              <w:rPr>
                <w:rFonts w:ascii="Cambria" w:eastAsia="Times New Roman" w:hAnsi="Cambria" w:cs="Calibri"/>
                <w:lang w:val="hr-HR"/>
              </w:rPr>
              <w:t>2</w:t>
            </w:r>
            <w:r w:rsidR="00F942C2" w:rsidRPr="00F942C2">
              <w:rPr>
                <w:rFonts w:ascii="Cambria" w:eastAsia="Times New Roman" w:hAnsi="Cambria" w:cs="Calibri"/>
                <w:lang w:val="hr-HR"/>
              </w:rPr>
              <w:t>3</w:t>
            </w:r>
          </w:p>
        </w:tc>
        <w:tc>
          <w:tcPr>
            <w:tcW w:w="101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5A67A5A" w14:textId="77777777" w:rsidR="00510729" w:rsidRPr="00DF4CE5" w:rsidRDefault="00510729" w:rsidP="00510729">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0,8</w:t>
            </w:r>
          </w:p>
        </w:tc>
        <w:tc>
          <w:tcPr>
            <w:tcW w:w="132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EB0C41B" w14:textId="77777777" w:rsidR="00510729" w:rsidRPr="00DF4CE5" w:rsidRDefault="00510729" w:rsidP="00510729">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80%</w:t>
            </w:r>
          </w:p>
        </w:tc>
      </w:tr>
      <w:tr w:rsidR="00510729" w:rsidRPr="00DF4CE5" w14:paraId="43AD477F" w14:textId="77777777" w:rsidTr="00510729">
        <w:tc>
          <w:tcPr>
            <w:tcW w:w="2129" w:type="dxa"/>
            <w:vMerge/>
            <w:tcBorders>
              <w:left w:val="single" w:sz="8" w:space="0" w:color="000000"/>
              <w:right w:val="single" w:sz="8" w:space="0" w:color="000000"/>
            </w:tcBorders>
            <w:vAlign w:val="center"/>
          </w:tcPr>
          <w:p w14:paraId="1B653D5B" w14:textId="77777777" w:rsidR="00510729" w:rsidRPr="00DF4CE5" w:rsidRDefault="00510729" w:rsidP="00510729">
            <w:pPr>
              <w:spacing w:after="0" w:line="240" w:lineRule="auto"/>
              <w:rPr>
                <w:rFonts w:ascii="Cambria" w:eastAsia="Times New Roman" w:hAnsi="Cambria" w:cs="Calibri"/>
                <w:lang w:val="hr-HR"/>
              </w:rPr>
            </w:pPr>
          </w:p>
        </w:tc>
        <w:tc>
          <w:tcPr>
            <w:tcW w:w="309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5EF98A3"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terenska nastava</w:t>
            </w:r>
          </w:p>
        </w:tc>
        <w:tc>
          <w:tcPr>
            <w:tcW w:w="109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3BF711F" w14:textId="77777777" w:rsidR="00510729" w:rsidRPr="00DF4CE5" w:rsidRDefault="00510729" w:rsidP="00510729">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1. - 4.</w:t>
            </w:r>
          </w:p>
        </w:tc>
        <w:tc>
          <w:tcPr>
            <w:tcW w:w="71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26365D1" w14:textId="7F116A43" w:rsidR="00510729" w:rsidRPr="00DF4CE5" w:rsidRDefault="00F942C2" w:rsidP="00510729">
            <w:pPr>
              <w:spacing w:after="0" w:line="240" w:lineRule="auto"/>
              <w:jc w:val="center"/>
              <w:rPr>
                <w:rFonts w:ascii="Cambria" w:eastAsia="Times New Roman" w:hAnsi="Cambria" w:cs="Calibri"/>
                <w:lang w:val="hr-HR"/>
              </w:rPr>
            </w:pPr>
            <w:r>
              <w:rPr>
                <w:rFonts w:ascii="Cambria" w:eastAsia="Times New Roman" w:hAnsi="Cambria" w:cs="Calibri"/>
                <w:lang w:val="hr-HR"/>
              </w:rPr>
              <w:t>7</w:t>
            </w:r>
          </w:p>
        </w:tc>
        <w:tc>
          <w:tcPr>
            <w:tcW w:w="101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A45B534" w14:textId="77777777" w:rsidR="00510729" w:rsidRPr="00DF4CE5" w:rsidRDefault="00510729" w:rsidP="00510729">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0,2</w:t>
            </w:r>
          </w:p>
        </w:tc>
        <w:tc>
          <w:tcPr>
            <w:tcW w:w="132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F45612A" w14:textId="77777777" w:rsidR="00510729" w:rsidRPr="00DF4CE5" w:rsidRDefault="00510729" w:rsidP="00510729">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20%</w:t>
            </w:r>
          </w:p>
        </w:tc>
      </w:tr>
      <w:tr w:rsidR="00510729" w:rsidRPr="00DF4CE5" w14:paraId="5CAC75DA" w14:textId="77777777" w:rsidTr="00510729">
        <w:tc>
          <w:tcPr>
            <w:tcW w:w="2129" w:type="dxa"/>
            <w:vMerge/>
            <w:tcBorders>
              <w:left w:val="single" w:sz="8" w:space="0" w:color="000000"/>
              <w:right w:val="single" w:sz="8" w:space="0" w:color="000000"/>
            </w:tcBorders>
            <w:vAlign w:val="center"/>
          </w:tcPr>
          <w:p w14:paraId="699CB8AA" w14:textId="77777777" w:rsidR="00510729" w:rsidRPr="00DF4CE5" w:rsidRDefault="00510729" w:rsidP="00510729">
            <w:pPr>
              <w:spacing w:after="0" w:line="240" w:lineRule="auto"/>
              <w:rPr>
                <w:rFonts w:ascii="Cambria" w:eastAsia="Times New Roman" w:hAnsi="Cambria" w:cs="Calibri"/>
                <w:lang w:val="hr-HR"/>
              </w:rPr>
            </w:pPr>
          </w:p>
        </w:tc>
        <w:tc>
          <w:tcPr>
            <w:tcW w:w="4181"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653051" w14:textId="157A1BBC" w:rsidR="00510729" w:rsidRPr="00DF4CE5" w:rsidRDefault="00F942C2" w:rsidP="00510729">
            <w:pPr>
              <w:spacing w:after="0" w:line="240" w:lineRule="auto"/>
              <w:rPr>
                <w:rFonts w:ascii="Cambria" w:eastAsia="Times New Roman" w:hAnsi="Cambria" w:cs="Calibri"/>
                <w:lang w:val="hr-HR"/>
              </w:rPr>
            </w:pPr>
            <w:r>
              <w:rPr>
                <w:rFonts w:ascii="Cambria" w:eastAsia="Times New Roman" w:hAnsi="Cambria" w:cs="Calibri"/>
                <w:lang w:val="hr-HR"/>
              </w:rPr>
              <w:t>u</w:t>
            </w:r>
            <w:r w:rsidR="00510729" w:rsidRPr="00DF4CE5">
              <w:rPr>
                <w:rFonts w:ascii="Cambria" w:eastAsia="Times New Roman" w:hAnsi="Cambria" w:cs="Calibri"/>
                <w:lang w:val="hr-HR"/>
              </w:rPr>
              <w:t>kupno</w:t>
            </w:r>
          </w:p>
        </w:tc>
        <w:tc>
          <w:tcPr>
            <w:tcW w:w="71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0FB761C" w14:textId="77777777" w:rsidR="00510729" w:rsidRPr="00DF4CE5" w:rsidRDefault="00510729" w:rsidP="00510729">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30</w:t>
            </w:r>
          </w:p>
        </w:tc>
        <w:tc>
          <w:tcPr>
            <w:tcW w:w="101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9EECC1E" w14:textId="77777777" w:rsidR="00510729" w:rsidRPr="00DF4CE5" w:rsidRDefault="00510729" w:rsidP="00510729">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1</w:t>
            </w:r>
          </w:p>
        </w:tc>
        <w:tc>
          <w:tcPr>
            <w:tcW w:w="132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9195A5C" w14:textId="77777777" w:rsidR="00510729" w:rsidRPr="00DF4CE5" w:rsidRDefault="00510729" w:rsidP="00510729">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100%</w:t>
            </w:r>
          </w:p>
        </w:tc>
      </w:tr>
      <w:tr w:rsidR="00510729" w:rsidRPr="00D0399C" w14:paraId="7B1A7550" w14:textId="77777777" w:rsidTr="00510729">
        <w:tc>
          <w:tcPr>
            <w:tcW w:w="2129" w:type="dxa"/>
            <w:vMerge/>
            <w:tcBorders>
              <w:left w:val="single" w:sz="8" w:space="0" w:color="000000"/>
              <w:bottom w:val="single" w:sz="8" w:space="0" w:color="000000"/>
              <w:right w:val="single" w:sz="8" w:space="0" w:color="000000"/>
            </w:tcBorders>
            <w:vAlign w:val="center"/>
          </w:tcPr>
          <w:p w14:paraId="5F3224E7" w14:textId="77777777" w:rsidR="00510729" w:rsidRPr="00DF4CE5" w:rsidRDefault="00510729" w:rsidP="00510729">
            <w:pPr>
              <w:spacing w:after="0" w:line="240" w:lineRule="auto"/>
              <w:rPr>
                <w:rFonts w:ascii="Cambria" w:eastAsia="Times New Roman" w:hAnsi="Cambria" w:cs="Calibri"/>
                <w:lang w:val="hr-HR"/>
              </w:rPr>
            </w:pPr>
          </w:p>
        </w:tc>
        <w:tc>
          <w:tcPr>
            <w:tcW w:w="7231"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1BEA3A9" w14:textId="77777777" w:rsidR="00510729" w:rsidRPr="00DF4CE5" w:rsidRDefault="00510729" w:rsidP="00510729">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Dodatna pojašnjenja (kriteriji ocjenjivanja):</w:t>
            </w:r>
          </w:p>
          <w:p w14:paraId="299959E5" w14:textId="77777777" w:rsidR="00510729" w:rsidRPr="00DF4CE5" w:rsidRDefault="00510729" w:rsidP="00510729">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Ocjenjuje se aktivnost na nastavi, zadani elementi motoričkih znanja i rezultati testova (razina) motoričkih i funkcionalnih sposobnosti.</w:t>
            </w:r>
          </w:p>
        </w:tc>
      </w:tr>
      <w:tr w:rsidR="00510729" w:rsidRPr="00DF4CE5" w14:paraId="77C9B5CA" w14:textId="77777777" w:rsidTr="00510729">
        <w:tc>
          <w:tcPr>
            <w:tcW w:w="21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1137712"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Studentske obveze</w:t>
            </w:r>
          </w:p>
        </w:tc>
        <w:tc>
          <w:tcPr>
            <w:tcW w:w="7231"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2CBD4DE" w14:textId="77777777" w:rsidR="00510729" w:rsidRPr="00DF4CE5" w:rsidRDefault="00510729" w:rsidP="00510729">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Da položi kolegij, student/studentica treba:</w:t>
            </w:r>
          </w:p>
          <w:p w14:paraId="00B20EA3" w14:textId="77777777" w:rsidR="00510729" w:rsidRPr="00DF4CE5" w:rsidRDefault="00510729" w:rsidP="00510729">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1. Redovito dolaziti na nastavu; može izostati s nastave maksimalno 4 puta.</w:t>
            </w:r>
          </w:p>
          <w:p w14:paraId="49E8295A" w14:textId="77777777" w:rsidR="00510729" w:rsidRPr="00DF4CE5" w:rsidRDefault="00510729" w:rsidP="00510729">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2. Aktivno sudjelovati na nastavi.</w:t>
            </w:r>
          </w:p>
          <w:p w14:paraId="6A874CFE" w14:textId="77777777" w:rsidR="00510729" w:rsidRPr="00DF4CE5" w:rsidRDefault="00510729" w:rsidP="00510729">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3. Dolaziti na nastavu bez ikakvog nakita u sportskoj odjeći i obući (tenisicama, bijeloj sportskoj majici, sportskim hlačicama ili trenirci).</w:t>
            </w:r>
          </w:p>
          <w:p w14:paraId="63A195C5" w14:textId="77777777" w:rsidR="00510729" w:rsidRPr="00DF4CE5" w:rsidRDefault="00510729" w:rsidP="00510729">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4. Sudjelovati u terenskoj nastavi, pješačenju u prirodi i planinarenju te sportsko-rekreativnom danu Fakulteta za odgojne i obrazovne znanosti (na Fratarskom otoku krajem akademske godine).</w:t>
            </w:r>
          </w:p>
          <w:p w14:paraId="48FB9D2D" w14:textId="77777777" w:rsidR="00510729" w:rsidRPr="00DF4CE5" w:rsidRDefault="00510729" w:rsidP="00510729">
            <w:pPr>
              <w:spacing w:after="0" w:line="240" w:lineRule="auto"/>
              <w:jc w:val="both"/>
              <w:rPr>
                <w:rFonts w:ascii="Cambria" w:eastAsia="Times New Roman" w:hAnsi="Cambria" w:cs="Calibri"/>
                <w:b/>
                <w:lang w:val="hr-HR"/>
              </w:rPr>
            </w:pPr>
            <w:r w:rsidRPr="00DF4CE5">
              <w:rPr>
                <w:rFonts w:ascii="Cambria" w:eastAsia="Times New Roman" w:hAnsi="Cambria" w:cs="Calibri"/>
                <w:lang w:val="hr-HR"/>
              </w:rPr>
              <w:t>5. Savladati sve zadane elemente.</w:t>
            </w:r>
          </w:p>
        </w:tc>
      </w:tr>
      <w:tr w:rsidR="00510729" w:rsidRPr="00D0399C" w14:paraId="5897E92B" w14:textId="77777777" w:rsidTr="00510729">
        <w:tc>
          <w:tcPr>
            <w:tcW w:w="21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04FFC8C"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Rokovi ispita i kolokvija</w:t>
            </w:r>
          </w:p>
        </w:tc>
        <w:tc>
          <w:tcPr>
            <w:tcW w:w="7231"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7984B91" w14:textId="77777777" w:rsidR="00510729" w:rsidRPr="00DF4CE5" w:rsidRDefault="00510729" w:rsidP="00510729">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Objavljuju se na početku akademske godine u ISVU.</w:t>
            </w:r>
          </w:p>
        </w:tc>
      </w:tr>
      <w:tr w:rsidR="00510729" w:rsidRPr="00DF4CE5" w14:paraId="3482DCC6" w14:textId="77777777" w:rsidTr="00510729">
        <w:tc>
          <w:tcPr>
            <w:tcW w:w="21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6D8FB40"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Ostale važne činjenice vezane uz kolegij</w:t>
            </w:r>
          </w:p>
        </w:tc>
        <w:tc>
          <w:tcPr>
            <w:tcW w:w="7231"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D2B9DEA" w14:textId="77777777" w:rsidR="00510729" w:rsidRPr="00DF4CE5" w:rsidRDefault="00510729" w:rsidP="00510729">
            <w:pPr>
              <w:tabs>
                <w:tab w:val="left" w:pos="376"/>
              </w:tabs>
              <w:spacing w:after="0" w:line="240" w:lineRule="auto"/>
              <w:jc w:val="both"/>
              <w:rPr>
                <w:rFonts w:ascii="Cambria" w:eastAsia="Times New Roman" w:hAnsi="Cambria" w:cs="Calibri"/>
                <w:lang w:val="hr-HR"/>
              </w:rPr>
            </w:pPr>
            <w:r w:rsidRPr="00DF4CE5">
              <w:rPr>
                <w:rFonts w:ascii="Cambria" w:eastAsia="Times New Roman" w:hAnsi="Cambria" w:cs="Calibri"/>
                <w:lang w:val="hr-HR"/>
              </w:rPr>
              <w:t>Za provjeru stupnja razvoja općih kompetencija koristit će se standardizirani testovi motoričkih sposobnosti (testovi eksplozivne, statičke i repetitivne snage, brzine, koordinacije i fleksibilnosti), test funkcionalnih sposobnosti (trčanje 1300 m), testovi motoričkih znanja (ocjenjivanje zadanih elemenata tijekom nastave) i test znanja plivanja osnovnim plivačkim tehnikama.</w:t>
            </w:r>
          </w:p>
          <w:p w14:paraId="6D5607C6" w14:textId="77777777" w:rsidR="00510729" w:rsidRPr="00DF4CE5" w:rsidRDefault="00510729" w:rsidP="00510729">
            <w:pPr>
              <w:tabs>
                <w:tab w:val="left" w:pos="376"/>
              </w:tabs>
              <w:spacing w:after="0" w:line="240" w:lineRule="auto"/>
              <w:jc w:val="both"/>
              <w:rPr>
                <w:rFonts w:ascii="Cambria" w:eastAsia="Times New Roman" w:hAnsi="Cambria" w:cs="Calibri"/>
                <w:lang w:val="hr-HR"/>
              </w:rPr>
            </w:pPr>
            <w:r w:rsidRPr="00DF4CE5">
              <w:rPr>
                <w:rFonts w:ascii="Cambria" w:eastAsia="Times New Roman" w:hAnsi="Cambria" w:cs="Calibri"/>
                <w:lang w:val="hr-HR"/>
              </w:rPr>
              <w:t>Studenti koji imaju u bilo kom obliku narušen zdravstveni status, dužni su već na početku akademske godine priložiti zdravstvenu dokumentaciju i mišljenje nadležnog sveučilišnog liječnika o eventualnoj djelomičnoj poštedi s posebnim naglaskom na onaj dio aktivnosti u Kineziološkoj kulturi, kojih bi zbog narušenog zdravstvenog statusa trebali biti djelomično pošteđeni.</w:t>
            </w:r>
          </w:p>
          <w:p w14:paraId="18753B1B" w14:textId="77777777" w:rsidR="00510729" w:rsidRPr="00DF4CE5" w:rsidRDefault="00510729" w:rsidP="00510729">
            <w:pPr>
              <w:tabs>
                <w:tab w:val="left" w:pos="376"/>
              </w:tabs>
              <w:spacing w:after="0" w:line="240" w:lineRule="auto"/>
              <w:jc w:val="both"/>
              <w:rPr>
                <w:rFonts w:ascii="Cambria" w:eastAsia="Times New Roman" w:hAnsi="Cambria" w:cs="Calibri"/>
                <w:lang w:val="hr-HR"/>
              </w:rPr>
            </w:pPr>
            <w:r w:rsidRPr="00DF4CE5">
              <w:rPr>
                <w:rFonts w:ascii="Cambria" w:eastAsia="Times New Roman" w:hAnsi="Cambria" w:cs="Calibri"/>
                <w:lang w:val="hr-HR"/>
              </w:rPr>
              <w:t>Vrijeme konzultacija bit će određeno na početku svakog semestra (nakon službene objave rasporeda sati).</w:t>
            </w:r>
          </w:p>
          <w:p w14:paraId="64693E2B" w14:textId="77777777" w:rsidR="00510729" w:rsidRPr="00DF4CE5" w:rsidRDefault="00510729" w:rsidP="00510729">
            <w:pPr>
              <w:tabs>
                <w:tab w:val="left" w:pos="376"/>
              </w:tabs>
              <w:spacing w:after="0" w:line="240" w:lineRule="auto"/>
              <w:jc w:val="both"/>
              <w:rPr>
                <w:rFonts w:ascii="Cambria" w:eastAsia="Times New Roman" w:hAnsi="Cambria" w:cs="Calibri"/>
                <w:lang w:val="hr-HR"/>
              </w:rPr>
            </w:pPr>
            <w:r w:rsidRPr="00DF4CE5">
              <w:rPr>
                <w:rFonts w:ascii="Cambria" w:eastAsia="Times New Roman" w:hAnsi="Cambria" w:cs="Calibri"/>
                <w:lang w:val="hr-HR"/>
              </w:rPr>
              <w:t>U slučaju održavanja nastave na daljinu, moguće je odstupanje u: mjestu izvođenja kolegija, provedbi aktivnosti, metoda tumačenja i poučavanja i načinima vrednovanja, studentskim obvezama i dostupnoj literaturi. O tome će nositeljica kolegija i suradnik obavijestiti studente i studentice kad se nastava na daljinu počne održavati. Ishodi učenja ostaju nepromijenjeni.</w:t>
            </w:r>
          </w:p>
        </w:tc>
      </w:tr>
      <w:tr w:rsidR="00510729" w:rsidRPr="00D0399C" w14:paraId="0FF3A522" w14:textId="77777777" w:rsidTr="00510729">
        <w:trPr>
          <w:trHeight w:val="770"/>
        </w:trPr>
        <w:tc>
          <w:tcPr>
            <w:tcW w:w="21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B5C7A03"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Literatura</w:t>
            </w:r>
          </w:p>
        </w:tc>
        <w:tc>
          <w:tcPr>
            <w:tcW w:w="7231"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45C19603" w14:textId="77777777" w:rsidR="00510729" w:rsidRPr="00DF4CE5" w:rsidRDefault="00510729" w:rsidP="00510729">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Obvezna: Literatura nije obvezna.</w:t>
            </w:r>
          </w:p>
          <w:p w14:paraId="2EA4D186" w14:textId="77777777" w:rsidR="00510729" w:rsidRPr="00DF4CE5" w:rsidRDefault="00510729" w:rsidP="00510729">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Izborna:</w:t>
            </w:r>
          </w:p>
          <w:p w14:paraId="0406D2C2" w14:textId="77777777" w:rsidR="00510729" w:rsidRPr="00DF4CE5" w:rsidRDefault="00510729" w:rsidP="00510729">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1. </w:t>
            </w:r>
            <w:proofErr w:type="spellStart"/>
            <w:r w:rsidRPr="00DF4CE5">
              <w:rPr>
                <w:rFonts w:ascii="Cambria" w:eastAsia="Times New Roman" w:hAnsi="Cambria" w:cs="Calibri"/>
                <w:lang w:val="hr-HR"/>
              </w:rPr>
              <w:t>Findak</w:t>
            </w:r>
            <w:proofErr w:type="spellEnd"/>
            <w:r w:rsidRPr="00DF4CE5">
              <w:rPr>
                <w:rFonts w:ascii="Cambria" w:eastAsia="Times New Roman" w:hAnsi="Cambria" w:cs="Calibri"/>
                <w:lang w:val="hr-HR"/>
              </w:rPr>
              <w:t xml:space="preserve">, V. (2001). </w:t>
            </w:r>
            <w:r w:rsidRPr="00DF4CE5">
              <w:rPr>
                <w:rFonts w:ascii="Cambria" w:eastAsia="Times New Roman" w:hAnsi="Cambria" w:cs="Calibri"/>
                <w:i/>
                <w:lang w:val="hr-HR"/>
              </w:rPr>
              <w:t>Metodika tjelesne i zdravstvene kulture</w:t>
            </w:r>
            <w:r w:rsidRPr="00DF4CE5">
              <w:rPr>
                <w:rFonts w:ascii="Cambria" w:eastAsia="Times New Roman" w:hAnsi="Cambria" w:cs="Calibri"/>
                <w:lang w:val="hr-HR"/>
              </w:rPr>
              <w:t>. Zagreb: Školska knjiga.</w:t>
            </w:r>
          </w:p>
          <w:p w14:paraId="14CFFE1F" w14:textId="77777777" w:rsidR="00510729" w:rsidRPr="00DF4CE5" w:rsidRDefault="00510729" w:rsidP="00510729">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2. </w:t>
            </w:r>
            <w:proofErr w:type="spellStart"/>
            <w:r w:rsidRPr="00DF4CE5">
              <w:rPr>
                <w:rFonts w:ascii="Cambria" w:eastAsia="Times New Roman" w:hAnsi="Cambria" w:cs="Calibri"/>
                <w:lang w:val="hr-HR"/>
              </w:rPr>
              <w:t>Findak</w:t>
            </w:r>
            <w:proofErr w:type="spellEnd"/>
            <w:r w:rsidRPr="00DF4CE5">
              <w:rPr>
                <w:rFonts w:ascii="Cambria" w:eastAsia="Times New Roman" w:hAnsi="Cambria" w:cs="Calibri"/>
                <w:lang w:val="hr-HR"/>
              </w:rPr>
              <w:t xml:space="preserve">, V., Prskalo, I., Babin, J. (2011). </w:t>
            </w:r>
            <w:r w:rsidRPr="00DF4CE5">
              <w:rPr>
                <w:rFonts w:ascii="Cambria" w:eastAsia="Times New Roman" w:hAnsi="Cambria" w:cs="Calibri"/>
                <w:i/>
                <w:lang w:val="hr-HR"/>
              </w:rPr>
              <w:t>Sat Tjelesne i zdravstvene kulture u primarnoj edukaciji.</w:t>
            </w:r>
            <w:r w:rsidRPr="00DF4CE5">
              <w:rPr>
                <w:rFonts w:ascii="Cambria" w:eastAsia="Times New Roman" w:hAnsi="Cambria" w:cs="Calibri"/>
                <w:lang w:val="hr-HR"/>
              </w:rPr>
              <w:t xml:space="preserve"> Zagreb: Učiteljski fakultet Sveučilišta u Zagrebu.</w:t>
            </w:r>
          </w:p>
          <w:p w14:paraId="0A54B418" w14:textId="77777777" w:rsidR="00510729" w:rsidRPr="00DF4CE5" w:rsidRDefault="00510729" w:rsidP="00510729">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3. </w:t>
            </w:r>
            <w:proofErr w:type="spellStart"/>
            <w:r w:rsidRPr="00DF4CE5">
              <w:rPr>
                <w:rFonts w:ascii="Cambria" w:eastAsia="Times New Roman" w:hAnsi="Cambria" w:cs="Calibri"/>
                <w:lang w:val="hr-HR"/>
              </w:rPr>
              <w:t>Kosinac</w:t>
            </w:r>
            <w:proofErr w:type="spellEnd"/>
            <w:r w:rsidRPr="00DF4CE5">
              <w:rPr>
                <w:rFonts w:ascii="Cambria" w:eastAsia="Times New Roman" w:hAnsi="Cambria" w:cs="Calibri"/>
                <w:lang w:val="hr-HR"/>
              </w:rPr>
              <w:t xml:space="preserve">, Z. (2011). </w:t>
            </w:r>
            <w:r w:rsidRPr="00DF4CE5">
              <w:rPr>
                <w:rFonts w:ascii="Cambria" w:eastAsia="Times New Roman" w:hAnsi="Cambria" w:cs="Calibri"/>
                <w:i/>
                <w:lang w:val="hr-HR"/>
              </w:rPr>
              <w:t>Morfološko-motorički i funkcionalni razvoj djece uzrasne dobi od 5. do 11. godine</w:t>
            </w:r>
            <w:r w:rsidRPr="00DF4CE5">
              <w:rPr>
                <w:rFonts w:ascii="Cambria" w:eastAsia="Times New Roman" w:hAnsi="Cambria" w:cs="Calibri"/>
                <w:lang w:val="hr-HR"/>
              </w:rPr>
              <w:t>. Split: Savez školskih športskih društava grada Splita.</w:t>
            </w:r>
          </w:p>
          <w:p w14:paraId="6E8DC579" w14:textId="77777777" w:rsidR="00510729" w:rsidRPr="00DF4CE5" w:rsidRDefault="00510729" w:rsidP="00510729">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4. Pejčić, A. i </w:t>
            </w:r>
            <w:proofErr w:type="spellStart"/>
            <w:r w:rsidRPr="00DF4CE5">
              <w:rPr>
                <w:rFonts w:ascii="Cambria" w:eastAsia="Times New Roman" w:hAnsi="Cambria" w:cs="Calibri"/>
                <w:lang w:val="hr-HR"/>
              </w:rPr>
              <w:t>Trajkovski</w:t>
            </w:r>
            <w:proofErr w:type="spellEnd"/>
            <w:r w:rsidRPr="00DF4CE5">
              <w:rPr>
                <w:rFonts w:ascii="Cambria" w:eastAsia="Times New Roman" w:hAnsi="Cambria" w:cs="Calibri"/>
                <w:lang w:val="hr-HR"/>
              </w:rPr>
              <w:t xml:space="preserve">, B. (2018). </w:t>
            </w:r>
            <w:r w:rsidRPr="00DF4CE5">
              <w:rPr>
                <w:rFonts w:ascii="Cambria" w:eastAsia="Times New Roman" w:hAnsi="Cambria" w:cs="Calibri"/>
                <w:i/>
                <w:lang w:val="hr-HR"/>
              </w:rPr>
              <w:t>Što i kako vježbati s djecom u vrtiću i školi.</w:t>
            </w:r>
            <w:r w:rsidRPr="00DF4CE5">
              <w:rPr>
                <w:rFonts w:ascii="Cambria" w:eastAsia="Times New Roman" w:hAnsi="Cambria" w:cs="Calibri"/>
                <w:lang w:val="hr-HR"/>
              </w:rPr>
              <w:t xml:space="preserve"> Rijeka: Učiteljski fakultet Sveučilišta u Rijeci.</w:t>
            </w:r>
          </w:p>
          <w:p w14:paraId="4FDD9B1B" w14:textId="5440E65F" w:rsidR="00510729" w:rsidRPr="00DF4CE5" w:rsidRDefault="00510729" w:rsidP="00510729">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5. Prskalo, I., Sporiš, G. (2016). </w:t>
            </w:r>
            <w:r w:rsidRPr="00DF4CE5">
              <w:rPr>
                <w:rFonts w:ascii="Cambria" w:eastAsia="Times New Roman" w:hAnsi="Cambria" w:cs="Calibri"/>
                <w:i/>
                <w:lang w:val="hr-HR"/>
              </w:rPr>
              <w:t>Osnove kineziologije</w:t>
            </w:r>
            <w:r w:rsidRPr="00DF4CE5">
              <w:rPr>
                <w:rFonts w:ascii="Cambria" w:eastAsia="Times New Roman" w:hAnsi="Cambria" w:cs="Calibri"/>
                <w:lang w:val="hr-HR"/>
              </w:rPr>
              <w:t>. Zagreb: Školska knjiga, Učiteljski fakultet i Kineziološki fakultet Sveučilišta u Zagrebu.</w:t>
            </w:r>
          </w:p>
          <w:p w14:paraId="0394473C" w14:textId="77777777" w:rsidR="00510729" w:rsidRPr="00DF4CE5" w:rsidRDefault="00510729" w:rsidP="00510729">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6. Sekulić, D., Metikoš, D. (2007). </w:t>
            </w:r>
            <w:r w:rsidRPr="00DF4CE5">
              <w:rPr>
                <w:rFonts w:ascii="Cambria" w:eastAsia="Times New Roman" w:hAnsi="Cambria" w:cs="Calibri"/>
                <w:i/>
                <w:lang w:val="hr-HR"/>
              </w:rPr>
              <w:t>Osnove transformacijskih postupaka u kineziologiji.</w:t>
            </w:r>
            <w:r w:rsidRPr="00DF4CE5">
              <w:rPr>
                <w:rFonts w:ascii="Cambria" w:eastAsia="Times New Roman" w:hAnsi="Cambria" w:cs="Calibri"/>
                <w:lang w:val="hr-HR"/>
              </w:rPr>
              <w:t xml:space="preserve"> Sveučilište u Splitu: Fakultet prirodoslovno-matematičkih znanosti i kineziologije.</w:t>
            </w:r>
          </w:p>
          <w:p w14:paraId="6A7D75E7" w14:textId="77777777" w:rsidR="00510729" w:rsidRPr="00DF4CE5" w:rsidRDefault="00510729" w:rsidP="00510729">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Priručna:</w:t>
            </w:r>
          </w:p>
          <w:p w14:paraId="6A210618" w14:textId="77777777" w:rsidR="00510729" w:rsidRPr="00DF4CE5" w:rsidRDefault="00510729" w:rsidP="00510729">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1. </w:t>
            </w:r>
            <w:proofErr w:type="spellStart"/>
            <w:r w:rsidRPr="00DF4CE5">
              <w:rPr>
                <w:rFonts w:ascii="Cambria" w:eastAsia="Times New Roman" w:hAnsi="Cambria" w:cs="Calibri"/>
                <w:lang w:val="hr-HR"/>
              </w:rPr>
              <w:t>Findak</w:t>
            </w:r>
            <w:proofErr w:type="spellEnd"/>
            <w:r w:rsidRPr="00DF4CE5">
              <w:rPr>
                <w:rFonts w:ascii="Cambria" w:eastAsia="Times New Roman" w:hAnsi="Cambria" w:cs="Calibri"/>
                <w:lang w:val="hr-HR"/>
              </w:rPr>
              <w:t xml:space="preserve">, V., Metikoš, D., Mraković, M., </w:t>
            </w:r>
            <w:proofErr w:type="spellStart"/>
            <w:r w:rsidRPr="00DF4CE5">
              <w:rPr>
                <w:rFonts w:ascii="Cambria" w:eastAsia="Times New Roman" w:hAnsi="Cambria" w:cs="Calibri"/>
                <w:lang w:val="hr-HR"/>
              </w:rPr>
              <w:t>Neljak</w:t>
            </w:r>
            <w:proofErr w:type="spellEnd"/>
            <w:r w:rsidRPr="00DF4CE5">
              <w:rPr>
                <w:rFonts w:ascii="Cambria" w:eastAsia="Times New Roman" w:hAnsi="Cambria" w:cs="Calibri"/>
                <w:lang w:val="hr-HR"/>
              </w:rPr>
              <w:t xml:space="preserve">, B. (1996). </w:t>
            </w:r>
            <w:r w:rsidRPr="00DF4CE5">
              <w:rPr>
                <w:rFonts w:ascii="Cambria" w:eastAsia="Times New Roman" w:hAnsi="Cambria" w:cs="Calibri"/>
                <w:i/>
                <w:lang w:val="hr-HR"/>
              </w:rPr>
              <w:t>Primijenjena kineziologija u školstvu-NORME</w:t>
            </w:r>
            <w:r w:rsidRPr="00DF4CE5">
              <w:rPr>
                <w:rFonts w:ascii="Cambria" w:eastAsia="Times New Roman" w:hAnsi="Cambria" w:cs="Calibri"/>
                <w:lang w:val="hr-HR"/>
              </w:rPr>
              <w:t>. Zagreb: Hrvatski pedagoško-književni zbor, Fakultet za fizičku kulturu Sveučilišta u Zagrebu.</w:t>
            </w:r>
          </w:p>
        </w:tc>
      </w:tr>
    </w:tbl>
    <w:p w14:paraId="53FE9F4E" w14:textId="77777777" w:rsidR="00AC6110" w:rsidRPr="00DF4CE5" w:rsidRDefault="00AC6110">
      <w:pPr>
        <w:rPr>
          <w:rFonts w:ascii="Cambria" w:eastAsia="Cambria" w:hAnsi="Cambria" w:cs="Cambria"/>
          <w:lang w:val="hr-HR"/>
        </w:rPr>
      </w:pPr>
      <w:r w:rsidRPr="00DF4CE5">
        <w:rPr>
          <w:rFonts w:ascii="Cambria" w:eastAsia="Cambria" w:hAnsi="Cambria" w:cs="Cambria"/>
          <w:lang w:val="hr-HR"/>
        </w:rPr>
        <w:br w:type="page"/>
      </w:r>
    </w:p>
    <w:tbl>
      <w:tblPr>
        <w:tblW w:w="0" w:type="auto"/>
        <w:tblInd w:w="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470"/>
        <w:gridCol w:w="2052"/>
        <w:gridCol w:w="413"/>
        <w:gridCol w:w="759"/>
        <w:gridCol w:w="876"/>
        <w:gridCol w:w="881"/>
        <w:gridCol w:w="1891"/>
      </w:tblGrid>
      <w:tr w:rsidR="00AC6110" w:rsidRPr="00DF4CE5" w14:paraId="256E988A" w14:textId="77777777" w:rsidTr="00DF4CE5">
        <w:trPr>
          <w:trHeight w:val="426"/>
        </w:trPr>
        <w:tc>
          <w:tcPr>
            <w:tcW w:w="9342" w:type="dxa"/>
            <w:gridSpan w:val="7"/>
            <w:shd w:val="clear" w:color="auto" w:fill="F3F3F3"/>
          </w:tcPr>
          <w:p w14:paraId="6A32442E" w14:textId="77777777" w:rsidR="00AC6110" w:rsidRPr="00DF4CE5" w:rsidRDefault="00AC6110" w:rsidP="00AC6110">
            <w:pPr>
              <w:widowControl w:val="0"/>
              <w:autoSpaceDE w:val="0"/>
              <w:autoSpaceDN w:val="0"/>
              <w:spacing w:after="0" w:line="240" w:lineRule="auto"/>
              <w:ind w:left="5095"/>
              <w:rPr>
                <w:rFonts w:ascii="Cambria" w:eastAsia="Cambria" w:hAnsi="Cambria" w:cs="Cambria"/>
                <w:b/>
                <w:lang w:val="hr-HR"/>
              </w:rPr>
            </w:pPr>
            <w:r w:rsidRPr="00DF4CE5">
              <w:rPr>
                <w:rFonts w:ascii="Cambria" w:eastAsia="Cambria" w:hAnsi="Cambria" w:cs="Cambria"/>
                <w:b/>
                <w:lang w:val="hr-HR"/>
              </w:rPr>
              <w:lastRenderedPageBreak/>
              <w:t>IZVEDBENI</w:t>
            </w:r>
            <w:r w:rsidRPr="00DF4CE5">
              <w:rPr>
                <w:rFonts w:ascii="Cambria" w:eastAsia="Cambria" w:hAnsi="Cambria" w:cs="Cambria"/>
                <w:b/>
                <w:spacing w:val="-4"/>
                <w:lang w:val="hr-HR"/>
              </w:rPr>
              <w:t xml:space="preserve"> </w:t>
            </w:r>
            <w:r w:rsidRPr="00DF4CE5">
              <w:rPr>
                <w:rFonts w:ascii="Cambria" w:eastAsia="Cambria" w:hAnsi="Cambria" w:cs="Cambria"/>
                <w:b/>
                <w:lang w:val="hr-HR"/>
              </w:rPr>
              <w:t>PLAN</w:t>
            </w:r>
            <w:r w:rsidRPr="00DF4CE5">
              <w:rPr>
                <w:rFonts w:ascii="Cambria" w:eastAsia="Cambria" w:hAnsi="Cambria" w:cs="Cambria"/>
                <w:b/>
                <w:spacing w:val="-2"/>
                <w:lang w:val="hr-HR"/>
              </w:rPr>
              <w:t xml:space="preserve"> </w:t>
            </w:r>
            <w:r w:rsidRPr="00DF4CE5">
              <w:rPr>
                <w:rFonts w:ascii="Cambria" w:eastAsia="Cambria" w:hAnsi="Cambria" w:cs="Cambria"/>
                <w:b/>
                <w:lang w:val="hr-HR"/>
              </w:rPr>
              <w:t>NASTAVE</w:t>
            </w:r>
            <w:r w:rsidRPr="00DF4CE5">
              <w:rPr>
                <w:rFonts w:ascii="Cambria" w:eastAsia="Cambria" w:hAnsi="Cambria" w:cs="Cambria"/>
                <w:b/>
                <w:spacing w:val="-3"/>
                <w:lang w:val="hr-HR"/>
              </w:rPr>
              <w:t xml:space="preserve"> </w:t>
            </w:r>
            <w:r w:rsidRPr="00DF4CE5">
              <w:rPr>
                <w:rFonts w:ascii="Cambria" w:eastAsia="Cambria" w:hAnsi="Cambria" w:cs="Cambria"/>
                <w:b/>
                <w:lang w:val="hr-HR"/>
              </w:rPr>
              <w:t>KOLEGIJA</w:t>
            </w:r>
          </w:p>
        </w:tc>
      </w:tr>
      <w:tr w:rsidR="00AC6110" w:rsidRPr="00DF4CE5" w14:paraId="104116E5" w14:textId="77777777" w:rsidTr="00DF4CE5">
        <w:trPr>
          <w:trHeight w:val="704"/>
        </w:trPr>
        <w:tc>
          <w:tcPr>
            <w:tcW w:w="2470" w:type="dxa"/>
            <w:shd w:val="clear" w:color="auto" w:fill="F3F3F3"/>
          </w:tcPr>
          <w:p w14:paraId="1EDEBB54" w14:textId="77777777" w:rsidR="00AC6110" w:rsidRPr="00DF4CE5" w:rsidRDefault="00AC6110" w:rsidP="00AC6110">
            <w:pPr>
              <w:widowControl w:val="0"/>
              <w:autoSpaceDE w:val="0"/>
              <w:autoSpaceDN w:val="0"/>
              <w:spacing w:after="0" w:line="240" w:lineRule="auto"/>
              <w:ind w:left="143"/>
              <w:rPr>
                <w:rFonts w:ascii="Cambria" w:eastAsia="Cambria" w:hAnsi="Cambria" w:cs="Cambria"/>
                <w:lang w:val="hr-HR"/>
              </w:rPr>
            </w:pPr>
            <w:r w:rsidRPr="00DF4CE5">
              <w:rPr>
                <w:rFonts w:ascii="Cambria" w:eastAsia="Cambria" w:hAnsi="Cambria" w:cs="Cambria"/>
                <w:lang w:val="hr-HR"/>
              </w:rPr>
              <w:t>Kod</w:t>
            </w:r>
            <w:r w:rsidRPr="00DF4CE5">
              <w:rPr>
                <w:rFonts w:ascii="Cambria" w:eastAsia="Cambria" w:hAnsi="Cambria" w:cs="Cambria"/>
                <w:spacing w:val="-4"/>
                <w:lang w:val="hr-HR"/>
              </w:rPr>
              <w:t xml:space="preserve"> </w:t>
            </w:r>
            <w:r w:rsidRPr="00DF4CE5">
              <w:rPr>
                <w:rFonts w:ascii="Cambria" w:eastAsia="Cambria" w:hAnsi="Cambria" w:cs="Cambria"/>
                <w:lang w:val="hr-HR"/>
              </w:rPr>
              <w:t>i</w:t>
            </w:r>
            <w:r w:rsidRPr="00DF4CE5">
              <w:rPr>
                <w:rFonts w:ascii="Cambria" w:eastAsia="Cambria" w:hAnsi="Cambria" w:cs="Cambria"/>
                <w:spacing w:val="-1"/>
                <w:lang w:val="hr-HR"/>
              </w:rPr>
              <w:t xml:space="preserve"> </w:t>
            </w:r>
            <w:r w:rsidRPr="00DF4CE5">
              <w:rPr>
                <w:rFonts w:ascii="Cambria" w:eastAsia="Cambria" w:hAnsi="Cambria" w:cs="Cambria"/>
                <w:lang w:val="hr-HR"/>
              </w:rPr>
              <w:t>naziv</w:t>
            </w:r>
            <w:r w:rsidRPr="00DF4CE5">
              <w:rPr>
                <w:rFonts w:ascii="Cambria" w:eastAsia="Cambria" w:hAnsi="Cambria" w:cs="Cambria"/>
                <w:spacing w:val="-1"/>
                <w:lang w:val="hr-HR"/>
              </w:rPr>
              <w:t xml:space="preserve"> </w:t>
            </w:r>
            <w:r w:rsidRPr="00DF4CE5">
              <w:rPr>
                <w:rFonts w:ascii="Cambria" w:eastAsia="Cambria" w:hAnsi="Cambria" w:cs="Cambria"/>
                <w:lang w:val="hr-HR"/>
              </w:rPr>
              <w:t>kolegija</w:t>
            </w:r>
          </w:p>
        </w:tc>
        <w:tc>
          <w:tcPr>
            <w:tcW w:w="6872" w:type="dxa"/>
            <w:gridSpan w:val="6"/>
          </w:tcPr>
          <w:p w14:paraId="61C54D25" w14:textId="77777777" w:rsidR="00AC6110" w:rsidRPr="00DF4CE5" w:rsidRDefault="00AC6110" w:rsidP="00AC6110">
            <w:pPr>
              <w:widowControl w:val="0"/>
              <w:autoSpaceDE w:val="0"/>
              <w:autoSpaceDN w:val="0"/>
              <w:spacing w:after="0" w:line="240" w:lineRule="auto"/>
              <w:ind w:left="143"/>
              <w:rPr>
                <w:rFonts w:ascii="Cambria" w:eastAsia="Cambria" w:hAnsi="Cambria" w:cs="Cambria"/>
                <w:lang w:val="hr-HR"/>
              </w:rPr>
            </w:pPr>
            <w:r w:rsidRPr="00DF4CE5">
              <w:rPr>
                <w:rFonts w:ascii="Cambria" w:eastAsia="Cambria" w:hAnsi="Cambria" w:cs="Cambria"/>
                <w:lang w:val="hr-HR"/>
              </w:rPr>
              <w:t>66268</w:t>
            </w:r>
          </w:p>
          <w:p w14:paraId="692D7728" w14:textId="50A37987" w:rsidR="00AC6110" w:rsidRPr="00DF4CE5" w:rsidRDefault="00AC6110" w:rsidP="00AC6110">
            <w:pPr>
              <w:widowControl w:val="0"/>
              <w:autoSpaceDE w:val="0"/>
              <w:autoSpaceDN w:val="0"/>
              <w:spacing w:after="0" w:line="240" w:lineRule="auto"/>
              <w:ind w:left="143"/>
              <w:rPr>
                <w:rFonts w:ascii="Cambria" w:eastAsia="Cambria" w:hAnsi="Cambria" w:cs="Cambria"/>
                <w:lang w:val="hr-HR"/>
              </w:rPr>
            </w:pPr>
            <w:r w:rsidRPr="00DF4CE5">
              <w:rPr>
                <w:rFonts w:ascii="Cambria" w:eastAsia="Cambria" w:hAnsi="Cambria" w:cs="Cambria"/>
                <w:lang w:val="hr-HR"/>
              </w:rPr>
              <w:t>Stručna</w:t>
            </w:r>
            <w:r w:rsidRPr="00DF4CE5">
              <w:rPr>
                <w:rFonts w:ascii="Cambria" w:eastAsia="Cambria" w:hAnsi="Cambria" w:cs="Cambria"/>
                <w:spacing w:val="-5"/>
                <w:lang w:val="hr-HR"/>
              </w:rPr>
              <w:t xml:space="preserve"> </w:t>
            </w:r>
            <w:r w:rsidRPr="00DF4CE5">
              <w:rPr>
                <w:rFonts w:ascii="Cambria" w:eastAsia="Cambria" w:hAnsi="Cambria" w:cs="Cambria"/>
                <w:lang w:val="hr-HR"/>
              </w:rPr>
              <w:t>praksa</w:t>
            </w:r>
            <w:r w:rsidRPr="00DF4CE5">
              <w:rPr>
                <w:rFonts w:ascii="Cambria" w:eastAsia="Cambria" w:hAnsi="Cambria" w:cs="Cambria"/>
                <w:spacing w:val="-4"/>
                <w:lang w:val="hr-HR"/>
              </w:rPr>
              <w:t xml:space="preserve"> </w:t>
            </w:r>
            <w:r w:rsidRPr="00DF4CE5">
              <w:rPr>
                <w:rFonts w:ascii="Cambria" w:eastAsia="Cambria" w:hAnsi="Cambria" w:cs="Cambria"/>
                <w:lang w:val="hr-HR"/>
              </w:rPr>
              <w:t>II</w:t>
            </w:r>
          </w:p>
        </w:tc>
      </w:tr>
      <w:tr w:rsidR="00AC6110" w:rsidRPr="00DF4CE5" w14:paraId="04E48DFD" w14:textId="77777777" w:rsidTr="00DF4CE5">
        <w:trPr>
          <w:trHeight w:val="426"/>
        </w:trPr>
        <w:tc>
          <w:tcPr>
            <w:tcW w:w="2470" w:type="dxa"/>
            <w:shd w:val="clear" w:color="auto" w:fill="F3F3F3"/>
          </w:tcPr>
          <w:p w14:paraId="2C180F1B" w14:textId="77777777" w:rsidR="00AC6110" w:rsidRPr="00DF4CE5" w:rsidRDefault="00AC6110" w:rsidP="00AC6110">
            <w:pPr>
              <w:widowControl w:val="0"/>
              <w:autoSpaceDE w:val="0"/>
              <w:autoSpaceDN w:val="0"/>
              <w:spacing w:after="0" w:line="240" w:lineRule="auto"/>
              <w:ind w:left="143"/>
              <w:rPr>
                <w:rFonts w:ascii="Cambria" w:eastAsia="Cambria" w:hAnsi="Cambria" w:cs="Cambria"/>
                <w:lang w:val="hr-HR"/>
              </w:rPr>
            </w:pPr>
            <w:r w:rsidRPr="00DF4CE5">
              <w:rPr>
                <w:rFonts w:ascii="Cambria" w:eastAsia="Cambria" w:hAnsi="Cambria" w:cs="Cambria"/>
                <w:lang w:val="hr-HR"/>
              </w:rPr>
              <w:t>Nastavnica</w:t>
            </w:r>
          </w:p>
        </w:tc>
        <w:tc>
          <w:tcPr>
            <w:tcW w:w="6872" w:type="dxa"/>
            <w:gridSpan w:val="6"/>
          </w:tcPr>
          <w:p w14:paraId="32085653" w14:textId="558D87D8" w:rsidR="00AC6110" w:rsidRPr="00DF4CE5" w:rsidRDefault="00AC6110" w:rsidP="00AC6110">
            <w:pPr>
              <w:widowControl w:val="0"/>
              <w:autoSpaceDE w:val="0"/>
              <w:autoSpaceDN w:val="0"/>
              <w:spacing w:after="0" w:line="240" w:lineRule="auto"/>
              <w:rPr>
                <w:rFonts w:ascii="Cambria" w:eastAsia="Cambria" w:hAnsi="Cambria" w:cs="Cambria"/>
                <w:lang w:val="hr-HR"/>
              </w:rPr>
            </w:pPr>
            <w:r w:rsidRPr="00DF4CE5">
              <w:rPr>
                <w:rFonts w:ascii="Cambria" w:eastAsia="Cambria" w:hAnsi="Cambria" w:cs="Cambria"/>
                <w:color w:val="0000FF"/>
                <w:spacing w:val="49"/>
                <w:lang w:val="hr-HR"/>
              </w:rPr>
              <w:t xml:space="preserve"> </w:t>
            </w:r>
            <w:hyperlink r:id="rId72" w:history="1">
              <w:r w:rsidRPr="00F942C2">
                <w:rPr>
                  <w:rStyle w:val="Hiperveza"/>
                  <w:rFonts w:ascii="Cambria" w:eastAsia="Cambria" w:hAnsi="Cambria" w:cs="Cambria"/>
                  <w:lang w:val="hr-HR"/>
                </w:rPr>
                <w:t>Doc.</w:t>
              </w:r>
              <w:r w:rsidRPr="00F942C2">
                <w:rPr>
                  <w:rStyle w:val="Hiperveza"/>
                  <w:rFonts w:ascii="Cambria" w:eastAsia="Cambria" w:hAnsi="Cambria" w:cs="Cambria"/>
                  <w:spacing w:val="-2"/>
                  <w:lang w:val="hr-HR"/>
                </w:rPr>
                <w:t xml:space="preserve"> </w:t>
              </w:r>
              <w:r w:rsidRPr="00F942C2">
                <w:rPr>
                  <w:rStyle w:val="Hiperveza"/>
                  <w:rFonts w:ascii="Cambria" w:eastAsia="Cambria" w:hAnsi="Cambria" w:cs="Cambria"/>
                  <w:lang w:val="hr-HR"/>
                </w:rPr>
                <w:t>dr.</w:t>
              </w:r>
              <w:r w:rsidRPr="00F942C2">
                <w:rPr>
                  <w:rStyle w:val="Hiperveza"/>
                  <w:rFonts w:ascii="Cambria" w:eastAsia="Cambria" w:hAnsi="Cambria" w:cs="Cambria"/>
                  <w:spacing w:val="-3"/>
                  <w:lang w:val="hr-HR"/>
                </w:rPr>
                <w:t xml:space="preserve"> </w:t>
              </w:r>
              <w:r w:rsidRPr="00F942C2">
                <w:rPr>
                  <w:rStyle w:val="Hiperveza"/>
                  <w:rFonts w:ascii="Cambria" w:eastAsia="Cambria" w:hAnsi="Cambria" w:cs="Cambria"/>
                  <w:lang w:val="hr-HR"/>
                </w:rPr>
                <w:t>sc.</w:t>
              </w:r>
              <w:r w:rsidRPr="00F942C2">
                <w:rPr>
                  <w:rStyle w:val="Hiperveza"/>
                  <w:rFonts w:ascii="Cambria" w:eastAsia="Cambria" w:hAnsi="Cambria" w:cs="Cambria"/>
                  <w:spacing w:val="-2"/>
                  <w:lang w:val="hr-HR"/>
                </w:rPr>
                <w:t xml:space="preserve"> </w:t>
              </w:r>
              <w:r w:rsidRPr="00F942C2">
                <w:rPr>
                  <w:rStyle w:val="Hiperveza"/>
                  <w:rFonts w:ascii="Cambria" w:eastAsia="Cambria" w:hAnsi="Cambria" w:cs="Cambria"/>
                  <w:lang w:val="hr-HR"/>
                </w:rPr>
                <w:t>Irena</w:t>
              </w:r>
              <w:r w:rsidRPr="00F942C2">
                <w:rPr>
                  <w:rStyle w:val="Hiperveza"/>
                  <w:rFonts w:ascii="Cambria" w:eastAsia="Cambria" w:hAnsi="Cambria" w:cs="Cambria"/>
                  <w:spacing w:val="-3"/>
                  <w:lang w:val="hr-HR"/>
                </w:rPr>
                <w:t xml:space="preserve"> </w:t>
              </w:r>
              <w:r w:rsidRPr="00F942C2">
                <w:rPr>
                  <w:rStyle w:val="Hiperveza"/>
                  <w:rFonts w:ascii="Cambria" w:eastAsia="Cambria" w:hAnsi="Cambria" w:cs="Cambria"/>
                  <w:lang w:val="hr-HR"/>
                </w:rPr>
                <w:t>Kiss</w:t>
              </w:r>
            </w:hyperlink>
            <w:r w:rsidRPr="00F942C2">
              <w:rPr>
                <w:rFonts w:ascii="Cambria" w:eastAsia="Cambria" w:hAnsi="Cambria" w:cs="Cambria"/>
                <w:spacing w:val="-1"/>
                <w:lang w:val="hr-HR"/>
              </w:rPr>
              <w:t xml:space="preserve"> </w:t>
            </w:r>
            <w:r w:rsidRPr="00DF4CE5">
              <w:rPr>
                <w:rFonts w:ascii="Cambria" w:eastAsia="Cambria" w:hAnsi="Cambria" w:cs="Cambria"/>
                <w:lang w:val="hr-HR"/>
              </w:rPr>
              <w:t>(nositeljica)</w:t>
            </w:r>
          </w:p>
        </w:tc>
      </w:tr>
      <w:tr w:rsidR="00AC6110" w:rsidRPr="00DF4CE5" w14:paraId="72A1D495" w14:textId="77777777" w:rsidTr="00DF4CE5">
        <w:trPr>
          <w:trHeight w:val="707"/>
        </w:trPr>
        <w:tc>
          <w:tcPr>
            <w:tcW w:w="2470" w:type="dxa"/>
            <w:shd w:val="clear" w:color="auto" w:fill="F3F3F3"/>
          </w:tcPr>
          <w:p w14:paraId="4F27E299" w14:textId="77777777" w:rsidR="00AC6110" w:rsidRPr="00DF4CE5" w:rsidRDefault="00AC6110" w:rsidP="00AC6110">
            <w:pPr>
              <w:widowControl w:val="0"/>
              <w:autoSpaceDE w:val="0"/>
              <w:autoSpaceDN w:val="0"/>
              <w:spacing w:after="0" w:line="240" w:lineRule="auto"/>
              <w:ind w:left="143"/>
              <w:rPr>
                <w:rFonts w:ascii="Cambria" w:eastAsia="Cambria" w:hAnsi="Cambria" w:cs="Cambria"/>
                <w:lang w:val="hr-HR"/>
              </w:rPr>
            </w:pPr>
            <w:r w:rsidRPr="00DF4CE5">
              <w:rPr>
                <w:rFonts w:ascii="Cambria" w:eastAsia="Cambria" w:hAnsi="Cambria" w:cs="Cambria"/>
                <w:lang w:val="hr-HR"/>
              </w:rPr>
              <w:t>Studijski</w:t>
            </w:r>
            <w:r w:rsidRPr="00DF4CE5">
              <w:rPr>
                <w:rFonts w:ascii="Cambria" w:eastAsia="Cambria" w:hAnsi="Cambria" w:cs="Cambria"/>
                <w:spacing w:val="-4"/>
                <w:lang w:val="hr-HR"/>
              </w:rPr>
              <w:t xml:space="preserve"> </w:t>
            </w:r>
            <w:r w:rsidRPr="00DF4CE5">
              <w:rPr>
                <w:rFonts w:ascii="Cambria" w:eastAsia="Cambria" w:hAnsi="Cambria" w:cs="Cambria"/>
                <w:lang w:val="hr-HR"/>
              </w:rPr>
              <w:t>program</w:t>
            </w:r>
          </w:p>
        </w:tc>
        <w:tc>
          <w:tcPr>
            <w:tcW w:w="6872" w:type="dxa"/>
            <w:gridSpan w:val="6"/>
          </w:tcPr>
          <w:p w14:paraId="482CF08E" w14:textId="77777777" w:rsidR="00AC6110" w:rsidRPr="00DF4CE5" w:rsidRDefault="00AC6110" w:rsidP="00AC6110">
            <w:pPr>
              <w:widowControl w:val="0"/>
              <w:autoSpaceDE w:val="0"/>
              <w:autoSpaceDN w:val="0"/>
              <w:spacing w:after="0" w:line="240" w:lineRule="auto"/>
              <w:ind w:left="143"/>
              <w:rPr>
                <w:rFonts w:ascii="Cambria" w:eastAsia="Cambria" w:hAnsi="Cambria" w:cs="Cambria"/>
                <w:lang w:val="hr-HR"/>
              </w:rPr>
            </w:pPr>
            <w:r w:rsidRPr="00DF4CE5">
              <w:rPr>
                <w:rFonts w:ascii="Cambria" w:eastAsia="Cambria" w:hAnsi="Cambria" w:cs="Cambria"/>
                <w:lang w:val="hr-HR"/>
              </w:rPr>
              <w:t>Sveučilišni</w:t>
            </w:r>
            <w:r w:rsidRPr="00DF4CE5">
              <w:rPr>
                <w:rFonts w:ascii="Cambria" w:eastAsia="Cambria" w:hAnsi="Cambria" w:cs="Cambria"/>
                <w:spacing w:val="-13"/>
                <w:lang w:val="hr-HR"/>
              </w:rPr>
              <w:t xml:space="preserve"> </w:t>
            </w:r>
            <w:r w:rsidRPr="00DF4CE5">
              <w:rPr>
                <w:rFonts w:ascii="Cambria" w:eastAsia="Cambria" w:hAnsi="Cambria" w:cs="Cambria"/>
                <w:lang w:val="hr-HR"/>
              </w:rPr>
              <w:t>integrirani</w:t>
            </w:r>
            <w:r w:rsidRPr="00DF4CE5">
              <w:rPr>
                <w:rFonts w:ascii="Cambria" w:eastAsia="Cambria" w:hAnsi="Cambria" w:cs="Cambria"/>
                <w:spacing w:val="-12"/>
                <w:lang w:val="hr-HR"/>
              </w:rPr>
              <w:t xml:space="preserve"> </w:t>
            </w:r>
            <w:r w:rsidRPr="00DF4CE5">
              <w:rPr>
                <w:rFonts w:ascii="Cambria" w:eastAsia="Cambria" w:hAnsi="Cambria" w:cs="Cambria"/>
                <w:lang w:val="hr-HR"/>
              </w:rPr>
              <w:t>prijediplomski</w:t>
            </w:r>
            <w:r w:rsidRPr="00DF4CE5">
              <w:rPr>
                <w:rFonts w:ascii="Cambria" w:eastAsia="Cambria" w:hAnsi="Cambria" w:cs="Cambria"/>
                <w:spacing w:val="-13"/>
                <w:lang w:val="hr-HR"/>
              </w:rPr>
              <w:t xml:space="preserve"> </w:t>
            </w:r>
            <w:r w:rsidRPr="00DF4CE5">
              <w:rPr>
                <w:rFonts w:ascii="Cambria" w:eastAsia="Cambria" w:hAnsi="Cambria" w:cs="Cambria"/>
                <w:lang w:val="hr-HR"/>
              </w:rPr>
              <w:t>i</w:t>
            </w:r>
            <w:r w:rsidRPr="00DF4CE5">
              <w:rPr>
                <w:rFonts w:ascii="Cambria" w:eastAsia="Cambria" w:hAnsi="Cambria" w:cs="Cambria"/>
                <w:spacing w:val="-12"/>
                <w:lang w:val="hr-HR"/>
              </w:rPr>
              <w:t xml:space="preserve"> </w:t>
            </w:r>
            <w:r w:rsidRPr="00DF4CE5">
              <w:rPr>
                <w:rFonts w:ascii="Cambria" w:eastAsia="Cambria" w:hAnsi="Cambria" w:cs="Cambria"/>
                <w:lang w:val="hr-HR"/>
              </w:rPr>
              <w:t>diplomski</w:t>
            </w:r>
            <w:r w:rsidRPr="00DF4CE5">
              <w:rPr>
                <w:rFonts w:ascii="Cambria" w:eastAsia="Cambria" w:hAnsi="Cambria" w:cs="Cambria"/>
                <w:spacing w:val="-13"/>
                <w:lang w:val="hr-HR"/>
              </w:rPr>
              <w:t xml:space="preserve"> </w:t>
            </w:r>
            <w:r w:rsidRPr="00DF4CE5">
              <w:rPr>
                <w:rFonts w:ascii="Cambria" w:eastAsia="Cambria" w:hAnsi="Cambria" w:cs="Cambria"/>
                <w:lang w:val="hr-HR"/>
              </w:rPr>
              <w:t>Učiteljski</w:t>
            </w:r>
            <w:r w:rsidRPr="00DF4CE5">
              <w:rPr>
                <w:rFonts w:ascii="Cambria" w:eastAsia="Cambria" w:hAnsi="Cambria" w:cs="Cambria"/>
                <w:spacing w:val="-13"/>
                <w:lang w:val="hr-HR"/>
              </w:rPr>
              <w:t xml:space="preserve"> </w:t>
            </w:r>
            <w:r w:rsidRPr="00DF4CE5">
              <w:rPr>
                <w:rFonts w:ascii="Cambria" w:eastAsia="Cambria" w:hAnsi="Cambria" w:cs="Cambria"/>
                <w:lang w:val="hr-HR"/>
              </w:rPr>
              <w:t>studij</w:t>
            </w:r>
          </w:p>
          <w:p w14:paraId="7F1563C7" w14:textId="77777777" w:rsidR="00AC6110" w:rsidRPr="00DF4CE5" w:rsidRDefault="00AC6110" w:rsidP="00AC6110">
            <w:pPr>
              <w:widowControl w:val="0"/>
              <w:autoSpaceDE w:val="0"/>
              <w:autoSpaceDN w:val="0"/>
              <w:spacing w:after="0" w:line="240" w:lineRule="auto"/>
              <w:ind w:left="143"/>
              <w:rPr>
                <w:rFonts w:ascii="Cambria" w:eastAsia="Cambria" w:hAnsi="Cambria" w:cs="Cambria"/>
                <w:lang w:val="hr-HR"/>
              </w:rPr>
            </w:pPr>
            <w:r w:rsidRPr="00DF4CE5">
              <w:rPr>
                <w:rFonts w:ascii="Cambria" w:eastAsia="Cambria" w:hAnsi="Cambria" w:cs="Cambria"/>
                <w:lang w:val="hr-HR"/>
              </w:rPr>
              <w:t>na</w:t>
            </w:r>
            <w:r w:rsidRPr="00DF4CE5">
              <w:rPr>
                <w:rFonts w:ascii="Cambria" w:eastAsia="Cambria" w:hAnsi="Cambria" w:cs="Cambria"/>
                <w:spacing w:val="-2"/>
                <w:lang w:val="hr-HR"/>
              </w:rPr>
              <w:t xml:space="preserve"> </w:t>
            </w:r>
            <w:r w:rsidRPr="00DF4CE5">
              <w:rPr>
                <w:rFonts w:ascii="Cambria" w:eastAsia="Cambria" w:hAnsi="Cambria" w:cs="Cambria"/>
                <w:lang w:val="hr-HR"/>
              </w:rPr>
              <w:t>hrvatskom</w:t>
            </w:r>
            <w:r w:rsidRPr="00DF4CE5">
              <w:rPr>
                <w:rFonts w:ascii="Cambria" w:eastAsia="Cambria" w:hAnsi="Cambria" w:cs="Cambria"/>
                <w:spacing w:val="-3"/>
                <w:lang w:val="hr-HR"/>
              </w:rPr>
              <w:t xml:space="preserve"> </w:t>
            </w:r>
            <w:r w:rsidRPr="00DF4CE5">
              <w:rPr>
                <w:rFonts w:ascii="Cambria" w:eastAsia="Cambria" w:hAnsi="Cambria" w:cs="Cambria"/>
                <w:lang w:val="hr-HR"/>
              </w:rPr>
              <w:t>jeziku</w:t>
            </w:r>
          </w:p>
        </w:tc>
      </w:tr>
      <w:tr w:rsidR="00AC6110" w:rsidRPr="00DF4CE5" w14:paraId="2B5816C9" w14:textId="77777777" w:rsidTr="00DF4CE5">
        <w:trPr>
          <w:trHeight w:val="707"/>
        </w:trPr>
        <w:tc>
          <w:tcPr>
            <w:tcW w:w="2470" w:type="dxa"/>
            <w:shd w:val="clear" w:color="auto" w:fill="F3F3F3"/>
          </w:tcPr>
          <w:p w14:paraId="45654BBE" w14:textId="77777777" w:rsidR="00AC6110" w:rsidRPr="00DF4CE5" w:rsidRDefault="00AC6110" w:rsidP="00AC6110">
            <w:pPr>
              <w:widowControl w:val="0"/>
              <w:autoSpaceDE w:val="0"/>
              <w:autoSpaceDN w:val="0"/>
              <w:spacing w:after="0" w:line="240" w:lineRule="auto"/>
              <w:ind w:left="143"/>
              <w:rPr>
                <w:rFonts w:ascii="Cambria" w:eastAsia="Cambria" w:hAnsi="Cambria" w:cs="Cambria"/>
                <w:lang w:val="hr-HR"/>
              </w:rPr>
            </w:pPr>
            <w:r w:rsidRPr="00DF4CE5">
              <w:rPr>
                <w:rFonts w:ascii="Cambria" w:eastAsia="Cambria" w:hAnsi="Cambria" w:cs="Cambria"/>
                <w:lang w:val="hr-HR"/>
              </w:rPr>
              <w:t>Vrsta</w:t>
            </w:r>
            <w:r w:rsidRPr="00DF4CE5">
              <w:rPr>
                <w:rFonts w:ascii="Cambria" w:eastAsia="Cambria" w:hAnsi="Cambria" w:cs="Cambria"/>
                <w:spacing w:val="-2"/>
                <w:lang w:val="hr-HR"/>
              </w:rPr>
              <w:t xml:space="preserve"> </w:t>
            </w:r>
            <w:r w:rsidRPr="00DF4CE5">
              <w:rPr>
                <w:rFonts w:ascii="Cambria" w:eastAsia="Cambria" w:hAnsi="Cambria" w:cs="Cambria"/>
                <w:lang w:val="hr-HR"/>
              </w:rPr>
              <w:t>kolegija</w:t>
            </w:r>
          </w:p>
        </w:tc>
        <w:tc>
          <w:tcPr>
            <w:tcW w:w="2465" w:type="dxa"/>
            <w:gridSpan w:val="2"/>
          </w:tcPr>
          <w:p w14:paraId="5A179C5A" w14:textId="77777777" w:rsidR="00AC6110" w:rsidRPr="00DF4CE5" w:rsidRDefault="00AC6110" w:rsidP="00AC6110">
            <w:pPr>
              <w:widowControl w:val="0"/>
              <w:autoSpaceDE w:val="0"/>
              <w:autoSpaceDN w:val="0"/>
              <w:spacing w:after="0" w:line="240" w:lineRule="auto"/>
              <w:ind w:left="143"/>
              <w:rPr>
                <w:rFonts w:ascii="Cambria" w:eastAsia="Cambria" w:hAnsi="Cambria" w:cs="Cambria"/>
                <w:lang w:val="hr-HR"/>
              </w:rPr>
            </w:pPr>
            <w:r w:rsidRPr="00DF4CE5">
              <w:rPr>
                <w:rFonts w:ascii="Cambria" w:eastAsia="Cambria" w:hAnsi="Cambria" w:cs="Cambria"/>
                <w:lang w:val="hr-HR"/>
              </w:rPr>
              <w:t>obvezni</w:t>
            </w:r>
          </w:p>
        </w:tc>
        <w:tc>
          <w:tcPr>
            <w:tcW w:w="1635" w:type="dxa"/>
            <w:gridSpan w:val="2"/>
            <w:shd w:val="clear" w:color="auto" w:fill="E6E6E6"/>
          </w:tcPr>
          <w:p w14:paraId="56D60ADA" w14:textId="77777777" w:rsidR="00AC6110" w:rsidRPr="00DF4CE5" w:rsidRDefault="00AC6110" w:rsidP="00AC6110">
            <w:pPr>
              <w:widowControl w:val="0"/>
              <w:autoSpaceDE w:val="0"/>
              <w:autoSpaceDN w:val="0"/>
              <w:spacing w:after="0" w:line="240" w:lineRule="auto"/>
              <w:ind w:left="143" w:right="649"/>
              <w:rPr>
                <w:rFonts w:ascii="Cambria" w:eastAsia="Cambria" w:hAnsi="Cambria" w:cs="Cambria"/>
                <w:lang w:val="hr-HR"/>
              </w:rPr>
            </w:pPr>
            <w:r w:rsidRPr="00DF4CE5">
              <w:rPr>
                <w:rFonts w:ascii="Cambria" w:eastAsia="Cambria" w:hAnsi="Cambria" w:cs="Cambria"/>
                <w:lang w:val="hr-HR"/>
              </w:rPr>
              <w:t>Razina</w:t>
            </w:r>
            <w:r w:rsidRPr="00DF4CE5">
              <w:rPr>
                <w:rFonts w:ascii="Cambria" w:eastAsia="Cambria" w:hAnsi="Cambria" w:cs="Cambria"/>
                <w:spacing w:val="1"/>
                <w:lang w:val="hr-HR"/>
              </w:rPr>
              <w:t xml:space="preserve"> </w:t>
            </w:r>
            <w:r w:rsidRPr="00DF4CE5">
              <w:rPr>
                <w:rFonts w:ascii="Cambria" w:eastAsia="Cambria" w:hAnsi="Cambria" w:cs="Cambria"/>
                <w:lang w:val="hr-HR"/>
              </w:rPr>
              <w:t>kolegija</w:t>
            </w:r>
          </w:p>
        </w:tc>
        <w:tc>
          <w:tcPr>
            <w:tcW w:w="2772" w:type="dxa"/>
            <w:gridSpan w:val="2"/>
          </w:tcPr>
          <w:p w14:paraId="6C6B2515" w14:textId="77777777" w:rsidR="00AC6110" w:rsidRPr="00DF4CE5" w:rsidRDefault="00AC6110" w:rsidP="00AC6110">
            <w:pPr>
              <w:widowControl w:val="0"/>
              <w:autoSpaceDE w:val="0"/>
              <w:autoSpaceDN w:val="0"/>
              <w:spacing w:after="0" w:line="240" w:lineRule="auto"/>
              <w:ind w:left="144"/>
              <w:rPr>
                <w:rFonts w:ascii="Cambria" w:eastAsia="Cambria" w:hAnsi="Cambria" w:cs="Cambria"/>
                <w:lang w:val="hr-HR"/>
              </w:rPr>
            </w:pPr>
            <w:r w:rsidRPr="00DF4CE5">
              <w:rPr>
                <w:rFonts w:ascii="Cambria" w:eastAsia="Cambria" w:hAnsi="Cambria" w:cs="Cambria"/>
                <w:lang w:val="hr-HR"/>
              </w:rPr>
              <w:t>sveučilišni</w:t>
            </w:r>
          </w:p>
          <w:p w14:paraId="657A994D" w14:textId="77777777" w:rsidR="00AC6110" w:rsidRPr="00DF4CE5" w:rsidRDefault="00AC6110" w:rsidP="00AC6110">
            <w:pPr>
              <w:widowControl w:val="0"/>
              <w:autoSpaceDE w:val="0"/>
              <w:autoSpaceDN w:val="0"/>
              <w:spacing w:after="0" w:line="240" w:lineRule="auto"/>
              <w:ind w:left="144"/>
              <w:rPr>
                <w:rFonts w:ascii="Cambria" w:eastAsia="Cambria" w:hAnsi="Cambria" w:cs="Cambria"/>
                <w:lang w:val="hr-HR"/>
              </w:rPr>
            </w:pPr>
            <w:r w:rsidRPr="00DF4CE5">
              <w:rPr>
                <w:rFonts w:ascii="Cambria" w:eastAsia="Cambria" w:hAnsi="Cambria" w:cs="Cambria"/>
                <w:lang w:val="hr-HR"/>
              </w:rPr>
              <w:t>integrirani</w:t>
            </w:r>
          </w:p>
        </w:tc>
      </w:tr>
      <w:tr w:rsidR="00AC6110" w:rsidRPr="00DF4CE5" w14:paraId="13F50209" w14:textId="77777777" w:rsidTr="00DF4CE5">
        <w:trPr>
          <w:trHeight w:val="705"/>
        </w:trPr>
        <w:tc>
          <w:tcPr>
            <w:tcW w:w="2470" w:type="dxa"/>
            <w:shd w:val="clear" w:color="auto" w:fill="F3F3F3"/>
          </w:tcPr>
          <w:p w14:paraId="6D6EE180" w14:textId="77777777" w:rsidR="00AC6110" w:rsidRPr="00DF4CE5" w:rsidRDefault="00AC6110" w:rsidP="00AC6110">
            <w:pPr>
              <w:widowControl w:val="0"/>
              <w:autoSpaceDE w:val="0"/>
              <w:autoSpaceDN w:val="0"/>
              <w:spacing w:after="0" w:line="240" w:lineRule="auto"/>
              <w:ind w:left="143"/>
              <w:rPr>
                <w:rFonts w:ascii="Cambria" w:eastAsia="Cambria" w:hAnsi="Cambria" w:cs="Cambria"/>
                <w:lang w:val="hr-HR"/>
              </w:rPr>
            </w:pPr>
            <w:r w:rsidRPr="00DF4CE5">
              <w:rPr>
                <w:rFonts w:ascii="Cambria" w:eastAsia="Cambria" w:hAnsi="Cambria" w:cs="Cambria"/>
                <w:lang w:val="hr-HR"/>
              </w:rPr>
              <w:t>Semestar</w:t>
            </w:r>
          </w:p>
        </w:tc>
        <w:tc>
          <w:tcPr>
            <w:tcW w:w="2465" w:type="dxa"/>
            <w:gridSpan w:val="2"/>
          </w:tcPr>
          <w:p w14:paraId="51CDEC73" w14:textId="77777777" w:rsidR="00AC6110" w:rsidRPr="00DF4CE5" w:rsidRDefault="00AC6110" w:rsidP="00AC6110">
            <w:pPr>
              <w:widowControl w:val="0"/>
              <w:autoSpaceDE w:val="0"/>
              <w:autoSpaceDN w:val="0"/>
              <w:spacing w:after="0" w:line="240" w:lineRule="auto"/>
              <w:ind w:left="143"/>
              <w:rPr>
                <w:rFonts w:ascii="Cambria" w:eastAsia="Cambria" w:hAnsi="Cambria" w:cs="Cambria"/>
                <w:lang w:val="hr-HR"/>
              </w:rPr>
            </w:pPr>
            <w:r w:rsidRPr="00DF4CE5">
              <w:rPr>
                <w:rFonts w:ascii="Cambria" w:eastAsia="Cambria" w:hAnsi="Cambria" w:cs="Cambria"/>
                <w:lang w:val="hr-HR"/>
              </w:rPr>
              <w:t>zimski</w:t>
            </w:r>
          </w:p>
        </w:tc>
        <w:tc>
          <w:tcPr>
            <w:tcW w:w="1635" w:type="dxa"/>
            <w:gridSpan w:val="2"/>
            <w:shd w:val="clear" w:color="auto" w:fill="E6E6E6"/>
          </w:tcPr>
          <w:p w14:paraId="63F4E8D8" w14:textId="77777777" w:rsidR="00AC6110" w:rsidRPr="00DF4CE5" w:rsidRDefault="00AC6110" w:rsidP="00AC6110">
            <w:pPr>
              <w:widowControl w:val="0"/>
              <w:autoSpaceDE w:val="0"/>
              <w:autoSpaceDN w:val="0"/>
              <w:spacing w:after="0" w:line="240" w:lineRule="auto"/>
              <w:ind w:left="143" w:right="726"/>
              <w:rPr>
                <w:rFonts w:ascii="Cambria" w:eastAsia="Cambria" w:hAnsi="Cambria" w:cs="Cambria"/>
                <w:lang w:val="hr-HR"/>
              </w:rPr>
            </w:pPr>
            <w:r w:rsidRPr="00DF4CE5">
              <w:rPr>
                <w:rFonts w:ascii="Cambria" w:eastAsia="Cambria" w:hAnsi="Cambria" w:cs="Cambria"/>
                <w:lang w:val="hr-HR"/>
              </w:rPr>
              <w:t>Godina</w:t>
            </w:r>
            <w:r w:rsidRPr="00DF4CE5">
              <w:rPr>
                <w:rFonts w:ascii="Cambria" w:eastAsia="Cambria" w:hAnsi="Cambria" w:cs="Cambria"/>
                <w:spacing w:val="-50"/>
                <w:lang w:val="hr-HR"/>
              </w:rPr>
              <w:t xml:space="preserve"> </w:t>
            </w:r>
            <w:r w:rsidRPr="00DF4CE5">
              <w:rPr>
                <w:rFonts w:ascii="Cambria" w:eastAsia="Cambria" w:hAnsi="Cambria" w:cs="Cambria"/>
                <w:lang w:val="hr-HR"/>
              </w:rPr>
              <w:t>studija</w:t>
            </w:r>
          </w:p>
        </w:tc>
        <w:tc>
          <w:tcPr>
            <w:tcW w:w="2772" w:type="dxa"/>
            <w:gridSpan w:val="2"/>
          </w:tcPr>
          <w:p w14:paraId="459583FB" w14:textId="77777777" w:rsidR="00AC6110" w:rsidRPr="00DF4CE5" w:rsidRDefault="00AC6110" w:rsidP="00AC6110">
            <w:pPr>
              <w:widowControl w:val="0"/>
              <w:autoSpaceDE w:val="0"/>
              <w:autoSpaceDN w:val="0"/>
              <w:spacing w:after="0" w:line="240" w:lineRule="auto"/>
              <w:ind w:left="144"/>
              <w:rPr>
                <w:rFonts w:ascii="Cambria" w:eastAsia="Cambria" w:hAnsi="Cambria" w:cs="Cambria"/>
                <w:lang w:val="hr-HR"/>
              </w:rPr>
            </w:pPr>
            <w:r w:rsidRPr="00DF4CE5">
              <w:rPr>
                <w:rFonts w:ascii="Cambria" w:eastAsia="Cambria" w:hAnsi="Cambria" w:cs="Cambria"/>
                <w:lang w:val="hr-HR"/>
              </w:rPr>
              <w:t>II.</w:t>
            </w:r>
          </w:p>
        </w:tc>
      </w:tr>
      <w:tr w:rsidR="00AC6110" w:rsidRPr="00DF4CE5" w14:paraId="7F1CC8E8" w14:textId="77777777" w:rsidTr="00DF4CE5">
        <w:trPr>
          <w:trHeight w:val="1271"/>
        </w:trPr>
        <w:tc>
          <w:tcPr>
            <w:tcW w:w="2470" w:type="dxa"/>
            <w:shd w:val="clear" w:color="auto" w:fill="F3F3F3"/>
          </w:tcPr>
          <w:p w14:paraId="395BE28B" w14:textId="77777777" w:rsidR="00AC6110" w:rsidRPr="00DF4CE5" w:rsidRDefault="00AC6110" w:rsidP="00AC6110">
            <w:pPr>
              <w:widowControl w:val="0"/>
              <w:autoSpaceDE w:val="0"/>
              <w:autoSpaceDN w:val="0"/>
              <w:spacing w:after="0" w:line="240" w:lineRule="auto"/>
              <w:rPr>
                <w:rFonts w:ascii="Cambria" w:eastAsia="Cambria" w:hAnsi="Cambria" w:cs="Cambria"/>
                <w:lang w:val="hr-HR"/>
              </w:rPr>
            </w:pPr>
          </w:p>
          <w:p w14:paraId="150ECF15" w14:textId="77777777" w:rsidR="00AC6110" w:rsidRPr="00DF4CE5" w:rsidRDefault="00AC6110" w:rsidP="00AC6110">
            <w:pPr>
              <w:widowControl w:val="0"/>
              <w:autoSpaceDE w:val="0"/>
              <w:autoSpaceDN w:val="0"/>
              <w:spacing w:after="0" w:line="240" w:lineRule="auto"/>
              <w:ind w:left="143"/>
              <w:rPr>
                <w:rFonts w:ascii="Cambria" w:eastAsia="Cambria" w:hAnsi="Cambria" w:cs="Cambria"/>
                <w:lang w:val="hr-HR"/>
              </w:rPr>
            </w:pPr>
            <w:r w:rsidRPr="00DF4CE5">
              <w:rPr>
                <w:rFonts w:ascii="Cambria" w:eastAsia="Cambria" w:hAnsi="Cambria" w:cs="Cambria"/>
                <w:lang w:val="hr-HR"/>
              </w:rPr>
              <w:t>Mjesto</w:t>
            </w:r>
            <w:r w:rsidRPr="00DF4CE5">
              <w:rPr>
                <w:rFonts w:ascii="Cambria" w:eastAsia="Cambria" w:hAnsi="Cambria" w:cs="Cambria"/>
                <w:spacing w:val="-2"/>
                <w:lang w:val="hr-HR"/>
              </w:rPr>
              <w:t xml:space="preserve"> </w:t>
            </w:r>
            <w:r w:rsidRPr="00DF4CE5">
              <w:rPr>
                <w:rFonts w:ascii="Cambria" w:eastAsia="Cambria" w:hAnsi="Cambria" w:cs="Cambria"/>
                <w:lang w:val="hr-HR"/>
              </w:rPr>
              <w:t>izvođenja</w:t>
            </w:r>
          </w:p>
        </w:tc>
        <w:tc>
          <w:tcPr>
            <w:tcW w:w="2465" w:type="dxa"/>
            <w:gridSpan w:val="2"/>
          </w:tcPr>
          <w:p w14:paraId="742B1146" w14:textId="77777777" w:rsidR="00AC6110" w:rsidRPr="00DF4CE5" w:rsidRDefault="00AC6110" w:rsidP="00AC6110">
            <w:pPr>
              <w:widowControl w:val="0"/>
              <w:tabs>
                <w:tab w:val="left" w:pos="1044"/>
                <w:tab w:val="left" w:pos="1364"/>
                <w:tab w:val="left" w:pos="1605"/>
              </w:tabs>
              <w:autoSpaceDE w:val="0"/>
              <w:autoSpaceDN w:val="0"/>
              <w:spacing w:after="0" w:line="240" w:lineRule="auto"/>
              <w:ind w:left="143" w:right="123"/>
              <w:rPr>
                <w:rFonts w:ascii="Cambria" w:eastAsia="Cambria" w:hAnsi="Cambria" w:cs="Cambria"/>
                <w:lang w:val="hr-HR"/>
              </w:rPr>
            </w:pPr>
            <w:r w:rsidRPr="00DF4CE5">
              <w:rPr>
                <w:rFonts w:ascii="Cambria" w:eastAsia="Cambria" w:hAnsi="Cambria" w:cs="Cambria"/>
                <w:lang w:val="hr-HR"/>
              </w:rPr>
              <w:t>odgojno-obrazovna</w:t>
            </w:r>
            <w:r w:rsidRPr="00DF4CE5">
              <w:rPr>
                <w:rFonts w:ascii="Cambria" w:eastAsia="Cambria" w:hAnsi="Cambria" w:cs="Cambria"/>
                <w:spacing w:val="1"/>
                <w:lang w:val="hr-HR"/>
              </w:rPr>
              <w:t xml:space="preserve"> </w:t>
            </w:r>
            <w:r w:rsidRPr="00DF4CE5">
              <w:rPr>
                <w:rFonts w:ascii="Cambria" w:eastAsia="Cambria" w:hAnsi="Cambria" w:cs="Cambria"/>
                <w:lang w:val="hr-HR"/>
              </w:rPr>
              <w:t xml:space="preserve">ustanova </w:t>
            </w:r>
            <w:r w:rsidRPr="00DF4CE5">
              <w:rPr>
                <w:rFonts w:ascii="Cambria" w:eastAsia="Cambria" w:hAnsi="Cambria" w:cs="Cambria"/>
                <w:spacing w:val="-1"/>
                <w:lang w:val="hr-HR"/>
              </w:rPr>
              <w:t>(osnovna</w:t>
            </w:r>
            <w:r w:rsidRPr="00DF4CE5">
              <w:rPr>
                <w:rFonts w:ascii="Cambria" w:eastAsia="Cambria" w:hAnsi="Cambria" w:cs="Cambria"/>
                <w:spacing w:val="-50"/>
                <w:lang w:val="hr-HR"/>
              </w:rPr>
              <w:t xml:space="preserve"> </w:t>
            </w:r>
            <w:r w:rsidRPr="00DF4CE5">
              <w:rPr>
                <w:rFonts w:ascii="Cambria" w:eastAsia="Cambria" w:hAnsi="Cambria" w:cs="Cambria"/>
                <w:lang w:val="hr-HR"/>
              </w:rPr>
              <w:t xml:space="preserve">škola ili </w:t>
            </w:r>
            <w:r w:rsidRPr="00DF4CE5">
              <w:rPr>
                <w:rFonts w:ascii="Cambria" w:eastAsia="Cambria" w:hAnsi="Cambria" w:cs="Cambria"/>
                <w:spacing w:val="-1"/>
                <w:lang w:val="hr-HR"/>
              </w:rPr>
              <w:t>srodna</w:t>
            </w:r>
            <w:r w:rsidRPr="00DF4CE5">
              <w:rPr>
                <w:rFonts w:ascii="Cambria" w:eastAsia="Cambria" w:hAnsi="Cambria" w:cs="Cambria"/>
                <w:spacing w:val="-50"/>
                <w:lang w:val="hr-HR"/>
              </w:rPr>
              <w:t xml:space="preserve"> </w:t>
            </w:r>
            <w:r w:rsidRPr="00DF4CE5">
              <w:rPr>
                <w:rFonts w:ascii="Cambria" w:eastAsia="Cambria" w:hAnsi="Cambria" w:cs="Cambria"/>
                <w:lang w:val="hr-HR"/>
              </w:rPr>
              <w:t>institucija)</w:t>
            </w:r>
          </w:p>
        </w:tc>
        <w:tc>
          <w:tcPr>
            <w:tcW w:w="1635" w:type="dxa"/>
            <w:gridSpan w:val="2"/>
            <w:shd w:val="clear" w:color="auto" w:fill="E6E6E6"/>
          </w:tcPr>
          <w:p w14:paraId="3342908F" w14:textId="77777777" w:rsidR="00AC6110" w:rsidRPr="00DF4CE5" w:rsidRDefault="00AC6110" w:rsidP="00AC6110">
            <w:pPr>
              <w:widowControl w:val="0"/>
              <w:autoSpaceDE w:val="0"/>
              <w:autoSpaceDN w:val="0"/>
              <w:spacing w:after="0" w:line="240" w:lineRule="auto"/>
              <w:rPr>
                <w:rFonts w:ascii="Cambria" w:eastAsia="Cambria" w:hAnsi="Cambria" w:cs="Cambria"/>
                <w:lang w:val="hr-HR"/>
              </w:rPr>
            </w:pPr>
          </w:p>
          <w:p w14:paraId="1BB0879B" w14:textId="77777777" w:rsidR="00AC6110" w:rsidRPr="00DF4CE5" w:rsidRDefault="00AC6110" w:rsidP="00AC6110">
            <w:pPr>
              <w:widowControl w:val="0"/>
              <w:autoSpaceDE w:val="0"/>
              <w:autoSpaceDN w:val="0"/>
              <w:spacing w:after="0" w:line="240" w:lineRule="auto"/>
              <w:ind w:left="143"/>
              <w:rPr>
                <w:rFonts w:ascii="Cambria" w:eastAsia="Cambria" w:hAnsi="Cambria" w:cs="Cambria"/>
                <w:lang w:val="hr-HR"/>
              </w:rPr>
            </w:pPr>
            <w:r w:rsidRPr="00DF4CE5">
              <w:rPr>
                <w:rFonts w:ascii="Cambria" w:eastAsia="Cambria" w:hAnsi="Cambria" w:cs="Cambria"/>
                <w:lang w:val="hr-HR"/>
              </w:rPr>
              <w:t>Jezik</w:t>
            </w:r>
          </w:p>
          <w:p w14:paraId="5E4F0DFD" w14:textId="77777777" w:rsidR="00AC6110" w:rsidRPr="00DF4CE5" w:rsidRDefault="00AC6110" w:rsidP="00AC6110">
            <w:pPr>
              <w:widowControl w:val="0"/>
              <w:autoSpaceDE w:val="0"/>
              <w:autoSpaceDN w:val="0"/>
              <w:spacing w:after="0" w:line="240" w:lineRule="auto"/>
              <w:ind w:left="143"/>
              <w:rPr>
                <w:rFonts w:ascii="Cambria" w:eastAsia="Cambria" w:hAnsi="Cambria" w:cs="Cambria"/>
                <w:lang w:val="hr-HR"/>
              </w:rPr>
            </w:pPr>
            <w:r w:rsidRPr="00DF4CE5">
              <w:rPr>
                <w:rFonts w:ascii="Cambria" w:eastAsia="Cambria" w:hAnsi="Cambria" w:cs="Cambria"/>
                <w:lang w:val="hr-HR"/>
              </w:rPr>
              <w:t>izvođenja</w:t>
            </w:r>
          </w:p>
        </w:tc>
        <w:tc>
          <w:tcPr>
            <w:tcW w:w="2772" w:type="dxa"/>
            <w:gridSpan w:val="2"/>
          </w:tcPr>
          <w:p w14:paraId="19D88418" w14:textId="77777777" w:rsidR="00AC6110" w:rsidRPr="00DF4CE5" w:rsidRDefault="00AC6110" w:rsidP="00AC6110">
            <w:pPr>
              <w:widowControl w:val="0"/>
              <w:autoSpaceDE w:val="0"/>
              <w:autoSpaceDN w:val="0"/>
              <w:spacing w:after="0" w:line="240" w:lineRule="auto"/>
              <w:rPr>
                <w:rFonts w:ascii="Cambria" w:eastAsia="Cambria" w:hAnsi="Cambria" w:cs="Cambria"/>
                <w:lang w:val="hr-HR"/>
              </w:rPr>
            </w:pPr>
          </w:p>
          <w:p w14:paraId="225056C0" w14:textId="77777777" w:rsidR="00AC6110" w:rsidRPr="00DF4CE5" w:rsidRDefault="00AC6110" w:rsidP="00AC6110">
            <w:pPr>
              <w:widowControl w:val="0"/>
              <w:autoSpaceDE w:val="0"/>
              <w:autoSpaceDN w:val="0"/>
              <w:spacing w:after="0" w:line="240" w:lineRule="auto"/>
              <w:ind w:left="144"/>
              <w:rPr>
                <w:rFonts w:ascii="Cambria" w:eastAsia="Cambria" w:hAnsi="Cambria" w:cs="Cambria"/>
                <w:lang w:val="hr-HR"/>
              </w:rPr>
            </w:pPr>
            <w:r w:rsidRPr="00DF4CE5">
              <w:rPr>
                <w:rFonts w:ascii="Cambria" w:eastAsia="Cambria" w:hAnsi="Cambria" w:cs="Cambria"/>
                <w:lang w:val="hr-HR"/>
              </w:rPr>
              <w:t>hrvatski</w:t>
            </w:r>
          </w:p>
        </w:tc>
      </w:tr>
      <w:tr w:rsidR="00AC6110" w:rsidRPr="00DF4CE5" w14:paraId="29CA7C07" w14:textId="77777777" w:rsidTr="00DF4CE5">
        <w:trPr>
          <w:trHeight w:val="704"/>
        </w:trPr>
        <w:tc>
          <w:tcPr>
            <w:tcW w:w="2470" w:type="dxa"/>
            <w:shd w:val="clear" w:color="auto" w:fill="F3F3F3"/>
          </w:tcPr>
          <w:p w14:paraId="0E545F3A" w14:textId="77777777" w:rsidR="00AC6110" w:rsidRPr="00DF4CE5" w:rsidRDefault="00AC6110" w:rsidP="00AC6110">
            <w:pPr>
              <w:widowControl w:val="0"/>
              <w:autoSpaceDE w:val="0"/>
              <w:autoSpaceDN w:val="0"/>
              <w:spacing w:after="0" w:line="240" w:lineRule="auto"/>
              <w:ind w:left="143"/>
              <w:rPr>
                <w:rFonts w:ascii="Cambria" w:eastAsia="Cambria" w:hAnsi="Cambria" w:cs="Cambria"/>
                <w:lang w:val="hr-HR"/>
              </w:rPr>
            </w:pPr>
            <w:r w:rsidRPr="00DF4CE5">
              <w:rPr>
                <w:rFonts w:ascii="Cambria" w:eastAsia="Cambria" w:hAnsi="Cambria" w:cs="Cambria"/>
                <w:lang w:val="hr-HR"/>
              </w:rPr>
              <w:t>Broj</w:t>
            </w:r>
            <w:r w:rsidRPr="00DF4CE5">
              <w:rPr>
                <w:rFonts w:ascii="Cambria" w:eastAsia="Cambria" w:hAnsi="Cambria" w:cs="Cambria"/>
                <w:spacing w:val="-2"/>
                <w:lang w:val="hr-HR"/>
              </w:rPr>
              <w:t xml:space="preserve"> </w:t>
            </w:r>
            <w:r w:rsidRPr="00DF4CE5">
              <w:rPr>
                <w:rFonts w:ascii="Cambria" w:eastAsia="Cambria" w:hAnsi="Cambria" w:cs="Cambria"/>
                <w:lang w:val="hr-HR"/>
              </w:rPr>
              <w:t>ECTS</w:t>
            </w:r>
            <w:r w:rsidRPr="00DF4CE5">
              <w:rPr>
                <w:rFonts w:ascii="Cambria" w:eastAsia="Cambria" w:hAnsi="Cambria" w:cs="Cambria"/>
                <w:spacing w:val="-2"/>
                <w:lang w:val="hr-HR"/>
              </w:rPr>
              <w:t xml:space="preserve"> </w:t>
            </w:r>
            <w:r w:rsidRPr="00DF4CE5">
              <w:rPr>
                <w:rFonts w:ascii="Cambria" w:eastAsia="Cambria" w:hAnsi="Cambria" w:cs="Cambria"/>
                <w:lang w:val="hr-HR"/>
              </w:rPr>
              <w:t>bodova</w:t>
            </w:r>
          </w:p>
        </w:tc>
        <w:tc>
          <w:tcPr>
            <w:tcW w:w="2465" w:type="dxa"/>
            <w:gridSpan w:val="2"/>
          </w:tcPr>
          <w:p w14:paraId="55D5D9C2" w14:textId="77777777" w:rsidR="00AC6110" w:rsidRPr="00DF4CE5" w:rsidRDefault="00AC6110" w:rsidP="00AC6110">
            <w:pPr>
              <w:widowControl w:val="0"/>
              <w:autoSpaceDE w:val="0"/>
              <w:autoSpaceDN w:val="0"/>
              <w:spacing w:after="0" w:line="240" w:lineRule="auto"/>
              <w:ind w:left="143"/>
              <w:rPr>
                <w:rFonts w:ascii="Cambria" w:eastAsia="Cambria" w:hAnsi="Cambria" w:cs="Cambria"/>
                <w:lang w:val="hr-HR"/>
              </w:rPr>
            </w:pPr>
            <w:r w:rsidRPr="00DF4CE5">
              <w:rPr>
                <w:rFonts w:ascii="Cambria" w:eastAsia="Cambria" w:hAnsi="Cambria" w:cs="Cambria"/>
                <w:lang w:val="hr-HR"/>
              </w:rPr>
              <w:t>2</w:t>
            </w:r>
          </w:p>
        </w:tc>
        <w:tc>
          <w:tcPr>
            <w:tcW w:w="1635" w:type="dxa"/>
            <w:gridSpan w:val="2"/>
            <w:shd w:val="clear" w:color="auto" w:fill="E6E6E6"/>
          </w:tcPr>
          <w:p w14:paraId="080FCF55" w14:textId="77777777" w:rsidR="00AC6110" w:rsidRPr="00DF4CE5" w:rsidRDefault="00AC6110" w:rsidP="00AC6110">
            <w:pPr>
              <w:widowControl w:val="0"/>
              <w:tabs>
                <w:tab w:val="left" w:pos="784"/>
                <w:tab w:val="left" w:pos="1357"/>
              </w:tabs>
              <w:autoSpaceDE w:val="0"/>
              <w:autoSpaceDN w:val="0"/>
              <w:spacing w:after="0" w:line="240" w:lineRule="auto"/>
              <w:ind w:left="143" w:right="121"/>
              <w:rPr>
                <w:rFonts w:ascii="Cambria" w:eastAsia="Cambria" w:hAnsi="Cambria" w:cs="Cambria"/>
                <w:lang w:val="hr-HR"/>
              </w:rPr>
            </w:pPr>
            <w:r w:rsidRPr="00DF4CE5">
              <w:rPr>
                <w:rFonts w:ascii="Cambria" w:eastAsia="Cambria" w:hAnsi="Cambria" w:cs="Cambria"/>
                <w:lang w:val="hr-HR"/>
              </w:rPr>
              <w:t xml:space="preserve">Broj sati </w:t>
            </w:r>
            <w:r w:rsidRPr="00DF4CE5">
              <w:rPr>
                <w:rFonts w:ascii="Cambria" w:eastAsia="Cambria" w:hAnsi="Cambria" w:cs="Cambria"/>
                <w:spacing w:val="-4"/>
                <w:lang w:val="hr-HR"/>
              </w:rPr>
              <w:t>u</w:t>
            </w:r>
            <w:r w:rsidRPr="00DF4CE5">
              <w:rPr>
                <w:rFonts w:ascii="Cambria" w:eastAsia="Cambria" w:hAnsi="Cambria" w:cs="Cambria"/>
                <w:spacing w:val="-50"/>
                <w:lang w:val="hr-HR"/>
              </w:rPr>
              <w:t xml:space="preserve"> </w:t>
            </w:r>
            <w:r w:rsidRPr="00DF4CE5">
              <w:rPr>
                <w:rFonts w:ascii="Cambria" w:eastAsia="Cambria" w:hAnsi="Cambria" w:cs="Cambria"/>
                <w:lang w:val="hr-HR"/>
              </w:rPr>
              <w:t>semestru</w:t>
            </w:r>
          </w:p>
        </w:tc>
        <w:tc>
          <w:tcPr>
            <w:tcW w:w="2772" w:type="dxa"/>
            <w:gridSpan w:val="2"/>
          </w:tcPr>
          <w:p w14:paraId="619199E9" w14:textId="7AF86192" w:rsidR="00AC6110" w:rsidRPr="00DF4CE5" w:rsidRDefault="00AC6110" w:rsidP="00AC6110">
            <w:pPr>
              <w:widowControl w:val="0"/>
              <w:autoSpaceDE w:val="0"/>
              <w:autoSpaceDN w:val="0"/>
              <w:spacing w:after="0" w:line="240" w:lineRule="auto"/>
              <w:ind w:left="144"/>
              <w:rPr>
                <w:rFonts w:ascii="Cambria" w:eastAsia="Cambria" w:hAnsi="Cambria" w:cs="Cambria"/>
                <w:lang w:val="hr-HR"/>
              </w:rPr>
            </w:pPr>
            <w:r w:rsidRPr="00DF4CE5">
              <w:rPr>
                <w:rFonts w:ascii="Cambria" w:eastAsia="Cambria" w:hAnsi="Cambria" w:cs="Cambria"/>
                <w:lang w:val="hr-HR"/>
              </w:rPr>
              <w:t>0P</w:t>
            </w:r>
            <w:r w:rsidRPr="00DF4CE5">
              <w:rPr>
                <w:rFonts w:ascii="Cambria" w:eastAsia="Cambria" w:hAnsi="Cambria" w:cs="Cambria"/>
                <w:spacing w:val="-1"/>
                <w:lang w:val="hr-HR"/>
              </w:rPr>
              <w:t xml:space="preserve"> </w:t>
            </w:r>
            <w:r w:rsidR="00E91AAA">
              <w:rPr>
                <w:rFonts w:ascii="Cambria" w:eastAsia="Cambria" w:hAnsi="Cambria" w:cs="Cambria"/>
                <w:lang w:val="hr-HR"/>
              </w:rPr>
              <w:t>–</w:t>
            </w:r>
            <w:r w:rsidRPr="00DF4CE5">
              <w:rPr>
                <w:rFonts w:ascii="Cambria" w:eastAsia="Cambria" w:hAnsi="Cambria" w:cs="Cambria"/>
                <w:spacing w:val="-2"/>
                <w:lang w:val="hr-HR"/>
              </w:rPr>
              <w:t xml:space="preserve"> </w:t>
            </w:r>
            <w:r w:rsidRPr="00DF4CE5">
              <w:rPr>
                <w:rFonts w:ascii="Cambria" w:eastAsia="Cambria" w:hAnsi="Cambria" w:cs="Cambria"/>
                <w:lang w:val="hr-HR"/>
              </w:rPr>
              <w:t>0S – 50V</w:t>
            </w:r>
          </w:p>
        </w:tc>
      </w:tr>
      <w:tr w:rsidR="00AC6110" w:rsidRPr="00DF4CE5" w14:paraId="3EAA487F" w14:textId="77777777" w:rsidTr="00DF4CE5">
        <w:trPr>
          <w:trHeight w:val="707"/>
        </w:trPr>
        <w:tc>
          <w:tcPr>
            <w:tcW w:w="2470" w:type="dxa"/>
            <w:shd w:val="clear" w:color="auto" w:fill="F3F3F3"/>
          </w:tcPr>
          <w:p w14:paraId="5804E019" w14:textId="77777777" w:rsidR="00AC6110" w:rsidRPr="00DF4CE5" w:rsidRDefault="00AC6110" w:rsidP="00AC6110">
            <w:pPr>
              <w:widowControl w:val="0"/>
              <w:autoSpaceDE w:val="0"/>
              <w:autoSpaceDN w:val="0"/>
              <w:spacing w:after="0" w:line="240" w:lineRule="auto"/>
              <w:ind w:left="143" w:right="115"/>
              <w:rPr>
                <w:rFonts w:ascii="Cambria" w:eastAsia="Cambria" w:hAnsi="Cambria" w:cs="Cambria"/>
                <w:lang w:val="hr-HR"/>
              </w:rPr>
            </w:pPr>
            <w:r w:rsidRPr="00DF4CE5">
              <w:rPr>
                <w:rFonts w:ascii="Cambria" w:eastAsia="Cambria" w:hAnsi="Cambria" w:cs="Cambria"/>
                <w:spacing w:val="-1"/>
                <w:lang w:val="hr-HR"/>
              </w:rPr>
              <w:t>Preduvjeti</w:t>
            </w:r>
            <w:r w:rsidRPr="00DF4CE5">
              <w:rPr>
                <w:rFonts w:ascii="Cambria" w:eastAsia="Cambria" w:hAnsi="Cambria" w:cs="Cambria"/>
                <w:spacing w:val="-12"/>
                <w:lang w:val="hr-HR"/>
              </w:rPr>
              <w:t xml:space="preserve"> </w:t>
            </w:r>
            <w:r w:rsidRPr="00DF4CE5">
              <w:rPr>
                <w:rFonts w:ascii="Cambria" w:eastAsia="Cambria" w:hAnsi="Cambria" w:cs="Cambria"/>
                <w:spacing w:val="-1"/>
                <w:lang w:val="hr-HR"/>
              </w:rPr>
              <w:t>za</w:t>
            </w:r>
            <w:r w:rsidRPr="00DF4CE5">
              <w:rPr>
                <w:rFonts w:ascii="Cambria" w:eastAsia="Cambria" w:hAnsi="Cambria" w:cs="Cambria"/>
                <w:spacing w:val="-12"/>
                <w:lang w:val="hr-HR"/>
              </w:rPr>
              <w:t xml:space="preserve"> </w:t>
            </w:r>
            <w:r w:rsidRPr="00DF4CE5">
              <w:rPr>
                <w:rFonts w:ascii="Cambria" w:eastAsia="Cambria" w:hAnsi="Cambria" w:cs="Cambria"/>
                <w:lang w:val="hr-HR"/>
              </w:rPr>
              <w:t>upis</w:t>
            </w:r>
            <w:r w:rsidRPr="00DF4CE5">
              <w:rPr>
                <w:rFonts w:ascii="Cambria" w:eastAsia="Cambria" w:hAnsi="Cambria" w:cs="Cambria"/>
                <w:spacing w:val="-15"/>
                <w:lang w:val="hr-HR"/>
              </w:rPr>
              <w:t xml:space="preserve"> </w:t>
            </w:r>
            <w:r w:rsidRPr="00DF4CE5">
              <w:rPr>
                <w:rFonts w:ascii="Cambria" w:eastAsia="Cambria" w:hAnsi="Cambria" w:cs="Cambria"/>
                <w:lang w:val="hr-HR"/>
              </w:rPr>
              <w:t>i</w:t>
            </w:r>
            <w:r w:rsidRPr="00DF4CE5">
              <w:rPr>
                <w:rFonts w:ascii="Cambria" w:eastAsia="Cambria" w:hAnsi="Cambria" w:cs="Cambria"/>
                <w:spacing w:val="-12"/>
                <w:lang w:val="hr-HR"/>
              </w:rPr>
              <w:t xml:space="preserve"> </w:t>
            </w:r>
            <w:r w:rsidRPr="00DF4CE5">
              <w:rPr>
                <w:rFonts w:ascii="Cambria" w:eastAsia="Cambria" w:hAnsi="Cambria" w:cs="Cambria"/>
                <w:lang w:val="hr-HR"/>
              </w:rPr>
              <w:t>za</w:t>
            </w:r>
            <w:r w:rsidRPr="00DF4CE5">
              <w:rPr>
                <w:rFonts w:ascii="Cambria" w:eastAsia="Cambria" w:hAnsi="Cambria" w:cs="Cambria"/>
                <w:spacing w:val="-49"/>
                <w:lang w:val="hr-HR"/>
              </w:rPr>
              <w:t xml:space="preserve"> </w:t>
            </w:r>
            <w:r w:rsidRPr="00DF4CE5">
              <w:rPr>
                <w:rFonts w:ascii="Cambria" w:eastAsia="Cambria" w:hAnsi="Cambria" w:cs="Cambria"/>
                <w:lang w:val="hr-HR"/>
              </w:rPr>
              <w:t>svladavanje</w:t>
            </w:r>
          </w:p>
        </w:tc>
        <w:tc>
          <w:tcPr>
            <w:tcW w:w="6872" w:type="dxa"/>
            <w:gridSpan w:val="6"/>
          </w:tcPr>
          <w:p w14:paraId="4E160AD4" w14:textId="77777777" w:rsidR="00AC6110" w:rsidRPr="00DF4CE5" w:rsidRDefault="00AC6110" w:rsidP="00AC6110">
            <w:pPr>
              <w:widowControl w:val="0"/>
              <w:autoSpaceDE w:val="0"/>
              <w:autoSpaceDN w:val="0"/>
              <w:spacing w:after="0" w:line="240" w:lineRule="auto"/>
              <w:ind w:left="143"/>
              <w:rPr>
                <w:rFonts w:ascii="Cambria" w:eastAsia="Cambria" w:hAnsi="Cambria" w:cs="Cambria"/>
                <w:lang w:val="hr-HR"/>
              </w:rPr>
            </w:pPr>
            <w:r w:rsidRPr="00DF4CE5">
              <w:rPr>
                <w:rFonts w:ascii="Cambria" w:eastAsia="Cambria" w:hAnsi="Cambria" w:cs="Cambria"/>
                <w:lang w:val="hr-HR"/>
              </w:rPr>
              <w:t>Nema</w:t>
            </w:r>
            <w:r w:rsidRPr="00DF4CE5">
              <w:rPr>
                <w:rFonts w:ascii="Cambria" w:eastAsia="Cambria" w:hAnsi="Cambria" w:cs="Cambria"/>
                <w:spacing w:val="-2"/>
                <w:lang w:val="hr-HR"/>
              </w:rPr>
              <w:t xml:space="preserve"> </w:t>
            </w:r>
            <w:r w:rsidRPr="00DF4CE5">
              <w:rPr>
                <w:rFonts w:ascii="Cambria" w:eastAsia="Cambria" w:hAnsi="Cambria" w:cs="Cambria"/>
                <w:lang w:val="hr-HR"/>
              </w:rPr>
              <w:t>preduvjeta</w:t>
            </w:r>
          </w:p>
        </w:tc>
      </w:tr>
      <w:tr w:rsidR="00AC6110" w:rsidRPr="00D0399C" w14:paraId="1B148C90" w14:textId="77777777" w:rsidTr="00F942C2">
        <w:trPr>
          <w:trHeight w:val="540"/>
        </w:trPr>
        <w:tc>
          <w:tcPr>
            <w:tcW w:w="2470" w:type="dxa"/>
            <w:shd w:val="clear" w:color="auto" w:fill="F3F3F3"/>
          </w:tcPr>
          <w:p w14:paraId="25AC160B" w14:textId="77777777" w:rsidR="00AC6110" w:rsidRPr="00DF4CE5" w:rsidRDefault="00AC6110" w:rsidP="00AC6110">
            <w:pPr>
              <w:widowControl w:val="0"/>
              <w:autoSpaceDE w:val="0"/>
              <w:autoSpaceDN w:val="0"/>
              <w:spacing w:after="0" w:line="240" w:lineRule="auto"/>
              <w:ind w:left="143"/>
              <w:rPr>
                <w:rFonts w:ascii="Cambria" w:eastAsia="Cambria" w:hAnsi="Cambria" w:cs="Cambria"/>
                <w:lang w:val="hr-HR"/>
              </w:rPr>
            </w:pPr>
            <w:proofErr w:type="spellStart"/>
            <w:r w:rsidRPr="00DF4CE5">
              <w:rPr>
                <w:rFonts w:ascii="Cambria" w:eastAsia="Cambria" w:hAnsi="Cambria" w:cs="Cambria"/>
                <w:lang w:val="hr-HR"/>
              </w:rPr>
              <w:t>Korelativnost</w:t>
            </w:r>
            <w:proofErr w:type="spellEnd"/>
          </w:p>
        </w:tc>
        <w:tc>
          <w:tcPr>
            <w:tcW w:w="6872" w:type="dxa"/>
            <w:gridSpan w:val="6"/>
          </w:tcPr>
          <w:p w14:paraId="55D658AB" w14:textId="512D9DDD" w:rsidR="00AC6110" w:rsidRPr="00DF4CE5" w:rsidRDefault="00AC6110" w:rsidP="00AC6110">
            <w:pPr>
              <w:widowControl w:val="0"/>
              <w:tabs>
                <w:tab w:val="left" w:pos="1105"/>
                <w:tab w:val="left" w:pos="2146"/>
                <w:tab w:val="left" w:pos="3093"/>
                <w:tab w:val="left" w:pos="4163"/>
                <w:tab w:val="left" w:pos="4636"/>
              </w:tabs>
              <w:autoSpaceDE w:val="0"/>
              <w:autoSpaceDN w:val="0"/>
              <w:spacing w:after="0" w:line="240" w:lineRule="auto"/>
              <w:ind w:left="143" w:right="123"/>
              <w:rPr>
                <w:rFonts w:ascii="Cambria" w:eastAsia="Cambria" w:hAnsi="Cambria" w:cs="Cambria"/>
                <w:lang w:val="hr-HR"/>
              </w:rPr>
            </w:pPr>
            <w:r w:rsidRPr="00DF4CE5">
              <w:rPr>
                <w:rFonts w:ascii="Cambria" w:eastAsia="Cambria" w:hAnsi="Cambria" w:cs="Cambria"/>
                <w:lang w:val="hr-HR"/>
              </w:rPr>
              <w:t xml:space="preserve">Kolegij Stručna praksa korelira sa </w:t>
            </w:r>
            <w:r w:rsidRPr="00DF4CE5">
              <w:rPr>
                <w:rFonts w:ascii="Cambria" w:eastAsia="Cambria" w:hAnsi="Cambria" w:cs="Cambria"/>
                <w:spacing w:val="-1"/>
                <w:lang w:val="hr-HR"/>
              </w:rPr>
              <w:t>stručno-metodički</w:t>
            </w:r>
            <w:r w:rsidR="00F942C2">
              <w:rPr>
                <w:rFonts w:ascii="Cambria" w:eastAsia="Cambria" w:hAnsi="Cambria" w:cs="Cambria"/>
                <w:spacing w:val="-1"/>
                <w:lang w:val="hr-HR"/>
              </w:rPr>
              <w:t xml:space="preserve">m </w:t>
            </w:r>
            <w:r w:rsidRPr="00DF4CE5">
              <w:rPr>
                <w:rFonts w:ascii="Cambria" w:eastAsia="Cambria" w:hAnsi="Cambria" w:cs="Cambria"/>
                <w:spacing w:val="-50"/>
                <w:lang w:val="hr-HR"/>
              </w:rPr>
              <w:t xml:space="preserve"> </w:t>
            </w:r>
            <w:r w:rsidR="00F942C2">
              <w:rPr>
                <w:rFonts w:ascii="Cambria" w:eastAsia="Cambria" w:hAnsi="Cambria" w:cs="Cambria"/>
                <w:spacing w:val="-50"/>
                <w:lang w:val="hr-HR"/>
              </w:rPr>
              <w:t xml:space="preserve">    </w:t>
            </w:r>
            <w:r w:rsidRPr="00DF4CE5">
              <w:rPr>
                <w:rFonts w:ascii="Cambria" w:eastAsia="Cambria" w:hAnsi="Cambria" w:cs="Cambria"/>
                <w:lang w:val="hr-HR"/>
              </w:rPr>
              <w:t>kolegijima</w:t>
            </w:r>
            <w:r w:rsidRPr="00DF4CE5">
              <w:rPr>
                <w:rFonts w:ascii="Cambria" w:eastAsia="Cambria" w:hAnsi="Cambria" w:cs="Cambria"/>
                <w:spacing w:val="-2"/>
                <w:lang w:val="hr-HR"/>
              </w:rPr>
              <w:t xml:space="preserve"> </w:t>
            </w:r>
            <w:r w:rsidRPr="00DF4CE5">
              <w:rPr>
                <w:rFonts w:ascii="Cambria" w:eastAsia="Cambria" w:hAnsi="Cambria" w:cs="Cambria"/>
                <w:lang w:val="hr-HR"/>
              </w:rPr>
              <w:t>koji</w:t>
            </w:r>
            <w:r w:rsidRPr="00DF4CE5">
              <w:rPr>
                <w:rFonts w:ascii="Cambria" w:eastAsia="Cambria" w:hAnsi="Cambria" w:cs="Cambria"/>
                <w:spacing w:val="-2"/>
                <w:lang w:val="hr-HR"/>
              </w:rPr>
              <w:t xml:space="preserve"> </w:t>
            </w:r>
            <w:r w:rsidRPr="00DF4CE5">
              <w:rPr>
                <w:rFonts w:ascii="Cambria" w:eastAsia="Cambria" w:hAnsi="Cambria" w:cs="Cambria"/>
                <w:lang w:val="hr-HR"/>
              </w:rPr>
              <w:t>čine</w:t>
            </w:r>
            <w:r w:rsidRPr="00DF4CE5">
              <w:rPr>
                <w:rFonts w:ascii="Cambria" w:eastAsia="Cambria" w:hAnsi="Cambria" w:cs="Cambria"/>
                <w:spacing w:val="-1"/>
                <w:lang w:val="hr-HR"/>
              </w:rPr>
              <w:t xml:space="preserve"> </w:t>
            </w:r>
            <w:r w:rsidRPr="00DF4CE5">
              <w:rPr>
                <w:rFonts w:ascii="Cambria" w:eastAsia="Cambria" w:hAnsi="Cambria" w:cs="Cambria"/>
                <w:lang w:val="hr-HR"/>
              </w:rPr>
              <w:t>programsku</w:t>
            </w:r>
            <w:r w:rsidRPr="00DF4CE5">
              <w:rPr>
                <w:rFonts w:ascii="Cambria" w:eastAsia="Cambria" w:hAnsi="Cambria" w:cs="Cambria"/>
                <w:spacing w:val="-1"/>
                <w:lang w:val="hr-HR"/>
              </w:rPr>
              <w:t xml:space="preserve"> </w:t>
            </w:r>
            <w:r w:rsidRPr="00DF4CE5">
              <w:rPr>
                <w:rFonts w:ascii="Cambria" w:eastAsia="Cambria" w:hAnsi="Cambria" w:cs="Cambria"/>
                <w:lang w:val="hr-HR"/>
              </w:rPr>
              <w:t>cjelinu</w:t>
            </w:r>
            <w:r w:rsidRPr="00DF4CE5">
              <w:rPr>
                <w:rFonts w:ascii="Cambria" w:eastAsia="Cambria" w:hAnsi="Cambria" w:cs="Cambria"/>
                <w:spacing w:val="-2"/>
                <w:lang w:val="hr-HR"/>
              </w:rPr>
              <w:t xml:space="preserve"> </w:t>
            </w:r>
            <w:r w:rsidRPr="00DF4CE5">
              <w:rPr>
                <w:rFonts w:ascii="Cambria" w:eastAsia="Cambria" w:hAnsi="Cambria" w:cs="Cambria"/>
                <w:lang w:val="hr-HR"/>
              </w:rPr>
              <w:t>učiteljskog</w:t>
            </w:r>
            <w:r w:rsidRPr="00DF4CE5">
              <w:rPr>
                <w:rFonts w:ascii="Cambria" w:eastAsia="Cambria" w:hAnsi="Cambria" w:cs="Cambria"/>
                <w:spacing w:val="-4"/>
                <w:lang w:val="hr-HR"/>
              </w:rPr>
              <w:t xml:space="preserve"> </w:t>
            </w:r>
            <w:r w:rsidRPr="00DF4CE5">
              <w:rPr>
                <w:rFonts w:ascii="Cambria" w:eastAsia="Cambria" w:hAnsi="Cambria" w:cs="Cambria"/>
                <w:lang w:val="hr-HR"/>
              </w:rPr>
              <w:t>studija.</w:t>
            </w:r>
          </w:p>
        </w:tc>
      </w:tr>
      <w:tr w:rsidR="00AC6110" w:rsidRPr="00D0399C" w14:paraId="70A9FA99" w14:textId="77777777" w:rsidTr="00F942C2">
        <w:trPr>
          <w:trHeight w:val="792"/>
        </w:trPr>
        <w:tc>
          <w:tcPr>
            <w:tcW w:w="2470" w:type="dxa"/>
            <w:shd w:val="clear" w:color="auto" w:fill="F3F3F3"/>
          </w:tcPr>
          <w:p w14:paraId="7E612E20" w14:textId="77777777" w:rsidR="00AC6110" w:rsidRPr="00DF4CE5" w:rsidRDefault="00AC6110" w:rsidP="00AC6110">
            <w:pPr>
              <w:widowControl w:val="0"/>
              <w:autoSpaceDE w:val="0"/>
              <w:autoSpaceDN w:val="0"/>
              <w:spacing w:after="0" w:line="240" w:lineRule="auto"/>
              <w:rPr>
                <w:rFonts w:ascii="Cambria" w:eastAsia="Cambria" w:hAnsi="Cambria" w:cs="Cambria"/>
                <w:lang w:val="hr-HR"/>
              </w:rPr>
            </w:pPr>
          </w:p>
          <w:p w14:paraId="71337C34" w14:textId="77777777" w:rsidR="00AC6110" w:rsidRPr="00DF4CE5" w:rsidRDefault="00AC6110" w:rsidP="00AC6110">
            <w:pPr>
              <w:widowControl w:val="0"/>
              <w:autoSpaceDE w:val="0"/>
              <w:autoSpaceDN w:val="0"/>
              <w:spacing w:after="0" w:line="240" w:lineRule="auto"/>
              <w:ind w:left="143"/>
              <w:rPr>
                <w:rFonts w:ascii="Cambria" w:eastAsia="Cambria" w:hAnsi="Cambria" w:cs="Cambria"/>
                <w:lang w:val="hr-HR"/>
              </w:rPr>
            </w:pPr>
            <w:r w:rsidRPr="00DF4CE5">
              <w:rPr>
                <w:rFonts w:ascii="Cambria" w:eastAsia="Cambria" w:hAnsi="Cambria" w:cs="Cambria"/>
                <w:lang w:val="hr-HR"/>
              </w:rPr>
              <w:t>Cilj</w:t>
            </w:r>
            <w:r w:rsidRPr="00DF4CE5">
              <w:rPr>
                <w:rFonts w:ascii="Cambria" w:eastAsia="Cambria" w:hAnsi="Cambria" w:cs="Cambria"/>
                <w:spacing w:val="-2"/>
                <w:lang w:val="hr-HR"/>
              </w:rPr>
              <w:t xml:space="preserve"> </w:t>
            </w:r>
            <w:r w:rsidRPr="00DF4CE5">
              <w:rPr>
                <w:rFonts w:ascii="Cambria" w:eastAsia="Cambria" w:hAnsi="Cambria" w:cs="Cambria"/>
                <w:lang w:val="hr-HR"/>
              </w:rPr>
              <w:t>kolegija</w:t>
            </w:r>
          </w:p>
        </w:tc>
        <w:tc>
          <w:tcPr>
            <w:tcW w:w="6872" w:type="dxa"/>
            <w:gridSpan w:val="6"/>
          </w:tcPr>
          <w:p w14:paraId="5F30DD63" w14:textId="77777777" w:rsidR="00AC6110" w:rsidRPr="00DF4CE5" w:rsidRDefault="00AC6110" w:rsidP="00AC6110">
            <w:pPr>
              <w:widowControl w:val="0"/>
              <w:autoSpaceDE w:val="0"/>
              <w:autoSpaceDN w:val="0"/>
              <w:spacing w:after="0" w:line="240" w:lineRule="auto"/>
              <w:ind w:left="211"/>
              <w:rPr>
                <w:rFonts w:ascii="Cambria" w:eastAsia="Times New Roman" w:hAnsi="Cambria" w:cs="Times New Roman"/>
                <w:color w:val="1F1F1F"/>
                <w:lang w:val="hr-HR" w:eastAsia="hr-HR"/>
              </w:rPr>
            </w:pPr>
            <w:r w:rsidRPr="00DF4CE5">
              <w:rPr>
                <w:rFonts w:ascii="Cambria" w:eastAsia="Times New Roman" w:hAnsi="Cambria" w:cs="Times New Roman"/>
                <w:color w:val="1F1F1F"/>
                <w:lang w:val="hr-HR" w:eastAsia="hr-HR"/>
              </w:rPr>
              <w:t>omogućiti stjecanje potrebnih stručnih znanja i vještina razvijanjem osnovnih metodičkih kompetencija potrebnih za samostalno obavljanje pedagoške djelatnosti</w:t>
            </w:r>
          </w:p>
        </w:tc>
      </w:tr>
      <w:tr w:rsidR="00AC6110" w:rsidRPr="00D0399C" w14:paraId="43600512" w14:textId="77777777" w:rsidTr="00F942C2">
        <w:trPr>
          <w:trHeight w:val="1709"/>
        </w:trPr>
        <w:tc>
          <w:tcPr>
            <w:tcW w:w="2470" w:type="dxa"/>
            <w:shd w:val="clear" w:color="auto" w:fill="F3F3F3"/>
          </w:tcPr>
          <w:p w14:paraId="43FFC567" w14:textId="77777777" w:rsidR="00AC6110" w:rsidRPr="00DF4CE5" w:rsidRDefault="00AC6110" w:rsidP="00AC6110">
            <w:pPr>
              <w:widowControl w:val="0"/>
              <w:autoSpaceDE w:val="0"/>
              <w:autoSpaceDN w:val="0"/>
              <w:spacing w:after="0" w:line="240" w:lineRule="auto"/>
              <w:rPr>
                <w:rFonts w:ascii="Cambria" w:eastAsia="Cambria" w:hAnsi="Cambria" w:cs="Cambria"/>
                <w:lang w:val="hr-HR"/>
              </w:rPr>
            </w:pPr>
          </w:p>
          <w:p w14:paraId="4644EA24" w14:textId="77777777" w:rsidR="00AC6110" w:rsidRPr="00DF4CE5" w:rsidRDefault="00AC6110" w:rsidP="00AC6110">
            <w:pPr>
              <w:widowControl w:val="0"/>
              <w:autoSpaceDE w:val="0"/>
              <w:autoSpaceDN w:val="0"/>
              <w:spacing w:after="0" w:line="240" w:lineRule="auto"/>
              <w:rPr>
                <w:rFonts w:ascii="Cambria" w:eastAsia="Cambria" w:hAnsi="Cambria" w:cs="Cambria"/>
                <w:lang w:val="hr-HR"/>
              </w:rPr>
            </w:pPr>
          </w:p>
          <w:p w14:paraId="5CD74C3B" w14:textId="77777777" w:rsidR="00AC6110" w:rsidRPr="00DF4CE5" w:rsidRDefault="00AC6110" w:rsidP="00AC6110">
            <w:pPr>
              <w:widowControl w:val="0"/>
              <w:autoSpaceDE w:val="0"/>
              <w:autoSpaceDN w:val="0"/>
              <w:spacing w:after="0" w:line="240" w:lineRule="auto"/>
              <w:ind w:left="143"/>
              <w:rPr>
                <w:rFonts w:ascii="Cambria" w:eastAsia="Cambria" w:hAnsi="Cambria" w:cs="Cambria"/>
                <w:lang w:val="hr-HR"/>
              </w:rPr>
            </w:pPr>
            <w:r w:rsidRPr="00DF4CE5">
              <w:rPr>
                <w:rFonts w:ascii="Cambria" w:eastAsia="Cambria" w:hAnsi="Cambria" w:cs="Cambria"/>
                <w:lang w:val="hr-HR"/>
              </w:rPr>
              <w:t>Ishodi</w:t>
            </w:r>
            <w:r w:rsidRPr="00DF4CE5">
              <w:rPr>
                <w:rFonts w:ascii="Cambria" w:eastAsia="Cambria" w:hAnsi="Cambria" w:cs="Cambria"/>
                <w:spacing w:val="-4"/>
                <w:lang w:val="hr-HR"/>
              </w:rPr>
              <w:t xml:space="preserve"> </w:t>
            </w:r>
            <w:r w:rsidRPr="00DF4CE5">
              <w:rPr>
                <w:rFonts w:ascii="Cambria" w:eastAsia="Cambria" w:hAnsi="Cambria" w:cs="Cambria"/>
                <w:lang w:val="hr-HR"/>
              </w:rPr>
              <w:t>učenja</w:t>
            </w:r>
          </w:p>
        </w:tc>
        <w:tc>
          <w:tcPr>
            <w:tcW w:w="6872" w:type="dxa"/>
            <w:gridSpan w:val="6"/>
          </w:tcPr>
          <w:p w14:paraId="4A945584" w14:textId="77777777" w:rsidR="00AC6110" w:rsidRPr="00DF4CE5" w:rsidRDefault="00AC6110" w:rsidP="00A034E3">
            <w:pPr>
              <w:widowControl w:val="0"/>
              <w:numPr>
                <w:ilvl w:val="0"/>
                <w:numId w:val="85"/>
              </w:numPr>
              <w:tabs>
                <w:tab w:val="left" w:pos="427"/>
              </w:tabs>
              <w:autoSpaceDE w:val="0"/>
              <w:autoSpaceDN w:val="0"/>
              <w:spacing w:after="0" w:line="240" w:lineRule="auto"/>
              <w:rPr>
                <w:rFonts w:ascii="Cambria" w:eastAsia="Cambria" w:hAnsi="Cambria" w:cs="Cambria"/>
                <w:lang w:val="hr-HR"/>
              </w:rPr>
            </w:pPr>
            <w:r w:rsidRPr="00DF4CE5">
              <w:rPr>
                <w:rFonts w:ascii="Cambria" w:eastAsia="Cambria" w:hAnsi="Cambria" w:cs="Cambria"/>
                <w:lang w:val="hr-HR"/>
              </w:rPr>
              <w:t>objasniti</w:t>
            </w:r>
            <w:r w:rsidRPr="00DF4CE5">
              <w:rPr>
                <w:rFonts w:ascii="Cambria" w:eastAsia="Cambria" w:hAnsi="Cambria" w:cs="Cambria"/>
                <w:spacing w:val="-3"/>
                <w:lang w:val="hr-HR"/>
              </w:rPr>
              <w:t xml:space="preserve"> </w:t>
            </w:r>
            <w:r w:rsidRPr="00DF4CE5">
              <w:rPr>
                <w:rFonts w:ascii="Cambria" w:eastAsia="Cambria" w:hAnsi="Cambria" w:cs="Cambria"/>
                <w:lang w:val="hr-HR"/>
              </w:rPr>
              <w:t>strukturu</w:t>
            </w:r>
            <w:r w:rsidRPr="00DF4CE5">
              <w:rPr>
                <w:rFonts w:ascii="Cambria" w:eastAsia="Cambria" w:hAnsi="Cambria" w:cs="Cambria"/>
                <w:spacing w:val="-4"/>
                <w:lang w:val="hr-HR"/>
              </w:rPr>
              <w:t xml:space="preserve"> </w:t>
            </w:r>
            <w:r w:rsidRPr="00DF4CE5">
              <w:rPr>
                <w:rFonts w:ascii="Cambria" w:eastAsia="Cambria" w:hAnsi="Cambria" w:cs="Cambria"/>
                <w:lang w:val="hr-HR"/>
              </w:rPr>
              <w:t>plana</w:t>
            </w:r>
            <w:r w:rsidRPr="00DF4CE5">
              <w:rPr>
                <w:rFonts w:ascii="Cambria" w:eastAsia="Cambria" w:hAnsi="Cambria" w:cs="Cambria"/>
                <w:spacing w:val="-3"/>
                <w:lang w:val="hr-HR"/>
              </w:rPr>
              <w:t xml:space="preserve"> </w:t>
            </w:r>
            <w:r w:rsidRPr="00DF4CE5">
              <w:rPr>
                <w:rFonts w:ascii="Cambria" w:eastAsia="Cambria" w:hAnsi="Cambria" w:cs="Cambria"/>
                <w:lang w:val="hr-HR"/>
              </w:rPr>
              <w:t>i</w:t>
            </w:r>
            <w:r w:rsidRPr="00DF4CE5">
              <w:rPr>
                <w:rFonts w:ascii="Cambria" w:eastAsia="Cambria" w:hAnsi="Cambria" w:cs="Cambria"/>
                <w:spacing w:val="-3"/>
                <w:lang w:val="hr-HR"/>
              </w:rPr>
              <w:t xml:space="preserve"> </w:t>
            </w:r>
            <w:r w:rsidRPr="00DF4CE5">
              <w:rPr>
                <w:rFonts w:ascii="Cambria" w:eastAsia="Cambria" w:hAnsi="Cambria" w:cs="Cambria"/>
                <w:lang w:val="hr-HR"/>
              </w:rPr>
              <w:t>programa</w:t>
            </w:r>
            <w:r w:rsidRPr="00DF4CE5">
              <w:rPr>
                <w:rFonts w:ascii="Cambria" w:eastAsia="Cambria" w:hAnsi="Cambria" w:cs="Cambria"/>
                <w:spacing w:val="-4"/>
                <w:lang w:val="hr-HR"/>
              </w:rPr>
              <w:t xml:space="preserve"> </w:t>
            </w:r>
            <w:r w:rsidRPr="00DF4CE5">
              <w:rPr>
                <w:rFonts w:ascii="Cambria" w:eastAsia="Cambria" w:hAnsi="Cambria" w:cs="Cambria"/>
                <w:lang w:val="hr-HR"/>
              </w:rPr>
              <w:t>osnovne</w:t>
            </w:r>
            <w:r w:rsidRPr="00DF4CE5">
              <w:rPr>
                <w:rFonts w:ascii="Cambria" w:eastAsia="Cambria" w:hAnsi="Cambria" w:cs="Cambria"/>
                <w:spacing w:val="-3"/>
                <w:lang w:val="hr-HR"/>
              </w:rPr>
              <w:t xml:space="preserve"> </w:t>
            </w:r>
            <w:r w:rsidRPr="00DF4CE5">
              <w:rPr>
                <w:rFonts w:ascii="Cambria" w:eastAsia="Cambria" w:hAnsi="Cambria" w:cs="Cambria"/>
                <w:lang w:val="hr-HR"/>
              </w:rPr>
              <w:t>škole</w:t>
            </w:r>
          </w:p>
          <w:p w14:paraId="37A179E0" w14:textId="77777777" w:rsidR="00AC6110" w:rsidRPr="00DF4CE5" w:rsidRDefault="00AC6110" w:rsidP="00A034E3">
            <w:pPr>
              <w:widowControl w:val="0"/>
              <w:numPr>
                <w:ilvl w:val="0"/>
                <w:numId w:val="85"/>
              </w:numPr>
              <w:tabs>
                <w:tab w:val="left" w:pos="427"/>
              </w:tabs>
              <w:autoSpaceDE w:val="0"/>
              <w:autoSpaceDN w:val="0"/>
              <w:spacing w:after="0" w:line="240" w:lineRule="auto"/>
              <w:rPr>
                <w:rFonts w:ascii="Cambria" w:eastAsia="Cambria" w:hAnsi="Cambria" w:cs="Cambria"/>
                <w:lang w:val="hr-HR"/>
              </w:rPr>
            </w:pPr>
            <w:r w:rsidRPr="00DF4CE5">
              <w:rPr>
                <w:rFonts w:ascii="Cambria" w:eastAsia="Cambria" w:hAnsi="Cambria" w:cs="Cambria"/>
                <w:lang w:val="hr-HR"/>
              </w:rPr>
              <w:t>sažeti</w:t>
            </w:r>
            <w:r w:rsidRPr="00DF4CE5">
              <w:rPr>
                <w:rFonts w:ascii="Cambria" w:eastAsia="Cambria" w:hAnsi="Cambria" w:cs="Cambria"/>
                <w:spacing w:val="25"/>
                <w:lang w:val="hr-HR"/>
              </w:rPr>
              <w:t xml:space="preserve"> </w:t>
            </w:r>
            <w:r w:rsidRPr="00DF4CE5">
              <w:rPr>
                <w:rFonts w:ascii="Cambria" w:eastAsia="Cambria" w:hAnsi="Cambria" w:cs="Cambria"/>
                <w:lang w:val="hr-HR"/>
              </w:rPr>
              <w:t>najvažnije</w:t>
            </w:r>
            <w:r w:rsidRPr="00DF4CE5">
              <w:rPr>
                <w:rFonts w:ascii="Cambria" w:eastAsia="Cambria" w:hAnsi="Cambria" w:cs="Cambria"/>
                <w:spacing w:val="26"/>
                <w:lang w:val="hr-HR"/>
              </w:rPr>
              <w:t xml:space="preserve"> </w:t>
            </w:r>
            <w:r w:rsidRPr="00DF4CE5">
              <w:rPr>
                <w:rFonts w:ascii="Cambria" w:eastAsia="Cambria" w:hAnsi="Cambria" w:cs="Cambria"/>
                <w:lang w:val="hr-HR"/>
              </w:rPr>
              <w:t>odrednice</w:t>
            </w:r>
            <w:r w:rsidRPr="00DF4CE5">
              <w:rPr>
                <w:rFonts w:ascii="Cambria" w:eastAsia="Cambria" w:hAnsi="Cambria" w:cs="Cambria"/>
                <w:spacing w:val="25"/>
                <w:lang w:val="hr-HR"/>
              </w:rPr>
              <w:t xml:space="preserve"> </w:t>
            </w:r>
            <w:r w:rsidRPr="00DF4CE5">
              <w:rPr>
                <w:rFonts w:ascii="Cambria" w:eastAsia="Cambria" w:hAnsi="Cambria" w:cs="Cambria"/>
                <w:lang w:val="hr-HR"/>
              </w:rPr>
              <w:t>zakona,</w:t>
            </w:r>
            <w:r w:rsidRPr="00DF4CE5">
              <w:rPr>
                <w:rFonts w:ascii="Cambria" w:eastAsia="Cambria" w:hAnsi="Cambria" w:cs="Cambria"/>
                <w:spacing w:val="27"/>
                <w:lang w:val="hr-HR"/>
              </w:rPr>
              <w:t xml:space="preserve"> </w:t>
            </w:r>
            <w:r w:rsidRPr="00DF4CE5">
              <w:rPr>
                <w:rFonts w:ascii="Cambria" w:eastAsia="Cambria" w:hAnsi="Cambria" w:cs="Cambria"/>
                <w:lang w:val="hr-HR"/>
              </w:rPr>
              <w:t>pravilnika</w:t>
            </w:r>
            <w:r w:rsidRPr="00DF4CE5">
              <w:rPr>
                <w:rFonts w:ascii="Cambria" w:eastAsia="Cambria" w:hAnsi="Cambria" w:cs="Cambria"/>
                <w:spacing w:val="23"/>
                <w:lang w:val="hr-HR"/>
              </w:rPr>
              <w:t xml:space="preserve"> </w:t>
            </w:r>
            <w:r w:rsidRPr="00DF4CE5">
              <w:rPr>
                <w:rFonts w:ascii="Cambria" w:eastAsia="Cambria" w:hAnsi="Cambria" w:cs="Cambria"/>
                <w:lang w:val="hr-HR"/>
              </w:rPr>
              <w:t>i</w:t>
            </w:r>
            <w:r w:rsidRPr="00DF4CE5">
              <w:rPr>
                <w:rFonts w:ascii="Cambria" w:eastAsia="Cambria" w:hAnsi="Cambria" w:cs="Cambria"/>
                <w:spacing w:val="26"/>
                <w:lang w:val="hr-HR"/>
              </w:rPr>
              <w:t xml:space="preserve"> </w:t>
            </w:r>
            <w:r w:rsidRPr="00DF4CE5">
              <w:rPr>
                <w:rFonts w:ascii="Cambria" w:eastAsia="Cambria" w:hAnsi="Cambria" w:cs="Cambria"/>
                <w:lang w:val="hr-HR"/>
              </w:rPr>
              <w:t>propisa</w:t>
            </w:r>
            <w:r w:rsidRPr="00DF4CE5">
              <w:rPr>
                <w:rFonts w:ascii="Cambria" w:eastAsia="Cambria" w:hAnsi="Cambria" w:cs="Cambria"/>
                <w:spacing w:val="26"/>
                <w:lang w:val="hr-HR"/>
              </w:rPr>
              <w:t xml:space="preserve"> </w:t>
            </w:r>
            <w:r w:rsidRPr="00DF4CE5">
              <w:rPr>
                <w:rFonts w:ascii="Cambria" w:eastAsia="Cambria" w:hAnsi="Cambria" w:cs="Cambria"/>
                <w:lang w:val="hr-HR"/>
              </w:rPr>
              <w:t>koji</w:t>
            </w:r>
          </w:p>
          <w:p w14:paraId="48CD66CF" w14:textId="77777777" w:rsidR="00AC6110" w:rsidRPr="00DF4CE5" w:rsidRDefault="00AC6110" w:rsidP="00AC6110">
            <w:pPr>
              <w:widowControl w:val="0"/>
              <w:autoSpaceDE w:val="0"/>
              <w:autoSpaceDN w:val="0"/>
              <w:spacing w:after="0" w:line="240" w:lineRule="auto"/>
              <w:ind w:left="426"/>
              <w:rPr>
                <w:rFonts w:ascii="Cambria" w:eastAsia="Cambria" w:hAnsi="Cambria" w:cs="Cambria"/>
                <w:lang w:val="hr-HR"/>
              </w:rPr>
            </w:pPr>
            <w:r w:rsidRPr="00DF4CE5">
              <w:rPr>
                <w:rFonts w:ascii="Cambria" w:eastAsia="Cambria" w:hAnsi="Cambria" w:cs="Cambria"/>
                <w:lang w:val="hr-HR"/>
              </w:rPr>
              <w:t>reguliraju</w:t>
            </w:r>
            <w:r w:rsidRPr="00DF4CE5">
              <w:rPr>
                <w:rFonts w:ascii="Cambria" w:eastAsia="Cambria" w:hAnsi="Cambria" w:cs="Cambria"/>
                <w:spacing w:val="-4"/>
                <w:lang w:val="hr-HR"/>
              </w:rPr>
              <w:t xml:space="preserve"> </w:t>
            </w:r>
            <w:r w:rsidRPr="00DF4CE5">
              <w:rPr>
                <w:rFonts w:ascii="Cambria" w:eastAsia="Cambria" w:hAnsi="Cambria" w:cs="Cambria"/>
                <w:lang w:val="hr-HR"/>
              </w:rPr>
              <w:t>djelatnost</w:t>
            </w:r>
            <w:r w:rsidRPr="00DF4CE5">
              <w:rPr>
                <w:rFonts w:ascii="Cambria" w:eastAsia="Cambria" w:hAnsi="Cambria" w:cs="Cambria"/>
                <w:spacing w:val="-2"/>
                <w:lang w:val="hr-HR"/>
              </w:rPr>
              <w:t xml:space="preserve"> </w:t>
            </w:r>
            <w:r w:rsidRPr="00DF4CE5">
              <w:rPr>
                <w:rFonts w:ascii="Cambria" w:eastAsia="Cambria" w:hAnsi="Cambria" w:cs="Cambria"/>
                <w:lang w:val="hr-HR"/>
              </w:rPr>
              <w:t>osnovne</w:t>
            </w:r>
            <w:r w:rsidRPr="00DF4CE5">
              <w:rPr>
                <w:rFonts w:ascii="Cambria" w:eastAsia="Cambria" w:hAnsi="Cambria" w:cs="Cambria"/>
                <w:spacing w:val="-3"/>
                <w:lang w:val="hr-HR"/>
              </w:rPr>
              <w:t xml:space="preserve"> </w:t>
            </w:r>
            <w:r w:rsidRPr="00DF4CE5">
              <w:rPr>
                <w:rFonts w:ascii="Cambria" w:eastAsia="Cambria" w:hAnsi="Cambria" w:cs="Cambria"/>
                <w:lang w:val="hr-HR"/>
              </w:rPr>
              <w:t>škole</w:t>
            </w:r>
          </w:p>
          <w:p w14:paraId="0AEDE446" w14:textId="77777777" w:rsidR="00AC6110" w:rsidRPr="00DF4CE5" w:rsidRDefault="00AC6110" w:rsidP="00A034E3">
            <w:pPr>
              <w:widowControl w:val="0"/>
              <w:numPr>
                <w:ilvl w:val="0"/>
                <w:numId w:val="85"/>
              </w:numPr>
              <w:tabs>
                <w:tab w:val="left" w:pos="432"/>
              </w:tabs>
              <w:autoSpaceDE w:val="0"/>
              <w:autoSpaceDN w:val="0"/>
              <w:spacing w:after="0" w:line="240" w:lineRule="auto"/>
              <w:ind w:left="431" w:hanging="289"/>
              <w:rPr>
                <w:rFonts w:ascii="Cambria" w:eastAsia="Cambria" w:hAnsi="Cambria" w:cs="Cambria"/>
                <w:lang w:val="hr-HR"/>
              </w:rPr>
            </w:pPr>
            <w:r w:rsidRPr="00DF4CE5">
              <w:rPr>
                <w:rFonts w:ascii="Cambria" w:eastAsia="Cambria" w:hAnsi="Cambria" w:cs="Cambria"/>
                <w:lang w:val="hr-HR"/>
              </w:rPr>
              <w:t>prikazati</w:t>
            </w:r>
            <w:r w:rsidRPr="00DF4CE5">
              <w:rPr>
                <w:rFonts w:ascii="Cambria" w:eastAsia="Cambria" w:hAnsi="Cambria" w:cs="Cambria"/>
                <w:spacing w:val="-3"/>
                <w:lang w:val="hr-HR"/>
              </w:rPr>
              <w:t xml:space="preserve"> </w:t>
            </w:r>
            <w:r w:rsidRPr="00DF4CE5">
              <w:rPr>
                <w:rFonts w:ascii="Cambria" w:eastAsia="Cambria" w:hAnsi="Cambria" w:cs="Cambria"/>
                <w:lang w:val="hr-HR"/>
              </w:rPr>
              <w:t>sustav</w:t>
            </w:r>
            <w:r w:rsidRPr="00DF4CE5">
              <w:rPr>
                <w:rFonts w:ascii="Cambria" w:eastAsia="Cambria" w:hAnsi="Cambria" w:cs="Cambria"/>
                <w:spacing w:val="-4"/>
                <w:lang w:val="hr-HR"/>
              </w:rPr>
              <w:t xml:space="preserve"> </w:t>
            </w:r>
            <w:r w:rsidRPr="00DF4CE5">
              <w:rPr>
                <w:rFonts w:ascii="Cambria" w:eastAsia="Cambria" w:hAnsi="Cambria" w:cs="Cambria"/>
                <w:lang w:val="hr-HR"/>
              </w:rPr>
              <w:t>upravljanja</w:t>
            </w:r>
            <w:r w:rsidRPr="00DF4CE5">
              <w:rPr>
                <w:rFonts w:ascii="Cambria" w:eastAsia="Cambria" w:hAnsi="Cambria" w:cs="Cambria"/>
                <w:spacing w:val="-4"/>
                <w:lang w:val="hr-HR"/>
              </w:rPr>
              <w:t xml:space="preserve"> </w:t>
            </w:r>
            <w:r w:rsidRPr="00DF4CE5">
              <w:rPr>
                <w:rFonts w:ascii="Cambria" w:eastAsia="Cambria" w:hAnsi="Cambria" w:cs="Cambria"/>
                <w:lang w:val="hr-HR"/>
              </w:rPr>
              <w:t>školom</w:t>
            </w:r>
          </w:p>
          <w:p w14:paraId="635B196F" w14:textId="77777777" w:rsidR="00AC6110" w:rsidRPr="00DF4CE5" w:rsidRDefault="00AC6110" w:rsidP="00A034E3">
            <w:pPr>
              <w:widowControl w:val="0"/>
              <w:numPr>
                <w:ilvl w:val="0"/>
                <w:numId w:val="85"/>
              </w:numPr>
              <w:tabs>
                <w:tab w:val="left" w:pos="432"/>
              </w:tabs>
              <w:autoSpaceDE w:val="0"/>
              <w:autoSpaceDN w:val="0"/>
              <w:spacing w:after="0" w:line="240" w:lineRule="auto"/>
              <w:ind w:left="431" w:hanging="289"/>
              <w:rPr>
                <w:rFonts w:ascii="Cambria" w:eastAsia="Cambria" w:hAnsi="Cambria" w:cs="Cambria"/>
                <w:lang w:val="hr-HR"/>
              </w:rPr>
            </w:pPr>
            <w:r w:rsidRPr="00DF4CE5">
              <w:rPr>
                <w:rFonts w:ascii="Cambria" w:eastAsia="Cambria" w:hAnsi="Cambria" w:cs="Cambria"/>
                <w:lang w:val="hr-HR"/>
              </w:rPr>
              <w:t>sudjelovati</w:t>
            </w:r>
            <w:r w:rsidRPr="00DF4CE5">
              <w:rPr>
                <w:rFonts w:ascii="Cambria" w:eastAsia="Cambria" w:hAnsi="Cambria" w:cs="Cambria"/>
                <w:spacing w:val="-3"/>
                <w:lang w:val="hr-HR"/>
              </w:rPr>
              <w:t xml:space="preserve"> </w:t>
            </w:r>
            <w:r w:rsidRPr="00DF4CE5">
              <w:rPr>
                <w:rFonts w:ascii="Cambria" w:eastAsia="Cambria" w:hAnsi="Cambria" w:cs="Cambria"/>
                <w:lang w:val="hr-HR"/>
              </w:rPr>
              <w:t>u</w:t>
            </w:r>
            <w:r w:rsidRPr="00DF4CE5">
              <w:rPr>
                <w:rFonts w:ascii="Cambria" w:eastAsia="Cambria" w:hAnsi="Cambria" w:cs="Cambria"/>
                <w:spacing w:val="-4"/>
                <w:lang w:val="hr-HR"/>
              </w:rPr>
              <w:t xml:space="preserve"> </w:t>
            </w:r>
            <w:r w:rsidRPr="00DF4CE5">
              <w:rPr>
                <w:rFonts w:ascii="Cambria" w:eastAsia="Cambria" w:hAnsi="Cambria" w:cs="Cambria"/>
                <w:lang w:val="hr-HR"/>
              </w:rPr>
              <w:t>nastavnom</w:t>
            </w:r>
            <w:r w:rsidRPr="00DF4CE5">
              <w:rPr>
                <w:rFonts w:ascii="Cambria" w:eastAsia="Cambria" w:hAnsi="Cambria" w:cs="Cambria"/>
                <w:spacing w:val="-3"/>
                <w:lang w:val="hr-HR"/>
              </w:rPr>
              <w:t xml:space="preserve"> </w:t>
            </w:r>
            <w:r w:rsidRPr="00DF4CE5">
              <w:rPr>
                <w:rFonts w:ascii="Cambria" w:eastAsia="Cambria" w:hAnsi="Cambria" w:cs="Cambria"/>
                <w:lang w:val="hr-HR"/>
              </w:rPr>
              <w:t>procesu</w:t>
            </w:r>
          </w:p>
          <w:p w14:paraId="38EBA685" w14:textId="77777777" w:rsidR="00AC6110" w:rsidRPr="00DF4CE5" w:rsidRDefault="00AC6110" w:rsidP="00A034E3">
            <w:pPr>
              <w:widowControl w:val="0"/>
              <w:numPr>
                <w:ilvl w:val="0"/>
                <w:numId w:val="85"/>
              </w:numPr>
              <w:tabs>
                <w:tab w:val="left" w:pos="418"/>
              </w:tabs>
              <w:autoSpaceDE w:val="0"/>
              <w:autoSpaceDN w:val="0"/>
              <w:spacing w:after="0" w:line="240" w:lineRule="auto"/>
              <w:ind w:left="417" w:hanging="275"/>
              <w:rPr>
                <w:rFonts w:ascii="Cambria" w:eastAsia="Cambria" w:hAnsi="Cambria" w:cs="Cambria"/>
                <w:lang w:val="hr-HR"/>
              </w:rPr>
            </w:pPr>
            <w:r w:rsidRPr="00DF4CE5">
              <w:rPr>
                <w:rFonts w:ascii="Cambria" w:eastAsia="Cambria" w:hAnsi="Cambria" w:cs="Cambria"/>
                <w:spacing w:val="-1"/>
                <w:lang w:val="hr-HR"/>
              </w:rPr>
              <w:t>analizirati</w:t>
            </w:r>
            <w:r w:rsidRPr="00DF4CE5">
              <w:rPr>
                <w:rFonts w:ascii="Cambria" w:eastAsia="Cambria" w:hAnsi="Cambria" w:cs="Cambria"/>
                <w:spacing w:val="-7"/>
                <w:lang w:val="hr-HR"/>
              </w:rPr>
              <w:t xml:space="preserve"> </w:t>
            </w:r>
            <w:r w:rsidRPr="00DF4CE5">
              <w:rPr>
                <w:rFonts w:ascii="Cambria" w:eastAsia="Cambria" w:hAnsi="Cambria" w:cs="Cambria"/>
                <w:spacing w:val="-1"/>
                <w:lang w:val="hr-HR"/>
              </w:rPr>
              <w:t>aktivnosti</w:t>
            </w:r>
            <w:r w:rsidRPr="00DF4CE5">
              <w:rPr>
                <w:rFonts w:ascii="Cambria" w:eastAsia="Cambria" w:hAnsi="Cambria" w:cs="Cambria"/>
                <w:spacing w:val="-12"/>
                <w:lang w:val="hr-HR"/>
              </w:rPr>
              <w:t xml:space="preserve"> </w:t>
            </w:r>
            <w:r w:rsidRPr="00DF4CE5">
              <w:rPr>
                <w:rFonts w:ascii="Cambria" w:eastAsia="Cambria" w:hAnsi="Cambria" w:cs="Cambria"/>
                <w:spacing w:val="-1"/>
                <w:lang w:val="hr-HR"/>
              </w:rPr>
              <w:t>koje</w:t>
            </w:r>
            <w:r w:rsidRPr="00DF4CE5">
              <w:rPr>
                <w:rFonts w:ascii="Cambria" w:eastAsia="Cambria" w:hAnsi="Cambria" w:cs="Cambria"/>
                <w:spacing w:val="-7"/>
                <w:lang w:val="hr-HR"/>
              </w:rPr>
              <w:t xml:space="preserve"> </w:t>
            </w:r>
            <w:r w:rsidRPr="00DF4CE5">
              <w:rPr>
                <w:rFonts w:ascii="Cambria" w:eastAsia="Cambria" w:hAnsi="Cambria" w:cs="Cambria"/>
                <w:spacing w:val="-1"/>
                <w:lang w:val="hr-HR"/>
              </w:rPr>
              <w:t>realiziraju</w:t>
            </w:r>
            <w:r w:rsidRPr="00DF4CE5">
              <w:rPr>
                <w:rFonts w:ascii="Cambria" w:eastAsia="Cambria" w:hAnsi="Cambria" w:cs="Cambria"/>
                <w:spacing w:val="-8"/>
                <w:lang w:val="hr-HR"/>
              </w:rPr>
              <w:t xml:space="preserve"> </w:t>
            </w:r>
            <w:r w:rsidRPr="00DF4CE5">
              <w:rPr>
                <w:rFonts w:ascii="Cambria" w:eastAsia="Cambria" w:hAnsi="Cambria" w:cs="Cambria"/>
                <w:lang w:val="hr-HR"/>
              </w:rPr>
              <w:t>stručni</w:t>
            </w:r>
            <w:r w:rsidRPr="00DF4CE5">
              <w:rPr>
                <w:rFonts w:ascii="Cambria" w:eastAsia="Cambria" w:hAnsi="Cambria" w:cs="Cambria"/>
                <w:spacing w:val="-6"/>
                <w:lang w:val="hr-HR"/>
              </w:rPr>
              <w:t xml:space="preserve"> </w:t>
            </w:r>
            <w:r w:rsidRPr="00DF4CE5">
              <w:rPr>
                <w:rFonts w:ascii="Cambria" w:eastAsia="Cambria" w:hAnsi="Cambria" w:cs="Cambria"/>
                <w:lang w:val="hr-HR"/>
              </w:rPr>
              <w:t>suradnici</w:t>
            </w:r>
            <w:r w:rsidRPr="00DF4CE5">
              <w:rPr>
                <w:rFonts w:ascii="Cambria" w:eastAsia="Cambria" w:hAnsi="Cambria" w:cs="Cambria"/>
                <w:spacing w:val="-7"/>
                <w:lang w:val="hr-HR"/>
              </w:rPr>
              <w:t xml:space="preserve"> </w:t>
            </w:r>
            <w:r w:rsidRPr="00DF4CE5">
              <w:rPr>
                <w:rFonts w:ascii="Cambria" w:eastAsia="Cambria" w:hAnsi="Cambria" w:cs="Cambria"/>
                <w:lang w:val="hr-HR"/>
              </w:rPr>
              <w:t>i</w:t>
            </w:r>
            <w:r w:rsidRPr="00DF4CE5">
              <w:rPr>
                <w:rFonts w:ascii="Cambria" w:eastAsia="Cambria" w:hAnsi="Cambria" w:cs="Cambria"/>
                <w:spacing w:val="-7"/>
                <w:lang w:val="hr-HR"/>
              </w:rPr>
              <w:t xml:space="preserve"> </w:t>
            </w:r>
            <w:r w:rsidRPr="00DF4CE5">
              <w:rPr>
                <w:rFonts w:ascii="Cambria" w:eastAsia="Cambria" w:hAnsi="Cambria" w:cs="Cambria"/>
                <w:lang w:val="hr-HR"/>
              </w:rPr>
              <w:t>učitelji</w:t>
            </w:r>
          </w:p>
        </w:tc>
      </w:tr>
      <w:tr w:rsidR="00AC6110" w:rsidRPr="00D0399C" w14:paraId="12D14E0D" w14:textId="77777777" w:rsidTr="00DF4CE5">
        <w:trPr>
          <w:trHeight w:val="2548"/>
        </w:trPr>
        <w:tc>
          <w:tcPr>
            <w:tcW w:w="2470" w:type="dxa"/>
            <w:shd w:val="clear" w:color="auto" w:fill="F3F3F3"/>
          </w:tcPr>
          <w:p w14:paraId="55AF6BB0" w14:textId="77777777" w:rsidR="00AC6110" w:rsidRPr="00DF4CE5" w:rsidRDefault="00AC6110" w:rsidP="00AC6110">
            <w:pPr>
              <w:widowControl w:val="0"/>
              <w:autoSpaceDE w:val="0"/>
              <w:autoSpaceDN w:val="0"/>
              <w:spacing w:after="0" w:line="240" w:lineRule="auto"/>
              <w:rPr>
                <w:rFonts w:ascii="Cambria" w:eastAsia="Cambria" w:hAnsi="Cambria" w:cs="Cambria"/>
                <w:lang w:val="hr-HR"/>
              </w:rPr>
            </w:pPr>
          </w:p>
          <w:p w14:paraId="45C32B35" w14:textId="77777777" w:rsidR="00AC6110" w:rsidRPr="00DF4CE5" w:rsidRDefault="00AC6110" w:rsidP="00AC6110">
            <w:pPr>
              <w:widowControl w:val="0"/>
              <w:autoSpaceDE w:val="0"/>
              <w:autoSpaceDN w:val="0"/>
              <w:spacing w:after="0" w:line="240" w:lineRule="auto"/>
              <w:rPr>
                <w:rFonts w:ascii="Cambria" w:eastAsia="Cambria" w:hAnsi="Cambria" w:cs="Cambria"/>
                <w:lang w:val="hr-HR"/>
              </w:rPr>
            </w:pPr>
          </w:p>
          <w:p w14:paraId="6B5D7C26" w14:textId="77777777" w:rsidR="00AC6110" w:rsidRPr="00DF4CE5" w:rsidRDefault="00AC6110" w:rsidP="00AC6110">
            <w:pPr>
              <w:widowControl w:val="0"/>
              <w:autoSpaceDE w:val="0"/>
              <w:autoSpaceDN w:val="0"/>
              <w:spacing w:after="0" w:line="240" w:lineRule="auto"/>
              <w:rPr>
                <w:rFonts w:ascii="Cambria" w:eastAsia="Cambria" w:hAnsi="Cambria" w:cs="Cambria"/>
                <w:lang w:val="hr-HR"/>
              </w:rPr>
            </w:pPr>
          </w:p>
          <w:p w14:paraId="7C70AD38" w14:textId="77777777" w:rsidR="00AC6110" w:rsidRPr="00DF4CE5" w:rsidRDefault="00AC6110" w:rsidP="00AC6110">
            <w:pPr>
              <w:widowControl w:val="0"/>
              <w:autoSpaceDE w:val="0"/>
              <w:autoSpaceDN w:val="0"/>
              <w:spacing w:after="0" w:line="240" w:lineRule="auto"/>
              <w:ind w:left="107"/>
              <w:rPr>
                <w:rFonts w:ascii="Cambria" w:eastAsia="Cambria" w:hAnsi="Cambria" w:cs="Cambria"/>
                <w:lang w:val="hr-HR"/>
              </w:rPr>
            </w:pPr>
            <w:r w:rsidRPr="00DF4CE5">
              <w:rPr>
                <w:rFonts w:ascii="Cambria" w:eastAsia="Cambria" w:hAnsi="Cambria" w:cs="Cambria"/>
                <w:lang w:val="hr-HR"/>
              </w:rPr>
              <w:t>Sadržaj</w:t>
            </w:r>
            <w:r w:rsidRPr="00DF4CE5">
              <w:rPr>
                <w:rFonts w:ascii="Cambria" w:eastAsia="Cambria" w:hAnsi="Cambria" w:cs="Cambria"/>
                <w:spacing w:val="-3"/>
                <w:lang w:val="hr-HR"/>
              </w:rPr>
              <w:t xml:space="preserve"> </w:t>
            </w:r>
            <w:r w:rsidRPr="00DF4CE5">
              <w:rPr>
                <w:rFonts w:ascii="Cambria" w:eastAsia="Cambria" w:hAnsi="Cambria" w:cs="Cambria"/>
                <w:lang w:val="hr-HR"/>
              </w:rPr>
              <w:t>kolegija</w:t>
            </w:r>
          </w:p>
        </w:tc>
        <w:tc>
          <w:tcPr>
            <w:tcW w:w="6872" w:type="dxa"/>
            <w:gridSpan w:val="6"/>
          </w:tcPr>
          <w:p w14:paraId="09B24172" w14:textId="77777777" w:rsidR="00AC6110" w:rsidRPr="00DF4CE5" w:rsidRDefault="00AC6110" w:rsidP="00AC6110">
            <w:pPr>
              <w:widowControl w:val="0"/>
              <w:autoSpaceDE w:val="0"/>
              <w:autoSpaceDN w:val="0"/>
              <w:spacing w:after="0" w:line="240" w:lineRule="auto"/>
              <w:ind w:left="107" w:right="91"/>
              <w:rPr>
                <w:rFonts w:ascii="Cambria" w:eastAsia="Cambria" w:hAnsi="Cambria" w:cs="Cambria"/>
                <w:lang w:val="hr-HR"/>
              </w:rPr>
            </w:pPr>
            <w:r w:rsidRPr="00DF4CE5">
              <w:rPr>
                <w:rFonts w:ascii="Cambria" w:eastAsia="Cambria" w:hAnsi="Cambria" w:cs="Cambria"/>
                <w:lang w:val="hr-HR"/>
              </w:rPr>
              <w:t>Studenti</w:t>
            </w:r>
            <w:r w:rsidRPr="00DF4CE5">
              <w:rPr>
                <w:rFonts w:ascii="Cambria" w:eastAsia="Cambria" w:hAnsi="Cambria" w:cs="Cambria"/>
                <w:spacing w:val="-10"/>
                <w:lang w:val="hr-HR"/>
              </w:rPr>
              <w:t xml:space="preserve"> </w:t>
            </w:r>
            <w:r w:rsidRPr="00DF4CE5">
              <w:rPr>
                <w:rFonts w:ascii="Cambria" w:eastAsia="Cambria" w:hAnsi="Cambria" w:cs="Cambria"/>
                <w:lang w:val="hr-HR"/>
              </w:rPr>
              <w:t>stručno-pedagošku</w:t>
            </w:r>
            <w:r w:rsidRPr="00DF4CE5">
              <w:rPr>
                <w:rFonts w:ascii="Cambria" w:eastAsia="Cambria" w:hAnsi="Cambria" w:cs="Cambria"/>
                <w:spacing w:val="-11"/>
                <w:lang w:val="hr-HR"/>
              </w:rPr>
              <w:t xml:space="preserve"> </w:t>
            </w:r>
            <w:r w:rsidRPr="00DF4CE5">
              <w:rPr>
                <w:rFonts w:ascii="Cambria" w:eastAsia="Cambria" w:hAnsi="Cambria" w:cs="Cambria"/>
                <w:lang w:val="hr-HR"/>
              </w:rPr>
              <w:t>praksu</w:t>
            </w:r>
            <w:r w:rsidRPr="00DF4CE5">
              <w:rPr>
                <w:rFonts w:ascii="Cambria" w:eastAsia="Cambria" w:hAnsi="Cambria" w:cs="Cambria"/>
                <w:spacing w:val="-11"/>
                <w:lang w:val="hr-HR"/>
              </w:rPr>
              <w:t xml:space="preserve"> </w:t>
            </w:r>
            <w:r w:rsidRPr="00DF4CE5">
              <w:rPr>
                <w:rFonts w:ascii="Cambria" w:eastAsia="Cambria" w:hAnsi="Cambria" w:cs="Cambria"/>
                <w:lang w:val="hr-HR"/>
              </w:rPr>
              <w:t>ostvaruju</w:t>
            </w:r>
            <w:r w:rsidRPr="00DF4CE5">
              <w:rPr>
                <w:rFonts w:ascii="Cambria" w:eastAsia="Cambria" w:hAnsi="Cambria" w:cs="Cambria"/>
                <w:spacing w:val="-11"/>
                <w:lang w:val="hr-HR"/>
              </w:rPr>
              <w:t xml:space="preserve"> </w:t>
            </w:r>
            <w:r w:rsidRPr="00DF4CE5">
              <w:rPr>
                <w:rFonts w:ascii="Cambria" w:eastAsia="Cambria" w:hAnsi="Cambria" w:cs="Cambria"/>
                <w:lang w:val="hr-HR"/>
              </w:rPr>
              <w:t>u</w:t>
            </w:r>
            <w:r w:rsidRPr="00DF4CE5">
              <w:rPr>
                <w:rFonts w:ascii="Cambria" w:eastAsia="Cambria" w:hAnsi="Cambria" w:cs="Cambria"/>
                <w:spacing w:val="-10"/>
                <w:lang w:val="hr-HR"/>
              </w:rPr>
              <w:t xml:space="preserve"> </w:t>
            </w:r>
            <w:r w:rsidRPr="00DF4CE5">
              <w:rPr>
                <w:rFonts w:ascii="Cambria" w:eastAsia="Cambria" w:hAnsi="Cambria" w:cs="Cambria"/>
                <w:lang w:val="hr-HR"/>
              </w:rPr>
              <w:t>odabranoj</w:t>
            </w:r>
            <w:r w:rsidRPr="00DF4CE5">
              <w:rPr>
                <w:rFonts w:ascii="Cambria" w:eastAsia="Cambria" w:hAnsi="Cambria" w:cs="Cambria"/>
                <w:spacing w:val="-10"/>
                <w:lang w:val="hr-HR"/>
              </w:rPr>
              <w:t xml:space="preserve"> </w:t>
            </w:r>
            <w:r w:rsidRPr="00DF4CE5">
              <w:rPr>
                <w:rFonts w:ascii="Cambria" w:eastAsia="Cambria" w:hAnsi="Cambria" w:cs="Cambria"/>
                <w:lang w:val="hr-HR"/>
              </w:rPr>
              <w:t>školi</w:t>
            </w:r>
            <w:r w:rsidRPr="00DF4CE5">
              <w:rPr>
                <w:rFonts w:ascii="Cambria" w:eastAsia="Cambria" w:hAnsi="Cambria" w:cs="Cambria"/>
                <w:spacing w:val="-11"/>
                <w:lang w:val="hr-HR"/>
              </w:rPr>
              <w:t xml:space="preserve"> </w:t>
            </w:r>
            <w:r w:rsidRPr="00DF4CE5">
              <w:rPr>
                <w:rFonts w:ascii="Cambria" w:eastAsia="Cambria" w:hAnsi="Cambria" w:cs="Cambria"/>
                <w:lang w:val="hr-HR"/>
              </w:rPr>
              <w:t>u</w:t>
            </w:r>
            <w:r w:rsidRPr="00DF4CE5">
              <w:rPr>
                <w:rFonts w:ascii="Cambria" w:eastAsia="Cambria" w:hAnsi="Cambria" w:cs="Cambria"/>
                <w:spacing w:val="-51"/>
                <w:lang w:val="hr-HR"/>
              </w:rPr>
              <w:t xml:space="preserve"> </w:t>
            </w:r>
            <w:r w:rsidRPr="00DF4CE5">
              <w:rPr>
                <w:rFonts w:ascii="Cambria" w:eastAsia="Cambria" w:hAnsi="Cambria" w:cs="Cambria"/>
                <w:lang w:val="hr-HR"/>
              </w:rPr>
              <w:t>veljači</w:t>
            </w:r>
            <w:r w:rsidRPr="00DF4CE5">
              <w:rPr>
                <w:rFonts w:ascii="Cambria" w:eastAsia="Cambria" w:hAnsi="Cambria" w:cs="Cambria"/>
                <w:spacing w:val="-2"/>
                <w:lang w:val="hr-HR"/>
              </w:rPr>
              <w:t xml:space="preserve"> </w:t>
            </w:r>
            <w:r w:rsidRPr="00DF4CE5">
              <w:rPr>
                <w:rFonts w:ascii="Cambria" w:eastAsia="Cambria" w:hAnsi="Cambria" w:cs="Cambria"/>
                <w:lang w:val="hr-HR"/>
              </w:rPr>
              <w:t>(50</w:t>
            </w:r>
            <w:r w:rsidRPr="00DF4CE5">
              <w:rPr>
                <w:rFonts w:ascii="Cambria" w:eastAsia="Cambria" w:hAnsi="Cambria" w:cs="Cambria"/>
                <w:spacing w:val="-1"/>
                <w:lang w:val="hr-HR"/>
              </w:rPr>
              <w:t xml:space="preserve"> </w:t>
            </w:r>
            <w:r w:rsidRPr="00DF4CE5">
              <w:rPr>
                <w:rFonts w:ascii="Cambria" w:eastAsia="Cambria" w:hAnsi="Cambria" w:cs="Cambria"/>
                <w:lang w:val="hr-HR"/>
              </w:rPr>
              <w:t>sati), pod</w:t>
            </w:r>
            <w:r w:rsidRPr="00DF4CE5">
              <w:rPr>
                <w:rFonts w:ascii="Cambria" w:eastAsia="Cambria" w:hAnsi="Cambria" w:cs="Cambria"/>
                <w:spacing w:val="-2"/>
                <w:lang w:val="hr-HR"/>
              </w:rPr>
              <w:t xml:space="preserve"> </w:t>
            </w:r>
            <w:r w:rsidRPr="00DF4CE5">
              <w:rPr>
                <w:rFonts w:ascii="Cambria" w:eastAsia="Cambria" w:hAnsi="Cambria" w:cs="Cambria"/>
                <w:lang w:val="hr-HR"/>
              </w:rPr>
              <w:t>vodstvom</w:t>
            </w:r>
            <w:r w:rsidRPr="00DF4CE5">
              <w:rPr>
                <w:rFonts w:ascii="Cambria" w:eastAsia="Cambria" w:hAnsi="Cambria" w:cs="Cambria"/>
                <w:spacing w:val="-2"/>
                <w:lang w:val="hr-HR"/>
              </w:rPr>
              <w:t xml:space="preserve"> </w:t>
            </w:r>
            <w:r w:rsidRPr="00DF4CE5">
              <w:rPr>
                <w:rFonts w:ascii="Cambria" w:eastAsia="Cambria" w:hAnsi="Cambria" w:cs="Cambria"/>
                <w:lang w:val="hr-HR"/>
              </w:rPr>
              <w:t>učitelja-mentora.</w:t>
            </w:r>
          </w:p>
          <w:p w14:paraId="16856EE2" w14:textId="77777777" w:rsidR="00AC6110" w:rsidRPr="00DF4CE5" w:rsidRDefault="00AC6110" w:rsidP="00AC6110">
            <w:pPr>
              <w:widowControl w:val="0"/>
              <w:autoSpaceDE w:val="0"/>
              <w:autoSpaceDN w:val="0"/>
              <w:spacing w:after="0" w:line="240" w:lineRule="auto"/>
              <w:ind w:left="107"/>
              <w:jc w:val="both"/>
              <w:rPr>
                <w:rFonts w:ascii="Cambria" w:eastAsia="Cambria" w:hAnsi="Cambria" w:cs="Cambria"/>
                <w:lang w:val="hr-HR"/>
              </w:rPr>
            </w:pPr>
            <w:r w:rsidRPr="00DF4CE5">
              <w:rPr>
                <w:rFonts w:ascii="Cambria" w:eastAsia="Cambria" w:hAnsi="Cambria" w:cs="Cambria"/>
                <w:lang w:val="hr-HR"/>
              </w:rPr>
              <w:t>Nastavni</w:t>
            </w:r>
            <w:r w:rsidRPr="00DF4CE5">
              <w:rPr>
                <w:rFonts w:ascii="Cambria" w:eastAsia="Cambria" w:hAnsi="Cambria" w:cs="Cambria"/>
                <w:spacing w:val="-4"/>
                <w:lang w:val="hr-HR"/>
              </w:rPr>
              <w:t xml:space="preserve"> </w:t>
            </w:r>
            <w:r w:rsidRPr="00DF4CE5">
              <w:rPr>
                <w:rFonts w:ascii="Cambria" w:eastAsia="Cambria" w:hAnsi="Cambria" w:cs="Cambria"/>
                <w:lang w:val="hr-HR"/>
              </w:rPr>
              <w:t>program</w:t>
            </w:r>
            <w:r w:rsidRPr="00DF4CE5">
              <w:rPr>
                <w:rFonts w:ascii="Cambria" w:eastAsia="Cambria" w:hAnsi="Cambria" w:cs="Cambria"/>
                <w:spacing w:val="-4"/>
                <w:lang w:val="hr-HR"/>
              </w:rPr>
              <w:t xml:space="preserve"> </w:t>
            </w:r>
            <w:r w:rsidRPr="00DF4CE5">
              <w:rPr>
                <w:rFonts w:ascii="Cambria" w:eastAsia="Cambria" w:hAnsi="Cambria" w:cs="Cambria"/>
                <w:lang w:val="hr-HR"/>
              </w:rPr>
              <w:t>Stručne</w:t>
            </w:r>
            <w:r w:rsidRPr="00DF4CE5">
              <w:rPr>
                <w:rFonts w:ascii="Cambria" w:eastAsia="Cambria" w:hAnsi="Cambria" w:cs="Cambria"/>
                <w:spacing w:val="-3"/>
                <w:lang w:val="hr-HR"/>
              </w:rPr>
              <w:t xml:space="preserve"> </w:t>
            </w:r>
            <w:r w:rsidRPr="00DF4CE5">
              <w:rPr>
                <w:rFonts w:ascii="Cambria" w:eastAsia="Cambria" w:hAnsi="Cambria" w:cs="Cambria"/>
                <w:lang w:val="hr-HR"/>
              </w:rPr>
              <w:t>prakse</w:t>
            </w:r>
            <w:r w:rsidRPr="00DF4CE5">
              <w:rPr>
                <w:rFonts w:ascii="Cambria" w:eastAsia="Cambria" w:hAnsi="Cambria" w:cs="Cambria"/>
                <w:spacing w:val="-4"/>
                <w:lang w:val="hr-HR"/>
              </w:rPr>
              <w:t xml:space="preserve"> </w:t>
            </w:r>
            <w:r w:rsidRPr="00DF4CE5">
              <w:rPr>
                <w:rFonts w:ascii="Cambria" w:eastAsia="Cambria" w:hAnsi="Cambria" w:cs="Cambria"/>
                <w:lang w:val="hr-HR"/>
              </w:rPr>
              <w:t>II.</w:t>
            </w:r>
            <w:r w:rsidRPr="00DF4CE5">
              <w:rPr>
                <w:rFonts w:ascii="Cambria" w:eastAsia="Cambria" w:hAnsi="Cambria" w:cs="Cambria"/>
                <w:spacing w:val="-4"/>
                <w:lang w:val="hr-HR"/>
              </w:rPr>
              <w:t xml:space="preserve"> </w:t>
            </w:r>
            <w:r w:rsidRPr="00DF4CE5">
              <w:rPr>
                <w:rFonts w:ascii="Cambria" w:eastAsia="Cambria" w:hAnsi="Cambria" w:cs="Cambria"/>
                <w:lang w:val="hr-HR"/>
              </w:rPr>
              <w:t>predviđa:</w:t>
            </w:r>
          </w:p>
          <w:p w14:paraId="17FB9DFC" w14:textId="77777777" w:rsidR="00AC6110" w:rsidRPr="00DF4CE5" w:rsidRDefault="00AC6110" w:rsidP="00A034E3">
            <w:pPr>
              <w:widowControl w:val="0"/>
              <w:numPr>
                <w:ilvl w:val="0"/>
                <w:numId w:val="84"/>
              </w:numPr>
              <w:tabs>
                <w:tab w:val="left" w:pos="468"/>
              </w:tabs>
              <w:autoSpaceDE w:val="0"/>
              <w:autoSpaceDN w:val="0"/>
              <w:spacing w:after="0" w:line="240" w:lineRule="auto"/>
              <w:ind w:right="84"/>
              <w:rPr>
                <w:rFonts w:ascii="Cambria" w:eastAsia="Cambria" w:hAnsi="Cambria" w:cs="Cambria"/>
                <w:lang w:val="hr-HR"/>
              </w:rPr>
            </w:pPr>
            <w:r w:rsidRPr="00DF4CE5">
              <w:rPr>
                <w:rFonts w:ascii="Cambria" w:eastAsia="Cambria" w:hAnsi="Cambria" w:cs="Cambria"/>
                <w:lang w:val="hr-HR"/>
              </w:rPr>
              <w:t>Upoznavanje</w:t>
            </w:r>
            <w:r w:rsidRPr="00DF4CE5">
              <w:rPr>
                <w:rFonts w:ascii="Cambria" w:eastAsia="Cambria" w:hAnsi="Cambria" w:cs="Cambria"/>
                <w:spacing w:val="1"/>
                <w:lang w:val="hr-HR"/>
              </w:rPr>
              <w:t xml:space="preserve"> </w:t>
            </w:r>
            <w:r w:rsidRPr="00DF4CE5">
              <w:rPr>
                <w:rFonts w:ascii="Cambria" w:eastAsia="Cambria" w:hAnsi="Cambria" w:cs="Cambria"/>
                <w:lang w:val="hr-HR"/>
              </w:rPr>
              <w:t>sa</w:t>
            </w:r>
            <w:r w:rsidRPr="00DF4CE5">
              <w:rPr>
                <w:rFonts w:ascii="Cambria" w:eastAsia="Cambria" w:hAnsi="Cambria" w:cs="Cambria"/>
                <w:spacing w:val="1"/>
                <w:lang w:val="hr-HR"/>
              </w:rPr>
              <w:t xml:space="preserve"> </w:t>
            </w:r>
            <w:r w:rsidRPr="00DF4CE5">
              <w:rPr>
                <w:rFonts w:ascii="Cambria" w:eastAsia="Cambria" w:hAnsi="Cambria" w:cs="Cambria"/>
                <w:lang w:val="hr-HR"/>
              </w:rPr>
              <w:t>zakonima,</w:t>
            </w:r>
            <w:r w:rsidRPr="00DF4CE5">
              <w:rPr>
                <w:rFonts w:ascii="Cambria" w:eastAsia="Cambria" w:hAnsi="Cambria" w:cs="Cambria"/>
                <w:spacing w:val="1"/>
                <w:lang w:val="hr-HR"/>
              </w:rPr>
              <w:t xml:space="preserve"> </w:t>
            </w:r>
            <w:r w:rsidRPr="00DF4CE5">
              <w:rPr>
                <w:rFonts w:ascii="Cambria" w:eastAsia="Cambria" w:hAnsi="Cambria" w:cs="Cambria"/>
                <w:lang w:val="hr-HR"/>
              </w:rPr>
              <w:t>pravilnicima</w:t>
            </w:r>
            <w:r w:rsidRPr="00DF4CE5">
              <w:rPr>
                <w:rFonts w:ascii="Cambria" w:eastAsia="Cambria" w:hAnsi="Cambria" w:cs="Cambria"/>
                <w:spacing w:val="1"/>
                <w:lang w:val="hr-HR"/>
              </w:rPr>
              <w:t xml:space="preserve"> </w:t>
            </w:r>
            <w:r w:rsidRPr="00DF4CE5">
              <w:rPr>
                <w:rFonts w:ascii="Cambria" w:eastAsia="Cambria" w:hAnsi="Cambria" w:cs="Cambria"/>
                <w:lang w:val="hr-HR"/>
              </w:rPr>
              <w:t>i</w:t>
            </w:r>
            <w:r w:rsidRPr="00DF4CE5">
              <w:rPr>
                <w:rFonts w:ascii="Cambria" w:eastAsia="Cambria" w:hAnsi="Cambria" w:cs="Cambria"/>
                <w:spacing w:val="1"/>
                <w:lang w:val="hr-HR"/>
              </w:rPr>
              <w:t xml:space="preserve"> </w:t>
            </w:r>
            <w:r w:rsidRPr="00DF4CE5">
              <w:rPr>
                <w:rFonts w:ascii="Cambria" w:eastAsia="Cambria" w:hAnsi="Cambria" w:cs="Cambria"/>
                <w:lang w:val="hr-HR"/>
              </w:rPr>
              <w:t>propisima</w:t>
            </w:r>
            <w:r w:rsidRPr="00DF4CE5">
              <w:rPr>
                <w:rFonts w:ascii="Cambria" w:eastAsia="Cambria" w:hAnsi="Cambria" w:cs="Cambria"/>
                <w:spacing w:val="1"/>
                <w:lang w:val="hr-HR"/>
              </w:rPr>
              <w:t xml:space="preserve"> </w:t>
            </w:r>
            <w:r w:rsidRPr="00DF4CE5">
              <w:rPr>
                <w:rFonts w:ascii="Cambria" w:eastAsia="Cambria" w:hAnsi="Cambria" w:cs="Cambria"/>
                <w:lang w:val="hr-HR"/>
              </w:rPr>
              <w:t>koji</w:t>
            </w:r>
            <w:r w:rsidRPr="00DF4CE5">
              <w:rPr>
                <w:rFonts w:ascii="Cambria" w:eastAsia="Cambria" w:hAnsi="Cambria" w:cs="Cambria"/>
                <w:spacing w:val="1"/>
                <w:lang w:val="hr-HR"/>
              </w:rPr>
              <w:t xml:space="preserve"> </w:t>
            </w:r>
            <w:r w:rsidRPr="00DF4CE5">
              <w:rPr>
                <w:rFonts w:ascii="Cambria" w:eastAsia="Cambria" w:hAnsi="Cambria" w:cs="Cambria"/>
                <w:lang w:val="hr-HR"/>
              </w:rPr>
              <w:t>reguliraju</w:t>
            </w:r>
            <w:r w:rsidRPr="00DF4CE5">
              <w:rPr>
                <w:rFonts w:ascii="Cambria" w:eastAsia="Cambria" w:hAnsi="Cambria" w:cs="Cambria"/>
                <w:spacing w:val="1"/>
                <w:lang w:val="hr-HR"/>
              </w:rPr>
              <w:t xml:space="preserve"> </w:t>
            </w:r>
            <w:r w:rsidRPr="00DF4CE5">
              <w:rPr>
                <w:rFonts w:ascii="Cambria" w:eastAsia="Cambria" w:hAnsi="Cambria" w:cs="Cambria"/>
                <w:lang w:val="hr-HR"/>
              </w:rPr>
              <w:t>djelatnost</w:t>
            </w:r>
            <w:r w:rsidRPr="00DF4CE5">
              <w:rPr>
                <w:rFonts w:ascii="Cambria" w:eastAsia="Cambria" w:hAnsi="Cambria" w:cs="Cambria"/>
                <w:spacing w:val="1"/>
                <w:lang w:val="hr-HR"/>
              </w:rPr>
              <w:t xml:space="preserve"> </w:t>
            </w:r>
            <w:r w:rsidRPr="00DF4CE5">
              <w:rPr>
                <w:rFonts w:ascii="Cambria" w:eastAsia="Cambria" w:hAnsi="Cambria" w:cs="Cambria"/>
                <w:lang w:val="hr-HR"/>
              </w:rPr>
              <w:t>osnovne</w:t>
            </w:r>
            <w:r w:rsidRPr="00DF4CE5">
              <w:rPr>
                <w:rFonts w:ascii="Cambria" w:eastAsia="Cambria" w:hAnsi="Cambria" w:cs="Cambria"/>
                <w:spacing w:val="1"/>
                <w:lang w:val="hr-HR"/>
              </w:rPr>
              <w:t xml:space="preserve"> </w:t>
            </w:r>
            <w:r w:rsidRPr="00DF4CE5">
              <w:rPr>
                <w:rFonts w:ascii="Cambria" w:eastAsia="Cambria" w:hAnsi="Cambria" w:cs="Cambria"/>
                <w:lang w:val="hr-HR"/>
              </w:rPr>
              <w:t>škole</w:t>
            </w:r>
            <w:r w:rsidRPr="00DF4CE5">
              <w:rPr>
                <w:rFonts w:ascii="Cambria" w:eastAsia="Cambria" w:hAnsi="Cambria" w:cs="Cambria"/>
                <w:spacing w:val="1"/>
                <w:lang w:val="hr-HR"/>
              </w:rPr>
              <w:t xml:space="preserve"> </w:t>
            </w:r>
            <w:r w:rsidRPr="00DF4CE5">
              <w:rPr>
                <w:rFonts w:ascii="Cambria" w:eastAsia="Cambria" w:hAnsi="Cambria" w:cs="Cambria"/>
                <w:lang w:val="hr-HR"/>
              </w:rPr>
              <w:t>(Zakon</w:t>
            </w:r>
            <w:r w:rsidRPr="00DF4CE5">
              <w:rPr>
                <w:rFonts w:ascii="Cambria" w:eastAsia="Cambria" w:hAnsi="Cambria" w:cs="Cambria"/>
                <w:spacing w:val="1"/>
                <w:lang w:val="hr-HR"/>
              </w:rPr>
              <w:t xml:space="preserve"> </w:t>
            </w:r>
            <w:r w:rsidRPr="00DF4CE5">
              <w:rPr>
                <w:rFonts w:ascii="Cambria" w:eastAsia="Cambria" w:hAnsi="Cambria" w:cs="Cambria"/>
                <w:lang w:val="hr-HR"/>
              </w:rPr>
              <w:t>o</w:t>
            </w:r>
            <w:r w:rsidRPr="00DF4CE5">
              <w:rPr>
                <w:rFonts w:ascii="Cambria" w:eastAsia="Cambria" w:hAnsi="Cambria" w:cs="Cambria"/>
                <w:spacing w:val="1"/>
                <w:lang w:val="hr-HR"/>
              </w:rPr>
              <w:t xml:space="preserve"> </w:t>
            </w:r>
            <w:r w:rsidRPr="00DF4CE5">
              <w:rPr>
                <w:rFonts w:ascii="Cambria" w:eastAsia="Cambria" w:hAnsi="Cambria" w:cs="Cambria"/>
                <w:lang w:val="hr-HR"/>
              </w:rPr>
              <w:t>osnovnom</w:t>
            </w:r>
            <w:r w:rsidRPr="00DF4CE5">
              <w:rPr>
                <w:rFonts w:ascii="Cambria" w:eastAsia="Cambria" w:hAnsi="Cambria" w:cs="Cambria"/>
                <w:spacing w:val="1"/>
                <w:lang w:val="hr-HR"/>
              </w:rPr>
              <w:t xml:space="preserve"> </w:t>
            </w:r>
            <w:r w:rsidRPr="00DF4CE5">
              <w:rPr>
                <w:rFonts w:ascii="Cambria" w:eastAsia="Cambria" w:hAnsi="Cambria" w:cs="Cambria"/>
                <w:lang w:val="hr-HR"/>
              </w:rPr>
              <w:t>školstvu, Pravilnici, Kalendar rada za tekuću školsku godinu)</w:t>
            </w:r>
          </w:p>
          <w:p w14:paraId="2AE883C5" w14:textId="77777777" w:rsidR="00AC6110" w:rsidRPr="00DF4CE5" w:rsidRDefault="00AC6110" w:rsidP="00A034E3">
            <w:pPr>
              <w:widowControl w:val="0"/>
              <w:numPr>
                <w:ilvl w:val="0"/>
                <w:numId w:val="84"/>
              </w:numPr>
              <w:tabs>
                <w:tab w:val="left" w:pos="468"/>
              </w:tabs>
              <w:autoSpaceDE w:val="0"/>
              <w:autoSpaceDN w:val="0"/>
              <w:spacing w:after="0" w:line="240" w:lineRule="auto"/>
              <w:ind w:right="89"/>
              <w:rPr>
                <w:rFonts w:ascii="Cambria" w:eastAsia="Cambria" w:hAnsi="Cambria" w:cs="Cambria"/>
                <w:lang w:val="hr-HR"/>
              </w:rPr>
            </w:pPr>
            <w:r w:rsidRPr="00DF4CE5">
              <w:rPr>
                <w:rFonts w:ascii="Cambria" w:eastAsia="Cambria" w:hAnsi="Cambria" w:cs="Cambria"/>
                <w:lang w:val="hr-HR"/>
              </w:rPr>
              <w:t>Upoznavanje</w:t>
            </w:r>
            <w:r w:rsidRPr="00DF4CE5">
              <w:rPr>
                <w:rFonts w:ascii="Cambria" w:eastAsia="Cambria" w:hAnsi="Cambria" w:cs="Cambria"/>
                <w:spacing w:val="1"/>
                <w:lang w:val="hr-HR"/>
              </w:rPr>
              <w:t xml:space="preserve"> </w:t>
            </w:r>
            <w:r w:rsidRPr="00DF4CE5">
              <w:rPr>
                <w:rFonts w:ascii="Cambria" w:eastAsia="Cambria" w:hAnsi="Cambria" w:cs="Cambria"/>
                <w:lang w:val="hr-HR"/>
              </w:rPr>
              <w:t>s</w:t>
            </w:r>
            <w:r w:rsidRPr="00DF4CE5">
              <w:rPr>
                <w:rFonts w:ascii="Cambria" w:eastAsia="Cambria" w:hAnsi="Cambria" w:cs="Cambria"/>
                <w:spacing w:val="1"/>
                <w:lang w:val="hr-HR"/>
              </w:rPr>
              <w:t xml:space="preserve"> </w:t>
            </w:r>
            <w:r w:rsidRPr="00DF4CE5">
              <w:rPr>
                <w:rFonts w:ascii="Cambria" w:eastAsia="Cambria" w:hAnsi="Cambria" w:cs="Cambria"/>
                <w:lang w:val="hr-HR"/>
              </w:rPr>
              <w:t>relevantnom</w:t>
            </w:r>
            <w:r w:rsidRPr="00DF4CE5">
              <w:rPr>
                <w:rFonts w:ascii="Cambria" w:eastAsia="Cambria" w:hAnsi="Cambria" w:cs="Cambria"/>
                <w:spacing w:val="1"/>
                <w:lang w:val="hr-HR"/>
              </w:rPr>
              <w:t xml:space="preserve"> </w:t>
            </w:r>
            <w:r w:rsidRPr="00DF4CE5">
              <w:rPr>
                <w:rFonts w:ascii="Cambria" w:eastAsia="Cambria" w:hAnsi="Cambria" w:cs="Cambria"/>
                <w:lang w:val="hr-HR"/>
              </w:rPr>
              <w:t>i</w:t>
            </w:r>
            <w:r w:rsidRPr="00DF4CE5">
              <w:rPr>
                <w:rFonts w:ascii="Cambria" w:eastAsia="Cambria" w:hAnsi="Cambria" w:cs="Cambria"/>
                <w:spacing w:val="1"/>
                <w:lang w:val="hr-HR"/>
              </w:rPr>
              <w:t xml:space="preserve"> </w:t>
            </w:r>
            <w:r w:rsidRPr="00DF4CE5">
              <w:rPr>
                <w:rFonts w:ascii="Cambria" w:eastAsia="Cambria" w:hAnsi="Cambria" w:cs="Cambria"/>
                <w:lang w:val="hr-HR"/>
              </w:rPr>
              <w:t>obveznom</w:t>
            </w:r>
            <w:r w:rsidRPr="00DF4CE5">
              <w:rPr>
                <w:rFonts w:ascii="Cambria" w:eastAsia="Cambria" w:hAnsi="Cambria" w:cs="Cambria"/>
                <w:spacing w:val="1"/>
                <w:lang w:val="hr-HR"/>
              </w:rPr>
              <w:t xml:space="preserve"> </w:t>
            </w:r>
            <w:r w:rsidRPr="00DF4CE5">
              <w:rPr>
                <w:rFonts w:ascii="Cambria" w:eastAsia="Cambria" w:hAnsi="Cambria" w:cs="Cambria"/>
                <w:lang w:val="hr-HR"/>
              </w:rPr>
              <w:t>školskom</w:t>
            </w:r>
            <w:r w:rsidRPr="00DF4CE5">
              <w:rPr>
                <w:rFonts w:ascii="Cambria" w:eastAsia="Cambria" w:hAnsi="Cambria" w:cs="Cambria"/>
                <w:spacing w:val="1"/>
                <w:lang w:val="hr-HR"/>
              </w:rPr>
              <w:t xml:space="preserve"> </w:t>
            </w:r>
            <w:r w:rsidRPr="00DF4CE5">
              <w:rPr>
                <w:rFonts w:ascii="Cambria" w:eastAsia="Cambria" w:hAnsi="Cambria" w:cs="Cambria"/>
                <w:lang w:val="hr-HR"/>
              </w:rPr>
              <w:t>dokumentacijom</w:t>
            </w:r>
            <w:r w:rsidRPr="00DF4CE5">
              <w:rPr>
                <w:rFonts w:ascii="Cambria" w:eastAsia="Cambria" w:hAnsi="Cambria" w:cs="Cambria"/>
                <w:spacing w:val="-4"/>
                <w:lang w:val="hr-HR"/>
              </w:rPr>
              <w:t xml:space="preserve"> </w:t>
            </w:r>
            <w:r w:rsidRPr="00DF4CE5">
              <w:rPr>
                <w:rFonts w:ascii="Cambria" w:eastAsia="Cambria" w:hAnsi="Cambria" w:cs="Cambria"/>
                <w:lang w:val="hr-HR"/>
              </w:rPr>
              <w:t>te</w:t>
            </w:r>
            <w:r w:rsidRPr="00DF4CE5">
              <w:rPr>
                <w:rFonts w:ascii="Cambria" w:eastAsia="Cambria" w:hAnsi="Cambria" w:cs="Cambria"/>
                <w:spacing w:val="-4"/>
                <w:lang w:val="hr-HR"/>
              </w:rPr>
              <w:t xml:space="preserve"> </w:t>
            </w:r>
            <w:r w:rsidRPr="00DF4CE5">
              <w:rPr>
                <w:rFonts w:ascii="Cambria" w:eastAsia="Cambria" w:hAnsi="Cambria" w:cs="Cambria"/>
                <w:lang w:val="hr-HR"/>
              </w:rPr>
              <w:t>njezinim</w:t>
            </w:r>
            <w:r w:rsidRPr="00DF4CE5">
              <w:rPr>
                <w:rFonts w:ascii="Cambria" w:eastAsia="Cambria" w:hAnsi="Cambria" w:cs="Cambria"/>
                <w:spacing w:val="-3"/>
                <w:lang w:val="hr-HR"/>
              </w:rPr>
              <w:t xml:space="preserve"> </w:t>
            </w:r>
            <w:r w:rsidRPr="00DF4CE5">
              <w:rPr>
                <w:rFonts w:ascii="Cambria" w:eastAsia="Cambria" w:hAnsi="Cambria" w:cs="Cambria"/>
                <w:lang w:val="hr-HR"/>
              </w:rPr>
              <w:t>ispravnim</w:t>
            </w:r>
            <w:r w:rsidRPr="00DF4CE5">
              <w:rPr>
                <w:rFonts w:ascii="Cambria" w:eastAsia="Cambria" w:hAnsi="Cambria" w:cs="Cambria"/>
                <w:spacing w:val="-4"/>
                <w:lang w:val="hr-HR"/>
              </w:rPr>
              <w:t xml:space="preserve"> </w:t>
            </w:r>
            <w:r w:rsidRPr="00DF4CE5">
              <w:rPr>
                <w:rFonts w:ascii="Cambria" w:eastAsia="Cambria" w:hAnsi="Cambria" w:cs="Cambria"/>
                <w:lang w:val="hr-HR"/>
              </w:rPr>
              <w:t>i</w:t>
            </w:r>
            <w:r w:rsidRPr="00DF4CE5">
              <w:rPr>
                <w:rFonts w:ascii="Cambria" w:eastAsia="Cambria" w:hAnsi="Cambria" w:cs="Cambria"/>
                <w:spacing w:val="-3"/>
                <w:lang w:val="hr-HR"/>
              </w:rPr>
              <w:t xml:space="preserve"> </w:t>
            </w:r>
            <w:r w:rsidRPr="00DF4CE5">
              <w:rPr>
                <w:rFonts w:ascii="Cambria" w:eastAsia="Cambria" w:hAnsi="Cambria" w:cs="Cambria"/>
                <w:lang w:val="hr-HR"/>
              </w:rPr>
              <w:t>redovitim</w:t>
            </w:r>
            <w:r w:rsidRPr="00DF4CE5">
              <w:rPr>
                <w:rFonts w:ascii="Cambria" w:eastAsia="Cambria" w:hAnsi="Cambria" w:cs="Cambria"/>
                <w:spacing w:val="-3"/>
                <w:lang w:val="hr-HR"/>
              </w:rPr>
              <w:t xml:space="preserve"> </w:t>
            </w:r>
            <w:r w:rsidRPr="00DF4CE5">
              <w:rPr>
                <w:rFonts w:ascii="Cambria" w:eastAsia="Cambria" w:hAnsi="Cambria" w:cs="Cambria"/>
                <w:lang w:val="hr-HR"/>
              </w:rPr>
              <w:t>vođenjem</w:t>
            </w:r>
          </w:p>
          <w:p w14:paraId="3513F163" w14:textId="77777777" w:rsidR="00AC6110" w:rsidRPr="00DF4CE5" w:rsidRDefault="00AC6110" w:rsidP="00A034E3">
            <w:pPr>
              <w:widowControl w:val="0"/>
              <w:numPr>
                <w:ilvl w:val="0"/>
                <w:numId w:val="84"/>
              </w:numPr>
              <w:tabs>
                <w:tab w:val="left" w:pos="468"/>
              </w:tabs>
              <w:autoSpaceDE w:val="0"/>
              <w:autoSpaceDN w:val="0"/>
              <w:spacing w:after="0" w:line="240" w:lineRule="auto"/>
              <w:ind w:right="88"/>
              <w:rPr>
                <w:rFonts w:ascii="Cambria" w:eastAsia="Cambria" w:hAnsi="Cambria" w:cs="Cambria"/>
                <w:lang w:val="hr-HR"/>
              </w:rPr>
            </w:pPr>
            <w:r w:rsidRPr="00DF4CE5">
              <w:rPr>
                <w:rFonts w:ascii="Cambria" w:eastAsia="Cambria" w:hAnsi="Cambria" w:cs="Cambria"/>
                <w:lang w:val="hr-HR"/>
              </w:rPr>
              <w:t>Prisustvovanje</w:t>
            </w:r>
            <w:r w:rsidRPr="00DF4CE5">
              <w:rPr>
                <w:rFonts w:ascii="Cambria" w:eastAsia="Cambria" w:hAnsi="Cambria" w:cs="Cambria"/>
                <w:spacing w:val="1"/>
                <w:lang w:val="hr-HR"/>
              </w:rPr>
              <w:t xml:space="preserve"> </w:t>
            </w:r>
            <w:r w:rsidRPr="00DF4CE5">
              <w:rPr>
                <w:rFonts w:ascii="Cambria" w:eastAsia="Cambria" w:hAnsi="Cambria" w:cs="Cambria"/>
                <w:lang w:val="hr-HR"/>
              </w:rPr>
              <w:t>redovnom</w:t>
            </w:r>
            <w:r w:rsidRPr="00DF4CE5">
              <w:rPr>
                <w:rFonts w:ascii="Cambria" w:eastAsia="Cambria" w:hAnsi="Cambria" w:cs="Cambria"/>
                <w:spacing w:val="1"/>
                <w:lang w:val="hr-HR"/>
              </w:rPr>
              <w:t xml:space="preserve"> </w:t>
            </w:r>
            <w:r w:rsidRPr="00DF4CE5">
              <w:rPr>
                <w:rFonts w:ascii="Cambria" w:eastAsia="Cambria" w:hAnsi="Cambria" w:cs="Cambria"/>
                <w:lang w:val="hr-HR"/>
              </w:rPr>
              <w:t>nastavnom</w:t>
            </w:r>
            <w:r w:rsidRPr="00DF4CE5">
              <w:rPr>
                <w:rFonts w:ascii="Cambria" w:eastAsia="Cambria" w:hAnsi="Cambria" w:cs="Cambria"/>
                <w:spacing w:val="1"/>
                <w:lang w:val="hr-HR"/>
              </w:rPr>
              <w:t xml:space="preserve"> </w:t>
            </w:r>
            <w:r w:rsidRPr="00DF4CE5">
              <w:rPr>
                <w:rFonts w:ascii="Cambria" w:eastAsia="Cambria" w:hAnsi="Cambria" w:cs="Cambria"/>
                <w:lang w:val="hr-HR"/>
              </w:rPr>
              <w:t>radu,</w:t>
            </w:r>
            <w:r w:rsidRPr="00DF4CE5">
              <w:rPr>
                <w:rFonts w:ascii="Cambria" w:eastAsia="Cambria" w:hAnsi="Cambria" w:cs="Cambria"/>
                <w:spacing w:val="1"/>
                <w:lang w:val="hr-HR"/>
              </w:rPr>
              <w:t xml:space="preserve"> </w:t>
            </w:r>
            <w:r w:rsidRPr="00DF4CE5">
              <w:rPr>
                <w:rFonts w:ascii="Cambria" w:eastAsia="Cambria" w:hAnsi="Cambria" w:cs="Cambria"/>
                <w:lang w:val="hr-HR"/>
              </w:rPr>
              <w:t>dodatnoj,</w:t>
            </w:r>
            <w:r w:rsidRPr="00DF4CE5">
              <w:rPr>
                <w:rFonts w:ascii="Cambria" w:eastAsia="Cambria" w:hAnsi="Cambria" w:cs="Cambria"/>
                <w:spacing w:val="-50"/>
                <w:lang w:val="hr-HR"/>
              </w:rPr>
              <w:t xml:space="preserve"> </w:t>
            </w:r>
            <w:r w:rsidRPr="00DF4CE5">
              <w:rPr>
                <w:rFonts w:ascii="Cambria" w:eastAsia="Cambria" w:hAnsi="Cambria" w:cs="Cambria"/>
                <w:lang w:val="hr-HR"/>
              </w:rPr>
              <w:t>dopunskoj</w:t>
            </w:r>
            <w:r w:rsidRPr="00DF4CE5">
              <w:rPr>
                <w:rFonts w:ascii="Cambria" w:eastAsia="Cambria" w:hAnsi="Cambria" w:cs="Cambria"/>
                <w:spacing w:val="1"/>
                <w:lang w:val="hr-HR"/>
              </w:rPr>
              <w:t xml:space="preserve"> </w:t>
            </w:r>
            <w:r w:rsidRPr="00DF4CE5">
              <w:rPr>
                <w:rFonts w:ascii="Cambria" w:eastAsia="Cambria" w:hAnsi="Cambria" w:cs="Cambria"/>
                <w:lang w:val="hr-HR"/>
              </w:rPr>
              <w:t>i</w:t>
            </w:r>
            <w:r w:rsidRPr="00DF4CE5">
              <w:rPr>
                <w:rFonts w:ascii="Cambria" w:eastAsia="Cambria" w:hAnsi="Cambria" w:cs="Cambria"/>
                <w:spacing w:val="1"/>
                <w:lang w:val="hr-HR"/>
              </w:rPr>
              <w:t xml:space="preserve"> </w:t>
            </w:r>
            <w:r w:rsidRPr="00DF4CE5">
              <w:rPr>
                <w:rFonts w:ascii="Cambria" w:eastAsia="Cambria" w:hAnsi="Cambria" w:cs="Cambria"/>
                <w:lang w:val="hr-HR"/>
              </w:rPr>
              <w:t>izbornoj</w:t>
            </w:r>
            <w:r w:rsidRPr="00DF4CE5">
              <w:rPr>
                <w:rFonts w:ascii="Cambria" w:eastAsia="Cambria" w:hAnsi="Cambria" w:cs="Cambria"/>
                <w:spacing w:val="1"/>
                <w:lang w:val="hr-HR"/>
              </w:rPr>
              <w:t xml:space="preserve"> </w:t>
            </w:r>
            <w:r w:rsidRPr="00DF4CE5">
              <w:rPr>
                <w:rFonts w:ascii="Cambria" w:eastAsia="Cambria" w:hAnsi="Cambria" w:cs="Cambria"/>
                <w:lang w:val="hr-HR"/>
              </w:rPr>
              <w:t>nastavi</w:t>
            </w:r>
            <w:r w:rsidRPr="00DF4CE5">
              <w:rPr>
                <w:rFonts w:ascii="Cambria" w:eastAsia="Cambria" w:hAnsi="Cambria" w:cs="Cambria"/>
                <w:spacing w:val="1"/>
                <w:lang w:val="hr-HR"/>
              </w:rPr>
              <w:t xml:space="preserve"> </w:t>
            </w:r>
            <w:r w:rsidRPr="00DF4CE5">
              <w:rPr>
                <w:rFonts w:ascii="Cambria" w:eastAsia="Cambria" w:hAnsi="Cambria" w:cs="Cambria"/>
                <w:lang w:val="hr-HR"/>
              </w:rPr>
              <w:t>te</w:t>
            </w:r>
            <w:r w:rsidRPr="00DF4CE5">
              <w:rPr>
                <w:rFonts w:ascii="Cambria" w:eastAsia="Cambria" w:hAnsi="Cambria" w:cs="Cambria"/>
                <w:spacing w:val="1"/>
                <w:lang w:val="hr-HR"/>
              </w:rPr>
              <w:t xml:space="preserve"> </w:t>
            </w:r>
            <w:r w:rsidRPr="00DF4CE5">
              <w:rPr>
                <w:rFonts w:ascii="Cambria" w:eastAsia="Cambria" w:hAnsi="Cambria" w:cs="Cambria"/>
                <w:lang w:val="hr-HR"/>
              </w:rPr>
              <w:t>izvannastavnim</w:t>
            </w:r>
            <w:r w:rsidRPr="00DF4CE5">
              <w:rPr>
                <w:rFonts w:ascii="Cambria" w:eastAsia="Cambria" w:hAnsi="Cambria" w:cs="Cambria"/>
                <w:spacing w:val="1"/>
                <w:lang w:val="hr-HR"/>
              </w:rPr>
              <w:t xml:space="preserve"> </w:t>
            </w:r>
            <w:r w:rsidRPr="00DF4CE5">
              <w:rPr>
                <w:rFonts w:ascii="Cambria" w:eastAsia="Cambria" w:hAnsi="Cambria" w:cs="Cambria"/>
                <w:lang w:val="hr-HR"/>
              </w:rPr>
              <w:t>i</w:t>
            </w:r>
            <w:r w:rsidRPr="00DF4CE5">
              <w:rPr>
                <w:rFonts w:ascii="Cambria" w:eastAsia="Cambria" w:hAnsi="Cambria" w:cs="Cambria"/>
                <w:spacing w:val="1"/>
                <w:lang w:val="hr-HR"/>
              </w:rPr>
              <w:t xml:space="preserve"> </w:t>
            </w:r>
            <w:r w:rsidRPr="00DF4CE5">
              <w:rPr>
                <w:rFonts w:ascii="Cambria" w:eastAsia="Cambria" w:hAnsi="Cambria" w:cs="Cambria"/>
                <w:lang w:val="hr-HR"/>
              </w:rPr>
              <w:t>izvanškolskim</w:t>
            </w:r>
            <w:r w:rsidRPr="00DF4CE5">
              <w:rPr>
                <w:rFonts w:ascii="Cambria" w:eastAsia="Cambria" w:hAnsi="Cambria" w:cs="Cambria"/>
                <w:spacing w:val="-1"/>
                <w:lang w:val="hr-HR"/>
              </w:rPr>
              <w:t xml:space="preserve"> </w:t>
            </w:r>
            <w:r w:rsidRPr="00DF4CE5">
              <w:rPr>
                <w:rFonts w:ascii="Cambria" w:eastAsia="Cambria" w:hAnsi="Cambria" w:cs="Cambria"/>
                <w:lang w:val="hr-HR"/>
              </w:rPr>
              <w:t>aktivnostima</w:t>
            </w:r>
          </w:p>
          <w:p w14:paraId="59202E1E" w14:textId="77777777" w:rsidR="00AC6110" w:rsidRPr="00DF4CE5" w:rsidRDefault="00AC6110" w:rsidP="00A034E3">
            <w:pPr>
              <w:widowControl w:val="0"/>
              <w:numPr>
                <w:ilvl w:val="0"/>
                <w:numId w:val="84"/>
              </w:numPr>
              <w:tabs>
                <w:tab w:val="left" w:pos="468"/>
              </w:tabs>
              <w:autoSpaceDE w:val="0"/>
              <w:autoSpaceDN w:val="0"/>
              <w:spacing w:after="0" w:line="240" w:lineRule="auto"/>
              <w:ind w:right="94"/>
              <w:rPr>
                <w:rFonts w:ascii="Cambria" w:eastAsia="Cambria" w:hAnsi="Cambria" w:cs="Cambria"/>
                <w:lang w:val="hr-HR"/>
              </w:rPr>
            </w:pPr>
            <w:r w:rsidRPr="00DF4CE5">
              <w:rPr>
                <w:rFonts w:ascii="Cambria" w:eastAsia="Cambria" w:hAnsi="Cambria" w:cs="Cambria"/>
                <w:lang w:val="hr-HR"/>
              </w:rPr>
              <w:t>Prisustvovanje</w:t>
            </w:r>
            <w:r w:rsidRPr="00DF4CE5">
              <w:rPr>
                <w:rFonts w:ascii="Cambria" w:eastAsia="Cambria" w:hAnsi="Cambria" w:cs="Cambria"/>
                <w:spacing w:val="1"/>
                <w:lang w:val="hr-HR"/>
              </w:rPr>
              <w:t xml:space="preserve"> </w:t>
            </w:r>
            <w:r w:rsidRPr="00DF4CE5">
              <w:rPr>
                <w:rFonts w:ascii="Cambria" w:eastAsia="Cambria" w:hAnsi="Cambria" w:cs="Cambria"/>
                <w:lang w:val="hr-HR"/>
              </w:rPr>
              <w:t>ostalim</w:t>
            </w:r>
            <w:r w:rsidRPr="00DF4CE5">
              <w:rPr>
                <w:rFonts w:ascii="Cambria" w:eastAsia="Cambria" w:hAnsi="Cambria" w:cs="Cambria"/>
                <w:spacing w:val="1"/>
                <w:lang w:val="hr-HR"/>
              </w:rPr>
              <w:t xml:space="preserve"> </w:t>
            </w:r>
            <w:r w:rsidRPr="00DF4CE5">
              <w:rPr>
                <w:rFonts w:ascii="Cambria" w:eastAsia="Cambria" w:hAnsi="Cambria" w:cs="Cambria"/>
                <w:lang w:val="hr-HR"/>
              </w:rPr>
              <w:t>aktivnostima</w:t>
            </w:r>
            <w:r w:rsidRPr="00DF4CE5">
              <w:rPr>
                <w:rFonts w:ascii="Cambria" w:eastAsia="Cambria" w:hAnsi="Cambria" w:cs="Cambria"/>
                <w:spacing w:val="1"/>
                <w:lang w:val="hr-HR"/>
              </w:rPr>
              <w:t xml:space="preserve"> </w:t>
            </w:r>
            <w:r w:rsidRPr="00DF4CE5">
              <w:rPr>
                <w:rFonts w:ascii="Cambria" w:eastAsia="Cambria" w:hAnsi="Cambria" w:cs="Cambria"/>
                <w:lang w:val="hr-HR"/>
              </w:rPr>
              <w:t>koje</w:t>
            </w:r>
            <w:r w:rsidRPr="00DF4CE5">
              <w:rPr>
                <w:rFonts w:ascii="Cambria" w:eastAsia="Cambria" w:hAnsi="Cambria" w:cs="Cambria"/>
                <w:spacing w:val="1"/>
                <w:lang w:val="hr-HR"/>
              </w:rPr>
              <w:t xml:space="preserve"> </w:t>
            </w:r>
            <w:r w:rsidRPr="00DF4CE5">
              <w:rPr>
                <w:rFonts w:ascii="Cambria" w:eastAsia="Cambria" w:hAnsi="Cambria" w:cs="Cambria"/>
                <w:lang w:val="hr-HR"/>
              </w:rPr>
              <w:t>stručni</w:t>
            </w:r>
            <w:r w:rsidRPr="00DF4CE5">
              <w:rPr>
                <w:rFonts w:ascii="Cambria" w:eastAsia="Cambria" w:hAnsi="Cambria" w:cs="Cambria"/>
                <w:spacing w:val="1"/>
                <w:lang w:val="hr-HR"/>
              </w:rPr>
              <w:t xml:space="preserve"> </w:t>
            </w:r>
            <w:r w:rsidRPr="00DF4CE5">
              <w:rPr>
                <w:rFonts w:ascii="Cambria" w:eastAsia="Cambria" w:hAnsi="Cambria" w:cs="Cambria"/>
                <w:lang w:val="hr-HR"/>
              </w:rPr>
              <w:t>timovi</w:t>
            </w:r>
            <w:r w:rsidRPr="00DF4CE5">
              <w:rPr>
                <w:rFonts w:ascii="Cambria" w:eastAsia="Cambria" w:hAnsi="Cambria" w:cs="Cambria"/>
                <w:spacing w:val="1"/>
                <w:lang w:val="hr-HR"/>
              </w:rPr>
              <w:t xml:space="preserve"> </w:t>
            </w:r>
            <w:r w:rsidRPr="00DF4CE5">
              <w:rPr>
                <w:rFonts w:ascii="Cambria" w:eastAsia="Cambria" w:hAnsi="Cambria" w:cs="Cambria"/>
                <w:lang w:val="hr-HR"/>
              </w:rPr>
              <w:t>i</w:t>
            </w:r>
            <w:r w:rsidRPr="00DF4CE5">
              <w:rPr>
                <w:rFonts w:ascii="Cambria" w:eastAsia="Cambria" w:hAnsi="Cambria" w:cs="Cambria"/>
                <w:spacing w:val="1"/>
                <w:lang w:val="hr-HR"/>
              </w:rPr>
              <w:t xml:space="preserve"> </w:t>
            </w:r>
            <w:r w:rsidRPr="00DF4CE5">
              <w:rPr>
                <w:rFonts w:ascii="Cambria" w:eastAsia="Cambria" w:hAnsi="Cambria" w:cs="Cambria"/>
                <w:lang w:val="hr-HR"/>
              </w:rPr>
              <w:t>učitelji</w:t>
            </w:r>
            <w:r w:rsidRPr="00DF4CE5">
              <w:rPr>
                <w:rFonts w:ascii="Cambria" w:eastAsia="Cambria" w:hAnsi="Cambria" w:cs="Cambria"/>
                <w:spacing w:val="-1"/>
                <w:lang w:val="hr-HR"/>
              </w:rPr>
              <w:t xml:space="preserve"> </w:t>
            </w:r>
            <w:r w:rsidRPr="00DF4CE5">
              <w:rPr>
                <w:rFonts w:ascii="Cambria" w:eastAsia="Cambria" w:hAnsi="Cambria" w:cs="Cambria"/>
                <w:lang w:val="hr-HR"/>
              </w:rPr>
              <w:t>realiziraju</w:t>
            </w:r>
            <w:r w:rsidRPr="00DF4CE5">
              <w:rPr>
                <w:rFonts w:ascii="Cambria" w:eastAsia="Cambria" w:hAnsi="Cambria" w:cs="Cambria"/>
                <w:spacing w:val="-1"/>
                <w:lang w:val="hr-HR"/>
              </w:rPr>
              <w:t xml:space="preserve"> </w:t>
            </w:r>
            <w:r w:rsidRPr="00DF4CE5">
              <w:rPr>
                <w:rFonts w:ascii="Cambria" w:eastAsia="Cambria" w:hAnsi="Cambria" w:cs="Cambria"/>
                <w:lang w:val="hr-HR"/>
              </w:rPr>
              <w:t>tijekom</w:t>
            </w:r>
            <w:r w:rsidRPr="00DF4CE5">
              <w:rPr>
                <w:rFonts w:ascii="Cambria" w:eastAsia="Cambria" w:hAnsi="Cambria" w:cs="Cambria"/>
                <w:spacing w:val="-2"/>
                <w:lang w:val="hr-HR"/>
              </w:rPr>
              <w:t xml:space="preserve"> </w:t>
            </w:r>
            <w:r w:rsidRPr="00DF4CE5">
              <w:rPr>
                <w:rFonts w:ascii="Cambria" w:eastAsia="Cambria" w:hAnsi="Cambria" w:cs="Cambria"/>
                <w:lang w:val="hr-HR"/>
              </w:rPr>
              <w:t>školske prakse.</w:t>
            </w:r>
          </w:p>
          <w:p w14:paraId="429615DB" w14:textId="77777777" w:rsidR="00AC6110" w:rsidRPr="00DF4CE5" w:rsidRDefault="00AC6110" w:rsidP="00A034E3">
            <w:pPr>
              <w:widowControl w:val="0"/>
              <w:numPr>
                <w:ilvl w:val="0"/>
                <w:numId w:val="84"/>
              </w:numPr>
              <w:tabs>
                <w:tab w:val="left" w:pos="468"/>
              </w:tabs>
              <w:autoSpaceDE w:val="0"/>
              <w:autoSpaceDN w:val="0"/>
              <w:spacing w:after="0" w:line="240" w:lineRule="auto"/>
              <w:ind w:right="89"/>
              <w:rPr>
                <w:rFonts w:ascii="Cambria" w:eastAsia="Cambria" w:hAnsi="Cambria" w:cs="Cambria"/>
                <w:lang w:val="hr-HR"/>
              </w:rPr>
            </w:pPr>
            <w:r w:rsidRPr="00DF4CE5">
              <w:rPr>
                <w:rFonts w:ascii="Cambria" w:eastAsia="Cambria" w:hAnsi="Cambria" w:cs="Cambria"/>
                <w:lang w:val="hr-HR"/>
              </w:rPr>
              <w:t>Aktivno</w:t>
            </w:r>
            <w:r w:rsidRPr="00DF4CE5">
              <w:rPr>
                <w:rFonts w:ascii="Cambria" w:eastAsia="Cambria" w:hAnsi="Cambria" w:cs="Cambria"/>
                <w:spacing w:val="1"/>
                <w:lang w:val="hr-HR"/>
              </w:rPr>
              <w:t xml:space="preserve"> </w:t>
            </w:r>
            <w:r w:rsidRPr="00DF4CE5">
              <w:rPr>
                <w:rFonts w:ascii="Cambria" w:eastAsia="Cambria" w:hAnsi="Cambria" w:cs="Cambria"/>
                <w:lang w:val="hr-HR"/>
              </w:rPr>
              <w:t>sudjelovanje</w:t>
            </w:r>
            <w:r w:rsidRPr="00DF4CE5">
              <w:rPr>
                <w:rFonts w:ascii="Cambria" w:eastAsia="Cambria" w:hAnsi="Cambria" w:cs="Cambria"/>
                <w:spacing w:val="1"/>
                <w:lang w:val="hr-HR"/>
              </w:rPr>
              <w:t xml:space="preserve"> </w:t>
            </w:r>
            <w:r w:rsidRPr="00DF4CE5">
              <w:rPr>
                <w:rFonts w:ascii="Cambria" w:eastAsia="Cambria" w:hAnsi="Cambria" w:cs="Cambria"/>
                <w:lang w:val="hr-HR"/>
              </w:rPr>
              <w:t>u</w:t>
            </w:r>
            <w:r w:rsidRPr="00DF4CE5">
              <w:rPr>
                <w:rFonts w:ascii="Cambria" w:eastAsia="Cambria" w:hAnsi="Cambria" w:cs="Cambria"/>
                <w:spacing w:val="1"/>
                <w:lang w:val="hr-HR"/>
              </w:rPr>
              <w:t xml:space="preserve"> </w:t>
            </w:r>
            <w:r w:rsidRPr="00DF4CE5">
              <w:rPr>
                <w:rFonts w:ascii="Cambria" w:eastAsia="Cambria" w:hAnsi="Cambria" w:cs="Cambria"/>
                <w:lang w:val="hr-HR"/>
              </w:rPr>
              <w:t>različitim</w:t>
            </w:r>
            <w:r w:rsidRPr="00DF4CE5">
              <w:rPr>
                <w:rFonts w:ascii="Cambria" w:eastAsia="Cambria" w:hAnsi="Cambria" w:cs="Cambria"/>
                <w:spacing w:val="1"/>
                <w:lang w:val="hr-HR"/>
              </w:rPr>
              <w:t xml:space="preserve"> </w:t>
            </w:r>
            <w:r w:rsidRPr="00DF4CE5">
              <w:rPr>
                <w:rFonts w:ascii="Cambria" w:eastAsia="Cambria" w:hAnsi="Cambria" w:cs="Cambria"/>
                <w:lang w:val="hr-HR"/>
              </w:rPr>
              <w:t>oblicima</w:t>
            </w:r>
            <w:r w:rsidRPr="00DF4CE5">
              <w:rPr>
                <w:rFonts w:ascii="Cambria" w:eastAsia="Cambria" w:hAnsi="Cambria" w:cs="Cambria"/>
                <w:spacing w:val="1"/>
                <w:lang w:val="hr-HR"/>
              </w:rPr>
              <w:t xml:space="preserve"> </w:t>
            </w:r>
            <w:r w:rsidRPr="00DF4CE5">
              <w:rPr>
                <w:rFonts w:ascii="Cambria" w:eastAsia="Cambria" w:hAnsi="Cambria" w:cs="Cambria"/>
                <w:lang w:val="hr-HR"/>
              </w:rPr>
              <w:t>odgojno-</w:t>
            </w:r>
            <w:r w:rsidRPr="00DF4CE5">
              <w:rPr>
                <w:rFonts w:ascii="Cambria" w:eastAsia="Cambria" w:hAnsi="Cambria" w:cs="Cambria"/>
                <w:spacing w:val="1"/>
                <w:lang w:val="hr-HR"/>
              </w:rPr>
              <w:t xml:space="preserve"> </w:t>
            </w:r>
            <w:r w:rsidRPr="00DF4CE5">
              <w:rPr>
                <w:rFonts w:ascii="Cambria" w:eastAsia="Cambria" w:hAnsi="Cambria" w:cs="Cambria"/>
                <w:lang w:val="hr-HR"/>
              </w:rPr>
              <w:t>obrazovnog rada</w:t>
            </w:r>
            <w:r w:rsidRPr="00DF4CE5">
              <w:rPr>
                <w:rFonts w:ascii="Cambria" w:eastAsia="Cambria" w:hAnsi="Cambria" w:cs="Cambria"/>
                <w:spacing w:val="-1"/>
                <w:lang w:val="hr-HR"/>
              </w:rPr>
              <w:t xml:space="preserve"> </w:t>
            </w:r>
            <w:r w:rsidRPr="00DF4CE5">
              <w:rPr>
                <w:rFonts w:ascii="Cambria" w:eastAsia="Cambria" w:hAnsi="Cambria" w:cs="Cambria"/>
                <w:lang w:val="hr-HR"/>
              </w:rPr>
              <w:t>u</w:t>
            </w:r>
            <w:r w:rsidRPr="00DF4CE5">
              <w:rPr>
                <w:rFonts w:ascii="Cambria" w:eastAsia="Cambria" w:hAnsi="Cambria" w:cs="Cambria"/>
                <w:spacing w:val="-1"/>
                <w:lang w:val="hr-HR"/>
              </w:rPr>
              <w:t xml:space="preserve"> </w:t>
            </w:r>
            <w:r w:rsidRPr="00DF4CE5">
              <w:rPr>
                <w:rFonts w:ascii="Cambria" w:eastAsia="Cambria" w:hAnsi="Cambria" w:cs="Cambria"/>
                <w:lang w:val="hr-HR"/>
              </w:rPr>
              <w:t>školi</w:t>
            </w:r>
          </w:p>
        </w:tc>
      </w:tr>
      <w:tr w:rsidR="00AC6110" w:rsidRPr="00DF4CE5" w14:paraId="7EDC8839" w14:textId="77777777" w:rsidTr="00F942C2">
        <w:trPr>
          <w:trHeight w:val="406"/>
        </w:trPr>
        <w:tc>
          <w:tcPr>
            <w:tcW w:w="2470" w:type="dxa"/>
            <w:vMerge w:val="restart"/>
            <w:shd w:val="clear" w:color="auto" w:fill="F3F3F3"/>
          </w:tcPr>
          <w:p w14:paraId="02ABF3E3" w14:textId="77777777" w:rsidR="00AC6110" w:rsidRPr="00DF4CE5" w:rsidRDefault="00AC6110" w:rsidP="00AC6110">
            <w:pPr>
              <w:widowControl w:val="0"/>
              <w:autoSpaceDE w:val="0"/>
              <w:autoSpaceDN w:val="0"/>
              <w:spacing w:after="0" w:line="240" w:lineRule="auto"/>
              <w:rPr>
                <w:rFonts w:ascii="Cambria" w:eastAsia="Cambria" w:hAnsi="Cambria" w:cs="Cambria"/>
                <w:lang w:val="hr-HR"/>
              </w:rPr>
            </w:pPr>
          </w:p>
          <w:p w14:paraId="19B7F08F" w14:textId="77777777" w:rsidR="00AC6110" w:rsidRPr="00DF4CE5" w:rsidRDefault="00AC6110" w:rsidP="00AC6110">
            <w:pPr>
              <w:widowControl w:val="0"/>
              <w:autoSpaceDE w:val="0"/>
              <w:autoSpaceDN w:val="0"/>
              <w:spacing w:after="0" w:line="240" w:lineRule="auto"/>
              <w:rPr>
                <w:rFonts w:ascii="Cambria" w:eastAsia="Cambria" w:hAnsi="Cambria" w:cs="Cambria"/>
                <w:lang w:val="hr-HR"/>
              </w:rPr>
            </w:pPr>
          </w:p>
          <w:p w14:paraId="40944E0E" w14:textId="77777777" w:rsidR="00AC6110" w:rsidRPr="00DF4CE5" w:rsidRDefault="00AC6110" w:rsidP="00AC6110">
            <w:pPr>
              <w:widowControl w:val="0"/>
              <w:autoSpaceDE w:val="0"/>
              <w:autoSpaceDN w:val="0"/>
              <w:spacing w:after="0" w:line="240" w:lineRule="auto"/>
              <w:ind w:left="107" w:right="86"/>
              <w:rPr>
                <w:rFonts w:ascii="Cambria" w:eastAsia="Cambria" w:hAnsi="Cambria" w:cs="Cambria"/>
                <w:lang w:val="hr-HR"/>
              </w:rPr>
            </w:pPr>
            <w:r w:rsidRPr="00DF4CE5">
              <w:rPr>
                <w:rFonts w:ascii="Cambria" w:eastAsia="Cambria" w:hAnsi="Cambria" w:cs="Cambria"/>
                <w:lang w:val="hr-HR"/>
              </w:rPr>
              <w:lastRenderedPageBreak/>
              <w:t>Planirane</w:t>
            </w:r>
            <w:r w:rsidRPr="00DF4CE5">
              <w:rPr>
                <w:rFonts w:ascii="Cambria" w:eastAsia="Cambria" w:hAnsi="Cambria" w:cs="Cambria"/>
                <w:spacing w:val="1"/>
                <w:lang w:val="hr-HR"/>
              </w:rPr>
              <w:t xml:space="preserve"> </w:t>
            </w:r>
            <w:r w:rsidRPr="00DF4CE5">
              <w:rPr>
                <w:rFonts w:ascii="Cambria" w:eastAsia="Cambria" w:hAnsi="Cambria" w:cs="Cambria"/>
                <w:lang w:val="hr-HR"/>
              </w:rPr>
              <w:t>aktivnosti,</w:t>
            </w:r>
            <w:r w:rsidRPr="00DF4CE5">
              <w:rPr>
                <w:rFonts w:ascii="Cambria" w:eastAsia="Cambria" w:hAnsi="Cambria" w:cs="Cambria"/>
                <w:spacing w:val="-50"/>
                <w:lang w:val="hr-HR"/>
              </w:rPr>
              <w:t xml:space="preserve"> </w:t>
            </w:r>
            <w:r w:rsidRPr="00DF4CE5">
              <w:rPr>
                <w:rFonts w:ascii="Cambria" w:eastAsia="Cambria" w:hAnsi="Cambria" w:cs="Cambria"/>
                <w:lang w:val="hr-HR"/>
              </w:rPr>
              <w:t>metode</w:t>
            </w:r>
            <w:r w:rsidRPr="00DF4CE5">
              <w:rPr>
                <w:rFonts w:ascii="Cambria" w:eastAsia="Cambria" w:hAnsi="Cambria" w:cs="Cambria"/>
                <w:spacing w:val="1"/>
                <w:lang w:val="hr-HR"/>
              </w:rPr>
              <w:t xml:space="preserve"> </w:t>
            </w:r>
            <w:r w:rsidRPr="00DF4CE5">
              <w:rPr>
                <w:rFonts w:ascii="Cambria" w:eastAsia="Cambria" w:hAnsi="Cambria" w:cs="Cambria"/>
                <w:lang w:val="hr-HR"/>
              </w:rPr>
              <w:t>učenja</w:t>
            </w:r>
            <w:r w:rsidRPr="00DF4CE5">
              <w:rPr>
                <w:rFonts w:ascii="Cambria" w:eastAsia="Cambria" w:hAnsi="Cambria" w:cs="Cambria"/>
                <w:spacing w:val="1"/>
                <w:lang w:val="hr-HR"/>
              </w:rPr>
              <w:t xml:space="preserve"> </w:t>
            </w:r>
            <w:r w:rsidRPr="00DF4CE5">
              <w:rPr>
                <w:rFonts w:ascii="Cambria" w:eastAsia="Cambria" w:hAnsi="Cambria" w:cs="Cambria"/>
                <w:lang w:val="hr-HR"/>
              </w:rPr>
              <w:t>i</w:t>
            </w:r>
            <w:r w:rsidRPr="00DF4CE5">
              <w:rPr>
                <w:rFonts w:ascii="Cambria" w:eastAsia="Cambria" w:hAnsi="Cambria" w:cs="Cambria"/>
                <w:spacing w:val="1"/>
                <w:lang w:val="hr-HR"/>
              </w:rPr>
              <w:t xml:space="preserve"> </w:t>
            </w:r>
            <w:r w:rsidRPr="00DF4CE5">
              <w:rPr>
                <w:rFonts w:ascii="Cambria" w:eastAsia="Cambria" w:hAnsi="Cambria" w:cs="Cambria"/>
                <w:lang w:val="hr-HR"/>
              </w:rPr>
              <w:t>poučavanja</w:t>
            </w:r>
            <w:r w:rsidRPr="00DF4CE5">
              <w:rPr>
                <w:rFonts w:ascii="Cambria" w:eastAsia="Cambria" w:hAnsi="Cambria" w:cs="Cambria"/>
                <w:spacing w:val="1"/>
                <w:lang w:val="hr-HR"/>
              </w:rPr>
              <w:t xml:space="preserve"> </w:t>
            </w:r>
            <w:r w:rsidRPr="00DF4CE5">
              <w:rPr>
                <w:rFonts w:ascii="Cambria" w:eastAsia="Cambria" w:hAnsi="Cambria" w:cs="Cambria"/>
                <w:lang w:val="hr-HR"/>
              </w:rPr>
              <w:t>i</w:t>
            </w:r>
            <w:r w:rsidRPr="00DF4CE5">
              <w:rPr>
                <w:rFonts w:ascii="Cambria" w:eastAsia="Cambria" w:hAnsi="Cambria" w:cs="Cambria"/>
                <w:spacing w:val="1"/>
                <w:lang w:val="hr-HR"/>
              </w:rPr>
              <w:t xml:space="preserve"> </w:t>
            </w:r>
            <w:r w:rsidRPr="00DF4CE5">
              <w:rPr>
                <w:rFonts w:ascii="Cambria" w:eastAsia="Cambria" w:hAnsi="Cambria" w:cs="Cambria"/>
                <w:lang w:val="hr-HR"/>
              </w:rPr>
              <w:t>načini</w:t>
            </w:r>
            <w:r w:rsidRPr="00DF4CE5">
              <w:rPr>
                <w:rFonts w:ascii="Cambria" w:eastAsia="Cambria" w:hAnsi="Cambria" w:cs="Cambria"/>
                <w:spacing w:val="1"/>
                <w:lang w:val="hr-HR"/>
              </w:rPr>
              <w:t xml:space="preserve"> </w:t>
            </w:r>
            <w:r w:rsidRPr="00DF4CE5">
              <w:rPr>
                <w:rFonts w:ascii="Cambria" w:eastAsia="Cambria" w:hAnsi="Cambria" w:cs="Cambria"/>
                <w:lang w:val="hr-HR"/>
              </w:rPr>
              <w:t>vrednovanja</w:t>
            </w:r>
          </w:p>
        </w:tc>
        <w:tc>
          <w:tcPr>
            <w:tcW w:w="2052" w:type="dxa"/>
          </w:tcPr>
          <w:p w14:paraId="14835118" w14:textId="77777777" w:rsidR="00AC6110" w:rsidRPr="00DF4CE5" w:rsidRDefault="00AC6110" w:rsidP="00F942C2">
            <w:pPr>
              <w:widowControl w:val="0"/>
              <w:autoSpaceDE w:val="0"/>
              <w:autoSpaceDN w:val="0"/>
              <w:spacing w:after="0" w:line="240" w:lineRule="auto"/>
              <w:ind w:left="107"/>
              <w:rPr>
                <w:rFonts w:ascii="Cambria" w:eastAsia="Cambria" w:hAnsi="Cambria" w:cs="Cambria"/>
                <w:lang w:val="hr-HR"/>
              </w:rPr>
            </w:pPr>
            <w:r w:rsidRPr="00DF4CE5">
              <w:rPr>
                <w:rFonts w:ascii="Cambria" w:eastAsia="Cambria" w:hAnsi="Cambria" w:cs="Cambria"/>
                <w:lang w:val="hr-HR"/>
              </w:rPr>
              <w:lastRenderedPageBreak/>
              <w:t>Obveze</w:t>
            </w:r>
          </w:p>
        </w:tc>
        <w:tc>
          <w:tcPr>
            <w:tcW w:w="1172" w:type="dxa"/>
            <w:gridSpan w:val="2"/>
          </w:tcPr>
          <w:p w14:paraId="0CCACFAD" w14:textId="77777777" w:rsidR="00AC6110" w:rsidRPr="00DF4CE5" w:rsidRDefault="00AC6110" w:rsidP="00F942C2">
            <w:pPr>
              <w:widowControl w:val="0"/>
              <w:autoSpaceDE w:val="0"/>
              <w:autoSpaceDN w:val="0"/>
              <w:spacing w:after="0" w:line="240" w:lineRule="auto"/>
              <w:ind w:left="107"/>
              <w:rPr>
                <w:rFonts w:ascii="Cambria" w:eastAsia="Cambria" w:hAnsi="Cambria" w:cs="Cambria"/>
                <w:lang w:val="hr-HR"/>
              </w:rPr>
            </w:pPr>
            <w:r w:rsidRPr="00DF4CE5">
              <w:rPr>
                <w:rFonts w:ascii="Cambria" w:eastAsia="Cambria" w:hAnsi="Cambria" w:cs="Cambria"/>
                <w:lang w:val="hr-HR"/>
              </w:rPr>
              <w:t>Ishodi</w:t>
            </w:r>
          </w:p>
        </w:tc>
        <w:tc>
          <w:tcPr>
            <w:tcW w:w="876" w:type="dxa"/>
          </w:tcPr>
          <w:p w14:paraId="5B8DDE09" w14:textId="77777777" w:rsidR="00AC6110" w:rsidRPr="00DF4CE5" w:rsidRDefault="00AC6110" w:rsidP="00F942C2">
            <w:pPr>
              <w:widowControl w:val="0"/>
              <w:autoSpaceDE w:val="0"/>
              <w:autoSpaceDN w:val="0"/>
              <w:spacing w:after="0" w:line="240" w:lineRule="auto"/>
              <w:ind w:left="107"/>
              <w:rPr>
                <w:rFonts w:ascii="Cambria" w:eastAsia="Cambria" w:hAnsi="Cambria" w:cs="Cambria"/>
                <w:lang w:val="hr-HR"/>
              </w:rPr>
            </w:pPr>
            <w:r w:rsidRPr="00DF4CE5">
              <w:rPr>
                <w:rFonts w:ascii="Cambria" w:eastAsia="Cambria" w:hAnsi="Cambria" w:cs="Cambria"/>
                <w:lang w:val="hr-HR"/>
              </w:rPr>
              <w:t>Sati</w:t>
            </w:r>
          </w:p>
        </w:tc>
        <w:tc>
          <w:tcPr>
            <w:tcW w:w="881" w:type="dxa"/>
          </w:tcPr>
          <w:p w14:paraId="6C8BF654" w14:textId="77777777" w:rsidR="00AC6110" w:rsidRPr="00DF4CE5" w:rsidRDefault="00AC6110" w:rsidP="00F942C2">
            <w:pPr>
              <w:widowControl w:val="0"/>
              <w:autoSpaceDE w:val="0"/>
              <w:autoSpaceDN w:val="0"/>
              <w:spacing w:after="0" w:line="240" w:lineRule="auto"/>
              <w:ind w:left="107"/>
              <w:rPr>
                <w:rFonts w:ascii="Cambria" w:eastAsia="Cambria" w:hAnsi="Cambria" w:cs="Cambria"/>
                <w:lang w:val="hr-HR"/>
              </w:rPr>
            </w:pPr>
            <w:r w:rsidRPr="00DF4CE5">
              <w:rPr>
                <w:rFonts w:ascii="Cambria" w:eastAsia="Cambria" w:hAnsi="Cambria" w:cs="Cambria"/>
                <w:lang w:val="hr-HR"/>
              </w:rPr>
              <w:t>ECTS</w:t>
            </w:r>
          </w:p>
        </w:tc>
        <w:tc>
          <w:tcPr>
            <w:tcW w:w="1891" w:type="dxa"/>
          </w:tcPr>
          <w:p w14:paraId="56150137" w14:textId="6A5A8126" w:rsidR="00AC6110" w:rsidRPr="00DF4CE5" w:rsidRDefault="00AC6110" w:rsidP="00F942C2">
            <w:pPr>
              <w:widowControl w:val="0"/>
              <w:tabs>
                <w:tab w:val="left" w:pos="798"/>
                <w:tab w:val="left" w:pos="1163"/>
              </w:tabs>
              <w:autoSpaceDE w:val="0"/>
              <w:autoSpaceDN w:val="0"/>
              <w:spacing w:after="0" w:line="240" w:lineRule="auto"/>
              <w:ind w:left="107" w:right="88"/>
              <w:rPr>
                <w:rFonts w:ascii="Cambria" w:eastAsia="Cambria" w:hAnsi="Cambria" w:cs="Cambria"/>
                <w:lang w:val="hr-HR"/>
              </w:rPr>
            </w:pPr>
            <w:r w:rsidRPr="00DF4CE5">
              <w:rPr>
                <w:rFonts w:ascii="Cambria" w:eastAsia="Cambria" w:hAnsi="Cambria" w:cs="Cambria"/>
                <w:lang w:val="hr-HR"/>
              </w:rPr>
              <w:t>Maksimalni</w:t>
            </w:r>
            <w:r w:rsidRPr="00DF4CE5">
              <w:rPr>
                <w:rFonts w:ascii="Cambria" w:eastAsia="Cambria" w:hAnsi="Cambria" w:cs="Cambria"/>
                <w:spacing w:val="1"/>
                <w:lang w:val="hr-HR"/>
              </w:rPr>
              <w:t xml:space="preserve"> </w:t>
            </w:r>
            <w:r w:rsidRPr="00DF4CE5">
              <w:rPr>
                <w:rFonts w:ascii="Cambria" w:eastAsia="Cambria" w:hAnsi="Cambria" w:cs="Cambria"/>
                <w:lang w:val="hr-HR"/>
              </w:rPr>
              <w:t>udio</w:t>
            </w:r>
            <w:r w:rsidR="00F942C2">
              <w:rPr>
                <w:rFonts w:ascii="Cambria" w:eastAsia="Cambria" w:hAnsi="Cambria" w:cs="Cambria"/>
                <w:lang w:val="hr-HR"/>
              </w:rPr>
              <w:t xml:space="preserve"> </w:t>
            </w:r>
            <w:r w:rsidRPr="00DF4CE5">
              <w:rPr>
                <w:rFonts w:ascii="Cambria" w:eastAsia="Cambria" w:hAnsi="Cambria" w:cs="Cambria"/>
                <w:lang w:val="hr-HR"/>
              </w:rPr>
              <w:t>u</w:t>
            </w:r>
            <w:r w:rsidR="00F942C2">
              <w:rPr>
                <w:rFonts w:ascii="Cambria" w:eastAsia="Cambria" w:hAnsi="Cambria" w:cs="Cambria"/>
                <w:lang w:val="hr-HR"/>
              </w:rPr>
              <w:t xml:space="preserve"> </w:t>
            </w:r>
            <w:r w:rsidRPr="00DF4CE5">
              <w:rPr>
                <w:rFonts w:ascii="Cambria" w:eastAsia="Cambria" w:hAnsi="Cambria" w:cs="Cambria"/>
                <w:spacing w:val="-1"/>
                <w:lang w:val="hr-HR"/>
              </w:rPr>
              <w:t>ocjeni</w:t>
            </w:r>
            <w:r w:rsidR="00F942C2">
              <w:rPr>
                <w:rFonts w:ascii="Cambria" w:eastAsia="Cambria" w:hAnsi="Cambria" w:cs="Cambria"/>
                <w:lang w:val="hr-HR"/>
              </w:rPr>
              <w:t xml:space="preserve"> </w:t>
            </w:r>
            <w:r w:rsidRPr="00DF4CE5">
              <w:rPr>
                <w:rFonts w:ascii="Cambria" w:eastAsia="Cambria" w:hAnsi="Cambria" w:cs="Cambria"/>
                <w:lang w:val="hr-HR"/>
              </w:rPr>
              <w:t>(%)</w:t>
            </w:r>
          </w:p>
        </w:tc>
      </w:tr>
      <w:tr w:rsidR="00AC6110" w:rsidRPr="00DF4CE5" w14:paraId="42B5214B" w14:textId="77777777" w:rsidTr="00DF4CE5">
        <w:trPr>
          <w:trHeight w:val="859"/>
        </w:trPr>
        <w:tc>
          <w:tcPr>
            <w:tcW w:w="2470" w:type="dxa"/>
            <w:vMerge/>
            <w:tcBorders>
              <w:top w:val="nil"/>
            </w:tcBorders>
            <w:shd w:val="clear" w:color="auto" w:fill="F3F3F3"/>
          </w:tcPr>
          <w:p w14:paraId="6D62EC77" w14:textId="77777777" w:rsidR="00AC6110" w:rsidRPr="00DF4CE5" w:rsidRDefault="00AC6110" w:rsidP="00AC6110">
            <w:pPr>
              <w:widowControl w:val="0"/>
              <w:autoSpaceDE w:val="0"/>
              <w:autoSpaceDN w:val="0"/>
              <w:spacing w:after="0" w:line="240" w:lineRule="auto"/>
              <w:rPr>
                <w:rFonts w:ascii="Cambria" w:eastAsia="Cambria" w:hAnsi="Cambria" w:cs="Cambria"/>
                <w:lang w:val="hr-HR"/>
              </w:rPr>
            </w:pPr>
          </w:p>
        </w:tc>
        <w:tc>
          <w:tcPr>
            <w:tcW w:w="2052" w:type="dxa"/>
          </w:tcPr>
          <w:p w14:paraId="030D982B" w14:textId="01B329BB" w:rsidR="00AC6110" w:rsidRPr="00DF4CE5" w:rsidRDefault="00F942C2" w:rsidP="00F942C2">
            <w:pPr>
              <w:widowControl w:val="0"/>
              <w:tabs>
                <w:tab w:val="left" w:pos="1247"/>
              </w:tabs>
              <w:autoSpaceDE w:val="0"/>
              <w:autoSpaceDN w:val="0"/>
              <w:spacing w:after="0" w:line="240" w:lineRule="auto"/>
              <w:rPr>
                <w:rFonts w:ascii="Cambria" w:eastAsia="Cambria" w:hAnsi="Cambria" w:cs="Cambria"/>
                <w:lang w:val="hr-HR"/>
              </w:rPr>
            </w:pPr>
            <w:r>
              <w:rPr>
                <w:rFonts w:ascii="Cambria" w:eastAsia="Cambria" w:hAnsi="Cambria" w:cs="Cambria"/>
                <w:lang w:val="hr-HR"/>
              </w:rPr>
              <w:t xml:space="preserve"> </w:t>
            </w:r>
            <w:r w:rsidR="00AC6110" w:rsidRPr="00DF4CE5">
              <w:rPr>
                <w:rFonts w:ascii="Cambria" w:eastAsia="Cambria" w:hAnsi="Cambria" w:cs="Cambria"/>
                <w:lang w:val="hr-HR"/>
              </w:rPr>
              <w:t xml:space="preserve">hospitiranje na  </w:t>
            </w:r>
            <w:r>
              <w:rPr>
                <w:rFonts w:ascii="Cambria" w:eastAsia="Cambria" w:hAnsi="Cambria" w:cs="Cambria"/>
                <w:lang w:val="hr-HR"/>
              </w:rPr>
              <w:t xml:space="preserve"> </w:t>
            </w:r>
            <w:r w:rsidR="00AC6110" w:rsidRPr="00DF4CE5">
              <w:rPr>
                <w:rFonts w:ascii="Cambria" w:eastAsia="Cambria" w:hAnsi="Cambria" w:cs="Cambria"/>
                <w:lang w:val="hr-HR"/>
              </w:rPr>
              <w:t>nastavi (V)</w:t>
            </w:r>
          </w:p>
        </w:tc>
        <w:tc>
          <w:tcPr>
            <w:tcW w:w="1172" w:type="dxa"/>
            <w:gridSpan w:val="2"/>
          </w:tcPr>
          <w:p w14:paraId="3B935A7A" w14:textId="77777777" w:rsidR="00AC6110" w:rsidRPr="00DF4CE5" w:rsidRDefault="00AC6110" w:rsidP="00AC6110">
            <w:pPr>
              <w:widowControl w:val="0"/>
              <w:autoSpaceDE w:val="0"/>
              <w:autoSpaceDN w:val="0"/>
              <w:spacing w:after="0" w:line="240" w:lineRule="auto"/>
              <w:jc w:val="center"/>
              <w:rPr>
                <w:rFonts w:ascii="Cambria" w:eastAsia="Cambria" w:hAnsi="Cambria" w:cs="Cambria"/>
                <w:lang w:val="hr-HR"/>
              </w:rPr>
            </w:pPr>
          </w:p>
          <w:p w14:paraId="1F02BE49" w14:textId="77777777" w:rsidR="00AC6110" w:rsidRPr="00DF4CE5" w:rsidRDefault="00AC6110" w:rsidP="00AC6110">
            <w:pPr>
              <w:widowControl w:val="0"/>
              <w:autoSpaceDE w:val="0"/>
              <w:autoSpaceDN w:val="0"/>
              <w:spacing w:after="0" w:line="240" w:lineRule="auto"/>
              <w:ind w:right="119"/>
              <w:jc w:val="center"/>
              <w:rPr>
                <w:rFonts w:ascii="Cambria" w:eastAsia="Cambria" w:hAnsi="Cambria" w:cs="Cambria"/>
                <w:lang w:val="hr-HR"/>
              </w:rPr>
            </w:pPr>
            <w:r w:rsidRPr="00DF4CE5">
              <w:rPr>
                <w:rFonts w:ascii="Cambria" w:eastAsia="Cambria" w:hAnsi="Cambria" w:cs="Cambria"/>
                <w:lang w:val="hr-HR"/>
              </w:rPr>
              <w:t>1.</w:t>
            </w:r>
            <w:r w:rsidRPr="00DF4CE5">
              <w:rPr>
                <w:rFonts w:ascii="Cambria" w:eastAsia="Cambria" w:hAnsi="Cambria" w:cs="Cambria"/>
                <w:spacing w:val="47"/>
                <w:lang w:val="hr-HR"/>
              </w:rPr>
              <w:t xml:space="preserve"> </w:t>
            </w:r>
            <w:r w:rsidRPr="00DF4CE5">
              <w:rPr>
                <w:rFonts w:ascii="Cambria" w:eastAsia="Cambria" w:hAnsi="Cambria" w:cs="Cambria"/>
                <w:lang w:val="hr-HR"/>
              </w:rPr>
              <w:t>-</w:t>
            </w:r>
            <w:r w:rsidRPr="00DF4CE5">
              <w:rPr>
                <w:rFonts w:ascii="Cambria" w:eastAsia="Cambria" w:hAnsi="Cambria" w:cs="Cambria"/>
                <w:spacing w:val="-2"/>
                <w:lang w:val="hr-HR"/>
              </w:rPr>
              <w:t xml:space="preserve"> </w:t>
            </w:r>
            <w:r w:rsidRPr="00DF4CE5">
              <w:rPr>
                <w:rFonts w:ascii="Cambria" w:eastAsia="Cambria" w:hAnsi="Cambria" w:cs="Cambria"/>
                <w:lang w:val="hr-HR"/>
              </w:rPr>
              <w:t>5.</w:t>
            </w:r>
          </w:p>
        </w:tc>
        <w:tc>
          <w:tcPr>
            <w:tcW w:w="876" w:type="dxa"/>
          </w:tcPr>
          <w:p w14:paraId="474AB755" w14:textId="77777777" w:rsidR="00AC6110" w:rsidRPr="00DF4CE5" w:rsidRDefault="00AC6110" w:rsidP="00AC6110">
            <w:pPr>
              <w:widowControl w:val="0"/>
              <w:autoSpaceDE w:val="0"/>
              <w:autoSpaceDN w:val="0"/>
              <w:spacing w:after="0" w:line="240" w:lineRule="auto"/>
              <w:jc w:val="center"/>
              <w:rPr>
                <w:rFonts w:ascii="Cambria" w:eastAsia="Cambria" w:hAnsi="Cambria" w:cs="Cambria"/>
                <w:lang w:val="hr-HR"/>
              </w:rPr>
            </w:pPr>
          </w:p>
          <w:p w14:paraId="1868164B" w14:textId="77777777" w:rsidR="00AC6110" w:rsidRPr="00DF4CE5" w:rsidRDefault="00AC6110" w:rsidP="00AC6110">
            <w:pPr>
              <w:widowControl w:val="0"/>
              <w:autoSpaceDE w:val="0"/>
              <w:autoSpaceDN w:val="0"/>
              <w:spacing w:after="0" w:line="240" w:lineRule="auto"/>
              <w:ind w:left="107"/>
              <w:jc w:val="center"/>
              <w:rPr>
                <w:rFonts w:ascii="Cambria" w:eastAsia="Cambria" w:hAnsi="Cambria" w:cs="Cambria"/>
                <w:lang w:val="hr-HR"/>
              </w:rPr>
            </w:pPr>
            <w:r w:rsidRPr="00DF4CE5">
              <w:rPr>
                <w:rFonts w:ascii="Cambria" w:eastAsia="Cambria" w:hAnsi="Cambria" w:cs="Cambria"/>
                <w:lang w:val="hr-HR"/>
              </w:rPr>
              <w:t>38</w:t>
            </w:r>
          </w:p>
        </w:tc>
        <w:tc>
          <w:tcPr>
            <w:tcW w:w="881" w:type="dxa"/>
          </w:tcPr>
          <w:p w14:paraId="6C2BE9A0" w14:textId="77777777" w:rsidR="00AC6110" w:rsidRPr="00DF4CE5" w:rsidRDefault="00AC6110" w:rsidP="00AC6110">
            <w:pPr>
              <w:widowControl w:val="0"/>
              <w:autoSpaceDE w:val="0"/>
              <w:autoSpaceDN w:val="0"/>
              <w:spacing w:after="0" w:line="240" w:lineRule="auto"/>
              <w:jc w:val="center"/>
              <w:rPr>
                <w:rFonts w:ascii="Cambria" w:eastAsia="Cambria" w:hAnsi="Cambria" w:cs="Cambria"/>
                <w:lang w:val="hr-HR"/>
              </w:rPr>
            </w:pPr>
          </w:p>
          <w:p w14:paraId="6BAE89AC" w14:textId="77777777" w:rsidR="00AC6110" w:rsidRPr="00DF4CE5" w:rsidRDefault="00AC6110" w:rsidP="00AC6110">
            <w:pPr>
              <w:widowControl w:val="0"/>
              <w:autoSpaceDE w:val="0"/>
              <w:autoSpaceDN w:val="0"/>
              <w:spacing w:after="0" w:line="240" w:lineRule="auto"/>
              <w:ind w:left="107"/>
              <w:jc w:val="center"/>
              <w:rPr>
                <w:rFonts w:ascii="Cambria" w:eastAsia="Cambria" w:hAnsi="Cambria" w:cs="Cambria"/>
                <w:lang w:val="hr-HR"/>
              </w:rPr>
            </w:pPr>
            <w:r w:rsidRPr="00DF4CE5">
              <w:rPr>
                <w:rFonts w:ascii="Cambria" w:eastAsia="Cambria" w:hAnsi="Cambria" w:cs="Cambria"/>
                <w:lang w:val="hr-HR"/>
              </w:rPr>
              <w:t>1,3</w:t>
            </w:r>
          </w:p>
        </w:tc>
        <w:tc>
          <w:tcPr>
            <w:tcW w:w="1891" w:type="dxa"/>
          </w:tcPr>
          <w:p w14:paraId="21E470B7" w14:textId="77777777" w:rsidR="00AC6110" w:rsidRPr="00DF4CE5" w:rsidRDefault="00AC6110" w:rsidP="00AC6110">
            <w:pPr>
              <w:widowControl w:val="0"/>
              <w:autoSpaceDE w:val="0"/>
              <w:autoSpaceDN w:val="0"/>
              <w:spacing w:after="0" w:line="240" w:lineRule="auto"/>
              <w:jc w:val="center"/>
              <w:rPr>
                <w:rFonts w:ascii="Cambria" w:eastAsia="Cambria" w:hAnsi="Cambria" w:cs="Cambria"/>
                <w:lang w:val="hr-HR"/>
              </w:rPr>
            </w:pPr>
          </w:p>
          <w:p w14:paraId="53C4DF3E" w14:textId="77777777" w:rsidR="00AC6110" w:rsidRPr="00DF4CE5" w:rsidRDefault="00AC6110" w:rsidP="00AC6110">
            <w:pPr>
              <w:widowControl w:val="0"/>
              <w:autoSpaceDE w:val="0"/>
              <w:autoSpaceDN w:val="0"/>
              <w:spacing w:after="0" w:line="240" w:lineRule="auto"/>
              <w:ind w:left="107"/>
              <w:jc w:val="center"/>
              <w:rPr>
                <w:rFonts w:ascii="Cambria" w:eastAsia="Cambria" w:hAnsi="Cambria" w:cs="Cambria"/>
                <w:lang w:val="hr-HR"/>
              </w:rPr>
            </w:pPr>
            <w:r w:rsidRPr="00DF4CE5">
              <w:rPr>
                <w:rFonts w:ascii="Cambria" w:eastAsia="Cambria" w:hAnsi="Cambria" w:cs="Cambria"/>
                <w:lang w:val="hr-HR"/>
              </w:rPr>
              <w:t>65%</w:t>
            </w:r>
          </w:p>
        </w:tc>
      </w:tr>
      <w:tr w:rsidR="00AC6110" w:rsidRPr="00DF4CE5" w14:paraId="7EB7E8C4" w14:textId="77777777" w:rsidTr="00DF4CE5">
        <w:trPr>
          <w:trHeight w:val="577"/>
        </w:trPr>
        <w:tc>
          <w:tcPr>
            <w:tcW w:w="2470" w:type="dxa"/>
            <w:vMerge/>
            <w:tcBorders>
              <w:top w:val="nil"/>
            </w:tcBorders>
            <w:shd w:val="clear" w:color="auto" w:fill="F3F3F3"/>
          </w:tcPr>
          <w:p w14:paraId="39CB16EF" w14:textId="77777777" w:rsidR="00AC6110" w:rsidRPr="00DF4CE5" w:rsidRDefault="00AC6110" w:rsidP="00AC6110">
            <w:pPr>
              <w:widowControl w:val="0"/>
              <w:autoSpaceDE w:val="0"/>
              <w:autoSpaceDN w:val="0"/>
              <w:spacing w:after="0" w:line="240" w:lineRule="auto"/>
              <w:rPr>
                <w:rFonts w:ascii="Cambria" w:eastAsia="Cambria" w:hAnsi="Cambria" w:cs="Cambria"/>
                <w:lang w:val="hr-HR"/>
              </w:rPr>
            </w:pPr>
          </w:p>
        </w:tc>
        <w:tc>
          <w:tcPr>
            <w:tcW w:w="2052" w:type="dxa"/>
          </w:tcPr>
          <w:p w14:paraId="3F3B9CC0" w14:textId="77777777" w:rsidR="00AC6110" w:rsidRPr="00DF4CE5" w:rsidRDefault="00AC6110" w:rsidP="00AC6110">
            <w:pPr>
              <w:widowControl w:val="0"/>
              <w:tabs>
                <w:tab w:val="left" w:pos="968"/>
              </w:tabs>
              <w:autoSpaceDE w:val="0"/>
              <w:autoSpaceDN w:val="0"/>
              <w:spacing w:after="0" w:line="240" w:lineRule="auto"/>
              <w:rPr>
                <w:rFonts w:ascii="Cambria" w:eastAsia="Cambria" w:hAnsi="Cambria" w:cs="Cambria"/>
                <w:lang w:val="hr-HR"/>
              </w:rPr>
            </w:pPr>
            <w:r w:rsidRPr="00DF4CE5">
              <w:rPr>
                <w:rFonts w:ascii="Cambria" w:eastAsia="Cambria" w:hAnsi="Cambria" w:cs="Cambria"/>
                <w:lang w:val="hr-HR"/>
              </w:rPr>
              <w:t xml:space="preserve"> izrada Dnevnika</w:t>
            </w:r>
          </w:p>
          <w:p w14:paraId="6CF947FD" w14:textId="77777777" w:rsidR="00AC6110" w:rsidRPr="00DF4CE5" w:rsidRDefault="00AC6110" w:rsidP="00AC6110">
            <w:pPr>
              <w:widowControl w:val="0"/>
              <w:autoSpaceDE w:val="0"/>
              <w:autoSpaceDN w:val="0"/>
              <w:spacing w:after="0" w:line="240" w:lineRule="auto"/>
              <w:jc w:val="both"/>
              <w:rPr>
                <w:rFonts w:ascii="Cambria" w:eastAsia="Cambria" w:hAnsi="Cambria" w:cs="Cambria"/>
                <w:lang w:val="hr-HR"/>
              </w:rPr>
            </w:pPr>
            <w:r w:rsidRPr="00DF4CE5">
              <w:rPr>
                <w:rFonts w:ascii="Cambria" w:eastAsia="Cambria" w:hAnsi="Cambria" w:cs="Cambria"/>
                <w:lang w:val="hr-HR"/>
              </w:rPr>
              <w:t xml:space="preserve"> stručne</w:t>
            </w:r>
            <w:r w:rsidRPr="00DF4CE5">
              <w:rPr>
                <w:rFonts w:ascii="Cambria" w:eastAsia="Cambria" w:hAnsi="Cambria" w:cs="Cambria"/>
                <w:spacing w:val="-3"/>
                <w:lang w:val="hr-HR"/>
              </w:rPr>
              <w:t xml:space="preserve"> </w:t>
            </w:r>
            <w:r w:rsidRPr="00DF4CE5">
              <w:rPr>
                <w:rFonts w:ascii="Cambria" w:eastAsia="Cambria" w:hAnsi="Cambria" w:cs="Cambria"/>
                <w:lang w:val="hr-HR"/>
              </w:rPr>
              <w:t>prakse</w:t>
            </w:r>
          </w:p>
        </w:tc>
        <w:tc>
          <w:tcPr>
            <w:tcW w:w="1172" w:type="dxa"/>
            <w:gridSpan w:val="2"/>
          </w:tcPr>
          <w:p w14:paraId="324BB7BC" w14:textId="77777777" w:rsidR="00AC6110" w:rsidRPr="00DF4CE5" w:rsidRDefault="00AC6110" w:rsidP="00AC6110">
            <w:pPr>
              <w:widowControl w:val="0"/>
              <w:autoSpaceDE w:val="0"/>
              <w:autoSpaceDN w:val="0"/>
              <w:spacing w:after="0" w:line="240" w:lineRule="auto"/>
              <w:ind w:right="119"/>
              <w:jc w:val="center"/>
              <w:rPr>
                <w:rFonts w:ascii="Cambria" w:eastAsia="Cambria" w:hAnsi="Cambria" w:cs="Cambria"/>
                <w:lang w:val="hr-HR"/>
              </w:rPr>
            </w:pPr>
            <w:r w:rsidRPr="00DF4CE5">
              <w:rPr>
                <w:rFonts w:ascii="Cambria" w:eastAsia="Cambria" w:hAnsi="Cambria" w:cs="Cambria"/>
                <w:lang w:val="hr-HR"/>
              </w:rPr>
              <w:t>1.</w:t>
            </w:r>
            <w:r w:rsidRPr="00DF4CE5">
              <w:rPr>
                <w:rFonts w:ascii="Cambria" w:eastAsia="Cambria" w:hAnsi="Cambria" w:cs="Cambria"/>
                <w:spacing w:val="47"/>
                <w:lang w:val="hr-HR"/>
              </w:rPr>
              <w:t xml:space="preserve"> </w:t>
            </w:r>
            <w:r w:rsidRPr="00DF4CE5">
              <w:rPr>
                <w:rFonts w:ascii="Cambria" w:eastAsia="Cambria" w:hAnsi="Cambria" w:cs="Cambria"/>
                <w:lang w:val="hr-HR"/>
              </w:rPr>
              <w:t>-</w:t>
            </w:r>
            <w:r w:rsidRPr="00DF4CE5">
              <w:rPr>
                <w:rFonts w:ascii="Cambria" w:eastAsia="Cambria" w:hAnsi="Cambria" w:cs="Cambria"/>
                <w:spacing w:val="-2"/>
                <w:lang w:val="hr-HR"/>
              </w:rPr>
              <w:t xml:space="preserve"> </w:t>
            </w:r>
            <w:r w:rsidRPr="00DF4CE5">
              <w:rPr>
                <w:rFonts w:ascii="Cambria" w:eastAsia="Cambria" w:hAnsi="Cambria" w:cs="Cambria"/>
                <w:lang w:val="hr-HR"/>
              </w:rPr>
              <w:t>5.</w:t>
            </w:r>
          </w:p>
        </w:tc>
        <w:tc>
          <w:tcPr>
            <w:tcW w:w="876" w:type="dxa"/>
          </w:tcPr>
          <w:p w14:paraId="1DD486D5" w14:textId="77777777" w:rsidR="00AC6110" w:rsidRPr="00DF4CE5" w:rsidRDefault="00AC6110" w:rsidP="00AC6110">
            <w:pPr>
              <w:widowControl w:val="0"/>
              <w:autoSpaceDE w:val="0"/>
              <w:autoSpaceDN w:val="0"/>
              <w:spacing w:after="0" w:line="240" w:lineRule="auto"/>
              <w:ind w:left="107"/>
              <w:jc w:val="center"/>
              <w:rPr>
                <w:rFonts w:ascii="Cambria" w:eastAsia="Cambria" w:hAnsi="Cambria" w:cs="Cambria"/>
                <w:lang w:val="hr-HR"/>
              </w:rPr>
            </w:pPr>
            <w:r w:rsidRPr="00DF4CE5">
              <w:rPr>
                <w:rFonts w:ascii="Cambria" w:eastAsia="Cambria" w:hAnsi="Cambria" w:cs="Cambria"/>
                <w:lang w:val="hr-HR"/>
              </w:rPr>
              <w:t>22</w:t>
            </w:r>
          </w:p>
        </w:tc>
        <w:tc>
          <w:tcPr>
            <w:tcW w:w="881" w:type="dxa"/>
          </w:tcPr>
          <w:p w14:paraId="7D45638E" w14:textId="77777777" w:rsidR="00AC6110" w:rsidRPr="00DF4CE5" w:rsidRDefault="00AC6110" w:rsidP="00AC6110">
            <w:pPr>
              <w:widowControl w:val="0"/>
              <w:autoSpaceDE w:val="0"/>
              <w:autoSpaceDN w:val="0"/>
              <w:spacing w:after="0" w:line="240" w:lineRule="auto"/>
              <w:ind w:left="107"/>
              <w:jc w:val="center"/>
              <w:rPr>
                <w:rFonts w:ascii="Cambria" w:eastAsia="Cambria" w:hAnsi="Cambria" w:cs="Cambria"/>
                <w:lang w:val="hr-HR"/>
              </w:rPr>
            </w:pPr>
            <w:r w:rsidRPr="00DF4CE5">
              <w:rPr>
                <w:rFonts w:ascii="Cambria" w:eastAsia="Cambria" w:hAnsi="Cambria" w:cs="Cambria"/>
                <w:lang w:val="hr-HR"/>
              </w:rPr>
              <w:t>0,7</w:t>
            </w:r>
          </w:p>
        </w:tc>
        <w:tc>
          <w:tcPr>
            <w:tcW w:w="1891" w:type="dxa"/>
          </w:tcPr>
          <w:p w14:paraId="6A09380B" w14:textId="77777777" w:rsidR="00AC6110" w:rsidRPr="00DF4CE5" w:rsidRDefault="00AC6110" w:rsidP="00AC6110">
            <w:pPr>
              <w:widowControl w:val="0"/>
              <w:autoSpaceDE w:val="0"/>
              <w:autoSpaceDN w:val="0"/>
              <w:spacing w:after="0" w:line="240" w:lineRule="auto"/>
              <w:ind w:left="107"/>
              <w:jc w:val="center"/>
              <w:rPr>
                <w:rFonts w:ascii="Cambria" w:eastAsia="Cambria" w:hAnsi="Cambria" w:cs="Cambria"/>
                <w:lang w:val="hr-HR"/>
              </w:rPr>
            </w:pPr>
            <w:r w:rsidRPr="00DF4CE5">
              <w:rPr>
                <w:rFonts w:ascii="Cambria" w:eastAsia="Cambria" w:hAnsi="Cambria" w:cs="Cambria"/>
                <w:lang w:val="hr-HR"/>
              </w:rPr>
              <w:t>35%</w:t>
            </w:r>
          </w:p>
        </w:tc>
      </w:tr>
      <w:tr w:rsidR="00AC6110" w:rsidRPr="00DF4CE5" w14:paraId="40F0EF41" w14:textId="77777777" w:rsidTr="00DF4CE5">
        <w:trPr>
          <w:trHeight w:val="296"/>
        </w:trPr>
        <w:tc>
          <w:tcPr>
            <w:tcW w:w="2470" w:type="dxa"/>
            <w:vMerge/>
            <w:tcBorders>
              <w:top w:val="nil"/>
            </w:tcBorders>
            <w:shd w:val="clear" w:color="auto" w:fill="F3F3F3"/>
          </w:tcPr>
          <w:p w14:paraId="7069A12F" w14:textId="77777777" w:rsidR="00AC6110" w:rsidRPr="00DF4CE5" w:rsidRDefault="00AC6110" w:rsidP="00AC6110">
            <w:pPr>
              <w:widowControl w:val="0"/>
              <w:autoSpaceDE w:val="0"/>
              <w:autoSpaceDN w:val="0"/>
              <w:spacing w:after="0" w:line="240" w:lineRule="auto"/>
              <w:rPr>
                <w:rFonts w:ascii="Cambria" w:eastAsia="Cambria" w:hAnsi="Cambria" w:cs="Cambria"/>
                <w:lang w:val="hr-HR"/>
              </w:rPr>
            </w:pPr>
          </w:p>
        </w:tc>
        <w:tc>
          <w:tcPr>
            <w:tcW w:w="3224" w:type="dxa"/>
            <w:gridSpan w:val="3"/>
          </w:tcPr>
          <w:p w14:paraId="1F597D31" w14:textId="77777777" w:rsidR="00AC6110" w:rsidRPr="00DF4CE5" w:rsidRDefault="00AC6110" w:rsidP="00AC6110">
            <w:pPr>
              <w:widowControl w:val="0"/>
              <w:autoSpaceDE w:val="0"/>
              <w:autoSpaceDN w:val="0"/>
              <w:spacing w:after="0" w:line="240" w:lineRule="auto"/>
              <w:rPr>
                <w:rFonts w:ascii="Cambria" w:eastAsia="Cambria" w:hAnsi="Cambria" w:cs="Cambria"/>
                <w:lang w:val="hr-HR"/>
              </w:rPr>
            </w:pPr>
            <w:r w:rsidRPr="00DF4CE5">
              <w:rPr>
                <w:rFonts w:ascii="Cambria" w:eastAsia="Cambria" w:hAnsi="Cambria" w:cs="Cambria"/>
                <w:lang w:val="hr-HR"/>
              </w:rPr>
              <w:t xml:space="preserve"> Ukupno</w:t>
            </w:r>
          </w:p>
        </w:tc>
        <w:tc>
          <w:tcPr>
            <w:tcW w:w="876" w:type="dxa"/>
          </w:tcPr>
          <w:p w14:paraId="472470AE" w14:textId="77777777" w:rsidR="00AC6110" w:rsidRPr="00DF4CE5" w:rsidRDefault="00AC6110" w:rsidP="00AC6110">
            <w:pPr>
              <w:widowControl w:val="0"/>
              <w:autoSpaceDE w:val="0"/>
              <w:autoSpaceDN w:val="0"/>
              <w:spacing w:after="0" w:line="240" w:lineRule="auto"/>
              <w:ind w:left="107"/>
              <w:jc w:val="center"/>
              <w:rPr>
                <w:rFonts w:ascii="Cambria" w:eastAsia="Cambria" w:hAnsi="Cambria" w:cs="Cambria"/>
                <w:lang w:val="hr-HR"/>
              </w:rPr>
            </w:pPr>
            <w:r w:rsidRPr="00DF4CE5">
              <w:rPr>
                <w:rFonts w:ascii="Cambria" w:eastAsia="Cambria" w:hAnsi="Cambria" w:cs="Cambria"/>
                <w:lang w:val="hr-HR"/>
              </w:rPr>
              <w:t>60</w:t>
            </w:r>
          </w:p>
        </w:tc>
        <w:tc>
          <w:tcPr>
            <w:tcW w:w="881" w:type="dxa"/>
          </w:tcPr>
          <w:p w14:paraId="5C039FAC" w14:textId="77777777" w:rsidR="00AC6110" w:rsidRPr="00DF4CE5" w:rsidRDefault="00AC6110" w:rsidP="00AC6110">
            <w:pPr>
              <w:widowControl w:val="0"/>
              <w:autoSpaceDE w:val="0"/>
              <w:autoSpaceDN w:val="0"/>
              <w:spacing w:after="0" w:line="240" w:lineRule="auto"/>
              <w:ind w:left="107"/>
              <w:jc w:val="center"/>
              <w:rPr>
                <w:rFonts w:ascii="Cambria" w:eastAsia="Cambria" w:hAnsi="Cambria" w:cs="Cambria"/>
                <w:lang w:val="hr-HR"/>
              </w:rPr>
            </w:pPr>
            <w:r w:rsidRPr="00DF4CE5">
              <w:rPr>
                <w:rFonts w:ascii="Cambria" w:eastAsia="Cambria" w:hAnsi="Cambria" w:cs="Cambria"/>
                <w:lang w:val="hr-HR"/>
              </w:rPr>
              <w:t>2</w:t>
            </w:r>
          </w:p>
        </w:tc>
        <w:tc>
          <w:tcPr>
            <w:tcW w:w="1891" w:type="dxa"/>
          </w:tcPr>
          <w:p w14:paraId="121168DF" w14:textId="77777777" w:rsidR="00AC6110" w:rsidRPr="00DF4CE5" w:rsidRDefault="00AC6110" w:rsidP="00AC6110">
            <w:pPr>
              <w:widowControl w:val="0"/>
              <w:autoSpaceDE w:val="0"/>
              <w:autoSpaceDN w:val="0"/>
              <w:spacing w:after="0" w:line="240" w:lineRule="auto"/>
              <w:ind w:left="107"/>
              <w:jc w:val="center"/>
              <w:rPr>
                <w:rFonts w:ascii="Cambria" w:eastAsia="Cambria" w:hAnsi="Cambria" w:cs="Cambria"/>
                <w:lang w:val="hr-HR"/>
              </w:rPr>
            </w:pPr>
            <w:r w:rsidRPr="00DF4CE5">
              <w:rPr>
                <w:rFonts w:ascii="Cambria" w:eastAsia="Cambria" w:hAnsi="Cambria" w:cs="Cambria"/>
                <w:lang w:val="hr-HR"/>
              </w:rPr>
              <w:t>100%</w:t>
            </w:r>
          </w:p>
        </w:tc>
      </w:tr>
      <w:tr w:rsidR="00AC6110" w:rsidRPr="00D0399C" w14:paraId="10CE6C55" w14:textId="77777777" w:rsidTr="00F942C2">
        <w:trPr>
          <w:trHeight w:val="4839"/>
        </w:trPr>
        <w:tc>
          <w:tcPr>
            <w:tcW w:w="2470" w:type="dxa"/>
            <w:shd w:val="clear" w:color="auto" w:fill="F3F3F3"/>
          </w:tcPr>
          <w:p w14:paraId="76176BF3" w14:textId="77777777" w:rsidR="00AC6110" w:rsidRPr="00DF4CE5" w:rsidRDefault="00AC6110" w:rsidP="00AC6110">
            <w:pPr>
              <w:widowControl w:val="0"/>
              <w:autoSpaceDE w:val="0"/>
              <w:autoSpaceDN w:val="0"/>
              <w:spacing w:after="0" w:line="240" w:lineRule="auto"/>
              <w:rPr>
                <w:rFonts w:ascii="Cambria" w:eastAsia="Cambria" w:hAnsi="Cambria" w:cs="Cambria"/>
                <w:lang w:val="hr-HR"/>
              </w:rPr>
            </w:pPr>
          </w:p>
          <w:p w14:paraId="7B953339" w14:textId="77777777" w:rsidR="00AC6110" w:rsidRPr="00DF4CE5" w:rsidRDefault="00AC6110" w:rsidP="00AC6110">
            <w:pPr>
              <w:widowControl w:val="0"/>
              <w:autoSpaceDE w:val="0"/>
              <w:autoSpaceDN w:val="0"/>
              <w:spacing w:after="0" w:line="240" w:lineRule="auto"/>
              <w:rPr>
                <w:rFonts w:ascii="Cambria" w:eastAsia="Cambria" w:hAnsi="Cambria" w:cs="Cambria"/>
                <w:lang w:val="hr-HR"/>
              </w:rPr>
            </w:pPr>
          </w:p>
          <w:p w14:paraId="25DB0BEB" w14:textId="77777777" w:rsidR="00AC6110" w:rsidRPr="00DF4CE5" w:rsidRDefault="00AC6110" w:rsidP="00AC6110">
            <w:pPr>
              <w:widowControl w:val="0"/>
              <w:autoSpaceDE w:val="0"/>
              <w:autoSpaceDN w:val="0"/>
              <w:spacing w:after="0" w:line="240" w:lineRule="auto"/>
              <w:rPr>
                <w:rFonts w:ascii="Cambria" w:eastAsia="Cambria" w:hAnsi="Cambria" w:cs="Cambria"/>
                <w:lang w:val="hr-HR"/>
              </w:rPr>
            </w:pPr>
          </w:p>
          <w:p w14:paraId="5F64F3BC" w14:textId="77777777" w:rsidR="00AC6110" w:rsidRPr="00DF4CE5" w:rsidRDefault="00AC6110" w:rsidP="00AC6110">
            <w:pPr>
              <w:widowControl w:val="0"/>
              <w:autoSpaceDE w:val="0"/>
              <w:autoSpaceDN w:val="0"/>
              <w:spacing w:after="0" w:line="240" w:lineRule="auto"/>
              <w:rPr>
                <w:rFonts w:ascii="Cambria" w:eastAsia="Cambria" w:hAnsi="Cambria" w:cs="Cambria"/>
                <w:lang w:val="hr-HR"/>
              </w:rPr>
            </w:pPr>
          </w:p>
          <w:p w14:paraId="3EE76A6F" w14:textId="77777777" w:rsidR="00AC6110" w:rsidRPr="00DF4CE5" w:rsidRDefault="00AC6110" w:rsidP="00AC6110">
            <w:pPr>
              <w:widowControl w:val="0"/>
              <w:autoSpaceDE w:val="0"/>
              <w:autoSpaceDN w:val="0"/>
              <w:spacing w:after="0" w:line="240" w:lineRule="auto"/>
              <w:rPr>
                <w:rFonts w:ascii="Cambria" w:eastAsia="Cambria" w:hAnsi="Cambria" w:cs="Cambria"/>
                <w:lang w:val="hr-HR"/>
              </w:rPr>
            </w:pPr>
          </w:p>
          <w:p w14:paraId="4EEAF6D2" w14:textId="77777777" w:rsidR="00AC6110" w:rsidRPr="00DF4CE5" w:rsidRDefault="00AC6110" w:rsidP="00AC6110">
            <w:pPr>
              <w:widowControl w:val="0"/>
              <w:autoSpaceDE w:val="0"/>
              <w:autoSpaceDN w:val="0"/>
              <w:spacing w:after="0" w:line="240" w:lineRule="auto"/>
              <w:rPr>
                <w:rFonts w:ascii="Cambria" w:eastAsia="Cambria" w:hAnsi="Cambria" w:cs="Cambria"/>
                <w:lang w:val="hr-HR"/>
              </w:rPr>
            </w:pPr>
          </w:p>
          <w:p w14:paraId="270BAF9B" w14:textId="77777777" w:rsidR="00AC6110" w:rsidRPr="00DF4CE5" w:rsidRDefault="00AC6110" w:rsidP="00AC6110">
            <w:pPr>
              <w:widowControl w:val="0"/>
              <w:autoSpaceDE w:val="0"/>
              <w:autoSpaceDN w:val="0"/>
              <w:spacing w:after="0" w:line="240" w:lineRule="auto"/>
              <w:rPr>
                <w:rFonts w:ascii="Cambria" w:eastAsia="Cambria" w:hAnsi="Cambria" w:cs="Cambria"/>
                <w:lang w:val="hr-HR"/>
              </w:rPr>
            </w:pPr>
          </w:p>
          <w:p w14:paraId="065C9492" w14:textId="77777777" w:rsidR="00AC6110" w:rsidRPr="00DF4CE5" w:rsidRDefault="00AC6110" w:rsidP="00AC6110">
            <w:pPr>
              <w:widowControl w:val="0"/>
              <w:autoSpaceDE w:val="0"/>
              <w:autoSpaceDN w:val="0"/>
              <w:spacing w:after="0" w:line="240" w:lineRule="auto"/>
              <w:ind w:left="143"/>
              <w:rPr>
                <w:rFonts w:ascii="Cambria" w:eastAsia="Cambria" w:hAnsi="Cambria" w:cs="Cambria"/>
                <w:lang w:val="hr-HR"/>
              </w:rPr>
            </w:pPr>
            <w:r w:rsidRPr="00DF4CE5">
              <w:rPr>
                <w:rFonts w:ascii="Cambria" w:eastAsia="Cambria" w:hAnsi="Cambria" w:cs="Cambria"/>
                <w:lang w:val="hr-HR"/>
              </w:rPr>
              <w:t>Studentske</w:t>
            </w:r>
            <w:r w:rsidRPr="00DF4CE5">
              <w:rPr>
                <w:rFonts w:ascii="Cambria" w:eastAsia="Cambria" w:hAnsi="Cambria" w:cs="Cambria"/>
                <w:spacing w:val="-5"/>
                <w:lang w:val="hr-HR"/>
              </w:rPr>
              <w:t xml:space="preserve"> </w:t>
            </w:r>
            <w:r w:rsidRPr="00DF4CE5">
              <w:rPr>
                <w:rFonts w:ascii="Cambria" w:eastAsia="Cambria" w:hAnsi="Cambria" w:cs="Cambria"/>
                <w:lang w:val="hr-HR"/>
              </w:rPr>
              <w:t>obveze</w:t>
            </w:r>
          </w:p>
        </w:tc>
        <w:tc>
          <w:tcPr>
            <w:tcW w:w="6872" w:type="dxa"/>
            <w:gridSpan w:val="6"/>
          </w:tcPr>
          <w:p w14:paraId="28BC4E8D" w14:textId="77777777" w:rsidR="00AC6110" w:rsidRPr="00DF4CE5" w:rsidRDefault="00AC6110" w:rsidP="00AC6110">
            <w:pPr>
              <w:widowControl w:val="0"/>
              <w:autoSpaceDE w:val="0"/>
              <w:autoSpaceDN w:val="0"/>
              <w:spacing w:after="0" w:line="240" w:lineRule="auto"/>
              <w:ind w:left="513"/>
              <w:jc w:val="both"/>
              <w:rPr>
                <w:rFonts w:ascii="Cambria" w:eastAsia="Cambria" w:hAnsi="Cambria" w:cs="Cambria"/>
                <w:lang w:val="hr-HR"/>
              </w:rPr>
            </w:pPr>
            <w:r w:rsidRPr="00DF4CE5">
              <w:rPr>
                <w:rFonts w:ascii="Cambria" w:eastAsia="Cambria" w:hAnsi="Cambria" w:cs="Cambria"/>
                <w:lang w:val="hr-HR"/>
              </w:rPr>
              <w:t>Da</w:t>
            </w:r>
            <w:r w:rsidRPr="00DF4CE5">
              <w:rPr>
                <w:rFonts w:ascii="Cambria" w:eastAsia="Cambria" w:hAnsi="Cambria" w:cs="Cambria"/>
                <w:spacing w:val="-4"/>
                <w:lang w:val="hr-HR"/>
              </w:rPr>
              <w:t xml:space="preserve"> </w:t>
            </w:r>
            <w:r w:rsidRPr="00DF4CE5">
              <w:rPr>
                <w:rFonts w:ascii="Cambria" w:eastAsia="Cambria" w:hAnsi="Cambria" w:cs="Cambria"/>
                <w:lang w:val="hr-HR"/>
              </w:rPr>
              <w:t>položi</w:t>
            </w:r>
            <w:r w:rsidRPr="00DF4CE5">
              <w:rPr>
                <w:rFonts w:ascii="Cambria" w:eastAsia="Cambria" w:hAnsi="Cambria" w:cs="Cambria"/>
                <w:spacing w:val="-4"/>
                <w:lang w:val="hr-HR"/>
              </w:rPr>
              <w:t xml:space="preserve"> </w:t>
            </w:r>
            <w:r w:rsidRPr="00DF4CE5">
              <w:rPr>
                <w:rFonts w:ascii="Cambria" w:eastAsia="Cambria" w:hAnsi="Cambria" w:cs="Cambria"/>
                <w:lang w:val="hr-HR"/>
              </w:rPr>
              <w:t>kolegij,</w:t>
            </w:r>
            <w:r w:rsidRPr="00DF4CE5">
              <w:rPr>
                <w:rFonts w:ascii="Cambria" w:eastAsia="Cambria" w:hAnsi="Cambria" w:cs="Cambria"/>
                <w:spacing w:val="-3"/>
                <w:lang w:val="hr-HR"/>
              </w:rPr>
              <w:t xml:space="preserve"> </w:t>
            </w:r>
            <w:r w:rsidRPr="00DF4CE5">
              <w:rPr>
                <w:rFonts w:ascii="Cambria" w:eastAsia="Cambria" w:hAnsi="Cambria" w:cs="Cambria"/>
                <w:lang w:val="hr-HR"/>
              </w:rPr>
              <w:t>student/studentica</w:t>
            </w:r>
            <w:r w:rsidRPr="00DF4CE5">
              <w:rPr>
                <w:rFonts w:ascii="Cambria" w:eastAsia="Cambria" w:hAnsi="Cambria" w:cs="Cambria"/>
                <w:spacing w:val="-5"/>
                <w:lang w:val="hr-HR"/>
              </w:rPr>
              <w:t xml:space="preserve"> </w:t>
            </w:r>
            <w:r w:rsidRPr="00DF4CE5">
              <w:rPr>
                <w:rFonts w:ascii="Cambria" w:eastAsia="Cambria" w:hAnsi="Cambria" w:cs="Cambria"/>
                <w:lang w:val="hr-HR"/>
              </w:rPr>
              <w:t>mora:</w:t>
            </w:r>
          </w:p>
          <w:p w14:paraId="5B1E42D3" w14:textId="77777777" w:rsidR="00AC6110" w:rsidRPr="00DF4CE5" w:rsidRDefault="00AC6110" w:rsidP="00A034E3">
            <w:pPr>
              <w:widowControl w:val="0"/>
              <w:numPr>
                <w:ilvl w:val="0"/>
                <w:numId w:val="83"/>
              </w:numPr>
              <w:tabs>
                <w:tab w:val="left" w:pos="504"/>
              </w:tabs>
              <w:autoSpaceDE w:val="0"/>
              <w:autoSpaceDN w:val="0"/>
              <w:spacing w:after="0" w:line="240" w:lineRule="auto"/>
              <w:ind w:right="124"/>
              <w:rPr>
                <w:rFonts w:ascii="Cambria" w:eastAsia="Cambria" w:hAnsi="Cambria" w:cs="Cambria"/>
                <w:lang w:val="hr-HR"/>
              </w:rPr>
            </w:pPr>
            <w:r w:rsidRPr="00DF4CE5">
              <w:rPr>
                <w:rFonts w:ascii="Cambria" w:eastAsia="Cambria" w:hAnsi="Cambria" w:cs="Cambria"/>
                <w:lang w:val="hr-HR"/>
              </w:rPr>
              <w:t>predati voditeljici stručne prakse ispunjen i ovjeren Prijavni</w:t>
            </w:r>
            <w:r w:rsidRPr="00DF4CE5">
              <w:rPr>
                <w:rFonts w:ascii="Cambria" w:eastAsia="Cambria" w:hAnsi="Cambria" w:cs="Cambria"/>
                <w:spacing w:val="1"/>
                <w:lang w:val="hr-HR"/>
              </w:rPr>
              <w:t xml:space="preserve"> </w:t>
            </w:r>
            <w:r w:rsidRPr="00DF4CE5">
              <w:rPr>
                <w:rFonts w:ascii="Cambria" w:eastAsia="Cambria" w:hAnsi="Cambria" w:cs="Cambria"/>
                <w:lang w:val="hr-HR"/>
              </w:rPr>
              <w:t>list kojim potvrđuje odabir osnovne škole (prije pohađanja</w:t>
            </w:r>
            <w:r w:rsidRPr="00DF4CE5">
              <w:rPr>
                <w:rFonts w:ascii="Cambria" w:eastAsia="Cambria" w:hAnsi="Cambria" w:cs="Cambria"/>
                <w:spacing w:val="1"/>
                <w:lang w:val="hr-HR"/>
              </w:rPr>
              <w:t xml:space="preserve"> </w:t>
            </w:r>
            <w:r w:rsidRPr="00DF4CE5">
              <w:rPr>
                <w:rFonts w:ascii="Cambria" w:eastAsia="Cambria" w:hAnsi="Cambria" w:cs="Cambria"/>
                <w:lang w:val="hr-HR"/>
              </w:rPr>
              <w:t>stručne</w:t>
            </w:r>
            <w:r w:rsidRPr="00DF4CE5">
              <w:rPr>
                <w:rFonts w:ascii="Cambria" w:eastAsia="Cambria" w:hAnsi="Cambria" w:cs="Cambria"/>
                <w:spacing w:val="1"/>
                <w:lang w:val="hr-HR"/>
              </w:rPr>
              <w:t xml:space="preserve"> </w:t>
            </w:r>
            <w:r w:rsidRPr="00DF4CE5">
              <w:rPr>
                <w:rFonts w:ascii="Cambria" w:eastAsia="Cambria" w:hAnsi="Cambria" w:cs="Cambria"/>
                <w:lang w:val="hr-HR"/>
              </w:rPr>
              <w:t>prakse,</w:t>
            </w:r>
            <w:r w:rsidRPr="00DF4CE5">
              <w:rPr>
                <w:rFonts w:ascii="Cambria" w:eastAsia="Cambria" w:hAnsi="Cambria" w:cs="Cambria"/>
                <w:spacing w:val="1"/>
                <w:lang w:val="hr-HR"/>
              </w:rPr>
              <w:t xml:space="preserve"> </w:t>
            </w:r>
            <w:r w:rsidRPr="00DF4CE5">
              <w:rPr>
                <w:rFonts w:ascii="Cambria" w:eastAsia="Cambria" w:hAnsi="Cambria" w:cs="Cambria"/>
                <w:lang w:val="hr-HR"/>
              </w:rPr>
              <w:t>a</w:t>
            </w:r>
            <w:r w:rsidRPr="00DF4CE5">
              <w:rPr>
                <w:rFonts w:ascii="Cambria" w:eastAsia="Cambria" w:hAnsi="Cambria" w:cs="Cambria"/>
                <w:spacing w:val="1"/>
                <w:lang w:val="hr-HR"/>
              </w:rPr>
              <w:t xml:space="preserve"> </w:t>
            </w:r>
            <w:r w:rsidRPr="00DF4CE5">
              <w:rPr>
                <w:rFonts w:ascii="Cambria" w:eastAsia="Cambria" w:hAnsi="Cambria" w:cs="Cambria"/>
                <w:lang w:val="hr-HR"/>
              </w:rPr>
              <w:t>najkasnije</w:t>
            </w:r>
            <w:r w:rsidRPr="00DF4CE5">
              <w:rPr>
                <w:rFonts w:ascii="Cambria" w:eastAsia="Cambria" w:hAnsi="Cambria" w:cs="Cambria"/>
                <w:spacing w:val="1"/>
                <w:lang w:val="hr-HR"/>
              </w:rPr>
              <w:t xml:space="preserve"> </w:t>
            </w:r>
            <w:r w:rsidRPr="00DF4CE5">
              <w:rPr>
                <w:rFonts w:ascii="Cambria" w:eastAsia="Cambria" w:hAnsi="Cambria" w:cs="Cambria"/>
                <w:lang w:val="hr-HR"/>
              </w:rPr>
              <w:t>do</w:t>
            </w:r>
            <w:r w:rsidRPr="00DF4CE5">
              <w:rPr>
                <w:rFonts w:ascii="Cambria" w:eastAsia="Cambria" w:hAnsi="Cambria" w:cs="Cambria"/>
                <w:spacing w:val="1"/>
                <w:lang w:val="hr-HR"/>
              </w:rPr>
              <w:t xml:space="preserve"> </w:t>
            </w:r>
            <w:r w:rsidRPr="00DF4CE5">
              <w:rPr>
                <w:rFonts w:ascii="Cambria" w:eastAsia="Cambria" w:hAnsi="Cambria" w:cs="Cambria"/>
                <w:lang w:val="hr-HR"/>
              </w:rPr>
              <w:t>kraja</w:t>
            </w:r>
            <w:r w:rsidRPr="00DF4CE5">
              <w:rPr>
                <w:rFonts w:ascii="Cambria" w:eastAsia="Cambria" w:hAnsi="Cambria" w:cs="Cambria"/>
                <w:spacing w:val="1"/>
                <w:lang w:val="hr-HR"/>
              </w:rPr>
              <w:t xml:space="preserve"> </w:t>
            </w:r>
            <w:r w:rsidRPr="00DF4CE5">
              <w:rPr>
                <w:rFonts w:ascii="Cambria" w:eastAsia="Cambria" w:hAnsi="Cambria" w:cs="Cambria"/>
                <w:lang w:val="hr-HR"/>
              </w:rPr>
              <w:t>studenog</w:t>
            </w:r>
            <w:r w:rsidRPr="00DF4CE5">
              <w:rPr>
                <w:rFonts w:ascii="Cambria" w:eastAsia="Cambria" w:hAnsi="Cambria" w:cs="Cambria"/>
                <w:spacing w:val="1"/>
                <w:lang w:val="hr-HR"/>
              </w:rPr>
              <w:t xml:space="preserve"> </w:t>
            </w:r>
            <w:r w:rsidRPr="00DF4CE5">
              <w:rPr>
                <w:rFonts w:ascii="Cambria" w:eastAsia="Cambria" w:hAnsi="Cambria" w:cs="Cambria"/>
                <w:lang w:val="hr-HR"/>
              </w:rPr>
              <w:t>tekuće</w:t>
            </w:r>
            <w:r w:rsidRPr="00DF4CE5">
              <w:rPr>
                <w:rFonts w:ascii="Cambria" w:eastAsia="Cambria" w:hAnsi="Cambria" w:cs="Cambria"/>
                <w:spacing w:val="-50"/>
                <w:lang w:val="hr-HR"/>
              </w:rPr>
              <w:t xml:space="preserve"> </w:t>
            </w:r>
            <w:r w:rsidRPr="00DF4CE5">
              <w:rPr>
                <w:rFonts w:ascii="Cambria" w:eastAsia="Cambria" w:hAnsi="Cambria" w:cs="Cambria"/>
                <w:lang w:val="hr-HR"/>
              </w:rPr>
              <w:t>akademske</w:t>
            </w:r>
            <w:r w:rsidRPr="00DF4CE5">
              <w:rPr>
                <w:rFonts w:ascii="Cambria" w:eastAsia="Cambria" w:hAnsi="Cambria" w:cs="Cambria"/>
                <w:spacing w:val="-1"/>
                <w:lang w:val="hr-HR"/>
              </w:rPr>
              <w:t xml:space="preserve"> </w:t>
            </w:r>
            <w:r w:rsidRPr="00DF4CE5">
              <w:rPr>
                <w:rFonts w:ascii="Cambria" w:eastAsia="Cambria" w:hAnsi="Cambria" w:cs="Cambria"/>
                <w:lang w:val="hr-HR"/>
              </w:rPr>
              <w:t>godine)</w:t>
            </w:r>
          </w:p>
          <w:p w14:paraId="32F67D0F" w14:textId="77777777" w:rsidR="00AC6110" w:rsidRPr="00DF4CE5" w:rsidRDefault="00AC6110" w:rsidP="00A034E3">
            <w:pPr>
              <w:widowControl w:val="0"/>
              <w:numPr>
                <w:ilvl w:val="0"/>
                <w:numId w:val="83"/>
              </w:numPr>
              <w:tabs>
                <w:tab w:val="left" w:pos="504"/>
              </w:tabs>
              <w:autoSpaceDE w:val="0"/>
              <w:autoSpaceDN w:val="0"/>
              <w:spacing w:after="0" w:line="240" w:lineRule="auto"/>
              <w:ind w:right="129"/>
              <w:rPr>
                <w:rFonts w:ascii="Cambria" w:eastAsia="Cambria" w:hAnsi="Cambria" w:cs="Cambria"/>
                <w:lang w:val="hr-HR"/>
              </w:rPr>
            </w:pPr>
            <w:r w:rsidRPr="00DF4CE5">
              <w:rPr>
                <w:rFonts w:ascii="Cambria" w:eastAsia="Cambria" w:hAnsi="Cambria" w:cs="Cambria"/>
                <w:lang w:val="hr-HR"/>
              </w:rPr>
              <w:t>pohađati redovnu, dodatnu, dopunsku i izbornu nastavu te</w:t>
            </w:r>
            <w:r w:rsidRPr="00DF4CE5">
              <w:rPr>
                <w:rFonts w:ascii="Cambria" w:eastAsia="Cambria" w:hAnsi="Cambria" w:cs="Cambria"/>
                <w:spacing w:val="1"/>
                <w:lang w:val="hr-HR"/>
              </w:rPr>
              <w:t xml:space="preserve"> </w:t>
            </w:r>
            <w:r w:rsidRPr="00DF4CE5">
              <w:rPr>
                <w:rFonts w:ascii="Cambria" w:eastAsia="Cambria" w:hAnsi="Cambria" w:cs="Cambria"/>
                <w:lang w:val="hr-HR"/>
              </w:rPr>
              <w:t>izvannastavne</w:t>
            </w:r>
            <w:r w:rsidRPr="00DF4CE5">
              <w:rPr>
                <w:rFonts w:ascii="Cambria" w:eastAsia="Cambria" w:hAnsi="Cambria" w:cs="Cambria"/>
                <w:spacing w:val="-1"/>
                <w:lang w:val="hr-HR"/>
              </w:rPr>
              <w:t xml:space="preserve"> </w:t>
            </w:r>
            <w:r w:rsidRPr="00DF4CE5">
              <w:rPr>
                <w:rFonts w:ascii="Cambria" w:eastAsia="Cambria" w:hAnsi="Cambria" w:cs="Cambria"/>
                <w:lang w:val="hr-HR"/>
              </w:rPr>
              <w:t>aktivnosti</w:t>
            </w:r>
          </w:p>
          <w:p w14:paraId="35286B36" w14:textId="77777777" w:rsidR="00AC6110" w:rsidRPr="00DF4CE5" w:rsidRDefault="00AC6110" w:rsidP="00A034E3">
            <w:pPr>
              <w:widowControl w:val="0"/>
              <w:numPr>
                <w:ilvl w:val="0"/>
                <w:numId w:val="83"/>
              </w:numPr>
              <w:tabs>
                <w:tab w:val="left" w:pos="504"/>
              </w:tabs>
              <w:autoSpaceDE w:val="0"/>
              <w:autoSpaceDN w:val="0"/>
              <w:spacing w:after="0" w:line="240" w:lineRule="auto"/>
              <w:rPr>
                <w:rFonts w:ascii="Cambria" w:eastAsia="Cambria" w:hAnsi="Cambria" w:cs="Cambria"/>
                <w:lang w:val="hr-HR"/>
              </w:rPr>
            </w:pPr>
            <w:r w:rsidRPr="00DF4CE5">
              <w:rPr>
                <w:rFonts w:ascii="Cambria" w:eastAsia="Cambria" w:hAnsi="Cambria" w:cs="Cambria"/>
                <w:lang w:val="hr-HR"/>
              </w:rPr>
              <w:t>sudjelovati</w:t>
            </w:r>
            <w:r w:rsidRPr="00DF4CE5">
              <w:rPr>
                <w:rFonts w:ascii="Cambria" w:eastAsia="Cambria" w:hAnsi="Cambria" w:cs="Cambria"/>
                <w:spacing w:val="4"/>
                <w:lang w:val="hr-HR"/>
              </w:rPr>
              <w:t xml:space="preserve"> </w:t>
            </w:r>
            <w:r w:rsidRPr="00DF4CE5">
              <w:rPr>
                <w:rFonts w:ascii="Cambria" w:eastAsia="Cambria" w:hAnsi="Cambria" w:cs="Cambria"/>
                <w:lang w:val="hr-HR"/>
              </w:rPr>
              <w:t>u</w:t>
            </w:r>
            <w:r w:rsidRPr="00DF4CE5">
              <w:rPr>
                <w:rFonts w:ascii="Cambria" w:eastAsia="Cambria" w:hAnsi="Cambria" w:cs="Cambria"/>
                <w:spacing w:val="4"/>
                <w:lang w:val="hr-HR"/>
              </w:rPr>
              <w:t xml:space="preserve"> </w:t>
            </w:r>
            <w:r w:rsidRPr="00DF4CE5">
              <w:rPr>
                <w:rFonts w:ascii="Cambria" w:eastAsia="Cambria" w:hAnsi="Cambria" w:cs="Cambria"/>
                <w:lang w:val="hr-HR"/>
              </w:rPr>
              <w:t>različitim</w:t>
            </w:r>
            <w:r w:rsidRPr="00DF4CE5">
              <w:rPr>
                <w:rFonts w:ascii="Cambria" w:eastAsia="Cambria" w:hAnsi="Cambria" w:cs="Cambria"/>
                <w:spacing w:val="7"/>
                <w:lang w:val="hr-HR"/>
              </w:rPr>
              <w:t xml:space="preserve"> </w:t>
            </w:r>
            <w:r w:rsidRPr="00DF4CE5">
              <w:rPr>
                <w:rFonts w:ascii="Cambria" w:eastAsia="Cambria" w:hAnsi="Cambria" w:cs="Cambria"/>
                <w:lang w:val="hr-HR"/>
              </w:rPr>
              <w:t>oblicima</w:t>
            </w:r>
            <w:r w:rsidRPr="00DF4CE5">
              <w:rPr>
                <w:rFonts w:ascii="Cambria" w:eastAsia="Cambria" w:hAnsi="Cambria" w:cs="Cambria"/>
                <w:spacing w:val="3"/>
                <w:lang w:val="hr-HR"/>
              </w:rPr>
              <w:t xml:space="preserve"> </w:t>
            </w:r>
            <w:r w:rsidRPr="00DF4CE5">
              <w:rPr>
                <w:rFonts w:ascii="Cambria" w:eastAsia="Cambria" w:hAnsi="Cambria" w:cs="Cambria"/>
                <w:lang w:val="hr-HR"/>
              </w:rPr>
              <w:t>odgojno-obrazovnog</w:t>
            </w:r>
            <w:r w:rsidRPr="00DF4CE5">
              <w:rPr>
                <w:rFonts w:ascii="Cambria" w:eastAsia="Cambria" w:hAnsi="Cambria" w:cs="Cambria"/>
                <w:spacing w:val="4"/>
                <w:lang w:val="hr-HR"/>
              </w:rPr>
              <w:t xml:space="preserve"> </w:t>
            </w:r>
            <w:r w:rsidRPr="00DF4CE5">
              <w:rPr>
                <w:rFonts w:ascii="Cambria" w:eastAsia="Cambria" w:hAnsi="Cambria" w:cs="Cambria"/>
                <w:lang w:val="hr-HR"/>
              </w:rPr>
              <w:t>rada</w:t>
            </w:r>
            <w:r w:rsidRPr="00DF4CE5">
              <w:rPr>
                <w:rFonts w:ascii="Cambria" w:eastAsia="Cambria" w:hAnsi="Cambria" w:cs="Cambria"/>
                <w:spacing w:val="7"/>
                <w:lang w:val="hr-HR"/>
              </w:rPr>
              <w:t xml:space="preserve"> </w:t>
            </w:r>
            <w:r w:rsidRPr="00DF4CE5">
              <w:rPr>
                <w:rFonts w:ascii="Cambria" w:eastAsia="Cambria" w:hAnsi="Cambria" w:cs="Cambria"/>
                <w:lang w:val="hr-HR"/>
              </w:rPr>
              <w:t>u</w:t>
            </w:r>
          </w:p>
          <w:p w14:paraId="6AA5CA62" w14:textId="77777777" w:rsidR="00AC6110" w:rsidRPr="00DF4CE5" w:rsidRDefault="00AC6110" w:rsidP="00AC6110">
            <w:pPr>
              <w:widowControl w:val="0"/>
              <w:autoSpaceDE w:val="0"/>
              <w:autoSpaceDN w:val="0"/>
              <w:spacing w:after="0" w:line="240" w:lineRule="auto"/>
              <w:ind w:left="503"/>
              <w:rPr>
                <w:rFonts w:ascii="Cambria" w:eastAsia="Cambria" w:hAnsi="Cambria" w:cs="Cambria"/>
                <w:lang w:val="hr-HR"/>
              </w:rPr>
            </w:pPr>
            <w:r w:rsidRPr="00DF4CE5">
              <w:rPr>
                <w:rFonts w:ascii="Cambria" w:eastAsia="Cambria" w:hAnsi="Cambria" w:cs="Cambria"/>
                <w:lang w:val="hr-HR"/>
              </w:rPr>
              <w:t>školi</w:t>
            </w:r>
          </w:p>
          <w:p w14:paraId="755214A6" w14:textId="77777777" w:rsidR="00AC6110" w:rsidRPr="00DF4CE5" w:rsidRDefault="00AC6110" w:rsidP="00A034E3">
            <w:pPr>
              <w:widowControl w:val="0"/>
              <w:numPr>
                <w:ilvl w:val="0"/>
                <w:numId w:val="83"/>
              </w:numPr>
              <w:tabs>
                <w:tab w:val="left" w:pos="504"/>
              </w:tabs>
              <w:autoSpaceDE w:val="0"/>
              <w:autoSpaceDN w:val="0"/>
              <w:spacing w:after="0" w:line="240" w:lineRule="auto"/>
              <w:ind w:right="125"/>
              <w:rPr>
                <w:rFonts w:ascii="Cambria" w:eastAsia="Cambria" w:hAnsi="Cambria" w:cs="Cambria"/>
                <w:lang w:val="hr-HR"/>
              </w:rPr>
            </w:pPr>
            <w:r w:rsidRPr="00DF4CE5">
              <w:rPr>
                <w:rFonts w:ascii="Cambria" w:eastAsia="Cambria" w:hAnsi="Cambria" w:cs="Cambria"/>
                <w:lang w:val="hr-HR"/>
              </w:rPr>
              <w:t>voditi</w:t>
            </w:r>
            <w:r w:rsidRPr="00DF4CE5">
              <w:rPr>
                <w:rFonts w:ascii="Cambria" w:eastAsia="Cambria" w:hAnsi="Cambria" w:cs="Cambria"/>
                <w:spacing w:val="1"/>
                <w:lang w:val="hr-HR"/>
              </w:rPr>
              <w:t xml:space="preserve"> </w:t>
            </w:r>
            <w:r w:rsidRPr="00DF4CE5">
              <w:rPr>
                <w:rFonts w:ascii="Cambria" w:eastAsia="Cambria" w:hAnsi="Cambria" w:cs="Cambria"/>
                <w:lang w:val="hr-HR"/>
              </w:rPr>
              <w:t>Dnevnik</w:t>
            </w:r>
            <w:r w:rsidRPr="00DF4CE5">
              <w:rPr>
                <w:rFonts w:ascii="Cambria" w:eastAsia="Cambria" w:hAnsi="Cambria" w:cs="Cambria"/>
                <w:spacing w:val="1"/>
                <w:lang w:val="hr-HR"/>
              </w:rPr>
              <w:t xml:space="preserve"> </w:t>
            </w:r>
            <w:r w:rsidRPr="00DF4CE5">
              <w:rPr>
                <w:rFonts w:ascii="Cambria" w:eastAsia="Cambria" w:hAnsi="Cambria" w:cs="Cambria"/>
                <w:lang w:val="hr-HR"/>
              </w:rPr>
              <w:t>stručne</w:t>
            </w:r>
            <w:r w:rsidRPr="00DF4CE5">
              <w:rPr>
                <w:rFonts w:ascii="Cambria" w:eastAsia="Cambria" w:hAnsi="Cambria" w:cs="Cambria"/>
                <w:spacing w:val="1"/>
                <w:lang w:val="hr-HR"/>
              </w:rPr>
              <w:t xml:space="preserve"> </w:t>
            </w:r>
            <w:r w:rsidRPr="00DF4CE5">
              <w:rPr>
                <w:rFonts w:ascii="Cambria" w:eastAsia="Cambria" w:hAnsi="Cambria" w:cs="Cambria"/>
                <w:lang w:val="hr-HR"/>
              </w:rPr>
              <w:t>prakse</w:t>
            </w:r>
            <w:r w:rsidRPr="00DF4CE5">
              <w:rPr>
                <w:rFonts w:ascii="Cambria" w:eastAsia="Cambria" w:hAnsi="Cambria" w:cs="Cambria"/>
                <w:spacing w:val="1"/>
                <w:lang w:val="hr-HR"/>
              </w:rPr>
              <w:t xml:space="preserve"> </w:t>
            </w:r>
            <w:r w:rsidRPr="00DF4CE5">
              <w:rPr>
                <w:rFonts w:ascii="Cambria" w:eastAsia="Cambria" w:hAnsi="Cambria" w:cs="Cambria"/>
                <w:lang w:val="hr-HR"/>
              </w:rPr>
              <w:t>(u</w:t>
            </w:r>
            <w:r w:rsidRPr="00DF4CE5">
              <w:rPr>
                <w:rFonts w:ascii="Cambria" w:eastAsia="Cambria" w:hAnsi="Cambria" w:cs="Cambria"/>
                <w:spacing w:val="1"/>
                <w:lang w:val="hr-HR"/>
              </w:rPr>
              <w:t xml:space="preserve"> </w:t>
            </w:r>
            <w:r w:rsidRPr="00DF4CE5">
              <w:rPr>
                <w:rFonts w:ascii="Cambria" w:eastAsia="Cambria" w:hAnsi="Cambria" w:cs="Cambria"/>
                <w:lang w:val="hr-HR"/>
              </w:rPr>
              <w:t>skladu</w:t>
            </w:r>
            <w:r w:rsidRPr="00DF4CE5">
              <w:rPr>
                <w:rFonts w:ascii="Cambria" w:eastAsia="Cambria" w:hAnsi="Cambria" w:cs="Cambria"/>
                <w:spacing w:val="1"/>
                <w:lang w:val="hr-HR"/>
              </w:rPr>
              <w:t xml:space="preserve"> </w:t>
            </w:r>
            <w:r w:rsidRPr="00DF4CE5">
              <w:rPr>
                <w:rFonts w:ascii="Cambria" w:eastAsia="Cambria" w:hAnsi="Cambria" w:cs="Cambria"/>
                <w:lang w:val="hr-HR"/>
              </w:rPr>
              <w:t>s</w:t>
            </w:r>
            <w:r w:rsidRPr="00DF4CE5">
              <w:rPr>
                <w:rFonts w:ascii="Cambria" w:eastAsia="Cambria" w:hAnsi="Cambria" w:cs="Cambria"/>
                <w:spacing w:val="1"/>
                <w:lang w:val="hr-HR"/>
              </w:rPr>
              <w:t xml:space="preserve"> </w:t>
            </w:r>
            <w:r w:rsidRPr="00DF4CE5">
              <w:rPr>
                <w:rFonts w:ascii="Cambria" w:eastAsia="Cambria" w:hAnsi="Cambria" w:cs="Cambria"/>
                <w:lang w:val="hr-HR"/>
              </w:rPr>
              <w:t>Uputama</w:t>
            </w:r>
            <w:r w:rsidRPr="00DF4CE5">
              <w:rPr>
                <w:rFonts w:ascii="Cambria" w:eastAsia="Cambria" w:hAnsi="Cambria" w:cs="Cambria"/>
                <w:spacing w:val="1"/>
                <w:lang w:val="hr-HR"/>
              </w:rPr>
              <w:t xml:space="preserve"> </w:t>
            </w:r>
            <w:r w:rsidRPr="00DF4CE5">
              <w:rPr>
                <w:rFonts w:ascii="Cambria" w:eastAsia="Cambria" w:hAnsi="Cambria" w:cs="Cambria"/>
                <w:lang w:val="hr-HR"/>
              </w:rPr>
              <w:t>za</w:t>
            </w:r>
            <w:r w:rsidRPr="00DF4CE5">
              <w:rPr>
                <w:rFonts w:ascii="Cambria" w:eastAsia="Cambria" w:hAnsi="Cambria" w:cs="Cambria"/>
                <w:spacing w:val="1"/>
                <w:lang w:val="hr-HR"/>
              </w:rPr>
              <w:t xml:space="preserve"> </w:t>
            </w:r>
            <w:r w:rsidRPr="00DF4CE5">
              <w:rPr>
                <w:rFonts w:ascii="Cambria" w:eastAsia="Cambria" w:hAnsi="Cambria" w:cs="Cambria"/>
                <w:lang w:val="hr-HR"/>
              </w:rPr>
              <w:t>vođenje</w:t>
            </w:r>
            <w:r w:rsidRPr="00DF4CE5">
              <w:rPr>
                <w:rFonts w:ascii="Cambria" w:eastAsia="Cambria" w:hAnsi="Cambria" w:cs="Cambria"/>
                <w:spacing w:val="-1"/>
                <w:lang w:val="hr-HR"/>
              </w:rPr>
              <w:t xml:space="preserve"> </w:t>
            </w:r>
            <w:r w:rsidRPr="00DF4CE5">
              <w:rPr>
                <w:rFonts w:ascii="Cambria" w:eastAsia="Cambria" w:hAnsi="Cambria" w:cs="Cambria"/>
                <w:lang w:val="hr-HR"/>
              </w:rPr>
              <w:t>Dnevnika)</w:t>
            </w:r>
          </w:p>
          <w:p w14:paraId="68EF1897" w14:textId="77777777" w:rsidR="00AC6110" w:rsidRPr="00DF4CE5" w:rsidRDefault="00AC6110" w:rsidP="00A034E3">
            <w:pPr>
              <w:widowControl w:val="0"/>
              <w:numPr>
                <w:ilvl w:val="0"/>
                <w:numId w:val="83"/>
              </w:numPr>
              <w:autoSpaceDE w:val="0"/>
              <w:autoSpaceDN w:val="0"/>
              <w:spacing w:after="0" w:line="240" w:lineRule="auto"/>
              <w:rPr>
                <w:rFonts w:ascii="Cambria" w:eastAsia="Cambria" w:hAnsi="Cambria" w:cs="Cambria"/>
                <w:lang w:val="hr-HR"/>
              </w:rPr>
            </w:pPr>
            <w:r w:rsidRPr="00DF4CE5">
              <w:rPr>
                <w:rFonts w:ascii="Cambria" w:eastAsia="Cambria" w:hAnsi="Cambria" w:cs="Cambria"/>
                <w:lang w:val="hr-HR"/>
              </w:rPr>
              <w:t>predati Dnevnik stručne prakse, Potvrdnicu o obavljenoj</w:t>
            </w:r>
            <w:r w:rsidRPr="00DF4CE5">
              <w:rPr>
                <w:rFonts w:ascii="Cambria" w:eastAsia="Cambria" w:hAnsi="Cambria" w:cs="Cambria"/>
                <w:spacing w:val="1"/>
                <w:lang w:val="hr-HR"/>
              </w:rPr>
              <w:t xml:space="preserve"> </w:t>
            </w:r>
            <w:r w:rsidRPr="00DF4CE5">
              <w:rPr>
                <w:rFonts w:ascii="Cambria" w:eastAsia="Cambria" w:hAnsi="Cambria" w:cs="Cambria"/>
                <w:lang w:val="hr-HR"/>
              </w:rPr>
              <w:t xml:space="preserve">stručnoj praksi i </w:t>
            </w:r>
            <w:r w:rsidRPr="00DF4CE5">
              <w:rPr>
                <w:rFonts w:ascii="Cambria" w:eastAsia="Cambria" w:hAnsi="Cambria" w:cs="Arial"/>
                <w:color w:val="000000"/>
                <w:lang w:val="hr-HR"/>
              </w:rPr>
              <w:t xml:space="preserve">Mišljenje mentora o radu studenta/studentice na stručno pedagoškoj praksi </w:t>
            </w:r>
            <w:r w:rsidRPr="00DF4CE5">
              <w:rPr>
                <w:rFonts w:ascii="Cambria" w:eastAsia="Cambria" w:hAnsi="Cambria" w:cs="Cambria"/>
                <w:lang w:val="hr-HR"/>
              </w:rPr>
              <w:t>na potpis i ovjeru ravnatelju/ravnateljici škole i</w:t>
            </w:r>
            <w:r w:rsidRPr="00DF4CE5">
              <w:rPr>
                <w:rFonts w:ascii="Cambria" w:eastAsia="Cambria" w:hAnsi="Cambria" w:cs="Cambria"/>
                <w:spacing w:val="-46"/>
                <w:lang w:val="hr-HR"/>
              </w:rPr>
              <w:t xml:space="preserve">     </w:t>
            </w:r>
            <w:r w:rsidRPr="00DF4CE5">
              <w:rPr>
                <w:rFonts w:ascii="Cambria" w:eastAsia="Cambria" w:hAnsi="Cambria" w:cs="Cambria"/>
                <w:lang w:val="hr-HR"/>
              </w:rPr>
              <w:t>mentoru/mentorici, koji/koja daje stručno mišljenje o</w:t>
            </w:r>
            <w:r w:rsidRPr="00DF4CE5">
              <w:rPr>
                <w:rFonts w:ascii="Cambria" w:eastAsia="Cambria" w:hAnsi="Cambria" w:cs="Cambria"/>
                <w:spacing w:val="1"/>
                <w:lang w:val="hr-HR"/>
              </w:rPr>
              <w:t xml:space="preserve"> </w:t>
            </w:r>
            <w:r w:rsidRPr="00DF4CE5">
              <w:rPr>
                <w:rFonts w:ascii="Cambria" w:eastAsia="Cambria" w:hAnsi="Cambria" w:cs="Cambria"/>
                <w:lang w:val="hr-HR"/>
              </w:rPr>
              <w:t>provedenim aktivnostima</w:t>
            </w:r>
          </w:p>
          <w:p w14:paraId="378F5576" w14:textId="77777777" w:rsidR="00AC6110" w:rsidRPr="00DF4CE5" w:rsidRDefault="00AC6110" w:rsidP="00A034E3">
            <w:pPr>
              <w:widowControl w:val="0"/>
              <w:numPr>
                <w:ilvl w:val="0"/>
                <w:numId w:val="83"/>
              </w:numPr>
              <w:tabs>
                <w:tab w:val="left" w:pos="504"/>
              </w:tabs>
              <w:autoSpaceDE w:val="0"/>
              <w:autoSpaceDN w:val="0"/>
              <w:spacing w:after="0" w:line="240" w:lineRule="auto"/>
              <w:ind w:right="126"/>
              <w:rPr>
                <w:rFonts w:ascii="Cambria" w:eastAsia="Cambria" w:hAnsi="Cambria" w:cs="Cambria"/>
                <w:lang w:val="hr-HR"/>
              </w:rPr>
            </w:pPr>
            <w:r w:rsidRPr="00DF4CE5">
              <w:rPr>
                <w:rFonts w:ascii="Cambria" w:eastAsia="Cambria" w:hAnsi="Cambria" w:cs="Cambria"/>
                <w:spacing w:val="-1"/>
                <w:lang w:val="hr-HR"/>
              </w:rPr>
              <w:t>predati</w:t>
            </w:r>
            <w:r w:rsidRPr="00DF4CE5">
              <w:rPr>
                <w:rFonts w:ascii="Cambria" w:eastAsia="Cambria" w:hAnsi="Cambria" w:cs="Cambria"/>
                <w:spacing w:val="-11"/>
                <w:lang w:val="hr-HR"/>
              </w:rPr>
              <w:t xml:space="preserve"> </w:t>
            </w:r>
            <w:r w:rsidRPr="00DF4CE5">
              <w:rPr>
                <w:rFonts w:ascii="Cambria" w:eastAsia="Cambria" w:hAnsi="Cambria" w:cs="Cambria"/>
                <w:spacing w:val="-1"/>
                <w:lang w:val="hr-HR"/>
              </w:rPr>
              <w:t>ovjerene</w:t>
            </w:r>
            <w:r w:rsidRPr="00DF4CE5">
              <w:rPr>
                <w:rFonts w:ascii="Cambria" w:eastAsia="Cambria" w:hAnsi="Cambria" w:cs="Cambria"/>
                <w:spacing w:val="-11"/>
                <w:lang w:val="hr-HR"/>
              </w:rPr>
              <w:t xml:space="preserve"> </w:t>
            </w:r>
            <w:r w:rsidRPr="00DF4CE5">
              <w:rPr>
                <w:rFonts w:ascii="Cambria" w:eastAsia="Cambria" w:hAnsi="Cambria" w:cs="Cambria"/>
                <w:spacing w:val="-1"/>
                <w:lang w:val="hr-HR"/>
              </w:rPr>
              <w:t>i</w:t>
            </w:r>
            <w:r w:rsidRPr="00DF4CE5">
              <w:rPr>
                <w:rFonts w:ascii="Cambria" w:eastAsia="Cambria" w:hAnsi="Cambria" w:cs="Cambria"/>
                <w:spacing w:val="-13"/>
                <w:lang w:val="hr-HR"/>
              </w:rPr>
              <w:t xml:space="preserve"> </w:t>
            </w:r>
            <w:r w:rsidRPr="00DF4CE5">
              <w:rPr>
                <w:rFonts w:ascii="Cambria" w:eastAsia="Cambria" w:hAnsi="Cambria" w:cs="Cambria"/>
                <w:spacing w:val="-1"/>
                <w:lang w:val="hr-HR"/>
              </w:rPr>
              <w:t>potpisane</w:t>
            </w:r>
            <w:r w:rsidRPr="00DF4CE5">
              <w:rPr>
                <w:rFonts w:ascii="Cambria" w:eastAsia="Cambria" w:hAnsi="Cambria" w:cs="Cambria"/>
                <w:spacing w:val="-11"/>
                <w:lang w:val="hr-HR"/>
              </w:rPr>
              <w:t xml:space="preserve"> </w:t>
            </w:r>
            <w:r w:rsidRPr="00DF4CE5">
              <w:rPr>
                <w:rFonts w:ascii="Cambria" w:eastAsia="Cambria" w:hAnsi="Cambria" w:cs="Cambria"/>
                <w:spacing w:val="-1"/>
                <w:lang w:val="hr-HR"/>
              </w:rPr>
              <w:t>dokumente</w:t>
            </w:r>
            <w:r w:rsidRPr="00DF4CE5">
              <w:rPr>
                <w:rFonts w:ascii="Cambria" w:eastAsia="Cambria" w:hAnsi="Cambria" w:cs="Cambria"/>
                <w:spacing w:val="-11"/>
                <w:lang w:val="hr-HR"/>
              </w:rPr>
              <w:t xml:space="preserve"> </w:t>
            </w:r>
            <w:r w:rsidRPr="00DF4CE5">
              <w:rPr>
                <w:rFonts w:ascii="Cambria" w:eastAsia="Cambria" w:hAnsi="Cambria" w:cs="Cambria"/>
                <w:lang w:val="hr-HR"/>
              </w:rPr>
              <w:t>iz</w:t>
            </w:r>
            <w:r w:rsidRPr="00DF4CE5">
              <w:rPr>
                <w:rFonts w:ascii="Cambria" w:eastAsia="Cambria" w:hAnsi="Cambria" w:cs="Cambria"/>
                <w:spacing w:val="-11"/>
                <w:lang w:val="hr-HR"/>
              </w:rPr>
              <w:t xml:space="preserve"> </w:t>
            </w:r>
            <w:r w:rsidRPr="00DF4CE5">
              <w:rPr>
                <w:rFonts w:ascii="Cambria" w:eastAsia="Cambria" w:hAnsi="Cambria" w:cs="Cambria"/>
                <w:lang w:val="hr-HR"/>
              </w:rPr>
              <w:t>prethodnog</w:t>
            </w:r>
            <w:r w:rsidRPr="00DF4CE5">
              <w:rPr>
                <w:rFonts w:ascii="Cambria" w:eastAsia="Cambria" w:hAnsi="Cambria" w:cs="Cambria"/>
                <w:spacing w:val="-12"/>
                <w:lang w:val="hr-HR"/>
              </w:rPr>
              <w:t xml:space="preserve"> </w:t>
            </w:r>
            <w:r w:rsidRPr="00DF4CE5">
              <w:rPr>
                <w:rFonts w:ascii="Cambria" w:eastAsia="Cambria" w:hAnsi="Cambria" w:cs="Cambria"/>
                <w:lang w:val="hr-HR"/>
              </w:rPr>
              <w:t>stavka</w:t>
            </w:r>
            <w:r w:rsidRPr="00DF4CE5">
              <w:rPr>
                <w:rFonts w:ascii="Cambria" w:eastAsia="Cambria" w:hAnsi="Cambria" w:cs="Cambria"/>
                <w:spacing w:val="-51"/>
                <w:lang w:val="hr-HR"/>
              </w:rPr>
              <w:t xml:space="preserve"> </w:t>
            </w:r>
            <w:r w:rsidRPr="00DF4CE5">
              <w:rPr>
                <w:rFonts w:ascii="Cambria" w:eastAsia="Cambria" w:hAnsi="Cambria" w:cs="Cambria"/>
                <w:lang w:val="hr-HR"/>
              </w:rPr>
              <w:t>voditeljici stručne prakse na Fakultetu, najkasnije 15 dana</w:t>
            </w:r>
            <w:r w:rsidRPr="00DF4CE5">
              <w:rPr>
                <w:rFonts w:ascii="Cambria" w:eastAsia="Cambria" w:hAnsi="Cambria" w:cs="Cambria"/>
                <w:spacing w:val="1"/>
                <w:lang w:val="hr-HR"/>
              </w:rPr>
              <w:t xml:space="preserve"> </w:t>
            </w:r>
            <w:r w:rsidRPr="00DF4CE5">
              <w:rPr>
                <w:rFonts w:ascii="Cambria" w:eastAsia="Cambria" w:hAnsi="Cambria" w:cs="Cambria"/>
                <w:lang w:val="hr-HR"/>
              </w:rPr>
              <w:t>prije</w:t>
            </w:r>
            <w:r w:rsidRPr="00DF4CE5">
              <w:rPr>
                <w:rFonts w:ascii="Cambria" w:eastAsia="Cambria" w:hAnsi="Cambria" w:cs="Cambria"/>
                <w:spacing w:val="-1"/>
                <w:lang w:val="hr-HR"/>
              </w:rPr>
              <w:t xml:space="preserve"> </w:t>
            </w:r>
            <w:r w:rsidRPr="00DF4CE5">
              <w:rPr>
                <w:rFonts w:ascii="Cambria" w:eastAsia="Cambria" w:hAnsi="Cambria" w:cs="Cambria"/>
                <w:lang w:val="hr-HR"/>
              </w:rPr>
              <w:t>ispitnog</w:t>
            </w:r>
            <w:r w:rsidRPr="00DF4CE5">
              <w:rPr>
                <w:rFonts w:ascii="Cambria" w:eastAsia="Cambria" w:hAnsi="Cambria" w:cs="Cambria"/>
                <w:spacing w:val="-1"/>
                <w:lang w:val="hr-HR"/>
              </w:rPr>
              <w:t xml:space="preserve"> </w:t>
            </w:r>
            <w:r w:rsidRPr="00DF4CE5">
              <w:rPr>
                <w:rFonts w:ascii="Cambria" w:eastAsia="Cambria" w:hAnsi="Cambria" w:cs="Cambria"/>
                <w:lang w:val="hr-HR"/>
              </w:rPr>
              <w:t>roka.</w:t>
            </w:r>
          </w:p>
        </w:tc>
      </w:tr>
      <w:tr w:rsidR="00AC6110" w:rsidRPr="00D0399C" w14:paraId="7C68AB3B" w14:textId="77777777" w:rsidTr="00F942C2">
        <w:trPr>
          <w:trHeight w:val="557"/>
        </w:trPr>
        <w:tc>
          <w:tcPr>
            <w:tcW w:w="2470" w:type="dxa"/>
            <w:shd w:val="clear" w:color="auto" w:fill="F3F3F3"/>
          </w:tcPr>
          <w:p w14:paraId="5A1EB1E6" w14:textId="77777777" w:rsidR="00AC6110" w:rsidRPr="00DF4CE5" w:rsidRDefault="00AC6110" w:rsidP="00AC6110">
            <w:pPr>
              <w:widowControl w:val="0"/>
              <w:autoSpaceDE w:val="0"/>
              <w:autoSpaceDN w:val="0"/>
              <w:spacing w:after="0" w:line="240" w:lineRule="auto"/>
              <w:ind w:left="143"/>
              <w:rPr>
                <w:rFonts w:ascii="Cambria" w:eastAsia="Cambria" w:hAnsi="Cambria" w:cs="Cambria"/>
                <w:lang w:val="hr-HR"/>
              </w:rPr>
            </w:pPr>
            <w:r w:rsidRPr="00DF4CE5">
              <w:rPr>
                <w:rFonts w:ascii="Cambria" w:eastAsia="Cambria" w:hAnsi="Cambria" w:cs="Cambria"/>
                <w:lang w:val="hr-HR"/>
              </w:rPr>
              <w:t>Rokovi</w:t>
            </w:r>
            <w:r w:rsidRPr="00DF4CE5">
              <w:rPr>
                <w:rFonts w:ascii="Cambria" w:eastAsia="Cambria" w:hAnsi="Cambria" w:cs="Cambria"/>
                <w:spacing w:val="-3"/>
                <w:lang w:val="hr-HR"/>
              </w:rPr>
              <w:t xml:space="preserve"> </w:t>
            </w:r>
            <w:r w:rsidRPr="00DF4CE5">
              <w:rPr>
                <w:rFonts w:ascii="Cambria" w:eastAsia="Cambria" w:hAnsi="Cambria" w:cs="Cambria"/>
                <w:lang w:val="hr-HR"/>
              </w:rPr>
              <w:t>ispita</w:t>
            </w:r>
          </w:p>
        </w:tc>
        <w:tc>
          <w:tcPr>
            <w:tcW w:w="6872" w:type="dxa"/>
            <w:gridSpan w:val="6"/>
          </w:tcPr>
          <w:p w14:paraId="669BA729" w14:textId="77777777" w:rsidR="00AC6110" w:rsidRPr="00DF4CE5" w:rsidRDefault="00AC6110" w:rsidP="00AC6110">
            <w:pPr>
              <w:widowControl w:val="0"/>
              <w:autoSpaceDE w:val="0"/>
              <w:autoSpaceDN w:val="0"/>
              <w:spacing w:after="0" w:line="240" w:lineRule="auto"/>
              <w:ind w:left="143"/>
              <w:rPr>
                <w:rFonts w:ascii="Cambria" w:eastAsia="Cambria" w:hAnsi="Cambria" w:cs="Cambria"/>
                <w:lang w:val="hr-HR"/>
              </w:rPr>
            </w:pPr>
            <w:r w:rsidRPr="00DF4CE5">
              <w:rPr>
                <w:rFonts w:ascii="Cambria" w:eastAsia="Cambria" w:hAnsi="Cambria" w:cs="Cambria"/>
                <w:lang w:val="hr-HR"/>
              </w:rPr>
              <w:t>Rokovi</w:t>
            </w:r>
            <w:r w:rsidRPr="00DF4CE5">
              <w:rPr>
                <w:rFonts w:ascii="Cambria" w:eastAsia="Cambria" w:hAnsi="Cambria" w:cs="Cambria"/>
                <w:spacing w:val="2"/>
                <w:lang w:val="hr-HR"/>
              </w:rPr>
              <w:t xml:space="preserve"> </w:t>
            </w:r>
            <w:r w:rsidRPr="00DF4CE5">
              <w:rPr>
                <w:rFonts w:ascii="Cambria" w:eastAsia="Cambria" w:hAnsi="Cambria" w:cs="Cambria"/>
                <w:lang w:val="hr-HR"/>
              </w:rPr>
              <w:t>ispita</w:t>
            </w:r>
            <w:r w:rsidRPr="00DF4CE5">
              <w:rPr>
                <w:rFonts w:ascii="Cambria" w:eastAsia="Cambria" w:hAnsi="Cambria" w:cs="Cambria"/>
                <w:spacing w:val="1"/>
                <w:lang w:val="hr-HR"/>
              </w:rPr>
              <w:t xml:space="preserve"> </w:t>
            </w:r>
            <w:r w:rsidRPr="00DF4CE5">
              <w:rPr>
                <w:rFonts w:ascii="Cambria" w:eastAsia="Cambria" w:hAnsi="Cambria" w:cs="Cambria"/>
                <w:lang w:val="hr-HR"/>
              </w:rPr>
              <w:t>se</w:t>
            </w:r>
            <w:r w:rsidRPr="00DF4CE5">
              <w:rPr>
                <w:rFonts w:ascii="Cambria" w:eastAsia="Cambria" w:hAnsi="Cambria" w:cs="Cambria"/>
                <w:spacing w:val="2"/>
                <w:lang w:val="hr-HR"/>
              </w:rPr>
              <w:t xml:space="preserve"> </w:t>
            </w:r>
            <w:r w:rsidRPr="00DF4CE5">
              <w:rPr>
                <w:rFonts w:ascii="Cambria" w:eastAsia="Cambria" w:hAnsi="Cambria" w:cs="Cambria"/>
                <w:lang w:val="hr-HR"/>
              </w:rPr>
              <w:t>objavljuju</w:t>
            </w:r>
            <w:r w:rsidRPr="00DF4CE5">
              <w:rPr>
                <w:rFonts w:ascii="Cambria" w:eastAsia="Cambria" w:hAnsi="Cambria" w:cs="Cambria"/>
                <w:spacing w:val="1"/>
                <w:lang w:val="hr-HR"/>
              </w:rPr>
              <w:t xml:space="preserve"> </w:t>
            </w:r>
            <w:r w:rsidRPr="00DF4CE5">
              <w:rPr>
                <w:rFonts w:ascii="Cambria" w:eastAsia="Cambria" w:hAnsi="Cambria" w:cs="Cambria"/>
                <w:lang w:val="hr-HR"/>
              </w:rPr>
              <w:t>na</w:t>
            </w:r>
            <w:r w:rsidRPr="00DF4CE5">
              <w:rPr>
                <w:rFonts w:ascii="Cambria" w:eastAsia="Cambria" w:hAnsi="Cambria" w:cs="Cambria"/>
                <w:spacing w:val="2"/>
                <w:lang w:val="hr-HR"/>
              </w:rPr>
              <w:t xml:space="preserve"> </w:t>
            </w:r>
            <w:r w:rsidRPr="00DF4CE5">
              <w:rPr>
                <w:rFonts w:ascii="Cambria" w:eastAsia="Cambria" w:hAnsi="Cambria" w:cs="Cambria"/>
                <w:lang w:val="hr-HR"/>
              </w:rPr>
              <w:t>početku</w:t>
            </w:r>
            <w:r w:rsidRPr="00DF4CE5">
              <w:rPr>
                <w:rFonts w:ascii="Cambria" w:eastAsia="Cambria" w:hAnsi="Cambria" w:cs="Cambria"/>
                <w:spacing w:val="52"/>
                <w:lang w:val="hr-HR"/>
              </w:rPr>
              <w:t xml:space="preserve"> </w:t>
            </w:r>
            <w:r w:rsidRPr="00DF4CE5">
              <w:rPr>
                <w:rFonts w:ascii="Cambria" w:eastAsia="Cambria" w:hAnsi="Cambria" w:cs="Cambria"/>
                <w:lang w:val="hr-HR"/>
              </w:rPr>
              <w:t>akademske</w:t>
            </w:r>
            <w:r w:rsidRPr="00DF4CE5">
              <w:rPr>
                <w:rFonts w:ascii="Cambria" w:eastAsia="Cambria" w:hAnsi="Cambria" w:cs="Cambria"/>
                <w:spacing w:val="2"/>
                <w:lang w:val="hr-HR"/>
              </w:rPr>
              <w:t xml:space="preserve"> </w:t>
            </w:r>
            <w:r w:rsidRPr="00DF4CE5">
              <w:rPr>
                <w:rFonts w:ascii="Cambria" w:eastAsia="Cambria" w:hAnsi="Cambria" w:cs="Cambria"/>
                <w:lang w:val="hr-HR"/>
              </w:rPr>
              <w:t>godine</w:t>
            </w:r>
            <w:r w:rsidRPr="00DF4CE5">
              <w:rPr>
                <w:rFonts w:ascii="Cambria" w:eastAsia="Cambria" w:hAnsi="Cambria" w:cs="Cambria"/>
                <w:spacing w:val="2"/>
                <w:lang w:val="hr-HR"/>
              </w:rPr>
              <w:t xml:space="preserve"> </w:t>
            </w:r>
            <w:r w:rsidRPr="00DF4CE5">
              <w:rPr>
                <w:rFonts w:ascii="Cambria" w:eastAsia="Cambria" w:hAnsi="Cambria" w:cs="Cambria"/>
                <w:lang w:val="hr-HR"/>
              </w:rPr>
              <w:t>na</w:t>
            </w:r>
            <w:r w:rsidRPr="00DF4CE5">
              <w:rPr>
                <w:rFonts w:ascii="Cambria" w:eastAsia="Cambria" w:hAnsi="Cambria" w:cs="Cambria"/>
                <w:spacing w:val="-50"/>
                <w:lang w:val="hr-HR"/>
              </w:rPr>
              <w:t xml:space="preserve"> </w:t>
            </w:r>
            <w:r w:rsidRPr="00DF4CE5">
              <w:rPr>
                <w:rFonts w:ascii="Cambria" w:eastAsia="Cambria" w:hAnsi="Cambria" w:cs="Cambria"/>
                <w:lang w:val="hr-HR"/>
              </w:rPr>
              <w:t>mrežnim</w:t>
            </w:r>
            <w:r w:rsidRPr="00DF4CE5">
              <w:rPr>
                <w:rFonts w:ascii="Cambria" w:eastAsia="Cambria" w:hAnsi="Cambria" w:cs="Cambria"/>
                <w:spacing w:val="-2"/>
                <w:lang w:val="hr-HR"/>
              </w:rPr>
              <w:t xml:space="preserve"> </w:t>
            </w:r>
            <w:r w:rsidRPr="00DF4CE5">
              <w:rPr>
                <w:rFonts w:ascii="Cambria" w:eastAsia="Cambria" w:hAnsi="Cambria" w:cs="Cambria"/>
                <w:lang w:val="hr-HR"/>
              </w:rPr>
              <w:t>stranicama Sveučilišta</w:t>
            </w:r>
            <w:r w:rsidRPr="00DF4CE5">
              <w:rPr>
                <w:rFonts w:ascii="Cambria" w:eastAsia="Cambria" w:hAnsi="Cambria" w:cs="Cambria"/>
                <w:spacing w:val="-2"/>
                <w:lang w:val="hr-HR"/>
              </w:rPr>
              <w:t xml:space="preserve"> </w:t>
            </w:r>
            <w:r w:rsidRPr="00DF4CE5">
              <w:rPr>
                <w:rFonts w:ascii="Cambria" w:eastAsia="Cambria" w:hAnsi="Cambria" w:cs="Cambria"/>
                <w:lang w:val="hr-HR"/>
              </w:rPr>
              <w:t>i u</w:t>
            </w:r>
            <w:r w:rsidRPr="00DF4CE5">
              <w:rPr>
                <w:rFonts w:ascii="Cambria" w:eastAsia="Cambria" w:hAnsi="Cambria" w:cs="Cambria"/>
                <w:spacing w:val="-1"/>
                <w:lang w:val="hr-HR"/>
              </w:rPr>
              <w:t xml:space="preserve"> </w:t>
            </w:r>
            <w:r w:rsidRPr="00DF4CE5">
              <w:rPr>
                <w:rFonts w:ascii="Cambria" w:eastAsia="Cambria" w:hAnsi="Cambria" w:cs="Cambria"/>
                <w:lang w:val="hr-HR"/>
              </w:rPr>
              <w:t>ISVU</w:t>
            </w:r>
            <w:r w:rsidRPr="00DF4CE5">
              <w:rPr>
                <w:rFonts w:ascii="Cambria" w:eastAsia="Cambria" w:hAnsi="Cambria" w:cs="Cambria"/>
                <w:spacing w:val="-2"/>
                <w:lang w:val="hr-HR"/>
              </w:rPr>
              <w:t xml:space="preserve"> </w:t>
            </w:r>
            <w:r w:rsidRPr="00DF4CE5">
              <w:rPr>
                <w:rFonts w:ascii="Cambria" w:eastAsia="Cambria" w:hAnsi="Cambria" w:cs="Cambria"/>
                <w:lang w:val="hr-HR"/>
              </w:rPr>
              <w:t>sustavu.</w:t>
            </w:r>
          </w:p>
        </w:tc>
      </w:tr>
      <w:tr w:rsidR="00AC6110" w:rsidRPr="00DF4CE5" w14:paraId="6F757F80" w14:textId="77777777" w:rsidTr="00DF4CE5">
        <w:trPr>
          <w:trHeight w:val="1832"/>
        </w:trPr>
        <w:tc>
          <w:tcPr>
            <w:tcW w:w="2470" w:type="dxa"/>
            <w:shd w:val="clear" w:color="auto" w:fill="F3F3F3"/>
          </w:tcPr>
          <w:p w14:paraId="567DE062" w14:textId="77777777" w:rsidR="00AC6110" w:rsidRPr="00DF4CE5" w:rsidRDefault="00AC6110" w:rsidP="00AC6110">
            <w:pPr>
              <w:widowControl w:val="0"/>
              <w:autoSpaceDE w:val="0"/>
              <w:autoSpaceDN w:val="0"/>
              <w:spacing w:after="0" w:line="240" w:lineRule="auto"/>
              <w:rPr>
                <w:rFonts w:ascii="Cambria" w:eastAsia="Cambria" w:hAnsi="Cambria" w:cs="Cambria"/>
                <w:lang w:val="hr-HR"/>
              </w:rPr>
            </w:pPr>
          </w:p>
          <w:p w14:paraId="3615E372" w14:textId="77777777" w:rsidR="00AC6110" w:rsidRPr="00DF4CE5" w:rsidRDefault="00AC6110" w:rsidP="00AC6110">
            <w:pPr>
              <w:widowControl w:val="0"/>
              <w:autoSpaceDE w:val="0"/>
              <w:autoSpaceDN w:val="0"/>
              <w:spacing w:after="0" w:line="240" w:lineRule="auto"/>
              <w:ind w:left="143" w:right="121"/>
              <w:rPr>
                <w:rFonts w:ascii="Cambria" w:eastAsia="Cambria" w:hAnsi="Cambria" w:cs="Cambria"/>
                <w:lang w:val="hr-HR"/>
              </w:rPr>
            </w:pPr>
            <w:r w:rsidRPr="00DF4CE5">
              <w:rPr>
                <w:rFonts w:ascii="Cambria" w:eastAsia="Cambria" w:hAnsi="Cambria" w:cs="Cambria"/>
                <w:lang w:val="hr-HR"/>
              </w:rPr>
              <w:t>Ostale važne</w:t>
            </w:r>
            <w:r w:rsidRPr="00DF4CE5">
              <w:rPr>
                <w:rFonts w:ascii="Cambria" w:eastAsia="Cambria" w:hAnsi="Cambria" w:cs="Cambria"/>
                <w:lang w:val="hr-HR"/>
              </w:rPr>
              <w:tab/>
            </w:r>
            <w:r w:rsidRPr="00DF4CE5">
              <w:rPr>
                <w:rFonts w:ascii="Cambria" w:eastAsia="Cambria" w:hAnsi="Cambria" w:cs="Cambria"/>
                <w:spacing w:val="-51"/>
                <w:lang w:val="hr-HR"/>
              </w:rPr>
              <w:t xml:space="preserve"> </w:t>
            </w:r>
            <w:r w:rsidRPr="00DF4CE5">
              <w:rPr>
                <w:rFonts w:ascii="Cambria" w:eastAsia="Cambria" w:hAnsi="Cambria" w:cs="Cambria"/>
                <w:lang w:val="hr-HR"/>
              </w:rPr>
              <w:t>činjenice</w:t>
            </w:r>
            <w:r w:rsidRPr="00DF4CE5">
              <w:rPr>
                <w:rFonts w:ascii="Cambria" w:eastAsia="Cambria" w:hAnsi="Cambria" w:cs="Cambria"/>
                <w:spacing w:val="1"/>
                <w:lang w:val="hr-HR"/>
              </w:rPr>
              <w:t xml:space="preserve"> </w:t>
            </w:r>
            <w:r w:rsidRPr="00DF4CE5">
              <w:rPr>
                <w:rFonts w:ascii="Cambria" w:eastAsia="Cambria" w:hAnsi="Cambria" w:cs="Cambria"/>
                <w:lang w:val="hr-HR"/>
              </w:rPr>
              <w:t>vezane</w:t>
            </w:r>
            <w:r w:rsidRPr="00DF4CE5">
              <w:rPr>
                <w:rFonts w:ascii="Cambria" w:eastAsia="Cambria" w:hAnsi="Cambria" w:cs="Cambria"/>
                <w:spacing w:val="1"/>
                <w:lang w:val="hr-HR"/>
              </w:rPr>
              <w:t xml:space="preserve"> </w:t>
            </w:r>
            <w:r w:rsidRPr="00DF4CE5">
              <w:rPr>
                <w:rFonts w:ascii="Cambria" w:eastAsia="Cambria" w:hAnsi="Cambria" w:cs="Cambria"/>
                <w:lang w:val="hr-HR"/>
              </w:rPr>
              <w:t>uz</w:t>
            </w:r>
            <w:r w:rsidRPr="00DF4CE5">
              <w:rPr>
                <w:rFonts w:ascii="Cambria" w:eastAsia="Cambria" w:hAnsi="Cambria" w:cs="Cambria"/>
                <w:spacing w:val="1"/>
                <w:lang w:val="hr-HR"/>
              </w:rPr>
              <w:t xml:space="preserve"> </w:t>
            </w:r>
            <w:r w:rsidRPr="00DF4CE5">
              <w:rPr>
                <w:rFonts w:ascii="Cambria" w:eastAsia="Cambria" w:hAnsi="Cambria" w:cs="Cambria"/>
                <w:lang w:val="hr-HR"/>
              </w:rPr>
              <w:t>kolegij</w:t>
            </w:r>
          </w:p>
        </w:tc>
        <w:tc>
          <w:tcPr>
            <w:tcW w:w="6872" w:type="dxa"/>
            <w:gridSpan w:val="6"/>
          </w:tcPr>
          <w:p w14:paraId="00C37013" w14:textId="77777777" w:rsidR="00AC6110" w:rsidRPr="00DF4CE5" w:rsidRDefault="00AC6110" w:rsidP="00AC6110">
            <w:pPr>
              <w:widowControl w:val="0"/>
              <w:autoSpaceDE w:val="0"/>
              <w:autoSpaceDN w:val="0"/>
              <w:spacing w:after="0" w:line="240" w:lineRule="auto"/>
              <w:ind w:left="206" w:right="116"/>
              <w:rPr>
                <w:rFonts w:ascii="Cambria" w:eastAsia="Cambria" w:hAnsi="Cambria" w:cs="Cambria"/>
                <w:lang w:val="hr-HR"/>
              </w:rPr>
            </w:pPr>
            <w:r w:rsidRPr="00DF4CE5">
              <w:rPr>
                <w:rFonts w:ascii="Cambria" w:eastAsia="Cambria" w:hAnsi="Cambria" w:cs="Cambria"/>
                <w:lang w:val="hr-HR"/>
              </w:rPr>
              <w:t>Materijali i upute potrebne za stručnu praksu objavljuju se na</w:t>
            </w:r>
            <w:r w:rsidRPr="00DF4CE5">
              <w:rPr>
                <w:rFonts w:ascii="Cambria" w:eastAsia="Cambria" w:hAnsi="Cambria" w:cs="Cambria"/>
                <w:spacing w:val="1"/>
                <w:lang w:val="hr-HR"/>
              </w:rPr>
              <w:t xml:space="preserve"> </w:t>
            </w:r>
            <w:r w:rsidRPr="00DF4CE5">
              <w:rPr>
                <w:rFonts w:ascii="Cambria" w:eastAsia="Cambria" w:hAnsi="Cambria" w:cs="Cambria"/>
                <w:lang w:val="hr-HR"/>
              </w:rPr>
              <w:t>portalu za e-učenje istoimenoga kolegija. Studenti/</w:t>
            </w:r>
            <w:proofErr w:type="spellStart"/>
            <w:r w:rsidRPr="00DF4CE5">
              <w:rPr>
                <w:rFonts w:ascii="Cambria" w:eastAsia="Cambria" w:hAnsi="Cambria" w:cs="Cambria"/>
                <w:lang w:val="hr-HR"/>
              </w:rPr>
              <w:t>ce</w:t>
            </w:r>
            <w:proofErr w:type="spellEnd"/>
            <w:r w:rsidRPr="00DF4CE5">
              <w:rPr>
                <w:rFonts w:ascii="Cambria" w:eastAsia="Cambria" w:hAnsi="Cambria" w:cs="Cambria"/>
                <w:lang w:val="hr-HR"/>
              </w:rPr>
              <w:t xml:space="preserve"> su dužni</w:t>
            </w:r>
            <w:r w:rsidRPr="00DF4CE5">
              <w:rPr>
                <w:rFonts w:ascii="Cambria" w:eastAsia="Cambria" w:hAnsi="Cambria" w:cs="Cambria"/>
                <w:spacing w:val="1"/>
                <w:lang w:val="hr-HR"/>
              </w:rPr>
              <w:t xml:space="preserve"> </w:t>
            </w:r>
            <w:r w:rsidRPr="00DF4CE5">
              <w:rPr>
                <w:rFonts w:ascii="Cambria" w:eastAsia="Cambria" w:hAnsi="Cambria" w:cs="Cambria"/>
                <w:lang w:val="hr-HR"/>
              </w:rPr>
              <w:t>pratiti</w:t>
            </w:r>
            <w:r w:rsidRPr="00DF4CE5">
              <w:rPr>
                <w:rFonts w:ascii="Cambria" w:eastAsia="Cambria" w:hAnsi="Cambria" w:cs="Cambria"/>
                <w:spacing w:val="-4"/>
                <w:lang w:val="hr-HR"/>
              </w:rPr>
              <w:t xml:space="preserve"> </w:t>
            </w:r>
            <w:r w:rsidRPr="00DF4CE5">
              <w:rPr>
                <w:rFonts w:ascii="Cambria" w:eastAsia="Cambria" w:hAnsi="Cambria" w:cs="Cambria"/>
                <w:lang w:val="hr-HR"/>
              </w:rPr>
              <w:t>obavijesti</w:t>
            </w:r>
            <w:r w:rsidRPr="00DF4CE5">
              <w:rPr>
                <w:rFonts w:ascii="Cambria" w:eastAsia="Cambria" w:hAnsi="Cambria" w:cs="Cambria"/>
                <w:spacing w:val="-7"/>
                <w:lang w:val="hr-HR"/>
              </w:rPr>
              <w:t xml:space="preserve"> </w:t>
            </w:r>
            <w:r w:rsidRPr="00DF4CE5">
              <w:rPr>
                <w:rFonts w:ascii="Cambria" w:eastAsia="Cambria" w:hAnsi="Cambria" w:cs="Cambria"/>
                <w:lang w:val="hr-HR"/>
              </w:rPr>
              <w:t>koje</w:t>
            </w:r>
            <w:r w:rsidRPr="00DF4CE5">
              <w:rPr>
                <w:rFonts w:ascii="Cambria" w:eastAsia="Cambria" w:hAnsi="Cambria" w:cs="Cambria"/>
                <w:spacing w:val="-4"/>
                <w:lang w:val="hr-HR"/>
              </w:rPr>
              <w:t xml:space="preserve"> </w:t>
            </w:r>
            <w:r w:rsidRPr="00DF4CE5">
              <w:rPr>
                <w:rFonts w:ascii="Cambria" w:eastAsia="Cambria" w:hAnsi="Cambria" w:cs="Cambria"/>
                <w:lang w:val="hr-HR"/>
              </w:rPr>
              <w:t>će</w:t>
            </w:r>
            <w:r w:rsidRPr="00DF4CE5">
              <w:rPr>
                <w:rFonts w:ascii="Cambria" w:eastAsia="Cambria" w:hAnsi="Cambria" w:cs="Cambria"/>
                <w:spacing w:val="-7"/>
                <w:lang w:val="hr-HR"/>
              </w:rPr>
              <w:t xml:space="preserve"> </w:t>
            </w:r>
            <w:r w:rsidRPr="00DF4CE5">
              <w:rPr>
                <w:rFonts w:ascii="Cambria" w:eastAsia="Cambria" w:hAnsi="Cambria" w:cs="Cambria"/>
                <w:lang w:val="hr-HR"/>
              </w:rPr>
              <w:t>voditelj</w:t>
            </w:r>
            <w:r w:rsidRPr="00DF4CE5">
              <w:rPr>
                <w:rFonts w:ascii="Cambria" w:eastAsia="Cambria" w:hAnsi="Cambria" w:cs="Cambria"/>
                <w:spacing w:val="-4"/>
                <w:lang w:val="hr-HR"/>
              </w:rPr>
              <w:t xml:space="preserve"> </w:t>
            </w:r>
            <w:r w:rsidRPr="00DF4CE5">
              <w:rPr>
                <w:rFonts w:ascii="Cambria" w:eastAsia="Cambria" w:hAnsi="Cambria" w:cs="Cambria"/>
                <w:lang w:val="hr-HR"/>
              </w:rPr>
              <w:t>stručne</w:t>
            </w:r>
            <w:r w:rsidRPr="00DF4CE5">
              <w:rPr>
                <w:rFonts w:ascii="Cambria" w:eastAsia="Cambria" w:hAnsi="Cambria" w:cs="Cambria"/>
                <w:spacing w:val="-4"/>
                <w:lang w:val="hr-HR"/>
              </w:rPr>
              <w:t xml:space="preserve"> </w:t>
            </w:r>
            <w:r w:rsidRPr="00DF4CE5">
              <w:rPr>
                <w:rFonts w:ascii="Cambria" w:eastAsia="Cambria" w:hAnsi="Cambria" w:cs="Cambria"/>
                <w:lang w:val="hr-HR"/>
              </w:rPr>
              <w:t>prakse</w:t>
            </w:r>
            <w:r w:rsidRPr="00DF4CE5">
              <w:rPr>
                <w:rFonts w:ascii="Cambria" w:eastAsia="Cambria" w:hAnsi="Cambria" w:cs="Cambria"/>
                <w:spacing w:val="-7"/>
                <w:lang w:val="hr-HR"/>
              </w:rPr>
              <w:t xml:space="preserve"> </w:t>
            </w:r>
            <w:r w:rsidRPr="00DF4CE5">
              <w:rPr>
                <w:rFonts w:ascii="Cambria" w:eastAsia="Cambria" w:hAnsi="Cambria" w:cs="Cambria"/>
                <w:lang w:val="hr-HR"/>
              </w:rPr>
              <w:t>objavljivati</w:t>
            </w:r>
            <w:r w:rsidRPr="00DF4CE5">
              <w:rPr>
                <w:rFonts w:ascii="Cambria" w:eastAsia="Cambria" w:hAnsi="Cambria" w:cs="Cambria"/>
                <w:spacing w:val="-4"/>
                <w:lang w:val="hr-HR"/>
              </w:rPr>
              <w:t xml:space="preserve"> </w:t>
            </w:r>
            <w:r w:rsidRPr="00DF4CE5">
              <w:rPr>
                <w:rFonts w:ascii="Cambria" w:eastAsia="Cambria" w:hAnsi="Cambria" w:cs="Cambria"/>
                <w:lang w:val="hr-HR"/>
              </w:rPr>
              <w:t>na</w:t>
            </w:r>
            <w:r w:rsidRPr="00DF4CE5">
              <w:rPr>
                <w:rFonts w:ascii="Cambria" w:eastAsia="Cambria" w:hAnsi="Cambria" w:cs="Cambria"/>
                <w:spacing w:val="-5"/>
                <w:lang w:val="hr-HR"/>
              </w:rPr>
              <w:t xml:space="preserve"> </w:t>
            </w:r>
            <w:r w:rsidRPr="00DF4CE5">
              <w:rPr>
                <w:rFonts w:ascii="Cambria" w:eastAsia="Cambria" w:hAnsi="Cambria" w:cs="Cambria"/>
                <w:lang w:val="hr-HR"/>
              </w:rPr>
              <w:t>e-</w:t>
            </w:r>
            <w:r w:rsidRPr="00DF4CE5">
              <w:rPr>
                <w:rFonts w:ascii="Cambria" w:eastAsia="Cambria" w:hAnsi="Cambria" w:cs="Cambria"/>
                <w:spacing w:val="-50"/>
                <w:lang w:val="hr-HR"/>
              </w:rPr>
              <w:t xml:space="preserve"> </w:t>
            </w:r>
            <w:r w:rsidRPr="00DF4CE5">
              <w:rPr>
                <w:rFonts w:ascii="Cambria" w:eastAsia="Cambria" w:hAnsi="Cambria" w:cs="Cambria"/>
                <w:lang w:val="hr-HR"/>
              </w:rPr>
              <w:t>kolegiju.</w:t>
            </w:r>
          </w:p>
          <w:p w14:paraId="64AF2C57" w14:textId="77777777" w:rsidR="00AC6110" w:rsidRPr="00DF4CE5" w:rsidRDefault="00AC6110" w:rsidP="00AC6110">
            <w:pPr>
              <w:widowControl w:val="0"/>
              <w:autoSpaceDE w:val="0"/>
              <w:autoSpaceDN w:val="0"/>
              <w:spacing w:after="0" w:line="240" w:lineRule="auto"/>
              <w:ind w:left="214"/>
              <w:rPr>
                <w:rFonts w:ascii="Cambria" w:eastAsia="Cambria" w:hAnsi="Cambria" w:cs="Calibri"/>
                <w:lang w:val="hr-HR"/>
              </w:rPr>
            </w:pPr>
            <w:r w:rsidRPr="00DF4CE5">
              <w:rPr>
                <w:rFonts w:ascii="Cambria" w:eastAsia="Cambria" w:hAnsi="Cambria" w:cs="Calibri"/>
                <w:lang w:val="hr-HR"/>
              </w:rPr>
              <w:t>U slučaju održavanja nastave na daljinu, moguće je odstupanje u:</w:t>
            </w:r>
          </w:p>
          <w:p w14:paraId="2F450297" w14:textId="77777777" w:rsidR="00AC6110" w:rsidRPr="00DF4CE5" w:rsidRDefault="00AC6110" w:rsidP="00AC6110">
            <w:pPr>
              <w:widowControl w:val="0"/>
              <w:autoSpaceDE w:val="0"/>
              <w:autoSpaceDN w:val="0"/>
              <w:spacing w:after="0" w:line="240" w:lineRule="auto"/>
              <w:ind w:left="214"/>
              <w:rPr>
                <w:rFonts w:ascii="Cambria" w:eastAsia="Cambria" w:hAnsi="Cambria" w:cs="Calibri"/>
                <w:lang w:val="hr-HR"/>
              </w:rPr>
            </w:pPr>
            <w:r w:rsidRPr="00DF4CE5">
              <w:rPr>
                <w:rFonts w:ascii="Cambria" w:eastAsia="Cambria" w:hAnsi="Cambria" w:cs="Calibri"/>
                <w:lang w:val="hr-HR"/>
              </w:rPr>
              <w:t>- mjestu izvođenja kolegija</w:t>
            </w:r>
          </w:p>
          <w:p w14:paraId="058118E6" w14:textId="77777777" w:rsidR="00AC6110" w:rsidRPr="00DF4CE5" w:rsidRDefault="00AC6110" w:rsidP="00AC6110">
            <w:pPr>
              <w:widowControl w:val="0"/>
              <w:autoSpaceDE w:val="0"/>
              <w:autoSpaceDN w:val="0"/>
              <w:spacing w:after="0" w:line="240" w:lineRule="auto"/>
              <w:ind w:left="214"/>
              <w:rPr>
                <w:rFonts w:ascii="Cambria" w:eastAsia="Cambria" w:hAnsi="Cambria" w:cs="Calibri"/>
                <w:lang w:val="hr-HR"/>
              </w:rPr>
            </w:pPr>
            <w:r w:rsidRPr="00DF4CE5">
              <w:rPr>
                <w:rFonts w:ascii="Cambria" w:eastAsia="Cambria" w:hAnsi="Cambria" w:cs="Calibri"/>
                <w:lang w:val="hr-HR"/>
              </w:rPr>
              <w:t>- provedbi aktivnosti, metodama tumačenja i poučavanja i načinima vrednovanja</w:t>
            </w:r>
          </w:p>
          <w:p w14:paraId="44A4F251" w14:textId="77777777" w:rsidR="00AC6110" w:rsidRPr="00DF4CE5" w:rsidRDefault="00AC6110" w:rsidP="00AC6110">
            <w:pPr>
              <w:widowControl w:val="0"/>
              <w:autoSpaceDE w:val="0"/>
              <w:autoSpaceDN w:val="0"/>
              <w:spacing w:after="0" w:line="240" w:lineRule="auto"/>
              <w:ind w:left="214"/>
              <w:rPr>
                <w:rFonts w:ascii="Cambria" w:eastAsia="Cambria" w:hAnsi="Cambria" w:cs="Calibri"/>
                <w:lang w:val="it-IT"/>
              </w:rPr>
            </w:pPr>
            <w:r w:rsidRPr="00DF4CE5">
              <w:rPr>
                <w:rFonts w:ascii="Cambria" w:eastAsia="Cambria" w:hAnsi="Cambria" w:cs="Calibri"/>
                <w:lang w:val="it-IT"/>
              </w:rPr>
              <w:t xml:space="preserve">- </w:t>
            </w:r>
            <w:proofErr w:type="spellStart"/>
            <w:r w:rsidRPr="00DF4CE5">
              <w:rPr>
                <w:rFonts w:ascii="Cambria" w:eastAsia="Cambria" w:hAnsi="Cambria" w:cs="Calibri"/>
                <w:lang w:val="it-IT"/>
              </w:rPr>
              <w:t>studentskim</w:t>
            </w:r>
            <w:proofErr w:type="spellEnd"/>
            <w:r w:rsidRPr="00DF4CE5">
              <w:rPr>
                <w:rFonts w:ascii="Cambria" w:eastAsia="Cambria" w:hAnsi="Cambria" w:cs="Calibri"/>
                <w:lang w:val="it-IT"/>
              </w:rPr>
              <w:t xml:space="preserve"> </w:t>
            </w:r>
            <w:proofErr w:type="spellStart"/>
            <w:r w:rsidRPr="00DF4CE5">
              <w:rPr>
                <w:rFonts w:ascii="Cambria" w:eastAsia="Cambria" w:hAnsi="Cambria" w:cs="Calibri"/>
                <w:lang w:val="it-IT"/>
              </w:rPr>
              <w:t>obvezama</w:t>
            </w:r>
            <w:proofErr w:type="spellEnd"/>
          </w:p>
          <w:p w14:paraId="06F0E133" w14:textId="77777777" w:rsidR="00AC6110" w:rsidRPr="00DF4CE5" w:rsidRDefault="00AC6110" w:rsidP="00AC6110">
            <w:pPr>
              <w:widowControl w:val="0"/>
              <w:autoSpaceDE w:val="0"/>
              <w:autoSpaceDN w:val="0"/>
              <w:spacing w:after="0" w:line="240" w:lineRule="auto"/>
              <w:ind w:left="214"/>
              <w:rPr>
                <w:rFonts w:ascii="Cambria" w:eastAsia="Cambria" w:hAnsi="Cambria" w:cs="Calibri"/>
                <w:lang w:val="it-IT"/>
              </w:rPr>
            </w:pPr>
            <w:r w:rsidRPr="00DF4CE5">
              <w:rPr>
                <w:rFonts w:ascii="Cambria" w:eastAsia="Cambria" w:hAnsi="Cambria" w:cs="Calibri"/>
                <w:lang w:val="it-IT"/>
              </w:rPr>
              <w:t xml:space="preserve">- </w:t>
            </w:r>
            <w:proofErr w:type="spellStart"/>
            <w:r w:rsidRPr="00DF4CE5">
              <w:rPr>
                <w:rFonts w:ascii="Cambria" w:eastAsia="Cambria" w:hAnsi="Cambria" w:cs="Calibri"/>
                <w:lang w:val="it-IT"/>
              </w:rPr>
              <w:t>dostupnoj</w:t>
            </w:r>
            <w:proofErr w:type="spellEnd"/>
            <w:r w:rsidRPr="00DF4CE5">
              <w:rPr>
                <w:rFonts w:ascii="Cambria" w:eastAsia="Cambria" w:hAnsi="Cambria" w:cs="Calibri"/>
                <w:lang w:val="it-IT"/>
              </w:rPr>
              <w:t xml:space="preserve"> </w:t>
            </w:r>
            <w:proofErr w:type="spellStart"/>
            <w:r w:rsidRPr="00DF4CE5">
              <w:rPr>
                <w:rFonts w:ascii="Cambria" w:eastAsia="Cambria" w:hAnsi="Cambria" w:cs="Calibri"/>
                <w:lang w:val="it-IT"/>
              </w:rPr>
              <w:t>literaturi</w:t>
            </w:r>
            <w:proofErr w:type="spellEnd"/>
            <w:r w:rsidRPr="00DF4CE5">
              <w:rPr>
                <w:rFonts w:ascii="Cambria" w:eastAsia="Cambria" w:hAnsi="Cambria" w:cs="Calibri"/>
                <w:lang w:val="it-IT"/>
              </w:rPr>
              <w:t>.</w:t>
            </w:r>
          </w:p>
          <w:p w14:paraId="61FC17D9" w14:textId="55214A4B" w:rsidR="00AC6110" w:rsidRPr="00DF4CE5" w:rsidRDefault="00AC6110" w:rsidP="00AC6110">
            <w:pPr>
              <w:widowControl w:val="0"/>
              <w:autoSpaceDE w:val="0"/>
              <w:autoSpaceDN w:val="0"/>
              <w:spacing w:after="0" w:line="240" w:lineRule="auto"/>
              <w:ind w:left="214"/>
              <w:rPr>
                <w:rFonts w:ascii="Cambria" w:eastAsia="Cambria" w:hAnsi="Cambria" w:cs="Calibri"/>
                <w:lang w:val="it-IT"/>
              </w:rPr>
            </w:pPr>
            <w:r w:rsidRPr="00DF4CE5">
              <w:rPr>
                <w:rFonts w:ascii="Cambria" w:eastAsia="Cambria" w:hAnsi="Cambria" w:cs="Calibri"/>
                <w:lang w:val="it-IT"/>
              </w:rPr>
              <w:t xml:space="preserve">O tome </w:t>
            </w:r>
            <w:proofErr w:type="spellStart"/>
            <w:r w:rsidRPr="00DF4CE5">
              <w:rPr>
                <w:rFonts w:ascii="Cambria" w:eastAsia="Cambria" w:hAnsi="Cambria" w:cs="Calibri"/>
                <w:lang w:val="it-IT"/>
              </w:rPr>
              <w:t>će</w:t>
            </w:r>
            <w:proofErr w:type="spellEnd"/>
            <w:r w:rsidRPr="00DF4CE5">
              <w:rPr>
                <w:rFonts w:ascii="Cambria" w:eastAsia="Cambria" w:hAnsi="Cambria" w:cs="Calibri"/>
                <w:lang w:val="it-IT"/>
              </w:rPr>
              <w:t xml:space="preserve"> </w:t>
            </w:r>
            <w:proofErr w:type="spellStart"/>
            <w:r w:rsidRPr="00DF4CE5">
              <w:rPr>
                <w:rFonts w:ascii="Cambria" w:eastAsia="Cambria" w:hAnsi="Cambria" w:cs="Calibri"/>
                <w:lang w:val="it-IT"/>
              </w:rPr>
              <w:t>nositeljica</w:t>
            </w:r>
            <w:proofErr w:type="spellEnd"/>
            <w:r w:rsidRPr="00DF4CE5">
              <w:rPr>
                <w:rFonts w:ascii="Cambria" w:eastAsia="Cambria" w:hAnsi="Cambria" w:cs="Calibri"/>
                <w:lang w:val="it-IT"/>
              </w:rPr>
              <w:t xml:space="preserve"> </w:t>
            </w:r>
            <w:proofErr w:type="spellStart"/>
            <w:r w:rsidRPr="00DF4CE5">
              <w:rPr>
                <w:rFonts w:ascii="Cambria" w:eastAsia="Cambria" w:hAnsi="Cambria" w:cs="Calibri"/>
                <w:lang w:val="it-IT"/>
              </w:rPr>
              <w:t>kolegija</w:t>
            </w:r>
            <w:proofErr w:type="spellEnd"/>
            <w:r w:rsidRPr="00DF4CE5">
              <w:rPr>
                <w:rFonts w:ascii="Cambria" w:eastAsia="Cambria" w:hAnsi="Cambria" w:cs="Calibri"/>
                <w:lang w:val="it-IT"/>
              </w:rPr>
              <w:t xml:space="preserve"> </w:t>
            </w:r>
            <w:proofErr w:type="spellStart"/>
            <w:r w:rsidRPr="00DF4CE5">
              <w:rPr>
                <w:rFonts w:ascii="Cambria" w:eastAsia="Cambria" w:hAnsi="Cambria" w:cs="Calibri"/>
                <w:lang w:val="it-IT"/>
              </w:rPr>
              <w:t>obavijestiti</w:t>
            </w:r>
            <w:proofErr w:type="spellEnd"/>
            <w:r w:rsidRPr="00DF4CE5">
              <w:rPr>
                <w:rFonts w:ascii="Cambria" w:eastAsia="Cambria" w:hAnsi="Cambria" w:cs="Calibri"/>
                <w:lang w:val="it-IT"/>
              </w:rPr>
              <w:t xml:space="preserve"> studente i </w:t>
            </w:r>
            <w:proofErr w:type="spellStart"/>
            <w:r w:rsidRPr="00DF4CE5">
              <w:rPr>
                <w:rFonts w:ascii="Cambria" w:eastAsia="Cambria" w:hAnsi="Cambria" w:cs="Calibri"/>
                <w:lang w:val="it-IT"/>
              </w:rPr>
              <w:t>studentice</w:t>
            </w:r>
            <w:proofErr w:type="spellEnd"/>
            <w:r w:rsidRPr="00DF4CE5">
              <w:rPr>
                <w:rFonts w:ascii="Cambria" w:eastAsia="Cambria" w:hAnsi="Cambria" w:cs="Calibri"/>
                <w:lang w:val="it-IT"/>
              </w:rPr>
              <w:t xml:space="preserve"> </w:t>
            </w:r>
            <w:proofErr w:type="spellStart"/>
            <w:r w:rsidRPr="00DF4CE5">
              <w:rPr>
                <w:rFonts w:ascii="Cambria" w:eastAsia="Cambria" w:hAnsi="Cambria" w:cs="Calibri"/>
                <w:lang w:val="it-IT"/>
              </w:rPr>
              <w:t>kad</w:t>
            </w:r>
            <w:proofErr w:type="spellEnd"/>
            <w:r w:rsidRPr="00DF4CE5">
              <w:rPr>
                <w:rFonts w:ascii="Cambria" w:eastAsia="Cambria" w:hAnsi="Cambria" w:cs="Calibri"/>
                <w:lang w:val="it-IT"/>
              </w:rPr>
              <w:t xml:space="preserve"> se </w:t>
            </w:r>
            <w:proofErr w:type="spellStart"/>
            <w:r w:rsidRPr="00DF4CE5">
              <w:rPr>
                <w:rFonts w:ascii="Cambria" w:eastAsia="Cambria" w:hAnsi="Cambria" w:cs="Calibri"/>
                <w:lang w:val="it-IT"/>
              </w:rPr>
              <w:t>nastava</w:t>
            </w:r>
            <w:proofErr w:type="spellEnd"/>
            <w:r w:rsidRPr="00DF4CE5">
              <w:rPr>
                <w:rFonts w:ascii="Cambria" w:eastAsia="Cambria" w:hAnsi="Cambria" w:cs="Calibri"/>
                <w:lang w:val="it-IT"/>
              </w:rPr>
              <w:t xml:space="preserve"> </w:t>
            </w:r>
            <w:proofErr w:type="spellStart"/>
            <w:r w:rsidRPr="00DF4CE5">
              <w:rPr>
                <w:rFonts w:ascii="Cambria" w:eastAsia="Cambria" w:hAnsi="Cambria" w:cs="Calibri"/>
                <w:lang w:val="it-IT"/>
              </w:rPr>
              <w:t>na</w:t>
            </w:r>
            <w:proofErr w:type="spellEnd"/>
            <w:r w:rsidRPr="00DF4CE5">
              <w:rPr>
                <w:rFonts w:ascii="Cambria" w:eastAsia="Cambria" w:hAnsi="Cambria" w:cs="Calibri"/>
                <w:lang w:val="it-IT"/>
              </w:rPr>
              <w:t xml:space="preserve"> </w:t>
            </w:r>
            <w:proofErr w:type="spellStart"/>
            <w:r w:rsidRPr="00DF4CE5">
              <w:rPr>
                <w:rFonts w:ascii="Cambria" w:eastAsia="Cambria" w:hAnsi="Cambria" w:cs="Calibri"/>
                <w:lang w:val="it-IT"/>
              </w:rPr>
              <w:t>daljinu</w:t>
            </w:r>
            <w:proofErr w:type="spellEnd"/>
            <w:r w:rsidRPr="00DF4CE5">
              <w:rPr>
                <w:rFonts w:ascii="Cambria" w:eastAsia="Cambria" w:hAnsi="Cambria" w:cs="Calibri"/>
                <w:lang w:val="it-IT"/>
              </w:rPr>
              <w:t xml:space="preserve"> </w:t>
            </w:r>
            <w:proofErr w:type="spellStart"/>
            <w:r w:rsidRPr="00DF4CE5">
              <w:rPr>
                <w:rFonts w:ascii="Cambria" w:eastAsia="Cambria" w:hAnsi="Cambria" w:cs="Calibri"/>
                <w:lang w:val="it-IT"/>
              </w:rPr>
              <w:t>počne</w:t>
            </w:r>
            <w:proofErr w:type="spellEnd"/>
            <w:r w:rsidRPr="00DF4CE5">
              <w:rPr>
                <w:rFonts w:ascii="Cambria" w:eastAsia="Cambria" w:hAnsi="Cambria" w:cs="Calibri"/>
                <w:lang w:val="it-IT"/>
              </w:rPr>
              <w:t xml:space="preserve"> </w:t>
            </w:r>
            <w:proofErr w:type="spellStart"/>
            <w:r w:rsidRPr="00DF4CE5">
              <w:rPr>
                <w:rFonts w:ascii="Cambria" w:eastAsia="Cambria" w:hAnsi="Cambria" w:cs="Calibri"/>
                <w:lang w:val="it-IT"/>
              </w:rPr>
              <w:t>održavati</w:t>
            </w:r>
            <w:proofErr w:type="spellEnd"/>
            <w:r w:rsidRPr="00DF4CE5">
              <w:rPr>
                <w:rFonts w:ascii="Cambria" w:eastAsia="Cambria" w:hAnsi="Cambria" w:cs="Calibri"/>
                <w:lang w:val="it-IT"/>
              </w:rPr>
              <w:t>.</w:t>
            </w:r>
          </w:p>
          <w:p w14:paraId="1F2BD420" w14:textId="77777777" w:rsidR="00AC6110" w:rsidRPr="00DF4CE5" w:rsidRDefault="00AC6110" w:rsidP="00AC6110">
            <w:pPr>
              <w:widowControl w:val="0"/>
              <w:autoSpaceDE w:val="0"/>
              <w:autoSpaceDN w:val="0"/>
              <w:spacing w:after="0" w:line="240" w:lineRule="auto"/>
              <w:ind w:left="214"/>
              <w:rPr>
                <w:rFonts w:ascii="Cambria" w:eastAsia="Cambria" w:hAnsi="Cambria" w:cs="Calibri"/>
                <w:lang w:val="it-IT"/>
              </w:rPr>
            </w:pPr>
            <w:r w:rsidRPr="00DF4CE5">
              <w:rPr>
                <w:rFonts w:ascii="Cambria" w:eastAsia="Cambria" w:hAnsi="Cambria" w:cs="Calibri"/>
                <w:lang w:val="hr-HR"/>
              </w:rPr>
              <w:t>Ishodi učenja ostaju nepromijenjeni.</w:t>
            </w:r>
          </w:p>
        </w:tc>
      </w:tr>
      <w:tr w:rsidR="00AC6110" w:rsidRPr="00DF4CE5" w14:paraId="50FB770B" w14:textId="77777777" w:rsidTr="00F942C2">
        <w:trPr>
          <w:trHeight w:val="1256"/>
        </w:trPr>
        <w:tc>
          <w:tcPr>
            <w:tcW w:w="2470" w:type="dxa"/>
            <w:tcBorders>
              <w:top w:val="single" w:sz="8" w:space="0" w:color="000000"/>
              <w:left w:val="single" w:sz="8" w:space="0" w:color="000000"/>
              <w:bottom w:val="single" w:sz="8" w:space="0" w:color="000000"/>
              <w:right w:val="single" w:sz="8" w:space="0" w:color="000000"/>
            </w:tcBorders>
            <w:shd w:val="clear" w:color="auto" w:fill="F3F3F3"/>
          </w:tcPr>
          <w:p w14:paraId="09A95454" w14:textId="77777777" w:rsidR="00AC6110" w:rsidRPr="00DF4CE5" w:rsidRDefault="00AC6110" w:rsidP="00AC6110">
            <w:pPr>
              <w:widowControl w:val="0"/>
              <w:autoSpaceDE w:val="0"/>
              <w:autoSpaceDN w:val="0"/>
              <w:spacing w:after="0" w:line="240" w:lineRule="auto"/>
              <w:rPr>
                <w:rFonts w:ascii="Cambria" w:eastAsia="Cambria" w:hAnsi="Cambria" w:cs="Cambria"/>
                <w:lang w:val="hr-HR"/>
              </w:rPr>
            </w:pPr>
          </w:p>
          <w:p w14:paraId="4014D3B0" w14:textId="77777777" w:rsidR="00AC6110" w:rsidRPr="00DF4CE5" w:rsidRDefault="00AC6110" w:rsidP="00AC6110">
            <w:pPr>
              <w:widowControl w:val="0"/>
              <w:autoSpaceDE w:val="0"/>
              <w:autoSpaceDN w:val="0"/>
              <w:spacing w:after="0" w:line="240" w:lineRule="auto"/>
              <w:rPr>
                <w:rFonts w:ascii="Cambria" w:eastAsia="Cambria" w:hAnsi="Cambria" w:cs="Cambria"/>
                <w:lang w:val="hr-HR"/>
              </w:rPr>
            </w:pPr>
          </w:p>
          <w:p w14:paraId="7A09D11D" w14:textId="77777777" w:rsidR="00AC6110" w:rsidRPr="00DF4CE5" w:rsidRDefault="00AC6110" w:rsidP="00AC6110">
            <w:pPr>
              <w:widowControl w:val="0"/>
              <w:autoSpaceDE w:val="0"/>
              <w:autoSpaceDN w:val="0"/>
              <w:spacing w:after="0" w:line="240" w:lineRule="auto"/>
              <w:rPr>
                <w:rFonts w:ascii="Cambria" w:eastAsia="Cambria" w:hAnsi="Cambria" w:cs="Cambria"/>
                <w:lang w:val="hr-HR"/>
              </w:rPr>
            </w:pPr>
          </w:p>
          <w:p w14:paraId="65A83EFE" w14:textId="77777777" w:rsidR="00AC6110" w:rsidRPr="00DF4CE5" w:rsidRDefault="00AC6110" w:rsidP="00AC6110">
            <w:pPr>
              <w:widowControl w:val="0"/>
              <w:autoSpaceDE w:val="0"/>
              <w:autoSpaceDN w:val="0"/>
              <w:spacing w:after="0" w:line="240" w:lineRule="auto"/>
              <w:rPr>
                <w:rFonts w:ascii="Cambria" w:eastAsia="Cambria" w:hAnsi="Cambria" w:cs="Cambria"/>
                <w:lang w:val="hr-HR"/>
              </w:rPr>
            </w:pPr>
          </w:p>
          <w:p w14:paraId="0285810D" w14:textId="77777777" w:rsidR="00AC6110" w:rsidRPr="00DF4CE5" w:rsidRDefault="00AC6110" w:rsidP="00AC6110">
            <w:pPr>
              <w:widowControl w:val="0"/>
              <w:autoSpaceDE w:val="0"/>
              <w:autoSpaceDN w:val="0"/>
              <w:spacing w:after="0" w:line="240" w:lineRule="auto"/>
              <w:rPr>
                <w:rFonts w:ascii="Cambria" w:eastAsia="Cambria" w:hAnsi="Cambria" w:cs="Cambria"/>
                <w:lang w:val="hr-HR"/>
              </w:rPr>
            </w:pPr>
          </w:p>
          <w:p w14:paraId="56B47CFA" w14:textId="77777777" w:rsidR="00AC6110" w:rsidRPr="00DF4CE5" w:rsidRDefault="00AC6110" w:rsidP="00AC6110">
            <w:pPr>
              <w:widowControl w:val="0"/>
              <w:autoSpaceDE w:val="0"/>
              <w:autoSpaceDN w:val="0"/>
              <w:spacing w:after="0" w:line="240" w:lineRule="auto"/>
              <w:rPr>
                <w:rFonts w:ascii="Cambria" w:eastAsia="Cambria" w:hAnsi="Cambria" w:cs="Cambria"/>
                <w:lang w:val="hr-HR"/>
              </w:rPr>
            </w:pPr>
          </w:p>
          <w:p w14:paraId="652B77EF" w14:textId="77777777" w:rsidR="00AC6110" w:rsidRPr="00DF4CE5" w:rsidRDefault="00AC6110" w:rsidP="00AC6110">
            <w:pPr>
              <w:widowControl w:val="0"/>
              <w:autoSpaceDE w:val="0"/>
              <w:autoSpaceDN w:val="0"/>
              <w:spacing w:after="0" w:line="240" w:lineRule="auto"/>
              <w:rPr>
                <w:rFonts w:ascii="Cambria" w:eastAsia="Cambria" w:hAnsi="Cambria" w:cs="Cambria"/>
                <w:lang w:val="hr-HR"/>
              </w:rPr>
            </w:pPr>
          </w:p>
          <w:p w14:paraId="4FA4F8FE" w14:textId="77777777" w:rsidR="00AC6110" w:rsidRPr="00DF4CE5" w:rsidRDefault="00AC6110" w:rsidP="00AC6110">
            <w:pPr>
              <w:widowControl w:val="0"/>
              <w:autoSpaceDE w:val="0"/>
              <w:autoSpaceDN w:val="0"/>
              <w:spacing w:after="0" w:line="240" w:lineRule="auto"/>
              <w:rPr>
                <w:rFonts w:ascii="Cambria" w:eastAsia="Cambria" w:hAnsi="Cambria" w:cs="Cambria"/>
                <w:lang w:val="hr-HR"/>
              </w:rPr>
            </w:pPr>
            <w:r w:rsidRPr="00DF4CE5">
              <w:rPr>
                <w:rFonts w:ascii="Cambria" w:eastAsia="Cambria" w:hAnsi="Cambria" w:cs="Cambria"/>
                <w:lang w:val="hr-HR"/>
              </w:rPr>
              <w:t xml:space="preserve">   Literatura</w:t>
            </w:r>
          </w:p>
        </w:tc>
        <w:tc>
          <w:tcPr>
            <w:tcW w:w="6872" w:type="dxa"/>
            <w:gridSpan w:val="6"/>
            <w:tcBorders>
              <w:top w:val="single" w:sz="8" w:space="0" w:color="000000"/>
              <w:left w:val="single" w:sz="8" w:space="0" w:color="000000"/>
              <w:bottom w:val="single" w:sz="8" w:space="0" w:color="000000"/>
              <w:right w:val="single" w:sz="8" w:space="0" w:color="000000"/>
            </w:tcBorders>
          </w:tcPr>
          <w:p w14:paraId="06F11B11" w14:textId="77777777" w:rsidR="00AC6110" w:rsidRPr="00DF4CE5" w:rsidRDefault="00AC6110" w:rsidP="00AC6110">
            <w:pPr>
              <w:widowControl w:val="0"/>
              <w:autoSpaceDE w:val="0"/>
              <w:autoSpaceDN w:val="0"/>
              <w:spacing w:after="0" w:line="240" w:lineRule="auto"/>
              <w:ind w:left="143" w:right="122"/>
              <w:jc w:val="both"/>
              <w:rPr>
                <w:rFonts w:ascii="Cambria" w:eastAsia="Cambria" w:hAnsi="Cambria" w:cs="Cambria"/>
                <w:lang w:val="hr-HR"/>
              </w:rPr>
            </w:pPr>
            <w:r w:rsidRPr="00DF4CE5">
              <w:rPr>
                <w:rFonts w:ascii="Cambria" w:eastAsia="Cambria" w:hAnsi="Cambria" w:cs="Cambria"/>
                <w:lang w:val="hr-HR"/>
              </w:rPr>
              <w:t>Obvezna:</w:t>
            </w:r>
          </w:p>
          <w:p w14:paraId="6AA81924" w14:textId="77777777" w:rsidR="00AC6110" w:rsidRPr="00DF4CE5" w:rsidRDefault="00AC6110" w:rsidP="00A034E3">
            <w:pPr>
              <w:widowControl w:val="0"/>
              <w:numPr>
                <w:ilvl w:val="0"/>
                <w:numId w:val="82"/>
              </w:numPr>
              <w:tabs>
                <w:tab w:val="left" w:pos="425"/>
              </w:tabs>
              <w:autoSpaceDE w:val="0"/>
              <w:autoSpaceDN w:val="0"/>
              <w:spacing w:after="0" w:line="240" w:lineRule="auto"/>
              <w:ind w:right="132" w:firstLine="0"/>
              <w:rPr>
                <w:rFonts w:ascii="Cambria" w:eastAsia="Cambria" w:hAnsi="Cambria" w:cs="Cambria"/>
                <w:lang w:val="hr-HR"/>
              </w:rPr>
            </w:pPr>
            <w:r w:rsidRPr="00DF4CE5">
              <w:rPr>
                <w:rFonts w:ascii="Cambria" w:eastAsia="Cambria" w:hAnsi="Cambria" w:cs="Cambria"/>
                <w:lang w:val="hr-HR"/>
              </w:rPr>
              <w:t xml:space="preserve">Jakovac, T., </w:t>
            </w:r>
            <w:proofErr w:type="spellStart"/>
            <w:r w:rsidRPr="00DF4CE5">
              <w:rPr>
                <w:rFonts w:ascii="Cambria" w:eastAsia="Cambria" w:hAnsi="Cambria" w:cs="Cambria"/>
                <w:lang w:val="hr-HR"/>
              </w:rPr>
              <w:t>Petelin</w:t>
            </w:r>
            <w:proofErr w:type="spellEnd"/>
            <w:r w:rsidRPr="00DF4CE5">
              <w:rPr>
                <w:rFonts w:ascii="Cambria" w:eastAsia="Cambria" w:hAnsi="Cambria" w:cs="Cambria"/>
                <w:lang w:val="hr-HR"/>
              </w:rPr>
              <w:t xml:space="preserve">, K., </w:t>
            </w:r>
            <w:proofErr w:type="spellStart"/>
            <w:r w:rsidRPr="00DF4CE5">
              <w:rPr>
                <w:rFonts w:ascii="Cambria" w:eastAsia="Cambria" w:hAnsi="Cambria" w:cs="Cambria"/>
                <w:lang w:val="hr-HR"/>
              </w:rPr>
              <w:t>Možgon</w:t>
            </w:r>
            <w:proofErr w:type="spellEnd"/>
            <w:r w:rsidRPr="00DF4CE5">
              <w:rPr>
                <w:rFonts w:ascii="Cambria" w:eastAsia="Cambria" w:hAnsi="Cambria" w:cs="Cambria"/>
                <w:lang w:val="hr-HR"/>
              </w:rPr>
              <w:t xml:space="preserve"> </w:t>
            </w:r>
            <w:proofErr w:type="spellStart"/>
            <w:r w:rsidRPr="00DF4CE5">
              <w:rPr>
                <w:rFonts w:ascii="Cambria" w:eastAsia="Cambria" w:hAnsi="Cambria" w:cs="Cambria"/>
                <w:lang w:val="hr-HR"/>
              </w:rPr>
              <w:t>Kauzlarić</w:t>
            </w:r>
            <w:proofErr w:type="spellEnd"/>
            <w:r w:rsidRPr="00DF4CE5">
              <w:rPr>
                <w:rFonts w:ascii="Cambria" w:eastAsia="Cambria" w:hAnsi="Cambria" w:cs="Cambria"/>
                <w:lang w:val="hr-HR"/>
              </w:rPr>
              <w:t xml:space="preserve">, N., </w:t>
            </w:r>
            <w:proofErr w:type="spellStart"/>
            <w:r w:rsidRPr="00DF4CE5">
              <w:rPr>
                <w:rFonts w:ascii="Cambria" w:eastAsia="Cambria" w:hAnsi="Cambria" w:cs="Cambria"/>
                <w:lang w:val="hr-HR"/>
              </w:rPr>
              <w:t>Šimičić</w:t>
            </w:r>
            <w:proofErr w:type="spellEnd"/>
            <w:r w:rsidRPr="00DF4CE5">
              <w:rPr>
                <w:rFonts w:ascii="Cambria" w:eastAsia="Cambria" w:hAnsi="Cambria" w:cs="Cambria"/>
                <w:lang w:val="hr-HR"/>
              </w:rPr>
              <w:t xml:space="preserve">, I., Bajt </w:t>
            </w:r>
            <w:proofErr w:type="spellStart"/>
            <w:r w:rsidRPr="00DF4CE5">
              <w:rPr>
                <w:rFonts w:ascii="Cambria" w:eastAsia="Cambria" w:hAnsi="Cambria" w:cs="Cambria"/>
                <w:lang w:val="hr-HR"/>
              </w:rPr>
              <w:t>Stepić</w:t>
            </w:r>
            <w:proofErr w:type="spellEnd"/>
            <w:r w:rsidRPr="00DF4CE5">
              <w:rPr>
                <w:rFonts w:ascii="Cambria" w:eastAsia="Cambria" w:hAnsi="Cambria" w:cs="Cambria"/>
                <w:lang w:val="hr-HR"/>
              </w:rPr>
              <w:t>, M. (2014). Priručnik pedagoške dokumentacije za učitelje  i pedagoge [</w:t>
            </w:r>
            <w:proofErr w:type="spellStart"/>
            <w:r w:rsidRPr="00DF4CE5">
              <w:rPr>
                <w:rFonts w:ascii="Cambria" w:eastAsia="Cambria" w:hAnsi="Cambria" w:cs="Cambria"/>
                <w:lang w:val="hr-HR"/>
              </w:rPr>
              <w:t>Handbook</w:t>
            </w:r>
            <w:proofErr w:type="spellEnd"/>
            <w:r w:rsidRPr="00DF4CE5">
              <w:rPr>
                <w:rFonts w:ascii="Cambria" w:eastAsia="Cambria" w:hAnsi="Cambria" w:cs="Cambria"/>
                <w:lang w:val="hr-HR"/>
              </w:rPr>
              <w:t xml:space="preserve"> </w:t>
            </w:r>
            <w:proofErr w:type="spellStart"/>
            <w:r w:rsidRPr="00DF4CE5">
              <w:rPr>
                <w:rFonts w:ascii="Cambria" w:eastAsia="Cambria" w:hAnsi="Cambria" w:cs="Cambria"/>
                <w:lang w:val="hr-HR"/>
              </w:rPr>
              <w:t>of</w:t>
            </w:r>
            <w:proofErr w:type="spellEnd"/>
            <w:r w:rsidRPr="00DF4CE5">
              <w:rPr>
                <w:rFonts w:ascii="Cambria" w:eastAsia="Cambria" w:hAnsi="Cambria" w:cs="Cambria"/>
                <w:lang w:val="hr-HR"/>
              </w:rPr>
              <w:t xml:space="preserve"> </w:t>
            </w:r>
            <w:proofErr w:type="spellStart"/>
            <w:r w:rsidRPr="00DF4CE5">
              <w:rPr>
                <w:rFonts w:ascii="Cambria" w:eastAsia="Cambria" w:hAnsi="Cambria" w:cs="Cambria"/>
                <w:lang w:val="hr-HR"/>
              </w:rPr>
              <w:t>pedagogical</w:t>
            </w:r>
            <w:proofErr w:type="spellEnd"/>
            <w:r w:rsidRPr="00DF4CE5">
              <w:rPr>
                <w:rFonts w:ascii="Cambria" w:eastAsia="Cambria" w:hAnsi="Cambria" w:cs="Cambria"/>
                <w:lang w:val="hr-HR"/>
              </w:rPr>
              <w:t xml:space="preserve"> </w:t>
            </w:r>
            <w:proofErr w:type="spellStart"/>
            <w:r w:rsidRPr="00DF4CE5">
              <w:rPr>
                <w:rFonts w:ascii="Cambria" w:eastAsia="Cambria" w:hAnsi="Cambria" w:cs="Cambria"/>
                <w:lang w:val="hr-HR"/>
              </w:rPr>
              <w:t>documentation</w:t>
            </w:r>
            <w:proofErr w:type="spellEnd"/>
            <w:r w:rsidRPr="00DF4CE5">
              <w:rPr>
                <w:rFonts w:ascii="Cambria" w:eastAsia="Cambria" w:hAnsi="Cambria" w:cs="Cambria"/>
                <w:lang w:val="hr-HR"/>
              </w:rPr>
              <w:t xml:space="preserve"> for </w:t>
            </w:r>
            <w:proofErr w:type="spellStart"/>
            <w:r w:rsidRPr="00DF4CE5">
              <w:rPr>
                <w:rFonts w:ascii="Cambria" w:eastAsia="Cambria" w:hAnsi="Cambria" w:cs="Cambria"/>
                <w:lang w:val="hr-HR"/>
              </w:rPr>
              <w:t>teachers</w:t>
            </w:r>
            <w:proofErr w:type="spellEnd"/>
            <w:r w:rsidRPr="00DF4CE5">
              <w:rPr>
                <w:rFonts w:ascii="Cambria" w:eastAsia="Cambria" w:hAnsi="Cambria" w:cs="Cambria"/>
                <w:lang w:val="hr-HR"/>
              </w:rPr>
              <w:t xml:space="preserve"> </w:t>
            </w:r>
            <w:proofErr w:type="spellStart"/>
            <w:r w:rsidRPr="00DF4CE5">
              <w:rPr>
                <w:rFonts w:ascii="Cambria" w:eastAsia="Cambria" w:hAnsi="Cambria" w:cs="Cambria"/>
                <w:lang w:val="hr-HR"/>
              </w:rPr>
              <w:t>and</w:t>
            </w:r>
            <w:proofErr w:type="spellEnd"/>
            <w:r w:rsidRPr="00DF4CE5">
              <w:rPr>
                <w:rFonts w:ascii="Cambria" w:eastAsia="Cambria" w:hAnsi="Cambria" w:cs="Cambria"/>
                <w:lang w:val="hr-HR"/>
              </w:rPr>
              <w:t xml:space="preserve"> </w:t>
            </w:r>
            <w:proofErr w:type="spellStart"/>
            <w:r w:rsidRPr="00DF4CE5">
              <w:rPr>
                <w:rFonts w:ascii="Cambria" w:eastAsia="Cambria" w:hAnsi="Cambria" w:cs="Cambria"/>
                <w:lang w:val="hr-HR"/>
              </w:rPr>
              <w:t>pedagogues</w:t>
            </w:r>
            <w:proofErr w:type="spellEnd"/>
            <w:r w:rsidRPr="00DF4CE5">
              <w:rPr>
                <w:rFonts w:ascii="Cambria" w:eastAsia="Cambria" w:hAnsi="Cambria" w:cs="Cambria"/>
                <w:lang w:val="hr-HR"/>
              </w:rPr>
              <w:t>]. Zagreb: Naklada Ljevak.</w:t>
            </w:r>
          </w:p>
          <w:p w14:paraId="4DD95C3C" w14:textId="77777777" w:rsidR="00AC6110" w:rsidRPr="00DF4CE5" w:rsidRDefault="00AC6110" w:rsidP="00A034E3">
            <w:pPr>
              <w:widowControl w:val="0"/>
              <w:numPr>
                <w:ilvl w:val="0"/>
                <w:numId w:val="82"/>
              </w:numPr>
              <w:tabs>
                <w:tab w:val="left" w:pos="425"/>
              </w:tabs>
              <w:autoSpaceDE w:val="0"/>
              <w:autoSpaceDN w:val="0"/>
              <w:spacing w:after="0" w:line="240" w:lineRule="auto"/>
              <w:ind w:right="132" w:firstLine="0"/>
              <w:rPr>
                <w:rFonts w:ascii="Cambria" w:eastAsia="Cambria" w:hAnsi="Cambria" w:cs="Cambria"/>
                <w:lang w:val="hr-HR"/>
              </w:rPr>
            </w:pPr>
            <w:proofErr w:type="spellStart"/>
            <w:r w:rsidRPr="00DF4CE5">
              <w:rPr>
                <w:rFonts w:ascii="Cambria" w:eastAsia="Cambria" w:hAnsi="Cambria" w:cs="Cambria"/>
                <w:lang w:val="hr-HR"/>
              </w:rPr>
              <w:t>Ivanek</w:t>
            </w:r>
            <w:proofErr w:type="spellEnd"/>
            <w:r w:rsidRPr="00DF4CE5">
              <w:rPr>
                <w:rFonts w:ascii="Cambria" w:eastAsia="Cambria" w:hAnsi="Cambria" w:cs="Cambria"/>
                <w:lang w:val="hr-HR"/>
              </w:rPr>
              <w:t>, A. (2008). Kreativni razrednik/razrednica. Zagreb: Profil.</w:t>
            </w:r>
          </w:p>
          <w:p w14:paraId="26B441B1" w14:textId="77777777" w:rsidR="00AC6110" w:rsidRPr="00DF4CE5" w:rsidRDefault="00AC6110" w:rsidP="00A034E3">
            <w:pPr>
              <w:widowControl w:val="0"/>
              <w:numPr>
                <w:ilvl w:val="0"/>
                <w:numId w:val="82"/>
              </w:numPr>
              <w:tabs>
                <w:tab w:val="left" w:pos="432"/>
              </w:tabs>
              <w:autoSpaceDE w:val="0"/>
              <w:autoSpaceDN w:val="0"/>
              <w:spacing w:after="0" w:line="240" w:lineRule="auto"/>
              <w:ind w:right="132" w:firstLine="0"/>
              <w:rPr>
                <w:rFonts w:ascii="Cambria" w:eastAsia="Cambria" w:hAnsi="Cambria" w:cs="Cambria"/>
                <w:lang w:val="hr-HR"/>
              </w:rPr>
            </w:pPr>
            <w:proofErr w:type="spellStart"/>
            <w:r w:rsidRPr="00DF4CE5">
              <w:rPr>
                <w:rFonts w:ascii="Cambria" w:eastAsia="Cambria" w:hAnsi="Cambria" w:cs="Cambria"/>
                <w:lang w:val="hr-HR"/>
              </w:rPr>
              <w:t>Kadum</w:t>
            </w:r>
            <w:proofErr w:type="spellEnd"/>
            <w:r w:rsidRPr="00DF4CE5">
              <w:rPr>
                <w:rFonts w:ascii="Cambria" w:eastAsia="Cambria" w:hAnsi="Cambria" w:cs="Cambria"/>
                <w:lang w:val="hr-HR"/>
              </w:rPr>
              <w:t>, S., Šuvar, V., Tomić, R.  (2020). Školska pedagogija. Pula: Sveučilište Jurja Dobrile, Fakultet za odgojne o obrazovne znanosti.</w:t>
            </w:r>
          </w:p>
          <w:p w14:paraId="6C48D93F" w14:textId="77777777" w:rsidR="00AC6110" w:rsidRPr="00DF4CE5" w:rsidRDefault="00AC6110" w:rsidP="00A034E3">
            <w:pPr>
              <w:widowControl w:val="0"/>
              <w:numPr>
                <w:ilvl w:val="0"/>
                <w:numId w:val="82"/>
              </w:numPr>
              <w:tabs>
                <w:tab w:val="left" w:pos="425"/>
              </w:tabs>
              <w:autoSpaceDE w:val="0"/>
              <w:autoSpaceDN w:val="0"/>
              <w:spacing w:after="0" w:line="240" w:lineRule="auto"/>
              <w:ind w:right="132" w:firstLine="0"/>
              <w:rPr>
                <w:rFonts w:ascii="Cambria" w:eastAsia="Cambria" w:hAnsi="Cambria" w:cs="Cambria"/>
                <w:lang w:val="hr-HR"/>
              </w:rPr>
            </w:pPr>
            <w:proofErr w:type="spellStart"/>
            <w:r w:rsidRPr="00DF4CE5">
              <w:rPr>
                <w:rFonts w:ascii="Cambria" w:eastAsia="Cambria" w:hAnsi="Cambria" w:cs="Cambria"/>
                <w:lang w:val="hr-HR"/>
              </w:rPr>
              <w:t>Kyriacou,C</w:t>
            </w:r>
            <w:proofErr w:type="spellEnd"/>
            <w:r w:rsidRPr="00DF4CE5">
              <w:rPr>
                <w:rFonts w:ascii="Cambria" w:eastAsia="Cambria" w:hAnsi="Cambria" w:cs="Cambria"/>
                <w:lang w:val="hr-HR"/>
              </w:rPr>
              <w:t>. (1995). Temeljna nastavna umijeća. Zagreb: Educa.</w:t>
            </w:r>
          </w:p>
          <w:p w14:paraId="41C33DB3" w14:textId="77777777" w:rsidR="00AC6110" w:rsidRPr="00DF4CE5" w:rsidRDefault="00AC6110" w:rsidP="00A034E3">
            <w:pPr>
              <w:widowControl w:val="0"/>
              <w:numPr>
                <w:ilvl w:val="0"/>
                <w:numId w:val="82"/>
              </w:numPr>
              <w:tabs>
                <w:tab w:val="left" w:pos="425"/>
              </w:tabs>
              <w:autoSpaceDE w:val="0"/>
              <w:autoSpaceDN w:val="0"/>
              <w:spacing w:after="0" w:line="240" w:lineRule="auto"/>
              <w:ind w:right="132" w:firstLine="0"/>
              <w:rPr>
                <w:rFonts w:ascii="Cambria" w:eastAsia="Cambria" w:hAnsi="Cambria" w:cs="Cambria"/>
                <w:lang w:val="hr-HR"/>
              </w:rPr>
            </w:pPr>
            <w:r w:rsidRPr="00DF4CE5">
              <w:rPr>
                <w:rFonts w:ascii="Cambria" w:eastAsia="Cambria" w:hAnsi="Cambria" w:cs="Cambria"/>
                <w:lang w:val="hr-HR"/>
              </w:rPr>
              <w:t>Matijević, M. (2004). Ocjenjivanje u osnovnoj školi. Zagreb:</w:t>
            </w:r>
          </w:p>
          <w:p w14:paraId="7A22C095" w14:textId="77777777" w:rsidR="00AC6110" w:rsidRPr="00DF4CE5" w:rsidRDefault="00AC6110" w:rsidP="00AC6110">
            <w:pPr>
              <w:widowControl w:val="0"/>
              <w:autoSpaceDE w:val="0"/>
              <w:autoSpaceDN w:val="0"/>
              <w:spacing w:after="0" w:line="240" w:lineRule="auto"/>
              <w:ind w:left="143" w:right="122"/>
              <w:jc w:val="both"/>
              <w:rPr>
                <w:rFonts w:ascii="Cambria" w:eastAsia="Cambria" w:hAnsi="Cambria" w:cs="Cambria"/>
                <w:lang w:val="hr-HR"/>
              </w:rPr>
            </w:pPr>
            <w:proofErr w:type="spellStart"/>
            <w:r w:rsidRPr="00DF4CE5">
              <w:rPr>
                <w:rFonts w:ascii="Cambria" w:eastAsia="Cambria" w:hAnsi="Cambria" w:cs="Cambria"/>
                <w:lang w:val="hr-HR"/>
              </w:rPr>
              <w:t>Tipex</w:t>
            </w:r>
            <w:proofErr w:type="spellEnd"/>
            <w:r w:rsidRPr="00DF4CE5">
              <w:rPr>
                <w:rFonts w:ascii="Cambria" w:eastAsia="Cambria" w:hAnsi="Cambria" w:cs="Cambria"/>
                <w:lang w:val="hr-HR"/>
              </w:rPr>
              <w:t>.</w:t>
            </w:r>
          </w:p>
          <w:p w14:paraId="22431C0D" w14:textId="77777777" w:rsidR="00AC6110" w:rsidRPr="00DF4CE5" w:rsidRDefault="00AC6110" w:rsidP="00AC6110">
            <w:pPr>
              <w:widowControl w:val="0"/>
              <w:autoSpaceDE w:val="0"/>
              <w:autoSpaceDN w:val="0"/>
              <w:spacing w:after="0" w:line="240" w:lineRule="auto"/>
              <w:ind w:left="143" w:right="122"/>
              <w:jc w:val="both"/>
              <w:rPr>
                <w:rFonts w:ascii="Cambria" w:eastAsia="Cambria" w:hAnsi="Cambria" w:cs="Cambria"/>
                <w:lang w:val="hr-HR"/>
              </w:rPr>
            </w:pPr>
            <w:r w:rsidRPr="00DF4CE5">
              <w:rPr>
                <w:rFonts w:ascii="Cambria" w:eastAsia="Cambria" w:hAnsi="Cambria" w:cs="Cambria"/>
                <w:lang w:val="hr-HR"/>
              </w:rPr>
              <w:t>Izborna:</w:t>
            </w:r>
          </w:p>
          <w:p w14:paraId="0397E562" w14:textId="77777777" w:rsidR="00AC6110" w:rsidRPr="00DF4CE5" w:rsidRDefault="00AC6110" w:rsidP="00A034E3">
            <w:pPr>
              <w:widowControl w:val="0"/>
              <w:numPr>
                <w:ilvl w:val="0"/>
                <w:numId w:val="94"/>
              </w:numPr>
              <w:tabs>
                <w:tab w:val="left" w:pos="143"/>
                <w:tab w:val="left" w:pos="353"/>
              </w:tabs>
              <w:autoSpaceDE w:val="0"/>
              <w:autoSpaceDN w:val="0"/>
              <w:spacing w:after="0" w:line="240" w:lineRule="auto"/>
              <w:ind w:left="211" w:hanging="68"/>
              <w:rPr>
                <w:rFonts w:ascii="Cambria" w:eastAsia="Cambria" w:hAnsi="Cambria" w:cs="Cambria"/>
                <w:lang w:val="hr-HR"/>
              </w:rPr>
            </w:pPr>
            <w:r w:rsidRPr="00DF4CE5">
              <w:rPr>
                <w:rFonts w:ascii="Cambria" w:eastAsia="Cambria" w:hAnsi="Cambria" w:cs="Cambria"/>
                <w:lang w:val="hr-HR"/>
              </w:rPr>
              <w:t>Buljubašić Kuzmanović, V. (2012). Škola kao zajednica</w:t>
            </w:r>
          </w:p>
          <w:p w14:paraId="75479F17" w14:textId="77777777" w:rsidR="00AC6110" w:rsidRPr="00DF4CE5" w:rsidRDefault="00AC6110" w:rsidP="00AC6110">
            <w:pPr>
              <w:widowControl w:val="0"/>
              <w:tabs>
                <w:tab w:val="left" w:pos="143"/>
                <w:tab w:val="left" w:pos="353"/>
              </w:tabs>
              <w:autoSpaceDE w:val="0"/>
              <w:autoSpaceDN w:val="0"/>
              <w:spacing w:after="0" w:line="240" w:lineRule="auto"/>
              <w:ind w:left="211" w:right="122" w:hanging="68"/>
              <w:jc w:val="both"/>
              <w:rPr>
                <w:rFonts w:ascii="Cambria" w:eastAsia="Cambria" w:hAnsi="Cambria" w:cs="Cambria"/>
                <w:lang w:val="hr-HR"/>
              </w:rPr>
            </w:pPr>
            <w:r w:rsidRPr="00DF4CE5">
              <w:rPr>
                <w:rFonts w:ascii="Cambria" w:eastAsia="Cambria" w:hAnsi="Cambria" w:cs="Cambria"/>
                <w:lang w:val="hr-HR"/>
              </w:rPr>
              <w:t>odrastanja. Pedagogijska istraživanja 9 (1-2), 43-57.</w:t>
            </w:r>
          </w:p>
          <w:p w14:paraId="57AF21ED" w14:textId="77777777" w:rsidR="00AC6110" w:rsidRPr="00DF4CE5" w:rsidRDefault="00AC6110" w:rsidP="00A034E3">
            <w:pPr>
              <w:widowControl w:val="0"/>
              <w:numPr>
                <w:ilvl w:val="0"/>
                <w:numId w:val="94"/>
              </w:numPr>
              <w:tabs>
                <w:tab w:val="left" w:pos="143"/>
                <w:tab w:val="left" w:pos="353"/>
              </w:tabs>
              <w:autoSpaceDE w:val="0"/>
              <w:autoSpaceDN w:val="0"/>
              <w:spacing w:after="0" w:line="240" w:lineRule="auto"/>
              <w:ind w:left="211" w:right="132" w:hanging="68"/>
              <w:rPr>
                <w:rFonts w:ascii="Cambria" w:eastAsia="Cambria" w:hAnsi="Cambria" w:cs="Cambria"/>
                <w:lang w:val="hr-HR"/>
              </w:rPr>
            </w:pPr>
            <w:proofErr w:type="spellStart"/>
            <w:r w:rsidRPr="00DF4CE5">
              <w:rPr>
                <w:rFonts w:ascii="Cambria" w:eastAsia="Cambria" w:hAnsi="Cambria" w:cs="Cambria"/>
                <w:lang w:val="hr-HR"/>
              </w:rPr>
              <w:lastRenderedPageBreak/>
              <w:t>Marsh</w:t>
            </w:r>
            <w:proofErr w:type="spellEnd"/>
            <w:r w:rsidRPr="00DF4CE5">
              <w:rPr>
                <w:rFonts w:ascii="Cambria" w:eastAsia="Cambria" w:hAnsi="Cambria" w:cs="Cambria"/>
                <w:lang w:val="hr-HR"/>
              </w:rPr>
              <w:t>, C. (1994). Kurikulum - temeljni pojmovi. Zagreb: Educa.</w:t>
            </w:r>
          </w:p>
          <w:p w14:paraId="74B56294" w14:textId="77777777" w:rsidR="00AC6110" w:rsidRPr="00DF4CE5" w:rsidRDefault="00AC6110" w:rsidP="00AC6110">
            <w:pPr>
              <w:widowControl w:val="0"/>
              <w:autoSpaceDE w:val="0"/>
              <w:autoSpaceDN w:val="0"/>
              <w:spacing w:after="0" w:line="240" w:lineRule="auto"/>
              <w:ind w:left="143" w:right="122"/>
              <w:jc w:val="both"/>
              <w:rPr>
                <w:rFonts w:ascii="Cambria" w:eastAsia="Cambria" w:hAnsi="Cambria" w:cs="Cambria"/>
                <w:lang w:val="hr-HR"/>
              </w:rPr>
            </w:pPr>
            <w:r w:rsidRPr="00DF4CE5">
              <w:rPr>
                <w:rFonts w:ascii="Cambria" w:eastAsia="Cambria" w:hAnsi="Cambria" w:cs="Cambria"/>
                <w:lang w:val="hr-HR"/>
              </w:rPr>
              <w:t>Priručna:</w:t>
            </w:r>
          </w:p>
          <w:p w14:paraId="6D93ADAA" w14:textId="77777777" w:rsidR="00AC6110" w:rsidRPr="00DF4CE5" w:rsidRDefault="00AC6110" w:rsidP="00AC6110">
            <w:pPr>
              <w:widowControl w:val="0"/>
              <w:autoSpaceDE w:val="0"/>
              <w:autoSpaceDN w:val="0"/>
              <w:spacing w:after="0" w:line="240" w:lineRule="auto"/>
              <w:ind w:left="143" w:right="122"/>
              <w:jc w:val="both"/>
              <w:rPr>
                <w:rFonts w:ascii="Cambria" w:eastAsia="Cambria" w:hAnsi="Cambria" w:cs="Cambria"/>
                <w:lang w:val="hr-HR"/>
              </w:rPr>
            </w:pPr>
            <w:r w:rsidRPr="00DF4CE5">
              <w:rPr>
                <w:rFonts w:ascii="Cambria" w:eastAsia="Cambria" w:hAnsi="Cambria" w:cs="Cambria"/>
                <w:lang w:val="hr-HR"/>
              </w:rPr>
              <w:t xml:space="preserve">1. </w:t>
            </w:r>
            <w:proofErr w:type="spellStart"/>
            <w:r w:rsidRPr="00DF4CE5">
              <w:rPr>
                <w:rFonts w:ascii="Cambria" w:eastAsia="Cambria" w:hAnsi="Cambria" w:cs="Cambria"/>
                <w:lang w:val="hr-HR"/>
              </w:rPr>
              <w:t>Kurikulumi</w:t>
            </w:r>
            <w:proofErr w:type="spellEnd"/>
            <w:r w:rsidRPr="00DF4CE5">
              <w:rPr>
                <w:rFonts w:ascii="Cambria" w:eastAsia="Cambria" w:hAnsi="Cambria" w:cs="Cambria"/>
                <w:lang w:val="hr-HR"/>
              </w:rPr>
              <w:t xml:space="preserve"> nastavnih predmeta i </w:t>
            </w:r>
            <w:proofErr w:type="spellStart"/>
            <w:r w:rsidRPr="00DF4CE5">
              <w:rPr>
                <w:rFonts w:ascii="Cambria" w:eastAsia="Cambria" w:hAnsi="Cambria" w:cs="Cambria"/>
                <w:lang w:val="hr-HR"/>
              </w:rPr>
              <w:t>međupredmetnih</w:t>
            </w:r>
            <w:proofErr w:type="spellEnd"/>
            <w:r w:rsidRPr="00DF4CE5">
              <w:rPr>
                <w:rFonts w:ascii="Cambria" w:eastAsia="Cambria" w:hAnsi="Cambria" w:cs="Cambria"/>
                <w:lang w:val="hr-HR"/>
              </w:rPr>
              <w:t xml:space="preserve"> tema</w:t>
            </w:r>
          </w:p>
          <w:p w14:paraId="557A5428" w14:textId="77777777" w:rsidR="00AC6110" w:rsidRPr="00DF4CE5" w:rsidRDefault="00AC6110" w:rsidP="00AC6110">
            <w:pPr>
              <w:widowControl w:val="0"/>
              <w:autoSpaceDE w:val="0"/>
              <w:autoSpaceDN w:val="0"/>
              <w:spacing w:after="0" w:line="240" w:lineRule="auto"/>
              <w:ind w:left="143" w:right="122"/>
              <w:jc w:val="both"/>
              <w:rPr>
                <w:rFonts w:ascii="Cambria" w:eastAsia="Cambria" w:hAnsi="Cambria" w:cs="Cambria"/>
                <w:lang w:val="hr-HR"/>
              </w:rPr>
            </w:pPr>
            <w:r w:rsidRPr="00DF4CE5">
              <w:rPr>
                <w:rFonts w:ascii="Cambria" w:eastAsia="Cambria" w:hAnsi="Cambria" w:cs="Cambria"/>
                <w:lang w:val="hr-HR"/>
              </w:rPr>
              <w:t>(2019). Zagreb: Ministarstvo znanosti i obrazovanja Republike Hrvatske</w:t>
            </w:r>
          </w:p>
        </w:tc>
      </w:tr>
    </w:tbl>
    <w:p w14:paraId="21A87529" w14:textId="77777777" w:rsidR="009D774A" w:rsidRPr="00DF4CE5" w:rsidRDefault="009D774A" w:rsidP="009D774A">
      <w:pPr>
        <w:widowControl w:val="0"/>
        <w:autoSpaceDE w:val="0"/>
        <w:autoSpaceDN w:val="0"/>
        <w:spacing w:after="0" w:line="240" w:lineRule="auto"/>
        <w:rPr>
          <w:rFonts w:ascii="Cambria" w:eastAsia="Cambria" w:hAnsi="Cambria" w:cs="Cambria"/>
          <w:lang w:val="hr-HR"/>
        </w:rPr>
      </w:pPr>
    </w:p>
    <w:p w14:paraId="69054FEE" w14:textId="07ADC0F8" w:rsidR="00510729" w:rsidRPr="00DF4CE5" w:rsidRDefault="00510729" w:rsidP="00510729">
      <w:pPr>
        <w:spacing w:after="0" w:line="240" w:lineRule="auto"/>
        <w:rPr>
          <w:rFonts w:ascii="Cambria" w:eastAsia="Cambria" w:hAnsi="Cambria" w:cs="Cambria"/>
          <w:lang w:val="hr-HR"/>
        </w:rPr>
      </w:pPr>
    </w:p>
    <w:p w14:paraId="2FD0A211" w14:textId="71E633F3" w:rsidR="00B71FDE" w:rsidRPr="00DF4CE5" w:rsidRDefault="00B71FDE" w:rsidP="00510729">
      <w:pPr>
        <w:spacing w:after="0" w:line="240" w:lineRule="auto"/>
        <w:rPr>
          <w:rFonts w:ascii="Cambria" w:eastAsia="Cambria" w:hAnsi="Cambria" w:cs="Cambria"/>
          <w:lang w:val="hr-HR"/>
        </w:rPr>
      </w:pPr>
    </w:p>
    <w:p w14:paraId="2763DFF3" w14:textId="3D932BB1" w:rsidR="00B71FDE" w:rsidRPr="00DF4CE5" w:rsidRDefault="00B71FDE" w:rsidP="00510729">
      <w:pPr>
        <w:spacing w:after="0" w:line="240" w:lineRule="auto"/>
        <w:rPr>
          <w:rFonts w:ascii="Cambria" w:eastAsia="Cambria" w:hAnsi="Cambria" w:cs="Cambria"/>
          <w:lang w:val="hr-HR"/>
        </w:rPr>
      </w:pPr>
    </w:p>
    <w:p w14:paraId="52000AE7" w14:textId="66AF2572" w:rsidR="00B71FDE" w:rsidRPr="00DF4CE5" w:rsidRDefault="00B71FDE" w:rsidP="00510729">
      <w:pPr>
        <w:spacing w:after="0" w:line="240" w:lineRule="auto"/>
        <w:rPr>
          <w:rFonts w:ascii="Cambria" w:eastAsia="Cambria" w:hAnsi="Cambria" w:cs="Cambria"/>
          <w:lang w:val="hr-HR"/>
        </w:rPr>
      </w:pPr>
    </w:p>
    <w:p w14:paraId="683C64F9" w14:textId="6FFA8723" w:rsidR="00B71FDE" w:rsidRPr="00DF4CE5" w:rsidRDefault="00B71FDE" w:rsidP="00510729">
      <w:pPr>
        <w:spacing w:after="0" w:line="240" w:lineRule="auto"/>
        <w:rPr>
          <w:rFonts w:ascii="Cambria" w:eastAsia="Cambria" w:hAnsi="Cambria" w:cs="Cambria"/>
          <w:lang w:val="hr-HR"/>
        </w:rPr>
      </w:pPr>
    </w:p>
    <w:p w14:paraId="791F2C05" w14:textId="3BE8A1A5" w:rsidR="00B71FDE" w:rsidRPr="00DF4CE5" w:rsidRDefault="00B71FDE" w:rsidP="00510729">
      <w:pPr>
        <w:spacing w:after="0" w:line="240" w:lineRule="auto"/>
        <w:rPr>
          <w:rFonts w:ascii="Cambria" w:eastAsia="Cambria" w:hAnsi="Cambria" w:cs="Cambria"/>
          <w:lang w:val="hr-HR"/>
        </w:rPr>
      </w:pPr>
    </w:p>
    <w:p w14:paraId="668E0B15" w14:textId="724C2427" w:rsidR="00B71FDE" w:rsidRPr="00DF4CE5" w:rsidRDefault="00B71FDE" w:rsidP="00510729">
      <w:pPr>
        <w:spacing w:after="0" w:line="240" w:lineRule="auto"/>
        <w:rPr>
          <w:rFonts w:ascii="Cambria" w:eastAsia="Cambria" w:hAnsi="Cambria" w:cs="Cambria"/>
          <w:lang w:val="hr-HR"/>
        </w:rPr>
      </w:pPr>
    </w:p>
    <w:p w14:paraId="6E13F236" w14:textId="0E40002D" w:rsidR="00B71FDE" w:rsidRPr="00DF4CE5" w:rsidRDefault="00B71FDE" w:rsidP="00510729">
      <w:pPr>
        <w:spacing w:after="0" w:line="240" w:lineRule="auto"/>
        <w:rPr>
          <w:rFonts w:ascii="Cambria" w:eastAsia="Cambria" w:hAnsi="Cambria" w:cs="Cambria"/>
          <w:lang w:val="hr-HR"/>
        </w:rPr>
      </w:pPr>
    </w:p>
    <w:p w14:paraId="485369E1" w14:textId="4311CB08" w:rsidR="00B71FDE" w:rsidRPr="00DF4CE5" w:rsidRDefault="00B71FDE" w:rsidP="00510729">
      <w:pPr>
        <w:spacing w:after="0" w:line="240" w:lineRule="auto"/>
        <w:rPr>
          <w:rFonts w:ascii="Cambria" w:eastAsia="Cambria" w:hAnsi="Cambria" w:cs="Cambria"/>
          <w:lang w:val="hr-HR"/>
        </w:rPr>
      </w:pPr>
    </w:p>
    <w:p w14:paraId="1CA6DA22" w14:textId="480B173A" w:rsidR="00B71FDE" w:rsidRPr="00DF4CE5" w:rsidRDefault="00B71FDE" w:rsidP="00510729">
      <w:pPr>
        <w:spacing w:after="0" w:line="240" w:lineRule="auto"/>
        <w:rPr>
          <w:rFonts w:ascii="Cambria" w:eastAsia="Cambria" w:hAnsi="Cambria" w:cs="Cambria"/>
          <w:lang w:val="hr-HR"/>
        </w:rPr>
      </w:pPr>
    </w:p>
    <w:p w14:paraId="6C86F3D8" w14:textId="10459544" w:rsidR="00B71FDE" w:rsidRPr="00DF4CE5" w:rsidRDefault="00B71FDE" w:rsidP="00510729">
      <w:pPr>
        <w:spacing w:after="0" w:line="240" w:lineRule="auto"/>
        <w:rPr>
          <w:rFonts w:ascii="Cambria" w:eastAsia="Cambria" w:hAnsi="Cambria" w:cs="Cambria"/>
          <w:lang w:val="hr-HR"/>
        </w:rPr>
      </w:pPr>
    </w:p>
    <w:p w14:paraId="587C057A" w14:textId="28EB06DE" w:rsidR="00B71FDE" w:rsidRPr="00DF4CE5" w:rsidRDefault="00B71FDE" w:rsidP="00510729">
      <w:pPr>
        <w:spacing w:after="0" w:line="240" w:lineRule="auto"/>
        <w:rPr>
          <w:rFonts w:ascii="Cambria" w:eastAsia="Cambria" w:hAnsi="Cambria" w:cs="Cambria"/>
          <w:lang w:val="hr-HR"/>
        </w:rPr>
      </w:pPr>
    </w:p>
    <w:p w14:paraId="5B733B8D" w14:textId="6EC0864F" w:rsidR="00B71FDE" w:rsidRPr="00DF4CE5" w:rsidRDefault="00B71FDE" w:rsidP="00510729">
      <w:pPr>
        <w:spacing w:after="0" w:line="240" w:lineRule="auto"/>
        <w:rPr>
          <w:rFonts w:ascii="Cambria" w:eastAsia="Cambria" w:hAnsi="Cambria" w:cs="Cambria"/>
          <w:lang w:val="hr-HR"/>
        </w:rPr>
      </w:pPr>
    </w:p>
    <w:p w14:paraId="6AED68BA" w14:textId="30D7944B" w:rsidR="00B71FDE" w:rsidRPr="00DF4CE5" w:rsidRDefault="00B71FDE" w:rsidP="00510729">
      <w:pPr>
        <w:spacing w:after="0" w:line="240" w:lineRule="auto"/>
        <w:rPr>
          <w:rFonts w:ascii="Cambria" w:eastAsia="Cambria" w:hAnsi="Cambria" w:cs="Cambria"/>
          <w:lang w:val="hr-HR"/>
        </w:rPr>
      </w:pPr>
    </w:p>
    <w:p w14:paraId="5960CA4D" w14:textId="713DC9A1" w:rsidR="00B71FDE" w:rsidRPr="00DF4CE5" w:rsidRDefault="00B71FDE" w:rsidP="00510729">
      <w:pPr>
        <w:spacing w:after="0" w:line="240" w:lineRule="auto"/>
        <w:rPr>
          <w:rFonts w:ascii="Cambria" w:eastAsia="Cambria" w:hAnsi="Cambria" w:cs="Cambria"/>
          <w:lang w:val="hr-HR"/>
        </w:rPr>
      </w:pPr>
    </w:p>
    <w:p w14:paraId="6A6D27A3" w14:textId="789685AF" w:rsidR="00B71FDE" w:rsidRPr="00DF4CE5" w:rsidRDefault="00B71FDE" w:rsidP="00510729">
      <w:pPr>
        <w:spacing w:after="0" w:line="240" w:lineRule="auto"/>
        <w:rPr>
          <w:rFonts w:ascii="Cambria" w:eastAsia="Cambria" w:hAnsi="Cambria" w:cs="Cambria"/>
          <w:lang w:val="hr-HR"/>
        </w:rPr>
      </w:pPr>
    </w:p>
    <w:p w14:paraId="419372E0" w14:textId="50AACF38" w:rsidR="00B71FDE" w:rsidRPr="00DF4CE5" w:rsidRDefault="00B71FDE" w:rsidP="00510729">
      <w:pPr>
        <w:spacing w:after="0" w:line="240" w:lineRule="auto"/>
        <w:rPr>
          <w:rFonts w:ascii="Cambria" w:eastAsia="Cambria" w:hAnsi="Cambria" w:cs="Cambria"/>
          <w:lang w:val="hr-HR"/>
        </w:rPr>
      </w:pPr>
    </w:p>
    <w:p w14:paraId="468AC45B" w14:textId="25EB5F82" w:rsidR="00450B7A" w:rsidRDefault="00450B7A">
      <w:pPr>
        <w:rPr>
          <w:rFonts w:ascii="Cambria" w:eastAsia="Cambria" w:hAnsi="Cambria" w:cs="Cambria"/>
          <w:lang w:val="hr-HR"/>
        </w:rPr>
      </w:pPr>
      <w:r>
        <w:rPr>
          <w:rFonts w:ascii="Cambria" w:eastAsia="Cambria" w:hAnsi="Cambria" w:cs="Cambria"/>
          <w:lang w:val="hr-HR"/>
        </w:rPr>
        <w:br w:type="page"/>
      </w:r>
    </w:p>
    <w:p w14:paraId="51BBD465" w14:textId="587B64A4" w:rsidR="00B71FDE" w:rsidRPr="00450B7A" w:rsidRDefault="00450B7A" w:rsidP="00450B7A">
      <w:pPr>
        <w:jc w:val="center"/>
        <w:rPr>
          <w:rFonts w:ascii="Cambria" w:eastAsia="Cambria" w:hAnsi="Cambria" w:cs="Cambria"/>
          <w:b/>
          <w:lang w:val="hr-HR"/>
        </w:rPr>
      </w:pPr>
      <w:r w:rsidRPr="00450B7A">
        <w:rPr>
          <w:rFonts w:ascii="Cambria" w:eastAsia="Cambria" w:hAnsi="Cambria" w:cs="Cambria"/>
          <w:b/>
          <w:lang w:val="hr-HR"/>
        </w:rPr>
        <w:lastRenderedPageBreak/>
        <w:t>IV. semestar</w:t>
      </w:r>
    </w:p>
    <w:tbl>
      <w:tblPr>
        <w:tblW w:w="4999" w:type="pct"/>
        <w:tblLayout w:type="fixed"/>
        <w:tblCellMar>
          <w:left w:w="0" w:type="dxa"/>
          <w:right w:w="0" w:type="dxa"/>
        </w:tblCellMar>
        <w:tblLook w:val="0600" w:firstRow="0" w:lastRow="0" w:firstColumn="0" w:lastColumn="0" w:noHBand="1" w:noVBand="1"/>
      </w:tblPr>
      <w:tblGrid>
        <w:gridCol w:w="2808"/>
        <w:gridCol w:w="2663"/>
        <w:gridCol w:w="105"/>
        <w:gridCol w:w="1171"/>
        <w:gridCol w:w="300"/>
        <w:gridCol w:w="472"/>
        <w:gridCol w:w="1087"/>
        <w:gridCol w:w="1412"/>
      </w:tblGrid>
      <w:tr w:rsidR="00510729" w:rsidRPr="00DF4CE5" w14:paraId="02D97F1C" w14:textId="77777777" w:rsidTr="00510729">
        <w:tc>
          <w:tcPr>
            <w:tcW w:w="9050"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BD844F1" w14:textId="77777777" w:rsidR="00510729" w:rsidRPr="00DF4CE5" w:rsidRDefault="00510729" w:rsidP="00510729">
            <w:pPr>
              <w:spacing w:after="0" w:line="240" w:lineRule="auto"/>
              <w:jc w:val="right"/>
              <w:rPr>
                <w:rFonts w:ascii="Cambria" w:eastAsia="Times New Roman" w:hAnsi="Cambria" w:cs="Calibri"/>
                <w:b/>
                <w:lang w:val="hr-HR"/>
              </w:rPr>
            </w:pPr>
            <w:r w:rsidRPr="00DF4CE5">
              <w:rPr>
                <w:rFonts w:ascii="Cambria" w:eastAsia="Times New Roman" w:hAnsi="Cambria" w:cs="Calibri"/>
                <w:b/>
                <w:lang w:val="hr-HR"/>
              </w:rPr>
              <w:t>IZVEDBENI PLAN NASTAVE KOLEGIJA</w:t>
            </w:r>
          </w:p>
        </w:tc>
      </w:tr>
      <w:tr w:rsidR="00510729" w:rsidRPr="00DF4CE5" w14:paraId="3CA29C6E" w14:textId="77777777" w:rsidTr="00510729">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CEE196E"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Kod i naziv kolegija</w:t>
            </w:r>
          </w:p>
        </w:tc>
        <w:tc>
          <w:tcPr>
            <w:tcW w:w="651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5527D04" w14:textId="31744699" w:rsidR="00510729" w:rsidRPr="00DF4CE5" w:rsidRDefault="00CE1FD6"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273617</w:t>
            </w:r>
          </w:p>
          <w:p w14:paraId="4892A3CC"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 xml:space="preserve">Inkluzivna pedagogija </w:t>
            </w:r>
          </w:p>
        </w:tc>
      </w:tr>
      <w:tr w:rsidR="00510729" w:rsidRPr="00F942C2" w14:paraId="4900871C" w14:textId="77777777" w:rsidTr="00F942C2">
        <w:trPr>
          <w:trHeight w:val="555"/>
        </w:trPr>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5580133" w14:textId="19ACA0E7" w:rsidR="00510729"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 xml:space="preserve">Nastavnica </w:t>
            </w:r>
          </w:p>
          <w:p w14:paraId="5C32E82D" w14:textId="1DDCD547" w:rsidR="00510729" w:rsidRPr="00DF4CE5" w:rsidRDefault="00A61D16" w:rsidP="00510729">
            <w:pPr>
              <w:spacing w:after="0" w:line="240" w:lineRule="auto"/>
              <w:rPr>
                <w:rFonts w:ascii="Cambria" w:eastAsia="Times New Roman" w:hAnsi="Cambria" w:cs="Calibri"/>
                <w:lang w:val="hr-HR"/>
              </w:rPr>
            </w:pPr>
            <w:r>
              <w:rPr>
                <w:rFonts w:ascii="Cambria" w:eastAsia="Times New Roman" w:hAnsi="Cambria" w:cs="Calibri"/>
                <w:lang w:val="hr-HR"/>
              </w:rPr>
              <w:t>Suradnica</w:t>
            </w:r>
          </w:p>
        </w:tc>
        <w:tc>
          <w:tcPr>
            <w:tcW w:w="651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80200B5" w14:textId="07A2B587" w:rsidR="00510729" w:rsidRPr="00DF4CE5" w:rsidRDefault="00A61D16" w:rsidP="00510729">
            <w:pPr>
              <w:spacing w:after="0" w:line="240" w:lineRule="auto"/>
              <w:rPr>
                <w:rFonts w:ascii="Cambria" w:eastAsia="Times New Roman" w:hAnsi="Cambria" w:cs="Calibri"/>
                <w:lang w:val="hr-HR"/>
              </w:rPr>
            </w:pPr>
            <w:hyperlink r:id="rId73" w:history="1">
              <w:r w:rsidRPr="00F942C2">
                <w:rPr>
                  <w:rStyle w:val="Hiperveza"/>
                  <w:rFonts w:ascii="Cambria" w:eastAsia="Times New Roman" w:hAnsi="Cambria" w:cs="Calibri"/>
                  <w:lang w:val="hr-HR"/>
                </w:rPr>
                <w:t>P</w:t>
              </w:r>
              <w:r w:rsidR="00510729" w:rsidRPr="00F942C2">
                <w:rPr>
                  <w:rStyle w:val="Hiperveza"/>
                  <w:rFonts w:ascii="Cambria" w:eastAsia="Times New Roman" w:hAnsi="Cambria" w:cs="Calibri"/>
                  <w:lang w:val="hr-HR"/>
                </w:rPr>
                <w:t xml:space="preserve">rof. dr. sc. Mirjana </w:t>
              </w:r>
              <w:proofErr w:type="spellStart"/>
              <w:r w:rsidR="00510729" w:rsidRPr="00F942C2">
                <w:rPr>
                  <w:rStyle w:val="Hiperveza"/>
                  <w:rFonts w:ascii="Cambria" w:eastAsia="Times New Roman" w:hAnsi="Cambria" w:cs="Calibri"/>
                  <w:lang w:val="hr-HR"/>
                </w:rPr>
                <w:t>Radetić</w:t>
              </w:r>
              <w:proofErr w:type="spellEnd"/>
              <w:r w:rsidR="00510729" w:rsidRPr="00F942C2">
                <w:rPr>
                  <w:rStyle w:val="Hiperveza"/>
                  <w:rFonts w:ascii="Cambria" w:eastAsia="Times New Roman" w:hAnsi="Cambria" w:cs="Calibri"/>
                  <w:lang w:val="hr-HR"/>
                </w:rPr>
                <w:t xml:space="preserve">-Paić </w:t>
              </w:r>
            </w:hyperlink>
            <w:r w:rsidR="00510729" w:rsidRPr="00DF4CE5">
              <w:rPr>
                <w:rFonts w:ascii="Cambria" w:eastAsia="Times New Roman" w:hAnsi="Cambria" w:cs="Calibri"/>
                <w:lang w:val="hr-HR"/>
              </w:rPr>
              <w:t xml:space="preserve"> (nositeljica)</w:t>
            </w:r>
          </w:p>
          <w:p w14:paraId="6FE1EAFB" w14:textId="41D87A28" w:rsidR="00510729" w:rsidRPr="00F942C2" w:rsidRDefault="00A61D16" w:rsidP="00510729">
            <w:pPr>
              <w:spacing w:after="0" w:line="240" w:lineRule="auto"/>
              <w:rPr>
                <w:rFonts w:ascii="Cambria" w:eastAsia="Times New Roman" w:hAnsi="Cambria" w:cs="Calibri"/>
                <w:lang w:val="hr-HR"/>
              </w:rPr>
            </w:pPr>
            <w:hyperlink r:id="rId74" w:history="1">
              <w:r w:rsidRPr="00F942C2">
                <w:rPr>
                  <w:rStyle w:val="Hiperveza"/>
                  <w:rFonts w:ascii="Cambria" w:eastAsia="Times New Roman" w:hAnsi="Cambria" w:cs="Calibri"/>
                  <w:lang w:val="hr-HR"/>
                </w:rPr>
                <w:t>D</w:t>
              </w:r>
              <w:r w:rsidR="00510729" w:rsidRPr="00F942C2">
                <w:rPr>
                  <w:rStyle w:val="Hiperveza"/>
                  <w:rFonts w:ascii="Cambria" w:eastAsia="Times New Roman" w:hAnsi="Cambria" w:cs="Calibri"/>
                  <w:lang w:val="hr-HR"/>
                </w:rPr>
                <w:t>r. sc. Vanja Marković, pred.</w:t>
              </w:r>
            </w:hyperlink>
          </w:p>
        </w:tc>
      </w:tr>
      <w:tr w:rsidR="00510729" w:rsidRPr="00D0399C" w14:paraId="03FF98BB" w14:textId="77777777" w:rsidTr="00510729">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44C149D"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Studijski program</w:t>
            </w:r>
          </w:p>
        </w:tc>
        <w:tc>
          <w:tcPr>
            <w:tcW w:w="651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5BFA3E6"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Sveučilišni integrirani prijediplomski i diplomski Učiteljski studij na hrvatskom jeziku</w:t>
            </w:r>
          </w:p>
        </w:tc>
      </w:tr>
      <w:tr w:rsidR="00510729" w:rsidRPr="00DF4CE5" w14:paraId="5DEA1998" w14:textId="77777777" w:rsidTr="00510729">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F93002B"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Vrsta kolegija</w:t>
            </w:r>
          </w:p>
        </w:tc>
        <w:tc>
          <w:tcPr>
            <w:tcW w:w="240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57A6157"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 xml:space="preserve">obvezan </w:t>
            </w:r>
          </w:p>
          <w:p w14:paraId="02F519DB" w14:textId="77777777" w:rsidR="00510729" w:rsidRPr="00DF4CE5" w:rsidRDefault="00510729" w:rsidP="00510729">
            <w:pPr>
              <w:spacing w:after="0" w:line="240" w:lineRule="auto"/>
              <w:rPr>
                <w:rFonts w:ascii="Cambria" w:eastAsia="Times New Roman" w:hAnsi="Cambria" w:cs="Calibri"/>
                <w:lang w:val="hr-HR"/>
              </w:rPr>
            </w:pPr>
          </w:p>
        </w:tc>
        <w:tc>
          <w:tcPr>
            <w:tcW w:w="1424"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0FED9278"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Razina kolegija</w:t>
            </w:r>
          </w:p>
        </w:tc>
        <w:tc>
          <w:tcPr>
            <w:tcW w:w="2684"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818CA02" w14:textId="77777777" w:rsidR="00510729" w:rsidRPr="00DF4CE5" w:rsidRDefault="00510729" w:rsidP="00510729">
            <w:pPr>
              <w:spacing w:after="0" w:line="240" w:lineRule="auto"/>
              <w:rPr>
                <w:rFonts w:ascii="Cambria" w:eastAsia="Times New Roman" w:hAnsi="Cambria" w:cs="Calibri"/>
                <w:lang w:val="hr-HR"/>
              </w:rPr>
            </w:pPr>
            <w:proofErr w:type="spellStart"/>
            <w:r w:rsidRPr="00DF4CE5">
              <w:rPr>
                <w:rFonts w:ascii="Cambria" w:eastAsia="Times New Roman" w:hAnsi="Cambria" w:cs="Calibri"/>
              </w:rPr>
              <w:t>integrirani</w:t>
            </w:r>
            <w:proofErr w:type="spellEnd"/>
          </w:p>
          <w:p w14:paraId="5A0A72FC" w14:textId="77777777" w:rsidR="00510729" w:rsidRPr="00DF4CE5" w:rsidRDefault="00510729" w:rsidP="00510729">
            <w:pPr>
              <w:spacing w:after="0" w:line="240" w:lineRule="auto"/>
              <w:rPr>
                <w:rFonts w:ascii="Cambria" w:eastAsia="Times New Roman" w:hAnsi="Cambria" w:cs="Calibri"/>
                <w:lang w:val="hr-HR"/>
              </w:rPr>
            </w:pPr>
          </w:p>
        </w:tc>
      </w:tr>
      <w:tr w:rsidR="00510729" w:rsidRPr="00DF4CE5" w14:paraId="0DCFE1CC" w14:textId="77777777" w:rsidTr="00510729">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8E4B335"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Semestar</w:t>
            </w:r>
          </w:p>
        </w:tc>
        <w:tc>
          <w:tcPr>
            <w:tcW w:w="240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8BBF408" w14:textId="27086403" w:rsidR="00510729" w:rsidRPr="00DF4CE5" w:rsidRDefault="00F942C2" w:rsidP="00510729">
            <w:pPr>
              <w:spacing w:after="0" w:line="240" w:lineRule="auto"/>
              <w:rPr>
                <w:rFonts w:ascii="Cambria" w:eastAsia="Times New Roman" w:hAnsi="Cambria" w:cs="Calibri"/>
                <w:lang w:val="hr-HR"/>
              </w:rPr>
            </w:pPr>
            <w:r>
              <w:rPr>
                <w:rFonts w:ascii="Cambria" w:eastAsia="Times New Roman" w:hAnsi="Cambria" w:cs="Calibri"/>
                <w:lang w:val="hr-HR"/>
              </w:rPr>
              <w:t>l</w:t>
            </w:r>
            <w:r w:rsidR="00510729" w:rsidRPr="00DF4CE5">
              <w:rPr>
                <w:rFonts w:ascii="Cambria" w:eastAsia="Times New Roman" w:hAnsi="Cambria" w:cs="Calibri"/>
                <w:lang w:val="hr-HR"/>
              </w:rPr>
              <w:t>jetni</w:t>
            </w:r>
          </w:p>
        </w:tc>
        <w:tc>
          <w:tcPr>
            <w:tcW w:w="1424"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5D8DD9CE"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Godina studija</w:t>
            </w:r>
          </w:p>
        </w:tc>
        <w:tc>
          <w:tcPr>
            <w:tcW w:w="2684"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5E99A44"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II</w:t>
            </w:r>
          </w:p>
        </w:tc>
      </w:tr>
      <w:tr w:rsidR="00510729" w:rsidRPr="00DF4CE5" w14:paraId="569AAAAD" w14:textId="77777777" w:rsidTr="00510729">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B160056" w14:textId="77777777" w:rsidR="00510729" w:rsidRPr="00DF4CE5" w:rsidRDefault="00510729" w:rsidP="00510729">
            <w:pPr>
              <w:spacing w:after="0" w:line="240" w:lineRule="auto"/>
              <w:rPr>
                <w:rFonts w:ascii="Cambria" w:eastAsia="Times New Roman" w:hAnsi="Cambria" w:cs="Calibri"/>
                <w:lang w:val="hr-HR"/>
              </w:rPr>
            </w:pPr>
            <w:proofErr w:type="spellStart"/>
            <w:r w:rsidRPr="00DF4CE5">
              <w:rPr>
                <w:rFonts w:ascii="Cambria" w:eastAsia="Times New Roman" w:hAnsi="Cambria" w:cs="Calibri"/>
              </w:rPr>
              <w:t>Mjesto</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izvođenja</w:t>
            </w:r>
            <w:proofErr w:type="spellEnd"/>
          </w:p>
        </w:tc>
        <w:tc>
          <w:tcPr>
            <w:tcW w:w="240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617CA0C" w14:textId="53C62133" w:rsidR="00510729" w:rsidRPr="00DF4CE5" w:rsidRDefault="00F942C2" w:rsidP="00510729">
            <w:pPr>
              <w:spacing w:after="0" w:line="240" w:lineRule="auto"/>
              <w:rPr>
                <w:rFonts w:ascii="Cambria" w:eastAsia="Times New Roman" w:hAnsi="Cambria" w:cs="Calibri"/>
                <w:lang w:val="hr-HR"/>
              </w:rPr>
            </w:pPr>
            <w:r>
              <w:rPr>
                <w:rFonts w:ascii="Cambria" w:eastAsia="Times New Roman" w:hAnsi="Cambria" w:cs="Calibri"/>
                <w:lang w:val="hr-HR"/>
              </w:rPr>
              <w:t>u</w:t>
            </w:r>
            <w:r w:rsidR="00510729" w:rsidRPr="00DF4CE5">
              <w:rPr>
                <w:rFonts w:ascii="Cambria" w:eastAsia="Times New Roman" w:hAnsi="Cambria" w:cs="Calibri"/>
                <w:lang w:val="hr-HR"/>
              </w:rPr>
              <w:t>čionica</w:t>
            </w:r>
          </w:p>
        </w:tc>
        <w:tc>
          <w:tcPr>
            <w:tcW w:w="1424"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29AEE9EE"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rPr>
              <w:t>Jezik</w:t>
            </w:r>
            <w:r w:rsidRPr="00DF4CE5">
              <w:rPr>
                <w:rFonts w:ascii="Cambria" w:eastAsia="Times New Roman" w:hAnsi="Cambria" w:cs="Calibri"/>
                <w:lang w:val="hr-HR"/>
              </w:rPr>
              <w:t xml:space="preserve"> izvođenja (drugi jezici)</w:t>
            </w:r>
          </w:p>
        </w:tc>
        <w:tc>
          <w:tcPr>
            <w:tcW w:w="2684"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6511273"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hrvatski</w:t>
            </w:r>
          </w:p>
          <w:p w14:paraId="5F3D8816"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(engleski)</w:t>
            </w:r>
          </w:p>
        </w:tc>
      </w:tr>
      <w:tr w:rsidR="00510729" w:rsidRPr="00DF4CE5" w14:paraId="682A4E2C" w14:textId="77777777" w:rsidTr="00510729">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692A444"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Broj ECTS bodova</w:t>
            </w:r>
          </w:p>
        </w:tc>
        <w:tc>
          <w:tcPr>
            <w:tcW w:w="240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2B46A05"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6</w:t>
            </w:r>
          </w:p>
        </w:tc>
        <w:tc>
          <w:tcPr>
            <w:tcW w:w="1424"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1E5406D4"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Broj sati u semestru</w:t>
            </w:r>
          </w:p>
        </w:tc>
        <w:tc>
          <w:tcPr>
            <w:tcW w:w="2684"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896B1A9" w14:textId="5DF5E8B5"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30P – 15</w:t>
            </w:r>
            <w:r w:rsidR="00F942C2">
              <w:rPr>
                <w:rFonts w:ascii="Cambria" w:eastAsia="Times New Roman" w:hAnsi="Cambria" w:cs="Calibri"/>
                <w:lang w:val="hr-HR"/>
              </w:rPr>
              <w:t>S</w:t>
            </w:r>
            <w:r w:rsidRPr="00DF4CE5">
              <w:rPr>
                <w:rFonts w:ascii="Cambria" w:eastAsia="Times New Roman" w:hAnsi="Cambria" w:cs="Calibri"/>
                <w:lang w:val="hr-HR"/>
              </w:rPr>
              <w:t xml:space="preserve"> – 15</w:t>
            </w:r>
            <w:r w:rsidR="00F942C2">
              <w:rPr>
                <w:rFonts w:ascii="Cambria" w:eastAsia="Times New Roman" w:hAnsi="Cambria" w:cs="Calibri"/>
                <w:lang w:val="hr-HR"/>
              </w:rPr>
              <w:t>V</w:t>
            </w:r>
          </w:p>
        </w:tc>
      </w:tr>
      <w:tr w:rsidR="00510729" w:rsidRPr="00DF4CE5" w14:paraId="0AAC478D" w14:textId="77777777" w:rsidTr="00510729">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A05ED83"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Preduvjeti za upis i za svladavanje</w:t>
            </w:r>
          </w:p>
        </w:tc>
        <w:tc>
          <w:tcPr>
            <w:tcW w:w="651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0759A47"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 xml:space="preserve">Nema preduvjeta </w:t>
            </w:r>
          </w:p>
        </w:tc>
      </w:tr>
      <w:tr w:rsidR="00510729" w:rsidRPr="00DF4CE5" w14:paraId="78CC5D48" w14:textId="77777777" w:rsidTr="00510729">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E4190B7" w14:textId="77777777" w:rsidR="00510729" w:rsidRPr="00DF4CE5" w:rsidRDefault="00510729" w:rsidP="00510729">
            <w:pPr>
              <w:spacing w:after="0" w:line="240" w:lineRule="auto"/>
              <w:rPr>
                <w:rFonts w:ascii="Cambria" w:eastAsia="Times New Roman" w:hAnsi="Cambria" w:cs="Calibri"/>
                <w:lang w:val="hr-HR"/>
              </w:rPr>
            </w:pPr>
            <w:proofErr w:type="spellStart"/>
            <w:r w:rsidRPr="00DF4CE5">
              <w:rPr>
                <w:rFonts w:ascii="Cambria" w:eastAsia="Times New Roman" w:hAnsi="Cambria" w:cs="Calibri"/>
              </w:rPr>
              <w:t>Korelativnost</w:t>
            </w:r>
            <w:proofErr w:type="spellEnd"/>
          </w:p>
        </w:tc>
        <w:tc>
          <w:tcPr>
            <w:tcW w:w="651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4598191" w14:textId="00A1F9BD"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 xml:space="preserve">Pedagogija,  Edukacijska psihologija </w:t>
            </w:r>
          </w:p>
        </w:tc>
      </w:tr>
      <w:tr w:rsidR="00510729" w:rsidRPr="00D0399C" w14:paraId="3029FC6F" w14:textId="77777777" w:rsidTr="00510729">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323898B"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 xml:space="preserve">Cilj kolegija </w:t>
            </w:r>
          </w:p>
        </w:tc>
        <w:tc>
          <w:tcPr>
            <w:tcW w:w="651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560730A" w14:textId="5B671FC1" w:rsidR="00510729" w:rsidRPr="00DF4CE5" w:rsidRDefault="00F942C2" w:rsidP="00510729">
            <w:pPr>
              <w:spacing w:after="0" w:line="240" w:lineRule="auto"/>
              <w:rPr>
                <w:rFonts w:ascii="Cambria" w:eastAsia="Times New Roman" w:hAnsi="Cambria" w:cs="Calibri"/>
                <w:lang w:val="hr-HR"/>
              </w:rPr>
            </w:pPr>
            <w:r>
              <w:rPr>
                <w:rFonts w:ascii="Cambria" w:eastAsia="Times New Roman" w:hAnsi="Cambria" w:cs="Calibri"/>
                <w:lang w:val="hr-HR"/>
              </w:rPr>
              <w:t>u</w:t>
            </w:r>
            <w:r w:rsidR="00510729" w:rsidRPr="00DF4CE5">
              <w:rPr>
                <w:rFonts w:ascii="Cambria" w:eastAsia="Times New Roman" w:hAnsi="Cambria" w:cs="Calibri"/>
                <w:lang w:val="hr-HR"/>
              </w:rPr>
              <w:t>svojiti temeljne činjenice o odgoju i obrazovanju djece s teškoćama u razvoju</w:t>
            </w:r>
          </w:p>
        </w:tc>
      </w:tr>
      <w:tr w:rsidR="00510729" w:rsidRPr="00D0399C" w14:paraId="750D242B" w14:textId="77777777" w:rsidTr="00510729">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5C5F1D5"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Ishodi učenja</w:t>
            </w:r>
          </w:p>
        </w:tc>
        <w:tc>
          <w:tcPr>
            <w:tcW w:w="651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5DB6B78"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1. imenovati razvojne specifičnosti učenika s teškoćama u razvoju u sklopu individualnih razlika među učenicima te dobi</w:t>
            </w:r>
          </w:p>
          <w:p w14:paraId="6DB6B46E"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2. opisati etiološke čimbenike nastanka teškoće, dijagnostičke instrumente, principe i metode rada s učenicima s teškoćama u razvoju ranog školskog uzrasta, programe rada i nastavnu tehnologiju</w:t>
            </w:r>
          </w:p>
          <w:p w14:paraId="1534D800"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3. razlikovati osobitosti u ponašanju učenika s teškoćama u razvoju</w:t>
            </w:r>
          </w:p>
          <w:p w14:paraId="274F2B2E"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4. primijeniti stečene spoznaje u radu s učenicima s teškoćama u razvoju u  razrednoj nastavi</w:t>
            </w:r>
          </w:p>
          <w:p w14:paraId="23383983"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 xml:space="preserve">5. analizirati osobitosti u ponašanju učenika s teškoćama u razvoju </w:t>
            </w:r>
          </w:p>
          <w:p w14:paraId="3F031A1A"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6. procijeniti  razvojne potencijale učenika s teškoćama u razvoju</w:t>
            </w:r>
          </w:p>
        </w:tc>
      </w:tr>
      <w:tr w:rsidR="00510729" w:rsidRPr="00D0399C" w14:paraId="150294BF" w14:textId="77777777" w:rsidTr="00510729">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143185D4"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Sadržaj kolegija</w:t>
            </w:r>
          </w:p>
        </w:tc>
        <w:tc>
          <w:tcPr>
            <w:tcW w:w="6514"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AE7C166"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1. Osnovne odrednice (definicije važeće u RH) statusa djece sa specifičnostima u razvoju, usporedbe određenja specifičnosti u razvoju djece školske dobi u europskim zemljama</w:t>
            </w:r>
          </w:p>
          <w:p w14:paraId="37F3466A"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2. Incidencija i struktura populacije djece s teškoćama u razvoju školske dobi, statistički i drugi pokazatelji statusa djece s teškoćama u razvoju školske dobi</w:t>
            </w:r>
          </w:p>
          <w:p w14:paraId="0AE11A9E"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3. Suvremena terminologija u odgojno-obrazovnoj praksi, analiza značenja stručnih termina, interdisciplinarnost stručnog nazivlja.</w:t>
            </w:r>
          </w:p>
          <w:p w14:paraId="78C6C529"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4. Etiologija specifičnosti u razvoju djece školske dobi; relacije bioloških i ekonomsko-socijalnih čimbenika, analiza etiologije kod pojedine djece s teškoćama u razvoju (studije slučaja)</w:t>
            </w:r>
          </w:p>
          <w:p w14:paraId="7C86A4B6"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5. Opće osobine učenika s teškoćama u razvoju mlađe osnovnoškolske dobi. Posebne značajke pojedinih skupina učenika s teškoćama u razvoju, analiza pojedinačnih slučajeva učenika sa specifičnostima u razvoju</w:t>
            </w:r>
          </w:p>
          <w:p w14:paraId="5469CCD5"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lastRenderedPageBreak/>
              <w:t>6. Osnovne postavke diferencijalne dijagnostike u području odgoja i obrazovanja djece s teškoćama u razvoju, pregled i analiza dijagnostičkih instrumenata za potrebe odgoja i obrazovanja djece s teškoćama u razvoju</w:t>
            </w:r>
          </w:p>
          <w:p w14:paraId="79E3E4D0"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7. Principi i metode rada s učenicima s teškoćama u razvoju ranog školskog uzrasta; prilagođeni programi; nastavna tehnologija za učenike s teškoćama u razvoju</w:t>
            </w:r>
          </w:p>
          <w:p w14:paraId="36CDECCF"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8. Stručne organizacije i humanitarne udruge relevantne za odgoj i obrazovanje učenika s teškoćama u razvoju.</w:t>
            </w:r>
          </w:p>
        </w:tc>
      </w:tr>
      <w:tr w:rsidR="00510729" w:rsidRPr="00DF4CE5" w14:paraId="2B004EB0" w14:textId="77777777" w:rsidTr="00510729">
        <w:tc>
          <w:tcPr>
            <w:tcW w:w="2536"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1F112B2C"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lastRenderedPageBreak/>
              <w:t>Planirane aktivnosti,</w:t>
            </w:r>
          </w:p>
          <w:p w14:paraId="70B1EAE8" w14:textId="77777777" w:rsidR="00510729" w:rsidRPr="00DF4CE5" w:rsidRDefault="00510729" w:rsidP="00510729">
            <w:pPr>
              <w:spacing w:after="0" w:line="240" w:lineRule="auto"/>
              <w:rPr>
                <w:rFonts w:ascii="Cambria" w:eastAsia="Times New Roman" w:hAnsi="Cambria" w:cs="Calibri"/>
                <w:lang w:val="hr-HR"/>
              </w:rPr>
            </w:pPr>
            <w:proofErr w:type="spellStart"/>
            <w:r w:rsidRPr="00DF4CE5">
              <w:rPr>
                <w:rFonts w:ascii="Cambria" w:eastAsia="Times New Roman" w:hAnsi="Cambria" w:cs="Calibri"/>
                <w:lang w:val="it-IT"/>
              </w:rPr>
              <w:t>metode</w:t>
            </w:r>
            <w:proofErr w:type="spellEnd"/>
            <w:r w:rsidRPr="00DF4CE5">
              <w:rPr>
                <w:rFonts w:ascii="Cambria" w:eastAsia="Times New Roman" w:hAnsi="Cambria" w:cs="Calibri"/>
                <w:lang w:val="hr-HR"/>
              </w:rPr>
              <w:t xml:space="preserve"> učenja i poučavanja i načini vrednovanja</w:t>
            </w:r>
          </w:p>
          <w:p w14:paraId="748DC1C3" w14:textId="77777777" w:rsidR="00510729" w:rsidRPr="00DF4CE5" w:rsidRDefault="00510729" w:rsidP="00510729">
            <w:pPr>
              <w:spacing w:after="0" w:line="240" w:lineRule="auto"/>
              <w:rPr>
                <w:rFonts w:ascii="Cambria" w:eastAsia="Times New Roman" w:hAnsi="Cambria" w:cs="Calibri"/>
                <w:lang w:val="hr-HR"/>
              </w:rPr>
            </w:pPr>
          </w:p>
        </w:tc>
        <w:tc>
          <w:tcPr>
            <w:tcW w:w="250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D4F3CDD"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bCs/>
                <w:lang w:val="hr-HR"/>
              </w:rPr>
              <w:t>Obveze</w:t>
            </w:r>
          </w:p>
          <w:p w14:paraId="63DEE132" w14:textId="77777777" w:rsidR="00510729" w:rsidRPr="00DF4CE5" w:rsidRDefault="00510729" w:rsidP="00510729">
            <w:pPr>
              <w:spacing w:after="0" w:line="240" w:lineRule="auto"/>
              <w:rPr>
                <w:rFonts w:ascii="Cambria" w:eastAsia="Times New Roman" w:hAnsi="Cambria" w:cs="Calibri"/>
                <w:lang w:val="hr-HR"/>
              </w:rPr>
            </w:pPr>
          </w:p>
        </w:tc>
        <w:tc>
          <w:tcPr>
            <w:tcW w:w="1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8721F31"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bCs/>
                <w:lang w:val="hr-HR"/>
              </w:rPr>
              <w:t>Ishodi</w:t>
            </w:r>
          </w:p>
          <w:p w14:paraId="4D238772" w14:textId="77777777" w:rsidR="00510729" w:rsidRPr="00DF4CE5" w:rsidRDefault="00510729" w:rsidP="00510729">
            <w:pPr>
              <w:spacing w:after="0" w:line="240" w:lineRule="auto"/>
              <w:rPr>
                <w:rFonts w:ascii="Cambria" w:eastAsia="Times New Roman" w:hAnsi="Cambria" w:cs="Calibri"/>
                <w:lang w:val="hr-HR"/>
              </w:rPr>
            </w:pPr>
          </w:p>
        </w:tc>
        <w:tc>
          <w:tcPr>
            <w:tcW w:w="69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71008F0"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bCs/>
                <w:lang w:val="hr-HR"/>
              </w:rPr>
              <w:t>Sati</w:t>
            </w:r>
          </w:p>
        </w:tc>
        <w:tc>
          <w:tcPr>
            <w:tcW w:w="9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D33C7EF"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bCs/>
                <w:lang w:val="hr-HR"/>
              </w:rPr>
              <w:t>ECTS</w:t>
            </w:r>
          </w:p>
        </w:tc>
        <w:tc>
          <w:tcPr>
            <w:tcW w:w="12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68A197A"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bCs/>
                <w:lang w:val="hr-HR"/>
              </w:rPr>
              <w:t>Maksimalni udio u ocjeni</w:t>
            </w:r>
            <w:r w:rsidRPr="00DF4CE5">
              <w:rPr>
                <w:rFonts w:ascii="Cambria" w:eastAsia="Times New Roman" w:hAnsi="Cambria" w:cs="Calibri"/>
                <w:bCs/>
              </w:rPr>
              <w:t xml:space="preserve"> (%)</w:t>
            </w:r>
          </w:p>
        </w:tc>
      </w:tr>
      <w:tr w:rsidR="00510729" w:rsidRPr="00DF4CE5" w14:paraId="7F9B6E04" w14:textId="77777777" w:rsidTr="00510729">
        <w:tc>
          <w:tcPr>
            <w:tcW w:w="2536" w:type="dxa"/>
            <w:vMerge/>
            <w:tcBorders>
              <w:left w:val="single" w:sz="8" w:space="0" w:color="000000"/>
              <w:right w:val="single" w:sz="8" w:space="0" w:color="000000"/>
            </w:tcBorders>
            <w:vAlign w:val="center"/>
          </w:tcPr>
          <w:p w14:paraId="45D78908" w14:textId="77777777" w:rsidR="00510729" w:rsidRPr="00DF4CE5" w:rsidRDefault="00510729" w:rsidP="00510729">
            <w:pPr>
              <w:spacing w:after="0" w:line="240" w:lineRule="auto"/>
              <w:rPr>
                <w:rFonts w:ascii="Cambria" w:eastAsia="Times New Roman" w:hAnsi="Cambria" w:cs="Calibri"/>
                <w:lang w:val="hr-HR"/>
              </w:rPr>
            </w:pPr>
          </w:p>
        </w:tc>
        <w:tc>
          <w:tcPr>
            <w:tcW w:w="250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8B0E29A" w14:textId="57D5588E" w:rsidR="00510729" w:rsidRPr="00DF4CE5" w:rsidRDefault="00B71FDE" w:rsidP="00510729">
            <w:pPr>
              <w:spacing w:after="0" w:line="240" w:lineRule="auto"/>
              <w:rPr>
                <w:rFonts w:ascii="Cambria" w:eastAsia="Times New Roman" w:hAnsi="Cambria" w:cs="Calibri"/>
                <w:lang w:val="hr-HR"/>
              </w:rPr>
            </w:pPr>
            <w:r w:rsidRPr="00DF4CE5">
              <w:rPr>
                <w:rFonts w:ascii="Cambria" w:eastAsia="Times New Roman" w:hAnsi="Cambria" w:cs="Calibri"/>
                <w:lang w:val="pl-PL"/>
              </w:rPr>
              <w:t>aktivnost na nastavi</w:t>
            </w:r>
          </w:p>
        </w:tc>
        <w:tc>
          <w:tcPr>
            <w:tcW w:w="1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4F220F6" w14:textId="77777777" w:rsidR="00510729" w:rsidRPr="00DF4CE5" w:rsidRDefault="00510729" w:rsidP="00510729">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1.-6.</w:t>
            </w:r>
          </w:p>
        </w:tc>
        <w:tc>
          <w:tcPr>
            <w:tcW w:w="69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7E75050" w14:textId="77777777" w:rsidR="00510729" w:rsidRPr="00DF4CE5" w:rsidRDefault="00510729" w:rsidP="00510729">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45</w:t>
            </w:r>
          </w:p>
        </w:tc>
        <w:tc>
          <w:tcPr>
            <w:tcW w:w="9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000E9D4" w14:textId="77777777" w:rsidR="00510729" w:rsidRPr="00DF4CE5" w:rsidRDefault="00510729" w:rsidP="00510729">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1,5</w:t>
            </w:r>
          </w:p>
        </w:tc>
        <w:tc>
          <w:tcPr>
            <w:tcW w:w="12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E17188D" w14:textId="77777777" w:rsidR="00510729" w:rsidRPr="00DF4CE5" w:rsidRDefault="00510729" w:rsidP="00510729">
            <w:pPr>
              <w:spacing w:after="0" w:line="240" w:lineRule="auto"/>
              <w:jc w:val="center"/>
              <w:rPr>
                <w:rFonts w:ascii="Cambria" w:eastAsia="Times New Roman" w:hAnsi="Cambria" w:cs="Calibri"/>
                <w:lang w:val="hr-HR" w:eastAsia="hr-HR"/>
              </w:rPr>
            </w:pPr>
            <w:r w:rsidRPr="00DF4CE5">
              <w:rPr>
                <w:rFonts w:ascii="Cambria" w:eastAsia="Times New Roman" w:hAnsi="Cambria" w:cs="Calibri"/>
                <w:lang w:val="hr-HR" w:eastAsia="hr-HR"/>
              </w:rPr>
              <w:t xml:space="preserve">15% </w:t>
            </w:r>
          </w:p>
          <w:p w14:paraId="271584FC" w14:textId="77777777" w:rsidR="00510729" w:rsidRPr="00DF4CE5" w:rsidRDefault="00510729" w:rsidP="00510729">
            <w:pPr>
              <w:spacing w:after="0" w:line="240" w:lineRule="auto"/>
              <w:jc w:val="center"/>
              <w:rPr>
                <w:rFonts w:ascii="Cambria" w:eastAsia="Times New Roman" w:hAnsi="Cambria" w:cs="Calibri"/>
                <w:lang w:val="hr-HR"/>
              </w:rPr>
            </w:pPr>
            <w:r w:rsidRPr="00DF4CE5">
              <w:rPr>
                <w:rFonts w:ascii="Cambria" w:eastAsia="Times New Roman" w:hAnsi="Cambria" w:cs="Calibri"/>
                <w:lang w:val="hr-HR" w:eastAsia="hr-HR"/>
              </w:rPr>
              <w:t>(5% + 5%+ 5%)</w:t>
            </w:r>
          </w:p>
        </w:tc>
      </w:tr>
      <w:tr w:rsidR="00510729" w:rsidRPr="00DF4CE5" w14:paraId="121B3A29" w14:textId="77777777" w:rsidTr="00510729">
        <w:tc>
          <w:tcPr>
            <w:tcW w:w="2536" w:type="dxa"/>
            <w:vMerge/>
            <w:tcBorders>
              <w:left w:val="single" w:sz="8" w:space="0" w:color="000000"/>
              <w:right w:val="single" w:sz="8" w:space="0" w:color="000000"/>
            </w:tcBorders>
            <w:vAlign w:val="center"/>
          </w:tcPr>
          <w:p w14:paraId="08D891AF" w14:textId="77777777" w:rsidR="00510729" w:rsidRPr="00DF4CE5" w:rsidRDefault="00510729" w:rsidP="00510729">
            <w:pPr>
              <w:spacing w:after="0" w:line="240" w:lineRule="auto"/>
              <w:rPr>
                <w:rFonts w:ascii="Cambria" w:eastAsia="Times New Roman" w:hAnsi="Cambria" w:cs="Calibri"/>
                <w:lang w:val="hr-HR"/>
              </w:rPr>
            </w:pPr>
          </w:p>
        </w:tc>
        <w:tc>
          <w:tcPr>
            <w:tcW w:w="250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7598E5C"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pismeni radovi (seminarski rad i prikaz)</w:t>
            </w:r>
          </w:p>
        </w:tc>
        <w:tc>
          <w:tcPr>
            <w:tcW w:w="1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1B74A92" w14:textId="77777777" w:rsidR="00510729" w:rsidRPr="00DF4CE5" w:rsidRDefault="00510729" w:rsidP="00510729">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1.-5.</w:t>
            </w:r>
          </w:p>
        </w:tc>
        <w:tc>
          <w:tcPr>
            <w:tcW w:w="69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FB4934A" w14:textId="77777777" w:rsidR="00510729" w:rsidRPr="00DF4CE5" w:rsidRDefault="00510729" w:rsidP="00510729">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36</w:t>
            </w:r>
          </w:p>
        </w:tc>
        <w:tc>
          <w:tcPr>
            <w:tcW w:w="9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D8345F7" w14:textId="77777777" w:rsidR="00510729" w:rsidRPr="00DF4CE5" w:rsidRDefault="00510729" w:rsidP="00510729">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1,2</w:t>
            </w:r>
          </w:p>
        </w:tc>
        <w:tc>
          <w:tcPr>
            <w:tcW w:w="12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01FE487" w14:textId="77777777" w:rsidR="00510729" w:rsidRPr="00DF4CE5" w:rsidRDefault="00510729" w:rsidP="00510729">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27,5 %</w:t>
            </w:r>
          </w:p>
          <w:p w14:paraId="128EFA0B" w14:textId="77777777" w:rsidR="00510729" w:rsidRPr="00DF4CE5" w:rsidRDefault="00510729" w:rsidP="00510729">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(15% + 7,5%)</w:t>
            </w:r>
          </w:p>
        </w:tc>
      </w:tr>
      <w:tr w:rsidR="00510729" w:rsidRPr="00DF4CE5" w14:paraId="3C5EC406" w14:textId="77777777" w:rsidTr="00510729">
        <w:tc>
          <w:tcPr>
            <w:tcW w:w="2536" w:type="dxa"/>
            <w:vMerge/>
            <w:tcBorders>
              <w:left w:val="single" w:sz="8" w:space="0" w:color="000000"/>
              <w:right w:val="single" w:sz="8" w:space="0" w:color="000000"/>
            </w:tcBorders>
            <w:vAlign w:val="center"/>
          </w:tcPr>
          <w:p w14:paraId="3992F948" w14:textId="77777777" w:rsidR="00510729" w:rsidRPr="00DF4CE5" w:rsidRDefault="00510729" w:rsidP="00510729">
            <w:pPr>
              <w:spacing w:after="0" w:line="240" w:lineRule="auto"/>
              <w:rPr>
                <w:rFonts w:ascii="Cambria" w:eastAsia="Times New Roman" w:hAnsi="Cambria" w:cs="Calibri"/>
                <w:lang w:val="hr-HR"/>
              </w:rPr>
            </w:pPr>
          </w:p>
        </w:tc>
        <w:tc>
          <w:tcPr>
            <w:tcW w:w="250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6721672"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 xml:space="preserve">usmena izlaganja </w:t>
            </w:r>
          </w:p>
        </w:tc>
        <w:tc>
          <w:tcPr>
            <w:tcW w:w="1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1D404B4" w14:textId="77777777" w:rsidR="00510729" w:rsidRPr="00DF4CE5" w:rsidRDefault="00510729" w:rsidP="00510729">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1.-5.</w:t>
            </w:r>
          </w:p>
        </w:tc>
        <w:tc>
          <w:tcPr>
            <w:tcW w:w="69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DC55FCE" w14:textId="77777777" w:rsidR="00510729" w:rsidRPr="00DF4CE5" w:rsidRDefault="00510729" w:rsidP="00510729">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9</w:t>
            </w:r>
          </w:p>
        </w:tc>
        <w:tc>
          <w:tcPr>
            <w:tcW w:w="9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7F949C3" w14:textId="77777777" w:rsidR="00510729" w:rsidRPr="00DF4CE5" w:rsidRDefault="00510729" w:rsidP="00510729">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0,3</w:t>
            </w:r>
          </w:p>
        </w:tc>
        <w:tc>
          <w:tcPr>
            <w:tcW w:w="12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18F9548" w14:textId="77777777" w:rsidR="00510729" w:rsidRPr="00DF4CE5" w:rsidRDefault="00510729" w:rsidP="00510729">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7,5%</w:t>
            </w:r>
          </w:p>
        </w:tc>
      </w:tr>
      <w:tr w:rsidR="00510729" w:rsidRPr="00DF4CE5" w14:paraId="13353F54" w14:textId="77777777" w:rsidTr="00510729">
        <w:tc>
          <w:tcPr>
            <w:tcW w:w="2536" w:type="dxa"/>
            <w:vMerge/>
            <w:tcBorders>
              <w:left w:val="single" w:sz="8" w:space="0" w:color="000000"/>
              <w:right w:val="single" w:sz="8" w:space="0" w:color="000000"/>
            </w:tcBorders>
            <w:vAlign w:val="center"/>
          </w:tcPr>
          <w:p w14:paraId="1A92DDFE" w14:textId="77777777" w:rsidR="00510729" w:rsidRPr="00DF4CE5" w:rsidRDefault="00510729" w:rsidP="00510729">
            <w:pPr>
              <w:spacing w:after="0" w:line="240" w:lineRule="auto"/>
              <w:rPr>
                <w:rFonts w:ascii="Cambria" w:eastAsia="Times New Roman" w:hAnsi="Cambria" w:cs="Calibri"/>
                <w:lang w:val="hr-HR"/>
              </w:rPr>
            </w:pPr>
          </w:p>
        </w:tc>
        <w:tc>
          <w:tcPr>
            <w:tcW w:w="250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F5B1B83"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ispit (usmeni)</w:t>
            </w:r>
          </w:p>
        </w:tc>
        <w:tc>
          <w:tcPr>
            <w:tcW w:w="1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53B39F2" w14:textId="77777777" w:rsidR="00510729" w:rsidRPr="00DF4CE5" w:rsidRDefault="00510729" w:rsidP="00510729">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1.-6.</w:t>
            </w:r>
          </w:p>
        </w:tc>
        <w:tc>
          <w:tcPr>
            <w:tcW w:w="69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C2ACC16" w14:textId="77777777" w:rsidR="00510729" w:rsidRPr="00DF4CE5" w:rsidRDefault="00510729" w:rsidP="00510729">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90</w:t>
            </w:r>
          </w:p>
        </w:tc>
        <w:tc>
          <w:tcPr>
            <w:tcW w:w="9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0E4334B" w14:textId="77777777" w:rsidR="00510729" w:rsidRPr="00DF4CE5" w:rsidRDefault="00510729" w:rsidP="00510729">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3</w:t>
            </w:r>
          </w:p>
        </w:tc>
        <w:tc>
          <w:tcPr>
            <w:tcW w:w="12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D90B323" w14:textId="77777777" w:rsidR="00510729" w:rsidRPr="00DF4CE5" w:rsidRDefault="00510729" w:rsidP="00510729">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50%</w:t>
            </w:r>
          </w:p>
        </w:tc>
      </w:tr>
      <w:tr w:rsidR="00510729" w:rsidRPr="00DF4CE5" w14:paraId="20170ECF" w14:textId="77777777" w:rsidTr="00510729">
        <w:tc>
          <w:tcPr>
            <w:tcW w:w="2536" w:type="dxa"/>
            <w:vMerge/>
            <w:tcBorders>
              <w:left w:val="single" w:sz="8" w:space="0" w:color="000000"/>
              <w:right w:val="single" w:sz="8" w:space="0" w:color="000000"/>
            </w:tcBorders>
            <w:vAlign w:val="center"/>
          </w:tcPr>
          <w:p w14:paraId="7CCB256C" w14:textId="77777777" w:rsidR="00510729" w:rsidRPr="00DF4CE5" w:rsidRDefault="00510729" w:rsidP="00510729">
            <w:pPr>
              <w:spacing w:after="0" w:line="240" w:lineRule="auto"/>
              <w:rPr>
                <w:rFonts w:ascii="Cambria" w:eastAsia="Times New Roman" w:hAnsi="Cambria" w:cs="Calibri"/>
                <w:lang w:val="hr-HR"/>
              </w:rPr>
            </w:pPr>
          </w:p>
        </w:tc>
        <w:tc>
          <w:tcPr>
            <w:tcW w:w="3559"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8678B03" w14:textId="4576497B" w:rsidR="00510729" w:rsidRPr="00DF4CE5" w:rsidRDefault="008A7E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U</w:t>
            </w:r>
            <w:r w:rsidR="00510729" w:rsidRPr="00DF4CE5">
              <w:rPr>
                <w:rFonts w:ascii="Cambria" w:eastAsia="Times New Roman" w:hAnsi="Cambria" w:cs="Calibri"/>
                <w:lang w:val="hr-HR"/>
              </w:rPr>
              <w:t>kupno</w:t>
            </w:r>
          </w:p>
        </w:tc>
        <w:tc>
          <w:tcPr>
            <w:tcW w:w="69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74C9F6C"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180</w:t>
            </w:r>
          </w:p>
        </w:tc>
        <w:tc>
          <w:tcPr>
            <w:tcW w:w="9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18CC7F4" w14:textId="77777777" w:rsidR="00510729" w:rsidRPr="00DF4CE5" w:rsidRDefault="00510729" w:rsidP="00510729">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6</w:t>
            </w:r>
          </w:p>
        </w:tc>
        <w:tc>
          <w:tcPr>
            <w:tcW w:w="12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0DFADB1" w14:textId="77777777" w:rsidR="00510729" w:rsidRPr="00DF4CE5" w:rsidRDefault="00510729" w:rsidP="00510729">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100%</w:t>
            </w:r>
          </w:p>
        </w:tc>
      </w:tr>
      <w:tr w:rsidR="00510729" w:rsidRPr="00D0399C" w14:paraId="1E3DB2E4" w14:textId="77777777" w:rsidTr="00510729">
        <w:tc>
          <w:tcPr>
            <w:tcW w:w="2536" w:type="dxa"/>
            <w:vMerge/>
            <w:tcBorders>
              <w:left w:val="single" w:sz="8" w:space="0" w:color="000000"/>
              <w:bottom w:val="single" w:sz="8" w:space="0" w:color="000000"/>
              <w:right w:val="single" w:sz="8" w:space="0" w:color="000000"/>
            </w:tcBorders>
            <w:vAlign w:val="center"/>
          </w:tcPr>
          <w:p w14:paraId="2F9FD4D2" w14:textId="77777777" w:rsidR="00510729" w:rsidRPr="00DF4CE5" w:rsidRDefault="00510729" w:rsidP="00510729">
            <w:pPr>
              <w:spacing w:after="0" w:line="240" w:lineRule="auto"/>
              <w:rPr>
                <w:rFonts w:ascii="Cambria" w:eastAsia="Times New Roman" w:hAnsi="Cambria" w:cs="Calibri"/>
                <w:lang w:val="hr-HR"/>
              </w:rPr>
            </w:pPr>
          </w:p>
        </w:tc>
        <w:tc>
          <w:tcPr>
            <w:tcW w:w="6514"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1B4556B"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Dodatna pojašnjenja (kriteriji ocjenjivanja): Da bi se, na kraju semestra pristupilo završnom ispitu potrebno je tijekom nastave doseći minimalno 15% ocjene koja mora obvezno proizlaziti iz pohađanja nastave.</w:t>
            </w:r>
          </w:p>
        </w:tc>
      </w:tr>
      <w:tr w:rsidR="00510729" w:rsidRPr="00F942C2" w14:paraId="60DDE8AB" w14:textId="77777777" w:rsidTr="00510729">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0049BD3"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Studentske obveze</w:t>
            </w:r>
          </w:p>
        </w:tc>
        <w:tc>
          <w:tcPr>
            <w:tcW w:w="651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ED167F7" w14:textId="77777777" w:rsidR="00F942C2"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Da položi kolegij, student/studentica mora</w:t>
            </w:r>
            <w:r w:rsidR="00F942C2">
              <w:rPr>
                <w:rFonts w:ascii="Cambria" w:eastAsia="Times New Roman" w:hAnsi="Cambria" w:cs="Calibri"/>
                <w:lang w:val="hr-HR"/>
              </w:rPr>
              <w:t>:</w:t>
            </w:r>
          </w:p>
          <w:p w14:paraId="1B532A2B" w14:textId="77777777" w:rsidR="00510729" w:rsidRDefault="00F942C2" w:rsidP="00510729">
            <w:pPr>
              <w:spacing w:after="0" w:line="240" w:lineRule="auto"/>
              <w:rPr>
                <w:rFonts w:ascii="Cambria" w:eastAsia="Times New Roman" w:hAnsi="Cambria" w:cs="Calibri"/>
                <w:lang w:val="hr-HR"/>
              </w:rPr>
            </w:pPr>
            <w:r>
              <w:rPr>
                <w:rFonts w:ascii="Cambria" w:eastAsia="Times New Roman" w:hAnsi="Cambria" w:cs="Calibri"/>
                <w:lang w:val="hr-HR"/>
              </w:rPr>
              <w:t xml:space="preserve">1. </w:t>
            </w:r>
            <w:r w:rsidR="00510729" w:rsidRPr="00DF4CE5">
              <w:rPr>
                <w:rFonts w:ascii="Cambria" w:eastAsia="Times New Roman" w:hAnsi="Cambria" w:cs="Calibri"/>
                <w:lang w:val="hr-HR"/>
              </w:rPr>
              <w:t>redovito</w:t>
            </w:r>
            <w:r>
              <w:rPr>
                <w:rFonts w:ascii="Cambria" w:eastAsia="Times New Roman" w:hAnsi="Cambria" w:cs="Calibri"/>
                <w:lang w:val="hr-HR"/>
              </w:rPr>
              <w:t xml:space="preserve"> i aktivno</w:t>
            </w:r>
            <w:r w:rsidR="00510729" w:rsidRPr="00DF4CE5">
              <w:rPr>
                <w:rFonts w:ascii="Cambria" w:eastAsia="Times New Roman" w:hAnsi="Cambria" w:cs="Calibri"/>
                <w:lang w:val="hr-HR"/>
              </w:rPr>
              <w:t xml:space="preserve"> prisustvovati na predavanjima, seminarima i vježbama (3 izostanka dozvoljena)</w:t>
            </w:r>
          </w:p>
          <w:p w14:paraId="51FCAA5B" w14:textId="77777777" w:rsidR="00F942C2" w:rsidRDefault="00F942C2" w:rsidP="00510729">
            <w:pPr>
              <w:spacing w:after="0" w:line="240" w:lineRule="auto"/>
              <w:rPr>
                <w:rFonts w:ascii="Cambria" w:eastAsia="Times New Roman" w:hAnsi="Cambria" w:cs="Calibri"/>
                <w:lang w:val="hr-HR"/>
              </w:rPr>
            </w:pPr>
            <w:r>
              <w:rPr>
                <w:rFonts w:ascii="Cambria" w:eastAsia="Times New Roman" w:hAnsi="Cambria" w:cs="Calibri"/>
                <w:lang w:val="hr-HR"/>
              </w:rPr>
              <w:t>2. napisati, predati i prikazati seminarski rad</w:t>
            </w:r>
          </w:p>
          <w:p w14:paraId="0BDAB852" w14:textId="4AD43F6A" w:rsidR="00F942C2" w:rsidRPr="00DF4CE5" w:rsidRDefault="00F942C2" w:rsidP="00510729">
            <w:pPr>
              <w:spacing w:after="0" w:line="240" w:lineRule="auto"/>
              <w:rPr>
                <w:rFonts w:ascii="Cambria" w:eastAsia="Times New Roman" w:hAnsi="Cambria" w:cs="Calibri"/>
                <w:lang w:val="hr-HR"/>
              </w:rPr>
            </w:pPr>
            <w:r>
              <w:rPr>
                <w:rFonts w:ascii="Cambria" w:eastAsia="Times New Roman" w:hAnsi="Cambria" w:cs="Calibri"/>
                <w:lang w:val="hr-HR"/>
              </w:rPr>
              <w:t xml:space="preserve">3. položiti usmeni ispit. </w:t>
            </w:r>
          </w:p>
        </w:tc>
      </w:tr>
      <w:tr w:rsidR="00510729" w:rsidRPr="00D0399C" w14:paraId="5660AA72" w14:textId="77777777" w:rsidTr="00510729">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C33E1E1" w14:textId="77777777" w:rsidR="00510729" w:rsidRPr="00DF4CE5" w:rsidRDefault="00510729" w:rsidP="00510729">
            <w:pPr>
              <w:spacing w:after="0" w:line="240" w:lineRule="auto"/>
              <w:rPr>
                <w:rFonts w:ascii="Cambria" w:eastAsia="Times New Roman" w:hAnsi="Cambria" w:cs="Calibri"/>
                <w:lang w:val="hr-HR"/>
              </w:rPr>
            </w:pPr>
            <w:proofErr w:type="spellStart"/>
            <w:r w:rsidRPr="00DF4CE5">
              <w:rPr>
                <w:rFonts w:ascii="Cambria" w:eastAsia="Times New Roman" w:hAnsi="Cambria" w:cs="Calibri"/>
              </w:rPr>
              <w:t>Rokovi</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ispita</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i</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kolokvija</w:t>
            </w:r>
            <w:proofErr w:type="spellEnd"/>
          </w:p>
        </w:tc>
        <w:tc>
          <w:tcPr>
            <w:tcW w:w="651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D6D54F3"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 xml:space="preserve">Objavljuju se u ISVU sustavu i </w:t>
            </w:r>
            <w:proofErr w:type="spellStart"/>
            <w:r w:rsidRPr="00DF4CE5">
              <w:rPr>
                <w:rFonts w:ascii="Cambria" w:eastAsia="Times New Roman" w:hAnsi="Cambria" w:cs="Calibri"/>
                <w:lang w:val="hr-HR"/>
              </w:rPr>
              <w:t>Studomatu</w:t>
            </w:r>
            <w:proofErr w:type="spellEnd"/>
            <w:r w:rsidRPr="00DF4CE5">
              <w:rPr>
                <w:rFonts w:ascii="Cambria" w:eastAsia="Times New Roman" w:hAnsi="Cambria" w:cs="Calibri"/>
                <w:lang w:val="hr-HR"/>
              </w:rPr>
              <w:t>.</w:t>
            </w:r>
          </w:p>
        </w:tc>
      </w:tr>
      <w:tr w:rsidR="00510729" w:rsidRPr="00DF4CE5" w14:paraId="37CE9B12" w14:textId="77777777" w:rsidTr="00510729">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577ABC8"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 xml:space="preserve">Ostale važne činjenice </w:t>
            </w:r>
            <w:r w:rsidRPr="00DF4CE5">
              <w:rPr>
                <w:rFonts w:ascii="Cambria" w:eastAsia="Times New Roman" w:hAnsi="Cambria" w:cs="Calibri"/>
                <w:lang w:val="pl-PL"/>
              </w:rPr>
              <w:t>vezane uz kolegij</w:t>
            </w:r>
          </w:p>
        </w:tc>
        <w:tc>
          <w:tcPr>
            <w:tcW w:w="651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B0605B9"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Materijali se dostavljaju na e-učenje.</w:t>
            </w:r>
          </w:p>
          <w:p w14:paraId="611683E4"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U slučaju održavanja nastave na daljinu, moguće je odstupanje u: mjestu izvođenja kolegija, provedbi aktivnosti, metoda tumačenja i poučavanja i načinima vrednovanja, studentskim obvezama i dostupnoj literaturi. O tome će nositeljica kolegija i asistentica obavijestiti studente i studentice kad se nastava na daljinu počne održavati. Ishodi učenja ostaju nepromijenjeni.</w:t>
            </w:r>
          </w:p>
        </w:tc>
      </w:tr>
      <w:tr w:rsidR="00510729" w:rsidRPr="00DF4CE5" w14:paraId="12209A7E" w14:textId="77777777" w:rsidTr="00510729">
        <w:trPr>
          <w:trHeight w:val="770"/>
        </w:trPr>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C1FC1D5"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Literatura</w:t>
            </w:r>
          </w:p>
        </w:tc>
        <w:tc>
          <w:tcPr>
            <w:tcW w:w="6514"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395BB603"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 xml:space="preserve">Obvezna: </w:t>
            </w:r>
          </w:p>
          <w:p w14:paraId="0E625C52"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 xml:space="preserve">1. </w:t>
            </w:r>
            <w:proofErr w:type="spellStart"/>
            <w:r w:rsidRPr="00DF4CE5">
              <w:rPr>
                <w:rFonts w:ascii="Cambria" w:eastAsia="Times New Roman" w:hAnsi="Cambria" w:cs="Calibri"/>
                <w:lang w:val="hr-HR"/>
              </w:rPr>
              <w:t>Bouillet</w:t>
            </w:r>
            <w:proofErr w:type="spellEnd"/>
            <w:r w:rsidRPr="00DF4CE5">
              <w:rPr>
                <w:rFonts w:ascii="Cambria" w:eastAsia="Times New Roman" w:hAnsi="Cambria" w:cs="Calibri"/>
                <w:lang w:val="hr-HR"/>
              </w:rPr>
              <w:t>. D. (2010). Izazovi integriranog odgoja i obrazovanja. Školska knjiga. Zagreb</w:t>
            </w:r>
          </w:p>
          <w:p w14:paraId="6E7C7759"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 xml:space="preserve">2. </w:t>
            </w:r>
            <w:proofErr w:type="spellStart"/>
            <w:r w:rsidRPr="00DF4CE5">
              <w:rPr>
                <w:rFonts w:ascii="Cambria" w:eastAsia="Times New Roman" w:hAnsi="Cambria" w:cs="Calibri"/>
                <w:lang w:val="hr-HR"/>
              </w:rPr>
              <w:t>Bouillet</w:t>
            </w:r>
            <w:proofErr w:type="spellEnd"/>
            <w:r w:rsidRPr="00DF4CE5">
              <w:rPr>
                <w:rFonts w:ascii="Cambria" w:eastAsia="Times New Roman" w:hAnsi="Cambria" w:cs="Calibri"/>
                <w:lang w:val="hr-HR"/>
              </w:rPr>
              <w:t>, D. (2019). Inkluzivno obrazovanje: odabrane teme. Zagreb: Učiteljski fakultet Sveučilišta u Zagrebu.</w:t>
            </w:r>
          </w:p>
          <w:p w14:paraId="37FB8F10"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3. Igrić, L. , Fulgosi-</w:t>
            </w:r>
            <w:proofErr w:type="spellStart"/>
            <w:r w:rsidRPr="00DF4CE5">
              <w:rPr>
                <w:rFonts w:ascii="Cambria" w:eastAsia="Times New Roman" w:hAnsi="Cambria" w:cs="Calibri"/>
                <w:lang w:val="hr-HR"/>
              </w:rPr>
              <w:t>Masnjak</w:t>
            </w:r>
            <w:proofErr w:type="spellEnd"/>
            <w:r w:rsidRPr="00DF4CE5">
              <w:rPr>
                <w:rFonts w:ascii="Cambria" w:eastAsia="Times New Roman" w:hAnsi="Cambria" w:cs="Calibri"/>
                <w:lang w:val="hr-HR"/>
              </w:rPr>
              <w:t xml:space="preserve">, R. , Wagner </w:t>
            </w:r>
            <w:proofErr w:type="spellStart"/>
            <w:r w:rsidRPr="00DF4CE5">
              <w:rPr>
                <w:rFonts w:ascii="Cambria" w:eastAsia="Times New Roman" w:hAnsi="Cambria" w:cs="Calibri"/>
                <w:lang w:val="hr-HR"/>
              </w:rPr>
              <w:t>Jakab</w:t>
            </w:r>
            <w:proofErr w:type="spellEnd"/>
            <w:r w:rsidRPr="00DF4CE5">
              <w:rPr>
                <w:rFonts w:ascii="Cambria" w:eastAsia="Times New Roman" w:hAnsi="Cambria" w:cs="Calibri"/>
                <w:lang w:val="hr-HR"/>
              </w:rPr>
              <w:t>, A. (2014). Učenik s teškoćama između škole i obitelji.  Zagreb: Centar inkluzivne potpore IDEM.</w:t>
            </w:r>
            <w:r w:rsidRPr="00DF4CE5">
              <w:rPr>
                <w:rFonts w:ascii="Cambria" w:eastAsia="Times New Roman" w:hAnsi="Cambria" w:cs="Calibri"/>
                <w:lang w:val="hr-HR"/>
              </w:rPr>
              <w:br/>
              <w:t>4. Igrić L. (2015). Osnove edukacijskog uključivanja: škola po mjeri svakog djeteta je moguća. Zagreb: Školska knjiga.</w:t>
            </w:r>
          </w:p>
          <w:p w14:paraId="48AC2ADC"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 xml:space="preserve">5. Ministarstvo znanosti i obrazovanja. (2021). Smjernice za rad s učenicima s teškoćama. </w:t>
            </w:r>
          </w:p>
          <w:p w14:paraId="0FF50FCB" w14:textId="77777777" w:rsidR="00510729" w:rsidRPr="00DF4CE5" w:rsidRDefault="00510729" w:rsidP="00510729">
            <w:pPr>
              <w:spacing w:after="0" w:line="240" w:lineRule="auto"/>
              <w:rPr>
                <w:rFonts w:ascii="Cambria" w:eastAsia="Times New Roman" w:hAnsi="Cambria" w:cs="Calibri"/>
                <w:lang w:val="hr-HR"/>
              </w:rPr>
            </w:pPr>
            <w:hyperlink r:id="rId75" w:history="1">
              <w:r w:rsidRPr="00DF4CE5">
                <w:rPr>
                  <w:rFonts w:ascii="Cambria" w:eastAsia="Times New Roman" w:hAnsi="Cambria" w:cs="Calibri"/>
                  <w:color w:val="0563C1"/>
                  <w:u w:val="single"/>
                  <w:lang w:val="hr-HR"/>
                </w:rPr>
                <w:t>https://mzo.gov.hr/UserDocsImages/dokumenti/Obrazovanje/Smjernice%20za%20rad%20s%20ucenicima%20s%20teskocama.pdf</w:t>
              </w:r>
            </w:hyperlink>
            <w:r w:rsidRPr="00DF4CE5">
              <w:rPr>
                <w:rFonts w:ascii="Cambria" w:eastAsia="Times New Roman" w:hAnsi="Cambria" w:cs="Calibri"/>
                <w:lang w:val="hr-HR"/>
              </w:rPr>
              <w:t xml:space="preserve"> </w:t>
            </w:r>
          </w:p>
          <w:p w14:paraId="05C11BC7" w14:textId="496BCA88"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lastRenderedPageBreak/>
              <w:t xml:space="preserve">6. </w:t>
            </w:r>
            <w:proofErr w:type="spellStart"/>
            <w:r w:rsidRPr="00DF4CE5">
              <w:rPr>
                <w:rFonts w:ascii="Cambria" w:eastAsia="Times New Roman" w:hAnsi="Cambria" w:cs="Calibri"/>
                <w:lang w:val="hr-HR"/>
              </w:rPr>
              <w:t>Radetić</w:t>
            </w:r>
            <w:proofErr w:type="spellEnd"/>
            <w:r w:rsidRPr="00DF4CE5">
              <w:rPr>
                <w:rFonts w:ascii="Cambria" w:eastAsia="Times New Roman" w:hAnsi="Cambria" w:cs="Calibri"/>
                <w:lang w:val="hr-HR"/>
              </w:rPr>
              <w:t>-Paić, M. (2013). Prilagodbe u radu s djecom s teškoćama u razvoju u odgojno-obrazovnim ustanovama. Pula: Sveučilište Jurja Dobrile u Puli</w:t>
            </w:r>
            <w:r w:rsidR="00F942C2">
              <w:rPr>
                <w:rFonts w:ascii="Cambria" w:eastAsia="Times New Roman" w:hAnsi="Cambria" w:cs="Calibri"/>
                <w:lang w:val="hr-HR"/>
              </w:rPr>
              <w:t xml:space="preserve">. </w:t>
            </w:r>
          </w:p>
          <w:p w14:paraId="5C535BA9"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Izborna:</w:t>
            </w:r>
          </w:p>
          <w:p w14:paraId="04F04F58"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 xml:space="preserve">1. </w:t>
            </w:r>
            <w:proofErr w:type="spellStart"/>
            <w:r w:rsidRPr="00DF4CE5">
              <w:rPr>
                <w:rFonts w:ascii="Cambria" w:eastAsia="Times New Roman" w:hAnsi="Cambria" w:cs="Calibri"/>
                <w:lang w:val="hr-HR"/>
              </w:rPr>
              <w:t>Celizić</w:t>
            </w:r>
            <w:proofErr w:type="spellEnd"/>
            <w:r w:rsidRPr="00DF4CE5">
              <w:rPr>
                <w:rFonts w:ascii="Cambria" w:eastAsia="Times New Roman" w:hAnsi="Cambria" w:cs="Calibri"/>
                <w:lang w:val="hr-HR"/>
              </w:rPr>
              <w:t xml:space="preserve">, M. (2022). </w:t>
            </w:r>
            <w:proofErr w:type="spellStart"/>
            <w:r w:rsidRPr="00DF4CE5">
              <w:rPr>
                <w:rFonts w:ascii="Cambria" w:eastAsia="Times New Roman" w:hAnsi="Cambria" w:cs="Calibri"/>
                <w:lang w:val="hr-HR"/>
              </w:rPr>
              <w:t>Multimodalni</w:t>
            </w:r>
            <w:proofErr w:type="spellEnd"/>
            <w:r w:rsidRPr="00DF4CE5">
              <w:rPr>
                <w:rFonts w:ascii="Cambria" w:eastAsia="Times New Roman" w:hAnsi="Cambria" w:cs="Calibri"/>
                <w:lang w:val="hr-HR"/>
              </w:rPr>
              <w:t xml:space="preserve"> pristup interakciji i komunikaciji osoba sa senzoričkim i drugim utjecajnim/višestrukim teškoćama. Zagreb: Mali Dom.</w:t>
            </w:r>
            <w:r w:rsidRPr="00DF4CE5">
              <w:rPr>
                <w:rFonts w:ascii="Cambria" w:eastAsia="Times New Roman" w:hAnsi="Cambria" w:cs="Calibri"/>
                <w:lang w:val="hr-HR"/>
              </w:rPr>
              <w:br/>
              <w:t xml:space="preserve">2. </w:t>
            </w:r>
            <w:proofErr w:type="spellStart"/>
            <w:r w:rsidRPr="00DF4CE5">
              <w:rPr>
                <w:rFonts w:ascii="Cambria" w:eastAsia="Times New Roman" w:hAnsi="Cambria" w:cs="Calibri"/>
                <w:lang w:val="hr-HR"/>
              </w:rPr>
              <w:t>Cooley</w:t>
            </w:r>
            <w:proofErr w:type="spellEnd"/>
            <w:r w:rsidRPr="00DF4CE5">
              <w:rPr>
                <w:rFonts w:ascii="Cambria" w:eastAsia="Times New Roman" w:hAnsi="Cambria" w:cs="Calibri"/>
                <w:lang w:val="hr-HR"/>
              </w:rPr>
              <w:t>, M. L. (2022). Djeca s teškoćama u učenju i mentalnim smetnjama u redovitoj nastavi: kako ih prepoznati, razumjeti i pomoći im da postignu uspjeh u školi. Zagreb: Naklada Kosinj.</w:t>
            </w:r>
            <w:r w:rsidRPr="00DF4CE5">
              <w:rPr>
                <w:rFonts w:ascii="Cambria" w:eastAsia="Times New Roman" w:hAnsi="Cambria" w:cs="Calibri"/>
                <w:lang w:val="hr-HR"/>
              </w:rPr>
              <w:br/>
              <w:t>3.Thompson, J. , Šoljan N. (2016). Vodič za rad s djecom i učenicima s posebnim odgojno-obrazovnim potrebama. Zagreb: Educa.</w:t>
            </w:r>
          </w:p>
        </w:tc>
      </w:tr>
    </w:tbl>
    <w:p w14:paraId="07D39E1B" w14:textId="77777777" w:rsidR="00510729" w:rsidRPr="00DF4CE5" w:rsidRDefault="00510729" w:rsidP="00510729">
      <w:pPr>
        <w:spacing w:after="0" w:line="240" w:lineRule="auto"/>
        <w:rPr>
          <w:rFonts w:ascii="Cambria" w:eastAsia="Cambria" w:hAnsi="Cambria" w:cs="Cambria"/>
          <w:lang w:val="hr-HR"/>
        </w:rPr>
      </w:pPr>
    </w:p>
    <w:p w14:paraId="5C652C7A" w14:textId="77777777" w:rsidR="00510729" w:rsidRPr="00DF4CE5" w:rsidRDefault="00510729" w:rsidP="00510729">
      <w:pPr>
        <w:spacing w:after="0" w:line="240" w:lineRule="auto"/>
        <w:rPr>
          <w:rFonts w:ascii="Cambria" w:eastAsia="Cambria" w:hAnsi="Cambria" w:cs="Cambria"/>
          <w:lang w:val="hr-HR"/>
        </w:rPr>
      </w:pPr>
    </w:p>
    <w:p w14:paraId="306826C7" w14:textId="77777777" w:rsidR="00510729" w:rsidRPr="00DF4CE5" w:rsidRDefault="00510729" w:rsidP="00510729">
      <w:pPr>
        <w:spacing w:after="0" w:line="240" w:lineRule="auto"/>
        <w:rPr>
          <w:rFonts w:ascii="Cambria" w:eastAsia="Cambria" w:hAnsi="Cambria" w:cs="Cambria"/>
          <w:lang w:val="hr-HR"/>
        </w:rPr>
      </w:pPr>
    </w:p>
    <w:p w14:paraId="26A46DB2" w14:textId="77777777" w:rsidR="00510729" w:rsidRPr="00DF4CE5" w:rsidRDefault="00510729" w:rsidP="00510729">
      <w:pPr>
        <w:spacing w:after="0" w:line="240" w:lineRule="auto"/>
        <w:rPr>
          <w:rFonts w:ascii="Cambria" w:eastAsia="Cambria" w:hAnsi="Cambria" w:cs="Cambria"/>
          <w:lang w:val="hr-HR"/>
        </w:rPr>
      </w:pPr>
    </w:p>
    <w:p w14:paraId="0D11117F" w14:textId="77777777" w:rsidR="00510729" w:rsidRPr="00DF4CE5" w:rsidRDefault="00510729" w:rsidP="00510729">
      <w:pPr>
        <w:spacing w:after="0" w:line="240" w:lineRule="auto"/>
        <w:rPr>
          <w:rFonts w:ascii="Cambria" w:eastAsia="Cambria" w:hAnsi="Cambria" w:cs="Cambria"/>
          <w:lang w:val="hr-HR"/>
        </w:rPr>
      </w:pPr>
    </w:p>
    <w:p w14:paraId="7B184040" w14:textId="239A28B9" w:rsidR="00510729" w:rsidRPr="00DF4CE5" w:rsidRDefault="00A61D16" w:rsidP="00830554">
      <w:pPr>
        <w:rPr>
          <w:rFonts w:ascii="Cambria" w:eastAsia="Cambria" w:hAnsi="Cambria" w:cs="Cambria"/>
          <w:lang w:val="hr-HR"/>
        </w:rPr>
      </w:pPr>
      <w:r>
        <w:rPr>
          <w:rFonts w:ascii="Cambria" w:eastAsia="Cambria" w:hAnsi="Cambria" w:cs="Cambria"/>
          <w:lang w:val="hr-HR"/>
        </w:rPr>
        <w:br w:type="page"/>
      </w:r>
    </w:p>
    <w:p w14:paraId="35582C9B" w14:textId="77777777" w:rsidR="00510729" w:rsidRPr="00DF4CE5" w:rsidRDefault="00510729" w:rsidP="00510729">
      <w:pPr>
        <w:spacing w:after="0" w:line="240" w:lineRule="auto"/>
        <w:rPr>
          <w:rFonts w:ascii="Cambria" w:eastAsia="Cambria" w:hAnsi="Cambria" w:cs="Cambria"/>
          <w:lang w:val="hr-HR"/>
        </w:rPr>
      </w:pPr>
    </w:p>
    <w:tbl>
      <w:tblPr>
        <w:tblW w:w="5200" w:type="pct"/>
        <w:tblLayout w:type="fixed"/>
        <w:tblCellMar>
          <w:left w:w="0" w:type="dxa"/>
          <w:right w:w="0" w:type="dxa"/>
        </w:tblCellMar>
        <w:tblLook w:val="0600" w:firstRow="0" w:lastRow="0" w:firstColumn="0" w:lastColumn="0" w:noHBand="1" w:noVBand="1"/>
      </w:tblPr>
      <w:tblGrid>
        <w:gridCol w:w="2368"/>
        <w:gridCol w:w="3380"/>
        <w:gridCol w:w="915"/>
        <w:gridCol w:w="954"/>
        <w:gridCol w:w="701"/>
        <w:gridCol w:w="79"/>
        <w:gridCol w:w="2024"/>
      </w:tblGrid>
      <w:tr w:rsidR="002F47E7" w:rsidRPr="00DF4CE5" w14:paraId="58688CD1" w14:textId="77777777" w:rsidTr="002F47E7">
        <w:tc>
          <w:tcPr>
            <w:tcW w:w="9488" w:type="dxa"/>
            <w:gridSpan w:val="7"/>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F6F359D" w14:textId="77777777" w:rsidR="002F47E7" w:rsidRPr="00DF4CE5" w:rsidRDefault="002F47E7">
            <w:pPr>
              <w:spacing w:line="256" w:lineRule="auto"/>
              <w:jc w:val="right"/>
              <w:rPr>
                <w:rFonts w:ascii="Cambria" w:hAnsi="Cambria" w:cs="Calibri"/>
                <w:b/>
              </w:rPr>
            </w:pPr>
            <w:r w:rsidRPr="00DF4CE5">
              <w:rPr>
                <w:rFonts w:ascii="Cambria" w:hAnsi="Cambria" w:cs="Calibri"/>
              </w:rPr>
              <w:br w:type="page"/>
            </w:r>
            <w:r w:rsidRPr="00DF4CE5">
              <w:rPr>
                <w:rFonts w:ascii="Cambria" w:hAnsi="Cambria" w:cs="Calibri"/>
                <w:b/>
              </w:rPr>
              <w:t>IZVEDBENI PLAN NASTAVE KOLEGIJA</w:t>
            </w:r>
          </w:p>
        </w:tc>
      </w:tr>
      <w:tr w:rsidR="002F47E7" w:rsidRPr="00DF4CE5" w14:paraId="4C552FE2" w14:textId="77777777" w:rsidTr="002F47E7">
        <w:tc>
          <w:tcPr>
            <w:tcW w:w="215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DEF2463" w14:textId="77777777" w:rsidR="002F47E7" w:rsidRPr="00DF4CE5" w:rsidRDefault="002F47E7" w:rsidP="00CE1FD6">
            <w:pPr>
              <w:spacing w:after="0" w:line="256" w:lineRule="auto"/>
              <w:rPr>
                <w:rFonts w:ascii="Cambria" w:hAnsi="Cambria" w:cs="Calibri"/>
              </w:rPr>
            </w:pPr>
            <w:proofErr w:type="spellStart"/>
            <w:r w:rsidRPr="00DF4CE5">
              <w:rPr>
                <w:rFonts w:ascii="Cambria" w:hAnsi="Cambria" w:cs="Calibri"/>
              </w:rPr>
              <w:t>Kod</w:t>
            </w:r>
            <w:proofErr w:type="spellEnd"/>
            <w:r w:rsidRPr="00DF4CE5">
              <w:rPr>
                <w:rFonts w:ascii="Cambria" w:hAnsi="Cambria" w:cs="Calibri"/>
              </w:rPr>
              <w:t xml:space="preserve"> </w:t>
            </w:r>
            <w:proofErr w:type="spellStart"/>
            <w:r w:rsidRPr="00DF4CE5">
              <w:rPr>
                <w:rFonts w:ascii="Cambria" w:hAnsi="Cambria" w:cs="Calibri"/>
              </w:rPr>
              <w:t>i</w:t>
            </w:r>
            <w:proofErr w:type="spellEnd"/>
            <w:r w:rsidRPr="00DF4CE5">
              <w:rPr>
                <w:rFonts w:ascii="Cambria" w:hAnsi="Cambria" w:cs="Calibri"/>
              </w:rPr>
              <w:t xml:space="preserve"> </w:t>
            </w:r>
            <w:proofErr w:type="spellStart"/>
            <w:r w:rsidRPr="00DF4CE5">
              <w:rPr>
                <w:rFonts w:ascii="Cambria" w:hAnsi="Cambria" w:cs="Calibri"/>
              </w:rPr>
              <w:t>naziv</w:t>
            </w:r>
            <w:proofErr w:type="spellEnd"/>
            <w:r w:rsidRPr="00DF4CE5">
              <w:rPr>
                <w:rFonts w:ascii="Cambria" w:hAnsi="Cambria" w:cs="Calibri"/>
              </w:rPr>
              <w:t xml:space="preserve"> </w:t>
            </w:r>
            <w:proofErr w:type="spellStart"/>
            <w:r w:rsidRPr="00DF4CE5">
              <w:rPr>
                <w:rFonts w:ascii="Cambria" w:hAnsi="Cambria" w:cs="Calibri"/>
              </w:rPr>
              <w:t>kolegija</w:t>
            </w:r>
            <w:proofErr w:type="spellEnd"/>
          </w:p>
        </w:tc>
        <w:tc>
          <w:tcPr>
            <w:tcW w:w="7331"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1A53CA7A" w14:textId="7FF8DB20" w:rsidR="002F47E7" w:rsidRPr="00DF4CE5" w:rsidRDefault="00CE1FD6" w:rsidP="00CE1FD6">
            <w:pPr>
              <w:spacing w:after="0" w:line="256" w:lineRule="auto"/>
              <w:rPr>
                <w:rFonts w:ascii="Cambria" w:hAnsi="Cambria" w:cs="Calibri"/>
              </w:rPr>
            </w:pPr>
            <w:r w:rsidRPr="00DF4CE5">
              <w:rPr>
                <w:rFonts w:ascii="Cambria" w:hAnsi="Cambria" w:cs="Calibri"/>
              </w:rPr>
              <w:t>273618</w:t>
            </w:r>
          </w:p>
          <w:p w14:paraId="1B8B5C00" w14:textId="77777777" w:rsidR="002F47E7" w:rsidRPr="00DF4CE5" w:rsidRDefault="002F47E7" w:rsidP="00CE1FD6">
            <w:pPr>
              <w:spacing w:after="0" w:line="256" w:lineRule="auto"/>
              <w:rPr>
                <w:rFonts w:ascii="Cambria" w:hAnsi="Cambria" w:cs="Calibri"/>
                <w:bCs/>
              </w:rPr>
            </w:pPr>
            <w:proofErr w:type="spellStart"/>
            <w:r w:rsidRPr="00DF4CE5">
              <w:rPr>
                <w:rFonts w:ascii="Cambria" w:hAnsi="Cambria" w:cs="Calibri"/>
              </w:rPr>
              <w:t>Elementarna</w:t>
            </w:r>
            <w:proofErr w:type="spellEnd"/>
            <w:r w:rsidRPr="00DF4CE5">
              <w:rPr>
                <w:rFonts w:ascii="Cambria" w:hAnsi="Cambria" w:cs="Calibri"/>
              </w:rPr>
              <w:t xml:space="preserve"> </w:t>
            </w:r>
            <w:proofErr w:type="spellStart"/>
            <w:r w:rsidRPr="00DF4CE5">
              <w:rPr>
                <w:rFonts w:ascii="Cambria" w:hAnsi="Cambria" w:cs="Calibri"/>
              </w:rPr>
              <w:t>geometrija</w:t>
            </w:r>
            <w:proofErr w:type="spellEnd"/>
          </w:p>
        </w:tc>
      </w:tr>
      <w:tr w:rsidR="002F47E7" w:rsidRPr="00D0399C" w14:paraId="59AEED76" w14:textId="77777777" w:rsidTr="00F942C2">
        <w:trPr>
          <w:trHeight w:val="486"/>
        </w:trPr>
        <w:tc>
          <w:tcPr>
            <w:tcW w:w="215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B1AE0AB" w14:textId="77777777" w:rsidR="002F47E7" w:rsidRPr="00DF4CE5" w:rsidRDefault="002F47E7" w:rsidP="00CE1FD6">
            <w:pPr>
              <w:spacing w:after="0" w:line="256" w:lineRule="auto"/>
              <w:rPr>
                <w:rFonts w:ascii="Cambria" w:hAnsi="Cambria" w:cs="Calibri"/>
              </w:rPr>
            </w:pPr>
            <w:proofErr w:type="spellStart"/>
            <w:r w:rsidRPr="00DF4CE5">
              <w:rPr>
                <w:rFonts w:ascii="Cambria" w:hAnsi="Cambria" w:cs="Calibri"/>
              </w:rPr>
              <w:t>Nastavnik</w:t>
            </w:r>
            <w:proofErr w:type="spellEnd"/>
            <w:r w:rsidRPr="00DF4CE5">
              <w:rPr>
                <w:rFonts w:ascii="Cambria" w:hAnsi="Cambria" w:cs="Calibri"/>
              </w:rPr>
              <w:t xml:space="preserve"> </w:t>
            </w:r>
          </w:p>
          <w:p w14:paraId="5129EBB8" w14:textId="77777777" w:rsidR="002F47E7" w:rsidRPr="00DF4CE5" w:rsidRDefault="002F47E7" w:rsidP="00CE1FD6">
            <w:pPr>
              <w:spacing w:after="0" w:line="256" w:lineRule="auto"/>
              <w:rPr>
                <w:rFonts w:ascii="Cambria" w:hAnsi="Cambria" w:cs="Calibri"/>
              </w:rPr>
            </w:pPr>
            <w:proofErr w:type="spellStart"/>
            <w:r w:rsidRPr="00DF4CE5">
              <w:rPr>
                <w:rFonts w:ascii="Cambria" w:hAnsi="Cambria" w:cs="Calibri"/>
              </w:rPr>
              <w:t>Suradnica</w:t>
            </w:r>
            <w:proofErr w:type="spellEnd"/>
          </w:p>
        </w:tc>
        <w:tc>
          <w:tcPr>
            <w:tcW w:w="7331"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044C563" w14:textId="1915D9C1" w:rsidR="002F47E7" w:rsidRPr="00DF4CE5" w:rsidRDefault="00A61D16" w:rsidP="00F942C2">
            <w:pPr>
              <w:pStyle w:val="Naslov1"/>
              <w:spacing w:before="0" w:after="0"/>
              <w:rPr>
                <w:rFonts w:ascii="Cambria" w:eastAsia="Calibri" w:hAnsi="Cambria" w:cs="Calibri"/>
                <w:b w:val="0"/>
                <w:bCs w:val="0"/>
                <w:sz w:val="22"/>
                <w:szCs w:val="22"/>
                <w:lang w:eastAsia="en-US"/>
              </w:rPr>
            </w:pPr>
            <w:hyperlink r:id="rId76" w:history="1">
              <w:r>
                <w:rPr>
                  <w:rStyle w:val="Hiperveza"/>
                  <w:rFonts w:ascii="Cambria" w:eastAsia="Calibri" w:hAnsi="Cambria" w:cs="Calibri"/>
                  <w:b w:val="0"/>
                  <w:bCs w:val="0"/>
                  <w:sz w:val="22"/>
                  <w:szCs w:val="22"/>
                  <w:lang w:eastAsia="en-US"/>
                </w:rPr>
                <w:t>P</w:t>
              </w:r>
              <w:r w:rsidR="002F47E7" w:rsidRPr="00DF4CE5">
                <w:rPr>
                  <w:rStyle w:val="Hiperveza"/>
                  <w:rFonts w:ascii="Cambria" w:eastAsia="Calibri" w:hAnsi="Cambria" w:cs="Calibri"/>
                  <w:b w:val="0"/>
                  <w:bCs w:val="0"/>
                  <w:sz w:val="22"/>
                  <w:szCs w:val="22"/>
                  <w:lang w:eastAsia="en-US"/>
                </w:rPr>
                <w:t>rof. dr. sc. Neven Grbac</w:t>
              </w:r>
            </w:hyperlink>
            <w:r w:rsidR="002F47E7" w:rsidRPr="00DF4CE5">
              <w:rPr>
                <w:rFonts w:ascii="Cambria" w:eastAsia="Calibri" w:hAnsi="Cambria" w:cs="Calibri"/>
                <w:b w:val="0"/>
                <w:bCs w:val="0"/>
                <w:sz w:val="22"/>
                <w:szCs w:val="22"/>
                <w:lang w:eastAsia="en-US"/>
              </w:rPr>
              <w:t xml:space="preserve"> (nositelj)</w:t>
            </w:r>
          </w:p>
          <w:p w14:paraId="7955551B" w14:textId="078BBBEF" w:rsidR="002F47E7" w:rsidRPr="00DF4CE5" w:rsidRDefault="00A61D16" w:rsidP="00F942C2">
            <w:pPr>
              <w:spacing w:after="0" w:line="240" w:lineRule="auto"/>
              <w:rPr>
                <w:rFonts w:ascii="Cambria" w:eastAsia="Times New Roman" w:hAnsi="Cambria" w:cs="Calibri"/>
                <w:lang w:val="it-IT"/>
              </w:rPr>
            </w:pPr>
            <w:hyperlink r:id="rId77" w:history="1">
              <w:r w:rsidRPr="00F942C2">
                <w:rPr>
                  <w:rStyle w:val="Hiperveza"/>
                  <w:rFonts w:ascii="Cambria" w:hAnsi="Cambria"/>
                  <w:lang w:val="it-IT"/>
                </w:rPr>
                <w:t>D</w:t>
              </w:r>
              <w:r w:rsidR="002F47E7" w:rsidRPr="00F942C2">
                <w:rPr>
                  <w:rStyle w:val="Hiperveza"/>
                  <w:rFonts w:ascii="Cambria" w:hAnsi="Cambria"/>
                  <w:lang w:val="it-IT"/>
                </w:rPr>
                <w:t>r.</w:t>
              </w:r>
              <w:r w:rsidRPr="00F942C2">
                <w:rPr>
                  <w:rStyle w:val="Hiperveza"/>
                  <w:rFonts w:ascii="Cambria" w:hAnsi="Cambria"/>
                  <w:lang w:val="it-IT"/>
                </w:rPr>
                <w:t xml:space="preserve"> </w:t>
              </w:r>
              <w:r w:rsidR="002F47E7" w:rsidRPr="00F942C2">
                <w:rPr>
                  <w:rStyle w:val="Hiperveza"/>
                  <w:rFonts w:ascii="Cambria" w:hAnsi="Cambria"/>
                  <w:lang w:val="it-IT"/>
                </w:rPr>
                <w:t xml:space="preserve">sc. </w:t>
              </w:r>
              <w:proofErr w:type="spellStart"/>
              <w:r w:rsidR="002F47E7" w:rsidRPr="00F942C2">
                <w:rPr>
                  <w:rStyle w:val="Hiperveza"/>
                  <w:rFonts w:ascii="Cambria" w:hAnsi="Cambria" w:cs="Calibri"/>
                  <w:lang w:val="it-IT"/>
                </w:rPr>
                <w:t>Branka</w:t>
              </w:r>
              <w:proofErr w:type="spellEnd"/>
              <w:r w:rsidR="002F47E7" w:rsidRPr="00F942C2">
                <w:rPr>
                  <w:rStyle w:val="Hiperveza"/>
                  <w:rFonts w:ascii="Cambria" w:hAnsi="Cambria" w:cs="Calibri"/>
                  <w:lang w:val="it-IT"/>
                </w:rPr>
                <w:t xml:space="preserve"> </w:t>
              </w:r>
              <w:proofErr w:type="spellStart"/>
              <w:r w:rsidR="002F47E7" w:rsidRPr="00F942C2">
                <w:rPr>
                  <w:rStyle w:val="Hiperveza"/>
                  <w:rFonts w:ascii="Cambria" w:hAnsi="Cambria" w:cs="Calibri"/>
                  <w:lang w:val="it-IT"/>
                </w:rPr>
                <w:t>Antunović</w:t>
              </w:r>
              <w:proofErr w:type="spellEnd"/>
              <w:r w:rsidR="002F47E7" w:rsidRPr="00F942C2">
                <w:rPr>
                  <w:rStyle w:val="Hiperveza"/>
                  <w:rFonts w:ascii="Cambria" w:hAnsi="Cambria" w:cs="Calibri"/>
                  <w:lang w:val="it-IT"/>
                </w:rPr>
                <w:t xml:space="preserve">, </w:t>
              </w:r>
              <w:proofErr w:type="spellStart"/>
              <w:r w:rsidR="002F47E7" w:rsidRPr="00F942C2">
                <w:rPr>
                  <w:rStyle w:val="Hiperveza"/>
                  <w:rFonts w:ascii="Cambria" w:hAnsi="Cambria" w:cs="Calibri"/>
                  <w:lang w:val="it-IT"/>
                </w:rPr>
                <w:t>viša</w:t>
              </w:r>
              <w:proofErr w:type="spellEnd"/>
              <w:r w:rsidR="002F47E7" w:rsidRPr="00F942C2">
                <w:rPr>
                  <w:rStyle w:val="Hiperveza"/>
                  <w:rFonts w:ascii="Cambria" w:hAnsi="Cambria" w:cs="Calibri"/>
                  <w:lang w:val="it-IT"/>
                </w:rPr>
                <w:t xml:space="preserve"> </w:t>
              </w:r>
              <w:proofErr w:type="spellStart"/>
              <w:r w:rsidR="002F47E7" w:rsidRPr="00F942C2">
                <w:rPr>
                  <w:rStyle w:val="Hiperveza"/>
                  <w:rFonts w:ascii="Cambria" w:hAnsi="Cambria" w:cs="Calibri"/>
                  <w:lang w:val="it-IT"/>
                </w:rPr>
                <w:t>asistentica</w:t>
              </w:r>
              <w:proofErr w:type="spellEnd"/>
            </w:hyperlink>
          </w:p>
        </w:tc>
      </w:tr>
      <w:tr w:rsidR="002F47E7" w:rsidRPr="00DF4CE5" w14:paraId="3F4B7FC4" w14:textId="77777777" w:rsidTr="002F47E7">
        <w:tc>
          <w:tcPr>
            <w:tcW w:w="215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6D89D10" w14:textId="77777777" w:rsidR="002F47E7" w:rsidRPr="00DF4CE5" w:rsidRDefault="002F47E7" w:rsidP="00CE1FD6">
            <w:pPr>
              <w:spacing w:after="0" w:line="256" w:lineRule="auto"/>
              <w:rPr>
                <w:rFonts w:ascii="Cambria" w:hAnsi="Cambria" w:cs="Calibri"/>
              </w:rPr>
            </w:pPr>
            <w:proofErr w:type="spellStart"/>
            <w:r w:rsidRPr="00DF4CE5">
              <w:rPr>
                <w:rFonts w:ascii="Cambria" w:hAnsi="Cambria" w:cs="Calibri"/>
              </w:rPr>
              <w:t>Studijski</w:t>
            </w:r>
            <w:proofErr w:type="spellEnd"/>
            <w:r w:rsidRPr="00DF4CE5">
              <w:rPr>
                <w:rFonts w:ascii="Cambria" w:hAnsi="Cambria" w:cs="Calibri"/>
              </w:rPr>
              <w:t xml:space="preserve"> program</w:t>
            </w:r>
          </w:p>
        </w:tc>
        <w:tc>
          <w:tcPr>
            <w:tcW w:w="7331"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F0E3671" w14:textId="77777777" w:rsidR="002F47E7" w:rsidRPr="00DF4CE5" w:rsidRDefault="002F47E7" w:rsidP="00CE1FD6">
            <w:pPr>
              <w:spacing w:after="0" w:line="256" w:lineRule="auto"/>
              <w:rPr>
                <w:rFonts w:ascii="Cambria" w:hAnsi="Cambria" w:cs="Calibri"/>
                <w:b/>
                <w:bCs/>
              </w:rPr>
            </w:pPr>
            <w:proofErr w:type="spellStart"/>
            <w:r w:rsidRPr="00DF4CE5">
              <w:rPr>
                <w:rFonts w:ascii="Cambria" w:hAnsi="Cambria" w:cs="Calibri"/>
              </w:rPr>
              <w:t>Sveučilišni</w:t>
            </w:r>
            <w:proofErr w:type="spellEnd"/>
            <w:r w:rsidRPr="00DF4CE5">
              <w:rPr>
                <w:rFonts w:ascii="Cambria" w:hAnsi="Cambria" w:cs="Calibri"/>
              </w:rPr>
              <w:t xml:space="preserve"> </w:t>
            </w:r>
            <w:proofErr w:type="spellStart"/>
            <w:r w:rsidRPr="00DF4CE5">
              <w:rPr>
                <w:rFonts w:ascii="Cambria" w:hAnsi="Cambria" w:cs="Calibri"/>
              </w:rPr>
              <w:t>integrirani</w:t>
            </w:r>
            <w:proofErr w:type="spellEnd"/>
            <w:r w:rsidRPr="00DF4CE5">
              <w:rPr>
                <w:rFonts w:ascii="Cambria" w:hAnsi="Cambria" w:cs="Calibri"/>
              </w:rPr>
              <w:t xml:space="preserve"> </w:t>
            </w:r>
            <w:proofErr w:type="spellStart"/>
            <w:r w:rsidRPr="00DF4CE5">
              <w:rPr>
                <w:rFonts w:ascii="Cambria" w:hAnsi="Cambria" w:cs="Calibri"/>
              </w:rPr>
              <w:t>prijediplomski</w:t>
            </w:r>
            <w:proofErr w:type="spellEnd"/>
            <w:r w:rsidRPr="00DF4CE5">
              <w:rPr>
                <w:rFonts w:ascii="Cambria" w:hAnsi="Cambria" w:cs="Calibri"/>
              </w:rPr>
              <w:t xml:space="preserve"> </w:t>
            </w:r>
            <w:proofErr w:type="spellStart"/>
            <w:r w:rsidRPr="00DF4CE5">
              <w:rPr>
                <w:rFonts w:ascii="Cambria" w:hAnsi="Cambria" w:cs="Calibri"/>
              </w:rPr>
              <w:t>i</w:t>
            </w:r>
            <w:proofErr w:type="spellEnd"/>
            <w:r w:rsidRPr="00DF4CE5">
              <w:rPr>
                <w:rFonts w:ascii="Cambria" w:hAnsi="Cambria" w:cs="Calibri"/>
              </w:rPr>
              <w:t xml:space="preserve"> </w:t>
            </w:r>
            <w:proofErr w:type="spellStart"/>
            <w:r w:rsidRPr="00DF4CE5">
              <w:rPr>
                <w:rFonts w:ascii="Cambria" w:hAnsi="Cambria" w:cs="Calibri"/>
              </w:rPr>
              <w:t>diplomski</w:t>
            </w:r>
            <w:proofErr w:type="spellEnd"/>
            <w:r w:rsidRPr="00DF4CE5">
              <w:rPr>
                <w:rFonts w:ascii="Cambria" w:hAnsi="Cambria" w:cs="Calibri"/>
              </w:rPr>
              <w:t xml:space="preserve"> </w:t>
            </w:r>
            <w:proofErr w:type="spellStart"/>
            <w:r w:rsidRPr="00DF4CE5">
              <w:rPr>
                <w:rFonts w:ascii="Cambria" w:hAnsi="Cambria" w:cs="Calibri"/>
              </w:rPr>
              <w:t>Učiteljski</w:t>
            </w:r>
            <w:proofErr w:type="spellEnd"/>
            <w:r w:rsidRPr="00DF4CE5">
              <w:rPr>
                <w:rFonts w:ascii="Cambria" w:hAnsi="Cambria" w:cs="Calibri"/>
              </w:rPr>
              <w:t xml:space="preserve"> </w:t>
            </w:r>
            <w:proofErr w:type="spellStart"/>
            <w:r w:rsidRPr="00DF4CE5">
              <w:rPr>
                <w:rFonts w:ascii="Cambria" w:hAnsi="Cambria" w:cs="Calibri"/>
              </w:rPr>
              <w:t>studij</w:t>
            </w:r>
            <w:proofErr w:type="spellEnd"/>
            <w:r w:rsidRPr="00DF4CE5">
              <w:rPr>
                <w:rFonts w:ascii="Cambria" w:hAnsi="Cambria" w:cs="Calibri"/>
              </w:rPr>
              <w:t xml:space="preserve"> </w:t>
            </w:r>
            <w:proofErr w:type="spellStart"/>
            <w:r w:rsidRPr="00DF4CE5">
              <w:rPr>
                <w:rFonts w:ascii="Cambria" w:hAnsi="Cambria" w:cs="Calibri"/>
              </w:rPr>
              <w:t>na</w:t>
            </w:r>
            <w:proofErr w:type="spellEnd"/>
            <w:r w:rsidRPr="00DF4CE5">
              <w:rPr>
                <w:rFonts w:ascii="Cambria" w:hAnsi="Cambria" w:cs="Calibri"/>
              </w:rPr>
              <w:t xml:space="preserve"> </w:t>
            </w:r>
            <w:proofErr w:type="spellStart"/>
            <w:r w:rsidRPr="00DF4CE5">
              <w:rPr>
                <w:rFonts w:ascii="Cambria" w:hAnsi="Cambria" w:cs="Calibri"/>
              </w:rPr>
              <w:t>hrvatskom</w:t>
            </w:r>
            <w:proofErr w:type="spellEnd"/>
            <w:r w:rsidRPr="00DF4CE5">
              <w:rPr>
                <w:rFonts w:ascii="Cambria" w:hAnsi="Cambria" w:cs="Calibri"/>
              </w:rPr>
              <w:t xml:space="preserve"> </w:t>
            </w:r>
            <w:proofErr w:type="spellStart"/>
            <w:r w:rsidRPr="00DF4CE5">
              <w:rPr>
                <w:rFonts w:ascii="Cambria" w:hAnsi="Cambria" w:cs="Calibri"/>
              </w:rPr>
              <w:t>jeziku</w:t>
            </w:r>
            <w:proofErr w:type="spellEnd"/>
          </w:p>
        </w:tc>
      </w:tr>
      <w:tr w:rsidR="002F47E7" w:rsidRPr="00DF4CE5" w14:paraId="0D506B06" w14:textId="77777777" w:rsidTr="002F47E7">
        <w:tc>
          <w:tcPr>
            <w:tcW w:w="215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E715F90" w14:textId="77777777" w:rsidR="002F47E7" w:rsidRPr="00DF4CE5" w:rsidRDefault="002F47E7" w:rsidP="00CE1FD6">
            <w:pPr>
              <w:spacing w:after="0" w:line="256" w:lineRule="auto"/>
              <w:rPr>
                <w:rFonts w:ascii="Cambria" w:hAnsi="Cambria" w:cs="Calibri"/>
              </w:rPr>
            </w:pPr>
            <w:proofErr w:type="spellStart"/>
            <w:r w:rsidRPr="00DF4CE5">
              <w:rPr>
                <w:rFonts w:ascii="Cambria" w:hAnsi="Cambria" w:cs="Calibri"/>
              </w:rPr>
              <w:t>Vrsta</w:t>
            </w:r>
            <w:proofErr w:type="spellEnd"/>
            <w:r w:rsidRPr="00DF4CE5">
              <w:rPr>
                <w:rFonts w:ascii="Cambria" w:hAnsi="Cambria" w:cs="Calibri"/>
              </w:rPr>
              <w:t xml:space="preserve"> </w:t>
            </w:r>
            <w:proofErr w:type="spellStart"/>
            <w:r w:rsidRPr="00DF4CE5">
              <w:rPr>
                <w:rFonts w:ascii="Cambria" w:hAnsi="Cambria" w:cs="Calibri"/>
              </w:rPr>
              <w:t>kolegija</w:t>
            </w:r>
            <w:proofErr w:type="spellEnd"/>
          </w:p>
        </w:tc>
        <w:tc>
          <w:tcPr>
            <w:tcW w:w="307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E6BFD96" w14:textId="77777777" w:rsidR="002F47E7" w:rsidRPr="00DF4CE5" w:rsidRDefault="002F47E7" w:rsidP="00CE1FD6">
            <w:pPr>
              <w:spacing w:after="0" w:line="256" w:lineRule="auto"/>
              <w:rPr>
                <w:rFonts w:ascii="Cambria" w:hAnsi="Cambria" w:cs="Calibri"/>
              </w:rPr>
            </w:pPr>
            <w:proofErr w:type="spellStart"/>
            <w:r w:rsidRPr="00DF4CE5">
              <w:rPr>
                <w:rFonts w:ascii="Cambria" w:hAnsi="Cambria" w:cs="Calibri"/>
              </w:rPr>
              <w:t>obavezan</w:t>
            </w:r>
            <w:proofErr w:type="spellEnd"/>
            <w:r w:rsidRPr="00DF4CE5">
              <w:rPr>
                <w:rFonts w:ascii="Cambria" w:hAnsi="Cambria" w:cs="Calibri"/>
              </w:rPr>
              <w:t xml:space="preserve"> </w:t>
            </w:r>
          </w:p>
        </w:tc>
        <w:tc>
          <w:tcPr>
            <w:tcW w:w="2340"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3FEC615F" w14:textId="77777777" w:rsidR="002F47E7" w:rsidRPr="00DF4CE5" w:rsidRDefault="002F47E7" w:rsidP="00CE1FD6">
            <w:pPr>
              <w:spacing w:after="0" w:line="256" w:lineRule="auto"/>
              <w:rPr>
                <w:rFonts w:ascii="Cambria" w:hAnsi="Cambria" w:cs="Calibri"/>
              </w:rPr>
            </w:pPr>
            <w:r w:rsidRPr="00DF4CE5">
              <w:rPr>
                <w:rFonts w:ascii="Cambria" w:hAnsi="Cambria" w:cs="Calibri"/>
              </w:rPr>
              <w:t xml:space="preserve">Razina </w:t>
            </w:r>
            <w:proofErr w:type="spellStart"/>
            <w:r w:rsidRPr="00DF4CE5">
              <w:rPr>
                <w:rFonts w:ascii="Cambria" w:hAnsi="Cambria" w:cs="Calibri"/>
              </w:rPr>
              <w:t>kolegija</w:t>
            </w:r>
            <w:proofErr w:type="spellEnd"/>
          </w:p>
        </w:tc>
        <w:tc>
          <w:tcPr>
            <w:tcW w:w="1913"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A605958" w14:textId="77777777" w:rsidR="002F47E7" w:rsidRPr="00DF4CE5" w:rsidRDefault="002F47E7" w:rsidP="00CE1FD6">
            <w:pPr>
              <w:spacing w:after="0" w:line="256" w:lineRule="auto"/>
              <w:rPr>
                <w:rFonts w:ascii="Cambria" w:hAnsi="Cambria" w:cs="Calibri"/>
              </w:rPr>
            </w:pPr>
            <w:proofErr w:type="spellStart"/>
            <w:r w:rsidRPr="00DF4CE5">
              <w:rPr>
                <w:rFonts w:ascii="Cambria" w:hAnsi="Cambria" w:cs="Calibri"/>
              </w:rPr>
              <w:t>integrirani</w:t>
            </w:r>
            <w:proofErr w:type="spellEnd"/>
          </w:p>
        </w:tc>
      </w:tr>
      <w:tr w:rsidR="002F47E7" w:rsidRPr="00DF4CE5" w14:paraId="4F325864" w14:textId="77777777" w:rsidTr="002F47E7">
        <w:tc>
          <w:tcPr>
            <w:tcW w:w="215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12687CA" w14:textId="77777777" w:rsidR="002F47E7" w:rsidRPr="00DF4CE5" w:rsidRDefault="002F47E7" w:rsidP="00CE1FD6">
            <w:pPr>
              <w:spacing w:after="0" w:line="256" w:lineRule="auto"/>
              <w:rPr>
                <w:rFonts w:ascii="Cambria" w:hAnsi="Cambria" w:cs="Calibri"/>
              </w:rPr>
            </w:pPr>
            <w:proofErr w:type="spellStart"/>
            <w:r w:rsidRPr="00DF4CE5">
              <w:rPr>
                <w:rFonts w:ascii="Cambria" w:hAnsi="Cambria" w:cs="Calibri"/>
              </w:rPr>
              <w:t>Semestar</w:t>
            </w:r>
            <w:proofErr w:type="spellEnd"/>
          </w:p>
        </w:tc>
        <w:tc>
          <w:tcPr>
            <w:tcW w:w="307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E343C95" w14:textId="77777777" w:rsidR="002F47E7" w:rsidRPr="00DF4CE5" w:rsidRDefault="002F47E7" w:rsidP="00CE1FD6">
            <w:pPr>
              <w:spacing w:after="0" w:line="256" w:lineRule="auto"/>
              <w:rPr>
                <w:rFonts w:ascii="Cambria" w:hAnsi="Cambria" w:cs="Calibri"/>
              </w:rPr>
            </w:pPr>
            <w:proofErr w:type="spellStart"/>
            <w:r w:rsidRPr="00DF4CE5">
              <w:rPr>
                <w:rFonts w:ascii="Cambria" w:hAnsi="Cambria" w:cs="Calibri"/>
              </w:rPr>
              <w:t>ljetni</w:t>
            </w:r>
            <w:proofErr w:type="spellEnd"/>
          </w:p>
        </w:tc>
        <w:tc>
          <w:tcPr>
            <w:tcW w:w="2340"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5504DEB1" w14:textId="77777777" w:rsidR="002F47E7" w:rsidRPr="00DF4CE5" w:rsidRDefault="002F47E7" w:rsidP="00CE1FD6">
            <w:pPr>
              <w:spacing w:after="0" w:line="256" w:lineRule="auto"/>
              <w:rPr>
                <w:rFonts w:ascii="Cambria" w:hAnsi="Cambria" w:cs="Calibri"/>
              </w:rPr>
            </w:pPr>
            <w:r w:rsidRPr="00DF4CE5">
              <w:rPr>
                <w:rFonts w:ascii="Cambria" w:hAnsi="Cambria" w:cs="Calibri"/>
              </w:rPr>
              <w:t xml:space="preserve">Godina </w:t>
            </w:r>
            <w:proofErr w:type="spellStart"/>
            <w:r w:rsidRPr="00DF4CE5">
              <w:rPr>
                <w:rFonts w:ascii="Cambria" w:hAnsi="Cambria" w:cs="Calibri"/>
              </w:rPr>
              <w:t>studija</w:t>
            </w:r>
            <w:proofErr w:type="spellEnd"/>
          </w:p>
        </w:tc>
        <w:tc>
          <w:tcPr>
            <w:tcW w:w="1913"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6E01FD7" w14:textId="77777777" w:rsidR="002F47E7" w:rsidRPr="00DF4CE5" w:rsidRDefault="002F47E7" w:rsidP="00CE1FD6">
            <w:pPr>
              <w:spacing w:after="0" w:line="256" w:lineRule="auto"/>
              <w:rPr>
                <w:rFonts w:ascii="Cambria" w:hAnsi="Cambria" w:cs="Calibri"/>
              </w:rPr>
            </w:pPr>
            <w:r w:rsidRPr="00DF4CE5">
              <w:rPr>
                <w:rFonts w:ascii="Cambria" w:hAnsi="Cambria" w:cs="Calibri"/>
              </w:rPr>
              <w:t>II.</w:t>
            </w:r>
          </w:p>
        </w:tc>
      </w:tr>
      <w:tr w:rsidR="002F47E7" w:rsidRPr="00DF4CE5" w14:paraId="563256BD" w14:textId="77777777" w:rsidTr="002F47E7">
        <w:tc>
          <w:tcPr>
            <w:tcW w:w="215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975D3A3" w14:textId="77777777" w:rsidR="002F47E7" w:rsidRPr="00DF4CE5" w:rsidRDefault="002F47E7" w:rsidP="00CE1FD6">
            <w:pPr>
              <w:spacing w:after="0" w:line="256" w:lineRule="auto"/>
              <w:rPr>
                <w:rFonts w:ascii="Cambria" w:hAnsi="Cambria" w:cs="Calibri"/>
              </w:rPr>
            </w:pPr>
            <w:proofErr w:type="spellStart"/>
            <w:r w:rsidRPr="00DF4CE5">
              <w:rPr>
                <w:rFonts w:ascii="Cambria" w:hAnsi="Cambria" w:cs="Calibri"/>
              </w:rPr>
              <w:t>Mjesto</w:t>
            </w:r>
            <w:proofErr w:type="spellEnd"/>
            <w:r w:rsidRPr="00DF4CE5">
              <w:rPr>
                <w:rFonts w:ascii="Cambria" w:hAnsi="Cambria" w:cs="Calibri"/>
              </w:rPr>
              <w:t xml:space="preserve"> </w:t>
            </w:r>
            <w:proofErr w:type="spellStart"/>
            <w:r w:rsidRPr="00DF4CE5">
              <w:rPr>
                <w:rFonts w:ascii="Cambria" w:hAnsi="Cambria" w:cs="Calibri"/>
              </w:rPr>
              <w:t>izvođenja</w:t>
            </w:r>
            <w:proofErr w:type="spellEnd"/>
          </w:p>
        </w:tc>
        <w:tc>
          <w:tcPr>
            <w:tcW w:w="307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844EFDB" w14:textId="7B7DA7A5" w:rsidR="002F47E7" w:rsidRPr="00DF4CE5" w:rsidRDefault="002F47E7" w:rsidP="00CE1FD6">
            <w:pPr>
              <w:spacing w:after="0" w:line="256" w:lineRule="auto"/>
              <w:rPr>
                <w:rFonts w:ascii="Cambria" w:hAnsi="Cambria" w:cs="Calibri"/>
              </w:rPr>
            </w:pPr>
            <w:proofErr w:type="spellStart"/>
            <w:r w:rsidRPr="00DF4CE5">
              <w:rPr>
                <w:rFonts w:ascii="Cambria" w:hAnsi="Cambria" w:cs="Calibri"/>
              </w:rPr>
              <w:t>učionica</w:t>
            </w:r>
            <w:proofErr w:type="spellEnd"/>
            <w:r w:rsidRPr="00DF4CE5">
              <w:rPr>
                <w:rFonts w:ascii="Cambria" w:hAnsi="Cambria" w:cs="Calibri"/>
              </w:rPr>
              <w:t xml:space="preserve"> </w:t>
            </w:r>
          </w:p>
        </w:tc>
        <w:tc>
          <w:tcPr>
            <w:tcW w:w="2340"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27B25DA8" w14:textId="77777777" w:rsidR="002F47E7" w:rsidRPr="00DF4CE5" w:rsidRDefault="002F47E7" w:rsidP="00CE1FD6">
            <w:pPr>
              <w:spacing w:after="0" w:line="256" w:lineRule="auto"/>
              <w:rPr>
                <w:rFonts w:ascii="Cambria" w:hAnsi="Cambria" w:cs="Calibri"/>
              </w:rPr>
            </w:pPr>
            <w:r w:rsidRPr="00DF4CE5">
              <w:rPr>
                <w:rFonts w:ascii="Cambria" w:hAnsi="Cambria" w:cs="Calibri"/>
              </w:rPr>
              <w:t xml:space="preserve">Jezik </w:t>
            </w:r>
            <w:proofErr w:type="spellStart"/>
            <w:r w:rsidRPr="00DF4CE5">
              <w:rPr>
                <w:rFonts w:ascii="Cambria" w:hAnsi="Cambria" w:cs="Calibri"/>
              </w:rPr>
              <w:t>izvođenja</w:t>
            </w:r>
            <w:proofErr w:type="spellEnd"/>
            <w:r w:rsidRPr="00DF4CE5">
              <w:rPr>
                <w:rFonts w:ascii="Cambria" w:hAnsi="Cambria" w:cs="Calibri"/>
              </w:rPr>
              <w:t xml:space="preserve"> (</w:t>
            </w:r>
            <w:proofErr w:type="spellStart"/>
            <w:r w:rsidRPr="00DF4CE5">
              <w:rPr>
                <w:rFonts w:ascii="Cambria" w:hAnsi="Cambria" w:cs="Calibri"/>
              </w:rPr>
              <w:t>drugi</w:t>
            </w:r>
            <w:proofErr w:type="spellEnd"/>
            <w:r w:rsidRPr="00DF4CE5">
              <w:rPr>
                <w:rFonts w:ascii="Cambria" w:hAnsi="Cambria" w:cs="Calibri"/>
              </w:rPr>
              <w:t xml:space="preserve"> </w:t>
            </w:r>
            <w:proofErr w:type="spellStart"/>
            <w:r w:rsidRPr="00DF4CE5">
              <w:rPr>
                <w:rFonts w:ascii="Cambria" w:hAnsi="Cambria" w:cs="Calibri"/>
              </w:rPr>
              <w:t>jezici</w:t>
            </w:r>
            <w:proofErr w:type="spellEnd"/>
            <w:r w:rsidRPr="00DF4CE5">
              <w:rPr>
                <w:rFonts w:ascii="Cambria" w:hAnsi="Cambria" w:cs="Calibri"/>
              </w:rPr>
              <w:t>)</w:t>
            </w:r>
          </w:p>
        </w:tc>
        <w:tc>
          <w:tcPr>
            <w:tcW w:w="1913"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0BFB93F" w14:textId="77777777" w:rsidR="002F47E7" w:rsidRPr="00DF4CE5" w:rsidRDefault="002F47E7" w:rsidP="00CE1FD6">
            <w:pPr>
              <w:spacing w:after="0" w:line="256" w:lineRule="auto"/>
              <w:rPr>
                <w:rFonts w:ascii="Cambria" w:hAnsi="Cambria" w:cs="Calibri"/>
              </w:rPr>
            </w:pPr>
            <w:proofErr w:type="spellStart"/>
            <w:r w:rsidRPr="00DF4CE5">
              <w:rPr>
                <w:rFonts w:ascii="Cambria" w:hAnsi="Cambria" w:cs="Calibri"/>
              </w:rPr>
              <w:t>hrvatski</w:t>
            </w:r>
            <w:proofErr w:type="spellEnd"/>
          </w:p>
        </w:tc>
      </w:tr>
      <w:tr w:rsidR="002F47E7" w:rsidRPr="00DF4CE5" w14:paraId="106FC57A" w14:textId="77777777" w:rsidTr="002F47E7">
        <w:tc>
          <w:tcPr>
            <w:tcW w:w="215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4367AFC" w14:textId="77777777" w:rsidR="002F47E7" w:rsidRPr="00DF4CE5" w:rsidRDefault="002F47E7" w:rsidP="00CE1FD6">
            <w:pPr>
              <w:spacing w:after="0" w:line="256" w:lineRule="auto"/>
              <w:rPr>
                <w:rFonts w:ascii="Cambria" w:hAnsi="Cambria" w:cs="Calibri"/>
              </w:rPr>
            </w:pPr>
            <w:proofErr w:type="spellStart"/>
            <w:r w:rsidRPr="00DF4CE5">
              <w:rPr>
                <w:rFonts w:ascii="Cambria" w:hAnsi="Cambria" w:cs="Calibri"/>
              </w:rPr>
              <w:t>Broj</w:t>
            </w:r>
            <w:proofErr w:type="spellEnd"/>
            <w:r w:rsidRPr="00DF4CE5">
              <w:rPr>
                <w:rFonts w:ascii="Cambria" w:hAnsi="Cambria" w:cs="Calibri"/>
              </w:rPr>
              <w:t xml:space="preserve"> ECTS </w:t>
            </w:r>
            <w:proofErr w:type="spellStart"/>
            <w:r w:rsidRPr="00DF4CE5">
              <w:rPr>
                <w:rFonts w:ascii="Cambria" w:hAnsi="Cambria" w:cs="Calibri"/>
              </w:rPr>
              <w:t>bodova</w:t>
            </w:r>
            <w:proofErr w:type="spellEnd"/>
          </w:p>
        </w:tc>
        <w:tc>
          <w:tcPr>
            <w:tcW w:w="307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918F130" w14:textId="77777777" w:rsidR="002F47E7" w:rsidRPr="00DF4CE5" w:rsidRDefault="002F47E7" w:rsidP="00CE1FD6">
            <w:pPr>
              <w:spacing w:after="0" w:line="256" w:lineRule="auto"/>
              <w:rPr>
                <w:rFonts w:ascii="Cambria" w:hAnsi="Cambria" w:cs="Calibri"/>
              </w:rPr>
            </w:pPr>
            <w:r w:rsidRPr="00DF4CE5">
              <w:rPr>
                <w:rFonts w:ascii="Cambria" w:hAnsi="Cambria" w:cs="Calibri"/>
              </w:rPr>
              <w:t>6</w:t>
            </w:r>
          </w:p>
        </w:tc>
        <w:tc>
          <w:tcPr>
            <w:tcW w:w="2340"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6CE97788" w14:textId="77777777" w:rsidR="002F47E7" w:rsidRPr="00DF4CE5" w:rsidRDefault="002F47E7" w:rsidP="00CE1FD6">
            <w:pPr>
              <w:spacing w:after="0" w:line="256" w:lineRule="auto"/>
              <w:rPr>
                <w:rFonts w:ascii="Cambria" w:hAnsi="Cambria" w:cs="Calibri"/>
              </w:rPr>
            </w:pPr>
            <w:proofErr w:type="spellStart"/>
            <w:r w:rsidRPr="00DF4CE5">
              <w:rPr>
                <w:rFonts w:ascii="Cambria" w:hAnsi="Cambria" w:cs="Calibri"/>
              </w:rPr>
              <w:t>Broj</w:t>
            </w:r>
            <w:proofErr w:type="spellEnd"/>
            <w:r w:rsidRPr="00DF4CE5">
              <w:rPr>
                <w:rFonts w:ascii="Cambria" w:hAnsi="Cambria" w:cs="Calibri"/>
              </w:rPr>
              <w:t xml:space="preserve"> sati u </w:t>
            </w:r>
            <w:proofErr w:type="spellStart"/>
            <w:r w:rsidRPr="00DF4CE5">
              <w:rPr>
                <w:rFonts w:ascii="Cambria" w:hAnsi="Cambria" w:cs="Calibri"/>
              </w:rPr>
              <w:t>semestru</w:t>
            </w:r>
            <w:proofErr w:type="spellEnd"/>
          </w:p>
        </w:tc>
        <w:tc>
          <w:tcPr>
            <w:tcW w:w="1913"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39B85FB" w14:textId="311A4214" w:rsidR="002F47E7" w:rsidRPr="00DF4CE5" w:rsidRDefault="002F47E7" w:rsidP="00CE1FD6">
            <w:pPr>
              <w:spacing w:after="0" w:line="256" w:lineRule="auto"/>
              <w:rPr>
                <w:rFonts w:ascii="Cambria" w:hAnsi="Cambria" w:cs="Calibri"/>
              </w:rPr>
            </w:pPr>
            <w:r w:rsidRPr="00DF4CE5">
              <w:rPr>
                <w:rFonts w:ascii="Cambria" w:hAnsi="Cambria" w:cs="Calibri"/>
              </w:rPr>
              <w:t xml:space="preserve">30P – </w:t>
            </w:r>
            <w:r w:rsidR="00CE1FD6" w:rsidRPr="00DF4CE5">
              <w:rPr>
                <w:rFonts w:ascii="Cambria" w:hAnsi="Cambria" w:cs="Calibri"/>
              </w:rPr>
              <w:t>0S</w:t>
            </w:r>
            <w:r w:rsidR="00A61D16">
              <w:rPr>
                <w:rFonts w:ascii="Cambria" w:hAnsi="Cambria" w:cs="Calibri"/>
              </w:rPr>
              <w:t xml:space="preserve"> </w:t>
            </w:r>
            <w:r w:rsidRPr="00DF4CE5">
              <w:rPr>
                <w:rFonts w:ascii="Cambria" w:hAnsi="Cambria" w:cs="Calibri"/>
              </w:rPr>
              <w:t xml:space="preserve">– </w:t>
            </w:r>
            <w:r w:rsidR="00CE1FD6" w:rsidRPr="00DF4CE5">
              <w:rPr>
                <w:rFonts w:ascii="Cambria" w:hAnsi="Cambria" w:cs="Calibri"/>
              </w:rPr>
              <w:t>30V</w:t>
            </w:r>
            <w:r w:rsidRPr="00DF4CE5">
              <w:rPr>
                <w:rFonts w:ascii="Cambria" w:hAnsi="Cambria" w:cs="Calibri"/>
              </w:rPr>
              <w:t xml:space="preserve">        </w:t>
            </w:r>
          </w:p>
        </w:tc>
      </w:tr>
      <w:tr w:rsidR="002F47E7" w:rsidRPr="00D0399C" w14:paraId="31702CD3" w14:textId="77777777" w:rsidTr="002F47E7">
        <w:tc>
          <w:tcPr>
            <w:tcW w:w="215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AF7A440" w14:textId="77777777" w:rsidR="002F47E7" w:rsidRPr="00DF4CE5" w:rsidRDefault="002F47E7" w:rsidP="00CE1FD6">
            <w:pPr>
              <w:spacing w:after="0" w:line="256" w:lineRule="auto"/>
              <w:rPr>
                <w:rFonts w:ascii="Cambria" w:hAnsi="Cambria" w:cs="Calibri"/>
                <w:lang w:val="it-IT"/>
              </w:rPr>
            </w:pPr>
            <w:proofErr w:type="spellStart"/>
            <w:r w:rsidRPr="00DF4CE5">
              <w:rPr>
                <w:rFonts w:ascii="Cambria" w:hAnsi="Cambria" w:cs="Calibri"/>
                <w:lang w:val="it-IT"/>
              </w:rPr>
              <w:t>Preduvjeti</w:t>
            </w:r>
            <w:proofErr w:type="spellEnd"/>
            <w:r w:rsidRPr="00DF4CE5">
              <w:rPr>
                <w:rFonts w:ascii="Cambria" w:hAnsi="Cambria" w:cs="Calibri"/>
                <w:lang w:val="it-IT"/>
              </w:rPr>
              <w:t xml:space="preserve"> za </w:t>
            </w:r>
            <w:proofErr w:type="spellStart"/>
            <w:r w:rsidRPr="00DF4CE5">
              <w:rPr>
                <w:rFonts w:ascii="Cambria" w:hAnsi="Cambria" w:cs="Calibri"/>
                <w:lang w:val="it-IT"/>
              </w:rPr>
              <w:t>upis</w:t>
            </w:r>
            <w:proofErr w:type="spellEnd"/>
            <w:r w:rsidRPr="00DF4CE5">
              <w:rPr>
                <w:rFonts w:ascii="Cambria" w:hAnsi="Cambria" w:cs="Calibri"/>
                <w:lang w:val="it-IT"/>
              </w:rPr>
              <w:t xml:space="preserve"> i za </w:t>
            </w:r>
            <w:proofErr w:type="spellStart"/>
            <w:r w:rsidRPr="00DF4CE5">
              <w:rPr>
                <w:rFonts w:ascii="Cambria" w:hAnsi="Cambria" w:cs="Calibri"/>
                <w:lang w:val="it-IT"/>
              </w:rPr>
              <w:t>svladavanje</w:t>
            </w:r>
            <w:proofErr w:type="spellEnd"/>
          </w:p>
        </w:tc>
        <w:tc>
          <w:tcPr>
            <w:tcW w:w="7331"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964F74D" w14:textId="77777777" w:rsidR="002F47E7" w:rsidRPr="00DF4CE5" w:rsidRDefault="002F47E7" w:rsidP="00CE1FD6">
            <w:pPr>
              <w:spacing w:after="0" w:line="256" w:lineRule="auto"/>
              <w:rPr>
                <w:rFonts w:ascii="Cambria" w:hAnsi="Cambria" w:cs="Calibri"/>
                <w:lang w:val="it-IT"/>
              </w:rPr>
            </w:pPr>
            <w:proofErr w:type="spellStart"/>
            <w:r w:rsidRPr="00DF4CE5">
              <w:rPr>
                <w:rFonts w:ascii="Cambria" w:hAnsi="Cambria" w:cs="Calibri"/>
                <w:lang w:val="it-IT"/>
              </w:rPr>
              <w:t>Temeljna</w:t>
            </w:r>
            <w:proofErr w:type="spellEnd"/>
            <w:r w:rsidRPr="00DF4CE5">
              <w:rPr>
                <w:rFonts w:ascii="Cambria" w:hAnsi="Cambria" w:cs="Calibri"/>
                <w:lang w:val="it-IT"/>
              </w:rPr>
              <w:t xml:space="preserve"> </w:t>
            </w:r>
            <w:proofErr w:type="spellStart"/>
            <w:r w:rsidRPr="00DF4CE5">
              <w:rPr>
                <w:rFonts w:ascii="Cambria" w:hAnsi="Cambria" w:cs="Calibri"/>
                <w:lang w:val="it-IT"/>
              </w:rPr>
              <w:t>znanja</w:t>
            </w:r>
            <w:proofErr w:type="spellEnd"/>
            <w:r w:rsidRPr="00DF4CE5">
              <w:rPr>
                <w:rFonts w:ascii="Cambria" w:hAnsi="Cambria" w:cs="Calibri"/>
                <w:lang w:val="it-IT"/>
              </w:rPr>
              <w:t xml:space="preserve"> </w:t>
            </w:r>
            <w:proofErr w:type="spellStart"/>
            <w:r w:rsidRPr="00DF4CE5">
              <w:rPr>
                <w:rFonts w:ascii="Cambria" w:hAnsi="Cambria" w:cs="Calibri"/>
                <w:lang w:val="it-IT"/>
              </w:rPr>
              <w:t>iz</w:t>
            </w:r>
            <w:proofErr w:type="spellEnd"/>
            <w:r w:rsidRPr="00DF4CE5">
              <w:rPr>
                <w:rFonts w:ascii="Cambria" w:hAnsi="Cambria" w:cs="Calibri"/>
                <w:lang w:val="it-IT"/>
              </w:rPr>
              <w:t xml:space="preserve"> </w:t>
            </w:r>
            <w:proofErr w:type="spellStart"/>
            <w:r w:rsidRPr="00DF4CE5">
              <w:rPr>
                <w:rFonts w:ascii="Cambria" w:hAnsi="Cambria" w:cs="Calibri"/>
                <w:lang w:val="it-IT"/>
              </w:rPr>
              <w:t>elementarne</w:t>
            </w:r>
            <w:proofErr w:type="spellEnd"/>
            <w:r w:rsidRPr="00DF4CE5">
              <w:rPr>
                <w:rFonts w:ascii="Cambria" w:hAnsi="Cambria" w:cs="Calibri"/>
                <w:lang w:val="it-IT"/>
              </w:rPr>
              <w:t xml:space="preserve"> </w:t>
            </w:r>
            <w:proofErr w:type="spellStart"/>
            <w:r w:rsidRPr="00DF4CE5">
              <w:rPr>
                <w:rFonts w:ascii="Cambria" w:hAnsi="Cambria" w:cs="Calibri"/>
                <w:lang w:val="it-IT"/>
              </w:rPr>
              <w:t>matematike</w:t>
            </w:r>
            <w:proofErr w:type="spellEnd"/>
            <w:r w:rsidRPr="00DF4CE5">
              <w:rPr>
                <w:rFonts w:ascii="Cambria" w:hAnsi="Cambria" w:cs="Calibri"/>
                <w:lang w:val="it-IT"/>
              </w:rPr>
              <w:t xml:space="preserve"> </w:t>
            </w:r>
            <w:proofErr w:type="spellStart"/>
            <w:r w:rsidRPr="00DF4CE5">
              <w:rPr>
                <w:rFonts w:ascii="Cambria" w:hAnsi="Cambria" w:cs="Calibri"/>
                <w:lang w:val="it-IT"/>
              </w:rPr>
              <w:t>obrađena</w:t>
            </w:r>
            <w:proofErr w:type="spellEnd"/>
            <w:r w:rsidRPr="00DF4CE5">
              <w:rPr>
                <w:rFonts w:ascii="Cambria" w:hAnsi="Cambria" w:cs="Calibri"/>
                <w:lang w:val="it-IT"/>
              </w:rPr>
              <w:t xml:space="preserve"> </w:t>
            </w:r>
            <w:proofErr w:type="spellStart"/>
            <w:r w:rsidRPr="00DF4CE5">
              <w:rPr>
                <w:rFonts w:ascii="Cambria" w:hAnsi="Cambria" w:cs="Calibri"/>
                <w:lang w:val="it-IT"/>
              </w:rPr>
              <w:t>tokom</w:t>
            </w:r>
            <w:proofErr w:type="spellEnd"/>
            <w:r w:rsidRPr="00DF4CE5">
              <w:rPr>
                <w:rFonts w:ascii="Cambria" w:hAnsi="Cambria" w:cs="Calibri"/>
                <w:lang w:val="it-IT"/>
              </w:rPr>
              <w:t xml:space="preserve"> </w:t>
            </w:r>
            <w:proofErr w:type="spellStart"/>
            <w:r w:rsidRPr="00DF4CE5">
              <w:rPr>
                <w:rFonts w:ascii="Cambria" w:hAnsi="Cambria" w:cs="Calibri"/>
                <w:lang w:val="it-IT"/>
              </w:rPr>
              <w:t>srednjoškolskog</w:t>
            </w:r>
            <w:proofErr w:type="spellEnd"/>
            <w:r w:rsidRPr="00DF4CE5">
              <w:rPr>
                <w:rFonts w:ascii="Cambria" w:hAnsi="Cambria" w:cs="Calibri"/>
                <w:lang w:val="it-IT"/>
              </w:rPr>
              <w:t xml:space="preserve"> </w:t>
            </w:r>
            <w:proofErr w:type="spellStart"/>
            <w:r w:rsidRPr="00DF4CE5">
              <w:rPr>
                <w:rFonts w:ascii="Cambria" w:hAnsi="Cambria" w:cs="Calibri"/>
                <w:lang w:val="it-IT"/>
              </w:rPr>
              <w:t>obrazovanja</w:t>
            </w:r>
            <w:proofErr w:type="spellEnd"/>
            <w:r w:rsidRPr="00DF4CE5">
              <w:rPr>
                <w:rFonts w:ascii="Cambria" w:hAnsi="Cambria" w:cs="Calibri"/>
                <w:lang w:val="it-IT"/>
              </w:rPr>
              <w:t xml:space="preserve">. </w:t>
            </w:r>
            <w:proofErr w:type="spellStart"/>
            <w:r w:rsidRPr="00DF4CE5">
              <w:rPr>
                <w:rFonts w:ascii="Cambria" w:hAnsi="Cambria" w:cs="Calibri"/>
                <w:lang w:val="it-IT"/>
              </w:rPr>
              <w:t>Položen</w:t>
            </w:r>
            <w:proofErr w:type="spellEnd"/>
            <w:r w:rsidRPr="00DF4CE5">
              <w:rPr>
                <w:rFonts w:ascii="Cambria" w:hAnsi="Cambria" w:cs="Calibri"/>
                <w:lang w:val="it-IT"/>
              </w:rPr>
              <w:t xml:space="preserve"> </w:t>
            </w:r>
            <w:proofErr w:type="spellStart"/>
            <w:r w:rsidRPr="00DF4CE5">
              <w:rPr>
                <w:rFonts w:ascii="Cambria" w:hAnsi="Cambria" w:cs="Calibri"/>
                <w:lang w:val="it-IT"/>
              </w:rPr>
              <w:t>ispit</w:t>
            </w:r>
            <w:proofErr w:type="spellEnd"/>
            <w:r w:rsidRPr="00DF4CE5">
              <w:rPr>
                <w:rFonts w:ascii="Cambria" w:hAnsi="Cambria" w:cs="Calibri"/>
                <w:lang w:val="it-IT"/>
              </w:rPr>
              <w:t xml:space="preserve"> </w:t>
            </w:r>
            <w:proofErr w:type="spellStart"/>
            <w:r w:rsidRPr="00DF4CE5">
              <w:rPr>
                <w:rFonts w:ascii="Cambria" w:hAnsi="Cambria" w:cs="Calibri"/>
                <w:lang w:val="it-IT"/>
              </w:rPr>
              <w:t>iz</w:t>
            </w:r>
            <w:proofErr w:type="spellEnd"/>
            <w:r w:rsidRPr="00DF4CE5">
              <w:rPr>
                <w:rFonts w:ascii="Cambria" w:hAnsi="Cambria" w:cs="Calibri"/>
                <w:lang w:val="it-IT"/>
              </w:rPr>
              <w:t xml:space="preserve"> </w:t>
            </w:r>
            <w:proofErr w:type="spellStart"/>
            <w:r w:rsidRPr="00DF4CE5">
              <w:rPr>
                <w:rFonts w:ascii="Cambria" w:hAnsi="Cambria" w:cs="Calibri"/>
                <w:lang w:val="it-IT"/>
              </w:rPr>
              <w:t>kolegija</w:t>
            </w:r>
            <w:proofErr w:type="spellEnd"/>
            <w:r w:rsidRPr="00DF4CE5">
              <w:rPr>
                <w:rFonts w:ascii="Cambria" w:hAnsi="Cambria" w:cs="Calibri"/>
                <w:lang w:val="it-IT"/>
              </w:rPr>
              <w:t xml:space="preserve"> </w:t>
            </w:r>
            <w:proofErr w:type="spellStart"/>
            <w:r w:rsidRPr="00DF4CE5">
              <w:rPr>
                <w:rFonts w:ascii="Cambria" w:hAnsi="Cambria" w:cs="Calibri"/>
                <w:lang w:val="it-IT"/>
              </w:rPr>
              <w:t>Matematika</w:t>
            </w:r>
            <w:proofErr w:type="spellEnd"/>
            <w:r w:rsidRPr="00DF4CE5">
              <w:rPr>
                <w:rFonts w:ascii="Cambria" w:hAnsi="Cambria" w:cs="Calibri"/>
                <w:lang w:val="it-IT"/>
              </w:rPr>
              <w:t xml:space="preserve"> 1 </w:t>
            </w:r>
            <w:proofErr w:type="spellStart"/>
            <w:r w:rsidRPr="00DF4CE5">
              <w:rPr>
                <w:rFonts w:ascii="Cambria" w:hAnsi="Cambria" w:cs="Calibri"/>
                <w:lang w:val="it-IT"/>
              </w:rPr>
              <w:t>nije</w:t>
            </w:r>
            <w:proofErr w:type="spellEnd"/>
            <w:r w:rsidRPr="00DF4CE5">
              <w:rPr>
                <w:rFonts w:ascii="Cambria" w:hAnsi="Cambria" w:cs="Calibri"/>
                <w:lang w:val="it-IT"/>
              </w:rPr>
              <w:t xml:space="preserve"> </w:t>
            </w:r>
            <w:proofErr w:type="spellStart"/>
            <w:r w:rsidRPr="00DF4CE5">
              <w:rPr>
                <w:rFonts w:ascii="Cambria" w:hAnsi="Cambria" w:cs="Calibri"/>
                <w:lang w:val="it-IT"/>
              </w:rPr>
              <w:t>uvjet</w:t>
            </w:r>
            <w:proofErr w:type="spellEnd"/>
            <w:r w:rsidRPr="00DF4CE5">
              <w:rPr>
                <w:rFonts w:ascii="Cambria" w:hAnsi="Cambria" w:cs="Calibri"/>
                <w:lang w:val="it-IT"/>
              </w:rPr>
              <w:t xml:space="preserve"> za </w:t>
            </w:r>
            <w:proofErr w:type="spellStart"/>
            <w:r w:rsidRPr="00DF4CE5">
              <w:rPr>
                <w:rFonts w:ascii="Cambria" w:hAnsi="Cambria" w:cs="Calibri"/>
                <w:lang w:val="it-IT"/>
              </w:rPr>
              <w:t>upis</w:t>
            </w:r>
            <w:proofErr w:type="spellEnd"/>
            <w:r w:rsidRPr="00DF4CE5">
              <w:rPr>
                <w:rFonts w:ascii="Cambria" w:hAnsi="Cambria" w:cs="Calibri"/>
                <w:lang w:val="it-IT"/>
              </w:rPr>
              <w:t xml:space="preserve">, ali je za </w:t>
            </w:r>
            <w:proofErr w:type="spellStart"/>
            <w:r w:rsidRPr="00DF4CE5">
              <w:rPr>
                <w:rFonts w:ascii="Cambria" w:hAnsi="Cambria" w:cs="Calibri"/>
                <w:lang w:val="it-IT"/>
              </w:rPr>
              <w:t>polaganje</w:t>
            </w:r>
            <w:proofErr w:type="spellEnd"/>
            <w:r w:rsidRPr="00DF4CE5">
              <w:rPr>
                <w:rFonts w:ascii="Cambria" w:hAnsi="Cambria" w:cs="Calibri"/>
                <w:lang w:val="it-IT"/>
              </w:rPr>
              <w:t xml:space="preserve"> </w:t>
            </w:r>
            <w:proofErr w:type="spellStart"/>
            <w:r w:rsidRPr="00DF4CE5">
              <w:rPr>
                <w:rFonts w:ascii="Cambria" w:hAnsi="Cambria" w:cs="Calibri"/>
                <w:lang w:val="it-IT"/>
              </w:rPr>
              <w:t>ovog</w:t>
            </w:r>
            <w:proofErr w:type="spellEnd"/>
            <w:r w:rsidRPr="00DF4CE5">
              <w:rPr>
                <w:rFonts w:ascii="Cambria" w:hAnsi="Cambria" w:cs="Calibri"/>
                <w:lang w:val="it-IT"/>
              </w:rPr>
              <w:t xml:space="preserve"> </w:t>
            </w:r>
            <w:proofErr w:type="spellStart"/>
            <w:r w:rsidRPr="00DF4CE5">
              <w:rPr>
                <w:rFonts w:ascii="Cambria" w:hAnsi="Cambria" w:cs="Calibri"/>
                <w:lang w:val="it-IT"/>
              </w:rPr>
              <w:t>kolegija</w:t>
            </w:r>
            <w:proofErr w:type="spellEnd"/>
            <w:r w:rsidRPr="00DF4CE5">
              <w:rPr>
                <w:rFonts w:ascii="Cambria" w:hAnsi="Cambria" w:cs="Calibri"/>
                <w:lang w:val="it-IT"/>
              </w:rPr>
              <w:t>.</w:t>
            </w:r>
          </w:p>
        </w:tc>
      </w:tr>
      <w:tr w:rsidR="002F47E7" w:rsidRPr="00DF4CE5" w14:paraId="502BBF5C" w14:textId="77777777" w:rsidTr="002F47E7">
        <w:tc>
          <w:tcPr>
            <w:tcW w:w="215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7746B33" w14:textId="77777777" w:rsidR="002F47E7" w:rsidRPr="00DF4CE5" w:rsidRDefault="002F47E7">
            <w:pPr>
              <w:spacing w:line="256" w:lineRule="auto"/>
              <w:rPr>
                <w:rFonts w:ascii="Cambria" w:hAnsi="Cambria" w:cs="Calibri"/>
              </w:rPr>
            </w:pPr>
            <w:proofErr w:type="spellStart"/>
            <w:r w:rsidRPr="00DF4CE5">
              <w:rPr>
                <w:rFonts w:ascii="Cambria" w:hAnsi="Cambria" w:cs="Calibri"/>
              </w:rPr>
              <w:t>Korelativnost</w:t>
            </w:r>
            <w:proofErr w:type="spellEnd"/>
          </w:p>
        </w:tc>
        <w:tc>
          <w:tcPr>
            <w:tcW w:w="7331"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841677C" w14:textId="4F3D0185" w:rsidR="002F47E7" w:rsidRPr="00DF4CE5" w:rsidRDefault="002F47E7">
            <w:pPr>
              <w:spacing w:line="256" w:lineRule="auto"/>
              <w:rPr>
                <w:rFonts w:ascii="Cambria" w:hAnsi="Cambria" w:cs="Calibri"/>
              </w:rPr>
            </w:pPr>
            <w:proofErr w:type="spellStart"/>
            <w:r w:rsidRPr="00DF4CE5">
              <w:rPr>
                <w:rFonts w:ascii="Cambria" w:hAnsi="Cambria" w:cs="Calibri"/>
              </w:rPr>
              <w:t>Matematika</w:t>
            </w:r>
            <w:proofErr w:type="spellEnd"/>
            <w:r w:rsidRPr="00DF4CE5">
              <w:rPr>
                <w:rFonts w:ascii="Cambria" w:hAnsi="Cambria" w:cs="Calibri"/>
              </w:rPr>
              <w:t xml:space="preserve"> </w:t>
            </w:r>
            <w:r w:rsidR="0008561B">
              <w:rPr>
                <w:rFonts w:ascii="Cambria" w:hAnsi="Cambria" w:cs="Calibri"/>
              </w:rPr>
              <w:t>I.</w:t>
            </w:r>
          </w:p>
        </w:tc>
      </w:tr>
      <w:tr w:rsidR="002F47E7" w:rsidRPr="00DF4CE5" w14:paraId="53D3ED41" w14:textId="77777777" w:rsidTr="002F47E7">
        <w:tc>
          <w:tcPr>
            <w:tcW w:w="215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95918EB" w14:textId="77777777" w:rsidR="002F47E7" w:rsidRPr="00DF4CE5" w:rsidRDefault="002F47E7">
            <w:pPr>
              <w:spacing w:line="256" w:lineRule="auto"/>
              <w:rPr>
                <w:rFonts w:ascii="Cambria" w:hAnsi="Cambria" w:cs="Calibri"/>
              </w:rPr>
            </w:pPr>
            <w:proofErr w:type="spellStart"/>
            <w:r w:rsidRPr="00DF4CE5">
              <w:rPr>
                <w:rFonts w:ascii="Cambria" w:hAnsi="Cambria" w:cs="Calibri"/>
              </w:rPr>
              <w:t>Cilj</w:t>
            </w:r>
            <w:proofErr w:type="spellEnd"/>
            <w:r w:rsidRPr="00DF4CE5">
              <w:rPr>
                <w:rFonts w:ascii="Cambria" w:hAnsi="Cambria" w:cs="Calibri"/>
              </w:rPr>
              <w:t xml:space="preserve"> </w:t>
            </w:r>
            <w:proofErr w:type="spellStart"/>
            <w:r w:rsidRPr="00DF4CE5">
              <w:rPr>
                <w:rFonts w:ascii="Cambria" w:hAnsi="Cambria" w:cs="Calibri"/>
              </w:rPr>
              <w:t>kolegija</w:t>
            </w:r>
            <w:proofErr w:type="spellEnd"/>
            <w:r w:rsidRPr="00DF4CE5">
              <w:rPr>
                <w:rFonts w:ascii="Cambria" w:hAnsi="Cambria" w:cs="Calibri"/>
              </w:rPr>
              <w:t xml:space="preserve"> </w:t>
            </w:r>
          </w:p>
        </w:tc>
        <w:tc>
          <w:tcPr>
            <w:tcW w:w="7331"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A1DC9D0" w14:textId="77777777" w:rsidR="002F47E7" w:rsidRPr="00DF4CE5" w:rsidRDefault="002F47E7">
            <w:pPr>
              <w:spacing w:line="256" w:lineRule="auto"/>
              <w:rPr>
                <w:rFonts w:ascii="Cambria" w:hAnsi="Cambria" w:cs="Calibri"/>
              </w:rPr>
            </w:pPr>
            <w:proofErr w:type="spellStart"/>
            <w:r w:rsidRPr="00DF4CE5">
              <w:rPr>
                <w:rFonts w:ascii="Cambria" w:hAnsi="Cambria" w:cs="Calibri"/>
              </w:rPr>
              <w:t>unaprijediti</w:t>
            </w:r>
            <w:proofErr w:type="spellEnd"/>
            <w:r w:rsidRPr="00DF4CE5">
              <w:rPr>
                <w:rFonts w:ascii="Cambria" w:hAnsi="Cambria" w:cs="Calibri"/>
              </w:rPr>
              <w:t xml:space="preserve"> </w:t>
            </w:r>
            <w:proofErr w:type="spellStart"/>
            <w:r w:rsidRPr="00DF4CE5">
              <w:rPr>
                <w:rFonts w:ascii="Cambria" w:hAnsi="Cambria" w:cs="Calibri"/>
              </w:rPr>
              <w:t>sposobnost</w:t>
            </w:r>
            <w:proofErr w:type="spellEnd"/>
            <w:r w:rsidRPr="00DF4CE5">
              <w:rPr>
                <w:rFonts w:ascii="Cambria" w:hAnsi="Cambria" w:cs="Calibri"/>
              </w:rPr>
              <w:t xml:space="preserve"> </w:t>
            </w:r>
            <w:proofErr w:type="spellStart"/>
            <w:r w:rsidRPr="00DF4CE5">
              <w:rPr>
                <w:rFonts w:ascii="Cambria" w:hAnsi="Cambria" w:cs="Calibri"/>
              </w:rPr>
              <w:t>matematičkog</w:t>
            </w:r>
            <w:proofErr w:type="spellEnd"/>
            <w:r w:rsidRPr="00DF4CE5">
              <w:rPr>
                <w:rFonts w:ascii="Cambria" w:hAnsi="Cambria" w:cs="Calibri"/>
              </w:rPr>
              <w:t xml:space="preserve"> </w:t>
            </w:r>
            <w:proofErr w:type="spellStart"/>
            <w:r w:rsidRPr="00DF4CE5">
              <w:rPr>
                <w:rFonts w:ascii="Cambria" w:hAnsi="Cambria" w:cs="Calibri"/>
              </w:rPr>
              <w:t>mišljenja</w:t>
            </w:r>
            <w:proofErr w:type="spellEnd"/>
            <w:r w:rsidRPr="00DF4CE5">
              <w:rPr>
                <w:rFonts w:ascii="Cambria" w:hAnsi="Cambria" w:cs="Calibri"/>
              </w:rPr>
              <w:t xml:space="preserve"> </w:t>
            </w:r>
            <w:proofErr w:type="spellStart"/>
            <w:proofErr w:type="gramStart"/>
            <w:r w:rsidRPr="00DF4CE5">
              <w:rPr>
                <w:rFonts w:ascii="Cambria" w:hAnsi="Cambria" w:cs="Calibri"/>
              </w:rPr>
              <w:t>studenata</w:t>
            </w:r>
            <w:proofErr w:type="spellEnd"/>
            <w:r w:rsidRPr="00DF4CE5">
              <w:rPr>
                <w:rFonts w:ascii="Cambria" w:hAnsi="Cambria" w:cs="Calibri"/>
              </w:rPr>
              <w:t xml:space="preserve">,  </w:t>
            </w:r>
            <w:proofErr w:type="spellStart"/>
            <w:r w:rsidRPr="00DF4CE5">
              <w:rPr>
                <w:rFonts w:ascii="Cambria" w:hAnsi="Cambria" w:cs="Calibri"/>
              </w:rPr>
              <w:t>argumentiranog</w:t>
            </w:r>
            <w:proofErr w:type="spellEnd"/>
            <w:proofErr w:type="gramEnd"/>
            <w:r w:rsidRPr="00DF4CE5">
              <w:rPr>
                <w:rFonts w:ascii="Cambria" w:hAnsi="Cambria" w:cs="Calibri"/>
              </w:rPr>
              <w:t xml:space="preserve"> </w:t>
            </w:r>
            <w:proofErr w:type="spellStart"/>
            <w:r w:rsidRPr="00DF4CE5">
              <w:rPr>
                <w:rFonts w:ascii="Cambria" w:hAnsi="Cambria" w:cs="Calibri"/>
              </w:rPr>
              <w:t>i</w:t>
            </w:r>
            <w:proofErr w:type="spellEnd"/>
            <w:r w:rsidRPr="00DF4CE5">
              <w:rPr>
                <w:rFonts w:ascii="Cambria" w:hAnsi="Cambria" w:cs="Calibri"/>
              </w:rPr>
              <w:t xml:space="preserve"> </w:t>
            </w:r>
            <w:proofErr w:type="spellStart"/>
            <w:r w:rsidRPr="00DF4CE5">
              <w:rPr>
                <w:rFonts w:ascii="Cambria" w:hAnsi="Cambria" w:cs="Calibri"/>
              </w:rPr>
              <w:t>učinkovitog</w:t>
            </w:r>
            <w:proofErr w:type="spellEnd"/>
            <w:r w:rsidRPr="00DF4CE5">
              <w:rPr>
                <w:rFonts w:ascii="Cambria" w:hAnsi="Cambria" w:cs="Calibri"/>
              </w:rPr>
              <w:t xml:space="preserve"> </w:t>
            </w:r>
            <w:proofErr w:type="spellStart"/>
            <w:r w:rsidRPr="00DF4CE5">
              <w:rPr>
                <w:rFonts w:ascii="Cambria" w:hAnsi="Cambria" w:cs="Calibri"/>
              </w:rPr>
              <w:t>komuniciranja</w:t>
            </w:r>
            <w:proofErr w:type="spellEnd"/>
            <w:r w:rsidRPr="00DF4CE5">
              <w:rPr>
                <w:rFonts w:ascii="Cambria" w:hAnsi="Cambria" w:cs="Calibri"/>
              </w:rPr>
              <w:t xml:space="preserve"> </w:t>
            </w:r>
            <w:proofErr w:type="spellStart"/>
            <w:r w:rsidRPr="00DF4CE5">
              <w:rPr>
                <w:rFonts w:ascii="Cambria" w:hAnsi="Cambria" w:cs="Calibri"/>
              </w:rPr>
              <w:t>matematičkih</w:t>
            </w:r>
            <w:proofErr w:type="spellEnd"/>
            <w:r w:rsidRPr="00DF4CE5">
              <w:rPr>
                <w:rFonts w:ascii="Cambria" w:hAnsi="Cambria" w:cs="Calibri"/>
              </w:rPr>
              <w:t xml:space="preserve"> </w:t>
            </w:r>
            <w:proofErr w:type="spellStart"/>
            <w:r w:rsidRPr="00DF4CE5">
              <w:rPr>
                <w:rFonts w:ascii="Cambria" w:hAnsi="Cambria" w:cs="Calibri"/>
              </w:rPr>
              <w:t>znanja</w:t>
            </w:r>
            <w:proofErr w:type="spellEnd"/>
            <w:r w:rsidRPr="00DF4CE5">
              <w:rPr>
                <w:rFonts w:ascii="Cambria" w:hAnsi="Cambria" w:cs="Calibri"/>
              </w:rPr>
              <w:t xml:space="preserve">, </w:t>
            </w:r>
            <w:proofErr w:type="spellStart"/>
            <w:r w:rsidRPr="00DF4CE5">
              <w:rPr>
                <w:rFonts w:ascii="Cambria" w:hAnsi="Cambria" w:cs="Calibri"/>
              </w:rPr>
              <w:t>ideja</w:t>
            </w:r>
            <w:proofErr w:type="spellEnd"/>
            <w:r w:rsidRPr="00DF4CE5">
              <w:rPr>
                <w:rFonts w:ascii="Cambria" w:hAnsi="Cambria" w:cs="Calibri"/>
              </w:rPr>
              <w:t xml:space="preserve"> </w:t>
            </w:r>
            <w:proofErr w:type="spellStart"/>
            <w:r w:rsidRPr="00DF4CE5">
              <w:rPr>
                <w:rFonts w:ascii="Cambria" w:hAnsi="Cambria" w:cs="Calibri"/>
              </w:rPr>
              <w:t>i</w:t>
            </w:r>
            <w:proofErr w:type="spellEnd"/>
            <w:r w:rsidRPr="00DF4CE5">
              <w:rPr>
                <w:rFonts w:ascii="Cambria" w:hAnsi="Cambria" w:cs="Calibri"/>
              </w:rPr>
              <w:t xml:space="preserve"> </w:t>
            </w:r>
            <w:proofErr w:type="spellStart"/>
            <w:r w:rsidRPr="00DF4CE5">
              <w:rPr>
                <w:rFonts w:ascii="Cambria" w:hAnsi="Cambria" w:cs="Calibri"/>
              </w:rPr>
              <w:t>rezultata</w:t>
            </w:r>
            <w:proofErr w:type="spellEnd"/>
            <w:r w:rsidRPr="00DF4CE5">
              <w:rPr>
                <w:rFonts w:ascii="Cambria" w:hAnsi="Cambria" w:cs="Calibri"/>
              </w:rPr>
              <w:t xml:space="preserve"> </w:t>
            </w:r>
            <w:proofErr w:type="spellStart"/>
            <w:r w:rsidRPr="00DF4CE5">
              <w:rPr>
                <w:rFonts w:ascii="Cambria" w:hAnsi="Cambria" w:cs="Calibri"/>
              </w:rPr>
              <w:t>vezanih</w:t>
            </w:r>
            <w:proofErr w:type="spellEnd"/>
            <w:r w:rsidRPr="00DF4CE5">
              <w:rPr>
                <w:rFonts w:ascii="Cambria" w:hAnsi="Cambria" w:cs="Calibri"/>
              </w:rPr>
              <w:t xml:space="preserve"> </w:t>
            </w:r>
            <w:proofErr w:type="spellStart"/>
            <w:r w:rsidRPr="00DF4CE5">
              <w:rPr>
                <w:rFonts w:ascii="Cambria" w:hAnsi="Cambria" w:cs="Calibri"/>
              </w:rPr>
              <w:t>uz</w:t>
            </w:r>
            <w:proofErr w:type="spellEnd"/>
            <w:r w:rsidRPr="00DF4CE5">
              <w:rPr>
                <w:rFonts w:ascii="Cambria" w:hAnsi="Cambria" w:cs="Calibri"/>
              </w:rPr>
              <w:t xml:space="preserve"> </w:t>
            </w:r>
            <w:proofErr w:type="spellStart"/>
            <w:r w:rsidRPr="00DF4CE5">
              <w:rPr>
                <w:rFonts w:ascii="Cambria" w:hAnsi="Cambria" w:cs="Calibri"/>
              </w:rPr>
              <w:t>geometriju</w:t>
            </w:r>
            <w:proofErr w:type="spellEnd"/>
          </w:p>
        </w:tc>
      </w:tr>
      <w:tr w:rsidR="002F47E7" w:rsidRPr="00D0399C" w14:paraId="4D3BEDA3" w14:textId="77777777" w:rsidTr="002F47E7">
        <w:tc>
          <w:tcPr>
            <w:tcW w:w="215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441B567" w14:textId="77777777" w:rsidR="002F47E7" w:rsidRPr="00DF4CE5" w:rsidRDefault="002F47E7">
            <w:pPr>
              <w:spacing w:line="256" w:lineRule="auto"/>
              <w:rPr>
                <w:rFonts w:ascii="Cambria" w:hAnsi="Cambria" w:cs="Calibri"/>
              </w:rPr>
            </w:pPr>
            <w:proofErr w:type="spellStart"/>
            <w:r w:rsidRPr="00DF4CE5">
              <w:rPr>
                <w:rFonts w:ascii="Cambria" w:hAnsi="Cambria" w:cs="Calibri"/>
              </w:rPr>
              <w:t>Ishodi</w:t>
            </w:r>
            <w:proofErr w:type="spellEnd"/>
            <w:r w:rsidRPr="00DF4CE5">
              <w:rPr>
                <w:rFonts w:ascii="Cambria" w:hAnsi="Cambria" w:cs="Calibri"/>
              </w:rPr>
              <w:t xml:space="preserve"> </w:t>
            </w:r>
            <w:proofErr w:type="spellStart"/>
            <w:r w:rsidRPr="00DF4CE5">
              <w:rPr>
                <w:rFonts w:ascii="Cambria" w:hAnsi="Cambria" w:cs="Calibri"/>
              </w:rPr>
              <w:t>učenja</w:t>
            </w:r>
            <w:proofErr w:type="spellEnd"/>
          </w:p>
        </w:tc>
        <w:tc>
          <w:tcPr>
            <w:tcW w:w="7331"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7D8DB46" w14:textId="77777777" w:rsidR="002F47E7" w:rsidRPr="00DF4CE5" w:rsidRDefault="002F47E7" w:rsidP="00A034E3">
            <w:pPr>
              <w:numPr>
                <w:ilvl w:val="0"/>
                <w:numId w:val="64"/>
              </w:numPr>
              <w:spacing w:after="0" w:line="256" w:lineRule="auto"/>
              <w:rPr>
                <w:rFonts w:ascii="Cambria" w:hAnsi="Cambria" w:cs="Calibri"/>
              </w:rPr>
            </w:pPr>
            <w:proofErr w:type="spellStart"/>
            <w:r w:rsidRPr="00DF4CE5">
              <w:rPr>
                <w:rFonts w:ascii="Cambria" w:hAnsi="Cambria" w:cs="Calibri"/>
              </w:rPr>
              <w:t>rabiti</w:t>
            </w:r>
            <w:proofErr w:type="spellEnd"/>
            <w:r w:rsidRPr="00DF4CE5">
              <w:rPr>
                <w:rFonts w:ascii="Cambria" w:hAnsi="Cambria" w:cs="Calibri"/>
              </w:rPr>
              <w:t xml:space="preserve"> </w:t>
            </w:r>
            <w:proofErr w:type="spellStart"/>
            <w:r w:rsidRPr="00DF4CE5">
              <w:rPr>
                <w:rFonts w:ascii="Cambria" w:hAnsi="Cambria" w:cs="Calibri"/>
              </w:rPr>
              <w:t>temeljne</w:t>
            </w:r>
            <w:proofErr w:type="spellEnd"/>
            <w:r w:rsidRPr="00DF4CE5">
              <w:rPr>
                <w:rFonts w:ascii="Cambria" w:hAnsi="Cambria" w:cs="Calibri"/>
              </w:rPr>
              <w:t xml:space="preserve"> </w:t>
            </w:r>
            <w:proofErr w:type="spellStart"/>
            <w:r w:rsidRPr="00DF4CE5">
              <w:rPr>
                <w:rFonts w:ascii="Cambria" w:hAnsi="Cambria" w:cs="Calibri"/>
              </w:rPr>
              <w:t>koncepte</w:t>
            </w:r>
            <w:proofErr w:type="spellEnd"/>
            <w:r w:rsidRPr="00DF4CE5">
              <w:rPr>
                <w:rFonts w:ascii="Cambria" w:hAnsi="Cambria" w:cs="Calibri"/>
              </w:rPr>
              <w:t xml:space="preserve"> </w:t>
            </w:r>
            <w:proofErr w:type="spellStart"/>
            <w:r w:rsidRPr="00DF4CE5">
              <w:rPr>
                <w:rFonts w:ascii="Cambria" w:hAnsi="Cambria" w:cs="Calibri"/>
              </w:rPr>
              <w:t>elementarne</w:t>
            </w:r>
            <w:proofErr w:type="spellEnd"/>
            <w:r w:rsidRPr="00DF4CE5">
              <w:rPr>
                <w:rFonts w:ascii="Cambria" w:hAnsi="Cambria" w:cs="Calibri"/>
              </w:rPr>
              <w:t xml:space="preserve"> </w:t>
            </w:r>
            <w:proofErr w:type="spellStart"/>
            <w:r w:rsidRPr="00DF4CE5">
              <w:rPr>
                <w:rFonts w:ascii="Cambria" w:hAnsi="Cambria" w:cs="Calibri"/>
              </w:rPr>
              <w:t>geometrije</w:t>
            </w:r>
            <w:proofErr w:type="spellEnd"/>
            <w:r w:rsidRPr="00DF4CE5">
              <w:rPr>
                <w:rFonts w:ascii="Cambria" w:hAnsi="Cambria" w:cs="Calibri"/>
              </w:rPr>
              <w:t xml:space="preserve"> </w:t>
            </w:r>
          </w:p>
          <w:p w14:paraId="056108BD" w14:textId="77777777" w:rsidR="002F47E7" w:rsidRPr="00DF4CE5" w:rsidRDefault="002F47E7" w:rsidP="00A034E3">
            <w:pPr>
              <w:numPr>
                <w:ilvl w:val="0"/>
                <w:numId w:val="64"/>
              </w:numPr>
              <w:spacing w:after="0" w:line="256" w:lineRule="auto"/>
              <w:rPr>
                <w:rFonts w:ascii="Cambria" w:hAnsi="Cambria" w:cs="Calibri"/>
              </w:rPr>
            </w:pPr>
            <w:proofErr w:type="spellStart"/>
            <w:r w:rsidRPr="00DF4CE5">
              <w:rPr>
                <w:rFonts w:ascii="Cambria" w:hAnsi="Cambria" w:cs="Calibri"/>
              </w:rPr>
              <w:t>izvoditi</w:t>
            </w:r>
            <w:proofErr w:type="spellEnd"/>
            <w:r w:rsidRPr="00DF4CE5">
              <w:rPr>
                <w:rFonts w:ascii="Cambria" w:hAnsi="Cambria" w:cs="Calibri"/>
              </w:rPr>
              <w:t xml:space="preserve"> </w:t>
            </w:r>
            <w:proofErr w:type="spellStart"/>
            <w:r w:rsidRPr="00DF4CE5">
              <w:rPr>
                <w:rFonts w:ascii="Cambria" w:hAnsi="Cambria" w:cs="Calibri"/>
              </w:rPr>
              <w:t>jednostavne</w:t>
            </w:r>
            <w:proofErr w:type="spellEnd"/>
            <w:r w:rsidRPr="00DF4CE5">
              <w:rPr>
                <w:rFonts w:ascii="Cambria" w:hAnsi="Cambria" w:cs="Calibri"/>
              </w:rPr>
              <w:t xml:space="preserve"> </w:t>
            </w:r>
            <w:proofErr w:type="spellStart"/>
            <w:r w:rsidRPr="00DF4CE5">
              <w:rPr>
                <w:rFonts w:ascii="Cambria" w:hAnsi="Cambria" w:cs="Calibri"/>
              </w:rPr>
              <w:t>geometrijske</w:t>
            </w:r>
            <w:proofErr w:type="spellEnd"/>
            <w:r w:rsidRPr="00DF4CE5">
              <w:rPr>
                <w:rFonts w:ascii="Cambria" w:hAnsi="Cambria" w:cs="Calibri"/>
              </w:rPr>
              <w:t xml:space="preserve"> </w:t>
            </w:r>
            <w:proofErr w:type="spellStart"/>
            <w:r w:rsidRPr="00DF4CE5">
              <w:rPr>
                <w:rFonts w:ascii="Cambria" w:hAnsi="Cambria" w:cs="Calibri"/>
              </w:rPr>
              <w:t>konstrukcije</w:t>
            </w:r>
            <w:proofErr w:type="spellEnd"/>
            <w:r w:rsidRPr="00DF4CE5">
              <w:rPr>
                <w:rFonts w:ascii="Cambria" w:hAnsi="Cambria" w:cs="Calibri"/>
              </w:rPr>
              <w:t xml:space="preserve"> </w:t>
            </w:r>
          </w:p>
          <w:p w14:paraId="7698FB3F" w14:textId="77777777" w:rsidR="002F47E7" w:rsidRPr="00DF4CE5" w:rsidRDefault="002F47E7" w:rsidP="00A034E3">
            <w:pPr>
              <w:numPr>
                <w:ilvl w:val="0"/>
                <w:numId w:val="64"/>
              </w:numPr>
              <w:spacing w:after="0" w:line="256" w:lineRule="auto"/>
              <w:rPr>
                <w:rFonts w:ascii="Cambria" w:hAnsi="Cambria" w:cs="Calibri"/>
              </w:rPr>
            </w:pPr>
            <w:proofErr w:type="spellStart"/>
            <w:r w:rsidRPr="00DF4CE5">
              <w:rPr>
                <w:rFonts w:ascii="Cambria" w:hAnsi="Cambria" w:cs="Calibri"/>
              </w:rPr>
              <w:t>uspostavljati</w:t>
            </w:r>
            <w:proofErr w:type="spellEnd"/>
            <w:r w:rsidRPr="00DF4CE5">
              <w:rPr>
                <w:rFonts w:ascii="Cambria" w:hAnsi="Cambria" w:cs="Calibri"/>
              </w:rPr>
              <w:t xml:space="preserve"> </w:t>
            </w:r>
            <w:proofErr w:type="spellStart"/>
            <w:r w:rsidRPr="00DF4CE5">
              <w:rPr>
                <w:rFonts w:ascii="Cambria" w:hAnsi="Cambria" w:cs="Calibri"/>
              </w:rPr>
              <w:t>veze</w:t>
            </w:r>
            <w:proofErr w:type="spellEnd"/>
            <w:r w:rsidRPr="00DF4CE5">
              <w:rPr>
                <w:rFonts w:ascii="Cambria" w:hAnsi="Cambria" w:cs="Calibri"/>
              </w:rPr>
              <w:t xml:space="preserve"> </w:t>
            </w:r>
            <w:proofErr w:type="spellStart"/>
            <w:r w:rsidRPr="00DF4CE5">
              <w:rPr>
                <w:rFonts w:ascii="Cambria" w:hAnsi="Cambria" w:cs="Calibri"/>
              </w:rPr>
              <w:t>između</w:t>
            </w:r>
            <w:proofErr w:type="spellEnd"/>
            <w:r w:rsidRPr="00DF4CE5">
              <w:rPr>
                <w:rFonts w:ascii="Cambria" w:hAnsi="Cambria" w:cs="Calibri"/>
              </w:rPr>
              <w:t xml:space="preserve"> </w:t>
            </w:r>
            <w:proofErr w:type="spellStart"/>
            <w:r w:rsidRPr="00DF4CE5">
              <w:rPr>
                <w:rFonts w:ascii="Cambria" w:hAnsi="Cambria" w:cs="Calibri"/>
              </w:rPr>
              <w:t>govornog</w:t>
            </w:r>
            <w:proofErr w:type="spellEnd"/>
            <w:r w:rsidRPr="00DF4CE5">
              <w:rPr>
                <w:rFonts w:ascii="Cambria" w:hAnsi="Cambria" w:cs="Calibri"/>
              </w:rPr>
              <w:t xml:space="preserve"> </w:t>
            </w:r>
            <w:proofErr w:type="spellStart"/>
            <w:r w:rsidRPr="00DF4CE5">
              <w:rPr>
                <w:rFonts w:ascii="Cambria" w:hAnsi="Cambria" w:cs="Calibri"/>
              </w:rPr>
              <w:t>jezika</w:t>
            </w:r>
            <w:proofErr w:type="spellEnd"/>
            <w:r w:rsidRPr="00DF4CE5">
              <w:rPr>
                <w:rFonts w:ascii="Cambria" w:hAnsi="Cambria" w:cs="Calibri"/>
              </w:rPr>
              <w:t xml:space="preserve">, </w:t>
            </w:r>
            <w:proofErr w:type="spellStart"/>
            <w:r w:rsidRPr="00DF4CE5">
              <w:rPr>
                <w:rFonts w:ascii="Cambria" w:hAnsi="Cambria" w:cs="Calibri"/>
              </w:rPr>
              <w:t>simboličkog</w:t>
            </w:r>
            <w:proofErr w:type="spellEnd"/>
            <w:r w:rsidRPr="00DF4CE5">
              <w:rPr>
                <w:rFonts w:ascii="Cambria" w:hAnsi="Cambria" w:cs="Calibri"/>
              </w:rPr>
              <w:t xml:space="preserve"> </w:t>
            </w:r>
            <w:proofErr w:type="spellStart"/>
            <w:r w:rsidRPr="00DF4CE5">
              <w:rPr>
                <w:rFonts w:ascii="Cambria" w:hAnsi="Cambria" w:cs="Calibri"/>
              </w:rPr>
              <w:t>zapisa</w:t>
            </w:r>
            <w:proofErr w:type="spellEnd"/>
            <w:r w:rsidRPr="00DF4CE5">
              <w:rPr>
                <w:rFonts w:ascii="Cambria" w:hAnsi="Cambria" w:cs="Calibri"/>
              </w:rPr>
              <w:t xml:space="preserve"> </w:t>
            </w:r>
            <w:proofErr w:type="spellStart"/>
            <w:r w:rsidRPr="00DF4CE5">
              <w:rPr>
                <w:rFonts w:ascii="Cambria" w:hAnsi="Cambria" w:cs="Calibri"/>
              </w:rPr>
              <w:t>i</w:t>
            </w:r>
            <w:proofErr w:type="spellEnd"/>
            <w:r w:rsidRPr="00DF4CE5">
              <w:rPr>
                <w:rFonts w:ascii="Cambria" w:hAnsi="Cambria" w:cs="Calibri"/>
              </w:rPr>
              <w:t xml:space="preserve"> </w:t>
            </w:r>
            <w:proofErr w:type="spellStart"/>
            <w:r w:rsidRPr="00DF4CE5">
              <w:rPr>
                <w:rFonts w:ascii="Cambria" w:hAnsi="Cambria" w:cs="Calibri"/>
              </w:rPr>
              <w:t>vizualnog</w:t>
            </w:r>
            <w:proofErr w:type="spellEnd"/>
            <w:r w:rsidRPr="00DF4CE5">
              <w:rPr>
                <w:rFonts w:ascii="Cambria" w:hAnsi="Cambria" w:cs="Calibri"/>
              </w:rPr>
              <w:t xml:space="preserve"> </w:t>
            </w:r>
            <w:proofErr w:type="spellStart"/>
            <w:r w:rsidRPr="00DF4CE5">
              <w:rPr>
                <w:rFonts w:ascii="Cambria" w:hAnsi="Cambria" w:cs="Calibri"/>
              </w:rPr>
              <w:t>prikaza</w:t>
            </w:r>
            <w:proofErr w:type="spellEnd"/>
            <w:r w:rsidRPr="00DF4CE5">
              <w:rPr>
                <w:rFonts w:ascii="Cambria" w:hAnsi="Cambria" w:cs="Calibri"/>
              </w:rPr>
              <w:t xml:space="preserve"> </w:t>
            </w:r>
          </w:p>
          <w:p w14:paraId="65EB8FC1" w14:textId="77777777" w:rsidR="002F47E7" w:rsidRPr="00DF4CE5" w:rsidRDefault="002F47E7" w:rsidP="00A034E3">
            <w:pPr>
              <w:numPr>
                <w:ilvl w:val="0"/>
                <w:numId w:val="64"/>
              </w:numPr>
              <w:spacing w:after="0" w:line="256" w:lineRule="auto"/>
              <w:rPr>
                <w:rFonts w:ascii="Cambria" w:hAnsi="Cambria" w:cs="Calibri"/>
                <w:lang w:val="it-IT"/>
              </w:rPr>
            </w:pPr>
            <w:proofErr w:type="spellStart"/>
            <w:r w:rsidRPr="00DF4CE5">
              <w:rPr>
                <w:rFonts w:ascii="Cambria" w:hAnsi="Cambria" w:cs="Calibri"/>
                <w:lang w:val="it-IT"/>
              </w:rPr>
              <w:t>primjenjivati</w:t>
            </w:r>
            <w:proofErr w:type="spellEnd"/>
            <w:r w:rsidRPr="00DF4CE5">
              <w:rPr>
                <w:rFonts w:ascii="Cambria" w:hAnsi="Cambria" w:cs="Calibri"/>
                <w:lang w:val="it-IT"/>
              </w:rPr>
              <w:t xml:space="preserve"> </w:t>
            </w:r>
            <w:proofErr w:type="spellStart"/>
            <w:r w:rsidRPr="00DF4CE5">
              <w:rPr>
                <w:rFonts w:ascii="Cambria" w:hAnsi="Cambria" w:cs="Calibri"/>
                <w:lang w:val="it-IT"/>
              </w:rPr>
              <w:t>geometrijska</w:t>
            </w:r>
            <w:proofErr w:type="spellEnd"/>
            <w:r w:rsidRPr="00DF4CE5">
              <w:rPr>
                <w:rFonts w:ascii="Cambria" w:hAnsi="Cambria" w:cs="Calibri"/>
                <w:lang w:val="it-IT"/>
              </w:rPr>
              <w:t xml:space="preserve"> </w:t>
            </w:r>
            <w:proofErr w:type="spellStart"/>
            <w:r w:rsidRPr="00DF4CE5">
              <w:rPr>
                <w:rFonts w:ascii="Cambria" w:hAnsi="Cambria" w:cs="Calibri"/>
                <w:lang w:val="it-IT"/>
              </w:rPr>
              <w:t>znanja</w:t>
            </w:r>
            <w:proofErr w:type="spellEnd"/>
            <w:r w:rsidRPr="00DF4CE5">
              <w:rPr>
                <w:rFonts w:ascii="Cambria" w:hAnsi="Cambria" w:cs="Calibri"/>
                <w:lang w:val="it-IT"/>
              </w:rPr>
              <w:t xml:space="preserve"> i </w:t>
            </w:r>
            <w:proofErr w:type="spellStart"/>
            <w:r w:rsidRPr="00DF4CE5">
              <w:rPr>
                <w:rFonts w:ascii="Cambria" w:hAnsi="Cambria" w:cs="Calibri"/>
                <w:lang w:val="it-IT"/>
              </w:rPr>
              <w:t>vještine</w:t>
            </w:r>
            <w:proofErr w:type="spellEnd"/>
            <w:r w:rsidRPr="00DF4CE5">
              <w:rPr>
                <w:rFonts w:ascii="Cambria" w:hAnsi="Cambria" w:cs="Calibri"/>
                <w:lang w:val="it-IT"/>
              </w:rPr>
              <w:t xml:space="preserve"> za </w:t>
            </w:r>
            <w:proofErr w:type="spellStart"/>
            <w:r w:rsidRPr="00DF4CE5">
              <w:rPr>
                <w:rFonts w:ascii="Cambria" w:hAnsi="Cambria" w:cs="Calibri"/>
                <w:lang w:val="it-IT"/>
              </w:rPr>
              <w:t>opis</w:t>
            </w:r>
            <w:proofErr w:type="spellEnd"/>
            <w:r w:rsidRPr="00DF4CE5">
              <w:rPr>
                <w:rFonts w:ascii="Cambria" w:hAnsi="Cambria" w:cs="Calibri"/>
                <w:lang w:val="it-IT"/>
              </w:rPr>
              <w:t xml:space="preserve"> i </w:t>
            </w:r>
            <w:proofErr w:type="spellStart"/>
            <w:r w:rsidRPr="00DF4CE5">
              <w:rPr>
                <w:rFonts w:ascii="Cambria" w:hAnsi="Cambria" w:cs="Calibri"/>
                <w:lang w:val="it-IT"/>
              </w:rPr>
              <w:t>analizu</w:t>
            </w:r>
            <w:proofErr w:type="spellEnd"/>
            <w:r w:rsidRPr="00DF4CE5">
              <w:rPr>
                <w:rFonts w:ascii="Cambria" w:hAnsi="Cambria" w:cs="Calibri"/>
                <w:lang w:val="it-IT"/>
              </w:rPr>
              <w:t xml:space="preserve"> </w:t>
            </w:r>
            <w:proofErr w:type="spellStart"/>
            <w:r w:rsidRPr="00DF4CE5">
              <w:rPr>
                <w:rFonts w:ascii="Cambria" w:hAnsi="Cambria" w:cs="Calibri"/>
                <w:lang w:val="it-IT"/>
              </w:rPr>
              <w:t>svijeta</w:t>
            </w:r>
            <w:proofErr w:type="spellEnd"/>
            <w:r w:rsidRPr="00DF4CE5">
              <w:rPr>
                <w:rFonts w:ascii="Cambria" w:hAnsi="Cambria" w:cs="Calibri"/>
                <w:lang w:val="it-IT"/>
              </w:rPr>
              <w:t xml:space="preserve"> </w:t>
            </w:r>
            <w:proofErr w:type="spellStart"/>
            <w:r w:rsidRPr="00DF4CE5">
              <w:rPr>
                <w:rFonts w:ascii="Cambria" w:hAnsi="Cambria" w:cs="Calibri"/>
                <w:lang w:val="it-IT"/>
              </w:rPr>
              <w:t>oko</w:t>
            </w:r>
            <w:proofErr w:type="spellEnd"/>
            <w:r w:rsidRPr="00DF4CE5">
              <w:rPr>
                <w:rFonts w:ascii="Cambria" w:hAnsi="Cambria" w:cs="Calibri"/>
                <w:lang w:val="it-IT"/>
              </w:rPr>
              <w:t xml:space="preserve"> </w:t>
            </w:r>
            <w:proofErr w:type="spellStart"/>
            <w:r w:rsidRPr="00DF4CE5">
              <w:rPr>
                <w:rFonts w:ascii="Cambria" w:hAnsi="Cambria" w:cs="Calibri"/>
                <w:lang w:val="it-IT"/>
              </w:rPr>
              <w:t>sebe</w:t>
            </w:r>
            <w:proofErr w:type="spellEnd"/>
          </w:p>
          <w:p w14:paraId="18F6C04C" w14:textId="77777777" w:rsidR="002F47E7" w:rsidRPr="00DF4CE5" w:rsidRDefault="002F47E7" w:rsidP="00A034E3">
            <w:pPr>
              <w:numPr>
                <w:ilvl w:val="0"/>
                <w:numId w:val="64"/>
              </w:numPr>
              <w:spacing w:after="0" w:line="256" w:lineRule="auto"/>
              <w:rPr>
                <w:rFonts w:ascii="Cambria" w:hAnsi="Cambria" w:cs="Calibri"/>
                <w:lang w:val="it-IT"/>
              </w:rPr>
            </w:pPr>
            <w:proofErr w:type="spellStart"/>
            <w:r w:rsidRPr="00DF4CE5">
              <w:rPr>
                <w:rFonts w:ascii="Cambria" w:hAnsi="Cambria" w:cs="Calibri"/>
                <w:lang w:val="it-IT"/>
              </w:rPr>
              <w:t>argumentirati</w:t>
            </w:r>
            <w:proofErr w:type="spellEnd"/>
            <w:r w:rsidRPr="00DF4CE5">
              <w:rPr>
                <w:rFonts w:ascii="Cambria" w:hAnsi="Cambria" w:cs="Calibri"/>
                <w:lang w:val="it-IT"/>
              </w:rPr>
              <w:t xml:space="preserve"> </w:t>
            </w:r>
            <w:proofErr w:type="spellStart"/>
            <w:r w:rsidRPr="00DF4CE5">
              <w:rPr>
                <w:rFonts w:ascii="Cambria" w:hAnsi="Cambria" w:cs="Calibri"/>
                <w:lang w:val="it-IT"/>
              </w:rPr>
              <w:t>matematička</w:t>
            </w:r>
            <w:proofErr w:type="spellEnd"/>
            <w:r w:rsidRPr="00DF4CE5">
              <w:rPr>
                <w:rFonts w:ascii="Cambria" w:hAnsi="Cambria" w:cs="Calibri"/>
                <w:lang w:val="it-IT"/>
              </w:rPr>
              <w:t xml:space="preserve"> </w:t>
            </w:r>
            <w:proofErr w:type="spellStart"/>
            <w:r w:rsidRPr="00DF4CE5">
              <w:rPr>
                <w:rFonts w:ascii="Cambria" w:hAnsi="Cambria" w:cs="Calibri"/>
                <w:lang w:val="it-IT"/>
              </w:rPr>
              <w:t>znanja</w:t>
            </w:r>
            <w:proofErr w:type="spellEnd"/>
            <w:r w:rsidRPr="00DF4CE5">
              <w:rPr>
                <w:rFonts w:ascii="Cambria" w:hAnsi="Cambria" w:cs="Calibri"/>
                <w:lang w:val="it-IT"/>
              </w:rPr>
              <w:t xml:space="preserve">, </w:t>
            </w:r>
            <w:proofErr w:type="spellStart"/>
            <w:r w:rsidRPr="00DF4CE5">
              <w:rPr>
                <w:rFonts w:ascii="Cambria" w:hAnsi="Cambria" w:cs="Calibri"/>
                <w:lang w:val="it-IT"/>
              </w:rPr>
              <w:t>ideje</w:t>
            </w:r>
            <w:proofErr w:type="spellEnd"/>
            <w:r w:rsidRPr="00DF4CE5">
              <w:rPr>
                <w:rFonts w:ascii="Cambria" w:hAnsi="Cambria" w:cs="Calibri"/>
                <w:lang w:val="it-IT"/>
              </w:rPr>
              <w:t xml:space="preserve"> i </w:t>
            </w:r>
            <w:proofErr w:type="spellStart"/>
            <w:r w:rsidRPr="00DF4CE5">
              <w:rPr>
                <w:rFonts w:ascii="Cambria" w:hAnsi="Cambria" w:cs="Calibri"/>
                <w:lang w:val="it-IT"/>
              </w:rPr>
              <w:t>rezultate</w:t>
            </w:r>
            <w:proofErr w:type="spellEnd"/>
          </w:p>
        </w:tc>
      </w:tr>
      <w:tr w:rsidR="002F47E7" w:rsidRPr="00DF4CE5" w14:paraId="470E29B2" w14:textId="77777777" w:rsidTr="002F47E7">
        <w:trPr>
          <w:trHeight w:val="3192"/>
        </w:trPr>
        <w:tc>
          <w:tcPr>
            <w:tcW w:w="2157"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0F1871BE" w14:textId="77777777" w:rsidR="002F47E7" w:rsidRPr="00DF4CE5" w:rsidRDefault="002F47E7">
            <w:pPr>
              <w:spacing w:line="256" w:lineRule="auto"/>
              <w:rPr>
                <w:rFonts w:ascii="Cambria" w:hAnsi="Cambria" w:cs="Calibri"/>
              </w:rPr>
            </w:pPr>
            <w:proofErr w:type="spellStart"/>
            <w:r w:rsidRPr="00DF4CE5">
              <w:rPr>
                <w:rFonts w:ascii="Cambria" w:hAnsi="Cambria" w:cs="Calibri"/>
              </w:rPr>
              <w:t>Sadržaj</w:t>
            </w:r>
            <w:proofErr w:type="spellEnd"/>
            <w:r w:rsidRPr="00DF4CE5">
              <w:rPr>
                <w:rFonts w:ascii="Cambria" w:hAnsi="Cambria" w:cs="Calibri"/>
              </w:rPr>
              <w:t xml:space="preserve"> </w:t>
            </w:r>
            <w:proofErr w:type="spellStart"/>
            <w:r w:rsidRPr="00DF4CE5">
              <w:rPr>
                <w:rFonts w:ascii="Cambria" w:hAnsi="Cambria" w:cs="Calibri"/>
              </w:rPr>
              <w:t>kolegija</w:t>
            </w:r>
            <w:proofErr w:type="spellEnd"/>
          </w:p>
        </w:tc>
        <w:tc>
          <w:tcPr>
            <w:tcW w:w="7331" w:type="dxa"/>
            <w:gridSpan w:val="6"/>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7D02C3D" w14:textId="77777777" w:rsidR="002F47E7" w:rsidRPr="00DF4CE5" w:rsidRDefault="002F47E7" w:rsidP="00A034E3">
            <w:pPr>
              <w:numPr>
                <w:ilvl w:val="0"/>
                <w:numId w:val="65"/>
              </w:numPr>
              <w:spacing w:after="0" w:line="256" w:lineRule="auto"/>
              <w:rPr>
                <w:rFonts w:ascii="Cambria" w:eastAsia="SimSun" w:hAnsi="Cambria" w:cs="TTE297F630t00"/>
                <w:lang w:eastAsia="hr-HR"/>
              </w:rPr>
            </w:pPr>
            <w:proofErr w:type="spellStart"/>
            <w:r w:rsidRPr="00DF4CE5">
              <w:rPr>
                <w:rFonts w:ascii="Cambria" w:eastAsia="SimSun" w:hAnsi="Cambria" w:cs="TTE297F630t00"/>
                <w:lang w:eastAsia="hr-HR"/>
              </w:rPr>
              <w:t>Osnovni</w:t>
            </w:r>
            <w:proofErr w:type="spellEnd"/>
            <w:r w:rsidRPr="00DF4CE5">
              <w:rPr>
                <w:rFonts w:ascii="Cambria" w:eastAsia="SimSun" w:hAnsi="Cambria" w:cs="TTE297F630t00"/>
                <w:lang w:eastAsia="hr-HR"/>
              </w:rPr>
              <w:t xml:space="preserve"> </w:t>
            </w:r>
            <w:proofErr w:type="spellStart"/>
            <w:r w:rsidRPr="00DF4CE5">
              <w:rPr>
                <w:rFonts w:ascii="Cambria" w:eastAsia="SimSun" w:hAnsi="Cambria" w:cs="TTE297F630t00"/>
                <w:lang w:eastAsia="hr-HR"/>
              </w:rPr>
              <w:t>geometrijski</w:t>
            </w:r>
            <w:proofErr w:type="spellEnd"/>
            <w:r w:rsidRPr="00DF4CE5">
              <w:rPr>
                <w:rFonts w:ascii="Cambria" w:eastAsia="SimSun" w:hAnsi="Cambria" w:cs="TTE297F630t00"/>
                <w:lang w:eastAsia="hr-HR"/>
              </w:rPr>
              <w:t xml:space="preserve"> </w:t>
            </w:r>
            <w:proofErr w:type="spellStart"/>
            <w:r w:rsidRPr="00DF4CE5">
              <w:rPr>
                <w:rFonts w:ascii="Cambria" w:eastAsia="SimSun" w:hAnsi="Cambria" w:cs="TTE297F630t00"/>
                <w:lang w:eastAsia="hr-HR"/>
              </w:rPr>
              <w:t>pojmovi</w:t>
            </w:r>
            <w:proofErr w:type="spellEnd"/>
            <w:r w:rsidRPr="00DF4CE5">
              <w:rPr>
                <w:rFonts w:ascii="Cambria" w:eastAsia="SimSun" w:hAnsi="Cambria" w:cs="TTE297F630t00"/>
                <w:lang w:eastAsia="hr-HR"/>
              </w:rPr>
              <w:t xml:space="preserve"> </w:t>
            </w:r>
            <w:proofErr w:type="spellStart"/>
            <w:r w:rsidRPr="00DF4CE5">
              <w:rPr>
                <w:rFonts w:ascii="Cambria" w:eastAsia="SimSun" w:hAnsi="Cambria" w:cs="TTE297F630t00"/>
                <w:lang w:eastAsia="hr-HR"/>
              </w:rPr>
              <w:t>i</w:t>
            </w:r>
            <w:proofErr w:type="spellEnd"/>
            <w:r w:rsidRPr="00DF4CE5">
              <w:rPr>
                <w:rFonts w:ascii="Cambria" w:eastAsia="SimSun" w:hAnsi="Cambria" w:cs="TTE297F630t00"/>
                <w:lang w:eastAsia="hr-HR"/>
              </w:rPr>
              <w:t xml:space="preserve"> </w:t>
            </w:r>
            <w:proofErr w:type="spellStart"/>
            <w:r w:rsidRPr="00DF4CE5">
              <w:rPr>
                <w:rFonts w:ascii="Cambria" w:eastAsia="SimSun" w:hAnsi="Cambria" w:cs="TTE297F630t00"/>
                <w:lang w:eastAsia="hr-HR"/>
              </w:rPr>
              <w:t>aksiomi</w:t>
            </w:r>
            <w:proofErr w:type="spellEnd"/>
            <w:r w:rsidRPr="00DF4CE5">
              <w:rPr>
                <w:rFonts w:ascii="Cambria" w:eastAsia="SimSun" w:hAnsi="Cambria" w:cs="TTE297F630t00"/>
                <w:lang w:eastAsia="hr-HR"/>
              </w:rPr>
              <w:t xml:space="preserve"> </w:t>
            </w:r>
          </w:p>
          <w:p w14:paraId="483DEC10" w14:textId="77777777" w:rsidR="002F47E7" w:rsidRPr="00DF4CE5" w:rsidRDefault="002F47E7" w:rsidP="00A034E3">
            <w:pPr>
              <w:numPr>
                <w:ilvl w:val="0"/>
                <w:numId w:val="65"/>
              </w:numPr>
              <w:spacing w:after="0" w:line="256" w:lineRule="auto"/>
              <w:rPr>
                <w:rFonts w:ascii="Cambria" w:eastAsia="SimSun" w:hAnsi="Cambria" w:cs="TTE297F630t00"/>
                <w:lang w:val="it-IT" w:eastAsia="hr-HR"/>
              </w:rPr>
            </w:pPr>
            <w:proofErr w:type="spellStart"/>
            <w:r w:rsidRPr="00DF4CE5">
              <w:rPr>
                <w:rFonts w:ascii="Cambria" w:eastAsia="SimSun" w:hAnsi="Cambria" w:cs="TTE297F630t00"/>
                <w:lang w:val="it-IT" w:eastAsia="hr-HR"/>
              </w:rPr>
              <w:t>Izvedeni</w:t>
            </w:r>
            <w:proofErr w:type="spellEnd"/>
            <w:r w:rsidRPr="00DF4CE5">
              <w:rPr>
                <w:rFonts w:ascii="Cambria" w:eastAsia="SimSun" w:hAnsi="Cambria" w:cs="TTE297F630t00"/>
                <w:lang w:val="it-IT" w:eastAsia="hr-HR"/>
              </w:rPr>
              <w:t xml:space="preserve"> </w:t>
            </w:r>
            <w:proofErr w:type="spellStart"/>
            <w:r w:rsidRPr="00DF4CE5">
              <w:rPr>
                <w:rFonts w:ascii="Cambria" w:eastAsia="SimSun" w:hAnsi="Cambria" w:cs="TTE297F630t00"/>
                <w:lang w:val="it-IT" w:eastAsia="hr-HR"/>
              </w:rPr>
              <w:t>geometrijski</w:t>
            </w:r>
            <w:proofErr w:type="spellEnd"/>
            <w:r w:rsidRPr="00DF4CE5">
              <w:rPr>
                <w:rFonts w:ascii="Cambria" w:eastAsia="SimSun" w:hAnsi="Cambria" w:cs="TTE297F630t00"/>
                <w:lang w:val="it-IT" w:eastAsia="hr-HR"/>
              </w:rPr>
              <w:t xml:space="preserve"> </w:t>
            </w:r>
            <w:proofErr w:type="spellStart"/>
            <w:r w:rsidRPr="00DF4CE5">
              <w:rPr>
                <w:rFonts w:ascii="Cambria" w:eastAsia="SimSun" w:hAnsi="Cambria" w:cs="TTE297F630t00"/>
                <w:lang w:val="it-IT" w:eastAsia="hr-HR"/>
              </w:rPr>
              <w:t>pojmovi</w:t>
            </w:r>
            <w:proofErr w:type="spellEnd"/>
            <w:r w:rsidRPr="00DF4CE5">
              <w:rPr>
                <w:rFonts w:ascii="Cambria" w:eastAsia="SimSun" w:hAnsi="Cambria" w:cs="TTE297F630t00"/>
                <w:lang w:val="it-IT" w:eastAsia="hr-HR"/>
              </w:rPr>
              <w:t xml:space="preserve"> i </w:t>
            </w:r>
            <w:proofErr w:type="spellStart"/>
            <w:r w:rsidRPr="00DF4CE5">
              <w:rPr>
                <w:rFonts w:ascii="Cambria" w:eastAsia="SimSun" w:hAnsi="Cambria" w:cs="TTE297F630t00"/>
                <w:lang w:val="it-IT" w:eastAsia="hr-HR"/>
              </w:rPr>
              <w:t>njihova</w:t>
            </w:r>
            <w:proofErr w:type="spellEnd"/>
            <w:r w:rsidRPr="00DF4CE5">
              <w:rPr>
                <w:rFonts w:ascii="Cambria" w:eastAsia="SimSun" w:hAnsi="Cambria" w:cs="TTE297F630t00"/>
                <w:lang w:val="it-IT" w:eastAsia="hr-HR"/>
              </w:rPr>
              <w:t xml:space="preserve"> </w:t>
            </w:r>
            <w:proofErr w:type="spellStart"/>
            <w:r w:rsidRPr="00DF4CE5">
              <w:rPr>
                <w:rFonts w:ascii="Cambria" w:eastAsia="SimSun" w:hAnsi="Cambria" w:cs="TTE297F630t00"/>
                <w:lang w:val="it-IT" w:eastAsia="hr-HR"/>
              </w:rPr>
              <w:t>svojstva</w:t>
            </w:r>
            <w:proofErr w:type="spellEnd"/>
          </w:p>
          <w:p w14:paraId="0A95FBBB" w14:textId="77777777" w:rsidR="002F47E7" w:rsidRPr="00DF4CE5" w:rsidRDefault="002F47E7" w:rsidP="00A034E3">
            <w:pPr>
              <w:numPr>
                <w:ilvl w:val="0"/>
                <w:numId w:val="65"/>
              </w:numPr>
              <w:spacing w:after="0" w:line="256" w:lineRule="auto"/>
              <w:rPr>
                <w:rFonts w:ascii="Cambria" w:eastAsia="SimSun" w:hAnsi="Cambria" w:cs="TTE297F630t00"/>
                <w:lang w:val="it-IT" w:eastAsia="hr-HR"/>
              </w:rPr>
            </w:pPr>
            <w:proofErr w:type="spellStart"/>
            <w:r w:rsidRPr="00DF4CE5">
              <w:rPr>
                <w:rFonts w:ascii="Cambria" w:eastAsia="SimSun" w:hAnsi="Cambria" w:cs="TTE297F630t00"/>
                <w:lang w:val="it-IT" w:eastAsia="hr-HR"/>
              </w:rPr>
              <w:t>Trokuti</w:t>
            </w:r>
            <w:proofErr w:type="spellEnd"/>
            <w:r w:rsidRPr="00DF4CE5">
              <w:rPr>
                <w:rFonts w:ascii="Cambria" w:eastAsia="SimSun" w:hAnsi="Cambria" w:cs="TTE297F630t00"/>
                <w:lang w:val="it-IT" w:eastAsia="hr-HR"/>
              </w:rPr>
              <w:t xml:space="preserve">. </w:t>
            </w:r>
            <w:proofErr w:type="spellStart"/>
            <w:r w:rsidRPr="00DF4CE5">
              <w:rPr>
                <w:rFonts w:ascii="Cambria" w:eastAsia="SimSun" w:hAnsi="Cambria" w:cs="TTE297F630t00"/>
                <w:lang w:val="it-IT" w:eastAsia="hr-HR"/>
              </w:rPr>
              <w:t>Sukladnost</w:t>
            </w:r>
            <w:proofErr w:type="spellEnd"/>
            <w:r w:rsidRPr="00DF4CE5">
              <w:rPr>
                <w:rFonts w:ascii="Cambria" w:eastAsia="SimSun" w:hAnsi="Cambria" w:cs="TTE297F630t00"/>
                <w:lang w:val="it-IT" w:eastAsia="hr-HR"/>
              </w:rPr>
              <w:t xml:space="preserve">. </w:t>
            </w:r>
            <w:proofErr w:type="spellStart"/>
            <w:r w:rsidRPr="00DF4CE5">
              <w:rPr>
                <w:rFonts w:ascii="Cambria" w:eastAsia="SimSun" w:hAnsi="Cambria" w:cs="TTE297F630t00"/>
                <w:lang w:val="it-IT" w:eastAsia="hr-HR"/>
              </w:rPr>
              <w:t>Konstrukcije</w:t>
            </w:r>
            <w:proofErr w:type="spellEnd"/>
            <w:r w:rsidRPr="00DF4CE5">
              <w:rPr>
                <w:rFonts w:ascii="Cambria" w:eastAsia="SimSun" w:hAnsi="Cambria" w:cs="TTE297F630t00"/>
                <w:lang w:val="it-IT" w:eastAsia="hr-HR"/>
              </w:rPr>
              <w:t xml:space="preserve">. </w:t>
            </w:r>
            <w:proofErr w:type="spellStart"/>
            <w:r w:rsidRPr="00DF4CE5">
              <w:rPr>
                <w:rFonts w:ascii="Cambria" w:eastAsia="SimSun" w:hAnsi="Cambria" w:cs="TTE297F630t00"/>
                <w:lang w:val="it-IT" w:eastAsia="hr-HR"/>
              </w:rPr>
              <w:t>Četiri</w:t>
            </w:r>
            <w:proofErr w:type="spellEnd"/>
            <w:r w:rsidRPr="00DF4CE5">
              <w:rPr>
                <w:rFonts w:ascii="Cambria" w:eastAsia="SimSun" w:hAnsi="Cambria" w:cs="TTE297F630t00"/>
                <w:lang w:val="it-IT" w:eastAsia="hr-HR"/>
              </w:rPr>
              <w:t xml:space="preserve"> </w:t>
            </w:r>
            <w:proofErr w:type="spellStart"/>
            <w:r w:rsidRPr="00DF4CE5">
              <w:rPr>
                <w:rFonts w:ascii="Cambria" w:eastAsia="SimSun" w:hAnsi="Cambria" w:cs="TTE297F630t00"/>
                <w:lang w:val="it-IT" w:eastAsia="hr-HR"/>
              </w:rPr>
              <w:t>karakteristične</w:t>
            </w:r>
            <w:proofErr w:type="spellEnd"/>
            <w:r w:rsidRPr="00DF4CE5">
              <w:rPr>
                <w:rFonts w:ascii="Cambria" w:eastAsia="SimSun" w:hAnsi="Cambria" w:cs="TTE297F630t00"/>
                <w:lang w:val="it-IT" w:eastAsia="hr-HR"/>
              </w:rPr>
              <w:t xml:space="preserve"> </w:t>
            </w:r>
            <w:proofErr w:type="spellStart"/>
            <w:r w:rsidRPr="00DF4CE5">
              <w:rPr>
                <w:rFonts w:ascii="Cambria" w:eastAsia="SimSun" w:hAnsi="Cambria" w:cs="TTE297F630t00"/>
                <w:lang w:val="it-IT" w:eastAsia="hr-HR"/>
              </w:rPr>
              <w:t>točke</w:t>
            </w:r>
            <w:proofErr w:type="spellEnd"/>
            <w:r w:rsidRPr="00DF4CE5">
              <w:rPr>
                <w:rFonts w:ascii="Cambria" w:eastAsia="SimSun" w:hAnsi="Cambria" w:cs="TTE297F630t00"/>
                <w:lang w:val="it-IT" w:eastAsia="hr-HR"/>
              </w:rPr>
              <w:t xml:space="preserve"> </w:t>
            </w:r>
            <w:proofErr w:type="spellStart"/>
            <w:r w:rsidRPr="00DF4CE5">
              <w:rPr>
                <w:rFonts w:ascii="Cambria" w:eastAsia="SimSun" w:hAnsi="Cambria" w:cs="TTE297F630t00"/>
                <w:lang w:val="it-IT" w:eastAsia="hr-HR"/>
              </w:rPr>
              <w:t>trokuta</w:t>
            </w:r>
            <w:proofErr w:type="spellEnd"/>
            <w:r w:rsidRPr="00DF4CE5">
              <w:rPr>
                <w:rFonts w:ascii="Cambria" w:eastAsia="SimSun" w:hAnsi="Cambria" w:cs="TTE297F630t00"/>
                <w:lang w:val="it-IT" w:eastAsia="hr-HR"/>
              </w:rPr>
              <w:t xml:space="preserve"> </w:t>
            </w:r>
          </w:p>
          <w:p w14:paraId="36E6E736" w14:textId="77777777" w:rsidR="002F47E7" w:rsidRPr="00DF4CE5" w:rsidRDefault="002F47E7" w:rsidP="00A034E3">
            <w:pPr>
              <w:numPr>
                <w:ilvl w:val="0"/>
                <w:numId w:val="65"/>
              </w:numPr>
              <w:spacing w:after="0" w:line="256" w:lineRule="auto"/>
              <w:rPr>
                <w:rFonts w:ascii="Cambria" w:eastAsia="SimSun" w:hAnsi="Cambria" w:cs="TTE297F630t00"/>
                <w:lang w:eastAsia="hr-HR"/>
              </w:rPr>
            </w:pPr>
            <w:proofErr w:type="spellStart"/>
            <w:r w:rsidRPr="00DF4CE5">
              <w:rPr>
                <w:rFonts w:ascii="Cambria" w:eastAsia="SimSun" w:hAnsi="Cambria" w:cs="TTE297F630t00"/>
                <w:lang w:eastAsia="hr-HR"/>
              </w:rPr>
              <w:t>Četverokuti</w:t>
            </w:r>
            <w:proofErr w:type="spellEnd"/>
            <w:r w:rsidRPr="00DF4CE5">
              <w:rPr>
                <w:rFonts w:ascii="Cambria" w:eastAsia="SimSun" w:hAnsi="Cambria" w:cs="TTE297F630t00"/>
                <w:lang w:eastAsia="hr-HR"/>
              </w:rPr>
              <w:t xml:space="preserve">. </w:t>
            </w:r>
            <w:proofErr w:type="spellStart"/>
            <w:r w:rsidRPr="00DF4CE5">
              <w:rPr>
                <w:rFonts w:ascii="Cambria" w:eastAsia="SimSun" w:hAnsi="Cambria" w:cs="TTE297F630t00"/>
                <w:lang w:eastAsia="hr-HR"/>
              </w:rPr>
              <w:t>Konstrukcije</w:t>
            </w:r>
            <w:proofErr w:type="spellEnd"/>
            <w:r w:rsidRPr="00DF4CE5">
              <w:rPr>
                <w:rFonts w:ascii="Cambria" w:eastAsia="SimSun" w:hAnsi="Cambria" w:cs="TTE297F630t00"/>
                <w:lang w:eastAsia="hr-HR"/>
              </w:rPr>
              <w:t>.</w:t>
            </w:r>
          </w:p>
          <w:p w14:paraId="5340D7E2" w14:textId="77777777" w:rsidR="002F47E7" w:rsidRPr="00DF4CE5" w:rsidRDefault="002F47E7" w:rsidP="00A034E3">
            <w:pPr>
              <w:numPr>
                <w:ilvl w:val="0"/>
                <w:numId w:val="65"/>
              </w:numPr>
              <w:spacing w:after="0" w:line="256" w:lineRule="auto"/>
              <w:rPr>
                <w:rFonts w:ascii="Cambria" w:eastAsia="SimSun" w:hAnsi="Cambria" w:cs="TTE297F630t00"/>
                <w:lang w:eastAsia="hr-HR"/>
              </w:rPr>
            </w:pPr>
            <w:proofErr w:type="spellStart"/>
            <w:r w:rsidRPr="00DF4CE5">
              <w:rPr>
                <w:rFonts w:ascii="Cambria" w:eastAsia="SimSun" w:hAnsi="Cambria" w:cs="TTE297F630t00"/>
                <w:lang w:eastAsia="hr-HR"/>
              </w:rPr>
              <w:t>Sličnost</w:t>
            </w:r>
            <w:proofErr w:type="spellEnd"/>
            <w:r w:rsidRPr="00DF4CE5">
              <w:rPr>
                <w:rFonts w:ascii="Cambria" w:eastAsia="SimSun" w:hAnsi="Cambria" w:cs="TTE297F630t00"/>
                <w:lang w:eastAsia="hr-HR"/>
              </w:rPr>
              <w:t xml:space="preserve"> </w:t>
            </w:r>
          </w:p>
          <w:p w14:paraId="79A6EE10" w14:textId="77777777" w:rsidR="002F47E7" w:rsidRPr="00DF4CE5" w:rsidRDefault="002F47E7" w:rsidP="00A034E3">
            <w:pPr>
              <w:pStyle w:val="Odlomakpopisa"/>
              <w:numPr>
                <w:ilvl w:val="0"/>
                <w:numId w:val="65"/>
              </w:numPr>
              <w:spacing w:line="240" w:lineRule="auto"/>
              <w:rPr>
                <w:rFonts w:ascii="Cambria" w:eastAsia="SimSun" w:hAnsi="Cambria" w:cs="TTE297F630t00"/>
                <w:lang w:eastAsia="hr-HR"/>
              </w:rPr>
            </w:pPr>
            <w:r w:rsidRPr="00DF4CE5">
              <w:rPr>
                <w:rFonts w:ascii="Cambria" w:eastAsia="SimSun" w:hAnsi="Cambria" w:cs="TTE297F630t00"/>
                <w:lang w:eastAsia="hr-HR"/>
              </w:rPr>
              <w:t>Krug i kružnica</w:t>
            </w:r>
          </w:p>
          <w:p w14:paraId="1407CA69" w14:textId="77777777" w:rsidR="002F47E7" w:rsidRPr="00DF4CE5" w:rsidRDefault="002F47E7" w:rsidP="00A034E3">
            <w:pPr>
              <w:pStyle w:val="Odlomakpopisa"/>
              <w:numPr>
                <w:ilvl w:val="0"/>
                <w:numId w:val="65"/>
              </w:numPr>
              <w:spacing w:line="240" w:lineRule="auto"/>
              <w:rPr>
                <w:rFonts w:ascii="Cambria" w:eastAsia="SimSun" w:hAnsi="Cambria" w:cs="TTE297F630t00"/>
                <w:lang w:eastAsia="hr-HR"/>
              </w:rPr>
            </w:pPr>
            <w:r w:rsidRPr="00DF4CE5">
              <w:rPr>
                <w:rFonts w:ascii="Cambria" w:eastAsia="SimSun" w:hAnsi="Cambria" w:cs="TTE297F630t00"/>
                <w:lang w:eastAsia="hr-HR"/>
              </w:rPr>
              <w:t xml:space="preserve">Opsezi i površine. </w:t>
            </w:r>
            <w:proofErr w:type="spellStart"/>
            <w:r w:rsidRPr="00DF4CE5">
              <w:rPr>
                <w:rFonts w:ascii="Cambria" w:eastAsia="SimSun" w:hAnsi="Cambria" w:cs="TTE297F630t00"/>
                <w:lang w:eastAsia="hr-HR"/>
              </w:rPr>
              <w:t>Izoperimetrijski</w:t>
            </w:r>
            <w:proofErr w:type="spellEnd"/>
            <w:r w:rsidRPr="00DF4CE5">
              <w:rPr>
                <w:rFonts w:ascii="Cambria" w:eastAsia="SimSun" w:hAnsi="Cambria" w:cs="TTE297F630t00"/>
                <w:lang w:eastAsia="hr-HR"/>
              </w:rPr>
              <w:t xml:space="preserve"> problemi u ravnini</w:t>
            </w:r>
          </w:p>
          <w:p w14:paraId="09ECD585" w14:textId="77777777" w:rsidR="002F47E7" w:rsidRPr="00DF4CE5" w:rsidRDefault="002F47E7" w:rsidP="00A034E3">
            <w:pPr>
              <w:pStyle w:val="Odlomakpopisa"/>
              <w:numPr>
                <w:ilvl w:val="0"/>
                <w:numId w:val="65"/>
              </w:numPr>
              <w:rPr>
                <w:rFonts w:ascii="Cambria" w:eastAsia="SimSun" w:hAnsi="Cambria" w:cs="TTE297F630t00"/>
                <w:lang w:eastAsia="hr-HR"/>
              </w:rPr>
            </w:pPr>
            <w:r w:rsidRPr="00DF4CE5">
              <w:rPr>
                <w:rFonts w:ascii="Cambria" w:eastAsia="SimSun" w:hAnsi="Cambria" w:cs="TTE297F630t00"/>
                <w:lang w:eastAsia="hr-HR"/>
              </w:rPr>
              <w:t>Izometrije ravnine</w:t>
            </w:r>
          </w:p>
          <w:p w14:paraId="5DC80BB5" w14:textId="77777777" w:rsidR="002F47E7" w:rsidRPr="00DF4CE5" w:rsidRDefault="002F47E7" w:rsidP="00A034E3">
            <w:pPr>
              <w:pStyle w:val="Odlomakpopisa"/>
              <w:numPr>
                <w:ilvl w:val="0"/>
                <w:numId w:val="65"/>
              </w:numPr>
              <w:rPr>
                <w:rFonts w:ascii="Cambria" w:eastAsia="SimSun" w:hAnsi="Cambria" w:cs="TTE297F630t00"/>
                <w:lang w:eastAsia="hr-HR"/>
              </w:rPr>
            </w:pPr>
            <w:r w:rsidRPr="00DF4CE5">
              <w:rPr>
                <w:rFonts w:ascii="Cambria" w:eastAsia="SimSun" w:hAnsi="Cambria" w:cs="TTE297F630t00"/>
                <w:lang w:eastAsia="hr-HR"/>
              </w:rPr>
              <w:t>Popločavanje ravnine</w:t>
            </w:r>
          </w:p>
          <w:p w14:paraId="5E760807" w14:textId="77777777" w:rsidR="002F47E7" w:rsidRPr="00DF4CE5" w:rsidRDefault="002F47E7" w:rsidP="00A034E3">
            <w:pPr>
              <w:pStyle w:val="Odlomakpopisa"/>
              <w:numPr>
                <w:ilvl w:val="0"/>
                <w:numId w:val="65"/>
              </w:numPr>
              <w:rPr>
                <w:rFonts w:ascii="Cambria" w:eastAsia="SimSun" w:hAnsi="Cambria" w:cs="TTE297F630t00"/>
                <w:lang w:eastAsia="hr-HR"/>
              </w:rPr>
            </w:pPr>
            <w:r w:rsidRPr="00DF4CE5">
              <w:rPr>
                <w:rFonts w:ascii="Cambria" w:eastAsia="SimSun" w:hAnsi="Cambria" w:cs="TTE297F630t00"/>
                <w:lang w:eastAsia="hr-HR"/>
              </w:rPr>
              <w:t>Geometrijska tijela: uglata, obla, Platonova tijela, origami tijela</w:t>
            </w:r>
          </w:p>
          <w:p w14:paraId="711ED63F" w14:textId="77777777" w:rsidR="002F47E7" w:rsidRPr="00DF4CE5" w:rsidRDefault="002F47E7" w:rsidP="00A034E3">
            <w:pPr>
              <w:pStyle w:val="Odlomakpopisa"/>
              <w:numPr>
                <w:ilvl w:val="0"/>
                <w:numId w:val="65"/>
              </w:numPr>
              <w:spacing w:after="0"/>
              <w:rPr>
                <w:rFonts w:ascii="Cambria" w:eastAsia="SimSun" w:hAnsi="Cambria" w:cs="TTE297F630t00"/>
                <w:lang w:eastAsia="hr-HR"/>
              </w:rPr>
            </w:pPr>
            <w:proofErr w:type="spellStart"/>
            <w:r w:rsidRPr="00DF4CE5">
              <w:rPr>
                <w:rFonts w:ascii="Cambria" w:eastAsia="SimSun" w:hAnsi="Cambria" w:cs="TTE297F630t00"/>
                <w:lang w:eastAsia="hr-HR"/>
              </w:rPr>
              <w:t>Izoperimetrijski</w:t>
            </w:r>
            <w:proofErr w:type="spellEnd"/>
            <w:r w:rsidRPr="00DF4CE5">
              <w:rPr>
                <w:rFonts w:ascii="Cambria" w:eastAsia="SimSun" w:hAnsi="Cambria" w:cs="TTE297F630t00"/>
                <w:lang w:eastAsia="hr-HR"/>
              </w:rPr>
              <w:t xml:space="preserve"> problem u prostoru</w:t>
            </w:r>
          </w:p>
        </w:tc>
      </w:tr>
      <w:tr w:rsidR="002F47E7" w:rsidRPr="00DF4CE5" w14:paraId="7C3A344D" w14:textId="77777777" w:rsidTr="002F47E7">
        <w:tc>
          <w:tcPr>
            <w:tcW w:w="2157" w:type="dxa"/>
            <w:vMerge w:val="restart"/>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0562606B" w14:textId="77777777" w:rsidR="002F47E7" w:rsidRPr="00DF4CE5" w:rsidRDefault="002F47E7" w:rsidP="00CE1FD6">
            <w:pPr>
              <w:spacing w:after="0" w:line="256" w:lineRule="auto"/>
              <w:rPr>
                <w:rFonts w:ascii="Cambria" w:eastAsia="Times New Roman" w:hAnsi="Cambria" w:cs="Calibri"/>
              </w:rPr>
            </w:pPr>
            <w:proofErr w:type="spellStart"/>
            <w:r w:rsidRPr="00DF4CE5">
              <w:rPr>
                <w:rFonts w:ascii="Cambria" w:hAnsi="Cambria" w:cs="Calibri"/>
              </w:rPr>
              <w:t>Planirane</w:t>
            </w:r>
            <w:proofErr w:type="spellEnd"/>
            <w:r w:rsidRPr="00DF4CE5">
              <w:rPr>
                <w:rFonts w:ascii="Cambria" w:hAnsi="Cambria" w:cs="Calibri"/>
              </w:rPr>
              <w:t xml:space="preserve"> </w:t>
            </w:r>
            <w:proofErr w:type="spellStart"/>
            <w:r w:rsidRPr="00DF4CE5">
              <w:rPr>
                <w:rFonts w:ascii="Cambria" w:hAnsi="Cambria" w:cs="Calibri"/>
              </w:rPr>
              <w:t>aktivnosti</w:t>
            </w:r>
            <w:proofErr w:type="spellEnd"/>
            <w:r w:rsidRPr="00DF4CE5">
              <w:rPr>
                <w:rFonts w:ascii="Cambria" w:hAnsi="Cambria" w:cs="Calibri"/>
                <w:lang w:val="it-IT"/>
              </w:rPr>
              <w:t>,</w:t>
            </w:r>
          </w:p>
          <w:p w14:paraId="2A1998AD" w14:textId="77777777" w:rsidR="002F47E7" w:rsidRPr="00DF4CE5" w:rsidRDefault="002F47E7" w:rsidP="00CE1FD6">
            <w:pPr>
              <w:spacing w:after="0" w:line="256" w:lineRule="auto"/>
              <w:rPr>
                <w:rFonts w:ascii="Cambria" w:hAnsi="Cambria" w:cs="Calibri"/>
                <w:lang w:val="it-IT"/>
              </w:rPr>
            </w:pPr>
            <w:proofErr w:type="spellStart"/>
            <w:r w:rsidRPr="00DF4CE5">
              <w:rPr>
                <w:rFonts w:ascii="Cambria" w:hAnsi="Cambria" w:cs="Calibri"/>
                <w:lang w:val="it-IT"/>
              </w:rPr>
              <w:t>metode</w:t>
            </w:r>
            <w:proofErr w:type="spellEnd"/>
            <w:r w:rsidRPr="00DF4CE5">
              <w:rPr>
                <w:rFonts w:ascii="Cambria" w:hAnsi="Cambria" w:cs="Calibri"/>
                <w:lang w:val="it-IT"/>
              </w:rPr>
              <w:t xml:space="preserve"> </w:t>
            </w:r>
            <w:proofErr w:type="spellStart"/>
            <w:r w:rsidRPr="00DF4CE5">
              <w:rPr>
                <w:rFonts w:ascii="Cambria" w:hAnsi="Cambria" w:cs="Calibri"/>
                <w:lang w:val="it-IT"/>
              </w:rPr>
              <w:t>učenja</w:t>
            </w:r>
            <w:proofErr w:type="spellEnd"/>
            <w:r w:rsidRPr="00DF4CE5">
              <w:rPr>
                <w:rFonts w:ascii="Cambria" w:hAnsi="Cambria" w:cs="Calibri"/>
                <w:lang w:val="it-IT"/>
              </w:rPr>
              <w:t xml:space="preserve"> i </w:t>
            </w:r>
            <w:proofErr w:type="spellStart"/>
            <w:r w:rsidRPr="00DF4CE5">
              <w:rPr>
                <w:rFonts w:ascii="Cambria" w:hAnsi="Cambria" w:cs="Calibri"/>
                <w:lang w:val="it-IT"/>
              </w:rPr>
              <w:t>poučavanja</w:t>
            </w:r>
            <w:proofErr w:type="spellEnd"/>
            <w:r w:rsidRPr="00DF4CE5">
              <w:rPr>
                <w:rFonts w:ascii="Cambria" w:hAnsi="Cambria" w:cs="Calibri"/>
                <w:lang w:val="it-IT"/>
              </w:rPr>
              <w:t xml:space="preserve"> i </w:t>
            </w:r>
            <w:proofErr w:type="spellStart"/>
            <w:r w:rsidRPr="00DF4CE5">
              <w:rPr>
                <w:rFonts w:ascii="Cambria" w:hAnsi="Cambria" w:cs="Calibri"/>
                <w:lang w:val="it-IT"/>
              </w:rPr>
              <w:t>načini</w:t>
            </w:r>
            <w:proofErr w:type="spellEnd"/>
            <w:r w:rsidRPr="00DF4CE5">
              <w:rPr>
                <w:rFonts w:ascii="Cambria" w:hAnsi="Cambria" w:cs="Calibri"/>
                <w:lang w:val="it-IT"/>
              </w:rPr>
              <w:t xml:space="preserve"> </w:t>
            </w:r>
            <w:proofErr w:type="spellStart"/>
            <w:r w:rsidRPr="00DF4CE5">
              <w:rPr>
                <w:rFonts w:ascii="Cambria" w:hAnsi="Cambria" w:cs="Calibri"/>
                <w:lang w:val="it-IT"/>
              </w:rPr>
              <w:t>vrednovanja</w:t>
            </w:r>
            <w:proofErr w:type="spellEnd"/>
          </w:p>
          <w:p w14:paraId="3302FA58" w14:textId="77777777" w:rsidR="002F47E7" w:rsidRPr="00DF4CE5" w:rsidRDefault="002F47E7" w:rsidP="00CE1FD6">
            <w:pPr>
              <w:spacing w:after="0" w:line="256" w:lineRule="auto"/>
              <w:jc w:val="center"/>
              <w:rPr>
                <w:rFonts w:ascii="Cambria" w:hAnsi="Cambria" w:cs="Calibri"/>
                <w:lang w:val="it-IT"/>
              </w:rPr>
            </w:pPr>
          </w:p>
        </w:tc>
        <w:tc>
          <w:tcPr>
            <w:tcW w:w="307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44ABF1D" w14:textId="77777777" w:rsidR="002F47E7" w:rsidRPr="00DF4CE5" w:rsidRDefault="002F47E7" w:rsidP="00CE1FD6">
            <w:pPr>
              <w:spacing w:after="0" w:line="256" w:lineRule="auto"/>
              <w:rPr>
                <w:rFonts w:ascii="Cambria" w:hAnsi="Cambria" w:cs="Calibri"/>
              </w:rPr>
            </w:pPr>
            <w:proofErr w:type="spellStart"/>
            <w:r w:rsidRPr="00DF4CE5">
              <w:rPr>
                <w:rFonts w:ascii="Cambria" w:hAnsi="Cambria" w:cs="Calibri"/>
              </w:rPr>
              <w:lastRenderedPageBreak/>
              <w:t>Obaveze</w:t>
            </w:r>
            <w:proofErr w:type="spellEnd"/>
          </w:p>
        </w:tc>
        <w:tc>
          <w:tcPr>
            <w:tcW w:w="83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2927768" w14:textId="77777777" w:rsidR="002F47E7" w:rsidRPr="00DF4CE5" w:rsidRDefault="002F47E7" w:rsidP="00CE1FD6">
            <w:pPr>
              <w:spacing w:after="0" w:line="256" w:lineRule="auto"/>
              <w:jc w:val="center"/>
              <w:rPr>
                <w:rFonts w:ascii="Cambria" w:hAnsi="Cambria" w:cs="Calibri"/>
              </w:rPr>
            </w:pPr>
            <w:proofErr w:type="spellStart"/>
            <w:r w:rsidRPr="00DF4CE5">
              <w:rPr>
                <w:rFonts w:ascii="Cambria" w:hAnsi="Cambria" w:cs="Calibri"/>
              </w:rPr>
              <w:t>Ishodi</w:t>
            </w:r>
            <w:proofErr w:type="spellEnd"/>
          </w:p>
        </w:tc>
        <w:tc>
          <w:tcPr>
            <w:tcW w:w="86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7FB8948" w14:textId="77777777" w:rsidR="002F47E7" w:rsidRPr="00DF4CE5" w:rsidRDefault="002F47E7" w:rsidP="00CE1FD6">
            <w:pPr>
              <w:spacing w:after="0" w:line="256" w:lineRule="auto"/>
              <w:jc w:val="center"/>
              <w:rPr>
                <w:rFonts w:ascii="Cambria" w:hAnsi="Cambria" w:cs="Calibri"/>
              </w:rPr>
            </w:pPr>
            <w:r w:rsidRPr="00DF4CE5">
              <w:rPr>
                <w:rFonts w:ascii="Cambria" w:hAnsi="Cambria" w:cs="Calibri"/>
              </w:rPr>
              <w:t>Sati</w:t>
            </w:r>
          </w:p>
        </w:tc>
        <w:tc>
          <w:tcPr>
            <w:tcW w:w="71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7CE40FC" w14:textId="77777777" w:rsidR="002F47E7" w:rsidRPr="00DF4CE5" w:rsidRDefault="002F47E7" w:rsidP="00CE1FD6">
            <w:pPr>
              <w:spacing w:after="0" w:line="256" w:lineRule="auto"/>
              <w:jc w:val="center"/>
              <w:rPr>
                <w:rFonts w:ascii="Cambria" w:hAnsi="Cambria" w:cs="Calibri"/>
              </w:rPr>
            </w:pPr>
            <w:r w:rsidRPr="00DF4CE5">
              <w:rPr>
                <w:rFonts w:ascii="Cambria" w:hAnsi="Cambria" w:cs="Calibri"/>
              </w:rPr>
              <w:t>ECTS</w:t>
            </w:r>
          </w:p>
        </w:tc>
        <w:tc>
          <w:tcPr>
            <w:tcW w:w="184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E9FD55F" w14:textId="77777777" w:rsidR="002F47E7" w:rsidRPr="00DF4CE5" w:rsidRDefault="002F47E7" w:rsidP="00CE1FD6">
            <w:pPr>
              <w:spacing w:after="0" w:line="256" w:lineRule="auto"/>
              <w:jc w:val="center"/>
              <w:rPr>
                <w:rFonts w:ascii="Cambria" w:hAnsi="Cambria" w:cs="Calibri"/>
              </w:rPr>
            </w:pPr>
            <w:proofErr w:type="spellStart"/>
            <w:r w:rsidRPr="00DF4CE5">
              <w:rPr>
                <w:rFonts w:ascii="Cambria" w:hAnsi="Cambria" w:cs="Calibri"/>
              </w:rPr>
              <w:t>Maksimalni</w:t>
            </w:r>
            <w:proofErr w:type="spellEnd"/>
          </w:p>
          <w:p w14:paraId="44C95E79" w14:textId="77777777" w:rsidR="002F47E7" w:rsidRPr="00DF4CE5" w:rsidRDefault="002F47E7" w:rsidP="00CE1FD6">
            <w:pPr>
              <w:spacing w:after="0" w:line="256" w:lineRule="auto"/>
              <w:jc w:val="center"/>
              <w:rPr>
                <w:rFonts w:ascii="Cambria" w:hAnsi="Cambria" w:cs="Calibri"/>
              </w:rPr>
            </w:pPr>
            <w:proofErr w:type="spellStart"/>
            <w:r w:rsidRPr="00DF4CE5">
              <w:rPr>
                <w:rFonts w:ascii="Cambria" w:hAnsi="Cambria" w:cs="Calibri"/>
              </w:rPr>
              <w:t>udio</w:t>
            </w:r>
            <w:proofErr w:type="spellEnd"/>
            <w:r w:rsidRPr="00DF4CE5">
              <w:rPr>
                <w:rFonts w:ascii="Cambria" w:hAnsi="Cambria" w:cs="Calibri"/>
              </w:rPr>
              <w:t xml:space="preserve"> u </w:t>
            </w:r>
            <w:proofErr w:type="spellStart"/>
            <w:r w:rsidRPr="00DF4CE5">
              <w:rPr>
                <w:rFonts w:ascii="Cambria" w:hAnsi="Cambria" w:cs="Calibri"/>
              </w:rPr>
              <w:t>ocjeni</w:t>
            </w:r>
            <w:proofErr w:type="spellEnd"/>
            <w:r w:rsidRPr="00DF4CE5">
              <w:rPr>
                <w:rFonts w:ascii="Cambria" w:hAnsi="Cambria" w:cs="Calibri"/>
              </w:rPr>
              <w:t xml:space="preserve"> (%)</w:t>
            </w:r>
          </w:p>
        </w:tc>
      </w:tr>
      <w:tr w:rsidR="002F47E7" w:rsidRPr="00DF4CE5" w14:paraId="41A9190E" w14:textId="77777777" w:rsidTr="002F47E7">
        <w:tc>
          <w:tcPr>
            <w:tcW w:w="9488" w:type="dxa"/>
            <w:vMerge/>
            <w:tcBorders>
              <w:top w:val="single" w:sz="8" w:space="0" w:color="000000"/>
              <w:left w:val="single" w:sz="8" w:space="0" w:color="000000"/>
              <w:bottom w:val="single" w:sz="8" w:space="0" w:color="000000"/>
              <w:right w:val="single" w:sz="8" w:space="0" w:color="000000"/>
            </w:tcBorders>
            <w:vAlign w:val="center"/>
            <w:hideMark/>
          </w:tcPr>
          <w:p w14:paraId="5FF560D6" w14:textId="77777777" w:rsidR="002F47E7" w:rsidRPr="00DF4CE5" w:rsidRDefault="002F47E7" w:rsidP="00CE1FD6">
            <w:pPr>
              <w:spacing w:after="0" w:line="256" w:lineRule="auto"/>
              <w:rPr>
                <w:rFonts w:ascii="Cambria" w:eastAsia="Times New Roman" w:hAnsi="Cambria" w:cs="Calibri"/>
              </w:rPr>
            </w:pPr>
          </w:p>
        </w:tc>
        <w:tc>
          <w:tcPr>
            <w:tcW w:w="307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390DD1D" w14:textId="07347AF4" w:rsidR="002F47E7" w:rsidRPr="00DF4CE5" w:rsidRDefault="002F47E7" w:rsidP="00CE1FD6">
            <w:pPr>
              <w:spacing w:after="0" w:line="256" w:lineRule="auto"/>
              <w:rPr>
                <w:rFonts w:ascii="Cambria" w:hAnsi="Cambria" w:cs="Calibri"/>
                <w:lang w:val="it-IT"/>
              </w:rPr>
            </w:pPr>
            <w:proofErr w:type="spellStart"/>
            <w:r w:rsidRPr="00DF4CE5">
              <w:rPr>
                <w:rFonts w:ascii="Cambria" w:hAnsi="Cambria" w:cs="Calibri"/>
                <w:lang w:val="it-IT"/>
              </w:rPr>
              <w:t>aktivnosti</w:t>
            </w:r>
            <w:proofErr w:type="spellEnd"/>
            <w:r w:rsidRPr="00DF4CE5">
              <w:rPr>
                <w:rFonts w:ascii="Cambria" w:hAnsi="Cambria" w:cs="Calibri"/>
                <w:lang w:val="it-IT"/>
              </w:rPr>
              <w:t xml:space="preserve"> u </w:t>
            </w:r>
            <w:proofErr w:type="spellStart"/>
            <w:r w:rsidRPr="00DF4CE5">
              <w:rPr>
                <w:rFonts w:ascii="Cambria" w:hAnsi="Cambria" w:cs="Calibri"/>
                <w:lang w:val="it-IT"/>
              </w:rPr>
              <w:t>nastavi</w:t>
            </w:r>
            <w:proofErr w:type="spellEnd"/>
            <w:r w:rsidRPr="00DF4CE5">
              <w:rPr>
                <w:rFonts w:ascii="Cambria" w:hAnsi="Cambria" w:cs="Calibri"/>
                <w:lang w:val="it-IT"/>
              </w:rPr>
              <w:t xml:space="preserve"> (P,</w:t>
            </w:r>
            <w:r w:rsidR="0008561B">
              <w:rPr>
                <w:rFonts w:ascii="Cambria" w:hAnsi="Cambria" w:cs="Calibri"/>
                <w:lang w:val="it-IT"/>
              </w:rPr>
              <w:t xml:space="preserve"> </w:t>
            </w:r>
            <w:r w:rsidRPr="00DF4CE5">
              <w:rPr>
                <w:rFonts w:ascii="Cambria" w:hAnsi="Cambria" w:cs="Calibri"/>
                <w:lang w:val="it-IT"/>
              </w:rPr>
              <w:t>V)</w:t>
            </w:r>
          </w:p>
        </w:tc>
        <w:tc>
          <w:tcPr>
            <w:tcW w:w="83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77F868A" w14:textId="3C0D29A2" w:rsidR="002F47E7" w:rsidRPr="00DF4CE5" w:rsidRDefault="002F47E7" w:rsidP="00CE1FD6">
            <w:pPr>
              <w:spacing w:after="0" w:line="256" w:lineRule="auto"/>
              <w:jc w:val="center"/>
              <w:rPr>
                <w:rFonts w:ascii="Cambria" w:hAnsi="Cambria" w:cs="Calibri"/>
              </w:rPr>
            </w:pPr>
            <w:r w:rsidRPr="00DF4CE5">
              <w:rPr>
                <w:rFonts w:ascii="Cambria" w:hAnsi="Cambria" w:cs="Calibri"/>
              </w:rPr>
              <w:t xml:space="preserve">1. </w:t>
            </w:r>
            <w:r w:rsidR="0008561B">
              <w:rPr>
                <w:rFonts w:ascii="Cambria" w:hAnsi="Cambria" w:cs="Calibri"/>
              </w:rPr>
              <w:t xml:space="preserve">– </w:t>
            </w:r>
            <w:r w:rsidRPr="00DF4CE5">
              <w:rPr>
                <w:rFonts w:ascii="Cambria" w:hAnsi="Cambria" w:cs="Calibri"/>
              </w:rPr>
              <w:t>5.</w:t>
            </w:r>
          </w:p>
        </w:tc>
        <w:tc>
          <w:tcPr>
            <w:tcW w:w="86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2593048" w14:textId="69402ADC" w:rsidR="002F47E7" w:rsidRPr="00DF4CE5" w:rsidRDefault="0008561B" w:rsidP="00CE1FD6">
            <w:pPr>
              <w:spacing w:after="0" w:line="256" w:lineRule="auto"/>
              <w:jc w:val="center"/>
              <w:rPr>
                <w:rFonts w:ascii="Cambria" w:hAnsi="Cambria" w:cs="Calibri"/>
              </w:rPr>
            </w:pPr>
            <w:r w:rsidRPr="0008561B">
              <w:rPr>
                <w:rFonts w:ascii="Cambria" w:hAnsi="Cambria" w:cs="Calibri"/>
              </w:rPr>
              <w:t>45</w:t>
            </w:r>
          </w:p>
        </w:tc>
        <w:tc>
          <w:tcPr>
            <w:tcW w:w="71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29DECF5" w14:textId="3816CD36" w:rsidR="002F47E7" w:rsidRPr="00DF4CE5" w:rsidRDefault="0008561B" w:rsidP="00CE1FD6">
            <w:pPr>
              <w:spacing w:after="0" w:line="256" w:lineRule="auto"/>
              <w:jc w:val="center"/>
              <w:rPr>
                <w:rFonts w:ascii="Cambria" w:hAnsi="Cambria" w:cs="Calibri"/>
              </w:rPr>
            </w:pPr>
            <w:r>
              <w:rPr>
                <w:rFonts w:ascii="Cambria" w:hAnsi="Cambria" w:cs="Calibri"/>
              </w:rPr>
              <w:t>1,5</w:t>
            </w:r>
          </w:p>
        </w:tc>
        <w:tc>
          <w:tcPr>
            <w:tcW w:w="184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F9852B0" w14:textId="77777777" w:rsidR="002F47E7" w:rsidRPr="00DF4CE5" w:rsidRDefault="002F47E7" w:rsidP="00CE1FD6">
            <w:pPr>
              <w:spacing w:after="0" w:line="256" w:lineRule="auto"/>
              <w:jc w:val="center"/>
              <w:rPr>
                <w:rFonts w:ascii="Cambria" w:hAnsi="Cambria" w:cs="Calibri"/>
              </w:rPr>
            </w:pPr>
            <w:r w:rsidRPr="00DF4CE5">
              <w:rPr>
                <w:rFonts w:ascii="Cambria" w:hAnsi="Cambria" w:cs="Calibri"/>
              </w:rPr>
              <w:t>10%</w:t>
            </w:r>
          </w:p>
        </w:tc>
      </w:tr>
      <w:tr w:rsidR="002F47E7" w:rsidRPr="00DF4CE5" w14:paraId="67F07C0B" w14:textId="77777777" w:rsidTr="002F47E7">
        <w:tc>
          <w:tcPr>
            <w:tcW w:w="9488" w:type="dxa"/>
            <w:vMerge/>
            <w:tcBorders>
              <w:top w:val="single" w:sz="8" w:space="0" w:color="000000"/>
              <w:left w:val="single" w:sz="8" w:space="0" w:color="000000"/>
              <w:bottom w:val="single" w:sz="8" w:space="0" w:color="000000"/>
              <w:right w:val="single" w:sz="8" w:space="0" w:color="000000"/>
            </w:tcBorders>
            <w:vAlign w:val="center"/>
            <w:hideMark/>
          </w:tcPr>
          <w:p w14:paraId="0F331651" w14:textId="77777777" w:rsidR="002F47E7" w:rsidRPr="00DF4CE5" w:rsidRDefault="002F47E7" w:rsidP="00CE1FD6">
            <w:pPr>
              <w:spacing w:after="0" w:line="256" w:lineRule="auto"/>
              <w:rPr>
                <w:rFonts w:ascii="Cambria" w:eastAsia="Times New Roman" w:hAnsi="Cambria" w:cs="Calibri"/>
              </w:rPr>
            </w:pPr>
          </w:p>
        </w:tc>
        <w:tc>
          <w:tcPr>
            <w:tcW w:w="307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5EBC7F1" w14:textId="77777777" w:rsidR="002F47E7" w:rsidRPr="00DF4CE5" w:rsidRDefault="002F47E7" w:rsidP="00CE1FD6">
            <w:pPr>
              <w:spacing w:after="0" w:line="256" w:lineRule="auto"/>
              <w:rPr>
                <w:rFonts w:ascii="Cambria" w:hAnsi="Cambria" w:cs="Calibri"/>
                <w:lang w:val="it-IT"/>
              </w:rPr>
            </w:pPr>
            <w:proofErr w:type="spellStart"/>
            <w:r w:rsidRPr="00DF4CE5">
              <w:rPr>
                <w:rFonts w:ascii="Cambria" w:hAnsi="Cambria" w:cs="Calibri"/>
                <w:lang w:val="it-IT"/>
              </w:rPr>
              <w:t>pismeni</w:t>
            </w:r>
            <w:proofErr w:type="spellEnd"/>
            <w:r w:rsidRPr="00DF4CE5">
              <w:rPr>
                <w:rFonts w:ascii="Cambria" w:hAnsi="Cambria" w:cs="Calibri"/>
                <w:lang w:val="it-IT"/>
              </w:rPr>
              <w:t xml:space="preserve"> </w:t>
            </w:r>
            <w:proofErr w:type="spellStart"/>
            <w:proofErr w:type="gramStart"/>
            <w:r w:rsidRPr="00DF4CE5">
              <w:rPr>
                <w:rFonts w:ascii="Cambria" w:hAnsi="Cambria" w:cs="Calibri"/>
                <w:lang w:val="it-IT"/>
              </w:rPr>
              <w:t>ispit</w:t>
            </w:r>
            <w:proofErr w:type="spellEnd"/>
            <w:r w:rsidRPr="00DF4CE5">
              <w:rPr>
                <w:rFonts w:ascii="Cambria" w:hAnsi="Cambria" w:cs="Calibri"/>
                <w:lang w:val="it-IT"/>
              </w:rPr>
              <w:t xml:space="preserve">  ili</w:t>
            </w:r>
            <w:proofErr w:type="gramEnd"/>
            <w:r w:rsidRPr="00DF4CE5">
              <w:rPr>
                <w:rFonts w:ascii="Cambria" w:hAnsi="Cambria" w:cs="Calibri"/>
                <w:lang w:val="it-IT"/>
              </w:rPr>
              <w:t xml:space="preserve"> </w:t>
            </w:r>
            <w:proofErr w:type="spellStart"/>
            <w:r w:rsidRPr="00DF4CE5">
              <w:rPr>
                <w:rFonts w:ascii="Cambria" w:hAnsi="Cambria" w:cs="Calibri"/>
                <w:lang w:val="it-IT"/>
              </w:rPr>
              <w:t>dva</w:t>
            </w:r>
            <w:proofErr w:type="spellEnd"/>
            <w:r w:rsidRPr="00DF4CE5">
              <w:rPr>
                <w:rFonts w:ascii="Cambria" w:hAnsi="Cambria" w:cs="Calibri"/>
                <w:lang w:val="it-IT"/>
              </w:rPr>
              <w:t xml:space="preserve"> </w:t>
            </w:r>
            <w:proofErr w:type="spellStart"/>
            <w:r w:rsidRPr="00DF4CE5">
              <w:rPr>
                <w:rFonts w:ascii="Cambria" w:hAnsi="Cambria" w:cs="Calibri"/>
                <w:lang w:val="it-IT"/>
              </w:rPr>
              <w:t>kolokvija</w:t>
            </w:r>
            <w:proofErr w:type="spellEnd"/>
          </w:p>
        </w:tc>
        <w:tc>
          <w:tcPr>
            <w:tcW w:w="83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16229F7" w14:textId="43D1E54D" w:rsidR="002F47E7" w:rsidRPr="00DF4CE5" w:rsidRDefault="0008561B" w:rsidP="00CE1FD6">
            <w:pPr>
              <w:spacing w:after="0" w:line="256" w:lineRule="auto"/>
              <w:jc w:val="center"/>
              <w:rPr>
                <w:rFonts w:ascii="Cambria" w:hAnsi="Cambria" w:cs="Calibri"/>
              </w:rPr>
            </w:pPr>
            <w:r w:rsidRPr="0008561B">
              <w:rPr>
                <w:rFonts w:ascii="Cambria" w:hAnsi="Cambria" w:cs="Calibri"/>
              </w:rPr>
              <w:t>1. – 5.</w:t>
            </w:r>
          </w:p>
        </w:tc>
        <w:tc>
          <w:tcPr>
            <w:tcW w:w="86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DF0B22A" w14:textId="673623B8" w:rsidR="002F47E7" w:rsidRPr="00DF4CE5" w:rsidRDefault="0008561B" w:rsidP="00CE1FD6">
            <w:pPr>
              <w:spacing w:after="0" w:line="256" w:lineRule="auto"/>
              <w:jc w:val="center"/>
              <w:rPr>
                <w:rFonts w:ascii="Cambria" w:hAnsi="Cambria" w:cs="Calibri"/>
              </w:rPr>
            </w:pPr>
            <w:r>
              <w:rPr>
                <w:rFonts w:ascii="Cambria" w:hAnsi="Cambria" w:cs="Calibri"/>
              </w:rPr>
              <w:t>75</w:t>
            </w:r>
          </w:p>
        </w:tc>
        <w:tc>
          <w:tcPr>
            <w:tcW w:w="71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5EFA909" w14:textId="17F75996" w:rsidR="002F47E7" w:rsidRPr="00DF4CE5" w:rsidRDefault="002F47E7" w:rsidP="00CE1FD6">
            <w:pPr>
              <w:spacing w:after="0" w:line="256" w:lineRule="auto"/>
              <w:jc w:val="center"/>
              <w:rPr>
                <w:rFonts w:ascii="Cambria" w:hAnsi="Cambria" w:cs="Calibri"/>
              </w:rPr>
            </w:pPr>
            <w:r w:rsidRPr="00DF4CE5">
              <w:rPr>
                <w:rFonts w:ascii="Cambria" w:hAnsi="Cambria" w:cs="Calibri"/>
              </w:rPr>
              <w:t>2</w:t>
            </w:r>
            <w:r w:rsidR="0008561B">
              <w:rPr>
                <w:rFonts w:ascii="Cambria" w:hAnsi="Cambria" w:cs="Calibri"/>
              </w:rPr>
              <w:t>,5</w:t>
            </w:r>
          </w:p>
        </w:tc>
        <w:tc>
          <w:tcPr>
            <w:tcW w:w="184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6348574" w14:textId="77777777" w:rsidR="002F47E7" w:rsidRPr="00DF4CE5" w:rsidRDefault="002F47E7" w:rsidP="00CE1FD6">
            <w:pPr>
              <w:spacing w:after="0" w:line="256" w:lineRule="auto"/>
              <w:jc w:val="center"/>
              <w:rPr>
                <w:rFonts w:ascii="Cambria" w:hAnsi="Cambria" w:cs="Calibri"/>
              </w:rPr>
            </w:pPr>
            <w:r w:rsidRPr="00DF4CE5">
              <w:rPr>
                <w:rFonts w:ascii="Cambria" w:hAnsi="Cambria" w:cs="Calibri"/>
              </w:rPr>
              <w:t>40%</w:t>
            </w:r>
          </w:p>
        </w:tc>
      </w:tr>
      <w:tr w:rsidR="002F47E7" w:rsidRPr="00DF4CE5" w14:paraId="08D68A61" w14:textId="77777777" w:rsidTr="002F47E7">
        <w:tc>
          <w:tcPr>
            <w:tcW w:w="9488" w:type="dxa"/>
            <w:vMerge/>
            <w:tcBorders>
              <w:top w:val="single" w:sz="8" w:space="0" w:color="000000"/>
              <w:left w:val="single" w:sz="8" w:space="0" w:color="000000"/>
              <w:bottom w:val="single" w:sz="8" w:space="0" w:color="000000"/>
              <w:right w:val="single" w:sz="8" w:space="0" w:color="000000"/>
            </w:tcBorders>
            <w:vAlign w:val="center"/>
            <w:hideMark/>
          </w:tcPr>
          <w:p w14:paraId="0FD3A816" w14:textId="77777777" w:rsidR="002F47E7" w:rsidRPr="00DF4CE5" w:rsidRDefault="002F47E7" w:rsidP="00CE1FD6">
            <w:pPr>
              <w:spacing w:after="0" w:line="256" w:lineRule="auto"/>
              <w:rPr>
                <w:rFonts w:ascii="Cambria" w:eastAsia="Times New Roman" w:hAnsi="Cambria" w:cs="Calibri"/>
              </w:rPr>
            </w:pPr>
          </w:p>
        </w:tc>
        <w:tc>
          <w:tcPr>
            <w:tcW w:w="307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5E411A8" w14:textId="77777777" w:rsidR="002F47E7" w:rsidRPr="00DF4CE5" w:rsidRDefault="002F47E7" w:rsidP="00CE1FD6">
            <w:pPr>
              <w:spacing w:after="0" w:line="256" w:lineRule="auto"/>
              <w:rPr>
                <w:rFonts w:ascii="Cambria" w:hAnsi="Cambria" w:cs="Calibri"/>
              </w:rPr>
            </w:pPr>
            <w:proofErr w:type="spellStart"/>
            <w:r w:rsidRPr="00DF4CE5">
              <w:rPr>
                <w:rFonts w:ascii="Cambria" w:hAnsi="Cambria" w:cs="Calibri"/>
              </w:rPr>
              <w:t>usmeni</w:t>
            </w:r>
            <w:proofErr w:type="spellEnd"/>
            <w:r w:rsidRPr="00DF4CE5">
              <w:rPr>
                <w:rFonts w:ascii="Cambria" w:hAnsi="Cambria" w:cs="Calibri"/>
              </w:rPr>
              <w:t xml:space="preserve"> </w:t>
            </w:r>
            <w:proofErr w:type="spellStart"/>
            <w:r w:rsidRPr="00DF4CE5">
              <w:rPr>
                <w:rFonts w:ascii="Cambria" w:hAnsi="Cambria" w:cs="Calibri"/>
              </w:rPr>
              <w:t>ispit</w:t>
            </w:r>
            <w:proofErr w:type="spellEnd"/>
          </w:p>
        </w:tc>
        <w:tc>
          <w:tcPr>
            <w:tcW w:w="83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98646AD" w14:textId="24834B1F" w:rsidR="002F47E7" w:rsidRPr="00DF4CE5" w:rsidRDefault="0008561B" w:rsidP="00CE1FD6">
            <w:pPr>
              <w:spacing w:after="0" w:line="256" w:lineRule="auto"/>
              <w:jc w:val="center"/>
              <w:rPr>
                <w:rFonts w:ascii="Cambria" w:hAnsi="Cambria" w:cs="Calibri"/>
              </w:rPr>
            </w:pPr>
            <w:r w:rsidRPr="00DF4CE5">
              <w:rPr>
                <w:rFonts w:ascii="Cambria" w:hAnsi="Cambria" w:cs="Calibri"/>
              </w:rPr>
              <w:t xml:space="preserve">1. </w:t>
            </w:r>
            <w:r>
              <w:rPr>
                <w:rFonts w:ascii="Cambria" w:hAnsi="Cambria" w:cs="Calibri"/>
              </w:rPr>
              <w:t xml:space="preserve">– </w:t>
            </w:r>
            <w:r w:rsidRPr="00DF4CE5">
              <w:rPr>
                <w:rFonts w:ascii="Cambria" w:hAnsi="Cambria" w:cs="Calibri"/>
              </w:rPr>
              <w:t>5.</w:t>
            </w:r>
          </w:p>
        </w:tc>
        <w:tc>
          <w:tcPr>
            <w:tcW w:w="86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F52433A" w14:textId="77777777" w:rsidR="002F47E7" w:rsidRPr="00DF4CE5" w:rsidRDefault="002F47E7" w:rsidP="00CE1FD6">
            <w:pPr>
              <w:spacing w:after="0" w:line="256" w:lineRule="auto"/>
              <w:jc w:val="center"/>
              <w:rPr>
                <w:rFonts w:ascii="Cambria" w:hAnsi="Cambria" w:cs="Calibri"/>
              </w:rPr>
            </w:pPr>
            <w:r w:rsidRPr="00DF4CE5">
              <w:rPr>
                <w:rFonts w:ascii="Cambria" w:hAnsi="Cambria" w:cs="Calibri"/>
              </w:rPr>
              <w:t>60</w:t>
            </w:r>
          </w:p>
        </w:tc>
        <w:tc>
          <w:tcPr>
            <w:tcW w:w="71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1E9BC85" w14:textId="77777777" w:rsidR="002F47E7" w:rsidRPr="00DF4CE5" w:rsidRDefault="002F47E7" w:rsidP="00CE1FD6">
            <w:pPr>
              <w:spacing w:after="0" w:line="256" w:lineRule="auto"/>
              <w:jc w:val="center"/>
              <w:rPr>
                <w:rFonts w:ascii="Cambria" w:hAnsi="Cambria" w:cs="Calibri"/>
              </w:rPr>
            </w:pPr>
            <w:r w:rsidRPr="00DF4CE5">
              <w:rPr>
                <w:rFonts w:ascii="Cambria" w:hAnsi="Cambria" w:cs="Calibri"/>
              </w:rPr>
              <w:t>2</w:t>
            </w:r>
          </w:p>
        </w:tc>
        <w:tc>
          <w:tcPr>
            <w:tcW w:w="184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EF219D9" w14:textId="77777777" w:rsidR="002F47E7" w:rsidRPr="00DF4CE5" w:rsidRDefault="002F47E7" w:rsidP="00CE1FD6">
            <w:pPr>
              <w:spacing w:after="0" w:line="256" w:lineRule="auto"/>
              <w:jc w:val="center"/>
              <w:rPr>
                <w:rFonts w:ascii="Cambria" w:hAnsi="Cambria" w:cs="Calibri"/>
              </w:rPr>
            </w:pPr>
            <w:r w:rsidRPr="00DF4CE5">
              <w:rPr>
                <w:rFonts w:ascii="Cambria" w:hAnsi="Cambria" w:cs="Calibri"/>
              </w:rPr>
              <w:t>50%</w:t>
            </w:r>
          </w:p>
        </w:tc>
      </w:tr>
      <w:tr w:rsidR="002F47E7" w:rsidRPr="00DF4CE5" w14:paraId="1CAB82D8" w14:textId="77777777" w:rsidTr="002F47E7">
        <w:tc>
          <w:tcPr>
            <w:tcW w:w="9488" w:type="dxa"/>
            <w:vMerge/>
            <w:tcBorders>
              <w:top w:val="single" w:sz="8" w:space="0" w:color="000000"/>
              <w:left w:val="single" w:sz="8" w:space="0" w:color="000000"/>
              <w:bottom w:val="single" w:sz="8" w:space="0" w:color="000000"/>
              <w:right w:val="single" w:sz="8" w:space="0" w:color="000000"/>
            </w:tcBorders>
            <w:vAlign w:val="center"/>
            <w:hideMark/>
          </w:tcPr>
          <w:p w14:paraId="298757F9" w14:textId="77777777" w:rsidR="002F47E7" w:rsidRPr="00DF4CE5" w:rsidRDefault="002F47E7" w:rsidP="00CE1FD6">
            <w:pPr>
              <w:spacing w:after="0" w:line="256" w:lineRule="auto"/>
              <w:rPr>
                <w:rFonts w:ascii="Cambria" w:eastAsia="Times New Roman" w:hAnsi="Cambria" w:cs="Calibri"/>
              </w:rPr>
            </w:pPr>
          </w:p>
        </w:tc>
        <w:tc>
          <w:tcPr>
            <w:tcW w:w="391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846AFCB" w14:textId="7099367A" w:rsidR="002F47E7" w:rsidRPr="00DF4CE5" w:rsidRDefault="0008561B" w:rsidP="00CE1FD6">
            <w:pPr>
              <w:spacing w:after="0" w:line="256" w:lineRule="auto"/>
              <w:rPr>
                <w:rFonts w:ascii="Cambria" w:hAnsi="Cambria" w:cs="Calibri"/>
              </w:rPr>
            </w:pPr>
            <w:proofErr w:type="spellStart"/>
            <w:r>
              <w:rPr>
                <w:rFonts w:ascii="Cambria" w:hAnsi="Cambria" w:cs="Calibri"/>
              </w:rPr>
              <w:t>u</w:t>
            </w:r>
            <w:r w:rsidR="002F47E7" w:rsidRPr="00DF4CE5">
              <w:rPr>
                <w:rFonts w:ascii="Cambria" w:hAnsi="Cambria" w:cs="Calibri"/>
              </w:rPr>
              <w:t>kupno</w:t>
            </w:r>
            <w:proofErr w:type="spellEnd"/>
          </w:p>
        </w:tc>
        <w:tc>
          <w:tcPr>
            <w:tcW w:w="86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AD2CB65" w14:textId="77777777" w:rsidR="002F47E7" w:rsidRPr="00DF4CE5" w:rsidRDefault="002F47E7" w:rsidP="00CE1FD6">
            <w:pPr>
              <w:spacing w:after="0" w:line="256" w:lineRule="auto"/>
              <w:jc w:val="center"/>
              <w:rPr>
                <w:rFonts w:ascii="Cambria" w:hAnsi="Cambria" w:cs="Calibri"/>
              </w:rPr>
            </w:pPr>
            <w:r w:rsidRPr="00DF4CE5">
              <w:rPr>
                <w:rFonts w:ascii="Cambria" w:hAnsi="Cambria" w:cs="Calibri"/>
              </w:rPr>
              <w:t>180</w:t>
            </w:r>
          </w:p>
        </w:tc>
        <w:tc>
          <w:tcPr>
            <w:tcW w:w="708"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3D1DAEC" w14:textId="77777777" w:rsidR="002F47E7" w:rsidRPr="00DF4CE5" w:rsidRDefault="002F47E7" w:rsidP="00CE1FD6">
            <w:pPr>
              <w:spacing w:after="0" w:line="256" w:lineRule="auto"/>
              <w:jc w:val="center"/>
              <w:rPr>
                <w:rFonts w:ascii="Cambria" w:hAnsi="Cambria" w:cs="Calibri"/>
              </w:rPr>
            </w:pPr>
            <w:r w:rsidRPr="00DF4CE5">
              <w:rPr>
                <w:rFonts w:ascii="Cambria" w:hAnsi="Cambria" w:cs="Calibri"/>
              </w:rPr>
              <w:t>6</w:t>
            </w:r>
          </w:p>
        </w:tc>
        <w:tc>
          <w:tcPr>
            <w:tcW w:w="184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4C88BE5" w14:textId="77777777" w:rsidR="002F47E7" w:rsidRPr="00DF4CE5" w:rsidRDefault="002F47E7" w:rsidP="00CE1FD6">
            <w:pPr>
              <w:spacing w:after="0" w:line="256" w:lineRule="auto"/>
              <w:jc w:val="center"/>
              <w:rPr>
                <w:rFonts w:ascii="Cambria" w:hAnsi="Cambria" w:cs="Calibri"/>
              </w:rPr>
            </w:pPr>
            <w:r w:rsidRPr="00DF4CE5">
              <w:rPr>
                <w:rFonts w:ascii="Cambria" w:hAnsi="Cambria" w:cs="Calibri"/>
              </w:rPr>
              <w:t>100%</w:t>
            </w:r>
          </w:p>
        </w:tc>
      </w:tr>
      <w:tr w:rsidR="002F47E7" w:rsidRPr="00DF4CE5" w14:paraId="6B5BDE40" w14:textId="77777777" w:rsidTr="002F47E7">
        <w:tc>
          <w:tcPr>
            <w:tcW w:w="9488" w:type="dxa"/>
            <w:vMerge/>
            <w:tcBorders>
              <w:top w:val="single" w:sz="8" w:space="0" w:color="000000"/>
              <w:left w:val="single" w:sz="8" w:space="0" w:color="000000"/>
              <w:bottom w:val="single" w:sz="8" w:space="0" w:color="000000"/>
              <w:right w:val="single" w:sz="8" w:space="0" w:color="000000"/>
            </w:tcBorders>
            <w:vAlign w:val="center"/>
            <w:hideMark/>
          </w:tcPr>
          <w:p w14:paraId="7AC76A36" w14:textId="77777777" w:rsidR="002F47E7" w:rsidRPr="00DF4CE5" w:rsidRDefault="002F47E7" w:rsidP="00CE1FD6">
            <w:pPr>
              <w:spacing w:after="0" w:line="256" w:lineRule="auto"/>
              <w:rPr>
                <w:rFonts w:ascii="Cambria" w:eastAsia="Times New Roman" w:hAnsi="Cambria" w:cs="Calibri"/>
              </w:rPr>
            </w:pPr>
          </w:p>
        </w:tc>
        <w:tc>
          <w:tcPr>
            <w:tcW w:w="7331" w:type="dxa"/>
            <w:gridSpan w:val="6"/>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F42A056" w14:textId="77777777" w:rsidR="002F47E7" w:rsidRPr="00DF4CE5" w:rsidRDefault="002F47E7" w:rsidP="00CE1FD6">
            <w:pPr>
              <w:spacing w:after="0" w:line="256" w:lineRule="auto"/>
              <w:rPr>
                <w:rFonts w:ascii="Cambria" w:hAnsi="Cambria" w:cs="Calibri"/>
              </w:rPr>
            </w:pPr>
            <w:proofErr w:type="spellStart"/>
            <w:r w:rsidRPr="00DF4CE5">
              <w:rPr>
                <w:rFonts w:ascii="Cambria" w:hAnsi="Cambria" w:cs="Calibri"/>
              </w:rPr>
              <w:t>Dodatna</w:t>
            </w:r>
            <w:proofErr w:type="spellEnd"/>
            <w:r w:rsidRPr="00DF4CE5">
              <w:rPr>
                <w:rFonts w:ascii="Cambria" w:hAnsi="Cambria" w:cs="Calibri"/>
              </w:rPr>
              <w:t xml:space="preserve"> </w:t>
            </w:r>
            <w:proofErr w:type="spellStart"/>
            <w:r w:rsidRPr="00DF4CE5">
              <w:rPr>
                <w:rFonts w:ascii="Cambria" w:hAnsi="Cambria" w:cs="Calibri"/>
              </w:rPr>
              <w:t>pojašnjenja</w:t>
            </w:r>
            <w:proofErr w:type="spellEnd"/>
            <w:r w:rsidRPr="00DF4CE5">
              <w:rPr>
                <w:rFonts w:ascii="Cambria" w:hAnsi="Cambria" w:cs="Calibri"/>
              </w:rPr>
              <w:t xml:space="preserve"> (</w:t>
            </w:r>
            <w:proofErr w:type="spellStart"/>
            <w:r w:rsidRPr="00DF4CE5">
              <w:rPr>
                <w:rFonts w:ascii="Cambria" w:hAnsi="Cambria" w:cs="Calibri"/>
              </w:rPr>
              <w:t>kriteriji</w:t>
            </w:r>
            <w:proofErr w:type="spellEnd"/>
            <w:r w:rsidRPr="00DF4CE5">
              <w:rPr>
                <w:rFonts w:ascii="Cambria" w:hAnsi="Cambria" w:cs="Calibri"/>
              </w:rPr>
              <w:t xml:space="preserve"> </w:t>
            </w:r>
            <w:proofErr w:type="spellStart"/>
            <w:r w:rsidRPr="00DF4CE5">
              <w:rPr>
                <w:rFonts w:ascii="Cambria" w:hAnsi="Cambria" w:cs="Calibri"/>
              </w:rPr>
              <w:t>ocjenjivanja</w:t>
            </w:r>
            <w:proofErr w:type="spellEnd"/>
            <w:r w:rsidRPr="00DF4CE5">
              <w:rPr>
                <w:rFonts w:ascii="Cambria" w:hAnsi="Cambria" w:cs="Calibri"/>
              </w:rPr>
              <w:t>):</w:t>
            </w:r>
          </w:p>
          <w:p w14:paraId="4A0DF3DC" w14:textId="77777777" w:rsidR="002F47E7" w:rsidRPr="00DF4CE5" w:rsidRDefault="002F47E7" w:rsidP="00CE1FD6">
            <w:pPr>
              <w:spacing w:after="0" w:line="256" w:lineRule="auto"/>
              <w:rPr>
                <w:rFonts w:ascii="Cambria" w:hAnsi="Cambria" w:cs="Calibri"/>
              </w:rPr>
            </w:pPr>
            <w:proofErr w:type="spellStart"/>
            <w:r w:rsidRPr="00DF4CE5">
              <w:rPr>
                <w:rFonts w:ascii="Cambria" w:hAnsi="Cambria" w:cs="Calibri"/>
              </w:rPr>
              <w:t>Kolokviji</w:t>
            </w:r>
            <w:proofErr w:type="spellEnd"/>
            <w:r w:rsidRPr="00DF4CE5">
              <w:rPr>
                <w:rFonts w:ascii="Cambria" w:hAnsi="Cambria" w:cs="Calibri"/>
              </w:rPr>
              <w:t xml:space="preserve"> </w:t>
            </w:r>
            <w:proofErr w:type="spellStart"/>
            <w:r w:rsidRPr="00DF4CE5">
              <w:rPr>
                <w:rFonts w:ascii="Cambria" w:hAnsi="Cambria" w:cs="Calibri"/>
              </w:rPr>
              <w:t>i</w:t>
            </w:r>
            <w:proofErr w:type="spellEnd"/>
            <w:r w:rsidRPr="00DF4CE5">
              <w:rPr>
                <w:rFonts w:ascii="Cambria" w:hAnsi="Cambria" w:cs="Calibri"/>
              </w:rPr>
              <w:t>/</w:t>
            </w:r>
            <w:proofErr w:type="spellStart"/>
            <w:r w:rsidRPr="00DF4CE5">
              <w:rPr>
                <w:rFonts w:ascii="Cambria" w:hAnsi="Cambria" w:cs="Calibri"/>
              </w:rPr>
              <w:t>ili</w:t>
            </w:r>
            <w:proofErr w:type="spellEnd"/>
            <w:r w:rsidRPr="00DF4CE5">
              <w:rPr>
                <w:rFonts w:ascii="Cambria" w:hAnsi="Cambria" w:cs="Calibri"/>
              </w:rPr>
              <w:t xml:space="preserve"> </w:t>
            </w:r>
            <w:proofErr w:type="spellStart"/>
            <w:r w:rsidRPr="00DF4CE5">
              <w:rPr>
                <w:rFonts w:ascii="Cambria" w:hAnsi="Cambria" w:cs="Calibri"/>
              </w:rPr>
              <w:t>pismeni</w:t>
            </w:r>
            <w:proofErr w:type="spellEnd"/>
            <w:r w:rsidRPr="00DF4CE5">
              <w:rPr>
                <w:rFonts w:ascii="Cambria" w:hAnsi="Cambria" w:cs="Calibri"/>
              </w:rPr>
              <w:t xml:space="preserve"> </w:t>
            </w:r>
            <w:proofErr w:type="spellStart"/>
            <w:r w:rsidRPr="00DF4CE5">
              <w:rPr>
                <w:rFonts w:ascii="Cambria" w:hAnsi="Cambria" w:cs="Calibri"/>
              </w:rPr>
              <w:t>ispiti</w:t>
            </w:r>
            <w:proofErr w:type="spellEnd"/>
            <w:r w:rsidRPr="00DF4CE5">
              <w:rPr>
                <w:rFonts w:ascii="Cambria" w:hAnsi="Cambria" w:cs="Calibri"/>
              </w:rPr>
              <w:t xml:space="preserve"> </w:t>
            </w:r>
            <w:proofErr w:type="spellStart"/>
            <w:r w:rsidRPr="00DF4CE5">
              <w:rPr>
                <w:rFonts w:ascii="Cambria" w:hAnsi="Cambria" w:cs="Calibri"/>
              </w:rPr>
              <w:t>ocjenjuju</w:t>
            </w:r>
            <w:proofErr w:type="spellEnd"/>
            <w:r w:rsidRPr="00DF4CE5">
              <w:rPr>
                <w:rFonts w:ascii="Cambria" w:hAnsi="Cambria" w:cs="Calibri"/>
              </w:rPr>
              <w:t xml:space="preserve"> se </w:t>
            </w:r>
            <w:proofErr w:type="spellStart"/>
            <w:r w:rsidRPr="00DF4CE5">
              <w:rPr>
                <w:rFonts w:ascii="Cambria" w:hAnsi="Cambria" w:cs="Calibri"/>
              </w:rPr>
              <w:t>na</w:t>
            </w:r>
            <w:proofErr w:type="spellEnd"/>
            <w:r w:rsidRPr="00DF4CE5">
              <w:rPr>
                <w:rFonts w:ascii="Cambria" w:hAnsi="Cambria" w:cs="Calibri"/>
              </w:rPr>
              <w:t xml:space="preserve"> </w:t>
            </w:r>
            <w:proofErr w:type="spellStart"/>
            <w:r w:rsidRPr="00DF4CE5">
              <w:rPr>
                <w:rFonts w:ascii="Cambria" w:hAnsi="Cambria" w:cs="Calibri"/>
              </w:rPr>
              <w:t>sljedeći</w:t>
            </w:r>
            <w:proofErr w:type="spellEnd"/>
            <w:r w:rsidRPr="00DF4CE5">
              <w:rPr>
                <w:rFonts w:ascii="Cambria" w:hAnsi="Cambria" w:cs="Calibri"/>
              </w:rPr>
              <w:t xml:space="preserve"> </w:t>
            </w:r>
            <w:proofErr w:type="spellStart"/>
            <w:r w:rsidRPr="00DF4CE5">
              <w:rPr>
                <w:rFonts w:ascii="Cambria" w:hAnsi="Cambria" w:cs="Calibri"/>
              </w:rPr>
              <w:t>način</w:t>
            </w:r>
            <w:proofErr w:type="spellEnd"/>
            <w:r w:rsidRPr="00DF4CE5">
              <w:rPr>
                <w:rFonts w:ascii="Cambria" w:hAnsi="Cambria" w:cs="Calibri"/>
              </w:rPr>
              <w:t xml:space="preserve"> (</w:t>
            </w:r>
            <w:proofErr w:type="spellStart"/>
            <w:r w:rsidRPr="00DF4CE5">
              <w:rPr>
                <w:rFonts w:ascii="Cambria" w:hAnsi="Cambria" w:cs="Calibri"/>
              </w:rPr>
              <w:t>ali</w:t>
            </w:r>
            <w:proofErr w:type="spellEnd"/>
            <w:r w:rsidRPr="00DF4CE5">
              <w:rPr>
                <w:rFonts w:ascii="Cambria" w:hAnsi="Cambria" w:cs="Calibri"/>
              </w:rPr>
              <w:t xml:space="preserve"> </w:t>
            </w:r>
            <w:proofErr w:type="spellStart"/>
            <w:r w:rsidRPr="00DF4CE5">
              <w:rPr>
                <w:rFonts w:ascii="Cambria" w:hAnsi="Cambria" w:cs="Calibri"/>
              </w:rPr>
              <w:t>i</w:t>
            </w:r>
            <w:proofErr w:type="spellEnd"/>
            <w:r w:rsidRPr="00DF4CE5">
              <w:rPr>
                <w:rFonts w:ascii="Cambria" w:hAnsi="Cambria" w:cs="Calibri"/>
              </w:rPr>
              <w:t xml:space="preserve"> </w:t>
            </w:r>
            <w:proofErr w:type="spellStart"/>
            <w:r w:rsidRPr="00DF4CE5">
              <w:rPr>
                <w:rFonts w:ascii="Cambria" w:hAnsi="Cambria" w:cs="Calibri"/>
              </w:rPr>
              <w:t>detaljnije</w:t>
            </w:r>
            <w:proofErr w:type="spellEnd"/>
            <w:r w:rsidRPr="00DF4CE5">
              <w:rPr>
                <w:rFonts w:ascii="Cambria" w:hAnsi="Cambria" w:cs="Calibri"/>
              </w:rPr>
              <w:t xml:space="preserve"> u </w:t>
            </w:r>
            <w:proofErr w:type="spellStart"/>
            <w:r w:rsidRPr="00DF4CE5">
              <w:rPr>
                <w:rFonts w:ascii="Cambria" w:hAnsi="Cambria" w:cs="Calibri"/>
              </w:rPr>
              <w:t>postotku</w:t>
            </w:r>
            <w:proofErr w:type="spellEnd"/>
            <w:r w:rsidRPr="00DF4CE5">
              <w:rPr>
                <w:rFonts w:ascii="Cambria" w:hAnsi="Cambria" w:cs="Calibri"/>
              </w:rPr>
              <w:t xml:space="preserve">, </w:t>
            </w:r>
            <w:proofErr w:type="spellStart"/>
            <w:r w:rsidRPr="00DF4CE5">
              <w:rPr>
                <w:rFonts w:ascii="Cambria" w:hAnsi="Cambria" w:cs="Calibri"/>
              </w:rPr>
              <w:t>pri</w:t>
            </w:r>
            <w:proofErr w:type="spellEnd"/>
            <w:r w:rsidRPr="00DF4CE5">
              <w:rPr>
                <w:rFonts w:ascii="Cambria" w:hAnsi="Cambria" w:cs="Calibri"/>
              </w:rPr>
              <w:t xml:space="preserve"> </w:t>
            </w:r>
            <w:proofErr w:type="spellStart"/>
            <w:r w:rsidRPr="00DF4CE5">
              <w:rPr>
                <w:rFonts w:ascii="Cambria" w:hAnsi="Cambria" w:cs="Calibri"/>
              </w:rPr>
              <w:t>čemu</w:t>
            </w:r>
            <w:proofErr w:type="spellEnd"/>
            <w:r w:rsidRPr="00DF4CE5">
              <w:rPr>
                <w:rFonts w:ascii="Cambria" w:hAnsi="Cambria" w:cs="Calibri"/>
              </w:rPr>
              <w:t xml:space="preserve"> se </w:t>
            </w:r>
            <w:proofErr w:type="spellStart"/>
            <w:r w:rsidRPr="00DF4CE5">
              <w:rPr>
                <w:rFonts w:ascii="Cambria" w:hAnsi="Cambria" w:cs="Calibri"/>
              </w:rPr>
              <w:t>uzima</w:t>
            </w:r>
            <w:proofErr w:type="spellEnd"/>
            <w:r w:rsidRPr="00DF4CE5">
              <w:rPr>
                <w:rFonts w:ascii="Cambria" w:hAnsi="Cambria" w:cs="Calibri"/>
              </w:rPr>
              <w:t xml:space="preserve"> u </w:t>
            </w:r>
            <w:proofErr w:type="spellStart"/>
            <w:r w:rsidRPr="00DF4CE5">
              <w:rPr>
                <w:rFonts w:ascii="Cambria" w:hAnsi="Cambria" w:cs="Calibri"/>
              </w:rPr>
              <w:t>obzir</w:t>
            </w:r>
            <w:proofErr w:type="spellEnd"/>
            <w:r w:rsidRPr="00DF4CE5">
              <w:rPr>
                <w:rFonts w:ascii="Cambria" w:hAnsi="Cambria" w:cs="Calibri"/>
              </w:rPr>
              <w:t xml:space="preserve"> </w:t>
            </w:r>
            <w:proofErr w:type="spellStart"/>
            <w:r w:rsidRPr="00DF4CE5">
              <w:rPr>
                <w:rFonts w:ascii="Cambria" w:hAnsi="Cambria" w:cs="Calibri"/>
              </w:rPr>
              <w:t>udio</w:t>
            </w:r>
            <w:proofErr w:type="spellEnd"/>
            <w:r w:rsidRPr="00DF4CE5">
              <w:rPr>
                <w:rFonts w:ascii="Cambria" w:hAnsi="Cambria" w:cs="Calibri"/>
              </w:rPr>
              <w:t xml:space="preserve"> </w:t>
            </w:r>
            <w:proofErr w:type="spellStart"/>
            <w:r w:rsidRPr="00DF4CE5">
              <w:rPr>
                <w:rFonts w:ascii="Cambria" w:hAnsi="Cambria" w:cs="Calibri"/>
              </w:rPr>
              <w:t>bodova</w:t>
            </w:r>
            <w:proofErr w:type="spellEnd"/>
            <w:r w:rsidRPr="00DF4CE5">
              <w:rPr>
                <w:rFonts w:ascii="Cambria" w:hAnsi="Cambria" w:cs="Calibri"/>
              </w:rPr>
              <w:t xml:space="preserve"> u </w:t>
            </w:r>
            <w:proofErr w:type="spellStart"/>
            <w:r w:rsidRPr="00DF4CE5">
              <w:rPr>
                <w:rFonts w:ascii="Cambria" w:hAnsi="Cambria" w:cs="Calibri"/>
              </w:rPr>
              <w:t>ukupnom</w:t>
            </w:r>
            <w:proofErr w:type="spellEnd"/>
            <w:r w:rsidRPr="00DF4CE5">
              <w:rPr>
                <w:rFonts w:ascii="Cambria" w:hAnsi="Cambria" w:cs="Calibri"/>
              </w:rPr>
              <w:t xml:space="preserve"> </w:t>
            </w:r>
            <w:proofErr w:type="spellStart"/>
            <w:r w:rsidRPr="00DF4CE5">
              <w:rPr>
                <w:rFonts w:ascii="Cambria" w:hAnsi="Cambria" w:cs="Calibri"/>
              </w:rPr>
              <w:t>broju</w:t>
            </w:r>
            <w:proofErr w:type="spellEnd"/>
            <w:r w:rsidRPr="00DF4CE5">
              <w:rPr>
                <w:rFonts w:ascii="Cambria" w:hAnsi="Cambria" w:cs="Calibri"/>
              </w:rPr>
              <w:t xml:space="preserve"> </w:t>
            </w:r>
            <w:proofErr w:type="spellStart"/>
            <w:r w:rsidRPr="00DF4CE5">
              <w:rPr>
                <w:rFonts w:ascii="Cambria" w:hAnsi="Cambria" w:cs="Calibri"/>
              </w:rPr>
              <w:t>bodova</w:t>
            </w:r>
            <w:proofErr w:type="spellEnd"/>
            <w:r w:rsidRPr="00DF4CE5">
              <w:rPr>
                <w:rFonts w:ascii="Cambria" w:hAnsi="Cambria" w:cs="Calibri"/>
              </w:rPr>
              <w:t xml:space="preserve">, </w:t>
            </w:r>
            <w:proofErr w:type="spellStart"/>
            <w:r w:rsidRPr="00DF4CE5">
              <w:rPr>
                <w:rFonts w:ascii="Cambria" w:hAnsi="Cambria" w:cs="Calibri"/>
              </w:rPr>
              <w:t>te</w:t>
            </w:r>
            <w:proofErr w:type="spellEnd"/>
            <w:r w:rsidRPr="00DF4CE5">
              <w:rPr>
                <w:rFonts w:ascii="Cambria" w:hAnsi="Cambria" w:cs="Calibri"/>
              </w:rPr>
              <w:t xml:space="preserve"> </w:t>
            </w:r>
            <w:proofErr w:type="spellStart"/>
            <w:r w:rsidRPr="00DF4CE5">
              <w:rPr>
                <w:rFonts w:ascii="Cambria" w:hAnsi="Cambria" w:cs="Calibri"/>
              </w:rPr>
              <w:t>onda</w:t>
            </w:r>
            <w:proofErr w:type="spellEnd"/>
            <w:r w:rsidRPr="00DF4CE5">
              <w:rPr>
                <w:rFonts w:ascii="Cambria" w:hAnsi="Cambria" w:cs="Calibri"/>
              </w:rPr>
              <w:t xml:space="preserve"> </w:t>
            </w:r>
            <w:proofErr w:type="spellStart"/>
            <w:r w:rsidRPr="00DF4CE5">
              <w:rPr>
                <w:rFonts w:ascii="Cambria" w:hAnsi="Cambria" w:cs="Calibri"/>
              </w:rPr>
              <w:t>udio</w:t>
            </w:r>
            <w:proofErr w:type="spellEnd"/>
            <w:r w:rsidRPr="00DF4CE5">
              <w:rPr>
                <w:rFonts w:ascii="Cambria" w:hAnsi="Cambria" w:cs="Calibri"/>
              </w:rPr>
              <w:t xml:space="preserve"> u </w:t>
            </w:r>
            <w:proofErr w:type="spellStart"/>
            <w:r w:rsidRPr="00DF4CE5">
              <w:rPr>
                <w:rFonts w:ascii="Cambria" w:hAnsi="Cambria" w:cs="Calibri"/>
              </w:rPr>
              <w:t>ukupnoj</w:t>
            </w:r>
            <w:proofErr w:type="spellEnd"/>
            <w:r w:rsidRPr="00DF4CE5">
              <w:rPr>
                <w:rFonts w:ascii="Cambria" w:hAnsi="Cambria" w:cs="Calibri"/>
              </w:rPr>
              <w:t xml:space="preserve"> </w:t>
            </w:r>
            <w:proofErr w:type="spellStart"/>
            <w:r w:rsidRPr="00DF4CE5">
              <w:rPr>
                <w:rFonts w:ascii="Cambria" w:hAnsi="Cambria" w:cs="Calibri"/>
              </w:rPr>
              <w:t>ocjeni</w:t>
            </w:r>
            <w:proofErr w:type="spellEnd"/>
            <w:r w:rsidRPr="00DF4CE5">
              <w:rPr>
                <w:rFonts w:ascii="Cambria" w:hAnsi="Cambria" w:cs="Calibri"/>
              </w:rPr>
              <w:t>):</w:t>
            </w:r>
          </w:p>
          <w:p w14:paraId="145118FD" w14:textId="77777777" w:rsidR="002F47E7" w:rsidRPr="00DF4CE5" w:rsidRDefault="002F47E7" w:rsidP="00CE1FD6">
            <w:pPr>
              <w:spacing w:after="0" w:line="256" w:lineRule="auto"/>
              <w:rPr>
                <w:rFonts w:ascii="Cambria" w:hAnsi="Cambria" w:cs="Calibri"/>
              </w:rPr>
            </w:pPr>
            <w:r w:rsidRPr="00DF4CE5">
              <w:rPr>
                <w:rFonts w:ascii="Cambria" w:hAnsi="Cambria" w:cs="Calibri"/>
              </w:rPr>
              <w:tab/>
            </w:r>
            <w:proofErr w:type="spellStart"/>
            <w:r w:rsidRPr="00DF4CE5">
              <w:rPr>
                <w:rFonts w:ascii="Cambria" w:hAnsi="Cambria" w:cs="Calibri"/>
              </w:rPr>
              <w:t>manje</w:t>
            </w:r>
            <w:proofErr w:type="spellEnd"/>
            <w:r w:rsidRPr="00DF4CE5">
              <w:rPr>
                <w:rFonts w:ascii="Cambria" w:hAnsi="Cambria" w:cs="Calibri"/>
              </w:rPr>
              <w:t xml:space="preserve"> od 9 </w:t>
            </w:r>
            <w:proofErr w:type="spellStart"/>
            <w:r w:rsidRPr="00DF4CE5">
              <w:rPr>
                <w:rFonts w:ascii="Cambria" w:hAnsi="Cambria" w:cs="Calibri"/>
              </w:rPr>
              <w:t>bodova</w:t>
            </w:r>
            <w:proofErr w:type="spellEnd"/>
            <w:r w:rsidRPr="00DF4CE5">
              <w:rPr>
                <w:rFonts w:ascii="Cambria" w:hAnsi="Cambria" w:cs="Calibri"/>
              </w:rPr>
              <w:t xml:space="preserve"> </w:t>
            </w:r>
            <w:r w:rsidRPr="00DF4CE5">
              <w:rPr>
                <w:rFonts w:ascii="Cambria" w:hAnsi="Cambria" w:cs="Calibri"/>
              </w:rPr>
              <w:tab/>
              <w:t xml:space="preserve">= </w:t>
            </w:r>
            <w:r w:rsidRPr="00DF4CE5">
              <w:rPr>
                <w:rFonts w:ascii="Cambria" w:hAnsi="Cambria" w:cs="Calibri"/>
              </w:rPr>
              <w:tab/>
              <w:t xml:space="preserve">bez </w:t>
            </w:r>
            <w:proofErr w:type="spellStart"/>
            <w:r w:rsidRPr="00DF4CE5">
              <w:rPr>
                <w:rFonts w:ascii="Cambria" w:hAnsi="Cambria" w:cs="Calibri"/>
              </w:rPr>
              <w:t>ocjene</w:t>
            </w:r>
            <w:proofErr w:type="spellEnd"/>
          </w:p>
          <w:p w14:paraId="06386221" w14:textId="77777777" w:rsidR="002F47E7" w:rsidRPr="00DF4CE5" w:rsidRDefault="002F47E7" w:rsidP="00CE1FD6">
            <w:pPr>
              <w:spacing w:after="0" w:line="256" w:lineRule="auto"/>
              <w:rPr>
                <w:rFonts w:ascii="Cambria" w:hAnsi="Cambria" w:cs="Calibri"/>
              </w:rPr>
            </w:pPr>
            <w:r w:rsidRPr="00DF4CE5">
              <w:rPr>
                <w:rFonts w:ascii="Cambria" w:hAnsi="Cambria" w:cs="Calibri"/>
              </w:rPr>
              <w:tab/>
              <w:t xml:space="preserve">od 9 do 10 </w:t>
            </w:r>
            <w:proofErr w:type="spellStart"/>
            <w:r w:rsidRPr="00DF4CE5">
              <w:rPr>
                <w:rFonts w:ascii="Cambria" w:hAnsi="Cambria" w:cs="Calibri"/>
              </w:rPr>
              <w:t>bodova</w:t>
            </w:r>
            <w:proofErr w:type="spellEnd"/>
            <w:r w:rsidRPr="00DF4CE5">
              <w:rPr>
                <w:rFonts w:ascii="Cambria" w:hAnsi="Cambria" w:cs="Calibri"/>
              </w:rPr>
              <w:tab/>
              <w:t>=</w:t>
            </w:r>
            <w:r w:rsidRPr="00DF4CE5">
              <w:rPr>
                <w:rFonts w:ascii="Cambria" w:hAnsi="Cambria" w:cs="Calibri"/>
              </w:rPr>
              <w:tab/>
            </w:r>
            <w:proofErr w:type="spellStart"/>
            <w:r w:rsidRPr="00DF4CE5">
              <w:rPr>
                <w:rFonts w:ascii="Cambria" w:hAnsi="Cambria" w:cs="Calibri"/>
              </w:rPr>
              <w:t>ocjena</w:t>
            </w:r>
            <w:proofErr w:type="spellEnd"/>
            <w:r w:rsidRPr="00DF4CE5">
              <w:rPr>
                <w:rFonts w:ascii="Cambria" w:hAnsi="Cambria" w:cs="Calibri"/>
              </w:rPr>
              <w:t xml:space="preserve"> 2</w:t>
            </w:r>
          </w:p>
          <w:p w14:paraId="3C1932A7" w14:textId="77777777" w:rsidR="002F47E7" w:rsidRPr="00DF4CE5" w:rsidRDefault="002F47E7" w:rsidP="00CE1FD6">
            <w:pPr>
              <w:spacing w:after="0" w:line="256" w:lineRule="auto"/>
              <w:rPr>
                <w:rFonts w:ascii="Cambria" w:hAnsi="Cambria" w:cs="Calibri"/>
              </w:rPr>
            </w:pPr>
            <w:r w:rsidRPr="00DF4CE5">
              <w:rPr>
                <w:rFonts w:ascii="Cambria" w:hAnsi="Cambria" w:cs="Calibri"/>
              </w:rPr>
              <w:tab/>
              <w:t xml:space="preserve">od 11 do 13 </w:t>
            </w:r>
            <w:proofErr w:type="spellStart"/>
            <w:r w:rsidRPr="00DF4CE5">
              <w:rPr>
                <w:rFonts w:ascii="Cambria" w:hAnsi="Cambria" w:cs="Calibri"/>
              </w:rPr>
              <w:t>bodova</w:t>
            </w:r>
            <w:proofErr w:type="spellEnd"/>
            <w:r w:rsidRPr="00DF4CE5">
              <w:rPr>
                <w:rFonts w:ascii="Cambria" w:hAnsi="Cambria" w:cs="Calibri"/>
              </w:rPr>
              <w:tab/>
              <w:t>=</w:t>
            </w:r>
            <w:r w:rsidRPr="00DF4CE5">
              <w:rPr>
                <w:rFonts w:ascii="Cambria" w:hAnsi="Cambria" w:cs="Calibri"/>
              </w:rPr>
              <w:tab/>
            </w:r>
            <w:proofErr w:type="spellStart"/>
            <w:r w:rsidRPr="00DF4CE5">
              <w:rPr>
                <w:rFonts w:ascii="Cambria" w:hAnsi="Cambria" w:cs="Calibri"/>
              </w:rPr>
              <w:t>ocjena</w:t>
            </w:r>
            <w:proofErr w:type="spellEnd"/>
            <w:r w:rsidRPr="00DF4CE5">
              <w:rPr>
                <w:rFonts w:ascii="Cambria" w:hAnsi="Cambria" w:cs="Calibri"/>
              </w:rPr>
              <w:t xml:space="preserve"> 3</w:t>
            </w:r>
          </w:p>
          <w:p w14:paraId="2DB90005" w14:textId="77777777" w:rsidR="002F47E7" w:rsidRPr="00DF4CE5" w:rsidRDefault="002F47E7" w:rsidP="00CE1FD6">
            <w:pPr>
              <w:spacing w:after="0" w:line="256" w:lineRule="auto"/>
              <w:rPr>
                <w:rFonts w:ascii="Cambria" w:hAnsi="Cambria" w:cs="Calibri"/>
              </w:rPr>
            </w:pPr>
            <w:r w:rsidRPr="00DF4CE5">
              <w:rPr>
                <w:rFonts w:ascii="Cambria" w:hAnsi="Cambria" w:cs="Calibri"/>
              </w:rPr>
              <w:tab/>
              <w:t xml:space="preserve">od 14 do </w:t>
            </w:r>
            <w:proofErr w:type="gramStart"/>
            <w:r w:rsidRPr="00DF4CE5">
              <w:rPr>
                <w:rFonts w:ascii="Cambria" w:hAnsi="Cambria" w:cs="Calibri"/>
              </w:rPr>
              <w:t xml:space="preserve">15  </w:t>
            </w:r>
            <w:proofErr w:type="spellStart"/>
            <w:r w:rsidRPr="00DF4CE5">
              <w:rPr>
                <w:rFonts w:ascii="Cambria" w:hAnsi="Cambria" w:cs="Calibri"/>
              </w:rPr>
              <w:t>bodova</w:t>
            </w:r>
            <w:proofErr w:type="spellEnd"/>
            <w:proofErr w:type="gramEnd"/>
            <w:r w:rsidRPr="00DF4CE5">
              <w:rPr>
                <w:rFonts w:ascii="Cambria" w:hAnsi="Cambria" w:cs="Calibri"/>
              </w:rPr>
              <w:tab/>
              <w:t>=</w:t>
            </w:r>
            <w:r w:rsidRPr="00DF4CE5">
              <w:rPr>
                <w:rFonts w:ascii="Cambria" w:hAnsi="Cambria" w:cs="Calibri"/>
              </w:rPr>
              <w:tab/>
            </w:r>
            <w:proofErr w:type="spellStart"/>
            <w:r w:rsidRPr="00DF4CE5">
              <w:rPr>
                <w:rFonts w:ascii="Cambria" w:hAnsi="Cambria" w:cs="Calibri"/>
              </w:rPr>
              <w:t>ocjena</w:t>
            </w:r>
            <w:proofErr w:type="spellEnd"/>
            <w:r w:rsidRPr="00DF4CE5">
              <w:rPr>
                <w:rFonts w:ascii="Cambria" w:hAnsi="Cambria" w:cs="Calibri"/>
              </w:rPr>
              <w:t xml:space="preserve"> 4</w:t>
            </w:r>
          </w:p>
          <w:p w14:paraId="2D428101" w14:textId="77777777" w:rsidR="002F47E7" w:rsidRPr="00DF4CE5" w:rsidRDefault="002F47E7" w:rsidP="00CE1FD6">
            <w:pPr>
              <w:spacing w:after="0" w:line="256" w:lineRule="auto"/>
              <w:rPr>
                <w:rFonts w:ascii="Cambria" w:hAnsi="Cambria" w:cs="Calibri"/>
              </w:rPr>
            </w:pPr>
            <w:r w:rsidRPr="00DF4CE5">
              <w:rPr>
                <w:rFonts w:ascii="Cambria" w:hAnsi="Cambria" w:cs="Calibri"/>
              </w:rPr>
              <w:tab/>
              <w:t xml:space="preserve">od 16 do 18 </w:t>
            </w:r>
            <w:proofErr w:type="spellStart"/>
            <w:r w:rsidRPr="00DF4CE5">
              <w:rPr>
                <w:rFonts w:ascii="Cambria" w:hAnsi="Cambria" w:cs="Calibri"/>
              </w:rPr>
              <w:t>bodova</w:t>
            </w:r>
            <w:proofErr w:type="spellEnd"/>
            <w:r w:rsidRPr="00DF4CE5">
              <w:rPr>
                <w:rFonts w:ascii="Cambria" w:hAnsi="Cambria" w:cs="Calibri"/>
              </w:rPr>
              <w:tab/>
              <w:t>=</w:t>
            </w:r>
            <w:r w:rsidRPr="00DF4CE5">
              <w:rPr>
                <w:rFonts w:ascii="Cambria" w:hAnsi="Cambria" w:cs="Calibri"/>
              </w:rPr>
              <w:tab/>
            </w:r>
            <w:proofErr w:type="spellStart"/>
            <w:r w:rsidRPr="00DF4CE5">
              <w:rPr>
                <w:rFonts w:ascii="Cambria" w:hAnsi="Cambria" w:cs="Calibri"/>
              </w:rPr>
              <w:t>ocjena</w:t>
            </w:r>
            <w:proofErr w:type="spellEnd"/>
            <w:r w:rsidRPr="00DF4CE5">
              <w:rPr>
                <w:rFonts w:ascii="Cambria" w:hAnsi="Cambria" w:cs="Calibri"/>
              </w:rPr>
              <w:t xml:space="preserve"> 5</w:t>
            </w:r>
          </w:p>
        </w:tc>
      </w:tr>
      <w:tr w:rsidR="002F47E7" w:rsidRPr="00DF4CE5" w14:paraId="3FF83F40" w14:textId="77777777" w:rsidTr="002F47E7">
        <w:tc>
          <w:tcPr>
            <w:tcW w:w="215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E6A23C1" w14:textId="77777777" w:rsidR="002F47E7" w:rsidRPr="00DF4CE5" w:rsidRDefault="002F47E7">
            <w:pPr>
              <w:spacing w:line="256" w:lineRule="auto"/>
              <w:rPr>
                <w:rFonts w:ascii="Cambria" w:hAnsi="Cambria" w:cs="Calibri"/>
              </w:rPr>
            </w:pPr>
            <w:proofErr w:type="spellStart"/>
            <w:r w:rsidRPr="00DF4CE5">
              <w:rPr>
                <w:rFonts w:ascii="Cambria" w:hAnsi="Cambria" w:cs="Calibri"/>
              </w:rPr>
              <w:t>Studentske</w:t>
            </w:r>
            <w:proofErr w:type="spellEnd"/>
            <w:r w:rsidRPr="00DF4CE5">
              <w:rPr>
                <w:rFonts w:ascii="Cambria" w:hAnsi="Cambria" w:cs="Calibri"/>
              </w:rPr>
              <w:t xml:space="preserve"> </w:t>
            </w:r>
            <w:proofErr w:type="spellStart"/>
            <w:r w:rsidRPr="00DF4CE5">
              <w:rPr>
                <w:rFonts w:ascii="Cambria" w:hAnsi="Cambria" w:cs="Calibri"/>
              </w:rPr>
              <w:t>obveze</w:t>
            </w:r>
            <w:proofErr w:type="spellEnd"/>
          </w:p>
        </w:tc>
        <w:tc>
          <w:tcPr>
            <w:tcW w:w="7331"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8EA692D" w14:textId="77777777" w:rsidR="002F47E7" w:rsidRPr="00DF4CE5" w:rsidRDefault="002F47E7" w:rsidP="0008561B">
            <w:pPr>
              <w:spacing w:after="0" w:line="240" w:lineRule="auto"/>
              <w:rPr>
                <w:rFonts w:ascii="Cambria" w:hAnsi="Cambria" w:cs="Calibri"/>
                <w:lang w:val="it-IT"/>
              </w:rPr>
            </w:pPr>
            <w:r w:rsidRPr="00DF4CE5">
              <w:rPr>
                <w:rFonts w:ascii="Cambria" w:hAnsi="Cambria" w:cs="Calibri"/>
                <w:lang w:val="it-IT"/>
              </w:rPr>
              <w:t xml:space="preserve">Da </w:t>
            </w:r>
            <w:proofErr w:type="spellStart"/>
            <w:r w:rsidRPr="00DF4CE5">
              <w:rPr>
                <w:rFonts w:ascii="Cambria" w:hAnsi="Cambria" w:cs="Calibri"/>
                <w:lang w:val="it-IT"/>
              </w:rPr>
              <w:t>položi</w:t>
            </w:r>
            <w:proofErr w:type="spellEnd"/>
            <w:r w:rsidRPr="00DF4CE5">
              <w:rPr>
                <w:rFonts w:ascii="Cambria" w:hAnsi="Cambria" w:cs="Calibri"/>
                <w:lang w:val="it-IT"/>
              </w:rPr>
              <w:t xml:space="preserve"> </w:t>
            </w:r>
            <w:proofErr w:type="spellStart"/>
            <w:r w:rsidRPr="00DF4CE5">
              <w:rPr>
                <w:rFonts w:ascii="Cambria" w:hAnsi="Cambria" w:cs="Calibri"/>
                <w:lang w:val="it-IT"/>
              </w:rPr>
              <w:t>kolegij</w:t>
            </w:r>
            <w:proofErr w:type="spellEnd"/>
            <w:r w:rsidRPr="00DF4CE5">
              <w:rPr>
                <w:rFonts w:ascii="Cambria" w:hAnsi="Cambria" w:cs="Calibri"/>
                <w:lang w:val="it-IT"/>
              </w:rPr>
              <w:t xml:space="preserve">, </w:t>
            </w:r>
            <w:proofErr w:type="spellStart"/>
            <w:r w:rsidRPr="00DF4CE5">
              <w:rPr>
                <w:rFonts w:ascii="Cambria" w:hAnsi="Cambria" w:cs="Calibri"/>
                <w:lang w:val="it-IT"/>
              </w:rPr>
              <w:t>student</w:t>
            </w:r>
            <w:proofErr w:type="spellEnd"/>
            <w:r w:rsidRPr="00DF4CE5">
              <w:rPr>
                <w:rFonts w:ascii="Cambria" w:hAnsi="Cambria" w:cs="Calibri"/>
                <w:lang w:val="it-IT"/>
              </w:rPr>
              <w:t>/</w:t>
            </w:r>
            <w:proofErr w:type="spellStart"/>
            <w:r w:rsidRPr="00DF4CE5">
              <w:rPr>
                <w:rFonts w:ascii="Cambria" w:hAnsi="Cambria" w:cs="Calibri"/>
                <w:lang w:val="it-IT"/>
              </w:rPr>
              <w:t>studentica</w:t>
            </w:r>
            <w:proofErr w:type="spellEnd"/>
            <w:r w:rsidRPr="00DF4CE5">
              <w:rPr>
                <w:rFonts w:ascii="Cambria" w:hAnsi="Cambria" w:cs="Calibri"/>
                <w:lang w:val="it-IT"/>
              </w:rPr>
              <w:t xml:space="preserve"> mora:</w:t>
            </w:r>
          </w:p>
          <w:p w14:paraId="23D19075" w14:textId="77777777" w:rsidR="002F47E7" w:rsidRPr="00DF4CE5" w:rsidRDefault="002F47E7" w:rsidP="0008561B">
            <w:pPr>
              <w:spacing w:after="0" w:line="240" w:lineRule="auto"/>
              <w:rPr>
                <w:rFonts w:ascii="Cambria" w:hAnsi="Cambria" w:cs="Calibri"/>
                <w:lang w:val="it-IT"/>
              </w:rPr>
            </w:pPr>
            <w:r w:rsidRPr="00DF4CE5">
              <w:rPr>
                <w:rFonts w:ascii="Cambria" w:hAnsi="Cambria" w:cs="Calibri"/>
                <w:lang w:val="it-IT"/>
              </w:rPr>
              <w:t xml:space="preserve">1. </w:t>
            </w:r>
            <w:proofErr w:type="spellStart"/>
            <w:r w:rsidRPr="00DF4CE5">
              <w:rPr>
                <w:rFonts w:ascii="Cambria" w:hAnsi="Cambria" w:cs="Calibri"/>
                <w:lang w:val="it-IT"/>
              </w:rPr>
              <w:t>redovito</w:t>
            </w:r>
            <w:proofErr w:type="spellEnd"/>
            <w:r w:rsidRPr="00DF4CE5">
              <w:rPr>
                <w:rFonts w:ascii="Cambria" w:hAnsi="Cambria" w:cs="Calibri"/>
                <w:lang w:val="it-IT"/>
              </w:rPr>
              <w:t xml:space="preserve"> </w:t>
            </w:r>
            <w:proofErr w:type="spellStart"/>
            <w:r w:rsidRPr="00DF4CE5">
              <w:rPr>
                <w:rFonts w:ascii="Cambria" w:hAnsi="Cambria" w:cs="Calibri"/>
                <w:lang w:val="it-IT"/>
              </w:rPr>
              <w:t>pohađati</w:t>
            </w:r>
            <w:proofErr w:type="spellEnd"/>
            <w:r w:rsidRPr="00DF4CE5">
              <w:rPr>
                <w:rFonts w:ascii="Cambria" w:hAnsi="Cambria" w:cs="Calibri"/>
                <w:lang w:val="it-IT"/>
              </w:rPr>
              <w:t xml:space="preserve"> </w:t>
            </w:r>
            <w:proofErr w:type="spellStart"/>
            <w:r w:rsidRPr="00DF4CE5">
              <w:rPr>
                <w:rFonts w:ascii="Cambria" w:hAnsi="Cambria" w:cs="Calibri"/>
                <w:lang w:val="it-IT"/>
              </w:rPr>
              <w:t>nastavu</w:t>
            </w:r>
            <w:proofErr w:type="spellEnd"/>
            <w:r w:rsidRPr="00DF4CE5">
              <w:rPr>
                <w:rFonts w:ascii="Cambria" w:hAnsi="Cambria" w:cs="Calibri"/>
                <w:lang w:val="it-IT"/>
              </w:rPr>
              <w:t xml:space="preserve"> i </w:t>
            </w:r>
            <w:proofErr w:type="spellStart"/>
            <w:r w:rsidRPr="00DF4CE5">
              <w:rPr>
                <w:rFonts w:ascii="Cambria" w:hAnsi="Cambria" w:cs="Calibri"/>
                <w:lang w:val="it-IT"/>
              </w:rPr>
              <w:t>aktivno</w:t>
            </w:r>
            <w:proofErr w:type="spellEnd"/>
            <w:r w:rsidRPr="00DF4CE5">
              <w:rPr>
                <w:rFonts w:ascii="Cambria" w:hAnsi="Cambria" w:cs="Calibri"/>
                <w:lang w:val="it-IT"/>
              </w:rPr>
              <w:t xml:space="preserve"> </w:t>
            </w:r>
            <w:proofErr w:type="spellStart"/>
            <w:r w:rsidRPr="00DF4CE5">
              <w:rPr>
                <w:rFonts w:ascii="Cambria" w:hAnsi="Cambria" w:cs="Calibri"/>
                <w:lang w:val="it-IT"/>
              </w:rPr>
              <w:t>sudjelovati</w:t>
            </w:r>
            <w:proofErr w:type="spellEnd"/>
            <w:r w:rsidRPr="00DF4CE5">
              <w:rPr>
                <w:rFonts w:ascii="Cambria" w:hAnsi="Cambria" w:cs="Calibri"/>
                <w:lang w:val="it-IT"/>
              </w:rPr>
              <w:t xml:space="preserve"> u </w:t>
            </w:r>
            <w:proofErr w:type="spellStart"/>
            <w:r w:rsidRPr="00DF4CE5">
              <w:rPr>
                <w:rFonts w:ascii="Cambria" w:hAnsi="Cambria" w:cs="Calibri"/>
                <w:lang w:val="it-IT"/>
              </w:rPr>
              <w:t>svim</w:t>
            </w:r>
            <w:proofErr w:type="spellEnd"/>
            <w:r w:rsidRPr="00DF4CE5">
              <w:rPr>
                <w:rFonts w:ascii="Cambria" w:hAnsi="Cambria" w:cs="Calibri"/>
                <w:lang w:val="it-IT"/>
              </w:rPr>
              <w:t xml:space="preserve"> </w:t>
            </w:r>
            <w:proofErr w:type="spellStart"/>
            <w:r w:rsidRPr="00DF4CE5">
              <w:rPr>
                <w:rFonts w:ascii="Cambria" w:hAnsi="Cambria" w:cs="Calibri"/>
                <w:lang w:val="it-IT"/>
              </w:rPr>
              <w:t>oblicima</w:t>
            </w:r>
            <w:proofErr w:type="spellEnd"/>
            <w:r w:rsidRPr="00DF4CE5">
              <w:rPr>
                <w:rFonts w:ascii="Cambria" w:hAnsi="Cambria" w:cs="Calibri"/>
                <w:lang w:val="it-IT"/>
              </w:rPr>
              <w:t xml:space="preserve"> </w:t>
            </w:r>
            <w:proofErr w:type="spellStart"/>
            <w:r w:rsidRPr="00DF4CE5">
              <w:rPr>
                <w:rFonts w:ascii="Cambria" w:hAnsi="Cambria" w:cs="Calibri"/>
                <w:lang w:val="it-IT"/>
              </w:rPr>
              <w:t>nastave</w:t>
            </w:r>
            <w:proofErr w:type="spellEnd"/>
            <w:r w:rsidRPr="00DF4CE5">
              <w:rPr>
                <w:rFonts w:ascii="Cambria" w:hAnsi="Cambria" w:cs="Calibri"/>
                <w:lang w:val="it-IT"/>
              </w:rPr>
              <w:t xml:space="preserve"> (</w:t>
            </w:r>
            <w:proofErr w:type="spellStart"/>
            <w:r w:rsidRPr="00DF4CE5">
              <w:rPr>
                <w:rFonts w:ascii="Cambria" w:hAnsi="Cambria" w:cs="Calibri"/>
                <w:lang w:val="it-IT"/>
              </w:rPr>
              <w:t>barem</w:t>
            </w:r>
            <w:proofErr w:type="spellEnd"/>
            <w:r w:rsidRPr="00DF4CE5">
              <w:rPr>
                <w:rFonts w:ascii="Cambria" w:hAnsi="Cambria" w:cs="Calibri"/>
                <w:lang w:val="it-IT"/>
              </w:rPr>
              <w:t xml:space="preserve"> 70% </w:t>
            </w:r>
            <w:proofErr w:type="spellStart"/>
            <w:r w:rsidRPr="00DF4CE5">
              <w:rPr>
                <w:rFonts w:ascii="Cambria" w:hAnsi="Cambria" w:cs="Calibri"/>
                <w:lang w:val="it-IT"/>
              </w:rPr>
              <w:t>prisustva</w:t>
            </w:r>
            <w:proofErr w:type="spellEnd"/>
            <w:r w:rsidRPr="00DF4CE5">
              <w:rPr>
                <w:rFonts w:ascii="Cambria" w:hAnsi="Cambria" w:cs="Calibri"/>
                <w:lang w:val="it-IT"/>
              </w:rPr>
              <w:t>)</w:t>
            </w:r>
          </w:p>
          <w:p w14:paraId="399F9951" w14:textId="77777777" w:rsidR="002F47E7" w:rsidRPr="00DF4CE5" w:rsidRDefault="002F47E7" w:rsidP="0008561B">
            <w:pPr>
              <w:spacing w:after="0" w:line="240" w:lineRule="auto"/>
              <w:rPr>
                <w:rFonts w:ascii="Cambria" w:hAnsi="Cambria" w:cs="Calibri"/>
                <w:lang w:val="it-IT"/>
              </w:rPr>
            </w:pPr>
            <w:r w:rsidRPr="00DF4CE5">
              <w:rPr>
                <w:rFonts w:ascii="Cambria" w:hAnsi="Cambria" w:cs="Calibri"/>
                <w:lang w:val="it-IT"/>
              </w:rPr>
              <w:t xml:space="preserve">2. </w:t>
            </w:r>
            <w:proofErr w:type="spellStart"/>
            <w:r w:rsidRPr="00DF4CE5">
              <w:rPr>
                <w:rFonts w:ascii="Cambria" w:hAnsi="Cambria" w:cs="Calibri"/>
                <w:lang w:val="it-IT"/>
              </w:rPr>
              <w:t>zadovoljiti</w:t>
            </w:r>
            <w:proofErr w:type="spellEnd"/>
            <w:r w:rsidRPr="00DF4CE5">
              <w:rPr>
                <w:rFonts w:ascii="Cambria" w:hAnsi="Cambria" w:cs="Calibri"/>
                <w:lang w:val="it-IT"/>
              </w:rPr>
              <w:t xml:space="preserve"> </w:t>
            </w:r>
            <w:proofErr w:type="spellStart"/>
            <w:r w:rsidRPr="00DF4CE5">
              <w:rPr>
                <w:rFonts w:ascii="Cambria" w:hAnsi="Cambria" w:cs="Calibri"/>
                <w:lang w:val="it-IT"/>
              </w:rPr>
              <w:t>na</w:t>
            </w:r>
            <w:proofErr w:type="spellEnd"/>
            <w:r w:rsidRPr="00DF4CE5">
              <w:rPr>
                <w:rFonts w:ascii="Cambria" w:hAnsi="Cambria" w:cs="Calibri"/>
                <w:lang w:val="it-IT"/>
              </w:rPr>
              <w:t xml:space="preserve"> </w:t>
            </w:r>
            <w:proofErr w:type="spellStart"/>
            <w:r w:rsidRPr="00DF4CE5">
              <w:rPr>
                <w:rFonts w:ascii="Cambria" w:hAnsi="Cambria" w:cs="Calibri"/>
                <w:lang w:val="it-IT"/>
              </w:rPr>
              <w:t>dva</w:t>
            </w:r>
            <w:proofErr w:type="spellEnd"/>
            <w:r w:rsidRPr="00DF4CE5">
              <w:rPr>
                <w:rFonts w:ascii="Cambria" w:hAnsi="Cambria" w:cs="Calibri"/>
                <w:lang w:val="it-IT"/>
              </w:rPr>
              <w:t xml:space="preserve"> </w:t>
            </w:r>
            <w:proofErr w:type="spellStart"/>
            <w:r w:rsidRPr="00DF4CE5">
              <w:rPr>
                <w:rFonts w:ascii="Cambria" w:hAnsi="Cambria" w:cs="Calibri"/>
                <w:lang w:val="it-IT"/>
              </w:rPr>
              <w:t>pismena</w:t>
            </w:r>
            <w:proofErr w:type="spellEnd"/>
            <w:r w:rsidRPr="00DF4CE5">
              <w:rPr>
                <w:rFonts w:ascii="Cambria" w:hAnsi="Cambria" w:cs="Calibri"/>
                <w:lang w:val="it-IT"/>
              </w:rPr>
              <w:t xml:space="preserve"> </w:t>
            </w:r>
            <w:proofErr w:type="spellStart"/>
            <w:r w:rsidRPr="00DF4CE5">
              <w:rPr>
                <w:rFonts w:ascii="Cambria" w:hAnsi="Cambria" w:cs="Calibri"/>
                <w:lang w:val="it-IT"/>
              </w:rPr>
              <w:t>kolokvija</w:t>
            </w:r>
            <w:proofErr w:type="spellEnd"/>
            <w:r w:rsidRPr="00DF4CE5">
              <w:rPr>
                <w:rFonts w:ascii="Cambria" w:hAnsi="Cambria" w:cs="Calibri"/>
                <w:lang w:val="it-IT"/>
              </w:rPr>
              <w:t xml:space="preserve"> (</w:t>
            </w:r>
            <w:proofErr w:type="spellStart"/>
            <w:r w:rsidRPr="00DF4CE5">
              <w:rPr>
                <w:rFonts w:ascii="Cambria" w:hAnsi="Cambria" w:cs="Calibri"/>
                <w:lang w:val="it-IT"/>
              </w:rPr>
              <w:t>barem</w:t>
            </w:r>
            <w:proofErr w:type="spellEnd"/>
            <w:r w:rsidRPr="00DF4CE5">
              <w:rPr>
                <w:rFonts w:ascii="Cambria" w:hAnsi="Cambria" w:cs="Calibri"/>
                <w:lang w:val="it-IT"/>
              </w:rPr>
              <w:t xml:space="preserve"> 50% </w:t>
            </w:r>
            <w:proofErr w:type="spellStart"/>
            <w:r w:rsidRPr="00DF4CE5">
              <w:rPr>
                <w:rFonts w:ascii="Cambria" w:hAnsi="Cambria" w:cs="Calibri"/>
                <w:lang w:val="it-IT"/>
              </w:rPr>
              <w:t>bodova</w:t>
            </w:r>
            <w:proofErr w:type="spellEnd"/>
            <w:r w:rsidRPr="00DF4CE5">
              <w:rPr>
                <w:rFonts w:ascii="Cambria" w:hAnsi="Cambria" w:cs="Calibri"/>
                <w:lang w:val="it-IT"/>
              </w:rPr>
              <w:t xml:space="preserve"> </w:t>
            </w:r>
            <w:proofErr w:type="spellStart"/>
            <w:r w:rsidRPr="00DF4CE5">
              <w:rPr>
                <w:rFonts w:ascii="Cambria" w:hAnsi="Cambria" w:cs="Calibri"/>
                <w:lang w:val="it-IT"/>
              </w:rPr>
              <w:t>po</w:t>
            </w:r>
            <w:proofErr w:type="spellEnd"/>
            <w:r w:rsidRPr="00DF4CE5">
              <w:rPr>
                <w:rFonts w:ascii="Cambria" w:hAnsi="Cambria" w:cs="Calibri"/>
                <w:lang w:val="it-IT"/>
              </w:rPr>
              <w:t xml:space="preserve"> </w:t>
            </w:r>
            <w:proofErr w:type="spellStart"/>
            <w:r w:rsidRPr="00DF4CE5">
              <w:rPr>
                <w:rFonts w:ascii="Cambria" w:hAnsi="Cambria" w:cs="Calibri"/>
                <w:lang w:val="it-IT"/>
              </w:rPr>
              <w:t>svakom</w:t>
            </w:r>
            <w:proofErr w:type="spellEnd"/>
            <w:r w:rsidRPr="00DF4CE5">
              <w:rPr>
                <w:rFonts w:ascii="Cambria" w:hAnsi="Cambria" w:cs="Calibri"/>
                <w:lang w:val="it-IT"/>
              </w:rPr>
              <w:t xml:space="preserve"> </w:t>
            </w:r>
            <w:proofErr w:type="spellStart"/>
            <w:r w:rsidRPr="00DF4CE5">
              <w:rPr>
                <w:rFonts w:ascii="Cambria" w:hAnsi="Cambria" w:cs="Calibri"/>
                <w:lang w:val="it-IT"/>
              </w:rPr>
              <w:t>kolokviju</w:t>
            </w:r>
            <w:proofErr w:type="spellEnd"/>
            <w:r w:rsidRPr="00DF4CE5">
              <w:rPr>
                <w:rFonts w:ascii="Cambria" w:hAnsi="Cambria" w:cs="Calibri"/>
                <w:lang w:val="it-IT"/>
              </w:rPr>
              <w:t>)</w:t>
            </w:r>
          </w:p>
          <w:p w14:paraId="3AC996D6" w14:textId="77777777" w:rsidR="002F47E7" w:rsidRPr="00DF4CE5" w:rsidRDefault="002F47E7" w:rsidP="0008561B">
            <w:pPr>
              <w:spacing w:after="0" w:line="240" w:lineRule="auto"/>
              <w:rPr>
                <w:rFonts w:ascii="Cambria" w:hAnsi="Cambria" w:cs="Calibri"/>
                <w:lang w:val="it-IT"/>
              </w:rPr>
            </w:pPr>
            <w:r w:rsidRPr="00DF4CE5">
              <w:rPr>
                <w:rFonts w:ascii="Cambria" w:hAnsi="Cambria" w:cs="Calibri"/>
                <w:lang w:val="it-IT"/>
              </w:rPr>
              <w:t xml:space="preserve">3. </w:t>
            </w:r>
            <w:proofErr w:type="spellStart"/>
            <w:r w:rsidRPr="00DF4CE5">
              <w:rPr>
                <w:rFonts w:ascii="Cambria" w:hAnsi="Cambria" w:cs="Calibri"/>
                <w:lang w:val="it-IT"/>
              </w:rPr>
              <w:t>zadovoljiti</w:t>
            </w:r>
            <w:proofErr w:type="spellEnd"/>
            <w:r w:rsidRPr="00DF4CE5">
              <w:rPr>
                <w:rFonts w:ascii="Cambria" w:hAnsi="Cambria" w:cs="Calibri"/>
                <w:lang w:val="it-IT"/>
              </w:rPr>
              <w:t xml:space="preserve"> </w:t>
            </w:r>
            <w:proofErr w:type="spellStart"/>
            <w:r w:rsidRPr="00DF4CE5">
              <w:rPr>
                <w:rFonts w:ascii="Cambria" w:hAnsi="Cambria" w:cs="Calibri"/>
                <w:lang w:val="it-IT"/>
              </w:rPr>
              <w:t>na</w:t>
            </w:r>
            <w:proofErr w:type="spellEnd"/>
            <w:r w:rsidRPr="00DF4CE5">
              <w:rPr>
                <w:rFonts w:ascii="Cambria" w:hAnsi="Cambria" w:cs="Calibri"/>
                <w:lang w:val="it-IT"/>
              </w:rPr>
              <w:t xml:space="preserve"> </w:t>
            </w:r>
            <w:proofErr w:type="spellStart"/>
            <w:r w:rsidRPr="00DF4CE5">
              <w:rPr>
                <w:rFonts w:ascii="Cambria" w:hAnsi="Cambria" w:cs="Calibri"/>
                <w:lang w:val="it-IT"/>
              </w:rPr>
              <w:t>usmenom</w:t>
            </w:r>
            <w:proofErr w:type="spellEnd"/>
            <w:r w:rsidRPr="00DF4CE5">
              <w:rPr>
                <w:rFonts w:ascii="Cambria" w:hAnsi="Cambria" w:cs="Calibri"/>
                <w:lang w:val="it-IT"/>
              </w:rPr>
              <w:t xml:space="preserve"> </w:t>
            </w:r>
            <w:proofErr w:type="spellStart"/>
            <w:r w:rsidRPr="00DF4CE5">
              <w:rPr>
                <w:rFonts w:ascii="Cambria" w:hAnsi="Cambria" w:cs="Calibri"/>
                <w:lang w:val="it-IT"/>
              </w:rPr>
              <w:t>ispitu</w:t>
            </w:r>
            <w:proofErr w:type="spellEnd"/>
          </w:p>
          <w:p w14:paraId="62AC647C" w14:textId="77777777" w:rsidR="002F47E7" w:rsidRPr="00DF4CE5" w:rsidRDefault="002F47E7" w:rsidP="0008561B">
            <w:pPr>
              <w:spacing w:after="0" w:line="240" w:lineRule="auto"/>
              <w:rPr>
                <w:rFonts w:ascii="Cambria" w:hAnsi="Cambria" w:cs="Calibri"/>
                <w:lang w:val="it-IT"/>
              </w:rPr>
            </w:pPr>
            <w:r w:rsidRPr="00DF4CE5">
              <w:rPr>
                <w:rFonts w:ascii="Cambria" w:hAnsi="Cambria" w:cs="Calibri"/>
                <w:lang w:val="it-IT"/>
              </w:rPr>
              <w:t>ILI</w:t>
            </w:r>
          </w:p>
          <w:p w14:paraId="0A97D399" w14:textId="77777777" w:rsidR="002F47E7" w:rsidRPr="00DF4CE5" w:rsidRDefault="002F47E7" w:rsidP="0008561B">
            <w:pPr>
              <w:spacing w:after="0" w:line="240" w:lineRule="auto"/>
              <w:rPr>
                <w:rFonts w:ascii="Cambria" w:hAnsi="Cambria" w:cs="Calibri"/>
                <w:lang w:val="it-IT"/>
              </w:rPr>
            </w:pPr>
            <w:r w:rsidRPr="00DF4CE5">
              <w:rPr>
                <w:rFonts w:ascii="Cambria" w:hAnsi="Cambria" w:cs="Calibri"/>
                <w:lang w:val="it-IT"/>
              </w:rPr>
              <w:t xml:space="preserve">1. </w:t>
            </w:r>
            <w:proofErr w:type="spellStart"/>
            <w:r w:rsidRPr="00DF4CE5">
              <w:rPr>
                <w:rFonts w:ascii="Cambria" w:hAnsi="Cambria" w:cs="Calibri"/>
                <w:lang w:val="it-IT"/>
              </w:rPr>
              <w:t>redovito</w:t>
            </w:r>
            <w:proofErr w:type="spellEnd"/>
            <w:r w:rsidRPr="00DF4CE5">
              <w:rPr>
                <w:rFonts w:ascii="Cambria" w:hAnsi="Cambria" w:cs="Calibri"/>
                <w:lang w:val="it-IT"/>
              </w:rPr>
              <w:t xml:space="preserve"> </w:t>
            </w:r>
            <w:proofErr w:type="spellStart"/>
            <w:r w:rsidRPr="00DF4CE5">
              <w:rPr>
                <w:rFonts w:ascii="Cambria" w:hAnsi="Cambria" w:cs="Calibri"/>
                <w:lang w:val="it-IT"/>
              </w:rPr>
              <w:t>pohađati</w:t>
            </w:r>
            <w:proofErr w:type="spellEnd"/>
            <w:r w:rsidRPr="00DF4CE5">
              <w:rPr>
                <w:rFonts w:ascii="Cambria" w:hAnsi="Cambria" w:cs="Calibri"/>
                <w:lang w:val="it-IT"/>
              </w:rPr>
              <w:t xml:space="preserve"> </w:t>
            </w:r>
            <w:proofErr w:type="spellStart"/>
            <w:r w:rsidRPr="00DF4CE5">
              <w:rPr>
                <w:rFonts w:ascii="Cambria" w:hAnsi="Cambria" w:cs="Calibri"/>
                <w:lang w:val="it-IT"/>
              </w:rPr>
              <w:t>nastavu</w:t>
            </w:r>
            <w:proofErr w:type="spellEnd"/>
            <w:r w:rsidRPr="00DF4CE5">
              <w:rPr>
                <w:rFonts w:ascii="Cambria" w:hAnsi="Cambria" w:cs="Calibri"/>
                <w:lang w:val="it-IT"/>
              </w:rPr>
              <w:t xml:space="preserve"> i </w:t>
            </w:r>
            <w:proofErr w:type="spellStart"/>
            <w:r w:rsidRPr="00DF4CE5">
              <w:rPr>
                <w:rFonts w:ascii="Cambria" w:hAnsi="Cambria" w:cs="Calibri"/>
                <w:lang w:val="it-IT"/>
              </w:rPr>
              <w:t>aktivno</w:t>
            </w:r>
            <w:proofErr w:type="spellEnd"/>
            <w:r w:rsidRPr="00DF4CE5">
              <w:rPr>
                <w:rFonts w:ascii="Cambria" w:hAnsi="Cambria" w:cs="Calibri"/>
                <w:lang w:val="it-IT"/>
              </w:rPr>
              <w:t xml:space="preserve"> </w:t>
            </w:r>
            <w:proofErr w:type="spellStart"/>
            <w:r w:rsidRPr="00DF4CE5">
              <w:rPr>
                <w:rFonts w:ascii="Cambria" w:hAnsi="Cambria" w:cs="Calibri"/>
                <w:lang w:val="it-IT"/>
              </w:rPr>
              <w:t>sudjelovati</w:t>
            </w:r>
            <w:proofErr w:type="spellEnd"/>
            <w:r w:rsidRPr="00DF4CE5">
              <w:rPr>
                <w:rFonts w:ascii="Cambria" w:hAnsi="Cambria" w:cs="Calibri"/>
                <w:lang w:val="it-IT"/>
              </w:rPr>
              <w:t xml:space="preserve"> u </w:t>
            </w:r>
            <w:proofErr w:type="spellStart"/>
            <w:r w:rsidRPr="00DF4CE5">
              <w:rPr>
                <w:rFonts w:ascii="Cambria" w:hAnsi="Cambria" w:cs="Calibri"/>
                <w:lang w:val="it-IT"/>
              </w:rPr>
              <w:t>svim</w:t>
            </w:r>
            <w:proofErr w:type="spellEnd"/>
            <w:r w:rsidRPr="00DF4CE5">
              <w:rPr>
                <w:rFonts w:ascii="Cambria" w:hAnsi="Cambria" w:cs="Calibri"/>
                <w:lang w:val="it-IT"/>
              </w:rPr>
              <w:t xml:space="preserve"> </w:t>
            </w:r>
            <w:proofErr w:type="spellStart"/>
            <w:r w:rsidRPr="00DF4CE5">
              <w:rPr>
                <w:rFonts w:ascii="Cambria" w:hAnsi="Cambria" w:cs="Calibri"/>
                <w:lang w:val="it-IT"/>
              </w:rPr>
              <w:t>oblicima</w:t>
            </w:r>
            <w:proofErr w:type="spellEnd"/>
            <w:r w:rsidRPr="00DF4CE5">
              <w:rPr>
                <w:rFonts w:ascii="Cambria" w:hAnsi="Cambria" w:cs="Calibri"/>
                <w:lang w:val="it-IT"/>
              </w:rPr>
              <w:t xml:space="preserve"> </w:t>
            </w:r>
            <w:proofErr w:type="spellStart"/>
            <w:r w:rsidRPr="00DF4CE5">
              <w:rPr>
                <w:rFonts w:ascii="Cambria" w:hAnsi="Cambria" w:cs="Calibri"/>
                <w:lang w:val="it-IT"/>
              </w:rPr>
              <w:t>nastave</w:t>
            </w:r>
            <w:proofErr w:type="spellEnd"/>
            <w:r w:rsidRPr="00DF4CE5">
              <w:rPr>
                <w:rFonts w:ascii="Cambria" w:hAnsi="Cambria" w:cs="Calibri"/>
                <w:lang w:val="it-IT"/>
              </w:rPr>
              <w:t xml:space="preserve"> (</w:t>
            </w:r>
            <w:proofErr w:type="spellStart"/>
            <w:r w:rsidRPr="00DF4CE5">
              <w:rPr>
                <w:rFonts w:ascii="Cambria" w:hAnsi="Cambria" w:cs="Calibri"/>
                <w:lang w:val="it-IT"/>
              </w:rPr>
              <w:t>barem</w:t>
            </w:r>
            <w:proofErr w:type="spellEnd"/>
            <w:r w:rsidRPr="00DF4CE5">
              <w:rPr>
                <w:rFonts w:ascii="Cambria" w:hAnsi="Cambria" w:cs="Calibri"/>
                <w:lang w:val="it-IT"/>
              </w:rPr>
              <w:t xml:space="preserve"> 70% </w:t>
            </w:r>
            <w:proofErr w:type="spellStart"/>
            <w:r w:rsidRPr="00DF4CE5">
              <w:rPr>
                <w:rFonts w:ascii="Cambria" w:hAnsi="Cambria" w:cs="Calibri"/>
                <w:lang w:val="it-IT"/>
              </w:rPr>
              <w:t>prisustva</w:t>
            </w:r>
            <w:proofErr w:type="spellEnd"/>
            <w:r w:rsidRPr="00DF4CE5">
              <w:rPr>
                <w:rFonts w:ascii="Cambria" w:hAnsi="Cambria" w:cs="Calibri"/>
                <w:lang w:val="it-IT"/>
              </w:rPr>
              <w:t>)</w:t>
            </w:r>
          </w:p>
          <w:p w14:paraId="7D9D534B" w14:textId="77777777" w:rsidR="002F47E7" w:rsidRPr="00DF4CE5" w:rsidRDefault="002F47E7" w:rsidP="0008561B">
            <w:pPr>
              <w:spacing w:after="0" w:line="240" w:lineRule="auto"/>
              <w:rPr>
                <w:rFonts w:ascii="Cambria" w:hAnsi="Cambria" w:cs="Calibri"/>
                <w:lang w:val="it-IT"/>
              </w:rPr>
            </w:pPr>
            <w:r w:rsidRPr="00DF4CE5">
              <w:rPr>
                <w:rFonts w:ascii="Cambria" w:hAnsi="Cambria" w:cs="Calibri"/>
                <w:lang w:val="it-IT"/>
              </w:rPr>
              <w:t xml:space="preserve">2. </w:t>
            </w:r>
            <w:proofErr w:type="spellStart"/>
            <w:r w:rsidRPr="00DF4CE5">
              <w:rPr>
                <w:rFonts w:ascii="Cambria" w:hAnsi="Cambria" w:cs="Calibri"/>
                <w:lang w:val="it-IT"/>
              </w:rPr>
              <w:t>zadovoljiti</w:t>
            </w:r>
            <w:proofErr w:type="spellEnd"/>
            <w:r w:rsidRPr="00DF4CE5">
              <w:rPr>
                <w:rFonts w:ascii="Cambria" w:hAnsi="Cambria" w:cs="Calibri"/>
                <w:lang w:val="it-IT"/>
              </w:rPr>
              <w:t xml:space="preserve"> </w:t>
            </w:r>
            <w:proofErr w:type="spellStart"/>
            <w:r w:rsidRPr="00DF4CE5">
              <w:rPr>
                <w:rFonts w:ascii="Cambria" w:hAnsi="Cambria" w:cs="Calibri"/>
                <w:lang w:val="it-IT"/>
              </w:rPr>
              <w:t>na</w:t>
            </w:r>
            <w:proofErr w:type="spellEnd"/>
            <w:r w:rsidRPr="00DF4CE5">
              <w:rPr>
                <w:rFonts w:ascii="Cambria" w:hAnsi="Cambria" w:cs="Calibri"/>
                <w:lang w:val="it-IT"/>
              </w:rPr>
              <w:t xml:space="preserve"> </w:t>
            </w:r>
            <w:proofErr w:type="spellStart"/>
            <w:r w:rsidRPr="00DF4CE5">
              <w:rPr>
                <w:rFonts w:ascii="Cambria" w:hAnsi="Cambria" w:cs="Calibri"/>
                <w:lang w:val="it-IT"/>
              </w:rPr>
              <w:t>pismenom</w:t>
            </w:r>
            <w:proofErr w:type="spellEnd"/>
            <w:r w:rsidRPr="00DF4CE5">
              <w:rPr>
                <w:rFonts w:ascii="Cambria" w:hAnsi="Cambria" w:cs="Calibri"/>
                <w:lang w:val="it-IT"/>
              </w:rPr>
              <w:t xml:space="preserve"> </w:t>
            </w:r>
            <w:proofErr w:type="spellStart"/>
            <w:proofErr w:type="gramStart"/>
            <w:r w:rsidRPr="00DF4CE5">
              <w:rPr>
                <w:rFonts w:ascii="Cambria" w:hAnsi="Cambria" w:cs="Calibri"/>
                <w:lang w:val="it-IT"/>
              </w:rPr>
              <w:t>ispitu</w:t>
            </w:r>
            <w:proofErr w:type="spellEnd"/>
            <w:r w:rsidRPr="00DF4CE5">
              <w:rPr>
                <w:rFonts w:ascii="Cambria" w:hAnsi="Cambria" w:cs="Calibri"/>
                <w:lang w:val="it-IT"/>
              </w:rPr>
              <w:t>(</w:t>
            </w:r>
            <w:proofErr w:type="spellStart"/>
            <w:proofErr w:type="gramEnd"/>
            <w:r w:rsidRPr="00DF4CE5">
              <w:rPr>
                <w:rFonts w:ascii="Cambria" w:hAnsi="Cambria" w:cs="Calibri"/>
                <w:lang w:val="it-IT"/>
              </w:rPr>
              <w:t>barem</w:t>
            </w:r>
            <w:proofErr w:type="spellEnd"/>
            <w:r w:rsidRPr="00DF4CE5">
              <w:rPr>
                <w:rFonts w:ascii="Cambria" w:hAnsi="Cambria" w:cs="Calibri"/>
                <w:lang w:val="it-IT"/>
              </w:rPr>
              <w:t xml:space="preserve"> 50% </w:t>
            </w:r>
            <w:proofErr w:type="spellStart"/>
            <w:r w:rsidRPr="00DF4CE5">
              <w:rPr>
                <w:rFonts w:ascii="Cambria" w:hAnsi="Cambria" w:cs="Calibri"/>
                <w:lang w:val="it-IT"/>
              </w:rPr>
              <w:t>bodova</w:t>
            </w:r>
            <w:proofErr w:type="spellEnd"/>
            <w:r w:rsidRPr="00DF4CE5">
              <w:rPr>
                <w:rFonts w:ascii="Cambria" w:hAnsi="Cambria" w:cs="Calibri"/>
                <w:lang w:val="it-IT"/>
              </w:rPr>
              <w:t>)</w:t>
            </w:r>
          </w:p>
          <w:p w14:paraId="179165BA" w14:textId="58EBEE23" w:rsidR="002F47E7" w:rsidRPr="00DF4CE5" w:rsidRDefault="002F47E7" w:rsidP="0008561B">
            <w:pPr>
              <w:spacing w:after="0" w:line="240" w:lineRule="auto"/>
              <w:rPr>
                <w:rFonts w:ascii="Cambria" w:hAnsi="Cambria" w:cs="Calibri"/>
              </w:rPr>
            </w:pPr>
            <w:r w:rsidRPr="00DF4CE5">
              <w:rPr>
                <w:rFonts w:ascii="Cambria" w:hAnsi="Cambria" w:cs="Calibri"/>
              </w:rPr>
              <w:t xml:space="preserve">3. </w:t>
            </w:r>
            <w:proofErr w:type="spellStart"/>
            <w:r w:rsidRPr="00DF4CE5">
              <w:rPr>
                <w:rFonts w:ascii="Cambria" w:hAnsi="Cambria" w:cs="Calibri"/>
              </w:rPr>
              <w:t>zadovoljiti</w:t>
            </w:r>
            <w:proofErr w:type="spellEnd"/>
            <w:r w:rsidRPr="00DF4CE5">
              <w:rPr>
                <w:rFonts w:ascii="Cambria" w:hAnsi="Cambria" w:cs="Calibri"/>
              </w:rPr>
              <w:t xml:space="preserve"> </w:t>
            </w:r>
            <w:proofErr w:type="spellStart"/>
            <w:r w:rsidRPr="00DF4CE5">
              <w:rPr>
                <w:rFonts w:ascii="Cambria" w:hAnsi="Cambria" w:cs="Calibri"/>
              </w:rPr>
              <w:t>na</w:t>
            </w:r>
            <w:proofErr w:type="spellEnd"/>
            <w:r w:rsidRPr="00DF4CE5">
              <w:rPr>
                <w:rFonts w:ascii="Cambria" w:hAnsi="Cambria" w:cs="Calibri"/>
              </w:rPr>
              <w:t xml:space="preserve"> </w:t>
            </w:r>
            <w:proofErr w:type="spellStart"/>
            <w:r w:rsidRPr="00DF4CE5">
              <w:rPr>
                <w:rFonts w:ascii="Cambria" w:hAnsi="Cambria" w:cs="Calibri"/>
              </w:rPr>
              <w:t>usmenom</w:t>
            </w:r>
            <w:proofErr w:type="spellEnd"/>
            <w:r w:rsidRPr="00DF4CE5">
              <w:rPr>
                <w:rFonts w:ascii="Cambria" w:hAnsi="Cambria" w:cs="Calibri"/>
              </w:rPr>
              <w:t xml:space="preserve"> </w:t>
            </w:r>
            <w:proofErr w:type="spellStart"/>
            <w:r w:rsidRPr="00DF4CE5">
              <w:rPr>
                <w:rFonts w:ascii="Cambria" w:hAnsi="Cambria" w:cs="Calibri"/>
              </w:rPr>
              <w:t>ispitu</w:t>
            </w:r>
            <w:proofErr w:type="spellEnd"/>
            <w:r w:rsidR="0008561B">
              <w:rPr>
                <w:rFonts w:ascii="Cambria" w:hAnsi="Cambria" w:cs="Calibri"/>
              </w:rPr>
              <w:t xml:space="preserve">. </w:t>
            </w:r>
          </w:p>
        </w:tc>
      </w:tr>
      <w:tr w:rsidR="002F47E7" w:rsidRPr="00D0399C" w14:paraId="5DFFE2DB" w14:textId="77777777" w:rsidTr="002F47E7">
        <w:trPr>
          <w:trHeight w:val="645"/>
        </w:trPr>
        <w:tc>
          <w:tcPr>
            <w:tcW w:w="215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19F5A4F" w14:textId="77777777" w:rsidR="002F47E7" w:rsidRPr="00DF4CE5" w:rsidRDefault="002F47E7">
            <w:pPr>
              <w:spacing w:line="256" w:lineRule="auto"/>
              <w:rPr>
                <w:rFonts w:ascii="Cambria" w:hAnsi="Cambria" w:cs="Calibri"/>
              </w:rPr>
            </w:pPr>
            <w:proofErr w:type="spellStart"/>
            <w:r w:rsidRPr="00DF4CE5">
              <w:rPr>
                <w:rFonts w:ascii="Cambria" w:hAnsi="Cambria" w:cs="Calibri"/>
              </w:rPr>
              <w:t>Rokovi</w:t>
            </w:r>
            <w:proofErr w:type="spellEnd"/>
            <w:r w:rsidRPr="00DF4CE5">
              <w:rPr>
                <w:rFonts w:ascii="Cambria" w:hAnsi="Cambria" w:cs="Calibri"/>
              </w:rPr>
              <w:t xml:space="preserve"> </w:t>
            </w:r>
            <w:proofErr w:type="spellStart"/>
            <w:r w:rsidRPr="00DF4CE5">
              <w:rPr>
                <w:rFonts w:ascii="Cambria" w:hAnsi="Cambria" w:cs="Calibri"/>
              </w:rPr>
              <w:t>ispita</w:t>
            </w:r>
            <w:proofErr w:type="spellEnd"/>
            <w:r w:rsidRPr="00DF4CE5">
              <w:rPr>
                <w:rFonts w:ascii="Cambria" w:hAnsi="Cambria" w:cs="Calibri"/>
              </w:rPr>
              <w:t xml:space="preserve"> </w:t>
            </w:r>
          </w:p>
        </w:tc>
        <w:tc>
          <w:tcPr>
            <w:tcW w:w="7331"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9585D4B" w14:textId="77777777" w:rsidR="002F47E7" w:rsidRPr="00DF4CE5" w:rsidRDefault="002F47E7" w:rsidP="0008561B">
            <w:pPr>
              <w:spacing w:after="0" w:line="240" w:lineRule="auto"/>
              <w:rPr>
                <w:rFonts w:ascii="Cambria" w:hAnsi="Cambria" w:cs="Calibri"/>
                <w:lang w:val="it-IT"/>
              </w:rPr>
            </w:pPr>
            <w:proofErr w:type="spellStart"/>
            <w:r w:rsidRPr="00DF4CE5">
              <w:rPr>
                <w:rFonts w:ascii="Cambria" w:hAnsi="Cambria" w:cs="Calibri"/>
                <w:lang w:val="it-IT"/>
              </w:rPr>
              <w:t>Datumi</w:t>
            </w:r>
            <w:proofErr w:type="spellEnd"/>
            <w:r w:rsidRPr="00DF4CE5">
              <w:rPr>
                <w:rFonts w:ascii="Cambria" w:hAnsi="Cambria" w:cs="Calibri"/>
                <w:lang w:val="it-IT"/>
              </w:rPr>
              <w:t xml:space="preserve"> </w:t>
            </w:r>
            <w:proofErr w:type="spellStart"/>
            <w:r w:rsidRPr="00DF4CE5">
              <w:rPr>
                <w:rFonts w:ascii="Cambria" w:hAnsi="Cambria" w:cs="Calibri"/>
                <w:lang w:val="it-IT"/>
              </w:rPr>
              <w:t>dostupni</w:t>
            </w:r>
            <w:proofErr w:type="spellEnd"/>
            <w:r w:rsidRPr="00DF4CE5">
              <w:rPr>
                <w:rFonts w:ascii="Cambria" w:hAnsi="Cambria" w:cs="Calibri"/>
                <w:lang w:val="it-IT"/>
              </w:rPr>
              <w:t xml:space="preserve"> </w:t>
            </w:r>
            <w:proofErr w:type="spellStart"/>
            <w:r w:rsidRPr="00DF4CE5">
              <w:rPr>
                <w:rFonts w:ascii="Cambria" w:hAnsi="Cambria" w:cs="Calibri"/>
                <w:lang w:val="it-IT"/>
              </w:rPr>
              <w:t>na</w:t>
            </w:r>
            <w:proofErr w:type="spellEnd"/>
            <w:r w:rsidRPr="00DF4CE5">
              <w:rPr>
                <w:rFonts w:ascii="Cambria" w:hAnsi="Cambria" w:cs="Calibri"/>
                <w:lang w:val="it-IT"/>
              </w:rPr>
              <w:t xml:space="preserve"> </w:t>
            </w:r>
            <w:proofErr w:type="spellStart"/>
            <w:r w:rsidRPr="00DF4CE5">
              <w:rPr>
                <w:rFonts w:ascii="Cambria" w:hAnsi="Cambria" w:cs="Calibri"/>
                <w:lang w:val="it-IT"/>
              </w:rPr>
              <w:t>mrežnim</w:t>
            </w:r>
            <w:proofErr w:type="spellEnd"/>
            <w:r w:rsidRPr="00DF4CE5">
              <w:rPr>
                <w:rFonts w:ascii="Cambria" w:hAnsi="Cambria" w:cs="Calibri"/>
                <w:lang w:val="it-IT"/>
              </w:rPr>
              <w:t xml:space="preserve"> </w:t>
            </w:r>
            <w:proofErr w:type="spellStart"/>
            <w:r w:rsidRPr="00DF4CE5">
              <w:rPr>
                <w:rFonts w:ascii="Cambria" w:hAnsi="Cambria" w:cs="Calibri"/>
                <w:lang w:val="it-IT"/>
              </w:rPr>
              <w:t>stranicama</w:t>
            </w:r>
            <w:proofErr w:type="spellEnd"/>
            <w:r w:rsidRPr="00DF4CE5">
              <w:rPr>
                <w:rFonts w:ascii="Cambria" w:hAnsi="Cambria" w:cs="Calibri"/>
                <w:lang w:val="it-IT"/>
              </w:rPr>
              <w:t xml:space="preserve"> </w:t>
            </w:r>
            <w:proofErr w:type="spellStart"/>
            <w:r w:rsidRPr="00DF4CE5">
              <w:rPr>
                <w:rFonts w:ascii="Cambria" w:hAnsi="Cambria" w:cs="Calibri"/>
                <w:lang w:val="it-IT"/>
              </w:rPr>
              <w:t>Odjela</w:t>
            </w:r>
            <w:proofErr w:type="spellEnd"/>
            <w:r w:rsidRPr="00DF4CE5">
              <w:rPr>
                <w:rFonts w:ascii="Cambria" w:hAnsi="Cambria" w:cs="Calibri"/>
                <w:lang w:val="it-IT"/>
              </w:rPr>
              <w:t xml:space="preserve"> i ISVU </w:t>
            </w:r>
            <w:proofErr w:type="spellStart"/>
            <w:r w:rsidRPr="00DF4CE5">
              <w:rPr>
                <w:rFonts w:ascii="Cambria" w:hAnsi="Cambria" w:cs="Calibri"/>
                <w:lang w:val="it-IT"/>
              </w:rPr>
              <w:t>bazi</w:t>
            </w:r>
            <w:proofErr w:type="spellEnd"/>
            <w:r w:rsidRPr="00DF4CE5">
              <w:rPr>
                <w:rFonts w:ascii="Cambria" w:hAnsi="Cambria" w:cs="Calibri"/>
                <w:lang w:val="it-IT"/>
              </w:rPr>
              <w:t>.</w:t>
            </w:r>
          </w:p>
        </w:tc>
      </w:tr>
      <w:tr w:rsidR="002F47E7" w:rsidRPr="00DF4CE5" w14:paraId="64623B4F" w14:textId="77777777" w:rsidTr="002F47E7">
        <w:tc>
          <w:tcPr>
            <w:tcW w:w="215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CAED8E1" w14:textId="77777777" w:rsidR="002F47E7" w:rsidRPr="00DF4CE5" w:rsidRDefault="002F47E7">
            <w:pPr>
              <w:spacing w:line="256" w:lineRule="auto"/>
              <w:rPr>
                <w:rFonts w:ascii="Cambria" w:hAnsi="Cambria" w:cs="Calibri"/>
                <w:lang w:val="it-IT"/>
              </w:rPr>
            </w:pPr>
            <w:r w:rsidRPr="00DF4CE5">
              <w:rPr>
                <w:rFonts w:ascii="Cambria" w:hAnsi="Cambria" w:cs="Calibri"/>
                <w:lang w:val="it-IT"/>
              </w:rPr>
              <w:t xml:space="preserve">Ostale </w:t>
            </w:r>
            <w:proofErr w:type="spellStart"/>
            <w:r w:rsidRPr="00DF4CE5">
              <w:rPr>
                <w:rFonts w:ascii="Cambria" w:hAnsi="Cambria" w:cs="Calibri"/>
                <w:lang w:val="it-IT"/>
              </w:rPr>
              <w:t>važne</w:t>
            </w:r>
            <w:proofErr w:type="spellEnd"/>
            <w:r w:rsidRPr="00DF4CE5">
              <w:rPr>
                <w:rFonts w:ascii="Cambria" w:hAnsi="Cambria" w:cs="Calibri"/>
                <w:lang w:val="it-IT"/>
              </w:rPr>
              <w:t xml:space="preserve"> </w:t>
            </w:r>
            <w:proofErr w:type="spellStart"/>
            <w:r w:rsidRPr="00DF4CE5">
              <w:rPr>
                <w:rFonts w:ascii="Cambria" w:hAnsi="Cambria" w:cs="Calibri"/>
                <w:lang w:val="it-IT"/>
              </w:rPr>
              <w:t>činjenice</w:t>
            </w:r>
            <w:proofErr w:type="spellEnd"/>
            <w:r w:rsidRPr="00DF4CE5">
              <w:rPr>
                <w:rFonts w:ascii="Cambria" w:hAnsi="Cambria" w:cs="Calibri"/>
                <w:lang w:val="it-IT"/>
              </w:rPr>
              <w:t xml:space="preserve"> </w:t>
            </w:r>
            <w:proofErr w:type="spellStart"/>
            <w:r w:rsidRPr="00DF4CE5">
              <w:rPr>
                <w:rFonts w:ascii="Cambria" w:hAnsi="Cambria" w:cs="Calibri"/>
                <w:lang w:val="it-IT"/>
              </w:rPr>
              <w:t>vezane</w:t>
            </w:r>
            <w:proofErr w:type="spellEnd"/>
            <w:r w:rsidRPr="00DF4CE5">
              <w:rPr>
                <w:rFonts w:ascii="Cambria" w:hAnsi="Cambria" w:cs="Calibri"/>
                <w:lang w:val="it-IT"/>
              </w:rPr>
              <w:t xml:space="preserve"> </w:t>
            </w:r>
            <w:proofErr w:type="spellStart"/>
            <w:r w:rsidRPr="00DF4CE5">
              <w:rPr>
                <w:rFonts w:ascii="Cambria" w:hAnsi="Cambria" w:cs="Calibri"/>
                <w:lang w:val="it-IT"/>
              </w:rPr>
              <w:t>uz</w:t>
            </w:r>
            <w:proofErr w:type="spellEnd"/>
            <w:r w:rsidRPr="00DF4CE5">
              <w:rPr>
                <w:rFonts w:ascii="Cambria" w:hAnsi="Cambria" w:cs="Calibri"/>
                <w:lang w:val="it-IT"/>
              </w:rPr>
              <w:t xml:space="preserve"> </w:t>
            </w:r>
            <w:proofErr w:type="spellStart"/>
            <w:r w:rsidRPr="00DF4CE5">
              <w:rPr>
                <w:rFonts w:ascii="Cambria" w:hAnsi="Cambria" w:cs="Calibri"/>
                <w:lang w:val="it-IT"/>
              </w:rPr>
              <w:t>kolegij</w:t>
            </w:r>
            <w:proofErr w:type="spellEnd"/>
          </w:p>
        </w:tc>
        <w:tc>
          <w:tcPr>
            <w:tcW w:w="7331"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AC30A1B" w14:textId="77777777" w:rsidR="002F47E7" w:rsidRPr="00DF4CE5" w:rsidRDefault="002F47E7" w:rsidP="0008561B">
            <w:pPr>
              <w:spacing w:after="0" w:line="240" w:lineRule="auto"/>
              <w:rPr>
                <w:rFonts w:ascii="Cambria" w:hAnsi="Cambria" w:cs="Calibri"/>
                <w:lang w:val="it-IT"/>
              </w:rPr>
            </w:pPr>
            <w:proofErr w:type="spellStart"/>
            <w:r w:rsidRPr="00DF4CE5">
              <w:rPr>
                <w:rFonts w:ascii="Cambria" w:hAnsi="Cambria" w:cs="Calibri"/>
                <w:lang w:val="it-IT"/>
              </w:rPr>
              <w:t>Materijali</w:t>
            </w:r>
            <w:proofErr w:type="spellEnd"/>
            <w:r w:rsidRPr="00DF4CE5">
              <w:rPr>
                <w:rFonts w:ascii="Cambria" w:hAnsi="Cambria" w:cs="Calibri"/>
                <w:lang w:val="it-IT"/>
              </w:rPr>
              <w:t xml:space="preserve"> za </w:t>
            </w:r>
            <w:proofErr w:type="spellStart"/>
            <w:r w:rsidRPr="00DF4CE5">
              <w:rPr>
                <w:rFonts w:ascii="Cambria" w:hAnsi="Cambria" w:cs="Calibri"/>
                <w:lang w:val="it-IT"/>
              </w:rPr>
              <w:t>predavanja</w:t>
            </w:r>
            <w:proofErr w:type="spellEnd"/>
            <w:r w:rsidRPr="00DF4CE5">
              <w:rPr>
                <w:rFonts w:ascii="Cambria" w:hAnsi="Cambria" w:cs="Calibri"/>
                <w:lang w:val="it-IT"/>
              </w:rPr>
              <w:t xml:space="preserve"> i </w:t>
            </w:r>
            <w:proofErr w:type="spellStart"/>
            <w:r w:rsidRPr="00DF4CE5">
              <w:rPr>
                <w:rFonts w:ascii="Cambria" w:hAnsi="Cambria" w:cs="Calibri"/>
                <w:lang w:val="it-IT"/>
              </w:rPr>
              <w:t>vježbe</w:t>
            </w:r>
            <w:proofErr w:type="spellEnd"/>
            <w:r w:rsidRPr="00DF4CE5">
              <w:rPr>
                <w:rFonts w:ascii="Cambria" w:hAnsi="Cambria" w:cs="Calibri"/>
                <w:lang w:val="it-IT"/>
              </w:rPr>
              <w:t xml:space="preserve"> </w:t>
            </w:r>
            <w:proofErr w:type="spellStart"/>
            <w:r w:rsidRPr="00DF4CE5">
              <w:rPr>
                <w:rFonts w:ascii="Cambria" w:hAnsi="Cambria" w:cs="Calibri"/>
                <w:lang w:val="it-IT"/>
              </w:rPr>
              <w:t>objavljuju</w:t>
            </w:r>
            <w:proofErr w:type="spellEnd"/>
            <w:r w:rsidRPr="00DF4CE5">
              <w:rPr>
                <w:rFonts w:ascii="Cambria" w:hAnsi="Cambria" w:cs="Calibri"/>
                <w:lang w:val="it-IT"/>
              </w:rPr>
              <w:t xml:space="preserve"> se </w:t>
            </w:r>
            <w:proofErr w:type="spellStart"/>
            <w:r w:rsidRPr="00DF4CE5">
              <w:rPr>
                <w:rFonts w:ascii="Cambria" w:hAnsi="Cambria" w:cs="Calibri"/>
                <w:lang w:val="it-IT"/>
              </w:rPr>
              <w:t>na</w:t>
            </w:r>
            <w:proofErr w:type="spellEnd"/>
            <w:r w:rsidRPr="00DF4CE5">
              <w:rPr>
                <w:rFonts w:ascii="Cambria" w:hAnsi="Cambria" w:cs="Calibri"/>
                <w:lang w:val="it-IT"/>
              </w:rPr>
              <w:t xml:space="preserve"> e-</w:t>
            </w:r>
            <w:proofErr w:type="spellStart"/>
            <w:r w:rsidRPr="00DF4CE5">
              <w:rPr>
                <w:rFonts w:ascii="Cambria" w:hAnsi="Cambria" w:cs="Calibri"/>
                <w:lang w:val="it-IT"/>
              </w:rPr>
              <w:t>učenju</w:t>
            </w:r>
            <w:proofErr w:type="spellEnd"/>
            <w:r w:rsidRPr="00DF4CE5">
              <w:rPr>
                <w:rFonts w:ascii="Cambria" w:hAnsi="Cambria" w:cs="Calibri"/>
                <w:lang w:val="it-IT"/>
              </w:rPr>
              <w:t>.</w:t>
            </w:r>
          </w:p>
          <w:p w14:paraId="47676388" w14:textId="77777777" w:rsidR="002F47E7" w:rsidRPr="00DF4CE5" w:rsidRDefault="002F47E7" w:rsidP="0008561B">
            <w:pPr>
              <w:spacing w:after="0" w:line="240" w:lineRule="auto"/>
              <w:rPr>
                <w:rFonts w:ascii="Cambria" w:hAnsi="Cambria" w:cs="Calibri"/>
              </w:rPr>
            </w:pPr>
            <w:r w:rsidRPr="00DF4CE5">
              <w:rPr>
                <w:rFonts w:ascii="Cambria" w:hAnsi="Cambria" w:cs="Calibri"/>
                <w:lang w:val="it-IT"/>
              </w:rPr>
              <w:t xml:space="preserve">U </w:t>
            </w:r>
            <w:proofErr w:type="spellStart"/>
            <w:r w:rsidRPr="00DF4CE5">
              <w:rPr>
                <w:rFonts w:ascii="Cambria" w:hAnsi="Cambria" w:cs="Calibri"/>
                <w:lang w:val="it-IT"/>
              </w:rPr>
              <w:t>slučaju</w:t>
            </w:r>
            <w:proofErr w:type="spellEnd"/>
            <w:r w:rsidRPr="00DF4CE5">
              <w:rPr>
                <w:rFonts w:ascii="Cambria" w:hAnsi="Cambria" w:cs="Calibri"/>
                <w:lang w:val="it-IT"/>
              </w:rPr>
              <w:t xml:space="preserve"> </w:t>
            </w:r>
            <w:proofErr w:type="spellStart"/>
            <w:r w:rsidRPr="00DF4CE5">
              <w:rPr>
                <w:rFonts w:ascii="Cambria" w:hAnsi="Cambria" w:cs="Calibri"/>
                <w:lang w:val="it-IT"/>
              </w:rPr>
              <w:t>održavanja</w:t>
            </w:r>
            <w:proofErr w:type="spellEnd"/>
            <w:r w:rsidRPr="00DF4CE5">
              <w:rPr>
                <w:rFonts w:ascii="Cambria" w:hAnsi="Cambria" w:cs="Calibri"/>
                <w:lang w:val="it-IT"/>
              </w:rPr>
              <w:t xml:space="preserve"> </w:t>
            </w:r>
            <w:proofErr w:type="spellStart"/>
            <w:r w:rsidRPr="00DF4CE5">
              <w:rPr>
                <w:rFonts w:ascii="Cambria" w:hAnsi="Cambria" w:cs="Calibri"/>
                <w:lang w:val="it-IT"/>
              </w:rPr>
              <w:t>nastave</w:t>
            </w:r>
            <w:proofErr w:type="spellEnd"/>
            <w:r w:rsidRPr="00DF4CE5">
              <w:rPr>
                <w:rFonts w:ascii="Cambria" w:hAnsi="Cambria" w:cs="Calibri"/>
                <w:lang w:val="it-IT"/>
              </w:rPr>
              <w:t xml:space="preserve"> </w:t>
            </w:r>
            <w:proofErr w:type="spellStart"/>
            <w:r w:rsidRPr="00DF4CE5">
              <w:rPr>
                <w:rFonts w:ascii="Cambria" w:hAnsi="Cambria" w:cs="Calibri"/>
                <w:lang w:val="it-IT"/>
              </w:rPr>
              <w:t>na</w:t>
            </w:r>
            <w:proofErr w:type="spellEnd"/>
            <w:r w:rsidRPr="00DF4CE5">
              <w:rPr>
                <w:rFonts w:ascii="Cambria" w:hAnsi="Cambria" w:cs="Calibri"/>
                <w:lang w:val="it-IT"/>
              </w:rPr>
              <w:t xml:space="preserve"> </w:t>
            </w:r>
            <w:proofErr w:type="spellStart"/>
            <w:r w:rsidRPr="00DF4CE5">
              <w:rPr>
                <w:rFonts w:ascii="Cambria" w:hAnsi="Cambria" w:cs="Calibri"/>
                <w:lang w:val="it-IT"/>
              </w:rPr>
              <w:t>daljinu</w:t>
            </w:r>
            <w:proofErr w:type="spellEnd"/>
            <w:r w:rsidRPr="00DF4CE5">
              <w:rPr>
                <w:rFonts w:ascii="Cambria" w:hAnsi="Cambria" w:cs="Calibri"/>
                <w:lang w:val="it-IT"/>
              </w:rPr>
              <w:t xml:space="preserve">, </w:t>
            </w:r>
            <w:proofErr w:type="spellStart"/>
            <w:r w:rsidRPr="00DF4CE5">
              <w:rPr>
                <w:rFonts w:ascii="Cambria" w:hAnsi="Cambria" w:cs="Calibri"/>
                <w:lang w:val="it-IT"/>
              </w:rPr>
              <w:t>moguće</w:t>
            </w:r>
            <w:proofErr w:type="spellEnd"/>
            <w:r w:rsidRPr="00DF4CE5">
              <w:rPr>
                <w:rFonts w:ascii="Cambria" w:hAnsi="Cambria" w:cs="Calibri"/>
                <w:lang w:val="it-IT"/>
              </w:rPr>
              <w:t xml:space="preserve"> je </w:t>
            </w:r>
            <w:proofErr w:type="spellStart"/>
            <w:r w:rsidRPr="00DF4CE5">
              <w:rPr>
                <w:rFonts w:ascii="Cambria" w:hAnsi="Cambria" w:cs="Calibri"/>
                <w:lang w:val="it-IT"/>
              </w:rPr>
              <w:t>odstupanje</w:t>
            </w:r>
            <w:proofErr w:type="spellEnd"/>
            <w:r w:rsidRPr="00DF4CE5">
              <w:rPr>
                <w:rFonts w:ascii="Cambria" w:hAnsi="Cambria" w:cs="Calibri"/>
                <w:lang w:val="it-IT"/>
              </w:rPr>
              <w:t xml:space="preserve"> u: </w:t>
            </w:r>
            <w:proofErr w:type="spellStart"/>
            <w:r w:rsidRPr="00DF4CE5">
              <w:rPr>
                <w:rFonts w:ascii="Cambria" w:hAnsi="Cambria" w:cs="Calibri"/>
                <w:lang w:val="it-IT"/>
              </w:rPr>
              <w:t>mjestu</w:t>
            </w:r>
            <w:proofErr w:type="spellEnd"/>
            <w:r w:rsidRPr="00DF4CE5">
              <w:rPr>
                <w:rFonts w:ascii="Cambria" w:hAnsi="Cambria" w:cs="Calibri"/>
                <w:lang w:val="it-IT"/>
              </w:rPr>
              <w:t xml:space="preserve"> </w:t>
            </w:r>
            <w:proofErr w:type="spellStart"/>
            <w:r w:rsidRPr="00DF4CE5">
              <w:rPr>
                <w:rFonts w:ascii="Cambria" w:hAnsi="Cambria" w:cs="Calibri"/>
                <w:lang w:val="it-IT"/>
              </w:rPr>
              <w:t>izvođenja</w:t>
            </w:r>
            <w:proofErr w:type="spellEnd"/>
            <w:r w:rsidRPr="00DF4CE5">
              <w:rPr>
                <w:rFonts w:ascii="Cambria" w:hAnsi="Cambria" w:cs="Calibri"/>
                <w:lang w:val="it-IT"/>
              </w:rPr>
              <w:t xml:space="preserve"> </w:t>
            </w:r>
            <w:proofErr w:type="spellStart"/>
            <w:r w:rsidRPr="00DF4CE5">
              <w:rPr>
                <w:rFonts w:ascii="Cambria" w:hAnsi="Cambria" w:cs="Calibri"/>
                <w:lang w:val="it-IT"/>
              </w:rPr>
              <w:t>kolegija</w:t>
            </w:r>
            <w:proofErr w:type="spellEnd"/>
            <w:r w:rsidRPr="00DF4CE5">
              <w:rPr>
                <w:rFonts w:ascii="Cambria" w:hAnsi="Cambria" w:cs="Calibri"/>
                <w:lang w:val="it-IT"/>
              </w:rPr>
              <w:t xml:space="preserve">, </w:t>
            </w:r>
            <w:proofErr w:type="spellStart"/>
            <w:r w:rsidRPr="00DF4CE5">
              <w:rPr>
                <w:rFonts w:ascii="Cambria" w:hAnsi="Cambria" w:cs="Calibri"/>
                <w:lang w:val="it-IT"/>
              </w:rPr>
              <w:t>provedbi</w:t>
            </w:r>
            <w:proofErr w:type="spellEnd"/>
            <w:r w:rsidRPr="00DF4CE5">
              <w:rPr>
                <w:rFonts w:ascii="Cambria" w:hAnsi="Cambria" w:cs="Calibri"/>
                <w:lang w:val="it-IT"/>
              </w:rPr>
              <w:t xml:space="preserve"> </w:t>
            </w:r>
            <w:proofErr w:type="spellStart"/>
            <w:r w:rsidRPr="00DF4CE5">
              <w:rPr>
                <w:rFonts w:ascii="Cambria" w:hAnsi="Cambria" w:cs="Calibri"/>
                <w:lang w:val="it-IT"/>
              </w:rPr>
              <w:t>aktivnosti</w:t>
            </w:r>
            <w:proofErr w:type="spellEnd"/>
            <w:r w:rsidRPr="00DF4CE5">
              <w:rPr>
                <w:rFonts w:ascii="Cambria" w:hAnsi="Cambria" w:cs="Calibri"/>
                <w:lang w:val="it-IT"/>
              </w:rPr>
              <w:t xml:space="preserve">, </w:t>
            </w:r>
            <w:proofErr w:type="spellStart"/>
            <w:r w:rsidRPr="00DF4CE5">
              <w:rPr>
                <w:rFonts w:ascii="Cambria" w:hAnsi="Cambria" w:cs="Calibri"/>
                <w:lang w:val="it-IT"/>
              </w:rPr>
              <w:t>metoda</w:t>
            </w:r>
            <w:proofErr w:type="spellEnd"/>
            <w:r w:rsidRPr="00DF4CE5">
              <w:rPr>
                <w:rFonts w:ascii="Cambria" w:hAnsi="Cambria" w:cs="Calibri"/>
                <w:lang w:val="it-IT"/>
              </w:rPr>
              <w:t xml:space="preserve"> </w:t>
            </w:r>
            <w:proofErr w:type="spellStart"/>
            <w:r w:rsidRPr="00DF4CE5">
              <w:rPr>
                <w:rFonts w:ascii="Cambria" w:hAnsi="Cambria" w:cs="Calibri"/>
                <w:lang w:val="it-IT"/>
              </w:rPr>
              <w:t>tumačenja</w:t>
            </w:r>
            <w:proofErr w:type="spellEnd"/>
            <w:r w:rsidRPr="00DF4CE5">
              <w:rPr>
                <w:rFonts w:ascii="Cambria" w:hAnsi="Cambria" w:cs="Calibri"/>
                <w:lang w:val="it-IT"/>
              </w:rPr>
              <w:t xml:space="preserve"> i </w:t>
            </w:r>
            <w:proofErr w:type="spellStart"/>
            <w:r w:rsidRPr="00DF4CE5">
              <w:rPr>
                <w:rFonts w:ascii="Cambria" w:hAnsi="Cambria" w:cs="Calibri"/>
                <w:lang w:val="it-IT"/>
              </w:rPr>
              <w:t>poučavanja</w:t>
            </w:r>
            <w:proofErr w:type="spellEnd"/>
            <w:r w:rsidRPr="00DF4CE5">
              <w:rPr>
                <w:rFonts w:ascii="Cambria" w:hAnsi="Cambria" w:cs="Calibri"/>
                <w:lang w:val="it-IT"/>
              </w:rPr>
              <w:t xml:space="preserve"> i </w:t>
            </w:r>
            <w:proofErr w:type="spellStart"/>
            <w:r w:rsidRPr="00DF4CE5">
              <w:rPr>
                <w:rFonts w:ascii="Cambria" w:hAnsi="Cambria" w:cs="Calibri"/>
                <w:lang w:val="it-IT"/>
              </w:rPr>
              <w:t>načinima</w:t>
            </w:r>
            <w:proofErr w:type="spellEnd"/>
            <w:r w:rsidRPr="00DF4CE5">
              <w:rPr>
                <w:rFonts w:ascii="Cambria" w:hAnsi="Cambria" w:cs="Calibri"/>
                <w:lang w:val="it-IT"/>
              </w:rPr>
              <w:t xml:space="preserve"> </w:t>
            </w:r>
            <w:proofErr w:type="spellStart"/>
            <w:r w:rsidRPr="00DF4CE5">
              <w:rPr>
                <w:rFonts w:ascii="Cambria" w:hAnsi="Cambria" w:cs="Calibri"/>
                <w:lang w:val="it-IT"/>
              </w:rPr>
              <w:t>vrednovanja</w:t>
            </w:r>
            <w:proofErr w:type="spellEnd"/>
            <w:r w:rsidRPr="00DF4CE5">
              <w:rPr>
                <w:rFonts w:ascii="Cambria" w:hAnsi="Cambria" w:cs="Calibri"/>
                <w:lang w:val="it-IT"/>
              </w:rPr>
              <w:t xml:space="preserve">, </w:t>
            </w:r>
            <w:proofErr w:type="spellStart"/>
            <w:r w:rsidRPr="00DF4CE5">
              <w:rPr>
                <w:rFonts w:ascii="Cambria" w:hAnsi="Cambria" w:cs="Calibri"/>
                <w:lang w:val="it-IT"/>
              </w:rPr>
              <w:t>studentskim</w:t>
            </w:r>
            <w:proofErr w:type="spellEnd"/>
            <w:r w:rsidRPr="00DF4CE5">
              <w:rPr>
                <w:rFonts w:ascii="Cambria" w:hAnsi="Cambria" w:cs="Calibri"/>
                <w:lang w:val="it-IT"/>
              </w:rPr>
              <w:t xml:space="preserve"> </w:t>
            </w:r>
            <w:proofErr w:type="spellStart"/>
            <w:r w:rsidRPr="00DF4CE5">
              <w:rPr>
                <w:rFonts w:ascii="Cambria" w:hAnsi="Cambria" w:cs="Calibri"/>
                <w:lang w:val="it-IT"/>
              </w:rPr>
              <w:t>obvezama</w:t>
            </w:r>
            <w:proofErr w:type="spellEnd"/>
            <w:r w:rsidRPr="00DF4CE5">
              <w:rPr>
                <w:rFonts w:ascii="Cambria" w:hAnsi="Cambria" w:cs="Calibri"/>
                <w:lang w:val="it-IT"/>
              </w:rPr>
              <w:t xml:space="preserve"> i </w:t>
            </w:r>
            <w:proofErr w:type="spellStart"/>
            <w:r w:rsidRPr="00DF4CE5">
              <w:rPr>
                <w:rFonts w:ascii="Cambria" w:hAnsi="Cambria" w:cs="Calibri"/>
                <w:lang w:val="it-IT"/>
              </w:rPr>
              <w:t>dostupnoj</w:t>
            </w:r>
            <w:proofErr w:type="spellEnd"/>
            <w:r w:rsidRPr="00DF4CE5">
              <w:rPr>
                <w:rFonts w:ascii="Cambria" w:hAnsi="Cambria" w:cs="Calibri"/>
                <w:lang w:val="it-IT"/>
              </w:rPr>
              <w:t xml:space="preserve"> </w:t>
            </w:r>
            <w:proofErr w:type="spellStart"/>
            <w:r w:rsidRPr="00DF4CE5">
              <w:rPr>
                <w:rFonts w:ascii="Cambria" w:hAnsi="Cambria" w:cs="Calibri"/>
                <w:lang w:val="it-IT"/>
              </w:rPr>
              <w:t>literaturi</w:t>
            </w:r>
            <w:proofErr w:type="spellEnd"/>
            <w:r w:rsidRPr="00DF4CE5">
              <w:rPr>
                <w:rFonts w:ascii="Cambria" w:hAnsi="Cambria" w:cs="Calibri"/>
                <w:lang w:val="it-IT"/>
              </w:rPr>
              <w:t xml:space="preserve">. O tome </w:t>
            </w:r>
            <w:proofErr w:type="spellStart"/>
            <w:r w:rsidRPr="00DF4CE5">
              <w:rPr>
                <w:rFonts w:ascii="Cambria" w:hAnsi="Cambria" w:cs="Calibri"/>
                <w:lang w:val="it-IT"/>
              </w:rPr>
              <w:t>će</w:t>
            </w:r>
            <w:proofErr w:type="spellEnd"/>
            <w:r w:rsidRPr="00DF4CE5">
              <w:rPr>
                <w:rFonts w:ascii="Cambria" w:hAnsi="Cambria" w:cs="Calibri"/>
                <w:lang w:val="it-IT"/>
              </w:rPr>
              <w:t xml:space="preserve"> </w:t>
            </w:r>
            <w:proofErr w:type="spellStart"/>
            <w:r w:rsidRPr="00DF4CE5">
              <w:rPr>
                <w:rFonts w:ascii="Cambria" w:hAnsi="Cambria" w:cs="Calibri"/>
                <w:lang w:val="it-IT"/>
              </w:rPr>
              <w:t>nositelj</w:t>
            </w:r>
            <w:proofErr w:type="spellEnd"/>
            <w:r w:rsidRPr="00DF4CE5">
              <w:rPr>
                <w:rFonts w:ascii="Cambria" w:hAnsi="Cambria" w:cs="Calibri"/>
                <w:lang w:val="it-IT"/>
              </w:rPr>
              <w:t xml:space="preserve"> i </w:t>
            </w:r>
            <w:proofErr w:type="spellStart"/>
            <w:r w:rsidRPr="00DF4CE5">
              <w:rPr>
                <w:rFonts w:ascii="Cambria" w:hAnsi="Cambria" w:cs="Calibri"/>
                <w:lang w:val="it-IT"/>
              </w:rPr>
              <w:t>asistentica</w:t>
            </w:r>
            <w:proofErr w:type="spellEnd"/>
            <w:r w:rsidRPr="00DF4CE5">
              <w:rPr>
                <w:rFonts w:ascii="Cambria" w:hAnsi="Cambria" w:cs="Calibri"/>
                <w:lang w:val="it-IT"/>
              </w:rPr>
              <w:t xml:space="preserve"> </w:t>
            </w:r>
            <w:proofErr w:type="spellStart"/>
            <w:r w:rsidRPr="00DF4CE5">
              <w:rPr>
                <w:rFonts w:ascii="Cambria" w:hAnsi="Cambria" w:cs="Calibri"/>
                <w:lang w:val="it-IT"/>
              </w:rPr>
              <w:t>obavijestiti</w:t>
            </w:r>
            <w:proofErr w:type="spellEnd"/>
            <w:r w:rsidRPr="00DF4CE5">
              <w:rPr>
                <w:rFonts w:ascii="Cambria" w:hAnsi="Cambria" w:cs="Calibri"/>
                <w:lang w:val="it-IT"/>
              </w:rPr>
              <w:t xml:space="preserve"> studente i </w:t>
            </w:r>
            <w:proofErr w:type="spellStart"/>
            <w:r w:rsidRPr="00DF4CE5">
              <w:rPr>
                <w:rFonts w:ascii="Cambria" w:hAnsi="Cambria" w:cs="Calibri"/>
                <w:lang w:val="it-IT"/>
              </w:rPr>
              <w:t>studentice</w:t>
            </w:r>
            <w:proofErr w:type="spellEnd"/>
            <w:r w:rsidRPr="00DF4CE5">
              <w:rPr>
                <w:rFonts w:ascii="Cambria" w:hAnsi="Cambria" w:cs="Calibri"/>
                <w:lang w:val="it-IT"/>
              </w:rPr>
              <w:t xml:space="preserve"> </w:t>
            </w:r>
            <w:proofErr w:type="spellStart"/>
            <w:r w:rsidRPr="00DF4CE5">
              <w:rPr>
                <w:rFonts w:ascii="Cambria" w:hAnsi="Cambria" w:cs="Calibri"/>
                <w:lang w:val="it-IT"/>
              </w:rPr>
              <w:t>kad</w:t>
            </w:r>
            <w:proofErr w:type="spellEnd"/>
            <w:r w:rsidRPr="00DF4CE5">
              <w:rPr>
                <w:rFonts w:ascii="Cambria" w:hAnsi="Cambria" w:cs="Calibri"/>
                <w:lang w:val="it-IT"/>
              </w:rPr>
              <w:t xml:space="preserve"> se </w:t>
            </w:r>
            <w:proofErr w:type="spellStart"/>
            <w:r w:rsidRPr="00DF4CE5">
              <w:rPr>
                <w:rFonts w:ascii="Cambria" w:hAnsi="Cambria" w:cs="Calibri"/>
                <w:lang w:val="it-IT"/>
              </w:rPr>
              <w:t>nastava</w:t>
            </w:r>
            <w:proofErr w:type="spellEnd"/>
            <w:r w:rsidRPr="00DF4CE5">
              <w:rPr>
                <w:rFonts w:ascii="Cambria" w:hAnsi="Cambria" w:cs="Calibri"/>
                <w:lang w:val="it-IT"/>
              </w:rPr>
              <w:t xml:space="preserve"> </w:t>
            </w:r>
            <w:proofErr w:type="spellStart"/>
            <w:r w:rsidRPr="00DF4CE5">
              <w:rPr>
                <w:rFonts w:ascii="Cambria" w:hAnsi="Cambria" w:cs="Calibri"/>
                <w:lang w:val="it-IT"/>
              </w:rPr>
              <w:t>na</w:t>
            </w:r>
            <w:proofErr w:type="spellEnd"/>
            <w:r w:rsidRPr="00DF4CE5">
              <w:rPr>
                <w:rFonts w:ascii="Cambria" w:hAnsi="Cambria" w:cs="Calibri"/>
                <w:lang w:val="it-IT"/>
              </w:rPr>
              <w:t xml:space="preserve"> </w:t>
            </w:r>
            <w:proofErr w:type="spellStart"/>
            <w:r w:rsidRPr="00DF4CE5">
              <w:rPr>
                <w:rFonts w:ascii="Cambria" w:hAnsi="Cambria" w:cs="Calibri"/>
                <w:lang w:val="it-IT"/>
              </w:rPr>
              <w:t>daljinu</w:t>
            </w:r>
            <w:proofErr w:type="spellEnd"/>
            <w:r w:rsidRPr="00DF4CE5">
              <w:rPr>
                <w:rFonts w:ascii="Cambria" w:hAnsi="Cambria" w:cs="Calibri"/>
                <w:lang w:val="it-IT"/>
              </w:rPr>
              <w:t xml:space="preserve"> </w:t>
            </w:r>
            <w:proofErr w:type="spellStart"/>
            <w:r w:rsidRPr="00DF4CE5">
              <w:rPr>
                <w:rFonts w:ascii="Cambria" w:hAnsi="Cambria" w:cs="Calibri"/>
                <w:lang w:val="it-IT"/>
              </w:rPr>
              <w:t>počne</w:t>
            </w:r>
            <w:proofErr w:type="spellEnd"/>
            <w:r w:rsidRPr="00DF4CE5">
              <w:rPr>
                <w:rFonts w:ascii="Cambria" w:hAnsi="Cambria" w:cs="Calibri"/>
                <w:lang w:val="it-IT"/>
              </w:rPr>
              <w:t xml:space="preserve"> </w:t>
            </w:r>
            <w:proofErr w:type="spellStart"/>
            <w:r w:rsidRPr="00DF4CE5">
              <w:rPr>
                <w:rFonts w:ascii="Cambria" w:hAnsi="Cambria" w:cs="Calibri"/>
                <w:lang w:val="it-IT"/>
              </w:rPr>
              <w:t>održavati</w:t>
            </w:r>
            <w:proofErr w:type="spellEnd"/>
            <w:r w:rsidRPr="00DF4CE5">
              <w:rPr>
                <w:rFonts w:ascii="Cambria" w:hAnsi="Cambria" w:cs="Calibri"/>
                <w:lang w:val="it-IT"/>
              </w:rPr>
              <w:t xml:space="preserve">. </w:t>
            </w:r>
            <w:proofErr w:type="spellStart"/>
            <w:r w:rsidRPr="00DF4CE5">
              <w:rPr>
                <w:rFonts w:ascii="Cambria" w:hAnsi="Cambria" w:cs="Calibri"/>
              </w:rPr>
              <w:t>Ishodi</w:t>
            </w:r>
            <w:proofErr w:type="spellEnd"/>
            <w:r w:rsidRPr="00DF4CE5">
              <w:rPr>
                <w:rFonts w:ascii="Cambria" w:hAnsi="Cambria" w:cs="Calibri"/>
              </w:rPr>
              <w:t xml:space="preserve"> </w:t>
            </w:r>
            <w:proofErr w:type="spellStart"/>
            <w:r w:rsidRPr="00DF4CE5">
              <w:rPr>
                <w:rFonts w:ascii="Cambria" w:hAnsi="Cambria" w:cs="Calibri"/>
              </w:rPr>
              <w:t>učenja</w:t>
            </w:r>
            <w:proofErr w:type="spellEnd"/>
            <w:r w:rsidRPr="00DF4CE5">
              <w:rPr>
                <w:rFonts w:ascii="Cambria" w:hAnsi="Cambria" w:cs="Calibri"/>
              </w:rPr>
              <w:t xml:space="preserve"> </w:t>
            </w:r>
            <w:proofErr w:type="spellStart"/>
            <w:r w:rsidRPr="00DF4CE5">
              <w:rPr>
                <w:rFonts w:ascii="Cambria" w:hAnsi="Cambria" w:cs="Calibri"/>
              </w:rPr>
              <w:t>ostaju</w:t>
            </w:r>
            <w:proofErr w:type="spellEnd"/>
            <w:r w:rsidRPr="00DF4CE5">
              <w:rPr>
                <w:rFonts w:ascii="Cambria" w:hAnsi="Cambria" w:cs="Calibri"/>
              </w:rPr>
              <w:t xml:space="preserve"> </w:t>
            </w:r>
            <w:proofErr w:type="spellStart"/>
            <w:r w:rsidRPr="00DF4CE5">
              <w:rPr>
                <w:rFonts w:ascii="Cambria" w:hAnsi="Cambria" w:cs="Calibri"/>
              </w:rPr>
              <w:t>nepromijenjeni</w:t>
            </w:r>
            <w:proofErr w:type="spellEnd"/>
            <w:r w:rsidRPr="00DF4CE5">
              <w:rPr>
                <w:rFonts w:ascii="Cambria" w:hAnsi="Cambria" w:cs="Calibri"/>
              </w:rPr>
              <w:t>.</w:t>
            </w:r>
          </w:p>
        </w:tc>
      </w:tr>
      <w:tr w:rsidR="002F47E7" w:rsidRPr="00D0399C" w14:paraId="20C6053D" w14:textId="77777777" w:rsidTr="002F47E7">
        <w:trPr>
          <w:trHeight w:val="770"/>
        </w:trPr>
        <w:tc>
          <w:tcPr>
            <w:tcW w:w="215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78A3CE9" w14:textId="77777777" w:rsidR="002F47E7" w:rsidRPr="00DF4CE5" w:rsidRDefault="002F47E7">
            <w:pPr>
              <w:spacing w:line="256" w:lineRule="auto"/>
              <w:rPr>
                <w:rFonts w:ascii="Cambria" w:hAnsi="Cambria" w:cs="Calibri"/>
              </w:rPr>
            </w:pPr>
            <w:proofErr w:type="spellStart"/>
            <w:r w:rsidRPr="00DF4CE5">
              <w:rPr>
                <w:rFonts w:ascii="Cambria" w:hAnsi="Cambria" w:cs="Calibri"/>
              </w:rPr>
              <w:t>Literatura</w:t>
            </w:r>
            <w:proofErr w:type="spellEnd"/>
          </w:p>
        </w:tc>
        <w:tc>
          <w:tcPr>
            <w:tcW w:w="7331" w:type="dxa"/>
            <w:gridSpan w:val="6"/>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7D4F901B" w14:textId="77777777" w:rsidR="002F47E7" w:rsidRPr="00DF4CE5" w:rsidRDefault="002F47E7" w:rsidP="0008561B">
            <w:pPr>
              <w:spacing w:after="0" w:line="240" w:lineRule="auto"/>
              <w:rPr>
                <w:rFonts w:ascii="Cambria" w:hAnsi="Cambria" w:cs="Calibri"/>
                <w:bCs/>
              </w:rPr>
            </w:pPr>
            <w:proofErr w:type="spellStart"/>
            <w:r w:rsidRPr="00DF4CE5">
              <w:rPr>
                <w:rFonts w:ascii="Cambria" w:hAnsi="Cambria" w:cs="Calibri"/>
                <w:bCs/>
              </w:rPr>
              <w:t>Obvezna</w:t>
            </w:r>
            <w:proofErr w:type="spellEnd"/>
            <w:r w:rsidRPr="00DF4CE5">
              <w:rPr>
                <w:rFonts w:ascii="Cambria" w:hAnsi="Cambria" w:cs="Calibri"/>
                <w:bCs/>
              </w:rPr>
              <w:t xml:space="preserve">: </w:t>
            </w:r>
          </w:p>
          <w:p w14:paraId="7058575D" w14:textId="267A4768" w:rsidR="002F47E7" w:rsidRPr="00DF4CE5" w:rsidRDefault="002F47E7" w:rsidP="00A034E3">
            <w:pPr>
              <w:numPr>
                <w:ilvl w:val="0"/>
                <w:numId w:val="66"/>
              </w:numPr>
              <w:spacing w:after="0" w:line="240" w:lineRule="auto"/>
              <w:rPr>
                <w:rFonts w:ascii="Cambria" w:hAnsi="Cambria" w:cs="Times New Roman"/>
                <w:lang w:val="it-IT"/>
              </w:rPr>
            </w:pPr>
            <w:proofErr w:type="spellStart"/>
            <w:r w:rsidRPr="00DF4CE5">
              <w:rPr>
                <w:rFonts w:ascii="Cambria" w:hAnsi="Cambria"/>
                <w:lang w:val="it-IT"/>
              </w:rPr>
              <w:t>Mintaković</w:t>
            </w:r>
            <w:proofErr w:type="spellEnd"/>
            <w:r w:rsidRPr="00DF4CE5">
              <w:rPr>
                <w:rFonts w:ascii="Cambria" w:hAnsi="Cambria"/>
                <w:lang w:val="it-IT"/>
              </w:rPr>
              <w:t xml:space="preserve">, S. i </w:t>
            </w:r>
            <w:proofErr w:type="spellStart"/>
            <w:r w:rsidRPr="00DF4CE5">
              <w:rPr>
                <w:rFonts w:ascii="Cambria" w:hAnsi="Cambria"/>
                <w:lang w:val="it-IT"/>
              </w:rPr>
              <w:t>Ćurić</w:t>
            </w:r>
            <w:proofErr w:type="spellEnd"/>
            <w:r w:rsidRPr="00DF4CE5">
              <w:rPr>
                <w:rFonts w:ascii="Cambria" w:hAnsi="Cambria"/>
                <w:lang w:val="it-IT"/>
              </w:rPr>
              <w:t>, F.</w:t>
            </w:r>
            <w:r w:rsidR="0008561B">
              <w:rPr>
                <w:rFonts w:ascii="Cambria" w:hAnsi="Cambria"/>
                <w:lang w:val="it-IT"/>
              </w:rPr>
              <w:t xml:space="preserve"> </w:t>
            </w:r>
            <w:r w:rsidRPr="00DF4CE5">
              <w:rPr>
                <w:rFonts w:ascii="Cambria" w:hAnsi="Cambria"/>
                <w:lang w:val="it-IT"/>
              </w:rPr>
              <w:t xml:space="preserve">(2003). </w:t>
            </w:r>
            <w:proofErr w:type="spellStart"/>
            <w:r w:rsidRPr="00DF4CE5">
              <w:rPr>
                <w:rFonts w:ascii="Cambria" w:hAnsi="Cambria"/>
                <w:lang w:val="it-IT"/>
              </w:rPr>
              <w:t>Matematika</w:t>
            </w:r>
            <w:proofErr w:type="spellEnd"/>
            <w:r w:rsidRPr="00DF4CE5">
              <w:rPr>
                <w:rFonts w:ascii="Cambria" w:hAnsi="Cambria"/>
                <w:lang w:val="it-IT"/>
              </w:rPr>
              <w:t xml:space="preserve"> sa </w:t>
            </w:r>
            <w:proofErr w:type="spellStart"/>
            <w:r w:rsidRPr="00DF4CE5">
              <w:rPr>
                <w:rFonts w:ascii="Cambria" w:hAnsi="Cambria"/>
                <w:lang w:val="it-IT"/>
              </w:rPr>
              <w:t>zbirkom</w:t>
            </w:r>
            <w:proofErr w:type="spellEnd"/>
            <w:r w:rsidRPr="00DF4CE5">
              <w:rPr>
                <w:rFonts w:ascii="Cambria" w:hAnsi="Cambria"/>
                <w:lang w:val="it-IT"/>
              </w:rPr>
              <w:t xml:space="preserve"> </w:t>
            </w:r>
            <w:proofErr w:type="spellStart"/>
            <w:r w:rsidRPr="00DF4CE5">
              <w:rPr>
                <w:rFonts w:ascii="Cambria" w:hAnsi="Cambria"/>
                <w:lang w:val="it-IT"/>
              </w:rPr>
              <w:t>zadataka</w:t>
            </w:r>
            <w:proofErr w:type="spellEnd"/>
            <w:r w:rsidRPr="00DF4CE5">
              <w:rPr>
                <w:rFonts w:ascii="Cambria" w:hAnsi="Cambria"/>
                <w:lang w:val="it-IT"/>
              </w:rPr>
              <w:t xml:space="preserve">, </w:t>
            </w:r>
            <w:proofErr w:type="spellStart"/>
            <w:r w:rsidRPr="00DF4CE5">
              <w:rPr>
                <w:rFonts w:ascii="Cambria" w:hAnsi="Cambria"/>
                <w:lang w:val="it-IT"/>
              </w:rPr>
              <w:t>Školska</w:t>
            </w:r>
            <w:proofErr w:type="spellEnd"/>
            <w:r w:rsidRPr="00DF4CE5">
              <w:rPr>
                <w:rFonts w:ascii="Cambria" w:hAnsi="Cambria"/>
                <w:lang w:val="it-IT"/>
              </w:rPr>
              <w:t xml:space="preserve"> </w:t>
            </w:r>
            <w:proofErr w:type="spellStart"/>
            <w:r w:rsidRPr="00DF4CE5">
              <w:rPr>
                <w:rFonts w:ascii="Cambria" w:hAnsi="Cambria"/>
                <w:lang w:val="it-IT"/>
              </w:rPr>
              <w:t>knjiga</w:t>
            </w:r>
            <w:proofErr w:type="spellEnd"/>
          </w:p>
          <w:p w14:paraId="47553CF4" w14:textId="2B8B9FB2" w:rsidR="002F47E7" w:rsidRPr="0008561B" w:rsidRDefault="002F47E7" w:rsidP="00A034E3">
            <w:pPr>
              <w:numPr>
                <w:ilvl w:val="0"/>
                <w:numId w:val="66"/>
              </w:numPr>
              <w:spacing w:after="0" w:line="240" w:lineRule="auto"/>
              <w:rPr>
                <w:rFonts w:ascii="Cambria" w:hAnsi="Cambria"/>
                <w:lang w:val="it-IT"/>
              </w:rPr>
            </w:pPr>
            <w:proofErr w:type="spellStart"/>
            <w:r w:rsidRPr="00DF4CE5">
              <w:rPr>
                <w:rFonts w:ascii="Cambria" w:hAnsi="Cambria"/>
                <w:lang w:val="it-IT"/>
              </w:rPr>
              <w:t>Radić</w:t>
            </w:r>
            <w:proofErr w:type="spellEnd"/>
            <w:r w:rsidRPr="00DF4CE5">
              <w:rPr>
                <w:rFonts w:ascii="Cambria" w:hAnsi="Cambria"/>
                <w:lang w:val="it-IT"/>
              </w:rPr>
              <w:t xml:space="preserve">, M. (1997). O </w:t>
            </w:r>
            <w:proofErr w:type="spellStart"/>
            <w:r w:rsidRPr="00DF4CE5">
              <w:rPr>
                <w:rFonts w:ascii="Cambria" w:hAnsi="Cambria"/>
                <w:lang w:val="it-IT"/>
              </w:rPr>
              <w:t>izgradnji</w:t>
            </w:r>
            <w:proofErr w:type="spellEnd"/>
            <w:r w:rsidRPr="00DF4CE5">
              <w:rPr>
                <w:rFonts w:ascii="Cambria" w:hAnsi="Cambria"/>
                <w:lang w:val="it-IT"/>
              </w:rPr>
              <w:t xml:space="preserve"> </w:t>
            </w:r>
            <w:proofErr w:type="spellStart"/>
            <w:r w:rsidRPr="00DF4CE5">
              <w:rPr>
                <w:rFonts w:ascii="Cambria" w:hAnsi="Cambria"/>
                <w:lang w:val="it-IT"/>
              </w:rPr>
              <w:t>geometrije</w:t>
            </w:r>
            <w:proofErr w:type="spellEnd"/>
            <w:r w:rsidRPr="00DF4CE5">
              <w:rPr>
                <w:rFonts w:ascii="Cambria" w:hAnsi="Cambria"/>
                <w:lang w:val="it-IT"/>
              </w:rPr>
              <w:t xml:space="preserve"> i </w:t>
            </w:r>
            <w:proofErr w:type="spellStart"/>
            <w:r w:rsidRPr="00DF4CE5">
              <w:rPr>
                <w:rFonts w:ascii="Cambria" w:hAnsi="Cambria"/>
                <w:lang w:val="it-IT"/>
              </w:rPr>
              <w:t>dokazi</w:t>
            </w:r>
            <w:proofErr w:type="spellEnd"/>
            <w:r w:rsidRPr="00DF4CE5">
              <w:rPr>
                <w:rFonts w:ascii="Cambria" w:hAnsi="Cambria"/>
                <w:lang w:val="it-IT"/>
              </w:rPr>
              <w:t xml:space="preserve"> </w:t>
            </w:r>
            <w:proofErr w:type="spellStart"/>
            <w:r w:rsidRPr="00DF4CE5">
              <w:rPr>
                <w:rFonts w:ascii="Cambria" w:hAnsi="Cambria"/>
                <w:lang w:val="it-IT"/>
              </w:rPr>
              <w:t>nekih</w:t>
            </w:r>
            <w:proofErr w:type="spellEnd"/>
            <w:r w:rsidRPr="00DF4CE5">
              <w:rPr>
                <w:rFonts w:ascii="Cambria" w:hAnsi="Cambria"/>
                <w:lang w:val="it-IT"/>
              </w:rPr>
              <w:t xml:space="preserve"> </w:t>
            </w:r>
            <w:proofErr w:type="spellStart"/>
            <w:r w:rsidRPr="00DF4CE5">
              <w:rPr>
                <w:rFonts w:ascii="Cambria" w:hAnsi="Cambria"/>
                <w:lang w:val="it-IT"/>
              </w:rPr>
              <w:t>ključnih</w:t>
            </w:r>
            <w:proofErr w:type="spellEnd"/>
            <w:r w:rsidRPr="00DF4CE5">
              <w:rPr>
                <w:rFonts w:ascii="Cambria" w:hAnsi="Cambria"/>
                <w:lang w:val="it-IT"/>
              </w:rPr>
              <w:t xml:space="preserve"> teorema, </w:t>
            </w:r>
            <w:proofErr w:type="spellStart"/>
            <w:r w:rsidRPr="00DF4CE5">
              <w:rPr>
                <w:rFonts w:ascii="Cambria" w:hAnsi="Cambria"/>
                <w:lang w:val="it-IT"/>
              </w:rPr>
              <w:t>Pedagoški</w:t>
            </w:r>
            <w:proofErr w:type="spellEnd"/>
            <w:r w:rsidRPr="00DF4CE5">
              <w:rPr>
                <w:rFonts w:ascii="Cambria" w:hAnsi="Cambria"/>
                <w:lang w:val="it-IT"/>
              </w:rPr>
              <w:t xml:space="preserve"> </w:t>
            </w:r>
            <w:proofErr w:type="spellStart"/>
            <w:r w:rsidRPr="00DF4CE5">
              <w:rPr>
                <w:rFonts w:ascii="Cambria" w:hAnsi="Cambria"/>
                <w:lang w:val="it-IT"/>
              </w:rPr>
              <w:t>fakultet</w:t>
            </w:r>
            <w:proofErr w:type="spellEnd"/>
            <w:r w:rsidRPr="00DF4CE5">
              <w:rPr>
                <w:rFonts w:ascii="Cambria" w:hAnsi="Cambria"/>
                <w:lang w:val="it-IT"/>
              </w:rPr>
              <w:t xml:space="preserve"> u </w:t>
            </w:r>
            <w:proofErr w:type="spellStart"/>
            <w:r w:rsidRPr="00DF4CE5">
              <w:rPr>
                <w:rFonts w:ascii="Cambria" w:hAnsi="Cambria"/>
                <w:lang w:val="it-IT"/>
              </w:rPr>
              <w:t>Rijeci</w:t>
            </w:r>
            <w:proofErr w:type="spellEnd"/>
          </w:p>
          <w:p w14:paraId="2C103CDA" w14:textId="77777777" w:rsidR="002F47E7" w:rsidRPr="00DF4CE5" w:rsidRDefault="002F47E7" w:rsidP="0008561B">
            <w:pPr>
              <w:spacing w:after="0" w:line="240" w:lineRule="auto"/>
              <w:rPr>
                <w:rFonts w:ascii="Cambria" w:hAnsi="Cambria" w:cs="Calibri"/>
                <w:bCs/>
              </w:rPr>
            </w:pPr>
            <w:proofErr w:type="spellStart"/>
            <w:r w:rsidRPr="00DF4CE5">
              <w:rPr>
                <w:rFonts w:ascii="Cambria" w:hAnsi="Cambria" w:cs="Calibri"/>
                <w:bCs/>
              </w:rPr>
              <w:t>Priručna</w:t>
            </w:r>
            <w:proofErr w:type="spellEnd"/>
            <w:r w:rsidRPr="00DF4CE5">
              <w:rPr>
                <w:rFonts w:ascii="Cambria" w:hAnsi="Cambria" w:cs="Calibri"/>
                <w:bCs/>
              </w:rPr>
              <w:t>:</w:t>
            </w:r>
          </w:p>
          <w:p w14:paraId="05FB335E" w14:textId="5E745CD5" w:rsidR="002F47E7" w:rsidRPr="00DF4CE5" w:rsidRDefault="002F47E7" w:rsidP="00A034E3">
            <w:pPr>
              <w:pStyle w:val="Odlomakpopisa"/>
              <w:numPr>
                <w:ilvl w:val="0"/>
                <w:numId w:val="67"/>
              </w:numPr>
              <w:spacing w:after="0" w:line="240" w:lineRule="auto"/>
              <w:rPr>
                <w:rFonts w:ascii="Cambria" w:hAnsi="Cambria" w:cs="Calibri"/>
              </w:rPr>
            </w:pPr>
            <w:r w:rsidRPr="00DF4CE5">
              <w:rPr>
                <w:rFonts w:ascii="Cambria" w:hAnsi="Cambria" w:cs="Calibri"/>
              </w:rPr>
              <w:t xml:space="preserve">Juričić Devčić M., Perkov, T., Trupčević, G., Vuković, P. (2018). Zbirka zadataka iz matematike za studente učiteljskih studija (2018). Učiteljski fakultet Sveučilišta u Zagrebu, Zagreb  </w:t>
            </w:r>
            <w:hyperlink r:id="rId78" w:history="1">
              <w:r w:rsidR="00A61D16" w:rsidRPr="007017E9">
                <w:rPr>
                  <w:rStyle w:val="Hiperveza"/>
                  <w:rFonts w:ascii="Cambria" w:hAnsi="Cambria" w:cs="Calibri"/>
                </w:rPr>
                <w:t>http://ed2.ufzg.hr/press/index.php/UFZG/catalog/book/87</w:t>
              </w:r>
            </w:hyperlink>
            <w:r w:rsidRPr="00DF4CE5">
              <w:rPr>
                <w:rFonts w:ascii="Cambria" w:hAnsi="Cambria" w:cs="Calibri"/>
              </w:rPr>
              <w:t xml:space="preserve"> </w:t>
            </w:r>
          </w:p>
          <w:p w14:paraId="10EE4B28" w14:textId="77777777" w:rsidR="002F47E7" w:rsidRPr="00DF4CE5" w:rsidRDefault="002F47E7" w:rsidP="00A034E3">
            <w:pPr>
              <w:numPr>
                <w:ilvl w:val="0"/>
                <w:numId w:val="67"/>
              </w:numPr>
              <w:spacing w:after="0" w:line="240" w:lineRule="auto"/>
              <w:rPr>
                <w:rFonts w:ascii="Cambria" w:hAnsi="Cambria" w:cs="Calibri"/>
                <w:lang w:val="it-IT"/>
              </w:rPr>
            </w:pPr>
            <w:proofErr w:type="spellStart"/>
            <w:r w:rsidRPr="00DF4CE5">
              <w:rPr>
                <w:rFonts w:ascii="Cambria" w:hAnsi="Cambria" w:cs="Calibri"/>
                <w:lang w:val="it-IT"/>
              </w:rPr>
              <w:t>Udžbenici</w:t>
            </w:r>
            <w:proofErr w:type="spellEnd"/>
            <w:r w:rsidRPr="00DF4CE5">
              <w:rPr>
                <w:rFonts w:ascii="Cambria" w:hAnsi="Cambria" w:cs="Calibri"/>
                <w:lang w:val="it-IT"/>
              </w:rPr>
              <w:t xml:space="preserve"> i </w:t>
            </w:r>
            <w:proofErr w:type="spellStart"/>
            <w:r w:rsidRPr="00DF4CE5">
              <w:rPr>
                <w:rFonts w:ascii="Cambria" w:hAnsi="Cambria" w:cs="Calibri"/>
                <w:lang w:val="it-IT"/>
              </w:rPr>
              <w:t>zbirke</w:t>
            </w:r>
            <w:proofErr w:type="spellEnd"/>
            <w:r w:rsidRPr="00DF4CE5">
              <w:rPr>
                <w:rFonts w:ascii="Cambria" w:hAnsi="Cambria" w:cs="Calibri"/>
                <w:lang w:val="it-IT"/>
              </w:rPr>
              <w:t xml:space="preserve"> </w:t>
            </w:r>
            <w:proofErr w:type="spellStart"/>
            <w:r w:rsidRPr="00DF4CE5">
              <w:rPr>
                <w:rFonts w:ascii="Cambria" w:hAnsi="Cambria" w:cs="Calibri"/>
                <w:lang w:val="it-IT"/>
              </w:rPr>
              <w:t>zadataka</w:t>
            </w:r>
            <w:proofErr w:type="spellEnd"/>
            <w:r w:rsidRPr="00DF4CE5">
              <w:rPr>
                <w:rFonts w:ascii="Cambria" w:hAnsi="Cambria" w:cs="Calibri"/>
                <w:lang w:val="it-IT"/>
              </w:rPr>
              <w:t xml:space="preserve"> za </w:t>
            </w:r>
            <w:proofErr w:type="spellStart"/>
            <w:r w:rsidRPr="00DF4CE5">
              <w:rPr>
                <w:rFonts w:ascii="Cambria" w:hAnsi="Cambria" w:cs="Calibri"/>
                <w:lang w:val="it-IT"/>
              </w:rPr>
              <w:t>matematiku</w:t>
            </w:r>
            <w:proofErr w:type="spellEnd"/>
            <w:r w:rsidRPr="00DF4CE5">
              <w:rPr>
                <w:rFonts w:ascii="Cambria" w:hAnsi="Cambria" w:cs="Calibri"/>
                <w:lang w:val="it-IT"/>
              </w:rPr>
              <w:t xml:space="preserve"> u </w:t>
            </w:r>
            <w:proofErr w:type="spellStart"/>
            <w:r w:rsidRPr="00DF4CE5">
              <w:rPr>
                <w:rFonts w:ascii="Cambria" w:hAnsi="Cambria" w:cs="Calibri"/>
                <w:lang w:val="it-IT"/>
              </w:rPr>
              <w:t>osnovnim</w:t>
            </w:r>
            <w:proofErr w:type="spellEnd"/>
            <w:r w:rsidRPr="00DF4CE5">
              <w:rPr>
                <w:rFonts w:ascii="Cambria" w:hAnsi="Cambria" w:cs="Calibri"/>
                <w:lang w:val="it-IT"/>
              </w:rPr>
              <w:t xml:space="preserve"> i </w:t>
            </w:r>
            <w:proofErr w:type="spellStart"/>
            <w:r w:rsidRPr="00DF4CE5">
              <w:rPr>
                <w:rFonts w:ascii="Cambria" w:hAnsi="Cambria" w:cs="Calibri"/>
                <w:lang w:val="it-IT"/>
              </w:rPr>
              <w:t>srednjim</w:t>
            </w:r>
            <w:proofErr w:type="spellEnd"/>
            <w:r w:rsidRPr="00DF4CE5">
              <w:rPr>
                <w:rFonts w:ascii="Cambria" w:hAnsi="Cambria" w:cs="Calibri"/>
                <w:lang w:val="it-IT"/>
              </w:rPr>
              <w:t xml:space="preserve"> </w:t>
            </w:r>
            <w:proofErr w:type="spellStart"/>
            <w:r w:rsidRPr="00DF4CE5">
              <w:rPr>
                <w:rFonts w:ascii="Cambria" w:hAnsi="Cambria" w:cs="Calibri"/>
                <w:lang w:val="it-IT"/>
              </w:rPr>
              <w:t>školama</w:t>
            </w:r>
            <w:proofErr w:type="spellEnd"/>
          </w:p>
        </w:tc>
      </w:tr>
    </w:tbl>
    <w:p w14:paraId="12B40B35" w14:textId="77777777" w:rsidR="00510729" w:rsidRPr="00DF4CE5" w:rsidRDefault="00510729" w:rsidP="00510729">
      <w:pPr>
        <w:spacing w:after="0" w:line="240" w:lineRule="auto"/>
        <w:rPr>
          <w:rFonts w:ascii="Cambria" w:eastAsia="Cambria" w:hAnsi="Cambria" w:cs="Cambria"/>
          <w:lang w:val="hr-HR"/>
        </w:rPr>
      </w:pPr>
    </w:p>
    <w:p w14:paraId="201E9C04" w14:textId="77777777" w:rsidR="00510729" w:rsidRPr="00DF4CE5" w:rsidRDefault="00510729" w:rsidP="00510729">
      <w:pPr>
        <w:spacing w:after="0" w:line="240" w:lineRule="auto"/>
        <w:rPr>
          <w:rFonts w:ascii="Cambria" w:eastAsia="Cambria" w:hAnsi="Cambria" w:cs="Cambria"/>
          <w:lang w:val="hr-HR"/>
        </w:rPr>
      </w:pPr>
    </w:p>
    <w:p w14:paraId="5153FBED" w14:textId="77777777" w:rsidR="00510729" w:rsidRPr="00DF4CE5" w:rsidRDefault="00510729" w:rsidP="00510729">
      <w:pPr>
        <w:spacing w:after="0" w:line="240" w:lineRule="auto"/>
        <w:rPr>
          <w:rFonts w:ascii="Cambria" w:eastAsia="Cambria" w:hAnsi="Cambria" w:cs="Cambria"/>
          <w:lang w:val="hr-HR"/>
        </w:rPr>
      </w:pPr>
    </w:p>
    <w:p w14:paraId="1DF48EF6" w14:textId="77777777" w:rsidR="00510729" w:rsidRPr="00DF4CE5" w:rsidRDefault="00510729" w:rsidP="00510729">
      <w:pPr>
        <w:spacing w:after="0" w:line="240" w:lineRule="auto"/>
        <w:rPr>
          <w:rFonts w:ascii="Cambria" w:eastAsia="Cambria" w:hAnsi="Cambria" w:cs="Cambria"/>
          <w:lang w:val="hr-HR"/>
        </w:rPr>
      </w:pPr>
    </w:p>
    <w:p w14:paraId="4A1D415E" w14:textId="77777777" w:rsidR="00510729" w:rsidRPr="00DF4CE5" w:rsidRDefault="00510729" w:rsidP="00510729">
      <w:pPr>
        <w:spacing w:after="0" w:line="240" w:lineRule="auto"/>
        <w:rPr>
          <w:rFonts w:ascii="Cambria" w:eastAsia="Cambria" w:hAnsi="Cambria" w:cs="Cambria"/>
          <w:lang w:val="hr-HR"/>
        </w:rPr>
      </w:pPr>
    </w:p>
    <w:p w14:paraId="5F61905C" w14:textId="77777777" w:rsidR="00510729" w:rsidRPr="00DF4CE5" w:rsidRDefault="00510729" w:rsidP="00510729">
      <w:pPr>
        <w:spacing w:after="0" w:line="240" w:lineRule="auto"/>
        <w:rPr>
          <w:rFonts w:ascii="Cambria" w:eastAsia="Cambria" w:hAnsi="Cambria" w:cs="Cambria"/>
          <w:lang w:val="hr-HR"/>
        </w:rPr>
      </w:pPr>
    </w:p>
    <w:p w14:paraId="3CEBF1C3" w14:textId="77777777" w:rsidR="00510729" w:rsidRPr="00DF4CE5" w:rsidRDefault="00510729" w:rsidP="00510729">
      <w:pPr>
        <w:spacing w:after="0" w:line="240" w:lineRule="auto"/>
        <w:rPr>
          <w:rFonts w:ascii="Cambria" w:eastAsia="Cambria" w:hAnsi="Cambria" w:cs="Cambria"/>
          <w:lang w:val="hr-HR"/>
        </w:rPr>
      </w:pPr>
    </w:p>
    <w:p w14:paraId="5EEA0F24" w14:textId="20A7EB39" w:rsidR="00DC4673" w:rsidRPr="00DF4CE5" w:rsidRDefault="00DC4673" w:rsidP="0008561B">
      <w:pPr>
        <w:rPr>
          <w:rFonts w:ascii="Cambria" w:eastAsia="Cambria" w:hAnsi="Cambria" w:cs="Cambria"/>
          <w:lang w:val="hr-HR"/>
        </w:rPr>
      </w:pPr>
    </w:p>
    <w:p w14:paraId="3C4D274C" w14:textId="77777777" w:rsidR="00510729" w:rsidRPr="00DF4CE5" w:rsidRDefault="00510729" w:rsidP="00510729">
      <w:pPr>
        <w:spacing w:after="0" w:line="240" w:lineRule="auto"/>
        <w:rPr>
          <w:rFonts w:ascii="Cambria" w:eastAsia="Cambria" w:hAnsi="Cambria" w:cs="Cambria"/>
          <w:lang w:val="hr-HR"/>
        </w:rPr>
      </w:pPr>
    </w:p>
    <w:tbl>
      <w:tblPr>
        <w:tblW w:w="5000" w:type="pct"/>
        <w:tblLayout w:type="fixed"/>
        <w:tblCellMar>
          <w:left w:w="0" w:type="dxa"/>
          <w:right w:w="0" w:type="dxa"/>
        </w:tblCellMar>
        <w:tblLook w:val="0600" w:firstRow="0" w:lastRow="0" w:firstColumn="0" w:lastColumn="0" w:noHBand="1" w:noVBand="1"/>
      </w:tblPr>
      <w:tblGrid>
        <w:gridCol w:w="2807"/>
        <w:gridCol w:w="2663"/>
        <w:gridCol w:w="105"/>
        <w:gridCol w:w="1171"/>
        <w:gridCol w:w="300"/>
        <w:gridCol w:w="472"/>
        <w:gridCol w:w="1087"/>
        <w:gridCol w:w="1415"/>
      </w:tblGrid>
      <w:tr w:rsidR="00510729" w:rsidRPr="00DF4CE5" w14:paraId="70847609" w14:textId="77777777" w:rsidTr="00510729">
        <w:tc>
          <w:tcPr>
            <w:tcW w:w="9052"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6E95590" w14:textId="77777777" w:rsidR="00510729" w:rsidRPr="00DF4CE5" w:rsidRDefault="00510729" w:rsidP="00510729">
            <w:pPr>
              <w:spacing w:after="0" w:line="240" w:lineRule="atLeast"/>
              <w:jc w:val="right"/>
              <w:rPr>
                <w:rFonts w:ascii="Cambria" w:eastAsia="Times New Roman" w:hAnsi="Cambria" w:cs="Calibri"/>
                <w:b/>
                <w:bCs/>
                <w:lang w:val="hr-HR"/>
              </w:rPr>
            </w:pPr>
            <w:r w:rsidRPr="00DF4CE5">
              <w:rPr>
                <w:rFonts w:ascii="Cambria" w:eastAsia="Times New Roman" w:hAnsi="Cambria" w:cs="Calibri"/>
                <w:b/>
                <w:bCs/>
                <w:lang w:val="hr-HR"/>
              </w:rPr>
              <w:lastRenderedPageBreak/>
              <w:t>IZVEDBENI PLAN NASTAVE KOLEGIJA</w:t>
            </w:r>
          </w:p>
        </w:tc>
      </w:tr>
      <w:tr w:rsidR="00510729" w:rsidRPr="00DF4CE5" w14:paraId="3D854958" w14:textId="77777777" w:rsidTr="00510729">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4B139DF" w14:textId="77777777" w:rsidR="00510729" w:rsidRPr="00DF4CE5" w:rsidRDefault="00510729" w:rsidP="00510729">
            <w:pPr>
              <w:spacing w:after="0" w:line="240" w:lineRule="atLeast"/>
              <w:rPr>
                <w:rFonts w:ascii="Cambria" w:eastAsia="Times New Roman" w:hAnsi="Cambria" w:cs="Calibri"/>
                <w:lang w:val="hr-HR"/>
              </w:rPr>
            </w:pPr>
            <w:r w:rsidRPr="00DF4CE5">
              <w:rPr>
                <w:rFonts w:ascii="Cambria" w:eastAsia="Times New Roman" w:hAnsi="Cambria" w:cs="Calibri"/>
                <w:lang w:val="hr-HR"/>
              </w:rPr>
              <w:t>Kod i naziv kolegija</w:t>
            </w:r>
          </w:p>
        </w:tc>
        <w:tc>
          <w:tcPr>
            <w:tcW w:w="651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E05EA91" w14:textId="39E104B8" w:rsidR="00510729" w:rsidRPr="00DF4CE5" w:rsidRDefault="00CE1FD6" w:rsidP="00510729">
            <w:pPr>
              <w:spacing w:after="0" w:line="240" w:lineRule="atLeast"/>
              <w:rPr>
                <w:rFonts w:ascii="Cambria" w:eastAsia="Times New Roman" w:hAnsi="Cambria" w:cs="Calibri"/>
                <w:lang w:val="hr-HR"/>
              </w:rPr>
            </w:pPr>
            <w:r w:rsidRPr="00DF4CE5">
              <w:rPr>
                <w:rFonts w:ascii="Cambria" w:eastAsia="Times New Roman" w:hAnsi="Cambria" w:cs="Calibri"/>
                <w:lang w:val="hr-HR"/>
              </w:rPr>
              <w:t>273622</w:t>
            </w:r>
          </w:p>
          <w:p w14:paraId="04048C41" w14:textId="77777777" w:rsidR="00510729" w:rsidRPr="00DF4CE5" w:rsidRDefault="00510729" w:rsidP="00510729">
            <w:pPr>
              <w:spacing w:after="0" w:line="240" w:lineRule="atLeast"/>
              <w:rPr>
                <w:rFonts w:ascii="Cambria" w:eastAsia="Times New Roman" w:hAnsi="Cambria" w:cs="Calibri"/>
                <w:lang w:val="hr-HR"/>
              </w:rPr>
            </w:pPr>
            <w:r w:rsidRPr="00DF4CE5">
              <w:rPr>
                <w:rFonts w:ascii="Cambria" w:eastAsia="Times New Roman" w:hAnsi="Cambria" w:cs="Calibri"/>
                <w:lang w:val="hr-HR"/>
              </w:rPr>
              <w:t xml:space="preserve">Informatika </w:t>
            </w:r>
          </w:p>
        </w:tc>
      </w:tr>
      <w:tr w:rsidR="00510729" w:rsidRPr="000B2D2C" w14:paraId="4F0FE5B7" w14:textId="77777777" w:rsidTr="00510729">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D5B837E" w14:textId="77777777" w:rsidR="00510729" w:rsidRPr="00DF4CE5" w:rsidRDefault="00510729" w:rsidP="00510729">
            <w:pPr>
              <w:spacing w:after="0" w:line="240" w:lineRule="atLeast"/>
              <w:rPr>
                <w:rFonts w:ascii="Cambria" w:eastAsia="Times New Roman" w:hAnsi="Cambria" w:cs="Calibri"/>
                <w:lang w:val="hr-HR"/>
              </w:rPr>
            </w:pPr>
            <w:r w:rsidRPr="00DF4CE5">
              <w:rPr>
                <w:rFonts w:ascii="Cambria" w:eastAsia="Times New Roman" w:hAnsi="Cambria" w:cs="Calibri"/>
                <w:lang w:val="hr-HR"/>
              </w:rPr>
              <w:t xml:space="preserve">Nastavnica </w:t>
            </w:r>
          </w:p>
          <w:p w14:paraId="7AD06065" w14:textId="6D584673" w:rsidR="00510729" w:rsidRPr="00DF4CE5" w:rsidRDefault="00510729" w:rsidP="00510729">
            <w:pPr>
              <w:spacing w:after="0" w:line="240" w:lineRule="atLeast"/>
              <w:rPr>
                <w:rFonts w:ascii="Cambria" w:eastAsia="Times New Roman" w:hAnsi="Cambria" w:cs="Calibri"/>
                <w:lang w:val="hr-HR"/>
              </w:rPr>
            </w:pPr>
            <w:r w:rsidRPr="00DF4CE5">
              <w:rPr>
                <w:rFonts w:ascii="Cambria" w:eastAsia="Times New Roman" w:hAnsi="Cambria" w:cs="Calibri"/>
                <w:lang w:val="hr-HR"/>
              </w:rPr>
              <w:t>Suradni</w:t>
            </w:r>
            <w:r w:rsidR="00A61D16">
              <w:rPr>
                <w:rFonts w:ascii="Cambria" w:eastAsia="Times New Roman" w:hAnsi="Cambria" w:cs="Calibri"/>
                <w:lang w:val="hr-HR"/>
              </w:rPr>
              <w:t>k</w:t>
            </w:r>
          </w:p>
        </w:tc>
        <w:tc>
          <w:tcPr>
            <w:tcW w:w="651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70F0AEA" w14:textId="569A09AF" w:rsidR="00510729" w:rsidRPr="00DF4CE5" w:rsidRDefault="000B2D2C" w:rsidP="00510729">
            <w:pPr>
              <w:spacing w:after="0" w:line="240" w:lineRule="atLeast"/>
              <w:rPr>
                <w:rFonts w:ascii="Cambria" w:eastAsia="Times New Roman" w:hAnsi="Cambria" w:cs="Calibri"/>
                <w:lang w:val="hr-HR"/>
              </w:rPr>
            </w:pPr>
            <w:hyperlink r:id="rId79" w:history="1">
              <w:r w:rsidRPr="000B2D2C">
                <w:rPr>
                  <w:rStyle w:val="Hiperveza"/>
                  <w:rFonts w:ascii="Cambria" w:eastAsia="Times New Roman" w:hAnsi="Cambria" w:cs="Calibri"/>
                  <w:lang w:val="hr-HR"/>
                </w:rPr>
                <w:t xml:space="preserve">Naslovna doc. dr. sc. Elena </w:t>
              </w:r>
              <w:proofErr w:type="spellStart"/>
              <w:r w:rsidRPr="000B2D2C">
                <w:rPr>
                  <w:rStyle w:val="Hiperveza"/>
                  <w:rFonts w:ascii="Cambria" w:eastAsia="Times New Roman" w:hAnsi="Cambria" w:cs="Calibri"/>
                  <w:lang w:val="hr-HR"/>
                </w:rPr>
                <w:t>Krelja</w:t>
              </w:r>
              <w:proofErr w:type="spellEnd"/>
              <w:r w:rsidRPr="000B2D2C">
                <w:rPr>
                  <w:rStyle w:val="Hiperveza"/>
                  <w:rFonts w:ascii="Cambria" w:eastAsia="Times New Roman" w:hAnsi="Cambria" w:cs="Calibri"/>
                  <w:lang w:val="hr-HR"/>
                </w:rPr>
                <w:t xml:space="preserve"> </w:t>
              </w:r>
              <w:proofErr w:type="spellStart"/>
              <w:r w:rsidRPr="000B2D2C">
                <w:rPr>
                  <w:rStyle w:val="Hiperveza"/>
                  <w:rFonts w:ascii="Cambria" w:eastAsia="Times New Roman" w:hAnsi="Cambria" w:cs="Calibri"/>
                  <w:lang w:val="hr-HR"/>
                </w:rPr>
                <w:t>Kurelović</w:t>
              </w:r>
              <w:proofErr w:type="spellEnd"/>
            </w:hyperlink>
            <w:r w:rsidR="00A61D16">
              <w:rPr>
                <w:rFonts w:ascii="Cambria" w:eastAsia="Times New Roman" w:hAnsi="Cambria" w:cs="Calibri"/>
                <w:lang w:val="hr-HR"/>
              </w:rPr>
              <w:t xml:space="preserve"> (nositeljica)</w:t>
            </w:r>
          </w:p>
          <w:p w14:paraId="07226F2E" w14:textId="5F160D57" w:rsidR="00510729" w:rsidRPr="00DF4CE5" w:rsidRDefault="00510729" w:rsidP="00510729">
            <w:pPr>
              <w:spacing w:after="0" w:line="240" w:lineRule="atLeast"/>
              <w:rPr>
                <w:rFonts w:ascii="Cambria" w:eastAsia="Times New Roman" w:hAnsi="Cambria" w:cs="Calibri"/>
                <w:lang w:val="hr-HR"/>
              </w:rPr>
            </w:pPr>
            <w:hyperlink r:id="rId80" w:history="1">
              <w:r w:rsidRPr="00A61D16">
                <w:rPr>
                  <w:rStyle w:val="Hiperveza"/>
                  <w:rFonts w:ascii="Cambria" w:eastAsia="Times New Roman" w:hAnsi="Cambria" w:cs="Calibri"/>
                  <w:lang w:val="hr-HR"/>
                </w:rPr>
                <w:t xml:space="preserve">Janko </w:t>
              </w:r>
              <w:proofErr w:type="spellStart"/>
              <w:r w:rsidRPr="00A61D16">
                <w:rPr>
                  <w:rStyle w:val="Hiperveza"/>
                  <w:rFonts w:ascii="Cambria" w:eastAsia="Times New Roman" w:hAnsi="Cambria" w:cs="Calibri"/>
                  <w:lang w:val="hr-HR"/>
                </w:rPr>
                <w:t>Žufić</w:t>
              </w:r>
              <w:proofErr w:type="spellEnd"/>
              <w:r w:rsidRPr="00A61D16">
                <w:rPr>
                  <w:rStyle w:val="Hiperveza"/>
                  <w:rFonts w:ascii="Cambria" w:eastAsia="Times New Roman" w:hAnsi="Cambria" w:cs="Calibri"/>
                  <w:lang w:val="hr-HR"/>
                </w:rPr>
                <w:t>, v</w:t>
              </w:r>
              <w:r w:rsidR="00A61D16" w:rsidRPr="00A61D16">
                <w:rPr>
                  <w:rStyle w:val="Hiperveza"/>
                  <w:rFonts w:ascii="Cambria" w:eastAsia="Times New Roman" w:hAnsi="Cambria" w:cs="Calibri"/>
                  <w:lang w:val="hr-HR"/>
                </w:rPr>
                <w:t>.</w:t>
              </w:r>
              <w:r w:rsidRPr="00A61D16">
                <w:rPr>
                  <w:rStyle w:val="Hiperveza"/>
                  <w:rFonts w:ascii="Cambria" w:eastAsia="Times New Roman" w:hAnsi="Cambria" w:cs="Calibri"/>
                  <w:lang w:val="hr-HR"/>
                </w:rPr>
                <w:t xml:space="preserve"> pred</w:t>
              </w:r>
              <w:r w:rsidR="00A61D16" w:rsidRPr="00A61D16">
                <w:rPr>
                  <w:rStyle w:val="Hiperveza"/>
                  <w:rFonts w:ascii="Cambria" w:eastAsia="Times New Roman" w:hAnsi="Cambria" w:cs="Calibri"/>
                  <w:lang w:val="hr-HR"/>
                </w:rPr>
                <w:t>.</w:t>
              </w:r>
            </w:hyperlink>
          </w:p>
        </w:tc>
      </w:tr>
      <w:tr w:rsidR="00510729" w:rsidRPr="00D0399C" w14:paraId="790774BC" w14:textId="77777777" w:rsidTr="00510729">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FEC8B8D" w14:textId="77777777" w:rsidR="00510729" w:rsidRPr="00DF4CE5" w:rsidRDefault="00510729" w:rsidP="00510729">
            <w:pPr>
              <w:spacing w:after="0" w:line="240" w:lineRule="atLeast"/>
              <w:rPr>
                <w:rFonts w:ascii="Cambria" w:eastAsia="Times New Roman" w:hAnsi="Cambria" w:cs="Calibri"/>
                <w:lang w:val="hr-HR"/>
              </w:rPr>
            </w:pPr>
            <w:r w:rsidRPr="00DF4CE5">
              <w:rPr>
                <w:rFonts w:ascii="Cambria" w:eastAsia="Times New Roman" w:hAnsi="Cambria" w:cs="Calibri"/>
                <w:lang w:val="hr-HR"/>
              </w:rPr>
              <w:t>Studijski program</w:t>
            </w:r>
          </w:p>
        </w:tc>
        <w:tc>
          <w:tcPr>
            <w:tcW w:w="651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0B2738C" w14:textId="77777777" w:rsidR="00510729" w:rsidRPr="00DF4CE5" w:rsidRDefault="00510729" w:rsidP="00510729">
            <w:pPr>
              <w:spacing w:after="0" w:line="240" w:lineRule="atLeast"/>
              <w:rPr>
                <w:rFonts w:ascii="Cambria" w:eastAsia="Times New Roman" w:hAnsi="Cambria" w:cs="Calibri"/>
                <w:lang w:val="hr-HR"/>
              </w:rPr>
            </w:pPr>
            <w:r w:rsidRPr="00DF4CE5">
              <w:rPr>
                <w:rFonts w:ascii="Cambria" w:eastAsia="Calibri" w:hAnsi="Cambria" w:cs="Calibri"/>
                <w:lang w:val="hr-HR"/>
              </w:rPr>
              <w:t>Sveučilišni integrirani prijediplomski i diplomski Učiteljski studij na hrvatskom jeziku</w:t>
            </w:r>
          </w:p>
        </w:tc>
      </w:tr>
      <w:tr w:rsidR="00510729" w:rsidRPr="00DF4CE5" w14:paraId="3D4946C7" w14:textId="77777777" w:rsidTr="00510729">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E1636F3" w14:textId="77777777" w:rsidR="00510729" w:rsidRPr="00DF4CE5" w:rsidRDefault="00510729" w:rsidP="00510729">
            <w:pPr>
              <w:spacing w:after="0" w:line="240" w:lineRule="atLeast"/>
              <w:rPr>
                <w:rFonts w:ascii="Cambria" w:eastAsia="Times New Roman" w:hAnsi="Cambria" w:cs="Calibri"/>
                <w:lang w:val="hr-HR"/>
              </w:rPr>
            </w:pPr>
            <w:r w:rsidRPr="00DF4CE5">
              <w:rPr>
                <w:rFonts w:ascii="Cambria" w:eastAsia="Times New Roman" w:hAnsi="Cambria" w:cs="Calibri"/>
                <w:lang w:val="hr-HR"/>
              </w:rPr>
              <w:t>Vrsta kolegija</w:t>
            </w:r>
          </w:p>
        </w:tc>
        <w:tc>
          <w:tcPr>
            <w:tcW w:w="240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546DC6C" w14:textId="77777777" w:rsidR="00510729" w:rsidRPr="00DF4CE5" w:rsidRDefault="00510729" w:rsidP="00510729">
            <w:pPr>
              <w:spacing w:after="0" w:line="240" w:lineRule="atLeast"/>
              <w:rPr>
                <w:rFonts w:ascii="Cambria" w:eastAsia="Times New Roman" w:hAnsi="Cambria" w:cs="Calibri"/>
                <w:lang w:val="hr-HR"/>
              </w:rPr>
            </w:pPr>
            <w:r w:rsidRPr="00DF4CE5">
              <w:rPr>
                <w:rFonts w:ascii="Cambria" w:eastAsia="Times New Roman" w:hAnsi="Cambria" w:cs="Calibri"/>
                <w:lang w:val="hr-HR"/>
              </w:rPr>
              <w:t>obvezan</w:t>
            </w:r>
          </w:p>
        </w:tc>
        <w:tc>
          <w:tcPr>
            <w:tcW w:w="1424"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2A82F467" w14:textId="77777777" w:rsidR="00510729" w:rsidRPr="00DF4CE5" w:rsidRDefault="00510729" w:rsidP="00510729">
            <w:pPr>
              <w:spacing w:after="0" w:line="240" w:lineRule="atLeast"/>
              <w:rPr>
                <w:rFonts w:ascii="Cambria" w:eastAsia="Times New Roman" w:hAnsi="Cambria" w:cs="Calibri"/>
                <w:lang w:val="hr-HR"/>
              </w:rPr>
            </w:pPr>
            <w:r w:rsidRPr="00DF4CE5">
              <w:rPr>
                <w:rFonts w:ascii="Cambria" w:eastAsia="Times New Roman" w:hAnsi="Cambria" w:cs="Calibri"/>
                <w:lang w:val="hr-HR"/>
              </w:rPr>
              <w:t>Razina kolegija</w:t>
            </w:r>
          </w:p>
        </w:tc>
        <w:tc>
          <w:tcPr>
            <w:tcW w:w="2686"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CE6CCBC" w14:textId="77777777" w:rsidR="00510729" w:rsidRPr="00DF4CE5" w:rsidRDefault="00510729" w:rsidP="00510729">
            <w:pPr>
              <w:spacing w:after="0" w:line="240" w:lineRule="atLeast"/>
              <w:rPr>
                <w:rFonts w:ascii="Cambria" w:eastAsia="Times New Roman" w:hAnsi="Cambria" w:cs="Calibri"/>
                <w:lang w:val="hr-HR"/>
              </w:rPr>
            </w:pPr>
            <w:proofErr w:type="spellStart"/>
            <w:r w:rsidRPr="00DF4CE5">
              <w:rPr>
                <w:rFonts w:ascii="Cambria" w:eastAsia="Times New Roman" w:hAnsi="Cambria" w:cs="Calibri"/>
                <w:lang w:val="it-IT"/>
              </w:rPr>
              <w:t>integrirani</w:t>
            </w:r>
            <w:proofErr w:type="spellEnd"/>
          </w:p>
        </w:tc>
      </w:tr>
      <w:tr w:rsidR="00510729" w:rsidRPr="00DF4CE5" w14:paraId="314210A8" w14:textId="77777777" w:rsidTr="00510729">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F2D0B26" w14:textId="77777777" w:rsidR="00510729" w:rsidRPr="00DF4CE5" w:rsidRDefault="00510729" w:rsidP="00510729">
            <w:pPr>
              <w:spacing w:after="0" w:line="240" w:lineRule="atLeast"/>
              <w:rPr>
                <w:rFonts w:ascii="Cambria" w:eastAsia="Times New Roman" w:hAnsi="Cambria" w:cs="Calibri"/>
                <w:lang w:val="hr-HR"/>
              </w:rPr>
            </w:pPr>
            <w:r w:rsidRPr="00DF4CE5">
              <w:rPr>
                <w:rFonts w:ascii="Cambria" w:eastAsia="Times New Roman" w:hAnsi="Cambria" w:cs="Calibri"/>
                <w:lang w:val="hr-HR"/>
              </w:rPr>
              <w:t>Semestar</w:t>
            </w:r>
          </w:p>
        </w:tc>
        <w:tc>
          <w:tcPr>
            <w:tcW w:w="240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E1175E4" w14:textId="77777777" w:rsidR="00510729" w:rsidRPr="00DF4CE5" w:rsidRDefault="00510729" w:rsidP="00510729">
            <w:pPr>
              <w:spacing w:after="0" w:line="240" w:lineRule="atLeast"/>
              <w:rPr>
                <w:rFonts w:ascii="Cambria" w:eastAsia="Times New Roman" w:hAnsi="Cambria" w:cs="Calibri"/>
                <w:lang w:val="hr-HR"/>
              </w:rPr>
            </w:pPr>
            <w:r w:rsidRPr="00DF4CE5">
              <w:rPr>
                <w:rFonts w:ascii="Cambria" w:eastAsia="Times New Roman" w:hAnsi="Cambria" w:cs="Calibri"/>
                <w:lang w:val="hr-HR"/>
              </w:rPr>
              <w:t>ljetni</w:t>
            </w:r>
          </w:p>
        </w:tc>
        <w:tc>
          <w:tcPr>
            <w:tcW w:w="1424"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3EE47170" w14:textId="77777777" w:rsidR="00510729" w:rsidRPr="00DF4CE5" w:rsidRDefault="00510729" w:rsidP="00510729">
            <w:pPr>
              <w:spacing w:after="0" w:line="240" w:lineRule="atLeast"/>
              <w:rPr>
                <w:rFonts w:ascii="Cambria" w:eastAsia="Times New Roman" w:hAnsi="Cambria" w:cs="Calibri"/>
                <w:lang w:val="hr-HR"/>
              </w:rPr>
            </w:pPr>
            <w:r w:rsidRPr="00DF4CE5">
              <w:rPr>
                <w:rFonts w:ascii="Cambria" w:eastAsia="Times New Roman" w:hAnsi="Cambria" w:cs="Calibri"/>
                <w:lang w:val="hr-HR"/>
              </w:rPr>
              <w:t>Godina studija</w:t>
            </w:r>
          </w:p>
        </w:tc>
        <w:tc>
          <w:tcPr>
            <w:tcW w:w="2686"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CE0A5B6" w14:textId="77777777" w:rsidR="00510729" w:rsidRPr="00DF4CE5" w:rsidRDefault="00510729" w:rsidP="00510729">
            <w:pPr>
              <w:spacing w:after="0" w:line="240" w:lineRule="atLeast"/>
              <w:rPr>
                <w:rFonts w:ascii="Cambria" w:eastAsia="Times New Roman" w:hAnsi="Cambria" w:cs="Calibri"/>
                <w:lang w:val="hr-HR"/>
              </w:rPr>
            </w:pPr>
            <w:r w:rsidRPr="00DF4CE5">
              <w:rPr>
                <w:rFonts w:ascii="Cambria" w:eastAsia="Times New Roman" w:hAnsi="Cambria" w:cs="Calibri"/>
                <w:lang w:val="hr-HR"/>
              </w:rPr>
              <w:t>II.</w:t>
            </w:r>
          </w:p>
        </w:tc>
      </w:tr>
      <w:tr w:rsidR="00510729" w:rsidRPr="00DF4CE5" w14:paraId="4803BF8E" w14:textId="77777777" w:rsidTr="00510729">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E85D931" w14:textId="77777777" w:rsidR="00510729" w:rsidRPr="00DF4CE5" w:rsidRDefault="00510729" w:rsidP="00510729">
            <w:pPr>
              <w:spacing w:after="0" w:line="240" w:lineRule="atLeast"/>
              <w:rPr>
                <w:rFonts w:ascii="Cambria" w:eastAsia="Times New Roman" w:hAnsi="Cambria" w:cs="Calibri"/>
                <w:lang w:val="hr-HR"/>
              </w:rPr>
            </w:pPr>
            <w:r w:rsidRPr="00DF4CE5">
              <w:rPr>
                <w:rFonts w:ascii="Cambria" w:eastAsia="Times New Roman" w:hAnsi="Cambria" w:cs="Calibri"/>
                <w:lang w:val="hr-HR"/>
              </w:rPr>
              <w:t>Mjesto izvođenja</w:t>
            </w:r>
          </w:p>
        </w:tc>
        <w:tc>
          <w:tcPr>
            <w:tcW w:w="240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FEA16AC" w14:textId="77777777" w:rsidR="00510729" w:rsidRPr="00DF4CE5" w:rsidRDefault="00510729" w:rsidP="00510729">
            <w:pPr>
              <w:spacing w:after="0" w:line="240" w:lineRule="atLeast"/>
              <w:rPr>
                <w:rFonts w:ascii="Cambria" w:eastAsia="Times New Roman" w:hAnsi="Cambria" w:cs="Calibri"/>
                <w:lang w:val="hr-HR"/>
              </w:rPr>
            </w:pPr>
            <w:r w:rsidRPr="00DF4CE5">
              <w:rPr>
                <w:rFonts w:ascii="Cambria" w:eastAsia="Times New Roman" w:hAnsi="Cambria" w:cs="Calibri"/>
                <w:lang w:val="hr-HR"/>
              </w:rPr>
              <w:t>učionica</w:t>
            </w:r>
          </w:p>
        </w:tc>
        <w:tc>
          <w:tcPr>
            <w:tcW w:w="1424"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5274B793" w14:textId="77777777" w:rsidR="00510729" w:rsidRPr="00DF4CE5" w:rsidRDefault="00510729" w:rsidP="00510729">
            <w:pPr>
              <w:spacing w:after="0" w:line="240" w:lineRule="atLeast"/>
              <w:rPr>
                <w:rFonts w:ascii="Cambria" w:eastAsia="Times New Roman" w:hAnsi="Cambria" w:cs="Calibri"/>
                <w:lang w:val="hr-HR"/>
              </w:rPr>
            </w:pPr>
            <w:r w:rsidRPr="00DF4CE5">
              <w:rPr>
                <w:rFonts w:ascii="Cambria" w:eastAsia="Times New Roman" w:hAnsi="Cambria" w:cs="Calibri"/>
                <w:lang w:val="hr-HR"/>
              </w:rPr>
              <w:t>Jezik izvođenja (drugi jezici)</w:t>
            </w:r>
          </w:p>
        </w:tc>
        <w:tc>
          <w:tcPr>
            <w:tcW w:w="2686"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2B35C3D" w14:textId="77777777" w:rsidR="00510729" w:rsidRPr="00DF4CE5" w:rsidRDefault="00510729" w:rsidP="00510729">
            <w:pPr>
              <w:spacing w:after="0" w:line="240" w:lineRule="atLeast"/>
              <w:rPr>
                <w:rFonts w:ascii="Cambria" w:eastAsia="Times New Roman" w:hAnsi="Cambria" w:cs="Calibri"/>
                <w:lang w:val="hr-HR"/>
              </w:rPr>
            </w:pPr>
            <w:r w:rsidRPr="00DF4CE5">
              <w:rPr>
                <w:rFonts w:ascii="Cambria" w:eastAsia="Times New Roman" w:hAnsi="Cambria" w:cs="Calibri"/>
                <w:lang w:val="hr-HR"/>
              </w:rPr>
              <w:t xml:space="preserve">hrvatski </w:t>
            </w:r>
          </w:p>
          <w:p w14:paraId="15E68833" w14:textId="77777777" w:rsidR="00510729" w:rsidRPr="00DF4CE5" w:rsidRDefault="00510729" w:rsidP="00510729">
            <w:pPr>
              <w:spacing w:after="0" w:line="240" w:lineRule="atLeast"/>
              <w:rPr>
                <w:rFonts w:ascii="Cambria" w:eastAsia="Times New Roman" w:hAnsi="Cambria" w:cs="Calibri"/>
                <w:lang w:val="hr-HR"/>
              </w:rPr>
            </w:pPr>
          </w:p>
        </w:tc>
      </w:tr>
      <w:tr w:rsidR="00510729" w:rsidRPr="00DF4CE5" w14:paraId="591DE07E" w14:textId="77777777" w:rsidTr="00510729">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2D878CF" w14:textId="77777777" w:rsidR="00510729" w:rsidRPr="00DF4CE5" w:rsidRDefault="00510729" w:rsidP="00510729">
            <w:pPr>
              <w:spacing w:after="0" w:line="240" w:lineRule="atLeast"/>
              <w:rPr>
                <w:rFonts w:ascii="Cambria" w:eastAsia="Times New Roman" w:hAnsi="Cambria" w:cs="Calibri"/>
                <w:lang w:val="hr-HR"/>
              </w:rPr>
            </w:pPr>
            <w:r w:rsidRPr="00DF4CE5">
              <w:rPr>
                <w:rFonts w:ascii="Cambria" w:eastAsia="Times New Roman" w:hAnsi="Cambria" w:cs="Calibri"/>
                <w:lang w:val="hr-HR"/>
              </w:rPr>
              <w:t>Broj ECTS bodova</w:t>
            </w:r>
          </w:p>
        </w:tc>
        <w:tc>
          <w:tcPr>
            <w:tcW w:w="240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59F8F50" w14:textId="77777777" w:rsidR="00510729" w:rsidRPr="00DF4CE5" w:rsidRDefault="00510729" w:rsidP="00510729">
            <w:pPr>
              <w:spacing w:after="0" w:line="240" w:lineRule="atLeast"/>
              <w:rPr>
                <w:rFonts w:ascii="Cambria" w:eastAsia="Times New Roman" w:hAnsi="Cambria" w:cs="Calibri"/>
                <w:lang w:val="hr-HR"/>
              </w:rPr>
            </w:pPr>
            <w:r w:rsidRPr="00DF4CE5">
              <w:rPr>
                <w:rFonts w:ascii="Cambria" w:eastAsia="Times New Roman" w:hAnsi="Cambria" w:cs="Calibri"/>
                <w:lang w:val="hr-HR"/>
              </w:rPr>
              <w:t>6</w:t>
            </w:r>
          </w:p>
        </w:tc>
        <w:tc>
          <w:tcPr>
            <w:tcW w:w="1424"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6549E267" w14:textId="77777777" w:rsidR="00510729" w:rsidRPr="00DF4CE5" w:rsidRDefault="00510729" w:rsidP="00510729">
            <w:pPr>
              <w:spacing w:after="0" w:line="240" w:lineRule="atLeast"/>
              <w:rPr>
                <w:rFonts w:ascii="Cambria" w:eastAsia="Times New Roman" w:hAnsi="Cambria" w:cs="Calibri"/>
                <w:lang w:val="hr-HR"/>
              </w:rPr>
            </w:pPr>
            <w:r w:rsidRPr="00DF4CE5">
              <w:rPr>
                <w:rFonts w:ascii="Cambria" w:eastAsia="Times New Roman" w:hAnsi="Cambria" w:cs="Calibri"/>
                <w:lang w:val="hr-HR"/>
              </w:rPr>
              <w:t>Broj sati u semestru</w:t>
            </w:r>
          </w:p>
        </w:tc>
        <w:tc>
          <w:tcPr>
            <w:tcW w:w="2686"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E7F6A4C" w14:textId="6BE3AD11" w:rsidR="00510729" w:rsidRPr="00DF4CE5" w:rsidRDefault="00510729" w:rsidP="00510729">
            <w:pPr>
              <w:spacing w:after="0" w:line="240" w:lineRule="atLeast"/>
              <w:rPr>
                <w:rFonts w:ascii="Cambria" w:eastAsia="Times New Roman" w:hAnsi="Cambria" w:cs="Calibri"/>
                <w:lang w:val="hr-HR"/>
              </w:rPr>
            </w:pPr>
            <w:r w:rsidRPr="00DF4CE5">
              <w:rPr>
                <w:rFonts w:ascii="Cambria" w:eastAsia="Times New Roman" w:hAnsi="Cambria" w:cs="Calibri"/>
                <w:lang w:val="hr-HR"/>
              </w:rPr>
              <w:t>30P – 15</w:t>
            </w:r>
            <w:r w:rsidR="00CE1FD6" w:rsidRPr="00DF4CE5">
              <w:rPr>
                <w:rFonts w:ascii="Cambria" w:eastAsia="Times New Roman" w:hAnsi="Cambria" w:cs="Calibri"/>
                <w:lang w:val="hr-HR"/>
              </w:rPr>
              <w:t>S</w:t>
            </w:r>
            <w:r w:rsidRPr="00DF4CE5">
              <w:rPr>
                <w:rFonts w:ascii="Cambria" w:eastAsia="Times New Roman" w:hAnsi="Cambria" w:cs="Calibri"/>
                <w:lang w:val="hr-HR"/>
              </w:rPr>
              <w:t xml:space="preserve"> – 15</w:t>
            </w:r>
            <w:r w:rsidR="00CE1FD6" w:rsidRPr="00DF4CE5">
              <w:rPr>
                <w:rFonts w:ascii="Cambria" w:eastAsia="Times New Roman" w:hAnsi="Cambria" w:cs="Calibri"/>
                <w:lang w:val="hr-HR"/>
              </w:rPr>
              <w:t>V</w:t>
            </w:r>
            <w:r w:rsidRPr="00DF4CE5">
              <w:rPr>
                <w:rFonts w:ascii="Cambria" w:eastAsia="Times New Roman" w:hAnsi="Cambria" w:cs="Calibri"/>
                <w:lang w:val="hr-HR"/>
              </w:rPr>
              <w:t xml:space="preserve">   </w:t>
            </w:r>
          </w:p>
        </w:tc>
      </w:tr>
      <w:tr w:rsidR="00510729" w:rsidRPr="00DF4CE5" w14:paraId="2F92FA44" w14:textId="77777777" w:rsidTr="00510729">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A3A176A" w14:textId="77777777" w:rsidR="00510729" w:rsidRPr="00DF4CE5" w:rsidRDefault="00510729" w:rsidP="00510729">
            <w:pPr>
              <w:spacing w:after="0" w:line="240" w:lineRule="atLeast"/>
              <w:rPr>
                <w:rFonts w:ascii="Cambria" w:eastAsia="Times New Roman" w:hAnsi="Cambria" w:cs="Calibri"/>
                <w:lang w:val="hr-HR"/>
              </w:rPr>
            </w:pPr>
            <w:r w:rsidRPr="00DF4CE5">
              <w:rPr>
                <w:rFonts w:ascii="Cambria" w:eastAsia="Times New Roman" w:hAnsi="Cambria" w:cs="Calibri"/>
                <w:lang w:val="hr-HR"/>
              </w:rPr>
              <w:t>Preduvjeti za upis i za svladavanje</w:t>
            </w:r>
          </w:p>
        </w:tc>
        <w:tc>
          <w:tcPr>
            <w:tcW w:w="651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1A12EF3" w14:textId="77777777" w:rsidR="00510729" w:rsidRPr="00DF4CE5" w:rsidRDefault="00510729" w:rsidP="00510729">
            <w:pPr>
              <w:spacing w:after="0" w:line="240" w:lineRule="atLeast"/>
              <w:rPr>
                <w:rFonts w:ascii="Cambria" w:eastAsia="Times New Roman" w:hAnsi="Cambria" w:cs="Calibri"/>
                <w:lang w:val="hr-HR"/>
              </w:rPr>
            </w:pPr>
            <w:r w:rsidRPr="00DF4CE5">
              <w:rPr>
                <w:rFonts w:ascii="Cambria" w:eastAsia="Times New Roman" w:hAnsi="Cambria" w:cs="Calibri"/>
                <w:lang w:val="hr-HR"/>
              </w:rPr>
              <w:t>nema preduvjeta za upis</w:t>
            </w:r>
          </w:p>
        </w:tc>
      </w:tr>
      <w:tr w:rsidR="00510729" w:rsidRPr="00DF4CE5" w14:paraId="2CC62E98" w14:textId="77777777" w:rsidTr="00510729">
        <w:trPr>
          <w:trHeight w:val="488"/>
        </w:trPr>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497E250" w14:textId="77777777" w:rsidR="00510729" w:rsidRPr="00DF4CE5" w:rsidRDefault="00510729" w:rsidP="00510729">
            <w:pPr>
              <w:spacing w:after="0" w:line="240" w:lineRule="atLeast"/>
              <w:rPr>
                <w:rFonts w:ascii="Cambria" w:eastAsia="Times New Roman" w:hAnsi="Cambria" w:cs="Calibri"/>
                <w:lang w:val="hr-HR"/>
              </w:rPr>
            </w:pPr>
            <w:proofErr w:type="spellStart"/>
            <w:r w:rsidRPr="00DF4CE5">
              <w:rPr>
                <w:rFonts w:ascii="Cambria" w:eastAsia="Times New Roman" w:hAnsi="Cambria" w:cs="Calibri"/>
                <w:lang w:val="hr-HR"/>
              </w:rPr>
              <w:t>Korelativnost</w:t>
            </w:r>
            <w:proofErr w:type="spellEnd"/>
          </w:p>
        </w:tc>
        <w:tc>
          <w:tcPr>
            <w:tcW w:w="651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1D1E836" w14:textId="7A6C1DD3" w:rsidR="00510729" w:rsidRPr="00DF4CE5" w:rsidRDefault="0008561B" w:rsidP="00510729">
            <w:pPr>
              <w:spacing w:after="0" w:line="240" w:lineRule="atLeast"/>
              <w:rPr>
                <w:rFonts w:ascii="Cambria" w:eastAsia="Times New Roman" w:hAnsi="Cambria" w:cs="Calibri"/>
                <w:lang w:val="hr-HR"/>
              </w:rPr>
            </w:pPr>
            <w:r>
              <w:rPr>
                <w:rFonts w:ascii="Cambria" w:eastAsia="Times New Roman" w:hAnsi="Cambria" w:cs="Calibri"/>
                <w:lang w:val="hr-HR"/>
              </w:rPr>
              <w:t>Osnove matematike</w:t>
            </w:r>
          </w:p>
        </w:tc>
      </w:tr>
      <w:tr w:rsidR="00510729" w:rsidRPr="00D0399C" w14:paraId="0C25557D" w14:textId="77777777" w:rsidTr="00510729">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9F641ED" w14:textId="77777777" w:rsidR="00510729" w:rsidRPr="00DF4CE5" w:rsidRDefault="00510729" w:rsidP="00510729">
            <w:pPr>
              <w:spacing w:after="0" w:line="240" w:lineRule="atLeast"/>
              <w:rPr>
                <w:rFonts w:ascii="Cambria" w:eastAsia="Times New Roman" w:hAnsi="Cambria" w:cs="Calibri"/>
                <w:lang w:val="hr-HR"/>
              </w:rPr>
            </w:pPr>
            <w:r w:rsidRPr="00DF4CE5">
              <w:rPr>
                <w:rFonts w:ascii="Cambria" w:eastAsia="Times New Roman" w:hAnsi="Cambria" w:cs="Calibri"/>
                <w:lang w:val="hr-HR"/>
              </w:rPr>
              <w:t xml:space="preserve">Cilj kolegija </w:t>
            </w:r>
          </w:p>
        </w:tc>
        <w:tc>
          <w:tcPr>
            <w:tcW w:w="651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74C1098" w14:textId="33F317E1" w:rsidR="00510729" w:rsidRPr="00DF4CE5" w:rsidRDefault="004F2942" w:rsidP="00510729">
            <w:pPr>
              <w:spacing w:after="0" w:line="240" w:lineRule="atLeast"/>
              <w:rPr>
                <w:rFonts w:ascii="Cambria" w:eastAsia="Times New Roman" w:hAnsi="Cambria" w:cs="Calibri"/>
                <w:lang w:val="hr-HR"/>
              </w:rPr>
            </w:pPr>
            <w:r>
              <w:rPr>
                <w:rFonts w:ascii="Cambria" w:eastAsia="Times New Roman" w:hAnsi="Cambria" w:cs="Calibri"/>
                <w:lang w:val="hr-HR"/>
              </w:rPr>
              <w:t xml:space="preserve">usvojiti kompetencije za </w:t>
            </w:r>
            <w:r w:rsidR="00510729" w:rsidRPr="00DF4CE5">
              <w:rPr>
                <w:rFonts w:ascii="Cambria" w:eastAsia="Times New Roman" w:hAnsi="Cambria" w:cs="Calibri"/>
                <w:lang w:val="hr-HR"/>
              </w:rPr>
              <w:t>razumijevanje i primjenu teorijskih i praktičnih znanja o osobnim računalima, internetu, digitalnim alatima i zaštiti elektroničkih sadržaja</w:t>
            </w:r>
          </w:p>
        </w:tc>
      </w:tr>
      <w:tr w:rsidR="00510729" w:rsidRPr="00D0399C" w14:paraId="5D23EAD3" w14:textId="77777777" w:rsidTr="00510729">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F4D4DB7" w14:textId="77777777" w:rsidR="00510729" w:rsidRPr="00DF4CE5" w:rsidRDefault="00510729" w:rsidP="00510729">
            <w:pPr>
              <w:spacing w:after="0" w:line="240" w:lineRule="atLeast"/>
              <w:rPr>
                <w:rFonts w:ascii="Cambria" w:eastAsia="Times New Roman" w:hAnsi="Cambria" w:cs="Calibri"/>
                <w:lang w:val="hr-HR"/>
              </w:rPr>
            </w:pPr>
            <w:r w:rsidRPr="00DF4CE5">
              <w:rPr>
                <w:rFonts w:ascii="Cambria" w:eastAsia="Times New Roman" w:hAnsi="Cambria" w:cs="Calibri"/>
                <w:lang w:val="hr-HR"/>
              </w:rPr>
              <w:t>Ishodi učenja</w:t>
            </w:r>
          </w:p>
        </w:tc>
        <w:tc>
          <w:tcPr>
            <w:tcW w:w="651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3AB2CE4" w14:textId="77777777" w:rsidR="00510729" w:rsidRPr="00DF4CE5" w:rsidRDefault="00510729" w:rsidP="00510729">
            <w:pPr>
              <w:spacing w:after="0" w:line="240" w:lineRule="atLeast"/>
              <w:rPr>
                <w:rFonts w:ascii="Cambria" w:eastAsia="Times New Roman" w:hAnsi="Cambria" w:cs="Calibri"/>
                <w:lang w:val="hr-HR"/>
              </w:rPr>
            </w:pPr>
            <w:r w:rsidRPr="00DF4CE5">
              <w:rPr>
                <w:rFonts w:ascii="Cambria" w:eastAsia="Times New Roman" w:hAnsi="Cambria" w:cs="Calibri"/>
                <w:lang w:val="hr-HR"/>
              </w:rPr>
              <w:t>1. opisati temeljne pojmove iz osnova informatike</w:t>
            </w:r>
          </w:p>
          <w:p w14:paraId="78E5DE46" w14:textId="77777777" w:rsidR="00510729" w:rsidRPr="00DF4CE5" w:rsidRDefault="00510729" w:rsidP="00510729">
            <w:pPr>
              <w:spacing w:after="0" w:line="240" w:lineRule="atLeast"/>
              <w:rPr>
                <w:rFonts w:ascii="Cambria" w:eastAsia="Times New Roman" w:hAnsi="Cambria" w:cs="Calibri"/>
                <w:lang w:val="hr-HR"/>
              </w:rPr>
            </w:pPr>
            <w:r w:rsidRPr="00DF4CE5">
              <w:rPr>
                <w:rFonts w:ascii="Cambria" w:eastAsia="Times New Roman" w:hAnsi="Cambria" w:cs="Calibri"/>
                <w:lang w:val="hr-HR"/>
              </w:rPr>
              <w:t>2. objasniti dijelove i način rada računala i računalnih komponenti</w:t>
            </w:r>
          </w:p>
          <w:p w14:paraId="258D0D28" w14:textId="77777777" w:rsidR="00510729" w:rsidRPr="00DF4CE5" w:rsidRDefault="00510729" w:rsidP="00510729">
            <w:pPr>
              <w:spacing w:after="0" w:line="240" w:lineRule="atLeast"/>
              <w:rPr>
                <w:rFonts w:ascii="Cambria" w:eastAsia="Times New Roman" w:hAnsi="Cambria" w:cs="Calibri"/>
                <w:lang w:val="hr-HR"/>
              </w:rPr>
            </w:pPr>
            <w:r w:rsidRPr="00DF4CE5">
              <w:rPr>
                <w:rFonts w:ascii="Cambria" w:eastAsia="Times New Roman" w:hAnsi="Cambria" w:cs="Calibri"/>
                <w:lang w:val="hr-HR"/>
              </w:rPr>
              <w:t>3. upotrijebiti alate za obradu teksta, tablično kalkuliranje, izradu prezentacija, pretraživanje interneta, digitalne alate</w:t>
            </w:r>
          </w:p>
          <w:p w14:paraId="2F3E7666" w14:textId="77777777" w:rsidR="00510729" w:rsidRPr="00DF4CE5" w:rsidRDefault="00510729" w:rsidP="00510729">
            <w:pPr>
              <w:spacing w:after="0" w:line="240" w:lineRule="atLeast"/>
              <w:rPr>
                <w:rFonts w:ascii="Cambria" w:eastAsia="Times New Roman" w:hAnsi="Cambria" w:cs="Calibri"/>
                <w:lang w:val="hr-HR"/>
              </w:rPr>
            </w:pPr>
            <w:r w:rsidRPr="00DF4CE5">
              <w:rPr>
                <w:rFonts w:ascii="Cambria" w:eastAsia="Times New Roman" w:hAnsi="Cambria" w:cs="Calibri"/>
                <w:lang w:val="hr-HR"/>
              </w:rPr>
              <w:t>4. vrednovati informacije na internetu.</w:t>
            </w:r>
          </w:p>
          <w:p w14:paraId="0A50E9BF" w14:textId="77777777" w:rsidR="00510729" w:rsidRPr="00DF4CE5" w:rsidRDefault="00510729" w:rsidP="00510729">
            <w:pPr>
              <w:spacing w:after="0" w:line="240" w:lineRule="atLeast"/>
              <w:rPr>
                <w:rFonts w:ascii="Cambria" w:eastAsia="Times New Roman" w:hAnsi="Cambria" w:cs="Calibri"/>
                <w:lang w:val="hr-HR"/>
              </w:rPr>
            </w:pPr>
            <w:r w:rsidRPr="00DF4CE5">
              <w:rPr>
                <w:rFonts w:ascii="Cambria" w:eastAsia="Times New Roman" w:hAnsi="Cambria" w:cs="Calibri"/>
                <w:lang w:val="hr-HR"/>
              </w:rPr>
              <w:t>5. odabrati najprikladnija informatička rješenja za zahtjeve struke</w:t>
            </w:r>
          </w:p>
        </w:tc>
      </w:tr>
      <w:tr w:rsidR="00510729" w:rsidRPr="00DF4CE5" w14:paraId="3A7CED97" w14:textId="77777777" w:rsidTr="00510729">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45F48176" w14:textId="77777777" w:rsidR="00510729" w:rsidRPr="00DF4CE5" w:rsidRDefault="00510729" w:rsidP="00510729">
            <w:pPr>
              <w:spacing w:after="0" w:line="240" w:lineRule="atLeast"/>
              <w:rPr>
                <w:rFonts w:ascii="Cambria" w:eastAsia="Times New Roman" w:hAnsi="Cambria" w:cs="Calibri"/>
                <w:lang w:val="hr-HR"/>
              </w:rPr>
            </w:pPr>
            <w:r w:rsidRPr="00DF4CE5">
              <w:rPr>
                <w:rFonts w:ascii="Cambria" w:eastAsia="Times New Roman" w:hAnsi="Cambria" w:cs="Calibri"/>
                <w:lang w:val="hr-HR"/>
              </w:rPr>
              <w:t>Sadržaj kolegija</w:t>
            </w:r>
          </w:p>
        </w:tc>
        <w:tc>
          <w:tcPr>
            <w:tcW w:w="6516"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017596B" w14:textId="77777777" w:rsidR="00510729" w:rsidRPr="00DF4CE5" w:rsidRDefault="00510729" w:rsidP="00510729">
            <w:pPr>
              <w:autoSpaceDE w:val="0"/>
              <w:autoSpaceDN w:val="0"/>
              <w:adjustRightInd w:val="0"/>
              <w:spacing w:after="0" w:line="240" w:lineRule="atLeast"/>
              <w:rPr>
                <w:rFonts w:ascii="Cambria" w:eastAsia="Times New Roman" w:hAnsi="Cambria" w:cs="Calibri"/>
                <w:lang w:val="hr-HR" w:eastAsia="hr-HR"/>
              </w:rPr>
            </w:pPr>
            <w:r w:rsidRPr="00DF4CE5">
              <w:rPr>
                <w:rFonts w:ascii="Cambria" w:eastAsia="Times New Roman" w:hAnsi="Cambria" w:cs="Calibri"/>
                <w:lang w:val="hr-HR" w:eastAsia="hr-HR"/>
              </w:rPr>
              <w:t xml:space="preserve">1. Temeljni pojmovi iz osnova informatike </w:t>
            </w:r>
          </w:p>
          <w:p w14:paraId="2ACE37A3" w14:textId="77777777" w:rsidR="00510729" w:rsidRPr="00DF4CE5" w:rsidRDefault="00510729" w:rsidP="00510729">
            <w:pPr>
              <w:autoSpaceDE w:val="0"/>
              <w:autoSpaceDN w:val="0"/>
              <w:adjustRightInd w:val="0"/>
              <w:spacing w:after="0" w:line="240" w:lineRule="atLeast"/>
              <w:rPr>
                <w:rFonts w:ascii="Cambria" w:eastAsia="Times New Roman" w:hAnsi="Cambria" w:cs="Calibri"/>
                <w:lang w:val="hr-HR" w:eastAsia="hr-HR"/>
              </w:rPr>
            </w:pPr>
            <w:r w:rsidRPr="00DF4CE5">
              <w:rPr>
                <w:rFonts w:ascii="Cambria" w:eastAsia="Times New Roman" w:hAnsi="Cambria" w:cs="Calibri"/>
                <w:lang w:val="hr-HR" w:eastAsia="hr-HR"/>
              </w:rPr>
              <w:t>2. Razvoj osobnih računala</w:t>
            </w:r>
          </w:p>
          <w:p w14:paraId="443932EB" w14:textId="77777777" w:rsidR="00510729" w:rsidRPr="00DF4CE5" w:rsidRDefault="00510729" w:rsidP="00510729">
            <w:pPr>
              <w:autoSpaceDE w:val="0"/>
              <w:autoSpaceDN w:val="0"/>
              <w:adjustRightInd w:val="0"/>
              <w:spacing w:after="0" w:line="240" w:lineRule="atLeast"/>
              <w:rPr>
                <w:rFonts w:ascii="Cambria" w:eastAsia="Times New Roman" w:hAnsi="Cambria" w:cs="Calibri"/>
                <w:lang w:val="hr-HR" w:eastAsia="hr-HR"/>
              </w:rPr>
            </w:pPr>
            <w:r w:rsidRPr="00DF4CE5">
              <w:rPr>
                <w:rFonts w:ascii="Cambria" w:eastAsia="Times New Roman" w:hAnsi="Cambria" w:cs="Calibri"/>
                <w:lang w:val="hr-HR" w:eastAsia="hr-HR"/>
              </w:rPr>
              <w:t>3. Građa računala</w:t>
            </w:r>
          </w:p>
          <w:p w14:paraId="61633EE1" w14:textId="29E5FCCD" w:rsidR="00510729" w:rsidRPr="00DF4CE5" w:rsidRDefault="00510729" w:rsidP="00510729">
            <w:pPr>
              <w:autoSpaceDE w:val="0"/>
              <w:autoSpaceDN w:val="0"/>
              <w:adjustRightInd w:val="0"/>
              <w:spacing w:after="0" w:line="240" w:lineRule="atLeast"/>
              <w:rPr>
                <w:rFonts w:ascii="Cambria" w:eastAsia="Times New Roman" w:hAnsi="Cambria" w:cs="Calibri"/>
                <w:lang w:val="hr-HR" w:eastAsia="hr-HR"/>
              </w:rPr>
            </w:pPr>
            <w:r w:rsidRPr="00DF4CE5">
              <w:rPr>
                <w:rFonts w:ascii="Cambria" w:eastAsia="Times New Roman" w:hAnsi="Cambria" w:cs="Calibri"/>
                <w:lang w:val="hr-HR" w:eastAsia="hr-HR"/>
              </w:rPr>
              <w:t>4. Arhitektura računalnih mreža</w:t>
            </w:r>
            <w:r w:rsidR="004F2942">
              <w:rPr>
                <w:rFonts w:ascii="Cambria" w:eastAsia="Times New Roman" w:hAnsi="Cambria" w:cs="Calibri"/>
                <w:lang w:val="hr-HR" w:eastAsia="hr-HR"/>
              </w:rPr>
              <w:t xml:space="preserve"> – </w:t>
            </w:r>
            <w:r w:rsidRPr="00DF4CE5">
              <w:rPr>
                <w:rFonts w:ascii="Cambria" w:eastAsia="Times New Roman" w:hAnsi="Cambria" w:cs="Calibri"/>
                <w:lang w:val="hr-HR" w:eastAsia="hr-HR"/>
              </w:rPr>
              <w:t>uvodno</w:t>
            </w:r>
          </w:p>
          <w:p w14:paraId="377031F4" w14:textId="77777777" w:rsidR="00510729" w:rsidRPr="00DF4CE5" w:rsidRDefault="00510729" w:rsidP="00510729">
            <w:pPr>
              <w:autoSpaceDE w:val="0"/>
              <w:autoSpaceDN w:val="0"/>
              <w:adjustRightInd w:val="0"/>
              <w:spacing w:after="0" w:line="240" w:lineRule="atLeast"/>
              <w:rPr>
                <w:rFonts w:ascii="Cambria" w:eastAsia="Times New Roman" w:hAnsi="Cambria" w:cs="Calibri"/>
                <w:lang w:val="hr-HR" w:eastAsia="hr-HR"/>
              </w:rPr>
            </w:pPr>
            <w:r w:rsidRPr="00DF4CE5">
              <w:rPr>
                <w:rFonts w:ascii="Cambria" w:eastAsia="Times New Roman" w:hAnsi="Cambria" w:cs="Calibri"/>
                <w:lang w:val="hr-HR" w:eastAsia="hr-HR"/>
              </w:rPr>
              <w:t xml:space="preserve">5. </w:t>
            </w:r>
            <w:r w:rsidRPr="00DF4CE5">
              <w:rPr>
                <w:rFonts w:ascii="Cambria" w:eastAsia="Times New Roman" w:hAnsi="Cambria" w:cs="Calibri"/>
                <w:lang w:val="hr-HR"/>
              </w:rPr>
              <w:t>Zaštita elektroničkih sadržaja, računala i računalnih mreža</w:t>
            </w:r>
            <w:r w:rsidRPr="00DF4CE5">
              <w:rPr>
                <w:rFonts w:ascii="Cambria" w:eastAsia="Times New Roman" w:hAnsi="Cambria" w:cs="Calibri"/>
                <w:lang w:val="hr-HR" w:eastAsia="hr-HR"/>
              </w:rPr>
              <w:t xml:space="preserve"> </w:t>
            </w:r>
          </w:p>
          <w:p w14:paraId="66392CEA" w14:textId="77777777" w:rsidR="00510729" w:rsidRPr="00DF4CE5" w:rsidRDefault="00510729" w:rsidP="00510729">
            <w:pPr>
              <w:autoSpaceDE w:val="0"/>
              <w:autoSpaceDN w:val="0"/>
              <w:adjustRightInd w:val="0"/>
              <w:spacing w:after="0" w:line="240" w:lineRule="atLeast"/>
              <w:rPr>
                <w:rFonts w:ascii="Cambria" w:eastAsia="Times New Roman" w:hAnsi="Cambria" w:cs="Calibri"/>
                <w:lang w:val="hr-HR" w:eastAsia="hr-HR"/>
              </w:rPr>
            </w:pPr>
            <w:r w:rsidRPr="00DF4CE5">
              <w:rPr>
                <w:rFonts w:ascii="Cambria" w:eastAsia="Times New Roman" w:hAnsi="Cambria" w:cs="Calibri"/>
                <w:lang w:val="hr-HR" w:eastAsia="hr-HR"/>
              </w:rPr>
              <w:t>6. Uporaba računala u obrazovanju</w:t>
            </w:r>
          </w:p>
        </w:tc>
      </w:tr>
      <w:tr w:rsidR="00510729" w:rsidRPr="00DF4CE5" w14:paraId="608A8729" w14:textId="77777777" w:rsidTr="00510729">
        <w:tc>
          <w:tcPr>
            <w:tcW w:w="2536"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hideMark/>
          </w:tcPr>
          <w:p w14:paraId="65B398DD" w14:textId="77777777" w:rsidR="00510729" w:rsidRPr="00DF4CE5" w:rsidRDefault="00510729" w:rsidP="00510729">
            <w:pPr>
              <w:spacing w:after="0" w:line="240" w:lineRule="atLeast"/>
              <w:rPr>
                <w:rFonts w:ascii="Cambria" w:eastAsia="Times New Roman" w:hAnsi="Cambria" w:cs="Calibri"/>
                <w:lang w:val="hr-HR"/>
              </w:rPr>
            </w:pPr>
            <w:r w:rsidRPr="00DF4CE5">
              <w:rPr>
                <w:rFonts w:ascii="Cambria" w:eastAsia="Times New Roman" w:hAnsi="Cambria" w:cs="Calibri"/>
                <w:lang w:val="hr-HR"/>
              </w:rPr>
              <w:t>Planirane aktivnosti,</w:t>
            </w:r>
          </w:p>
          <w:p w14:paraId="35FC3C6A" w14:textId="77777777" w:rsidR="00510729" w:rsidRPr="00DF4CE5" w:rsidRDefault="00510729" w:rsidP="00510729">
            <w:pPr>
              <w:spacing w:after="0" w:line="240" w:lineRule="atLeast"/>
              <w:rPr>
                <w:rFonts w:ascii="Cambria" w:eastAsia="Times New Roman" w:hAnsi="Cambria" w:cs="Calibri"/>
                <w:lang w:val="hr-HR"/>
              </w:rPr>
            </w:pPr>
            <w:r w:rsidRPr="00DF4CE5">
              <w:rPr>
                <w:rFonts w:ascii="Cambria" w:eastAsia="Times New Roman" w:hAnsi="Cambria" w:cs="Calibri"/>
                <w:lang w:val="hr-HR"/>
              </w:rPr>
              <w:t>metode učenja i poučavanja i načini vrednovanja</w:t>
            </w:r>
          </w:p>
        </w:tc>
        <w:tc>
          <w:tcPr>
            <w:tcW w:w="250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8A67817" w14:textId="77777777" w:rsidR="00510729" w:rsidRPr="00DF4CE5" w:rsidRDefault="00510729" w:rsidP="00510729">
            <w:pPr>
              <w:spacing w:after="0" w:line="240" w:lineRule="atLeast"/>
              <w:jc w:val="center"/>
              <w:rPr>
                <w:rFonts w:ascii="Cambria" w:eastAsia="Times New Roman" w:hAnsi="Cambria" w:cs="Calibri"/>
                <w:lang w:val="hr-HR"/>
              </w:rPr>
            </w:pPr>
            <w:r w:rsidRPr="00DF4CE5">
              <w:rPr>
                <w:rFonts w:ascii="Cambria" w:eastAsia="Times New Roman" w:hAnsi="Cambria" w:cs="Calibri"/>
                <w:bCs/>
                <w:lang w:val="hr-HR"/>
              </w:rPr>
              <w:t>Obveze</w:t>
            </w:r>
          </w:p>
          <w:p w14:paraId="1559CC12" w14:textId="77777777" w:rsidR="00510729" w:rsidRPr="00DF4CE5" w:rsidRDefault="00510729" w:rsidP="00510729">
            <w:pPr>
              <w:spacing w:after="0" w:line="240" w:lineRule="atLeast"/>
              <w:jc w:val="center"/>
              <w:rPr>
                <w:rFonts w:ascii="Cambria" w:eastAsia="Times New Roman" w:hAnsi="Cambria" w:cs="Calibri"/>
                <w:lang w:val="hr-HR"/>
              </w:rPr>
            </w:pPr>
          </w:p>
        </w:tc>
        <w:tc>
          <w:tcPr>
            <w:tcW w:w="1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0F68D7B" w14:textId="77777777" w:rsidR="00510729" w:rsidRPr="00DF4CE5" w:rsidRDefault="00510729" w:rsidP="00510729">
            <w:pPr>
              <w:spacing w:after="0" w:line="240" w:lineRule="atLeast"/>
              <w:jc w:val="center"/>
              <w:rPr>
                <w:rFonts w:ascii="Cambria" w:eastAsia="Times New Roman" w:hAnsi="Cambria" w:cs="Calibri"/>
                <w:lang w:val="hr-HR"/>
              </w:rPr>
            </w:pPr>
            <w:r w:rsidRPr="00DF4CE5">
              <w:rPr>
                <w:rFonts w:ascii="Cambria" w:eastAsia="Times New Roman" w:hAnsi="Cambria" w:cs="Calibri"/>
                <w:bCs/>
                <w:lang w:val="hr-HR"/>
              </w:rPr>
              <w:t>Ishodi</w:t>
            </w:r>
          </w:p>
        </w:tc>
        <w:tc>
          <w:tcPr>
            <w:tcW w:w="69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D9E7156" w14:textId="77777777" w:rsidR="00510729" w:rsidRPr="00DF4CE5" w:rsidRDefault="00510729" w:rsidP="00510729">
            <w:pPr>
              <w:spacing w:after="0" w:line="240" w:lineRule="atLeast"/>
              <w:jc w:val="center"/>
              <w:rPr>
                <w:rFonts w:ascii="Cambria" w:eastAsia="Times New Roman" w:hAnsi="Cambria" w:cs="Calibri"/>
                <w:lang w:val="hr-HR"/>
              </w:rPr>
            </w:pPr>
            <w:r w:rsidRPr="00DF4CE5">
              <w:rPr>
                <w:rFonts w:ascii="Cambria" w:eastAsia="Times New Roman" w:hAnsi="Cambria" w:cs="Calibri"/>
                <w:bCs/>
                <w:lang w:val="hr-HR"/>
              </w:rPr>
              <w:t>Sati</w:t>
            </w:r>
          </w:p>
        </w:tc>
        <w:tc>
          <w:tcPr>
            <w:tcW w:w="9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26EDF49" w14:textId="77777777" w:rsidR="00510729" w:rsidRPr="00DF4CE5" w:rsidRDefault="00510729" w:rsidP="00510729">
            <w:pPr>
              <w:spacing w:after="0" w:line="240" w:lineRule="atLeast"/>
              <w:jc w:val="center"/>
              <w:rPr>
                <w:rFonts w:ascii="Cambria" w:eastAsia="Times New Roman" w:hAnsi="Cambria" w:cs="Calibri"/>
                <w:lang w:val="hr-HR"/>
              </w:rPr>
            </w:pPr>
            <w:r w:rsidRPr="00DF4CE5">
              <w:rPr>
                <w:rFonts w:ascii="Cambria" w:eastAsia="Times New Roman" w:hAnsi="Cambria" w:cs="Calibri"/>
                <w:bCs/>
                <w:lang w:val="hr-HR"/>
              </w:rPr>
              <w:t>ECTS</w:t>
            </w:r>
          </w:p>
        </w:tc>
        <w:tc>
          <w:tcPr>
            <w:tcW w:w="127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278D4DA" w14:textId="77777777" w:rsidR="00510729" w:rsidRPr="00DF4CE5" w:rsidRDefault="00510729" w:rsidP="00510729">
            <w:pPr>
              <w:spacing w:after="0" w:line="240" w:lineRule="atLeast"/>
              <w:jc w:val="center"/>
              <w:rPr>
                <w:rFonts w:ascii="Cambria" w:eastAsia="Times New Roman" w:hAnsi="Cambria" w:cs="Calibri"/>
                <w:lang w:val="hr-HR"/>
              </w:rPr>
            </w:pPr>
            <w:r w:rsidRPr="00DF4CE5">
              <w:rPr>
                <w:rFonts w:ascii="Cambria" w:eastAsia="Times New Roman" w:hAnsi="Cambria" w:cs="Calibri"/>
                <w:bCs/>
                <w:lang w:val="hr-HR"/>
              </w:rPr>
              <w:t>Maksimalni udio u ocjeni (%)</w:t>
            </w:r>
          </w:p>
        </w:tc>
      </w:tr>
      <w:tr w:rsidR="00510729" w:rsidRPr="00DF4CE5" w14:paraId="031C22DA" w14:textId="77777777" w:rsidTr="00510729">
        <w:tc>
          <w:tcPr>
            <w:tcW w:w="2536" w:type="dxa"/>
            <w:vMerge/>
            <w:tcBorders>
              <w:left w:val="single" w:sz="8" w:space="0" w:color="000000"/>
              <w:right w:val="single" w:sz="8" w:space="0" w:color="000000"/>
            </w:tcBorders>
            <w:vAlign w:val="center"/>
            <w:hideMark/>
          </w:tcPr>
          <w:p w14:paraId="3D70132D" w14:textId="77777777" w:rsidR="00510729" w:rsidRPr="00DF4CE5" w:rsidRDefault="00510729" w:rsidP="00510729">
            <w:pPr>
              <w:spacing w:after="0" w:line="240" w:lineRule="atLeast"/>
              <w:rPr>
                <w:rFonts w:ascii="Cambria" w:eastAsia="Times New Roman" w:hAnsi="Cambria" w:cs="Calibri"/>
                <w:lang w:val="hr-HR"/>
              </w:rPr>
            </w:pPr>
          </w:p>
        </w:tc>
        <w:tc>
          <w:tcPr>
            <w:tcW w:w="250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F9C72AD" w14:textId="258CC8E2" w:rsidR="00510729" w:rsidRPr="00DF4CE5" w:rsidRDefault="00B71FDE" w:rsidP="00510729">
            <w:pPr>
              <w:spacing w:after="0" w:line="240" w:lineRule="atLeast"/>
              <w:rPr>
                <w:rFonts w:ascii="Cambria" w:eastAsia="Times New Roman" w:hAnsi="Cambria" w:cs="Calibri"/>
                <w:lang w:val="hr-HR"/>
              </w:rPr>
            </w:pPr>
            <w:proofErr w:type="spellStart"/>
            <w:r w:rsidRPr="00DF4CE5">
              <w:rPr>
                <w:rFonts w:ascii="Cambria" w:eastAsia="Times New Roman" w:hAnsi="Cambria" w:cs="Calibri"/>
                <w:lang w:val="it-IT"/>
              </w:rPr>
              <w:t>aktivnost</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na</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nastavi</w:t>
            </w:r>
            <w:proofErr w:type="spellEnd"/>
            <w:r w:rsidR="00510729" w:rsidRPr="00DF4CE5">
              <w:rPr>
                <w:rFonts w:ascii="Cambria" w:eastAsia="Times New Roman" w:hAnsi="Cambria" w:cs="Calibri"/>
                <w:lang w:val="hr-HR"/>
              </w:rPr>
              <w:t xml:space="preserve"> P, V</w:t>
            </w:r>
          </w:p>
        </w:tc>
        <w:tc>
          <w:tcPr>
            <w:tcW w:w="1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FE81BB4" w14:textId="7C0FACF2" w:rsidR="00510729" w:rsidRPr="00DF4CE5" w:rsidRDefault="00510729" w:rsidP="00510729">
            <w:pPr>
              <w:spacing w:after="0" w:line="240" w:lineRule="atLeast"/>
              <w:jc w:val="center"/>
              <w:rPr>
                <w:rFonts w:ascii="Cambria" w:eastAsia="Times New Roman" w:hAnsi="Cambria" w:cs="Calibri"/>
                <w:lang w:val="hr-HR"/>
              </w:rPr>
            </w:pPr>
            <w:r w:rsidRPr="00DF4CE5">
              <w:rPr>
                <w:rFonts w:ascii="Cambria" w:eastAsia="Times New Roman" w:hAnsi="Cambria" w:cs="Calibri"/>
                <w:lang w:val="hr-HR"/>
              </w:rPr>
              <w:t xml:space="preserve">1. – </w:t>
            </w:r>
            <w:r w:rsidR="0008561B">
              <w:rPr>
                <w:rFonts w:ascii="Cambria" w:eastAsia="Times New Roman" w:hAnsi="Cambria" w:cs="Calibri"/>
                <w:lang w:val="hr-HR"/>
              </w:rPr>
              <w:t>5</w:t>
            </w:r>
            <w:r w:rsidRPr="00DF4CE5">
              <w:rPr>
                <w:rFonts w:ascii="Cambria" w:eastAsia="Times New Roman" w:hAnsi="Cambria" w:cs="Calibri"/>
                <w:lang w:val="hr-HR"/>
              </w:rPr>
              <w:t>.</w:t>
            </w:r>
          </w:p>
        </w:tc>
        <w:tc>
          <w:tcPr>
            <w:tcW w:w="69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67BC5D3" w14:textId="77777777" w:rsidR="00510729" w:rsidRPr="00DF4CE5" w:rsidRDefault="00510729" w:rsidP="00510729">
            <w:pPr>
              <w:spacing w:after="0" w:line="240" w:lineRule="atLeast"/>
              <w:jc w:val="center"/>
              <w:rPr>
                <w:rFonts w:ascii="Cambria" w:eastAsia="Times New Roman" w:hAnsi="Cambria" w:cs="Calibri"/>
                <w:lang w:val="hr-HR"/>
              </w:rPr>
            </w:pPr>
            <w:r w:rsidRPr="00DF4CE5">
              <w:rPr>
                <w:rFonts w:ascii="Cambria" w:eastAsia="Times New Roman" w:hAnsi="Cambria" w:cs="Calibri"/>
                <w:lang w:val="hr-HR"/>
              </w:rPr>
              <w:t>45</w:t>
            </w:r>
          </w:p>
        </w:tc>
        <w:tc>
          <w:tcPr>
            <w:tcW w:w="9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560E5D3" w14:textId="77777777" w:rsidR="00510729" w:rsidRPr="00DF4CE5" w:rsidRDefault="00510729" w:rsidP="00510729">
            <w:pPr>
              <w:spacing w:after="0" w:line="240" w:lineRule="atLeast"/>
              <w:jc w:val="center"/>
              <w:rPr>
                <w:rFonts w:ascii="Cambria" w:eastAsia="Times New Roman" w:hAnsi="Cambria" w:cs="Calibri"/>
                <w:lang w:val="hr-HR"/>
              </w:rPr>
            </w:pPr>
            <w:r w:rsidRPr="00DF4CE5">
              <w:rPr>
                <w:rFonts w:ascii="Cambria" w:eastAsia="Times New Roman" w:hAnsi="Cambria" w:cs="Calibri"/>
                <w:lang w:val="hr-HR"/>
              </w:rPr>
              <w:t>1,5</w:t>
            </w:r>
          </w:p>
        </w:tc>
        <w:tc>
          <w:tcPr>
            <w:tcW w:w="127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15DB602" w14:textId="77777777" w:rsidR="00510729" w:rsidRPr="00DF4CE5" w:rsidRDefault="00510729" w:rsidP="00510729">
            <w:pPr>
              <w:spacing w:after="0" w:line="240" w:lineRule="atLeast"/>
              <w:jc w:val="center"/>
              <w:rPr>
                <w:rFonts w:ascii="Cambria" w:eastAsia="Times New Roman" w:hAnsi="Cambria" w:cs="Calibri"/>
                <w:lang w:val="hr-HR"/>
              </w:rPr>
            </w:pPr>
            <w:r w:rsidRPr="00DF4CE5">
              <w:rPr>
                <w:rFonts w:ascii="Cambria" w:eastAsia="Times New Roman" w:hAnsi="Cambria" w:cs="Calibri"/>
                <w:lang w:val="hr-HR"/>
              </w:rPr>
              <w:t>10 %</w:t>
            </w:r>
          </w:p>
        </w:tc>
      </w:tr>
      <w:tr w:rsidR="00510729" w:rsidRPr="00DF4CE5" w14:paraId="60469F7C" w14:textId="77777777" w:rsidTr="00510729">
        <w:tc>
          <w:tcPr>
            <w:tcW w:w="2536" w:type="dxa"/>
            <w:vMerge/>
            <w:tcBorders>
              <w:left w:val="single" w:sz="8" w:space="0" w:color="000000"/>
              <w:right w:val="single" w:sz="8" w:space="0" w:color="000000"/>
            </w:tcBorders>
            <w:vAlign w:val="center"/>
            <w:hideMark/>
          </w:tcPr>
          <w:p w14:paraId="6971BA8B" w14:textId="77777777" w:rsidR="00510729" w:rsidRPr="00DF4CE5" w:rsidRDefault="00510729" w:rsidP="00510729">
            <w:pPr>
              <w:spacing w:after="0" w:line="240" w:lineRule="atLeast"/>
              <w:rPr>
                <w:rFonts w:ascii="Cambria" w:eastAsia="Times New Roman" w:hAnsi="Cambria" w:cs="Calibri"/>
                <w:lang w:val="hr-HR"/>
              </w:rPr>
            </w:pPr>
          </w:p>
        </w:tc>
        <w:tc>
          <w:tcPr>
            <w:tcW w:w="250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B0E586C" w14:textId="21B70899" w:rsidR="00510729" w:rsidRPr="00DF4CE5" w:rsidRDefault="004F2942" w:rsidP="00510729">
            <w:pPr>
              <w:spacing w:after="0" w:line="240" w:lineRule="atLeast"/>
              <w:rPr>
                <w:rFonts w:ascii="Cambria" w:eastAsia="Times New Roman" w:hAnsi="Cambria" w:cs="Calibri"/>
                <w:lang w:val="hr-HR"/>
              </w:rPr>
            </w:pPr>
            <w:r>
              <w:rPr>
                <w:rFonts w:ascii="Cambria" w:eastAsia="Times New Roman" w:hAnsi="Cambria" w:cs="Calibri"/>
                <w:lang w:val="hr-HR"/>
              </w:rPr>
              <w:t>s</w:t>
            </w:r>
            <w:r w:rsidR="00510729" w:rsidRPr="00DF4CE5">
              <w:rPr>
                <w:rFonts w:ascii="Cambria" w:eastAsia="Times New Roman" w:hAnsi="Cambria" w:cs="Calibri"/>
                <w:lang w:val="hr-HR"/>
              </w:rPr>
              <w:t>amostalni zadatci (referat, prezentacija)</w:t>
            </w:r>
          </w:p>
        </w:tc>
        <w:tc>
          <w:tcPr>
            <w:tcW w:w="1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0630460" w14:textId="173FB458" w:rsidR="00510729" w:rsidRPr="00DF4CE5" w:rsidRDefault="00510729" w:rsidP="00510729">
            <w:pPr>
              <w:spacing w:after="0" w:line="240" w:lineRule="atLeast"/>
              <w:jc w:val="center"/>
              <w:rPr>
                <w:rFonts w:ascii="Cambria" w:eastAsia="Times New Roman" w:hAnsi="Cambria" w:cs="Calibri"/>
                <w:lang w:val="hr-HR"/>
              </w:rPr>
            </w:pPr>
            <w:r w:rsidRPr="00DF4CE5">
              <w:rPr>
                <w:rFonts w:ascii="Cambria" w:eastAsia="Times New Roman" w:hAnsi="Cambria" w:cs="Calibri"/>
                <w:lang w:val="hr-HR"/>
              </w:rPr>
              <w:t>2.-</w:t>
            </w:r>
            <w:r w:rsidR="0008561B">
              <w:rPr>
                <w:rFonts w:ascii="Cambria" w:eastAsia="Times New Roman" w:hAnsi="Cambria" w:cs="Calibri"/>
                <w:lang w:val="hr-HR"/>
              </w:rPr>
              <w:t>5</w:t>
            </w:r>
            <w:r w:rsidRPr="00DF4CE5">
              <w:rPr>
                <w:rFonts w:ascii="Cambria" w:eastAsia="Times New Roman" w:hAnsi="Cambria" w:cs="Calibri"/>
                <w:lang w:val="hr-HR"/>
              </w:rPr>
              <w:t>.</w:t>
            </w:r>
          </w:p>
        </w:tc>
        <w:tc>
          <w:tcPr>
            <w:tcW w:w="69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1AB81E2" w14:textId="77777777" w:rsidR="00510729" w:rsidRPr="00DF4CE5" w:rsidRDefault="00510729" w:rsidP="00510729">
            <w:pPr>
              <w:spacing w:after="0" w:line="240" w:lineRule="atLeast"/>
              <w:jc w:val="center"/>
              <w:rPr>
                <w:rFonts w:ascii="Cambria" w:eastAsia="Times New Roman" w:hAnsi="Cambria" w:cs="Calibri"/>
                <w:lang w:val="hr-HR"/>
              </w:rPr>
            </w:pPr>
            <w:r w:rsidRPr="00DF4CE5">
              <w:rPr>
                <w:rFonts w:ascii="Cambria" w:eastAsia="Times New Roman" w:hAnsi="Cambria" w:cs="Calibri"/>
                <w:lang w:val="hr-HR"/>
              </w:rPr>
              <w:t>69</w:t>
            </w:r>
          </w:p>
        </w:tc>
        <w:tc>
          <w:tcPr>
            <w:tcW w:w="9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BA29EFB" w14:textId="77777777" w:rsidR="00510729" w:rsidRPr="00DF4CE5" w:rsidRDefault="00510729" w:rsidP="00510729">
            <w:pPr>
              <w:spacing w:after="0" w:line="240" w:lineRule="atLeast"/>
              <w:jc w:val="center"/>
              <w:rPr>
                <w:rFonts w:ascii="Cambria" w:eastAsia="Times New Roman" w:hAnsi="Cambria" w:cs="Calibri"/>
                <w:lang w:val="hr-HR"/>
              </w:rPr>
            </w:pPr>
            <w:r w:rsidRPr="00DF4CE5">
              <w:rPr>
                <w:rFonts w:ascii="Cambria" w:eastAsia="Times New Roman" w:hAnsi="Cambria" w:cs="Calibri"/>
                <w:lang w:val="hr-HR"/>
              </w:rPr>
              <w:t>2,3</w:t>
            </w:r>
          </w:p>
        </w:tc>
        <w:tc>
          <w:tcPr>
            <w:tcW w:w="127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8B9F05C" w14:textId="77777777" w:rsidR="00510729" w:rsidRPr="00DF4CE5" w:rsidRDefault="00510729" w:rsidP="00510729">
            <w:pPr>
              <w:spacing w:after="0" w:line="240" w:lineRule="atLeast"/>
              <w:jc w:val="center"/>
              <w:rPr>
                <w:rFonts w:ascii="Cambria" w:eastAsia="Times New Roman" w:hAnsi="Cambria" w:cs="Calibri"/>
                <w:lang w:val="hr-HR"/>
              </w:rPr>
            </w:pPr>
            <w:r w:rsidRPr="00DF4CE5">
              <w:rPr>
                <w:rFonts w:ascii="Cambria" w:eastAsia="Times New Roman" w:hAnsi="Cambria" w:cs="Calibri"/>
                <w:lang w:val="hr-HR"/>
              </w:rPr>
              <w:t>45 %</w:t>
            </w:r>
          </w:p>
        </w:tc>
      </w:tr>
      <w:tr w:rsidR="00510729" w:rsidRPr="00DF4CE5" w14:paraId="5F6DBD3D" w14:textId="77777777" w:rsidTr="00510729">
        <w:tc>
          <w:tcPr>
            <w:tcW w:w="2536" w:type="dxa"/>
            <w:vMerge/>
            <w:tcBorders>
              <w:left w:val="single" w:sz="8" w:space="0" w:color="000000"/>
              <w:right w:val="single" w:sz="8" w:space="0" w:color="000000"/>
            </w:tcBorders>
            <w:vAlign w:val="center"/>
          </w:tcPr>
          <w:p w14:paraId="10613C61" w14:textId="77777777" w:rsidR="00510729" w:rsidRPr="00DF4CE5" w:rsidRDefault="00510729" w:rsidP="00510729">
            <w:pPr>
              <w:spacing w:after="0" w:line="240" w:lineRule="atLeast"/>
              <w:rPr>
                <w:rFonts w:ascii="Cambria" w:eastAsia="Times New Roman" w:hAnsi="Cambria" w:cs="Calibri"/>
                <w:lang w:val="hr-HR"/>
              </w:rPr>
            </w:pPr>
          </w:p>
        </w:tc>
        <w:tc>
          <w:tcPr>
            <w:tcW w:w="250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D561107" w14:textId="52E591B9" w:rsidR="00510729" w:rsidRPr="00DF4CE5" w:rsidRDefault="004F2942" w:rsidP="00510729">
            <w:pPr>
              <w:spacing w:after="0" w:line="240" w:lineRule="atLeast"/>
              <w:rPr>
                <w:rFonts w:ascii="Cambria" w:eastAsia="Times New Roman" w:hAnsi="Cambria" w:cs="Calibri"/>
                <w:lang w:val="hr-HR"/>
              </w:rPr>
            </w:pPr>
            <w:r>
              <w:rPr>
                <w:rFonts w:ascii="Cambria" w:eastAsia="Times New Roman" w:hAnsi="Cambria" w:cs="Calibri"/>
                <w:lang w:val="hr-HR"/>
              </w:rPr>
              <w:t>k</w:t>
            </w:r>
            <w:r w:rsidR="00510729" w:rsidRPr="00DF4CE5">
              <w:rPr>
                <w:rFonts w:ascii="Cambria" w:eastAsia="Times New Roman" w:hAnsi="Cambria" w:cs="Calibri"/>
                <w:lang w:val="hr-HR"/>
              </w:rPr>
              <w:t>olokvij i završni ispit</w:t>
            </w:r>
          </w:p>
        </w:tc>
        <w:tc>
          <w:tcPr>
            <w:tcW w:w="1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9D837CB" w14:textId="5F14699D" w:rsidR="00510729" w:rsidRPr="00DF4CE5" w:rsidRDefault="00510729" w:rsidP="00510729">
            <w:pPr>
              <w:spacing w:after="0" w:line="240" w:lineRule="atLeast"/>
              <w:jc w:val="center"/>
              <w:rPr>
                <w:rFonts w:ascii="Cambria" w:eastAsia="Times New Roman" w:hAnsi="Cambria" w:cs="Calibri"/>
                <w:lang w:val="hr-HR"/>
              </w:rPr>
            </w:pPr>
            <w:r w:rsidRPr="00DF4CE5">
              <w:rPr>
                <w:rFonts w:ascii="Cambria" w:eastAsia="Times New Roman" w:hAnsi="Cambria" w:cs="Calibri"/>
                <w:lang w:val="hr-HR"/>
              </w:rPr>
              <w:t>1.-</w:t>
            </w:r>
            <w:r w:rsidR="0008561B">
              <w:rPr>
                <w:rFonts w:ascii="Cambria" w:eastAsia="Times New Roman" w:hAnsi="Cambria" w:cs="Calibri"/>
                <w:lang w:val="hr-HR"/>
              </w:rPr>
              <w:t>5</w:t>
            </w:r>
            <w:r w:rsidRPr="00DF4CE5">
              <w:rPr>
                <w:rFonts w:ascii="Cambria" w:eastAsia="Times New Roman" w:hAnsi="Cambria" w:cs="Calibri"/>
                <w:lang w:val="hr-HR"/>
              </w:rPr>
              <w:t>.</w:t>
            </w:r>
          </w:p>
        </w:tc>
        <w:tc>
          <w:tcPr>
            <w:tcW w:w="69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6E1697F" w14:textId="77777777" w:rsidR="00510729" w:rsidRPr="00DF4CE5" w:rsidRDefault="00510729" w:rsidP="00510729">
            <w:pPr>
              <w:spacing w:after="0" w:line="240" w:lineRule="atLeast"/>
              <w:jc w:val="center"/>
              <w:rPr>
                <w:rFonts w:ascii="Cambria" w:eastAsia="Times New Roman" w:hAnsi="Cambria" w:cs="Calibri"/>
                <w:lang w:val="hr-HR"/>
              </w:rPr>
            </w:pPr>
            <w:r w:rsidRPr="00DF4CE5">
              <w:rPr>
                <w:rFonts w:ascii="Cambria" w:eastAsia="Times New Roman" w:hAnsi="Cambria" w:cs="Calibri"/>
                <w:lang w:val="hr-HR"/>
              </w:rPr>
              <w:t>66</w:t>
            </w:r>
          </w:p>
        </w:tc>
        <w:tc>
          <w:tcPr>
            <w:tcW w:w="9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099058E" w14:textId="77777777" w:rsidR="00510729" w:rsidRPr="00DF4CE5" w:rsidRDefault="00510729" w:rsidP="00510729">
            <w:pPr>
              <w:spacing w:after="0" w:line="240" w:lineRule="atLeast"/>
              <w:jc w:val="center"/>
              <w:rPr>
                <w:rFonts w:ascii="Cambria" w:eastAsia="Times New Roman" w:hAnsi="Cambria" w:cs="Calibri"/>
                <w:lang w:val="hr-HR"/>
              </w:rPr>
            </w:pPr>
            <w:r w:rsidRPr="00DF4CE5">
              <w:rPr>
                <w:rFonts w:ascii="Cambria" w:eastAsia="Times New Roman" w:hAnsi="Cambria" w:cs="Calibri"/>
                <w:lang w:val="hr-HR"/>
              </w:rPr>
              <w:t>2,2</w:t>
            </w:r>
          </w:p>
        </w:tc>
        <w:tc>
          <w:tcPr>
            <w:tcW w:w="127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976D8F2" w14:textId="77777777" w:rsidR="00510729" w:rsidRPr="00DF4CE5" w:rsidRDefault="00510729" w:rsidP="00510729">
            <w:pPr>
              <w:spacing w:after="0" w:line="240" w:lineRule="atLeast"/>
              <w:jc w:val="center"/>
              <w:rPr>
                <w:rFonts w:ascii="Cambria" w:eastAsia="Times New Roman" w:hAnsi="Cambria" w:cs="Calibri"/>
                <w:lang w:val="hr-HR"/>
              </w:rPr>
            </w:pPr>
            <w:r w:rsidRPr="00DF4CE5">
              <w:rPr>
                <w:rFonts w:ascii="Cambria" w:eastAsia="Times New Roman" w:hAnsi="Cambria" w:cs="Calibri"/>
                <w:lang w:val="hr-HR"/>
              </w:rPr>
              <w:t>45%</w:t>
            </w:r>
          </w:p>
        </w:tc>
      </w:tr>
      <w:tr w:rsidR="00510729" w:rsidRPr="00DF4CE5" w14:paraId="10FC8F62" w14:textId="77777777" w:rsidTr="00510729">
        <w:tc>
          <w:tcPr>
            <w:tcW w:w="2536" w:type="dxa"/>
            <w:vMerge/>
            <w:tcBorders>
              <w:left w:val="single" w:sz="8" w:space="0" w:color="000000"/>
              <w:right w:val="single" w:sz="8" w:space="0" w:color="000000"/>
            </w:tcBorders>
            <w:vAlign w:val="center"/>
            <w:hideMark/>
          </w:tcPr>
          <w:p w14:paraId="1001BAC9" w14:textId="77777777" w:rsidR="00510729" w:rsidRPr="00DF4CE5" w:rsidRDefault="00510729" w:rsidP="00510729">
            <w:pPr>
              <w:spacing w:after="0" w:line="240" w:lineRule="atLeast"/>
              <w:rPr>
                <w:rFonts w:ascii="Cambria" w:eastAsia="Times New Roman" w:hAnsi="Cambria" w:cs="Calibri"/>
                <w:lang w:val="hr-HR"/>
              </w:rPr>
            </w:pPr>
          </w:p>
        </w:tc>
        <w:tc>
          <w:tcPr>
            <w:tcW w:w="3559"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D675A88" w14:textId="77777777" w:rsidR="00510729" w:rsidRPr="00DF4CE5" w:rsidRDefault="00510729" w:rsidP="00510729">
            <w:pPr>
              <w:spacing w:after="0" w:line="240" w:lineRule="atLeast"/>
              <w:rPr>
                <w:rFonts w:ascii="Cambria" w:eastAsia="Times New Roman" w:hAnsi="Cambria" w:cs="Calibri"/>
                <w:lang w:val="hr-HR"/>
              </w:rPr>
            </w:pPr>
            <w:proofErr w:type="spellStart"/>
            <w:r w:rsidRPr="00DF4CE5">
              <w:rPr>
                <w:rFonts w:ascii="Cambria" w:eastAsia="Times New Roman" w:hAnsi="Cambria" w:cs="Calibri"/>
                <w:lang w:val="it-IT"/>
              </w:rPr>
              <w:t>ukupno</w:t>
            </w:r>
            <w:proofErr w:type="spellEnd"/>
          </w:p>
        </w:tc>
        <w:tc>
          <w:tcPr>
            <w:tcW w:w="69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108DF02" w14:textId="77777777" w:rsidR="00510729" w:rsidRPr="00DF4CE5" w:rsidRDefault="00510729" w:rsidP="00510729">
            <w:pPr>
              <w:spacing w:after="0" w:line="240" w:lineRule="atLeast"/>
              <w:jc w:val="center"/>
              <w:rPr>
                <w:rFonts w:ascii="Cambria" w:eastAsia="Times New Roman" w:hAnsi="Cambria" w:cs="Calibri"/>
                <w:lang w:val="hr-HR"/>
              </w:rPr>
            </w:pPr>
            <w:r w:rsidRPr="00DF4CE5">
              <w:rPr>
                <w:rFonts w:ascii="Cambria" w:eastAsia="Times New Roman" w:hAnsi="Cambria" w:cs="Calibri"/>
                <w:lang w:val="hr-HR"/>
              </w:rPr>
              <w:t>180</w:t>
            </w:r>
          </w:p>
        </w:tc>
        <w:tc>
          <w:tcPr>
            <w:tcW w:w="9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C603421" w14:textId="77777777" w:rsidR="00510729" w:rsidRPr="00DF4CE5" w:rsidRDefault="00510729" w:rsidP="00510729">
            <w:pPr>
              <w:spacing w:after="0" w:line="240" w:lineRule="atLeast"/>
              <w:jc w:val="center"/>
              <w:rPr>
                <w:rFonts w:ascii="Cambria" w:eastAsia="Times New Roman" w:hAnsi="Cambria" w:cs="Calibri"/>
                <w:lang w:val="hr-HR"/>
              </w:rPr>
            </w:pPr>
            <w:r w:rsidRPr="00DF4CE5">
              <w:rPr>
                <w:rFonts w:ascii="Cambria" w:eastAsia="Times New Roman" w:hAnsi="Cambria" w:cs="Calibri"/>
                <w:lang w:val="hr-HR"/>
              </w:rPr>
              <w:t>6</w:t>
            </w:r>
          </w:p>
        </w:tc>
        <w:tc>
          <w:tcPr>
            <w:tcW w:w="127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1BCBF1E" w14:textId="77777777" w:rsidR="00510729" w:rsidRPr="00DF4CE5" w:rsidRDefault="00510729" w:rsidP="00510729">
            <w:pPr>
              <w:spacing w:after="0" w:line="240" w:lineRule="atLeast"/>
              <w:jc w:val="center"/>
              <w:rPr>
                <w:rFonts w:ascii="Cambria" w:eastAsia="Times New Roman" w:hAnsi="Cambria" w:cs="Calibri"/>
                <w:lang w:val="hr-HR"/>
              </w:rPr>
            </w:pPr>
            <w:r w:rsidRPr="00DF4CE5">
              <w:rPr>
                <w:rFonts w:ascii="Cambria" w:eastAsia="Times New Roman" w:hAnsi="Cambria" w:cs="Calibri"/>
                <w:lang w:val="hr-HR"/>
              </w:rPr>
              <w:t>100 %</w:t>
            </w:r>
          </w:p>
        </w:tc>
      </w:tr>
      <w:tr w:rsidR="00510729" w:rsidRPr="00D0399C" w14:paraId="35B20A90" w14:textId="77777777" w:rsidTr="00510729">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4155FE5" w14:textId="77777777" w:rsidR="00510729" w:rsidRPr="00DF4CE5" w:rsidRDefault="00510729" w:rsidP="00510729">
            <w:pPr>
              <w:spacing w:after="0" w:line="240" w:lineRule="atLeast"/>
              <w:rPr>
                <w:rFonts w:ascii="Cambria" w:eastAsia="Times New Roman" w:hAnsi="Cambria" w:cs="Calibri"/>
                <w:lang w:val="hr-HR"/>
              </w:rPr>
            </w:pPr>
            <w:r w:rsidRPr="00DF4CE5">
              <w:rPr>
                <w:rFonts w:ascii="Cambria" w:eastAsia="Times New Roman" w:hAnsi="Cambria" w:cs="Calibri"/>
                <w:lang w:val="hr-HR"/>
              </w:rPr>
              <w:t>Studentske obveze</w:t>
            </w:r>
          </w:p>
        </w:tc>
        <w:tc>
          <w:tcPr>
            <w:tcW w:w="651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30C9E00" w14:textId="77777777" w:rsidR="00510729" w:rsidRPr="00DF4CE5" w:rsidRDefault="00510729" w:rsidP="00510729">
            <w:pPr>
              <w:spacing w:after="0" w:line="240" w:lineRule="atLeast"/>
              <w:rPr>
                <w:rFonts w:ascii="Cambria" w:eastAsia="Times New Roman" w:hAnsi="Cambria" w:cs="Calibri"/>
                <w:lang w:val="hr-HR"/>
              </w:rPr>
            </w:pPr>
            <w:r w:rsidRPr="00DF4CE5">
              <w:rPr>
                <w:rFonts w:ascii="Cambria" w:eastAsia="Times New Roman" w:hAnsi="Cambria" w:cs="Calibri"/>
                <w:lang w:val="hr-HR"/>
              </w:rPr>
              <w:t xml:space="preserve">Da položi kolegij, studentica/student mora: </w:t>
            </w:r>
          </w:p>
          <w:p w14:paraId="16161642" w14:textId="0FE7CFF5" w:rsidR="00510729" w:rsidRPr="00DF4CE5" w:rsidRDefault="00510729" w:rsidP="00510729">
            <w:pPr>
              <w:spacing w:after="0" w:line="240" w:lineRule="atLeast"/>
              <w:rPr>
                <w:rFonts w:ascii="Cambria" w:eastAsia="Times New Roman" w:hAnsi="Cambria" w:cs="Calibri"/>
                <w:lang w:val="hr-HR"/>
              </w:rPr>
            </w:pPr>
            <w:r w:rsidRPr="00DF4CE5">
              <w:rPr>
                <w:rFonts w:ascii="Cambria" w:eastAsia="Times New Roman" w:hAnsi="Cambria" w:cs="Calibri"/>
                <w:lang w:val="hr-HR"/>
              </w:rPr>
              <w:t>1. redovito pratiti nastavu i aktivno sudjelovati u seminaru i vježbama</w:t>
            </w:r>
          </w:p>
          <w:p w14:paraId="6860948E" w14:textId="58A4CD08" w:rsidR="00510729" w:rsidRPr="00DF4CE5" w:rsidRDefault="00510729" w:rsidP="00510729">
            <w:pPr>
              <w:spacing w:after="0" w:line="240" w:lineRule="atLeast"/>
              <w:rPr>
                <w:rFonts w:ascii="Cambria" w:eastAsia="Times New Roman" w:hAnsi="Cambria" w:cs="Calibri"/>
                <w:lang w:val="hr-HR"/>
              </w:rPr>
            </w:pPr>
            <w:r w:rsidRPr="00DF4CE5">
              <w:rPr>
                <w:rFonts w:ascii="Cambria" w:eastAsia="Times New Roman" w:hAnsi="Cambria" w:cs="Calibri"/>
                <w:lang w:val="hr-HR"/>
              </w:rPr>
              <w:lastRenderedPageBreak/>
              <w:t xml:space="preserve">2. </w:t>
            </w:r>
            <w:r w:rsidR="004F2942">
              <w:rPr>
                <w:rFonts w:ascii="Cambria" w:eastAsia="Times New Roman" w:hAnsi="Cambria" w:cs="Calibri"/>
                <w:lang w:val="hr-HR"/>
              </w:rPr>
              <w:t>i</w:t>
            </w:r>
            <w:r w:rsidRPr="00DF4CE5">
              <w:rPr>
                <w:rFonts w:ascii="Cambria" w:eastAsia="Times New Roman" w:hAnsi="Cambria" w:cs="Calibri"/>
                <w:lang w:val="hr-HR"/>
              </w:rPr>
              <w:t>zraditi i prezentirati seminar (izraditi prezentaciju) (5-8 kartica teksta) s literaturom i bez osvrta na metodologiju</w:t>
            </w:r>
          </w:p>
          <w:p w14:paraId="5C2FED5E" w14:textId="40CED3C3" w:rsidR="00510729" w:rsidRPr="00DF4CE5" w:rsidRDefault="00510729" w:rsidP="00510729">
            <w:pPr>
              <w:spacing w:after="0" w:line="240" w:lineRule="atLeast"/>
              <w:rPr>
                <w:rFonts w:ascii="Cambria" w:eastAsia="Times New Roman" w:hAnsi="Cambria" w:cs="Calibri"/>
                <w:lang w:val="hr-HR"/>
              </w:rPr>
            </w:pPr>
            <w:r w:rsidRPr="00DF4CE5">
              <w:rPr>
                <w:rFonts w:ascii="Cambria" w:eastAsia="Times New Roman" w:hAnsi="Cambria" w:cs="Calibri"/>
                <w:lang w:val="hr-HR"/>
              </w:rPr>
              <w:t xml:space="preserve">3. </w:t>
            </w:r>
            <w:r w:rsidR="004F2942">
              <w:rPr>
                <w:rFonts w:ascii="Cambria" w:eastAsia="Times New Roman" w:hAnsi="Cambria" w:cs="Calibri"/>
                <w:lang w:val="hr-HR"/>
              </w:rPr>
              <w:t>p</w:t>
            </w:r>
            <w:r w:rsidRPr="00DF4CE5">
              <w:rPr>
                <w:rFonts w:ascii="Cambria" w:eastAsia="Times New Roman" w:hAnsi="Cambria" w:cs="Calibri"/>
                <w:lang w:val="hr-HR"/>
              </w:rPr>
              <w:t>oložiti kolokvij (nije eliminacijski) i završni ispit.</w:t>
            </w:r>
          </w:p>
        </w:tc>
      </w:tr>
      <w:tr w:rsidR="00510729" w:rsidRPr="00D0399C" w14:paraId="0376A4CE" w14:textId="77777777" w:rsidTr="00510729">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A4C00DF" w14:textId="77777777" w:rsidR="00510729" w:rsidRPr="00DF4CE5" w:rsidRDefault="00510729" w:rsidP="00510729">
            <w:pPr>
              <w:spacing w:after="0" w:line="240" w:lineRule="atLeast"/>
              <w:rPr>
                <w:rFonts w:ascii="Cambria" w:eastAsia="Times New Roman" w:hAnsi="Cambria" w:cs="Calibri"/>
                <w:lang w:val="hr-HR"/>
              </w:rPr>
            </w:pPr>
            <w:r w:rsidRPr="00DF4CE5">
              <w:rPr>
                <w:rFonts w:ascii="Cambria" w:eastAsia="Times New Roman" w:hAnsi="Cambria" w:cs="Calibri"/>
                <w:lang w:val="hr-HR"/>
              </w:rPr>
              <w:lastRenderedPageBreak/>
              <w:t>Rokovi ispita</w:t>
            </w:r>
          </w:p>
        </w:tc>
        <w:tc>
          <w:tcPr>
            <w:tcW w:w="651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0CA1439" w14:textId="77777777" w:rsidR="00510729" w:rsidRPr="00DF4CE5" w:rsidRDefault="00510729" w:rsidP="00510729">
            <w:pPr>
              <w:spacing w:after="0" w:line="240" w:lineRule="atLeast"/>
              <w:rPr>
                <w:rFonts w:ascii="Cambria" w:eastAsia="Times New Roman" w:hAnsi="Cambria" w:cs="Calibri"/>
                <w:lang w:val="hr-HR"/>
              </w:rPr>
            </w:pPr>
            <w:r w:rsidRPr="00DF4CE5">
              <w:rPr>
                <w:rFonts w:ascii="Cambria" w:eastAsia="Times New Roman" w:hAnsi="Cambria" w:cs="Calibri"/>
                <w:lang w:val="hr-HR"/>
              </w:rPr>
              <w:t>Daju se na početku akademske godine, objavljuju se na mrežnim stranicama Sveučilišta i u ISVU.</w:t>
            </w:r>
          </w:p>
        </w:tc>
      </w:tr>
      <w:tr w:rsidR="00510729" w:rsidRPr="00DF4CE5" w14:paraId="1B722756" w14:textId="77777777" w:rsidTr="00510729">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99D1AFF" w14:textId="77777777" w:rsidR="00510729" w:rsidRPr="00DF4CE5" w:rsidRDefault="00510729" w:rsidP="00510729">
            <w:pPr>
              <w:spacing w:after="0" w:line="240" w:lineRule="atLeast"/>
              <w:rPr>
                <w:rFonts w:ascii="Cambria" w:eastAsia="Times New Roman" w:hAnsi="Cambria" w:cs="Calibri"/>
                <w:lang w:val="hr-HR"/>
              </w:rPr>
            </w:pPr>
            <w:r w:rsidRPr="00DF4CE5">
              <w:rPr>
                <w:rFonts w:ascii="Cambria" w:eastAsia="Times New Roman" w:hAnsi="Cambria" w:cs="Calibri"/>
                <w:lang w:val="hr-HR"/>
              </w:rPr>
              <w:t xml:space="preserve">Ostale važne činjenice </w:t>
            </w:r>
            <w:proofErr w:type="spellStart"/>
            <w:r w:rsidRPr="00DF4CE5">
              <w:rPr>
                <w:rFonts w:ascii="Cambria" w:eastAsia="Times New Roman" w:hAnsi="Cambria" w:cs="Calibri"/>
                <w:lang w:val="it-IT"/>
              </w:rPr>
              <w:t>vezane</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uz</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kolegij</w:t>
            </w:r>
            <w:proofErr w:type="spellEnd"/>
          </w:p>
        </w:tc>
        <w:tc>
          <w:tcPr>
            <w:tcW w:w="651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B219044" w14:textId="77777777" w:rsidR="00510729" w:rsidRPr="00DF4CE5" w:rsidRDefault="00510729" w:rsidP="00510729">
            <w:pPr>
              <w:spacing w:after="0" w:line="240" w:lineRule="atLeast"/>
              <w:rPr>
                <w:rFonts w:ascii="Cambria" w:eastAsia="Times New Roman" w:hAnsi="Cambria" w:cs="Calibri"/>
                <w:lang w:val="hr-HR"/>
              </w:rPr>
            </w:pPr>
            <w:r w:rsidRPr="00DF4CE5">
              <w:rPr>
                <w:rFonts w:ascii="Cambria" w:eastAsia="Times New Roman" w:hAnsi="Cambria" w:cs="Calibri"/>
                <w:lang w:val="hr-HR"/>
              </w:rPr>
              <w:t>Kontaktiranje s nastavnikom</w:t>
            </w:r>
          </w:p>
          <w:p w14:paraId="71A83C45" w14:textId="77777777" w:rsidR="00510729" w:rsidRPr="00DF4CE5" w:rsidRDefault="00510729" w:rsidP="00510729">
            <w:pPr>
              <w:spacing w:after="0" w:line="240" w:lineRule="atLeast"/>
              <w:rPr>
                <w:rFonts w:ascii="Cambria" w:eastAsia="Times New Roman" w:hAnsi="Cambria" w:cs="Calibri"/>
                <w:lang w:val="hr-HR"/>
              </w:rPr>
            </w:pPr>
            <w:r w:rsidRPr="00DF4CE5">
              <w:rPr>
                <w:rFonts w:ascii="Cambria" w:eastAsia="Times New Roman" w:hAnsi="Cambria" w:cs="Calibri"/>
                <w:lang w:val="hr-HR"/>
              </w:rPr>
              <w:t>Kontaktiranje s nastavnicom i asistentom izvan nastave odvija se najčešće u vrijeme konzultacija. Konzultacije mogu biti dogovorene i izvan zadanih termina kada su studenti spriječeni drugim studijskim obvezama. Svakodnevno (dvosmjerno) kontaktiranje omogućuje se elektroničkom poštom.</w:t>
            </w:r>
          </w:p>
          <w:p w14:paraId="5E1D0C6A" w14:textId="77777777" w:rsidR="00510729" w:rsidRPr="00DF4CE5" w:rsidRDefault="00510729" w:rsidP="00510729">
            <w:pPr>
              <w:spacing w:after="0" w:line="240" w:lineRule="atLeast"/>
              <w:rPr>
                <w:rFonts w:ascii="Cambria" w:eastAsia="Times New Roman" w:hAnsi="Cambria" w:cs="Calibri"/>
                <w:lang w:val="hr-HR"/>
              </w:rPr>
            </w:pPr>
            <w:r w:rsidRPr="00DF4CE5">
              <w:rPr>
                <w:rFonts w:ascii="Cambria" w:eastAsia="Times New Roman" w:hAnsi="Cambria" w:cs="Calibri"/>
                <w:lang w:val="hr-HR"/>
              </w:rPr>
              <w:t>U slučaju održavanja nastave na daljinu, moguće je odstupanje u: mjestu izvođenja kolegija, provedbi aktivnosti, metoda tumačenja i poučavanja i načinima vrednovanja, studentskim obvezama i dostupnoj literaturi. O tome će nositeljica kolegija i asistent obavijestiti studente i studentice kad se nastava na daljinu počne održavati. Ishodi učenja ostaju nepromijenjeni.</w:t>
            </w:r>
          </w:p>
        </w:tc>
      </w:tr>
      <w:tr w:rsidR="00510729" w:rsidRPr="00DF4CE5" w14:paraId="42065889" w14:textId="77777777" w:rsidTr="00510729">
        <w:trPr>
          <w:trHeight w:val="770"/>
        </w:trPr>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55BC625" w14:textId="77777777" w:rsidR="00510729" w:rsidRPr="00DF4CE5" w:rsidRDefault="00510729" w:rsidP="00510729">
            <w:pPr>
              <w:spacing w:after="0" w:line="240" w:lineRule="atLeast"/>
              <w:rPr>
                <w:rFonts w:ascii="Cambria" w:eastAsia="Times New Roman" w:hAnsi="Cambria" w:cs="Calibri"/>
                <w:lang w:val="hr-HR"/>
              </w:rPr>
            </w:pPr>
            <w:r w:rsidRPr="00DF4CE5">
              <w:rPr>
                <w:rFonts w:ascii="Cambria" w:eastAsia="Times New Roman" w:hAnsi="Cambria" w:cs="Calibri"/>
                <w:lang w:val="hr-HR"/>
              </w:rPr>
              <w:t>Literatura</w:t>
            </w: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2CCD19E3" w14:textId="77777777" w:rsidR="00510729" w:rsidRPr="00DF4CE5" w:rsidRDefault="00510729" w:rsidP="00510729">
            <w:pPr>
              <w:spacing w:after="0" w:line="240" w:lineRule="atLeast"/>
              <w:rPr>
                <w:rFonts w:ascii="Cambria" w:eastAsia="Times New Roman" w:hAnsi="Cambria" w:cs="Calibri"/>
                <w:lang w:val="hr-HR"/>
              </w:rPr>
            </w:pPr>
            <w:r w:rsidRPr="00DF4CE5">
              <w:rPr>
                <w:rFonts w:ascii="Cambria" w:eastAsia="Times New Roman" w:hAnsi="Cambria" w:cs="Calibri"/>
                <w:lang w:val="hr-HR"/>
              </w:rPr>
              <w:t xml:space="preserve">Obvezna: </w:t>
            </w:r>
          </w:p>
          <w:p w14:paraId="5366E5E4" w14:textId="77777777" w:rsidR="00510729" w:rsidRPr="00DF4CE5" w:rsidRDefault="00510729" w:rsidP="00510729">
            <w:pPr>
              <w:spacing w:after="0" w:line="240" w:lineRule="atLeast"/>
              <w:rPr>
                <w:rFonts w:ascii="Cambria" w:eastAsia="Times New Roman" w:hAnsi="Cambria" w:cs="Calibri"/>
                <w:lang w:val="hr-HR"/>
              </w:rPr>
            </w:pPr>
            <w:r w:rsidRPr="00DF4CE5">
              <w:rPr>
                <w:rFonts w:ascii="Cambria" w:eastAsia="Times New Roman" w:hAnsi="Cambria" w:cs="Calibri"/>
                <w:lang w:val="hr-HR"/>
              </w:rPr>
              <w:t xml:space="preserve">1.Šimović, V., Maletić, F., Afrić, W (2010). Osnove informatike-Uvod. Zagreb: Golden marketing. (str.9-str. 151.) </w:t>
            </w:r>
          </w:p>
          <w:p w14:paraId="2D8E4029" w14:textId="77777777" w:rsidR="00510729" w:rsidRPr="00DF4CE5" w:rsidRDefault="00510729" w:rsidP="00510729">
            <w:pPr>
              <w:spacing w:after="0" w:line="240" w:lineRule="atLeast"/>
              <w:rPr>
                <w:rFonts w:ascii="Cambria" w:eastAsia="Times New Roman" w:hAnsi="Cambria" w:cs="Calibri"/>
                <w:lang w:val="hr-HR"/>
              </w:rPr>
            </w:pPr>
            <w:r w:rsidRPr="00DF4CE5">
              <w:rPr>
                <w:rFonts w:ascii="Cambria" w:eastAsia="Times New Roman" w:hAnsi="Cambria" w:cs="Calibri"/>
                <w:lang w:val="hr-HR"/>
              </w:rPr>
              <w:t>2. Ribarić, Slobodan, Građa računala - arhitektura i organizacija računarskih sustava, Algebra, Zagreb, 2011.</w:t>
            </w:r>
          </w:p>
          <w:p w14:paraId="4832D7D4" w14:textId="599EA7B2" w:rsidR="00510729" w:rsidRPr="00DF4CE5" w:rsidRDefault="00510729" w:rsidP="00510729">
            <w:pPr>
              <w:spacing w:after="0" w:line="240" w:lineRule="atLeast"/>
              <w:rPr>
                <w:rFonts w:ascii="Cambria" w:eastAsia="Times New Roman" w:hAnsi="Cambria" w:cs="Calibri"/>
                <w:lang w:val="hr-HR"/>
              </w:rPr>
            </w:pPr>
            <w:r w:rsidRPr="00DF4CE5">
              <w:rPr>
                <w:rFonts w:ascii="Cambria" w:eastAsia="Times New Roman" w:hAnsi="Cambria" w:cs="Calibri"/>
                <w:lang w:val="hr-HR"/>
              </w:rPr>
              <w:t>3. MS Office 365 Training, https://support.microsoft.com/en-us/training</w:t>
            </w:r>
          </w:p>
          <w:p w14:paraId="618EBC53" w14:textId="77777777" w:rsidR="00510729" w:rsidRPr="00DF4CE5" w:rsidRDefault="00510729" w:rsidP="00510729">
            <w:pPr>
              <w:spacing w:after="0" w:line="240" w:lineRule="atLeast"/>
              <w:rPr>
                <w:rFonts w:ascii="Cambria" w:eastAsia="Times New Roman" w:hAnsi="Cambria" w:cs="Calibri"/>
                <w:lang w:val="hr-HR"/>
              </w:rPr>
            </w:pPr>
            <w:r w:rsidRPr="00DF4CE5">
              <w:rPr>
                <w:rFonts w:ascii="Cambria" w:eastAsia="Times New Roman" w:hAnsi="Cambria" w:cs="Calibri"/>
                <w:lang w:val="hr-HR"/>
              </w:rPr>
              <w:t xml:space="preserve">Izborna: </w:t>
            </w:r>
          </w:p>
          <w:p w14:paraId="3BDBB3F7" w14:textId="77777777" w:rsidR="00510729" w:rsidRPr="00DF4CE5" w:rsidRDefault="00510729" w:rsidP="00510729">
            <w:pPr>
              <w:spacing w:after="0" w:line="240" w:lineRule="atLeast"/>
              <w:rPr>
                <w:rFonts w:ascii="Cambria" w:eastAsia="Times New Roman" w:hAnsi="Cambria" w:cs="Calibri"/>
                <w:lang w:val="hr-HR"/>
              </w:rPr>
            </w:pPr>
            <w:r w:rsidRPr="00DF4CE5">
              <w:rPr>
                <w:rFonts w:ascii="Cambria" w:eastAsia="Times New Roman" w:hAnsi="Cambria" w:cs="Calibri"/>
                <w:lang w:val="hr-HR"/>
              </w:rPr>
              <w:t xml:space="preserve">1. </w:t>
            </w:r>
            <w:proofErr w:type="spellStart"/>
            <w:r w:rsidRPr="00DF4CE5">
              <w:rPr>
                <w:rFonts w:ascii="Cambria" w:eastAsia="Times New Roman" w:hAnsi="Cambria" w:cs="Calibri"/>
                <w:lang w:val="hr-HR"/>
              </w:rPr>
              <w:t>Preppernau</w:t>
            </w:r>
            <w:proofErr w:type="spellEnd"/>
            <w:r w:rsidRPr="00DF4CE5">
              <w:rPr>
                <w:rFonts w:ascii="Cambria" w:eastAsia="Times New Roman" w:hAnsi="Cambria" w:cs="Calibri"/>
                <w:lang w:val="hr-HR"/>
              </w:rPr>
              <w:t xml:space="preserve">, </w:t>
            </w:r>
            <w:proofErr w:type="spellStart"/>
            <w:r w:rsidRPr="00DF4CE5">
              <w:rPr>
                <w:rFonts w:ascii="Cambria" w:eastAsia="Times New Roman" w:hAnsi="Cambria" w:cs="Calibri"/>
                <w:lang w:val="hr-HR"/>
              </w:rPr>
              <w:t>J.,Lambert</w:t>
            </w:r>
            <w:proofErr w:type="spellEnd"/>
            <w:r w:rsidRPr="00DF4CE5">
              <w:rPr>
                <w:rFonts w:ascii="Cambria" w:eastAsia="Times New Roman" w:hAnsi="Cambria" w:cs="Calibri"/>
                <w:lang w:val="hr-HR"/>
              </w:rPr>
              <w:t xml:space="preserve">, J., </w:t>
            </w:r>
            <w:proofErr w:type="spellStart"/>
            <w:r w:rsidRPr="00DF4CE5">
              <w:rPr>
                <w:rFonts w:ascii="Cambria" w:eastAsia="Times New Roman" w:hAnsi="Cambria" w:cs="Calibri"/>
                <w:lang w:val="hr-HR"/>
              </w:rPr>
              <w:t>Frye</w:t>
            </w:r>
            <w:proofErr w:type="spellEnd"/>
            <w:r w:rsidRPr="00DF4CE5">
              <w:rPr>
                <w:rFonts w:ascii="Cambria" w:eastAsia="Times New Roman" w:hAnsi="Cambria" w:cs="Calibri"/>
                <w:lang w:val="hr-HR"/>
              </w:rPr>
              <w:t>, C. (2010). Microsoft Office 2010 Korak po korak. Microsoft Press.</w:t>
            </w:r>
          </w:p>
          <w:p w14:paraId="7693CF36" w14:textId="77777777" w:rsidR="00510729" w:rsidRPr="00DF4CE5" w:rsidRDefault="00510729" w:rsidP="00510729">
            <w:pPr>
              <w:spacing w:after="0" w:line="240" w:lineRule="atLeast"/>
              <w:rPr>
                <w:rFonts w:ascii="Cambria" w:eastAsia="Times New Roman" w:hAnsi="Cambria" w:cs="Calibri"/>
                <w:lang w:val="hr-HR"/>
              </w:rPr>
            </w:pPr>
            <w:r w:rsidRPr="00DF4CE5">
              <w:rPr>
                <w:rFonts w:ascii="Cambria" w:eastAsia="Times New Roman" w:hAnsi="Cambria" w:cs="Calibri"/>
                <w:lang w:val="hr-HR"/>
              </w:rPr>
              <w:t xml:space="preserve">2. Johnson, S. (2010). Microsoft Excel 2010 na dlanu, Miš: Zagreb. </w:t>
            </w:r>
          </w:p>
          <w:p w14:paraId="1F814B92" w14:textId="77777777" w:rsidR="00510729" w:rsidRPr="00DF4CE5" w:rsidRDefault="00510729" w:rsidP="00510729">
            <w:pPr>
              <w:spacing w:after="0" w:line="240" w:lineRule="atLeast"/>
              <w:rPr>
                <w:rFonts w:ascii="Cambria" w:eastAsia="Times New Roman" w:hAnsi="Cambria" w:cs="Calibri"/>
                <w:lang w:val="hr-HR"/>
              </w:rPr>
            </w:pPr>
            <w:r w:rsidRPr="00DF4CE5">
              <w:rPr>
                <w:rFonts w:ascii="Cambria" w:eastAsia="Times New Roman" w:hAnsi="Cambria" w:cs="Calibri"/>
                <w:lang w:val="hr-HR"/>
              </w:rPr>
              <w:t xml:space="preserve">3. Cox, J., Lambert, L. (2010). Microsoft Word 2010 </w:t>
            </w:r>
            <w:proofErr w:type="spellStart"/>
            <w:r w:rsidRPr="00DF4CE5">
              <w:rPr>
                <w:rFonts w:ascii="Cambria" w:eastAsia="Times New Roman" w:hAnsi="Cambria" w:cs="Calibri"/>
                <w:lang w:val="hr-HR"/>
              </w:rPr>
              <w:t>Step</w:t>
            </w:r>
            <w:proofErr w:type="spellEnd"/>
            <w:r w:rsidRPr="00DF4CE5">
              <w:rPr>
                <w:rFonts w:ascii="Cambria" w:eastAsia="Times New Roman" w:hAnsi="Cambria" w:cs="Calibri"/>
                <w:lang w:val="hr-HR"/>
              </w:rPr>
              <w:t xml:space="preserve"> </w:t>
            </w:r>
            <w:proofErr w:type="spellStart"/>
            <w:r w:rsidRPr="00DF4CE5">
              <w:rPr>
                <w:rFonts w:ascii="Cambria" w:eastAsia="Times New Roman" w:hAnsi="Cambria" w:cs="Calibri"/>
                <w:lang w:val="hr-HR"/>
              </w:rPr>
              <w:t>by</w:t>
            </w:r>
            <w:proofErr w:type="spellEnd"/>
            <w:r w:rsidRPr="00DF4CE5">
              <w:rPr>
                <w:rFonts w:ascii="Cambria" w:eastAsia="Times New Roman" w:hAnsi="Cambria" w:cs="Calibri"/>
                <w:lang w:val="hr-HR"/>
              </w:rPr>
              <w:t xml:space="preserve"> </w:t>
            </w:r>
            <w:proofErr w:type="spellStart"/>
            <w:r w:rsidRPr="00DF4CE5">
              <w:rPr>
                <w:rFonts w:ascii="Cambria" w:eastAsia="Times New Roman" w:hAnsi="Cambria" w:cs="Calibri"/>
                <w:lang w:val="hr-HR"/>
              </w:rPr>
              <w:t>Step</w:t>
            </w:r>
            <w:proofErr w:type="spellEnd"/>
            <w:r w:rsidRPr="00DF4CE5">
              <w:rPr>
                <w:rFonts w:ascii="Cambria" w:eastAsia="Times New Roman" w:hAnsi="Cambria" w:cs="Calibri"/>
                <w:lang w:val="hr-HR"/>
              </w:rPr>
              <w:t>. Microsoft Press.</w:t>
            </w:r>
          </w:p>
          <w:p w14:paraId="3E3CEABE" w14:textId="77777777" w:rsidR="00510729" w:rsidRPr="00DF4CE5" w:rsidRDefault="00510729" w:rsidP="00510729">
            <w:pPr>
              <w:spacing w:after="0" w:line="240" w:lineRule="atLeast"/>
              <w:rPr>
                <w:rFonts w:ascii="Cambria" w:eastAsia="Times New Roman" w:hAnsi="Cambria" w:cs="Calibri"/>
                <w:lang w:val="hr-HR"/>
              </w:rPr>
            </w:pPr>
          </w:p>
        </w:tc>
      </w:tr>
    </w:tbl>
    <w:p w14:paraId="087F4DA0" w14:textId="77777777" w:rsidR="00510729" w:rsidRPr="00DF4CE5" w:rsidRDefault="00510729" w:rsidP="00510729">
      <w:pPr>
        <w:spacing w:after="0" w:line="240" w:lineRule="auto"/>
        <w:rPr>
          <w:rFonts w:ascii="Cambria" w:eastAsia="Cambria" w:hAnsi="Cambria" w:cs="Cambria"/>
          <w:lang w:val="hr-HR"/>
        </w:rPr>
      </w:pPr>
    </w:p>
    <w:p w14:paraId="16D19C0A" w14:textId="77777777" w:rsidR="00510729" w:rsidRPr="00DF4CE5" w:rsidRDefault="00510729" w:rsidP="00510729">
      <w:pPr>
        <w:spacing w:after="0" w:line="240" w:lineRule="auto"/>
        <w:rPr>
          <w:rFonts w:ascii="Cambria" w:eastAsia="Cambria" w:hAnsi="Cambria" w:cs="Cambria"/>
          <w:lang w:val="hr-HR"/>
        </w:rPr>
      </w:pPr>
    </w:p>
    <w:p w14:paraId="569F0A36" w14:textId="4ECC298A" w:rsidR="00510729" w:rsidRPr="00DF4CE5" w:rsidRDefault="00510729" w:rsidP="00510729">
      <w:pPr>
        <w:spacing w:after="0" w:line="240" w:lineRule="auto"/>
        <w:rPr>
          <w:rFonts w:ascii="Cambria" w:eastAsia="Cambria" w:hAnsi="Cambria" w:cs="Cambria"/>
          <w:lang w:val="hr-HR"/>
        </w:rPr>
      </w:pPr>
    </w:p>
    <w:p w14:paraId="09627465" w14:textId="2117F154" w:rsidR="00DC4673" w:rsidRPr="00DF4CE5" w:rsidRDefault="00DC4673" w:rsidP="00510729">
      <w:pPr>
        <w:spacing w:after="0" w:line="240" w:lineRule="auto"/>
        <w:rPr>
          <w:rFonts w:ascii="Cambria" w:eastAsia="Cambria" w:hAnsi="Cambria" w:cs="Cambria"/>
          <w:lang w:val="hr-HR"/>
        </w:rPr>
      </w:pPr>
    </w:p>
    <w:p w14:paraId="2E91E48E" w14:textId="2DF9E88A" w:rsidR="00DC4673" w:rsidRPr="00DF4CE5" w:rsidRDefault="00DC4673" w:rsidP="00510729">
      <w:pPr>
        <w:spacing w:after="0" w:line="240" w:lineRule="auto"/>
        <w:rPr>
          <w:rFonts w:ascii="Cambria" w:eastAsia="Cambria" w:hAnsi="Cambria" w:cs="Cambria"/>
          <w:lang w:val="hr-HR"/>
        </w:rPr>
      </w:pPr>
    </w:p>
    <w:p w14:paraId="675ABE83" w14:textId="1F4B9344" w:rsidR="00DC4673" w:rsidRPr="00DF4CE5" w:rsidRDefault="00DC4673" w:rsidP="00510729">
      <w:pPr>
        <w:spacing w:after="0" w:line="240" w:lineRule="auto"/>
        <w:rPr>
          <w:rFonts w:ascii="Cambria" w:eastAsia="Cambria" w:hAnsi="Cambria" w:cs="Cambria"/>
          <w:lang w:val="hr-HR"/>
        </w:rPr>
      </w:pPr>
    </w:p>
    <w:p w14:paraId="315D4BDB" w14:textId="6333D438" w:rsidR="00DC4673" w:rsidRPr="00DF4CE5" w:rsidRDefault="00DC4673" w:rsidP="00510729">
      <w:pPr>
        <w:spacing w:after="0" w:line="240" w:lineRule="auto"/>
        <w:rPr>
          <w:rFonts w:ascii="Cambria" w:eastAsia="Cambria" w:hAnsi="Cambria" w:cs="Cambria"/>
          <w:lang w:val="hr-HR"/>
        </w:rPr>
      </w:pPr>
    </w:p>
    <w:p w14:paraId="56614302" w14:textId="6C547552" w:rsidR="00DC4673" w:rsidRPr="00DF4CE5" w:rsidRDefault="00DC4673" w:rsidP="00510729">
      <w:pPr>
        <w:spacing w:after="0" w:line="240" w:lineRule="auto"/>
        <w:rPr>
          <w:rFonts w:ascii="Cambria" w:eastAsia="Cambria" w:hAnsi="Cambria" w:cs="Cambria"/>
          <w:lang w:val="hr-HR"/>
        </w:rPr>
      </w:pPr>
    </w:p>
    <w:p w14:paraId="47103B28" w14:textId="77777777" w:rsidR="00CE1FD6" w:rsidRPr="00DF4CE5" w:rsidRDefault="00CE1FD6" w:rsidP="00510729">
      <w:pPr>
        <w:spacing w:after="0" w:line="240" w:lineRule="auto"/>
        <w:rPr>
          <w:rFonts w:ascii="Cambria" w:eastAsia="Cambria" w:hAnsi="Cambria" w:cs="Cambria"/>
          <w:lang w:val="hr-HR"/>
        </w:rPr>
      </w:pPr>
    </w:p>
    <w:p w14:paraId="0B64A143" w14:textId="77777777" w:rsidR="00CE1FD6" w:rsidRPr="00DF4CE5" w:rsidRDefault="00CE1FD6" w:rsidP="00510729">
      <w:pPr>
        <w:spacing w:after="0" w:line="240" w:lineRule="auto"/>
        <w:rPr>
          <w:rFonts w:ascii="Cambria" w:eastAsia="Cambria" w:hAnsi="Cambria" w:cs="Cambria"/>
          <w:lang w:val="hr-HR"/>
        </w:rPr>
      </w:pPr>
    </w:p>
    <w:p w14:paraId="2F05CDF8" w14:textId="77777777" w:rsidR="00CE1FD6" w:rsidRPr="00DF4CE5" w:rsidRDefault="00CE1FD6" w:rsidP="00510729">
      <w:pPr>
        <w:spacing w:after="0" w:line="240" w:lineRule="auto"/>
        <w:rPr>
          <w:rFonts w:ascii="Cambria" w:eastAsia="Cambria" w:hAnsi="Cambria" w:cs="Cambria"/>
          <w:lang w:val="hr-HR"/>
        </w:rPr>
      </w:pPr>
    </w:p>
    <w:p w14:paraId="0DB225A6" w14:textId="77777777" w:rsidR="00CE1FD6" w:rsidRPr="00DF4CE5" w:rsidRDefault="00CE1FD6" w:rsidP="00510729">
      <w:pPr>
        <w:spacing w:after="0" w:line="240" w:lineRule="auto"/>
        <w:rPr>
          <w:rFonts w:ascii="Cambria" w:eastAsia="Cambria" w:hAnsi="Cambria" w:cs="Cambria"/>
          <w:lang w:val="hr-HR"/>
        </w:rPr>
      </w:pPr>
    </w:p>
    <w:p w14:paraId="6E124FF8" w14:textId="77777777" w:rsidR="00CE1FD6" w:rsidRPr="00DF4CE5" w:rsidRDefault="00CE1FD6" w:rsidP="00510729">
      <w:pPr>
        <w:spacing w:after="0" w:line="240" w:lineRule="auto"/>
        <w:rPr>
          <w:rFonts w:ascii="Cambria" w:eastAsia="Cambria" w:hAnsi="Cambria" w:cs="Cambria"/>
          <w:lang w:val="hr-HR"/>
        </w:rPr>
      </w:pPr>
    </w:p>
    <w:p w14:paraId="509F5A03" w14:textId="77777777" w:rsidR="00CE1FD6" w:rsidRPr="00DF4CE5" w:rsidRDefault="00CE1FD6" w:rsidP="00510729">
      <w:pPr>
        <w:spacing w:after="0" w:line="240" w:lineRule="auto"/>
        <w:rPr>
          <w:rFonts w:ascii="Cambria" w:eastAsia="Cambria" w:hAnsi="Cambria" w:cs="Cambria"/>
          <w:lang w:val="hr-HR"/>
        </w:rPr>
      </w:pPr>
    </w:p>
    <w:p w14:paraId="036944C8" w14:textId="77777777" w:rsidR="00CE1FD6" w:rsidRPr="00DF4CE5" w:rsidRDefault="00CE1FD6" w:rsidP="00510729">
      <w:pPr>
        <w:spacing w:after="0" w:line="240" w:lineRule="auto"/>
        <w:rPr>
          <w:rFonts w:ascii="Cambria" w:eastAsia="Cambria" w:hAnsi="Cambria" w:cs="Cambria"/>
          <w:lang w:val="hr-HR"/>
        </w:rPr>
      </w:pPr>
    </w:p>
    <w:p w14:paraId="6DAD4446" w14:textId="77777777" w:rsidR="00CE1FD6" w:rsidRPr="00DF4CE5" w:rsidRDefault="00CE1FD6" w:rsidP="00510729">
      <w:pPr>
        <w:spacing w:after="0" w:line="240" w:lineRule="auto"/>
        <w:rPr>
          <w:rFonts w:ascii="Cambria" w:eastAsia="Cambria" w:hAnsi="Cambria" w:cs="Cambria"/>
          <w:lang w:val="hr-HR"/>
        </w:rPr>
      </w:pPr>
    </w:p>
    <w:p w14:paraId="324EF30D" w14:textId="77777777" w:rsidR="00CE1FD6" w:rsidRPr="00DF4CE5" w:rsidRDefault="00CE1FD6" w:rsidP="00510729">
      <w:pPr>
        <w:spacing w:after="0" w:line="240" w:lineRule="auto"/>
        <w:rPr>
          <w:rFonts w:ascii="Cambria" w:eastAsia="Cambria" w:hAnsi="Cambria" w:cs="Cambria"/>
          <w:lang w:val="hr-HR"/>
        </w:rPr>
      </w:pPr>
    </w:p>
    <w:p w14:paraId="34659891" w14:textId="77777777" w:rsidR="00CE1FD6" w:rsidRPr="00DF4CE5" w:rsidRDefault="00CE1FD6" w:rsidP="00510729">
      <w:pPr>
        <w:spacing w:after="0" w:line="240" w:lineRule="auto"/>
        <w:rPr>
          <w:rFonts w:ascii="Cambria" w:eastAsia="Cambria" w:hAnsi="Cambria" w:cs="Cambria"/>
          <w:lang w:val="hr-HR"/>
        </w:rPr>
      </w:pPr>
    </w:p>
    <w:p w14:paraId="26BB8915" w14:textId="77777777" w:rsidR="00CE1FD6" w:rsidRPr="00DF4CE5" w:rsidRDefault="00CE1FD6" w:rsidP="00510729">
      <w:pPr>
        <w:spacing w:after="0" w:line="240" w:lineRule="auto"/>
        <w:rPr>
          <w:rFonts w:ascii="Cambria" w:eastAsia="Cambria" w:hAnsi="Cambria" w:cs="Cambria"/>
          <w:lang w:val="hr-HR"/>
        </w:rPr>
      </w:pPr>
    </w:p>
    <w:p w14:paraId="677C564B" w14:textId="6E726466" w:rsidR="00CE1FD6" w:rsidRDefault="00CE1FD6" w:rsidP="00510729">
      <w:pPr>
        <w:spacing w:after="0" w:line="240" w:lineRule="auto"/>
        <w:rPr>
          <w:rFonts w:ascii="Cambria" w:eastAsia="Cambria" w:hAnsi="Cambria" w:cs="Cambria"/>
          <w:lang w:val="hr-HR"/>
        </w:rPr>
      </w:pPr>
    </w:p>
    <w:p w14:paraId="3582977D" w14:textId="77777777" w:rsidR="000B2D2C" w:rsidRPr="00DF4CE5" w:rsidRDefault="000B2D2C" w:rsidP="00510729">
      <w:pPr>
        <w:spacing w:after="0" w:line="240" w:lineRule="auto"/>
        <w:rPr>
          <w:rFonts w:ascii="Cambria" w:eastAsia="Cambria" w:hAnsi="Cambria" w:cs="Cambria"/>
          <w:lang w:val="hr-HR"/>
        </w:rPr>
      </w:pPr>
    </w:p>
    <w:p w14:paraId="7F25C392" w14:textId="77777777" w:rsidR="00DC4673" w:rsidRPr="00DF4CE5" w:rsidRDefault="00DC4673" w:rsidP="00510729">
      <w:pPr>
        <w:spacing w:after="0" w:line="240" w:lineRule="auto"/>
        <w:rPr>
          <w:rFonts w:ascii="Cambria" w:eastAsia="Cambria" w:hAnsi="Cambria" w:cs="Cambria"/>
          <w:lang w:val="hr-HR"/>
        </w:rPr>
      </w:pPr>
    </w:p>
    <w:tbl>
      <w:tblPr>
        <w:tblW w:w="5000" w:type="pct"/>
        <w:tblLayout w:type="fixed"/>
        <w:tblCellMar>
          <w:left w:w="0" w:type="dxa"/>
          <w:right w:w="0" w:type="dxa"/>
        </w:tblCellMar>
        <w:tblLook w:val="0600" w:firstRow="0" w:lastRow="0" w:firstColumn="0" w:lastColumn="0" w:noHBand="1" w:noVBand="1"/>
      </w:tblPr>
      <w:tblGrid>
        <w:gridCol w:w="2807"/>
        <w:gridCol w:w="2663"/>
        <w:gridCol w:w="11"/>
        <w:gridCol w:w="1265"/>
        <w:gridCol w:w="300"/>
        <w:gridCol w:w="472"/>
        <w:gridCol w:w="1087"/>
        <w:gridCol w:w="1415"/>
      </w:tblGrid>
      <w:tr w:rsidR="00510729" w:rsidRPr="00DF4CE5" w14:paraId="7153660B" w14:textId="77777777" w:rsidTr="00510729">
        <w:tc>
          <w:tcPr>
            <w:tcW w:w="9052"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E579748" w14:textId="77777777" w:rsidR="00510729" w:rsidRPr="00DF4CE5" w:rsidRDefault="00510729" w:rsidP="00510729">
            <w:pPr>
              <w:spacing w:after="0" w:line="240" w:lineRule="auto"/>
              <w:jc w:val="right"/>
              <w:rPr>
                <w:rFonts w:ascii="Cambria" w:eastAsia="Times New Roman" w:hAnsi="Cambria" w:cs="Calibri"/>
                <w:b/>
                <w:lang w:val="hr-HR"/>
              </w:rPr>
            </w:pPr>
            <w:r w:rsidRPr="00DF4CE5">
              <w:rPr>
                <w:rFonts w:ascii="Cambria" w:eastAsia="Times New Roman" w:hAnsi="Cambria" w:cs="Calibri"/>
                <w:b/>
                <w:lang w:val="hr-HR"/>
              </w:rPr>
              <w:lastRenderedPageBreak/>
              <w:t>IZVEDBENI PLAN NASTAVE KOLEGIJA</w:t>
            </w:r>
          </w:p>
        </w:tc>
      </w:tr>
      <w:tr w:rsidR="00510729" w:rsidRPr="00DF4CE5" w14:paraId="5405D9E5" w14:textId="77777777" w:rsidTr="00510729">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77E9960"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Kod i naziv kolegija</w:t>
            </w:r>
          </w:p>
        </w:tc>
        <w:tc>
          <w:tcPr>
            <w:tcW w:w="651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ECEC893" w14:textId="7C9B9BAE" w:rsidR="00510729" w:rsidRPr="00DF4CE5" w:rsidRDefault="00CE1FD6"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273625</w:t>
            </w:r>
          </w:p>
          <w:p w14:paraId="1DF17AEF"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Prirodoslovlje</w:t>
            </w:r>
          </w:p>
        </w:tc>
      </w:tr>
      <w:tr w:rsidR="00510729" w:rsidRPr="00D0399C" w14:paraId="657C9CE9" w14:textId="77777777" w:rsidTr="00510729">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D94FF31" w14:textId="77777777" w:rsidR="00510729"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Nastavnic</w:t>
            </w:r>
            <w:r w:rsidR="004F2942">
              <w:rPr>
                <w:rFonts w:ascii="Cambria" w:eastAsia="Times New Roman" w:hAnsi="Cambria" w:cs="Calibri"/>
                <w:lang w:val="hr-HR"/>
              </w:rPr>
              <w:t>a</w:t>
            </w:r>
          </w:p>
          <w:p w14:paraId="7F85136F" w14:textId="3FA3F191" w:rsidR="004F2942" w:rsidRPr="00DF4CE5" w:rsidRDefault="004F2942" w:rsidP="00510729">
            <w:pPr>
              <w:spacing w:after="0" w:line="240" w:lineRule="auto"/>
              <w:rPr>
                <w:rFonts w:ascii="Cambria" w:eastAsia="Times New Roman" w:hAnsi="Cambria" w:cs="Calibri"/>
                <w:lang w:val="hr-HR"/>
              </w:rPr>
            </w:pPr>
            <w:r>
              <w:rPr>
                <w:rFonts w:ascii="Cambria" w:eastAsia="Times New Roman" w:hAnsi="Cambria" w:cs="Calibri"/>
                <w:lang w:val="hr-HR"/>
              </w:rPr>
              <w:t>Suradnica</w:t>
            </w:r>
          </w:p>
        </w:tc>
        <w:tc>
          <w:tcPr>
            <w:tcW w:w="651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D61E8CD" w14:textId="2339D643" w:rsidR="00510729" w:rsidRPr="00DF4CE5" w:rsidRDefault="00E23CC1" w:rsidP="00510729">
            <w:pPr>
              <w:spacing w:after="0" w:line="240" w:lineRule="auto"/>
              <w:rPr>
                <w:rFonts w:ascii="Cambria" w:eastAsia="Times New Roman" w:hAnsi="Cambria" w:cs="Calibri"/>
                <w:lang w:val="hr-HR"/>
              </w:rPr>
            </w:pPr>
            <w:hyperlink r:id="rId81" w:history="1">
              <w:r w:rsidRPr="00DF3BC9">
                <w:rPr>
                  <w:rStyle w:val="Hiperveza"/>
                  <w:rFonts w:ascii="Cambria" w:eastAsia="Times New Roman" w:hAnsi="Cambria" w:cs="Calibri"/>
                  <w:lang w:val="hr-HR"/>
                </w:rPr>
                <w:t>I</w:t>
              </w:r>
              <w:r w:rsidR="00510729" w:rsidRPr="00DF3BC9">
                <w:rPr>
                  <w:rStyle w:val="Hiperveza"/>
                  <w:rFonts w:ascii="Cambria" w:eastAsia="Times New Roman" w:hAnsi="Cambria" w:cs="Calibri"/>
                  <w:lang w:val="hr-HR"/>
                </w:rPr>
                <w:t>zv. prof. dr. sc. Ines Kovačić</w:t>
              </w:r>
            </w:hyperlink>
            <w:r>
              <w:rPr>
                <w:rFonts w:ascii="Cambria" w:eastAsia="Times New Roman" w:hAnsi="Cambria" w:cs="Calibri"/>
                <w:lang w:val="hr-HR"/>
              </w:rPr>
              <w:t xml:space="preserve"> (</w:t>
            </w:r>
            <w:r w:rsidR="00510729" w:rsidRPr="00DF4CE5">
              <w:rPr>
                <w:rFonts w:ascii="Cambria" w:eastAsia="Times New Roman" w:hAnsi="Cambria" w:cs="Calibri"/>
                <w:lang w:val="hr-HR"/>
              </w:rPr>
              <w:t>nositeljica</w:t>
            </w:r>
            <w:r>
              <w:rPr>
                <w:rFonts w:ascii="Cambria" w:eastAsia="Times New Roman" w:hAnsi="Cambria" w:cs="Calibri"/>
                <w:lang w:val="hr-HR"/>
              </w:rPr>
              <w:t>)</w:t>
            </w:r>
          </w:p>
          <w:p w14:paraId="2F478316" w14:textId="2CE170BE" w:rsidR="00B07393" w:rsidRPr="00DF4CE5" w:rsidRDefault="00E23CC1" w:rsidP="00510729">
            <w:pPr>
              <w:spacing w:after="0" w:line="240" w:lineRule="auto"/>
              <w:rPr>
                <w:rFonts w:ascii="Cambria" w:eastAsia="Times New Roman" w:hAnsi="Cambria" w:cs="Calibri"/>
                <w:lang w:val="hr-HR"/>
              </w:rPr>
            </w:pPr>
            <w:hyperlink r:id="rId82" w:history="1">
              <w:r w:rsidRPr="00DF3BC9">
                <w:rPr>
                  <w:rStyle w:val="Hiperveza"/>
                  <w:rFonts w:ascii="Cambria" w:eastAsia="Times New Roman" w:hAnsi="Cambria" w:cs="Calibri"/>
                  <w:lang w:val="hr-HR"/>
                </w:rPr>
                <w:t>D</w:t>
              </w:r>
              <w:r w:rsidR="00B07393" w:rsidRPr="00DF3BC9">
                <w:rPr>
                  <w:rStyle w:val="Hiperveza"/>
                  <w:rFonts w:ascii="Cambria" w:eastAsia="Times New Roman" w:hAnsi="Cambria" w:cs="Calibri"/>
                  <w:lang w:val="hr-HR"/>
                </w:rPr>
                <w:t>oc.</w:t>
              </w:r>
              <w:r w:rsidRPr="00DF3BC9">
                <w:rPr>
                  <w:rStyle w:val="Hiperveza"/>
                  <w:rFonts w:ascii="Cambria" w:eastAsia="Times New Roman" w:hAnsi="Cambria" w:cs="Calibri"/>
                  <w:lang w:val="hr-HR"/>
                </w:rPr>
                <w:t xml:space="preserve"> </w:t>
              </w:r>
              <w:r w:rsidR="00B07393" w:rsidRPr="00DF3BC9">
                <w:rPr>
                  <w:rStyle w:val="Hiperveza"/>
                  <w:rFonts w:ascii="Cambria" w:eastAsia="Times New Roman" w:hAnsi="Cambria" w:cs="Calibri"/>
                  <w:lang w:val="hr-HR"/>
                </w:rPr>
                <w:t>dr.</w:t>
              </w:r>
              <w:r w:rsidRPr="00DF3BC9">
                <w:rPr>
                  <w:rStyle w:val="Hiperveza"/>
                  <w:rFonts w:ascii="Cambria" w:eastAsia="Times New Roman" w:hAnsi="Cambria" w:cs="Calibri"/>
                  <w:lang w:val="hr-HR"/>
                </w:rPr>
                <w:t xml:space="preserve"> </w:t>
              </w:r>
              <w:r w:rsidR="00B07393" w:rsidRPr="00DF3BC9">
                <w:rPr>
                  <w:rStyle w:val="Hiperveza"/>
                  <w:rFonts w:ascii="Cambria" w:eastAsia="Times New Roman" w:hAnsi="Cambria" w:cs="Calibri"/>
                  <w:lang w:val="hr-HR"/>
                </w:rPr>
                <w:t>sc.</w:t>
              </w:r>
              <w:r w:rsidRPr="00DF3BC9">
                <w:rPr>
                  <w:rStyle w:val="Hiperveza"/>
                  <w:rFonts w:ascii="Cambria" w:eastAsia="Times New Roman" w:hAnsi="Cambria" w:cs="Calibri"/>
                  <w:lang w:val="hr-HR"/>
                </w:rPr>
                <w:t xml:space="preserve"> </w:t>
              </w:r>
              <w:r w:rsidR="00B07393" w:rsidRPr="00DF3BC9">
                <w:rPr>
                  <w:rStyle w:val="Hiperveza"/>
                  <w:rFonts w:ascii="Cambria" w:eastAsia="Times New Roman" w:hAnsi="Cambria" w:cs="Calibri"/>
                  <w:lang w:val="hr-HR"/>
                </w:rPr>
                <w:t>Petra Burić</w:t>
              </w:r>
            </w:hyperlink>
          </w:p>
        </w:tc>
      </w:tr>
      <w:tr w:rsidR="00510729" w:rsidRPr="00D0399C" w14:paraId="67B4DD74" w14:textId="77777777" w:rsidTr="00510729">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89C8024"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Studijski program</w:t>
            </w:r>
          </w:p>
        </w:tc>
        <w:tc>
          <w:tcPr>
            <w:tcW w:w="651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6ECDBB1" w14:textId="77777777" w:rsidR="00510729" w:rsidRPr="00DF4CE5" w:rsidRDefault="00510729" w:rsidP="00510729">
            <w:pPr>
              <w:spacing w:after="0" w:line="240" w:lineRule="auto"/>
              <w:rPr>
                <w:rFonts w:ascii="Cambria" w:eastAsia="Times New Roman" w:hAnsi="Cambria" w:cs="Calibri"/>
                <w:b/>
                <w:lang w:val="hr-HR"/>
              </w:rPr>
            </w:pPr>
            <w:r w:rsidRPr="00DF4CE5">
              <w:rPr>
                <w:rFonts w:ascii="Cambria" w:eastAsia="Calibri" w:hAnsi="Cambria" w:cs="Calibri"/>
                <w:lang w:val="hr-HR"/>
              </w:rPr>
              <w:t>Sveučilišni integrirani prijediplomski i diplomski Učiteljski studij na hrvatskom jeziku</w:t>
            </w:r>
          </w:p>
        </w:tc>
      </w:tr>
      <w:tr w:rsidR="00510729" w:rsidRPr="00DF4CE5" w14:paraId="2FAE1B7D" w14:textId="77777777" w:rsidTr="00510729">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0A0A846"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Vrsta kolegija</w:t>
            </w:r>
          </w:p>
        </w:tc>
        <w:tc>
          <w:tcPr>
            <w:tcW w:w="240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E6445F1"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 xml:space="preserve">obvezan </w:t>
            </w:r>
          </w:p>
        </w:tc>
        <w:tc>
          <w:tcPr>
            <w:tcW w:w="1424"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77DC1773"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Razina kolegija</w:t>
            </w:r>
          </w:p>
        </w:tc>
        <w:tc>
          <w:tcPr>
            <w:tcW w:w="2686"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17C7C01" w14:textId="1967A111" w:rsidR="00510729" w:rsidRPr="00DF4CE5" w:rsidRDefault="00CE1FD6" w:rsidP="00510729">
            <w:pPr>
              <w:spacing w:after="0" w:line="240" w:lineRule="auto"/>
              <w:rPr>
                <w:rFonts w:ascii="Cambria" w:eastAsia="Times New Roman" w:hAnsi="Cambria" w:cs="Calibri"/>
                <w:lang w:val="hr-HR"/>
              </w:rPr>
            </w:pPr>
            <w:proofErr w:type="spellStart"/>
            <w:r w:rsidRPr="00DF4CE5">
              <w:rPr>
                <w:rFonts w:ascii="Cambria" w:eastAsia="Times New Roman" w:hAnsi="Cambria" w:cs="Calibri"/>
              </w:rPr>
              <w:t>I</w:t>
            </w:r>
            <w:r w:rsidR="00510729" w:rsidRPr="00DF4CE5">
              <w:rPr>
                <w:rFonts w:ascii="Cambria" w:eastAsia="Times New Roman" w:hAnsi="Cambria" w:cs="Calibri"/>
              </w:rPr>
              <w:t>ntegrirani</w:t>
            </w:r>
            <w:proofErr w:type="spellEnd"/>
          </w:p>
        </w:tc>
      </w:tr>
      <w:tr w:rsidR="00510729" w:rsidRPr="00DF4CE5" w14:paraId="0348C210" w14:textId="77777777" w:rsidTr="00510729">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5615E2E"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Semestar</w:t>
            </w:r>
          </w:p>
        </w:tc>
        <w:tc>
          <w:tcPr>
            <w:tcW w:w="240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366E766" w14:textId="22E740CF" w:rsidR="00510729" w:rsidRPr="00DF4CE5" w:rsidRDefault="00CE1FD6"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L</w:t>
            </w:r>
            <w:r w:rsidR="00510729" w:rsidRPr="00DF4CE5">
              <w:rPr>
                <w:rFonts w:ascii="Cambria" w:eastAsia="Times New Roman" w:hAnsi="Cambria" w:cs="Calibri"/>
                <w:lang w:val="hr-HR"/>
              </w:rPr>
              <w:t>jetni</w:t>
            </w:r>
          </w:p>
        </w:tc>
        <w:tc>
          <w:tcPr>
            <w:tcW w:w="1424"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5DC801FB"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Godina studija</w:t>
            </w:r>
          </w:p>
        </w:tc>
        <w:tc>
          <w:tcPr>
            <w:tcW w:w="2686"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D00D06D"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I</w:t>
            </w:r>
          </w:p>
        </w:tc>
      </w:tr>
      <w:tr w:rsidR="00510729" w:rsidRPr="00DF4CE5" w14:paraId="06D791DB" w14:textId="77777777" w:rsidTr="00510729">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94998D6" w14:textId="77777777" w:rsidR="00510729" w:rsidRPr="00DF4CE5" w:rsidRDefault="00510729" w:rsidP="00510729">
            <w:pPr>
              <w:spacing w:after="0" w:line="240" w:lineRule="auto"/>
              <w:rPr>
                <w:rFonts w:ascii="Cambria" w:eastAsia="Times New Roman" w:hAnsi="Cambria" w:cs="Calibri"/>
                <w:lang w:val="hr-HR"/>
              </w:rPr>
            </w:pPr>
            <w:proofErr w:type="spellStart"/>
            <w:r w:rsidRPr="00DF4CE5">
              <w:rPr>
                <w:rFonts w:ascii="Cambria" w:eastAsia="Times New Roman" w:hAnsi="Cambria" w:cs="Calibri"/>
              </w:rPr>
              <w:t>Mjesto</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izvođenja</w:t>
            </w:r>
            <w:proofErr w:type="spellEnd"/>
          </w:p>
        </w:tc>
        <w:tc>
          <w:tcPr>
            <w:tcW w:w="240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77905FD" w14:textId="072709B7" w:rsidR="00510729" w:rsidRPr="00DF4CE5" w:rsidRDefault="00B07393"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učionica</w:t>
            </w:r>
          </w:p>
        </w:tc>
        <w:tc>
          <w:tcPr>
            <w:tcW w:w="1424"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38E786E3"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rPr>
              <w:t>Jezik</w:t>
            </w:r>
            <w:r w:rsidRPr="00DF4CE5">
              <w:rPr>
                <w:rFonts w:ascii="Cambria" w:eastAsia="Times New Roman" w:hAnsi="Cambria" w:cs="Calibri"/>
                <w:lang w:val="hr-HR"/>
              </w:rPr>
              <w:t xml:space="preserve"> izvođenja (drugi jezici)</w:t>
            </w:r>
          </w:p>
        </w:tc>
        <w:tc>
          <w:tcPr>
            <w:tcW w:w="2686"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52E9359"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hrvatski</w:t>
            </w:r>
          </w:p>
        </w:tc>
      </w:tr>
      <w:tr w:rsidR="00510729" w:rsidRPr="00DF4CE5" w14:paraId="5D858A40" w14:textId="77777777" w:rsidTr="00510729">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7032DD7"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Broj ECTS bodova</w:t>
            </w:r>
          </w:p>
        </w:tc>
        <w:tc>
          <w:tcPr>
            <w:tcW w:w="240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0025C2E"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5</w:t>
            </w:r>
          </w:p>
        </w:tc>
        <w:tc>
          <w:tcPr>
            <w:tcW w:w="1424"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25975111"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Broj sati u semestru</w:t>
            </w:r>
          </w:p>
        </w:tc>
        <w:tc>
          <w:tcPr>
            <w:tcW w:w="2686"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90DB27F" w14:textId="19A86650"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30P – 15</w:t>
            </w:r>
            <w:r w:rsidR="00CE1FD6" w:rsidRPr="00DF4CE5">
              <w:rPr>
                <w:rFonts w:ascii="Cambria" w:eastAsia="Times New Roman" w:hAnsi="Cambria" w:cs="Calibri"/>
                <w:lang w:val="hr-HR"/>
              </w:rPr>
              <w:t>S</w:t>
            </w:r>
            <w:r w:rsidRPr="00DF4CE5">
              <w:rPr>
                <w:rFonts w:ascii="Cambria" w:eastAsia="Times New Roman" w:hAnsi="Cambria" w:cs="Calibri"/>
                <w:lang w:val="hr-HR"/>
              </w:rPr>
              <w:t xml:space="preserve"> – 15</w:t>
            </w:r>
            <w:r w:rsidR="00CE1FD6" w:rsidRPr="00DF4CE5">
              <w:rPr>
                <w:rFonts w:ascii="Cambria" w:eastAsia="Times New Roman" w:hAnsi="Cambria" w:cs="Calibri"/>
                <w:lang w:val="hr-HR"/>
              </w:rPr>
              <w:t>V</w:t>
            </w:r>
            <w:r w:rsidRPr="00DF4CE5">
              <w:rPr>
                <w:rFonts w:ascii="Cambria" w:eastAsia="Times New Roman" w:hAnsi="Cambria" w:cs="Calibri"/>
                <w:lang w:val="hr-HR"/>
              </w:rPr>
              <w:t xml:space="preserve">   </w:t>
            </w:r>
          </w:p>
        </w:tc>
      </w:tr>
      <w:tr w:rsidR="00510729" w:rsidRPr="00DF4CE5" w14:paraId="4A5712D2" w14:textId="77777777" w:rsidTr="00510729">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715AA77"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Preduvjeti za upis i za svladavanje</w:t>
            </w:r>
          </w:p>
        </w:tc>
        <w:tc>
          <w:tcPr>
            <w:tcW w:w="651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53982AD"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Nema preduvjeta.</w:t>
            </w:r>
          </w:p>
        </w:tc>
      </w:tr>
      <w:tr w:rsidR="00510729" w:rsidRPr="00D0399C" w14:paraId="04AE45B0" w14:textId="77777777" w:rsidTr="00510729">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979D251" w14:textId="77777777" w:rsidR="00510729" w:rsidRPr="00DF4CE5" w:rsidRDefault="00510729" w:rsidP="00510729">
            <w:pPr>
              <w:spacing w:after="0" w:line="240" w:lineRule="auto"/>
              <w:rPr>
                <w:rFonts w:ascii="Cambria" w:eastAsia="Times New Roman" w:hAnsi="Cambria" w:cs="Calibri"/>
                <w:lang w:val="hr-HR"/>
              </w:rPr>
            </w:pPr>
            <w:proofErr w:type="spellStart"/>
            <w:r w:rsidRPr="00DF4CE5">
              <w:rPr>
                <w:rFonts w:ascii="Cambria" w:eastAsia="Times New Roman" w:hAnsi="Cambria" w:cs="Calibri"/>
              </w:rPr>
              <w:t>Korelativnost</w:t>
            </w:r>
            <w:proofErr w:type="spellEnd"/>
          </w:p>
        </w:tc>
        <w:tc>
          <w:tcPr>
            <w:tcW w:w="651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186209B"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Osnove ekologije, Metodika prirode i društva I,</w:t>
            </w:r>
          </w:p>
          <w:p w14:paraId="319D901C"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Metodika prirode i društva II, Metodika prirode i društva III</w:t>
            </w:r>
          </w:p>
        </w:tc>
      </w:tr>
      <w:tr w:rsidR="00510729" w:rsidRPr="00D0399C" w14:paraId="491B033C" w14:textId="77777777" w:rsidTr="00510729">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CB4174D"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 xml:space="preserve">Cilj kolegija </w:t>
            </w:r>
          </w:p>
        </w:tc>
        <w:tc>
          <w:tcPr>
            <w:tcW w:w="651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3EEBED1" w14:textId="0A385F24" w:rsidR="00510729" w:rsidRPr="00DF4CE5" w:rsidRDefault="00510729" w:rsidP="004F2942">
            <w:pPr>
              <w:autoSpaceDE w:val="0"/>
              <w:autoSpaceDN w:val="0"/>
              <w:adjustRightInd w:val="0"/>
              <w:spacing w:after="0" w:line="240" w:lineRule="auto"/>
              <w:ind w:right="252"/>
              <w:rPr>
                <w:rFonts w:ascii="Cambria" w:eastAsia="Times New Roman" w:hAnsi="Cambria" w:cs="Calibri"/>
                <w:lang w:val="hr-HR" w:eastAsia="hr-HR"/>
              </w:rPr>
            </w:pPr>
            <w:r w:rsidRPr="00DF4CE5">
              <w:rPr>
                <w:rFonts w:ascii="Cambria" w:eastAsia="Times New Roman" w:hAnsi="Cambria" w:cs="Calibri"/>
                <w:lang w:val="hr-HR"/>
              </w:rPr>
              <w:t xml:space="preserve">usvojiti nove činjenice i teorijska znanja iz domene prirodoslovnih znanosti, </w:t>
            </w:r>
            <w:r w:rsidRPr="00DF4CE5">
              <w:rPr>
                <w:rFonts w:ascii="Cambria" w:eastAsia="Times New Roman" w:hAnsi="Cambria" w:cs="Calibri"/>
                <w:lang w:val="hr-HR" w:eastAsia="hr-HR"/>
              </w:rPr>
              <w:t>s naglaskom na poznavanje temeljnih zakona života, prirodnih pojava i raznolikosti žive prirode</w:t>
            </w:r>
          </w:p>
        </w:tc>
      </w:tr>
      <w:tr w:rsidR="00510729" w:rsidRPr="00D0399C" w14:paraId="6E80453C" w14:textId="77777777" w:rsidTr="00510729">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C57EE30"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Ishodi učenja</w:t>
            </w:r>
          </w:p>
        </w:tc>
        <w:tc>
          <w:tcPr>
            <w:tcW w:w="651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45975AA"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1. opisati osnovne pojmove i principe prirodoslovlja</w:t>
            </w:r>
          </w:p>
          <w:p w14:paraId="3703C683"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 xml:space="preserve">2. </w:t>
            </w:r>
            <w:r w:rsidRPr="00DF4CE5">
              <w:rPr>
                <w:rFonts w:ascii="Cambria" w:eastAsia="Times New Roman" w:hAnsi="Cambria" w:cs="Calibri"/>
                <w:lang w:val="hr-HR" w:eastAsia="hr-HR"/>
              </w:rPr>
              <w:t>analizirati temeljne zakonitosti žive i nežive prirode</w:t>
            </w:r>
          </w:p>
          <w:p w14:paraId="26E35B92"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3. kreirati istraživački zadatak</w:t>
            </w:r>
          </w:p>
          <w:p w14:paraId="7B3CAA8E"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 xml:space="preserve">4. izvesti pokuse </w:t>
            </w:r>
          </w:p>
          <w:p w14:paraId="61680477" w14:textId="2FA693EA"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5. primijeniti stečena znanja i vještine te kritički i argumentirano komentirati i procjenjivati iznesene zaključke i teze</w:t>
            </w:r>
          </w:p>
        </w:tc>
      </w:tr>
      <w:tr w:rsidR="00510729" w:rsidRPr="00DF4CE5" w14:paraId="49156B78" w14:textId="77777777" w:rsidTr="00510729">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49ED003D"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Sadržaj kolegija</w:t>
            </w:r>
          </w:p>
        </w:tc>
        <w:tc>
          <w:tcPr>
            <w:tcW w:w="6516"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42EFE4D" w14:textId="1A96B0F1"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1. Tvari, vrste tvari i njihova svojstva</w:t>
            </w:r>
          </w:p>
          <w:p w14:paraId="39DE9728" w14:textId="220EC4DA"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2. Kruženje tvari u prirodi</w:t>
            </w:r>
          </w:p>
          <w:p w14:paraId="2B59A270" w14:textId="2BA2949F"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3. Izvori i korištenje energije. Pretvorba energije</w:t>
            </w:r>
          </w:p>
          <w:p w14:paraId="28B9726A" w14:textId="1C3D7315"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4. Priroda života</w:t>
            </w:r>
          </w:p>
          <w:p w14:paraId="6D670A2C" w14:textId="20E720B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5. Stanica i nasljeđe</w:t>
            </w:r>
          </w:p>
          <w:p w14:paraId="24FE26A2" w14:textId="5DDED9E1"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6. Rast i razvoj organizama</w:t>
            </w:r>
          </w:p>
          <w:p w14:paraId="451CD703" w14:textId="61480473"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 xml:space="preserve">7. Raznolikost živih bića </w:t>
            </w:r>
          </w:p>
          <w:p w14:paraId="7E7176D6" w14:textId="22DF8C9E"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8. Međuovisnost biljaka, životinja i čovjeka</w:t>
            </w:r>
          </w:p>
          <w:p w14:paraId="61E8ED65" w14:textId="3DD3CB8E"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9. Anatomija i fiziologija čovjeka</w:t>
            </w:r>
          </w:p>
          <w:p w14:paraId="3FE82D0F" w14:textId="6516C152"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10. Čovjek i zdravlje</w:t>
            </w:r>
          </w:p>
        </w:tc>
      </w:tr>
      <w:tr w:rsidR="00510729" w:rsidRPr="00DF4CE5" w14:paraId="73F0E640" w14:textId="77777777" w:rsidTr="00510729">
        <w:tc>
          <w:tcPr>
            <w:tcW w:w="2536"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hideMark/>
          </w:tcPr>
          <w:p w14:paraId="55C8BE53"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Planirane aktivnosti,</w:t>
            </w:r>
          </w:p>
          <w:p w14:paraId="113A46EE"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metode učenja i poučavanja i načini vrednovanja</w:t>
            </w:r>
          </w:p>
        </w:tc>
        <w:tc>
          <w:tcPr>
            <w:tcW w:w="241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3BFC499"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bCs/>
                <w:lang w:val="hr-HR"/>
              </w:rPr>
              <w:t>Obveze</w:t>
            </w:r>
          </w:p>
        </w:tc>
        <w:tc>
          <w:tcPr>
            <w:tcW w:w="114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EE5D488"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bCs/>
                <w:lang w:val="hr-HR"/>
              </w:rPr>
              <w:t>Ishodi</w:t>
            </w:r>
          </w:p>
        </w:tc>
        <w:tc>
          <w:tcPr>
            <w:tcW w:w="69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2175308"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bCs/>
                <w:lang w:val="hr-HR"/>
              </w:rPr>
              <w:t>Sati</w:t>
            </w:r>
          </w:p>
        </w:tc>
        <w:tc>
          <w:tcPr>
            <w:tcW w:w="9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3D9037E"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bCs/>
                <w:lang w:val="hr-HR"/>
              </w:rPr>
              <w:t>ECTS bodovi</w:t>
            </w:r>
          </w:p>
        </w:tc>
        <w:tc>
          <w:tcPr>
            <w:tcW w:w="127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767CB59"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bCs/>
                <w:lang w:val="hr-HR"/>
              </w:rPr>
              <w:t>Maksimalni udio u ocjeni</w:t>
            </w:r>
            <w:r w:rsidRPr="00DF4CE5">
              <w:rPr>
                <w:rFonts w:ascii="Cambria" w:eastAsia="Times New Roman" w:hAnsi="Cambria" w:cs="Calibri"/>
                <w:bCs/>
              </w:rPr>
              <w:t xml:space="preserve"> (%)</w:t>
            </w:r>
          </w:p>
        </w:tc>
      </w:tr>
      <w:tr w:rsidR="00510729" w:rsidRPr="00DF4CE5" w14:paraId="1FCCEC3A" w14:textId="77777777" w:rsidTr="00510729">
        <w:tc>
          <w:tcPr>
            <w:tcW w:w="2536" w:type="dxa"/>
            <w:vMerge/>
            <w:tcBorders>
              <w:left w:val="single" w:sz="8" w:space="0" w:color="000000"/>
              <w:right w:val="single" w:sz="8" w:space="0" w:color="000000"/>
            </w:tcBorders>
            <w:vAlign w:val="center"/>
            <w:hideMark/>
          </w:tcPr>
          <w:p w14:paraId="7BBE2C0B" w14:textId="77777777" w:rsidR="00510729" w:rsidRPr="00DF4CE5" w:rsidRDefault="00510729" w:rsidP="00510729">
            <w:pPr>
              <w:spacing w:after="0" w:line="240" w:lineRule="auto"/>
              <w:rPr>
                <w:rFonts w:ascii="Cambria" w:eastAsia="Times New Roman" w:hAnsi="Cambria" w:cs="Calibri"/>
                <w:lang w:val="hr-HR"/>
              </w:rPr>
            </w:pPr>
          </w:p>
        </w:tc>
        <w:tc>
          <w:tcPr>
            <w:tcW w:w="241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9AC9982" w14:textId="2FCB054A" w:rsidR="00510729" w:rsidRPr="00DF4CE5" w:rsidRDefault="00DF3BC9" w:rsidP="00510729">
            <w:pPr>
              <w:spacing w:after="0" w:line="240" w:lineRule="auto"/>
              <w:rPr>
                <w:rFonts w:ascii="Cambria" w:eastAsia="Times New Roman" w:hAnsi="Cambria" w:cs="Calibri"/>
                <w:lang w:val="hr-HR"/>
              </w:rPr>
            </w:pPr>
            <w:proofErr w:type="spellStart"/>
            <w:r>
              <w:rPr>
                <w:rFonts w:ascii="Cambria" w:eastAsia="Times New Roman" w:hAnsi="Cambria" w:cs="Calibri"/>
                <w:lang w:val="it-IT"/>
              </w:rPr>
              <w:t>a</w:t>
            </w:r>
            <w:r w:rsidR="00B07393" w:rsidRPr="00DF4CE5">
              <w:rPr>
                <w:rFonts w:ascii="Cambria" w:eastAsia="Times New Roman" w:hAnsi="Cambria" w:cs="Calibri"/>
                <w:lang w:val="it-IT"/>
              </w:rPr>
              <w:t>ktivnost</w:t>
            </w:r>
            <w:proofErr w:type="spellEnd"/>
            <w:r w:rsidR="00B07393" w:rsidRPr="00DF4CE5">
              <w:rPr>
                <w:rFonts w:ascii="Cambria" w:eastAsia="Times New Roman" w:hAnsi="Cambria" w:cs="Calibri"/>
                <w:lang w:val="it-IT"/>
              </w:rPr>
              <w:t xml:space="preserve"> </w:t>
            </w:r>
            <w:proofErr w:type="spellStart"/>
            <w:r w:rsidR="00B07393" w:rsidRPr="00DF4CE5">
              <w:rPr>
                <w:rFonts w:ascii="Cambria" w:eastAsia="Times New Roman" w:hAnsi="Cambria" w:cs="Calibri"/>
                <w:lang w:val="it-IT"/>
              </w:rPr>
              <w:t>na</w:t>
            </w:r>
            <w:proofErr w:type="spellEnd"/>
            <w:r w:rsidR="00B07393" w:rsidRPr="00DF4CE5">
              <w:rPr>
                <w:rFonts w:ascii="Cambria" w:eastAsia="Times New Roman" w:hAnsi="Cambria" w:cs="Calibri"/>
                <w:lang w:val="it-IT"/>
              </w:rPr>
              <w:t xml:space="preserve"> </w:t>
            </w:r>
            <w:proofErr w:type="spellStart"/>
            <w:r w:rsidR="00B07393" w:rsidRPr="00DF4CE5">
              <w:rPr>
                <w:rFonts w:ascii="Cambria" w:eastAsia="Times New Roman" w:hAnsi="Cambria" w:cs="Calibri"/>
                <w:lang w:val="it-IT"/>
              </w:rPr>
              <w:t>nastavi</w:t>
            </w:r>
            <w:proofErr w:type="spellEnd"/>
            <w:r w:rsidR="00510729" w:rsidRPr="00DF4CE5">
              <w:rPr>
                <w:rFonts w:ascii="Cambria" w:eastAsia="Times New Roman" w:hAnsi="Cambria" w:cs="Calibri"/>
                <w:lang w:val="hr-HR"/>
              </w:rPr>
              <w:t xml:space="preserve"> (P i S)</w:t>
            </w:r>
          </w:p>
        </w:tc>
        <w:tc>
          <w:tcPr>
            <w:tcW w:w="114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D89DF46"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 1., 2., 5</w:t>
            </w:r>
          </w:p>
        </w:tc>
        <w:tc>
          <w:tcPr>
            <w:tcW w:w="69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D477279"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 45</w:t>
            </w:r>
          </w:p>
        </w:tc>
        <w:tc>
          <w:tcPr>
            <w:tcW w:w="9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8FF511E"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 1,5</w:t>
            </w:r>
          </w:p>
        </w:tc>
        <w:tc>
          <w:tcPr>
            <w:tcW w:w="127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5D7B879"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 0%</w:t>
            </w:r>
          </w:p>
        </w:tc>
      </w:tr>
      <w:tr w:rsidR="00510729" w:rsidRPr="00DF4CE5" w14:paraId="59AE1638" w14:textId="77777777" w:rsidTr="00510729">
        <w:tc>
          <w:tcPr>
            <w:tcW w:w="2536" w:type="dxa"/>
            <w:vMerge/>
            <w:tcBorders>
              <w:left w:val="single" w:sz="8" w:space="0" w:color="000000"/>
              <w:right w:val="single" w:sz="8" w:space="0" w:color="000000"/>
            </w:tcBorders>
            <w:vAlign w:val="center"/>
            <w:hideMark/>
          </w:tcPr>
          <w:p w14:paraId="138F20A0" w14:textId="77777777" w:rsidR="00510729" w:rsidRPr="00DF4CE5" w:rsidRDefault="00510729" w:rsidP="00510729">
            <w:pPr>
              <w:spacing w:after="0" w:line="240" w:lineRule="auto"/>
              <w:rPr>
                <w:rFonts w:ascii="Cambria" w:eastAsia="Times New Roman" w:hAnsi="Cambria" w:cs="Calibri"/>
                <w:lang w:val="hr-HR"/>
              </w:rPr>
            </w:pPr>
          </w:p>
        </w:tc>
        <w:tc>
          <w:tcPr>
            <w:tcW w:w="241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4E34C66"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seminar (istraživački zadatak)</w:t>
            </w:r>
          </w:p>
        </w:tc>
        <w:tc>
          <w:tcPr>
            <w:tcW w:w="114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EF6E0B0" w14:textId="60A31FF3"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 3.</w:t>
            </w:r>
            <w:r w:rsidR="00DF3BC9">
              <w:rPr>
                <w:rFonts w:ascii="Cambria" w:eastAsia="Times New Roman" w:hAnsi="Cambria" w:cs="Calibri"/>
                <w:lang w:val="hr-HR"/>
              </w:rPr>
              <w:t xml:space="preserve"> – </w:t>
            </w:r>
            <w:r w:rsidRPr="00DF4CE5">
              <w:rPr>
                <w:rFonts w:ascii="Cambria" w:eastAsia="Times New Roman" w:hAnsi="Cambria" w:cs="Calibri"/>
                <w:lang w:val="hr-HR"/>
              </w:rPr>
              <w:t>5.</w:t>
            </w:r>
          </w:p>
        </w:tc>
        <w:tc>
          <w:tcPr>
            <w:tcW w:w="69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0168EAF"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 15</w:t>
            </w:r>
          </w:p>
        </w:tc>
        <w:tc>
          <w:tcPr>
            <w:tcW w:w="9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C6CCC1B"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 0,5</w:t>
            </w:r>
          </w:p>
        </w:tc>
        <w:tc>
          <w:tcPr>
            <w:tcW w:w="127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4DEFD73"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 20%</w:t>
            </w:r>
          </w:p>
        </w:tc>
      </w:tr>
      <w:tr w:rsidR="00510729" w:rsidRPr="00DF4CE5" w14:paraId="6364A929" w14:textId="77777777" w:rsidTr="00510729">
        <w:tc>
          <w:tcPr>
            <w:tcW w:w="2536" w:type="dxa"/>
            <w:vMerge/>
            <w:tcBorders>
              <w:left w:val="single" w:sz="8" w:space="0" w:color="000000"/>
              <w:right w:val="single" w:sz="8" w:space="0" w:color="000000"/>
            </w:tcBorders>
            <w:vAlign w:val="center"/>
            <w:hideMark/>
          </w:tcPr>
          <w:p w14:paraId="06973C56" w14:textId="77777777" w:rsidR="00510729" w:rsidRPr="00DF4CE5" w:rsidRDefault="00510729" w:rsidP="00510729">
            <w:pPr>
              <w:spacing w:after="0" w:line="240" w:lineRule="auto"/>
              <w:rPr>
                <w:rFonts w:ascii="Cambria" w:eastAsia="Times New Roman" w:hAnsi="Cambria" w:cs="Calibri"/>
                <w:lang w:val="hr-HR"/>
              </w:rPr>
            </w:pPr>
          </w:p>
        </w:tc>
        <w:tc>
          <w:tcPr>
            <w:tcW w:w="241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2F2687C"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rPr>
              <w:t>k</w:t>
            </w:r>
            <w:proofErr w:type="spellStart"/>
            <w:r w:rsidRPr="00DF4CE5">
              <w:rPr>
                <w:rFonts w:ascii="Cambria" w:eastAsia="Times New Roman" w:hAnsi="Cambria" w:cs="Calibri"/>
                <w:lang w:val="hr-HR"/>
              </w:rPr>
              <w:t>olokviji</w:t>
            </w:r>
            <w:proofErr w:type="spellEnd"/>
            <w:r w:rsidRPr="00DF4CE5">
              <w:rPr>
                <w:rFonts w:ascii="Cambria" w:eastAsia="Times New Roman" w:hAnsi="Cambria" w:cs="Calibri"/>
              </w:rPr>
              <w:t xml:space="preserve"> (2 </w:t>
            </w:r>
            <w:proofErr w:type="spellStart"/>
            <w:r w:rsidRPr="00DF4CE5">
              <w:rPr>
                <w:rFonts w:ascii="Cambria" w:eastAsia="Times New Roman" w:hAnsi="Cambria" w:cs="Calibri"/>
              </w:rPr>
              <w:t>pismena</w:t>
            </w:r>
            <w:proofErr w:type="spellEnd"/>
            <w:r w:rsidRPr="00DF4CE5">
              <w:rPr>
                <w:rFonts w:ascii="Cambria" w:eastAsia="Times New Roman" w:hAnsi="Cambria" w:cs="Calibri"/>
              </w:rPr>
              <w:t>)</w:t>
            </w:r>
          </w:p>
        </w:tc>
        <w:tc>
          <w:tcPr>
            <w:tcW w:w="114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89F548E"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 1., 2., 4., 5.</w:t>
            </w:r>
          </w:p>
        </w:tc>
        <w:tc>
          <w:tcPr>
            <w:tcW w:w="69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37BC0FF"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 90</w:t>
            </w:r>
          </w:p>
        </w:tc>
        <w:tc>
          <w:tcPr>
            <w:tcW w:w="9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DA7E8AD"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 3,0</w:t>
            </w:r>
          </w:p>
        </w:tc>
        <w:tc>
          <w:tcPr>
            <w:tcW w:w="127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D96205E"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 80%</w:t>
            </w:r>
          </w:p>
        </w:tc>
      </w:tr>
      <w:tr w:rsidR="00510729" w:rsidRPr="00DF4CE5" w14:paraId="0B4FDBDB" w14:textId="77777777" w:rsidTr="00510729">
        <w:tc>
          <w:tcPr>
            <w:tcW w:w="2536" w:type="dxa"/>
            <w:vMerge/>
            <w:tcBorders>
              <w:left w:val="single" w:sz="8" w:space="0" w:color="000000"/>
              <w:right w:val="single" w:sz="8" w:space="0" w:color="000000"/>
            </w:tcBorders>
            <w:vAlign w:val="center"/>
            <w:hideMark/>
          </w:tcPr>
          <w:p w14:paraId="27BA8321" w14:textId="77777777" w:rsidR="00510729" w:rsidRPr="00DF4CE5" w:rsidRDefault="00510729" w:rsidP="00510729">
            <w:pPr>
              <w:spacing w:after="0" w:line="240" w:lineRule="auto"/>
              <w:rPr>
                <w:rFonts w:ascii="Cambria" w:eastAsia="Times New Roman" w:hAnsi="Cambria" w:cs="Calibri"/>
                <w:lang w:val="hr-HR"/>
              </w:rPr>
            </w:pPr>
          </w:p>
        </w:tc>
        <w:tc>
          <w:tcPr>
            <w:tcW w:w="3559"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9455EC8" w14:textId="443C006E" w:rsidR="00510729" w:rsidRPr="00DF4CE5" w:rsidRDefault="00627B32" w:rsidP="00510729">
            <w:pPr>
              <w:spacing w:after="0" w:line="240" w:lineRule="auto"/>
              <w:rPr>
                <w:rFonts w:ascii="Cambria" w:eastAsia="Times New Roman" w:hAnsi="Cambria" w:cs="Calibri"/>
                <w:lang w:val="hr-HR"/>
              </w:rPr>
            </w:pPr>
            <w:proofErr w:type="spellStart"/>
            <w:r>
              <w:rPr>
                <w:rFonts w:ascii="Cambria" w:eastAsia="Times New Roman" w:hAnsi="Cambria" w:cs="Calibri"/>
              </w:rPr>
              <w:t>u</w:t>
            </w:r>
            <w:r w:rsidR="00510729" w:rsidRPr="00DF4CE5">
              <w:rPr>
                <w:rFonts w:ascii="Cambria" w:eastAsia="Times New Roman" w:hAnsi="Cambria" w:cs="Calibri"/>
              </w:rPr>
              <w:t>kupno</w:t>
            </w:r>
            <w:proofErr w:type="spellEnd"/>
          </w:p>
        </w:tc>
        <w:tc>
          <w:tcPr>
            <w:tcW w:w="69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551F7AC"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150</w:t>
            </w:r>
          </w:p>
        </w:tc>
        <w:tc>
          <w:tcPr>
            <w:tcW w:w="9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497533C"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5</w:t>
            </w:r>
          </w:p>
        </w:tc>
        <w:tc>
          <w:tcPr>
            <w:tcW w:w="127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C60DECA"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100%</w:t>
            </w:r>
          </w:p>
        </w:tc>
      </w:tr>
      <w:tr w:rsidR="00510729" w:rsidRPr="00DF4CE5" w14:paraId="59721456" w14:textId="77777777" w:rsidTr="00510729">
        <w:tc>
          <w:tcPr>
            <w:tcW w:w="2536" w:type="dxa"/>
            <w:vMerge/>
            <w:tcBorders>
              <w:left w:val="single" w:sz="8" w:space="0" w:color="000000"/>
              <w:bottom w:val="single" w:sz="8" w:space="0" w:color="000000"/>
              <w:right w:val="single" w:sz="8" w:space="0" w:color="000000"/>
            </w:tcBorders>
            <w:vAlign w:val="center"/>
          </w:tcPr>
          <w:p w14:paraId="11B20653" w14:textId="77777777" w:rsidR="00510729" w:rsidRPr="00DF4CE5" w:rsidRDefault="00510729" w:rsidP="00510729">
            <w:pPr>
              <w:spacing w:after="0" w:line="240" w:lineRule="auto"/>
              <w:rPr>
                <w:rFonts w:ascii="Cambria" w:eastAsia="Times New Roman" w:hAnsi="Cambria" w:cs="Calibri"/>
                <w:lang w:val="hr-HR"/>
              </w:rPr>
            </w:pPr>
          </w:p>
        </w:tc>
        <w:tc>
          <w:tcPr>
            <w:tcW w:w="6516"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5A9669B"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Dodatna pojašnjenja:</w:t>
            </w:r>
          </w:p>
          <w:p w14:paraId="7ED23AF2"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 xml:space="preserve">Kolokviji nisu obavezni, ali studentima omogućavaju oslobađanje pismenog ispita ukoliko je ostvareno najmanje 50% bodova na pojedinom kolokviju). Prvi kolokvij piše se sredinom semestra. Drugi kolokvij piše se krajem semestra. Studenti mogu popravljati jedan kolokvij prema izboru na kraju semestra. </w:t>
            </w:r>
          </w:p>
          <w:p w14:paraId="622C52D1"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 xml:space="preserve">Ukoliko student ne položi jedan ili oba kolokvija, pristupa pismenom ispitu. Pismeni ispit je eliminacijski (potrebno je postići najmanje 50% bodova). </w:t>
            </w:r>
          </w:p>
        </w:tc>
      </w:tr>
      <w:tr w:rsidR="00510729" w:rsidRPr="00D0399C" w14:paraId="421C6B1C" w14:textId="77777777" w:rsidTr="00510729">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882FD1D"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Studentske obveze</w:t>
            </w:r>
          </w:p>
        </w:tc>
        <w:tc>
          <w:tcPr>
            <w:tcW w:w="651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434FB28"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 xml:space="preserve">Da položi kolegij, student/studentica mora: </w:t>
            </w:r>
          </w:p>
          <w:p w14:paraId="1FFFE94E" w14:textId="77777777" w:rsidR="004F2942"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 xml:space="preserve">1. </w:t>
            </w:r>
            <w:r w:rsidR="004F2942">
              <w:rPr>
                <w:rFonts w:ascii="Cambria" w:eastAsia="Times New Roman" w:hAnsi="Cambria" w:cs="Calibri"/>
                <w:lang w:val="hr-HR"/>
              </w:rPr>
              <w:t>r</w:t>
            </w:r>
            <w:r w:rsidRPr="00DF4CE5">
              <w:rPr>
                <w:rFonts w:ascii="Cambria" w:eastAsia="Times New Roman" w:hAnsi="Cambria" w:cs="Calibri"/>
                <w:lang w:val="hr-HR"/>
              </w:rPr>
              <w:t>edovito pohađati i aktivno sudjelovati u svim oblicima nastave</w:t>
            </w:r>
          </w:p>
          <w:p w14:paraId="1F93FB29" w14:textId="6ACB649B" w:rsidR="00510729" w:rsidRPr="00DF4CE5" w:rsidRDefault="004F2942" w:rsidP="00510729">
            <w:pPr>
              <w:spacing w:after="0" w:line="240" w:lineRule="auto"/>
              <w:rPr>
                <w:rFonts w:ascii="Cambria" w:eastAsia="Times New Roman" w:hAnsi="Cambria" w:cs="Calibri"/>
                <w:lang w:val="hr-HR"/>
              </w:rPr>
            </w:pPr>
            <w:r>
              <w:rPr>
                <w:rFonts w:ascii="Cambria" w:eastAsia="Times New Roman" w:hAnsi="Cambria" w:cs="Calibri"/>
                <w:lang w:val="hr-HR"/>
              </w:rPr>
              <w:t>2. t</w:t>
            </w:r>
            <w:r w:rsidR="00510729" w:rsidRPr="00DF4CE5">
              <w:rPr>
                <w:rFonts w:ascii="Cambria" w:eastAsia="Times New Roman" w:hAnsi="Cambria" w:cs="Calibri"/>
                <w:lang w:val="hr-HR"/>
              </w:rPr>
              <w:t>oleriraju se izostanci do 30% satnice (posebno za svaki oblik nastave)</w:t>
            </w:r>
          </w:p>
          <w:p w14:paraId="0B170E44" w14:textId="0A364EF6"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 xml:space="preserve">2. </w:t>
            </w:r>
            <w:r w:rsidR="004F2942">
              <w:rPr>
                <w:rFonts w:ascii="Cambria" w:eastAsia="Times New Roman" w:hAnsi="Cambria" w:cs="Calibri"/>
                <w:lang w:val="hr-HR"/>
              </w:rPr>
              <w:t>p</w:t>
            </w:r>
            <w:r w:rsidRPr="00DF4CE5">
              <w:rPr>
                <w:rFonts w:ascii="Cambria" w:eastAsia="Times New Roman" w:hAnsi="Cambria" w:cs="Calibri"/>
                <w:lang w:val="hr-HR"/>
              </w:rPr>
              <w:t>risustvovati terenskoj nastavi (izvesti pokuse)</w:t>
            </w:r>
          </w:p>
          <w:p w14:paraId="0E8B0D4A" w14:textId="25C5E3D6"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 xml:space="preserve">3. </w:t>
            </w:r>
            <w:r w:rsidR="004F2942">
              <w:rPr>
                <w:rFonts w:ascii="Cambria" w:eastAsia="Times New Roman" w:hAnsi="Cambria" w:cs="Calibri"/>
                <w:lang w:val="hr-HR"/>
              </w:rPr>
              <w:t>p</w:t>
            </w:r>
            <w:r w:rsidRPr="00DF4CE5">
              <w:rPr>
                <w:rFonts w:ascii="Cambria" w:eastAsia="Times New Roman" w:hAnsi="Cambria" w:cs="Calibri"/>
                <w:lang w:val="hr-HR"/>
              </w:rPr>
              <w:t>ripremiti seminarski rad (istraživački zadatak) i izložiti prema uputama</w:t>
            </w:r>
          </w:p>
          <w:p w14:paraId="07898769" w14:textId="41AED26D"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 xml:space="preserve">4. </w:t>
            </w:r>
            <w:r w:rsidR="004F2942">
              <w:rPr>
                <w:rFonts w:ascii="Cambria" w:eastAsia="Times New Roman" w:hAnsi="Cambria" w:cs="Calibri"/>
                <w:lang w:val="hr-HR"/>
              </w:rPr>
              <w:t>p</w:t>
            </w:r>
            <w:r w:rsidRPr="00DF4CE5">
              <w:rPr>
                <w:rFonts w:ascii="Cambria" w:eastAsia="Times New Roman" w:hAnsi="Cambria" w:cs="Calibri"/>
                <w:lang w:val="hr-HR"/>
              </w:rPr>
              <w:t>oložiti kolokvije ili završni ispit.</w:t>
            </w:r>
          </w:p>
        </w:tc>
      </w:tr>
      <w:tr w:rsidR="00510729" w:rsidRPr="00D0399C" w14:paraId="3ADFFEBC" w14:textId="77777777" w:rsidTr="00510729">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745F234" w14:textId="77777777" w:rsidR="00510729" w:rsidRPr="00DF4CE5" w:rsidRDefault="00510729" w:rsidP="00510729">
            <w:pPr>
              <w:spacing w:after="0" w:line="240" w:lineRule="auto"/>
              <w:rPr>
                <w:rFonts w:ascii="Cambria" w:eastAsia="Times New Roman" w:hAnsi="Cambria" w:cs="Calibri"/>
                <w:lang w:val="hr-HR"/>
              </w:rPr>
            </w:pPr>
            <w:proofErr w:type="spellStart"/>
            <w:r w:rsidRPr="00DF4CE5">
              <w:rPr>
                <w:rFonts w:ascii="Cambria" w:eastAsia="Times New Roman" w:hAnsi="Cambria" w:cs="Calibri"/>
              </w:rPr>
              <w:t>Rokovi</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ispita</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i</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kolokvija</w:t>
            </w:r>
            <w:proofErr w:type="spellEnd"/>
          </w:p>
        </w:tc>
        <w:tc>
          <w:tcPr>
            <w:tcW w:w="651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1699759"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Određuju se na početku akademske godine, objavljuju se na mrežnim stranicama Sveučilišta i u ISVU sustavu</w:t>
            </w:r>
          </w:p>
        </w:tc>
      </w:tr>
      <w:tr w:rsidR="00510729" w:rsidRPr="00DF4CE5" w14:paraId="24F07A5E" w14:textId="77777777" w:rsidTr="00510729">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E3C3E20"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Ostale važne činjenice vezane uz kolegij</w:t>
            </w:r>
          </w:p>
        </w:tc>
        <w:tc>
          <w:tcPr>
            <w:tcW w:w="651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8282493"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Svi materijali i video projekcije postavljene su na e-učenju.</w:t>
            </w:r>
          </w:p>
          <w:p w14:paraId="270FD1CD"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U slučaju održavanja nastave na daljinu, moguće je odstupanje u: mjestu izvođenja kolegija, provedbi aktivnosti, metoda tumačenja i poučavanja i načinima vrednovanja, studentskim obvezama i dostupnoj literaturi. O tome će nositeljica kolegija i asistent/asistentica obavijestiti studente i studentice kad se nastava na daljinu počne održavati. Ishodi učenja ostaju nepromijenjeni.</w:t>
            </w:r>
          </w:p>
        </w:tc>
      </w:tr>
      <w:tr w:rsidR="00510729" w:rsidRPr="00DF4CE5" w14:paraId="5AB70750" w14:textId="77777777" w:rsidTr="00510729">
        <w:trPr>
          <w:trHeight w:val="770"/>
        </w:trPr>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8933A45"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Literatura</w:t>
            </w: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032F45E8"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Obvezna:</w:t>
            </w:r>
          </w:p>
          <w:p w14:paraId="47998AC8"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 xml:space="preserve">1. Babić A., Kovačić I., </w:t>
            </w:r>
            <w:proofErr w:type="spellStart"/>
            <w:r w:rsidRPr="00DF4CE5">
              <w:rPr>
                <w:rFonts w:ascii="Cambria" w:eastAsia="Times New Roman" w:hAnsi="Cambria" w:cs="Calibri"/>
                <w:lang w:val="hr-HR"/>
              </w:rPr>
              <w:t>Dolenc</w:t>
            </w:r>
            <w:proofErr w:type="spellEnd"/>
            <w:r w:rsidRPr="00DF4CE5">
              <w:rPr>
                <w:rFonts w:ascii="Cambria" w:eastAsia="Times New Roman" w:hAnsi="Cambria" w:cs="Calibri"/>
                <w:lang w:val="hr-HR"/>
              </w:rPr>
              <w:t xml:space="preserve"> Orbanić, N. Raznolikost živog svijeta, Sveučilište Jurja Dobrile u Puli, Pula 2021</w:t>
            </w:r>
          </w:p>
          <w:p w14:paraId="686DE8A8"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 xml:space="preserve">2. Bačić T, </w:t>
            </w:r>
            <w:proofErr w:type="spellStart"/>
            <w:r w:rsidRPr="00DF4CE5">
              <w:rPr>
                <w:rFonts w:ascii="Cambria" w:eastAsia="Times New Roman" w:hAnsi="Cambria" w:cs="Calibri"/>
                <w:lang w:val="hr-HR"/>
              </w:rPr>
              <w:t>Erben</w:t>
            </w:r>
            <w:proofErr w:type="spellEnd"/>
            <w:r w:rsidRPr="00DF4CE5">
              <w:rPr>
                <w:rFonts w:ascii="Cambria" w:eastAsia="Times New Roman" w:hAnsi="Cambria" w:cs="Calibri"/>
                <w:lang w:val="hr-HR"/>
              </w:rPr>
              <w:t xml:space="preserve"> R, Krajačić M. Raznolikost živoga svijeta. Školska knjiga. Zagreb 2009.</w:t>
            </w:r>
          </w:p>
          <w:p w14:paraId="5B83693E"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 xml:space="preserve">3. Delić A, </w:t>
            </w:r>
            <w:proofErr w:type="spellStart"/>
            <w:r w:rsidRPr="00DF4CE5">
              <w:rPr>
                <w:rFonts w:ascii="Cambria" w:eastAsia="Times New Roman" w:hAnsi="Cambria" w:cs="Calibri"/>
                <w:lang w:val="hr-HR"/>
              </w:rPr>
              <w:t>Vijtiuk</w:t>
            </w:r>
            <w:proofErr w:type="spellEnd"/>
            <w:r w:rsidRPr="00DF4CE5">
              <w:rPr>
                <w:rFonts w:ascii="Cambria" w:eastAsia="Times New Roman" w:hAnsi="Cambria" w:cs="Calibri"/>
                <w:lang w:val="hr-HR"/>
              </w:rPr>
              <w:t xml:space="preserve"> N. Prirodoslovlje. Školska knjiga Zagreb, 2004.</w:t>
            </w:r>
          </w:p>
          <w:p w14:paraId="5B696529"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 xml:space="preserve">4. Springer O, </w:t>
            </w:r>
            <w:proofErr w:type="spellStart"/>
            <w:r w:rsidRPr="00DF4CE5">
              <w:rPr>
                <w:rFonts w:ascii="Cambria" w:eastAsia="Times New Roman" w:hAnsi="Cambria" w:cs="Calibri"/>
                <w:lang w:val="hr-HR"/>
              </w:rPr>
              <w:t>Pevalek-Kozlina</w:t>
            </w:r>
            <w:proofErr w:type="spellEnd"/>
            <w:r w:rsidRPr="00DF4CE5">
              <w:rPr>
                <w:rFonts w:ascii="Cambria" w:eastAsia="Times New Roman" w:hAnsi="Cambria" w:cs="Calibri"/>
                <w:lang w:val="hr-HR"/>
              </w:rPr>
              <w:t xml:space="preserve"> B. Živi svijet 3. Profil International, Zagreb 2009.</w:t>
            </w:r>
          </w:p>
          <w:p w14:paraId="34174555" w14:textId="7A322A2E"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5. Jelenić</w:t>
            </w:r>
            <w:r w:rsidR="00A52301">
              <w:rPr>
                <w:rFonts w:ascii="Cambria" w:eastAsia="Times New Roman" w:hAnsi="Cambria" w:cs="Calibri"/>
                <w:lang w:val="hr-HR"/>
              </w:rPr>
              <w:t xml:space="preserve">, </w:t>
            </w:r>
            <w:r w:rsidRPr="00DF4CE5">
              <w:rPr>
                <w:rFonts w:ascii="Cambria" w:eastAsia="Times New Roman" w:hAnsi="Cambria" w:cs="Calibri"/>
                <w:lang w:val="hr-HR"/>
              </w:rPr>
              <w:t xml:space="preserve">S, </w:t>
            </w:r>
            <w:proofErr w:type="spellStart"/>
            <w:r w:rsidRPr="00DF4CE5">
              <w:rPr>
                <w:rFonts w:ascii="Cambria" w:eastAsia="Times New Roman" w:hAnsi="Cambria" w:cs="Calibri"/>
                <w:lang w:val="hr-HR"/>
              </w:rPr>
              <w:t>Kerovac</w:t>
            </w:r>
            <w:proofErr w:type="spellEnd"/>
            <w:r w:rsidR="00A52301">
              <w:rPr>
                <w:rFonts w:ascii="Cambria" w:eastAsia="Times New Roman" w:hAnsi="Cambria" w:cs="Calibri"/>
                <w:lang w:val="hr-HR"/>
              </w:rPr>
              <w:t xml:space="preserve">, </w:t>
            </w:r>
            <w:r w:rsidRPr="00DF4CE5">
              <w:rPr>
                <w:rFonts w:ascii="Cambria" w:eastAsia="Times New Roman" w:hAnsi="Cambria" w:cs="Calibri"/>
                <w:lang w:val="hr-HR"/>
              </w:rPr>
              <w:t xml:space="preserve">M, </w:t>
            </w:r>
            <w:proofErr w:type="spellStart"/>
            <w:r w:rsidRPr="00DF4CE5">
              <w:rPr>
                <w:rFonts w:ascii="Cambria" w:eastAsia="Times New Roman" w:hAnsi="Cambria" w:cs="Calibri"/>
                <w:lang w:val="hr-HR"/>
              </w:rPr>
              <w:t>Ternjej</w:t>
            </w:r>
            <w:proofErr w:type="spellEnd"/>
            <w:r w:rsidRPr="00DF4CE5">
              <w:rPr>
                <w:rFonts w:ascii="Cambria" w:eastAsia="Times New Roman" w:hAnsi="Cambria" w:cs="Calibri"/>
                <w:lang w:val="hr-HR"/>
              </w:rPr>
              <w:t xml:space="preserve"> I, Mihaljević</w:t>
            </w:r>
            <w:r w:rsidR="00A52301">
              <w:rPr>
                <w:rFonts w:ascii="Cambria" w:eastAsia="Times New Roman" w:hAnsi="Cambria" w:cs="Calibri"/>
                <w:lang w:val="hr-HR"/>
              </w:rPr>
              <w:t xml:space="preserve">, </w:t>
            </w:r>
            <w:r w:rsidRPr="00DF4CE5">
              <w:rPr>
                <w:rFonts w:ascii="Cambria" w:eastAsia="Times New Roman" w:hAnsi="Cambria" w:cs="Calibri"/>
                <w:lang w:val="hr-HR"/>
              </w:rPr>
              <w:t>Z. Biologija 4. Profil International, Zagreb 2008.</w:t>
            </w:r>
          </w:p>
          <w:p w14:paraId="7BCB8DA4"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Izborna:</w:t>
            </w:r>
          </w:p>
          <w:p w14:paraId="4B05BC85" w14:textId="77777777" w:rsidR="00510729" w:rsidRPr="00DF4CE5" w:rsidRDefault="00510729" w:rsidP="00510729">
            <w:pPr>
              <w:autoSpaceDE w:val="0"/>
              <w:autoSpaceDN w:val="0"/>
              <w:adjustRightInd w:val="0"/>
              <w:spacing w:after="0" w:line="240" w:lineRule="auto"/>
              <w:rPr>
                <w:rFonts w:ascii="Cambria" w:eastAsia="Times New Roman" w:hAnsi="Cambria" w:cs="Calibri"/>
                <w:lang w:val="hr-HR"/>
              </w:rPr>
            </w:pPr>
            <w:r w:rsidRPr="00DF4CE5">
              <w:rPr>
                <w:rFonts w:ascii="Cambria" w:eastAsia="Times New Roman" w:hAnsi="Cambria" w:cs="Calibri"/>
                <w:lang w:val="hr-HR" w:eastAsia="hr-HR"/>
              </w:rPr>
              <w:t xml:space="preserve">1. </w:t>
            </w:r>
            <w:proofErr w:type="spellStart"/>
            <w:r w:rsidRPr="00DF4CE5">
              <w:rPr>
                <w:rFonts w:ascii="Cambria" w:eastAsia="Times New Roman" w:hAnsi="Cambria" w:cs="Calibri"/>
                <w:lang w:val="hr-HR" w:eastAsia="hr-HR"/>
              </w:rPr>
              <w:t>Keros</w:t>
            </w:r>
            <w:proofErr w:type="spellEnd"/>
            <w:r w:rsidRPr="00DF4CE5">
              <w:rPr>
                <w:rFonts w:ascii="Cambria" w:eastAsia="Times New Roman" w:hAnsi="Cambria" w:cs="Calibri"/>
                <w:lang w:val="hr-HR" w:eastAsia="hr-HR"/>
              </w:rPr>
              <w:t xml:space="preserve"> P, </w:t>
            </w:r>
            <w:proofErr w:type="spellStart"/>
            <w:r w:rsidRPr="00DF4CE5">
              <w:rPr>
                <w:rFonts w:ascii="Cambria" w:eastAsia="Times New Roman" w:hAnsi="Cambria" w:cs="Calibri"/>
                <w:lang w:val="hr-HR" w:eastAsia="hr-HR"/>
              </w:rPr>
              <w:t>Andreis</w:t>
            </w:r>
            <w:proofErr w:type="spellEnd"/>
            <w:r w:rsidRPr="00DF4CE5">
              <w:rPr>
                <w:rFonts w:ascii="Cambria" w:eastAsia="Times New Roman" w:hAnsi="Cambria" w:cs="Calibri"/>
                <w:lang w:val="hr-HR" w:eastAsia="hr-HR"/>
              </w:rPr>
              <w:t xml:space="preserve"> I, Gamulin M. Anatomija i fiziologija. Školska knjiga. Zagreb 1998.</w:t>
            </w:r>
          </w:p>
          <w:p w14:paraId="361E228B" w14:textId="77777777" w:rsidR="00510729" w:rsidRPr="00DF4CE5" w:rsidRDefault="00510729" w:rsidP="00510729">
            <w:pPr>
              <w:autoSpaceDE w:val="0"/>
              <w:autoSpaceDN w:val="0"/>
              <w:adjustRightInd w:val="0"/>
              <w:spacing w:after="0" w:line="240" w:lineRule="auto"/>
              <w:rPr>
                <w:rFonts w:ascii="Cambria" w:eastAsia="Times New Roman" w:hAnsi="Cambria" w:cs="Calibri"/>
                <w:lang w:val="hr-HR"/>
              </w:rPr>
            </w:pPr>
            <w:r w:rsidRPr="00DF4CE5">
              <w:rPr>
                <w:rFonts w:ascii="Cambria" w:eastAsia="Times New Roman" w:hAnsi="Cambria" w:cs="Calibri"/>
                <w:lang w:val="hr-HR"/>
              </w:rPr>
              <w:t xml:space="preserve">2. Springer O. Čovjek i zdravlje, Profil </w:t>
            </w:r>
            <w:proofErr w:type="spellStart"/>
            <w:r w:rsidRPr="00DF4CE5">
              <w:rPr>
                <w:rFonts w:ascii="Cambria" w:eastAsia="Times New Roman" w:hAnsi="Cambria" w:cs="Calibri"/>
                <w:lang w:val="hr-HR"/>
              </w:rPr>
              <w:t>international</w:t>
            </w:r>
            <w:proofErr w:type="spellEnd"/>
            <w:r w:rsidRPr="00DF4CE5">
              <w:rPr>
                <w:rFonts w:ascii="Cambria" w:eastAsia="Times New Roman" w:hAnsi="Cambria" w:cs="Calibri"/>
                <w:lang w:val="hr-HR"/>
              </w:rPr>
              <w:t>, Zagreb, 1995</w:t>
            </w:r>
          </w:p>
          <w:p w14:paraId="3D1FFB5F" w14:textId="77777777" w:rsidR="00510729" w:rsidRPr="00DF4CE5" w:rsidRDefault="00510729" w:rsidP="00510729">
            <w:pPr>
              <w:spacing w:after="0" w:line="240" w:lineRule="auto"/>
              <w:rPr>
                <w:rFonts w:ascii="Cambria" w:eastAsia="Times New Roman" w:hAnsi="Cambria" w:cs="Calibri"/>
                <w:lang w:val="hr-HR"/>
              </w:rPr>
            </w:pPr>
            <w:proofErr w:type="spellStart"/>
            <w:r w:rsidRPr="00DF4CE5">
              <w:rPr>
                <w:rFonts w:ascii="Cambria" w:eastAsia="Times New Roman" w:hAnsi="Cambria" w:cs="Calibri"/>
                <w:color w:val="000000"/>
                <w:lang w:val="hr-HR" w:eastAsia="hr-HR"/>
              </w:rPr>
              <w:t>M</w:t>
            </w:r>
            <w:r w:rsidRPr="00DF4CE5">
              <w:rPr>
                <w:rFonts w:ascii="Cambria" w:eastAsia="Times New Roman" w:hAnsi="Cambria" w:cs="Calibri"/>
                <w:lang w:val="hr-HR"/>
              </w:rPr>
              <w:t>ader</w:t>
            </w:r>
            <w:proofErr w:type="spellEnd"/>
            <w:r w:rsidRPr="00DF4CE5">
              <w:rPr>
                <w:rFonts w:ascii="Cambria" w:eastAsia="Times New Roman" w:hAnsi="Cambria" w:cs="Calibri"/>
                <w:lang w:val="hr-HR"/>
              </w:rPr>
              <w:t xml:space="preserve">, S. </w:t>
            </w:r>
            <w:proofErr w:type="spellStart"/>
            <w:r w:rsidRPr="00DF4CE5">
              <w:rPr>
                <w:rFonts w:ascii="Cambria" w:eastAsia="Times New Roman" w:hAnsi="Cambria" w:cs="Calibri"/>
                <w:lang w:val="hr-HR"/>
              </w:rPr>
              <w:t>Biology</w:t>
            </w:r>
            <w:proofErr w:type="spellEnd"/>
            <w:r w:rsidRPr="00DF4CE5">
              <w:rPr>
                <w:rFonts w:ascii="Cambria" w:eastAsia="Times New Roman" w:hAnsi="Cambria" w:cs="Calibri"/>
                <w:lang w:val="hr-HR"/>
              </w:rPr>
              <w:t xml:space="preserve">, </w:t>
            </w:r>
            <w:proofErr w:type="spellStart"/>
            <w:r w:rsidRPr="00DF4CE5">
              <w:rPr>
                <w:rFonts w:ascii="Cambria" w:eastAsia="Times New Roman" w:hAnsi="Cambria" w:cs="Calibri"/>
                <w:lang w:val="hr-HR"/>
              </w:rPr>
              <w:t>McGraw</w:t>
            </w:r>
            <w:proofErr w:type="spellEnd"/>
            <w:r w:rsidRPr="00DF4CE5">
              <w:rPr>
                <w:rFonts w:ascii="Cambria" w:eastAsia="Times New Roman" w:hAnsi="Cambria" w:cs="Calibri"/>
                <w:lang w:val="hr-HR"/>
              </w:rPr>
              <w:t>-Hill, 2005</w:t>
            </w:r>
          </w:p>
          <w:p w14:paraId="0EFB534A" w14:textId="18B8EC4C" w:rsidR="00510729" w:rsidRPr="00DF4CE5" w:rsidRDefault="00510729" w:rsidP="00510729">
            <w:pPr>
              <w:spacing w:after="0" w:line="240" w:lineRule="auto"/>
              <w:rPr>
                <w:rFonts w:ascii="Cambria" w:eastAsia="Times New Roman" w:hAnsi="Cambria" w:cs="Calibri"/>
                <w:color w:val="000000"/>
                <w:lang w:val="hr-HR" w:eastAsia="hr-HR"/>
              </w:rPr>
            </w:pPr>
            <w:r w:rsidRPr="00DF4CE5">
              <w:rPr>
                <w:rFonts w:ascii="Cambria" w:eastAsia="Times New Roman" w:hAnsi="Cambria" w:cs="Calibri"/>
                <w:color w:val="000000"/>
                <w:lang w:val="hr-HR" w:eastAsia="hr-HR"/>
              </w:rPr>
              <w:t xml:space="preserve">3. </w:t>
            </w:r>
            <w:proofErr w:type="spellStart"/>
            <w:r w:rsidRPr="00DF4CE5">
              <w:rPr>
                <w:rFonts w:ascii="Cambria" w:eastAsia="Times New Roman" w:hAnsi="Cambria" w:cs="Calibri"/>
                <w:color w:val="000000"/>
                <w:lang w:val="hr-HR" w:eastAsia="hr-HR"/>
              </w:rPr>
              <w:t>Raven</w:t>
            </w:r>
            <w:proofErr w:type="spellEnd"/>
            <w:r w:rsidRPr="00DF4CE5">
              <w:rPr>
                <w:rFonts w:ascii="Cambria" w:eastAsia="Times New Roman" w:hAnsi="Cambria" w:cs="Calibri"/>
                <w:color w:val="000000"/>
                <w:lang w:val="hr-HR" w:eastAsia="hr-HR"/>
              </w:rPr>
              <w:t>, H.</w:t>
            </w:r>
            <w:r w:rsidR="00A52301">
              <w:rPr>
                <w:rFonts w:ascii="Cambria" w:eastAsia="Times New Roman" w:hAnsi="Cambria" w:cs="Calibri"/>
                <w:color w:val="000000"/>
                <w:lang w:val="hr-HR" w:eastAsia="hr-HR"/>
              </w:rPr>
              <w:t xml:space="preserve"> </w:t>
            </w:r>
            <w:r w:rsidRPr="00DF4CE5">
              <w:rPr>
                <w:rFonts w:ascii="Cambria" w:eastAsia="Times New Roman" w:hAnsi="Cambria" w:cs="Calibri"/>
                <w:color w:val="000000"/>
                <w:lang w:val="hr-HR" w:eastAsia="hr-HR"/>
              </w:rPr>
              <w:t>P</w:t>
            </w:r>
            <w:r w:rsidR="00A52301">
              <w:rPr>
                <w:rFonts w:ascii="Cambria" w:eastAsia="Times New Roman" w:hAnsi="Cambria" w:cs="Calibri"/>
                <w:color w:val="000000"/>
                <w:lang w:val="hr-HR" w:eastAsia="hr-HR"/>
              </w:rPr>
              <w:t>.</w:t>
            </w:r>
            <w:r w:rsidRPr="00DF4CE5">
              <w:rPr>
                <w:rFonts w:ascii="Cambria" w:eastAsia="Times New Roman" w:hAnsi="Cambria" w:cs="Calibri"/>
                <w:color w:val="000000"/>
                <w:lang w:val="hr-HR" w:eastAsia="hr-HR"/>
              </w:rPr>
              <w:t>; Johnson, G.</w:t>
            </w:r>
            <w:r w:rsidR="00A52301">
              <w:rPr>
                <w:rFonts w:ascii="Cambria" w:eastAsia="Times New Roman" w:hAnsi="Cambria" w:cs="Calibri"/>
                <w:color w:val="000000"/>
                <w:lang w:val="hr-HR" w:eastAsia="hr-HR"/>
              </w:rPr>
              <w:t xml:space="preserve"> </w:t>
            </w:r>
            <w:r w:rsidRPr="00DF4CE5">
              <w:rPr>
                <w:rFonts w:ascii="Cambria" w:eastAsia="Times New Roman" w:hAnsi="Cambria" w:cs="Calibri"/>
                <w:color w:val="000000"/>
                <w:lang w:val="hr-HR" w:eastAsia="hr-HR"/>
              </w:rPr>
              <w:t>B.; Singer,</w:t>
            </w:r>
            <w:r w:rsidR="00A52301">
              <w:rPr>
                <w:rFonts w:ascii="Cambria" w:eastAsia="Times New Roman" w:hAnsi="Cambria" w:cs="Calibri"/>
                <w:color w:val="000000"/>
                <w:lang w:val="hr-HR" w:eastAsia="hr-HR"/>
              </w:rPr>
              <w:t xml:space="preserve"> </w:t>
            </w:r>
            <w:r w:rsidRPr="00DF4CE5">
              <w:rPr>
                <w:rFonts w:ascii="Cambria" w:eastAsia="Times New Roman" w:hAnsi="Cambria" w:cs="Calibri"/>
                <w:color w:val="000000"/>
                <w:lang w:val="hr-HR" w:eastAsia="hr-HR"/>
              </w:rPr>
              <w:t xml:space="preserve">S; Losos, J. </w:t>
            </w:r>
            <w:proofErr w:type="spellStart"/>
            <w:r w:rsidRPr="00DF4CE5">
              <w:rPr>
                <w:rFonts w:ascii="Cambria" w:eastAsia="Times New Roman" w:hAnsi="Cambria" w:cs="Calibri"/>
                <w:color w:val="000000"/>
                <w:lang w:val="hr-HR" w:eastAsia="hr-HR"/>
              </w:rPr>
              <w:t>Biology</w:t>
            </w:r>
            <w:proofErr w:type="spellEnd"/>
            <w:r w:rsidRPr="00DF4CE5">
              <w:rPr>
                <w:rFonts w:ascii="Cambria" w:eastAsia="Times New Roman" w:hAnsi="Cambria" w:cs="Calibri"/>
                <w:color w:val="000000"/>
                <w:lang w:val="hr-HR" w:eastAsia="hr-HR"/>
              </w:rPr>
              <w:t xml:space="preserve">, </w:t>
            </w:r>
            <w:proofErr w:type="spellStart"/>
            <w:r w:rsidRPr="00DF4CE5">
              <w:rPr>
                <w:rFonts w:ascii="Cambria" w:eastAsia="Times New Roman" w:hAnsi="Cambria" w:cs="Calibri"/>
                <w:color w:val="000000"/>
                <w:lang w:val="hr-HR" w:eastAsia="hr-HR"/>
              </w:rPr>
              <w:t>McGraw</w:t>
            </w:r>
            <w:proofErr w:type="spellEnd"/>
            <w:r w:rsidRPr="00DF4CE5">
              <w:rPr>
                <w:rFonts w:ascii="Cambria" w:eastAsia="Times New Roman" w:hAnsi="Cambria" w:cs="Calibri"/>
                <w:color w:val="000000"/>
                <w:lang w:val="hr-HR" w:eastAsia="hr-HR"/>
              </w:rPr>
              <w:t>-Hill, 2004</w:t>
            </w:r>
          </w:p>
        </w:tc>
      </w:tr>
    </w:tbl>
    <w:p w14:paraId="3AA06234" w14:textId="25034259" w:rsidR="00510729" w:rsidRPr="00DF4CE5" w:rsidRDefault="00510729" w:rsidP="00510729">
      <w:pPr>
        <w:spacing w:after="0" w:line="240" w:lineRule="auto"/>
        <w:rPr>
          <w:rFonts w:ascii="Cambria" w:eastAsia="Cambria" w:hAnsi="Cambria" w:cs="Cambria"/>
          <w:lang w:val="hr-HR"/>
        </w:rPr>
      </w:pPr>
    </w:p>
    <w:p w14:paraId="0915054F" w14:textId="06796B4A" w:rsidR="00B71FDE" w:rsidRPr="00DF4CE5" w:rsidRDefault="00B71FDE" w:rsidP="00510729">
      <w:pPr>
        <w:spacing w:after="0" w:line="240" w:lineRule="auto"/>
        <w:rPr>
          <w:rFonts w:ascii="Cambria" w:eastAsia="Cambria" w:hAnsi="Cambria" w:cs="Cambria"/>
          <w:lang w:val="hr-HR"/>
        </w:rPr>
      </w:pPr>
    </w:p>
    <w:p w14:paraId="7B15A336" w14:textId="08234AB4" w:rsidR="00B71FDE" w:rsidRPr="00DF4CE5" w:rsidRDefault="00B71FDE" w:rsidP="00510729">
      <w:pPr>
        <w:spacing w:after="0" w:line="240" w:lineRule="auto"/>
        <w:rPr>
          <w:rFonts w:ascii="Cambria" w:eastAsia="Cambria" w:hAnsi="Cambria" w:cs="Cambria"/>
          <w:lang w:val="hr-HR"/>
        </w:rPr>
      </w:pPr>
    </w:p>
    <w:p w14:paraId="4CF58713" w14:textId="024BB9C6" w:rsidR="00B71FDE" w:rsidRPr="00DF4CE5" w:rsidRDefault="00B71FDE" w:rsidP="00510729">
      <w:pPr>
        <w:spacing w:after="0" w:line="240" w:lineRule="auto"/>
        <w:rPr>
          <w:rFonts w:ascii="Cambria" w:eastAsia="Cambria" w:hAnsi="Cambria" w:cs="Cambria"/>
          <w:lang w:val="hr-HR"/>
        </w:rPr>
      </w:pPr>
    </w:p>
    <w:p w14:paraId="2577026C" w14:textId="6C19095C" w:rsidR="00B71FDE" w:rsidRPr="00DF4CE5" w:rsidRDefault="004F2942" w:rsidP="00830554">
      <w:pPr>
        <w:rPr>
          <w:rFonts w:ascii="Cambria" w:eastAsia="Cambria" w:hAnsi="Cambria" w:cs="Cambria"/>
          <w:lang w:val="hr-HR"/>
        </w:rPr>
      </w:pPr>
      <w:r>
        <w:rPr>
          <w:rFonts w:ascii="Cambria" w:eastAsia="Cambria" w:hAnsi="Cambria" w:cs="Cambria"/>
          <w:lang w:val="hr-HR"/>
        </w:rPr>
        <w:br w:type="page"/>
      </w:r>
    </w:p>
    <w:p w14:paraId="7B1080F0" w14:textId="432F6AE0" w:rsidR="00B71FDE" w:rsidRPr="00DF4CE5" w:rsidRDefault="00B71FDE" w:rsidP="00510729">
      <w:pPr>
        <w:spacing w:after="0" w:line="240" w:lineRule="auto"/>
        <w:rPr>
          <w:rFonts w:ascii="Cambria" w:eastAsia="Cambria" w:hAnsi="Cambria" w:cs="Cambria"/>
          <w:lang w:val="hr-HR"/>
        </w:rPr>
      </w:pPr>
    </w:p>
    <w:tbl>
      <w:tblPr>
        <w:tblW w:w="4495" w:type="pct"/>
        <w:tblLayout w:type="fixed"/>
        <w:tblCellMar>
          <w:left w:w="0" w:type="dxa"/>
          <w:right w:w="0" w:type="dxa"/>
        </w:tblCellMar>
        <w:tblLook w:val="0600" w:firstRow="0" w:lastRow="0" w:firstColumn="0" w:lastColumn="0" w:noHBand="1" w:noVBand="1"/>
      </w:tblPr>
      <w:tblGrid>
        <w:gridCol w:w="2029"/>
        <w:gridCol w:w="2853"/>
        <w:gridCol w:w="93"/>
        <w:gridCol w:w="1066"/>
        <w:gridCol w:w="280"/>
        <w:gridCol w:w="429"/>
        <w:gridCol w:w="985"/>
        <w:gridCol w:w="1273"/>
      </w:tblGrid>
      <w:tr w:rsidR="00450B7A" w:rsidRPr="00A62FBD" w14:paraId="5DF54607" w14:textId="77777777" w:rsidTr="00450B7A">
        <w:tc>
          <w:tcPr>
            <w:tcW w:w="9008"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9FB6F9B" w14:textId="77777777" w:rsidR="00450B7A" w:rsidRPr="00A62FBD" w:rsidRDefault="00450B7A" w:rsidP="0057401D">
            <w:pPr>
              <w:pStyle w:val="Bezproreda"/>
              <w:jc w:val="right"/>
              <w:rPr>
                <w:rFonts w:ascii="Cambria" w:hAnsi="Cambria" w:cs="Calibri"/>
                <w:b/>
              </w:rPr>
            </w:pPr>
            <w:r w:rsidRPr="00A62FBD">
              <w:rPr>
                <w:rFonts w:ascii="Cambria" w:hAnsi="Cambria" w:cs="Calibri"/>
                <w:b/>
              </w:rPr>
              <w:t>IZVEDBENI PLAN NASTAVE KOLEGIJA</w:t>
            </w:r>
          </w:p>
        </w:tc>
      </w:tr>
      <w:tr w:rsidR="00450B7A" w:rsidRPr="00A62FBD" w14:paraId="2839F5A1" w14:textId="77777777" w:rsidTr="00450B7A">
        <w:tc>
          <w:tcPr>
            <w:tcW w:w="20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58C67A4" w14:textId="77777777" w:rsidR="00450B7A" w:rsidRPr="00A62FBD" w:rsidRDefault="00450B7A" w:rsidP="0057401D">
            <w:pPr>
              <w:pStyle w:val="Bezproreda"/>
              <w:rPr>
                <w:rFonts w:ascii="Cambria" w:hAnsi="Cambria" w:cs="Calibri"/>
              </w:rPr>
            </w:pPr>
            <w:r w:rsidRPr="00A62FBD">
              <w:rPr>
                <w:rFonts w:ascii="Cambria" w:hAnsi="Cambria" w:cs="Calibri"/>
              </w:rPr>
              <w:t>Kod i naziv kolegija</w:t>
            </w:r>
          </w:p>
        </w:tc>
        <w:tc>
          <w:tcPr>
            <w:tcW w:w="6979"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670C40A" w14:textId="77777777" w:rsidR="00450B7A" w:rsidRPr="00A62FBD" w:rsidRDefault="00450B7A" w:rsidP="0057401D">
            <w:pPr>
              <w:pStyle w:val="Bezproreda"/>
              <w:rPr>
                <w:rFonts w:ascii="Cambria" w:hAnsi="Cambria" w:cs="Calibri"/>
              </w:rPr>
            </w:pPr>
            <w:r w:rsidRPr="001B6CBE">
              <w:rPr>
                <w:rFonts w:ascii="Cambria" w:hAnsi="Cambria" w:cs="Calibri"/>
              </w:rPr>
              <w:t>273627</w:t>
            </w:r>
          </w:p>
          <w:p w14:paraId="7F1D75B7" w14:textId="77777777" w:rsidR="00450B7A" w:rsidRPr="006D7100" w:rsidRDefault="00450B7A" w:rsidP="0057401D">
            <w:pPr>
              <w:pStyle w:val="Bezproreda"/>
              <w:rPr>
                <w:rFonts w:ascii="Cambria" w:hAnsi="Cambria" w:cs="Calibri"/>
                <w:bCs/>
              </w:rPr>
            </w:pPr>
            <w:r w:rsidRPr="006D7100">
              <w:rPr>
                <w:rFonts w:ascii="Cambria" w:hAnsi="Cambria" w:cs="Calibri"/>
                <w:bCs/>
              </w:rPr>
              <w:t>Etika učiteljskog poziva</w:t>
            </w:r>
          </w:p>
        </w:tc>
      </w:tr>
      <w:tr w:rsidR="00450B7A" w:rsidRPr="00A62FBD" w14:paraId="481C3767" w14:textId="77777777" w:rsidTr="00450B7A">
        <w:tc>
          <w:tcPr>
            <w:tcW w:w="20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290D69D" w14:textId="77777777" w:rsidR="00450B7A" w:rsidRPr="00A62FBD" w:rsidRDefault="00450B7A" w:rsidP="0057401D">
            <w:pPr>
              <w:pStyle w:val="Bezproreda"/>
              <w:rPr>
                <w:rFonts w:ascii="Cambria" w:hAnsi="Cambria" w:cs="Calibri"/>
              </w:rPr>
            </w:pPr>
            <w:r w:rsidRPr="00A62FBD">
              <w:rPr>
                <w:rFonts w:ascii="Cambria" w:hAnsi="Cambria" w:cs="Calibri"/>
              </w:rPr>
              <w:t xml:space="preserve">Nastavnik </w:t>
            </w:r>
          </w:p>
        </w:tc>
        <w:tc>
          <w:tcPr>
            <w:tcW w:w="6979"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986168F" w14:textId="77777777" w:rsidR="00450B7A" w:rsidRPr="00A62FBD" w:rsidRDefault="00450B7A" w:rsidP="0057401D">
            <w:pPr>
              <w:pStyle w:val="Bezproreda"/>
              <w:rPr>
                <w:rFonts w:ascii="Cambria" w:hAnsi="Cambria" w:cs="Calibri"/>
              </w:rPr>
            </w:pPr>
            <w:hyperlink r:id="rId83" w:history="1">
              <w:r w:rsidRPr="00A613CE">
                <w:rPr>
                  <w:rFonts w:ascii="Cambria" w:eastAsia="Times New Roman" w:hAnsi="Cambria"/>
                  <w:color w:val="0000FF"/>
                  <w:szCs w:val="24"/>
                  <w:u w:val="single"/>
                </w:rPr>
                <w:t>Doc. dr. sc. Alen Tafra</w:t>
              </w:r>
            </w:hyperlink>
            <w:r w:rsidRPr="00A613CE">
              <w:rPr>
                <w:rFonts w:ascii="Cambria" w:eastAsia="Times New Roman" w:hAnsi="Cambria"/>
                <w:szCs w:val="24"/>
              </w:rPr>
              <w:t xml:space="preserve"> (nositelj)</w:t>
            </w:r>
          </w:p>
        </w:tc>
      </w:tr>
      <w:tr w:rsidR="00450B7A" w:rsidRPr="00D0399C" w14:paraId="598241B0" w14:textId="77777777" w:rsidTr="00450B7A">
        <w:tc>
          <w:tcPr>
            <w:tcW w:w="20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D8640E2" w14:textId="77777777" w:rsidR="00450B7A" w:rsidRPr="00A62FBD" w:rsidRDefault="00450B7A" w:rsidP="0057401D">
            <w:pPr>
              <w:pStyle w:val="Bezproreda"/>
              <w:rPr>
                <w:rFonts w:ascii="Cambria" w:hAnsi="Cambria" w:cs="Calibri"/>
              </w:rPr>
            </w:pPr>
            <w:r w:rsidRPr="00A62FBD">
              <w:rPr>
                <w:rFonts w:ascii="Cambria" w:hAnsi="Cambria" w:cs="Calibri"/>
              </w:rPr>
              <w:t>Studijski program</w:t>
            </w:r>
          </w:p>
        </w:tc>
        <w:tc>
          <w:tcPr>
            <w:tcW w:w="6979"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2740F78" w14:textId="77777777" w:rsidR="00450B7A" w:rsidRPr="00A62FBD" w:rsidRDefault="00450B7A" w:rsidP="0057401D">
            <w:pPr>
              <w:pStyle w:val="Bezproreda"/>
              <w:rPr>
                <w:rFonts w:ascii="Cambria" w:hAnsi="Cambria" w:cs="Calibri"/>
              </w:rPr>
            </w:pPr>
            <w:r w:rsidRPr="003313DE">
              <w:rPr>
                <w:rFonts w:ascii="Cambria" w:hAnsi="Cambria" w:cs="Calibri"/>
              </w:rPr>
              <w:t>Sveučilišni integrirani prijediplomski i diplomski Učiteljski studij na hrvatskom jeziku</w:t>
            </w:r>
          </w:p>
        </w:tc>
      </w:tr>
      <w:tr w:rsidR="00450B7A" w:rsidRPr="00A62FBD" w14:paraId="18120D77" w14:textId="77777777" w:rsidTr="00450B7A">
        <w:tc>
          <w:tcPr>
            <w:tcW w:w="20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51EE7A2" w14:textId="77777777" w:rsidR="00450B7A" w:rsidRPr="00A62FBD" w:rsidRDefault="00450B7A" w:rsidP="0057401D">
            <w:pPr>
              <w:pStyle w:val="Bezproreda"/>
              <w:rPr>
                <w:rFonts w:ascii="Cambria" w:hAnsi="Cambria" w:cs="Calibri"/>
              </w:rPr>
            </w:pPr>
            <w:r w:rsidRPr="00A62FBD">
              <w:rPr>
                <w:rFonts w:ascii="Cambria" w:hAnsi="Cambria" w:cs="Calibri"/>
              </w:rPr>
              <w:t>Vrsta kolegija</w:t>
            </w:r>
          </w:p>
        </w:tc>
        <w:tc>
          <w:tcPr>
            <w:tcW w:w="285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DA924DE" w14:textId="77777777" w:rsidR="00450B7A" w:rsidRPr="00A62FBD" w:rsidRDefault="00450B7A" w:rsidP="0057401D">
            <w:pPr>
              <w:pStyle w:val="Bezproreda"/>
              <w:rPr>
                <w:rFonts w:ascii="Cambria" w:hAnsi="Cambria" w:cs="Calibri"/>
              </w:rPr>
            </w:pPr>
            <w:r>
              <w:rPr>
                <w:rFonts w:ascii="Cambria" w:hAnsi="Cambria" w:cs="Calibri"/>
              </w:rPr>
              <w:t>obavezni</w:t>
            </w:r>
          </w:p>
          <w:p w14:paraId="1CF82B99" w14:textId="77777777" w:rsidR="00450B7A" w:rsidRPr="00A62FBD" w:rsidRDefault="00450B7A" w:rsidP="0057401D">
            <w:pPr>
              <w:pStyle w:val="Bezproreda"/>
              <w:rPr>
                <w:rFonts w:ascii="Cambria" w:hAnsi="Cambria" w:cs="Calibri"/>
              </w:rPr>
            </w:pPr>
          </w:p>
        </w:tc>
        <w:tc>
          <w:tcPr>
            <w:tcW w:w="1439"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77AD42FA" w14:textId="77777777" w:rsidR="00450B7A" w:rsidRPr="00A62FBD" w:rsidRDefault="00450B7A" w:rsidP="0057401D">
            <w:pPr>
              <w:pStyle w:val="Bezproreda"/>
              <w:rPr>
                <w:rFonts w:ascii="Cambria" w:hAnsi="Cambria" w:cs="Calibri"/>
              </w:rPr>
            </w:pPr>
            <w:r w:rsidRPr="00A62FBD">
              <w:rPr>
                <w:rFonts w:ascii="Cambria" w:hAnsi="Cambria" w:cs="Calibri"/>
              </w:rPr>
              <w:t>Razina kolegija</w:t>
            </w:r>
          </w:p>
        </w:tc>
        <w:tc>
          <w:tcPr>
            <w:tcW w:w="2687"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CEF6C14" w14:textId="77777777" w:rsidR="00450B7A" w:rsidRPr="00A62FBD" w:rsidRDefault="00450B7A" w:rsidP="0057401D">
            <w:pPr>
              <w:pStyle w:val="Bezproreda"/>
              <w:rPr>
                <w:rFonts w:ascii="Cambria" w:hAnsi="Cambria" w:cs="Calibri"/>
              </w:rPr>
            </w:pPr>
            <w:r>
              <w:rPr>
                <w:rFonts w:ascii="Cambria" w:hAnsi="Cambria" w:cs="Calibri"/>
              </w:rPr>
              <w:t>in</w:t>
            </w:r>
            <w:r w:rsidRPr="00A62FBD">
              <w:rPr>
                <w:rFonts w:ascii="Cambria" w:hAnsi="Cambria" w:cs="Calibri"/>
              </w:rPr>
              <w:t>tegrirani</w:t>
            </w:r>
          </w:p>
        </w:tc>
      </w:tr>
      <w:tr w:rsidR="00450B7A" w:rsidRPr="00A62FBD" w14:paraId="483A6A49" w14:textId="77777777" w:rsidTr="00450B7A">
        <w:tc>
          <w:tcPr>
            <w:tcW w:w="20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79B4BAD" w14:textId="77777777" w:rsidR="00450B7A" w:rsidRPr="00A62FBD" w:rsidRDefault="00450B7A" w:rsidP="0057401D">
            <w:pPr>
              <w:pStyle w:val="Bezproreda"/>
              <w:rPr>
                <w:rFonts w:ascii="Cambria" w:hAnsi="Cambria" w:cs="Calibri"/>
              </w:rPr>
            </w:pPr>
            <w:r w:rsidRPr="00A62FBD">
              <w:rPr>
                <w:rFonts w:ascii="Cambria" w:hAnsi="Cambria" w:cs="Calibri"/>
              </w:rPr>
              <w:t>Semestar</w:t>
            </w:r>
          </w:p>
        </w:tc>
        <w:tc>
          <w:tcPr>
            <w:tcW w:w="285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BB2DD39" w14:textId="0402B972" w:rsidR="00450B7A" w:rsidRPr="00A62FBD" w:rsidRDefault="00450B7A" w:rsidP="0057401D">
            <w:pPr>
              <w:pStyle w:val="Bezproreda"/>
              <w:rPr>
                <w:rFonts w:ascii="Cambria" w:hAnsi="Cambria" w:cs="Calibri"/>
              </w:rPr>
            </w:pPr>
            <w:r>
              <w:rPr>
                <w:rFonts w:ascii="Cambria" w:hAnsi="Cambria" w:cs="Calibri"/>
              </w:rPr>
              <w:t>lje</w:t>
            </w:r>
            <w:r w:rsidRPr="00A62FBD">
              <w:rPr>
                <w:rFonts w:ascii="Cambria" w:hAnsi="Cambria" w:cs="Calibri"/>
              </w:rPr>
              <w:t>tni</w:t>
            </w:r>
          </w:p>
        </w:tc>
        <w:tc>
          <w:tcPr>
            <w:tcW w:w="1439"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47DDC872" w14:textId="77777777" w:rsidR="00450B7A" w:rsidRPr="00A62FBD" w:rsidRDefault="00450B7A" w:rsidP="0057401D">
            <w:pPr>
              <w:pStyle w:val="Bezproreda"/>
              <w:rPr>
                <w:rFonts w:ascii="Cambria" w:hAnsi="Cambria" w:cs="Calibri"/>
              </w:rPr>
            </w:pPr>
            <w:r w:rsidRPr="00A62FBD">
              <w:rPr>
                <w:rFonts w:ascii="Cambria" w:hAnsi="Cambria" w:cs="Calibri"/>
              </w:rPr>
              <w:t>Godina studija</w:t>
            </w:r>
          </w:p>
        </w:tc>
        <w:tc>
          <w:tcPr>
            <w:tcW w:w="2687"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25F9741" w14:textId="77777777" w:rsidR="00450B7A" w:rsidRPr="00A62FBD" w:rsidRDefault="00450B7A" w:rsidP="0057401D">
            <w:pPr>
              <w:pStyle w:val="Bezproreda"/>
              <w:rPr>
                <w:rFonts w:ascii="Cambria" w:hAnsi="Cambria" w:cs="Calibri"/>
              </w:rPr>
            </w:pPr>
            <w:r w:rsidRPr="00A62FBD">
              <w:rPr>
                <w:rFonts w:ascii="Cambria" w:hAnsi="Cambria" w:cs="Calibri"/>
              </w:rPr>
              <w:t>II.</w:t>
            </w:r>
          </w:p>
        </w:tc>
      </w:tr>
      <w:tr w:rsidR="00450B7A" w:rsidRPr="00A62FBD" w14:paraId="12D29D99" w14:textId="77777777" w:rsidTr="00450B7A">
        <w:tc>
          <w:tcPr>
            <w:tcW w:w="20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40C4BEA" w14:textId="77777777" w:rsidR="00450B7A" w:rsidRPr="00A62FBD" w:rsidRDefault="00450B7A" w:rsidP="0057401D">
            <w:pPr>
              <w:pStyle w:val="Bezproreda"/>
              <w:rPr>
                <w:rFonts w:ascii="Cambria" w:hAnsi="Cambria" w:cs="Calibri"/>
              </w:rPr>
            </w:pPr>
            <w:proofErr w:type="spellStart"/>
            <w:r w:rsidRPr="00A62FBD">
              <w:rPr>
                <w:rFonts w:ascii="Cambria" w:hAnsi="Cambria" w:cs="Calibri"/>
                <w:lang w:val="en-US"/>
              </w:rPr>
              <w:t>Mjesto</w:t>
            </w:r>
            <w:proofErr w:type="spellEnd"/>
            <w:r w:rsidRPr="00A62FBD">
              <w:rPr>
                <w:rFonts w:ascii="Cambria" w:hAnsi="Cambria" w:cs="Calibri"/>
                <w:lang w:val="en-US"/>
              </w:rPr>
              <w:t xml:space="preserve"> </w:t>
            </w:r>
            <w:proofErr w:type="spellStart"/>
            <w:r w:rsidRPr="00A62FBD">
              <w:rPr>
                <w:rFonts w:ascii="Cambria" w:hAnsi="Cambria" w:cs="Calibri"/>
                <w:lang w:val="en-US"/>
              </w:rPr>
              <w:t>izvođenja</w:t>
            </w:r>
            <w:proofErr w:type="spellEnd"/>
          </w:p>
        </w:tc>
        <w:tc>
          <w:tcPr>
            <w:tcW w:w="285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6C8F7DE" w14:textId="12AD8B61" w:rsidR="00450B7A" w:rsidRPr="00A62FBD" w:rsidRDefault="00450B7A" w:rsidP="0057401D">
            <w:pPr>
              <w:pStyle w:val="Bezproreda"/>
              <w:rPr>
                <w:rFonts w:ascii="Cambria" w:hAnsi="Cambria" w:cs="Calibri"/>
              </w:rPr>
            </w:pPr>
            <w:r>
              <w:rPr>
                <w:rFonts w:ascii="Cambria" w:hAnsi="Cambria" w:cs="Calibri"/>
              </w:rPr>
              <w:t>p</w:t>
            </w:r>
            <w:r w:rsidRPr="00A62FBD">
              <w:rPr>
                <w:rFonts w:ascii="Cambria" w:hAnsi="Cambria" w:cs="Calibri"/>
              </w:rPr>
              <w:t>redavaonica</w:t>
            </w:r>
          </w:p>
        </w:tc>
        <w:tc>
          <w:tcPr>
            <w:tcW w:w="1439"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46D9F1C4" w14:textId="77777777" w:rsidR="00450B7A" w:rsidRPr="00A62FBD" w:rsidRDefault="00450B7A" w:rsidP="0057401D">
            <w:pPr>
              <w:pStyle w:val="Bezproreda"/>
              <w:rPr>
                <w:rFonts w:ascii="Cambria" w:hAnsi="Cambria" w:cs="Calibri"/>
              </w:rPr>
            </w:pPr>
            <w:r w:rsidRPr="00A62FBD">
              <w:rPr>
                <w:rFonts w:ascii="Cambria" w:hAnsi="Cambria" w:cs="Calibri"/>
                <w:lang w:val="en-US"/>
              </w:rPr>
              <w:t>Jezik</w:t>
            </w:r>
            <w:r w:rsidRPr="00A62FBD">
              <w:rPr>
                <w:rFonts w:ascii="Cambria" w:hAnsi="Cambria" w:cs="Calibri"/>
              </w:rPr>
              <w:t xml:space="preserve"> izvođenja</w:t>
            </w:r>
          </w:p>
        </w:tc>
        <w:tc>
          <w:tcPr>
            <w:tcW w:w="2687"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21CB82E" w14:textId="77777777" w:rsidR="00450B7A" w:rsidRPr="00A62FBD" w:rsidRDefault="00450B7A" w:rsidP="0057401D">
            <w:pPr>
              <w:pStyle w:val="Bezproreda"/>
              <w:rPr>
                <w:rFonts w:ascii="Cambria" w:hAnsi="Cambria" w:cs="Calibri"/>
              </w:rPr>
            </w:pPr>
            <w:r w:rsidRPr="00A62FBD">
              <w:rPr>
                <w:rFonts w:ascii="Cambria" w:hAnsi="Cambria" w:cs="Calibri"/>
              </w:rPr>
              <w:t>hrvatski</w:t>
            </w:r>
          </w:p>
        </w:tc>
      </w:tr>
      <w:tr w:rsidR="00450B7A" w:rsidRPr="00A62FBD" w14:paraId="274372BF" w14:textId="77777777" w:rsidTr="00450B7A">
        <w:tc>
          <w:tcPr>
            <w:tcW w:w="20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4F4A4BD" w14:textId="77777777" w:rsidR="00450B7A" w:rsidRPr="00A62FBD" w:rsidRDefault="00450B7A" w:rsidP="0057401D">
            <w:pPr>
              <w:pStyle w:val="Bezproreda"/>
              <w:rPr>
                <w:rFonts w:ascii="Cambria" w:hAnsi="Cambria" w:cs="Calibri"/>
              </w:rPr>
            </w:pPr>
            <w:r w:rsidRPr="00A62FBD">
              <w:rPr>
                <w:rFonts w:ascii="Cambria" w:hAnsi="Cambria" w:cs="Calibri"/>
              </w:rPr>
              <w:t>Broj ECTS bodova</w:t>
            </w:r>
          </w:p>
        </w:tc>
        <w:tc>
          <w:tcPr>
            <w:tcW w:w="285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860BC4E" w14:textId="77777777" w:rsidR="00450B7A" w:rsidRPr="00A62FBD" w:rsidRDefault="00450B7A" w:rsidP="0057401D">
            <w:pPr>
              <w:pStyle w:val="Bezproreda"/>
              <w:rPr>
                <w:rFonts w:ascii="Cambria" w:hAnsi="Cambria" w:cs="Calibri"/>
              </w:rPr>
            </w:pPr>
            <w:r>
              <w:rPr>
                <w:rFonts w:ascii="Cambria" w:hAnsi="Cambria" w:cs="Calibri"/>
              </w:rPr>
              <w:t>4</w:t>
            </w:r>
          </w:p>
        </w:tc>
        <w:tc>
          <w:tcPr>
            <w:tcW w:w="1439"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2224C76B" w14:textId="77777777" w:rsidR="00450B7A" w:rsidRPr="00A62FBD" w:rsidRDefault="00450B7A" w:rsidP="0057401D">
            <w:pPr>
              <w:pStyle w:val="Bezproreda"/>
              <w:rPr>
                <w:rFonts w:ascii="Cambria" w:hAnsi="Cambria" w:cs="Calibri"/>
              </w:rPr>
            </w:pPr>
            <w:r w:rsidRPr="00A62FBD">
              <w:rPr>
                <w:rFonts w:ascii="Cambria" w:hAnsi="Cambria" w:cs="Calibri"/>
              </w:rPr>
              <w:t>Broj sati u semestru</w:t>
            </w:r>
          </w:p>
        </w:tc>
        <w:tc>
          <w:tcPr>
            <w:tcW w:w="2687"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803077E" w14:textId="767E85D8" w:rsidR="00450B7A" w:rsidRPr="00A62FBD" w:rsidRDefault="00450B7A" w:rsidP="0057401D">
            <w:pPr>
              <w:pStyle w:val="Bezproreda"/>
              <w:rPr>
                <w:rFonts w:ascii="Cambria" w:hAnsi="Cambria" w:cs="Calibri"/>
              </w:rPr>
            </w:pPr>
            <w:r>
              <w:rPr>
                <w:rFonts w:ascii="Cambria" w:hAnsi="Cambria" w:cs="Calibri"/>
              </w:rPr>
              <w:t>30</w:t>
            </w:r>
            <w:r w:rsidRPr="00A62FBD">
              <w:rPr>
                <w:rFonts w:ascii="Cambria" w:hAnsi="Cambria" w:cs="Calibri"/>
              </w:rPr>
              <w:t>P – 15S</w:t>
            </w:r>
            <w:r>
              <w:rPr>
                <w:rFonts w:ascii="Cambria" w:hAnsi="Cambria" w:cs="Calibri"/>
              </w:rPr>
              <w:t xml:space="preserve"> – 0</w:t>
            </w:r>
            <w:r w:rsidRPr="00A62FBD">
              <w:rPr>
                <w:rFonts w:ascii="Cambria" w:hAnsi="Cambria" w:cs="Calibri"/>
              </w:rPr>
              <w:t xml:space="preserve">V   </w:t>
            </w:r>
          </w:p>
        </w:tc>
      </w:tr>
      <w:tr w:rsidR="00450B7A" w:rsidRPr="00A62FBD" w14:paraId="4FA3CC18" w14:textId="77777777" w:rsidTr="00450B7A">
        <w:tc>
          <w:tcPr>
            <w:tcW w:w="20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195DA88" w14:textId="77777777" w:rsidR="00450B7A" w:rsidRPr="00A62FBD" w:rsidRDefault="00450B7A" w:rsidP="0057401D">
            <w:pPr>
              <w:pStyle w:val="Bezproreda"/>
              <w:rPr>
                <w:rFonts w:ascii="Cambria" w:hAnsi="Cambria" w:cs="Calibri"/>
              </w:rPr>
            </w:pPr>
            <w:r w:rsidRPr="00A62FBD">
              <w:rPr>
                <w:rFonts w:ascii="Cambria" w:hAnsi="Cambria" w:cs="Calibri"/>
              </w:rPr>
              <w:t>Preduvjeti za upis i za svladavanje</w:t>
            </w:r>
          </w:p>
        </w:tc>
        <w:tc>
          <w:tcPr>
            <w:tcW w:w="6979"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CED88BE" w14:textId="77777777" w:rsidR="00450B7A" w:rsidRPr="00A62FBD" w:rsidRDefault="00450B7A" w:rsidP="0057401D">
            <w:pPr>
              <w:pStyle w:val="Bezproreda"/>
              <w:rPr>
                <w:rFonts w:ascii="Cambria" w:hAnsi="Cambria" w:cs="Calibri"/>
              </w:rPr>
            </w:pPr>
            <w:r>
              <w:rPr>
                <w:rFonts w:ascii="Cambria" w:hAnsi="Cambria" w:cs="Calibri"/>
              </w:rPr>
              <w:t>Ne</w:t>
            </w:r>
            <w:r w:rsidRPr="00A62FBD">
              <w:rPr>
                <w:rFonts w:ascii="Cambria" w:hAnsi="Cambria" w:cs="Calibri"/>
              </w:rPr>
              <w:t>ma preduvjeta za upis</w:t>
            </w:r>
            <w:r>
              <w:rPr>
                <w:rFonts w:ascii="Cambria" w:hAnsi="Cambria" w:cs="Calibri"/>
              </w:rPr>
              <w:t>.</w:t>
            </w:r>
          </w:p>
        </w:tc>
      </w:tr>
      <w:tr w:rsidR="00450B7A" w:rsidRPr="00D0399C" w14:paraId="2513988E" w14:textId="77777777" w:rsidTr="00450B7A">
        <w:trPr>
          <w:trHeight w:val="591"/>
        </w:trPr>
        <w:tc>
          <w:tcPr>
            <w:tcW w:w="20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9D9A436" w14:textId="77777777" w:rsidR="00450B7A" w:rsidRPr="00A62FBD" w:rsidRDefault="00450B7A" w:rsidP="0057401D">
            <w:pPr>
              <w:pStyle w:val="Bezproreda"/>
              <w:rPr>
                <w:rFonts w:ascii="Cambria" w:hAnsi="Cambria" w:cs="Calibri"/>
              </w:rPr>
            </w:pPr>
            <w:proofErr w:type="spellStart"/>
            <w:r w:rsidRPr="00A62FBD">
              <w:rPr>
                <w:rFonts w:ascii="Cambria" w:hAnsi="Cambria" w:cs="Calibri"/>
                <w:lang w:val="en-US"/>
              </w:rPr>
              <w:t>Korelativnost</w:t>
            </w:r>
            <w:proofErr w:type="spellEnd"/>
          </w:p>
        </w:tc>
        <w:tc>
          <w:tcPr>
            <w:tcW w:w="6979"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D7D9040" w14:textId="56A064F3" w:rsidR="00450B7A" w:rsidRPr="0057401D" w:rsidRDefault="00450B7A" w:rsidP="0057401D">
            <w:pPr>
              <w:autoSpaceDE w:val="0"/>
              <w:autoSpaceDN w:val="0"/>
              <w:adjustRightInd w:val="0"/>
              <w:rPr>
                <w:rFonts w:ascii="Cambria" w:hAnsi="Cambria" w:cs="Calibri"/>
                <w:lang w:val="hr-HR"/>
              </w:rPr>
            </w:pPr>
            <w:r w:rsidRPr="0057401D">
              <w:rPr>
                <w:rFonts w:ascii="Cambria" w:hAnsi="Cambria" w:cs="Calibri"/>
                <w:lang w:val="hr-HR"/>
              </w:rPr>
              <w:t xml:space="preserve">Filozofija odgoja, Sociologija odgoja i obrazovanja, Socijalna pedagogija, Odgoj i obrazovanje za ljudska prava </w:t>
            </w:r>
          </w:p>
        </w:tc>
      </w:tr>
      <w:tr w:rsidR="00450B7A" w:rsidRPr="00D0399C" w14:paraId="40197B5A" w14:textId="77777777" w:rsidTr="00450B7A">
        <w:trPr>
          <w:trHeight w:val="844"/>
        </w:trPr>
        <w:tc>
          <w:tcPr>
            <w:tcW w:w="20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BD046FD" w14:textId="77777777" w:rsidR="00450B7A" w:rsidRPr="00A62FBD" w:rsidRDefault="00450B7A" w:rsidP="0057401D">
            <w:pPr>
              <w:pStyle w:val="Bezproreda"/>
              <w:rPr>
                <w:rFonts w:ascii="Cambria" w:hAnsi="Cambria" w:cs="Calibri"/>
              </w:rPr>
            </w:pPr>
            <w:r w:rsidRPr="00A62FBD">
              <w:rPr>
                <w:rFonts w:ascii="Cambria" w:hAnsi="Cambria" w:cs="Calibri"/>
              </w:rPr>
              <w:t xml:space="preserve">Cilj kolegija </w:t>
            </w:r>
          </w:p>
        </w:tc>
        <w:tc>
          <w:tcPr>
            <w:tcW w:w="6979"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0405C16" w14:textId="374F004A" w:rsidR="00450B7A" w:rsidRPr="0057401D" w:rsidRDefault="00450B7A" w:rsidP="0057401D">
            <w:pPr>
              <w:autoSpaceDE w:val="0"/>
              <w:autoSpaceDN w:val="0"/>
              <w:adjustRightInd w:val="0"/>
              <w:rPr>
                <w:rFonts w:ascii="Cambria" w:hAnsi="Cambria" w:cs="Calibri"/>
                <w:lang w:val="hr-HR"/>
              </w:rPr>
            </w:pPr>
            <w:r>
              <w:rPr>
                <w:rFonts w:ascii="Cambria" w:hAnsi="Cambria" w:cs="Calibri"/>
                <w:lang w:val="hr-HR"/>
              </w:rPr>
              <w:t>o</w:t>
            </w:r>
            <w:r w:rsidRPr="0057401D">
              <w:rPr>
                <w:rFonts w:ascii="Cambria" w:hAnsi="Cambria" w:cs="Calibri"/>
                <w:lang w:val="hr-HR"/>
              </w:rPr>
              <w:t>blikovati autonomnu etičku refleksiju o problematici odgojno-obrazovnog djelovanja, kao i odgovornu moralnu svijest i brigu za struku</w:t>
            </w:r>
          </w:p>
        </w:tc>
      </w:tr>
      <w:tr w:rsidR="00450B7A" w:rsidRPr="00D0399C" w14:paraId="70C8AE8E" w14:textId="77777777" w:rsidTr="00450B7A">
        <w:tc>
          <w:tcPr>
            <w:tcW w:w="20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C9E10DA" w14:textId="77777777" w:rsidR="00450B7A" w:rsidRPr="00A62FBD" w:rsidRDefault="00450B7A" w:rsidP="0057401D">
            <w:pPr>
              <w:pStyle w:val="Bezproreda"/>
              <w:rPr>
                <w:rFonts w:ascii="Cambria" w:hAnsi="Cambria" w:cs="Calibri"/>
              </w:rPr>
            </w:pPr>
            <w:r w:rsidRPr="00A62FBD">
              <w:rPr>
                <w:rFonts w:ascii="Cambria" w:hAnsi="Cambria" w:cs="Calibri"/>
              </w:rPr>
              <w:t>Ishodi učenja</w:t>
            </w:r>
          </w:p>
        </w:tc>
        <w:tc>
          <w:tcPr>
            <w:tcW w:w="6979"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6F9454D" w14:textId="3C94E596" w:rsidR="00450B7A" w:rsidRPr="0073720D" w:rsidRDefault="00450B7A" w:rsidP="004F2942">
            <w:pPr>
              <w:pStyle w:val="Bezproreda"/>
              <w:rPr>
                <w:rFonts w:ascii="Cambria" w:hAnsi="Cambria" w:cs="Calibri"/>
              </w:rPr>
            </w:pPr>
            <w:r>
              <w:rPr>
                <w:rFonts w:ascii="Cambria" w:hAnsi="Cambria" w:cs="Calibri"/>
                <w:lang w:val="pl-PL"/>
              </w:rPr>
              <w:t xml:space="preserve">1. </w:t>
            </w:r>
            <w:r w:rsidRPr="0073720D">
              <w:rPr>
                <w:rFonts w:ascii="Cambria" w:hAnsi="Cambria" w:cs="Calibri"/>
                <w:lang w:val="pl-PL"/>
              </w:rPr>
              <w:t>samostalno interpretirati d</w:t>
            </w:r>
            <w:proofErr w:type="spellStart"/>
            <w:r w:rsidRPr="0073720D">
              <w:rPr>
                <w:rFonts w:ascii="Cambria" w:hAnsi="Cambria" w:cs="Calibri"/>
              </w:rPr>
              <w:t>eontološki</w:t>
            </w:r>
            <w:proofErr w:type="spellEnd"/>
            <w:r w:rsidRPr="0073720D">
              <w:rPr>
                <w:rFonts w:ascii="Cambria" w:hAnsi="Cambria" w:cs="Calibri"/>
              </w:rPr>
              <w:t xml:space="preserve"> kodeks učiteljskog poziva</w:t>
            </w:r>
          </w:p>
          <w:p w14:paraId="63E46719" w14:textId="21066F59" w:rsidR="00450B7A" w:rsidRPr="0073720D" w:rsidRDefault="00450B7A" w:rsidP="004F2942">
            <w:pPr>
              <w:pStyle w:val="Bezproreda"/>
              <w:autoSpaceDE w:val="0"/>
              <w:autoSpaceDN w:val="0"/>
              <w:adjustRightInd w:val="0"/>
              <w:rPr>
                <w:rFonts w:ascii="Cambria" w:hAnsi="Cambria" w:cs="Calibri"/>
              </w:rPr>
            </w:pPr>
            <w:r>
              <w:rPr>
                <w:rFonts w:ascii="Cambria" w:hAnsi="Cambria" w:cs="Calibri"/>
              </w:rPr>
              <w:t xml:space="preserve">2. </w:t>
            </w:r>
            <w:r w:rsidRPr="0073720D">
              <w:rPr>
                <w:rFonts w:ascii="Cambria" w:hAnsi="Cambria" w:cs="Calibri"/>
              </w:rPr>
              <w:t xml:space="preserve">objasniti </w:t>
            </w:r>
            <w:r w:rsidRPr="0073720D">
              <w:rPr>
                <w:rFonts w:ascii="Cambria" w:hAnsi="Cambria" w:cs="Calibri"/>
                <w:lang w:val="pl-PL"/>
              </w:rPr>
              <w:t xml:space="preserve">osobine etičkog pristupa znanju i profesiji u cilju razvijanja etičkog promišljanja </w:t>
            </w:r>
            <w:r w:rsidRPr="0073720D">
              <w:rPr>
                <w:rFonts w:ascii="Cambria" w:hAnsi="Cambria" w:cs="Calibri"/>
              </w:rPr>
              <w:t>kao važnog čimbenika odgojnog djelovanja</w:t>
            </w:r>
          </w:p>
          <w:p w14:paraId="4C5418E7" w14:textId="22A999A1" w:rsidR="00450B7A" w:rsidRPr="0073720D" w:rsidRDefault="00450B7A" w:rsidP="004F2942">
            <w:pPr>
              <w:pStyle w:val="Bezproreda"/>
              <w:autoSpaceDE w:val="0"/>
              <w:autoSpaceDN w:val="0"/>
              <w:adjustRightInd w:val="0"/>
              <w:rPr>
                <w:rFonts w:ascii="Cambria" w:hAnsi="Cambria" w:cs="Calibri"/>
              </w:rPr>
            </w:pPr>
            <w:r>
              <w:rPr>
                <w:rFonts w:ascii="Cambria" w:hAnsi="Cambria" w:cs="Calibri"/>
              </w:rPr>
              <w:t xml:space="preserve">3. </w:t>
            </w:r>
            <w:r w:rsidRPr="0073720D">
              <w:rPr>
                <w:rFonts w:ascii="Cambria" w:hAnsi="Cambria" w:cs="Calibri"/>
              </w:rPr>
              <w:t>usporediti temeljne pojmove etike i etičke teorije u kontekstu učiteljstva i njegove uloge u društvu</w:t>
            </w:r>
          </w:p>
          <w:p w14:paraId="514C2232" w14:textId="5FEDFC20" w:rsidR="00450B7A" w:rsidRPr="00A62FBD" w:rsidRDefault="00450B7A" w:rsidP="004F2942">
            <w:pPr>
              <w:pStyle w:val="Bezproreda"/>
              <w:autoSpaceDE w:val="0"/>
              <w:autoSpaceDN w:val="0"/>
              <w:adjustRightInd w:val="0"/>
              <w:rPr>
                <w:rFonts w:ascii="Cambria" w:hAnsi="Cambria" w:cs="Calibri"/>
              </w:rPr>
            </w:pPr>
            <w:r>
              <w:rPr>
                <w:rFonts w:ascii="Cambria" w:hAnsi="Cambria" w:cs="Calibri"/>
              </w:rPr>
              <w:t xml:space="preserve">4. </w:t>
            </w:r>
            <w:r w:rsidRPr="00B3348B">
              <w:rPr>
                <w:rFonts w:ascii="Cambria" w:hAnsi="Cambria" w:cs="Calibri"/>
              </w:rPr>
              <w:t>vrednovati etička načela i dužnosti učiteljskog poziva, kao i njihovu primjenjivost u pedagoškoj praksi i nastavnoj didaktici</w:t>
            </w:r>
          </w:p>
        </w:tc>
      </w:tr>
      <w:tr w:rsidR="00450B7A" w:rsidRPr="00D0399C" w14:paraId="5B1F4E06" w14:textId="77777777" w:rsidTr="00450B7A">
        <w:tc>
          <w:tcPr>
            <w:tcW w:w="2029"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5DDD67FC" w14:textId="77777777" w:rsidR="00450B7A" w:rsidRPr="00A62FBD" w:rsidRDefault="00450B7A" w:rsidP="0057401D">
            <w:pPr>
              <w:pStyle w:val="Bezproreda"/>
              <w:rPr>
                <w:rFonts w:ascii="Cambria" w:hAnsi="Cambria" w:cs="Calibri"/>
              </w:rPr>
            </w:pPr>
            <w:r w:rsidRPr="00A62FBD">
              <w:rPr>
                <w:rFonts w:ascii="Cambria" w:hAnsi="Cambria" w:cs="Calibri"/>
              </w:rPr>
              <w:t>Sadržaj kolegija</w:t>
            </w:r>
          </w:p>
        </w:tc>
        <w:tc>
          <w:tcPr>
            <w:tcW w:w="6979"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CB987D8" w14:textId="77777777" w:rsidR="00450B7A" w:rsidRPr="004F2942" w:rsidRDefault="00450B7A" w:rsidP="004F2942">
            <w:pPr>
              <w:autoSpaceDE w:val="0"/>
              <w:autoSpaceDN w:val="0"/>
              <w:adjustRightInd w:val="0"/>
              <w:spacing w:after="0" w:line="240" w:lineRule="auto"/>
              <w:rPr>
                <w:rFonts w:ascii="Cambria" w:hAnsi="Cambria" w:cs="Calibri"/>
                <w:lang w:val="it-IT"/>
              </w:rPr>
            </w:pPr>
            <w:r w:rsidRPr="004F2942">
              <w:rPr>
                <w:rFonts w:ascii="Cambria" w:hAnsi="Cambria" w:cs="Calibri"/>
                <w:lang w:val="it-IT"/>
              </w:rPr>
              <w:t xml:space="preserve">1. Moral i </w:t>
            </w:r>
            <w:proofErr w:type="spellStart"/>
            <w:r w:rsidRPr="004F2942">
              <w:rPr>
                <w:rFonts w:ascii="Cambria" w:hAnsi="Cambria" w:cs="Calibri"/>
                <w:lang w:val="it-IT"/>
              </w:rPr>
              <w:t>etika</w:t>
            </w:r>
            <w:proofErr w:type="spellEnd"/>
          </w:p>
          <w:p w14:paraId="6C652207" w14:textId="77777777" w:rsidR="00450B7A" w:rsidRDefault="00450B7A" w:rsidP="004F2942">
            <w:pPr>
              <w:autoSpaceDE w:val="0"/>
              <w:autoSpaceDN w:val="0"/>
              <w:adjustRightInd w:val="0"/>
              <w:spacing w:after="0" w:line="240" w:lineRule="auto"/>
              <w:rPr>
                <w:rFonts w:ascii="Cambria" w:hAnsi="Cambria" w:cs="Calibri"/>
                <w:lang w:val="it-IT"/>
              </w:rPr>
            </w:pPr>
            <w:r w:rsidRPr="004F2942">
              <w:rPr>
                <w:rFonts w:ascii="Cambria" w:hAnsi="Cambria"/>
                <w:lang w:val="it-IT"/>
              </w:rPr>
              <w:t xml:space="preserve">2. </w:t>
            </w:r>
            <w:proofErr w:type="spellStart"/>
            <w:r w:rsidRPr="004F2942">
              <w:rPr>
                <w:rFonts w:ascii="Cambria" w:hAnsi="Cambria"/>
                <w:lang w:val="it-IT"/>
              </w:rPr>
              <w:t>Podrijetlo</w:t>
            </w:r>
            <w:proofErr w:type="spellEnd"/>
            <w:r w:rsidRPr="004F2942">
              <w:rPr>
                <w:rFonts w:ascii="Cambria" w:hAnsi="Cambria"/>
                <w:lang w:val="it-IT"/>
              </w:rPr>
              <w:t xml:space="preserve"> morala i </w:t>
            </w:r>
            <w:proofErr w:type="spellStart"/>
            <w:r w:rsidRPr="004F2942">
              <w:rPr>
                <w:rFonts w:ascii="Cambria" w:hAnsi="Cambria"/>
                <w:lang w:val="it-IT"/>
              </w:rPr>
              <w:t>moralni</w:t>
            </w:r>
            <w:proofErr w:type="spellEnd"/>
            <w:r w:rsidRPr="004F2942">
              <w:rPr>
                <w:rFonts w:ascii="Cambria" w:hAnsi="Cambria"/>
                <w:lang w:val="it-IT"/>
              </w:rPr>
              <w:t xml:space="preserve"> </w:t>
            </w:r>
            <w:proofErr w:type="spellStart"/>
            <w:r w:rsidRPr="004F2942">
              <w:rPr>
                <w:rFonts w:ascii="Cambria" w:hAnsi="Cambria"/>
                <w:lang w:val="it-IT"/>
              </w:rPr>
              <w:t>razvoj</w:t>
            </w:r>
            <w:proofErr w:type="spellEnd"/>
            <w:r w:rsidRPr="004F2942">
              <w:rPr>
                <w:rFonts w:ascii="Cambria" w:hAnsi="Cambria"/>
                <w:lang w:val="it-IT"/>
              </w:rPr>
              <w:t xml:space="preserve"> </w:t>
            </w:r>
            <w:proofErr w:type="spellStart"/>
            <w:r w:rsidRPr="004F2942">
              <w:rPr>
                <w:rFonts w:ascii="Cambria" w:hAnsi="Cambria"/>
                <w:lang w:val="it-IT"/>
              </w:rPr>
              <w:t>čovjeka</w:t>
            </w:r>
            <w:proofErr w:type="spellEnd"/>
            <w:r w:rsidRPr="004F2942">
              <w:rPr>
                <w:rFonts w:ascii="Cambria" w:hAnsi="Cambria" w:cs="Calibri"/>
                <w:lang w:val="it-IT"/>
              </w:rPr>
              <w:t xml:space="preserve"> </w:t>
            </w:r>
          </w:p>
          <w:p w14:paraId="0821859E" w14:textId="77777777" w:rsidR="00450B7A" w:rsidRPr="004F2942" w:rsidRDefault="00450B7A" w:rsidP="004F2942">
            <w:pPr>
              <w:autoSpaceDE w:val="0"/>
              <w:autoSpaceDN w:val="0"/>
              <w:adjustRightInd w:val="0"/>
              <w:spacing w:after="0" w:line="240" w:lineRule="auto"/>
              <w:rPr>
                <w:rFonts w:ascii="Cambria" w:hAnsi="Cambria" w:cs="Calibri"/>
                <w:lang w:val="it-IT"/>
              </w:rPr>
            </w:pPr>
            <w:r>
              <w:rPr>
                <w:rFonts w:ascii="Cambria" w:hAnsi="Cambria" w:cs="Calibri"/>
                <w:lang w:val="it-IT"/>
              </w:rPr>
              <w:t xml:space="preserve">3. </w:t>
            </w:r>
            <w:proofErr w:type="spellStart"/>
            <w:r w:rsidRPr="004F2942">
              <w:rPr>
                <w:rFonts w:ascii="Cambria" w:hAnsi="Cambria" w:cs="Calibri"/>
                <w:lang w:val="it-IT"/>
              </w:rPr>
              <w:t>Etika</w:t>
            </w:r>
            <w:proofErr w:type="spellEnd"/>
            <w:r w:rsidRPr="004F2942">
              <w:rPr>
                <w:rFonts w:ascii="Cambria" w:hAnsi="Cambria" w:cs="Calibri"/>
                <w:lang w:val="it-IT"/>
              </w:rPr>
              <w:t xml:space="preserve"> </w:t>
            </w:r>
            <w:proofErr w:type="spellStart"/>
            <w:r w:rsidRPr="004F2942">
              <w:rPr>
                <w:rFonts w:ascii="Cambria" w:hAnsi="Cambria" w:cs="Calibri"/>
                <w:lang w:val="it-IT"/>
              </w:rPr>
              <w:t>vrlina</w:t>
            </w:r>
            <w:proofErr w:type="spellEnd"/>
          </w:p>
          <w:p w14:paraId="2F7161F6" w14:textId="77777777" w:rsidR="00450B7A" w:rsidRDefault="00450B7A" w:rsidP="004F2942">
            <w:pPr>
              <w:autoSpaceDE w:val="0"/>
              <w:autoSpaceDN w:val="0"/>
              <w:adjustRightInd w:val="0"/>
              <w:spacing w:after="0" w:line="240" w:lineRule="auto"/>
              <w:rPr>
                <w:rFonts w:ascii="Cambria" w:hAnsi="Cambria" w:cs="Calibri"/>
                <w:lang w:val="it-IT"/>
              </w:rPr>
            </w:pPr>
            <w:r w:rsidRPr="004F2942">
              <w:rPr>
                <w:rFonts w:ascii="Cambria" w:hAnsi="Cambria" w:cs="Calibri"/>
                <w:lang w:val="it-IT"/>
              </w:rPr>
              <w:t xml:space="preserve">4. </w:t>
            </w:r>
            <w:proofErr w:type="spellStart"/>
            <w:r w:rsidRPr="004F2942">
              <w:rPr>
                <w:rFonts w:ascii="Cambria" w:hAnsi="Cambria" w:cs="Calibri"/>
                <w:lang w:val="it-IT"/>
              </w:rPr>
              <w:t>Utilitarizam</w:t>
            </w:r>
            <w:proofErr w:type="spellEnd"/>
          </w:p>
          <w:p w14:paraId="2E4A4214" w14:textId="77777777" w:rsidR="00450B7A" w:rsidRDefault="00450B7A" w:rsidP="004F2942">
            <w:pPr>
              <w:autoSpaceDE w:val="0"/>
              <w:autoSpaceDN w:val="0"/>
              <w:adjustRightInd w:val="0"/>
              <w:spacing w:after="0" w:line="240" w:lineRule="auto"/>
              <w:rPr>
                <w:rFonts w:ascii="Cambria" w:hAnsi="Cambria" w:cs="Calibri"/>
                <w:lang w:val="it-IT"/>
              </w:rPr>
            </w:pPr>
            <w:r>
              <w:rPr>
                <w:rFonts w:ascii="Cambria" w:hAnsi="Cambria" w:cs="Calibri"/>
                <w:lang w:val="it-IT"/>
              </w:rPr>
              <w:t xml:space="preserve">5. </w:t>
            </w:r>
            <w:proofErr w:type="spellStart"/>
            <w:r w:rsidRPr="004F2942">
              <w:rPr>
                <w:rFonts w:ascii="Cambria" w:hAnsi="Cambria" w:cs="Calibri"/>
                <w:lang w:val="it-IT"/>
              </w:rPr>
              <w:t>Deontološka</w:t>
            </w:r>
            <w:proofErr w:type="spellEnd"/>
            <w:r w:rsidRPr="004F2942">
              <w:rPr>
                <w:rFonts w:ascii="Cambria" w:hAnsi="Cambria" w:cs="Calibri"/>
                <w:lang w:val="it-IT"/>
              </w:rPr>
              <w:t xml:space="preserve"> </w:t>
            </w:r>
            <w:proofErr w:type="spellStart"/>
            <w:r w:rsidRPr="004F2942">
              <w:rPr>
                <w:rFonts w:ascii="Cambria" w:hAnsi="Cambria" w:cs="Calibri"/>
                <w:lang w:val="it-IT"/>
              </w:rPr>
              <w:t>etika</w:t>
            </w:r>
            <w:proofErr w:type="spellEnd"/>
            <w:r w:rsidRPr="004F2942">
              <w:rPr>
                <w:rFonts w:ascii="Cambria" w:hAnsi="Cambria" w:cs="Calibri"/>
                <w:lang w:val="it-IT"/>
              </w:rPr>
              <w:t xml:space="preserve">. </w:t>
            </w:r>
            <w:proofErr w:type="spellStart"/>
            <w:r w:rsidRPr="004F2942">
              <w:rPr>
                <w:rFonts w:ascii="Cambria" w:hAnsi="Cambria" w:cs="Calibri"/>
                <w:lang w:val="it-IT"/>
              </w:rPr>
              <w:t>Etika</w:t>
            </w:r>
            <w:proofErr w:type="spellEnd"/>
            <w:r w:rsidRPr="004F2942">
              <w:rPr>
                <w:rFonts w:ascii="Cambria" w:hAnsi="Cambria" w:cs="Calibri"/>
                <w:lang w:val="it-IT"/>
              </w:rPr>
              <w:t xml:space="preserve"> </w:t>
            </w:r>
            <w:proofErr w:type="spellStart"/>
            <w:r w:rsidRPr="004F2942">
              <w:rPr>
                <w:rFonts w:ascii="Cambria" w:hAnsi="Cambria" w:cs="Calibri"/>
                <w:lang w:val="it-IT"/>
              </w:rPr>
              <w:t>skrbi</w:t>
            </w:r>
            <w:proofErr w:type="spellEnd"/>
          </w:p>
          <w:p w14:paraId="7187E983" w14:textId="77777777" w:rsidR="00450B7A" w:rsidRDefault="00450B7A" w:rsidP="004F2942">
            <w:pPr>
              <w:autoSpaceDE w:val="0"/>
              <w:autoSpaceDN w:val="0"/>
              <w:adjustRightInd w:val="0"/>
              <w:spacing w:after="0" w:line="240" w:lineRule="auto"/>
              <w:rPr>
                <w:rFonts w:ascii="Cambria" w:hAnsi="Cambria" w:cs="Calibri"/>
                <w:lang w:val="it-IT"/>
              </w:rPr>
            </w:pPr>
            <w:r w:rsidRPr="004F2942">
              <w:rPr>
                <w:rFonts w:ascii="Cambria" w:hAnsi="Cambria" w:cs="Calibri"/>
                <w:lang w:val="it-IT"/>
              </w:rPr>
              <w:t xml:space="preserve">6. </w:t>
            </w:r>
            <w:proofErr w:type="spellStart"/>
            <w:r w:rsidRPr="004F2942">
              <w:rPr>
                <w:rFonts w:ascii="Cambria" w:hAnsi="Cambria" w:cs="Calibri"/>
                <w:lang w:val="it-IT"/>
              </w:rPr>
              <w:t>Etička</w:t>
            </w:r>
            <w:proofErr w:type="spellEnd"/>
            <w:r w:rsidRPr="004F2942">
              <w:rPr>
                <w:rFonts w:ascii="Cambria" w:hAnsi="Cambria" w:cs="Calibri"/>
                <w:lang w:val="it-IT"/>
              </w:rPr>
              <w:t xml:space="preserve"> </w:t>
            </w:r>
            <w:proofErr w:type="spellStart"/>
            <w:r w:rsidRPr="004F2942">
              <w:rPr>
                <w:rFonts w:ascii="Cambria" w:hAnsi="Cambria" w:cs="Calibri"/>
                <w:lang w:val="it-IT"/>
              </w:rPr>
              <w:t>kreativnost</w:t>
            </w:r>
            <w:proofErr w:type="spellEnd"/>
            <w:r w:rsidRPr="004F2942">
              <w:rPr>
                <w:rFonts w:ascii="Cambria" w:hAnsi="Cambria" w:cs="Calibri"/>
                <w:lang w:val="it-IT"/>
              </w:rPr>
              <w:t xml:space="preserve"> i </w:t>
            </w:r>
            <w:proofErr w:type="spellStart"/>
            <w:r w:rsidRPr="004F2942">
              <w:rPr>
                <w:rFonts w:ascii="Cambria" w:hAnsi="Cambria" w:cs="Calibri"/>
                <w:lang w:val="it-IT"/>
              </w:rPr>
              <w:t>autonomija</w:t>
            </w:r>
            <w:proofErr w:type="spellEnd"/>
            <w:r w:rsidRPr="004F2942">
              <w:rPr>
                <w:rFonts w:ascii="Cambria" w:hAnsi="Cambria" w:cs="Calibri"/>
                <w:lang w:val="it-IT"/>
              </w:rPr>
              <w:t xml:space="preserve"> </w:t>
            </w:r>
            <w:proofErr w:type="spellStart"/>
            <w:r w:rsidRPr="004F2942">
              <w:rPr>
                <w:rFonts w:ascii="Cambria" w:hAnsi="Cambria" w:cs="Calibri"/>
                <w:lang w:val="it-IT"/>
              </w:rPr>
              <w:t>učiteljskog</w:t>
            </w:r>
            <w:proofErr w:type="spellEnd"/>
            <w:r w:rsidRPr="004F2942">
              <w:rPr>
                <w:rFonts w:ascii="Cambria" w:hAnsi="Cambria" w:cs="Calibri"/>
                <w:lang w:val="it-IT"/>
              </w:rPr>
              <w:t xml:space="preserve"> </w:t>
            </w:r>
            <w:proofErr w:type="spellStart"/>
            <w:r w:rsidRPr="004F2942">
              <w:rPr>
                <w:rFonts w:ascii="Cambria" w:hAnsi="Cambria" w:cs="Calibri"/>
                <w:lang w:val="it-IT"/>
              </w:rPr>
              <w:t>poziva</w:t>
            </w:r>
            <w:proofErr w:type="spellEnd"/>
          </w:p>
          <w:p w14:paraId="1E511D36" w14:textId="77777777" w:rsidR="00450B7A" w:rsidRDefault="00450B7A" w:rsidP="004F2942">
            <w:pPr>
              <w:autoSpaceDE w:val="0"/>
              <w:autoSpaceDN w:val="0"/>
              <w:adjustRightInd w:val="0"/>
              <w:spacing w:after="0" w:line="240" w:lineRule="auto"/>
              <w:rPr>
                <w:rFonts w:ascii="Cambria" w:hAnsi="Cambria" w:cs="Calibri"/>
                <w:lang w:val="it-IT"/>
              </w:rPr>
            </w:pPr>
            <w:r>
              <w:rPr>
                <w:rFonts w:ascii="Cambria" w:hAnsi="Cambria" w:cs="Calibri"/>
                <w:lang w:val="it-IT"/>
              </w:rPr>
              <w:t xml:space="preserve">7. </w:t>
            </w:r>
            <w:proofErr w:type="spellStart"/>
            <w:r w:rsidRPr="004F2942">
              <w:rPr>
                <w:rFonts w:ascii="Cambria" w:hAnsi="Cambria" w:cs="Calibri"/>
                <w:lang w:val="it-IT"/>
              </w:rPr>
              <w:t>Deontologija</w:t>
            </w:r>
            <w:proofErr w:type="spellEnd"/>
            <w:r w:rsidRPr="004F2942">
              <w:rPr>
                <w:rFonts w:ascii="Cambria" w:hAnsi="Cambria" w:cs="Calibri"/>
                <w:lang w:val="it-IT"/>
              </w:rPr>
              <w:t xml:space="preserve"> </w:t>
            </w:r>
            <w:proofErr w:type="spellStart"/>
            <w:r w:rsidRPr="004F2942">
              <w:rPr>
                <w:rFonts w:ascii="Cambria" w:hAnsi="Cambria" w:cs="Calibri"/>
                <w:lang w:val="it-IT"/>
              </w:rPr>
              <w:t>profesije</w:t>
            </w:r>
            <w:proofErr w:type="spellEnd"/>
            <w:r w:rsidRPr="004F2942">
              <w:rPr>
                <w:rFonts w:ascii="Cambria" w:hAnsi="Cambria" w:cs="Calibri"/>
                <w:lang w:val="it-IT"/>
              </w:rPr>
              <w:t xml:space="preserve"> i </w:t>
            </w:r>
            <w:proofErr w:type="spellStart"/>
            <w:r w:rsidRPr="004F2942">
              <w:rPr>
                <w:rFonts w:ascii="Cambria" w:hAnsi="Cambria" w:cs="Calibri"/>
                <w:lang w:val="it-IT"/>
              </w:rPr>
              <w:t>učiteljski</w:t>
            </w:r>
            <w:proofErr w:type="spellEnd"/>
            <w:r w:rsidRPr="004F2942">
              <w:rPr>
                <w:rFonts w:ascii="Cambria" w:hAnsi="Cambria" w:cs="Calibri"/>
                <w:lang w:val="it-IT"/>
              </w:rPr>
              <w:t xml:space="preserve"> </w:t>
            </w:r>
            <w:proofErr w:type="spellStart"/>
            <w:r w:rsidRPr="004F2942">
              <w:rPr>
                <w:rFonts w:ascii="Cambria" w:hAnsi="Cambria" w:cs="Calibri"/>
                <w:lang w:val="it-IT"/>
              </w:rPr>
              <w:t>etički</w:t>
            </w:r>
            <w:proofErr w:type="spellEnd"/>
            <w:r w:rsidRPr="004F2942">
              <w:rPr>
                <w:rFonts w:ascii="Cambria" w:hAnsi="Cambria" w:cs="Calibri"/>
                <w:lang w:val="it-IT"/>
              </w:rPr>
              <w:t xml:space="preserve"> </w:t>
            </w:r>
            <w:proofErr w:type="spellStart"/>
            <w:r w:rsidRPr="004F2942">
              <w:rPr>
                <w:rFonts w:ascii="Cambria" w:hAnsi="Cambria" w:cs="Calibri"/>
                <w:lang w:val="it-IT"/>
              </w:rPr>
              <w:t>kodeks</w:t>
            </w:r>
            <w:proofErr w:type="spellEnd"/>
          </w:p>
          <w:p w14:paraId="0F0FF4B5" w14:textId="77777777" w:rsidR="00450B7A" w:rsidRDefault="00450B7A" w:rsidP="004F2942">
            <w:pPr>
              <w:autoSpaceDE w:val="0"/>
              <w:autoSpaceDN w:val="0"/>
              <w:adjustRightInd w:val="0"/>
              <w:spacing w:after="0" w:line="240" w:lineRule="auto"/>
              <w:rPr>
                <w:rFonts w:ascii="Cambria" w:hAnsi="Cambria"/>
                <w:lang w:val="it-IT"/>
              </w:rPr>
            </w:pPr>
            <w:r>
              <w:rPr>
                <w:rFonts w:ascii="Cambria" w:hAnsi="Cambria"/>
                <w:lang w:val="it-IT"/>
              </w:rPr>
              <w:t xml:space="preserve">8. </w:t>
            </w:r>
            <w:proofErr w:type="spellStart"/>
            <w:r w:rsidRPr="004F2942">
              <w:rPr>
                <w:rFonts w:ascii="Cambria" w:hAnsi="Cambria"/>
                <w:lang w:val="it-IT"/>
              </w:rPr>
              <w:t>Modeli</w:t>
            </w:r>
            <w:proofErr w:type="spellEnd"/>
            <w:r w:rsidRPr="004F2942">
              <w:rPr>
                <w:rFonts w:ascii="Cambria" w:hAnsi="Cambria"/>
                <w:lang w:val="it-IT"/>
              </w:rPr>
              <w:t xml:space="preserve"> </w:t>
            </w:r>
            <w:proofErr w:type="spellStart"/>
            <w:r w:rsidRPr="004F2942">
              <w:rPr>
                <w:rFonts w:ascii="Cambria" w:hAnsi="Cambria"/>
                <w:lang w:val="it-IT"/>
              </w:rPr>
              <w:t>etičkog</w:t>
            </w:r>
            <w:proofErr w:type="spellEnd"/>
            <w:r w:rsidRPr="004F2942">
              <w:rPr>
                <w:rFonts w:ascii="Cambria" w:hAnsi="Cambria"/>
                <w:lang w:val="it-IT"/>
              </w:rPr>
              <w:t xml:space="preserve"> </w:t>
            </w:r>
            <w:proofErr w:type="spellStart"/>
            <w:r w:rsidRPr="004F2942">
              <w:rPr>
                <w:rFonts w:ascii="Cambria" w:hAnsi="Cambria"/>
                <w:lang w:val="it-IT"/>
              </w:rPr>
              <w:t>odlučivanja</w:t>
            </w:r>
            <w:proofErr w:type="spellEnd"/>
            <w:r w:rsidRPr="004F2942">
              <w:rPr>
                <w:rFonts w:ascii="Cambria" w:hAnsi="Cambria"/>
                <w:lang w:val="it-IT"/>
              </w:rPr>
              <w:t xml:space="preserve"> i </w:t>
            </w:r>
            <w:proofErr w:type="spellStart"/>
            <w:r w:rsidRPr="004F2942">
              <w:rPr>
                <w:rFonts w:ascii="Cambria" w:hAnsi="Cambria"/>
                <w:lang w:val="it-IT"/>
              </w:rPr>
              <w:t>njihova</w:t>
            </w:r>
            <w:proofErr w:type="spellEnd"/>
            <w:r w:rsidRPr="004F2942">
              <w:rPr>
                <w:rFonts w:ascii="Cambria" w:hAnsi="Cambria"/>
                <w:lang w:val="it-IT"/>
              </w:rPr>
              <w:t xml:space="preserve"> </w:t>
            </w:r>
            <w:proofErr w:type="spellStart"/>
            <w:r w:rsidRPr="004F2942">
              <w:rPr>
                <w:rFonts w:ascii="Cambria" w:hAnsi="Cambria"/>
                <w:lang w:val="it-IT"/>
              </w:rPr>
              <w:t>primjena</w:t>
            </w:r>
            <w:proofErr w:type="spellEnd"/>
            <w:r w:rsidRPr="004F2942">
              <w:rPr>
                <w:rFonts w:ascii="Cambria" w:hAnsi="Cambria"/>
                <w:lang w:val="it-IT"/>
              </w:rPr>
              <w:t xml:space="preserve"> u </w:t>
            </w:r>
            <w:proofErr w:type="spellStart"/>
            <w:r w:rsidRPr="004F2942">
              <w:rPr>
                <w:rFonts w:ascii="Cambria" w:hAnsi="Cambria"/>
                <w:lang w:val="it-IT"/>
              </w:rPr>
              <w:t>rješavanju</w:t>
            </w:r>
            <w:proofErr w:type="spellEnd"/>
            <w:r w:rsidRPr="004F2942">
              <w:rPr>
                <w:rFonts w:ascii="Cambria" w:hAnsi="Cambria"/>
                <w:lang w:val="it-IT"/>
              </w:rPr>
              <w:t xml:space="preserve"> </w:t>
            </w:r>
            <w:proofErr w:type="spellStart"/>
            <w:r w:rsidRPr="004F2942">
              <w:rPr>
                <w:rFonts w:ascii="Cambria" w:hAnsi="Cambria"/>
                <w:lang w:val="it-IT"/>
              </w:rPr>
              <w:t>tipičnih</w:t>
            </w:r>
            <w:proofErr w:type="spellEnd"/>
            <w:r w:rsidRPr="004F2942">
              <w:rPr>
                <w:rFonts w:ascii="Cambria" w:hAnsi="Cambria"/>
                <w:lang w:val="it-IT"/>
              </w:rPr>
              <w:t xml:space="preserve"> </w:t>
            </w:r>
            <w:proofErr w:type="spellStart"/>
            <w:r w:rsidRPr="004F2942">
              <w:rPr>
                <w:rFonts w:ascii="Cambria" w:hAnsi="Cambria"/>
                <w:lang w:val="it-IT"/>
              </w:rPr>
              <w:t>učiteljskih</w:t>
            </w:r>
            <w:proofErr w:type="spellEnd"/>
            <w:r w:rsidRPr="004F2942">
              <w:rPr>
                <w:rFonts w:ascii="Cambria" w:hAnsi="Cambria"/>
                <w:lang w:val="it-IT"/>
              </w:rPr>
              <w:t xml:space="preserve"> </w:t>
            </w:r>
            <w:proofErr w:type="spellStart"/>
            <w:r w:rsidRPr="004F2942">
              <w:rPr>
                <w:rFonts w:ascii="Cambria" w:hAnsi="Cambria"/>
                <w:lang w:val="it-IT"/>
              </w:rPr>
              <w:t>etičkih</w:t>
            </w:r>
            <w:proofErr w:type="spellEnd"/>
            <w:r w:rsidRPr="004F2942">
              <w:rPr>
                <w:rFonts w:ascii="Cambria" w:hAnsi="Cambria"/>
                <w:lang w:val="it-IT"/>
              </w:rPr>
              <w:t xml:space="preserve"> </w:t>
            </w:r>
            <w:proofErr w:type="spellStart"/>
            <w:r w:rsidRPr="004F2942">
              <w:rPr>
                <w:rFonts w:ascii="Cambria" w:hAnsi="Cambria"/>
                <w:lang w:val="it-IT"/>
              </w:rPr>
              <w:t>dilema</w:t>
            </w:r>
            <w:proofErr w:type="spellEnd"/>
            <w:r w:rsidRPr="004F2942">
              <w:rPr>
                <w:rFonts w:ascii="Cambria" w:hAnsi="Cambria"/>
                <w:lang w:val="it-IT"/>
              </w:rPr>
              <w:t xml:space="preserve">: </w:t>
            </w:r>
            <w:proofErr w:type="spellStart"/>
            <w:r w:rsidRPr="004F2942">
              <w:rPr>
                <w:rFonts w:ascii="Cambria" w:hAnsi="Cambria"/>
                <w:lang w:val="it-IT"/>
              </w:rPr>
              <w:t>odnos</w:t>
            </w:r>
            <w:proofErr w:type="spellEnd"/>
            <w:r w:rsidRPr="004F2942">
              <w:rPr>
                <w:rFonts w:ascii="Cambria" w:hAnsi="Cambria"/>
                <w:lang w:val="it-IT"/>
              </w:rPr>
              <w:t xml:space="preserve"> prema </w:t>
            </w:r>
            <w:proofErr w:type="spellStart"/>
            <w:r w:rsidRPr="004F2942">
              <w:rPr>
                <w:rFonts w:ascii="Cambria" w:hAnsi="Cambria"/>
                <w:lang w:val="it-IT"/>
              </w:rPr>
              <w:t>djeci</w:t>
            </w:r>
            <w:proofErr w:type="spellEnd"/>
            <w:r w:rsidRPr="004F2942">
              <w:rPr>
                <w:rFonts w:ascii="Cambria" w:hAnsi="Cambria"/>
                <w:lang w:val="it-IT"/>
              </w:rPr>
              <w:t xml:space="preserve">, </w:t>
            </w:r>
            <w:proofErr w:type="spellStart"/>
            <w:r w:rsidRPr="004F2942">
              <w:rPr>
                <w:rFonts w:ascii="Cambria" w:hAnsi="Cambria"/>
                <w:lang w:val="it-IT"/>
              </w:rPr>
              <w:t>roditeljima</w:t>
            </w:r>
            <w:proofErr w:type="spellEnd"/>
            <w:r w:rsidRPr="004F2942">
              <w:rPr>
                <w:rFonts w:ascii="Cambria" w:hAnsi="Cambria"/>
                <w:lang w:val="it-IT"/>
              </w:rPr>
              <w:t xml:space="preserve"> i </w:t>
            </w:r>
            <w:proofErr w:type="spellStart"/>
            <w:r w:rsidRPr="004F2942">
              <w:rPr>
                <w:rFonts w:ascii="Cambria" w:hAnsi="Cambria"/>
                <w:lang w:val="it-IT"/>
              </w:rPr>
              <w:t>skrbnicima</w:t>
            </w:r>
            <w:proofErr w:type="spellEnd"/>
            <w:r w:rsidRPr="004F2942">
              <w:rPr>
                <w:rFonts w:ascii="Cambria" w:hAnsi="Cambria"/>
                <w:lang w:val="it-IT"/>
              </w:rPr>
              <w:t xml:space="preserve">, </w:t>
            </w:r>
            <w:proofErr w:type="spellStart"/>
            <w:r w:rsidRPr="004F2942">
              <w:rPr>
                <w:rFonts w:ascii="Cambria" w:hAnsi="Cambria"/>
                <w:lang w:val="it-IT"/>
              </w:rPr>
              <w:t>kolegama</w:t>
            </w:r>
            <w:proofErr w:type="spellEnd"/>
            <w:r w:rsidRPr="004F2942">
              <w:rPr>
                <w:rFonts w:ascii="Cambria" w:hAnsi="Cambria"/>
                <w:lang w:val="it-IT"/>
              </w:rPr>
              <w:t xml:space="preserve"> i </w:t>
            </w:r>
            <w:proofErr w:type="spellStart"/>
            <w:r w:rsidRPr="004F2942">
              <w:rPr>
                <w:rFonts w:ascii="Cambria" w:hAnsi="Cambria"/>
                <w:lang w:val="it-IT"/>
              </w:rPr>
              <w:t>nadređenima</w:t>
            </w:r>
            <w:proofErr w:type="spellEnd"/>
            <w:r w:rsidRPr="004F2942">
              <w:rPr>
                <w:rFonts w:ascii="Cambria" w:hAnsi="Cambria"/>
                <w:lang w:val="it-IT"/>
              </w:rPr>
              <w:t xml:space="preserve">, </w:t>
            </w:r>
            <w:proofErr w:type="spellStart"/>
            <w:r w:rsidRPr="004F2942">
              <w:rPr>
                <w:rFonts w:ascii="Cambria" w:hAnsi="Cambria"/>
                <w:lang w:val="it-IT"/>
              </w:rPr>
              <w:t>društvenoj</w:t>
            </w:r>
            <w:proofErr w:type="spellEnd"/>
            <w:r w:rsidRPr="004F2942">
              <w:rPr>
                <w:rFonts w:ascii="Cambria" w:hAnsi="Cambria"/>
                <w:lang w:val="it-IT"/>
              </w:rPr>
              <w:t xml:space="preserve"> </w:t>
            </w:r>
            <w:proofErr w:type="spellStart"/>
            <w:r w:rsidRPr="004F2942">
              <w:rPr>
                <w:rFonts w:ascii="Cambria" w:hAnsi="Cambria"/>
                <w:lang w:val="it-IT"/>
              </w:rPr>
              <w:t>zajednici</w:t>
            </w:r>
            <w:proofErr w:type="spellEnd"/>
          </w:p>
          <w:p w14:paraId="74EAC8CF" w14:textId="18E3CAAD" w:rsidR="00450B7A" w:rsidRPr="004F2942" w:rsidRDefault="00450B7A" w:rsidP="004F2942">
            <w:pPr>
              <w:autoSpaceDE w:val="0"/>
              <w:autoSpaceDN w:val="0"/>
              <w:adjustRightInd w:val="0"/>
              <w:spacing w:after="0" w:line="240" w:lineRule="auto"/>
              <w:rPr>
                <w:rFonts w:ascii="Cambria" w:hAnsi="Cambria" w:cs="Calibri"/>
                <w:lang w:val="it-IT"/>
              </w:rPr>
            </w:pPr>
            <w:r>
              <w:rPr>
                <w:rFonts w:ascii="Cambria" w:hAnsi="Cambria"/>
                <w:lang w:val="it-IT"/>
              </w:rPr>
              <w:t xml:space="preserve">9. </w:t>
            </w:r>
            <w:proofErr w:type="spellStart"/>
            <w:r w:rsidRPr="004F2942">
              <w:rPr>
                <w:rFonts w:ascii="Cambria" w:hAnsi="Cambria"/>
                <w:lang w:val="it-IT"/>
              </w:rPr>
              <w:t>Etički</w:t>
            </w:r>
            <w:proofErr w:type="spellEnd"/>
            <w:r w:rsidRPr="004F2942">
              <w:rPr>
                <w:rFonts w:ascii="Cambria" w:hAnsi="Cambria"/>
                <w:lang w:val="it-IT"/>
              </w:rPr>
              <w:t xml:space="preserve"> </w:t>
            </w:r>
            <w:proofErr w:type="spellStart"/>
            <w:r w:rsidRPr="004F2942">
              <w:rPr>
                <w:rFonts w:ascii="Cambria" w:hAnsi="Cambria"/>
                <w:lang w:val="it-IT"/>
              </w:rPr>
              <w:t>izazovi</w:t>
            </w:r>
            <w:proofErr w:type="spellEnd"/>
            <w:r w:rsidRPr="004F2942">
              <w:rPr>
                <w:rFonts w:ascii="Cambria" w:hAnsi="Cambria"/>
                <w:lang w:val="it-IT"/>
              </w:rPr>
              <w:t xml:space="preserve"> </w:t>
            </w:r>
            <w:proofErr w:type="spellStart"/>
            <w:r w:rsidRPr="004F2942">
              <w:rPr>
                <w:rFonts w:ascii="Cambria" w:hAnsi="Cambria"/>
                <w:lang w:val="it-IT"/>
              </w:rPr>
              <w:t>učiteljskog</w:t>
            </w:r>
            <w:proofErr w:type="spellEnd"/>
            <w:r w:rsidRPr="004F2942">
              <w:rPr>
                <w:rFonts w:ascii="Cambria" w:hAnsi="Cambria"/>
                <w:lang w:val="it-IT"/>
              </w:rPr>
              <w:t xml:space="preserve"> </w:t>
            </w:r>
            <w:proofErr w:type="spellStart"/>
            <w:r w:rsidRPr="004F2942">
              <w:rPr>
                <w:rFonts w:ascii="Cambria" w:hAnsi="Cambria"/>
                <w:lang w:val="it-IT"/>
              </w:rPr>
              <w:t>poziva</w:t>
            </w:r>
            <w:proofErr w:type="spellEnd"/>
            <w:r w:rsidRPr="004F2942">
              <w:rPr>
                <w:rFonts w:ascii="Cambria" w:hAnsi="Cambria"/>
                <w:lang w:val="it-IT"/>
              </w:rPr>
              <w:t xml:space="preserve"> u 21. </w:t>
            </w:r>
            <w:proofErr w:type="spellStart"/>
            <w:r w:rsidRPr="004F2942">
              <w:rPr>
                <w:rFonts w:ascii="Cambria" w:hAnsi="Cambria"/>
                <w:lang w:val="it-IT"/>
              </w:rPr>
              <w:t>stoljeću</w:t>
            </w:r>
            <w:proofErr w:type="spellEnd"/>
            <w:r w:rsidRPr="004F2942">
              <w:rPr>
                <w:rFonts w:ascii="Cambria" w:hAnsi="Cambria"/>
                <w:lang w:val="it-IT"/>
              </w:rPr>
              <w:t xml:space="preserve">: </w:t>
            </w:r>
            <w:proofErr w:type="spellStart"/>
            <w:r w:rsidRPr="004F2942">
              <w:rPr>
                <w:rFonts w:ascii="Cambria" w:hAnsi="Cambria"/>
                <w:lang w:val="it-IT"/>
              </w:rPr>
              <w:t>tolerancija</w:t>
            </w:r>
            <w:proofErr w:type="spellEnd"/>
            <w:r w:rsidRPr="004F2942">
              <w:rPr>
                <w:rFonts w:ascii="Cambria" w:hAnsi="Cambria"/>
                <w:lang w:val="it-IT"/>
              </w:rPr>
              <w:t xml:space="preserve">, </w:t>
            </w:r>
            <w:proofErr w:type="spellStart"/>
            <w:r w:rsidRPr="004F2942">
              <w:rPr>
                <w:rFonts w:ascii="Cambria" w:hAnsi="Cambria"/>
                <w:lang w:val="it-IT"/>
              </w:rPr>
              <w:t>multikulturalnost</w:t>
            </w:r>
            <w:proofErr w:type="spellEnd"/>
            <w:r w:rsidRPr="004F2942">
              <w:rPr>
                <w:rFonts w:ascii="Cambria" w:hAnsi="Cambria"/>
                <w:lang w:val="it-IT"/>
              </w:rPr>
              <w:t xml:space="preserve">, </w:t>
            </w:r>
            <w:proofErr w:type="spellStart"/>
            <w:r w:rsidRPr="004F2942">
              <w:rPr>
                <w:rFonts w:ascii="Cambria" w:hAnsi="Cambria"/>
                <w:lang w:val="it-IT"/>
              </w:rPr>
              <w:t>umreženo</w:t>
            </w:r>
            <w:proofErr w:type="spellEnd"/>
            <w:r w:rsidRPr="004F2942">
              <w:rPr>
                <w:rFonts w:ascii="Cambria" w:hAnsi="Cambria"/>
                <w:lang w:val="it-IT"/>
              </w:rPr>
              <w:t xml:space="preserve"> </w:t>
            </w:r>
            <w:proofErr w:type="spellStart"/>
            <w:r w:rsidRPr="004F2942">
              <w:rPr>
                <w:rFonts w:ascii="Cambria" w:hAnsi="Cambria"/>
                <w:lang w:val="it-IT"/>
              </w:rPr>
              <w:t>društvo</w:t>
            </w:r>
            <w:proofErr w:type="spellEnd"/>
            <w:r w:rsidRPr="004F2942">
              <w:rPr>
                <w:rFonts w:ascii="Cambria" w:hAnsi="Cambria"/>
                <w:lang w:val="it-IT"/>
              </w:rPr>
              <w:t xml:space="preserve">, </w:t>
            </w:r>
            <w:proofErr w:type="spellStart"/>
            <w:r w:rsidRPr="004F2942">
              <w:rPr>
                <w:rFonts w:ascii="Cambria" w:hAnsi="Cambria"/>
                <w:lang w:val="it-IT"/>
              </w:rPr>
              <w:t>intelektualna</w:t>
            </w:r>
            <w:proofErr w:type="spellEnd"/>
            <w:r w:rsidRPr="004F2942">
              <w:rPr>
                <w:rFonts w:ascii="Cambria" w:hAnsi="Cambria"/>
                <w:lang w:val="it-IT"/>
              </w:rPr>
              <w:t xml:space="preserve"> </w:t>
            </w:r>
            <w:proofErr w:type="spellStart"/>
            <w:r w:rsidRPr="004F2942">
              <w:rPr>
                <w:rFonts w:ascii="Cambria" w:hAnsi="Cambria"/>
                <w:lang w:val="it-IT"/>
              </w:rPr>
              <w:t>sloboda</w:t>
            </w:r>
            <w:proofErr w:type="spellEnd"/>
            <w:r w:rsidRPr="004F2942">
              <w:rPr>
                <w:rFonts w:ascii="Cambria" w:hAnsi="Cambria"/>
                <w:lang w:val="it-IT"/>
              </w:rPr>
              <w:t xml:space="preserve">, </w:t>
            </w:r>
            <w:proofErr w:type="spellStart"/>
            <w:r w:rsidRPr="004F2942">
              <w:rPr>
                <w:rFonts w:ascii="Cambria" w:hAnsi="Cambria"/>
                <w:lang w:val="it-IT"/>
              </w:rPr>
              <w:t>ideološki</w:t>
            </w:r>
            <w:proofErr w:type="spellEnd"/>
            <w:r w:rsidRPr="004F2942">
              <w:rPr>
                <w:rFonts w:ascii="Cambria" w:hAnsi="Cambria"/>
                <w:lang w:val="it-IT"/>
              </w:rPr>
              <w:t xml:space="preserve"> </w:t>
            </w:r>
            <w:proofErr w:type="spellStart"/>
            <w:r w:rsidRPr="004F2942">
              <w:rPr>
                <w:rFonts w:ascii="Cambria" w:hAnsi="Cambria"/>
                <w:lang w:val="it-IT"/>
              </w:rPr>
              <w:t>sukobi</w:t>
            </w:r>
            <w:proofErr w:type="spellEnd"/>
          </w:p>
        </w:tc>
      </w:tr>
      <w:tr w:rsidR="00450B7A" w:rsidRPr="00A62FBD" w14:paraId="3AFF683D" w14:textId="77777777" w:rsidTr="00450B7A">
        <w:tc>
          <w:tcPr>
            <w:tcW w:w="2029"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hideMark/>
          </w:tcPr>
          <w:p w14:paraId="5B01344A" w14:textId="77777777" w:rsidR="00450B7A" w:rsidRPr="00A62FBD" w:rsidRDefault="00450B7A" w:rsidP="0057401D">
            <w:pPr>
              <w:pStyle w:val="Bezproreda"/>
              <w:rPr>
                <w:rFonts w:ascii="Cambria" w:hAnsi="Cambria" w:cs="Calibri"/>
              </w:rPr>
            </w:pPr>
            <w:r w:rsidRPr="00A62FBD">
              <w:rPr>
                <w:rFonts w:ascii="Cambria" w:hAnsi="Cambria" w:cs="Calibri"/>
              </w:rPr>
              <w:t>Planirane aktivnosti</w:t>
            </w:r>
            <w:r w:rsidRPr="00A62FBD">
              <w:rPr>
                <w:rFonts w:ascii="Cambria" w:hAnsi="Cambria" w:cs="Calibri"/>
                <w:lang w:val="it-IT"/>
              </w:rPr>
              <w:t>,</w:t>
            </w:r>
          </w:p>
          <w:p w14:paraId="583FDB3D" w14:textId="77777777" w:rsidR="00450B7A" w:rsidRPr="00A62FBD" w:rsidRDefault="00450B7A" w:rsidP="0057401D">
            <w:pPr>
              <w:pStyle w:val="Bezproreda"/>
              <w:rPr>
                <w:rFonts w:ascii="Cambria" w:hAnsi="Cambria" w:cs="Calibri"/>
              </w:rPr>
            </w:pPr>
            <w:proofErr w:type="spellStart"/>
            <w:r w:rsidRPr="00A62FBD">
              <w:rPr>
                <w:rFonts w:ascii="Cambria" w:hAnsi="Cambria" w:cs="Calibri"/>
                <w:lang w:val="it-IT"/>
              </w:rPr>
              <w:lastRenderedPageBreak/>
              <w:t>metode</w:t>
            </w:r>
            <w:proofErr w:type="spellEnd"/>
            <w:r w:rsidRPr="00A62FBD">
              <w:rPr>
                <w:rFonts w:ascii="Cambria" w:hAnsi="Cambria" w:cs="Calibri"/>
                <w:lang w:val="it-IT"/>
              </w:rPr>
              <w:t xml:space="preserve"> </w:t>
            </w:r>
            <w:r w:rsidRPr="00A62FBD">
              <w:rPr>
                <w:rFonts w:ascii="Cambria" w:hAnsi="Cambria" w:cs="Calibri"/>
              </w:rPr>
              <w:t>učenja i poučavanja i načini vrednovanja</w:t>
            </w:r>
          </w:p>
          <w:p w14:paraId="24CAA3A1" w14:textId="77777777" w:rsidR="00450B7A" w:rsidRPr="00A62FBD" w:rsidRDefault="00450B7A" w:rsidP="0057401D">
            <w:pPr>
              <w:pStyle w:val="Bezproreda"/>
              <w:rPr>
                <w:rFonts w:ascii="Cambria" w:hAnsi="Cambria" w:cs="Calibri"/>
              </w:rPr>
            </w:pPr>
          </w:p>
        </w:tc>
        <w:tc>
          <w:tcPr>
            <w:tcW w:w="294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CF4239E" w14:textId="77777777" w:rsidR="00450B7A" w:rsidRPr="0073720D" w:rsidRDefault="00450B7A" w:rsidP="00E34C74">
            <w:pPr>
              <w:pStyle w:val="Bezproreda"/>
              <w:rPr>
                <w:rFonts w:ascii="Cambria" w:hAnsi="Cambria" w:cs="Calibri"/>
              </w:rPr>
            </w:pPr>
            <w:r w:rsidRPr="0073720D">
              <w:rPr>
                <w:rFonts w:ascii="Cambria" w:hAnsi="Cambria" w:cs="Calibri"/>
              </w:rPr>
              <w:lastRenderedPageBreak/>
              <w:t>Obveze</w:t>
            </w:r>
          </w:p>
          <w:p w14:paraId="0D072CDC" w14:textId="77777777" w:rsidR="00450B7A" w:rsidRPr="0073720D" w:rsidRDefault="00450B7A" w:rsidP="00E34C74">
            <w:pPr>
              <w:pStyle w:val="Bezproreda"/>
              <w:rPr>
                <w:rFonts w:ascii="Cambria" w:hAnsi="Cambria" w:cs="Calibri"/>
              </w:rPr>
            </w:pPr>
          </w:p>
        </w:tc>
        <w:tc>
          <w:tcPr>
            <w:tcW w:w="10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75099D5" w14:textId="77777777" w:rsidR="00450B7A" w:rsidRPr="0073720D" w:rsidRDefault="00450B7A" w:rsidP="00E34C74">
            <w:pPr>
              <w:pStyle w:val="Bezproreda"/>
              <w:rPr>
                <w:rFonts w:ascii="Cambria" w:hAnsi="Cambria" w:cs="Calibri"/>
              </w:rPr>
            </w:pPr>
            <w:r w:rsidRPr="0073720D">
              <w:rPr>
                <w:rFonts w:ascii="Cambria" w:hAnsi="Cambria" w:cs="Calibri"/>
              </w:rPr>
              <w:t>Ishodi</w:t>
            </w:r>
          </w:p>
          <w:p w14:paraId="1A2A7D23" w14:textId="77777777" w:rsidR="00450B7A" w:rsidRPr="0073720D" w:rsidRDefault="00450B7A" w:rsidP="00E34C74">
            <w:pPr>
              <w:pStyle w:val="Bezproreda"/>
              <w:rPr>
                <w:rFonts w:ascii="Cambria" w:hAnsi="Cambria" w:cs="Calibri"/>
              </w:rPr>
            </w:pPr>
          </w:p>
        </w:tc>
        <w:tc>
          <w:tcPr>
            <w:tcW w:w="70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B0F6BBF" w14:textId="77777777" w:rsidR="00450B7A" w:rsidRPr="0073720D" w:rsidRDefault="00450B7A" w:rsidP="00E34C74">
            <w:pPr>
              <w:pStyle w:val="Bezproreda"/>
              <w:rPr>
                <w:rFonts w:ascii="Cambria" w:hAnsi="Cambria" w:cs="Calibri"/>
              </w:rPr>
            </w:pPr>
            <w:r w:rsidRPr="0073720D">
              <w:rPr>
                <w:rFonts w:ascii="Cambria" w:hAnsi="Cambria" w:cs="Calibri"/>
              </w:rPr>
              <w:t>Sati</w:t>
            </w:r>
          </w:p>
        </w:tc>
        <w:tc>
          <w:tcPr>
            <w:tcW w:w="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9A57BE4" w14:textId="77777777" w:rsidR="00450B7A" w:rsidRPr="0073720D" w:rsidRDefault="00450B7A" w:rsidP="00E34C74">
            <w:pPr>
              <w:pStyle w:val="Bezproreda"/>
              <w:rPr>
                <w:rFonts w:ascii="Cambria" w:hAnsi="Cambria" w:cs="Calibri"/>
              </w:rPr>
            </w:pPr>
            <w:r>
              <w:rPr>
                <w:rFonts w:ascii="Cambria" w:hAnsi="Cambria" w:cs="Calibri"/>
              </w:rPr>
              <w:t>ECTS</w:t>
            </w:r>
          </w:p>
        </w:tc>
        <w:tc>
          <w:tcPr>
            <w:tcW w:w="127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C8EBD41" w14:textId="77777777" w:rsidR="00450B7A" w:rsidRPr="0073720D" w:rsidRDefault="00450B7A" w:rsidP="00E34C74">
            <w:pPr>
              <w:pStyle w:val="Bezproreda"/>
              <w:rPr>
                <w:rFonts w:ascii="Cambria" w:hAnsi="Cambria" w:cs="Calibri"/>
              </w:rPr>
            </w:pPr>
            <w:r w:rsidRPr="0073720D">
              <w:rPr>
                <w:rFonts w:ascii="Cambria" w:hAnsi="Cambria" w:cs="Calibri"/>
              </w:rPr>
              <w:t>Maksimalni udio u ocjeni</w:t>
            </w:r>
            <w:r w:rsidRPr="0073720D">
              <w:rPr>
                <w:rFonts w:ascii="Cambria" w:hAnsi="Cambria" w:cs="Calibri"/>
                <w:lang w:val="en-US"/>
              </w:rPr>
              <w:t xml:space="preserve"> (%)</w:t>
            </w:r>
          </w:p>
        </w:tc>
      </w:tr>
      <w:tr w:rsidR="00450B7A" w:rsidRPr="00A62FBD" w14:paraId="78B60001" w14:textId="77777777" w:rsidTr="00450B7A">
        <w:tc>
          <w:tcPr>
            <w:tcW w:w="2029" w:type="dxa"/>
            <w:vMerge/>
            <w:tcBorders>
              <w:left w:val="single" w:sz="8" w:space="0" w:color="000000"/>
              <w:right w:val="single" w:sz="8" w:space="0" w:color="000000"/>
            </w:tcBorders>
            <w:vAlign w:val="center"/>
            <w:hideMark/>
          </w:tcPr>
          <w:p w14:paraId="734ECF4A" w14:textId="77777777" w:rsidR="00450B7A" w:rsidRPr="00A62FBD" w:rsidRDefault="00450B7A" w:rsidP="0057401D">
            <w:pPr>
              <w:pStyle w:val="Bezproreda"/>
              <w:rPr>
                <w:rFonts w:ascii="Cambria" w:hAnsi="Cambria" w:cs="Calibri"/>
              </w:rPr>
            </w:pPr>
          </w:p>
        </w:tc>
        <w:tc>
          <w:tcPr>
            <w:tcW w:w="294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1732FA3" w14:textId="4FE89859" w:rsidR="00450B7A" w:rsidRPr="0057401D" w:rsidRDefault="00450B7A" w:rsidP="00E34C74">
            <w:pPr>
              <w:spacing w:after="0" w:line="240" w:lineRule="auto"/>
              <w:rPr>
                <w:rFonts w:ascii="Cambria" w:eastAsia="Calibri" w:hAnsi="Cambria" w:cs="Calibri"/>
                <w:lang w:val="it-IT"/>
              </w:rPr>
            </w:pPr>
            <w:proofErr w:type="spellStart"/>
            <w:r>
              <w:rPr>
                <w:rFonts w:ascii="Cambria" w:eastAsia="Calibri" w:hAnsi="Cambria" w:cs="Calibri"/>
                <w:lang w:val="it-IT"/>
              </w:rPr>
              <w:t>a</w:t>
            </w:r>
            <w:r w:rsidRPr="0057401D">
              <w:rPr>
                <w:rFonts w:ascii="Cambria" w:eastAsia="Calibri" w:hAnsi="Cambria" w:cs="Calibri"/>
                <w:lang w:val="it-IT"/>
              </w:rPr>
              <w:t>ktivnost</w:t>
            </w:r>
            <w:proofErr w:type="spellEnd"/>
            <w:r w:rsidRPr="0057401D">
              <w:rPr>
                <w:rFonts w:ascii="Cambria" w:eastAsia="Calibri" w:hAnsi="Cambria" w:cs="Calibri"/>
                <w:lang w:val="it-IT"/>
              </w:rPr>
              <w:t xml:space="preserve"> </w:t>
            </w:r>
            <w:proofErr w:type="spellStart"/>
            <w:r w:rsidRPr="0057401D">
              <w:rPr>
                <w:rFonts w:ascii="Cambria" w:eastAsia="Calibri" w:hAnsi="Cambria" w:cs="Calibri"/>
                <w:lang w:val="it-IT"/>
              </w:rPr>
              <w:t>na</w:t>
            </w:r>
            <w:proofErr w:type="spellEnd"/>
            <w:r w:rsidRPr="0057401D">
              <w:rPr>
                <w:rFonts w:ascii="Cambria" w:eastAsia="Calibri" w:hAnsi="Cambria" w:cs="Calibri"/>
                <w:lang w:val="it-IT"/>
              </w:rPr>
              <w:t xml:space="preserve"> </w:t>
            </w:r>
            <w:proofErr w:type="spellStart"/>
            <w:r w:rsidRPr="0057401D">
              <w:rPr>
                <w:rFonts w:ascii="Cambria" w:eastAsia="Calibri" w:hAnsi="Cambria" w:cs="Calibri"/>
                <w:lang w:val="it-IT"/>
              </w:rPr>
              <w:t>nastavi</w:t>
            </w:r>
            <w:proofErr w:type="spellEnd"/>
            <w:r w:rsidRPr="0057401D">
              <w:rPr>
                <w:rFonts w:ascii="Cambria" w:eastAsia="Calibri" w:hAnsi="Cambria" w:cs="Calibri"/>
                <w:lang w:val="it-IT"/>
              </w:rPr>
              <w:t xml:space="preserve"> </w:t>
            </w:r>
            <w:r>
              <w:rPr>
                <w:rFonts w:ascii="Cambria" w:eastAsia="Calibri" w:hAnsi="Cambria" w:cs="Calibri"/>
                <w:lang w:val="it-IT"/>
              </w:rPr>
              <w:t>(</w:t>
            </w:r>
            <w:r w:rsidRPr="0057401D">
              <w:rPr>
                <w:rFonts w:ascii="Cambria" w:eastAsia="Calibri" w:hAnsi="Cambria" w:cs="Calibri"/>
                <w:lang w:val="it-IT"/>
              </w:rPr>
              <w:t>P, S</w:t>
            </w:r>
            <w:r>
              <w:rPr>
                <w:rFonts w:ascii="Cambria" w:eastAsia="Calibri" w:hAnsi="Cambria" w:cs="Calibri"/>
                <w:lang w:val="it-IT"/>
              </w:rPr>
              <w:t>)</w:t>
            </w:r>
          </w:p>
        </w:tc>
        <w:tc>
          <w:tcPr>
            <w:tcW w:w="10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AF74D78" w14:textId="69FBCDA1" w:rsidR="00450B7A" w:rsidRPr="00A62FBD" w:rsidRDefault="00450B7A" w:rsidP="00E34C74">
            <w:pPr>
              <w:spacing w:after="0" w:line="240" w:lineRule="auto"/>
              <w:rPr>
                <w:rFonts w:ascii="Cambria" w:eastAsia="Calibri" w:hAnsi="Cambria" w:cs="Calibri"/>
              </w:rPr>
            </w:pPr>
            <w:r w:rsidRPr="00A62FBD">
              <w:rPr>
                <w:rFonts w:ascii="Cambria" w:eastAsia="Calibri" w:hAnsi="Cambria" w:cs="Calibri"/>
              </w:rPr>
              <w:t>1</w:t>
            </w:r>
            <w:r>
              <w:rPr>
                <w:rFonts w:ascii="Cambria" w:eastAsia="Calibri" w:hAnsi="Cambria" w:cs="Calibri"/>
              </w:rPr>
              <w:t>.</w:t>
            </w:r>
            <w:r w:rsidRPr="00A62FBD">
              <w:rPr>
                <w:rFonts w:ascii="Cambria" w:eastAsia="Calibri" w:hAnsi="Cambria" w:cs="Calibri"/>
              </w:rPr>
              <w:t xml:space="preserve"> </w:t>
            </w:r>
            <w:r>
              <w:rPr>
                <w:rFonts w:ascii="Cambria" w:eastAsia="Calibri" w:hAnsi="Cambria" w:cs="Calibri"/>
              </w:rPr>
              <w:t>–</w:t>
            </w:r>
            <w:r w:rsidRPr="00A62FBD">
              <w:rPr>
                <w:rFonts w:ascii="Cambria" w:eastAsia="Calibri" w:hAnsi="Cambria" w:cs="Calibri"/>
              </w:rPr>
              <w:t xml:space="preserve"> 4. </w:t>
            </w:r>
          </w:p>
        </w:tc>
        <w:tc>
          <w:tcPr>
            <w:tcW w:w="70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C63B27B" w14:textId="76B3A328" w:rsidR="00450B7A" w:rsidRPr="00A62FBD" w:rsidRDefault="00450B7A" w:rsidP="00E34C74">
            <w:pPr>
              <w:spacing w:after="0" w:line="240" w:lineRule="auto"/>
              <w:jc w:val="center"/>
              <w:rPr>
                <w:rFonts w:ascii="Cambria" w:eastAsia="Calibri" w:hAnsi="Cambria" w:cs="Calibri"/>
              </w:rPr>
            </w:pPr>
            <w:r w:rsidRPr="00E34C74">
              <w:rPr>
                <w:rFonts w:ascii="Cambria" w:eastAsia="Calibri" w:hAnsi="Cambria" w:cs="Calibri"/>
              </w:rPr>
              <w:t>34</w:t>
            </w:r>
          </w:p>
        </w:tc>
        <w:tc>
          <w:tcPr>
            <w:tcW w:w="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7C31A3C" w14:textId="7AC31F24" w:rsidR="00450B7A" w:rsidRPr="00A62FBD" w:rsidRDefault="00450B7A" w:rsidP="00E34C74">
            <w:pPr>
              <w:spacing w:after="0" w:line="240" w:lineRule="auto"/>
              <w:jc w:val="center"/>
              <w:rPr>
                <w:rFonts w:ascii="Cambria" w:eastAsia="Calibri" w:hAnsi="Cambria" w:cs="Calibri"/>
              </w:rPr>
            </w:pPr>
            <w:r>
              <w:rPr>
                <w:rFonts w:ascii="Cambria" w:eastAsia="Calibri" w:hAnsi="Cambria" w:cs="Calibri"/>
              </w:rPr>
              <w:t>1,1</w:t>
            </w:r>
          </w:p>
        </w:tc>
        <w:tc>
          <w:tcPr>
            <w:tcW w:w="127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2D24BE3" w14:textId="77777777" w:rsidR="00450B7A" w:rsidRPr="00A62FBD" w:rsidRDefault="00450B7A" w:rsidP="00E34C74">
            <w:pPr>
              <w:spacing w:after="0" w:line="240" w:lineRule="auto"/>
              <w:jc w:val="center"/>
              <w:rPr>
                <w:rFonts w:ascii="Cambria" w:eastAsia="Calibri" w:hAnsi="Cambria" w:cs="Calibri"/>
              </w:rPr>
            </w:pPr>
            <w:r w:rsidRPr="00A62FBD">
              <w:rPr>
                <w:rFonts w:ascii="Cambria" w:eastAsia="Calibri" w:hAnsi="Cambria" w:cs="Calibri"/>
              </w:rPr>
              <w:t>20</w:t>
            </w:r>
            <w:r>
              <w:rPr>
                <w:rFonts w:ascii="Cambria" w:eastAsia="Calibri" w:hAnsi="Cambria" w:cs="Calibri"/>
              </w:rPr>
              <w:t xml:space="preserve"> %</w:t>
            </w:r>
          </w:p>
        </w:tc>
      </w:tr>
      <w:tr w:rsidR="00450B7A" w:rsidRPr="00A62FBD" w14:paraId="4301A425" w14:textId="77777777" w:rsidTr="00450B7A">
        <w:tc>
          <w:tcPr>
            <w:tcW w:w="2029" w:type="dxa"/>
            <w:vMerge/>
            <w:tcBorders>
              <w:left w:val="single" w:sz="8" w:space="0" w:color="000000"/>
              <w:right w:val="single" w:sz="8" w:space="0" w:color="000000"/>
            </w:tcBorders>
            <w:vAlign w:val="center"/>
            <w:hideMark/>
          </w:tcPr>
          <w:p w14:paraId="792B1D92" w14:textId="77777777" w:rsidR="00450B7A" w:rsidRPr="00A62FBD" w:rsidRDefault="00450B7A" w:rsidP="0057401D">
            <w:pPr>
              <w:pStyle w:val="Bezproreda"/>
              <w:rPr>
                <w:rFonts w:ascii="Cambria" w:hAnsi="Cambria" w:cs="Calibri"/>
              </w:rPr>
            </w:pPr>
          </w:p>
        </w:tc>
        <w:tc>
          <w:tcPr>
            <w:tcW w:w="294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61A69F2" w14:textId="77777777" w:rsidR="00450B7A" w:rsidRPr="00A62FBD" w:rsidRDefault="00450B7A" w:rsidP="00E34C74">
            <w:pPr>
              <w:spacing w:after="0" w:line="240" w:lineRule="auto"/>
              <w:rPr>
                <w:rFonts w:ascii="Cambria" w:eastAsia="Calibri" w:hAnsi="Cambria" w:cs="Calibri"/>
              </w:rPr>
            </w:pPr>
            <w:proofErr w:type="spellStart"/>
            <w:r w:rsidRPr="00A62FBD">
              <w:rPr>
                <w:rFonts w:ascii="Cambria" w:eastAsia="Calibri" w:hAnsi="Cambria" w:cs="Calibri"/>
              </w:rPr>
              <w:t>pismeni</w:t>
            </w:r>
            <w:proofErr w:type="spellEnd"/>
            <w:r w:rsidRPr="00A62FBD">
              <w:rPr>
                <w:rFonts w:ascii="Cambria" w:eastAsia="Calibri" w:hAnsi="Cambria" w:cs="Calibri"/>
              </w:rPr>
              <w:t xml:space="preserve"> </w:t>
            </w:r>
            <w:proofErr w:type="spellStart"/>
            <w:r w:rsidRPr="00A62FBD">
              <w:rPr>
                <w:rFonts w:ascii="Cambria" w:eastAsia="Calibri" w:hAnsi="Cambria" w:cs="Calibri"/>
              </w:rPr>
              <w:t>radovi</w:t>
            </w:r>
            <w:proofErr w:type="spellEnd"/>
            <w:r w:rsidRPr="00A62FBD">
              <w:rPr>
                <w:rFonts w:ascii="Cambria" w:eastAsia="Calibri" w:hAnsi="Cambria" w:cs="Calibri"/>
              </w:rPr>
              <w:t xml:space="preserve"> (</w:t>
            </w:r>
            <w:proofErr w:type="spellStart"/>
            <w:r w:rsidRPr="00A62FBD">
              <w:rPr>
                <w:rFonts w:ascii="Cambria" w:eastAsia="Calibri" w:hAnsi="Cambria" w:cs="Calibri"/>
              </w:rPr>
              <w:t>seminarski</w:t>
            </w:r>
            <w:proofErr w:type="spellEnd"/>
            <w:r w:rsidRPr="00A62FBD">
              <w:rPr>
                <w:rFonts w:ascii="Cambria" w:eastAsia="Calibri" w:hAnsi="Cambria" w:cs="Calibri"/>
              </w:rPr>
              <w:t>)</w:t>
            </w:r>
          </w:p>
        </w:tc>
        <w:tc>
          <w:tcPr>
            <w:tcW w:w="10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E5F1ECA" w14:textId="77777777" w:rsidR="00450B7A" w:rsidRPr="00A62FBD" w:rsidRDefault="00450B7A" w:rsidP="00E34C74">
            <w:pPr>
              <w:spacing w:after="0" w:line="240" w:lineRule="auto"/>
              <w:rPr>
                <w:rFonts w:ascii="Cambria" w:eastAsia="Calibri" w:hAnsi="Cambria" w:cs="Calibri"/>
              </w:rPr>
            </w:pPr>
            <w:r w:rsidRPr="00A62FBD">
              <w:rPr>
                <w:rFonts w:ascii="Cambria" w:eastAsia="Calibri" w:hAnsi="Cambria" w:cs="Calibri"/>
              </w:rPr>
              <w:t>1</w:t>
            </w:r>
            <w:r>
              <w:rPr>
                <w:rFonts w:ascii="Cambria" w:eastAsia="Calibri" w:hAnsi="Cambria" w:cs="Calibri"/>
              </w:rPr>
              <w:t>.</w:t>
            </w:r>
            <w:r w:rsidRPr="00A62FBD">
              <w:rPr>
                <w:rFonts w:ascii="Cambria" w:eastAsia="Calibri" w:hAnsi="Cambria" w:cs="Calibri"/>
              </w:rPr>
              <w:t>, 3</w:t>
            </w:r>
            <w:r>
              <w:rPr>
                <w:rFonts w:ascii="Cambria" w:eastAsia="Calibri" w:hAnsi="Cambria" w:cs="Calibri"/>
              </w:rPr>
              <w:t>.</w:t>
            </w:r>
            <w:r w:rsidRPr="00A62FBD">
              <w:rPr>
                <w:rFonts w:ascii="Cambria" w:eastAsia="Calibri" w:hAnsi="Cambria" w:cs="Calibri"/>
              </w:rPr>
              <w:t>, 4</w:t>
            </w:r>
            <w:r>
              <w:rPr>
                <w:rFonts w:ascii="Cambria" w:eastAsia="Calibri" w:hAnsi="Cambria" w:cs="Calibri"/>
              </w:rPr>
              <w:t>.</w:t>
            </w:r>
          </w:p>
        </w:tc>
        <w:tc>
          <w:tcPr>
            <w:tcW w:w="70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22CF5DC" w14:textId="6A32F480" w:rsidR="00450B7A" w:rsidRPr="00A62FBD" w:rsidRDefault="00450B7A" w:rsidP="00E34C74">
            <w:pPr>
              <w:spacing w:after="0" w:line="240" w:lineRule="auto"/>
              <w:jc w:val="center"/>
              <w:rPr>
                <w:rFonts w:ascii="Cambria" w:eastAsia="Calibri" w:hAnsi="Cambria" w:cs="Calibri"/>
              </w:rPr>
            </w:pPr>
            <w:r>
              <w:rPr>
                <w:rFonts w:ascii="Cambria" w:eastAsia="Calibri" w:hAnsi="Cambria" w:cs="Calibri"/>
              </w:rPr>
              <w:t>30</w:t>
            </w:r>
          </w:p>
        </w:tc>
        <w:tc>
          <w:tcPr>
            <w:tcW w:w="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1E0E7E3" w14:textId="1650B9D2" w:rsidR="00450B7A" w:rsidRPr="00A62FBD" w:rsidRDefault="00450B7A" w:rsidP="00E34C74">
            <w:pPr>
              <w:spacing w:after="0" w:line="240" w:lineRule="auto"/>
              <w:jc w:val="center"/>
              <w:rPr>
                <w:rFonts w:ascii="Cambria" w:eastAsia="Calibri" w:hAnsi="Cambria" w:cs="Calibri"/>
              </w:rPr>
            </w:pPr>
            <w:r>
              <w:rPr>
                <w:rFonts w:ascii="Cambria" w:eastAsia="Calibri" w:hAnsi="Cambria" w:cs="Calibri"/>
              </w:rPr>
              <w:t>1</w:t>
            </w:r>
          </w:p>
        </w:tc>
        <w:tc>
          <w:tcPr>
            <w:tcW w:w="127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C2CF00A" w14:textId="77777777" w:rsidR="00450B7A" w:rsidRPr="00A62FBD" w:rsidRDefault="00450B7A" w:rsidP="00E34C74">
            <w:pPr>
              <w:spacing w:after="0" w:line="240" w:lineRule="auto"/>
              <w:jc w:val="center"/>
              <w:rPr>
                <w:rFonts w:ascii="Cambria" w:eastAsia="Calibri" w:hAnsi="Cambria" w:cs="Calibri"/>
              </w:rPr>
            </w:pPr>
            <w:r w:rsidRPr="00A62FBD">
              <w:rPr>
                <w:rFonts w:ascii="Cambria" w:eastAsia="Calibri" w:hAnsi="Cambria" w:cs="Calibri"/>
              </w:rPr>
              <w:t>30</w:t>
            </w:r>
            <w:r>
              <w:rPr>
                <w:rFonts w:ascii="Cambria" w:eastAsia="Calibri" w:hAnsi="Cambria" w:cs="Calibri"/>
              </w:rPr>
              <w:t xml:space="preserve"> %</w:t>
            </w:r>
          </w:p>
        </w:tc>
      </w:tr>
      <w:tr w:rsidR="00450B7A" w:rsidRPr="00A62FBD" w14:paraId="51CF03B2" w14:textId="77777777" w:rsidTr="00450B7A">
        <w:tc>
          <w:tcPr>
            <w:tcW w:w="2029" w:type="dxa"/>
            <w:vMerge/>
            <w:tcBorders>
              <w:left w:val="single" w:sz="8" w:space="0" w:color="000000"/>
              <w:right w:val="single" w:sz="8" w:space="0" w:color="000000"/>
            </w:tcBorders>
            <w:vAlign w:val="center"/>
            <w:hideMark/>
          </w:tcPr>
          <w:p w14:paraId="31030A97" w14:textId="77777777" w:rsidR="00450B7A" w:rsidRPr="00A62FBD" w:rsidRDefault="00450B7A" w:rsidP="0057401D">
            <w:pPr>
              <w:pStyle w:val="Bezproreda"/>
              <w:rPr>
                <w:rFonts w:ascii="Cambria" w:hAnsi="Cambria" w:cs="Calibri"/>
              </w:rPr>
            </w:pPr>
          </w:p>
        </w:tc>
        <w:tc>
          <w:tcPr>
            <w:tcW w:w="294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CBA12F4" w14:textId="77777777" w:rsidR="00450B7A" w:rsidRPr="00A62FBD" w:rsidRDefault="00450B7A" w:rsidP="00E34C74">
            <w:pPr>
              <w:spacing w:after="0" w:line="240" w:lineRule="auto"/>
              <w:rPr>
                <w:rFonts w:ascii="Cambria" w:eastAsia="Calibri" w:hAnsi="Cambria" w:cs="Calibri"/>
              </w:rPr>
            </w:pPr>
            <w:proofErr w:type="spellStart"/>
            <w:r w:rsidRPr="00A62FBD">
              <w:rPr>
                <w:rFonts w:ascii="Cambria" w:eastAsia="Calibri" w:hAnsi="Cambria" w:cs="Calibri"/>
              </w:rPr>
              <w:t>ispit</w:t>
            </w:r>
            <w:proofErr w:type="spellEnd"/>
            <w:r w:rsidRPr="00A62FBD">
              <w:rPr>
                <w:rFonts w:ascii="Cambria" w:eastAsia="Calibri" w:hAnsi="Cambria" w:cs="Calibri"/>
              </w:rPr>
              <w:t xml:space="preserve"> (</w:t>
            </w:r>
            <w:proofErr w:type="spellStart"/>
            <w:r w:rsidRPr="00A62FBD">
              <w:rPr>
                <w:rFonts w:ascii="Cambria" w:eastAsia="Calibri" w:hAnsi="Cambria" w:cs="Calibri"/>
              </w:rPr>
              <w:t>usmeni</w:t>
            </w:r>
            <w:proofErr w:type="spellEnd"/>
            <w:r w:rsidRPr="00A62FBD">
              <w:rPr>
                <w:rFonts w:ascii="Cambria" w:eastAsia="Calibri" w:hAnsi="Cambria" w:cs="Calibri"/>
              </w:rPr>
              <w:t>)</w:t>
            </w:r>
          </w:p>
        </w:tc>
        <w:tc>
          <w:tcPr>
            <w:tcW w:w="10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975FB25" w14:textId="4997EF86" w:rsidR="00450B7A" w:rsidRPr="00A62FBD" w:rsidRDefault="00450B7A" w:rsidP="00E34C74">
            <w:pPr>
              <w:spacing w:after="0" w:line="240" w:lineRule="auto"/>
              <w:rPr>
                <w:rFonts w:ascii="Cambria" w:eastAsia="Calibri" w:hAnsi="Cambria" w:cs="Calibri"/>
              </w:rPr>
            </w:pPr>
            <w:r w:rsidRPr="00A62FBD">
              <w:rPr>
                <w:rFonts w:ascii="Cambria" w:eastAsia="Calibri" w:hAnsi="Cambria" w:cs="Calibri"/>
              </w:rPr>
              <w:t xml:space="preserve">1 </w:t>
            </w:r>
            <w:r>
              <w:rPr>
                <w:rFonts w:ascii="Cambria" w:eastAsia="Calibri" w:hAnsi="Cambria" w:cs="Calibri"/>
              </w:rPr>
              <w:t>–</w:t>
            </w:r>
            <w:r w:rsidRPr="00A62FBD">
              <w:rPr>
                <w:rFonts w:ascii="Cambria" w:eastAsia="Calibri" w:hAnsi="Cambria" w:cs="Calibri"/>
              </w:rPr>
              <w:t xml:space="preserve"> 4. </w:t>
            </w:r>
          </w:p>
        </w:tc>
        <w:tc>
          <w:tcPr>
            <w:tcW w:w="70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E30B8D8" w14:textId="73390223" w:rsidR="00450B7A" w:rsidRPr="00A62FBD" w:rsidRDefault="00450B7A" w:rsidP="00E34C74">
            <w:pPr>
              <w:spacing w:after="0" w:line="240" w:lineRule="auto"/>
              <w:jc w:val="center"/>
              <w:rPr>
                <w:rFonts w:ascii="Cambria" w:eastAsia="Calibri" w:hAnsi="Cambria" w:cs="Calibri"/>
              </w:rPr>
            </w:pPr>
            <w:r>
              <w:rPr>
                <w:rFonts w:ascii="Cambria" w:eastAsia="Calibri" w:hAnsi="Cambria" w:cs="Calibri"/>
              </w:rPr>
              <w:t>56</w:t>
            </w:r>
          </w:p>
        </w:tc>
        <w:tc>
          <w:tcPr>
            <w:tcW w:w="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E3020B7" w14:textId="7555D950" w:rsidR="00450B7A" w:rsidRPr="00A62FBD" w:rsidRDefault="00450B7A" w:rsidP="00E34C74">
            <w:pPr>
              <w:spacing w:after="0" w:line="240" w:lineRule="auto"/>
              <w:jc w:val="center"/>
              <w:rPr>
                <w:rFonts w:ascii="Cambria" w:eastAsia="Calibri" w:hAnsi="Cambria" w:cs="Calibri"/>
              </w:rPr>
            </w:pPr>
            <w:r>
              <w:rPr>
                <w:rFonts w:ascii="Cambria" w:eastAsia="Calibri" w:hAnsi="Cambria" w:cs="Calibri"/>
              </w:rPr>
              <w:t>1,9</w:t>
            </w:r>
          </w:p>
        </w:tc>
        <w:tc>
          <w:tcPr>
            <w:tcW w:w="127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763FC32" w14:textId="77777777" w:rsidR="00450B7A" w:rsidRPr="00A62FBD" w:rsidRDefault="00450B7A" w:rsidP="00E34C74">
            <w:pPr>
              <w:spacing w:after="0" w:line="240" w:lineRule="auto"/>
              <w:jc w:val="center"/>
              <w:rPr>
                <w:rFonts w:ascii="Cambria" w:eastAsia="Calibri" w:hAnsi="Cambria" w:cs="Calibri"/>
              </w:rPr>
            </w:pPr>
            <w:r w:rsidRPr="00A62FBD">
              <w:rPr>
                <w:rFonts w:ascii="Cambria" w:eastAsia="Calibri" w:hAnsi="Cambria" w:cs="Calibri"/>
              </w:rPr>
              <w:t>50</w:t>
            </w:r>
            <w:r>
              <w:rPr>
                <w:rFonts w:ascii="Cambria" w:eastAsia="Calibri" w:hAnsi="Cambria" w:cs="Calibri"/>
              </w:rPr>
              <w:t xml:space="preserve"> %</w:t>
            </w:r>
          </w:p>
        </w:tc>
      </w:tr>
      <w:tr w:rsidR="00450B7A" w:rsidRPr="00A62FBD" w14:paraId="0ED56B6C" w14:textId="77777777" w:rsidTr="00450B7A">
        <w:tc>
          <w:tcPr>
            <w:tcW w:w="2029" w:type="dxa"/>
            <w:vMerge/>
            <w:tcBorders>
              <w:left w:val="single" w:sz="8" w:space="0" w:color="000000"/>
              <w:right w:val="single" w:sz="8" w:space="0" w:color="000000"/>
            </w:tcBorders>
            <w:vAlign w:val="center"/>
            <w:hideMark/>
          </w:tcPr>
          <w:p w14:paraId="0DCDB57C" w14:textId="77777777" w:rsidR="00450B7A" w:rsidRPr="00A62FBD" w:rsidRDefault="00450B7A" w:rsidP="0057401D">
            <w:pPr>
              <w:pStyle w:val="Bezproreda"/>
              <w:rPr>
                <w:rFonts w:ascii="Cambria" w:hAnsi="Cambria" w:cs="Calibri"/>
              </w:rPr>
            </w:pPr>
          </w:p>
        </w:tc>
        <w:tc>
          <w:tcPr>
            <w:tcW w:w="294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7B80627" w14:textId="26646796" w:rsidR="00450B7A" w:rsidRPr="00A62FBD" w:rsidRDefault="00450B7A" w:rsidP="00E34C74">
            <w:pPr>
              <w:spacing w:after="0" w:line="240" w:lineRule="auto"/>
              <w:rPr>
                <w:rFonts w:ascii="Cambria" w:eastAsia="Calibri" w:hAnsi="Cambria" w:cs="Calibri"/>
              </w:rPr>
            </w:pPr>
            <w:proofErr w:type="spellStart"/>
            <w:r>
              <w:rPr>
                <w:rFonts w:ascii="Cambria" w:eastAsia="Calibri" w:hAnsi="Cambria" w:cs="Calibri"/>
              </w:rPr>
              <w:t>u</w:t>
            </w:r>
            <w:r w:rsidRPr="00A62FBD">
              <w:rPr>
                <w:rFonts w:ascii="Cambria" w:eastAsia="Calibri" w:hAnsi="Cambria" w:cs="Calibri"/>
              </w:rPr>
              <w:t>kupno</w:t>
            </w:r>
            <w:proofErr w:type="spellEnd"/>
          </w:p>
        </w:tc>
        <w:tc>
          <w:tcPr>
            <w:tcW w:w="10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9D0D12C" w14:textId="77777777" w:rsidR="00450B7A" w:rsidRPr="00A62FBD" w:rsidRDefault="00450B7A" w:rsidP="00E34C74">
            <w:pPr>
              <w:spacing w:after="0" w:line="240" w:lineRule="auto"/>
              <w:rPr>
                <w:rFonts w:ascii="Cambria" w:eastAsia="Calibri" w:hAnsi="Cambria" w:cs="Calibri"/>
              </w:rPr>
            </w:pPr>
          </w:p>
        </w:tc>
        <w:tc>
          <w:tcPr>
            <w:tcW w:w="70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AF55801" w14:textId="77777777" w:rsidR="00450B7A" w:rsidRPr="00A62FBD" w:rsidRDefault="00450B7A" w:rsidP="00E34C74">
            <w:pPr>
              <w:spacing w:after="0" w:line="240" w:lineRule="auto"/>
              <w:jc w:val="center"/>
              <w:rPr>
                <w:rFonts w:ascii="Cambria" w:eastAsia="Calibri" w:hAnsi="Cambria" w:cs="Calibri"/>
              </w:rPr>
            </w:pPr>
            <w:r>
              <w:rPr>
                <w:rFonts w:ascii="Cambria" w:eastAsia="Calibri" w:hAnsi="Cambria" w:cs="Calibri"/>
              </w:rPr>
              <w:t>120</w:t>
            </w:r>
          </w:p>
        </w:tc>
        <w:tc>
          <w:tcPr>
            <w:tcW w:w="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13E0217" w14:textId="77777777" w:rsidR="00450B7A" w:rsidRPr="00A62FBD" w:rsidRDefault="00450B7A" w:rsidP="00E34C74">
            <w:pPr>
              <w:spacing w:after="0" w:line="240" w:lineRule="auto"/>
              <w:jc w:val="center"/>
              <w:rPr>
                <w:rFonts w:ascii="Cambria" w:eastAsia="Calibri" w:hAnsi="Cambria" w:cs="Calibri"/>
              </w:rPr>
            </w:pPr>
            <w:r>
              <w:rPr>
                <w:rFonts w:ascii="Cambria" w:eastAsia="Calibri" w:hAnsi="Cambria" w:cs="Calibri"/>
              </w:rPr>
              <w:t>4</w:t>
            </w:r>
          </w:p>
        </w:tc>
        <w:tc>
          <w:tcPr>
            <w:tcW w:w="127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2E3237D" w14:textId="77777777" w:rsidR="00450B7A" w:rsidRPr="00A62FBD" w:rsidRDefault="00450B7A" w:rsidP="00E34C74">
            <w:pPr>
              <w:pStyle w:val="Bezproreda"/>
              <w:jc w:val="center"/>
              <w:rPr>
                <w:rFonts w:ascii="Cambria" w:hAnsi="Cambria" w:cs="Calibri"/>
              </w:rPr>
            </w:pPr>
            <w:r w:rsidRPr="00A62FBD">
              <w:rPr>
                <w:rFonts w:ascii="Cambria" w:hAnsi="Cambria" w:cs="Calibri"/>
              </w:rPr>
              <w:t>100</w:t>
            </w:r>
            <w:r>
              <w:rPr>
                <w:rFonts w:ascii="Cambria" w:hAnsi="Cambria" w:cs="Calibri"/>
              </w:rPr>
              <w:t xml:space="preserve"> %</w:t>
            </w:r>
          </w:p>
        </w:tc>
      </w:tr>
      <w:tr w:rsidR="00450B7A" w:rsidRPr="00D0399C" w14:paraId="59EA8F84" w14:textId="77777777" w:rsidTr="00450B7A">
        <w:tc>
          <w:tcPr>
            <w:tcW w:w="2029" w:type="dxa"/>
            <w:vMerge/>
            <w:tcBorders>
              <w:left w:val="single" w:sz="8" w:space="0" w:color="000000"/>
              <w:bottom w:val="single" w:sz="8" w:space="0" w:color="000000"/>
              <w:right w:val="single" w:sz="8" w:space="0" w:color="000000"/>
            </w:tcBorders>
            <w:vAlign w:val="center"/>
          </w:tcPr>
          <w:p w14:paraId="2C86CF33" w14:textId="77777777" w:rsidR="00450B7A" w:rsidRPr="00A62FBD" w:rsidRDefault="00450B7A" w:rsidP="0057401D">
            <w:pPr>
              <w:pStyle w:val="Bezproreda"/>
              <w:rPr>
                <w:rFonts w:ascii="Cambria" w:hAnsi="Cambria" w:cs="Calibri"/>
              </w:rPr>
            </w:pPr>
          </w:p>
        </w:tc>
        <w:tc>
          <w:tcPr>
            <w:tcW w:w="6979"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6F27717" w14:textId="77B10503" w:rsidR="00450B7A" w:rsidRPr="0073720D" w:rsidRDefault="00450B7A" w:rsidP="006B2F54">
            <w:pPr>
              <w:pStyle w:val="Bezproreda"/>
              <w:rPr>
                <w:rFonts w:ascii="Cambria" w:hAnsi="Cambria" w:cs="Calibri"/>
                <w:bCs/>
              </w:rPr>
            </w:pPr>
            <w:r w:rsidRPr="0073720D">
              <w:rPr>
                <w:rFonts w:ascii="Cambria" w:hAnsi="Cambria" w:cs="Calibri"/>
                <w:bCs/>
              </w:rPr>
              <w:t>Dodatna pojašnjenja (kriteriji ocjenjivanja):</w:t>
            </w:r>
          </w:p>
          <w:p w14:paraId="7ECF98A6" w14:textId="77777777" w:rsidR="00450B7A" w:rsidRPr="0057401D" w:rsidRDefault="00450B7A" w:rsidP="006B2F54">
            <w:pPr>
              <w:spacing w:after="0" w:line="240" w:lineRule="auto"/>
              <w:rPr>
                <w:rFonts w:ascii="Cambria" w:hAnsi="Cambria"/>
                <w:lang w:val="it-IT"/>
              </w:rPr>
            </w:pPr>
            <w:r w:rsidRPr="0057401D">
              <w:rPr>
                <w:rFonts w:ascii="Cambria" w:hAnsi="Cambria"/>
                <w:lang w:val="it-IT"/>
              </w:rPr>
              <w:t xml:space="preserve">Studenti / </w:t>
            </w:r>
            <w:proofErr w:type="spellStart"/>
            <w:r w:rsidRPr="0057401D">
              <w:rPr>
                <w:rFonts w:ascii="Cambria" w:hAnsi="Cambria"/>
                <w:lang w:val="it-IT"/>
              </w:rPr>
              <w:t>studentice</w:t>
            </w:r>
            <w:proofErr w:type="spellEnd"/>
            <w:r w:rsidRPr="0057401D">
              <w:rPr>
                <w:rFonts w:ascii="Cambria" w:hAnsi="Cambria"/>
                <w:lang w:val="it-IT"/>
              </w:rPr>
              <w:t xml:space="preserve"> </w:t>
            </w:r>
            <w:proofErr w:type="spellStart"/>
            <w:r w:rsidRPr="0057401D">
              <w:rPr>
                <w:rFonts w:ascii="Cambria" w:hAnsi="Cambria"/>
                <w:lang w:val="it-IT"/>
              </w:rPr>
              <w:t>dužni</w:t>
            </w:r>
            <w:proofErr w:type="spellEnd"/>
            <w:r w:rsidRPr="0057401D">
              <w:rPr>
                <w:rFonts w:ascii="Cambria" w:hAnsi="Cambria"/>
                <w:lang w:val="it-IT"/>
              </w:rPr>
              <w:t xml:space="preserve"> su </w:t>
            </w:r>
            <w:proofErr w:type="spellStart"/>
            <w:r w:rsidRPr="0057401D">
              <w:rPr>
                <w:rFonts w:ascii="Cambria" w:hAnsi="Cambria"/>
                <w:lang w:val="it-IT"/>
              </w:rPr>
              <w:t>prisustvovati</w:t>
            </w:r>
            <w:proofErr w:type="spellEnd"/>
            <w:r w:rsidRPr="0057401D">
              <w:rPr>
                <w:rFonts w:ascii="Cambria" w:hAnsi="Cambria"/>
                <w:lang w:val="it-IT"/>
              </w:rPr>
              <w:t xml:space="preserve"> </w:t>
            </w:r>
            <w:proofErr w:type="spellStart"/>
            <w:r w:rsidRPr="0057401D">
              <w:rPr>
                <w:rFonts w:ascii="Cambria" w:hAnsi="Cambria"/>
                <w:lang w:val="it-IT"/>
              </w:rPr>
              <w:t>na</w:t>
            </w:r>
            <w:proofErr w:type="spellEnd"/>
            <w:r w:rsidRPr="0057401D">
              <w:rPr>
                <w:rFonts w:ascii="Cambria" w:hAnsi="Cambria"/>
                <w:lang w:val="it-IT"/>
              </w:rPr>
              <w:t xml:space="preserve"> </w:t>
            </w:r>
            <w:proofErr w:type="spellStart"/>
            <w:r w:rsidRPr="0057401D">
              <w:rPr>
                <w:rFonts w:ascii="Cambria" w:hAnsi="Cambria"/>
                <w:lang w:val="it-IT"/>
              </w:rPr>
              <w:t>najmanje</w:t>
            </w:r>
            <w:proofErr w:type="spellEnd"/>
            <w:r w:rsidRPr="0057401D">
              <w:rPr>
                <w:rFonts w:ascii="Cambria" w:hAnsi="Cambria"/>
                <w:lang w:val="it-IT"/>
              </w:rPr>
              <w:t xml:space="preserve"> 70 % </w:t>
            </w:r>
            <w:proofErr w:type="spellStart"/>
            <w:r w:rsidRPr="0057401D">
              <w:rPr>
                <w:rFonts w:ascii="Cambria" w:hAnsi="Cambria"/>
                <w:lang w:val="it-IT"/>
              </w:rPr>
              <w:t>nastave</w:t>
            </w:r>
            <w:proofErr w:type="spellEnd"/>
            <w:r w:rsidRPr="0057401D">
              <w:rPr>
                <w:rFonts w:ascii="Cambria" w:hAnsi="Cambria"/>
                <w:lang w:val="it-IT"/>
              </w:rPr>
              <w:t xml:space="preserve">. </w:t>
            </w:r>
            <w:proofErr w:type="spellStart"/>
            <w:r w:rsidRPr="0057401D">
              <w:rPr>
                <w:rFonts w:ascii="Cambria" w:hAnsi="Cambria"/>
                <w:lang w:val="it-IT"/>
              </w:rPr>
              <w:t>Očekuje</w:t>
            </w:r>
            <w:proofErr w:type="spellEnd"/>
            <w:r w:rsidRPr="0057401D">
              <w:rPr>
                <w:rFonts w:ascii="Cambria" w:hAnsi="Cambria"/>
                <w:lang w:val="it-IT"/>
              </w:rPr>
              <w:t xml:space="preserve"> se </w:t>
            </w:r>
            <w:proofErr w:type="spellStart"/>
            <w:r w:rsidRPr="0057401D">
              <w:rPr>
                <w:rFonts w:ascii="Cambria" w:hAnsi="Cambria"/>
                <w:lang w:val="it-IT"/>
              </w:rPr>
              <w:t>aktivno</w:t>
            </w:r>
            <w:proofErr w:type="spellEnd"/>
            <w:r w:rsidRPr="0057401D">
              <w:rPr>
                <w:rFonts w:ascii="Cambria" w:hAnsi="Cambria"/>
                <w:lang w:val="it-IT"/>
              </w:rPr>
              <w:t xml:space="preserve"> </w:t>
            </w:r>
            <w:proofErr w:type="spellStart"/>
            <w:r w:rsidRPr="0057401D">
              <w:rPr>
                <w:rFonts w:ascii="Cambria" w:hAnsi="Cambria"/>
                <w:lang w:val="it-IT"/>
              </w:rPr>
              <w:t>sudjelovanje</w:t>
            </w:r>
            <w:proofErr w:type="spellEnd"/>
            <w:r w:rsidRPr="0057401D">
              <w:rPr>
                <w:rFonts w:ascii="Cambria" w:hAnsi="Cambria"/>
                <w:lang w:val="it-IT"/>
              </w:rPr>
              <w:t xml:space="preserve"> u </w:t>
            </w:r>
            <w:proofErr w:type="spellStart"/>
            <w:r w:rsidRPr="0057401D">
              <w:rPr>
                <w:rFonts w:ascii="Cambria" w:hAnsi="Cambria"/>
                <w:lang w:val="it-IT"/>
              </w:rPr>
              <w:t>nastavi</w:t>
            </w:r>
            <w:proofErr w:type="spellEnd"/>
            <w:r w:rsidRPr="0057401D">
              <w:rPr>
                <w:rFonts w:ascii="Cambria" w:hAnsi="Cambria"/>
                <w:lang w:val="it-IT"/>
              </w:rPr>
              <w:t xml:space="preserve">, </w:t>
            </w:r>
            <w:proofErr w:type="spellStart"/>
            <w:r w:rsidRPr="0057401D">
              <w:rPr>
                <w:rFonts w:ascii="Cambria" w:hAnsi="Cambria"/>
                <w:lang w:val="it-IT"/>
              </w:rPr>
              <w:t>koje</w:t>
            </w:r>
            <w:proofErr w:type="spellEnd"/>
            <w:r w:rsidRPr="0057401D">
              <w:rPr>
                <w:rFonts w:ascii="Cambria" w:hAnsi="Cambria"/>
                <w:lang w:val="it-IT"/>
              </w:rPr>
              <w:t xml:space="preserve"> se </w:t>
            </w:r>
            <w:proofErr w:type="spellStart"/>
            <w:r w:rsidRPr="0057401D">
              <w:rPr>
                <w:rFonts w:ascii="Cambria" w:hAnsi="Cambria"/>
                <w:lang w:val="it-IT"/>
              </w:rPr>
              <w:t>ocjenjuje</w:t>
            </w:r>
            <w:proofErr w:type="spellEnd"/>
            <w:r w:rsidRPr="0057401D">
              <w:rPr>
                <w:rFonts w:ascii="Cambria" w:hAnsi="Cambria"/>
                <w:lang w:val="it-IT"/>
              </w:rPr>
              <w:t xml:space="preserve"> </w:t>
            </w:r>
            <w:proofErr w:type="spellStart"/>
            <w:r w:rsidRPr="0057401D">
              <w:rPr>
                <w:rFonts w:ascii="Cambria" w:hAnsi="Cambria"/>
                <w:lang w:val="it-IT"/>
              </w:rPr>
              <w:t>na</w:t>
            </w:r>
            <w:proofErr w:type="spellEnd"/>
            <w:r w:rsidRPr="0057401D">
              <w:rPr>
                <w:rFonts w:ascii="Cambria" w:hAnsi="Cambria"/>
                <w:lang w:val="it-IT"/>
              </w:rPr>
              <w:t xml:space="preserve"> </w:t>
            </w:r>
            <w:proofErr w:type="spellStart"/>
            <w:r w:rsidRPr="0057401D">
              <w:rPr>
                <w:rFonts w:ascii="Cambria" w:hAnsi="Cambria"/>
                <w:lang w:val="it-IT"/>
              </w:rPr>
              <w:t>sljedeći</w:t>
            </w:r>
            <w:proofErr w:type="spellEnd"/>
            <w:r w:rsidRPr="0057401D">
              <w:rPr>
                <w:rFonts w:ascii="Cambria" w:hAnsi="Cambria"/>
                <w:lang w:val="it-IT"/>
              </w:rPr>
              <w:t xml:space="preserve"> </w:t>
            </w:r>
            <w:proofErr w:type="spellStart"/>
            <w:r w:rsidRPr="0057401D">
              <w:rPr>
                <w:rFonts w:ascii="Cambria" w:hAnsi="Cambria"/>
                <w:lang w:val="it-IT"/>
              </w:rPr>
              <w:t>način</w:t>
            </w:r>
            <w:proofErr w:type="spellEnd"/>
            <w:r w:rsidRPr="0057401D">
              <w:rPr>
                <w:rFonts w:ascii="Cambria" w:hAnsi="Cambria"/>
                <w:lang w:val="it-IT"/>
              </w:rPr>
              <w:t>:</w:t>
            </w:r>
          </w:p>
          <w:p w14:paraId="7D201CB3" w14:textId="77777777" w:rsidR="00450B7A" w:rsidRPr="0057401D" w:rsidRDefault="00450B7A" w:rsidP="006B2F54">
            <w:pPr>
              <w:spacing w:after="0" w:line="240" w:lineRule="auto"/>
              <w:rPr>
                <w:rFonts w:ascii="Cambria" w:hAnsi="Cambria"/>
                <w:lang w:val="it-IT"/>
              </w:rPr>
            </w:pPr>
            <w:r w:rsidRPr="0057401D">
              <w:rPr>
                <w:rFonts w:ascii="Cambria" w:hAnsi="Cambria"/>
                <w:lang w:val="it-IT"/>
              </w:rPr>
              <w:t xml:space="preserve">0% = </w:t>
            </w:r>
            <w:proofErr w:type="spellStart"/>
            <w:r w:rsidRPr="0057401D">
              <w:rPr>
                <w:rFonts w:ascii="Cambria" w:hAnsi="Cambria"/>
                <w:lang w:val="it-IT"/>
              </w:rPr>
              <w:t>više</w:t>
            </w:r>
            <w:proofErr w:type="spellEnd"/>
            <w:r w:rsidRPr="0057401D">
              <w:rPr>
                <w:rFonts w:ascii="Cambria" w:hAnsi="Cambria"/>
                <w:lang w:val="it-IT"/>
              </w:rPr>
              <w:t xml:space="preserve"> </w:t>
            </w:r>
            <w:proofErr w:type="gramStart"/>
            <w:r w:rsidRPr="0057401D">
              <w:rPr>
                <w:rFonts w:ascii="Cambria" w:hAnsi="Cambria"/>
                <w:lang w:val="it-IT"/>
              </w:rPr>
              <w:t>od</w:t>
            </w:r>
            <w:proofErr w:type="gramEnd"/>
            <w:r w:rsidRPr="0057401D">
              <w:rPr>
                <w:rFonts w:ascii="Cambria" w:hAnsi="Cambria"/>
                <w:lang w:val="it-IT"/>
              </w:rPr>
              <w:t xml:space="preserve"> </w:t>
            </w:r>
            <w:proofErr w:type="spellStart"/>
            <w:r w:rsidRPr="0057401D">
              <w:rPr>
                <w:rFonts w:ascii="Cambria" w:hAnsi="Cambria"/>
                <w:lang w:val="it-IT"/>
              </w:rPr>
              <w:t>dopuštenih</w:t>
            </w:r>
            <w:proofErr w:type="spellEnd"/>
            <w:r w:rsidRPr="0057401D">
              <w:rPr>
                <w:rFonts w:ascii="Cambria" w:hAnsi="Cambria"/>
                <w:lang w:val="it-IT"/>
              </w:rPr>
              <w:t xml:space="preserve"> 30% </w:t>
            </w:r>
            <w:proofErr w:type="spellStart"/>
            <w:r w:rsidRPr="0057401D">
              <w:rPr>
                <w:rFonts w:ascii="Cambria" w:hAnsi="Cambria"/>
                <w:lang w:val="it-IT"/>
              </w:rPr>
              <w:t>izostanaka</w:t>
            </w:r>
            <w:proofErr w:type="spellEnd"/>
          </w:p>
          <w:p w14:paraId="53F9FDBB" w14:textId="77777777" w:rsidR="00450B7A" w:rsidRPr="0057401D" w:rsidRDefault="00450B7A" w:rsidP="006B2F54">
            <w:pPr>
              <w:spacing w:after="0" w:line="240" w:lineRule="auto"/>
              <w:rPr>
                <w:rFonts w:ascii="Cambria" w:hAnsi="Cambria"/>
                <w:lang w:val="it-IT"/>
              </w:rPr>
            </w:pPr>
            <w:r w:rsidRPr="0057401D">
              <w:rPr>
                <w:rFonts w:ascii="Cambria" w:hAnsi="Cambria"/>
                <w:lang w:val="it-IT"/>
              </w:rPr>
              <w:t xml:space="preserve">5% = </w:t>
            </w:r>
            <w:proofErr w:type="spellStart"/>
            <w:r w:rsidRPr="0057401D">
              <w:rPr>
                <w:rFonts w:ascii="Cambria" w:hAnsi="Cambria"/>
                <w:lang w:val="it-IT"/>
              </w:rPr>
              <w:t>prisustvuje</w:t>
            </w:r>
            <w:proofErr w:type="spellEnd"/>
            <w:r w:rsidRPr="0057401D">
              <w:rPr>
                <w:rFonts w:ascii="Cambria" w:hAnsi="Cambria"/>
                <w:lang w:val="it-IT"/>
              </w:rPr>
              <w:t xml:space="preserve"> </w:t>
            </w:r>
            <w:proofErr w:type="spellStart"/>
            <w:r w:rsidRPr="0057401D">
              <w:rPr>
                <w:rFonts w:ascii="Cambria" w:hAnsi="Cambria"/>
                <w:lang w:val="it-IT"/>
              </w:rPr>
              <w:t>nastavi</w:t>
            </w:r>
            <w:proofErr w:type="spellEnd"/>
            <w:r w:rsidRPr="0057401D">
              <w:rPr>
                <w:rFonts w:ascii="Cambria" w:hAnsi="Cambria"/>
                <w:lang w:val="it-IT"/>
              </w:rPr>
              <w:t xml:space="preserve">, no ne </w:t>
            </w:r>
            <w:proofErr w:type="spellStart"/>
            <w:r w:rsidRPr="0057401D">
              <w:rPr>
                <w:rFonts w:ascii="Cambria" w:hAnsi="Cambria"/>
                <w:lang w:val="it-IT"/>
              </w:rPr>
              <w:t>sudjeluje</w:t>
            </w:r>
            <w:proofErr w:type="spellEnd"/>
          </w:p>
          <w:p w14:paraId="3887CEC5" w14:textId="77777777" w:rsidR="00450B7A" w:rsidRPr="0057401D" w:rsidRDefault="00450B7A" w:rsidP="006B2F54">
            <w:pPr>
              <w:spacing w:after="0" w:line="240" w:lineRule="auto"/>
              <w:rPr>
                <w:rFonts w:ascii="Cambria" w:hAnsi="Cambria"/>
                <w:lang w:val="it-IT"/>
              </w:rPr>
            </w:pPr>
            <w:r w:rsidRPr="0057401D">
              <w:rPr>
                <w:rFonts w:ascii="Cambria" w:hAnsi="Cambria"/>
                <w:lang w:val="it-IT"/>
              </w:rPr>
              <w:t xml:space="preserve">10% = </w:t>
            </w:r>
            <w:proofErr w:type="spellStart"/>
            <w:r w:rsidRPr="0057401D">
              <w:rPr>
                <w:rFonts w:ascii="Cambria" w:hAnsi="Cambria"/>
                <w:lang w:val="it-IT"/>
              </w:rPr>
              <w:t>sudjeluje</w:t>
            </w:r>
            <w:proofErr w:type="spellEnd"/>
            <w:r w:rsidRPr="0057401D">
              <w:rPr>
                <w:rFonts w:ascii="Cambria" w:hAnsi="Cambria"/>
                <w:lang w:val="it-IT"/>
              </w:rPr>
              <w:t xml:space="preserve">, no </w:t>
            </w:r>
            <w:proofErr w:type="spellStart"/>
            <w:r w:rsidRPr="0057401D">
              <w:rPr>
                <w:rFonts w:ascii="Cambria" w:hAnsi="Cambria"/>
                <w:lang w:val="it-IT"/>
              </w:rPr>
              <w:t>bez</w:t>
            </w:r>
            <w:proofErr w:type="spellEnd"/>
            <w:r w:rsidRPr="0057401D">
              <w:rPr>
                <w:rFonts w:ascii="Cambria" w:hAnsi="Cambria"/>
                <w:lang w:val="it-IT"/>
              </w:rPr>
              <w:t xml:space="preserve"> </w:t>
            </w:r>
            <w:proofErr w:type="spellStart"/>
            <w:r w:rsidRPr="0057401D">
              <w:rPr>
                <w:rFonts w:ascii="Cambria" w:hAnsi="Cambria"/>
                <w:lang w:val="it-IT"/>
              </w:rPr>
              <w:t>vlastite</w:t>
            </w:r>
            <w:proofErr w:type="spellEnd"/>
            <w:r w:rsidRPr="0057401D">
              <w:rPr>
                <w:rFonts w:ascii="Cambria" w:hAnsi="Cambria"/>
                <w:lang w:val="it-IT"/>
              </w:rPr>
              <w:t xml:space="preserve"> </w:t>
            </w:r>
            <w:proofErr w:type="spellStart"/>
            <w:r w:rsidRPr="0057401D">
              <w:rPr>
                <w:rFonts w:ascii="Cambria" w:hAnsi="Cambria"/>
                <w:lang w:val="it-IT"/>
              </w:rPr>
              <w:t>inicijative</w:t>
            </w:r>
            <w:proofErr w:type="spellEnd"/>
            <w:r w:rsidRPr="0057401D">
              <w:rPr>
                <w:rFonts w:ascii="Cambria" w:hAnsi="Cambria"/>
                <w:lang w:val="it-IT"/>
              </w:rPr>
              <w:t xml:space="preserve"> i </w:t>
            </w:r>
            <w:proofErr w:type="spellStart"/>
            <w:r w:rsidRPr="0057401D">
              <w:rPr>
                <w:rFonts w:ascii="Cambria" w:hAnsi="Cambria"/>
                <w:lang w:val="it-IT"/>
              </w:rPr>
              <w:t>adekvatne</w:t>
            </w:r>
            <w:proofErr w:type="spellEnd"/>
            <w:r w:rsidRPr="0057401D">
              <w:rPr>
                <w:rFonts w:ascii="Cambria" w:hAnsi="Cambria"/>
                <w:lang w:val="it-IT"/>
              </w:rPr>
              <w:t xml:space="preserve"> </w:t>
            </w:r>
            <w:proofErr w:type="spellStart"/>
            <w:r w:rsidRPr="0057401D">
              <w:rPr>
                <w:rFonts w:ascii="Cambria" w:hAnsi="Cambria"/>
                <w:lang w:val="it-IT"/>
              </w:rPr>
              <w:t>pripreme</w:t>
            </w:r>
            <w:proofErr w:type="spellEnd"/>
            <w:r w:rsidRPr="0057401D">
              <w:rPr>
                <w:rFonts w:ascii="Cambria" w:hAnsi="Cambria"/>
                <w:lang w:val="it-IT"/>
              </w:rPr>
              <w:t xml:space="preserve"> </w:t>
            </w:r>
          </w:p>
          <w:p w14:paraId="4D141B41" w14:textId="77777777" w:rsidR="00450B7A" w:rsidRPr="0057401D" w:rsidRDefault="00450B7A" w:rsidP="006B2F54">
            <w:pPr>
              <w:spacing w:after="0" w:line="240" w:lineRule="auto"/>
              <w:rPr>
                <w:rFonts w:ascii="Cambria" w:hAnsi="Cambria"/>
                <w:lang w:val="it-IT"/>
              </w:rPr>
            </w:pPr>
            <w:r w:rsidRPr="0057401D">
              <w:rPr>
                <w:rFonts w:ascii="Cambria" w:hAnsi="Cambria"/>
                <w:lang w:val="it-IT"/>
              </w:rPr>
              <w:t xml:space="preserve">15% = </w:t>
            </w:r>
            <w:proofErr w:type="spellStart"/>
            <w:r w:rsidRPr="0057401D">
              <w:rPr>
                <w:rFonts w:ascii="Cambria" w:hAnsi="Cambria"/>
                <w:lang w:val="it-IT"/>
              </w:rPr>
              <w:t>dobrovoljno</w:t>
            </w:r>
            <w:proofErr w:type="spellEnd"/>
            <w:r w:rsidRPr="0057401D">
              <w:rPr>
                <w:rFonts w:ascii="Cambria" w:hAnsi="Cambria"/>
                <w:lang w:val="it-IT"/>
              </w:rPr>
              <w:t xml:space="preserve"> i </w:t>
            </w:r>
            <w:proofErr w:type="spellStart"/>
            <w:r w:rsidRPr="0057401D">
              <w:rPr>
                <w:rFonts w:ascii="Cambria" w:hAnsi="Cambria"/>
                <w:lang w:val="it-IT"/>
              </w:rPr>
              <w:t>korektno</w:t>
            </w:r>
            <w:proofErr w:type="spellEnd"/>
            <w:r w:rsidRPr="0057401D">
              <w:rPr>
                <w:rFonts w:ascii="Cambria" w:hAnsi="Cambria"/>
                <w:lang w:val="it-IT"/>
              </w:rPr>
              <w:t xml:space="preserve"> </w:t>
            </w:r>
            <w:proofErr w:type="spellStart"/>
            <w:r w:rsidRPr="0057401D">
              <w:rPr>
                <w:rFonts w:ascii="Cambria" w:hAnsi="Cambria"/>
                <w:lang w:val="it-IT"/>
              </w:rPr>
              <w:t>pripremljen</w:t>
            </w:r>
            <w:proofErr w:type="spellEnd"/>
            <w:r w:rsidRPr="0057401D">
              <w:rPr>
                <w:rFonts w:ascii="Cambria" w:hAnsi="Cambria"/>
                <w:lang w:val="it-IT"/>
              </w:rPr>
              <w:t>/-</w:t>
            </w:r>
            <w:proofErr w:type="spellStart"/>
            <w:r w:rsidRPr="0057401D">
              <w:rPr>
                <w:rFonts w:ascii="Cambria" w:hAnsi="Cambria"/>
                <w:lang w:val="it-IT"/>
              </w:rPr>
              <w:t>na</w:t>
            </w:r>
            <w:proofErr w:type="spellEnd"/>
            <w:r w:rsidRPr="0057401D">
              <w:rPr>
                <w:rFonts w:ascii="Cambria" w:hAnsi="Cambria"/>
                <w:lang w:val="it-IT"/>
              </w:rPr>
              <w:t xml:space="preserve"> </w:t>
            </w:r>
            <w:proofErr w:type="spellStart"/>
            <w:r w:rsidRPr="0057401D">
              <w:rPr>
                <w:rFonts w:ascii="Cambria" w:hAnsi="Cambria"/>
                <w:lang w:val="it-IT"/>
              </w:rPr>
              <w:t>sudjeluje</w:t>
            </w:r>
            <w:proofErr w:type="spellEnd"/>
            <w:r w:rsidRPr="0057401D">
              <w:rPr>
                <w:rFonts w:ascii="Cambria" w:hAnsi="Cambria"/>
                <w:lang w:val="it-IT"/>
              </w:rPr>
              <w:t xml:space="preserve"> u </w:t>
            </w:r>
            <w:proofErr w:type="spellStart"/>
            <w:r w:rsidRPr="0057401D">
              <w:rPr>
                <w:rFonts w:ascii="Cambria" w:hAnsi="Cambria"/>
                <w:lang w:val="it-IT"/>
              </w:rPr>
              <w:t>nastavnome</w:t>
            </w:r>
            <w:proofErr w:type="spellEnd"/>
            <w:r w:rsidRPr="0057401D">
              <w:rPr>
                <w:rFonts w:ascii="Cambria" w:hAnsi="Cambria"/>
                <w:lang w:val="it-IT"/>
              </w:rPr>
              <w:t xml:space="preserve"> </w:t>
            </w:r>
            <w:proofErr w:type="spellStart"/>
            <w:r w:rsidRPr="0057401D">
              <w:rPr>
                <w:rFonts w:ascii="Cambria" w:hAnsi="Cambria"/>
                <w:lang w:val="it-IT"/>
              </w:rPr>
              <w:t>procesu</w:t>
            </w:r>
            <w:proofErr w:type="spellEnd"/>
          </w:p>
          <w:p w14:paraId="50B9E7B0" w14:textId="5D1A3C0C" w:rsidR="00450B7A" w:rsidRPr="0057401D" w:rsidRDefault="00450B7A" w:rsidP="006B2F54">
            <w:pPr>
              <w:spacing w:after="0" w:line="240" w:lineRule="auto"/>
              <w:rPr>
                <w:rFonts w:ascii="Cambria" w:hAnsi="Cambria"/>
                <w:lang w:val="it-IT"/>
              </w:rPr>
            </w:pPr>
            <w:r w:rsidRPr="0057401D">
              <w:rPr>
                <w:rFonts w:ascii="Cambria" w:hAnsi="Cambria"/>
                <w:lang w:val="it-IT"/>
              </w:rPr>
              <w:t xml:space="preserve">20% = </w:t>
            </w:r>
            <w:proofErr w:type="spellStart"/>
            <w:r w:rsidRPr="0057401D">
              <w:rPr>
                <w:rFonts w:ascii="Cambria" w:hAnsi="Cambria"/>
                <w:lang w:val="it-IT"/>
              </w:rPr>
              <w:t>redovito</w:t>
            </w:r>
            <w:proofErr w:type="spellEnd"/>
            <w:r w:rsidRPr="0057401D">
              <w:rPr>
                <w:rFonts w:ascii="Cambria" w:hAnsi="Cambria"/>
                <w:lang w:val="it-IT"/>
              </w:rPr>
              <w:t xml:space="preserve"> </w:t>
            </w:r>
            <w:proofErr w:type="spellStart"/>
            <w:r w:rsidRPr="0057401D">
              <w:rPr>
                <w:rFonts w:ascii="Cambria" w:hAnsi="Cambria"/>
                <w:lang w:val="it-IT"/>
              </w:rPr>
              <w:t>pripremljen</w:t>
            </w:r>
            <w:proofErr w:type="spellEnd"/>
            <w:r w:rsidRPr="0057401D">
              <w:rPr>
                <w:rFonts w:ascii="Cambria" w:hAnsi="Cambria"/>
                <w:lang w:val="it-IT"/>
              </w:rPr>
              <w:t>/-</w:t>
            </w:r>
            <w:proofErr w:type="spellStart"/>
            <w:r w:rsidRPr="0057401D">
              <w:rPr>
                <w:rFonts w:ascii="Cambria" w:hAnsi="Cambria"/>
                <w:lang w:val="it-IT"/>
              </w:rPr>
              <w:t>na</w:t>
            </w:r>
            <w:proofErr w:type="spellEnd"/>
            <w:r w:rsidRPr="0057401D">
              <w:rPr>
                <w:rFonts w:ascii="Cambria" w:hAnsi="Cambria"/>
                <w:lang w:val="it-IT"/>
              </w:rPr>
              <w:t xml:space="preserve">, </w:t>
            </w:r>
            <w:proofErr w:type="spellStart"/>
            <w:r w:rsidRPr="0057401D">
              <w:rPr>
                <w:rFonts w:ascii="Cambria" w:hAnsi="Cambria"/>
                <w:lang w:val="it-IT"/>
              </w:rPr>
              <w:t>pokazuje</w:t>
            </w:r>
            <w:proofErr w:type="spellEnd"/>
            <w:r w:rsidRPr="0057401D">
              <w:rPr>
                <w:rFonts w:ascii="Cambria" w:hAnsi="Cambria"/>
                <w:lang w:val="it-IT"/>
              </w:rPr>
              <w:t xml:space="preserve"> </w:t>
            </w:r>
            <w:proofErr w:type="spellStart"/>
            <w:r w:rsidRPr="0057401D">
              <w:rPr>
                <w:rFonts w:ascii="Cambria" w:hAnsi="Cambria"/>
                <w:lang w:val="it-IT"/>
              </w:rPr>
              <w:t>visoku</w:t>
            </w:r>
            <w:proofErr w:type="spellEnd"/>
            <w:r w:rsidRPr="0057401D">
              <w:rPr>
                <w:rFonts w:ascii="Cambria" w:hAnsi="Cambria"/>
                <w:lang w:val="it-IT"/>
              </w:rPr>
              <w:t xml:space="preserve"> </w:t>
            </w:r>
            <w:proofErr w:type="spellStart"/>
            <w:r w:rsidRPr="0057401D">
              <w:rPr>
                <w:rFonts w:ascii="Cambria" w:hAnsi="Cambria"/>
                <w:lang w:val="it-IT"/>
              </w:rPr>
              <w:t>motiviranost</w:t>
            </w:r>
            <w:proofErr w:type="spellEnd"/>
            <w:r w:rsidRPr="0057401D">
              <w:rPr>
                <w:rFonts w:ascii="Cambria" w:hAnsi="Cambria"/>
                <w:lang w:val="it-IT"/>
              </w:rPr>
              <w:t xml:space="preserve">, </w:t>
            </w:r>
            <w:proofErr w:type="spellStart"/>
            <w:r w:rsidRPr="0057401D">
              <w:rPr>
                <w:rFonts w:ascii="Cambria" w:hAnsi="Cambria"/>
                <w:lang w:val="it-IT"/>
              </w:rPr>
              <w:t>doprinosi</w:t>
            </w:r>
            <w:proofErr w:type="spellEnd"/>
            <w:r w:rsidRPr="0057401D">
              <w:rPr>
                <w:rFonts w:ascii="Cambria" w:hAnsi="Cambria"/>
                <w:lang w:val="it-IT"/>
              </w:rPr>
              <w:t xml:space="preserve"> </w:t>
            </w:r>
            <w:proofErr w:type="spellStart"/>
            <w:r w:rsidRPr="0057401D">
              <w:rPr>
                <w:rFonts w:ascii="Cambria" w:hAnsi="Cambria"/>
                <w:lang w:val="it-IT"/>
              </w:rPr>
              <w:t>nastavi</w:t>
            </w:r>
            <w:proofErr w:type="spellEnd"/>
            <w:r w:rsidRPr="0057401D">
              <w:rPr>
                <w:rFonts w:ascii="Cambria" w:hAnsi="Cambria"/>
                <w:lang w:val="it-IT"/>
              </w:rPr>
              <w:t xml:space="preserve"> </w:t>
            </w:r>
            <w:proofErr w:type="spellStart"/>
            <w:r w:rsidRPr="0057401D">
              <w:rPr>
                <w:rFonts w:ascii="Cambria" w:hAnsi="Cambria"/>
                <w:lang w:val="it-IT"/>
              </w:rPr>
              <w:t>vlastitim</w:t>
            </w:r>
            <w:proofErr w:type="spellEnd"/>
            <w:r w:rsidRPr="0057401D">
              <w:rPr>
                <w:rFonts w:ascii="Cambria" w:hAnsi="Cambria"/>
                <w:lang w:val="it-IT"/>
              </w:rPr>
              <w:t xml:space="preserve"> </w:t>
            </w:r>
            <w:proofErr w:type="spellStart"/>
            <w:r w:rsidRPr="0057401D">
              <w:rPr>
                <w:rFonts w:ascii="Cambria" w:hAnsi="Cambria"/>
                <w:lang w:val="it-IT"/>
              </w:rPr>
              <w:t>idejama</w:t>
            </w:r>
            <w:proofErr w:type="spellEnd"/>
            <w:r w:rsidRPr="0057401D">
              <w:rPr>
                <w:rFonts w:ascii="Cambria" w:hAnsi="Cambria"/>
                <w:lang w:val="it-IT"/>
              </w:rPr>
              <w:t xml:space="preserve"> i </w:t>
            </w:r>
            <w:proofErr w:type="spellStart"/>
            <w:r w:rsidRPr="0057401D">
              <w:rPr>
                <w:rFonts w:ascii="Cambria" w:hAnsi="Cambria"/>
                <w:lang w:val="it-IT"/>
              </w:rPr>
              <w:t>prijedlozima</w:t>
            </w:r>
            <w:proofErr w:type="spellEnd"/>
          </w:p>
          <w:p w14:paraId="06FA2FDF" w14:textId="5C95EAA8" w:rsidR="00450B7A" w:rsidRPr="006B2F54" w:rsidRDefault="00450B7A" w:rsidP="006B2F54">
            <w:pPr>
              <w:spacing w:after="0" w:line="240" w:lineRule="auto"/>
              <w:jc w:val="both"/>
              <w:rPr>
                <w:rFonts w:ascii="Cambria" w:hAnsi="Cambria"/>
                <w:lang w:val="it-IT"/>
              </w:rPr>
            </w:pPr>
            <w:r w:rsidRPr="0057401D">
              <w:rPr>
                <w:rFonts w:ascii="Cambria" w:hAnsi="Cambria"/>
                <w:lang w:val="it-IT"/>
              </w:rPr>
              <w:t>Studenti /</w:t>
            </w:r>
            <w:proofErr w:type="spellStart"/>
            <w:r w:rsidRPr="0057401D">
              <w:rPr>
                <w:rFonts w:ascii="Cambria" w:hAnsi="Cambria"/>
                <w:lang w:val="it-IT"/>
              </w:rPr>
              <w:t>studentice</w:t>
            </w:r>
            <w:proofErr w:type="spellEnd"/>
            <w:r w:rsidRPr="0057401D">
              <w:rPr>
                <w:rFonts w:ascii="Cambria" w:hAnsi="Cambria"/>
                <w:lang w:val="it-IT"/>
              </w:rPr>
              <w:t xml:space="preserve"> </w:t>
            </w:r>
            <w:proofErr w:type="spellStart"/>
            <w:r w:rsidRPr="0057401D">
              <w:rPr>
                <w:rFonts w:ascii="Cambria" w:hAnsi="Cambria"/>
                <w:lang w:val="it-IT"/>
              </w:rPr>
              <w:t>dužni</w:t>
            </w:r>
            <w:proofErr w:type="spellEnd"/>
            <w:r w:rsidRPr="0057401D">
              <w:rPr>
                <w:rFonts w:ascii="Cambria" w:hAnsi="Cambria"/>
                <w:lang w:val="it-IT"/>
              </w:rPr>
              <w:t xml:space="preserve"> su </w:t>
            </w:r>
            <w:proofErr w:type="spellStart"/>
            <w:r w:rsidRPr="0057401D">
              <w:rPr>
                <w:rFonts w:ascii="Cambria" w:hAnsi="Cambria"/>
                <w:lang w:val="it-IT"/>
              </w:rPr>
              <w:t>napisati</w:t>
            </w:r>
            <w:proofErr w:type="spellEnd"/>
            <w:r w:rsidRPr="0057401D">
              <w:rPr>
                <w:rFonts w:ascii="Cambria" w:hAnsi="Cambria"/>
                <w:lang w:val="it-IT"/>
              </w:rPr>
              <w:t xml:space="preserve">, predati i </w:t>
            </w:r>
            <w:proofErr w:type="spellStart"/>
            <w:r w:rsidRPr="0057401D">
              <w:rPr>
                <w:rFonts w:ascii="Cambria" w:hAnsi="Cambria"/>
                <w:lang w:val="it-IT"/>
              </w:rPr>
              <w:t>prezentirati</w:t>
            </w:r>
            <w:proofErr w:type="spellEnd"/>
            <w:r w:rsidRPr="0057401D">
              <w:rPr>
                <w:rFonts w:ascii="Cambria" w:hAnsi="Cambria"/>
                <w:lang w:val="it-IT"/>
              </w:rPr>
              <w:t xml:space="preserve"> </w:t>
            </w:r>
            <w:proofErr w:type="spellStart"/>
            <w:r w:rsidRPr="0057401D">
              <w:rPr>
                <w:rFonts w:ascii="Cambria" w:hAnsi="Cambria"/>
                <w:lang w:val="it-IT"/>
              </w:rPr>
              <w:t>seminarski</w:t>
            </w:r>
            <w:proofErr w:type="spellEnd"/>
            <w:r w:rsidRPr="0057401D">
              <w:rPr>
                <w:rFonts w:ascii="Cambria" w:hAnsi="Cambria"/>
                <w:lang w:val="it-IT"/>
              </w:rPr>
              <w:t xml:space="preserve"> rad </w:t>
            </w:r>
            <w:proofErr w:type="spellStart"/>
            <w:r w:rsidRPr="0057401D">
              <w:rPr>
                <w:rFonts w:ascii="Cambria" w:hAnsi="Cambria"/>
                <w:lang w:val="it-IT"/>
              </w:rPr>
              <w:t>na</w:t>
            </w:r>
            <w:proofErr w:type="spellEnd"/>
            <w:r w:rsidRPr="0057401D">
              <w:rPr>
                <w:rFonts w:ascii="Cambria" w:hAnsi="Cambria"/>
                <w:lang w:val="it-IT"/>
              </w:rPr>
              <w:t xml:space="preserve"> </w:t>
            </w:r>
            <w:proofErr w:type="spellStart"/>
            <w:r w:rsidRPr="0057401D">
              <w:rPr>
                <w:rFonts w:ascii="Cambria" w:hAnsi="Cambria"/>
                <w:lang w:val="it-IT"/>
              </w:rPr>
              <w:t>izabranu</w:t>
            </w:r>
            <w:proofErr w:type="spellEnd"/>
            <w:r w:rsidRPr="0057401D">
              <w:rPr>
                <w:rFonts w:ascii="Cambria" w:hAnsi="Cambria"/>
                <w:lang w:val="it-IT"/>
              </w:rPr>
              <w:t xml:space="preserve"> </w:t>
            </w:r>
            <w:proofErr w:type="spellStart"/>
            <w:r w:rsidRPr="0057401D">
              <w:rPr>
                <w:rFonts w:ascii="Cambria" w:hAnsi="Cambria"/>
                <w:lang w:val="it-IT"/>
              </w:rPr>
              <w:t>temu</w:t>
            </w:r>
            <w:proofErr w:type="spellEnd"/>
            <w:r w:rsidRPr="0057401D">
              <w:rPr>
                <w:rFonts w:ascii="Cambria" w:hAnsi="Cambria"/>
                <w:lang w:val="it-IT"/>
              </w:rPr>
              <w:t xml:space="preserve"> (</w:t>
            </w:r>
            <w:proofErr w:type="spellStart"/>
            <w:r w:rsidRPr="0057401D">
              <w:rPr>
                <w:rFonts w:ascii="Cambria" w:hAnsi="Cambria"/>
                <w:lang w:val="it-IT"/>
              </w:rPr>
              <w:t>uvjet</w:t>
            </w:r>
            <w:proofErr w:type="spellEnd"/>
            <w:r w:rsidRPr="0057401D">
              <w:rPr>
                <w:rFonts w:ascii="Cambria" w:hAnsi="Cambria"/>
                <w:lang w:val="it-IT"/>
              </w:rPr>
              <w:t xml:space="preserve"> </w:t>
            </w:r>
            <w:proofErr w:type="spellStart"/>
            <w:r w:rsidRPr="0057401D">
              <w:rPr>
                <w:rFonts w:ascii="Cambria" w:hAnsi="Cambria"/>
                <w:lang w:val="it-IT"/>
              </w:rPr>
              <w:t>pristupa</w:t>
            </w:r>
            <w:proofErr w:type="spellEnd"/>
            <w:r w:rsidRPr="0057401D">
              <w:rPr>
                <w:rFonts w:ascii="Cambria" w:hAnsi="Cambria"/>
                <w:lang w:val="it-IT"/>
              </w:rPr>
              <w:t xml:space="preserve"> </w:t>
            </w:r>
            <w:proofErr w:type="spellStart"/>
            <w:r w:rsidRPr="0057401D">
              <w:rPr>
                <w:rFonts w:ascii="Cambria" w:hAnsi="Cambria"/>
                <w:lang w:val="it-IT"/>
              </w:rPr>
              <w:t>ispitu</w:t>
            </w:r>
            <w:proofErr w:type="spellEnd"/>
            <w:r w:rsidRPr="0057401D">
              <w:rPr>
                <w:rFonts w:ascii="Cambria" w:hAnsi="Cambria"/>
                <w:lang w:val="it-IT"/>
              </w:rPr>
              <w:t xml:space="preserve">). </w:t>
            </w:r>
            <w:proofErr w:type="spellStart"/>
            <w:r w:rsidRPr="0057401D">
              <w:rPr>
                <w:rFonts w:ascii="Cambria" w:hAnsi="Cambria"/>
                <w:lang w:val="it-IT"/>
              </w:rPr>
              <w:t>Popis</w:t>
            </w:r>
            <w:proofErr w:type="spellEnd"/>
            <w:r w:rsidRPr="0057401D">
              <w:rPr>
                <w:rFonts w:ascii="Cambria" w:hAnsi="Cambria"/>
                <w:lang w:val="it-IT"/>
              </w:rPr>
              <w:t xml:space="preserve"> </w:t>
            </w:r>
            <w:proofErr w:type="spellStart"/>
            <w:r w:rsidRPr="0057401D">
              <w:rPr>
                <w:rFonts w:ascii="Cambria" w:hAnsi="Cambria"/>
                <w:lang w:val="it-IT"/>
              </w:rPr>
              <w:t>ponuđenih</w:t>
            </w:r>
            <w:proofErr w:type="spellEnd"/>
            <w:r w:rsidRPr="0057401D">
              <w:rPr>
                <w:rFonts w:ascii="Cambria" w:hAnsi="Cambria"/>
                <w:lang w:val="it-IT"/>
              </w:rPr>
              <w:t xml:space="preserve"> tema </w:t>
            </w:r>
            <w:proofErr w:type="spellStart"/>
            <w:r w:rsidRPr="0057401D">
              <w:rPr>
                <w:rFonts w:ascii="Cambria" w:hAnsi="Cambria"/>
                <w:lang w:val="it-IT"/>
              </w:rPr>
              <w:t>objavljuje</w:t>
            </w:r>
            <w:proofErr w:type="spellEnd"/>
            <w:r w:rsidRPr="0057401D">
              <w:rPr>
                <w:rFonts w:ascii="Cambria" w:hAnsi="Cambria"/>
                <w:lang w:val="it-IT"/>
              </w:rPr>
              <w:t xml:space="preserve"> se </w:t>
            </w:r>
            <w:proofErr w:type="spellStart"/>
            <w:r w:rsidRPr="0057401D">
              <w:rPr>
                <w:rFonts w:ascii="Cambria" w:hAnsi="Cambria"/>
                <w:lang w:val="it-IT"/>
              </w:rPr>
              <w:t>na</w:t>
            </w:r>
            <w:proofErr w:type="spellEnd"/>
            <w:r w:rsidRPr="0057401D">
              <w:rPr>
                <w:rFonts w:ascii="Cambria" w:hAnsi="Cambria"/>
                <w:lang w:val="it-IT"/>
              </w:rPr>
              <w:t xml:space="preserve"> e-</w:t>
            </w:r>
            <w:proofErr w:type="spellStart"/>
            <w:r w:rsidRPr="0057401D">
              <w:rPr>
                <w:rFonts w:ascii="Cambria" w:hAnsi="Cambria"/>
                <w:lang w:val="it-IT"/>
              </w:rPr>
              <w:t>učenju</w:t>
            </w:r>
            <w:proofErr w:type="spellEnd"/>
            <w:r w:rsidRPr="0057401D">
              <w:rPr>
                <w:rFonts w:ascii="Cambria" w:hAnsi="Cambria"/>
                <w:lang w:val="it-IT"/>
              </w:rPr>
              <w:t xml:space="preserve">. Studenti / </w:t>
            </w:r>
            <w:proofErr w:type="spellStart"/>
            <w:r w:rsidRPr="0057401D">
              <w:rPr>
                <w:rFonts w:ascii="Cambria" w:hAnsi="Cambria"/>
                <w:lang w:val="it-IT"/>
              </w:rPr>
              <w:t>studentice</w:t>
            </w:r>
            <w:proofErr w:type="spellEnd"/>
            <w:r w:rsidRPr="0057401D">
              <w:rPr>
                <w:rFonts w:ascii="Cambria" w:hAnsi="Cambria"/>
                <w:lang w:val="it-IT"/>
              </w:rPr>
              <w:t xml:space="preserve"> </w:t>
            </w:r>
            <w:proofErr w:type="spellStart"/>
            <w:r w:rsidRPr="0057401D">
              <w:rPr>
                <w:rFonts w:ascii="Cambria" w:hAnsi="Cambria"/>
                <w:lang w:val="it-IT"/>
              </w:rPr>
              <w:t>mogu</w:t>
            </w:r>
            <w:proofErr w:type="spellEnd"/>
            <w:r w:rsidRPr="0057401D">
              <w:rPr>
                <w:rFonts w:ascii="Cambria" w:hAnsi="Cambria"/>
                <w:lang w:val="it-IT"/>
              </w:rPr>
              <w:t xml:space="preserve"> </w:t>
            </w:r>
            <w:proofErr w:type="spellStart"/>
            <w:r w:rsidRPr="0057401D">
              <w:rPr>
                <w:rFonts w:ascii="Cambria" w:hAnsi="Cambria"/>
                <w:lang w:val="it-IT"/>
              </w:rPr>
              <w:t>predmetnom</w:t>
            </w:r>
            <w:proofErr w:type="spellEnd"/>
            <w:r w:rsidRPr="0057401D">
              <w:rPr>
                <w:rFonts w:ascii="Cambria" w:hAnsi="Cambria"/>
                <w:lang w:val="it-IT"/>
              </w:rPr>
              <w:t xml:space="preserve"> </w:t>
            </w:r>
            <w:proofErr w:type="spellStart"/>
            <w:r w:rsidRPr="0057401D">
              <w:rPr>
                <w:rFonts w:ascii="Cambria" w:hAnsi="Cambria"/>
                <w:lang w:val="it-IT"/>
              </w:rPr>
              <w:t>nastavniku</w:t>
            </w:r>
            <w:proofErr w:type="spellEnd"/>
            <w:r w:rsidRPr="0057401D">
              <w:rPr>
                <w:rFonts w:ascii="Cambria" w:hAnsi="Cambria"/>
                <w:lang w:val="it-IT"/>
              </w:rPr>
              <w:t xml:space="preserve"> </w:t>
            </w:r>
            <w:proofErr w:type="spellStart"/>
            <w:r w:rsidRPr="0057401D">
              <w:rPr>
                <w:rFonts w:ascii="Cambria" w:hAnsi="Cambria"/>
                <w:lang w:val="it-IT"/>
              </w:rPr>
              <w:t>predložiti</w:t>
            </w:r>
            <w:proofErr w:type="spellEnd"/>
            <w:r w:rsidRPr="0057401D">
              <w:rPr>
                <w:rFonts w:ascii="Cambria" w:hAnsi="Cambria"/>
                <w:lang w:val="it-IT"/>
              </w:rPr>
              <w:t xml:space="preserve"> i </w:t>
            </w:r>
            <w:proofErr w:type="spellStart"/>
            <w:r w:rsidRPr="0057401D">
              <w:rPr>
                <w:rFonts w:ascii="Cambria" w:hAnsi="Cambria"/>
                <w:lang w:val="it-IT"/>
              </w:rPr>
              <w:t>temu</w:t>
            </w:r>
            <w:proofErr w:type="spellEnd"/>
            <w:r w:rsidRPr="0057401D">
              <w:rPr>
                <w:rFonts w:ascii="Cambria" w:hAnsi="Cambria"/>
                <w:lang w:val="it-IT"/>
              </w:rPr>
              <w:t xml:space="preserve"> </w:t>
            </w:r>
            <w:proofErr w:type="spellStart"/>
            <w:r w:rsidRPr="0057401D">
              <w:rPr>
                <w:rFonts w:ascii="Cambria" w:hAnsi="Cambria"/>
                <w:lang w:val="it-IT"/>
              </w:rPr>
              <w:t>izvan</w:t>
            </w:r>
            <w:proofErr w:type="spellEnd"/>
            <w:r w:rsidRPr="0057401D">
              <w:rPr>
                <w:rFonts w:ascii="Cambria" w:hAnsi="Cambria"/>
                <w:lang w:val="it-IT"/>
              </w:rPr>
              <w:t xml:space="preserve"> </w:t>
            </w:r>
            <w:proofErr w:type="spellStart"/>
            <w:r w:rsidRPr="0057401D">
              <w:rPr>
                <w:rFonts w:ascii="Cambria" w:hAnsi="Cambria"/>
                <w:lang w:val="it-IT"/>
              </w:rPr>
              <w:t>popisa</w:t>
            </w:r>
            <w:proofErr w:type="spellEnd"/>
            <w:r w:rsidRPr="0057401D">
              <w:rPr>
                <w:rFonts w:ascii="Cambria" w:hAnsi="Cambria"/>
                <w:lang w:val="it-IT"/>
              </w:rPr>
              <w:t xml:space="preserve">. </w:t>
            </w:r>
            <w:proofErr w:type="spellStart"/>
            <w:r w:rsidRPr="0057401D">
              <w:rPr>
                <w:rFonts w:ascii="Cambria" w:hAnsi="Cambria"/>
                <w:lang w:val="it-IT"/>
              </w:rPr>
              <w:t>Seminarski</w:t>
            </w:r>
            <w:proofErr w:type="spellEnd"/>
            <w:r w:rsidRPr="0057401D">
              <w:rPr>
                <w:rFonts w:ascii="Cambria" w:hAnsi="Cambria"/>
                <w:lang w:val="it-IT"/>
              </w:rPr>
              <w:t xml:space="preserve"> </w:t>
            </w:r>
            <w:proofErr w:type="spellStart"/>
            <w:r w:rsidRPr="0057401D">
              <w:rPr>
                <w:rFonts w:ascii="Cambria" w:hAnsi="Cambria"/>
                <w:lang w:val="it-IT"/>
              </w:rPr>
              <w:t>radovi</w:t>
            </w:r>
            <w:proofErr w:type="spellEnd"/>
            <w:r w:rsidRPr="0057401D">
              <w:rPr>
                <w:rFonts w:ascii="Cambria" w:hAnsi="Cambria"/>
                <w:lang w:val="it-IT"/>
              </w:rPr>
              <w:t xml:space="preserve"> </w:t>
            </w:r>
            <w:proofErr w:type="spellStart"/>
            <w:r w:rsidRPr="0057401D">
              <w:rPr>
                <w:rFonts w:ascii="Cambria" w:hAnsi="Cambria"/>
                <w:lang w:val="it-IT"/>
              </w:rPr>
              <w:t>temelje</w:t>
            </w:r>
            <w:proofErr w:type="spellEnd"/>
            <w:r w:rsidRPr="0057401D">
              <w:rPr>
                <w:rFonts w:ascii="Cambria" w:hAnsi="Cambria"/>
                <w:lang w:val="it-IT"/>
              </w:rPr>
              <w:t xml:space="preserve"> se </w:t>
            </w:r>
            <w:proofErr w:type="spellStart"/>
            <w:r w:rsidRPr="0057401D">
              <w:rPr>
                <w:rFonts w:ascii="Cambria" w:hAnsi="Cambria"/>
                <w:lang w:val="it-IT"/>
              </w:rPr>
              <w:t>primarno</w:t>
            </w:r>
            <w:proofErr w:type="spellEnd"/>
            <w:r w:rsidRPr="0057401D">
              <w:rPr>
                <w:rFonts w:ascii="Cambria" w:hAnsi="Cambria"/>
                <w:lang w:val="it-IT"/>
              </w:rPr>
              <w:t xml:space="preserve"> </w:t>
            </w:r>
            <w:proofErr w:type="spellStart"/>
            <w:r w:rsidRPr="0057401D">
              <w:rPr>
                <w:rFonts w:ascii="Cambria" w:hAnsi="Cambria"/>
                <w:lang w:val="it-IT"/>
              </w:rPr>
              <w:t>na</w:t>
            </w:r>
            <w:proofErr w:type="spellEnd"/>
            <w:r w:rsidRPr="0057401D">
              <w:rPr>
                <w:rFonts w:ascii="Cambria" w:hAnsi="Cambria"/>
                <w:lang w:val="it-IT"/>
              </w:rPr>
              <w:t xml:space="preserve"> </w:t>
            </w:r>
            <w:proofErr w:type="spellStart"/>
            <w:r w:rsidRPr="0057401D">
              <w:rPr>
                <w:rFonts w:ascii="Cambria" w:hAnsi="Cambria"/>
                <w:lang w:val="it-IT"/>
              </w:rPr>
              <w:t>izbornoj</w:t>
            </w:r>
            <w:proofErr w:type="spellEnd"/>
            <w:r w:rsidRPr="0057401D">
              <w:rPr>
                <w:rFonts w:ascii="Cambria" w:hAnsi="Cambria"/>
                <w:lang w:val="it-IT"/>
              </w:rPr>
              <w:t xml:space="preserve"> </w:t>
            </w:r>
            <w:proofErr w:type="spellStart"/>
            <w:r w:rsidRPr="0057401D">
              <w:rPr>
                <w:rFonts w:ascii="Cambria" w:hAnsi="Cambria"/>
                <w:lang w:val="it-IT"/>
              </w:rPr>
              <w:t>literaturi</w:t>
            </w:r>
            <w:proofErr w:type="spellEnd"/>
            <w:r w:rsidRPr="0057401D">
              <w:rPr>
                <w:rFonts w:ascii="Cambria" w:hAnsi="Cambria"/>
                <w:lang w:val="it-IT"/>
              </w:rPr>
              <w:t xml:space="preserve">, a za </w:t>
            </w:r>
            <w:proofErr w:type="spellStart"/>
            <w:r w:rsidRPr="0057401D">
              <w:rPr>
                <w:rFonts w:ascii="Cambria" w:hAnsi="Cambria"/>
                <w:lang w:val="it-IT"/>
              </w:rPr>
              <w:t>svaku</w:t>
            </w:r>
            <w:proofErr w:type="spellEnd"/>
            <w:r w:rsidRPr="0057401D">
              <w:rPr>
                <w:rFonts w:ascii="Cambria" w:hAnsi="Cambria"/>
                <w:lang w:val="it-IT"/>
              </w:rPr>
              <w:t xml:space="preserve"> </w:t>
            </w:r>
            <w:proofErr w:type="spellStart"/>
            <w:r w:rsidRPr="0057401D">
              <w:rPr>
                <w:rFonts w:ascii="Cambria" w:hAnsi="Cambria"/>
                <w:lang w:val="it-IT"/>
              </w:rPr>
              <w:t>temu</w:t>
            </w:r>
            <w:proofErr w:type="spellEnd"/>
            <w:r w:rsidRPr="0057401D">
              <w:rPr>
                <w:rFonts w:ascii="Cambria" w:hAnsi="Cambria"/>
                <w:lang w:val="it-IT"/>
              </w:rPr>
              <w:t xml:space="preserve"> bit </w:t>
            </w:r>
            <w:proofErr w:type="spellStart"/>
            <w:r w:rsidRPr="0057401D">
              <w:rPr>
                <w:rFonts w:ascii="Cambria" w:hAnsi="Cambria"/>
                <w:lang w:val="it-IT"/>
              </w:rPr>
              <w:t>će</w:t>
            </w:r>
            <w:proofErr w:type="spellEnd"/>
            <w:r w:rsidRPr="0057401D">
              <w:rPr>
                <w:rFonts w:ascii="Cambria" w:hAnsi="Cambria"/>
                <w:lang w:val="it-IT"/>
              </w:rPr>
              <w:t xml:space="preserve"> </w:t>
            </w:r>
            <w:proofErr w:type="spellStart"/>
            <w:r w:rsidRPr="0057401D">
              <w:rPr>
                <w:rFonts w:ascii="Cambria" w:hAnsi="Cambria"/>
                <w:lang w:val="it-IT"/>
              </w:rPr>
              <w:t>preporučena</w:t>
            </w:r>
            <w:proofErr w:type="spellEnd"/>
            <w:r w:rsidRPr="0057401D">
              <w:rPr>
                <w:rFonts w:ascii="Cambria" w:hAnsi="Cambria"/>
                <w:lang w:val="it-IT"/>
              </w:rPr>
              <w:t xml:space="preserve"> i </w:t>
            </w:r>
            <w:proofErr w:type="spellStart"/>
            <w:r w:rsidRPr="0057401D">
              <w:rPr>
                <w:rFonts w:ascii="Cambria" w:hAnsi="Cambria"/>
                <w:lang w:val="it-IT"/>
              </w:rPr>
              <w:t>dodatna</w:t>
            </w:r>
            <w:proofErr w:type="spellEnd"/>
            <w:r w:rsidRPr="0057401D">
              <w:rPr>
                <w:rFonts w:ascii="Cambria" w:hAnsi="Cambria"/>
                <w:lang w:val="it-IT"/>
              </w:rPr>
              <w:t xml:space="preserve"> </w:t>
            </w:r>
            <w:proofErr w:type="spellStart"/>
            <w:r w:rsidRPr="0057401D">
              <w:rPr>
                <w:rFonts w:ascii="Cambria" w:hAnsi="Cambria"/>
                <w:lang w:val="it-IT"/>
              </w:rPr>
              <w:t>literatura</w:t>
            </w:r>
            <w:proofErr w:type="spellEnd"/>
            <w:r w:rsidRPr="0057401D">
              <w:rPr>
                <w:rFonts w:ascii="Cambria" w:hAnsi="Cambria"/>
                <w:lang w:val="it-IT"/>
              </w:rPr>
              <w:t xml:space="preserve">. </w:t>
            </w:r>
            <w:proofErr w:type="spellStart"/>
            <w:r w:rsidRPr="0057401D">
              <w:rPr>
                <w:rFonts w:ascii="Cambria" w:hAnsi="Cambria"/>
                <w:lang w:val="it-IT"/>
              </w:rPr>
              <w:t>Termin</w:t>
            </w:r>
            <w:proofErr w:type="spellEnd"/>
            <w:r w:rsidRPr="0057401D">
              <w:rPr>
                <w:rFonts w:ascii="Cambria" w:hAnsi="Cambria"/>
                <w:lang w:val="it-IT"/>
              </w:rPr>
              <w:t xml:space="preserve"> </w:t>
            </w:r>
            <w:proofErr w:type="spellStart"/>
            <w:r w:rsidRPr="0057401D">
              <w:rPr>
                <w:rFonts w:ascii="Cambria" w:hAnsi="Cambria"/>
                <w:lang w:val="it-IT"/>
              </w:rPr>
              <w:t>prezentacije</w:t>
            </w:r>
            <w:proofErr w:type="spellEnd"/>
            <w:r w:rsidRPr="0057401D">
              <w:rPr>
                <w:rFonts w:ascii="Cambria" w:hAnsi="Cambria"/>
                <w:lang w:val="it-IT"/>
              </w:rPr>
              <w:t xml:space="preserve">, </w:t>
            </w:r>
            <w:proofErr w:type="spellStart"/>
            <w:r w:rsidRPr="0057401D">
              <w:rPr>
                <w:rFonts w:ascii="Cambria" w:hAnsi="Cambria"/>
                <w:lang w:val="it-IT"/>
              </w:rPr>
              <w:t>kao</w:t>
            </w:r>
            <w:proofErr w:type="spellEnd"/>
            <w:r w:rsidRPr="0057401D">
              <w:rPr>
                <w:rFonts w:ascii="Cambria" w:hAnsi="Cambria"/>
                <w:lang w:val="it-IT"/>
              </w:rPr>
              <w:t xml:space="preserve"> </w:t>
            </w:r>
            <w:proofErr w:type="gramStart"/>
            <w:r w:rsidRPr="0057401D">
              <w:rPr>
                <w:rFonts w:ascii="Cambria" w:hAnsi="Cambria"/>
                <w:lang w:val="it-IT"/>
              </w:rPr>
              <w:t>i</w:t>
            </w:r>
            <w:proofErr w:type="gramEnd"/>
            <w:r w:rsidRPr="0057401D">
              <w:rPr>
                <w:rFonts w:ascii="Cambria" w:hAnsi="Cambria"/>
                <w:lang w:val="it-IT"/>
              </w:rPr>
              <w:t xml:space="preserve"> ostali </w:t>
            </w:r>
            <w:proofErr w:type="spellStart"/>
            <w:r w:rsidRPr="0057401D">
              <w:rPr>
                <w:rFonts w:ascii="Cambria" w:hAnsi="Cambria"/>
                <w:lang w:val="it-IT"/>
              </w:rPr>
              <w:t>formalni</w:t>
            </w:r>
            <w:proofErr w:type="spellEnd"/>
            <w:r w:rsidRPr="0057401D">
              <w:rPr>
                <w:rFonts w:ascii="Cambria" w:hAnsi="Cambria"/>
                <w:lang w:val="it-IT"/>
              </w:rPr>
              <w:t xml:space="preserve"> i </w:t>
            </w:r>
            <w:proofErr w:type="spellStart"/>
            <w:r w:rsidRPr="0057401D">
              <w:rPr>
                <w:rFonts w:ascii="Cambria" w:hAnsi="Cambria"/>
                <w:lang w:val="it-IT"/>
              </w:rPr>
              <w:t>sadržajni</w:t>
            </w:r>
            <w:proofErr w:type="spellEnd"/>
            <w:r w:rsidRPr="0057401D">
              <w:rPr>
                <w:rFonts w:ascii="Cambria" w:hAnsi="Cambria"/>
                <w:lang w:val="it-IT"/>
              </w:rPr>
              <w:t xml:space="preserve"> </w:t>
            </w:r>
            <w:proofErr w:type="spellStart"/>
            <w:r w:rsidRPr="0057401D">
              <w:rPr>
                <w:rFonts w:ascii="Cambria" w:hAnsi="Cambria"/>
                <w:lang w:val="it-IT"/>
              </w:rPr>
              <w:t>uvjeti</w:t>
            </w:r>
            <w:proofErr w:type="spellEnd"/>
            <w:r w:rsidRPr="0057401D">
              <w:rPr>
                <w:rFonts w:ascii="Cambria" w:hAnsi="Cambria"/>
                <w:lang w:val="it-IT"/>
              </w:rPr>
              <w:t xml:space="preserve"> rada, </w:t>
            </w:r>
            <w:proofErr w:type="spellStart"/>
            <w:r w:rsidRPr="0057401D">
              <w:rPr>
                <w:rFonts w:ascii="Cambria" w:hAnsi="Cambria"/>
                <w:lang w:val="it-IT"/>
              </w:rPr>
              <w:t>dogovaraju</w:t>
            </w:r>
            <w:proofErr w:type="spellEnd"/>
            <w:r w:rsidRPr="0057401D">
              <w:rPr>
                <w:rFonts w:ascii="Cambria" w:hAnsi="Cambria"/>
                <w:lang w:val="it-IT"/>
              </w:rPr>
              <w:t xml:space="preserve"> se s </w:t>
            </w:r>
            <w:proofErr w:type="spellStart"/>
            <w:r w:rsidRPr="0057401D">
              <w:rPr>
                <w:rFonts w:ascii="Cambria" w:hAnsi="Cambria"/>
                <w:lang w:val="it-IT"/>
              </w:rPr>
              <w:t>predmetnim</w:t>
            </w:r>
            <w:proofErr w:type="spellEnd"/>
            <w:r w:rsidRPr="0057401D">
              <w:rPr>
                <w:rFonts w:ascii="Cambria" w:hAnsi="Cambria"/>
                <w:lang w:val="it-IT"/>
              </w:rPr>
              <w:t xml:space="preserve"> </w:t>
            </w:r>
            <w:proofErr w:type="spellStart"/>
            <w:r w:rsidRPr="0057401D">
              <w:rPr>
                <w:rFonts w:ascii="Cambria" w:hAnsi="Cambria"/>
                <w:lang w:val="it-IT"/>
              </w:rPr>
              <w:t>nastavnikom</w:t>
            </w:r>
            <w:proofErr w:type="spellEnd"/>
            <w:r w:rsidRPr="0057401D">
              <w:rPr>
                <w:rFonts w:ascii="Cambria" w:hAnsi="Cambria"/>
                <w:lang w:val="it-IT"/>
              </w:rPr>
              <w:t xml:space="preserve">. </w:t>
            </w:r>
            <w:proofErr w:type="spellStart"/>
            <w:r w:rsidRPr="0057401D">
              <w:rPr>
                <w:rFonts w:ascii="Cambria" w:hAnsi="Cambria"/>
                <w:lang w:val="it-IT"/>
              </w:rPr>
              <w:t>Konačni</w:t>
            </w:r>
            <w:proofErr w:type="spellEnd"/>
            <w:r w:rsidRPr="0057401D">
              <w:rPr>
                <w:rFonts w:ascii="Cambria" w:hAnsi="Cambria"/>
                <w:lang w:val="it-IT"/>
              </w:rPr>
              <w:t xml:space="preserve"> </w:t>
            </w:r>
            <w:proofErr w:type="spellStart"/>
            <w:r w:rsidRPr="0057401D">
              <w:rPr>
                <w:rFonts w:ascii="Cambria" w:hAnsi="Cambria"/>
                <w:lang w:val="it-IT"/>
              </w:rPr>
              <w:t>oblik</w:t>
            </w:r>
            <w:proofErr w:type="spellEnd"/>
            <w:r w:rsidRPr="0057401D">
              <w:rPr>
                <w:rFonts w:ascii="Cambria" w:hAnsi="Cambria"/>
                <w:lang w:val="it-IT"/>
              </w:rPr>
              <w:t xml:space="preserve"> rada </w:t>
            </w:r>
            <w:proofErr w:type="spellStart"/>
            <w:r w:rsidRPr="0057401D">
              <w:rPr>
                <w:rFonts w:ascii="Cambria" w:hAnsi="Cambria"/>
                <w:lang w:val="it-IT"/>
              </w:rPr>
              <w:t>treba</w:t>
            </w:r>
            <w:proofErr w:type="spellEnd"/>
            <w:r w:rsidRPr="0057401D">
              <w:rPr>
                <w:rFonts w:ascii="Cambria" w:hAnsi="Cambria"/>
                <w:lang w:val="it-IT"/>
              </w:rPr>
              <w:t xml:space="preserve"> predati </w:t>
            </w:r>
            <w:proofErr w:type="spellStart"/>
            <w:r w:rsidRPr="0057401D">
              <w:rPr>
                <w:rFonts w:ascii="Cambria" w:hAnsi="Cambria"/>
                <w:lang w:val="it-IT"/>
              </w:rPr>
              <w:t>najmanje</w:t>
            </w:r>
            <w:proofErr w:type="spellEnd"/>
            <w:r w:rsidRPr="0057401D">
              <w:rPr>
                <w:rFonts w:ascii="Cambria" w:hAnsi="Cambria"/>
                <w:lang w:val="it-IT"/>
              </w:rPr>
              <w:t xml:space="preserve"> </w:t>
            </w:r>
            <w:proofErr w:type="spellStart"/>
            <w:r w:rsidRPr="0057401D">
              <w:rPr>
                <w:rFonts w:ascii="Cambria" w:hAnsi="Cambria"/>
                <w:lang w:val="it-IT"/>
              </w:rPr>
              <w:t>tjedan</w:t>
            </w:r>
            <w:proofErr w:type="spellEnd"/>
            <w:r w:rsidRPr="0057401D">
              <w:rPr>
                <w:rFonts w:ascii="Cambria" w:hAnsi="Cambria"/>
                <w:lang w:val="it-IT"/>
              </w:rPr>
              <w:t xml:space="preserve"> </w:t>
            </w:r>
            <w:proofErr w:type="spellStart"/>
            <w:r w:rsidRPr="0057401D">
              <w:rPr>
                <w:rFonts w:ascii="Cambria" w:hAnsi="Cambria"/>
                <w:lang w:val="it-IT"/>
              </w:rPr>
              <w:t>dana</w:t>
            </w:r>
            <w:proofErr w:type="spellEnd"/>
            <w:r w:rsidRPr="0057401D">
              <w:rPr>
                <w:rFonts w:ascii="Cambria" w:hAnsi="Cambria"/>
                <w:lang w:val="it-IT"/>
              </w:rPr>
              <w:t xml:space="preserve"> </w:t>
            </w:r>
            <w:proofErr w:type="spellStart"/>
            <w:r w:rsidRPr="0057401D">
              <w:rPr>
                <w:rFonts w:ascii="Cambria" w:hAnsi="Cambria"/>
                <w:lang w:val="it-IT"/>
              </w:rPr>
              <w:t>prije</w:t>
            </w:r>
            <w:proofErr w:type="spellEnd"/>
            <w:r w:rsidRPr="0057401D">
              <w:rPr>
                <w:rFonts w:ascii="Cambria" w:hAnsi="Cambria"/>
                <w:lang w:val="it-IT"/>
              </w:rPr>
              <w:t xml:space="preserve"> </w:t>
            </w:r>
            <w:proofErr w:type="spellStart"/>
            <w:r w:rsidRPr="0057401D">
              <w:rPr>
                <w:rFonts w:ascii="Cambria" w:hAnsi="Cambria"/>
                <w:lang w:val="it-IT"/>
              </w:rPr>
              <w:t>ispita</w:t>
            </w:r>
            <w:proofErr w:type="spellEnd"/>
            <w:r w:rsidRPr="0057401D">
              <w:rPr>
                <w:rFonts w:ascii="Cambria" w:hAnsi="Cambria"/>
                <w:lang w:val="it-IT"/>
              </w:rPr>
              <w:t xml:space="preserve">. Pri </w:t>
            </w:r>
            <w:proofErr w:type="spellStart"/>
            <w:r w:rsidRPr="0057401D">
              <w:rPr>
                <w:rFonts w:ascii="Cambria" w:hAnsi="Cambria"/>
                <w:lang w:val="it-IT"/>
              </w:rPr>
              <w:t>izradi</w:t>
            </w:r>
            <w:proofErr w:type="spellEnd"/>
            <w:r w:rsidRPr="0057401D">
              <w:rPr>
                <w:rFonts w:ascii="Cambria" w:hAnsi="Cambria"/>
                <w:lang w:val="it-IT"/>
              </w:rPr>
              <w:t xml:space="preserve"> </w:t>
            </w:r>
            <w:proofErr w:type="spellStart"/>
            <w:r w:rsidRPr="0057401D">
              <w:rPr>
                <w:rFonts w:ascii="Cambria" w:hAnsi="Cambria"/>
                <w:lang w:val="it-IT"/>
              </w:rPr>
              <w:t>seminarskog</w:t>
            </w:r>
            <w:proofErr w:type="spellEnd"/>
            <w:r w:rsidRPr="0057401D">
              <w:rPr>
                <w:rFonts w:ascii="Cambria" w:hAnsi="Cambria"/>
                <w:lang w:val="it-IT"/>
              </w:rPr>
              <w:t xml:space="preserve"> rada </w:t>
            </w:r>
            <w:proofErr w:type="spellStart"/>
            <w:r w:rsidRPr="0057401D">
              <w:rPr>
                <w:rFonts w:ascii="Cambria" w:hAnsi="Cambria"/>
                <w:lang w:val="it-IT"/>
              </w:rPr>
              <w:t>potrebno</w:t>
            </w:r>
            <w:proofErr w:type="spellEnd"/>
            <w:r w:rsidRPr="0057401D">
              <w:rPr>
                <w:rFonts w:ascii="Cambria" w:hAnsi="Cambria"/>
                <w:lang w:val="it-IT"/>
              </w:rPr>
              <w:t xml:space="preserve"> je </w:t>
            </w:r>
            <w:proofErr w:type="spellStart"/>
            <w:r w:rsidRPr="0057401D">
              <w:rPr>
                <w:rFonts w:ascii="Cambria" w:hAnsi="Cambria"/>
                <w:lang w:val="it-IT"/>
              </w:rPr>
              <w:t>poštovati</w:t>
            </w:r>
            <w:proofErr w:type="spellEnd"/>
            <w:r w:rsidRPr="0057401D">
              <w:rPr>
                <w:rFonts w:ascii="Cambria" w:hAnsi="Cambria"/>
                <w:lang w:val="it-IT"/>
              </w:rPr>
              <w:t xml:space="preserve"> </w:t>
            </w:r>
            <w:proofErr w:type="spellStart"/>
            <w:r w:rsidRPr="0057401D">
              <w:rPr>
                <w:rFonts w:ascii="Cambria" w:hAnsi="Cambria"/>
                <w:lang w:val="it-IT"/>
              </w:rPr>
              <w:t>objavljene</w:t>
            </w:r>
            <w:proofErr w:type="spellEnd"/>
            <w:r w:rsidRPr="0057401D">
              <w:rPr>
                <w:rFonts w:ascii="Cambria" w:hAnsi="Cambria"/>
                <w:lang w:val="it-IT"/>
              </w:rPr>
              <w:t xml:space="preserve"> </w:t>
            </w:r>
            <w:proofErr w:type="spellStart"/>
            <w:r w:rsidRPr="006B2F54">
              <w:rPr>
                <w:rFonts w:ascii="Cambria" w:hAnsi="Cambria"/>
                <w:lang w:val="it-IT"/>
              </w:rPr>
              <w:t>Upute</w:t>
            </w:r>
            <w:proofErr w:type="spellEnd"/>
            <w:r w:rsidRPr="006B2F54">
              <w:rPr>
                <w:rFonts w:ascii="Cambria" w:hAnsi="Cambria"/>
                <w:lang w:val="it-IT"/>
              </w:rPr>
              <w:t xml:space="preserve"> za </w:t>
            </w:r>
            <w:proofErr w:type="spellStart"/>
            <w:r w:rsidRPr="006B2F54">
              <w:rPr>
                <w:rFonts w:ascii="Cambria" w:hAnsi="Cambria"/>
                <w:lang w:val="it-IT"/>
              </w:rPr>
              <w:t>pisanje</w:t>
            </w:r>
            <w:proofErr w:type="spellEnd"/>
            <w:r w:rsidRPr="006B2F54">
              <w:rPr>
                <w:rFonts w:ascii="Cambria" w:hAnsi="Cambria"/>
                <w:lang w:val="it-IT"/>
              </w:rPr>
              <w:t xml:space="preserve"> </w:t>
            </w:r>
            <w:proofErr w:type="spellStart"/>
            <w:r w:rsidRPr="006B2F54">
              <w:rPr>
                <w:rFonts w:ascii="Cambria" w:hAnsi="Cambria"/>
                <w:lang w:val="it-IT"/>
              </w:rPr>
              <w:t>seminarskih</w:t>
            </w:r>
            <w:proofErr w:type="spellEnd"/>
            <w:r w:rsidRPr="006B2F54">
              <w:rPr>
                <w:rFonts w:ascii="Cambria" w:hAnsi="Cambria"/>
                <w:lang w:val="it-IT"/>
              </w:rPr>
              <w:t xml:space="preserve"> </w:t>
            </w:r>
            <w:proofErr w:type="spellStart"/>
            <w:r w:rsidRPr="006B2F54">
              <w:rPr>
                <w:rFonts w:ascii="Cambria" w:hAnsi="Cambria"/>
                <w:lang w:val="it-IT"/>
              </w:rPr>
              <w:t>završnih</w:t>
            </w:r>
            <w:proofErr w:type="spellEnd"/>
            <w:r w:rsidRPr="006B2F54">
              <w:rPr>
                <w:rFonts w:ascii="Cambria" w:hAnsi="Cambria"/>
                <w:lang w:val="it-IT"/>
              </w:rPr>
              <w:t xml:space="preserve"> i </w:t>
            </w:r>
            <w:proofErr w:type="spellStart"/>
            <w:r w:rsidRPr="006B2F54">
              <w:rPr>
                <w:rFonts w:ascii="Cambria" w:hAnsi="Cambria"/>
                <w:lang w:val="it-IT"/>
              </w:rPr>
              <w:t>diplomskih</w:t>
            </w:r>
            <w:proofErr w:type="spellEnd"/>
            <w:r w:rsidRPr="006B2F54">
              <w:rPr>
                <w:rFonts w:ascii="Cambria" w:hAnsi="Cambria"/>
                <w:lang w:val="it-IT"/>
              </w:rPr>
              <w:t xml:space="preserve"> </w:t>
            </w:r>
            <w:proofErr w:type="spellStart"/>
            <w:r w:rsidRPr="006B2F54">
              <w:rPr>
                <w:rFonts w:ascii="Cambria" w:hAnsi="Cambria"/>
                <w:lang w:val="it-IT"/>
              </w:rPr>
              <w:t>radova</w:t>
            </w:r>
            <w:proofErr w:type="spellEnd"/>
            <w:r w:rsidRPr="006B2F54">
              <w:rPr>
                <w:rFonts w:ascii="Cambria" w:hAnsi="Cambria"/>
                <w:lang w:val="it-IT"/>
              </w:rPr>
              <w:t xml:space="preserve"> </w:t>
            </w:r>
            <w:proofErr w:type="spellStart"/>
            <w:r w:rsidRPr="006B2F54">
              <w:rPr>
                <w:rFonts w:ascii="Cambria" w:hAnsi="Cambria"/>
                <w:lang w:val="it-IT"/>
              </w:rPr>
              <w:t>na</w:t>
            </w:r>
            <w:proofErr w:type="spellEnd"/>
            <w:r w:rsidRPr="006B2F54">
              <w:rPr>
                <w:rFonts w:ascii="Cambria" w:hAnsi="Cambria"/>
                <w:lang w:val="it-IT"/>
              </w:rPr>
              <w:t xml:space="preserve"> </w:t>
            </w:r>
            <w:proofErr w:type="spellStart"/>
            <w:r w:rsidRPr="006B2F54">
              <w:rPr>
                <w:rFonts w:ascii="Cambria" w:hAnsi="Cambria"/>
                <w:lang w:val="it-IT"/>
              </w:rPr>
              <w:t>hrvatskom</w:t>
            </w:r>
            <w:proofErr w:type="spellEnd"/>
            <w:r w:rsidRPr="006B2F54">
              <w:rPr>
                <w:rFonts w:ascii="Cambria" w:hAnsi="Cambria"/>
                <w:lang w:val="it-IT"/>
              </w:rPr>
              <w:t xml:space="preserve"> </w:t>
            </w:r>
            <w:proofErr w:type="spellStart"/>
            <w:r w:rsidRPr="006B2F54">
              <w:rPr>
                <w:rFonts w:ascii="Cambria" w:hAnsi="Cambria"/>
                <w:lang w:val="it-IT"/>
              </w:rPr>
              <w:t>jeziku</w:t>
            </w:r>
            <w:proofErr w:type="spellEnd"/>
            <w:r w:rsidRPr="006B2F54">
              <w:rPr>
                <w:rFonts w:ascii="Cambria" w:hAnsi="Cambria"/>
                <w:lang w:val="it-IT"/>
              </w:rPr>
              <w:t>.</w:t>
            </w:r>
          </w:p>
          <w:p w14:paraId="470B24D3" w14:textId="77777777" w:rsidR="00450B7A" w:rsidRPr="0057401D" w:rsidRDefault="00450B7A" w:rsidP="006B2F54">
            <w:pPr>
              <w:spacing w:after="0" w:line="240" w:lineRule="auto"/>
              <w:jc w:val="both"/>
              <w:rPr>
                <w:rFonts w:ascii="Cambria" w:hAnsi="Cambria"/>
                <w:lang w:val="it-IT"/>
              </w:rPr>
            </w:pPr>
            <w:r w:rsidRPr="0057401D">
              <w:rPr>
                <w:rFonts w:ascii="Cambria" w:hAnsi="Cambria"/>
                <w:lang w:val="it-IT"/>
              </w:rPr>
              <w:t xml:space="preserve">Pri </w:t>
            </w:r>
            <w:proofErr w:type="spellStart"/>
            <w:r w:rsidRPr="0057401D">
              <w:rPr>
                <w:rFonts w:ascii="Cambria" w:hAnsi="Cambria"/>
                <w:lang w:val="it-IT"/>
              </w:rPr>
              <w:t>vrednovanju</w:t>
            </w:r>
            <w:proofErr w:type="spellEnd"/>
            <w:r w:rsidRPr="0057401D">
              <w:rPr>
                <w:rFonts w:ascii="Cambria" w:hAnsi="Cambria"/>
                <w:lang w:val="it-IT"/>
              </w:rPr>
              <w:t xml:space="preserve"> </w:t>
            </w:r>
            <w:proofErr w:type="spellStart"/>
            <w:r w:rsidRPr="0057401D">
              <w:rPr>
                <w:rFonts w:ascii="Cambria" w:hAnsi="Cambria"/>
                <w:lang w:val="it-IT"/>
              </w:rPr>
              <w:t>seminarskog</w:t>
            </w:r>
            <w:proofErr w:type="spellEnd"/>
            <w:r w:rsidRPr="0057401D">
              <w:rPr>
                <w:rFonts w:ascii="Cambria" w:hAnsi="Cambria"/>
                <w:lang w:val="it-IT"/>
              </w:rPr>
              <w:t xml:space="preserve"> rada </w:t>
            </w:r>
            <w:proofErr w:type="spellStart"/>
            <w:r w:rsidRPr="0057401D">
              <w:rPr>
                <w:rFonts w:ascii="Cambria" w:hAnsi="Cambria"/>
                <w:lang w:val="it-IT"/>
              </w:rPr>
              <w:t>važni</w:t>
            </w:r>
            <w:proofErr w:type="spellEnd"/>
            <w:r w:rsidRPr="0057401D">
              <w:rPr>
                <w:rFonts w:ascii="Cambria" w:hAnsi="Cambria"/>
                <w:lang w:val="it-IT"/>
              </w:rPr>
              <w:t xml:space="preserve"> su </w:t>
            </w:r>
            <w:proofErr w:type="spellStart"/>
            <w:r w:rsidRPr="0057401D">
              <w:rPr>
                <w:rFonts w:ascii="Cambria" w:hAnsi="Cambria"/>
                <w:lang w:val="it-IT"/>
              </w:rPr>
              <w:t>sljedeći</w:t>
            </w:r>
            <w:proofErr w:type="spellEnd"/>
            <w:r w:rsidRPr="0057401D">
              <w:rPr>
                <w:rFonts w:ascii="Cambria" w:hAnsi="Cambria"/>
                <w:lang w:val="it-IT"/>
              </w:rPr>
              <w:t xml:space="preserve"> </w:t>
            </w:r>
            <w:proofErr w:type="spellStart"/>
            <w:r w:rsidRPr="0057401D">
              <w:rPr>
                <w:rFonts w:ascii="Cambria" w:hAnsi="Cambria"/>
                <w:lang w:val="it-IT"/>
              </w:rPr>
              <w:t>kriteriji</w:t>
            </w:r>
            <w:proofErr w:type="spellEnd"/>
            <w:r w:rsidRPr="0057401D">
              <w:rPr>
                <w:rFonts w:ascii="Cambria" w:hAnsi="Cambria"/>
                <w:lang w:val="it-IT"/>
              </w:rPr>
              <w:t xml:space="preserve">: </w:t>
            </w:r>
          </w:p>
          <w:p w14:paraId="11908FF1" w14:textId="4B347556" w:rsidR="00450B7A" w:rsidRPr="0057401D" w:rsidRDefault="00450B7A" w:rsidP="006B2F54">
            <w:pPr>
              <w:spacing w:after="0" w:line="240" w:lineRule="auto"/>
              <w:rPr>
                <w:rFonts w:ascii="Cambria" w:hAnsi="Cambria"/>
                <w:lang w:val="it-IT"/>
              </w:rPr>
            </w:pPr>
            <w:r w:rsidRPr="0057401D">
              <w:rPr>
                <w:rFonts w:ascii="Cambria" w:hAnsi="Cambria"/>
                <w:lang w:val="it-IT"/>
              </w:rPr>
              <w:t xml:space="preserve">a) </w:t>
            </w:r>
            <w:proofErr w:type="spellStart"/>
            <w:r w:rsidRPr="0057401D">
              <w:rPr>
                <w:rFonts w:ascii="Cambria" w:hAnsi="Cambria"/>
                <w:lang w:val="it-IT"/>
              </w:rPr>
              <w:t>artikulacija</w:t>
            </w:r>
            <w:proofErr w:type="spellEnd"/>
            <w:r>
              <w:rPr>
                <w:rFonts w:ascii="Cambria" w:hAnsi="Cambria"/>
                <w:lang w:val="it-IT"/>
              </w:rPr>
              <w:t xml:space="preserve"> –</w:t>
            </w:r>
            <w:r w:rsidRPr="0057401D">
              <w:rPr>
                <w:rFonts w:ascii="Cambria" w:hAnsi="Cambria"/>
                <w:lang w:val="it-IT"/>
              </w:rPr>
              <w:t xml:space="preserve"> </w:t>
            </w:r>
            <w:proofErr w:type="spellStart"/>
            <w:r w:rsidRPr="0057401D">
              <w:rPr>
                <w:rFonts w:ascii="Cambria" w:hAnsi="Cambria"/>
                <w:lang w:val="it-IT"/>
              </w:rPr>
              <w:t>relevantnost</w:t>
            </w:r>
            <w:proofErr w:type="spellEnd"/>
            <w:r w:rsidRPr="0057401D">
              <w:rPr>
                <w:rFonts w:ascii="Cambria" w:hAnsi="Cambria"/>
                <w:lang w:val="it-IT"/>
              </w:rPr>
              <w:t xml:space="preserve"> (</w:t>
            </w:r>
            <w:proofErr w:type="spellStart"/>
            <w:r w:rsidRPr="0057401D">
              <w:rPr>
                <w:rFonts w:ascii="Cambria" w:hAnsi="Cambria"/>
                <w:lang w:val="it-IT"/>
              </w:rPr>
              <w:t>pokrivenost</w:t>
            </w:r>
            <w:proofErr w:type="spellEnd"/>
            <w:r w:rsidRPr="0057401D">
              <w:rPr>
                <w:rFonts w:ascii="Cambria" w:hAnsi="Cambria"/>
                <w:lang w:val="it-IT"/>
              </w:rPr>
              <w:t xml:space="preserve"> teme), </w:t>
            </w:r>
            <w:proofErr w:type="spellStart"/>
            <w:r w:rsidRPr="0057401D">
              <w:rPr>
                <w:rFonts w:ascii="Cambria" w:hAnsi="Cambria"/>
                <w:lang w:val="it-IT"/>
              </w:rPr>
              <w:t>organizacija</w:t>
            </w:r>
            <w:proofErr w:type="spellEnd"/>
            <w:r w:rsidRPr="0057401D">
              <w:rPr>
                <w:rFonts w:ascii="Cambria" w:hAnsi="Cambria"/>
                <w:lang w:val="it-IT"/>
              </w:rPr>
              <w:t xml:space="preserve"> (</w:t>
            </w:r>
            <w:proofErr w:type="spellStart"/>
            <w:r w:rsidRPr="0057401D">
              <w:rPr>
                <w:rFonts w:ascii="Cambria" w:hAnsi="Cambria"/>
                <w:lang w:val="it-IT"/>
              </w:rPr>
              <w:t>preglednost</w:t>
            </w:r>
            <w:proofErr w:type="spellEnd"/>
            <w:r w:rsidRPr="0057401D">
              <w:rPr>
                <w:rFonts w:ascii="Cambria" w:hAnsi="Cambria"/>
                <w:lang w:val="it-IT"/>
              </w:rPr>
              <w:t xml:space="preserve"> i </w:t>
            </w:r>
            <w:proofErr w:type="spellStart"/>
            <w:r w:rsidRPr="0057401D">
              <w:rPr>
                <w:rFonts w:ascii="Cambria" w:hAnsi="Cambria"/>
                <w:lang w:val="it-IT"/>
              </w:rPr>
              <w:t>povezanost</w:t>
            </w:r>
            <w:proofErr w:type="spellEnd"/>
            <w:r w:rsidRPr="0057401D">
              <w:rPr>
                <w:rFonts w:ascii="Cambria" w:hAnsi="Cambria"/>
                <w:lang w:val="it-IT"/>
              </w:rPr>
              <w:t xml:space="preserve"> </w:t>
            </w:r>
            <w:proofErr w:type="spellStart"/>
            <w:r w:rsidRPr="0057401D">
              <w:rPr>
                <w:rFonts w:ascii="Cambria" w:hAnsi="Cambria"/>
                <w:lang w:val="it-IT"/>
              </w:rPr>
              <w:t>strukture</w:t>
            </w:r>
            <w:proofErr w:type="spellEnd"/>
            <w:r w:rsidRPr="0057401D">
              <w:rPr>
                <w:rFonts w:ascii="Cambria" w:hAnsi="Cambria"/>
                <w:lang w:val="it-IT"/>
              </w:rPr>
              <w:t>)</w:t>
            </w:r>
          </w:p>
          <w:p w14:paraId="71EEC97E" w14:textId="506A56F0" w:rsidR="00450B7A" w:rsidRPr="0057401D" w:rsidRDefault="00450B7A" w:rsidP="006B2F54">
            <w:pPr>
              <w:spacing w:after="0" w:line="240" w:lineRule="auto"/>
              <w:rPr>
                <w:rFonts w:ascii="Cambria" w:hAnsi="Cambria"/>
                <w:lang w:val="it-IT"/>
              </w:rPr>
            </w:pPr>
            <w:r w:rsidRPr="0057401D">
              <w:rPr>
                <w:rFonts w:ascii="Cambria" w:hAnsi="Cambria"/>
                <w:lang w:val="it-IT"/>
              </w:rPr>
              <w:t xml:space="preserve">b) </w:t>
            </w:r>
            <w:proofErr w:type="spellStart"/>
            <w:r w:rsidRPr="0057401D">
              <w:rPr>
                <w:rFonts w:ascii="Cambria" w:hAnsi="Cambria"/>
                <w:lang w:val="it-IT"/>
              </w:rPr>
              <w:t>argumentacija</w:t>
            </w:r>
            <w:proofErr w:type="spellEnd"/>
            <w:r>
              <w:rPr>
                <w:rFonts w:ascii="Cambria" w:hAnsi="Cambria"/>
                <w:lang w:val="it-IT"/>
              </w:rPr>
              <w:t xml:space="preserve"> – </w:t>
            </w:r>
            <w:proofErr w:type="spellStart"/>
            <w:r w:rsidRPr="0057401D">
              <w:rPr>
                <w:rFonts w:ascii="Cambria" w:hAnsi="Cambria"/>
                <w:lang w:val="it-IT"/>
              </w:rPr>
              <w:t>točnost</w:t>
            </w:r>
            <w:proofErr w:type="spellEnd"/>
            <w:r w:rsidRPr="0057401D">
              <w:rPr>
                <w:rFonts w:ascii="Cambria" w:hAnsi="Cambria"/>
                <w:lang w:val="it-IT"/>
              </w:rPr>
              <w:t xml:space="preserve">, </w:t>
            </w:r>
            <w:proofErr w:type="spellStart"/>
            <w:r w:rsidRPr="0057401D">
              <w:rPr>
                <w:rFonts w:ascii="Cambria" w:hAnsi="Cambria"/>
                <w:lang w:val="it-IT"/>
              </w:rPr>
              <w:t>obrazloženost</w:t>
            </w:r>
            <w:proofErr w:type="spellEnd"/>
            <w:r w:rsidRPr="0057401D">
              <w:rPr>
                <w:rFonts w:ascii="Cambria" w:hAnsi="Cambria"/>
                <w:lang w:val="it-IT"/>
              </w:rPr>
              <w:t xml:space="preserve">, </w:t>
            </w:r>
            <w:proofErr w:type="spellStart"/>
            <w:r w:rsidRPr="0057401D">
              <w:rPr>
                <w:rFonts w:ascii="Cambria" w:hAnsi="Cambria"/>
                <w:lang w:val="it-IT"/>
              </w:rPr>
              <w:t>iscrpnost</w:t>
            </w:r>
            <w:proofErr w:type="spellEnd"/>
            <w:r w:rsidRPr="0057401D">
              <w:rPr>
                <w:rFonts w:ascii="Cambria" w:hAnsi="Cambria"/>
                <w:lang w:val="it-IT"/>
              </w:rPr>
              <w:t xml:space="preserve">, </w:t>
            </w:r>
            <w:proofErr w:type="spellStart"/>
            <w:r w:rsidRPr="0057401D">
              <w:rPr>
                <w:rFonts w:ascii="Cambria" w:hAnsi="Cambria"/>
                <w:lang w:val="it-IT"/>
              </w:rPr>
              <w:t>razina</w:t>
            </w:r>
            <w:proofErr w:type="spellEnd"/>
            <w:r w:rsidRPr="0057401D">
              <w:rPr>
                <w:rFonts w:ascii="Cambria" w:hAnsi="Cambria"/>
                <w:lang w:val="it-IT"/>
              </w:rPr>
              <w:t xml:space="preserve"> </w:t>
            </w:r>
            <w:proofErr w:type="spellStart"/>
            <w:r w:rsidRPr="0057401D">
              <w:rPr>
                <w:rFonts w:ascii="Cambria" w:hAnsi="Cambria"/>
                <w:lang w:val="it-IT"/>
              </w:rPr>
              <w:t>kritičnosti</w:t>
            </w:r>
            <w:proofErr w:type="spellEnd"/>
            <w:r w:rsidRPr="0057401D">
              <w:rPr>
                <w:rFonts w:ascii="Cambria" w:hAnsi="Cambria"/>
                <w:lang w:val="it-IT"/>
              </w:rPr>
              <w:t xml:space="preserve"> </w:t>
            </w:r>
          </w:p>
          <w:p w14:paraId="70B4E8C5" w14:textId="206CD732" w:rsidR="00450B7A" w:rsidRPr="0057401D" w:rsidRDefault="00450B7A" w:rsidP="006B2F54">
            <w:pPr>
              <w:spacing w:after="0" w:line="240" w:lineRule="auto"/>
              <w:jc w:val="both"/>
              <w:rPr>
                <w:rFonts w:ascii="Cambria" w:hAnsi="Cambria"/>
                <w:lang w:val="it-IT"/>
              </w:rPr>
            </w:pPr>
            <w:r w:rsidRPr="0057401D">
              <w:rPr>
                <w:rFonts w:ascii="Cambria" w:hAnsi="Cambria"/>
                <w:lang w:val="it-IT"/>
              </w:rPr>
              <w:t xml:space="preserve">c) </w:t>
            </w:r>
            <w:proofErr w:type="spellStart"/>
            <w:r w:rsidRPr="0057401D">
              <w:rPr>
                <w:rFonts w:ascii="Cambria" w:hAnsi="Cambria"/>
                <w:lang w:val="it-IT"/>
              </w:rPr>
              <w:t>potkrepa</w:t>
            </w:r>
            <w:proofErr w:type="spellEnd"/>
            <w:r w:rsidRPr="0057401D">
              <w:rPr>
                <w:rFonts w:ascii="Cambria" w:hAnsi="Cambria"/>
                <w:lang w:val="it-IT"/>
              </w:rPr>
              <w:t xml:space="preserve"> </w:t>
            </w:r>
            <w:r>
              <w:rPr>
                <w:rFonts w:ascii="Cambria" w:hAnsi="Cambria"/>
                <w:lang w:val="it-IT"/>
              </w:rPr>
              <w:t>–</w:t>
            </w:r>
            <w:r w:rsidRPr="0057401D">
              <w:rPr>
                <w:rFonts w:ascii="Cambria" w:hAnsi="Cambria"/>
                <w:lang w:val="it-IT"/>
              </w:rPr>
              <w:t xml:space="preserve"> </w:t>
            </w:r>
            <w:proofErr w:type="spellStart"/>
            <w:r w:rsidRPr="0057401D">
              <w:rPr>
                <w:rFonts w:ascii="Cambria" w:hAnsi="Cambria"/>
                <w:lang w:val="it-IT"/>
              </w:rPr>
              <w:t>primjereno</w:t>
            </w:r>
            <w:proofErr w:type="spellEnd"/>
            <w:r w:rsidRPr="0057401D">
              <w:rPr>
                <w:rFonts w:ascii="Cambria" w:hAnsi="Cambria"/>
                <w:lang w:val="it-IT"/>
              </w:rPr>
              <w:t xml:space="preserve"> </w:t>
            </w:r>
            <w:proofErr w:type="spellStart"/>
            <w:r w:rsidRPr="0057401D">
              <w:rPr>
                <w:rFonts w:ascii="Cambria" w:hAnsi="Cambria"/>
                <w:lang w:val="it-IT"/>
              </w:rPr>
              <w:t>korištenje</w:t>
            </w:r>
            <w:proofErr w:type="spellEnd"/>
            <w:r w:rsidRPr="0057401D">
              <w:rPr>
                <w:rFonts w:ascii="Cambria" w:hAnsi="Cambria"/>
                <w:lang w:val="it-IT"/>
              </w:rPr>
              <w:t xml:space="preserve"> literature, </w:t>
            </w:r>
            <w:proofErr w:type="spellStart"/>
            <w:r w:rsidRPr="0057401D">
              <w:rPr>
                <w:rFonts w:ascii="Cambria" w:hAnsi="Cambria"/>
                <w:lang w:val="it-IT"/>
              </w:rPr>
              <w:t>adekvatnost</w:t>
            </w:r>
            <w:proofErr w:type="spellEnd"/>
            <w:r w:rsidRPr="0057401D">
              <w:rPr>
                <w:rFonts w:ascii="Cambria" w:hAnsi="Cambria"/>
                <w:lang w:val="it-IT"/>
              </w:rPr>
              <w:t xml:space="preserve"> </w:t>
            </w:r>
            <w:proofErr w:type="spellStart"/>
            <w:r w:rsidRPr="0057401D">
              <w:rPr>
                <w:rFonts w:ascii="Cambria" w:hAnsi="Cambria"/>
                <w:lang w:val="it-IT"/>
              </w:rPr>
              <w:t>navoda</w:t>
            </w:r>
            <w:proofErr w:type="spellEnd"/>
          </w:p>
          <w:p w14:paraId="49DA61E6" w14:textId="3E1067D1" w:rsidR="00450B7A" w:rsidRPr="006B2F54" w:rsidRDefault="00450B7A" w:rsidP="006B2F54">
            <w:pPr>
              <w:spacing w:after="0" w:line="240" w:lineRule="auto"/>
              <w:jc w:val="both"/>
              <w:rPr>
                <w:rFonts w:ascii="Cambria" w:hAnsi="Cambria"/>
                <w:lang w:val="it-IT"/>
              </w:rPr>
            </w:pPr>
            <w:r w:rsidRPr="0057401D">
              <w:rPr>
                <w:rFonts w:ascii="Cambria" w:hAnsi="Cambria"/>
                <w:lang w:val="it-IT"/>
              </w:rPr>
              <w:t xml:space="preserve">d) </w:t>
            </w:r>
            <w:proofErr w:type="spellStart"/>
            <w:r w:rsidRPr="0057401D">
              <w:rPr>
                <w:rFonts w:ascii="Cambria" w:hAnsi="Cambria"/>
                <w:lang w:val="it-IT"/>
              </w:rPr>
              <w:t>izlaganje</w:t>
            </w:r>
            <w:proofErr w:type="spellEnd"/>
            <w:r w:rsidRPr="0057401D">
              <w:rPr>
                <w:rFonts w:ascii="Cambria" w:hAnsi="Cambria"/>
                <w:lang w:val="it-IT"/>
              </w:rPr>
              <w:t xml:space="preserve"> </w:t>
            </w:r>
            <w:r>
              <w:rPr>
                <w:rFonts w:ascii="Cambria" w:hAnsi="Cambria"/>
                <w:lang w:val="it-IT"/>
              </w:rPr>
              <w:t>–</w:t>
            </w:r>
            <w:r w:rsidRPr="0057401D">
              <w:rPr>
                <w:rFonts w:ascii="Cambria" w:hAnsi="Cambria"/>
                <w:lang w:val="it-IT"/>
              </w:rPr>
              <w:t xml:space="preserve"> </w:t>
            </w:r>
            <w:proofErr w:type="spellStart"/>
            <w:r w:rsidRPr="0057401D">
              <w:rPr>
                <w:rFonts w:ascii="Cambria" w:hAnsi="Cambria"/>
                <w:lang w:val="it-IT"/>
              </w:rPr>
              <w:t>jasnoća</w:t>
            </w:r>
            <w:proofErr w:type="spellEnd"/>
            <w:r w:rsidRPr="0057401D">
              <w:rPr>
                <w:rFonts w:ascii="Cambria" w:hAnsi="Cambria"/>
                <w:lang w:val="it-IT"/>
              </w:rPr>
              <w:t xml:space="preserve">, </w:t>
            </w:r>
            <w:proofErr w:type="spellStart"/>
            <w:r w:rsidRPr="0057401D">
              <w:rPr>
                <w:rFonts w:ascii="Cambria" w:hAnsi="Cambria"/>
                <w:lang w:val="it-IT"/>
              </w:rPr>
              <w:t>razumljivost</w:t>
            </w:r>
            <w:proofErr w:type="spellEnd"/>
            <w:r w:rsidRPr="0057401D">
              <w:rPr>
                <w:rFonts w:ascii="Cambria" w:hAnsi="Cambria"/>
                <w:lang w:val="it-IT"/>
              </w:rPr>
              <w:t xml:space="preserve">, </w:t>
            </w:r>
            <w:proofErr w:type="spellStart"/>
            <w:r w:rsidRPr="0057401D">
              <w:rPr>
                <w:rFonts w:ascii="Cambria" w:hAnsi="Cambria"/>
                <w:lang w:val="it-IT"/>
              </w:rPr>
              <w:t>sigurnost</w:t>
            </w:r>
            <w:proofErr w:type="spellEnd"/>
            <w:r w:rsidRPr="0057401D">
              <w:rPr>
                <w:rFonts w:ascii="Cambria" w:hAnsi="Cambria"/>
                <w:lang w:val="it-IT"/>
              </w:rPr>
              <w:t xml:space="preserve">, </w:t>
            </w:r>
            <w:proofErr w:type="spellStart"/>
            <w:r w:rsidRPr="0057401D">
              <w:rPr>
                <w:rFonts w:ascii="Cambria" w:hAnsi="Cambria"/>
                <w:lang w:val="it-IT"/>
              </w:rPr>
              <w:t>korištenje</w:t>
            </w:r>
            <w:proofErr w:type="spellEnd"/>
            <w:r w:rsidRPr="0057401D">
              <w:rPr>
                <w:rFonts w:ascii="Cambria" w:hAnsi="Cambria"/>
                <w:lang w:val="it-IT"/>
              </w:rPr>
              <w:t xml:space="preserve"> </w:t>
            </w:r>
            <w:proofErr w:type="spellStart"/>
            <w:r w:rsidRPr="0057401D">
              <w:rPr>
                <w:rFonts w:ascii="Cambria" w:hAnsi="Cambria"/>
                <w:lang w:val="it-IT"/>
              </w:rPr>
              <w:t>digitalnih</w:t>
            </w:r>
            <w:proofErr w:type="spellEnd"/>
            <w:r w:rsidRPr="0057401D">
              <w:rPr>
                <w:rFonts w:ascii="Cambria" w:hAnsi="Cambria"/>
                <w:lang w:val="it-IT"/>
              </w:rPr>
              <w:t xml:space="preserve"> alata.</w:t>
            </w:r>
          </w:p>
        </w:tc>
      </w:tr>
      <w:tr w:rsidR="00450B7A" w:rsidRPr="00A62FBD" w14:paraId="618A2889" w14:textId="77777777" w:rsidTr="00450B7A">
        <w:trPr>
          <w:trHeight w:val="1453"/>
        </w:trPr>
        <w:tc>
          <w:tcPr>
            <w:tcW w:w="20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690A86D" w14:textId="77777777" w:rsidR="00450B7A" w:rsidRPr="00A62FBD" w:rsidRDefault="00450B7A" w:rsidP="0057401D">
            <w:pPr>
              <w:pStyle w:val="Bezproreda"/>
              <w:rPr>
                <w:rFonts w:ascii="Cambria" w:hAnsi="Cambria" w:cs="Calibri"/>
              </w:rPr>
            </w:pPr>
            <w:r w:rsidRPr="00A62FBD">
              <w:rPr>
                <w:rFonts w:ascii="Cambria" w:hAnsi="Cambria" w:cs="Calibri"/>
              </w:rPr>
              <w:t>Studentske obveze</w:t>
            </w:r>
          </w:p>
        </w:tc>
        <w:tc>
          <w:tcPr>
            <w:tcW w:w="6979"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D5FC57F" w14:textId="2019C71A" w:rsidR="00450B7A" w:rsidRDefault="00450B7A" w:rsidP="006B2F54">
            <w:pPr>
              <w:suppressAutoHyphens/>
              <w:snapToGrid w:val="0"/>
              <w:spacing w:after="0" w:line="240" w:lineRule="auto"/>
              <w:rPr>
                <w:rFonts w:ascii="Cambria" w:hAnsi="Cambria" w:cs="Calibri"/>
                <w:lang w:val="it-IT"/>
              </w:rPr>
            </w:pPr>
            <w:r>
              <w:rPr>
                <w:rFonts w:ascii="Cambria" w:hAnsi="Cambria" w:cs="Calibri"/>
                <w:lang w:val="it-IT"/>
              </w:rPr>
              <w:t xml:space="preserve">Da </w:t>
            </w:r>
            <w:proofErr w:type="spellStart"/>
            <w:r>
              <w:rPr>
                <w:rFonts w:ascii="Cambria" w:hAnsi="Cambria" w:cs="Calibri"/>
                <w:lang w:val="it-IT"/>
              </w:rPr>
              <w:t>polože</w:t>
            </w:r>
            <w:proofErr w:type="spellEnd"/>
            <w:r>
              <w:rPr>
                <w:rFonts w:ascii="Cambria" w:hAnsi="Cambria" w:cs="Calibri"/>
                <w:lang w:val="it-IT"/>
              </w:rPr>
              <w:t xml:space="preserve"> </w:t>
            </w:r>
            <w:proofErr w:type="spellStart"/>
            <w:r w:rsidRPr="0057401D">
              <w:rPr>
                <w:rFonts w:ascii="Cambria" w:hAnsi="Cambria" w:cs="Calibri"/>
                <w:lang w:val="it-IT"/>
              </w:rPr>
              <w:t>kolegij</w:t>
            </w:r>
            <w:proofErr w:type="spellEnd"/>
            <w:r>
              <w:rPr>
                <w:rFonts w:ascii="Cambria" w:hAnsi="Cambria" w:cs="Calibri"/>
                <w:lang w:val="it-IT"/>
              </w:rPr>
              <w:t xml:space="preserve">, </w:t>
            </w:r>
            <w:proofErr w:type="spellStart"/>
            <w:r w:rsidRPr="0057401D">
              <w:rPr>
                <w:rFonts w:ascii="Cambria" w:hAnsi="Cambria" w:cs="Calibri"/>
                <w:lang w:val="it-IT"/>
              </w:rPr>
              <w:t>student</w:t>
            </w:r>
            <w:proofErr w:type="spellEnd"/>
            <w:r w:rsidRPr="0057401D">
              <w:rPr>
                <w:rFonts w:ascii="Cambria" w:hAnsi="Cambria" w:cs="Calibri"/>
                <w:lang w:val="it-IT"/>
              </w:rPr>
              <w:t>/</w:t>
            </w:r>
            <w:proofErr w:type="spellStart"/>
            <w:r w:rsidRPr="0057401D">
              <w:rPr>
                <w:rFonts w:ascii="Cambria" w:hAnsi="Cambria" w:cs="Calibri"/>
                <w:lang w:val="it-IT"/>
              </w:rPr>
              <w:t>ica</w:t>
            </w:r>
            <w:proofErr w:type="spellEnd"/>
            <w:r w:rsidRPr="0057401D">
              <w:rPr>
                <w:rFonts w:ascii="Cambria" w:hAnsi="Cambria" w:cs="Calibri"/>
                <w:lang w:val="it-IT"/>
              </w:rPr>
              <w:t xml:space="preserve"> mora: </w:t>
            </w:r>
          </w:p>
          <w:p w14:paraId="1EC32935" w14:textId="77777777" w:rsidR="00450B7A" w:rsidRDefault="00450B7A" w:rsidP="006B2F54">
            <w:pPr>
              <w:suppressAutoHyphens/>
              <w:snapToGrid w:val="0"/>
              <w:spacing w:after="0" w:line="240" w:lineRule="auto"/>
              <w:rPr>
                <w:rFonts w:ascii="Cambria" w:hAnsi="Cambria" w:cs="Calibri"/>
                <w:lang w:val="it-IT"/>
              </w:rPr>
            </w:pPr>
            <w:r>
              <w:rPr>
                <w:rFonts w:ascii="Cambria" w:hAnsi="Cambria"/>
                <w:lang w:val="it-IT"/>
              </w:rPr>
              <w:t xml:space="preserve">1. </w:t>
            </w:r>
            <w:proofErr w:type="spellStart"/>
            <w:r w:rsidRPr="0057401D">
              <w:rPr>
                <w:rFonts w:ascii="Cambria" w:hAnsi="Cambria"/>
                <w:lang w:val="it-IT"/>
              </w:rPr>
              <w:t>pohađati</w:t>
            </w:r>
            <w:proofErr w:type="spellEnd"/>
            <w:r w:rsidRPr="0057401D">
              <w:rPr>
                <w:rFonts w:ascii="Cambria" w:hAnsi="Cambria"/>
                <w:lang w:val="it-IT"/>
              </w:rPr>
              <w:t xml:space="preserve"> </w:t>
            </w:r>
            <w:proofErr w:type="spellStart"/>
            <w:r w:rsidRPr="0057401D">
              <w:rPr>
                <w:rFonts w:ascii="Cambria" w:hAnsi="Cambria"/>
                <w:lang w:val="it-IT"/>
              </w:rPr>
              <w:t>nastavu</w:t>
            </w:r>
            <w:proofErr w:type="spellEnd"/>
            <w:r w:rsidRPr="0057401D">
              <w:rPr>
                <w:rFonts w:ascii="Cambria" w:hAnsi="Cambria"/>
                <w:lang w:val="it-IT"/>
              </w:rPr>
              <w:t xml:space="preserve"> (</w:t>
            </w:r>
            <w:proofErr w:type="spellStart"/>
            <w:r w:rsidRPr="0057401D">
              <w:rPr>
                <w:rFonts w:ascii="Cambria" w:hAnsi="Cambria"/>
                <w:lang w:val="it-IT"/>
              </w:rPr>
              <w:t>tolerira</w:t>
            </w:r>
            <w:proofErr w:type="spellEnd"/>
            <w:r w:rsidRPr="0057401D">
              <w:rPr>
                <w:rFonts w:ascii="Cambria" w:hAnsi="Cambria"/>
                <w:lang w:val="it-IT"/>
              </w:rPr>
              <w:t xml:space="preserve"> se 30 % </w:t>
            </w:r>
            <w:proofErr w:type="spellStart"/>
            <w:r w:rsidRPr="0057401D">
              <w:rPr>
                <w:rFonts w:ascii="Cambria" w:hAnsi="Cambria"/>
                <w:lang w:val="it-IT"/>
              </w:rPr>
              <w:t>izostanaka</w:t>
            </w:r>
            <w:proofErr w:type="spellEnd"/>
            <w:r w:rsidRPr="0057401D">
              <w:rPr>
                <w:rFonts w:ascii="Cambria" w:hAnsi="Cambria"/>
                <w:lang w:val="it-IT"/>
              </w:rPr>
              <w:t>)</w:t>
            </w:r>
          </w:p>
          <w:p w14:paraId="70229BB0" w14:textId="77777777" w:rsidR="00450B7A" w:rsidRDefault="00450B7A" w:rsidP="006B2F54">
            <w:pPr>
              <w:suppressAutoHyphens/>
              <w:snapToGrid w:val="0"/>
              <w:spacing w:after="0" w:line="240" w:lineRule="auto"/>
              <w:rPr>
                <w:rFonts w:ascii="Cambria" w:hAnsi="Cambria" w:cs="Calibri"/>
                <w:lang w:val="it-IT"/>
              </w:rPr>
            </w:pPr>
            <w:r>
              <w:rPr>
                <w:rFonts w:ascii="Cambria" w:hAnsi="Cambria"/>
                <w:lang w:val="it-IT"/>
              </w:rPr>
              <w:t xml:space="preserve">2. </w:t>
            </w:r>
            <w:proofErr w:type="spellStart"/>
            <w:r w:rsidRPr="006B2F54">
              <w:rPr>
                <w:rFonts w:ascii="Cambria" w:hAnsi="Cambria"/>
                <w:lang w:val="it-IT"/>
              </w:rPr>
              <w:t>aktivno</w:t>
            </w:r>
            <w:proofErr w:type="spellEnd"/>
            <w:r w:rsidRPr="006B2F54">
              <w:rPr>
                <w:rFonts w:ascii="Cambria" w:hAnsi="Cambria"/>
                <w:lang w:val="it-IT"/>
              </w:rPr>
              <w:t xml:space="preserve"> </w:t>
            </w:r>
            <w:proofErr w:type="spellStart"/>
            <w:r w:rsidRPr="006B2F54">
              <w:rPr>
                <w:rFonts w:ascii="Cambria" w:hAnsi="Cambria"/>
                <w:lang w:val="it-IT"/>
              </w:rPr>
              <w:t>sudjelovati</w:t>
            </w:r>
            <w:proofErr w:type="spellEnd"/>
            <w:r w:rsidRPr="006B2F54">
              <w:rPr>
                <w:rFonts w:ascii="Cambria" w:hAnsi="Cambria"/>
                <w:lang w:val="it-IT"/>
              </w:rPr>
              <w:t xml:space="preserve"> u </w:t>
            </w:r>
            <w:proofErr w:type="spellStart"/>
            <w:r w:rsidRPr="006B2F54">
              <w:rPr>
                <w:rFonts w:ascii="Cambria" w:hAnsi="Cambria"/>
                <w:lang w:val="it-IT"/>
              </w:rPr>
              <w:t>nastavnom</w:t>
            </w:r>
            <w:proofErr w:type="spellEnd"/>
            <w:r w:rsidRPr="006B2F54">
              <w:rPr>
                <w:rFonts w:ascii="Cambria" w:hAnsi="Cambria"/>
                <w:lang w:val="it-IT"/>
              </w:rPr>
              <w:t xml:space="preserve"> </w:t>
            </w:r>
            <w:proofErr w:type="spellStart"/>
            <w:r w:rsidRPr="006B2F54">
              <w:rPr>
                <w:rFonts w:ascii="Cambria" w:hAnsi="Cambria"/>
                <w:lang w:val="it-IT"/>
              </w:rPr>
              <w:t>procesu</w:t>
            </w:r>
            <w:proofErr w:type="spellEnd"/>
          </w:p>
          <w:p w14:paraId="2856FB97" w14:textId="77777777" w:rsidR="00450B7A" w:rsidRDefault="00450B7A" w:rsidP="006B2F54">
            <w:pPr>
              <w:suppressAutoHyphens/>
              <w:snapToGrid w:val="0"/>
              <w:spacing w:after="0" w:line="240" w:lineRule="auto"/>
              <w:rPr>
                <w:rFonts w:ascii="Cambria" w:hAnsi="Cambria" w:cs="Calibri"/>
                <w:lang w:val="it-IT"/>
              </w:rPr>
            </w:pPr>
            <w:r>
              <w:rPr>
                <w:rFonts w:ascii="Cambria" w:hAnsi="Cambria"/>
                <w:lang w:val="it-IT"/>
              </w:rPr>
              <w:t xml:space="preserve">3. </w:t>
            </w:r>
            <w:proofErr w:type="spellStart"/>
            <w:r w:rsidRPr="0057401D">
              <w:rPr>
                <w:rFonts w:ascii="Cambria" w:hAnsi="Cambria"/>
                <w:lang w:val="it-IT"/>
              </w:rPr>
              <w:t>izraditi</w:t>
            </w:r>
            <w:proofErr w:type="spellEnd"/>
            <w:r w:rsidRPr="0057401D">
              <w:rPr>
                <w:rFonts w:ascii="Cambria" w:hAnsi="Cambria"/>
                <w:lang w:val="it-IT"/>
              </w:rPr>
              <w:t xml:space="preserve">, predati i </w:t>
            </w:r>
            <w:proofErr w:type="spellStart"/>
            <w:r w:rsidRPr="0057401D">
              <w:rPr>
                <w:rFonts w:ascii="Cambria" w:hAnsi="Cambria"/>
                <w:lang w:val="it-IT"/>
              </w:rPr>
              <w:t>prezentirati</w:t>
            </w:r>
            <w:proofErr w:type="spellEnd"/>
            <w:r w:rsidRPr="0057401D">
              <w:rPr>
                <w:rFonts w:ascii="Cambria" w:hAnsi="Cambria"/>
                <w:lang w:val="it-IT"/>
              </w:rPr>
              <w:t xml:space="preserve"> </w:t>
            </w:r>
            <w:proofErr w:type="spellStart"/>
            <w:r w:rsidRPr="0057401D">
              <w:rPr>
                <w:rFonts w:ascii="Cambria" w:hAnsi="Cambria"/>
                <w:lang w:val="it-IT"/>
              </w:rPr>
              <w:t>seminarski</w:t>
            </w:r>
            <w:proofErr w:type="spellEnd"/>
            <w:r w:rsidRPr="0057401D">
              <w:rPr>
                <w:rFonts w:ascii="Cambria" w:hAnsi="Cambria"/>
                <w:lang w:val="it-IT"/>
              </w:rPr>
              <w:t xml:space="preserve"> rad</w:t>
            </w:r>
          </w:p>
          <w:p w14:paraId="341D426D" w14:textId="40722346" w:rsidR="00450B7A" w:rsidRPr="006B2F54" w:rsidRDefault="00450B7A" w:rsidP="006B2F54">
            <w:pPr>
              <w:suppressAutoHyphens/>
              <w:snapToGrid w:val="0"/>
              <w:spacing w:after="0" w:line="240" w:lineRule="auto"/>
              <w:rPr>
                <w:rFonts w:ascii="Cambria" w:hAnsi="Cambria" w:cs="Calibri"/>
                <w:lang w:val="it-IT"/>
              </w:rPr>
            </w:pPr>
            <w:r>
              <w:rPr>
                <w:rFonts w:ascii="Cambria" w:hAnsi="Cambria"/>
                <w:lang w:val="it-IT"/>
              </w:rPr>
              <w:t xml:space="preserve">4. </w:t>
            </w:r>
            <w:proofErr w:type="spellStart"/>
            <w:r w:rsidRPr="006B2F54">
              <w:rPr>
                <w:rFonts w:ascii="Cambria" w:hAnsi="Cambria"/>
              </w:rPr>
              <w:t>položiti</w:t>
            </w:r>
            <w:proofErr w:type="spellEnd"/>
            <w:r w:rsidRPr="006B2F54">
              <w:rPr>
                <w:rFonts w:ascii="Cambria" w:hAnsi="Cambria"/>
              </w:rPr>
              <w:t xml:space="preserve"> </w:t>
            </w:r>
            <w:proofErr w:type="spellStart"/>
            <w:r w:rsidRPr="006B2F54">
              <w:rPr>
                <w:rFonts w:ascii="Cambria" w:hAnsi="Cambria"/>
              </w:rPr>
              <w:t>završni</w:t>
            </w:r>
            <w:proofErr w:type="spellEnd"/>
            <w:r w:rsidRPr="006B2F54">
              <w:rPr>
                <w:rFonts w:ascii="Cambria" w:hAnsi="Cambria"/>
              </w:rPr>
              <w:t xml:space="preserve"> </w:t>
            </w:r>
            <w:proofErr w:type="spellStart"/>
            <w:r w:rsidRPr="006B2F54">
              <w:rPr>
                <w:rFonts w:ascii="Cambria" w:hAnsi="Cambria"/>
              </w:rPr>
              <w:t>usmeni</w:t>
            </w:r>
            <w:proofErr w:type="spellEnd"/>
            <w:r w:rsidRPr="006B2F54">
              <w:rPr>
                <w:rFonts w:ascii="Cambria" w:hAnsi="Cambria"/>
              </w:rPr>
              <w:t xml:space="preserve"> </w:t>
            </w:r>
            <w:proofErr w:type="spellStart"/>
            <w:r w:rsidRPr="006B2F54">
              <w:rPr>
                <w:rFonts w:ascii="Cambria" w:hAnsi="Cambria"/>
              </w:rPr>
              <w:t>ispit</w:t>
            </w:r>
            <w:proofErr w:type="spellEnd"/>
            <w:r>
              <w:rPr>
                <w:rFonts w:ascii="Cambria" w:hAnsi="Cambria"/>
              </w:rPr>
              <w:t>.</w:t>
            </w:r>
          </w:p>
        </w:tc>
      </w:tr>
      <w:tr w:rsidR="00450B7A" w:rsidRPr="00D0399C" w14:paraId="6DFBC85A" w14:textId="77777777" w:rsidTr="00450B7A">
        <w:tc>
          <w:tcPr>
            <w:tcW w:w="20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C4200EA" w14:textId="77777777" w:rsidR="00450B7A" w:rsidRPr="00A62FBD" w:rsidRDefault="00450B7A" w:rsidP="0057401D">
            <w:pPr>
              <w:pStyle w:val="Bezproreda"/>
              <w:rPr>
                <w:rFonts w:ascii="Cambria" w:hAnsi="Cambria" w:cs="Calibri"/>
              </w:rPr>
            </w:pPr>
            <w:proofErr w:type="spellStart"/>
            <w:r w:rsidRPr="00A62FBD">
              <w:rPr>
                <w:rFonts w:ascii="Cambria" w:hAnsi="Cambria" w:cs="Calibri"/>
                <w:lang w:val="en-US"/>
              </w:rPr>
              <w:t>Rokovi</w:t>
            </w:r>
            <w:proofErr w:type="spellEnd"/>
            <w:r w:rsidRPr="00A62FBD">
              <w:rPr>
                <w:rFonts w:ascii="Cambria" w:hAnsi="Cambria" w:cs="Calibri"/>
                <w:lang w:val="en-US"/>
              </w:rPr>
              <w:t xml:space="preserve"> </w:t>
            </w:r>
            <w:proofErr w:type="spellStart"/>
            <w:r w:rsidRPr="00A62FBD">
              <w:rPr>
                <w:rFonts w:ascii="Cambria" w:hAnsi="Cambria" w:cs="Calibri"/>
                <w:lang w:val="en-US"/>
              </w:rPr>
              <w:t>ispita</w:t>
            </w:r>
            <w:proofErr w:type="spellEnd"/>
            <w:r w:rsidRPr="00A62FBD">
              <w:rPr>
                <w:rFonts w:ascii="Cambria" w:hAnsi="Cambria" w:cs="Calibri"/>
                <w:lang w:val="en-US"/>
              </w:rPr>
              <w:t xml:space="preserve"> </w:t>
            </w:r>
            <w:proofErr w:type="spellStart"/>
            <w:r w:rsidRPr="00A62FBD">
              <w:rPr>
                <w:rFonts w:ascii="Cambria" w:hAnsi="Cambria" w:cs="Calibri"/>
                <w:lang w:val="en-US"/>
              </w:rPr>
              <w:t>i</w:t>
            </w:r>
            <w:proofErr w:type="spellEnd"/>
            <w:r w:rsidRPr="00A62FBD">
              <w:rPr>
                <w:rFonts w:ascii="Cambria" w:hAnsi="Cambria" w:cs="Calibri"/>
                <w:lang w:val="en-US"/>
              </w:rPr>
              <w:t xml:space="preserve"> </w:t>
            </w:r>
            <w:proofErr w:type="spellStart"/>
            <w:r w:rsidRPr="00A62FBD">
              <w:rPr>
                <w:rFonts w:ascii="Cambria" w:hAnsi="Cambria" w:cs="Calibri"/>
                <w:lang w:val="en-US"/>
              </w:rPr>
              <w:t>kolokvija</w:t>
            </w:r>
            <w:proofErr w:type="spellEnd"/>
          </w:p>
        </w:tc>
        <w:tc>
          <w:tcPr>
            <w:tcW w:w="6979"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B29CF1F" w14:textId="77777777" w:rsidR="00450B7A" w:rsidRPr="00A62FBD" w:rsidRDefault="00450B7A" w:rsidP="006B2F54">
            <w:pPr>
              <w:pStyle w:val="Bezproreda"/>
              <w:rPr>
                <w:rFonts w:ascii="Cambria" w:hAnsi="Cambria" w:cs="Calibri"/>
              </w:rPr>
            </w:pPr>
            <w:r w:rsidRPr="005054FB">
              <w:rPr>
                <w:rStyle w:val="markedcontent"/>
                <w:rFonts w:ascii="Cambria" w:hAnsi="Cambria" w:cs="Calibri"/>
              </w:rPr>
              <w:t xml:space="preserve">Objavljuju se u ISVU sustavu i u </w:t>
            </w:r>
            <w:proofErr w:type="spellStart"/>
            <w:r w:rsidRPr="005054FB">
              <w:rPr>
                <w:rStyle w:val="markedcontent"/>
                <w:rFonts w:ascii="Cambria" w:hAnsi="Cambria" w:cs="Calibri"/>
              </w:rPr>
              <w:t>Studomatu</w:t>
            </w:r>
            <w:proofErr w:type="spellEnd"/>
            <w:r w:rsidRPr="005054FB">
              <w:rPr>
                <w:rStyle w:val="markedcontent"/>
                <w:rFonts w:ascii="Cambria" w:hAnsi="Cambria" w:cs="Calibri"/>
              </w:rPr>
              <w:t>.</w:t>
            </w:r>
          </w:p>
        </w:tc>
      </w:tr>
      <w:tr w:rsidR="00450B7A" w:rsidRPr="00A62FBD" w14:paraId="156FE1C1" w14:textId="77777777" w:rsidTr="00450B7A">
        <w:tc>
          <w:tcPr>
            <w:tcW w:w="20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F421AB4" w14:textId="77777777" w:rsidR="00450B7A" w:rsidRPr="00A62FBD" w:rsidRDefault="00450B7A" w:rsidP="0057401D">
            <w:pPr>
              <w:pStyle w:val="Bezproreda"/>
              <w:rPr>
                <w:rFonts w:ascii="Cambria" w:hAnsi="Cambria" w:cs="Calibri"/>
              </w:rPr>
            </w:pPr>
            <w:r w:rsidRPr="00A62FBD">
              <w:rPr>
                <w:rFonts w:ascii="Cambria" w:hAnsi="Cambria" w:cs="Calibri"/>
              </w:rPr>
              <w:t xml:space="preserve">Ostale važne činjenice </w:t>
            </w:r>
            <w:proofErr w:type="spellStart"/>
            <w:r w:rsidRPr="00A62FBD">
              <w:rPr>
                <w:rFonts w:ascii="Cambria" w:hAnsi="Cambria" w:cs="Calibri"/>
                <w:lang w:val="it-IT"/>
              </w:rPr>
              <w:t>vezane</w:t>
            </w:r>
            <w:proofErr w:type="spellEnd"/>
            <w:r w:rsidRPr="00A62FBD">
              <w:rPr>
                <w:rFonts w:ascii="Cambria" w:hAnsi="Cambria" w:cs="Calibri"/>
                <w:lang w:val="it-IT"/>
              </w:rPr>
              <w:t xml:space="preserve"> </w:t>
            </w:r>
            <w:proofErr w:type="spellStart"/>
            <w:r w:rsidRPr="00A62FBD">
              <w:rPr>
                <w:rFonts w:ascii="Cambria" w:hAnsi="Cambria" w:cs="Calibri"/>
                <w:lang w:val="it-IT"/>
              </w:rPr>
              <w:t>uz</w:t>
            </w:r>
            <w:proofErr w:type="spellEnd"/>
            <w:r w:rsidRPr="00A62FBD">
              <w:rPr>
                <w:rFonts w:ascii="Cambria" w:hAnsi="Cambria" w:cs="Calibri"/>
                <w:lang w:val="it-IT"/>
              </w:rPr>
              <w:t xml:space="preserve"> </w:t>
            </w:r>
            <w:proofErr w:type="spellStart"/>
            <w:r w:rsidRPr="00A62FBD">
              <w:rPr>
                <w:rFonts w:ascii="Cambria" w:hAnsi="Cambria" w:cs="Calibri"/>
                <w:lang w:val="it-IT"/>
              </w:rPr>
              <w:t>kolegij</w:t>
            </w:r>
            <w:proofErr w:type="spellEnd"/>
          </w:p>
        </w:tc>
        <w:tc>
          <w:tcPr>
            <w:tcW w:w="6979"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6076EE4" w14:textId="77777777" w:rsidR="00450B7A" w:rsidRPr="0057401D" w:rsidRDefault="00450B7A" w:rsidP="006B2F54">
            <w:pPr>
              <w:spacing w:after="0" w:line="240" w:lineRule="auto"/>
              <w:rPr>
                <w:rFonts w:ascii="Cambria" w:hAnsi="Cambria"/>
                <w:lang w:val="it-IT"/>
              </w:rPr>
            </w:pPr>
            <w:proofErr w:type="spellStart"/>
            <w:r w:rsidRPr="0057401D">
              <w:rPr>
                <w:rFonts w:ascii="Cambria" w:hAnsi="Cambria"/>
                <w:lang w:val="it-IT"/>
              </w:rPr>
              <w:t>Materijali</w:t>
            </w:r>
            <w:proofErr w:type="spellEnd"/>
            <w:r w:rsidRPr="0057401D">
              <w:rPr>
                <w:rFonts w:ascii="Cambria" w:hAnsi="Cambria"/>
                <w:lang w:val="it-IT"/>
              </w:rPr>
              <w:t xml:space="preserve"> za </w:t>
            </w:r>
            <w:proofErr w:type="spellStart"/>
            <w:r w:rsidRPr="0057401D">
              <w:rPr>
                <w:rFonts w:ascii="Cambria" w:hAnsi="Cambria"/>
                <w:lang w:val="it-IT"/>
              </w:rPr>
              <w:t>predavanja</w:t>
            </w:r>
            <w:proofErr w:type="spellEnd"/>
            <w:r w:rsidRPr="0057401D">
              <w:rPr>
                <w:rFonts w:ascii="Cambria" w:hAnsi="Cambria"/>
                <w:lang w:val="it-IT"/>
              </w:rPr>
              <w:t xml:space="preserve"> </w:t>
            </w:r>
            <w:proofErr w:type="gramStart"/>
            <w:r w:rsidRPr="0057401D">
              <w:rPr>
                <w:rFonts w:ascii="Cambria" w:hAnsi="Cambria"/>
                <w:lang w:val="it-IT"/>
              </w:rPr>
              <w:t>i seminare</w:t>
            </w:r>
            <w:proofErr w:type="gramEnd"/>
            <w:r w:rsidRPr="0057401D">
              <w:rPr>
                <w:rFonts w:ascii="Cambria" w:hAnsi="Cambria"/>
                <w:lang w:val="it-IT"/>
              </w:rPr>
              <w:t xml:space="preserve"> </w:t>
            </w:r>
            <w:proofErr w:type="spellStart"/>
            <w:r w:rsidRPr="0057401D">
              <w:rPr>
                <w:rFonts w:ascii="Cambria" w:hAnsi="Cambria"/>
                <w:lang w:val="it-IT"/>
              </w:rPr>
              <w:t>objavljuju</w:t>
            </w:r>
            <w:proofErr w:type="spellEnd"/>
            <w:r w:rsidRPr="0057401D">
              <w:rPr>
                <w:rFonts w:ascii="Cambria" w:hAnsi="Cambria"/>
                <w:lang w:val="it-IT"/>
              </w:rPr>
              <w:t xml:space="preserve"> se </w:t>
            </w:r>
            <w:proofErr w:type="spellStart"/>
            <w:r w:rsidRPr="0057401D">
              <w:rPr>
                <w:rFonts w:ascii="Cambria" w:hAnsi="Cambria"/>
                <w:lang w:val="it-IT"/>
              </w:rPr>
              <w:t>na</w:t>
            </w:r>
            <w:proofErr w:type="spellEnd"/>
            <w:r w:rsidRPr="0057401D">
              <w:rPr>
                <w:rFonts w:ascii="Cambria" w:hAnsi="Cambria"/>
                <w:lang w:val="it-IT"/>
              </w:rPr>
              <w:t xml:space="preserve"> e-</w:t>
            </w:r>
            <w:proofErr w:type="spellStart"/>
            <w:r w:rsidRPr="0057401D">
              <w:rPr>
                <w:rFonts w:ascii="Cambria" w:hAnsi="Cambria"/>
                <w:lang w:val="it-IT"/>
              </w:rPr>
              <w:t>učenju</w:t>
            </w:r>
            <w:proofErr w:type="spellEnd"/>
            <w:r w:rsidRPr="0057401D">
              <w:rPr>
                <w:rFonts w:ascii="Cambria" w:hAnsi="Cambria"/>
                <w:lang w:val="it-IT"/>
              </w:rPr>
              <w:t>.</w:t>
            </w:r>
          </w:p>
          <w:p w14:paraId="7635F246" w14:textId="77777777" w:rsidR="00450B7A" w:rsidRPr="0057401D" w:rsidRDefault="00450B7A" w:rsidP="006B2F54">
            <w:pPr>
              <w:spacing w:after="0" w:line="240" w:lineRule="auto"/>
              <w:rPr>
                <w:rFonts w:ascii="Cambria" w:hAnsi="Cambria"/>
                <w:lang w:val="it-IT"/>
              </w:rPr>
            </w:pPr>
            <w:r w:rsidRPr="0057401D">
              <w:rPr>
                <w:rFonts w:ascii="Cambria" w:hAnsi="Cambria"/>
                <w:lang w:val="it-IT"/>
              </w:rPr>
              <w:t xml:space="preserve">U </w:t>
            </w:r>
            <w:proofErr w:type="spellStart"/>
            <w:r w:rsidRPr="0057401D">
              <w:rPr>
                <w:rFonts w:ascii="Cambria" w:hAnsi="Cambria"/>
                <w:lang w:val="it-IT"/>
              </w:rPr>
              <w:t>slučaju</w:t>
            </w:r>
            <w:proofErr w:type="spellEnd"/>
            <w:r w:rsidRPr="0057401D">
              <w:rPr>
                <w:rFonts w:ascii="Cambria" w:hAnsi="Cambria"/>
                <w:lang w:val="it-IT"/>
              </w:rPr>
              <w:t xml:space="preserve"> </w:t>
            </w:r>
            <w:proofErr w:type="spellStart"/>
            <w:r w:rsidRPr="0057401D">
              <w:rPr>
                <w:rFonts w:ascii="Cambria" w:hAnsi="Cambria"/>
                <w:lang w:val="it-IT"/>
              </w:rPr>
              <w:t>održavanja</w:t>
            </w:r>
            <w:proofErr w:type="spellEnd"/>
            <w:r w:rsidRPr="0057401D">
              <w:rPr>
                <w:rFonts w:ascii="Cambria" w:hAnsi="Cambria"/>
                <w:lang w:val="it-IT"/>
              </w:rPr>
              <w:t xml:space="preserve"> </w:t>
            </w:r>
            <w:proofErr w:type="spellStart"/>
            <w:r w:rsidRPr="0057401D">
              <w:rPr>
                <w:rFonts w:ascii="Cambria" w:hAnsi="Cambria"/>
                <w:lang w:val="it-IT"/>
              </w:rPr>
              <w:t>nastave</w:t>
            </w:r>
            <w:proofErr w:type="spellEnd"/>
            <w:r w:rsidRPr="0057401D">
              <w:rPr>
                <w:rFonts w:ascii="Cambria" w:hAnsi="Cambria"/>
                <w:lang w:val="it-IT"/>
              </w:rPr>
              <w:t xml:space="preserve"> </w:t>
            </w:r>
            <w:proofErr w:type="spellStart"/>
            <w:r w:rsidRPr="0057401D">
              <w:rPr>
                <w:rFonts w:ascii="Cambria" w:hAnsi="Cambria"/>
                <w:lang w:val="it-IT"/>
              </w:rPr>
              <w:t>na</w:t>
            </w:r>
            <w:proofErr w:type="spellEnd"/>
            <w:r w:rsidRPr="0057401D">
              <w:rPr>
                <w:rFonts w:ascii="Cambria" w:hAnsi="Cambria"/>
                <w:lang w:val="it-IT"/>
              </w:rPr>
              <w:t xml:space="preserve"> </w:t>
            </w:r>
            <w:proofErr w:type="spellStart"/>
            <w:r w:rsidRPr="0057401D">
              <w:rPr>
                <w:rFonts w:ascii="Cambria" w:hAnsi="Cambria"/>
                <w:lang w:val="it-IT"/>
              </w:rPr>
              <w:t>daljinu</w:t>
            </w:r>
            <w:proofErr w:type="spellEnd"/>
            <w:r w:rsidRPr="0057401D">
              <w:rPr>
                <w:rFonts w:ascii="Cambria" w:hAnsi="Cambria"/>
                <w:lang w:val="it-IT"/>
              </w:rPr>
              <w:t xml:space="preserve">, </w:t>
            </w:r>
            <w:proofErr w:type="spellStart"/>
            <w:r w:rsidRPr="0057401D">
              <w:rPr>
                <w:rFonts w:ascii="Cambria" w:hAnsi="Cambria"/>
                <w:lang w:val="it-IT"/>
              </w:rPr>
              <w:t>moguće</w:t>
            </w:r>
            <w:proofErr w:type="spellEnd"/>
            <w:r w:rsidRPr="0057401D">
              <w:rPr>
                <w:rFonts w:ascii="Cambria" w:hAnsi="Cambria"/>
                <w:lang w:val="it-IT"/>
              </w:rPr>
              <w:t xml:space="preserve"> je </w:t>
            </w:r>
            <w:proofErr w:type="spellStart"/>
            <w:r w:rsidRPr="0057401D">
              <w:rPr>
                <w:rFonts w:ascii="Cambria" w:hAnsi="Cambria"/>
                <w:lang w:val="it-IT"/>
              </w:rPr>
              <w:t>odstupanje</w:t>
            </w:r>
            <w:proofErr w:type="spellEnd"/>
            <w:r w:rsidRPr="0057401D">
              <w:rPr>
                <w:rFonts w:ascii="Cambria" w:hAnsi="Cambria"/>
                <w:lang w:val="it-IT"/>
              </w:rPr>
              <w:t xml:space="preserve"> u:</w:t>
            </w:r>
          </w:p>
          <w:p w14:paraId="0E9C5248" w14:textId="77777777" w:rsidR="00450B7A" w:rsidRPr="0057401D" w:rsidRDefault="00450B7A" w:rsidP="006B2F54">
            <w:pPr>
              <w:spacing w:after="0" w:line="240" w:lineRule="auto"/>
              <w:rPr>
                <w:rFonts w:ascii="Cambria" w:hAnsi="Cambria"/>
                <w:lang w:val="it-IT"/>
              </w:rPr>
            </w:pPr>
            <w:r w:rsidRPr="0057401D">
              <w:rPr>
                <w:rFonts w:ascii="Cambria" w:hAnsi="Cambria"/>
                <w:lang w:val="it-IT"/>
              </w:rPr>
              <w:t xml:space="preserve">- </w:t>
            </w:r>
            <w:proofErr w:type="spellStart"/>
            <w:r w:rsidRPr="0057401D">
              <w:rPr>
                <w:rFonts w:ascii="Cambria" w:hAnsi="Cambria"/>
                <w:lang w:val="it-IT"/>
              </w:rPr>
              <w:t>mjestu</w:t>
            </w:r>
            <w:proofErr w:type="spellEnd"/>
            <w:r w:rsidRPr="0057401D">
              <w:rPr>
                <w:rFonts w:ascii="Cambria" w:hAnsi="Cambria"/>
                <w:lang w:val="it-IT"/>
              </w:rPr>
              <w:t xml:space="preserve"> </w:t>
            </w:r>
            <w:proofErr w:type="spellStart"/>
            <w:r w:rsidRPr="0057401D">
              <w:rPr>
                <w:rFonts w:ascii="Cambria" w:hAnsi="Cambria"/>
                <w:lang w:val="it-IT"/>
              </w:rPr>
              <w:t>izvođenja</w:t>
            </w:r>
            <w:proofErr w:type="spellEnd"/>
            <w:r w:rsidRPr="0057401D">
              <w:rPr>
                <w:rFonts w:ascii="Cambria" w:hAnsi="Cambria"/>
                <w:lang w:val="it-IT"/>
              </w:rPr>
              <w:t xml:space="preserve"> </w:t>
            </w:r>
            <w:proofErr w:type="spellStart"/>
            <w:r w:rsidRPr="0057401D">
              <w:rPr>
                <w:rFonts w:ascii="Cambria" w:hAnsi="Cambria"/>
                <w:lang w:val="it-IT"/>
              </w:rPr>
              <w:t>kolegija</w:t>
            </w:r>
            <w:proofErr w:type="spellEnd"/>
            <w:r w:rsidRPr="0057401D">
              <w:rPr>
                <w:rFonts w:ascii="Cambria" w:hAnsi="Cambria"/>
                <w:lang w:val="it-IT"/>
              </w:rPr>
              <w:t>,</w:t>
            </w:r>
          </w:p>
          <w:p w14:paraId="1E0D4889" w14:textId="77777777" w:rsidR="00450B7A" w:rsidRPr="0057401D" w:rsidRDefault="00450B7A" w:rsidP="006B2F54">
            <w:pPr>
              <w:spacing w:after="0" w:line="240" w:lineRule="auto"/>
              <w:rPr>
                <w:rFonts w:ascii="Cambria" w:hAnsi="Cambria"/>
                <w:lang w:val="it-IT"/>
              </w:rPr>
            </w:pPr>
            <w:r w:rsidRPr="0057401D">
              <w:rPr>
                <w:rFonts w:ascii="Cambria" w:hAnsi="Cambria"/>
                <w:lang w:val="it-IT"/>
              </w:rPr>
              <w:t xml:space="preserve">- </w:t>
            </w:r>
            <w:proofErr w:type="spellStart"/>
            <w:r w:rsidRPr="0057401D">
              <w:rPr>
                <w:rFonts w:ascii="Cambria" w:hAnsi="Cambria"/>
                <w:lang w:val="it-IT"/>
              </w:rPr>
              <w:t>provedbi</w:t>
            </w:r>
            <w:proofErr w:type="spellEnd"/>
            <w:r w:rsidRPr="0057401D">
              <w:rPr>
                <w:rFonts w:ascii="Cambria" w:hAnsi="Cambria"/>
                <w:lang w:val="it-IT"/>
              </w:rPr>
              <w:t xml:space="preserve"> </w:t>
            </w:r>
            <w:proofErr w:type="spellStart"/>
            <w:r w:rsidRPr="0057401D">
              <w:rPr>
                <w:rFonts w:ascii="Cambria" w:hAnsi="Cambria"/>
                <w:lang w:val="it-IT"/>
              </w:rPr>
              <w:t>aktivnosti</w:t>
            </w:r>
            <w:proofErr w:type="spellEnd"/>
            <w:r w:rsidRPr="0057401D">
              <w:rPr>
                <w:rFonts w:ascii="Cambria" w:hAnsi="Cambria"/>
                <w:lang w:val="it-IT"/>
              </w:rPr>
              <w:t>,</w:t>
            </w:r>
          </w:p>
          <w:p w14:paraId="7EA461F8" w14:textId="77777777" w:rsidR="00450B7A" w:rsidRPr="0057401D" w:rsidRDefault="00450B7A" w:rsidP="006B2F54">
            <w:pPr>
              <w:spacing w:after="0" w:line="240" w:lineRule="auto"/>
              <w:rPr>
                <w:rFonts w:ascii="Cambria" w:hAnsi="Cambria"/>
                <w:lang w:val="it-IT"/>
              </w:rPr>
            </w:pPr>
            <w:r w:rsidRPr="0057401D">
              <w:rPr>
                <w:rFonts w:ascii="Cambria" w:hAnsi="Cambria"/>
                <w:lang w:val="it-IT"/>
              </w:rPr>
              <w:t xml:space="preserve">- </w:t>
            </w:r>
            <w:proofErr w:type="spellStart"/>
            <w:r w:rsidRPr="0057401D">
              <w:rPr>
                <w:rFonts w:ascii="Cambria" w:hAnsi="Cambria"/>
                <w:lang w:val="it-IT"/>
              </w:rPr>
              <w:t>metodama</w:t>
            </w:r>
            <w:proofErr w:type="spellEnd"/>
            <w:r w:rsidRPr="0057401D">
              <w:rPr>
                <w:rFonts w:ascii="Cambria" w:hAnsi="Cambria"/>
                <w:lang w:val="it-IT"/>
              </w:rPr>
              <w:t xml:space="preserve"> </w:t>
            </w:r>
            <w:proofErr w:type="spellStart"/>
            <w:r w:rsidRPr="0057401D">
              <w:rPr>
                <w:rFonts w:ascii="Cambria" w:hAnsi="Cambria"/>
                <w:lang w:val="it-IT"/>
              </w:rPr>
              <w:t>tumačenja</w:t>
            </w:r>
            <w:proofErr w:type="spellEnd"/>
            <w:r w:rsidRPr="0057401D">
              <w:rPr>
                <w:rFonts w:ascii="Cambria" w:hAnsi="Cambria"/>
                <w:lang w:val="it-IT"/>
              </w:rPr>
              <w:t xml:space="preserve"> i </w:t>
            </w:r>
            <w:proofErr w:type="spellStart"/>
            <w:r w:rsidRPr="0057401D">
              <w:rPr>
                <w:rFonts w:ascii="Cambria" w:hAnsi="Cambria"/>
                <w:lang w:val="it-IT"/>
              </w:rPr>
              <w:t>poučavanja</w:t>
            </w:r>
            <w:proofErr w:type="spellEnd"/>
            <w:r w:rsidRPr="0057401D">
              <w:rPr>
                <w:rFonts w:ascii="Cambria" w:hAnsi="Cambria"/>
                <w:lang w:val="it-IT"/>
              </w:rPr>
              <w:t xml:space="preserve"> i </w:t>
            </w:r>
            <w:proofErr w:type="spellStart"/>
            <w:r w:rsidRPr="0057401D">
              <w:rPr>
                <w:rFonts w:ascii="Cambria" w:hAnsi="Cambria"/>
                <w:lang w:val="it-IT"/>
              </w:rPr>
              <w:t>načinima</w:t>
            </w:r>
            <w:proofErr w:type="spellEnd"/>
            <w:r w:rsidRPr="0057401D">
              <w:rPr>
                <w:rFonts w:ascii="Cambria" w:hAnsi="Cambria"/>
                <w:lang w:val="it-IT"/>
              </w:rPr>
              <w:t xml:space="preserve"> </w:t>
            </w:r>
            <w:proofErr w:type="spellStart"/>
            <w:r w:rsidRPr="0057401D">
              <w:rPr>
                <w:rFonts w:ascii="Cambria" w:hAnsi="Cambria"/>
                <w:lang w:val="it-IT"/>
              </w:rPr>
              <w:t>vrednovanja</w:t>
            </w:r>
            <w:proofErr w:type="spellEnd"/>
            <w:r w:rsidRPr="0057401D">
              <w:rPr>
                <w:rFonts w:ascii="Cambria" w:hAnsi="Cambria"/>
                <w:lang w:val="it-IT"/>
              </w:rPr>
              <w:t>,</w:t>
            </w:r>
          </w:p>
          <w:p w14:paraId="034F5BC3" w14:textId="77777777" w:rsidR="00450B7A" w:rsidRPr="0057401D" w:rsidRDefault="00450B7A" w:rsidP="006B2F54">
            <w:pPr>
              <w:spacing w:after="0" w:line="240" w:lineRule="auto"/>
              <w:rPr>
                <w:rFonts w:ascii="Cambria" w:hAnsi="Cambria"/>
                <w:lang w:val="it-IT"/>
              </w:rPr>
            </w:pPr>
            <w:r w:rsidRPr="0057401D">
              <w:rPr>
                <w:rFonts w:ascii="Cambria" w:hAnsi="Cambria"/>
                <w:lang w:val="it-IT"/>
              </w:rPr>
              <w:t xml:space="preserve">- </w:t>
            </w:r>
            <w:proofErr w:type="spellStart"/>
            <w:r w:rsidRPr="0057401D">
              <w:rPr>
                <w:rFonts w:ascii="Cambria" w:hAnsi="Cambria"/>
                <w:lang w:val="it-IT"/>
              </w:rPr>
              <w:t>studentskim</w:t>
            </w:r>
            <w:proofErr w:type="spellEnd"/>
            <w:r w:rsidRPr="0057401D">
              <w:rPr>
                <w:rFonts w:ascii="Cambria" w:hAnsi="Cambria"/>
                <w:lang w:val="it-IT"/>
              </w:rPr>
              <w:t xml:space="preserve"> </w:t>
            </w:r>
            <w:proofErr w:type="spellStart"/>
            <w:r w:rsidRPr="0057401D">
              <w:rPr>
                <w:rFonts w:ascii="Cambria" w:hAnsi="Cambria"/>
                <w:lang w:val="it-IT"/>
              </w:rPr>
              <w:t>obvezama</w:t>
            </w:r>
            <w:proofErr w:type="spellEnd"/>
            <w:r w:rsidRPr="0057401D">
              <w:rPr>
                <w:rFonts w:ascii="Cambria" w:hAnsi="Cambria"/>
                <w:lang w:val="it-IT"/>
              </w:rPr>
              <w:t xml:space="preserve"> i </w:t>
            </w:r>
            <w:proofErr w:type="spellStart"/>
            <w:r w:rsidRPr="0057401D">
              <w:rPr>
                <w:rFonts w:ascii="Cambria" w:hAnsi="Cambria"/>
                <w:lang w:val="it-IT"/>
              </w:rPr>
              <w:t>dostupnoj</w:t>
            </w:r>
            <w:proofErr w:type="spellEnd"/>
            <w:r w:rsidRPr="0057401D">
              <w:rPr>
                <w:rFonts w:ascii="Cambria" w:hAnsi="Cambria"/>
                <w:lang w:val="it-IT"/>
              </w:rPr>
              <w:t xml:space="preserve"> </w:t>
            </w:r>
            <w:proofErr w:type="spellStart"/>
            <w:r w:rsidRPr="0057401D">
              <w:rPr>
                <w:rFonts w:ascii="Cambria" w:hAnsi="Cambria"/>
                <w:lang w:val="it-IT"/>
              </w:rPr>
              <w:t>literaturi</w:t>
            </w:r>
            <w:proofErr w:type="spellEnd"/>
            <w:r w:rsidRPr="0057401D">
              <w:rPr>
                <w:rFonts w:ascii="Cambria" w:hAnsi="Cambria"/>
                <w:lang w:val="it-IT"/>
              </w:rPr>
              <w:t>.</w:t>
            </w:r>
          </w:p>
          <w:p w14:paraId="167FF446" w14:textId="77777777" w:rsidR="00450B7A" w:rsidRPr="0057401D" w:rsidRDefault="00450B7A" w:rsidP="006B2F54">
            <w:pPr>
              <w:spacing w:after="0" w:line="240" w:lineRule="auto"/>
              <w:rPr>
                <w:rFonts w:ascii="Cambria" w:hAnsi="Cambria"/>
                <w:lang w:val="it-IT"/>
              </w:rPr>
            </w:pPr>
            <w:r w:rsidRPr="0057401D">
              <w:rPr>
                <w:rFonts w:ascii="Cambria" w:hAnsi="Cambria"/>
                <w:lang w:val="it-IT"/>
              </w:rPr>
              <w:t xml:space="preserve">O tome </w:t>
            </w:r>
            <w:proofErr w:type="spellStart"/>
            <w:r w:rsidRPr="0057401D">
              <w:rPr>
                <w:rFonts w:ascii="Cambria" w:hAnsi="Cambria"/>
                <w:lang w:val="it-IT"/>
              </w:rPr>
              <w:t>će</w:t>
            </w:r>
            <w:proofErr w:type="spellEnd"/>
            <w:r w:rsidRPr="0057401D">
              <w:rPr>
                <w:rFonts w:ascii="Cambria" w:hAnsi="Cambria"/>
                <w:lang w:val="it-IT"/>
              </w:rPr>
              <w:t xml:space="preserve"> </w:t>
            </w:r>
            <w:proofErr w:type="spellStart"/>
            <w:r w:rsidRPr="0057401D">
              <w:rPr>
                <w:rFonts w:ascii="Cambria" w:hAnsi="Cambria"/>
                <w:lang w:val="it-IT"/>
              </w:rPr>
              <w:t>nositelj</w:t>
            </w:r>
            <w:proofErr w:type="spellEnd"/>
            <w:r w:rsidRPr="0057401D">
              <w:rPr>
                <w:rFonts w:ascii="Cambria" w:hAnsi="Cambria"/>
                <w:lang w:val="it-IT"/>
              </w:rPr>
              <w:t xml:space="preserve"> </w:t>
            </w:r>
            <w:proofErr w:type="spellStart"/>
            <w:r w:rsidRPr="0057401D">
              <w:rPr>
                <w:rFonts w:ascii="Cambria" w:hAnsi="Cambria"/>
                <w:lang w:val="it-IT"/>
              </w:rPr>
              <w:t>kolegija</w:t>
            </w:r>
            <w:proofErr w:type="spellEnd"/>
            <w:r w:rsidRPr="0057401D">
              <w:rPr>
                <w:rFonts w:ascii="Cambria" w:hAnsi="Cambria"/>
                <w:lang w:val="it-IT"/>
              </w:rPr>
              <w:t xml:space="preserve"> </w:t>
            </w:r>
            <w:proofErr w:type="spellStart"/>
            <w:r w:rsidRPr="0057401D">
              <w:rPr>
                <w:rFonts w:ascii="Cambria" w:hAnsi="Cambria"/>
                <w:lang w:val="it-IT"/>
              </w:rPr>
              <w:t>obavijestiti</w:t>
            </w:r>
            <w:proofErr w:type="spellEnd"/>
            <w:r w:rsidRPr="0057401D">
              <w:rPr>
                <w:rFonts w:ascii="Cambria" w:hAnsi="Cambria"/>
                <w:lang w:val="it-IT"/>
              </w:rPr>
              <w:t xml:space="preserve"> studente i </w:t>
            </w:r>
            <w:proofErr w:type="spellStart"/>
            <w:r w:rsidRPr="0057401D">
              <w:rPr>
                <w:rFonts w:ascii="Cambria" w:hAnsi="Cambria"/>
                <w:lang w:val="it-IT"/>
              </w:rPr>
              <w:t>studentice</w:t>
            </w:r>
            <w:proofErr w:type="spellEnd"/>
            <w:r w:rsidRPr="0057401D">
              <w:rPr>
                <w:rFonts w:ascii="Cambria" w:hAnsi="Cambria"/>
                <w:lang w:val="it-IT"/>
              </w:rPr>
              <w:t xml:space="preserve"> </w:t>
            </w:r>
            <w:proofErr w:type="spellStart"/>
            <w:r w:rsidRPr="0057401D">
              <w:rPr>
                <w:rFonts w:ascii="Cambria" w:hAnsi="Cambria"/>
                <w:lang w:val="it-IT"/>
              </w:rPr>
              <w:t>kad</w:t>
            </w:r>
            <w:proofErr w:type="spellEnd"/>
            <w:r w:rsidRPr="0057401D">
              <w:rPr>
                <w:rFonts w:ascii="Cambria" w:hAnsi="Cambria"/>
                <w:lang w:val="it-IT"/>
              </w:rPr>
              <w:t xml:space="preserve"> se </w:t>
            </w:r>
            <w:proofErr w:type="spellStart"/>
            <w:r w:rsidRPr="0057401D">
              <w:rPr>
                <w:rFonts w:ascii="Cambria" w:hAnsi="Cambria"/>
                <w:lang w:val="it-IT"/>
              </w:rPr>
              <w:t>nastava</w:t>
            </w:r>
            <w:proofErr w:type="spellEnd"/>
            <w:r w:rsidRPr="0057401D">
              <w:rPr>
                <w:rFonts w:ascii="Cambria" w:hAnsi="Cambria"/>
                <w:lang w:val="it-IT"/>
              </w:rPr>
              <w:t xml:space="preserve"> </w:t>
            </w:r>
            <w:proofErr w:type="spellStart"/>
            <w:r w:rsidRPr="0057401D">
              <w:rPr>
                <w:rFonts w:ascii="Cambria" w:hAnsi="Cambria"/>
                <w:lang w:val="it-IT"/>
              </w:rPr>
              <w:t>na</w:t>
            </w:r>
            <w:proofErr w:type="spellEnd"/>
            <w:r w:rsidRPr="0057401D">
              <w:rPr>
                <w:rFonts w:ascii="Cambria" w:hAnsi="Cambria"/>
                <w:lang w:val="it-IT"/>
              </w:rPr>
              <w:t xml:space="preserve"> </w:t>
            </w:r>
            <w:proofErr w:type="spellStart"/>
            <w:r w:rsidRPr="0057401D">
              <w:rPr>
                <w:rFonts w:ascii="Cambria" w:hAnsi="Cambria"/>
                <w:lang w:val="it-IT"/>
              </w:rPr>
              <w:t>daljinu</w:t>
            </w:r>
            <w:proofErr w:type="spellEnd"/>
            <w:r w:rsidRPr="0057401D">
              <w:rPr>
                <w:rFonts w:ascii="Cambria" w:hAnsi="Cambria"/>
                <w:lang w:val="it-IT"/>
              </w:rPr>
              <w:t xml:space="preserve"> </w:t>
            </w:r>
            <w:proofErr w:type="spellStart"/>
            <w:r w:rsidRPr="0057401D">
              <w:rPr>
                <w:rFonts w:ascii="Cambria" w:hAnsi="Cambria"/>
                <w:lang w:val="it-IT"/>
              </w:rPr>
              <w:t>počne</w:t>
            </w:r>
            <w:proofErr w:type="spellEnd"/>
            <w:r w:rsidRPr="0057401D">
              <w:rPr>
                <w:rFonts w:ascii="Cambria" w:hAnsi="Cambria"/>
                <w:lang w:val="it-IT"/>
              </w:rPr>
              <w:t xml:space="preserve"> </w:t>
            </w:r>
            <w:proofErr w:type="spellStart"/>
            <w:r w:rsidRPr="0057401D">
              <w:rPr>
                <w:rFonts w:ascii="Cambria" w:hAnsi="Cambria"/>
                <w:lang w:val="it-IT"/>
              </w:rPr>
              <w:t>održavati</w:t>
            </w:r>
            <w:proofErr w:type="spellEnd"/>
            <w:r w:rsidRPr="0057401D">
              <w:rPr>
                <w:rFonts w:ascii="Cambria" w:hAnsi="Cambria"/>
                <w:lang w:val="it-IT"/>
              </w:rPr>
              <w:t>.</w:t>
            </w:r>
          </w:p>
          <w:p w14:paraId="45CAF042" w14:textId="77777777" w:rsidR="00450B7A" w:rsidRPr="00A62FBD" w:rsidRDefault="00450B7A" w:rsidP="006B2F54">
            <w:pPr>
              <w:pStyle w:val="Bezproreda"/>
              <w:rPr>
                <w:rFonts w:ascii="Cambria" w:hAnsi="Cambria" w:cs="Calibri"/>
              </w:rPr>
            </w:pPr>
            <w:r w:rsidRPr="00FA556C">
              <w:rPr>
                <w:rFonts w:ascii="Cambria" w:hAnsi="Cambria"/>
              </w:rPr>
              <w:t>Ishodi učenja ostaju nepromijenjeni.</w:t>
            </w:r>
          </w:p>
        </w:tc>
      </w:tr>
      <w:tr w:rsidR="00450B7A" w:rsidRPr="00A62FBD" w14:paraId="5407A906" w14:textId="77777777" w:rsidTr="00450B7A">
        <w:trPr>
          <w:trHeight w:val="5012"/>
        </w:trPr>
        <w:tc>
          <w:tcPr>
            <w:tcW w:w="20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034716C" w14:textId="77777777" w:rsidR="00450B7A" w:rsidRPr="00A62FBD" w:rsidRDefault="00450B7A" w:rsidP="0057401D">
            <w:pPr>
              <w:pStyle w:val="Bezproreda"/>
              <w:rPr>
                <w:rFonts w:ascii="Cambria" w:hAnsi="Cambria" w:cs="Calibri"/>
              </w:rPr>
            </w:pPr>
            <w:r w:rsidRPr="00A62FBD">
              <w:rPr>
                <w:rFonts w:ascii="Cambria" w:hAnsi="Cambria" w:cs="Calibri"/>
              </w:rPr>
              <w:lastRenderedPageBreak/>
              <w:t>Literatura</w:t>
            </w:r>
          </w:p>
        </w:tc>
        <w:tc>
          <w:tcPr>
            <w:tcW w:w="6979"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76EFFA92" w14:textId="77777777" w:rsidR="00450B7A" w:rsidRPr="00FC5508" w:rsidRDefault="00450B7A" w:rsidP="006B2F54">
            <w:pPr>
              <w:autoSpaceDE w:val="0"/>
              <w:autoSpaceDN w:val="0"/>
              <w:adjustRightInd w:val="0"/>
              <w:spacing w:after="0" w:line="240" w:lineRule="auto"/>
              <w:rPr>
                <w:rFonts w:ascii="Cambria" w:hAnsi="Cambria" w:cs="Calibri"/>
                <w:bCs/>
                <w:lang w:val="it-IT"/>
              </w:rPr>
            </w:pPr>
            <w:proofErr w:type="spellStart"/>
            <w:r w:rsidRPr="00FC5508">
              <w:rPr>
                <w:rFonts w:ascii="Cambria" w:hAnsi="Cambria" w:cs="Calibri"/>
                <w:bCs/>
                <w:lang w:val="it-IT"/>
              </w:rPr>
              <w:t>Obvezna</w:t>
            </w:r>
            <w:proofErr w:type="spellEnd"/>
            <w:r w:rsidRPr="00FC5508">
              <w:rPr>
                <w:rFonts w:ascii="Cambria" w:hAnsi="Cambria" w:cs="Calibri"/>
                <w:bCs/>
                <w:lang w:val="it-IT"/>
              </w:rPr>
              <w:t>:</w:t>
            </w:r>
          </w:p>
          <w:p w14:paraId="4B66A0BD" w14:textId="77777777" w:rsidR="00450B7A" w:rsidRDefault="00450B7A" w:rsidP="006B2F54">
            <w:pPr>
              <w:autoSpaceDE w:val="0"/>
              <w:autoSpaceDN w:val="0"/>
              <w:adjustRightInd w:val="0"/>
              <w:spacing w:after="0" w:line="240" w:lineRule="auto"/>
              <w:rPr>
                <w:rFonts w:ascii="Cambria" w:hAnsi="Cambria" w:cs="Calibri"/>
              </w:rPr>
            </w:pPr>
            <w:r w:rsidRPr="00FC5508">
              <w:rPr>
                <w:rFonts w:ascii="Cambria" w:hAnsi="Cambria" w:cs="Calibri"/>
                <w:lang w:val="it-IT"/>
              </w:rPr>
              <w:t xml:space="preserve">1. </w:t>
            </w:r>
            <w:proofErr w:type="spellStart"/>
            <w:r w:rsidRPr="00FC5508">
              <w:rPr>
                <w:rFonts w:ascii="Cambria" w:hAnsi="Cambria" w:cs="Calibri"/>
                <w:lang w:val="it-IT"/>
              </w:rPr>
              <w:t>Kangrga</w:t>
            </w:r>
            <w:proofErr w:type="spellEnd"/>
            <w:r w:rsidRPr="00FC5508">
              <w:rPr>
                <w:rFonts w:ascii="Cambria" w:hAnsi="Cambria" w:cs="Calibri"/>
                <w:lang w:val="it-IT"/>
              </w:rPr>
              <w:t xml:space="preserve">, M. (2004). </w:t>
            </w:r>
            <w:proofErr w:type="spellStart"/>
            <w:r w:rsidRPr="00FC5508">
              <w:rPr>
                <w:rFonts w:ascii="Cambria" w:hAnsi="Cambria" w:cs="Calibri"/>
                <w:lang w:val="it-IT"/>
              </w:rPr>
              <w:t>Etika</w:t>
            </w:r>
            <w:proofErr w:type="spellEnd"/>
            <w:r w:rsidRPr="00FC5508">
              <w:rPr>
                <w:rFonts w:ascii="Cambria" w:hAnsi="Cambria" w:cs="Calibri"/>
                <w:lang w:val="it-IT"/>
              </w:rPr>
              <w:t xml:space="preserve">. </w:t>
            </w:r>
            <w:proofErr w:type="spellStart"/>
            <w:r w:rsidRPr="00FC5508">
              <w:rPr>
                <w:rFonts w:ascii="Cambria" w:hAnsi="Cambria" w:cs="Calibri"/>
                <w:lang w:val="it-IT"/>
              </w:rPr>
              <w:t>Osnovni</w:t>
            </w:r>
            <w:proofErr w:type="spellEnd"/>
            <w:r w:rsidRPr="00FC5508">
              <w:rPr>
                <w:rFonts w:ascii="Cambria" w:hAnsi="Cambria" w:cs="Calibri"/>
                <w:lang w:val="it-IT"/>
              </w:rPr>
              <w:t xml:space="preserve"> problemi i </w:t>
            </w:r>
            <w:proofErr w:type="spellStart"/>
            <w:r w:rsidRPr="00FC5508">
              <w:rPr>
                <w:rFonts w:ascii="Cambria" w:hAnsi="Cambria" w:cs="Calibri"/>
                <w:lang w:val="it-IT"/>
              </w:rPr>
              <w:t>pravci</w:t>
            </w:r>
            <w:proofErr w:type="spellEnd"/>
            <w:r w:rsidRPr="00FC5508">
              <w:rPr>
                <w:rFonts w:ascii="Cambria" w:hAnsi="Cambria" w:cs="Calibri"/>
                <w:lang w:val="it-IT"/>
              </w:rPr>
              <w:t xml:space="preserve">. </w:t>
            </w:r>
            <w:r w:rsidRPr="006B2F54">
              <w:rPr>
                <w:rFonts w:ascii="Cambria" w:hAnsi="Cambria" w:cs="Calibri"/>
              </w:rPr>
              <w:t>Zagreb: Golden marketing.</w:t>
            </w:r>
          </w:p>
          <w:p w14:paraId="38DD2961" w14:textId="0B9CADB0" w:rsidR="00450B7A" w:rsidRPr="006B2F54" w:rsidRDefault="00450B7A" w:rsidP="006B2F54">
            <w:pPr>
              <w:autoSpaceDE w:val="0"/>
              <w:autoSpaceDN w:val="0"/>
              <w:adjustRightInd w:val="0"/>
              <w:spacing w:after="0" w:line="240" w:lineRule="auto"/>
              <w:rPr>
                <w:rFonts w:ascii="Cambria" w:hAnsi="Cambria" w:cs="Calibri"/>
              </w:rPr>
            </w:pPr>
            <w:r>
              <w:rPr>
                <w:rFonts w:ascii="Cambria" w:hAnsi="Cambria" w:cs="Calibri"/>
              </w:rPr>
              <w:t xml:space="preserve">2. </w:t>
            </w:r>
            <w:r w:rsidRPr="006B2F54">
              <w:rPr>
                <w:rFonts w:ascii="Cambria" w:hAnsi="Cambria" w:cs="Calibri"/>
              </w:rPr>
              <w:t xml:space="preserve">Marinković, J. (2008). </w:t>
            </w:r>
            <w:proofErr w:type="spellStart"/>
            <w:r w:rsidRPr="006B2F54">
              <w:rPr>
                <w:rFonts w:ascii="Cambria" w:hAnsi="Cambria" w:cs="Calibri"/>
              </w:rPr>
              <w:t>Učiteljstvo</w:t>
            </w:r>
            <w:proofErr w:type="spellEnd"/>
            <w:r w:rsidRPr="006B2F54">
              <w:rPr>
                <w:rFonts w:ascii="Cambria" w:hAnsi="Cambria" w:cs="Calibri"/>
              </w:rPr>
              <w:t xml:space="preserve"> </w:t>
            </w:r>
            <w:proofErr w:type="spellStart"/>
            <w:r w:rsidRPr="006B2F54">
              <w:rPr>
                <w:rFonts w:ascii="Cambria" w:hAnsi="Cambria" w:cs="Calibri"/>
              </w:rPr>
              <w:t>kao</w:t>
            </w:r>
            <w:proofErr w:type="spellEnd"/>
            <w:r w:rsidRPr="006B2F54">
              <w:rPr>
                <w:rFonts w:ascii="Cambria" w:hAnsi="Cambria" w:cs="Calibri"/>
              </w:rPr>
              <w:t xml:space="preserve"> </w:t>
            </w:r>
            <w:proofErr w:type="spellStart"/>
            <w:r w:rsidRPr="006B2F54">
              <w:rPr>
                <w:rFonts w:ascii="Cambria" w:hAnsi="Cambria" w:cs="Calibri"/>
              </w:rPr>
              <w:t>poziv</w:t>
            </w:r>
            <w:proofErr w:type="spellEnd"/>
            <w:r w:rsidRPr="006B2F54">
              <w:rPr>
                <w:rFonts w:ascii="Cambria" w:hAnsi="Cambria" w:cs="Calibri"/>
              </w:rPr>
              <w:t xml:space="preserve">: </w:t>
            </w:r>
            <w:proofErr w:type="spellStart"/>
            <w:r w:rsidRPr="006B2F54">
              <w:rPr>
                <w:rFonts w:ascii="Cambria" w:hAnsi="Cambria" w:cs="Calibri"/>
              </w:rPr>
              <w:t>rastakanje</w:t>
            </w:r>
            <w:proofErr w:type="spellEnd"/>
            <w:r w:rsidRPr="006B2F54">
              <w:rPr>
                <w:rFonts w:ascii="Cambria" w:hAnsi="Cambria" w:cs="Calibri"/>
              </w:rPr>
              <w:t xml:space="preserve"> </w:t>
            </w:r>
            <w:proofErr w:type="spellStart"/>
            <w:r w:rsidRPr="006B2F54">
              <w:rPr>
                <w:rFonts w:ascii="Cambria" w:hAnsi="Cambria" w:cs="Calibri"/>
              </w:rPr>
              <w:t>pedagogije</w:t>
            </w:r>
            <w:proofErr w:type="spellEnd"/>
            <w:r w:rsidRPr="006B2F54">
              <w:rPr>
                <w:rFonts w:ascii="Cambria" w:hAnsi="Cambria" w:cs="Calibri"/>
              </w:rPr>
              <w:t xml:space="preserve"> </w:t>
            </w:r>
            <w:proofErr w:type="spellStart"/>
            <w:r w:rsidRPr="006B2F54">
              <w:rPr>
                <w:rFonts w:ascii="Cambria" w:hAnsi="Cambria" w:cs="Calibri"/>
              </w:rPr>
              <w:t>i</w:t>
            </w:r>
            <w:proofErr w:type="spellEnd"/>
            <w:r w:rsidRPr="006B2F54">
              <w:rPr>
                <w:rFonts w:ascii="Cambria" w:hAnsi="Cambria" w:cs="Calibri"/>
              </w:rPr>
              <w:t xml:space="preserve"> </w:t>
            </w:r>
            <w:proofErr w:type="spellStart"/>
            <w:r w:rsidRPr="006B2F54">
              <w:rPr>
                <w:rFonts w:ascii="Cambria" w:hAnsi="Cambria" w:cs="Calibri"/>
              </w:rPr>
              <w:t>potraga</w:t>
            </w:r>
            <w:proofErr w:type="spellEnd"/>
            <w:r w:rsidRPr="006B2F54">
              <w:rPr>
                <w:rFonts w:ascii="Cambria" w:hAnsi="Cambria" w:cs="Calibri"/>
              </w:rPr>
              <w:t xml:space="preserve"> za </w:t>
            </w:r>
            <w:proofErr w:type="spellStart"/>
            <w:r w:rsidRPr="006B2F54">
              <w:rPr>
                <w:rFonts w:ascii="Cambria" w:hAnsi="Cambria" w:cs="Calibri"/>
              </w:rPr>
              <w:t>smislom</w:t>
            </w:r>
            <w:proofErr w:type="spellEnd"/>
            <w:r w:rsidRPr="006B2F54">
              <w:rPr>
                <w:rFonts w:ascii="Cambria" w:hAnsi="Cambria" w:cs="Calibri"/>
              </w:rPr>
              <w:t xml:space="preserve">, Zagreb: </w:t>
            </w:r>
            <w:proofErr w:type="spellStart"/>
            <w:r w:rsidRPr="006B2F54">
              <w:rPr>
                <w:rFonts w:ascii="Cambria" w:hAnsi="Cambria" w:cs="Calibri"/>
              </w:rPr>
              <w:t>Kruzak</w:t>
            </w:r>
            <w:proofErr w:type="spellEnd"/>
            <w:r w:rsidRPr="006B2F54">
              <w:rPr>
                <w:rFonts w:ascii="Cambria" w:hAnsi="Cambria" w:cs="Calibri"/>
              </w:rPr>
              <w:t>.</w:t>
            </w:r>
          </w:p>
          <w:p w14:paraId="17894EAC" w14:textId="77777777" w:rsidR="00450B7A" w:rsidRPr="0057401D" w:rsidRDefault="00450B7A" w:rsidP="006B2F54">
            <w:pPr>
              <w:autoSpaceDE w:val="0"/>
              <w:autoSpaceDN w:val="0"/>
              <w:adjustRightInd w:val="0"/>
              <w:spacing w:after="0" w:line="240" w:lineRule="auto"/>
              <w:rPr>
                <w:rFonts w:ascii="Cambria" w:hAnsi="Cambria" w:cs="Calibri"/>
                <w:lang w:val="it-IT"/>
              </w:rPr>
            </w:pPr>
            <w:proofErr w:type="spellStart"/>
            <w:r w:rsidRPr="0057401D">
              <w:rPr>
                <w:rFonts w:ascii="Cambria" w:hAnsi="Cambria" w:cs="Calibri"/>
                <w:lang w:val="it-IT"/>
              </w:rPr>
              <w:t>Izborna</w:t>
            </w:r>
            <w:proofErr w:type="spellEnd"/>
            <w:r w:rsidRPr="0057401D">
              <w:rPr>
                <w:rFonts w:ascii="Cambria" w:hAnsi="Cambria" w:cs="Calibri"/>
                <w:lang w:val="it-IT"/>
              </w:rPr>
              <w:t xml:space="preserve">: </w:t>
            </w:r>
          </w:p>
          <w:p w14:paraId="099BED8F" w14:textId="77777777" w:rsidR="00450B7A" w:rsidRPr="008D696A" w:rsidRDefault="00450B7A" w:rsidP="006B2F54">
            <w:pPr>
              <w:pStyle w:val="Bezproreda"/>
              <w:rPr>
                <w:rFonts w:ascii="Cambria" w:hAnsi="Cambria"/>
              </w:rPr>
            </w:pPr>
            <w:r w:rsidRPr="008D696A">
              <w:rPr>
                <w:rFonts w:ascii="Cambria" w:hAnsi="Cambria"/>
              </w:rPr>
              <w:t>1. Bauman, Z. (2009). Postmoderna etika. Zagreb: AGM</w:t>
            </w:r>
            <w:r>
              <w:rPr>
                <w:rFonts w:ascii="Cambria" w:hAnsi="Cambria"/>
              </w:rPr>
              <w:t>.</w:t>
            </w:r>
          </w:p>
          <w:p w14:paraId="3DF54EF5" w14:textId="77777777" w:rsidR="00450B7A" w:rsidRDefault="00450B7A" w:rsidP="006B2F54">
            <w:pPr>
              <w:pStyle w:val="Bezproreda"/>
              <w:rPr>
                <w:rFonts w:ascii="Cambria" w:hAnsi="Cambria"/>
              </w:rPr>
            </w:pPr>
            <w:r w:rsidRPr="008D696A">
              <w:rPr>
                <w:rFonts w:ascii="Cambria" w:hAnsi="Cambria"/>
              </w:rPr>
              <w:t xml:space="preserve">2. </w:t>
            </w:r>
            <w:proofErr w:type="spellStart"/>
            <w:r w:rsidRPr="008D696A">
              <w:rPr>
                <w:rFonts w:ascii="Cambria" w:hAnsi="Cambria"/>
              </w:rPr>
              <w:t>Čehok</w:t>
            </w:r>
            <w:proofErr w:type="spellEnd"/>
            <w:r w:rsidRPr="008D696A">
              <w:rPr>
                <w:rFonts w:ascii="Cambria" w:hAnsi="Cambria"/>
              </w:rPr>
              <w:t xml:space="preserve">, I., </w:t>
            </w:r>
            <w:proofErr w:type="spellStart"/>
            <w:r w:rsidRPr="008D696A">
              <w:rPr>
                <w:rFonts w:ascii="Cambria" w:hAnsi="Cambria"/>
              </w:rPr>
              <w:t>Koprek</w:t>
            </w:r>
            <w:proofErr w:type="spellEnd"/>
            <w:r w:rsidRPr="008D696A">
              <w:rPr>
                <w:rFonts w:ascii="Cambria" w:hAnsi="Cambria"/>
              </w:rPr>
              <w:t>, I. (1996). Etika. Priručnik jedne discipline. Zagreb: Školska knjiga</w:t>
            </w:r>
            <w:r>
              <w:rPr>
                <w:rFonts w:ascii="Cambria" w:hAnsi="Cambria"/>
              </w:rPr>
              <w:t>.</w:t>
            </w:r>
          </w:p>
          <w:p w14:paraId="06E2D5D7" w14:textId="77777777" w:rsidR="00450B7A" w:rsidRPr="008D696A" w:rsidRDefault="00450B7A" w:rsidP="006B2F54">
            <w:pPr>
              <w:pStyle w:val="Bezproreda"/>
              <w:rPr>
                <w:rFonts w:ascii="Cambria" w:hAnsi="Cambria"/>
              </w:rPr>
            </w:pPr>
            <w:r>
              <w:rPr>
                <w:rFonts w:ascii="Cambria" w:hAnsi="Cambria"/>
              </w:rPr>
              <w:t xml:space="preserve">3. </w:t>
            </w:r>
            <w:r w:rsidRPr="00A11E49">
              <w:rPr>
                <w:rFonts w:ascii="Cambria" w:hAnsi="Cambria"/>
              </w:rPr>
              <w:t>Ćurko, B. (2017). Kritičko mišljenje u nastavi filozofije, logike i etike. Zagreb: Hrvatsko filozofsko društvo.</w:t>
            </w:r>
          </w:p>
          <w:p w14:paraId="47323B7F" w14:textId="77777777" w:rsidR="00450B7A" w:rsidRPr="008D696A" w:rsidRDefault="00450B7A" w:rsidP="006B2F54">
            <w:pPr>
              <w:pStyle w:val="Bezproreda"/>
              <w:rPr>
                <w:rFonts w:ascii="Cambria" w:hAnsi="Cambria"/>
              </w:rPr>
            </w:pPr>
            <w:r>
              <w:rPr>
                <w:rFonts w:ascii="Cambria" w:hAnsi="Cambria"/>
              </w:rPr>
              <w:t>4</w:t>
            </w:r>
            <w:r w:rsidRPr="008D696A">
              <w:rPr>
                <w:rFonts w:ascii="Cambria" w:hAnsi="Cambria"/>
              </w:rPr>
              <w:t xml:space="preserve">. Ćurko B. </w:t>
            </w:r>
            <w:r>
              <w:rPr>
                <w:rFonts w:ascii="Cambria" w:hAnsi="Cambria"/>
              </w:rPr>
              <w:t>i sur</w:t>
            </w:r>
            <w:r w:rsidRPr="008D696A">
              <w:rPr>
                <w:rFonts w:ascii="Cambria" w:hAnsi="Cambria"/>
              </w:rPr>
              <w:t xml:space="preserve">. (2015). Etičko obrazovanje i učenje o vrijednostima. Priručnik za učitelje i odgajatelje. Ljubljana: Project: ETHIKA - </w:t>
            </w:r>
            <w:proofErr w:type="spellStart"/>
            <w:r w:rsidRPr="008D696A">
              <w:rPr>
                <w:rFonts w:ascii="Cambria" w:hAnsi="Cambria"/>
              </w:rPr>
              <w:t>Ethics</w:t>
            </w:r>
            <w:proofErr w:type="spellEnd"/>
            <w:r w:rsidRPr="008D696A">
              <w:rPr>
                <w:rFonts w:ascii="Cambria" w:hAnsi="Cambria"/>
              </w:rPr>
              <w:t xml:space="preserve"> </w:t>
            </w:r>
            <w:proofErr w:type="spellStart"/>
            <w:r w:rsidRPr="008D696A">
              <w:rPr>
                <w:rFonts w:ascii="Cambria" w:hAnsi="Cambria"/>
              </w:rPr>
              <w:t>and</w:t>
            </w:r>
            <w:proofErr w:type="spellEnd"/>
            <w:r w:rsidRPr="008D696A">
              <w:rPr>
                <w:rFonts w:ascii="Cambria" w:hAnsi="Cambria"/>
              </w:rPr>
              <w:t xml:space="preserve"> </w:t>
            </w:r>
            <w:proofErr w:type="spellStart"/>
            <w:r w:rsidRPr="008D696A">
              <w:rPr>
                <w:rFonts w:ascii="Cambria" w:hAnsi="Cambria"/>
              </w:rPr>
              <w:t>values</w:t>
            </w:r>
            <w:proofErr w:type="spellEnd"/>
            <w:r w:rsidRPr="008D696A">
              <w:rPr>
                <w:rFonts w:ascii="Cambria" w:hAnsi="Cambria"/>
              </w:rPr>
              <w:t xml:space="preserve"> </w:t>
            </w:r>
            <w:proofErr w:type="spellStart"/>
            <w:r w:rsidRPr="008D696A">
              <w:rPr>
                <w:rFonts w:ascii="Cambria" w:hAnsi="Cambria"/>
              </w:rPr>
              <w:t>education</w:t>
            </w:r>
            <w:proofErr w:type="spellEnd"/>
            <w:r w:rsidRPr="008D696A">
              <w:rPr>
                <w:rFonts w:ascii="Cambria" w:hAnsi="Cambria"/>
              </w:rPr>
              <w:t xml:space="preserve"> </w:t>
            </w:r>
            <w:proofErr w:type="spellStart"/>
            <w:r w:rsidRPr="008D696A">
              <w:rPr>
                <w:rFonts w:ascii="Cambria" w:hAnsi="Cambria"/>
              </w:rPr>
              <w:t>in</w:t>
            </w:r>
            <w:proofErr w:type="spellEnd"/>
            <w:r w:rsidRPr="008D696A">
              <w:rPr>
                <w:rFonts w:ascii="Cambria" w:hAnsi="Cambria"/>
              </w:rPr>
              <w:t xml:space="preserve"> </w:t>
            </w:r>
            <w:proofErr w:type="spellStart"/>
            <w:r w:rsidRPr="008D696A">
              <w:rPr>
                <w:rFonts w:ascii="Cambria" w:hAnsi="Cambria"/>
              </w:rPr>
              <w:t>schools</w:t>
            </w:r>
            <w:proofErr w:type="spellEnd"/>
            <w:r w:rsidRPr="008D696A">
              <w:rPr>
                <w:rFonts w:ascii="Cambria" w:hAnsi="Cambria"/>
              </w:rPr>
              <w:t xml:space="preserve"> </w:t>
            </w:r>
            <w:proofErr w:type="spellStart"/>
            <w:r w:rsidRPr="008D696A">
              <w:rPr>
                <w:rFonts w:ascii="Cambria" w:hAnsi="Cambria"/>
              </w:rPr>
              <w:t>and</w:t>
            </w:r>
            <w:proofErr w:type="spellEnd"/>
            <w:r w:rsidRPr="008D696A">
              <w:rPr>
                <w:rFonts w:ascii="Cambria" w:hAnsi="Cambria"/>
              </w:rPr>
              <w:t xml:space="preserve"> </w:t>
            </w:r>
            <w:proofErr w:type="spellStart"/>
            <w:r w:rsidRPr="008D696A">
              <w:rPr>
                <w:rFonts w:ascii="Cambria" w:hAnsi="Cambria"/>
              </w:rPr>
              <w:t>kindergartens</w:t>
            </w:r>
            <w:proofErr w:type="spellEnd"/>
            <w:r w:rsidRPr="008D696A">
              <w:rPr>
                <w:rFonts w:ascii="Cambria" w:hAnsi="Cambria"/>
              </w:rPr>
              <w:t>.</w:t>
            </w:r>
          </w:p>
          <w:p w14:paraId="6D215F49" w14:textId="77777777" w:rsidR="00450B7A" w:rsidRDefault="00450B7A" w:rsidP="006B2F54">
            <w:pPr>
              <w:pStyle w:val="Bezproreda"/>
              <w:rPr>
                <w:rFonts w:ascii="Cambria" w:hAnsi="Cambria"/>
              </w:rPr>
            </w:pPr>
            <w:r w:rsidRPr="008D696A">
              <w:rPr>
                <w:rFonts w:ascii="Cambria" w:hAnsi="Cambria"/>
              </w:rPr>
              <w:t>(</w:t>
            </w:r>
            <w:hyperlink r:id="rId84" w:history="1">
              <w:r w:rsidRPr="008D696A">
                <w:rPr>
                  <w:rFonts w:ascii="Cambria" w:hAnsi="Cambria"/>
                  <w:color w:val="0000FF"/>
                  <w:u w:val="single"/>
                </w:rPr>
                <w:t>https://ec.europa.eu/programmes/erasmus-plus/project-result-content/78cf8290-e6f6-4f2e-bfb6-b6dc88d71100/</w:t>
              </w:r>
              <w:r w:rsidRPr="008D696A">
                <w:rPr>
                  <w:rFonts w:ascii="Cambria" w:hAnsi="Cambria"/>
                  <w:color w:val="0000FF"/>
                  <w:u w:val="single"/>
                </w:rPr>
                <w:br/>
                <w:t>Ethika_O1a_%20Manual%20for%20Teachers_HR.pdf</w:t>
              </w:r>
            </w:hyperlink>
            <w:r w:rsidRPr="008D696A">
              <w:rPr>
                <w:rFonts w:ascii="Cambria" w:hAnsi="Cambria"/>
              </w:rPr>
              <w:t>)</w:t>
            </w:r>
          </w:p>
          <w:p w14:paraId="34515FCB" w14:textId="2B99E785" w:rsidR="00450B7A" w:rsidRPr="008D696A" w:rsidRDefault="00450B7A" w:rsidP="006B2F54">
            <w:pPr>
              <w:pStyle w:val="Bezproreda"/>
              <w:rPr>
                <w:rFonts w:ascii="Cambria" w:hAnsi="Cambria"/>
                <w:color w:val="0000FF"/>
                <w:u w:val="single"/>
              </w:rPr>
            </w:pPr>
            <w:r>
              <w:rPr>
                <w:rFonts w:ascii="Cambria" w:hAnsi="Cambria"/>
              </w:rPr>
              <w:t xml:space="preserve">5. </w:t>
            </w:r>
            <w:proofErr w:type="spellStart"/>
            <w:r w:rsidRPr="001F05D7">
              <w:rPr>
                <w:rFonts w:ascii="Cambria" w:hAnsi="Cambria"/>
              </w:rPr>
              <w:t>Hentig</w:t>
            </w:r>
            <w:proofErr w:type="spellEnd"/>
            <w:r w:rsidRPr="001F05D7">
              <w:rPr>
                <w:rFonts w:ascii="Cambria" w:hAnsi="Cambria"/>
              </w:rPr>
              <w:t xml:space="preserve">, H. </w:t>
            </w:r>
            <w:r>
              <w:rPr>
                <w:rFonts w:ascii="Cambria" w:hAnsi="Cambria"/>
              </w:rPr>
              <w:t>V.</w:t>
            </w:r>
            <w:r w:rsidRPr="001F05D7">
              <w:rPr>
                <w:rFonts w:ascii="Cambria" w:hAnsi="Cambria"/>
              </w:rPr>
              <w:t xml:space="preserve"> (1997). Humana škola: škola mišljena na nov način. Zagreb: Educa.</w:t>
            </w:r>
          </w:p>
          <w:p w14:paraId="30D4B45B" w14:textId="77777777" w:rsidR="00450B7A" w:rsidRPr="008D696A" w:rsidRDefault="00450B7A" w:rsidP="006B2F54">
            <w:pPr>
              <w:pStyle w:val="Bezproreda"/>
              <w:rPr>
                <w:rFonts w:ascii="Cambria" w:hAnsi="Cambria"/>
              </w:rPr>
            </w:pPr>
            <w:r>
              <w:rPr>
                <w:rFonts w:ascii="Cambria" w:hAnsi="Cambria"/>
              </w:rPr>
              <w:t>6</w:t>
            </w:r>
            <w:r w:rsidRPr="008D696A">
              <w:rPr>
                <w:rFonts w:ascii="Cambria" w:hAnsi="Cambria"/>
              </w:rPr>
              <w:t xml:space="preserve">. </w:t>
            </w:r>
            <w:proofErr w:type="spellStart"/>
            <w:r w:rsidRPr="008D696A">
              <w:rPr>
                <w:rFonts w:ascii="Cambria" w:hAnsi="Cambria"/>
              </w:rPr>
              <w:t>Morin</w:t>
            </w:r>
            <w:proofErr w:type="spellEnd"/>
            <w:r w:rsidRPr="008D696A">
              <w:rPr>
                <w:rFonts w:ascii="Cambria" w:hAnsi="Cambria"/>
              </w:rPr>
              <w:t xml:space="preserve">, E. (2008). Etika. Zagreb: </w:t>
            </w:r>
            <w:proofErr w:type="spellStart"/>
            <w:r w:rsidRPr="008D696A">
              <w:rPr>
                <w:rFonts w:ascii="Cambria" w:hAnsi="Cambria"/>
              </w:rPr>
              <w:t>Masmedia</w:t>
            </w:r>
            <w:proofErr w:type="spellEnd"/>
            <w:r>
              <w:rPr>
                <w:rFonts w:ascii="Cambria" w:hAnsi="Cambria"/>
              </w:rPr>
              <w:t>.</w:t>
            </w:r>
          </w:p>
          <w:p w14:paraId="682FBFDB" w14:textId="4ACA3502" w:rsidR="00450B7A" w:rsidRPr="006406D2" w:rsidRDefault="00450B7A" w:rsidP="006406D2">
            <w:pPr>
              <w:pStyle w:val="Bezproreda"/>
              <w:rPr>
                <w:rFonts w:ascii="Cambria" w:hAnsi="Cambria"/>
              </w:rPr>
            </w:pPr>
            <w:r>
              <w:rPr>
                <w:rFonts w:ascii="Cambria" w:hAnsi="Cambria"/>
              </w:rPr>
              <w:t>7</w:t>
            </w:r>
            <w:r w:rsidRPr="008D696A">
              <w:rPr>
                <w:rFonts w:ascii="Cambria" w:hAnsi="Cambria"/>
              </w:rPr>
              <w:t xml:space="preserve">. </w:t>
            </w:r>
            <w:proofErr w:type="spellStart"/>
            <w:r w:rsidRPr="008D696A">
              <w:rPr>
                <w:rFonts w:ascii="Cambria" w:hAnsi="Cambria"/>
              </w:rPr>
              <w:t>Savater</w:t>
            </w:r>
            <w:proofErr w:type="spellEnd"/>
            <w:r w:rsidRPr="008D696A">
              <w:rPr>
                <w:rFonts w:ascii="Cambria" w:hAnsi="Cambria"/>
              </w:rPr>
              <w:t xml:space="preserve">, F. (1998). Etika za </w:t>
            </w:r>
            <w:proofErr w:type="spellStart"/>
            <w:r w:rsidRPr="008D696A">
              <w:rPr>
                <w:rFonts w:ascii="Cambria" w:hAnsi="Cambria"/>
              </w:rPr>
              <w:t>Amadora</w:t>
            </w:r>
            <w:proofErr w:type="spellEnd"/>
            <w:r w:rsidRPr="008D696A">
              <w:rPr>
                <w:rFonts w:ascii="Cambria" w:hAnsi="Cambria"/>
              </w:rPr>
              <w:t>. Zagreb: Educa</w:t>
            </w:r>
            <w:r>
              <w:rPr>
                <w:rFonts w:ascii="Cambria" w:hAnsi="Cambria"/>
              </w:rPr>
              <w:t>.</w:t>
            </w:r>
          </w:p>
          <w:p w14:paraId="0AE02567" w14:textId="77777777" w:rsidR="00450B7A" w:rsidRPr="008D696A" w:rsidRDefault="00450B7A" w:rsidP="006B2F54">
            <w:pPr>
              <w:autoSpaceDE w:val="0"/>
              <w:autoSpaceDN w:val="0"/>
              <w:adjustRightInd w:val="0"/>
              <w:spacing w:after="0" w:line="240" w:lineRule="auto"/>
              <w:rPr>
                <w:rFonts w:ascii="Cambria" w:hAnsi="Cambria" w:cs="Calibri"/>
              </w:rPr>
            </w:pPr>
          </w:p>
        </w:tc>
      </w:tr>
    </w:tbl>
    <w:p w14:paraId="44EC2565" w14:textId="77777777" w:rsidR="0057401D" w:rsidRDefault="0057401D" w:rsidP="0057401D"/>
    <w:p w14:paraId="3D2C310F" w14:textId="77777777" w:rsidR="00CE1FD6" w:rsidRPr="00DF4CE5" w:rsidRDefault="00CE1FD6" w:rsidP="00510729">
      <w:pPr>
        <w:spacing w:after="0" w:line="240" w:lineRule="auto"/>
        <w:rPr>
          <w:rFonts w:ascii="Cambria" w:eastAsia="Cambria" w:hAnsi="Cambria" w:cs="Cambria"/>
          <w:lang w:val="hr-HR"/>
        </w:rPr>
      </w:pPr>
    </w:p>
    <w:p w14:paraId="7D8F4DEE" w14:textId="17890B8E" w:rsidR="00510729" w:rsidRPr="00DF4CE5" w:rsidRDefault="00DF3BC9" w:rsidP="00830554">
      <w:pPr>
        <w:rPr>
          <w:rFonts w:ascii="Cambria" w:eastAsia="Cambria" w:hAnsi="Cambria" w:cs="Cambria"/>
          <w:lang w:val="hr-HR"/>
        </w:rPr>
      </w:pPr>
      <w:r>
        <w:rPr>
          <w:rFonts w:ascii="Cambria" w:eastAsia="Cambria" w:hAnsi="Cambria" w:cs="Cambria"/>
          <w:lang w:val="hr-HR"/>
        </w:rPr>
        <w:br w:type="page"/>
      </w:r>
    </w:p>
    <w:p w14:paraId="4DD77337" w14:textId="77777777" w:rsidR="00510729" w:rsidRPr="00DF4CE5" w:rsidRDefault="00510729" w:rsidP="00510729">
      <w:pPr>
        <w:spacing w:after="0" w:line="240" w:lineRule="auto"/>
        <w:rPr>
          <w:rFonts w:ascii="Cambria" w:eastAsia="Cambria" w:hAnsi="Cambria" w:cs="Cambria"/>
          <w:lang w:val="hr-HR"/>
        </w:rPr>
      </w:pPr>
    </w:p>
    <w:tbl>
      <w:tblPr>
        <w:tblW w:w="5000" w:type="pct"/>
        <w:tblLayout w:type="fixed"/>
        <w:tblCellMar>
          <w:left w:w="0" w:type="dxa"/>
          <w:right w:w="0" w:type="dxa"/>
        </w:tblCellMar>
        <w:tblLook w:val="0600" w:firstRow="0" w:lastRow="0" w:firstColumn="0" w:lastColumn="0" w:noHBand="1" w:noVBand="1"/>
      </w:tblPr>
      <w:tblGrid>
        <w:gridCol w:w="2807"/>
        <w:gridCol w:w="2663"/>
        <w:gridCol w:w="105"/>
        <w:gridCol w:w="1171"/>
        <w:gridCol w:w="300"/>
        <w:gridCol w:w="472"/>
        <w:gridCol w:w="1087"/>
        <w:gridCol w:w="1415"/>
      </w:tblGrid>
      <w:tr w:rsidR="00510729" w:rsidRPr="00DF4CE5" w14:paraId="0DC5F62C" w14:textId="77777777" w:rsidTr="00510729">
        <w:tc>
          <w:tcPr>
            <w:tcW w:w="9052"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D6BDB39" w14:textId="77777777" w:rsidR="00510729" w:rsidRPr="00DF4CE5" w:rsidRDefault="00510729" w:rsidP="00510729">
            <w:pPr>
              <w:spacing w:after="0" w:line="240" w:lineRule="auto"/>
              <w:jc w:val="right"/>
              <w:rPr>
                <w:rFonts w:ascii="Cambria" w:eastAsia="Times New Roman" w:hAnsi="Cambria" w:cs="Calibri"/>
                <w:b/>
                <w:lang w:val="hr-HR"/>
              </w:rPr>
            </w:pPr>
            <w:r w:rsidRPr="00DF4CE5">
              <w:rPr>
                <w:rFonts w:ascii="Cambria" w:eastAsia="Times New Roman" w:hAnsi="Cambria" w:cs="Calibri"/>
                <w:b/>
                <w:lang w:val="hr-HR"/>
              </w:rPr>
              <w:t>IZVEDBENI PLAN NASTAVE KOLEGIJA</w:t>
            </w:r>
          </w:p>
        </w:tc>
      </w:tr>
      <w:tr w:rsidR="00510729" w:rsidRPr="00DF4CE5" w14:paraId="436AE9E9" w14:textId="77777777" w:rsidTr="00510729">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E81AF00"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Kod i naziv kolegija</w:t>
            </w:r>
          </w:p>
        </w:tc>
        <w:tc>
          <w:tcPr>
            <w:tcW w:w="651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0239BF8" w14:textId="3E70B654" w:rsidR="00510729" w:rsidRPr="00DF4CE5" w:rsidRDefault="00CE1FD6"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200004</w:t>
            </w:r>
          </w:p>
          <w:p w14:paraId="0123546F"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Cambria" w:hAnsi="Cambria" w:cs="Cambria"/>
                <w:lang w:val="hr-HR"/>
              </w:rPr>
              <w:t>Glazbeni praktikum II</w:t>
            </w:r>
          </w:p>
        </w:tc>
      </w:tr>
      <w:tr w:rsidR="00510729" w:rsidRPr="00DF4CE5" w14:paraId="0A54AD98" w14:textId="77777777" w:rsidTr="00510729">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79C6356"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 xml:space="preserve">Nastavnica </w:t>
            </w:r>
          </w:p>
          <w:p w14:paraId="459BE1CA" w14:textId="10D3111C"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Suradnik</w:t>
            </w:r>
          </w:p>
        </w:tc>
        <w:tc>
          <w:tcPr>
            <w:tcW w:w="651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831CC7E" w14:textId="2057857F" w:rsidR="00510729" w:rsidRPr="00DF4CE5" w:rsidRDefault="00EB7E2C" w:rsidP="00510729">
            <w:pPr>
              <w:spacing w:after="0" w:line="240" w:lineRule="auto"/>
              <w:rPr>
                <w:rFonts w:ascii="Cambria" w:eastAsia="Times New Roman" w:hAnsi="Cambria" w:cs="Times New Roman"/>
                <w:lang w:val="hr-HR"/>
              </w:rPr>
            </w:pPr>
            <w:hyperlink r:id="rId85" w:history="1">
              <w:r w:rsidRPr="00DF4CE5">
                <w:rPr>
                  <w:rFonts w:ascii="Cambria" w:eastAsia="Times New Roman" w:hAnsi="Cambria" w:cs="Times New Roman"/>
                  <w:color w:val="0000FF"/>
                  <w:u w:val="single"/>
                  <w:lang w:val="hr-HR"/>
                </w:rPr>
                <w:t>P</w:t>
              </w:r>
              <w:r w:rsidR="00510729" w:rsidRPr="00DF4CE5">
                <w:rPr>
                  <w:rFonts w:ascii="Cambria" w:eastAsia="Times New Roman" w:hAnsi="Cambria" w:cs="Times New Roman"/>
                  <w:color w:val="0000FF"/>
                  <w:u w:val="single"/>
                  <w:lang w:val="hr-HR"/>
                </w:rPr>
                <w:t>rof. dr. sc. Ivana Paula Gortan-Carlin</w:t>
              </w:r>
            </w:hyperlink>
            <w:r w:rsidR="00510729" w:rsidRPr="00DF4CE5">
              <w:rPr>
                <w:rFonts w:ascii="Cambria" w:eastAsia="Times New Roman" w:hAnsi="Cambria" w:cs="Times New Roman"/>
                <w:lang w:val="hr-HR"/>
              </w:rPr>
              <w:t xml:space="preserve"> (nositeljica)</w:t>
            </w:r>
          </w:p>
          <w:p w14:paraId="797EA389" w14:textId="6BD977BA" w:rsidR="00510729" w:rsidRPr="00DF4CE5" w:rsidRDefault="00EB7E2C" w:rsidP="00510729">
            <w:pPr>
              <w:spacing w:after="0" w:line="240" w:lineRule="auto"/>
              <w:rPr>
                <w:rFonts w:ascii="Cambria" w:eastAsia="Times New Roman" w:hAnsi="Cambria" w:cs="Calibri"/>
                <w:lang w:val="hr-HR"/>
              </w:rPr>
            </w:pPr>
            <w:hyperlink r:id="rId86" w:history="1">
              <w:r w:rsidRPr="00DF4CE5">
                <w:rPr>
                  <w:rFonts w:ascii="Cambria" w:eastAsia="Times New Roman" w:hAnsi="Cambria" w:cs="Times New Roman"/>
                  <w:color w:val="0000FF"/>
                  <w:u w:val="single"/>
                  <w:lang w:val="hr-HR"/>
                </w:rPr>
                <w:t>M</w:t>
              </w:r>
              <w:r w:rsidR="00510729" w:rsidRPr="00DF4CE5">
                <w:rPr>
                  <w:rFonts w:ascii="Cambria" w:eastAsia="Times New Roman" w:hAnsi="Cambria" w:cs="Times New Roman"/>
                  <w:color w:val="0000FF"/>
                  <w:u w:val="single"/>
                  <w:lang w:val="hr-HR"/>
                </w:rPr>
                <w:t>r. sc. Branko Radić, pred.</w:t>
              </w:r>
            </w:hyperlink>
          </w:p>
        </w:tc>
      </w:tr>
      <w:tr w:rsidR="00510729" w:rsidRPr="00D0399C" w14:paraId="43603976" w14:textId="77777777" w:rsidTr="00510729">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D944634"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Studijski program</w:t>
            </w:r>
          </w:p>
        </w:tc>
        <w:tc>
          <w:tcPr>
            <w:tcW w:w="651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C563C9D"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Sveučilišni integrirani prijediplomski i diplomski Učiteljski studij na hrvatskom jeziku</w:t>
            </w:r>
          </w:p>
        </w:tc>
      </w:tr>
      <w:tr w:rsidR="00510729" w:rsidRPr="00DF4CE5" w14:paraId="48599FE7" w14:textId="77777777" w:rsidTr="00510729">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D894965"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Vrsta kolegija</w:t>
            </w:r>
          </w:p>
        </w:tc>
        <w:tc>
          <w:tcPr>
            <w:tcW w:w="240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6D1863F"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 xml:space="preserve">obvezan </w:t>
            </w:r>
          </w:p>
        </w:tc>
        <w:tc>
          <w:tcPr>
            <w:tcW w:w="1424"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5F1827EE"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Razina kolegija</w:t>
            </w:r>
          </w:p>
        </w:tc>
        <w:tc>
          <w:tcPr>
            <w:tcW w:w="2686"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CC0B7D8" w14:textId="77777777" w:rsidR="00510729" w:rsidRPr="00DF4CE5" w:rsidRDefault="00510729" w:rsidP="00510729">
            <w:pPr>
              <w:spacing w:after="0" w:line="240" w:lineRule="auto"/>
              <w:rPr>
                <w:rFonts w:ascii="Cambria" w:eastAsia="Times New Roman" w:hAnsi="Cambria" w:cs="Calibri"/>
                <w:lang w:val="hr-HR"/>
              </w:rPr>
            </w:pPr>
            <w:proofErr w:type="spellStart"/>
            <w:r w:rsidRPr="00DF4CE5">
              <w:rPr>
                <w:rFonts w:ascii="Cambria" w:eastAsia="Times New Roman" w:hAnsi="Cambria" w:cs="Calibri"/>
                <w:lang w:val="it-IT"/>
              </w:rPr>
              <w:t>integrirani</w:t>
            </w:r>
            <w:proofErr w:type="spellEnd"/>
          </w:p>
        </w:tc>
      </w:tr>
      <w:tr w:rsidR="00510729" w:rsidRPr="00DF4CE5" w14:paraId="6751485F" w14:textId="77777777" w:rsidTr="00510729">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15830DE"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Semestar</w:t>
            </w:r>
          </w:p>
        </w:tc>
        <w:tc>
          <w:tcPr>
            <w:tcW w:w="240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F578739"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ljetni</w:t>
            </w:r>
          </w:p>
        </w:tc>
        <w:tc>
          <w:tcPr>
            <w:tcW w:w="1424"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7BEB4FA0"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Godina studija</w:t>
            </w:r>
          </w:p>
        </w:tc>
        <w:tc>
          <w:tcPr>
            <w:tcW w:w="2686"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D5A96A1"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II.</w:t>
            </w:r>
          </w:p>
        </w:tc>
      </w:tr>
      <w:tr w:rsidR="00510729" w:rsidRPr="00DF4CE5" w14:paraId="6E90A995" w14:textId="77777777" w:rsidTr="00510729">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45252F5" w14:textId="77777777" w:rsidR="00510729" w:rsidRPr="00DF4CE5" w:rsidRDefault="00510729" w:rsidP="00510729">
            <w:pPr>
              <w:spacing w:after="0" w:line="240" w:lineRule="auto"/>
              <w:rPr>
                <w:rFonts w:ascii="Cambria" w:eastAsia="Times New Roman" w:hAnsi="Cambria" w:cs="Calibri"/>
                <w:lang w:val="hr-HR"/>
              </w:rPr>
            </w:pPr>
            <w:proofErr w:type="spellStart"/>
            <w:r w:rsidRPr="00DF4CE5">
              <w:rPr>
                <w:rFonts w:ascii="Cambria" w:eastAsia="Times New Roman" w:hAnsi="Cambria" w:cs="Calibri"/>
              </w:rPr>
              <w:t>Mjestoizvođenja</w:t>
            </w:r>
            <w:proofErr w:type="spellEnd"/>
          </w:p>
        </w:tc>
        <w:tc>
          <w:tcPr>
            <w:tcW w:w="240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54550CD"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učionica</w:t>
            </w:r>
          </w:p>
          <w:p w14:paraId="5F39B378" w14:textId="77777777" w:rsidR="00510729" w:rsidRPr="00DF4CE5" w:rsidRDefault="00510729" w:rsidP="00510729">
            <w:pPr>
              <w:spacing w:after="0" w:line="240" w:lineRule="auto"/>
              <w:rPr>
                <w:rFonts w:ascii="Cambria" w:eastAsia="Times New Roman" w:hAnsi="Cambria" w:cs="Calibri"/>
                <w:lang w:val="hr-HR"/>
              </w:rPr>
            </w:pPr>
          </w:p>
        </w:tc>
        <w:tc>
          <w:tcPr>
            <w:tcW w:w="1424"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43A6EB1E"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rPr>
              <w:t>Jezik</w:t>
            </w:r>
            <w:r w:rsidRPr="00DF4CE5">
              <w:rPr>
                <w:rFonts w:ascii="Cambria" w:eastAsia="Times New Roman" w:hAnsi="Cambria" w:cs="Calibri"/>
                <w:lang w:val="hr-HR"/>
              </w:rPr>
              <w:t xml:space="preserve"> izvođenja (drugi jezici)</w:t>
            </w:r>
          </w:p>
        </w:tc>
        <w:tc>
          <w:tcPr>
            <w:tcW w:w="2686"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596C6A5"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 xml:space="preserve">hrvatski </w:t>
            </w:r>
          </w:p>
          <w:p w14:paraId="344FA599"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(talijanski, slovenski)</w:t>
            </w:r>
          </w:p>
        </w:tc>
      </w:tr>
      <w:tr w:rsidR="00510729" w:rsidRPr="00DF4CE5" w14:paraId="47164183" w14:textId="77777777" w:rsidTr="00510729">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EC6B283"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Broj ECTS bodova</w:t>
            </w:r>
          </w:p>
        </w:tc>
        <w:tc>
          <w:tcPr>
            <w:tcW w:w="240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7BB2F51"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2</w:t>
            </w:r>
          </w:p>
        </w:tc>
        <w:tc>
          <w:tcPr>
            <w:tcW w:w="1424"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13132D91"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Broj sati u semestru</w:t>
            </w:r>
          </w:p>
        </w:tc>
        <w:tc>
          <w:tcPr>
            <w:tcW w:w="2686"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1C7BFCF" w14:textId="7DAD9832"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 xml:space="preserve">0P – </w:t>
            </w:r>
            <w:r w:rsidR="00CE1FD6" w:rsidRPr="00DF4CE5">
              <w:rPr>
                <w:rFonts w:ascii="Cambria" w:eastAsia="Times New Roman" w:hAnsi="Cambria" w:cs="Calibri"/>
                <w:lang w:val="hr-HR"/>
              </w:rPr>
              <w:t>0S</w:t>
            </w:r>
            <w:r w:rsidR="00DF3BC9">
              <w:rPr>
                <w:rFonts w:ascii="Cambria" w:eastAsia="Times New Roman" w:hAnsi="Cambria" w:cs="Calibri"/>
                <w:lang w:val="hr-HR"/>
              </w:rPr>
              <w:t xml:space="preserve"> </w:t>
            </w:r>
            <w:r w:rsidRPr="00DF4CE5">
              <w:rPr>
                <w:rFonts w:ascii="Cambria" w:eastAsia="Times New Roman" w:hAnsi="Cambria" w:cs="Calibri"/>
                <w:lang w:val="hr-HR"/>
              </w:rPr>
              <w:t xml:space="preserve">– </w:t>
            </w:r>
            <w:r w:rsidR="00CE1FD6" w:rsidRPr="00DF4CE5">
              <w:rPr>
                <w:rFonts w:ascii="Cambria" w:eastAsia="Times New Roman" w:hAnsi="Cambria" w:cs="Calibri"/>
                <w:lang w:val="hr-HR"/>
              </w:rPr>
              <w:t>30V</w:t>
            </w:r>
            <w:r w:rsidRPr="00DF4CE5">
              <w:rPr>
                <w:rFonts w:ascii="Cambria" w:eastAsia="Times New Roman" w:hAnsi="Cambria" w:cs="Calibri"/>
                <w:lang w:val="hr-HR"/>
              </w:rPr>
              <w:t xml:space="preserve">   </w:t>
            </w:r>
          </w:p>
        </w:tc>
      </w:tr>
      <w:tr w:rsidR="00510729" w:rsidRPr="00D0399C" w14:paraId="6C5C2460" w14:textId="77777777" w:rsidTr="00510729">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BDC2C36"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Preduvjeti za upis i za svladavanje</w:t>
            </w:r>
          </w:p>
        </w:tc>
        <w:tc>
          <w:tcPr>
            <w:tcW w:w="651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898E37F"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 xml:space="preserve">Položen ispit </w:t>
            </w:r>
            <w:r w:rsidRPr="00DF4CE5">
              <w:rPr>
                <w:rFonts w:ascii="Cambria" w:eastAsia="Times New Roman" w:hAnsi="Cambria" w:cs="Times New Roman"/>
                <w:lang w:val="hr-HR"/>
              </w:rPr>
              <w:t>Glazbeni praktikum I.</w:t>
            </w:r>
          </w:p>
        </w:tc>
      </w:tr>
      <w:tr w:rsidR="00510729" w:rsidRPr="00D0399C" w14:paraId="1EB6F3EB" w14:textId="77777777" w:rsidTr="00510729">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5EC5B48" w14:textId="77777777" w:rsidR="00510729" w:rsidRPr="00DF4CE5" w:rsidRDefault="00510729" w:rsidP="00510729">
            <w:pPr>
              <w:spacing w:after="0" w:line="240" w:lineRule="auto"/>
              <w:rPr>
                <w:rFonts w:ascii="Cambria" w:eastAsia="Times New Roman" w:hAnsi="Cambria" w:cs="Calibri"/>
                <w:lang w:val="hr-HR"/>
              </w:rPr>
            </w:pPr>
            <w:proofErr w:type="spellStart"/>
            <w:r w:rsidRPr="00DF4CE5">
              <w:rPr>
                <w:rFonts w:ascii="Cambria" w:eastAsia="Times New Roman" w:hAnsi="Cambria" w:cs="Calibri"/>
              </w:rPr>
              <w:t>Korelativnost</w:t>
            </w:r>
            <w:proofErr w:type="spellEnd"/>
          </w:p>
        </w:tc>
        <w:tc>
          <w:tcPr>
            <w:tcW w:w="651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7769BEA" w14:textId="77777777" w:rsidR="00510729" w:rsidRPr="00DF4CE5" w:rsidRDefault="00510729" w:rsidP="00510729">
            <w:pPr>
              <w:autoSpaceDE w:val="0"/>
              <w:autoSpaceDN w:val="0"/>
              <w:adjustRightInd w:val="0"/>
              <w:spacing w:after="0" w:line="240" w:lineRule="auto"/>
              <w:rPr>
                <w:rFonts w:ascii="Cambria" w:eastAsia="Times New Roman" w:hAnsi="Cambria" w:cs="Calibri"/>
                <w:lang w:val="hr-HR"/>
              </w:rPr>
            </w:pPr>
            <w:r w:rsidRPr="00DF4CE5">
              <w:rPr>
                <w:rFonts w:ascii="Cambria" w:eastAsia="Times New Roman" w:hAnsi="Cambria" w:cs="Calibri"/>
                <w:lang w:val="hr-HR"/>
              </w:rPr>
              <w:t>Glazbeno pismo i sviranje, Glazbeni praktikum I.,</w:t>
            </w:r>
          </w:p>
          <w:p w14:paraId="1C485A25" w14:textId="77777777" w:rsidR="00510729" w:rsidRPr="00DF4CE5" w:rsidRDefault="00510729" w:rsidP="00510729">
            <w:pPr>
              <w:autoSpaceDE w:val="0"/>
              <w:autoSpaceDN w:val="0"/>
              <w:adjustRightInd w:val="0"/>
              <w:spacing w:after="0" w:line="240" w:lineRule="auto"/>
              <w:rPr>
                <w:rFonts w:ascii="Cambria" w:eastAsia="Times New Roman" w:hAnsi="Cambria" w:cs="Calibri"/>
                <w:lang w:val="hr-HR"/>
              </w:rPr>
            </w:pPr>
            <w:r w:rsidRPr="00DF4CE5">
              <w:rPr>
                <w:rFonts w:ascii="Cambria" w:eastAsia="Times New Roman" w:hAnsi="Cambria" w:cs="Calibri"/>
                <w:lang w:val="pl-PL"/>
              </w:rPr>
              <w:t>Metodika glazbene kulture I., II</w:t>
            </w:r>
            <w:r w:rsidRPr="00DF4CE5">
              <w:rPr>
                <w:rFonts w:ascii="Cambria" w:eastAsia="Times New Roman" w:hAnsi="Cambria" w:cs="Calibri"/>
                <w:lang w:val="hr-HR"/>
              </w:rPr>
              <w:t xml:space="preserve">. </w:t>
            </w:r>
          </w:p>
        </w:tc>
      </w:tr>
      <w:tr w:rsidR="00510729" w:rsidRPr="00D0399C" w14:paraId="7595105F" w14:textId="77777777" w:rsidTr="00510729">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BB833DE"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 xml:space="preserve">Cilj kolegija </w:t>
            </w:r>
          </w:p>
        </w:tc>
        <w:tc>
          <w:tcPr>
            <w:tcW w:w="651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4AAC004" w14:textId="77777777" w:rsidR="00510729" w:rsidRPr="00DF4CE5" w:rsidRDefault="00510729" w:rsidP="00510729">
            <w:pPr>
              <w:spacing w:after="0" w:line="240" w:lineRule="auto"/>
              <w:rPr>
                <w:rFonts w:ascii="Cambria" w:eastAsia="Times New Roman" w:hAnsi="Cambria" w:cs="Calibri"/>
                <w:lang w:val="pl-PL"/>
              </w:rPr>
            </w:pPr>
            <w:r w:rsidRPr="00DF4CE5">
              <w:rPr>
                <w:rFonts w:ascii="Cambria" w:eastAsia="Times New Roman" w:hAnsi="Cambria" w:cs="Times New Roman"/>
                <w:lang w:val="pl-PL"/>
              </w:rPr>
              <w:t>unaprijediti vještinu sviranja i pjevanja</w:t>
            </w:r>
          </w:p>
        </w:tc>
      </w:tr>
      <w:tr w:rsidR="00510729" w:rsidRPr="00DF4CE5" w14:paraId="42954289" w14:textId="77777777" w:rsidTr="00510729">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2A2122E"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Ishodi učenja</w:t>
            </w:r>
          </w:p>
        </w:tc>
        <w:tc>
          <w:tcPr>
            <w:tcW w:w="651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EA070B6" w14:textId="77777777" w:rsidR="00510729" w:rsidRPr="00DF4CE5" w:rsidRDefault="00510729" w:rsidP="00510729">
            <w:pPr>
              <w:spacing w:after="0" w:line="240" w:lineRule="auto"/>
              <w:rPr>
                <w:rFonts w:ascii="Cambria" w:eastAsia="Times New Roman" w:hAnsi="Cambria" w:cs="Times New Roman"/>
                <w:lang w:val="hr-HR"/>
              </w:rPr>
            </w:pPr>
            <w:r w:rsidRPr="00DF4CE5">
              <w:rPr>
                <w:rFonts w:ascii="Cambria" w:eastAsia="Times New Roman" w:hAnsi="Cambria" w:cs="Times New Roman"/>
                <w:lang w:val="hr-HR"/>
              </w:rPr>
              <w:t>1. svirati na klavijaturi zajedno lijevom i desnom rukom (ili svirati na drugom instrumentu)</w:t>
            </w:r>
          </w:p>
          <w:p w14:paraId="7C10D5A6" w14:textId="77777777" w:rsidR="00510729" w:rsidRPr="00DF4CE5" w:rsidRDefault="00510729" w:rsidP="00510729">
            <w:pPr>
              <w:spacing w:after="0" w:line="240" w:lineRule="auto"/>
              <w:rPr>
                <w:rFonts w:ascii="Cambria" w:eastAsia="Times New Roman" w:hAnsi="Cambria" w:cs="Times New Roman"/>
                <w:lang w:val="hr-HR"/>
              </w:rPr>
            </w:pPr>
            <w:r w:rsidRPr="00DF4CE5">
              <w:rPr>
                <w:rFonts w:ascii="Cambria" w:eastAsia="Times New Roman" w:hAnsi="Cambria" w:cs="Times New Roman"/>
                <w:lang w:val="hr-HR"/>
              </w:rPr>
              <w:t xml:space="preserve">2. </w:t>
            </w:r>
            <w:proofErr w:type="spellStart"/>
            <w:r w:rsidRPr="00DF4CE5">
              <w:rPr>
                <w:rFonts w:ascii="Cambria" w:eastAsia="Times New Roman" w:hAnsi="Cambria" w:cs="Times New Roman"/>
                <w:lang w:val="hr-HR"/>
              </w:rPr>
              <w:t>primjeniti</w:t>
            </w:r>
            <w:proofErr w:type="spellEnd"/>
            <w:r w:rsidRPr="00DF4CE5">
              <w:rPr>
                <w:rFonts w:ascii="Cambria" w:eastAsia="Times New Roman" w:hAnsi="Cambria" w:cs="Times New Roman"/>
                <w:lang w:val="hr-HR"/>
              </w:rPr>
              <w:t xml:space="preserve"> vještinu čitanja notnog zapisa za interpretaciju složenijih skladbi  pjevanjem i sviranjem na glasoviru (klavijaturi ili drugom instrumentu) </w:t>
            </w:r>
          </w:p>
          <w:p w14:paraId="2CE131D9" w14:textId="77777777" w:rsidR="00510729" w:rsidRPr="00DF4CE5" w:rsidRDefault="00510729" w:rsidP="00510729">
            <w:pPr>
              <w:spacing w:after="0" w:line="240" w:lineRule="auto"/>
              <w:rPr>
                <w:rFonts w:ascii="Cambria" w:eastAsia="Times New Roman" w:hAnsi="Cambria" w:cs="Times New Roman"/>
                <w:lang w:val="hr-HR"/>
              </w:rPr>
            </w:pPr>
            <w:r w:rsidRPr="00DF4CE5">
              <w:rPr>
                <w:rFonts w:ascii="Cambria" w:eastAsia="Times New Roman" w:hAnsi="Cambria" w:cs="Times New Roman"/>
                <w:lang w:val="hr-HR"/>
              </w:rPr>
              <w:t xml:space="preserve">3. svirati metar i ritam na </w:t>
            </w:r>
            <w:proofErr w:type="spellStart"/>
            <w:r w:rsidRPr="00DF4CE5">
              <w:rPr>
                <w:rFonts w:ascii="Cambria" w:eastAsia="Times New Roman" w:hAnsi="Cambria" w:cs="Times New Roman"/>
                <w:lang w:val="hr-HR"/>
              </w:rPr>
              <w:t>Orffovom</w:t>
            </w:r>
            <w:proofErr w:type="spellEnd"/>
            <w:r w:rsidRPr="00DF4CE5">
              <w:rPr>
                <w:rFonts w:ascii="Cambria" w:eastAsia="Times New Roman" w:hAnsi="Cambria" w:cs="Times New Roman"/>
                <w:lang w:val="hr-HR"/>
              </w:rPr>
              <w:t xml:space="preserve"> instrumentariju</w:t>
            </w:r>
          </w:p>
          <w:p w14:paraId="56422514" w14:textId="77777777" w:rsidR="00510729" w:rsidRPr="00DF4CE5" w:rsidRDefault="00510729" w:rsidP="00510729">
            <w:pPr>
              <w:autoSpaceDE w:val="0"/>
              <w:autoSpaceDN w:val="0"/>
              <w:adjustRightInd w:val="0"/>
              <w:spacing w:after="0" w:line="240" w:lineRule="auto"/>
              <w:rPr>
                <w:rFonts w:ascii="Cambria" w:eastAsia="Times New Roman" w:hAnsi="Cambria" w:cs="Calibri"/>
                <w:lang w:val="hr-HR"/>
              </w:rPr>
            </w:pPr>
            <w:r w:rsidRPr="00DF4CE5">
              <w:rPr>
                <w:rFonts w:ascii="Cambria" w:eastAsia="Times New Roman" w:hAnsi="Cambria" w:cs="Times New Roman"/>
                <w:lang w:val="hr-HR"/>
              </w:rPr>
              <w:t>4. lijepo pjevanje</w:t>
            </w:r>
          </w:p>
        </w:tc>
      </w:tr>
      <w:tr w:rsidR="00510729" w:rsidRPr="00D0399C" w14:paraId="75B7BFB6" w14:textId="77777777" w:rsidTr="00510729">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73266C8A"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Sadržaj kolegija</w:t>
            </w:r>
          </w:p>
        </w:tc>
        <w:tc>
          <w:tcPr>
            <w:tcW w:w="6516"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41EE41E" w14:textId="77777777" w:rsidR="00510729" w:rsidRPr="00DF4CE5" w:rsidRDefault="00510729" w:rsidP="00510729">
            <w:pPr>
              <w:spacing w:after="0" w:line="240" w:lineRule="auto"/>
              <w:rPr>
                <w:rFonts w:ascii="Cambria" w:eastAsia="Times New Roman" w:hAnsi="Cambria" w:cs="Times New Roman"/>
                <w:lang w:val="hr-HR"/>
              </w:rPr>
            </w:pPr>
            <w:r w:rsidRPr="00DF4CE5">
              <w:rPr>
                <w:rFonts w:ascii="Cambria" w:eastAsia="Times New Roman" w:hAnsi="Cambria" w:cs="Times New Roman"/>
                <w:lang w:val="hr-HR"/>
              </w:rPr>
              <w:t>1. Glazbeni izražajni elementi</w:t>
            </w:r>
          </w:p>
          <w:p w14:paraId="502221A6" w14:textId="77777777" w:rsidR="00510729" w:rsidRPr="00DF4CE5" w:rsidRDefault="00510729" w:rsidP="00510729">
            <w:pPr>
              <w:spacing w:after="0" w:line="240" w:lineRule="auto"/>
              <w:rPr>
                <w:rFonts w:ascii="Cambria" w:eastAsia="Times New Roman" w:hAnsi="Cambria" w:cs="Times New Roman"/>
                <w:lang w:val="hr-HR"/>
              </w:rPr>
            </w:pPr>
            <w:r w:rsidRPr="00DF4CE5">
              <w:rPr>
                <w:rFonts w:ascii="Cambria" w:eastAsia="Times New Roman" w:hAnsi="Cambria" w:cs="Times New Roman"/>
                <w:lang w:val="hr-HR"/>
              </w:rPr>
              <w:t>2. Tehničke vježbe za razvoj motorike prstiju</w:t>
            </w:r>
          </w:p>
          <w:p w14:paraId="4871B379" w14:textId="77777777" w:rsidR="00510729" w:rsidRPr="00DF4CE5" w:rsidRDefault="00510729" w:rsidP="00510729">
            <w:pPr>
              <w:spacing w:after="0" w:line="240" w:lineRule="auto"/>
              <w:rPr>
                <w:rFonts w:ascii="Cambria" w:eastAsia="Times New Roman" w:hAnsi="Cambria" w:cs="Times New Roman"/>
                <w:lang w:val="hr-HR"/>
              </w:rPr>
            </w:pPr>
            <w:r w:rsidRPr="00DF4CE5">
              <w:rPr>
                <w:rFonts w:ascii="Cambria" w:eastAsia="Times New Roman" w:hAnsi="Cambria" w:cs="Times New Roman"/>
                <w:lang w:val="hr-HR"/>
              </w:rPr>
              <w:t>3. Sviranje ljestvica (dur i mol), kroz dvije oktave, do četiri predznaka (zajedno)</w:t>
            </w:r>
          </w:p>
          <w:p w14:paraId="4CFEFE73" w14:textId="77777777" w:rsidR="00510729" w:rsidRPr="00DF4CE5" w:rsidRDefault="00510729" w:rsidP="00510729">
            <w:pPr>
              <w:spacing w:after="0" w:line="240" w:lineRule="auto"/>
              <w:rPr>
                <w:rFonts w:ascii="Cambria" w:eastAsia="Times New Roman" w:hAnsi="Cambria" w:cs="Times New Roman"/>
                <w:lang w:val="hr-HR"/>
              </w:rPr>
            </w:pPr>
            <w:r w:rsidRPr="00DF4CE5">
              <w:rPr>
                <w:rFonts w:ascii="Cambria" w:eastAsia="Times New Roman" w:hAnsi="Cambria" w:cs="Times New Roman"/>
                <w:lang w:val="hr-HR"/>
              </w:rPr>
              <w:t>4. Uvježbavanje sviranja akorda u rastavljenom obliku</w:t>
            </w:r>
          </w:p>
          <w:p w14:paraId="6D746548" w14:textId="77777777" w:rsidR="00510729" w:rsidRPr="00DF4CE5" w:rsidRDefault="00510729" w:rsidP="00510729">
            <w:pPr>
              <w:spacing w:after="0" w:line="240" w:lineRule="auto"/>
              <w:rPr>
                <w:rFonts w:ascii="Cambria" w:eastAsia="Times New Roman" w:hAnsi="Cambria" w:cs="Times New Roman"/>
                <w:lang w:val="hr-HR"/>
              </w:rPr>
            </w:pPr>
            <w:r w:rsidRPr="00DF4CE5">
              <w:rPr>
                <w:rFonts w:ascii="Cambria" w:eastAsia="Times New Roman" w:hAnsi="Cambria" w:cs="Times New Roman"/>
                <w:lang w:val="hr-HR"/>
              </w:rPr>
              <w:t>5. Sviranje melodije desnom rukom i jednostavne harmonijske pratnje lijevom rukom (zajedno) na klavijaturi</w:t>
            </w:r>
          </w:p>
          <w:p w14:paraId="255E5D64" w14:textId="77777777" w:rsidR="00510729" w:rsidRPr="00DF4CE5" w:rsidRDefault="00510729" w:rsidP="00510729">
            <w:pPr>
              <w:spacing w:after="0" w:line="240" w:lineRule="auto"/>
              <w:rPr>
                <w:rFonts w:ascii="Cambria" w:eastAsia="Times New Roman" w:hAnsi="Cambria" w:cs="Times New Roman"/>
                <w:lang w:val="hr-HR"/>
              </w:rPr>
            </w:pPr>
            <w:r w:rsidRPr="00DF4CE5">
              <w:rPr>
                <w:rFonts w:ascii="Cambria" w:eastAsia="Times New Roman" w:hAnsi="Cambria" w:cs="Times New Roman"/>
                <w:lang w:val="hr-HR"/>
              </w:rPr>
              <w:t xml:space="preserve">6. Pjevanje uz pratnju klavijature ili drugog instrumenta </w:t>
            </w:r>
          </w:p>
          <w:p w14:paraId="30317DE6" w14:textId="77777777" w:rsidR="00510729" w:rsidRPr="00DF4CE5" w:rsidRDefault="00510729" w:rsidP="00510729">
            <w:pPr>
              <w:autoSpaceDE w:val="0"/>
              <w:autoSpaceDN w:val="0"/>
              <w:adjustRightInd w:val="0"/>
              <w:spacing w:after="0" w:line="240" w:lineRule="auto"/>
              <w:rPr>
                <w:rFonts w:ascii="Cambria" w:eastAsia="Times New Roman" w:hAnsi="Cambria" w:cs="Calibri"/>
                <w:lang w:val="hr-HR"/>
              </w:rPr>
            </w:pPr>
            <w:r w:rsidRPr="00DF4CE5">
              <w:rPr>
                <w:rFonts w:ascii="Cambria" w:eastAsia="Times New Roman" w:hAnsi="Cambria" w:cs="Times New Roman"/>
                <w:lang w:val="hr-HR"/>
              </w:rPr>
              <w:t xml:space="preserve">7. Sviranje metra i ritma na </w:t>
            </w:r>
            <w:proofErr w:type="spellStart"/>
            <w:r w:rsidRPr="00DF4CE5">
              <w:rPr>
                <w:rFonts w:ascii="Cambria" w:eastAsia="Times New Roman" w:hAnsi="Cambria" w:cs="Times New Roman"/>
                <w:lang w:val="hr-HR"/>
              </w:rPr>
              <w:t>Orffovom</w:t>
            </w:r>
            <w:proofErr w:type="spellEnd"/>
            <w:r w:rsidRPr="00DF4CE5">
              <w:rPr>
                <w:rFonts w:ascii="Cambria" w:eastAsia="Times New Roman" w:hAnsi="Cambria" w:cs="Times New Roman"/>
                <w:lang w:val="hr-HR"/>
              </w:rPr>
              <w:t xml:space="preserve"> instrumentariju</w:t>
            </w:r>
          </w:p>
        </w:tc>
      </w:tr>
      <w:tr w:rsidR="00510729" w:rsidRPr="00DF4CE5" w14:paraId="441E0206" w14:textId="77777777" w:rsidTr="00510729">
        <w:tc>
          <w:tcPr>
            <w:tcW w:w="2536"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hideMark/>
          </w:tcPr>
          <w:p w14:paraId="25429D2F"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Planirane aktivnosti</w:t>
            </w:r>
            <w:r w:rsidRPr="00DF4CE5">
              <w:rPr>
                <w:rFonts w:ascii="Cambria" w:eastAsia="Times New Roman" w:hAnsi="Cambria" w:cs="Calibri"/>
                <w:lang w:val="it-IT"/>
              </w:rPr>
              <w:t>,</w:t>
            </w:r>
          </w:p>
          <w:p w14:paraId="0794D57E" w14:textId="77777777" w:rsidR="00510729" w:rsidRPr="00DF4CE5" w:rsidRDefault="00510729" w:rsidP="00510729">
            <w:pPr>
              <w:spacing w:after="0" w:line="240" w:lineRule="auto"/>
              <w:rPr>
                <w:rFonts w:ascii="Cambria" w:eastAsia="Times New Roman" w:hAnsi="Cambria" w:cs="Calibri"/>
                <w:lang w:val="hr-HR"/>
              </w:rPr>
            </w:pPr>
            <w:proofErr w:type="spellStart"/>
            <w:r w:rsidRPr="00DF4CE5">
              <w:rPr>
                <w:rFonts w:ascii="Cambria" w:eastAsia="Times New Roman" w:hAnsi="Cambria" w:cs="Calibri"/>
                <w:lang w:val="it-IT"/>
              </w:rPr>
              <w:t>metode</w:t>
            </w:r>
            <w:proofErr w:type="spellEnd"/>
            <w:r w:rsidRPr="00DF4CE5">
              <w:rPr>
                <w:rFonts w:ascii="Cambria" w:eastAsia="Times New Roman" w:hAnsi="Cambria" w:cs="Calibri"/>
                <w:lang w:val="it-IT"/>
              </w:rPr>
              <w:t xml:space="preserve"> </w:t>
            </w:r>
            <w:r w:rsidRPr="00DF4CE5">
              <w:rPr>
                <w:rFonts w:ascii="Cambria" w:eastAsia="Times New Roman" w:hAnsi="Cambria" w:cs="Calibri"/>
                <w:lang w:val="hr-HR"/>
              </w:rPr>
              <w:t>učenja i poučavanja i načini vrednovanja</w:t>
            </w:r>
          </w:p>
        </w:tc>
        <w:tc>
          <w:tcPr>
            <w:tcW w:w="250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3CEE5D6"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bCs/>
                <w:lang w:val="hr-HR"/>
              </w:rPr>
              <w:t>Obveze</w:t>
            </w:r>
          </w:p>
        </w:tc>
        <w:tc>
          <w:tcPr>
            <w:tcW w:w="1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354433E"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bCs/>
                <w:lang w:val="hr-HR"/>
              </w:rPr>
              <w:t>Ishodi</w:t>
            </w:r>
          </w:p>
        </w:tc>
        <w:tc>
          <w:tcPr>
            <w:tcW w:w="69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2A48F25"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bCs/>
                <w:lang w:val="hr-HR"/>
              </w:rPr>
              <w:t>Sati</w:t>
            </w:r>
          </w:p>
        </w:tc>
        <w:tc>
          <w:tcPr>
            <w:tcW w:w="9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E144E50"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bCs/>
                <w:lang w:val="hr-HR"/>
              </w:rPr>
              <w:t>ECTS</w:t>
            </w:r>
          </w:p>
        </w:tc>
        <w:tc>
          <w:tcPr>
            <w:tcW w:w="127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C0D4508"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bCs/>
                <w:lang w:val="hr-HR"/>
              </w:rPr>
              <w:t>Maksimalni udio u ocjeni</w:t>
            </w:r>
            <w:r w:rsidRPr="00DF4CE5">
              <w:rPr>
                <w:rFonts w:ascii="Cambria" w:eastAsia="Times New Roman" w:hAnsi="Cambria" w:cs="Calibri"/>
                <w:bCs/>
              </w:rPr>
              <w:t xml:space="preserve"> (%)</w:t>
            </w:r>
          </w:p>
        </w:tc>
      </w:tr>
      <w:tr w:rsidR="00510729" w:rsidRPr="00DF4CE5" w14:paraId="356EA187" w14:textId="77777777" w:rsidTr="00510729">
        <w:tc>
          <w:tcPr>
            <w:tcW w:w="2536" w:type="dxa"/>
            <w:vMerge/>
            <w:tcBorders>
              <w:left w:val="single" w:sz="8" w:space="0" w:color="000000"/>
              <w:right w:val="single" w:sz="8" w:space="0" w:color="000000"/>
            </w:tcBorders>
            <w:vAlign w:val="center"/>
            <w:hideMark/>
          </w:tcPr>
          <w:p w14:paraId="4E4069E9" w14:textId="77777777" w:rsidR="00510729" w:rsidRPr="00DF4CE5" w:rsidRDefault="00510729" w:rsidP="00510729">
            <w:pPr>
              <w:spacing w:after="0" w:line="240" w:lineRule="auto"/>
              <w:rPr>
                <w:rFonts w:ascii="Cambria" w:eastAsia="Times New Roman" w:hAnsi="Cambria" w:cs="Calibri"/>
                <w:lang w:val="hr-HR"/>
              </w:rPr>
            </w:pPr>
          </w:p>
        </w:tc>
        <w:tc>
          <w:tcPr>
            <w:tcW w:w="250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82BDF4C" w14:textId="7DD3F839" w:rsidR="00510729" w:rsidRPr="00DF4CE5" w:rsidRDefault="00B71FDE" w:rsidP="00510729">
            <w:pPr>
              <w:spacing w:after="0" w:line="240" w:lineRule="auto"/>
              <w:rPr>
                <w:rFonts w:ascii="Cambria" w:eastAsia="Times New Roman" w:hAnsi="Cambria" w:cs="Calibri"/>
                <w:lang w:val="hr-HR"/>
              </w:rPr>
            </w:pPr>
            <w:proofErr w:type="spellStart"/>
            <w:r w:rsidRPr="00DF4CE5">
              <w:rPr>
                <w:rFonts w:ascii="Cambria" w:eastAsia="Times New Roman" w:hAnsi="Cambria" w:cs="Calibri"/>
              </w:rPr>
              <w:t>aktivnost</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na</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nastavi</w:t>
            </w:r>
            <w:proofErr w:type="spellEnd"/>
            <w:r w:rsidR="00510729" w:rsidRPr="00DF4CE5">
              <w:rPr>
                <w:rFonts w:ascii="Cambria" w:eastAsia="Times New Roman" w:hAnsi="Cambria" w:cs="Calibri"/>
                <w:lang w:val="hr-HR"/>
              </w:rPr>
              <w:t xml:space="preserve"> </w:t>
            </w:r>
            <w:r w:rsidR="006406D2">
              <w:rPr>
                <w:rFonts w:ascii="Cambria" w:eastAsia="Times New Roman" w:hAnsi="Cambria" w:cs="Calibri"/>
                <w:lang w:val="hr-HR"/>
              </w:rPr>
              <w:t>(V)</w:t>
            </w:r>
          </w:p>
        </w:tc>
        <w:tc>
          <w:tcPr>
            <w:tcW w:w="1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6221D4E" w14:textId="20FF3B4A"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 xml:space="preserve">1. </w:t>
            </w:r>
            <w:r w:rsidR="006406D2">
              <w:rPr>
                <w:rFonts w:ascii="Cambria" w:eastAsia="Times New Roman" w:hAnsi="Cambria" w:cs="Calibri"/>
                <w:lang w:val="hr-HR"/>
              </w:rPr>
              <w:t>–</w:t>
            </w:r>
            <w:r w:rsidRPr="00DF4CE5">
              <w:rPr>
                <w:rFonts w:ascii="Cambria" w:eastAsia="Times New Roman" w:hAnsi="Cambria" w:cs="Calibri"/>
                <w:lang w:val="hr-HR"/>
              </w:rPr>
              <w:t xml:space="preserve"> 4.</w:t>
            </w:r>
          </w:p>
        </w:tc>
        <w:tc>
          <w:tcPr>
            <w:tcW w:w="69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5CB2A1A"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22,5</w:t>
            </w:r>
          </w:p>
        </w:tc>
        <w:tc>
          <w:tcPr>
            <w:tcW w:w="9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E1B0F73"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 0,75</w:t>
            </w:r>
          </w:p>
        </w:tc>
        <w:tc>
          <w:tcPr>
            <w:tcW w:w="127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F2C66C1"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  20 %</w:t>
            </w:r>
          </w:p>
        </w:tc>
      </w:tr>
      <w:tr w:rsidR="00510729" w:rsidRPr="00DF4CE5" w14:paraId="05C716F5" w14:textId="77777777" w:rsidTr="00510729">
        <w:trPr>
          <w:trHeight w:val="307"/>
        </w:trPr>
        <w:tc>
          <w:tcPr>
            <w:tcW w:w="2536" w:type="dxa"/>
            <w:vMerge/>
            <w:tcBorders>
              <w:left w:val="single" w:sz="8" w:space="0" w:color="000000"/>
              <w:right w:val="single" w:sz="8" w:space="0" w:color="000000"/>
            </w:tcBorders>
            <w:vAlign w:val="center"/>
            <w:hideMark/>
          </w:tcPr>
          <w:p w14:paraId="70378059" w14:textId="77777777" w:rsidR="00510729" w:rsidRPr="00DF4CE5" w:rsidRDefault="00510729" w:rsidP="00510729">
            <w:pPr>
              <w:spacing w:after="0" w:line="240" w:lineRule="auto"/>
              <w:rPr>
                <w:rFonts w:ascii="Cambria" w:eastAsia="Times New Roman" w:hAnsi="Cambria" w:cs="Calibri"/>
                <w:lang w:val="hr-HR"/>
              </w:rPr>
            </w:pPr>
          </w:p>
        </w:tc>
        <w:tc>
          <w:tcPr>
            <w:tcW w:w="250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C43BB0A" w14:textId="376405F7" w:rsidR="00510729" w:rsidRPr="00DF4CE5" w:rsidRDefault="006406D2" w:rsidP="00510729">
            <w:pPr>
              <w:spacing w:after="0" w:line="240" w:lineRule="auto"/>
              <w:rPr>
                <w:rFonts w:ascii="Cambria" w:eastAsia="Times New Roman" w:hAnsi="Cambria" w:cs="Calibri"/>
                <w:lang w:val="hr-HR"/>
              </w:rPr>
            </w:pPr>
            <w:r>
              <w:rPr>
                <w:rFonts w:ascii="Cambria" w:eastAsia="Times New Roman" w:hAnsi="Cambria" w:cs="Calibri"/>
                <w:lang w:val="hr-HR"/>
              </w:rPr>
              <w:t>k</w:t>
            </w:r>
            <w:r w:rsidR="00510729" w:rsidRPr="00DF4CE5">
              <w:rPr>
                <w:rFonts w:ascii="Cambria" w:eastAsia="Times New Roman" w:hAnsi="Cambria" w:cs="Calibri"/>
                <w:lang w:val="hr-HR"/>
              </w:rPr>
              <w:t>ontinuirana provjera znanja</w:t>
            </w:r>
          </w:p>
        </w:tc>
        <w:tc>
          <w:tcPr>
            <w:tcW w:w="1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D6B26E7" w14:textId="71EA46EE"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 xml:space="preserve">1. </w:t>
            </w:r>
            <w:r w:rsidR="006406D2">
              <w:rPr>
                <w:rFonts w:ascii="Cambria" w:eastAsia="Times New Roman" w:hAnsi="Cambria" w:cs="Calibri"/>
                <w:lang w:val="hr-HR"/>
              </w:rPr>
              <w:t>–</w:t>
            </w:r>
            <w:r w:rsidRPr="00DF4CE5">
              <w:rPr>
                <w:rFonts w:ascii="Cambria" w:eastAsia="Times New Roman" w:hAnsi="Cambria" w:cs="Calibri"/>
                <w:lang w:val="hr-HR"/>
              </w:rPr>
              <w:t xml:space="preserve"> 4.</w:t>
            </w:r>
          </w:p>
        </w:tc>
        <w:tc>
          <w:tcPr>
            <w:tcW w:w="69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2C05591"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22,5</w:t>
            </w:r>
          </w:p>
        </w:tc>
        <w:tc>
          <w:tcPr>
            <w:tcW w:w="9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79F7A02"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 xml:space="preserve"> 0,75</w:t>
            </w:r>
          </w:p>
        </w:tc>
        <w:tc>
          <w:tcPr>
            <w:tcW w:w="127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C1892DD"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 xml:space="preserve">  50 %</w:t>
            </w:r>
          </w:p>
        </w:tc>
      </w:tr>
      <w:tr w:rsidR="00510729" w:rsidRPr="00DF4CE5" w14:paraId="6B08A2AD" w14:textId="77777777" w:rsidTr="00510729">
        <w:tc>
          <w:tcPr>
            <w:tcW w:w="2536" w:type="dxa"/>
            <w:vMerge/>
            <w:tcBorders>
              <w:left w:val="single" w:sz="8" w:space="0" w:color="000000"/>
              <w:right w:val="single" w:sz="8" w:space="0" w:color="000000"/>
            </w:tcBorders>
            <w:vAlign w:val="center"/>
            <w:hideMark/>
          </w:tcPr>
          <w:p w14:paraId="41C8736B" w14:textId="77777777" w:rsidR="00510729" w:rsidRPr="00DF4CE5" w:rsidRDefault="00510729" w:rsidP="00510729">
            <w:pPr>
              <w:spacing w:after="0" w:line="240" w:lineRule="auto"/>
              <w:rPr>
                <w:rFonts w:ascii="Cambria" w:eastAsia="Times New Roman" w:hAnsi="Cambria" w:cs="Calibri"/>
                <w:lang w:val="hr-HR"/>
              </w:rPr>
            </w:pPr>
          </w:p>
        </w:tc>
        <w:tc>
          <w:tcPr>
            <w:tcW w:w="250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200B579" w14:textId="774687E7" w:rsidR="00510729" w:rsidRPr="00DF4CE5" w:rsidRDefault="006406D2" w:rsidP="00510729">
            <w:pPr>
              <w:spacing w:after="0" w:line="240" w:lineRule="auto"/>
              <w:rPr>
                <w:rFonts w:ascii="Cambria" w:eastAsia="Times New Roman" w:hAnsi="Cambria" w:cs="Calibri"/>
                <w:lang w:val="hr-HR"/>
              </w:rPr>
            </w:pPr>
            <w:r>
              <w:rPr>
                <w:rFonts w:ascii="Cambria" w:eastAsia="Times New Roman" w:hAnsi="Cambria" w:cs="Calibri"/>
                <w:lang w:val="hr-HR"/>
              </w:rPr>
              <w:t>i</w:t>
            </w:r>
            <w:r w:rsidR="00510729" w:rsidRPr="00DF4CE5">
              <w:rPr>
                <w:rFonts w:ascii="Cambria" w:eastAsia="Times New Roman" w:hAnsi="Cambria" w:cs="Calibri"/>
                <w:lang w:val="hr-HR"/>
              </w:rPr>
              <w:t>spit, usmeni</w:t>
            </w:r>
          </w:p>
        </w:tc>
        <w:tc>
          <w:tcPr>
            <w:tcW w:w="1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03EC87C" w14:textId="2DE34504"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 xml:space="preserve">1. </w:t>
            </w:r>
            <w:r w:rsidR="006406D2">
              <w:rPr>
                <w:rFonts w:ascii="Cambria" w:eastAsia="Times New Roman" w:hAnsi="Cambria" w:cs="Calibri"/>
                <w:lang w:val="hr-HR"/>
              </w:rPr>
              <w:t>–</w:t>
            </w:r>
            <w:r w:rsidRPr="00DF4CE5">
              <w:rPr>
                <w:rFonts w:ascii="Cambria" w:eastAsia="Times New Roman" w:hAnsi="Cambria" w:cs="Calibri"/>
                <w:lang w:val="hr-HR"/>
              </w:rPr>
              <w:t xml:space="preserve"> 4.</w:t>
            </w:r>
          </w:p>
        </w:tc>
        <w:tc>
          <w:tcPr>
            <w:tcW w:w="69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39E1B9B"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15</w:t>
            </w:r>
          </w:p>
        </w:tc>
        <w:tc>
          <w:tcPr>
            <w:tcW w:w="9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395EBFE"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 xml:space="preserve"> 0,5</w:t>
            </w:r>
          </w:p>
        </w:tc>
        <w:tc>
          <w:tcPr>
            <w:tcW w:w="127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98B2B4A"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  30 %</w:t>
            </w:r>
          </w:p>
        </w:tc>
      </w:tr>
      <w:tr w:rsidR="00510729" w:rsidRPr="00DF4CE5" w14:paraId="55AF2B42" w14:textId="77777777" w:rsidTr="00510729">
        <w:tc>
          <w:tcPr>
            <w:tcW w:w="2536" w:type="dxa"/>
            <w:vMerge/>
            <w:tcBorders>
              <w:left w:val="single" w:sz="8" w:space="0" w:color="000000"/>
              <w:right w:val="single" w:sz="8" w:space="0" w:color="000000"/>
            </w:tcBorders>
            <w:vAlign w:val="center"/>
            <w:hideMark/>
          </w:tcPr>
          <w:p w14:paraId="4555BD29" w14:textId="77777777" w:rsidR="00510729" w:rsidRPr="00DF4CE5" w:rsidRDefault="00510729" w:rsidP="00510729">
            <w:pPr>
              <w:spacing w:after="0" w:line="240" w:lineRule="auto"/>
              <w:rPr>
                <w:rFonts w:ascii="Cambria" w:eastAsia="Times New Roman" w:hAnsi="Cambria" w:cs="Calibri"/>
                <w:lang w:val="hr-HR"/>
              </w:rPr>
            </w:pPr>
          </w:p>
        </w:tc>
        <w:tc>
          <w:tcPr>
            <w:tcW w:w="3559"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546A08B" w14:textId="7EA8F2E6" w:rsidR="00510729" w:rsidRPr="00DF4CE5" w:rsidRDefault="006406D2" w:rsidP="00510729">
            <w:pPr>
              <w:spacing w:after="0" w:line="240" w:lineRule="auto"/>
              <w:rPr>
                <w:rFonts w:ascii="Cambria" w:eastAsia="Times New Roman" w:hAnsi="Cambria" w:cs="Calibri"/>
                <w:lang w:val="hr-HR"/>
              </w:rPr>
            </w:pPr>
            <w:proofErr w:type="spellStart"/>
            <w:r>
              <w:rPr>
                <w:rFonts w:ascii="Cambria" w:eastAsia="Times New Roman" w:hAnsi="Cambria" w:cs="Calibri"/>
              </w:rPr>
              <w:t>u</w:t>
            </w:r>
            <w:r w:rsidR="00510729" w:rsidRPr="00DF4CE5">
              <w:rPr>
                <w:rFonts w:ascii="Cambria" w:eastAsia="Times New Roman" w:hAnsi="Cambria" w:cs="Calibri"/>
              </w:rPr>
              <w:t>kupno</w:t>
            </w:r>
            <w:proofErr w:type="spellEnd"/>
          </w:p>
        </w:tc>
        <w:tc>
          <w:tcPr>
            <w:tcW w:w="69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189B563"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60</w:t>
            </w:r>
          </w:p>
        </w:tc>
        <w:tc>
          <w:tcPr>
            <w:tcW w:w="9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B0055FB"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 xml:space="preserve">    2</w:t>
            </w:r>
          </w:p>
        </w:tc>
        <w:tc>
          <w:tcPr>
            <w:tcW w:w="127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6EF4ECE"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100 %</w:t>
            </w:r>
          </w:p>
        </w:tc>
      </w:tr>
      <w:tr w:rsidR="00510729" w:rsidRPr="00D0399C" w14:paraId="75235BD6" w14:textId="77777777" w:rsidTr="00510729">
        <w:tc>
          <w:tcPr>
            <w:tcW w:w="2536" w:type="dxa"/>
            <w:vMerge/>
            <w:tcBorders>
              <w:left w:val="single" w:sz="8" w:space="0" w:color="000000"/>
              <w:bottom w:val="single" w:sz="8" w:space="0" w:color="000000"/>
              <w:right w:val="single" w:sz="8" w:space="0" w:color="000000"/>
            </w:tcBorders>
            <w:vAlign w:val="center"/>
          </w:tcPr>
          <w:p w14:paraId="3C1B734B" w14:textId="77777777" w:rsidR="00510729" w:rsidRPr="00DF4CE5" w:rsidRDefault="00510729" w:rsidP="00510729">
            <w:pPr>
              <w:spacing w:after="0" w:line="240" w:lineRule="auto"/>
              <w:rPr>
                <w:rFonts w:ascii="Cambria" w:eastAsia="Times New Roman" w:hAnsi="Cambria" w:cs="Calibri"/>
                <w:lang w:val="hr-HR"/>
              </w:rPr>
            </w:pPr>
          </w:p>
        </w:tc>
        <w:tc>
          <w:tcPr>
            <w:tcW w:w="6516"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22E8CE"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Dodatna pojašnjenja (kriteriji ocjenjivanja):</w:t>
            </w:r>
          </w:p>
          <w:p w14:paraId="4A49D12C"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Pohađanje nastave je obvezno. Tolerira se 30% izostanaka (dakle, 4 izostanka) i njih nije potrebno opravdati.</w:t>
            </w:r>
          </w:p>
          <w:p w14:paraId="46CF16FE"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 xml:space="preserve">Kontinuirana provjera znanja je potrebna zbog što kvalitetnijeg usvajanja vještine sviranja i pjevanja. Studenti tijekom vježbi sviraju individualno i skupno prema uputama (provjera ljestvica i </w:t>
            </w:r>
            <w:proofErr w:type="spellStart"/>
            <w:r w:rsidRPr="00DF4CE5">
              <w:rPr>
                <w:rFonts w:ascii="Cambria" w:eastAsia="Times New Roman" w:hAnsi="Cambria" w:cs="Calibri"/>
                <w:lang w:val="hr-HR"/>
              </w:rPr>
              <w:t>navježbanih</w:t>
            </w:r>
            <w:proofErr w:type="spellEnd"/>
            <w:r w:rsidRPr="00DF4CE5">
              <w:rPr>
                <w:rFonts w:ascii="Cambria" w:eastAsia="Times New Roman" w:hAnsi="Cambria" w:cs="Calibri"/>
                <w:lang w:val="hr-HR"/>
              </w:rPr>
              <w:t xml:space="preserve"> pjesama) te pjevaju individualno i skupno (dječje pjesme napamet). Sve se ocjenjuje ocjenom od 1 do 5 te se na kraju, na osnovi svega izvježbanog izračunava srednja ocjena.</w:t>
            </w:r>
          </w:p>
          <w:p w14:paraId="11B1EE7C" w14:textId="77777777" w:rsidR="00510729" w:rsidRPr="00DF4CE5" w:rsidRDefault="00510729" w:rsidP="00510729">
            <w:pPr>
              <w:spacing w:after="0" w:line="240" w:lineRule="auto"/>
              <w:rPr>
                <w:rFonts w:ascii="Cambria" w:eastAsia="Times New Roman" w:hAnsi="Cambria" w:cs="Calibri"/>
                <w:lang w:val="pl-PL"/>
              </w:rPr>
            </w:pPr>
            <w:r w:rsidRPr="00DF4CE5">
              <w:rPr>
                <w:rFonts w:ascii="Cambria" w:eastAsia="Times New Roman" w:hAnsi="Cambria" w:cs="Calibri"/>
                <w:lang w:val="pl-PL"/>
              </w:rPr>
              <w:t xml:space="preserve">  0 %  = Student nije naučio zadano gradivo</w:t>
            </w:r>
          </w:p>
          <w:p w14:paraId="7216C736" w14:textId="77777777" w:rsidR="00510729" w:rsidRPr="00DF4CE5" w:rsidRDefault="00510729" w:rsidP="00510729">
            <w:pPr>
              <w:spacing w:after="0" w:line="240" w:lineRule="auto"/>
              <w:rPr>
                <w:rFonts w:ascii="Cambria" w:eastAsia="Times New Roman" w:hAnsi="Cambria" w:cs="Calibri"/>
                <w:lang w:val="pl-PL"/>
              </w:rPr>
            </w:pPr>
            <w:r w:rsidRPr="00DF4CE5">
              <w:rPr>
                <w:rFonts w:ascii="Cambria" w:eastAsia="Times New Roman" w:hAnsi="Cambria" w:cs="Calibri"/>
                <w:lang w:val="pl-PL"/>
              </w:rPr>
              <w:t>10 %  = Student tijekom provjere ima prosjek ocjene 1,50-2,19</w:t>
            </w:r>
          </w:p>
          <w:p w14:paraId="6EE55D59" w14:textId="77777777" w:rsidR="00510729" w:rsidRPr="00DF4CE5" w:rsidRDefault="00510729" w:rsidP="00510729">
            <w:pPr>
              <w:spacing w:after="0" w:line="240" w:lineRule="auto"/>
              <w:rPr>
                <w:rFonts w:ascii="Cambria" w:eastAsia="Times New Roman" w:hAnsi="Cambria" w:cs="Calibri"/>
                <w:lang w:val="pl-PL"/>
              </w:rPr>
            </w:pPr>
            <w:r w:rsidRPr="00DF4CE5">
              <w:rPr>
                <w:rFonts w:ascii="Cambria" w:eastAsia="Times New Roman" w:hAnsi="Cambria" w:cs="Calibri"/>
                <w:lang w:val="pl-PL"/>
              </w:rPr>
              <w:t>20 %  = Student tijekom provjere ima prosjek ocjene 2,20-2,89</w:t>
            </w:r>
          </w:p>
          <w:p w14:paraId="703B0D8D" w14:textId="77777777" w:rsidR="00510729" w:rsidRPr="00DF4CE5" w:rsidRDefault="00510729" w:rsidP="00510729">
            <w:pPr>
              <w:spacing w:after="0" w:line="240" w:lineRule="auto"/>
              <w:rPr>
                <w:rFonts w:ascii="Cambria" w:eastAsia="Times New Roman" w:hAnsi="Cambria" w:cs="Calibri"/>
                <w:lang w:val="pl-PL"/>
              </w:rPr>
            </w:pPr>
            <w:r w:rsidRPr="00DF4CE5">
              <w:rPr>
                <w:rFonts w:ascii="Cambria" w:eastAsia="Times New Roman" w:hAnsi="Cambria" w:cs="Calibri"/>
                <w:lang w:val="pl-PL"/>
              </w:rPr>
              <w:t>30 %  = Student tijekom provjere ima prosjek ocjene 2,90-3,59</w:t>
            </w:r>
          </w:p>
          <w:p w14:paraId="2483BB8E" w14:textId="77777777" w:rsidR="00510729" w:rsidRPr="00DF4CE5" w:rsidRDefault="00510729" w:rsidP="00510729">
            <w:pPr>
              <w:spacing w:after="0" w:line="240" w:lineRule="auto"/>
              <w:rPr>
                <w:rFonts w:ascii="Cambria" w:eastAsia="Times New Roman" w:hAnsi="Cambria" w:cs="Calibri"/>
                <w:lang w:val="pl-PL"/>
              </w:rPr>
            </w:pPr>
            <w:r w:rsidRPr="00DF4CE5">
              <w:rPr>
                <w:rFonts w:ascii="Cambria" w:eastAsia="Times New Roman" w:hAnsi="Cambria" w:cs="Calibri"/>
                <w:lang w:val="pl-PL"/>
              </w:rPr>
              <w:t>40 %  = Student tijekom provjere ima prosjek ocjene 3,60-4,29</w:t>
            </w:r>
          </w:p>
          <w:p w14:paraId="6CBF0EA0" w14:textId="77777777" w:rsidR="00510729" w:rsidRPr="00DF4CE5" w:rsidRDefault="00510729" w:rsidP="00510729">
            <w:pPr>
              <w:spacing w:after="0" w:line="240" w:lineRule="auto"/>
              <w:rPr>
                <w:rFonts w:ascii="Cambria" w:eastAsia="Times New Roman" w:hAnsi="Cambria" w:cs="Calibri"/>
                <w:lang w:val="pl-PL"/>
              </w:rPr>
            </w:pPr>
            <w:r w:rsidRPr="00DF4CE5">
              <w:rPr>
                <w:rFonts w:ascii="Cambria" w:eastAsia="Times New Roman" w:hAnsi="Cambria" w:cs="Calibri"/>
                <w:lang w:val="pl-PL"/>
              </w:rPr>
              <w:t>50 %  = Student tijekom provjere ima prosjek ocjene 4,30-5,00</w:t>
            </w:r>
          </w:p>
          <w:p w14:paraId="78A0FA5F"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 xml:space="preserve">Usmeni ispit  -  ocjenjuje se sviranje ljestvice, skladbu koju bira student i  skladbu koje bira nastavnik od zadanih skladbi za vježbanje.  </w:t>
            </w:r>
            <w:r w:rsidRPr="00DF4CE5">
              <w:rPr>
                <w:rFonts w:ascii="Cambria" w:eastAsia="Times New Roman" w:hAnsi="Cambria" w:cs="Times New Roman"/>
                <w:lang w:val="hr-HR"/>
              </w:rPr>
              <w:t>Istovremeno se pjeva i svira objema rukama.</w:t>
            </w:r>
            <w:r w:rsidRPr="00DF4CE5">
              <w:rPr>
                <w:rFonts w:ascii="Cambria" w:eastAsia="Times New Roman" w:hAnsi="Cambria" w:cs="Calibri"/>
                <w:lang w:val="hr-HR"/>
              </w:rPr>
              <w:t xml:space="preserve">  Sva tri elementa moraju biti pozitivno odsvirana za položiti usmeni dio ispita. Ocjenjuje se ocjenama od 1 do 5.</w:t>
            </w:r>
          </w:p>
          <w:p w14:paraId="52B1FE3B"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0%    = ne vlada vještinom sviranja, nije savladana vještina čitanja notnog pisma, nije odsvirana tražena skladba.</w:t>
            </w:r>
          </w:p>
          <w:p w14:paraId="1172F0AF"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7,5% = srednja ocjena svih elemenata je od 2 do 2,4</w:t>
            </w:r>
          </w:p>
          <w:p w14:paraId="0188157D"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15% = srednja ocjena svih elemenata je do 3,4</w:t>
            </w:r>
          </w:p>
          <w:p w14:paraId="5CACFA74"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22,5% = srednja ocjena svih elemenata je do 4,4</w:t>
            </w:r>
          </w:p>
          <w:p w14:paraId="73112E1F"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30% = srednja ocjena svih elemenata je od 4,5.</w:t>
            </w:r>
          </w:p>
        </w:tc>
      </w:tr>
      <w:tr w:rsidR="00510729" w:rsidRPr="00D0399C" w14:paraId="1D733F03" w14:textId="77777777" w:rsidTr="00510729">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8871541"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Studentske obveze</w:t>
            </w:r>
          </w:p>
        </w:tc>
        <w:tc>
          <w:tcPr>
            <w:tcW w:w="651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14749D6" w14:textId="77777777" w:rsidR="00510729" w:rsidRPr="00DF4CE5" w:rsidRDefault="00510729" w:rsidP="00510729">
            <w:pPr>
              <w:spacing w:after="0" w:line="240" w:lineRule="auto"/>
              <w:rPr>
                <w:rFonts w:ascii="Cambria" w:eastAsia="Times New Roman" w:hAnsi="Cambria" w:cs="Calibri"/>
                <w:lang w:val="pl-PL"/>
              </w:rPr>
            </w:pPr>
            <w:r w:rsidRPr="00DF4CE5">
              <w:rPr>
                <w:rFonts w:ascii="Cambria" w:eastAsia="Times New Roman" w:hAnsi="Cambria" w:cs="Calibri"/>
                <w:lang w:val="pl-PL"/>
              </w:rPr>
              <w:t>Za položiti kolegij, student/studentica mora:</w:t>
            </w:r>
          </w:p>
          <w:p w14:paraId="46E86DCF" w14:textId="77777777" w:rsidR="00510729" w:rsidRPr="00DF4CE5" w:rsidRDefault="00510729" w:rsidP="00510729">
            <w:pPr>
              <w:spacing w:after="0" w:line="240" w:lineRule="auto"/>
              <w:rPr>
                <w:rFonts w:ascii="Cambria" w:eastAsia="Times New Roman" w:hAnsi="Cambria" w:cs="Calibri"/>
                <w:lang w:val="pl-PL"/>
              </w:rPr>
            </w:pPr>
            <w:r w:rsidRPr="00DF4CE5">
              <w:rPr>
                <w:rFonts w:ascii="Cambria" w:eastAsia="Times New Roman" w:hAnsi="Cambria" w:cs="Calibri"/>
                <w:lang w:val="pl-PL"/>
              </w:rPr>
              <w:t>1. pohađati nastavu</w:t>
            </w:r>
          </w:p>
          <w:p w14:paraId="5DC97A96" w14:textId="77777777" w:rsidR="00510729" w:rsidRPr="00DF4CE5" w:rsidRDefault="00510729" w:rsidP="00510729">
            <w:pPr>
              <w:spacing w:after="0" w:line="240" w:lineRule="auto"/>
              <w:rPr>
                <w:rFonts w:ascii="Cambria" w:eastAsia="Times New Roman" w:hAnsi="Cambria" w:cs="Calibri"/>
                <w:lang w:val="pl-PL"/>
              </w:rPr>
            </w:pPr>
            <w:r w:rsidRPr="00DF4CE5">
              <w:rPr>
                <w:rFonts w:ascii="Cambria" w:eastAsia="Times New Roman" w:hAnsi="Cambria" w:cs="Calibri"/>
                <w:lang w:val="pl-PL"/>
              </w:rPr>
              <w:t>2. svirati zadane vježbe</w:t>
            </w:r>
          </w:p>
          <w:p w14:paraId="1570A4E9"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pl-PL"/>
              </w:rPr>
              <w:t>3. pristupiti usmenom ispitu</w:t>
            </w:r>
          </w:p>
        </w:tc>
      </w:tr>
      <w:tr w:rsidR="00510729" w:rsidRPr="00D0399C" w14:paraId="63685114" w14:textId="77777777" w:rsidTr="00510729">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9450AB0" w14:textId="77777777" w:rsidR="00510729" w:rsidRPr="00DF4CE5" w:rsidRDefault="00510729" w:rsidP="00510729">
            <w:pPr>
              <w:spacing w:after="0" w:line="240" w:lineRule="auto"/>
              <w:rPr>
                <w:rFonts w:ascii="Cambria" w:eastAsia="Times New Roman" w:hAnsi="Cambria" w:cs="Calibri"/>
                <w:lang w:val="hr-HR"/>
              </w:rPr>
            </w:pPr>
            <w:proofErr w:type="spellStart"/>
            <w:r w:rsidRPr="00DF4CE5">
              <w:rPr>
                <w:rFonts w:ascii="Cambria" w:eastAsia="Times New Roman" w:hAnsi="Cambria" w:cs="Calibri"/>
              </w:rPr>
              <w:t>Rokovi</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ispita</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i</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kolokvija</w:t>
            </w:r>
            <w:proofErr w:type="spellEnd"/>
          </w:p>
        </w:tc>
        <w:tc>
          <w:tcPr>
            <w:tcW w:w="651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8B7EF69"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Rokovi se objavljuju na mrežnim stranicama Fakulteta za odgojne i obrazovne znanosti i u ISVU.</w:t>
            </w:r>
          </w:p>
        </w:tc>
      </w:tr>
      <w:tr w:rsidR="00510729" w:rsidRPr="00DF4CE5" w14:paraId="45E309B9" w14:textId="77777777" w:rsidTr="00510729">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3FB667A"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 xml:space="preserve">Ostale važne činjenice </w:t>
            </w:r>
            <w:proofErr w:type="spellStart"/>
            <w:r w:rsidRPr="00DF4CE5">
              <w:rPr>
                <w:rFonts w:ascii="Cambria" w:eastAsia="Times New Roman" w:hAnsi="Cambria" w:cs="Calibri"/>
                <w:lang w:val="it-IT"/>
              </w:rPr>
              <w:t>vezaneuzkolegij</w:t>
            </w:r>
            <w:proofErr w:type="spellEnd"/>
          </w:p>
        </w:tc>
        <w:tc>
          <w:tcPr>
            <w:tcW w:w="651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E97139C"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Položeni ispit iz Glazbenog praktikuma I. uvjet je za polaganje kolegija Glazbenog praktikuma II.</w:t>
            </w:r>
          </w:p>
          <w:p w14:paraId="14D837D8"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U slučaju održavanja nastave na daljinu, moguće je odstupanje u: mjestu izvođenja kolegija, provedbi aktivnosti, metoda tumačenja i poučavanja i načinima vrednovanja, studentskim obvezama i dostupnoj literaturi. O tome će nositeljica i asistent obavijestiti studente i studentice kad se nastava na daljinu počne održavati. Ishodi učenja ostaju nepromijenjeni.</w:t>
            </w:r>
          </w:p>
        </w:tc>
      </w:tr>
      <w:tr w:rsidR="00510729" w:rsidRPr="00DF4CE5" w14:paraId="2273BF6E" w14:textId="77777777" w:rsidTr="00510729">
        <w:trPr>
          <w:trHeight w:val="770"/>
        </w:trPr>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1F8D726"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Literatura</w:t>
            </w: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32629796"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 xml:space="preserve">Obvezna: </w:t>
            </w:r>
          </w:p>
          <w:p w14:paraId="0B5E139C"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Times New Roman"/>
                <w:lang w:val="hr-HR"/>
              </w:rPr>
              <w:t xml:space="preserve">1. </w:t>
            </w:r>
            <w:r w:rsidRPr="00DF4CE5">
              <w:rPr>
                <w:rFonts w:ascii="Cambria" w:eastAsia="Times New Roman" w:hAnsi="Cambria" w:cs="Calibri"/>
                <w:lang w:val="hr-HR"/>
              </w:rPr>
              <w:t xml:space="preserve">Gortan-Carlin, I. P., </w:t>
            </w:r>
            <w:proofErr w:type="spellStart"/>
            <w:r w:rsidRPr="00DF4CE5">
              <w:rPr>
                <w:rFonts w:ascii="Cambria" w:eastAsia="Times New Roman" w:hAnsi="Cambria" w:cs="Calibri"/>
                <w:lang w:val="hr-HR"/>
              </w:rPr>
              <w:t>Veljović</w:t>
            </w:r>
            <w:proofErr w:type="spellEnd"/>
            <w:r w:rsidRPr="00DF4CE5">
              <w:rPr>
                <w:rFonts w:ascii="Cambria" w:eastAsia="Times New Roman" w:hAnsi="Cambria" w:cs="Calibri"/>
                <w:lang w:val="hr-HR"/>
              </w:rPr>
              <w:t>, M. (</w:t>
            </w:r>
            <w:proofErr w:type="spellStart"/>
            <w:r w:rsidRPr="00DF4CE5">
              <w:rPr>
                <w:rFonts w:ascii="Cambria" w:eastAsia="Times New Roman" w:hAnsi="Cambria" w:cs="Calibri"/>
                <w:lang w:val="hr-HR"/>
              </w:rPr>
              <w:t>ur</w:t>
            </w:r>
            <w:proofErr w:type="spellEnd"/>
            <w:r w:rsidRPr="00DF4CE5">
              <w:rPr>
                <w:rFonts w:ascii="Cambria" w:eastAsia="Times New Roman" w:hAnsi="Cambria" w:cs="Calibri"/>
                <w:lang w:val="hr-HR"/>
              </w:rPr>
              <w:t xml:space="preserve">.) (2016). Dječje pjesme </w:t>
            </w:r>
            <w:proofErr w:type="spellStart"/>
            <w:r w:rsidRPr="00DF4CE5">
              <w:rPr>
                <w:rFonts w:ascii="Cambria" w:eastAsia="Times New Roman" w:hAnsi="Cambria" w:cs="Calibri"/>
                <w:lang w:val="hr-HR"/>
              </w:rPr>
              <w:t>Nella</w:t>
            </w:r>
            <w:proofErr w:type="spellEnd"/>
            <w:r w:rsidRPr="00DF4CE5">
              <w:rPr>
                <w:rFonts w:ascii="Cambria" w:eastAsia="Times New Roman" w:hAnsi="Cambria" w:cs="Calibri"/>
                <w:lang w:val="hr-HR"/>
              </w:rPr>
              <w:t xml:space="preserve"> </w:t>
            </w:r>
            <w:proofErr w:type="spellStart"/>
            <w:r w:rsidRPr="00DF4CE5">
              <w:rPr>
                <w:rFonts w:ascii="Cambria" w:eastAsia="Times New Roman" w:hAnsi="Cambria" w:cs="Calibri"/>
                <w:lang w:val="hr-HR"/>
              </w:rPr>
              <w:t>Milottija</w:t>
            </w:r>
            <w:proofErr w:type="spellEnd"/>
            <w:r w:rsidRPr="00DF4CE5">
              <w:rPr>
                <w:rFonts w:ascii="Cambria" w:eastAsia="Times New Roman" w:hAnsi="Cambria" w:cs="Calibri"/>
                <w:lang w:val="hr-HR"/>
              </w:rPr>
              <w:t>. Pula: Sveučilište Jurja Dobrile u Puli.</w:t>
            </w:r>
          </w:p>
          <w:p w14:paraId="33231167"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 xml:space="preserve">2. </w:t>
            </w:r>
            <w:proofErr w:type="spellStart"/>
            <w:r w:rsidRPr="00DF4CE5">
              <w:rPr>
                <w:rFonts w:ascii="Cambria" w:eastAsia="Times New Roman" w:hAnsi="Cambria" w:cs="Calibri"/>
                <w:lang w:val="hr-HR"/>
              </w:rPr>
              <w:t>Riman</w:t>
            </w:r>
            <w:proofErr w:type="spellEnd"/>
            <w:r w:rsidRPr="00DF4CE5">
              <w:rPr>
                <w:rFonts w:ascii="Cambria" w:eastAsia="Times New Roman" w:hAnsi="Cambria" w:cs="Calibri"/>
                <w:lang w:val="hr-HR"/>
              </w:rPr>
              <w:t>, M. (2001). Zvončići. Rijeka: Izdavački centar Rijeka.</w:t>
            </w:r>
          </w:p>
          <w:p w14:paraId="635F6C11"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 xml:space="preserve">3. Sam, R. (1992). Sviramo uz pjesmu. Rijeka: Glosa. </w:t>
            </w:r>
          </w:p>
          <w:p w14:paraId="5EC1A53C"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Izborna:</w:t>
            </w:r>
          </w:p>
          <w:p w14:paraId="45ECDF90"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 xml:space="preserve">1. </w:t>
            </w:r>
            <w:proofErr w:type="spellStart"/>
            <w:r w:rsidRPr="00DF4CE5">
              <w:rPr>
                <w:rFonts w:ascii="Cambria" w:eastAsia="Times New Roman" w:hAnsi="Cambria" w:cs="Calibri"/>
                <w:lang w:val="hr-HR"/>
              </w:rPr>
              <w:t>Ashworth</w:t>
            </w:r>
            <w:proofErr w:type="spellEnd"/>
            <w:r w:rsidRPr="00DF4CE5">
              <w:rPr>
                <w:rFonts w:ascii="Cambria" w:eastAsia="Times New Roman" w:hAnsi="Cambria" w:cs="Calibri"/>
                <w:lang w:val="hr-HR"/>
              </w:rPr>
              <w:t>, S. (2011). Naučite svirati klavijature. Zagreb: Mozaik knjiga.</w:t>
            </w:r>
          </w:p>
          <w:p w14:paraId="2B497F51"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 xml:space="preserve">2. </w:t>
            </w:r>
            <w:proofErr w:type="spellStart"/>
            <w:r w:rsidRPr="00DF4CE5">
              <w:rPr>
                <w:rFonts w:ascii="Cambria" w:eastAsia="Times New Roman" w:hAnsi="Cambria" w:cs="Calibri"/>
                <w:lang w:val="hr-HR"/>
              </w:rPr>
              <w:t>Prašelj</w:t>
            </w:r>
            <w:proofErr w:type="spellEnd"/>
            <w:r w:rsidRPr="00DF4CE5">
              <w:rPr>
                <w:rFonts w:ascii="Cambria" w:eastAsia="Times New Roman" w:hAnsi="Cambria" w:cs="Calibri"/>
                <w:lang w:val="hr-HR"/>
              </w:rPr>
              <w:t>, D.(</w:t>
            </w:r>
            <w:proofErr w:type="spellStart"/>
            <w:r w:rsidRPr="00DF4CE5">
              <w:rPr>
                <w:rFonts w:ascii="Cambria" w:eastAsia="Times New Roman" w:hAnsi="Cambria" w:cs="Calibri"/>
                <w:lang w:val="hr-HR"/>
              </w:rPr>
              <w:t>prir</w:t>
            </w:r>
            <w:proofErr w:type="spellEnd"/>
            <w:r w:rsidRPr="00DF4CE5">
              <w:rPr>
                <w:rFonts w:ascii="Cambria" w:eastAsia="Times New Roman" w:hAnsi="Cambria" w:cs="Calibri"/>
                <w:lang w:val="hr-HR"/>
              </w:rPr>
              <w:t xml:space="preserve">.)(1990). Ivan Matetić-Ronjgov: </w:t>
            </w:r>
            <w:proofErr w:type="spellStart"/>
            <w:r w:rsidRPr="00DF4CE5">
              <w:rPr>
                <w:rFonts w:ascii="Cambria" w:eastAsia="Times New Roman" w:hAnsi="Cambria" w:cs="Calibri"/>
                <w:lang w:val="hr-HR"/>
              </w:rPr>
              <w:t>Zaspal</w:t>
            </w:r>
            <w:proofErr w:type="spellEnd"/>
            <w:r w:rsidRPr="00DF4CE5">
              <w:rPr>
                <w:rFonts w:ascii="Cambria" w:eastAsia="Times New Roman" w:hAnsi="Cambria" w:cs="Calibri"/>
                <w:lang w:val="hr-HR"/>
              </w:rPr>
              <w:t xml:space="preserve"> Pave, Rijeka : Izdavački centar Rijeka i KPD „Ivan Matetić-Ronjgov“</w:t>
            </w:r>
          </w:p>
          <w:p w14:paraId="3DA5FE66"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3. Petrović, T. (2007). Osnove teorije glazbe. Zagreb: Hrvatsko društvo glazbenih teoretičara.</w:t>
            </w:r>
          </w:p>
          <w:p w14:paraId="241D5CD5"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4. Udžbenici glazbene kulture koji se primjenjuju za 1.-4. razred osnovne škole</w:t>
            </w:r>
          </w:p>
          <w:p w14:paraId="157F1FB0" w14:textId="77777777"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lastRenderedPageBreak/>
              <w:t xml:space="preserve">Priručna: </w:t>
            </w:r>
          </w:p>
          <w:p w14:paraId="48EF6147" w14:textId="327B5731" w:rsidR="00510729" w:rsidRPr="00DF4CE5" w:rsidRDefault="00510729" w:rsidP="00510729">
            <w:pPr>
              <w:spacing w:after="0" w:line="240" w:lineRule="auto"/>
              <w:rPr>
                <w:rFonts w:ascii="Cambria" w:eastAsia="Times New Roman" w:hAnsi="Cambria" w:cs="Calibri"/>
                <w:lang w:val="hr-HR"/>
              </w:rPr>
            </w:pPr>
            <w:r w:rsidRPr="00DF4CE5">
              <w:rPr>
                <w:rFonts w:ascii="Cambria" w:eastAsia="Times New Roman" w:hAnsi="Cambria" w:cs="Calibri"/>
                <w:lang w:val="hr-HR"/>
              </w:rPr>
              <w:t>razne pjesmarice</w:t>
            </w:r>
          </w:p>
        </w:tc>
      </w:tr>
    </w:tbl>
    <w:p w14:paraId="1CB32479" w14:textId="77777777" w:rsidR="00510729" w:rsidRPr="00DF4CE5" w:rsidRDefault="00510729" w:rsidP="00510729">
      <w:pPr>
        <w:spacing w:after="0" w:line="240" w:lineRule="auto"/>
        <w:rPr>
          <w:rFonts w:ascii="Cambria" w:eastAsia="Cambria" w:hAnsi="Cambria" w:cs="Cambria"/>
          <w:lang w:val="hr-HR"/>
        </w:rPr>
      </w:pPr>
    </w:p>
    <w:p w14:paraId="1F8AE52A" w14:textId="77777777" w:rsidR="00510729" w:rsidRPr="00DF4CE5" w:rsidRDefault="00510729" w:rsidP="00510729">
      <w:pPr>
        <w:spacing w:after="0" w:line="240" w:lineRule="auto"/>
        <w:rPr>
          <w:rFonts w:ascii="Cambria" w:eastAsia="Cambria" w:hAnsi="Cambria" w:cs="Cambria"/>
          <w:lang w:val="hr-HR"/>
        </w:rPr>
      </w:pPr>
    </w:p>
    <w:p w14:paraId="2E86405E" w14:textId="77777777" w:rsidR="00510729" w:rsidRPr="00DF4CE5" w:rsidRDefault="00510729" w:rsidP="00510729">
      <w:pPr>
        <w:spacing w:after="0" w:line="240" w:lineRule="auto"/>
        <w:rPr>
          <w:rFonts w:ascii="Cambria" w:eastAsia="Cambria" w:hAnsi="Cambria" w:cs="Cambria"/>
          <w:lang w:val="hr-HR"/>
        </w:rPr>
      </w:pPr>
    </w:p>
    <w:p w14:paraId="6F603441" w14:textId="77777777" w:rsidR="00510729" w:rsidRPr="00DF4CE5" w:rsidRDefault="00510729" w:rsidP="00510729">
      <w:pPr>
        <w:spacing w:after="0" w:line="240" w:lineRule="auto"/>
        <w:rPr>
          <w:rFonts w:ascii="Cambria" w:eastAsia="Cambria" w:hAnsi="Cambria" w:cs="Cambria"/>
          <w:lang w:val="hr-HR"/>
        </w:rPr>
      </w:pPr>
    </w:p>
    <w:p w14:paraId="58C1A736" w14:textId="77777777" w:rsidR="00510729" w:rsidRPr="00DF4CE5" w:rsidRDefault="00510729" w:rsidP="00510729">
      <w:pPr>
        <w:spacing w:after="0" w:line="240" w:lineRule="auto"/>
        <w:rPr>
          <w:rFonts w:ascii="Cambria" w:eastAsia="Cambria" w:hAnsi="Cambria" w:cs="Cambria"/>
          <w:lang w:val="hr-HR"/>
        </w:rPr>
      </w:pPr>
    </w:p>
    <w:p w14:paraId="1838975D" w14:textId="77777777" w:rsidR="00510729" w:rsidRPr="00DF4CE5" w:rsidRDefault="00510729" w:rsidP="00510729">
      <w:pPr>
        <w:spacing w:after="0" w:line="240" w:lineRule="auto"/>
        <w:rPr>
          <w:rFonts w:ascii="Cambria" w:eastAsia="Cambria" w:hAnsi="Cambria" w:cs="Cambria"/>
          <w:lang w:val="hr-HR"/>
        </w:rPr>
      </w:pPr>
    </w:p>
    <w:p w14:paraId="4E138EF8" w14:textId="77777777" w:rsidR="00510729" w:rsidRPr="00DF4CE5" w:rsidRDefault="00510729" w:rsidP="00510729">
      <w:pPr>
        <w:spacing w:after="0" w:line="240" w:lineRule="auto"/>
        <w:rPr>
          <w:rFonts w:ascii="Cambria" w:eastAsia="Cambria" w:hAnsi="Cambria" w:cs="Cambria"/>
          <w:lang w:val="hr-HR"/>
        </w:rPr>
      </w:pPr>
    </w:p>
    <w:p w14:paraId="5F60A52C" w14:textId="77777777" w:rsidR="00510729" w:rsidRPr="00DF4CE5" w:rsidRDefault="00510729" w:rsidP="00510729">
      <w:pPr>
        <w:spacing w:after="0" w:line="240" w:lineRule="auto"/>
        <w:rPr>
          <w:rFonts w:ascii="Cambria" w:eastAsia="Cambria" w:hAnsi="Cambria" w:cs="Cambria"/>
          <w:lang w:val="hr-HR"/>
        </w:rPr>
      </w:pPr>
    </w:p>
    <w:p w14:paraId="3A65FFF9" w14:textId="77777777" w:rsidR="00CE1FD6" w:rsidRPr="00DF4CE5" w:rsidRDefault="00CE1FD6" w:rsidP="00510729">
      <w:pPr>
        <w:spacing w:after="0" w:line="240" w:lineRule="auto"/>
        <w:rPr>
          <w:rFonts w:ascii="Cambria" w:eastAsia="Cambria" w:hAnsi="Cambria" w:cs="Cambria"/>
          <w:lang w:val="hr-HR"/>
        </w:rPr>
      </w:pPr>
    </w:p>
    <w:p w14:paraId="57F6C1FE" w14:textId="77777777" w:rsidR="00CE1FD6" w:rsidRPr="00DF4CE5" w:rsidRDefault="00CE1FD6" w:rsidP="00510729">
      <w:pPr>
        <w:spacing w:after="0" w:line="240" w:lineRule="auto"/>
        <w:rPr>
          <w:rFonts w:ascii="Cambria" w:eastAsia="Cambria" w:hAnsi="Cambria" w:cs="Cambria"/>
          <w:lang w:val="hr-HR"/>
        </w:rPr>
      </w:pPr>
    </w:p>
    <w:p w14:paraId="4C0A4138" w14:textId="77777777" w:rsidR="00CE1FD6" w:rsidRPr="00DF4CE5" w:rsidRDefault="00CE1FD6" w:rsidP="00510729">
      <w:pPr>
        <w:spacing w:after="0" w:line="240" w:lineRule="auto"/>
        <w:rPr>
          <w:rFonts w:ascii="Cambria" w:eastAsia="Cambria" w:hAnsi="Cambria" w:cs="Cambria"/>
          <w:lang w:val="hr-HR"/>
        </w:rPr>
      </w:pPr>
    </w:p>
    <w:p w14:paraId="5CE9F8AD" w14:textId="77777777" w:rsidR="00CE1FD6" w:rsidRPr="00DF4CE5" w:rsidRDefault="00CE1FD6" w:rsidP="00510729">
      <w:pPr>
        <w:spacing w:after="0" w:line="240" w:lineRule="auto"/>
        <w:rPr>
          <w:rFonts w:ascii="Cambria" w:eastAsia="Cambria" w:hAnsi="Cambria" w:cs="Cambria"/>
          <w:lang w:val="hr-HR"/>
        </w:rPr>
      </w:pPr>
    </w:p>
    <w:p w14:paraId="759FE73D" w14:textId="77777777" w:rsidR="00CE1FD6" w:rsidRPr="00DF4CE5" w:rsidRDefault="00CE1FD6" w:rsidP="00510729">
      <w:pPr>
        <w:spacing w:after="0" w:line="240" w:lineRule="auto"/>
        <w:rPr>
          <w:rFonts w:ascii="Cambria" w:eastAsia="Cambria" w:hAnsi="Cambria" w:cs="Cambria"/>
          <w:lang w:val="hr-HR"/>
        </w:rPr>
      </w:pPr>
    </w:p>
    <w:p w14:paraId="7B8140F2" w14:textId="77777777" w:rsidR="00CE1FD6" w:rsidRPr="00DF4CE5" w:rsidRDefault="00CE1FD6" w:rsidP="00510729">
      <w:pPr>
        <w:spacing w:after="0" w:line="240" w:lineRule="auto"/>
        <w:rPr>
          <w:rFonts w:ascii="Cambria" w:eastAsia="Cambria" w:hAnsi="Cambria" w:cs="Cambria"/>
          <w:lang w:val="hr-HR"/>
        </w:rPr>
      </w:pPr>
    </w:p>
    <w:p w14:paraId="6DD086FD" w14:textId="77777777" w:rsidR="00CE1FD6" w:rsidRPr="00DF4CE5" w:rsidRDefault="00CE1FD6" w:rsidP="00510729">
      <w:pPr>
        <w:spacing w:after="0" w:line="240" w:lineRule="auto"/>
        <w:rPr>
          <w:rFonts w:ascii="Cambria" w:eastAsia="Cambria" w:hAnsi="Cambria" w:cs="Cambria"/>
          <w:lang w:val="hr-HR"/>
        </w:rPr>
      </w:pPr>
    </w:p>
    <w:p w14:paraId="2FE80E63" w14:textId="77777777" w:rsidR="00CE1FD6" w:rsidRPr="00DF4CE5" w:rsidRDefault="00CE1FD6" w:rsidP="00510729">
      <w:pPr>
        <w:spacing w:after="0" w:line="240" w:lineRule="auto"/>
        <w:rPr>
          <w:rFonts w:ascii="Cambria" w:eastAsia="Cambria" w:hAnsi="Cambria" w:cs="Cambria"/>
          <w:lang w:val="hr-HR"/>
        </w:rPr>
      </w:pPr>
    </w:p>
    <w:p w14:paraId="73CC844F" w14:textId="77777777" w:rsidR="00CE1FD6" w:rsidRPr="00DF4CE5" w:rsidRDefault="00CE1FD6" w:rsidP="00510729">
      <w:pPr>
        <w:spacing w:after="0" w:line="240" w:lineRule="auto"/>
        <w:rPr>
          <w:rFonts w:ascii="Cambria" w:eastAsia="Cambria" w:hAnsi="Cambria" w:cs="Cambria"/>
          <w:lang w:val="hr-HR"/>
        </w:rPr>
      </w:pPr>
    </w:p>
    <w:p w14:paraId="19AD641A" w14:textId="77777777" w:rsidR="00510729" w:rsidRPr="00DF4CE5" w:rsidRDefault="00510729" w:rsidP="00510729">
      <w:pPr>
        <w:spacing w:after="0" w:line="240" w:lineRule="auto"/>
        <w:rPr>
          <w:rFonts w:ascii="Cambria" w:eastAsia="Cambria" w:hAnsi="Cambria" w:cs="Cambria"/>
          <w:lang w:val="hr-HR"/>
        </w:rPr>
      </w:pPr>
    </w:p>
    <w:p w14:paraId="2BE5E821" w14:textId="77777777" w:rsidR="00510729" w:rsidRPr="00DF4CE5" w:rsidRDefault="00510729" w:rsidP="00510729">
      <w:pPr>
        <w:spacing w:after="0" w:line="240" w:lineRule="auto"/>
        <w:rPr>
          <w:rFonts w:ascii="Cambria" w:eastAsia="Cambria" w:hAnsi="Cambria" w:cs="Cambria"/>
          <w:lang w:val="hr-HR"/>
        </w:rPr>
      </w:pPr>
    </w:p>
    <w:p w14:paraId="2E06F3AF" w14:textId="77777777" w:rsidR="00510729" w:rsidRPr="00DF4CE5" w:rsidRDefault="00510729" w:rsidP="00510729">
      <w:pPr>
        <w:spacing w:after="0" w:line="240" w:lineRule="auto"/>
        <w:rPr>
          <w:rFonts w:ascii="Cambria" w:eastAsia="Cambria" w:hAnsi="Cambria" w:cs="Cambria"/>
          <w:lang w:val="hr-HR"/>
        </w:rPr>
      </w:pPr>
    </w:p>
    <w:p w14:paraId="5BBF552B" w14:textId="77777777" w:rsidR="00510729" w:rsidRPr="00DF4CE5" w:rsidRDefault="00510729" w:rsidP="00510729">
      <w:pPr>
        <w:spacing w:after="0" w:line="240" w:lineRule="auto"/>
        <w:rPr>
          <w:rFonts w:ascii="Cambria" w:eastAsia="Cambria" w:hAnsi="Cambria" w:cs="Cambria"/>
          <w:lang w:val="hr-HR"/>
        </w:rPr>
      </w:pPr>
    </w:p>
    <w:p w14:paraId="3AC505E5" w14:textId="7F8D073F" w:rsidR="00510729" w:rsidRPr="00DF4CE5" w:rsidRDefault="00DF3BC9" w:rsidP="00830554">
      <w:pPr>
        <w:rPr>
          <w:rFonts w:ascii="Cambria" w:eastAsia="Cambria" w:hAnsi="Cambria" w:cs="Cambria"/>
          <w:lang w:val="hr-HR"/>
        </w:rPr>
      </w:pPr>
      <w:r>
        <w:rPr>
          <w:rFonts w:ascii="Cambria" w:eastAsia="Cambria" w:hAnsi="Cambria" w:cs="Cambria"/>
          <w:lang w:val="hr-HR"/>
        </w:rPr>
        <w:br w:type="page"/>
      </w:r>
    </w:p>
    <w:tbl>
      <w:tblPr>
        <w:tblW w:w="5000" w:type="pct"/>
        <w:tblLayout w:type="fixed"/>
        <w:tblCellMar>
          <w:left w:w="0" w:type="dxa"/>
          <w:right w:w="0" w:type="dxa"/>
        </w:tblCellMar>
        <w:tblLook w:val="0000" w:firstRow="0" w:lastRow="0" w:firstColumn="0" w:lastColumn="0" w:noHBand="0" w:noVBand="0"/>
      </w:tblPr>
      <w:tblGrid>
        <w:gridCol w:w="2279"/>
        <w:gridCol w:w="3204"/>
        <w:gridCol w:w="105"/>
        <w:gridCol w:w="1167"/>
        <w:gridCol w:w="297"/>
        <w:gridCol w:w="470"/>
        <w:gridCol w:w="1084"/>
        <w:gridCol w:w="1414"/>
      </w:tblGrid>
      <w:tr w:rsidR="00510729" w:rsidRPr="00DF4CE5" w14:paraId="16308128" w14:textId="77777777" w:rsidTr="00510729">
        <w:tc>
          <w:tcPr>
            <w:tcW w:w="9360"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11F3B3E" w14:textId="77777777" w:rsidR="00510729" w:rsidRPr="00DF4CE5" w:rsidRDefault="00510729" w:rsidP="00510729">
            <w:pPr>
              <w:spacing w:after="0" w:line="240" w:lineRule="atLeast"/>
              <w:jc w:val="right"/>
              <w:rPr>
                <w:rFonts w:ascii="Cambria" w:eastAsia="Times New Roman" w:hAnsi="Cambria" w:cs="Calibri"/>
                <w:b/>
                <w:lang w:val="hr-HR"/>
              </w:rPr>
            </w:pPr>
            <w:r w:rsidRPr="00DF4CE5">
              <w:rPr>
                <w:rFonts w:ascii="Cambria" w:eastAsia="Times New Roman" w:hAnsi="Cambria" w:cs="Calibri"/>
                <w:b/>
                <w:lang w:val="hr-HR"/>
              </w:rPr>
              <w:lastRenderedPageBreak/>
              <w:t>IZVEDBENI PLAN NASTAVE KOLEGIJA</w:t>
            </w:r>
          </w:p>
        </w:tc>
      </w:tr>
      <w:tr w:rsidR="00510729" w:rsidRPr="00DF4CE5" w14:paraId="50BA99F5" w14:textId="77777777" w:rsidTr="00510729">
        <w:tc>
          <w:tcPr>
            <w:tcW w:w="21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DD7A7E2" w14:textId="77777777" w:rsidR="00510729" w:rsidRPr="00DF4CE5" w:rsidRDefault="00510729" w:rsidP="00510729">
            <w:pPr>
              <w:spacing w:after="0" w:line="240" w:lineRule="atLeast"/>
              <w:rPr>
                <w:rFonts w:ascii="Cambria" w:eastAsia="Times New Roman" w:hAnsi="Cambria" w:cs="Calibri"/>
                <w:lang w:val="hr-HR"/>
              </w:rPr>
            </w:pPr>
            <w:r w:rsidRPr="00DF4CE5">
              <w:rPr>
                <w:rFonts w:ascii="Cambria" w:eastAsia="Times New Roman" w:hAnsi="Cambria" w:cs="Calibri"/>
                <w:lang w:val="hr-HR"/>
              </w:rPr>
              <w:t>Kod i naziv kolegija</w:t>
            </w:r>
          </w:p>
        </w:tc>
        <w:tc>
          <w:tcPr>
            <w:tcW w:w="7231"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5506677" w14:textId="77777777" w:rsidR="00510729" w:rsidRPr="00DF4CE5" w:rsidRDefault="00510729" w:rsidP="00510729">
            <w:pPr>
              <w:spacing w:after="0" w:line="240" w:lineRule="atLeast"/>
              <w:rPr>
                <w:rFonts w:ascii="Cambria" w:eastAsia="Times New Roman" w:hAnsi="Cambria" w:cs="Calibri"/>
                <w:lang w:val="hr-HR"/>
              </w:rPr>
            </w:pPr>
            <w:r w:rsidRPr="00DF4CE5">
              <w:rPr>
                <w:rFonts w:ascii="Cambria" w:eastAsia="Times New Roman" w:hAnsi="Cambria" w:cs="Calibri"/>
                <w:lang w:val="hr-HR"/>
              </w:rPr>
              <w:t>42329</w:t>
            </w:r>
          </w:p>
          <w:p w14:paraId="6877A324" w14:textId="140A9929" w:rsidR="00510729" w:rsidRPr="00DF4CE5" w:rsidRDefault="00510729" w:rsidP="00510729">
            <w:pPr>
              <w:spacing w:after="0" w:line="240" w:lineRule="atLeast"/>
              <w:rPr>
                <w:rFonts w:ascii="Cambria" w:eastAsia="Times New Roman" w:hAnsi="Cambria" w:cs="Calibri"/>
                <w:lang w:val="hr-HR"/>
              </w:rPr>
            </w:pPr>
            <w:r w:rsidRPr="00DF4CE5">
              <w:rPr>
                <w:rFonts w:ascii="Cambria" w:eastAsia="Times New Roman" w:hAnsi="Cambria" w:cs="Calibri"/>
                <w:lang w:val="hr-HR"/>
              </w:rPr>
              <w:t>Kineziološka kultura IV</w:t>
            </w:r>
          </w:p>
        </w:tc>
      </w:tr>
      <w:tr w:rsidR="00510729" w:rsidRPr="00DF4CE5" w14:paraId="6171698F" w14:textId="77777777" w:rsidTr="00510729">
        <w:tc>
          <w:tcPr>
            <w:tcW w:w="21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1B12BD7" w14:textId="59F84EBD" w:rsidR="00510729" w:rsidRPr="00DF4CE5" w:rsidRDefault="00510729" w:rsidP="00510729">
            <w:pPr>
              <w:spacing w:after="0" w:line="240" w:lineRule="atLeast"/>
              <w:rPr>
                <w:rFonts w:ascii="Cambria" w:eastAsia="Times New Roman" w:hAnsi="Cambria" w:cs="Calibri"/>
                <w:lang w:val="hr-HR"/>
              </w:rPr>
            </w:pPr>
            <w:r w:rsidRPr="00DF4CE5">
              <w:rPr>
                <w:rFonts w:ascii="Cambria" w:eastAsia="Times New Roman" w:hAnsi="Cambria" w:cs="Calibri"/>
                <w:lang w:val="hr-HR"/>
              </w:rPr>
              <w:t>Nastavni</w:t>
            </w:r>
            <w:r w:rsidR="00DF3BC9">
              <w:rPr>
                <w:rFonts w:ascii="Cambria" w:eastAsia="Times New Roman" w:hAnsi="Cambria" w:cs="Calibri"/>
                <w:lang w:val="hr-HR"/>
              </w:rPr>
              <w:t>ca</w:t>
            </w:r>
          </w:p>
          <w:p w14:paraId="24EB96CC" w14:textId="77777777" w:rsidR="00510729" w:rsidRPr="00DF4CE5" w:rsidRDefault="00510729" w:rsidP="00510729">
            <w:pPr>
              <w:spacing w:after="0" w:line="240" w:lineRule="atLeast"/>
              <w:rPr>
                <w:rFonts w:ascii="Cambria" w:eastAsia="Times New Roman" w:hAnsi="Cambria" w:cs="Calibri"/>
                <w:lang w:val="hr-HR"/>
              </w:rPr>
            </w:pPr>
            <w:r w:rsidRPr="00DF4CE5">
              <w:rPr>
                <w:rFonts w:ascii="Cambria" w:eastAsia="Times New Roman" w:hAnsi="Cambria" w:cs="Calibri"/>
                <w:lang w:val="hr-HR"/>
              </w:rPr>
              <w:t>Suradnik</w:t>
            </w:r>
          </w:p>
        </w:tc>
        <w:tc>
          <w:tcPr>
            <w:tcW w:w="7231"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D04D2B8" w14:textId="50EEA553" w:rsidR="00510729" w:rsidRPr="00DF4CE5" w:rsidRDefault="00DF3BC9" w:rsidP="00510729">
            <w:pPr>
              <w:spacing w:after="0" w:line="240" w:lineRule="atLeast"/>
              <w:rPr>
                <w:rFonts w:ascii="Cambria" w:eastAsia="Times New Roman" w:hAnsi="Cambria" w:cs="Calibri"/>
                <w:color w:val="0000FF"/>
                <w:u w:val="single"/>
                <w:lang w:val="hr-HR"/>
              </w:rPr>
            </w:pPr>
            <w:r>
              <w:rPr>
                <w:rFonts w:ascii="Cambria" w:eastAsia="Times New Roman" w:hAnsi="Cambria" w:cs="Calibri"/>
                <w:color w:val="0000FF"/>
                <w:u w:val="single"/>
                <w:lang w:val="hr-HR"/>
              </w:rPr>
              <w:t>P</w:t>
            </w:r>
            <w:r w:rsidR="00510729" w:rsidRPr="00DF4CE5">
              <w:rPr>
                <w:rFonts w:ascii="Cambria" w:eastAsia="Times New Roman" w:hAnsi="Cambria" w:cs="Calibri"/>
                <w:color w:val="0000FF"/>
                <w:u w:val="single"/>
                <w:lang w:val="hr-HR"/>
              </w:rPr>
              <w:t>rof. dr. sc. Iva Blažević</w:t>
            </w:r>
            <w:r w:rsidR="00510729" w:rsidRPr="00DF4CE5">
              <w:rPr>
                <w:rFonts w:ascii="Cambria" w:eastAsia="Times New Roman" w:hAnsi="Cambria" w:cs="Calibri"/>
                <w:color w:val="0000FF"/>
                <w:lang w:val="hr-HR"/>
              </w:rPr>
              <w:t xml:space="preserve"> </w:t>
            </w:r>
            <w:r w:rsidR="00510729" w:rsidRPr="00DF4CE5">
              <w:rPr>
                <w:rFonts w:ascii="Cambria" w:eastAsia="Times New Roman" w:hAnsi="Cambria" w:cs="Calibri"/>
                <w:lang w:val="hr-HR"/>
              </w:rPr>
              <w:t>(nositeljica)</w:t>
            </w:r>
          </w:p>
          <w:p w14:paraId="3D14C90A" w14:textId="7821C524" w:rsidR="00510729" w:rsidRPr="00DF4CE5" w:rsidRDefault="00DF3BC9" w:rsidP="00510729">
            <w:pPr>
              <w:spacing w:after="0" w:line="240" w:lineRule="atLeast"/>
              <w:rPr>
                <w:rFonts w:ascii="Cambria" w:eastAsia="Times New Roman" w:hAnsi="Cambria" w:cs="Calibri"/>
                <w:color w:val="0000FF"/>
                <w:u w:val="single"/>
                <w:lang w:val="hr-HR"/>
              </w:rPr>
            </w:pPr>
            <w:r>
              <w:rPr>
                <w:rFonts w:ascii="Cambria" w:eastAsia="Times New Roman" w:hAnsi="Cambria" w:cs="Calibri"/>
                <w:color w:val="0000FF"/>
                <w:u w:val="single"/>
                <w:lang w:val="hr-HR"/>
              </w:rPr>
              <w:t>D</w:t>
            </w:r>
            <w:r w:rsidR="00B07393" w:rsidRPr="00DF4CE5">
              <w:rPr>
                <w:rFonts w:ascii="Cambria" w:eastAsia="Times New Roman" w:hAnsi="Cambria" w:cs="Calibri"/>
                <w:color w:val="0000FF"/>
                <w:u w:val="single"/>
                <w:lang w:val="hr-HR"/>
              </w:rPr>
              <w:t>r.</w:t>
            </w:r>
            <w:r>
              <w:rPr>
                <w:rFonts w:ascii="Cambria" w:eastAsia="Times New Roman" w:hAnsi="Cambria" w:cs="Calibri"/>
                <w:color w:val="0000FF"/>
                <w:u w:val="single"/>
                <w:lang w:val="hr-HR"/>
              </w:rPr>
              <w:t xml:space="preserve"> </w:t>
            </w:r>
            <w:r w:rsidR="00B07393" w:rsidRPr="00DF4CE5">
              <w:rPr>
                <w:rFonts w:ascii="Cambria" w:eastAsia="Times New Roman" w:hAnsi="Cambria" w:cs="Calibri"/>
                <w:color w:val="0000FF"/>
                <w:u w:val="single"/>
                <w:lang w:val="hr-HR"/>
              </w:rPr>
              <w:t>sc.</w:t>
            </w:r>
            <w:r>
              <w:rPr>
                <w:rFonts w:ascii="Cambria" w:eastAsia="Times New Roman" w:hAnsi="Cambria" w:cs="Calibri"/>
                <w:color w:val="0000FF"/>
                <w:u w:val="single"/>
                <w:lang w:val="hr-HR"/>
              </w:rPr>
              <w:t xml:space="preserve"> </w:t>
            </w:r>
            <w:r w:rsidR="00510729" w:rsidRPr="00DF4CE5">
              <w:rPr>
                <w:rFonts w:ascii="Cambria" w:eastAsia="Times New Roman" w:hAnsi="Cambria" w:cs="Calibri"/>
                <w:color w:val="0000FF"/>
                <w:u w:val="single"/>
                <w:lang w:val="hr-HR"/>
              </w:rPr>
              <w:t>Ivan Oreb, pred.</w:t>
            </w:r>
          </w:p>
        </w:tc>
      </w:tr>
      <w:tr w:rsidR="00510729" w:rsidRPr="00D0399C" w14:paraId="410BF9F9" w14:textId="77777777" w:rsidTr="00510729">
        <w:tc>
          <w:tcPr>
            <w:tcW w:w="21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6EB867D" w14:textId="77777777" w:rsidR="00510729" w:rsidRPr="00DF4CE5" w:rsidRDefault="00510729" w:rsidP="00510729">
            <w:pPr>
              <w:spacing w:after="0" w:line="240" w:lineRule="atLeast"/>
              <w:rPr>
                <w:rFonts w:ascii="Cambria" w:eastAsia="Times New Roman" w:hAnsi="Cambria" w:cs="Calibri"/>
                <w:lang w:val="hr-HR"/>
              </w:rPr>
            </w:pPr>
            <w:r w:rsidRPr="00DF4CE5">
              <w:rPr>
                <w:rFonts w:ascii="Cambria" w:eastAsia="Times New Roman" w:hAnsi="Cambria" w:cs="Calibri"/>
                <w:lang w:val="hr-HR"/>
              </w:rPr>
              <w:t>Studijski program</w:t>
            </w:r>
          </w:p>
        </w:tc>
        <w:tc>
          <w:tcPr>
            <w:tcW w:w="7231"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49346B3" w14:textId="77777777" w:rsidR="00510729" w:rsidRPr="00DF4CE5" w:rsidRDefault="00510729" w:rsidP="00510729">
            <w:pPr>
              <w:spacing w:after="0" w:line="240" w:lineRule="atLeast"/>
              <w:rPr>
                <w:rFonts w:ascii="Cambria" w:eastAsia="Times New Roman" w:hAnsi="Cambria" w:cs="Calibri"/>
                <w:lang w:val="hr-HR"/>
              </w:rPr>
            </w:pPr>
            <w:r w:rsidRPr="00DF4CE5">
              <w:rPr>
                <w:rFonts w:ascii="Cambria" w:eastAsia="Calibri" w:hAnsi="Cambria" w:cs="Calibri"/>
                <w:lang w:val="hr-HR"/>
              </w:rPr>
              <w:t>Sveučilišni integrirani prijediplomski i diplomski Učiteljski studij na hrvatskom jeziku</w:t>
            </w:r>
          </w:p>
        </w:tc>
      </w:tr>
      <w:tr w:rsidR="00510729" w:rsidRPr="00DF4CE5" w14:paraId="72D32099" w14:textId="77777777" w:rsidTr="00510729">
        <w:tc>
          <w:tcPr>
            <w:tcW w:w="21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381A119" w14:textId="77777777" w:rsidR="00510729" w:rsidRPr="00DF4CE5" w:rsidRDefault="00510729" w:rsidP="00510729">
            <w:pPr>
              <w:spacing w:after="0" w:line="240" w:lineRule="atLeast"/>
              <w:rPr>
                <w:rFonts w:ascii="Cambria" w:eastAsia="Times New Roman" w:hAnsi="Cambria" w:cs="Calibri"/>
                <w:lang w:val="hr-HR"/>
              </w:rPr>
            </w:pPr>
            <w:r w:rsidRPr="00DF4CE5">
              <w:rPr>
                <w:rFonts w:ascii="Cambria" w:eastAsia="Times New Roman" w:hAnsi="Cambria" w:cs="Calibri"/>
                <w:lang w:val="hr-HR"/>
              </w:rPr>
              <w:t>Vrsta kolegija</w:t>
            </w:r>
          </w:p>
        </w:tc>
        <w:tc>
          <w:tcPr>
            <w:tcW w:w="299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F0DF52E" w14:textId="77777777" w:rsidR="00510729" w:rsidRPr="00DF4CE5" w:rsidRDefault="00510729" w:rsidP="00510729">
            <w:pPr>
              <w:spacing w:after="0" w:line="240" w:lineRule="atLeast"/>
              <w:rPr>
                <w:rFonts w:ascii="Cambria" w:eastAsia="Times New Roman" w:hAnsi="Cambria" w:cs="Calibri"/>
                <w:lang w:val="hr-HR"/>
              </w:rPr>
            </w:pPr>
            <w:r w:rsidRPr="00DF4CE5">
              <w:rPr>
                <w:rFonts w:ascii="Cambria" w:eastAsia="Times New Roman" w:hAnsi="Cambria" w:cs="Calibri"/>
                <w:lang w:val="hr-HR"/>
              </w:rPr>
              <w:t xml:space="preserve">obvezan </w:t>
            </w:r>
          </w:p>
        </w:tc>
        <w:tc>
          <w:tcPr>
            <w:tcW w:w="1465"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7583A8EB" w14:textId="77777777" w:rsidR="00510729" w:rsidRPr="00DF4CE5" w:rsidRDefault="00510729" w:rsidP="00510729">
            <w:pPr>
              <w:spacing w:after="0" w:line="240" w:lineRule="atLeast"/>
              <w:rPr>
                <w:rFonts w:ascii="Cambria" w:eastAsia="Times New Roman" w:hAnsi="Cambria" w:cs="Calibri"/>
                <w:lang w:val="hr-HR"/>
              </w:rPr>
            </w:pPr>
            <w:r w:rsidRPr="00DF4CE5">
              <w:rPr>
                <w:rFonts w:ascii="Cambria" w:eastAsia="Times New Roman" w:hAnsi="Cambria" w:cs="Calibri"/>
                <w:lang w:val="hr-HR"/>
              </w:rPr>
              <w:t>Razina kolegija</w:t>
            </w:r>
          </w:p>
        </w:tc>
        <w:tc>
          <w:tcPr>
            <w:tcW w:w="2773"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6F43CF3" w14:textId="083CDD11" w:rsidR="00510729" w:rsidRPr="00DF4CE5" w:rsidRDefault="00CE1FD6" w:rsidP="00510729">
            <w:pPr>
              <w:spacing w:after="0" w:line="240" w:lineRule="atLeast"/>
              <w:rPr>
                <w:rFonts w:ascii="Cambria" w:eastAsia="Times New Roman" w:hAnsi="Cambria" w:cs="Calibri"/>
                <w:lang w:val="hr-HR"/>
              </w:rPr>
            </w:pPr>
            <w:r w:rsidRPr="00DF4CE5">
              <w:rPr>
                <w:rFonts w:ascii="Cambria" w:eastAsia="Times New Roman" w:hAnsi="Cambria" w:cs="Calibri"/>
                <w:lang w:val="hr-HR"/>
              </w:rPr>
              <w:t>I</w:t>
            </w:r>
            <w:r w:rsidR="00510729" w:rsidRPr="00DF4CE5">
              <w:rPr>
                <w:rFonts w:ascii="Cambria" w:eastAsia="Times New Roman" w:hAnsi="Cambria" w:cs="Calibri"/>
                <w:lang w:val="hr-HR"/>
              </w:rPr>
              <w:t>ntegrirani</w:t>
            </w:r>
          </w:p>
        </w:tc>
      </w:tr>
      <w:tr w:rsidR="00510729" w:rsidRPr="00DF4CE5" w14:paraId="7B7608AC" w14:textId="77777777" w:rsidTr="00510729">
        <w:tc>
          <w:tcPr>
            <w:tcW w:w="21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896841F" w14:textId="77777777" w:rsidR="00510729" w:rsidRPr="00DF4CE5" w:rsidRDefault="00510729" w:rsidP="00510729">
            <w:pPr>
              <w:spacing w:after="0" w:line="240" w:lineRule="atLeast"/>
              <w:rPr>
                <w:rFonts w:ascii="Cambria" w:eastAsia="Times New Roman" w:hAnsi="Cambria" w:cs="Calibri"/>
                <w:lang w:val="hr-HR"/>
              </w:rPr>
            </w:pPr>
            <w:r w:rsidRPr="00DF4CE5">
              <w:rPr>
                <w:rFonts w:ascii="Cambria" w:eastAsia="Times New Roman" w:hAnsi="Cambria" w:cs="Calibri"/>
                <w:lang w:val="hr-HR"/>
              </w:rPr>
              <w:t>Semestar</w:t>
            </w:r>
          </w:p>
        </w:tc>
        <w:tc>
          <w:tcPr>
            <w:tcW w:w="299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1575A87" w14:textId="64C244DB" w:rsidR="00510729" w:rsidRPr="00DF4CE5" w:rsidRDefault="00B07393" w:rsidP="00510729">
            <w:pPr>
              <w:spacing w:after="0" w:line="240" w:lineRule="atLeast"/>
              <w:rPr>
                <w:rFonts w:ascii="Cambria" w:eastAsia="Times New Roman" w:hAnsi="Cambria" w:cs="Calibri"/>
                <w:lang w:val="hr-HR"/>
              </w:rPr>
            </w:pPr>
            <w:r w:rsidRPr="00DF4CE5">
              <w:rPr>
                <w:rFonts w:ascii="Cambria" w:eastAsia="Times New Roman" w:hAnsi="Cambria" w:cs="Calibri"/>
                <w:lang w:val="hr-HR"/>
              </w:rPr>
              <w:t>L</w:t>
            </w:r>
            <w:r w:rsidR="00510729" w:rsidRPr="00DF4CE5">
              <w:rPr>
                <w:rFonts w:ascii="Cambria" w:eastAsia="Times New Roman" w:hAnsi="Cambria" w:cs="Calibri"/>
                <w:lang w:val="hr-HR"/>
              </w:rPr>
              <w:t>jetni</w:t>
            </w:r>
          </w:p>
        </w:tc>
        <w:tc>
          <w:tcPr>
            <w:tcW w:w="1465"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7F38A888" w14:textId="77777777" w:rsidR="00510729" w:rsidRPr="00DF4CE5" w:rsidRDefault="00510729" w:rsidP="00510729">
            <w:pPr>
              <w:spacing w:after="0" w:line="240" w:lineRule="atLeast"/>
              <w:rPr>
                <w:rFonts w:ascii="Cambria" w:eastAsia="Times New Roman" w:hAnsi="Cambria" w:cs="Calibri"/>
                <w:lang w:val="hr-HR"/>
              </w:rPr>
            </w:pPr>
            <w:r w:rsidRPr="00DF4CE5">
              <w:rPr>
                <w:rFonts w:ascii="Cambria" w:eastAsia="Times New Roman" w:hAnsi="Cambria" w:cs="Calibri"/>
                <w:lang w:val="hr-HR"/>
              </w:rPr>
              <w:t>Godina studija</w:t>
            </w:r>
          </w:p>
        </w:tc>
        <w:tc>
          <w:tcPr>
            <w:tcW w:w="2773"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BA67227" w14:textId="77777777" w:rsidR="00510729" w:rsidRPr="00DF4CE5" w:rsidRDefault="00510729" w:rsidP="00510729">
            <w:pPr>
              <w:spacing w:after="0" w:line="240" w:lineRule="atLeast"/>
              <w:rPr>
                <w:rFonts w:ascii="Cambria" w:eastAsia="Times New Roman" w:hAnsi="Cambria" w:cs="Calibri"/>
                <w:lang w:val="hr-HR"/>
              </w:rPr>
            </w:pPr>
            <w:r w:rsidRPr="00DF4CE5">
              <w:rPr>
                <w:rFonts w:ascii="Cambria" w:eastAsia="Times New Roman" w:hAnsi="Cambria" w:cs="Calibri"/>
                <w:lang w:val="hr-HR"/>
              </w:rPr>
              <w:t>II.</w:t>
            </w:r>
          </w:p>
        </w:tc>
      </w:tr>
      <w:tr w:rsidR="00510729" w:rsidRPr="00DF4CE5" w14:paraId="4E8A0CDE" w14:textId="77777777" w:rsidTr="00510729">
        <w:tc>
          <w:tcPr>
            <w:tcW w:w="21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A37ABC3" w14:textId="77777777" w:rsidR="00510729" w:rsidRPr="00DF4CE5" w:rsidRDefault="00510729" w:rsidP="00510729">
            <w:pPr>
              <w:spacing w:after="0" w:line="240" w:lineRule="atLeast"/>
              <w:rPr>
                <w:rFonts w:ascii="Cambria" w:eastAsia="Times New Roman" w:hAnsi="Cambria" w:cs="Calibri"/>
                <w:lang w:val="hr-HR"/>
              </w:rPr>
            </w:pPr>
            <w:r w:rsidRPr="00DF4CE5">
              <w:rPr>
                <w:rFonts w:ascii="Cambria" w:eastAsia="Times New Roman" w:hAnsi="Cambria" w:cs="Calibri"/>
                <w:lang w:val="hr-HR"/>
              </w:rPr>
              <w:t>Mjesto izvođenja</w:t>
            </w:r>
          </w:p>
        </w:tc>
        <w:tc>
          <w:tcPr>
            <w:tcW w:w="299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4C54CA7" w14:textId="77777777" w:rsidR="00510729" w:rsidRPr="00DF4CE5" w:rsidRDefault="00510729" w:rsidP="00510729">
            <w:pPr>
              <w:spacing w:after="0" w:line="240" w:lineRule="atLeast"/>
              <w:rPr>
                <w:rFonts w:ascii="Cambria" w:eastAsia="Times New Roman" w:hAnsi="Cambria" w:cs="Calibri"/>
                <w:lang w:val="hr-HR"/>
              </w:rPr>
            </w:pPr>
            <w:r w:rsidRPr="00DF4CE5">
              <w:rPr>
                <w:rFonts w:ascii="Cambria" w:eastAsia="Times New Roman" w:hAnsi="Cambria" w:cs="Calibri"/>
                <w:lang w:val="hr-HR"/>
              </w:rPr>
              <w:t>sportska dvorana Sveučilišta</w:t>
            </w:r>
          </w:p>
          <w:p w14:paraId="601A8366" w14:textId="77777777" w:rsidR="00510729" w:rsidRPr="00DF4CE5" w:rsidRDefault="00510729" w:rsidP="00510729">
            <w:pPr>
              <w:spacing w:after="0" w:line="240" w:lineRule="atLeast"/>
              <w:rPr>
                <w:rFonts w:ascii="Cambria" w:eastAsia="Times New Roman" w:hAnsi="Cambria" w:cs="Calibri"/>
                <w:lang w:val="hr-HR"/>
              </w:rPr>
            </w:pPr>
            <w:r w:rsidRPr="00DF4CE5">
              <w:rPr>
                <w:rFonts w:ascii="Cambria" w:eastAsia="Times New Roman" w:hAnsi="Cambria" w:cs="Calibri"/>
                <w:lang w:val="hr-HR"/>
              </w:rPr>
              <w:t xml:space="preserve">terenska nastava </w:t>
            </w:r>
          </w:p>
        </w:tc>
        <w:tc>
          <w:tcPr>
            <w:tcW w:w="1465"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742FCCFF" w14:textId="77777777" w:rsidR="00510729" w:rsidRPr="00DF4CE5" w:rsidRDefault="00510729" w:rsidP="00510729">
            <w:pPr>
              <w:spacing w:after="0" w:line="240" w:lineRule="atLeast"/>
              <w:rPr>
                <w:rFonts w:ascii="Cambria" w:eastAsia="Times New Roman" w:hAnsi="Cambria" w:cs="Calibri"/>
                <w:lang w:val="hr-HR"/>
              </w:rPr>
            </w:pPr>
            <w:r w:rsidRPr="00DF4CE5">
              <w:rPr>
                <w:rFonts w:ascii="Cambria" w:eastAsia="Times New Roman" w:hAnsi="Cambria" w:cs="Calibri"/>
                <w:lang w:val="hr-HR"/>
              </w:rPr>
              <w:t xml:space="preserve">Jezik izvođenja </w:t>
            </w:r>
          </w:p>
        </w:tc>
        <w:tc>
          <w:tcPr>
            <w:tcW w:w="2773"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8D856E2" w14:textId="7E079FCF" w:rsidR="00510729" w:rsidRPr="00DF4CE5" w:rsidRDefault="00CE1FD6" w:rsidP="00510729">
            <w:pPr>
              <w:spacing w:after="0" w:line="240" w:lineRule="atLeast"/>
              <w:rPr>
                <w:rFonts w:ascii="Cambria" w:eastAsia="Times New Roman" w:hAnsi="Cambria" w:cs="Calibri"/>
                <w:lang w:val="hr-HR"/>
              </w:rPr>
            </w:pPr>
            <w:r w:rsidRPr="00DF4CE5">
              <w:rPr>
                <w:rFonts w:ascii="Cambria" w:eastAsia="Times New Roman" w:hAnsi="Cambria" w:cs="Calibri"/>
                <w:lang w:val="hr-HR"/>
              </w:rPr>
              <w:t>H</w:t>
            </w:r>
            <w:r w:rsidR="00510729" w:rsidRPr="00DF4CE5">
              <w:rPr>
                <w:rFonts w:ascii="Cambria" w:eastAsia="Times New Roman" w:hAnsi="Cambria" w:cs="Calibri"/>
                <w:lang w:val="hr-HR"/>
              </w:rPr>
              <w:t>rvatski</w:t>
            </w:r>
          </w:p>
        </w:tc>
      </w:tr>
      <w:tr w:rsidR="00510729" w:rsidRPr="00DF4CE5" w14:paraId="48BB9A7D" w14:textId="77777777" w:rsidTr="00510729">
        <w:tc>
          <w:tcPr>
            <w:tcW w:w="21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11C88A7" w14:textId="77777777" w:rsidR="00510729" w:rsidRPr="00DF4CE5" w:rsidRDefault="00510729" w:rsidP="00510729">
            <w:pPr>
              <w:spacing w:after="0" w:line="240" w:lineRule="atLeast"/>
              <w:rPr>
                <w:rFonts w:ascii="Cambria" w:eastAsia="Times New Roman" w:hAnsi="Cambria" w:cs="Calibri"/>
                <w:lang w:val="hr-HR"/>
              </w:rPr>
            </w:pPr>
            <w:r w:rsidRPr="00DF4CE5">
              <w:rPr>
                <w:rFonts w:ascii="Cambria" w:eastAsia="Times New Roman" w:hAnsi="Cambria" w:cs="Calibri"/>
                <w:lang w:val="hr-HR"/>
              </w:rPr>
              <w:t>Broj ECTS bodova</w:t>
            </w:r>
          </w:p>
        </w:tc>
        <w:tc>
          <w:tcPr>
            <w:tcW w:w="299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EB326A3" w14:textId="77777777" w:rsidR="00510729" w:rsidRPr="00DF4CE5" w:rsidRDefault="00510729" w:rsidP="00510729">
            <w:pPr>
              <w:spacing w:after="0" w:line="240" w:lineRule="atLeast"/>
              <w:rPr>
                <w:rFonts w:ascii="Cambria" w:eastAsia="Times New Roman" w:hAnsi="Cambria" w:cs="Calibri"/>
                <w:lang w:val="hr-HR"/>
              </w:rPr>
            </w:pPr>
            <w:r w:rsidRPr="00DF4CE5">
              <w:rPr>
                <w:rFonts w:ascii="Cambria" w:eastAsia="Times New Roman" w:hAnsi="Cambria" w:cs="Calibri"/>
                <w:lang w:val="hr-HR"/>
              </w:rPr>
              <w:t>1</w:t>
            </w:r>
          </w:p>
        </w:tc>
        <w:tc>
          <w:tcPr>
            <w:tcW w:w="1465"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19DE2F5B" w14:textId="77777777" w:rsidR="00510729" w:rsidRPr="00DF4CE5" w:rsidRDefault="00510729" w:rsidP="00510729">
            <w:pPr>
              <w:spacing w:after="0" w:line="240" w:lineRule="atLeast"/>
              <w:rPr>
                <w:rFonts w:ascii="Cambria" w:eastAsia="Times New Roman" w:hAnsi="Cambria" w:cs="Calibri"/>
                <w:lang w:val="hr-HR"/>
              </w:rPr>
            </w:pPr>
            <w:r w:rsidRPr="00DF4CE5">
              <w:rPr>
                <w:rFonts w:ascii="Cambria" w:eastAsia="Times New Roman" w:hAnsi="Cambria" w:cs="Calibri"/>
                <w:lang w:val="hr-HR"/>
              </w:rPr>
              <w:t>Broj sati u semestru</w:t>
            </w:r>
          </w:p>
        </w:tc>
        <w:tc>
          <w:tcPr>
            <w:tcW w:w="2773"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BCB7E5C" w14:textId="320F7EA8" w:rsidR="00510729" w:rsidRPr="00DF4CE5" w:rsidRDefault="00510729" w:rsidP="00510729">
            <w:pPr>
              <w:spacing w:after="0" w:line="240" w:lineRule="atLeast"/>
              <w:rPr>
                <w:rFonts w:ascii="Cambria" w:eastAsia="Times New Roman" w:hAnsi="Cambria" w:cs="Calibri"/>
                <w:lang w:val="hr-HR"/>
              </w:rPr>
            </w:pPr>
            <w:r w:rsidRPr="00DF4CE5">
              <w:rPr>
                <w:rFonts w:ascii="Cambria" w:eastAsia="Times New Roman" w:hAnsi="Cambria" w:cs="Calibri"/>
                <w:lang w:val="hr-HR"/>
              </w:rPr>
              <w:t xml:space="preserve">0P – </w:t>
            </w:r>
            <w:r w:rsidR="00CE1FD6" w:rsidRPr="00DF4CE5">
              <w:rPr>
                <w:rFonts w:ascii="Cambria" w:eastAsia="Times New Roman" w:hAnsi="Cambria" w:cs="Calibri"/>
                <w:lang w:val="hr-HR"/>
              </w:rPr>
              <w:t>0S</w:t>
            </w:r>
            <w:r w:rsidR="003B7C0C">
              <w:rPr>
                <w:rFonts w:ascii="Cambria" w:eastAsia="Times New Roman" w:hAnsi="Cambria" w:cs="Calibri"/>
                <w:lang w:val="hr-HR"/>
              </w:rPr>
              <w:t xml:space="preserve"> </w:t>
            </w:r>
            <w:r w:rsidRPr="00DF4CE5">
              <w:rPr>
                <w:rFonts w:ascii="Cambria" w:eastAsia="Times New Roman" w:hAnsi="Cambria" w:cs="Calibri"/>
                <w:lang w:val="hr-HR"/>
              </w:rPr>
              <w:t xml:space="preserve">– </w:t>
            </w:r>
            <w:r w:rsidR="00CE1FD6" w:rsidRPr="00DF4CE5">
              <w:rPr>
                <w:rFonts w:ascii="Cambria" w:eastAsia="Times New Roman" w:hAnsi="Cambria" w:cs="Calibri"/>
                <w:lang w:val="hr-HR"/>
              </w:rPr>
              <w:t>30V</w:t>
            </w:r>
          </w:p>
        </w:tc>
      </w:tr>
      <w:tr w:rsidR="00510729" w:rsidRPr="00D0399C" w14:paraId="09257721" w14:textId="77777777" w:rsidTr="00510729">
        <w:tc>
          <w:tcPr>
            <w:tcW w:w="21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0228C0B" w14:textId="77777777" w:rsidR="00510729" w:rsidRPr="00DF4CE5" w:rsidRDefault="00510729" w:rsidP="00510729">
            <w:pPr>
              <w:spacing w:after="0" w:line="240" w:lineRule="atLeast"/>
              <w:rPr>
                <w:rFonts w:ascii="Cambria" w:eastAsia="Times New Roman" w:hAnsi="Cambria" w:cs="Calibri"/>
                <w:lang w:val="hr-HR"/>
              </w:rPr>
            </w:pPr>
            <w:r w:rsidRPr="00DF4CE5">
              <w:rPr>
                <w:rFonts w:ascii="Cambria" w:eastAsia="Times New Roman" w:hAnsi="Cambria" w:cs="Calibri"/>
                <w:lang w:val="hr-HR"/>
              </w:rPr>
              <w:t>Preduvjeti za upis i za svladavanje</w:t>
            </w:r>
          </w:p>
        </w:tc>
        <w:tc>
          <w:tcPr>
            <w:tcW w:w="7231"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8636BA6" w14:textId="77777777" w:rsidR="00510729" w:rsidRPr="00DF4CE5" w:rsidRDefault="00510729" w:rsidP="00510729">
            <w:pPr>
              <w:spacing w:after="0" w:line="240" w:lineRule="atLeast"/>
              <w:jc w:val="both"/>
              <w:rPr>
                <w:rFonts w:ascii="Cambria" w:eastAsia="Times New Roman" w:hAnsi="Cambria" w:cs="Calibri"/>
                <w:lang w:val="hr-HR"/>
              </w:rPr>
            </w:pPr>
            <w:r w:rsidRPr="00DF4CE5">
              <w:rPr>
                <w:rFonts w:ascii="Cambria" w:eastAsia="Times New Roman" w:hAnsi="Cambria" w:cs="Calibri"/>
                <w:lang w:val="hr-HR"/>
              </w:rPr>
              <w:t>Usvojena temeljna motorička znanja tijekom dosadašnjeg školovanja i razina motoričkih i funkcionalnih sposobnosti primjerena dobi.</w:t>
            </w:r>
          </w:p>
        </w:tc>
      </w:tr>
      <w:tr w:rsidR="00510729" w:rsidRPr="00D0399C" w14:paraId="7FB6E557" w14:textId="77777777" w:rsidTr="00510729">
        <w:tc>
          <w:tcPr>
            <w:tcW w:w="21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D57ECD3" w14:textId="77777777" w:rsidR="00510729" w:rsidRPr="00DF4CE5" w:rsidRDefault="00510729" w:rsidP="00510729">
            <w:pPr>
              <w:spacing w:after="0" w:line="240" w:lineRule="atLeast"/>
              <w:rPr>
                <w:rFonts w:ascii="Cambria" w:eastAsia="Times New Roman" w:hAnsi="Cambria" w:cs="Calibri"/>
                <w:lang w:val="hr-HR"/>
              </w:rPr>
            </w:pPr>
            <w:proofErr w:type="spellStart"/>
            <w:r w:rsidRPr="00DF4CE5">
              <w:rPr>
                <w:rFonts w:ascii="Cambria" w:eastAsia="Times New Roman" w:hAnsi="Cambria" w:cs="Calibri"/>
                <w:lang w:val="hr-HR"/>
              </w:rPr>
              <w:t>Korelativnost</w:t>
            </w:r>
            <w:proofErr w:type="spellEnd"/>
          </w:p>
        </w:tc>
        <w:tc>
          <w:tcPr>
            <w:tcW w:w="7231"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1255191" w14:textId="77777777" w:rsidR="00510729" w:rsidRPr="00DF4CE5" w:rsidRDefault="00510729" w:rsidP="00510729">
            <w:pPr>
              <w:spacing w:after="0" w:line="240" w:lineRule="atLeast"/>
              <w:jc w:val="both"/>
              <w:rPr>
                <w:rFonts w:ascii="Cambria" w:eastAsia="Times New Roman" w:hAnsi="Cambria" w:cs="Calibri"/>
                <w:lang w:val="hr-HR"/>
              </w:rPr>
            </w:pPr>
            <w:r w:rsidRPr="00DF4CE5">
              <w:rPr>
                <w:rFonts w:ascii="Cambria" w:eastAsia="Times New Roman" w:hAnsi="Cambria" w:cs="Calibri"/>
                <w:lang w:val="hr-HR"/>
              </w:rPr>
              <w:t>Kineziologija, Kineziološka metodika, Glazbena kultura, Prirodoslovlje, Geografija, Povijest</w:t>
            </w:r>
          </w:p>
        </w:tc>
      </w:tr>
      <w:tr w:rsidR="00510729" w:rsidRPr="00D0399C" w14:paraId="65AB56AD" w14:textId="77777777" w:rsidTr="00510729">
        <w:tc>
          <w:tcPr>
            <w:tcW w:w="21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6892741" w14:textId="77777777" w:rsidR="00510729" w:rsidRPr="00DF4CE5" w:rsidRDefault="00510729" w:rsidP="00510729">
            <w:pPr>
              <w:spacing w:after="0" w:line="240" w:lineRule="atLeast"/>
              <w:rPr>
                <w:rFonts w:ascii="Cambria" w:eastAsia="Times New Roman" w:hAnsi="Cambria" w:cs="Calibri"/>
                <w:lang w:val="hr-HR"/>
              </w:rPr>
            </w:pPr>
            <w:r w:rsidRPr="00DF4CE5">
              <w:rPr>
                <w:rFonts w:ascii="Cambria" w:eastAsia="Times New Roman" w:hAnsi="Cambria" w:cs="Calibri"/>
                <w:lang w:val="hr-HR"/>
              </w:rPr>
              <w:t xml:space="preserve">Cilj kolegija </w:t>
            </w:r>
          </w:p>
        </w:tc>
        <w:tc>
          <w:tcPr>
            <w:tcW w:w="7231"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6B3AAC6" w14:textId="77777777" w:rsidR="00510729" w:rsidRPr="00DF4CE5" w:rsidRDefault="00510729" w:rsidP="00510729">
            <w:pPr>
              <w:spacing w:after="0" w:line="240" w:lineRule="atLeast"/>
              <w:jc w:val="both"/>
              <w:rPr>
                <w:rFonts w:ascii="Cambria" w:eastAsia="Times New Roman" w:hAnsi="Cambria" w:cs="Calibri"/>
                <w:lang w:val="hr-HR"/>
              </w:rPr>
            </w:pPr>
            <w:r w:rsidRPr="00DF4CE5">
              <w:rPr>
                <w:rFonts w:ascii="Cambria" w:eastAsia="Times New Roman" w:hAnsi="Cambria" w:cs="Calibri"/>
                <w:lang w:val="hr-HR"/>
              </w:rPr>
              <w:t>Utjecati na razvoj antropoloških obilježja s ciljem očuvanja i unapređenja zdravlja i kvalitete života.</w:t>
            </w:r>
          </w:p>
        </w:tc>
      </w:tr>
      <w:tr w:rsidR="00510729" w:rsidRPr="00D0399C" w14:paraId="4DC25F2E" w14:textId="77777777" w:rsidTr="00510729">
        <w:tc>
          <w:tcPr>
            <w:tcW w:w="21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92928A6" w14:textId="77777777" w:rsidR="00510729" w:rsidRPr="00DF4CE5" w:rsidRDefault="00510729" w:rsidP="00510729">
            <w:pPr>
              <w:spacing w:after="0" w:line="240" w:lineRule="atLeast"/>
              <w:rPr>
                <w:rFonts w:ascii="Cambria" w:eastAsia="Times New Roman" w:hAnsi="Cambria" w:cs="Calibri"/>
                <w:lang w:val="hr-HR"/>
              </w:rPr>
            </w:pPr>
            <w:r w:rsidRPr="00DF4CE5">
              <w:rPr>
                <w:rFonts w:ascii="Cambria" w:eastAsia="Times New Roman" w:hAnsi="Cambria" w:cs="Calibri"/>
                <w:lang w:val="hr-HR"/>
              </w:rPr>
              <w:t>Ishodi učenja</w:t>
            </w:r>
          </w:p>
        </w:tc>
        <w:tc>
          <w:tcPr>
            <w:tcW w:w="7231"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B096789" w14:textId="77777777" w:rsidR="00510729" w:rsidRPr="00DF4CE5" w:rsidRDefault="00510729" w:rsidP="00510729">
            <w:pPr>
              <w:spacing w:after="0" w:line="240" w:lineRule="atLeast"/>
              <w:jc w:val="both"/>
              <w:rPr>
                <w:rFonts w:ascii="Cambria" w:eastAsia="Times New Roman" w:hAnsi="Cambria" w:cs="Calibri"/>
                <w:lang w:val="hr-HR"/>
              </w:rPr>
            </w:pPr>
            <w:r w:rsidRPr="00DF4CE5">
              <w:rPr>
                <w:rFonts w:ascii="Cambria" w:eastAsia="Times New Roman" w:hAnsi="Cambria" w:cs="Calibri"/>
                <w:lang w:val="hr-HR"/>
              </w:rPr>
              <w:t>1. primijeniti usvojena teorijska znanja pojedinih kinezioloških aktivnosti i temeljna metodička načela</w:t>
            </w:r>
          </w:p>
          <w:p w14:paraId="72D5B6BA" w14:textId="77777777" w:rsidR="00510729" w:rsidRPr="00DF4CE5" w:rsidRDefault="00510729" w:rsidP="00510729">
            <w:pPr>
              <w:spacing w:after="0" w:line="240" w:lineRule="atLeast"/>
              <w:jc w:val="both"/>
              <w:rPr>
                <w:rFonts w:ascii="Cambria" w:eastAsia="Times New Roman" w:hAnsi="Cambria" w:cs="Calibri"/>
                <w:lang w:val="hr-HR"/>
              </w:rPr>
            </w:pPr>
            <w:r w:rsidRPr="00DF4CE5">
              <w:rPr>
                <w:rFonts w:ascii="Cambria" w:eastAsia="Times New Roman" w:hAnsi="Cambria" w:cs="Calibri"/>
                <w:lang w:val="hr-HR"/>
              </w:rPr>
              <w:t>2. demonstrirati sve prirodne oblike kretanja i bazične strukture sve četiri skupine biotičkih motoričkih znanja (za savladavanje prostora, prepreka, otpora i manipulaciju predmetima); bazične strukture iz područja atletike, gimnastike, košarke i plivanja</w:t>
            </w:r>
          </w:p>
          <w:p w14:paraId="0BCFF41C" w14:textId="77777777" w:rsidR="00510729" w:rsidRPr="00DF4CE5" w:rsidRDefault="00510729" w:rsidP="00510729">
            <w:pPr>
              <w:spacing w:after="0" w:line="240" w:lineRule="atLeast"/>
              <w:jc w:val="both"/>
              <w:rPr>
                <w:rFonts w:ascii="Cambria" w:eastAsia="Times New Roman" w:hAnsi="Cambria" w:cs="Calibri"/>
                <w:lang w:val="hr-HR"/>
              </w:rPr>
            </w:pPr>
            <w:r w:rsidRPr="00DF4CE5">
              <w:rPr>
                <w:rFonts w:ascii="Cambria" w:eastAsia="Times New Roman" w:hAnsi="Cambria" w:cs="Calibri"/>
                <w:lang w:val="hr-HR"/>
              </w:rPr>
              <w:t>3. primijeniti osnove procjene i vrednovanja rezultata rada u nastavi Kineziološke kulture (Tjelesne i zdravstvene kulture)</w:t>
            </w:r>
          </w:p>
          <w:p w14:paraId="43D4976F" w14:textId="77777777" w:rsidR="00510729" w:rsidRPr="00DF4CE5" w:rsidRDefault="00510729" w:rsidP="00510729">
            <w:pPr>
              <w:spacing w:after="0" w:line="240" w:lineRule="atLeast"/>
              <w:jc w:val="both"/>
              <w:rPr>
                <w:rFonts w:ascii="Cambria" w:eastAsia="Times New Roman" w:hAnsi="Cambria" w:cs="Calibri"/>
                <w:vertAlign w:val="subscript"/>
                <w:lang w:val="hr-HR"/>
              </w:rPr>
            </w:pPr>
            <w:r w:rsidRPr="00DF4CE5">
              <w:rPr>
                <w:rFonts w:ascii="Cambria" w:eastAsia="Times New Roman" w:hAnsi="Cambria" w:cs="Calibri"/>
                <w:lang w:val="hr-HR"/>
              </w:rPr>
              <w:t>4. interpretirati spoznaju o koristi redovitog, cjeloživotnog tjelesnog vježbanja u cilju unapređenja zdravlja, unaprjeđenjem i održavanjem osobnih motoričkih i funkcionalnih sposobnosti u svakodnevnom životu i radu</w:t>
            </w:r>
          </w:p>
        </w:tc>
      </w:tr>
      <w:tr w:rsidR="00510729" w:rsidRPr="00D0399C" w14:paraId="4F837C19" w14:textId="77777777" w:rsidTr="00510729">
        <w:tc>
          <w:tcPr>
            <w:tcW w:w="2129"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34CA4A18" w14:textId="77777777" w:rsidR="00510729" w:rsidRPr="00DF4CE5" w:rsidRDefault="00510729" w:rsidP="00510729">
            <w:pPr>
              <w:spacing w:after="0" w:line="240" w:lineRule="atLeast"/>
              <w:rPr>
                <w:rFonts w:ascii="Cambria" w:eastAsia="Times New Roman" w:hAnsi="Cambria" w:cs="Calibri"/>
                <w:lang w:val="hr-HR"/>
              </w:rPr>
            </w:pPr>
            <w:r w:rsidRPr="00DF4CE5">
              <w:rPr>
                <w:rFonts w:ascii="Cambria" w:eastAsia="Times New Roman" w:hAnsi="Cambria" w:cs="Calibri"/>
                <w:lang w:val="hr-HR"/>
              </w:rPr>
              <w:t>Sadržaj kolegija</w:t>
            </w:r>
          </w:p>
        </w:tc>
        <w:tc>
          <w:tcPr>
            <w:tcW w:w="7231"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F894127" w14:textId="77777777" w:rsidR="00510729" w:rsidRPr="00DF4CE5" w:rsidRDefault="00510729" w:rsidP="00510729">
            <w:pPr>
              <w:spacing w:after="0" w:line="240" w:lineRule="atLeast"/>
              <w:jc w:val="both"/>
              <w:rPr>
                <w:rFonts w:ascii="Cambria" w:eastAsia="Times New Roman" w:hAnsi="Cambria" w:cs="Calibri"/>
                <w:lang w:val="hr-HR"/>
              </w:rPr>
            </w:pPr>
            <w:r w:rsidRPr="00DF4CE5">
              <w:rPr>
                <w:rFonts w:ascii="Cambria" w:eastAsia="Times New Roman" w:hAnsi="Cambria" w:cs="Calibri"/>
                <w:lang w:val="hr-HR"/>
              </w:rPr>
              <w:t>1. Opće pripremne vježbe (dinamičke vježbe istezanja, vježbe snage, statičke vježbe istezanja), kroz različite organizacijske oblike rada (sa i bez rekvizita, sa i na spravama, sa i bez glazbe, samostalno i u paru).</w:t>
            </w:r>
          </w:p>
          <w:p w14:paraId="5F95451D" w14:textId="77777777" w:rsidR="00510729" w:rsidRPr="00DF4CE5" w:rsidRDefault="00510729" w:rsidP="00510729">
            <w:pPr>
              <w:spacing w:after="0" w:line="240" w:lineRule="atLeast"/>
              <w:jc w:val="both"/>
              <w:rPr>
                <w:rFonts w:ascii="Cambria" w:eastAsia="Times New Roman" w:hAnsi="Cambria" w:cs="Calibri"/>
                <w:lang w:val="hr-HR"/>
              </w:rPr>
            </w:pPr>
            <w:r w:rsidRPr="00DF4CE5">
              <w:rPr>
                <w:rFonts w:ascii="Cambria" w:eastAsia="Times New Roman" w:hAnsi="Cambria" w:cs="Calibri"/>
                <w:lang w:val="hr-HR"/>
              </w:rPr>
              <w:t xml:space="preserve">2. Sadržaji sportske gimnastike: parter (kolut natrag, stav o lopaticama, premet strance), greda-vježba (hodanje zamahom pruženim nogama, „vaga“ s </w:t>
            </w:r>
            <w:proofErr w:type="spellStart"/>
            <w:r w:rsidRPr="00DF4CE5">
              <w:rPr>
                <w:rFonts w:ascii="Cambria" w:eastAsia="Times New Roman" w:hAnsi="Cambria" w:cs="Calibri"/>
                <w:lang w:val="hr-HR"/>
              </w:rPr>
              <w:t>zanoženjem</w:t>
            </w:r>
            <w:proofErr w:type="spellEnd"/>
            <w:r w:rsidRPr="00DF4CE5">
              <w:rPr>
                <w:rFonts w:ascii="Cambria" w:eastAsia="Times New Roman" w:hAnsi="Cambria" w:cs="Calibri"/>
                <w:lang w:val="hr-HR"/>
              </w:rPr>
              <w:t xml:space="preserve">, hodanje s </w:t>
            </w:r>
            <w:proofErr w:type="spellStart"/>
            <w:r w:rsidRPr="00DF4CE5">
              <w:rPr>
                <w:rFonts w:ascii="Cambria" w:eastAsia="Times New Roman" w:hAnsi="Cambria" w:cs="Calibri"/>
                <w:lang w:val="hr-HR"/>
              </w:rPr>
              <w:t>počučnjem</w:t>
            </w:r>
            <w:proofErr w:type="spellEnd"/>
            <w:r w:rsidRPr="00DF4CE5">
              <w:rPr>
                <w:rFonts w:ascii="Cambria" w:eastAsia="Times New Roman" w:hAnsi="Cambria" w:cs="Calibri"/>
                <w:lang w:val="hr-HR"/>
              </w:rPr>
              <w:t xml:space="preserve">, okret u usponu za 180°, poskoci, </w:t>
            </w:r>
            <w:proofErr w:type="spellStart"/>
            <w:r w:rsidRPr="00DF4CE5">
              <w:rPr>
                <w:rFonts w:ascii="Cambria" w:eastAsia="Times New Roman" w:hAnsi="Cambria" w:cs="Calibri"/>
                <w:lang w:val="hr-HR"/>
              </w:rPr>
              <w:t>saskok</w:t>
            </w:r>
            <w:proofErr w:type="spellEnd"/>
            <w:r w:rsidRPr="00DF4CE5">
              <w:rPr>
                <w:rFonts w:ascii="Cambria" w:eastAsia="Times New Roman" w:hAnsi="Cambria" w:cs="Calibri"/>
                <w:lang w:val="hr-HR"/>
              </w:rPr>
              <w:t xml:space="preserve"> s </w:t>
            </w:r>
            <w:proofErr w:type="spellStart"/>
            <w:r w:rsidRPr="00DF4CE5">
              <w:rPr>
                <w:rFonts w:ascii="Cambria" w:eastAsia="Times New Roman" w:hAnsi="Cambria" w:cs="Calibri"/>
                <w:lang w:val="hr-HR"/>
              </w:rPr>
              <w:t>uvinućem</w:t>
            </w:r>
            <w:proofErr w:type="spellEnd"/>
            <w:r w:rsidRPr="00DF4CE5">
              <w:rPr>
                <w:rFonts w:ascii="Cambria" w:eastAsia="Times New Roman" w:hAnsi="Cambria" w:cs="Calibri"/>
                <w:lang w:val="hr-HR"/>
              </w:rPr>
              <w:t xml:space="preserve">), karike (vis </w:t>
            </w:r>
            <w:proofErr w:type="spellStart"/>
            <w:r w:rsidRPr="00DF4CE5">
              <w:rPr>
                <w:rFonts w:ascii="Cambria" w:eastAsia="Times New Roman" w:hAnsi="Cambria" w:cs="Calibri"/>
                <w:lang w:val="hr-HR"/>
              </w:rPr>
              <w:t>uznjeto</w:t>
            </w:r>
            <w:proofErr w:type="spellEnd"/>
            <w:r w:rsidRPr="00DF4CE5">
              <w:rPr>
                <w:rFonts w:ascii="Cambria" w:eastAsia="Times New Roman" w:hAnsi="Cambria" w:cs="Calibri"/>
                <w:lang w:val="hr-HR"/>
              </w:rPr>
              <w:t xml:space="preserve"> i strmoglavo, ljuljanje u visu prednjem dodirom tla </w:t>
            </w:r>
            <w:proofErr w:type="spellStart"/>
            <w:r w:rsidRPr="00DF4CE5">
              <w:rPr>
                <w:rFonts w:ascii="Cambria" w:eastAsia="Times New Roman" w:hAnsi="Cambria" w:cs="Calibri"/>
                <w:lang w:val="hr-HR"/>
              </w:rPr>
              <w:t>koračno</w:t>
            </w:r>
            <w:proofErr w:type="spellEnd"/>
            <w:r w:rsidRPr="00DF4CE5">
              <w:rPr>
                <w:rFonts w:ascii="Cambria" w:eastAsia="Times New Roman" w:hAnsi="Cambria" w:cs="Calibri"/>
                <w:lang w:val="hr-HR"/>
              </w:rPr>
              <w:t>), penjanje (konopac i motka), preskoci (zgrčka).</w:t>
            </w:r>
          </w:p>
          <w:p w14:paraId="7C896277" w14:textId="77777777" w:rsidR="00510729" w:rsidRPr="00DF4CE5" w:rsidRDefault="00510729" w:rsidP="00510729">
            <w:pPr>
              <w:spacing w:after="0" w:line="240" w:lineRule="atLeast"/>
              <w:jc w:val="both"/>
              <w:rPr>
                <w:rFonts w:ascii="Cambria" w:eastAsia="Times New Roman" w:hAnsi="Cambria" w:cs="Calibri"/>
                <w:lang w:val="hr-HR"/>
              </w:rPr>
            </w:pPr>
            <w:r w:rsidRPr="00DF4CE5">
              <w:rPr>
                <w:rFonts w:ascii="Cambria" w:eastAsia="Times New Roman" w:hAnsi="Cambria" w:cs="Calibri"/>
                <w:lang w:val="hr-HR"/>
              </w:rPr>
              <w:t xml:space="preserve">3. Sportske igre: Košarka - košarkaški </w:t>
            </w:r>
            <w:proofErr w:type="spellStart"/>
            <w:r w:rsidRPr="00DF4CE5">
              <w:rPr>
                <w:rFonts w:ascii="Cambria" w:eastAsia="Times New Roman" w:hAnsi="Cambria" w:cs="Calibri"/>
                <w:lang w:val="hr-HR"/>
              </w:rPr>
              <w:t>dvokorak</w:t>
            </w:r>
            <w:proofErr w:type="spellEnd"/>
            <w:r w:rsidRPr="00DF4CE5">
              <w:rPr>
                <w:rFonts w:ascii="Cambria" w:eastAsia="Times New Roman" w:hAnsi="Cambria" w:cs="Calibri"/>
                <w:lang w:val="hr-HR"/>
              </w:rPr>
              <w:t>, skok šut, pravila igre, igra na jedan i na dva koša.</w:t>
            </w:r>
          </w:p>
          <w:p w14:paraId="3D9375E1" w14:textId="77777777" w:rsidR="00510729" w:rsidRPr="00DF4CE5" w:rsidRDefault="00510729" w:rsidP="00510729">
            <w:pPr>
              <w:spacing w:after="0" w:line="240" w:lineRule="atLeast"/>
              <w:jc w:val="both"/>
              <w:rPr>
                <w:rFonts w:ascii="Cambria" w:eastAsia="Times New Roman" w:hAnsi="Cambria" w:cs="Calibri"/>
                <w:lang w:val="hr-HR"/>
              </w:rPr>
            </w:pPr>
            <w:r w:rsidRPr="00DF4CE5">
              <w:rPr>
                <w:rFonts w:ascii="Cambria" w:eastAsia="Times New Roman" w:hAnsi="Cambria" w:cs="Calibri"/>
                <w:lang w:val="hr-HR"/>
              </w:rPr>
              <w:t>4. Sadržaji atletike: trčanje na kratkim i srednjim dionicama, trčanje i vježbanje na trim stazi.</w:t>
            </w:r>
          </w:p>
          <w:p w14:paraId="5D1DFBF3" w14:textId="77777777" w:rsidR="00510729" w:rsidRPr="00DF4CE5" w:rsidRDefault="00510729" w:rsidP="00510729">
            <w:pPr>
              <w:spacing w:after="0" w:line="240" w:lineRule="atLeast"/>
              <w:jc w:val="both"/>
              <w:rPr>
                <w:rFonts w:ascii="Cambria" w:eastAsia="Times New Roman" w:hAnsi="Cambria" w:cs="Calibri"/>
                <w:lang w:val="hr-HR"/>
              </w:rPr>
            </w:pPr>
            <w:r w:rsidRPr="00DF4CE5">
              <w:rPr>
                <w:rFonts w:ascii="Cambria" w:eastAsia="Times New Roman" w:hAnsi="Cambria" w:cs="Calibri"/>
                <w:lang w:val="hr-HR"/>
              </w:rPr>
              <w:t>5. Pješačenje u prirodi i planinarenje.</w:t>
            </w:r>
          </w:p>
          <w:p w14:paraId="6257707E" w14:textId="77777777" w:rsidR="00510729" w:rsidRPr="00DF4CE5" w:rsidRDefault="00510729" w:rsidP="00510729">
            <w:pPr>
              <w:spacing w:after="0" w:line="240" w:lineRule="atLeast"/>
              <w:jc w:val="both"/>
              <w:rPr>
                <w:rFonts w:ascii="Cambria" w:eastAsia="Times New Roman" w:hAnsi="Cambria" w:cs="Calibri"/>
                <w:lang w:val="hr-HR"/>
              </w:rPr>
            </w:pPr>
            <w:r w:rsidRPr="00DF4CE5">
              <w:rPr>
                <w:rFonts w:ascii="Cambria" w:eastAsia="Times New Roman" w:hAnsi="Cambria" w:cs="Calibri"/>
                <w:lang w:val="hr-HR"/>
              </w:rPr>
              <w:lastRenderedPageBreak/>
              <w:t>6. Sadržaji plivanja: plivanje prsno, kraul, leđni kraul, spašavanje utopljenika, prva pomoć i reanimacija.</w:t>
            </w:r>
          </w:p>
        </w:tc>
      </w:tr>
      <w:tr w:rsidR="00510729" w:rsidRPr="00DF4CE5" w14:paraId="3144F98B" w14:textId="77777777" w:rsidTr="00510729">
        <w:tc>
          <w:tcPr>
            <w:tcW w:w="2129"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023C9B42" w14:textId="77777777" w:rsidR="00510729" w:rsidRPr="00DF4CE5" w:rsidRDefault="00510729" w:rsidP="00510729">
            <w:pPr>
              <w:spacing w:after="0" w:line="240" w:lineRule="atLeast"/>
              <w:rPr>
                <w:rFonts w:ascii="Cambria" w:eastAsia="Times New Roman" w:hAnsi="Cambria" w:cs="Calibri"/>
                <w:lang w:val="hr-HR"/>
              </w:rPr>
            </w:pPr>
            <w:r w:rsidRPr="00DF4CE5">
              <w:rPr>
                <w:rFonts w:ascii="Cambria" w:eastAsia="Times New Roman" w:hAnsi="Cambria" w:cs="Calibri"/>
                <w:lang w:val="hr-HR"/>
              </w:rPr>
              <w:lastRenderedPageBreak/>
              <w:t>Planirane aktivnosti,</w:t>
            </w:r>
          </w:p>
          <w:p w14:paraId="6A1CF416" w14:textId="77777777" w:rsidR="00510729" w:rsidRPr="00DF4CE5" w:rsidRDefault="00510729" w:rsidP="00510729">
            <w:pPr>
              <w:spacing w:after="0" w:line="240" w:lineRule="atLeast"/>
              <w:rPr>
                <w:rFonts w:ascii="Cambria" w:eastAsia="Times New Roman" w:hAnsi="Cambria" w:cs="Calibri"/>
                <w:lang w:val="hr-HR"/>
              </w:rPr>
            </w:pPr>
            <w:r w:rsidRPr="00DF4CE5">
              <w:rPr>
                <w:rFonts w:ascii="Cambria" w:eastAsia="Times New Roman" w:hAnsi="Cambria" w:cs="Calibri"/>
                <w:lang w:val="hr-HR"/>
              </w:rPr>
              <w:t>metode učenja i poučavanja i načini vrednovanja</w:t>
            </w:r>
          </w:p>
          <w:p w14:paraId="73CCEA46" w14:textId="77777777" w:rsidR="00510729" w:rsidRPr="00DF4CE5" w:rsidRDefault="00510729" w:rsidP="00510729">
            <w:pPr>
              <w:spacing w:after="0" w:line="240" w:lineRule="atLeast"/>
              <w:rPr>
                <w:rFonts w:ascii="Cambria" w:eastAsia="Times New Roman" w:hAnsi="Cambria" w:cs="Calibri"/>
                <w:lang w:val="hr-HR"/>
              </w:rPr>
            </w:pPr>
          </w:p>
        </w:tc>
        <w:tc>
          <w:tcPr>
            <w:tcW w:w="309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744810F" w14:textId="77777777" w:rsidR="00510729" w:rsidRPr="00DF4CE5" w:rsidRDefault="00510729" w:rsidP="00510729">
            <w:pPr>
              <w:spacing w:after="0" w:line="240" w:lineRule="atLeast"/>
              <w:jc w:val="center"/>
              <w:rPr>
                <w:rFonts w:ascii="Cambria" w:eastAsia="Times New Roman" w:hAnsi="Cambria" w:cs="Calibri"/>
                <w:lang w:val="hr-HR"/>
              </w:rPr>
            </w:pPr>
            <w:r w:rsidRPr="00DF4CE5">
              <w:rPr>
                <w:rFonts w:ascii="Cambria" w:eastAsia="Times New Roman" w:hAnsi="Cambria" w:cs="Calibri"/>
                <w:bCs/>
                <w:lang w:val="hr-HR"/>
              </w:rPr>
              <w:t>Obveze</w:t>
            </w:r>
          </w:p>
        </w:tc>
        <w:tc>
          <w:tcPr>
            <w:tcW w:w="109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A17D937" w14:textId="77777777" w:rsidR="00510729" w:rsidRPr="00DF4CE5" w:rsidRDefault="00510729" w:rsidP="00510729">
            <w:pPr>
              <w:spacing w:after="0" w:line="240" w:lineRule="atLeast"/>
              <w:jc w:val="center"/>
              <w:rPr>
                <w:rFonts w:ascii="Cambria" w:eastAsia="Times New Roman" w:hAnsi="Cambria" w:cs="Calibri"/>
                <w:bCs/>
                <w:lang w:val="hr-HR"/>
              </w:rPr>
            </w:pPr>
          </w:p>
          <w:p w14:paraId="3FF4F8BC" w14:textId="77777777" w:rsidR="00510729" w:rsidRPr="00DF4CE5" w:rsidRDefault="00510729" w:rsidP="00510729">
            <w:pPr>
              <w:spacing w:after="0" w:line="240" w:lineRule="atLeast"/>
              <w:jc w:val="center"/>
              <w:rPr>
                <w:rFonts w:ascii="Cambria" w:eastAsia="Times New Roman" w:hAnsi="Cambria" w:cs="Calibri"/>
                <w:lang w:val="hr-HR"/>
              </w:rPr>
            </w:pPr>
            <w:r w:rsidRPr="00DF4CE5">
              <w:rPr>
                <w:rFonts w:ascii="Cambria" w:eastAsia="Times New Roman" w:hAnsi="Cambria" w:cs="Calibri"/>
                <w:bCs/>
                <w:lang w:val="hr-HR"/>
              </w:rPr>
              <w:t>Ishodi</w:t>
            </w:r>
          </w:p>
          <w:p w14:paraId="33F71166" w14:textId="77777777" w:rsidR="00510729" w:rsidRPr="00DF4CE5" w:rsidRDefault="00510729" w:rsidP="00510729">
            <w:pPr>
              <w:spacing w:after="0" w:line="240" w:lineRule="atLeast"/>
              <w:jc w:val="center"/>
              <w:rPr>
                <w:rFonts w:ascii="Cambria" w:eastAsia="Times New Roman" w:hAnsi="Cambria" w:cs="Calibri"/>
                <w:lang w:val="hr-HR"/>
              </w:rPr>
            </w:pPr>
          </w:p>
        </w:tc>
        <w:tc>
          <w:tcPr>
            <w:tcW w:w="71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8634C60" w14:textId="77777777" w:rsidR="00510729" w:rsidRPr="00DF4CE5" w:rsidRDefault="00510729" w:rsidP="00510729">
            <w:pPr>
              <w:spacing w:after="0" w:line="240" w:lineRule="atLeast"/>
              <w:jc w:val="center"/>
              <w:rPr>
                <w:rFonts w:ascii="Cambria" w:eastAsia="Times New Roman" w:hAnsi="Cambria" w:cs="Calibri"/>
                <w:vertAlign w:val="superscript"/>
                <w:lang w:val="hr-HR"/>
              </w:rPr>
            </w:pPr>
            <w:r w:rsidRPr="00DF4CE5">
              <w:rPr>
                <w:rFonts w:ascii="Cambria" w:eastAsia="Times New Roman" w:hAnsi="Cambria" w:cs="Calibri"/>
                <w:bCs/>
                <w:lang w:val="hr-HR"/>
              </w:rPr>
              <w:t>Sati</w:t>
            </w:r>
          </w:p>
        </w:tc>
        <w:tc>
          <w:tcPr>
            <w:tcW w:w="101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475BBF2" w14:textId="77777777" w:rsidR="00510729" w:rsidRPr="00DF4CE5" w:rsidRDefault="00510729" w:rsidP="00510729">
            <w:pPr>
              <w:spacing w:after="0" w:line="240" w:lineRule="atLeast"/>
              <w:jc w:val="center"/>
              <w:rPr>
                <w:rFonts w:ascii="Cambria" w:eastAsia="Times New Roman" w:hAnsi="Cambria" w:cs="Calibri"/>
                <w:lang w:val="hr-HR"/>
              </w:rPr>
            </w:pPr>
            <w:r w:rsidRPr="00DF4CE5">
              <w:rPr>
                <w:rFonts w:ascii="Cambria" w:eastAsia="Times New Roman" w:hAnsi="Cambria" w:cs="Calibri"/>
                <w:bCs/>
                <w:lang w:val="hr-HR"/>
              </w:rPr>
              <w:t>ECTS</w:t>
            </w:r>
          </w:p>
        </w:tc>
        <w:tc>
          <w:tcPr>
            <w:tcW w:w="132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3B7E7D1" w14:textId="77777777" w:rsidR="00510729" w:rsidRPr="00DF4CE5" w:rsidRDefault="00510729" w:rsidP="00510729">
            <w:pPr>
              <w:spacing w:after="0" w:line="240" w:lineRule="atLeast"/>
              <w:jc w:val="center"/>
              <w:rPr>
                <w:rFonts w:ascii="Cambria" w:eastAsia="Times New Roman" w:hAnsi="Cambria" w:cs="Calibri"/>
                <w:lang w:val="hr-HR"/>
              </w:rPr>
            </w:pPr>
            <w:r w:rsidRPr="00DF4CE5">
              <w:rPr>
                <w:rFonts w:ascii="Cambria" w:eastAsia="Times New Roman" w:hAnsi="Cambria" w:cs="Calibri"/>
                <w:bCs/>
                <w:lang w:val="hr-HR"/>
              </w:rPr>
              <w:t>Maksimalni udio u ocjeni (%)</w:t>
            </w:r>
          </w:p>
        </w:tc>
      </w:tr>
      <w:tr w:rsidR="00510729" w:rsidRPr="00DF4CE5" w14:paraId="22C0177A" w14:textId="77777777" w:rsidTr="00510729">
        <w:tc>
          <w:tcPr>
            <w:tcW w:w="2129" w:type="dxa"/>
            <w:vMerge/>
            <w:tcBorders>
              <w:left w:val="single" w:sz="8" w:space="0" w:color="000000"/>
              <w:right w:val="single" w:sz="8" w:space="0" w:color="000000"/>
            </w:tcBorders>
            <w:vAlign w:val="center"/>
          </w:tcPr>
          <w:p w14:paraId="3E262150" w14:textId="77777777" w:rsidR="00510729" w:rsidRPr="00DF4CE5" w:rsidRDefault="00510729" w:rsidP="00510729">
            <w:pPr>
              <w:spacing w:after="0" w:line="240" w:lineRule="atLeast"/>
              <w:rPr>
                <w:rFonts w:ascii="Cambria" w:eastAsia="Times New Roman" w:hAnsi="Cambria" w:cs="Calibri"/>
                <w:lang w:val="hr-HR"/>
              </w:rPr>
            </w:pPr>
          </w:p>
        </w:tc>
        <w:tc>
          <w:tcPr>
            <w:tcW w:w="309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7D8CF68" w14:textId="3A195398" w:rsidR="00510729" w:rsidRPr="00DF4CE5" w:rsidRDefault="002841D4" w:rsidP="00510729">
            <w:pPr>
              <w:spacing w:after="0" w:line="240" w:lineRule="atLeast"/>
              <w:rPr>
                <w:rFonts w:ascii="Cambria" w:eastAsia="Times New Roman" w:hAnsi="Cambria" w:cs="Calibri"/>
                <w:lang w:val="hr-HR"/>
              </w:rPr>
            </w:pPr>
            <w:r w:rsidRPr="00DF4CE5">
              <w:rPr>
                <w:rFonts w:ascii="Cambria" w:eastAsia="Times New Roman" w:hAnsi="Cambria" w:cs="Calibri"/>
                <w:lang w:val="hr-HR"/>
              </w:rPr>
              <w:t>aktivnost na nastavi</w:t>
            </w:r>
          </w:p>
        </w:tc>
        <w:tc>
          <w:tcPr>
            <w:tcW w:w="109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3999E5A" w14:textId="77777777" w:rsidR="00510729" w:rsidRPr="00DF4CE5" w:rsidRDefault="00510729" w:rsidP="00510729">
            <w:pPr>
              <w:spacing w:after="0" w:line="240" w:lineRule="atLeast"/>
              <w:jc w:val="center"/>
              <w:rPr>
                <w:rFonts w:ascii="Cambria" w:eastAsia="Times New Roman" w:hAnsi="Cambria" w:cs="Calibri"/>
                <w:lang w:val="hr-HR"/>
              </w:rPr>
            </w:pPr>
            <w:r w:rsidRPr="00DF4CE5">
              <w:rPr>
                <w:rFonts w:ascii="Cambria" w:eastAsia="Times New Roman" w:hAnsi="Cambria" w:cs="Calibri"/>
                <w:lang w:val="hr-HR"/>
              </w:rPr>
              <w:t>1. - 4.</w:t>
            </w:r>
          </w:p>
        </w:tc>
        <w:tc>
          <w:tcPr>
            <w:tcW w:w="71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75CA6CF" w14:textId="0CDBF55B" w:rsidR="00510729" w:rsidRPr="00DF4CE5" w:rsidRDefault="00510729" w:rsidP="00510729">
            <w:pPr>
              <w:spacing w:after="0" w:line="240" w:lineRule="atLeast"/>
              <w:jc w:val="center"/>
              <w:rPr>
                <w:rFonts w:ascii="Cambria" w:eastAsia="Times New Roman" w:hAnsi="Cambria" w:cs="Calibri"/>
                <w:lang w:val="hr-HR"/>
              </w:rPr>
            </w:pPr>
            <w:r w:rsidRPr="006406D2">
              <w:rPr>
                <w:rFonts w:ascii="Cambria" w:eastAsia="Times New Roman" w:hAnsi="Cambria" w:cs="Calibri"/>
                <w:lang w:val="hr-HR"/>
              </w:rPr>
              <w:t>2</w:t>
            </w:r>
            <w:r w:rsidR="006406D2" w:rsidRPr="006406D2">
              <w:rPr>
                <w:rFonts w:ascii="Cambria" w:eastAsia="Times New Roman" w:hAnsi="Cambria" w:cs="Calibri"/>
                <w:lang w:val="hr-HR"/>
              </w:rPr>
              <w:t>3</w:t>
            </w:r>
          </w:p>
        </w:tc>
        <w:tc>
          <w:tcPr>
            <w:tcW w:w="101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8780AF3" w14:textId="77777777" w:rsidR="00510729" w:rsidRPr="00DF4CE5" w:rsidRDefault="00510729" w:rsidP="00510729">
            <w:pPr>
              <w:spacing w:after="0" w:line="240" w:lineRule="atLeast"/>
              <w:jc w:val="center"/>
              <w:rPr>
                <w:rFonts w:ascii="Cambria" w:eastAsia="Times New Roman" w:hAnsi="Cambria" w:cs="Calibri"/>
                <w:lang w:val="hr-HR"/>
              </w:rPr>
            </w:pPr>
            <w:r w:rsidRPr="00DF4CE5">
              <w:rPr>
                <w:rFonts w:ascii="Cambria" w:eastAsia="Times New Roman" w:hAnsi="Cambria" w:cs="Calibri"/>
                <w:lang w:val="hr-HR"/>
              </w:rPr>
              <w:t>0,8</w:t>
            </w:r>
          </w:p>
        </w:tc>
        <w:tc>
          <w:tcPr>
            <w:tcW w:w="132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048C526" w14:textId="77777777" w:rsidR="00510729" w:rsidRPr="00DF4CE5" w:rsidRDefault="00510729" w:rsidP="00510729">
            <w:pPr>
              <w:spacing w:after="0" w:line="240" w:lineRule="atLeast"/>
              <w:jc w:val="center"/>
              <w:rPr>
                <w:rFonts w:ascii="Cambria" w:eastAsia="Times New Roman" w:hAnsi="Cambria" w:cs="Calibri"/>
                <w:lang w:val="hr-HR"/>
              </w:rPr>
            </w:pPr>
            <w:r w:rsidRPr="00DF4CE5">
              <w:rPr>
                <w:rFonts w:ascii="Cambria" w:eastAsia="Times New Roman" w:hAnsi="Cambria" w:cs="Calibri"/>
                <w:lang w:val="hr-HR"/>
              </w:rPr>
              <w:t>80%</w:t>
            </w:r>
          </w:p>
        </w:tc>
      </w:tr>
      <w:tr w:rsidR="00510729" w:rsidRPr="00DF4CE5" w14:paraId="00CFD640" w14:textId="77777777" w:rsidTr="00510729">
        <w:tc>
          <w:tcPr>
            <w:tcW w:w="2129" w:type="dxa"/>
            <w:vMerge/>
            <w:tcBorders>
              <w:left w:val="single" w:sz="8" w:space="0" w:color="000000"/>
              <w:right w:val="single" w:sz="8" w:space="0" w:color="000000"/>
            </w:tcBorders>
            <w:vAlign w:val="center"/>
          </w:tcPr>
          <w:p w14:paraId="3E51608A" w14:textId="77777777" w:rsidR="00510729" w:rsidRPr="00DF4CE5" w:rsidRDefault="00510729" w:rsidP="00510729">
            <w:pPr>
              <w:spacing w:after="0" w:line="240" w:lineRule="atLeast"/>
              <w:rPr>
                <w:rFonts w:ascii="Cambria" w:eastAsia="Times New Roman" w:hAnsi="Cambria" w:cs="Calibri"/>
                <w:lang w:val="hr-HR"/>
              </w:rPr>
            </w:pPr>
          </w:p>
        </w:tc>
        <w:tc>
          <w:tcPr>
            <w:tcW w:w="309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2F150F8" w14:textId="77777777" w:rsidR="00510729" w:rsidRPr="00DF4CE5" w:rsidRDefault="00510729" w:rsidP="00510729">
            <w:pPr>
              <w:spacing w:after="0" w:line="240" w:lineRule="atLeast"/>
              <w:rPr>
                <w:rFonts w:ascii="Cambria" w:eastAsia="Times New Roman" w:hAnsi="Cambria" w:cs="Calibri"/>
                <w:lang w:val="hr-HR"/>
              </w:rPr>
            </w:pPr>
            <w:r w:rsidRPr="00DF4CE5">
              <w:rPr>
                <w:rFonts w:ascii="Cambria" w:eastAsia="Times New Roman" w:hAnsi="Cambria" w:cs="Calibri"/>
                <w:lang w:val="hr-HR"/>
              </w:rPr>
              <w:t>terenska nastava</w:t>
            </w:r>
          </w:p>
        </w:tc>
        <w:tc>
          <w:tcPr>
            <w:tcW w:w="109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EBC14D6" w14:textId="77777777" w:rsidR="00510729" w:rsidRPr="00DF4CE5" w:rsidRDefault="00510729" w:rsidP="00510729">
            <w:pPr>
              <w:spacing w:after="0" w:line="240" w:lineRule="atLeast"/>
              <w:jc w:val="center"/>
              <w:rPr>
                <w:rFonts w:ascii="Cambria" w:eastAsia="Times New Roman" w:hAnsi="Cambria" w:cs="Calibri"/>
                <w:lang w:val="hr-HR"/>
              </w:rPr>
            </w:pPr>
            <w:r w:rsidRPr="00DF4CE5">
              <w:rPr>
                <w:rFonts w:ascii="Cambria" w:eastAsia="Times New Roman" w:hAnsi="Cambria" w:cs="Calibri"/>
                <w:lang w:val="hr-HR"/>
              </w:rPr>
              <w:t>1. - 4.</w:t>
            </w:r>
          </w:p>
        </w:tc>
        <w:tc>
          <w:tcPr>
            <w:tcW w:w="71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07807F1" w14:textId="24A62D76" w:rsidR="00510729" w:rsidRPr="00DF4CE5" w:rsidRDefault="006406D2" w:rsidP="00510729">
            <w:pPr>
              <w:spacing w:after="0" w:line="240" w:lineRule="atLeast"/>
              <w:jc w:val="center"/>
              <w:rPr>
                <w:rFonts w:ascii="Cambria" w:eastAsia="Times New Roman" w:hAnsi="Cambria" w:cs="Calibri"/>
                <w:lang w:val="hr-HR"/>
              </w:rPr>
            </w:pPr>
            <w:r>
              <w:rPr>
                <w:rFonts w:ascii="Cambria" w:eastAsia="Times New Roman" w:hAnsi="Cambria" w:cs="Calibri"/>
                <w:lang w:val="hr-HR"/>
              </w:rPr>
              <w:t>7</w:t>
            </w:r>
          </w:p>
        </w:tc>
        <w:tc>
          <w:tcPr>
            <w:tcW w:w="101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7D59D36" w14:textId="77777777" w:rsidR="00510729" w:rsidRPr="00DF4CE5" w:rsidRDefault="00510729" w:rsidP="00510729">
            <w:pPr>
              <w:spacing w:after="0" w:line="240" w:lineRule="atLeast"/>
              <w:jc w:val="center"/>
              <w:rPr>
                <w:rFonts w:ascii="Cambria" w:eastAsia="Times New Roman" w:hAnsi="Cambria" w:cs="Calibri"/>
                <w:lang w:val="hr-HR"/>
              </w:rPr>
            </w:pPr>
            <w:r w:rsidRPr="00DF4CE5">
              <w:rPr>
                <w:rFonts w:ascii="Cambria" w:eastAsia="Times New Roman" w:hAnsi="Cambria" w:cs="Calibri"/>
                <w:lang w:val="hr-HR"/>
              </w:rPr>
              <w:t>0,2</w:t>
            </w:r>
          </w:p>
        </w:tc>
        <w:tc>
          <w:tcPr>
            <w:tcW w:w="132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8FD19B3" w14:textId="77777777" w:rsidR="00510729" w:rsidRPr="00DF4CE5" w:rsidRDefault="00510729" w:rsidP="00510729">
            <w:pPr>
              <w:spacing w:after="0" w:line="240" w:lineRule="atLeast"/>
              <w:jc w:val="center"/>
              <w:rPr>
                <w:rFonts w:ascii="Cambria" w:eastAsia="Times New Roman" w:hAnsi="Cambria" w:cs="Calibri"/>
                <w:lang w:val="hr-HR"/>
              </w:rPr>
            </w:pPr>
            <w:r w:rsidRPr="00DF4CE5">
              <w:rPr>
                <w:rFonts w:ascii="Cambria" w:eastAsia="Times New Roman" w:hAnsi="Cambria" w:cs="Calibri"/>
                <w:lang w:val="hr-HR"/>
              </w:rPr>
              <w:t>20%</w:t>
            </w:r>
          </w:p>
        </w:tc>
      </w:tr>
      <w:tr w:rsidR="00510729" w:rsidRPr="00DF4CE5" w14:paraId="6E573C2C" w14:textId="77777777" w:rsidTr="00510729">
        <w:tc>
          <w:tcPr>
            <w:tcW w:w="2129" w:type="dxa"/>
            <w:vMerge/>
            <w:tcBorders>
              <w:left w:val="single" w:sz="8" w:space="0" w:color="000000"/>
              <w:right w:val="single" w:sz="8" w:space="0" w:color="000000"/>
            </w:tcBorders>
            <w:vAlign w:val="center"/>
          </w:tcPr>
          <w:p w14:paraId="405B1025" w14:textId="77777777" w:rsidR="00510729" w:rsidRPr="00DF4CE5" w:rsidRDefault="00510729" w:rsidP="00510729">
            <w:pPr>
              <w:spacing w:after="0" w:line="240" w:lineRule="atLeast"/>
              <w:rPr>
                <w:rFonts w:ascii="Cambria" w:eastAsia="Times New Roman" w:hAnsi="Cambria" w:cs="Calibri"/>
                <w:lang w:val="hr-HR"/>
              </w:rPr>
            </w:pPr>
          </w:p>
        </w:tc>
        <w:tc>
          <w:tcPr>
            <w:tcW w:w="4181"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0872C72" w14:textId="0175E43B" w:rsidR="00510729" w:rsidRPr="00DF4CE5" w:rsidRDefault="006406D2" w:rsidP="00510729">
            <w:pPr>
              <w:spacing w:after="0" w:line="240" w:lineRule="atLeast"/>
              <w:rPr>
                <w:rFonts w:ascii="Cambria" w:eastAsia="Times New Roman" w:hAnsi="Cambria" w:cs="Calibri"/>
                <w:lang w:val="hr-HR"/>
              </w:rPr>
            </w:pPr>
            <w:r>
              <w:rPr>
                <w:rFonts w:ascii="Cambria" w:eastAsia="Times New Roman" w:hAnsi="Cambria" w:cs="Calibri"/>
                <w:lang w:val="hr-HR"/>
              </w:rPr>
              <w:t>u</w:t>
            </w:r>
            <w:r w:rsidR="00510729" w:rsidRPr="00DF4CE5">
              <w:rPr>
                <w:rFonts w:ascii="Cambria" w:eastAsia="Times New Roman" w:hAnsi="Cambria" w:cs="Calibri"/>
                <w:lang w:val="hr-HR"/>
              </w:rPr>
              <w:t>kupno</w:t>
            </w:r>
          </w:p>
        </w:tc>
        <w:tc>
          <w:tcPr>
            <w:tcW w:w="71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CC0B78D" w14:textId="77777777" w:rsidR="00510729" w:rsidRPr="00DF4CE5" w:rsidRDefault="00510729" w:rsidP="00510729">
            <w:pPr>
              <w:spacing w:after="0" w:line="240" w:lineRule="atLeast"/>
              <w:jc w:val="center"/>
              <w:rPr>
                <w:rFonts w:ascii="Cambria" w:eastAsia="Times New Roman" w:hAnsi="Cambria" w:cs="Calibri"/>
                <w:lang w:val="hr-HR"/>
              </w:rPr>
            </w:pPr>
            <w:r w:rsidRPr="00DF4CE5">
              <w:rPr>
                <w:rFonts w:ascii="Cambria" w:eastAsia="Times New Roman" w:hAnsi="Cambria" w:cs="Calibri"/>
                <w:lang w:val="hr-HR"/>
              </w:rPr>
              <w:t>30</w:t>
            </w:r>
          </w:p>
        </w:tc>
        <w:tc>
          <w:tcPr>
            <w:tcW w:w="101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84E8785" w14:textId="77777777" w:rsidR="00510729" w:rsidRPr="00DF4CE5" w:rsidRDefault="00510729" w:rsidP="00510729">
            <w:pPr>
              <w:spacing w:after="0" w:line="240" w:lineRule="atLeast"/>
              <w:jc w:val="center"/>
              <w:rPr>
                <w:rFonts w:ascii="Cambria" w:eastAsia="Times New Roman" w:hAnsi="Cambria" w:cs="Calibri"/>
                <w:lang w:val="hr-HR"/>
              </w:rPr>
            </w:pPr>
            <w:r w:rsidRPr="00DF4CE5">
              <w:rPr>
                <w:rFonts w:ascii="Cambria" w:eastAsia="Times New Roman" w:hAnsi="Cambria" w:cs="Calibri"/>
                <w:lang w:val="hr-HR"/>
              </w:rPr>
              <w:t>1</w:t>
            </w:r>
          </w:p>
        </w:tc>
        <w:tc>
          <w:tcPr>
            <w:tcW w:w="132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7B1E2D1" w14:textId="77777777" w:rsidR="00510729" w:rsidRPr="00DF4CE5" w:rsidRDefault="00510729" w:rsidP="00510729">
            <w:pPr>
              <w:spacing w:after="0" w:line="240" w:lineRule="atLeast"/>
              <w:jc w:val="center"/>
              <w:rPr>
                <w:rFonts w:ascii="Cambria" w:eastAsia="Times New Roman" w:hAnsi="Cambria" w:cs="Calibri"/>
                <w:lang w:val="hr-HR"/>
              </w:rPr>
            </w:pPr>
            <w:r w:rsidRPr="00DF4CE5">
              <w:rPr>
                <w:rFonts w:ascii="Cambria" w:eastAsia="Times New Roman" w:hAnsi="Cambria" w:cs="Calibri"/>
                <w:lang w:val="hr-HR"/>
              </w:rPr>
              <w:t>100%</w:t>
            </w:r>
          </w:p>
        </w:tc>
      </w:tr>
      <w:tr w:rsidR="00510729" w:rsidRPr="00D0399C" w14:paraId="59474443" w14:textId="77777777" w:rsidTr="00510729">
        <w:tc>
          <w:tcPr>
            <w:tcW w:w="2129" w:type="dxa"/>
            <w:vMerge/>
            <w:tcBorders>
              <w:left w:val="single" w:sz="8" w:space="0" w:color="000000"/>
              <w:bottom w:val="single" w:sz="8" w:space="0" w:color="000000"/>
              <w:right w:val="single" w:sz="8" w:space="0" w:color="000000"/>
            </w:tcBorders>
            <w:vAlign w:val="center"/>
          </w:tcPr>
          <w:p w14:paraId="23AC526E" w14:textId="77777777" w:rsidR="00510729" w:rsidRPr="00DF4CE5" w:rsidRDefault="00510729" w:rsidP="00510729">
            <w:pPr>
              <w:spacing w:after="0" w:line="240" w:lineRule="atLeast"/>
              <w:rPr>
                <w:rFonts w:ascii="Cambria" w:eastAsia="Times New Roman" w:hAnsi="Cambria" w:cs="Calibri"/>
                <w:lang w:val="hr-HR"/>
              </w:rPr>
            </w:pPr>
          </w:p>
        </w:tc>
        <w:tc>
          <w:tcPr>
            <w:tcW w:w="7231"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4E315E9" w14:textId="77777777" w:rsidR="00510729" w:rsidRPr="00DF4CE5" w:rsidRDefault="00510729" w:rsidP="00510729">
            <w:pPr>
              <w:spacing w:after="0" w:line="240" w:lineRule="atLeast"/>
              <w:jc w:val="both"/>
              <w:rPr>
                <w:rFonts w:ascii="Cambria" w:eastAsia="Times New Roman" w:hAnsi="Cambria" w:cs="Calibri"/>
                <w:lang w:val="hr-HR"/>
              </w:rPr>
            </w:pPr>
            <w:r w:rsidRPr="00DF4CE5">
              <w:rPr>
                <w:rFonts w:ascii="Cambria" w:eastAsia="Times New Roman" w:hAnsi="Cambria" w:cs="Calibri"/>
                <w:lang w:val="hr-HR"/>
              </w:rPr>
              <w:t>Dodatna pojašnjenja (kriteriji ocjenjivanja):</w:t>
            </w:r>
          </w:p>
          <w:p w14:paraId="36CC5E37" w14:textId="77777777" w:rsidR="00510729" w:rsidRPr="00DF4CE5" w:rsidRDefault="00510729" w:rsidP="00510729">
            <w:pPr>
              <w:spacing w:after="0" w:line="240" w:lineRule="atLeast"/>
              <w:jc w:val="both"/>
              <w:rPr>
                <w:rFonts w:ascii="Cambria" w:eastAsia="Times New Roman" w:hAnsi="Cambria" w:cs="Calibri"/>
                <w:lang w:val="hr-HR"/>
              </w:rPr>
            </w:pPr>
            <w:r w:rsidRPr="00DF4CE5">
              <w:rPr>
                <w:rFonts w:ascii="Cambria" w:eastAsia="Times New Roman" w:hAnsi="Cambria" w:cs="Calibri"/>
                <w:lang w:val="hr-HR"/>
              </w:rPr>
              <w:t>Ocjenjuje se aktivnost na nastavi, zadani elementi motoričkih znanja i rezultati testova (razina) motoričkih i funkcionalnih sposobnosti.</w:t>
            </w:r>
          </w:p>
        </w:tc>
      </w:tr>
      <w:tr w:rsidR="00510729" w:rsidRPr="00DF4CE5" w14:paraId="4B3BE7FA" w14:textId="77777777" w:rsidTr="00510729">
        <w:tc>
          <w:tcPr>
            <w:tcW w:w="21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E12A7D7" w14:textId="77777777" w:rsidR="00510729" w:rsidRPr="00DF4CE5" w:rsidRDefault="00510729" w:rsidP="00510729">
            <w:pPr>
              <w:spacing w:after="0" w:line="240" w:lineRule="atLeast"/>
              <w:rPr>
                <w:rFonts w:ascii="Cambria" w:eastAsia="Times New Roman" w:hAnsi="Cambria" w:cs="Calibri"/>
                <w:lang w:val="hr-HR"/>
              </w:rPr>
            </w:pPr>
            <w:r w:rsidRPr="00DF4CE5">
              <w:rPr>
                <w:rFonts w:ascii="Cambria" w:eastAsia="Times New Roman" w:hAnsi="Cambria" w:cs="Calibri"/>
                <w:lang w:val="hr-HR"/>
              </w:rPr>
              <w:t>Studentske obveze</w:t>
            </w:r>
          </w:p>
        </w:tc>
        <w:tc>
          <w:tcPr>
            <w:tcW w:w="7231"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CBDB35A" w14:textId="77777777" w:rsidR="00510729" w:rsidRPr="00DF4CE5" w:rsidRDefault="00510729" w:rsidP="00510729">
            <w:pPr>
              <w:spacing w:after="0" w:line="240" w:lineRule="atLeast"/>
              <w:jc w:val="both"/>
              <w:rPr>
                <w:rFonts w:ascii="Cambria" w:eastAsia="Times New Roman" w:hAnsi="Cambria" w:cs="Calibri"/>
                <w:lang w:val="hr-HR"/>
              </w:rPr>
            </w:pPr>
            <w:r w:rsidRPr="00DF4CE5">
              <w:rPr>
                <w:rFonts w:ascii="Cambria" w:eastAsia="Times New Roman" w:hAnsi="Cambria" w:cs="Calibri"/>
                <w:lang w:val="hr-HR"/>
              </w:rPr>
              <w:t>Da položi kolegij, student/studentica treba:</w:t>
            </w:r>
          </w:p>
          <w:p w14:paraId="24967224" w14:textId="640979D2" w:rsidR="00510729" w:rsidRPr="00DF4CE5" w:rsidRDefault="00510729" w:rsidP="00510729">
            <w:pPr>
              <w:spacing w:after="0" w:line="240" w:lineRule="atLeast"/>
              <w:jc w:val="both"/>
              <w:rPr>
                <w:rFonts w:ascii="Cambria" w:eastAsia="Times New Roman" w:hAnsi="Cambria" w:cs="Calibri"/>
                <w:lang w:val="hr-HR"/>
              </w:rPr>
            </w:pPr>
            <w:r w:rsidRPr="00DF4CE5">
              <w:rPr>
                <w:rFonts w:ascii="Cambria" w:eastAsia="Times New Roman" w:hAnsi="Cambria" w:cs="Calibri"/>
                <w:lang w:val="hr-HR"/>
              </w:rPr>
              <w:t xml:space="preserve">1. </w:t>
            </w:r>
            <w:r w:rsidR="00A52301">
              <w:rPr>
                <w:rFonts w:ascii="Cambria" w:eastAsia="Times New Roman" w:hAnsi="Cambria" w:cs="Calibri"/>
                <w:lang w:val="hr-HR"/>
              </w:rPr>
              <w:t>r</w:t>
            </w:r>
            <w:r w:rsidRPr="00DF4CE5">
              <w:rPr>
                <w:rFonts w:ascii="Cambria" w:eastAsia="Times New Roman" w:hAnsi="Cambria" w:cs="Calibri"/>
                <w:lang w:val="hr-HR"/>
              </w:rPr>
              <w:t>edovito dolaziti na nastavu; može izostati s nastave maksimalno 4 puta</w:t>
            </w:r>
          </w:p>
          <w:p w14:paraId="3AA59EE1" w14:textId="7756F227" w:rsidR="00510729" w:rsidRPr="00DF4CE5" w:rsidRDefault="00510729" w:rsidP="00510729">
            <w:pPr>
              <w:spacing w:after="0" w:line="240" w:lineRule="atLeast"/>
              <w:jc w:val="both"/>
              <w:rPr>
                <w:rFonts w:ascii="Cambria" w:eastAsia="Times New Roman" w:hAnsi="Cambria" w:cs="Calibri"/>
                <w:lang w:val="hr-HR"/>
              </w:rPr>
            </w:pPr>
            <w:r w:rsidRPr="00DF4CE5">
              <w:rPr>
                <w:rFonts w:ascii="Cambria" w:eastAsia="Times New Roman" w:hAnsi="Cambria" w:cs="Calibri"/>
                <w:lang w:val="hr-HR"/>
              </w:rPr>
              <w:t xml:space="preserve">2. </w:t>
            </w:r>
            <w:r w:rsidR="00A52301">
              <w:rPr>
                <w:rFonts w:ascii="Cambria" w:eastAsia="Times New Roman" w:hAnsi="Cambria" w:cs="Calibri"/>
                <w:lang w:val="hr-HR"/>
              </w:rPr>
              <w:t>a</w:t>
            </w:r>
            <w:r w:rsidRPr="00DF4CE5">
              <w:rPr>
                <w:rFonts w:ascii="Cambria" w:eastAsia="Times New Roman" w:hAnsi="Cambria" w:cs="Calibri"/>
                <w:lang w:val="hr-HR"/>
              </w:rPr>
              <w:t>ktivno sudjelovati na nastavi</w:t>
            </w:r>
          </w:p>
          <w:p w14:paraId="7ECCE25E" w14:textId="7EF929FD" w:rsidR="00510729" w:rsidRPr="00DF4CE5" w:rsidRDefault="00510729" w:rsidP="00510729">
            <w:pPr>
              <w:spacing w:after="0" w:line="240" w:lineRule="atLeast"/>
              <w:jc w:val="both"/>
              <w:rPr>
                <w:rFonts w:ascii="Cambria" w:eastAsia="Times New Roman" w:hAnsi="Cambria" w:cs="Calibri"/>
                <w:lang w:val="hr-HR"/>
              </w:rPr>
            </w:pPr>
            <w:r w:rsidRPr="00DF4CE5">
              <w:rPr>
                <w:rFonts w:ascii="Cambria" w:eastAsia="Times New Roman" w:hAnsi="Cambria" w:cs="Calibri"/>
                <w:lang w:val="hr-HR"/>
              </w:rPr>
              <w:t xml:space="preserve">3. </w:t>
            </w:r>
            <w:r w:rsidR="00A52301">
              <w:rPr>
                <w:rFonts w:ascii="Cambria" w:eastAsia="Times New Roman" w:hAnsi="Cambria" w:cs="Calibri"/>
                <w:lang w:val="hr-HR"/>
              </w:rPr>
              <w:t>d</w:t>
            </w:r>
            <w:r w:rsidRPr="00DF4CE5">
              <w:rPr>
                <w:rFonts w:ascii="Cambria" w:eastAsia="Times New Roman" w:hAnsi="Cambria" w:cs="Calibri"/>
                <w:lang w:val="hr-HR"/>
              </w:rPr>
              <w:t>olaziti na nastavu bez ikakvog nakita u sportskoj odjeći i obući (tenisicama, bijeloj sportskoj majici, sportskim hlačicama ili trenirci)</w:t>
            </w:r>
          </w:p>
          <w:p w14:paraId="15153F0A" w14:textId="68328AC4" w:rsidR="00510729" w:rsidRPr="00DF4CE5" w:rsidRDefault="00510729" w:rsidP="00510729">
            <w:pPr>
              <w:spacing w:after="0" w:line="240" w:lineRule="atLeast"/>
              <w:jc w:val="both"/>
              <w:rPr>
                <w:rFonts w:ascii="Cambria" w:eastAsia="Times New Roman" w:hAnsi="Cambria" w:cs="Calibri"/>
                <w:lang w:val="hr-HR"/>
              </w:rPr>
            </w:pPr>
            <w:r w:rsidRPr="00DF4CE5">
              <w:rPr>
                <w:rFonts w:ascii="Cambria" w:eastAsia="Times New Roman" w:hAnsi="Cambria" w:cs="Calibri"/>
                <w:lang w:val="hr-HR"/>
              </w:rPr>
              <w:t xml:space="preserve">4. </w:t>
            </w:r>
            <w:r w:rsidR="00A52301">
              <w:rPr>
                <w:rFonts w:ascii="Cambria" w:eastAsia="Times New Roman" w:hAnsi="Cambria" w:cs="Calibri"/>
                <w:lang w:val="hr-HR"/>
              </w:rPr>
              <w:t>s</w:t>
            </w:r>
            <w:r w:rsidRPr="00DF4CE5">
              <w:rPr>
                <w:rFonts w:ascii="Cambria" w:eastAsia="Times New Roman" w:hAnsi="Cambria" w:cs="Calibri"/>
                <w:lang w:val="hr-HR"/>
              </w:rPr>
              <w:t>udjelovati u terenskoj nastavi, pješačenju u prirodi i planinarenju te sportsko-rekreativnom danu Fakulteta za odgojne i obrazovne znanosti (na Fratarskom otoku krajem akademske godine)</w:t>
            </w:r>
          </w:p>
          <w:p w14:paraId="6B202518" w14:textId="558DAE18" w:rsidR="00510729" w:rsidRPr="00DF4CE5" w:rsidRDefault="00510729" w:rsidP="00510729">
            <w:pPr>
              <w:spacing w:after="0" w:line="240" w:lineRule="atLeast"/>
              <w:jc w:val="both"/>
              <w:rPr>
                <w:rFonts w:ascii="Cambria" w:eastAsia="Times New Roman" w:hAnsi="Cambria" w:cs="Calibri"/>
                <w:b/>
                <w:lang w:val="hr-HR"/>
              </w:rPr>
            </w:pPr>
            <w:r w:rsidRPr="00DF4CE5">
              <w:rPr>
                <w:rFonts w:ascii="Cambria" w:eastAsia="Times New Roman" w:hAnsi="Cambria" w:cs="Calibri"/>
                <w:lang w:val="hr-HR"/>
              </w:rPr>
              <w:t xml:space="preserve">5. </w:t>
            </w:r>
            <w:r w:rsidR="00A52301">
              <w:rPr>
                <w:rFonts w:ascii="Cambria" w:eastAsia="Times New Roman" w:hAnsi="Cambria" w:cs="Calibri"/>
                <w:lang w:val="hr-HR"/>
              </w:rPr>
              <w:t>s</w:t>
            </w:r>
            <w:r w:rsidRPr="00DF4CE5">
              <w:rPr>
                <w:rFonts w:ascii="Cambria" w:eastAsia="Times New Roman" w:hAnsi="Cambria" w:cs="Calibri"/>
                <w:lang w:val="hr-HR"/>
              </w:rPr>
              <w:t>avladati sve zadane elemente.</w:t>
            </w:r>
          </w:p>
        </w:tc>
      </w:tr>
      <w:tr w:rsidR="00510729" w:rsidRPr="00D0399C" w14:paraId="7A20B522" w14:textId="77777777" w:rsidTr="00510729">
        <w:tc>
          <w:tcPr>
            <w:tcW w:w="21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43F4F24" w14:textId="77777777" w:rsidR="00510729" w:rsidRPr="00DF4CE5" w:rsidRDefault="00510729" w:rsidP="00510729">
            <w:pPr>
              <w:spacing w:after="0" w:line="240" w:lineRule="atLeast"/>
              <w:rPr>
                <w:rFonts w:ascii="Cambria" w:eastAsia="Times New Roman" w:hAnsi="Cambria" w:cs="Calibri"/>
                <w:lang w:val="hr-HR"/>
              </w:rPr>
            </w:pPr>
            <w:r w:rsidRPr="00DF4CE5">
              <w:rPr>
                <w:rFonts w:ascii="Cambria" w:eastAsia="Times New Roman" w:hAnsi="Cambria" w:cs="Calibri"/>
                <w:lang w:val="hr-HR"/>
              </w:rPr>
              <w:t>Rokovi ispita i kolokvija</w:t>
            </w:r>
          </w:p>
        </w:tc>
        <w:tc>
          <w:tcPr>
            <w:tcW w:w="7231"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BCBF272" w14:textId="77777777" w:rsidR="00510729" w:rsidRPr="00DF4CE5" w:rsidRDefault="00510729" w:rsidP="00510729">
            <w:pPr>
              <w:spacing w:after="0" w:line="240" w:lineRule="atLeast"/>
              <w:jc w:val="both"/>
              <w:rPr>
                <w:rFonts w:ascii="Cambria" w:eastAsia="Times New Roman" w:hAnsi="Cambria" w:cs="Calibri"/>
                <w:lang w:val="hr-HR"/>
              </w:rPr>
            </w:pPr>
            <w:r w:rsidRPr="00DF4CE5">
              <w:rPr>
                <w:rFonts w:ascii="Cambria" w:eastAsia="Times New Roman" w:hAnsi="Cambria" w:cs="Calibri"/>
                <w:lang w:val="hr-HR"/>
              </w:rPr>
              <w:t>Objavljuju se na početku akademske godine u ISVU.</w:t>
            </w:r>
          </w:p>
        </w:tc>
      </w:tr>
      <w:tr w:rsidR="00510729" w:rsidRPr="00DF4CE5" w14:paraId="37404525" w14:textId="77777777" w:rsidTr="00510729">
        <w:tc>
          <w:tcPr>
            <w:tcW w:w="21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3D1E29F" w14:textId="77777777" w:rsidR="00510729" w:rsidRPr="00DF4CE5" w:rsidRDefault="00510729" w:rsidP="00510729">
            <w:pPr>
              <w:spacing w:after="0" w:line="240" w:lineRule="atLeast"/>
              <w:rPr>
                <w:rFonts w:ascii="Cambria" w:eastAsia="Times New Roman" w:hAnsi="Cambria" w:cs="Calibri"/>
                <w:lang w:val="hr-HR"/>
              </w:rPr>
            </w:pPr>
            <w:r w:rsidRPr="00DF4CE5">
              <w:rPr>
                <w:rFonts w:ascii="Cambria" w:eastAsia="Times New Roman" w:hAnsi="Cambria" w:cs="Calibri"/>
                <w:lang w:val="hr-HR"/>
              </w:rPr>
              <w:t>Ostale važne činjenice vezane uz kolegij</w:t>
            </w:r>
          </w:p>
        </w:tc>
        <w:tc>
          <w:tcPr>
            <w:tcW w:w="7231"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5EFBE9C" w14:textId="77777777" w:rsidR="00510729" w:rsidRPr="00DF4CE5" w:rsidRDefault="00510729" w:rsidP="00510729">
            <w:pPr>
              <w:tabs>
                <w:tab w:val="left" w:pos="376"/>
              </w:tabs>
              <w:spacing w:after="0" w:line="240" w:lineRule="atLeast"/>
              <w:jc w:val="both"/>
              <w:rPr>
                <w:rFonts w:ascii="Cambria" w:eastAsia="Times New Roman" w:hAnsi="Cambria" w:cs="Calibri"/>
                <w:lang w:val="hr-HR"/>
              </w:rPr>
            </w:pPr>
            <w:r w:rsidRPr="00DF4CE5">
              <w:rPr>
                <w:rFonts w:ascii="Cambria" w:eastAsia="Times New Roman" w:hAnsi="Cambria" w:cs="Calibri"/>
                <w:lang w:val="hr-HR"/>
              </w:rPr>
              <w:t>Za provjeru stupnja razvoja općih kompetencija koristit će se standardizirani testovi motoričkih sposobnosti (testovi eksplozivne, statičke i repetitivne snage, brzine, koordinacije i fleksibilnosti), test funkcionalnih sposobnosti (trčanje 1300 m), testovi motoričkih znanja (ocjenjivanje zadanih elemenata tijekom nastave) i test znanja plivanja osnovnim plivačkim tehnikama.</w:t>
            </w:r>
          </w:p>
          <w:p w14:paraId="49704023" w14:textId="77777777" w:rsidR="00510729" w:rsidRPr="00DF4CE5" w:rsidRDefault="00510729" w:rsidP="00510729">
            <w:pPr>
              <w:tabs>
                <w:tab w:val="left" w:pos="376"/>
              </w:tabs>
              <w:spacing w:after="0" w:line="240" w:lineRule="atLeast"/>
              <w:jc w:val="both"/>
              <w:rPr>
                <w:rFonts w:ascii="Cambria" w:eastAsia="Times New Roman" w:hAnsi="Cambria" w:cs="Calibri"/>
                <w:lang w:val="hr-HR"/>
              </w:rPr>
            </w:pPr>
            <w:r w:rsidRPr="00DF4CE5">
              <w:rPr>
                <w:rFonts w:ascii="Cambria" w:eastAsia="Times New Roman" w:hAnsi="Cambria" w:cs="Calibri"/>
                <w:lang w:val="hr-HR"/>
              </w:rPr>
              <w:t>Studenti koji imaju u bilo kom obliku narušen zdravstveni status, dužni su već na početku akademske godine priložiti zdravstvenu dokumentaciju i mišljenje nadležnog sveučilišnog liječnika o eventualnoj djelomičnoj poštedi s posebnim naglaskom na onaj dio aktivnosti u Kineziološkoj kulturi, kojih bi zbog narušenog zdravstvenog statusa trebali biti djelomično pošteđeni.</w:t>
            </w:r>
          </w:p>
          <w:p w14:paraId="725953E8" w14:textId="77777777" w:rsidR="00510729" w:rsidRPr="00DF4CE5" w:rsidRDefault="00510729" w:rsidP="00510729">
            <w:pPr>
              <w:tabs>
                <w:tab w:val="left" w:pos="376"/>
              </w:tabs>
              <w:spacing w:after="0" w:line="240" w:lineRule="atLeast"/>
              <w:jc w:val="both"/>
              <w:rPr>
                <w:rFonts w:ascii="Cambria" w:eastAsia="Times New Roman" w:hAnsi="Cambria" w:cs="Calibri"/>
                <w:lang w:val="hr-HR"/>
              </w:rPr>
            </w:pPr>
            <w:r w:rsidRPr="00DF4CE5">
              <w:rPr>
                <w:rFonts w:ascii="Cambria" w:eastAsia="Times New Roman" w:hAnsi="Cambria" w:cs="Calibri"/>
                <w:lang w:val="hr-HR"/>
              </w:rPr>
              <w:t>Vrijeme konzultacija bit će određeno na početku svakog semestra (nakon službene objave rasporeda sati).</w:t>
            </w:r>
          </w:p>
          <w:p w14:paraId="67F4D946" w14:textId="77777777" w:rsidR="00510729" w:rsidRPr="00DF4CE5" w:rsidRDefault="00510729" w:rsidP="00510729">
            <w:pPr>
              <w:tabs>
                <w:tab w:val="left" w:pos="376"/>
              </w:tabs>
              <w:spacing w:after="0" w:line="240" w:lineRule="atLeast"/>
              <w:jc w:val="both"/>
              <w:rPr>
                <w:rFonts w:ascii="Cambria" w:eastAsia="Times New Roman" w:hAnsi="Cambria" w:cs="Calibri"/>
                <w:lang w:val="hr-HR"/>
              </w:rPr>
            </w:pPr>
            <w:r w:rsidRPr="00DF4CE5">
              <w:rPr>
                <w:rFonts w:ascii="Cambria" w:eastAsia="Times New Roman" w:hAnsi="Cambria" w:cs="Calibri"/>
                <w:lang w:val="hr-HR"/>
              </w:rPr>
              <w:t>U slučaju održavanja nastave na daljinu, moguće je odstupanje u: mjestu izvođenja kolegija, provedbi aktivnosti, metoda tumačenja i poučavanja i načinima vrednovanja, studentskim obvezama i dostupnoj literaturi. O tome će nositeljica kolegija i suradnik obavijestiti studente i studentice kad se nastava na daljinu počne održavati. Ishodi učenja ostaju nepromijenjeni.</w:t>
            </w:r>
          </w:p>
        </w:tc>
      </w:tr>
      <w:tr w:rsidR="00510729" w:rsidRPr="00D0399C" w14:paraId="021971AC" w14:textId="77777777" w:rsidTr="00510729">
        <w:trPr>
          <w:trHeight w:val="770"/>
        </w:trPr>
        <w:tc>
          <w:tcPr>
            <w:tcW w:w="21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7A979CE" w14:textId="77777777" w:rsidR="00510729" w:rsidRPr="00DF4CE5" w:rsidRDefault="00510729" w:rsidP="00510729">
            <w:pPr>
              <w:spacing w:after="0" w:line="240" w:lineRule="atLeast"/>
              <w:rPr>
                <w:rFonts w:ascii="Cambria" w:eastAsia="Times New Roman" w:hAnsi="Cambria" w:cs="Calibri"/>
                <w:lang w:val="hr-HR"/>
              </w:rPr>
            </w:pPr>
            <w:r w:rsidRPr="00DF4CE5">
              <w:rPr>
                <w:rFonts w:ascii="Cambria" w:eastAsia="Times New Roman" w:hAnsi="Cambria" w:cs="Calibri"/>
                <w:lang w:val="hr-HR"/>
              </w:rPr>
              <w:t>Literatura</w:t>
            </w:r>
          </w:p>
        </w:tc>
        <w:tc>
          <w:tcPr>
            <w:tcW w:w="7231"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7BB293BF" w14:textId="77777777" w:rsidR="00510729" w:rsidRPr="00DF4CE5" w:rsidRDefault="00510729" w:rsidP="00510729">
            <w:pPr>
              <w:spacing w:after="0" w:line="240" w:lineRule="atLeast"/>
              <w:jc w:val="both"/>
              <w:rPr>
                <w:rFonts w:ascii="Cambria" w:eastAsia="Times New Roman" w:hAnsi="Cambria" w:cs="Calibri"/>
                <w:lang w:val="hr-HR"/>
              </w:rPr>
            </w:pPr>
            <w:r w:rsidRPr="00DF4CE5">
              <w:rPr>
                <w:rFonts w:ascii="Cambria" w:eastAsia="Times New Roman" w:hAnsi="Cambria" w:cs="Calibri"/>
                <w:lang w:val="hr-HR"/>
              </w:rPr>
              <w:t>Obvezna: Literatura nije obvezna.</w:t>
            </w:r>
          </w:p>
          <w:p w14:paraId="0CDB0445" w14:textId="77777777" w:rsidR="00510729" w:rsidRPr="00DF4CE5" w:rsidRDefault="00510729" w:rsidP="00510729">
            <w:pPr>
              <w:spacing w:after="0" w:line="240" w:lineRule="atLeast"/>
              <w:jc w:val="both"/>
              <w:rPr>
                <w:rFonts w:ascii="Cambria" w:eastAsia="Times New Roman" w:hAnsi="Cambria" w:cs="Calibri"/>
                <w:lang w:val="hr-HR"/>
              </w:rPr>
            </w:pPr>
            <w:r w:rsidRPr="00DF4CE5">
              <w:rPr>
                <w:rFonts w:ascii="Cambria" w:eastAsia="Times New Roman" w:hAnsi="Cambria" w:cs="Calibri"/>
                <w:lang w:val="hr-HR"/>
              </w:rPr>
              <w:t>Izborna:</w:t>
            </w:r>
          </w:p>
          <w:p w14:paraId="493F8489" w14:textId="77777777" w:rsidR="00510729" w:rsidRPr="00DF4CE5" w:rsidRDefault="00510729" w:rsidP="00510729">
            <w:pPr>
              <w:spacing w:after="0" w:line="240" w:lineRule="atLeast"/>
              <w:jc w:val="both"/>
              <w:rPr>
                <w:rFonts w:ascii="Cambria" w:eastAsia="Times New Roman" w:hAnsi="Cambria" w:cs="Calibri"/>
                <w:lang w:val="hr-HR"/>
              </w:rPr>
            </w:pPr>
            <w:r w:rsidRPr="00DF4CE5">
              <w:rPr>
                <w:rFonts w:ascii="Cambria" w:eastAsia="Times New Roman" w:hAnsi="Cambria" w:cs="Calibri"/>
                <w:lang w:val="hr-HR"/>
              </w:rPr>
              <w:t xml:space="preserve">1. </w:t>
            </w:r>
            <w:proofErr w:type="spellStart"/>
            <w:r w:rsidRPr="00DF4CE5">
              <w:rPr>
                <w:rFonts w:ascii="Cambria" w:eastAsia="Times New Roman" w:hAnsi="Cambria" w:cs="Calibri"/>
                <w:lang w:val="hr-HR"/>
              </w:rPr>
              <w:t>Findak</w:t>
            </w:r>
            <w:proofErr w:type="spellEnd"/>
            <w:r w:rsidRPr="00DF4CE5">
              <w:rPr>
                <w:rFonts w:ascii="Cambria" w:eastAsia="Times New Roman" w:hAnsi="Cambria" w:cs="Calibri"/>
                <w:lang w:val="hr-HR"/>
              </w:rPr>
              <w:t xml:space="preserve">, V. (2001). </w:t>
            </w:r>
            <w:r w:rsidRPr="00DF4CE5">
              <w:rPr>
                <w:rFonts w:ascii="Cambria" w:eastAsia="Times New Roman" w:hAnsi="Cambria" w:cs="Calibri"/>
                <w:i/>
                <w:lang w:val="hr-HR"/>
              </w:rPr>
              <w:t>Metodika tjelesne i zdravstvene kulture</w:t>
            </w:r>
            <w:r w:rsidRPr="00DF4CE5">
              <w:rPr>
                <w:rFonts w:ascii="Cambria" w:eastAsia="Times New Roman" w:hAnsi="Cambria" w:cs="Calibri"/>
                <w:lang w:val="hr-HR"/>
              </w:rPr>
              <w:t>. Zagreb: Školska knjiga.</w:t>
            </w:r>
          </w:p>
          <w:p w14:paraId="24CC61D3" w14:textId="77777777" w:rsidR="00510729" w:rsidRPr="00DF4CE5" w:rsidRDefault="00510729" w:rsidP="00510729">
            <w:pPr>
              <w:spacing w:after="0" w:line="240" w:lineRule="atLeast"/>
              <w:jc w:val="both"/>
              <w:rPr>
                <w:rFonts w:ascii="Cambria" w:eastAsia="Times New Roman" w:hAnsi="Cambria" w:cs="Calibri"/>
                <w:lang w:val="hr-HR"/>
              </w:rPr>
            </w:pPr>
            <w:r w:rsidRPr="00DF4CE5">
              <w:rPr>
                <w:rFonts w:ascii="Cambria" w:eastAsia="Times New Roman" w:hAnsi="Cambria" w:cs="Calibri"/>
                <w:lang w:val="hr-HR"/>
              </w:rPr>
              <w:t xml:space="preserve">2. </w:t>
            </w:r>
            <w:proofErr w:type="spellStart"/>
            <w:r w:rsidRPr="00DF4CE5">
              <w:rPr>
                <w:rFonts w:ascii="Cambria" w:eastAsia="Times New Roman" w:hAnsi="Cambria" w:cs="Calibri"/>
                <w:lang w:val="hr-HR"/>
              </w:rPr>
              <w:t>Findak</w:t>
            </w:r>
            <w:proofErr w:type="spellEnd"/>
            <w:r w:rsidRPr="00DF4CE5">
              <w:rPr>
                <w:rFonts w:ascii="Cambria" w:eastAsia="Times New Roman" w:hAnsi="Cambria" w:cs="Calibri"/>
                <w:lang w:val="hr-HR"/>
              </w:rPr>
              <w:t xml:space="preserve">, V., Prskalo, I., Babin, J. (2011). </w:t>
            </w:r>
            <w:r w:rsidRPr="00DF4CE5">
              <w:rPr>
                <w:rFonts w:ascii="Cambria" w:eastAsia="Times New Roman" w:hAnsi="Cambria" w:cs="Calibri"/>
                <w:i/>
                <w:lang w:val="hr-HR"/>
              </w:rPr>
              <w:t>Sat Tjelesne i zdravstvene kulture u primarnoj edukaciji.</w:t>
            </w:r>
            <w:r w:rsidRPr="00DF4CE5">
              <w:rPr>
                <w:rFonts w:ascii="Cambria" w:eastAsia="Times New Roman" w:hAnsi="Cambria" w:cs="Calibri"/>
                <w:lang w:val="hr-HR"/>
              </w:rPr>
              <w:t xml:space="preserve"> Zagreb: Učiteljski fakultet Sveučilišta u Zagrebu.</w:t>
            </w:r>
          </w:p>
          <w:p w14:paraId="4FD19E43" w14:textId="77777777" w:rsidR="00510729" w:rsidRPr="00DF4CE5" w:rsidRDefault="00510729" w:rsidP="00510729">
            <w:pPr>
              <w:spacing w:after="0" w:line="240" w:lineRule="atLeast"/>
              <w:jc w:val="both"/>
              <w:rPr>
                <w:rFonts w:ascii="Cambria" w:eastAsia="Times New Roman" w:hAnsi="Cambria" w:cs="Calibri"/>
                <w:lang w:val="hr-HR"/>
              </w:rPr>
            </w:pPr>
            <w:r w:rsidRPr="00DF4CE5">
              <w:rPr>
                <w:rFonts w:ascii="Cambria" w:eastAsia="Times New Roman" w:hAnsi="Cambria" w:cs="Calibri"/>
                <w:lang w:val="hr-HR"/>
              </w:rPr>
              <w:t xml:space="preserve">3. </w:t>
            </w:r>
            <w:proofErr w:type="spellStart"/>
            <w:r w:rsidRPr="00DF4CE5">
              <w:rPr>
                <w:rFonts w:ascii="Cambria" w:eastAsia="Times New Roman" w:hAnsi="Cambria" w:cs="Calibri"/>
                <w:lang w:val="hr-HR"/>
              </w:rPr>
              <w:t>Kosinac</w:t>
            </w:r>
            <w:proofErr w:type="spellEnd"/>
            <w:r w:rsidRPr="00DF4CE5">
              <w:rPr>
                <w:rFonts w:ascii="Cambria" w:eastAsia="Times New Roman" w:hAnsi="Cambria" w:cs="Calibri"/>
                <w:lang w:val="hr-HR"/>
              </w:rPr>
              <w:t xml:space="preserve">, Z. (2011). </w:t>
            </w:r>
            <w:r w:rsidRPr="00DF4CE5">
              <w:rPr>
                <w:rFonts w:ascii="Cambria" w:eastAsia="Times New Roman" w:hAnsi="Cambria" w:cs="Calibri"/>
                <w:i/>
                <w:lang w:val="hr-HR"/>
              </w:rPr>
              <w:t>Morfološko-motorički i funkcionalni razvoj djece uzrasne dobi od 5. do 11. godine</w:t>
            </w:r>
            <w:r w:rsidRPr="00DF4CE5">
              <w:rPr>
                <w:rFonts w:ascii="Cambria" w:eastAsia="Times New Roman" w:hAnsi="Cambria" w:cs="Calibri"/>
                <w:lang w:val="hr-HR"/>
              </w:rPr>
              <w:t>. Split: Savez školskih športskih društava grada Splita.</w:t>
            </w:r>
          </w:p>
          <w:p w14:paraId="37B15C8A" w14:textId="77777777" w:rsidR="00510729" w:rsidRPr="00DF4CE5" w:rsidRDefault="00510729" w:rsidP="00510729">
            <w:pPr>
              <w:spacing w:after="0" w:line="240" w:lineRule="atLeast"/>
              <w:jc w:val="both"/>
              <w:rPr>
                <w:rFonts w:ascii="Cambria" w:eastAsia="Times New Roman" w:hAnsi="Cambria" w:cs="Calibri"/>
                <w:lang w:val="hr-HR"/>
              </w:rPr>
            </w:pPr>
            <w:r w:rsidRPr="00DF4CE5">
              <w:rPr>
                <w:rFonts w:ascii="Cambria" w:eastAsia="Times New Roman" w:hAnsi="Cambria" w:cs="Calibri"/>
                <w:lang w:val="hr-HR"/>
              </w:rPr>
              <w:t xml:space="preserve">4. Pejčić, A. i </w:t>
            </w:r>
            <w:proofErr w:type="spellStart"/>
            <w:r w:rsidRPr="00DF4CE5">
              <w:rPr>
                <w:rFonts w:ascii="Cambria" w:eastAsia="Times New Roman" w:hAnsi="Cambria" w:cs="Calibri"/>
                <w:lang w:val="hr-HR"/>
              </w:rPr>
              <w:t>Trajkovski</w:t>
            </w:r>
            <w:proofErr w:type="spellEnd"/>
            <w:r w:rsidRPr="00DF4CE5">
              <w:rPr>
                <w:rFonts w:ascii="Cambria" w:eastAsia="Times New Roman" w:hAnsi="Cambria" w:cs="Calibri"/>
                <w:lang w:val="hr-HR"/>
              </w:rPr>
              <w:t xml:space="preserve">, B. (2018). </w:t>
            </w:r>
            <w:r w:rsidRPr="00DF4CE5">
              <w:rPr>
                <w:rFonts w:ascii="Cambria" w:eastAsia="Times New Roman" w:hAnsi="Cambria" w:cs="Calibri"/>
                <w:i/>
                <w:lang w:val="hr-HR"/>
              </w:rPr>
              <w:t>Što i kako vježbati s djecom u vrtiću i školi.</w:t>
            </w:r>
            <w:r w:rsidRPr="00DF4CE5">
              <w:rPr>
                <w:rFonts w:ascii="Cambria" w:eastAsia="Times New Roman" w:hAnsi="Cambria" w:cs="Calibri"/>
                <w:lang w:val="hr-HR"/>
              </w:rPr>
              <w:t xml:space="preserve"> Rijeka: Učiteljski fakultet Sveučilišta u Rijeci.</w:t>
            </w:r>
          </w:p>
          <w:p w14:paraId="2A37D8B3" w14:textId="77777777" w:rsidR="00510729" w:rsidRPr="00DF4CE5" w:rsidRDefault="00510729" w:rsidP="00510729">
            <w:pPr>
              <w:spacing w:after="0" w:line="240" w:lineRule="atLeast"/>
              <w:jc w:val="both"/>
              <w:rPr>
                <w:rFonts w:ascii="Cambria" w:eastAsia="Times New Roman" w:hAnsi="Cambria" w:cs="Calibri"/>
                <w:lang w:val="hr-HR"/>
              </w:rPr>
            </w:pPr>
            <w:r w:rsidRPr="00DF4CE5">
              <w:rPr>
                <w:rFonts w:ascii="Cambria" w:eastAsia="Times New Roman" w:hAnsi="Cambria" w:cs="Calibri"/>
                <w:lang w:val="hr-HR"/>
              </w:rPr>
              <w:lastRenderedPageBreak/>
              <w:t xml:space="preserve">5. Prskalo, I., Sporiš, G. (2016). </w:t>
            </w:r>
            <w:r w:rsidRPr="00DF4CE5">
              <w:rPr>
                <w:rFonts w:ascii="Cambria" w:eastAsia="Times New Roman" w:hAnsi="Cambria" w:cs="Calibri"/>
                <w:i/>
                <w:lang w:val="hr-HR"/>
              </w:rPr>
              <w:t>Osnove kineziologije</w:t>
            </w:r>
            <w:r w:rsidRPr="00DF4CE5">
              <w:rPr>
                <w:rFonts w:ascii="Cambria" w:eastAsia="Times New Roman" w:hAnsi="Cambria" w:cs="Calibri"/>
                <w:lang w:val="hr-HR"/>
              </w:rPr>
              <w:t>. Zagreb: Školska knjiga, Učiteljski fakultet Sveučilišta u Zagrebu i Kineziološki fakultet Sveučilišta u Zagrebu.</w:t>
            </w:r>
          </w:p>
          <w:p w14:paraId="3B811834" w14:textId="77777777" w:rsidR="00510729" w:rsidRPr="00DF4CE5" w:rsidRDefault="00510729" w:rsidP="00510729">
            <w:pPr>
              <w:spacing w:after="0" w:line="240" w:lineRule="atLeast"/>
              <w:jc w:val="both"/>
              <w:rPr>
                <w:rFonts w:ascii="Cambria" w:eastAsia="Times New Roman" w:hAnsi="Cambria" w:cs="Calibri"/>
                <w:lang w:val="hr-HR"/>
              </w:rPr>
            </w:pPr>
            <w:r w:rsidRPr="00DF4CE5">
              <w:rPr>
                <w:rFonts w:ascii="Cambria" w:eastAsia="Times New Roman" w:hAnsi="Cambria" w:cs="Calibri"/>
                <w:lang w:val="hr-HR"/>
              </w:rPr>
              <w:t xml:space="preserve">6. Sekulić, D., Metikoš, D. (2007). </w:t>
            </w:r>
            <w:r w:rsidRPr="00DF4CE5">
              <w:rPr>
                <w:rFonts w:ascii="Cambria" w:eastAsia="Times New Roman" w:hAnsi="Cambria" w:cs="Calibri"/>
                <w:i/>
                <w:lang w:val="hr-HR"/>
              </w:rPr>
              <w:t>Osnove transformacijskih postupaka u kineziologiji.</w:t>
            </w:r>
            <w:r w:rsidRPr="00DF4CE5">
              <w:rPr>
                <w:rFonts w:ascii="Cambria" w:eastAsia="Times New Roman" w:hAnsi="Cambria" w:cs="Calibri"/>
                <w:lang w:val="hr-HR"/>
              </w:rPr>
              <w:t xml:space="preserve"> Sveučilište u Splitu: Fakultet prirodoslovno-matematičkih znanosti i kineziologije.</w:t>
            </w:r>
          </w:p>
          <w:p w14:paraId="628A602D" w14:textId="77777777" w:rsidR="00510729" w:rsidRPr="00DF4CE5" w:rsidRDefault="00510729" w:rsidP="00510729">
            <w:pPr>
              <w:spacing w:after="0" w:line="240" w:lineRule="atLeast"/>
              <w:jc w:val="both"/>
              <w:rPr>
                <w:rFonts w:ascii="Cambria" w:eastAsia="Times New Roman" w:hAnsi="Cambria" w:cs="Calibri"/>
                <w:lang w:val="hr-HR"/>
              </w:rPr>
            </w:pPr>
            <w:r w:rsidRPr="00DF4CE5">
              <w:rPr>
                <w:rFonts w:ascii="Cambria" w:eastAsia="Times New Roman" w:hAnsi="Cambria" w:cs="Calibri"/>
                <w:lang w:val="hr-HR"/>
              </w:rPr>
              <w:t>Priručna:</w:t>
            </w:r>
          </w:p>
          <w:p w14:paraId="71987DA7" w14:textId="77777777" w:rsidR="00510729" w:rsidRPr="00DF4CE5" w:rsidRDefault="00510729" w:rsidP="00510729">
            <w:pPr>
              <w:spacing w:after="0" w:line="240" w:lineRule="atLeast"/>
              <w:jc w:val="both"/>
              <w:rPr>
                <w:rFonts w:ascii="Cambria" w:eastAsia="Times New Roman" w:hAnsi="Cambria" w:cs="Calibri"/>
                <w:lang w:val="hr-HR"/>
              </w:rPr>
            </w:pPr>
            <w:r w:rsidRPr="00DF4CE5">
              <w:rPr>
                <w:rFonts w:ascii="Cambria" w:eastAsia="Times New Roman" w:hAnsi="Cambria" w:cs="Calibri"/>
                <w:lang w:val="hr-HR"/>
              </w:rPr>
              <w:t xml:space="preserve">1. </w:t>
            </w:r>
            <w:proofErr w:type="spellStart"/>
            <w:r w:rsidRPr="00DF4CE5">
              <w:rPr>
                <w:rFonts w:ascii="Cambria" w:eastAsia="Times New Roman" w:hAnsi="Cambria" w:cs="Calibri"/>
                <w:lang w:val="hr-HR"/>
              </w:rPr>
              <w:t>Findak</w:t>
            </w:r>
            <w:proofErr w:type="spellEnd"/>
            <w:r w:rsidRPr="00DF4CE5">
              <w:rPr>
                <w:rFonts w:ascii="Cambria" w:eastAsia="Times New Roman" w:hAnsi="Cambria" w:cs="Calibri"/>
                <w:lang w:val="hr-HR"/>
              </w:rPr>
              <w:t xml:space="preserve">, V., Metikoš, D., Mraković, M., </w:t>
            </w:r>
            <w:proofErr w:type="spellStart"/>
            <w:r w:rsidRPr="00DF4CE5">
              <w:rPr>
                <w:rFonts w:ascii="Cambria" w:eastAsia="Times New Roman" w:hAnsi="Cambria" w:cs="Calibri"/>
                <w:lang w:val="hr-HR"/>
              </w:rPr>
              <w:t>Neljak</w:t>
            </w:r>
            <w:proofErr w:type="spellEnd"/>
            <w:r w:rsidRPr="00DF4CE5">
              <w:rPr>
                <w:rFonts w:ascii="Cambria" w:eastAsia="Times New Roman" w:hAnsi="Cambria" w:cs="Calibri"/>
                <w:lang w:val="hr-HR"/>
              </w:rPr>
              <w:t xml:space="preserve">, B. (1996). </w:t>
            </w:r>
            <w:r w:rsidRPr="00DF4CE5">
              <w:rPr>
                <w:rFonts w:ascii="Cambria" w:eastAsia="Times New Roman" w:hAnsi="Cambria" w:cs="Calibri"/>
                <w:i/>
                <w:lang w:val="hr-HR"/>
              </w:rPr>
              <w:t>Primijenjena kineziologija u školstvu-NORME</w:t>
            </w:r>
            <w:r w:rsidRPr="00DF4CE5">
              <w:rPr>
                <w:rFonts w:ascii="Cambria" w:eastAsia="Times New Roman" w:hAnsi="Cambria" w:cs="Calibri"/>
                <w:lang w:val="hr-HR"/>
              </w:rPr>
              <w:t>. Zagreb: Hrvatski pedagoško-književni zbor, Fakultet za fizičku kulturu Sveučilišta u Zagrebu.</w:t>
            </w:r>
          </w:p>
        </w:tc>
      </w:tr>
    </w:tbl>
    <w:p w14:paraId="252A8CA8" w14:textId="77777777" w:rsidR="00510729" w:rsidRPr="00DF4CE5" w:rsidRDefault="00510729" w:rsidP="00510729">
      <w:pPr>
        <w:spacing w:after="0" w:line="240" w:lineRule="auto"/>
        <w:rPr>
          <w:rFonts w:ascii="Cambria" w:eastAsia="Cambria" w:hAnsi="Cambria" w:cs="Cambria"/>
          <w:lang w:val="hr-HR"/>
        </w:rPr>
      </w:pPr>
    </w:p>
    <w:p w14:paraId="6C62D336" w14:textId="77777777" w:rsidR="00510729" w:rsidRPr="00DF4CE5" w:rsidRDefault="00510729" w:rsidP="00510729">
      <w:pPr>
        <w:spacing w:after="0" w:line="240" w:lineRule="auto"/>
        <w:rPr>
          <w:rFonts w:ascii="Cambria" w:eastAsia="Cambria" w:hAnsi="Cambria" w:cs="Cambria"/>
          <w:lang w:val="hr-HR"/>
        </w:rPr>
      </w:pPr>
    </w:p>
    <w:p w14:paraId="264DA8B8" w14:textId="77777777" w:rsidR="00510729" w:rsidRPr="00DF4CE5" w:rsidRDefault="00510729" w:rsidP="00510729">
      <w:pPr>
        <w:spacing w:after="0" w:line="240" w:lineRule="auto"/>
        <w:rPr>
          <w:rFonts w:ascii="Cambria" w:eastAsia="Cambria" w:hAnsi="Cambria" w:cs="Cambria"/>
          <w:lang w:val="hr-HR"/>
        </w:rPr>
      </w:pPr>
    </w:p>
    <w:p w14:paraId="0C4E561E" w14:textId="77777777" w:rsidR="00510729" w:rsidRPr="00DF4CE5" w:rsidRDefault="00510729" w:rsidP="00510729">
      <w:pPr>
        <w:spacing w:after="0" w:line="240" w:lineRule="auto"/>
        <w:rPr>
          <w:rFonts w:ascii="Cambria" w:eastAsia="Cambria" w:hAnsi="Cambria" w:cs="Cambria"/>
          <w:lang w:val="hr-HR"/>
        </w:rPr>
      </w:pPr>
    </w:p>
    <w:p w14:paraId="344A6403" w14:textId="77777777" w:rsidR="00510729" w:rsidRPr="00DF4CE5" w:rsidRDefault="00510729" w:rsidP="00510729">
      <w:pPr>
        <w:spacing w:after="0" w:line="240" w:lineRule="auto"/>
        <w:rPr>
          <w:rFonts w:ascii="Cambria" w:eastAsia="Cambria" w:hAnsi="Cambria" w:cs="Cambria"/>
          <w:lang w:val="hr-HR"/>
        </w:rPr>
      </w:pPr>
    </w:p>
    <w:p w14:paraId="56A40207" w14:textId="77777777" w:rsidR="00510729" w:rsidRPr="00DF4CE5" w:rsidRDefault="00510729" w:rsidP="00510729">
      <w:pPr>
        <w:spacing w:after="0" w:line="240" w:lineRule="auto"/>
        <w:rPr>
          <w:rFonts w:ascii="Cambria" w:eastAsia="Cambria" w:hAnsi="Cambria" w:cs="Cambria"/>
          <w:lang w:val="hr-HR"/>
        </w:rPr>
      </w:pPr>
    </w:p>
    <w:p w14:paraId="6CEEAEFE" w14:textId="77777777" w:rsidR="00510729" w:rsidRPr="00DF4CE5" w:rsidRDefault="00510729" w:rsidP="00510729">
      <w:pPr>
        <w:spacing w:after="0" w:line="240" w:lineRule="auto"/>
        <w:rPr>
          <w:rFonts w:ascii="Cambria" w:eastAsia="Cambria" w:hAnsi="Cambria" w:cs="Cambria"/>
          <w:lang w:val="hr-HR"/>
        </w:rPr>
      </w:pPr>
    </w:p>
    <w:p w14:paraId="1BBC280F" w14:textId="77777777" w:rsidR="00510729" w:rsidRPr="00DF4CE5" w:rsidRDefault="00510729" w:rsidP="00510729">
      <w:pPr>
        <w:spacing w:after="0" w:line="240" w:lineRule="auto"/>
        <w:rPr>
          <w:rFonts w:ascii="Cambria" w:eastAsia="Cambria" w:hAnsi="Cambria" w:cs="Cambria"/>
          <w:lang w:val="hr-HR"/>
        </w:rPr>
      </w:pPr>
    </w:p>
    <w:p w14:paraId="5B01707A" w14:textId="605BF2B9" w:rsidR="00510729" w:rsidRPr="00DF4CE5" w:rsidRDefault="003B7C0C" w:rsidP="00830554">
      <w:pPr>
        <w:rPr>
          <w:rFonts w:ascii="Cambria" w:eastAsia="Cambria" w:hAnsi="Cambria" w:cs="Cambria"/>
          <w:lang w:val="hr-HR"/>
        </w:rPr>
      </w:pPr>
      <w:r>
        <w:rPr>
          <w:rFonts w:ascii="Cambria" w:eastAsia="Cambria" w:hAnsi="Cambria" w:cs="Cambria"/>
          <w:lang w:val="hr-HR"/>
        </w:rPr>
        <w:br w:type="page"/>
      </w:r>
    </w:p>
    <w:p w14:paraId="300CE4ED" w14:textId="22205A97" w:rsidR="00510729" w:rsidRPr="00D01C7E" w:rsidRDefault="00D01C7E" w:rsidP="00D01C7E">
      <w:pPr>
        <w:spacing w:after="0" w:line="240" w:lineRule="auto"/>
        <w:jc w:val="center"/>
        <w:rPr>
          <w:rFonts w:ascii="Cambria" w:eastAsia="Cambria" w:hAnsi="Cambria" w:cs="Cambria"/>
          <w:b/>
          <w:lang w:val="hr-HR"/>
        </w:rPr>
      </w:pPr>
      <w:r w:rsidRPr="00D01C7E">
        <w:rPr>
          <w:rFonts w:ascii="Cambria" w:eastAsia="Cambria" w:hAnsi="Cambria" w:cs="Cambria"/>
          <w:b/>
          <w:lang w:val="hr-HR"/>
        </w:rPr>
        <w:lastRenderedPageBreak/>
        <w:t>V. semestar</w:t>
      </w:r>
    </w:p>
    <w:p w14:paraId="4E401E75" w14:textId="77777777" w:rsidR="00D01C7E" w:rsidRPr="00DF4CE5" w:rsidRDefault="00D01C7E" w:rsidP="00D01C7E">
      <w:pPr>
        <w:spacing w:after="0" w:line="240" w:lineRule="auto"/>
        <w:jc w:val="center"/>
        <w:rPr>
          <w:rFonts w:ascii="Cambria" w:eastAsia="Cambria" w:hAnsi="Cambria" w:cs="Cambria"/>
          <w:lang w:val="hr-HR"/>
        </w:rPr>
      </w:pPr>
    </w:p>
    <w:tbl>
      <w:tblPr>
        <w:tblW w:w="5000" w:type="pct"/>
        <w:tblLayout w:type="fixed"/>
        <w:tblCellMar>
          <w:left w:w="0" w:type="dxa"/>
          <w:right w:w="0" w:type="dxa"/>
        </w:tblCellMar>
        <w:tblLook w:val="0600" w:firstRow="0" w:lastRow="0" w:firstColumn="0" w:lastColumn="0" w:noHBand="1" w:noVBand="1"/>
      </w:tblPr>
      <w:tblGrid>
        <w:gridCol w:w="2815"/>
        <w:gridCol w:w="2668"/>
        <w:gridCol w:w="105"/>
        <w:gridCol w:w="1167"/>
        <w:gridCol w:w="297"/>
        <w:gridCol w:w="470"/>
        <w:gridCol w:w="832"/>
        <w:gridCol w:w="1666"/>
      </w:tblGrid>
      <w:tr w:rsidR="000B2D2C" w:rsidRPr="00DF4CE5" w14:paraId="57C86E6C" w14:textId="77777777" w:rsidTr="000B2D2C">
        <w:tc>
          <w:tcPr>
            <w:tcW w:w="10020"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F5194DB" w14:textId="77777777" w:rsidR="000B2D2C" w:rsidRPr="00DF4CE5" w:rsidRDefault="000B2D2C" w:rsidP="000B2D2C">
            <w:pPr>
              <w:spacing w:after="0" w:line="240" w:lineRule="atLeast"/>
              <w:jc w:val="right"/>
              <w:rPr>
                <w:rFonts w:ascii="Cambria" w:eastAsia="Calibri" w:hAnsi="Cambria" w:cs="Calibri"/>
                <w:b/>
                <w:lang w:val="hr-HR"/>
              </w:rPr>
            </w:pPr>
            <w:r w:rsidRPr="00DF4CE5">
              <w:rPr>
                <w:rFonts w:ascii="Cambria" w:eastAsia="Calibri" w:hAnsi="Cambria" w:cs="Calibri"/>
                <w:b/>
                <w:lang w:val="hr-HR"/>
              </w:rPr>
              <w:t>IZVEDBENI PLAN NASTAVE KOLEGIJA</w:t>
            </w:r>
          </w:p>
        </w:tc>
      </w:tr>
      <w:tr w:rsidR="000B2D2C" w:rsidRPr="00DF4CE5" w14:paraId="495E5B2D" w14:textId="77777777" w:rsidTr="000B2D2C">
        <w:tc>
          <w:tcPr>
            <w:tcW w:w="281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F410F68" w14:textId="77777777" w:rsidR="000B2D2C" w:rsidRPr="00DF4CE5" w:rsidRDefault="000B2D2C" w:rsidP="000B2D2C">
            <w:pPr>
              <w:spacing w:after="0" w:line="240" w:lineRule="atLeast"/>
              <w:jc w:val="both"/>
              <w:rPr>
                <w:rFonts w:ascii="Cambria" w:eastAsia="Calibri" w:hAnsi="Cambria" w:cs="Calibri"/>
                <w:lang w:val="hr-HR"/>
              </w:rPr>
            </w:pPr>
            <w:r w:rsidRPr="00DF4CE5">
              <w:rPr>
                <w:rFonts w:ascii="Cambria" w:eastAsia="Calibri" w:hAnsi="Cambria" w:cs="Calibri"/>
                <w:lang w:val="hr-HR"/>
              </w:rPr>
              <w:t>Kod i naziv kolegija</w:t>
            </w:r>
          </w:p>
        </w:tc>
        <w:tc>
          <w:tcPr>
            <w:tcW w:w="720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DF8F162" w14:textId="77777777" w:rsidR="000B2D2C" w:rsidRPr="00DF4CE5" w:rsidRDefault="000B2D2C" w:rsidP="00587D5D">
            <w:pPr>
              <w:spacing w:after="0" w:line="240" w:lineRule="atLeast"/>
              <w:jc w:val="both"/>
              <w:rPr>
                <w:rFonts w:ascii="Cambria" w:eastAsia="Calibri" w:hAnsi="Cambria" w:cs="Calibri"/>
                <w:lang w:val="hr-HR"/>
              </w:rPr>
            </w:pPr>
            <w:r w:rsidRPr="00DF4CE5">
              <w:rPr>
                <w:rFonts w:ascii="Cambria" w:eastAsia="Calibri" w:hAnsi="Cambria" w:cs="Calibri"/>
                <w:lang w:val="hr-HR"/>
              </w:rPr>
              <w:t xml:space="preserve">227433  </w:t>
            </w:r>
          </w:p>
          <w:p w14:paraId="125105F6" w14:textId="77777777" w:rsidR="000B2D2C" w:rsidRPr="00DF4CE5" w:rsidRDefault="000B2D2C" w:rsidP="000B2D2C">
            <w:pPr>
              <w:spacing w:after="0" w:line="240" w:lineRule="atLeast"/>
              <w:jc w:val="both"/>
              <w:rPr>
                <w:rFonts w:ascii="Cambria" w:eastAsia="Calibri" w:hAnsi="Cambria" w:cs="Calibri"/>
                <w:lang w:val="hr-HR"/>
              </w:rPr>
            </w:pPr>
            <w:r w:rsidRPr="00DF4CE5">
              <w:rPr>
                <w:rFonts w:ascii="Cambria" w:eastAsia="Calibri" w:hAnsi="Cambria" w:cs="Calibri"/>
                <w:lang w:val="hr-HR"/>
              </w:rPr>
              <w:t>Socijalna pedagogija</w:t>
            </w:r>
          </w:p>
        </w:tc>
      </w:tr>
      <w:tr w:rsidR="000B2D2C" w:rsidRPr="00D0399C" w14:paraId="324484BE" w14:textId="77777777" w:rsidTr="00D01C7E">
        <w:trPr>
          <w:trHeight w:val="271"/>
        </w:trPr>
        <w:tc>
          <w:tcPr>
            <w:tcW w:w="281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0F602C6" w14:textId="01E473BF" w:rsidR="000B2D2C" w:rsidRPr="00DF4CE5" w:rsidRDefault="000B2D2C" w:rsidP="009138DB">
            <w:pPr>
              <w:spacing w:after="0" w:line="240" w:lineRule="atLeast"/>
              <w:jc w:val="both"/>
              <w:rPr>
                <w:rFonts w:ascii="Cambria" w:eastAsia="Calibri" w:hAnsi="Cambria" w:cs="Calibri"/>
                <w:lang w:val="hr-HR"/>
              </w:rPr>
            </w:pPr>
            <w:r w:rsidRPr="00DF4CE5">
              <w:rPr>
                <w:rFonts w:ascii="Cambria" w:eastAsia="Calibri" w:hAnsi="Cambria" w:cs="Calibri"/>
                <w:lang w:val="hr-HR"/>
              </w:rPr>
              <w:t xml:space="preserve">Nastavnica </w:t>
            </w:r>
          </w:p>
        </w:tc>
        <w:tc>
          <w:tcPr>
            <w:tcW w:w="720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6D9F2CD" w14:textId="364EA388" w:rsidR="000B2D2C" w:rsidRPr="00DF4CE5" w:rsidRDefault="000B2D2C" w:rsidP="000B2D2C">
            <w:pPr>
              <w:spacing w:after="0" w:line="240" w:lineRule="atLeast"/>
              <w:jc w:val="both"/>
              <w:rPr>
                <w:rFonts w:ascii="Cambria" w:eastAsia="Calibri" w:hAnsi="Cambria" w:cs="Calibri"/>
                <w:lang w:val="hr-HR"/>
              </w:rPr>
            </w:pPr>
            <w:hyperlink r:id="rId87" w:history="1">
              <w:r w:rsidRPr="003A4F71">
                <w:rPr>
                  <w:rStyle w:val="Hiperveza"/>
                  <w:rFonts w:ascii="Cambria" w:eastAsia="Calibri" w:hAnsi="Cambria" w:cs="Calibri"/>
                  <w:lang w:val="hr-HR"/>
                </w:rPr>
                <w:t xml:space="preserve">Prof. dr. sc. Mirjana </w:t>
              </w:r>
              <w:proofErr w:type="spellStart"/>
              <w:r w:rsidRPr="003A4F71">
                <w:rPr>
                  <w:rStyle w:val="Hiperveza"/>
                  <w:rFonts w:ascii="Cambria" w:eastAsia="Calibri" w:hAnsi="Cambria" w:cs="Calibri"/>
                  <w:lang w:val="hr-HR"/>
                </w:rPr>
                <w:t>Radetić</w:t>
              </w:r>
              <w:proofErr w:type="spellEnd"/>
              <w:r w:rsidRPr="003A4F71">
                <w:rPr>
                  <w:rStyle w:val="Hiperveza"/>
                  <w:rFonts w:ascii="Cambria" w:eastAsia="Calibri" w:hAnsi="Cambria" w:cs="Calibri"/>
                  <w:lang w:val="hr-HR"/>
                </w:rPr>
                <w:t>-Paić</w:t>
              </w:r>
            </w:hyperlink>
            <w:r w:rsidRPr="00DF4CE5">
              <w:rPr>
                <w:rFonts w:ascii="Cambria" w:eastAsia="Calibri" w:hAnsi="Cambria" w:cs="Calibri"/>
                <w:u w:val="single"/>
                <w:lang w:val="hr-HR"/>
              </w:rPr>
              <w:t xml:space="preserve"> </w:t>
            </w:r>
            <w:r w:rsidRPr="00DF4CE5">
              <w:rPr>
                <w:rFonts w:ascii="Cambria" w:eastAsia="Calibri" w:hAnsi="Cambria" w:cs="Calibri"/>
                <w:lang w:val="hr-HR"/>
              </w:rPr>
              <w:t>(nositeljica)</w:t>
            </w:r>
          </w:p>
        </w:tc>
      </w:tr>
      <w:tr w:rsidR="000B2D2C" w:rsidRPr="00D0399C" w14:paraId="04783308" w14:textId="77777777" w:rsidTr="000B2D2C">
        <w:tc>
          <w:tcPr>
            <w:tcW w:w="281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9A53C27" w14:textId="77777777" w:rsidR="000B2D2C" w:rsidRPr="00DF4CE5" w:rsidRDefault="000B2D2C" w:rsidP="000B2D2C">
            <w:pPr>
              <w:spacing w:after="0" w:line="240" w:lineRule="atLeast"/>
              <w:jc w:val="both"/>
              <w:rPr>
                <w:rFonts w:ascii="Cambria" w:eastAsia="Calibri" w:hAnsi="Cambria" w:cs="Calibri"/>
                <w:lang w:val="hr-HR"/>
              </w:rPr>
            </w:pPr>
            <w:r w:rsidRPr="00DF4CE5">
              <w:rPr>
                <w:rFonts w:ascii="Cambria" w:eastAsia="Calibri" w:hAnsi="Cambria" w:cs="Calibri"/>
                <w:lang w:val="hr-HR"/>
              </w:rPr>
              <w:t>Studijski program</w:t>
            </w:r>
          </w:p>
        </w:tc>
        <w:tc>
          <w:tcPr>
            <w:tcW w:w="720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3015074" w14:textId="77777777" w:rsidR="000B2D2C" w:rsidRPr="00DF4CE5" w:rsidRDefault="000B2D2C" w:rsidP="000B2D2C">
            <w:pPr>
              <w:spacing w:after="0" w:line="240" w:lineRule="atLeast"/>
              <w:jc w:val="both"/>
              <w:rPr>
                <w:rFonts w:ascii="Cambria" w:eastAsia="Calibri" w:hAnsi="Cambria" w:cs="Calibri"/>
                <w:lang w:val="hr-HR"/>
              </w:rPr>
            </w:pPr>
            <w:r w:rsidRPr="00DF4CE5">
              <w:rPr>
                <w:rFonts w:ascii="Cambria" w:eastAsia="Calibri" w:hAnsi="Cambria" w:cs="Calibri"/>
                <w:lang w:val="hr-HR"/>
              </w:rPr>
              <w:t>Sveučilišni integrirani prijediplomski i diplomski Učiteljski studij na hrvatskom jeziku</w:t>
            </w:r>
          </w:p>
        </w:tc>
      </w:tr>
      <w:tr w:rsidR="000B2D2C" w:rsidRPr="00DF4CE5" w14:paraId="66162AC0" w14:textId="77777777" w:rsidTr="000B2D2C">
        <w:tc>
          <w:tcPr>
            <w:tcW w:w="281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24A78ED" w14:textId="77777777" w:rsidR="000B2D2C" w:rsidRPr="00DF4CE5" w:rsidRDefault="000B2D2C" w:rsidP="000B2D2C">
            <w:pPr>
              <w:spacing w:after="0" w:line="240" w:lineRule="atLeast"/>
              <w:jc w:val="both"/>
              <w:rPr>
                <w:rFonts w:ascii="Cambria" w:eastAsia="Calibri" w:hAnsi="Cambria" w:cs="Calibri"/>
                <w:lang w:val="hr-HR"/>
              </w:rPr>
            </w:pPr>
            <w:r w:rsidRPr="00DF4CE5">
              <w:rPr>
                <w:rFonts w:ascii="Cambria" w:eastAsia="Calibri" w:hAnsi="Cambria" w:cs="Calibri"/>
                <w:lang w:val="hr-HR"/>
              </w:rPr>
              <w:t>Vrsta kolegija</w:t>
            </w:r>
          </w:p>
        </w:tc>
        <w:tc>
          <w:tcPr>
            <w:tcW w:w="266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E0DC65B" w14:textId="77777777" w:rsidR="000B2D2C" w:rsidRPr="00DF4CE5" w:rsidRDefault="000B2D2C" w:rsidP="000B2D2C">
            <w:pPr>
              <w:spacing w:after="0" w:line="240" w:lineRule="atLeast"/>
              <w:jc w:val="both"/>
              <w:rPr>
                <w:rFonts w:ascii="Cambria" w:eastAsia="Calibri" w:hAnsi="Cambria" w:cs="Calibri"/>
                <w:lang w:val="hr-HR"/>
              </w:rPr>
            </w:pPr>
            <w:r w:rsidRPr="00DF4CE5">
              <w:rPr>
                <w:rFonts w:ascii="Cambria" w:eastAsia="Calibri" w:hAnsi="Cambria" w:cs="Calibri"/>
                <w:lang w:val="hr-HR"/>
              </w:rPr>
              <w:t xml:space="preserve">obvezan </w:t>
            </w:r>
          </w:p>
          <w:p w14:paraId="017F7BFC" w14:textId="77777777" w:rsidR="000B2D2C" w:rsidRPr="00DF4CE5" w:rsidRDefault="000B2D2C" w:rsidP="000B2D2C">
            <w:pPr>
              <w:spacing w:after="0" w:line="240" w:lineRule="atLeast"/>
              <w:jc w:val="both"/>
              <w:rPr>
                <w:rFonts w:ascii="Cambria" w:eastAsia="Calibri" w:hAnsi="Cambria" w:cs="Calibri"/>
                <w:lang w:val="hr-HR"/>
              </w:rPr>
            </w:pPr>
          </w:p>
        </w:tc>
        <w:tc>
          <w:tcPr>
            <w:tcW w:w="1569"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12C42DBE" w14:textId="77777777" w:rsidR="000B2D2C" w:rsidRPr="00DF4CE5" w:rsidRDefault="000B2D2C" w:rsidP="000B2D2C">
            <w:pPr>
              <w:spacing w:after="0" w:line="240" w:lineRule="atLeast"/>
              <w:jc w:val="both"/>
              <w:rPr>
                <w:rFonts w:ascii="Cambria" w:eastAsia="Calibri" w:hAnsi="Cambria" w:cs="Calibri"/>
                <w:lang w:val="hr-HR"/>
              </w:rPr>
            </w:pPr>
            <w:r w:rsidRPr="00DF4CE5">
              <w:rPr>
                <w:rFonts w:ascii="Cambria" w:eastAsia="Calibri" w:hAnsi="Cambria" w:cs="Calibri"/>
                <w:lang w:val="hr-HR"/>
              </w:rPr>
              <w:t>Razina kolegija</w:t>
            </w:r>
          </w:p>
        </w:tc>
        <w:tc>
          <w:tcPr>
            <w:tcW w:w="2968"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B1B9889" w14:textId="77777777" w:rsidR="000B2D2C" w:rsidRPr="00DF4CE5" w:rsidRDefault="000B2D2C" w:rsidP="000B2D2C">
            <w:pPr>
              <w:spacing w:after="0" w:line="240" w:lineRule="atLeast"/>
              <w:jc w:val="both"/>
              <w:rPr>
                <w:rFonts w:ascii="Cambria" w:eastAsia="Calibri" w:hAnsi="Cambria" w:cs="Calibri"/>
                <w:lang w:val="hr-HR"/>
              </w:rPr>
            </w:pPr>
            <w:proofErr w:type="spellStart"/>
            <w:r w:rsidRPr="00DF4CE5">
              <w:rPr>
                <w:rFonts w:ascii="Cambria" w:eastAsia="Calibri" w:hAnsi="Cambria" w:cs="Calibri"/>
              </w:rPr>
              <w:t>integrirani</w:t>
            </w:r>
            <w:proofErr w:type="spellEnd"/>
          </w:p>
          <w:p w14:paraId="3CB77BD3" w14:textId="77777777" w:rsidR="000B2D2C" w:rsidRPr="00DF4CE5" w:rsidRDefault="000B2D2C" w:rsidP="000B2D2C">
            <w:pPr>
              <w:spacing w:after="0" w:line="240" w:lineRule="atLeast"/>
              <w:jc w:val="both"/>
              <w:rPr>
                <w:rFonts w:ascii="Cambria" w:eastAsia="Calibri" w:hAnsi="Cambria" w:cs="Calibri"/>
                <w:lang w:val="hr-HR"/>
              </w:rPr>
            </w:pPr>
          </w:p>
        </w:tc>
      </w:tr>
      <w:tr w:rsidR="000B2D2C" w:rsidRPr="00DF4CE5" w14:paraId="2581D439" w14:textId="77777777" w:rsidTr="000B2D2C">
        <w:tc>
          <w:tcPr>
            <w:tcW w:w="281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B72E8DB" w14:textId="77777777" w:rsidR="000B2D2C" w:rsidRPr="00DF4CE5" w:rsidRDefault="000B2D2C" w:rsidP="000B2D2C">
            <w:pPr>
              <w:spacing w:after="0" w:line="240" w:lineRule="atLeast"/>
              <w:jc w:val="both"/>
              <w:rPr>
                <w:rFonts w:ascii="Cambria" w:eastAsia="Calibri" w:hAnsi="Cambria" w:cs="Calibri"/>
                <w:lang w:val="hr-HR"/>
              </w:rPr>
            </w:pPr>
            <w:r w:rsidRPr="00DF4CE5">
              <w:rPr>
                <w:rFonts w:ascii="Cambria" w:eastAsia="Calibri" w:hAnsi="Cambria" w:cs="Calibri"/>
                <w:lang w:val="hr-HR"/>
              </w:rPr>
              <w:t>Semestar</w:t>
            </w:r>
          </w:p>
        </w:tc>
        <w:tc>
          <w:tcPr>
            <w:tcW w:w="266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25C02FD" w14:textId="77777777" w:rsidR="000B2D2C" w:rsidRPr="00DF4CE5" w:rsidRDefault="000B2D2C" w:rsidP="000B2D2C">
            <w:pPr>
              <w:spacing w:after="0" w:line="240" w:lineRule="atLeast"/>
              <w:jc w:val="both"/>
              <w:rPr>
                <w:rFonts w:ascii="Cambria" w:eastAsia="Calibri" w:hAnsi="Cambria" w:cs="Calibri"/>
                <w:lang w:val="hr-HR"/>
              </w:rPr>
            </w:pPr>
            <w:r w:rsidRPr="00DF4CE5">
              <w:rPr>
                <w:rFonts w:ascii="Cambria" w:eastAsia="Calibri" w:hAnsi="Cambria" w:cs="Calibri"/>
                <w:lang w:val="hr-HR"/>
              </w:rPr>
              <w:t>zimski</w:t>
            </w:r>
          </w:p>
          <w:p w14:paraId="1EEB46E7" w14:textId="77777777" w:rsidR="000B2D2C" w:rsidRPr="00DF4CE5" w:rsidRDefault="000B2D2C" w:rsidP="000B2D2C">
            <w:pPr>
              <w:spacing w:after="0" w:line="240" w:lineRule="atLeast"/>
              <w:jc w:val="both"/>
              <w:rPr>
                <w:rFonts w:ascii="Cambria" w:eastAsia="Calibri" w:hAnsi="Cambria" w:cs="Calibri"/>
                <w:lang w:val="hr-HR"/>
              </w:rPr>
            </w:pPr>
          </w:p>
        </w:tc>
        <w:tc>
          <w:tcPr>
            <w:tcW w:w="1569"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430BDF17" w14:textId="77777777" w:rsidR="000B2D2C" w:rsidRPr="00DF4CE5" w:rsidRDefault="000B2D2C" w:rsidP="000B2D2C">
            <w:pPr>
              <w:spacing w:after="0" w:line="240" w:lineRule="atLeast"/>
              <w:jc w:val="both"/>
              <w:rPr>
                <w:rFonts w:ascii="Cambria" w:eastAsia="Calibri" w:hAnsi="Cambria" w:cs="Calibri"/>
                <w:lang w:val="hr-HR"/>
              </w:rPr>
            </w:pPr>
            <w:r w:rsidRPr="00DF4CE5">
              <w:rPr>
                <w:rFonts w:ascii="Cambria" w:eastAsia="Calibri" w:hAnsi="Cambria" w:cs="Calibri"/>
                <w:lang w:val="hr-HR"/>
              </w:rPr>
              <w:t>Godina studija</w:t>
            </w:r>
          </w:p>
        </w:tc>
        <w:tc>
          <w:tcPr>
            <w:tcW w:w="2968"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97A57AA" w14:textId="77777777" w:rsidR="000B2D2C" w:rsidRPr="00DF4CE5" w:rsidRDefault="000B2D2C" w:rsidP="000B2D2C">
            <w:pPr>
              <w:spacing w:after="0" w:line="240" w:lineRule="atLeast"/>
              <w:jc w:val="both"/>
              <w:rPr>
                <w:rFonts w:ascii="Cambria" w:eastAsia="Calibri" w:hAnsi="Cambria" w:cs="Calibri"/>
                <w:lang w:val="hr-HR"/>
              </w:rPr>
            </w:pPr>
            <w:r w:rsidRPr="00DF4CE5">
              <w:rPr>
                <w:rFonts w:ascii="Cambria" w:eastAsia="Calibri" w:hAnsi="Cambria" w:cs="Calibri"/>
                <w:lang w:val="hr-HR"/>
              </w:rPr>
              <w:t>III</w:t>
            </w:r>
          </w:p>
        </w:tc>
      </w:tr>
      <w:tr w:rsidR="000B2D2C" w:rsidRPr="00DF4CE5" w14:paraId="2B8E5CF9" w14:textId="77777777" w:rsidTr="000B2D2C">
        <w:tc>
          <w:tcPr>
            <w:tcW w:w="281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0B762C8" w14:textId="77777777" w:rsidR="000B2D2C" w:rsidRPr="00DF4CE5" w:rsidRDefault="000B2D2C" w:rsidP="000B2D2C">
            <w:pPr>
              <w:spacing w:after="0" w:line="240" w:lineRule="atLeast"/>
              <w:jc w:val="both"/>
              <w:rPr>
                <w:rFonts w:ascii="Cambria" w:eastAsia="Calibri" w:hAnsi="Cambria" w:cs="Calibri"/>
                <w:lang w:val="hr-HR"/>
              </w:rPr>
            </w:pPr>
            <w:proofErr w:type="spellStart"/>
            <w:r w:rsidRPr="00DF4CE5">
              <w:rPr>
                <w:rFonts w:ascii="Cambria" w:eastAsia="Calibri" w:hAnsi="Cambria" w:cs="Calibri"/>
              </w:rPr>
              <w:t>Mjesto</w:t>
            </w:r>
            <w:proofErr w:type="spellEnd"/>
            <w:r w:rsidRPr="00DF4CE5">
              <w:rPr>
                <w:rFonts w:ascii="Cambria" w:eastAsia="Calibri" w:hAnsi="Cambria" w:cs="Calibri"/>
              </w:rPr>
              <w:t xml:space="preserve"> </w:t>
            </w:r>
            <w:proofErr w:type="spellStart"/>
            <w:r w:rsidRPr="00DF4CE5">
              <w:rPr>
                <w:rFonts w:ascii="Cambria" w:eastAsia="Calibri" w:hAnsi="Cambria" w:cs="Calibri"/>
              </w:rPr>
              <w:t>izvođenja</w:t>
            </w:r>
            <w:proofErr w:type="spellEnd"/>
          </w:p>
        </w:tc>
        <w:tc>
          <w:tcPr>
            <w:tcW w:w="266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6553E7E" w14:textId="77777777" w:rsidR="000B2D2C" w:rsidRPr="00DF4CE5" w:rsidRDefault="000B2D2C" w:rsidP="000B2D2C">
            <w:pPr>
              <w:spacing w:after="0" w:line="240" w:lineRule="atLeast"/>
              <w:jc w:val="both"/>
              <w:rPr>
                <w:rFonts w:ascii="Cambria" w:eastAsia="Calibri" w:hAnsi="Cambria" w:cs="Calibri"/>
                <w:lang w:val="hr-HR"/>
              </w:rPr>
            </w:pPr>
            <w:r w:rsidRPr="00DF4CE5">
              <w:rPr>
                <w:rFonts w:ascii="Cambria" w:eastAsia="Calibri" w:hAnsi="Cambria" w:cs="Calibri"/>
                <w:lang w:val="hr-HR"/>
              </w:rPr>
              <w:t>Učionica</w:t>
            </w:r>
          </w:p>
        </w:tc>
        <w:tc>
          <w:tcPr>
            <w:tcW w:w="1569"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5F4B2537" w14:textId="77777777" w:rsidR="000B2D2C" w:rsidRPr="00DF4CE5" w:rsidRDefault="000B2D2C" w:rsidP="000B2D2C">
            <w:pPr>
              <w:spacing w:after="0" w:line="240" w:lineRule="atLeast"/>
              <w:jc w:val="both"/>
              <w:rPr>
                <w:rFonts w:ascii="Cambria" w:eastAsia="Calibri" w:hAnsi="Cambria" w:cs="Calibri"/>
                <w:lang w:val="hr-HR"/>
              </w:rPr>
            </w:pPr>
            <w:r w:rsidRPr="00DF4CE5">
              <w:rPr>
                <w:rFonts w:ascii="Cambria" w:eastAsia="Calibri" w:hAnsi="Cambria" w:cs="Calibri"/>
              </w:rPr>
              <w:t>Jezik</w:t>
            </w:r>
            <w:r w:rsidRPr="00DF4CE5">
              <w:rPr>
                <w:rFonts w:ascii="Cambria" w:eastAsia="Calibri" w:hAnsi="Cambria" w:cs="Calibri"/>
                <w:lang w:val="hr-HR"/>
              </w:rPr>
              <w:t xml:space="preserve"> izvođenja </w:t>
            </w:r>
          </w:p>
        </w:tc>
        <w:tc>
          <w:tcPr>
            <w:tcW w:w="2968"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0DF9239" w14:textId="77777777" w:rsidR="000B2D2C" w:rsidRPr="00DF4CE5" w:rsidRDefault="000B2D2C" w:rsidP="000B2D2C">
            <w:pPr>
              <w:spacing w:after="0" w:line="240" w:lineRule="atLeast"/>
              <w:jc w:val="both"/>
              <w:rPr>
                <w:rFonts w:ascii="Cambria" w:eastAsia="Calibri" w:hAnsi="Cambria" w:cs="Calibri"/>
                <w:lang w:val="hr-HR"/>
              </w:rPr>
            </w:pPr>
            <w:r w:rsidRPr="00DF4CE5">
              <w:rPr>
                <w:rFonts w:ascii="Cambria" w:eastAsia="Calibri" w:hAnsi="Cambria" w:cs="Calibri"/>
                <w:lang w:val="hr-HR"/>
              </w:rPr>
              <w:t xml:space="preserve">hrvatski </w:t>
            </w:r>
          </w:p>
          <w:p w14:paraId="7BF971C4" w14:textId="77777777" w:rsidR="000B2D2C" w:rsidRPr="00DF4CE5" w:rsidRDefault="000B2D2C" w:rsidP="000B2D2C">
            <w:pPr>
              <w:spacing w:after="0" w:line="240" w:lineRule="atLeast"/>
              <w:jc w:val="both"/>
              <w:rPr>
                <w:rFonts w:ascii="Cambria" w:eastAsia="Calibri" w:hAnsi="Cambria" w:cs="Calibri"/>
                <w:lang w:val="hr-HR"/>
              </w:rPr>
            </w:pPr>
          </w:p>
        </w:tc>
      </w:tr>
      <w:tr w:rsidR="000B2D2C" w:rsidRPr="00DF4CE5" w14:paraId="22D9B214" w14:textId="77777777" w:rsidTr="000B2D2C">
        <w:tc>
          <w:tcPr>
            <w:tcW w:w="281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F917E2C" w14:textId="77777777" w:rsidR="000B2D2C" w:rsidRPr="00DF4CE5" w:rsidRDefault="000B2D2C" w:rsidP="000B2D2C">
            <w:pPr>
              <w:spacing w:after="0" w:line="240" w:lineRule="atLeast"/>
              <w:jc w:val="both"/>
              <w:rPr>
                <w:rFonts w:ascii="Cambria" w:eastAsia="Calibri" w:hAnsi="Cambria" w:cs="Calibri"/>
                <w:lang w:val="hr-HR"/>
              </w:rPr>
            </w:pPr>
            <w:r w:rsidRPr="00DF4CE5">
              <w:rPr>
                <w:rFonts w:ascii="Cambria" w:eastAsia="Calibri" w:hAnsi="Cambria" w:cs="Calibri"/>
                <w:lang w:val="hr-HR"/>
              </w:rPr>
              <w:t>Broj ECTS bodova</w:t>
            </w:r>
          </w:p>
        </w:tc>
        <w:tc>
          <w:tcPr>
            <w:tcW w:w="266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BA21CEC" w14:textId="77777777" w:rsidR="000B2D2C" w:rsidRPr="00DF4CE5" w:rsidRDefault="000B2D2C" w:rsidP="000B2D2C">
            <w:pPr>
              <w:spacing w:after="0" w:line="240" w:lineRule="atLeast"/>
              <w:jc w:val="both"/>
              <w:rPr>
                <w:rFonts w:ascii="Cambria" w:eastAsia="Calibri" w:hAnsi="Cambria" w:cs="Calibri"/>
                <w:lang w:val="hr-HR"/>
              </w:rPr>
            </w:pPr>
            <w:r w:rsidRPr="00DF4CE5">
              <w:rPr>
                <w:rFonts w:ascii="Cambria" w:eastAsia="Calibri" w:hAnsi="Cambria" w:cs="Calibri"/>
                <w:lang w:val="hr-HR"/>
              </w:rPr>
              <w:t>3</w:t>
            </w:r>
          </w:p>
        </w:tc>
        <w:tc>
          <w:tcPr>
            <w:tcW w:w="1569"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753C79C0" w14:textId="77777777" w:rsidR="000B2D2C" w:rsidRPr="00DF4CE5" w:rsidRDefault="000B2D2C" w:rsidP="000B2D2C">
            <w:pPr>
              <w:spacing w:after="0" w:line="240" w:lineRule="atLeast"/>
              <w:jc w:val="both"/>
              <w:rPr>
                <w:rFonts w:ascii="Cambria" w:eastAsia="Calibri" w:hAnsi="Cambria" w:cs="Calibri"/>
                <w:lang w:val="hr-HR"/>
              </w:rPr>
            </w:pPr>
            <w:r w:rsidRPr="00DF4CE5">
              <w:rPr>
                <w:rFonts w:ascii="Cambria" w:eastAsia="Calibri" w:hAnsi="Cambria" w:cs="Calibri"/>
                <w:lang w:val="hr-HR"/>
              </w:rPr>
              <w:t>Broj sati u semestru</w:t>
            </w:r>
          </w:p>
        </w:tc>
        <w:tc>
          <w:tcPr>
            <w:tcW w:w="2968"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C17A9CC" w14:textId="77777777" w:rsidR="000B2D2C" w:rsidRPr="00DF4CE5" w:rsidRDefault="000B2D2C" w:rsidP="000B2D2C">
            <w:pPr>
              <w:spacing w:after="0" w:line="240" w:lineRule="atLeast"/>
              <w:jc w:val="both"/>
              <w:rPr>
                <w:rFonts w:ascii="Cambria" w:eastAsia="Calibri" w:hAnsi="Cambria" w:cs="Calibri"/>
                <w:lang w:val="hr-HR"/>
              </w:rPr>
            </w:pPr>
            <w:r w:rsidRPr="00DF4CE5">
              <w:rPr>
                <w:rFonts w:ascii="Cambria" w:eastAsia="Calibri" w:hAnsi="Cambria" w:cs="Calibri"/>
                <w:lang w:val="hr-HR"/>
              </w:rPr>
              <w:t>30P – 15S – 0V</w:t>
            </w:r>
          </w:p>
        </w:tc>
      </w:tr>
      <w:tr w:rsidR="000B2D2C" w:rsidRPr="00DF4CE5" w14:paraId="7D2414CE" w14:textId="77777777" w:rsidTr="000B2D2C">
        <w:tc>
          <w:tcPr>
            <w:tcW w:w="281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491813C" w14:textId="77777777" w:rsidR="000B2D2C" w:rsidRPr="00DF4CE5" w:rsidRDefault="000B2D2C" w:rsidP="000B2D2C">
            <w:pPr>
              <w:spacing w:after="0" w:line="240" w:lineRule="atLeast"/>
              <w:jc w:val="both"/>
              <w:rPr>
                <w:rFonts w:ascii="Cambria" w:eastAsia="Calibri" w:hAnsi="Cambria" w:cs="Calibri"/>
                <w:lang w:val="hr-HR"/>
              </w:rPr>
            </w:pPr>
            <w:r w:rsidRPr="00DF4CE5">
              <w:rPr>
                <w:rFonts w:ascii="Cambria" w:eastAsia="Calibri" w:hAnsi="Cambria" w:cs="Calibri"/>
                <w:lang w:val="hr-HR"/>
              </w:rPr>
              <w:t>Preduvjeti za upis i za svladavanje</w:t>
            </w:r>
          </w:p>
        </w:tc>
        <w:tc>
          <w:tcPr>
            <w:tcW w:w="720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D1797B7" w14:textId="77777777" w:rsidR="000B2D2C" w:rsidRPr="00DF4CE5" w:rsidRDefault="000B2D2C" w:rsidP="000B2D2C">
            <w:pPr>
              <w:spacing w:after="0" w:line="240" w:lineRule="atLeast"/>
              <w:jc w:val="both"/>
              <w:rPr>
                <w:rFonts w:ascii="Cambria" w:eastAsia="Calibri" w:hAnsi="Cambria" w:cs="Calibri"/>
                <w:lang w:val="hr-HR"/>
              </w:rPr>
            </w:pPr>
            <w:r w:rsidRPr="00DF4CE5">
              <w:rPr>
                <w:rFonts w:ascii="Cambria" w:eastAsia="Calibri" w:hAnsi="Cambria" w:cs="Calibri"/>
                <w:lang w:val="hr-HR"/>
              </w:rPr>
              <w:t>Nema preduvjeta</w:t>
            </w:r>
          </w:p>
        </w:tc>
      </w:tr>
      <w:tr w:rsidR="000B2D2C" w:rsidRPr="00D0399C" w14:paraId="29BA8049" w14:textId="77777777" w:rsidTr="000B2D2C">
        <w:tc>
          <w:tcPr>
            <w:tcW w:w="281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C3F0E0E" w14:textId="77777777" w:rsidR="000B2D2C" w:rsidRPr="00DF4CE5" w:rsidRDefault="000B2D2C" w:rsidP="000B2D2C">
            <w:pPr>
              <w:spacing w:after="0" w:line="240" w:lineRule="atLeast"/>
              <w:jc w:val="both"/>
              <w:rPr>
                <w:rFonts w:ascii="Cambria" w:eastAsia="Calibri" w:hAnsi="Cambria" w:cs="Calibri"/>
                <w:lang w:val="hr-HR"/>
              </w:rPr>
            </w:pPr>
            <w:proofErr w:type="spellStart"/>
            <w:r w:rsidRPr="00DF4CE5">
              <w:rPr>
                <w:rFonts w:ascii="Cambria" w:eastAsia="Calibri" w:hAnsi="Cambria" w:cs="Calibri"/>
              </w:rPr>
              <w:t>Korelativnost</w:t>
            </w:r>
            <w:proofErr w:type="spellEnd"/>
          </w:p>
        </w:tc>
        <w:tc>
          <w:tcPr>
            <w:tcW w:w="720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A0B2C97" w14:textId="77777777" w:rsidR="000B2D2C" w:rsidRPr="00DF4CE5" w:rsidRDefault="000B2D2C" w:rsidP="000B2D2C">
            <w:pPr>
              <w:spacing w:after="0" w:line="240" w:lineRule="atLeast"/>
              <w:jc w:val="both"/>
              <w:rPr>
                <w:rFonts w:ascii="Cambria" w:eastAsia="Calibri" w:hAnsi="Cambria" w:cs="Calibri"/>
                <w:lang w:val="hr-HR"/>
              </w:rPr>
            </w:pPr>
            <w:r w:rsidRPr="00DF4CE5">
              <w:rPr>
                <w:rFonts w:ascii="Cambria" w:eastAsia="Calibri" w:hAnsi="Cambria" w:cs="Calibri"/>
                <w:lang w:val="hr-HR"/>
              </w:rPr>
              <w:t>Pedagogija, Didaktika, Edukacijska psihologija, Inkluzivna pedagogija, Obiteljska pedagogija</w:t>
            </w:r>
          </w:p>
        </w:tc>
      </w:tr>
      <w:tr w:rsidR="000B2D2C" w:rsidRPr="00D0399C" w14:paraId="266AB71C" w14:textId="77777777" w:rsidTr="000B2D2C">
        <w:tc>
          <w:tcPr>
            <w:tcW w:w="281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2D84BC8" w14:textId="77777777" w:rsidR="000B2D2C" w:rsidRPr="00DF4CE5" w:rsidRDefault="000B2D2C" w:rsidP="000B2D2C">
            <w:pPr>
              <w:spacing w:after="0" w:line="240" w:lineRule="atLeast"/>
              <w:jc w:val="both"/>
              <w:rPr>
                <w:rFonts w:ascii="Cambria" w:eastAsia="Calibri" w:hAnsi="Cambria" w:cs="Calibri"/>
                <w:lang w:val="hr-HR"/>
              </w:rPr>
            </w:pPr>
            <w:r w:rsidRPr="00DF4CE5">
              <w:rPr>
                <w:rFonts w:ascii="Cambria" w:eastAsia="Calibri" w:hAnsi="Cambria" w:cs="Calibri"/>
                <w:lang w:val="hr-HR"/>
              </w:rPr>
              <w:t xml:space="preserve">Cilj kolegija </w:t>
            </w:r>
          </w:p>
        </w:tc>
        <w:tc>
          <w:tcPr>
            <w:tcW w:w="720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EE01AA2" w14:textId="77777777" w:rsidR="000B2D2C" w:rsidRPr="00DF4CE5" w:rsidRDefault="000B2D2C" w:rsidP="000B2D2C">
            <w:pPr>
              <w:spacing w:after="0" w:line="240" w:lineRule="atLeast"/>
              <w:jc w:val="both"/>
              <w:rPr>
                <w:rFonts w:ascii="Cambria" w:eastAsia="Calibri" w:hAnsi="Cambria" w:cs="Calibri"/>
                <w:lang w:val="hr-HR"/>
              </w:rPr>
            </w:pPr>
            <w:r w:rsidRPr="00DF4CE5">
              <w:rPr>
                <w:rFonts w:ascii="Cambria" w:eastAsia="Calibri" w:hAnsi="Cambria" w:cs="Calibri"/>
                <w:lang w:val="hr-HR"/>
              </w:rPr>
              <w:t>usvojiti kompetencije za uočavanje manifestacija problema u ponašanju u učenika mlađe osnovnoškolske dobi s posebnim naglaskom na posebnostima učenika s deficitom pažnje/hiperaktivnim poremećajem (ADHD-om)</w:t>
            </w:r>
          </w:p>
        </w:tc>
      </w:tr>
      <w:tr w:rsidR="000B2D2C" w:rsidRPr="00D0399C" w14:paraId="13962DEA" w14:textId="77777777" w:rsidTr="000B2D2C">
        <w:tc>
          <w:tcPr>
            <w:tcW w:w="281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6FF6331" w14:textId="77777777" w:rsidR="000B2D2C" w:rsidRPr="00DF4CE5" w:rsidRDefault="000B2D2C" w:rsidP="000B2D2C">
            <w:pPr>
              <w:spacing w:after="0" w:line="240" w:lineRule="atLeast"/>
              <w:jc w:val="both"/>
              <w:rPr>
                <w:rFonts w:ascii="Cambria" w:eastAsia="Calibri" w:hAnsi="Cambria" w:cs="Calibri"/>
                <w:lang w:val="hr-HR"/>
              </w:rPr>
            </w:pPr>
            <w:r w:rsidRPr="00DF4CE5">
              <w:rPr>
                <w:rFonts w:ascii="Cambria" w:eastAsia="Calibri" w:hAnsi="Cambria" w:cs="Calibri"/>
                <w:lang w:val="hr-HR"/>
              </w:rPr>
              <w:t>Ishodi učenja</w:t>
            </w:r>
          </w:p>
        </w:tc>
        <w:tc>
          <w:tcPr>
            <w:tcW w:w="720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E8D4D94" w14:textId="77777777" w:rsidR="000B2D2C" w:rsidRPr="00DF4CE5" w:rsidRDefault="000B2D2C" w:rsidP="000B2D2C">
            <w:pPr>
              <w:spacing w:after="0" w:line="240" w:lineRule="atLeast"/>
              <w:jc w:val="both"/>
              <w:rPr>
                <w:rFonts w:ascii="Cambria" w:eastAsia="Calibri" w:hAnsi="Cambria" w:cs="Calibri"/>
                <w:lang w:val="hr-HR"/>
              </w:rPr>
            </w:pPr>
            <w:r w:rsidRPr="00DF4CE5">
              <w:rPr>
                <w:rFonts w:ascii="Cambria" w:eastAsia="Calibri" w:hAnsi="Cambria" w:cs="Calibri"/>
                <w:lang w:val="hr-HR"/>
              </w:rPr>
              <w:t>1. opisati specifičnosti u funkcioniranju učenika s problemima u ponašanju i učenika s deficitom pažnje/hiperaktivnim poremećajem u nastavnom okruženju, te njihove etiološke čimbenike</w:t>
            </w:r>
          </w:p>
          <w:p w14:paraId="3DE60D7E" w14:textId="77777777" w:rsidR="000B2D2C" w:rsidRPr="00DF4CE5" w:rsidRDefault="000B2D2C" w:rsidP="000B2D2C">
            <w:pPr>
              <w:spacing w:after="0" w:line="240" w:lineRule="atLeast"/>
              <w:jc w:val="both"/>
              <w:rPr>
                <w:rFonts w:ascii="Cambria" w:eastAsia="Calibri" w:hAnsi="Cambria" w:cs="Calibri"/>
                <w:lang w:val="hr-HR"/>
              </w:rPr>
            </w:pPr>
            <w:r w:rsidRPr="00DF4CE5">
              <w:rPr>
                <w:rFonts w:ascii="Cambria" w:eastAsia="Calibri" w:hAnsi="Cambria" w:cs="Calibri"/>
                <w:lang w:val="hr-HR"/>
              </w:rPr>
              <w:t xml:space="preserve">2. prepoznati specifičnosti u funkcioniranju učenika s problemima u ponašanju i učenika s deficitom pažnje/hiperaktivnim poremećajem </w:t>
            </w:r>
          </w:p>
          <w:p w14:paraId="3DA075D0" w14:textId="77777777" w:rsidR="000B2D2C" w:rsidRPr="00DF4CE5" w:rsidRDefault="000B2D2C" w:rsidP="000B2D2C">
            <w:pPr>
              <w:spacing w:after="0" w:line="240" w:lineRule="atLeast"/>
              <w:jc w:val="both"/>
              <w:rPr>
                <w:rFonts w:ascii="Cambria" w:eastAsia="Calibri" w:hAnsi="Cambria" w:cs="Calibri"/>
                <w:lang w:val="hr-HR"/>
              </w:rPr>
            </w:pPr>
            <w:r w:rsidRPr="00DF4CE5">
              <w:rPr>
                <w:rFonts w:ascii="Cambria" w:eastAsia="Calibri" w:hAnsi="Cambria" w:cs="Calibri"/>
                <w:lang w:val="hr-HR"/>
              </w:rPr>
              <w:t xml:space="preserve">3. primijeniti stečene spoznaje u radu s učenicima s  problemima u ponašanju odnosno deficitom pažnje/hiperaktivnim poremećajem </w:t>
            </w:r>
          </w:p>
          <w:p w14:paraId="4FD47AA3" w14:textId="77777777" w:rsidR="000B2D2C" w:rsidRPr="00DF4CE5" w:rsidRDefault="000B2D2C" w:rsidP="000B2D2C">
            <w:pPr>
              <w:spacing w:after="0" w:line="240" w:lineRule="atLeast"/>
              <w:jc w:val="both"/>
              <w:rPr>
                <w:rFonts w:ascii="Cambria" w:eastAsia="Calibri" w:hAnsi="Cambria" w:cs="Calibri"/>
                <w:lang w:val="hr-HR"/>
              </w:rPr>
            </w:pPr>
            <w:r w:rsidRPr="00DF4CE5">
              <w:rPr>
                <w:rFonts w:ascii="Cambria" w:eastAsia="Calibri" w:hAnsi="Cambria" w:cs="Calibri"/>
                <w:lang w:val="hr-HR"/>
              </w:rPr>
              <w:t xml:space="preserve">4. analizirati osobitosti u ponašanju učenika s problemima u ponašanju odnosno deficitom pažnje/hiperaktivnim poremećajem  </w:t>
            </w:r>
          </w:p>
          <w:p w14:paraId="2571A365" w14:textId="77777777" w:rsidR="000B2D2C" w:rsidRPr="00DF4CE5" w:rsidRDefault="000B2D2C" w:rsidP="000B2D2C">
            <w:pPr>
              <w:spacing w:after="0" w:line="240" w:lineRule="atLeast"/>
              <w:jc w:val="both"/>
              <w:rPr>
                <w:rFonts w:ascii="Cambria" w:eastAsia="Calibri" w:hAnsi="Cambria" w:cs="Calibri"/>
                <w:lang w:val="hr-HR"/>
              </w:rPr>
            </w:pPr>
            <w:r w:rsidRPr="00DF4CE5">
              <w:rPr>
                <w:rFonts w:ascii="Cambria" w:eastAsia="Calibri" w:hAnsi="Cambria" w:cs="Calibri"/>
                <w:lang w:val="hr-HR"/>
              </w:rPr>
              <w:t>5. procijeniti razvojne potencijale učenika s problemima u ponašanju odnosno deficitom pažnje/hiperaktivnim poremećajem</w:t>
            </w:r>
          </w:p>
        </w:tc>
      </w:tr>
      <w:tr w:rsidR="000B2D2C" w:rsidRPr="00D0399C" w14:paraId="17179B91" w14:textId="77777777" w:rsidTr="000B2D2C">
        <w:tc>
          <w:tcPr>
            <w:tcW w:w="2815"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036C23C8" w14:textId="77777777" w:rsidR="000B2D2C" w:rsidRPr="00DF4CE5" w:rsidRDefault="000B2D2C" w:rsidP="000B2D2C">
            <w:pPr>
              <w:spacing w:after="0" w:line="240" w:lineRule="atLeast"/>
              <w:jc w:val="both"/>
              <w:rPr>
                <w:rFonts w:ascii="Cambria" w:eastAsia="Calibri" w:hAnsi="Cambria" w:cs="Calibri"/>
                <w:lang w:val="hr-HR"/>
              </w:rPr>
            </w:pPr>
            <w:r w:rsidRPr="00DF4CE5">
              <w:rPr>
                <w:rFonts w:ascii="Cambria" w:eastAsia="Calibri" w:hAnsi="Cambria" w:cs="Calibri"/>
                <w:lang w:val="hr-HR"/>
              </w:rPr>
              <w:t>Sadržaj kolegija</w:t>
            </w:r>
          </w:p>
        </w:tc>
        <w:tc>
          <w:tcPr>
            <w:tcW w:w="7205"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6A564DA" w14:textId="77777777" w:rsidR="000B2D2C" w:rsidRPr="00DF4CE5" w:rsidRDefault="000B2D2C" w:rsidP="000B2D2C">
            <w:pPr>
              <w:spacing w:after="0" w:line="240" w:lineRule="atLeast"/>
              <w:jc w:val="both"/>
              <w:rPr>
                <w:rFonts w:ascii="Cambria" w:eastAsia="Calibri" w:hAnsi="Cambria" w:cs="Calibri"/>
                <w:lang w:val="hr-HR"/>
              </w:rPr>
            </w:pPr>
            <w:r w:rsidRPr="00DF4CE5">
              <w:rPr>
                <w:rFonts w:ascii="Cambria" w:eastAsia="Calibri" w:hAnsi="Cambria" w:cs="Calibri"/>
                <w:lang w:val="hr-HR"/>
              </w:rPr>
              <w:t xml:space="preserve">1.Etiologija i učestalost problema u ponašanju u učenika mlađe osnovnoškolske dobi </w:t>
            </w:r>
          </w:p>
          <w:p w14:paraId="721AFE0C" w14:textId="77777777" w:rsidR="000B2D2C" w:rsidRPr="00DF4CE5" w:rsidRDefault="000B2D2C" w:rsidP="000B2D2C">
            <w:pPr>
              <w:spacing w:after="0" w:line="240" w:lineRule="atLeast"/>
              <w:jc w:val="both"/>
              <w:rPr>
                <w:rFonts w:ascii="Cambria" w:eastAsia="Calibri" w:hAnsi="Cambria" w:cs="Calibri"/>
                <w:lang w:val="hr-HR"/>
              </w:rPr>
            </w:pPr>
            <w:r w:rsidRPr="00DF4CE5">
              <w:rPr>
                <w:rFonts w:ascii="Cambria" w:eastAsia="Calibri" w:hAnsi="Cambria" w:cs="Calibri"/>
                <w:lang w:val="hr-HR"/>
              </w:rPr>
              <w:t>2. Klasifikacija problema u ponašanju kod učenika u razrednoj nastavi</w:t>
            </w:r>
          </w:p>
          <w:p w14:paraId="1091000F" w14:textId="77777777" w:rsidR="000B2D2C" w:rsidRPr="00DF4CE5" w:rsidRDefault="000B2D2C" w:rsidP="000B2D2C">
            <w:pPr>
              <w:spacing w:after="0" w:line="240" w:lineRule="atLeast"/>
              <w:jc w:val="both"/>
              <w:rPr>
                <w:rFonts w:ascii="Cambria" w:eastAsia="Calibri" w:hAnsi="Cambria" w:cs="Calibri"/>
                <w:lang w:val="hr-HR"/>
              </w:rPr>
            </w:pPr>
            <w:r w:rsidRPr="00DF4CE5">
              <w:rPr>
                <w:rFonts w:ascii="Cambria" w:eastAsia="Calibri" w:hAnsi="Cambria" w:cs="Calibri"/>
                <w:lang w:val="hr-HR"/>
              </w:rPr>
              <w:t>3. Učenik s deficitom pažnje/hiperaktivnim poremećajem (ADHD)</w:t>
            </w:r>
          </w:p>
          <w:p w14:paraId="25BBEFEE" w14:textId="77777777" w:rsidR="000B2D2C" w:rsidRPr="00DF4CE5" w:rsidRDefault="000B2D2C" w:rsidP="000B2D2C">
            <w:pPr>
              <w:spacing w:after="0" w:line="240" w:lineRule="atLeast"/>
              <w:ind w:left="1128"/>
              <w:jc w:val="both"/>
              <w:rPr>
                <w:rFonts w:ascii="Cambria" w:eastAsia="Calibri" w:hAnsi="Cambria" w:cs="Calibri"/>
                <w:lang w:val="hr-HR"/>
              </w:rPr>
            </w:pPr>
            <w:r w:rsidRPr="00DF4CE5">
              <w:rPr>
                <w:rFonts w:ascii="Cambria" w:eastAsia="Calibri" w:hAnsi="Cambria" w:cs="Calibri"/>
                <w:lang w:val="hr-HR"/>
              </w:rPr>
              <w:t>a) Simptomi deficita pažnje</w:t>
            </w:r>
          </w:p>
          <w:p w14:paraId="35F044F2" w14:textId="77777777" w:rsidR="000B2D2C" w:rsidRPr="00DF4CE5" w:rsidRDefault="000B2D2C" w:rsidP="000B2D2C">
            <w:pPr>
              <w:spacing w:after="0" w:line="240" w:lineRule="atLeast"/>
              <w:ind w:left="1128"/>
              <w:jc w:val="both"/>
              <w:rPr>
                <w:rFonts w:ascii="Cambria" w:eastAsia="Calibri" w:hAnsi="Cambria" w:cs="Calibri"/>
                <w:lang w:val="hr-HR"/>
              </w:rPr>
            </w:pPr>
            <w:r w:rsidRPr="00DF4CE5">
              <w:rPr>
                <w:rFonts w:ascii="Cambria" w:eastAsia="Calibri" w:hAnsi="Cambria" w:cs="Calibri"/>
                <w:lang w:val="hr-HR"/>
              </w:rPr>
              <w:t>b) Simptomi hiperaktivnosti-impulzivnosti</w:t>
            </w:r>
          </w:p>
          <w:p w14:paraId="5D91B654" w14:textId="77777777" w:rsidR="000B2D2C" w:rsidRPr="00DF4CE5" w:rsidRDefault="000B2D2C" w:rsidP="000B2D2C">
            <w:pPr>
              <w:spacing w:after="0" w:line="240" w:lineRule="atLeast"/>
              <w:jc w:val="both"/>
              <w:rPr>
                <w:rFonts w:ascii="Cambria" w:eastAsia="Calibri" w:hAnsi="Cambria" w:cs="Calibri"/>
                <w:lang w:val="hr-HR"/>
              </w:rPr>
            </w:pPr>
            <w:r w:rsidRPr="00DF4CE5">
              <w:rPr>
                <w:rFonts w:ascii="Cambria" w:eastAsia="Calibri" w:hAnsi="Cambria" w:cs="Calibri"/>
                <w:lang w:val="hr-HR"/>
              </w:rPr>
              <w:t xml:space="preserve">                       c) </w:t>
            </w:r>
            <w:proofErr w:type="spellStart"/>
            <w:r w:rsidRPr="00DF4CE5">
              <w:rPr>
                <w:rFonts w:ascii="Cambria" w:eastAsia="Calibri" w:hAnsi="Cambria" w:cs="Calibri"/>
                <w:lang w:val="hr-HR"/>
              </w:rPr>
              <w:t>Komorbiditet</w:t>
            </w:r>
            <w:proofErr w:type="spellEnd"/>
            <w:r w:rsidRPr="00DF4CE5">
              <w:rPr>
                <w:rFonts w:ascii="Cambria" w:eastAsia="Calibri" w:hAnsi="Cambria" w:cs="Calibri"/>
                <w:lang w:val="hr-HR"/>
              </w:rPr>
              <w:t xml:space="preserve"> kod ADHD</w:t>
            </w:r>
          </w:p>
          <w:p w14:paraId="3A0C9A1E" w14:textId="77777777" w:rsidR="000B2D2C" w:rsidRPr="00DF4CE5" w:rsidRDefault="000B2D2C" w:rsidP="000B2D2C">
            <w:pPr>
              <w:spacing w:after="0" w:line="240" w:lineRule="atLeast"/>
              <w:jc w:val="both"/>
              <w:rPr>
                <w:rFonts w:ascii="Cambria" w:eastAsia="Calibri" w:hAnsi="Cambria" w:cs="Calibri"/>
                <w:lang w:val="hr-HR"/>
              </w:rPr>
            </w:pPr>
            <w:r w:rsidRPr="00DF4CE5">
              <w:rPr>
                <w:rFonts w:ascii="Cambria" w:eastAsia="Calibri" w:hAnsi="Cambria" w:cs="Calibri"/>
                <w:lang w:val="hr-HR"/>
              </w:rPr>
              <w:t>4. Suvremeni pristupi u školovanju učenika s ADHD-om</w:t>
            </w:r>
          </w:p>
          <w:p w14:paraId="1081566E" w14:textId="77777777" w:rsidR="000B2D2C" w:rsidRPr="00DF4CE5" w:rsidRDefault="000B2D2C" w:rsidP="000B2D2C">
            <w:pPr>
              <w:spacing w:after="0" w:line="240" w:lineRule="atLeast"/>
              <w:jc w:val="both"/>
              <w:rPr>
                <w:rFonts w:ascii="Cambria" w:eastAsia="Calibri" w:hAnsi="Cambria" w:cs="Calibri"/>
                <w:lang w:val="hr-HR"/>
              </w:rPr>
            </w:pPr>
            <w:r w:rsidRPr="00DF4CE5">
              <w:rPr>
                <w:rFonts w:ascii="Cambria" w:eastAsia="Calibri" w:hAnsi="Cambria" w:cs="Calibri"/>
                <w:lang w:val="hr-HR"/>
              </w:rPr>
              <w:t>5. Posebnosti učenika s ADHD- om u nastavnom procesu</w:t>
            </w:r>
          </w:p>
          <w:p w14:paraId="4CDD7228" w14:textId="77777777" w:rsidR="000B2D2C" w:rsidRPr="00DF4CE5" w:rsidRDefault="000B2D2C" w:rsidP="000B2D2C">
            <w:pPr>
              <w:spacing w:after="0" w:line="240" w:lineRule="atLeast"/>
              <w:jc w:val="both"/>
              <w:rPr>
                <w:rFonts w:ascii="Cambria" w:eastAsia="Calibri" w:hAnsi="Cambria" w:cs="Calibri"/>
                <w:lang w:val="hr-HR"/>
              </w:rPr>
            </w:pPr>
            <w:r w:rsidRPr="00DF4CE5">
              <w:rPr>
                <w:rFonts w:ascii="Cambria" w:eastAsia="Calibri" w:hAnsi="Cambria" w:cs="Calibri"/>
                <w:lang w:val="hr-HR"/>
              </w:rPr>
              <w:t xml:space="preserve">6. Odnos učitelja i dijete s ADHD - om </w:t>
            </w:r>
          </w:p>
          <w:p w14:paraId="66714B36" w14:textId="77777777" w:rsidR="000B2D2C" w:rsidRPr="00DF4CE5" w:rsidRDefault="000B2D2C" w:rsidP="000B2D2C">
            <w:pPr>
              <w:spacing w:after="0" w:line="240" w:lineRule="atLeast"/>
              <w:jc w:val="both"/>
              <w:rPr>
                <w:rFonts w:ascii="Cambria" w:eastAsia="Calibri" w:hAnsi="Cambria" w:cs="Calibri"/>
                <w:lang w:val="hr-HR"/>
              </w:rPr>
            </w:pPr>
            <w:r w:rsidRPr="00DF4CE5">
              <w:rPr>
                <w:rFonts w:ascii="Cambria" w:eastAsia="Calibri" w:hAnsi="Cambria" w:cs="Calibri"/>
                <w:lang w:val="hr-HR"/>
              </w:rPr>
              <w:t>7. Metodički postupci prilagodbe u radu s učenicima s ADHD - om</w:t>
            </w:r>
          </w:p>
          <w:p w14:paraId="235F38ED" w14:textId="77777777" w:rsidR="000B2D2C" w:rsidRPr="00DF4CE5" w:rsidRDefault="000B2D2C" w:rsidP="000B2D2C">
            <w:pPr>
              <w:spacing w:after="0" w:line="240" w:lineRule="atLeast"/>
              <w:jc w:val="both"/>
              <w:rPr>
                <w:rFonts w:ascii="Cambria" w:eastAsia="Calibri" w:hAnsi="Cambria" w:cs="Calibri"/>
                <w:lang w:val="hr-HR"/>
              </w:rPr>
            </w:pPr>
            <w:r w:rsidRPr="00DF4CE5">
              <w:rPr>
                <w:rFonts w:ascii="Cambria" w:eastAsia="Calibri" w:hAnsi="Cambria" w:cs="Calibri"/>
                <w:lang w:val="hr-HR"/>
              </w:rPr>
              <w:lastRenderedPageBreak/>
              <w:t>8 .Vršnjačka skupina: socijalna adaptacija učenika s ADHD-om</w:t>
            </w:r>
          </w:p>
        </w:tc>
      </w:tr>
      <w:tr w:rsidR="000B2D2C" w:rsidRPr="00DF4CE5" w14:paraId="609B75C6" w14:textId="77777777" w:rsidTr="000B2D2C">
        <w:tc>
          <w:tcPr>
            <w:tcW w:w="2815"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7FB7B761" w14:textId="77777777" w:rsidR="000B2D2C" w:rsidRPr="00DF4CE5" w:rsidRDefault="000B2D2C" w:rsidP="000B2D2C">
            <w:pPr>
              <w:spacing w:after="0" w:line="240" w:lineRule="atLeast"/>
              <w:jc w:val="both"/>
              <w:rPr>
                <w:rFonts w:ascii="Cambria" w:eastAsia="Calibri" w:hAnsi="Cambria" w:cs="Calibri"/>
                <w:lang w:val="hr-HR"/>
              </w:rPr>
            </w:pPr>
            <w:r w:rsidRPr="00DF4CE5">
              <w:rPr>
                <w:rFonts w:ascii="Cambria" w:eastAsia="Calibri" w:hAnsi="Cambria" w:cs="Calibri"/>
                <w:lang w:val="hr-HR"/>
              </w:rPr>
              <w:lastRenderedPageBreak/>
              <w:t>Planirane aktivnosti,</w:t>
            </w:r>
          </w:p>
          <w:p w14:paraId="4602FCCC" w14:textId="77777777" w:rsidR="000B2D2C" w:rsidRPr="00DF4CE5" w:rsidRDefault="000B2D2C" w:rsidP="000B2D2C">
            <w:pPr>
              <w:spacing w:after="0" w:line="240" w:lineRule="atLeast"/>
              <w:jc w:val="both"/>
              <w:rPr>
                <w:rFonts w:ascii="Cambria" w:eastAsia="Calibri" w:hAnsi="Cambria" w:cs="Calibri"/>
                <w:lang w:val="hr-HR"/>
              </w:rPr>
            </w:pPr>
            <w:proofErr w:type="spellStart"/>
            <w:r w:rsidRPr="00DF4CE5">
              <w:rPr>
                <w:rFonts w:ascii="Cambria" w:eastAsia="Calibri" w:hAnsi="Cambria" w:cs="Calibri"/>
                <w:lang w:val="it-IT"/>
              </w:rPr>
              <w:t>metode</w:t>
            </w:r>
            <w:proofErr w:type="spellEnd"/>
            <w:r w:rsidRPr="00DF4CE5">
              <w:rPr>
                <w:rFonts w:ascii="Cambria" w:eastAsia="Calibri" w:hAnsi="Cambria" w:cs="Calibri"/>
                <w:lang w:val="hr-HR"/>
              </w:rPr>
              <w:t xml:space="preserve"> učenja i poučavanja i načini vrednovanja</w:t>
            </w:r>
          </w:p>
          <w:p w14:paraId="7BA901FC" w14:textId="77777777" w:rsidR="000B2D2C" w:rsidRPr="00DF4CE5" w:rsidRDefault="000B2D2C" w:rsidP="000B2D2C">
            <w:pPr>
              <w:spacing w:after="0" w:line="240" w:lineRule="atLeast"/>
              <w:jc w:val="both"/>
              <w:rPr>
                <w:rFonts w:ascii="Cambria" w:eastAsia="Calibri" w:hAnsi="Cambria" w:cs="Calibri"/>
                <w:lang w:val="hr-HR"/>
              </w:rPr>
            </w:pPr>
          </w:p>
        </w:tc>
        <w:tc>
          <w:tcPr>
            <w:tcW w:w="277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DBE259F" w14:textId="77777777" w:rsidR="000B2D2C" w:rsidRPr="00DF4CE5" w:rsidRDefault="000B2D2C" w:rsidP="000B2D2C">
            <w:pPr>
              <w:spacing w:after="0" w:line="240" w:lineRule="atLeast"/>
              <w:jc w:val="both"/>
              <w:rPr>
                <w:rFonts w:ascii="Cambria" w:eastAsia="Calibri" w:hAnsi="Cambria" w:cs="Calibri"/>
                <w:lang w:val="hr-HR"/>
              </w:rPr>
            </w:pPr>
            <w:r w:rsidRPr="00DF4CE5">
              <w:rPr>
                <w:rFonts w:ascii="Cambria" w:eastAsia="Calibri" w:hAnsi="Cambria" w:cs="Calibri"/>
                <w:bCs/>
                <w:lang w:val="hr-HR"/>
              </w:rPr>
              <w:t>Obveze</w:t>
            </w:r>
          </w:p>
          <w:p w14:paraId="22B60F05" w14:textId="77777777" w:rsidR="000B2D2C" w:rsidRPr="00DF4CE5" w:rsidRDefault="000B2D2C" w:rsidP="000B2D2C">
            <w:pPr>
              <w:spacing w:after="0" w:line="240" w:lineRule="atLeast"/>
              <w:jc w:val="both"/>
              <w:rPr>
                <w:rFonts w:ascii="Cambria" w:eastAsia="Calibri" w:hAnsi="Cambria" w:cs="Calibri"/>
                <w:lang w:val="hr-HR"/>
              </w:rPr>
            </w:pPr>
          </w:p>
        </w:tc>
        <w:tc>
          <w:tcPr>
            <w:tcW w:w="11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D6AE684" w14:textId="77777777" w:rsidR="000B2D2C" w:rsidRPr="00DF4CE5" w:rsidRDefault="000B2D2C" w:rsidP="000B2D2C">
            <w:pPr>
              <w:spacing w:after="0" w:line="240" w:lineRule="atLeast"/>
              <w:jc w:val="both"/>
              <w:rPr>
                <w:rFonts w:ascii="Cambria" w:eastAsia="Calibri" w:hAnsi="Cambria" w:cs="Calibri"/>
                <w:bCs/>
                <w:lang w:val="hr-HR"/>
              </w:rPr>
            </w:pPr>
          </w:p>
          <w:p w14:paraId="491A3C88" w14:textId="77777777" w:rsidR="000B2D2C" w:rsidRPr="00DF4CE5" w:rsidRDefault="000B2D2C" w:rsidP="000B2D2C">
            <w:pPr>
              <w:spacing w:after="0" w:line="240" w:lineRule="atLeast"/>
              <w:jc w:val="both"/>
              <w:rPr>
                <w:rFonts w:ascii="Cambria" w:eastAsia="Calibri" w:hAnsi="Cambria" w:cs="Calibri"/>
                <w:lang w:val="hr-HR"/>
              </w:rPr>
            </w:pPr>
            <w:r w:rsidRPr="00DF4CE5">
              <w:rPr>
                <w:rFonts w:ascii="Cambria" w:eastAsia="Calibri" w:hAnsi="Cambria" w:cs="Calibri"/>
                <w:bCs/>
                <w:lang w:val="hr-HR"/>
              </w:rPr>
              <w:t>Ishodi</w:t>
            </w:r>
          </w:p>
          <w:p w14:paraId="0E90FA70" w14:textId="77777777" w:rsidR="000B2D2C" w:rsidRPr="00DF4CE5" w:rsidRDefault="000B2D2C" w:rsidP="000B2D2C">
            <w:pPr>
              <w:spacing w:after="0" w:line="240" w:lineRule="atLeast"/>
              <w:jc w:val="both"/>
              <w:rPr>
                <w:rFonts w:ascii="Cambria" w:eastAsia="Calibri" w:hAnsi="Cambria" w:cs="Calibri"/>
                <w:lang w:val="hr-HR"/>
              </w:rPr>
            </w:pPr>
          </w:p>
        </w:tc>
        <w:tc>
          <w:tcPr>
            <w:tcW w:w="76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AE443AC" w14:textId="77777777" w:rsidR="000B2D2C" w:rsidRPr="00DF4CE5" w:rsidRDefault="000B2D2C" w:rsidP="000B2D2C">
            <w:pPr>
              <w:spacing w:after="0" w:line="240" w:lineRule="atLeast"/>
              <w:jc w:val="both"/>
              <w:rPr>
                <w:rFonts w:ascii="Cambria" w:eastAsia="Calibri" w:hAnsi="Cambria" w:cs="Calibri"/>
                <w:lang w:val="hr-HR"/>
              </w:rPr>
            </w:pPr>
            <w:r w:rsidRPr="00DF4CE5">
              <w:rPr>
                <w:rFonts w:ascii="Cambria" w:eastAsia="Calibri" w:hAnsi="Cambria" w:cs="Calibri"/>
                <w:bCs/>
                <w:lang w:val="hr-HR"/>
              </w:rPr>
              <w:t>Sati</w:t>
            </w:r>
          </w:p>
        </w:tc>
        <w:tc>
          <w:tcPr>
            <w:tcW w:w="83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2050509" w14:textId="77777777" w:rsidR="000B2D2C" w:rsidRPr="00DF4CE5" w:rsidRDefault="000B2D2C" w:rsidP="000B2D2C">
            <w:pPr>
              <w:spacing w:after="0" w:line="240" w:lineRule="atLeast"/>
              <w:jc w:val="both"/>
              <w:rPr>
                <w:rFonts w:ascii="Cambria" w:eastAsia="Calibri" w:hAnsi="Cambria" w:cs="Calibri"/>
                <w:lang w:val="hr-HR"/>
              </w:rPr>
            </w:pPr>
            <w:r w:rsidRPr="00DF4CE5">
              <w:rPr>
                <w:rFonts w:ascii="Cambria" w:eastAsia="Calibri" w:hAnsi="Cambria" w:cs="Calibri"/>
                <w:bCs/>
                <w:lang w:val="hr-HR"/>
              </w:rPr>
              <w:t>ECTS</w:t>
            </w:r>
          </w:p>
        </w:tc>
        <w:tc>
          <w:tcPr>
            <w:tcW w:w="16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59F054F" w14:textId="77777777" w:rsidR="000B2D2C" w:rsidRPr="00DF4CE5" w:rsidRDefault="000B2D2C" w:rsidP="000B2D2C">
            <w:pPr>
              <w:spacing w:after="0" w:line="240" w:lineRule="atLeast"/>
              <w:jc w:val="both"/>
              <w:rPr>
                <w:rFonts w:ascii="Cambria" w:eastAsia="Calibri" w:hAnsi="Cambria" w:cs="Calibri"/>
                <w:lang w:val="hr-HR"/>
              </w:rPr>
            </w:pPr>
            <w:r w:rsidRPr="00DF4CE5">
              <w:rPr>
                <w:rFonts w:ascii="Cambria" w:eastAsia="Calibri" w:hAnsi="Cambria" w:cs="Calibri"/>
                <w:bCs/>
                <w:lang w:val="hr-HR"/>
              </w:rPr>
              <w:t>Maksimalni udio u ocjeni</w:t>
            </w:r>
            <w:r w:rsidRPr="00DF4CE5">
              <w:rPr>
                <w:rFonts w:ascii="Cambria" w:eastAsia="Calibri" w:hAnsi="Cambria" w:cs="Calibri"/>
                <w:bCs/>
              </w:rPr>
              <w:t xml:space="preserve"> (%)</w:t>
            </w:r>
          </w:p>
        </w:tc>
      </w:tr>
      <w:tr w:rsidR="000B2D2C" w:rsidRPr="00DF4CE5" w14:paraId="39BD5E5C" w14:textId="77777777" w:rsidTr="000B2D2C">
        <w:tc>
          <w:tcPr>
            <w:tcW w:w="2815" w:type="dxa"/>
            <w:vMerge/>
            <w:tcBorders>
              <w:left w:val="single" w:sz="8" w:space="0" w:color="000000"/>
              <w:right w:val="single" w:sz="8" w:space="0" w:color="000000"/>
            </w:tcBorders>
            <w:vAlign w:val="center"/>
          </w:tcPr>
          <w:p w14:paraId="4702111C" w14:textId="77777777" w:rsidR="000B2D2C" w:rsidRPr="00DF4CE5" w:rsidRDefault="000B2D2C" w:rsidP="000B2D2C">
            <w:pPr>
              <w:spacing w:after="0" w:line="240" w:lineRule="atLeast"/>
              <w:jc w:val="both"/>
              <w:rPr>
                <w:rFonts w:ascii="Cambria" w:eastAsia="Calibri" w:hAnsi="Cambria" w:cs="Calibri"/>
                <w:lang w:val="hr-HR"/>
              </w:rPr>
            </w:pPr>
          </w:p>
        </w:tc>
        <w:tc>
          <w:tcPr>
            <w:tcW w:w="277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5573364" w14:textId="77777777" w:rsidR="000B2D2C" w:rsidRPr="00DF4CE5" w:rsidRDefault="000B2D2C" w:rsidP="000B2D2C">
            <w:pPr>
              <w:spacing w:after="0" w:line="240" w:lineRule="atLeast"/>
              <w:jc w:val="both"/>
              <w:rPr>
                <w:rFonts w:ascii="Cambria" w:eastAsia="Calibri" w:hAnsi="Cambria" w:cs="Calibri"/>
                <w:lang w:val="hr-HR"/>
              </w:rPr>
            </w:pPr>
            <w:proofErr w:type="spellStart"/>
            <w:r w:rsidRPr="00DF4CE5">
              <w:rPr>
                <w:rFonts w:ascii="Cambria" w:eastAsia="Times New Roman" w:hAnsi="Cambria" w:cs="Calibri"/>
              </w:rPr>
              <w:t>aktivnost</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na</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nastavi</w:t>
            </w:r>
            <w:proofErr w:type="spellEnd"/>
          </w:p>
        </w:tc>
        <w:tc>
          <w:tcPr>
            <w:tcW w:w="11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D5B6375" w14:textId="77777777" w:rsidR="000B2D2C" w:rsidRPr="00DF4CE5" w:rsidRDefault="000B2D2C" w:rsidP="000B2D2C">
            <w:pPr>
              <w:spacing w:after="0" w:line="240" w:lineRule="atLeast"/>
              <w:jc w:val="both"/>
              <w:rPr>
                <w:rFonts w:ascii="Cambria" w:eastAsia="Calibri" w:hAnsi="Cambria" w:cs="Calibri"/>
                <w:lang w:val="hr-HR"/>
              </w:rPr>
            </w:pPr>
            <w:r w:rsidRPr="00DF4CE5">
              <w:rPr>
                <w:rFonts w:ascii="Cambria" w:eastAsia="Calibri" w:hAnsi="Cambria" w:cs="Calibri"/>
                <w:lang w:val="hr-HR"/>
              </w:rPr>
              <w:t>1.</w:t>
            </w:r>
            <w:r>
              <w:rPr>
                <w:rFonts w:ascii="Cambria" w:eastAsia="Calibri" w:hAnsi="Cambria" w:cs="Calibri"/>
                <w:lang w:val="hr-HR"/>
              </w:rPr>
              <w:t xml:space="preserve"> – </w:t>
            </w:r>
            <w:r w:rsidRPr="00DF4CE5">
              <w:rPr>
                <w:rFonts w:ascii="Cambria" w:eastAsia="Calibri" w:hAnsi="Cambria" w:cs="Calibri"/>
                <w:lang w:val="hr-HR"/>
              </w:rPr>
              <w:t>5.</w:t>
            </w:r>
          </w:p>
        </w:tc>
        <w:tc>
          <w:tcPr>
            <w:tcW w:w="76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603816D" w14:textId="77777777" w:rsidR="000B2D2C" w:rsidRPr="00DF4CE5" w:rsidRDefault="000B2D2C" w:rsidP="000B2D2C">
            <w:pPr>
              <w:spacing w:after="0" w:line="240" w:lineRule="atLeast"/>
              <w:jc w:val="both"/>
              <w:rPr>
                <w:rFonts w:ascii="Cambria" w:eastAsia="Calibri" w:hAnsi="Cambria" w:cs="Calibri"/>
                <w:lang w:val="hr-HR"/>
              </w:rPr>
            </w:pPr>
            <w:r w:rsidRPr="00DF4CE5">
              <w:rPr>
                <w:rFonts w:ascii="Cambria" w:eastAsia="Calibri" w:hAnsi="Cambria" w:cs="Calibri"/>
                <w:lang w:val="hr-HR"/>
              </w:rPr>
              <w:t>34</w:t>
            </w:r>
          </w:p>
        </w:tc>
        <w:tc>
          <w:tcPr>
            <w:tcW w:w="83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F89319A" w14:textId="77777777" w:rsidR="000B2D2C" w:rsidRPr="00DF4CE5" w:rsidRDefault="000B2D2C" w:rsidP="000B2D2C">
            <w:pPr>
              <w:spacing w:after="0" w:line="240" w:lineRule="atLeast"/>
              <w:jc w:val="both"/>
              <w:rPr>
                <w:rFonts w:ascii="Cambria" w:eastAsia="Calibri" w:hAnsi="Cambria" w:cs="Calibri"/>
                <w:lang w:val="hr-HR"/>
              </w:rPr>
            </w:pPr>
            <w:r w:rsidRPr="00DF4CE5">
              <w:rPr>
                <w:rFonts w:ascii="Cambria" w:eastAsia="Calibri" w:hAnsi="Cambria" w:cs="Calibri"/>
                <w:lang w:val="hr-HR"/>
              </w:rPr>
              <w:t>1,1</w:t>
            </w:r>
          </w:p>
        </w:tc>
        <w:tc>
          <w:tcPr>
            <w:tcW w:w="16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D40B637" w14:textId="77777777" w:rsidR="000B2D2C" w:rsidRPr="00DF4CE5" w:rsidRDefault="000B2D2C" w:rsidP="000B2D2C">
            <w:pPr>
              <w:spacing w:after="0" w:line="240" w:lineRule="atLeast"/>
              <w:jc w:val="both"/>
              <w:rPr>
                <w:rFonts w:ascii="Cambria" w:eastAsia="Calibri" w:hAnsi="Cambria" w:cs="Calibri"/>
                <w:lang w:val="hr-HR" w:eastAsia="hr-HR"/>
              </w:rPr>
            </w:pPr>
            <w:r w:rsidRPr="00DF4CE5">
              <w:rPr>
                <w:rFonts w:ascii="Cambria" w:eastAsia="Calibri" w:hAnsi="Cambria" w:cs="Calibri"/>
                <w:lang w:val="hr-HR" w:eastAsia="hr-HR"/>
              </w:rPr>
              <w:t>10%</w:t>
            </w:r>
          </w:p>
          <w:p w14:paraId="769B2A94" w14:textId="77777777" w:rsidR="000B2D2C" w:rsidRPr="00DF4CE5" w:rsidRDefault="000B2D2C" w:rsidP="000B2D2C">
            <w:pPr>
              <w:spacing w:after="0" w:line="240" w:lineRule="atLeast"/>
              <w:jc w:val="both"/>
              <w:rPr>
                <w:rFonts w:ascii="Cambria" w:eastAsia="Calibri" w:hAnsi="Cambria" w:cs="Calibri"/>
                <w:lang w:val="hr-HR"/>
              </w:rPr>
            </w:pPr>
            <w:r w:rsidRPr="00DF4CE5">
              <w:rPr>
                <w:rFonts w:ascii="Cambria" w:eastAsia="Calibri" w:hAnsi="Cambria" w:cs="Calibri"/>
                <w:lang w:val="hr-HR" w:eastAsia="hr-HR"/>
              </w:rPr>
              <w:t>(5%P + 5%S)</w:t>
            </w:r>
          </w:p>
        </w:tc>
      </w:tr>
      <w:tr w:rsidR="000B2D2C" w:rsidRPr="00DF4CE5" w14:paraId="58A427D2" w14:textId="77777777" w:rsidTr="000B2D2C">
        <w:tc>
          <w:tcPr>
            <w:tcW w:w="2815" w:type="dxa"/>
            <w:vMerge/>
            <w:tcBorders>
              <w:left w:val="single" w:sz="8" w:space="0" w:color="000000"/>
              <w:right w:val="single" w:sz="8" w:space="0" w:color="000000"/>
            </w:tcBorders>
            <w:vAlign w:val="center"/>
          </w:tcPr>
          <w:p w14:paraId="30D9CD29" w14:textId="77777777" w:rsidR="000B2D2C" w:rsidRPr="00DF4CE5" w:rsidRDefault="000B2D2C" w:rsidP="000B2D2C">
            <w:pPr>
              <w:spacing w:after="0" w:line="240" w:lineRule="atLeast"/>
              <w:jc w:val="both"/>
              <w:rPr>
                <w:rFonts w:ascii="Cambria" w:eastAsia="Calibri" w:hAnsi="Cambria" w:cs="Calibri"/>
                <w:lang w:val="hr-HR"/>
              </w:rPr>
            </w:pPr>
          </w:p>
        </w:tc>
        <w:tc>
          <w:tcPr>
            <w:tcW w:w="277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A05A4A" w14:textId="77777777" w:rsidR="000B2D2C" w:rsidRPr="00DF4CE5" w:rsidRDefault="000B2D2C" w:rsidP="000B2D2C">
            <w:pPr>
              <w:spacing w:after="0" w:line="240" w:lineRule="atLeast"/>
              <w:jc w:val="both"/>
              <w:rPr>
                <w:rFonts w:ascii="Cambria" w:eastAsia="Calibri" w:hAnsi="Cambria" w:cs="Calibri"/>
                <w:lang w:val="hr-HR"/>
              </w:rPr>
            </w:pPr>
            <w:r w:rsidRPr="00DF4CE5">
              <w:rPr>
                <w:rFonts w:ascii="Cambria" w:eastAsia="Calibri" w:hAnsi="Cambria" w:cs="Calibri"/>
                <w:lang w:val="hr-HR"/>
              </w:rPr>
              <w:t>aktivnosti (</w:t>
            </w:r>
            <w:proofErr w:type="spellStart"/>
            <w:r w:rsidRPr="00DF4CE5">
              <w:rPr>
                <w:rFonts w:ascii="Cambria" w:eastAsia="Calibri" w:hAnsi="Cambria" w:cs="Calibri"/>
                <w:lang w:val="hr-HR"/>
              </w:rPr>
              <w:t>učionične</w:t>
            </w:r>
            <w:proofErr w:type="spellEnd"/>
            <w:r w:rsidRPr="00DF4CE5">
              <w:rPr>
                <w:rFonts w:ascii="Cambria" w:eastAsia="Calibri" w:hAnsi="Cambria" w:cs="Calibri"/>
                <w:lang w:val="hr-HR"/>
              </w:rPr>
              <w:t>)</w:t>
            </w:r>
          </w:p>
        </w:tc>
        <w:tc>
          <w:tcPr>
            <w:tcW w:w="11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8B48BCB" w14:textId="77777777" w:rsidR="000B2D2C" w:rsidRPr="00DF4CE5" w:rsidRDefault="000B2D2C" w:rsidP="000B2D2C">
            <w:pPr>
              <w:spacing w:after="0" w:line="240" w:lineRule="atLeast"/>
              <w:jc w:val="both"/>
              <w:rPr>
                <w:rFonts w:ascii="Cambria" w:eastAsia="Calibri" w:hAnsi="Cambria" w:cs="Calibri"/>
                <w:lang w:val="hr-HR"/>
              </w:rPr>
            </w:pPr>
            <w:r w:rsidRPr="00DF4CE5">
              <w:rPr>
                <w:rFonts w:ascii="Cambria" w:eastAsia="Calibri" w:hAnsi="Cambria" w:cs="Calibri"/>
                <w:lang w:val="hr-HR"/>
              </w:rPr>
              <w:t>1.</w:t>
            </w:r>
            <w:r>
              <w:rPr>
                <w:rFonts w:ascii="Cambria" w:eastAsia="Calibri" w:hAnsi="Cambria" w:cs="Calibri"/>
                <w:lang w:val="hr-HR"/>
              </w:rPr>
              <w:t xml:space="preserve"> – </w:t>
            </w:r>
            <w:r w:rsidRPr="00DF4CE5">
              <w:rPr>
                <w:rFonts w:ascii="Cambria" w:eastAsia="Calibri" w:hAnsi="Cambria" w:cs="Calibri"/>
                <w:lang w:val="hr-HR"/>
              </w:rPr>
              <w:t>4.</w:t>
            </w:r>
          </w:p>
        </w:tc>
        <w:tc>
          <w:tcPr>
            <w:tcW w:w="76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163CC74" w14:textId="77777777" w:rsidR="000B2D2C" w:rsidRPr="00DF4CE5" w:rsidRDefault="000B2D2C" w:rsidP="000B2D2C">
            <w:pPr>
              <w:spacing w:after="0" w:line="240" w:lineRule="atLeast"/>
              <w:jc w:val="both"/>
              <w:rPr>
                <w:rFonts w:ascii="Cambria" w:eastAsia="Calibri" w:hAnsi="Cambria" w:cs="Calibri"/>
                <w:lang w:val="hr-HR"/>
              </w:rPr>
            </w:pPr>
            <w:r w:rsidRPr="00DF4CE5">
              <w:rPr>
                <w:rFonts w:ascii="Cambria" w:eastAsia="Calibri" w:hAnsi="Cambria" w:cs="Calibri"/>
                <w:lang w:val="hr-HR"/>
              </w:rPr>
              <w:t>6</w:t>
            </w:r>
          </w:p>
        </w:tc>
        <w:tc>
          <w:tcPr>
            <w:tcW w:w="83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CA75297" w14:textId="77777777" w:rsidR="000B2D2C" w:rsidRPr="00DF4CE5" w:rsidRDefault="000B2D2C" w:rsidP="000B2D2C">
            <w:pPr>
              <w:spacing w:after="0" w:line="240" w:lineRule="atLeast"/>
              <w:jc w:val="both"/>
              <w:rPr>
                <w:rFonts w:ascii="Cambria" w:eastAsia="Calibri" w:hAnsi="Cambria" w:cs="Calibri"/>
                <w:lang w:val="hr-HR"/>
              </w:rPr>
            </w:pPr>
            <w:r w:rsidRPr="00DF4CE5">
              <w:rPr>
                <w:rFonts w:ascii="Cambria" w:eastAsia="Calibri" w:hAnsi="Cambria" w:cs="Calibri"/>
                <w:lang w:val="hr-HR"/>
              </w:rPr>
              <w:t>0,2</w:t>
            </w:r>
          </w:p>
        </w:tc>
        <w:tc>
          <w:tcPr>
            <w:tcW w:w="16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A18132C" w14:textId="77777777" w:rsidR="000B2D2C" w:rsidRPr="00DF4CE5" w:rsidRDefault="000B2D2C" w:rsidP="000B2D2C">
            <w:pPr>
              <w:spacing w:after="0" w:line="240" w:lineRule="atLeast"/>
              <w:jc w:val="both"/>
              <w:rPr>
                <w:rFonts w:ascii="Cambria" w:eastAsia="Calibri" w:hAnsi="Cambria" w:cs="Calibri"/>
                <w:lang w:val="hr-HR"/>
              </w:rPr>
            </w:pPr>
            <w:r w:rsidRPr="00DF4CE5">
              <w:rPr>
                <w:rFonts w:ascii="Cambria" w:eastAsia="Calibri" w:hAnsi="Cambria" w:cs="Calibri"/>
                <w:lang w:val="hr-HR"/>
              </w:rPr>
              <w:t>10%</w:t>
            </w:r>
          </w:p>
        </w:tc>
      </w:tr>
      <w:tr w:rsidR="000B2D2C" w:rsidRPr="00DF4CE5" w14:paraId="4FE73027" w14:textId="77777777" w:rsidTr="000B2D2C">
        <w:tc>
          <w:tcPr>
            <w:tcW w:w="2815" w:type="dxa"/>
            <w:vMerge/>
            <w:tcBorders>
              <w:left w:val="single" w:sz="8" w:space="0" w:color="000000"/>
              <w:right w:val="single" w:sz="8" w:space="0" w:color="000000"/>
            </w:tcBorders>
            <w:vAlign w:val="center"/>
          </w:tcPr>
          <w:p w14:paraId="2C987CE8" w14:textId="77777777" w:rsidR="000B2D2C" w:rsidRPr="00DF4CE5" w:rsidRDefault="000B2D2C" w:rsidP="000B2D2C">
            <w:pPr>
              <w:spacing w:after="0" w:line="240" w:lineRule="atLeast"/>
              <w:jc w:val="both"/>
              <w:rPr>
                <w:rFonts w:ascii="Cambria" w:eastAsia="Calibri" w:hAnsi="Cambria" w:cs="Calibri"/>
                <w:lang w:val="hr-HR"/>
              </w:rPr>
            </w:pPr>
          </w:p>
        </w:tc>
        <w:tc>
          <w:tcPr>
            <w:tcW w:w="277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0FC8D0C" w14:textId="77777777" w:rsidR="000B2D2C" w:rsidRPr="00DF4CE5" w:rsidRDefault="000B2D2C" w:rsidP="000B2D2C">
            <w:pPr>
              <w:spacing w:after="0" w:line="240" w:lineRule="atLeast"/>
              <w:jc w:val="both"/>
              <w:rPr>
                <w:rFonts w:ascii="Cambria" w:eastAsia="Calibri" w:hAnsi="Cambria" w:cs="Calibri"/>
                <w:lang w:val="hr-HR"/>
              </w:rPr>
            </w:pPr>
            <w:r w:rsidRPr="00DF4CE5">
              <w:rPr>
                <w:rFonts w:ascii="Cambria" w:eastAsia="Calibri" w:hAnsi="Cambria" w:cs="Calibri"/>
                <w:lang w:val="hr-HR"/>
              </w:rPr>
              <w:t>seminarski rad</w:t>
            </w:r>
          </w:p>
        </w:tc>
        <w:tc>
          <w:tcPr>
            <w:tcW w:w="11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3BBEB1D" w14:textId="77777777" w:rsidR="000B2D2C" w:rsidRPr="00DF4CE5" w:rsidRDefault="000B2D2C" w:rsidP="000B2D2C">
            <w:pPr>
              <w:spacing w:after="0" w:line="240" w:lineRule="atLeast"/>
              <w:jc w:val="both"/>
              <w:rPr>
                <w:rFonts w:ascii="Cambria" w:eastAsia="Calibri" w:hAnsi="Cambria" w:cs="Calibri"/>
                <w:lang w:val="hr-HR"/>
              </w:rPr>
            </w:pPr>
            <w:r w:rsidRPr="00DF4CE5">
              <w:rPr>
                <w:rFonts w:ascii="Cambria" w:eastAsia="Calibri" w:hAnsi="Cambria" w:cs="Calibri"/>
                <w:lang w:val="hr-HR"/>
              </w:rPr>
              <w:t>1.</w:t>
            </w:r>
            <w:r>
              <w:rPr>
                <w:rFonts w:ascii="Cambria" w:eastAsia="Calibri" w:hAnsi="Cambria" w:cs="Calibri"/>
                <w:lang w:val="hr-HR"/>
              </w:rPr>
              <w:t xml:space="preserve"> – </w:t>
            </w:r>
            <w:r w:rsidRPr="00DF4CE5">
              <w:rPr>
                <w:rFonts w:ascii="Cambria" w:eastAsia="Calibri" w:hAnsi="Cambria" w:cs="Calibri"/>
                <w:lang w:val="hr-HR"/>
              </w:rPr>
              <w:t>4.</w:t>
            </w:r>
          </w:p>
        </w:tc>
        <w:tc>
          <w:tcPr>
            <w:tcW w:w="76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B3784C8" w14:textId="77777777" w:rsidR="000B2D2C" w:rsidRPr="00DF4CE5" w:rsidRDefault="000B2D2C" w:rsidP="000B2D2C">
            <w:pPr>
              <w:spacing w:after="0" w:line="240" w:lineRule="atLeast"/>
              <w:jc w:val="both"/>
              <w:rPr>
                <w:rFonts w:ascii="Cambria" w:eastAsia="Calibri" w:hAnsi="Cambria" w:cs="Calibri"/>
                <w:lang w:val="hr-HR"/>
              </w:rPr>
            </w:pPr>
            <w:r w:rsidRPr="00DF4CE5">
              <w:rPr>
                <w:rFonts w:ascii="Cambria" w:eastAsia="Calibri" w:hAnsi="Cambria" w:cs="Calibri"/>
                <w:lang w:val="hr-HR"/>
              </w:rPr>
              <w:t>11</w:t>
            </w:r>
          </w:p>
        </w:tc>
        <w:tc>
          <w:tcPr>
            <w:tcW w:w="83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BEDF747" w14:textId="77777777" w:rsidR="000B2D2C" w:rsidRPr="00DF4CE5" w:rsidRDefault="000B2D2C" w:rsidP="000B2D2C">
            <w:pPr>
              <w:spacing w:after="0" w:line="240" w:lineRule="atLeast"/>
              <w:jc w:val="both"/>
              <w:rPr>
                <w:rFonts w:ascii="Cambria" w:eastAsia="Calibri" w:hAnsi="Cambria" w:cs="Calibri"/>
                <w:lang w:val="hr-HR"/>
              </w:rPr>
            </w:pPr>
            <w:r w:rsidRPr="00DF4CE5">
              <w:rPr>
                <w:rFonts w:ascii="Cambria" w:eastAsia="Calibri" w:hAnsi="Cambria" w:cs="Calibri"/>
                <w:lang w:val="hr-HR"/>
              </w:rPr>
              <w:t>0,4</w:t>
            </w:r>
          </w:p>
        </w:tc>
        <w:tc>
          <w:tcPr>
            <w:tcW w:w="16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33413C5" w14:textId="77777777" w:rsidR="000B2D2C" w:rsidRPr="00DF4CE5" w:rsidRDefault="000B2D2C" w:rsidP="000B2D2C">
            <w:pPr>
              <w:spacing w:after="0" w:line="240" w:lineRule="atLeast"/>
              <w:jc w:val="both"/>
              <w:rPr>
                <w:rFonts w:ascii="Cambria" w:eastAsia="Calibri" w:hAnsi="Cambria" w:cs="Calibri"/>
                <w:lang w:val="hr-HR"/>
              </w:rPr>
            </w:pPr>
            <w:r w:rsidRPr="00DF4CE5">
              <w:rPr>
                <w:rFonts w:ascii="Cambria" w:eastAsia="Calibri" w:hAnsi="Cambria" w:cs="Calibri"/>
                <w:lang w:val="hr-HR"/>
              </w:rPr>
              <w:t>15%</w:t>
            </w:r>
          </w:p>
        </w:tc>
      </w:tr>
      <w:tr w:rsidR="000B2D2C" w:rsidRPr="00DF4CE5" w14:paraId="10C57DCC" w14:textId="77777777" w:rsidTr="000B2D2C">
        <w:tc>
          <w:tcPr>
            <w:tcW w:w="2815" w:type="dxa"/>
            <w:vMerge/>
            <w:tcBorders>
              <w:left w:val="single" w:sz="8" w:space="0" w:color="000000"/>
              <w:right w:val="single" w:sz="8" w:space="0" w:color="000000"/>
            </w:tcBorders>
            <w:vAlign w:val="center"/>
          </w:tcPr>
          <w:p w14:paraId="732F1BDC" w14:textId="77777777" w:rsidR="000B2D2C" w:rsidRPr="00DF4CE5" w:rsidRDefault="000B2D2C" w:rsidP="000B2D2C">
            <w:pPr>
              <w:spacing w:after="0" w:line="240" w:lineRule="atLeast"/>
              <w:jc w:val="both"/>
              <w:rPr>
                <w:rFonts w:ascii="Cambria" w:eastAsia="Calibri" w:hAnsi="Cambria" w:cs="Calibri"/>
                <w:lang w:val="hr-HR"/>
              </w:rPr>
            </w:pPr>
          </w:p>
        </w:tc>
        <w:tc>
          <w:tcPr>
            <w:tcW w:w="277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4CC300" w14:textId="77777777" w:rsidR="000B2D2C" w:rsidRPr="00DF4CE5" w:rsidRDefault="000B2D2C" w:rsidP="000B2D2C">
            <w:pPr>
              <w:spacing w:after="0" w:line="240" w:lineRule="atLeast"/>
              <w:jc w:val="both"/>
              <w:rPr>
                <w:rFonts w:ascii="Cambria" w:eastAsia="Calibri" w:hAnsi="Cambria" w:cs="Calibri"/>
                <w:lang w:val="hr-HR"/>
              </w:rPr>
            </w:pPr>
            <w:r w:rsidRPr="00DF4CE5">
              <w:rPr>
                <w:rFonts w:ascii="Cambria" w:eastAsia="Calibri" w:hAnsi="Cambria" w:cs="Calibri"/>
                <w:lang w:val="hr-HR"/>
              </w:rPr>
              <w:t xml:space="preserve">usmena izlaganja </w:t>
            </w:r>
          </w:p>
        </w:tc>
        <w:tc>
          <w:tcPr>
            <w:tcW w:w="11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8E1CF69" w14:textId="77777777" w:rsidR="000B2D2C" w:rsidRPr="00DF4CE5" w:rsidRDefault="000B2D2C" w:rsidP="000B2D2C">
            <w:pPr>
              <w:spacing w:after="0" w:line="240" w:lineRule="atLeast"/>
              <w:jc w:val="both"/>
              <w:rPr>
                <w:rFonts w:ascii="Cambria" w:eastAsia="Calibri" w:hAnsi="Cambria" w:cs="Calibri"/>
                <w:lang w:val="hr-HR"/>
              </w:rPr>
            </w:pPr>
            <w:r w:rsidRPr="00DF4CE5">
              <w:rPr>
                <w:rFonts w:ascii="Cambria" w:eastAsia="Calibri" w:hAnsi="Cambria" w:cs="Calibri"/>
                <w:lang w:val="hr-HR"/>
              </w:rPr>
              <w:t>1.</w:t>
            </w:r>
            <w:r>
              <w:rPr>
                <w:rFonts w:ascii="Cambria" w:eastAsia="Calibri" w:hAnsi="Cambria" w:cs="Calibri"/>
                <w:lang w:val="hr-HR"/>
              </w:rPr>
              <w:t xml:space="preserve"> – </w:t>
            </w:r>
            <w:r w:rsidRPr="00DF4CE5">
              <w:rPr>
                <w:rFonts w:ascii="Cambria" w:eastAsia="Calibri" w:hAnsi="Cambria" w:cs="Calibri"/>
                <w:lang w:val="hr-HR"/>
              </w:rPr>
              <w:t>4.</w:t>
            </w:r>
          </w:p>
        </w:tc>
        <w:tc>
          <w:tcPr>
            <w:tcW w:w="76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9DEC516" w14:textId="77777777" w:rsidR="000B2D2C" w:rsidRPr="00DF4CE5" w:rsidRDefault="000B2D2C" w:rsidP="000B2D2C">
            <w:pPr>
              <w:spacing w:after="0" w:line="240" w:lineRule="atLeast"/>
              <w:jc w:val="both"/>
              <w:rPr>
                <w:rFonts w:ascii="Cambria" w:eastAsia="Calibri" w:hAnsi="Cambria" w:cs="Calibri"/>
                <w:lang w:val="hr-HR"/>
              </w:rPr>
            </w:pPr>
            <w:r w:rsidRPr="00DF4CE5">
              <w:rPr>
                <w:rFonts w:ascii="Cambria" w:eastAsia="Calibri" w:hAnsi="Cambria" w:cs="Calibri"/>
                <w:lang w:val="hr-HR"/>
              </w:rPr>
              <w:t>9</w:t>
            </w:r>
          </w:p>
        </w:tc>
        <w:tc>
          <w:tcPr>
            <w:tcW w:w="83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23BC3F1" w14:textId="77777777" w:rsidR="000B2D2C" w:rsidRPr="00DF4CE5" w:rsidRDefault="000B2D2C" w:rsidP="000B2D2C">
            <w:pPr>
              <w:spacing w:after="0" w:line="240" w:lineRule="atLeast"/>
              <w:jc w:val="both"/>
              <w:rPr>
                <w:rFonts w:ascii="Cambria" w:eastAsia="Calibri" w:hAnsi="Cambria" w:cs="Calibri"/>
                <w:lang w:val="hr-HR"/>
              </w:rPr>
            </w:pPr>
            <w:r w:rsidRPr="00DF4CE5">
              <w:rPr>
                <w:rFonts w:ascii="Cambria" w:eastAsia="Calibri" w:hAnsi="Cambria" w:cs="Calibri"/>
                <w:lang w:val="hr-HR"/>
              </w:rPr>
              <w:t>0,3</w:t>
            </w:r>
          </w:p>
        </w:tc>
        <w:tc>
          <w:tcPr>
            <w:tcW w:w="16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9D8E491" w14:textId="77777777" w:rsidR="000B2D2C" w:rsidRPr="00DF4CE5" w:rsidRDefault="000B2D2C" w:rsidP="000B2D2C">
            <w:pPr>
              <w:spacing w:after="0" w:line="240" w:lineRule="atLeast"/>
              <w:jc w:val="both"/>
              <w:rPr>
                <w:rFonts w:ascii="Cambria" w:eastAsia="Calibri" w:hAnsi="Cambria" w:cs="Calibri"/>
                <w:lang w:val="hr-HR"/>
              </w:rPr>
            </w:pPr>
            <w:r w:rsidRPr="00DF4CE5">
              <w:rPr>
                <w:rFonts w:ascii="Cambria" w:eastAsia="Calibri" w:hAnsi="Cambria" w:cs="Calibri"/>
                <w:lang w:val="hr-HR"/>
              </w:rPr>
              <w:t>15%</w:t>
            </w:r>
          </w:p>
        </w:tc>
      </w:tr>
      <w:tr w:rsidR="000B2D2C" w:rsidRPr="00DF4CE5" w14:paraId="4BDB128D" w14:textId="77777777" w:rsidTr="000B2D2C">
        <w:tc>
          <w:tcPr>
            <w:tcW w:w="2815" w:type="dxa"/>
            <w:vMerge/>
            <w:tcBorders>
              <w:left w:val="single" w:sz="8" w:space="0" w:color="000000"/>
              <w:right w:val="single" w:sz="8" w:space="0" w:color="000000"/>
            </w:tcBorders>
            <w:vAlign w:val="center"/>
          </w:tcPr>
          <w:p w14:paraId="0377BCFA" w14:textId="77777777" w:rsidR="000B2D2C" w:rsidRPr="00DF4CE5" w:rsidRDefault="000B2D2C" w:rsidP="000B2D2C">
            <w:pPr>
              <w:spacing w:after="0" w:line="240" w:lineRule="atLeast"/>
              <w:jc w:val="both"/>
              <w:rPr>
                <w:rFonts w:ascii="Cambria" w:eastAsia="Calibri" w:hAnsi="Cambria" w:cs="Calibri"/>
                <w:lang w:val="hr-HR"/>
              </w:rPr>
            </w:pPr>
          </w:p>
        </w:tc>
        <w:tc>
          <w:tcPr>
            <w:tcW w:w="277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3996956" w14:textId="77777777" w:rsidR="000B2D2C" w:rsidRPr="00DF4CE5" w:rsidRDefault="000B2D2C" w:rsidP="000B2D2C">
            <w:pPr>
              <w:spacing w:after="0" w:line="240" w:lineRule="atLeast"/>
              <w:jc w:val="both"/>
              <w:rPr>
                <w:rFonts w:ascii="Cambria" w:eastAsia="Calibri" w:hAnsi="Cambria" w:cs="Calibri"/>
                <w:lang w:val="hr-HR"/>
              </w:rPr>
            </w:pPr>
            <w:r w:rsidRPr="00DF4CE5">
              <w:rPr>
                <w:rFonts w:ascii="Cambria" w:eastAsia="Calibri" w:hAnsi="Cambria" w:cs="Calibri"/>
                <w:lang w:val="hr-HR"/>
              </w:rPr>
              <w:t xml:space="preserve">usmeni ispit </w:t>
            </w:r>
          </w:p>
        </w:tc>
        <w:tc>
          <w:tcPr>
            <w:tcW w:w="11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F6AC9A7" w14:textId="77777777" w:rsidR="000B2D2C" w:rsidRPr="00DF4CE5" w:rsidRDefault="000B2D2C" w:rsidP="000B2D2C">
            <w:pPr>
              <w:spacing w:after="0" w:line="240" w:lineRule="atLeast"/>
              <w:jc w:val="both"/>
              <w:rPr>
                <w:rFonts w:ascii="Cambria" w:eastAsia="Calibri" w:hAnsi="Cambria" w:cs="Calibri"/>
                <w:lang w:val="hr-HR"/>
              </w:rPr>
            </w:pPr>
            <w:r w:rsidRPr="00DF4CE5">
              <w:rPr>
                <w:rFonts w:ascii="Cambria" w:eastAsia="Calibri" w:hAnsi="Cambria" w:cs="Calibri"/>
                <w:lang w:val="hr-HR"/>
              </w:rPr>
              <w:t>1.</w:t>
            </w:r>
            <w:r>
              <w:rPr>
                <w:rFonts w:ascii="Cambria" w:eastAsia="Calibri" w:hAnsi="Cambria" w:cs="Calibri"/>
                <w:lang w:val="hr-HR"/>
              </w:rPr>
              <w:t xml:space="preserve"> – </w:t>
            </w:r>
            <w:r w:rsidRPr="00DF4CE5">
              <w:rPr>
                <w:rFonts w:ascii="Cambria" w:eastAsia="Calibri" w:hAnsi="Cambria" w:cs="Calibri"/>
                <w:lang w:val="hr-HR"/>
              </w:rPr>
              <w:t>5.</w:t>
            </w:r>
          </w:p>
        </w:tc>
        <w:tc>
          <w:tcPr>
            <w:tcW w:w="76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EC6FB76" w14:textId="77777777" w:rsidR="000B2D2C" w:rsidRPr="00DF4CE5" w:rsidRDefault="000B2D2C" w:rsidP="000B2D2C">
            <w:pPr>
              <w:spacing w:after="0" w:line="240" w:lineRule="atLeast"/>
              <w:jc w:val="both"/>
              <w:rPr>
                <w:rFonts w:ascii="Cambria" w:eastAsia="Calibri" w:hAnsi="Cambria" w:cs="Calibri"/>
                <w:lang w:val="hr-HR"/>
              </w:rPr>
            </w:pPr>
            <w:r w:rsidRPr="00DF4CE5">
              <w:rPr>
                <w:rFonts w:ascii="Cambria" w:eastAsia="Calibri" w:hAnsi="Cambria" w:cs="Calibri"/>
                <w:lang w:val="hr-HR"/>
              </w:rPr>
              <w:t>30</w:t>
            </w:r>
          </w:p>
        </w:tc>
        <w:tc>
          <w:tcPr>
            <w:tcW w:w="83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2A9B802" w14:textId="77777777" w:rsidR="000B2D2C" w:rsidRPr="00DF4CE5" w:rsidRDefault="000B2D2C" w:rsidP="000B2D2C">
            <w:pPr>
              <w:spacing w:after="0" w:line="240" w:lineRule="atLeast"/>
              <w:jc w:val="both"/>
              <w:rPr>
                <w:rFonts w:ascii="Cambria" w:eastAsia="Calibri" w:hAnsi="Cambria" w:cs="Calibri"/>
                <w:lang w:val="hr-HR"/>
              </w:rPr>
            </w:pPr>
            <w:r w:rsidRPr="00DF4CE5">
              <w:rPr>
                <w:rFonts w:ascii="Cambria" w:eastAsia="Calibri" w:hAnsi="Cambria" w:cs="Calibri"/>
                <w:lang w:val="hr-HR"/>
              </w:rPr>
              <w:t>1</w:t>
            </w:r>
          </w:p>
        </w:tc>
        <w:tc>
          <w:tcPr>
            <w:tcW w:w="16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404EBEA" w14:textId="77777777" w:rsidR="000B2D2C" w:rsidRPr="00DF4CE5" w:rsidRDefault="000B2D2C" w:rsidP="000B2D2C">
            <w:pPr>
              <w:spacing w:after="0" w:line="240" w:lineRule="atLeast"/>
              <w:jc w:val="both"/>
              <w:rPr>
                <w:rFonts w:ascii="Cambria" w:eastAsia="Calibri" w:hAnsi="Cambria" w:cs="Calibri"/>
                <w:lang w:val="hr-HR"/>
              </w:rPr>
            </w:pPr>
            <w:r w:rsidRPr="00DF4CE5">
              <w:rPr>
                <w:rFonts w:ascii="Cambria" w:eastAsia="Calibri" w:hAnsi="Cambria" w:cs="Calibri"/>
                <w:lang w:val="hr-HR"/>
              </w:rPr>
              <w:t>50%</w:t>
            </w:r>
          </w:p>
        </w:tc>
      </w:tr>
      <w:tr w:rsidR="000B2D2C" w:rsidRPr="00DF4CE5" w14:paraId="38289C73" w14:textId="77777777" w:rsidTr="000B2D2C">
        <w:tc>
          <w:tcPr>
            <w:tcW w:w="2815" w:type="dxa"/>
            <w:vMerge/>
            <w:tcBorders>
              <w:left w:val="single" w:sz="8" w:space="0" w:color="000000"/>
              <w:right w:val="single" w:sz="8" w:space="0" w:color="000000"/>
            </w:tcBorders>
            <w:vAlign w:val="center"/>
          </w:tcPr>
          <w:p w14:paraId="2E637AF3" w14:textId="77777777" w:rsidR="000B2D2C" w:rsidRPr="00DF4CE5" w:rsidRDefault="000B2D2C" w:rsidP="000B2D2C">
            <w:pPr>
              <w:spacing w:after="0" w:line="240" w:lineRule="atLeast"/>
              <w:jc w:val="both"/>
              <w:rPr>
                <w:rFonts w:ascii="Cambria" w:eastAsia="Calibri" w:hAnsi="Cambria" w:cs="Calibri"/>
                <w:lang w:val="hr-HR"/>
              </w:rPr>
            </w:pPr>
          </w:p>
        </w:tc>
        <w:tc>
          <w:tcPr>
            <w:tcW w:w="3940"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97079F2" w14:textId="77777777" w:rsidR="000B2D2C" w:rsidRPr="00DF4CE5" w:rsidRDefault="000B2D2C" w:rsidP="000B2D2C">
            <w:pPr>
              <w:spacing w:after="0" w:line="240" w:lineRule="atLeast"/>
              <w:jc w:val="both"/>
              <w:rPr>
                <w:rFonts w:ascii="Cambria" w:eastAsia="Calibri" w:hAnsi="Cambria" w:cs="Calibri"/>
                <w:lang w:val="hr-HR"/>
              </w:rPr>
            </w:pPr>
            <w:r>
              <w:rPr>
                <w:rFonts w:ascii="Cambria" w:eastAsia="Calibri" w:hAnsi="Cambria" w:cs="Calibri"/>
                <w:lang w:val="hr-HR"/>
              </w:rPr>
              <w:t>u</w:t>
            </w:r>
            <w:r w:rsidRPr="00DF4CE5">
              <w:rPr>
                <w:rFonts w:ascii="Cambria" w:eastAsia="Calibri" w:hAnsi="Cambria" w:cs="Calibri"/>
                <w:lang w:val="hr-HR"/>
              </w:rPr>
              <w:t>kupno</w:t>
            </w:r>
          </w:p>
        </w:tc>
        <w:tc>
          <w:tcPr>
            <w:tcW w:w="76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B02FF33" w14:textId="77777777" w:rsidR="000B2D2C" w:rsidRPr="00DF4CE5" w:rsidRDefault="000B2D2C" w:rsidP="000B2D2C">
            <w:pPr>
              <w:spacing w:after="0" w:line="240" w:lineRule="atLeast"/>
              <w:jc w:val="both"/>
              <w:rPr>
                <w:rFonts w:ascii="Cambria" w:eastAsia="Calibri" w:hAnsi="Cambria" w:cs="Calibri"/>
                <w:lang w:val="hr-HR"/>
              </w:rPr>
            </w:pPr>
            <w:r w:rsidRPr="00DF4CE5">
              <w:rPr>
                <w:rFonts w:ascii="Cambria" w:eastAsia="Calibri" w:hAnsi="Cambria" w:cs="Calibri"/>
                <w:lang w:val="hr-HR"/>
              </w:rPr>
              <w:t>90</w:t>
            </w:r>
          </w:p>
        </w:tc>
        <w:tc>
          <w:tcPr>
            <w:tcW w:w="83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05098A" w14:textId="77777777" w:rsidR="000B2D2C" w:rsidRPr="00DF4CE5" w:rsidRDefault="000B2D2C" w:rsidP="000B2D2C">
            <w:pPr>
              <w:spacing w:after="0" w:line="240" w:lineRule="atLeast"/>
              <w:jc w:val="both"/>
              <w:rPr>
                <w:rFonts w:ascii="Cambria" w:eastAsia="Calibri" w:hAnsi="Cambria" w:cs="Calibri"/>
                <w:lang w:val="hr-HR"/>
              </w:rPr>
            </w:pPr>
            <w:r w:rsidRPr="00DF4CE5">
              <w:rPr>
                <w:rFonts w:ascii="Cambria" w:eastAsia="Calibri" w:hAnsi="Cambria" w:cs="Calibri"/>
                <w:lang w:val="hr-HR"/>
              </w:rPr>
              <w:t>3</w:t>
            </w:r>
          </w:p>
        </w:tc>
        <w:tc>
          <w:tcPr>
            <w:tcW w:w="16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54BCDF2" w14:textId="77777777" w:rsidR="000B2D2C" w:rsidRPr="00DF4CE5" w:rsidRDefault="000B2D2C" w:rsidP="000B2D2C">
            <w:pPr>
              <w:spacing w:after="0" w:line="240" w:lineRule="atLeast"/>
              <w:jc w:val="both"/>
              <w:rPr>
                <w:rFonts w:ascii="Cambria" w:eastAsia="Calibri" w:hAnsi="Cambria" w:cs="Calibri"/>
                <w:lang w:val="hr-HR"/>
              </w:rPr>
            </w:pPr>
            <w:r w:rsidRPr="00DF4CE5">
              <w:rPr>
                <w:rFonts w:ascii="Cambria" w:eastAsia="Calibri" w:hAnsi="Cambria" w:cs="Calibri"/>
                <w:lang w:val="hr-HR"/>
              </w:rPr>
              <w:t>100%</w:t>
            </w:r>
          </w:p>
        </w:tc>
      </w:tr>
      <w:tr w:rsidR="000B2D2C" w:rsidRPr="00D0399C" w14:paraId="6C79C4C7" w14:textId="77777777" w:rsidTr="000B2D2C">
        <w:tc>
          <w:tcPr>
            <w:tcW w:w="2815" w:type="dxa"/>
            <w:vMerge/>
            <w:tcBorders>
              <w:left w:val="single" w:sz="8" w:space="0" w:color="000000"/>
              <w:bottom w:val="single" w:sz="8" w:space="0" w:color="000000"/>
              <w:right w:val="single" w:sz="8" w:space="0" w:color="000000"/>
            </w:tcBorders>
            <w:vAlign w:val="center"/>
          </w:tcPr>
          <w:p w14:paraId="0906B1F6" w14:textId="77777777" w:rsidR="000B2D2C" w:rsidRPr="00DF4CE5" w:rsidRDefault="000B2D2C" w:rsidP="000B2D2C">
            <w:pPr>
              <w:spacing w:after="0" w:line="240" w:lineRule="atLeast"/>
              <w:jc w:val="both"/>
              <w:rPr>
                <w:rFonts w:ascii="Cambria" w:eastAsia="Calibri" w:hAnsi="Cambria" w:cs="Calibri"/>
                <w:lang w:val="hr-HR"/>
              </w:rPr>
            </w:pPr>
          </w:p>
        </w:tc>
        <w:tc>
          <w:tcPr>
            <w:tcW w:w="7205"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0E5D719" w14:textId="77777777" w:rsidR="000B2D2C" w:rsidRPr="00DF4CE5" w:rsidRDefault="000B2D2C" w:rsidP="000B2D2C">
            <w:pPr>
              <w:spacing w:after="0" w:line="240" w:lineRule="atLeast"/>
              <w:jc w:val="both"/>
              <w:rPr>
                <w:rFonts w:ascii="Cambria" w:eastAsia="Calibri" w:hAnsi="Cambria" w:cs="Calibri"/>
                <w:lang w:val="hr-HR"/>
              </w:rPr>
            </w:pPr>
            <w:r w:rsidRPr="00DF4CE5">
              <w:rPr>
                <w:rFonts w:ascii="Cambria" w:eastAsia="Calibri" w:hAnsi="Cambria" w:cs="Calibri"/>
                <w:lang w:val="hr-HR"/>
              </w:rPr>
              <w:t>Dodatna pojašnjenja (kriteriji ocjenjivanja):</w:t>
            </w:r>
            <w:r>
              <w:rPr>
                <w:rFonts w:ascii="Cambria" w:eastAsia="Calibri" w:hAnsi="Cambria" w:cs="Calibri"/>
                <w:lang w:val="hr-HR"/>
              </w:rPr>
              <w:t xml:space="preserve"> </w:t>
            </w:r>
            <w:r w:rsidRPr="00DF4CE5">
              <w:rPr>
                <w:rFonts w:ascii="Cambria" w:eastAsia="Calibri" w:hAnsi="Cambria" w:cs="Calibri"/>
                <w:lang w:val="hr-HR"/>
              </w:rPr>
              <w:t>Da bi se na kraju semestra pristupilo završnom ispitu, potrebno je tijekom nastave doseći minimalno 10% ocjene koja mora obvezno proizlaziti iz pohađanja nastave.</w:t>
            </w:r>
          </w:p>
        </w:tc>
      </w:tr>
      <w:tr w:rsidR="000B2D2C" w:rsidRPr="00FA72B4" w14:paraId="635F146A" w14:textId="77777777" w:rsidTr="000B2D2C">
        <w:tc>
          <w:tcPr>
            <w:tcW w:w="281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67EF950" w14:textId="77777777" w:rsidR="000B2D2C" w:rsidRPr="00DF4CE5" w:rsidRDefault="000B2D2C" w:rsidP="000B2D2C">
            <w:pPr>
              <w:spacing w:after="0" w:line="240" w:lineRule="atLeast"/>
              <w:jc w:val="both"/>
              <w:rPr>
                <w:rFonts w:ascii="Cambria" w:eastAsia="Calibri" w:hAnsi="Cambria" w:cs="Calibri"/>
                <w:lang w:val="hr-HR"/>
              </w:rPr>
            </w:pPr>
            <w:r w:rsidRPr="00DF4CE5">
              <w:rPr>
                <w:rFonts w:ascii="Cambria" w:eastAsia="Calibri" w:hAnsi="Cambria" w:cs="Calibri"/>
                <w:lang w:val="hr-HR"/>
              </w:rPr>
              <w:t>Studentske obveze</w:t>
            </w:r>
          </w:p>
        </w:tc>
        <w:tc>
          <w:tcPr>
            <w:tcW w:w="720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02F1EA6" w14:textId="77777777" w:rsidR="000B2D2C" w:rsidRPr="00DF4CE5" w:rsidRDefault="000B2D2C" w:rsidP="000B2D2C">
            <w:pPr>
              <w:spacing w:after="0" w:line="240" w:lineRule="atLeast"/>
              <w:jc w:val="both"/>
              <w:rPr>
                <w:rFonts w:ascii="Cambria" w:eastAsia="Calibri" w:hAnsi="Cambria" w:cs="Calibri"/>
                <w:lang w:val="hr-HR"/>
              </w:rPr>
            </w:pPr>
            <w:r w:rsidRPr="00DF4CE5">
              <w:rPr>
                <w:rFonts w:ascii="Cambria" w:eastAsia="Calibri" w:hAnsi="Cambria" w:cs="Calibri"/>
                <w:lang w:val="hr-HR"/>
              </w:rPr>
              <w:t xml:space="preserve">Da položi kolegij, student/studentica mora: </w:t>
            </w:r>
          </w:p>
          <w:p w14:paraId="4AB77CB4" w14:textId="77777777" w:rsidR="000B2D2C" w:rsidRDefault="000B2D2C" w:rsidP="000B2D2C">
            <w:pPr>
              <w:spacing w:after="0" w:line="240" w:lineRule="atLeast"/>
              <w:jc w:val="both"/>
              <w:rPr>
                <w:rFonts w:ascii="Cambria" w:eastAsia="Calibri" w:hAnsi="Cambria" w:cs="Calibri"/>
                <w:lang w:val="hr-HR"/>
              </w:rPr>
            </w:pPr>
            <w:r w:rsidRPr="00DF4CE5">
              <w:rPr>
                <w:rFonts w:ascii="Cambria" w:eastAsia="Calibri" w:hAnsi="Cambria" w:cs="Calibri"/>
                <w:lang w:val="hr-HR"/>
              </w:rPr>
              <w:t xml:space="preserve">1. redovito </w:t>
            </w:r>
            <w:r>
              <w:rPr>
                <w:rFonts w:ascii="Cambria" w:eastAsia="Calibri" w:hAnsi="Cambria" w:cs="Calibri"/>
                <w:lang w:val="hr-HR"/>
              </w:rPr>
              <w:t xml:space="preserve">i aktivno </w:t>
            </w:r>
            <w:r w:rsidRPr="00DF4CE5">
              <w:rPr>
                <w:rFonts w:ascii="Cambria" w:eastAsia="Calibri" w:hAnsi="Cambria" w:cs="Calibri"/>
                <w:lang w:val="hr-HR"/>
              </w:rPr>
              <w:t xml:space="preserve">prisustvovati na predavanjima i seminarima </w:t>
            </w:r>
            <w:r>
              <w:rPr>
                <w:rFonts w:ascii="Cambria" w:eastAsia="Calibri" w:hAnsi="Cambria" w:cs="Calibri"/>
                <w:lang w:val="hr-HR"/>
              </w:rPr>
              <w:t>(</w:t>
            </w:r>
            <w:r w:rsidRPr="00DF4CE5">
              <w:rPr>
                <w:rFonts w:ascii="Cambria" w:eastAsia="Calibri" w:hAnsi="Cambria" w:cs="Calibri"/>
                <w:lang w:val="hr-HR"/>
              </w:rPr>
              <w:t>3 izostanka su dozvoljena</w:t>
            </w:r>
            <w:r>
              <w:rPr>
                <w:rFonts w:ascii="Cambria" w:eastAsia="Calibri" w:hAnsi="Cambria" w:cs="Calibri"/>
                <w:lang w:val="hr-HR"/>
              </w:rPr>
              <w:t>)</w:t>
            </w:r>
          </w:p>
          <w:p w14:paraId="7C37DA48" w14:textId="77777777" w:rsidR="000B2D2C" w:rsidRDefault="000B2D2C" w:rsidP="000B2D2C">
            <w:pPr>
              <w:spacing w:after="0" w:line="240" w:lineRule="atLeast"/>
              <w:jc w:val="both"/>
              <w:rPr>
                <w:rFonts w:ascii="Cambria" w:eastAsia="Calibri" w:hAnsi="Cambria" w:cs="Calibri"/>
                <w:lang w:val="hr-HR"/>
              </w:rPr>
            </w:pPr>
            <w:r>
              <w:rPr>
                <w:rFonts w:ascii="Cambria" w:eastAsia="Calibri" w:hAnsi="Cambria" w:cs="Calibri"/>
                <w:lang w:val="hr-HR"/>
              </w:rPr>
              <w:t>2. napisati, predati i izložiti seminarski rad</w:t>
            </w:r>
          </w:p>
          <w:p w14:paraId="05BDF4A5" w14:textId="77777777" w:rsidR="000B2D2C" w:rsidRPr="00DF4CE5" w:rsidRDefault="000B2D2C" w:rsidP="000B2D2C">
            <w:pPr>
              <w:spacing w:after="0" w:line="240" w:lineRule="atLeast"/>
              <w:jc w:val="both"/>
              <w:rPr>
                <w:rFonts w:ascii="Cambria" w:eastAsia="Calibri" w:hAnsi="Cambria" w:cs="Calibri"/>
                <w:lang w:val="hr-HR"/>
              </w:rPr>
            </w:pPr>
            <w:r>
              <w:rPr>
                <w:rFonts w:ascii="Cambria" w:eastAsia="Calibri" w:hAnsi="Cambria" w:cs="Calibri"/>
                <w:lang w:val="hr-HR"/>
              </w:rPr>
              <w:t xml:space="preserve">3. položiti usmeni ispit. </w:t>
            </w:r>
          </w:p>
        </w:tc>
      </w:tr>
      <w:tr w:rsidR="000B2D2C" w:rsidRPr="00D0399C" w14:paraId="6FC1B2CC" w14:textId="77777777" w:rsidTr="000B2D2C">
        <w:tc>
          <w:tcPr>
            <w:tcW w:w="281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19F025F" w14:textId="77777777" w:rsidR="000B2D2C" w:rsidRPr="00DF4CE5" w:rsidRDefault="000B2D2C" w:rsidP="000B2D2C">
            <w:pPr>
              <w:spacing w:after="0" w:line="240" w:lineRule="atLeast"/>
              <w:jc w:val="both"/>
              <w:rPr>
                <w:rFonts w:ascii="Cambria" w:eastAsia="Calibri" w:hAnsi="Cambria" w:cs="Calibri"/>
                <w:lang w:val="hr-HR"/>
              </w:rPr>
            </w:pPr>
            <w:proofErr w:type="spellStart"/>
            <w:r w:rsidRPr="00DF4CE5">
              <w:rPr>
                <w:rFonts w:ascii="Cambria" w:eastAsia="Calibri" w:hAnsi="Cambria" w:cs="Calibri"/>
              </w:rPr>
              <w:t>Rokovi</w:t>
            </w:r>
            <w:proofErr w:type="spellEnd"/>
            <w:r w:rsidRPr="00DF4CE5">
              <w:rPr>
                <w:rFonts w:ascii="Cambria" w:eastAsia="Calibri" w:hAnsi="Cambria" w:cs="Calibri"/>
              </w:rPr>
              <w:t xml:space="preserve"> </w:t>
            </w:r>
            <w:proofErr w:type="spellStart"/>
            <w:r w:rsidRPr="00DF4CE5">
              <w:rPr>
                <w:rFonts w:ascii="Cambria" w:eastAsia="Calibri" w:hAnsi="Cambria" w:cs="Calibri"/>
              </w:rPr>
              <w:t>ispita</w:t>
            </w:r>
            <w:proofErr w:type="spellEnd"/>
            <w:r w:rsidRPr="00DF4CE5">
              <w:rPr>
                <w:rFonts w:ascii="Cambria" w:eastAsia="Calibri" w:hAnsi="Cambria" w:cs="Calibri"/>
              </w:rPr>
              <w:t xml:space="preserve"> </w:t>
            </w:r>
            <w:proofErr w:type="spellStart"/>
            <w:r w:rsidRPr="00DF4CE5">
              <w:rPr>
                <w:rFonts w:ascii="Cambria" w:eastAsia="Calibri" w:hAnsi="Cambria" w:cs="Calibri"/>
              </w:rPr>
              <w:t>i</w:t>
            </w:r>
            <w:proofErr w:type="spellEnd"/>
            <w:r w:rsidRPr="00DF4CE5">
              <w:rPr>
                <w:rFonts w:ascii="Cambria" w:eastAsia="Calibri" w:hAnsi="Cambria" w:cs="Calibri"/>
              </w:rPr>
              <w:t xml:space="preserve"> </w:t>
            </w:r>
            <w:proofErr w:type="spellStart"/>
            <w:r w:rsidRPr="00DF4CE5">
              <w:rPr>
                <w:rFonts w:ascii="Cambria" w:eastAsia="Calibri" w:hAnsi="Cambria" w:cs="Calibri"/>
              </w:rPr>
              <w:t>kolokvija</w:t>
            </w:r>
            <w:proofErr w:type="spellEnd"/>
          </w:p>
        </w:tc>
        <w:tc>
          <w:tcPr>
            <w:tcW w:w="720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C2AC483" w14:textId="77777777" w:rsidR="000B2D2C" w:rsidRPr="00DF4CE5" w:rsidRDefault="000B2D2C" w:rsidP="000B2D2C">
            <w:pPr>
              <w:spacing w:after="0" w:line="240" w:lineRule="atLeast"/>
              <w:jc w:val="both"/>
              <w:rPr>
                <w:rFonts w:ascii="Cambria" w:eastAsia="Calibri" w:hAnsi="Cambria" w:cs="Calibri"/>
                <w:lang w:val="hr-HR"/>
              </w:rPr>
            </w:pPr>
            <w:r w:rsidRPr="00DF4CE5">
              <w:rPr>
                <w:rFonts w:ascii="Cambria" w:eastAsia="Calibri" w:hAnsi="Cambria" w:cs="Calibri"/>
                <w:lang w:val="hr-HR" w:eastAsia="hr-HR"/>
              </w:rPr>
              <w:t xml:space="preserve">Objavljuju se u ISVU sustavu i </w:t>
            </w:r>
            <w:proofErr w:type="spellStart"/>
            <w:r w:rsidRPr="00DF4CE5">
              <w:rPr>
                <w:rFonts w:ascii="Cambria" w:eastAsia="Calibri" w:hAnsi="Cambria" w:cs="Calibri"/>
                <w:lang w:val="hr-HR" w:eastAsia="hr-HR"/>
              </w:rPr>
              <w:t>Studomatu</w:t>
            </w:r>
            <w:proofErr w:type="spellEnd"/>
            <w:r w:rsidRPr="00DF4CE5">
              <w:rPr>
                <w:rFonts w:ascii="Cambria" w:eastAsia="Calibri" w:hAnsi="Cambria" w:cs="Calibri"/>
                <w:lang w:val="hr-HR" w:eastAsia="hr-HR"/>
              </w:rPr>
              <w:t>.</w:t>
            </w:r>
          </w:p>
        </w:tc>
      </w:tr>
      <w:tr w:rsidR="000B2D2C" w:rsidRPr="00DF4CE5" w14:paraId="5858EEF1" w14:textId="77777777" w:rsidTr="000B2D2C">
        <w:tc>
          <w:tcPr>
            <w:tcW w:w="281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4F53ACF" w14:textId="77777777" w:rsidR="000B2D2C" w:rsidRPr="00DF4CE5" w:rsidRDefault="000B2D2C" w:rsidP="000B2D2C">
            <w:pPr>
              <w:spacing w:after="0" w:line="240" w:lineRule="atLeast"/>
              <w:jc w:val="both"/>
              <w:rPr>
                <w:rFonts w:ascii="Cambria" w:eastAsia="Calibri" w:hAnsi="Cambria" w:cs="Calibri"/>
                <w:lang w:val="hr-HR"/>
              </w:rPr>
            </w:pPr>
            <w:r w:rsidRPr="00DF4CE5">
              <w:rPr>
                <w:rFonts w:ascii="Cambria" w:eastAsia="Calibri" w:hAnsi="Cambria" w:cs="Calibri"/>
                <w:lang w:val="hr-HR"/>
              </w:rPr>
              <w:t xml:space="preserve">Ostale važne činjenice </w:t>
            </w:r>
            <w:r w:rsidRPr="00DF4CE5">
              <w:rPr>
                <w:rFonts w:ascii="Cambria" w:eastAsia="Calibri" w:hAnsi="Cambria" w:cs="Calibri"/>
                <w:lang w:val="pl-PL"/>
              </w:rPr>
              <w:t>vezane uz kolegij</w:t>
            </w:r>
          </w:p>
        </w:tc>
        <w:tc>
          <w:tcPr>
            <w:tcW w:w="720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EDE1D64" w14:textId="77777777" w:rsidR="000B2D2C" w:rsidRPr="00DF4CE5" w:rsidRDefault="000B2D2C" w:rsidP="000B2D2C">
            <w:pPr>
              <w:spacing w:after="0" w:line="240" w:lineRule="atLeast"/>
              <w:jc w:val="both"/>
              <w:rPr>
                <w:rFonts w:ascii="Cambria" w:eastAsia="Calibri" w:hAnsi="Cambria" w:cs="Calibri"/>
                <w:lang w:val="hr-HR"/>
              </w:rPr>
            </w:pPr>
            <w:r w:rsidRPr="00DF4CE5">
              <w:rPr>
                <w:rFonts w:ascii="Cambria" w:eastAsia="Calibri" w:hAnsi="Cambria" w:cs="Calibri"/>
                <w:lang w:val="hr-HR"/>
              </w:rPr>
              <w:t>Materijali se dostavljaju na e-učenje.</w:t>
            </w:r>
          </w:p>
          <w:p w14:paraId="2A1A91D2" w14:textId="77777777" w:rsidR="000B2D2C" w:rsidRPr="00DF4CE5" w:rsidRDefault="000B2D2C" w:rsidP="000B2D2C">
            <w:pPr>
              <w:spacing w:after="0" w:line="240" w:lineRule="atLeast"/>
              <w:jc w:val="both"/>
              <w:rPr>
                <w:rFonts w:ascii="Cambria" w:eastAsia="Calibri" w:hAnsi="Cambria" w:cs="Calibri"/>
                <w:lang w:val="hr-HR"/>
              </w:rPr>
            </w:pPr>
            <w:r w:rsidRPr="00DF4CE5">
              <w:rPr>
                <w:rFonts w:ascii="Cambria" w:eastAsia="Calibri" w:hAnsi="Cambria" w:cs="Calibri"/>
                <w:lang w:val="hr-HR"/>
              </w:rPr>
              <w:t>U slučaju održavanja nastave na daljinu, moguće je odstupanje u: mjestu izvođenja kolegija, provedbi aktivnosti, metoda tumačenja i poučavanja i načinima vrednovanja, studentskim obvezama i dostupnoj literaturi. O tome će nositeljica kolegija i asistentica obavijestiti studente i studentice kad se nastava na daljinu počne održavati. Ishodi učenja ostaju nepromijenjeni.</w:t>
            </w:r>
          </w:p>
        </w:tc>
      </w:tr>
      <w:tr w:rsidR="000B2D2C" w:rsidRPr="00DF4CE5" w14:paraId="7F547996" w14:textId="77777777" w:rsidTr="000B2D2C">
        <w:trPr>
          <w:trHeight w:val="770"/>
        </w:trPr>
        <w:tc>
          <w:tcPr>
            <w:tcW w:w="281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6D38298" w14:textId="77777777" w:rsidR="000B2D2C" w:rsidRPr="00DF4CE5" w:rsidRDefault="000B2D2C" w:rsidP="000B2D2C">
            <w:pPr>
              <w:spacing w:after="0" w:line="240" w:lineRule="atLeast"/>
              <w:jc w:val="both"/>
              <w:rPr>
                <w:rFonts w:ascii="Cambria" w:eastAsia="Calibri" w:hAnsi="Cambria" w:cs="Calibri"/>
                <w:lang w:val="hr-HR"/>
              </w:rPr>
            </w:pPr>
            <w:r w:rsidRPr="00DF4CE5">
              <w:rPr>
                <w:rFonts w:ascii="Cambria" w:eastAsia="Calibri" w:hAnsi="Cambria" w:cs="Calibri"/>
                <w:lang w:val="hr-HR"/>
              </w:rPr>
              <w:t>Literatura</w:t>
            </w:r>
          </w:p>
        </w:tc>
        <w:tc>
          <w:tcPr>
            <w:tcW w:w="7205"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5B45E266" w14:textId="77777777" w:rsidR="000B2D2C" w:rsidRPr="00DF4CE5" w:rsidRDefault="000B2D2C" w:rsidP="000B2D2C">
            <w:pPr>
              <w:spacing w:after="0" w:line="240" w:lineRule="atLeast"/>
              <w:jc w:val="both"/>
              <w:rPr>
                <w:rFonts w:ascii="Cambria" w:eastAsia="Calibri" w:hAnsi="Cambria" w:cs="Calibri"/>
                <w:lang w:val="hr-HR"/>
              </w:rPr>
            </w:pPr>
            <w:r w:rsidRPr="00DF4CE5">
              <w:rPr>
                <w:rFonts w:ascii="Cambria" w:eastAsia="Calibri" w:hAnsi="Cambria" w:cs="Calibri"/>
                <w:lang w:val="hr-HR"/>
              </w:rPr>
              <w:t xml:space="preserve">Obvezna: </w:t>
            </w:r>
          </w:p>
          <w:p w14:paraId="230B5373" w14:textId="77777777" w:rsidR="000B2D2C" w:rsidRPr="00DF4CE5" w:rsidRDefault="000B2D2C" w:rsidP="000B2D2C">
            <w:pPr>
              <w:spacing w:after="0" w:line="240" w:lineRule="atLeast"/>
              <w:jc w:val="both"/>
              <w:rPr>
                <w:rFonts w:ascii="Cambria" w:eastAsia="Calibri" w:hAnsi="Cambria" w:cs="Calibri"/>
                <w:lang w:val="hr-HR"/>
              </w:rPr>
            </w:pPr>
            <w:r w:rsidRPr="00DF4CE5">
              <w:rPr>
                <w:rFonts w:ascii="Cambria" w:eastAsia="Calibri" w:hAnsi="Cambria" w:cs="Calibri"/>
                <w:lang w:val="hr-HR"/>
              </w:rPr>
              <w:t xml:space="preserve">1. </w:t>
            </w:r>
            <w:proofErr w:type="spellStart"/>
            <w:r w:rsidRPr="00DF4CE5">
              <w:rPr>
                <w:rFonts w:ascii="Cambria" w:eastAsia="Calibri" w:hAnsi="Cambria" w:cs="Calibri"/>
                <w:lang w:val="hr-HR"/>
              </w:rPr>
              <w:t>Radetić</w:t>
            </w:r>
            <w:proofErr w:type="spellEnd"/>
            <w:r w:rsidRPr="00DF4CE5">
              <w:rPr>
                <w:rFonts w:ascii="Cambria" w:eastAsia="Calibri" w:hAnsi="Cambria" w:cs="Calibri"/>
                <w:lang w:val="hr-HR"/>
              </w:rPr>
              <w:t>-Paić, M. (2013). Prilagodbe u radu s djecom s teškoćama u radu u odgojno-obrazovnim ustanovama. Sveučilište Jurja Dobrile u Puli. Str. 85-97.</w:t>
            </w:r>
          </w:p>
          <w:p w14:paraId="048D27F1" w14:textId="77777777" w:rsidR="000B2D2C" w:rsidRPr="00DF4CE5" w:rsidRDefault="000B2D2C" w:rsidP="000B2D2C">
            <w:pPr>
              <w:spacing w:after="0" w:line="240" w:lineRule="atLeast"/>
              <w:jc w:val="both"/>
              <w:rPr>
                <w:rFonts w:ascii="Cambria" w:eastAsia="Calibri" w:hAnsi="Cambria" w:cs="Calibri"/>
                <w:lang w:val="hr-HR"/>
              </w:rPr>
            </w:pPr>
            <w:r w:rsidRPr="00DF4CE5">
              <w:rPr>
                <w:rFonts w:ascii="Cambria" w:eastAsia="Calibri" w:hAnsi="Cambria" w:cs="Calibri"/>
                <w:lang w:val="hr-HR"/>
              </w:rPr>
              <w:t xml:space="preserve">2. </w:t>
            </w:r>
            <w:proofErr w:type="spellStart"/>
            <w:r w:rsidRPr="00DF4CE5">
              <w:rPr>
                <w:rFonts w:ascii="Cambria" w:eastAsia="Calibri" w:hAnsi="Cambria" w:cs="Calibri"/>
                <w:lang w:val="hr-HR"/>
              </w:rPr>
              <w:t>Radetić</w:t>
            </w:r>
            <w:proofErr w:type="spellEnd"/>
            <w:r w:rsidRPr="00DF4CE5">
              <w:rPr>
                <w:rFonts w:ascii="Cambria" w:eastAsia="Calibri" w:hAnsi="Cambria" w:cs="Calibri"/>
                <w:lang w:val="hr-HR"/>
              </w:rPr>
              <w:t>-Paić, M., Ružić-</w:t>
            </w:r>
            <w:proofErr w:type="spellStart"/>
            <w:r w:rsidRPr="00DF4CE5">
              <w:rPr>
                <w:rFonts w:ascii="Cambria" w:eastAsia="Calibri" w:hAnsi="Cambria" w:cs="Calibri"/>
                <w:lang w:val="hr-HR"/>
              </w:rPr>
              <w:t>Baf</w:t>
            </w:r>
            <w:proofErr w:type="spellEnd"/>
            <w:r w:rsidRPr="00DF4CE5">
              <w:rPr>
                <w:rFonts w:ascii="Cambria" w:eastAsia="Calibri" w:hAnsi="Cambria" w:cs="Calibri"/>
                <w:lang w:val="hr-HR"/>
              </w:rPr>
              <w:t xml:space="preserve">, M., </w:t>
            </w:r>
            <w:proofErr w:type="spellStart"/>
            <w:r w:rsidRPr="00DF4CE5">
              <w:rPr>
                <w:rFonts w:ascii="Cambria" w:eastAsia="Calibri" w:hAnsi="Cambria" w:cs="Calibri"/>
                <w:lang w:val="hr-HR"/>
              </w:rPr>
              <w:t>Zuliani</w:t>
            </w:r>
            <w:proofErr w:type="spellEnd"/>
            <w:r w:rsidRPr="00DF4CE5">
              <w:rPr>
                <w:rFonts w:ascii="Cambria" w:eastAsia="Calibri" w:hAnsi="Cambria" w:cs="Calibri"/>
                <w:lang w:val="hr-HR"/>
              </w:rPr>
              <w:t xml:space="preserve">, Đ. (2011). Poremećaji nedovoljno kontroliranog ponašanja sa psihološkog, </w:t>
            </w:r>
            <w:proofErr w:type="spellStart"/>
            <w:r w:rsidRPr="00DF4CE5">
              <w:rPr>
                <w:rFonts w:ascii="Cambria" w:eastAsia="Calibri" w:hAnsi="Cambria" w:cs="Calibri"/>
                <w:lang w:val="hr-HR"/>
              </w:rPr>
              <w:t>socijalnopedagoškog</w:t>
            </w:r>
            <w:proofErr w:type="spellEnd"/>
            <w:r w:rsidRPr="00DF4CE5">
              <w:rPr>
                <w:rFonts w:ascii="Cambria" w:eastAsia="Calibri" w:hAnsi="Cambria" w:cs="Calibri"/>
                <w:lang w:val="hr-HR"/>
              </w:rPr>
              <w:t xml:space="preserve"> te informacijskog i komunikacijskog aspekta. Zagreb: Učiteljski fakultet Sveučilišta u Zagrebu</w:t>
            </w:r>
          </w:p>
          <w:p w14:paraId="3641EEC4" w14:textId="77777777" w:rsidR="000B2D2C" w:rsidRPr="00DF4CE5" w:rsidRDefault="000B2D2C" w:rsidP="000B2D2C">
            <w:pPr>
              <w:spacing w:after="0" w:line="240" w:lineRule="atLeast"/>
              <w:jc w:val="both"/>
              <w:rPr>
                <w:rFonts w:ascii="Cambria" w:eastAsia="Calibri" w:hAnsi="Cambria" w:cs="Calibri"/>
                <w:lang w:val="hr-HR"/>
              </w:rPr>
            </w:pPr>
            <w:r w:rsidRPr="00DF4CE5">
              <w:rPr>
                <w:rFonts w:ascii="Cambria" w:eastAsia="Calibri" w:hAnsi="Cambria" w:cs="Calibri"/>
                <w:lang w:val="hr-HR"/>
              </w:rPr>
              <w:t>3.</w:t>
            </w:r>
            <w:r w:rsidRPr="00DF4CE5">
              <w:rPr>
                <w:rFonts w:ascii="Cambria" w:eastAsia="Calibri" w:hAnsi="Cambria" w:cs="Times New Roman"/>
                <w:lang w:val="hr-HR"/>
              </w:rPr>
              <w:t xml:space="preserve"> </w:t>
            </w:r>
            <w:proofErr w:type="spellStart"/>
            <w:r w:rsidRPr="00DF4CE5">
              <w:rPr>
                <w:rFonts w:ascii="Cambria" w:eastAsia="Calibri" w:hAnsi="Cambria" w:cs="Calibri"/>
                <w:lang w:val="hr-HR"/>
              </w:rPr>
              <w:t>Velki</w:t>
            </w:r>
            <w:proofErr w:type="spellEnd"/>
            <w:r w:rsidRPr="00DF4CE5">
              <w:rPr>
                <w:rFonts w:ascii="Cambria" w:eastAsia="Calibri" w:hAnsi="Cambria" w:cs="Calibri"/>
                <w:lang w:val="hr-HR"/>
              </w:rPr>
              <w:t>, T. (2012). Priručnik za rad s hiperaktivnom djecom u školi. Jastrebarsko: Naklada Slap.</w:t>
            </w:r>
          </w:p>
          <w:p w14:paraId="1A71A11C" w14:textId="77777777" w:rsidR="000B2D2C" w:rsidRPr="00DF4CE5" w:rsidRDefault="000B2D2C" w:rsidP="000B2D2C">
            <w:pPr>
              <w:spacing w:after="0" w:line="240" w:lineRule="atLeast"/>
              <w:jc w:val="both"/>
              <w:rPr>
                <w:rFonts w:ascii="Cambria" w:eastAsia="Calibri" w:hAnsi="Cambria" w:cs="Calibri"/>
                <w:lang w:val="hr-HR"/>
              </w:rPr>
            </w:pPr>
            <w:r w:rsidRPr="00DF4CE5">
              <w:rPr>
                <w:rFonts w:ascii="Cambria" w:eastAsia="Calibri" w:hAnsi="Cambria" w:cs="Calibri"/>
                <w:lang w:val="hr-HR"/>
              </w:rPr>
              <w:t>Izborna:</w:t>
            </w:r>
          </w:p>
          <w:p w14:paraId="143E62BA" w14:textId="77777777" w:rsidR="000B2D2C" w:rsidRPr="00DF4CE5" w:rsidRDefault="000B2D2C" w:rsidP="000B2D2C">
            <w:pPr>
              <w:spacing w:after="0" w:line="240" w:lineRule="atLeast"/>
              <w:jc w:val="both"/>
              <w:rPr>
                <w:rFonts w:ascii="Cambria" w:eastAsia="Calibri" w:hAnsi="Cambria" w:cs="Calibri"/>
                <w:lang w:val="hr-HR"/>
              </w:rPr>
            </w:pPr>
            <w:r w:rsidRPr="00DF4CE5">
              <w:rPr>
                <w:rFonts w:ascii="Cambria" w:eastAsia="Calibri" w:hAnsi="Cambria" w:cs="Calibri"/>
                <w:lang w:val="hr-HR"/>
              </w:rPr>
              <w:t xml:space="preserve">1. </w:t>
            </w:r>
            <w:proofErr w:type="spellStart"/>
            <w:r w:rsidRPr="00DF4CE5">
              <w:rPr>
                <w:rFonts w:ascii="Cambria" w:eastAsia="Calibri" w:hAnsi="Cambria" w:cs="Calibri"/>
                <w:lang w:val="hr-HR"/>
              </w:rPr>
              <w:t>Greenspan</w:t>
            </w:r>
            <w:proofErr w:type="spellEnd"/>
            <w:r w:rsidRPr="00DF4CE5">
              <w:rPr>
                <w:rFonts w:ascii="Cambria" w:eastAsia="Calibri" w:hAnsi="Cambria" w:cs="Calibri"/>
                <w:lang w:val="hr-HR"/>
              </w:rPr>
              <w:t xml:space="preserve">, J. S. (2004). Zahtjevna djeca: razumijevanje, podizanje i radost s pet „teških“ tipova djece. Lekenik: Ostvarenje. </w:t>
            </w:r>
          </w:p>
          <w:p w14:paraId="385E2BD9" w14:textId="77777777" w:rsidR="000B2D2C" w:rsidRPr="00DF4CE5" w:rsidRDefault="000B2D2C" w:rsidP="000B2D2C">
            <w:pPr>
              <w:spacing w:after="0" w:line="240" w:lineRule="atLeast"/>
              <w:jc w:val="both"/>
              <w:rPr>
                <w:rFonts w:ascii="Cambria" w:eastAsia="Calibri" w:hAnsi="Cambria" w:cs="Calibri"/>
                <w:lang w:val="hr-HR"/>
              </w:rPr>
            </w:pPr>
            <w:r w:rsidRPr="00DF4CE5">
              <w:rPr>
                <w:rFonts w:ascii="Cambria" w:eastAsia="Calibri" w:hAnsi="Cambria" w:cs="Calibri"/>
                <w:lang w:val="hr-HR"/>
              </w:rPr>
              <w:t xml:space="preserve">2. </w:t>
            </w:r>
            <w:proofErr w:type="spellStart"/>
            <w:r w:rsidRPr="00DF4CE5">
              <w:rPr>
                <w:rFonts w:ascii="Cambria" w:eastAsia="Calibri" w:hAnsi="Cambria" w:cs="Calibri"/>
                <w:lang w:val="hr-HR"/>
              </w:rPr>
              <w:t>Sekušak</w:t>
            </w:r>
            <w:proofErr w:type="spellEnd"/>
            <w:r w:rsidRPr="00DF4CE5">
              <w:rPr>
                <w:rFonts w:ascii="Cambria" w:eastAsia="Calibri" w:hAnsi="Cambria" w:cs="Calibri"/>
                <w:lang w:val="hr-HR"/>
              </w:rPr>
              <w:t xml:space="preserve"> </w:t>
            </w:r>
            <w:proofErr w:type="spellStart"/>
            <w:r w:rsidRPr="00DF4CE5">
              <w:rPr>
                <w:rFonts w:ascii="Cambria" w:eastAsia="Calibri" w:hAnsi="Cambria" w:cs="Calibri"/>
                <w:lang w:val="hr-HR"/>
              </w:rPr>
              <w:t>Galešev</w:t>
            </w:r>
            <w:proofErr w:type="spellEnd"/>
            <w:r w:rsidRPr="00DF4CE5">
              <w:rPr>
                <w:rFonts w:ascii="Cambria" w:eastAsia="Calibri" w:hAnsi="Cambria" w:cs="Calibri"/>
                <w:lang w:val="hr-HR"/>
              </w:rPr>
              <w:t xml:space="preserve">, S. (2004). Djeca s deficitom pažnje/hiperaktivnim poremećajem i posebne edukacijske potrebe. U: Igrić </w:t>
            </w:r>
            <w:proofErr w:type="spellStart"/>
            <w:r w:rsidRPr="00DF4CE5">
              <w:rPr>
                <w:rFonts w:ascii="Cambria" w:eastAsia="Calibri" w:hAnsi="Cambria" w:cs="Calibri"/>
                <w:lang w:val="hr-HR"/>
              </w:rPr>
              <w:t>Lj</w:t>
            </w:r>
            <w:proofErr w:type="spellEnd"/>
            <w:r w:rsidRPr="00DF4CE5">
              <w:rPr>
                <w:rFonts w:ascii="Cambria" w:eastAsia="Calibri" w:hAnsi="Cambria" w:cs="Calibri"/>
                <w:lang w:val="hr-HR"/>
              </w:rPr>
              <w:t>.(</w:t>
            </w:r>
            <w:proofErr w:type="spellStart"/>
            <w:r w:rsidRPr="00DF4CE5">
              <w:rPr>
                <w:rFonts w:ascii="Cambria" w:eastAsia="Calibri" w:hAnsi="Cambria" w:cs="Calibri"/>
                <w:lang w:val="hr-HR"/>
              </w:rPr>
              <w:t>ur</w:t>
            </w:r>
            <w:proofErr w:type="spellEnd"/>
            <w:r w:rsidRPr="00DF4CE5">
              <w:rPr>
                <w:rFonts w:ascii="Cambria" w:eastAsia="Calibri" w:hAnsi="Cambria" w:cs="Calibri"/>
                <w:lang w:val="hr-HR"/>
              </w:rPr>
              <w:t xml:space="preserve">.) Moje dijete u školi – priručnik. Zagreb: Hrvatska udruga za stručnu pomoć djeci s posebnim potrebama IDEM. </w:t>
            </w:r>
          </w:p>
          <w:p w14:paraId="0FC4F91B" w14:textId="77777777" w:rsidR="000B2D2C" w:rsidRPr="00DF4CE5" w:rsidRDefault="000B2D2C" w:rsidP="000B2D2C">
            <w:pPr>
              <w:spacing w:after="0" w:line="240" w:lineRule="atLeast"/>
              <w:jc w:val="both"/>
              <w:rPr>
                <w:rFonts w:ascii="Cambria" w:eastAsia="Calibri" w:hAnsi="Cambria" w:cs="Calibri"/>
                <w:lang w:val="hr-HR"/>
              </w:rPr>
            </w:pPr>
            <w:r w:rsidRPr="00DF4CE5">
              <w:rPr>
                <w:rFonts w:ascii="Cambria" w:eastAsia="Calibri" w:hAnsi="Cambria" w:cs="Calibri"/>
                <w:lang w:val="hr-HR"/>
              </w:rPr>
              <w:t xml:space="preserve">3. </w:t>
            </w:r>
            <w:proofErr w:type="spellStart"/>
            <w:r w:rsidRPr="00DF4CE5">
              <w:rPr>
                <w:rFonts w:ascii="Cambria" w:eastAsia="Calibri" w:hAnsi="Cambria" w:cs="Calibri"/>
                <w:lang w:val="hr-HR"/>
              </w:rPr>
              <w:t>Sekušak</w:t>
            </w:r>
            <w:proofErr w:type="spellEnd"/>
            <w:r w:rsidRPr="00DF4CE5">
              <w:rPr>
                <w:rFonts w:ascii="Cambria" w:eastAsia="Calibri" w:hAnsi="Cambria" w:cs="Calibri"/>
                <w:lang w:val="hr-HR"/>
              </w:rPr>
              <w:t xml:space="preserve"> </w:t>
            </w:r>
            <w:proofErr w:type="spellStart"/>
            <w:r w:rsidRPr="00DF4CE5">
              <w:rPr>
                <w:rFonts w:ascii="Cambria" w:eastAsia="Calibri" w:hAnsi="Cambria" w:cs="Calibri"/>
                <w:lang w:val="hr-HR"/>
              </w:rPr>
              <w:t>Galešev</w:t>
            </w:r>
            <w:proofErr w:type="spellEnd"/>
            <w:r w:rsidRPr="00DF4CE5">
              <w:rPr>
                <w:rFonts w:ascii="Cambria" w:eastAsia="Calibri" w:hAnsi="Cambria" w:cs="Calibri"/>
                <w:lang w:val="hr-HR"/>
              </w:rPr>
              <w:t>, S. (2005). Hiperaktivnost. Dijete i društvo, 7, (1), 40 – 57.</w:t>
            </w:r>
          </w:p>
          <w:p w14:paraId="1295290C" w14:textId="77777777" w:rsidR="000B2D2C" w:rsidRPr="00DF4CE5" w:rsidRDefault="000B2D2C" w:rsidP="000B2D2C">
            <w:pPr>
              <w:spacing w:after="0" w:line="240" w:lineRule="atLeast"/>
              <w:jc w:val="both"/>
              <w:rPr>
                <w:rFonts w:ascii="Cambria" w:eastAsia="Calibri" w:hAnsi="Cambria" w:cs="Calibri"/>
                <w:lang w:val="hr-HR"/>
              </w:rPr>
            </w:pPr>
            <w:r w:rsidRPr="00DF4CE5">
              <w:rPr>
                <w:rFonts w:ascii="Cambria" w:eastAsia="Calibri" w:hAnsi="Cambria" w:cs="Calibri"/>
                <w:lang w:val="hr-HR"/>
              </w:rPr>
              <w:t xml:space="preserve">4. Willis, M. i Kindle </w:t>
            </w:r>
            <w:proofErr w:type="spellStart"/>
            <w:r w:rsidRPr="00DF4CE5">
              <w:rPr>
                <w:rFonts w:ascii="Cambria" w:eastAsia="Calibri" w:hAnsi="Cambria" w:cs="Calibri"/>
                <w:lang w:val="hr-HR"/>
              </w:rPr>
              <w:t>Hodson</w:t>
            </w:r>
            <w:proofErr w:type="spellEnd"/>
            <w:r w:rsidRPr="00DF4CE5">
              <w:rPr>
                <w:rFonts w:ascii="Cambria" w:eastAsia="Calibri" w:hAnsi="Cambria" w:cs="Calibri"/>
                <w:lang w:val="hr-HR"/>
              </w:rPr>
              <w:t>, V. (2004). Otkrijte stil učenja vašeg djeteta. Lekenik: Ostvarenje</w:t>
            </w:r>
          </w:p>
        </w:tc>
      </w:tr>
    </w:tbl>
    <w:p w14:paraId="069572B7" w14:textId="77777777" w:rsidR="00544D05" w:rsidRPr="00DF4CE5" w:rsidRDefault="00544D05" w:rsidP="008B34AF">
      <w:pPr>
        <w:jc w:val="both"/>
        <w:rPr>
          <w:rFonts w:ascii="Cambria" w:hAnsi="Cambria"/>
          <w:lang w:val="hr-HR"/>
        </w:rPr>
      </w:pPr>
    </w:p>
    <w:p w14:paraId="2E5E7C2C" w14:textId="77777777" w:rsidR="00544D05" w:rsidRPr="00DF4CE5" w:rsidRDefault="00544D05" w:rsidP="008B34AF">
      <w:pPr>
        <w:jc w:val="both"/>
        <w:rPr>
          <w:rFonts w:ascii="Cambria" w:hAnsi="Cambria"/>
          <w:lang w:val="hr-HR"/>
        </w:rPr>
      </w:pPr>
    </w:p>
    <w:tbl>
      <w:tblPr>
        <w:tblW w:w="5000" w:type="pct"/>
        <w:tblLayout w:type="fixed"/>
        <w:tblCellMar>
          <w:left w:w="0" w:type="dxa"/>
          <w:right w:w="0" w:type="dxa"/>
        </w:tblCellMar>
        <w:tblLook w:val="0600" w:firstRow="0" w:lastRow="0" w:firstColumn="0" w:lastColumn="0" w:noHBand="1" w:noVBand="1"/>
      </w:tblPr>
      <w:tblGrid>
        <w:gridCol w:w="2814"/>
        <w:gridCol w:w="2669"/>
        <w:gridCol w:w="105"/>
        <w:gridCol w:w="1167"/>
        <w:gridCol w:w="297"/>
        <w:gridCol w:w="470"/>
        <w:gridCol w:w="1084"/>
        <w:gridCol w:w="1414"/>
      </w:tblGrid>
      <w:tr w:rsidR="009138DB" w:rsidRPr="00DF4CE5" w14:paraId="3EABBC46" w14:textId="77777777" w:rsidTr="00587D5D">
        <w:tc>
          <w:tcPr>
            <w:tcW w:w="9360"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35994BC" w14:textId="77777777" w:rsidR="009138DB" w:rsidRPr="00DF4CE5" w:rsidRDefault="009138DB" w:rsidP="00587D5D">
            <w:pPr>
              <w:spacing w:after="0" w:line="240" w:lineRule="atLeast"/>
              <w:jc w:val="right"/>
              <w:rPr>
                <w:rFonts w:ascii="Cambria" w:eastAsia="Calibri" w:hAnsi="Cambria" w:cs="Calibri"/>
                <w:b/>
                <w:lang w:val="hr-HR"/>
              </w:rPr>
            </w:pPr>
            <w:r w:rsidRPr="00DF4CE5">
              <w:rPr>
                <w:rFonts w:ascii="Cambria" w:eastAsia="Calibri" w:hAnsi="Cambria" w:cs="Calibri"/>
                <w:b/>
                <w:lang w:val="hr-HR"/>
              </w:rPr>
              <w:lastRenderedPageBreak/>
              <w:t>IZVEDBENI PLAN NASTAVE KOLEGIJA</w:t>
            </w:r>
          </w:p>
        </w:tc>
      </w:tr>
      <w:tr w:rsidR="009138DB" w:rsidRPr="00DF4CE5" w14:paraId="3C8CC702" w14:textId="77777777" w:rsidTr="00587D5D">
        <w:tc>
          <w:tcPr>
            <w:tcW w:w="26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D62AA4F" w14:textId="77777777" w:rsidR="009138DB" w:rsidRPr="00DF4CE5" w:rsidRDefault="009138DB" w:rsidP="00587D5D">
            <w:pPr>
              <w:spacing w:after="0" w:line="240" w:lineRule="atLeast"/>
              <w:jc w:val="both"/>
              <w:rPr>
                <w:rFonts w:ascii="Cambria" w:eastAsia="Calibri" w:hAnsi="Cambria" w:cs="Calibri"/>
                <w:lang w:val="hr-HR"/>
              </w:rPr>
            </w:pPr>
            <w:r w:rsidRPr="00DF4CE5">
              <w:rPr>
                <w:rFonts w:ascii="Cambria" w:eastAsia="Calibri" w:hAnsi="Cambria" w:cs="Calibri"/>
                <w:lang w:val="hr-HR"/>
              </w:rPr>
              <w:t>Kod i naziv kolegija</w:t>
            </w:r>
          </w:p>
        </w:tc>
        <w:tc>
          <w:tcPr>
            <w:tcW w:w="6731"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D2C9395" w14:textId="77777777" w:rsidR="009138DB" w:rsidRPr="00DF4CE5" w:rsidRDefault="009138DB" w:rsidP="00587D5D">
            <w:pPr>
              <w:spacing w:after="0" w:line="240" w:lineRule="atLeast"/>
              <w:jc w:val="both"/>
              <w:rPr>
                <w:rFonts w:ascii="Cambria" w:eastAsia="Calibri" w:hAnsi="Cambria" w:cs="Calibri"/>
                <w:lang w:val="hr-HR"/>
              </w:rPr>
            </w:pPr>
            <w:r w:rsidRPr="00DF4CE5">
              <w:rPr>
                <w:rFonts w:ascii="Cambria" w:eastAsia="Calibri" w:hAnsi="Cambria" w:cs="Calibri"/>
                <w:lang w:val="hr-HR"/>
              </w:rPr>
              <w:t>96498</w:t>
            </w:r>
          </w:p>
          <w:p w14:paraId="222690C6" w14:textId="77777777" w:rsidR="009138DB" w:rsidRPr="00DF4CE5" w:rsidRDefault="009138DB" w:rsidP="00587D5D">
            <w:pPr>
              <w:spacing w:after="0" w:line="240" w:lineRule="atLeast"/>
              <w:jc w:val="both"/>
              <w:rPr>
                <w:rFonts w:ascii="Cambria" w:eastAsia="Calibri" w:hAnsi="Cambria" w:cs="Calibri"/>
                <w:lang w:val="hr-HR"/>
              </w:rPr>
            </w:pPr>
            <w:r w:rsidRPr="00DF4CE5">
              <w:rPr>
                <w:rFonts w:ascii="Cambria" w:eastAsia="Calibri" w:hAnsi="Cambria" w:cs="Calibri"/>
                <w:lang w:val="hr-HR"/>
              </w:rPr>
              <w:t>Uporaba ICT u odgoju i obrazovanju</w:t>
            </w:r>
          </w:p>
        </w:tc>
      </w:tr>
      <w:tr w:rsidR="009138DB" w:rsidRPr="000B2D2C" w14:paraId="72EF0BF6" w14:textId="77777777" w:rsidTr="00587D5D">
        <w:tc>
          <w:tcPr>
            <w:tcW w:w="26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FBB71B6" w14:textId="77777777" w:rsidR="009138DB" w:rsidRDefault="009138DB" w:rsidP="00587D5D">
            <w:pPr>
              <w:spacing w:after="0" w:line="240" w:lineRule="atLeast"/>
              <w:jc w:val="both"/>
              <w:rPr>
                <w:rFonts w:ascii="Cambria" w:eastAsia="Calibri" w:hAnsi="Cambria" w:cs="Calibri"/>
                <w:lang w:val="hr-HR"/>
              </w:rPr>
            </w:pPr>
            <w:r w:rsidRPr="00DF4CE5">
              <w:rPr>
                <w:rFonts w:ascii="Cambria" w:eastAsia="Calibri" w:hAnsi="Cambria" w:cs="Calibri"/>
                <w:lang w:val="hr-HR"/>
              </w:rPr>
              <w:t xml:space="preserve">Nastavnica </w:t>
            </w:r>
          </w:p>
          <w:p w14:paraId="55065917" w14:textId="77777777" w:rsidR="009138DB" w:rsidRPr="00DF4CE5" w:rsidRDefault="009138DB" w:rsidP="00587D5D">
            <w:pPr>
              <w:spacing w:after="0" w:line="240" w:lineRule="atLeast"/>
              <w:jc w:val="both"/>
              <w:rPr>
                <w:rFonts w:ascii="Cambria" w:eastAsia="Calibri" w:hAnsi="Cambria" w:cs="Calibri"/>
                <w:lang w:val="hr-HR"/>
              </w:rPr>
            </w:pPr>
            <w:r>
              <w:rPr>
                <w:rFonts w:ascii="Cambria" w:eastAsia="Calibri" w:hAnsi="Cambria" w:cs="Calibri"/>
                <w:lang w:val="hr-HR"/>
              </w:rPr>
              <w:t>Suradnik</w:t>
            </w:r>
          </w:p>
        </w:tc>
        <w:tc>
          <w:tcPr>
            <w:tcW w:w="6731"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F949880" w14:textId="77777777" w:rsidR="009138DB" w:rsidRDefault="009138DB" w:rsidP="00587D5D">
            <w:pPr>
              <w:spacing w:after="0" w:line="240" w:lineRule="auto"/>
              <w:jc w:val="both"/>
              <w:rPr>
                <w:rFonts w:ascii="Cambria" w:eastAsia="Times New Roman" w:hAnsi="Cambria" w:cs="Calibri"/>
                <w:lang w:val="hr-HR"/>
              </w:rPr>
            </w:pPr>
            <w:hyperlink r:id="rId88" w:history="1">
              <w:r w:rsidRPr="00E62D08">
                <w:rPr>
                  <w:rStyle w:val="Hiperveza"/>
                  <w:rFonts w:ascii="Cambria" w:eastAsia="Times New Roman" w:hAnsi="Cambria" w:cs="Calibri"/>
                  <w:lang w:val="hr-HR"/>
                </w:rPr>
                <w:t xml:space="preserve">Prof. dr. sc. Maja Ružić </w:t>
              </w:r>
            </w:hyperlink>
            <w:r w:rsidRPr="00DF4CE5">
              <w:rPr>
                <w:rFonts w:ascii="Cambria" w:eastAsia="Times New Roman" w:hAnsi="Cambria" w:cs="Calibri"/>
                <w:lang w:val="hr-HR"/>
              </w:rPr>
              <w:t xml:space="preserve"> </w:t>
            </w:r>
            <w:r w:rsidRPr="00DF4CE5">
              <w:rPr>
                <w:rFonts w:ascii="Cambria" w:eastAsia="Calibri" w:hAnsi="Cambria" w:cs="Calibri"/>
                <w:lang w:val="hr-HR"/>
              </w:rPr>
              <w:t>(nositeljica)</w:t>
            </w:r>
          </w:p>
          <w:p w14:paraId="32AB5BD7" w14:textId="041B97A4" w:rsidR="009138DB" w:rsidRPr="00E62D08" w:rsidRDefault="009138DB" w:rsidP="00587D5D">
            <w:pPr>
              <w:spacing w:after="0" w:line="240" w:lineRule="auto"/>
              <w:jc w:val="both"/>
              <w:rPr>
                <w:rFonts w:ascii="Cambria" w:eastAsia="Times New Roman" w:hAnsi="Cambria" w:cs="Calibri"/>
                <w:lang w:val="hr-HR"/>
              </w:rPr>
            </w:pPr>
            <w:hyperlink r:id="rId89" w:history="1">
              <w:r w:rsidRPr="009138DB">
                <w:rPr>
                  <w:rStyle w:val="Hiperveza"/>
                  <w:rFonts w:ascii="Cambria" w:eastAsia="Times New Roman" w:hAnsi="Cambria" w:cs="Calibri"/>
                  <w:lang w:val="hr-HR"/>
                </w:rPr>
                <w:t xml:space="preserve">Janko </w:t>
              </w:r>
              <w:proofErr w:type="spellStart"/>
              <w:r w:rsidRPr="009138DB">
                <w:rPr>
                  <w:rStyle w:val="Hiperveza"/>
                  <w:rFonts w:ascii="Cambria" w:eastAsia="Times New Roman" w:hAnsi="Cambria" w:cs="Calibri"/>
                  <w:lang w:val="hr-HR"/>
                </w:rPr>
                <w:t>Žufić</w:t>
              </w:r>
              <w:proofErr w:type="spellEnd"/>
              <w:r w:rsidRPr="009138DB">
                <w:rPr>
                  <w:rStyle w:val="Hiperveza"/>
                  <w:rFonts w:ascii="Cambria" w:eastAsia="Times New Roman" w:hAnsi="Cambria" w:cs="Calibri"/>
                  <w:lang w:val="hr-HR"/>
                </w:rPr>
                <w:t>, v. pred.</w:t>
              </w:r>
            </w:hyperlink>
          </w:p>
        </w:tc>
      </w:tr>
      <w:tr w:rsidR="009138DB" w:rsidRPr="00D0399C" w14:paraId="4A99F74B" w14:textId="77777777" w:rsidTr="00587D5D">
        <w:tc>
          <w:tcPr>
            <w:tcW w:w="26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7AAD9CC" w14:textId="77777777" w:rsidR="009138DB" w:rsidRPr="00DF4CE5" w:rsidRDefault="009138DB" w:rsidP="00587D5D">
            <w:pPr>
              <w:spacing w:after="0" w:line="240" w:lineRule="atLeast"/>
              <w:jc w:val="both"/>
              <w:rPr>
                <w:rFonts w:ascii="Cambria" w:eastAsia="Calibri" w:hAnsi="Cambria" w:cs="Calibri"/>
                <w:lang w:val="hr-HR"/>
              </w:rPr>
            </w:pPr>
            <w:r w:rsidRPr="00DF4CE5">
              <w:rPr>
                <w:rFonts w:ascii="Cambria" w:eastAsia="Calibri" w:hAnsi="Cambria" w:cs="Calibri"/>
                <w:lang w:val="hr-HR"/>
              </w:rPr>
              <w:t>Studijski program</w:t>
            </w:r>
          </w:p>
        </w:tc>
        <w:tc>
          <w:tcPr>
            <w:tcW w:w="6731"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07243A5" w14:textId="77777777" w:rsidR="009138DB" w:rsidRPr="00DF4CE5" w:rsidRDefault="009138DB" w:rsidP="00587D5D">
            <w:pPr>
              <w:spacing w:after="0" w:line="240" w:lineRule="atLeast"/>
              <w:jc w:val="both"/>
              <w:rPr>
                <w:rFonts w:ascii="Cambria" w:eastAsia="Calibri" w:hAnsi="Cambria" w:cs="Calibri"/>
                <w:lang w:val="hr-HR"/>
              </w:rPr>
            </w:pPr>
            <w:r w:rsidRPr="00DF4CE5">
              <w:rPr>
                <w:rFonts w:ascii="Cambria" w:hAnsi="Cambria"/>
                <w:lang w:val="hr-HR"/>
              </w:rPr>
              <w:t>Sveučilišni integrirani prijediplomski i diplomski Učiteljski studij na hrvatskom jeziku</w:t>
            </w:r>
          </w:p>
        </w:tc>
      </w:tr>
      <w:tr w:rsidR="009138DB" w:rsidRPr="00DF4CE5" w14:paraId="0CEAD58A" w14:textId="77777777" w:rsidTr="00587D5D">
        <w:tc>
          <w:tcPr>
            <w:tcW w:w="26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FB0D6BC" w14:textId="77777777" w:rsidR="009138DB" w:rsidRPr="00DF4CE5" w:rsidRDefault="009138DB" w:rsidP="00587D5D">
            <w:pPr>
              <w:spacing w:after="0" w:line="240" w:lineRule="atLeast"/>
              <w:jc w:val="both"/>
              <w:rPr>
                <w:rFonts w:ascii="Cambria" w:eastAsia="Calibri" w:hAnsi="Cambria" w:cs="Calibri"/>
                <w:lang w:val="hr-HR"/>
              </w:rPr>
            </w:pPr>
            <w:r w:rsidRPr="00DF4CE5">
              <w:rPr>
                <w:rFonts w:ascii="Cambria" w:eastAsia="Calibri" w:hAnsi="Cambria" w:cs="Calibri"/>
                <w:lang w:val="hr-HR"/>
              </w:rPr>
              <w:t>Vrsta kolegija</w:t>
            </w:r>
          </w:p>
        </w:tc>
        <w:tc>
          <w:tcPr>
            <w:tcW w:w="249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E2A9FA6" w14:textId="77777777" w:rsidR="009138DB" w:rsidRPr="00DF4CE5" w:rsidRDefault="009138DB" w:rsidP="00587D5D">
            <w:pPr>
              <w:spacing w:after="0" w:line="240" w:lineRule="atLeast"/>
              <w:jc w:val="both"/>
              <w:rPr>
                <w:rFonts w:ascii="Cambria" w:eastAsia="Calibri" w:hAnsi="Cambria" w:cs="Calibri"/>
                <w:lang w:val="hr-HR"/>
              </w:rPr>
            </w:pPr>
            <w:r w:rsidRPr="00DF4CE5">
              <w:rPr>
                <w:rFonts w:ascii="Cambria" w:eastAsia="Calibri" w:hAnsi="Cambria" w:cs="Calibri"/>
                <w:lang w:val="hr-HR"/>
              </w:rPr>
              <w:t>obavezan</w:t>
            </w:r>
          </w:p>
        </w:tc>
        <w:tc>
          <w:tcPr>
            <w:tcW w:w="1465"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143B635F" w14:textId="77777777" w:rsidR="009138DB" w:rsidRPr="00DF4CE5" w:rsidRDefault="009138DB" w:rsidP="00587D5D">
            <w:pPr>
              <w:spacing w:after="0" w:line="240" w:lineRule="atLeast"/>
              <w:jc w:val="both"/>
              <w:rPr>
                <w:rFonts w:ascii="Cambria" w:eastAsia="Calibri" w:hAnsi="Cambria" w:cs="Calibri"/>
                <w:lang w:val="hr-HR"/>
              </w:rPr>
            </w:pPr>
            <w:r w:rsidRPr="00DF4CE5">
              <w:rPr>
                <w:rFonts w:ascii="Cambria" w:eastAsia="Calibri" w:hAnsi="Cambria" w:cs="Calibri"/>
                <w:lang w:val="hr-HR"/>
              </w:rPr>
              <w:t>Razina kolegija</w:t>
            </w:r>
          </w:p>
        </w:tc>
        <w:tc>
          <w:tcPr>
            <w:tcW w:w="2773"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55FF29A" w14:textId="77777777" w:rsidR="009138DB" w:rsidRPr="00DF4CE5" w:rsidRDefault="009138DB" w:rsidP="00587D5D">
            <w:pPr>
              <w:spacing w:after="0" w:line="240" w:lineRule="atLeast"/>
              <w:jc w:val="both"/>
              <w:rPr>
                <w:rFonts w:ascii="Cambria" w:eastAsia="Calibri" w:hAnsi="Cambria" w:cs="Calibri"/>
                <w:lang w:val="hr-HR"/>
              </w:rPr>
            </w:pPr>
            <w:proofErr w:type="spellStart"/>
            <w:r w:rsidRPr="00DF4CE5">
              <w:rPr>
                <w:rFonts w:ascii="Cambria" w:eastAsia="Calibri" w:hAnsi="Cambria" w:cs="Calibri"/>
                <w:lang w:val="it-IT"/>
              </w:rPr>
              <w:t>integrirani</w:t>
            </w:r>
            <w:proofErr w:type="spellEnd"/>
          </w:p>
        </w:tc>
      </w:tr>
      <w:tr w:rsidR="009138DB" w:rsidRPr="00DF4CE5" w14:paraId="00DF7EF9" w14:textId="77777777" w:rsidTr="00587D5D">
        <w:tc>
          <w:tcPr>
            <w:tcW w:w="26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80ECF93" w14:textId="77777777" w:rsidR="009138DB" w:rsidRPr="00DF4CE5" w:rsidRDefault="009138DB" w:rsidP="00587D5D">
            <w:pPr>
              <w:spacing w:after="0" w:line="240" w:lineRule="atLeast"/>
              <w:jc w:val="both"/>
              <w:rPr>
                <w:rFonts w:ascii="Cambria" w:eastAsia="Calibri" w:hAnsi="Cambria" w:cs="Calibri"/>
                <w:lang w:val="hr-HR"/>
              </w:rPr>
            </w:pPr>
            <w:r w:rsidRPr="00DF4CE5">
              <w:rPr>
                <w:rFonts w:ascii="Cambria" w:eastAsia="Calibri" w:hAnsi="Cambria" w:cs="Calibri"/>
                <w:lang w:val="hr-HR"/>
              </w:rPr>
              <w:t>Semestar</w:t>
            </w:r>
          </w:p>
        </w:tc>
        <w:tc>
          <w:tcPr>
            <w:tcW w:w="249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B3DF5F8" w14:textId="77777777" w:rsidR="009138DB" w:rsidRPr="00DF4CE5" w:rsidRDefault="009138DB" w:rsidP="00587D5D">
            <w:pPr>
              <w:spacing w:after="0" w:line="240" w:lineRule="atLeast"/>
              <w:jc w:val="both"/>
              <w:rPr>
                <w:rFonts w:ascii="Cambria" w:eastAsia="Calibri" w:hAnsi="Cambria" w:cs="Calibri"/>
                <w:lang w:val="hr-HR"/>
              </w:rPr>
            </w:pPr>
            <w:r w:rsidRPr="00DF4CE5">
              <w:rPr>
                <w:rFonts w:ascii="Cambria" w:eastAsia="Calibri" w:hAnsi="Cambria" w:cs="Calibri"/>
                <w:lang w:val="hr-HR"/>
              </w:rPr>
              <w:t>ljetni</w:t>
            </w:r>
          </w:p>
        </w:tc>
        <w:tc>
          <w:tcPr>
            <w:tcW w:w="1465"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73121471" w14:textId="77777777" w:rsidR="009138DB" w:rsidRPr="00DF4CE5" w:rsidRDefault="009138DB" w:rsidP="00587D5D">
            <w:pPr>
              <w:spacing w:after="0" w:line="240" w:lineRule="atLeast"/>
              <w:jc w:val="both"/>
              <w:rPr>
                <w:rFonts w:ascii="Cambria" w:eastAsia="Calibri" w:hAnsi="Cambria" w:cs="Calibri"/>
                <w:lang w:val="hr-HR"/>
              </w:rPr>
            </w:pPr>
            <w:r w:rsidRPr="00DF4CE5">
              <w:rPr>
                <w:rFonts w:ascii="Cambria" w:eastAsia="Calibri" w:hAnsi="Cambria" w:cs="Calibri"/>
                <w:lang w:val="hr-HR"/>
              </w:rPr>
              <w:t>Godina studija</w:t>
            </w:r>
          </w:p>
        </w:tc>
        <w:tc>
          <w:tcPr>
            <w:tcW w:w="2773"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7A71BBA" w14:textId="77777777" w:rsidR="009138DB" w:rsidRPr="00DF4CE5" w:rsidRDefault="009138DB" w:rsidP="00587D5D">
            <w:pPr>
              <w:spacing w:after="0" w:line="240" w:lineRule="atLeast"/>
              <w:jc w:val="both"/>
              <w:rPr>
                <w:rFonts w:ascii="Cambria" w:eastAsia="Calibri" w:hAnsi="Cambria" w:cs="Calibri"/>
                <w:lang w:val="hr-HR"/>
              </w:rPr>
            </w:pPr>
            <w:r w:rsidRPr="00DF4CE5">
              <w:rPr>
                <w:rFonts w:ascii="Cambria" w:eastAsia="Calibri" w:hAnsi="Cambria" w:cs="Calibri"/>
                <w:lang w:val="hr-HR"/>
              </w:rPr>
              <w:t>III.</w:t>
            </w:r>
          </w:p>
        </w:tc>
      </w:tr>
      <w:tr w:rsidR="009138DB" w:rsidRPr="00DF4CE5" w14:paraId="11169E1A" w14:textId="77777777" w:rsidTr="00587D5D">
        <w:tc>
          <w:tcPr>
            <w:tcW w:w="26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916C61D" w14:textId="77777777" w:rsidR="009138DB" w:rsidRPr="00DF4CE5" w:rsidRDefault="009138DB" w:rsidP="00587D5D">
            <w:pPr>
              <w:spacing w:after="0" w:line="240" w:lineRule="atLeast"/>
              <w:jc w:val="both"/>
              <w:rPr>
                <w:rFonts w:ascii="Cambria" w:eastAsia="Calibri" w:hAnsi="Cambria" w:cs="Calibri"/>
                <w:lang w:val="hr-HR"/>
              </w:rPr>
            </w:pPr>
            <w:r w:rsidRPr="00DF4CE5">
              <w:rPr>
                <w:rFonts w:ascii="Cambria" w:eastAsia="Calibri" w:hAnsi="Cambria" w:cs="Calibri"/>
                <w:lang w:val="hr-HR"/>
              </w:rPr>
              <w:t>Mjesto izvođenja</w:t>
            </w:r>
          </w:p>
        </w:tc>
        <w:tc>
          <w:tcPr>
            <w:tcW w:w="249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9BB0E18" w14:textId="77777777" w:rsidR="009138DB" w:rsidRPr="00DF4CE5" w:rsidRDefault="009138DB" w:rsidP="00587D5D">
            <w:pPr>
              <w:spacing w:after="0" w:line="240" w:lineRule="atLeast"/>
              <w:jc w:val="both"/>
              <w:rPr>
                <w:rFonts w:ascii="Cambria" w:eastAsia="Calibri" w:hAnsi="Cambria" w:cs="Calibri"/>
                <w:lang w:val="hr-HR"/>
              </w:rPr>
            </w:pPr>
            <w:r w:rsidRPr="00DF4CE5">
              <w:rPr>
                <w:rFonts w:ascii="Cambria" w:eastAsia="Calibri" w:hAnsi="Cambria" w:cs="Calibri"/>
                <w:lang w:val="hr-HR"/>
              </w:rPr>
              <w:t>učionica</w:t>
            </w:r>
          </w:p>
        </w:tc>
        <w:tc>
          <w:tcPr>
            <w:tcW w:w="1465"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38187F9B" w14:textId="77777777" w:rsidR="009138DB" w:rsidRPr="00DF4CE5" w:rsidRDefault="009138DB" w:rsidP="00587D5D">
            <w:pPr>
              <w:spacing w:after="0" w:line="240" w:lineRule="atLeast"/>
              <w:jc w:val="both"/>
              <w:rPr>
                <w:rFonts w:ascii="Cambria" w:eastAsia="Calibri" w:hAnsi="Cambria" w:cs="Calibri"/>
                <w:lang w:val="hr-HR"/>
              </w:rPr>
            </w:pPr>
            <w:r w:rsidRPr="00DF4CE5">
              <w:rPr>
                <w:rFonts w:ascii="Cambria" w:eastAsia="Calibri" w:hAnsi="Cambria" w:cs="Calibri"/>
                <w:lang w:val="hr-HR"/>
              </w:rPr>
              <w:t>Jezik izvođenja (drugi jezici)</w:t>
            </w:r>
          </w:p>
        </w:tc>
        <w:tc>
          <w:tcPr>
            <w:tcW w:w="2773"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EE42714" w14:textId="77777777" w:rsidR="009138DB" w:rsidRPr="00DF4CE5" w:rsidRDefault="009138DB" w:rsidP="00587D5D">
            <w:pPr>
              <w:spacing w:after="0" w:line="240" w:lineRule="atLeast"/>
              <w:jc w:val="both"/>
              <w:rPr>
                <w:rFonts w:ascii="Cambria" w:eastAsia="Calibri" w:hAnsi="Cambria" w:cs="Calibri"/>
                <w:lang w:val="hr-HR"/>
              </w:rPr>
            </w:pPr>
            <w:r w:rsidRPr="00DF4CE5">
              <w:rPr>
                <w:rFonts w:ascii="Cambria" w:eastAsia="Calibri" w:hAnsi="Cambria" w:cs="Calibri"/>
                <w:lang w:val="hr-HR"/>
              </w:rPr>
              <w:t xml:space="preserve">hrvatski </w:t>
            </w:r>
          </w:p>
          <w:p w14:paraId="31BBEA41" w14:textId="77777777" w:rsidR="009138DB" w:rsidRPr="00DF4CE5" w:rsidRDefault="009138DB" w:rsidP="00587D5D">
            <w:pPr>
              <w:spacing w:after="0" w:line="240" w:lineRule="atLeast"/>
              <w:jc w:val="both"/>
              <w:rPr>
                <w:rFonts w:ascii="Cambria" w:eastAsia="Calibri" w:hAnsi="Cambria" w:cs="Calibri"/>
                <w:lang w:val="hr-HR"/>
              </w:rPr>
            </w:pPr>
          </w:p>
        </w:tc>
      </w:tr>
      <w:tr w:rsidR="009138DB" w:rsidRPr="00DF4CE5" w14:paraId="11956999" w14:textId="77777777" w:rsidTr="00587D5D">
        <w:tc>
          <w:tcPr>
            <w:tcW w:w="26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BBC00CC" w14:textId="77777777" w:rsidR="009138DB" w:rsidRPr="00DF4CE5" w:rsidRDefault="009138DB" w:rsidP="00587D5D">
            <w:pPr>
              <w:spacing w:after="0" w:line="240" w:lineRule="atLeast"/>
              <w:jc w:val="both"/>
              <w:rPr>
                <w:rFonts w:ascii="Cambria" w:eastAsia="Calibri" w:hAnsi="Cambria" w:cs="Calibri"/>
                <w:lang w:val="hr-HR"/>
              </w:rPr>
            </w:pPr>
            <w:r w:rsidRPr="00DF4CE5">
              <w:rPr>
                <w:rFonts w:ascii="Cambria" w:eastAsia="Calibri" w:hAnsi="Cambria" w:cs="Calibri"/>
                <w:lang w:val="hr-HR"/>
              </w:rPr>
              <w:t>Broj ECTS bodova</w:t>
            </w:r>
          </w:p>
        </w:tc>
        <w:tc>
          <w:tcPr>
            <w:tcW w:w="249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677522C" w14:textId="77777777" w:rsidR="009138DB" w:rsidRPr="00DF4CE5" w:rsidRDefault="009138DB" w:rsidP="00587D5D">
            <w:pPr>
              <w:spacing w:after="0" w:line="240" w:lineRule="atLeast"/>
              <w:jc w:val="both"/>
              <w:rPr>
                <w:rFonts w:ascii="Cambria" w:eastAsia="Calibri" w:hAnsi="Cambria" w:cs="Calibri"/>
                <w:lang w:val="hr-HR"/>
              </w:rPr>
            </w:pPr>
            <w:r w:rsidRPr="00DF4CE5">
              <w:rPr>
                <w:rFonts w:ascii="Cambria" w:eastAsia="Calibri" w:hAnsi="Cambria" w:cs="Calibri"/>
                <w:lang w:val="hr-HR"/>
              </w:rPr>
              <w:t>3</w:t>
            </w:r>
          </w:p>
        </w:tc>
        <w:tc>
          <w:tcPr>
            <w:tcW w:w="1465"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0A984771" w14:textId="77777777" w:rsidR="009138DB" w:rsidRPr="00DF4CE5" w:rsidRDefault="009138DB" w:rsidP="00587D5D">
            <w:pPr>
              <w:spacing w:after="0" w:line="240" w:lineRule="atLeast"/>
              <w:jc w:val="both"/>
              <w:rPr>
                <w:rFonts w:ascii="Cambria" w:eastAsia="Calibri" w:hAnsi="Cambria" w:cs="Calibri"/>
                <w:lang w:val="hr-HR"/>
              </w:rPr>
            </w:pPr>
            <w:r w:rsidRPr="00DF4CE5">
              <w:rPr>
                <w:rFonts w:ascii="Cambria" w:eastAsia="Calibri" w:hAnsi="Cambria" w:cs="Calibri"/>
                <w:lang w:val="hr-HR"/>
              </w:rPr>
              <w:t>Broj sati u semestru</w:t>
            </w:r>
          </w:p>
        </w:tc>
        <w:tc>
          <w:tcPr>
            <w:tcW w:w="2773"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EF96B48" w14:textId="5C89BB30" w:rsidR="009138DB" w:rsidRPr="00DF4CE5" w:rsidRDefault="009138DB" w:rsidP="00587D5D">
            <w:pPr>
              <w:spacing w:after="0" w:line="240" w:lineRule="atLeast"/>
              <w:jc w:val="both"/>
              <w:rPr>
                <w:rFonts w:ascii="Cambria" w:eastAsia="Calibri" w:hAnsi="Cambria" w:cs="Calibri"/>
                <w:lang w:val="hr-HR"/>
              </w:rPr>
            </w:pPr>
            <w:r w:rsidRPr="00DF4CE5">
              <w:rPr>
                <w:rFonts w:ascii="Cambria" w:eastAsia="Calibri" w:hAnsi="Cambria" w:cs="Calibri"/>
                <w:lang w:val="hr-HR"/>
              </w:rPr>
              <w:t xml:space="preserve">30P – </w:t>
            </w:r>
            <w:r>
              <w:rPr>
                <w:rFonts w:ascii="Cambria" w:eastAsia="Calibri" w:hAnsi="Cambria" w:cs="Calibri"/>
                <w:lang w:val="hr-HR"/>
              </w:rPr>
              <w:t>15</w:t>
            </w:r>
            <w:r w:rsidRPr="00DF4CE5">
              <w:rPr>
                <w:rFonts w:ascii="Cambria" w:eastAsia="Calibri" w:hAnsi="Cambria" w:cs="Calibri"/>
                <w:lang w:val="hr-HR"/>
              </w:rPr>
              <w:t xml:space="preserve">S– </w:t>
            </w:r>
            <w:r>
              <w:rPr>
                <w:rFonts w:ascii="Cambria" w:eastAsia="Calibri" w:hAnsi="Cambria" w:cs="Calibri"/>
                <w:lang w:val="hr-HR"/>
              </w:rPr>
              <w:t>0</w:t>
            </w:r>
            <w:r w:rsidRPr="00DF4CE5">
              <w:rPr>
                <w:rFonts w:ascii="Cambria" w:eastAsia="Calibri" w:hAnsi="Cambria" w:cs="Calibri"/>
                <w:lang w:val="hr-HR"/>
              </w:rPr>
              <w:t xml:space="preserve">V   </w:t>
            </w:r>
          </w:p>
        </w:tc>
      </w:tr>
      <w:tr w:rsidR="009138DB" w:rsidRPr="00DF4CE5" w14:paraId="0A8ECDD9" w14:textId="77777777" w:rsidTr="00587D5D">
        <w:tc>
          <w:tcPr>
            <w:tcW w:w="26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C00CE27" w14:textId="77777777" w:rsidR="009138DB" w:rsidRPr="00DF4CE5" w:rsidRDefault="009138DB" w:rsidP="00587D5D">
            <w:pPr>
              <w:spacing w:after="0" w:line="240" w:lineRule="atLeast"/>
              <w:jc w:val="both"/>
              <w:rPr>
                <w:rFonts w:ascii="Cambria" w:eastAsia="Calibri" w:hAnsi="Cambria" w:cs="Calibri"/>
                <w:lang w:val="hr-HR"/>
              </w:rPr>
            </w:pPr>
            <w:r w:rsidRPr="00DF4CE5">
              <w:rPr>
                <w:rFonts w:ascii="Cambria" w:eastAsia="Calibri" w:hAnsi="Cambria" w:cs="Calibri"/>
                <w:lang w:val="hr-HR"/>
              </w:rPr>
              <w:t>Preduvjeti za upis i za svladavanje</w:t>
            </w:r>
          </w:p>
        </w:tc>
        <w:tc>
          <w:tcPr>
            <w:tcW w:w="6731"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5F17128" w14:textId="77777777" w:rsidR="009138DB" w:rsidRPr="00DF4CE5" w:rsidRDefault="009138DB" w:rsidP="00587D5D">
            <w:pPr>
              <w:spacing w:after="0" w:line="240" w:lineRule="atLeast"/>
              <w:jc w:val="both"/>
              <w:rPr>
                <w:rFonts w:ascii="Cambria" w:eastAsia="Calibri" w:hAnsi="Cambria" w:cs="Calibri"/>
                <w:lang w:val="hr-HR"/>
              </w:rPr>
            </w:pPr>
            <w:r w:rsidRPr="00DF4CE5">
              <w:rPr>
                <w:rFonts w:ascii="Cambria" w:eastAsia="Calibri" w:hAnsi="Cambria" w:cs="Calibri"/>
                <w:lang w:val="hr-HR"/>
              </w:rPr>
              <w:t xml:space="preserve">nema </w:t>
            </w:r>
          </w:p>
        </w:tc>
      </w:tr>
      <w:tr w:rsidR="009138DB" w:rsidRPr="00DF4CE5" w14:paraId="23DC8ECA" w14:textId="77777777" w:rsidTr="00587D5D">
        <w:trPr>
          <w:trHeight w:val="488"/>
        </w:trPr>
        <w:tc>
          <w:tcPr>
            <w:tcW w:w="26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37BA7CB" w14:textId="77777777" w:rsidR="009138DB" w:rsidRPr="00DF4CE5" w:rsidRDefault="009138DB" w:rsidP="00587D5D">
            <w:pPr>
              <w:spacing w:after="0" w:line="240" w:lineRule="atLeast"/>
              <w:jc w:val="both"/>
              <w:rPr>
                <w:rFonts w:ascii="Cambria" w:eastAsia="Calibri" w:hAnsi="Cambria" w:cs="Calibri"/>
                <w:lang w:val="hr-HR"/>
              </w:rPr>
            </w:pPr>
            <w:proofErr w:type="spellStart"/>
            <w:r w:rsidRPr="00DF4CE5">
              <w:rPr>
                <w:rFonts w:ascii="Cambria" w:eastAsia="Calibri" w:hAnsi="Cambria" w:cs="Calibri"/>
                <w:lang w:val="hr-HR"/>
              </w:rPr>
              <w:t>Korelativnost</w:t>
            </w:r>
            <w:proofErr w:type="spellEnd"/>
          </w:p>
        </w:tc>
        <w:tc>
          <w:tcPr>
            <w:tcW w:w="6731"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9E0E5CB" w14:textId="77777777" w:rsidR="009138DB" w:rsidRPr="00DF4CE5" w:rsidRDefault="009138DB" w:rsidP="00587D5D">
            <w:pPr>
              <w:spacing w:after="0" w:line="240" w:lineRule="atLeast"/>
              <w:jc w:val="both"/>
              <w:rPr>
                <w:rFonts w:ascii="Cambria" w:eastAsia="Calibri" w:hAnsi="Cambria" w:cs="Calibri"/>
                <w:lang w:val="hr-HR"/>
              </w:rPr>
            </w:pPr>
            <w:r w:rsidRPr="00DF4CE5">
              <w:rPr>
                <w:rFonts w:ascii="Cambria" w:eastAsia="Calibri" w:hAnsi="Cambria" w:cs="Calibri"/>
                <w:lang w:val="hr-HR"/>
              </w:rPr>
              <w:t>Osnove informatike</w:t>
            </w:r>
          </w:p>
        </w:tc>
      </w:tr>
      <w:tr w:rsidR="009138DB" w:rsidRPr="00D0399C" w14:paraId="350BEE06" w14:textId="77777777" w:rsidTr="00587D5D">
        <w:tc>
          <w:tcPr>
            <w:tcW w:w="26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F5EA064" w14:textId="77777777" w:rsidR="009138DB" w:rsidRPr="00DF4CE5" w:rsidRDefault="009138DB" w:rsidP="00587D5D">
            <w:pPr>
              <w:spacing w:after="0" w:line="240" w:lineRule="atLeast"/>
              <w:jc w:val="both"/>
              <w:rPr>
                <w:rFonts w:ascii="Cambria" w:eastAsia="Calibri" w:hAnsi="Cambria" w:cs="Calibri"/>
                <w:lang w:val="hr-HR"/>
              </w:rPr>
            </w:pPr>
            <w:r w:rsidRPr="00DF4CE5">
              <w:rPr>
                <w:rFonts w:ascii="Cambria" w:eastAsia="Calibri" w:hAnsi="Cambria" w:cs="Calibri"/>
                <w:lang w:val="hr-HR"/>
              </w:rPr>
              <w:t xml:space="preserve">Cilj kolegija </w:t>
            </w:r>
          </w:p>
        </w:tc>
        <w:tc>
          <w:tcPr>
            <w:tcW w:w="6731"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C3C0155" w14:textId="77777777" w:rsidR="009138DB" w:rsidRPr="00DF4CE5" w:rsidRDefault="009138DB" w:rsidP="00587D5D">
            <w:pPr>
              <w:spacing w:after="0" w:line="240" w:lineRule="atLeast"/>
              <w:jc w:val="both"/>
              <w:rPr>
                <w:rFonts w:ascii="Cambria" w:eastAsia="Calibri" w:hAnsi="Cambria" w:cs="Calibri"/>
                <w:lang w:val="hr-HR"/>
              </w:rPr>
            </w:pPr>
            <w:r w:rsidRPr="00DF4CE5">
              <w:rPr>
                <w:rFonts w:ascii="Cambria" w:eastAsia="Calibri" w:hAnsi="Cambria" w:cs="Calibri"/>
                <w:lang w:val="hr-HR"/>
              </w:rPr>
              <w:t>Usvojiti pojmove i definicije vezane uz uporabu informacijsko-komunikacijske tehnologije (IKT) u obrazovanju.</w:t>
            </w:r>
          </w:p>
        </w:tc>
      </w:tr>
      <w:tr w:rsidR="009138DB" w:rsidRPr="00D0399C" w14:paraId="578EE69D" w14:textId="77777777" w:rsidTr="00587D5D">
        <w:tc>
          <w:tcPr>
            <w:tcW w:w="26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5B73559" w14:textId="77777777" w:rsidR="009138DB" w:rsidRPr="00DF4CE5" w:rsidRDefault="009138DB" w:rsidP="00587D5D">
            <w:pPr>
              <w:spacing w:after="0" w:line="240" w:lineRule="atLeast"/>
              <w:jc w:val="both"/>
              <w:rPr>
                <w:rFonts w:ascii="Cambria" w:eastAsia="Calibri" w:hAnsi="Cambria" w:cs="Calibri"/>
                <w:lang w:val="hr-HR"/>
              </w:rPr>
            </w:pPr>
            <w:r w:rsidRPr="00DF4CE5">
              <w:rPr>
                <w:rFonts w:ascii="Cambria" w:eastAsia="Calibri" w:hAnsi="Cambria" w:cs="Calibri"/>
                <w:lang w:val="hr-HR"/>
              </w:rPr>
              <w:t>Ishodi učenja</w:t>
            </w:r>
          </w:p>
        </w:tc>
        <w:tc>
          <w:tcPr>
            <w:tcW w:w="6731"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08650A8" w14:textId="77777777" w:rsidR="009138DB" w:rsidRPr="00DF4CE5" w:rsidRDefault="009138DB" w:rsidP="00587D5D">
            <w:pPr>
              <w:spacing w:after="0" w:line="240" w:lineRule="atLeast"/>
              <w:jc w:val="both"/>
              <w:rPr>
                <w:rFonts w:ascii="Cambria" w:eastAsia="Calibri" w:hAnsi="Cambria" w:cs="Calibri"/>
                <w:lang w:val="hr-HR"/>
              </w:rPr>
            </w:pPr>
            <w:r w:rsidRPr="00DF4CE5">
              <w:rPr>
                <w:rFonts w:ascii="Cambria" w:eastAsia="Calibri" w:hAnsi="Cambria" w:cs="Calibri"/>
                <w:lang w:val="hr-HR"/>
              </w:rPr>
              <w:t>1. pravilno definirati  temeljne koncepte informacijsko-komunikacijske tehnologije.</w:t>
            </w:r>
          </w:p>
          <w:p w14:paraId="3BD0EEC9" w14:textId="77777777" w:rsidR="009138DB" w:rsidRPr="00DF4CE5" w:rsidRDefault="009138DB" w:rsidP="00587D5D">
            <w:pPr>
              <w:spacing w:after="0" w:line="240" w:lineRule="atLeast"/>
              <w:jc w:val="both"/>
              <w:rPr>
                <w:rFonts w:ascii="Cambria" w:eastAsia="Calibri" w:hAnsi="Cambria" w:cs="Calibri"/>
                <w:lang w:val="hr-HR"/>
              </w:rPr>
            </w:pPr>
            <w:r w:rsidRPr="00DF4CE5">
              <w:rPr>
                <w:rFonts w:ascii="Cambria" w:eastAsia="Calibri" w:hAnsi="Cambria" w:cs="Calibri"/>
                <w:lang w:val="hr-HR"/>
              </w:rPr>
              <w:t>2. procijeniti primjenu IKT-a u odgojno-obrazovnom procesu</w:t>
            </w:r>
          </w:p>
          <w:p w14:paraId="59655FDF" w14:textId="77777777" w:rsidR="009138DB" w:rsidRPr="00DF4CE5" w:rsidRDefault="009138DB" w:rsidP="00587D5D">
            <w:pPr>
              <w:spacing w:after="0" w:line="240" w:lineRule="atLeast"/>
              <w:jc w:val="both"/>
              <w:rPr>
                <w:rFonts w:ascii="Cambria" w:eastAsia="Calibri" w:hAnsi="Cambria" w:cs="Calibri"/>
                <w:lang w:val="hr-HR"/>
              </w:rPr>
            </w:pPr>
            <w:r w:rsidRPr="00DF4CE5">
              <w:rPr>
                <w:rFonts w:ascii="Cambria" w:eastAsia="Calibri" w:hAnsi="Cambria" w:cs="Calibri"/>
                <w:lang w:val="hr-HR"/>
              </w:rPr>
              <w:t>3. opisati funkcije, prednosti i nedostatke IKT-a u odgojno-obrazovnom procesu.</w:t>
            </w:r>
          </w:p>
          <w:p w14:paraId="211BE4ED" w14:textId="77777777" w:rsidR="009138DB" w:rsidRPr="00DF4CE5" w:rsidRDefault="009138DB" w:rsidP="00587D5D">
            <w:pPr>
              <w:spacing w:after="0" w:line="240" w:lineRule="atLeast"/>
              <w:jc w:val="both"/>
              <w:rPr>
                <w:rFonts w:ascii="Cambria" w:eastAsia="Calibri" w:hAnsi="Cambria" w:cs="Calibri"/>
                <w:lang w:val="hr-HR"/>
              </w:rPr>
            </w:pPr>
            <w:r w:rsidRPr="00DF4CE5">
              <w:rPr>
                <w:rFonts w:ascii="Cambria" w:eastAsia="Calibri" w:hAnsi="Cambria" w:cs="Calibri"/>
                <w:lang w:val="hr-HR"/>
              </w:rPr>
              <w:t>4. Primijeniti IKT u procesu inovativnog učenja i poučavanja.</w:t>
            </w:r>
          </w:p>
          <w:p w14:paraId="462A15B0" w14:textId="77777777" w:rsidR="009138DB" w:rsidRPr="00DF4CE5" w:rsidRDefault="009138DB" w:rsidP="00587D5D">
            <w:pPr>
              <w:spacing w:after="0" w:line="240" w:lineRule="atLeast"/>
              <w:jc w:val="both"/>
              <w:rPr>
                <w:rFonts w:ascii="Cambria" w:eastAsia="Calibri" w:hAnsi="Cambria" w:cs="Calibri"/>
                <w:lang w:val="hr-HR"/>
              </w:rPr>
            </w:pPr>
            <w:r w:rsidRPr="00DF4CE5">
              <w:rPr>
                <w:rFonts w:ascii="Cambria" w:eastAsia="Calibri" w:hAnsi="Cambria" w:cs="Calibri"/>
                <w:lang w:val="hr-HR"/>
              </w:rPr>
              <w:t>5. Izraditi originalni proizvod korištenjem IKT alata</w:t>
            </w:r>
          </w:p>
        </w:tc>
      </w:tr>
      <w:tr w:rsidR="009138DB" w:rsidRPr="00D0399C" w14:paraId="154BAE36" w14:textId="77777777" w:rsidTr="00587D5D">
        <w:tc>
          <w:tcPr>
            <w:tcW w:w="2629"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20320189" w14:textId="77777777" w:rsidR="009138DB" w:rsidRPr="00DF4CE5" w:rsidRDefault="009138DB" w:rsidP="00587D5D">
            <w:pPr>
              <w:spacing w:after="0" w:line="240" w:lineRule="atLeast"/>
              <w:jc w:val="both"/>
              <w:rPr>
                <w:rFonts w:ascii="Cambria" w:eastAsia="Calibri" w:hAnsi="Cambria" w:cs="Calibri"/>
                <w:lang w:val="hr-HR"/>
              </w:rPr>
            </w:pPr>
            <w:r w:rsidRPr="00DF4CE5">
              <w:rPr>
                <w:rFonts w:ascii="Cambria" w:eastAsia="Calibri" w:hAnsi="Cambria" w:cs="Calibri"/>
                <w:lang w:val="hr-HR"/>
              </w:rPr>
              <w:t>Sadržaj kolegija</w:t>
            </w:r>
          </w:p>
        </w:tc>
        <w:tc>
          <w:tcPr>
            <w:tcW w:w="6731"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97198D8" w14:textId="77777777" w:rsidR="009138DB" w:rsidRPr="00DF4CE5" w:rsidRDefault="009138DB" w:rsidP="00587D5D">
            <w:pPr>
              <w:spacing w:after="0" w:line="240" w:lineRule="atLeast"/>
              <w:jc w:val="both"/>
              <w:rPr>
                <w:rFonts w:ascii="Cambria" w:eastAsia="Calibri" w:hAnsi="Cambria" w:cs="Calibri"/>
                <w:lang w:val="hr-HR"/>
              </w:rPr>
            </w:pPr>
            <w:r w:rsidRPr="00DF4CE5">
              <w:rPr>
                <w:rFonts w:ascii="Cambria" w:eastAsia="Calibri" w:hAnsi="Cambria" w:cs="Calibri"/>
                <w:lang w:val="hr-HR"/>
              </w:rPr>
              <w:t>1. Osnovni pojmovi</w:t>
            </w:r>
          </w:p>
          <w:p w14:paraId="56017986" w14:textId="77777777" w:rsidR="009138DB" w:rsidRPr="00DF4CE5" w:rsidRDefault="009138DB" w:rsidP="00587D5D">
            <w:pPr>
              <w:spacing w:after="0" w:line="240" w:lineRule="atLeast"/>
              <w:jc w:val="both"/>
              <w:rPr>
                <w:rFonts w:ascii="Cambria" w:eastAsia="Calibri" w:hAnsi="Cambria" w:cs="Calibri"/>
                <w:lang w:val="hr-HR"/>
              </w:rPr>
            </w:pPr>
            <w:r w:rsidRPr="00DF4CE5">
              <w:rPr>
                <w:rFonts w:ascii="Cambria" w:eastAsia="Calibri" w:hAnsi="Cambria" w:cs="Calibri"/>
                <w:lang w:val="hr-HR"/>
              </w:rPr>
              <w:t xml:space="preserve">2. Teorije komunikacije </w:t>
            </w:r>
          </w:p>
          <w:p w14:paraId="119FE878" w14:textId="77777777" w:rsidR="009138DB" w:rsidRPr="00DF4CE5" w:rsidRDefault="009138DB" w:rsidP="00587D5D">
            <w:pPr>
              <w:spacing w:after="0" w:line="240" w:lineRule="atLeast"/>
              <w:jc w:val="both"/>
              <w:rPr>
                <w:rFonts w:ascii="Cambria" w:eastAsia="Calibri" w:hAnsi="Cambria" w:cs="Calibri"/>
                <w:lang w:val="hr-HR"/>
              </w:rPr>
            </w:pPr>
            <w:r w:rsidRPr="00DF4CE5">
              <w:rPr>
                <w:rFonts w:ascii="Cambria" w:eastAsia="Calibri" w:hAnsi="Cambria" w:cs="Calibri"/>
                <w:lang w:val="hr-HR"/>
              </w:rPr>
              <w:t>3. Teorije učenja</w:t>
            </w:r>
          </w:p>
          <w:p w14:paraId="3EA5EE74" w14:textId="77777777" w:rsidR="009138DB" w:rsidRPr="00DF4CE5" w:rsidRDefault="009138DB" w:rsidP="00587D5D">
            <w:pPr>
              <w:spacing w:after="0" w:line="240" w:lineRule="atLeast"/>
              <w:jc w:val="both"/>
              <w:rPr>
                <w:rFonts w:ascii="Cambria" w:eastAsia="Calibri" w:hAnsi="Cambria" w:cs="Calibri"/>
                <w:lang w:val="hr-HR"/>
              </w:rPr>
            </w:pPr>
            <w:r w:rsidRPr="00DF4CE5">
              <w:rPr>
                <w:rFonts w:ascii="Cambria" w:eastAsia="Calibri" w:hAnsi="Cambria" w:cs="Calibri"/>
                <w:lang w:val="hr-HR"/>
              </w:rPr>
              <w:t>4. Vrste pismenosti (digitalna pismenost)</w:t>
            </w:r>
          </w:p>
          <w:p w14:paraId="7EB9AE14" w14:textId="77777777" w:rsidR="009138DB" w:rsidRPr="00DF4CE5" w:rsidRDefault="009138DB" w:rsidP="00587D5D">
            <w:pPr>
              <w:spacing w:after="0" w:line="240" w:lineRule="atLeast"/>
              <w:jc w:val="both"/>
              <w:rPr>
                <w:rFonts w:ascii="Cambria" w:eastAsia="Calibri" w:hAnsi="Cambria" w:cs="Calibri"/>
                <w:lang w:val="hr-HR"/>
              </w:rPr>
            </w:pPr>
            <w:r w:rsidRPr="00DF4CE5">
              <w:rPr>
                <w:rFonts w:ascii="Cambria" w:eastAsia="Calibri" w:hAnsi="Cambria" w:cs="Calibri"/>
                <w:lang w:val="hr-HR"/>
              </w:rPr>
              <w:t>5. Kritičko vrednovanje informacija iz različitih izvora</w:t>
            </w:r>
          </w:p>
          <w:p w14:paraId="34584295" w14:textId="77777777" w:rsidR="009138DB" w:rsidRPr="00DF4CE5" w:rsidRDefault="009138DB" w:rsidP="00587D5D">
            <w:pPr>
              <w:spacing w:after="0" w:line="240" w:lineRule="atLeast"/>
              <w:jc w:val="both"/>
              <w:rPr>
                <w:rFonts w:ascii="Cambria" w:eastAsia="Calibri" w:hAnsi="Cambria" w:cs="Calibri"/>
                <w:lang w:val="hr-HR"/>
              </w:rPr>
            </w:pPr>
            <w:r w:rsidRPr="00DF4CE5">
              <w:rPr>
                <w:rFonts w:ascii="Cambria" w:eastAsia="Calibri" w:hAnsi="Cambria" w:cs="Calibri"/>
                <w:lang w:val="hr-HR"/>
              </w:rPr>
              <w:t xml:space="preserve">6. Digitalni obrazovni sadržaji (e-škole) </w:t>
            </w:r>
          </w:p>
          <w:p w14:paraId="38FF17C9" w14:textId="77777777" w:rsidR="009138DB" w:rsidRPr="00DF4CE5" w:rsidRDefault="009138DB" w:rsidP="00587D5D">
            <w:pPr>
              <w:spacing w:after="0" w:line="240" w:lineRule="atLeast"/>
              <w:jc w:val="both"/>
              <w:rPr>
                <w:rFonts w:ascii="Cambria" w:eastAsia="Calibri" w:hAnsi="Cambria" w:cs="Calibri"/>
                <w:lang w:val="hr-HR"/>
              </w:rPr>
            </w:pPr>
            <w:r w:rsidRPr="00DF4CE5">
              <w:rPr>
                <w:rFonts w:ascii="Cambria" w:eastAsia="Calibri" w:hAnsi="Cambria" w:cs="Calibri"/>
                <w:lang w:val="hr-HR"/>
              </w:rPr>
              <w:t>7. Društvene mreže</w:t>
            </w:r>
          </w:p>
          <w:p w14:paraId="2D4042B4" w14:textId="77777777" w:rsidR="009138DB" w:rsidRPr="00DF4CE5" w:rsidRDefault="009138DB" w:rsidP="00587D5D">
            <w:pPr>
              <w:spacing w:after="0" w:line="240" w:lineRule="atLeast"/>
              <w:jc w:val="both"/>
              <w:rPr>
                <w:rFonts w:ascii="Cambria" w:eastAsia="Calibri" w:hAnsi="Cambria" w:cs="Calibri"/>
                <w:lang w:val="hr-HR"/>
              </w:rPr>
            </w:pPr>
            <w:r w:rsidRPr="00DF4CE5">
              <w:rPr>
                <w:rFonts w:ascii="Cambria" w:eastAsia="Calibri" w:hAnsi="Cambria" w:cs="Calibri"/>
                <w:lang w:val="hr-HR"/>
              </w:rPr>
              <w:t xml:space="preserve">8. </w:t>
            </w:r>
            <w:proofErr w:type="spellStart"/>
            <w:r w:rsidRPr="00DF4CE5">
              <w:rPr>
                <w:rFonts w:ascii="Cambria" w:eastAsia="Calibri" w:hAnsi="Cambria" w:cs="Calibri"/>
                <w:lang w:val="hr-HR"/>
              </w:rPr>
              <w:t>Micro:bit</w:t>
            </w:r>
            <w:proofErr w:type="spellEnd"/>
            <w:r w:rsidRPr="00DF4CE5">
              <w:rPr>
                <w:rFonts w:ascii="Cambria" w:eastAsia="Calibri" w:hAnsi="Cambria" w:cs="Calibri"/>
                <w:lang w:val="hr-HR"/>
              </w:rPr>
              <w:t xml:space="preserve"> u nastavi</w:t>
            </w:r>
          </w:p>
        </w:tc>
      </w:tr>
      <w:tr w:rsidR="009138DB" w:rsidRPr="00DF4CE5" w14:paraId="0A1D6B7B" w14:textId="77777777" w:rsidTr="00587D5D">
        <w:tc>
          <w:tcPr>
            <w:tcW w:w="2629"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hideMark/>
          </w:tcPr>
          <w:p w14:paraId="136717A6" w14:textId="77777777" w:rsidR="009138DB" w:rsidRPr="00DF4CE5" w:rsidRDefault="009138DB" w:rsidP="00587D5D">
            <w:pPr>
              <w:spacing w:after="0" w:line="240" w:lineRule="atLeast"/>
              <w:jc w:val="both"/>
              <w:rPr>
                <w:rFonts w:ascii="Cambria" w:eastAsia="Calibri" w:hAnsi="Cambria" w:cs="Calibri"/>
                <w:lang w:val="hr-HR"/>
              </w:rPr>
            </w:pPr>
            <w:r w:rsidRPr="00DF4CE5">
              <w:rPr>
                <w:rFonts w:ascii="Cambria" w:eastAsia="Calibri" w:hAnsi="Cambria" w:cs="Calibri"/>
                <w:lang w:val="hr-HR"/>
              </w:rPr>
              <w:t>Planirane aktivnosti,</w:t>
            </w:r>
          </w:p>
          <w:p w14:paraId="75030076" w14:textId="77777777" w:rsidR="009138DB" w:rsidRPr="00DF4CE5" w:rsidRDefault="009138DB" w:rsidP="00587D5D">
            <w:pPr>
              <w:spacing w:after="0" w:line="240" w:lineRule="atLeast"/>
              <w:jc w:val="both"/>
              <w:rPr>
                <w:rFonts w:ascii="Cambria" w:eastAsia="Calibri" w:hAnsi="Cambria" w:cs="Calibri"/>
                <w:lang w:val="hr-HR"/>
              </w:rPr>
            </w:pPr>
            <w:r w:rsidRPr="00DF4CE5">
              <w:rPr>
                <w:rFonts w:ascii="Cambria" w:eastAsia="Calibri" w:hAnsi="Cambria" w:cs="Calibri"/>
                <w:lang w:val="hr-HR"/>
              </w:rPr>
              <w:t>metode učenja i poučavanja i načini vrednovanja</w:t>
            </w:r>
          </w:p>
        </w:tc>
        <w:tc>
          <w:tcPr>
            <w:tcW w:w="259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F35A1CF" w14:textId="77777777" w:rsidR="009138DB" w:rsidRPr="00DF4CE5" w:rsidRDefault="009138DB" w:rsidP="00587D5D">
            <w:pPr>
              <w:spacing w:after="0" w:line="240" w:lineRule="atLeast"/>
              <w:jc w:val="both"/>
              <w:rPr>
                <w:rFonts w:ascii="Cambria" w:eastAsia="Calibri" w:hAnsi="Cambria" w:cs="Calibri"/>
                <w:lang w:val="hr-HR"/>
              </w:rPr>
            </w:pPr>
            <w:r w:rsidRPr="00DF4CE5">
              <w:rPr>
                <w:rFonts w:ascii="Cambria" w:eastAsia="Calibri" w:hAnsi="Cambria" w:cs="Calibri"/>
                <w:bCs/>
                <w:lang w:val="hr-HR"/>
              </w:rPr>
              <w:t xml:space="preserve">Obveze </w:t>
            </w:r>
          </w:p>
          <w:p w14:paraId="178D4E41" w14:textId="77777777" w:rsidR="009138DB" w:rsidRPr="00DF4CE5" w:rsidRDefault="009138DB" w:rsidP="00587D5D">
            <w:pPr>
              <w:spacing w:after="0" w:line="240" w:lineRule="atLeast"/>
              <w:jc w:val="both"/>
              <w:rPr>
                <w:rFonts w:ascii="Cambria" w:eastAsia="Calibri" w:hAnsi="Cambria" w:cs="Calibri"/>
                <w:lang w:val="hr-HR"/>
              </w:rPr>
            </w:pPr>
          </w:p>
        </w:tc>
        <w:tc>
          <w:tcPr>
            <w:tcW w:w="109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2FFD51A" w14:textId="77777777" w:rsidR="009138DB" w:rsidRPr="00DF4CE5" w:rsidRDefault="009138DB" w:rsidP="00587D5D">
            <w:pPr>
              <w:spacing w:after="0" w:line="240" w:lineRule="atLeast"/>
              <w:jc w:val="both"/>
              <w:rPr>
                <w:rFonts w:ascii="Cambria" w:eastAsia="Calibri" w:hAnsi="Cambria" w:cs="Calibri"/>
                <w:lang w:val="hr-HR"/>
              </w:rPr>
            </w:pPr>
            <w:r w:rsidRPr="00DF4CE5">
              <w:rPr>
                <w:rFonts w:ascii="Cambria" w:eastAsia="Calibri" w:hAnsi="Cambria" w:cs="Calibri"/>
                <w:bCs/>
                <w:lang w:val="hr-HR"/>
              </w:rPr>
              <w:t>Ishodi</w:t>
            </w:r>
          </w:p>
        </w:tc>
        <w:tc>
          <w:tcPr>
            <w:tcW w:w="71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B9F16D8" w14:textId="77777777" w:rsidR="009138DB" w:rsidRPr="00DF4CE5" w:rsidRDefault="009138DB" w:rsidP="00587D5D">
            <w:pPr>
              <w:spacing w:after="0" w:line="240" w:lineRule="atLeast"/>
              <w:jc w:val="both"/>
              <w:rPr>
                <w:rFonts w:ascii="Cambria" w:eastAsia="Calibri" w:hAnsi="Cambria" w:cs="Calibri"/>
                <w:lang w:val="hr-HR"/>
              </w:rPr>
            </w:pPr>
            <w:r w:rsidRPr="00DF4CE5">
              <w:rPr>
                <w:rFonts w:ascii="Cambria" w:eastAsia="Calibri" w:hAnsi="Cambria" w:cs="Calibri"/>
                <w:bCs/>
                <w:lang w:val="hr-HR"/>
              </w:rPr>
              <w:t>Sati</w:t>
            </w:r>
          </w:p>
        </w:tc>
        <w:tc>
          <w:tcPr>
            <w:tcW w:w="101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13C327D" w14:textId="77777777" w:rsidR="009138DB" w:rsidRPr="00DF4CE5" w:rsidRDefault="009138DB" w:rsidP="00587D5D">
            <w:pPr>
              <w:spacing w:after="0" w:line="240" w:lineRule="atLeast"/>
              <w:jc w:val="both"/>
              <w:rPr>
                <w:rFonts w:ascii="Cambria" w:eastAsia="Calibri" w:hAnsi="Cambria" w:cs="Calibri"/>
                <w:lang w:val="hr-HR"/>
              </w:rPr>
            </w:pPr>
            <w:r w:rsidRPr="00DF4CE5">
              <w:rPr>
                <w:rFonts w:ascii="Cambria" w:eastAsia="Calibri" w:hAnsi="Cambria" w:cs="Calibri"/>
                <w:bCs/>
                <w:lang w:val="hr-HR"/>
              </w:rPr>
              <w:t>ECTS</w:t>
            </w:r>
          </w:p>
        </w:tc>
        <w:tc>
          <w:tcPr>
            <w:tcW w:w="132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D69ACF7" w14:textId="77777777" w:rsidR="009138DB" w:rsidRPr="00DF4CE5" w:rsidRDefault="009138DB" w:rsidP="00587D5D">
            <w:pPr>
              <w:spacing w:after="0" w:line="240" w:lineRule="atLeast"/>
              <w:jc w:val="both"/>
              <w:rPr>
                <w:rFonts w:ascii="Cambria" w:eastAsia="Calibri" w:hAnsi="Cambria" w:cs="Calibri"/>
                <w:lang w:val="hr-HR"/>
              </w:rPr>
            </w:pPr>
            <w:r w:rsidRPr="00DF4CE5">
              <w:rPr>
                <w:rFonts w:ascii="Cambria" w:eastAsia="Calibri" w:hAnsi="Cambria" w:cs="Calibri"/>
                <w:bCs/>
                <w:lang w:val="hr-HR"/>
              </w:rPr>
              <w:t>Maksimalni udio u ocjeni (%)</w:t>
            </w:r>
          </w:p>
        </w:tc>
      </w:tr>
      <w:tr w:rsidR="009138DB" w:rsidRPr="00DF4CE5" w14:paraId="71C8854F" w14:textId="77777777" w:rsidTr="00587D5D">
        <w:tc>
          <w:tcPr>
            <w:tcW w:w="2629" w:type="dxa"/>
            <w:vMerge/>
            <w:tcBorders>
              <w:left w:val="single" w:sz="8" w:space="0" w:color="000000"/>
              <w:right w:val="single" w:sz="8" w:space="0" w:color="000000"/>
            </w:tcBorders>
            <w:vAlign w:val="center"/>
            <w:hideMark/>
          </w:tcPr>
          <w:p w14:paraId="25B108F4" w14:textId="77777777" w:rsidR="009138DB" w:rsidRPr="00DF4CE5" w:rsidRDefault="009138DB" w:rsidP="00587D5D">
            <w:pPr>
              <w:spacing w:after="0" w:line="240" w:lineRule="atLeast"/>
              <w:jc w:val="both"/>
              <w:rPr>
                <w:rFonts w:ascii="Cambria" w:eastAsia="Calibri" w:hAnsi="Cambria" w:cs="Calibri"/>
                <w:lang w:val="hr-HR"/>
              </w:rPr>
            </w:pPr>
          </w:p>
        </w:tc>
        <w:tc>
          <w:tcPr>
            <w:tcW w:w="259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3B1461F" w14:textId="66741ED8" w:rsidR="009138DB" w:rsidRPr="009138DB" w:rsidRDefault="009138DB" w:rsidP="00587D5D">
            <w:pPr>
              <w:spacing w:after="0" w:line="240" w:lineRule="atLeast"/>
              <w:jc w:val="both"/>
              <w:rPr>
                <w:rFonts w:ascii="Cambria" w:eastAsia="Calibri" w:hAnsi="Cambria" w:cs="Calibri"/>
                <w:lang w:val="it-IT"/>
              </w:rPr>
            </w:pPr>
            <w:proofErr w:type="spellStart"/>
            <w:r w:rsidRPr="009138DB">
              <w:rPr>
                <w:rFonts w:ascii="Cambria" w:eastAsia="Times New Roman" w:hAnsi="Cambria" w:cs="Calibri"/>
                <w:lang w:val="it-IT"/>
              </w:rPr>
              <w:t>aktivnost</w:t>
            </w:r>
            <w:proofErr w:type="spellEnd"/>
            <w:r w:rsidRPr="009138DB">
              <w:rPr>
                <w:rFonts w:ascii="Cambria" w:eastAsia="Times New Roman" w:hAnsi="Cambria" w:cs="Calibri"/>
                <w:lang w:val="it-IT"/>
              </w:rPr>
              <w:t xml:space="preserve"> </w:t>
            </w:r>
            <w:proofErr w:type="spellStart"/>
            <w:r w:rsidRPr="009138DB">
              <w:rPr>
                <w:rFonts w:ascii="Cambria" w:eastAsia="Times New Roman" w:hAnsi="Cambria" w:cs="Calibri"/>
                <w:lang w:val="it-IT"/>
              </w:rPr>
              <w:t>na</w:t>
            </w:r>
            <w:proofErr w:type="spellEnd"/>
            <w:r w:rsidRPr="009138DB">
              <w:rPr>
                <w:rFonts w:ascii="Cambria" w:eastAsia="Times New Roman" w:hAnsi="Cambria" w:cs="Calibri"/>
                <w:lang w:val="it-IT"/>
              </w:rPr>
              <w:t xml:space="preserve"> </w:t>
            </w:r>
            <w:proofErr w:type="spellStart"/>
            <w:r w:rsidRPr="009138DB">
              <w:rPr>
                <w:rFonts w:ascii="Cambria" w:eastAsia="Times New Roman" w:hAnsi="Cambria" w:cs="Calibri"/>
                <w:lang w:val="it-IT"/>
              </w:rPr>
              <w:t>nastavi</w:t>
            </w:r>
            <w:proofErr w:type="spellEnd"/>
            <w:r w:rsidRPr="009138DB">
              <w:rPr>
                <w:rFonts w:ascii="Cambria" w:eastAsia="Times New Roman" w:hAnsi="Cambria" w:cs="Calibri"/>
                <w:lang w:val="it-IT"/>
              </w:rPr>
              <w:t xml:space="preserve"> (P i</w:t>
            </w:r>
            <w:r>
              <w:rPr>
                <w:rFonts w:ascii="Cambria" w:eastAsia="Times New Roman" w:hAnsi="Cambria" w:cs="Calibri"/>
                <w:lang w:val="it-IT"/>
              </w:rPr>
              <w:t xml:space="preserve"> S)</w:t>
            </w:r>
          </w:p>
        </w:tc>
        <w:tc>
          <w:tcPr>
            <w:tcW w:w="109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2DBBFB3" w14:textId="77777777" w:rsidR="009138DB" w:rsidRPr="00DF4CE5" w:rsidRDefault="009138DB" w:rsidP="00587D5D">
            <w:pPr>
              <w:spacing w:after="0" w:line="240" w:lineRule="atLeast"/>
              <w:jc w:val="center"/>
              <w:rPr>
                <w:rFonts w:ascii="Cambria" w:eastAsia="Calibri" w:hAnsi="Cambria" w:cs="Calibri"/>
                <w:lang w:val="hr-HR"/>
              </w:rPr>
            </w:pPr>
            <w:r w:rsidRPr="00DF4CE5">
              <w:rPr>
                <w:rFonts w:ascii="Cambria" w:eastAsia="Calibri" w:hAnsi="Cambria" w:cs="Calibri"/>
                <w:lang w:val="hr-HR"/>
              </w:rPr>
              <w:t xml:space="preserve">1. – </w:t>
            </w:r>
            <w:r>
              <w:rPr>
                <w:rFonts w:ascii="Cambria" w:eastAsia="Calibri" w:hAnsi="Cambria" w:cs="Calibri"/>
                <w:lang w:val="hr-HR"/>
              </w:rPr>
              <w:t>5</w:t>
            </w:r>
            <w:r w:rsidRPr="00DF4CE5">
              <w:rPr>
                <w:rFonts w:ascii="Cambria" w:eastAsia="Calibri" w:hAnsi="Cambria" w:cs="Calibri"/>
                <w:lang w:val="hr-HR"/>
              </w:rPr>
              <w:t>.</w:t>
            </w:r>
          </w:p>
        </w:tc>
        <w:tc>
          <w:tcPr>
            <w:tcW w:w="71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355DE7E" w14:textId="77777777" w:rsidR="009138DB" w:rsidRPr="00DF4CE5" w:rsidRDefault="009138DB" w:rsidP="00587D5D">
            <w:pPr>
              <w:spacing w:after="0" w:line="240" w:lineRule="atLeast"/>
              <w:jc w:val="center"/>
              <w:rPr>
                <w:rFonts w:ascii="Cambria" w:eastAsia="Calibri" w:hAnsi="Cambria" w:cs="Calibri"/>
                <w:lang w:val="hr-HR"/>
              </w:rPr>
            </w:pPr>
            <w:r w:rsidRPr="00DF4CE5">
              <w:rPr>
                <w:rFonts w:ascii="Cambria" w:eastAsia="Calibri" w:hAnsi="Cambria" w:cs="Calibri"/>
                <w:lang w:val="hr-HR"/>
              </w:rPr>
              <w:t>34</w:t>
            </w:r>
          </w:p>
        </w:tc>
        <w:tc>
          <w:tcPr>
            <w:tcW w:w="101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0453E8B" w14:textId="77777777" w:rsidR="009138DB" w:rsidRPr="00DF4CE5" w:rsidRDefault="009138DB" w:rsidP="00587D5D">
            <w:pPr>
              <w:spacing w:after="0" w:line="240" w:lineRule="atLeast"/>
              <w:jc w:val="center"/>
              <w:rPr>
                <w:rFonts w:ascii="Cambria" w:eastAsia="Calibri" w:hAnsi="Cambria" w:cs="Calibri"/>
                <w:lang w:val="hr-HR"/>
              </w:rPr>
            </w:pPr>
            <w:r w:rsidRPr="00DF4CE5">
              <w:rPr>
                <w:rFonts w:ascii="Cambria" w:eastAsia="Calibri" w:hAnsi="Cambria" w:cs="Calibri"/>
                <w:lang w:val="hr-HR"/>
              </w:rPr>
              <w:t>1,2</w:t>
            </w:r>
          </w:p>
        </w:tc>
        <w:tc>
          <w:tcPr>
            <w:tcW w:w="132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B7D523B" w14:textId="77777777" w:rsidR="009138DB" w:rsidRPr="00DF4CE5" w:rsidRDefault="009138DB" w:rsidP="00587D5D">
            <w:pPr>
              <w:spacing w:after="0" w:line="240" w:lineRule="atLeast"/>
              <w:jc w:val="center"/>
              <w:rPr>
                <w:rFonts w:ascii="Cambria" w:eastAsia="Calibri" w:hAnsi="Cambria" w:cs="Calibri"/>
                <w:lang w:val="hr-HR"/>
              </w:rPr>
            </w:pPr>
            <w:r w:rsidRPr="00DF4CE5">
              <w:rPr>
                <w:rFonts w:ascii="Cambria" w:eastAsia="Calibri" w:hAnsi="Cambria" w:cs="Calibri"/>
                <w:lang w:val="hr-HR"/>
              </w:rPr>
              <w:t>5 %</w:t>
            </w:r>
          </w:p>
        </w:tc>
      </w:tr>
      <w:tr w:rsidR="009138DB" w:rsidRPr="00DF4CE5" w14:paraId="30A167D8" w14:textId="77777777" w:rsidTr="00587D5D">
        <w:tc>
          <w:tcPr>
            <w:tcW w:w="2629" w:type="dxa"/>
            <w:vMerge/>
            <w:tcBorders>
              <w:left w:val="single" w:sz="8" w:space="0" w:color="000000"/>
              <w:right w:val="single" w:sz="8" w:space="0" w:color="000000"/>
            </w:tcBorders>
            <w:vAlign w:val="center"/>
            <w:hideMark/>
          </w:tcPr>
          <w:p w14:paraId="34AF2CC6" w14:textId="77777777" w:rsidR="009138DB" w:rsidRPr="00DF4CE5" w:rsidRDefault="009138DB" w:rsidP="00587D5D">
            <w:pPr>
              <w:spacing w:after="0" w:line="240" w:lineRule="atLeast"/>
              <w:jc w:val="both"/>
              <w:rPr>
                <w:rFonts w:ascii="Cambria" w:eastAsia="Calibri" w:hAnsi="Cambria" w:cs="Calibri"/>
                <w:lang w:val="hr-HR"/>
              </w:rPr>
            </w:pPr>
          </w:p>
        </w:tc>
        <w:tc>
          <w:tcPr>
            <w:tcW w:w="259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F55722F" w14:textId="77777777" w:rsidR="009138DB" w:rsidRPr="00DF4CE5" w:rsidRDefault="009138DB" w:rsidP="00587D5D">
            <w:pPr>
              <w:spacing w:after="0" w:line="240" w:lineRule="atLeast"/>
              <w:jc w:val="both"/>
              <w:rPr>
                <w:rFonts w:ascii="Cambria" w:eastAsia="Calibri" w:hAnsi="Cambria" w:cs="Calibri"/>
              </w:rPr>
            </w:pPr>
            <w:proofErr w:type="spellStart"/>
            <w:r w:rsidRPr="00DF4CE5">
              <w:rPr>
                <w:rFonts w:ascii="Cambria" w:eastAsia="Calibri" w:hAnsi="Cambria" w:cs="Calibri"/>
              </w:rPr>
              <w:t>terenska</w:t>
            </w:r>
            <w:proofErr w:type="spellEnd"/>
            <w:r w:rsidRPr="00DF4CE5">
              <w:rPr>
                <w:rFonts w:ascii="Cambria" w:eastAsia="Calibri" w:hAnsi="Cambria" w:cs="Calibri"/>
              </w:rPr>
              <w:t xml:space="preserve"> </w:t>
            </w:r>
            <w:proofErr w:type="spellStart"/>
            <w:r w:rsidRPr="00DF4CE5">
              <w:rPr>
                <w:rFonts w:ascii="Cambria" w:eastAsia="Calibri" w:hAnsi="Cambria" w:cs="Calibri"/>
              </w:rPr>
              <w:t>nastava</w:t>
            </w:r>
            <w:proofErr w:type="spellEnd"/>
          </w:p>
        </w:tc>
        <w:tc>
          <w:tcPr>
            <w:tcW w:w="109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C0A4F23" w14:textId="77777777" w:rsidR="009138DB" w:rsidRPr="00DF4CE5" w:rsidRDefault="009138DB" w:rsidP="00587D5D">
            <w:pPr>
              <w:spacing w:after="0" w:line="240" w:lineRule="atLeast"/>
              <w:jc w:val="center"/>
              <w:rPr>
                <w:rFonts w:ascii="Cambria" w:eastAsia="Calibri" w:hAnsi="Cambria" w:cs="Calibri"/>
                <w:lang w:val="hr-HR"/>
              </w:rPr>
            </w:pPr>
            <w:r w:rsidRPr="00DF4CE5">
              <w:rPr>
                <w:rFonts w:ascii="Cambria" w:eastAsia="Calibri" w:hAnsi="Cambria" w:cs="Calibri"/>
                <w:lang w:val="hr-HR"/>
              </w:rPr>
              <w:t xml:space="preserve">1. – </w:t>
            </w:r>
            <w:r>
              <w:rPr>
                <w:rFonts w:ascii="Cambria" w:eastAsia="Calibri" w:hAnsi="Cambria" w:cs="Calibri"/>
                <w:lang w:val="hr-HR"/>
              </w:rPr>
              <w:t>5</w:t>
            </w:r>
            <w:r w:rsidRPr="00DF4CE5">
              <w:rPr>
                <w:rFonts w:ascii="Cambria" w:eastAsia="Calibri" w:hAnsi="Cambria" w:cs="Calibri"/>
                <w:lang w:val="hr-HR"/>
              </w:rPr>
              <w:t>.</w:t>
            </w:r>
          </w:p>
        </w:tc>
        <w:tc>
          <w:tcPr>
            <w:tcW w:w="71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28AD84B" w14:textId="77777777" w:rsidR="009138DB" w:rsidRPr="00DF4CE5" w:rsidRDefault="009138DB" w:rsidP="00587D5D">
            <w:pPr>
              <w:spacing w:after="0" w:line="240" w:lineRule="atLeast"/>
              <w:jc w:val="center"/>
              <w:rPr>
                <w:rFonts w:ascii="Cambria" w:eastAsia="Calibri" w:hAnsi="Cambria" w:cs="Calibri"/>
                <w:lang w:val="hr-HR"/>
              </w:rPr>
            </w:pPr>
            <w:r w:rsidRPr="00DF4CE5">
              <w:rPr>
                <w:rFonts w:ascii="Cambria" w:eastAsia="Calibri" w:hAnsi="Cambria" w:cs="Calibri"/>
                <w:lang w:val="hr-HR"/>
              </w:rPr>
              <w:t>8</w:t>
            </w:r>
          </w:p>
        </w:tc>
        <w:tc>
          <w:tcPr>
            <w:tcW w:w="101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3988245" w14:textId="77777777" w:rsidR="009138DB" w:rsidRPr="00DF4CE5" w:rsidRDefault="009138DB" w:rsidP="00587D5D">
            <w:pPr>
              <w:spacing w:after="0" w:line="240" w:lineRule="atLeast"/>
              <w:jc w:val="center"/>
              <w:rPr>
                <w:rFonts w:ascii="Cambria" w:eastAsia="Calibri" w:hAnsi="Cambria" w:cs="Calibri"/>
                <w:lang w:val="hr-HR"/>
              </w:rPr>
            </w:pPr>
            <w:r w:rsidRPr="00DF4CE5">
              <w:rPr>
                <w:rFonts w:ascii="Cambria" w:eastAsia="Calibri" w:hAnsi="Cambria" w:cs="Calibri"/>
                <w:lang w:val="hr-HR"/>
              </w:rPr>
              <w:t>0,2</w:t>
            </w:r>
          </w:p>
        </w:tc>
        <w:tc>
          <w:tcPr>
            <w:tcW w:w="132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CCA86C7" w14:textId="77777777" w:rsidR="009138DB" w:rsidRPr="00DF4CE5" w:rsidRDefault="009138DB" w:rsidP="00587D5D">
            <w:pPr>
              <w:spacing w:after="0" w:line="240" w:lineRule="atLeast"/>
              <w:jc w:val="center"/>
              <w:rPr>
                <w:rFonts w:ascii="Cambria" w:eastAsia="Calibri" w:hAnsi="Cambria" w:cs="Calibri"/>
                <w:lang w:val="hr-HR"/>
              </w:rPr>
            </w:pPr>
            <w:r w:rsidRPr="00DF4CE5">
              <w:rPr>
                <w:rFonts w:ascii="Cambria" w:eastAsia="Calibri" w:hAnsi="Cambria" w:cs="Calibri"/>
                <w:lang w:val="hr-HR"/>
              </w:rPr>
              <w:t>0%</w:t>
            </w:r>
          </w:p>
        </w:tc>
      </w:tr>
      <w:tr w:rsidR="009138DB" w:rsidRPr="00DF4CE5" w14:paraId="1BEAC2BC" w14:textId="77777777" w:rsidTr="00587D5D">
        <w:tc>
          <w:tcPr>
            <w:tcW w:w="2629" w:type="dxa"/>
            <w:vMerge/>
            <w:tcBorders>
              <w:left w:val="single" w:sz="8" w:space="0" w:color="000000"/>
              <w:right w:val="single" w:sz="8" w:space="0" w:color="000000"/>
            </w:tcBorders>
            <w:vAlign w:val="center"/>
            <w:hideMark/>
          </w:tcPr>
          <w:p w14:paraId="3B19A482" w14:textId="77777777" w:rsidR="009138DB" w:rsidRPr="00DF4CE5" w:rsidRDefault="009138DB" w:rsidP="00587D5D">
            <w:pPr>
              <w:spacing w:after="0" w:line="240" w:lineRule="atLeast"/>
              <w:jc w:val="both"/>
              <w:rPr>
                <w:rFonts w:ascii="Cambria" w:eastAsia="Calibri" w:hAnsi="Cambria" w:cs="Calibri"/>
                <w:lang w:val="hr-HR"/>
              </w:rPr>
            </w:pPr>
          </w:p>
        </w:tc>
        <w:tc>
          <w:tcPr>
            <w:tcW w:w="259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1C8DD4D" w14:textId="77777777" w:rsidR="009138DB" w:rsidRPr="00DF4CE5" w:rsidRDefault="009138DB" w:rsidP="00587D5D">
            <w:pPr>
              <w:spacing w:after="0" w:line="240" w:lineRule="atLeast"/>
              <w:jc w:val="both"/>
              <w:rPr>
                <w:rFonts w:ascii="Cambria" w:eastAsia="Calibri" w:hAnsi="Cambria" w:cs="Calibri"/>
                <w:lang w:val="hr-HR"/>
              </w:rPr>
            </w:pPr>
            <w:r w:rsidRPr="00DF4CE5">
              <w:rPr>
                <w:rFonts w:ascii="Cambria" w:eastAsia="Calibri" w:hAnsi="Cambria" w:cs="Calibri"/>
                <w:lang w:val="hr-HR"/>
              </w:rPr>
              <w:t>samostalni zadatci</w:t>
            </w:r>
          </w:p>
        </w:tc>
        <w:tc>
          <w:tcPr>
            <w:tcW w:w="109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1DEB726" w14:textId="77777777" w:rsidR="009138DB" w:rsidRPr="00DF4CE5" w:rsidRDefault="009138DB" w:rsidP="00587D5D">
            <w:pPr>
              <w:spacing w:after="0" w:line="240" w:lineRule="atLeast"/>
              <w:jc w:val="center"/>
              <w:rPr>
                <w:rFonts w:ascii="Cambria" w:eastAsia="Calibri" w:hAnsi="Cambria" w:cs="Calibri"/>
                <w:lang w:val="hr-HR"/>
              </w:rPr>
            </w:pPr>
            <w:r w:rsidRPr="00DF4CE5">
              <w:rPr>
                <w:rFonts w:ascii="Cambria" w:eastAsia="Calibri" w:hAnsi="Cambria" w:cs="Calibri"/>
                <w:lang w:val="hr-HR"/>
              </w:rPr>
              <w:t xml:space="preserve">1. – </w:t>
            </w:r>
            <w:r>
              <w:rPr>
                <w:rFonts w:ascii="Cambria" w:eastAsia="Calibri" w:hAnsi="Cambria" w:cs="Calibri"/>
                <w:lang w:val="hr-HR"/>
              </w:rPr>
              <w:t>5</w:t>
            </w:r>
            <w:r w:rsidRPr="00DF4CE5">
              <w:rPr>
                <w:rFonts w:ascii="Cambria" w:eastAsia="Calibri" w:hAnsi="Cambria" w:cs="Calibri"/>
                <w:lang w:val="hr-HR"/>
              </w:rPr>
              <w:t>.</w:t>
            </w:r>
          </w:p>
        </w:tc>
        <w:tc>
          <w:tcPr>
            <w:tcW w:w="71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8252764" w14:textId="77777777" w:rsidR="009138DB" w:rsidRPr="00DF4CE5" w:rsidRDefault="009138DB" w:rsidP="00587D5D">
            <w:pPr>
              <w:spacing w:after="0" w:line="240" w:lineRule="atLeast"/>
              <w:jc w:val="center"/>
              <w:rPr>
                <w:rFonts w:ascii="Cambria" w:eastAsia="Calibri" w:hAnsi="Cambria" w:cs="Calibri"/>
                <w:lang w:val="hr-HR"/>
              </w:rPr>
            </w:pPr>
            <w:r w:rsidRPr="00DF4CE5">
              <w:rPr>
                <w:rFonts w:ascii="Cambria" w:eastAsia="Calibri" w:hAnsi="Cambria" w:cs="Calibri"/>
                <w:lang w:val="hr-HR"/>
              </w:rPr>
              <w:t>18</w:t>
            </w:r>
          </w:p>
        </w:tc>
        <w:tc>
          <w:tcPr>
            <w:tcW w:w="101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464E11A" w14:textId="77777777" w:rsidR="009138DB" w:rsidRPr="00DF4CE5" w:rsidRDefault="009138DB" w:rsidP="00587D5D">
            <w:pPr>
              <w:spacing w:after="0" w:line="240" w:lineRule="atLeast"/>
              <w:jc w:val="center"/>
              <w:rPr>
                <w:rFonts w:ascii="Cambria" w:eastAsia="Calibri" w:hAnsi="Cambria" w:cs="Calibri"/>
                <w:lang w:val="hr-HR"/>
              </w:rPr>
            </w:pPr>
            <w:r w:rsidRPr="00DF4CE5">
              <w:rPr>
                <w:rFonts w:ascii="Cambria" w:eastAsia="Calibri" w:hAnsi="Cambria" w:cs="Calibri"/>
                <w:lang w:val="hr-HR"/>
              </w:rPr>
              <w:t>0,6</w:t>
            </w:r>
          </w:p>
        </w:tc>
        <w:tc>
          <w:tcPr>
            <w:tcW w:w="132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D1C57A4" w14:textId="77777777" w:rsidR="009138DB" w:rsidRPr="00DF4CE5" w:rsidRDefault="009138DB" w:rsidP="00587D5D">
            <w:pPr>
              <w:spacing w:after="0" w:line="240" w:lineRule="atLeast"/>
              <w:jc w:val="center"/>
              <w:rPr>
                <w:rFonts w:ascii="Cambria" w:eastAsia="Calibri" w:hAnsi="Cambria" w:cs="Calibri"/>
                <w:lang w:val="hr-HR"/>
              </w:rPr>
            </w:pPr>
            <w:r w:rsidRPr="00DF4CE5">
              <w:rPr>
                <w:rFonts w:ascii="Cambria" w:eastAsia="Calibri" w:hAnsi="Cambria" w:cs="Calibri"/>
                <w:lang w:val="hr-HR"/>
              </w:rPr>
              <w:t>45 %</w:t>
            </w:r>
          </w:p>
          <w:p w14:paraId="435B2D6F" w14:textId="77777777" w:rsidR="009138DB" w:rsidRPr="00DF4CE5" w:rsidRDefault="009138DB" w:rsidP="00587D5D">
            <w:pPr>
              <w:spacing w:after="0" w:line="240" w:lineRule="atLeast"/>
              <w:jc w:val="center"/>
              <w:rPr>
                <w:rFonts w:ascii="Cambria" w:eastAsia="Calibri" w:hAnsi="Cambria" w:cs="Calibri"/>
                <w:lang w:val="hr-HR"/>
              </w:rPr>
            </w:pPr>
          </w:p>
        </w:tc>
      </w:tr>
      <w:tr w:rsidR="009138DB" w:rsidRPr="00DF4CE5" w14:paraId="49EB74C4" w14:textId="77777777" w:rsidTr="00587D5D">
        <w:tc>
          <w:tcPr>
            <w:tcW w:w="2629" w:type="dxa"/>
            <w:vMerge/>
            <w:tcBorders>
              <w:left w:val="single" w:sz="8" w:space="0" w:color="000000"/>
              <w:right w:val="single" w:sz="8" w:space="0" w:color="000000"/>
            </w:tcBorders>
            <w:vAlign w:val="center"/>
          </w:tcPr>
          <w:p w14:paraId="183D5DBF" w14:textId="77777777" w:rsidR="009138DB" w:rsidRPr="00DF4CE5" w:rsidRDefault="009138DB" w:rsidP="00587D5D">
            <w:pPr>
              <w:spacing w:after="0" w:line="240" w:lineRule="atLeast"/>
              <w:jc w:val="both"/>
              <w:rPr>
                <w:rFonts w:ascii="Cambria" w:eastAsia="Calibri" w:hAnsi="Cambria" w:cs="Calibri"/>
                <w:lang w:val="hr-HR"/>
              </w:rPr>
            </w:pPr>
          </w:p>
        </w:tc>
        <w:tc>
          <w:tcPr>
            <w:tcW w:w="259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5422BC0" w14:textId="0FD03D8E" w:rsidR="009138DB" w:rsidRPr="00DF4CE5" w:rsidRDefault="009138DB" w:rsidP="00587D5D">
            <w:pPr>
              <w:spacing w:after="0" w:line="240" w:lineRule="atLeast"/>
              <w:jc w:val="both"/>
              <w:rPr>
                <w:rFonts w:ascii="Cambria" w:eastAsia="Calibri" w:hAnsi="Cambria" w:cs="Calibri"/>
                <w:lang w:val="hr-HR"/>
              </w:rPr>
            </w:pPr>
            <w:r w:rsidRPr="00DF4CE5">
              <w:rPr>
                <w:rFonts w:ascii="Cambria" w:eastAsia="Calibri" w:hAnsi="Cambria" w:cs="Calibri"/>
                <w:lang w:val="hr-HR"/>
              </w:rPr>
              <w:t>kolokvij/završni ispit(pismeni/usmeni)</w:t>
            </w:r>
          </w:p>
        </w:tc>
        <w:tc>
          <w:tcPr>
            <w:tcW w:w="109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695238A" w14:textId="77777777" w:rsidR="009138DB" w:rsidRPr="00DF4CE5" w:rsidRDefault="009138DB" w:rsidP="00587D5D">
            <w:pPr>
              <w:spacing w:after="0" w:line="240" w:lineRule="atLeast"/>
              <w:jc w:val="center"/>
              <w:rPr>
                <w:rFonts w:ascii="Cambria" w:eastAsia="Calibri" w:hAnsi="Cambria" w:cs="Calibri"/>
                <w:lang w:val="hr-HR"/>
              </w:rPr>
            </w:pPr>
            <w:r w:rsidRPr="00DF4CE5">
              <w:rPr>
                <w:rFonts w:ascii="Cambria" w:eastAsia="Calibri" w:hAnsi="Cambria" w:cs="Calibri"/>
                <w:lang w:val="hr-HR"/>
              </w:rPr>
              <w:t xml:space="preserve">1. – </w:t>
            </w:r>
            <w:r>
              <w:rPr>
                <w:rFonts w:ascii="Cambria" w:eastAsia="Calibri" w:hAnsi="Cambria" w:cs="Calibri"/>
                <w:lang w:val="hr-HR"/>
              </w:rPr>
              <w:t>5</w:t>
            </w:r>
            <w:r w:rsidRPr="00DF4CE5">
              <w:rPr>
                <w:rFonts w:ascii="Cambria" w:eastAsia="Calibri" w:hAnsi="Cambria" w:cs="Calibri"/>
                <w:lang w:val="hr-HR"/>
              </w:rPr>
              <w:t>.</w:t>
            </w:r>
          </w:p>
        </w:tc>
        <w:tc>
          <w:tcPr>
            <w:tcW w:w="71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2814737" w14:textId="77777777" w:rsidR="009138DB" w:rsidRPr="00DF4CE5" w:rsidRDefault="009138DB" w:rsidP="00587D5D">
            <w:pPr>
              <w:spacing w:after="0" w:line="240" w:lineRule="atLeast"/>
              <w:jc w:val="center"/>
              <w:rPr>
                <w:rFonts w:ascii="Cambria" w:eastAsia="Calibri" w:hAnsi="Cambria" w:cs="Calibri"/>
                <w:lang w:val="hr-HR"/>
              </w:rPr>
            </w:pPr>
            <w:r w:rsidRPr="00DF4CE5">
              <w:rPr>
                <w:rFonts w:ascii="Cambria" w:eastAsia="Calibri" w:hAnsi="Cambria" w:cs="Calibri"/>
                <w:lang w:val="hr-HR"/>
              </w:rPr>
              <w:t>30</w:t>
            </w:r>
          </w:p>
        </w:tc>
        <w:tc>
          <w:tcPr>
            <w:tcW w:w="101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495D9E8" w14:textId="77777777" w:rsidR="009138DB" w:rsidRPr="00DF4CE5" w:rsidRDefault="009138DB" w:rsidP="00587D5D">
            <w:pPr>
              <w:spacing w:after="0" w:line="240" w:lineRule="atLeast"/>
              <w:jc w:val="center"/>
              <w:rPr>
                <w:rFonts w:ascii="Cambria" w:eastAsia="Calibri" w:hAnsi="Cambria" w:cs="Calibri"/>
                <w:lang w:val="hr-HR"/>
              </w:rPr>
            </w:pPr>
            <w:r w:rsidRPr="00DF4CE5">
              <w:rPr>
                <w:rFonts w:ascii="Cambria" w:eastAsia="Calibri" w:hAnsi="Cambria" w:cs="Calibri"/>
                <w:lang w:val="hr-HR"/>
              </w:rPr>
              <w:t>1</w:t>
            </w:r>
          </w:p>
        </w:tc>
        <w:tc>
          <w:tcPr>
            <w:tcW w:w="132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3D5535A" w14:textId="77777777" w:rsidR="009138DB" w:rsidRPr="00DF4CE5" w:rsidRDefault="009138DB" w:rsidP="00587D5D">
            <w:pPr>
              <w:spacing w:after="0" w:line="240" w:lineRule="atLeast"/>
              <w:jc w:val="center"/>
              <w:rPr>
                <w:rFonts w:ascii="Cambria" w:eastAsia="Calibri" w:hAnsi="Cambria" w:cs="Calibri"/>
                <w:lang w:val="hr-HR"/>
              </w:rPr>
            </w:pPr>
            <w:r w:rsidRPr="00DF4CE5">
              <w:rPr>
                <w:rFonts w:ascii="Cambria" w:eastAsia="Calibri" w:hAnsi="Cambria" w:cs="Calibri"/>
                <w:lang w:val="hr-HR"/>
              </w:rPr>
              <w:t>50 %</w:t>
            </w:r>
          </w:p>
        </w:tc>
      </w:tr>
      <w:tr w:rsidR="009138DB" w:rsidRPr="00DF4CE5" w14:paraId="5D82C8A0" w14:textId="77777777" w:rsidTr="00587D5D">
        <w:tc>
          <w:tcPr>
            <w:tcW w:w="2629" w:type="dxa"/>
            <w:vMerge/>
            <w:tcBorders>
              <w:left w:val="single" w:sz="8" w:space="0" w:color="000000"/>
              <w:right w:val="single" w:sz="8" w:space="0" w:color="000000"/>
            </w:tcBorders>
            <w:vAlign w:val="center"/>
            <w:hideMark/>
          </w:tcPr>
          <w:p w14:paraId="68EB7192" w14:textId="77777777" w:rsidR="009138DB" w:rsidRPr="00DF4CE5" w:rsidRDefault="009138DB" w:rsidP="00587D5D">
            <w:pPr>
              <w:spacing w:after="0" w:line="240" w:lineRule="atLeast"/>
              <w:jc w:val="both"/>
              <w:rPr>
                <w:rFonts w:ascii="Cambria" w:eastAsia="Calibri" w:hAnsi="Cambria" w:cs="Calibri"/>
                <w:lang w:val="hr-HR"/>
              </w:rPr>
            </w:pPr>
          </w:p>
        </w:tc>
        <w:tc>
          <w:tcPr>
            <w:tcW w:w="3681"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B70DD3C" w14:textId="77777777" w:rsidR="009138DB" w:rsidRPr="00DF4CE5" w:rsidRDefault="009138DB" w:rsidP="00587D5D">
            <w:pPr>
              <w:spacing w:after="0" w:line="240" w:lineRule="atLeast"/>
              <w:jc w:val="both"/>
              <w:rPr>
                <w:rFonts w:ascii="Cambria" w:eastAsia="Calibri" w:hAnsi="Cambria" w:cs="Calibri"/>
                <w:lang w:val="hr-HR"/>
              </w:rPr>
            </w:pPr>
            <w:proofErr w:type="spellStart"/>
            <w:r w:rsidRPr="00DF4CE5">
              <w:rPr>
                <w:rFonts w:ascii="Cambria" w:eastAsia="Calibri" w:hAnsi="Cambria" w:cs="Calibri"/>
                <w:lang w:val="it-IT"/>
              </w:rPr>
              <w:t>ukupno</w:t>
            </w:r>
            <w:proofErr w:type="spellEnd"/>
          </w:p>
        </w:tc>
        <w:tc>
          <w:tcPr>
            <w:tcW w:w="71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3E40F8E" w14:textId="77777777" w:rsidR="009138DB" w:rsidRPr="00DF4CE5" w:rsidRDefault="009138DB" w:rsidP="00587D5D">
            <w:pPr>
              <w:spacing w:after="0" w:line="240" w:lineRule="atLeast"/>
              <w:jc w:val="center"/>
              <w:rPr>
                <w:rFonts w:ascii="Cambria" w:eastAsia="Calibri" w:hAnsi="Cambria" w:cs="Calibri"/>
                <w:lang w:val="hr-HR"/>
              </w:rPr>
            </w:pPr>
            <w:r w:rsidRPr="00DF4CE5">
              <w:rPr>
                <w:rFonts w:ascii="Cambria" w:eastAsia="Calibri" w:hAnsi="Cambria" w:cs="Calibri"/>
                <w:lang w:val="hr-HR"/>
              </w:rPr>
              <w:t>90</w:t>
            </w:r>
          </w:p>
        </w:tc>
        <w:tc>
          <w:tcPr>
            <w:tcW w:w="101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F357C5F" w14:textId="77777777" w:rsidR="009138DB" w:rsidRPr="00DF4CE5" w:rsidRDefault="009138DB" w:rsidP="00587D5D">
            <w:pPr>
              <w:spacing w:after="0" w:line="240" w:lineRule="atLeast"/>
              <w:jc w:val="center"/>
              <w:rPr>
                <w:rFonts w:ascii="Cambria" w:eastAsia="Calibri" w:hAnsi="Cambria" w:cs="Calibri"/>
                <w:lang w:val="hr-HR"/>
              </w:rPr>
            </w:pPr>
            <w:r w:rsidRPr="00DF4CE5">
              <w:rPr>
                <w:rFonts w:ascii="Cambria" w:eastAsia="Calibri" w:hAnsi="Cambria" w:cs="Calibri"/>
                <w:lang w:val="hr-HR"/>
              </w:rPr>
              <w:t>3</w:t>
            </w:r>
          </w:p>
        </w:tc>
        <w:tc>
          <w:tcPr>
            <w:tcW w:w="132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1F134C9" w14:textId="77777777" w:rsidR="009138DB" w:rsidRPr="00DF4CE5" w:rsidRDefault="009138DB" w:rsidP="00587D5D">
            <w:pPr>
              <w:spacing w:after="0" w:line="240" w:lineRule="atLeast"/>
              <w:jc w:val="center"/>
              <w:rPr>
                <w:rFonts w:ascii="Cambria" w:eastAsia="Calibri" w:hAnsi="Cambria" w:cs="Calibri"/>
                <w:lang w:val="hr-HR"/>
              </w:rPr>
            </w:pPr>
            <w:r w:rsidRPr="00DF4CE5">
              <w:rPr>
                <w:rFonts w:ascii="Cambria" w:eastAsia="Calibri" w:hAnsi="Cambria" w:cs="Calibri"/>
                <w:lang w:val="hr-HR"/>
              </w:rPr>
              <w:t>100 %</w:t>
            </w:r>
          </w:p>
        </w:tc>
      </w:tr>
      <w:tr w:rsidR="009138DB" w:rsidRPr="00D0399C" w14:paraId="62C3003A" w14:textId="77777777" w:rsidTr="00587D5D">
        <w:tc>
          <w:tcPr>
            <w:tcW w:w="26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D579882" w14:textId="77777777" w:rsidR="009138DB" w:rsidRPr="00DF4CE5" w:rsidRDefault="009138DB" w:rsidP="00587D5D">
            <w:pPr>
              <w:spacing w:after="0" w:line="240" w:lineRule="atLeast"/>
              <w:jc w:val="both"/>
              <w:rPr>
                <w:rFonts w:ascii="Cambria" w:eastAsia="Calibri" w:hAnsi="Cambria" w:cs="Calibri"/>
                <w:lang w:val="hr-HR"/>
              </w:rPr>
            </w:pPr>
            <w:r w:rsidRPr="00DF4CE5">
              <w:rPr>
                <w:rFonts w:ascii="Cambria" w:eastAsia="Calibri" w:hAnsi="Cambria" w:cs="Calibri"/>
                <w:lang w:val="hr-HR"/>
              </w:rPr>
              <w:lastRenderedPageBreak/>
              <w:t>Studentske obveze</w:t>
            </w:r>
          </w:p>
        </w:tc>
        <w:tc>
          <w:tcPr>
            <w:tcW w:w="6731"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482B322" w14:textId="77777777" w:rsidR="009138DB" w:rsidRPr="00DF4CE5" w:rsidRDefault="009138DB" w:rsidP="00587D5D">
            <w:pPr>
              <w:spacing w:after="0" w:line="240" w:lineRule="atLeast"/>
              <w:jc w:val="both"/>
              <w:rPr>
                <w:rFonts w:ascii="Cambria" w:eastAsia="Calibri" w:hAnsi="Cambria" w:cs="Calibri"/>
                <w:lang w:val="hr-HR"/>
              </w:rPr>
            </w:pPr>
            <w:r w:rsidRPr="00DF4CE5">
              <w:rPr>
                <w:rFonts w:ascii="Cambria" w:eastAsia="Calibri" w:hAnsi="Cambria" w:cs="Calibri"/>
                <w:lang w:val="hr-HR"/>
              </w:rPr>
              <w:t xml:space="preserve">Da položi kolegij, student/studentica mora: </w:t>
            </w:r>
          </w:p>
          <w:p w14:paraId="451ED53A" w14:textId="77777777" w:rsidR="009138DB" w:rsidRPr="00DF4CE5" w:rsidRDefault="009138DB" w:rsidP="00587D5D">
            <w:pPr>
              <w:spacing w:after="0" w:line="240" w:lineRule="atLeast"/>
              <w:jc w:val="both"/>
              <w:rPr>
                <w:rFonts w:ascii="Cambria" w:eastAsia="Calibri" w:hAnsi="Cambria" w:cs="Calibri"/>
                <w:lang w:val="hr-HR"/>
              </w:rPr>
            </w:pPr>
            <w:r w:rsidRPr="00DF4CE5">
              <w:rPr>
                <w:rFonts w:ascii="Cambria" w:eastAsia="Calibri" w:hAnsi="Cambria" w:cs="Calibri"/>
                <w:lang w:val="hr-HR"/>
              </w:rPr>
              <w:t xml:space="preserve">1. </w:t>
            </w:r>
            <w:r>
              <w:rPr>
                <w:rFonts w:ascii="Cambria" w:eastAsia="Calibri" w:hAnsi="Cambria" w:cs="Calibri"/>
                <w:lang w:val="hr-HR"/>
              </w:rPr>
              <w:t>r</w:t>
            </w:r>
            <w:r w:rsidRPr="00DF4CE5">
              <w:rPr>
                <w:rFonts w:ascii="Cambria" w:eastAsia="Calibri" w:hAnsi="Cambria" w:cs="Calibri"/>
                <w:lang w:val="hr-HR"/>
              </w:rPr>
              <w:t>edovito pratiti nastavu i aktivno sudjelovati u  vježbama</w:t>
            </w:r>
          </w:p>
          <w:p w14:paraId="4AE6DC8C" w14:textId="77777777" w:rsidR="009138DB" w:rsidRPr="00DF4CE5" w:rsidRDefault="009138DB" w:rsidP="00587D5D">
            <w:pPr>
              <w:spacing w:after="0" w:line="240" w:lineRule="atLeast"/>
              <w:jc w:val="both"/>
              <w:rPr>
                <w:rFonts w:ascii="Cambria" w:eastAsia="Calibri" w:hAnsi="Cambria" w:cs="Calibri"/>
                <w:lang w:val="hr-HR"/>
              </w:rPr>
            </w:pPr>
            <w:r w:rsidRPr="00DF4CE5">
              <w:rPr>
                <w:rFonts w:ascii="Cambria" w:eastAsia="Calibri" w:hAnsi="Cambria" w:cs="Calibri"/>
                <w:lang w:val="hr-HR"/>
              </w:rPr>
              <w:t xml:space="preserve">2. </w:t>
            </w:r>
            <w:r>
              <w:rPr>
                <w:rFonts w:ascii="Cambria" w:eastAsia="Calibri" w:hAnsi="Cambria" w:cs="Calibri"/>
                <w:lang w:val="hr-HR"/>
              </w:rPr>
              <w:t>i</w:t>
            </w:r>
            <w:r w:rsidRPr="00DF4CE5">
              <w:rPr>
                <w:rFonts w:ascii="Cambria" w:eastAsia="Calibri" w:hAnsi="Cambria" w:cs="Calibri"/>
                <w:lang w:val="hr-HR"/>
              </w:rPr>
              <w:t>zraditi samostalni zadatak</w:t>
            </w:r>
          </w:p>
          <w:p w14:paraId="15A7D5D5" w14:textId="77777777" w:rsidR="009138DB" w:rsidRPr="00DF4CE5" w:rsidRDefault="009138DB" w:rsidP="00587D5D">
            <w:pPr>
              <w:spacing w:after="0" w:line="240" w:lineRule="atLeast"/>
              <w:rPr>
                <w:rFonts w:ascii="Cambria" w:eastAsia="Calibri" w:hAnsi="Cambria" w:cs="Calibri"/>
                <w:lang w:val="hr-HR"/>
              </w:rPr>
            </w:pPr>
            <w:r w:rsidRPr="00DF4CE5">
              <w:rPr>
                <w:rFonts w:ascii="Cambria" w:eastAsia="Calibri" w:hAnsi="Cambria" w:cs="Calibri"/>
                <w:lang w:val="hr-HR"/>
              </w:rPr>
              <w:t xml:space="preserve">3. </w:t>
            </w:r>
            <w:r>
              <w:rPr>
                <w:rFonts w:ascii="Cambria" w:eastAsia="Calibri" w:hAnsi="Cambria" w:cs="Calibri"/>
                <w:lang w:val="hr-HR"/>
              </w:rPr>
              <w:t>p</w:t>
            </w:r>
            <w:r w:rsidRPr="00DF4CE5">
              <w:rPr>
                <w:rFonts w:ascii="Cambria" w:eastAsia="Calibri" w:hAnsi="Cambria" w:cs="Calibri"/>
                <w:lang w:val="hr-HR"/>
              </w:rPr>
              <w:t>oložiti kolokvij (nije eliminacijski) i pristupiti završnom ispitu  (pismeni/usmeni)</w:t>
            </w:r>
            <w:r>
              <w:rPr>
                <w:rFonts w:ascii="Cambria" w:eastAsia="Calibri" w:hAnsi="Cambria" w:cs="Calibri"/>
                <w:lang w:val="hr-HR"/>
              </w:rPr>
              <w:t>.</w:t>
            </w:r>
          </w:p>
        </w:tc>
      </w:tr>
      <w:tr w:rsidR="009138DB" w:rsidRPr="00D0399C" w14:paraId="51DDE40A" w14:textId="77777777" w:rsidTr="00587D5D">
        <w:tc>
          <w:tcPr>
            <w:tcW w:w="26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DECA595" w14:textId="77777777" w:rsidR="009138DB" w:rsidRPr="00DF4CE5" w:rsidRDefault="009138DB" w:rsidP="00587D5D">
            <w:pPr>
              <w:spacing w:after="0" w:line="240" w:lineRule="atLeast"/>
              <w:jc w:val="both"/>
              <w:rPr>
                <w:rFonts w:ascii="Cambria" w:eastAsia="Calibri" w:hAnsi="Cambria" w:cs="Calibri"/>
                <w:lang w:val="hr-HR"/>
              </w:rPr>
            </w:pPr>
            <w:r w:rsidRPr="00DF4CE5">
              <w:rPr>
                <w:rFonts w:ascii="Cambria" w:eastAsia="Calibri" w:hAnsi="Cambria" w:cs="Calibri"/>
                <w:lang w:val="hr-HR"/>
              </w:rPr>
              <w:t>Rokovi ispita</w:t>
            </w:r>
          </w:p>
        </w:tc>
        <w:tc>
          <w:tcPr>
            <w:tcW w:w="6731"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A993047" w14:textId="77777777" w:rsidR="009138DB" w:rsidRPr="00DF4CE5" w:rsidRDefault="009138DB" w:rsidP="00587D5D">
            <w:pPr>
              <w:spacing w:after="0" w:line="240" w:lineRule="atLeast"/>
              <w:jc w:val="both"/>
              <w:rPr>
                <w:rFonts w:ascii="Cambria" w:eastAsia="Calibri" w:hAnsi="Cambria" w:cs="Calibri"/>
                <w:lang w:val="hr-HR"/>
              </w:rPr>
            </w:pPr>
            <w:r w:rsidRPr="00DF4CE5">
              <w:rPr>
                <w:rFonts w:ascii="Cambria" w:eastAsia="Calibri" w:hAnsi="Cambria" w:cs="Calibri"/>
                <w:lang w:val="hr-HR"/>
              </w:rPr>
              <w:t>Daju se na početku akademske godine, objavljuju se na mrežnim stranicama Sveučilišta i u ISVU.</w:t>
            </w:r>
          </w:p>
        </w:tc>
      </w:tr>
      <w:tr w:rsidR="009138DB" w:rsidRPr="00497164" w14:paraId="7E5CC94B" w14:textId="77777777" w:rsidTr="00587D5D">
        <w:tc>
          <w:tcPr>
            <w:tcW w:w="26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8824214" w14:textId="77777777" w:rsidR="009138DB" w:rsidRPr="00DF4CE5" w:rsidRDefault="009138DB" w:rsidP="00587D5D">
            <w:pPr>
              <w:spacing w:after="0" w:line="240" w:lineRule="atLeast"/>
              <w:jc w:val="both"/>
              <w:rPr>
                <w:rFonts w:ascii="Cambria" w:eastAsia="Calibri" w:hAnsi="Cambria" w:cs="Calibri"/>
                <w:lang w:val="hr-HR"/>
              </w:rPr>
            </w:pPr>
            <w:r w:rsidRPr="00DF4CE5">
              <w:rPr>
                <w:rFonts w:ascii="Cambria" w:eastAsia="Calibri" w:hAnsi="Cambria" w:cs="Calibri"/>
                <w:lang w:val="hr-HR"/>
              </w:rPr>
              <w:t xml:space="preserve">Ostale važne činjenice </w:t>
            </w:r>
            <w:proofErr w:type="spellStart"/>
            <w:r w:rsidRPr="00DF4CE5">
              <w:rPr>
                <w:rFonts w:ascii="Cambria" w:eastAsia="Calibri" w:hAnsi="Cambria" w:cs="Calibri"/>
                <w:lang w:val="it-IT"/>
              </w:rPr>
              <w:t>vezane</w:t>
            </w:r>
            <w:proofErr w:type="spellEnd"/>
            <w:r w:rsidRPr="00DF4CE5">
              <w:rPr>
                <w:rFonts w:ascii="Cambria" w:eastAsia="Calibri" w:hAnsi="Cambria" w:cs="Calibri"/>
                <w:lang w:val="it-IT"/>
              </w:rPr>
              <w:t xml:space="preserve"> </w:t>
            </w:r>
            <w:proofErr w:type="spellStart"/>
            <w:r w:rsidRPr="00DF4CE5">
              <w:rPr>
                <w:rFonts w:ascii="Cambria" w:eastAsia="Calibri" w:hAnsi="Cambria" w:cs="Calibri"/>
                <w:lang w:val="it-IT"/>
              </w:rPr>
              <w:t>uz</w:t>
            </w:r>
            <w:proofErr w:type="spellEnd"/>
            <w:r w:rsidRPr="00DF4CE5">
              <w:rPr>
                <w:rFonts w:ascii="Cambria" w:eastAsia="Calibri" w:hAnsi="Cambria" w:cs="Calibri"/>
                <w:lang w:val="it-IT"/>
              </w:rPr>
              <w:t xml:space="preserve"> </w:t>
            </w:r>
            <w:proofErr w:type="spellStart"/>
            <w:r w:rsidRPr="00DF4CE5">
              <w:rPr>
                <w:rFonts w:ascii="Cambria" w:eastAsia="Calibri" w:hAnsi="Cambria" w:cs="Calibri"/>
                <w:lang w:val="it-IT"/>
              </w:rPr>
              <w:t>kolegij</w:t>
            </w:r>
            <w:proofErr w:type="spellEnd"/>
          </w:p>
        </w:tc>
        <w:tc>
          <w:tcPr>
            <w:tcW w:w="6731"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82DC910" w14:textId="77777777" w:rsidR="009138DB" w:rsidRPr="00DF4CE5" w:rsidRDefault="009138DB" w:rsidP="00587D5D">
            <w:pPr>
              <w:spacing w:after="0" w:line="240" w:lineRule="atLeast"/>
              <w:jc w:val="both"/>
              <w:rPr>
                <w:rFonts w:ascii="Cambria" w:eastAsia="Calibri" w:hAnsi="Cambria" w:cs="Calibri"/>
                <w:lang w:val="hr-HR"/>
              </w:rPr>
            </w:pPr>
            <w:r w:rsidRPr="00DF4CE5">
              <w:rPr>
                <w:rFonts w:ascii="Cambria" w:eastAsia="Calibri" w:hAnsi="Cambria" w:cs="Calibri"/>
                <w:lang w:val="hr-HR"/>
              </w:rPr>
              <w:t>Dodatna pojašnjenja:</w:t>
            </w:r>
          </w:p>
          <w:p w14:paraId="1F8755D0" w14:textId="77777777" w:rsidR="009138DB" w:rsidRPr="00DF4CE5" w:rsidRDefault="009138DB" w:rsidP="00587D5D">
            <w:pPr>
              <w:spacing w:after="0" w:line="240" w:lineRule="atLeast"/>
              <w:jc w:val="both"/>
              <w:rPr>
                <w:rFonts w:ascii="Cambria" w:eastAsia="Calibri" w:hAnsi="Cambria" w:cs="Calibri"/>
                <w:lang w:val="hr-HR"/>
              </w:rPr>
            </w:pPr>
            <w:r w:rsidRPr="00DF4CE5">
              <w:rPr>
                <w:rFonts w:ascii="Cambria" w:eastAsia="Calibri" w:hAnsi="Cambria" w:cs="Calibri"/>
                <w:lang w:val="hr-HR"/>
              </w:rPr>
              <w:t xml:space="preserve">Pohađanje nastave je obvezno. Tolerira se do 30% izostanaka. </w:t>
            </w:r>
            <w:r w:rsidRPr="00DF4CE5">
              <w:rPr>
                <w:rFonts w:ascii="Cambria" w:eastAsia="Calibri" w:hAnsi="Cambria" w:cs="Calibri"/>
                <w:lang w:val="hr-HR" w:eastAsia="hr-HR"/>
              </w:rPr>
              <w:t>Potrebno je izraditi samostalni zadatak te isti predati nastavniku najranije sedam dana prije prezentiranja istog.</w:t>
            </w:r>
          </w:p>
          <w:p w14:paraId="25F3CEBA" w14:textId="77777777" w:rsidR="009138DB" w:rsidRPr="00DF4CE5" w:rsidRDefault="009138DB" w:rsidP="00587D5D">
            <w:pPr>
              <w:spacing w:after="0" w:line="240" w:lineRule="atLeast"/>
              <w:jc w:val="both"/>
              <w:rPr>
                <w:rFonts w:ascii="Cambria" w:eastAsia="Calibri" w:hAnsi="Cambria" w:cs="Calibri"/>
                <w:lang w:val="hr-HR"/>
              </w:rPr>
            </w:pPr>
            <w:r w:rsidRPr="00DF4CE5">
              <w:rPr>
                <w:rFonts w:ascii="Cambria" w:eastAsia="Calibri" w:hAnsi="Cambria" w:cs="Calibri"/>
                <w:lang w:val="hr-HR"/>
              </w:rPr>
              <w:t>Kontaktiranje s nastavnikom</w:t>
            </w:r>
          </w:p>
          <w:p w14:paraId="154E77F6" w14:textId="77777777" w:rsidR="009138DB" w:rsidRPr="00DF4CE5" w:rsidRDefault="009138DB" w:rsidP="00587D5D">
            <w:pPr>
              <w:spacing w:after="0" w:line="240" w:lineRule="atLeast"/>
              <w:jc w:val="both"/>
              <w:rPr>
                <w:rFonts w:ascii="Cambria" w:eastAsia="Calibri" w:hAnsi="Cambria" w:cs="Calibri"/>
                <w:lang w:val="hr-HR"/>
              </w:rPr>
            </w:pPr>
            <w:r w:rsidRPr="00DF4CE5">
              <w:rPr>
                <w:rFonts w:ascii="Cambria" w:eastAsia="Calibri" w:hAnsi="Cambria" w:cs="Calibri"/>
                <w:lang w:val="hr-HR"/>
              </w:rPr>
              <w:t xml:space="preserve">Kontaktiranje s nastavnikom izvan nastave odvija se najčešće u vrijeme konzultacija. Svakodnevno (dvosmjerno) kontaktiranje omogućuje se elektroničkom </w:t>
            </w:r>
            <w:proofErr w:type="spellStart"/>
            <w:r w:rsidRPr="00DF4CE5">
              <w:rPr>
                <w:rFonts w:ascii="Cambria" w:eastAsia="Calibri" w:hAnsi="Cambria" w:cs="Calibri"/>
                <w:lang w:val="hr-HR"/>
              </w:rPr>
              <w:t>poštom.U</w:t>
            </w:r>
            <w:proofErr w:type="spellEnd"/>
            <w:r w:rsidRPr="00DF4CE5">
              <w:rPr>
                <w:rFonts w:ascii="Cambria" w:eastAsia="Calibri" w:hAnsi="Cambria" w:cs="Calibri"/>
                <w:lang w:val="hr-HR"/>
              </w:rPr>
              <w:t xml:space="preserve"> slučaju održavanja nastave na daljinu, moguće je odstupanje u: mjestu izvođenja kolegija, provedbi aktivnosti, metoda tumačenja i poučavanja i načinima vrednovanja, studentskim obvezama i dostupnoj literaturi. O tome će nositeljica kolegija i </w:t>
            </w:r>
            <w:r>
              <w:rPr>
                <w:rFonts w:ascii="Cambria" w:eastAsia="Calibri" w:hAnsi="Cambria" w:cs="Calibri"/>
                <w:lang w:val="hr-HR"/>
              </w:rPr>
              <w:t>suradnik</w:t>
            </w:r>
            <w:r w:rsidRPr="00DF4CE5">
              <w:rPr>
                <w:rFonts w:ascii="Cambria" w:eastAsia="Calibri" w:hAnsi="Cambria" w:cs="Calibri"/>
                <w:lang w:val="hr-HR"/>
              </w:rPr>
              <w:t xml:space="preserve"> obavijestiti studente i studentice kad se nastava na daljinu počne održavati. Ishodi učenja ostaju nepromijenjeni.</w:t>
            </w:r>
          </w:p>
        </w:tc>
      </w:tr>
      <w:tr w:rsidR="009138DB" w:rsidRPr="00D0399C" w14:paraId="6621C196" w14:textId="77777777" w:rsidTr="00587D5D">
        <w:trPr>
          <w:trHeight w:val="770"/>
        </w:trPr>
        <w:tc>
          <w:tcPr>
            <w:tcW w:w="26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8A3338A" w14:textId="77777777" w:rsidR="009138DB" w:rsidRPr="00DF4CE5" w:rsidRDefault="009138DB" w:rsidP="00587D5D">
            <w:pPr>
              <w:spacing w:after="0" w:line="240" w:lineRule="atLeast"/>
              <w:jc w:val="both"/>
              <w:rPr>
                <w:rFonts w:ascii="Cambria" w:eastAsia="Calibri" w:hAnsi="Cambria" w:cs="Calibri"/>
                <w:lang w:val="hr-HR"/>
              </w:rPr>
            </w:pPr>
            <w:r w:rsidRPr="00DF4CE5">
              <w:rPr>
                <w:rFonts w:ascii="Cambria" w:eastAsia="Calibri" w:hAnsi="Cambria" w:cs="Calibri"/>
                <w:lang w:val="hr-HR"/>
              </w:rPr>
              <w:t>Literatura</w:t>
            </w:r>
          </w:p>
        </w:tc>
        <w:tc>
          <w:tcPr>
            <w:tcW w:w="6731"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37FD0130" w14:textId="77777777" w:rsidR="009138DB" w:rsidRPr="00DF4CE5" w:rsidRDefault="009138DB" w:rsidP="00587D5D">
            <w:pPr>
              <w:spacing w:after="0" w:line="240" w:lineRule="atLeast"/>
              <w:jc w:val="both"/>
              <w:rPr>
                <w:rFonts w:ascii="Cambria" w:eastAsia="Calibri" w:hAnsi="Cambria" w:cs="Calibri"/>
                <w:lang w:val="hr-HR"/>
              </w:rPr>
            </w:pPr>
            <w:r w:rsidRPr="00DF4CE5">
              <w:rPr>
                <w:rFonts w:ascii="Cambria" w:eastAsia="Calibri" w:hAnsi="Cambria" w:cs="Calibri"/>
                <w:lang w:val="hr-HR"/>
              </w:rPr>
              <w:t xml:space="preserve">Obvezna: </w:t>
            </w:r>
          </w:p>
          <w:p w14:paraId="00234FEE" w14:textId="77777777" w:rsidR="009138DB" w:rsidRPr="00DF4CE5" w:rsidRDefault="009138DB" w:rsidP="00A034E3">
            <w:pPr>
              <w:numPr>
                <w:ilvl w:val="0"/>
                <w:numId w:val="16"/>
              </w:numPr>
              <w:spacing w:after="0" w:line="240" w:lineRule="atLeast"/>
              <w:contextualSpacing/>
              <w:jc w:val="both"/>
              <w:rPr>
                <w:rFonts w:ascii="Cambria" w:eastAsia="Calibri" w:hAnsi="Cambria" w:cs="Calibri"/>
                <w:lang w:val="hr-HR"/>
              </w:rPr>
            </w:pPr>
            <w:r w:rsidRPr="00DF4CE5">
              <w:rPr>
                <w:rFonts w:ascii="Cambria" w:eastAsia="Calibri" w:hAnsi="Cambria" w:cs="Calibri"/>
                <w:lang w:val="hr-HR"/>
              </w:rPr>
              <w:t>Ružić-</w:t>
            </w:r>
            <w:proofErr w:type="spellStart"/>
            <w:r w:rsidRPr="00DF4CE5">
              <w:rPr>
                <w:rFonts w:ascii="Cambria" w:eastAsia="Calibri" w:hAnsi="Cambria" w:cs="Calibri"/>
                <w:lang w:val="hr-HR"/>
              </w:rPr>
              <w:t>Baf</w:t>
            </w:r>
            <w:proofErr w:type="spellEnd"/>
            <w:r w:rsidRPr="00DF4CE5">
              <w:rPr>
                <w:rFonts w:ascii="Cambria" w:eastAsia="Calibri" w:hAnsi="Cambria" w:cs="Calibri"/>
                <w:lang w:val="hr-HR"/>
              </w:rPr>
              <w:t xml:space="preserve">, M.(2020). Pametno s pametnim telefonom, IKT u odgoju i </w:t>
            </w:r>
            <w:proofErr w:type="spellStart"/>
            <w:r w:rsidRPr="00DF4CE5">
              <w:rPr>
                <w:rFonts w:ascii="Cambria" w:eastAsia="Calibri" w:hAnsi="Cambria" w:cs="Calibri"/>
                <w:lang w:val="hr-HR"/>
              </w:rPr>
              <w:t>obrazoanju</w:t>
            </w:r>
            <w:proofErr w:type="spellEnd"/>
            <w:r w:rsidRPr="00DF4CE5">
              <w:rPr>
                <w:rFonts w:ascii="Cambria" w:eastAsia="Calibri" w:hAnsi="Cambria" w:cs="Calibri"/>
                <w:lang w:val="hr-HR"/>
              </w:rPr>
              <w:t>. Pula: Sveučilište Jurja Dobrile.</w:t>
            </w:r>
          </w:p>
          <w:p w14:paraId="65BE077E" w14:textId="77777777" w:rsidR="009138DB" w:rsidRPr="00DF4CE5" w:rsidRDefault="009138DB" w:rsidP="00A034E3">
            <w:pPr>
              <w:numPr>
                <w:ilvl w:val="0"/>
                <w:numId w:val="16"/>
              </w:numPr>
              <w:spacing w:after="0" w:line="240" w:lineRule="atLeast"/>
              <w:contextualSpacing/>
              <w:jc w:val="both"/>
              <w:rPr>
                <w:rFonts w:ascii="Cambria" w:eastAsia="Calibri" w:hAnsi="Cambria" w:cs="Calibri"/>
                <w:lang w:val="hr-HR"/>
              </w:rPr>
            </w:pPr>
            <w:r w:rsidRPr="00DF4CE5">
              <w:rPr>
                <w:rFonts w:ascii="Cambria" w:eastAsia="Calibri" w:hAnsi="Cambria" w:cs="Calibri"/>
                <w:lang w:val="hr-HR"/>
              </w:rPr>
              <w:t>Kučina, S., Odak, M., Lasić-Lazić, J. (2021). Digitalna transformacija Novi pristupi i izazovi u obrazovanju. Zagreb: Sveučilište Sjever. (str.15-27; str. 97-118)</w:t>
            </w:r>
          </w:p>
          <w:p w14:paraId="46326928" w14:textId="77777777" w:rsidR="009138DB" w:rsidRPr="00DF4CE5" w:rsidRDefault="009138DB" w:rsidP="00A034E3">
            <w:pPr>
              <w:numPr>
                <w:ilvl w:val="0"/>
                <w:numId w:val="16"/>
              </w:numPr>
              <w:spacing w:after="0" w:line="240" w:lineRule="atLeast"/>
              <w:contextualSpacing/>
              <w:jc w:val="both"/>
              <w:rPr>
                <w:rFonts w:ascii="Cambria" w:eastAsia="Calibri" w:hAnsi="Cambria" w:cs="Calibri"/>
                <w:lang w:val="hr-HR"/>
              </w:rPr>
            </w:pPr>
            <w:r w:rsidRPr="00DF4CE5">
              <w:rPr>
                <w:rFonts w:ascii="Cambria" w:eastAsia="Calibri" w:hAnsi="Cambria" w:cs="Calibri"/>
                <w:lang w:val="hr-HR"/>
              </w:rPr>
              <w:t xml:space="preserve">Digital </w:t>
            </w:r>
            <w:proofErr w:type="spellStart"/>
            <w:r w:rsidRPr="00DF4CE5">
              <w:rPr>
                <w:rFonts w:ascii="Cambria" w:eastAsia="Calibri" w:hAnsi="Cambria" w:cs="Calibri"/>
                <w:lang w:val="hr-HR"/>
              </w:rPr>
              <w:t>education</w:t>
            </w:r>
            <w:proofErr w:type="spellEnd"/>
            <w:r w:rsidRPr="00DF4CE5">
              <w:rPr>
                <w:rFonts w:ascii="Cambria" w:eastAsia="Calibri" w:hAnsi="Cambria" w:cs="Calibri"/>
                <w:lang w:val="hr-HR"/>
              </w:rPr>
              <w:t xml:space="preserve"> </w:t>
            </w:r>
            <w:proofErr w:type="spellStart"/>
            <w:r w:rsidRPr="00DF4CE5">
              <w:rPr>
                <w:rFonts w:ascii="Cambria" w:eastAsia="Calibri" w:hAnsi="Cambria" w:cs="Calibri"/>
                <w:lang w:val="hr-HR"/>
              </w:rPr>
              <w:t>action</w:t>
            </w:r>
            <w:proofErr w:type="spellEnd"/>
            <w:r w:rsidRPr="00DF4CE5">
              <w:rPr>
                <w:rFonts w:ascii="Cambria" w:eastAsia="Calibri" w:hAnsi="Cambria" w:cs="Calibri"/>
                <w:lang w:val="hr-HR"/>
              </w:rPr>
              <w:t xml:space="preserve"> plan 2021-2027 (2020). </w:t>
            </w:r>
            <w:proofErr w:type="spellStart"/>
            <w:r w:rsidRPr="00DF4CE5">
              <w:rPr>
                <w:rFonts w:ascii="Cambria" w:eastAsia="Calibri" w:hAnsi="Cambria" w:cs="Calibri"/>
                <w:lang w:val="hr-HR"/>
              </w:rPr>
              <w:t>Resetting</w:t>
            </w:r>
            <w:proofErr w:type="spellEnd"/>
            <w:r w:rsidRPr="00DF4CE5">
              <w:rPr>
                <w:rFonts w:ascii="Cambria" w:eastAsia="Calibri" w:hAnsi="Cambria" w:cs="Calibri"/>
                <w:lang w:val="hr-HR"/>
              </w:rPr>
              <w:t xml:space="preserve"> </w:t>
            </w:r>
            <w:proofErr w:type="spellStart"/>
            <w:r w:rsidRPr="00DF4CE5">
              <w:rPr>
                <w:rFonts w:ascii="Cambria" w:eastAsia="Calibri" w:hAnsi="Cambria" w:cs="Calibri"/>
                <w:lang w:val="hr-HR"/>
              </w:rPr>
              <w:t>education</w:t>
            </w:r>
            <w:proofErr w:type="spellEnd"/>
            <w:r w:rsidRPr="00DF4CE5">
              <w:rPr>
                <w:rFonts w:ascii="Cambria" w:eastAsia="Calibri" w:hAnsi="Cambria" w:cs="Calibri"/>
                <w:lang w:val="hr-HR"/>
              </w:rPr>
              <w:t xml:space="preserve"> </w:t>
            </w:r>
            <w:proofErr w:type="spellStart"/>
            <w:r w:rsidRPr="00DF4CE5">
              <w:rPr>
                <w:rFonts w:ascii="Cambria" w:eastAsia="Calibri" w:hAnsi="Cambria" w:cs="Calibri"/>
                <w:lang w:val="hr-HR"/>
              </w:rPr>
              <w:t>and</w:t>
            </w:r>
            <w:proofErr w:type="spellEnd"/>
            <w:r w:rsidRPr="00DF4CE5">
              <w:rPr>
                <w:rFonts w:ascii="Cambria" w:eastAsia="Calibri" w:hAnsi="Cambria" w:cs="Calibri"/>
                <w:lang w:val="hr-HR"/>
              </w:rPr>
              <w:t xml:space="preserve"> </w:t>
            </w:r>
            <w:proofErr w:type="spellStart"/>
            <w:r w:rsidRPr="00DF4CE5">
              <w:rPr>
                <w:rFonts w:ascii="Cambria" w:eastAsia="Calibri" w:hAnsi="Cambria" w:cs="Calibri"/>
                <w:lang w:val="hr-HR"/>
              </w:rPr>
              <w:t>training</w:t>
            </w:r>
            <w:proofErr w:type="spellEnd"/>
            <w:r w:rsidRPr="00DF4CE5">
              <w:rPr>
                <w:rFonts w:ascii="Cambria" w:eastAsia="Calibri" w:hAnsi="Cambria" w:cs="Calibri"/>
                <w:lang w:val="hr-HR"/>
              </w:rPr>
              <w:t xml:space="preserve"> for </w:t>
            </w:r>
            <w:proofErr w:type="spellStart"/>
            <w:r w:rsidRPr="00DF4CE5">
              <w:rPr>
                <w:rFonts w:ascii="Cambria" w:eastAsia="Calibri" w:hAnsi="Cambria" w:cs="Calibri"/>
                <w:lang w:val="hr-HR"/>
              </w:rPr>
              <w:t>the</w:t>
            </w:r>
            <w:proofErr w:type="spellEnd"/>
            <w:r w:rsidRPr="00DF4CE5">
              <w:rPr>
                <w:rFonts w:ascii="Cambria" w:eastAsia="Calibri" w:hAnsi="Cambria" w:cs="Calibri"/>
                <w:lang w:val="hr-HR"/>
              </w:rPr>
              <w:t xml:space="preserve"> </w:t>
            </w:r>
            <w:proofErr w:type="spellStart"/>
            <w:r w:rsidRPr="00DF4CE5">
              <w:rPr>
                <w:rFonts w:ascii="Cambria" w:eastAsia="Calibri" w:hAnsi="Cambria" w:cs="Calibri"/>
                <w:lang w:val="hr-HR"/>
              </w:rPr>
              <w:t>digital</w:t>
            </w:r>
            <w:proofErr w:type="spellEnd"/>
            <w:r w:rsidRPr="00DF4CE5">
              <w:rPr>
                <w:rFonts w:ascii="Cambria" w:eastAsia="Calibri" w:hAnsi="Cambria" w:cs="Calibri"/>
                <w:lang w:val="hr-HR"/>
              </w:rPr>
              <w:t xml:space="preserve"> age.</w:t>
            </w:r>
          </w:p>
          <w:p w14:paraId="16F8F97A" w14:textId="0EC33789" w:rsidR="009138DB" w:rsidRPr="00DF4CE5" w:rsidRDefault="009138DB" w:rsidP="00587D5D">
            <w:pPr>
              <w:spacing w:after="0" w:line="240" w:lineRule="atLeast"/>
              <w:ind w:left="720"/>
              <w:contextualSpacing/>
              <w:jc w:val="both"/>
              <w:rPr>
                <w:rFonts w:ascii="Cambria" w:eastAsia="Calibri" w:hAnsi="Cambria" w:cs="Calibri"/>
                <w:lang w:val="hr-HR"/>
              </w:rPr>
            </w:pPr>
            <w:hyperlink r:id="rId90" w:history="1">
              <w:r w:rsidRPr="00E93BCF">
                <w:rPr>
                  <w:rStyle w:val="Hiperveza"/>
                  <w:rFonts w:ascii="Cambria" w:eastAsia="Calibri" w:hAnsi="Cambria" w:cs="Calibri"/>
                  <w:lang w:val="hr-HR"/>
                </w:rPr>
                <w:t>https://ec.europa.eu/education/sites/default/files/document-library-docs/deap-communication</w:t>
              </w:r>
            </w:hyperlink>
            <w:r w:rsidRPr="00DF4CE5">
              <w:rPr>
                <w:rFonts w:ascii="Cambria" w:eastAsia="Calibri" w:hAnsi="Cambria" w:cs="Calibri"/>
                <w:lang w:val="hr-HR"/>
              </w:rPr>
              <w:t xml:space="preserve"> ept2020_en.pdf</w:t>
            </w:r>
          </w:p>
          <w:p w14:paraId="68877DE8" w14:textId="77777777" w:rsidR="009138DB" w:rsidRPr="00DF4CE5" w:rsidRDefault="009138DB" w:rsidP="00A034E3">
            <w:pPr>
              <w:numPr>
                <w:ilvl w:val="0"/>
                <w:numId w:val="16"/>
              </w:numPr>
              <w:spacing w:after="0" w:line="240" w:lineRule="atLeast"/>
              <w:contextualSpacing/>
              <w:jc w:val="both"/>
              <w:rPr>
                <w:rFonts w:ascii="Cambria" w:eastAsia="Calibri" w:hAnsi="Cambria" w:cs="Calibri"/>
                <w:lang w:val="hr-HR"/>
              </w:rPr>
            </w:pPr>
            <w:proofErr w:type="spellStart"/>
            <w:r w:rsidRPr="00DF4CE5">
              <w:rPr>
                <w:rFonts w:ascii="Cambria" w:eastAsia="Calibri" w:hAnsi="Cambria" w:cs="Calibri"/>
                <w:lang w:val="hr-HR"/>
              </w:rPr>
              <w:t>Šimović</w:t>
            </w:r>
            <w:proofErr w:type="spellEnd"/>
            <w:r w:rsidRPr="00DF4CE5">
              <w:rPr>
                <w:rFonts w:ascii="Cambria" w:eastAsia="Calibri" w:hAnsi="Cambria" w:cs="Calibri"/>
                <w:lang w:val="hr-HR"/>
              </w:rPr>
              <w:t>, V., Ružić-</w:t>
            </w:r>
            <w:proofErr w:type="spellStart"/>
            <w:r w:rsidRPr="00DF4CE5">
              <w:rPr>
                <w:rFonts w:ascii="Cambria" w:eastAsia="Calibri" w:hAnsi="Cambria" w:cs="Calibri"/>
                <w:lang w:val="hr-HR"/>
              </w:rPr>
              <w:t>Baf</w:t>
            </w:r>
            <w:proofErr w:type="spellEnd"/>
            <w:r w:rsidRPr="00DF4CE5">
              <w:rPr>
                <w:rFonts w:ascii="Cambria" w:eastAsia="Calibri" w:hAnsi="Cambria" w:cs="Calibri"/>
                <w:lang w:val="hr-HR"/>
              </w:rPr>
              <w:t>, M. (2013). Suvremeni informacijski sustavi. Pula:</w:t>
            </w:r>
          </w:p>
          <w:p w14:paraId="30F61D27" w14:textId="77777777" w:rsidR="009138DB" w:rsidRPr="00B96304" w:rsidRDefault="009138DB" w:rsidP="00A034E3">
            <w:pPr>
              <w:numPr>
                <w:ilvl w:val="0"/>
                <w:numId w:val="16"/>
              </w:numPr>
              <w:spacing w:after="0" w:line="240" w:lineRule="atLeast"/>
              <w:jc w:val="both"/>
              <w:rPr>
                <w:rFonts w:ascii="Cambria" w:eastAsia="Calibri" w:hAnsi="Cambria" w:cs="Calibri"/>
                <w:lang w:val="hr-HR"/>
              </w:rPr>
            </w:pPr>
            <w:r w:rsidRPr="00DF4CE5">
              <w:rPr>
                <w:rFonts w:ascii="Cambria" w:eastAsia="Calibri" w:hAnsi="Cambria" w:cs="Calibri"/>
                <w:lang w:val="hr-HR"/>
              </w:rPr>
              <w:t>Sveučilište Jurja Dobrile u Puli.</w:t>
            </w:r>
          </w:p>
          <w:p w14:paraId="6CC91BE9" w14:textId="77777777" w:rsidR="009138DB" w:rsidRPr="00DF4CE5" w:rsidRDefault="009138DB" w:rsidP="00587D5D">
            <w:pPr>
              <w:spacing w:after="0" w:line="240" w:lineRule="atLeast"/>
              <w:jc w:val="both"/>
              <w:rPr>
                <w:rFonts w:ascii="Cambria" w:eastAsia="Calibri" w:hAnsi="Cambria" w:cs="Calibri"/>
                <w:lang w:val="hr-HR"/>
              </w:rPr>
            </w:pPr>
            <w:r w:rsidRPr="00DF4CE5">
              <w:rPr>
                <w:rFonts w:ascii="Cambria" w:eastAsia="Calibri" w:hAnsi="Cambria" w:cs="Calibri"/>
                <w:lang w:val="hr-HR"/>
              </w:rPr>
              <w:t xml:space="preserve">Izborna: </w:t>
            </w:r>
          </w:p>
          <w:p w14:paraId="7A40A311" w14:textId="77777777" w:rsidR="009138DB" w:rsidRPr="00DF4CE5" w:rsidRDefault="009138DB" w:rsidP="00A034E3">
            <w:pPr>
              <w:numPr>
                <w:ilvl w:val="0"/>
                <w:numId w:val="18"/>
              </w:numPr>
              <w:spacing w:after="0" w:line="240" w:lineRule="atLeast"/>
              <w:contextualSpacing/>
              <w:jc w:val="both"/>
              <w:rPr>
                <w:rFonts w:ascii="Cambria" w:eastAsia="Calibri" w:hAnsi="Cambria" w:cs="Calibri"/>
                <w:lang w:val="hr-HR"/>
              </w:rPr>
            </w:pPr>
            <w:r w:rsidRPr="00DF4CE5">
              <w:rPr>
                <w:rFonts w:ascii="Cambria" w:eastAsia="Calibri" w:hAnsi="Cambria" w:cs="Calibri"/>
                <w:lang w:val="hr-HR"/>
              </w:rPr>
              <w:t xml:space="preserve">Grupa autora. (2015). Informacijska tehnologija u obrazovanju. Zagreb: Zavod za informacijske studije. </w:t>
            </w:r>
          </w:p>
          <w:p w14:paraId="1CBCB2E5" w14:textId="77777777" w:rsidR="009138DB" w:rsidRPr="00DF4CE5" w:rsidRDefault="009138DB" w:rsidP="00A034E3">
            <w:pPr>
              <w:numPr>
                <w:ilvl w:val="0"/>
                <w:numId w:val="18"/>
              </w:numPr>
              <w:spacing w:after="0" w:line="240" w:lineRule="atLeast"/>
              <w:contextualSpacing/>
              <w:jc w:val="both"/>
              <w:rPr>
                <w:rFonts w:ascii="Cambria" w:eastAsia="Calibri" w:hAnsi="Cambria" w:cs="Calibri"/>
                <w:lang w:val="hr-HR"/>
              </w:rPr>
            </w:pPr>
            <w:r w:rsidRPr="00DF4CE5">
              <w:rPr>
                <w:rFonts w:ascii="Cambria" w:eastAsia="Calibri" w:hAnsi="Cambria" w:cs="Calibri"/>
                <w:lang w:val="hr-HR"/>
              </w:rPr>
              <w:t>Ružić-</w:t>
            </w:r>
            <w:proofErr w:type="spellStart"/>
            <w:r w:rsidRPr="00DF4CE5">
              <w:rPr>
                <w:rFonts w:ascii="Cambria" w:eastAsia="Calibri" w:hAnsi="Cambria" w:cs="Calibri"/>
                <w:lang w:val="hr-HR"/>
              </w:rPr>
              <w:t>Baf</w:t>
            </w:r>
            <w:proofErr w:type="spellEnd"/>
            <w:r w:rsidRPr="00DF4CE5">
              <w:rPr>
                <w:rFonts w:ascii="Cambria" w:eastAsia="Calibri" w:hAnsi="Cambria" w:cs="Calibri"/>
                <w:lang w:val="hr-HR"/>
              </w:rPr>
              <w:t xml:space="preserve">, M., </w:t>
            </w:r>
            <w:proofErr w:type="spellStart"/>
            <w:r w:rsidRPr="00DF4CE5">
              <w:rPr>
                <w:rFonts w:ascii="Cambria" w:eastAsia="Calibri" w:hAnsi="Cambria" w:cs="Calibri"/>
                <w:lang w:val="hr-HR"/>
              </w:rPr>
              <w:t>Žufić</w:t>
            </w:r>
            <w:proofErr w:type="spellEnd"/>
            <w:r w:rsidRPr="00DF4CE5">
              <w:rPr>
                <w:rFonts w:ascii="Cambria" w:eastAsia="Calibri" w:hAnsi="Cambria" w:cs="Calibri"/>
                <w:lang w:val="hr-HR"/>
              </w:rPr>
              <w:t xml:space="preserve">, J. </w:t>
            </w:r>
            <w:proofErr w:type="spellStart"/>
            <w:r w:rsidRPr="00DF4CE5">
              <w:rPr>
                <w:rFonts w:ascii="Cambria" w:eastAsia="Calibri" w:hAnsi="Cambria" w:cs="Calibri"/>
                <w:lang w:val="hr-HR"/>
              </w:rPr>
              <w:t>Ur</w:t>
            </w:r>
            <w:proofErr w:type="spellEnd"/>
            <w:r w:rsidRPr="00DF4CE5">
              <w:rPr>
                <w:rFonts w:ascii="Cambria" w:eastAsia="Calibri" w:hAnsi="Cambria" w:cs="Calibri"/>
                <w:lang w:val="hr-HR"/>
              </w:rPr>
              <w:t xml:space="preserve">. (2016). New </w:t>
            </w:r>
            <w:proofErr w:type="spellStart"/>
            <w:r w:rsidRPr="00DF4CE5">
              <w:rPr>
                <w:rFonts w:ascii="Cambria" w:eastAsia="Calibri" w:hAnsi="Cambria" w:cs="Calibri"/>
                <w:lang w:val="hr-HR"/>
              </w:rPr>
              <w:t>Possibilities</w:t>
            </w:r>
            <w:proofErr w:type="spellEnd"/>
            <w:r w:rsidRPr="00DF4CE5">
              <w:rPr>
                <w:rFonts w:ascii="Cambria" w:eastAsia="Calibri" w:hAnsi="Cambria" w:cs="Calibri"/>
                <w:lang w:val="hr-HR"/>
              </w:rPr>
              <w:t xml:space="preserve"> </w:t>
            </w:r>
            <w:proofErr w:type="spellStart"/>
            <w:r w:rsidRPr="00DF4CE5">
              <w:rPr>
                <w:rFonts w:ascii="Cambria" w:eastAsia="Calibri" w:hAnsi="Cambria" w:cs="Calibri"/>
                <w:lang w:val="hr-HR"/>
              </w:rPr>
              <w:t>of</w:t>
            </w:r>
            <w:proofErr w:type="spellEnd"/>
            <w:r w:rsidRPr="00DF4CE5">
              <w:rPr>
                <w:rFonts w:ascii="Cambria" w:eastAsia="Calibri" w:hAnsi="Cambria" w:cs="Calibri"/>
                <w:lang w:val="hr-HR"/>
              </w:rPr>
              <w:t xml:space="preserve"> ICT </w:t>
            </w:r>
            <w:proofErr w:type="spellStart"/>
            <w:r w:rsidRPr="00DF4CE5">
              <w:rPr>
                <w:rFonts w:ascii="Cambria" w:eastAsia="Calibri" w:hAnsi="Cambria" w:cs="Calibri"/>
                <w:lang w:val="hr-HR"/>
              </w:rPr>
              <w:t>in</w:t>
            </w:r>
            <w:proofErr w:type="spellEnd"/>
            <w:r w:rsidRPr="00DF4CE5">
              <w:rPr>
                <w:rFonts w:ascii="Cambria" w:eastAsia="Calibri" w:hAnsi="Cambria" w:cs="Calibri"/>
                <w:lang w:val="hr-HR"/>
              </w:rPr>
              <w:t xml:space="preserve"> </w:t>
            </w:r>
            <w:proofErr w:type="spellStart"/>
            <w:r w:rsidRPr="00DF4CE5">
              <w:rPr>
                <w:rFonts w:ascii="Cambria" w:eastAsia="Calibri" w:hAnsi="Cambria" w:cs="Calibri"/>
                <w:lang w:val="hr-HR"/>
              </w:rPr>
              <w:t>Education</w:t>
            </w:r>
            <w:proofErr w:type="spellEnd"/>
            <w:r w:rsidRPr="00DF4CE5">
              <w:rPr>
                <w:rFonts w:ascii="Cambria" w:eastAsia="Calibri" w:hAnsi="Cambria" w:cs="Calibri"/>
                <w:lang w:val="hr-HR"/>
              </w:rPr>
              <w:t xml:space="preserve">. Pula: Sveučilište Jurja Dobrile. </w:t>
            </w:r>
          </w:p>
          <w:p w14:paraId="0E27CE71" w14:textId="77777777" w:rsidR="009138DB" w:rsidRPr="00DF4CE5" w:rsidRDefault="009138DB" w:rsidP="00A034E3">
            <w:pPr>
              <w:numPr>
                <w:ilvl w:val="0"/>
                <w:numId w:val="18"/>
              </w:numPr>
              <w:spacing w:after="0" w:line="240" w:lineRule="atLeast"/>
              <w:contextualSpacing/>
              <w:jc w:val="both"/>
              <w:rPr>
                <w:rFonts w:ascii="Cambria" w:eastAsia="Calibri" w:hAnsi="Cambria" w:cs="Calibri"/>
                <w:lang w:val="hr-HR"/>
              </w:rPr>
            </w:pPr>
            <w:r w:rsidRPr="00DF4CE5">
              <w:rPr>
                <w:rFonts w:ascii="Cambria" w:eastAsia="Calibri" w:hAnsi="Cambria" w:cs="Calibri"/>
                <w:lang w:val="hr-HR"/>
              </w:rPr>
              <w:t xml:space="preserve">Matijević, M., </w:t>
            </w:r>
            <w:proofErr w:type="spellStart"/>
            <w:r w:rsidRPr="00DF4CE5">
              <w:rPr>
                <w:rFonts w:ascii="Cambria" w:eastAsia="Calibri" w:hAnsi="Cambria" w:cs="Calibri"/>
                <w:lang w:val="hr-HR"/>
              </w:rPr>
              <w:t>Topolovčan</w:t>
            </w:r>
            <w:proofErr w:type="spellEnd"/>
            <w:r w:rsidRPr="00DF4CE5">
              <w:rPr>
                <w:rFonts w:ascii="Cambria" w:eastAsia="Calibri" w:hAnsi="Cambria" w:cs="Calibri"/>
                <w:lang w:val="hr-HR"/>
              </w:rPr>
              <w:t xml:space="preserve">, T. (2017). Multimedijska </w:t>
            </w:r>
            <w:proofErr w:type="spellStart"/>
            <w:r w:rsidRPr="00DF4CE5">
              <w:rPr>
                <w:rFonts w:ascii="Cambria" w:eastAsia="Calibri" w:hAnsi="Cambria" w:cs="Calibri"/>
                <w:lang w:val="hr-HR"/>
              </w:rPr>
              <w:t>didatktika</w:t>
            </w:r>
            <w:proofErr w:type="spellEnd"/>
            <w:r w:rsidRPr="00DF4CE5">
              <w:rPr>
                <w:rFonts w:ascii="Cambria" w:eastAsia="Calibri" w:hAnsi="Cambria" w:cs="Calibri"/>
                <w:lang w:val="hr-HR"/>
              </w:rPr>
              <w:t>. Zagreb: Školska knjiga.</w:t>
            </w:r>
          </w:p>
          <w:p w14:paraId="282770F6" w14:textId="77777777" w:rsidR="009138DB" w:rsidRPr="00DF4CE5" w:rsidRDefault="009138DB" w:rsidP="00A034E3">
            <w:pPr>
              <w:numPr>
                <w:ilvl w:val="0"/>
                <w:numId w:val="18"/>
              </w:numPr>
              <w:spacing w:after="0" w:line="240" w:lineRule="atLeast"/>
              <w:contextualSpacing/>
              <w:jc w:val="both"/>
              <w:rPr>
                <w:rFonts w:ascii="Cambria" w:eastAsia="Calibri" w:hAnsi="Cambria" w:cs="Calibri"/>
                <w:lang w:val="hr-HR"/>
              </w:rPr>
            </w:pPr>
            <w:proofErr w:type="spellStart"/>
            <w:r w:rsidRPr="00DF4CE5">
              <w:rPr>
                <w:rFonts w:ascii="Cambria" w:eastAsia="Calibri" w:hAnsi="Cambria" w:cs="Calibri"/>
                <w:lang w:val="hr-HR"/>
              </w:rPr>
              <w:t>Halfacree</w:t>
            </w:r>
            <w:proofErr w:type="spellEnd"/>
            <w:r w:rsidRPr="00DF4CE5">
              <w:rPr>
                <w:rFonts w:ascii="Cambria" w:eastAsia="Calibri" w:hAnsi="Cambria" w:cs="Calibri"/>
                <w:lang w:val="hr-HR"/>
              </w:rPr>
              <w:t xml:space="preserve">, G. (2018).BBC </w:t>
            </w:r>
            <w:proofErr w:type="spellStart"/>
            <w:r w:rsidRPr="00DF4CE5">
              <w:rPr>
                <w:rFonts w:ascii="Cambria" w:eastAsia="Calibri" w:hAnsi="Cambria" w:cs="Calibri"/>
                <w:lang w:val="hr-HR"/>
              </w:rPr>
              <w:t>micro:bit</w:t>
            </w:r>
            <w:proofErr w:type="spellEnd"/>
            <w:r w:rsidRPr="00DF4CE5">
              <w:rPr>
                <w:rFonts w:ascii="Cambria" w:eastAsia="Calibri" w:hAnsi="Cambria" w:cs="Calibri"/>
                <w:lang w:val="hr-HR"/>
              </w:rPr>
              <w:t xml:space="preserve"> službeni priručnik.  Zagreb: Dobar plan.</w:t>
            </w:r>
          </w:p>
          <w:p w14:paraId="0C2551C8" w14:textId="77777777" w:rsidR="009138DB" w:rsidRPr="00DF4CE5" w:rsidRDefault="009138DB" w:rsidP="00A034E3">
            <w:pPr>
              <w:numPr>
                <w:ilvl w:val="0"/>
                <w:numId w:val="18"/>
              </w:numPr>
              <w:spacing w:after="0" w:line="240" w:lineRule="atLeast"/>
              <w:contextualSpacing/>
              <w:jc w:val="both"/>
              <w:rPr>
                <w:rFonts w:ascii="Cambria" w:eastAsia="Calibri" w:hAnsi="Cambria" w:cs="Calibri"/>
                <w:lang w:val="hr-HR"/>
              </w:rPr>
            </w:pPr>
            <w:r w:rsidRPr="00DF4CE5">
              <w:rPr>
                <w:rFonts w:ascii="Cambria" w:eastAsia="Calibri" w:hAnsi="Cambria" w:cs="Calibri"/>
                <w:lang w:val="hr-HR"/>
              </w:rPr>
              <w:t>www.mzo.hr ( Kurikulum nastavnog predmeta informatika za osnovne i srednje škole).</w:t>
            </w:r>
          </w:p>
          <w:p w14:paraId="0EBF12EB" w14:textId="77777777" w:rsidR="009138DB" w:rsidRPr="00DF4CE5" w:rsidRDefault="009138DB" w:rsidP="00A034E3">
            <w:pPr>
              <w:numPr>
                <w:ilvl w:val="0"/>
                <w:numId w:val="18"/>
              </w:numPr>
              <w:spacing w:after="0" w:line="240" w:lineRule="atLeast"/>
              <w:contextualSpacing/>
              <w:jc w:val="both"/>
              <w:rPr>
                <w:rFonts w:ascii="Cambria" w:eastAsia="Calibri" w:hAnsi="Cambria" w:cs="Calibri"/>
                <w:lang w:val="hr-HR"/>
              </w:rPr>
            </w:pPr>
            <w:r w:rsidRPr="00DF4CE5">
              <w:rPr>
                <w:rFonts w:ascii="Cambria" w:eastAsia="Calibri" w:hAnsi="Cambria" w:cs="Calibri"/>
                <w:lang w:val="hr-HR"/>
              </w:rPr>
              <w:t xml:space="preserve">Oblikovanje inovativnih </w:t>
            </w:r>
            <w:proofErr w:type="spellStart"/>
            <w:r w:rsidRPr="00DF4CE5">
              <w:rPr>
                <w:rFonts w:ascii="Cambria" w:eastAsia="Calibri" w:hAnsi="Cambria" w:cs="Calibri"/>
                <w:lang w:val="hr-HR"/>
              </w:rPr>
              <w:t>učnih</w:t>
            </w:r>
            <w:proofErr w:type="spellEnd"/>
            <w:r w:rsidRPr="00DF4CE5">
              <w:rPr>
                <w:rFonts w:ascii="Cambria" w:eastAsia="Calibri" w:hAnsi="Cambria" w:cs="Calibri"/>
                <w:lang w:val="hr-HR"/>
              </w:rPr>
              <w:t xml:space="preserve"> </w:t>
            </w:r>
            <w:proofErr w:type="spellStart"/>
            <w:r w:rsidRPr="00DF4CE5">
              <w:rPr>
                <w:rFonts w:ascii="Cambria" w:eastAsia="Calibri" w:hAnsi="Cambria" w:cs="Calibri"/>
                <w:lang w:val="hr-HR"/>
              </w:rPr>
              <w:t>okolij</w:t>
            </w:r>
            <w:proofErr w:type="spellEnd"/>
            <w:r w:rsidRPr="00DF4CE5">
              <w:rPr>
                <w:rFonts w:ascii="Cambria" w:eastAsia="Calibri" w:hAnsi="Cambria" w:cs="Calibri"/>
                <w:lang w:val="hr-HR"/>
              </w:rPr>
              <w:t xml:space="preserve"> ( </w:t>
            </w:r>
            <w:proofErr w:type="spellStart"/>
            <w:r w:rsidRPr="00DF4CE5">
              <w:rPr>
                <w:rFonts w:ascii="Cambria" w:eastAsia="Calibri" w:hAnsi="Cambria" w:cs="Calibri"/>
                <w:lang w:val="hr-HR"/>
              </w:rPr>
              <w:t>Constructing</w:t>
            </w:r>
            <w:proofErr w:type="spellEnd"/>
            <w:r w:rsidRPr="00DF4CE5">
              <w:rPr>
                <w:rFonts w:ascii="Cambria" w:eastAsia="Calibri" w:hAnsi="Cambria" w:cs="Calibri"/>
                <w:lang w:val="hr-HR"/>
              </w:rPr>
              <w:t xml:space="preserve"> </w:t>
            </w:r>
            <w:proofErr w:type="spellStart"/>
            <w:r w:rsidRPr="00DF4CE5">
              <w:rPr>
                <w:rFonts w:ascii="Cambria" w:eastAsia="Calibri" w:hAnsi="Cambria" w:cs="Calibri"/>
                <w:lang w:val="hr-HR"/>
              </w:rPr>
              <w:t>inovative</w:t>
            </w:r>
            <w:proofErr w:type="spellEnd"/>
            <w:r w:rsidRPr="00DF4CE5">
              <w:rPr>
                <w:rFonts w:ascii="Cambria" w:eastAsia="Calibri" w:hAnsi="Cambria" w:cs="Calibri"/>
                <w:lang w:val="hr-HR"/>
              </w:rPr>
              <w:t xml:space="preserve"> </w:t>
            </w:r>
            <w:proofErr w:type="spellStart"/>
            <w:r w:rsidRPr="00DF4CE5">
              <w:rPr>
                <w:rFonts w:ascii="Cambria" w:eastAsia="Calibri" w:hAnsi="Cambria" w:cs="Calibri"/>
                <w:lang w:val="hr-HR"/>
              </w:rPr>
              <w:t>learning</w:t>
            </w:r>
            <w:proofErr w:type="spellEnd"/>
            <w:r w:rsidRPr="00DF4CE5">
              <w:rPr>
                <w:rFonts w:ascii="Cambria" w:eastAsia="Calibri" w:hAnsi="Cambria" w:cs="Calibri"/>
                <w:lang w:val="hr-HR"/>
              </w:rPr>
              <w:t xml:space="preserve"> </w:t>
            </w:r>
            <w:proofErr w:type="spellStart"/>
            <w:r w:rsidRPr="00DF4CE5">
              <w:rPr>
                <w:rFonts w:ascii="Cambria" w:eastAsia="Calibri" w:hAnsi="Cambria" w:cs="Calibri"/>
                <w:lang w:val="hr-HR"/>
              </w:rPr>
              <w:t>enviroments</w:t>
            </w:r>
            <w:proofErr w:type="spellEnd"/>
            <w:r w:rsidRPr="00DF4CE5">
              <w:rPr>
                <w:rFonts w:ascii="Cambria" w:eastAsia="Calibri" w:hAnsi="Cambria" w:cs="Calibri"/>
                <w:lang w:val="hr-HR"/>
              </w:rPr>
              <w:t xml:space="preserve">) (2018).. </w:t>
            </w:r>
            <w:proofErr w:type="spellStart"/>
            <w:r w:rsidRPr="00DF4CE5">
              <w:rPr>
                <w:rFonts w:ascii="Cambria" w:eastAsia="Calibri" w:hAnsi="Cambria" w:cs="Calibri"/>
                <w:lang w:val="hr-HR"/>
              </w:rPr>
              <w:t>Ur</w:t>
            </w:r>
            <w:proofErr w:type="spellEnd"/>
            <w:r w:rsidRPr="00DF4CE5">
              <w:rPr>
                <w:rFonts w:ascii="Cambria" w:eastAsia="Calibri" w:hAnsi="Cambria" w:cs="Calibri"/>
                <w:lang w:val="hr-HR"/>
              </w:rPr>
              <w:t xml:space="preserve">. </w:t>
            </w:r>
            <w:proofErr w:type="spellStart"/>
            <w:r w:rsidRPr="00DF4CE5">
              <w:rPr>
                <w:rFonts w:ascii="Cambria" w:eastAsia="Calibri" w:hAnsi="Cambria" w:cs="Calibri"/>
                <w:lang w:val="hr-HR"/>
              </w:rPr>
              <w:t>Štemberger</w:t>
            </w:r>
            <w:proofErr w:type="spellEnd"/>
            <w:r w:rsidRPr="00DF4CE5">
              <w:rPr>
                <w:rFonts w:ascii="Cambria" w:eastAsia="Calibri" w:hAnsi="Cambria" w:cs="Calibri"/>
                <w:lang w:val="hr-HR"/>
              </w:rPr>
              <w:t xml:space="preserve">, T., </w:t>
            </w:r>
            <w:proofErr w:type="spellStart"/>
            <w:r w:rsidRPr="00DF4CE5">
              <w:rPr>
                <w:rFonts w:ascii="Cambria" w:eastAsia="Calibri" w:hAnsi="Cambria" w:cs="Calibri"/>
                <w:lang w:val="hr-HR"/>
              </w:rPr>
              <w:t>Čotar</w:t>
            </w:r>
            <w:proofErr w:type="spellEnd"/>
            <w:r w:rsidRPr="00DF4CE5">
              <w:rPr>
                <w:rFonts w:ascii="Cambria" w:eastAsia="Calibri" w:hAnsi="Cambria" w:cs="Calibri"/>
                <w:lang w:val="hr-HR"/>
              </w:rPr>
              <w:t xml:space="preserve">, Konrad i dr. Koper: </w:t>
            </w:r>
            <w:proofErr w:type="spellStart"/>
            <w:r w:rsidRPr="00DF4CE5">
              <w:rPr>
                <w:rFonts w:ascii="Cambria" w:eastAsia="Calibri" w:hAnsi="Cambria" w:cs="Calibri"/>
                <w:lang w:val="hr-HR"/>
              </w:rPr>
              <w:t>Založba</w:t>
            </w:r>
            <w:proofErr w:type="spellEnd"/>
            <w:r w:rsidRPr="00DF4CE5">
              <w:rPr>
                <w:rFonts w:ascii="Cambria" w:eastAsia="Calibri" w:hAnsi="Cambria" w:cs="Calibri"/>
                <w:lang w:val="hr-HR"/>
              </w:rPr>
              <w:t xml:space="preserve"> </w:t>
            </w:r>
            <w:proofErr w:type="spellStart"/>
            <w:r w:rsidRPr="00DF4CE5">
              <w:rPr>
                <w:rFonts w:ascii="Cambria" w:eastAsia="Calibri" w:hAnsi="Cambria" w:cs="Calibri"/>
                <w:lang w:val="hr-HR"/>
              </w:rPr>
              <w:t>Univerze</w:t>
            </w:r>
            <w:proofErr w:type="spellEnd"/>
            <w:r w:rsidRPr="00DF4CE5">
              <w:rPr>
                <w:rFonts w:ascii="Cambria" w:eastAsia="Calibri" w:hAnsi="Cambria" w:cs="Calibri"/>
                <w:lang w:val="hr-HR"/>
              </w:rPr>
              <w:t xml:space="preserve"> na </w:t>
            </w:r>
            <w:proofErr w:type="spellStart"/>
            <w:r w:rsidRPr="00DF4CE5">
              <w:rPr>
                <w:rFonts w:ascii="Cambria" w:eastAsia="Calibri" w:hAnsi="Cambria" w:cs="Calibri"/>
                <w:lang w:val="hr-HR"/>
              </w:rPr>
              <w:t>Primorskem</w:t>
            </w:r>
            <w:proofErr w:type="spellEnd"/>
            <w:r w:rsidRPr="00DF4CE5">
              <w:rPr>
                <w:rFonts w:ascii="Cambria" w:eastAsia="Calibri" w:hAnsi="Cambria" w:cs="Calibri"/>
                <w:lang w:val="hr-HR"/>
              </w:rPr>
              <w:t>.</w:t>
            </w:r>
          </w:p>
          <w:p w14:paraId="534569C2" w14:textId="77777777" w:rsidR="009138DB" w:rsidRPr="00DF4CE5" w:rsidRDefault="009138DB" w:rsidP="00A034E3">
            <w:pPr>
              <w:numPr>
                <w:ilvl w:val="0"/>
                <w:numId w:val="18"/>
              </w:numPr>
              <w:spacing w:after="0" w:line="240" w:lineRule="atLeast"/>
              <w:contextualSpacing/>
              <w:jc w:val="both"/>
              <w:rPr>
                <w:rFonts w:ascii="Cambria" w:eastAsia="Calibri" w:hAnsi="Cambria" w:cs="Calibri"/>
                <w:lang w:val="hr-HR"/>
              </w:rPr>
            </w:pPr>
            <w:r w:rsidRPr="00DF4CE5">
              <w:rPr>
                <w:rFonts w:ascii="Cambria" w:eastAsia="Calibri" w:hAnsi="Cambria" w:cs="Calibri"/>
                <w:lang w:val="hr-HR"/>
              </w:rPr>
              <w:t xml:space="preserve">Digital </w:t>
            </w:r>
            <w:proofErr w:type="spellStart"/>
            <w:r w:rsidRPr="00DF4CE5">
              <w:rPr>
                <w:rFonts w:ascii="Cambria" w:eastAsia="Calibri" w:hAnsi="Cambria" w:cs="Calibri"/>
                <w:lang w:val="hr-HR"/>
              </w:rPr>
              <w:t>Competence</w:t>
            </w:r>
            <w:proofErr w:type="spellEnd"/>
            <w:r w:rsidRPr="00DF4CE5">
              <w:rPr>
                <w:rFonts w:ascii="Cambria" w:eastAsia="Calibri" w:hAnsi="Cambria" w:cs="Calibri"/>
                <w:lang w:val="hr-HR"/>
              </w:rPr>
              <w:t xml:space="preserve"> Framework 2.0. https://ec.europa.eu/jrc/en/digcomp/digital-comptence-framework</w:t>
            </w:r>
          </w:p>
          <w:p w14:paraId="28F70DA5" w14:textId="77777777" w:rsidR="009138DB" w:rsidRPr="00DF4CE5" w:rsidRDefault="009138DB" w:rsidP="00587D5D">
            <w:pPr>
              <w:spacing w:after="0" w:line="240" w:lineRule="atLeast"/>
              <w:jc w:val="both"/>
              <w:rPr>
                <w:rFonts w:ascii="Cambria" w:eastAsia="Calibri" w:hAnsi="Cambria" w:cs="Calibri"/>
                <w:lang w:val="hr-HR"/>
              </w:rPr>
            </w:pPr>
            <w:r w:rsidRPr="00DF4CE5">
              <w:rPr>
                <w:rFonts w:ascii="Cambria" w:eastAsia="Calibri" w:hAnsi="Cambria" w:cs="Calibri"/>
                <w:lang w:val="hr-HR"/>
              </w:rPr>
              <w:t>Mrežni izvori:</w:t>
            </w:r>
          </w:p>
          <w:p w14:paraId="28D34870" w14:textId="77777777" w:rsidR="009138DB" w:rsidRPr="00DF4CE5" w:rsidRDefault="009138DB" w:rsidP="00A034E3">
            <w:pPr>
              <w:numPr>
                <w:ilvl w:val="0"/>
                <w:numId w:val="17"/>
              </w:numPr>
              <w:spacing w:after="0" w:line="240" w:lineRule="atLeast"/>
              <w:contextualSpacing/>
              <w:jc w:val="both"/>
              <w:rPr>
                <w:rFonts w:ascii="Cambria" w:eastAsia="Calibri" w:hAnsi="Cambria" w:cs="Calibri"/>
                <w:lang w:val="hr-HR"/>
              </w:rPr>
            </w:pPr>
            <w:r w:rsidRPr="00DF4CE5">
              <w:rPr>
                <w:rFonts w:ascii="Cambria" w:eastAsia="Calibri" w:hAnsi="Cambria" w:cs="Calibri"/>
                <w:lang w:val="hr-HR"/>
              </w:rPr>
              <w:t>https://edutorij.e-skole.hr/share/page/home-page</w:t>
            </w:r>
          </w:p>
          <w:p w14:paraId="4C8EADD4" w14:textId="77777777" w:rsidR="009138DB" w:rsidRPr="00DF4CE5" w:rsidRDefault="009138DB" w:rsidP="00A034E3">
            <w:pPr>
              <w:numPr>
                <w:ilvl w:val="0"/>
                <w:numId w:val="17"/>
              </w:numPr>
              <w:spacing w:after="0" w:line="240" w:lineRule="atLeast"/>
              <w:contextualSpacing/>
              <w:jc w:val="both"/>
              <w:rPr>
                <w:rFonts w:ascii="Cambria" w:eastAsia="Calibri" w:hAnsi="Cambria" w:cs="Calibri"/>
                <w:lang w:val="hr-HR"/>
              </w:rPr>
            </w:pPr>
            <w:r w:rsidRPr="00DF4CE5">
              <w:rPr>
                <w:rFonts w:ascii="Cambria" w:eastAsia="Calibri" w:hAnsi="Cambria" w:cs="Calibri"/>
                <w:lang w:val="hr-HR"/>
              </w:rPr>
              <w:lastRenderedPageBreak/>
              <w:t>https://www.e-skole.hr/</w:t>
            </w:r>
          </w:p>
          <w:p w14:paraId="18AF8040" w14:textId="77777777" w:rsidR="009138DB" w:rsidRPr="00DF4CE5" w:rsidRDefault="009138DB" w:rsidP="00A034E3">
            <w:pPr>
              <w:numPr>
                <w:ilvl w:val="0"/>
                <w:numId w:val="17"/>
              </w:numPr>
              <w:spacing w:after="0" w:line="240" w:lineRule="atLeast"/>
              <w:contextualSpacing/>
              <w:jc w:val="both"/>
              <w:rPr>
                <w:rFonts w:ascii="Cambria" w:eastAsia="Calibri" w:hAnsi="Cambria" w:cs="Calibri"/>
                <w:lang w:val="hr-HR"/>
              </w:rPr>
            </w:pPr>
            <w:r w:rsidRPr="00DF4CE5">
              <w:rPr>
                <w:rFonts w:ascii="Cambria" w:eastAsia="Calibri" w:hAnsi="Cambria" w:cs="Calibri"/>
                <w:lang w:val="hr-HR"/>
              </w:rPr>
              <w:t>https://ec.europa.eu/education/</w:t>
            </w:r>
          </w:p>
          <w:p w14:paraId="1FD7CFC0" w14:textId="77777777" w:rsidR="009138DB" w:rsidRPr="00DF4CE5" w:rsidRDefault="009138DB" w:rsidP="00A034E3">
            <w:pPr>
              <w:numPr>
                <w:ilvl w:val="0"/>
                <w:numId w:val="17"/>
              </w:numPr>
              <w:spacing w:after="0" w:line="240" w:lineRule="atLeast"/>
              <w:contextualSpacing/>
              <w:jc w:val="both"/>
              <w:rPr>
                <w:rFonts w:ascii="Cambria" w:eastAsia="Calibri" w:hAnsi="Cambria" w:cs="Calibri"/>
                <w:lang w:val="hr-HR"/>
              </w:rPr>
            </w:pPr>
            <w:r w:rsidRPr="00DF4CE5">
              <w:rPr>
                <w:rFonts w:ascii="Cambria" w:eastAsia="Calibri" w:hAnsi="Cambria" w:cs="Calibri"/>
                <w:lang w:val="hr-HR"/>
              </w:rPr>
              <w:t>https://ec.europa.eu/croatia/education/digital_world_h</w:t>
            </w:r>
          </w:p>
          <w:p w14:paraId="3549AA94" w14:textId="77777777" w:rsidR="009138DB" w:rsidRPr="00DF4CE5" w:rsidRDefault="009138DB" w:rsidP="00A034E3">
            <w:pPr>
              <w:numPr>
                <w:ilvl w:val="0"/>
                <w:numId w:val="17"/>
              </w:numPr>
              <w:spacing w:after="0" w:line="240" w:lineRule="atLeast"/>
              <w:contextualSpacing/>
              <w:jc w:val="both"/>
              <w:rPr>
                <w:rFonts w:ascii="Cambria" w:eastAsia="Calibri" w:hAnsi="Cambria" w:cs="Calibri"/>
                <w:lang w:val="hr-HR"/>
              </w:rPr>
            </w:pPr>
            <w:hyperlink r:id="rId91" w:history="1">
              <w:r w:rsidRPr="00DF4CE5">
                <w:rPr>
                  <w:rStyle w:val="Hiperveza"/>
                  <w:rFonts w:ascii="Cambria" w:eastAsia="Calibri" w:hAnsi="Cambria" w:cs="Calibri"/>
                  <w:lang w:val="hr-HR"/>
                </w:rPr>
                <w:t>https://ec.europa.eu/jrc/en/publication/eur-scientific-and-technical-research-reports/digcomp-21-digital-competence-framework-citizens-eight-proficiency-levels-and-examples-use</w:t>
              </w:r>
            </w:hyperlink>
          </w:p>
        </w:tc>
      </w:tr>
    </w:tbl>
    <w:p w14:paraId="380C7ED2" w14:textId="77777777" w:rsidR="009138DB" w:rsidRPr="00DF4CE5" w:rsidRDefault="009138DB" w:rsidP="009138DB">
      <w:pPr>
        <w:jc w:val="both"/>
        <w:rPr>
          <w:rFonts w:ascii="Cambria" w:eastAsia="Calibri" w:hAnsi="Cambria" w:cs="Times New Roman"/>
          <w:lang w:val="hr-HR"/>
        </w:rPr>
      </w:pPr>
    </w:p>
    <w:p w14:paraId="5579CCF4" w14:textId="42D63871" w:rsidR="009138DB" w:rsidRDefault="009138DB">
      <w:pPr>
        <w:rPr>
          <w:rFonts w:ascii="Cambria" w:hAnsi="Cambria"/>
          <w:lang w:val="hr-HR"/>
        </w:rPr>
      </w:pPr>
      <w:r>
        <w:rPr>
          <w:rFonts w:ascii="Cambria" w:hAnsi="Cambria"/>
          <w:lang w:val="hr-HR"/>
        </w:rPr>
        <w:br w:type="page"/>
      </w:r>
    </w:p>
    <w:tbl>
      <w:tblPr>
        <w:tblW w:w="5000" w:type="pct"/>
        <w:tblLayout w:type="fixed"/>
        <w:tblCellMar>
          <w:left w:w="0" w:type="dxa"/>
          <w:right w:w="0" w:type="dxa"/>
        </w:tblCellMar>
        <w:tblLook w:val="0600" w:firstRow="0" w:lastRow="0" w:firstColumn="0" w:lastColumn="0" w:noHBand="1" w:noVBand="1"/>
      </w:tblPr>
      <w:tblGrid>
        <w:gridCol w:w="2814"/>
        <w:gridCol w:w="2669"/>
        <w:gridCol w:w="105"/>
        <w:gridCol w:w="1167"/>
        <w:gridCol w:w="297"/>
        <w:gridCol w:w="470"/>
        <w:gridCol w:w="1084"/>
        <w:gridCol w:w="1414"/>
      </w:tblGrid>
      <w:tr w:rsidR="009138DB" w:rsidRPr="00886793" w14:paraId="08235884" w14:textId="77777777" w:rsidTr="00587D5D">
        <w:tc>
          <w:tcPr>
            <w:tcW w:w="9360"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18FE3D0" w14:textId="77777777" w:rsidR="009138DB" w:rsidRPr="00886793" w:rsidRDefault="009138DB" w:rsidP="009138DB">
            <w:pPr>
              <w:spacing w:after="0" w:line="240" w:lineRule="atLeast"/>
              <w:jc w:val="right"/>
              <w:rPr>
                <w:rFonts w:ascii="Cambria" w:eastAsia="Calibri" w:hAnsi="Cambria" w:cs="Calibri"/>
                <w:b/>
              </w:rPr>
            </w:pPr>
            <w:r w:rsidRPr="00886793">
              <w:rPr>
                <w:rFonts w:ascii="Cambria" w:eastAsia="Calibri" w:hAnsi="Cambria" w:cs="Calibri"/>
                <w:b/>
              </w:rPr>
              <w:lastRenderedPageBreak/>
              <w:t>IZVEDBENI PLAN NASTAVE KOLEGIJA</w:t>
            </w:r>
          </w:p>
        </w:tc>
      </w:tr>
      <w:tr w:rsidR="009138DB" w:rsidRPr="00886793" w14:paraId="2CFE6452" w14:textId="77777777" w:rsidTr="00587D5D">
        <w:tc>
          <w:tcPr>
            <w:tcW w:w="26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F076B0A" w14:textId="77777777" w:rsidR="009138DB" w:rsidRPr="00886793" w:rsidRDefault="009138DB" w:rsidP="009138DB">
            <w:pPr>
              <w:spacing w:after="0" w:line="240" w:lineRule="atLeast"/>
              <w:jc w:val="both"/>
              <w:rPr>
                <w:rFonts w:ascii="Cambria" w:eastAsia="Calibri" w:hAnsi="Cambria" w:cs="Calibri"/>
              </w:rPr>
            </w:pPr>
            <w:proofErr w:type="spellStart"/>
            <w:r w:rsidRPr="00886793">
              <w:rPr>
                <w:rFonts w:ascii="Cambria" w:eastAsia="Calibri" w:hAnsi="Cambria" w:cs="Calibri"/>
              </w:rPr>
              <w:t>Kod</w:t>
            </w:r>
            <w:proofErr w:type="spellEnd"/>
            <w:r w:rsidRPr="00886793">
              <w:rPr>
                <w:rFonts w:ascii="Cambria" w:eastAsia="Calibri" w:hAnsi="Cambria" w:cs="Calibri"/>
              </w:rPr>
              <w:t xml:space="preserve"> </w:t>
            </w:r>
            <w:proofErr w:type="spellStart"/>
            <w:r w:rsidRPr="00886793">
              <w:rPr>
                <w:rFonts w:ascii="Cambria" w:eastAsia="Calibri" w:hAnsi="Cambria" w:cs="Calibri"/>
              </w:rPr>
              <w:t>i</w:t>
            </w:r>
            <w:proofErr w:type="spellEnd"/>
            <w:r w:rsidRPr="00886793">
              <w:rPr>
                <w:rFonts w:ascii="Cambria" w:eastAsia="Calibri" w:hAnsi="Cambria" w:cs="Calibri"/>
              </w:rPr>
              <w:t xml:space="preserve"> </w:t>
            </w:r>
            <w:proofErr w:type="spellStart"/>
            <w:r w:rsidRPr="00886793">
              <w:rPr>
                <w:rFonts w:ascii="Cambria" w:eastAsia="Calibri" w:hAnsi="Cambria" w:cs="Calibri"/>
              </w:rPr>
              <w:t>naziv</w:t>
            </w:r>
            <w:proofErr w:type="spellEnd"/>
            <w:r w:rsidRPr="00886793">
              <w:rPr>
                <w:rFonts w:ascii="Cambria" w:eastAsia="Calibri" w:hAnsi="Cambria" w:cs="Calibri"/>
              </w:rPr>
              <w:t xml:space="preserve"> </w:t>
            </w:r>
            <w:proofErr w:type="spellStart"/>
            <w:r w:rsidRPr="00886793">
              <w:rPr>
                <w:rFonts w:ascii="Cambria" w:eastAsia="Calibri" w:hAnsi="Cambria" w:cs="Calibri"/>
              </w:rPr>
              <w:t>kolegija</w:t>
            </w:r>
            <w:proofErr w:type="spellEnd"/>
          </w:p>
        </w:tc>
        <w:tc>
          <w:tcPr>
            <w:tcW w:w="6731"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AE34C98" w14:textId="77777777" w:rsidR="009138DB" w:rsidRPr="00886793" w:rsidRDefault="009138DB" w:rsidP="009138DB">
            <w:pPr>
              <w:spacing w:after="0" w:line="240" w:lineRule="atLeast"/>
              <w:jc w:val="both"/>
              <w:rPr>
                <w:rFonts w:ascii="Cambria" w:eastAsia="Calibri" w:hAnsi="Cambria" w:cs="Calibri"/>
                <w:bCs/>
              </w:rPr>
            </w:pPr>
            <w:proofErr w:type="spellStart"/>
            <w:r w:rsidRPr="00886793">
              <w:rPr>
                <w:rFonts w:ascii="Cambria" w:eastAsia="Calibri" w:hAnsi="Cambria" w:cs="Calibri"/>
                <w:bCs/>
              </w:rPr>
              <w:t>Kineziologija</w:t>
            </w:r>
            <w:proofErr w:type="spellEnd"/>
          </w:p>
        </w:tc>
      </w:tr>
      <w:tr w:rsidR="009138DB" w:rsidRPr="00886793" w14:paraId="40B82A1B" w14:textId="77777777" w:rsidTr="00587D5D">
        <w:tc>
          <w:tcPr>
            <w:tcW w:w="26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65B766E" w14:textId="77777777" w:rsidR="009138DB" w:rsidRPr="00886793" w:rsidRDefault="009138DB" w:rsidP="009138DB">
            <w:pPr>
              <w:spacing w:after="0" w:line="240" w:lineRule="atLeast"/>
              <w:jc w:val="both"/>
              <w:rPr>
                <w:rFonts w:ascii="Cambria" w:eastAsia="Calibri" w:hAnsi="Cambria" w:cs="Calibri"/>
              </w:rPr>
            </w:pPr>
            <w:proofErr w:type="spellStart"/>
            <w:r w:rsidRPr="00886793">
              <w:rPr>
                <w:rFonts w:ascii="Cambria" w:eastAsia="Calibri" w:hAnsi="Cambria" w:cs="Calibri"/>
              </w:rPr>
              <w:t>Nastavni</w:t>
            </w:r>
            <w:r>
              <w:rPr>
                <w:rFonts w:ascii="Cambria" w:eastAsia="Calibri" w:hAnsi="Cambria" w:cs="Calibri"/>
              </w:rPr>
              <w:t>ca</w:t>
            </w:r>
            <w:proofErr w:type="spellEnd"/>
          </w:p>
          <w:p w14:paraId="6DDB2F3A" w14:textId="77777777" w:rsidR="009138DB" w:rsidRPr="00886793" w:rsidRDefault="009138DB" w:rsidP="009138DB">
            <w:pPr>
              <w:spacing w:after="0" w:line="240" w:lineRule="atLeast"/>
              <w:jc w:val="both"/>
              <w:rPr>
                <w:rFonts w:ascii="Cambria" w:eastAsia="Calibri" w:hAnsi="Cambria" w:cs="Calibri"/>
              </w:rPr>
            </w:pPr>
            <w:proofErr w:type="spellStart"/>
            <w:r w:rsidRPr="00886793">
              <w:rPr>
                <w:rFonts w:ascii="Cambria" w:eastAsia="Calibri" w:hAnsi="Cambria" w:cs="Calibri"/>
              </w:rPr>
              <w:t>Suradnik</w:t>
            </w:r>
            <w:proofErr w:type="spellEnd"/>
          </w:p>
        </w:tc>
        <w:tc>
          <w:tcPr>
            <w:tcW w:w="6731"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CAFB909" w14:textId="77777777" w:rsidR="009138DB" w:rsidRPr="00886793" w:rsidRDefault="009138DB" w:rsidP="009138DB">
            <w:pPr>
              <w:spacing w:after="0" w:line="240" w:lineRule="atLeast"/>
              <w:jc w:val="both"/>
              <w:rPr>
                <w:rFonts w:ascii="Cambria" w:eastAsia="Calibri" w:hAnsi="Cambria" w:cs="Times New Roman"/>
              </w:rPr>
            </w:pPr>
            <w:hyperlink r:id="rId92" w:history="1">
              <w:r w:rsidRPr="00886793">
                <w:rPr>
                  <w:rStyle w:val="Hiperveza"/>
                  <w:rFonts w:ascii="Cambria" w:eastAsia="Calibri" w:hAnsi="Cambria" w:cs="Times New Roman"/>
                </w:rPr>
                <w:t>Prof. dr. sc. Iva Blažević</w:t>
              </w:r>
            </w:hyperlink>
            <w:r w:rsidRPr="00886793">
              <w:rPr>
                <w:rFonts w:ascii="Cambria" w:eastAsia="Calibri" w:hAnsi="Cambria" w:cs="Times New Roman"/>
              </w:rPr>
              <w:t xml:space="preserve"> (</w:t>
            </w:r>
            <w:proofErr w:type="spellStart"/>
            <w:r w:rsidRPr="00886793">
              <w:rPr>
                <w:rFonts w:ascii="Cambria" w:eastAsia="Calibri" w:hAnsi="Cambria" w:cs="Times New Roman"/>
              </w:rPr>
              <w:t>nositeljica</w:t>
            </w:r>
            <w:proofErr w:type="spellEnd"/>
            <w:r w:rsidRPr="00886793">
              <w:rPr>
                <w:rFonts w:ascii="Cambria" w:eastAsia="Calibri" w:hAnsi="Cambria" w:cs="Times New Roman"/>
              </w:rPr>
              <w:t xml:space="preserve">) </w:t>
            </w:r>
          </w:p>
          <w:p w14:paraId="4C5A5693" w14:textId="77777777" w:rsidR="009138DB" w:rsidRPr="00886793" w:rsidRDefault="009138DB" w:rsidP="009138DB">
            <w:pPr>
              <w:spacing w:after="0" w:line="240" w:lineRule="atLeast"/>
              <w:jc w:val="both"/>
              <w:rPr>
                <w:rFonts w:ascii="Cambria" w:eastAsia="Calibri" w:hAnsi="Cambria" w:cs="Times New Roman"/>
              </w:rPr>
            </w:pPr>
            <w:hyperlink r:id="rId93" w:history="1">
              <w:r w:rsidRPr="002B1E8D">
                <w:rPr>
                  <w:rStyle w:val="Hiperveza"/>
                  <w:rFonts w:ascii="Cambria" w:eastAsia="Calibri" w:hAnsi="Cambria" w:cs="Times New Roman"/>
                </w:rPr>
                <w:t>Dr. sc. Ivan Oreb, pred.</w:t>
              </w:r>
            </w:hyperlink>
          </w:p>
        </w:tc>
      </w:tr>
      <w:tr w:rsidR="009138DB" w:rsidRPr="00886793" w14:paraId="7881B55C" w14:textId="77777777" w:rsidTr="00587D5D">
        <w:tc>
          <w:tcPr>
            <w:tcW w:w="26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4342C71" w14:textId="77777777" w:rsidR="009138DB" w:rsidRPr="00886793" w:rsidRDefault="009138DB" w:rsidP="009138DB">
            <w:pPr>
              <w:spacing w:after="0" w:line="240" w:lineRule="atLeast"/>
              <w:jc w:val="both"/>
              <w:rPr>
                <w:rFonts w:ascii="Cambria" w:eastAsia="Calibri" w:hAnsi="Cambria" w:cs="Calibri"/>
              </w:rPr>
            </w:pPr>
            <w:proofErr w:type="spellStart"/>
            <w:r w:rsidRPr="00886793">
              <w:rPr>
                <w:rFonts w:ascii="Cambria" w:eastAsia="Calibri" w:hAnsi="Cambria" w:cs="Calibri"/>
              </w:rPr>
              <w:t>Studijski</w:t>
            </w:r>
            <w:proofErr w:type="spellEnd"/>
            <w:r w:rsidRPr="00886793">
              <w:rPr>
                <w:rFonts w:ascii="Cambria" w:eastAsia="Calibri" w:hAnsi="Cambria" w:cs="Calibri"/>
              </w:rPr>
              <w:t xml:space="preserve"> program</w:t>
            </w:r>
          </w:p>
        </w:tc>
        <w:tc>
          <w:tcPr>
            <w:tcW w:w="6731"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099D4B4" w14:textId="77777777" w:rsidR="009138DB" w:rsidRPr="00886793" w:rsidRDefault="009138DB" w:rsidP="009138DB">
            <w:pPr>
              <w:spacing w:after="0" w:line="240" w:lineRule="atLeast"/>
              <w:jc w:val="both"/>
              <w:rPr>
                <w:rFonts w:ascii="Cambria" w:eastAsia="Calibri" w:hAnsi="Cambria" w:cs="Calibri"/>
              </w:rPr>
            </w:pPr>
            <w:proofErr w:type="spellStart"/>
            <w:r w:rsidRPr="00886793">
              <w:rPr>
                <w:rFonts w:ascii="Cambria" w:eastAsia="Calibri" w:hAnsi="Cambria" w:cs="Times New Roman"/>
              </w:rPr>
              <w:t>Sveučilišni</w:t>
            </w:r>
            <w:proofErr w:type="spellEnd"/>
            <w:r w:rsidRPr="00886793">
              <w:rPr>
                <w:rFonts w:ascii="Cambria" w:eastAsia="Calibri" w:hAnsi="Cambria" w:cs="Times New Roman"/>
              </w:rPr>
              <w:t xml:space="preserve"> </w:t>
            </w:r>
            <w:proofErr w:type="spellStart"/>
            <w:r w:rsidRPr="00886793">
              <w:rPr>
                <w:rFonts w:ascii="Cambria" w:eastAsia="Calibri" w:hAnsi="Cambria" w:cs="Times New Roman"/>
              </w:rPr>
              <w:t>integrirani</w:t>
            </w:r>
            <w:proofErr w:type="spellEnd"/>
            <w:r w:rsidRPr="00886793">
              <w:rPr>
                <w:rFonts w:ascii="Cambria" w:eastAsia="Calibri" w:hAnsi="Cambria" w:cs="Times New Roman"/>
              </w:rPr>
              <w:t xml:space="preserve"> </w:t>
            </w:r>
            <w:proofErr w:type="spellStart"/>
            <w:r w:rsidRPr="00886793">
              <w:rPr>
                <w:rFonts w:ascii="Cambria" w:eastAsia="Calibri" w:hAnsi="Cambria" w:cs="Times New Roman"/>
              </w:rPr>
              <w:t>prijediplomski</w:t>
            </w:r>
            <w:proofErr w:type="spellEnd"/>
            <w:r w:rsidRPr="00886793">
              <w:rPr>
                <w:rFonts w:ascii="Cambria" w:eastAsia="Calibri" w:hAnsi="Cambria" w:cs="Times New Roman"/>
              </w:rPr>
              <w:t xml:space="preserve"> </w:t>
            </w:r>
            <w:proofErr w:type="spellStart"/>
            <w:r w:rsidRPr="00886793">
              <w:rPr>
                <w:rFonts w:ascii="Cambria" w:eastAsia="Calibri" w:hAnsi="Cambria" w:cs="Times New Roman"/>
              </w:rPr>
              <w:t>i</w:t>
            </w:r>
            <w:proofErr w:type="spellEnd"/>
            <w:r w:rsidRPr="00886793">
              <w:rPr>
                <w:rFonts w:ascii="Cambria" w:eastAsia="Calibri" w:hAnsi="Cambria" w:cs="Times New Roman"/>
              </w:rPr>
              <w:t xml:space="preserve"> </w:t>
            </w:r>
            <w:proofErr w:type="spellStart"/>
            <w:r w:rsidRPr="00886793">
              <w:rPr>
                <w:rFonts w:ascii="Cambria" w:eastAsia="Calibri" w:hAnsi="Cambria" w:cs="Times New Roman"/>
              </w:rPr>
              <w:t>diplomski</w:t>
            </w:r>
            <w:proofErr w:type="spellEnd"/>
            <w:r w:rsidRPr="00886793">
              <w:rPr>
                <w:rFonts w:ascii="Cambria" w:eastAsia="Calibri" w:hAnsi="Cambria" w:cs="Times New Roman"/>
              </w:rPr>
              <w:t xml:space="preserve"> </w:t>
            </w:r>
            <w:proofErr w:type="spellStart"/>
            <w:r w:rsidRPr="00886793">
              <w:rPr>
                <w:rFonts w:ascii="Cambria" w:eastAsia="Calibri" w:hAnsi="Cambria" w:cs="Times New Roman"/>
              </w:rPr>
              <w:t>Učiteljski</w:t>
            </w:r>
            <w:proofErr w:type="spellEnd"/>
            <w:r w:rsidRPr="00886793">
              <w:rPr>
                <w:rFonts w:ascii="Cambria" w:eastAsia="Calibri" w:hAnsi="Cambria" w:cs="Times New Roman"/>
              </w:rPr>
              <w:t xml:space="preserve"> </w:t>
            </w:r>
            <w:proofErr w:type="spellStart"/>
            <w:r w:rsidRPr="00886793">
              <w:rPr>
                <w:rFonts w:ascii="Cambria" w:eastAsia="Calibri" w:hAnsi="Cambria" w:cs="Times New Roman"/>
              </w:rPr>
              <w:t>studij</w:t>
            </w:r>
            <w:proofErr w:type="spellEnd"/>
            <w:r w:rsidRPr="00886793">
              <w:rPr>
                <w:rFonts w:ascii="Cambria" w:eastAsia="Calibri" w:hAnsi="Cambria" w:cs="Times New Roman"/>
              </w:rPr>
              <w:t xml:space="preserve"> </w:t>
            </w:r>
            <w:proofErr w:type="spellStart"/>
            <w:r w:rsidRPr="00886793">
              <w:rPr>
                <w:rFonts w:ascii="Cambria" w:eastAsia="Calibri" w:hAnsi="Cambria" w:cs="Times New Roman"/>
              </w:rPr>
              <w:t>na</w:t>
            </w:r>
            <w:proofErr w:type="spellEnd"/>
            <w:r w:rsidRPr="00886793">
              <w:rPr>
                <w:rFonts w:ascii="Cambria" w:eastAsia="Calibri" w:hAnsi="Cambria" w:cs="Times New Roman"/>
              </w:rPr>
              <w:t xml:space="preserve"> </w:t>
            </w:r>
            <w:proofErr w:type="spellStart"/>
            <w:r w:rsidRPr="00886793">
              <w:rPr>
                <w:rFonts w:ascii="Cambria" w:eastAsia="Calibri" w:hAnsi="Cambria" w:cs="Times New Roman"/>
              </w:rPr>
              <w:t>hrvatskom</w:t>
            </w:r>
            <w:proofErr w:type="spellEnd"/>
            <w:r w:rsidRPr="00886793">
              <w:rPr>
                <w:rFonts w:ascii="Cambria" w:eastAsia="Calibri" w:hAnsi="Cambria" w:cs="Times New Roman"/>
              </w:rPr>
              <w:t xml:space="preserve"> </w:t>
            </w:r>
            <w:proofErr w:type="spellStart"/>
            <w:r w:rsidRPr="00886793">
              <w:rPr>
                <w:rFonts w:ascii="Cambria" w:eastAsia="Calibri" w:hAnsi="Cambria" w:cs="Times New Roman"/>
              </w:rPr>
              <w:t>jeziku</w:t>
            </w:r>
            <w:proofErr w:type="spellEnd"/>
          </w:p>
        </w:tc>
      </w:tr>
      <w:tr w:rsidR="009138DB" w:rsidRPr="00886793" w14:paraId="3EC40965" w14:textId="77777777" w:rsidTr="00587D5D">
        <w:tc>
          <w:tcPr>
            <w:tcW w:w="26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3177E90" w14:textId="77777777" w:rsidR="009138DB" w:rsidRPr="00886793" w:rsidRDefault="009138DB" w:rsidP="009138DB">
            <w:pPr>
              <w:spacing w:after="0" w:line="240" w:lineRule="atLeast"/>
              <w:jc w:val="both"/>
              <w:rPr>
                <w:rFonts w:ascii="Cambria" w:eastAsia="Calibri" w:hAnsi="Cambria" w:cs="Calibri"/>
              </w:rPr>
            </w:pPr>
            <w:proofErr w:type="spellStart"/>
            <w:r w:rsidRPr="00886793">
              <w:rPr>
                <w:rFonts w:ascii="Cambria" w:eastAsia="Calibri" w:hAnsi="Cambria" w:cs="Calibri"/>
              </w:rPr>
              <w:t>Vrsta</w:t>
            </w:r>
            <w:proofErr w:type="spellEnd"/>
            <w:r w:rsidRPr="00886793">
              <w:rPr>
                <w:rFonts w:ascii="Cambria" w:eastAsia="Calibri" w:hAnsi="Cambria" w:cs="Calibri"/>
              </w:rPr>
              <w:t xml:space="preserve"> </w:t>
            </w:r>
            <w:proofErr w:type="spellStart"/>
            <w:r w:rsidRPr="00886793">
              <w:rPr>
                <w:rFonts w:ascii="Cambria" w:eastAsia="Calibri" w:hAnsi="Cambria" w:cs="Calibri"/>
              </w:rPr>
              <w:t>kolegija</w:t>
            </w:r>
            <w:proofErr w:type="spellEnd"/>
          </w:p>
        </w:tc>
        <w:tc>
          <w:tcPr>
            <w:tcW w:w="249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75F22C4" w14:textId="77777777" w:rsidR="009138DB" w:rsidRPr="00886793" w:rsidRDefault="009138DB" w:rsidP="009138DB">
            <w:pPr>
              <w:spacing w:after="0" w:line="240" w:lineRule="atLeast"/>
              <w:jc w:val="both"/>
              <w:rPr>
                <w:rFonts w:ascii="Cambria" w:eastAsia="Calibri" w:hAnsi="Cambria" w:cs="Calibri"/>
              </w:rPr>
            </w:pPr>
            <w:proofErr w:type="spellStart"/>
            <w:r w:rsidRPr="00886793">
              <w:rPr>
                <w:rFonts w:ascii="Cambria" w:eastAsia="Calibri" w:hAnsi="Cambria" w:cs="Calibri"/>
              </w:rPr>
              <w:t>Obvezan</w:t>
            </w:r>
            <w:proofErr w:type="spellEnd"/>
          </w:p>
        </w:tc>
        <w:tc>
          <w:tcPr>
            <w:tcW w:w="1465"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77C5ABD7" w14:textId="77777777" w:rsidR="009138DB" w:rsidRPr="00886793" w:rsidRDefault="009138DB" w:rsidP="009138DB">
            <w:pPr>
              <w:spacing w:after="0" w:line="240" w:lineRule="atLeast"/>
              <w:jc w:val="both"/>
              <w:rPr>
                <w:rFonts w:ascii="Cambria" w:eastAsia="Calibri" w:hAnsi="Cambria" w:cs="Calibri"/>
              </w:rPr>
            </w:pPr>
            <w:r w:rsidRPr="00886793">
              <w:rPr>
                <w:rFonts w:ascii="Cambria" w:eastAsia="Calibri" w:hAnsi="Cambria" w:cs="Calibri"/>
              </w:rPr>
              <w:t xml:space="preserve">Razina </w:t>
            </w:r>
            <w:proofErr w:type="spellStart"/>
            <w:r w:rsidRPr="00886793">
              <w:rPr>
                <w:rFonts w:ascii="Cambria" w:eastAsia="Calibri" w:hAnsi="Cambria" w:cs="Calibri"/>
              </w:rPr>
              <w:t>kolegija</w:t>
            </w:r>
            <w:proofErr w:type="spellEnd"/>
          </w:p>
        </w:tc>
        <w:tc>
          <w:tcPr>
            <w:tcW w:w="2773"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55E53DC" w14:textId="77777777" w:rsidR="009138DB" w:rsidRPr="00886793" w:rsidRDefault="009138DB" w:rsidP="009138DB">
            <w:pPr>
              <w:spacing w:after="0" w:line="240" w:lineRule="atLeast"/>
              <w:jc w:val="both"/>
              <w:rPr>
                <w:rFonts w:ascii="Cambria" w:eastAsia="Calibri" w:hAnsi="Cambria" w:cs="Calibri"/>
              </w:rPr>
            </w:pPr>
            <w:proofErr w:type="spellStart"/>
            <w:r w:rsidRPr="00886793">
              <w:rPr>
                <w:rFonts w:ascii="Cambria" w:eastAsia="Calibri" w:hAnsi="Cambria" w:cs="Calibri"/>
              </w:rPr>
              <w:t>integrirani</w:t>
            </w:r>
            <w:proofErr w:type="spellEnd"/>
          </w:p>
        </w:tc>
      </w:tr>
      <w:tr w:rsidR="009138DB" w:rsidRPr="00886793" w14:paraId="4C091E58" w14:textId="77777777" w:rsidTr="00587D5D">
        <w:tc>
          <w:tcPr>
            <w:tcW w:w="26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1A945E1" w14:textId="77777777" w:rsidR="009138DB" w:rsidRPr="00886793" w:rsidRDefault="009138DB" w:rsidP="009138DB">
            <w:pPr>
              <w:spacing w:after="0" w:line="240" w:lineRule="atLeast"/>
              <w:jc w:val="both"/>
              <w:rPr>
                <w:rFonts w:ascii="Cambria" w:eastAsia="Calibri" w:hAnsi="Cambria" w:cs="Calibri"/>
              </w:rPr>
            </w:pPr>
            <w:proofErr w:type="spellStart"/>
            <w:r w:rsidRPr="00886793">
              <w:rPr>
                <w:rFonts w:ascii="Cambria" w:eastAsia="Calibri" w:hAnsi="Cambria" w:cs="Calibri"/>
              </w:rPr>
              <w:t>Semestar</w:t>
            </w:r>
            <w:proofErr w:type="spellEnd"/>
          </w:p>
        </w:tc>
        <w:tc>
          <w:tcPr>
            <w:tcW w:w="249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5EA8894" w14:textId="77777777" w:rsidR="009138DB" w:rsidRPr="00886793" w:rsidRDefault="009138DB" w:rsidP="009138DB">
            <w:pPr>
              <w:spacing w:after="0" w:line="240" w:lineRule="atLeast"/>
              <w:jc w:val="both"/>
              <w:rPr>
                <w:rFonts w:ascii="Cambria" w:eastAsia="Calibri" w:hAnsi="Cambria" w:cs="Calibri"/>
              </w:rPr>
            </w:pPr>
            <w:proofErr w:type="spellStart"/>
            <w:r w:rsidRPr="00886793">
              <w:rPr>
                <w:rFonts w:ascii="Cambria" w:eastAsia="Calibri" w:hAnsi="Cambria" w:cs="Calibri"/>
              </w:rPr>
              <w:t>ljetni</w:t>
            </w:r>
            <w:proofErr w:type="spellEnd"/>
          </w:p>
        </w:tc>
        <w:tc>
          <w:tcPr>
            <w:tcW w:w="1465"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21866651" w14:textId="77777777" w:rsidR="009138DB" w:rsidRPr="00886793" w:rsidRDefault="009138DB" w:rsidP="009138DB">
            <w:pPr>
              <w:spacing w:after="0" w:line="240" w:lineRule="atLeast"/>
              <w:jc w:val="both"/>
              <w:rPr>
                <w:rFonts w:ascii="Cambria" w:eastAsia="Calibri" w:hAnsi="Cambria" w:cs="Calibri"/>
              </w:rPr>
            </w:pPr>
            <w:r w:rsidRPr="00886793">
              <w:rPr>
                <w:rFonts w:ascii="Cambria" w:eastAsia="Calibri" w:hAnsi="Cambria" w:cs="Calibri"/>
              </w:rPr>
              <w:t xml:space="preserve">Godina </w:t>
            </w:r>
            <w:proofErr w:type="spellStart"/>
            <w:r w:rsidRPr="00886793">
              <w:rPr>
                <w:rFonts w:ascii="Cambria" w:eastAsia="Calibri" w:hAnsi="Cambria" w:cs="Calibri"/>
              </w:rPr>
              <w:t>studija</w:t>
            </w:r>
            <w:proofErr w:type="spellEnd"/>
          </w:p>
        </w:tc>
        <w:tc>
          <w:tcPr>
            <w:tcW w:w="2773"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C0FFA7B" w14:textId="77777777" w:rsidR="009138DB" w:rsidRPr="00886793" w:rsidRDefault="009138DB" w:rsidP="009138DB">
            <w:pPr>
              <w:spacing w:after="0" w:line="240" w:lineRule="atLeast"/>
              <w:jc w:val="both"/>
              <w:rPr>
                <w:rFonts w:ascii="Cambria" w:eastAsia="Calibri" w:hAnsi="Cambria" w:cs="Calibri"/>
              </w:rPr>
            </w:pPr>
            <w:r w:rsidRPr="00886793">
              <w:rPr>
                <w:rFonts w:ascii="Cambria" w:eastAsia="Calibri" w:hAnsi="Cambria" w:cs="Calibri"/>
              </w:rPr>
              <w:t>III.</w:t>
            </w:r>
          </w:p>
        </w:tc>
      </w:tr>
      <w:tr w:rsidR="009138DB" w:rsidRPr="00886793" w14:paraId="6AB73F49" w14:textId="77777777" w:rsidTr="00587D5D">
        <w:tc>
          <w:tcPr>
            <w:tcW w:w="26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4DDF1C2" w14:textId="77777777" w:rsidR="009138DB" w:rsidRPr="00886793" w:rsidRDefault="009138DB" w:rsidP="009138DB">
            <w:pPr>
              <w:spacing w:after="0" w:line="240" w:lineRule="atLeast"/>
              <w:jc w:val="both"/>
              <w:rPr>
                <w:rFonts w:ascii="Cambria" w:eastAsia="Calibri" w:hAnsi="Cambria" w:cs="Calibri"/>
              </w:rPr>
            </w:pPr>
            <w:proofErr w:type="spellStart"/>
            <w:r w:rsidRPr="00886793">
              <w:rPr>
                <w:rFonts w:ascii="Cambria" w:eastAsia="Calibri" w:hAnsi="Cambria" w:cs="Calibri"/>
              </w:rPr>
              <w:t>Mjesto</w:t>
            </w:r>
            <w:proofErr w:type="spellEnd"/>
            <w:r w:rsidRPr="00886793">
              <w:rPr>
                <w:rFonts w:ascii="Cambria" w:eastAsia="Calibri" w:hAnsi="Cambria" w:cs="Calibri"/>
              </w:rPr>
              <w:t xml:space="preserve"> </w:t>
            </w:r>
            <w:proofErr w:type="spellStart"/>
            <w:r w:rsidRPr="00886793">
              <w:rPr>
                <w:rFonts w:ascii="Cambria" w:eastAsia="Calibri" w:hAnsi="Cambria" w:cs="Calibri"/>
              </w:rPr>
              <w:t>izvođenja</w:t>
            </w:r>
            <w:proofErr w:type="spellEnd"/>
          </w:p>
        </w:tc>
        <w:tc>
          <w:tcPr>
            <w:tcW w:w="249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1906683" w14:textId="77777777" w:rsidR="009138DB" w:rsidRPr="00886793" w:rsidRDefault="009138DB" w:rsidP="009138DB">
            <w:pPr>
              <w:spacing w:after="0" w:line="240" w:lineRule="atLeast"/>
              <w:rPr>
                <w:rFonts w:ascii="Cambria" w:eastAsia="Calibri" w:hAnsi="Cambria" w:cs="Calibri"/>
                <w:lang w:val="it-IT"/>
              </w:rPr>
            </w:pPr>
            <w:proofErr w:type="spellStart"/>
            <w:r w:rsidRPr="00886793">
              <w:rPr>
                <w:rFonts w:ascii="Cambria" w:eastAsia="Calibri" w:hAnsi="Cambria" w:cs="Calibri"/>
                <w:lang w:val="it-IT"/>
              </w:rPr>
              <w:t>dvorana</w:t>
            </w:r>
            <w:proofErr w:type="spellEnd"/>
            <w:r w:rsidRPr="00886793">
              <w:rPr>
                <w:rFonts w:ascii="Cambria" w:eastAsia="Calibri" w:hAnsi="Cambria" w:cs="Calibri"/>
                <w:lang w:val="it-IT"/>
              </w:rPr>
              <w:t xml:space="preserve"> i </w:t>
            </w:r>
            <w:proofErr w:type="spellStart"/>
            <w:r w:rsidRPr="00886793">
              <w:rPr>
                <w:rFonts w:ascii="Cambria" w:eastAsia="Calibri" w:hAnsi="Cambria" w:cs="Calibri"/>
                <w:lang w:val="it-IT"/>
              </w:rPr>
              <w:t>sportska</w:t>
            </w:r>
            <w:proofErr w:type="spellEnd"/>
            <w:r w:rsidRPr="00886793">
              <w:rPr>
                <w:rFonts w:ascii="Cambria" w:eastAsia="Calibri" w:hAnsi="Cambria" w:cs="Calibri"/>
                <w:lang w:val="it-IT"/>
              </w:rPr>
              <w:t xml:space="preserve"> </w:t>
            </w:r>
            <w:proofErr w:type="spellStart"/>
            <w:r w:rsidRPr="00886793">
              <w:rPr>
                <w:rFonts w:ascii="Cambria" w:eastAsia="Calibri" w:hAnsi="Cambria" w:cs="Calibri"/>
                <w:lang w:val="it-IT"/>
              </w:rPr>
              <w:t>dvorana</w:t>
            </w:r>
            <w:proofErr w:type="spellEnd"/>
          </w:p>
        </w:tc>
        <w:tc>
          <w:tcPr>
            <w:tcW w:w="1465"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3BB96A8F" w14:textId="77777777" w:rsidR="009138DB" w:rsidRPr="00886793" w:rsidRDefault="009138DB" w:rsidP="009138DB">
            <w:pPr>
              <w:spacing w:after="0" w:line="240" w:lineRule="atLeast"/>
              <w:jc w:val="both"/>
              <w:rPr>
                <w:rFonts w:ascii="Cambria" w:eastAsia="Calibri" w:hAnsi="Cambria" w:cs="Calibri"/>
              </w:rPr>
            </w:pPr>
            <w:r w:rsidRPr="00886793">
              <w:rPr>
                <w:rFonts w:ascii="Cambria" w:eastAsia="Calibri" w:hAnsi="Cambria" w:cs="Calibri"/>
              </w:rPr>
              <w:t xml:space="preserve">Jezik </w:t>
            </w:r>
            <w:proofErr w:type="spellStart"/>
            <w:r w:rsidRPr="00886793">
              <w:rPr>
                <w:rFonts w:ascii="Cambria" w:eastAsia="Calibri" w:hAnsi="Cambria" w:cs="Calibri"/>
              </w:rPr>
              <w:t>izvođenja</w:t>
            </w:r>
            <w:proofErr w:type="spellEnd"/>
            <w:r w:rsidRPr="00886793">
              <w:rPr>
                <w:rFonts w:ascii="Cambria" w:eastAsia="Calibri" w:hAnsi="Cambria" w:cs="Calibri"/>
              </w:rPr>
              <w:t xml:space="preserve"> </w:t>
            </w:r>
          </w:p>
        </w:tc>
        <w:tc>
          <w:tcPr>
            <w:tcW w:w="2773"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339C7EA" w14:textId="77777777" w:rsidR="009138DB" w:rsidRPr="00886793" w:rsidRDefault="009138DB" w:rsidP="009138DB">
            <w:pPr>
              <w:spacing w:after="0" w:line="240" w:lineRule="atLeast"/>
              <w:jc w:val="both"/>
              <w:rPr>
                <w:rFonts w:ascii="Cambria" w:eastAsia="Calibri" w:hAnsi="Cambria" w:cs="Calibri"/>
              </w:rPr>
            </w:pPr>
            <w:proofErr w:type="spellStart"/>
            <w:r w:rsidRPr="00886793">
              <w:rPr>
                <w:rFonts w:ascii="Cambria" w:eastAsia="Calibri" w:hAnsi="Cambria" w:cs="Calibri"/>
              </w:rPr>
              <w:t>hrvatski</w:t>
            </w:r>
            <w:proofErr w:type="spellEnd"/>
            <w:r w:rsidRPr="00886793">
              <w:rPr>
                <w:rFonts w:ascii="Cambria" w:eastAsia="Calibri" w:hAnsi="Cambria" w:cs="Calibri"/>
              </w:rPr>
              <w:t xml:space="preserve"> (</w:t>
            </w:r>
            <w:proofErr w:type="spellStart"/>
            <w:r w:rsidRPr="00886793">
              <w:rPr>
                <w:rFonts w:ascii="Cambria" w:eastAsia="Calibri" w:hAnsi="Cambria" w:cs="Calibri"/>
              </w:rPr>
              <w:t>engleski</w:t>
            </w:r>
            <w:proofErr w:type="spellEnd"/>
            <w:r w:rsidRPr="00886793">
              <w:rPr>
                <w:rFonts w:ascii="Cambria" w:eastAsia="Calibri" w:hAnsi="Cambria" w:cs="Calibri"/>
              </w:rPr>
              <w:t>)</w:t>
            </w:r>
          </w:p>
        </w:tc>
      </w:tr>
      <w:tr w:rsidR="009138DB" w:rsidRPr="00886793" w14:paraId="0957191D" w14:textId="77777777" w:rsidTr="00587D5D">
        <w:tc>
          <w:tcPr>
            <w:tcW w:w="26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303C736" w14:textId="77777777" w:rsidR="009138DB" w:rsidRPr="00886793" w:rsidRDefault="009138DB" w:rsidP="009138DB">
            <w:pPr>
              <w:spacing w:after="0" w:line="240" w:lineRule="atLeast"/>
              <w:jc w:val="both"/>
              <w:rPr>
                <w:rFonts w:ascii="Cambria" w:eastAsia="Calibri" w:hAnsi="Cambria" w:cs="Calibri"/>
              </w:rPr>
            </w:pPr>
            <w:proofErr w:type="spellStart"/>
            <w:r w:rsidRPr="00886793">
              <w:rPr>
                <w:rFonts w:ascii="Cambria" w:eastAsia="Calibri" w:hAnsi="Cambria" w:cs="Calibri"/>
              </w:rPr>
              <w:t>Broj</w:t>
            </w:r>
            <w:proofErr w:type="spellEnd"/>
            <w:r w:rsidRPr="00886793">
              <w:rPr>
                <w:rFonts w:ascii="Cambria" w:eastAsia="Calibri" w:hAnsi="Cambria" w:cs="Calibri"/>
              </w:rPr>
              <w:t xml:space="preserve"> ECTS </w:t>
            </w:r>
            <w:proofErr w:type="spellStart"/>
            <w:r w:rsidRPr="00886793">
              <w:rPr>
                <w:rFonts w:ascii="Cambria" w:eastAsia="Calibri" w:hAnsi="Cambria" w:cs="Calibri"/>
              </w:rPr>
              <w:t>bodova</w:t>
            </w:r>
            <w:proofErr w:type="spellEnd"/>
          </w:p>
        </w:tc>
        <w:tc>
          <w:tcPr>
            <w:tcW w:w="249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2FE277B" w14:textId="77777777" w:rsidR="009138DB" w:rsidRPr="00886793" w:rsidRDefault="009138DB" w:rsidP="009138DB">
            <w:pPr>
              <w:spacing w:after="0" w:line="240" w:lineRule="atLeast"/>
              <w:jc w:val="both"/>
              <w:rPr>
                <w:rFonts w:ascii="Cambria" w:eastAsia="Calibri" w:hAnsi="Cambria" w:cs="Calibri"/>
              </w:rPr>
            </w:pPr>
            <w:r w:rsidRPr="00886793">
              <w:rPr>
                <w:rFonts w:ascii="Cambria" w:eastAsia="Calibri" w:hAnsi="Cambria" w:cs="Calibri"/>
              </w:rPr>
              <w:t>4</w:t>
            </w:r>
          </w:p>
        </w:tc>
        <w:tc>
          <w:tcPr>
            <w:tcW w:w="1465"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3B3D4A63" w14:textId="77777777" w:rsidR="009138DB" w:rsidRPr="00886793" w:rsidRDefault="009138DB" w:rsidP="009138DB">
            <w:pPr>
              <w:spacing w:after="0" w:line="240" w:lineRule="atLeast"/>
              <w:jc w:val="both"/>
              <w:rPr>
                <w:rFonts w:ascii="Cambria" w:eastAsia="Calibri" w:hAnsi="Cambria" w:cs="Calibri"/>
              </w:rPr>
            </w:pPr>
            <w:proofErr w:type="spellStart"/>
            <w:r w:rsidRPr="00886793">
              <w:rPr>
                <w:rFonts w:ascii="Cambria" w:eastAsia="Calibri" w:hAnsi="Cambria" w:cs="Calibri"/>
              </w:rPr>
              <w:t>Broj</w:t>
            </w:r>
            <w:proofErr w:type="spellEnd"/>
            <w:r w:rsidRPr="00886793">
              <w:rPr>
                <w:rFonts w:ascii="Cambria" w:eastAsia="Calibri" w:hAnsi="Cambria" w:cs="Calibri"/>
              </w:rPr>
              <w:t xml:space="preserve"> sati u </w:t>
            </w:r>
            <w:proofErr w:type="spellStart"/>
            <w:r w:rsidRPr="00886793">
              <w:rPr>
                <w:rFonts w:ascii="Cambria" w:eastAsia="Calibri" w:hAnsi="Cambria" w:cs="Calibri"/>
              </w:rPr>
              <w:t>semestru</w:t>
            </w:r>
            <w:proofErr w:type="spellEnd"/>
          </w:p>
        </w:tc>
        <w:tc>
          <w:tcPr>
            <w:tcW w:w="2773"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95B945A" w14:textId="06D54879" w:rsidR="009138DB" w:rsidRPr="00886793" w:rsidRDefault="009138DB" w:rsidP="009138DB">
            <w:pPr>
              <w:spacing w:after="0" w:line="240" w:lineRule="atLeast"/>
              <w:jc w:val="both"/>
              <w:rPr>
                <w:rFonts w:ascii="Cambria" w:eastAsia="Calibri" w:hAnsi="Cambria" w:cs="Calibri"/>
              </w:rPr>
            </w:pPr>
            <w:r>
              <w:rPr>
                <w:rFonts w:ascii="Cambria" w:eastAsia="Calibri" w:hAnsi="Cambria" w:cs="Calibri"/>
              </w:rPr>
              <w:t>15</w:t>
            </w:r>
            <w:r w:rsidRPr="00886793">
              <w:rPr>
                <w:rFonts w:ascii="Cambria" w:eastAsia="Calibri" w:hAnsi="Cambria" w:cs="Calibri"/>
              </w:rPr>
              <w:t>P – 15</w:t>
            </w:r>
            <w:r>
              <w:rPr>
                <w:rFonts w:ascii="Cambria" w:eastAsia="Calibri" w:hAnsi="Cambria" w:cs="Calibri"/>
              </w:rPr>
              <w:t>S</w:t>
            </w:r>
            <w:r w:rsidRPr="00886793">
              <w:rPr>
                <w:rFonts w:ascii="Cambria" w:eastAsia="Calibri" w:hAnsi="Cambria" w:cs="Calibri"/>
              </w:rPr>
              <w:t xml:space="preserve"> – 15</w:t>
            </w:r>
            <w:r>
              <w:rPr>
                <w:rFonts w:ascii="Cambria" w:eastAsia="Calibri" w:hAnsi="Cambria" w:cs="Calibri"/>
              </w:rPr>
              <w:t>V</w:t>
            </w:r>
          </w:p>
        </w:tc>
      </w:tr>
      <w:tr w:rsidR="009138DB" w:rsidRPr="00886793" w14:paraId="1DDCD493" w14:textId="77777777" w:rsidTr="00587D5D">
        <w:tc>
          <w:tcPr>
            <w:tcW w:w="26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D6B2DE5" w14:textId="77777777" w:rsidR="009138DB" w:rsidRPr="00886793" w:rsidRDefault="009138DB" w:rsidP="009138DB">
            <w:pPr>
              <w:spacing w:after="0" w:line="240" w:lineRule="atLeast"/>
              <w:jc w:val="both"/>
              <w:rPr>
                <w:rFonts w:ascii="Cambria" w:eastAsia="Calibri" w:hAnsi="Cambria" w:cs="Calibri"/>
                <w:lang w:val="it-IT"/>
              </w:rPr>
            </w:pPr>
            <w:proofErr w:type="spellStart"/>
            <w:r w:rsidRPr="00886793">
              <w:rPr>
                <w:rFonts w:ascii="Cambria" w:eastAsia="Calibri" w:hAnsi="Cambria" w:cs="Calibri"/>
                <w:lang w:val="it-IT"/>
              </w:rPr>
              <w:t>Preduvjeti</w:t>
            </w:r>
            <w:proofErr w:type="spellEnd"/>
            <w:r w:rsidRPr="00886793">
              <w:rPr>
                <w:rFonts w:ascii="Cambria" w:eastAsia="Calibri" w:hAnsi="Cambria" w:cs="Calibri"/>
                <w:lang w:val="it-IT"/>
              </w:rPr>
              <w:t xml:space="preserve"> za </w:t>
            </w:r>
            <w:proofErr w:type="spellStart"/>
            <w:r w:rsidRPr="00886793">
              <w:rPr>
                <w:rFonts w:ascii="Cambria" w:eastAsia="Calibri" w:hAnsi="Cambria" w:cs="Calibri"/>
                <w:lang w:val="it-IT"/>
              </w:rPr>
              <w:t>upis</w:t>
            </w:r>
            <w:proofErr w:type="spellEnd"/>
            <w:r w:rsidRPr="00886793">
              <w:rPr>
                <w:rFonts w:ascii="Cambria" w:eastAsia="Calibri" w:hAnsi="Cambria" w:cs="Calibri"/>
                <w:lang w:val="it-IT"/>
              </w:rPr>
              <w:t xml:space="preserve"> i za </w:t>
            </w:r>
            <w:proofErr w:type="spellStart"/>
            <w:r w:rsidRPr="00886793">
              <w:rPr>
                <w:rFonts w:ascii="Cambria" w:eastAsia="Calibri" w:hAnsi="Cambria" w:cs="Calibri"/>
                <w:lang w:val="it-IT"/>
              </w:rPr>
              <w:t>svladavanje</w:t>
            </w:r>
            <w:proofErr w:type="spellEnd"/>
          </w:p>
        </w:tc>
        <w:tc>
          <w:tcPr>
            <w:tcW w:w="6731"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3CCAB85" w14:textId="77777777" w:rsidR="009138DB" w:rsidRPr="00886793" w:rsidRDefault="009138DB" w:rsidP="009138DB">
            <w:pPr>
              <w:spacing w:after="0" w:line="240" w:lineRule="atLeast"/>
              <w:jc w:val="both"/>
              <w:rPr>
                <w:rFonts w:ascii="Cambria" w:eastAsia="Calibri" w:hAnsi="Cambria" w:cs="Calibri"/>
              </w:rPr>
            </w:pPr>
            <w:r w:rsidRPr="00886793">
              <w:rPr>
                <w:rFonts w:ascii="Cambria" w:eastAsia="Calibri" w:hAnsi="Cambria" w:cs="Calibri"/>
              </w:rPr>
              <w:t xml:space="preserve">Nema </w:t>
            </w:r>
            <w:proofErr w:type="spellStart"/>
            <w:r w:rsidRPr="00886793">
              <w:rPr>
                <w:rFonts w:ascii="Cambria" w:eastAsia="Calibri" w:hAnsi="Cambria" w:cs="Calibri"/>
              </w:rPr>
              <w:t>preduvjeta</w:t>
            </w:r>
            <w:proofErr w:type="spellEnd"/>
            <w:r w:rsidRPr="00886793">
              <w:rPr>
                <w:rFonts w:ascii="Cambria" w:eastAsia="Calibri" w:hAnsi="Cambria" w:cs="Calibri"/>
              </w:rPr>
              <w:t>.</w:t>
            </w:r>
          </w:p>
        </w:tc>
      </w:tr>
      <w:tr w:rsidR="009138DB" w:rsidRPr="00886793" w14:paraId="341F4D19" w14:textId="77777777" w:rsidTr="00587D5D">
        <w:tc>
          <w:tcPr>
            <w:tcW w:w="26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BD3DB47" w14:textId="77777777" w:rsidR="009138DB" w:rsidRPr="00886793" w:rsidRDefault="009138DB" w:rsidP="009138DB">
            <w:pPr>
              <w:spacing w:after="0" w:line="240" w:lineRule="atLeast"/>
              <w:jc w:val="both"/>
              <w:rPr>
                <w:rFonts w:ascii="Cambria" w:eastAsia="Calibri" w:hAnsi="Cambria" w:cs="Calibri"/>
              </w:rPr>
            </w:pPr>
            <w:proofErr w:type="spellStart"/>
            <w:r w:rsidRPr="00886793">
              <w:rPr>
                <w:rFonts w:ascii="Cambria" w:eastAsia="Calibri" w:hAnsi="Cambria" w:cs="Calibri"/>
              </w:rPr>
              <w:t>Korelativnost</w:t>
            </w:r>
            <w:proofErr w:type="spellEnd"/>
          </w:p>
        </w:tc>
        <w:tc>
          <w:tcPr>
            <w:tcW w:w="6731"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98FFE65" w14:textId="77777777" w:rsidR="009138DB" w:rsidRPr="00886793" w:rsidRDefault="009138DB" w:rsidP="009138DB">
            <w:pPr>
              <w:spacing w:after="0" w:line="240" w:lineRule="atLeast"/>
              <w:jc w:val="both"/>
              <w:rPr>
                <w:rFonts w:ascii="Cambria" w:eastAsia="Calibri" w:hAnsi="Cambria" w:cs="Calibri"/>
              </w:rPr>
            </w:pPr>
            <w:r w:rsidRPr="00886793">
              <w:rPr>
                <w:rFonts w:ascii="Cambria" w:eastAsia="Calibri" w:hAnsi="Cambria" w:cs="Calibri"/>
                <w:lang w:val="pl-PL"/>
              </w:rPr>
              <w:t>Kineziološka kultura, Kineziološka metodika, Pedagogija, Didaktika, Sociologija obrazovanja, Razvojna psihologija, Edukacijska psihologija, Socijalna pedagogija, Istraživanje odgoja i obrazovanja</w:t>
            </w:r>
          </w:p>
        </w:tc>
      </w:tr>
      <w:tr w:rsidR="009138DB" w:rsidRPr="00886793" w14:paraId="4DE3F4D9" w14:textId="77777777" w:rsidTr="00587D5D">
        <w:tc>
          <w:tcPr>
            <w:tcW w:w="26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FDD7AD8" w14:textId="77777777" w:rsidR="009138DB" w:rsidRPr="00886793" w:rsidRDefault="009138DB" w:rsidP="009138DB">
            <w:pPr>
              <w:spacing w:after="0" w:line="240" w:lineRule="atLeast"/>
              <w:jc w:val="both"/>
              <w:rPr>
                <w:rFonts w:ascii="Cambria" w:eastAsia="Calibri" w:hAnsi="Cambria" w:cs="Calibri"/>
              </w:rPr>
            </w:pPr>
            <w:proofErr w:type="spellStart"/>
            <w:r w:rsidRPr="00886793">
              <w:rPr>
                <w:rFonts w:ascii="Cambria" w:eastAsia="Calibri" w:hAnsi="Cambria" w:cs="Calibri"/>
              </w:rPr>
              <w:t>Cilj</w:t>
            </w:r>
            <w:proofErr w:type="spellEnd"/>
            <w:r w:rsidRPr="00886793">
              <w:rPr>
                <w:rFonts w:ascii="Cambria" w:eastAsia="Calibri" w:hAnsi="Cambria" w:cs="Calibri"/>
              </w:rPr>
              <w:t xml:space="preserve"> </w:t>
            </w:r>
            <w:proofErr w:type="spellStart"/>
            <w:r w:rsidRPr="00886793">
              <w:rPr>
                <w:rFonts w:ascii="Cambria" w:eastAsia="Calibri" w:hAnsi="Cambria" w:cs="Calibri"/>
              </w:rPr>
              <w:t>kolegija</w:t>
            </w:r>
            <w:proofErr w:type="spellEnd"/>
            <w:r w:rsidRPr="00886793">
              <w:rPr>
                <w:rFonts w:ascii="Cambria" w:eastAsia="Calibri" w:hAnsi="Cambria" w:cs="Calibri"/>
              </w:rPr>
              <w:t xml:space="preserve"> </w:t>
            </w:r>
          </w:p>
        </w:tc>
        <w:tc>
          <w:tcPr>
            <w:tcW w:w="6731"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EBE843D" w14:textId="77777777" w:rsidR="009138DB" w:rsidRPr="00886793" w:rsidRDefault="009138DB" w:rsidP="009138DB">
            <w:pPr>
              <w:spacing w:after="0" w:line="240" w:lineRule="atLeast"/>
              <w:jc w:val="both"/>
              <w:rPr>
                <w:rFonts w:ascii="Cambria" w:eastAsia="Calibri" w:hAnsi="Cambria" w:cs="Calibri"/>
              </w:rPr>
            </w:pPr>
            <w:proofErr w:type="spellStart"/>
            <w:r w:rsidRPr="00886793">
              <w:rPr>
                <w:rFonts w:ascii="Cambria" w:eastAsia="Calibri" w:hAnsi="Cambria" w:cs="Calibri"/>
              </w:rPr>
              <w:t>Usvojiti</w:t>
            </w:r>
            <w:proofErr w:type="spellEnd"/>
            <w:r w:rsidRPr="00886793">
              <w:rPr>
                <w:rFonts w:ascii="Cambria" w:eastAsia="Calibri" w:hAnsi="Cambria" w:cs="Calibri"/>
              </w:rPr>
              <w:t xml:space="preserve"> </w:t>
            </w:r>
            <w:proofErr w:type="spellStart"/>
            <w:r w:rsidRPr="00886793">
              <w:rPr>
                <w:rFonts w:ascii="Cambria" w:eastAsia="Calibri" w:hAnsi="Cambria" w:cs="Calibri"/>
              </w:rPr>
              <w:t>osnovne</w:t>
            </w:r>
            <w:proofErr w:type="spellEnd"/>
            <w:r w:rsidRPr="00886793">
              <w:rPr>
                <w:rFonts w:ascii="Cambria" w:eastAsia="Calibri" w:hAnsi="Cambria" w:cs="Calibri"/>
              </w:rPr>
              <w:t xml:space="preserve"> </w:t>
            </w:r>
            <w:proofErr w:type="spellStart"/>
            <w:r w:rsidRPr="00886793">
              <w:rPr>
                <w:rFonts w:ascii="Cambria" w:eastAsia="Calibri" w:hAnsi="Cambria" w:cs="Calibri"/>
              </w:rPr>
              <w:t>kineziološke</w:t>
            </w:r>
            <w:proofErr w:type="spellEnd"/>
            <w:r w:rsidRPr="00886793">
              <w:rPr>
                <w:rFonts w:ascii="Cambria" w:eastAsia="Calibri" w:hAnsi="Cambria" w:cs="Calibri"/>
              </w:rPr>
              <w:t xml:space="preserve"> </w:t>
            </w:r>
            <w:proofErr w:type="spellStart"/>
            <w:r w:rsidRPr="00886793">
              <w:rPr>
                <w:rFonts w:ascii="Cambria" w:eastAsia="Calibri" w:hAnsi="Cambria" w:cs="Calibri"/>
              </w:rPr>
              <w:t>zakonitosti</w:t>
            </w:r>
            <w:proofErr w:type="spellEnd"/>
            <w:r w:rsidRPr="00886793">
              <w:rPr>
                <w:rFonts w:ascii="Cambria" w:eastAsia="Calibri" w:hAnsi="Cambria" w:cs="Calibri"/>
              </w:rPr>
              <w:t xml:space="preserve"> </w:t>
            </w:r>
            <w:proofErr w:type="spellStart"/>
            <w:r w:rsidRPr="00886793">
              <w:rPr>
                <w:rFonts w:ascii="Cambria" w:eastAsia="Calibri" w:hAnsi="Cambria" w:cs="Calibri"/>
              </w:rPr>
              <w:t>na</w:t>
            </w:r>
            <w:proofErr w:type="spellEnd"/>
            <w:r w:rsidRPr="00886793">
              <w:rPr>
                <w:rFonts w:ascii="Cambria" w:eastAsia="Calibri" w:hAnsi="Cambria" w:cs="Calibri"/>
              </w:rPr>
              <w:t xml:space="preserve"> </w:t>
            </w:r>
            <w:proofErr w:type="spellStart"/>
            <w:r w:rsidRPr="00886793">
              <w:rPr>
                <w:rFonts w:ascii="Cambria" w:eastAsia="Calibri" w:hAnsi="Cambria" w:cs="Calibri"/>
              </w:rPr>
              <w:t>kojima</w:t>
            </w:r>
            <w:proofErr w:type="spellEnd"/>
            <w:r w:rsidRPr="00886793">
              <w:rPr>
                <w:rFonts w:ascii="Cambria" w:eastAsia="Calibri" w:hAnsi="Cambria" w:cs="Calibri"/>
              </w:rPr>
              <w:t xml:space="preserve"> se </w:t>
            </w:r>
            <w:proofErr w:type="spellStart"/>
            <w:r w:rsidRPr="00886793">
              <w:rPr>
                <w:rFonts w:ascii="Cambria" w:eastAsia="Calibri" w:hAnsi="Cambria" w:cs="Calibri"/>
              </w:rPr>
              <w:t>temelji</w:t>
            </w:r>
            <w:proofErr w:type="spellEnd"/>
            <w:r w:rsidRPr="00886793">
              <w:rPr>
                <w:rFonts w:ascii="Cambria" w:eastAsia="Calibri" w:hAnsi="Cambria" w:cs="Calibri"/>
              </w:rPr>
              <w:t xml:space="preserve"> </w:t>
            </w:r>
            <w:proofErr w:type="spellStart"/>
            <w:r w:rsidRPr="00886793">
              <w:rPr>
                <w:rFonts w:ascii="Cambria" w:eastAsia="Calibri" w:hAnsi="Cambria" w:cs="Calibri"/>
              </w:rPr>
              <w:t>planiranje</w:t>
            </w:r>
            <w:proofErr w:type="spellEnd"/>
            <w:r w:rsidRPr="00886793">
              <w:rPr>
                <w:rFonts w:ascii="Cambria" w:eastAsia="Calibri" w:hAnsi="Cambria" w:cs="Calibri"/>
              </w:rPr>
              <w:t xml:space="preserve">, </w:t>
            </w:r>
            <w:proofErr w:type="spellStart"/>
            <w:r w:rsidRPr="00886793">
              <w:rPr>
                <w:rFonts w:ascii="Cambria" w:eastAsia="Calibri" w:hAnsi="Cambria" w:cs="Calibri"/>
              </w:rPr>
              <w:t>programiranje</w:t>
            </w:r>
            <w:proofErr w:type="spellEnd"/>
            <w:r w:rsidRPr="00886793">
              <w:rPr>
                <w:rFonts w:ascii="Cambria" w:eastAsia="Calibri" w:hAnsi="Cambria" w:cs="Calibri"/>
              </w:rPr>
              <w:t xml:space="preserve">, </w:t>
            </w:r>
            <w:proofErr w:type="spellStart"/>
            <w:r w:rsidRPr="00886793">
              <w:rPr>
                <w:rFonts w:ascii="Cambria" w:eastAsia="Calibri" w:hAnsi="Cambria" w:cs="Calibri"/>
              </w:rPr>
              <w:t>provođenje</w:t>
            </w:r>
            <w:proofErr w:type="spellEnd"/>
            <w:r w:rsidRPr="00886793">
              <w:rPr>
                <w:rFonts w:ascii="Cambria" w:eastAsia="Calibri" w:hAnsi="Cambria" w:cs="Calibri"/>
              </w:rPr>
              <w:t xml:space="preserve"> </w:t>
            </w:r>
            <w:proofErr w:type="spellStart"/>
            <w:r w:rsidRPr="00886793">
              <w:rPr>
                <w:rFonts w:ascii="Cambria" w:eastAsia="Calibri" w:hAnsi="Cambria" w:cs="Calibri"/>
              </w:rPr>
              <w:t>i</w:t>
            </w:r>
            <w:proofErr w:type="spellEnd"/>
            <w:r w:rsidRPr="00886793">
              <w:rPr>
                <w:rFonts w:ascii="Cambria" w:eastAsia="Calibri" w:hAnsi="Cambria" w:cs="Calibri"/>
              </w:rPr>
              <w:t xml:space="preserve"> </w:t>
            </w:r>
            <w:proofErr w:type="spellStart"/>
            <w:r w:rsidRPr="00886793">
              <w:rPr>
                <w:rFonts w:ascii="Cambria" w:eastAsia="Calibri" w:hAnsi="Cambria" w:cs="Calibri"/>
              </w:rPr>
              <w:t>evaluacija</w:t>
            </w:r>
            <w:proofErr w:type="spellEnd"/>
            <w:r w:rsidRPr="00886793">
              <w:rPr>
                <w:rFonts w:ascii="Cambria" w:eastAsia="Calibri" w:hAnsi="Cambria" w:cs="Calibri"/>
              </w:rPr>
              <w:t xml:space="preserve"> </w:t>
            </w:r>
            <w:proofErr w:type="spellStart"/>
            <w:r w:rsidRPr="00886793">
              <w:rPr>
                <w:rFonts w:ascii="Cambria" w:eastAsia="Calibri" w:hAnsi="Cambria" w:cs="Calibri"/>
              </w:rPr>
              <w:t>procesa</w:t>
            </w:r>
            <w:proofErr w:type="spellEnd"/>
            <w:r w:rsidRPr="00886793">
              <w:rPr>
                <w:rFonts w:ascii="Cambria" w:eastAsia="Calibri" w:hAnsi="Cambria" w:cs="Calibri"/>
              </w:rPr>
              <w:t xml:space="preserve"> </w:t>
            </w:r>
            <w:proofErr w:type="spellStart"/>
            <w:r w:rsidRPr="00886793">
              <w:rPr>
                <w:rFonts w:ascii="Cambria" w:eastAsia="Calibri" w:hAnsi="Cambria" w:cs="Calibri"/>
              </w:rPr>
              <w:t>vježbanja</w:t>
            </w:r>
            <w:proofErr w:type="spellEnd"/>
            <w:r w:rsidRPr="00886793">
              <w:rPr>
                <w:rFonts w:ascii="Cambria" w:eastAsia="Calibri" w:hAnsi="Cambria" w:cs="Calibri"/>
              </w:rPr>
              <w:t xml:space="preserve"> u </w:t>
            </w:r>
            <w:proofErr w:type="spellStart"/>
            <w:r w:rsidRPr="00886793">
              <w:rPr>
                <w:rFonts w:ascii="Cambria" w:eastAsia="Calibri" w:hAnsi="Cambria" w:cs="Calibri"/>
              </w:rPr>
              <w:t>području</w:t>
            </w:r>
            <w:proofErr w:type="spellEnd"/>
            <w:r w:rsidRPr="00886793">
              <w:rPr>
                <w:rFonts w:ascii="Cambria" w:eastAsia="Calibri" w:hAnsi="Cambria" w:cs="Calibri"/>
              </w:rPr>
              <w:t xml:space="preserve"> </w:t>
            </w:r>
            <w:proofErr w:type="spellStart"/>
            <w:r w:rsidRPr="00886793">
              <w:rPr>
                <w:rFonts w:ascii="Cambria" w:eastAsia="Calibri" w:hAnsi="Cambria" w:cs="Calibri"/>
              </w:rPr>
              <w:t>kineziološke</w:t>
            </w:r>
            <w:proofErr w:type="spellEnd"/>
            <w:r w:rsidRPr="00886793">
              <w:rPr>
                <w:rFonts w:ascii="Cambria" w:eastAsia="Calibri" w:hAnsi="Cambria" w:cs="Calibri"/>
              </w:rPr>
              <w:t xml:space="preserve"> </w:t>
            </w:r>
            <w:proofErr w:type="spellStart"/>
            <w:r w:rsidRPr="00886793">
              <w:rPr>
                <w:rFonts w:ascii="Cambria" w:eastAsia="Calibri" w:hAnsi="Cambria" w:cs="Calibri"/>
              </w:rPr>
              <w:t>edukacije</w:t>
            </w:r>
            <w:proofErr w:type="spellEnd"/>
            <w:r w:rsidRPr="00886793">
              <w:rPr>
                <w:rFonts w:ascii="Cambria" w:eastAsia="Calibri" w:hAnsi="Cambria" w:cs="Calibri"/>
              </w:rPr>
              <w:t xml:space="preserve"> </w:t>
            </w:r>
            <w:proofErr w:type="spellStart"/>
            <w:r w:rsidRPr="00886793">
              <w:rPr>
                <w:rFonts w:ascii="Cambria" w:eastAsia="Calibri" w:hAnsi="Cambria" w:cs="Calibri"/>
              </w:rPr>
              <w:t>djece</w:t>
            </w:r>
            <w:proofErr w:type="spellEnd"/>
            <w:r w:rsidRPr="00886793">
              <w:rPr>
                <w:rFonts w:ascii="Cambria" w:eastAsia="Calibri" w:hAnsi="Cambria" w:cs="Calibri"/>
              </w:rPr>
              <w:t xml:space="preserve"> </w:t>
            </w:r>
            <w:proofErr w:type="spellStart"/>
            <w:r w:rsidRPr="00886793">
              <w:rPr>
                <w:rFonts w:ascii="Cambria" w:eastAsia="Calibri" w:hAnsi="Cambria" w:cs="Calibri"/>
              </w:rPr>
              <w:t>školske</w:t>
            </w:r>
            <w:proofErr w:type="spellEnd"/>
            <w:r w:rsidRPr="00886793">
              <w:rPr>
                <w:rFonts w:ascii="Cambria" w:eastAsia="Calibri" w:hAnsi="Cambria" w:cs="Calibri"/>
              </w:rPr>
              <w:t xml:space="preserve"> </w:t>
            </w:r>
            <w:proofErr w:type="spellStart"/>
            <w:r w:rsidRPr="00886793">
              <w:rPr>
                <w:rFonts w:ascii="Cambria" w:eastAsia="Calibri" w:hAnsi="Cambria" w:cs="Calibri"/>
              </w:rPr>
              <w:t>dobi</w:t>
            </w:r>
            <w:proofErr w:type="spellEnd"/>
          </w:p>
        </w:tc>
      </w:tr>
      <w:tr w:rsidR="009138DB" w:rsidRPr="00D0399C" w14:paraId="39A4B27C" w14:textId="77777777" w:rsidTr="00587D5D">
        <w:tc>
          <w:tcPr>
            <w:tcW w:w="26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D34F6C2" w14:textId="77777777" w:rsidR="009138DB" w:rsidRPr="00886793" w:rsidRDefault="009138DB" w:rsidP="009138DB">
            <w:pPr>
              <w:spacing w:after="0" w:line="240" w:lineRule="atLeast"/>
              <w:jc w:val="both"/>
              <w:rPr>
                <w:rFonts w:ascii="Cambria" w:eastAsia="Calibri" w:hAnsi="Cambria" w:cs="Calibri"/>
              </w:rPr>
            </w:pPr>
            <w:proofErr w:type="spellStart"/>
            <w:r w:rsidRPr="00886793">
              <w:rPr>
                <w:rFonts w:ascii="Cambria" w:eastAsia="Calibri" w:hAnsi="Cambria" w:cs="Calibri"/>
              </w:rPr>
              <w:t>Ishodi</w:t>
            </w:r>
            <w:proofErr w:type="spellEnd"/>
            <w:r w:rsidRPr="00886793">
              <w:rPr>
                <w:rFonts w:ascii="Cambria" w:eastAsia="Calibri" w:hAnsi="Cambria" w:cs="Calibri"/>
              </w:rPr>
              <w:t xml:space="preserve"> </w:t>
            </w:r>
            <w:proofErr w:type="spellStart"/>
            <w:r w:rsidRPr="00886793">
              <w:rPr>
                <w:rFonts w:ascii="Cambria" w:eastAsia="Calibri" w:hAnsi="Cambria" w:cs="Calibri"/>
              </w:rPr>
              <w:t>učenja</w:t>
            </w:r>
            <w:proofErr w:type="spellEnd"/>
          </w:p>
        </w:tc>
        <w:tc>
          <w:tcPr>
            <w:tcW w:w="6731"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3EB46B8" w14:textId="77777777" w:rsidR="009138DB" w:rsidRPr="00886793" w:rsidRDefault="009138DB" w:rsidP="00A034E3">
            <w:pPr>
              <w:numPr>
                <w:ilvl w:val="0"/>
                <w:numId w:val="15"/>
              </w:numPr>
              <w:tabs>
                <w:tab w:val="clear" w:pos="720"/>
                <w:tab w:val="num" w:pos="289"/>
              </w:tabs>
              <w:spacing w:after="0" w:line="240" w:lineRule="atLeast"/>
              <w:ind w:left="65" w:hanging="65"/>
              <w:jc w:val="both"/>
              <w:rPr>
                <w:rFonts w:ascii="Cambria" w:eastAsia="Calibri" w:hAnsi="Cambria" w:cs="Calibri"/>
              </w:rPr>
            </w:pPr>
            <w:proofErr w:type="spellStart"/>
            <w:r w:rsidRPr="00886793">
              <w:rPr>
                <w:rFonts w:ascii="Cambria" w:eastAsia="Calibri" w:hAnsi="Cambria" w:cs="Calibri"/>
              </w:rPr>
              <w:t>analizirati</w:t>
            </w:r>
            <w:proofErr w:type="spellEnd"/>
            <w:r w:rsidRPr="00886793">
              <w:rPr>
                <w:rFonts w:ascii="Cambria" w:eastAsia="Calibri" w:hAnsi="Cambria" w:cs="Calibri"/>
              </w:rPr>
              <w:t xml:space="preserve"> </w:t>
            </w:r>
            <w:proofErr w:type="spellStart"/>
            <w:r w:rsidRPr="00886793">
              <w:rPr>
                <w:rFonts w:ascii="Cambria" w:eastAsia="Calibri" w:hAnsi="Cambria" w:cs="Calibri"/>
              </w:rPr>
              <w:t>spoznaje</w:t>
            </w:r>
            <w:proofErr w:type="spellEnd"/>
            <w:r w:rsidRPr="00886793">
              <w:rPr>
                <w:rFonts w:ascii="Cambria" w:eastAsia="Calibri" w:hAnsi="Cambria" w:cs="Calibri"/>
              </w:rPr>
              <w:t xml:space="preserve"> o </w:t>
            </w:r>
            <w:proofErr w:type="spellStart"/>
            <w:r w:rsidRPr="00886793">
              <w:rPr>
                <w:rFonts w:ascii="Cambria" w:eastAsia="Calibri" w:hAnsi="Cambria" w:cs="Calibri"/>
              </w:rPr>
              <w:t>općim</w:t>
            </w:r>
            <w:proofErr w:type="spellEnd"/>
            <w:r w:rsidRPr="00886793">
              <w:rPr>
                <w:rFonts w:ascii="Cambria" w:eastAsia="Calibri" w:hAnsi="Cambria" w:cs="Calibri"/>
              </w:rPr>
              <w:t xml:space="preserve"> </w:t>
            </w:r>
            <w:proofErr w:type="spellStart"/>
            <w:r w:rsidRPr="00886793">
              <w:rPr>
                <w:rFonts w:ascii="Cambria" w:eastAsia="Calibri" w:hAnsi="Cambria" w:cs="Calibri"/>
              </w:rPr>
              <w:t>zakonitostima</w:t>
            </w:r>
            <w:proofErr w:type="spellEnd"/>
            <w:r w:rsidRPr="00886793">
              <w:rPr>
                <w:rFonts w:ascii="Cambria" w:eastAsia="Calibri" w:hAnsi="Cambria" w:cs="Calibri"/>
              </w:rPr>
              <w:t xml:space="preserve"> </w:t>
            </w:r>
            <w:proofErr w:type="spellStart"/>
            <w:r w:rsidRPr="00886793">
              <w:rPr>
                <w:rFonts w:ascii="Cambria" w:eastAsia="Calibri" w:hAnsi="Cambria" w:cs="Calibri"/>
              </w:rPr>
              <w:t>ljudskog</w:t>
            </w:r>
            <w:proofErr w:type="spellEnd"/>
            <w:r w:rsidRPr="00886793">
              <w:rPr>
                <w:rFonts w:ascii="Cambria" w:eastAsia="Calibri" w:hAnsi="Cambria" w:cs="Calibri"/>
              </w:rPr>
              <w:t xml:space="preserve"> </w:t>
            </w:r>
            <w:proofErr w:type="spellStart"/>
            <w:r w:rsidRPr="00886793">
              <w:rPr>
                <w:rFonts w:ascii="Cambria" w:eastAsia="Calibri" w:hAnsi="Cambria" w:cs="Calibri"/>
              </w:rPr>
              <w:t>kretanja</w:t>
            </w:r>
            <w:proofErr w:type="spellEnd"/>
            <w:r w:rsidRPr="00886793">
              <w:rPr>
                <w:rFonts w:ascii="Cambria" w:eastAsia="Calibri" w:hAnsi="Cambria" w:cs="Calibri"/>
              </w:rPr>
              <w:t xml:space="preserve">, </w:t>
            </w:r>
            <w:proofErr w:type="spellStart"/>
            <w:r w:rsidRPr="00886793">
              <w:rPr>
                <w:rFonts w:ascii="Cambria" w:eastAsia="Calibri" w:hAnsi="Cambria" w:cs="Calibri"/>
              </w:rPr>
              <w:t>upravljanja</w:t>
            </w:r>
            <w:proofErr w:type="spellEnd"/>
            <w:r w:rsidRPr="00886793">
              <w:rPr>
                <w:rFonts w:ascii="Cambria" w:eastAsia="Calibri" w:hAnsi="Cambria" w:cs="Calibri"/>
              </w:rPr>
              <w:t xml:space="preserve"> </w:t>
            </w:r>
            <w:proofErr w:type="spellStart"/>
            <w:r w:rsidRPr="00886793">
              <w:rPr>
                <w:rFonts w:ascii="Cambria" w:eastAsia="Calibri" w:hAnsi="Cambria" w:cs="Calibri"/>
              </w:rPr>
              <w:t>procesom</w:t>
            </w:r>
            <w:proofErr w:type="spellEnd"/>
            <w:r w:rsidRPr="00886793">
              <w:rPr>
                <w:rFonts w:ascii="Cambria" w:eastAsia="Calibri" w:hAnsi="Cambria" w:cs="Calibri"/>
              </w:rPr>
              <w:t xml:space="preserve"> </w:t>
            </w:r>
            <w:proofErr w:type="spellStart"/>
            <w:r w:rsidRPr="00886793">
              <w:rPr>
                <w:rFonts w:ascii="Cambria" w:eastAsia="Calibri" w:hAnsi="Cambria" w:cs="Calibri"/>
              </w:rPr>
              <w:t>vježbanja</w:t>
            </w:r>
            <w:proofErr w:type="spellEnd"/>
            <w:r w:rsidRPr="00886793">
              <w:rPr>
                <w:rFonts w:ascii="Cambria" w:eastAsia="Calibri" w:hAnsi="Cambria" w:cs="Calibri"/>
              </w:rPr>
              <w:t xml:space="preserve"> </w:t>
            </w:r>
            <w:proofErr w:type="spellStart"/>
            <w:r w:rsidRPr="00886793">
              <w:rPr>
                <w:rFonts w:ascii="Cambria" w:eastAsia="Calibri" w:hAnsi="Cambria" w:cs="Calibri"/>
              </w:rPr>
              <w:t>kao</w:t>
            </w:r>
            <w:proofErr w:type="spellEnd"/>
            <w:r w:rsidRPr="00886793">
              <w:rPr>
                <w:rFonts w:ascii="Cambria" w:eastAsia="Calibri" w:hAnsi="Cambria" w:cs="Calibri"/>
              </w:rPr>
              <w:t xml:space="preserve"> </w:t>
            </w:r>
            <w:proofErr w:type="spellStart"/>
            <w:r w:rsidRPr="00886793">
              <w:rPr>
                <w:rFonts w:ascii="Cambria" w:eastAsia="Calibri" w:hAnsi="Cambria" w:cs="Calibri"/>
              </w:rPr>
              <w:t>i</w:t>
            </w:r>
            <w:proofErr w:type="spellEnd"/>
            <w:r w:rsidRPr="00886793">
              <w:rPr>
                <w:rFonts w:ascii="Cambria" w:eastAsia="Calibri" w:hAnsi="Cambria" w:cs="Calibri"/>
              </w:rPr>
              <w:t xml:space="preserve"> </w:t>
            </w:r>
            <w:proofErr w:type="spellStart"/>
            <w:r w:rsidRPr="00886793">
              <w:rPr>
                <w:rFonts w:ascii="Cambria" w:eastAsia="Calibri" w:hAnsi="Cambria" w:cs="Calibri"/>
              </w:rPr>
              <w:t>posljedicama</w:t>
            </w:r>
            <w:proofErr w:type="spellEnd"/>
            <w:r w:rsidRPr="00886793">
              <w:rPr>
                <w:rFonts w:ascii="Cambria" w:eastAsia="Calibri" w:hAnsi="Cambria" w:cs="Calibri"/>
              </w:rPr>
              <w:t xml:space="preserve"> </w:t>
            </w:r>
            <w:proofErr w:type="spellStart"/>
            <w:r w:rsidRPr="00886793">
              <w:rPr>
                <w:rFonts w:ascii="Cambria" w:eastAsia="Calibri" w:hAnsi="Cambria" w:cs="Calibri"/>
              </w:rPr>
              <w:t>utjecaja</w:t>
            </w:r>
            <w:proofErr w:type="spellEnd"/>
            <w:r w:rsidRPr="00886793">
              <w:rPr>
                <w:rFonts w:ascii="Cambria" w:eastAsia="Calibri" w:hAnsi="Cambria" w:cs="Calibri"/>
              </w:rPr>
              <w:t xml:space="preserve"> </w:t>
            </w:r>
            <w:proofErr w:type="spellStart"/>
            <w:r w:rsidRPr="00886793">
              <w:rPr>
                <w:rFonts w:ascii="Cambria" w:eastAsia="Calibri" w:hAnsi="Cambria" w:cs="Calibri"/>
              </w:rPr>
              <w:t>tih</w:t>
            </w:r>
            <w:proofErr w:type="spellEnd"/>
            <w:r w:rsidRPr="00886793">
              <w:rPr>
                <w:rFonts w:ascii="Cambria" w:eastAsia="Calibri" w:hAnsi="Cambria" w:cs="Calibri"/>
              </w:rPr>
              <w:t xml:space="preserve"> </w:t>
            </w:r>
            <w:proofErr w:type="spellStart"/>
            <w:r w:rsidRPr="00886793">
              <w:rPr>
                <w:rFonts w:ascii="Cambria" w:eastAsia="Calibri" w:hAnsi="Cambria" w:cs="Calibri"/>
              </w:rPr>
              <w:t>procesa</w:t>
            </w:r>
            <w:proofErr w:type="spellEnd"/>
            <w:r w:rsidRPr="00886793">
              <w:rPr>
                <w:rFonts w:ascii="Cambria" w:eastAsia="Calibri" w:hAnsi="Cambria" w:cs="Calibri"/>
              </w:rPr>
              <w:t xml:space="preserve"> </w:t>
            </w:r>
            <w:proofErr w:type="spellStart"/>
            <w:r w:rsidRPr="00886793">
              <w:rPr>
                <w:rFonts w:ascii="Cambria" w:eastAsia="Calibri" w:hAnsi="Cambria" w:cs="Calibri"/>
              </w:rPr>
              <w:t>na</w:t>
            </w:r>
            <w:proofErr w:type="spellEnd"/>
            <w:r w:rsidRPr="00886793">
              <w:rPr>
                <w:rFonts w:ascii="Cambria" w:eastAsia="Calibri" w:hAnsi="Cambria" w:cs="Calibri"/>
              </w:rPr>
              <w:t xml:space="preserve"> </w:t>
            </w:r>
            <w:proofErr w:type="spellStart"/>
            <w:r w:rsidRPr="00886793">
              <w:rPr>
                <w:rFonts w:ascii="Cambria" w:eastAsia="Calibri" w:hAnsi="Cambria" w:cs="Calibri"/>
              </w:rPr>
              <w:t>ljudski</w:t>
            </w:r>
            <w:proofErr w:type="spellEnd"/>
            <w:r w:rsidRPr="00886793">
              <w:rPr>
                <w:rFonts w:ascii="Cambria" w:eastAsia="Calibri" w:hAnsi="Cambria" w:cs="Calibri"/>
              </w:rPr>
              <w:t xml:space="preserve"> </w:t>
            </w:r>
            <w:proofErr w:type="spellStart"/>
            <w:r w:rsidRPr="00886793">
              <w:rPr>
                <w:rFonts w:ascii="Cambria" w:eastAsia="Calibri" w:hAnsi="Cambria" w:cs="Calibri"/>
              </w:rPr>
              <w:t>organizam</w:t>
            </w:r>
            <w:proofErr w:type="spellEnd"/>
          </w:p>
          <w:p w14:paraId="6404DD4E" w14:textId="77777777" w:rsidR="009138DB" w:rsidRPr="00886793" w:rsidRDefault="009138DB" w:rsidP="00A034E3">
            <w:pPr>
              <w:numPr>
                <w:ilvl w:val="0"/>
                <w:numId w:val="15"/>
              </w:numPr>
              <w:tabs>
                <w:tab w:val="clear" w:pos="720"/>
                <w:tab w:val="num" w:pos="289"/>
              </w:tabs>
              <w:spacing w:after="0" w:line="240" w:lineRule="atLeast"/>
              <w:ind w:left="65" w:hanging="65"/>
              <w:jc w:val="both"/>
              <w:rPr>
                <w:rFonts w:ascii="Cambria" w:eastAsia="Calibri" w:hAnsi="Cambria" w:cs="Calibri"/>
              </w:rPr>
            </w:pPr>
            <w:proofErr w:type="spellStart"/>
            <w:r w:rsidRPr="00886793">
              <w:rPr>
                <w:rFonts w:ascii="Cambria" w:eastAsia="Calibri" w:hAnsi="Cambria" w:cs="Calibri"/>
              </w:rPr>
              <w:t>definirati</w:t>
            </w:r>
            <w:proofErr w:type="spellEnd"/>
            <w:r w:rsidRPr="00886793">
              <w:rPr>
                <w:rFonts w:ascii="Cambria" w:eastAsia="Calibri" w:hAnsi="Cambria" w:cs="Calibri"/>
              </w:rPr>
              <w:t xml:space="preserve"> </w:t>
            </w:r>
            <w:proofErr w:type="spellStart"/>
            <w:r w:rsidRPr="00886793">
              <w:rPr>
                <w:rFonts w:ascii="Cambria" w:eastAsia="Calibri" w:hAnsi="Cambria" w:cs="Calibri"/>
              </w:rPr>
              <w:t>značaj</w:t>
            </w:r>
            <w:proofErr w:type="spellEnd"/>
            <w:r w:rsidRPr="00886793">
              <w:rPr>
                <w:rFonts w:ascii="Cambria" w:eastAsia="Calibri" w:hAnsi="Cambria" w:cs="Calibri"/>
              </w:rPr>
              <w:t xml:space="preserve"> </w:t>
            </w:r>
            <w:proofErr w:type="spellStart"/>
            <w:r w:rsidRPr="00886793">
              <w:rPr>
                <w:rFonts w:ascii="Cambria" w:eastAsia="Calibri" w:hAnsi="Cambria" w:cs="Calibri"/>
              </w:rPr>
              <w:t>kretanja</w:t>
            </w:r>
            <w:proofErr w:type="spellEnd"/>
            <w:r w:rsidRPr="00886793">
              <w:rPr>
                <w:rFonts w:ascii="Cambria" w:eastAsia="Calibri" w:hAnsi="Cambria" w:cs="Calibri"/>
              </w:rPr>
              <w:t xml:space="preserve"> za </w:t>
            </w:r>
            <w:proofErr w:type="spellStart"/>
            <w:r w:rsidRPr="00886793">
              <w:rPr>
                <w:rFonts w:ascii="Cambria" w:eastAsia="Calibri" w:hAnsi="Cambria" w:cs="Calibri"/>
              </w:rPr>
              <w:t>život</w:t>
            </w:r>
            <w:proofErr w:type="spellEnd"/>
            <w:r w:rsidRPr="00886793">
              <w:rPr>
                <w:rFonts w:ascii="Cambria" w:eastAsia="Calibri" w:hAnsi="Cambria" w:cs="Calibri"/>
              </w:rPr>
              <w:t xml:space="preserve"> </w:t>
            </w:r>
            <w:proofErr w:type="spellStart"/>
            <w:r w:rsidRPr="00886793">
              <w:rPr>
                <w:rFonts w:ascii="Cambria" w:eastAsia="Calibri" w:hAnsi="Cambria" w:cs="Calibri"/>
              </w:rPr>
              <w:t>pojedinca</w:t>
            </w:r>
            <w:proofErr w:type="spellEnd"/>
            <w:r w:rsidRPr="00886793">
              <w:rPr>
                <w:rFonts w:ascii="Cambria" w:eastAsia="Calibri" w:hAnsi="Cambria" w:cs="Calibri"/>
              </w:rPr>
              <w:t xml:space="preserve"> </w:t>
            </w:r>
            <w:proofErr w:type="spellStart"/>
            <w:r w:rsidRPr="00886793">
              <w:rPr>
                <w:rFonts w:ascii="Cambria" w:eastAsia="Calibri" w:hAnsi="Cambria" w:cs="Calibri"/>
              </w:rPr>
              <w:t>i</w:t>
            </w:r>
            <w:proofErr w:type="spellEnd"/>
            <w:r w:rsidRPr="00886793">
              <w:rPr>
                <w:rFonts w:ascii="Cambria" w:eastAsia="Calibri" w:hAnsi="Cambria" w:cs="Calibri"/>
              </w:rPr>
              <w:t xml:space="preserve"> </w:t>
            </w:r>
            <w:proofErr w:type="spellStart"/>
            <w:r w:rsidRPr="00886793">
              <w:rPr>
                <w:rFonts w:ascii="Cambria" w:eastAsia="Calibri" w:hAnsi="Cambria" w:cs="Calibri"/>
              </w:rPr>
              <w:t>društva</w:t>
            </w:r>
            <w:proofErr w:type="spellEnd"/>
            <w:r w:rsidRPr="00886793">
              <w:rPr>
                <w:rFonts w:ascii="Cambria" w:eastAsia="Calibri" w:hAnsi="Cambria" w:cs="Calibri"/>
              </w:rPr>
              <w:t xml:space="preserve"> u </w:t>
            </w:r>
            <w:proofErr w:type="spellStart"/>
            <w:r w:rsidRPr="00886793">
              <w:rPr>
                <w:rFonts w:ascii="Cambria" w:eastAsia="Calibri" w:hAnsi="Cambria" w:cs="Calibri"/>
              </w:rPr>
              <w:t>cjelini</w:t>
            </w:r>
            <w:proofErr w:type="spellEnd"/>
          </w:p>
          <w:p w14:paraId="29AAD8B9" w14:textId="77777777" w:rsidR="009138DB" w:rsidRPr="00886793" w:rsidRDefault="009138DB" w:rsidP="00A034E3">
            <w:pPr>
              <w:numPr>
                <w:ilvl w:val="0"/>
                <w:numId w:val="15"/>
              </w:numPr>
              <w:tabs>
                <w:tab w:val="clear" w:pos="720"/>
                <w:tab w:val="num" w:pos="289"/>
              </w:tabs>
              <w:spacing w:after="0" w:line="240" w:lineRule="atLeast"/>
              <w:ind w:left="65" w:hanging="65"/>
              <w:jc w:val="both"/>
              <w:rPr>
                <w:rFonts w:ascii="Cambria" w:eastAsia="Calibri" w:hAnsi="Cambria" w:cs="Calibri"/>
                <w:lang w:val="it-IT"/>
              </w:rPr>
            </w:pPr>
            <w:proofErr w:type="spellStart"/>
            <w:r w:rsidRPr="00886793">
              <w:rPr>
                <w:rFonts w:ascii="Cambria" w:eastAsia="Calibri" w:hAnsi="Cambria" w:cs="Calibri"/>
                <w:lang w:val="it-IT"/>
              </w:rPr>
              <w:t>analizirati</w:t>
            </w:r>
            <w:proofErr w:type="spellEnd"/>
            <w:r w:rsidRPr="00886793">
              <w:rPr>
                <w:rFonts w:ascii="Cambria" w:eastAsia="Calibri" w:hAnsi="Cambria" w:cs="Calibri"/>
                <w:lang w:val="it-IT"/>
              </w:rPr>
              <w:t xml:space="preserve"> </w:t>
            </w:r>
            <w:proofErr w:type="spellStart"/>
            <w:r w:rsidRPr="00886793">
              <w:rPr>
                <w:rFonts w:ascii="Cambria" w:eastAsia="Calibri" w:hAnsi="Cambria" w:cs="Calibri"/>
                <w:lang w:val="it-IT"/>
              </w:rPr>
              <w:t>probleme</w:t>
            </w:r>
            <w:proofErr w:type="spellEnd"/>
            <w:r w:rsidRPr="00886793">
              <w:rPr>
                <w:rFonts w:ascii="Cambria" w:eastAsia="Calibri" w:hAnsi="Cambria" w:cs="Calibri"/>
                <w:lang w:val="it-IT"/>
              </w:rPr>
              <w:t xml:space="preserve"> u </w:t>
            </w:r>
            <w:proofErr w:type="spellStart"/>
            <w:r w:rsidRPr="00886793">
              <w:rPr>
                <w:rFonts w:ascii="Cambria" w:eastAsia="Calibri" w:hAnsi="Cambria" w:cs="Calibri"/>
                <w:lang w:val="it-IT"/>
              </w:rPr>
              <w:t>kineziologijskoj</w:t>
            </w:r>
            <w:proofErr w:type="spellEnd"/>
            <w:r w:rsidRPr="00886793">
              <w:rPr>
                <w:rFonts w:ascii="Cambria" w:eastAsia="Calibri" w:hAnsi="Cambria" w:cs="Calibri"/>
                <w:lang w:val="it-IT"/>
              </w:rPr>
              <w:t xml:space="preserve"> </w:t>
            </w:r>
            <w:proofErr w:type="spellStart"/>
            <w:r w:rsidRPr="00886793">
              <w:rPr>
                <w:rFonts w:ascii="Cambria" w:eastAsia="Calibri" w:hAnsi="Cambria" w:cs="Calibri"/>
                <w:lang w:val="it-IT"/>
              </w:rPr>
              <w:t>teoriji</w:t>
            </w:r>
            <w:proofErr w:type="spellEnd"/>
            <w:r w:rsidRPr="00886793">
              <w:rPr>
                <w:rFonts w:ascii="Cambria" w:eastAsia="Calibri" w:hAnsi="Cambria" w:cs="Calibri"/>
                <w:lang w:val="it-IT"/>
              </w:rPr>
              <w:t xml:space="preserve"> i </w:t>
            </w:r>
            <w:proofErr w:type="spellStart"/>
            <w:r w:rsidRPr="00886793">
              <w:rPr>
                <w:rFonts w:ascii="Cambria" w:eastAsia="Calibri" w:hAnsi="Cambria" w:cs="Calibri"/>
                <w:lang w:val="it-IT"/>
              </w:rPr>
              <w:t>praksi</w:t>
            </w:r>
            <w:proofErr w:type="spellEnd"/>
          </w:p>
          <w:p w14:paraId="1A48ED74" w14:textId="77777777" w:rsidR="009138DB" w:rsidRPr="00886793" w:rsidRDefault="009138DB" w:rsidP="00A034E3">
            <w:pPr>
              <w:numPr>
                <w:ilvl w:val="0"/>
                <w:numId w:val="15"/>
              </w:numPr>
              <w:tabs>
                <w:tab w:val="clear" w:pos="720"/>
                <w:tab w:val="num" w:pos="289"/>
              </w:tabs>
              <w:spacing w:after="0" w:line="240" w:lineRule="atLeast"/>
              <w:ind w:left="65" w:hanging="65"/>
              <w:jc w:val="both"/>
              <w:rPr>
                <w:rFonts w:ascii="Cambria" w:eastAsia="Calibri" w:hAnsi="Cambria" w:cs="Calibri"/>
                <w:lang w:val="it-IT"/>
              </w:rPr>
            </w:pPr>
            <w:proofErr w:type="spellStart"/>
            <w:r w:rsidRPr="00886793">
              <w:rPr>
                <w:rFonts w:ascii="Cambria" w:eastAsia="Calibri" w:hAnsi="Cambria" w:cs="Calibri"/>
                <w:lang w:val="it-IT"/>
              </w:rPr>
              <w:t>analizirati</w:t>
            </w:r>
            <w:proofErr w:type="spellEnd"/>
            <w:r w:rsidRPr="00886793">
              <w:rPr>
                <w:rFonts w:ascii="Cambria" w:eastAsia="Calibri" w:hAnsi="Cambria" w:cs="Calibri"/>
                <w:lang w:val="it-IT"/>
              </w:rPr>
              <w:t xml:space="preserve"> </w:t>
            </w:r>
            <w:proofErr w:type="spellStart"/>
            <w:r w:rsidRPr="00886793">
              <w:rPr>
                <w:rFonts w:ascii="Cambria" w:eastAsia="Calibri" w:hAnsi="Cambria" w:cs="Calibri"/>
                <w:lang w:val="it-IT"/>
              </w:rPr>
              <w:t>rezultate</w:t>
            </w:r>
            <w:proofErr w:type="spellEnd"/>
            <w:r w:rsidRPr="00886793">
              <w:rPr>
                <w:rFonts w:ascii="Cambria" w:eastAsia="Calibri" w:hAnsi="Cambria" w:cs="Calibri"/>
                <w:lang w:val="it-IT"/>
              </w:rPr>
              <w:t xml:space="preserve"> </w:t>
            </w:r>
            <w:proofErr w:type="spellStart"/>
            <w:r w:rsidRPr="00886793">
              <w:rPr>
                <w:rFonts w:ascii="Cambria" w:eastAsia="Calibri" w:hAnsi="Cambria" w:cs="Calibri"/>
                <w:lang w:val="it-IT"/>
              </w:rPr>
              <w:t>istraživanja</w:t>
            </w:r>
            <w:proofErr w:type="spellEnd"/>
            <w:r w:rsidRPr="00886793">
              <w:rPr>
                <w:rFonts w:ascii="Cambria" w:eastAsia="Calibri" w:hAnsi="Cambria" w:cs="Calibri"/>
                <w:lang w:val="it-IT"/>
              </w:rPr>
              <w:t xml:space="preserve"> u </w:t>
            </w:r>
            <w:proofErr w:type="spellStart"/>
            <w:r w:rsidRPr="00886793">
              <w:rPr>
                <w:rFonts w:ascii="Cambria" w:eastAsia="Calibri" w:hAnsi="Cambria" w:cs="Calibri"/>
                <w:lang w:val="it-IT"/>
              </w:rPr>
              <w:t>području</w:t>
            </w:r>
            <w:proofErr w:type="spellEnd"/>
            <w:r w:rsidRPr="00886793">
              <w:rPr>
                <w:rFonts w:ascii="Cambria" w:eastAsia="Calibri" w:hAnsi="Cambria" w:cs="Calibri"/>
                <w:lang w:val="it-IT"/>
              </w:rPr>
              <w:t xml:space="preserve"> </w:t>
            </w:r>
            <w:proofErr w:type="spellStart"/>
            <w:r w:rsidRPr="00886793">
              <w:rPr>
                <w:rFonts w:ascii="Cambria" w:eastAsia="Calibri" w:hAnsi="Cambria" w:cs="Calibri"/>
                <w:lang w:val="it-IT"/>
              </w:rPr>
              <w:t>primijenjene</w:t>
            </w:r>
            <w:proofErr w:type="spellEnd"/>
            <w:r w:rsidRPr="00886793">
              <w:rPr>
                <w:rFonts w:ascii="Cambria" w:eastAsia="Calibri" w:hAnsi="Cambria" w:cs="Calibri"/>
                <w:lang w:val="it-IT"/>
              </w:rPr>
              <w:t xml:space="preserve"> </w:t>
            </w:r>
            <w:proofErr w:type="spellStart"/>
            <w:r w:rsidRPr="00886793">
              <w:rPr>
                <w:rFonts w:ascii="Cambria" w:eastAsia="Calibri" w:hAnsi="Cambria" w:cs="Calibri"/>
                <w:lang w:val="it-IT"/>
              </w:rPr>
              <w:t>kineziologije</w:t>
            </w:r>
            <w:proofErr w:type="spellEnd"/>
            <w:r w:rsidRPr="00886793">
              <w:rPr>
                <w:rFonts w:ascii="Cambria" w:eastAsia="Calibri" w:hAnsi="Cambria" w:cs="Calibri"/>
                <w:lang w:val="it-IT"/>
              </w:rPr>
              <w:t xml:space="preserve"> za </w:t>
            </w:r>
            <w:proofErr w:type="spellStart"/>
            <w:r w:rsidRPr="00886793">
              <w:rPr>
                <w:rFonts w:ascii="Cambria" w:eastAsia="Calibri" w:hAnsi="Cambria" w:cs="Calibri"/>
                <w:lang w:val="it-IT"/>
              </w:rPr>
              <w:t>školski</w:t>
            </w:r>
            <w:proofErr w:type="spellEnd"/>
            <w:r w:rsidRPr="00886793">
              <w:rPr>
                <w:rFonts w:ascii="Cambria" w:eastAsia="Calibri" w:hAnsi="Cambria" w:cs="Calibri"/>
                <w:lang w:val="it-IT"/>
              </w:rPr>
              <w:t xml:space="preserve"> </w:t>
            </w:r>
            <w:proofErr w:type="spellStart"/>
            <w:r w:rsidRPr="00886793">
              <w:rPr>
                <w:rFonts w:ascii="Cambria" w:eastAsia="Calibri" w:hAnsi="Cambria" w:cs="Calibri"/>
                <w:lang w:val="it-IT"/>
              </w:rPr>
              <w:t>uzrast</w:t>
            </w:r>
            <w:proofErr w:type="spellEnd"/>
          </w:p>
          <w:p w14:paraId="7ACA301D" w14:textId="77777777" w:rsidR="009138DB" w:rsidRPr="00886793" w:rsidRDefault="009138DB" w:rsidP="00A034E3">
            <w:pPr>
              <w:numPr>
                <w:ilvl w:val="0"/>
                <w:numId w:val="15"/>
              </w:numPr>
              <w:tabs>
                <w:tab w:val="clear" w:pos="720"/>
                <w:tab w:val="num" w:pos="289"/>
              </w:tabs>
              <w:spacing w:after="0" w:line="240" w:lineRule="atLeast"/>
              <w:ind w:left="65" w:hanging="65"/>
              <w:jc w:val="both"/>
              <w:rPr>
                <w:rFonts w:ascii="Cambria" w:eastAsia="Calibri" w:hAnsi="Cambria" w:cs="Calibri"/>
                <w:lang w:val="it-IT"/>
              </w:rPr>
            </w:pPr>
            <w:proofErr w:type="spellStart"/>
            <w:r w:rsidRPr="00886793">
              <w:rPr>
                <w:rFonts w:ascii="Cambria" w:eastAsia="Calibri" w:hAnsi="Cambria" w:cs="Calibri"/>
                <w:lang w:val="it-IT"/>
              </w:rPr>
              <w:t>provesti</w:t>
            </w:r>
            <w:proofErr w:type="spellEnd"/>
            <w:r w:rsidRPr="00886793">
              <w:rPr>
                <w:rFonts w:ascii="Cambria" w:eastAsia="Calibri" w:hAnsi="Cambria" w:cs="Calibri"/>
                <w:lang w:val="it-IT"/>
              </w:rPr>
              <w:t xml:space="preserve"> </w:t>
            </w:r>
            <w:proofErr w:type="spellStart"/>
            <w:r w:rsidRPr="00886793">
              <w:rPr>
                <w:rFonts w:ascii="Cambria" w:eastAsia="Calibri" w:hAnsi="Cambria" w:cs="Calibri"/>
                <w:lang w:val="it-IT"/>
              </w:rPr>
              <w:t>jednostavnije</w:t>
            </w:r>
            <w:proofErr w:type="spellEnd"/>
            <w:r w:rsidRPr="00886793">
              <w:rPr>
                <w:rFonts w:ascii="Cambria" w:eastAsia="Calibri" w:hAnsi="Cambria" w:cs="Calibri"/>
                <w:lang w:val="it-IT"/>
              </w:rPr>
              <w:t xml:space="preserve"> </w:t>
            </w:r>
            <w:proofErr w:type="spellStart"/>
            <w:r w:rsidRPr="00886793">
              <w:rPr>
                <w:rFonts w:ascii="Cambria" w:eastAsia="Calibri" w:hAnsi="Cambria" w:cs="Calibri"/>
                <w:lang w:val="it-IT"/>
              </w:rPr>
              <w:t>istraživačke</w:t>
            </w:r>
            <w:proofErr w:type="spellEnd"/>
            <w:r w:rsidRPr="00886793">
              <w:rPr>
                <w:rFonts w:ascii="Cambria" w:eastAsia="Calibri" w:hAnsi="Cambria" w:cs="Calibri"/>
                <w:lang w:val="it-IT"/>
              </w:rPr>
              <w:t xml:space="preserve"> </w:t>
            </w:r>
            <w:proofErr w:type="spellStart"/>
            <w:r w:rsidRPr="00886793">
              <w:rPr>
                <w:rFonts w:ascii="Cambria" w:eastAsia="Calibri" w:hAnsi="Cambria" w:cs="Calibri"/>
                <w:lang w:val="it-IT"/>
              </w:rPr>
              <w:t>zadatke</w:t>
            </w:r>
            <w:proofErr w:type="spellEnd"/>
            <w:r w:rsidRPr="00886793">
              <w:rPr>
                <w:rFonts w:ascii="Cambria" w:eastAsia="Calibri" w:hAnsi="Cambria" w:cs="Calibri"/>
                <w:lang w:val="it-IT"/>
              </w:rPr>
              <w:t xml:space="preserve"> </w:t>
            </w:r>
            <w:proofErr w:type="spellStart"/>
            <w:r w:rsidRPr="00886793">
              <w:rPr>
                <w:rFonts w:ascii="Cambria" w:eastAsia="Calibri" w:hAnsi="Cambria" w:cs="Calibri"/>
                <w:lang w:val="it-IT"/>
              </w:rPr>
              <w:t>iz</w:t>
            </w:r>
            <w:proofErr w:type="spellEnd"/>
            <w:r w:rsidRPr="00886793">
              <w:rPr>
                <w:rFonts w:ascii="Cambria" w:eastAsia="Calibri" w:hAnsi="Cambria" w:cs="Calibri"/>
                <w:lang w:val="it-IT"/>
              </w:rPr>
              <w:t xml:space="preserve"> </w:t>
            </w:r>
            <w:proofErr w:type="spellStart"/>
            <w:r w:rsidRPr="00886793">
              <w:rPr>
                <w:rFonts w:ascii="Cambria" w:eastAsia="Calibri" w:hAnsi="Cambria" w:cs="Calibri"/>
                <w:lang w:val="it-IT"/>
              </w:rPr>
              <w:t>područja</w:t>
            </w:r>
            <w:proofErr w:type="spellEnd"/>
            <w:r w:rsidRPr="00886793">
              <w:rPr>
                <w:rFonts w:ascii="Cambria" w:eastAsia="Calibri" w:hAnsi="Cambria" w:cs="Calibri"/>
                <w:lang w:val="it-IT"/>
              </w:rPr>
              <w:t xml:space="preserve"> </w:t>
            </w:r>
            <w:proofErr w:type="spellStart"/>
            <w:r w:rsidRPr="00886793">
              <w:rPr>
                <w:rFonts w:ascii="Cambria" w:eastAsia="Calibri" w:hAnsi="Cambria" w:cs="Calibri"/>
                <w:lang w:val="it-IT"/>
              </w:rPr>
              <w:t>kineziološke</w:t>
            </w:r>
            <w:proofErr w:type="spellEnd"/>
            <w:r w:rsidRPr="00886793">
              <w:rPr>
                <w:rFonts w:ascii="Cambria" w:eastAsia="Calibri" w:hAnsi="Cambria" w:cs="Calibri"/>
                <w:lang w:val="it-IT"/>
              </w:rPr>
              <w:t xml:space="preserve"> </w:t>
            </w:r>
            <w:proofErr w:type="spellStart"/>
            <w:r w:rsidRPr="00886793">
              <w:rPr>
                <w:rFonts w:ascii="Cambria" w:eastAsia="Calibri" w:hAnsi="Cambria" w:cs="Calibri"/>
                <w:lang w:val="it-IT"/>
              </w:rPr>
              <w:t>edukacije</w:t>
            </w:r>
            <w:proofErr w:type="spellEnd"/>
            <w:r w:rsidRPr="00886793">
              <w:rPr>
                <w:rFonts w:ascii="Cambria" w:eastAsia="Calibri" w:hAnsi="Cambria" w:cs="Calibri"/>
                <w:lang w:val="it-IT"/>
              </w:rPr>
              <w:t xml:space="preserve"> s </w:t>
            </w:r>
            <w:proofErr w:type="spellStart"/>
            <w:r w:rsidRPr="00886793">
              <w:rPr>
                <w:rFonts w:ascii="Cambria" w:eastAsia="Calibri" w:hAnsi="Cambria" w:cs="Calibri"/>
                <w:lang w:val="it-IT"/>
              </w:rPr>
              <w:t>ciljem</w:t>
            </w:r>
            <w:proofErr w:type="spellEnd"/>
            <w:r w:rsidRPr="00886793">
              <w:rPr>
                <w:rFonts w:ascii="Cambria" w:eastAsia="Calibri" w:hAnsi="Cambria" w:cs="Calibri"/>
                <w:lang w:val="it-IT"/>
              </w:rPr>
              <w:t xml:space="preserve"> </w:t>
            </w:r>
            <w:proofErr w:type="spellStart"/>
            <w:r w:rsidRPr="00886793">
              <w:rPr>
                <w:rFonts w:ascii="Cambria" w:eastAsia="Calibri" w:hAnsi="Cambria" w:cs="Calibri"/>
                <w:lang w:val="it-IT"/>
              </w:rPr>
              <w:t>interpretiranja</w:t>
            </w:r>
            <w:proofErr w:type="spellEnd"/>
            <w:r w:rsidRPr="00886793">
              <w:rPr>
                <w:rFonts w:ascii="Cambria" w:eastAsia="Calibri" w:hAnsi="Cambria" w:cs="Calibri"/>
                <w:lang w:val="it-IT"/>
              </w:rPr>
              <w:t xml:space="preserve"> i </w:t>
            </w:r>
            <w:proofErr w:type="spellStart"/>
            <w:r w:rsidRPr="00886793">
              <w:rPr>
                <w:rFonts w:ascii="Cambria" w:eastAsia="Calibri" w:hAnsi="Cambria" w:cs="Calibri"/>
                <w:lang w:val="it-IT"/>
              </w:rPr>
              <w:t>poboljšanja</w:t>
            </w:r>
            <w:proofErr w:type="spellEnd"/>
            <w:r w:rsidRPr="00886793">
              <w:rPr>
                <w:rFonts w:ascii="Cambria" w:eastAsia="Calibri" w:hAnsi="Cambria" w:cs="Calibri"/>
                <w:lang w:val="it-IT"/>
              </w:rPr>
              <w:t xml:space="preserve"> </w:t>
            </w:r>
            <w:proofErr w:type="spellStart"/>
            <w:r w:rsidRPr="00886793">
              <w:rPr>
                <w:rFonts w:ascii="Cambria" w:eastAsia="Calibri" w:hAnsi="Cambria" w:cs="Calibri"/>
                <w:lang w:val="it-IT"/>
              </w:rPr>
              <w:t>neposredne</w:t>
            </w:r>
            <w:proofErr w:type="spellEnd"/>
            <w:r w:rsidRPr="00886793">
              <w:rPr>
                <w:rFonts w:ascii="Cambria" w:eastAsia="Calibri" w:hAnsi="Cambria" w:cs="Calibri"/>
                <w:lang w:val="it-IT"/>
              </w:rPr>
              <w:t xml:space="preserve"> </w:t>
            </w:r>
            <w:proofErr w:type="spellStart"/>
            <w:r w:rsidRPr="00886793">
              <w:rPr>
                <w:rFonts w:ascii="Cambria" w:eastAsia="Calibri" w:hAnsi="Cambria" w:cs="Calibri"/>
                <w:lang w:val="it-IT"/>
              </w:rPr>
              <w:t>nastavne</w:t>
            </w:r>
            <w:proofErr w:type="spellEnd"/>
            <w:r w:rsidRPr="00886793">
              <w:rPr>
                <w:rFonts w:ascii="Cambria" w:eastAsia="Calibri" w:hAnsi="Cambria" w:cs="Calibri"/>
                <w:lang w:val="it-IT"/>
              </w:rPr>
              <w:t xml:space="preserve"> </w:t>
            </w:r>
            <w:proofErr w:type="spellStart"/>
            <w:r w:rsidRPr="00886793">
              <w:rPr>
                <w:rFonts w:ascii="Cambria" w:eastAsia="Calibri" w:hAnsi="Cambria" w:cs="Calibri"/>
                <w:lang w:val="it-IT"/>
              </w:rPr>
              <w:t>teorije</w:t>
            </w:r>
            <w:proofErr w:type="spellEnd"/>
            <w:r w:rsidRPr="00886793">
              <w:rPr>
                <w:rFonts w:ascii="Cambria" w:eastAsia="Calibri" w:hAnsi="Cambria" w:cs="Calibri"/>
                <w:lang w:val="it-IT"/>
              </w:rPr>
              <w:t xml:space="preserve"> i </w:t>
            </w:r>
            <w:proofErr w:type="spellStart"/>
            <w:r w:rsidRPr="00886793">
              <w:rPr>
                <w:rFonts w:ascii="Cambria" w:eastAsia="Calibri" w:hAnsi="Cambria" w:cs="Calibri"/>
                <w:lang w:val="it-IT"/>
              </w:rPr>
              <w:t>prakse</w:t>
            </w:r>
            <w:proofErr w:type="spellEnd"/>
          </w:p>
        </w:tc>
      </w:tr>
      <w:tr w:rsidR="009138DB" w:rsidRPr="00D0399C" w14:paraId="53625A85" w14:textId="77777777" w:rsidTr="00587D5D">
        <w:tc>
          <w:tcPr>
            <w:tcW w:w="2629"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7E6012E3" w14:textId="77777777" w:rsidR="009138DB" w:rsidRPr="00886793" w:rsidRDefault="009138DB" w:rsidP="009138DB">
            <w:pPr>
              <w:spacing w:after="0" w:line="240" w:lineRule="atLeast"/>
              <w:jc w:val="both"/>
              <w:rPr>
                <w:rFonts w:ascii="Cambria" w:eastAsia="Calibri" w:hAnsi="Cambria" w:cs="Calibri"/>
              </w:rPr>
            </w:pPr>
            <w:proofErr w:type="spellStart"/>
            <w:r w:rsidRPr="00886793">
              <w:rPr>
                <w:rFonts w:ascii="Cambria" w:eastAsia="Calibri" w:hAnsi="Cambria" w:cs="Calibri"/>
              </w:rPr>
              <w:t>Sadržaj</w:t>
            </w:r>
            <w:proofErr w:type="spellEnd"/>
            <w:r w:rsidRPr="00886793">
              <w:rPr>
                <w:rFonts w:ascii="Cambria" w:eastAsia="Calibri" w:hAnsi="Cambria" w:cs="Calibri"/>
              </w:rPr>
              <w:t xml:space="preserve"> </w:t>
            </w:r>
            <w:proofErr w:type="spellStart"/>
            <w:r w:rsidRPr="00886793">
              <w:rPr>
                <w:rFonts w:ascii="Cambria" w:eastAsia="Calibri" w:hAnsi="Cambria" w:cs="Calibri"/>
              </w:rPr>
              <w:t>kolegija</w:t>
            </w:r>
            <w:proofErr w:type="spellEnd"/>
          </w:p>
        </w:tc>
        <w:tc>
          <w:tcPr>
            <w:tcW w:w="6731"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6C1987C" w14:textId="77777777" w:rsidR="009138DB" w:rsidRPr="00886793" w:rsidRDefault="009138DB" w:rsidP="009138DB">
            <w:pPr>
              <w:spacing w:after="0" w:line="240" w:lineRule="atLeast"/>
              <w:jc w:val="both"/>
              <w:rPr>
                <w:rFonts w:ascii="Cambria" w:eastAsia="Calibri" w:hAnsi="Cambria" w:cs="Calibri"/>
              </w:rPr>
            </w:pPr>
            <w:r w:rsidRPr="00886793">
              <w:rPr>
                <w:rFonts w:ascii="Cambria" w:eastAsia="Calibri" w:hAnsi="Cambria" w:cs="Calibri"/>
              </w:rPr>
              <w:t xml:space="preserve">1. </w:t>
            </w:r>
            <w:proofErr w:type="spellStart"/>
            <w:r w:rsidRPr="00886793">
              <w:rPr>
                <w:rFonts w:ascii="Cambria" w:eastAsia="Calibri" w:hAnsi="Cambria" w:cs="Calibri"/>
              </w:rPr>
              <w:t>Pojam</w:t>
            </w:r>
            <w:proofErr w:type="spellEnd"/>
            <w:r w:rsidRPr="00886793">
              <w:rPr>
                <w:rFonts w:ascii="Cambria" w:eastAsia="Calibri" w:hAnsi="Cambria" w:cs="Calibri"/>
              </w:rPr>
              <w:t xml:space="preserve">, </w:t>
            </w:r>
            <w:proofErr w:type="spellStart"/>
            <w:r w:rsidRPr="00886793">
              <w:rPr>
                <w:rFonts w:ascii="Cambria" w:eastAsia="Calibri" w:hAnsi="Cambria" w:cs="Calibri"/>
              </w:rPr>
              <w:t>definicije</w:t>
            </w:r>
            <w:proofErr w:type="spellEnd"/>
            <w:r w:rsidRPr="00886793">
              <w:rPr>
                <w:rFonts w:ascii="Cambria" w:eastAsia="Calibri" w:hAnsi="Cambria" w:cs="Calibri"/>
              </w:rPr>
              <w:t xml:space="preserve"> </w:t>
            </w:r>
            <w:proofErr w:type="spellStart"/>
            <w:r w:rsidRPr="00886793">
              <w:rPr>
                <w:rFonts w:ascii="Cambria" w:eastAsia="Calibri" w:hAnsi="Cambria" w:cs="Calibri"/>
              </w:rPr>
              <w:t>i</w:t>
            </w:r>
            <w:proofErr w:type="spellEnd"/>
            <w:r w:rsidRPr="00886793">
              <w:rPr>
                <w:rFonts w:ascii="Cambria" w:eastAsia="Calibri" w:hAnsi="Cambria" w:cs="Calibri"/>
              </w:rPr>
              <w:t xml:space="preserve"> </w:t>
            </w:r>
            <w:proofErr w:type="spellStart"/>
            <w:r w:rsidRPr="00886793">
              <w:rPr>
                <w:rFonts w:ascii="Cambria" w:eastAsia="Calibri" w:hAnsi="Cambria" w:cs="Calibri"/>
              </w:rPr>
              <w:t>razvoj</w:t>
            </w:r>
            <w:proofErr w:type="spellEnd"/>
            <w:r w:rsidRPr="00886793">
              <w:rPr>
                <w:rFonts w:ascii="Cambria" w:eastAsia="Calibri" w:hAnsi="Cambria" w:cs="Calibri"/>
              </w:rPr>
              <w:t xml:space="preserve"> </w:t>
            </w:r>
            <w:proofErr w:type="spellStart"/>
            <w:r w:rsidRPr="00886793">
              <w:rPr>
                <w:rFonts w:ascii="Cambria" w:eastAsia="Calibri" w:hAnsi="Cambria" w:cs="Calibri"/>
              </w:rPr>
              <w:t>kineziologije</w:t>
            </w:r>
            <w:proofErr w:type="spellEnd"/>
          </w:p>
          <w:p w14:paraId="0C039701" w14:textId="77777777" w:rsidR="009138DB" w:rsidRPr="00886793" w:rsidRDefault="009138DB" w:rsidP="009138DB">
            <w:pPr>
              <w:spacing w:after="0" w:line="240" w:lineRule="atLeast"/>
              <w:jc w:val="both"/>
              <w:rPr>
                <w:rFonts w:ascii="Cambria" w:eastAsia="Calibri" w:hAnsi="Cambria" w:cs="Calibri"/>
              </w:rPr>
            </w:pPr>
            <w:r w:rsidRPr="00886793">
              <w:rPr>
                <w:rFonts w:ascii="Cambria" w:eastAsia="Calibri" w:hAnsi="Cambria" w:cs="Calibri"/>
              </w:rPr>
              <w:t xml:space="preserve">2. </w:t>
            </w:r>
            <w:proofErr w:type="spellStart"/>
            <w:r w:rsidRPr="00886793">
              <w:rPr>
                <w:rFonts w:ascii="Cambria" w:eastAsia="Calibri" w:hAnsi="Cambria" w:cs="Calibri"/>
              </w:rPr>
              <w:t>Struktura</w:t>
            </w:r>
            <w:proofErr w:type="spellEnd"/>
            <w:r w:rsidRPr="00886793">
              <w:rPr>
                <w:rFonts w:ascii="Cambria" w:eastAsia="Calibri" w:hAnsi="Cambria" w:cs="Calibri"/>
              </w:rPr>
              <w:t xml:space="preserve"> </w:t>
            </w:r>
            <w:proofErr w:type="spellStart"/>
            <w:r w:rsidRPr="00886793">
              <w:rPr>
                <w:rFonts w:ascii="Cambria" w:eastAsia="Calibri" w:hAnsi="Cambria" w:cs="Calibri"/>
              </w:rPr>
              <w:t>kineziologijske</w:t>
            </w:r>
            <w:proofErr w:type="spellEnd"/>
            <w:r w:rsidRPr="00886793">
              <w:rPr>
                <w:rFonts w:ascii="Cambria" w:eastAsia="Calibri" w:hAnsi="Cambria" w:cs="Calibri"/>
              </w:rPr>
              <w:t xml:space="preserve"> </w:t>
            </w:r>
            <w:proofErr w:type="spellStart"/>
            <w:r w:rsidRPr="00886793">
              <w:rPr>
                <w:rFonts w:ascii="Cambria" w:eastAsia="Calibri" w:hAnsi="Cambria" w:cs="Calibri"/>
              </w:rPr>
              <w:t>znanosti</w:t>
            </w:r>
            <w:proofErr w:type="spellEnd"/>
            <w:r w:rsidRPr="00886793">
              <w:rPr>
                <w:rFonts w:ascii="Cambria" w:eastAsia="Calibri" w:hAnsi="Cambria" w:cs="Calibri"/>
              </w:rPr>
              <w:t xml:space="preserve"> </w:t>
            </w:r>
            <w:proofErr w:type="spellStart"/>
            <w:r w:rsidRPr="00886793">
              <w:rPr>
                <w:rFonts w:ascii="Cambria" w:eastAsia="Calibri" w:hAnsi="Cambria" w:cs="Calibri"/>
              </w:rPr>
              <w:t>te</w:t>
            </w:r>
            <w:proofErr w:type="spellEnd"/>
            <w:r w:rsidRPr="00886793">
              <w:rPr>
                <w:rFonts w:ascii="Cambria" w:eastAsia="Calibri" w:hAnsi="Cambria" w:cs="Calibri"/>
              </w:rPr>
              <w:t xml:space="preserve"> </w:t>
            </w:r>
            <w:proofErr w:type="spellStart"/>
            <w:r w:rsidRPr="00886793">
              <w:rPr>
                <w:rFonts w:ascii="Cambria" w:eastAsia="Calibri" w:hAnsi="Cambria" w:cs="Calibri"/>
              </w:rPr>
              <w:t>samosvojnost</w:t>
            </w:r>
            <w:proofErr w:type="spellEnd"/>
            <w:r w:rsidRPr="00886793">
              <w:rPr>
                <w:rFonts w:ascii="Cambria" w:eastAsia="Calibri" w:hAnsi="Cambria" w:cs="Calibri"/>
              </w:rPr>
              <w:t xml:space="preserve"> </w:t>
            </w:r>
            <w:proofErr w:type="spellStart"/>
            <w:r w:rsidRPr="00886793">
              <w:rPr>
                <w:rFonts w:ascii="Cambria" w:eastAsia="Calibri" w:hAnsi="Cambria" w:cs="Calibri"/>
              </w:rPr>
              <w:t>i</w:t>
            </w:r>
            <w:proofErr w:type="spellEnd"/>
            <w:r w:rsidRPr="00886793">
              <w:rPr>
                <w:rFonts w:ascii="Cambria" w:eastAsia="Calibri" w:hAnsi="Cambria" w:cs="Calibri"/>
              </w:rPr>
              <w:t xml:space="preserve"> </w:t>
            </w:r>
            <w:proofErr w:type="spellStart"/>
            <w:r w:rsidRPr="00886793">
              <w:rPr>
                <w:rFonts w:ascii="Cambria" w:eastAsia="Calibri" w:hAnsi="Cambria" w:cs="Calibri"/>
              </w:rPr>
              <w:t>odnos</w:t>
            </w:r>
            <w:proofErr w:type="spellEnd"/>
            <w:r w:rsidRPr="00886793">
              <w:rPr>
                <w:rFonts w:ascii="Cambria" w:eastAsia="Calibri" w:hAnsi="Cambria" w:cs="Calibri"/>
              </w:rPr>
              <w:t xml:space="preserve"> </w:t>
            </w:r>
            <w:proofErr w:type="spellStart"/>
            <w:r w:rsidRPr="00886793">
              <w:rPr>
                <w:rFonts w:ascii="Cambria" w:eastAsia="Calibri" w:hAnsi="Cambria" w:cs="Calibri"/>
              </w:rPr>
              <w:t>kineziologije</w:t>
            </w:r>
            <w:proofErr w:type="spellEnd"/>
            <w:r w:rsidRPr="00886793">
              <w:rPr>
                <w:rFonts w:ascii="Cambria" w:eastAsia="Calibri" w:hAnsi="Cambria" w:cs="Calibri"/>
              </w:rPr>
              <w:t xml:space="preserve"> </w:t>
            </w:r>
            <w:proofErr w:type="spellStart"/>
            <w:r w:rsidRPr="00886793">
              <w:rPr>
                <w:rFonts w:ascii="Cambria" w:eastAsia="Calibri" w:hAnsi="Cambria" w:cs="Calibri"/>
              </w:rPr>
              <w:t>i</w:t>
            </w:r>
            <w:proofErr w:type="spellEnd"/>
            <w:r w:rsidRPr="00886793">
              <w:rPr>
                <w:rFonts w:ascii="Cambria" w:eastAsia="Calibri" w:hAnsi="Cambria" w:cs="Calibri"/>
              </w:rPr>
              <w:t xml:space="preserve"> </w:t>
            </w:r>
            <w:proofErr w:type="spellStart"/>
            <w:r w:rsidRPr="00886793">
              <w:rPr>
                <w:rFonts w:ascii="Cambria" w:eastAsia="Calibri" w:hAnsi="Cambria" w:cs="Calibri"/>
              </w:rPr>
              <w:t>drugih</w:t>
            </w:r>
            <w:proofErr w:type="spellEnd"/>
            <w:r w:rsidRPr="00886793">
              <w:rPr>
                <w:rFonts w:ascii="Cambria" w:eastAsia="Calibri" w:hAnsi="Cambria" w:cs="Calibri"/>
              </w:rPr>
              <w:t xml:space="preserve"> </w:t>
            </w:r>
            <w:proofErr w:type="spellStart"/>
            <w:r w:rsidRPr="00886793">
              <w:rPr>
                <w:rFonts w:ascii="Cambria" w:eastAsia="Calibri" w:hAnsi="Cambria" w:cs="Calibri"/>
              </w:rPr>
              <w:t>znanosti</w:t>
            </w:r>
            <w:proofErr w:type="spellEnd"/>
            <w:r w:rsidRPr="00886793">
              <w:rPr>
                <w:rFonts w:ascii="Cambria" w:eastAsia="Calibri" w:hAnsi="Cambria" w:cs="Calibri"/>
              </w:rPr>
              <w:t>.</w:t>
            </w:r>
          </w:p>
          <w:p w14:paraId="00C4BF8F" w14:textId="77777777" w:rsidR="009138DB" w:rsidRPr="00886793" w:rsidRDefault="009138DB" w:rsidP="009138DB">
            <w:pPr>
              <w:spacing w:after="0" w:line="240" w:lineRule="atLeast"/>
              <w:jc w:val="both"/>
              <w:rPr>
                <w:rFonts w:ascii="Cambria" w:eastAsia="Calibri" w:hAnsi="Cambria" w:cs="Calibri"/>
                <w:lang w:val="it-IT"/>
              </w:rPr>
            </w:pPr>
            <w:r w:rsidRPr="00886793">
              <w:rPr>
                <w:rFonts w:ascii="Cambria" w:eastAsia="Calibri" w:hAnsi="Cambria" w:cs="Calibri"/>
                <w:lang w:val="it-IT"/>
              </w:rPr>
              <w:t xml:space="preserve">3. </w:t>
            </w:r>
            <w:proofErr w:type="spellStart"/>
            <w:r w:rsidRPr="00886793">
              <w:rPr>
                <w:rFonts w:ascii="Cambria" w:eastAsia="Calibri" w:hAnsi="Cambria" w:cs="Calibri"/>
                <w:lang w:val="it-IT"/>
              </w:rPr>
              <w:t>Kineziološke</w:t>
            </w:r>
            <w:proofErr w:type="spellEnd"/>
            <w:r w:rsidRPr="00886793">
              <w:rPr>
                <w:rFonts w:ascii="Cambria" w:eastAsia="Calibri" w:hAnsi="Cambria" w:cs="Calibri"/>
                <w:lang w:val="it-IT"/>
              </w:rPr>
              <w:t xml:space="preserve"> </w:t>
            </w:r>
            <w:proofErr w:type="spellStart"/>
            <w:r w:rsidRPr="00886793">
              <w:rPr>
                <w:rFonts w:ascii="Cambria" w:eastAsia="Calibri" w:hAnsi="Cambria" w:cs="Calibri"/>
                <w:lang w:val="it-IT"/>
              </w:rPr>
              <w:t>pojave</w:t>
            </w:r>
            <w:proofErr w:type="spellEnd"/>
            <w:r w:rsidRPr="00886793">
              <w:rPr>
                <w:rFonts w:ascii="Cambria" w:eastAsia="Calibri" w:hAnsi="Cambria" w:cs="Calibri"/>
                <w:lang w:val="it-IT"/>
              </w:rPr>
              <w:t xml:space="preserve"> i </w:t>
            </w:r>
            <w:proofErr w:type="spellStart"/>
            <w:r w:rsidRPr="00886793">
              <w:rPr>
                <w:rFonts w:ascii="Cambria" w:eastAsia="Calibri" w:hAnsi="Cambria" w:cs="Calibri"/>
                <w:lang w:val="it-IT"/>
              </w:rPr>
              <w:t>zakonitosti</w:t>
            </w:r>
            <w:proofErr w:type="spellEnd"/>
            <w:r w:rsidRPr="00886793">
              <w:rPr>
                <w:rFonts w:ascii="Cambria" w:eastAsia="Calibri" w:hAnsi="Cambria" w:cs="Calibri"/>
                <w:lang w:val="it-IT"/>
              </w:rPr>
              <w:t>.</w:t>
            </w:r>
          </w:p>
          <w:p w14:paraId="16F57B49" w14:textId="77777777" w:rsidR="009138DB" w:rsidRPr="00886793" w:rsidRDefault="009138DB" w:rsidP="009138DB">
            <w:pPr>
              <w:spacing w:after="0" w:line="240" w:lineRule="atLeast"/>
              <w:jc w:val="both"/>
              <w:rPr>
                <w:rFonts w:ascii="Cambria" w:eastAsia="Calibri" w:hAnsi="Cambria" w:cs="Calibri"/>
                <w:lang w:val="it-IT"/>
              </w:rPr>
            </w:pPr>
            <w:r w:rsidRPr="00886793">
              <w:rPr>
                <w:rFonts w:ascii="Cambria" w:eastAsia="Calibri" w:hAnsi="Cambria" w:cs="Calibri"/>
                <w:lang w:val="it-IT"/>
              </w:rPr>
              <w:t xml:space="preserve">4. </w:t>
            </w:r>
            <w:proofErr w:type="spellStart"/>
            <w:r w:rsidRPr="00886793">
              <w:rPr>
                <w:rFonts w:ascii="Cambria" w:eastAsia="Calibri" w:hAnsi="Cambria" w:cs="Calibri"/>
                <w:lang w:val="it-IT"/>
              </w:rPr>
              <w:t>Predmet</w:t>
            </w:r>
            <w:proofErr w:type="spellEnd"/>
            <w:r w:rsidRPr="00886793">
              <w:rPr>
                <w:rFonts w:ascii="Cambria" w:eastAsia="Calibri" w:hAnsi="Cambria" w:cs="Calibri"/>
                <w:lang w:val="it-IT"/>
              </w:rPr>
              <w:t xml:space="preserve"> i </w:t>
            </w:r>
            <w:proofErr w:type="spellStart"/>
            <w:r w:rsidRPr="00886793">
              <w:rPr>
                <w:rFonts w:ascii="Cambria" w:eastAsia="Calibri" w:hAnsi="Cambria" w:cs="Calibri"/>
                <w:lang w:val="it-IT"/>
              </w:rPr>
              <w:t>metode</w:t>
            </w:r>
            <w:proofErr w:type="spellEnd"/>
            <w:r w:rsidRPr="00886793">
              <w:rPr>
                <w:rFonts w:ascii="Cambria" w:eastAsia="Calibri" w:hAnsi="Cambria" w:cs="Calibri"/>
                <w:lang w:val="it-IT"/>
              </w:rPr>
              <w:t xml:space="preserve"> </w:t>
            </w:r>
            <w:proofErr w:type="spellStart"/>
            <w:r w:rsidRPr="00886793">
              <w:rPr>
                <w:rFonts w:ascii="Cambria" w:eastAsia="Calibri" w:hAnsi="Cambria" w:cs="Calibri"/>
                <w:lang w:val="it-IT"/>
              </w:rPr>
              <w:t>istraživanja</w:t>
            </w:r>
            <w:proofErr w:type="spellEnd"/>
            <w:r w:rsidRPr="00886793">
              <w:rPr>
                <w:rFonts w:ascii="Cambria" w:eastAsia="Calibri" w:hAnsi="Cambria" w:cs="Calibri"/>
                <w:lang w:val="it-IT"/>
              </w:rPr>
              <w:t xml:space="preserve"> u </w:t>
            </w:r>
            <w:proofErr w:type="spellStart"/>
            <w:r w:rsidRPr="00886793">
              <w:rPr>
                <w:rFonts w:ascii="Cambria" w:eastAsia="Calibri" w:hAnsi="Cambria" w:cs="Calibri"/>
                <w:lang w:val="it-IT"/>
              </w:rPr>
              <w:t>kineziologiji</w:t>
            </w:r>
            <w:proofErr w:type="spellEnd"/>
            <w:r w:rsidRPr="00886793">
              <w:rPr>
                <w:rFonts w:ascii="Cambria" w:eastAsia="Calibri" w:hAnsi="Cambria" w:cs="Calibri"/>
                <w:lang w:val="it-IT"/>
              </w:rPr>
              <w:t>.</w:t>
            </w:r>
          </w:p>
          <w:p w14:paraId="62876B0C" w14:textId="77777777" w:rsidR="009138DB" w:rsidRPr="00886793" w:rsidRDefault="009138DB" w:rsidP="009138DB">
            <w:pPr>
              <w:spacing w:after="0" w:line="240" w:lineRule="atLeast"/>
              <w:jc w:val="both"/>
              <w:rPr>
                <w:rFonts w:ascii="Cambria" w:eastAsia="Calibri" w:hAnsi="Cambria" w:cs="Calibri"/>
                <w:lang w:val="it-IT"/>
              </w:rPr>
            </w:pPr>
            <w:r w:rsidRPr="00886793">
              <w:rPr>
                <w:rFonts w:ascii="Cambria" w:eastAsia="Calibri" w:hAnsi="Cambria" w:cs="Calibri"/>
                <w:lang w:val="it-IT"/>
              </w:rPr>
              <w:t xml:space="preserve">5. </w:t>
            </w:r>
            <w:proofErr w:type="spellStart"/>
            <w:r w:rsidRPr="00886793">
              <w:rPr>
                <w:rFonts w:ascii="Cambria" w:eastAsia="Calibri" w:hAnsi="Cambria" w:cs="Calibri"/>
                <w:lang w:val="it-IT"/>
              </w:rPr>
              <w:t>Mjerni</w:t>
            </w:r>
            <w:proofErr w:type="spellEnd"/>
            <w:r w:rsidRPr="00886793">
              <w:rPr>
                <w:rFonts w:ascii="Cambria" w:eastAsia="Calibri" w:hAnsi="Cambria" w:cs="Calibri"/>
                <w:lang w:val="it-IT"/>
              </w:rPr>
              <w:t xml:space="preserve"> instrumenti i </w:t>
            </w:r>
            <w:proofErr w:type="spellStart"/>
            <w:r w:rsidRPr="00886793">
              <w:rPr>
                <w:rFonts w:ascii="Cambria" w:eastAsia="Calibri" w:hAnsi="Cambria" w:cs="Calibri"/>
                <w:lang w:val="it-IT"/>
              </w:rPr>
              <w:t>mjerenja</w:t>
            </w:r>
            <w:proofErr w:type="spellEnd"/>
            <w:r w:rsidRPr="00886793">
              <w:rPr>
                <w:rFonts w:ascii="Cambria" w:eastAsia="Calibri" w:hAnsi="Cambria" w:cs="Calibri"/>
                <w:lang w:val="it-IT"/>
              </w:rPr>
              <w:t xml:space="preserve"> u </w:t>
            </w:r>
            <w:proofErr w:type="spellStart"/>
            <w:r w:rsidRPr="00886793">
              <w:rPr>
                <w:rFonts w:ascii="Cambria" w:eastAsia="Calibri" w:hAnsi="Cambria" w:cs="Calibri"/>
                <w:lang w:val="it-IT"/>
              </w:rPr>
              <w:t>kineziologiji</w:t>
            </w:r>
            <w:proofErr w:type="spellEnd"/>
            <w:r w:rsidRPr="00886793">
              <w:rPr>
                <w:rFonts w:ascii="Cambria" w:eastAsia="Calibri" w:hAnsi="Cambria" w:cs="Calibri"/>
                <w:lang w:val="it-IT"/>
              </w:rPr>
              <w:t xml:space="preserve"> u </w:t>
            </w:r>
            <w:proofErr w:type="spellStart"/>
            <w:r w:rsidRPr="00886793">
              <w:rPr>
                <w:rFonts w:ascii="Cambria" w:eastAsia="Calibri" w:hAnsi="Cambria" w:cs="Calibri"/>
                <w:lang w:val="it-IT"/>
              </w:rPr>
              <w:t>području</w:t>
            </w:r>
            <w:proofErr w:type="spellEnd"/>
            <w:r w:rsidRPr="00886793">
              <w:rPr>
                <w:rFonts w:ascii="Cambria" w:eastAsia="Calibri" w:hAnsi="Cambria" w:cs="Calibri"/>
                <w:lang w:val="it-IT"/>
              </w:rPr>
              <w:t xml:space="preserve"> </w:t>
            </w:r>
            <w:proofErr w:type="spellStart"/>
            <w:r w:rsidRPr="00886793">
              <w:rPr>
                <w:rFonts w:ascii="Cambria" w:eastAsia="Calibri" w:hAnsi="Cambria" w:cs="Calibri"/>
                <w:lang w:val="it-IT"/>
              </w:rPr>
              <w:t>primijenjene</w:t>
            </w:r>
            <w:proofErr w:type="spellEnd"/>
            <w:r w:rsidRPr="00886793">
              <w:rPr>
                <w:rFonts w:ascii="Cambria" w:eastAsia="Calibri" w:hAnsi="Cambria" w:cs="Calibri"/>
                <w:lang w:val="it-IT"/>
              </w:rPr>
              <w:t xml:space="preserve"> </w:t>
            </w:r>
            <w:proofErr w:type="spellStart"/>
            <w:r w:rsidRPr="00886793">
              <w:rPr>
                <w:rFonts w:ascii="Cambria" w:eastAsia="Calibri" w:hAnsi="Cambria" w:cs="Calibri"/>
                <w:lang w:val="it-IT"/>
              </w:rPr>
              <w:t>kineziologije</w:t>
            </w:r>
            <w:proofErr w:type="spellEnd"/>
            <w:r w:rsidRPr="00886793">
              <w:rPr>
                <w:rFonts w:ascii="Cambria" w:eastAsia="Calibri" w:hAnsi="Cambria" w:cs="Calibri"/>
                <w:lang w:val="it-IT"/>
              </w:rPr>
              <w:t xml:space="preserve"> (</w:t>
            </w:r>
            <w:proofErr w:type="spellStart"/>
            <w:r w:rsidRPr="00886793">
              <w:rPr>
                <w:rFonts w:ascii="Cambria" w:eastAsia="Calibri" w:hAnsi="Cambria" w:cs="Calibri"/>
                <w:lang w:val="it-IT"/>
              </w:rPr>
              <w:t>edukacije</w:t>
            </w:r>
            <w:proofErr w:type="spellEnd"/>
            <w:r w:rsidRPr="00886793">
              <w:rPr>
                <w:rFonts w:ascii="Cambria" w:eastAsia="Calibri" w:hAnsi="Cambria" w:cs="Calibri"/>
                <w:lang w:val="it-IT"/>
              </w:rPr>
              <w:t xml:space="preserve">) u </w:t>
            </w:r>
            <w:proofErr w:type="spellStart"/>
            <w:r w:rsidRPr="00886793">
              <w:rPr>
                <w:rFonts w:ascii="Cambria" w:eastAsia="Calibri" w:hAnsi="Cambria" w:cs="Calibri"/>
                <w:lang w:val="it-IT"/>
              </w:rPr>
              <w:t>školskom</w:t>
            </w:r>
            <w:proofErr w:type="spellEnd"/>
            <w:r w:rsidRPr="00886793">
              <w:rPr>
                <w:rFonts w:ascii="Cambria" w:eastAsia="Calibri" w:hAnsi="Cambria" w:cs="Calibri"/>
                <w:lang w:val="it-IT"/>
              </w:rPr>
              <w:t xml:space="preserve"> </w:t>
            </w:r>
            <w:proofErr w:type="spellStart"/>
            <w:r w:rsidRPr="00886793">
              <w:rPr>
                <w:rFonts w:ascii="Cambria" w:eastAsia="Calibri" w:hAnsi="Cambria" w:cs="Calibri"/>
                <w:lang w:val="it-IT"/>
              </w:rPr>
              <w:t>sustavu</w:t>
            </w:r>
            <w:proofErr w:type="spellEnd"/>
            <w:r w:rsidRPr="00886793">
              <w:rPr>
                <w:rFonts w:ascii="Cambria" w:eastAsia="Calibri" w:hAnsi="Cambria" w:cs="Calibri"/>
                <w:lang w:val="it-IT"/>
              </w:rPr>
              <w:t>.</w:t>
            </w:r>
          </w:p>
          <w:p w14:paraId="0022944D" w14:textId="77777777" w:rsidR="009138DB" w:rsidRPr="00F942C2" w:rsidRDefault="009138DB" w:rsidP="009138DB">
            <w:pPr>
              <w:spacing w:after="0" w:line="240" w:lineRule="atLeast"/>
              <w:jc w:val="both"/>
              <w:rPr>
                <w:rFonts w:ascii="Cambria" w:eastAsia="Calibri" w:hAnsi="Cambria" w:cs="Calibri"/>
                <w:lang w:val="it-IT"/>
              </w:rPr>
            </w:pPr>
            <w:r w:rsidRPr="00F942C2">
              <w:rPr>
                <w:rFonts w:ascii="Cambria" w:eastAsia="Calibri" w:hAnsi="Cambria" w:cs="Calibri"/>
                <w:lang w:val="it-IT"/>
              </w:rPr>
              <w:t xml:space="preserve">6. </w:t>
            </w:r>
            <w:proofErr w:type="spellStart"/>
            <w:r w:rsidRPr="00F942C2">
              <w:rPr>
                <w:rFonts w:ascii="Cambria" w:eastAsia="Calibri" w:hAnsi="Cambria" w:cs="Calibri"/>
                <w:lang w:val="it-IT"/>
              </w:rPr>
              <w:t>Antropološka</w:t>
            </w:r>
            <w:proofErr w:type="spellEnd"/>
            <w:r w:rsidRPr="00F942C2">
              <w:rPr>
                <w:rFonts w:ascii="Cambria" w:eastAsia="Calibri" w:hAnsi="Cambria" w:cs="Calibri"/>
                <w:lang w:val="it-IT"/>
              </w:rPr>
              <w:t xml:space="preserve"> </w:t>
            </w:r>
            <w:proofErr w:type="spellStart"/>
            <w:r w:rsidRPr="00F942C2">
              <w:rPr>
                <w:rFonts w:ascii="Cambria" w:eastAsia="Calibri" w:hAnsi="Cambria" w:cs="Calibri"/>
                <w:lang w:val="it-IT"/>
              </w:rPr>
              <w:t>obilježja</w:t>
            </w:r>
            <w:proofErr w:type="spellEnd"/>
            <w:r w:rsidRPr="00F942C2">
              <w:rPr>
                <w:rFonts w:ascii="Cambria" w:eastAsia="Calibri" w:hAnsi="Cambria" w:cs="Calibri"/>
                <w:lang w:val="it-IT"/>
              </w:rPr>
              <w:t>.</w:t>
            </w:r>
          </w:p>
          <w:p w14:paraId="499FFD2D" w14:textId="77777777" w:rsidR="009138DB" w:rsidRPr="00F942C2" w:rsidRDefault="009138DB" w:rsidP="009138DB">
            <w:pPr>
              <w:spacing w:after="0" w:line="240" w:lineRule="atLeast"/>
              <w:jc w:val="both"/>
              <w:rPr>
                <w:rFonts w:ascii="Cambria" w:eastAsia="Calibri" w:hAnsi="Cambria" w:cs="Calibri"/>
                <w:lang w:val="it-IT"/>
              </w:rPr>
            </w:pPr>
            <w:r w:rsidRPr="00F942C2">
              <w:rPr>
                <w:rFonts w:ascii="Cambria" w:eastAsia="Calibri" w:hAnsi="Cambria" w:cs="Calibri"/>
                <w:lang w:val="it-IT"/>
              </w:rPr>
              <w:t xml:space="preserve">7. </w:t>
            </w:r>
            <w:proofErr w:type="spellStart"/>
            <w:r w:rsidRPr="00F942C2">
              <w:rPr>
                <w:rFonts w:ascii="Cambria" w:eastAsia="Calibri" w:hAnsi="Cambria" w:cs="Calibri"/>
                <w:lang w:val="it-IT"/>
              </w:rPr>
              <w:t>Motorička</w:t>
            </w:r>
            <w:proofErr w:type="spellEnd"/>
            <w:r w:rsidRPr="00F942C2">
              <w:rPr>
                <w:rFonts w:ascii="Cambria" w:eastAsia="Calibri" w:hAnsi="Cambria" w:cs="Calibri"/>
                <w:lang w:val="it-IT"/>
              </w:rPr>
              <w:t xml:space="preserve"> </w:t>
            </w:r>
            <w:proofErr w:type="spellStart"/>
            <w:r w:rsidRPr="00F942C2">
              <w:rPr>
                <w:rFonts w:ascii="Cambria" w:eastAsia="Calibri" w:hAnsi="Cambria" w:cs="Calibri"/>
                <w:lang w:val="it-IT"/>
              </w:rPr>
              <w:t>znanja</w:t>
            </w:r>
            <w:proofErr w:type="spellEnd"/>
            <w:r w:rsidRPr="00F942C2">
              <w:rPr>
                <w:rFonts w:ascii="Cambria" w:eastAsia="Calibri" w:hAnsi="Cambria" w:cs="Calibri"/>
                <w:lang w:val="it-IT"/>
              </w:rPr>
              <w:t xml:space="preserve"> (</w:t>
            </w:r>
            <w:proofErr w:type="spellStart"/>
            <w:r w:rsidRPr="00F942C2">
              <w:rPr>
                <w:rFonts w:ascii="Cambria" w:eastAsia="Calibri" w:hAnsi="Cambria" w:cs="Calibri"/>
                <w:lang w:val="it-IT"/>
              </w:rPr>
              <w:t>raznovrsnost</w:t>
            </w:r>
            <w:proofErr w:type="spellEnd"/>
            <w:r w:rsidRPr="00F942C2">
              <w:rPr>
                <w:rFonts w:ascii="Cambria" w:eastAsia="Calibri" w:hAnsi="Cambria" w:cs="Calibri"/>
                <w:lang w:val="it-IT"/>
              </w:rPr>
              <w:t xml:space="preserve"> i </w:t>
            </w:r>
            <w:proofErr w:type="spellStart"/>
            <w:r w:rsidRPr="00F942C2">
              <w:rPr>
                <w:rFonts w:ascii="Cambria" w:eastAsia="Calibri" w:hAnsi="Cambria" w:cs="Calibri"/>
                <w:lang w:val="it-IT"/>
              </w:rPr>
              <w:t>stupanj</w:t>
            </w:r>
            <w:proofErr w:type="spellEnd"/>
            <w:r w:rsidRPr="00F942C2">
              <w:rPr>
                <w:rFonts w:ascii="Cambria" w:eastAsia="Calibri" w:hAnsi="Cambria" w:cs="Calibri"/>
                <w:lang w:val="it-IT"/>
              </w:rPr>
              <w:t xml:space="preserve"> </w:t>
            </w:r>
            <w:proofErr w:type="spellStart"/>
            <w:r w:rsidRPr="00F942C2">
              <w:rPr>
                <w:rFonts w:ascii="Cambria" w:eastAsia="Calibri" w:hAnsi="Cambria" w:cs="Calibri"/>
                <w:lang w:val="it-IT"/>
              </w:rPr>
              <w:t>usvojenosti</w:t>
            </w:r>
            <w:proofErr w:type="spellEnd"/>
            <w:r w:rsidRPr="00F942C2">
              <w:rPr>
                <w:rFonts w:ascii="Cambria" w:eastAsia="Calibri" w:hAnsi="Cambria" w:cs="Calibri"/>
                <w:lang w:val="it-IT"/>
              </w:rPr>
              <w:t xml:space="preserve"> </w:t>
            </w:r>
            <w:proofErr w:type="spellStart"/>
            <w:r w:rsidRPr="00F942C2">
              <w:rPr>
                <w:rFonts w:ascii="Cambria" w:eastAsia="Calibri" w:hAnsi="Cambria" w:cs="Calibri"/>
                <w:lang w:val="it-IT"/>
              </w:rPr>
              <w:t>motoričkih</w:t>
            </w:r>
            <w:proofErr w:type="spellEnd"/>
            <w:r w:rsidRPr="00F942C2">
              <w:rPr>
                <w:rFonts w:ascii="Cambria" w:eastAsia="Calibri" w:hAnsi="Cambria" w:cs="Calibri"/>
                <w:lang w:val="it-IT"/>
              </w:rPr>
              <w:t xml:space="preserve"> </w:t>
            </w:r>
            <w:proofErr w:type="spellStart"/>
            <w:r w:rsidRPr="00F942C2">
              <w:rPr>
                <w:rFonts w:ascii="Cambria" w:eastAsia="Calibri" w:hAnsi="Cambria" w:cs="Calibri"/>
                <w:lang w:val="it-IT"/>
              </w:rPr>
              <w:t>znanja</w:t>
            </w:r>
            <w:proofErr w:type="spellEnd"/>
            <w:r w:rsidRPr="00F942C2">
              <w:rPr>
                <w:rFonts w:ascii="Cambria" w:eastAsia="Calibri" w:hAnsi="Cambria" w:cs="Calibri"/>
                <w:lang w:val="it-IT"/>
              </w:rPr>
              <w:t xml:space="preserve">, </w:t>
            </w:r>
            <w:proofErr w:type="spellStart"/>
            <w:r w:rsidRPr="00F942C2">
              <w:rPr>
                <w:rFonts w:ascii="Cambria" w:eastAsia="Calibri" w:hAnsi="Cambria" w:cs="Calibri"/>
                <w:lang w:val="it-IT"/>
              </w:rPr>
              <w:t>razine</w:t>
            </w:r>
            <w:proofErr w:type="spellEnd"/>
            <w:r w:rsidRPr="00F942C2">
              <w:rPr>
                <w:rFonts w:ascii="Cambria" w:eastAsia="Calibri" w:hAnsi="Cambria" w:cs="Calibri"/>
                <w:lang w:val="it-IT"/>
              </w:rPr>
              <w:t xml:space="preserve"> </w:t>
            </w:r>
            <w:proofErr w:type="spellStart"/>
            <w:r w:rsidRPr="00F942C2">
              <w:rPr>
                <w:rFonts w:ascii="Cambria" w:eastAsia="Calibri" w:hAnsi="Cambria" w:cs="Calibri"/>
                <w:lang w:val="it-IT"/>
              </w:rPr>
              <w:t>osobina</w:t>
            </w:r>
            <w:proofErr w:type="spellEnd"/>
            <w:r w:rsidRPr="00F942C2">
              <w:rPr>
                <w:rFonts w:ascii="Cambria" w:eastAsia="Calibri" w:hAnsi="Cambria" w:cs="Calibri"/>
                <w:lang w:val="it-IT"/>
              </w:rPr>
              <w:t xml:space="preserve"> i </w:t>
            </w:r>
            <w:proofErr w:type="spellStart"/>
            <w:r w:rsidRPr="00F942C2">
              <w:rPr>
                <w:rFonts w:ascii="Cambria" w:eastAsia="Calibri" w:hAnsi="Cambria" w:cs="Calibri"/>
                <w:lang w:val="it-IT"/>
              </w:rPr>
              <w:t>sposobnosti</w:t>
            </w:r>
            <w:proofErr w:type="spellEnd"/>
            <w:r w:rsidRPr="00F942C2">
              <w:rPr>
                <w:rFonts w:ascii="Cambria" w:eastAsia="Calibri" w:hAnsi="Cambria" w:cs="Calibri"/>
                <w:lang w:val="it-IT"/>
              </w:rPr>
              <w:t xml:space="preserve">, </w:t>
            </w:r>
            <w:proofErr w:type="spellStart"/>
            <w:r w:rsidRPr="00F942C2">
              <w:rPr>
                <w:rFonts w:ascii="Cambria" w:eastAsia="Calibri" w:hAnsi="Cambria" w:cs="Calibri"/>
                <w:lang w:val="it-IT"/>
              </w:rPr>
              <w:t>stanje</w:t>
            </w:r>
            <w:proofErr w:type="spellEnd"/>
            <w:r w:rsidRPr="00F942C2">
              <w:rPr>
                <w:rFonts w:ascii="Cambria" w:eastAsia="Calibri" w:hAnsi="Cambria" w:cs="Calibri"/>
                <w:lang w:val="it-IT"/>
              </w:rPr>
              <w:t xml:space="preserve"> </w:t>
            </w:r>
            <w:proofErr w:type="spellStart"/>
            <w:r w:rsidRPr="00F942C2">
              <w:rPr>
                <w:rFonts w:ascii="Cambria" w:eastAsia="Calibri" w:hAnsi="Cambria" w:cs="Calibri"/>
                <w:lang w:val="it-IT"/>
              </w:rPr>
              <w:t>zdravlja</w:t>
            </w:r>
            <w:proofErr w:type="spellEnd"/>
            <w:r w:rsidRPr="00F942C2">
              <w:rPr>
                <w:rFonts w:ascii="Cambria" w:eastAsia="Calibri" w:hAnsi="Cambria" w:cs="Calibri"/>
                <w:lang w:val="it-IT"/>
              </w:rPr>
              <w:t xml:space="preserve"> i </w:t>
            </w:r>
            <w:proofErr w:type="spellStart"/>
            <w:r w:rsidRPr="00F942C2">
              <w:rPr>
                <w:rFonts w:ascii="Cambria" w:eastAsia="Calibri" w:hAnsi="Cambria" w:cs="Calibri"/>
                <w:lang w:val="it-IT"/>
              </w:rPr>
              <w:t>odgojni</w:t>
            </w:r>
            <w:proofErr w:type="spellEnd"/>
            <w:r w:rsidRPr="00F942C2">
              <w:rPr>
                <w:rFonts w:ascii="Cambria" w:eastAsia="Calibri" w:hAnsi="Cambria" w:cs="Calibri"/>
                <w:lang w:val="it-IT"/>
              </w:rPr>
              <w:t xml:space="preserve"> </w:t>
            </w:r>
            <w:proofErr w:type="spellStart"/>
            <w:r w:rsidRPr="00F942C2">
              <w:rPr>
                <w:rFonts w:ascii="Cambria" w:eastAsia="Calibri" w:hAnsi="Cambria" w:cs="Calibri"/>
                <w:lang w:val="it-IT"/>
              </w:rPr>
              <w:t>efekti</w:t>
            </w:r>
            <w:proofErr w:type="spellEnd"/>
            <w:r w:rsidRPr="00F942C2">
              <w:rPr>
                <w:rFonts w:ascii="Cambria" w:eastAsia="Calibri" w:hAnsi="Cambria" w:cs="Calibri"/>
                <w:lang w:val="it-IT"/>
              </w:rPr>
              <w:t>).</w:t>
            </w:r>
          </w:p>
          <w:p w14:paraId="19C091D3" w14:textId="77777777" w:rsidR="009138DB" w:rsidRPr="00F942C2" w:rsidRDefault="009138DB" w:rsidP="009138DB">
            <w:pPr>
              <w:spacing w:after="0" w:line="240" w:lineRule="atLeast"/>
              <w:jc w:val="both"/>
              <w:rPr>
                <w:rFonts w:ascii="Cambria" w:eastAsia="Calibri" w:hAnsi="Cambria" w:cs="Calibri"/>
                <w:lang w:val="it-IT"/>
              </w:rPr>
            </w:pPr>
            <w:r w:rsidRPr="00F942C2">
              <w:rPr>
                <w:rFonts w:ascii="Cambria" w:eastAsia="Calibri" w:hAnsi="Cambria" w:cs="Calibri"/>
                <w:lang w:val="it-IT"/>
              </w:rPr>
              <w:t xml:space="preserve">8. </w:t>
            </w:r>
            <w:proofErr w:type="spellStart"/>
            <w:r w:rsidRPr="00F942C2">
              <w:rPr>
                <w:rFonts w:ascii="Cambria" w:eastAsia="Calibri" w:hAnsi="Cambria" w:cs="Calibri"/>
                <w:lang w:val="it-IT"/>
              </w:rPr>
              <w:t>Upravljanje</w:t>
            </w:r>
            <w:proofErr w:type="spellEnd"/>
            <w:r w:rsidRPr="00F942C2">
              <w:rPr>
                <w:rFonts w:ascii="Cambria" w:eastAsia="Calibri" w:hAnsi="Cambria" w:cs="Calibri"/>
                <w:lang w:val="it-IT"/>
              </w:rPr>
              <w:t xml:space="preserve"> </w:t>
            </w:r>
            <w:proofErr w:type="spellStart"/>
            <w:r w:rsidRPr="00F942C2">
              <w:rPr>
                <w:rFonts w:ascii="Cambria" w:eastAsia="Calibri" w:hAnsi="Cambria" w:cs="Calibri"/>
                <w:lang w:val="it-IT"/>
              </w:rPr>
              <w:t>kineziološkim</w:t>
            </w:r>
            <w:proofErr w:type="spellEnd"/>
            <w:r w:rsidRPr="00F942C2">
              <w:rPr>
                <w:rFonts w:ascii="Cambria" w:eastAsia="Calibri" w:hAnsi="Cambria" w:cs="Calibri"/>
                <w:lang w:val="it-IT"/>
              </w:rPr>
              <w:t xml:space="preserve"> </w:t>
            </w:r>
            <w:proofErr w:type="spellStart"/>
            <w:r w:rsidRPr="00F942C2">
              <w:rPr>
                <w:rFonts w:ascii="Cambria" w:eastAsia="Calibri" w:hAnsi="Cambria" w:cs="Calibri"/>
                <w:lang w:val="it-IT"/>
              </w:rPr>
              <w:t>transformacijskim</w:t>
            </w:r>
            <w:proofErr w:type="spellEnd"/>
            <w:r w:rsidRPr="00F942C2">
              <w:rPr>
                <w:rFonts w:ascii="Cambria" w:eastAsia="Calibri" w:hAnsi="Cambria" w:cs="Calibri"/>
                <w:lang w:val="it-IT"/>
              </w:rPr>
              <w:t xml:space="preserve"> </w:t>
            </w:r>
            <w:proofErr w:type="spellStart"/>
            <w:r w:rsidRPr="00F942C2">
              <w:rPr>
                <w:rFonts w:ascii="Cambria" w:eastAsia="Calibri" w:hAnsi="Cambria" w:cs="Calibri"/>
                <w:lang w:val="it-IT"/>
              </w:rPr>
              <w:t>procesima</w:t>
            </w:r>
            <w:proofErr w:type="spellEnd"/>
            <w:r w:rsidRPr="00F942C2">
              <w:rPr>
                <w:rFonts w:ascii="Cambria" w:eastAsia="Calibri" w:hAnsi="Cambria" w:cs="Calibri"/>
                <w:lang w:val="it-IT"/>
              </w:rPr>
              <w:t xml:space="preserve"> i parametri </w:t>
            </w:r>
            <w:proofErr w:type="spellStart"/>
            <w:r w:rsidRPr="00F942C2">
              <w:rPr>
                <w:rFonts w:ascii="Cambria" w:eastAsia="Calibri" w:hAnsi="Cambria" w:cs="Calibri"/>
                <w:lang w:val="it-IT"/>
              </w:rPr>
              <w:t>upravljanja</w:t>
            </w:r>
            <w:proofErr w:type="spellEnd"/>
            <w:r w:rsidRPr="00F942C2">
              <w:rPr>
                <w:rFonts w:ascii="Cambria" w:eastAsia="Calibri" w:hAnsi="Cambria" w:cs="Calibri"/>
                <w:lang w:val="it-IT"/>
              </w:rPr>
              <w:t xml:space="preserve"> </w:t>
            </w:r>
            <w:proofErr w:type="spellStart"/>
            <w:r w:rsidRPr="00F942C2">
              <w:rPr>
                <w:rFonts w:ascii="Cambria" w:eastAsia="Calibri" w:hAnsi="Cambria" w:cs="Calibri"/>
                <w:lang w:val="it-IT"/>
              </w:rPr>
              <w:t>procesom</w:t>
            </w:r>
            <w:proofErr w:type="spellEnd"/>
            <w:r w:rsidRPr="00F942C2">
              <w:rPr>
                <w:rFonts w:ascii="Cambria" w:eastAsia="Calibri" w:hAnsi="Cambria" w:cs="Calibri"/>
                <w:lang w:val="it-IT"/>
              </w:rPr>
              <w:t xml:space="preserve"> </w:t>
            </w:r>
            <w:proofErr w:type="spellStart"/>
            <w:r w:rsidRPr="00F942C2">
              <w:rPr>
                <w:rFonts w:ascii="Cambria" w:eastAsia="Calibri" w:hAnsi="Cambria" w:cs="Calibri"/>
                <w:lang w:val="it-IT"/>
              </w:rPr>
              <w:t>vježbanja</w:t>
            </w:r>
            <w:proofErr w:type="spellEnd"/>
            <w:r w:rsidRPr="00F942C2">
              <w:rPr>
                <w:rFonts w:ascii="Cambria" w:eastAsia="Calibri" w:hAnsi="Cambria" w:cs="Calibri"/>
                <w:lang w:val="it-IT"/>
              </w:rPr>
              <w:t>.</w:t>
            </w:r>
          </w:p>
          <w:p w14:paraId="0BA711CA" w14:textId="77777777" w:rsidR="009138DB" w:rsidRPr="00F942C2" w:rsidRDefault="009138DB" w:rsidP="009138DB">
            <w:pPr>
              <w:spacing w:after="0" w:line="240" w:lineRule="atLeast"/>
              <w:jc w:val="both"/>
              <w:rPr>
                <w:rFonts w:ascii="Cambria" w:eastAsia="Calibri" w:hAnsi="Cambria" w:cs="Calibri"/>
                <w:lang w:val="it-IT"/>
              </w:rPr>
            </w:pPr>
            <w:r w:rsidRPr="00F942C2">
              <w:rPr>
                <w:rFonts w:ascii="Cambria" w:eastAsia="Calibri" w:hAnsi="Cambria" w:cs="Calibri"/>
                <w:lang w:val="it-IT"/>
              </w:rPr>
              <w:lastRenderedPageBreak/>
              <w:t xml:space="preserve">9. </w:t>
            </w:r>
            <w:proofErr w:type="spellStart"/>
            <w:r w:rsidRPr="00F942C2">
              <w:rPr>
                <w:rFonts w:ascii="Cambria" w:eastAsia="Calibri" w:hAnsi="Cambria" w:cs="Calibri"/>
                <w:lang w:val="it-IT"/>
              </w:rPr>
              <w:t>Programiranje</w:t>
            </w:r>
            <w:proofErr w:type="spellEnd"/>
            <w:r w:rsidRPr="00F942C2">
              <w:rPr>
                <w:rFonts w:ascii="Cambria" w:eastAsia="Calibri" w:hAnsi="Cambria" w:cs="Calibri"/>
                <w:lang w:val="it-IT"/>
              </w:rPr>
              <w:t xml:space="preserve"> </w:t>
            </w:r>
            <w:proofErr w:type="spellStart"/>
            <w:r w:rsidRPr="00F942C2">
              <w:rPr>
                <w:rFonts w:ascii="Cambria" w:eastAsia="Calibri" w:hAnsi="Cambria" w:cs="Calibri"/>
                <w:lang w:val="it-IT"/>
              </w:rPr>
              <w:t>upravljanog</w:t>
            </w:r>
            <w:proofErr w:type="spellEnd"/>
            <w:r w:rsidRPr="00F942C2">
              <w:rPr>
                <w:rFonts w:ascii="Cambria" w:eastAsia="Calibri" w:hAnsi="Cambria" w:cs="Calibri"/>
                <w:lang w:val="it-IT"/>
              </w:rPr>
              <w:t xml:space="preserve"> </w:t>
            </w:r>
            <w:proofErr w:type="spellStart"/>
            <w:r w:rsidRPr="00F942C2">
              <w:rPr>
                <w:rFonts w:ascii="Cambria" w:eastAsia="Calibri" w:hAnsi="Cambria" w:cs="Calibri"/>
                <w:lang w:val="it-IT"/>
              </w:rPr>
              <w:t>procesa</w:t>
            </w:r>
            <w:proofErr w:type="spellEnd"/>
            <w:r w:rsidRPr="00F942C2">
              <w:rPr>
                <w:rFonts w:ascii="Cambria" w:eastAsia="Calibri" w:hAnsi="Cambria" w:cs="Calibri"/>
                <w:lang w:val="it-IT"/>
              </w:rPr>
              <w:t xml:space="preserve"> </w:t>
            </w:r>
            <w:proofErr w:type="spellStart"/>
            <w:r w:rsidRPr="00F942C2">
              <w:rPr>
                <w:rFonts w:ascii="Cambria" w:eastAsia="Calibri" w:hAnsi="Cambria" w:cs="Calibri"/>
                <w:lang w:val="it-IT"/>
              </w:rPr>
              <w:t>vježbanja</w:t>
            </w:r>
            <w:proofErr w:type="spellEnd"/>
            <w:r w:rsidRPr="00F942C2">
              <w:rPr>
                <w:rFonts w:ascii="Cambria" w:eastAsia="Calibri" w:hAnsi="Cambria" w:cs="Calibri"/>
                <w:lang w:val="it-IT"/>
              </w:rPr>
              <w:t xml:space="preserve"> za </w:t>
            </w:r>
            <w:proofErr w:type="spellStart"/>
            <w:r w:rsidRPr="00F942C2">
              <w:rPr>
                <w:rFonts w:ascii="Cambria" w:eastAsia="Calibri" w:hAnsi="Cambria" w:cs="Calibri"/>
                <w:lang w:val="it-IT"/>
              </w:rPr>
              <w:t>djecu</w:t>
            </w:r>
            <w:proofErr w:type="spellEnd"/>
            <w:r w:rsidRPr="00F942C2">
              <w:rPr>
                <w:rFonts w:ascii="Cambria" w:eastAsia="Calibri" w:hAnsi="Cambria" w:cs="Calibri"/>
                <w:lang w:val="it-IT"/>
              </w:rPr>
              <w:t xml:space="preserve"> </w:t>
            </w:r>
            <w:proofErr w:type="spellStart"/>
            <w:r w:rsidRPr="00F942C2">
              <w:rPr>
                <w:rFonts w:ascii="Cambria" w:eastAsia="Calibri" w:hAnsi="Cambria" w:cs="Calibri"/>
                <w:lang w:val="it-IT"/>
              </w:rPr>
              <w:t>školske</w:t>
            </w:r>
            <w:proofErr w:type="spellEnd"/>
            <w:r w:rsidRPr="00F942C2">
              <w:rPr>
                <w:rFonts w:ascii="Cambria" w:eastAsia="Calibri" w:hAnsi="Cambria" w:cs="Calibri"/>
                <w:lang w:val="it-IT"/>
              </w:rPr>
              <w:t xml:space="preserve"> </w:t>
            </w:r>
            <w:proofErr w:type="spellStart"/>
            <w:r w:rsidRPr="00F942C2">
              <w:rPr>
                <w:rFonts w:ascii="Cambria" w:eastAsia="Calibri" w:hAnsi="Cambria" w:cs="Calibri"/>
                <w:lang w:val="it-IT"/>
              </w:rPr>
              <w:t>dobi</w:t>
            </w:r>
            <w:proofErr w:type="spellEnd"/>
            <w:r w:rsidRPr="00F942C2">
              <w:rPr>
                <w:rFonts w:ascii="Cambria" w:eastAsia="Calibri" w:hAnsi="Cambria" w:cs="Calibri"/>
                <w:lang w:val="it-IT"/>
              </w:rPr>
              <w:t xml:space="preserve"> (</w:t>
            </w:r>
            <w:proofErr w:type="spellStart"/>
            <w:r w:rsidRPr="00F942C2">
              <w:rPr>
                <w:rFonts w:ascii="Cambria" w:eastAsia="Calibri" w:hAnsi="Cambria" w:cs="Calibri"/>
                <w:lang w:val="it-IT"/>
              </w:rPr>
              <w:t>izbor</w:t>
            </w:r>
            <w:proofErr w:type="spellEnd"/>
            <w:r w:rsidRPr="00F942C2">
              <w:rPr>
                <w:rFonts w:ascii="Cambria" w:eastAsia="Calibri" w:hAnsi="Cambria" w:cs="Calibri"/>
                <w:lang w:val="it-IT"/>
              </w:rPr>
              <w:t xml:space="preserve"> i </w:t>
            </w:r>
            <w:proofErr w:type="spellStart"/>
            <w:r w:rsidRPr="00F942C2">
              <w:rPr>
                <w:rFonts w:ascii="Cambria" w:eastAsia="Calibri" w:hAnsi="Cambria" w:cs="Calibri"/>
                <w:lang w:val="it-IT"/>
              </w:rPr>
              <w:t>distribucija</w:t>
            </w:r>
            <w:proofErr w:type="spellEnd"/>
            <w:r w:rsidRPr="00F942C2">
              <w:rPr>
                <w:rFonts w:ascii="Cambria" w:eastAsia="Calibri" w:hAnsi="Cambria" w:cs="Calibri"/>
                <w:lang w:val="it-IT"/>
              </w:rPr>
              <w:t xml:space="preserve"> </w:t>
            </w:r>
            <w:proofErr w:type="spellStart"/>
            <w:r w:rsidRPr="00F942C2">
              <w:rPr>
                <w:rFonts w:ascii="Cambria" w:eastAsia="Calibri" w:hAnsi="Cambria" w:cs="Calibri"/>
                <w:lang w:val="it-IT"/>
              </w:rPr>
              <w:t>sadržaja</w:t>
            </w:r>
            <w:proofErr w:type="spellEnd"/>
            <w:r w:rsidRPr="00F942C2">
              <w:rPr>
                <w:rFonts w:ascii="Cambria" w:eastAsia="Calibri" w:hAnsi="Cambria" w:cs="Calibri"/>
                <w:lang w:val="it-IT"/>
              </w:rPr>
              <w:t xml:space="preserve"> rada, </w:t>
            </w:r>
            <w:proofErr w:type="spellStart"/>
            <w:r w:rsidRPr="00F942C2">
              <w:rPr>
                <w:rFonts w:ascii="Cambria" w:eastAsia="Calibri" w:hAnsi="Cambria" w:cs="Calibri"/>
                <w:lang w:val="it-IT"/>
              </w:rPr>
              <w:t>volumen</w:t>
            </w:r>
            <w:proofErr w:type="spellEnd"/>
            <w:r w:rsidRPr="00F942C2">
              <w:rPr>
                <w:rFonts w:ascii="Cambria" w:eastAsia="Calibri" w:hAnsi="Cambria" w:cs="Calibri"/>
                <w:lang w:val="it-IT"/>
              </w:rPr>
              <w:t xml:space="preserve"> </w:t>
            </w:r>
            <w:proofErr w:type="spellStart"/>
            <w:r w:rsidRPr="00F942C2">
              <w:rPr>
                <w:rFonts w:ascii="Cambria" w:eastAsia="Calibri" w:hAnsi="Cambria" w:cs="Calibri"/>
                <w:lang w:val="it-IT"/>
              </w:rPr>
              <w:t>opterećenja</w:t>
            </w:r>
            <w:proofErr w:type="spellEnd"/>
            <w:r w:rsidRPr="00F942C2">
              <w:rPr>
                <w:rFonts w:ascii="Cambria" w:eastAsia="Calibri" w:hAnsi="Cambria" w:cs="Calibri"/>
                <w:lang w:val="it-IT"/>
              </w:rPr>
              <w:t xml:space="preserve"> i </w:t>
            </w:r>
            <w:proofErr w:type="spellStart"/>
            <w:r w:rsidRPr="00F942C2">
              <w:rPr>
                <w:rFonts w:ascii="Cambria" w:eastAsia="Calibri" w:hAnsi="Cambria" w:cs="Calibri"/>
                <w:lang w:val="it-IT"/>
              </w:rPr>
              <w:t>izbor</w:t>
            </w:r>
            <w:proofErr w:type="spellEnd"/>
            <w:r w:rsidRPr="00F942C2">
              <w:rPr>
                <w:rFonts w:ascii="Cambria" w:eastAsia="Calibri" w:hAnsi="Cambria" w:cs="Calibri"/>
                <w:lang w:val="it-IT"/>
              </w:rPr>
              <w:t xml:space="preserve"> </w:t>
            </w:r>
            <w:proofErr w:type="spellStart"/>
            <w:r w:rsidRPr="00F942C2">
              <w:rPr>
                <w:rFonts w:ascii="Cambria" w:eastAsia="Calibri" w:hAnsi="Cambria" w:cs="Calibri"/>
                <w:lang w:val="it-IT"/>
              </w:rPr>
              <w:t>modaliteta</w:t>
            </w:r>
            <w:proofErr w:type="spellEnd"/>
            <w:r w:rsidRPr="00F942C2">
              <w:rPr>
                <w:rFonts w:ascii="Cambria" w:eastAsia="Calibri" w:hAnsi="Cambria" w:cs="Calibri"/>
                <w:lang w:val="it-IT"/>
              </w:rPr>
              <w:t xml:space="preserve"> rada).</w:t>
            </w:r>
          </w:p>
          <w:p w14:paraId="23622676" w14:textId="77777777" w:rsidR="009138DB" w:rsidRPr="00F942C2" w:rsidRDefault="009138DB" w:rsidP="009138DB">
            <w:pPr>
              <w:spacing w:after="0" w:line="240" w:lineRule="atLeast"/>
              <w:jc w:val="both"/>
              <w:rPr>
                <w:rFonts w:ascii="Cambria" w:eastAsia="Calibri" w:hAnsi="Cambria" w:cs="Calibri"/>
                <w:lang w:val="it-IT"/>
              </w:rPr>
            </w:pPr>
            <w:r w:rsidRPr="00F942C2">
              <w:rPr>
                <w:rFonts w:ascii="Cambria" w:eastAsia="Calibri" w:hAnsi="Cambria" w:cs="Calibri"/>
                <w:lang w:val="it-IT"/>
              </w:rPr>
              <w:t xml:space="preserve">10. </w:t>
            </w:r>
            <w:proofErr w:type="spellStart"/>
            <w:r w:rsidRPr="00F942C2">
              <w:rPr>
                <w:rFonts w:ascii="Cambria" w:eastAsia="Calibri" w:hAnsi="Cambria" w:cs="Calibri"/>
                <w:lang w:val="it-IT"/>
              </w:rPr>
              <w:t>Praćenje</w:t>
            </w:r>
            <w:proofErr w:type="spellEnd"/>
            <w:r w:rsidRPr="00F942C2">
              <w:rPr>
                <w:rFonts w:ascii="Cambria" w:eastAsia="Calibri" w:hAnsi="Cambria" w:cs="Calibri"/>
                <w:lang w:val="it-IT"/>
              </w:rPr>
              <w:t xml:space="preserve">, </w:t>
            </w:r>
            <w:proofErr w:type="spellStart"/>
            <w:r w:rsidRPr="00F942C2">
              <w:rPr>
                <w:rFonts w:ascii="Cambria" w:eastAsia="Calibri" w:hAnsi="Cambria" w:cs="Calibri"/>
                <w:lang w:val="it-IT"/>
              </w:rPr>
              <w:t>provjeravanje</w:t>
            </w:r>
            <w:proofErr w:type="spellEnd"/>
            <w:r w:rsidRPr="00F942C2">
              <w:rPr>
                <w:rFonts w:ascii="Cambria" w:eastAsia="Calibri" w:hAnsi="Cambria" w:cs="Calibri"/>
                <w:lang w:val="it-IT"/>
              </w:rPr>
              <w:t xml:space="preserve"> i </w:t>
            </w:r>
            <w:proofErr w:type="spellStart"/>
            <w:r w:rsidRPr="00F942C2">
              <w:rPr>
                <w:rFonts w:ascii="Cambria" w:eastAsia="Calibri" w:hAnsi="Cambria" w:cs="Calibri"/>
                <w:lang w:val="it-IT"/>
              </w:rPr>
              <w:t>vrednovanje</w:t>
            </w:r>
            <w:proofErr w:type="spellEnd"/>
            <w:r w:rsidRPr="00F942C2">
              <w:rPr>
                <w:rFonts w:ascii="Cambria" w:eastAsia="Calibri" w:hAnsi="Cambria" w:cs="Calibri"/>
                <w:lang w:val="it-IT"/>
              </w:rPr>
              <w:t xml:space="preserve"> </w:t>
            </w:r>
            <w:proofErr w:type="spellStart"/>
            <w:r w:rsidRPr="00F942C2">
              <w:rPr>
                <w:rFonts w:ascii="Cambria" w:eastAsia="Calibri" w:hAnsi="Cambria" w:cs="Calibri"/>
                <w:lang w:val="it-IT"/>
              </w:rPr>
              <w:t>usvojenosti</w:t>
            </w:r>
            <w:proofErr w:type="spellEnd"/>
            <w:r w:rsidRPr="00F942C2">
              <w:rPr>
                <w:rFonts w:ascii="Cambria" w:eastAsia="Calibri" w:hAnsi="Cambria" w:cs="Calibri"/>
                <w:lang w:val="it-IT"/>
              </w:rPr>
              <w:t xml:space="preserve"> </w:t>
            </w:r>
            <w:proofErr w:type="spellStart"/>
            <w:r w:rsidRPr="00F942C2">
              <w:rPr>
                <w:rFonts w:ascii="Cambria" w:eastAsia="Calibri" w:hAnsi="Cambria" w:cs="Calibri"/>
                <w:lang w:val="it-IT"/>
              </w:rPr>
              <w:t>motoričkih</w:t>
            </w:r>
            <w:proofErr w:type="spellEnd"/>
            <w:r w:rsidRPr="00F942C2">
              <w:rPr>
                <w:rFonts w:ascii="Cambria" w:eastAsia="Calibri" w:hAnsi="Cambria" w:cs="Calibri"/>
                <w:lang w:val="it-IT"/>
              </w:rPr>
              <w:t xml:space="preserve"> </w:t>
            </w:r>
            <w:proofErr w:type="spellStart"/>
            <w:r w:rsidRPr="00F942C2">
              <w:rPr>
                <w:rFonts w:ascii="Cambria" w:eastAsia="Calibri" w:hAnsi="Cambria" w:cs="Calibri"/>
                <w:lang w:val="it-IT"/>
              </w:rPr>
              <w:t>znanja</w:t>
            </w:r>
            <w:proofErr w:type="spellEnd"/>
            <w:r w:rsidRPr="00F942C2">
              <w:rPr>
                <w:rFonts w:ascii="Cambria" w:eastAsia="Calibri" w:hAnsi="Cambria" w:cs="Calibri"/>
                <w:lang w:val="it-IT"/>
              </w:rPr>
              <w:t xml:space="preserve">, </w:t>
            </w:r>
            <w:proofErr w:type="spellStart"/>
            <w:r w:rsidRPr="00F942C2">
              <w:rPr>
                <w:rFonts w:ascii="Cambria" w:eastAsia="Calibri" w:hAnsi="Cambria" w:cs="Calibri"/>
                <w:lang w:val="it-IT"/>
              </w:rPr>
              <w:t>osobina</w:t>
            </w:r>
            <w:proofErr w:type="spellEnd"/>
            <w:r w:rsidRPr="00F942C2">
              <w:rPr>
                <w:rFonts w:ascii="Cambria" w:eastAsia="Calibri" w:hAnsi="Cambria" w:cs="Calibri"/>
                <w:lang w:val="it-IT"/>
              </w:rPr>
              <w:t xml:space="preserve">, </w:t>
            </w:r>
            <w:proofErr w:type="spellStart"/>
            <w:r w:rsidRPr="00F942C2">
              <w:rPr>
                <w:rFonts w:ascii="Cambria" w:eastAsia="Calibri" w:hAnsi="Cambria" w:cs="Calibri"/>
                <w:lang w:val="it-IT"/>
              </w:rPr>
              <w:t>sposobnosti</w:t>
            </w:r>
            <w:proofErr w:type="spellEnd"/>
            <w:r w:rsidRPr="00F942C2">
              <w:rPr>
                <w:rFonts w:ascii="Cambria" w:eastAsia="Calibri" w:hAnsi="Cambria" w:cs="Calibri"/>
                <w:lang w:val="it-IT"/>
              </w:rPr>
              <w:t xml:space="preserve"> i </w:t>
            </w:r>
            <w:proofErr w:type="spellStart"/>
            <w:r w:rsidRPr="00F942C2">
              <w:rPr>
                <w:rFonts w:ascii="Cambria" w:eastAsia="Calibri" w:hAnsi="Cambria" w:cs="Calibri"/>
                <w:lang w:val="it-IT"/>
              </w:rPr>
              <w:t>zdravlja</w:t>
            </w:r>
            <w:proofErr w:type="spellEnd"/>
            <w:r w:rsidRPr="00F942C2">
              <w:rPr>
                <w:rFonts w:ascii="Cambria" w:eastAsia="Calibri" w:hAnsi="Cambria" w:cs="Calibri"/>
                <w:lang w:val="it-IT"/>
              </w:rPr>
              <w:t>.</w:t>
            </w:r>
          </w:p>
          <w:p w14:paraId="076A3990" w14:textId="77777777" w:rsidR="009138DB" w:rsidRPr="00886793" w:rsidRDefault="009138DB" w:rsidP="009138DB">
            <w:pPr>
              <w:spacing w:after="0" w:line="240" w:lineRule="atLeast"/>
              <w:jc w:val="both"/>
              <w:rPr>
                <w:rFonts w:ascii="Cambria" w:eastAsia="Calibri" w:hAnsi="Cambria" w:cs="Calibri"/>
                <w:lang w:val="it-IT"/>
              </w:rPr>
            </w:pPr>
            <w:r w:rsidRPr="00886793">
              <w:rPr>
                <w:rFonts w:ascii="Cambria" w:eastAsia="Calibri" w:hAnsi="Cambria" w:cs="Calibri"/>
                <w:lang w:val="it-IT"/>
              </w:rPr>
              <w:t xml:space="preserve">11. </w:t>
            </w:r>
            <w:proofErr w:type="spellStart"/>
            <w:r w:rsidRPr="00886793">
              <w:rPr>
                <w:rFonts w:ascii="Cambria" w:eastAsia="Calibri" w:hAnsi="Cambria" w:cs="Calibri"/>
                <w:lang w:val="it-IT"/>
              </w:rPr>
              <w:t>Utjecaj</w:t>
            </w:r>
            <w:proofErr w:type="spellEnd"/>
            <w:r w:rsidRPr="00886793">
              <w:rPr>
                <w:rFonts w:ascii="Cambria" w:eastAsia="Calibri" w:hAnsi="Cambria" w:cs="Calibri"/>
                <w:lang w:val="it-IT"/>
              </w:rPr>
              <w:t xml:space="preserve"> </w:t>
            </w:r>
            <w:proofErr w:type="spellStart"/>
            <w:r w:rsidRPr="00886793">
              <w:rPr>
                <w:rFonts w:ascii="Cambria" w:eastAsia="Calibri" w:hAnsi="Cambria" w:cs="Calibri"/>
                <w:lang w:val="it-IT"/>
              </w:rPr>
              <w:t>procesa</w:t>
            </w:r>
            <w:proofErr w:type="spellEnd"/>
            <w:r w:rsidRPr="00886793">
              <w:rPr>
                <w:rFonts w:ascii="Cambria" w:eastAsia="Calibri" w:hAnsi="Cambria" w:cs="Calibri"/>
                <w:lang w:val="it-IT"/>
              </w:rPr>
              <w:t xml:space="preserve"> </w:t>
            </w:r>
            <w:proofErr w:type="spellStart"/>
            <w:r w:rsidRPr="00886793">
              <w:rPr>
                <w:rFonts w:ascii="Cambria" w:eastAsia="Calibri" w:hAnsi="Cambria" w:cs="Calibri"/>
                <w:lang w:val="it-IT"/>
              </w:rPr>
              <w:t>vježbanja</w:t>
            </w:r>
            <w:proofErr w:type="spellEnd"/>
            <w:r w:rsidRPr="00886793">
              <w:rPr>
                <w:rFonts w:ascii="Cambria" w:eastAsia="Calibri" w:hAnsi="Cambria" w:cs="Calibri"/>
                <w:lang w:val="it-IT"/>
              </w:rPr>
              <w:t xml:space="preserve"> </w:t>
            </w:r>
            <w:proofErr w:type="spellStart"/>
            <w:r w:rsidRPr="00886793">
              <w:rPr>
                <w:rFonts w:ascii="Cambria" w:eastAsia="Calibri" w:hAnsi="Cambria" w:cs="Calibri"/>
                <w:lang w:val="it-IT"/>
              </w:rPr>
              <w:t>na</w:t>
            </w:r>
            <w:proofErr w:type="spellEnd"/>
            <w:r w:rsidRPr="00886793">
              <w:rPr>
                <w:rFonts w:ascii="Cambria" w:eastAsia="Calibri" w:hAnsi="Cambria" w:cs="Calibri"/>
                <w:lang w:val="it-IT"/>
              </w:rPr>
              <w:t xml:space="preserve"> </w:t>
            </w:r>
            <w:proofErr w:type="spellStart"/>
            <w:r w:rsidRPr="00886793">
              <w:rPr>
                <w:rFonts w:ascii="Cambria" w:eastAsia="Calibri" w:hAnsi="Cambria" w:cs="Calibri"/>
                <w:lang w:val="it-IT"/>
              </w:rPr>
              <w:t>ljudski</w:t>
            </w:r>
            <w:proofErr w:type="spellEnd"/>
            <w:r w:rsidRPr="00886793">
              <w:rPr>
                <w:rFonts w:ascii="Cambria" w:eastAsia="Calibri" w:hAnsi="Cambria" w:cs="Calibri"/>
                <w:lang w:val="it-IT"/>
              </w:rPr>
              <w:t xml:space="preserve"> </w:t>
            </w:r>
            <w:proofErr w:type="spellStart"/>
            <w:r w:rsidRPr="00886793">
              <w:rPr>
                <w:rFonts w:ascii="Cambria" w:eastAsia="Calibri" w:hAnsi="Cambria" w:cs="Calibri"/>
                <w:lang w:val="it-IT"/>
              </w:rPr>
              <w:t>organizam</w:t>
            </w:r>
            <w:proofErr w:type="spellEnd"/>
            <w:r w:rsidRPr="00886793">
              <w:rPr>
                <w:rFonts w:ascii="Cambria" w:eastAsia="Calibri" w:hAnsi="Cambria" w:cs="Calibri"/>
                <w:lang w:val="it-IT"/>
              </w:rPr>
              <w:t>.</w:t>
            </w:r>
          </w:p>
          <w:p w14:paraId="112F01BD" w14:textId="77777777" w:rsidR="009138DB" w:rsidRPr="00886793" w:rsidRDefault="009138DB" w:rsidP="009138DB">
            <w:pPr>
              <w:spacing w:after="0" w:line="240" w:lineRule="atLeast"/>
              <w:jc w:val="both"/>
              <w:rPr>
                <w:rFonts w:ascii="Cambria" w:eastAsia="Calibri" w:hAnsi="Cambria" w:cs="Calibri"/>
                <w:lang w:val="it-IT"/>
              </w:rPr>
            </w:pPr>
            <w:r w:rsidRPr="00886793">
              <w:rPr>
                <w:rFonts w:ascii="Cambria" w:eastAsia="Calibri" w:hAnsi="Cambria" w:cs="Calibri"/>
                <w:lang w:val="it-IT"/>
              </w:rPr>
              <w:t xml:space="preserve">12. </w:t>
            </w:r>
            <w:proofErr w:type="spellStart"/>
            <w:r w:rsidRPr="00886793">
              <w:rPr>
                <w:rFonts w:ascii="Cambria" w:eastAsia="Calibri" w:hAnsi="Cambria" w:cs="Calibri"/>
                <w:lang w:val="it-IT"/>
              </w:rPr>
              <w:t>Kretanje</w:t>
            </w:r>
            <w:proofErr w:type="spellEnd"/>
            <w:r w:rsidRPr="00886793">
              <w:rPr>
                <w:rFonts w:ascii="Cambria" w:eastAsia="Calibri" w:hAnsi="Cambria" w:cs="Calibri"/>
                <w:lang w:val="it-IT"/>
              </w:rPr>
              <w:t xml:space="preserve"> </w:t>
            </w:r>
            <w:proofErr w:type="spellStart"/>
            <w:r w:rsidRPr="00886793">
              <w:rPr>
                <w:rFonts w:ascii="Cambria" w:eastAsia="Calibri" w:hAnsi="Cambria" w:cs="Calibri"/>
                <w:lang w:val="it-IT"/>
              </w:rPr>
              <w:t>kao</w:t>
            </w:r>
            <w:proofErr w:type="spellEnd"/>
            <w:r w:rsidRPr="00886793">
              <w:rPr>
                <w:rFonts w:ascii="Cambria" w:eastAsia="Calibri" w:hAnsi="Cambria" w:cs="Calibri"/>
                <w:lang w:val="it-IT"/>
              </w:rPr>
              <w:t xml:space="preserve"> </w:t>
            </w:r>
            <w:proofErr w:type="spellStart"/>
            <w:r w:rsidRPr="00886793">
              <w:rPr>
                <w:rFonts w:ascii="Cambria" w:eastAsia="Calibri" w:hAnsi="Cambria" w:cs="Calibri"/>
                <w:lang w:val="it-IT"/>
              </w:rPr>
              <w:t>čimbenik</w:t>
            </w:r>
            <w:proofErr w:type="spellEnd"/>
            <w:r w:rsidRPr="00886793">
              <w:rPr>
                <w:rFonts w:ascii="Cambria" w:eastAsia="Calibri" w:hAnsi="Cambria" w:cs="Calibri"/>
                <w:lang w:val="it-IT"/>
              </w:rPr>
              <w:t xml:space="preserve"> </w:t>
            </w:r>
            <w:proofErr w:type="spellStart"/>
            <w:r w:rsidRPr="00886793">
              <w:rPr>
                <w:rFonts w:ascii="Cambria" w:eastAsia="Calibri" w:hAnsi="Cambria" w:cs="Calibri"/>
                <w:lang w:val="it-IT"/>
              </w:rPr>
              <w:t>filogenetskog</w:t>
            </w:r>
            <w:proofErr w:type="spellEnd"/>
            <w:r w:rsidRPr="00886793">
              <w:rPr>
                <w:rFonts w:ascii="Cambria" w:eastAsia="Calibri" w:hAnsi="Cambria" w:cs="Calibri"/>
                <w:lang w:val="it-IT"/>
              </w:rPr>
              <w:t xml:space="preserve"> i </w:t>
            </w:r>
            <w:proofErr w:type="spellStart"/>
            <w:r w:rsidRPr="00886793">
              <w:rPr>
                <w:rFonts w:ascii="Cambria" w:eastAsia="Calibri" w:hAnsi="Cambria" w:cs="Calibri"/>
                <w:lang w:val="it-IT"/>
              </w:rPr>
              <w:t>ontogenetskog</w:t>
            </w:r>
            <w:proofErr w:type="spellEnd"/>
            <w:r w:rsidRPr="00886793">
              <w:rPr>
                <w:rFonts w:ascii="Cambria" w:eastAsia="Calibri" w:hAnsi="Cambria" w:cs="Calibri"/>
                <w:lang w:val="it-IT"/>
              </w:rPr>
              <w:t xml:space="preserve"> </w:t>
            </w:r>
            <w:proofErr w:type="spellStart"/>
            <w:r w:rsidRPr="00886793">
              <w:rPr>
                <w:rFonts w:ascii="Cambria" w:eastAsia="Calibri" w:hAnsi="Cambria" w:cs="Calibri"/>
                <w:lang w:val="it-IT"/>
              </w:rPr>
              <w:t>razvoja</w:t>
            </w:r>
            <w:proofErr w:type="spellEnd"/>
            <w:r w:rsidRPr="00886793">
              <w:rPr>
                <w:rFonts w:ascii="Cambria" w:eastAsia="Calibri" w:hAnsi="Cambria" w:cs="Calibri"/>
                <w:lang w:val="it-IT"/>
              </w:rPr>
              <w:t xml:space="preserve"> i </w:t>
            </w:r>
            <w:proofErr w:type="spellStart"/>
            <w:r w:rsidRPr="00886793">
              <w:rPr>
                <w:rFonts w:ascii="Cambria" w:eastAsia="Calibri" w:hAnsi="Cambria" w:cs="Calibri"/>
                <w:lang w:val="it-IT"/>
              </w:rPr>
              <w:t>kao</w:t>
            </w:r>
            <w:proofErr w:type="spellEnd"/>
            <w:r w:rsidRPr="00886793">
              <w:rPr>
                <w:rFonts w:ascii="Cambria" w:eastAsia="Calibri" w:hAnsi="Cambria" w:cs="Calibri"/>
                <w:lang w:val="it-IT"/>
              </w:rPr>
              <w:t xml:space="preserve"> </w:t>
            </w:r>
            <w:proofErr w:type="spellStart"/>
            <w:r w:rsidRPr="00886793">
              <w:rPr>
                <w:rFonts w:ascii="Cambria" w:eastAsia="Calibri" w:hAnsi="Cambria" w:cs="Calibri"/>
                <w:lang w:val="it-IT"/>
              </w:rPr>
              <w:t>faktor</w:t>
            </w:r>
            <w:proofErr w:type="spellEnd"/>
            <w:r w:rsidRPr="00886793">
              <w:rPr>
                <w:rFonts w:ascii="Cambria" w:eastAsia="Calibri" w:hAnsi="Cambria" w:cs="Calibri"/>
                <w:lang w:val="it-IT"/>
              </w:rPr>
              <w:t xml:space="preserve"> </w:t>
            </w:r>
            <w:proofErr w:type="spellStart"/>
            <w:r w:rsidRPr="00886793">
              <w:rPr>
                <w:rFonts w:ascii="Cambria" w:eastAsia="Calibri" w:hAnsi="Cambria" w:cs="Calibri"/>
                <w:lang w:val="it-IT"/>
              </w:rPr>
              <w:t>kulture</w:t>
            </w:r>
            <w:proofErr w:type="spellEnd"/>
            <w:r w:rsidRPr="00886793">
              <w:rPr>
                <w:rFonts w:ascii="Cambria" w:eastAsia="Calibri" w:hAnsi="Cambria" w:cs="Calibri"/>
                <w:lang w:val="it-IT"/>
              </w:rPr>
              <w:t xml:space="preserve"> </w:t>
            </w:r>
            <w:proofErr w:type="spellStart"/>
            <w:r w:rsidRPr="00886793">
              <w:rPr>
                <w:rFonts w:ascii="Cambria" w:eastAsia="Calibri" w:hAnsi="Cambria" w:cs="Calibri"/>
                <w:lang w:val="it-IT"/>
              </w:rPr>
              <w:t>življenja</w:t>
            </w:r>
            <w:proofErr w:type="spellEnd"/>
            <w:r w:rsidRPr="00886793">
              <w:rPr>
                <w:rFonts w:ascii="Cambria" w:eastAsia="Calibri" w:hAnsi="Cambria" w:cs="Calibri"/>
                <w:lang w:val="it-IT"/>
              </w:rPr>
              <w:t>.</w:t>
            </w:r>
          </w:p>
        </w:tc>
      </w:tr>
      <w:tr w:rsidR="009138DB" w:rsidRPr="00886793" w14:paraId="12332A68" w14:textId="77777777" w:rsidTr="00587D5D">
        <w:tc>
          <w:tcPr>
            <w:tcW w:w="2629"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hideMark/>
          </w:tcPr>
          <w:p w14:paraId="7F377641" w14:textId="77777777" w:rsidR="009138DB" w:rsidRPr="00886793" w:rsidRDefault="009138DB" w:rsidP="009138DB">
            <w:pPr>
              <w:spacing w:after="0" w:line="240" w:lineRule="atLeast"/>
              <w:jc w:val="both"/>
              <w:rPr>
                <w:rFonts w:ascii="Cambria" w:eastAsia="Calibri" w:hAnsi="Cambria" w:cs="Calibri"/>
                <w:lang w:val="it-IT"/>
              </w:rPr>
            </w:pPr>
            <w:proofErr w:type="spellStart"/>
            <w:r w:rsidRPr="00886793">
              <w:rPr>
                <w:rFonts w:ascii="Cambria" w:eastAsia="Calibri" w:hAnsi="Cambria" w:cs="Calibri"/>
                <w:lang w:val="it-IT"/>
              </w:rPr>
              <w:lastRenderedPageBreak/>
              <w:t>Planirane</w:t>
            </w:r>
            <w:proofErr w:type="spellEnd"/>
            <w:r w:rsidRPr="00886793">
              <w:rPr>
                <w:rFonts w:ascii="Cambria" w:eastAsia="Calibri" w:hAnsi="Cambria" w:cs="Calibri"/>
                <w:lang w:val="it-IT"/>
              </w:rPr>
              <w:t xml:space="preserve"> </w:t>
            </w:r>
            <w:proofErr w:type="spellStart"/>
            <w:r w:rsidRPr="00886793">
              <w:rPr>
                <w:rFonts w:ascii="Cambria" w:eastAsia="Calibri" w:hAnsi="Cambria" w:cs="Calibri"/>
                <w:lang w:val="it-IT"/>
              </w:rPr>
              <w:t>aktivnosti</w:t>
            </w:r>
            <w:proofErr w:type="spellEnd"/>
            <w:r w:rsidRPr="00886793">
              <w:rPr>
                <w:rFonts w:ascii="Cambria" w:eastAsia="Calibri" w:hAnsi="Cambria" w:cs="Calibri"/>
                <w:lang w:val="it-IT"/>
              </w:rPr>
              <w:t>,</w:t>
            </w:r>
          </w:p>
          <w:p w14:paraId="0DC0A8EE" w14:textId="77777777" w:rsidR="009138DB" w:rsidRPr="00886793" w:rsidRDefault="009138DB" w:rsidP="009138DB">
            <w:pPr>
              <w:spacing w:after="0" w:line="240" w:lineRule="atLeast"/>
              <w:jc w:val="both"/>
              <w:rPr>
                <w:rFonts w:ascii="Cambria" w:eastAsia="Calibri" w:hAnsi="Cambria" w:cs="Calibri"/>
                <w:lang w:val="it-IT"/>
              </w:rPr>
            </w:pPr>
            <w:proofErr w:type="spellStart"/>
            <w:r w:rsidRPr="00886793">
              <w:rPr>
                <w:rFonts w:ascii="Cambria" w:eastAsia="Calibri" w:hAnsi="Cambria" w:cs="Calibri"/>
                <w:lang w:val="it-IT"/>
              </w:rPr>
              <w:t>metode</w:t>
            </w:r>
            <w:proofErr w:type="spellEnd"/>
            <w:r w:rsidRPr="00886793">
              <w:rPr>
                <w:rFonts w:ascii="Cambria" w:eastAsia="Calibri" w:hAnsi="Cambria" w:cs="Calibri"/>
                <w:lang w:val="it-IT"/>
              </w:rPr>
              <w:t xml:space="preserve"> </w:t>
            </w:r>
            <w:proofErr w:type="spellStart"/>
            <w:r w:rsidRPr="00886793">
              <w:rPr>
                <w:rFonts w:ascii="Cambria" w:eastAsia="Calibri" w:hAnsi="Cambria" w:cs="Calibri"/>
                <w:lang w:val="it-IT"/>
              </w:rPr>
              <w:t>učenja</w:t>
            </w:r>
            <w:proofErr w:type="spellEnd"/>
            <w:r w:rsidRPr="00886793">
              <w:rPr>
                <w:rFonts w:ascii="Cambria" w:eastAsia="Calibri" w:hAnsi="Cambria" w:cs="Calibri"/>
                <w:lang w:val="it-IT"/>
              </w:rPr>
              <w:t xml:space="preserve"> i </w:t>
            </w:r>
            <w:proofErr w:type="spellStart"/>
            <w:r w:rsidRPr="00886793">
              <w:rPr>
                <w:rFonts w:ascii="Cambria" w:eastAsia="Calibri" w:hAnsi="Cambria" w:cs="Calibri"/>
                <w:lang w:val="it-IT"/>
              </w:rPr>
              <w:t>poučavanja</w:t>
            </w:r>
            <w:proofErr w:type="spellEnd"/>
            <w:r w:rsidRPr="00886793">
              <w:rPr>
                <w:rFonts w:ascii="Cambria" w:eastAsia="Calibri" w:hAnsi="Cambria" w:cs="Calibri"/>
                <w:lang w:val="it-IT"/>
              </w:rPr>
              <w:t xml:space="preserve"> i </w:t>
            </w:r>
            <w:proofErr w:type="spellStart"/>
            <w:r w:rsidRPr="00886793">
              <w:rPr>
                <w:rFonts w:ascii="Cambria" w:eastAsia="Calibri" w:hAnsi="Cambria" w:cs="Calibri"/>
                <w:lang w:val="it-IT"/>
              </w:rPr>
              <w:t>načini</w:t>
            </w:r>
            <w:proofErr w:type="spellEnd"/>
            <w:r w:rsidRPr="00886793">
              <w:rPr>
                <w:rFonts w:ascii="Cambria" w:eastAsia="Calibri" w:hAnsi="Cambria" w:cs="Calibri"/>
                <w:lang w:val="it-IT"/>
              </w:rPr>
              <w:t xml:space="preserve"> </w:t>
            </w:r>
            <w:proofErr w:type="spellStart"/>
            <w:r w:rsidRPr="00886793">
              <w:rPr>
                <w:rFonts w:ascii="Cambria" w:eastAsia="Calibri" w:hAnsi="Cambria" w:cs="Calibri"/>
                <w:lang w:val="it-IT"/>
              </w:rPr>
              <w:t>vrednovanja</w:t>
            </w:r>
            <w:proofErr w:type="spellEnd"/>
          </w:p>
          <w:p w14:paraId="331D7C1E" w14:textId="77777777" w:rsidR="009138DB" w:rsidRPr="00886793" w:rsidRDefault="009138DB" w:rsidP="009138DB">
            <w:pPr>
              <w:spacing w:after="0" w:line="240" w:lineRule="atLeast"/>
              <w:jc w:val="both"/>
              <w:rPr>
                <w:rFonts w:ascii="Cambria" w:eastAsia="Calibri" w:hAnsi="Cambria" w:cs="Calibri"/>
                <w:lang w:val="it-IT"/>
              </w:rPr>
            </w:pPr>
          </w:p>
        </w:tc>
        <w:tc>
          <w:tcPr>
            <w:tcW w:w="259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D2F5395" w14:textId="77777777" w:rsidR="009138DB" w:rsidRPr="00886793" w:rsidRDefault="009138DB" w:rsidP="009138DB">
            <w:pPr>
              <w:spacing w:after="0" w:line="240" w:lineRule="atLeast"/>
              <w:jc w:val="both"/>
              <w:rPr>
                <w:rFonts w:ascii="Cambria" w:eastAsia="Calibri" w:hAnsi="Cambria" w:cs="Calibri"/>
              </w:rPr>
            </w:pPr>
            <w:proofErr w:type="spellStart"/>
            <w:r w:rsidRPr="00886793">
              <w:rPr>
                <w:rFonts w:ascii="Cambria" w:eastAsia="Calibri" w:hAnsi="Cambria" w:cs="Calibri"/>
              </w:rPr>
              <w:t>Obveze</w:t>
            </w:r>
            <w:proofErr w:type="spellEnd"/>
          </w:p>
        </w:tc>
        <w:tc>
          <w:tcPr>
            <w:tcW w:w="109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BA635F2" w14:textId="77777777" w:rsidR="009138DB" w:rsidRPr="00886793" w:rsidRDefault="009138DB" w:rsidP="009138DB">
            <w:pPr>
              <w:spacing w:after="0" w:line="240" w:lineRule="atLeast"/>
              <w:jc w:val="both"/>
              <w:rPr>
                <w:rFonts w:ascii="Cambria" w:eastAsia="Calibri" w:hAnsi="Cambria" w:cs="Calibri"/>
              </w:rPr>
            </w:pPr>
            <w:proofErr w:type="spellStart"/>
            <w:r w:rsidRPr="00886793">
              <w:rPr>
                <w:rFonts w:ascii="Cambria" w:eastAsia="Calibri" w:hAnsi="Cambria" w:cs="Calibri"/>
              </w:rPr>
              <w:t>Ishodi</w:t>
            </w:r>
            <w:proofErr w:type="spellEnd"/>
          </w:p>
        </w:tc>
        <w:tc>
          <w:tcPr>
            <w:tcW w:w="71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270754E" w14:textId="77777777" w:rsidR="009138DB" w:rsidRPr="00886793" w:rsidRDefault="009138DB" w:rsidP="009138DB">
            <w:pPr>
              <w:spacing w:after="0" w:line="240" w:lineRule="atLeast"/>
              <w:jc w:val="both"/>
              <w:rPr>
                <w:rFonts w:ascii="Cambria" w:eastAsia="Calibri" w:hAnsi="Cambria" w:cs="Calibri"/>
              </w:rPr>
            </w:pPr>
            <w:r w:rsidRPr="00886793">
              <w:rPr>
                <w:rFonts w:ascii="Cambria" w:eastAsia="Calibri" w:hAnsi="Cambria" w:cs="Calibri"/>
              </w:rPr>
              <w:t>Sati</w:t>
            </w:r>
          </w:p>
        </w:tc>
        <w:tc>
          <w:tcPr>
            <w:tcW w:w="101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F511CDD" w14:textId="77777777" w:rsidR="009138DB" w:rsidRPr="00886793" w:rsidRDefault="009138DB" w:rsidP="009138DB">
            <w:pPr>
              <w:spacing w:after="0" w:line="240" w:lineRule="atLeast"/>
              <w:jc w:val="both"/>
              <w:rPr>
                <w:rFonts w:ascii="Cambria" w:eastAsia="Calibri" w:hAnsi="Cambria" w:cs="Calibri"/>
              </w:rPr>
            </w:pPr>
            <w:r w:rsidRPr="00886793">
              <w:rPr>
                <w:rFonts w:ascii="Cambria" w:eastAsia="Calibri" w:hAnsi="Cambria" w:cs="Calibri"/>
              </w:rPr>
              <w:t>ECTS</w:t>
            </w:r>
          </w:p>
        </w:tc>
        <w:tc>
          <w:tcPr>
            <w:tcW w:w="132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5CCF080" w14:textId="77777777" w:rsidR="009138DB" w:rsidRPr="00886793" w:rsidRDefault="009138DB" w:rsidP="009138DB">
            <w:pPr>
              <w:spacing w:after="0" w:line="240" w:lineRule="atLeast"/>
              <w:jc w:val="both"/>
              <w:rPr>
                <w:rFonts w:ascii="Cambria" w:eastAsia="Calibri" w:hAnsi="Cambria" w:cs="Calibri"/>
              </w:rPr>
            </w:pPr>
            <w:proofErr w:type="spellStart"/>
            <w:r w:rsidRPr="00886793">
              <w:rPr>
                <w:rFonts w:ascii="Cambria" w:eastAsia="Calibri" w:hAnsi="Cambria" w:cs="Calibri"/>
              </w:rPr>
              <w:t>Maksimalni</w:t>
            </w:r>
            <w:proofErr w:type="spellEnd"/>
            <w:r w:rsidRPr="00886793">
              <w:rPr>
                <w:rFonts w:ascii="Cambria" w:eastAsia="Calibri" w:hAnsi="Cambria" w:cs="Calibri"/>
              </w:rPr>
              <w:t xml:space="preserve"> </w:t>
            </w:r>
            <w:proofErr w:type="spellStart"/>
            <w:r w:rsidRPr="00886793">
              <w:rPr>
                <w:rFonts w:ascii="Cambria" w:eastAsia="Calibri" w:hAnsi="Cambria" w:cs="Calibri"/>
              </w:rPr>
              <w:t>udio</w:t>
            </w:r>
            <w:proofErr w:type="spellEnd"/>
            <w:r w:rsidRPr="00886793">
              <w:rPr>
                <w:rFonts w:ascii="Cambria" w:eastAsia="Calibri" w:hAnsi="Cambria" w:cs="Calibri"/>
              </w:rPr>
              <w:t xml:space="preserve"> u </w:t>
            </w:r>
            <w:proofErr w:type="spellStart"/>
            <w:r w:rsidRPr="00886793">
              <w:rPr>
                <w:rFonts w:ascii="Cambria" w:eastAsia="Calibri" w:hAnsi="Cambria" w:cs="Calibri"/>
              </w:rPr>
              <w:t>ocjeni</w:t>
            </w:r>
            <w:proofErr w:type="spellEnd"/>
            <w:r w:rsidRPr="00886793">
              <w:rPr>
                <w:rFonts w:ascii="Cambria" w:eastAsia="Calibri" w:hAnsi="Cambria" w:cs="Calibri"/>
              </w:rPr>
              <w:t xml:space="preserve"> (%)</w:t>
            </w:r>
          </w:p>
        </w:tc>
      </w:tr>
      <w:tr w:rsidR="009138DB" w:rsidRPr="00886793" w14:paraId="37A301D9" w14:textId="77777777" w:rsidTr="00587D5D">
        <w:tc>
          <w:tcPr>
            <w:tcW w:w="2629" w:type="dxa"/>
            <w:vMerge/>
            <w:tcBorders>
              <w:left w:val="single" w:sz="8" w:space="0" w:color="000000"/>
              <w:right w:val="single" w:sz="8" w:space="0" w:color="000000"/>
            </w:tcBorders>
            <w:vAlign w:val="center"/>
            <w:hideMark/>
          </w:tcPr>
          <w:p w14:paraId="4FEE8B55" w14:textId="77777777" w:rsidR="009138DB" w:rsidRPr="00886793" w:rsidRDefault="009138DB" w:rsidP="009138DB">
            <w:pPr>
              <w:spacing w:after="0" w:line="240" w:lineRule="atLeast"/>
              <w:jc w:val="both"/>
              <w:rPr>
                <w:rFonts w:ascii="Cambria" w:eastAsia="Calibri" w:hAnsi="Cambria" w:cs="Calibri"/>
              </w:rPr>
            </w:pPr>
          </w:p>
        </w:tc>
        <w:tc>
          <w:tcPr>
            <w:tcW w:w="259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D641486" w14:textId="77777777" w:rsidR="009138DB" w:rsidRPr="00886793" w:rsidRDefault="009138DB" w:rsidP="009138DB">
            <w:pPr>
              <w:spacing w:after="0" w:line="240" w:lineRule="atLeast"/>
              <w:rPr>
                <w:rFonts w:ascii="Cambria" w:eastAsia="Calibri" w:hAnsi="Cambria" w:cs="Calibri"/>
                <w:lang w:val="it-IT"/>
              </w:rPr>
            </w:pPr>
            <w:proofErr w:type="spellStart"/>
            <w:r w:rsidRPr="00886793">
              <w:rPr>
                <w:rFonts w:ascii="Cambria" w:eastAsia="Calibri" w:hAnsi="Cambria" w:cs="Calibri"/>
                <w:lang w:val="it-IT"/>
              </w:rPr>
              <w:t>pohađanje</w:t>
            </w:r>
            <w:proofErr w:type="spellEnd"/>
            <w:r w:rsidRPr="00886793">
              <w:rPr>
                <w:rFonts w:ascii="Cambria" w:eastAsia="Calibri" w:hAnsi="Cambria" w:cs="Calibri"/>
                <w:lang w:val="it-IT"/>
              </w:rPr>
              <w:t xml:space="preserve"> i </w:t>
            </w:r>
            <w:proofErr w:type="spellStart"/>
            <w:r w:rsidRPr="00886793">
              <w:rPr>
                <w:rFonts w:ascii="Cambria" w:eastAsia="Calibri" w:hAnsi="Cambria" w:cs="Calibri"/>
                <w:lang w:val="it-IT"/>
              </w:rPr>
              <w:t>aktivnost</w:t>
            </w:r>
            <w:proofErr w:type="spellEnd"/>
            <w:r w:rsidRPr="00886793">
              <w:rPr>
                <w:rFonts w:ascii="Cambria" w:eastAsia="Calibri" w:hAnsi="Cambria" w:cs="Calibri"/>
                <w:lang w:val="it-IT"/>
              </w:rPr>
              <w:t xml:space="preserve"> </w:t>
            </w:r>
            <w:proofErr w:type="spellStart"/>
            <w:r w:rsidRPr="00886793">
              <w:rPr>
                <w:rFonts w:ascii="Cambria" w:eastAsia="Calibri" w:hAnsi="Cambria" w:cs="Calibri"/>
                <w:lang w:val="it-IT"/>
              </w:rPr>
              <w:t>na</w:t>
            </w:r>
            <w:proofErr w:type="spellEnd"/>
            <w:r w:rsidRPr="00886793">
              <w:rPr>
                <w:rFonts w:ascii="Cambria" w:eastAsia="Calibri" w:hAnsi="Cambria" w:cs="Calibri"/>
                <w:lang w:val="it-IT"/>
              </w:rPr>
              <w:t xml:space="preserve"> </w:t>
            </w:r>
            <w:proofErr w:type="spellStart"/>
            <w:r w:rsidRPr="00886793">
              <w:rPr>
                <w:rFonts w:ascii="Cambria" w:eastAsia="Calibri" w:hAnsi="Cambria" w:cs="Calibri"/>
                <w:lang w:val="it-IT"/>
              </w:rPr>
              <w:t>nastavi</w:t>
            </w:r>
            <w:proofErr w:type="spellEnd"/>
            <w:r w:rsidRPr="00886793">
              <w:rPr>
                <w:rFonts w:ascii="Cambria" w:eastAsia="Calibri" w:hAnsi="Cambria" w:cs="Calibri"/>
                <w:lang w:val="it-IT"/>
              </w:rPr>
              <w:t xml:space="preserve"> P, V (</w:t>
            </w:r>
            <w:proofErr w:type="spellStart"/>
            <w:r w:rsidRPr="00886793">
              <w:rPr>
                <w:rFonts w:ascii="Cambria" w:eastAsia="Calibri" w:hAnsi="Cambria" w:cs="Calibri"/>
                <w:lang w:val="it-IT"/>
              </w:rPr>
              <w:t>dvorana</w:t>
            </w:r>
            <w:proofErr w:type="spellEnd"/>
            <w:r w:rsidRPr="00886793">
              <w:rPr>
                <w:rFonts w:ascii="Cambria" w:eastAsia="Calibri" w:hAnsi="Cambria" w:cs="Calibri"/>
                <w:lang w:val="it-IT"/>
              </w:rPr>
              <w:t>), S</w:t>
            </w:r>
          </w:p>
        </w:tc>
        <w:tc>
          <w:tcPr>
            <w:tcW w:w="109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3740795" w14:textId="77777777" w:rsidR="009138DB" w:rsidRPr="00886793" w:rsidRDefault="009138DB" w:rsidP="009138DB">
            <w:pPr>
              <w:spacing w:after="0" w:line="240" w:lineRule="atLeast"/>
              <w:jc w:val="center"/>
              <w:rPr>
                <w:rFonts w:ascii="Cambria" w:eastAsia="Calibri" w:hAnsi="Cambria" w:cs="Calibri"/>
              </w:rPr>
            </w:pPr>
            <w:r w:rsidRPr="00886793">
              <w:rPr>
                <w:rFonts w:ascii="Cambria" w:eastAsia="Calibri" w:hAnsi="Cambria" w:cs="Calibri"/>
              </w:rPr>
              <w:t>1. – 5.</w:t>
            </w:r>
          </w:p>
        </w:tc>
        <w:tc>
          <w:tcPr>
            <w:tcW w:w="71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553D418" w14:textId="6D35F628" w:rsidR="009138DB" w:rsidRPr="00886793" w:rsidRDefault="009138DB" w:rsidP="009138DB">
            <w:pPr>
              <w:spacing w:after="0" w:line="240" w:lineRule="atLeast"/>
              <w:jc w:val="center"/>
              <w:rPr>
                <w:rFonts w:ascii="Cambria" w:eastAsia="Calibri" w:hAnsi="Cambria" w:cs="Calibri"/>
              </w:rPr>
            </w:pPr>
            <w:r>
              <w:rPr>
                <w:rFonts w:ascii="Cambria" w:eastAsia="Calibri" w:hAnsi="Cambria" w:cs="Calibri"/>
              </w:rPr>
              <w:t>34</w:t>
            </w:r>
          </w:p>
        </w:tc>
        <w:tc>
          <w:tcPr>
            <w:tcW w:w="101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BFC64F4" w14:textId="6238500C" w:rsidR="009138DB" w:rsidRPr="00886793" w:rsidRDefault="009138DB" w:rsidP="009138DB">
            <w:pPr>
              <w:spacing w:after="0" w:line="240" w:lineRule="atLeast"/>
              <w:jc w:val="center"/>
              <w:rPr>
                <w:rFonts w:ascii="Cambria" w:eastAsia="Calibri" w:hAnsi="Cambria" w:cs="Calibri"/>
              </w:rPr>
            </w:pPr>
            <w:r w:rsidRPr="00886793">
              <w:rPr>
                <w:rFonts w:ascii="Cambria" w:eastAsia="Calibri" w:hAnsi="Cambria" w:cs="Calibri"/>
              </w:rPr>
              <w:t>1,</w:t>
            </w:r>
            <w:r>
              <w:rPr>
                <w:rFonts w:ascii="Cambria" w:eastAsia="Calibri" w:hAnsi="Cambria" w:cs="Calibri"/>
              </w:rPr>
              <w:t>1</w:t>
            </w:r>
          </w:p>
        </w:tc>
        <w:tc>
          <w:tcPr>
            <w:tcW w:w="132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CB99C03" w14:textId="77777777" w:rsidR="009138DB" w:rsidRPr="00886793" w:rsidRDefault="009138DB" w:rsidP="009138DB">
            <w:pPr>
              <w:spacing w:after="0" w:line="240" w:lineRule="atLeast"/>
              <w:jc w:val="center"/>
              <w:rPr>
                <w:rFonts w:ascii="Cambria" w:eastAsia="Calibri" w:hAnsi="Cambria" w:cs="Calibri"/>
              </w:rPr>
            </w:pPr>
            <w:r w:rsidRPr="00886793">
              <w:rPr>
                <w:rFonts w:ascii="Cambria" w:eastAsia="Calibri" w:hAnsi="Cambria" w:cs="Calibri"/>
              </w:rPr>
              <w:t>10%</w:t>
            </w:r>
          </w:p>
        </w:tc>
      </w:tr>
      <w:tr w:rsidR="009138DB" w:rsidRPr="00886793" w14:paraId="31B5BCFC" w14:textId="77777777" w:rsidTr="00587D5D">
        <w:tc>
          <w:tcPr>
            <w:tcW w:w="2629" w:type="dxa"/>
            <w:vMerge/>
            <w:tcBorders>
              <w:left w:val="single" w:sz="8" w:space="0" w:color="000000"/>
              <w:right w:val="single" w:sz="8" w:space="0" w:color="000000"/>
            </w:tcBorders>
            <w:vAlign w:val="center"/>
            <w:hideMark/>
          </w:tcPr>
          <w:p w14:paraId="038AA4BF" w14:textId="77777777" w:rsidR="009138DB" w:rsidRPr="00886793" w:rsidRDefault="009138DB" w:rsidP="009138DB">
            <w:pPr>
              <w:spacing w:after="0" w:line="240" w:lineRule="atLeast"/>
              <w:jc w:val="both"/>
              <w:rPr>
                <w:rFonts w:ascii="Cambria" w:eastAsia="Calibri" w:hAnsi="Cambria" w:cs="Calibri"/>
              </w:rPr>
            </w:pPr>
          </w:p>
        </w:tc>
        <w:tc>
          <w:tcPr>
            <w:tcW w:w="259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8DEEEBA" w14:textId="77777777" w:rsidR="009138DB" w:rsidRPr="00886793" w:rsidRDefault="009138DB" w:rsidP="009138DB">
            <w:pPr>
              <w:spacing w:after="0" w:line="240" w:lineRule="atLeast"/>
              <w:rPr>
                <w:rFonts w:ascii="Cambria" w:eastAsia="Calibri" w:hAnsi="Cambria" w:cs="Calibri"/>
                <w:lang w:val="it-IT"/>
              </w:rPr>
            </w:pPr>
            <w:proofErr w:type="spellStart"/>
            <w:r w:rsidRPr="00886793">
              <w:rPr>
                <w:rFonts w:ascii="Cambria" w:eastAsia="Calibri" w:hAnsi="Cambria" w:cs="Calibri"/>
                <w:lang w:val="it-IT"/>
              </w:rPr>
              <w:t>pismeni</w:t>
            </w:r>
            <w:proofErr w:type="spellEnd"/>
            <w:r w:rsidRPr="00886793">
              <w:rPr>
                <w:rFonts w:ascii="Cambria" w:eastAsia="Calibri" w:hAnsi="Cambria" w:cs="Calibri"/>
                <w:lang w:val="it-IT"/>
              </w:rPr>
              <w:t xml:space="preserve"> </w:t>
            </w:r>
            <w:proofErr w:type="spellStart"/>
            <w:r w:rsidRPr="00886793">
              <w:rPr>
                <w:rFonts w:ascii="Cambria" w:eastAsia="Calibri" w:hAnsi="Cambria" w:cs="Calibri"/>
                <w:lang w:val="it-IT"/>
              </w:rPr>
              <w:t>radovi</w:t>
            </w:r>
            <w:proofErr w:type="spellEnd"/>
            <w:r w:rsidRPr="00886793">
              <w:rPr>
                <w:rFonts w:ascii="Cambria" w:eastAsia="Calibri" w:hAnsi="Cambria" w:cs="Calibri"/>
                <w:lang w:val="it-IT"/>
              </w:rPr>
              <w:t xml:space="preserve"> (</w:t>
            </w:r>
            <w:proofErr w:type="spellStart"/>
            <w:r w:rsidRPr="00886793">
              <w:rPr>
                <w:rFonts w:ascii="Cambria" w:eastAsia="Calibri" w:hAnsi="Cambria" w:cs="Calibri"/>
                <w:lang w:val="it-IT"/>
              </w:rPr>
              <w:t>seminarski</w:t>
            </w:r>
            <w:proofErr w:type="spellEnd"/>
            <w:r w:rsidRPr="00886793">
              <w:rPr>
                <w:rFonts w:ascii="Cambria" w:eastAsia="Calibri" w:hAnsi="Cambria" w:cs="Calibri"/>
                <w:lang w:val="it-IT"/>
              </w:rPr>
              <w:t xml:space="preserve">, </w:t>
            </w:r>
            <w:proofErr w:type="spellStart"/>
            <w:r w:rsidRPr="00886793">
              <w:rPr>
                <w:rFonts w:ascii="Cambria" w:eastAsia="Calibri" w:hAnsi="Cambria" w:cs="Calibri"/>
                <w:lang w:val="it-IT"/>
              </w:rPr>
              <w:t>esej</w:t>
            </w:r>
            <w:proofErr w:type="spellEnd"/>
            <w:r w:rsidRPr="00886793">
              <w:rPr>
                <w:rFonts w:ascii="Cambria" w:eastAsia="Calibri" w:hAnsi="Cambria" w:cs="Calibri"/>
                <w:lang w:val="it-IT"/>
              </w:rPr>
              <w:t xml:space="preserve">, </w:t>
            </w:r>
            <w:proofErr w:type="spellStart"/>
            <w:r w:rsidRPr="00886793">
              <w:rPr>
                <w:rFonts w:ascii="Cambria" w:eastAsia="Calibri" w:hAnsi="Cambria" w:cs="Calibri"/>
                <w:lang w:val="it-IT"/>
              </w:rPr>
              <w:t>prikaz</w:t>
            </w:r>
            <w:proofErr w:type="spellEnd"/>
            <w:r w:rsidRPr="00886793">
              <w:rPr>
                <w:rFonts w:ascii="Cambria" w:eastAsia="Calibri" w:hAnsi="Cambria" w:cs="Calibri"/>
                <w:lang w:val="it-IT"/>
              </w:rPr>
              <w:t xml:space="preserve">, </w:t>
            </w:r>
            <w:proofErr w:type="spellStart"/>
            <w:r w:rsidRPr="00886793">
              <w:rPr>
                <w:rFonts w:ascii="Cambria" w:eastAsia="Calibri" w:hAnsi="Cambria" w:cs="Calibri"/>
                <w:lang w:val="it-IT"/>
              </w:rPr>
              <w:t>radni</w:t>
            </w:r>
            <w:proofErr w:type="spellEnd"/>
            <w:r w:rsidRPr="00886793">
              <w:rPr>
                <w:rFonts w:ascii="Cambria" w:eastAsia="Calibri" w:hAnsi="Cambria" w:cs="Calibri"/>
                <w:lang w:val="it-IT"/>
              </w:rPr>
              <w:t xml:space="preserve"> </w:t>
            </w:r>
            <w:proofErr w:type="spellStart"/>
            <w:r w:rsidRPr="00886793">
              <w:rPr>
                <w:rFonts w:ascii="Cambria" w:eastAsia="Calibri" w:hAnsi="Cambria" w:cs="Calibri"/>
                <w:lang w:val="it-IT"/>
              </w:rPr>
              <w:t>listići</w:t>
            </w:r>
            <w:proofErr w:type="spellEnd"/>
            <w:r w:rsidRPr="00886793">
              <w:rPr>
                <w:rFonts w:ascii="Cambria" w:eastAsia="Calibri" w:hAnsi="Cambria" w:cs="Calibri"/>
                <w:lang w:val="it-IT"/>
              </w:rPr>
              <w:t>...)</w:t>
            </w:r>
          </w:p>
        </w:tc>
        <w:tc>
          <w:tcPr>
            <w:tcW w:w="109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B795061" w14:textId="77777777" w:rsidR="009138DB" w:rsidRPr="00886793" w:rsidRDefault="009138DB" w:rsidP="009138DB">
            <w:pPr>
              <w:spacing w:after="0" w:line="240" w:lineRule="atLeast"/>
              <w:jc w:val="center"/>
              <w:rPr>
                <w:rFonts w:ascii="Cambria" w:eastAsia="Calibri" w:hAnsi="Cambria" w:cs="Calibri"/>
              </w:rPr>
            </w:pPr>
            <w:r w:rsidRPr="00886793">
              <w:rPr>
                <w:rFonts w:ascii="Cambria" w:eastAsia="Calibri" w:hAnsi="Cambria" w:cs="Calibri"/>
              </w:rPr>
              <w:t>5.</w:t>
            </w:r>
          </w:p>
        </w:tc>
        <w:tc>
          <w:tcPr>
            <w:tcW w:w="71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80D67FE" w14:textId="0A53C213" w:rsidR="009138DB" w:rsidRPr="00886793" w:rsidRDefault="009138DB" w:rsidP="009138DB">
            <w:pPr>
              <w:spacing w:after="0" w:line="240" w:lineRule="atLeast"/>
              <w:jc w:val="center"/>
              <w:rPr>
                <w:rFonts w:ascii="Cambria" w:eastAsia="Calibri" w:hAnsi="Cambria" w:cs="Calibri"/>
              </w:rPr>
            </w:pPr>
            <w:r>
              <w:rPr>
                <w:rFonts w:ascii="Cambria" w:eastAsia="Calibri" w:hAnsi="Cambria" w:cs="Calibri"/>
              </w:rPr>
              <w:t>30</w:t>
            </w:r>
          </w:p>
        </w:tc>
        <w:tc>
          <w:tcPr>
            <w:tcW w:w="101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55B2B14" w14:textId="0B1C21D0" w:rsidR="009138DB" w:rsidRPr="00886793" w:rsidRDefault="009138DB" w:rsidP="009138DB">
            <w:pPr>
              <w:spacing w:after="0" w:line="240" w:lineRule="atLeast"/>
              <w:jc w:val="center"/>
              <w:rPr>
                <w:rFonts w:ascii="Cambria" w:eastAsia="Calibri" w:hAnsi="Cambria" w:cs="Calibri"/>
              </w:rPr>
            </w:pPr>
            <w:r>
              <w:rPr>
                <w:rFonts w:ascii="Cambria" w:eastAsia="Calibri" w:hAnsi="Cambria" w:cs="Calibri"/>
              </w:rPr>
              <w:t>1</w:t>
            </w:r>
          </w:p>
        </w:tc>
        <w:tc>
          <w:tcPr>
            <w:tcW w:w="132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59073C3" w14:textId="77777777" w:rsidR="009138DB" w:rsidRPr="00886793" w:rsidRDefault="009138DB" w:rsidP="009138DB">
            <w:pPr>
              <w:spacing w:after="0" w:line="240" w:lineRule="atLeast"/>
              <w:jc w:val="center"/>
              <w:rPr>
                <w:rFonts w:ascii="Cambria" w:eastAsia="Calibri" w:hAnsi="Cambria" w:cs="Calibri"/>
              </w:rPr>
            </w:pPr>
            <w:r w:rsidRPr="00886793">
              <w:rPr>
                <w:rFonts w:ascii="Cambria" w:eastAsia="Calibri" w:hAnsi="Cambria" w:cs="Calibri"/>
              </w:rPr>
              <w:t>10%</w:t>
            </w:r>
          </w:p>
        </w:tc>
      </w:tr>
      <w:tr w:rsidR="009138DB" w:rsidRPr="00886793" w14:paraId="77E05555" w14:textId="77777777" w:rsidTr="00587D5D">
        <w:tc>
          <w:tcPr>
            <w:tcW w:w="2629" w:type="dxa"/>
            <w:vMerge/>
            <w:tcBorders>
              <w:left w:val="single" w:sz="8" w:space="0" w:color="000000"/>
              <w:right w:val="single" w:sz="8" w:space="0" w:color="000000"/>
            </w:tcBorders>
            <w:vAlign w:val="center"/>
            <w:hideMark/>
          </w:tcPr>
          <w:p w14:paraId="241FCB6B" w14:textId="77777777" w:rsidR="009138DB" w:rsidRPr="00886793" w:rsidRDefault="009138DB" w:rsidP="009138DB">
            <w:pPr>
              <w:spacing w:after="0" w:line="240" w:lineRule="atLeast"/>
              <w:jc w:val="both"/>
              <w:rPr>
                <w:rFonts w:ascii="Cambria" w:eastAsia="Calibri" w:hAnsi="Cambria" w:cs="Calibri"/>
              </w:rPr>
            </w:pPr>
          </w:p>
        </w:tc>
        <w:tc>
          <w:tcPr>
            <w:tcW w:w="259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2CB805D" w14:textId="77777777" w:rsidR="009138DB" w:rsidRPr="00886793" w:rsidRDefault="009138DB" w:rsidP="009138DB">
            <w:pPr>
              <w:spacing w:after="0" w:line="240" w:lineRule="atLeast"/>
              <w:rPr>
                <w:rFonts w:ascii="Cambria" w:eastAsia="Calibri" w:hAnsi="Cambria" w:cs="Calibri"/>
              </w:rPr>
            </w:pPr>
            <w:proofErr w:type="spellStart"/>
            <w:r w:rsidRPr="00886793">
              <w:rPr>
                <w:rFonts w:ascii="Cambria" w:eastAsia="Calibri" w:hAnsi="Cambria" w:cs="Calibri"/>
              </w:rPr>
              <w:t>kolokvij</w:t>
            </w:r>
            <w:proofErr w:type="spellEnd"/>
            <w:r w:rsidRPr="00886793">
              <w:rPr>
                <w:rFonts w:ascii="Cambria" w:eastAsia="Calibri" w:hAnsi="Cambria" w:cs="Calibri"/>
              </w:rPr>
              <w:t xml:space="preserve"> (</w:t>
            </w:r>
            <w:proofErr w:type="spellStart"/>
            <w:r w:rsidRPr="00886793">
              <w:rPr>
                <w:rFonts w:ascii="Cambria" w:eastAsia="Calibri" w:hAnsi="Cambria" w:cs="Calibri"/>
              </w:rPr>
              <w:t>pismeni</w:t>
            </w:r>
            <w:proofErr w:type="spellEnd"/>
            <w:r w:rsidRPr="00886793">
              <w:rPr>
                <w:rFonts w:ascii="Cambria" w:eastAsia="Calibri" w:hAnsi="Cambria" w:cs="Calibri"/>
              </w:rPr>
              <w:t>)</w:t>
            </w:r>
          </w:p>
        </w:tc>
        <w:tc>
          <w:tcPr>
            <w:tcW w:w="109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4086E58" w14:textId="77777777" w:rsidR="009138DB" w:rsidRPr="00886793" w:rsidRDefault="009138DB" w:rsidP="009138DB">
            <w:pPr>
              <w:spacing w:after="0" w:line="240" w:lineRule="atLeast"/>
              <w:jc w:val="center"/>
              <w:rPr>
                <w:rFonts w:ascii="Cambria" w:eastAsia="Calibri" w:hAnsi="Cambria" w:cs="Calibri"/>
              </w:rPr>
            </w:pPr>
            <w:r w:rsidRPr="00886793">
              <w:rPr>
                <w:rFonts w:ascii="Cambria" w:eastAsia="Calibri" w:hAnsi="Cambria" w:cs="Calibri"/>
              </w:rPr>
              <w:t>1. – 5.</w:t>
            </w:r>
          </w:p>
        </w:tc>
        <w:tc>
          <w:tcPr>
            <w:tcW w:w="71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27DD180" w14:textId="77777777" w:rsidR="009138DB" w:rsidRPr="00886793" w:rsidRDefault="009138DB" w:rsidP="009138DB">
            <w:pPr>
              <w:spacing w:after="0" w:line="240" w:lineRule="atLeast"/>
              <w:jc w:val="center"/>
              <w:rPr>
                <w:rFonts w:ascii="Cambria" w:eastAsia="Calibri" w:hAnsi="Cambria" w:cs="Calibri"/>
              </w:rPr>
            </w:pPr>
            <w:r w:rsidRPr="00886793">
              <w:rPr>
                <w:rFonts w:ascii="Cambria" w:eastAsia="Calibri" w:hAnsi="Cambria" w:cs="Calibri"/>
              </w:rPr>
              <w:t>36</w:t>
            </w:r>
          </w:p>
        </w:tc>
        <w:tc>
          <w:tcPr>
            <w:tcW w:w="101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FDB09CB" w14:textId="77777777" w:rsidR="009138DB" w:rsidRPr="00886793" w:rsidRDefault="009138DB" w:rsidP="009138DB">
            <w:pPr>
              <w:spacing w:after="0" w:line="240" w:lineRule="atLeast"/>
              <w:jc w:val="center"/>
              <w:rPr>
                <w:rFonts w:ascii="Cambria" w:eastAsia="Calibri" w:hAnsi="Cambria" w:cs="Calibri"/>
              </w:rPr>
            </w:pPr>
            <w:r w:rsidRPr="00886793">
              <w:rPr>
                <w:rFonts w:ascii="Cambria" w:eastAsia="Calibri" w:hAnsi="Cambria" w:cs="Calibri"/>
              </w:rPr>
              <w:t>1,2</w:t>
            </w:r>
          </w:p>
        </w:tc>
        <w:tc>
          <w:tcPr>
            <w:tcW w:w="132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11398F8" w14:textId="77777777" w:rsidR="009138DB" w:rsidRPr="00886793" w:rsidRDefault="009138DB" w:rsidP="009138DB">
            <w:pPr>
              <w:spacing w:after="0" w:line="240" w:lineRule="atLeast"/>
              <w:jc w:val="center"/>
              <w:rPr>
                <w:rFonts w:ascii="Cambria" w:eastAsia="Calibri" w:hAnsi="Cambria" w:cs="Calibri"/>
              </w:rPr>
            </w:pPr>
            <w:r w:rsidRPr="00886793">
              <w:rPr>
                <w:rFonts w:ascii="Cambria" w:eastAsia="Calibri" w:hAnsi="Cambria" w:cs="Calibri"/>
              </w:rPr>
              <w:t>2x25%</w:t>
            </w:r>
          </w:p>
        </w:tc>
      </w:tr>
      <w:tr w:rsidR="009138DB" w:rsidRPr="00886793" w14:paraId="551CF038" w14:textId="77777777" w:rsidTr="00587D5D">
        <w:tc>
          <w:tcPr>
            <w:tcW w:w="2629" w:type="dxa"/>
            <w:vMerge/>
            <w:tcBorders>
              <w:left w:val="single" w:sz="8" w:space="0" w:color="000000"/>
              <w:right w:val="single" w:sz="8" w:space="0" w:color="000000"/>
            </w:tcBorders>
            <w:vAlign w:val="center"/>
            <w:hideMark/>
          </w:tcPr>
          <w:p w14:paraId="743685A7" w14:textId="77777777" w:rsidR="009138DB" w:rsidRPr="00886793" w:rsidRDefault="009138DB" w:rsidP="009138DB">
            <w:pPr>
              <w:spacing w:after="0" w:line="240" w:lineRule="atLeast"/>
              <w:jc w:val="both"/>
              <w:rPr>
                <w:rFonts w:ascii="Cambria" w:eastAsia="Calibri" w:hAnsi="Cambria" w:cs="Calibri"/>
              </w:rPr>
            </w:pPr>
          </w:p>
        </w:tc>
        <w:tc>
          <w:tcPr>
            <w:tcW w:w="259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AB24789" w14:textId="77777777" w:rsidR="009138DB" w:rsidRPr="00886793" w:rsidRDefault="009138DB" w:rsidP="009138DB">
            <w:pPr>
              <w:spacing w:after="0" w:line="240" w:lineRule="atLeast"/>
              <w:rPr>
                <w:rFonts w:ascii="Cambria" w:eastAsia="Calibri" w:hAnsi="Cambria" w:cs="Calibri"/>
              </w:rPr>
            </w:pPr>
            <w:proofErr w:type="spellStart"/>
            <w:r w:rsidRPr="00886793">
              <w:rPr>
                <w:rFonts w:ascii="Cambria" w:eastAsia="Calibri" w:hAnsi="Cambria" w:cs="Calibri"/>
              </w:rPr>
              <w:t>ispit</w:t>
            </w:r>
            <w:proofErr w:type="spellEnd"/>
            <w:r w:rsidRPr="00886793">
              <w:rPr>
                <w:rFonts w:ascii="Cambria" w:eastAsia="Calibri" w:hAnsi="Cambria" w:cs="Calibri"/>
              </w:rPr>
              <w:t xml:space="preserve"> (</w:t>
            </w:r>
            <w:proofErr w:type="spellStart"/>
            <w:r w:rsidRPr="00886793">
              <w:rPr>
                <w:rFonts w:ascii="Cambria" w:eastAsia="Calibri" w:hAnsi="Cambria" w:cs="Calibri"/>
              </w:rPr>
              <w:t>usmeni</w:t>
            </w:r>
            <w:proofErr w:type="spellEnd"/>
            <w:r w:rsidRPr="00886793">
              <w:rPr>
                <w:rFonts w:ascii="Cambria" w:eastAsia="Calibri" w:hAnsi="Cambria" w:cs="Calibri"/>
              </w:rPr>
              <w:t>)</w:t>
            </w:r>
          </w:p>
        </w:tc>
        <w:tc>
          <w:tcPr>
            <w:tcW w:w="109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46F33F3" w14:textId="77777777" w:rsidR="009138DB" w:rsidRPr="00886793" w:rsidRDefault="009138DB" w:rsidP="009138DB">
            <w:pPr>
              <w:spacing w:after="0" w:line="240" w:lineRule="atLeast"/>
              <w:jc w:val="center"/>
              <w:rPr>
                <w:rFonts w:ascii="Cambria" w:eastAsia="Calibri" w:hAnsi="Cambria" w:cs="Calibri"/>
              </w:rPr>
            </w:pPr>
            <w:r w:rsidRPr="00886793">
              <w:rPr>
                <w:rFonts w:ascii="Cambria" w:eastAsia="Calibri" w:hAnsi="Cambria" w:cs="Calibri"/>
              </w:rPr>
              <w:t>1. – 5.</w:t>
            </w:r>
          </w:p>
        </w:tc>
        <w:tc>
          <w:tcPr>
            <w:tcW w:w="71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928E1AB" w14:textId="0630810D" w:rsidR="009138DB" w:rsidRPr="00886793" w:rsidRDefault="009138DB" w:rsidP="009138DB">
            <w:pPr>
              <w:spacing w:after="0" w:line="240" w:lineRule="atLeast"/>
              <w:jc w:val="center"/>
              <w:rPr>
                <w:rFonts w:ascii="Cambria" w:eastAsia="Calibri" w:hAnsi="Cambria" w:cs="Calibri"/>
              </w:rPr>
            </w:pPr>
            <w:r>
              <w:rPr>
                <w:rFonts w:ascii="Cambria" w:eastAsia="Calibri" w:hAnsi="Cambria" w:cs="Calibri"/>
              </w:rPr>
              <w:t>20</w:t>
            </w:r>
          </w:p>
        </w:tc>
        <w:tc>
          <w:tcPr>
            <w:tcW w:w="101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06648A5" w14:textId="285150E8" w:rsidR="009138DB" w:rsidRPr="00886793" w:rsidRDefault="009138DB" w:rsidP="009138DB">
            <w:pPr>
              <w:spacing w:after="0" w:line="240" w:lineRule="atLeast"/>
              <w:jc w:val="center"/>
              <w:rPr>
                <w:rFonts w:ascii="Cambria" w:eastAsia="Calibri" w:hAnsi="Cambria" w:cs="Calibri"/>
              </w:rPr>
            </w:pPr>
            <w:r>
              <w:rPr>
                <w:rFonts w:ascii="Cambria" w:eastAsia="Calibri" w:hAnsi="Cambria" w:cs="Calibri"/>
              </w:rPr>
              <w:t>0,7</w:t>
            </w:r>
          </w:p>
        </w:tc>
        <w:tc>
          <w:tcPr>
            <w:tcW w:w="132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EFDAE85" w14:textId="77777777" w:rsidR="009138DB" w:rsidRPr="00886793" w:rsidRDefault="009138DB" w:rsidP="009138DB">
            <w:pPr>
              <w:spacing w:after="0" w:line="240" w:lineRule="atLeast"/>
              <w:jc w:val="center"/>
              <w:rPr>
                <w:rFonts w:ascii="Cambria" w:eastAsia="Calibri" w:hAnsi="Cambria" w:cs="Calibri"/>
              </w:rPr>
            </w:pPr>
            <w:r w:rsidRPr="00886793">
              <w:rPr>
                <w:rFonts w:ascii="Cambria" w:eastAsia="Calibri" w:hAnsi="Cambria" w:cs="Calibri"/>
              </w:rPr>
              <w:t>30%</w:t>
            </w:r>
          </w:p>
        </w:tc>
      </w:tr>
      <w:tr w:rsidR="009138DB" w:rsidRPr="00886793" w14:paraId="07DCBD6D" w14:textId="77777777" w:rsidTr="00587D5D">
        <w:tc>
          <w:tcPr>
            <w:tcW w:w="2629" w:type="dxa"/>
            <w:vMerge/>
            <w:tcBorders>
              <w:left w:val="single" w:sz="8" w:space="0" w:color="000000"/>
              <w:right w:val="single" w:sz="8" w:space="0" w:color="000000"/>
            </w:tcBorders>
            <w:vAlign w:val="center"/>
            <w:hideMark/>
          </w:tcPr>
          <w:p w14:paraId="52386E42" w14:textId="77777777" w:rsidR="009138DB" w:rsidRPr="00886793" w:rsidRDefault="009138DB" w:rsidP="009138DB">
            <w:pPr>
              <w:spacing w:after="0" w:line="240" w:lineRule="atLeast"/>
              <w:jc w:val="both"/>
              <w:rPr>
                <w:rFonts w:ascii="Cambria" w:eastAsia="Calibri" w:hAnsi="Cambria" w:cs="Calibri"/>
              </w:rPr>
            </w:pPr>
          </w:p>
        </w:tc>
        <w:tc>
          <w:tcPr>
            <w:tcW w:w="3681"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9EAB29E" w14:textId="77777777" w:rsidR="009138DB" w:rsidRPr="00886793" w:rsidRDefault="009138DB" w:rsidP="009138DB">
            <w:pPr>
              <w:spacing w:after="0" w:line="240" w:lineRule="atLeast"/>
              <w:jc w:val="both"/>
              <w:rPr>
                <w:rFonts w:ascii="Cambria" w:eastAsia="Calibri" w:hAnsi="Cambria" w:cs="Calibri"/>
              </w:rPr>
            </w:pPr>
            <w:proofErr w:type="spellStart"/>
            <w:r w:rsidRPr="00886793">
              <w:rPr>
                <w:rFonts w:ascii="Cambria" w:eastAsia="Calibri" w:hAnsi="Cambria" w:cs="Calibri"/>
              </w:rPr>
              <w:t>ukupno</w:t>
            </w:r>
            <w:proofErr w:type="spellEnd"/>
          </w:p>
        </w:tc>
        <w:tc>
          <w:tcPr>
            <w:tcW w:w="71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BD32CAB" w14:textId="77777777" w:rsidR="009138DB" w:rsidRPr="00886793" w:rsidRDefault="009138DB" w:rsidP="009138DB">
            <w:pPr>
              <w:spacing w:after="0" w:line="240" w:lineRule="atLeast"/>
              <w:jc w:val="center"/>
              <w:rPr>
                <w:rFonts w:ascii="Cambria" w:eastAsia="Calibri" w:hAnsi="Cambria" w:cs="Calibri"/>
              </w:rPr>
            </w:pPr>
            <w:r w:rsidRPr="00886793">
              <w:rPr>
                <w:rFonts w:ascii="Cambria" w:eastAsia="Calibri" w:hAnsi="Cambria" w:cs="Calibri"/>
              </w:rPr>
              <w:t>120</w:t>
            </w:r>
          </w:p>
        </w:tc>
        <w:tc>
          <w:tcPr>
            <w:tcW w:w="101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F656AB9" w14:textId="77777777" w:rsidR="009138DB" w:rsidRPr="00886793" w:rsidRDefault="009138DB" w:rsidP="009138DB">
            <w:pPr>
              <w:spacing w:after="0" w:line="240" w:lineRule="atLeast"/>
              <w:jc w:val="center"/>
              <w:rPr>
                <w:rFonts w:ascii="Cambria" w:eastAsia="Calibri" w:hAnsi="Cambria" w:cs="Calibri"/>
              </w:rPr>
            </w:pPr>
            <w:r w:rsidRPr="00886793">
              <w:rPr>
                <w:rFonts w:ascii="Cambria" w:eastAsia="Calibri" w:hAnsi="Cambria" w:cs="Calibri"/>
              </w:rPr>
              <w:t>4</w:t>
            </w:r>
          </w:p>
        </w:tc>
        <w:tc>
          <w:tcPr>
            <w:tcW w:w="132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0BC0370" w14:textId="77777777" w:rsidR="009138DB" w:rsidRPr="00886793" w:rsidRDefault="009138DB" w:rsidP="009138DB">
            <w:pPr>
              <w:spacing w:after="0" w:line="240" w:lineRule="atLeast"/>
              <w:jc w:val="center"/>
              <w:rPr>
                <w:rFonts w:ascii="Cambria" w:eastAsia="Calibri" w:hAnsi="Cambria" w:cs="Calibri"/>
              </w:rPr>
            </w:pPr>
            <w:r w:rsidRPr="00886793">
              <w:rPr>
                <w:rFonts w:ascii="Cambria" w:eastAsia="Calibri" w:hAnsi="Cambria" w:cs="Calibri"/>
              </w:rPr>
              <w:t>100%</w:t>
            </w:r>
          </w:p>
        </w:tc>
      </w:tr>
      <w:tr w:rsidR="009138DB" w:rsidRPr="00D0399C" w14:paraId="100655DB" w14:textId="77777777" w:rsidTr="00587D5D">
        <w:tc>
          <w:tcPr>
            <w:tcW w:w="2629" w:type="dxa"/>
            <w:vMerge/>
            <w:tcBorders>
              <w:left w:val="single" w:sz="8" w:space="0" w:color="000000"/>
              <w:bottom w:val="single" w:sz="8" w:space="0" w:color="000000"/>
              <w:right w:val="single" w:sz="8" w:space="0" w:color="000000"/>
            </w:tcBorders>
            <w:vAlign w:val="center"/>
          </w:tcPr>
          <w:p w14:paraId="3A5BBAFE" w14:textId="77777777" w:rsidR="009138DB" w:rsidRPr="00886793" w:rsidRDefault="009138DB" w:rsidP="009138DB">
            <w:pPr>
              <w:spacing w:after="0" w:line="240" w:lineRule="atLeast"/>
              <w:jc w:val="both"/>
              <w:rPr>
                <w:rFonts w:ascii="Cambria" w:eastAsia="Calibri" w:hAnsi="Cambria" w:cs="Calibri"/>
              </w:rPr>
            </w:pPr>
          </w:p>
        </w:tc>
        <w:tc>
          <w:tcPr>
            <w:tcW w:w="6731"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C21652F" w14:textId="77777777" w:rsidR="009138DB" w:rsidRPr="00886793" w:rsidRDefault="009138DB" w:rsidP="009138DB">
            <w:pPr>
              <w:spacing w:after="0" w:line="240" w:lineRule="atLeast"/>
              <w:jc w:val="both"/>
              <w:rPr>
                <w:rFonts w:ascii="Cambria" w:eastAsia="Calibri" w:hAnsi="Cambria" w:cs="Calibri"/>
              </w:rPr>
            </w:pPr>
            <w:proofErr w:type="spellStart"/>
            <w:r w:rsidRPr="00886793">
              <w:rPr>
                <w:rFonts w:ascii="Cambria" w:eastAsia="Calibri" w:hAnsi="Cambria" w:cs="Calibri"/>
              </w:rPr>
              <w:t>Dodatna</w:t>
            </w:r>
            <w:proofErr w:type="spellEnd"/>
            <w:r w:rsidRPr="00886793">
              <w:rPr>
                <w:rFonts w:ascii="Cambria" w:eastAsia="Calibri" w:hAnsi="Cambria" w:cs="Calibri"/>
              </w:rPr>
              <w:t xml:space="preserve"> </w:t>
            </w:r>
            <w:proofErr w:type="spellStart"/>
            <w:r w:rsidRPr="00886793">
              <w:rPr>
                <w:rFonts w:ascii="Cambria" w:eastAsia="Calibri" w:hAnsi="Cambria" w:cs="Calibri"/>
              </w:rPr>
              <w:t>pojašnjenja</w:t>
            </w:r>
            <w:proofErr w:type="spellEnd"/>
            <w:r w:rsidRPr="00886793">
              <w:rPr>
                <w:rFonts w:ascii="Cambria" w:eastAsia="Calibri" w:hAnsi="Cambria" w:cs="Calibri"/>
              </w:rPr>
              <w:t xml:space="preserve"> (</w:t>
            </w:r>
            <w:proofErr w:type="spellStart"/>
            <w:r w:rsidRPr="00886793">
              <w:rPr>
                <w:rFonts w:ascii="Cambria" w:eastAsia="Calibri" w:hAnsi="Cambria" w:cs="Calibri"/>
              </w:rPr>
              <w:t>kriteriji</w:t>
            </w:r>
            <w:proofErr w:type="spellEnd"/>
            <w:r w:rsidRPr="00886793">
              <w:rPr>
                <w:rFonts w:ascii="Cambria" w:eastAsia="Calibri" w:hAnsi="Cambria" w:cs="Calibri"/>
              </w:rPr>
              <w:t xml:space="preserve"> </w:t>
            </w:r>
            <w:proofErr w:type="spellStart"/>
            <w:r w:rsidRPr="00886793">
              <w:rPr>
                <w:rFonts w:ascii="Cambria" w:eastAsia="Calibri" w:hAnsi="Cambria" w:cs="Calibri"/>
              </w:rPr>
              <w:t>ocjenjivanja</w:t>
            </w:r>
            <w:proofErr w:type="spellEnd"/>
            <w:r w:rsidRPr="00886793">
              <w:rPr>
                <w:rFonts w:ascii="Cambria" w:eastAsia="Calibri" w:hAnsi="Cambria" w:cs="Calibri"/>
              </w:rPr>
              <w:t>):</w:t>
            </w:r>
          </w:p>
          <w:p w14:paraId="58339DC8" w14:textId="77777777" w:rsidR="009138DB" w:rsidRPr="002B1E8D" w:rsidRDefault="009138DB" w:rsidP="009138DB">
            <w:pPr>
              <w:spacing w:after="0" w:line="240" w:lineRule="atLeast"/>
              <w:jc w:val="both"/>
              <w:rPr>
                <w:rFonts w:ascii="Cambria" w:eastAsia="Calibri" w:hAnsi="Cambria" w:cs="Calibri"/>
                <w:lang w:val="it-IT"/>
              </w:rPr>
            </w:pPr>
            <w:proofErr w:type="spellStart"/>
            <w:r w:rsidRPr="00886793">
              <w:rPr>
                <w:rFonts w:ascii="Cambria" w:eastAsia="Calibri" w:hAnsi="Cambria" w:cs="Calibri"/>
                <w:bCs/>
              </w:rPr>
              <w:t>Pohađanje</w:t>
            </w:r>
            <w:proofErr w:type="spellEnd"/>
            <w:r w:rsidRPr="00886793">
              <w:rPr>
                <w:rFonts w:ascii="Cambria" w:eastAsia="Calibri" w:hAnsi="Cambria" w:cs="Calibri"/>
                <w:bCs/>
              </w:rPr>
              <w:t xml:space="preserve"> </w:t>
            </w:r>
            <w:proofErr w:type="spellStart"/>
            <w:r w:rsidRPr="00886793">
              <w:rPr>
                <w:rFonts w:ascii="Cambria" w:eastAsia="Calibri" w:hAnsi="Cambria" w:cs="Calibri"/>
                <w:bCs/>
              </w:rPr>
              <w:t>nastave</w:t>
            </w:r>
            <w:proofErr w:type="spellEnd"/>
            <w:r w:rsidRPr="00886793">
              <w:rPr>
                <w:rFonts w:ascii="Cambria" w:eastAsia="Calibri" w:hAnsi="Cambria" w:cs="Calibri"/>
              </w:rPr>
              <w:t xml:space="preserve"> je </w:t>
            </w:r>
            <w:proofErr w:type="spellStart"/>
            <w:r w:rsidRPr="00886793">
              <w:rPr>
                <w:rFonts w:ascii="Cambria" w:eastAsia="Calibri" w:hAnsi="Cambria" w:cs="Calibri"/>
              </w:rPr>
              <w:t>obvezno</w:t>
            </w:r>
            <w:proofErr w:type="spellEnd"/>
            <w:r w:rsidRPr="00886793">
              <w:rPr>
                <w:rFonts w:ascii="Cambria" w:eastAsia="Calibri" w:hAnsi="Cambria" w:cs="Calibri"/>
              </w:rPr>
              <w:t xml:space="preserve">. </w:t>
            </w:r>
            <w:proofErr w:type="spellStart"/>
            <w:r w:rsidRPr="00886793">
              <w:rPr>
                <w:rFonts w:ascii="Cambria" w:eastAsia="Calibri" w:hAnsi="Cambria" w:cs="Calibri"/>
                <w:lang w:val="it-IT"/>
              </w:rPr>
              <w:t>Tolerira</w:t>
            </w:r>
            <w:proofErr w:type="spellEnd"/>
            <w:r w:rsidRPr="00886793">
              <w:rPr>
                <w:rFonts w:ascii="Cambria" w:eastAsia="Calibri" w:hAnsi="Cambria" w:cs="Calibri"/>
                <w:lang w:val="it-IT"/>
              </w:rPr>
              <w:t xml:space="preserve"> se 30% </w:t>
            </w:r>
            <w:proofErr w:type="spellStart"/>
            <w:r w:rsidRPr="00886793">
              <w:rPr>
                <w:rFonts w:ascii="Cambria" w:eastAsia="Calibri" w:hAnsi="Cambria" w:cs="Calibri"/>
                <w:lang w:val="it-IT"/>
              </w:rPr>
              <w:t>izostanaka</w:t>
            </w:r>
            <w:proofErr w:type="spellEnd"/>
            <w:r w:rsidRPr="00886793">
              <w:rPr>
                <w:rFonts w:ascii="Cambria" w:eastAsia="Calibri" w:hAnsi="Cambria" w:cs="Calibri"/>
                <w:lang w:val="it-IT"/>
              </w:rPr>
              <w:t xml:space="preserve"> (4 </w:t>
            </w:r>
            <w:proofErr w:type="spellStart"/>
            <w:r w:rsidRPr="00886793">
              <w:rPr>
                <w:rFonts w:ascii="Cambria" w:eastAsia="Calibri" w:hAnsi="Cambria" w:cs="Calibri"/>
                <w:lang w:val="it-IT"/>
              </w:rPr>
              <w:t>izostanka</w:t>
            </w:r>
            <w:proofErr w:type="spellEnd"/>
            <w:r w:rsidRPr="00886793">
              <w:rPr>
                <w:rFonts w:ascii="Cambria" w:eastAsia="Calibri" w:hAnsi="Cambria" w:cs="Calibri"/>
                <w:lang w:val="it-IT"/>
              </w:rPr>
              <w:t xml:space="preserve">) i </w:t>
            </w:r>
            <w:proofErr w:type="spellStart"/>
            <w:r w:rsidRPr="00886793">
              <w:rPr>
                <w:rFonts w:ascii="Cambria" w:eastAsia="Calibri" w:hAnsi="Cambria" w:cs="Calibri"/>
                <w:lang w:val="it-IT"/>
              </w:rPr>
              <w:t>njih</w:t>
            </w:r>
            <w:proofErr w:type="spellEnd"/>
            <w:r w:rsidRPr="00886793">
              <w:rPr>
                <w:rFonts w:ascii="Cambria" w:eastAsia="Calibri" w:hAnsi="Cambria" w:cs="Calibri"/>
                <w:lang w:val="it-IT"/>
              </w:rPr>
              <w:t xml:space="preserve"> </w:t>
            </w:r>
            <w:proofErr w:type="spellStart"/>
            <w:r w:rsidRPr="00886793">
              <w:rPr>
                <w:rFonts w:ascii="Cambria" w:eastAsia="Calibri" w:hAnsi="Cambria" w:cs="Calibri"/>
                <w:lang w:val="it-IT"/>
              </w:rPr>
              <w:t>nije</w:t>
            </w:r>
            <w:proofErr w:type="spellEnd"/>
            <w:r w:rsidRPr="00886793">
              <w:rPr>
                <w:rFonts w:ascii="Cambria" w:eastAsia="Calibri" w:hAnsi="Cambria" w:cs="Calibri"/>
                <w:lang w:val="it-IT"/>
              </w:rPr>
              <w:t xml:space="preserve"> </w:t>
            </w:r>
            <w:proofErr w:type="spellStart"/>
            <w:r w:rsidRPr="00886793">
              <w:rPr>
                <w:rFonts w:ascii="Cambria" w:eastAsia="Calibri" w:hAnsi="Cambria" w:cs="Calibri"/>
                <w:lang w:val="it-IT"/>
              </w:rPr>
              <w:t>potrebno</w:t>
            </w:r>
            <w:proofErr w:type="spellEnd"/>
            <w:r w:rsidRPr="00886793">
              <w:rPr>
                <w:rFonts w:ascii="Cambria" w:eastAsia="Calibri" w:hAnsi="Cambria" w:cs="Calibri"/>
                <w:lang w:val="it-IT"/>
              </w:rPr>
              <w:t xml:space="preserve"> </w:t>
            </w:r>
            <w:proofErr w:type="spellStart"/>
            <w:r w:rsidRPr="00886793">
              <w:rPr>
                <w:rFonts w:ascii="Cambria" w:eastAsia="Calibri" w:hAnsi="Cambria" w:cs="Calibri"/>
                <w:lang w:val="it-IT"/>
              </w:rPr>
              <w:t>opravdati</w:t>
            </w:r>
            <w:proofErr w:type="spellEnd"/>
            <w:r w:rsidRPr="00886793">
              <w:rPr>
                <w:rFonts w:ascii="Cambria" w:eastAsia="Calibri" w:hAnsi="Cambria" w:cs="Calibri"/>
                <w:lang w:val="it-IT"/>
              </w:rPr>
              <w:t xml:space="preserve">. </w:t>
            </w:r>
            <w:proofErr w:type="spellStart"/>
            <w:r w:rsidRPr="00886793">
              <w:rPr>
                <w:rFonts w:ascii="Cambria" w:eastAsia="Calibri" w:hAnsi="Cambria" w:cs="Calibri"/>
                <w:lang w:val="it-IT"/>
              </w:rPr>
              <w:t>Praćenje</w:t>
            </w:r>
            <w:proofErr w:type="spellEnd"/>
            <w:r w:rsidRPr="00886793">
              <w:rPr>
                <w:rFonts w:ascii="Cambria" w:eastAsia="Calibri" w:hAnsi="Cambria" w:cs="Calibri"/>
                <w:lang w:val="it-IT"/>
              </w:rPr>
              <w:t xml:space="preserve"> i </w:t>
            </w:r>
            <w:proofErr w:type="spellStart"/>
            <w:r w:rsidRPr="00886793">
              <w:rPr>
                <w:rFonts w:ascii="Cambria" w:eastAsia="Calibri" w:hAnsi="Cambria" w:cs="Calibri"/>
                <w:lang w:val="it-IT"/>
              </w:rPr>
              <w:t>ocjenjivanje</w:t>
            </w:r>
            <w:proofErr w:type="spellEnd"/>
            <w:r w:rsidRPr="00886793">
              <w:rPr>
                <w:rFonts w:ascii="Cambria" w:eastAsia="Calibri" w:hAnsi="Cambria" w:cs="Calibri"/>
                <w:lang w:val="it-IT"/>
              </w:rPr>
              <w:t xml:space="preserve"> </w:t>
            </w:r>
            <w:proofErr w:type="spellStart"/>
            <w:r w:rsidRPr="00886793">
              <w:rPr>
                <w:rFonts w:ascii="Cambria" w:eastAsia="Calibri" w:hAnsi="Cambria" w:cs="Calibri"/>
                <w:lang w:val="it-IT"/>
              </w:rPr>
              <w:t>studenata</w:t>
            </w:r>
            <w:proofErr w:type="spellEnd"/>
            <w:r w:rsidRPr="00886793">
              <w:rPr>
                <w:rFonts w:ascii="Cambria" w:eastAsia="Calibri" w:hAnsi="Cambria" w:cs="Calibri"/>
                <w:lang w:val="it-IT"/>
              </w:rPr>
              <w:t xml:space="preserve"> </w:t>
            </w:r>
            <w:proofErr w:type="spellStart"/>
            <w:r w:rsidRPr="00886793">
              <w:rPr>
                <w:rFonts w:ascii="Cambria" w:eastAsia="Calibri" w:hAnsi="Cambria" w:cs="Calibri"/>
                <w:lang w:val="it-IT"/>
              </w:rPr>
              <w:t>izvodi</w:t>
            </w:r>
            <w:proofErr w:type="spellEnd"/>
            <w:r w:rsidRPr="00886793">
              <w:rPr>
                <w:rFonts w:ascii="Cambria" w:eastAsia="Calibri" w:hAnsi="Cambria" w:cs="Calibri"/>
                <w:lang w:val="it-IT"/>
              </w:rPr>
              <w:t xml:space="preserve"> se </w:t>
            </w:r>
            <w:proofErr w:type="spellStart"/>
            <w:r w:rsidRPr="00886793">
              <w:rPr>
                <w:rFonts w:ascii="Cambria" w:eastAsia="Calibri" w:hAnsi="Cambria" w:cs="Calibri"/>
                <w:lang w:val="it-IT"/>
              </w:rPr>
              <w:t>tijekom</w:t>
            </w:r>
            <w:proofErr w:type="spellEnd"/>
            <w:r w:rsidRPr="00886793">
              <w:rPr>
                <w:rFonts w:ascii="Cambria" w:eastAsia="Calibri" w:hAnsi="Cambria" w:cs="Calibri"/>
                <w:lang w:val="it-IT"/>
              </w:rPr>
              <w:t xml:space="preserve"> </w:t>
            </w:r>
            <w:proofErr w:type="spellStart"/>
            <w:r w:rsidRPr="00886793">
              <w:rPr>
                <w:rFonts w:ascii="Cambria" w:eastAsia="Calibri" w:hAnsi="Cambria" w:cs="Calibri"/>
                <w:lang w:val="it-IT"/>
              </w:rPr>
              <w:t>nastave</w:t>
            </w:r>
            <w:proofErr w:type="spellEnd"/>
            <w:r w:rsidRPr="00886793">
              <w:rPr>
                <w:rFonts w:ascii="Cambria" w:eastAsia="Calibri" w:hAnsi="Cambria" w:cs="Calibri"/>
                <w:lang w:val="it-IT"/>
              </w:rPr>
              <w:t xml:space="preserve"> i </w:t>
            </w:r>
            <w:proofErr w:type="spellStart"/>
            <w:r w:rsidRPr="00886793">
              <w:rPr>
                <w:rFonts w:ascii="Cambria" w:eastAsia="Calibri" w:hAnsi="Cambria" w:cs="Calibri"/>
                <w:lang w:val="it-IT"/>
              </w:rPr>
              <w:t>na</w:t>
            </w:r>
            <w:proofErr w:type="spellEnd"/>
            <w:r w:rsidRPr="00886793">
              <w:rPr>
                <w:rFonts w:ascii="Cambria" w:eastAsia="Calibri" w:hAnsi="Cambria" w:cs="Calibri"/>
                <w:lang w:val="it-IT"/>
              </w:rPr>
              <w:t xml:space="preserve"> </w:t>
            </w:r>
            <w:proofErr w:type="spellStart"/>
            <w:r w:rsidRPr="00886793">
              <w:rPr>
                <w:rFonts w:ascii="Cambria" w:eastAsia="Calibri" w:hAnsi="Cambria" w:cs="Calibri"/>
                <w:lang w:val="it-IT"/>
              </w:rPr>
              <w:t>završnom</w:t>
            </w:r>
            <w:proofErr w:type="spellEnd"/>
            <w:r w:rsidRPr="00886793">
              <w:rPr>
                <w:rFonts w:ascii="Cambria" w:eastAsia="Calibri" w:hAnsi="Cambria" w:cs="Calibri"/>
                <w:lang w:val="it-IT"/>
              </w:rPr>
              <w:t xml:space="preserve"> </w:t>
            </w:r>
            <w:proofErr w:type="spellStart"/>
            <w:r w:rsidRPr="00886793">
              <w:rPr>
                <w:rFonts w:ascii="Cambria" w:eastAsia="Calibri" w:hAnsi="Cambria" w:cs="Calibri"/>
                <w:lang w:val="it-IT"/>
              </w:rPr>
              <w:t>ispitu</w:t>
            </w:r>
            <w:proofErr w:type="spellEnd"/>
            <w:r w:rsidRPr="00886793">
              <w:rPr>
                <w:rFonts w:ascii="Cambria" w:eastAsia="Calibri" w:hAnsi="Cambria" w:cs="Calibri"/>
                <w:lang w:val="it-IT"/>
              </w:rPr>
              <w:t xml:space="preserve">. </w:t>
            </w:r>
            <w:proofErr w:type="spellStart"/>
            <w:r w:rsidRPr="00886793">
              <w:rPr>
                <w:rFonts w:ascii="Cambria" w:eastAsia="Calibri" w:hAnsi="Cambria" w:cs="Calibri"/>
                <w:lang w:val="it-IT"/>
              </w:rPr>
              <w:t>Tijekom</w:t>
            </w:r>
            <w:proofErr w:type="spellEnd"/>
            <w:r w:rsidRPr="00886793">
              <w:rPr>
                <w:rFonts w:ascii="Cambria" w:eastAsia="Calibri" w:hAnsi="Cambria" w:cs="Calibri"/>
                <w:lang w:val="it-IT"/>
              </w:rPr>
              <w:t xml:space="preserve"> </w:t>
            </w:r>
            <w:proofErr w:type="spellStart"/>
            <w:r w:rsidRPr="00886793">
              <w:rPr>
                <w:rFonts w:ascii="Cambria" w:eastAsia="Calibri" w:hAnsi="Cambria" w:cs="Calibri"/>
                <w:lang w:val="it-IT"/>
              </w:rPr>
              <w:t>nastave</w:t>
            </w:r>
            <w:proofErr w:type="spellEnd"/>
            <w:r w:rsidRPr="00886793">
              <w:rPr>
                <w:rFonts w:ascii="Cambria" w:eastAsia="Calibri" w:hAnsi="Cambria" w:cs="Calibri"/>
                <w:lang w:val="it-IT"/>
              </w:rPr>
              <w:t xml:space="preserve"> </w:t>
            </w:r>
            <w:proofErr w:type="spellStart"/>
            <w:r w:rsidRPr="00886793">
              <w:rPr>
                <w:rFonts w:ascii="Cambria" w:eastAsia="Calibri" w:hAnsi="Cambria" w:cs="Calibri"/>
                <w:lang w:val="it-IT"/>
              </w:rPr>
              <w:t>student</w:t>
            </w:r>
            <w:proofErr w:type="spellEnd"/>
            <w:r w:rsidRPr="00886793">
              <w:rPr>
                <w:rFonts w:ascii="Cambria" w:eastAsia="Calibri" w:hAnsi="Cambria" w:cs="Calibri"/>
                <w:lang w:val="it-IT"/>
              </w:rPr>
              <w:t xml:space="preserve"> </w:t>
            </w:r>
            <w:proofErr w:type="spellStart"/>
            <w:r w:rsidRPr="00886793">
              <w:rPr>
                <w:rFonts w:ascii="Cambria" w:eastAsia="Calibri" w:hAnsi="Cambria" w:cs="Calibri"/>
                <w:lang w:val="it-IT"/>
              </w:rPr>
              <w:t>ostvaruje</w:t>
            </w:r>
            <w:proofErr w:type="spellEnd"/>
            <w:r w:rsidRPr="00886793">
              <w:rPr>
                <w:rFonts w:ascii="Cambria" w:eastAsia="Calibri" w:hAnsi="Cambria" w:cs="Calibri"/>
                <w:lang w:val="it-IT"/>
              </w:rPr>
              <w:t xml:space="preserve"> 70% </w:t>
            </w:r>
            <w:proofErr w:type="spellStart"/>
            <w:r w:rsidRPr="00886793">
              <w:rPr>
                <w:rFonts w:ascii="Cambria" w:eastAsia="Calibri" w:hAnsi="Cambria" w:cs="Calibri"/>
                <w:lang w:val="it-IT"/>
              </w:rPr>
              <w:t>ocjene</w:t>
            </w:r>
            <w:proofErr w:type="spellEnd"/>
            <w:r w:rsidRPr="00886793">
              <w:rPr>
                <w:rFonts w:ascii="Cambria" w:eastAsia="Calibri" w:hAnsi="Cambria" w:cs="Calibri"/>
                <w:lang w:val="it-IT"/>
              </w:rPr>
              <w:t xml:space="preserve">, a </w:t>
            </w:r>
            <w:proofErr w:type="spellStart"/>
            <w:r w:rsidRPr="00886793">
              <w:rPr>
                <w:rFonts w:ascii="Cambria" w:eastAsia="Calibri" w:hAnsi="Cambria" w:cs="Calibri"/>
                <w:lang w:val="it-IT"/>
              </w:rPr>
              <w:t>na</w:t>
            </w:r>
            <w:proofErr w:type="spellEnd"/>
            <w:r w:rsidRPr="00886793">
              <w:rPr>
                <w:rFonts w:ascii="Cambria" w:eastAsia="Calibri" w:hAnsi="Cambria" w:cs="Calibri"/>
                <w:lang w:val="it-IT"/>
              </w:rPr>
              <w:t xml:space="preserve"> </w:t>
            </w:r>
            <w:proofErr w:type="spellStart"/>
            <w:r w:rsidRPr="00886793">
              <w:rPr>
                <w:rFonts w:ascii="Cambria" w:eastAsia="Calibri" w:hAnsi="Cambria" w:cs="Calibri"/>
                <w:lang w:val="it-IT"/>
              </w:rPr>
              <w:t>završnom</w:t>
            </w:r>
            <w:proofErr w:type="spellEnd"/>
            <w:r w:rsidRPr="00886793">
              <w:rPr>
                <w:rFonts w:ascii="Cambria" w:eastAsia="Calibri" w:hAnsi="Cambria" w:cs="Calibri"/>
                <w:lang w:val="it-IT"/>
              </w:rPr>
              <w:t xml:space="preserve"> </w:t>
            </w:r>
            <w:proofErr w:type="spellStart"/>
            <w:r w:rsidRPr="00886793">
              <w:rPr>
                <w:rFonts w:ascii="Cambria" w:eastAsia="Calibri" w:hAnsi="Cambria" w:cs="Calibri"/>
                <w:lang w:val="it-IT"/>
              </w:rPr>
              <w:t>ispitu</w:t>
            </w:r>
            <w:proofErr w:type="spellEnd"/>
            <w:r w:rsidRPr="00886793">
              <w:rPr>
                <w:rFonts w:ascii="Cambria" w:eastAsia="Calibri" w:hAnsi="Cambria" w:cs="Calibri"/>
                <w:lang w:val="it-IT"/>
              </w:rPr>
              <w:t xml:space="preserve"> 30% </w:t>
            </w:r>
            <w:proofErr w:type="spellStart"/>
            <w:r w:rsidRPr="00886793">
              <w:rPr>
                <w:rFonts w:ascii="Cambria" w:eastAsia="Calibri" w:hAnsi="Cambria" w:cs="Calibri"/>
                <w:lang w:val="it-IT"/>
              </w:rPr>
              <w:t>ocjene</w:t>
            </w:r>
            <w:proofErr w:type="spellEnd"/>
            <w:r w:rsidRPr="00886793">
              <w:rPr>
                <w:rFonts w:ascii="Cambria" w:eastAsia="Calibri" w:hAnsi="Cambria" w:cs="Calibri"/>
                <w:lang w:val="it-IT"/>
              </w:rPr>
              <w:t>.</w:t>
            </w:r>
          </w:p>
          <w:p w14:paraId="4F38D61A" w14:textId="77777777" w:rsidR="009138DB" w:rsidRPr="00886793" w:rsidRDefault="009138DB" w:rsidP="009138DB">
            <w:pPr>
              <w:spacing w:after="0" w:line="240" w:lineRule="atLeast"/>
              <w:jc w:val="both"/>
              <w:rPr>
                <w:rFonts w:ascii="Cambria" w:eastAsia="Calibri" w:hAnsi="Cambria" w:cs="Calibri"/>
                <w:lang w:val="it-IT" w:eastAsia="hr-HR"/>
              </w:rPr>
            </w:pPr>
            <w:proofErr w:type="spellStart"/>
            <w:r w:rsidRPr="002B1E8D">
              <w:rPr>
                <w:rFonts w:ascii="Cambria" w:eastAsia="Calibri" w:hAnsi="Cambria" w:cs="Calibri"/>
                <w:lang w:val="it-IT" w:eastAsia="hr-HR"/>
              </w:rPr>
              <w:t>Seminarski</w:t>
            </w:r>
            <w:proofErr w:type="spellEnd"/>
            <w:r w:rsidRPr="002B1E8D">
              <w:rPr>
                <w:rFonts w:ascii="Cambria" w:eastAsia="Calibri" w:hAnsi="Cambria" w:cs="Calibri"/>
                <w:lang w:val="it-IT" w:eastAsia="hr-HR"/>
              </w:rPr>
              <w:t xml:space="preserve"> rad </w:t>
            </w:r>
            <w:proofErr w:type="spellStart"/>
            <w:r w:rsidRPr="002B1E8D">
              <w:rPr>
                <w:rFonts w:ascii="Cambria" w:eastAsia="Calibri" w:hAnsi="Cambria" w:cs="Calibri"/>
                <w:lang w:val="it-IT" w:eastAsia="hr-HR"/>
              </w:rPr>
              <w:t>ocjenjuje</w:t>
            </w:r>
            <w:proofErr w:type="spellEnd"/>
            <w:r w:rsidRPr="00886793">
              <w:rPr>
                <w:rFonts w:ascii="Cambria" w:eastAsia="Calibri" w:hAnsi="Cambria" w:cs="Calibri"/>
                <w:lang w:val="it-IT" w:eastAsia="hr-HR"/>
              </w:rPr>
              <w:t xml:space="preserve"> se </w:t>
            </w:r>
            <w:proofErr w:type="spellStart"/>
            <w:r w:rsidRPr="00886793">
              <w:rPr>
                <w:rFonts w:ascii="Cambria" w:eastAsia="Calibri" w:hAnsi="Cambria" w:cs="Calibri"/>
                <w:lang w:val="it-IT" w:eastAsia="hr-HR"/>
              </w:rPr>
              <w:t>na</w:t>
            </w:r>
            <w:proofErr w:type="spellEnd"/>
            <w:r w:rsidRPr="00886793">
              <w:rPr>
                <w:rFonts w:ascii="Cambria" w:eastAsia="Calibri" w:hAnsi="Cambria" w:cs="Calibri"/>
                <w:lang w:val="it-IT" w:eastAsia="hr-HR"/>
              </w:rPr>
              <w:t xml:space="preserve"> </w:t>
            </w:r>
            <w:proofErr w:type="spellStart"/>
            <w:r w:rsidRPr="00886793">
              <w:rPr>
                <w:rFonts w:ascii="Cambria" w:eastAsia="Calibri" w:hAnsi="Cambria" w:cs="Calibri"/>
                <w:lang w:val="it-IT" w:eastAsia="hr-HR"/>
              </w:rPr>
              <w:t>slijedeći</w:t>
            </w:r>
            <w:proofErr w:type="spellEnd"/>
            <w:r w:rsidRPr="00886793">
              <w:rPr>
                <w:rFonts w:ascii="Cambria" w:eastAsia="Calibri" w:hAnsi="Cambria" w:cs="Calibri"/>
                <w:lang w:val="it-IT" w:eastAsia="hr-HR"/>
              </w:rPr>
              <w:t xml:space="preserve"> </w:t>
            </w:r>
            <w:proofErr w:type="spellStart"/>
            <w:r w:rsidRPr="00886793">
              <w:rPr>
                <w:rFonts w:ascii="Cambria" w:eastAsia="Calibri" w:hAnsi="Cambria" w:cs="Calibri"/>
                <w:lang w:val="it-IT" w:eastAsia="hr-HR"/>
              </w:rPr>
              <w:t>način</w:t>
            </w:r>
            <w:proofErr w:type="spellEnd"/>
            <w:r w:rsidRPr="00886793">
              <w:rPr>
                <w:rFonts w:ascii="Cambria" w:eastAsia="Calibri" w:hAnsi="Cambria" w:cs="Calibri"/>
                <w:lang w:val="it-IT" w:eastAsia="hr-HR"/>
              </w:rPr>
              <w:t>:</w:t>
            </w:r>
          </w:p>
          <w:p w14:paraId="527A721F" w14:textId="77777777" w:rsidR="009138DB" w:rsidRPr="00886793" w:rsidRDefault="009138DB" w:rsidP="009138DB">
            <w:pPr>
              <w:spacing w:after="0" w:line="240" w:lineRule="atLeast"/>
              <w:jc w:val="both"/>
              <w:rPr>
                <w:rFonts w:ascii="Cambria" w:eastAsia="Calibri" w:hAnsi="Cambria" w:cs="Calibri"/>
                <w:lang w:val="it-IT" w:eastAsia="hr-HR"/>
              </w:rPr>
            </w:pPr>
            <w:r w:rsidRPr="00886793">
              <w:rPr>
                <w:rFonts w:ascii="Cambria" w:eastAsia="Calibri" w:hAnsi="Cambria" w:cs="Calibri"/>
                <w:lang w:val="it-IT" w:eastAsia="hr-HR"/>
              </w:rPr>
              <w:t xml:space="preserve">0% = </w:t>
            </w:r>
            <w:proofErr w:type="spellStart"/>
            <w:r w:rsidRPr="00886793">
              <w:rPr>
                <w:rFonts w:ascii="Cambria" w:eastAsia="Calibri" w:hAnsi="Cambria" w:cs="Calibri"/>
                <w:lang w:val="it-IT" w:eastAsia="hr-HR"/>
              </w:rPr>
              <w:t>Seminarski</w:t>
            </w:r>
            <w:proofErr w:type="spellEnd"/>
            <w:r w:rsidRPr="00886793">
              <w:rPr>
                <w:rFonts w:ascii="Cambria" w:eastAsia="Calibri" w:hAnsi="Cambria" w:cs="Calibri"/>
                <w:lang w:val="it-IT" w:eastAsia="hr-HR"/>
              </w:rPr>
              <w:t xml:space="preserve"> rad </w:t>
            </w:r>
            <w:proofErr w:type="spellStart"/>
            <w:r w:rsidRPr="00886793">
              <w:rPr>
                <w:rFonts w:ascii="Cambria" w:eastAsia="Calibri" w:hAnsi="Cambria" w:cs="Calibri"/>
                <w:lang w:val="it-IT" w:eastAsia="hr-HR"/>
              </w:rPr>
              <w:t>nije</w:t>
            </w:r>
            <w:proofErr w:type="spellEnd"/>
            <w:r w:rsidRPr="00886793">
              <w:rPr>
                <w:rFonts w:ascii="Cambria" w:eastAsia="Calibri" w:hAnsi="Cambria" w:cs="Calibri"/>
                <w:lang w:val="it-IT" w:eastAsia="hr-HR"/>
              </w:rPr>
              <w:t xml:space="preserve"> </w:t>
            </w:r>
            <w:proofErr w:type="spellStart"/>
            <w:r w:rsidRPr="00886793">
              <w:rPr>
                <w:rFonts w:ascii="Cambria" w:eastAsia="Calibri" w:hAnsi="Cambria" w:cs="Calibri"/>
                <w:lang w:val="it-IT" w:eastAsia="hr-HR"/>
              </w:rPr>
              <w:t>napisan</w:t>
            </w:r>
            <w:proofErr w:type="spellEnd"/>
            <w:r w:rsidRPr="00886793">
              <w:rPr>
                <w:rFonts w:ascii="Cambria" w:eastAsia="Calibri" w:hAnsi="Cambria" w:cs="Calibri"/>
                <w:lang w:val="it-IT" w:eastAsia="hr-HR"/>
              </w:rPr>
              <w:t xml:space="preserve"> i </w:t>
            </w:r>
            <w:proofErr w:type="spellStart"/>
            <w:r w:rsidRPr="00886793">
              <w:rPr>
                <w:rFonts w:ascii="Cambria" w:eastAsia="Calibri" w:hAnsi="Cambria" w:cs="Calibri"/>
                <w:lang w:val="it-IT" w:eastAsia="hr-HR"/>
              </w:rPr>
              <w:t>izložen</w:t>
            </w:r>
            <w:proofErr w:type="spellEnd"/>
            <w:r w:rsidRPr="00886793">
              <w:rPr>
                <w:rFonts w:ascii="Cambria" w:eastAsia="Calibri" w:hAnsi="Cambria" w:cs="Calibri"/>
                <w:lang w:val="it-IT" w:eastAsia="hr-HR"/>
              </w:rPr>
              <w:t>.</w:t>
            </w:r>
          </w:p>
          <w:p w14:paraId="3E78DE76" w14:textId="77777777" w:rsidR="009138DB" w:rsidRPr="00886793" w:rsidRDefault="009138DB" w:rsidP="009138DB">
            <w:pPr>
              <w:spacing w:after="0" w:line="240" w:lineRule="atLeast"/>
              <w:jc w:val="both"/>
              <w:rPr>
                <w:rFonts w:ascii="Cambria" w:eastAsia="Calibri" w:hAnsi="Cambria" w:cs="Calibri"/>
                <w:lang w:val="it-IT" w:eastAsia="hr-HR"/>
              </w:rPr>
            </w:pPr>
            <w:r w:rsidRPr="00886793">
              <w:rPr>
                <w:rFonts w:ascii="Cambria" w:eastAsia="Calibri" w:hAnsi="Cambria" w:cs="Calibri"/>
                <w:lang w:val="it-IT" w:eastAsia="hr-HR"/>
              </w:rPr>
              <w:t xml:space="preserve">2% = </w:t>
            </w:r>
            <w:proofErr w:type="spellStart"/>
            <w:r w:rsidRPr="00886793">
              <w:rPr>
                <w:rFonts w:ascii="Cambria" w:eastAsia="Calibri" w:hAnsi="Cambria" w:cs="Calibri"/>
                <w:lang w:val="it-IT" w:eastAsia="hr-HR"/>
              </w:rPr>
              <w:t>Seminarski</w:t>
            </w:r>
            <w:proofErr w:type="spellEnd"/>
            <w:r w:rsidRPr="00886793">
              <w:rPr>
                <w:rFonts w:ascii="Cambria" w:eastAsia="Calibri" w:hAnsi="Cambria" w:cs="Calibri"/>
                <w:lang w:val="it-IT" w:eastAsia="hr-HR"/>
              </w:rPr>
              <w:t xml:space="preserve"> rad </w:t>
            </w:r>
            <w:proofErr w:type="spellStart"/>
            <w:r w:rsidRPr="00886793">
              <w:rPr>
                <w:rFonts w:ascii="Cambria" w:eastAsia="Calibri" w:hAnsi="Cambria" w:cs="Calibri"/>
                <w:lang w:val="it-IT" w:eastAsia="hr-HR"/>
              </w:rPr>
              <w:t>nije</w:t>
            </w:r>
            <w:proofErr w:type="spellEnd"/>
            <w:r w:rsidRPr="00886793">
              <w:rPr>
                <w:rFonts w:ascii="Cambria" w:eastAsia="Calibri" w:hAnsi="Cambria" w:cs="Calibri"/>
                <w:lang w:val="it-IT" w:eastAsia="hr-HR"/>
              </w:rPr>
              <w:t xml:space="preserve"> </w:t>
            </w:r>
            <w:proofErr w:type="spellStart"/>
            <w:r w:rsidRPr="00886793">
              <w:rPr>
                <w:rFonts w:ascii="Cambria" w:eastAsia="Calibri" w:hAnsi="Cambria" w:cs="Calibri"/>
                <w:lang w:val="it-IT" w:eastAsia="hr-HR"/>
              </w:rPr>
              <w:t>napisan</w:t>
            </w:r>
            <w:proofErr w:type="spellEnd"/>
            <w:r w:rsidRPr="00886793">
              <w:rPr>
                <w:rFonts w:ascii="Cambria" w:eastAsia="Calibri" w:hAnsi="Cambria" w:cs="Calibri"/>
                <w:lang w:val="it-IT" w:eastAsia="hr-HR"/>
              </w:rPr>
              <w:t xml:space="preserve">, ali je </w:t>
            </w:r>
            <w:proofErr w:type="spellStart"/>
            <w:r w:rsidRPr="00886793">
              <w:rPr>
                <w:rFonts w:ascii="Cambria" w:eastAsia="Calibri" w:hAnsi="Cambria" w:cs="Calibri"/>
                <w:lang w:val="it-IT" w:eastAsia="hr-HR"/>
              </w:rPr>
              <w:t>izložen</w:t>
            </w:r>
            <w:proofErr w:type="spellEnd"/>
            <w:r w:rsidRPr="00886793">
              <w:rPr>
                <w:rFonts w:ascii="Cambria" w:eastAsia="Calibri" w:hAnsi="Cambria" w:cs="Calibri"/>
                <w:lang w:val="it-IT" w:eastAsia="hr-HR"/>
              </w:rPr>
              <w:t xml:space="preserve"> </w:t>
            </w:r>
            <w:proofErr w:type="spellStart"/>
            <w:r w:rsidRPr="00886793">
              <w:rPr>
                <w:rFonts w:ascii="Cambria" w:eastAsia="Calibri" w:hAnsi="Cambria" w:cs="Calibri"/>
                <w:lang w:val="it-IT" w:eastAsia="hr-HR"/>
              </w:rPr>
              <w:t>uz</w:t>
            </w:r>
            <w:proofErr w:type="spellEnd"/>
            <w:r w:rsidRPr="00886793">
              <w:rPr>
                <w:rFonts w:ascii="Cambria" w:eastAsia="Calibri" w:hAnsi="Cambria" w:cs="Calibri"/>
                <w:lang w:val="it-IT" w:eastAsia="hr-HR"/>
              </w:rPr>
              <w:t xml:space="preserve"> </w:t>
            </w:r>
            <w:proofErr w:type="spellStart"/>
            <w:r w:rsidRPr="00886793">
              <w:rPr>
                <w:rFonts w:ascii="Cambria" w:eastAsia="Calibri" w:hAnsi="Cambria" w:cs="Calibri"/>
                <w:lang w:val="it-IT" w:eastAsia="hr-HR"/>
              </w:rPr>
              <w:t>veće</w:t>
            </w:r>
            <w:proofErr w:type="spellEnd"/>
            <w:r w:rsidRPr="00886793">
              <w:rPr>
                <w:rFonts w:ascii="Cambria" w:eastAsia="Calibri" w:hAnsi="Cambria" w:cs="Calibri"/>
                <w:lang w:val="it-IT" w:eastAsia="hr-HR"/>
              </w:rPr>
              <w:t xml:space="preserve"> </w:t>
            </w:r>
            <w:proofErr w:type="spellStart"/>
            <w:r w:rsidRPr="00886793">
              <w:rPr>
                <w:rFonts w:ascii="Cambria" w:eastAsia="Calibri" w:hAnsi="Cambria" w:cs="Calibri"/>
                <w:lang w:val="it-IT" w:eastAsia="hr-HR"/>
              </w:rPr>
              <w:t>nedostatke</w:t>
            </w:r>
            <w:proofErr w:type="spellEnd"/>
            <w:r w:rsidRPr="00886793">
              <w:rPr>
                <w:rFonts w:ascii="Cambria" w:eastAsia="Calibri" w:hAnsi="Cambria" w:cs="Calibri"/>
                <w:lang w:val="it-IT" w:eastAsia="hr-HR"/>
              </w:rPr>
              <w:t>.</w:t>
            </w:r>
          </w:p>
          <w:p w14:paraId="3DFB2E7B" w14:textId="77777777" w:rsidR="009138DB" w:rsidRPr="00886793" w:rsidRDefault="009138DB" w:rsidP="009138DB">
            <w:pPr>
              <w:spacing w:after="0" w:line="240" w:lineRule="atLeast"/>
              <w:jc w:val="both"/>
              <w:rPr>
                <w:rFonts w:ascii="Cambria" w:eastAsia="Calibri" w:hAnsi="Cambria" w:cs="Calibri"/>
                <w:lang w:val="it-IT" w:eastAsia="hr-HR"/>
              </w:rPr>
            </w:pPr>
            <w:r w:rsidRPr="00886793">
              <w:rPr>
                <w:rFonts w:ascii="Cambria" w:eastAsia="Calibri" w:hAnsi="Cambria" w:cs="Calibri"/>
                <w:lang w:val="it-IT" w:eastAsia="hr-HR"/>
              </w:rPr>
              <w:t xml:space="preserve">4% = </w:t>
            </w:r>
            <w:proofErr w:type="spellStart"/>
            <w:r w:rsidRPr="00886793">
              <w:rPr>
                <w:rFonts w:ascii="Cambria" w:eastAsia="Calibri" w:hAnsi="Cambria" w:cs="Calibri"/>
                <w:lang w:val="it-IT" w:eastAsia="hr-HR"/>
              </w:rPr>
              <w:t>Seminarski</w:t>
            </w:r>
            <w:proofErr w:type="spellEnd"/>
            <w:r w:rsidRPr="00886793">
              <w:rPr>
                <w:rFonts w:ascii="Cambria" w:eastAsia="Calibri" w:hAnsi="Cambria" w:cs="Calibri"/>
                <w:lang w:val="it-IT" w:eastAsia="hr-HR"/>
              </w:rPr>
              <w:t xml:space="preserve"> je rad </w:t>
            </w:r>
            <w:proofErr w:type="spellStart"/>
            <w:r w:rsidRPr="00886793">
              <w:rPr>
                <w:rFonts w:ascii="Cambria" w:eastAsia="Calibri" w:hAnsi="Cambria" w:cs="Calibri"/>
                <w:lang w:val="it-IT" w:eastAsia="hr-HR"/>
              </w:rPr>
              <w:t>napisan</w:t>
            </w:r>
            <w:proofErr w:type="spellEnd"/>
            <w:r w:rsidRPr="00886793">
              <w:rPr>
                <w:rFonts w:ascii="Cambria" w:eastAsia="Calibri" w:hAnsi="Cambria" w:cs="Calibri"/>
                <w:lang w:val="it-IT" w:eastAsia="hr-HR"/>
              </w:rPr>
              <w:t xml:space="preserve"> </w:t>
            </w:r>
            <w:proofErr w:type="spellStart"/>
            <w:r w:rsidRPr="00886793">
              <w:rPr>
                <w:rFonts w:ascii="Cambria" w:eastAsia="Calibri" w:hAnsi="Cambria" w:cs="Calibri"/>
                <w:lang w:val="it-IT" w:eastAsia="hr-HR"/>
              </w:rPr>
              <w:t>uz</w:t>
            </w:r>
            <w:proofErr w:type="spellEnd"/>
            <w:r w:rsidRPr="00886793">
              <w:rPr>
                <w:rFonts w:ascii="Cambria" w:eastAsia="Calibri" w:hAnsi="Cambria" w:cs="Calibri"/>
                <w:lang w:val="it-IT" w:eastAsia="hr-HR"/>
              </w:rPr>
              <w:t xml:space="preserve"> </w:t>
            </w:r>
            <w:proofErr w:type="spellStart"/>
            <w:r w:rsidRPr="00886793">
              <w:rPr>
                <w:rFonts w:ascii="Cambria" w:eastAsia="Calibri" w:hAnsi="Cambria" w:cs="Calibri"/>
                <w:lang w:val="it-IT" w:eastAsia="hr-HR"/>
              </w:rPr>
              <w:t>veće</w:t>
            </w:r>
            <w:proofErr w:type="spellEnd"/>
            <w:r w:rsidRPr="00886793">
              <w:rPr>
                <w:rFonts w:ascii="Cambria" w:eastAsia="Calibri" w:hAnsi="Cambria" w:cs="Calibri"/>
                <w:lang w:val="it-IT" w:eastAsia="hr-HR"/>
              </w:rPr>
              <w:t xml:space="preserve"> </w:t>
            </w:r>
            <w:proofErr w:type="spellStart"/>
            <w:r w:rsidRPr="00886793">
              <w:rPr>
                <w:rFonts w:ascii="Cambria" w:eastAsia="Calibri" w:hAnsi="Cambria" w:cs="Calibri"/>
                <w:lang w:val="it-IT" w:eastAsia="hr-HR"/>
              </w:rPr>
              <w:t>nedostatke</w:t>
            </w:r>
            <w:proofErr w:type="spellEnd"/>
            <w:r w:rsidRPr="00886793">
              <w:rPr>
                <w:rFonts w:ascii="Cambria" w:eastAsia="Calibri" w:hAnsi="Cambria" w:cs="Calibri"/>
                <w:lang w:val="it-IT" w:eastAsia="hr-HR"/>
              </w:rPr>
              <w:t xml:space="preserve"> i </w:t>
            </w:r>
            <w:proofErr w:type="spellStart"/>
            <w:r w:rsidRPr="00886793">
              <w:rPr>
                <w:rFonts w:ascii="Cambria" w:eastAsia="Calibri" w:hAnsi="Cambria" w:cs="Calibri"/>
                <w:lang w:val="it-IT" w:eastAsia="hr-HR"/>
              </w:rPr>
              <w:t>izložen</w:t>
            </w:r>
            <w:proofErr w:type="spellEnd"/>
            <w:r w:rsidRPr="00886793">
              <w:rPr>
                <w:rFonts w:ascii="Cambria" w:eastAsia="Calibri" w:hAnsi="Cambria" w:cs="Calibri"/>
                <w:lang w:val="it-IT" w:eastAsia="hr-HR"/>
              </w:rPr>
              <w:t xml:space="preserve"> </w:t>
            </w:r>
            <w:proofErr w:type="spellStart"/>
            <w:r w:rsidRPr="00886793">
              <w:rPr>
                <w:rFonts w:ascii="Cambria" w:eastAsia="Calibri" w:hAnsi="Cambria" w:cs="Calibri"/>
                <w:lang w:val="it-IT" w:eastAsia="hr-HR"/>
              </w:rPr>
              <w:t>uz</w:t>
            </w:r>
            <w:proofErr w:type="spellEnd"/>
            <w:r w:rsidRPr="00886793">
              <w:rPr>
                <w:rFonts w:ascii="Cambria" w:eastAsia="Calibri" w:hAnsi="Cambria" w:cs="Calibri"/>
                <w:lang w:val="it-IT" w:eastAsia="hr-HR"/>
              </w:rPr>
              <w:t xml:space="preserve"> </w:t>
            </w:r>
            <w:proofErr w:type="spellStart"/>
            <w:r w:rsidRPr="00886793">
              <w:rPr>
                <w:rFonts w:ascii="Cambria" w:eastAsia="Calibri" w:hAnsi="Cambria" w:cs="Calibri"/>
                <w:lang w:val="it-IT" w:eastAsia="hr-HR"/>
              </w:rPr>
              <w:t>veće</w:t>
            </w:r>
            <w:proofErr w:type="spellEnd"/>
            <w:r w:rsidRPr="00886793">
              <w:rPr>
                <w:rFonts w:ascii="Cambria" w:eastAsia="Calibri" w:hAnsi="Cambria" w:cs="Calibri"/>
                <w:lang w:val="it-IT" w:eastAsia="hr-HR"/>
              </w:rPr>
              <w:t xml:space="preserve"> </w:t>
            </w:r>
            <w:proofErr w:type="spellStart"/>
            <w:r w:rsidRPr="00886793">
              <w:rPr>
                <w:rFonts w:ascii="Cambria" w:eastAsia="Calibri" w:hAnsi="Cambria" w:cs="Calibri"/>
                <w:lang w:val="it-IT" w:eastAsia="hr-HR"/>
              </w:rPr>
              <w:t>nedostatke</w:t>
            </w:r>
            <w:proofErr w:type="spellEnd"/>
            <w:r w:rsidRPr="00886793">
              <w:rPr>
                <w:rFonts w:ascii="Cambria" w:eastAsia="Calibri" w:hAnsi="Cambria" w:cs="Calibri"/>
                <w:lang w:val="it-IT" w:eastAsia="hr-HR"/>
              </w:rPr>
              <w:t>.</w:t>
            </w:r>
          </w:p>
          <w:p w14:paraId="683307D0" w14:textId="77777777" w:rsidR="009138DB" w:rsidRPr="00886793" w:rsidRDefault="009138DB" w:rsidP="009138DB">
            <w:pPr>
              <w:spacing w:after="0" w:line="240" w:lineRule="atLeast"/>
              <w:jc w:val="both"/>
              <w:rPr>
                <w:rFonts w:ascii="Cambria" w:eastAsia="Calibri" w:hAnsi="Cambria" w:cs="Calibri"/>
                <w:lang w:val="it-IT" w:eastAsia="hr-HR"/>
              </w:rPr>
            </w:pPr>
            <w:r w:rsidRPr="00886793">
              <w:rPr>
                <w:rFonts w:ascii="Cambria" w:eastAsia="Calibri" w:hAnsi="Cambria" w:cs="Calibri"/>
                <w:lang w:val="it-IT" w:eastAsia="hr-HR"/>
              </w:rPr>
              <w:t xml:space="preserve">6% = </w:t>
            </w:r>
            <w:proofErr w:type="spellStart"/>
            <w:r w:rsidRPr="00886793">
              <w:rPr>
                <w:rFonts w:ascii="Cambria" w:eastAsia="Calibri" w:hAnsi="Cambria" w:cs="Calibri"/>
                <w:lang w:val="it-IT" w:eastAsia="hr-HR"/>
              </w:rPr>
              <w:t>Seminarski</w:t>
            </w:r>
            <w:proofErr w:type="spellEnd"/>
            <w:r w:rsidRPr="00886793">
              <w:rPr>
                <w:rFonts w:ascii="Cambria" w:eastAsia="Calibri" w:hAnsi="Cambria" w:cs="Calibri"/>
                <w:lang w:val="it-IT" w:eastAsia="hr-HR"/>
              </w:rPr>
              <w:t xml:space="preserve"> je rad </w:t>
            </w:r>
            <w:proofErr w:type="spellStart"/>
            <w:r w:rsidRPr="00886793">
              <w:rPr>
                <w:rFonts w:ascii="Cambria" w:eastAsia="Calibri" w:hAnsi="Cambria" w:cs="Calibri"/>
                <w:lang w:val="it-IT" w:eastAsia="hr-HR"/>
              </w:rPr>
              <w:t>izrađen</w:t>
            </w:r>
            <w:proofErr w:type="spellEnd"/>
            <w:r w:rsidRPr="00886793">
              <w:rPr>
                <w:rFonts w:ascii="Cambria" w:eastAsia="Calibri" w:hAnsi="Cambria" w:cs="Calibri"/>
                <w:lang w:val="it-IT" w:eastAsia="hr-HR"/>
              </w:rPr>
              <w:t xml:space="preserve"> </w:t>
            </w:r>
            <w:proofErr w:type="spellStart"/>
            <w:r w:rsidRPr="00886793">
              <w:rPr>
                <w:rFonts w:ascii="Cambria" w:eastAsia="Calibri" w:hAnsi="Cambria" w:cs="Calibri"/>
                <w:lang w:val="it-IT" w:eastAsia="hr-HR"/>
              </w:rPr>
              <w:t>uz</w:t>
            </w:r>
            <w:proofErr w:type="spellEnd"/>
            <w:r w:rsidRPr="00886793">
              <w:rPr>
                <w:rFonts w:ascii="Cambria" w:eastAsia="Calibri" w:hAnsi="Cambria" w:cs="Calibri"/>
                <w:lang w:val="it-IT" w:eastAsia="hr-HR"/>
              </w:rPr>
              <w:t xml:space="preserve"> </w:t>
            </w:r>
            <w:proofErr w:type="spellStart"/>
            <w:r w:rsidRPr="00886793">
              <w:rPr>
                <w:rFonts w:ascii="Cambria" w:eastAsia="Calibri" w:hAnsi="Cambria" w:cs="Calibri"/>
                <w:lang w:val="it-IT" w:eastAsia="hr-HR"/>
              </w:rPr>
              <w:t>veće</w:t>
            </w:r>
            <w:proofErr w:type="spellEnd"/>
            <w:r w:rsidRPr="00886793">
              <w:rPr>
                <w:rFonts w:ascii="Cambria" w:eastAsia="Calibri" w:hAnsi="Cambria" w:cs="Calibri"/>
                <w:lang w:val="it-IT" w:eastAsia="hr-HR"/>
              </w:rPr>
              <w:t xml:space="preserve"> </w:t>
            </w:r>
            <w:proofErr w:type="spellStart"/>
            <w:r w:rsidRPr="00886793">
              <w:rPr>
                <w:rFonts w:ascii="Cambria" w:eastAsia="Calibri" w:hAnsi="Cambria" w:cs="Calibri"/>
                <w:lang w:val="it-IT" w:eastAsia="hr-HR"/>
              </w:rPr>
              <w:t>nedostatke</w:t>
            </w:r>
            <w:proofErr w:type="spellEnd"/>
            <w:r w:rsidRPr="00886793">
              <w:rPr>
                <w:rFonts w:ascii="Cambria" w:eastAsia="Calibri" w:hAnsi="Cambria" w:cs="Calibri"/>
                <w:lang w:val="it-IT" w:eastAsia="hr-HR"/>
              </w:rPr>
              <w:t xml:space="preserve"> i </w:t>
            </w:r>
            <w:proofErr w:type="spellStart"/>
            <w:r w:rsidRPr="00886793">
              <w:rPr>
                <w:rFonts w:ascii="Cambria" w:eastAsia="Calibri" w:hAnsi="Cambria" w:cs="Calibri"/>
                <w:lang w:val="it-IT" w:eastAsia="hr-HR"/>
              </w:rPr>
              <w:t>izložen</w:t>
            </w:r>
            <w:proofErr w:type="spellEnd"/>
            <w:r w:rsidRPr="00886793">
              <w:rPr>
                <w:rFonts w:ascii="Cambria" w:eastAsia="Calibri" w:hAnsi="Cambria" w:cs="Calibri"/>
                <w:lang w:val="it-IT" w:eastAsia="hr-HR"/>
              </w:rPr>
              <w:t xml:space="preserve"> </w:t>
            </w:r>
            <w:proofErr w:type="spellStart"/>
            <w:r w:rsidRPr="00886793">
              <w:rPr>
                <w:rFonts w:ascii="Cambria" w:eastAsia="Calibri" w:hAnsi="Cambria" w:cs="Calibri"/>
                <w:lang w:val="it-IT" w:eastAsia="hr-HR"/>
              </w:rPr>
              <w:t>uz</w:t>
            </w:r>
            <w:proofErr w:type="spellEnd"/>
            <w:r w:rsidRPr="00886793">
              <w:rPr>
                <w:rFonts w:ascii="Cambria" w:eastAsia="Calibri" w:hAnsi="Cambria" w:cs="Calibri"/>
                <w:lang w:val="it-IT" w:eastAsia="hr-HR"/>
              </w:rPr>
              <w:t xml:space="preserve"> </w:t>
            </w:r>
            <w:proofErr w:type="spellStart"/>
            <w:r w:rsidRPr="00886793">
              <w:rPr>
                <w:rFonts w:ascii="Cambria" w:eastAsia="Calibri" w:hAnsi="Cambria" w:cs="Calibri"/>
                <w:lang w:val="it-IT" w:eastAsia="hr-HR"/>
              </w:rPr>
              <w:t>manje</w:t>
            </w:r>
            <w:proofErr w:type="spellEnd"/>
            <w:r w:rsidRPr="00886793">
              <w:rPr>
                <w:rFonts w:ascii="Cambria" w:eastAsia="Calibri" w:hAnsi="Cambria" w:cs="Calibri"/>
                <w:lang w:val="it-IT" w:eastAsia="hr-HR"/>
              </w:rPr>
              <w:t xml:space="preserve"> </w:t>
            </w:r>
            <w:proofErr w:type="spellStart"/>
            <w:r w:rsidRPr="00886793">
              <w:rPr>
                <w:rFonts w:ascii="Cambria" w:eastAsia="Calibri" w:hAnsi="Cambria" w:cs="Calibri"/>
                <w:lang w:val="it-IT" w:eastAsia="hr-HR"/>
              </w:rPr>
              <w:t>nedostatke</w:t>
            </w:r>
            <w:proofErr w:type="spellEnd"/>
            <w:r w:rsidRPr="00886793">
              <w:rPr>
                <w:rFonts w:ascii="Cambria" w:eastAsia="Calibri" w:hAnsi="Cambria" w:cs="Calibri"/>
                <w:lang w:val="it-IT" w:eastAsia="hr-HR"/>
              </w:rPr>
              <w:t>.</w:t>
            </w:r>
          </w:p>
          <w:p w14:paraId="08BF9C52" w14:textId="77777777" w:rsidR="009138DB" w:rsidRPr="00886793" w:rsidRDefault="009138DB" w:rsidP="009138DB">
            <w:pPr>
              <w:spacing w:after="0" w:line="240" w:lineRule="atLeast"/>
              <w:jc w:val="both"/>
              <w:rPr>
                <w:rFonts w:ascii="Cambria" w:eastAsia="Calibri" w:hAnsi="Cambria" w:cs="Calibri"/>
                <w:lang w:val="it-IT" w:eastAsia="hr-HR"/>
              </w:rPr>
            </w:pPr>
            <w:r w:rsidRPr="00886793">
              <w:rPr>
                <w:rFonts w:ascii="Cambria" w:eastAsia="Calibri" w:hAnsi="Cambria" w:cs="Calibri"/>
                <w:lang w:val="it-IT" w:eastAsia="hr-HR"/>
              </w:rPr>
              <w:t xml:space="preserve">8% = </w:t>
            </w:r>
            <w:proofErr w:type="spellStart"/>
            <w:r w:rsidRPr="00886793">
              <w:rPr>
                <w:rFonts w:ascii="Cambria" w:eastAsia="Calibri" w:hAnsi="Cambria" w:cs="Calibri"/>
                <w:lang w:val="it-IT" w:eastAsia="hr-HR"/>
              </w:rPr>
              <w:t>Seminarski</w:t>
            </w:r>
            <w:proofErr w:type="spellEnd"/>
            <w:r w:rsidRPr="00886793">
              <w:rPr>
                <w:rFonts w:ascii="Cambria" w:eastAsia="Calibri" w:hAnsi="Cambria" w:cs="Calibri"/>
                <w:lang w:val="it-IT" w:eastAsia="hr-HR"/>
              </w:rPr>
              <w:t xml:space="preserve"> je rad </w:t>
            </w:r>
            <w:proofErr w:type="spellStart"/>
            <w:r w:rsidRPr="00886793">
              <w:rPr>
                <w:rFonts w:ascii="Cambria" w:eastAsia="Calibri" w:hAnsi="Cambria" w:cs="Calibri"/>
                <w:lang w:val="it-IT" w:eastAsia="hr-HR"/>
              </w:rPr>
              <w:t>izrađen</w:t>
            </w:r>
            <w:proofErr w:type="spellEnd"/>
            <w:r w:rsidRPr="00886793">
              <w:rPr>
                <w:rFonts w:ascii="Cambria" w:eastAsia="Calibri" w:hAnsi="Cambria" w:cs="Calibri"/>
                <w:lang w:val="it-IT" w:eastAsia="hr-HR"/>
              </w:rPr>
              <w:t xml:space="preserve"> i </w:t>
            </w:r>
            <w:proofErr w:type="spellStart"/>
            <w:r w:rsidRPr="00886793">
              <w:rPr>
                <w:rFonts w:ascii="Cambria" w:eastAsia="Calibri" w:hAnsi="Cambria" w:cs="Calibri"/>
                <w:lang w:val="it-IT" w:eastAsia="hr-HR"/>
              </w:rPr>
              <w:t>izložen</w:t>
            </w:r>
            <w:proofErr w:type="spellEnd"/>
            <w:r w:rsidRPr="00886793">
              <w:rPr>
                <w:rFonts w:ascii="Cambria" w:eastAsia="Calibri" w:hAnsi="Cambria" w:cs="Calibri"/>
                <w:lang w:val="it-IT" w:eastAsia="hr-HR"/>
              </w:rPr>
              <w:t xml:space="preserve"> </w:t>
            </w:r>
            <w:proofErr w:type="spellStart"/>
            <w:r w:rsidRPr="00886793">
              <w:rPr>
                <w:rFonts w:ascii="Cambria" w:eastAsia="Calibri" w:hAnsi="Cambria" w:cs="Calibri"/>
                <w:lang w:val="it-IT" w:eastAsia="hr-HR"/>
              </w:rPr>
              <w:t>uz</w:t>
            </w:r>
            <w:proofErr w:type="spellEnd"/>
            <w:r w:rsidRPr="00886793">
              <w:rPr>
                <w:rFonts w:ascii="Cambria" w:eastAsia="Calibri" w:hAnsi="Cambria" w:cs="Calibri"/>
                <w:lang w:val="it-IT" w:eastAsia="hr-HR"/>
              </w:rPr>
              <w:t xml:space="preserve"> </w:t>
            </w:r>
            <w:proofErr w:type="spellStart"/>
            <w:r w:rsidRPr="00886793">
              <w:rPr>
                <w:rFonts w:ascii="Cambria" w:eastAsia="Calibri" w:hAnsi="Cambria" w:cs="Calibri"/>
                <w:lang w:val="it-IT" w:eastAsia="hr-HR"/>
              </w:rPr>
              <w:t>manje</w:t>
            </w:r>
            <w:proofErr w:type="spellEnd"/>
            <w:r w:rsidRPr="00886793">
              <w:rPr>
                <w:rFonts w:ascii="Cambria" w:eastAsia="Calibri" w:hAnsi="Cambria" w:cs="Calibri"/>
                <w:lang w:val="it-IT" w:eastAsia="hr-HR"/>
              </w:rPr>
              <w:t xml:space="preserve"> </w:t>
            </w:r>
            <w:proofErr w:type="spellStart"/>
            <w:r w:rsidRPr="00886793">
              <w:rPr>
                <w:rFonts w:ascii="Cambria" w:eastAsia="Calibri" w:hAnsi="Cambria" w:cs="Calibri"/>
                <w:lang w:val="it-IT" w:eastAsia="hr-HR"/>
              </w:rPr>
              <w:t>nedostatke</w:t>
            </w:r>
            <w:proofErr w:type="spellEnd"/>
            <w:r w:rsidRPr="00886793">
              <w:rPr>
                <w:rFonts w:ascii="Cambria" w:eastAsia="Calibri" w:hAnsi="Cambria" w:cs="Calibri"/>
                <w:lang w:val="it-IT" w:eastAsia="hr-HR"/>
              </w:rPr>
              <w:t>.</w:t>
            </w:r>
          </w:p>
          <w:p w14:paraId="39DC9C87" w14:textId="77777777" w:rsidR="009138DB" w:rsidRPr="002B1E8D" w:rsidRDefault="009138DB" w:rsidP="009138DB">
            <w:pPr>
              <w:spacing w:after="0" w:line="240" w:lineRule="atLeast"/>
              <w:jc w:val="both"/>
              <w:rPr>
                <w:rFonts w:ascii="Cambria" w:eastAsia="Calibri" w:hAnsi="Cambria" w:cs="Calibri"/>
                <w:lang w:val="it-IT" w:eastAsia="hr-HR"/>
              </w:rPr>
            </w:pPr>
            <w:r w:rsidRPr="00886793">
              <w:rPr>
                <w:rFonts w:ascii="Cambria" w:eastAsia="Calibri" w:hAnsi="Cambria" w:cs="Calibri"/>
                <w:lang w:val="it-IT" w:eastAsia="hr-HR"/>
              </w:rPr>
              <w:t xml:space="preserve">10% = </w:t>
            </w:r>
            <w:proofErr w:type="spellStart"/>
            <w:r w:rsidRPr="00886793">
              <w:rPr>
                <w:rFonts w:ascii="Cambria" w:eastAsia="Calibri" w:hAnsi="Cambria" w:cs="Calibri"/>
                <w:lang w:val="it-IT" w:eastAsia="hr-HR"/>
              </w:rPr>
              <w:t>Vrlo</w:t>
            </w:r>
            <w:proofErr w:type="spellEnd"/>
            <w:r w:rsidRPr="00886793">
              <w:rPr>
                <w:rFonts w:ascii="Cambria" w:eastAsia="Calibri" w:hAnsi="Cambria" w:cs="Calibri"/>
                <w:lang w:val="it-IT" w:eastAsia="hr-HR"/>
              </w:rPr>
              <w:t xml:space="preserve"> </w:t>
            </w:r>
            <w:proofErr w:type="spellStart"/>
            <w:r w:rsidRPr="00886793">
              <w:rPr>
                <w:rFonts w:ascii="Cambria" w:eastAsia="Calibri" w:hAnsi="Cambria" w:cs="Calibri"/>
                <w:lang w:val="it-IT" w:eastAsia="hr-HR"/>
              </w:rPr>
              <w:t>kvalitetno</w:t>
            </w:r>
            <w:proofErr w:type="spellEnd"/>
            <w:r w:rsidRPr="00886793">
              <w:rPr>
                <w:rFonts w:ascii="Cambria" w:eastAsia="Calibri" w:hAnsi="Cambria" w:cs="Calibri"/>
                <w:lang w:val="it-IT" w:eastAsia="hr-HR"/>
              </w:rPr>
              <w:t xml:space="preserve"> </w:t>
            </w:r>
            <w:proofErr w:type="spellStart"/>
            <w:r w:rsidRPr="00886793">
              <w:rPr>
                <w:rFonts w:ascii="Cambria" w:eastAsia="Calibri" w:hAnsi="Cambria" w:cs="Calibri"/>
                <w:lang w:val="it-IT" w:eastAsia="hr-HR"/>
              </w:rPr>
              <w:t>izrađen</w:t>
            </w:r>
            <w:proofErr w:type="spellEnd"/>
            <w:r w:rsidRPr="00886793">
              <w:rPr>
                <w:rFonts w:ascii="Cambria" w:eastAsia="Calibri" w:hAnsi="Cambria" w:cs="Calibri"/>
                <w:lang w:val="it-IT" w:eastAsia="hr-HR"/>
              </w:rPr>
              <w:t xml:space="preserve"> i </w:t>
            </w:r>
            <w:proofErr w:type="spellStart"/>
            <w:r w:rsidRPr="00886793">
              <w:rPr>
                <w:rFonts w:ascii="Cambria" w:eastAsia="Calibri" w:hAnsi="Cambria" w:cs="Calibri"/>
                <w:lang w:val="it-IT" w:eastAsia="hr-HR"/>
              </w:rPr>
              <w:t>izložen</w:t>
            </w:r>
            <w:proofErr w:type="spellEnd"/>
            <w:r w:rsidRPr="00886793">
              <w:rPr>
                <w:rFonts w:ascii="Cambria" w:eastAsia="Calibri" w:hAnsi="Cambria" w:cs="Calibri"/>
                <w:lang w:val="it-IT" w:eastAsia="hr-HR"/>
              </w:rPr>
              <w:t xml:space="preserve"> </w:t>
            </w:r>
            <w:proofErr w:type="spellStart"/>
            <w:r w:rsidRPr="00886793">
              <w:rPr>
                <w:rFonts w:ascii="Cambria" w:eastAsia="Calibri" w:hAnsi="Cambria" w:cs="Calibri"/>
                <w:lang w:val="it-IT" w:eastAsia="hr-HR"/>
              </w:rPr>
              <w:t>seminarski</w:t>
            </w:r>
            <w:proofErr w:type="spellEnd"/>
            <w:r w:rsidRPr="00886793">
              <w:rPr>
                <w:rFonts w:ascii="Cambria" w:eastAsia="Calibri" w:hAnsi="Cambria" w:cs="Calibri"/>
                <w:lang w:val="it-IT" w:eastAsia="hr-HR"/>
              </w:rPr>
              <w:t xml:space="preserve"> rad.</w:t>
            </w:r>
          </w:p>
          <w:p w14:paraId="5F6DBD5C" w14:textId="77777777" w:rsidR="009138DB" w:rsidRPr="00886793" w:rsidRDefault="009138DB" w:rsidP="009138DB">
            <w:pPr>
              <w:spacing w:after="0" w:line="240" w:lineRule="atLeast"/>
              <w:jc w:val="both"/>
              <w:rPr>
                <w:rFonts w:ascii="Cambria" w:eastAsia="Calibri" w:hAnsi="Cambria" w:cs="Calibri"/>
                <w:lang w:val="it-IT" w:eastAsia="hr-HR"/>
              </w:rPr>
            </w:pPr>
            <w:proofErr w:type="spellStart"/>
            <w:r w:rsidRPr="00886793">
              <w:rPr>
                <w:rFonts w:ascii="Cambria" w:eastAsia="Calibri" w:hAnsi="Cambria" w:cs="Calibri"/>
                <w:bCs/>
                <w:lang w:val="it-IT" w:eastAsia="hr-HR"/>
              </w:rPr>
              <w:t>Usmeni</w:t>
            </w:r>
            <w:proofErr w:type="spellEnd"/>
            <w:r w:rsidRPr="00886793">
              <w:rPr>
                <w:rFonts w:ascii="Cambria" w:eastAsia="Calibri" w:hAnsi="Cambria" w:cs="Calibri"/>
                <w:bCs/>
                <w:lang w:val="it-IT" w:eastAsia="hr-HR"/>
              </w:rPr>
              <w:t xml:space="preserve"> </w:t>
            </w:r>
            <w:proofErr w:type="spellStart"/>
            <w:r w:rsidRPr="00886793">
              <w:rPr>
                <w:rFonts w:ascii="Cambria" w:eastAsia="Calibri" w:hAnsi="Cambria" w:cs="Calibri"/>
                <w:bCs/>
                <w:lang w:val="it-IT" w:eastAsia="hr-HR"/>
              </w:rPr>
              <w:t>ispit</w:t>
            </w:r>
            <w:proofErr w:type="spellEnd"/>
            <w:r w:rsidRPr="00886793">
              <w:rPr>
                <w:rFonts w:ascii="Cambria" w:eastAsia="Calibri" w:hAnsi="Cambria" w:cs="Calibri"/>
                <w:lang w:val="it-IT" w:eastAsia="hr-HR"/>
              </w:rPr>
              <w:t xml:space="preserve"> je </w:t>
            </w:r>
            <w:proofErr w:type="spellStart"/>
            <w:r w:rsidRPr="00886793">
              <w:rPr>
                <w:rFonts w:ascii="Cambria" w:eastAsia="Calibri" w:hAnsi="Cambria" w:cs="Calibri"/>
                <w:lang w:val="it-IT" w:eastAsia="hr-HR"/>
              </w:rPr>
              <w:t>svojevrsna</w:t>
            </w:r>
            <w:proofErr w:type="spellEnd"/>
            <w:r w:rsidRPr="00886793">
              <w:rPr>
                <w:rFonts w:ascii="Cambria" w:eastAsia="Calibri" w:hAnsi="Cambria" w:cs="Calibri"/>
                <w:lang w:val="it-IT" w:eastAsia="hr-HR"/>
              </w:rPr>
              <w:t xml:space="preserve"> </w:t>
            </w:r>
            <w:proofErr w:type="spellStart"/>
            <w:r w:rsidRPr="00886793">
              <w:rPr>
                <w:rFonts w:ascii="Cambria" w:eastAsia="Calibri" w:hAnsi="Cambria" w:cs="Calibri"/>
                <w:lang w:val="it-IT" w:eastAsia="hr-HR"/>
              </w:rPr>
              <w:t>rekapitulacija</w:t>
            </w:r>
            <w:proofErr w:type="spellEnd"/>
            <w:r w:rsidRPr="00886793">
              <w:rPr>
                <w:rFonts w:ascii="Cambria" w:eastAsia="Calibri" w:hAnsi="Cambria" w:cs="Calibri"/>
                <w:lang w:val="it-IT" w:eastAsia="hr-HR"/>
              </w:rPr>
              <w:t xml:space="preserve"> </w:t>
            </w:r>
            <w:proofErr w:type="spellStart"/>
            <w:r w:rsidRPr="00886793">
              <w:rPr>
                <w:rFonts w:ascii="Cambria" w:eastAsia="Calibri" w:hAnsi="Cambria" w:cs="Calibri"/>
                <w:lang w:val="it-IT" w:eastAsia="hr-HR"/>
              </w:rPr>
              <w:t>svega</w:t>
            </w:r>
            <w:proofErr w:type="spellEnd"/>
            <w:r w:rsidRPr="00886793">
              <w:rPr>
                <w:rFonts w:ascii="Cambria" w:eastAsia="Calibri" w:hAnsi="Cambria" w:cs="Calibri"/>
                <w:lang w:val="it-IT" w:eastAsia="hr-HR"/>
              </w:rPr>
              <w:t xml:space="preserve"> </w:t>
            </w:r>
            <w:proofErr w:type="spellStart"/>
            <w:r w:rsidRPr="00886793">
              <w:rPr>
                <w:rFonts w:ascii="Cambria" w:eastAsia="Calibri" w:hAnsi="Cambria" w:cs="Calibri"/>
                <w:lang w:val="it-IT" w:eastAsia="hr-HR"/>
              </w:rPr>
              <w:t>naučenog</w:t>
            </w:r>
            <w:proofErr w:type="spellEnd"/>
            <w:r w:rsidRPr="00886793">
              <w:rPr>
                <w:rFonts w:ascii="Cambria" w:eastAsia="Calibri" w:hAnsi="Cambria" w:cs="Calibri"/>
                <w:lang w:val="it-IT" w:eastAsia="hr-HR"/>
              </w:rPr>
              <w:t xml:space="preserve"> </w:t>
            </w:r>
            <w:proofErr w:type="spellStart"/>
            <w:r w:rsidRPr="00886793">
              <w:rPr>
                <w:rFonts w:ascii="Cambria" w:eastAsia="Calibri" w:hAnsi="Cambria" w:cs="Calibri"/>
                <w:lang w:val="it-IT" w:eastAsia="hr-HR"/>
              </w:rPr>
              <w:t>tijekom</w:t>
            </w:r>
            <w:proofErr w:type="spellEnd"/>
            <w:r w:rsidRPr="00886793">
              <w:rPr>
                <w:rFonts w:ascii="Cambria" w:eastAsia="Calibri" w:hAnsi="Cambria" w:cs="Calibri"/>
                <w:lang w:val="it-IT" w:eastAsia="hr-HR"/>
              </w:rPr>
              <w:t xml:space="preserve"> </w:t>
            </w:r>
            <w:proofErr w:type="spellStart"/>
            <w:r w:rsidRPr="00886793">
              <w:rPr>
                <w:rFonts w:ascii="Cambria" w:eastAsia="Calibri" w:hAnsi="Cambria" w:cs="Calibri"/>
                <w:lang w:val="it-IT" w:eastAsia="hr-HR"/>
              </w:rPr>
              <w:t>semestra</w:t>
            </w:r>
            <w:proofErr w:type="spellEnd"/>
            <w:r w:rsidRPr="00886793">
              <w:rPr>
                <w:rFonts w:ascii="Cambria" w:eastAsia="Calibri" w:hAnsi="Cambria" w:cs="Calibri"/>
                <w:lang w:val="it-IT" w:eastAsia="hr-HR"/>
              </w:rPr>
              <w:t xml:space="preserve"> i </w:t>
            </w:r>
            <w:proofErr w:type="spellStart"/>
            <w:r w:rsidRPr="00886793">
              <w:rPr>
                <w:rFonts w:ascii="Cambria" w:eastAsia="Calibri" w:hAnsi="Cambria" w:cs="Calibri"/>
                <w:lang w:val="it-IT" w:eastAsia="hr-HR"/>
              </w:rPr>
              <w:t>odražava</w:t>
            </w:r>
            <w:proofErr w:type="spellEnd"/>
            <w:r w:rsidRPr="00886793">
              <w:rPr>
                <w:rFonts w:ascii="Cambria" w:eastAsia="Calibri" w:hAnsi="Cambria" w:cs="Calibri"/>
                <w:lang w:val="it-IT" w:eastAsia="hr-HR"/>
              </w:rPr>
              <w:t xml:space="preserve"> </w:t>
            </w:r>
            <w:proofErr w:type="spellStart"/>
            <w:r w:rsidRPr="00886793">
              <w:rPr>
                <w:rFonts w:ascii="Cambria" w:eastAsia="Calibri" w:hAnsi="Cambria" w:cs="Calibri"/>
                <w:lang w:val="it-IT" w:eastAsia="hr-HR"/>
              </w:rPr>
              <w:t>opću</w:t>
            </w:r>
            <w:proofErr w:type="spellEnd"/>
            <w:r w:rsidRPr="00886793">
              <w:rPr>
                <w:rFonts w:ascii="Cambria" w:eastAsia="Calibri" w:hAnsi="Cambria" w:cs="Calibri"/>
                <w:lang w:val="it-IT" w:eastAsia="hr-HR"/>
              </w:rPr>
              <w:t xml:space="preserve"> </w:t>
            </w:r>
            <w:proofErr w:type="spellStart"/>
            <w:r w:rsidRPr="00886793">
              <w:rPr>
                <w:rFonts w:ascii="Cambria" w:eastAsia="Calibri" w:hAnsi="Cambria" w:cs="Calibri"/>
                <w:lang w:val="it-IT" w:eastAsia="hr-HR"/>
              </w:rPr>
              <w:t>pripremljenost</w:t>
            </w:r>
            <w:proofErr w:type="spellEnd"/>
            <w:r w:rsidRPr="00886793">
              <w:rPr>
                <w:rFonts w:ascii="Cambria" w:eastAsia="Calibri" w:hAnsi="Cambria" w:cs="Calibri"/>
                <w:lang w:val="it-IT" w:eastAsia="hr-HR"/>
              </w:rPr>
              <w:t xml:space="preserve"> i </w:t>
            </w:r>
            <w:proofErr w:type="spellStart"/>
            <w:r w:rsidRPr="00886793">
              <w:rPr>
                <w:rFonts w:ascii="Cambria" w:eastAsia="Calibri" w:hAnsi="Cambria" w:cs="Calibri"/>
                <w:lang w:val="it-IT" w:eastAsia="hr-HR"/>
              </w:rPr>
              <w:t>spremnost</w:t>
            </w:r>
            <w:proofErr w:type="spellEnd"/>
            <w:r w:rsidRPr="00886793">
              <w:rPr>
                <w:rFonts w:ascii="Cambria" w:eastAsia="Calibri" w:hAnsi="Cambria" w:cs="Calibri"/>
                <w:lang w:val="it-IT" w:eastAsia="hr-HR"/>
              </w:rPr>
              <w:t xml:space="preserve"> za </w:t>
            </w:r>
            <w:proofErr w:type="spellStart"/>
            <w:r w:rsidRPr="00886793">
              <w:rPr>
                <w:rFonts w:ascii="Cambria" w:eastAsia="Calibri" w:hAnsi="Cambria" w:cs="Calibri"/>
                <w:lang w:val="it-IT" w:eastAsia="hr-HR"/>
              </w:rPr>
              <w:t>primjenu</w:t>
            </w:r>
            <w:proofErr w:type="spellEnd"/>
            <w:r w:rsidRPr="00886793">
              <w:rPr>
                <w:rFonts w:ascii="Cambria" w:eastAsia="Calibri" w:hAnsi="Cambria" w:cs="Calibri"/>
                <w:lang w:val="it-IT" w:eastAsia="hr-HR"/>
              </w:rPr>
              <w:t xml:space="preserve"> </w:t>
            </w:r>
            <w:proofErr w:type="spellStart"/>
            <w:r w:rsidRPr="00886793">
              <w:rPr>
                <w:rFonts w:ascii="Cambria" w:eastAsia="Calibri" w:hAnsi="Cambria" w:cs="Calibri"/>
                <w:lang w:val="it-IT" w:eastAsia="hr-HR"/>
              </w:rPr>
              <w:t>naučenih</w:t>
            </w:r>
            <w:proofErr w:type="spellEnd"/>
            <w:r w:rsidRPr="00886793">
              <w:rPr>
                <w:rFonts w:ascii="Cambria" w:eastAsia="Calibri" w:hAnsi="Cambria" w:cs="Calibri"/>
                <w:lang w:val="it-IT" w:eastAsia="hr-HR"/>
              </w:rPr>
              <w:t xml:space="preserve"> </w:t>
            </w:r>
            <w:proofErr w:type="spellStart"/>
            <w:r w:rsidRPr="00886793">
              <w:rPr>
                <w:rFonts w:ascii="Cambria" w:eastAsia="Calibri" w:hAnsi="Cambria" w:cs="Calibri"/>
                <w:lang w:val="it-IT" w:eastAsia="hr-HR"/>
              </w:rPr>
              <w:t>sadržaja</w:t>
            </w:r>
            <w:proofErr w:type="spellEnd"/>
            <w:r w:rsidRPr="00886793">
              <w:rPr>
                <w:rFonts w:ascii="Cambria" w:eastAsia="Calibri" w:hAnsi="Cambria" w:cs="Calibri"/>
                <w:lang w:val="it-IT" w:eastAsia="hr-HR"/>
              </w:rPr>
              <w:t xml:space="preserve"> </w:t>
            </w:r>
            <w:proofErr w:type="spellStart"/>
            <w:r w:rsidRPr="00886793">
              <w:rPr>
                <w:rFonts w:ascii="Cambria" w:eastAsia="Calibri" w:hAnsi="Cambria" w:cs="Calibri"/>
                <w:lang w:val="it-IT" w:eastAsia="hr-HR"/>
              </w:rPr>
              <w:t>kolegija</w:t>
            </w:r>
            <w:proofErr w:type="spellEnd"/>
            <w:r w:rsidRPr="00886793">
              <w:rPr>
                <w:rFonts w:ascii="Cambria" w:eastAsia="Calibri" w:hAnsi="Cambria" w:cs="Calibri"/>
                <w:lang w:val="it-IT" w:eastAsia="hr-HR"/>
              </w:rPr>
              <w:t xml:space="preserve">. </w:t>
            </w:r>
            <w:proofErr w:type="spellStart"/>
            <w:r w:rsidRPr="00886793">
              <w:rPr>
                <w:rFonts w:ascii="Cambria" w:eastAsia="Calibri" w:hAnsi="Cambria" w:cs="Calibri"/>
                <w:lang w:val="it-IT" w:eastAsia="hr-HR"/>
              </w:rPr>
              <w:t>Usmeni</w:t>
            </w:r>
            <w:proofErr w:type="spellEnd"/>
            <w:r w:rsidRPr="00886793">
              <w:rPr>
                <w:rFonts w:ascii="Cambria" w:eastAsia="Calibri" w:hAnsi="Cambria" w:cs="Calibri"/>
                <w:lang w:val="it-IT" w:eastAsia="hr-HR"/>
              </w:rPr>
              <w:t xml:space="preserve"> </w:t>
            </w:r>
            <w:proofErr w:type="spellStart"/>
            <w:r w:rsidRPr="00886793">
              <w:rPr>
                <w:rFonts w:ascii="Cambria" w:eastAsia="Calibri" w:hAnsi="Cambria" w:cs="Calibri"/>
                <w:lang w:val="it-IT" w:eastAsia="hr-HR"/>
              </w:rPr>
              <w:t>ispit</w:t>
            </w:r>
            <w:proofErr w:type="spellEnd"/>
            <w:r w:rsidRPr="00886793">
              <w:rPr>
                <w:rFonts w:ascii="Cambria" w:eastAsia="Calibri" w:hAnsi="Cambria" w:cs="Calibri"/>
                <w:lang w:val="it-IT" w:eastAsia="hr-HR"/>
              </w:rPr>
              <w:t xml:space="preserve"> </w:t>
            </w:r>
            <w:proofErr w:type="spellStart"/>
            <w:r w:rsidRPr="00886793">
              <w:rPr>
                <w:rFonts w:ascii="Cambria" w:eastAsia="Calibri" w:hAnsi="Cambria" w:cs="Calibri"/>
                <w:lang w:val="it-IT" w:eastAsia="hr-HR"/>
              </w:rPr>
              <w:t>sastoji</w:t>
            </w:r>
            <w:proofErr w:type="spellEnd"/>
            <w:r w:rsidRPr="00886793">
              <w:rPr>
                <w:rFonts w:ascii="Cambria" w:eastAsia="Calibri" w:hAnsi="Cambria" w:cs="Calibri"/>
                <w:lang w:val="it-IT" w:eastAsia="hr-HR"/>
              </w:rPr>
              <w:t xml:space="preserve"> se </w:t>
            </w:r>
            <w:proofErr w:type="gramStart"/>
            <w:r w:rsidRPr="00886793">
              <w:rPr>
                <w:rFonts w:ascii="Cambria" w:eastAsia="Calibri" w:hAnsi="Cambria" w:cs="Calibri"/>
                <w:lang w:val="it-IT" w:eastAsia="hr-HR"/>
              </w:rPr>
              <w:t>od</w:t>
            </w:r>
            <w:proofErr w:type="gramEnd"/>
            <w:r w:rsidRPr="00886793">
              <w:rPr>
                <w:rFonts w:ascii="Cambria" w:eastAsia="Calibri" w:hAnsi="Cambria" w:cs="Calibri"/>
                <w:lang w:val="it-IT" w:eastAsia="hr-HR"/>
              </w:rPr>
              <w:t xml:space="preserve"> tri </w:t>
            </w:r>
            <w:proofErr w:type="spellStart"/>
            <w:r w:rsidRPr="00886793">
              <w:rPr>
                <w:rFonts w:ascii="Cambria" w:eastAsia="Calibri" w:hAnsi="Cambria" w:cs="Calibri"/>
                <w:lang w:val="it-IT" w:eastAsia="hr-HR"/>
              </w:rPr>
              <w:t>pitanja</w:t>
            </w:r>
            <w:proofErr w:type="spellEnd"/>
            <w:r w:rsidRPr="00886793">
              <w:rPr>
                <w:rFonts w:ascii="Cambria" w:eastAsia="Calibri" w:hAnsi="Cambria" w:cs="Calibri"/>
                <w:lang w:val="it-IT" w:eastAsia="hr-HR"/>
              </w:rPr>
              <w:t xml:space="preserve"> </w:t>
            </w:r>
            <w:proofErr w:type="spellStart"/>
            <w:r w:rsidRPr="00886793">
              <w:rPr>
                <w:rFonts w:ascii="Cambria" w:eastAsia="Calibri" w:hAnsi="Cambria" w:cs="Calibri"/>
                <w:lang w:val="it-IT" w:eastAsia="hr-HR"/>
              </w:rPr>
              <w:t>na</w:t>
            </w:r>
            <w:proofErr w:type="spellEnd"/>
            <w:r w:rsidRPr="00886793">
              <w:rPr>
                <w:rFonts w:ascii="Cambria" w:eastAsia="Calibri" w:hAnsi="Cambria" w:cs="Calibri"/>
                <w:lang w:val="it-IT" w:eastAsia="hr-HR"/>
              </w:rPr>
              <w:t xml:space="preserve"> </w:t>
            </w:r>
            <w:proofErr w:type="spellStart"/>
            <w:r w:rsidRPr="00886793">
              <w:rPr>
                <w:rFonts w:ascii="Cambria" w:eastAsia="Calibri" w:hAnsi="Cambria" w:cs="Calibri"/>
                <w:lang w:val="it-IT" w:eastAsia="hr-HR"/>
              </w:rPr>
              <w:t>kojem</w:t>
            </w:r>
            <w:proofErr w:type="spellEnd"/>
            <w:r w:rsidRPr="00886793">
              <w:rPr>
                <w:rFonts w:ascii="Cambria" w:eastAsia="Calibri" w:hAnsi="Cambria" w:cs="Calibri"/>
                <w:lang w:val="it-IT" w:eastAsia="hr-HR"/>
              </w:rPr>
              <w:t xml:space="preserve"> se </w:t>
            </w:r>
            <w:proofErr w:type="spellStart"/>
            <w:r w:rsidRPr="00886793">
              <w:rPr>
                <w:rFonts w:ascii="Cambria" w:eastAsia="Calibri" w:hAnsi="Cambria" w:cs="Calibri"/>
                <w:lang w:val="it-IT" w:eastAsia="hr-HR"/>
              </w:rPr>
              <w:t>može</w:t>
            </w:r>
            <w:proofErr w:type="spellEnd"/>
            <w:r w:rsidRPr="00886793">
              <w:rPr>
                <w:rFonts w:ascii="Cambria" w:eastAsia="Calibri" w:hAnsi="Cambria" w:cs="Calibri"/>
                <w:lang w:val="it-IT" w:eastAsia="hr-HR"/>
              </w:rPr>
              <w:t xml:space="preserve"> </w:t>
            </w:r>
            <w:proofErr w:type="spellStart"/>
            <w:r w:rsidRPr="00886793">
              <w:rPr>
                <w:rFonts w:ascii="Cambria" w:eastAsia="Calibri" w:hAnsi="Cambria" w:cs="Calibri"/>
                <w:lang w:val="it-IT" w:eastAsia="hr-HR"/>
              </w:rPr>
              <w:t>postići</w:t>
            </w:r>
            <w:proofErr w:type="spellEnd"/>
            <w:r w:rsidRPr="00886793">
              <w:rPr>
                <w:rFonts w:ascii="Cambria" w:eastAsia="Calibri" w:hAnsi="Cambria" w:cs="Calibri"/>
                <w:lang w:val="it-IT" w:eastAsia="hr-HR"/>
              </w:rPr>
              <w:t xml:space="preserve"> </w:t>
            </w:r>
            <w:proofErr w:type="spellStart"/>
            <w:r w:rsidRPr="00886793">
              <w:rPr>
                <w:rFonts w:ascii="Cambria" w:eastAsia="Calibri" w:hAnsi="Cambria" w:cs="Calibri"/>
                <w:lang w:val="it-IT" w:eastAsia="hr-HR"/>
              </w:rPr>
              <w:t>maksimalno</w:t>
            </w:r>
            <w:proofErr w:type="spellEnd"/>
            <w:r w:rsidRPr="00886793">
              <w:rPr>
                <w:rFonts w:ascii="Cambria" w:eastAsia="Calibri" w:hAnsi="Cambria" w:cs="Calibri"/>
                <w:lang w:val="it-IT" w:eastAsia="hr-HR"/>
              </w:rPr>
              <w:t xml:space="preserve"> 30% </w:t>
            </w:r>
            <w:proofErr w:type="spellStart"/>
            <w:r w:rsidRPr="00886793">
              <w:rPr>
                <w:rFonts w:ascii="Cambria" w:eastAsia="Calibri" w:hAnsi="Cambria" w:cs="Calibri"/>
                <w:lang w:val="it-IT" w:eastAsia="hr-HR"/>
              </w:rPr>
              <w:t>ocjene</w:t>
            </w:r>
            <w:proofErr w:type="spellEnd"/>
            <w:r w:rsidRPr="00886793">
              <w:rPr>
                <w:rFonts w:ascii="Cambria" w:eastAsia="Calibri" w:hAnsi="Cambria" w:cs="Calibri"/>
                <w:lang w:val="it-IT" w:eastAsia="hr-HR"/>
              </w:rPr>
              <w:t xml:space="preserve">. </w:t>
            </w:r>
          </w:p>
        </w:tc>
      </w:tr>
      <w:tr w:rsidR="009138DB" w:rsidRPr="00D0399C" w14:paraId="00539D87" w14:textId="77777777" w:rsidTr="00587D5D">
        <w:tc>
          <w:tcPr>
            <w:tcW w:w="26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E186775" w14:textId="77777777" w:rsidR="009138DB" w:rsidRPr="00886793" w:rsidRDefault="009138DB" w:rsidP="009138DB">
            <w:pPr>
              <w:spacing w:after="0" w:line="240" w:lineRule="atLeast"/>
              <w:jc w:val="both"/>
              <w:rPr>
                <w:rFonts w:ascii="Cambria" w:eastAsia="Calibri" w:hAnsi="Cambria" w:cs="Calibri"/>
              </w:rPr>
            </w:pPr>
            <w:proofErr w:type="spellStart"/>
            <w:r w:rsidRPr="00886793">
              <w:rPr>
                <w:rFonts w:ascii="Cambria" w:eastAsia="Calibri" w:hAnsi="Cambria" w:cs="Calibri"/>
              </w:rPr>
              <w:t>Studentske</w:t>
            </w:r>
            <w:proofErr w:type="spellEnd"/>
            <w:r w:rsidRPr="00886793">
              <w:rPr>
                <w:rFonts w:ascii="Cambria" w:eastAsia="Calibri" w:hAnsi="Cambria" w:cs="Calibri"/>
              </w:rPr>
              <w:t xml:space="preserve"> </w:t>
            </w:r>
            <w:proofErr w:type="spellStart"/>
            <w:r w:rsidRPr="00886793">
              <w:rPr>
                <w:rFonts w:ascii="Cambria" w:eastAsia="Calibri" w:hAnsi="Cambria" w:cs="Calibri"/>
              </w:rPr>
              <w:t>obveze</w:t>
            </w:r>
            <w:proofErr w:type="spellEnd"/>
          </w:p>
        </w:tc>
        <w:tc>
          <w:tcPr>
            <w:tcW w:w="6731"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945D67B" w14:textId="77777777" w:rsidR="009138DB" w:rsidRPr="00886793" w:rsidRDefault="009138DB" w:rsidP="009138DB">
            <w:pPr>
              <w:spacing w:after="0" w:line="240" w:lineRule="atLeast"/>
              <w:jc w:val="both"/>
              <w:rPr>
                <w:rFonts w:ascii="Cambria" w:eastAsia="Calibri" w:hAnsi="Cambria" w:cs="Calibri"/>
                <w:lang w:val="it-IT"/>
              </w:rPr>
            </w:pPr>
            <w:r w:rsidRPr="00886793">
              <w:rPr>
                <w:rFonts w:ascii="Cambria" w:eastAsia="Calibri" w:hAnsi="Cambria" w:cs="Calibri"/>
                <w:lang w:val="it-IT"/>
              </w:rPr>
              <w:t xml:space="preserve">Da </w:t>
            </w:r>
            <w:proofErr w:type="spellStart"/>
            <w:r w:rsidRPr="00886793">
              <w:rPr>
                <w:rFonts w:ascii="Cambria" w:eastAsia="Calibri" w:hAnsi="Cambria" w:cs="Calibri"/>
                <w:lang w:val="it-IT"/>
              </w:rPr>
              <w:t>položi</w:t>
            </w:r>
            <w:proofErr w:type="spellEnd"/>
            <w:r w:rsidRPr="00886793">
              <w:rPr>
                <w:rFonts w:ascii="Cambria" w:eastAsia="Calibri" w:hAnsi="Cambria" w:cs="Calibri"/>
                <w:lang w:val="it-IT"/>
              </w:rPr>
              <w:t xml:space="preserve"> </w:t>
            </w:r>
            <w:proofErr w:type="spellStart"/>
            <w:r w:rsidRPr="00886793">
              <w:rPr>
                <w:rFonts w:ascii="Cambria" w:eastAsia="Calibri" w:hAnsi="Cambria" w:cs="Calibri"/>
                <w:lang w:val="it-IT"/>
              </w:rPr>
              <w:t>kolegij</w:t>
            </w:r>
            <w:proofErr w:type="spellEnd"/>
            <w:r w:rsidRPr="00886793">
              <w:rPr>
                <w:rFonts w:ascii="Cambria" w:eastAsia="Calibri" w:hAnsi="Cambria" w:cs="Calibri"/>
                <w:lang w:val="it-IT"/>
              </w:rPr>
              <w:t xml:space="preserve">, </w:t>
            </w:r>
            <w:proofErr w:type="spellStart"/>
            <w:r w:rsidRPr="00886793">
              <w:rPr>
                <w:rFonts w:ascii="Cambria" w:eastAsia="Calibri" w:hAnsi="Cambria" w:cs="Calibri"/>
                <w:lang w:val="it-IT"/>
              </w:rPr>
              <w:t>student</w:t>
            </w:r>
            <w:proofErr w:type="spellEnd"/>
            <w:r w:rsidRPr="00886793">
              <w:rPr>
                <w:rFonts w:ascii="Cambria" w:eastAsia="Calibri" w:hAnsi="Cambria" w:cs="Calibri"/>
                <w:lang w:val="it-IT"/>
              </w:rPr>
              <w:t xml:space="preserve"> mora: </w:t>
            </w:r>
          </w:p>
          <w:p w14:paraId="37422ADD" w14:textId="77777777" w:rsidR="009138DB" w:rsidRPr="00F942C2" w:rsidRDefault="009138DB" w:rsidP="009138DB">
            <w:pPr>
              <w:spacing w:after="0" w:line="240" w:lineRule="atLeast"/>
              <w:jc w:val="both"/>
              <w:rPr>
                <w:rFonts w:ascii="Cambria" w:eastAsia="Calibri" w:hAnsi="Cambria" w:cs="Calibri"/>
                <w:lang w:val="it-IT"/>
              </w:rPr>
            </w:pPr>
            <w:r w:rsidRPr="00F942C2">
              <w:rPr>
                <w:rFonts w:ascii="Cambria" w:eastAsia="Calibri" w:hAnsi="Cambria" w:cs="Calibri"/>
                <w:lang w:val="it-IT"/>
              </w:rPr>
              <w:t xml:space="preserve">1. </w:t>
            </w:r>
            <w:proofErr w:type="spellStart"/>
            <w:r w:rsidRPr="00F942C2">
              <w:rPr>
                <w:rFonts w:ascii="Cambria" w:eastAsia="Calibri" w:hAnsi="Cambria" w:cs="Calibri"/>
                <w:lang w:val="it-IT"/>
              </w:rPr>
              <w:t>po</w:t>
            </w:r>
            <w:proofErr w:type="spellEnd"/>
            <w:r w:rsidRPr="00886793">
              <w:rPr>
                <w:rFonts w:ascii="Cambria" w:eastAsia="Calibri" w:hAnsi="Cambria" w:cs="Calibri"/>
                <w:lang w:val="vi-VN"/>
              </w:rPr>
              <w:t>hađa</w:t>
            </w:r>
            <w:r w:rsidRPr="00F942C2">
              <w:rPr>
                <w:rFonts w:ascii="Cambria" w:eastAsia="Calibri" w:hAnsi="Cambria" w:cs="Calibri"/>
                <w:lang w:val="it-IT"/>
              </w:rPr>
              <w:t xml:space="preserve">ti </w:t>
            </w:r>
            <w:proofErr w:type="spellStart"/>
            <w:r w:rsidRPr="00F942C2">
              <w:rPr>
                <w:rFonts w:ascii="Cambria" w:eastAsia="Calibri" w:hAnsi="Cambria" w:cs="Calibri"/>
                <w:lang w:val="it-IT"/>
              </w:rPr>
              <w:t>više</w:t>
            </w:r>
            <w:proofErr w:type="spellEnd"/>
            <w:r w:rsidRPr="00F942C2">
              <w:rPr>
                <w:rFonts w:ascii="Cambria" w:eastAsia="Calibri" w:hAnsi="Cambria" w:cs="Calibri"/>
                <w:lang w:val="it-IT"/>
              </w:rPr>
              <w:t xml:space="preserve"> </w:t>
            </w:r>
            <w:proofErr w:type="gramStart"/>
            <w:r w:rsidRPr="00F942C2">
              <w:rPr>
                <w:rFonts w:ascii="Cambria" w:eastAsia="Calibri" w:hAnsi="Cambria" w:cs="Calibri"/>
                <w:lang w:val="it-IT"/>
              </w:rPr>
              <w:t>od</w:t>
            </w:r>
            <w:proofErr w:type="gramEnd"/>
            <w:r w:rsidRPr="00F942C2">
              <w:rPr>
                <w:rFonts w:ascii="Cambria" w:eastAsia="Calibri" w:hAnsi="Cambria" w:cs="Calibri"/>
                <w:lang w:val="it-IT"/>
              </w:rPr>
              <w:t xml:space="preserve"> 70 % </w:t>
            </w:r>
            <w:proofErr w:type="spellStart"/>
            <w:r w:rsidRPr="00F942C2">
              <w:rPr>
                <w:rFonts w:ascii="Cambria" w:eastAsia="Calibri" w:hAnsi="Cambria" w:cs="Calibri"/>
                <w:lang w:val="it-IT"/>
              </w:rPr>
              <w:t>nastave</w:t>
            </w:r>
            <w:proofErr w:type="spellEnd"/>
            <w:r>
              <w:rPr>
                <w:rFonts w:ascii="Cambria" w:eastAsia="Calibri" w:hAnsi="Cambria" w:cs="Calibri"/>
                <w:lang w:val="it-IT"/>
              </w:rPr>
              <w:t xml:space="preserve"> (a</w:t>
            </w:r>
            <w:r w:rsidRPr="00886793">
              <w:rPr>
                <w:rFonts w:ascii="Cambria" w:eastAsia="Calibri" w:hAnsi="Cambria" w:cs="Calibri"/>
                <w:lang w:val="vi-VN"/>
              </w:rPr>
              <w:t xml:space="preserve">ko student izostane </w:t>
            </w:r>
            <w:proofErr w:type="gramStart"/>
            <w:r w:rsidRPr="00F942C2">
              <w:rPr>
                <w:rFonts w:ascii="Cambria" w:eastAsia="Calibri" w:hAnsi="Cambria" w:cs="Calibri"/>
                <w:lang w:val="it-IT"/>
              </w:rPr>
              <w:t>od</w:t>
            </w:r>
            <w:proofErr w:type="gramEnd"/>
            <w:r w:rsidRPr="00F942C2">
              <w:rPr>
                <w:rFonts w:ascii="Cambria" w:eastAsia="Calibri" w:hAnsi="Cambria" w:cs="Calibri"/>
                <w:lang w:val="it-IT"/>
              </w:rPr>
              <w:t xml:space="preserve"> 30% do 50% </w:t>
            </w:r>
            <w:proofErr w:type="spellStart"/>
            <w:r w:rsidRPr="00F942C2">
              <w:rPr>
                <w:rFonts w:ascii="Cambria" w:eastAsia="Calibri" w:hAnsi="Cambria" w:cs="Calibri"/>
                <w:lang w:val="it-IT"/>
              </w:rPr>
              <w:t>nastave</w:t>
            </w:r>
            <w:proofErr w:type="spellEnd"/>
            <w:r w:rsidRPr="00886793">
              <w:rPr>
                <w:rFonts w:ascii="Cambria" w:eastAsia="Calibri" w:hAnsi="Cambria" w:cs="Calibri"/>
                <w:lang w:val="vi-VN"/>
              </w:rPr>
              <w:t xml:space="preserve">, trebat će izvršiti dodatne zadatke, odnosno ako izostane više </w:t>
            </w:r>
            <w:proofErr w:type="gramStart"/>
            <w:r w:rsidRPr="00F942C2">
              <w:rPr>
                <w:rFonts w:ascii="Cambria" w:eastAsia="Calibri" w:hAnsi="Cambria" w:cs="Calibri"/>
                <w:lang w:val="it-IT"/>
              </w:rPr>
              <w:t>od</w:t>
            </w:r>
            <w:proofErr w:type="gramEnd"/>
            <w:r w:rsidRPr="00F942C2">
              <w:rPr>
                <w:rFonts w:ascii="Cambria" w:eastAsia="Calibri" w:hAnsi="Cambria" w:cs="Calibri"/>
                <w:lang w:val="it-IT"/>
              </w:rPr>
              <w:t xml:space="preserve"> 50%</w:t>
            </w:r>
            <w:r w:rsidRPr="00886793">
              <w:rPr>
                <w:rFonts w:ascii="Cambria" w:eastAsia="Calibri" w:hAnsi="Cambria" w:cs="Calibri"/>
                <w:lang w:val="vi-VN"/>
              </w:rPr>
              <w:t xml:space="preserve">, uskratit će mu se pravo na ispit i upis </w:t>
            </w:r>
            <w:proofErr w:type="spellStart"/>
            <w:r w:rsidRPr="00F942C2">
              <w:rPr>
                <w:rFonts w:ascii="Cambria" w:eastAsia="Calibri" w:hAnsi="Cambria" w:cs="Calibri"/>
                <w:lang w:val="it-IT"/>
              </w:rPr>
              <w:t>bodova</w:t>
            </w:r>
            <w:proofErr w:type="spellEnd"/>
            <w:r>
              <w:rPr>
                <w:rFonts w:ascii="Cambria" w:eastAsia="Calibri" w:hAnsi="Cambria" w:cs="Calibri"/>
                <w:lang w:val="it-IT"/>
              </w:rPr>
              <w:t>)</w:t>
            </w:r>
          </w:p>
          <w:p w14:paraId="007335A2" w14:textId="77777777" w:rsidR="009138DB" w:rsidRPr="00886793" w:rsidRDefault="009138DB" w:rsidP="009138DB">
            <w:pPr>
              <w:spacing w:after="0" w:line="240" w:lineRule="atLeast"/>
              <w:rPr>
                <w:rFonts w:ascii="Cambria" w:eastAsia="Calibri" w:hAnsi="Cambria" w:cs="Calibri"/>
                <w:lang w:val="it-IT"/>
              </w:rPr>
            </w:pPr>
            <w:r w:rsidRPr="00886793">
              <w:rPr>
                <w:rFonts w:ascii="Cambria" w:eastAsia="Calibri" w:hAnsi="Cambria" w:cs="Calibri"/>
                <w:lang w:val="it-IT"/>
              </w:rPr>
              <w:t xml:space="preserve">2. </w:t>
            </w:r>
            <w:proofErr w:type="spellStart"/>
            <w:r w:rsidRPr="00886793">
              <w:rPr>
                <w:rFonts w:ascii="Cambria" w:eastAsia="Calibri" w:hAnsi="Cambria" w:cs="Calibri"/>
                <w:lang w:val="it-IT"/>
              </w:rPr>
              <w:t>istražiti</w:t>
            </w:r>
            <w:proofErr w:type="spellEnd"/>
            <w:r w:rsidRPr="00886793">
              <w:rPr>
                <w:rFonts w:ascii="Cambria" w:eastAsia="Calibri" w:hAnsi="Cambria" w:cs="Calibri"/>
                <w:lang w:val="it-IT"/>
              </w:rPr>
              <w:t xml:space="preserve"> i </w:t>
            </w:r>
            <w:proofErr w:type="spellStart"/>
            <w:r w:rsidRPr="00886793">
              <w:rPr>
                <w:rFonts w:ascii="Cambria" w:eastAsia="Calibri" w:hAnsi="Cambria" w:cs="Calibri"/>
                <w:lang w:val="it-IT"/>
              </w:rPr>
              <w:t>predstaviti</w:t>
            </w:r>
            <w:proofErr w:type="spellEnd"/>
            <w:r w:rsidRPr="00886793">
              <w:rPr>
                <w:rFonts w:ascii="Cambria" w:eastAsia="Calibri" w:hAnsi="Cambria" w:cs="Calibri"/>
                <w:lang w:val="it-IT"/>
              </w:rPr>
              <w:t xml:space="preserve"> </w:t>
            </w:r>
            <w:proofErr w:type="spellStart"/>
            <w:r w:rsidRPr="00886793">
              <w:rPr>
                <w:rFonts w:ascii="Cambria" w:eastAsia="Calibri" w:hAnsi="Cambria" w:cs="Calibri"/>
                <w:lang w:val="it-IT"/>
              </w:rPr>
              <w:t>jedan</w:t>
            </w:r>
            <w:proofErr w:type="spellEnd"/>
            <w:r w:rsidRPr="00886793">
              <w:rPr>
                <w:rFonts w:ascii="Cambria" w:eastAsia="Calibri" w:hAnsi="Cambria" w:cs="Calibri"/>
                <w:lang w:val="it-IT"/>
              </w:rPr>
              <w:t xml:space="preserve"> sport (</w:t>
            </w:r>
            <w:proofErr w:type="spellStart"/>
            <w:r w:rsidRPr="00886793">
              <w:rPr>
                <w:rFonts w:ascii="Cambria" w:eastAsia="Calibri" w:hAnsi="Cambria" w:cs="Calibri"/>
                <w:lang w:val="it-IT"/>
              </w:rPr>
              <w:t>sportsku</w:t>
            </w:r>
            <w:proofErr w:type="spellEnd"/>
            <w:r w:rsidRPr="00886793">
              <w:rPr>
                <w:rFonts w:ascii="Cambria" w:eastAsia="Calibri" w:hAnsi="Cambria" w:cs="Calibri"/>
                <w:lang w:val="it-IT"/>
              </w:rPr>
              <w:t xml:space="preserve"> </w:t>
            </w:r>
            <w:proofErr w:type="spellStart"/>
            <w:r w:rsidRPr="00886793">
              <w:rPr>
                <w:rFonts w:ascii="Cambria" w:eastAsia="Calibri" w:hAnsi="Cambria" w:cs="Calibri"/>
                <w:lang w:val="it-IT"/>
              </w:rPr>
              <w:t>disciplinu</w:t>
            </w:r>
            <w:proofErr w:type="spellEnd"/>
            <w:r w:rsidRPr="00886793">
              <w:rPr>
                <w:rFonts w:ascii="Cambria" w:eastAsia="Calibri" w:hAnsi="Cambria" w:cs="Calibri"/>
                <w:lang w:val="it-IT"/>
              </w:rPr>
              <w:t xml:space="preserve">) prema </w:t>
            </w:r>
            <w:proofErr w:type="spellStart"/>
            <w:r w:rsidRPr="00886793">
              <w:rPr>
                <w:rFonts w:ascii="Cambria" w:eastAsia="Calibri" w:hAnsi="Cambria" w:cs="Calibri"/>
                <w:lang w:val="it-IT"/>
              </w:rPr>
              <w:t>dogovorenim</w:t>
            </w:r>
            <w:proofErr w:type="spellEnd"/>
            <w:r w:rsidRPr="00886793">
              <w:rPr>
                <w:rFonts w:ascii="Cambria" w:eastAsia="Calibri" w:hAnsi="Cambria" w:cs="Calibri"/>
                <w:lang w:val="it-IT"/>
              </w:rPr>
              <w:t xml:space="preserve"> </w:t>
            </w:r>
            <w:proofErr w:type="spellStart"/>
            <w:r w:rsidRPr="00886793">
              <w:rPr>
                <w:rFonts w:ascii="Cambria" w:eastAsia="Calibri" w:hAnsi="Cambria" w:cs="Calibri"/>
                <w:lang w:val="it-IT"/>
              </w:rPr>
              <w:t>rokovima</w:t>
            </w:r>
            <w:proofErr w:type="spellEnd"/>
            <w:r w:rsidRPr="00886793">
              <w:rPr>
                <w:rFonts w:ascii="Cambria" w:eastAsia="Calibri" w:hAnsi="Cambria" w:cs="Calibri"/>
                <w:lang w:val="it-IT"/>
              </w:rPr>
              <w:t xml:space="preserve"> u </w:t>
            </w:r>
            <w:proofErr w:type="spellStart"/>
            <w:r w:rsidRPr="00886793">
              <w:rPr>
                <w:rFonts w:ascii="Cambria" w:eastAsia="Calibri" w:hAnsi="Cambria" w:cs="Calibri"/>
                <w:lang w:val="it-IT"/>
              </w:rPr>
              <w:t>semestru</w:t>
            </w:r>
            <w:proofErr w:type="spellEnd"/>
            <w:r w:rsidRPr="00886793">
              <w:rPr>
                <w:rFonts w:ascii="Cambria" w:eastAsia="Calibri" w:hAnsi="Cambria" w:cs="Calibri"/>
                <w:lang w:val="it-IT"/>
              </w:rPr>
              <w:t xml:space="preserve"> </w:t>
            </w:r>
          </w:p>
          <w:p w14:paraId="5EDD370E" w14:textId="77777777" w:rsidR="009138DB" w:rsidRPr="00886793" w:rsidRDefault="009138DB" w:rsidP="009138DB">
            <w:pPr>
              <w:spacing w:after="0" w:line="240" w:lineRule="atLeast"/>
              <w:jc w:val="both"/>
              <w:rPr>
                <w:rFonts w:ascii="Cambria" w:eastAsia="Calibri" w:hAnsi="Cambria" w:cs="Calibri"/>
                <w:lang w:val="it-IT"/>
              </w:rPr>
            </w:pPr>
            <w:r w:rsidRPr="00886793">
              <w:rPr>
                <w:rFonts w:ascii="Cambria" w:eastAsia="Calibri" w:hAnsi="Cambria" w:cs="Calibri"/>
                <w:lang w:val="it-IT"/>
              </w:rPr>
              <w:t xml:space="preserve">3. </w:t>
            </w:r>
            <w:proofErr w:type="spellStart"/>
            <w:r w:rsidRPr="00886793">
              <w:rPr>
                <w:rFonts w:ascii="Cambria" w:eastAsia="Calibri" w:hAnsi="Cambria" w:cs="Calibri"/>
                <w:lang w:val="it-IT"/>
              </w:rPr>
              <w:t>položiti</w:t>
            </w:r>
            <w:proofErr w:type="spellEnd"/>
            <w:r w:rsidRPr="00886793">
              <w:rPr>
                <w:rFonts w:ascii="Cambria" w:eastAsia="Calibri" w:hAnsi="Cambria" w:cs="Calibri"/>
                <w:lang w:val="it-IT"/>
              </w:rPr>
              <w:t xml:space="preserve"> </w:t>
            </w:r>
            <w:proofErr w:type="spellStart"/>
            <w:r w:rsidRPr="00886793">
              <w:rPr>
                <w:rFonts w:ascii="Cambria" w:eastAsia="Calibri" w:hAnsi="Cambria" w:cs="Calibri"/>
                <w:lang w:val="it-IT"/>
              </w:rPr>
              <w:t>kolokvije</w:t>
            </w:r>
            <w:proofErr w:type="spellEnd"/>
          </w:p>
          <w:p w14:paraId="6795FE8F" w14:textId="77777777" w:rsidR="009138DB" w:rsidRPr="00886793" w:rsidRDefault="009138DB" w:rsidP="009138DB">
            <w:pPr>
              <w:spacing w:after="0" w:line="240" w:lineRule="atLeast"/>
              <w:jc w:val="both"/>
              <w:rPr>
                <w:rFonts w:ascii="Cambria" w:eastAsia="Calibri" w:hAnsi="Cambria" w:cs="Calibri"/>
                <w:lang w:val="it-IT"/>
              </w:rPr>
            </w:pPr>
            <w:r w:rsidRPr="00886793">
              <w:rPr>
                <w:rFonts w:ascii="Cambria" w:eastAsia="Calibri" w:hAnsi="Cambria" w:cs="Calibri"/>
                <w:lang w:val="it-IT"/>
              </w:rPr>
              <w:t xml:space="preserve">4. </w:t>
            </w:r>
            <w:proofErr w:type="spellStart"/>
            <w:r w:rsidRPr="00886793">
              <w:rPr>
                <w:rFonts w:ascii="Cambria" w:eastAsia="Calibri" w:hAnsi="Cambria" w:cs="Calibri"/>
                <w:lang w:val="it-IT"/>
              </w:rPr>
              <w:t>položiti</w:t>
            </w:r>
            <w:proofErr w:type="spellEnd"/>
            <w:r w:rsidRPr="00886793">
              <w:rPr>
                <w:rFonts w:ascii="Cambria" w:eastAsia="Calibri" w:hAnsi="Cambria" w:cs="Calibri"/>
                <w:lang w:val="it-IT"/>
              </w:rPr>
              <w:t xml:space="preserve"> </w:t>
            </w:r>
            <w:proofErr w:type="spellStart"/>
            <w:r w:rsidRPr="00886793">
              <w:rPr>
                <w:rFonts w:ascii="Cambria" w:eastAsia="Calibri" w:hAnsi="Cambria" w:cs="Calibri"/>
                <w:lang w:val="it-IT"/>
              </w:rPr>
              <w:t>usmeni</w:t>
            </w:r>
            <w:proofErr w:type="spellEnd"/>
            <w:r w:rsidRPr="00886793">
              <w:rPr>
                <w:rFonts w:ascii="Cambria" w:eastAsia="Calibri" w:hAnsi="Cambria" w:cs="Calibri"/>
                <w:lang w:val="it-IT"/>
              </w:rPr>
              <w:t xml:space="preserve"> </w:t>
            </w:r>
            <w:proofErr w:type="spellStart"/>
            <w:r w:rsidRPr="00886793">
              <w:rPr>
                <w:rFonts w:ascii="Cambria" w:eastAsia="Calibri" w:hAnsi="Cambria" w:cs="Calibri"/>
                <w:lang w:val="it-IT"/>
              </w:rPr>
              <w:t>ispit</w:t>
            </w:r>
            <w:proofErr w:type="spellEnd"/>
            <w:r w:rsidRPr="00886793">
              <w:rPr>
                <w:rFonts w:ascii="Cambria" w:eastAsia="Calibri" w:hAnsi="Cambria" w:cs="Calibri"/>
                <w:lang w:val="it-IT"/>
              </w:rPr>
              <w:t>.</w:t>
            </w:r>
          </w:p>
        </w:tc>
      </w:tr>
      <w:tr w:rsidR="009138DB" w:rsidRPr="00886793" w14:paraId="28ACA984" w14:textId="77777777" w:rsidTr="00587D5D">
        <w:tc>
          <w:tcPr>
            <w:tcW w:w="26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2CEF4E6" w14:textId="77777777" w:rsidR="009138DB" w:rsidRPr="00886793" w:rsidRDefault="009138DB" w:rsidP="009138DB">
            <w:pPr>
              <w:spacing w:after="0" w:line="240" w:lineRule="atLeast"/>
              <w:rPr>
                <w:rFonts w:ascii="Cambria" w:eastAsia="Calibri" w:hAnsi="Cambria" w:cs="Calibri"/>
              </w:rPr>
            </w:pPr>
            <w:proofErr w:type="spellStart"/>
            <w:r w:rsidRPr="00886793">
              <w:rPr>
                <w:rFonts w:ascii="Cambria" w:eastAsia="Calibri" w:hAnsi="Cambria" w:cs="Calibri"/>
              </w:rPr>
              <w:t>Rokovi</w:t>
            </w:r>
            <w:proofErr w:type="spellEnd"/>
            <w:r w:rsidRPr="00886793">
              <w:rPr>
                <w:rFonts w:ascii="Cambria" w:eastAsia="Calibri" w:hAnsi="Cambria" w:cs="Calibri"/>
              </w:rPr>
              <w:t xml:space="preserve"> </w:t>
            </w:r>
            <w:proofErr w:type="spellStart"/>
            <w:r w:rsidRPr="00886793">
              <w:rPr>
                <w:rFonts w:ascii="Cambria" w:eastAsia="Calibri" w:hAnsi="Cambria" w:cs="Calibri"/>
              </w:rPr>
              <w:t>ispita</w:t>
            </w:r>
            <w:proofErr w:type="spellEnd"/>
            <w:r w:rsidRPr="00886793">
              <w:rPr>
                <w:rFonts w:ascii="Cambria" w:eastAsia="Calibri" w:hAnsi="Cambria" w:cs="Calibri"/>
              </w:rPr>
              <w:t xml:space="preserve"> </w:t>
            </w:r>
            <w:proofErr w:type="spellStart"/>
            <w:r w:rsidRPr="00886793">
              <w:rPr>
                <w:rFonts w:ascii="Cambria" w:eastAsia="Calibri" w:hAnsi="Cambria" w:cs="Calibri"/>
              </w:rPr>
              <w:t>i</w:t>
            </w:r>
            <w:proofErr w:type="spellEnd"/>
            <w:r w:rsidRPr="00886793">
              <w:rPr>
                <w:rFonts w:ascii="Cambria" w:eastAsia="Calibri" w:hAnsi="Cambria" w:cs="Calibri"/>
              </w:rPr>
              <w:t xml:space="preserve"> </w:t>
            </w:r>
            <w:proofErr w:type="spellStart"/>
            <w:r w:rsidRPr="00886793">
              <w:rPr>
                <w:rFonts w:ascii="Cambria" w:eastAsia="Calibri" w:hAnsi="Cambria" w:cs="Calibri"/>
              </w:rPr>
              <w:t>kolokvija</w:t>
            </w:r>
            <w:proofErr w:type="spellEnd"/>
          </w:p>
        </w:tc>
        <w:tc>
          <w:tcPr>
            <w:tcW w:w="6731"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895DF83" w14:textId="77777777" w:rsidR="009138DB" w:rsidRPr="00886793" w:rsidRDefault="009138DB" w:rsidP="009138DB">
            <w:pPr>
              <w:spacing w:after="0" w:line="240" w:lineRule="atLeast"/>
              <w:rPr>
                <w:rFonts w:ascii="Cambria" w:eastAsia="Calibri" w:hAnsi="Cambria" w:cs="Calibri"/>
              </w:rPr>
            </w:pPr>
            <w:r w:rsidRPr="00886793">
              <w:rPr>
                <w:rFonts w:ascii="Cambria" w:eastAsia="Calibri" w:hAnsi="Cambria" w:cs="Calibri"/>
              </w:rPr>
              <w:t xml:space="preserve">Daju se </w:t>
            </w:r>
            <w:proofErr w:type="spellStart"/>
            <w:r w:rsidRPr="00886793">
              <w:rPr>
                <w:rFonts w:ascii="Cambria" w:eastAsia="Calibri" w:hAnsi="Cambria" w:cs="Calibri"/>
              </w:rPr>
              <w:t>na</w:t>
            </w:r>
            <w:proofErr w:type="spellEnd"/>
            <w:r w:rsidRPr="00886793">
              <w:rPr>
                <w:rFonts w:ascii="Cambria" w:eastAsia="Calibri" w:hAnsi="Cambria" w:cs="Calibri"/>
              </w:rPr>
              <w:t xml:space="preserve"> </w:t>
            </w:r>
            <w:proofErr w:type="spellStart"/>
            <w:r w:rsidRPr="00886793">
              <w:rPr>
                <w:rFonts w:ascii="Cambria" w:eastAsia="Calibri" w:hAnsi="Cambria" w:cs="Calibri"/>
              </w:rPr>
              <w:t>početku</w:t>
            </w:r>
            <w:proofErr w:type="spellEnd"/>
            <w:r w:rsidRPr="00886793">
              <w:rPr>
                <w:rFonts w:ascii="Cambria" w:eastAsia="Calibri" w:hAnsi="Cambria" w:cs="Calibri"/>
              </w:rPr>
              <w:t xml:space="preserve"> </w:t>
            </w:r>
            <w:proofErr w:type="spellStart"/>
            <w:r w:rsidRPr="00886793">
              <w:rPr>
                <w:rFonts w:ascii="Cambria" w:eastAsia="Calibri" w:hAnsi="Cambria" w:cs="Calibri"/>
              </w:rPr>
              <w:t>akademske</w:t>
            </w:r>
            <w:proofErr w:type="spellEnd"/>
            <w:r w:rsidRPr="00886793">
              <w:rPr>
                <w:rFonts w:ascii="Cambria" w:eastAsia="Calibri" w:hAnsi="Cambria" w:cs="Calibri"/>
              </w:rPr>
              <w:t xml:space="preserve"> </w:t>
            </w:r>
            <w:proofErr w:type="spellStart"/>
            <w:r w:rsidRPr="00886793">
              <w:rPr>
                <w:rFonts w:ascii="Cambria" w:eastAsia="Calibri" w:hAnsi="Cambria" w:cs="Calibri"/>
              </w:rPr>
              <w:t>godine</w:t>
            </w:r>
            <w:proofErr w:type="spellEnd"/>
            <w:r w:rsidRPr="00886793">
              <w:rPr>
                <w:rFonts w:ascii="Cambria" w:eastAsia="Calibri" w:hAnsi="Cambria" w:cs="Calibri"/>
              </w:rPr>
              <w:t xml:space="preserve">, </w:t>
            </w:r>
            <w:proofErr w:type="spellStart"/>
            <w:r w:rsidRPr="00886793">
              <w:rPr>
                <w:rFonts w:ascii="Cambria" w:eastAsia="Calibri" w:hAnsi="Cambria" w:cs="Calibri"/>
              </w:rPr>
              <w:t>objavljuju</w:t>
            </w:r>
            <w:proofErr w:type="spellEnd"/>
            <w:r w:rsidRPr="00886793">
              <w:rPr>
                <w:rFonts w:ascii="Cambria" w:eastAsia="Calibri" w:hAnsi="Cambria" w:cs="Calibri"/>
              </w:rPr>
              <w:t xml:space="preserve"> se </w:t>
            </w:r>
            <w:proofErr w:type="spellStart"/>
            <w:r w:rsidRPr="00886793">
              <w:rPr>
                <w:rFonts w:ascii="Cambria" w:eastAsia="Calibri" w:hAnsi="Cambria" w:cs="Calibri"/>
              </w:rPr>
              <w:t>na</w:t>
            </w:r>
            <w:proofErr w:type="spellEnd"/>
            <w:r w:rsidRPr="00886793">
              <w:rPr>
                <w:rFonts w:ascii="Cambria" w:eastAsia="Calibri" w:hAnsi="Cambria" w:cs="Calibri"/>
              </w:rPr>
              <w:t xml:space="preserve"> </w:t>
            </w:r>
            <w:proofErr w:type="spellStart"/>
            <w:r w:rsidRPr="00886793">
              <w:rPr>
                <w:rFonts w:ascii="Cambria" w:eastAsia="Calibri" w:hAnsi="Cambria" w:cs="Calibri"/>
              </w:rPr>
              <w:t>mrežnim</w:t>
            </w:r>
            <w:proofErr w:type="spellEnd"/>
            <w:r w:rsidRPr="00886793">
              <w:rPr>
                <w:rFonts w:ascii="Cambria" w:eastAsia="Calibri" w:hAnsi="Cambria" w:cs="Calibri"/>
              </w:rPr>
              <w:t xml:space="preserve"> </w:t>
            </w:r>
            <w:proofErr w:type="spellStart"/>
            <w:r w:rsidRPr="00886793">
              <w:rPr>
                <w:rFonts w:ascii="Cambria" w:eastAsia="Calibri" w:hAnsi="Cambria" w:cs="Calibri"/>
              </w:rPr>
              <w:t>stranicama</w:t>
            </w:r>
            <w:proofErr w:type="spellEnd"/>
            <w:r w:rsidRPr="00886793">
              <w:rPr>
                <w:rFonts w:ascii="Cambria" w:eastAsia="Calibri" w:hAnsi="Cambria" w:cs="Calibri"/>
              </w:rPr>
              <w:t xml:space="preserve"> </w:t>
            </w:r>
            <w:proofErr w:type="spellStart"/>
            <w:r w:rsidRPr="00886793">
              <w:rPr>
                <w:rFonts w:ascii="Cambria" w:eastAsia="Calibri" w:hAnsi="Cambria" w:cs="Calibri"/>
              </w:rPr>
              <w:t>Sveučilišta</w:t>
            </w:r>
            <w:proofErr w:type="spellEnd"/>
            <w:r w:rsidRPr="00886793">
              <w:rPr>
                <w:rFonts w:ascii="Cambria" w:eastAsia="Calibri" w:hAnsi="Cambria" w:cs="Calibri"/>
              </w:rPr>
              <w:t xml:space="preserve"> </w:t>
            </w:r>
            <w:proofErr w:type="spellStart"/>
            <w:r w:rsidRPr="00886793">
              <w:rPr>
                <w:rFonts w:ascii="Cambria" w:eastAsia="Calibri" w:hAnsi="Cambria" w:cs="Calibri"/>
              </w:rPr>
              <w:t>i</w:t>
            </w:r>
            <w:proofErr w:type="spellEnd"/>
            <w:r w:rsidRPr="00886793">
              <w:rPr>
                <w:rFonts w:ascii="Cambria" w:eastAsia="Calibri" w:hAnsi="Cambria" w:cs="Calibri"/>
              </w:rPr>
              <w:t xml:space="preserve"> u ISVU. </w:t>
            </w:r>
          </w:p>
        </w:tc>
      </w:tr>
      <w:tr w:rsidR="009138DB" w:rsidRPr="00840765" w14:paraId="7AA23D15" w14:textId="77777777" w:rsidTr="00587D5D">
        <w:tc>
          <w:tcPr>
            <w:tcW w:w="26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2EFE96D" w14:textId="77777777" w:rsidR="009138DB" w:rsidRPr="00886793" w:rsidRDefault="009138DB" w:rsidP="009138DB">
            <w:pPr>
              <w:spacing w:after="0" w:line="240" w:lineRule="atLeast"/>
              <w:jc w:val="both"/>
              <w:rPr>
                <w:rFonts w:ascii="Cambria" w:eastAsia="Calibri" w:hAnsi="Cambria" w:cs="Calibri"/>
                <w:lang w:val="it-IT"/>
              </w:rPr>
            </w:pPr>
            <w:r w:rsidRPr="00886793">
              <w:rPr>
                <w:rFonts w:ascii="Cambria" w:eastAsia="Calibri" w:hAnsi="Cambria" w:cs="Calibri"/>
                <w:lang w:val="it-IT"/>
              </w:rPr>
              <w:t xml:space="preserve">Ostale </w:t>
            </w:r>
            <w:proofErr w:type="spellStart"/>
            <w:r w:rsidRPr="00886793">
              <w:rPr>
                <w:rFonts w:ascii="Cambria" w:eastAsia="Calibri" w:hAnsi="Cambria" w:cs="Calibri"/>
                <w:lang w:val="it-IT"/>
              </w:rPr>
              <w:t>važne</w:t>
            </w:r>
            <w:proofErr w:type="spellEnd"/>
            <w:r w:rsidRPr="00886793">
              <w:rPr>
                <w:rFonts w:ascii="Cambria" w:eastAsia="Calibri" w:hAnsi="Cambria" w:cs="Calibri"/>
                <w:lang w:val="it-IT"/>
              </w:rPr>
              <w:t xml:space="preserve"> </w:t>
            </w:r>
            <w:proofErr w:type="spellStart"/>
            <w:r w:rsidRPr="00886793">
              <w:rPr>
                <w:rFonts w:ascii="Cambria" w:eastAsia="Calibri" w:hAnsi="Cambria" w:cs="Calibri"/>
                <w:lang w:val="it-IT"/>
              </w:rPr>
              <w:t>činjenice</w:t>
            </w:r>
            <w:proofErr w:type="spellEnd"/>
            <w:r w:rsidRPr="00886793">
              <w:rPr>
                <w:rFonts w:ascii="Cambria" w:eastAsia="Calibri" w:hAnsi="Cambria" w:cs="Calibri"/>
                <w:lang w:val="it-IT"/>
              </w:rPr>
              <w:t xml:space="preserve"> </w:t>
            </w:r>
            <w:proofErr w:type="spellStart"/>
            <w:r w:rsidRPr="00886793">
              <w:rPr>
                <w:rFonts w:ascii="Cambria" w:eastAsia="Calibri" w:hAnsi="Cambria" w:cs="Calibri"/>
                <w:lang w:val="it-IT"/>
              </w:rPr>
              <w:t>vezane</w:t>
            </w:r>
            <w:proofErr w:type="spellEnd"/>
            <w:r w:rsidRPr="00886793">
              <w:rPr>
                <w:rFonts w:ascii="Cambria" w:eastAsia="Calibri" w:hAnsi="Cambria" w:cs="Calibri"/>
                <w:lang w:val="it-IT"/>
              </w:rPr>
              <w:t xml:space="preserve"> </w:t>
            </w:r>
            <w:proofErr w:type="spellStart"/>
            <w:r w:rsidRPr="00886793">
              <w:rPr>
                <w:rFonts w:ascii="Cambria" w:eastAsia="Calibri" w:hAnsi="Cambria" w:cs="Calibri"/>
                <w:lang w:val="it-IT"/>
              </w:rPr>
              <w:t>uz</w:t>
            </w:r>
            <w:proofErr w:type="spellEnd"/>
            <w:r w:rsidRPr="00886793">
              <w:rPr>
                <w:rFonts w:ascii="Cambria" w:eastAsia="Calibri" w:hAnsi="Cambria" w:cs="Calibri"/>
                <w:lang w:val="it-IT"/>
              </w:rPr>
              <w:t xml:space="preserve"> </w:t>
            </w:r>
            <w:proofErr w:type="spellStart"/>
            <w:r w:rsidRPr="00886793">
              <w:rPr>
                <w:rFonts w:ascii="Cambria" w:eastAsia="Calibri" w:hAnsi="Cambria" w:cs="Calibri"/>
                <w:lang w:val="it-IT"/>
              </w:rPr>
              <w:t>kolegij</w:t>
            </w:r>
            <w:proofErr w:type="spellEnd"/>
          </w:p>
        </w:tc>
        <w:tc>
          <w:tcPr>
            <w:tcW w:w="6731"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8DA9E1D" w14:textId="77777777" w:rsidR="009138DB" w:rsidRPr="00886793" w:rsidRDefault="009138DB" w:rsidP="009138DB">
            <w:pPr>
              <w:spacing w:after="0" w:line="240" w:lineRule="atLeast"/>
              <w:jc w:val="both"/>
              <w:rPr>
                <w:rFonts w:ascii="Cambria" w:eastAsia="Calibri" w:hAnsi="Cambria" w:cs="Calibri"/>
                <w:lang w:val="it-IT"/>
              </w:rPr>
            </w:pPr>
            <w:proofErr w:type="spellStart"/>
            <w:r w:rsidRPr="00886793">
              <w:rPr>
                <w:rFonts w:ascii="Cambria" w:eastAsia="Calibri" w:hAnsi="Cambria" w:cs="Calibri"/>
                <w:lang w:val="it-IT"/>
              </w:rPr>
              <w:t>Materijali</w:t>
            </w:r>
            <w:proofErr w:type="spellEnd"/>
            <w:r w:rsidRPr="00886793">
              <w:rPr>
                <w:rFonts w:ascii="Cambria" w:eastAsia="Calibri" w:hAnsi="Cambria" w:cs="Calibri"/>
                <w:lang w:val="it-IT"/>
              </w:rPr>
              <w:t xml:space="preserve"> za </w:t>
            </w:r>
            <w:proofErr w:type="spellStart"/>
            <w:r w:rsidRPr="00886793">
              <w:rPr>
                <w:rFonts w:ascii="Cambria" w:eastAsia="Calibri" w:hAnsi="Cambria" w:cs="Calibri"/>
                <w:lang w:val="it-IT"/>
              </w:rPr>
              <w:t>predavanja</w:t>
            </w:r>
            <w:proofErr w:type="spellEnd"/>
            <w:r w:rsidRPr="00886793">
              <w:rPr>
                <w:rFonts w:ascii="Cambria" w:eastAsia="Calibri" w:hAnsi="Cambria" w:cs="Calibri"/>
                <w:lang w:val="it-IT"/>
              </w:rPr>
              <w:t xml:space="preserve"> </w:t>
            </w:r>
            <w:proofErr w:type="gramStart"/>
            <w:r w:rsidRPr="00886793">
              <w:rPr>
                <w:rFonts w:ascii="Cambria" w:eastAsia="Calibri" w:hAnsi="Cambria" w:cs="Calibri"/>
                <w:lang w:val="it-IT"/>
              </w:rPr>
              <w:t>i seminare</w:t>
            </w:r>
            <w:proofErr w:type="gramEnd"/>
            <w:r w:rsidRPr="00886793">
              <w:rPr>
                <w:rFonts w:ascii="Cambria" w:eastAsia="Calibri" w:hAnsi="Cambria" w:cs="Calibri"/>
                <w:lang w:val="it-IT"/>
              </w:rPr>
              <w:t xml:space="preserve"> </w:t>
            </w:r>
            <w:proofErr w:type="spellStart"/>
            <w:r w:rsidRPr="00886793">
              <w:rPr>
                <w:rFonts w:ascii="Cambria" w:eastAsia="Calibri" w:hAnsi="Cambria" w:cs="Calibri"/>
                <w:lang w:val="it-IT"/>
              </w:rPr>
              <w:t>objavljuju</w:t>
            </w:r>
            <w:proofErr w:type="spellEnd"/>
            <w:r w:rsidRPr="00886793">
              <w:rPr>
                <w:rFonts w:ascii="Cambria" w:eastAsia="Calibri" w:hAnsi="Cambria" w:cs="Calibri"/>
                <w:lang w:val="it-IT"/>
              </w:rPr>
              <w:t xml:space="preserve"> se </w:t>
            </w:r>
            <w:proofErr w:type="spellStart"/>
            <w:r w:rsidRPr="00886793">
              <w:rPr>
                <w:rFonts w:ascii="Cambria" w:eastAsia="Calibri" w:hAnsi="Cambria" w:cs="Calibri"/>
                <w:lang w:val="it-IT"/>
              </w:rPr>
              <w:t>na</w:t>
            </w:r>
            <w:proofErr w:type="spellEnd"/>
            <w:r w:rsidRPr="00886793">
              <w:rPr>
                <w:rFonts w:ascii="Cambria" w:eastAsia="Calibri" w:hAnsi="Cambria" w:cs="Calibri"/>
                <w:lang w:val="it-IT"/>
              </w:rPr>
              <w:t xml:space="preserve"> e-</w:t>
            </w:r>
            <w:proofErr w:type="spellStart"/>
            <w:r w:rsidRPr="00886793">
              <w:rPr>
                <w:rFonts w:ascii="Cambria" w:eastAsia="Calibri" w:hAnsi="Cambria" w:cs="Calibri"/>
                <w:lang w:val="it-IT"/>
              </w:rPr>
              <w:t>učenju</w:t>
            </w:r>
            <w:proofErr w:type="spellEnd"/>
            <w:r w:rsidRPr="00886793">
              <w:rPr>
                <w:rFonts w:ascii="Cambria" w:eastAsia="Calibri" w:hAnsi="Cambria" w:cs="Calibri"/>
                <w:lang w:val="it-IT"/>
              </w:rPr>
              <w:t>.</w:t>
            </w:r>
          </w:p>
          <w:p w14:paraId="05F09C20" w14:textId="77777777" w:rsidR="009138DB" w:rsidRPr="00840765" w:rsidRDefault="009138DB" w:rsidP="009138DB">
            <w:pPr>
              <w:spacing w:after="0" w:line="240" w:lineRule="atLeast"/>
              <w:jc w:val="both"/>
              <w:rPr>
                <w:rFonts w:ascii="Cambria" w:eastAsia="Calibri" w:hAnsi="Cambria" w:cs="Calibri"/>
                <w:lang w:val="it-IT"/>
              </w:rPr>
            </w:pPr>
            <w:r w:rsidRPr="00886793">
              <w:rPr>
                <w:rFonts w:ascii="Cambria" w:eastAsia="Calibri" w:hAnsi="Cambria" w:cs="Calibri"/>
                <w:lang w:val="it-IT"/>
              </w:rPr>
              <w:t xml:space="preserve">U </w:t>
            </w:r>
            <w:proofErr w:type="spellStart"/>
            <w:r w:rsidRPr="00886793">
              <w:rPr>
                <w:rFonts w:ascii="Cambria" w:eastAsia="Calibri" w:hAnsi="Cambria" w:cs="Calibri"/>
                <w:lang w:val="it-IT"/>
              </w:rPr>
              <w:t>slučaju</w:t>
            </w:r>
            <w:proofErr w:type="spellEnd"/>
            <w:r w:rsidRPr="00886793">
              <w:rPr>
                <w:rFonts w:ascii="Cambria" w:eastAsia="Calibri" w:hAnsi="Cambria" w:cs="Calibri"/>
                <w:lang w:val="it-IT"/>
              </w:rPr>
              <w:t xml:space="preserve"> </w:t>
            </w:r>
            <w:proofErr w:type="spellStart"/>
            <w:r w:rsidRPr="00886793">
              <w:rPr>
                <w:rFonts w:ascii="Cambria" w:eastAsia="Calibri" w:hAnsi="Cambria" w:cs="Calibri"/>
                <w:lang w:val="it-IT"/>
              </w:rPr>
              <w:t>održavanja</w:t>
            </w:r>
            <w:proofErr w:type="spellEnd"/>
            <w:r w:rsidRPr="00886793">
              <w:rPr>
                <w:rFonts w:ascii="Cambria" w:eastAsia="Calibri" w:hAnsi="Cambria" w:cs="Calibri"/>
                <w:lang w:val="it-IT"/>
              </w:rPr>
              <w:t xml:space="preserve"> </w:t>
            </w:r>
            <w:proofErr w:type="spellStart"/>
            <w:r w:rsidRPr="00886793">
              <w:rPr>
                <w:rFonts w:ascii="Cambria" w:eastAsia="Calibri" w:hAnsi="Cambria" w:cs="Calibri"/>
                <w:lang w:val="it-IT"/>
              </w:rPr>
              <w:t>nastave</w:t>
            </w:r>
            <w:proofErr w:type="spellEnd"/>
            <w:r w:rsidRPr="00886793">
              <w:rPr>
                <w:rFonts w:ascii="Cambria" w:eastAsia="Calibri" w:hAnsi="Cambria" w:cs="Calibri"/>
                <w:lang w:val="it-IT"/>
              </w:rPr>
              <w:t xml:space="preserve"> </w:t>
            </w:r>
            <w:proofErr w:type="spellStart"/>
            <w:r w:rsidRPr="00886793">
              <w:rPr>
                <w:rFonts w:ascii="Cambria" w:eastAsia="Calibri" w:hAnsi="Cambria" w:cs="Calibri"/>
                <w:lang w:val="it-IT"/>
              </w:rPr>
              <w:t>na</w:t>
            </w:r>
            <w:proofErr w:type="spellEnd"/>
            <w:r w:rsidRPr="00886793">
              <w:rPr>
                <w:rFonts w:ascii="Cambria" w:eastAsia="Calibri" w:hAnsi="Cambria" w:cs="Calibri"/>
                <w:lang w:val="it-IT"/>
              </w:rPr>
              <w:t xml:space="preserve"> </w:t>
            </w:r>
            <w:proofErr w:type="spellStart"/>
            <w:r w:rsidRPr="00886793">
              <w:rPr>
                <w:rFonts w:ascii="Cambria" w:eastAsia="Calibri" w:hAnsi="Cambria" w:cs="Calibri"/>
                <w:lang w:val="it-IT"/>
              </w:rPr>
              <w:t>daljinu</w:t>
            </w:r>
            <w:proofErr w:type="spellEnd"/>
            <w:r w:rsidRPr="00886793">
              <w:rPr>
                <w:rFonts w:ascii="Cambria" w:eastAsia="Calibri" w:hAnsi="Cambria" w:cs="Calibri"/>
                <w:lang w:val="it-IT"/>
              </w:rPr>
              <w:t xml:space="preserve">, </w:t>
            </w:r>
            <w:proofErr w:type="spellStart"/>
            <w:r w:rsidRPr="00886793">
              <w:rPr>
                <w:rFonts w:ascii="Cambria" w:eastAsia="Calibri" w:hAnsi="Cambria" w:cs="Calibri"/>
                <w:lang w:val="it-IT"/>
              </w:rPr>
              <w:t>moguće</w:t>
            </w:r>
            <w:proofErr w:type="spellEnd"/>
            <w:r w:rsidRPr="00886793">
              <w:rPr>
                <w:rFonts w:ascii="Cambria" w:eastAsia="Calibri" w:hAnsi="Cambria" w:cs="Calibri"/>
                <w:lang w:val="it-IT"/>
              </w:rPr>
              <w:t xml:space="preserve"> je </w:t>
            </w:r>
            <w:proofErr w:type="spellStart"/>
            <w:r w:rsidRPr="00886793">
              <w:rPr>
                <w:rFonts w:ascii="Cambria" w:eastAsia="Calibri" w:hAnsi="Cambria" w:cs="Calibri"/>
                <w:lang w:val="it-IT"/>
              </w:rPr>
              <w:t>odstupanje</w:t>
            </w:r>
            <w:proofErr w:type="spellEnd"/>
            <w:r w:rsidRPr="00886793">
              <w:rPr>
                <w:rFonts w:ascii="Cambria" w:eastAsia="Calibri" w:hAnsi="Cambria" w:cs="Calibri"/>
                <w:lang w:val="it-IT"/>
              </w:rPr>
              <w:t xml:space="preserve"> u: </w:t>
            </w:r>
            <w:proofErr w:type="spellStart"/>
            <w:r w:rsidRPr="00886793">
              <w:rPr>
                <w:rFonts w:ascii="Cambria" w:eastAsia="Calibri" w:hAnsi="Cambria" w:cs="Calibri"/>
                <w:lang w:val="it-IT"/>
              </w:rPr>
              <w:t>mjestu</w:t>
            </w:r>
            <w:proofErr w:type="spellEnd"/>
            <w:r w:rsidRPr="00886793">
              <w:rPr>
                <w:rFonts w:ascii="Cambria" w:eastAsia="Calibri" w:hAnsi="Cambria" w:cs="Calibri"/>
                <w:lang w:val="it-IT"/>
              </w:rPr>
              <w:t xml:space="preserve"> </w:t>
            </w:r>
            <w:proofErr w:type="spellStart"/>
            <w:r w:rsidRPr="00886793">
              <w:rPr>
                <w:rFonts w:ascii="Cambria" w:eastAsia="Calibri" w:hAnsi="Cambria" w:cs="Calibri"/>
                <w:lang w:val="it-IT"/>
              </w:rPr>
              <w:t>izvođenja</w:t>
            </w:r>
            <w:proofErr w:type="spellEnd"/>
            <w:r w:rsidRPr="00886793">
              <w:rPr>
                <w:rFonts w:ascii="Cambria" w:eastAsia="Calibri" w:hAnsi="Cambria" w:cs="Calibri"/>
                <w:lang w:val="it-IT"/>
              </w:rPr>
              <w:t xml:space="preserve"> </w:t>
            </w:r>
            <w:proofErr w:type="spellStart"/>
            <w:r w:rsidRPr="00886793">
              <w:rPr>
                <w:rFonts w:ascii="Cambria" w:eastAsia="Calibri" w:hAnsi="Cambria" w:cs="Calibri"/>
                <w:lang w:val="it-IT"/>
              </w:rPr>
              <w:t>kolegija</w:t>
            </w:r>
            <w:proofErr w:type="spellEnd"/>
            <w:r w:rsidRPr="00886793">
              <w:rPr>
                <w:rFonts w:ascii="Cambria" w:eastAsia="Calibri" w:hAnsi="Cambria" w:cs="Calibri"/>
                <w:lang w:val="it-IT"/>
              </w:rPr>
              <w:t xml:space="preserve">, </w:t>
            </w:r>
            <w:proofErr w:type="spellStart"/>
            <w:r w:rsidRPr="00886793">
              <w:rPr>
                <w:rFonts w:ascii="Cambria" w:eastAsia="Calibri" w:hAnsi="Cambria" w:cs="Calibri"/>
                <w:lang w:val="it-IT"/>
              </w:rPr>
              <w:t>provedbi</w:t>
            </w:r>
            <w:proofErr w:type="spellEnd"/>
            <w:r w:rsidRPr="00886793">
              <w:rPr>
                <w:rFonts w:ascii="Cambria" w:eastAsia="Calibri" w:hAnsi="Cambria" w:cs="Calibri"/>
                <w:lang w:val="it-IT"/>
              </w:rPr>
              <w:t xml:space="preserve"> </w:t>
            </w:r>
            <w:proofErr w:type="spellStart"/>
            <w:r w:rsidRPr="00886793">
              <w:rPr>
                <w:rFonts w:ascii="Cambria" w:eastAsia="Calibri" w:hAnsi="Cambria" w:cs="Calibri"/>
                <w:lang w:val="it-IT"/>
              </w:rPr>
              <w:t>aktivnosti</w:t>
            </w:r>
            <w:proofErr w:type="spellEnd"/>
            <w:r w:rsidRPr="00886793">
              <w:rPr>
                <w:rFonts w:ascii="Cambria" w:eastAsia="Calibri" w:hAnsi="Cambria" w:cs="Calibri"/>
                <w:lang w:val="it-IT"/>
              </w:rPr>
              <w:t xml:space="preserve">, </w:t>
            </w:r>
            <w:proofErr w:type="spellStart"/>
            <w:r w:rsidRPr="00886793">
              <w:rPr>
                <w:rFonts w:ascii="Cambria" w:eastAsia="Calibri" w:hAnsi="Cambria" w:cs="Calibri"/>
                <w:lang w:val="it-IT"/>
              </w:rPr>
              <w:t>metoda</w:t>
            </w:r>
            <w:proofErr w:type="spellEnd"/>
            <w:r w:rsidRPr="00886793">
              <w:rPr>
                <w:rFonts w:ascii="Cambria" w:eastAsia="Calibri" w:hAnsi="Cambria" w:cs="Calibri"/>
                <w:lang w:val="it-IT"/>
              </w:rPr>
              <w:t xml:space="preserve"> </w:t>
            </w:r>
            <w:proofErr w:type="spellStart"/>
            <w:r w:rsidRPr="00886793">
              <w:rPr>
                <w:rFonts w:ascii="Cambria" w:eastAsia="Calibri" w:hAnsi="Cambria" w:cs="Calibri"/>
                <w:lang w:val="it-IT"/>
              </w:rPr>
              <w:t>tumačenja</w:t>
            </w:r>
            <w:proofErr w:type="spellEnd"/>
            <w:r w:rsidRPr="00886793">
              <w:rPr>
                <w:rFonts w:ascii="Cambria" w:eastAsia="Calibri" w:hAnsi="Cambria" w:cs="Calibri"/>
                <w:lang w:val="it-IT"/>
              </w:rPr>
              <w:t xml:space="preserve"> i </w:t>
            </w:r>
            <w:proofErr w:type="spellStart"/>
            <w:r w:rsidRPr="00886793">
              <w:rPr>
                <w:rFonts w:ascii="Cambria" w:eastAsia="Calibri" w:hAnsi="Cambria" w:cs="Calibri"/>
                <w:lang w:val="it-IT"/>
              </w:rPr>
              <w:t>poučavanja</w:t>
            </w:r>
            <w:proofErr w:type="spellEnd"/>
            <w:r w:rsidRPr="00886793">
              <w:rPr>
                <w:rFonts w:ascii="Cambria" w:eastAsia="Calibri" w:hAnsi="Cambria" w:cs="Calibri"/>
                <w:lang w:val="it-IT"/>
              </w:rPr>
              <w:t xml:space="preserve"> i </w:t>
            </w:r>
            <w:proofErr w:type="spellStart"/>
            <w:r w:rsidRPr="00886793">
              <w:rPr>
                <w:rFonts w:ascii="Cambria" w:eastAsia="Calibri" w:hAnsi="Cambria" w:cs="Calibri"/>
                <w:lang w:val="it-IT"/>
              </w:rPr>
              <w:t>načinima</w:t>
            </w:r>
            <w:proofErr w:type="spellEnd"/>
            <w:r w:rsidRPr="00886793">
              <w:rPr>
                <w:rFonts w:ascii="Cambria" w:eastAsia="Calibri" w:hAnsi="Cambria" w:cs="Calibri"/>
                <w:lang w:val="it-IT"/>
              </w:rPr>
              <w:t xml:space="preserve"> </w:t>
            </w:r>
            <w:proofErr w:type="spellStart"/>
            <w:r w:rsidRPr="00886793">
              <w:rPr>
                <w:rFonts w:ascii="Cambria" w:eastAsia="Calibri" w:hAnsi="Cambria" w:cs="Calibri"/>
                <w:lang w:val="it-IT"/>
              </w:rPr>
              <w:t>vrednovanja</w:t>
            </w:r>
            <w:proofErr w:type="spellEnd"/>
            <w:r w:rsidRPr="00886793">
              <w:rPr>
                <w:rFonts w:ascii="Cambria" w:eastAsia="Calibri" w:hAnsi="Cambria" w:cs="Calibri"/>
                <w:lang w:val="it-IT"/>
              </w:rPr>
              <w:t xml:space="preserve">, </w:t>
            </w:r>
            <w:proofErr w:type="spellStart"/>
            <w:r w:rsidRPr="00886793">
              <w:rPr>
                <w:rFonts w:ascii="Cambria" w:eastAsia="Calibri" w:hAnsi="Cambria" w:cs="Calibri"/>
                <w:lang w:val="it-IT"/>
              </w:rPr>
              <w:t>studentskim</w:t>
            </w:r>
            <w:proofErr w:type="spellEnd"/>
            <w:r w:rsidRPr="00886793">
              <w:rPr>
                <w:rFonts w:ascii="Cambria" w:eastAsia="Calibri" w:hAnsi="Cambria" w:cs="Calibri"/>
                <w:lang w:val="it-IT"/>
              </w:rPr>
              <w:t xml:space="preserve"> </w:t>
            </w:r>
            <w:proofErr w:type="spellStart"/>
            <w:r w:rsidRPr="00886793">
              <w:rPr>
                <w:rFonts w:ascii="Cambria" w:eastAsia="Calibri" w:hAnsi="Cambria" w:cs="Calibri"/>
                <w:lang w:val="it-IT"/>
              </w:rPr>
              <w:t>obvezama</w:t>
            </w:r>
            <w:proofErr w:type="spellEnd"/>
            <w:r w:rsidRPr="00886793">
              <w:rPr>
                <w:rFonts w:ascii="Cambria" w:eastAsia="Calibri" w:hAnsi="Cambria" w:cs="Calibri"/>
                <w:lang w:val="it-IT"/>
              </w:rPr>
              <w:t xml:space="preserve"> i </w:t>
            </w:r>
            <w:proofErr w:type="spellStart"/>
            <w:r w:rsidRPr="00886793">
              <w:rPr>
                <w:rFonts w:ascii="Cambria" w:eastAsia="Calibri" w:hAnsi="Cambria" w:cs="Calibri"/>
                <w:lang w:val="it-IT"/>
              </w:rPr>
              <w:t>dostupnoj</w:t>
            </w:r>
            <w:proofErr w:type="spellEnd"/>
            <w:r w:rsidRPr="00886793">
              <w:rPr>
                <w:rFonts w:ascii="Cambria" w:eastAsia="Calibri" w:hAnsi="Cambria" w:cs="Calibri"/>
                <w:lang w:val="it-IT"/>
              </w:rPr>
              <w:t xml:space="preserve"> </w:t>
            </w:r>
            <w:proofErr w:type="spellStart"/>
            <w:r w:rsidRPr="00886793">
              <w:rPr>
                <w:rFonts w:ascii="Cambria" w:eastAsia="Calibri" w:hAnsi="Cambria" w:cs="Calibri"/>
                <w:lang w:val="it-IT"/>
              </w:rPr>
              <w:t>literaturi</w:t>
            </w:r>
            <w:proofErr w:type="spellEnd"/>
            <w:r w:rsidRPr="00886793">
              <w:rPr>
                <w:rFonts w:ascii="Cambria" w:eastAsia="Calibri" w:hAnsi="Cambria" w:cs="Calibri"/>
                <w:lang w:val="it-IT"/>
              </w:rPr>
              <w:t xml:space="preserve">. O </w:t>
            </w:r>
            <w:r w:rsidRPr="00886793">
              <w:rPr>
                <w:rFonts w:ascii="Cambria" w:eastAsia="Calibri" w:hAnsi="Cambria" w:cs="Calibri"/>
                <w:lang w:val="it-IT"/>
              </w:rPr>
              <w:lastRenderedPageBreak/>
              <w:t xml:space="preserve">tome </w:t>
            </w:r>
            <w:proofErr w:type="spellStart"/>
            <w:r w:rsidRPr="00886793">
              <w:rPr>
                <w:rFonts w:ascii="Cambria" w:eastAsia="Calibri" w:hAnsi="Cambria" w:cs="Calibri"/>
                <w:lang w:val="it-IT"/>
              </w:rPr>
              <w:t>će</w:t>
            </w:r>
            <w:proofErr w:type="spellEnd"/>
            <w:r w:rsidRPr="00886793">
              <w:rPr>
                <w:rFonts w:ascii="Cambria" w:eastAsia="Calibri" w:hAnsi="Cambria" w:cs="Calibri"/>
                <w:lang w:val="it-IT"/>
              </w:rPr>
              <w:t xml:space="preserve"> </w:t>
            </w:r>
            <w:proofErr w:type="spellStart"/>
            <w:r w:rsidRPr="00886793">
              <w:rPr>
                <w:rFonts w:ascii="Cambria" w:eastAsia="Calibri" w:hAnsi="Cambria" w:cs="Calibri"/>
                <w:lang w:val="it-IT"/>
              </w:rPr>
              <w:t>nositelj</w:t>
            </w:r>
            <w:r>
              <w:rPr>
                <w:rFonts w:ascii="Cambria" w:eastAsia="Calibri" w:hAnsi="Cambria" w:cs="Calibri"/>
                <w:lang w:val="it-IT"/>
              </w:rPr>
              <w:t>ica</w:t>
            </w:r>
            <w:proofErr w:type="spellEnd"/>
            <w:r>
              <w:rPr>
                <w:rFonts w:ascii="Cambria" w:eastAsia="Calibri" w:hAnsi="Cambria" w:cs="Calibri"/>
                <w:lang w:val="it-IT"/>
              </w:rPr>
              <w:t xml:space="preserve"> i </w:t>
            </w:r>
            <w:proofErr w:type="spellStart"/>
            <w:r>
              <w:rPr>
                <w:rFonts w:ascii="Cambria" w:eastAsia="Calibri" w:hAnsi="Cambria" w:cs="Calibri"/>
                <w:lang w:val="it-IT"/>
              </w:rPr>
              <w:t>suradnik</w:t>
            </w:r>
            <w:proofErr w:type="spellEnd"/>
            <w:r>
              <w:rPr>
                <w:rFonts w:ascii="Cambria" w:eastAsia="Calibri" w:hAnsi="Cambria" w:cs="Calibri"/>
                <w:lang w:val="it-IT"/>
              </w:rPr>
              <w:t xml:space="preserve"> </w:t>
            </w:r>
            <w:proofErr w:type="spellStart"/>
            <w:r w:rsidRPr="00886793">
              <w:rPr>
                <w:rFonts w:ascii="Cambria" w:eastAsia="Calibri" w:hAnsi="Cambria" w:cs="Calibri"/>
                <w:lang w:val="it-IT"/>
              </w:rPr>
              <w:t>obavijestiti</w:t>
            </w:r>
            <w:proofErr w:type="spellEnd"/>
            <w:r w:rsidRPr="00886793">
              <w:rPr>
                <w:rFonts w:ascii="Cambria" w:eastAsia="Calibri" w:hAnsi="Cambria" w:cs="Calibri"/>
                <w:lang w:val="it-IT"/>
              </w:rPr>
              <w:t xml:space="preserve"> studente i </w:t>
            </w:r>
            <w:proofErr w:type="spellStart"/>
            <w:r w:rsidRPr="00886793">
              <w:rPr>
                <w:rFonts w:ascii="Cambria" w:eastAsia="Calibri" w:hAnsi="Cambria" w:cs="Calibri"/>
                <w:lang w:val="it-IT"/>
              </w:rPr>
              <w:t>studentice</w:t>
            </w:r>
            <w:proofErr w:type="spellEnd"/>
            <w:r w:rsidRPr="00886793">
              <w:rPr>
                <w:rFonts w:ascii="Cambria" w:eastAsia="Calibri" w:hAnsi="Cambria" w:cs="Calibri"/>
                <w:lang w:val="it-IT"/>
              </w:rPr>
              <w:t xml:space="preserve"> </w:t>
            </w:r>
            <w:proofErr w:type="spellStart"/>
            <w:r w:rsidRPr="00886793">
              <w:rPr>
                <w:rFonts w:ascii="Cambria" w:eastAsia="Calibri" w:hAnsi="Cambria" w:cs="Calibri"/>
                <w:lang w:val="it-IT"/>
              </w:rPr>
              <w:t>kad</w:t>
            </w:r>
            <w:proofErr w:type="spellEnd"/>
            <w:r w:rsidRPr="00886793">
              <w:rPr>
                <w:rFonts w:ascii="Cambria" w:eastAsia="Calibri" w:hAnsi="Cambria" w:cs="Calibri"/>
                <w:lang w:val="it-IT"/>
              </w:rPr>
              <w:t xml:space="preserve"> se </w:t>
            </w:r>
            <w:proofErr w:type="spellStart"/>
            <w:r w:rsidRPr="00886793">
              <w:rPr>
                <w:rFonts w:ascii="Cambria" w:eastAsia="Calibri" w:hAnsi="Cambria" w:cs="Calibri"/>
                <w:lang w:val="it-IT"/>
              </w:rPr>
              <w:t>nastava</w:t>
            </w:r>
            <w:proofErr w:type="spellEnd"/>
            <w:r w:rsidRPr="00886793">
              <w:rPr>
                <w:rFonts w:ascii="Cambria" w:eastAsia="Calibri" w:hAnsi="Cambria" w:cs="Calibri"/>
                <w:lang w:val="it-IT"/>
              </w:rPr>
              <w:t xml:space="preserve"> </w:t>
            </w:r>
            <w:proofErr w:type="spellStart"/>
            <w:r w:rsidRPr="00886793">
              <w:rPr>
                <w:rFonts w:ascii="Cambria" w:eastAsia="Calibri" w:hAnsi="Cambria" w:cs="Calibri"/>
                <w:lang w:val="it-IT"/>
              </w:rPr>
              <w:t>na</w:t>
            </w:r>
            <w:proofErr w:type="spellEnd"/>
            <w:r w:rsidRPr="00886793">
              <w:rPr>
                <w:rFonts w:ascii="Cambria" w:eastAsia="Calibri" w:hAnsi="Cambria" w:cs="Calibri"/>
                <w:lang w:val="it-IT"/>
              </w:rPr>
              <w:t xml:space="preserve"> </w:t>
            </w:r>
            <w:proofErr w:type="spellStart"/>
            <w:r w:rsidRPr="00886793">
              <w:rPr>
                <w:rFonts w:ascii="Cambria" w:eastAsia="Calibri" w:hAnsi="Cambria" w:cs="Calibri"/>
                <w:lang w:val="it-IT"/>
              </w:rPr>
              <w:t>daljinu</w:t>
            </w:r>
            <w:proofErr w:type="spellEnd"/>
            <w:r w:rsidRPr="00886793">
              <w:rPr>
                <w:rFonts w:ascii="Cambria" w:eastAsia="Calibri" w:hAnsi="Cambria" w:cs="Calibri"/>
                <w:lang w:val="it-IT"/>
              </w:rPr>
              <w:t xml:space="preserve"> </w:t>
            </w:r>
            <w:proofErr w:type="spellStart"/>
            <w:r w:rsidRPr="00886793">
              <w:rPr>
                <w:rFonts w:ascii="Cambria" w:eastAsia="Calibri" w:hAnsi="Cambria" w:cs="Calibri"/>
                <w:lang w:val="it-IT"/>
              </w:rPr>
              <w:t>počne</w:t>
            </w:r>
            <w:proofErr w:type="spellEnd"/>
            <w:r w:rsidRPr="00886793">
              <w:rPr>
                <w:rFonts w:ascii="Cambria" w:eastAsia="Calibri" w:hAnsi="Cambria" w:cs="Calibri"/>
                <w:lang w:val="it-IT"/>
              </w:rPr>
              <w:t xml:space="preserve"> </w:t>
            </w:r>
            <w:proofErr w:type="spellStart"/>
            <w:r w:rsidRPr="00886793">
              <w:rPr>
                <w:rFonts w:ascii="Cambria" w:eastAsia="Calibri" w:hAnsi="Cambria" w:cs="Calibri"/>
                <w:lang w:val="it-IT"/>
              </w:rPr>
              <w:t>održavati</w:t>
            </w:r>
            <w:proofErr w:type="spellEnd"/>
            <w:r w:rsidRPr="00886793">
              <w:rPr>
                <w:rFonts w:ascii="Cambria" w:eastAsia="Calibri" w:hAnsi="Cambria" w:cs="Calibri"/>
                <w:lang w:val="it-IT"/>
              </w:rPr>
              <w:t xml:space="preserve">. </w:t>
            </w:r>
            <w:proofErr w:type="spellStart"/>
            <w:r w:rsidRPr="00840765">
              <w:rPr>
                <w:rFonts w:ascii="Cambria" w:eastAsia="Calibri" w:hAnsi="Cambria" w:cs="Calibri"/>
                <w:lang w:val="it-IT"/>
              </w:rPr>
              <w:t>Ishodi</w:t>
            </w:r>
            <w:proofErr w:type="spellEnd"/>
            <w:r w:rsidRPr="00840765">
              <w:rPr>
                <w:rFonts w:ascii="Cambria" w:eastAsia="Calibri" w:hAnsi="Cambria" w:cs="Calibri"/>
                <w:lang w:val="it-IT"/>
              </w:rPr>
              <w:t xml:space="preserve"> </w:t>
            </w:r>
            <w:proofErr w:type="spellStart"/>
            <w:r w:rsidRPr="00840765">
              <w:rPr>
                <w:rFonts w:ascii="Cambria" w:eastAsia="Calibri" w:hAnsi="Cambria" w:cs="Calibri"/>
                <w:lang w:val="it-IT"/>
              </w:rPr>
              <w:t>učenja</w:t>
            </w:r>
            <w:proofErr w:type="spellEnd"/>
            <w:r w:rsidRPr="00840765">
              <w:rPr>
                <w:rFonts w:ascii="Cambria" w:eastAsia="Calibri" w:hAnsi="Cambria" w:cs="Calibri"/>
                <w:lang w:val="it-IT"/>
              </w:rPr>
              <w:t xml:space="preserve"> </w:t>
            </w:r>
            <w:proofErr w:type="spellStart"/>
            <w:r w:rsidRPr="00840765">
              <w:rPr>
                <w:rFonts w:ascii="Cambria" w:eastAsia="Calibri" w:hAnsi="Cambria" w:cs="Calibri"/>
                <w:lang w:val="it-IT"/>
              </w:rPr>
              <w:t>ostaju</w:t>
            </w:r>
            <w:proofErr w:type="spellEnd"/>
            <w:r w:rsidRPr="00840765">
              <w:rPr>
                <w:rFonts w:ascii="Cambria" w:eastAsia="Calibri" w:hAnsi="Cambria" w:cs="Calibri"/>
                <w:lang w:val="it-IT"/>
              </w:rPr>
              <w:t xml:space="preserve"> </w:t>
            </w:r>
            <w:proofErr w:type="spellStart"/>
            <w:r w:rsidRPr="00840765">
              <w:rPr>
                <w:rFonts w:ascii="Cambria" w:eastAsia="Calibri" w:hAnsi="Cambria" w:cs="Calibri"/>
                <w:lang w:val="it-IT"/>
              </w:rPr>
              <w:t>nepromijenjeni</w:t>
            </w:r>
            <w:proofErr w:type="spellEnd"/>
            <w:r w:rsidRPr="00840765">
              <w:rPr>
                <w:rFonts w:ascii="Cambria" w:eastAsia="Calibri" w:hAnsi="Cambria" w:cs="Calibri"/>
                <w:lang w:val="it-IT"/>
              </w:rPr>
              <w:t>.</w:t>
            </w:r>
          </w:p>
        </w:tc>
      </w:tr>
      <w:tr w:rsidR="009138DB" w:rsidRPr="00D0399C" w14:paraId="4F6ACFBE" w14:textId="77777777" w:rsidTr="00587D5D">
        <w:trPr>
          <w:trHeight w:val="770"/>
        </w:trPr>
        <w:tc>
          <w:tcPr>
            <w:tcW w:w="26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D0E3714" w14:textId="77777777" w:rsidR="009138DB" w:rsidRPr="00886793" w:rsidRDefault="009138DB" w:rsidP="009138DB">
            <w:pPr>
              <w:spacing w:after="0" w:line="240" w:lineRule="atLeast"/>
              <w:jc w:val="both"/>
              <w:rPr>
                <w:rFonts w:ascii="Cambria" w:eastAsia="Calibri" w:hAnsi="Cambria" w:cs="Calibri"/>
              </w:rPr>
            </w:pPr>
            <w:proofErr w:type="spellStart"/>
            <w:r w:rsidRPr="00886793">
              <w:rPr>
                <w:rFonts w:ascii="Cambria" w:eastAsia="Calibri" w:hAnsi="Cambria" w:cs="Calibri"/>
              </w:rPr>
              <w:lastRenderedPageBreak/>
              <w:t>Literatura</w:t>
            </w:r>
            <w:proofErr w:type="spellEnd"/>
          </w:p>
        </w:tc>
        <w:tc>
          <w:tcPr>
            <w:tcW w:w="6731"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6563DC32" w14:textId="77777777" w:rsidR="009138DB" w:rsidRPr="00B30379" w:rsidRDefault="009138DB" w:rsidP="009138DB">
            <w:pPr>
              <w:tabs>
                <w:tab w:val="left" w:pos="431"/>
              </w:tabs>
              <w:spacing w:after="0" w:line="240" w:lineRule="atLeast"/>
              <w:rPr>
                <w:rFonts w:ascii="Cambria" w:eastAsia="Calibri" w:hAnsi="Cambria" w:cs="Calibri"/>
                <w:bCs/>
                <w:lang w:val="it-IT"/>
              </w:rPr>
            </w:pPr>
            <w:proofErr w:type="spellStart"/>
            <w:r w:rsidRPr="00B30379">
              <w:rPr>
                <w:rFonts w:ascii="Cambria" w:eastAsia="Calibri" w:hAnsi="Cambria" w:cs="Calibri"/>
                <w:bCs/>
                <w:lang w:val="it-IT"/>
              </w:rPr>
              <w:t>Obvezna</w:t>
            </w:r>
            <w:proofErr w:type="spellEnd"/>
            <w:r w:rsidRPr="00B30379">
              <w:rPr>
                <w:rFonts w:ascii="Cambria" w:eastAsia="Calibri" w:hAnsi="Cambria" w:cs="Calibri"/>
                <w:bCs/>
                <w:lang w:val="it-IT"/>
              </w:rPr>
              <w:t xml:space="preserve"> </w:t>
            </w:r>
            <w:proofErr w:type="spellStart"/>
            <w:r w:rsidRPr="00B30379">
              <w:rPr>
                <w:rFonts w:ascii="Cambria" w:eastAsia="Calibri" w:hAnsi="Cambria" w:cs="Calibri"/>
                <w:bCs/>
                <w:lang w:val="it-IT"/>
              </w:rPr>
              <w:t>literatura</w:t>
            </w:r>
            <w:proofErr w:type="spellEnd"/>
            <w:r w:rsidRPr="00B30379">
              <w:rPr>
                <w:rFonts w:ascii="Cambria" w:eastAsia="Calibri" w:hAnsi="Cambria" w:cs="Calibri"/>
                <w:bCs/>
                <w:lang w:val="it-IT"/>
              </w:rPr>
              <w:t>:</w:t>
            </w:r>
          </w:p>
          <w:p w14:paraId="43035383" w14:textId="77777777" w:rsidR="009138DB" w:rsidRPr="00B30379" w:rsidRDefault="009138DB" w:rsidP="009138DB">
            <w:pPr>
              <w:tabs>
                <w:tab w:val="left" w:pos="431"/>
              </w:tabs>
              <w:spacing w:after="0" w:line="240" w:lineRule="atLeast"/>
              <w:rPr>
                <w:rFonts w:ascii="Cambria" w:eastAsia="Calibri" w:hAnsi="Cambria" w:cs="Calibri"/>
                <w:lang w:val="it-IT"/>
              </w:rPr>
            </w:pPr>
            <w:r w:rsidRPr="00B30379">
              <w:rPr>
                <w:rFonts w:ascii="Cambria" w:eastAsia="Calibri" w:hAnsi="Cambria" w:cs="Calibri"/>
                <w:lang w:val="it-IT"/>
              </w:rPr>
              <w:t xml:space="preserve">1. </w:t>
            </w:r>
            <w:proofErr w:type="spellStart"/>
            <w:r w:rsidRPr="00B30379">
              <w:rPr>
                <w:rFonts w:ascii="Cambria" w:eastAsia="Calibri" w:hAnsi="Cambria" w:cs="Calibri"/>
                <w:lang w:val="it-IT"/>
              </w:rPr>
              <w:t>Mraković</w:t>
            </w:r>
            <w:proofErr w:type="spellEnd"/>
            <w:r w:rsidRPr="00B30379">
              <w:rPr>
                <w:rFonts w:ascii="Cambria" w:eastAsia="Calibri" w:hAnsi="Cambria" w:cs="Calibri"/>
                <w:lang w:val="it-IT"/>
              </w:rPr>
              <w:t xml:space="preserve">, M. (1992). </w:t>
            </w:r>
            <w:proofErr w:type="spellStart"/>
            <w:r w:rsidRPr="00B30379">
              <w:rPr>
                <w:rFonts w:ascii="Cambria" w:eastAsia="Calibri" w:hAnsi="Cambria" w:cs="Calibri"/>
                <w:i/>
                <w:iCs/>
                <w:lang w:val="it-IT"/>
              </w:rPr>
              <w:t>Uvod</w:t>
            </w:r>
            <w:proofErr w:type="spellEnd"/>
            <w:r w:rsidRPr="00B30379">
              <w:rPr>
                <w:rFonts w:ascii="Cambria" w:eastAsia="Calibri" w:hAnsi="Cambria" w:cs="Calibri"/>
                <w:i/>
                <w:iCs/>
                <w:lang w:val="it-IT"/>
              </w:rPr>
              <w:t xml:space="preserve"> u </w:t>
            </w:r>
            <w:proofErr w:type="spellStart"/>
            <w:r w:rsidRPr="00B30379">
              <w:rPr>
                <w:rFonts w:ascii="Cambria" w:eastAsia="Calibri" w:hAnsi="Cambria" w:cs="Calibri"/>
                <w:i/>
                <w:iCs/>
                <w:lang w:val="it-IT"/>
              </w:rPr>
              <w:t>sistematsku</w:t>
            </w:r>
            <w:proofErr w:type="spellEnd"/>
            <w:r w:rsidRPr="00B30379">
              <w:rPr>
                <w:rFonts w:ascii="Cambria" w:eastAsia="Calibri" w:hAnsi="Cambria" w:cs="Calibri"/>
                <w:i/>
                <w:iCs/>
                <w:lang w:val="it-IT"/>
              </w:rPr>
              <w:t xml:space="preserve"> </w:t>
            </w:r>
            <w:proofErr w:type="spellStart"/>
            <w:r w:rsidRPr="00B30379">
              <w:rPr>
                <w:rFonts w:ascii="Cambria" w:eastAsia="Calibri" w:hAnsi="Cambria" w:cs="Calibri"/>
                <w:i/>
                <w:iCs/>
                <w:lang w:val="it-IT"/>
              </w:rPr>
              <w:t>kineziologiju</w:t>
            </w:r>
            <w:proofErr w:type="spellEnd"/>
            <w:r w:rsidRPr="00B30379">
              <w:rPr>
                <w:rFonts w:ascii="Cambria" w:eastAsia="Calibri" w:hAnsi="Cambria" w:cs="Calibri"/>
                <w:lang w:val="it-IT"/>
              </w:rPr>
              <w:t xml:space="preserve">. </w:t>
            </w:r>
            <w:proofErr w:type="spellStart"/>
            <w:r w:rsidRPr="00B30379">
              <w:rPr>
                <w:rFonts w:ascii="Cambria" w:eastAsia="Calibri" w:hAnsi="Cambria" w:cs="Calibri"/>
                <w:lang w:val="it-IT"/>
              </w:rPr>
              <w:t>Zagreb</w:t>
            </w:r>
            <w:proofErr w:type="spellEnd"/>
            <w:r w:rsidRPr="00B30379">
              <w:rPr>
                <w:rFonts w:ascii="Cambria" w:eastAsia="Calibri" w:hAnsi="Cambria" w:cs="Calibri"/>
                <w:lang w:val="it-IT"/>
              </w:rPr>
              <w:t xml:space="preserve">: </w:t>
            </w:r>
            <w:proofErr w:type="spellStart"/>
            <w:r w:rsidRPr="00B30379">
              <w:rPr>
                <w:rFonts w:ascii="Cambria" w:eastAsia="Calibri" w:hAnsi="Cambria" w:cs="Calibri"/>
                <w:lang w:val="it-IT"/>
              </w:rPr>
              <w:t>Fakultet</w:t>
            </w:r>
            <w:proofErr w:type="spellEnd"/>
            <w:r w:rsidRPr="00B30379">
              <w:rPr>
                <w:rFonts w:ascii="Cambria" w:eastAsia="Calibri" w:hAnsi="Cambria" w:cs="Calibri"/>
                <w:lang w:val="it-IT"/>
              </w:rPr>
              <w:t xml:space="preserve"> za </w:t>
            </w:r>
            <w:proofErr w:type="spellStart"/>
            <w:r w:rsidRPr="00B30379">
              <w:rPr>
                <w:rFonts w:ascii="Cambria" w:eastAsia="Calibri" w:hAnsi="Cambria" w:cs="Calibri"/>
                <w:lang w:val="it-IT"/>
              </w:rPr>
              <w:t>fizičku</w:t>
            </w:r>
            <w:proofErr w:type="spellEnd"/>
            <w:r w:rsidRPr="00B30379">
              <w:rPr>
                <w:rFonts w:ascii="Cambria" w:eastAsia="Calibri" w:hAnsi="Cambria" w:cs="Calibri"/>
                <w:lang w:val="it-IT"/>
              </w:rPr>
              <w:t xml:space="preserve"> </w:t>
            </w:r>
            <w:proofErr w:type="spellStart"/>
            <w:r w:rsidRPr="00B30379">
              <w:rPr>
                <w:rFonts w:ascii="Cambria" w:eastAsia="Calibri" w:hAnsi="Cambria" w:cs="Calibri"/>
                <w:lang w:val="it-IT"/>
              </w:rPr>
              <w:t>kulturu</w:t>
            </w:r>
            <w:proofErr w:type="spellEnd"/>
            <w:r w:rsidRPr="00B30379">
              <w:rPr>
                <w:rFonts w:ascii="Cambria" w:eastAsia="Calibri" w:hAnsi="Cambria" w:cs="Calibri"/>
                <w:lang w:val="it-IT"/>
              </w:rPr>
              <w:t>.</w:t>
            </w:r>
          </w:p>
          <w:p w14:paraId="71A7B143" w14:textId="77777777" w:rsidR="009138DB" w:rsidRPr="002B1E8D" w:rsidRDefault="009138DB" w:rsidP="009138DB">
            <w:pPr>
              <w:tabs>
                <w:tab w:val="left" w:pos="431"/>
              </w:tabs>
              <w:spacing w:after="0" w:line="240" w:lineRule="atLeast"/>
              <w:rPr>
                <w:rFonts w:ascii="Cambria" w:eastAsia="Calibri" w:hAnsi="Cambria" w:cs="Calibri"/>
                <w:lang w:val="it-IT"/>
              </w:rPr>
            </w:pPr>
            <w:r w:rsidRPr="00B30379">
              <w:rPr>
                <w:rFonts w:ascii="Cambria" w:eastAsia="Calibri" w:hAnsi="Cambria" w:cs="Calibri"/>
                <w:lang w:val="it-IT"/>
              </w:rPr>
              <w:t xml:space="preserve">2. </w:t>
            </w:r>
            <w:proofErr w:type="spellStart"/>
            <w:r w:rsidRPr="002B1E8D">
              <w:rPr>
                <w:rFonts w:ascii="Cambria" w:eastAsia="Calibri" w:hAnsi="Cambria" w:cs="Calibri"/>
                <w:lang w:val="it-IT"/>
              </w:rPr>
              <w:t>Prskalo</w:t>
            </w:r>
            <w:proofErr w:type="spellEnd"/>
            <w:r w:rsidRPr="002B1E8D">
              <w:rPr>
                <w:rFonts w:ascii="Cambria" w:eastAsia="Calibri" w:hAnsi="Cambria" w:cs="Calibri"/>
                <w:lang w:val="it-IT"/>
              </w:rPr>
              <w:t xml:space="preserve">, I., &amp; </w:t>
            </w:r>
            <w:proofErr w:type="spellStart"/>
            <w:r w:rsidRPr="002B1E8D">
              <w:rPr>
                <w:rFonts w:ascii="Cambria" w:eastAsia="Calibri" w:hAnsi="Cambria" w:cs="Calibri"/>
                <w:lang w:val="it-IT"/>
              </w:rPr>
              <w:t>Sporiš</w:t>
            </w:r>
            <w:proofErr w:type="spellEnd"/>
            <w:r w:rsidRPr="002B1E8D">
              <w:rPr>
                <w:rFonts w:ascii="Cambria" w:eastAsia="Calibri" w:hAnsi="Cambria" w:cs="Calibri"/>
                <w:lang w:val="it-IT"/>
              </w:rPr>
              <w:t xml:space="preserve">, G. (2016). </w:t>
            </w:r>
            <w:proofErr w:type="spellStart"/>
            <w:r w:rsidRPr="002B1E8D">
              <w:rPr>
                <w:rFonts w:ascii="Cambria" w:eastAsia="Calibri" w:hAnsi="Cambria" w:cs="Calibri"/>
                <w:i/>
                <w:iCs/>
                <w:lang w:val="it-IT"/>
              </w:rPr>
              <w:t>Osnove</w:t>
            </w:r>
            <w:proofErr w:type="spellEnd"/>
            <w:r w:rsidRPr="002B1E8D">
              <w:rPr>
                <w:rFonts w:ascii="Cambria" w:eastAsia="Calibri" w:hAnsi="Cambria" w:cs="Calibri"/>
                <w:i/>
                <w:iCs/>
                <w:lang w:val="it-IT"/>
              </w:rPr>
              <w:t xml:space="preserve"> </w:t>
            </w:r>
            <w:proofErr w:type="spellStart"/>
            <w:r w:rsidRPr="002B1E8D">
              <w:rPr>
                <w:rFonts w:ascii="Cambria" w:eastAsia="Calibri" w:hAnsi="Cambria" w:cs="Calibri"/>
                <w:i/>
                <w:iCs/>
                <w:lang w:val="it-IT"/>
              </w:rPr>
              <w:t>kineziologije</w:t>
            </w:r>
            <w:proofErr w:type="spellEnd"/>
            <w:r w:rsidRPr="002B1E8D">
              <w:rPr>
                <w:rFonts w:ascii="Cambria" w:eastAsia="Calibri" w:hAnsi="Cambria" w:cs="Calibri"/>
                <w:lang w:val="it-IT"/>
              </w:rPr>
              <w:t xml:space="preserve">. </w:t>
            </w:r>
            <w:proofErr w:type="spellStart"/>
            <w:r w:rsidRPr="002B1E8D">
              <w:rPr>
                <w:rFonts w:ascii="Cambria" w:eastAsia="Calibri" w:hAnsi="Cambria" w:cs="Calibri"/>
                <w:lang w:val="it-IT"/>
              </w:rPr>
              <w:t>Zagreb</w:t>
            </w:r>
            <w:proofErr w:type="spellEnd"/>
            <w:r w:rsidRPr="002B1E8D">
              <w:rPr>
                <w:rFonts w:ascii="Cambria" w:eastAsia="Calibri" w:hAnsi="Cambria" w:cs="Calibri"/>
                <w:lang w:val="it-IT"/>
              </w:rPr>
              <w:t xml:space="preserve">: </w:t>
            </w:r>
            <w:proofErr w:type="spellStart"/>
            <w:r w:rsidRPr="002B1E8D">
              <w:rPr>
                <w:rFonts w:ascii="Cambria" w:eastAsia="Calibri" w:hAnsi="Cambria" w:cs="Calibri"/>
                <w:lang w:val="it-IT"/>
              </w:rPr>
              <w:t>Školska</w:t>
            </w:r>
            <w:proofErr w:type="spellEnd"/>
            <w:r w:rsidRPr="002B1E8D">
              <w:rPr>
                <w:rFonts w:ascii="Cambria" w:eastAsia="Calibri" w:hAnsi="Cambria" w:cs="Calibri"/>
                <w:lang w:val="it-IT"/>
              </w:rPr>
              <w:t xml:space="preserve"> </w:t>
            </w:r>
            <w:proofErr w:type="spellStart"/>
            <w:r w:rsidRPr="002B1E8D">
              <w:rPr>
                <w:rFonts w:ascii="Cambria" w:eastAsia="Calibri" w:hAnsi="Cambria" w:cs="Calibri"/>
                <w:lang w:val="it-IT"/>
              </w:rPr>
              <w:t>knjiga</w:t>
            </w:r>
            <w:proofErr w:type="spellEnd"/>
            <w:r w:rsidRPr="002B1E8D">
              <w:rPr>
                <w:rFonts w:ascii="Cambria" w:eastAsia="Calibri" w:hAnsi="Cambria" w:cs="Calibri"/>
                <w:lang w:val="it-IT"/>
              </w:rPr>
              <w:t xml:space="preserve">, </w:t>
            </w:r>
            <w:proofErr w:type="spellStart"/>
            <w:r w:rsidRPr="002B1E8D">
              <w:rPr>
                <w:rFonts w:ascii="Cambria" w:eastAsia="Calibri" w:hAnsi="Cambria" w:cs="Calibri"/>
                <w:lang w:val="it-IT"/>
              </w:rPr>
              <w:t>Učiteljski</w:t>
            </w:r>
            <w:proofErr w:type="spellEnd"/>
            <w:r w:rsidRPr="002B1E8D">
              <w:rPr>
                <w:rFonts w:ascii="Cambria" w:eastAsia="Calibri" w:hAnsi="Cambria" w:cs="Calibri"/>
                <w:lang w:val="it-IT"/>
              </w:rPr>
              <w:t xml:space="preserve"> </w:t>
            </w:r>
            <w:proofErr w:type="spellStart"/>
            <w:r w:rsidRPr="002B1E8D">
              <w:rPr>
                <w:rFonts w:ascii="Cambria" w:eastAsia="Calibri" w:hAnsi="Cambria" w:cs="Calibri"/>
                <w:lang w:val="it-IT"/>
              </w:rPr>
              <w:t>fakultet</w:t>
            </w:r>
            <w:proofErr w:type="spellEnd"/>
            <w:r w:rsidRPr="002B1E8D">
              <w:rPr>
                <w:rFonts w:ascii="Cambria" w:eastAsia="Calibri" w:hAnsi="Cambria" w:cs="Calibri"/>
                <w:lang w:val="it-IT"/>
              </w:rPr>
              <w:t xml:space="preserve"> </w:t>
            </w:r>
            <w:proofErr w:type="spellStart"/>
            <w:r w:rsidRPr="002B1E8D">
              <w:rPr>
                <w:rFonts w:ascii="Cambria" w:eastAsia="Calibri" w:hAnsi="Cambria" w:cs="Calibri"/>
                <w:lang w:val="it-IT"/>
              </w:rPr>
              <w:t>Sveučilišta</w:t>
            </w:r>
            <w:proofErr w:type="spellEnd"/>
            <w:r w:rsidRPr="002B1E8D">
              <w:rPr>
                <w:rFonts w:ascii="Cambria" w:eastAsia="Calibri" w:hAnsi="Cambria" w:cs="Calibri"/>
                <w:lang w:val="it-IT"/>
              </w:rPr>
              <w:t xml:space="preserve"> u </w:t>
            </w:r>
            <w:proofErr w:type="spellStart"/>
            <w:r w:rsidRPr="002B1E8D">
              <w:rPr>
                <w:rFonts w:ascii="Cambria" w:eastAsia="Calibri" w:hAnsi="Cambria" w:cs="Calibri"/>
                <w:lang w:val="it-IT"/>
              </w:rPr>
              <w:t>Zagrebu</w:t>
            </w:r>
            <w:proofErr w:type="spellEnd"/>
            <w:r w:rsidRPr="002B1E8D">
              <w:rPr>
                <w:rFonts w:ascii="Cambria" w:eastAsia="Calibri" w:hAnsi="Cambria" w:cs="Calibri"/>
                <w:lang w:val="it-IT"/>
              </w:rPr>
              <w:t xml:space="preserve"> i </w:t>
            </w:r>
            <w:proofErr w:type="spellStart"/>
            <w:r w:rsidRPr="002B1E8D">
              <w:rPr>
                <w:rFonts w:ascii="Cambria" w:eastAsia="Calibri" w:hAnsi="Cambria" w:cs="Calibri"/>
                <w:lang w:val="it-IT"/>
              </w:rPr>
              <w:t>Kineziološki</w:t>
            </w:r>
            <w:proofErr w:type="spellEnd"/>
            <w:r w:rsidRPr="002B1E8D">
              <w:rPr>
                <w:rFonts w:ascii="Cambria" w:eastAsia="Calibri" w:hAnsi="Cambria" w:cs="Calibri"/>
                <w:lang w:val="it-IT"/>
              </w:rPr>
              <w:t xml:space="preserve"> </w:t>
            </w:r>
            <w:proofErr w:type="spellStart"/>
            <w:r w:rsidRPr="002B1E8D">
              <w:rPr>
                <w:rFonts w:ascii="Cambria" w:eastAsia="Calibri" w:hAnsi="Cambria" w:cs="Calibri"/>
                <w:lang w:val="it-IT"/>
              </w:rPr>
              <w:t>fakultet</w:t>
            </w:r>
            <w:proofErr w:type="spellEnd"/>
            <w:r w:rsidRPr="002B1E8D">
              <w:rPr>
                <w:rFonts w:ascii="Cambria" w:eastAsia="Calibri" w:hAnsi="Cambria" w:cs="Calibri"/>
                <w:lang w:val="it-IT"/>
              </w:rPr>
              <w:t xml:space="preserve"> </w:t>
            </w:r>
            <w:proofErr w:type="spellStart"/>
            <w:r w:rsidRPr="002B1E8D">
              <w:rPr>
                <w:rFonts w:ascii="Cambria" w:eastAsia="Calibri" w:hAnsi="Cambria" w:cs="Calibri"/>
                <w:lang w:val="it-IT"/>
              </w:rPr>
              <w:t>Sveučilišta</w:t>
            </w:r>
            <w:proofErr w:type="spellEnd"/>
            <w:r w:rsidRPr="002B1E8D">
              <w:rPr>
                <w:rFonts w:ascii="Cambria" w:eastAsia="Calibri" w:hAnsi="Cambria" w:cs="Calibri"/>
                <w:lang w:val="it-IT"/>
              </w:rPr>
              <w:t xml:space="preserve"> u </w:t>
            </w:r>
            <w:proofErr w:type="spellStart"/>
            <w:r w:rsidRPr="002B1E8D">
              <w:rPr>
                <w:rFonts w:ascii="Cambria" w:eastAsia="Calibri" w:hAnsi="Cambria" w:cs="Calibri"/>
                <w:lang w:val="it-IT"/>
              </w:rPr>
              <w:t>Zagrebu</w:t>
            </w:r>
            <w:proofErr w:type="spellEnd"/>
            <w:r w:rsidRPr="002B1E8D">
              <w:rPr>
                <w:rFonts w:ascii="Cambria" w:eastAsia="Calibri" w:hAnsi="Cambria" w:cs="Calibri"/>
                <w:lang w:val="it-IT"/>
              </w:rPr>
              <w:t>.</w:t>
            </w:r>
          </w:p>
          <w:p w14:paraId="49484E07" w14:textId="77777777" w:rsidR="009138DB" w:rsidRPr="00B30379" w:rsidRDefault="009138DB" w:rsidP="009138DB">
            <w:pPr>
              <w:tabs>
                <w:tab w:val="left" w:pos="431"/>
              </w:tabs>
              <w:spacing w:after="0" w:line="240" w:lineRule="atLeast"/>
              <w:rPr>
                <w:rFonts w:ascii="Cambria" w:eastAsia="Calibri" w:hAnsi="Cambria" w:cs="Calibri"/>
                <w:lang w:val="it-IT"/>
              </w:rPr>
            </w:pPr>
            <w:r>
              <w:rPr>
                <w:rFonts w:ascii="Cambria" w:eastAsia="Calibri" w:hAnsi="Cambria" w:cs="Calibri"/>
                <w:lang w:val="it-IT"/>
              </w:rPr>
              <w:t xml:space="preserve">3. </w:t>
            </w:r>
            <w:proofErr w:type="spellStart"/>
            <w:r w:rsidRPr="002B1E8D">
              <w:rPr>
                <w:rFonts w:ascii="Cambria" w:eastAsia="Calibri" w:hAnsi="Cambria" w:cs="Calibri"/>
                <w:lang w:val="it-IT"/>
              </w:rPr>
              <w:t>Sekulić</w:t>
            </w:r>
            <w:proofErr w:type="spellEnd"/>
            <w:r w:rsidRPr="002B1E8D">
              <w:rPr>
                <w:rFonts w:ascii="Cambria" w:eastAsia="Calibri" w:hAnsi="Cambria" w:cs="Calibri"/>
                <w:lang w:val="it-IT"/>
              </w:rPr>
              <w:t xml:space="preserve">, D., &amp; </w:t>
            </w:r>
            <w:proofErr w:type="spellStart"/>
            <w:r w:rsidRPr="002B1E8D">
              <w:rPr>
                <w:rFonts w:ascii="Cambria" w:eastAsia="Calibri" w:hAnsi="Cambria" w:cs="Calibri"/>
                <w:lang w:val="it-IT"/>
              </w:rPr>
              <w:t>Metikoš</w:t>
            </w:r>
            <w:proofErr w:type="spellEnd"/>
            <w:r w:rsidRPr="002B1E8D">
              <w:rPr>
                <w:rFonts w:ascii="Cambria" w:eastAsia="Calibri" w:hAnsi="Cambria" w:cs="Calibri"/>
                <w:lang w:val="it-IT"/>
              </w:rPr>
              <w:t xml:space="preserve">, D. (2007). </w:t>
            </w:r>
            <w:proofErr w:type="spellStart"/>
            <w:r w:rsidRPr="002B1E8D">
              <w:rPr>
                <w:rFonts w:ascii="Cambria" w:eastAsia="Calibri" w:hAnsi="Cambria" w:cs="Calibri"/>
                <w:i/>
                <w:iCs/>
                <w:lang w:val="it-IT"/>
              </w:rPr>
              <w:t>Osnove</w:t>
            </w:r>
            <w:proofErr w:type="spellEnd"/>
            <w:r w:rsidRPr="002B1E8D">
              <w:rPr>
                <w:rFonts w:ascii="Cambria" w:eastAsia="Calibri" w:hAnsi="Cambria" w:cs="Calibri"/>
                <w:i/>
                <w:iCs/>
                <w:lang w:val="it-IT"/>
              </w:rPr>
              <w:t xml:space="preserve"> </w:t>
            </w:r>
            <w:proofErr w:type="spellStart"/>
            <w:r w:rsidRPr="002B1E8D">
              <w:rPr>
                <w:rFonts w:ascii="Cambria" w:eastAsia="Calibri" w:hAnsi="Cambria" w:cs="Calibri"/>
                <w:i/>
                <w:iCs/>
                <w:lang w:val="it-IT"/>
              </w:rPr>
              <w:t>transformacijskih</w:t>
            </w:r>
            <w:proofErr w:type="spellEnd"/>
            <w:r w:rsidRPr="002B1E8D">
              <w:rPr>
                <w:rFonts w:ascii="Cambria" w:eastAsia="Calibri" w:hAnsi="Cambria" w:cs="Calibri"/>
                <w:i/>
                <w:iCs/>
                <w:lang w:val="it-IT"/>
              </w:rPr>
              <w:t xml:space="preserve"> </w:t>
            </w:r>
            <w:proofErr w:type="spellStart"/>
            <w:r w:rsidRPr="002B1E8D">
              <w:rPr>
                <w:rFonts w:ascii="Cambria" w:eastAsia="Calibri" w:hAnsi="Cambria" w:cs="Calibri"/>
                <w:i/>
                <w:iCs/>
                <w:lang w:val="it-IT"/>
              </w:rPr>
              <w:t>postupaka</w:t>
            </w:r>
            <w:proofErr w:type="spellEnd"/>
            <w:r w:rsidRPr="002B1E8D">
              <w:rPr>
                <w:rFonts w:ascii="Cambria" w:eastAsia="Calibri" w:hAnsi="Cambria" w:cs="Calibri"/>
                <w:i/>
                <w:iCs/>
                <w:lang w:val="it-IT"/>
              </w:rPr>
              <w:t xml:space="preserve"> u </w:t>
            </w:r>
            <w:proofErr w:type="spellStart"/>
            <w:r w:rsidRPr="002B1E8D">
              <w:rPr>
                <w:rFonts w:ascii="Cambria" w:eastAsia="Calibri" w:hAnsi="Cambria" w:cs="Calibri"/>
                <w:i/>
                <w:iCs/>
                <w:lang w:val="it-IT"/>
              </w:rPr>
              <w:t>kineziologiji</w:t>
            </w:r>
            <w:proofErr w:type="spellEnd"/>
            <w:r w:rsidRPr="002B1E8D">
              <w:rPr>
                <w:rFonts w:ascii="Cambria" w:eastAsia="Calibri" w:hAnsi="Cambria" w:cs="Calibri"/>
                <w:lang w:val="it-IT"/>
              </w:rPr>
              <w:t xml:space="preserve">. Split: </w:t>
            </w:r>
            <w:proofErr w:type="spellStart"/>
            <w:r w:rsidRPr="002B1E8D">
              <w:rPr>
                <w:rFonts w:ascii="Cambria" w:eastAsia="Calibri" w:hAnsi="Cambria" w:cs="Calibri"/>
                <w:lang w:val="it-IT"/>
              </w:rPr>
              <w:t>Fakultet</w:t>
            </w:r>
            <w:proofErr w:type="spellEnd"/>
            <w:r w:rsidRPr="002B1E8D">
              <w:rPr>
                <w:rFonts w:ascii="Cambria" w:eastAsia="Calibri" w:hAnsi="Cambria" w:cs="Calibri"/>
                <w:lang w:val="it-IT"/>
              </w:rPr>
              <w:t xml:space="preserve"> </w:t>
            </w:r>
            <w:proofErr w:type="spellStart"/>
            <w:r w:rsidRPr="002B1E8D">
              <w:rPr>
                <w:rFonts w:ascii="Cambria" w:eastAsia="Calibri" w:hAnsi="Cambria" w:cs="Calibri"/>
                <w:lang w:val="it-IT"/>
              </w:rPr>
              <w:t>prirodoslovno-matematičkih</w:t>
            </w:r>
            <w:proofErr w:type="spellEnd"/>
            <w:r w:rsidRPr="002B1E8D">
              <w:rPr>
                <w:rFonts w:ascii="Cambria" w:eastAsia="Calibri" w:hAnsi="Cambria" w:cs="Calibri"/>
                <w:lang w:val="it-IT"/>
              </w:rPr>
              <w:t xml:space="preserve"> </w:t>
            </w:r>
            <w:proofErr w:type="spellStart"/>
            <w:r w:rsidRPr="002B1E8D">
              <w:rPr>
                <w:rFonts w:ascii="Cambria" w:eastAsia="Calibri" w:hAnsi="Cambria" w:cs="Calibri"/>
                <w:lang w:val="it-IT"/>
              </w:rPr>
              <w:t>znanosti</w:t>
            </w:r>
            <w:proofErr w:type="spellEnd"/>
            <w:r w:rsidRPr="002B1E8D">
              <w:rPr>
                <w:rFonts w:ascii="Cambria" w:eastAsia="Calibri" w:hAnsi="Cambria" w:cs="Calibri"/>
                <w:lang w:val="it-IT"/>
              </w:rPr>
              <w:t xml:space="preserve"> i </w:t>
            </w:r>
            <w:proofErr w:type="spellStart"/>
            <w:r w:rsidRPr="002B1E8D">
              <w:rPr>
                <w:rFonts w:ascii="Cambria" w:eastAsia="Calibri" w:hAnsi="Cambria" w:cs="Calibri"/>
                <w:lang w:val="it-IT"/>
              </w:rPr>
              <w:t>kineziologije</w:t>
            </w:r>
            <w:proofErr w:type="spellEnd"/>
            <w:r w:rsidRPr="002B1E8D">
              <w:rPr>
                <w:rFonts w:ascii="Cambria" w:eastAsia="Calibri" w:hAnsi="Cambria" w:cs="Calibri"/>
                <w:lang w:val="it-IT"/>
              </w:rPr>
              <w:t xml:space="preserve"> </w:t>
            </w:r>
            <w:proofErr w:type="spellStart"/>
            <w:r w:rsidRPr="002B1E8D">
              <w:rPr>
                <w:rFonts w:ascii="Cambria" w:eastAsia="Calibri" w:hAnsi="Cambria" w:cs="Calibri"/>
                <w:lang w:val="it-IT"/>
              </w:rPr>
              <w:t>Sveučilišta</w:t>
            </w:r>
            <w:proofErr w:type="spellEnd"/>
            <w:r w:rsidRPr="002B1E8D">
              <w:rPr>
                <w:rFonts w:ascii="Cambria" w:eastAsia="Calibri" w:hAnsi="Cambria" w:cs="Calibri"/>
                <w:lang w:val="it-IT"/>
              </w:rPr>
              <w:t xml:space="preserve"> u </w:t>
            </w:r>
            <w:proofErr w:type="spellStart"/>
            <w:r w:rsidRPr="002B1E8D">
              <w:rPr>
                <w:rFonts w:ascii="Cambria" w:eastAsia="Calibri" w:hAnsi="Cambria" w:cs="Calibri"/>
                <w:lang w:val="it-IT"/>
              </w:rPr>
              <w:t>Splitu</w:t>
            </w:r>
            <w:proofErr w:type="spellEnd"/>
            <w:r w:rsidRPr="002B1E8D">
              <w:rPr>
                <w:rFonts w:ascii="Cambria" w:eastAsia="Calibri" w:hAnsi="Cambria" w:cs="Calibri"/>
                <w:lang w:val="it-IT"/>
              </w:rPr>
              <w:t>.</w:t>
            </w:r>
          </w:p>
          <w:p w14:paraId="75E63197" w14:textId="77777777" w:rsidR="009138DB" w:rsidRPr="00B30379" w:rsidRDefault="009138DB" w:rsidP="009138DB">
            <w:pPr>
              <w:tabs>
                <w:tab w:val="num" w:pos="147"/>
                <w:tab w:val="left" w:pos="431"/>
              </w:tabs>
              <w:spacing w:after="0" w:line="240" w:lineRule="atLeast"/>
              <w:rPr>
                <w:rFonts w:ascii="Cambria" w:eastAsia="Calibri" w:hAnsi="Cambria" w:cs="Calibri"/>
                <w:bCs/>
                <w:lang w:val="it-IT"/>
              </w:rPr>
            </w:pPr>
            <w:proofErr w:type="spellStart"/>
            <w:r w:rsidRPr="00B30379">
              <w:rPr>
                <w:rFonts w:ascii="Cambria" w:eastAsia="Calibri" w:hAnsi="Cambria" w:cs="Calibri"/>
                <w:bCs/>
                <w:lang w:val="it-IT"/>
              </w:rPr>
              <w:t>Izborna</w:t>
            </w:r>
            <w:proofErr w:type="spellEnd"/>
            <w:r w:rsidRPr="00B30379">
              <w:rPr>
                <w:rFonts w:ascii="Cambria" w:eastAsia="Calibri" w:hAnsi="Cambria" w:cs="Calibri"/>
                <w:bCs/>
                <w:lang w:val="it-IT"/>
              </w:rPr>
              <w:t xml:space="preserve"> </w:t>
            </w:r>
            <w:proofErr w:type="spellStart"/>
            <w:r w:rsidRPr="00B30379">
              <w:rPr>
                <w:rFonts w:ascii="Cambria" w:eastAsia="Calibri" w:hAnsi="Cambria" w:cs="Calibri"/>
                <w:bCs/>
                <w:lang w:val="it-IT"/>
              </w:rPr>
              <w:t>literatura</w:t>
            </w:r>
            <w:proofErr w:type="spellEnd"/>
            <w:r w:rsidRPr="00B30379">
              <w:rPr>
                <w:rFonts w:ascii="Cambria" w:eastAsia="Calibri" w:hAnsi="Cambria" w:cs="Calibri"/>
                <w:bCs/>
                <w:lang w:val="it-IT"/>
              </w:rPr>
              <w:t>:</w:t>
            </w:r>
          </w:p>
          <w:p w14:paraId="1B095FE6" w14:textId="77777777" w:rsidR="009138DB" w:rsidRPr="002B1E8D" w:rsidRDefault="009138DB" w:rsidP="009138DB">
            <w:pPr>
              <w:tabs>
                <w:tab w:val="left" w:pos="431"/>
              </w:tabs>
              <w:spacing w:after="0" w:line="240" w:lineRule="atLeast"/>
              <w:rPr>
                <w:rFonts w:ascii="Cambria" w:eastAsia="Calibri" w:hAnsi="Cambria" w:cs="Calibri"/>
                <w:lang w:val="it-IT"/>
              </w:rPr>
            </w:pPr>
            <w:r>
              <w:rPr>
                <w:rFonts w:ascii="Cambria" w:eastAsia="Calibri" w:hAnsi="Cambria" w:cs="Calibri"/>
                <w:lang w:val="it-IT"/>
              </w:rPr>
              <w:t xml:space="preserve">1. </w:t>
            </w:r>
            <w:proofErr w:type="spellStart"/>
            <w:r w:rsidRPr="002B1E8D">
              <w:rPr>
                <w:rFonts w:ascii="Cambria" w:eastAsia="Calibri" w:hAnsi="Cambria" w:cs="Calibri"/>
                <w:lang w:val="it-IT"/>
              </w:rPr>
              <w:t>Findak</w:t>
            </w:r>
            <w:proofErr w:type="spellEnd"/>
            <w:r w:rsidRPr="002B1E8D">
              <w:rPr>
                <w:rFonts w:ascii="Cambria" w:eastAsia="Calibri" w:hAnsi="Cambria" w:cs="Calibri"/>
                <w:lang w:val="it-IT"/>
              </w:rPr>
              <w:t xml:space="preserve">, V. (2001). </w:t>
            </w:r>
            <w:proofErr w:type="spellStart"/>
            <w:r w:rsidRPr="002B1E8D">
              <w:rPr>
                <w:rFonts w:ascii="Cambria" w:eastAsia="Calibri" w:hAnsi="Cambria" w:cs="Calibri"/>
                <w:i/>
                <w:iCs/>
                <w:lang w:val="it-IT"/>
              </w:rPr>
              <w:t>Metodika</w:t>
            </w:r>
            <w:proofErr w:type="spellEnd"/>
            <w:r w:rsidRPr="002B1E8D">
              <w:rPr>
                <w:rFonts w:ascii="Cambria" w:eastAsia="Calibri" w:hAnsi="Cambria" w:cs="Calibri"/>
                <w:i/>
                <w:iCs/>
                <w:lang w:val="it-IT"/>
              </w:rPr>
              <w:t xml:space="preserve"> </w:t>
            </w:r>
            <w:proofErr w:type="spellStart"/>
            <w:r w:rsidRPr="002B1E8D">
              <w:rPr>
                <w:rFonts w:ascii="Cambria" w:eastAsia="Calibri" w:hAnsi="Cambria" w:cs="Calibri"/>
                <w:i/>
                <w:iCs/>
                <w:lang w:val="it-IT"/>
              </w:rPr>
              <w:t>tjelesne</w:t>
            </w:r>
            <w:proofErr w:type="spellEnd"/>
            <w:r w:rsidRPr="002B1E8D">
              <w:rPr>
                <w:rFonts w:ascii="Cambria" w:eastAsia="Calibri" w:hAnsi="Cambria" w:cs="Calibri"/>
                <w:i/>
                <w:iCs/>
                <w:lang w:val="it-IT"/>
              </w:rPr>
              <w:t xml:space="preserve"> i </w:t>
            </w:r>
            <w:proofErr w:type="spellStart"/>
            <w:r w:rsidRPr="002B1E8D">
              <w:rPr>
                <w:rFonts w:ascii="Cambria" w:eastAsia="Calibri" w:hAnsi="Cambria" w:cs="Calibri"/>
                <w:i/>
                <w:iCs/>
                <w:lang w:val="it-IT"/>
              </w:rPr>
              <w:t>zdravstvene</w:t>
            </w:r>
            <w:proofErr w:type="spellEnd"/>
            <w:r w:rsidRPr="002B1E8D">
              <w:rPr>
                <w:rFonts w:ascii="Cambria" w:eastAsia="Calibri" w:hAnsi="Cambria" w:cs="Calibri"/>
                <w:i/>
                <w:iCs/>
                <w:lang w:val="it-IT"/>
              </w:rPr>
              <w:t xml:space="preserve"> </w:t>
            </w:r>
            <w:proofErr w:type="spellStart"/>
            <w:r w:rsidRPr="002B1E8D">
              <w:rPr>
                <w:rFonts w:ascii="Cambria" w:eastAsia="Calibri" w:hAnsi="Cambria" w:cs="Calibri"/>
                <w:i/>
                <w:iCs/>
                <w:lang w:val="it-IT"/>
              </w:rPr>
              <w:t>kulture</w:t>
            </w:r>
            <w:proofErr w:type="spellEnd"/>
            <w:r w:rsidRPr="002B1E8D">
              <w:rPr>
                <w:rFonts w:ascii="Cambria" w:eastAsia="Calibri" w:hAnsi="Cambria" w:cs="Calibri"/>
                <w:lang w:val="it-IT"/>
              </w:rPr>
              <w:t xml:space="preserve">. </w:t>
            </w:r>
            <w:proofErr w:type="spellStart"/>
            <w:r w:rsidRPr="002B1E8D">
              <w:rPr>
                <w:rFonts w:ascii="Cambria" w:eastAsia="Calibri" w:hAnsi="Cambria" w:cs="Calibri"/>
                <w:lang w:val="it-IT"/>
              </w:rPr>
              <w:t>Zagreb</w:t>
            </w:r>
            <w:proofErr w:type="spellEnd"/>
            <w:r w:rsidRPr="002B1E8D">
              <w:rPr>
                <w:rFonts w:ascii="Cambria" w:eastAsia="Calibri" w:hAnsi="Cambria" w:cs="Calibri"/>
                <w:lang w:val="it-IT"/>
              </w:rPr>
              <w:t xml:space="preserve">: </w:t>
            </w:r>
            <w:proofErr w:type="spellStart"/>
            <w:r w:rsidRPr="002B1E8D">
              <w:rPr>
                <w:rFonts w:ascii="Cambria" w:eastAsia="Calibri" w:hAnsi="Cambria" w:cs="Calibri"/>
                <w:lang w:val="it-IT"/>
              </w:rPr>
              <w:t>Školska</w:t>
            </w:r>
            <w:proofErr w:type="spellEnd"/>
            <w:r w:rsidRPr="002B1E8D">
              <w:rPr>
                <w:rFonts w:ascii="Cambria" w:eastAsia="Calibri" w:hAnsi="Cambria" w:cs="Calibri"/>
                <w:lang w:val="it-IT"/>
              </w:rPr>
              <w:t xml:space="preserve"> </w:t>
            </w:r>
            <w:proofErr w:type="spellStart"/>
            <w:r w:rsidRPr="002B1E8D">
              <w:rPr>
                <w:rFonts w:ascii="Cambria" w:eastAsia="Calibri" w:hAnsi="Cambria" w:cs="Calibri"/>
                <w:lang w:val="it-IT"/>
              </w:rPr>
              <w:t>knjiga</w:t>
            </w:r>
            <w:proofErr w:type="spellEnd"/>
            <w:r w:rsidRPr="002B1E8D">
              <w:rPr>
                <w:rFonts w:ascii="Cambria" w:eastAsia="Calibri" w:hAnsi="Cambria" w:cs="Calibri"/>
                <w:lang w:val="it-IT"/>
              </w:rPr>
              <w:t>.</w:t>
            </w:r>
          </w:p>
          <w:p w14:paraId="51B0BFB6" w14:textId="77777777" w:rsidR="009138DB" w:rsidRPr="00B30379" w:rsidRDefault="009138DB" w:rsidP="009138DB">
            <w:pPr>
              <w:tabs>
                <w:tab w:val="left" w:pos="431"/>
              </w:tabs>
              <w:spacing w:after="0" w:line="240" w:lineRule="atLeast"/>
              <w:rPr>
                <w:rFonts w:ascii="Cambria" w:eastAsia="Calibri" w:hAnsi="Cambria" w:cs="Calibri"/>
                <w:lang w:val="it-IT"/>
              </w:rPr>
            </w:pPr>
            <w:r w:rsidRPr="002B1E8D">
              <w:rPr>
                <w:rFonts w:ascii="Cambria" w:eastAsia="Calibri" w:hAnsi="Cambria" w:cs="Calibri"/>
                <w:lang w:val="it-IT"/>
              </w:rPr>
              <w:t xml:space="preserve">2. </w:t>
            </w:r>
            <w:proofErr w:type="spellStart"/>
            <w:r w:rsidRPr="002B1E8D">
              <w:rPr>
                <w:rFonts w:ascii="Cambria" w:eastAsia="Calibri" w:hAnsi="Cambria" w:cs="Calibri"/>
                <w:lang w:val="it-IT"/>
              </w:rPr>
              <w:t>Kosinac</w:t>
            </w:r>
            <w:proofErr w:type="spellEnd"/>
            <w:r w:rsidRPr="002B1E8D">
              <w:rPr>
                <w:rFonts w:ascii="Cambria" w:eastAsia="Calibri" w:hAnsi="Cambria" w:cs="Calibri"/>
                <w:lang w:val="it-IT"/>
              </w:rPr>
              <w:t xml:space="preserve">, Z. (2011). </w:t>
            </w:r>
            <w:proofErr w:type="spellStart"/>
            <w:r w:rsidRPr="00B30379">
              <w:rPr>
                <w:rFonts w:ascii="Cambria" w:eastAsia="Calibri" w:hAnsi="Cambria" w:cs="Calibri"/>
                <w:i/>
                <w:iCs/>
                <w:lang w:val="it-IT"/>
              </w:rPr>
              <w:t>Morfološko-motorički</w:t>
            </w:r>
            <w:proofErr w:type="spellEnd"/>
            <w:r w:rsidRPr="00B30379">
              <w:rPr>
                <w:rFonts w:ascii="Cambria" w:eastAsia="Calibri" w:hAnsi="Cambria" w:cs="Calibri"/>
                <w:i/>
                <w:iCs/>
                <w:lang w:val="it-IT"/>
              </w:rPr>
              <w:t xml:space="preserve"> i </w:t>
            </w:r>
            <w:proofErr w:type="spellStart"/>
            <w:r w:rsidRPr="00B30379">
              <w:rPr>
                <w:rFonts w:ascii="Cambria" w:eastAsia="Calibri" w:hAnsi="Cambria" w:cs="Calibri"/>
                <w:i/>
                <w:iCs/>
                <w:lang w:val="it-IT"/>
              </w:rPr>
              <w:t>funkcionalni</w:t>
            </w:r>
            <w:proofErr w:type="spellEnd"/>
            <w:r w:rsidRPr="00B30379">
              <w:rPr>
                <w:rFonts w:ascii="Cambria" w:eastAsia="Calibri" w:hAnsi="Cambria" w:cs="Calibri"/>
                <w:i/>
                <w:iCs/>
                <w:lang w:val="it-IT"/>
              </w:rPr>
              <w:t xml:space="preserve"> </w:t>
            </w:r>
            <w:proofErr w:type="spellStart"/>
            <w:r w:rsidRPr="00B30379">
              <w:rPr>
                <w:rFonts w:ascii="Cambria" w:eastAsia="Calibri" w:hAnsi="Cambria" w:cs="Calibri"/>
                <w:i/>
                <w:iCs/>
                <w:lang w:val="it-IT"/>
              </w:rPr>
              <w:t>razvoj</w:t>
            </w:r>
            <w:proofErr w:type="spellEnd"/>
            <w:r w:rsidRPr="00B30379">
              <w:rPr>
                <w:rFonts w:ascii="Cambria" w:eastAsia="Calibri" w:hAnsi="Cambria" w:cs="Calibri"/>
                <w:i/>
                <w:iCs/>
                <w:lang w:val="it-IT"/>
              </w:rPr>
              <w:t xml:space="preserve"> </w:t>
            </w:r>
            <w:proofErr w:type="spellStart"/>
            <w:r w:rsidRPr="00B30379">
              <w:rPr>
                <w:rFonts w:ascii="Cambria" w:eastAsia="Calibri" w:hAnsi="Cambria" w:cs="Calibri"/>
                <w:i/>
                <w:iCs/>
                <w:lang w:val="it-IT"/>
              </w:rPr>
              <w:t>djece</w:t>
            </w:r>
            <w:proofErr w:type="spellEnd"/>
            <w:r w:rsidRPr="00B30379">
              <w:rPr>
                <w:rFonts w:ascii="Cambria" w:eastAsia="Calibri" w:hAnsi="Cambria" w:cs="Calibri"/>
                <w:i/>
                <w:iCs/>
                <w:lang w:val="it-IT"/>
              </w:rPr>
              <w:t xml:space="preserve"> </w:t>
            </w:r>
            <w:proofErr w:type="spellStart"/>
            <w:r w:rsidRPr="00B30379">
              <w:rPr>
                <w:rFonts w:ascii="Cambria" w:eastAsia="Calibri" w:hAnsi="Cambria" w:cs="Calibri"/>
                <w:i/>
                <w:iCs/>
                <w:lang w:val="it-IT"/>
              </w:rPr>
              <w:t>uzrasne</w:t>
            </w:r>
            <w:proofErr w:type="spellEnd"/>
            <w:r w:rsidRPr="00B30379">
              <w:rPr>
                <w:rFonts w:ascii="Cambria" w:eastAsia="Calibri" w:hAnsi="Cambria" w:cs="Calibri"/>
                <w:i/>
                <w:iCs/>
                <w:lang w:val="it-IT"/>
              </w:rPr>
              <w:t xml:space="preserve"> </w:t>
            </w:r>
            <w:proofErr w:type="spellStart"/>
            <w:r w:rsidRPr="00B30379">
              <w:rPr>
                <w:rFonts w:ascii="Cambria" w:eastAsia="Calibri" w:hAnsi="Cambria" w:cs="Calibri"/>
                <w:i/>
                <w:iCs/>
                <w:lang w:val="it-IT"/>
              </w:rPr>
              <w:t>dobi</w:t>
            </w:r>
            <w:proofErr w:type="spellEnd"/>
            <w:r w:rsidRPr="00B30379">
              <w:rPr>
                <w:rFonts w:ascii="Cambria" w:eastAsia="Calibri" w:hAnsi="Cambria" w:cs="Calibri"/>
                <w:i/>
                <w:iCs/>
                <w:lang w:val="it-IT"/>
              </w:rPr>
              <w:t xml:space="preserve"> </w:t>
            </w:r>
            <w:proofErr w:type="gramStart"/>
            <w:r w:rsidRPr="00B30379">
              <w:rPr>
                <w:rFonts w:ascii="Cambria" w:eastAsia="Calibri" w:hAnsi="Cambria" w:cs="Calibri"/>
                <w:i/>
                <w:iCs/>
                <w:lang w:val="it-IT"/>
              </w:rPr>
              <w:t>od</w:t>
            </w:r>
            <w:proofErr w:type="gramEnd"/>
            <w:r w:rsidRPr="00B30379">
              <w:rPr>
                <w:rFonts w:ascii="Cambria" w:eastAsia="Calibri" w:hAnsi="Cambria" w:cs="Calibri"/>
                <w:i/>
                <w:iCs/>
                <w:lang w:val="it-IT"/>
              </w:rPr>
              <w:t xml:space="preserve"> 5. do 11. godine</w:t>
            </w:r>
            <w:r w:rsidRPr="00B30379">
              <w:rPr>
                <w:rFonts w:ascii="Cambria" w:eastAsia="Calibri" w:hAnsi="Cambria" w:cs="Calibri"/>
                <w:lang w:val="it-IT"/>
              </w:rPr>
              <w:t xml:space="preserve">. Split: </w:t>
            </w:r>
            <w:proofErr w:type="spellStart"/>
            <w:r w:rsidRPr="00B30379">
              <w:rPr>
                <w:rFonts w:ascii="Cambria" w:eastAsia="Calibri" w:hAnsi="Cambria" w:cs="Calibri"/>
                <w:lang w:val="it-IT"/>
              </w:rPr>
              <w:t>Savez</w:t>
            </w:r>
            <w:proofErr w:type="spellEnd"/>
            <w:r w:rsidRPr="00B30379">
              <w:rPr>
                <w:rFonts w:ascii="Cambria" w:eastAsia="Calibri" w:hAnsi="Cambria" w:cs="Calibri"/>
                <w:lang w:val="it-IT"/>
              </w:rPr>
              <w:t xml:space="preserve"> </w:t>
            </w:r>
            <w:proofErr w:type="spellStart"/>
            <w:r w:rsidRPr="00B30379">
              <w:rPr>
                <w:rFonts w:ascii="Cambria" w:eastAsia="Calibri" w:hAnsi="Cambria" w:cs="Calibri"/>
                <w:lang w:val="it-IT"/>
              </w:rPr>
              <w:t>školskih</w:t>
            </w:r>
            <w:proofErr w:type="spellEnd"/>
            <w:r w:rsidRPr="00B30379">
              <w:rPr>
                <w:rFonts w:ascii="Cambria" w:eastAsia="Calibri" w:hAnsi="Cambria" w:cs="Calibri"/>
                <w:lang w:val="it-IT"/>
              </w:rPr>
              <w:t xml:space="preserve"> </w:t>
            </w:r>
            <w:proofErr w:type="spellStart"/>
            <w:r w:rsidRPr="00B30379">
              <w:rPr>
                <w:rFonts w:ascii="Cambria" w:eastAsia="Calibri" w:hAnsi="Cambria" w:cs="Calibri"/>
                <w:lang w:val="it-IT"/>
              </w:rPr>
              <w:t>športskih</w:t>
            </w:r>
            <w:proofErr w:type="spellEnd"/>
            <w:r w:rsidRPr="00B30379">
              <w:rPr>
                <w:rFonts w:ascii="Cambria" w:eastAsia="Calibri" w:hAnsi="Cambria" w:cs="Calibri"/>
                <w:lang w:val="it-IT"/>
              </w:rPr>
              <w:t xml:space="preserve"> </w:t>
            </w:r>
            <w:proofErr w:type="spellStart"/>
            <w:r w:rsidRPr="00B30379">
              <w:rPr>
                <w:rFonts w:ascii="Cambria" w:eastAsia="Calibri" w:hAnsi="Cambria" w:cs="Calibri"/>
                <w:lang w:val="it-IT"/>
              </w:rPr>
              <w:t>društava</w:t>
            </w:r>
            <w:proofErr w:type="spellEnd"/>
            <w:r w:rsidRPr="00B30379">
              <w:rPr>
                <w:rFonts w:ascii="Cambria" w:eastAsia="Calibri" w:hAnsi="Cambria" w:cs="Calibri"/>
                <w:lang w:val="it-IT"/>
              </w:rPr>
              <w:t xml:space="preserve"> grada </w:t>
            </w:r>
            <w:proofErr w:type="spellStart"/>
            <w:r w:rsidRPr="00B30379">
              <w:rPr>
                <w:rFonts w:ascii="Cambria" w:eastAsia="Calibri" w:hAnsi="Cambria" w:cs="Calibri"/>
                <w:lang w:val="it-IT"/>
              </w:rPr>
              <w:t>Splita</w:t>
            </w:r>
            <w:proofErr w:type="spellEnd"/>
            <w:r w:rsidRPr="00B30379">
              <w:rPr>
                <w:rFonts w:ascii="Cambria" w:eastAsia="Calibri" w:hAnsi="Cambria" w:cs="Calibri"/>
                <w:lang w:val="it-IT"/>
              </w:rPr>
              <w:t>.</w:t>
            </w:r>
          </w:p>
          <w:p w14:paraId="04B79C10" w14:textId="77777777" w:rsidR="009138DB" w:rsidRPr="00B30379" w:rsidRDefault="009138DB" w:rsidP="009138DB">
            <w:pPr>
              <w:tabs>
                <w:tab w:val="left" w:pos="431"/>
              </w:tabs>
              <w:spacing w:after="0" w:line="240" w:lineRule="atLeast"/>
              <w:rPr>
                <w:rFonts w:ascii="Cambria" w:eastAsia="Calibri" w:hAnsi="Cambria" w:cs="Calibri"/>
                <w:lang w:val="it-IT"/>
              </w:rPr>
            </w:pPr>
            <w:r w:rsidRPr="00B30379">
              <w:rPr>
                <w:rFonts w:ascii="Cambria" w:eastAsia="Calibri" w:hAnsi="Cambria" w:cs="Calibri"/>
                <w:lang w:val="it-IT"/>
              </w:rPr>
              <w:t xml:space="preserve">3. </w:t>
            </w:r>
            <w:proofErr w:type="spellStart"/>
            <w:r w:rsidRPr="00B30379">
              <w:rPr>
                <w:rFonts w:ascii="Cambria" w:eastAsia="Calibri" w:hAnsi="Cambria" w:cs="Calibri"/>
                <w:lang w:val="it-IT"/>
              </w:rPr>
              <w:t>Prskalo</w:t>
            </w:r>
            <w:proofErr w:type="spellEnd"/>
            <w:r w:rsidRPr="00B30379">
              <w:rPr>
                <w:rFonts w:ascii="Cambria" w:eastAsia="Calibri" w:hAnsi="Cambria" w:cs="Calibri"/>
                <w:lang w:val="it-IT"/>
              </w:rPr>
              <w:t xml:space="preserve">, I. (2001). </w:t>
            </w:r>
            <w:proofErr w:type="spellStart"/>
            <w:r w:rsidRPr="00B30379">
              <w:rPr>
                <w:rFonts w:ascii="Cambria" w:eastAsia="Calibri" w:hAnsi="Cambria" w:cs="Calibri"/>
                <w:i/>
                <w:iCs/>
                <w:lang w:val="it-IT"/>
              </w:rPr>
              <w:t>Osnove</w:t>
            </w:r>
            <w:proofErr w:type="spellEnd"/>
            <w:r w:rsidRPr="00B30379">
              <w:rPr>
                <w:rFonts w:ascii="Cambria" w:eastAsia="Calibri" w:hAnsi="Cambria" w:cs="Calibri"/>
                <w:i/>
                <w:iCs/>
                <w:lang w:val="it-IT"/>
              </w:rPr>
              <w:t xml:space="preserve"> </w:t>
            </w:r>
            <w:proofErr w:type="spellStart"/>
            <w:r w:rsidRPr="00B30379">
              <w:rPr>
                <w:rFonts w:ascii="Cambria" w:eastAsia="Calibri" w:hAnsi="Cambria" w:cs="Calibri"/>
                <w:i/>
                <w:iCs/>
                <w:lang w:val="it-IT"/>
              </w:rPr>
              <w:t>kineziologije</w:t>
            </w:r>
            <w:proofErr w:type="spellEnd"/>
            <w:r w:rsidRPr="00B30379">
              <w:rPr>
                <w:rFonts w:ascii="Cambria" w:eastAsia="Calibri" w:hAnsi="Cambria" w:cs="Calibri"/>
                <w:lang w:val="it-IT"/>
              </w:rPr>
              <w:t xml:space="preserve">. </w:t>
            </w:r>
            <w:proofErr w:type="spellStart"/>
            <w:r w:rsidRPr="00B30379">
              <w:rPr>
                <w:rFonts w:ascii="Cambria" w:eastAsia="Calibri" w:hAnsi="Cambria" w:cs="Calibri"/>
                <w:lang w:val="it-IT"/>
              </w:rPr>
              <w:t>Petrinja</w:t>
            </w:r>
            <w:proofErr w:type="spellEnd"/>
            <w:r w:rsidRPr="00B30379">
              <w:rPr>
                <w:rFonts w:ascii="Cambria" w:eastAsia="Calibri" w:hAnsi="Cambria" w:cs="Calibri"/>
                <w:lang w:val="it-IT"/>
              </w:rPr>
              <w:t xml:space="preserve">: </w:t>
            </w:r>
            <w:proofErr w:type="spellStart"/>
            <w:r w:rsidRPr="00B30379">
              <w:rPr>
                <w:rFonts w:ascii="Cambria" w:eastAsia="Calibri" w:hAnsi="Cambria" w:cs="Calibri"/>
                <w:lang w:val="it-IT"/>
              </w:rPr>
              <w:t>Visoka</w:t>
            </w:r>
            <w:proofErr w:type="spellEnd"/>
            <w:r w:rsidRPr="00B30379">
              <w:rPr>
                <w:rFonts w:ascii="Cambria" w:eastAsia="Calibri" w:hAnsi="Cambria" w:cs="Calibri"/>
                <w:lang w:val="it-IT"/>
              </w:rPr>
              <w:t xml:space="preserve"> </w:t>
            </w:r>
            <w:proofErr w:type="spellStart"/>
            <w:r w:rsidRPr="00B30379">
              <w:rPr>
                <w:rFonts w:ascii="Cambria" w:eastAsia="Calibri" w:hAnsi="Cambria" w:cs="Calibri"/>
                <w:lang w:val="it-IT"/>
              </w:rPr>
              <w:t>učiteljska</w:t>
            </w:r>
            <w:proofErr w:type="spellEnd"/>
            <w:r w:rsidRPr="00B30379">
              <w:rPr>
                <w:rFonts w:ascii="Cambria" w:eastAsia="Calibri" w:hAnsi="Cambria" w:cs="Calibri"/>
                <w:lang w:val="it-IT"/>
              </w:rPr>
              <w:t xml:space="preserve"> </w:t>
            </w:r>
            <w:proofErr w:type="spellStart"/>
            <w:r w:rsidRPr="00B30379">
              <w:rPr>
                <w:rFonts w:ascii="Cambria" w:eastAsia="Calibri" w:hAnsi="Cambria" w:cs="Calibri"/>
                <w:lang w:val="it-IT"/>
              </w:rPr>
              <w:t>škola</w:t>
            </w:r>
            <w:proofErr w:type="spellEnd"/>
            <w:r w:rsidRPr="00B30379">
              <w:rPr>
                <w:rFonts w:ascii="Cambria" w:eastAsia="Calibri" w:hAnsi="Cambria" w:cs="Calibri"/>
                <w:lang w:val="it-IT"/>
              </w:rPr>
              <w:t xml:space="preserve"> u </w:t>
            </w:r>
            <w:proofErr w:type="spellStart"/>
            <w:r w:rsidRPr="00B30379">
              <w:rPr>
                <w:rFonts w:ascii="Cambria" w:eastAsia="Calibri" w:hAnsi="Cambria" w:cs="Calibri"/>
                <w:lang w:val="it-IT"/>
              </w:rPr>
              <w:t>Petrinji</w:t>
            </w:r>
            <w:proofErr w:type="spellEnd"/>
            <w:r w:rsidRPr="00B30379">
              <w:rPr>
                <w:rFonts w:ascii="Cambria" w:eastAsia="Calibri" w:hAnsi="Cambria" w:cs="Calibri"/>
                <w:lang w:val="it-IT"/>
              </w:rPr>
              <w:t>.</w:t>
            </w:r>
          </w:p>
          <w:p w14:paraId="12EAB75B" w14:textId="77777777" w:rsidR="009138DB" w:rsidRPr="002B1E8D" w:rsidRDefault="009138DB" w:rsidP="009138DB">
            <w:pPr>
              <w:tabs>
                <w:tab w:val="num" w:pos="147"/>
                <w:tab w:val="left" w:pos="431"/>
              </w:tabs>
              <w:spacing w:after="0" w:line="240" w:lineRule="atLeast"/>
              <w:rPr>
                <w:rFonts w:ascii="Cambria" w:eastAsia="Calibri" w:hAnsi="Cambria" w:cs="Calibri"/>
                <w:bCs/>
                <w:lang w:val="it-IT"/>
              </w:rPr>
            </w:pPr>
            <w:proofErr w:type="spellStart"/>
            <w:r w:rsidRPr="002B1E8D">
              <w:rPr>
                <w:rFonts w:ascii="Cambria" w:eastAsia="Calibri" w:hAnsi="Cambria" w:cs="Calibri"/>
                <w:bCs/>
                <w:lang w:val="it-IT"/>
              </w:rPr>
              <w:t>Priručna</w:t>
            </w:r>
            <w:proofErr w:type="spellEnd"/>
            <w:r w:rsidRPr="002B1E8D">
              <w:rPr>
                <w:rFonts w:ascii="Cambria" w:eastAsia="Calibri" w:hAnsi="Cambria" w:cs="Calibri"/>
                <w:bCs/>
                <w:lang w:val="it-IT"/>
              </w:rPr>
              <w:t xml:space="preserve"> </w:t>
            </w:r>
            <w:proofErr w:type="spellStart"/>
            <w:r w:rsidRPr="002B1E8D">
              <w:rPr>
                <w:rFonts w:ascii="Cambria" w:eastAsia="Calibri" w:hAnsi="Cambria" w:cs="Calibri"/>
                <w:bCs/>
                <w:lang w:val="it-IT"/>
              </w:rPr>
              <w:t>literatura</w:t>
            </w:r>
            <w:proofErr w:type="spellEnd"/>
            <w:r w:rsidRPr="002B1E8D">
              <w:rPr>
                <w:rFonts w:ascii="Cambria" w:eastAsia="Calibri" w:hAnsi="Cambria" w:cs="Calibri"/>
                <w:bCs/>
                <w:lang w:val="it-IT"/>
              </w:rPr>
              <w:t>:</w:t>
            </w:r>
          </w:p>
          <w:p w14:paraId="5188D19C" w14:textId="77777777" w:rsidR="009138DB" w:rsidRPr="00B30379" w:rsidRDefault="009138DB" w:rsidP="009138DB">
            <w:pPr>
              <w:tabs>
                <w:tab w:val="left" w:pos="431"/>
              </w:tabs>
              <w:spacing w:after="0" w:line="240" w:lineRule="atLeast"/>
              <w:rPr>
                <w:rFonts w:ascii="Cambria" w:eastAsia="Calibri" w:hAnsi="Cambria" w:cs="Calibri"/>
                <w:lang w:val="it-IT"/>
              </w:rPr>
            </w:pPr>
            <w:r w:rsidRPr="002B1E8D">
              <w:rPr>
                <w:rFonts w:ascii="Cambria" w:eastAsia="Calibri" w:hAnsi="Cambria" w:cs="Calibri"/>
                <w:lang w:val="it-IT"/>
              </w:rPr>
              <w:t>1.</w:t>
            </w:r>
            <w:r>
              <w:rPr>
                <w:rFonts w:ascii="Cambria" w:eastAsia="Calibri" w:hAnsi="Cambria" w:cs="Calibri"/>
                <w:lang w:val="it-IT"/>
              </w:rPr>
              <w:t xml:space="preserve"> </w:t>
            </w:r>
            <w:proofErr w:type="spellStart"/>
            <w:r w:rsidRPr="002B1E8D">
              <w:rPr>
                <w:rFonts w:ascii="Cambria" w:eastAsia="Calibri" w:hAnsi="Cambria" w:cs="Calibri"/>
                <w:lang w:val="it-IT"/>
              </w:rPr>
              <w:t>Findak</w:t>
            </w:r>
            <w:proofErr w:type="spellEnd"/>
            <w:r w:rsidRPr="002B1E8D">
              <w:rPr>
                <w:rFonts w:ascii="Cambria" w:eastAsia="Calibri" w:hAnsi="Cambria" w:cs="Calibri"/>
                <w:lang w:val="it-IT"/>
              </w:rPr>
              <w:t xml:space="preserve">, V., </w:t>
            </w:r>
            <w:proofErr w:type="spellStart"/>
            <w:r w:rsidRPr="002B1E8D">
              <w:rPr>
                <w:rFonts w:ascii="Cambria" w:eastAsia="Calibri" w:hAnsi="Cambria" w:cs="Calibri"/>
                <w:lang w:val="it-IT"/>
              </w:rPr>
              <w:t>Metikoš</w:t>
            </w:r>
            <w:proofErr w:type="spellEnd"/>
            <w:r w:rsidRPr="002B1E8D">
              <w:rPr>
                <w:rFonts w:ascii="Cambria" w:eastAsia="Calibri" w:hAnsi="Cambria" w:cs="Calibri"/>
                <w:lang w:val="it-IT"/>
              </w:rPr>
              <w:t xml:space="preserve">, D., </w:t>
            </w:r>
            <w:proofErr w:type="spellStart"/>
            <w:r w:rsidRPr="002B1E8D">
              <w:rPr>
                <w:rFonts w:ascii="Cambria" w:eastAsia="Calibri" w:hAnsi="Cambria" w:cs="Calibri"/>
                <w:lang w:val="it-IT"/>
              </w:rPr>
              <w:t>Mraković</w:t>
            </w:r>
            <w:proofErr w:type="spellEnd"/>
            <w:r w:rsidRPr="002B1E8D">
              <w:rPr>
                <w:rFonts w:ascii="Cambria" w:eastAsia="Calibri" w:hAnsi="Cambria" w:cs="Calibri"/>
                <w:lang w:val="it-IT"/>
              </w:rPr>
              <w:t xml:space="preserve">, M., &amp; </w:t>
            </w:r>
            <w:proofErr w:type="spellStart"/>
            <w:r w:rsidRPr="002B1E8D">
              <w:rPr>
                <w:rFonts w:ascii="Cambria" w:eastAsia="Calibri" w:hAnsi="Cambria" w:cs="Calibri"/>
                <w:lang w:val="it-IT"/>
              </w:rPr>
              <w:t>Neljak</w:t>
            </w:r>
            <w:proofErr w:type="spellEnd"/>
            <w:r w:rsidRPr="002B1E8D">
              <w:rPr>
                <w:rFonts w:ascii="Cambria" w:eastAsia="Calibri" w:hAnsi="Cambria" w:cs="Calibri"/>
                <w:lang w:val="it-IT"/>
              </w:rPr>
              <w:t xml:space="preserve">, B. (1996). </w:t>
            </w:r>
            <w:proofErr w:type="spellStart"/>
            <w:r w:rsidRPr="00B30379">
              <w:rPr>
                <w:rFonts w:ascii="Cambria" w:eastAsia="Calibri" w:hAnsi="Cambria" w:cs="Calibri"/>
                <w:i/>
                <w:iCs/>
                <w:lang w:val="it-IT"/>
              </w:rPr>
              <w:t>Primijenjena</w:t>
            </w:r>
            <w:proofErr w:type="spellEnd"/>
            <w:r w:rsidRPr="00B30379">
              <w:rPr>
                <w:rFonts w:ascii="Cambria" w:eastAsia="Calibri" w:hAnsi="Cambria" w:cs="Calibri"/>
                <w:i/>
                <w:iCs/>
                <w:lang w:val="it-IT"/>
              </w:rPr>
              <w:t xml:space="preserve"> </w:t>
            </w:r>
            <w:proofErr w:type="spellStart"/>
            <w:r w:rsidRPr="00B30379">
              <w:rPr>
                <w:rFonts w:ascii="Cambria" w:eastAsia="Calibri" w:hAnsi="Cambria" w:cs="Calibri"/>
                <w:i/>
                <w:iCs/>
                <w:lang w:val="it-IT"/>
              </w:rPr>
              <w:t>kineziologija</w:t>
            </w:r>
            <w:proofErr w:type="spellEnd"/>
            <w:r w:rsidRPr="00B30379">
              <w:rPr>
                <w:rFonts w:ascii="Cambria" w:eastAsia="Calibri" w:hAnsi="Cambria" w:cs="Calibri"/>
                <w:i/>
                <w:iCs/>
                <w:lang w:val="it-IT"/>
              </w:rPr>
              <w:t xml:space="preserve"> u </w:t>
            </w:r>
            <w:proofErr w:type="spellStart"/>
            <w:r w:rsidRPr="00B30379">
              <w:rPr>
                <w:rFonts w:ascii="Cambria" w:eastAsia="Calibri" w:hAnsi="Cambria" w:cs="Calibri"/>
                <w:i/>
                <w:iCs/>
                <w:lang w:val="it-IT"/>
              </w:rPr>
              <w:t>školstvu</w:t>
            </w:r>
            <w:proofErr w:type="spellEnd"/>
            <w:r w:rsidRPr="00B30379">
              <w:rPr>
                <w:rFonts w:ascii="Cambria" w:eastAsia="Calibri" w:hAnsi="Cambria" w:cs="Calibri"/>
                <w:i/>
                <w:iCs/>
                <w:lang w:val="it-IT"/>
              </w:rPr>
              <w:t>: Norme</w:t>
            </w:r>
            <w:r w:rsidRPr="00B30379">
              <w:rPr>
                <w:rFonts w:ascii="Cambria" w:eastAsia="Calibri" w:hAnsi="Cambria" w:cs="Calibri"/>
                <w:lang w:val="it-IT"/>
              </w:rPr>
              <w:t xml:space="preserve">. </w:t>
            </w:r>
            <w:proofErr w:type="spellStart"/>
            <w:r w:rsidRPr="00B30379">
              <w:rPr>
                <w:rFonts w:ascii="Cambria" w:eastAsia="Calibri" w:hAnsi="Cambria" w:cs="Calibri"/>
                <w:lang w:val="it-IT"/>
              </w:rPr>
              <w:t>Zagreb</w:t>
            </w:r>
            <w:proofErr w:type="spellEnd"/>
            <w:r w:rsidRPr="00B30379">
              <w:rPr>
                <w:rFonts w:ascii="Cambria" w:eastAsia="Calibri" w:hAnsi="Cambria" w:cs="Calibri"/>
                <w:lang w:val="it-IT"/>
              </w:rPr>
              <w:t xml:space="preserve">: </w:t>
            </w:r>
            <w:proofErr w:type="spellStart"/>
            <w:r w:rsidRPr="00B30379">
              <w:rPr>
                <w:rFonts w:ascii="Cambria" w:eastAsia="Calibri" w:hAnsi="Cambria" w:cs="Calibri"/>
                <w:lang w:val="it-IT"/>
              </w:rPr>
              <w:t>Hrvatski</w:t>
            </w:r>
            <w:proofErr w:type="spellEnd"/>
            <w:r w:rsidRPr="00B30379">
              <w:rPr>
                <w:rFonts w:ascii="Cambria" w:eastAsia="Calibri" w:hAnsi="Cambria" w:cs="Calibri"/>
                <w:lang w:val="it-IT"/>
              </w:rPr>
              <w:t xml:space="preserve"> </w:t>
            </w:r>
            <w:proofErr w:type="spellStart"/>
            <w:r w:rsidRPr="00B30379">
              <w:rPr>
                <w:rFonts w:ascii="Cambria" w:eastAsia="Calibri" w:hAnsi="Cambria" w:cs="Calibri"/>
                <w:lang w:val="it-IT"/>
              </w:rPr>
              <w:t>pedagoško-književni</w:t>
            </w:r>
            <w:proofErr w:type="spellEnd"/>
            <w:r w:rsidRPr="00B30379">
              <w:rPr>
                <w:rFonts w:ascii="Cambria" w:eastAsia="Calibri" w:hAnsi="Cambria" w:cs="Calibri"/>
                <w:lang w:val="it-IT"/>
              </w:rPr>
              <w:t xml:space="preserve"> </w:t>
            </w:r>
            <w:proofErr w:type="spellStart"/>
            <w:r w:rsidRPr="00B30379">
              <w:rPr>
                <w:rFonts w:ascii="Cambria" w:eastAsia="Calibri" w:hAnsi="Cambria" w:cs="Calibri"/>
                <w:lang w:val="it-IT"/>
              </w:rPr>
              <w:t>zbor</w:t>
            </w:r>
            <w:proofErr w:type="spellEnd"/>
            <w:r w:rsidRPr="00B30379">
              <w:rPr>
                <w:rFonts w:ascii="Cambria" w:eastAsia="Calibri" w:hAnsi="Cambria" w:cs="Calibri"/>
                <w:lang w:val="it-IT"/>
              </w:rPr>
              <w:t xml:space="preserve">, </w:t>
            </w:r>
            <w:proofErr w:type="spellStart"/>
            <w:r w:rsidRPr="00B30379">
              <w:rPr>
                <w:rFonts w:ascii="Cambria" w:eastAsia="Calibri" w:hAnsi="Cambria" w:cs="Calibri"/>
                <w:lang w:val="it-IT"/>
              </w:rPr>
              <w:t>Fakultet</w:t>
            </w:r>
            <w:proofErr w:type="spellEnd"/>
            <w:r w:rsidRPr="00B30379">
              <w:rPr>
                <w:rFonts w:ascii="Cambria" w:eastAsia="Calibri" w:hAnsi="Cambria" w:cs="Calibri"/>
                <w:lang w:val="it-IT"/>
              </w:rPr>
              <w:t xml:space="preserve"> za </w:t>
            </w:r>
            <w:proofErr w:type="spellStart"/>
            <w:r w:rsidRPr="00B30379">
              <w:rPr>
                <w:rFonts w:ascii="Cambria" w:eastAsia="Calibri" w:hAnsi="Cambria" w:cs="Calibri"/>
                <w:lang w:val="it-IT"/>
              </w:rPr>
              <w:t>fizičku</w:t>
            </w:r>
            <w:proofErr w:type="spellEnd"/>
            <w:r w:rsidRPr="00B30379">
              <w:rPr>
                <w:rFonts w:ascii="Cambria" w:eastAsia="Calibri" w:hAnsi="Cambria" w:cs="Calibri"/>
                <w:lang w:val="it-IT"/>
              </w:rPr>
              <w:t xml:space="preserve"> </w:t>
            </w:r>
            <w:proofErr w:type="spellStart"/>
            <w:r w:rsidRPr="00B30379">
              <w:rPr>
                <w:rFonts w:ascii="Cambria" w:eastAsia="Calibri" w:hAnsi="Cambria" w:cs="Calibri"/>
                <w:lang w:val="it-IT"/>
              </w:rPr>
              <w:t>kulturu</w:t>
            </w:r>
            <w:proofErr w:type="spellEnd"/>
            <w:r w:rsidRPr="00B30379">
              <w:rPr>
                <w:rFonts w:ascii="Cambria" w:eastAsia="Calibri" w:hAnsi="Cambria" w:cs="Calibri"/>
                <w:lang w:val="it-IT"/>
              </w:rPr>
              <w:t xml:space="preserve"> </w:t>
            </w:r>
            <w:proofErr w:type="spellStart"/>
            <w:r w:rsidRPr="00B30379">
              <w:rPr>
                <w:rFonts w:ascii="Cambria" w:eastAsia="Calibri" w:hAnsi="Cambria" w:cs="Calibri"/>
                <w:lang w:val="it-IT"/>
              </w:rPr>
              <w:t>Sveučilišta</w:t>
            </w:r>
            <w:proofErr w:type="spellEnd"/>
            <w:r w:rsidRPr="00B30379">
              <w:rPr>
                <w:rFonts w:ascii="Cambria" w:eastAsia="Calibri" w:hAnsi="Cambria" w:cs="Calibri"/>
                <w:lang w:val="it-IT"/>
              </w:rPr>
              <w:t xml:space="preserve"> u </w:t>
            </w:r>
            <w:proofErr w:type="spellStart"/>
            <w:r w:rsidRPr="00B30379">
              <w:rPr>
                <w:rFonts w:ascii="Cambria" w:eastAsia="Calibri" w:hAnsi="Cambria" w:cs="Calibri"/>
                <w:lang w:val="it-IT"/>
              </w:rPr>
              <w:t>Zagrebu</w:t>
            </w:r>
            <w:proofErr w:type="spellEnd"/>
            <w:r w:rsidRPr="00B30379">
              <w:rPr>
                <w:rFonts w:ascii="Cambria" w:eastAsia="Calibri" w:hAnsi="Cambria" w:cs="Calibri"/>
                <w:lang w:val="it-IT"/>
              </w:rPr>
              <w:t>.</w:t>
            </w:r>
          </w:p>
          <w:p w14:paraId="08DE2651" w14:textId="77777777" w:rsidR="009138DB" w:rsidRPr="00B30379" w:rsidRDefault="009138DB" w:rsidP="009138DB">
            <w:pPr>
              <w:tabs>
                <w:tab w:val="left" w:pos="431"/>
              </w:tabs>
              <w:spacing w:after="0" w:line="240" w:lineRule="atLeast"/>
              <w:rPr>
                <w:rFonts w:ascii="Cambria" w:eastAsia="Calibri" w:hAnsi="Cambria" w:cs="Calibri"/>
                <w:lang w:val="it-IT"/>
              </w:rPr>
            </w:pPr>
            <w:r w:rsidRPr="00B30379">
              <w:rPr>
                <w:rFonts w:ascii="Cambria" w:eastAsia="Calibri" w:hAnsi="Cambria" w:cs="Calibri"/>
                <w:lang w:val="it-IT"/>
              </w:rPr>
              <w:t xml:space="preserve">2. </w:t>
            </w:r>
            <w:proofErr w:type="spellStart"/>
            <w:r w:rsidRPr="00B30379">
              <w:rPr>
                <w:rFonts w:ascii="Cambria" w:eastAsia="Calibri" w:hAnsi="Cambria" w:cs="Calibri"/>
                <w:lang w:val="it-IT"/>
              </w:rPr>
              <w:t>Neljak</w:t>
            </w:r>
            <w:proofErr w:type="spellEnd"/>
            <w:r w:rsidRPr="00B30379">
              <w:rPr>
                <w:rFonts w:ascii="Cambria" w:eastAsia="Calibri" w:hAnsi="Cambria" w:cs="Calibri"/>
                <w:lang w:val="it-IT"/>
              </w:rPr>
              <w:t xml:space="preserve">, B., Novak, D., </w:t>
            </w:r>
            <w:proofErr w:type="spellStart"/>
            <w:r w:rsidRPr="00B30379">
              <w:rPr>
                <w:rFonts w:ascii="Cambria" w:eastAsia="Calibri" w:hAnsi="Cambria" w:cs="Calibri"/>
                <w:lang w:val="it-IT"/>
              </w:rPr>
              <w:t>Sporiš</w:t>
            </w:r>
            <w:proofErr w:type="spellEnd"/>
            <w:r w:rsidRPr="00B30379">
              <w:rPr>
                <w:rFonts w:ascii="Cambria" w:eastAsia="Calibri" w:hAnsi="Cambria" w:cs="Calibri"/>
                <w:lang w:val="it-IT"/>
              </w:rPr>
              <w:t xml:space="preserve">, G., &amp; </w:t>
            </w:r>
            <w:proofErr w:type="spellStart"/>
            <w:r w:rsidRPr="00B30379">
              <w:rPr>
                <w:rFonts w:ascii="Cambria" w:eastAsia="Calibri" w:hAnsi="Cambria" w:cs="Calibri"/>
                <w:lang w:val="it-IT"/>
              </w:rPr>
              <w:t>Višković</w:t>
            </w:r>
            <w:proofErr w:type="spellEnd"/>
            <w:r w:rsidRPr="00B30379">
              <w:rPr>
                <w:rFonts w:ascii="Cambria" w:eastAsia="Calibri" w:hAnsi="Cambria" w:cs="Calibri"/>
                <w:lang w:val="it-IT"/>
              </w:rPr>
              <w:t xml:space="preserve">, S. (2011). </w:t>
            </w:r>
            <w:proofErr w:type="spellStart"/>
            <w:r w:rsidRPr="00B30379">
              <w:rPr>
                <w:rFonts w:ascii="Cambria" w:eastAsia="Calibri" w:hAnsi="Cambria" w:cs="Calibri"/>
                <w:i/>
                <w:iCs/>
                <w:lang w:val="it-IT"/>
              </w:rPr>
              <w:t>Metodologija</w:t>
            </w:r>
            <w:proofErr w:type="spellEnd"/>
            <w:r w:rsidRPr="00B30379">
              <w:rPr>
                <w:rFonts w:ascii="Cambria" w:eastAsia="Calibri" w:hAnsi="Cambria" w:cs="Calibri"/>
                <w:i/>
                <w:iCs/>
                <w:lang w:val="it-IT"/>
              </w:rPr>
              <w:t xml:space="preserve"> </w:t>
            </w:r>
            <w:proofErr w:type="spellStart"/>
            <w:r w:rsidRPr="00B30379">
              <w:rPr>
                <w:rFonts w:ascii="Cambria" w:eastAsia="Calibri" w:hAnsi="Cambria" w:cs="Calibri"/>
                <w:i/>
                <w:iCs/>
                <w:lang w:val="it-IT"/>
              </w:rPr>
              <w:t>vrednovanja</w:t>
            </w:r>
            <w:proofErr w:type="spellEnd"/>
            <w:r w:rsidRPr="00B30379">
              <w:rPr>
                <w:rFonts w:ascii="Cambria" w:eastAsia="Calibri" w:hAnsi="Cambria" w:cs="Calibri"/>
                <w:i/>
                <w:iCs/>
                <w:lang w:val="it-IT"/>
              </w:rPr>
              <w:t xml:space="preserve"> </w:t>
            </w:r>
            <w:proofErr w:type="spellStart"/>
            <w:r w:rsidRPr="00B30379">
              <w:rPr>
                <w:rFonts w:ascii="Cambria" w:eastAsia="Calibri" w:hAnsi="Cambria" w:cs="Calibri"/>
                <w:i/>
                <w:iCs/>
                <w:lang w:val="it-IT"/>
              </w:rPr>
              <w:t>kinantropoloških</w:t>
            </w:r>
            <w:proofErr w:type="spellEnd"/>
            <w:r w:rsidRPr="00B30379">
              <w:rPr>
                <w:rFonts w:ascii="Cambria" w:eastAsia="Calibri" w:hAnsi="Cambria" w:cs="Calibri"/>
                <w:i/>
                <w:iCs/>
                <w:lang w:val="it-IT"/>
              </w:rPr>
              <w:t xml:space="preserve"> </w:t>
            </w:r>
            <w:proofErr w:type="spellStart"/>
            <w:r w:rsidRPr="00B30379">
              <w:rPr>
                <w:rFonts w:ascii="Cambria" w:eastAsia="Calibri" w:hAnsi="Cambria" w:cs="Calibri"/>
                <w:i/>
                <w:iCs/>
                <w:lang w:val="it-IT"/>
              </w:rPr>
              <w:t>obilježja</w:t>
            </w:r>
            <w:proofErr w:type="spellEnd"/>
            <w:r w:rsidRPr="00B30379">
              <w:rPr>
                <w:rFonts w:ascii="Cambria" w:eastAsia="Calibri" w:hAnsi="Cambria" w:cs="Calibri"/>
                <w:i/>
                <w:iCs/>
                <w:lang w:val="it-IT"/>
              </w:rPr>
              <w:t xml:space="preserve"> </w:t>
            </w:r>
            <w:proofErr w:type="spellStart"/>
            <w:r w:rsidRPr="00B30379">
              <w:rPr>
                <w:rFonts w:ascii="Cambria" w:eastAsia="Calibri" w:hAnsi="Cambria" w:cs="Calibri"/>
                <w:i/>
                <w:iCs/>
                <w:lang w:val="it-IT"/>
              </w:rPr>
              <w:t>učenika</w:t>
            </w:r>
            <w:proofErr w:type="spellEnd"/>
            <w:r w:rsidRPr="00B30379">
              <w:rPr>
                <w:rFonts w:ascii="Cambria" w:eastAsia="Calibri" w:hAnsi="Cambria" w:cs="Calibri"/>
                <w:i/>
                <w:iCs/>
                <w:lang w:val="it-IT"/>
              </w:rPr>
              <w:t xml:space="preserve"> u </w:t>
            </w:r>
            <w:proofErr w:type="spellStart"/>
            <w:r w:rsidRPr="00B30379">
              <w:rPr>
                <w:rFonts w:ascii="Cambria" w:eastAsia="Calibri" w:hAnsi="Cambria" w:cs="Calibri"/>
                <w:i/>
                <w:iCs/>
                <w:lang w:val="it-IT"/>
              </w:rPr>
              <w:t>tjelesnoj</w:t>
            </w:r>
            <w:proofErr w:type="spellEnd"/>
            <w:r w:rsidRPr="00B30379">
              <w:rPr>
                <w:rFonts w:ascii="Cambria" w:eastAsia="Calibri" w:hAnsi="Cambria" w:cs="Calibri"/>
                <w:i/>
                <w:iCs/>
                <w:lang w:val="it-IT"/>
              </w:rPr>
              <w:t xml:space="preserve"> i </w:t>
            </w:r>
            <w:proofErr w:type="spellStart"/>
            <w:r w:rsidRPr="00B30379">
              <w:rPr>
                <w:rFonts w:ascii="Cambria" w:eastAsia="Calibri" w:hAnsi="Cambria" w:cs="Calibri"/>
                <w:i/>
                <w:iCs/>
                <w:lang w:val="it-IT"/>
              </w:rPr>
              <w:t>zdravstvenoj</w:t>
            </w:r>
            <w:proofErr w:type="spellEnd"/>
            <w:r w:rsidRPr="00B30379">
              <w:rPr>
                <w:rFonts w:ascii="Cambria" w:eastAsia="Calibri" w:hAnsi="Cambria" w:cs="Calibri"/>
                <w:i/>
                <w:iCs/>
                <w:lang w:val="it-IT"/>
              </w:rPr>
              <w:t xml:space="preserve"> </w:t>
            </w:r>
            <w:proofErr w:type="spellStart"/>
            <w:r w:rsidRPr="00B30379">
              <w:rPr>
                <w:rFonts w:ascii="Cambria" w:eastAsia="Calibri" w:hAnsi="Cambria" w:cs="Calibri"/>
                <w:i/>
                <w:iCs/>
                <w:lang w:val="it-IT"/>
              </w:rPr>
              <w:t>kulturi</w:t>
            </w:r>
            <w:proofErr w:type="spellEnd"/>
            <w:r w:rsidRPr="00B30379">
              <w:rPr>
                <w:rFonts w:ascii="Cambria" w:eastAsia="Calibri" w:hAnsi="Cambria" w:cs="Calibri"/>
                <w:i/>
                <w:iCs/>
                <w:lang w:val="it-IT"/>
              </w:rPr>
              <w:t xml:space="preserve">: </w:t>
            </w:r>
            <w:proofErr w:type="spellStart"/>
            <w:r w:rsidRPr="00B30379">
              <w:rPr>
                <w:rFonts w:ascii="Cambria" w:eastAsia="Calibri" w:hAnsi="Cambria" w:cs="Calibri"/>
                <w:i/>
                <w:iCs/>
                <w:lang w:val="it-IT"/>
              </w:rPr>
              <w:t>Crofit</w:t>
            </w:r>
            <w:proofErr w:type="spellEnd"/>
            <w:r w:rsidRPr="00B30379">
              <w:rPr>
                <w:rFonts w:ascii="Cambria" w:eastAsia="Calibri" w:hAnsi="Cambria" w:cs="Calibri"/>
                <w:i/>
                <w:iCs/>
                <w:lang w:val="it-IT"/>
              </w:rPr>
              <w:t xml:space="preserve"> norme</w:t>
            </w:r>
            <w:r w:rsidRPr="00B30379">
              <w:rPr>
                <w:rFonts w:ascii="Cambria" w:eastAsia="Calibri" w:hAnsi="Cambria" w:cs="Calibri"/>
                <w:lang w:val="it-IT"/>
              </w:rPr>
              <w:t xml:space="preserve">. </w:t>
            </w:r>
            <w:proofErr w:type="spellStart"/>
            <w:r w:rsidRPr="00B30379">
              <w:rPr>
                <w:rFonts w:ascii="Cambria" w:eastAsia="Calibri" w:hAnsi="Cambria" w:cs="Calibri"/>
                <w:lang w:val="it-IT"/>
              </w:rPr>
              <w:t>Zagreb</w:t>
            </w:r>
            <w:proofErr w:type="spellEnd"/>
            <w:r w:rsidRPr="00B30379">
              <w:rPr>
                <w:rFonts w:ascii="Cambria" w:eastAsia="Calibri" w:hAnsi="Cambria" w:cs="Calibri"/>
                <w:lang w:val="it-IT"/>
              </w:rPr>
              <w:t xml:space="preserve">: </w:t>
            </w:r>
            <w:proofErr w:type="spellStart"/>
            <w:r w:rsidRPr="00B30379">
              <w:rPr>
                <w:rFonts w:ascii="Cambria" w:eastAsia="Calibri" w:hAnsi="Cambria" w:cs="Calibri"/>
                <w:lang w:val="it-IT"/>
              </w:rPr>
              <w:t>Kineziološki</w:t>
            </w:r>
            <w:proofErr w:type="spellEnd"/>
            <w:r w:rsidRPr="00B30379">
              <w:rPr>
                <w:rFonts w:ascii="Cambria" w:eastAsia="Calibri" w:hAnsi="Cambria" w:cs="Calibri"/>
                <w:lang w:val="it-IT"/>
              </w:rPr>
              <w:t xml:space="preserve"> </w:t>
            </w:r>
            <w:proofErr w:type="spellStart"/>
            <w:r w:rsidRPr="00B30379">
              <w:rPr>
                <w:rFonts w:ascii="Cambria" w:eastAsia="Calibri" w:hAnsi="Cambria" w:cs="Calibri"/>
                <w:lang w:val="it-IT"/>
              </w:rPr>
              <w:t>fakultet</w:t>
            </w:r>
            <w:proofErr w:type="spellEnd"/>
            <w:r w:rsidRPr="00B30379">
              <w:rPr>
                <w:rFonts w:ascii="Cambria" w:eastAsia="Calibri" w:hAnsi="Cambria" w:cs="Calibri"/>
                <w:lang w:val="it-IT"/>
              </w:rPr>
              <w:t xml:space="preserve"> </w:t>
            </w:r>
            <w:proofErr w:type="spellStart"/>
            <w:r w:rsidRPr="00B30379">
              <w:rPr>
                <w:rFonts w:ascii="Cambria" w:eastAsia="Calibri" w:hAnsi="Cambria" w:cs="Calibri"/>
                <w:lang w:val="it-IT"/>
              </w:rPr>
              <w:t>Sveučilišta</w:t>
            </w:r>
            <w:proofErr w:type="spellEnd"/>
            <w:r w:rsidRPr="00B30379">
              <w:rPr>
                <w:rFonts w:ascii="Cambria" w:eastAsia="Calibri" w:hAnsi="Cambria" w:cs="Calibri"/>
                <w:lang w:val="it-IT"/>
              </w:rPr>
              <w:t xml:space="preserve"> u </w:t>
            </w:r>
            <w:proofErr w:type="spellStart"/>
            <w:r w:rsidRPr="00B30379">
              <w:rPr>
                <w:rFonts w:ascii="Cambria" w:eastAsia="Calibri" w:hAnsi="Cambria" w:cs="Calibri"/>
                <w:lang w:val="it-IT"/>
              </w:rPr>
              <w:t>Zagrebu</w:t>
            </w:r>
            <w:proofErr w:type="spellEnd"/>
            <w:r w:rsidRPr="00B30379">
              <w:rPr>
                <w:rFonts w:ascii="Cambria" w:eastAsia="Calibri" w:hAnsi="Cambria" w:cs="Calibri"/>
                <w:lang w:val="it-IT"/>
              </w:rPr>
              <w:t>.</w:t>
            </w:r>
          </w:p>
          <w:p w14:paraId="4D70A055" w14:textId="77777777" w:rsidR="009138DB" w:rsidRPr="00B30379" w:rsidRDefault="009138DB" w:rsidP="009138DB">
            <w:pPr>
              <w:tabs>
                <w:tab w:val="left" w:pos="431"/>
              </w:tabs>
              <w:spacing w:after="0" w:line="240" w:lineRule="atLeast"/>
              <w:rPr>
                <w:rFonts w:ascii="Cambria" w:eastAsia="Calibri" w:hAnsi="Cambria" w:cs="Calibri"/>
                <w:lang w:val="it-IT"/>
              </w:rPr>
            </w:pPr>
            <w:r w:rsidRPr="00B30379">
              <w:rPr>
                <w:rFonts w:ascii="Cambria" w:eastAsia="Calibri" w:hAnsi="Cambria" w:cs="Calibri"/>
                <w:iCs/>
                <w:lang w:val="it-IT"/>
              </w:rPr>
              <w:t xml:space="preserve">3. </w:t>
            </w:r>
            <w:proofErr w:type="spellStart"/>
            <w:r w:rsidRPr="00B30379">
              <w:rPr>
                <w:rFonts w:ascii="Cambria" w:eastAsia="Calibri" w:hAnsi="Cambria" w:cs="Calibri"/>
                <w:i/>
                <w:iCs/>
                <w:lang w:val="it-IT"/>
              </w:rPr>
              <w:t>Kinesiology</w:t>
            </w:r>
            <w:proofErr w:type="spellEnd"/>
            <w:r w:rsidRPr="00B30379">
              <w:rPr>
                <w:rFonts w:ascii="Cambria" w:eastAsia="Calibri" w:hAnsi="Cambria" w:cs="Calibri"/>
                <w:lang w:val="it-IT"/>
              </w:rPr>
              <w:t xml:space="preserve">. </w:t>
            </w:r>
            <w:proofErr w:type="spellStart"/>
            <w:r w:rsidRPr="00B30379">
              <w:rPr>
                <w:rFonts w:ascii="Cambria" w:eastAsia="Calibri" w:hAnsi="Cambria" w:cs="Calibri"/>
                <w:lang w:val="it-IT"/>
              </w:rPr>
              <w:t>Zagreb</w:t>
            </w:r>
            <w:proofErr w:type="spellEnd"/>
            <w:r w:rsidRPr="00B30379">
              <w:rPr>
                <w:rFonts w:ascii="Cambria" w:eastAsia="Calibri" w:hAnsi="Cambria" w:cs="Calibri"/>
                <w:lang w:val="it-IT"/>
              </w:rPr>
              <w:t xml:space="preserve">: </w:t>
            </w:r>
            <w:proofErr w:type="spellStart"/>
            <w:r w:rsidRPr="00B30379">
              <w:rPr>
                <w:rFonts w:ascii="Cambria" w:eastAsia="Calibri" w:hAnsi="Cambria" w:cs="Calibri"/>
                <w:lang w:val="it-IT"/>
              </w:rPr>
              <w:t>Kineziološki</w:t>
            </w:r>
            <w:proofErr w:type="spellEnd"/>
            <w:r w:rsidRPr="00B30379">
              <w:rPr>
                <w:rFonts w:ascii="Cambria" w:eastAsia="Calibri" w:hAnsi="Cambria" w:cs="Calibri"/>
                <w:lang w:val="it-IT"/>
              </w:rPr>
              <w:t xml:space="preserve"> </w:t>
            </w:r>
            <w:proofErr w:type="spellStart"/>
            <w:r w:rsidRPr="00B30379">
              <w:rPr>
                <w:rFonts w:ascii="Cambria" w:eastAsia="Calibri" w:hAnsi="Cambria" w:cs="Calibri"/>
                <w:lang w:val="it-IT"/>
              </w:rPr>
              <w:t>fakultet</w:t>
            </w:r>
            <w:proofErr w:type="spellEnd"/>
            <w:r w:rsidRPr="00B30379">
              <w:rPr>
                <w:rFonts w:ascii="Cambria" w:eastAsia="Calibri" w:hAnsi="Cambria" w:cs="Calibri"/>
                <w:lang w:val="it-IT"/>
              </w:rPr>
              <w:t xml:space="preserve"> </w:t>
            </w:r>
            <w:proofErr w:type="spellStart"/>
            <w:r w:rsidRPr="00B30379">
              <w:rPr>
                <w:rFonts w:ascii="Cambria" w:eastAsia="Calibri" w:hAnsi="Cambria" w:cs="Calibri"/>
                <w:lang w:val="it-IT"/>
              </w:rPr>
              <w:t>Sveučilišta</w:t>
            </w:r>
            <w:proofErr w:type="spellEnd"/>
            <w:r w:rsidRPr="00B30379">
              <w:rPr>
                <w:rFonts w:ascii="Cambria" w:eastAsia="Calibri" w:hAnsi="Cambria" w:cs="Calibri"/>
                <w:lang w:val="it-IT"/>
              </w:rPr>
              <w:t xml:space="preserve"> u </w:t>
            </w:r>
            <w:proofErr w:type="spellStart"/>
            <w:r w:rsidRPr="00B30379">
              <w:rPr>
                <w:rFonts w:ascii="Cambria" w:eastAsia="Calibri" w:hAnsi="Cambria" w:cs="Calibri"/>
                <w:lang w:val="it-IT"/>
              </w:rPr>
              <w:t>Zagrebu</w:t>
            </w:r>
            <w:proofErr w:type="spellEnd"/>
            <w:r w:rsidRPr="00B30379">
              <w:rPr>
                <w:rFonts w:ascii="Cambria" w:eastAsia="Calibri" w:hAnsi="Cambria" w:cs="Calibri"/>
                <w:lang w:val="it-IT"/>
              </w:rPr>
              <w:t>.</w:t>
            </w:r>
          </w:p>
          <w:p w14:paraId="74C3AB7A" w14:textId="77777777" w:rsidR="009138DB" w:rsidRPr="002B1E8D" w:rsidRDefault="009138DB" w:rsidP="009138DB">
            <w:pPr>
              <w:tabs>
                <w:tab w:val="left" w:pos="431"/>
              </w:tabs>
              <w:spacing w:after="0" w:line="240" w:lineRule="atLeast"/>
              <w:rPr>
                <w:rFonts w:ascii="Cambria" w:eastAsia="Calibri" w:hAnsi="Cambria" w:cs="Calibri"/>
                <w:lang w:val="it-IT"/>
              </w:rPr>
            </w:pPr>
            <w:r w:rsidRPr="002B1E8D">
              <w:rPr>
                <w:rFonts w:ascii="Cambria" w:eastAsia="Calibri" w:hAnsi="Cambria" w:cs="Calibri"/>
                <w:iCs/>
                <w:lang w:val="it-IT"/>
              </w:rPr>
              <w:t xml:space="preserve">4. </w:t>
            </w:r>
            <w:proofErr w:type="spellStart"/>
            <w:r w:rsidRPr="00886793">
              <w:rPr>
                <w:rFonts w:ascii="Cambria" w:eastAsia="Calibri" w:hAnsi="Cambria" w:cs="Calibri"/>
                <w:i/>
                <w:iCs/>
                <w:lang w:val="it-IT"/>
              </w:rPr>
              <w:t>Kinesiologica</w:t>
            </w:r>
            <w:proofErr w:type="spellEnd"/>
            <w:r w:rsidRPr="00886793">
              <w:rPr>
                <w:rFonts w:ascii="Cambria" w:eastAsia="Calibri" w:hAnsi="Cambria" w:cs="Calibri"/>
                <w:i/>
                <w:iCs/>
                <w:lang w:val="it-IT"/>
              </w:rPr>
              <w:t xml:space="preserve"> </w:t>
            </w:r>
            <w:proofErr w:type="spellStart"/>
            <w:r w:rsidRPr="00886793">
              <w:rPr>
                <w:rFonts w:ascii="Cambria" w:eastAsia="Calibri" w:hAnsi="Cambria" w:cs="Calibri"/>
                <w:i/>
                <w:iCs/>
                <w:lang w:val="it-IT"/>
              </w:rPr>
              <w:t>Slovenica</w:t>
            </w:r>
            <w:proofErr w:type="spellEnd"/>
            <w:r w:rsidRPr="00886793">
              <w:rPr>
                <w:rFonts w:ascii="Cambria" w:eastAsia="Calibri" w:hAnsi="Cambria" w:cs="Calibri"/>
                <w:lang w:val="it-IT"/>
              </w:rPr>
              <w:t xml:space="preserve">. </w:t>
            </w:r>
            <w:proofErr w:type="spellStart"/>
            <w:r w:rsidRPr="00886793">
              <w:rPr>
                <w:rFonts w:ascii="Cambria" w:eastAsia="Calibri" w:hAnsi="Cambria" w:cs="Calibri"/>
                <w:lang w:val="it-IT"/>
              </w:rPr>
              <w:t>Ljubljana</w:t>
            </w:r>
            <w:proofErr w:type="spellEnd"/>
            <w:r w:rsidRPr="00886793">
              <w:rPr>
                <w:rFonts w:ascii="Cambria" w:eastAsia="Calibri" w:hAnsi="Cambria" w:cs="Calibri"/>
                <w:lang w:val="it-IT"/>
              </w:rPr>
              <w:t xml:space="preserve">: </w:t>
            </w:r>
            <w:proofErr w:type="spellStart"/>
            <w:r w:rsidRPr="00886793">
              <w:rPr>
                <w:rFonts w:ascii="Cambria" w:eastAsia="Calibri" w:hAnsi="Cambria" w:cs="Calibri"/>
                <w:lang w:val="it-IT"/>
              </w:rPr>
              <w:t>Fakulteta</w:t>
            </w:r>
            <w:proofErr w:type="spellEnd"/>
            <w:r w:rsidRPr="00886793">
              <w:rPr>
                <w:rFonts w:ascii="Cambria" w:eastAsia="Calibri" w:hAnsi="Cambria" w:cs="Calibri"/>
                <w:lang w:val="it-IT"/>
              </w:rPr>
              <w:t xml:space="preserve"> za </w:t>
            </w:r>
            <w:proofErr w:type="spellStart"/>
            <w:r w:rsidRPr="00886793">
              <w:rPr>
                <w:rFonts w:ascii="Cambria" w:eastAsia="Calibri" w:hAnsi="Cambria" w:cs="Calibri"/>
                <w:lang w:val="it-IT"/>
              </w:rPr>
              <w:t>šport</w:t>
            </w:r>
            <w:proofErr w:type="spellEnd"/>
            <w:r w:rsidRPr="00886793">
              <w:rPr>
                <w:rFonts w:ascii="Cambria" w:eastAsia="Calibri" w:hAnsi="Cambria" w:cs="Calibri"/>
                <w:lang w:val="it-IT"/>
              </w:rPr>
              <w:t xml:space="preserve"> </w:t>
            </w:r>
            <w:proofErr w:type="spellStart"/>
            <w:r w:rsidRPr="00886793">
              <w:rPr>
                <w:rFonts w:ascii="Cambria" w:eastAsia="Calibri" w:hAnsi="Cambria" w:cs="Calibri"/>
                <w:lang w:val="it-IT"/>
              </w:rPr>
              <w:t>Univerze</w:t>
            </w:r>
            <w:proofErr w:type="spellEnd"/>
            <w:r w:rsidRPr="00886793">
              <w:rPr>
                <w:rFonts w:ascii="Cambria" w:eastAsia="Calibri" w:hAnsi="Cambria" w:cs="Calibri"/>
                <w:lang w:val="it-IT"/>
              </w:rPr>
              <w:t xml:space="preserve"> v </w:t>
            </w:r>
            <w:proofErr w:type="spellStart"/>
            <w:r w:rsidRPr="00886793">
              <w:rPr>
                <w:rFonts w:ascii="Cambria" w:eastAsia="Calibri" w:hAnsi="Cambria" w:cs="Calibri"/>
                <w:lang w:val="it-IT"/>
              </w:rPr>
              <w:t>Ljubljani</w:t>
            </w:r>
            <w:proofErr w:type="spellEnd"/>
            <w:r w:rsidRPr="00886793">
              <w:rPr>
                <w:rFonts w:ascii="Cambria" w:eastAsia="Calibri" w:hAnsi="Cambria" w:cs="Calibri"/>
                <w:lang w:val="it-IT"/>
              </w:rPr>
              <w:t>.</w:t>
            </w:r>
          </w:p>
          <w:p w14:paraId="119655EB" w14:textId="77777777" w:rsidR="009138DB" w:rsidRPr="002B1E8D" w:rsidRDefault="009138DB" w:rsidP="009138DB">
            <w:pPr>
              <w:tabs>
                <w:tab w:val="left" w:pos="431"/>
              </w:tabs>
              <w:spacing w:after="0" w:line="240" w:lineRule="atLeast"/>
              <w:rPr>
                <w:rFonts w:ascii="Cambria" w:eastAsia="Calibri" w:hAnsi="Cambria" w:cs="Calibri"/>
                <w:lang w:val="it-IT"/>
              </w:rPr>
            </w:pPr>
            <w:r>
              <w:rPr>
                <w:rFonts w:ascii="Cambria" w:eastAsia="Calibri" w:hAnsi="Cambria" w:cs="Calibri"/>
                <w:iCs/>
                <w:lang w:val="it-IT"/>
              </w:rPr>
              <w:t xml:space="preserve">4. </w:t>
            </w:r>
            <w:proofErr w:type="spellStart"/>
            <w:r w:rsidRPr="00886793">
              <w:rPr>
                <w:rFonts w:ascii="Cambria" w:eastAsia="Calibri" w:hAnsi="Cambria" w:cs="Calibri"/>
                <w:i/>
                <w:iCs/>
                <w:lang w:val="it-IT"/>
              </w:rPr>
              <w:t>Zbornici</w:t>
            </w:r>
            <w:proofErr w:type="spellEnd"/>
            <w:r w:rsidRPr="00886793">
              <w:rPr>
                <w:rFonts w:ascii="Cambria" w:eastAsia="Calibri" w:hAnsi="Cambria" w:cs="Calibri"/>
                <w:i/>
                <w:iCs/>
                <w:lang w:val="it-IT"/>
              </w:rPr>
              <w:t xml:space="preserve"> </w:t>
            </w:r>
            <w:proofErr w:type="spellStart"/>
            <w:r w:rsidRPr="00886793">
              <w:rPr>
                <w:rFonts w:ascii="Cambria" w:eastAsia="Calibri" w:hAnsi="Cambria" w:cs="Calibri"/>
                <w:i/>
                <w:iCs/>
                <w:lang w:val="it-IT"/>
              </w:rPr>
              <w:t>radova</w:t>
            </w:r>
            <w:proofErr w:type="spellEnd"/>
            <w:r w:rsidRPr="00886793">
              <w:rPr>
                <w:rFonts w:ascii="Cambria" w:eastAsia="Calibri" w:hAnsi="Cambria" w:cs="Calibri"/>
                <w:i/>
                <w:iCs/>
                <w:lang w:val="it-IT"/>
              </w:rPr>
              <w:t xml:space="preserve"> </w:t>
            </w:r>
            <w:proofErr w:type="spellStart"/>
            <w:r w:rsidRPr="00886793">
              <w:rPr>
                <w:rFonts w:ascii="Cambria" w:eastAsia="Calibri" w:hAnsi="Cambria" w:cs="Calibri"/>
                <w:i/>
                <w:iCs/>
                <w:lang w:val="it-IT"/>
              </w:rPr>
              <w:t>Ljetnih</w:t>
            </w:r>
            <w:proofErr w:type="spellEnd"/>
            <w:r w:rsidRPr="00886793">
              <w:rPr>
                <w:rFonts w:ascii="Cambria" w:eastAsia="Calibri" w:hAnsi="Cambria" w:cs="Calibri"/>
                <w:i/>
                <w:iCs/>
                <w:lang w:val="it-IT"/>
              </w:rPr>
              <w:t xml:space="preserve"> </w:t>
            </w:r>
            <w:proofErr w:type="spellStart"/>
            <w:r w:rsidRPr="00886793">
              <w:rPr>
                <w:rFonts w:ascii="Cambria" w:eastAsia="Calibri" w:hAnsi="Cambria" w:cs="Calibri"/>
                <w:i/>
                <w:iCs/>
                <w:lang w:val="it-IT"/>
              </w:rPr>
              <w:t>škola</w:t>
            </w:r>
            <w:proofErr w:type="spellEnd"/>
            <w:r w:rsidRPr="00886793">
              <w:rPr>
                <w:rFonts w:ascii="Cambria" w:eastAsia="Calibri" w:hAnsi="Cambria" w:cs="Calibri"/>
                <w:i/>
                <w:iCs/>
                <w:lang w:val="it-IT"/>
              </w:rPr>
              <w:t xml:space="preserve"> </w:t>
            </w:r>
            <w:proofErr w:type="spellStart"/>
            <w:r w:rsidRPr="00886793">
              <w:rPr>
                <w:rFonts w:ascii="Cambria" w:eastAsia="Calibri" w:hAnsi="Cambria" w:cs="Calibri"/>
                <w:i/>
                <w:iCs/>
                <w:lang w:val="it-IT"/>
              </w:rPr>
              <w:t>kineziologa</w:t>
            </w:r>
            <w:proofErr w:type="spellEnd"/>
            <w:r w:rsidRPr="00886793">
              <w:rPr>
                <w:rFonts w:ascii="Cambria" w:eastAsia="Calibri" w:hAnsi="Cambria" w:cs="Calibri"/>
                <w:i/>
                <w:iCs/>
                <w:lang w:val="it-IT"/>
              </w:rPr>
              <w:t xml:space="preserve"> </w:t>
            </w:r>
            <w:proofErr w:type="spellStart"/>
            <w:r w:rsidRPr="00886793">
              <w:rPr>
                <w:rFonts w:ascii="Cambria" w:eastAsia="Calibri" w:hAnsi="Cambria" w:cs="Calibri"/>
                <w:i/>
                <w:iCs/>
                <w:lang w:val="it-IT"/>
              </w:rPr>
              <w:t>Republike</w:t>
            </w:r>
            <w:proofErr w:type="spellEnd"/>
            <w:r w:rsidRPr="00886793">
              <w:rPr>
                <w:rFonts w:ascii="Cambria" w:eastAsia="Calibri" w:hAnsi="Cambria" w:cs="Calibri"/>
                <w:i/>
                <w:iCs/>
                <w:lang w:val="it-IT"/>
              </w:rPr>
              <w:t xml:space="preserve"> </w:t>
            </w:r>
            <w:proofErr w:type="spellStart"/>
            <w:r w:rsidRPr="00886793">
              <w:rPr>
                <w:rFonts w:ascii="Cambria" w:eastAsia="Calibri" w:hAnsi="Cambria" w:cs="Calibri"/>
                <w:i/>
                <w:iCs/>
                <w:lang w:val="it-IT"/>
              </w:rPr>
              <w:t>Hrvatske</w:t>
            </w:r>
            <w:proofErr w:type="spellEnd"/>
            <w:r w:rsidRPr="00886793">
              <w:rPr>
                <w:rFonts w:ascii="Cambria" w:eastAsia="Calibri" w:hAnsi="Cambria" w:cs="Calibri"/>
                <w:lang w:val="it-IT"/>
              </w:rPr>
              <w:t>.</w:t>
            </w:r>
          </w:p>
        </w:tc>
      </w:tr>
    </w:tbl>
    <w:p w14:paraId="4FB08EC7" w14:textId="7B4FA19C" w:rsidR="009138DB" w:rsidRDefault="009138DB" w:rsidP="009138DB">
      <w:pPr>
        <w:rPr>
          <w:lang w:val="it-IT"/>
        </w:rPr>
      </w:pPr>
    </w:p>
    <w:p w14:paraId="38F7CED0" w14:textId="77777777" w:rsidR="009138DB" w:rsidRDefault="009138DB">
      <w:pPr>
        <w:rPr>
          <w:lang w:val="it-IT"/>
        </w:rPr>
      </w:pPr>
      <w:r>
        <w:rPr>
          <w:lang w:val="it-IT"/>
        </w:rPr>
        <w:br w:type="page"/>
      </w:r>
    </w:p>
    <w:p w14:paraId="6A52889B" w14:textId="77777777" w:rsidR="009138DB" w:rsidRPr="00886793" w:rsidRDefault="009138DB" w:rsidP="009138DB">
      <w:pPr>
        <w:rPr>
          <w:lang w:val="it-IT"/>
        </w:rPr>
      </w:pPr>
    </w:p>
    <w:tbl>
      <w:tblPr>
        <w:tblW w:w="5000" w:type="pct"/>
        <w:tblLayout w:type="fixed"/>
        <w:tblCellMar>
          <w:left w:w="0" w:type="dxa"/>
          <w:right w:w="0" w:type="dxa"/>
        </w:tblCellMar>
        <w:tblLook w:val="0000" w:firstRow="0" w:lastRow="0" w:firstColumn="0" w:lastColumn="0" w:noHBand="0" w:noVBand="0"/>
      </w:tblPr>
      <w:tblGrid>
        <w:gridCol w:w="2275"/>
        <w:gridCol w:w="3195"/>
        <w:gridCol w:w="105"/>
        <w:gridCol w:w="1171"/>
        <w:gridCol w:w="300"/>
        <w:gridCol w:w="472"/>
        <w:gridCol w:w="1087"/>
        <w:gridCol w:w="1415"/>
      </w:tblGrid>
      <w:tr w:rsidR="00FA72B4" w:rsidRPr="005C2363" w14:paraId="4FA1757D" w14:textId="77777777" w:rsidTr="00FA72B4">
        <w:tc>
          <w:tcPr>
            <w:tcW w:w="9052"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075BB5B" w14:textId="77777777" w:rsidR="00FA72B4" w:rsidRPr="005C2363" w:rsidRDefault="00FA72B4" w:rsidP="00FA72B4">
            <w:pPr>
              <w:spacing w:after="0" w:line="240" w:lineRule="auto"/>
              <w:jc w:val="right"/>
              <w:rPr>
                <w:rFonts w:ascii="Cambria" w:eastAsia="Times New Roman" w:hAnsi="Cambria" w:cs="Calibri"/>
                <w:b/>
                <w:lang w:val="hr-HR"/>
              </w:rPr>
            </w:pPr>
            <w:r w:rsidRPr="005C2363">
              <w:rPr>
                <w:rFonts w:ascii="Cambria" w:eastAsia="Times New Roman" w:hAnsi="Cambria" w:cs="Calibri"/>
                <w:b/>
                <w:lang w:val="hr-HR"/>
              </w:rPr>
              <w:t>IZVEDBENI PLAN NASTAVE KOLEGIJA</w:t>
            </w:r>
          </w:p>
        </w:tc>
      </w:tr>
      <w:tr w:rsidR="00FA72B4" w:rsidRPr="005C2363" w14:paraId="65B2AD16" w14:textId="77777777" w:rsidTr="00FA72B4">
        <w:tc>
          <w:tcPr>
            <w:tcW w:w="205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02517AD" w14:textId="77777777" w:rsidR="00FA72B4" w:rsidRPr="005C2363" w:rsidRDefault="00FA72B4" w:rsidP="00FA72B4">
            <w:pPr>
              <w:spacing w:after="0" w:line="240" w:lineRule="auto"/>
              <w:rPr>
                <w:rFonts w:ascii="Cambria" w:eastAsia="Times New Roman" w:hAnsi="Cambria" w:cs="Calibri"/>
                <w:lang w:val="hr-HR"/>
              </w:rPr>
            </w:pPr>
            <w:r w:rsidRPr="005C2363">
              <w:rPr>
                <w:rFonts w:ascii="Cambria" w:eastAsia="Times New Roman" w:hAnsi="Cambria" w:cs="Calibri"/>
                <w:lang w:val="hr-HR"/>
              </w:rPr>
              <w:t>Kod i naziv kolegija</w:t>
            </w:r>
          </w:p>
        </w:tc>
        <w:tc>
          <w:tcPr>
            <w:tcW w:w="699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D5A210C" w14:textId="0D171DF8" w:rsidR="00FA72B4" w:rsidRPr="009138DB" w:rsidRDefault="00FA72B4" w:rsidP="00FA72B4">
            <w:pPr>
              <w:shd w:val="clear" w:color="auto" w:fill="FFFFFF"/>
              <w:suppressAutoHyphens/>
              <w:snapToGrid w:val="0"/>
              <w:spacing w:after="0" w:line="240" w:lineRule="auto"/>
              <w:jc w:val="both"/>
              <w:outlineLvl w:val="2"/>
              <w:rPr>
                <w:rFonts w:ascii="Cambria" w:eastAsia="Times New Roman" w:hAnsi="Cambria" w:cs="Calibri"/>
                <w:lang w:val="hr-HR" w:eastAsia="hr-HR"/>
              </w:rPr>
            </w:pPr>
            <w:r w:rsidRPr="00DF4CE5">
              <w:rPr>
                <w:rFonts w:ascii="Cambria" w:eastAsia="Times New Roman" w:hAnsi="Cambria" w:cs="Calibri"/>
                <w:lang w:val="hr-HR" w:eastAsia="hr-HR"/>
              </w:rPr>
              <w:t xml:space="preserve"> </w:t>
            </w:r>
            <w:r w:rsidRPr="00DF4CE5">
              <w:rPr>
                <w:rFonts w:ascii="Cambria" w:eastAsia="Times New Roman" w:hAnsi="Cambria" w:cs="Calibri"/>
                <w:bCs/>
                <w:lang w:val="hr-HR" w:eastAsia="hr-HR"/>
              </w:rPr>
              <w:t xml:space="preserve">Likovna kultura </w:t>
            </w:r>
          </w:p>
        </w:tc>
      </w:tr>
      <w:tr w:rsidR="00FA72B4" w:rsidRPr="005C2363" w14:paraId="39A41D0B" w14:textId="77777777" w:rsidTr="00FA72B4">
        <w:tc>
          <w:tcPr>
            <w:tcW w:w="205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FEEF07C" w14:textId="0841A1E8" w:rsidR="00FA72B4" w:rsidRPr="005C2363" w:rsidRDefault="00FA72B4" w:rsidP="00FA72B4">
            <w:pPr>
              <w:spacing w:after="0" w:line="240" w:lineRule="auto"/>
              <w:rPr>
                <w:rFonts w:ascii="Cambria" w:eastAsia="Times New Roman" w:hAnsi="Cambria" w:cs="Calibri"/>
                <w:lang w:val="hr-HR"/>
              </w:rPr>
            </w:pPr>
            <w:r w:rsidRPr="005C2363">
              <w:rPr>
                <w:rFonts w:ascii="Cambria" w:eastAsia="Times New Roman" w:hAnsi="Cambria" w:cs="Calibri"/>
                <w:lang w:val="hr-HR"/>
              </w:rPr>
              <w:t xml:space="preserve">Nastavnica </w:t>
            </w:r>
          </w:p>
        </w:tc>
        <w:tc>
          <w:tcPr>
            <w:tcW w:w="699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C8C9E5C" w14:textId="77777777" w:rsidR="00FA72B4" w:rsidRPr="00DF4CE5" w:rsidRDefault="00FA72B4" w:rsidP="00FA72B4">
            <w:pPr>
              <w:snapToGrid w:val="0"/>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 </w:t>
            </w:r>
            <w:hyperlink r:id="rId94" w:history="1">
              <w:proofErr w:type="spellStart"/>
              <w:r>
                <w:rPr>
                  <w:rStyle w:val="Hiperveza"/>
                  <w:rFonts w:ascii="Cambria" w:hAnsi="Cambria" w:cs="Times New Roman"/>
                  <w:lang w:val="en-GB"/>
                </w:rPr>
                <w:t>I</w:t>
              </w:r>
              <w:r w:rsidRPr="00DF4CE5">
                <w:rPr>
                  <w:rStyle w:val="Hiperveza"/>
                  <w:rFonts w:ascii="Cambria" w:hAnsi="Cambria" w:cs="Times New Roman"/>
                  <w:lang w:val="en-GB"/>
                </w:rPr>
                <w:t>zv</w:t>
              </w:r>
              <w:proofErr w:type="spellEnd"/>
              <w:r w:rsidRPr="00DF4CE5">
                <w:rPr>
                  <w:rStyle w:val="Hiperveza"/>
                  <w:rFonts w:ascii="Cambria" w:hAnsi="Cambria" w:cs="Times New Roman"/>
                  <w:lang w:val="en-GB"/>
                </w:rPr>
                <w:t xml:space="preserve">. prof. </w:t>
              </w:r>
              <w:r>
                <w:rPr>
                  <w:rStyle w:val="Hiperveza"/>
                  <w:rFonts w:ascii="Cambria" w:hAnsi="Cambria" w:cs="Times New Roman"/>
                  <w:lang w:val="en-GB"/>
                </w:rPr>
                <w:t xml:space="preserve">art. </w:t>
              </w:r>
              <w:r w:rsidRPr="00DF4CE5">
                <w:rPr>
                  <w:rStyle w:val="Hiperveza"/>
                  <w:rFonts w:ascii="Cambria" w:hAnsi="Cambria" w:cs="Times New Roman"/>
                  <w:lang w:val="it-IT"/>
                </w:rPr>
                <w:t>Aleksandra Rotar</w:t>
              </w:r>
            </w:hyperlink>
            <w:r w:rsidRPr="00DF4CE5">
              <w:rPr>
                <w:rFonts w:ascii="Cambria" w:eastAsia="Times New Roman" w:hAnsi="Cambria" w:cs="Calibri"/>
                <w:lang w:val="hr-HR"/>
              </w:rPr>
              <w:t xml:space="preserve"> (nositeljica)</w:t>
            </w:r>
          </w:p>
        </w:tc>
      </w:tr>
      <w:tr w:rsidR="00FA72B4" w:rsidRPr="00D0399C" w14:paraId="38CFE155" w14:textId="77777777" w:rsidTr="00FA72B4">
        <w:tc>
          <w:tcPr>
            <w:tcW w:w="205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7FAFEF1" w14:textId="77777777" w:rsidR="00FA72B4" w:rsidRPr="005C2363" w:rsidRDefault="00FA72B4" w:rsidP="00FA72B4">
            <w:pPr>
              <w:spacing w:after="0" w:line="240" w:lineRule="auto"/>
              <w:rPr>
                <w:rFonts w:ascii="Cambria" w:eastAsia="Times New Roman" w:hAnsi="Cambria" w:cs="Calibri"/>
                <w:lang w:val="hr-HR"/>
              </w:rPr>
            </w:pPr>
            <w:r w:rsidRPr="005C2363">
              <w:rPr>
                <w:rFonts w:ascii="Cambria" w:eastAsia="Times New Roman" w:hAnsi="Cambria" w:cs="Calibri"/>
                <w:lang w:val="hr-HR"/>
              </w:rPr>
              <w:t>Studijski program</w:t>
            </w:r>
          </w:p>
        </w:tc>
        <w:tc>
          <w:tcPr>
            <w:tcW w:w="699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3135C7D" w14:textId="77777777" w:rsidR="00FA72B4" w:rsidRPr="00DF4CE5" w:rsidRDefault="00FA72B4" w:rsidP="00FA72B4">
            <w:pPr>
              <w:snapToGrid w:val="0"/>
              <w:spacing w:after="0" w:line="240" w:lineRule="auto"/>
              <w:jc w:val="both"/>
              <w:rPr>
                <w:rFonts w:ascii="Cambria" w:eastAsia="Times New Roman" w:hAnsi="Cambria" w:cs="Calibri"/>
                <w:lang w:val="hr-HR"/>
              </w:rPr>
            </w:pPr>
            <w:r w:rsidRPr="00DF4CE5">
              <w:rPr>
                <w:rFonts w:ascii="Cambria" w:hAnsi="Cambria"/>
                <w:lang w:val="hr-HR"/>
              </w:rPr>
              <w:t>Sveučilišni integrirani prijediplomski i diplomski Učiteljski studij na hrvatskom jeziku</w:t>
            </w:r>
          </w:p>
        </w:tc>
      </w:tr>
      <w:tr w:rsidR="00FA72B4" w:rsidRPr="005C2363" w14:paraId="562CC72F" w14:textId="77777777" w:rsidTr="00FA72B4">
        <w:tc>
          <w:tcPr>
            <w:tcW w:w="205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A043D04" w14:textId="77777777" w:rsidR="00FA72B4" w:rsidRPr="005C2363" w:rsidRDefault="00FA72B4" w:rsidP="00FA72B4">
            <w:pPr>
              <w:spacing w:after="0" w:line="240" w:lineRule="auto"/>
              <w:rPr>
                <w:rFonts w:ascii="Cambria" w:eastAsia="Times New Roman" w:hAnsi="Cambria" w:cs="Calibri"/>
                <w:lang w:val="hr-HR"/>
              </w:rPr>
            </w:pPr>
            <w:r w:rsidRPr="005C2363">
              <w:rPr>
                <w:rFonts w:ascii="Cambria" w:eastAsia="Times New Roman" w:hAnsi="Cambria" w:cs="Calibri"/>
                <w:lang w:val="hr-HR"/>
              </w:rPr>
              <w:t>Vrsta kolegija</w:t>
            </w:r>
          </w:p>
        </w:tc>
        <w:tc>
          <w:tcPr>
            <w:tcW w:w="2886" w:type="dxa"/>
            <w:tcBorders>
              <w:top w:val="single" w:sz="8" w:space="0" w:color="000000"/>
              <w:left w:val="single" w:sz="8" w:space="0" w:color="000000"/>
              <w:bottom w:val="single" w:sz="8" w:space="0" w:color="000000"/>
            </w:tcBorders>
            <w:tcMar>
              <w:top w:w="72" w:type="dxa"/>
              <w:left w:w="144" w:type="dxa"/>
              <w:bottom w:w="72" w:type="dxa"/>
              <w:right w:w="144" w:type="dxa"/>
            </w:tcMar>
            <w:vAlign w:val="center"/>
          </w:tcPr>
          <w:p w14:paraId="2FA592B4" w14:textId="1315963E" w:rsidR="00FA72B4" w:rsidRPr="00DF4CE5" w:rsidRDefault="00FA72B4" w:rsidP="00FA72B4">
            <w:pPr>
              <w:snapToGrid w:val="0"/>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 </w:t>
            </w:r>
            <w:r w:rsidR="009138DB">
              <w:rPr>
                <w:rFonts w:ascii="Cambria" w:eastAsia="Times New Roman" w:hAnsi="Cambria" w:cs="Calibri"/>
                <w:lang w:val="hr-HR"/>
              </w:rPr>
              <w:t>o</w:t>
            </w:r>
            <w:r w:rsidRPr="00DF4CE5">
              <w:rPr>
                <w:rFonts w:ascii="Cambria" w:eastAsia="Times New Roman" w:hAnsi="Cambria" w:cs="Calibri"/>
                <w:lang w:val="hr-HR"/>
              </w:rPr>
              <w:t>bavezni</w:t>
            </w:r>
          </w:p>
        </w:tc>
        <w:tc>
          <w:tcPr>
            <w:tcW w:w="1424"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7DF9CB78" w14:textId="77777777" w:rsidR="00FA72B4" w:rsidRPr="005C2363" w:rsidRDefault="00FA72B4" w:rsidP="00FA72B4">
            <w:pPr>
              <w:spacing w:after="0" w:line="240" w:lineRule="auto"/>
              <w:rPr>
                <w:rFonts w:ascii="Cambria" w:eastAsia="Times New Roman" w:hAnsi="Cambria" w:cs="Calibri"/>
                <w:lang w:val="hr-HR"/>
              </w:rPr>
            </w:pPr>
            <w:r w:rsidRPr="005C2363">
              <w:rPr>
                <w:rFonts w:ascii="Cambria" w:eastAsia="Times New Roman" w:hAnsi="Cambria" w:cs="Calibri"/>
                <w:lang w:val="hr-HR"/>
              </w:rPr>
              <w:t>Razina kolegija</w:t>
            </w:r>
          </w:p>
        </w:tc>
        <w:tc>
          <w:tcPr>
            <w:tcW w:w="2686"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2FFB0C1" w14:textId="77777777" w:rsidR="00FA72B4" w:rsidRPr="00DF4CE5" w:rsidRDefault="00FA72B4" w:rsidP="00FA72B4">
            <w:pPr>
              <w:snapToGrid w:val="0"/>
              <w:spacing w:after="0" w:line="240" w:lineRule="auto"/>
              <w:jc w:val="both"/>
              <w:rPr>
                <w:rFonts w:ascii="Cambria" w:eastAsia="Times New Roman" w:hAnsi="Cambria" w:cs="Calibri"/>
                <w:lang w:val="it-IT"/>
              </w:rPr>
            </w:pPr>
            <w:r w:rsidRPr="00DF4CE5">
              <w:rPr>
                <w:rFonts w:ascii="Cambria" w:eastAsia="Times New Roman" w:hAnsi="Cambria" w:cs="Calibri"/>
              </w:rPr>
              <w:t xml:space="preserve"> </w:t>
            </w:r>
            <w:proofErr w:type="spellStart"/>
            <w:r w:rsidRPr="00DF4CE5">
              <w:rPr>
                <w:rFonts w:ascii="Cambria" w:eastAsia="Times New Roman" w:hAnsi="Cambria" w:cs="Calibri"/>
              </w:rPr>
              <w:t>integrirani</w:t>
            </w:r>
            <w:proofErr w:type="spellEnd"/>
          </w:p>
        </w:tc>
      </w:tr>
      <w:tr w:rsidR="00FA72B4" w:rsidRPr="005C2363" w14:paraId="2CB88BBF" w14:textId="77777777" w:rsidTr="00FA72B4">
        <w:tc>
          <w:tcPr>
            <w:tcW w:w="205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EE245A5" w14:textId="77777777" w:rsidR="00FA72B4" w:rsidRPr="005C2363" w:rsidRDefault="00FA72B4" w:rsidP="00FA72B4">
            <w:pPr>
              <w:spacing w:after="0" w:line="240" w:lineRule="auto"/>
              <w:rPr>
                <w:rFonts w:ascii="Cambria" w:eastAsia="Times New Roman" w:hAnsi="Cambria" w:cs="Calibri"/>
                <w:lang w:val="hr-HR"/>
              </w:rPr>
            </w:pPr>
            <w:r w:rsidRPr="005C2363">
              <w:rPr>
                <w:rFonts w:ascii="Cambria" w:eastAsia="Times New Roman" w:hAnsi="Cambria" w:cs="Calibri"/>
                <w:lang w:val="hr-HR"/>
              </w:rPr>
              <w:t>Semestar</w:t>
            </w:r>
          </w:p>
        </w:tc>
        <w:tc>
          <w:tcPr>
            <w:tcW w:w="2886" w:type="dxa"/>
            <w:tcBorders>
              <w:top w:val="single" w:sz="8" w:space="0" w:color="000000"/>
              <w:left w:val="single" w:sz="8" w:space="0" w:color="000000"/>
              <w:bottom w:val="single" w:sz="8" w:space="0" w:color="000000"/>
            </w:tcBorders>
            <w:tcMar>
              <w:top w:w="72" w:type="dxa"/>
              <w:left w:w="144" w:type="dxa"/>
              <w:bottom w:w="72" w:type="dxa"/>
              <w:right w:w="144" w:type="dxa"/>
            </w:tcMar>
            <w:vAlign w:val="center"/>
          </w:tcPr>
          <w:p w14:paraId="1996902E" w14:textId="60CFFBDA" w:rsidR="00FA72B4" w:rsidRPr="00DF4CE5" w:rsidRDefault="00FA72B4" w:rsidP="00FA72B4">
            <w:pPr>
              <w:snapToGrid w:val="0"/>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 </w:t>
            </w:r>
            <w:r w:rsidR="009138DB">
              <w:rPr>
                <w:rFonts w:ascii="Cambria" w:eastAsia="Times New Roman" w:hAnsi="Cambria" w:cs="Calibri"/>
                <w:lang w:val="hr-HR"/>
              </w:rPr>
              <w:t>z</w:t>
            </w:r>
            <w:r w:rsidRPr="00DF4CE5">
              <w:rPr>
                <w:rFonts w:ascii="Cambria" w:eastAsia="Times New Roman" w:hAnsi="Cambria" w:cs="Calibri"/>
                <w:lang w:val="hr-HR"/>
              </w:rPr>
              <w:t>imski</w:t>
            </w:r>
          </w:p>
        </w:tc>
        <w:tc>
          <w:tcPr>
            <w:tcW w:w="1424"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4025E1E5" w14:textId="77777777" w:rsidR="00FA72B4" w:rsidRPr="005C2363" w:rsidRDefault="00FA72B4" w:rsidP="00FA72B4">
            <w:pPr>
              <w:spacing w:after="0" w:line="240" w:lineRule="auto"/>
              <w:rPr>
                <w:rFonts w:ascii="Cambria" w:eastAsia="Times New Roman" w:hAnsi="Cambria" w:cs="Calibri"/>
                <w:lang w:val="hr-HR"/>
              </w:rPr>
            </w:pPr>
            <w:r w:rsidRPr="005C2363">
              <w:rPr>
                <w:rFonts w:ascii="Cambria" w:eastAsia="Times New Roman" w:hAnsi="Cambria" w:cs="Calibri"/>
                <w:lang w:val="hr-HR"/>
              </w:rPr>
              <w:t>Godina studija</w:t>
            </w:r>
          </w:p>
        </w:tc>
        <w:tc>
          <w:tcPr>
            <w:tcW w:w="2686"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857D5FA" w14:textId="77777777" w:rsidR="00FA72B4" w:rsidRPr="00DF4CE5" w:rsidRDefault="00FA72B4" w:rsidP="00FA72B4">
            <w:pPr>
              <w:snapToGrid w:val="0"/>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 III.</w:t>
            </w:r>
          </w:p>
        </w:tc>
      </w:tr>
      <w:tr w:rsidR="00FA72B4" w:rsidRPr="005C2363" w14:paraId="0C6E1C42" w14:textId="77777777" w:rsidTr="00FA72B4">
        <w:tc>
          <w:tcPr>
            <w:tcW w:w="205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ED5F381" w14:textId="77777777" w:rsidR="00FA72B4" w:rsidRPr="005C2363" w:rsidRDefault="00FA72B4" w:rsidP="00FA72B4">
            <w:pPr>
              <w:spacing w:after="0" w:line="240" w:lineRule="auto"/>
              <w:rPr>
                <w:rFonts w:ascii="Cambria" w:eastAsia="Times New Roman" w:hAnsi="Cambria" w:cs="Calibri"/>
                <w:lang w:val="hr-HR"/>
              </w:rPr>
            </w:pPr>
            <w:r w:rsidRPr="005C2363">
              <w:rPr>
                <w:rFonts w:ascii="Cambria" w:eastAsia="Times New Roman" w:hAnsi="Cambria" w:cs="Calibri"/>
                <w:lang w:val="hr-HR"/>
              </w:rPr>
              <w:t>Mjesto izvođenja</w:t>
            </w:r>
          </w:p>
        </w:tc>
        <w:tc>
          <w:tcPr>
            <w:tcW w:w="2886" w:type="dxa"/>
            <w:tcBorders>
              <w:top w:val="single" w:sz="8" w:space="0" w:color="000000"/>
              <w:left w:val="single" w:sz="8" w:space="0" w:color="000000"/>
              <w:bottom w:val="single" w:sz="8" w:space="0" w:color="000000"/>
            </w:tcBorders>
            <w:tcMar>
              <w:top w:w="72" w:type="dxa"/>
              <w:left w:w="144" w:type="dxa"/>
              <w:bottom w:w="72" w:type="dxa"/>
              <w:right w:w="144" w:type="dxa"/>
            </w:tcMar>
            <w:vAlign w:val="center"/>
          </w:tcPr>
          <w:p w14:paraId="30EB82E4" w14:textId="573E15B3" w:rsidR="00FA72B4" w:rsidRPr="00DF4CE5" w:rsidRDefault="00FA72B4" w:rsidP="00FA72B4">
            <w:pPr>
              <w:snapToGrid w:val="0"/>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 </w:t>
            </w:r>
            <w:r w:rsidR="009138DB">
              <w:rPr>
                <w:rFonts w:ascii="Cambria" w:eastAsia="Times New Roman" w:hAnsi="Cambria" w:cs="Calibri"/>
                <w:lang w:val="hr-HR"/>
              </w:rPr>
              <w:t>učionica</w:t>
            </w:r>
            <w:r w:rsidRPr="00DF4CE5">
              <w:rPr>
                <w:rFonts w:ascii="Cambria" w:eastAsia="Times New Roman" w:hAnsi="Cambria" w:cs="Calibri"/>
                <w:lang w:val="hr-HR"/>
              </w:rPr>
              <w:t xml:space="preserve"> </w:t>
            </w:r>
          </w:p>
          <w:p w14:paraId="5609354D" w14:textId="77777777" w:rsidR="00FA72B4" w:rsidRPr="00DF4CE5" w:rsidRDefault="00FA72B4" w:rsidP="00FA72B4">
            <w:pPr>
              <w:spacing w:after="0" w:line="240" w:lineRule="auto"/>
              <w:jc w:val="both"/>
              <w:rPr>
                <w:rFonts w:ascii="Cambria" w:eastAsia="Times New Roman" w:hAnsi="Cambria" w:cs="Calibri"/>
                <w:lang w:val="hr-HR"/>
              </w:rPr>
            </w:pPr>
          </w:p>
        </w:tc>
        <w:tc>
          <w:tcPr>
            <w:tcW w:w="1424"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3A4EA7F6" w14:textId="77777777" w:rsidR="00FA72B4" w:rsidRPr="005C2363" w:rsidRDefault="00FA72B4" w:rsidP="00FA72B4">
            <w:pPr>
              <w:spacing w:after="0" w:line="240" w:lineRule="auto"/>
              <w:rPr>
                <w:rFonts w:ascii="Cambria" w:eastAsia="Times New Roman" w:hAnsi="Cambria" w:cs="Calibri"/>
                <w:lang w:val="hr-HR"/>
              </w:rPr>
            </w:pPr>
            <w:r w:rsidRPr="005C2363">
              <w:rPr>
                <w:rFonts w:ascii="Cambria" w:eastAsia="Times New Roman" w:hAnsi="Cambria" w:cs="Calibri"/>
                <w:lang w:val="hr-HR"/>
              </w:rPr>
              <w:t xml:space="preserve">Jezik izvođenja </w:t>
            </w:r>
          </w:p>
        </w:tc>
        <w:tc>
          <w:tcPr>
            <w:tcW w:w="2686"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68E4BCD" w14:textId="77777777" w:rsidR="00FA72B4" w:rsidRPr="00DF4CE5" w:rsidRDefault="00FA72B4" w:rsidP="00FA72B4">
            <w:pPr>
              <w:snapToGrid w:val="0"/>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 hrvatski </w:t>
            </w:r>
          </w:p>
          <w:p w14:paraId="4BFEE398" w14:textId="77777777" w:rsidR="00FA72B4" w:rsidRPr="00DF4CE5" w:rsidRDefault="00FA72B4" w:rsidP="00FA72B4">
            <w:pPr>
              <w:spacing w:after="0" w:line="240" w:lineRule="auto"/>
              <w:jc w:val="both"/>
              <w:rPr>
                <w:rFonts w:ascii="Cambria" w:eastAsia="Times New Roman" w:hAnsi="Cambria" w:cs="Calibri"/>
                <w:lang w:val="hr-HR"/>
              </w:rPr>
            </w:pPr>
          </w:p>
        </w:tc>
      </w:tr>
      <w:tr w:rsidR="00FA72B4" w:rsidRPr="005C2363" w14:paraId="26CA4B8B" w14:textId="77777777" w:rsidTr="00FA72B4">
        <w:tc>
          <w:tcPr>
            <w:tcW w:w="205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73EC1E0" w14:textId="77777777" w:rsidR="00FA72B4" w:rsidRPr="005C2363" w:rsidRDefault="00FA72B4" w:rsidP="00FA72B4">
            <w:pPr>
              <w:spacing w:after="0" w:line="240" w:lineRule="auto"/>
              <w:rPr>
                <w:rFonts w:ascii="Cambria" w:eastAsia="Times New Roman" w:hAnsi="Cambria" w:cs="Calibri"/>
                <w:lang w:val="hr-HR"/>
              </w:rPr>
            </w:pPr>
            <w:r w:rsidRPr="005C2363">
              <w:rPr>
                <w:rFonts w:ascii="Cambria" w:eastAsia="Times New Roman" w:hAnsi="Cambria" w:cs="Calibri"/>
                <w:lang w:val="hr-HR"/>
              </w:rPr>
              <w:t>Broj ECTS bodova</w:t>
            </w:r>
          </w:p>
        </w:tc>
        <w:tc>
          <w:tcPr>
            <w:tcW w:w="2886" w:type="dxa"/>
            <w:tcBorders>
              <w:top w:val="single" w:sz="8" w:space="0" w:color="000000"/>
              <w:left w:val="single" w:sz="8" w:space="0" w:color="000000"/>
              <w:bottom w:val="single" w:sz="8" w:space="0" w:color="000000"/>
            </w:tcBorders>
            <w:tcMar>
              <w:top w:w="72" w:type="dxa"/>
              <w:left w:w="144" w:type="dxa"/>
              <w:bottom w:w="72" w:type="dxa"/>
              <w:right w:w="144" w:type="dxa"/>
            </w:tcMar>
            <w:vAlign w:val="center"/>
          </w:tcPr>
          <w:p w14:paraId="3DA0AD87" w14:textId="5EF9F151" w:rsidR="00FA72B4" w:rsidRPr="00DF4CE5" w:rsidRDefault="00FA72B4" w:rsidP="00FA72B4">
            <w:pPr>
              <w:snapToGrid w:val="0"/>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 </w:t>
            </w:r>
            <w:r w:rsidR="009138DB">
              <w:rPr>
                <w:rFonts w:ascii="Cambria" w:eastAsia="Times New Roman" w:hAnsi="Cambria" w:cs="Calibri"/>
                <w:lang w:val="hr-HR"/>
              </w:rPr>
              <w:t>5</w:t>
            </w:r>
          </w:p>
        </w:tc>
        <w:tc>
          <w:tcPr>
            <w:tcW w:w="1424"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582DF752" w14:textId="77777777" w:rsidR="00FA72B4" w:rsidRPr="005C2363" w:rsidRDefault="00FA72B4" w:rsidP="00FA72B4">
            <w:pPr>
              <w:spacing w:after="0" w:line="240" w:lineRule="auto"/>
              <w:rPr>
                <w:rFonts w:ascii="Cambria" w:eastAsia="Times New Roman" w:hAnsi="Cambria" w:cs="Calibri"/>
                <w:lang w:val="hr-HR"/>
              </w:rPr>
            </w:pPr>
            <w:r w:rsidRPr="005C2363">
              <w:rPr>
                <w:rFonts w:ascii="Cambria" w:eastAsia="Times New Roman" w:hAnsi="Cambria" w:cs="Calibri"/>
                <w:lang w:val="hr-HR"/>
              </w:rPr>
              <w:t>Broj sati u semestru</w:t>
            </w:r>
          </w:p>
        </w:tc>
        <w:tc>
          <w:tcPr>
            <w:tcW w:w="2686"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675F87A" w14:textId="5B4519CF" w:rsidR="00FA72B4" w:rsidRPr="00DF4CE5" w:rsidRDefault="00FA72B4" w:rsidP="00FA72B4">
            <w:pPr>
              <w:snapToGrid w:val="0"/>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 30P – 0S – </w:t>
            </w:r>
            <w:r w:rsidR="009138DB">
              <w:rPr>
                <w:rFonts w:ascii="Cambria" w:eastAsia="Times New Roman" w:hAnsi="Cambria" w:cs="Calibri"/>
                <w:lang w:val="hr-HR"/>
              </w:rPr>
              <w:t>30</w:t>
            </w:r>
            <w:r w:rsidRPr="00DF4CE5">
              <w:rPr>
                <w:rFonts w:ascii="Cambria" w:eastAsia="Times New Roman" w:hAnsi="Cambria" w:cs="Calibri"/>
                <w:lang w:val="hr-HR"/>
              </w:rPr>
              <w:t xml:space="preserve">V   </w:t>
            </w:r>
          </w:p>
        </w:tc>
      </w:tr>
      <w:tr w:rsidR="00FA72B4" w:rsidRPr="005C2363" w14:paraId="5CCA7F55" w14:textId="77777777" w:rsidTr="00FA72B4">
        <w:tc>
          <w:tcPr>
            <w:tcW w:w="205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9C0EAA3" w14:textId="77777777" w:rsidR="00FA72B4" w:rsidRPr="005C2363" w:rsidRDefault="00FA72B4" w:rsidP="00FA72B4">
            <w:pPr>
              <w:spacing w:after="0" w:line="240" w:lineRule="auto"/>
              <w:rPr>
                <w:rFonts w:ascii="Cambria" w:eastAsia="Times New Roman" w:hAnsi="Cambria" w:cs="Calibri"/>
                <w:lang w:val="hr-HR"/>
              </w:rPr>
            </w:pPr>
            <w:r w:rsidRPr="005C2363">
              <w:rPr>
                <w:rFonts w:ascii="Cambria" w:eastAsia="Times New Roman" w:hAnsi="Cambria" w:cs="Calibri"/>
                <w:lang w:val="hr-HR"/>
              </w:rPr>
              <w:t>Preduvjeti za upis i za svladavanje</w:t>
            </w:r>
          </w:p>
        </w:tc>
        <w:tc>
          <w:tcPr>
            <w:tcW w:w="699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8F65292" w14:textId="77777777" w:rsidR="00FA72B4" w:rsidRPr="00DF4CE5" w:rsidRDefault="00FA72B4" w:rsidP="00FA72B4">
            <w:pPr>
              <w:snapToGrid w:val="0"/>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 Nema preduvjeta za upis.</w:t>
            </w:r>
          </w:p>
        </w:tc>
      </w:tr>
      <w:tr w:rsidR="00FA72B4" w:rsidRPr="00D0399C" w14:paraId="7B556CFD" w14:textId="77777777" w:rsidTr="00FA72B4">
        <w:tc>
          <w:tcPr>
            <w:tcW w:w="205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F83C6FB" w14:textId="77777777" w:rsidR="00FA72B4" w:rsidRPr="005C2363" w:rsidRDefault="00FA72B4" w:rsidP="00FA72B4">
            <w:pPr>
              <w:spacing w:after="0" w:line="240" w:lineRule="auto"/>
              <w:rPr>
                <w:rFonts w:ascii="Cambria" w:eastAsia="Times New Roman" w:hAnsi="Cambria" w:cs="Calibri"/>
                <w:lang w:val="hr-HR"/>
              </w:rPr>
            </w:pPr>
            <w:proofErr w:type="spellStart"/>
            <w:r w:rsidRPr="005C2363">
              <w:rPr>
                <w:rFonts w:ascii="Cambria" w:eastAsia="Times New Roman" w:hAnsi="Cambria" w:cs="Calibri"/>
                <w:lang w:val="hr-HR"/>
              </w:rPr>
              <w:t>Korelativnost</w:t>
            </w:r>
            <w:proofErr w:type="spellEnd"/>
          </w:p>
        </w:tc>
        <w:tc>
          <w:tcPr>
            <w:tcW w:w="699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D7562A0" w14:textId="58ECF79A" w:rsidR="00FA72B4" w:rsidRPr="00DF4CE5" w:rsidRDefault="00FA72B4" w:rsidP="00FA72B4">
            <w:pPr>
              <w:snapToGrid w:val="0"/>
              <w:spacing w:after="0" w:line="240" w:lineRule="auto"/>
              <w:jc w:val="both"/>
              <w:rPr>
                <w:rFonts w:ascii="Cambria" w:eastAsia="Times New Roman" w:hAnsi="Cambria" w:cs="Calibri"/>
                <w:lang w:val="hr-HR"/>
              </w:rPr>
            </w:pPr>
            <w:r w:rsidRPr="00DF4CE5">
              <w:rPr>
                <w:rFonts w:ascii="Cambria" w:eastAsia="Times New Roman" w:hAnsi="Cambria" w:cs="Calibri"/>
                <w:lang w:val="hr-HR"/>
              </w:rPr>
              <w:t>Metodika likovne kulture 2,3, Grafika i dizajn, Glazbena kultura, Metodika glazbene kulture, Hrvatski jezik i književnost, Informatika…</w:t>
            </w:r>
          </w:p>
        </w:tc>
      </w:tr>
      <w:tr w:rsidR="00FA72B4" w:rsidRPr="00D0399C" w14:paraId="087926AA" w14:textId="77777777" w:rsidTr="00FA72B4">
        <w:tc>
          <w:tcPr>
            <w:tcW w:w="205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7431016" w14:textId="77777777" w:rsidR="00FA72B4" w:rsidRPr="005C2363" w:rsidRDefault="00FA72B4" w:rsidP="00FA72B4">
            <w:pPr>
              <w:spacing w:after="0" w:line="240" w:lineRule="auto"/>
              <w:rPr>
                <w:rFonts w:ascii="Cambria" w:eastAsia="Times New Roman" w:hAnsi="Cambria" w:cs="Calibri"/>
                <w:lang w:val="hr-HR"/>
              </w:rPr>
            </w:pPr>
            <w:r w:rsidRPr="005C2363">
              <w:rPr>
                <w:rFonts w:ascii="Cambria" w:eastAsia="Times New Roman" w:hAnsi="Cambria" w:cs="Calibri"/>
                <w:lang w:val="hr-HR"/>
              </w:rPr>
              <w:t xml:space="preserve">Cilj kolegija </w:t>
            </w:r>
          </w:p>
        </w:tc>
        <w:tc>
          <w:tcPr>
            <w:tcW w:w="699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2CCDE4F" w14:textId="77777777" w:rsidR="00FA72B4" w:rsidRPr="00DF4CE5" w:rsidRDefault="00FA72B4" w:rsidP="00FA72B4">
            <w:pPr>
              <w:suppressAutoHyphens/>
              <w:snapToGrid w:val="0"/>
              <w:spacing w:after="0" w:line="240" w:lineRule="auto"/>
              <w:jc w:val="both"/>
              <w:rPr>
                <w:rFonts w:ascii="Cambria" w:eastAsia="Times New Roman" w:hAnsi="Cambria" w:cs="Calibri"/>
                <w:lang w:val="hr-HR"/>
              </w:rPr>
            </w:pPr>
            <w:r w:rsidRPr="00814596">
              <w:rPr>
                <w:rFonts w:ascii="Cambria" w:eastAsia="Times New Roman" w:hAnsi="Cambria" w:cs="Calibri"/>
                <w:lang w:val="hr-HR"/>
              </w:rPr>
              <w:t>Usvojiti kompetencije za rad u razrednoj nastavi u osnovnim školama  Republike Hrvatske, razumjeti i primijeniti likovni jezik, likovne tehnike i motive u analizi recentnih likovnih djela iz povijesti likovnih umjetnosti, istraživati likovnu umjetnost u Hrvatskoj u odnosu na europski kontekst i svjetska recentna djela i umjetničke stilove, razvijati likovno–estetske prosudbe o likovnim umjetničkim djelima</w:t>
            </w:r>
          </w:p>
        </w:tc>
      </w:tr>
      <w:tr w:rsidR="00FA72B4" w:rsidRPr="00D0399C" w14:paraId="515D8010" w14:textId="77777777" w:rsidTr="00FA72B4">
        <w:tc>
          <w:tcPr>
            <w:tcW w:w="205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ACCF073" w14:textId="77777777" w:rsidR="00FA72B4" w:rsidRPr="005C2363" w:rsidRDefault="00FA72B4" w:rsidP="00FA72B4">
            <w:pPr>
              <w:spacing w:after="0" w:line="240" w:lineRule="auto"/>
              <w:rPr>
                <w:rFonts w:ascii="Cambria" w:eastAsia="Times New Roman" w:hAnsi="Cambria" w:cs="Calibri"/>
                <w:lang w:val="hr-HR"/>
              </w:rPr>
            </w:pPr>
            <w:r w:rsidRPr="005C2363">
              <w:rPr>
                <w:rFonts w:ascii="Cambria" w:eastAsia="Times New Roman" w:hAnsi="Cambria" w:cs="Calibri"/>
                <w:lang w:val="hr-HR"/>
              </w:rPr>
              <w:t>Ishodi učenja</w:t>
            </w:r>
          </w:p>
        </w:tc>
        <w:tc>
          <w:tcPr>
            <w:tcW w:w="699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5666554" w14:textId="77777777" w:rsidR="00FA72B4" w:rsidRDefault="00FA72B4" w:rsidP="00FA72B4">
            <w:pPr>
              <w:suppressAutoHyphens/>
              <w:snapToGrid w:val="0"/>
              <w:spacing w:after="0" w:line="240" w:lineRule="auto"/>
              <w:jc w:val="both"/>
              <w:rPr>
                <w:rFonts w:ascii="Cambria" w:eastAsia="Times New Roman" w:hAnsi="Cambria" w:cs="Calibri"/>
                <w:lang w:val="hr-HR"/>
              </w:rPr>
            </w:pPr>
            <w:r>
              <w:rPr>
                <w:rFonts w:ascii="Cambria" w:eastAsia="Times New Roman" w:hAnsi="Cambria" w:cs="Calibri"/>
                <w:lang w:val="hr-HR"/>
              </w:rPr>
              <w:t xml:space="preserve">1. </w:t>
            </w:r>
            <w:r w:rsidRPr="00814596">
              <w:rPr>
                <w:rFonts w:ascii="Cambria" w:eastAsia="Times New Roman" w:hAnsi="Cambria" w:cs="Calibri"/>
                <w:lang w:val="hr-HR"/>
              </w:rPr>
              <w:t>pravilno pristupati likovnom djelu s obzirom na autora/autoricu djela, razdoblje u kojem je djelo nastalo, motiva, tehnike rada i elemente likovnog jezika</w:t>
            </w:r>
          </w:p>
          <w:p w14:paraId="33142523" w14:textId="77777777" w:rsidR="00FA72B4" w:rsidRDefault="00FA72B4" w:rsidP="00FA72B4">
            <w:pPr>
              <w:suppressAutoHyphens/>
              <w:snapToGrid w:val="0"/>
              <w:spacing w:after="0" w:line="240" w:lineRule="auto"/>
              <w:jc w:val="both"/>
              <w:rPr>
                <w:rFonts w:ascii="Cambria" w:eastAsia="Times New Roman" w:hAnsi="Cambria" w:cs="Calibri"/>
                <w:lang w:val="hr-HR"/>
              </w:rPr>
            </w:pPr>
            <w:r>
              <w:rPr>
                <w:rFonts w:ascii="Cambria" w:eastAsia="Times New Roman" w:hAnsi="Cambria" w:cs="Calibri"/>
                <w:lang w:val="hr-HR"/>
              </w:rPr>
              <w:t xml:space="preserve">2. </w:t>
            </w:r>
            <w:r w:rsidRPr="00814596">
              <w:rPr>
                <w:rFonts w:ascii="Cambria" w:eastAsia="Times New Roman" w:hAnsi="Cambria" w:cs="Calibri"/>
                <w:lang w:val="hr-HR"/>
              </w:rPr>
              <w:t xml:space="preserve">primijeniti znanja, vještine, osobne, društvene i metodološke sposobnosti u profesionalnom i osobnom razvoju </w:t>
            </w:r>
          </w:p>
          <w:p w14:paraId="51A2B81C" w14:textId="77777777" w:rsidR="00FA72B4" w:rsidRDefault="00FA72B4" w:rsidP="00FA72B4">
            <w:pPr>
              <w:suppressAutoHyphens/>
              <w:snapToGrid w:val="0"/>
              <w:spacing w:after="0" w:line="240" w:lineRule="auto"/>
              <w:jc w:val="both"/>
              <w:rPr>
                <w:rFonts w:ascii="Cambria" w:eastAsia="Times New Roman" w:hAnsi="Cambria" w:cs="Calibri"/>
                <w:lang w:val="hr-HR"/>
              </w:rPr>
            </w:pPr>
            <w:r>
              <w:rPr>
                <w:rFonts w:ascii="Cambria" w:eastAsia="Times New Roman" w:hAnsi="Cambria" w:cs="Calibri"/>
                <w:lang w:val="hr-HR"/>
              </w:rPr>
              <w:t xml:space="preserve">3. </w:t>
            </w:r>
            <w:r w:rsidRPr="00814596">
              <w:rPr>
                <w:rFonts w:ascii="Cambria" w:eastAsia="Times New Roman" w:hAnsi="Cambria" w:cs="Calibri"/>
                <w:lang w:val="hr-HR"/>
              </w:rPr>
              <w:t>analizirati likovna umjetnička djela (prema mogućnosti originalna)</w:t>
            </w:r>
          </w:p>
          <w:p w14:paraId="410C124E" w14:textId="77777777" w:rsidR="00FA72B4" w:rsidRDefault="00FA72B4" w:rsidP="00FA72B4">
            <w:pPr>
              <w:suppressAutoHyphens/>
              <w:snapToGrid w:val="0"/>
              <w:spacing w:after="0" w:line="240" w:lineRule="auto"/>
              <w:jc w:val="both"/>
              <w:rPr>
                <w:rFonts w:ascii="Cambria" w:eastAsia="Times New Roman" w:hAnsi="Cambria" w:cs="Calibri"/>
                <w:lang w:val="hr-HR"/>
              </w:rPr>
            </w:pPr>
            <w:r>
              <w:rPr>
                <w:rFonts w:ascii="Cambria" w:eastAsia="Times New Roman" w:hAnsi="Cambria" w:cs="Calibri"/>
                <w:lang w:val="hr-HR"/>
              </w:rPr>
              <w:t xml:space="preserve">4. </w:t>
            </w:r>
            <w:r w:rsidRPr="00814596">
              <w:rPr>
                <w:rFonts w:ascii="Cambria" w:eastAsia="Times New Roman" w:hAnsi="Cambria" w:cs="Calibri"/>
                <w:lang w:val="hr-HR"/>
              </w:rPr>
              <w:t xml:space="preserve">kritički se odnositi prema osobnom i tuđem radu prateći  likovna događanja u Hrvatskoj i inozemstvu te usmjeravati se prema budućoj profesionalnoj izgradnji </w:t>
            </w:r>
          </w:p>
          <w:p w14:paraId="0B123520" w14:textId="77777777" w:rsidR="00FA72B4" w:rsidRDefault="00FA72B4" w:rsidP="00FA72B4">
            <w:pPr>
              <w:suppressAutoHyphens/>
              <w:snapToGrid w:val="0"/>
              <w:spacing w:after="0" w:line="240" w:lineRule="auto"/>
              <w:jc w:val="both"/>
              <w:rPr>
                <w:rFonts w:ascii="Cambria" w:eastAsia="Times New Roman" w:hAnsi="Cambria" w:cs="Calibri"/>
                <w:lang w:val="hr-HR"/>
              </w:rPr>
            </w:pPr>
            <w:r>
              <w:rPr>
                <w:rFonts w:ascii="Cambria" w:eastAsia="Times New Roman" w:hAnsi="Cambria" w:cs="Calibri"/>
                <w:lang w:val="hr-HR"/>
              </w:rPr>
              <w:t xml:space="preserve">5. </w:t>
            </w:r>
            <w:r w:rsidRPr="00814596">
              <w:rPr>
                <w:rFonts w:ascii="Cambria" w:eastAsia="Times New Roman" w:hAnsi="Cambria" w:cs="Calibri"/>
                <w:lang w:val="hr-HR"/>
              </w:rPr>
              <w:t>moći razumjeti povijesne činjenice i njihovu međuovisnost</w:t>
            </w:r>
          </w:p>
          <w:p w14:paraId="53BE94C1" w14:textId="0AB49909" w:rsidR="00FA72B4" w:rsidRPr="00FA72B4" w:rsidRDefault="00FA72B4" w:rsidP="00FA72B4">
            <w:pPr>
              <w:suppressAutoHyphens/>
              <w:snapToGrid w:val="0"/>
              <w:spacing w:after="0" w:line="240" w:lineRule="auto"/>
              <w:jc w:val="both"/>
              <w:rPr>
                <w:rFonts w:ascii="Cambria" w:eastAsia="Times New Roman" w:hAnsi="Cambria" w:cs="Calibri"/>
                <w:lang w:val="hr-HR"/>
              </w:rPr>
            </w:pPr>
            <w:r>
              <w:rPr>
                <w:rFonts w:ascii="Cambria" w:eastAsia="Times New Roman" w:hAnsi="Cambria" w:cs="Calibri"/>
                <w:lang w:val="hr-HR"/>
              </w:rPr>
              <w:t xml:space="preserve">6. </w:t>
            </w:r>
            <w:r w:rsidRPr="00814596">
              <w:rPr>
                <w:rFonts w:ascii="Cambria" w:eastAsia="Times New Roman" w:hAnsi="Cambria" w:cs="Calibri"/>
                <w:lang w:val="hr-HR"/>
              </w:rPr>
              <w:t>samostalno se i kreativno likovno izražavati uz upotrjebu različitih crtačkih, slikarskih, grafičkih tehnika, tehnika prostorno plastičnog oblikovanja, kombiniranih tehnika eksperimentiranjem, variranjem s različitim materijalima</w:t>
            </w:r>
          </w:p>
        </w:tc>
      </w:tr>
      <w:tr w:rsidR="00FA72B4" w:rsidRPr="00D0399C" w14:paraId="2C600A77" w14:textId="77777777" w:rsidTr="00FA72B4">
        <w:tc>
          <w:tcPr>
            <w:tcW w:w="2056"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0B06B863" w14:textId="77777777" w:rsidR="00FA72B4" w:rsidRPr="005C2363" w:rsidRDefault="00FA72B4" w:rsidP="00FA72B4">
            <w:pPr>
              <w:spacing w:after="0" w:line="240" w:lineRule="auto"/>
              <w:rPr>
                <w:rFonts w:ascii="Cambria" w:eastAsia="Times New Roman" w:hAnsi="Cambria" w:cs="Calibri"/>
                <w:lang w:val="hr-HR"/>
              </w:rPr>
            </w:pPr>
            <w:r w:rsidRPr="005C2363">
              <w:rPr>
                <w:rFonts w:ascii="Cambria" w:eastAsia="Times New Roman" w:hAnsi="Cambria" w:cs="Calibri"/>
                <w:lang w:val="hr-HR"/>
              </w:rPr>
              <w:t>Sadržaj kolegija</w:t>
            </w:r>
          </w:p>
        </w:tc>
        <w:tc>
          <w:tcPr>
            <w:tcW w:w="6996"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1242C11" w14:textId="77777777" w:rsidR="00FA72B4" w:rsidRDefault="00FA72B4" w:rsidP="00FA72B4">
            <w:pPr>
              <w:suppressAutoHyphens/>
              <w:snapToGrid w:val="0"/>
              <w:spacing w:after="0" w:line="240" w:lineRule="auto"/>
              <w:jc w:val="both"/>
              <w:rPr>
                <w:rFonts w:ascii="Cambria" w:eastAsia="Times New Roman" w:hAnsi="Cambria" w:cs="Calibri"/>
                <w:lang w:val="hr-HR"/>
              </w:rPr>
            </w:pPr>
            <w:r>
              <w:rPr>
                <w:rFonts w:ascii="Cambria" w:eastAsia="Times New Roman" w:hAnsi="Cambria" w:cs="Calibri"/>
                <w:lang w:val="hr-HR"/>
              </w:rPr>
              <w:t xml:space="preserve">1. </w:t>
            </w:r>
            <w:r w:rsidRPr="00DF4CE5">
              <w:rPr>
                <w:rFonts w:ascii="Cambria" w:eastAsia="Times New Roman" w:hAnsi="Cambria" w:cs="Calibri"/>
                <w:lang w:val="hr-HR"/>
              </w:rPr>
              <w:t>Uvod u likovnu umjetnost, literatura</w:t>
            </w:r>
          </w:p>
          <w:p w14:paraId="170DC157" w14:textId="77777777" w:rsidR="00FA72B4" w:rsidRDefault="00FA72B4" w:rsidP="00FA72B4">
            <w:pPr>
              <w:suppressAutoHyphens/>
              <w:snapToGrid w:val="0"/>
              <w:spacing w:after="0" w:line="240" w:lineRule="auto"/>
              <w:jc w:val="both"/>
              <w:rPr>
                <w:rFonts w:ascii="Cambria" w:eastAsia="Times New Roman" w:hAnsi="Cambria" w:cs="Calibri"/>
                <w:lang w:val="hr-HR"/>
              </w:rPr>
            </w:pPr>
            <w:r>
              <w:rPr>
                <w:rFonts w:ascii="Cambria" w:eastAsia="Times New Roman" w:hAnsi="Cambria" w:cs="Calibri"/>
                <w:lang w:val="hr-HR"/>
              </w:rPr>
              <w:t xml:space="preserve">2. </w:t>
            </w:r>
            <w:r w:rsidRPr="00DF4CE5">
              <w:rPr>
                <w:rFonts w:ascii="Cambria" w:eastAsia="Times New Roman" w:hAnsi="Cambria" w:cs="Calibri"/>
                <w:lang w:val="hr-HR"/>
              </w:rPr>
              <w:t>Pristup likovnom djelu, likovni jezik, likovni i kompozicijski elementi i sintaksa, likovne tehnike, motivi</w:t>
            </w:r>
          </w:p>
          <w:p w14:paraId="55F482F5" w14:textId="77777777" w:rsidR="00FA72B4" w:rsidRDefault="00FA72B4" w:rsidP="00FA72B4">
            <w:pPr>
              <w:suppressAutoHyphens/>
              <w:snapToGrid w:val="0"/>
              <w:spacing w:after="0" w:line="240" w:lineRule="auto"/>
              <w:jc w:val="both"/>
              <w:rPr>
                <w:rFonts w:ascii="Cambria" w:eastAsia="Times New Roman" w:hAnsi="Cambria" w:cs="Calibri"/>
                <w:lang w:val="hr-HR"/>
              </w:rPr>
            </w:pPr>
            <w:r>
              <w:rPr>
                <w:rFonts w:ascii="Cambria" w:eastAsia="Times New Roman" w:hAnsi="Cambria" w:cs="Calibri"/>
                <w:lang w:val="hr-HR"/>
              </w:rPr>
              <w:t xml:space="preserve">3. </w:t>
            </w:r>
            <w:r w:rsidRPr="00DF4CE5">
              <w:rPr>
                <w:rFonts w:ascii="Cambria" w:eastAsia="Times New Roman" w:hAnsi="Cambria" w:cs="Calibri"/>
                <w:lang w:val="hr-HR"/>
              </w:rPr>
              <w:t>Povijesni pregled razvoja likovnih umjetnosti od prapovijesti do danas, bitne ideje i kapitalna djela svjetske i hrvatske umjetnosti kroz pet aspekata (umjetnik, razdoblje, motiv, likovne tehnike, likovni jezik)</w:t>
            </w:r>
          </w:p>
          <w:p w14:paraId="02C3E7DF" w14:textId="77777777" w:rsidR="00FA72B4" w:rsidRDefault="00FA72B4" w:rsidP="00FA72B4">
            <w:pPr>
              <w:suppressAutoHyphens/>
              <w:snapToGrid w:val="0"/>
              <w:spacing w:after="0" w:line="240" w:lineRule="auto"/>
              <w:jc w:val="both"/>
              <w:rPr>
                <w:rFonts w:ascii="Cambria" w:eastAsia="Times New Roman" w:hAnsi="Cambria" w:cs="Calibri"/>
                <w:lang w:val="hr-HR"/>
              </w:rPr>
            </w:pPr>
            <w:r>
              <w:rPr>
                <w:rFonts w:ascii="Cambria" w:eastAsia="Times New Roman" w:hAnsi="Cambria" w:cs="Calibri"/>
                <w:lang w:val="hr-HR"/>
              </w:rPr>
              <w:t xml:space="preserve">4. </w:t>
            </w:r>
            <w:r w:rsidRPr="00DF4CE5">
              <w:rPr>
                <w:rFonts w:ascii="Cambria" w:eastAsia="Times New Roman" w:hAnsi="Cambria" w:cs="Calibri"/>
                <w:lang w:val="hr-HR"/>
              </w:rPr>
              <w:t>Istraživanje i pismena analiza na zadanu temu – referat, prema mogućnosti o originalnim djelima</w:t>
            </w:r>
          </w:p>
          <w:p w14:paraId="431F8C8E" w14:textId="1A3C2003" w:rsidR="00FA72B4" w:rsidRPr="00814596" w:rsidRDefault="00FA72B4" w:rsidP="00FA72B4">
            <w:pPr>
              <w:suppressAutoHyphens/>
              <w:snapToGrid w:val="0"/>
              <w:spacing w:after="0" w:line="240" w:lineRule="auto"/>
              <w:jc w:val="both"/>
              <w:rPr>
                <w:rFonts w:ascii="Cambria" w:eastAsia="Times New Roman" w:hAnsi="Cambria" w:cs="Calibri"/>
                <w:lang w:val="hr-HR"/>
              </w:rPr>
            </w:pPr>
            <w:r>
              <w:rPr>
                <w:rFonts w:ascii="Cambria" w:eastAsia="Times New Roman" w:hAnsi="Cambria" w:cs="Calibri"/>
                <w:lang w:val="hr-HR"/>
              </w:rPr>
              <w:lastRenderedPageBreak/>
              <w:t xml:space="preserve">5. </w:t>
            </w:r>
            <w:r w:rsidRPr="00814596">
              <w:rPr>
                <w:rFonts w:ascii="Cambria" w:eastAsia="Times New Roman" w:hAnsi="Cambria" w:cs="Calibri"/>
                <w:lang w:val="hr-HR"/>
              </w:rPr>
              <w:t>Posjet izložbi recentnih originalnih djela profesionalnih likovnih umjetnika u galeriji i/ili u muzeju</w:t>
            </w:r>
          </w:p>
        </w:tc>
      </w:tr>
      <w:tr w:rsidR="00FA72B4" w:rsidRPr="005C2363" w14:paraId="147E0BF8" w14:textId="77777777" w:rsidTr="00FA72B4">
        <w:tc>
          <w:tcPr>
            <w:tcW w:w="2056"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7B7E39C3" w14:textId="77777777" w:rsidR="00FA72B4" w:rsidRPr="005C2363" w:rsidRDefault="00FA72B4" w:rsidP="00FA72B4">
            <w:pPr>
              <w:spacing w:after="0" w:line="240" w:lineRule="auto"/>
              <w:rPr>
                <w:rFonts w:ascii="Cambria" w:eastAsia="Times New Roman" w:hAnsi="Cambria" w:cs="Calibri"/>
                <w:lang w:val="hr-HR"/>
              </w:rPr>
            </w:pPr>
            <w:r w:rsidRPr="005C2363">
              <w:rPr>
                <w:rFonts w:ascii="Cambria" w:eastAsia="Times New Roman" w:hAnsi="Cambria" w:cs="Calibri"/>
                <w:lang w:val="hr-HR"/>
              </w:rPr>
              <w:lastRenderedPageBreak/>
              <w:t>Planirane aktivnosti,</w:t>
            </w:r>
          </w:p>
          <w:p w14:paraId="347AF96F" w14:textId="77777777" w:rsidR="00FA72B4" w:rsidRPr="005C2363" w:rsidRDefault="00FA72B4" w:rsidP="00FA72B4">
            <w:pPr>
              <w:spacing w:after="0" w:line="240" w:lineRule="auto"/>
              <w:rPr>
                <w:rFonts w:ascii="Cambria" w:eastAsia="Times New Roman" w:hAnsi="Cambria" w:cs="Calibri"/>
                <w:lang w:val="hr-HR"/>
              </w:rPr>
            </w:pPr>
            <w:r w:rsidRPr="005C2363">
              <w:rPr>
                <w:rFonts w:ascii="Cambria" w:eastAsia="Times New Roman" w:hAnsi="Cambria" w:cs="Calibri"/>
                <w:lang w:val="hr-HR"/>
              </w:rPr>
              <w:t>metode učenja i poučavanja i načini vrednovanja</w:t>
            </w:r>
          </w:p>
          <w:p w14:paraId="6CBFDA15" w14:textId="77777777" w:rsidR="00FA72B4" w:rsidRPr="005C2363" w:rsidRDefault="00FA72B4" w:rsidP="00FA72B4">
            <w:pPr>
              <w:spacing w:after="0" w:line="240" w:lineRule="auto"/>
              <w:rPr>
                <w:rFonts w:ascii="Cambria" w:eastAsia="Times New Roman" w:hAnsi="Cambria" w:cs="Calibri"/>
                <w:lang w:val="hr-HR"/>
              </w:rPr>
            </w:pPr>
          </w:p>
        </w:tc>
        <w:tc>
          <w:tcPr>
            <w:tcW w:w="298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71E51C4" w14:textId="77777777" w:rsidR="00FA72B4" w:rsidRPr="005C2363" w:rsidRDefault="00FA72B4" w:rsidP="00FA72B4">
            <w:pPr>
              <w:spacing w:after="0" w:line="240" w:lineRule="auto"/>
              <w:jc w:val="center"/>
              <w:rPr>
                <w:rFonts w:ascii="Cambria" w:eastAsia="Times New Roman" w:hAnsi="Cambria" w:cs="Calibri"/>
                <w:lang w:val="hr-HR"/>
              </w:rPr>
            </w:pPr>
            <w:r w:rsidRPr="005C2363">
              <w:rPr>
                <w:rFonts w:ascii="Cambria" w:eastAsia="Times New Roman" w:hAnsi="Cambria" w:cs="Calibri"/>
                <w:bCs/>
                <w:lang w:val="hr-HR"/>
              </w:rPr>
              <w:t>Obveze</w:t>
            </w:r>
          </w:p>
        </w:tc>
        <w:tc>
          <w:tcPr>
            <w:tcW w:w="1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13382AE" w14:textId="77777777" w:rsidR="00FA72B4" w:rsidRPr="005C2363" w:rsidRDefault="00FA72B4" w:rsidP="00FA72B4">
            <w:pPr>
              <w:spacing w:after="0" w:line="240" w:lineRule="auto"/>
              <w:jc w:val="center"/>
              <w:rPr>
                <w:rFonts w:ascii="Cambria" w:eastAsia="Times New Roman" w:hAnsi="Cambria" w:cs="Calibri"/>
                <w:bCs/>
                <w:lang w:val="hr-HR"/>
              </w:rPr>
            </w:pPr>
          </w:p>
          <w:p w14:paraId="302902B6" w14:textId="77777777" w:rsidR="00FA72B4" w:rsidRPr="005C2363" w:rsidRDefault="00FA72B4" w:rsidP="00FA72B4">
            <w:pPr>
              <w:spacing w:after="0" w:line="240" w:lineRule="auto"/>
              <w:jc w:val="center"/>
              <w:rPr>
                <w:rFonts w:ascii="Cambria" w:eastAsia="Times New Roman" w:hAnsi="Cambria" w:cs="Calibri"/>
                <w:lang w:val="hr-HR"/>
              </w:rPr>
            </w:pPr>
            <w:r w:rsidRPr="005C2363">
              <w:rPr>
                <w:rFonts w:ascii="Cambria" w:eastAsia="Times New Roman" w:hAnsi="Cambria" w:cs="Calibri"/>
                <w:bCs/>
                <w:lang w:val="hr-HR"/>
              </w:rPr>
              <w:t>Ishodi</w:t>
            </w:r>
          </w:p>
          <w:p w14:paraId="3059CE1F" w14:textId="77777777" w:rsidR="00FA72B4" w:rsidRPr="005C2363" w:rsidRDefault="00FA72B4" w:rsidP="00FA72B4">
            <w:pPr>
              <w:spacing w:after="0" w:line="240" w:lineRule="auto"/>
              <w:jc w:val="center"/>
              <w:rPr>
                <w:rFonts w:ascii="Cambria" w:eastAsia="Times New Roman" w:hAnsi="Cambria" w:cs="Calibri"/>
                <w:lang w:val="hr-HR"/>
              </w:rPr>
            </w:pPr>
          </w:p>
        </w:tc>
        <w:tc>
          <w:tcPr>
            <w:tcW w:w="69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0453D9D" w14:textId="77777777" w:rsidR="00FA72B4" w:rsidRPr="005C2363" w:rsidRDefault="00FA72B4" w:rsidP="00FA72B4">
            <w:pPr>
              <w:spacing w:after="0" w:line="240" w:lineRule="auto"/>
              <w:jc w:val="center"/>
              <w:rPr>
                <w:rFonts w:ascii="Cambria" w:eastAsia="Times New Roman" w:hAnsi="Cambria" w:cs="Calibri"/>
                <w:vertAlign w:val="superscript"/>
                <w:lang w:val="hr-HR"/>
              </w:rPr>
            </w:pPr>
            <w:r w:rsidRPr="005C2363">
              <w:rPr>
                <w:rFonts w:ascii="Cambria" w:eastAsia="Times New Roman" w:hAnsi="Cambria" w:cs="Calibri"/>
                <w:bCs/>
                <w:lang w:val="hr-HR"/>
              </w:rPr>
              <w:t>Sati</w:t>
            </w:r>
          </w:p>
        </w:tc>
        <w:tc>
          <w:tcPr>
            <w:tcW w:w="9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B5970A8" w14:textId="77777777" w:rsidR="00FA72B4" w:rsidRPr="005C2363" w:rsidRDefault="00FA72B4" w:rsidP="00FA72B4">
            <w:pPr>
              <w:spacing w:after="0" w:line="240" w:lineRule="auto"/>
              <w:jc w:val="center"/>
              <w:rPr>
                <w:rFonts w:ascii="Cambria" w:eastAsia="Times New Roman" w:hAnsi="Cambria" w:cs="Calibri"/>
                <w:lang w:val="hr-HR"/>
              </w:rPr>
            </w:pPr>
            <w:r w:rsidRPr="005C2363">
              <w:rPr>
                <w:rFonts w:ascii="Cambria" w:eastAsia="Times New Roman" w:hAnsi="Cambria" w:cs="Calibri"/>
                <w:bCs/>
                <w:lang w:val="hr-HR"/>
              </w:rPr>
              <w:t>ECTS</w:t>
            </w:r>
          </w:p>
        </w:tc>
        <w:tc>
          <w:tcPr>
            <w:tcW w:w="127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143E391" w14:textId="77777777" w:rsidR="00FA72B4" w:rsidRPr="005C2363" w:rsidRDefault="00FA72B4" w:rsidP="00FA72B4">
            <w:pPr>
              <w:spacing w:after="0" w:line="240" w:lineRule="auto"/>
              <w:jc w:val="center"/>
              <w:rPr>
                <w:rFonts w:ascii="Cambria" w:eastAsia="Times New Roman" w:hAnsi="Cambria" w:cs="Calibri"/>
                <w:lang w:val="hr-HR"/>
              </w:rPr>
            </w:pPr>
            <w:r w:rsidRPr="005C2363">
              <w:rPr>
                <w:rFonts w:ascii="Cambria" w:eastAsia="Times New Roman" w:hAnsi="Cambria" w:cs="Calibri"/>
                <w:bCs/>
                <w:lang w:val="hr-HR"/>
              </w:rPr>
              <w:t>Maksimalni udio u ocjeni (%)</w:t>
            </w:r>
          </w:p>
        </w:tc>
      </w:tr>
      <w:tr w:rsidR="00FA72B4" w:rsidRPr="005C2363" w14:paraId="047952AB" w14:textId="77777777" w:rsidTr="00FA72B4">
        <w:tc>
          <w:tcPr>
            <w:tcW w:w="2056" w:type="dxa"/>
            <w:vMerge/>
            <w:tcBorders>
              <w:left w:val="single" w:sz="8" w:space="0" w:color="000000"/>
              <w:right w:val="single" w:sz="8" w:space="0" w:color="000000"/>
            </w:tcBorders>
            <w:vAlign w:val="center"/>
          </w:tcPr>
          <w:p w14:paraId="429DD7D9" w14:textId="77777777" w:rsidR="00FA72B4" w:rsidRPr="005C2363" w:rsidRDefault="00FA72B4" w:rsidP="00FA72B4">
            <w:pPr>
              <w:spacing w:after="0" w:line="240" w:lineRule="auto"/>
              <w:rPr>
                <w:rFonts w:ascii="Cambria" w:eastAsia="Times New Roman" w:hAnsi="Cambria" w:cs="Calibri"/>
                <w:lang w:val="hr-HR"/>
              </w:rPr>
            </w:pPr>
          </w:p>
        </w:tc>
        <w:tc>
          <w:tcPr>
            <w:tcW w:w="298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6E86DC" w14:textId="77777777" w:rsidR="00FA72B4" w:rsidRPr="005C2363" w:rsidRDefault="00FA72B4" w:rsidP="00FA72B4">
            <w:pPr>
              <w:spacing w:after="0" w:line="240" w:lineRule="auto"/>
              <w:rPr>
                <w:rFonts w:ascii="Cambria" w:eastAsia="Times New Roman" w:hAnsi="Cambria" w:cs="Calibri"/>
                <w:lang w:val="hr-HR"/>
              </w:rPr>
            </w:pPr>
            <w:r w:rsidRPr="005C2363">
              <w:rPr>
                <w:rFonts w:ascii="Cambria" w:eastAsia="Times New Roman" w:hAnsi="Cambria" w:cs="Calibri"/>
                <w:lang w:val="hr-HR"/>
              </w:rPr>
              <w:t>aktivnosti na nastavi</w:t>
            </w:r>
            <w:r>
              <w:rPr>
                <w:rFonts w:ascii="Cambria" w:eastAsia="Times New Roman" w:hAnsi="Cambria" w:cs="Calibri"/>
                <w:lang w:val="hr-HR"/>
              </w:rPr>
              <w:t xml:space="preserve"> (P, S)</w:t>
            </w:r>
          </w:p>
        </w:tc>
        <w:tc>
          <w:tcPr>
            <w:tcW w:w="1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7387664" w14:textId="77777777" w:rsidR="00FA72B4" w:rsidRPr="005C2363" w:rsidRDefault="00FA72B4" w:rsidP="00FA72B4">
            <w:pPr>
              <w:spacing w:after="0" w:line="240" w:lineRule="auto"/>
              <w:jc w:val="center"/>
              <w:rPr>
                <w:rFonts w:ascii="Cambria" w:eastAsia="Times New Roman" w:hAnsi="Cambria" w:cs="Calibri"/>
                <w:lang w:val="hr-HR"/>
              </w:rPr>
            </w:pPr>
            <w:r w:rsidRPr="005C2363">
              <w:rPr>
                <w:rFonts w:ascii="Cambria" w:eastAsia="Times New Roman" w:hAnsi="Cambria" w:cs="Calibri"/>
                <w:lang w:val="hr-HR"/>
              </w:rPr>
              <w:t xml:space="preserve">1. </w:t>
            </w:r>
            <w:r>
              <w:rPr>
                <w:rFonts w:ascii="Cambria" w:eastAsia="Times New Roman" w:hAnsi="Cambria" w:cs="Calibri"/>
                <w:lang w:val="hr-HR"/>
              </w:rPr>
              <w:t>–</w:t>
            </w:r>
            <w:r w:rsidRPr="005C2363">
              <w:rPr>
                <w:rFonts w:ascii="Cambria" w:eastAsia="Times New Roman" w:hAnsi="Cambria" w:cs="Calibri"/>
                <w:lang w:val="hr-HR"/>
              </w:rPr>
              <w:t xml:space="preserve"> </w:t>
            </w:r>
            <w:r>
              <w:rPr>
                <w:rFonts w:ascii="Cambria" w:eastAsia="Times New Roman" w:hAnsi="Cambria" w:cs="Calibri"/>
                <w:lang w:val="hr-HR"/>
              </w:rPr>
              <w:t>4</w:t>
            </w:r>
            <w:r w:rsidRPr="005C2363">
              <w:rPr>
                <w:rFonts w:ascii="Cambria" w:eastAsia="Times New Roman" w:hAnsi="Cambria" w:cs="Calibri"/>
                <w:lang w:val="hr-HR"/>
              </w:rPr>
              <w:t>.</w:t>
            </w:r>
          </w:p>
        </w:tc>
        <w:tc>
          <w:tcPr>
            <w:tcW w:w="697" w:type="dxa"/>
            <w:gridSpan w:val="2"/>
            <w:tcBorders>
              <w:top w:val="single" w:sz="8" w:space="0" w:color="000000"/>
              <w:left w:val="single" w:sz="8" w:space="0" w:color="000000"/>
              <w:bottom w:val="single" w:sz="8" w:space="0" w:color="000000"/>
              <w:right w:val="nil"/>
            </w:tcBorders>
            <w:tcMar>
              <w:top w:w="15" w:type="dxa"/>
              <w:left w:w="108" w:type="dxa"/>
              <w:bottom w:w="0" w:type="dxa"/>
              <w:right w:w="108" w:type="dxa"/>
            </w:tcMar>
            <w:vAlign w:val="center"/>
          </w:tcPr>
          <w:p w14:paraId="4C22DDAD" w14:textId="78DCEE84" w:rsidR="00FA72B4" w:rsidRPr="00DF4CE5" w:rsidRDefault="009138DB" w:rsidP="00FA72B4">
            <w:pPr>
              <w:snapToGrid w:val="0"/>
              <w:spacing w:after="0" w:line="256" w:lineRule="auto"/>
              <w:jc w:val="center"/>
              <w:rPr>
                <w:rFonts w:ascii="Cambria" w:hAnsi="Cambria" w:cs="Calibri"/>
              </w:rPr>
            </w:pPr>
            <w:r>
              <w:rPr>
                <w:rFonts w:ascii="Cambria" w:hAnsi="Cambria" w:cs="Calibri"/>
              </w:rPr>
              <w:t>45</w:t>
            </w:r>
          </w:p>
        </w:tc>
        <w:tc>
          <w:tcPr>
            <w:tcW w:w="982" w:type="dxa"/>
            <w:tcBorders>
              <w:top w:val="single" w:sz="8" w:space="0" w:color="000000"/>
              <w:left w:val="single" w:sz="8" w:space="0" w:color="000000"/>
              <w:bottom w:val="single" w:sz="8" w:space="0" w:color="000000"/>
              <w:right w:val="nil"/>
            </w:tcBorders>
            <w:tcMar>
              <w:top w:w="15" w:type="dxa"/>
              <w:left w:w="108" w:type="dxa"/>
              <w:bottom w:w="0" w:type="dxa"/>
              <w:right w:w="108" w:type="dxa"/>
            </w:tcMar>
            <w:vAlign w:val="center"/>
          </w:tcPr>
          <w:p w14:paraId="709F1FB8" w14:textId="65D5A1EA" w:rsidR="00FA72B4" w:rsidRPr="00DF4CE5" w:rsidRDefault="00FA72B4" w:rsidP="00FA72B4">
            <w:pPr>
              <w:snapToGrid w:val="0"/>
              <w:spacing w:after="0" w:line="256" w:lineRule="auto"/>
              <w:jc w:val="center"/>
              <w:rPr>
                <w:rFonts w:ascii="Cambria" w:hAnsi="Cambria" w:cs="Calibri"/>
              </w:rPr>
            </w:pPr>
            <w:r>
              <w:rPr>
                <w:rFonts w:ascii="Cambria" w:hAnsi="Cambria" w:cs="Calibri"/>
              </w:rPr>
              <w:t>1,</w:t>
            </w:r>
            <w:r w:rsidR="009138DB">
              <w:rPr>
                <w:rFonts w:ascii="Cambria" w:hAnsi="Cambria" w:cs="Calibri"/>
              </w:rPr>
              <w:t>5</w:t>
            </w:r>
          </w:p>
        </w:tc>
        <w:tc>
          <w:tcPr>
            <w:tcW w:w="127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390C8F0" w14:textId="77777777" w:rsidR="00FA72B4" w:rsidRPr="00DF4CE5" w:rsidRDefault="00FA72B4" w:rsidP="00FA72B4">
            <w:pPr>
              <w:snapToGrid w:val="0"/>
              <w:spacing w:after="0" w:line="256" w:lineRule="auto"/>
              <w:jc w:val="center"/>
              <w:rPr>
                <w:rFonts w:ascii="Cambria" w:hAnsi="Cambria" w:cs="Calibri"/>
              </w:rPr>
            </w:pPr>
            <w:r>
              <w:rPr>
                <w:rFonts w:ascii="Cambria" w:hAnsi="Cambria" w:cs="Calibri"/>
              </w:rPr>
              <w:t>20%</w:t>
            </w:r>
          </w:p>
        </w:tc>
      </w:tr>
      <w:tr w:rsidR="00FA72B4" w:rsidRPr="005C2363" w14:paraId="37666B6D" w14:textId="77777777" w:rsidTr="00FA72B4">
        <w:tc>
          <w:tcPr>
            <w:tcW w:w="2056" w:type="dxa"/>
            <w:vMerge/>
            <w:tcBorders>
              <w:left w:val="single" w:sz="8" w:space="0" w:color="000000"/>
              <w:right w:val="single" w:sz="8" w:space="0" w:color="000000"/>
            </w:tcBorders>
            <w:vAlign w:val="center"/>
          </w:tcPr>
          <w:p w14:paraId="3D65156E" w14:textId="77777777" w:rsidR="00FA72B4" w:rsidRPr="005C2363" w:rsidRDefault="00FA72B4" w:rsidP="00FA72B4">
            <w:pPr>
              <w:spacing w:after="0" w:line="240" w:lineRule="auto"/>
              <w:rPr>
                <w:rFonts w:ascii="Cambria" w:eastAsia="Times New Roman" w:hAnsi="Cambria" w:cs="Calibri"/>
                <w:lang w:val="hr-HR"/>
              </w:rPr>
            </w:pPr>
          </w:p>
        </w:tc>
        <w:tc>
          <w:tcPr>
            <w:tcW w:w="298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9F3F659" w14:textId="77777777" w:rsidR="00FA72B4" w:rsidRPr="005C2363" w:rsidRDefault="00FA72B4" w:rsidP="00FA72B4">
            <w:pPr>
              <w:tabs>
                <w:tab w:val="right" w:pos="2765"/>
              </w:tabs>
              <w:spacing w:after="0" w:line="240" w:lineRule="auto"/>
              <w:rPr>
                <w:rFonts w:ascii="Cambria" w:eastAsia="Times New Roman" w:hAnsi="Cambria" w:cs="Calibri"/>
                <w:lang w:val="hr-HR"/>
              </w:rPr>
            </w:pPr>
            <w:r>
              <w:rPr>
                <w:rFonts w:ascii="Cambria" w:eastAsia="Times New Roman" w:hAnsi="Cambria" w:cs="Calibri"/>
                <w:lang w:val="hr-HR"/>
              </w:rPr>
              <w:t>referat, originalni autorski radovi studenata</w:t>
            </w:r>
          </w:p>
        </w:tc>
        <w:tc>
          <w:tcPr>
            <w:tcW w:w="1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F3EA8EB" w14:textId="77777777" w:rsidR="00FA72B4" w:rsidRPr="005C2363" w:rsidRDefault="00FA72B4" w:rsidP="00FA72B4">
            <w:pPr>
              <w:spacing w:after="0" w:line="240" w:lineRule="auto"/>
              <w:jc w:val="center"/>
              <w:rPr>
                <w:rFonts w:ascii="Cambria" w:eastAsia="Times New Roman" w:hAnsi="Cambria" w:cs="Calibri"/>
                <w:lang w:val="hr-HR"/>
              </w:rPr>
            </w:pPr>
            <w:r>
              <w:rPr>
                <w:rFonts w:ascii="Cambria" w:eastAsia="Times New Roman" w:hAnsi="Cambria" w:cs="Calibri"/>
                <w:lang w:val="hr-HR"/>
              </w:rPr>
              <w:t>1. – 3.</w:t>
            </w:r>
          </w:p>
        </w:tc>
        <w:tc>
          <w:tcPr>
            <w:tcW w:w="697" w:type="dxa"/>
            <w:gridSpan w:val="2"/>
            <w:tcBorders>
              <w:top w:val="single" w:sz="8" w:space="0" w:color="000000"/>
              <w:left w:val="single" w:sz="8" w:space="0" w:color="000000"/>
              <w:bottom w:val="single" w:sz="8" w:space="0" w:color="000000"/>
              <w:right w:val="nil"/>
            </w:tcBorders>
            <w:tcMar>
              <w:top w:w="15" w:type="dxa"/>
              <w:left w:w="108" w:type="dxa"/>
              <w:bottom w:w="0" w:type="dxa"/>
              <w:right w:w="108" w:type="dxa"/>
            </w:tcMar>
            <w:vAlign w:val="center"/>
          </w:tcPr>
          <w:p w14:paraId="31E3317D" w14:textId="77777777" w:rsidR="00FA72B4" w:rsidRPr="00DF4CE5" w:rsidRDefault="00FA72B4" w:rsidP="00FA72B4">
            <w:pPr>
              <w:snapToGrid w:val="0"/>
              <w:spacing w:after="0" w:line="256" w:lineRule="auto"/>
              <w:jc w:val="center"/>
              <w:rPr>
                <w:rFonts w:ascii="Cambria" w:hAnsi="Cambria" w:cs="Calibri"/>
              </w:rPr>
            </w:pPr>
            <w:r>
              <w:rPr>
                <w:rFonts w:ascii="Cambria" w:hAnsi="Cambria" w:cs="Calibri"/>
              </w:rPr>
              <w:t>50</w:t>
            </w:r>
          </w:p>
        </w:tc>
        <w:tc>
          <w:tcPr>
            <w:tcW w:w="982" w:type="dxa"/>
            <w:tcBorders>
              <w:top w:val="single" w:sz="8" w:space="0" w:color="000000"/>
              <w:left w:val="single" w:sz="8" w:space="0" w:color="000000"/>
              <w:bottom w:val="single" w:sz="8" w:space="0" w:color="000000"/>
              <w:right w:val="nil"/>
            </w:tcBorders>
            <w:tcMar>
              <w:top w:w="15" w:type="dxa"/>
              <w:left w:w="108" w:type="dxa"/>
              <w:bottom w:w="0" w:type="dxa"/>
              <w:right w:w="108" w:type="dxa"/>
            </w:tcMar>
            <w:vAlign w:val="center"/>
          </w:tcPr>
          <w:p w14:paraId="73EE5462" w14:textId="77777777" w:rsidR="00FA72B4" w:rsidRPr="00DF4CE5" w:rsidRDefault="00FA72B4" w:rsidP="00FA72B4">
            <w:pPr>
              <w:snapToGrid w:val="0"/>
              <w:spacing w:after="0" w:line="256" w:lineRule="auto"/>
              <w:jc w:val="center"/>
              <w:rPr>
                <w:rFonts w:ascii="Cambria" w:hAnsi="Cambria" w:cs="Calibri"/>
              </w:rPr>
            </w:pPr>
            <w:r>
              <w:rPr>
                <w:rFonts w:ascii="Cambria" w:hAnsi="Cambria" w:cs="Calibri"/>
              </w:rPr>
              <w:t>1,7</w:t>
            </w:r>
          </w:p>
        </w:tc>
        <w:tc>
          <w:tcPr>
            <w:tcW w:w="127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9283ADA" w14:textId="77777777" w:rsidR="00FA72B4" w:rsidRPr="00DF4CE5" w:rsidRDefault="00FA72B4" w:rsidP="00FA72B4">
            <w:pPr>
              <w:snapToGrid w:val="0"/>
              <w:spacing w:after="0" w:line="256" w:lineRule="auto"/>
              <w:jc w:val="center"/>
              <w:rPr>
                <w:rFonts w:ascii="Cambria" w:hAnsi="Cambria" w:cs="Calibri"/>
              </w:rPr>
            </w:pPr>
            <w:r>
              <w:rPr>
                <w:rFonts w:ascii="Cambria" w:hAnsi="Cambria" w:cs="Calibri"/>
              </w:rPr>
              <w:t>50% (3x16,6%)</w:t>
            </w:r>
          </w:p>
        </w:tc>
      </w:tr>
      <w:tr w:rsidR="00FA72B4" w:rsidRPr="005C2363" w14:paraId="4100E20C" w14:textId="77777777" w:rsidTr="00FA72B4">
        <w:tc>
          <w:tcPr>
            <w:tcW w:w="2056" w:type="dxa"/>
            <w:vMerge/>
            <w:tcBorders>
              <w:left w:val="single" w:sz="8" w:space="0" w:color="000000"/>
              <w:right w:val="single" w:sz="8" w:space="0" w:color="000000"/>
            </w:tcBorders>
            <w:vAlign w:val="center"/>
          </w:tcPr>
          <w:p w14:paraId="6F341135" w14:textId="77777777" w:rsidR="00FA72B4" w:rsidRPr="005C2363" w:rsidRDefault="00FA72B4" w:rsidP="00FA72B4">
            <w:pPr>
              <w:spacing w:after="0" w:line="240" w:lineRule="auto"/>
              <w:rPr>
                <w:rFonts w:ascii="Cambria" w:eastAsia="Times New Roman" w:hAnsi="Cambria" w:cs="Calibri"/>
                <w:lang w:val="hr-HR"/>
              </w:rPr>
            </w:pPr>
          </w:p>
        </w:tc>
        <w:tc>
          <w:tcPr>
            <w:tcW w:w="2981" w:type="dxa"/>
            <w:gridSpan w:val="2"/>
            <w:tcBorders>
              <w:top w:val="single" w:sz="8" w:space="0" w:color="000000"/>
              <w:left w:val="single" w:sz="8" w:space="0" w:color="000000"/>
              <w:bottom w:val="single" w:sz="8" w:space="0" w:color="000000"/>
            </w:tcBorders>
            <w:shd w:val="clear" w:color="auto" w:fill="FFFFFF"/>
            <w:tcMar>
              <w:top w:w="15" w:type="dxa"/>
              <w:left w:w="108" w:type="dxa"/>
              <w:bottom w:w="0" w:type="dxa"/>
              <w:right w:w="108" w:type="dxa"/>
            </w:tcMar>
          </w:tcPr>
          <w:p w14:paraId="3B850B93" w14:textId="77777777" w:rsidR="00FA72B4" w:rsidRPr="005C2363" w:rsidRDefault="00FA72B4" w:rsidP="00FA72B4">
            <w:pPr>
              <w:spacing w:after="0" w:line="100" w:lineRule="atLeast"/>
              <w:rPr>
                <w:rFonts w:ascii="Cambria" w:eastAsia="Times New Roman" w:hAnsi="Cambria" w:cs="Calibri"/>
                <w:lang w:val="hr-HR"/>
              </w:rPr>
            </w:pPr>
            <w:r>
              <w:rPr>
                <w:rFonts w:ascii="Cambria" w:eastAsia="Times New Roman" w:hAnsi="Cambria" w:cs="Calibri"/>
                <w:lang w:val="hr-HR"/>
              </w:rPr>
              <w:t>usmeni ispit</w:t>
            </w:r>
          </w:p>
        </w:tc>
        <w:tc>
          <w:tcPr>
            <w:tcW w:w="1058" w:type="dxa"/>
            <w:tcBorders>
              <w:top w:val="single" w:sz="8" w:space="0" w:color="000000"/>
              <w:left w:val="single" w:sz="8" w:space="0" w:color="000000"/>
              <w:bottom w:val="single" w:sz="8" w:space="0" w:color="000000"/>
            </w:tcBorders>
            <w:shd w:val="clear" w:color="auto" w:fill="FFFFFF"/>
            <w:tcMar>
              <w:top w:w="15" w:type="dxa"/>
              <w:left w:w="108" w:type="dxa"/>
              <w:bottom w:w="0" w:type="dxa"/>
              <w:right w:w="108" w:type="dxa"/>
            </w:tcMar>
            <w:vAlign w:val="center"/>
          </w:tcPr>
          <w:p w14:paraId="7A19E0D6" w14:textId="77777777" w:rsidR="00FA72B4" w:rsidRPr="005C2363" w:rsidRDefault="00FA72B4" w:rsidP="00FA72B4">
            <w:pPr>
              <w:spacing w:after="0" w:line="100" w:lineRule="atLeast"/>
              <w:jc w:val="center"/>
              <w:rPr>
                <w:rFonts w:ascii="Cambria" w:eastAsia="Times New Roman" w:hAnsi="Cambria" w:cs="Calibri"/>
                <w:lang w:val="hr-HR"/>
              </w:rPr>
            </w:pPr>
            <w:r w:rsidRPr="005C2363">
              <w:rPr>
                <w:rFonts w:ascii="Cambria" w:eastAsia="Times New Roman" w:hAnsi="Cambria" w:cs="Calibri"/>
                <w:lang w:val="hr-HR"/>
              </w:rPr>
              <w:t xml:space="preserve">1. – </w:t>
            </w:r>
            <w:r>
              <w:rPr>
                <w:rFonts w:ascii="Cambria" w:eastAsia="Times New Roman" w:hAnsi="Cambria" w:cs="Calibri"/>
                <w:lang w:val="hr-HR"/>
              </w:rPr>
              <w:t>5</w:t>
            </w:r>
            <w:r w:rsidRPr="005C2363">
              <w:rPr>
                <w:rFonts w:ascii="Cambria" w:eastAsia="Times New Roman" w:hAnsi="Cambria" w:cs="Calibri"/>
                <w:lang w:val="hr-HR"/>
              </w:rPr>
              <w:t>.</w:t>
            </w:r>
          </w:p>
        </w:tc>
        <w:tc>
          <w:tcPr>
            <w:tcW w:w="697" w:type="dxa"/>
            <w:gridSpan w:val="2"/>
            <w:tcBorders>
              <w:top w:val="single" w:sz="8" w:space="0" w:color="000000"/>
              <w:left w:val="single" w:sz="8" w:space="0" w:color="000000"/>
              <w:bottom w:val="single" w:sz="8" w:space="0" w:color="000000"/>
              <w:right w:val="nil"/>
            </w:tcBorders>
            <w:tcMar>
              <w:top w:w="15" w:type="dxa"/>
              <w:left w:w="108" w:type="dxa"/>
              <w:bottom w:w="0" w:type="dxa"/>
              <w:right w:w="108" w:type="dxa"/>
            </w:tcMar>
            <w:vAlign w:val="center"/>
          </w:tcPr>
          <w:p w14:paraId="4DD37B29" w14:textId="488331D3" w:rsidR="00FA72B4" w:rsidRPr="00DF4CE5" w:rsidRDefault="009138DB" w:rsidP="00FA72B4">
            <w:pPr>
              <w:snapToGrid w:val="0"/>
              <w:spacing w:after="0" w:line="256" w:lineRule="auto"/>
              <w:jc w:val="center"/>
              <w:rPr>
                <w:rFonts w:ascii="Cambria" w:hAnsi="Cambria" w:cs="Calibri"/>
              </w:rPr>
            </w:pPr>
            <w:r>
              <w:rPr>
                <w:rFonts w:ascii="Cambria" w:hAnsi="Cambria" w:cs="Calibri"/>
              </w:rPr>
              <w:t>55</w:t>
            </w:r>
          </w:p>
        </w:tc>
        <w:tc>
          <w:tcPr>
            <w:tcW w:w="982" w:type="dxa"/>
            <w:tcBorders>
              <w:top w:val="single" w:sz="8" w:space="0" w:color="000000"/>
              <w:left w:val="single" w:sz="8" w:space="0" w:color="000000"/>
              <w:bottom w:val="single" w:sz="8" w:space="0" w:color="000000"/>
              <w:right w:val="nil"/>
            </w:tcBorders>
            <w:tcMar>
              <w:top w:w="15" w:type="dxa"/>
              <w:left w:w="108" w:type="dxa"/>
              <w:bottom w:w="0" w:type="dxa"/>
              <w:right w:w="108" w:type="dxa"/>
            </w:tcMar>
            <w:vAlign w:val="center"/>
          </w:tcPr>
          <w:p w14:paraId="4528B2D4" w14:textId="6EB893C2" w:rsidR="00FA72B4" w:rsidRPr="00DF4CE5" w:rsidRDefault="00FA72B4" w:rsidP="00FA72B4">
            <w:pPr>
              <w:snapToGrid w:val="0"/>
              <w:spacing w:after="0" w:line="256" w:lineRule="auto"/>
              <w:jc w:val="center"/>
              <w:rPr>
                <w:rFonts w:ascii="Cambria" w:hAnsi="Cambria" w:cs="Calibri"/>
              </w:rPr>
            </w:pPr>
            <w:r>
              <w:rPr>
                <w:rFonts w:ascii="Cambria" w:hAnsi="Cambria" w:cs="Calibri"/>
              </w:rPr>
              <w:t>1,</w:t>
            </w:r>
            <w:r w:rsidR="009138DB">
              <w:rPr>
                <w:rFonts w:ascii="Cambria" w:hAnsi="Cambria" w:cs="Calibri"/>
              </w:rPr>
              <w:t>8</w:t>
            </w:r>
          </w:p>
        </w:tc>
        <w:tc>
          <w:tcPr>
            <w:tcW w:w="127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5614E2D" w14:textId="77777777" w:rsidR="00FA72B4" w:rsidRPr="00DF4CE5" w:rsidRDefault="00FA72B4" w:rsidP="00FA72B4">
            <w:pPr>
              <w:snapToGrid w:val="0"/>
              <w:spacing w:after="0" w:line="256" w:lineRule="auto"/>
              <w:jc w:val="center"/>
              <w:rPr>
                <w:rFonts w:ascii="Cambria" w:hAnsi="Cambria" w:cs="Calibri"/>
              </w:rPr>
            </w:pPr>
            <w:r>
              <w:rPr>
                <w:rFonts w:ascii="Cambria" w:hAnsi="Cambria" w:cs="Calibri"/>
              </w:rPr>
              <w:t>30%</w:t>
            </w:r>
          </w:p>
        </w:tc>
      </w:tr>
      <w:tr w:rsidR="00FA72B4" w:rsidRPr="005C2363" w14:paraId="3ECC85B1" w14:textId="77777777" w:rsidTr="00FA72B4">
        <w:tc>
          <w:tcPr>
            <w:tcW w:w="2056" w:type="dxa"/>
            <w:vMerge/>
            <w:tcBorders>
              <w:left w:val="single" w:sz="8" w:space="0" w:color="000000"/>
              <w:right w:val="single" w:sz="8" w:space="0" w:color="000000"/>
            </w:tcBorders>
            <w:vAlign w:val="center"/>
          </w:tcPr>
          <w:p w14:paraId="59ECCE0F" w14:textId="77777777" w:rsidR="00FA72B4" w:rsidRPr="005C2363" w:rsidRDefault="00FA72B4" w:rsidP="00FA72B4">
            <w:pPr>
              <w:spacing w:after="0" w:line="240" w:lineRule="auto"/>
              <w:rPr>
                <w:rFonts w:ascii="Cambria" w:eastAsia="Times New Roman" w:hAnsi="Cambria" w:cs="Calibri"/>
                <w:lang w:val="hr-HR"/>
              </w:rPr>
            </w:pPr>
          </w:p>
        </w:tc>
        <w:tc>
          <w:tcPr>
            <w:tcW w:w="4039"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CA9FE46" w14:textId="77777777" w:rsidR="00FA72B4" w:rsidRPr="005C2363" w:rsidRDefault="00FA72B4" w:rsidP="00FA72B4">
            <w:pPr>
              <w:spacing w:after="0" w:line="240" w:lineRule="auto"/>
              <w:rPr>
                <w:rFonts w:ascii="Cambria" w:eastAsia="Times New Roman" w:hAnsi="Cambria" w:cs="Calibri"/>
                <w:lang w:val="hr-HR"/>
              </w:rPr>
            </w:pPr>
            <w:r w:rsidRPr="005C2363">
              <w:rPr>
                <w:rFonts w:ascii="Cambria" w:eastAsia="Times New Roman" w:hAnsi="Cambria" w:cs="Calibri"/>
                <w:lang w:val="hr-HR"/>
              </w:rPr>
              <w:t>ukupno</w:t>
            </w:r>
          </w:p>
        </w:tc>
        <w:tc>
          <w:tcPr>
            <w:tcW w:w="69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08CA1B0" w14:textId="6281C8DA" w:rsidR="00FA72B4" w:rsidRPr="005C2363" w:rsidRDefault="00F73829" w:rsidP="00FA72B4">
            <w:pPr>
              <w:spacing w:after="0" w:line="240" w:lineRule="auto"/>
              <w:jc w:val="center"/>
              <w:rPr>
                <w:rFonts w:ascii="Cambria" w:eastAsia="Times New Roman" w:hAnsi="Cambria" w:cs="Calibri"/>
                <w:lang w:val="hr-HR"/>
              </w:rPr>
            </w:pPr>
            <w:r>
              <w:rPr>
                <w:rFonts w:ascii="Cambria" w:eastAsia="Times New Roman" w:hAnsi="Cambria" w:cs="Calibri"/>
                <w:lang w:val="hr-HR"/>
              </w:rPr>
              <w:t>1</w:t>
            </w:r>
            <w:r w:rsidR="009138DB">
              <w:rPr>
                <w:rFonts w:ascii="Cambria" w:eastAsia="Times New Roman" w:hAnsi="Cambria" w:cs="Calibri"/>
                <w:lang w:val="hr-HR"/>
              </w:rPr>
              <w:t>50</w:t>
            </w:r>
          </w:p>
        </w:tc>
        <w:tc>
          <w:tcPr>
            <w:tcW w:w="9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E23CA42" w14:textId="1145DFFB" w:rsidR="00FA72B4" w:rsidRPr="005C2363" w:rsidRDefault="009138DB" w:rsidP="00FA72B4">
            <w:pPr>
              <w:spacing w:after="0" w:line="240" w:lineRule="auto"/>
              <w:jc w:val="center"/>
              <w:rPr>
                <w:rFonts w:ascii="Cambria" w:eastAsia="Times New Roman" w:hAnsi="Cambria" w:cs="Calibri"/>
                <w:lang w:val="hr-HR"/>
              </w:rPr>
            </w:pPr>
            <w:r>
              <w:rPr>
                <w:rFonts w:ascii="Cambria" w:eastAsia="Times New Roman" w:hAnsi="Cambria" w:cs="Calibri"/>
                <w:lang w:val="hr-HR"/>
              </w:rPr>
              <w:t>5</w:t>
            </w:r>
          </w:p>
        </w:tc>
        <w:tc>
          <w:tcPr>
            <w:tcW w:w="127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E132056" w14:textId="77777777" w:rsidR="00FA72B4" w:rsidRPr="005C2363" w:rsidRDefault="00FA72B4" w:rsidP="00FA72B4">
            <w:pPr>
              <w:spacing w:after="0" w:line="240" w:lineRule="auto"/>
              <w:jc w:val="center"/>
              <w:rPr>
                <w:rFonts w:ascii="Cambria" w:eastAsia="Times New Roman" w:hAnsi="Cambria" w:cs="Calibri"/>
                <w:lang w:val="hr-HR"/>
              </w:rPr>
            </w:pPr>
            <w:r>
              <w:rPr>
                <w:rFonts w:ascii="Cambria" w:eastAsia="Times New Roman" w:hAnsi="Cambria" w:cs="Calibri"/>
                <w:lang w:val="hr-HR"/>
              </w:rPr>
              <w:t>100%</w:t>
            </w:r>
          </w:p>
        </w:tc>
      </w:tr>
      <w:tr w:rsidR="00FA72B4" w:rsidRPr="00D0399C" w14:paraId="222639FB" w14:textId="77777777" w:rsidTr="00FA72B4">
        <w:tc>
          <w:tcPr>
            <w:tcW w:w="205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731BA48" w14:textId="77777777" w:rsidR="00FA72B4" w:rsidRPr="005C2363" w:rsidRDefault="00FA72B4" w:rsidP="00FA72B4">
            <w:pPr>
              <w:spacing w:after="0" w:line="240" w:lineRule="auto"/>
              <w:rPr>
                <w:rFonts w:ascii="Cambria" w:eastAsia="Times New Roman" w:hAnsi="Cambria" w:cs="Calibri"/>
                <w:lang w:val="hr-HR"/>
              </w:rPr>
            </w:pPr>
            <w:r w:rsidRPr="005C2363">
              <w:rPr>
                <w:rFonts w:ascii="Cambria" w:eastAsia="Times New Roman" w:hAnsi="Cambria" w:cs="Calibri"/>
                <w:lang w:val="hr-HR"/>
              </w:rPr>
              <w:t>Studentske obveze</w:t>
            </w:r>
          </w:p>
        </w:tc>
        <w:tc>
          <w:tcPr>
            <w:tcW w:w="699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9C433F9" w14:textId="77777777" w:rsidR="00FA72B4" w:rsidRPr="00E05582" w:rsidRDefault="00FA72B4" w:rsidP="00FA72B4">
            <w:pPr>
              <w:spacing w:after="0" w:line="240" w:lineRule="auto"/>
              <w:rPr>
                <w:rFonts w:ascii="Cambria" w:hAnsi="Cambria" w:cs="Calibri"/>
                <w:lang w:val="it-IT"/>
              </w:rPr>
            </w:pPr>
            <w:r w:rsidRPr="00E05582">
              <w:rPr>
                <w:rFonts w:ascii="Cambria" w:hAnsi="Cambria" w:cs="Calibri"/>
                <w:lang w:val="it-IT"/>
              </w:rPr>
              <w:t xml:space="preserve">Da bi </w:t>
            </w:r>
            <w:proofErr w:type="spellStart"/>
            <w:r w:rsidRPr="00E05582">
              <w:rPr>
                <w:rFonts w:ascii="Cambria" w:hAnsi="Cambria" w:cs="Calibri"/>
                <w:lang w:val="it-IT"/>
              </w:rPr>
              <w:t>položio</w:t>
            </w:r>
            <w:proofErr w:type="spellEnd"/>
            <w:r w:rsidRPr="00E05582">
              <w:rPr>
                <w:rFonts w:ascii="Cambria" w:hAnsi="Cambria" w:cs="Calibri"/>
                <w:lang w:val="it-IT"/>
              </w:rPr>
              <w:t xml:space="preserve">/la </w:t>
            </w:r>
            <w:proofErr w:type="spellStart"/>
            <w:r w:rsidRPr="00E05582">
              <w:rPr>
                <w:rFonts w:ascii="Cambria" w:hAnsi="Cambria" w:cs="Calibri"/>
                <w:lang w:val="it-IT"/>
              </w:rPr>
              <w:t>kolegij</w:t>
            </w:r>
            <w:proofErr w:type="spellEnd"/>
            <w:r w:rsidRPr="00E05582">
              <w:rPr>
                <w:rFonts w:ascii="Cambria" w:hAnsi="Cambria" w:cs="Calibri"/>
                <w:lang w:val="it-IT"/>
              </w:rPr>
              <w:t xml:space="preserve">, </w:t>
            </w:r>
            <w:proofErr w:type="spellStart"/>
            <w:r w:rsidRPr="00E05582">
              <w:rPr>
                <w:rFonts w:ascii="Cambria" w:hAnsi="Cambria" w:cs="Calibri"/>
                <w:lang w:val="it-IT"/>
              </w:rPr>
              <w:t>student</w:t>
            </w:r>
            <w:proofErr w:type="spellEnd"/>
            <w:r w:rsidRPr="00E05582">
              <w:rPr>
                <w:rFonts w:ascii="Cambria" w:hAnsi="Cambria" w:cs="Calibri"/>
                <w:lang w:val="it-IT"/>
              </w:rPr>
              <w:t>/</w:t>
            </w:r>
            <w:proofErr w:type="spellStart"/>
            <w:r w:rsidRPr="00E05582">
              <w:rPr>
                <w:rFonts w:ascii="Cambria" w:hAnsi="Cambria" w:cs="Calibri"/>
                <w:lang w:val="it-IT"/>
              </w:rPr>
              <w:t>studentica</w:t>
            </w:r>
            <w:proofErr w:type="spellEnd"/>
            <w:r w:rsidRPr="00E05582">
              <w:rPr>
                <w:rFonts w:ascii="Cambria" w:hAnsi="Cambria" w:cs="Calibri"/>
                <w:lang w:val="it-IT"/>
              </w:rPr>
              <w:t xml:space="preserve"> mora:</w:t>
            </w:r>
          </w:p>
          <w:p w14:paraId="570AACCD" w14:textId="77777777" w:rsidR="00FA72B4" w:rsidRPr="00E05582" w:rsidRDefault="00FA72B4" w:rsidP="00FA72B4">
            <w:pPr>
              <w:spacing w:after="0" w:line="240" w:lineRule="auto"/>
              <w:rPr>
                <w:rFonts w:ascii="Cambria" w:hAnsi="Cambria" w:cs="Calibri"/>
                <w:lang w:val="it-IT"/>
              </w:rPr>
            </w:pPr>
            <w:r w:rsidRPr="00E05582">
              <w:rPr>
                <w:rFonts w:ascii="Cambria" w:hAnsi="Cambria" w:cs="Calibri"/>
                <w:lang w:val="it-IT"/>
              </w:rPr>
              <w:t xml:space="preserve">1. </w:t>
            </w:r>
            <w:proofErr w:type="spellStart"/>
            <w:r w:rsidRPr="00E05582">
              <w:rPr>
                <w:rFonts w:ascii="Cambria" w:hAnsi="Cambria" w:cs="Calibri"/>
                <w:lang w:val="it-IT"/>
              </w:rPr>
              <w:t>redovito</w:t>
            </w:r>
            <w:proofErr w:type="spellEnd"/>
            <w:r w:rsidRPr="00E05582">
              <w:rPr>
                <w:rFonts w:ascii="Cambria" w:hAnsi="Cambria" w:cs="Calibri"/>
                <w:lang w:val="it-IT"/>
              </w:rPr>
              <w:t xml:space="preserve"> </w:t>
            </w:r>
            <w:proofErr w:type="spellStart"/>
            <w:r w:rsidRPr="00E05582">
              <w:rPr>
                <w:rFonts w:ascii="Cambria" w:hAnsi="Cambria" w:cs="Calibri"/>
                <w:lang w:val="it-IT"/>
              </w:rPr>
              <w:t>prisustvovati</w:t>
            </w:r>
            <w:proofErr w:type="spellEnd"/>
            <w:r w:rsidRPr="00E05582">
              <w:rPr>
                <w:rFonts w:ascii="Cambria" w:hAnsi="Cambria" w:cs="Calibri"/>
                <w:lang w:val="it-IT"/>
              </w:rPr>
              <w:t xml:space="preserve"> </w:t>
            </w:r>
            <w:proofErr w:type="spellStart"/>
            <w:r w:rsidRPr="00E05582">
              <w:rPr>
                <w:rFonts w:ascii="Cambria" w:hAnsi="Cambria" w:cs="Calibri"/>
                <w:lang w:val="it-IT"/>
              </w:rPr>
              <w:t>nastavi</w:t>
            </w:r>
            <w:proofErr w:type="spellEnd"/>
            <w:r w:rsidRPr="00E05582">
              <w:rPr>
                <w:rFonts w:ascii="Cambria" w:hAnsi="Cambria" w:cs="Calibri"/>
                <w:lang w:val="it-IT"/>
              </w:rPr>
              <w:t xml:space="preserve"> i </w:t>
            </w:r>
            <w:proofErr w:type="spellStart"/>
            <w:r w:rsidRPr="00E05582">
              <w:rPr>
                <w:rFonts w:ascii="Cambria" w:hAnsi="Cambria" w:cs="Calibri"/>
                <w:lang w:val="it-IT"/>
              </w:rPr>
              <w:t>aktivno</w:t>
            </w:r>
            <w:proofErr w:type="spellEnd"/>
            <w:r w:rsidRPr="00E05582">
              <w:rPr>
                <w:rFonts w:ascii="Cambria" w:hAnsi="Cambria" w:cs="Calibri"/>
                <w:lang w:val="it-IT"/>
              </w:rPr>
              <w:t xml:space="preserve"> </w:t>
            </w:r>
            <w:proofErr w:type="spellStart"/>
            <w:r w:rsidRPr="00E05582">
              <w:rPr>
                <w:rFonts w:ascii="Cambria" w:hAnsi="Cambria" w:cs="Calibri"/>
                <w:lang w:val="it-IT"/>
              </w:rPr>
              <w:t>sudjelovati</w:t>
            </w:r>
            <w:proofErr w:type="spellEnd"/>
            <w:r w:rsidRPr="00E05582">
              <w:rPr>
                <w:rFonts w:ascii="Cambria" w:hAnsi="Cambria" w:cs="Calibri"/>
                <w:lang w:val="it-IT"/>
              </w:rPr>
              <w:t xml:space="preserve"> u </w:t>
            </w:r>
            <w:proofErr w:type="spellStart"/>
            <w:r w:rsidRPr="00E05582">
              <w:rPr>
                <w:rFonts w:ascii="Cambria" w:hAnsi="Cambria" w:cs="Calibri"/>
                <w:lang w:val="it-IT"/>
              </w:rPr>
              <w:t>svim</w:t>
            </w:r>
            <w:proofErr w:type="spellEnd"/>
            <w:r w:rsidRPr="00E05582">
              <w:rPr>
                <w:rFonts w:ascii="Cambria" w:hAnsi="Cambria" w:cs="Calibri"/>
                <w:lang w:val="it-IT"/>
              </w:rPr>
              <w:t xml:space="preserve"> </w:t>
            </w:r>
            <w:proofErr w:type="spellStart"/>
            <w:r w:rsidRPr="00E05582">
              <w:rPr>
                <w:rFonts w:ascii="Cambria" w:hAnsi="Cambria" w:cs="Calibri"/>
                <w:lang w:val="it-IT"/>
              </w:rPr>
              <w:t>oblicima</w:t>
            </w:r>
            <w:proofErr w:type="spellEnd"/>
            <w:r w:rsidRPr="00E05582">
              <w:rPr>
                <w:rFonts w:ascii="Cambria" w:hAnsi="Cambria" w:cs="Calibri"/>
                <w:lang w:val="it-IT"/>
              </w:rPr>
              <w:t xml:space="preserve"> </w:t>
            </w:r>
            <w:proofErr w:type="spellStart"/>
            <w:r w:rsidRPr="00E05582">
              <w:rPr>
                <w:rFonts w:ascii="Cambria" w:hAnsi="Cambria" w:cs="Calibri"/>
                <w:lang w:val="it-IT"/>
              </w:rPr>
              <w:t>nastave</w:t>
            </w:r>
            <w:proofErr w:type="spellEnd"/>
          </w:p>
          <w:p w14:paraId="4F940A0A" w14:textId="77777777" w:rsidR="00FA72B4" w:rsidRPr="00E05582" w:rsidRDefault="00FA72B4" w:rsidP="00FA72B4">
            <w:pPr>
              <w:spacing w:after="0" w:line="240" w:lineRule="auto"/>
              <w:rPr>
                <w:rFonts w:ascii="Cambria" w:hAnsi="Cambria" w:cs="Calibri"/>
                <w:lang w:val="it-IT"/>
              </w:rPr>
            </w:pPr>
            <w:r w:rsidRPr="00E05582">
              <w:rPr>
                <w:rFonts w:ascii="Cambria" w:hAnsi="Cambria" w:cs="Calibri"/>
                <w:lang w:val="it-IT"/>
              </w:rPr>
              <w:t xml:space="preserve">2. </w:t>
            </w:r>
            <w:proofErr w:type="spellStart"/>
            <w:r w:rsidRPr="00E05582">
              <w:rPr>
                <w:rFonts w:ascii="Cambria" w:hAnsi="Cambria" w:cs="Calibri"/>
                <w:lang w:val="it-IT"/>
              </w:rPr>
              <w:t>izraditi</w:t>
            </w:r>
            <w:proofErr w:type="spellEnd"/>
            <w:r w:rsidRPr="00E05582">
              <w:rPr>
                <w:rFonts w:ascii="Cambria" w:hAnsi="Cambria" w:cs="Calibri"/>
                <w:lang w:val="it-IT"/>
              </w:rPr>
              <w:t xml:space="preserve"> </w:t>
            </w:r>
            <w:proofErr w:type="spellStart"/>
            <w:r w:rsidRPr="00E05582">
              <w:rPr>
                <w:rFonts w:ascii="Cambria" w:hAnsi="Cambria" w:cs="Calibri"/>
                <w:lang w:val="it-IT"/>
              </w:rPr>
              <w:t>referat</w:t>
            </w:r>
            <w:proofErr w:type="spellEnd"/>
            <w:r w:rsidRPr="00E05582">
              <w:rPr>
                <w:rFonts w:ascii="Cambria" w:hAnsi="Cambria" w:cs="Calibri"/>
                <w:lang w:val="it-IT"/>
              </w:rPr>
              <w:t xml:space="preserve"> i </w:t>
            </w:r>
            <w:proofErr w:type="spellStart"/>
            <w:r w:rsidRPr="00E05582">
              <w:rPr>
                <w:rFonts w:ascii="Cambria" w:hAnsi="Cambria" w:cs="Calibri"/>
                <w:lang w:val="it-IT"/>
              </w:rPr>
              <w:t>originalna</w:t>
            </w:r>
            <w:proofErr w:type="spellEnd"/>
            <w:r w:rsidRPr="00E05582">
              <w:rPr>
                <w:rFonts w:ascii="Cambria" w:hAnsi="Cambria" w:cs="Calibri"/>
                <w:lang w:val="it-IT"/>
              </w:rPr>
              <w:t xml:space="preserve"> </w:t>
            </w:r>
            <w:proofErr w:type="spellStart"/>
            <w:r w:rsidRPr="00E05582">
              <w:rPr>
                <w:rFonts w:ascii="Cambria" w:hAnsi="Cambria" w:cs="Calibri"/>
                <w:lang w:val="it-IT"/>
              </w:rPr>
              <w:t>autorska</w:t>
            </w:r>
            <w:proofErr w:type="spellEnd"/>
            <w:r w:rsidRPr="00E05582">
              <w:rPr>
                <w:rFonts w:ascii="Cambria" w:hAnsi="Cambria" w:cs="Calibri"/>
                <w:lang w:val="it-IT"/>
              </w:rPr>
              <w:t xml:space="preserve"> </w:t>
            </w:r>
            <w:proofErr w:type="spellStart"/>
            <w:r w:rsidRPr="00E05582">
              <w:rPr>
                <w:rFonts w:ascii="Cambria" w:hAnsi="Cambria" w:cs="Calibri"/>
                <w:lang w:val="it-IT"/>
              </w:rPr>
              <w:t>likovna</w:t>
            </w:r>
            <w:proofErr w:type="spellEnd"/>
            <w:r w:rsidRPr="00E05582">
              <w:rPr>
                <w:rFonts w:ascii="Cambria" w:hAnsi="Cambria" w:cs="Calibri"/>
                <w:lang w:val="it-IT"/>
              </w:rPr>
              <w:t xml:space="preserve"> </w:t>
            </w:r>
            <w:proofErr w:type="spellStart"/>
            <w:r w:rsidRPr="00E05582">
              <w:rPr>
                <w:rFonts w:ascii="Cambria" w:hAnsi="Cambria" w:cs="Calibri"/>
                <w:lang w:val="it-IT"/>
              </w:rPr>
              <w:t>djela</w:t>
            </w:r>
            <w:proofErr w:type="spellEnd"/>
          </w:p>
          <w:p w14:paraId="7D520C1A" w14:textId="77777777" w:rsidR="00FA72B4" w:rsidRPr="00E05582" w:rsidRDefault="00FA72B4" w:rsidP="00FA72B4">
            <w:pPr>
              <w:spacing w:after="0" w:line="240" w:lineRule="auto"/>
              <w:rPr>
                <w:rFonts w:ascii="Cambria" w:hAnsi="Cambria" w:cs="Calibri"/>
                <w:lang w:val="it-IT"/>
              </w:rPr>
            </w:pPr>
            <w:r w:rsidRPr="00E05582">
              <w:rPr>
                <w:rFonts w:ascii="Cambria" w:hAnsi="Cambria" w:cs="Calibri"/>
                <w:lang w:val="it-IT"/>
              </w:rPr>
              <w:t xml:space="preserve">3. </w:t>
            </w:r>
            <w:proofErr w:type="spellStart"/>
            <w:r w:rsidRPr="00E05582">
              <w:rPr>
                <w:rFonts w:ascii="Cambria" w:hAnsi="Cambria" w:cs="Calibri"/>
                <w:lang w:val="it-IT"/>
              </w:rPr>
              <w:t>posjetiti</w:t>
            </w:r>
            <w:proofErr w:type="spellEnd"/>
            <w:r w:rsidRPr="00E05582">
              <w:rPr>
                <w:rFonts w:ascii="Cambria" w:hAnsi="Cambria" w:cs="Calibri"/>
                <w:lang w:val="it-IT"/>
              </w:rPr>
              <w:t xml:space="preserve"> </w:t>
            </w:r>
            <w:proofErr w:type="spellStart"/>
            <w:r w:rsidRPr="00E05582">
              <w:rPr>
                <w:rFonts w:ascii="Cambria" w:hAnsi="Cambria" w:cs="Calibri"/>
                <w:lang w:val="it-IT"/>
              </w:rPr>
              <w:t>najmanje</w:t>
            </w:r>
            <w:proofErr w:type="spellEnd"/>
            <w:r w:rsidRPr="00E05582">
              <w:rPr>
                <w:rFonts w:ascii="Cambria" w:hAnsi="Cambria" w:cs="Calibri"/>
                <w:lang w:val="it-IT"/>
              </w:rPr>
              <w:t xml:space="preserve"> 5 </w:t>
            </w:r>
            <w:proofErr w:type="spellStart"/>
            <w:r w:rsidRPr="00E05582">
              <w:rPr>
                <w:rFonts w:ascii="Cambria" w:hAnsi="Cambria" w:cs="Calibri"/>
                <w:lang w:val="it-IT"/>
              </w:rPr>
              <w:t>recentnih</w:t>
            </w:r>
            <w:proofErr w:type="spellEnd"/>
            <w:r w:rsidRPr="00E05582">
              <w:rPr>
                <w:rFonts w:ascii="Cambria" w:hAnsi="Cambria" w:cs="Calibri"/>
                <w:lang w:val="it-IT"/>
              </w:rPr>
              <w:t xml:space="preserve"> </w:t>
            </w:r>
            <w:proofErr w:type="spellStart"/>
            <w:r w:rsidRPr="00E05582">
              <w:rPr>
                <w:rFonts w:ascii="Cambria" w:hAnsi="Cambria" w:cs="Calibri"/>
                <w:lang w:val="it-IT"/>
              </w:rPr>
              <w:t>izložbi</w:t>
            </w:r>
            <w:proofErr w:type="spellEnd"/>
            <w:r w:rsidRPr="00E05582">
              <w:rPr>
                <w:rFonts w:ascii="Cambria" w:hAnsi="Cambria" w:cs="Calibri"/>
                <w:lang w:val="it-IT"/>
              </w:rPr>
              <w:t xml:space="preserve"> u </w:t>
            </w:r>
            <w:proofErr w:type="spellStart"/>
            <w:r w:rsidRPr="00E05582">
              <w:rPr>
                <w:rFonts w:ascii="Cambria" w:hAnsi="Cambria" w:cs="Calibri"/>
                <w:lang w:val="it-IT"/>
              </w:rPr>
              <w:t>muzejima</w:t>
            </w:r>
            <w:proofErr w:type="spellEnd"/>
            <w:r w:rsidRPr="00E05582">
              <w:rPr>
                <w:rFonts w:ascii="Cambria" w:hAnsi="Cambria" w:cs="Calibri"/>
                <w:lang w:val="it-IT"/>
              </w:rPr>
              <w:t xml:space="preserve"> i </w:t>
            </w:r>
            <w:proofErr w:type="spellStart"/>
            <w:r w:rsidRPr="00E05582">
              <w:rPr>
                <w:rFonts w:ascii="Cambria" w:hAnsi="Cambria" w:cs="Calibri"/>
                <w:lang w:val="it-IT"/>
              </w:rPr>
              <w:t>galerijama</w:t>
            </w:r>
            <w:proofErr w:type="spellEnd"/>
            <w:r w:rsidRPr="00E05582">
              <w:rPr>
                <w:rFonts w:ascii="Cambria" w:hAnsi="Cambria" w:cs="Calibri"/>
                <w:lang w:val="it-IT"/>
              </w:rPr>
              <w:t xml:space="preserve"> i prema </w:t>
            </w:r>
            <w:proofErr w:type="spellStart"/>
            <w:r w:rsidRPr="00E05582">
              <w:rPr>
                <w:rFonts w:ascii="Cambria" w:hAnsi="Cambria" w:cs="Calibri"/>
                <w:lang w:val="it-IT"/>
              </w:rPr>
              <w:t>mogućnosti</w:t>
            </w:r>
            <w:proofErr w:type="spellEnd"/>
            <w:r w:rsidRPr="00E05582">
              <w:rPr>
                <w:rFonts w:ascii="Cambria" w:hAnsi="Cambria" w:cs="Calibri"/>
                <w:lang w:val="it-IT"/>
              </w:rPr>
              <w:t xml:space="preserve"> </w:t>
            </w:r>
            <w:proofErr w:type="spellStart"/>
            <w:r w:rsidRPr="00E05582">
              <w:rPr>
                <w:rFonts w:ascii="Cambria" w:hAnsi="Cambria" w:cs="Calibri"/>
                <w:lang w:val="it-IT"/>
              </w:rPr>
              <w:t>prisustvovati</w:t>
            </w:r>
            <w:proofErr w:type="spellEnd"/>
            <w:r w:rsidRPr="00E05582">
              <w:rPr>
                <w:rFonts w:ascii="Cambria" w:hAnsi="Cambria" w:cs="Calibri"/>
                <w:lang w:val="it-IT"/>
              </w:rPr>
              <w:t xml:space="preserve"> </w:t>
            </w:r>
            <w:proofErr w:type="spellStart"/>
            <w:r w:rsidRPr="00E05582">
              <w:rPr>
                <w:rFonts w:ascii="Cambria" w:hAnsi="Cambria" w:cs="Calibri"/>
                <w:lang w:val="it-IT"/>
              </w:rPr>
              <w:t>na</w:t>
            </w:r>
            <w:proofErr w:type="spellEnd"/>
            <w:r w:rsidRPr="00E05582">
              <w:rPr>
                <w:rFonts w:ascii="Cambria" w:hAnsi="Cambria" w:cs="Calibri"/>
                <w:lang w:val="it-IT"/>
              </w:rPr>
              <w:t xml:space="preserve"> </w:t>
            </w:r>
            <w:proofErr w:type="spellStart"/>
            <w:r w:rsidRPr="00E05582">
              <w:rPr>
                <w:rFonts w:ascii="Cambria" w:hAnsi="Cambria" w:cs="Calibri"/>
                <w:lang w:val="it-IT"/>
              </w:rPr>
              <w:t>najmanje</w:t>
            </w:r>
            <w:proofErr w:type="spellEnd"/>
            <w:r w:rsidRPr="00E05582">
              <w:rPr>
                <w:rFonts w:ascii="Cambria" w:hAnsi="Cambria" w:cs="Calibri"/>
                <w:lang w:val="it-IT"/>
              </w:rPr>
              <w:t xml:space="preserve"> 5 </w:t>
            </w:r>
            <w:proofErr w:type="spellStart"/>
            <w:r w:rsidRPr="00E05582">
              <w:rPr>
                <w:rFonts w:ascii="Cambria" w:hAnsi="Cambria" w:cs="Calibri"/>
                <w:lang w:val="it-IT"/>
              </w:rPr>
              <w:t>otvorenja</w:t>
            </w:r>
            <w:proofErr w:type="spellEnd"/>
            <w:r w:rsidRPr="00E05582">
              <w:rPr>
                <w:rFonts w:ascii="Cambria" w:hAnsi="Cambria" w:cs="Calibri"/>
                <w:lang w:val="it-IT"/>
              </w:rPr>
              <w:t xml:space="preserve"> </w:t>
            </w:r>
            <w:proofErr w:type="spellStart"/>
            <w:r w:rsidRPr="00E05582">
              <w:rPr>
                <w:rFonts w:ascii="Cambria" w:hAnsi="Cambria" w:cs="Calibri"/>
                <w:lang w:val="it-IT"/>
              </w:rPr>
              <w:t>recentnih</w:t>
            </w:r>
            <w:proofErr w:type="spellEnd"/>
            <w:r w:rsidRPr="00E05582">
              <w:rPr>
                <w:rFonts w:ascii="Cambria" w:hAnsi="Cambria" w:cs="Calibri"/>
                <w:lang w:val="it-IT"/>
              </w:rPr>
              <w:t xml:space="preserve"> </w:t>
            </w:r>
            <w:proofErr w:type="spellStart"/>
            <w:r w:rsidRPr="00E05582">
              <w:rPr>
                <w:rFonts w:ascii="Cambria" w:hAnsi="Cambria" w:cs="Calibri"/>
                <w:lang w:val="it-IT"/>
              </w:rPr>
              <w:t>izložbi</w:t>
            </w:r>
            <w:proofErr w:type="spellEnd"/>
          </w:p>
          <w:p w14:paraId="4FA745EB" w14:textId="77777777" w:rsidR="00FA72B4" w:rsidRPr="00E05582" w:rsidRDefault="00FA72B4" w:rsidP="00FA72B4">
            <w:pPr>
              <w:spacing w:after="0" w:line="240" w:lineRule="auto"/>
              <w:rPr>
                <w:rFonts w:ascii="Cambria" w:hAnsi="Cambria" w:cs="Calibri"/>
                <w:lang w:val="it-IT"/>
              </w:rPr>
            </w:pPr>
            <w:r w:rsidRPr="00E05582">
              <w:rPr>
                <w:rFonts w:ascii="Cambria" w:hAnsi="Cambria" w:cs="Calibri"/>
                <w:lang w:val="it-IT"/>
              </w:rPr>
              <w:t xml:space="preserve">4. </w:t>
            </w:r>
            <w:proofErr w:type="spellStart"/>
            <w:r w:rsidRPr="00E05582">
              <w:rPr>
                <w:rFonts w:ascii="Cambria" w:hAnsi="Cambria" w:cs="Calibri"/>
                <w:lang w:val="it-IT"/>
              </w:rPr>
              <w:t>položiti</w:t>
            </w:r>
            <w:proofErr w:type="spellEnd"/>
            <w:r w:rsidRPr="00E05582">
              <w:rPr>
                <w:rFonts w:ascii="Cambria" w:hAnsi="Cambria" w:cs="Calibri"/>
                <w:lang w:val="it-IT"/>
              </w:rPr>
              <w:t xml:space="preserve"> </w:t>
            </w:r>
            <w:proofErr w:type="spellStart"/>
            <w:r w:rsidRPr="00E05582">
              <w:rPr>
                <w:rFonts w:ascii="Cambria" w:hAnsi="Cambria" w:cs="Calibri"/>
                <w:lang w:val="it-IT"/>
              </w:rPr>
              <w:t>usmeni</w:t>
            </w:r>
            <w:proofErr w:type="spellEnd"/>
            <w:r w:rsidRPr="00E05582">
              <w:rPr>
                <w:rFonts w:ascii="Cambria" w:hAnsi="Cambria" w:cs="Calibri"/>
                <w:lang w:val="it-IT"/>
              </w:rPr>
              <w:t xml:space="preserve"> </w:t>
            </w:r>
            <w:proofErr w:type="spellStart"/>
            <w:r w:rsidRPr="00E05582">
              <w:rPr>
                <w:rFonts w:ascii="Cambria" w:hAnsi="Cambria" w:cs="Calibri"/>
                <w:lang w:val="it-IT"/>
              </w:rPr>
              <w:t>ispit</w:t>
            </w:r>
            <w:proofErr w:type="spellEnd"/>
          </w:p>
          <w:p w14:paraId="5F32279A" w14:textId="77777777" w:rsidR="00FA72B4" w:rsidRPr="00DF4CE5" w:rsidRDefault="00FA72B4" w:rsidP="00FA72B4">
            <w:pPr>
              <w:spacing w:after="0" w:line="240" w:lineRule="auto"/>
              <w:rPr>
                <w:rFonts w:ascii="Cambria" w:hAnsi="Cambria" w:cs="Calibri"/>
                <w:lang w:val="it-IT"/>
              </w:rPr>
            </w:pPr>
            <w:proofErr w:type="spellStart"/>
            <w:r w:rsidRPr="00E05582">
              <w:rPr>
                <w:rFonts w:ascii="Cambria" w:hAnsi="Cambria" w:cs="Calibri"/>
                <w:lang w:val="it-IT"/>
              </w:rPr>
              <w:t>Napomena</w:t>
            </w:r>
            <w:proofErr w:type="spellEnd"/>
            <w:r w:rsidRPr="00E05582">
              <w:rPr>
                <w:rFonts w:ascii="Cambria" w:hAnsi="Cambria" w:cs="Calibri"/>
                <w:lang w:val="it-IT"/>
              </w:rPr>
              <w:t xml:space="preserve">: </w:t>
            </w:r>
            <w:proofErr w:type="spellStart"/>
            <w:r w:rsidRPr="00E05582">
              <w:rPr>
                <w:rFonts w:ascii="Cambria" w:hAnsi="Cambria" w:cs="Calibri"/>
                <w:lang w:val="it-IT"/>
              </w:rPr>
              <w:t>Likovna</w:t>
            </w:r>
            <w:proofErr w:type="spellEnd"/>
            <w:r w:rsidRPr="00E05582">
              <w:rPr>
                <w:rFonts w:ascii="Cambria" w:hAnsi="Cambria" w:cs="Calibri"/>
                <w:lang w:val="it-IT"/>
              </w:rPr>
              <w:t xml:space="preserve"> </w:t>
            </w:r>
            <w:proofErr w:type="spellStart"/>
            <w:r w:rsidRPr="00E05582">
              <w:rPr>
                <w:rFonts w:ascii="Cambria" w:hAnsi="Cambria" w:cs="Calibri"/>
                <w:lang w:val="it-IT"/>
              </w:rPr>
              <w:t>originalna</w:t>
            </w:r>
            <w:proofErr w:type="spellEnd"/>
            <w:r w:rsidRPr="00E05582">
              <w:rPr>
                <w:rFonts w:ascii="Cambria" w:hAnsi="Cambria" w:cs="Calibri"/>
                <w:lang w:val="it-IT"/>
              </w:rPr>
              <w:t xml:space="preserve"> </w:t>
            </w:r>
            <w:proofErr w:type="spellStart"/>
            <w:r w:rsidRPr="00E05582">
              <w:rPr>
                <w:rFonts w:ascii="Cambria" w:hAnsi="Cambria" w:cs="Calibri"/>
                <w:lang w:val="it-IT"/>
              </w:rPr>
              <w:t>djela</w:t>
            </w:r>
            <w:proofErr w:type="spellEnd"/>
            <w:r w:rsidRPr="00E05582">
              <w:rPr>
                <w:rFonts w:ascii="Cambria" w:hAnsi="Cambria" w:cs="Calibri"/>
                <w:lang w:val="it-IT"/>
              </w:rPr>
              <w:t xml:space="preserve"> studenti su </w:t>
            </w:r>
            <w:proofErr w:type="spellStart"/>
            <w:r w:rsidRPr="00E05582">
              <w:rPr>
                <w:rFonts w:ascii="Cambria" w:hAnsi="Cambria" w:cs="Calibri"/>
                <w:lang w:val="it-IT"/>
              </w:rPr>
              <w:t>dužni</w:t>
            </w:r>
            <w:proofErr w:type="spellEnd"/>
            <w:r w:rsidRPr="00E05582">
              <w:rPr>
                <w:rFonts w:ascii="Cambria" w:hAnsi="Cambria" w:cs="Calibri"/>
                <w:lang w:val="it-IT"/>
              </w:rPr>
              <w:t xml:space="preserve"> </w:t>
            </w:r>
            <w:proofErr w:type="spellStart"/>
            <w:r w:rsidRPr="00E05582">
              <w:rPr>
                <w:rFonts w:ascii="Cambria" w:hAnsi="Cambria" w:cs="Calibri"/>
                <w:lang w:val="it-IT"/>
              </w:rPr>
              <w:t>izraditi</w:t>
            </w:r>
            <w:proofErr w:type="spellEnd"/>
            <w:r w:rsidRPr="00E05582">
              <w:rPr>
                <w:rFonts w:ascii="Cambria" w:hAnsi="Cambria" w:cs="Calibri"/>
                <w:lang w:val="it-IT"/>
              </w:rPr>
              <w:t xml:space="preserve"> in situ </w:t>
            </w:r>
            <w:proofErr w:type="spellStart"/>
            <w:r w:rsidRPr="00E05582">
              <w:rPr>
                <w:rFonts w:ascii="Cambria" w:hAnsi="Cambria" w:cs="Calibri"/>
                <w:lang w:val="it-IT"/>
              </w:rPr>
              <w:t>tijekom</w:t>
            </w:r>
            <w:proofErr w:type="spellEnd"/>
            <w:r w:rsidRPr="00E05582">
              <w:rPr>
                <w:rFonts w:ascii="Cambria" w:hAnsi="Cambria" w:cs="Calibri"/>
                <w:lang w:val="it-IT"/>
              </w:rPr>
              <w:t xml:space="preserve"> </w:t>
            </w:r>
            <w:proofErr w:type="spellStart"/>
            <w:r w:rsidRPr="00E05582">
              <w:rPr>
                <w:rFonts w:ascii="Cambria" w:hAnsi="Cambria" w:cs="Calibri"/>
                <w:lang w:val="it-IT"/>
              </w:rPr>
              <w:t>redovne</w:t>
            </w:r>
            <w:proofErr w:type="spellEnd"/>
            <w:r w:rsidRPr="00E05582">
              <w:rPr>
                <w:rFonts w:ascii="Cambria" w:hAnsi="Cambria" w:cs="Calibri"/>
                <w:lang w:val="it-IT"/>
              </w:rPr>
              <w:t xml:space="preserve"> </w:t>
            </w:r>
            <w:proofErr w:type="spellStart"/>
            <w:r w:rsidRPr="00E05582">
              <w:rPr>
                <w:rFonts w:ascii="Cambria" w:hAnsi="Cambria" w:cs="Calibri"/>
                <w:lang w:val="it-IT"/>
              </w:rPr>
              <w:t>nastave</w:t>
            </w:r>
            <w:proofErr w:type="spellEnd"/>
            <w:r w:rsidRPr="00E05582">
              <w:rPr>
                <w:rFonts w:ascii="Cambria" w:hAnsi="Cambria" w:cs="Calibri"/>
                <w:lang w:val="it-IT"/>
              </w:rPr>
              <w:t>.</w:t>
            </w:r>
          </w:p>
        </w:tc>
      </w:tr>
      <w:tr w:rsidR="00FA72B4" w:rsidRPr="00D0399C" w14:paraId="5302895A" w14:textId="77777777" w:rsidTr="00FA72B4">
        <w:tc>
          <w:tcPr>
            <w:tcW w:w="205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F8B0F67" w14:textId="77777777" w:rsidR="00FA72B4" w:rsidRPr="005C2363" w:rsidRDefault="00FA72B4" w:rsidP="00FA72B4">
            <w:pPr>
              <w:spacing w:after="0" w:line="240" w:lineRule="auto"/>
              <w:rPr>
                <w:rFonts w:ascii="Cambria" w:eastAsia="Times New Roman" w:hAnsi="Cambria" w:cs="Calibri"/>
                <w:lang w:val="hr-HR"/>
              </w:rPr>
            </w:pPr>
            <w:r w:rsidRPr="005C2363">
              <w:rPr>
                <w:rFonts w:ascii="Cambria" w:eastAsia="Times New Roman" w:hAnsi="Cambria" w:cs="Calibri"/>
                <w:lang w:val="hr-HR"/>
              </w:rPr>
              <w:t>Rokovi ispita i kolokvija</w:t>
            </w:r>
          </w:p>
        </w:tc>
        <w:tc>
          <w:tcPr>
            <w:tcW w:w="699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4DAA542" w14:textId="77777777" w:rsidR="00FA72B4" w:rsidRPr="00DF4CE5" w:rsidRDefault="00FA72B4" w:rsidP="00FA72B4">
            <w:pPr>
              <w:snapToGrid w:val="0"/>
              <w:spacing w:after="0" w:line="240" w:lineRule="auto"/>
              <w:jc w:val="both"/>
              <w:rPr>
                <w:rFonts w:ascii="Cambria" w:eastAsia="Times New Roman" w:hAnsi="Cambria" w:cs="Calibri"/>
                <w:lang w:val="hr-HR"/>
              </w:rPr>
            </w:pPr>
            <w:r w:rsidRPr="00DF4CE5">
              <w:rPr>
                <w:rFonts w:ascii="Cambria" w:eastAsia="Times New Roman" w:hAnsi="Cambria" w:cs="Calibri"/>
                <w:lang w:val="hr-HR"/>
              </w:rPr>
              <w:t>Daju se na početku akademske godine, objavljuju se na mrežnim stranicama Sveučilišta i u ISVU.</w:t>
            </w:r>
          </w:p>
        </w:tc>
      </w:tr>
      <w:tr w:rsidR="00FA72B4" w:rsidRPr="00D0399C" w14:paraId="7F04484C" w14:textId="77777777" w:rsidTr="00FA72B4">
        <w:tc>
          <w:tcPr>
            <w:tcW w:w="205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35C1A43" w14:textId="77777777" w:rsidR="00FA72B4" w:rsidRPr="005C2363" w:rsidRDefault="00FA72B4" w:rsidP="00FA72B4">
            <w:pPr>
              <w:spacing w:after="0" w:line="240" w:lineRule="auto"/>
              <w:rPr>
                <w:rFonts w:ascii="Cambria" w:eastAsia="Times New Roman" w:hAnsi="Cambria" w:cs="Calibri"/>
                <w:lang w:val="hr-HR"/>
              </w:rPr>
            </w:pPr>
            <w:r w:rsidRPr="005C2363">
              <w:rPr>
                <w:rFonts w:ascii="Cambria" w:eastAsia="Times New Roman" w:hAnsi="Cambria" w:cs="Calibri"/>
                <w:lang w:val="hr-HR"/>
              </w:rPr>
              <w:t>Ostale važne činjenice vezane uz kolegij</w:t>
            </w:r>
          </w:p>
        </w:tc>
        <w:tc>
          <w:tcPr>
            <w:tcW w:w="699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F684AA4" w14:textId="77777777" w:rsidR="00FA72B4" w:rsidRPr="00DF4CE5" w:rsidRDefault="00FA72B4" w:rsidP="00FA72B4">
            <w:pPr>
              <w:snapToGrid w:val="0"/>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U slučaju održavanja nastave na daljinu, moguće je odstupanje u: mjestu izvođenja kolegija, provedbi aktivnosti, metodama tumačenja i poučavanja i načinima vrjednovanja, studentskim obvezama i dostupnoj literaturi. </w:t>
            </w:r>
          </w:p>
        </w:tc>
      </w:tr>
      <w:tr w:rsidR="00FA72B4" w:rsidRPr="00B64772" w14:paraId="15F9EACF" w14:textId="77777777" w:rsidTr="00FA72B4">
        <w:tc>
          <w:tcPr>
            <w:tcW w:w="205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25679D4" w14:textId="77777777" w:rsidR="00FA72B4" w:rsidRPr="005C2363" w:rsidRDefault="00FA72B4" w:rsidP="00FA72B4">
            <w:pPr>
              <w:spacing w:after="0" w:line="240" w:lineRule="auto"/>
              <w:rPr>
                <w:rFonts w:ascii="Cambria" w:eastAsia="Times New Roman" w:hAnsi="Cambria" w:cs="Calibri"/>
                <w:lang w:val="hr-HR"/>
              </w:rPr>
            </w:pPr>
          </w:p>
        </w:tc>
        <w:tc>
          <w:tcPr>
            <w:tcW w:w="699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A8C9B59" w14:textId="77777777" w:rsidR="00FA72B4" w:rsidRPr="00E05582" w:rsidRDefault="00FA72B4" w:rsidP="00FA72B4">
            <w:pPr>
              <w:snapToGrid w:val="0"/>
              <w:spacing w:after="0" w:line="240" w:lineRule="auto"/>
              <w:jc w:val="both"/>
              <w:rPr>
                <w:rFonts w:ascii="Cambria" w:eastAsia="Times New Roman" w:hAnsi="Cambria" w:cs="Calibri"/>
                <w:lang w:val="hr-HR"/>
              </w:rPr>
            </w:pPr>
            <w:r w:rsidRPr="00E05582">
              <w:rPr>
                <w:rFonts w:ascii="Cambria" w:eastAsia="Times New Roman" w:hAnsi="Cambria" w:cs="Calibri"/>
                <w:lang w:val="hr-HR"/>
              </w:rPr>
              <w:t xml:space="preserve">Obvezna: </w:t>
            </w:r>
          </w:p>
          <w:p w14:paraId="6F307D4C" w14:textId="46459445" w:rsidR="00FA72B4" w:rsidRPr="00E05582" w:rsidRDefault="00FA72B4" w:rsidP="00FA72B4">
            <w:pPr>
              <w:snapToGrid w:val="0"/>
              <w:spacing w:after="0" w:line="240" w:lineRule="auto"/>
              <w:jc w:val="both"/>
              <w:rPr>
                <w:rFonts w:ascii="Cambria" w:eastAsia="Times New Roman" w:hAnsi="Cambria" w:cs="Calibri"/>
                <w:lang w:val="hr-HR"/>
              </w:rPr>
            </w:pPr>
            <w:r w:rsidRPr="00E05582">
              <w:rPr>
                <w:rFonts w:ascii="Cambria" w:eastAsia="Times New Roman" w:hAnsi="Cambria" w:cs="Calibri"/>
                <w:lang w:val="hr-HR"/>
              </w:rPr>
              <w:t>1.</w:t>
            </w:r>
            <w:r w:rsidR="00FC5508">
              <w:rPr>
                <w:rFonts w:ascii="Cambria" w:eastAsia="Times New Roman" w:hAnsi="Cambria" w:cs="Calibri"/>
                <w:lang w:val="hr-HR"/>
              </w:rPr>
              <w:t xml:space="preserve"> </w:t>
            </w:r>
            <w:r w:rsidRPr="00E05582">
              <w:rPr>
                <w:rFonts w:ascii="Cambria" w:eastAsia="Times New Roman" w:hAnsi="Cambria" w:cs="Calibri"/>
                <w:lang w:val="hr-HR"/>
              </w:rPr>
              <w:t xml:space="preserve">Ivančević, R. (1999): „Stilovi, razdoblja, život I., od </w:t>
            </w:r>
            <w:proofErr w:type="spellStart"/>
            <w:r w:rsidRPr="00E05582">
              <w:rPr>
                <w:rFonts w:ascii="Cambria" w:eastAsia="Times New Roman" w:hAnsi="Cambria" w:cs="Calibri"/>
                <w:lang w:val="hr-HR"/>
              </w:rPr>
              <w:t>paleolita</w:t>
            </w:r>
            <w:proofErr w:type="spellEnd"/>
            <w:r w:rsidRPr="00E05582">
              <w:rPr>
                <w:rFonts w:ascii="Cambria" w:eastAsia="Times New Roman" w:hAnsi="Cambria" w:cs="Calibri"/>
                <w:lang w:val="hr-HR"/>
              </w:rPr>
              <w:t xml:space="preserve"> do predromanike“. Zagreb: Profil.</w:t>
            </w:r>
          </w:p>
          <w:p w14:paraId="3243AFE4" w14:textId="57F518BB" w:rsidR="00FA72B4" w:rsidRPr="00E05582" w:rsidRDefault="00FA72B4" w:rsidP="00FA72B4">
            <w:pPr>
              <w:snapToGrid w:val="0"/>
              <w:spacing w:after="0" w:line="240" w:lineRule="auto"/>
              <w:jc w:val="both"/>
              <w:rPr>
                <w:rFonts w:ascii="Cambria" w:eastAsia="Times New Roman" w:hAnsi="Cambria" w:cs="Calibri"/>
                <w:lang w:val="hr-HR"/>
              </w:rPr>
            </w:pPr>
            <w:r w:rsidRPr="00E05582">
              <w:rPr>
                <w:rFonts w:ascii="Cambria" w:eastAsia="Times New Roman" w:hAnsi="Cambria" w:cs="Calibri"/>
                <w:lang w:val="hr-HR"/>
              </w:rPr>
              <w:t>2.</w:t>
            </w:r>
            <w:r w:rsidR="00FC5508">
              <w:rPr>
                <w:rFonts w:ascii="Cambria" w:eastAsia="Times New Roman" w:hAnsi="Cambria" w:cs="Calibri"/>
                <w:lang w:val="hr-HR"/>
              </w:rPr>
              <w:t xml:space="preserve"> </w:t>
            </w:r>
            <w:r w:rsidRPr="00E05582">
              <w:rPr>
                <w:rFonts w:ascii="Cambria" w:eastAsia="Times New Roman" w:hAnsi="Cambria" w:cs="Calibri"/>
                <w:lang w:val="hr-HR"/>
              </w:rPr>
              <w:t>Jakubin, M. (2001): „Likovni jezik i likovne tehnike“. Zagreb: Educa.</w:t>
            </w:r>
          </w:p>
          <w:p w14:paraId="744D2242" w14:textId="79825E6E" w:rsidR="00FA72B4" w:rsidRPr="00E05582" w:rsidRDefault="00FA72B4" w:rsidP="00FA72B4">
            <w:pPr>
              <w:snapToGrid w:val="0"/>
              <w:spacing w:after="0" w:line="240" w:lineRule="auto"/>
              <w:jc w:val="both"/>
              <w:rPr>
                <w:rFonts w:ascii="Cambria" w:eastAsia="Times New Roman" w:hAnsi="Cambria" w:cs="Calibri"/>
                <w:lang w:val="hr-HR"/>
              </w:rPr>
            </w:pPr>
            <w:r w:rsidRPr="00E05582">
              <w:rPr>
                <w:rFonts w:ascii="Cambria" w:eastAsia="Times New Roman" w:hAnsi="Cambria" w:cs="Calibri"/>
                <w:lang w:val="hr-HR"/>
              </w:rPr>
              <w:t>3.</w:t>
            </w:r>
            <w:r w:rsidR="00FC5508">
              <w:rPr>
                <w:rFonts w:ascii="Cambria" w:eastAsia="Times New Roman" w:hAnsi="Cambria" w:cs="Calibri"/>
                <w:lang w:val="hr-HR"/>
              </w:rPr>
              <w:t xml:space="preserve"> </w:t>
            </w:r>
            <w:r w:rsidRPr="00E05582">
              <w:rPr>
                <w:rFonts w:ascii="Cambria" w:eastAsia="Times New Roman" w:hAnsi="Cambria" w:cs="Calibri"/>
                <w:lang w:val="hr-HR"/>
              </w:rPr>
              <w:t>Kalčić, S. (2005): „Neizvjesnost umjetnosti“. Zagreb: Školska knjiga.</w:t>
            </w:r>
          </w:p>
          <w:p w14:paraId="4E283749" w14:textId="77777777" w:rsidR="00FA72B4" w:rsidRPr="00E05582" w:rsidRDefault="00FA72B4" w:rsidP="00FA72B4">
            <w:pPr>
              <w:snapToGrid w:val="0"/>
              <w:spacing w:after="0" w:line="240" w:lineRule="auto"/>
              <w:jc w:val="both"/>
              <w:rPr>
                <w:rFonts w:ascii="Cambria" w:eastAsia="Times New Roman" w:hAnsi="Cambria" w:cs="Calibri"/>
                <w:lang w:val="hr-HR"/>
              </w:rPr>
            </w:pPr>
            <w:r w:rsidRPr="00E05582">
              <w:rPr>
                <w:rFonts w:ascii="Cambria" w:eastAsia="Times New Roman" w:hAnsi="Cambria" w:cs="Calibri"/>
                <w:lang w:val="hr-HR"/>
              </w:rPr>
              <w:t>Izborna:</w:t>
            </w:r>
          </w:p>
          <w:p w14:paraId="77DDC85A" w14:textId="1D0181DF" w:rsidR="00FA72B4" w:rsidRPr="00E05582" w:rsidRDefault="00FA72B4" w:rsidP="00FA72B4">
            <w:pPr>
              <w:snapToGrid w:val="0"/>
              <w:spacing w:after="0" w:line="240" w:lineRule="auto"/>
              <w:jc w:val="both"/>
              <w:rPr>
                <w:rFonts w:ascii="Cambria" w:eastAsia="Times New Roman" w:hAnsi="Cambria" w:cs="Calibri"/>
                <w:lang w:val="hr-HR"/>
              </w:rPr>
            </w:pPr>
            <w:r w:rsidRPr="00E05582">
              <w:rPr>
                <w:rFonts w:ascii="Cambria" w:eastAsia="Times New Roman" w:hAnsi="Cambria" w:cs="Calibri"/>
                <w:lang w:val="hr-HR"/>
              </w:rPr>
              <w:t>1.</w:t>
            </w:r>
            <w:r w:rsidR="00FC5508">
              <w:rPr>
                <w:rFonts w:ascii="Cambria" w:eastAsia="Times New Roman" w:hAnsi="Cambria" w:cs="Calibri"/>
                <w:lang w:val="hr-HR"/>
              </w:rPr>
              <w:t xml:space="preserve"> </w:t>
            </w:r>
            <w:r w:rsidRPr="00E05582">
              <w:rPr>
                <w:rFonts w:ascii="Cambria" w:eastAsia="Times New Roman" w:hAnsi="Cambria" w:cs="Calibri"/>
                <w:lang w:val="hr-HR"/>
              </w:rPr>
              <w:t>Babić, A. (1997): „Likovna kultura, pregled povijesti umjetnosti“. Osijek.</w:t>
            </w:r>
          </w:p>
          <w:p w14:paraId="125C26EC" w14:textId="75DC4F47" w:rsidR="00FA72B4" w:rsidRPr="00E05582" w:rsidRDefault="00FA72B4" w:rsidP="00FA72B4">
            <w:pPr>
              <w:snapToGrid w:val="0"/>
              <w:spacing w:after="0" w:line="240" w:lineRule="auto"/>
              <w:jc w:val="both"/>
              <w:rPr>
                <w:rFonts w:ascii="Cambria" w:eastAsia="Times New Roman" w:hAnsi="Cambria" w:cs="Calibri"/>
                <w:lang w:val="hr-HR"/>
              </w:rPr>
            </w:pPr>
            <w:r w:rsidRPr="00E05582">
              <w:rPr>
                <w:rFonts w:ascii="Cambria" w:eastAsia="Times New Roman" w:hAnsi="Cambria" w:cs="Calibri"/>
                <w:lang w:val="hr-HR"/>
              </w:rPr>
              <w:t>2.</w:t>
            </w:r>
            <w:r w:rsidR="00FC5508">
              <w:rPr>
                <w:rFonts w:ascii="Cambria" w:eastAsia="Times New Roman" w:hAnsi="Cambria" w:cs="Calibri"/>
                <w:lang w:val="hr-HR"/>
              </w:rPr>
              <w:t xml:space="preserve"> </w:t>
            </w:r>
            <w:r w:rsidRPr="00E05582">
              <w:rPr>
                <w:rFonts w:ascii="Cambria" w:eastAsia="Times New Roman" w:hAnsi="Cambria" w:cs="Calibri"/>
                <w:lang w:val="hr-HR"/>
              </w:rPr>
              <w:t xml:space="preserve">Badurina, A., </w:t>
            </w:r>
            <w:proofErr w:type="spellStart"/>
            <w:r w:rsidRPr="00E05582">
              <w:rPr>
                <w:rFonts w:ascii="Cambria" w:eastAsia="Times New Roman" w:hAnsi="Cambria" w:cs="Calibri"/>
                <w:lang w:val="hr-HR"/>
              </w:rPr>
              <w:t>ur</w:t>
            </w:r>
            <w:proofErr w:type="spellEnd"/>
            <w:r w:rsidRPr="00E05582">
              <w:rPr>
                <w:rFonts w:ascii="Cambria" w:eastAsia="Times New Roman" w:hAnsi="Cambria" w:cs="Calibri"/>
                <w:lang w:val="hr-HR"/>
              </w:rPr>
              <w:t xml:space="preserve">. (2006): „Leksikon ikonografije, </w:t>
            </w:r>
            <w:proofErr w:type="spellStart"/>
            <w:r w:rsidRPr="00E05582">
              <w:rPr>
                <w:rFonts w:ascii="Cambria" w:eastAsia="Times New Roman" w:hAnsi="Cambria" w:cs="Calibri"/>
                <w:lang w:val="hr-HR"/>
              </w:rPr>
              <w:t>liturgike</w:t>
            </w:r>
            <w:proofErr w:type="spellEnd"/>
            <w:r w:rsidRPr="00E05582">
              <w:rPr>
                <w:rFonts w:ascii="Cambria" w:eastAsia="Times New Roman" w:hAnsi="Cambria" w:cs="Calibri"/>
                <w:lang w:val="hr-HR"/>
              </w:rPr>
              <w:t xml:space="preserve"> i simbolike zapadnog kršćanstva“. Zagreb: Kršćanska sadašnjost.</w:t>
            </w:r>
          </w:p>
          <w:p w14:paraId="744DF9E2" w14:textId="1290D11E" w:rsidR="00FA72B4" w:rsidRPr="00E05582" w:rsidRDefault="00FA72B4" w:rsidP="00FA72B4">
            <w:pPr>
              <w:snapToGrid w:val="0"/>
              <w:spacing w:after="0" w:line="240" w:lineRule="auto"/>
              <w:jc w:val="both"/>
              <w:rPr>
                <w:rFonts w:ascii="Cambria" w:eastAsia="Times New Roman" w:hAnsi="Cambria" w:cs="Calibri"/>
                <w:lang w:val="hr-HR"/>
              </w:rPr>
            </w:pPr>
            <w:r w:rsidRPr="00E05582">
              <w:rPr>
                <w:rFonts w:ascii="Cambria" w:eastAsia="Times New Roman" w:hAnsi="Cambria" w:cs="Calibri"/>
                <w:lang w:val="hr-HR"/>
              </w:rPr>
              <w:t>3.</w:t>
            </w:r>
            <w:r w:rsidR="00FC5508">
              <w:rPr>
                <w:rFonts w:ascii="Cambria" w:eastAsia="Times New Roman" w:hAnsi="Cambria" w:cs="Calibri"/>
                <w:lang w:val="hr-HR"/>
              </w:rPr>
              <w:t xml:space="preserve"> </w:t>
            </w:r>
            <w:r w:rsidRPr="00E05582">
              <w:rPr>
                <w:rFonts w:ascii="Cambria" w:eastAsia="Times New Roman" w:hAnsi="Cambria" w:cs="Calibri"/>
                <w:lang w:val="hr-HR"/>
              </w:rPr>
              <w:t>Baričević, D. (2008): „Barokno kiparstvo sjeverne Hrvatske“. Zagreb: Školska knjiga.</w:t>
            </w:r>
          </w:p>
          <w:p w14:paraId="6E783E3F" w14:textId="6DE97376" w:rsidR="00FA72B4" w:rsidRPr="00E05582" w:rsidRDefault="00FA72B4" w:rsidP="00FA72B4">
            <w:pPr>
              <w:snapToGrid w:val="0"/>
              <w:spacing w:after="0" w:line="240" w:lineRule="auto"/>
              <w:jc w:val="both"/>
              <w:rPr>
                <w:rFonts w:ascii="Cambria" w:eastAsia="Times New Roman" w:hAnsi="Cambria" w:cs="Calibri"/>
                <w:lang w:val="hr-HR"/>
              </w:rPr>
            </w:pPr>
            <w:r w:rsidRPr="00E05582">
              <w:rPr>
                <w:rFonts w:ascii="Cambria" w:eastAsia="Times New Roman" w:hAnsi="Cambria" w:cs="Calibri"/>
                <w:lang w:val="hr-HR"/>
              </w:rPr>
              <w:t>4.</w:t>
            </w:r>
            <w:r w:rsidR="00FC5508">
              <w:rPr>
                <w:rFonts w:ascii="Cambria" w:eastAsia="Times New Roman" w:hAnsi="Cambria" w:cs="Calibri"/>
                <w:lang w:val="hr-HR"/>
              </w:rPr>
              <w:t xml:space="preserve"> </w:t>
            </w:r>
            <w:proofErr w:type="spellStart"/>
            <w:r w:rsidRPr="00E05582">
              <w:rPr>
                <w:rFonts w:ascii="Cambria" w:eastAsia="Times New Roman" w:hAnsi="Cambria" w:cs="Calibri"/>
                <w:lang w:val="hr-HR"/>
              </w:rPr>
              <w:t>Culej</w:t>
            </w:r>
            <w:proofErr w:type="spellEnd"/>
            <w:r w:rsidRPr="00E05582">
              <w:rPr>
                <w:rFonts w:ascii="Cambria" w:eastAsia="Times New Roman" w:hAnsi="Cambria" w:cs="Calibri"/>
                <w:lang w:val="hr-HR"/>
              </w:rPr>
              <w:t xml:space="preserve">, M.; </w:t>
            </w:r>
            <w:proofErr w:type="spellStart"/>
            <w:r w:rsidRPr="00E05582">
              <w:rPr>
                <w:rFonts w:ascii="Cambria" w:eastAsia="Times New Roman" w:hAnsi="Cambria" w:cs="Calibri"/>
                <w:lang w:val="hr-HR"/>
              </w:rPr>
              <w:t>Biškupić</w:t>
            </w:r>
            <w:proofErr w:type="spellEnd"/>
            <w:r w:rsidRPr="00E05582">
              <w:rPr>
                <w:rFonts w:ascii="Cambria" w:eastAsia="Times New Roman" w:hAnsi="Cambria" w:cs="Calibri"/>
                <w:lang w:val="hr-HR"/>
              </w:rPr>
              <w:t>, B. i drugi (1994): „Novi sjaj Marije Snježne, obnovljeni biser hrvatskoga baroka u Belcu“. Belec: INA i Ministarstvo kulture Republike Hrvatske.</w:t>
            </w:r>
          </w:p>
          <w:p w14:paraId="15F8ED80" w14:textId="767B410B" w:rsidR="00FA72B4" w:rsidRPr="00E05582" w:rsidRDefault="00FA72B4" w:rsidP="00FA72B4">
            <w:pPr>
              <w:snapToGrid w:val="0"/>
              <w:spacing w:after="0" w:line="240" w:lineRule="auto"/>
              <w:jc w:val="both"/>
              <w:rPr>
                <w:rFonts w:ascii="Cambria" w:eastAsia="Times New Roman" w:hAnsi="Cambria" w:cs="Calibri"/>
                <w:lang w:val="hr-HR"/>
              </w:rPr>
            </w:pPr>
            <w:r w:rsidRPr="00E05582">
              <w:rPr>
                <w:rFonts w:ascii="Cambria" w:eastAsia="Times New Roman" w:hAnsi="Cambria" w:cs="Calibri"/>
                <w:lang w:val="hr-HR"/>
              </w:rPr>
              <w:t>5.</w:t>
            </w:r>
            <w:r w:rsidR="00FC5508">
              <w:rPr>
                <w:rFonts w:ascii="Cambria" w:eastAsia="Times New Roman" w:hAnsi="Cambria" w:cs="Calibri"/>
                <w:lang w:val="hr-HR"/>
              </w:rPr>
              <w:t xml:space="preserve"> </w:t>
            </w:r>
            <w:r w:rsidRPr="00E05582">
              <w:rPr>
                <w:rFonts w:ascii="Cambria" w:eastAsia="Times New Roman" w:hAnsi="Cambria" w:cs="Calibri"/>
                <w:lang w:val="hr-HR"/>
              </w:rPr>
              <w:t xml:space="preserve">Davies, </w:t>
            </w:r>
            <w:proofErr w:type="spellStart"/>
            <w:r w:rsidRPr="00E05582">
              <w:rPr>
                <w:rFonts w:ascii="Cambria" w:eastAsia="Times New Roman" w:hAnsi="Cambria" w:cs="Calibri"/>
                <w:lang w:val="hr-HR"/>
              </w:rPr>
              <w:t>Denny</w:t>
            </w:r>
            <w:proofErr w:type="spellEnd"/>
            <w:r w:rsidRPr="00E05582">
              <w:rPr>
                <w:rFonts w:ascii="Cambria" w:eastAsia="Times New Roman" w:hAnsi="Cambria" w:cs="Calibri"/>
                <w:lang w:val="hr-HR"/>
              </w:rPr>
              <w:t xml:space="preserve">, </w:t>
            </w:r>
            <w:proofErr w:type="spellStart"/>
            <w:r w:rsidRPr="00E05582">
              <w:rPr>
                <w:rFonts w:ascii="Cambria" w:eastAsia="Times New Roman" w:hAnsi="Cambria" w:cs="Calibri"/>
                <w:lang w:val="hr-HR"/>
              </w:rPr>
              <w:t>Hofrichter</w:t>
            </w:r>
            <w:proofErr w:type="spellEnd"/>
            <w:r w:rsidRPr="00E05582">
              <w:rPr>
                <w:rFonts w:ascii="Cambria" w:eastAsia="Times New Roman" w:hAnsi="Cambria" w:cs="Calibri"/>
                <w:lang w:val="hr-HR"/>
              </w:rPr>
              <w:t>, Jacobs, Roberts, Simon (2008): „</w:t>
            </w:r>
            <w:proofErr w:type="spellStart"/>
            <w:r w:rsidRPr="00E05582">
              <w:rPr>
                <w:rFonts w:ascii="Cambria" w:eastAsia="Times New Roman" w:hAnsi="Cambria" w:cs="Calibri"/>
                <w:lang w:val="hr-HR"/>
              </w:rPr>
              <w:t>Jansonova</w:t>
            </w:r>
            <w:proofErr w:type="spellEnd"/>
            <w:r w:rsidRPr="00E05582">
              <w:rPr>
                <w:rFonts w:ascii="Cambria" w:eastAsia="Times New Roman" w:hAnsi="Cambria" w:cs="Calibri"/>
                <w:lang w:val="hr-HR"/>
              </w:rPr>
              <w:t xml:space="preserve"> povijest umjetnosti – zapadna tradicija“. Varaždin: </w:t>
            </w:r>
            <w:proofErr w:type="spellStart"/>
            <w:r w:rsidRPr="00E05582">
              <w:rPr>
                <w:rFonts w:ascii="Cambria" w:eastAsia="Times New Roman" w:hAnsi="Cambria" w:cs="Calibri"/>
                <w:lang w:val="hr-HR"/>
              </w:rPr>
              <w:t>Stanek</w:t>
            </w:r>
            <w:proofErr w:type="spellEnd"/>
            <w:r w:rsidRPr="00E05582">
              <w:rPr>
                <w:rFonts w:ascii="Cambria" w:eastAsia="Times New Roman" w:hAnsi="Cambria" w:cs="Calibri"/>
                <w:lang w:val="hr-HR"/>
              </w:rPr>
              <w:t>.</w:t>
            </w:r>
          </w:p>
          <w:p w14:paraId="09BC0FA9" w14:textId="20ED6BEE" w:rsidR="00FA72B4" w:rsidRPr="00E05582" w:rsidRDefault="00FA72B4" w:rsidP="00FA72B4">
            <w:pPr>
              <w:snapToGrid w:val="0"/>
              <w:spacing w:after="0" w:line="240" w:lineRule="auto"/>
              <w:jc w:val="both"/>
              <w:rPr>
                <w:rFonts w:ascii="Cambria" w:eastAsia="Times New Roman" w:hAnsi="Cambria" w:cs="Calibri"/>
                <w:lang w:val="hr-HR"/>
              </w:rPr>
            </w:pPr>
            <w:r w:rsidRPr="00E05582">
              <w:rPr>
                <w:rFonts w:ascii="Cambria" w:eastAsia="Times New Roman" w:hAnsi="Cambria" w:cs="Calibri"/>
                <w:lang w:val="hr-HR"/>
              </w:rPr>
              <w:t>6.</w:t>
            </w:r>
            <w:r w:rsidR="00FC5508">
              <w:rPr>
                <w:rFonts w:ascii="Cambria" w:eastAsia="Times New Roman" w:hAnsi="Cambria" w:cs="Calibri"/>
                <w:lang w:val="hr-HR"/>
              </w:rPr>
              <w:t xml:space="preserve"> </w:t>
            </w:r>
            <w:proofErr w:type="spellStart"/>
            <w:r w:rsidRPr="00E05582">
              <w:rPr>
                <w:rFonts w:ascii="Cambria" w:eastAsia="Times New Roman" w:hAnsi="Cambria" w:cs="Calibri"/>
                <w:lang w:val="hr-HR"/>
              </w:rPr>
              <w:t>Dorfles</w:t>
            </w:r>
            <w:proofErr w:type="spellEnd"/>
            <w:r w:rsidRPr="00E05582">
              <w:rPr>
                <w:rFonts w:ascii="Cambria" w:eastAsia="Times New Roman" w:hAnsi="Cambria" w:cs="Calibri"/>
                <w:lang w:val="hr-HR"/>
              </w:rPr>
              <w:t>, G. (1997): „Kič, antologija lošeg ukusa“. Zagreb: Golden marketing.</w:t>
            </w:r>
          </w:p>
          <w:p w14:paraId="0EB176CD" w14:textId="21F5897B" w:rsidR="00FA72B4" w:rsidRPr="00E05582" w:rsidRDefault="00FA72B4" w:rsidP="00FA72B4">
            <w:pPr>
              <w:snapToGrid w:val="0"/>
              <w:spacing w:after="0" w:line="240" w:lineRule="auto"/>
              <w:jc w:val="both"/>
              <w:rPr>
                <w:rFonts w:ascii="Cambria" w:eastAsia="Times New Roman" w:hAnsi="Cambria" w:cs="Calibri"/>
                <w:lang w:val="hr-HR"/>
              </w:rPr>
            </w:pPr>
            <w:r w:rsidRPr="00E05582">
              <w:rPr>
                <w:rFonts w:ascii="Cambria" w:eastAsia="Times New Roman" w:hAnsi="Cambria" w:cs="Calibri"/>
                <w:lang w:val="hr-HR"/>
              </w:rPr>
              <w:t>7.</w:t>
            </w:r>
            <w:r w:rsidR="00FC5508">
              <w:rPr>
                <w:rFonts w:ascii="Cambria" w:eastAsia="Times New Roman" w:hAnsi="Cambria" w:cs="Calibri"/>
                <w:lang w:val="hr-HR"/>
              </w:rPr>
              <w:t xml:space="preserve"> </w:t>
            </w:r>
            <w:proofErr w:type="spellStart"/>
            <w:r w:rsidRPr="00E05582">
              <w:rPr>
                <w:rFonts w:ascii="Cambria" w:eastAsia="Times New Roman" w:hAnsi="Cambria" w:cs="Calibri"/>
                <w:lang w:val="hr-HR"/>
              </w:rPr>
              <w:t>Farthing</w:t>
            </w:r>
            <w:proofErr w:type="spellEnd"/>
            <w:r w:rsidRPr="00E05582">
              <w:rPr>
                <w:rFonts w:ascii="Cambria" w:eastAsia="Times New Roman" w:hAnsi="Cambria" w:cs="Calibri"/>
                <w:lang w:val="hr-HR"/>
              </w:rPr>
              <w:t>, S.: „Umjetnost – vodič kroz povijest i djela“. Zagreb: Školska knjiga.</w:t>
            </w:r>
          </w:p>
          <w:p w14:paraId="492756FC" w14:textId="3E6F7E22" w:rsidR="00FA72B4" w:rsidRPr="00E05582" w:rsidRDefault="00FA72B4" w:rsidP="00FA72B4">
            <w:pPr>
              <w:snapToGrid w:val="0"/>
              <w:spacing w:after="0" w:line="240" w:lineRule="auto"/>
              <w:jc w:val="both"/>
              <w:rPr>
                <w:rFonts w:ascii="Cambria" w:eastAsia="Times New Roman" w:hAnsi="Cambria" w:cs="Calibri"/>
                <w:lang w:val="hr-HR"/>
              </w:rPr>
            </w:pPr>
            <w:r w:rsidRPr="00E05582">
              <w:rPr>
                <w:rFonts w:ascii="Cambria" w:eastAsia="Times New Roman" w:hAnsi="Cambria" w:cs="Calibri"/>
                <w:lang w:val="hr-HR"/>
              </w:rPr>
              <w:t>8.</w:t>
            </w:r>
            <w:r w:rsidR="00FC5508">
              <w:rPr>
                <w:rFonts w:ascii="Cambria" w:eastAsia="Times New Roman" w:hAnsi="Cambria" w:cs="Calibri"/>
                <w:lang w:val="hr-HR"/>
              </w:rPr>
              <w:t xml:space="preserve"> </w:t>
            </w:r>
            <w:r w:rsidRPr="00E05582">
              <w:rPr>
                <w:rFonts w:ascii="Cambria" w:eastAsia="Times New Roman" w:hAnsi="Cambria" w:cs="Calibri"/>
                <w:lang w:val="hr-HR"/>
              </w:rPr>
              <w:t>Freud, S. (2005): „Freud i Mojsije, studije o umjetnosti i umjetnicima“. Zagreb: Prosvjeta.</w:t>
            </w:r>
          </w:p>
          <w:p w14:paraId="0540EA73" w14:textId="6F859EF5" w:rsidR="00FA72B4" w:rsidRPr="00E05582" w:rsidRDefault="00FA72B4" w:rsidP="00FA72B4">
            <w:pPr>
              <w:snapToGrid w:val="0"/>
              <w:spacing w:after="0" w:line="240" w:lineRule="auto"/>
              <w:jc w:val="both"/>
              <w:rPr>
                <w:rFonts w:ascii="Cambria" w:eastAsia="Times New Roman" w:hAnsi="Cambria" w:cs="Calibri"/>
                <w:lang w:val="hr-HR"/>
              </w:rPr>
            </w:pPr>
            <w:r w:rsidRPr="00E05582">
              <w:rPr>
                <w:rFonts w:ascii="Cambria" w:eastAsia="Times New Roman" w:hAnsi="Cambria" w:cs="Calibri"/>
                <w:lang w:val="hr-HR"/>
              </w:rPr>
              <w:t>9.</w:t>
            </w:r>
            <w:r w:rsidR="00FC5508">
              <w:rPr>
                <w:rFonts w:ascii="Cambria" w:eastAsia="Times New Roman" w:hAnsi="Cambria" w:cs="Calibri"/>
                <w:lang w:val="hr-HR"/>
              </w:rPr>
              <w:t xml:space="preserve"> </w:t>
            </w:r>
            <w:r w:rsidRPr="00E05582">
              <w:rPr>
                <w:rFonts w:ascii="Cambria" w:eastAsia="Times New Roman" w:hAnsi="Cambria" w:cs="Calibri"/>
                <w:lang w:val="hr-HR"/>
              </w:rPr>
              <w:t>Fučić, B. (2007): „Iz istarske spomeničke baštine“. Zagreb: Matica hrvatska.</w:t>
            </w:r>
          </w:p>
          <w:p w14:paraId="266EFCA5" w14:textId="71E0AE66" w:rsidR="00FA72B4" w:rsidRPr="00E05582" w:rsidRDefault="00FA72B4" w:rsidP="00FA72B4">
            <w:pPr>
              <w:snapToGrid w:val="0"/>
              <w:spacing w:after="0" w:line="240" w:lineRule="auto"/>
              <w:jc w:val="both"/>
              <w:rPr>
                <w:rFonts w:ascii="Cambria" w:eastAsia="Times New Roman" w:hAnsi="Cambria" w:cs="Calibri"/>
                <w:lang w:val="hr-HR"/>
              </w:rPr>
            </w:pPr>
            <w:r w:rsidRPr="00E05582">
              <w:rPr>
                <w:rFonts w:ascii="Cambria" w:eastAsia="Times New Roman" w:hAnsi="Cambria" w:cs="Calibri"/>
                <w:lang w:val="hr-HR"/>
              </w:rPr>
              <w:t>10.</w:t>
            </w:r>
            <w:r w:rsidR="00FC5508">
              <w:rPr>
                <w:rFonts w:ascii="Cambria" w:eastAsia="Times New Roman" w:hAnsi="Cambria" w:cs="Calibri"/>
                <w:lang w:val="hr-HR"/>
              </w:rPr>
              <w:t xml:space="preserve"> </w:t>
            </w:r>
            <w:proofErr w:type="spellStart"/>
            <w:r w:rsidRPr="00E05582">
              <w:rPr>
                <w:rFonts w:ascii="Cambria" w:eastAsia="Times New Roman" w:hAnsi="Cambria" w:cs="Calibri"/>
                <w:lang w:val="hr-HR"/>
              </w:rPr>
              <w:t>Hawass</w:t>
            </w:r>
            <w:proofErr w:type="spellEnd"/>
            <w:r w:rsidRPr="00E05582">
              <w:rPr>
                <w:rFonts w:ascii="Cambria" w:eastAsia="Times New Roman" w:hAnsi="Cambria" w:cs="Calibri"/>
                <w:lang w:val="hr-HR"/>
              </w:rPr>
              <w:t xml:space="preserve">, Z.; </w:t>
            </w:r>
            <w:proofErr w:type="spellStart"/>
            <w:r w:rsidRPr="00E05582">
              <w:rPr>
                <w:rFonts w:ascii="Cambria" w:eastAsia="Times New Roman" w:hAnsi="Cambria" w:cs="Calibri"/>
                <w:lang w:val="hr-HR"/>
              </w:rPr>
              <w:t>Janot</w:t>
            </w:r>
            <w:proofErr w:type="spellEnd"/>
            <w:r w:rsidRPr="00E05582">
              <w:rPr>
                <w:rFonts w:ascii="Cambria" w:eastAsia="Times New Roman" w:hAnsi="Cambria" w:cs="Calibri"/>
                <w:lang w:val="hr-HR"/>
              </w:rPr>
              <w:t xml:space="preserve">, F. (2008): „Kraljevske mumije, besmrtnost u starom Egiptu“. Varaždin: </w:t>
            </w:r>
            <w:proofErr w:type="spellStart"/>
            <w:r w:rsidRPr="00E05582">
              <w:rPr>
                <w:rFonts w:ascii="Cambria" w:eastAsia="Times New Roman" w:hAnsi="Cambria" w:cs="Calibri"/>
                <w:lang w:val="hr-HR"/>
              </w:rPr>
              <w:t>Stanek</w:t>
            </w:r>
            <w:proofErr w:type="spellEnd"/>
            <w:r w:rsidRPr="00E05582">
              <w:rPr>
                <w:rFonts w:ascii="Cambria" w:eastAsia="Times New Roman" w:hAnsi="Cambria" w:cs="Calibri"/>
                <w:lang w:val="hr-HR"/>
              </w:rPr>
              <w:t>.</w:t>
            </w:r>
          </w:p>
          <w:p w14:paraId="0ADF08A2" w14:textId="419C2989" w:rsidR="00FA72B4" w:rsidRPr="00E05582" w:rsidRDefault="00FA72B4" w:rsidP="00FA72B4">
            <w:pPr>
              <w:snapToGrid w:val="0"/>
              <w:spacing w:after="0" w:line="240" w:lineRule="auto"/>
              <w:jc w:val="both"/>
              <w:rPr>
                <w:rFonts w:ascii="Cambria" w:eastAsia="Times New Roman" w:hAnsi="Cambria" w:cs="Calibri"/>
                <w:lang w:val="hr-HR"/>
              </w:rPr>
            </w:pPr>
            <w:r w:rsidRPr="00E05582">
              <w:rPr>
                <w:rFonts w:ascii="Cambria" w:eastAsia="Times New Roman" w:hAnsi="Cambria" w:cs="Calibri"/>
                <w:lang w:val="hr-HR"/>
              </w:rPr>
              <w:t>11.</w:t>
            </w:r>
            <w:r w:rsidR="00FC5508">
              <w:rPr>
                <w:rFonts w:ascii="Cambria" w:eastAsia="Times New Roman" w:hAnsi="Cambria" w:cs="Calibri"/>
                <w:lang w:val="hr-HR"/>
              </w:rPr>
              <w:t xml:space="preserve"> </w:t>
            </w:r>
            <w:proofErr w:type="spellStart"/>
            <w:r w:rsidRPr="00E05582">
              <w:rPr>
                <w:rFonts w:ascii="Cambria" w:eastAsia="Times New Roman" w:hAnsi="Cambria" w:cs="Calibri"/>
                <w:lang w:val="hr-HR"/>
              </w:rPr>
              <w:t>Hemenway</w:t>
            </w:r>
            <w:proofErr w:type="spellEnd"/>
            <w:r w:rsidRPr="00E05582">
              <w:rPr>
                <w:rFonts w:ascii="Cambria" w:eastAsia="Times New Roman" w:hAnsi="Cambria" w:cs="Calibri"/>
                <w:lang w:val="hr-HR"/>
              </w:rPr>
              <w:t xml:space="preserve">, P. (2008): „Tajni kod, formula koja definira umjetnost, prirodu i znanost“. Köln: </w:t>
            </w:r>
            <w:proofErr w:type="spellStart"/>
            <w:r w:rsidRPr="00E05582">
              <w:rPr>
                <w:rFonts w:ascii="Cambria" w:eastAsia="Times New Roman" w:hAnsi="Cambria" w:cs="Calibri"/>
                <w:lang w:val="hr-HR"/>
              </w:rPr>
              <w:t>Evergreen</w:t>
            </w:r>
            <w:proofErr w:type="spellEnd"/>
            <w:r w:rsidRPr="00E05582">
              <w:rPr>
                <w:rFonts w:ascii="Cambria" w:eastAsia="Times New Roman" w:hAnsi="Cambria" w:cs="Calibri"/>
                <w:lang w:val="hr-HR"/>
              </w:rPr>
              <w:t>.</w:t>
            </w:r>
          </w:p>
          <w:p w14:paraId="295AD54B" w14:textId="5051F76B" w:rsidR="00FA72B4" w:rsidRPr="00E05582" w:rsidRDefault="00FA72B4" w:rsidP="00FA72B4">
            <w:pPr>
              <w:snapToGrid w:val="0"/>
              <w:spacing w:after="0" w:line="240" w:lineRule="auto"/>
              <w:jc w:val="both"/>
              <w:rPr>
                <w:rFonts w:ascii="Cambria" w:eastAsia="Times New Roman" w:hAnsi="Cambria" w:cs="Calibri"/>
                <w:lang w:val="hr-HR"/>
              </w:rPr>
            </w:pPr>
            <w:r w:rsidRPr="00E05582">
              <w:rPr>
                <w:rFonts w:ascii="Cambria" w:eastAsia="Times New Roman" w:hAnsi="Cambria" w:cs="Calibri"/>
                <w:lang w:val="hr-HR"/>
              </w:rPr>
              <w:t>12.</w:t>
            </w:r>
            <w:r w:rsidR="00FC5508">
              <w:rPr>
                <w:rFonts w:ascii="Cambria" w:eastAsia="Times New Roman" w:hAnsi="Cambria" w:cs="Calibri"/>
                <w:lang w:val="hr-HR"/>
              </w:rPr>
              <w:t xml:space="preserve"> </w:t>
            </w:r>
            <w:proofErr w:type="spellStart"/>
            <w:r w:rsidRPr="00E05582">
              <w:rPr>
                <w:rFonts w:ascii="Cambria" w:eastAsia="Times New Roman" w:hAnsi="Cambria" w:cs="Calibri"/>
                <w:lang w:val="hr-HR"/>
              </w:rPr>
              <w:t>Holzapfel</w:t>
            </w:r>
            <w:proofErr w:type="spellEnd"/>
            <w:r w:rsidRPr="00E05582">
              <w:rPr>
                <w:rFonts w:ascii="Cambria" w:eastAsia="Times New Roman" w:hAnsi="Cambria" w:cs="Calibri"/>
                <w:lang w:val="hr-HR"/>
              </w:rPr>
              <w:t>, O. (2008): „Leksikon europske mitologije“. Zagreb: Školska knjiga.</w:t>
            </w:r>
          </w:p>
          <w:p w14:paraId="1CB558B1" w14:textId="1E381AA4" w:rsidR="00FA72B4" w:rsidRPr="00E05582" w:rsidRDefault="00FA72B4" w:rsidP="00FA72B4">
            <w:pPr>
              <w:snapToGrid w:val="0"/>
              <w:spacing w:after="0" w:line="240" w:lineRule="auto"/>
              <w:jc w:val="both"/>
              <w:rPr>
                <w:rFonts w:ascii="Cambria" w:eastAsia="Times New Roman" w:hAnsi="Cambria" w:cs="Calibri"/>
                <w:lang w:val="hr-HR"/>
              </w:rPr>
            </w:pPr>
            <w:r w:rsidRPr="00E05582">
              <w:rPr>
                <w:rFonts w:ascii="Cambria" w:eastAsia="Times New Roman" w:hAnsi="Cambria" w:cs="Calibri"/>
                <w:lang w:val="hr-HR"/>
              </w:rPr>
              <w:t>13.</w:t>
            </w:r>
            <w:r w:rsidR="00FC5508">
              <w:rPr>
                <w:rFonts w:ascii="Cambria" w:eastAsia="Times New Roman" w:hAnsi="Cambria" w:cs="Calibri"/>
                <w:lang w:val="hr-HR"/>
              </w:rPr>
              <w:t xml:space="preserve"> </w:t>
            </w:r>
            <w:r w:rsidRPr="00E05582">
              <w:rPr>
                <w:rFonts w:ascii="Cambria" w:eastAsia="Times New Roman" w:hAnsi="Cambria" w:cs="Calibri"/>
                <w:lang w:val="hr-HR"/>
              </w:rPr>
              <w:t xml:space="preserve">Horvat Pintarić, V. (2012): „Kritike i eseji“. Zagreb: Hrvatska akademija znanosti i umjetnosti, Gliptoteka, Biblioteka </w:t>
            </w:r>
            <w:proofErr w:type="spellStart"/>
            <w:r w:rsidRPr="00E05582">
              <w:rPr>
                <w:rFonts w:ascii="Cambria" w:eastAsia="Times New Roman" w:hAnsi="Cambria" w:cs="Calibri"/>
                <w:lang w:val="hr-HR"/>
              </w:rPr>
              <w:t>Arthistorija</w:t>
            </w:r>
            <w:proofErr w:type="spellEnd"/>
            <w:r w:rsidRPr="00E05582">
              <w:rPr>
                <w:rFonts w:ascii="Cambria" w:eastAsia="Times New Roman" w:hAnsi="Cambria" w:cs="Calibri"/>
                <w:lang w:val="hr-HR"/>
              </w:rPr>
              <w:t>.</w:t>
            </w:r>
          </w:p>
          <w:p w14:paraId="74184BD9" w14:textId="0D1CCBD8" w:rsidR="00FA72B4" w:rsidRPr="00E05582" w:rsidRDefault="00FA72B4" w:rsidP="00FA72B4">
            <w:pPr>
              <w:snapToGrid w:val="0"/>
              <w:spacing w:after="0" w:line="240" w:lineRule="auto"/>
              <w:jc w:val="both"/>
              <w:rPr>
                <w:rFonts w:ascii="Cambria" w:eastAsia="Times New Roman" w:hAnsi="Cambria" w:cs="Calibri"/>
                <w:lang w:val="hr-HR"/>
              </w:rPr>
            </w:pPr>
            <w:r w:rsidRPr="00E05582">
              <w:rPr>
                <w:rFonts w:ascii="Cambria" w:eastAsia="Times New Roman" w:hAnsi="Cambria" w:cs="Calibri"/>
                <w:lang w:val="hr-HR"/>
              </w:rPr>
              <w:lastRenderedPageBreak/>
              <w:t>14.</w:t>
            </w:r>
            <w:r w:rsidR="00FC5508">
              <w:rPr>
                <w:rFonts w:ascii="Cambria" w:eastAsia="Times New Roman" w:hAnsi="Cambria" w:cs="Calibri"/>
                <w:lang w:val="hr-HR"/>
              </w:rPr>
              <w:t xml:space="preserve"> </w:t>
            </w:r>
            <w:r w:rsidRPr="00E05582">
              <w:rPr>
                <w:rFonts w:ascii="Cambria" w:eastAsia="Times New Roman" w:hAnsi="Cambria" w:cs="Calibri"/>
                <w:lang w:val="hr-HR"/>
              </w:rPr>
              <w:t xml:space="preserve">Horvat Pintarić, V. (2015): „Umijeće opisivanja“. Zagreb: Hrvatska akademija znanosti i umjetnosti, Gliptoteka, Biblioteka </w:t>
            </w:r>
            <w:proofErr w:type="spellStart"/>
            <w:r w:rsidRPr="00E05582">
              <w:rPr>
                <w:rFonts w:ascii="Cambria" w:eastAsia="Times New Roman" w:hAnsi="Cambria" w:cs="Calibri"/>
                <w:lang w:val="hr-HR"/>
              </w:rPr>
              <w:t>Arthistorija</w:t>
            </w:r>
            <w:proofErr w:type="spellEnd"/>
            <w:r w:rsidRPr="00E05582">
              <w:rPr>
                <w:rFonts w:ascii="Cambria" w:eastAsia="Times New Roman" w:hAnsi="Cambria" w:cs="Calibri"/>
                <w:lang w:val="hr-HR"/>
              </w:rPr>
              <w:t>.</w:t>
            </w:r>
          </w:p>
          <w:p w14:paraId="6322C3F5" w14:textId="3020081A" w:rsidR="00FA72B4" w:rsidRPr="00E05582" w:rsidRDefault="00FA72B4" w:rsidP="00FA72B4">
            <w:pPr>
              <w:snapToGrid w:val="0"/>
              <w:spacing w:after="0" w:line="240" w:lineRule="auto"/>
              <w:jc w:val="both"/>
              <w:rPr>
                <w:rFonts w:ascii="Cambria" w:eastAsia="Times New Roman" w:hAnsi="Cambria" w:cs="Calibri"/>
                <w:lang w:val="hr-HR"/>
              </w:rPr>
            </w:pPr>
            <w:r w:rsidRPr="00E05582">
              <w:rPr>
                <w:rFonts w:ascii="Cambria" w:eastAsia="Times New Roman" w:hAnsi="Cambria" w:cs="Calibri"/>
                <w:lang w:val="hr-HR"/>
              </w:rPr>
              <w:t>15.</w:t>
            </w:r>
            <w:r w:rsidR="00FC5508">
              <w:rPr>
                <w:rFonts w:ascii="Cambria" w:eastAsia="Times New Roman" w:hAnsi="Cambria" w:cs="Calibri"/>
                <w:lang w:val="hr-HR"/>
              </w:rPr>
              <w:t xml:space="preserve"> </w:t>
            </w:r>
            <w:proofErr w:type="spellStart"/>
            <w:r w:rsidRPr="00E05582">
              <w:rPr>
                <w:rFonts w:ascii="Cambria" w:eastAsia="Times New Roman" w:hAnsi="Cambria" w:cs="Calibri"/>
                <w:lang w:val="hr-HR"/>
              </w:rPr>
              <w:t>Itten</w:t>
            </w:r>
            <w:proofErr w:type="spellEnd"/>
            <w:r w:rsidRPr="00E05582">
              <w:rPr>
                <w:rFonts w:ascii="Cambria" w:eastAsia="Times New Roman" w:hAnsi="Cambria" w:cs="Calibri"/>
                <w:lang w:val="hr-HR"/>
              </w:rPr>
              <w:t xml:space="preserve">, J. (2002): „Arte del </w:t>
            </w:r>
            <w:proofErr w:type="spellStart"/>
            <w:r w:rsidRPr="00E05582">
              <w:rPr>
                <w:rFonts w:ascii="Cambria" w:eastAsia="Times New Roman" w:hAnsi="Cambria" w:cs="Calibri"/>
                <w:lang w:val="hr-HR"/>
              </w:rPr>
              <w:t>colore</w:t>
            </w:r>
            <w:proofErr w:type="spellEnd"/>
            <w:r w:rsidRPr="00E05582">
              <w:rPr>
                <w:rFonts w:ascii="Cambria" w:eastAsia="Times New Roman" w:hAnsi="Cambria" w:cs="Calibri"/>
                <w:lang w:val="hr-HR"/>
              </w:rPr>
              <w:t xml:space="preserve">“. Milano: </w:t>
            </w:r>
            <w:proofErr w:type="spellStart"/>
            <w:r w:rsidRPr="00E05582">
              <w:rPr>
                <w:rFonts w:ascii="Cambria" w:eastAsia="Times New Roman" w:hAnsi="Cambria" w:cs="Calibri"/>
                <w:lang w:val="hr-HR"/>
              </w:rPr>
              <w:t>Il</w:t>
            </w:r>
            <w:proofErr w:type="spellEnd"/>
            <w:r w:rsidRPr="00E05582">
              <w:rPr>
                <w:rFonts w:ascii="Cambria" w:eastAsia="Times New Roman" w:hAnsi="Cambria" w:cs="Calibri"/>
                <w:lang w:val="hr-HR"/>
              </w:rPr>
              <w:t xml:space="preserve"> </w:t>
            </w:r>
            <w:proofErr w:type="spellStart"/>
            <w:r w:rsidRPr="00E05582">
              <w:rPr>
                <w:rFonts w:ascii="Cambria" w:eastAsia="Times New Roman" w:hAnsi="Cambria" w:cs="Calibri"/>
                <w:lang w:val="hr-HR"/>
              </w:rPr>
              <w:t>saggiatore</w:t>
            </w:r>
            <w:proofErr w:type="spellEnd"/>
            <w:r w:rsidRPr="00E05582">
              <w:rPr>
                <w:rFonts w:ascii="Cambria" w:eastAsia="Times New Roman" w:hAnsi="Cambria" w:cs="Calibri"/>
                <w:lang w:val="hr-HR"/>
              </w:rPr>
              <w:t>.</w:t>
            </w:r>
          </w:p>
          <w:p w14:paraId="47C47F38" w14:textId="50AFCE8F" w:rsidR="00FA72B4" w:rsidRPr="00E05582" w:rsidRDefault="00FA72B4" w:rsidP="00FA72B4">
            <w:pPr>
              <w:snapToGrid w:val="0"/>
              <w:spacing w:after="0" w:line="240" w:lineRule="auto"/>
              <w:jc w:val="both"/>
              <w:rPr>
                <w:rFonts w:ascii="Cambria" w:eastAsia="Times New Roman" w:hAnsi="Cambria" w:cs="Calibri"/>
                <w:lang w:val="hr-HR"/>
              </w:rPr>
            </w:pPr>
            <w:r w:rsidRPr="00E05582">
              <w:rPr>
                <w:rFonts w:ascii="Cambria" w:eastAsia="Times New Roman" w:hAnsi="Cambria" w:cs="Calibri"/>
                <w:lang w:val="hr-HR"/>
              </w:rPr>
              <w:t>16.</w:t>
            </w:r>
            <w:r w:rsidR="00FC5508">
              <w:rPr>
                <w:rFonts w:ascii="Cambria" w:eastAsia="Times New Roman" w:hAnsi="Cambria" w:cs="Calibri"/>
                <w:lang w:val="hr-HR"/>
              </w:rPr>
              <w:t xml:space="preserve"> </w:t>
            </w:r>
            <w:r w:rsidRPr="00E05582">
              <w:rPr>
                <w:rFonts w:ascii="Cambria" w:eastAsia="Times New Roman" w:hAnsi="Cambria" w:cs="Calibri"/>
                <w:lang w:val="hr-HR"/>
              </w:rPr>
              <w:t>Ivančević, R. (1997): „Likovni govor, uvod u svijet likovnih umjetnosti. Zagreb: Profil.</w:t>
            </w:r>
          </w:p>
          <w:p w14:paraId="585172CA" w14:textId="6292B3B6" w:rsidR="00FA72B4" w:rsidRPr="00E05582" w:rsidRDefault="00FA72B4" w:rsidP="00FA72B4">
            <w:pPr>
              <w:snapToGrid w:val="0"/>
              <w:spacing w:after="0" w:line="240" w:lineRule="auto"/>
              <w:jc w:val="both"/>
              <w:rPr>
                <w:rFonts w:ascii="Cambria" w:eastAsia="Times New Roman" w:hAnsi="Cambria" w:cs="Calibri"/>
                <w:lang w:val="hr-HR"/>
              </w:rPr>
            </w:pPr>
            <w:r w:rsidRPr="00E05582">
              <w:rPr>
                <w:rFonts w:ascii="Cambria" w:eastAsia="Times New Roman" w:hAnsi="Cambria" w:cs="Calibri"/>
                <w:lang w:val="hr-HR"/>
              </w:rPr>
              <w:t>17.</w:t>
            </w:r>
            <w:r w:rsidR="00FC5508">
              <w:rPr>
                <w:rFonts w:ascii="Cambria" w:eastAsia="Times New Roman" w:hAnsi="Cambria" w:cs="Calibri"/>
                <w:lang w:val="hr-HR"/>
              </w:rPr>
              <w:t xml:space="preserve"> </w:t>
            </w:r>
            <w:proofErr w:type="spellStart"/>
            <w:r w:rsidRPr="00E05582">
              <w:rPr>
                <w:rFonts w:ascii="Cambria" w:eastAsia="Times New Roman" w:hAnsi="Cambria" w:cs="Calibri"/>
                <w:lang w:val="hr-HR"/>
              </w:rPr>
              <w:t>Ivetić</w:t>
            </w:r>
            <w:proofErr w:type="spellEnd"/>
            <w:r w:rsidRPr="00E05582">
              <w:rPr>
                <w:rFonts w:ascii="Cambria" w:eastAsia="Times New Roman" w:hAnsi="Cambria" w:cs="Calibri"/>
                <w:lang w:val="hr-HR"/>
              </w:rPr>
              <w:t xml:space="preserve">, M. (2007): „Drveni </w:t>
            </w:r>
            <w:proofErr w:type="spellStart"/>
            <w:r w:rsidRPr="00E05582">
              <w:rPr>
                <w:rFonts w:ascii="Cambria" w:eastAsia="Times New Roman" w:hAnsi="Cambria" w:cs="Calibri"/>
                <w:lang w:val="hr-HR"/>
              </w:rPr>
              <w:t>retabli</w:t>
            </w:r>
            <w:proofErr w:type="spellEnd"/>
            <w:r w:rsidRPr="00E05582">
              <w:rPr>
                <w:rFonts w:ascii="Cambria" w:eastAsia="Times New Roman" w:hAnsi="Cambria" w:cs="Calibri"/>
                <w:lang w:val="hr-HR"/>
              </w:rPr>
              <w:t xml:space="preserve"> oltara od XVII. do kraja XIX. stoljeća na području središnje Istre“. Pazin: Muzej grada Pazina. </w:t>
            </w:r>
          </w:p>
          <w:p w14:paraId="47AD9B5B" w14:textId="2F8601BA" w:rsidR="00FA72B4" w:rsidRPr="00E05582" w:rsidRDefault="00FA72B4" w:rsidP="00FA72B4">
            <w:pPr>
              <w:snapToGrid w:val="0"/>
              <w:spacing w:after="0" w:line="240" w:lineRule="auto"/>
              <w:jc w:val="both"/>
              <w:rPr>
                <w:rFonts w:ascii="Cambria" w:eastAsia="Times New Roman" w:hAnsi="Cambria" w:cs="Calibri"/>
                <w:lang w:val="hr-HR"/>
              </w:rPr>
            </w:pPr>
            <w:r w:rsidRPr="00E05582">
              <w:rPr>
                <w:rFonts w:ascii="Cambria" w:eastAsia="Times New Roman" w:hAnsi="Cambria" w:cs="Calibri"/>
                <w:lang w:val="hr-HR"/>
              </w:rPr>
              <w:t>18.</w:t>
            </w:r>
            <w:r w:rsidR="00FC5508">
              <w:rPr>
                <w:rFonts w:ascii="Cambria" w:eastAsia="Times New Roman" w:hAnsi="Cambria" w:cs="Calibri"/>
                <w:lang w:val="hr-HR"/>
              </w:rPr>
              <w:t xml:space="preserve"> </w:t>
            </w:r>
            <w:r w:rsidRPr="00E05582">
              <w:rPr>
                <w:rFonts w:ascii="Cambria" w:eastAsia="Times New Roman" w:hAnsi="Cambria" w:cs="Calibri"/>
                <w:lang w:val="hr-HR"/>
              </w:rPr>
              <w:t>Jakubin, M. (2004): „Vodič kroz povijest umjetnosti i vremenska lenta“. Zagreb: Školska knjiga.</w:t>
            </w:r>
          </w:p>
          <w:p w14:paraId="6A2DC214" w14:textId="7FF0273B" w:rsidR="00FA72B4" w:rsidRPr="00E05582" w:rsidRDefault="00FA72B4" w:rsidP="00FA72B4">
            <w:pPr>
              <w:snapToGrid w:val="0"/>
              <w:spacing w:after="0" w:line="240" w:lineRule="auto"/>
              <w:jc w:val="both"/>
              <w:rPr>
                <w:rFonts w:ascii="Cambria" w:eastAsia="Times New Roman" w:hAnsi="Cambria" w:cs="Calibri"/>
                <w:lang w:val="hr-HR"/>
              </w:rPr>
            </w:pPr>
            <w:r w:rsidRPr="00E05582">
              <w:rPr>
                <w:rFonts w:ascii="Cambria" w:eastAsia="Times New Roman" w:hAnsi="Cambria" w:cs="Calibri"/>
                <w:lang w:val="hr-HR"/>
              </w:rPr>
              <w:t>19.</w:t>
            </w:r>
            <w:r w:rsidR="00FC5508">
              <w:rPr>
                <w:rFonts w:ascii="Cambria" w:eastAsia="Times New Roman" w:hAnsi="Cambria" w:cs="Calibri"/>
                <w:lang w:val="hr-HR"/>
              </w:rPr>
              <w:t xml:space="preserve"> </w:t>
            </w:r>
            <w:r w:rsidRPr="00E05582">
              <w:rPr>
                <w:rFonts w:ascii="Cambria" w:eastAsia="Times New Roman" w:hAnsi="Cambria" w:cs="Calibri"/>
                <w:lang w:val="hr-HR"/>
              </w:rPr>
              <w:t xml:space="preserve">Janson, A. F. (2004): „Povijest umjetnosti“. Varaždin: </w:t>
            </w:r>
            <w:proofErr w:type="spellStart"/>
            <w:r w:rsidRPr="00E05582">
              <w:rPr>
                <w:rFonts w:ascii="Cambria" w:eastAsia="Times New Roman" w:hAnsi="Cambria" w:cs="Calibri"/>
                <w:lang w:val="hr-HR"/>
              </w:rPr>
              <w:t>Stanek</w:t>
            </w:r>
            <w:proofErr w:type="spellEnd"/>
            <w:r w:rsidRPr="00E05582">
              <w:rPr>
                <w:rFonts w:ascii="Cambria" w:eastAsia="Times New Roman" w:hAnsi="Cambria" w:cs="Calibri"/>
                <w:lang w:val="hr-HR"/>
              </w:rPr>
              <w:t>.</w:t>
            </w:r>
          </w:p>
          <w:p w14:paraId="787B792A" w14:textId="07F948BE" w:rsidR="00FA72B4" w:rsidRPr="00E05582" w:rsidRDefault="00FA72B4" w:rsidP="00FA72B4">
            <w:pPr>
              <w:snapToGrid w:val="0"/>
              <w:spacing w:after="0" w:line="240" w:lineRule="auto"/>
              <w:jc w:val="both"/>
              <w:rPr>
                <w:rFonts w:ascii="Cambria" w:eastAsia="Times New Roman" w:hAnsi="Cambria" w:cs="Calibri"/>
                <w:lang w:val="hr-HR"/>
              </w:rPr>
            </w:pPr>
            <w:r w:rsidRPr="00E05582">
              <w:rPr>
                <w:rFonts w:ascii="Cambria" w:eastAsia="Times New Roman" w:hAnsi="Cambria" w:cs="Calibri"/>
                <w:lang w:val="hr-HR"/>
              </w:rPr>
              <w:t>20.</w:t>
            </w:r>
            <w:r w:rsidR="00FC5508">
              <w:rPr>
                <w:rFonts w:ascii="Cambria" w:eastAsia="Times New Roman" w:hAnsi="Cambria" w:cs="Calibri"/>
                <w:lang w:val="hr-HR"/>
              </w:rPr>
              <w:t xml:space="preserve"> </w:t>
            </w:r>
            <w:proofErr w:type="spellStart"/>
            <w:r w:rsidRPr="00E05582">
              <w:rPr>
                <w:rFonts w:ascii="Cambria" w:eastAsia="Times New Roman" w:hAnsi="Cambria" w:cs="Calibri"/>
                <w:lang w:val="hr-HR"/>
              </w:rPr>
              <w:t>Lucie</w:t>
            </w:r>
            <w:proofErr w:type="spellEnd"/>
            <w:r w:rsidRPr="00E05582">
              <w:rPr>
                <w:rFonts w:ascii="Cambria" w:eastAsia="Times New Roman" w:hAnsi="Cambria" w:cs="Calibri"/>
                <w:lang w:val="hr-HR"/>
              </w:rPr>
              <w:t xml:space="preserve"> – Smith, E. (2003): „Vizualne umjetnosti dvadesetog stoljeća“. Zagreb: Golden marketing – Tehnička knjiga.</w:t>
            </w:r>
          </w:p>
          <w:p w14:paraId="33E442C9" w14:textId="1C13D1F0" w:rsidR="00FA72B4" w:rsidRPr="00E05582" w:rsidRDefault="00FA72B4" w:rsidP="00FA72B4">
            <w:pPr>
              <w:snapToGrid w:val="0"/>
              <w:spacing w:after="0" w:line="240" w:lineRule="auto"/>
              <w:jc w:val="both"/>
              <w:rPr>
                <w:rFonts w:ascii="Cambria" w:eastAsia="Times New Roman" w:hAnsi="Cambria" w:cs="Calibri"/>
                <w:lang w:val="hr-HR"/>
              </w:rPr>
            </w:pPr>
            <w:r w:rsidRPr="00E05582">
              <w:rPr>
                <w:rFonts w:ascii="Cambria" w:eastAsia="Times New Roman" w:hAnsi="Cambria" w:cs="Calibri"/>
                <w:lang w:val="hr-HR"/>
              </w:rPr>
              <w:t>21.</w:t>
            </w:r>
            <w:r w:rsidR="00FC5508">
              <w:rPr>
                <w:rFonts w:ascii="Cambria" w:eastAsia="Times New Roman" w:hAnsi="Cambria" w:cs="Calibri"/>
                <w:lang w:val="hr-HR"/>
              </w:rPr>
              <w:t xml:space="preserve"> </w:t>
            </w:r>
            <w:r w:rsidRPr="00E05582">
              <w:rPr>
                <w:rFonts w:ascii="Cambria" w:eastAsia="Times New Roman" w:hAnsi="Cambria" w:cs="Calibri"/>
                <w:lang w:val="hr-HR"/>
              </w:rPr>
              <w:t>Monografije velikih umjetnika, stručni časopisi, Internet stranice muzeja i galerija, katalozi, etnografske zbirke.</w:t>
            </w:r>
          </w:p>
          <w:p w14:paraId="56E2DCAE" w14:textId="55C31A31" w:rsidR="00FA72B4" w:rsidRPr="00E05582" w:rsidRDefault="00FA72B4" w:rsidP="00FA72B4">
            <w:pPr>
              <w:snapToGrid w:val="0"/>
              <w:spacing w:after="0" w:line="240" w:lineRule="auto"/>
              <w:jc w:val="both"/>
              <w:rPr>
                <w:rFonts w:ascii="Cambria" w:eastAsia="Times New Roman" w:hAnsi="Cambria" w:cs="Calibri"/>
                <w:lang w:val="hr-HR"/>
              </w:rPr>
            </w:pPr>
            <w:r w:rsidRPr="00E05582">
              <w:rPr>
                <w:rFonts w:ascii="Cambria" w:eastAsia="Times New Roman" w:hAnsi="Cambria" w:cs="Calibri"/>
                <w:lang w:val="hr-HR"/>
              </w:rPr>
              <w:t>22.</w:t>
            </w:r>
            <w:r w:rsidR="00FC5508">
              <w:rPr>
                <w:rFonts w:ascii="Cambria" w:eastAsia="Times New Roman" w:hAnsi="Cambria" w:cs="Calibri"/>
                <w:lang w:val="hr-HR"/>
              </w:rPr>
              <w:t xml:space="preserve"> </w:t>
            </w:r>
            <w:r w:rsidRPr="00E05582">
              <w:rPr>
                <w:rFonts w:ascii="Cambria" w:eastAsia="Times New Roman" w:hAnsi="Cambria" w:cs="Calibri"/>
                <w:lang w:val="hr-HR"/>
              </w:rPr>
              <w:t xml:space="preserve">Muzeji i galerije svijeta (1978). Zagreb: Mladost; Ljubljana: </w:t>
            </w:r>
            <w:proofErr w:type="spellStart"/>
            <w:r w:rsidRPr="00E05582">
              <w:rPr>
                <w:rFonts w:ascii="Cambria" w:eastAsia="Times New Roman" w:hAnsi="Cambria" w:cs="Calibri"/>
                <w:lang w:val="hr-HR"/>
              </w:rPr>
              <w:t>Mladinska</w:t>
            </w:r>
            <w:proofErr w:type="spellEnd"/>
            <w:r w:rsidRPr="00E05582">
              <w:rPr>
                <w:rFonts w:ascii="Cambria" w:eastAsia="Times New Roman" w:hAnsi="Cambria" w:cs="Calibri"/>
                <w:lang w:val="hr-HR"/>
              </w:rPr>
              <w:t xml:space="preserve"> knjiga.</w:t>
            </w:r>
          </w:p>
          <w:p w14:paraId="5838D9DF" w14:textId="378CF777" w:rsidR="00FA72B4" w:rsidRPr="00E05582" w:rsidRDefault="00FA72B4" w:rsidP="00FA72B4">
            <w:pPr>
              <w:snapToGrid w:val="0"/>
              <w:spacing w:after="0" w:line="240" w:lineRule="auto"/>
              <w:jc w:val="both"/>
              <w:rPr>
                <w:rFonts w:ascii="Cambria" w:eastAsia="Times New Roman" w:hAnsi="Cambria" w:cs="Calibri"/>
                <w:lang w:val="hr-HR"/>
              </w:rPr>
            </w:pPr>
            <w:r w:rsidRPr="00E05582">
              <w:rPr>
                <w:rFonts w:ascii="Cambria" w:eastAsia="Times New Roman" w:hAnsi="Cambria" w:cs="Calibri"/>
                <w:lang w:val="hr-HR"/>
              </w:rPr>
              <w:t>23.</w:t>
            </w:r>
            <w:r w:rsidR="00FC5508">
              <w:rPr>
                <w:rFonts w:ascii="Cambria" w:eastAsia="Times New Roman" w:hAnsi="Cambria" w:cs="Calibri"/>
                <w:lang w:val="hr-HR"/>
              </w:rPr>
              <w:t xml:space="preserve"> </w:t>
            </w:r>
            <w:proofErr w:type="spellStart"/>
            <w:r w:rsidRPr="00E05582">
              <w:rPr>
                <w:rFonts w:ascii="Cambria" w:eastAsia="Times New Roman" w:hAnsi="Cambria" w:cs="Calibri"/>
                <w:lang w:val="hr-HR"/>
              </w:rPr>
              <w:t>Peić</w:t>
            </w:r>
            <w:proofErr w:type="spellEnd"/>
            <w:r w:rsidRPr="00E05582">
              <w:rPr>
                <w:rFonts w:ascii="Cambria" w:eastAsia="Times New Roman" w:hAnsi="Cambria" w:cs="Calibri"/>
                <w:lang w:val="hr-HR"/>
              </w:rPr>
              <w:t>, M. (1977): „Pristup likovnom djelu“. Zagreb: Školska knjiga.</w:t>
            </w:r>
          </w:p>
          <w:p w14:paraId="180B37FA" w14:textId="7C4C254D" w:rsidR="00FA72B4" w:rsidRPr="00E05582" w:rsidRDefault="00FA72B4" w:rsidP="00FA72B4">
            <w:pPr>
              <w:snapToGrid w:val="0"/>
              <w:spacing w:after="0" w:line="240" w:lineRule="auto"/>
              <w:jc w:val="both"/>
              <w:rPr>
                <w:rFonts w:ascii="Cambria" w:eastAsia="Times New Roman" w:hAnsi="Cambria" w:cs="Calibri"/>
                <w:lang w:val="hr-HR"/>
              </w:rPr>
            </w:pPr>
            <w:r w:rsidRPr="00E05582">
              <w:rPr>
                <w:rFonts w:ascii="Cambria" w:eastAsia="Times New Roman" w:hAnsi="Cambria" w:cs="Calibri"/>
                <w:lang w:val="hr-HR"/>
              </w:rPr>
              <w:t>24.</w:t>
            </w:r>
            <w:r w:rsidR="00FC5508">
              <w:rPr>
                <w:rFonts w:ascii="Cambria" w:eastAsia="Times New Roman" w:hAnsi="Cambria" w:cs="Calibri"/>
                <w:lang w:val="hr-HR"/>
              </w:rPr>
              <w:t xml:space="preserve"> </w:t>
            </w:r>
            <w:r w:rsidRPr="00E05582">
              <w:rPr>
                <w:rFonts w:ascii="Cambria" w:eastAsia="Times New Roman" w:hAnsi="Cambria" w:cs="Calibri"/>
                <w:lang w:val="hr-HR"/>
              </w:rPr>
              <w:t xml:space="preserve">Pervan, I.; Mirković, M. (2004): „Ivan Krstitelj </w:t>
            </w:r>
            <w:proofErr w:type="spellStart"/>
            <w:r w:rsidRPr="00E05582">
              <w:rPr>
                <w:rFonts w:ascii="Cambria" w:eastAsia="Times New Roman" w:hAnsi="Cambria" w:cs="Calibri"/>
                <w:lang w:val="hr-HR"/>
              </w:rPr>
              <w:t>Ranger</w:t>
            </w:r>
            <w:proofErr w:type="spellEnd"/>
            <w:r w:rsidRPr="00E05582">
              <w:rPr>
                <w:rFonts w:ascii="Cambria" w:eastAsia="Times New Roman" w:hAnsi="Cambria" w:cs="Calibri"/>
                <w:lang w:val="hr-HR"/>
              </w:rPr>
              <w:t>“. Zagreb: INA – INDUSTRIJA NAFTE, Zagreb.</w:t>
            </w:r>
          </w:p>
          <w:p w14:paraId="016F1DE2" w14:textId="02EF8F60" w:rsidR="00FA72B4" w:rsidRPr="00E05582" w:rsidRDefault="00FA72B4" w:rsidP="00FA72B4">
            <w:pPr>
              <w:snapToGrid w:val="0"/>
              <w:spacing w:after="0" w:line="240" w:lineRule="auto"/>
              <w:jc w:val="both"/>
              <w:rPr>
                <w:rFonts w:ascii="Cambria" w:eastAsia="Times New Roman" w:hAnsi="Cambria" w:cs="Calibri"/>
                <w:lang w:val="hr-HR"/>
              </w:rPr>
            </w:pPr>
            <w:r w:rsidRPr="00E05582">
              <w:rPr>
                <w:rFonts w:ascii="Cambria" w:eastAsia="Times New Roman" w:hAnsi="Cambria" w:cs="Calibri"/>
                <w:lang w:val="hr-HR"/>
              </w:rPr>
              <w:t>25.</w:t>
            </w:r>
            <w:r w:rsidR="00FC5508">
              <w:rPr>
                <w:rFonts w:ascii="Cambria" w:eastAsia="Times New Roman" w:hAnsi="Cambria" w:cs="Calibri"/>
                <w:lang w:val="hr-HR"/>
              </w:rPr>
              <w:t xml:space="preserve"> </w:t>
            </w:r>
            <w:proofErr w:type="spellStart"/>
            <w:r w:rsidRPr="00E05582">
              <w:rPr>
                <w:rFonts w:ascii="Cambria" w:eastAsia="Times New Roman" w:hAnsi="Cambria" w:cs="Calibri"/>
                <w:lang w:val="hr-HR"/>
              </w:rPr>
              <w:t>Pischel</w:t>
            </w:r>
            <w:proofErr w:type="spellEnd"/>
            <w:r w:rsidRPr="00E05582">
              <w:rPr>
                <w:rFonts w:ascii="Cambria" w:eastAsia="Times New Roman" w:hAnsi="Cambria" w:cs="Calibri"/>
                <w:lang w:val="hr-HR"/>
              </w:rPr>
              <w:t>, G. (1977): „Opća povijest umjetnosti I., II., III.“. Zagreb: Mladost.</w:t>
            </w:r>
          </w:p>
          <w:p w14:paraId="1EDA1316" w14:textId="3BAE9EE8" w:rsidR="00FA72B4" w:rsidRPr="00E05582" w:rsidRDefault="00FA72B4" w:rsidP="00FA72B4">
            <w:pPr>
              <w:snapToGrid w:val="0"/>
              <w:spacing w:after="0" w:line="240" w:lineRule="auto"/>
              <w:jc w:val="both"/>
              <w:rPr>
                <w:rFonts w:ascii="Cambria" w:eastAsia="Times New Roman" w:hAnsi="Cambria" w:cs="Calibri"/>
                <w:lang w:val="hr-HR"/>
              </w:rPr>
            </w:pPr>
            <w:r w:rsidRPr="00E05582">
              <w:rPr>
                <w:rFonts w:ascii="Cambria" w:eastAsia="Times New Roman" w:hAnsi="Cambria" w:cs="Calibri"/>
                <w:lang w:val="hr-HR"/>
              </w:rPr>
              <w:t>26.</w:t>
            </w:r>
            <w:r w:rsidR="00B64772">
              <w:rPr>
                <w:rFonts w:ascii="Cambria" w:eastAsia="Times New Roman" w:hAnsi="Cambria" w:cs="Calibri"/>
                <w:lang w:val="hr-HR"/>
              </w:rPr>
              <w:t xml:space="preserve"> </w:t>
            </w:r>
            <w:proofErr w:type="spellStart"/>
            <w:r w:rsidRPr="00E05582">
              <w:rPr>
                <w:rFonts w:ascii="Cambria" w:eastAsia="Times New Roman" w:hAnsi="Cambria" w:cs="Calibri"/>
                <w:lang w:val="hr-HR"/>
              </w:rPr>
              <w:t>Werkner</w:t>
            </w:r>
            <w:proofErr w:type="spellEnd"/>
            <w:r w:rsidRPr="00E05582">
              <w:rPr>
                <w:rFonts w:ascii="Cambria" w:eastAsia="Times New Roman" w:hAnsi="Cambria" w:cs="Calibri"/>
                <w:lang w:val="hr-HR"/>
              </w:rPr>
              <w:t>, P. (2007): „</w:t>
            </w:r>
            <w:proofErr w:type="spellStart"/>
            <w:r w:rsidRPr="00E05582">
              <w:rPr>
                <w:rFonts w:ascii="Cambria" w:eastAsia="Times New Roman" w:hAnsi="Cambria" w:cs="Calibri"/>
                <w:lang w:val="hr-HR"/>
              </w:rPr>
              <w:t>Kunst</w:t>
            </w:r>
            <w:proofErr w:type="spellEnd"/>
            <w:r w:rsidRPr="00E05582">
              <w:rPr>
                <w:rFonts w:ascii="Cambria" w:eastAsia="Times New Roman" w:hAnsi="Cambria" w:cs="Calibri"/>
                <w:lang w:val="hr-HR"/>
              </w:rPr>
              <w:t xml:space="preserve"> </w:t>
            </w:r>
            <w:proofErr w:type="spellStart"/>
            <w:r w:rsidRPr="00E05582">
              <w:rPr>
                <w:rFonts w:ascii="Cambria" w:eastAsia="Times New Roman" w:hAnsi="Cambria" w:cs="Calibri"/>
                <w:lang w:val="hr-HR"/>
              </w:rPr>
              <w:t>seit</w:t>
            </w:r>
            <w:proofErr w:type="spellEnd"/>
            <w:r w:rsidRPr="00E05582">
              <w:rPr>
                <w:rFonts w:ascii="Cambria" w:eastAsia="Times New Roman" w:hAnsi="Cambria" w:cs="Calibri"/>
                <w:lang w:val="hr-HR"/>
              </w:rPr>
              <w:t xml:space="preserve"> 1940“. </w:t>
            </w:r>
            <w:proofErr w:type="spellStart"/>
            <w:r w:rsidRPr="00E05582">
              <w:rPr>
                <w:rFonts w:ascii="Cambria" w:eastAsia="Times New Roman" w:hAnsi="Cambria" w:cs="Calibri"/>
                <w:lang w:val="hr-HR"/>
              </w:rPr>
              <w:t>Wien</w:t>
            </w:r>
            <w:proofErr w:type="spellEnd"/>
            <w:r w:rsidRPr="00E05582">
              <w:rPr>
                <w:rFonts w:ascii="Cambria" w:eastAsia="Times New Roman" w:hAnsi="Cambria" w:cs="Calibri"/>
                <w:lang w:val="hr-HR"/>
              </w:rPr>
              <w:t xml:space="preserve">: </w:t>
            </w:r>
            <w:proofErr w:type="spellStart"/>
            <w:r w:rsidRPr="00E05582">
              <w:rPr>
                <w:rFonts w:ascii="Cambria" w:eastAsia="Times New Roman" w:hAnsi="Cambria" w:cs="Calibri"/>
                <w:lang w:val="hr-HR"/>
              </w:rPr>
              <w:t>Böhlau</w:t>
            </w:r>
            <w:proofErr w:type="spellEnd"/>
            <w:r w:rsidRPr="00E05582">
              <w:rPr>
                <w:rFonts w:ascii="Cambria" w:eastAsia="Times New Roman" w:hAnsi="Cambria" w:cs="Calibri"/>
                <w:lang w:val="hr-HR"/>
              </w:rPr>
              <w:t xml:space="preserve"> </w:t>
            </w:r>
            <w:proofErr w:type="spellStart"/>
            <w:r w:rsidRPr="00E05582">
              <w:rPr>
                <w:rFonts w:ascii="Cambria" w:eastAsia="Times New Roman" w:hAnsi="Cambria" w:cs="Calibri"/>
                <w:lang w:val="hr-HR"/>
              </w:rPr>
              <w:t>Verlag</w:t>
            </w:r>
            <w:proofErr w:type="spellEnd"/>
            <w:r w:rsidRPr="00E05582">
              <w:rPr>
                <w:rFonts w:ascii="Cambria" w:eastAsia="Times New Roman" w:hAnsi="Cambria" w:cs="Calibri"/>
                <w:lang w:val="hr-HR"/>
              </w:rPr>
              <w:t>.</w:t>
            </w:r>
          </w:p>
          <w:p w14:paraId="2F1AFE5F" w14:textId="364FA266" w:rsidR="00FA72B4" w:rsidRPr="00E05582" w:rsidRDefault="00FA72B4" w:rsidP="00FA72B4">
            <w:pPr>
              <w:snapToGrid w:val="0"/>
              <w:spacing w:after="0" w:line="240" w:lineRule="auto"/>
              <w:jc w:val="both"/>
              <w:rPr>
                <w:rFonts w:ascii="Cambria" w:eastAsia="Times New Roman" w:hAnsi="Cambria" w:cs="Calibri"/>
                <w:lang w:val="hr-HR"/>
              </w:rPr>
            </w:pPr>
            <w:r w:rsidRPr="00E05582">
              <w:rPr>
                <w:rFonts w:ascii="Cambria" w:eastAsia="Times New Roman" w:hAnsi="Cambria" w:cs="Calibri"/>
                <w:lang w:val="hr-HR"/>
              </w:rPr>
              <w:t>27.</w:t>
            </w:r>
            <w:r w:rsidR="00B64772">
              <w:rPr>
                <w:rFonts w:ascii="Cambria" w:eastAsia="Times New Roman" w:hAnsi="Cambria" w:cs="Calibri"/>
                <w:lang w:val="hr-HR"/>
              </w:rPr>
              <w:t xml:space="preserve"> </w:t>
            </w:r>
            <w:proofErr w:type="spellStart"/>
            <w:r w:rsidRPr="00E05582">
              <w:rPr>
                <w:rFonts w:ascii="Cambria" w:eastAsia="Times New Roman" w:hAnsi="Cambria" w:cs="Calibri"/>
                <w:lang w:val="hr-HR"/>
              </w:rPr>
              <w:t>Wölfflin</w:t>
            </w:r>
            <w:proofErr w:type="spellEnd"/>
            <w:r w:rsidRPr="00E05582">
              <w:rPr>
                <w:rFonts w:ascii="Cambria" w:eastAsia="Times New Roman" w:hAnsi="Cambria" w:cs="Calibri"/>
                <w:lang w:val="hr-HR"/>
              </w:rPr>
              <w:t>, H. (1998): „Temeljni pojmovi povijesti umjetnosti, problem razvoja stila u novijoj umjetnosti“. Zagreb: Kontura.</w:t>
            </w:r>
          </w:p>
          <w:p w14:paraId="399D5D83" w14:textId="6DFE3596" w:rsidR="00FA72B4" w:rsidRPr="00E05582" w:rsidRDefault="00FA72B4" w:rsidP="00FA72B4">
            <w:pPr>
              <w:snapToGrid w:val="0"/>
              <w:spacing w:after="0" w:line="240" w:lineRule="auto"/>
              <w:jc w:val="both"/>
              <w:rPr>
                <w:rFonts w:ascii="Cambria" w:eastAsia="Times New Roman" w:hAnsi="Cambria" w:cs="Calibri"/>
                <w:lang w:val="hr-HR"/>
              </w:rPr>
            </w:pPr>
            <w:r w:rsidRPr="00E05582">
              <w:rPr>
                <w:rFonts w:ascii="Cambria" w:eastAsia="Times New Roman" w:hAnsi="Cambria" w:cs="Calibri"/>
                <w:lang w:val="hr-HR"/>
              </w:rPr>
              <w:t>28.</w:t>
            </w:r>
            <w:r w:rsidR="00B64772">
              <w:rPr>
                <w:rFonts w:ascii="Cambria" w:eastAsia="Times New Roman" w:hAnsi="Cambria" w:cs="Calibri"/>
                <w:lang w:val="hr-HR"/>
              </w:rPr>
              <w:t xml:space="preserve"> </w:t>
            </w:r>
            <w:proofErr w:type="spellStart"/>
            <w:r w:rsidRPr="00E05582">
              <w:rPr>
                <w:rFonts w:ascii="Cambria" w:eastAsia="Times New Roman" w:hAnsi="Cambria" w:cs="Calibri"/>
                <w:lang w:val="hr-HR"/>
              </w:rPr>
              <w:t>Zamarovský</w:t>
            </w:r>
            <w:proofErr w:type="spellEnd"/>
            <w:r w:rsidRPr="00E05582">
              <w:rPr>
                <w:rFonts w:ascii="Cambria" w:eastAsia="Times New Roman" w:hAnsi="Cambria" w:cs="Calibri"/>
                <w:lang w:val="hr-HR"/>
              </w:rPr>
              <w:t xml:space="preserve">, V. (2004): „Bogovi i junaci antičkih mitova, leksikon grčke i rimske mitologije“. Zagreb: </w:t>
            </w:r>
            <w:proofErr w:type="spellStart"/>
            <w:r w:rsidRPr="00E05582">
              <w:rPr>
                <w:rFonts w:ascii="Cambria" w:eastAsia="Times New Roman" w:hAnsi="Cambria" w:cs="Calibri"/>
                <w:lang w:val="hr-HR"/>
              </w:rPr>
              <w:t>Artresor</w:t>
            </w:r>
            <w:proofErr w:type="spellEnd"/>
            <w:r w:rsidRPr="00E05582">
              <w:rPr>
                <w:rFonts w:ascii="Cambria" w:eastAsia="Times New Roman" w:hAnsi="Cambria" w:cs="Calibri"/>
                <w:lang w:val="hr-HR"/>
              </w:rPr>
              <w:t xml:space="preserve"> naklada.</w:t>
            </w:r>
          </w:p>
          <w:p w14:paraId="6519485C" w14:textId="4D6CC99A" w:rsidR="00FA72B4" w:rsidRPr="00DF4CE5" w:rsidRDefault="00FA72B4" w:rsidP="00FA72B4">
            <w:pPr>
              <w:snapToGrid w:val="0"/>
              <w:spacing w:after="0" w:line="240" w:lineRule="auto"/>
              <w:jc w:val="both"/>
              <w:rPr>
                <w:rFonts w:ascii="Cambria" w:eastAsia="Times New Roman" w:hAnsi="Cambria" w:cs="Calibri"/>
                <w:lang w:val="hr-HR"/>
              </w:rPr>
            </w:pPr>
            <w:r w:rsidRPr="00E05582">
              <w:rPr>
                <w:rFonts w:ascii="Cambria" w:eastAsia="Times New Roman" w:hAnsi="Cambria" w:cs="Calibri"/>
                <w:lang w:val="hr-HR"/>
              </w:rPr>
              <w:t>29.</w:t>
            </w:r>
            <w:r w:rsidR="00B64772">
              <w:rPr>
                <w:rFonts w:ascii="Cambria" w:eastAsia="Times New Roman" w:hAnsi="Cambria" w:cs="Calibri"/>
                <w:lang w:val="hr-HR"/>
              </w:rPr>
              <w:t xml:space="preserve"> </w:t>
            </w:r>
            <w:r w:rsidRPr="00E05582">
              <w:rPr>
                <w:rFonts w:ascii="Cambria" w:eastAsia="Times New Roman" w:hAnsi="Cambria" w:cs="Calibri"/>
                <w:lang w:val="hr-HR"/>
              </w:rPr>
              <w:t xml:space="preserve">Zeri, F. (1998): „Picasso, </w:t>
            </w:r>
            <w:proofErr w:type="spellStart"/>
            <w:r w:rsidRPr="00E05582">
              <w:rPr>
                <w:rFonts w:ascii="Cambria" w:eastAsia="Times New Roman" w:hAnsi="Cambria" w:cs="Calibri"/>
                <w:lang w:val="hr-HR"/>
              </w:rPr>
              <w:t>Guernica</w:t>
            </w:r>
            <w:proofErr w:type="spellEnd"/>
            <w:r w:rsidRPr="00E05582">
              <w:rPr>
                <w:rFonts w:ascii="Cambria" w:eastAsia="Times New Roman" w:hAnsi="Cambria" w:cs="Calibri"/>
                <w:lang w:val="hr-HR"/>
              </w:rPr>
              <w:t xml:space="preserve">“. Milano: </w:t>
            </w:r>
            <w:proofErr w:type="spellStart"/>
            <w:r w:rsidRPr="00E05582">
              <w:rPr>
                <w:rFonts w:ascii="Cambria" w:eastAsia="Times New Roman" w:hAnsi="Cambria" w:cs="Calibri"/>
                <w:lang w:val="hr-HR"/>
              </w:rPr>
              <w:t>Rizzoli</w:t>
            </w:r>
            <w:proofErr w:type="spellEnd"/>
            <w:r w:rsidRPr="00E05582">
              <w:rPr>
                <w:rFonts w:ascii="Cambria" w:eastAsia="Times New Roman" w:hAnsi="Cambria" w:cs="Calibri"/>
                <w:lang w:val="hr-HR"/>
              </w:rPr>
              <w:t>.</w:t>
            </w:r>
          </w:p>
        </w:tc>
      </w:tr>
    </w:tbl>
    <w:p w14:paraId="3A4E2FD6" w14:textId="635240D5" w:rsidR="00544D05" w:rsidRPr="00DF4CE5" w:rsidRDefault="00544D05" w:rsidP="009138DB">
      <w:pPr>
        <w:rPr>
          <w:rFonts w:ascii="Cambria" w:hAnsi="Cambria"/>
          <w:lang w:val="hr-HR"/>
        </w:rPr>
      </w:pPr>
    </w:p>
    <w:p w14:paraId="648DEAB9" w14:textId="77777777" w:rsidR="00544D05" w:rsidRPr="00DF4CE5" w:rsidRDefault="00544D05" w:rsidP="008B34AF">
      <w:pPr>
        <w:jc w:val="both"/>
        <w:rPr>
          <w:rFonts w:ascii="Cambria" w:hAnsi="Cambria"/>
          <w:lang w:val="hr-HR"/>
        </w:rPr>
      </w:pPr>
    </w:p>
    <w:p w14:paraId="3372AE13" w14:textId="40AEC8C9" w:rsidR="003415F8" w:rsidRDefault="003415F8">
      <w:pPr>
        <w:rPr>
          <w:rFonts w:ascii="Cambria" w:hAnsi="Cambria"/>
          <w:lang w:val="hr-HR"/>
        </w:rPr>
      </w:pPr>
      <w:r>
        <w:rPr>
          <w:rFonts w:ascii="Cambria" w:hAnsi="Cambria"/>
          <w:lang w:val="hr-HR"/>
        </w:rPr>
        <w:br w:type="page"/>
      </w:r>
    </w:p>
    <w:tbl>
      <w:tblPr>
        <w:tblW w:w="9380" w:type="dxa"/>
        <w:tblInd w:w="-10" w:type="dxa"/>
        <w:tblLayout w:type="fixed"/>
        <w:tblCellMar>
          <w:left w:w="0" w:type="dxa"/>
          <w:right w:w="0" w:type="dxa"/>
        </w:tblCellMar>
        <w:tblLook w:val="0600" w:firstRow="0" w:lastRow="0" w:firstColumn="0" w:lastColumn="0" w:noHBand="1" w:noVBand="1"/>
      </w:tblPr>
      <w:tblGrid>
        <w:gridCol w:w="2629"/>
        <w:gridCol w:w="2492"/>
        <w:gridCol w:w="98"/>
        <w:gridCol w:w="1096"/>
        <w:gridCol w:w="281"/>
        <w:gridCol w:w="506"/>
        <w:gridCol w:w="954"/>
        <w:gridCol w:w="1324"/>
      </w:tblGrid>
      <w:tr w:rsidR="003415F8" w:rsidRPr="00DF4CE5" w14:paraId="6EB2047A" w14:textId="77777777" w:rsidTr="00587D5D">
        <w:tc>
          <w:tcPr>
            <w:tcW w:w="9380"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3F5FB2E" w14:textId="77777777" w:rsidR="003415F8" w:rsidRPr="00DF4CE5" w:rsidRDefault="003415F8" w:rsidP="00587D5D">
            <w:pPr>
              <w:spacing w:after="0" w:line="240" w:lineRule="auto"/>
              <w:contextualSpacing/>
              <w:jc w:val="right"/>
              <w:rPr>
                <w:rFonts w:ascii="Cambria" w:eastAsia="Times New Roman" w:hAnsi="Cambria" w:cs="Calibri"/>
                <w:b/>
                <w:lang w:val="hr-HR"/>
              </w:rPr>
            </w:pPr>
            <w:r w:rsidRPr="00DF4CE5">
              <w:rPr>
                <w:rFonts w:ascii="Cambria" w:eastAsia="Times New Roman" w:hAnsi="Cambria" w:cs="Calibri"/>
                <w:b/>
                <w:lang w:val="hr-HR"/>
              </w:rPr>
              <w:lastRenderedPageBreak/>
              <w:t>IZVEDBENI PLAN NASTAVE KOLEGIJA</w:t>
            </w:r>
          </w:p>
        </w:tc>
      </w:tr>
      <w:tr w:rsidR="003415F8" w:rsidRPr="00D0399C" w14:paraId="328C68BA" w14:textId="77777777" w:rsidTr="00587D5D">
        <w:tc>
          <w:tcPr>
            <w:tcW w:w="26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E62A452" w14:textId="77777777" w:rsidR="003415F8" w:rsidRPr="00DF4CE5" w:rsidRDefault="003415F8" w:rsidP="00587D5D">
            <w:pPr>
              <w:spacing w:after="0" w:line="240" w:lineRule="auto"/>
              <w:contextualSpacing/>
              <w:jc w:val="both"/>
              <w:rPr>
                <w:rFonts w:ascii="Cambria" w:eastAsia="Times New Roman" w:hAnsi="Cambria" w:cs="Calibri"/>
                <w:lang w:val="hr-HR"/>
              </w:rPr>
            </w:pPr>
            <w:r w:rsidRPr="00DF4CE5">
              <w:rPr>
                <w:rFonts w:ascii="Cambria" w:eastAsia="Times New Roman" w:hAnsi="Cambria" w:cs="Calibri"/>
                <w:lang w:val="hr-HR"/>
              </w:rPr>
              <w:t>Kod i naziv kolegija</w:t>
            </w:r>
          </w:p>
        </w:tc>
        <w:tc>
          <w:tcPr>
            <w:tcW w:w="6751"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946BC1F" w14:textId="77777777" w:rsidR="003415F8" w:rsidRPr="00DF4CE5" w:rsidRDefault="003415F8" w:rsidP="00587D5D">
            <w:pPr>
              <w:spacing w:after="0" w:line="240" w:lineRule="auto"/>
              <w:contextualSpacing/>
              <w:jc w:val="both"/>
              <w:rPr>
                <w:rFonts w:ascii="Cambria" w:eastAsia="Times New Roman" w:hAnsi="Cambria" w:cs="Calibri"/>
                <w:lang w:val="hr-HR"/>
              </w:rPr>
            </w:pPr>
            <w:r w:rsidRPr="00DF4CE5">
              <w:rPr>
                <w:rFonts w:ascii="Cambria" w:eastAsia="Times New Roman" w:hAnsi="Cambria" w:cs="Calibri"/>
                <w:lang w:val="hr-HR"/>
              </w:rPr>
              <w:t>85811</w:t>
            </w:r>
          </w:p>
          <w:p w14:paraId="59ABE566" w14:textId="77777777" w:rsidR="003415F8" w:rsidRPr="00DF4CE5" w:rsidRDefault="003415F8" w:rsidP="00587D5D">
            <w:pPr>
              <w:spacing w:after="0" w:line="240" w:lineRule="auto"/>
              <w:contextualSpacing/>
              <w:jc w:val="both"/>
              <w:rPr>
                <w:rFonts w:ascii="Cambria" w:eastAsia="Times New Roman" w:hAnsi="Cambria" w:cs="Calibri"/>
                <w:lang w:val="hr-HR"/>
              </w:rPr>
            </w:pPr>
            <w:r w:rsidRPr="00DF4CE5">
              <w:rPr>
                <w:rFonts w:ascii="Cambria" w:eastAsia="Times New Roman" w:hAnsi="Cambria" w:cs="Calibri"/>
                <w:lang w:val="hr-HR"/>
              </w:rPr>
              <w:t>Metodika nastave hrvatskog jezika I.</w:t>
            </w:r>
          </w:p>
        </w:tc>
      </w:tr>
      <w:tr w:rsidR="003415F8" w:rsidRPr="004E3FDC" w14:paraId="009A33D2" w14:textId="77777777" w:rsidTr="00587D5D">
        <w:tc>
          <w:tcPr>
            <w:tcW w:w="26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F9A65E9" w14:textId="77777777" w:rsidR="003415F8" w:rsidRPr="00DF4CE5" w:rsidRDefault="003415F8" w:rsidP="00587D5D">
            <w:pPr>
              <w:spacing w:after="0" w:line="240" w:lineRule="auto"/>
              <w:contextualSpacing/>
              <w:jc w:val="both"/>
              <w:rPr>
                <w:rFonts w:ascii="Cambria" w:eastAsia="Times New Roman" w:hAnsi="Cambria" w:cs="Calibri"/>
                <w:lang w:val="hr-HR"/>
              </w:rPr>
            </w:pPr>
            <w:r w:rsidRPr="00DF4CE5">
              <w:rPr>
                <w:rFonts w:ascii="Cambria" w:eastAsia="Times New Roman" w:hAnsi="Cambria" w:cs="Calibri"/>
                <w:lang w:val="hr-HR"/>
              </w:rPr>
              <w:t xml:space="preserve">Nastavnik </w:t>
            </w:r>
          </w:p>
          <w:p w14:paraId="71447A47" w14:textId="52A882DC" w:rsidR="003415F8" w:rsidRPr="00DF4CE5" w:rsidRDefault="003415F8" w:rsidP="00587D5D">
            <w:pPr>
              <w:spacing w:after="0" w:line="240" w:lineRule="auto"/>
              <w:contextualSpacing/>
              <w:jc w:val="both"/>
              <w:rPr>
                <w:rFonts w:ascii="Cambria" w:eastAsia="Times New Roman" w:hAnsi="Cambria" w:cs="Calibri"/>
                <w:lang w:val="hr-HR"/>
              </w:rPr>
            </w:pPr>
            <w:r w:rsidRPr="00DF4CE5">
              <w:rPr>
                <w:rFonts w:ascii="Cambria" w:eastAsia="Times New Roman" w:hAnsi="Cambria" w:cs="Calibri"/>
                <w:lang w:val="hr-HR"/>
              </w:rPr>
              <w:t>Suradni</w:t>
            </w:r>
            <w:r w:rsidR="00D01C7E">
              <w:rPr>
                <w:rFonts w:ascii="Cambria" w:eastAsia="Times New Roman" w:hAnsi="Cambria" w:cs="Calibri"/>
                <w:lang w:val="hr-HR"/>
              </w:rPr>
              <w:t>k</w:t>
            </w:r>
          </w:p>
        </w:tc>
        <w:tc>
          <w:tcPr>
            <w:tcW w:w="6751"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B13DF71" w14:textId="6E14ADD5" w:rsidR="003415F8" w:rsidRPr="00DF4CE5" w:rsidRDefault="003415F8" w:rsidP="00587D5D">
            <w:pPr>
              <w:spacing w:after="0" w:line="240" w:lineRule="auto"/>
              <w:contextualSpacing/>
              <w:jc w:val="both"/>
              <w:rPr>
                <w:rFonts w:ascii="Cambria" w:eastAsia="Times New Roman" w:hAnsi="Cambria" w:cs="Calibri"/>
                <w:lang w:val="hr-HR"/>
              </w:rPr>
            </w:pPr>
            <w:hyperlink r:id="rId95" w:history="1">
              <w:r w:rsidRPr="003415F8">
                <w:rPr>
                  <w:rStyle w:val="Hiperveza"/>
                  <w:rFonts w:ascii="Cambria" w:hAnsi="Cambria"/>
                  <w:lang w:val="it-IT"/>
                </w:rPr>
                <w:t xml:space="preserve">Prof. dr. sc. </w:t>
              </w:r>
              <w:proofErr w:type="spellStart"/>
              <w:r w:rsidRPr="003415F8">
                <w:rPr>
                  <w:rStyle w:val="Hiperveza"/>
                  <w:rFonts w:ascii="Cambria" w:hAnsi="Cambria"/>
                  <w:lang w:val="it-IT"/>
                </w:rPr>
                <w:t>Vjekoslava</w:t>
              </w:r>
              <w:proofErr w:type="spellEnd"/>
              <w:r w:rsidRPr="003415F8">
                <w:rPr>
                  <w:rStyle w:val="Hiperveza"/>
                  <w:rFonts w:ascii="Cambria" w:hAnsi="Cambria"/>
                  <w:lang w:val="it-IT"/>
                </w:rPr>
                <w:t xml:space="preserve"> </w:t>
              </w:r>
              <w:proofErr w:type="spellStart"/>
              <w:r w:rsidRPr="003415F8">
                <w:rPr>
                  <w:rStyle w:val="Hiperveza"/>
                  <w:rFonts w:ascii="Cambria" w:hAnsi="Cambria"/>
                  <w:lang w:val="it-IT"/>
                </w:rPr>
                <w:t>Jurdana</w:t>
              </w:r>
              <w:proofErr w:type="spellEnd"/>
            </w:hyperlink>
            <w:r w:rsidRPr="003415F8">
              <w:rPr>
                <w:lang w:val="it-IT"/>
              </w:rPr>
              <w:t xml:space="preserve"> </w:t>
            </w:r>
            <w:r w:rsidRPr="00840765">
              <w:rPr>
                <w:rFonts w:ascii="Cambria" w:eastAsia="Times New Roman" w:hAnsi="Cambria" w:cs="Calibri"/>
                <w:lang w:val="hr-HR"/>
              </w:rPr>
              <w:t>(nositelj)</w:t>
            </w:r>
          </w:p>
          <w:p w14:paraId="746FD062" w14:textId="0245D729" w:rsidR="003415F8" w:rsidRPr="00DF4CE5" w:rsidRDefault="00D01C7E" w:rsidP="00587D5D">
            <w:pPr>
              <w:spacing w:after="0" w:line="240" w:lineRule="auto"/>
              <w:contextualSpacing/>
              <w:jc w:val="both"/>
              <w:rPr>
                <w:rFonts w:ascii="Cambria" w:eastAsia="Times New Roman" w:hAnsi="Cambria" w:cs="Calibri"/>
                <w:lang w:val="hr-HR"/>
              </w:rPr>
            </w:pPr>
            <w:r w:rsidRPr="00D01C7E">
              <w:rPr>
                <w:rFonts w:ascii="Cambria" w:eastAsia="Times New Roman" w:hAnsi="Cambria" w:cs="Calibri"/>
                <w:lang w:val="hr-HR"/>
              </w:rPr>
              <w:t>Alen</w:t>
            </w:r>
            <w:r>
              <w:rPr>
                <w:rFonts w:ascii="Cambria" w:eastAsia="Times New Roman" w:hAnsi="Cambria" w:cs="Calibri"/>
                <w:lang w:val="hr-HR"/>
              </w:rPr>
              <w:t xml:space="preserve"> </w:t>
            </w:r>
            <w:proofErr w:type="spellStart"/>
            <w:r>
              <w:rPr>
                <w:rFonts w:ascii="Cambria" w:eastAsia="Times New Roman" w:hAnsi="Cambria" w:cs="Calibri"/>
                <w:lang w:val="hr-HR"/>
              </w:rPr>
              <w:t>Klančar</w:t>
            </w:r>
            <w:proofErr w:type="spellEnd"/>
            <w:r>
              <w:rPr>
                <w:rFonts w:ascii="Cambria" w:eastAsia="Times New Roman" w:hAnsi="Cambria" w:cs="Calibri"/>
                <w:lang w:val="hr-HR"/>
              </w:rPr>
              <w:t>, naslovni asistent</w:t>
            </w:r>
          </w:p>
        </w:tc>
      </w:tr>
      <w:tr w:rsidR="003415F8" w:rsidRPr="00D0399C" w14:paraId="7867BF88" w14:textId="77777777" w:rsidTr="00587D5D">
        <w:tc>
          <w:tcPr>
            <w:tcW w:w="26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6C2A847" w14:textId="77777777" w:rsidR="003415F8" w:rsidRPr="00DF4CE5" w:rsidRDefault="003415F8" w:rsidP="00587D5D">
            <w:pPr>
              <w:spacing w:after="0" w:line="240" w:lineRule="auto"/>
              <w:contextualSpacing/>
              <w:jc w:val="both"/>
              <w:rPr>
                <w:rFonts w:ascii="Cambria" w:eastAsia="Times New Roman" w:hAnsi="Cambria" w:cs="Calibri"/>
                <w:lang w:val="hr-HR"/>
              </w:rPr>
            </w:pPr>
            <w:r w:rsidRPr="00DF4CE5">
              <w:rPr>
                <w:rFonts w:ascii="Cambria" w:eastAsia="Times New Roman" w:hAnsi="Cambria" w:cs="Calibri"/>
                <w:lang w:val="hr-HR"/>
              </w:rPr>
              <w:t>Studijski program</w:t>
            </w:r>
          </w:p>
        </w:tc>
        <w:tc>
          <w:tcPr>
            <w:tcW w:w="6751"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4BE6CFB" w14:textId="77777777" w:rsidR="003415F8" w:rsidRPr="00DF4CE5" w:rsidRDefault="003415F8" w:rsidP="00587D5D">
            <w:pPr>
              <w:spacing w:after="0" w:line="240" w:lineRule="auto"/>
              <w:contextualSpacing/>
              <w:jc w:val="both"/>
              <w:rPr>
                <w:rFonts w:ascii="Cambria" w:eastAsia="Times New Roman" w:hAnsi="Cambria" w:cs="Calibri"/>
                <w:lang w:val="hr-HR"/>
              </w:rPr>
            </w:pPr>
            <w:r w:rsidRPr="00DF4CE5">
              <w:rPr>
                <w:rFonts w:ascii="Cambria" w:eastAsia="Calibri" w:hAnsi="Cambria" w:cs="Calibri"/>
                <w:lang w:val="hr-HR"/>
              </w:rPr>
              <w:t>Sveučilišni integrirani prijediplomski i diplomski Učiteljski studij na hrvatskom jeziku</w:t>
            </w:r>
          </w:p>
        </w:tc>
      </w:tr>
      <w:tr w:rsidR="003415F8" w:rsidRPr="00DF4CE5" w14:paraId="6EEB0F23" w14:textId="77777777" w:rsidTr="00587D5D">
        <w:tc>
          <w:tcPr>
            <w:tcW w:w="26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F2BC941" w14:textId="77777777" w:rsidR="003415F8" w:rsidRPr="00DF4CE5" w:rsidRDefault="003415F8" w:rsidP="00587D5D">
            <w:pPr>
              <w:spacing w:after="0" w:line="240" w:lineRule="auto"/>
              <w:contextualSpacing/>
              <w:jc w:val="both"/>
              <w:rPr>
                <w:rFonts w:ascii="Cambria" w:eastAsia="Times New Roman" w:hAnsi="Cambria" w:cs="Calibri"/>
                <w:lang w:val="hr-HR"/>
              </w:rPr>
            </w:pPr>
            <w:r w:rsidRPr="00DF4CE5">
              <w:rPr>
                <w:rFonts w:ascii="Cambria" w:eastAsia="Times New Roman" w:hAnsi="Cambria" w:cs="Calibri"/>
                <w:lang w:val="hr-HR"/>
              </w:rPr>
              <w:t>Vrsta kolegija</w:t>
            </w:r>
          </w:p>
        </w:tc>
        <w:tc>
          <w:tcPr>
            <w:tcW w:w="249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DD49E67" w14:textId="77777777" w:rsidR="003415F8" w:rsidRPr="00DF4CE5" w:rsidRDefault="003415F8" w:rsidP="00587D5D">
            <w:pPr>
              <w:spacing w:after="0" w:line="240" w:lineRule="auto"/>
              <w:contextualSpacing/>
              <w:jc w:val="both"/>
              <w:rPr>
                <w:rFonts w:ascii="Cambria" w:eastAsia="Times New Roman" w:hAnsi="Cambria" w:cs="Calibri"/>
                <w:lang w:val="hr-HR"/>
              </w:rPr>
            </w:pPr>
            <w:r w:rsidRPr="00DF4CE5">
              <w:rPr>
                <w:rFonts w:ascii="Cambria" w:eastAsia="Times New Roman" w:hAnsi="Cambria" w:cs="Calibri"/>
                <w:lang w:val="hr-HR"/>
              </w:rPr>
              <w:t xml:space="preserve">obvezan </w:t>
            </w:r>
          </w:p>
        </w:tc>
        <w:tc>
          <w:tcPr>
            <w:tcW w:w="1475"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30CD9C74" w14:textId="77777777" w:rsidR="003415F8" w:rsidRPr="00DF4CE5" w:rsidRDefault="003415F8" w:rsidP="00587D5D">
            <w:pPr>
              <w:spacing w:after="0" w:line="240" w:lineRule="auto"/>
              <w:contextualSpacing/>
              <w:jc w:val="both"/>
              <w:rPr>
                <w:rFonts w:ascii="Cambria" w:eastAsia="Times New Roman" w:hAnsi="Cambria" w:cs="Calibri"/>
                <w:lang w:val="hr-HR"/>
              </w:rPr>
            </w:pPr>
            <w:r w:rsidRPr="00DF4CE5">
              <w:rPr>
                <w:rFonts w:ascii="Cambria" w:eastAsia="Times New Roman" w:hAnsi="Cambria" w:cs="Calibri"/>
                <w:lang w:val="hr-HR"/>
              </w:rPr>
              <w:t>Razina kolegija</w:t>
            </w:r>
          </w:p>
        </w:tc>
        <w:tc>
          <w:tcPr>
            <w:tcW w:w="2784"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AF7C91C" w14:textId="77777777" w:rsidR="003415F8" w:rsidRPr="00DF4CE5" w:rsidRDefault="003415F8" w:rsidP="00587D5D">
            <w:pPr>
              <w:spacing w:after="0" w:line="240" w:lineRule="auto"/>
              <w:contextualSpacing/>
              <w:jc w:val="both"/>
              <w:rPr>
                <w:rFonts w:ascii="Cambria" w:eastAsia="Times New Roman" w:hAnsi="Cambria" w:cs="Calibri"/>
                <w:lang w:val="hr-HR"/>
              </w:rPr>
            </w:pPr>
            <w:proofErr w:type="spellStart"/>
            <w:r w:rsidRPr="00DF4CE5">
              <w:rPr>
                <w:rFonts w:ascii="Cambria" w:eastAsia="Times New Roman" w:hAnsi="Cambria" w:cs="Calibri"/>
              </w:rPr>
              <w:t>i</w:t>
            </w:r>
            <w:r>
              <w:rPr>
                <w:rFonts w:ascii="Cambria" w:eastAsia="Times New Roman" w:hAnsi="Cambria" w:cs="Calibri"/>
              </w:rPr>
              <w:t>n</w:t>
            </w:r>
            <w:r w:rsidRPr="00DF4CE5">
              <w:rPr>
                <w:rFonts w:ascii="Cambria" w:eastAsia="Times New Roman" w:hAnsi="Cambria" w:cs="Calibri"/>
              </w:rPr>
              <w:t>tegrirani</w:t>
            </w:r>
            <w:proofErr w:type="spellEnd"/>
          </w:p>
        </w:tc>
      </w:tr>
      <w:tr w:rsidR="003415F8" w:rsidRPr="00DF4CE5" w14:paraId="71D2B065" w14:textId="77777777" w:rsidTr="00587D5D">
        <w:tc>
          <w:tcPr>
            <w:tcW w:w="26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AB094FF" w14:textId="77777777" w:rsidR="003415F8" w:rsidRPr="00DF4CE5" w:rsidRDefault="003415F8" w:rsidP="00587D5D">
            <w:pPr>
              <w:spacing w:after="0" w:line="240" w:lineRule="auto"/>
              <w:contextualSpacing/>
              <w:jc w:val="both"/>
              <w:rPr>
                <w:rFonts w:ascii="Cambria" w:eastAsia="Times New Roman" w:hAnsi="Cambria" w:cs="Calibri"/>
                <w:lang w:val="hr-HR"/>
              </w:rPr>
            </w:pPr>
            <w:r w:rsidRPr="00DF4CE5">
              <w:rPr>
                <w:rFonts w:ascii="Cambria" w:eastAsia="Times New Roman" w:hAnsi="Cambria" w:cs="Calibri"/>
                <w:lang w:val="hr-HR"/>
              </w:rPr>
              <w:t>Semestar</w:t>
            </w:r>
          </w:p>
        </w:tc>
        <w:tc>
          <w:tcPr>
            <w:tcW w:w="249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350C809" w14:textId="4D8E71EC" w:rsidR="003415F8" w:rsidRPr="00DF4CE5" w:rsidRDefault="003415F8" w:rsidP="00587D5D">
            <w:pPr>
              <w:spacing w:after="0" w:line="240" w:lineRule="auto"/>
              <w:contextualSpacing/>
              <w:jc w:val="both"/>
              <w:rPr>
                <w:rFonts w:ascii="Cambria" w:eastAsia="Times New Roman" w:hAnsi="Cambria" w:cs="Calibri"/>
                <w:lang w:val="hr-HR"/>
              </w:rPr>
            </w:pPr>
            <w:r>
              <w:rPr>
                <w:rFonts w:ascii="Cambria" w:eastAsia="Times New Roman" w:hAnsi="Cambria" w:cs="Calibri"/>
                <w:lang w:val="hr-HR"/>
              </w:rPr>
              <w:t>zimski</w:t>
            </w:r>
          </w:p>
        </w:tc>
        <w:tc>
          <w:tcPr>
            <w:tcW w:w="1475"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7D16F375" w14:textId="77777777" w:rsidR="003415F8" w:rsidRPr="00DF4CE5" w:rsidRDefault="003415F8" w:rsidP="00587D5D">
            <w:pPr>
              <w:spacing w:after="0" w:line="240" w:lineRule="auto"/>
              <w:contextualSpacing/>
              <w:jc w:val="both"/>
              <w:rPr>
                <w:rFonts w:ascii="Cambria" w:eastAsia="Times New Roman" w:hAnsi="Cambria" w:cs="Calibri"/>
                <w:lang w:val="hr-HR"/>
              </w:rPr>
            </w:pPr>
            <w:r w:rsidRPr="00DF4CE5">
              <w:rPr>
                <w:rFonts w:ascii="Cambria" w:eastAsia="Times New Roman" w:hAnsi="Cambria" w:cs="Calibri"/>
                <w:lang w:val="hr-HR"/>
              </w:rPr>
              <w:t>Godina studija</w:t>
            </w:r>
          </w:p>
        </w:tc>
        <w:tc>
          <w:tcPr>
            <w:tcW w:w="2784"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486C8CF" w14:textId="77777777" w:rsidR="003415F8" w:rsidRPr="00DF4CE5" w:rsidRDefault="003415F8" w:rsidP="00587D5D">
            <w:pPr>
              <w:spacing w:after="0" w:line="240" w:lineRule="auto"/>
              <w:contextualSpacing/>
              <w:jc w:val="both"/>
              <w:rPr>
                <w:rFonts w:ascii="Cambria" w:eastAsia="Times New Roman" w:hAnsi="Cambria" w:cs="Calibri"/>
                <w:lang w:val="hr-HR"/>
              </w:rPr>
            </w:pPr>
            <w:r w:rsidRPr="00DF4CE5">
              <w:rPr>
                <w:rFonts w:ascii="Cambria" w:eastAsia="Times New Roman" w:hAnsi="Cambria" w:cs="Calibri"/>
                <w:lang w:val="hr-HR"/>
              </w:rPr>
              <w:t>III.</w:t>
            </w:r>
          </w:p>
        </w:tc>
      </w:tr>
      <w:tr w:rsidR="003415F8" w:rsidRPr="00DF4CE5" w14:paraId="51A7BD30" w14:textId="77777777" w:rsidTr="00587D5D">
        <w:tc>
          <w:tcPr>
            <w:tcW w:w="26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AC614FE" w14:textId="77777777" w:rsidR="003415F8" w:rsidRPr="00DF4CE5" w:rsidRDefault="003415F8" w:rsidP="00587D5D">
            <w:pPr>
              <w:spacing w:after="0" w:line="240" w:lineRule="auto"/>
              <w:contextualSpacing/>
              <w:jc w:val="both"/>
              <w:rPr>
                <w:rFonts w:ascii="Cambria" w:eastAsia="Times New Roman" w:hAnsi="Cambria" w:cs="Calibri"/>
                <w:lang w:val="hr-HR"/>
              </w:rPr>
            </w:pPr>
            <w:proofErr w:type="spellStart"/>
            <w:r w:rsidRPr="00DF4CE5">
              <w:rPr>
                <w:rFonts w:ascii="Cambria" w:eastAsia="Times New Roman" w:hAnsi="Cambria" w:cs="Calibri"/>
              </w:rPr>
              <w:t>Mjesto</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izvođenja</w:t>
            </w:r>
            <w:proofErr w:type="spellEnd"/>
          </w:p>
        </w:tc>
        <w:tc>
          <w:tcPr>
            <w:tcW w:w="249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C202951" w14:textId="77777777" w:rsidR="003415F8" w:rsidRPr="00DF4CE5" w:rsidRDefault="003415F8" w:rsidP="00587D5D">
            <w:pPr>
              <w:spacing w:after="0" w:line="240" w:lineRule="auto"/>
              <w:contextualSpacing/>
              <w:jc w:val="both"/>
              <w:rPr>
                <w:rFonts w:ascii="Cambria" w:eastAsia="Times New Roman" w:hAnsi="Cambria" w:cs="Calibri"/>
                <w:lang w:val="hr-HR"/>
              </w:rPr>
            </w:pPr>
            <w:r>
              <w:rPr>
                <w:rFonts w:ascii="Cambria" w:eastAsia="Calibri" w:hAnsi="Cambria" w:cs="Calibri"/>
                <w:lang w:val="hr-HR"/>
              </w:rPr>
              <w:t>učionica</w:t>
            </w:r>
          </w:p>
        </w:tc>
        <w:tc>
          <w:tcPr>
            <w:tcW w:w="1475"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58DDE87C" w14:textId="77777777" w:rsidR="003415F8" w:rsidRPr="00DF4CE5" w:rsidRDefault="003415F8" w:rsidP="00587D5D">
            <w:pPr>
              <w:spacing w:after="0" w:line="240" w:lineRule="auto"/>
              <w:contextualSpacing/>
              <w:jc w:val="both"/>
              <w:rPr>
                <w:rFonts w:ascii="Cambria" w:eastAsia="Times New Roman" w:hAnsi="Cambria" w:cs="Calibri"/>
                <w:lang w:val="hr-HR"/>
              </w:rPr>
            </w:pPr>
            <w:r w:rsidRPr="00DF4CE5">
              <w:rPr>
                <w:rFonts w:ascii="Cambria" w:eastAsia="Times New Roman" w:hAnsi="Cambria" w:cs="Calibri"/>
              </w:rPr>
              <w:t>Jezik</w:t>
            </w:r>
            <w:r w:rsidRPr="00DF4CE5">
              <w:rPr>
                <w:rFonts w:ascii="Cambria" w:eastAsia="Times New Roman" w:hAnsi="Cambria" w:cs="Calibri"/>
                <w:lang w:val="hr-HR"/>
              </w:rPr>
              <w:t xml:space="preserve"> izvođenja (drugi jezici)</w:t>
            </w:r>
          </w:p>
        </w:tc>
        <w:tc>
          <w:tcPr>
            <w:tcW w:w="2784"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42CB1A4" w14:textId="77777777" w:rsidR="003415F8" w:rsidRPr="00DF4CE5" w:rsidRDefault="003415F8" w:rsidP="00587D5D">
            <w:pPr>
              <w:spacing w:after="0" w:line="240" w:lineRule="auto"/>
              <w:contextualSpacing/>
              <w:jc w:val="both"/>
              <w:rPr>
                <w:rFonts w:ascii="Cambria" w:eastAsia="Times New Roman" w:hAnsi="Cambria" w:cs="Calibri"/>
                <w:lang w:val="hr-HR"/>
              </w:rPr>
            </w:pPr>
            <w:r w:rsidRPr="00DF4CE5">
              <w:rPr>
                <w:rFonts w:ascii="Cambria" w:eastAsia="Calibri" w:hAnsi="Cambria" w:cs="Calibri"/>
                <w:lang w:val="hr-HR"/>
              </w:rPr>
              <w:t xml:space="preserve">hrvatski </w:t>
            </w:r>
          </w:p>
        </w:tc>
      </w:tr>
      <w:tr w:rsidR="003415F8" w:rsidRPr="00DF4CE5" w14:paraId="790BC999" w14:textId="77777777" w:rsidTr="00587D5D">
        <w:tc>
          <w:tcPr>
            <w:tcW w:w="26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B11C7C2" w14:textId="77777777" w:rsidR="003415F8" w:rsidRPr="00DF4CE5" w:rsidRDefault="003415F8" w:rsidP="00587D5D">
            <w:pPr>
              <w:spacing w:after="0" w:line="240" w:lineRule="auto"/>
              <w:contextualSpacing/>
              <w:jc w:val="both"/>
              <w:rPr>
                <w:rFonts w:ascii="Cambria" w:eastAsia="Times New Roman" w:hAnsi="Cambria" w:cs="Calibri"/>
                <w:lang w:val="hr-HR"/>
              </w:rPr>
            </w:pPr>
            <w:r w:rsidRPr="00DF4CE5">
              <w:rPr>
                <w:rFonts w:ascii="Cambria" w:eastAsia="Times New Roman" w:hAnsi="Cambria" w:cs="Calibri"/>
                <w:lang w:val="hr-HR"/>
              </w:rPr>
              <w:t>Broj ECTS bodova</w:t>
            </w:r>
          </w:p>
        </w:tc>
        <w:tc>
          <w:tcPr>
            <w:tcW w:w="249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42937D7" w14:textId="1825A402" w:rsidR="003415F8" w:rsidRPr="00DF4CE5" w:rsidRDefault="003415F8" w:rsidP="00587D5D">
            <w:pPr>
              <w:spacing w:after="0" w:line="240" w:lineRule="auto"/>
              <w:contextualSpacing/>
              <w:jc w:val="both"/>
              <w:rPr>
                <w:rFonts w:ascii="Cambria" w:eastAsia="Times New Roman" w:hAnsi="Cambria" w:cs="Calibri"/>
                <w:lang w:val="hr-HR"/>
              </w:rPr>
            </w:pPr>
            <w:r>
              <w:rPr>
                <w:rFonts w:ascii="Cambria" w:eastAsia="Times New Roman" w:hAnsi="Cambria" w:cs="Calibri"/>
                <w:lang w:val="hr-HR"/>
              </w:rPr>
              <w:t>4</w:t>
            </w:r>
          </w:p>
        </w:tc>
        <w:tc>
          <w:tcPr>
            <w:tcW w:w="1475"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1C500F32" w14:textId="77777777" w:rsidR="003415F8" w:rsidRPr="00DF4CE5" w:rsidRDefault="003415F8" w:rsidP="00587D5D">
            <w:pPr>
              <w:spacing w:after="0" w:line="240" w:lineRule="auto"/>
              <w:contextualSpacing/>
              <w:jc w:val="both"/>
              <w:rPr>
                <w:rFonts w:ascii="Cambria" w:eastAsia="Times New Roman" w:hAnsi="Cambria" w:cs="Calibri"/>
                <w:lang w:val="hr-HR"/>
              </w:rPr>
            </w:pPr>
            <w:r w:rsidRPr="00DF4CE5">
              <w:rPr>
                <w:rFonts w:ascii="Cambria" w:eastAsia="Times New Roman" w:hAnsi="Cambria" w:cs="Calibri"/>
                <w:lang w:val="hr-HR"/>
              </w:rPr>
              <w:t>Broj sati u semestru</w:t>
            </w:r>
          </w:p>
        </w:tc>
        <w:tc>
          <w:tcPr>
            <w:tcW w:w="2784"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663ADB5" w14:textId="4F6E5E92" w:rsidR="003415F8" w:rsidRPr="00DF4CE5" w:rsidRDefault="003415F8" w:rsidP="00587D5D">
            <w:pPr>
              <w:spacing w:after="0" w:line="240" w:lineRule="auto"/>
              <w:contextualSpacing/>
              <w:jc w:val="both"/>
              <w:rPr>
                <w:rFonts w:ascii="Cambria" w:eastAsia="Times New Roman" w:hAnsi="Cambria" w:cs="Calibri"/>
                <w:lang w:val="hr-HR"/>
              </w:rPr>
            </w:pPr>
            <w:r w:rsidRPr="00DF4CE5">
              <w:rPr>
                <w:rFonts w:ascii="Cambria" w:eastAsia="Times New Roman" w:hAnsi="Cambria" w:cs="Calibri"/>
                <w:lang w:val="hr-HR"/>
              </w:rPr>
              <w:t xml:space="preserve">30P – 0S – </w:t>
            </w:r>
            <w:r>
              <w:rPr>
                <w:rFonts w:ascii="Cambria" w:eastAsia="Times New Roman" w:hAnsi="Cambria" w:cs="Calibri"/>
                <w:lang w:val="hr-HR"/>
              </w:rPr>
              <w:t>15</w:t>
            </w:r>
            <w:r w:rsidRPr="00DF4CE5">
              <w:rPr>
                <w:rFonts w:ascii="Cambria" w:eastAsia="Times New Roman" w:hAnsi="Cambria" w:cs="Calibri"/>
                <w:lang w:val="hr-HR"/>
              </w:rPr>
              <w:t xml:space="preserve">V   </w:t>
            </w:r>
          </w:p>
        </w:tc>
      </w:tr>
      <w:tr w:rsidR="003415F8" w:rsidRPr="00DF4CE5" w14:paraId="17773FFB" w14:textId="77777777" w:rsidTr="00587D5D">
        <w:tc>
          <w:tcPr>
            <w:tcW w:w="26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441F269" w14:textId="77777777" w:rsidR="003415F8" w:rsidRPr="00DF4CE5" w:rsidRDefault="003415F8" w:rsidP="00587D5D">
            <w:pPr>
              <w:spacing w:after="0" w:line="240" w:lineRule="auto"/>
              <w:contextualSpacing/>
              <w:jc w:val="both"/>
              <w:rPr>
                <w:rFonts w:ascii="Cambria" w:eastAsia="Times New Roman" w:hAnsi="Cambria" w:cs="Calibri"/>
                <w:lang w:val="hr-HR"/>
              </w:rPr>
            </w:pPr>
            <w:r w:rsidRPr="00DF4CE5">
              <w:rPr>
                <w:rFonts w:ascii="Cambria" w:eastAsia="Times New Roman" w:hAnsi="Cambria" w:cs="Calibri"/>
                <w:lang w:val="hr-HR"/>
              </w:rPr>
              <w:t>Preduvjeti za upis i za svladavanje</w:t>
            </w:r>
          </w:p>
        </w:tc>
        <w:tc>
          <w:tcPr>
            <w:tcW w:w="6751"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0FD7B7E" w14:textId="77777777" w:rsidR="003415F8" w:rsidRPr="00DF4CE5" w:rsidRDefault="003415F8" w:rsidP="00587D5D">
            <w:pPr>
              <w:spacing w:after="0" w:line="240" w:lineRule="auto"/>
              <w:contextualSpacing/>
              <w:jc w:val="both"/>
              <w:rPr>
                <w:rFonts w:ascii="Cambria" w:eastAsia="Times New Roman" w:hAnsi="Cambria" w:cs="Calibri"/>
                <w:lang w:val="hr-HR"/>
              </w:rPr>
            </w:pPr>
            <w:r w:rsidRPr="00DF4CE5">
              <w:rPr>
                <w:rFonts w:ascii="Cambria" w:eastAsia="Times New Roman" w:hAnsi="Cambria" w:cs="Calibri"/>
                <w:lang w:val="hr-HR"/>
              </w:rPr>
              <w:t>Nema preduvjeta</w:t>
            </w:r>
          </w:p>
        </w:tc>
      </w:tr>
      <w:tr w:rsidR="003415F8" w:rsidRPr="00D0399C" w14:paraId="7F4EF166" w14:textId="77777777" w:rsidTr="00587D5D">
        <w:tc>
          <w:tcPr>
            <w:tcW w:w="26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4DE444B" w14:textId="77777777" w:rsidR="003415F8" w:rsidRPr="00DF4CE5" w:rsidRDefault="003415F8" w:rsidP="00587D5D">
            <w:pPr>
              <w:spacing w:after="0" w:line="240" w:lineRule="auto"/>
              <w:contextualSpacing/>
              <w:jc w:val="both"/>
              <w:rPr>
                <w:rFonts w:ascii="Cambria" w:eastAsia="Times New Roman" w:hAnsi="Cambria" w:cs="Calibri"/>
                <w:lang w:val="hr-HR"/>
              </w:rPr>
            </w:pPr>
            <w:proofErr w:type="spellStart"/>
            <w:r w:rsidRPr="00DF4CE5">
              <w:rPr>
                <w:rFonts w:ascii="Cambria" w:eastAsia="Times New Roman" w:hAnsi="Cambria" w:cs="Calibri"/>
              </w:rPr>
              <w:t>Korelativnost</w:t>
            </w:r>
            <w:proofErr w:type="spellEnd"/>
          </w:p>
        </w:tc>
        <w:tc>
          <w:tcPr>
            <w:tcW w:w="6751"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DEEDADB" w14:textId="77777777" w:rsidR="003415F8" w:rsidRPr="00DF4CE5" w:rsidRDefault="003415F8" w:rsidP="00587D5D">
            <w:pPr>
              <w:spacing w:after="0" w:line="240" w:lineRule="auto"/>
              <w:contextualSpacing/>
              <w:jc w:val="both"/>
              <w:rPr>
                <w:rFonts w:ascii="Cambria" w:eastAsia="Times New Roman" w:hAnsi="Cambria" w:cs="Calibri"/>
                <w:lang w:val="hr-HR"/>
              </w:rPr>
            </w:pPr>
            <w:r w:rsidRPr="00DF4CE5">
              <w:rPr>
                <w:rFonts w:ascii="Cambria" w:eastAsia="Times New Roman" w:hAnsi="Cambria" w:cs="Calibri"/>
                <w:lang w:val="hr-HR"/>
              </w:rPr>
              <w:t>Hrvatski jezik I, Hrvatski jezik II, Dječja književnost, Pismeno izražavanje, Metodika hrvatskog jezika II, Metodika hrvatskog jezika III, kao i s drugim kolegijima jezično-umjetničke usmjerenosti. Očekuju se predznanja iz pismenog izražavanja te poznavanje pravopisnih pravila.</w:t>
            </w:r>
          </w:p>
        </w:tc>
      </w:tr>
      <w:tr w:rsidR="003415F8" w:rsidRPr="00D0399C" w14:paraId="7FE89861" w14:textId="77777777" w:rsidTr="00587D5D">
        <w:tc>
          <w:tcPr>
            <w:tcW w:w="26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28FE159" w14:textId="77777777" w:rsidR="003415F8" w:rsidRPr="00DF4CE5" w:rsidRDefault="003415F8" w:rsidP="00587D5D">
            <w:pPr>
              <w:spacing w:after="0" w:line="240" w:lineRule="auto"/>
              <w:contextualSpacing/>
              <w:jc w:val="both"/>
              <w:rPr>
                <w:rFonts w:ascii="Cambria" w:eastAsia="Times New Roman" w:hAnsi="Cambria" w:cs="Calibri"/>
                <w:lang w:val="hr-HR"/>
              </w:rPr>
            </w:pPr>
            <w:r w:rsidRPr="00DF4CE5">
              <w:rPr>
                <w:rFonts w:ascii="Cambria" w:eastAsia="Times New Roman" w:hAnsi="Cambria" w:cs="Calibri"/>
                <w:lang w:val="hr-HR"/>
              </w:rPr>
              <w:t xml:space="preserve">Cilj kolegija </w:t>
            </w:r>
          </w:p>
        </w:tc>
        <w:tc>
          <w:tcPr>
            <w:tcW w:w="6751"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4C4E096" w14:textId="77777777" w:rsidR="003415F8" w:rsidRPr="00DF4CE5" w:rsidRDefault="003415F8" w:rsidP="00587D5D">
            <w:pPr>
              <w:spacing w:after="0" w:line="240" w:lineRule="auto"/>
              <w:contextualSpacing/>
              <w:jc w:val="both"/>
              <w:rPr>
                <w:rFonts w:ascii="Cambria" w:eastAsia="Times New Roman" w:hAnsi="Cambria" w:cs="Calibri"/>
                <w:lang w:val="hr-HR"/>
              </w:rPr>
            </w:pPr>
            <w:r w:rsidRPr="00DF4CE5">
              <w:rPr>
                <w:rFonts w:ascii="Cambria" w:eastAsia="Times New Roman" w:hAnsi="Cambria" w:cs="Calibri"/>
                <w:lang w:val="hr-HR"/>
              </w:rPr>
              <w:t xml:space="preserve">upoznati dostignuća suvremene metodike hrvatskog jezika, s naglaskom na  metodičke </w:t>
            </w:r>
            <w:proofErr w:type="spellStart"/>
            <w:r w:rsidRPr="00DF4CE5">
              <w:rPr>
                <w:rFonts w:ascii="Cambria" w:eastAsia="Times New Roman" w:hAnsi="Cambria" w:cs="Calibri"/>
                <w:lang w:val="hr-HR"/>
              </w:rPr>
              <w:t>poddiscipline</w:t>
            </w:r>
            <w:proofErr w:type="spellEnd"/>
            <w:r w:rsidRPr="00DF4CE5">
              <w:rPr>
                <w:rFonts w:ascii="Cambria" w:eastAsia="Times New Roman" w:hAnsi="Cambria" w:cs="Calibri"/>
                <w:lang w:val="hr-HR"/>
              </w:rPr>
              <w:t xml:space="preserve"> početnog čitanja i pisanja te jezika i književnosti. </w:t>
            </w:r>
          </w:p>
        </w:tc>
      </w:tr>
      <w:tr w:rsidR="003415F8" w:rsidRPr="00D0399C" w14:paraId="59A2722C" w14:textId="77777777" w:rsidTr="00587D5D">
        <w:tc>
          <w:tcPr>
            <w:tcW w:w="26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92AC2CB" w14:textId="77777777" w:rsidR="003415F8" w:rsidRPr="00DF4CE5" w:rsidRDefault="003415F8" w:rsidP="00587D5D">
            <w:pPr>
              <w:spacing w:after="0" w:line="240" w:lineRule="auto"/>
              <w:contextualSpacing/>
              <w:jc w:val="both"/>
              <w:rPr>
                <w:rFonts w:ascii="Cambria" w:eastAsia="Times New Roman" w:hAnsi="Cambria" w:cs="Calibri"/>
                <w:lang w:val="hr-HR"/>
              </w:rPr>
            </w:pPr>
            <w:r w:rsidRPr="00DF4CE5">
              <w:rPr>
                <w:rFonts w:ascii="Cambria" w:eastAsia="Times New Roman" w:hAnsi="Cambria" w:cs="Calibri"/>
                <w:lang w:val="hr-HR"/>
              </w:rPr>
              <w:t>Ishodi učenja</w:t>
            </w:r>
          </w:p>
        </w:tc>
        <w:tc>
          <w:tcPr>
            <w:tcW w:w="6751"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87F9B79" w14:textId="77777777" w:rsidR="003415F8" w:rsidRDefault="003415F8" w:rsidP="00587D5D">
            <w:pPr>
              <w:spacing w:after="0" w:line="240" w:lineRule="auto"/>
              <w:contextualSpacing/>
              <w:jc w:val="both"/>
              <w:rPr>
                <w:rFonts w:ascii="Cambria" w:eastAsia="Calibri" w:hAnsi="Cambria" w:cs="Calibri"/>
                <w:lang w:val="hr-HR"/>
              </w:rPr>
            </w:pPr>
            <w:r>
              <w:rPr>
                <w:rFonts w:ascii="Cambria" w:eastAsia="Calibri" w:hAnsi="Cambria" w:cs="Calibri"/>
                <w:lang w:val="hr-HR"/>
              </w:rPr>
              <w:t xml:space="preserve">1. </w:t>
            </w:r>
            <w:r w:rsidRPr="00DF4CE5">
              <w:rPr>
                <w:rFonts w:ascii="Cambria" w:eastAsia="Calibri" w:hAnsi="Cambria" w:cs="Calibri"/>
                <w:lang w:val="hr-HR"/>
              </w:rPr>
              <w:t xml:space="preserve">pravilno tumačiti temeljne pojmove metodike hrvatskog jezika, posebno metodičkih </w:t>
            </w:r>
            <w:proofErr w:type="spellStart"/>
            <w:r w:rsidRPr="00DF4CE5">
              <w:rPr>
                <w:rFonts w:ascii="Cambria" w:eastAsia="Calibri" w:hAnsi="Cambria" w:cs="Calibri"/>
                <w:lang w:val="hr-HR"/>
              </w:rPr>
              <w:t>poddisciplina</w:t>
            </w:r>
            <w:proofErr w:type="spellEnd"/>
            <w:r w:rsidRPr="00DF4CE5">
              <w:rPr>
                <w:rFonts w:ascii="Cambria" w:eastAsia="Calibri" w:hAnsi="Cambria" w:cs="Calibri"/>
                <w:lang w:val="hr-HR"/>
              </w:rPr>
              <w:t xml:space="preserve"> početnog čitanja i pisanja te jezika i književnosti</w:t>
            </w:r>
          </w:p>
          <w:p w14:paraId="727C2D7F" w14:textId="77777777" w:rsidR="003415F8" w:rsidRDefault="003415F8" w:rsidP="00587D5D">
            <w:pPr>
              <w:spacing w:after="0" w:line="240" w:lineRule="auto"/>
              <w:contextualSpacing/>
              <w:jc w:val="both"/>
              <w:rPr>
                <w:rFonts w:ascii="Cambria" w:eastAsia="Calibri" w:hAnsi="Cambria" w:cs="Calibri"/>
                <w:lang w:val="hr-HR"/>
              </w:rPr>
            </w:pPr>
            <w:r>
              <w:rPr>
                <w:rFonts w:ascii="Cambria" w:eastAsia="Calibri" w:hAnsi="Cambria" w:cs="Calibri"/>
                <w:lang w:val="hr-HR"/>
              </w:rPr>
              <w:t xml:space="preserve">2. </w:t>
            </w:r>
            <w:r w:rsidRPr="00DF4CE5">
              <w:rPr>
                <w:rFonts w:ascii="Cambria" w:eastAsia="Calibri" w:hAnsi="Cambria" w:cs="Calibri"/>
                <w:lang w:val="hr-HR"/>
              </w:rPr>
              <w:t>analizirati stručnu metodičku literaturu</w:t>
            </w:r>
          </w:p>
          <w:p w14:paraId="20EA585A" w14:textId="77777777" w:rsidR="003415F8" w:rsidRDefault="003415F8" w:rsidP="00587D5D">
            <w:pPr>
              <w:spacing w:after="0" w:line="240" w:lineRule="auto"/>
              <w:contextualSpacing/>
              <w:jc w:val="both"/>
              <w:rPr>
                <w:rFonts w:ascii="Cambria" w:eastAsia="Calibri" w:hAnsi="Cambria" w:cs="Calibri"/>
                <w:lang w:val="hr-HR"/>
              </w:rPr>
            </w:pPr>
            <w:r>
              <w:rPr>
                <w:rFonts w:ascii="Cambria" w:eastAsia="Calibri" w:hAnsi="Cambria" w:cs="Calibri"/>
                <w:lang w:val="hr-HR"/>
              </w:rPr>
              <w:t xml:space="preserve">3. </w:t>
            </w:r>
            <w:r w:rsidRPr="00DF4CE5">
              <w:rPr>
                <w:rFonts w:ascii="Cambria" w:eastAsia="Calibri" w:hAnsi="Cambria" w:cs="Calibri"/>
                <w:lang w:val="hr-HR"/>
              </w:rPr>
              <w:t>adekvatno primijeniti stečene spoznaje u nastavnoj praksi</w:t>
            </w:r>
          </w:p>
          <w:p w14:paraId="594C27DF" w14:textId="77777777" w:rsidR="003415F8" w:rsidRPr="00DF4CE5" w:rsidRDefault="003415F8" w:rsidP="00587D5D">
            <w:pPr>
              <w:spacing w:after="0" w:line="240" w:lineRule="auto"/>
              <w:contextualSpacing/>
              <w:jc w:val="both"/>
              <w:rPr>
                <w:rFonts w:ascii="Cambria" w:eastAsia="Calibri" w:hAnsi="Cambria" w:cs="Calibri"/>
                <w:lang w:val="hr-HR"/>
              </w:rPr>
            </w:pPr>
            <w:r>
              <w:rPr>
                <w:rFonts w:ascii="Cambria" w:eastAsia="Calibri" w:hAnsi="Cambria" w:cs="Calibri"/>
                <w:lang w:val="hr-HR"/>
              </w:rPr>
              <w:t xml:space="preserve">4. </w:t>
            </w:r>
            <w:r w:rsidRPr="00DF4CE5">
              <w:rPr>
                <w:rFonts w:ascii="Cambria" w:eastAsia="Calibri" w:hAnsi="Cambria" w:cs="Calibri"/>
                <w:lang w:val="hr-HR"/>
              </w:rPr>
              <w:t xml:space="preserve">samostalno izvoditi nastavu hrvatskog jezika, posebice nastavnih područja početno čitanje i pisanje te jezik od 1. do 4. razreda osnovne škole. </w:t>
            </w:r>
          </w:p>
        </w:tc>
      </w:tr>
      <w:tr w:rsidR="003415F8" w:rsidRPr="00D0399C" w14:paraId="5EAED203" w14:textId="77777777" w:rsidTr="00587D5D">
        <w:tc>
          <w:tcPr>
            <w:tcW w:w="2629"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4802EBDC" w14:textId="77777777" w:rsidR="003415F8" w:rsidRPr="00DF4CE5" w:rsidRDefault="003415F8" w:rsidP="00587D5D">
            <w:pPr>
              <w:spacing w:after="0" w:line="240" w:lineRule="auto"/>
              <w:contextualSpacing/>
              <w:jc w:val="both"/>
              <w:rPr>
                <w:rFonts w:ascii="Cambria" w:eastAsia="Times New Roman" w:hAnsi="Cambria" w:cs="Calibri"/>
                <w:lang w:val="hr-HR"/>
              </w:rPr>
            </w:pPr>
            <w:r w:rsidRPr="00DF4CE5">
              <w:rPr>
                <w:rFonts w:ascii="Cambria" w:eastAsia="Times New Roman" w:hAnsi="Cambria" w:cs="Calibri"/>
                <w:lang w:val="hr-HR"/>
              </w:rPr>
              <w:t>Sadržaj kolegija</w:t>
            </w:r>
          </w:p>
        </w:tc>
        <w:tc>
          <w:tcPr>
            <w:tcW w:w="6751"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31F23A6" w14:textId="77777777" w:rsidR="003415F8" w:rsidRDefault="003415F8" w:rsidP="00587D5D">
            <w:pPr>
              <w:spacing w:after="0" w:line="240" w:lineRule="auto"/>
              <w:jc w:val="both"/>
              <w:rPr>
                <w:rFonts w:ascii="Cambria" w:eastAsia="Times New Roman" w:hAnsi="Cambria" w:cs="Calibri"/>
                <w:lang w:val="hr-HR"/>
              </w:rPr>
            </w:pPr>
            <w:r w:rsidRPr="00B17183">
              <w:rPr>
                <w:rFonts w:ascii="Cambria" w:hAnsi="Cambria" w:cs="Calibri"/>
                <w:lang w:val="hr-HR"/>
              </w:rPr>
              <w:t>1.</w:t>
            </w:r>
            <w:r>
              <w:rPr>
                <w:rFonts w:ascii="Cambria" w:hAnsi="Cambria" w:cs="Calibri"/>
                <w:lang w:val="hr-HR"/>
              </w:rPr>
              <w:t xml:space="preserve"> </w:t>
            </w:r>
            <w:r w:rsidRPr="00B17183">
              <w:rPr>
                <w:rFonts w:ascii="Cambria" w:hAnsi="Cambria" w:cs="Calibri"/>
                <w:lang w:val="hr-HR"/>
              </w:rPr>
              <w:t>Određenje pojmova hrvatski jezik, nastava hrvatskog jezika, metodika nastave hrvatskog jezika</w:t>
            </w:r>
          </w:p>
          <w:p w14:paraId="4CA77125" w14:textId="77777777" w:rsidR="003415F8" w:rsidRDefault="003415F8" w:rsidP="00587D5D">
            <w:pPr>
              <w:spacing w:after="0" w:line="240" w:lineRule="auto"/>
              <w:jc w:val="both"/>
              <w:rPr>
                <w:rFonts w:ascii="Cambria" w:eastAsia="Times New Roman" w:hAnsi="Cambria" w:cs="Calibri"/>
                <w:lang w:val="hr-HR"/>
              </w:rPr>
            </w:pPr>
            <w:r>
              <w:rPr>
                <w:rFonts w:ascii="Cambria" w:eastAsia="Calibri" w:hAnsi="Cambria" w:cs="Calibri"/>
                <w:lang w:val="hr-HR"/>
              </w:rPr>
              <w:t>2. C</w:t>
            </w:r>
            <w:r w:rsidRPr="00DF4CE5">
              <w:rPr>
                <w:rFonts w:ascii="Cambria" w:eastAsia="Calibri" w:hAnsi="Cambria" w:cs="Calibri"/>
                <w:lang w:val="hr-HR"/>
              </w:rPr>
              <w:t>iljev</w:t>
            </w:r>
            <w:r>
              <w:rPr>
                <w:rFonts w:ascii="Cambria" w:eastAsia="Calibri" w:hAnsi="Cambria" w:cs="Calibri"/>
                <w:lang w:val="hr-HR"/>
              </w:rPr>
              <w:t>i</w:t>
            </w:r>
            <w:r w:rsidRPr="00DF4CE5">
              <w:rPr>
                <w:rFonts w:ascii="Cambria" w:eastAsia="Calibri" w:hAnsi="Cambria" w:cs="Calibri"/>
                <w:lang w:val="hr-HR"/>
              </w:rPr>
              <w:t xml:space="preserve"> i zada</w:t>
            </w:r>
            <w:r>
              <w:rPr>
                <w:rFonts w:ascii="Cambria" w:eastAsia="Calibri" w:hAnsi="Cambria" w:cs="Calibri"/>
                <w:lang w:val="hr-HR"/>
              </w:rPr>
              <w:t>ci</w:t>
            </w:r>
            <w:r w:rsidRPr="00DF4CE5">
              <w:rPr>
                <w:rFonts w:ascii="Cambria" w:eastAsia="Calibri" w:hAnsi="Cambria" w:cs="Calibri"/>
                <w:lang w:val="hr-HR"/>
              </w:rPr>
              <w:t xml:space="preserve"> nastav</w:t>
            </w:r>
            <w:r>
              <w:rPr>
                <w:rFonts w:ascii="Cambria" w:eastAsia="Calibri" w:hAnsi="Cambria" w:cs="Calibri"/>
                <w:lang w:val="hr-HR"/>
              </w:rPr>
              <w:t>e</w:t>
            </w:r>
            <w:r w:rsidRPr="00DF4CE5">
              <w:rPr>
                <w:rFonts w:ascii="Cambria" w:eastAsia="Calibri" w:hAnsi="Cambria" w:cs="Calibri"/>
                <w:lang w:val="hr-HR"/>
              </w:rPr>
              <w:t xml:space="preserve"> hrvatskog jezika</w:t>
            </w:r>
          </w:p>
          <w:p w14:paraId="4EAC6A1D" w14:textId="77777777" w:rsidR="003415F8" w:rsidRDefault="003415F8" w:rsidP="00587D5D">
            <w:pPr>
              <w:spacing w:after="0" w:line="240" w:lineRule="auto"/>
              <w:jc w:val="both"/>
              <w:rPr>
                <w:rFonts w:ascii="Cambria" w:eastAsia="Times New Roman" w:hAnsi="Cambria" w:cs="Calibri"/>
                <w:lang w:val="hr-HR"/>
              </w:rPr>
            </w:pPr>
            <w:r>
              <w:rPr>
                <w:rFonts w:ascii="Cambria" w:eastAsia="Calibri" w:hAnsi="Cambria" w:cs="Calibri"/>
                <w:lang w:val="hr-HR"/>
              </w:rPr>
              <w:t>3. U</w:t>
            </w:r>
            <w:r w:rsidRPr="00DF4CE5">
              <w:rPr>
                <w:rFonts w:ascii="Cambria" w:eastAsia="Calibri" w:hAnsi="Cambria" w:cs="Calibri"/>
                <w:lang w:val="hr-HR"/>
              </w:rPr>
              <w:t>vid u Nastavni plan i program od 1. do 4. razreda</w:t>
            </w:r>
          </w:p>
          <w:p w14:paraId="476FB3ED" w14:textId="77777777" w:rsidR="003415F8" w:rsidRDefault="003415F8" w:rsidP="00587D5D">
            <w:pPr>
              <w:spacing w:after="0" w:line="240" w:lineRule="auto"/>
              <w:jc w:val="both"/>
              <w:rPr>
                <w:rFonts w:ascii="Cambria" w:eastAsia="Times New Roman" w:hAnsi="Cambria" w:cs="Calibri"/>
                <w:lang w:val="hr-HR"/>
              </w:rPr>
            </w:pPr>
            <w:r>
              <w:rPr>
                <w:rFonts w:ascii="Cambria" w:eastAsia="Calibri" w:hAnsi="Cambria" w:cs="Calibri"/>
                <w:lang w:val="hr-HR"/>
              </w:rPr>
              <w:t>4. P</w:t>
            </w:r>
            <w:r w:rsidRPr="00DF4CE5">
              <w:rPr>
                <w:rFonts w:ascii="Cambria" w:eastAsia="Calibri" w:hAnsi="Cambria" w:cs="Calibri"/>
                <w:lang w:val="hr-HR"/>
              </w:rPr>
              <w:t>odjel</w:t>
            </w:r>
            <w:r>
              <w:rPr>
                <w:rFonts w:ascii="Cambria" w:eastAsia="Calibri" w:hAnsi="Cambria" w:cs="Calibri"/>
                <w:lang w:val="hr-HR"/>
              </w:rPr>
              <w:t>a</w:t>
            </w:r>
            <w:r w:rsidRPr="00DF4CE5">
              <w:rPr>
                <w:rFonts w:ascii="Cambria" w:eastAsia="Calibri" w:hAnsi="Cambria" w:cs="Calibri"/>
                <w:lang w:val="hr-HR"/>
              </w:rPr>
              <w:t xml:space="preserve"> metodike hrvatskog jezika (metodika jezika, metodika književnosti, medijske kulture, jezičnog i pismenog izražavanja) </w:t>
            </w:r>
          </w:p>
          <w:p w14:paraId="23565953" w14:textId="77777777" w:rsidR="003415F8" w:rsidRDefault="003415F8" w:rsidP="00587D5D">
            <w:pPr>
              <w:spacing w:after="0" w:line="240" w:lineRule="auto"/>
              <w:jc w:val="both"/>
              <w:rPr>
                <w:rFonts w:ascii="Cambria" w:eastAsia="Times New Roman" w:hAnsi="Cambria" w:cs="Calibri"/>
                <w:lang w:val="hr-HR"/>
              </w:rPr>
            </w:pPr>
            <w:r>
              <w:rPr>
                <w:rFonts w:ascii="Cambria" w:eastAsia="Calibri" w:hAnsi="Cambria" w:cs="Calibri"/>
                <w:lang w:val="hr-HR"/>
              </w:rPr>
              <w:t>5. M</w:t>
            </w:r>
            <w:r w:rsidRPr="00DF4CE5">
              <w:rPr>
                <w:rFonts w:ascii="Cambria" w:eastAsia="Calibri" w:hAnsi="Cambria" w:cs="Calibri"/>
                <w:lang w:val="hr-HR"/>
              </w:rPr>
              <w:t xml:space="preserve">etode rada u nastavi hrvatskog jezika </w:t>
            </w:r>
          </w:p>
          <w:p w14:paraId="42AD90E8" w14:textId="77777777" w:rsidR="003415F8" w:rsidRDefault="003415F8" w:rsidP="00587D5D">
            <w:pPr>
              <w:spacing w:after="0" w:line="240" w:lineRule="auto"/>
              <w:jc w:val="both"/>
              <w:rPr>
                <w:rFonts w:ascii="Cambria" w:eastAsia="Times New Roman" w:hAnsi="Cambria" w:cs="Calibri"/>
                <w:lang w:val="hr-HR"/>
              </w:rPr>
            </w:pPr>
            <w:r>
              <w:rPr>
                <w:rFonts w:ascii="Cambria" w:eastAsia="Calibri" w:hAnsi="Cambria" w:cs="Calibri"/>
                <w:lang w:val="hr-HR"/>
              </w:rPr>
              <w:t>6. S</w:t>
            </w:r>
            <w:r w:rsidRPr="00DF4CE5">
              <w:rPr>
                <w:rFonts w:ascii="Cambria" w:eastAsia="Calibri" w:hAnsi="Cambria" w:cs="Calibri"/>
                <w:lang w:val="hr-HR"/>
              </w:rPr>
              <w:t>ociološk</w:t>
            </w:r>
            <w:r>
              <w:rPr>
                <w:rFonts w:ascii="Cambria" w:eastAsia="Calibri" w:hAnsi="Cambria" w:cs="Calibri"/>
                <w:lang w:val="hr-HR"/>
              </w:rPr>
              <w:t>i</w:t>
            </w:r>
            <w:r w:rsidRPr="00DF4CE5">
              <w:rPr>
                <w:rFonts w:ascii="Cambria" w:eastAsia="Calibri" w:hAnsi="Cambria" w:cs="Calibri"/>
                <w:lang w:val="hr-HR"/>
              </w:rPr>
              <w:t xml:space="preserve"> obli</w:t>
            </w:r>
            <w:r>
              <w:rPr>
                <w:rFonts w:ascii="Cambria" w:eastAsia="Calibri" w:hAnsi="Cambria" w:cs="Calibri"/>
                <w:lang w:val="hr-HR"/>
              </w:rPr>
              <w:t>ci</w:t>
            </w:r>
            <w:r w:rsidRPr="00DF4CE5">
              <w:rPr>
                <w:rFonts w:ascii="Cambria" w:eastAsia="Calibri" w:hAnsi="Cambria" w:cs="Calibri"/>
                <w:lang w:val="hr-HR"/>
              </w:rPr>
              <w:t xml:space="preserve"> rada u nastavi hrvatskog jezika </w:t>
            </w:r>
          </w:p>
          <w:p w14:paraId="179CE043" w14:textId="77777777" w:rsidR="003415F8" w:rsidRDefault="003415F8" w:rsidP="00587D5D">
            <w:pPr>
              <w:spacing w:after="0" w:line="240" w:lineRule="auto"/>
              <w:jc w:val="both"/>
              <w:rPr>
                <w:rFonts w:ascii="Cambria" w:eastAsia="Times New Roman" w:hAnsi="Cambria" w:cs="Calibri"/>
                <w:lang w:val="hr-HR"/>
              </w:rPr>
            </w:pPr>
            <w:r>
              <w:rPr>
                <w:rFonts w:ascii="Cambria" w:eastAsia="Calibri" w:hAnsi="Cambria" w:cs="Calibri"/>
                <w:lang w:val="hr-HR"/>
              </w:rPr>
              <w:t>7. S</w:t>
            </w:r>
            <w:r w:rsidRPr="00DF4CE5">
              <w:rPr>
                <w:rFonts w:ascii="Cambria" w:eastAsia="Calibri" w:hAnsi="Cambria" w:cs="Calibri"/>
                <w:lang w:val="hr-HR"/>
              </w:rPr>
              <w:t>uvremen</w:t>
            </w:r>
            <w:r>
              <w:rPr>
                <w:rFonts w:ascii="Cambria" w:eastAsia="Calibri" w:hAnsi="Cambria" w:cs="Calibri"/>
                <w:lang w:val="hr-HR"/>
              </w:rPr>
              <w:t>e</w:t>
            </w:r>
            <w:r w:rsidRPr="00DF4CE5">
              <w:rPr>
                <w:rFonts w:ascii="Cambria" w:eastAsia="Calibri" w:hAnsi="Cambria" w:cs="Calibri"/>
                <w:lang w:val="hr-HR"/>
              </w:rPr>
              <w:t xml:space="preserve"> strategije učenja i poučavanja u nastavi hrvatskog jezika </w:t>
            </w:r>
          </w:p>
          <w:p w14:paraId="785424DB" w14:textId="77777777" w:rsidR="003415F8" w:rsidRDefault="003415F8" w:rsidP="00587D5D">
            <w:pPr>
              <w:spacing w:after="0" w:line="240" w:lineRule="auto"/>
              <w:jc w:val="both"/>
              <w:rPr>
                <w:rFonts w:ascii="Cambria" w:eastAsia="Times New Roman" w:hAnsi="Cambria" w:cs="Calibri"/>
                <w:lang w:val="hr-HR"/>
              </w:rPr>
            </w:pPr>
            <w:r>
              <w:rPr>
                <w:rFonts w:ascii="Cambria" w:eastAsia="Calibri" w:hAnsi="Cambria" w:cs="Calibri"/>
                <w:lang w:val="hr-HR"/>
              </w:rPr>
              <w:t>8. A</w:t>
            </w:r>
            <w:r w:rsidRPr="00DF4CE5">
              <w:rPr>
                <w:rFonts w:ascii="Cambria" w:eastAsia="Calibri" w:hAnsi="Cambria" w:cs="Calibri"/>
                <w:lang w:val="hr-HR"/>
              </w:rPr>
              <w:t>naliz</w:t>
            </w:r>
            <w:r>
              <w:rPr>
                <w:rFonts w:ascii="Cambria" w:eastAsia="Calibri" w:hAnsi="Cambria" w:cs="Calibri"/>
                <w:lang w:val="hr-HR"/>
              </w:rPr>
              <w:t>a</w:t>
            </w:r>
            <w:r w:rsidRPr="00DF4CE5">
              <w:rPr>
                <w:rFonts w:ascii="Cambria" w:eastAsia="Calibri" w:hAnsi="Cambria" w:cs="Calibri"/>
                <w:lang w:val="hr-HR"/>
              </w:rPr>
              <w:t xml:space="preserve"> početnica, čitanki, udžbenika iz jezika,  vježbenica  te priručnika za učitelje u razrednoj nastavi</w:t>
            </w:r>
          </w:p>
          <w:p w14:paraId="4F16E071" w14:textId="77777777" w:rsidR="003415F8" w:rsidRDefault="003415F8" w:rsidP="00587D5D">
            <w:pPr>
              <w:spacing w:after="0" w:line="240" w:lineRule="auto"/>
              <w:jc w:val="both"/>
              <w:rPr>
                <w:rFonts w:ascii="Cambria" w:eastAsia="Times New Roman" w:hAnsi="Cambria" w:cs="Calibri"/>
                <w:lang w:val="hr-HR"/>
              </w:rPr>
            </w:pPr>
            <w:r>
              <w:rPr>
                <w:rFonts w:ascii="Cambria" w:eastAsia="Calibri" w:hAnsi="Cambria" w:cs="Calibri"/>
                <w:lang w:val="hr-HR"/>
              </w:rPr>
              <w:lastRenderedPageBreak/>
              <w:t>9. U</w:t>
            </w:r>
            <w:r w:rsidRPr="00DF4CE5">
              <w:rPr>
                <w:rFonts w:ascii="Cambria" w:eastAsia="Calibri" w:hAnsi="Cambria" w:cs="Calibri"/>
                <w:lang w:val="hr-HR"/>
              </w:rPr>
              <w:t>čiteljev</w:t>
            </w:r>
            <w:r>
              <w:rPr>
                <w:rFonts w:ascii="Cambria" w:eastAsia="Calibri" w:hAnsi="Cambria" w:cs="Calibri"/>
                <w:lang w:val="hr-HR"/>
              </w:rPr>
              <w:t>a</w:t>
            </w:r>
            <w:r w:rsidRPr="00DF4CE5">
              <w:rPr>
                <w:rFonts w:ascii="Cambria" w:eastAsia="Calibri" w:hAnsi="Cambria" w:cs="Calibri"/>
                <w:lang w:val="hr-HR"/>
              </w:rPr>
              <w:t xml:space="preserve"> neposredn</w:t>
            </w:r>
            <w:r>
              <w:rPr>
                <w:rFonts w:ascii="Cambria" w:eastAsia="Calibri" w:hAnsi="Cambria" w:cs="Calibri"/>
                <w:lang w:val="hr-HR"/>
              </w:rPr>
              <w:t>a</w:t>
            </w:r>
            <w:r w:rsidRPr="00DF4CE5">
              <w:rPr>
                <w:rFonts w:ascii="Cambria" w:eastAsia="Calibri" w:hAnsi="Cambria" w:cs="Calibri"/>
                <w:lang w:val="hr-HR"/>
              </w:rPr>
              <w:t xml:space="preserve"> priprem</w:t>
            </w:r>
            <w:r>
              <w:rPr>
                <w:rFonts w:ascii="Cambria" w:eastAsia="Calibri" w:hAnsi="Cambria" w:cs="Calibri"/>
                <w:lang w:val="hr-HR"/>
              </w:rPr>
              <w:t>a</w:t>
            </w:r>
            <w:r w:rsidRPr="00DF4CE5">
              <w:rPr>
                <w:rFonts w:ascii="Cambria" w:eastAsia="Calibri" w:hAnsi="Cambria" w:cs="Calibri"/>
                <w:lang w:val="hr-HR"/>
              </w:rPr>
              <w:t xml:space="preserve"> za nastavni sat  </w:t>
            </w:r>
          </w:p>
          <w:p w14:paraId="3BAD24B2" w14:textId="77777777" w:rsidR="003415F8" w:rsidRDefault="003415F8" w:rsidP="00587D5D">
            <w:pPr>
              <w:spacing w:after="0" w:line="240" w:lineRule="auto"/>
              <w:jc w:val="both"/>
              <w:rPr>
                <w:rFonts w:ascii="Cambria" w:eastAsia="Times New Roman" w:hAnsi="Cambria" w:cs="Calibri"/>
                <w:lang w:val="hr-HR"/>
              </w:rPr>
            </w:pPr>
            <w:r>
              <w:rPr>
                <w:rFonts w:ascii="Cambria" w:eastAsia="Calibri" w:hAnsi="Cambria" w:cs="Calibri"/>
                <w:lang w:val="hr-HR"/>
              </w:rPr>
              <w:t>10. P</w:t>
            </w:r>
            <w:r w:rsidRPr="00DF4CE5">
              <w:rPr>
                <w:rFonts w:ascii="Cambria" w:eastAsia="Calibri" w:hAnsi="Cambria" w:cs="Calibri"/>
                <w:lang w:val="hr-HR"/>
              </w:rPr>
              <w:t xml:space="preserve">regled metodičke literature i zastupljenosti sadržaja u nastavnim programima, početnicama, udžbenicima, vježbenicama i priručnicima za razrednu nastavu </w:t>
            </w:r>
          </w:p>
          <w:p w14:paraId="7C658BBD" w14:textId="77777777" w:rsidR="003415F8" w:rsidRPr="00B17183" w:rsidRDefault="003415F8" w:rsidP="00587D5D">
            <w:pPr>
              <w:spacing w:after="0" w:line="240" w:lineRule="auto"/>
              <w:jc w:val="both"/>
              <w:rPr>
                <w:rFonts w:ascii="Cambria" w:eastAsia="Times New Roman" w:hAnsi="Cambria" w:cs="Calibri"/>
                <w:lang w:val="hr-HR"/>
              </w:rPr>
            </w:pPr>
            <w:r>
              <w:rPr>
                <w:rFonts w:ascii="Cambria" w:eastAsia="Calibri" w:hAnsi="Cambria" w:cs="Calibri"/>
                <w:lang w:val="hr-HR"/>
              </w:rPr>
              <w:t>11. P</w:t>
            </w:r>
            <w:r w:rsidRPr="00DF4CE5">
              <w:rPr>
                <w:rFonts w:ascii="Cambria" w:eastAsia="Calibri" w:hAnsi="Cambria" w:cs="Calibri"/>
                <w:lang w:val="hr-HR"/>
              </w:rPr>
              <w:t>rimjer</w:t>
            </w:r>
            <w:r>
              <w:rPr>
                <w:rFonts w:ascii="Cambria" w:eastAsia="Calibri" w:hAnsi="Cambria" w:cs="Calibri"/>
                <w:lang w:val="hr-HR"/>
              </w:rPr>
              <w:t>i</w:t>
            </w:r>
            <w:r w:rsidRPr="00DF4CE5">
              <w:rPr>
                <w:rFonts w:ascii="Cambria" w:eastAsia="Calibri" w:hAnsi="Cambria" w:cs="Calibri"/>
                <w:lang w:val="hr-HR"/>
              </w:rPr>
              <w:t xml:space="preserve"> nastavnih jedinica (različiti pristupi), mogućnosti unutar predmetne  i </w:t>
            </w:r>
            <w:proofErr w:type="spellStart"/>
            <w:r w:rsidRPr="00DF4CE5">
              <w:rPr>
                <w:rFonts w:ascii="Cambria" w:eastAsia="Calibri" w:hAnsi="Cambria" w:cs="Calibri"/>
                <w:lang w:val="hr-HR"/>
              </w:rPr>
              <w:t>međupredmetne</w:t>
            </w:r>
            <w:proofErr w:type="spellEnd"/>
            <w:r w:rsidRPr="00DF4CE5">
              <w:rPr>
                <w:rFonts w:ascii="Cambria" w:eastAsia="Calibri" w:hAnsi="Cambria" w:cs="Calibri"/>
                <w:lang w:val="hr-HR"/>
              </w:rPr>
              <w:t xml:space="preserve"> korelacije</w:t>
            </w:r>
          </w:p>
        </w:tc>
      </w:tr>
      <w:tr w:rsidR="003415F8" w:rsidRPr="00DF4CE5" w14:paraId="364E884D" w14:textId="77777777" w:rsidTr="00587D5D">
        <w:tc>
          <w:tcPr>
            <w:tcW w:w="2629"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hideMark/>
          </w:tcPr>
          <w:p w14:paraId="73BB9CC5" w14:textId="77777777" w:rsidR="003415F8" w:rsidRPr="00DF4CE5" w:rsidRDefault="003415F8" w:rsidP="00587D5D">
            <w:pPr>
              <w:spacing w:after="0" w:line="240" w:lineRule="auto"/>
              <w:contextualSpacing/>
              <w:jc w:val="both"/>
              <w:rPr>
                <w:rFonts w:ascii="Cambria" w:eastAsia="Times New Roman" w:hAnsi="Cambria" w:cs="Calibri"/>
                <w:lang w:val="hr-HR"/>
              </w:rPr>
            </w:pPr>
            <w:r w:rsidRPr="00DF4CE5">
              <w:rPr>
                <w:rFonts w:ascii="Cambria" w:eastAsia="Times New Roman" w:hAnsi="Cambria" w:cs="Calibri"/>
                <w:lang w:val="hr-HR"/>
              </w:rPr>
              <w:lastRenderedPageBreak/>
              <w:t>Planirane aktivnosti,</w:t>
            </w:r>
          </w:p>
          <w:p w14:paraId="7F7A300B" w14:textId="77777777" w:rsidR="003415F8" w:rsidRPr="00DF4CE5" w:rsidRDefault="003415F8" w:rsidP="00587D5D">
            <w:pPr>
              <w:spacing w:after="0" w:line="240" w:lineRule="auto"/>
              <w:contextualSpacing/>
              <w:rPr>
                <w:rFonts w:ascii="Cambria" w:eastAsia="Times New Roman" w:hAnsi="Cambria" w:cs="Calibri"/>
                <w:lang w:val="hr-HR"/>
              </w:rPr>
            </w:pPr>
            <w:r w:rsidRPr="00DF4CE5">
              <w:rPr>
                <w:rFonts w:ascii="Cambria" w:eastAsia="Times New Roman" w:hAnsi="Cambria" w:cs="Calibri"/>
                <w:lang w:val="hr-HR"/>
              </w:rPr>
              <w:t>metode učenja i poučavanja i načini vrednovanja</w:t>
            </w:r>
          </w:p>
        </w:tc>
        <w:tc>
          <w:tcPr>
            <w:tcW w:w="259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D920737" w14:textId="77777777" w:rsidR="003415F8" w:rsidRPr="00DF4CE5" w:rsidRDefault="003415F8" w:rsidP="00587D5D">
            <w:pPr>
              <w:spacing w:after="0" w:line="240" w:lineRule="auto"/>
              <w:contextualSpacing/>
              <w:jc w:val="both"/>
              <w:rPr>
                <w:rFonts w:ascii="Cambria" w:eastAsia="Times New Roman" w:hAnsi="Cambria" w:cs="Calibri"/>
                <w:lang w:val="hr-HR"/>
              </w:rPr>
            </w:pPr>
            <w:r w:rsidRPr="00DF4CE5">
              <w:rPr>
                <w:rFonts w:ascii="Cambria" w:eastAsia="Times New Roman" w:hAnsi="Cambria" w:cs="Calibri"/>
                <w:bCs/>
                <w:lang w:val="hr-HR"/>
              </w:rPr>
              <w:t>Obveze</w:t>
            </w:r>
          </w:p>
        </w:tc>
        <w:tc>
          <w:tcPr>
            <w:tcW w:w="109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62B8E24" w14:textId="77777777" w:rsidR="003415F8" w:rsidRPr="00DF4CE5" w:rsidRDefault="003415F8" w:rsidP="00587D5D">
            <w:pPr>
              <w:spacing w:after="0" w:line="240" w:lineRule="auto"/>
              <w:contextualSpacing/>
              <w:jc w:val="both"/>
              <w:rPr>
                <w:rFonts w:ascii="Cambria" w:eastAsia="Times New Roman" w:hAnsi="Cambria" w:cs="Calibri"/>
                <w:lang w:val="hr-HR"/>
              </w:rPr>
            </w:pPr>
            <w:r w:rsidRPr="00DF4CE5">
              <w:rPr>
                <w:rFonts w:ascii="Cambria" w:eastAsia="Times New Roman" w:hAnsi="Cambria" w:cs="Calibri"/>
                <w:bCs/>
                <w:lang w:val="hr-HR"/>
              </w:rPr>
              <w:t>Ishodi</w:t>
            </w:r>
          </w:p>
        </w:tc>
        <w:tc>
          <w:tcPr>
            <w:tcW w:w="78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FF8C7A8" w14:textId="77777777" w:rsidR="003415F8" w:rsidRPr="00DF4CE5" w:rsidRDefault="003415F8" w:rsidP="00587D5D">
            <w:pPr>
              <w:spacing w:after="0" w:line="240" w:lineRule="auto"/>
              <w:contextualSpacing/>
              <w:jc w:val="both"/>
              <w:rPr>
                <w:rFonts w:ascii="Cambria" w:eastAsia="Times New Roman" w:hAnsi="Cambria" w:cs="Calibri"/>
                <w:lang w:val="hr-HR"/>
              </w:rPr>
            </w:pPr>
            <w:r w:rsidRPr="00DF4CE5">
              <w:rPr>
                <w:rFonts w:ascii="Cambria" w:eastAsia="Times New Roman" w:hAnsi="Cambria" w:cs="Calibri"/>
                <w:bCs/>
                <w:lang w:val="hr-HR"/>
              </w:rPr>
              <w:t>Sati</w:t>
            </w:r>
          </w:p>
        </w:tc>
        <w:tc>
          <w:tcPr>
            <w:tcW w:w="95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61043EF" w14:textId="77777777" w:rsidR="003415F8" w:rsidRPr="00DF4CE5" w:rsidRDefault="003415F8" w:rsidP="00587D5D">
            <w:pPr>
              <w:spacing w:after="0" w:line="240" w:lineRule="auto"/>
              <w:contextualSpacing/>
              <w:jc w:val="both"/>
              <w:rPr>
                <w:rFonts w:ascii="Cambria" w:eastAsia="Times New Roman" w:hAnsi="Cambria" w:cs="Calibri"/>
                <w:lang w:val="hr-HR"/>
              </w:rPr>
            </w:pPr>
            <w:r w:rsidRPr="00DF4CE5">
              <w:rPr>
                <w:rFonts w:ascii="Cambria" w:eastAsia="Times New Roman" w:hAnsi="Cambria" w:cs="Calibri"/>
                <w:bCs/>
                <w:lang w:val="hr-HR"/>
              </w:rPr>
              <w:t>ECTS</w:t>
            </w:r>
          </w:p>
        </w:tc>
        <w:tc>
          <w:tcPr>
            <w:tcW w:w="132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90B01BC" w14:textId="77777777" w:rsidR="003415F8" w:rsidRPr="00DF4CE5" w:rsidRDefault="003415F8" w:rsidP="00587D5D">
            <w:pPr>
              <w:spacing w:after="0" w:line="240" w:lineRule="auto"/>
              <w:contextualSpacing/>
              <w:jc w:val="both"/>
              <w:rPr>
                <w:rFonts w:ascii="Cambria" w:eastAsia="Times New Roman" w:hAnsi="Cambria" w:cs="Calibri"/>
                <w:lang w:val="hr-HR"/>
              </w:rPr>
            </w:pPr>
            <w:r w:rsidRPr="00DF4CE5">
              <w:rPr>
                <w:rFonts w:ascii="Cambria" w:eastAsia="Times New Roman" w:hAnsi="Cambria" w:cs="Calibri"/>
                <w:bCs/>
                <w:lang w:val="hr-HR"/>
              </w:rPr>
              <w:t>Maksimalni udio u ocjeni</w:t>
            </w:r>
            <w:r w:rsidRPr="00DF4CE5">
              <w:rPr>
                <w:rFonts w:ascii="Cambria" w:eastAsia="Times New Roman" w:hAnsi="Cambria" w:cs="Calibri"/>
                <w:bCs/>
              </w:rPr>
              <w:t xml:space="preserve"> (%)</w:t>
            </w:r>
          </w:p>
        </w:tc>
      </w:tr>
      <w:tr w:rsidR="003415F8" w:rsidRPr="00DF4CE5" w14:paraId="222B9508" w14:textId="77777777" w:rsidTr="00587D5D">
        <w:tc>
          <w:tcPr>
            <w:tcW w:w="2629" w:type="dxa"/>
            <w:vMerge/>
            <w:tcBorders>
              <w:left w:val="single" w:sz="8" w:space="0" w:color="000000"/>
              <w:right w:val="single" w:sz="8" w:space="0" w:color="000000"/>
            </w:tcBorders>
            <w:vAlign w:val="center"/>
            <w:hideMark/>
          </w:tcPr>
          <w:p w14:paraId="7DCFC750" w14:textId="77777777" w:rsidR="003415F8" w:rsidRPr="00DF4CE5" w:rsidRDefault="003415F8" w:rsidP="00587D5D">
            <w:pPr>
              <w:spacing w:after="0" w:line="240" w:lineRule="auto"/>
              <w:contextualSpacing/>
              <w:jc w:val="both"/>
              <w:rPr>
                <w:rFonts w:ascii="Cambria" w:eastAsia="Times New Roman" w:hAnsi="Cambria" w:cs="Calibri"/>
                <w:lang w:val="hr-HR"/>
              </w:rPr>
            </w:pPr>
          </w:p>
        </w:tc>
        <w:tc>
          <w:tcPr>
            <w:tcW w:w="259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71E43FF" w14:textId="0CE87917" w:rsidR="003415F8" w:rsidRPr="003415F8" w:rsidRDefault="003415F8" w:rsidP="00587D5D">
            <w:pPr>
              <w:spacing w:after="0" w:line="240" w:lineRule="auto"/>
              <w:contextualSpacing/>
              <w:rPr>
                <w:rFonts w:ascii="Cambria" w:eastAsia="Times New Roman" w:hAnsi="Cambria" w:cs="Calibri"/>
                <w:lang w:val="it-IT"/>
              </w:rPr>
            </w:pPr>
            <w:proofErr w:type="spellStart"/>
            <w:r w:rsidRPr="003415F8">
              <w:rPr>
                <w:rFonts w:ascii="Cambria" w:eastAsia="Times New Roman" w:hAnsi="Cambria" w:cs="Calibri"/>
                <w:lang w:val="it-IT"/>
              </w:rPr>
              <w:t>aktivnost</w:t>
            </w:r>
            <w:proofErr w:type="spellEnd"/>
            <w:r w:rsidRPr="003415F8">
              <w:rPr>
                <w:rFonts w:ascii="Cambria" w:eastAsia="Times New Roman" w:hAnsi="Cambria" w:cs="Calibri"/>
                <w:lang w:val="it-IT"/>
              </w:rPr>
              <w:t xml:space="preserve"> </w:t>
            </w:r>
            <w:proofErr w:type="spellStart"/>
            <w:r w:rsidRPr="003415F8">
              <w:rPr>
                <w:rFonts w:ascii="Cambria" w:eastAsia="Times New Roman" w:hAnsi="Cambria" w:cs="Calibri"/>
                <w:lang w:val="it-IT"/>
              </w:rPr>
              <w:t>na</w:t>
            </w:r>
            <w:proofErr w:type="spellEnd"/>
            <w:r w:rsidRPr="003415F8">
              <w:rPr>
                <w:rFonts w:ascii="Cambria" w:eastAsia="Times New Roman" w:hAnsi="Cambria" w:cs="Calibri"/>
                <w:lang w:val="it-IT"/>
              </w:rPr>
              <w:t xml:space="preserve"> </w:t>
            </w:r>
            <w:proofErr w:type="spellStart"/>
            <w:r w:rsidRPr="003415F8">
              <w:rPr>
                <w:rFonts w:ascii="Cambria" w:eastAsia="Times New Roman" w:hAnsi="Cambria" w:cs="Calibri"/>
                <w:lang w:val="it-IT"/>
              </w:rPr>
              <w:t>nastavi</w:t>
            </w:r>
            <w:proofErr w:type="spellEnd"/>
            <w:r w:rsidRPr="003415F8">
              <w:rPr>
                <w:rFonts w:ascii="Cambria" w:eastAsia="Times New Roman" w:hAnsi="Cambria" w:cs="Calibri"/>
                <w:lang w:val="it-IT"/>
              </w:rPr>
              <w:t xml:space="preserve"> (P, V</w:t>
            </w:r>
            <w:r>
              <w:rPr>
                <w:rFonts w:ascii="Cambria" w:eastAsia="Times New Roman" w:hAnsi="Cambria" w:cs="Calibri"/>
                <w:lang w:val="it-IT"/>
              </w:rPr>
              <w:t>)</w:t>
            </w:r>
          </w:p>
        </w:tc>
        <w:tc>
          <w:tcPr>
            <w:tcW w:w="109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F2351E5" w14:textId="77777777" w:rsidR="003415F8" w:rsidRPr="00DF4CE5" w:rsidRDefault="003415F8" w:rsidP="00587D5D">
            <w:pPr>
              <w:spacing w:after="0" w:line="240" w:lineRule="auto"/>
              <w:contextualSpacing/>
              <w:jc w:val="center"/>
              <w:rPr>
                <w:rFonts w:ascii="Cambria" w:eastAsia="Times New Roman" w:hAnsi="Cambria" w:cs="Calibri"/>
                <w:lang w:val="hr-HR"/>
              </w:rPr>
            </w:pPr>
            <w:r w:rsidRPr="00DF4CE5">
              <w:rPr>
                <w:rFonts w:ascii="Cambria" w:eastAsia="Times New Roman" w:hAnsi="Cambria" w:cs="Calibri"/>
                <w:lang w:val="hr-HR"/>
              </w:rPr>
              <w:t xml:space="preserve">1. </w:t>
            </w:r>
            <w:r w:rsidRPr="00DF4CE5">
              <w:rPr>
                <w:rFonts w:ascii="Cambria" w:eastAsia="Times New Roman" w:hAnsi="Cambria" w:cs="Times New Roman"/>
                <w:lang w:val="hr-HR"/>
              </w:rPr>
              <w:t>– 4.</w:t>
            </w:r>
          </w:p>
        </w:tc>
        <w:tc>
          <w:tcPr>
            <w:tcW w:w="78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909AA3E" w14:textId="4C689F32" w:rsidR="003415F8" w:rsidRPr="00DF4CE5" w:rsidRDefault="003415F8" w:rsidP="00587D5D">
            <w:pPr>
              <w:contextualSpacing/>
              <w:jc w:val="center"/>
              <w:rPr>
                <w:rFonts w:ascii="Cambria" w:eastAsia="Calibri" w:hAnsi="Cambria" w:cs="Calibri"/>
                <w:lang w:val="hr-HR"/>
              </w:rPr>
            </w:pPr>
            <w:r>
              <w:rPr>
                <w:rFonts w:ascii="Cambria" w:eastAsia="Calibri" w:hAnsi="Cambria" w:cs="Calibri"/>
                <w:lang w:val="hr-HR"/>
              </w:rPr>
              <w:t>34</w:t>
            </w:r>
          </w:p>
        </w:tc>
        <w:tc>
          <w:tcPr>
            <w:tcW w:w="95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2D4BD27" w14:textId="55C6277B" w:rsidR="003415F8" w:rsidRPr="00DF4CE5" w:rsidRDefault="003415F8" w:rsidP="00587D5D">
            <w:pPr>
              <w:contextualSpacing/>
              <w:jc w:val="center"/>
              <w:rPr>
                <w:rFonts w:ascii="Cambria" w:eastAsia="Calibri" w:hAnsi="Cambria" w:cs="Calibri"/>
                <w:lang w:val="hr-HR"/>
              </w:rPr>
            </w:pPr>
            <w:r w:rsidRPr="00DF4CE5">
              <w:rPr>
                <w:rFonts w:ascii="Cambria" w:eastAsia="Calibri" w:hAnsi="Cambria" w:cs="Calibri"/>
                <w:lang w:val="hr-HR"/>
              </w:rPr>
              <w:t>1,</w:t>
            </w:r>
            <w:r>
              <w:rPr>
                <w:rFonts w:ascii="Cambria" w:eastAsia="Calibri" w:hAnsi="Cambria" w:cs="Calibri"/>
                <w:lang w:val="hr-HR"/>
              </w:rPr>
              <w:t>1</w:t>
            </w:r>
          </w:p>
        </w:tc>
        <w:tc>
          <w:tcPr>
            <w:tcW w:w="132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6695696" w14:textId="77777777" w:rsidR="003415F8" w:rsidRPr="00DF4CE5" w:rsidRDefault="003415F8" w:rsidP="00587D5D">
            <w:pPr>
              <w:spacing w:after="0" w:line="240" w:lineRule="auto"/>
              <w:contextualSpacing/>
              <w:jc w:val="center"/>
              <w:rPr>
                <w:rFonts w:ascii="Cambria" w:eastAsia="Times New Roman" w:hAnsi="Cambria" w:cs="Calibri"/>
                <w:lang w:val="hr-HR"/>
              </w:rPr>
            </w:pPr>
            <w:r w:rsidRPr="00DF4CE5">
              <w:rPr>
                <w:rFonts w:ascii="Cambria" w:eastAsia="Times New Roman" w:hAnsi="Cambria" w:cs="Calibri"/>
                <w:lang w:val="hr-HR"/>
              </w:rPr>
              <w:t>20%</w:t>
            </w:r>
          </w:p>
        </w:tc>
      </w:tr>
      <w:tr w:rsidR="003415F8" w:rsidRPr="00DF4CE5" w14:paraId="760091FA" w14:textId="77777777" w:rsidTr="00587D5D">
        <w:tc>
          <w:tcPr>
            <w:tcW w:w="2629" w:type="dxa"/>
            <w:vMerge/>
            <w:tcBorders>
              <w:left w:val="single" w:sz="8" w:space="0" w:color="000000"/>
              <w:right w:val="single" w:sz="8" w:space="0" w:color="000000"/>
            </w:tcBorders>
            <w:vAlign w:val="center"/>
            <w:hideMark/>
          </w:tcPr>
          <w:p w14:paraId="7D0113E4" w14:textId="77777777" w:rsidR="003415F8" w:rsidRPr="00DF4CE5" w:rsidRDefault="003415F8" w:rsidP="00587D5D">
            <w:pPr>
              <w:spacing w:after="0" w:line="240" w:lineRule="auto"/>
              <w:contextualSpacing/>
              <w:jc w:val="both"/>
              <w:rPr>
                <w:rFonts w:ascii="Cambria" w:eastAsia="Times New Roman" w:hAnsi="Cambria" w:cs="Calibri"/>
                <w:lang w:val="hr-HR"/>
              </w:rPr>
            </w:pPr>
          </w:p>
        </w:tc>
        <w:tc>
          <w:tcPr>
            <w:tcW w:w="259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D6516AD" w14:textId="77777777" w:rsidR="003415F8" w:rsidRPr="00DF4CE5" w:rsidRDefault="003415F8" w:rsidP="00587D5D">
            <w:pPr>
              <w:spacing w:after="0" w:line="240" w:lineRule="auto"/>
              <w:contextualSpacing/>
              <w:rPr>
                <w:rFonts w:ascii="Cambria" w:eastAsia="Times New Roman" w:hAnsi="Cambria" w:cs="Calibri"/>
                <w:lang w:val="hr-HR"/>
              </w:rPr>
            </w:pPr>
            <w:proofErr w:type="spellStart"/>
            <w:r w:rsidRPr="00DF4CE5">
              <w:rPr>
                <w:rFonts w:ascii="Cambria" w:eastAsia="Times New Roman" w:hAnsi="Cambria" w:cs="Calibri"/>
              </w:rPr>
              <w:t>seminarski</w:t>
            </w:r>
            <w:proofErr w:type="spellEnd"/>
            <w:r w:rsidRPr="00DF4CE5">
              <w:rPr>
                <w:rFonts w:ascii="Cambria" w:eastAsia="Times New Roman" w:hAnsi="Cambria" w:cs="Calibri"/>
              </w:rPr>
              <w:t xml:space="preserve"> rad, </w:t>
            </w:r>
            <w:proofErr w:type="spellStart"/>
            <w:r w:rsidRPr="00DF4CE5">
              <w:rPr>
                <w:rFonts w:ascii="Cambria" w:eastAsia="Times New Roman" w:hAnsi="Cambria" w:cs="Calibri"/>
              </w:rPr>
              <w:t>vježbe</w:t>
            </w:r>
            <w:proofErr w:type="spellEnd"/>
          </w:p>
        </w:tc>
        <w:tc>
          <w:tcPr>
            <w:tcW w:w="109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A23C6A3" w14:textId="77777777" w:rsidR="003415F8" w:rsidRPr="00DF4CE5" w:rsidRDefault="003415F8" w:rsidP="00587D5D">
            <w:pPr>
              <w:spacing w:after="0" w:line="240" w:lineRule="auto"/>
              <w:contextualSpacing/>
              <w:jc w:val="center"/>
              <w:rPr>
                <w:rFonts w:ascii="Cambria" w:eastAsia="Times New Roman" w:hAnsi="Cambria" w:cs="Calibri"/>
                <w:lang w:val="hr-HR"/>
              </w:rPr>
            </w:pPr>
            <w:r w:rsidRPr="00DF4CE5">
              <w:rPr>
                <w:rFonts w:ascii="Cambria" w:eastAsia="Times New Roman" w:hAnsi="Cambria" w:cs="Calibri"/>
                <w:lang w:val="hr-HR"/>
              </w:rPr>
              <w:t xml:space="preserve">1. </w:t>
            </w:r>
            <w:r w:rsidRPr="00DF4CE5">
              <w:rPr>
                <w:rFonts w:ascii="Cambria" w:eastAsia="Times New Roman" w:hAnsi="Cambria" w:cs="Times New Roman"/>
                <w:lang w:val="hr-HR"/>
              </w:rPr>
              <w:t>– 4.</w:t>
            </w:r>
          </w:p>
        </w:tc>
        <w:tc>
          <w:tcPr>
            <w:tcW w:w="78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988223F" w14:textId="77777777" w:rsidR="003415F8" w:rsidRPr="00DF4CE5" w:rsidRDefault="003415F8" w:rsidP="00587D5D">
            <w:pPr>
              <w:contextualSpacing/>
              <w:jc w:val="center"/>
              <w:rPr>
                <w:rFonts w:ascii="Cambria" w:eastAsia="Calibri" w:hAnsi="Cambria" w:cs="Calibri"/>
                <w:lang w:val="hr-HR"/>
              </w:rPr>
            </w:pPr>
            <w:r w:rsidRPr="00DF4CE5">
              <w:rPr>
                <w:rFonts w:ascii="Cambria" w:eastAsia="Calibri" w:hAnsi="Cambria" w:cs="Calibri"/>
                <w:lang w:val="hr-HR"/>
              </w:rPr>
              <w:t>15</w:t>
            </w:r>
          </w:p>
        </w:tc>
        <w:tc>
          <w:tcPr>
            <w:tcW w:w="95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696AC38" w14:textId="77777777" w:rsidR="003415F8" w:rsidRPr="00DF4CE5" w:rsidRDefault="003415F8" w:rsidP="00587D5D">
            <w:pPr>
              <w:contextualSpacing/>
              <w:jc w:val="center"/>
              <w:rPr>
                <w:rFonts w:ascii="Cambria" w:eastAsia="Calibri" w:hAnsi="Cambria" w:cs="Calibri"/>
                <w:lang w:val="hr-HR"/>
              </w:rPr>
            </w:pPr>
            <w:r w:rsidRPr="00DF4CE5">
              <w:rPr>
                <w:rFonts w:ascii="Cambria" w:eastAsia="Calibri" w:hAnsi="Cambria" w:cs="Calibri"/>
                <w:lang w:val="hr-HR"/>
              </w:rPr>
              <w:t>0,5</w:t>
            </w:r>
          </w:p>
        </w:tc>
        <w:tc>
          <w:tcPr>
            <w:tcW w:w="132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D59B84E" w14:textId="77777777" w:rsidR="003415F8" w:rsidRPr="00DF4CE5" w:rsidRDefault="003415F8" w:rsidP="00587D5D">
            <w:pPr>
              <w:spacing w:after="0" w:line="240" w:lineRule="auto"/>
              <w:contextualSpacing/>
              <w:jc w:val="center"/>
              <w:rPr>
                <w:rFonts w:ascii="Cambria" w:eastAsia="Times New Roman" w:hAnsi="Cambria" w:cs="Calibri"/>
                <w:lang w:val="hr-HR"/>
              </w:rPr>
            </w:pPr>
            <w:r w:rsidRPr="00DF4CE5">
              <w:rPr>
                <w:rFonts w:ascii="Cambria" w:eastAsia="Times New Roman" w:hAnsi="Cambria" w:cs="Calibri"/>
                <w:lang w:val="hr-HR"/>
              </w:rPr>
              <w:t>20%</w:t>
            </w:r>
          </w:p>
        </w:tc>
      </w:tr>
      <w:tr w:rsidR="003415F8" w:rsidRPr="00DF4CE5" w14:paraId="46501619" w14:textId="77777777" w:rsidTr="00587D5D">
        <w:tc>
          <w:tcPr>
            <w:tcW w:w="2629" w:type="dxa"/>
            <w:vMerge/>
            <w:tcBorders>
              <w:left w:val="single" w:sz="8" w:space="0" w:color="000000"/>
              <w:right w:val="single" w:sz="8" w:space="0" w:color="000000"/>
            </w:tcBorders>
            <w:vAlign w:val="center"/>
            <w:hideMark/>
          </w:tcPr>
          <w:p w14:paraId="0EED1796" w14:textId="77777777" w:rsidR="003415F8" w:rsidRPr="00DF4CE5" w:rsidRDefault="003415F8" w:rsidP="00587D5D">
            <w:pPr>
              <w:spacing w:after="0" w:line="240" w:lineRule="auto"/>
              <w:contextualSpacing/>
              <w:jc w:val="both"/>
              <w:rPr>
                <w:rFonts w:ascii="Cambria" w:eastAsia="Times New Roman" w:hAnsi="Cambria" w:cs="Calibri"/>
                <w:lang w:val="hr-HR"/>
              </w:rPr>
            </w:pPr>
          </w:p>
        </w:tc>
        <w:tc>
          <w:tcPr>
            <w:tcW w:w="259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8AEA165" w14:textId="77777777" w:rsidR="003415F8" w:rsidRPr="00DF4CE5" w:rsidRDefault="003415F8" w:rsidP="00587D5D">
            <w:pPr>
              <w:spacing w:after="0" w:line="240" w:lineRule="auto"/>
              <w:contextualSpacing/>
              <w:rPr>
                <w:rFonts w:ascii="Cambria" w:eastAsia="Times New Roman" w:hAnsi="Cambria" w:cs="Calibri"/>
                <w:lang w:val="hr-HR"/>
              </w:rPr>
            </w:pPr>
            <w:r w:rsidRPr="00DF4CE5">
              <w:rPr>
                <w:rFonts w:ascii="Cambria" w:eastAsia="Times New Roman" w:hAnsi="Cambria" w:cs="Calibri"/>
                <w:lang w:val="hr-HR"/>
              </w:rPr>
              <w:t>kolokvij i priprema za kontinuiranu provjeru znanja</w:t>
            </w:r>
          </w:p>
        </w:tc>
        <w:tc>
          <w:tcPr>
            <w:tcW w:w="109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E72799C" w14:textId="77777777" w:rsidR="003415F8" w:rsidRPr="00DF4CE5" w:rsidRDefault="003415F8" w:rsidP="00587D5D">
            <w:pPr>
              <w:spacing w:after="0" w:line="240" w:lineRule="auto"/>
              <w:contextualSpacing/>
              <w:jc w:val="center"/>
              <w:rPr>
                <w:rFonts w:ascii="Cambria" w:eastAsia="Times New Roman" w:hAnsi="Cambria" w:cs="Calibri"/>
                <w:lang w:val="hr-HR"/>
              </w:rPr>
            </w:pPr>
            <w:r w:rsidRPr="00DF4CE5">
              <w:rPr>
                <w:rFonts w:ascii="Cambria" w:eastAsia="Times New Roman" w:hAnsi="Cambria" w:cs="Calibri"/>
                <w:lang w:val="hr-HR"/>
              </w:rPr>
              <w:t xml:space="preserve">1. </w:t>
            </w:r>
            <w:r w:rsidRPr="00DF4CE5">
              <w:rPr>
                <w:rFonts w:ascii="Cambria" w:eastAsia="Times New Roman" w:hAnsi="Cambria" w:cs="Times New Roman"/>
                <w:lang w:val="hr-HR"/>
              </w:rPr>
              <w:t>– 4.</w:t>
            </w:r>
          </w:p>
        </w:tc>
        <w:tc>
          <w:tcPr>
            <w:tcW w:w="78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8B007F3" w14:textId="77777777" w:rsidR="003415F8" w:rsidRPr="00DF4CE5" w:rsidRDefault="003415F8" w:rsidP="00587D5D">
            <w:pPr>
              <w:contextualSpacing/>
              <w:jc w:val="center"/>
              <w:rPr>
                <w:rFonts w:ascii="Cambria" w:eastAsia="Calibri" w:hAnsi="Cambria" w:cs="Calibri"/>
                <w:lang w:val="hr-HR"/>
              </w:rPr>
            </w:pPr>
            <w:r w:rsidRPr="00DF4CE5">
              <w:rPr>
                <w:rFonts w:ascii="Cambria" w:eastAsia="Calibri" w:hAnsi="Cambria" w:cs="Calibri"/>
                <w:lang w:val="hr-HR"/>
              </w:rPr>
              <w:t>30</w:t>
            </w:r>
          </w:p>
        </w:tc>
        <w:tc>
          <w:tcPr>
            <w:tcW w:w="95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42DCA8D" w14:textId="77777777" w:rsidR="003415F8" w:rsidRPr="00DF4CE5" w:rsidRDefault="003415F8" w:rsidP="00587D5D">
            <w:pPr>
              <w:contextualSpacing/>
              <w:jc w:val="center"/>
              <w:rPr>
                <w:rFonts w:ascii="Cambria" w:eastAsia="Calibri" w:hAnsi="Cambria" w:cs="Calibri"/>
                <w:lang w:val="hr-HR"/>
              </w:rPr>
            </w:pPr>
            <w:r w:rsidRPr="00DF4CE5">
              <w:rPr>
                <w:rFonts w:ascii="Cambria" w:eastAsia="Calibri" w:hAnsi="Cambria" w:cs="Calibri"/>
                <w:lang w:val="hr-HR"/>
              </w:rPr>
              <w:t>1</w:t>
            </w:r>
          </w:p>
        </w:tc>
        <w:tc>
          <w:tcPr>
            <w:tcW w:w="132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BC02B75" w14:textId="77777777" w:rsidR="003415F8" w:rsidRPr="00DF4CE5" w:rsidRDefault="003415F8" w:rsidP="00587D5D">
            <w:pPr>
              <w:spacing w:after="0" w:line="240" w:lineRule="auto"/>
              <w:contextualSpacing/>
              <w:jc w:val="center"/>
              <w:rPr>
                <w:rFonts w:ascii="Cambria" w:eastAsia="Times New Roman" w:hAnsi="Cambria" w:cs="Calibri"/>
                <w:lang w:val="hr-HR"/>
              </w:rPr>
            </w:pPr>
            <w:r w:rsidRPr="00DF4CE5">
              <w:rPr>
                <w:rFonts w:ascii="Cambria" w:eastAsia="Times New Roman" w:hAnsi="Cambria" w:cs="Calibri"/>
                <w:lang w:val="hr-HR"/>
              </w:rPr>
              <w:t>30%</w:t>
            </w:r>
          </w:p>
        </w:tc>
      </w:tr>
      <w:tr w:rsidR="003415F8" w:rsidRPr="00DF4CE5" w14:paraId="4AE36D32" w14:textId="77777777" w:rsidTr="00587D5D">
        <w:tc>
          <w:tcPr>
            <w:tcW w:w="2629" w:type="dxa"/>
            <w:vMerge/>
            <w:tcBorders>
              <w:left w:val="single" w:sz="8" w:space="0" w:color="000000"/>
              <w:right w:val="single" w:sz="8" w:space="0" w:color="000000"/>
            </w:tcBorders>
            <w:vAlign w:val="center"/>
            <w:hideMark/>
          </w:tcPr>
          <w:p w14:paraId="096C9AD2" w14:textId="77777777" w:rsidR="003415F8" w:rsidRPr="00DF4CE5" w:rsidRDefault="003415F8" w:rsidP="00587D5D">
            <w:pPr>
              <w:spacing w:after="0" w:line="240" w:lineRule="auto"/>
              <w:contextualSpacing/>
              <w:jc w:val="both"/>
              <w:rPr>
                <w:rFonts w:ascii="Cambria" w:eastAsia="Times New Roman" w:hAnsi="Cambria" w:cs="Calibri"/>
                <w:lang w:val="hr-HR"/>
              </w:rPr>
            </w:pPr>
          </w:p>
        </w:tc>
        <w:tc>
          <w:tcPr>
            <w:tcW w:w="259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67C26AF" w14:textId="77777777" w:rsidR="003415F8" w:rsidRPr="00DF4CE5" w:rsidRDefault="003415F8" w:rsidP="00587D5D">
            <w:pPr>
              <w:spacing w:after="0" w:line="240" w:lineRule="auto"/>
              <w:contextualSpacing/>
              <w:rPr>
                <w:rFonts w:ascii="Cambria" w:eastAsia="Times New Roman" w:hAnsi="Cambria" w:cs="Calibri"/>
                <w:lang w:val="hr-HR"/>
              </w:rPr>
            </w:pPr>
            <w:r w:rsidRPr="00DF4CE5">
              <w:rPr>
                <w:rFonts w:ascii="Cambria" w:eastAsia="Times New Roman" w:hAnsi="Cambria" w:cs="Calibri"/>
                <w:lang w:val="hr-HR"/>
              </w:rPr>
              <w:t>priprema i polaganje ispita</w:t>
            </w:r>
          </w:p>
        </w:tc>
        <w:tc>
          <w:tcPr>
            <w:tcW w:w="109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3E4CA7D" w14:textId="77777777" w:rsidR="003415F8" w:rsidRPr="00DF4CE5" w:rsidRDefault="003415F8" w:rsidP="00587D5D">
            <w:pPr>
              <w:spacing w:after="0" w:line="240" w:lineRule="auto"/>
              <w:contextualSpacing/>
              <w:jc w:val="center"/>
              <w:rPr>
                <w:rFonts w:ascii="Cambria" w:eastAsia="Times New Roman" w:hAnsi="Cambria" w:cs="Calibri"/>
                <w:lang w:val="hr-HR"/>
              </w:rPr>
            </w:pPr>
            <w:r w:rsidRPr="00DF4CE5">
              <w:rPr>
                <w:rFonts w:ascii="Cambria" w:eastAsia="Times New Roman" w:hAnsi="Cambria" w:cs="Calibri"/>
                <w:lang w:val="hr-HR"/>
              </w:rPr>
              <w:t xml:space="preserve">1. </w:t>
            </w:r>
            <w:r w:rsidRPr="00DF4CE5">
              <w:rPr>
                <w:rFonts w:ascii="Cambria" w:eastAsia="Times New Roman" w:hAnsi="Cambria" w:cs="Times New Roman"/>
                <w:lang w:val="hr-HR"/>
              </w:rPr>
              <w:t>– 4.</w:t>
            </w:r>
          </w:p>
        </w:tc>
        <w:tc>
          <w:tcPr>
            <w:tcW w:w="78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B38D8C0" w14:textId="44A57B23" w:rsidR="003415F8" w:rsidRPr="00DF4CE5" w:rsidRDefault="003415F8" w:rsidP="00587D5D">
            <w:pPr>
              <w:contextualSpacing/>
              <w:jc w:val="center"/>
              <w:rPr>
                <w:rFonts w:ascii="Cambria" w:eastAsia="Calibri" w:hAnsi="Cambria" w:cs="Calibri"/>
                <w:lang w:val="hr-HR"/>
              </w:rPr>
            </w:pPr>
            <w:r>
              <w:rPr>
                <w:rFonts w:ascii="Cambria" w:eastAsia="Calibri" w:hAnsi="Cambria" w:cs="Calibri"/>
                <w:lang w:val="hr-HR"/>
              </w:rPr>
              <w:t>41</w:t>
            </w:r>
          </w:p>
        </w:tc>
        <w:tc>
          <w:tcPr>
            <w:tcW w:w="95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EE0388F" w14:textId="1383744A" w:rsidR="003415F8" w:rsidRPr="00DF4CE5" w:rsidRDefault="003415F8" w:rsidP="00587D5D">
            <w:pPr>
              <w:contextualSpacing/>
              <w:jc w:val="center"/>
              <w:rPr>
                <w:rFonts w:ascii="Cambria" w:eastAsia="Calibri" w:hAnsi="Cambria" w:cs="Calibri"/>
                <w:lang w:val="hr-HR"/>
              </w:rPr>
            </w:pPr>
            <w:r>
              <w:rPr>
                <w:rFonts w:ascii="Cambria" w:eastAsia="Calibri" w:hAnsi="Cambria" w:cs="Calibri"/>
                <w:lang w:val="hr-HR"/>
              </w:rPr>
              <w:t>1,4</w:t>
            </w:r>
          </w:p>
        </w:tc>
        <w:tc>
          <w:tcPr>
            <w:tcW w:w="132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AE694B4" w14:textId="77777777" w:rsidR="003415F8" w:rsidRPr="00DF4CE5" w:rsidRDefault="003415F8" w:rsidP="00587D5D">
            <w:pPr>
              <w:spacing w:after="0" w:line="240" w:lineRule="auto"/>
              <w:contextualSpacing/>
              <w:jc w:val="center"/>
              <w:rPr>
                <w:rFonts w:ascii="Cambria" w:eastAsia="Times New Roman" w:hAnsi="Cambria" w:cs="Calibri"/>
                <w:lang w:val="hr-HR"/>
              </w:rPr>
            </w:pPr>
            <w:r w:rsidRPr="00DF4CE5">
              <w:rPr>
                <w:rFonts w:ascii="Cambria" w:eastAsia="Times New Roman" w:hAnsi="Cambria" w:cs="Calibri"/>
                <w:lang w:val="hr-HR"/>
              </w:rPr>
              <w:t>30%</w:t>
            </w:r>
          </w:p>
        </w:tc>
      </w:tr>
      <w:tr w:rsidR="003415F8" w:rsidRPr="00DF4CE5" w14:paraId="32611040" w14:textId="77777777" w:rsidTr="00587D5D">
        <w:tc>
          <w:tcPr>
            <w:tcW w:w="2629" w:type="dxa"/>
            <w:vMerge/>
            <w:tcBorders>
              <w:left w:val="single" w:sz="8" w:space="0" w:color="000000"/>
              <w:right w:val="single" w:sz="8" w:space="0" w:color="000000"/>
            </w:tcBorders>
            <w:vAlign w:val="center"/>
            <w:hideMark/>
          </w:tcPr>
          <w:p w14:paraId="11E0ECA9" w14:textId="77777777" w:rsidR="003415F8" w:rsidRPr="00DF4CE5" w:rsidRDefault="003415F8" w:rsidP="00587D5D">
            <w:pPr>
              <w:spacing w:after="0" w:line="240" w:lineRule="auto"/>
              <w:contextualSpacing/>
              <w:jc w:val="both"/>
              <w:rPr>
                <w:rFonts w:ascii="Cambria" w:eastAsia="Times New Roman" w:hAnsi="Cambria" w:cs="Calibri"/>
                <w:lang w:val="hr-HR"/>
              </w:rPr>
            </w:pPr>
          </w:p>
        </w:tc>
        <w:tc>
          <w:tcPr>
            <w:tcW w:w="3686"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CE3CC88" w14:textId="77777777" w:rsidR="003415F8" w:rsidRPr="00DF4CE5" w:rsidRDefault="003415F8" w:rsidP="00587D5D">
            <w:pPr>
              <w:spacing w:after="0" w:line="240" w:lineRule="auto"/>
              <w:contextualSpacing/>
              <w:rPr>
                <w:rFonts w:ascii="Cambria" w:eastAsia="Times New Roman" w:hAnsi="Cambria" w:cs="Calibri"/>
                <w:lang w:val="hr-HR"/>
              </w:rPr>
            </w:pPr>
            <w:proofErr w:type="spellStart"/>
            <w:r w:rsidRPr="00DF4CE5">
              <w:rPr>
                <w:rFonts w:ascii="Cambria" w:eastAsia="Times New Roman" w:hAnsi="Cambria" w:cs="Calibri"/>
              </w:rPr>
              <w:t>ukupno</w:t>
            </w:r>
            <w:proofErr w:type="spellEnd"/>
          </w:p>
        </w:tc>
        <w:tc>
          <w:tcPr>
            <w:tcW w:w="78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A2A8600" w14:textId="3F06A092" w:rsidR="003415F8" w:rsidRPr="00DF4CE5" w:rsidRDefault="003415F8" w:rsidP="00587D5D">
            <w:pPr>
              <w:spacing w:after="0" w:line="240" w:lineRule="auto"/>
              <w:contextualSpacing/>
              <w:jc w:val="center"/>
              <w:rPr>
                <w:rFonts w:ascii="Cambria" w:eastAsia="Times New Roman" w:hAnsi="Cambria" w:cs="Calibri"/>
                <w:lang w:val="hr-HR"/>
              </w:rPr>
            </w:pPr>
            <w:r w:rsidRPr="00DF4CE5">
              <w:rPr>
                <w:rFonts w:ascii="Cambria" w:eastAsia="Times New Roman" w:hAnsi="Cambria" w:cs="Calibri"/>
                <w:lang w:val="hr-HR"/>
              </w:rPr>
              <w:t>1</w:t>
            </w:r>
            <w:r>
              <w:rPr>
                <w:rFonts w:ascii="Cambria" w:eastAsia="Times New Roman" w:hAnsi="Cambria" w:cs="Calibri"/>
                <w:lang w:val="hr-HR"/>
              </w:rPr>
              <w:t>20</w:t>
            </w:r>
          </w:p>
        </w:tc>
        <w:tc>
          <w:tcPr>
            <w:tcW w:w="95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C638CEF" w14:textId="5545FC18" w:rsidR="003415F8" w:rsidRPr="00DF4CE5" w:rsidRDefault="003415F8" w:rsidP="00587D5D">
            <w:pPr>
              <w:spacing w:after="0" w:line="240" w:lineRule="auto"/>
              <w:contextualSpacing/>
              <w:jc w:val="center"/>
              <w:rPr>
                <w:rFonts w:ascii="Cambria" w:eastAsia="Times New Roman" w:hAnsi="Cambria" w:cs="Calibri"/>
                <w:lang w:val="hr-HR"/>
              </w:rPr>
            </w:pPr>
            <w:r>
              <w:rPr>
                <w:rFonts w:ascii="Cambria" w:eastAsia="Times New Roman" w:hAnsi="Cambria" w:cs="Calibri"/>
                <w:lang w:val="hr-HR"/>
              </w:rPr>
              <w:t>4</w:t>
            </w:r>
          </w:p>
        </w:tc>
        <w:tc>
          <w:tcPr>
            <w:tcW w:w="132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2228BFB" w14:textId="77777777" w:rsidR="003415F8" w:rsidRPr="00DF4CE5" w:rsidRDefault="003415F8" w:rsidP="00587D5D">
            <w:pPr>
              <w:spacing w:after="0" w:line="240" w:lineRule="auto"/>
              <w:contextualSpacing/>
              <w:jc w:val="center"/>
              <w:rPr>
                <w:rFonts w:ascii="Cambria" w:eastAsia="Times New Roman" w:hAnsi="Cambria" w:cs="Calibri"/>
                <w:lang w:val="hr-HR"/>
              </w:rPr>
            </w:pPr>
            <w:r w:rsidRPr="00DF4CE5">
              <w:rPr>
                <w:rFonts w:ascii="Cambria" w:eastAsia="Times New Roman" w:hAnsi="Cambria" w:cs="Calibri"/>
                <w:lang w:val="hr-HR"/>
              </w:rPr>
              <w:t>100%</w:t>
            </w:r>
          </w:p>
        </w:tc>
      </w:tr>
      <w:tr w:rsidR="003415F8" w:rsidRPr="00DF4CE5" w14:paraId="3BA9F7C1" w14:textId="77777777" w:rsidTr="00587D5D">
        <w:tc>
          <w:tcPr>
            <w:tcW w:w="2629" w:type="dxa"/>
            <w:vMerge/>
            <w:tcBorders>
              <w:left w:val="single" w:sz="8" w:space="0" w:color="000000"/>
              <w:bottom w:val="single" w:sz="8" w:space="0" w:color="000000"/>
              <w:right w:val="single" w:sz="8" w:space="0" w:color="000000"/>
            </w:tcBorders>
            <w:vAlign w:val="center"/>
          </w:tcPr>
          <w:p w14:paraId="50B928A9" w14:textId="77777777" w:rsidR="003415F8" w:rsidRPr="00DF4CE5" w:rsidRDefault="003415F8" w:rsidP="00587D5D">
            <w:pPr>
              <w:spacing w:after="0" w:line="240" w:lineRule="auto"/>
              <w:contextualSpacing/>
              <w:jc w:val="both"/>
              <w:rPr>
                <w:rFonts w:ascii="Cambria" w:eastAsia="Times New Roman" w:hAnsi="Cambria" w:cs="Calibri"/>
                <w:lang w:val="hr-HR"/>
              </w:rPr>
            </w:pPr>
          </w:p>
        </w:tc>
        <w:tc>
          <w:tcPr>
            <w:tcW w:w="6751" w:type="dxa"/>
            <w:gridSpan w:val="7"/>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6A59CB2F" w14:textId="77777777" w:rsidR="003415F8" w:rsidRPr="00DF4CE5" w:rsidRDefault="003415F8" w:rsidP="00587D5D">
            <w:pPr>
              <w:spacing w:after="0" w:line="240" w:lineRule="auto"/>
              <w:contextualSpacing/>
              <w:jc w:val="both"/>
              <w:rPr>
                <w:rFonts w:ascii="Cambria" w:eastAsia="Times New Roman" w:hAnsi="Cambria" w:cs="Calibri"/>
                <w:lang w:val="hr-HR"/>
              </w:rPr>
            </w:pPr>
            <w:r w:rsidRPr="00DF4CE5">
              <w:rPr>
                <w:rFonts w:ascii="Cambria" w:eastAsia="Times New Roman" w:hAnsi="Cambria" w:cs="Calibri"/>
                <w:lang w:val="hr-HR"/>
              </w:rPr>
              <w:t>Dodatna pojašnjenja (kriteriji ocjenjivanja):</w:t>
            </w:r>
          </w:p>
          <w:p w14:paraId="11D4CA94" w14:textId="77777777" w:rsidR="003415F8" w:rsidRPr="00DF4CE5" w:rsidRDefault="003415F8" w:rsidP="00587D5D">
            <w:pPr>
              <w:spacing w:after="0" w:line="240" w:lineRule="auto"/>
              <w:contextualSpacing/>
              <w:jc w:val="both"/>
              <w:rPr>
                <w:rFonts w:ascii="Cambria" w:eastAsia="Times New Roman" w:hAnsi="Cambria" w:cs="Calibri"/>
                <w:lang w:val="hr-HR"/>
              </w:rPr>
            </w:pPr>
            <w:r w:rsidRPr="00DF4CE5">
              <w:rPr>
                <w:rFonts w:ascii="Cambria" w:eastAsia="Times New Roman" w:hAnsi="Cambria" w:cs="Calibri"/>
                <w:lang w:val="hr-HR"/>
              </w:rPr>
              <w:t xml:space="preserve">Pohađanje nastave je obvezno. Tolerira se 30% izostanaka i njih nije potrebno opravdati. Studenti svakog tjedna su dužni izraditi samostalne zadatke te prezentirati ih na sljedećem susretu. U semestru se pišu dva kolokvija (poznavanje pravopisnih normi hrvatskog jezika i gramatika koja je sadržaj rada u primarnom obrazovanju)  Na kraju semestra pristupa se završnome ispitu (pismenome). U konačnu ocjenu ulaze ocjena seminarskoga rada, vježbi, kolokvija  te aktivnost na nastavi koja uključuje analizu samostalnih zadataka. </w:t>
            </w:r>
          </w:p>
          <w:p w14:paraId="2B6C56F3" w14:textId="77777777" w:rsidR="003415F8" w:rsidRPr="00DF4CE5" w:rsidRDefault="003415F8" w:rsidP="00587D5D">
            <w:pPr>
              <w:spacing w:after="0" w:line="240" w:lineRule="auto"/>
              <w:contextualSpacing/>
              <w:jc w:val="both"/>
              <w:rPr>
                <w:rFonts w:ascii="Cambria" w:eastAsia="Times New Roman" w:hAnsi="Cambria" w:cs="Calibri"/>
                <w:lang w:val="hr-HR"/>
              </w:rPr>
            </w:pPr>
            <w:r w:rsidRPr="00DF4CE5">
              <w:rPr>
                <w:rFonts w:ascii="Cambria" w:eastAsia="Times New Roman" w:hAnsi="Cambria" w:cs="Calibri"/>
                <w:lang w:val="hr-HR"/>
              </w:rPr>
              <w:t xml:space="preserve">Sudjelovanje u nastavi ocjenjuje se na sljedeći način: </w:t>
            </w:r>
          </w:p>
          <w:p w14:paraId="7650712E" w14:textId="77777777" w:rsidR="003415F8" w:rsidRPr="00DF4CE5" w:rsidRDefault="003415F8" w:rsidP="00587D5D">
            <w:pPr>
              <w:spacing w:after="0" w:line="240" w:lineRule="auto"/>
              <w:contextualSpacing/>
              <w:jc w:val="both"/>
              <w:rPr>
                <w:rFonts w:ascii="Cambria" w:eastAsia="Times New Roman" w:hAnsi="Cambria" w:cs="Calibri"/>
                <w:lang w:val="hr-HR"/>
              </w:rPr>
            </w:pPr>
            <w:r w:rsidRPr="00DF4CE5">
              <w:rPr>
                <w:rFonts w:ascii="Cambria" w:eastAsia="Times New Roman" w:hAnsi="Cambria" w:cs="Calibri"/>
                <w:lang w:val="hr-HR"/>
              </w:rPr>
              <w:t xml:space="preserve">0% = Ne dolazi na nastavu. </w:t>
            </w:r>
          </w:p>
          <w:p w14:paraId="0712E7CD" w14:textId="77777777" w:rsidR="003415F8" w:rsidRPr="00DF4CE5" w:rsidRDefault="003415F8" w:rsidP="00587D5D">
            <w:pPr>
              <w:spacing w:after="0" w:line="240" w:lineRule="auto"/>
              <w:contextualSpacing/>
              <w:jc w:val="both"/>
              <w:rPr>
                <w:rFonts w:ascii="Cambria" w:eastAsia="Times New Roman" w:hAnsi="Cambria" w:cs="Calibri"/>
                <w:lang w:val="hr-HR"/>
              </w:rPr>
            </w:pPr>
            <w:r w:rsidRPr="00DF4CE5">
              <w:rPr>
                <w:rFonts w:ascii="Cambria" w:eastAsia="Times New Roman" w:hAnsi="Cambria" w:cs="Calibri"/>
                <w:lang w:val="hr-HR"/>
              </w:rPr>
              <w:t xml:space="preserve">4% = Prisustvuje nastavi, no ne sudjeluje u radu, tj. samostalni zadaci nisu napisane više od 3 puta. </w:t>
            </w:r>
          </w:p>
          <w:p w14:paraId="7B536123" w14:textId="77777777" w:rsidR="003415F8" w:rsidRPr="00DF4CE5" w:rsidRDefault="003415F8" w:rsidP="00587D5D">
            <w:pPr>
              <w:spacing w:after="0" w:line="240" w:lineRule="auto"/>
              <w:contextualSpacing/>
              <w:jc w:val="both"/>
              <w:rPr>
                <w:rFonts w:ascii="Cambria" w:eastAsia="Times New Roman" w:hAnsi="Cambria" w:cs="Calibri"/>
                <w:lang w:val="hr-HR"/>
              </w:rPr>
            </w:pPr>
            <w:r w:rsidRPr="00DF4CE5">
              <w:rPr>
                <w:rFonts w:ascii="Cambria" w:eastAsia="Times New Roman" w:hAnsi="Cambria" w:cs="Calibri"/>
                <w:lang w:val="hr-HR"/>
              </w:rPr>
              <w:t xml:space="preserve">8% = Pripremljen/-na je, no samostalni zadaci su nepotpuni − uz veće nedostatke (samostalni zadaci redovito s pogreškama, više od 3 puta).  12% = Pripremljen/-na je, no samostalni zadaci su nepotpuni − uz manje nedostatke (samostalni zadaci s tek ponekim pogreškama).  </w:t>
            </w:r>
          </w:p>
          <w:p w14:paraId="48C2685C" w14:textId="77777777" w:rsidR="003415F8" w:rsidRPr="00DF4CE5" w:rsidRDefault="003415F8" w:rsidP="00587D5D">
            <w:pPr>
              <w:spacing w:after="0" w:line="240" w:lineRule="auto"/>
              <w:contextualSpacing/>
              <w:jc w:val="both"/>
              <w:rPr>
                <w:rFonts w:ascii="Cambria" w:eastAsia="Times New Roman" w:hAnsi="Cambria" w:cs="Calibri"/>
                <w:lang w:val="hr-HR"/>
              </w:rPr>
            </w:pPr>
            <w:r w:rsidRPr="00DF4CE5">
              <w:rPr>
                <w:rFonts w:ascii="Cambria" w:eastAsia="Times New Roman" w:hAnsi="Cambria" w:cs="Calibri"/>
                <w:lang w:val="hr-HR"/>
              </w:rPr>
              <w:t xml:space="preserve">16% = Redovito je pripremljen/-na, samostalni zadaci su korektni, dobrovoljno sudjeluje u nastavnome procesu. </w:t>
            </w:r>
          </w:p>
          <w:p w14:paraId="652A79F2" w14:textId="77777777" w:rsidR="003415F8" w:rsidRPr="00DF4CE5" w:rsidRDefault="003415F8" w:rsidP="00587D5D">
            <w:pPr>
              <w:spacing w:after="0" w:line="240" w:lineRule="auto"/>
              <w:contextualSpacing/>
              <w:jc w:val="both"/>
              <w:rPr>
                <w:rFonts w:ascii="Cambria" w:eastAsia="Times New Roman" w:hAnsi="Cambria" w:cs="Calibri"/>
                <w:lang w:val="hr-HR"/>
              </w:rPr>
            </w:pPr>
            <w:r w:rsidRPr="00DF4CE5">
              <w:rPr>
                <w:rFonts w:ascii="Cambria" w:eastAsia="Times New Roman" w:hAnsi="Cambria" w:cs="Calibri"/>
                <w:lang w:val="hr-HR"/>
              </w:rPr>
              <w:t xml:space="preserve">20% = Student/studentica pokazuje visok stupanj zainteresiranosti za kolegij, uvijek je pripremljen/-na; postavlja pitanja i problematizira teme vezane i važne za kolegij, donosi dodatne materijale  koji su vezani uz temu koja se obrađuje.  </w:t>
            </w:r>
          </w:p>
          <w:p w14:paraId="299521AA" w14:textId="77777777" w:rsidR="003415F8" w:rsidRPr="00DF4CE5" w:rsidRDefault="003415F8" w:rsidP="00587D5D">
            <w:pPr>
              <w:spacing w:after="0" w:line="240" w:lineRule="auto"/>
              <w:contextualSpacing/>
              <w:jc w:val="both"/>
              <w:rPr>
                <w:rFonts w:ascii="Cambria" w:eastAsia="Times New Roman" w:hAnsi="Cambria" w:cs="Calibri"/>
                <w:lang w:val="hr-HR"/>
              </w:rPr>
            </w:pPr>
            <w:r w:rsidRPr="00DF4CE5">
              <w:rPr>
                <w:rFonts w:ascii="Cambria" w:eastAsia="Times New Roman" w:hAnsi="Cambria" w:cs="Calibri"/>
                <w:lang w:val="hr-HR"/>
              </w:rPr>
              <w:t xml:space="preserve">Seminarski rad/vježbe ocjenjuje se ovako: </w:t>
            </w:r>
          </w:p>
          <w:p w14:paraId="59394E0C" w14:textId="77777777" w:rsidR="003415F8" w:rsidRPr="00DF4CE5" w:rsidRDefault="003415F8" w:rsidP="00587D5D">
            <w:pPr>
              <w:spacing w:after="0" w:line="240" w:lineRule="auto"/>
              <w:contextualSpacing/>
              <w:jc w:val="both"/>
              <w:rPr>
                <w:rFonts w:ascii="Cambria" w:eastAsia="Times New Roman" w:hAnsi="Cambria" w:cs="Calibri"/>
                <w:lang w:val="hr-HR"/>
              </w:rPr>
            </w:pPr>
            <w:r w:rsidRPr="00DF4CE5">
              <w:rPr>
                <w:rFonts w:ascii="Cambria" w:eastAsia="Times New Roman" w:hAnsi="Cambria" w:cs="Calibri"/>
                <w:lang w:val="hr-HR"/>
              </w:rPr>
              <w:t xml:space="preserve">0% = Seminar je napisan  ali  sadrži puno gramatičkih i pravopisnih pogrešaka, sadržaj seminara nije u vezi sa naslovom seminara. </w:t>
            </w:r>
          </w:p>
          <w:p w14:paraId="067413A8" w14:textId="77777777" w:rsidR="003415F8" w:rsidRPr="00DF4CE5" w:rsidRDefault="003415F8" w:rsidP="00587D5D">
            <w:pPr>
              <w:spacing w:after="0" w:line="240" w:lineRule="auto"/>
              <w:contextualSpacing/>
              <w:jc w:val="both"/>
              <w:rPr>
                <w:rFonts w:ascii="Cambria" w:eastAsia="Times New Roman" w:hAnsi="Cambria" w:cs="Calibri"/>
                <w:lang w:val="hr-HR"/>
              </w:rPr>
            </w:pPr>
            <w:r w:rsidRPr="00DF4CE5">
              <w:rPr>
                <w:rFonts w:ascii="Cambria" w:eastAsia="Times New Roman" w:hAnsi="Cambria" w:cs="Calibri"/>
                <w:lang w:val="hr-HR"/>
              </w:rPr>
              <w:t xml:space="preserve">4% = Seminar je  nepotpun − uz veće sadržajne nedostatke. Korišteno je manje od tri izvora podataka (literature, Internet izvori).  </w:t>
            </w:r>
          </w:p>
          <w:p w14:paraId="2E22B9B9" w14:textId="77777777" w:rsidR="003415F8" w:rsidRPr="00DF4CE5" w:rsidRDefault="003415F8" w:rsidP="00587D5D">
            <w:pPr>
              <w:spacing w:after="0" w:line="240" w:lineRule="auto"/>
              <w:contextualSpacing/>
              <w:jc w:val="both"/>
              <w:rPr>
                <w:rFonts w:ascii="Cambria" w:eastAsia="Times New Roman" w:hAnsi="Cambria" w:cs="Calibri"/>
                <w:lang w:val="hr-HR"/>
              </w:rPr>
            </w:pPr>
            <w:r w:rsidRPr="00DF4CE5">
              <w:rPr>
                <w:rFonts w:ascii="Cambria" w:eastAsia="Times New Roman" w:hAnsi="Cambria" w:cs="Calibri"/>
                <w:lang w:val="hr-HR"/>
              </w:rPr>
              <w:t xml:space="preserve">8%= Seminar je nepotpun  - uz manje sadržajne nedostatke. Korišteno je manje od pet  izvora podataka (literatura, Internet izvori) </w:t>
            </w:r>
          </w:p>
          <w:p w14:paraId="053BAFB3" w14:textId="77777777" w:rsidR="003415F8" w:rsidRPr="00DF4CE5" w:rsidRDefault="003415F8" w:rsidP="00587D5D">
            <w:pPr>
              <w:spacing w:after="0" w:line="240" w:lineRule="auto"/>
              <w:contextualSpacing/>
              <w:jc w:val="both"/>
              <w:rPr>
                <w:rFonts w:ascii="Cambria" w:eastAsia="Times New Roman" w:hAnsi="Cambria" w:cs="Calibri"/>
                <w:lang w:val="hr-HR"/>
              </w:rPr>
            </w:pPr>
            <w:r w:rsidRPr="00DF4CE5">
              <w:rPr>
                <w:rFonts w:ascii="Cambria" w:eastAsia="Times New Roman" w:hAnsi="Cambria" w:cs="Calibri"/>
                <w:lang w:val="hr-HR"/>
              </w:rPr>
              <w:t>12% = Seminar ima manje sadržajne nedostatke. Korišteno je manje od sedam izvora podataka (</w:t>
            </w:r>
            <w:proofErr w:type="spellStart"/>
            <w:r w:rsidRPr="00DF4CE5">
              <w:rPr>
                <w:rFonts w:ascii="Cambria" w:eastAsia="Times New Roman" w:hAnsi="Cambria" w:cs="Calibri"/>
                <w:lang w:val="hr-HR"/>
              </w:rPr>
              <w:t>literarura</w:t>
            </w:r>
            <w:proofErr w:type="spellEnd"/>
            <w:r w:rsidRPr="00DF4CE5">
              <w:rPr>
                <w:rFonts w:ascii="Cambria" w:eastAsia="Times New Roman" w:hAnsi="Cambria" w:cs="Calibri"/>
                <w:lang w:val="hr-HR"/>
              </w:rPr>
              <w:t xml:space="preserve">, Internet izvori). </w:t>
            </w:r>
          </w:p>
          <w:p w14:paraId="5DD01010" w14:textId="77777777" w:rsidR="003415F8" w:rsidRPr="00DF4CE5" w:rsidRDefault="003415F8" w:rsidP="00587D5D">
            <w:pPr>
              <w:spacing w:after="0" w:line="240" w:lineRule="auto"/>
              <w:contextualSpacing/>
              <w:jc w:val="both"/>
              <w:rPr>
                <w:rFonts w:ascii="Cambria" w:eastAsia="Times New Roman" w:hAnsi="Cambria" w:cs="Calibri"/>
                <w:lang w:val="hr-HR"/>
              </w:rPr>
            </w:pPr>
            <w:r w:rsidRPr="00DF4CE5">
              <w:rPr>
                <w:rFonts w:ascii="Cambria" w:eastAsia="Times New Roman" w:hAnsi="Cambria" w:cs="Calibri"/>
                <w:lang w:val="hr-HR"/>
              </w:rPr>
              <w:t xml:space="preserve">16% = Seminarski rad je  korektno napisan,  potkrijepljen podatcima iz domaće  literature (više od 10) i sve    zajedno čini  sadržajnu cjelinu. </w:t>
            </w:r>
            <w:r w:rsidRPr="00DF4CE5">
              <w:rPr>
                <w:rFonts w:ascii="Cambria" w:eastAsia="Times New Roman" w:hAnsi="Cambria" w:cs="Calibri"/>
                <w:lang w:val="hr-HR"/>
              </w:rPr>
              <w:lastRenderedPageBreak/>
              <w:t xml:space="preserve">20%  = Seminarski rad je  detaljno napisan,  potkrijepljen podatcima iz domaće i stane literature (više od 10) i  sve zajedno čini  sadržajnu cjelinu.  </w:t>
            </w:r>
          </w:p>
          <w:p w14:paraId="12050BD5" w14:textId="77777777" w:rsidR="003415F8" w:rsidRPr="00DF4CE5" w:rsidRDefault="003415F8" w:rsidP="00587D5D">
            <w:pPr>
              <w:spacing w:after="0" w:line="240" w:lineRule="auto"/>
              <w:contextualSpacing/>
              <w:jc w:val="both"/>
              <w:rPr>
                <w:rFonts w:ascii="Cambria" w:eastAsia="Times New Roman" w:hAnsi="Cambria" w:cs="Calibri"/>
                <w:lang w:val="hr-HR"/>
              </w:rPr>
            </w:pPr>
            <w:r w:rsidRPr="00DF4CE5">
              <w:rPr>
                <w:rFonts w:ascii="Cambria" w:eastAsia="Times New Roman" w:hAnsi="Cambria" w:cs="Calibri"/>
                <w:lang w:val="hr-HR"/>
              </w:rPr>
              <w:t>Rad neće biti pozitivno ocijenjen ako se uoče dijelovi teksta koji su doslovno prepisani a nisu citirani, pravopisne i/ili gramatičke pogreške i nakon profesoričinih napomena.  Studenti će na prvome predavanju dobiti primjerak seminarskoga rada koji se smatra uzornim te će se uputiti na slične radove koji su objavljeni u periodici.</w:t>
            </w:r>
          </w:p>
          <w:p w14:paraId="66A3B1EF" w14:textId="77777777" w:rsidR="003415F8" w:rsidRPr="00DF4CE5" w:rsidRDefault="003415F8" w:rsidP="00587D5D">
            <w:pPr>
              <w:spacing w:after="0" w:line="240" w:lineRule="auto"/>
              <w:contextualSpacing/>
              <w:jc w:val="both"/>
              <w:rPr>
                <w:rFonts w:ascii="Cambria" w:eastAsia="Times New Roman" w:hAnsi="Cambria" w:cs="Calibri"/>
                <w:lang w:val="hr-HR"/>
              </w:rPr>
            </w:pPr>
            <w:r w:rsidRPr="00DF4CE5">
              <w:rPr>
                <w:rFonts w:ascii="Cambria" w:eastAsia="Times New Roman" w:hAnsi="Cambria" w:cs="Calibri"/>
                <w:lang w:val="hr-HR"/>
              </w:rPr>
              <w:t xml:space="preserve">Kolokviji   </w:t>
            </w:r>
          </w:p>
          <w:p w14:paraId="30EE0993" w14:textId="77777777" w:rsidR="003415F8" w:rsidRPr="00DF4CE5" w:rsidRDefault="003415F8" w:rsidP="00587D5D">
            <w:pPr>
              <w:spacing w:after="0" w:line="240" w:lineRule="auto"/>
              <w:contextualSpacing/>
              <w:jc w:val="both"/>
              <w:rPr>
                <w:rFonts w:ascii="Cambria" w:eastAsia="Times New Roman" w:hAnsi="Cambria" w:cs="Calibri"/>
                <w:lang w:val="hr-HR"/>
              </w:rPr>
            </w:pPr>
            <w:r w:rsidRPr="00DF4CE5">
              <w:rPr>
                <w:rFonts w:ascii="Cambria" w:eastAsia="Times New Roman" w:hAnsi="Cambria" w:cs="Calibri"/>
                <w:lang w:val="hr-HR"/>
              </w:rPr>
              <w:t xml:space="preserve">Da bi student pristupio završnom pismenom ispitu, oba kolokvija moraju biti pozitivna. S obzirom da se u kolokvijima ispituju sadržaji koji se obrađuju u primarnom obrazovanju, a učitelj (sadašnji studenti) te sadržaje mora prenijeti  učenicima, kolokvij će biti pozitivan ako kandidat ostvari najmanje 70%.   </w:t>
            </w:r>
          </w:p>
          <w:p w14:paraId="36F20786" w14:textId="77777777" w:rsidR="003415F8" w:rsidRPr="00DF4CE5" w:rsidRDefault="003415F8" w:rsidP="00587D5D">
            <w:pPr>
              <w:spacing w:after="0" w:line="240" w:lineRule="auto"/>
              <w:ind w:hanging="41"/>
              <w:contextualSpacing/>
              <w:jc w:val="both"/>
              <w:rPr>
                <w:rFonts w:ascii="Cambria" w:eastAsia="Times New Roman" w:hAnsi="Cambria" w:cs="Calibri"/>
                <w:lang w:val="hr-HR"/>
              </w:rPr>
            </w:pPr>
            <w:r w:rsidRPr="00DF4CE5">
              <w:rPr>
                <w:rFonts w:ascii="Cambria" w:eastAsia="Times New Roman" w:hAnsi="Cambria" w:cs="Calibri"/>
                <w:lang w:val="hr-HR"/>
              </w:rPr>
              <w:t xml:space="preserve">od 70%  do 80%   dobar (3) – 10%  </w:t>
            </w:r>
          </w:p>
          <w:p w14:paraId="7E175F37" w14:textId="77777777" w:rsidR="003415F8" w:rsidRPr="00DF4CE5" w:rsidRDefault="003415F8" w:rsidP="00587D5D">
            <w:pPr>
              <w:spacing w:after="0" w:line="240" w:lineRule="auto"/>
              <w:ind w:hanging="41"/>
              <w:contextualSpacing/>
              <w:jc w:val="both"/>
              <w:rPr>
                <w:rFonts w:ascii="Cambria" w:eastAsia="Times New Roman" w:hAnsi="Cambria" w:cs="Calibri"/>
                <w:lang w:val="hr-HR"/>
              </w:rPr>
            </w:pPr>
            <w:r w:rsidRPr="00DF4CE5">
              <w:rPr>
                <w:rFonts w:ascii="Cambria" w:eastAsia="Times New Roman" w:hAnsi="Cambria" w:cs="Calibri"/>
                <w:lang w:val="hr-HR"/>
              </w:rPr>
              <w:t xml:space="preserve">od 81% do 90%  vrlo dobar (4) – 20%  </w:t>
            </w:r>
          </w:p>
          <w:p w14:paraId="61ACC261" w14:textId="77777777" w:rsidR="003415F8" w:rsidRPr="00DF4CE5" w:rsidRDefault="003415F8" w:rsidP="00587D5D">
            <w:pPr>
              <w:spacing w:after="0" w:line="240" w:lineRule="auto"/>
              <w:ind w:hanging="41"/>
              <w:contextualSpacing/>
              <w:jc w:val="both"/>
              <w:rPr>
                <w:rFonts w:ascii="Cambria" w:eastAsia="Times New Roman" w:hAnsi="Cambria" w:cs="Calibri"/>
                <w:lang w:val="hr-HR"/>
              </w:rPr>
            </w:pPr>
            <w:r w:rsidRPr="00DF4CE5">
              <w:rPr>
                <w:rFonts w:ascii="Cambria" w:eastAsia="Times New Roman" w:hAnsi="Cambria" w:cs="Calibri"/>
                <w:lang w:val="hr-HR"/>
              </w:rPr>
              <w:t xml:space="preserve">više od 91%        odličan (5) – 30%  </w:t>
            </w:r>
          </w:p>
        </w:tc>
      </w:tr>
      <w:tr w:rsidR="003415F8" w:rsidRPr="00D0399C" w14:paraId="1AF8D693" w14:textId="77777777" w:rsidTr="00587D5D">
        <w:tc>
          <w:tcPr>
            <w:tcW w:w="26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2926BE7" w14:textId="77777777" w:rsidR="003415F8" w:rsidRPr="00DF4CE5" w:rsidRDefault="003415F8" w:rsidP="00587D5D">
            <w:pPr>
              <w:spacing w:after="0" w:line="240" w:lineRule="auto"/>
              <w:contextualSpacing/>
              <w:jc w:val="both"/>
              <w:rPr>
                <w:rFonts w:ascii="Cambria" w:eastAsia="Times New Roman" w:hAnsi="Cambria" w:cs="Calibri"/>
                <w:lang w:val="hr-HR"/>
              </w:rPr>
            </w:pPr>
            <w:r w:rsidRPr="00DF4CE5">
              <w:rPr>
                <w:rFonts w:ascii="Cambria" w:eastAsia="Times New Roman" w:hAnsi="Cambria" w:cs="Calibri"/>
                <w:lang w:val="hr-HR"/>
              </w:rPr>
              <w:lastRenderedPageBreak/>
              <w:t>Studentske obveze</w:t>
            </w:r>
          </w:p>
        </w:tc>
        <w:tc>
          <w:tcPr>
            <w:tcW w:w="6751"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64226A7" w14:textId="77777777" w:rsidR="003415F8" w:rsidRPr="00DF4CE5" w:rsidRDefault="003415F8" w:rsidP="00587D5D">
            <w:pPr>
              <w:spacing w:after="0" w:line="240" w:lineRule="auto"/>
              <w:contextualSpacing/>
              <w:jc w:val="both"/>
              <w:rPr>
                <w:rFonts w:ascii="Cambria" w:eastAsia="Times New Roman" w:hAnsi="Cambria" w:cs="Calibri"/>
                <w:lang w:val="hr-HR"/>
              </w:rPr>
            </w:pPr>
            <w:r w:rsidRPr="00DF4CE5">
              <w:rPr>
                <w:rFonts w:ascii="Cambria" w:eastAsia="Times New Roman" w:hAnsi="Cambria" w:cs="Calibri"/>
                <w:lang w:val="hr-HR"/>
              </w:rPr>
              <w:t>Da položi kolegij, student/studentica mora:</w:t>
            </w:r>
          </w:p>
          <w:p w14:paraId="72D1B52D" w14:textId="77777777" w:rsidR="003415F8" w:rsidRDefault="003415F8" w:rsidP="00587D5D">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1.</w:t>
            </w:r>
            <w:r>
              <w:rPr>
                <w:rFonts w:ascii="Cambria" w:eastAsia="Times New Roman" w:hAnsi="Cambria" w:cs="Calibri"/>
                <w:lang w:val="hr-HR"/>
              </w:rPr>
              <w:t xml:space="preserve"> </w:t>
            </w:r>
            <w:r w:rsidRPr="00DF4CE5">
              <w:rPr>
                <w:rFonts w:ascii="Cambria" w:eastAsia="Times New Roman" w:hAnsi="Cambria" w:cs="Calibri"/>
                <w:lang w:val="hr-HR"/>
              </w:rPr>
              <w:t>aktivno sudjelovati na predavanjima i vježbama (mogući izostanak iznosi 30 % ukupne satnice)</w:t>
            </w:r>
          </w:p>
          <w:p w14:paraId="72206E63" w14:textId="77777777" w:rsidR="003415F8" w:rsidRDefault="003415F8" w:rsidP="00587D5D">
            <w:pPr>
              <w:spacing w:after="0" w:line="240" w:lineRule="auto"/>
              <w:jc w:val="both"/>
              <w:rPr>
                <w:rFonts w:ascii="Cambria" w:eastAsia="Times New Roman" w:hAnsi="Cambria" w:cs="Calibri"/>
                <w:lang w:val="hr-HR"/>
              </w:rPr>
            </w:pPr>
            <w:r>
              <w:rPr>
                <w:rFonts w:ascii="Cambria" w:eastAsia="Times New Roman" w:hAnsi="Cambria" w:cs="Calibri"/>
                <w:lang w:val="hr-HR"/>
              </w:rPr>
              <w:t>2. napisati i predati seminarski rad i vježbe</w:t>
            </w:r>
          </w:p>
          <w:p w14:paraId="6137D3A9" w14:textId="77777777" w:rsidR="003415F8" w:rsidRDefault="003415F8" w:rsidP="00587D5D">
            <w:pPr>
              <w:spacing w:after="0" w:line="240" w:lineRule="auto"/>
              <w:jc w:val="both"/>
              <w:rPr>
                <w:rFonts w:ascii="Cambria" w:eastAsia="Times New Roman" w:hAnsi="Cambria" w:cs="Calibri"/>
                <w:lang w:val="hr-HR"/>
              </w:rPr>
            </w:pPr>
            <w:r>
              <w:rPr>
                <w:rFonts w:ascii="Cambria" w:eastAsia="Times New Roman" w:hAnsi="Cambria" w:cs="Calibri"/>
                <w:lang w:val="hr-HR"/>
              </w:rPr>
              <w:t>3. položiti kolokvij</w:t>
            </w:r>
          </w:p>
          <w:p w14:paraId="35BFD270" w14:textId="77777777" w:rsidR="003415F8" w:rsidRPr="00DF4CE5" w:rsidRDefault="003415F8" w:rsidP="00587D5D">
            <w:pPr>
              <w:spacing w:after="0" w:line="240" w:lineRule="auto"/>
              <w:jc w:val="both"/>
              <w:rPr>
                <w:rFonts w:ascii="Cambria" w:eastAsia="Times New Roman" w:hAnsi="Cambria" w:cs="Calibri"/>
                <w:lang w:val="hr-HR"/>
              </w:rPr>
            </w:pPr>
            <w:r>
              <w:rPr>
                <w:rFonts w:ascii="Cambria" w:eastAsia="Times New Roman" w:hAnsi="Cambria" w:cs="Calibri"/>
                <w:lang w:val="hr-HR"/>
              </w:rPr>
              <w:t xml:space="preserve">4. položiti završni ispit. </w:t>
            </w:r>
          </w:p>
        </w:tc>
      </w:tr>
      <w:tr w:rsidR="003415F8" w:rsidRPr="00D0399C" w14:paraId="56C086D3" w14:textId="77777777" w:rsidTr="00587D5D">
        <w:tc>
          <w:tcPr>
            <w:tcW w:w="26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74C8E9B" w14:textId="77777777" w:rsidR="003415F8" w:rsidRPr="00DF4CE5" w:rsidRDefault="003415F8" w:rsidP="00587D5D">
            <w:pPr>
              <w:spacing w:after="0" w:line="240" w:lineRule="auto"/>
              <w:contextualSpacing/>
              <w:jc w:val="both"/>
              <w:rPr>
                <w:rFonts w:ascii="Cambria" w:eastAsia="Times New Roman" w:hAnsi="Cambria" w:cs="Calibri"/>
                <w:lang w:val="hr-HR"/>
              </w:rPr>
            </w:pPr>
            <w:proofErr w:type="spellStart"/>
            <w:r w:rsidRPr="00DF4CE5">
              <w:rPr>
                <w:rFonts w:ascii="Cambria" w:eastAsia="Times New Roman" w:hAnsi="Cambria" w:cs="Calibri"/>
              </w:rPr>
              <w:t>Rokovi</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ispita</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i</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kolokvija</w:t>
            </w:r>
            <w:proofErr w:type="spellEnd"/>
          </w:p>
        </w:tc>
        <w:tc>
          <w:tcPr>
            <w:tcW w:w="6751"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F07BBE8" w14:textId="77777777" w:rsidR="003415F8" w:rsidRPr="00DF4CE5" w:rsidRDefault="003415F8" w:rsidP="00587D5D">
            <w:pPr>
              <w:spacing w:after="0" w:line="240" w:lineRule="auto"/>
              <w:contextualSpacing/>
              <w:jc w:val="both"/>
              <w:rPr>
                <w:rFonts w:ascii="Cambria" w:eastAsia="Times New Roman" w:hAnsi="Cambria" w:cs="Calibri"/>
                <w:lang w:val="hr-HR"/>
              </w:rPr>
            </w:pPr>
            <w:r w:rsidRPr="00DF4CE5">
              <w:rPr>
                <w:rFonts w:ascii="Cambria" w:eastAsia="Times New Roman" w:hAnsi="Cambria" w:cs="Calibri"/>
                <w:lang w:val="hr-HR"/>
              </w:rPr>
              <w:t xml:space="preserve">Oglašeni su na mrežnim stranicama Fakulteta te na </w:t>
            </w:r>
            <w:proofErr w:type="spellStart"/>
            <w:r w:rsidRPr="00DF4CE5">
              <w:rPr>
                <w:rFonts w:ascii="Cambria" w:eastAsia="Times New Roman" w:hAnsi="Cambria" w:cs="Calibri"/>
                <w:lang w:val="hr-HR"/>
              </w:rPr>
              <w:t>Studomatu</w:t>
            </w:r>
            <w:proofErr w:type="spellEnd"/>
            <w:r w:rsidRPr="00DF4CE5">
              <w:rPr>
                <w:rFonts w:ascii="Cambria" w:eastAsia="Times New Roman" w:hAnsi="Cambria" w:cs="Calibri"/>
                <w:lang w:val="hr-HR"/>
              </w:rPr>
              <w:t>.</w:t>
            </w:r>
          </w:p>
        </w:tc>
      </w:tr>
      <w:tr w:rsidR="003415F8" w:rsidRPr="00B17183" w14:paraId="25B2E42D" w14:textId="77777777" w:rsidTr="00587D5D">
        <w:tc>
          <w:tcPr>
            <w:tcW w:w="26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3013ACC" w14:textId="77777777" w:rsidR="003415F8" w:rsidRPr="00DF4CE5" w:rsidRDefault="003415F8" w:rsidP="00587D5D">
            <w:pPr>
              <w:spacing w:after="0" w:line="240" w:lineRule="auto"/>
              <w:contextualSpacing/>
              <w:rPr>
                <w:rFonts w:ascii="Cambria" w:eastAsia="Times New Roman" w:hAnsi="Cambria" w:cs="Calibri"/>
                <w:lang w:val="hr-HR"/>
              </w:rPr>
            </w:pPr>
            <w:r w:rsidRPr="00DF4CE5">
              <w:rPr>
                <w:rFonts w:ascii="Cambria" w:eastAsia="Times New Roman" w:hAnsi="Cambria" w:cs="Calibri"/>
                <w:lang w:val="hr-HR"/>
              </w:rPr>
              <w:t>Ostale važne činjenice vezane uz kolegij</w:t>
            </w:r>
          </w:p>
        </w:tc>
        <w:tc>
          <w:tcPr>
            <w:tcW w:w="6751"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1397E66" w14:textId="77777777" w:rsidR="003415F8" w:rsidRPr="00DF4CE5" w:rsidRDefault="003415F8" w:rsidP="00587D5D">
            <w:pPr>
              <w:spacing w:after="0" w:line="240" w:lineRule="auto"/>
              <w:contextualSpacing/>
              <w:jc w:val="both"/>
              <w:rPr>
                <w:rFonts w:ascii="Cambria" w:eastAsia="Times New Roman" w:hAnsi="Cambria" w:cs="Calibri"/>
                <w:lang w:val="hr-HR"/>
              </w:rPr>
            </w:pPr>
            <w:r w:rsidRPr="00DF4CE5">
              <w:rPr>
                <w:rFonts w:ascii="Cambria" w:eastAsia="Times New Roman" w:hAnsi="Cambria" w:cs="Calibri"/>
                <w:lang w:val="hr-HR"/>
              </w:rPr>
              <w:t>U slučaju održavanja nastave na daljinu, moguće je odstupanje u: mjestu izvođenja kolegija, provedbi aktivnosti, metoda tumačenja i poučavanja i načinima vrednovanja, studentskim obvezama i dostupnoj literaturi. O tome će nositelj</w:t>
            </w:r>
            <w:r>
              <w:rPr>
                <w:rFonts w:ascii="Cambria" w:eastAsia="Times New Roman" w:hAnsi="Cambria" w:cs="Calibri"/>
                <w:lang w:val="hr-HR"/>
              </w:rPr>
              <w:t xml:space="preserve"> i suradnica</w:t>
            </w:r>
            <w:r w:rsidRPr="00DF4CE5">
              <w:rPr>
                <w:rFonts w:ascii="Cambria" w:eastAsia="Times New Roman" w:hAnsi="Cambria" w:cs="Calibri"/>
                <w:lang w:val="hr-HR"/>
              </w:rPr>
              <w:t xml:space="preserve"> kolegija i </w:t>
            </w:r>
            <w:r>
              <w:rPr>
                <w:rFonts w:ascii="Cambria" w:eastAsia="Times New Roman" w:hAnsi="Cambria" w:cs="Calibri"/>
                <w:lang w:val="hr-HR"/>
              </w:rPr>
              <w:t xml:space="preserve">suradnica </w:t>
            </w:r>
            <w:r w:rsidRPr="00DF4CE5">
              <w:rPr>
                <w:rFonts w:ascii="Cambria" w:eastAsia="Times New Roman" w:hAnsi="Cambria" w:cs="Calibri"/>
                <w:lang w:val="hr-HR"/>
              </w:rPr>
              <w:t>obavijestiti studente i studentice kad se nastava na daljinu počne održavati. Ishodi učenja ostaju nepromijenjeni.</w:t>
            </w:r>
          </w:p>
        </w:tc>
      </w:tr>
      <w:tr w:rsidR="003415F8" w:rsidRPr="00D0399C" w14:paraId="67D17667" w14:textId="77777777" w:rsidTr="00587D5D">
        <w:tc>
          <w:tcPr>
            <w:tcW w:w="26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AE85302" w14:textId="77777777" w:rsidR="003415F8" w:rsidRPr="00DF4CE5" w:rsidRDefault="003415F8" w:rsidP="00587D5D">
            <w:pPr>
              <w:spacing w:after="0" w:line="240" w:lineRule="auto"/>
              <w:contextualSpacing/>
              <w:rPr>
                <w:rFonts w:ascii="Cambria" w:eastAsia="Times New Roman" w:hAnsi="Cambria" w:cs="Calibri"/>
                <w:lang w:val="hr-HR"/>
              </w:rPr>
            </w:pPr>
            <w:r>
              <w:rPr>
                <w:rFonts w:ascii="Cambria" w:eastAsia="Times New Roman" w:hAnsi="Cambria" w:cs="Calibri"/>
                <w:lang w:val="hr-HR"/>
              </w:rPr>
              <w:t>Literatura</w:t>
            </w:r>
          </w:p>
        </w:tc>
        <w:tc>
          <w:tcPr>
            <w:tcW w:w="6751"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DC56A91" w14:textId="77777777" w:rsidR="003415F8" w:rsidRPr="00B17183" w:rsidRDefault="003415F8" w:rsidP="00587D5D">
            <w:pPr>
              <w:spacing w:after="0" w:line="240" w:lineRule="auto"/>
              <w:contextualSpacing/>
              <w:jc w:val="both"/>
              <w:rPr>
                <w:rFonts w:ascii="Cambria" w:eastAsia="Times New Roman" w:hAnsi="Cambria" w:cs="Calibri"/>
                <w:lang w:val="hr-HR"/>
              </w:rPr>
            </w:pPr>
            <w:r w:rsidRPr="00B17183">
              <w:rPr>
                <w:rFonts w:ascii="Cambria" w:eastAsia="Times New Roman" w:hAnsi="Cambria" w:cs="Calibri"/>
                <w:lang w:val="hr-HR"/>
              </w:rPr>
              <w:t xml:space="preserve">Obvezna: </w:t>
            </w:r>
          </w:p>
          <w:p w14:paraId="3995F34D" w14:textId="77777777" w:rsidR="003415F8" w:rsidRPr="00B17183" w:rsidRDefault="003415F8" w:rsidP="00587D5D">
            <w:pPr>
              <w:spacing w:after="0" w:line="240" w:lineRule="auto"/>
              <w:contextualSpacing/>
              <w:jc w:val="both"/>
              <w:rPr>
                <w:rFonts w:ascii="Cambria" w:eastAsia="Times New Roman" w:hAnsi="Cambria" w:cs="Calibri"/>
                <w:lang w:val="hr-HR"/>
              </w:rPr>
            </w:pPr>
            <w:r w:rsidRPr="00B17183">
              <w:rPr>
                <w:rFonts w:ascii="Cambria" w:eastAsia="Times New Roman" w:hAnsi="Cambria" w:cs="Calibri"/>
                <w:lang w:val="hr-HR"/>
              </w:rPr>
              <w:t xml:space="preserve">1. Bežen, A., (2008). Metodika - znanost o poučavanju nastavnog predmeta, Učiteljski fakultet - Profil, Zagreb </w:t>
            </w:r>
          </w:p>
          <w:p w14:paraId="48A39468" w14:textId="77777777" w:rsidR="003415F8" w:rsidRPr="00B17183" w:rsidRDefault="003415F8" w:rsidP="00587D5D">
            <w:pPr>
              <w:spacing w:after="0" w:line="240" w:lineRule="auto"/>
              <w:contextualSpacing/>
              <w:jc w:val="both"/>
              <w:rPr>
                <w:rFonts w:ascii="Cambria" w:eastAsia="Times New Roman" w:hAnsi="Cambria" w:cs="Calibri"/>
                <w:lang w:val="hr-HR"/>
              </w:rPr>
            </w:pPr>
            <w:r w:rsidRPr="00B17183">
              <w:rPr>
                <w:rFonts w:ascii="Cambria" w:eastAsia="Times New Roman" w:hAnsi="Cambria" w:cs="Calibri"/>
                <w:lang w:val="hr-HR"/>
              </w:rPr>
              <w:t>2. Rosandić, D., (2005). Metodika književnog odgoja i obrazovanja, Zagreb, Školska knjiga</w:t>
            </w:r>
          </w:p>
          <w:p w14:paraId="468145E7" w14:textId="77777777" w:rsidR="003415F8" w:rsidRPr="00B17183" w:rsidRDefault="003415F8" w:rsidP="00587D5D">
            <w:pPr>
              <w:spacing w:after="0" w:line="240" w:lineRule="auto"/>
              <w:contextualSpacing/>
              <w:jc w:val="both"/>
              <w:rPr>
                <w:rFonts w:ascii="Cambria" w:eastAsia="Times New Roman" w:hAnsi="Cambria" w:cs="Calibri"/>
                <w:lang w:val="hr-HR"/>
              </w:rPr>
            </w:pPr>
            <w:r w:rsidRPr="00B17183">
              <w:rPr>
                <w:rFonts w:ascii="Cambria" w:eastAsia="Times New Roman" w:hAnsi="Cambria" w:cs="Calibri"/>
                <w:lang w:val="hr-HR"/>
              </w:rPr>
              <w:t>3. Rosandić, D., (1993). Novi metodički obzori: Prinosi metodici hrvatskog jezika i književnosti, Zagreb, Školske novine</w:t>
            </w:r>
          </w:p>
          <w:p w14:paraId="68638CE0" w14:textId="77777777" w:rsidR="003415F8" w:rsidRPr="00B17183" w:rsidRDefault="003415F8" w:rsidP="00587D5D">
            <w:pPr>
              <w:spacing w:after="0" w:line="240" w:lineRule="auto"/>
              <w:contextualSpacing/>
              <w:jc w:val="both"/>
              <w:rPr>
                <w:rFonts w:ascii="Cambria" w:eastAsia="Times New Roman" w:hAnsi="Cambria" w:cs="Calibri"/>
                <w:lang w:val="hr-HR"/>
              </w:rPr>
            </w:pPr>
            <w:r w:rsidRPr="00B17183">
              <w:rPr>
                <w:rFonts w:ascii="Cambria" w:eastAsia="Times New Roman" w:hAnsi="Cambria" w:cs="Calibri"/>
                <w:lang w:val="hr-HR"/>
              </w:rPr>
              <w:t>5.  Težak, S., (1996). Teorija i praksa nastave hrvatskoga jezika 1 i 2, Školska knjiga, Zagreb</w:t>
            </w:r>
          </w:p>
          <w:p w14:paraId="4E206509" w14:textId="77777777" w:rsidR="003415F8" w:rsidRPr="00B17183" w:rsidRDefault="003415F8" w:rsidP="00587D5D">
            <w:pPr>
              <w:spacing w:after="0" w:line="240" w:lineRule="auto"/>
              <w:contextualSpacing/>
              <w:rPr>
                <w:rFonts w:ascii="Cambria" w:eastAsia="Times New Roman" w:hAnsi="Cambria" w:cs="Calibri"/>
                <w:lang w:val="hr-HR"/>
              </w:rPr>
            </w:pPr>
            <w:r w:rsidRPr="00B17183">
              <w:rPr>
                <w:rFonts w:ascii="Cambria" w:eastAsia="Times New Roman" w:hAnsi="Cambria" w:cs="Calibri"/>
                <w:lang w:val="hr-HR"/>
              </w:rPr>
              <w:t>6. Udžbenička literatura i nastavni programi za više razrede osnovne škole i srednju školu. Popis na:  http://public.mzos.hr/Default.aspx?sec=3074 (popis odobrenih udžbenika za OŠ i SŠ)</w:t>
            </w:r>
          </w:p>
          <w:p w14:paraId="4BD0E72E" w14:textId="77777777" w:rsidR="003415F8" w:rsidRPr="00B17183" w:rsidRDefault="003415F8" w:rsidP="00587D5D">
            <w:pPr>
              <w:spacing w:after="0" w:line="240" w:lineRule="auto"/>
              <w:contextualSpacing/>
              <w:jc w:val="both"/>
              <w:rPr>
                <w:rFonts w:ascii="Cambria" w:eastAsia="Times New Roman" w:hAnsi="Cambria" w:cs="Calibri"/>
                <w:lang w:val="hr-HR"/>
              </w:rPr>
            </w:pPr>
            <w:r w:rsidRPr="00B17183">
              <w:rPr>
                <w:rFonts w:ascii="Cambria" w:eastAsia="Times New Roman" w:hAnsi="Cambria" w:cs="Calibri"/>
                <w:lang w:val="hr-HR"/>
              </w:rPr>
              <w:t>7. Časopisi: Metodički obzori, Metodički ogledi, Život i škola ...</w:t>
            </w:r>
          </w:p>
          <w:p w14:paraId="2841B28B" w14:textId="77777777" w:rsidR="003415F8" w:rsidRPr="00B17183" w:rsidRDefault="003415F8" w:rsidP="00587D5D">
            <w:pPr>
              <w:spacing w:after="0" w:line="240" w:lineRule="auto"/>
              <w:contextualSpacing/>
              <w:jc w:val="both"/>
              <w:rPr>
                <w:rFonts w:ascii="Cambria" w:eastAsia="Times New Roman" w:hAnsi="Cambria" w:cs="Calibri"/>
                <w:lang w:val="hr-HR"/>
              </w:rPr>
            </w:pPr>
            <w:r w:rsidRPr="00B17183">
              <w:rPr>
                <w:rFonts w:ascii="Cambria" w:eastAsia="Times New Roman" w:hAnsi="Cambria" w:cs="Calibri"/>
                <w:lang w:val="hr-HR"/>
              </w:rPr>
              <w:t>Izborna:</w:t>
            </w:r>
          </w:p>
          <w:p w14:paraId="7B6B485F" w14:textId="77777777" w:rsidR="003415F8" w:rsidRPr="00B17183" w:rsidRDefault="003415F8" w:rsidP="00587D5D">
            <w:pPr>
              <w:spacing w:after="0" w:line="240" w:lineRule="auto"/>
              <w:contextualSpacing/>
              <w:jc w:val="both"/>
              <w:rPr>
                <w:rFonts w:ascii="Cambria" w:eastAsia="Times New Roman" w:hAnsi="Cambria" w:cs="Calibri"/>
                <w:lang w:val="hr-HR"/>
              </w:rPr>
            </w:pPr>
            <w:r w:rsidRPr="00B17183">
              <w:rPr>
                <w:rFonts w:ascii="Cambria" w:eastAsia="Times New Roman" w:hAnsi="Cambria" w:cs="Calibri"/>
                <w:lang w:val="hr-HR"/>
              </w:rPr>
              <w:t xml:space="preserve">1. Biblioteka Ključ za književno djelo, Metodičke upute, Školska knjiga, Zagreb </w:t>
            </w:r>
          </w:p>
          <w:p w14:paraId="5DC46875" w14:textId="77777777" w:rsidR="003415F8" w:rsidRPr="00B17183" w:rsidRDefault="003415F8" w:rsidP="00587D5D">
            <w:pPr>
              <w:spacing w:after="0" w:line="240" w:lineRule="auto"/>
              <w:contextualSpacing/>
              <w:jc w:val="both"/>
              <w:rPr>
                <w:rFonts w:ascii="Cambria" w:eastAsia="Times New Roman" w:hAnsi="Cambria" w:cs="Calibri"/>
                <w:lang w:val="hr-HR"/>
              </w:rPr>
            </w:pPr>
            <w:r w:rsidRPr="00B17183">
              <w:rPr>
                <w:rFonts w:ascii="Cambria" w:eastAsia="Times New Roman" w:hAnsi="Cambria" w:cs="Calibri"/>
                <w:lang w:val="hr-HR"/>
              </w:rPr>
              <w:t xml:space="preserve">2. </w:t>
            </w:r>
            <w:proofErr w:type="spellStart"/>
            <w:r w:rsidRPr="00B17183">
              <w:rPr>
                <w:rFonts w:ascii="Cambria" w:eastAsia="Times New Roman" w:hAnsi="Cambria" w:cs="Calibri"/>
                <w:lang w:val="hr-HR"/>
              </w:rPr>
              <w:t>Benjak</w:t>
            </w:r>
            <w:proofErr w:type="spellEnd"/>
            <w:r w:rsidRPr="00B17183">
              <w:rPr>
                <w:rFonts w:ascii="Cambria" w:eastAsia="Times New Roman" w:hAnsi="Cambria" w:cs="Calibri"/>
                <w:lang w:val="hr-HR"/>
              </w:rPr>
              <w:t>, M., (2001). Književnost(i) u kontaktu, Izdavački centar Rijeka, Rijeka</w:t>
            </w:r>
          </w:p>
          <w:p w14:paraId="52E84BC3" w14:textId="77777777" w:rsidR="003415F8" w:rsidRPr="00B17183" w:rsidRDefault="003415F8" w:rsidP="00587D5D">
            <w:pPr>
              <w:spacing w:after="0" w:line="240" w:lineRule="auto"/>
              <w:contextualSpacing/>
              <w:jc w:val="both"/>
              <w:rPr>
                <w:rFonts w:ascii="Cambria" w:eastAsia="Times New Roman" w:hAnsi="Cambria" w:cs="Calibri"/>
                <w:lang w:val="hr-HR"/>
              </w:rPr>
            </w:pPr>
            <w:r w:rsidRPr="00B17183">
              <w:rPr>
                <w:rFonts w:ascii="Cambria" w:eastAsia="Times New Roman" w:hAnsi="Cambria" w:cs="Calibri"/>
                <w:lang w:val="hr-HR"/>
              </w:rPr>
              <w:t xml:space="preserve">3. </w:t>
            </w:r>
            <w:proofErr w:type="spellStart"/>
            <w:r w:rsidRPr="00B17183">
              <w:rPr>
                <w:rFonts w:ascii="Cambria" w:eastAsia="Times New Roman" w:hAnsi="Cambria" w:cs="Calibri"/>
                <w:lang w:val="hr-HR"/>
              </w:rPr>
              <w:t>Benjak</w:t>
            </w:r>
            <w:proofErr w:type="spellEnd"/>
            <w:r w:rsidRPr="00B17183">
              <w:rPr>
                <w:rFonts w:ascii="Cambria" w:eastAsia="Times New Roman" w:hAnsi="Cambria" w:cs="Calibri"/>
                <w:lang w:val="hr-HR"/>
              </w:rPr>
              <w:t>, M., (2005). Požgaj Hadži, V., Bez predrasuda i stereotipa, Izdavački centar Rijeka</w:t>
            </w:r>
          </w:p>
          <w:p w14:paraId="34AF49F6" w14:textId="77777777" w:rsidR="003415F8" w:rsidRPr="00B17183" w:rsidRDefault="003415F8" w:rsidP="00587D5D">
            <w:pPr>
              <w:spacing w:after="0" w:line="240" w:lineRule="auto"/>
              <w:contextualSpacing/>
              <w:jc w:val="both"/>
              <w:rPr>
                <w:rFonts w:ascii="Cambria" w:eastAsia="Times New Roman" w:hAnsi="Cambria" w:cs="Calibri"/>
                <w:lang w:val="hr-HR"/>
              </w:rPr>
            </w:pPr>
            <w:r w:rsidRPr="00B17183">
              <w:rPr>
                <w:rFonts w:ascii="Cambria" w:eastAsia="Times New Roman" w:hAnsi="Cambria" w:cs="Calibri"/>
                <w:lang w:val="hr-HR"/>
              </w:rPr>
              <w:lastRenderedPageBreak/>
              <w:t xml:space="preserve">4. </w:t>
            </w:r>
            <w:proofErr w:type="spellStart"/>
            <w:r w:rsidRPr="00B17183">
              <w:rPr>
                <w:rFonts w:ascii="Cambria" w:eastAsia="Times New Roman" w:hAnsi="Cambria" w:cs="Calibri"/>
                <w:lang w:val="hr-HR"/>
              </w:rPr>
              <w:t>Benjak</w:t>
            </w:r>
            <w:proofErr w:type="spellEnd"/>
            <w:r w:rsidRPr="00B17183">
              <w:rPr>
                <w:rFonts w:ascii="Cambria" w:eastAsia="Times New Roman" w:hAnsi="Cambria" w:cs="Calibri"/>
                <w:lang w:val="hr-HR"/>
              </w:rPr>
              <w:t xml:space="preserve">, M., (2006). </w:t>
            </w:r>
            <w:proofErr w:type="spellStart"/>
            <w:r w:rsidRPr="00B17183">
              <w:rPr>
                <w:rFonts w:ascii="Cambria" w:eastAsia="Times New Roman" w:hAnsi="Cambria" w:cs="Calibri"/>
                <w:lang w:val="hr-HR"/>
              </w:rPr>
              <w:t>Stendhalovi</w:t>
            </w:r>
            <w:proofErr w:type="spellEnd"/>
            <w:r w:rsidRPr="00B17183">
              <w:rPr>
                <w:rFonts w:ascii="Cambria" w:eastAsia="Times New Roman" w:hAnsi="Cambria" w:cs="Calibri"/>
                <w:lang w:val="hr-HR"/>
              </w:rPr>
              <w:t xml:space="preserve"> i </w:t>
            </w:r>
            <w:proofErr w:type="spellStart"/>
            <w:r w:rsidRPr="00B17183">
              <w:rPr>
                <w:rFonts w:ascii="Cambria" w:eastAsia="Times New Roman" w:hAnsi="Cambria" w:cs="Calibri"/>
                <w:lang w:val="hr-HR"/>
              </w:rPr>
              <w:t>Flaubertovi</w:t>
            </w:r>
            <w:proofErr w:type="spellEnd"/>
            <w:r w:rsidRPr="00B17183">
              <w:rPr>
                <w:rFonts w:ascii="Cambria" w:eastAsia="Times New Roman" w:hAnsi="Cambria" w:cs="Calibri"/>
                <w:lang w:val="hr-HR"/>
              </w:rPr>
              <w:t xml:space="preserve"> romani u metodičkom obzoru, Sveučilište u Rijeci, Pula</w:t>
            </w:r>
          </w:p>
          <w:p w14:paraId="43B53F34" w14:textId="77777777" w:rsidR="003415F8" w:rsidRPr="00B17183" w:rsidRDefault="003415F8" w:rsidP="00587D5D">
            <w:pPr>
              <w:spacing w:after="0" w:line="240" w:lineRule="auto"/>
              <w:contextualSpacing/>
              <w:jc w:val="both"/>
              <w:rPr>
                <w:rFonts w:ascii="Cambria" w:eastAsia="Times New Roman" w:hAnsi="Cambria" w:cs="Calibri"/>
                <w:lang w:val="hr-HR"/>
              </w:rPr>
            </w:pPr>
            <w:r w:rsidRPr="00B17183">
              <w:rPr>
                <w:rFonts w:ascii="Cambria" w:eastAsia="Times New Roman" w:hAnsi="Cambria" w:cs="Calibri"/>
                <w:lang w:val="hr-HR"/>
              </w:rPr>
              <w:t>5. Diklić - Rosandić - Šabić, (1990). Odzivi i dozivi lirske pjesme, PKZ, Zagreb.</w:t>
            </w:r>
          </w:p>
          <w:p w14:paraId="1B4689C1" w14:textId="77777777" w:rsidR="003415F8" w:rsidRPr="00B17183" w:rsidRDefault="003415F8" w:rsidP="00587D5D">
            <w:pPr>
              <w:spacing w:after="0" w:line="240" w:lineRule="auto"/>
              <w:contextualSpacing/>
              <w:jc w:val="both"/>
              <w:rPr>
                <w:rFonts w:ascii="Cambria" w:eastAsia="Times New Roman" w:hAnsi="Cambria" w:cs="Calibri"/>
                <w:lang w:val="hr-HR"/>
              </w:rPr>
            </w:pPr>
            <w:r w:rsidRPr="00B17183">
              <w:rPr>
                <w:rFonts w:ascii="Cambria" w:eastAsia="Times New Roman" w:hAnsi="Cambria" w:cs="Calibri"/>
                <w:lang w:val="hr-HR"/>
              </w:rPr>
              <w:t xml:space="preserve">6. Diklić, Z., (1989). Lik u književnoj, scenskoj i filmskoj umjetnosti, Školska knjiga, Zagreb, </w:t>
            </w:r>
          </w:p>
          <w:p w14:paraId="7C1F7F1C" w14:textId="77777777" w:rsidR="003415F8" w:rsidRPr="00B17183" w:rsidRDefault="003415F8" w:rsidP="00587D5D">
            <w:pPr>
              <w:spacing w:after="0" w:line="240" w:lineRule="auto"/>
              <w:contextualSpacing/>
              <w:jc w:val="both"/>
              <w:rPr>
                <w:rFonts w:ascii="Cambria" w:eastAsia="Times New Roman" w:hAnsi="Cambria" w:cs="Calibri"/>
                <w:lang w:val="hr-HR"/>
              </w:rPr>
            </w:pPr>
            <w:r w:rsidRPr="00B17183">
              <w:rPr>
                <w:rFonts w:ascii="Cambria" w:eastAsia="Times New Roman" w:hAnsi="Cambria" w:cs="Calibri"/>
                <w:lang w:val="hr-HR"/>
              </w:rPr>
              <w:t xml:space="preserve">7. </w:t>
            </w:r>
            <w:proofErr w:type="spellStart"/>
            <w:r w:rsidRPr="00B17183">
              <w:rPr>
                <w:rFonts w:ascii="Cambria" w:eastAsia="Times New Roman" w:hAnsi="Cambria" w:cs="Calibri"/>
                <w:lang w:val="hr-HR"/>
              </w:rPr>
              <w:t>Kajić</w:t>
            </w:r>
            <w:proofErr w:type="spellEnd"/>
            <w:r w:rsidRPr="00B17183">
              <w:rPr>
                <w:rFonts w:ascii="Cambria" w:eastAsia="Times New Roman" w:hAnsi="Cambria" w:cs="Calibri"/>
                <w:lang w:val="hr-HR"/>
              </w:rPr>
              <w:t>, R., (1981). Roman u sustavu problemske nastave, Školska knjiga, Zagreb</w:t>
            </w:r>
          </w:p>
          <w:p w14:paraId="5F5C58BF" w14:textId="77777777" w:rsidR="003415F8" w:rsidRPr="00B17183" w:rsidRDefault="003415F8" w:rsidP="00587D5D">
            <w:pPr>
              <w:spacing w:after="0" w:line="240" w:lineRule="auto"/>
              <w:contextualSpacing/>
              <w:jc w:val="both"/>
              <w:rPr>
                <w:rFonts w:ascii="Cambria" w:eastAsia="Times New Roman" w:hAnsi="Cambria" w:cs="Calibri"/>
                <w:lang w:val="hr-HR"/>
              </w:rPr>
            </w:pPr>
            <w:r w:rsidRPr="00B17183">
              <w:rPr>
                <w:rFonts w:ascii="Cambria" w:eastAsia="Times New Roman" w:hAnsi="Cambria" w:cs="Calibri"/>
                <w:lang w:val="hr-HR"/>
              </w:rPr>
              <w:t xml:space="preserve">8. </w:t>
            </w:r>
            <w:proofErr w:type="spellStart"/>
            <w:r w:rsidRPr="00B17183">
              <w:rPr>
                <w:rFonts w:ascii="Cambria" w:eastAsia="Times New Roman" w:hAnsi="Cambria" w:cs="Calibri"/>
                <w:lang w:val="hr-HR"/>
              </w:rPr>
              <w:t>Kermek-Sredanović</w:t>
            </w:r>
            <w:proofErr w:type="spellEnd"/>
            <w:r w:rsidRPr="00B17183">
              <w:rPr>
                <w:rFonts w:ascii="Cambria" w:eastAsia="Times New Roman" w:hAnsi="Cambria" w:cs="Calibri"/>
                <w:lang w:val="hr-HR"/>
              </w:rPr>
              <w:t>, M., (1991). Književni interesi djece i omladine, Zagreb, Školska knjiga</w:t>
            </w:r>
          </w:p>
          <w:p w14:paraId="74C56FB9" w14:textId="77777777" w:rsidR="003415F8" w:rsidRPr="00B17183" w:rsidRDefault="003415F8" w:rsidP="00587D5D">
            <w:pPr>
              <w:spacing w:after="0" w:line="240" w:lineRule="auto"/>
              <w:contextualSpacing/>
              <w:jc w:val="both"/>
              <w:rPr>
                <w:rFonts w:ascii="Cambria" w:eastAsia="Times New Roman" w:hAnsi="Cambria" w:cs="Calibri"/>
                <w:lang w:val="hr-HR"/>
              </w:rPr>
            </w:pPr>
            <w:r w:rsidRPr="00B17183">
              <w:rPr>
                <w:rFonts w:ascii="Cambria" w:eastAsia="Times New Roman" w:hAnsi="Cambria" w:cs="Calibri"/>
                <w:lang w:val="hr-HR"/>
              </w:rPr>
              <w:t>9. Kovačević, M., (1998). Književno-metodička motrišta, Zagreb, Školske novine</w:t>
            </w:r>
          </w:p>
          <w:p w14:paraId="555C1254" w14:textId="77777777" w:rsidR="003415F8" w:rsidRPr="00B17183" w:rsidRDefault="003415F8" w:rsidP="00587D5D">
            <w:pPr>
              <w:spacing w:after="0" w:line="240" w:lineRule="auto"/>
              <w:contextualSpacing/>
              <w:jc w:val="both"/>
              <w:rPr>
                <w:rFonts w:ascii="Cambria" w:eastAsia="Times New Roman" w:hAnsi="Cambria" w:cs="Calibri"/>
                <w:lang w:val="hr-HR"/>
              </w:rPr>
            </w:pPr>
            <w:r w:rsidRPr="00B17183">
              <w:rPr>
                <w:rFonts w:ascii="Cambria" w:eastAsia="Times New Roman" w:hAnsi="Cambria" w:cs="Calibri"/>
                <w:lang w:val="hr-HR"/>
              </w:rPr>
              <w:t xml:space="preserve">10. Lagumdžija, N., (2000). Basna u osnovnoškolskoj nastavi književnosti, Hena </w:t>
            </w:r>
            <w:proofErr w:type="spellStart"/>
            <w:r w:rsidRPr="00B17183">
              <w:rPr>
                <w:rFonts w:ascii="Cambria" w:eastAsia="Times New Roman" w:hAnsi="Cambria" w:cs="Calibri"/>
                <w:lang w:val="hr-HR"/>
              </w:rPr>
              <w:t>Com</w:t>
            </w:r>
            <w:proofErr w:type="spellEnd"/>
            <w:r w:rsidRPr="00B17183">
              <w:rPr>
                <w:rFonts w:ascii="Cambria" w:eastAsia="Times New Roman" w:hAnsi="Cambria" w:cs="Calibri"/>
                <w:lang w:val="hr-HR"/>
              </w:rPr>
              <w:t>, Zagreb</w:t>
            </w:r>
          </w:p>
          <w:p w14:paraId="4837FFC0" w14:textId="77777777" w:rsidR="003415F8" w:rsidRPr="00B17183" w:rsidRDefault="003415F8" w:rsidP="00587D5D">
            <w:pPr>
              <w:spacing w:after="0" w:line="240" w:lineRule="auto"/>
              <w:contextualSpacing/>
              <w:jc w:val="both"/>
              <w:rPr>
                <w:rFonts w:ascii="Cambria" w:eastAsia="Times New Roman" w:hAnsi="Cambria" w:cs="Calibri"/>
                <w:lang w:val="hr-HR"/>
              </w:rPr>
            </w:pPr>
            <w:r w:rsidRPr="00B17183">
              <w:rPr>
                <w:rFonts w:ascii="Cambria" w:eastAsia="Times New Roman" w:hAnsi="Cambria" w:cs="Calibri"/>
                <w:lang w:val="hr-HR"/>
              </w:rPr>
              <w:t>11. Pavletić, V., (1995). Kako razumjeti poeziju, Školska knjiga, Zagreb, 1995.</w:t>
            </w:r>
          </w:p>
          <w:p w14:paraId="275B3D6C" w14:textId="77777777" w:rsidR="003415F8" w:rsidRPr="00B17183" w:rsidRDefault="003415F8" w:rsidP="00587D5D">
            <w:pPr>
              <w:spacing w:after="0" w:line="240" w:lineRule="auto"/>
              <w:contextualSpacing/>
              <w:jc w:val="both"/>
              <w:rPr>
                <w:rFonts w:ascii="Cambria" w:eastAsia="Times New Roman" w:hAnsi="Cambria" w:cs="Calibri"/>
                <w:lang w:val="hr-HR"/>
              </w:rPr>
            </w:pPr>
            <w:r w:rsidRPr="00B17183">
              <w:rPr>
                <w:rFonts w:ascii="Cambria" w:eastAsia="Times New Roman" w:hAnsi="Cambria" w:cs="Calibri"/>
                <w:lang w:val="hr-HR"/>
              </w:rPr>
              <w:t xml:space="preserve">12. </w:t>
            </w:r>
            <w:proofErr w:type="spellStart"/>
            <w:r w:rsidRPr="00B17183">
              <w:rPr>
                <w:rFonts w:ascii="Cambria" w:eastAsia="Times New Roman" w:hAnsi="Cambria" w:cs="Calibri"/>
                <w:lang w:val="hr-HR"/>
              </w:rPr>
              <w:t>Perotti</w:t>
            </w:r>
            <w:proofErr w:type="spellEnd"/>
            <w:r w:rsidRPr="00B17183">
              <w:rPr>
                <w:rFonts w:ascii="Cambria" w:eastAsia="Times New Roman" w:hAnsi="Cambria" w:cs="Calibri"/>
                <w:lang w:val="hr-HR"/>
              </w:rPr>
              <w:t xml:space="preserve">, A., (1995). Pledoaje za interkulturalni odgoj i </w:t>
            </w:r>
            <w:proofErr w:type="spellStart"/>
            <w:r w:rsidRPr="00B17183">
              <w:rPr>
                <w:rFonts w:ascii="Cambria" w:eastAsia="Times New Roman" w:hAnsi="Cambria" w:cs="Calibri"/>
                <w:lang w:val="hr-HR"/>
              </w:rPr>
              <w:t>obrazovanje,Educa</w:t>
            </w:r>
            <w:proofErr w:type="spellEnd"/>
            <w:r w:rsidRPr="00B17183">
              <w:rPr>
                <w:rFonts w:ascii="Cambria" w:eastAsia="Times New Roman" w:hAnsi="Cambria" w:cs="Calibri"/>
                <w:lang w:val="hr-HR"/>
              </w:rPr>
              <w:t>, Zagreb</w:t>
            </w:r>
          </w:p>
          <w:p w14:paraId="72501573" w14:textId="77777777" w:rsidR="003415F8" w:rsidRPr="00B17183" w:rsidRDefault="003415F8" w:rsidP="00587D5D">
            <w:pPr>
              <w:spacing w:after="0" w:line="240" w:lineRule="auto"/>
              <w:contextualSpacing/>
              <w:jc w:val="both"/>
              <w:rPr>
                <w:rFonts w:ascii="Cambria" w:eastAsia="Times New Roman" w:hAnsi="Cambria" w:cs="Calibri"/>
                <w:lang w:val="hr-HR"/>
              </w:rPr>
            </w:pPr>
            <w:r w:rsidRPr="00B17183">
              <w:rPr>
                <w:rFonts w:ascii="Cambria" w:eastAsia="Times New Roman" w:hAnsi="Cambria" w:cs="Calibri"/>
                <w:lang w:val="hr-HR"/>
              </w:rPr>
              <w:t xml:space="preserve">13. Rosandić, D., (2003). </w:t>
            </w:r>
            <w:proofErr w:type="spellStart"/>
            <w:r w:rsidRPr="00B17183">
              <w:rPr>
                <w:rFonts w:ascii="Cambria" w:eastAsia="Times New Roman" w:hAnsi="Cambria" w:cs="Calibri"/>
                <w:lang w:val="hr-HR"/>
              </w:rPr>
              <w:t>Kurikulski</w:t>
            </w:r>
            <w:proofErr w:type="spellEnd"/>
            <w:r w:rsidRPr="00B17183">
              <w:rPr>
                <w:rFonts w:ascii="Cambria" w:eastAsia="Times New Roman" w:hAnsi="Cambria" w:cs="Calibri"/>
                <w:lang w:val="hr-HR"/>
              </w:rPr>
              <w:t xml:space="preserve"> metodički obzori, Školske novine, Zagreb</w:t>
            </w:r>
          </w:p>
          <w:p w14:paraId="0553C5FB" w14:textId="77777777" w:rsidR="003415F8" w:rsidRPr="00B17183" w:rsidRDefault="003415F8" w:rsidP="00587D5D">
            <w:pPr>
              <w:spacing w:after="0" w:line="240" w:lineRule="auto"/>
              <w:contextualSpacing/>
              <w:jc w:val="both"/>
              <w:rPr>
                <w:rFonts w:ascii="Cambria" w:eastAsia="Times New Roman" w:hAnsi="Cambria" w:cs="Calibri"/>
                <w:lang w:val="hr-HR"/>
              </w:rPr>
            </w:pPr>
            <w:r w:rsidRPr="00B17183">
              <w:rPr>
                <w:rFonts w:ascii="Cambria" w:eastAsia="Times New Roman" w:hAnsi="Cambria" w:cs="Calibri"/>
                <w:lang w:val="hr-HR"/>
              </w:rPr>
              <w:t>14. Šabić, A. G., (1983). Lirska poezija u razrednoj nastavi, Školska knjiga, Zagreb</w:t>
            </w:r>
          </w:p>
          <w:p w14:paraId="79DEE28E" w14:textId="77777777" w:rsidR="003415F8" w:rsidRPr="00B17183" w:rsidRDefault="003415F8" w:rsidP="00587D5D">
            <w:pPr>
              <w:spacing w:after="0" w:line="240" w:lineRule="auto"/>
              <w:contextualSpacing/>
              <w:jc w:val="both"/>
              <w:rPr>
                <w:rFonts w:ascii="Cambria" w:eastAsia="Times New Roman" w:hAnsi="Cambria" w:cs="Calibri"/>
                <w:lang w:val="hr-HR"/>
              </w:rPr>
            </w:pPr>
            <w:r w:rsidRPr="00B17183">
              <w:rPr>
                <w:rFonts w:ascii="Cambria" w:eastAsia="Times New Roman" w:hAnsi="Cambria" w:cs="Calibri"/>
                <w:lang w:val="hr-HR"/>
              </w:rPr>
              <w:t>15. Šabić, A. G., (1991).  Učenik i lirika, Školska knjiga, Zagreb</w:t>
            </w:r>
          </w:p>
          <w:p w14:paraId="76A66083" w14:textId="77777777" w:rsidR="003415F8" w:rsidRPr="00DF4CE5" w:rsidRDefault="003415F8" w:rsidP="00587D5D">
            <w:pPr>
              <w:spacing w:after="0" w:line="240" w:lineRule="auto"/>
              <w:contextualSpacing/>
              <w:jc w:val="both"/>
              <w:rPr>
                <w:rFonts w:ascii="Cambria" w:eastAsia="Times New Roman" w:hAnsi="Cambria" w:cs="Calibri"/>
                <w:lang w:val="hr-HR"/>
              </w:rPr>
            </w:pPr>
            <w:r w:rsidRPr="00B17183">
              <w:rPr>
                <w:rFonts w:ascii="Cambria" w:eastAsia="Times New Roman" w:hAnsi="Cambria" w:cs="Calibri"/>
                <w:lang w:val="hr-HR"/>
              </w:rPr>
              <w:t>16. Težak, S., (1977). Prilozi interpretaciji lirske pjesme, PKZ, Zagreb</w:t>
            </w:r>
          </w:p>
        </w:tc>
      </w:tr>
    </w:tbl>
    <w:p w14:paraId="69B82E26" w14:textId="77777777" w:rsidR="003415F8" w:rsidRPr="00DF4CE5" w:rsidRDefault="003415F8" w:rsidP="003415F8">
      <w:pPr>
        <w:jc w:val="both"/>
        <w:rPr>
          <w:rFonts w:ascii="Cambria" w:hAnsi="Cambria"/>
          <w:lang w:val="hr-HR"/>
        </w:rPr>
      </w:pPr>
    </w:p>
    <w:p w14:paraId="59CF54C0" w14:textId="77777777" w:rsidR="003415F8" w:rsidRPr="00DF4CE5" w:rsidRDefault="003415F8" w:rsidP="003415F8">
      <w:pPr>
        <w:jc w:val="both"/>
        <w:rPr>
          <w:rFonts w:ascii="Cambria" w:hAnsi="Cambria"/>
          <w:lang w:val="hr-HR"/>
        </w:rPr>
      </w:pPr>
    </w:p>
    <w:p w14:paraId="01F327A4" w14:textId="77777777" w:rsidR="003415F8" w:rsidRPr="00DF4CE5" w:rsidRDefault="003415F8" w:rsidP="003415F8">
      <w:pPr>
        <w:jc w:val="both"/>
        <w:rPr>
          <w:rFonts w:ascii="Cambria" w:hAnsi="Cambria"/>
          <w:lang w:val="hr-HR"/>
        </w:rPr>
      </w:pPr>
    </w:p>
    <w:p w14:paraId="0C5996AC" w14:textId="77777777" w:rsidR="00544D05" w:rsidRPr="00DF4CE5" w:rsidRDefault="00544D05" w:rsidP="008B34AF">
      <w:pPr>
        <w:jc w:val="both"/>
        <w:rPr>
          <w:rFonts w:ascii="Cambria" w:hAnsi="Cambria"/>
          <w:lang w:val="hr-HR"/>
        </w:rPr>
      </w:pPr>
    </w:p>
    <w:p w14:paraId="70274F8B" w14:textId="569ADF48" w:rsidR="00544D05" w:rsidRPr="00DF4CE5" w:rsidRDefault="003B7C0C" w:rsidP="003B7C0C">
      <w:pPr>
        <w:rPr>
          <w:rFonts w:ascii="Cambria" w:hAnsi="Cambria"/>
          <w:lang w:val="hr-HR"/>
        </w:rPr>
      </w:pPr>
      <w:r>
        <w:rPr>
          <w:rFonts w:ascii="Cambria" w:hAnsi="Cambria"/>
          <w:lang w:val="hr-HR"/>
        </w:rPr>
        <w:br w:type="page"/>
      </w:r>
    </w:p>
    <w:tbl>
      <w:tblPr>
        <w:tblW w:w="5000" w:type="pct"/>
        <w:tblLayout w:type="fixed"/>
        <w:tblCellMar>
          <w:left w:w="0" w:type="dxa"/>
          <w:right w:w="0" w:type="dxa"/>
        </w:tblCellMar>
        <w:tblLook w:val="0600" w:firstRow="0" w:lastRow="0" w:firstColumn="0" w:lastColumn="0" w:noHBand="1" w:noVBand="1"/>
      </w:tblPr>
      <w:tblGrid>
        <w:gridCol w:w="2807"/>
        <w:gridCol w:w="2664"/>
        <w:gridCol w:w="105"/>
        <w:gridCol w:w="1172"/>
        <w:gridCol w:w="300"/>
        <w:gridCol w:w="471"/>
        <w:gridCol w:w="1087"/>
        <w:gridCol w:w="1414"/>
      </w:tblGrid>
      <w:tr w:rsidR="003415F8" w:rsidRPr="00DF4CE5" w14:paraId="2D55C65E" w14:textId="77777777" w:rsidTr="00587D5D">
        <w:tc>
          <w:tcPr>
            <w:tcW w:w="9340"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2C5E7AD" w14:textId="77777777" w:rsidR="003415F8" w:rsidRPr="00DF4CE5" w:rsidRDefault="003415F8" w:rsidP="00587D5D">
            <w:pPr>
              <w:spacing w:after="0" w:line="240" w:lineRule="auto"/>
              <w:jc w:val="right"/>
              <w:rPr>
                <w:rFonts w:ascii="Cambria" w:eastAsia="Times New Roman" w:hAnsi="Cambria" w:cs="Calibri"/>
                <w:b/>
                <w:lang w:val="hr-HR"/>
              </w:rPr>
            </w:pPr>
            <w:r w:rsidRPr="00DF4CE5">
              <w:rPr>
                <w:rFonts w:ascii="Cambria" w:eastAsia="Times New Roman" w:hAnsi="Cambria" w:cs="Calibri"/>
                <w:b/>
                <w:lang w:val="hr-HR"/>
              </w:rPr>
              <w:lastRenderedPageBreak/>
              <w:t>IZVEDBENI PLAN NASTAVE KOLEGIJA</w:t>
            </w:r>
          </w:p>
        </w:tc>
      </w:tr>
      <w:tr w:rsidR="003415F8" w:rsidRPr="00D01C7E" w14:paraId="547CB16E" w14:textId="77777777" w:rsidTr="00587D5D">
        <w:tc>
          <w:tcPr>
            <w:tcW w:w="261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EA7DAFD" w14:textId="77777777" w:rsidR="003415F8" w:rsidRPr="00DF4CE5" w:rsidRDefault="003415F8" w:rsidP="00587D5D">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Kod i naziv kolegija</w:t>
            </w:r>
          </w:p>
        </w:tc>
        <w:tc>
          <w:tcPr>
            <w:tcW w:w="6723"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88909C2" w14:textId="77777777" w:rsidR="003415F8" w:rsidRPr="00DF4CE5" w:rsidRDefault="003415F8" w:rsidP="00587D5D">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85812    </w:t>
            </w:r>
          </w:p>
          <w:p w14:paraId="5C4815E4" w14:textId="3AE63942" w:rsidR="003415F8" w:rsidRPr="00DF4CE5" w:rsidRDefault="003415F8" w:rsidP="00587D5D">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Metodika glazbene kulture I</w:t>
            </w:r>
            <w:r w:rsidR="00D01C7E">
              <w:rPr>
                <w:rFonts w:ascii="Cambria" w:eastAsia="Times New Roman" w:hAnsi="Cambria" w:cs="Calibri"/>
                <w:lang w:val="hr-HR"/>
              </w:rPr>
              <w:t xml:space="preserve"> </w:t>
            </w:r>
          </w:p>
        </w:tc>
      </w:tr>
      <w:tr w:rsidR="003415F8" w:rsidRPr="00DF4CE5" w14:paraId="0A5BF0A1" w14:textId="77777777" w:rsidTr="00587D5D">
        <w:tc>
          <w:tcPr>
            <w:tcW w:w="261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EAFAE7D" w14:textId="77777777" w:rsidR="003415F8" w:rsidRPr="00DF4CE5" w:rsidRDefault="003415F8" w:rsidP="00587D5D">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Nastavnica </w:t>
            </w:r>
          </w:p>
          <w:p w14:paraId="44C5CFF8" w14:textId="77777777" w:rsidR="003415F8" w:rsidRPr="00DF4CE5" w:rsidRDefault="003415F8" w:rsidP="00587D5D">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Suradnik</w:t>
            </w:r>
          </w:p>
        </w:tc>
        <w:tc>
          <w:tcPr>
            <w:tcW w:w="6723"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3C83FC5" w14:textId="10010358" w:rsidR="003415F8" w:rsidRPr="00DF4CE5" w:rsidRDefault="003415F8" w:rsidP="00587D5D">
            <w:pPr>
              <w:spacing w:after="0" w:line="240" w:lineRule="auto"/>
              <w:jc w:val="both"/>
              <w:rPr>
                <w:rFonts w:ascii="Cambria" w:eastAsia="Times New Roman" w:hAnsi="Cambria" w:cs="Times New Roman"/>
                <w:lang w:val="hr-HR"/>
              </w:rPr>
            </w:pPr>
            <w:hyperlink r:id="rId96" w:history="1">
              <w:proofErr w:type="spellStart"/>
              <w:r w:rsidRPr="00B843F1">
                <w:rPr>
                  <w:rStyle w:val="Hiperveza"/>
                  <w:rFonts w:ascii="Cambria" w:hAnsi="Cambria"/>
                  <w:lang w:val="it-IT"/>
                </w:rPr>
                <w:t>Naslovna</w:t>
              </w:r>
              <w:proofErr w:type="spellEnd"/>
              <w:r w:rsidRPr="00B843F1">
                <w:rPr>
                  <w:rStyle w:val="Hiperveza"/>
                  <w:rFonts w:ascii="Cambria" w:hAnsi="Cambria"/>
                  <w:lang w:val="it-IT"/>
                </w:rPr>
                <w:t xml:space="preserve"> doc. dr. sc. Anita </w:t>
              </w:r>
              <w:proofErr w:type="spellStart"/>
              <w:r w:rsidRPr="00B843F1">
                <w:rPr>
                  <w:rStyle w:val="Hiperveza"/>
                  <w:rFonts w:ascii="Cambria" w:hAnsi="Cambria"/>
                  <w:lang w:val="it-IT"/>
                </w:rPr>
                <w:t>Gergorić</w:t>
              </w:r>
              <w:proofErr w:type="spellEnd"/>
            </w:hyperlink>
            <w:r w:rsidR="00D01C7E">
              <w:rPr>
                <w:rStyle w:val="Hiperveza"/>
                <w:rFonts w:ascii="Cambria" w:hAnsi="Cambria"/>
                <w:lang w:val="it-IT"/>
              </w:rPr>
              <w:t xml:space="preserve"> </w:t>
            </w:r>
            <w:r w:rsidR="00D01C7E">
              <w:rPr>
                <w:rFonts w:ascii="Cambria" w:eastAsia="Times New Roman" w:hAnsi="Cambria" w:cs="Calibri"/>
                <w:lang w:val="hr-HR"/>
              </w:rPr>
              <w:t>(nositeljica)</w:t>
            </w:r>
          </w:p>
          <w:p w14:paraId="6443713C" w14:textId="77777777" w:rsidR="003415F8" w:rsidRPr="00DF4CE5" w:rsidRDefault="003415F8" w:rsidP="00587D5D">
            <w:pPr>
              <w:spacing w:after="0" w:line="240" w:lineRule="auto"/>
              <w:jc w:val="both"/>
              <w:rPr>
                <w:rFonts w:ascii="Cambria" w:eastAsia="Times New Roman" w:hAnsi="Cambria" w:cs="Calibri"/>
                <w:lang w:val="hr-HR"/>
              </w:rPr>
            </w:pPr>
            <w:hyperlink r:id="rId97" w:history="1">
              <w:r>
                <w:rPr>
                  <w:rFonts w:ascii="Cambria" w:eastAsia="Times New Roman" w:hAnsi="Cambria" w:cs="Times New Roman"/>
                  <w:color w:val="0000FF"/>
                  <w:u w:val="single"/>
                  <w:lang w:val="hr-HR"/>
                </w:rPr>
                <w:t>M</w:t>
              </w:r>
              <w:r w:rsidRPr="00DF4CE5">
                <w:rPr>
                  <w:rFonts w:ascii="Cambria" w:eastAsia="Times New Roman" w:hAnsi="Cambria" w:cs="Times New Roman"/>
                  <w:color w:val="0000FF"/>
                  <w:u w:val="single"/>
                  <w:lang w:val="hr-HR"/>
                </w:rPr>
                <w:t>r. sc. Branko Radić, pred.</w:t>
              </w:r>
            </w:hyperlink>
          </w:p>
        </w:tc>
      </w:tr>
      <w:tr w:rsidR="003415F8" w:rsidRPr="00D0399C" w14:paraId="7AA32B39" w14:textId="77777777" w:rsidTr="00587D5D">
        <w:tc>
          <w:tcPr>
            <w:tcW w:w="261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42AFE33" w14:textId="77777777" w:rsidR="003415F8" w:rsidRPr="00DF4CE5" w:rsidRDefault="003415F8" w:rsidP="00587D5D">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Studijski program</w:t>
            </w:r>
          </w:p>
        </w:tc>
        <w:tc>
          <w:tcPr>
            <w:tcW w:w="6723"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066965D" w14:textId="77777777" w:rsidR="003415F8" w:rsidRPr="00DF4CE5" w:rsidRDefault="003415F8" w:rsidP="00587D5D">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Sveučilišni integrirani prijediplomski i diplomski Učiteljski studij na hrvatskom jeziku</w:t>
            </w:r>
          </w:p>
        </w:tc>
      </w:tr>
      <w:tr w:rsidR="003415F8" w:rsidRPr="00DF4CE5" w14:paraId="6B07ED89" w14:textId="77777777" w:rsidTr="00587D5D">
        <w:tc>
          <w:tcPr>
            <w:tcW w:w="261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0BE27D0" w14:textId="77777777" w:rsidR="003415F8" w:rsidRPr="00DF4CE5" w:rsidRDefault="003415F8" w:rsidP="00587D5D">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Vrsta kolegija</w:t>
            </w:r>
          </w:p>
        </w:tc>
        <w:tc>
          <w:tcPr>
            <w:tcW w:w="248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A0A3365" w14:textId="77777777" w:rsidR="003415F8" w:rsidRPr="00DF4CE5" w:rsidRDefault="003415F8" w:rsidP="00587D5D">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obvezan</w:t>
            </w:r>
          </w:p>
        </w:tc>
        <w:tc>
          <w:tcPr>
            <w:tcW w:w="1470"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7462ABEA" w14:textId="77777777" w:rsidR="003415F8" w:rsidRPr="00DF4CE5" w:rsidRDefault="003415F8" w:rsidP="00587D5D">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Razina kolegija</w:t>
            </w:r>
          </w:p>
        </w:tc>
        <w:tc>
          <w:tcPr>
            <w:tcW w:w="2770"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86A2486" w14:textId="77777777" w:rsidR="003415F8" w:rsidRPr="00DF4CE5" w:rsidRDefault="003415F8" w:rsidP="00587D5D">
            <w:pPr>
              <w:spacing w:after="0" w:line="240" w:lineRule="auto"/>
              <w:jc w:val="both"/>
              <w:rPr>
                <w:rFonts w:ascii="Cambria" w:eastAsia="Times New Roman" w:hAnsi="Cambria" w:cs="Calibri"/>
                <w:lang w:val="hr-HR"/>
              </w:rPr>
            </w:pPr>
            <w:proofErr w:type="spellStart"/>
            <w:r>
              <w:rPr>
                <w:rFonts w:ascii="Cambria" w:eastAsia="Times New Roman" w:hAnsi="Cambria" w:cs="Calibri"/>
                <w:lang w:val="it-IT"/>
              </w:rPr>
              <w:t>i</w:t>
            </w:r>
            <w:r w:rsidRPr="00DF4CE5">
              <w:rPr>
                <w:rFonts w:ascii="Cambria" w:eastAsia="Times New Roman" w:hAnsi="Cambria" w:cs="Calibri"/>
                <w:lang w:val="it-IT"/>
              </w:rPr>
              <w:t>ntegrirani</w:t>
            </w:r>
            <w:proofErr w:type="spellEnd"/>
          </w:p>
        </w:tc>
      </w:tr>
      <w:tr w:rsidR="003415F8" w:rsidRPr="00DF4CE5" w14:paraId="27C568BD" w14:textId="77777777" w:rsidTr="00587D5D">
        <w:tc>
          <w:tcPr>
            <w:tcW w:w="261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A309E33" w14:textId="77777777" w:rsidR="003415F8" w:rsidRPr="00DF4CE5" w:rsidRDefault="003415F8" w:rsidP="00587D5D">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Semestar</w:t>
            </w:r>
          </w:p>
        </w:tc>
        <w:tc>
          <w:tcPr>
            <w:tcW w:w="248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631E711" w14:textId="241A5D9B" w:rsidR="003415F8" w:rsidRPr="00DF4CE5" w:rsidRDefault="003415F8" w:rsidP="00587D5D">
            <w:pPr>
              <w:spacing w:after="0" w:line="240" w:lineRule="auto"/>
              <w:jc w:val="both"/>
              <w:rPr>
                <w:rFonts w:ascii="Cambria" w:eastAsia="Times New Roman" w:hAnsi="Cambria" w:cs="Calibri"/>
                <w:lang w:val="hr-HR"/>
              </w:rPr>
            </w:pPr>
            <w:r>
              <w:rPr>
                <w:rFonts w:ascii="Cambria" w:eastAsia="Times New Roman" w:hAnsi="Cambria" w:cs="Calibri"/>
                <w:lang w:val="hr-HR"/>
              </w:rPr>
              <w:t>zimski</w:t>
            </w:r>
          </w:p>
        </w:tc>
        <w:tc>
          <w:tcPr>
            <w:tcW w:w="1470"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637A372A" w14:textId="77777777" w:rsidR="003415F8" w:rsidRPr="00DF4CE5" w:rsidRDefault="003415F8" w:rsidP="00587D5D">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Godina studija</w:t>
            </w:r>
          </w:p>
        </w:tc>
        <w:tc>
          <w:tcPr>
            <w:tcW w:w="2770"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2A324BE" w14:textId="77777777" w:rsidR="003415F8" w:rsidRPr="00DF4CE5" w:rsidRDefault="003415F8" w:rsidP="00587D5D">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III.</w:t>
            </w:r>
          </w:p>
        </w:tc>
      </w:tr>
      <w:tr w:rsidR="003415F8" w:rsidRPr="00DF4CE5" w14:paraId="2FE7B39D" w14:textId="77777777" w:rsidTr="00587D5D">
        <w:tc>
          <w:tcPr>
            <w:tcW w:w="261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B4FDAB9" w14:textId="77777777" w:rsidR="003415F8" w:rsidRPr="00DF4CE5" w:rsidRDefault="003415F8" w:rsidP="00587D5D">
            <w:pPr>
              <w:spacing w:after="0" w:line="240" w:lineRule="auto"/>
              <w:jc w:val="both"/>
              <w:rPr>
                <w:rFonts w:ascii="Cambria" w:eastAsia="Times New Roman" w:hAnsi="Cambria" w:cs="Calibri"/>
                <w:lang w:val="hr-HR"/>
              </w:rPr>
            </w:pPr>
            <w:proofErr w:type="spellStart"/>
            <w:r w:rsidRPr="00DF4CE5">
              <w:rPr>
                <w:rFonts w:ascii="Cambria" w:eastAsia="Times New Roman" w:hAnsi="Cambria" w:cs="Calibri"/>
              </w:rPr>
              <w:t>Mjesto</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izvođenja</w:t>
            </w:r>
            <w:proofErr w:type="spellEnd"/>
          </w:p>
        </w:tc>
        <w:tc>
          <w:tcPr>
            <w:tcW w:w="248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186D0AA" w14:textId="77777777" w:rsidR="003415F8" w:rsidRPr="00DF4CE5" w:rsidRDefault="003415F8" w:rsidP="00587D5D">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učionica,</w:t>
            </w:r>
          </w:p>
          <w:p w14:paraId="4BFFBAFC" w14:textId="77777777" w:rsidR="003415F8" w:rsidRPr="00DF4CE5" w:rsidRDefault="003415F8" w:rsidP="00587D5D">
            <w:pPr>
              <w:spacing w:after="0" w:line="240" w:lineRule="auto"/>
              <w:rPr>
                <w:rFonts w:ascii="Cambria" w:eastAsia="Times New Roman" w:hAnsi="Cambria" w:cs="Calibri"/>
                <w:lang w:val="hr-HR"/>
              </w:rPr>
            </w:pPr>
            <w:r w:rsidRPr="00DF4CE5">
              <w:rPr>
                <w:rFonts w:ascii="Cambria" w:eastAsia="Times New Roman" w:hAnsi="Cambria" w:cs="Calibri"/>
                <w:lang w:val="hr-HR"/>
              </w:rPr>
              <w:t>vježbaonica u osnovnoj školi</w:t>
            </w:r>
          </w:p>
        </w:tc>
        <w:tc>
          <w:tcPr>
            <w:tcW w:w="1470"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2CB53C5A" w14:textId="77777777" w:rsidR="003415F8" w:rsidRPr="00DF4CE5" w:rsidRDefault="003415F8" w:rsidP="00587D5D">
            <w:pPr>
              <w:spacing w:after="0" w:line="240" w:lineRule="auto"/>
              <w:jc w:val="both"/>
              <w:rPr>
                <w:rFonts w:ascii="Cambria" w:eastAsia="Times New Roman" w:hAnsi="Cambria" w:cs="Calibri"/>
                <w:lang w:val="hr-HR"/>
              </w:rPr>
            </w:pPr>
            <w:r w:rsidRPr="00DF4CE5">
              <w:rPr>
                <w:rFonts w:ascii="Cambria" w:eastAsia="Times New Roman" w:hAnsi="Cambria" w:cs="Calibri"/>
              </w:rPr>
              <w:t>Jezik</w:t>
            </w:r>
            <w:r w:rsidRPr="00DF4CE5">
              <w:rPr>
                <w:rFonts w:ascii="Cambria" w:eastAsia="Times New Roman" w:hAnsi="Cambria" w:cs="Calibri"/>
                <w:lang w:val="hr-HR"/>
              </w:rPr>
              <w:t xml:space="preserve"> izvođenja (drugi jezici)</w:t>
            </w:r>
          </w:p>
        </w:tc>
        <w:tc>
          <w:tcPr>
            <w:tcW w:w="2770"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FD90443" w14:textId="77777777" w:rsidR="003415F8" w:rsidRPr="00DF4CE5" w:rsidRDefault="003415F8" w:rsidP="00587D5D">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hrvatski </w:t>
            </w:r>
          </w:p>
          <w:p w14:paraId="038567B1" w14:textId="77777777" w:rsidR="003415F8" w:rsidRPr="00DF4CE5" w:rsidRDefault="003415F8" w:rsidP="00587D5D">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(talijanski, slovenski)</w:t>
            </w:r>
          </w:p>
        </w:tc>
      </w:tr>
      <w:tr w:rsidR="003415F8" w:rsidRPr="00DF4CE5" w14:paraId="592B64C9" w14:textId="77777777" w:rsidTr="00587D5D">
        <w:tc>
          <w:tcPr>
            <w:tcW w:w="261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6E25E5B" w14:textId="77777777" w:rsidR="003415F8" w:rsidRPr="00DF4CE5" w:rsidRDefault="003415F8" w:rsidP="00587D5D">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Broj ECTS bodova</w:t>
            </w:r>
          </w:p>
        </w:tc>
        <w:tc>
          <w:tcPr>
            <w:tcW w:w="248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54ABE79" w14:textId="7BC3C658" w:rsidR="003415F8" w:rsidRPr="00DF4CE5" w:rsidRDefault="003415F8" w:rsidP="00587D5D">
            <w:pPr>
              <w:spacing w:after="0" w:line="240" w:lineRule="auto"/>
              <w:jc w:val="both"/>
              <w:rPr>
                <w:rFonts w:ascii="Cambria" w:eastAsia="Times New Roman" w:hAnsi="Cambria" w:cs="Calibri"/>
                <w:lang w:val="hr-HR"/>
              </w:rPr>
            </w:pPr>
            <w:r>
              <w:rPr>
                <w:rFonts w:ascii="Cambria" w:eastAsia="Times New Roman" w:hAnsi="Cambria" w:cs="Calibri"/>
                <w:lang w:val="hr-HR"/>
              </w:rPr>
              <w:t>5</w:t>
            </w:r>
          </w:p>
        </w:tc>
        <w:tc>
          <w:tcPr>
            <w:tcW w:w="1470"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6F79F3A2" w14:textId="77777777" w:rsidR="003415F8" w:rsidRPr="00DF4CE5" w:rsidRDefault="003415F8" w:rsidP="00587D5D">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Broj sati u semestru</w:t>
            </w:r>
          </w:p>
        </w:tc>
        <w:tc>
          <w:tcPr>
            <w:tcW w:w="2770"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484793A" w14:textId="7C601E75" w:rsidR="003415F8" w:rsidRPr="00DF4CE5" w:rsidRDefault="003415F8" w:rsidP="00587D5D">
            <w:pPr>
              <w:spacing w:after="0" w:line="240" w:lineRule="auto"/>
              <w:jc w:val="both"/>
              <w:rPr>
                <w:rFonts w:ascii="Cambria" w:eastAsia="Times New Roman" w:hAnsi="Cambria" w:cs="Calibri"/>
                <w:lang w:val="hr-HR"/>
              </w:rPr>
            </w:pPr>
            <w:r>
              <w:rPr>
                <w:rFonts w:ascii="Cambria" w:eastAsia="Times New Roman" w:hAnsi="Cambria" w:cs="Calibri"/>
                <w:lang w:val="hr-HR"/>
              </w:rPr>
              <w:t>45</w:t>
            </w:r>
            <w:r w:rsidRPr="00DF4CE5">
              <w:rPr>
                <w:rFonts w:ascii="Cambria" w:eastAsia="Times New Roman" w:hAnsi="Cambria" w:cs="Calibri"/>
                <w:lang w:val="hr-HR"/>
              </w:rPr>
              <w:t xml:space="preserve">P – 0S – 15V   </w:t>
            </w:r>
          </w:p>
        </w:tc>
      </w:tr>
      <w:tr w:rsidR="003415F8" w:rsidRPr="00D0399C" w14:paraId="3F1659D3" w14:textId="77777777" w:rsidTr="00587D5D">
        <w:tc>
          <w:tcPr>
            <w:tcW w:w="261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0C64E21" w14:textId="77777777" w:rsidR="003415F8" w:rsidRPr="00DF4CE5" w:rsidRDefault="003415F8" w:rsidP="00587D5D">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Preduvjeti za upis i za svladavanje</w:t>
            </w:r>
          </w:p>
        </w:tc>
        <w:tc>
          <w:tcPr>
            <w:tcW w:w="6723"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2B04366" w14:textId="77777777" w:rsidR="003415F8" w:rsidRPr="00DF4CE5" w:rsidRDefault="003415F8" w:rsidP="00587D5D">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Položen ispit iz Sviranja II.</w:t>
            </w:r>
          </w:p>
        </w:tc>
      </w:tr>
      <w:tr w:rsidR="003415F8" w:rsidRPr="00D0399C" w14:paraId="5473E696" w14:textId="77777777" w:rsidTr="00587D5D">
        <w:tc>
          <w:tcPr>
            <w:tcW w:w="261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780CF37" w14:textId="77777777" w:rsidR="003415F8" w:rsidRPr="00DF4CE5" w:rsidRDefault="003415F8" w:rsidP="00587D5D">
            <w:pPr>
              <w:spacing w:after="0" w:line="240" w:lineRule="auto"/>
              <w:jc w:val="both"/>
              <w:rPr>
                <w:rFonts w:ascii="Cambria" w:eastAsia="Times New Roman" w:hAnsi="Cambria" w:cs="Calibri"/>
                <w:lang w:val="hr-HR"/>
              </w:rPr>
            </w:pPr>
            <w:proofErr w:type="spellStart"/>
            <w:r w:rsidRPr="00DF4CE5">
              <w:rPr>
                <w:rFonts w:ascii="Cambria" w:eastAsia="Times New Roman" w:hAnsi="Cambria" w:cs="Calibri"/>
              </w:rPr>
              <w:t>Korelativnost</w:t>
            </w:r>
            <w:proofErr w:type="spellEnd"/>
          </w:p>
        </w:tc>
        <w:tc>
          <w:tcPr>
            <w:tcW w:w="6723"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39A607A" w14:textId="77777777" w:rsidR="003415F8" w:rsidRPr="00DF4CE5" w:rsidRDefault="003415F8" w:rsidP="00587D5D">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Glazbena kultura, Glazbeno pismo i sviranje, Sviranje I., Sviranje II. Metodika hrvatskog jezika, Metodika likovne kulture, Metodika kineziološke kulture, Rad s darovitom djecom, Rad s djecom s posebnim potrebama</w:t>
            </w:r>
          </w:p>
        </w:tc>
      </w:tr>
      <w:tr w:rsidR="003415F8" w:rsidRPr="00D0399C" w14:paraId="143903DC" w14:textId="77777777" w:rsidTr="00587D5D">
        <w:trPr>
          <w:trHeight w:val="957"/>
        </w:trPr>
        <w:tc>
          <w:tcPr>
            <w:tcW w:w="261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D61E028" w14:textId="77777777" w:rsidR="003415F8" w:rsidRPr="00DF4CE5" w:rsidRDefault="003415F8" w:rsidP="00587D5D">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Cilj kolegija </w:t>
            </w:r>
          </w:p>
        </w:tc>
        <w:tc>
          <w:tcPr>
            <w:tcW w:w="6723"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EE14C4D" w14:textId="77777777" w:rsidR="003415F8" w:rsidRPr="00DF4CE5" w:rsidRDefault="003415F8" w:rsidP="00587D5D">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ovladati odrednicama metodike glazbene kulture i upoznati sve organizacijske oblike rada u području pjevanja, sviranja, slušanja i glazbenog stvaralaštva koristeći se glazbenom terminologijom</w:t>
            </w:r>
          </w:p>
        </w:tc>
      </w:tr>
      <w:tr w:rsidR="003415F8" w:rsidRPr="00D0399C" w14:paraId="66F56541" w14:textId="77777777" w:rsidTr="00587D5D">
        <w:tc>
          <w:tcPr>
            <w:tcW w:w="261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A55D940" w14:textId="77777777" w:rsidR="003415F8" w:rsidRPr="00DF4CE5" w:rsidRDefault="003415F8" w:rsidP="00587D5D">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Ishodi učenja</w:t>
            </w:r>
          </w:p>
        </w:tc>
        <w:tc>
          <w:tcPr>
            <w:tcW w:w="6723"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A7C4D47" w14:textId="77777777" w:rsidR="003415F8" w:rsidRPr="00DF4CE5" w:rsidRDefault="003415F8" w:rsidP="00587D5D">
            <w:pPr>
              <w:autoSpaceDE w:val="0"/>
              <w:autoSpaceDN w:val="0"/>
              <w:adjustRightInd w:val="0"/>
              <w:spacing w:after="0" w:line="240" w:lineRule="auto"/>
              <w:jc w:val="both"/>
              <w:rPr>
                <w:rFonts w:ascii="Cambria" w:eastAsia="Times New Roman" w:hAnsi="Cambria" w:cs="Calibri"/>
                <w:lang w:val="hr-HR"/>
              </w:rPr>
            </w:pPr>
            <w:r w:rsidRPr="00DF4CE5">
              <w:rPr>
                <w:rFonts w:ascii="Cambria" w:eastAsia="Times New Roman" w:hAnsi="Cambria" w:cs="Calibri"/>
                <w:lang w:val="hr-HR"/>
              </w:rPr>
              <w:t>1. definirati sve bitne odrednice metodike glazbene kulture</w:t>
            </w:r>
          </w:p>
          <w:p w14:paraId="0DADA59E" w14:textId="77777777" w:rsidR="003415F8" w:rsidRPr="00DF4CE5" w:rsidRDefault="003415F8" w:rsidP="00587D5D">
            <w:pPr>
              <w:autoSpaceDE w:val="0"/>
              <w:autoSpaceDN w:val="0"/>
              <w:adjustRightInd w:val="0"/>
              <w:spacing w:after="0" w:line="240" w:lineRule="auto"/>
              <w:jc w:val="both"/>
              <w:rPr>
                <w:rFonts w:ascii="Cambria" w:eastAsia="Times New Roman" w:hAnsi="Cambria" w:cs="Calibri"/>
                <w:lang w:val="hr-HR"/>
              </w:rPr>
            </w:pPr>
            <w:r w:rsidRPr="00DF4CE5">
              <w:rPr>
                <w:rFonts w:ascii="Cambria" w:eastAsia="Times New Roman" w:hAnsi="Cambria" w:cs="Calibri"/>
                <w:lang w:val="hr-HR"/>
              </w:rPr>
              <w:t>2. navesti prednosti i nedostatke različitih nastavnih oblika i metoda rada u glazbenoj kulturi</w:t>
            </w:r>
          </w:p>
          <w:p w14:paraId="59B74596" w14:textId="77777777" w:rsidR="003415F8" w:rsidRPr="00DF4CE5" w:rsidRDefault="003415F8" w:rsidP="00587D5D">
            <w:pPr>
              <w:autoSpaceDE w:val="0"/>
              <w:autoSpaceDN w:val="0"/>
              <w:adjustRightInd w:val="0"/>
              <w:spacing w:after="0" w:line="240" w:lineRule="auto"/>
              <w:jc w:val="both"/>
              <w:rPr>
                <w:rFonts w:ascii="Cambria" w:eastAsia="Times New Roman" w:hAnsi="Cambria" w:cs="Calibri"/>
                <w:lang w:val="hr-HR"/>
              </w:rPr>
            </w:pPr>
            <w:r w:rsidRPr="00DF4CE5">
              <w:rPr>
                <w:rFonts w:ascii="Cambria" w:eastAsia="Times New Roman" w:hAnsi="Cambria" w:cs="Calibri"/>
                <w:lang w:val="hr-HR"/>
              </w:rPr>
              <w:t>3. demonstrirati znanja iz teorije glazbe, glazbene umjetnosti, pjevanja i sviranja na teorijskoj i praktičnoj razini</w:t>
            </w:r>
          </w:p>
        </w:tc>
      </w:tr>
      <w:tr w:rsidR="003415F8" w:rsidRPr="00D0399C" w14:paraId="4658D5DA" w14:textId="77777777" w:rsidTr="00587D5D">
        <w:tc>
          <w:tcPr>
            <w:tcW w:w="2617"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6F3A5FAD" w14:textId="77777777" w:rsidR="003415F8" w:rsidRPr="00DF4CE5" w:rsidRDefault="003415F8" w:rsidP="00587D5D">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Sadržaj kolegija</w:t>
            </w:r>
          </w:p>
        </w:tc>
        <w:tc>
          <w:tcPr>
            <w:tcW w:w="6723"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7573B9" w14:textId="77777777" w:rsidR="003415F8" w:rsidRPr="00DF4CE5" w:rsidRDefault="003415F8" w:rsidP="00587D5D">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1. Pojam i definicija metodike glazbene kulture</w:t>
            </w:r>
          </w:p>
          <w:p w14:paraId="0DE54E10" w14:textId="77777777" w:rsidR="003415F8" w:rsidRPr="00DF4CE5" w:rsidRDefault="003415F8" w:rsidP="00587D5D">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2. Nastavni oblici i metode rada</w:t>
            </w:r>
          </w:p>
          <w:p w14:paraId="30F064B9" w14:textId="77777777" w:rsidR="003415F8" w:rsidRPr="00DF4CE5" w:rsidRDefault="003415F8" w:rsidP="00587D5D">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3. Pjevanje kao područje glazbene kulture</w:t>
            </w:r>
          </w:p>
          <w:p w14:paraId="1154EDCB" w14:textId="77777777" w:rsidR="003415F8" w:rsidRPr="00DF4CE5" w:rsidRDefault="003415F8" w:rsidP="00587D5D">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4. Postupak učenja po sluhu</w:t>
            </w:r>
          </w:p>
          <w:p w14:paraId="02333D65" w14:textId="77777777" w:rsidR="003415F8" w:rsidRPr="00DF4CE5" w:rsidRDefault="003415F8" w:rsidP="00587D5D">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5. Glazbeni instrumenti i </w:t>
            </w:r>
            <w:proofErr w:type="spellStart"/>
            <w:r w:rsidRPr="00DF4CE5">
              <w:rPr>
                <w:rFonts w:ascii="Cambria" w:eastAsia="Times New Roman" w:hAnsi="Cambria" w:cs="Calibri"/>
                <w:lang w:val="hr-HR"/>
              </w:rPr>
              <w:t>Orffov</w:t>
            </w:r>
            <w:proofErr w:type="spellEnd"/>
            <w:r w:rsidRPr="00DF4CE5">
              <w:rPr>
                <w:rFonts w:ascii="Cambria" w:eastAsia="Times New Roman" w:hAnsi="Cambria" w:cs="Calibri"/>
                <w:lang w:val="hr-HR"/>
              </w:rPr>
              <w:t xml:space="preserve"> instrumentarij</w:t>
            </w:r>
          </w:p>
          <w:p w14:paraId="02C70B76" w14:textId="77777777" w:rsidR="003415F8" w:rsidRPr="00DF4CE5" w:rsidRDefault="003415F8" w:rsidP="00587D5D">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6. Sviranje kao područje glazbene kulture</w:t>
            </w:r>
          </w:p>
          <w:p w14:paraId="290F5116" w14:textId="77777777" w:rsidR="003415F8" w:rsidRPr="00DF4CE5" w:rsidRDefault="003415F8" w:rsidP="00587D5D">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7. Brojalice</w:t>
            </w:r>
          </w:p>
          <w:p w14:paraId="4BA691B4" w14:textId="77777777" w:rsidR="003415F8" w:rsidRPr="00DF4CE5" w:rsidRDefault="003415F8" w:rsidP="00587D5D">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8. Slušanje glazbe kao područje glazbene kulture</w:t>
            </w:r>
          </w:p>
          <w:p w14:paraId="50307AFC" w14:textId="77777777" w:rsidR="003415F8" w:rsidRPr="00DF4CE5" w:rsidRDefault="003415F8" w:rsidP="00587D5D">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9. Zapažanje izražajnih elemenata</w:t>
            </w:r>
          </w:p>
          <w:p w14:paraId="6EEAF228" w14:textId="77777777" w:rsidR="003415F8" w:rsidRPr="00DF4CE5" w:rsidRDefault="003415F8" w:rsidP="00587D5D">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10. Terenska nastava</w:t>
            </w:r>
          </w:p>
        </w:tc>
      </w:tr>
      <w:tr w:rsidR="003415F8" w:rsidRPr="00DF4CE5" w14:paraId="373A621A" w14:textId="77777777" w:rsidTr="00587D5D">
        <w:tc>
          <w:tcPr>
            <w:tcW w:w="2617"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hideMark/>
          </w:tcPr>
          <w:p w14:paraId="5910E6A2" w14:textId="77777777" w:rsidR="003415F8" w:rsidRPr="00DF4CE5" w:rsidRDefault="003415F8" w:rsidP="00587D5D">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Planirane aktivnosti</w:t>
            </w:r>
            <w:r w:rsidRPr="00DF4CE5">
              <w:rPr>
                <w:rFonts w:ascii="Cambria" w:eastAsia="Times New Roman" w:hAnsi="Cambria" w:cs="Calibri"/>
                <w:lang w:val="it-IT"/>
              </w:rPr>
              <w:t>,</w:t>
            </w:r>
          </w:p>
          <w:p w14:paraId="786CB7E7" w14:textId="77777777" w:rsidR="003415F8" w:rsidRPr="00DF4CE5" w:rsidRDefault="003415F8" w:rsidP="00587D5D">
            <w:pPr>
              <w:spacing w:after="0" w:line="240" w:lineRule="auto"/>
              <w:jc w:val="both"/>
              <w:rPr>
                <w:rFonts w:ascii="Cambria" w:eastAsia="Times New Roman" w:hAnsi="Cambria" w:cs="Calibri"/>
                <w:lang w:val="hr-HR"/>
              </w:rPr>
            </w:pPr>
            <w:proofErr w:type="spellStart"/>
            <w:r w:rsidRPr="00DF4CE5">
              <w:rPr>
                <w:rFonts w:ascii="Cambria" w:eastAsia="Times New Roman" w:hAnsi="Cambria" w:cs="Calibri"/>
                <w:lang w:val="it-IT"/>
              </w:rPr>
              <w:t>metode</w:t>
            </w:r>
            <w:proofErr w:type="spellEnd"/>
            <w:r w:rsidRPr="00DF4CE5">
              <w:rPr>
                <w:rFonts w:ascii="Cambria" w:eastAsia="Times New Roman" w:hAnsi="Cambria" w:cs="Calibri"/>
                <w:lang w:val="it-IT"/>
              </w:rPr>
              <w:t xml:space="preserve"> </w:t>
            </w:r>
            <w:r w:rsidRPr="00DF4CE5">
              <w:rPr>
                <w:rFonts w:ascii="Cambria" w:eastAsia="Times New Roman" w:hAnsi="Cambria" w:cs="Calibri"/>
                <w:lang w:val="hr-HR"/>
              </w:rPr>
              <w:t>učenja i poučavanja i načini vrednovanja</w:t>
            </w:r>
          </w:p>
        </w:tc>
        <w:tc>
          <w:tcPr>
            <w:tcW w:w="258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DD81E10" w14:textId="77777777" w:rsidR="003415F8" w:rsidRPr="00DF4CE5" w:rsidRDefault="003415F8" w:rsidP="00587D5D">
            <w:pPr>
              <w:spacing w:after="0" w:line="240" w:lineRule="auto"/>
              <w:jc w:val="both"/>
              <w:rPr>
                <w:rFonts w:ascii="Cambria" w:eastAsia="Times New Roman" w:hAnsi="Cambria" w:cs="Calibri"/>
                <w:lang w:val="hr-HR"/>
              </w:rPr>
            </w:pPr>
            <w:r w:rsidRPr="00DF4CE5">
              <w:rPr>
                <w:rFonts w:ascii="Cambria" w:eastAsia="Times New Roman" w:hAnsi="Cambria" w:cs="Calibri"/>
                <w:bCs/>
                <w:lang w:val="hr-HR"/>
              </w:rPr>
              <w:t>Obveze</w:t>
            </w:r>
          </w:p>
        </w:tc>
        <w:tc>
          <w:tcPr>
            <w:tcW w:w="10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7064379" w14:textId="77777777" w:rsidR="003415F8" w:rsidRPr="00DF4CE5" w:rsidRDefault="003415F8" w:rsidP="00587D5D">
            <w:pPr>
              <w:spacing w:after="0" w:line="240" w:lineRule="auto"/>
              <w:jc w:val="both"/>
              <w:rPr>
                <w:rFonts w:ascii="Cambria" w:eastAsia="Times New Roman" w:hAnsi="Cambria" w:cs="Calibri"/>
                <w:lang w:val="hr-HR"/>
              </w:rPr>
            </w:pPr>
            <w:r w:rsidRPr="00DF4CE5">
              <w:rPr>
                <w:rFonts w:ascii="Cambria" w:eastAsia="Times New Roman" w:hAnsi="Cambria" w:cs="Calibri"/>
                <w:bCs/>
                <w:lang w:val="hr-HR"/>
              </w:rPr>
              <w:t>Ishodi</w:t>
            </w:r>
          </w:p>
        </w:tc>
        <w:tc>
          <w:tcPr>
            <w:tcW w:w="71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65755F1" w14:textId="77777777" w:rsidR="003415F8" w:rsidRPr="00DF4CE5" w:rsidRDefault="003415F8" w:rsidP="00587D5D">
            <w:pPr>
              <w:spacing w:after="0" w:line="240" w:lineRule="auto"/>
              <w:jc w:val="both"/>
              <w:rPr>
                <w:rFonts w:ascii="Cambria" w:eastAsia="Times New Roman" w:hAnsi="Cambria" w:cs="Calibri"/>
                <w:lang w:val="hr-HR"/>
              </w:rPr>
            </w:pPr>
            <w:r w:rsidRPr="00DF4CE5">
              <w:rPr>
                <w:rFonts w:ascii="Cambria" w:eastAsia="Times New Roman" w:hAnsi="Cambria" w:cs="Calibri"/>
                <w:bCs/>
                <w:lang w:val="hr-HR"/>
              </w:rPr>
              <w:t>Sati</w:t>
            </w:r>
          </w:p>
        </w:tc>
        <w:tc>
          <w:tcPr>
            <w:tcW w:w="101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F88E85A" w14:textId="77777777" w:rsidR="003415F8" w:rsidRPr="00DF4CE5" w:rsidRDefault="003415F8" w:rsidP="00587D5D">
            <w:pPr>
              <w:spacing w:after="0" w:line="240" w:lineRule="auto"/>
              <w:jc w:val="both"/>
              <w:rPr>
                <w:rFonts w:ascii="Cambria" w:eastAsia="Times New Roman" w:hAnsi="Cambria" w:cs="Calibri"/>
                <w:lang w:val="hr-HR"/>
              </w:rPr>
            </w:pPr>
            <w:r w:rsidRPr="00DF4CE5">
              <w:rPr>
                <w:rFonts w:ascii="Cambria" w:eastAsia="Times New Roman" w:hAnsi="Cambria" w:cs="Calibri"/>
                <w:bCs/>
                <w:lang w:val="hr-HR"/>
              </w:rPr>
              <w:t>ECTS</w:t>
            </w:r>
            <w:r w:rsidRPr="00DF4CE5">
              <w:rPr>
                <w:rFonts w:ascii="Cambria" w:eastAsia="Times New Roman" w:hAnsi="Cambria" w:cs="Calibri"/>
                <w:lang w:val="hr-HR"/>
              </w:rPr>
              <w:t xml:space="preserve"> </w:t>
            </w:r>
          </w:p>
        </w:tc>
        <w:tc>
          <w:tcPr>
            <w:tcW w:w="131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2468A75" w14:textId="77777777" w:rsidR="003415F8" w:rsidRPr="00DF4CE5" w:rsidRDefault="003415F8" w:rsidP="00587D5D">
            <w:pPr>
              <w:spacing w:after="0" w:line="240" w:lineRule="auto"/>
              <w:jc w:val="both"/>
              <w:rPr>
                <w:rFonts w:ascii="Cambria" w:eastAsia="Times New Roman" w:hAnsi="Cambria" w:cs="Calibri"/>
                <w:lang w:val="hr-HR"/>
              </w:rPr>
            </w:pPr>
            <w:r w:rsidRPr="00DF4CE5">
              <w:rPr>
                <w:rFonts w:ascii="Cambria" w:eastAsia="Times New Roman" w:hAnsi="Cambria" w:cs="Calibri"/>
                <w:bCs/>
                <w:lang w:val="hr-HR"/>
              </w:rPr>
              <w:t>Maksimalni udio u ocjeni</w:t>
            </w:r>
            <w:r w:rsidRPr="00DF4CE5">
              <w:rPr>
                <w:rFonts w:ascii="Cambria" w:eastAsia="Times New Roman" w:hAnsi="Cambria" w:cs="Calibri"/>
                <w:bCs/>
              </w:rPr>
              <w:t xml:space="preserve"> (%)</w:t>
            </w:r>
          </w:p>
        </w:tc>
      </w:tr>
      <w:tr w:rsidR="003415F8" w:rsidRPr="00DF4CE5" w14:paraId="0BF431EF" w14:textId="77777777" w:rsidTr="00587D5D">
        <w:tc>
          <w:tcPr>
            <w:tcW w:w="2617" w:type="dxa"/>
            <w:vMerge/>
            <w:tcBorders>
              <w:left w:val="single" w:sz="8" w:space="0" w:color="000000"/>
              <w:right w:val="single" w:sz="8" w:space="0" w:color="000000"/>
            </w:tcBorders>
            <w:vAlign w:val="center"/>
            <w:hideMark/>
          </w:tcPr>
          <w:p w14:paraId="55D250BE" w14:textId="77777777" w:rsidR="003415F8" w:rsidRPr="00DF4CE5" w:rsidRDefault="003415F8" w:rsidP="00587D5D">
            <w:pPr>
              <w:spacing w:after="0" w:line="240" w:lineRule="auto"/>
              <w:jc w:val="both"/>
              <w:rPr>
                <w:rFonts w:ascii="Cambria" w:eastAsia="Times New Roman" w:hAnsi="Cambria" w:cs="Calibri"/>
                <w:lang w:val="hr-HR"/>
              </w:rPr>
            </w:pPr>
          </w:p>
        </w:tc>
        <w:tc>
          <w:tcPr>
            <w:tcW w:w="258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07065F0" w14:textId="77777777" w:rsidR="003415F8" w:rsidRPr="00DF4CE5" w:rsidRDefault="003415F8" w:rsidP="00587D5D">
            <w:pPr>
              <w:spacing w:after="0" w:line="240" w:lineRule="auto"/>
              <w:jc w:val="both"/>
              <w:rPr>
                <w:rFonts w:ascii="Cambria" w:eastAsia="Times New Roman" w:hAnsi="Cambria" w:cs="Calibri"/>
                <w:lang w:val="hr-HR"/>
              </w:rPr>
            </w:pPr>
            <w:proofErr w:type="spellStart"/>
            <w:r w:rsidRPr="00DF4CE5">
              <w:rPr>
                <w:rFonts w:ascii="Cambria" w:eastAsia="Times New Roman" w:hAnsi="Cambria" w:cs="Calibri"/>
              </w:rPr>
              <w:t>aktivnost</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na</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nastavi</w:t>
            </w:r>
            <w:proofErr w:type="spellEnd"/>
            <w:r w:rsidRPr="00DF4CE5">
              <w:rPr>
                <w:rFonts w:ascii="Cambria" w:eastAsia="Times New Roman" w:hAnsi="Cambria" w:cs="Calibri"/>
                <w:lang w:val="hr-HR"/>
              </w:rPr>
              <w:t xml:space="preserve"> </w:t>
            </w:r>
          </w:p>
        </w:tc>
        <w:tc>
          <w:tcPr>
            <w:tcW w:w="10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30364A7" w14:textId="77777777" w:rsidR="003415F8" w:rsidRPr="00DF4CE5" w:rsidRDefault="003415F8" w:rsidP="00587D5D">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 xml:space="preserve">1. </w:t>
            </w:r>
            <w:r>
              <w:rPr>
                <w:rFonts w:ascii="Cambria" w:eastAsia="Times New Roman" w:hAnsi="Cambria" w:cs="Calibri"/>
                <w:lang w:val="hr-HR"/>
              </w:rPr>
              <w:t>–</w:t>
            </w:r>
            <w:r w:rsidRPr="00DF4CE5">
              <w:rPr>
                <w:rFonts w:ascii="Cambria" w:eastAsia="Times New Roman" w:hAnsi="Cambria" w:cs="Calibri"/>
                <w:lang w:val="hr-HR"/>
              </w:rPr>
              <w:t xml:space="preserve"> 3.</w:t>
            </w:r>
          </w:p>
        </w:tc>
        <w:tc>
          <w:tcPr>
            <w:tcW w:w="71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4394AE9" w14:textId="126ECD75" w:rsidR="003415F8" w:rsidRPr="00DF4CE5" w:rsidRDefault="003415F8" w:rsidP="00587D5D">
            <w:pPr>
              <w:spacing w:after="0" w:line="240" w:lineRule="auto"/>
              <w:jc w:val="center"/>
              <w:rPr>
                <w:rFonts w:ascii="Cambria" w:eastAsia="Times New Roman" w:hAnsi="Cambria" w:cs="Calibri"/>
                <w:lang w:val="hr-HR"/>
              </w:rPr>
            </w:pPr>
            <w:r>
              <w:rPr>
                <w:rFonts w:ascii="Cambria" w:eastAsia="Times New Roman" w:hAnsi="Cambria" w:cs="Calibri"/>
                <w:lang w:val="hr-HR"/>
              </w:rPr>
              <w:t>45</w:t>
            </w:r>
          </w:p>
        </w:tc>
        <w:tc>
          <w:tcPr>
            <w:tcW w:w="101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4FBB5C6" w14:textId="2C2DC883" w:rsidR="003415F8" w:rsidRPr="00DF4CE5" w:rsidRDefault="003415F8" w:rsidP="00587D5D">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1,</w:t>
            </w:r>
            <w:r>
              <w:rPr>
                <w:rFonts w:ascii="Cambria" w:eastAsia="Times New Roman" w:hAnsi="Cambria" w:cs="Calibri"/>
                <w:lang w:val="hr-HR"/>
              </w:rPr>
              <w:t>5</w:t>
            </w:r>
          </w:p>
        </w:tc>
        <w:tc>
          <w:tcPr>
            <w:tcW w:w="131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7791A56" w14:textId="77777777" w:rsidR="003415F8" w:rsidRPr="00DF4CE5" w:rsidRDefault="003415F8" w:rsidP="00587D5D">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10%</w:t>
            </w:r>
          </w:p>
        </w:tc>
      </w:tr>
      <w:tr w:rsidR="003415F8" w:rsidRPr="00DF4CE5" w14:paraId="3B534736" w14:textId="77777777" w:rsidTr="00587D5D">
        <w:tc>
          <w:tcPr>
            <w:tcW w:w="2617" w:type="dxa"/>
            <w:vMerge/>
            <w:tcBorders>
              <w:left w:val="single" w:sz="8" w:space="0" w:color="000000"/>
              <w:right w:val="single" w:sz="8" w:space="0" w:color="000000"/>
            </w:tcBorders>
            <w:vAlign w:val="center"/>
            <w:hideMark/>
          </w:tcPr>
          <w:p w14:paraId="322C4563" w14:textId="77777777" w:rsidR="003415F8" w:rsidRPr="00DF4CE5" w:rsidRDefault="003415F8" w:rsidP="00587D5D">
            <w:pPr>
              <w:spacing w:after="0" w:line="240" w:lineRule="auto"/>
              <w:jc w:val="both"/>
              <w:rPr>
                <w:rFonts w:ascii="Cambria" w:eastAsia="Times New Roman" w:hAnsi="Cambria" w:cs="Calibri"/>
                <w:lang w:val="hr-HR"/>
              </w:rPr>
            </w:pPr>
          </w:p>
        </w:tc>
        <w:tc>
          <w:tcPr>
            <w:tcW w:w="258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76EBD35" w14:textId="77777777" w:rsidR="003415F8" w:rsidRPr="00DF4CE5" w:rsidRDefault="003415F8" w:rsidP="00587D5D">
            <w:pPr>
              <w:spacing w:after="0" w:line="240" w:lineRule="auto"/>
              <w:rPr>
                <w:rFonts w:ascii="Cambria" w:eastAsia="Times New Roman" w:hAnsi="Cambria" w:cs="Calibri"/>
                <w:lang w:val="hr-HR"/>
              </w:rPr>
            </w:pPr>
            <w:r w:rsidRPr="00DF4CE5">
              <w:rPr>
                <w:rFonts w:ascii="Cambria" w:eastAsia="Times New Roman" w:hAnsi="Cambria" w:cs="Calibri"/>
                <w:lang w:val="hr-HR"/>
              </w:rPr>
              <w:t>vježbe sviranja u komornom sastavu</w:t>
            </w:r>
          </w:p>
        </w:tc>
        <w:tc>
          <w:tcPr>
            <w:tcW w:w="10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E5D76B8" w14:textId="77777777" w:rsidR="003415F8" w:rsidRPr="00DF4CE5" w:rsidRDefault="003415F8" w:rsidP="00587D5D">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3.</w:t>
            </w:r>
          </w:p>
        </w:tc>
        <w:tc>
          <w:tcPr>
            <w:tcW w:w="71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2A029DE" w14:textId="77777777" w:rsidR="003415F8" w:rsidRPr="00DF4CE5" w:rsidRDefault="003415F8" w:rsidP="00587D5D">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15</w:t>
            </w:r>
          </w:p>
        </w:tc>
        <w:tc>
          <w:tcPr>
            <w:tcW w:w="101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572E5E4" w14:textId="77777777" w:rsidR="003415F8" w:rsidRPr="00DF4CE5" w:rsidRDefault="003415F8" w:rsidP="00587D5D">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0,5</w:t>
            </w:r>
          </w:p>
        </w:tc>
        <w:tc>
          <w:tcPr>
            <w:tcW w:w="131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3EA372B" w14:textId="77777777" w:rsidR="003415F8" w:rsidRPr="00DF4CE5" w:rsidRDefault="003415F8" w:rsidP="00587D5D">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10%</w:t>
            </w:r>
          </w:p>
        </w:tc>
      </w:tr>
      <w:tr w:rsidR="003415F8" w:rsidRPr="00DF4CE5" w14:paraId="7A202050" w14:textId="77777777" w:rsidTr="00587D5D">
        <w:tc>
          <w:tcPr>
            <w:tcW w:w="2617" w:type="dxa"/>
            <w:vMerge/>
            <w:tcBorders>
              <w:left w:val="single" w:sz="8" w:space="0" w:color="000000"/>
              <w:right w:val="single" w:sz="8" w:space="0" w:color="000000"/>
            </w:tcBorders>
            <w:vAlign w:val="center"/>
            <w:hideMark/>
          </w:tcPr>
          <w:p w14:paraId="04DFAD40" w14:textId="77777777" w:rsidR="003415F8" w:rsidRPr="00DF4CE5" w:rsidRDefault="003415F8" w:rsidP="00587D5D">
            <w:pPr>
              <w:spacing w:after="0" w:line="240" w:lineRule="auto"/>
              <w:jc w:val="both"/>
              <w:rPr>
                <w:rFonts w:ascii="Cambria" w:eastAsia="Times New Roman" w:hAnsi="Cambria" w:cs="Calibri"/>
                <w:lang w:val="hr-HR"/>
              </w:rPr>
            </w:pPr>
          </w:p>
        </w:tc>
        <w:tc>
          <w:tcPr>
            <w:tcW w:w="258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406206F" w14:textId="77777777" w:rsidR="003415F8" w:rsidRPr="00DF4CE5" w:rsidRDefault="003415F8" w:rsidP="00587D5D">
            <w:pPr>
              <w:spacing w:after="0" w:line="240" w:lineRule="auto"/>
              <w:rPr>
                <w:rFonts w:ascii="Cambria" w:eastAsia="Times New Roman" w:hAnsi="Cambria" w:cs="Calibri"/>
                <w:lang w:val="hr-HR"/>
              </w:rPr>
            </w:pPr>
            <w:proofErr w:type="spellStart"/>
            <w:r w:rsidRPr="00DF4CE5">
              <w:rPr>
                <w:rFonts w:ascii="Cambria" w:eastAsia="Times New Roman" w:hAnsi="Cambria" w:cs="Calibri"/>
                <w:lang w:val="it-IT"/>
              </w:rPr>
              <w:t>vježbe</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izrade</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instrumentalne</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pratnje</w:t>
            </w:r>
            <w:proofErr w:type="spellEnd"/>
          </w:p>
        </w:tc>
        <w:tc>
          <w:tcPr>
            <w:tcW w:w="10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A16EDEF" w14:textId="77777777" w:rsidR="003415F8" w:rsidRPr="00DF4CE5" w:rsidRDefault="003415F8" w:rsidP="00587D5D">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3.</w:t>
            </w:r>
          </w:p>
        </w:tc>
        <w:tc>
          <w:tcPr>
            <w:tcW w:w="71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CB2B8B9" w14:textId="77777777" w:rsidR="003415F8" w:rsidRPr="00DF4CE5" w:rsidRDefault="003415F8" w:rsidP="00587D5D">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15</w:t>
            </w:r>
          </w:p>
        </w:tc>
        <w:tc>
          <w:tcPr>
            <w:tcW w:w="101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F657550" w14:textId="77777777" w:rsidR="003415F8" w:rsidRPr="00DF4CE5" w:rsidRDefault="003415F8" w:rsidP="00587D5D">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0,5</w:t>
            </w:r>
          </w:p>
        </w:tc>
        <w:tc>
          <w:tcPr>
            <w:tcW w:w="131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2524B51" w14:textId="77777777" w:rsidR="003415F8" w:rsidRPr="00DF4CE5" w:rsidRDefault="003415F8" w:rsidP="00587D5D">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20%</w:t>
            </w:r>
          </w:p>
        </w:tc>
      </w:tr>
      <w:tr w:rsidR="003415F8" w:rsidRPr="00DF4CE5" w14:paraId="3003D377" w14:textId="77777777" w:rsidTr="00587D5D">
        <w:tc>
          <w:tcPr>
            <w:tcW w:w="2617" w:type="dxa"/>
            <w:vMerge/>
            <w:tcBorders>
              <w:left w:val="single" w:sz="8" w:space="0" w:color="000000"/>
              <w:right w:val="single" w:sz="8" w:space="0" w:color="000000"/>
            </w:tcBorders>
            <w:vAlign w:val="center"/>
          </w:tcPr>
          <w:p w14:paraId="3D849E9D" w14:textId="77777777" w:rsidR="003415F8" w:rsidRPr="00DF4CE5" w:rsidRDefault="003415F8" w:rsidP="00587D5D">
            <w:pPr>
              <w:spacing w:after="0" w:line="240" w:lineRule="auto"/>
              <w:jc w:val="both"/>
              <w:rPr>
                <w:rFonts w:ascii="Cambria" w:eastAsia="Times New Roman" w:hAnsi="Cambria" w:cs="Calibri"/>
                <w:lang w:val="hr-HR"/>
              </w:rPr>
            </w:pPr>
          </w:p>
        </w:tc>
        <w:tc>
          <w:tcPr>
            <w:tcW w:w="258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3C5C920" w14:textId="77777777" w:rsidR="003415F8" w:rsidRPr="00DF4CE5" w:rsidRDefault="003415F8" w:rsidP="00587D5D">
            <w:pPr>
              <w:spacing w:after="0" w:line="240" w:lineRule="auto"/>
              <w:jc w:val="both"/>
              <w:rPr>
                <w:rFonts w:ascii="Cambria" w:eastAsia="Times New Roman" w:hAnsi="Cambria" w:cs="Times New Roman"/>
                <w:lang w:val="hr-HR"/>
              </w:rPr>
            </w:pPr>
            <w:r w:rsidRPr="00DF4CE5">
              <w:rPr>
                <w:rFonts w:ascii="Cambria" w:eastAsia="Times New Roman" w:hAnsi="Cambria" w:cs="Times New Roman"/>
                <w:lang w:val="hr-HR"/>
              </w:rPr>
              <w:t>izrada priprave</w:t>
            </w:r>
          </w:p>
        </w:tc>
        <w:tc>
          <w:tcPr>
            <w:tcW w:w="10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5C18D2A" w14:textId="77777777" w:rsidR="003415F8" w:rsidRPr="00DF4CE5" w:rsidRDefault="003415F8" w:rsidP="00587D5D">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 xml:space="preserve">1. </w:t>
            </w:r>
            <w:r>
              <w:rPr>
                <w:rFonts w:ascii="Cambria" w:eastAsia="Times New Roman" w:hAnsi="Cambria" w:cs="Calibri"/>
                <w:lang w:val="hr-HR"/>
              </w:rPr>
              <w:t>–</w:t>
            </w:r>
            <w:r w:rsidRPr="00DF4CE5">
              <w:rPr>
                <w:rFonts w:ascii="Cambria" w:eastAsia="Times New Roman" w:hAnsi="Cambria" w:cs="Calibri"/>
                <w:lang w:val="hr-HR"/>
              </w:rPr>
              <w:t xml:space="preserve"> 3.</w:t>
            </w:r>
          </w:p>
        </w:tc>
        <w:tc>
          <w:tcPr>
            <w:tcW w:w="71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D517B79" w14:textId="7708162A" w:rsidR="003415F8" w:rsidRPr="00DF4CE5" w:rsidRDefault="003415F8" w:rsidP="00587D5D">
            <w:pPr>
              <w:spacing w:after="0" w:line="240" w:lineRule="auto"/>
              <w:jc w:val="center"/>
              <w:rPr>
                <w:rFonts w:ascii="Cambria" w:eastAsia="Times New Roman" w:hAnsi="Cambria" w:cs="Calibri"/>
                <w:lang w:val="hr-HR"/>
              </w:rPr>
            </w:pPr>
            <w:r>
              <w:rPr>
                <w:rFonts w:ascii="Cambria" w:eastAsia="Times New Roman" w:hAnsi="Cambria" w:cs="Calibri"/>
                <w:lang w:val="hr-HR"/>
              </w:rPr>
              <w:t>34</w:t>
            </w:r>
          </w:p>
        </w:tc>
        <w:tc>
          <w:tcPr>
            <w:tcW w:w="101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9FA8422" w14:textId="1DA06AA6" w:rsidR="003415F8" w:rsidRPr="00DF4CE5" w:rsidRDefault="003415F8" w:rsidP="00587D5D">
            <w:pPr>
              <w:spacing w:after="0" w:line="240" w:lineRule="auto"/>
              <w:jc w:val="center"/>
              <w:rPr>
                <w:rFonts w:ascii="Cambria" w:eastAsia="Times New Roman" w:hAnsi="Cambria" w:cs="Calibri"/>
                <w:lang w:val="hr-HR"/>
              </w:rPr>
            </w:pPr>
            <w:r>
              <w:rPr>
                <w:rFonts w:ascii="Cambria" w:eastAsia="Times New Roman" w:hAnsi="Cambria" w:cs="Calibri"/>
                <w:lang w:val="hr-HR"/>
              </w:rPr>
              <w:t>1,2</w:t>
            </w:r>
          </w:p>
        </w:tc>
        <w:tc>
          <w:tcPr>
            <w:tcW w:w="131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AABE883" w14:textId="77777777" w:rsidR="003415F8" w:rsidRPr="00DF4CE5" w:rsidRDefault="003415F8" w:rsidP="00587D5D">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20%</w:t>
            </w:r>
          </w:p>
        </w:tc>
      </w:tr>
      <w:tr w:rsidR="003415F8" w:rsidRPr="00DF4CE5" w14:paraId="0609C556" w14:textId="77777777" w:rsidTr="00587D5D">
        <w:tc>
          <w:tcPr>
            <w:tcW w:w="2617" w:type="dxa"/>
            <w:vMerge/>
            <w:tcBorders>
              <w:left w:val="single" w:sz="8" w:space="0" w:color="000000"/>
              <w:right w:val="single" w:sz="8" w:space="0" w:color="000000"/>
            </w:tcBorders>
            <w:vAlign w:val="center"/>
          </w:tcPr>
          <w:p w14:paraId="1DD44909" w14:textId="77777777" w:rsidR="003415F8" w:rsidRPr="00DF4CE5" w:rsidRDefault="003415F8" w:rsidP="00587D5D">
            <w:pPr>
              <w:spacing w:after="0" w:line="240" w:lineRule="auto"/>
              <w:jc w:val="both"/>
              <w:rPr>
                <w:rFonts w:ascii="Cambria" w:eastAsia="Times New Roman" w:hAnsi="Cambria" w:cs="Calibri"/>
                <w:lang w:val="hr-HR"/>
              </w:rPr>
            </w:pPr>
          </w:p>
        </w:tc>
        <w:tc>
          <w:tcPr>
            <w:tcW w:w="258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40298B6" w14:textId="77777777" w:rsidR="003415F8" w:rsidRPr="00DF4CE5" w:rsidRDefault="003415F8" w:rsidP="00587D5D">
            <w:pPr>
              <w:spacing w:after="0" w:line="240" w:lineRule="auto"/>
              <w:jc w:val="both"/>
              <w:rPr>
                <w:rFonts w:ascii="Cambria" w:eastAsia="Times New Roman" w:hAnsi="Cambria" w:cs="Calibri"/>
                <w:lang w:val="it-IT"/>
              </w:rPr>
            </w:pPr>
            <w:proofErr w:type="spellStart"/>
            <w:r w:rsidRPr="00DF4CE5">
              <w:rPr>
                <w:rFonts w:ascii="Cambria" w:eastAsia="Times New Roman" w:hAnsi="Cambria" w:cs="Calibri"/>
                <w:lang w:val="it-IT"/>
              </w:rPr>
              <w:t>terenska</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nastava</w:t>
            </w:r>
            <w:proofErr w:type="spellEnd"/>
          </w:p>
        </w:tc>
        <w:tc>
          <w:tcPr>
            <w:tcW w:w="10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2A97209" w14:textId="77777777" w:rsidR="003415F8" w:rsidRPr="00DF4CE5" w:rsidRDefault="003415F8" w:rsidP="00587D5D">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 xml:space="preserve">1. </w:t>
            </w:r>
            <w:r>
              <w:rPr>
                <w:rFonts w:ascii="Cambria" w:eastAsia="Times New Roman" w:hAnsi="Cambria" w:cs="Calibri"/>
                <w:lang w:val="hr-HR"/>
              </w:rPr>
              <w:t>–</w:t>
            </w:r>
            <w:r w:rsidRPr="00DF4CE5">
              <w:rPr>
                <w:rFonts w:ascii="Cambria" w:eastAsia="Times New Roman" w:hAnsi="Cambria" w:cs="Calibri"/>
                <w:lang w:val="hr-HR"/>
              </w:rPr>
              <w:t xml:space="preserve"> 3.</w:t>
            </w:r>
          </w:p>
        </w:tc>
        <w:tc>
          <w:tcPr>
            <w:tcW w:w="71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98876BE" w14:textId="77777777" w:rsidR="003415F8" w:rsidRPr="00DF4CE5" w:rsidRDefault="003415F8" w:rsidP="00587D5D">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11</w:t>
            </w:r>
          </w:p>
        </w:tc>
        <w:tc>
          <w:tcPr>
            <w:tcW w:w="101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3404F0F" w14:textId="77777777" w:rsidR="003415F8" w:rsidRPr="00DF4CE5" w:rsidRDefault="003415F8" w:rsidP="00587D5D">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0,3</w:t>
            </w:r>
          </w:p>
        </w:tc>
        <w:tc>
          <w:tcPr>
            <w:tcW w:w="131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525CBD7" w14:textId="77777777" w:rsidR="003415F8" w:rsidRPr="00DF4CE5" w:rsidRDefault="003415F8" w:rsidP="00587D5D">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0%</w:t>
            </w:r>
          </w:p>
        </w:tc>
      </w:tr>
      <w:tr w:rsidR="003415F8" w:rsidRPr="00DF4CE5" w14:paraId="28BB4C2E" w14:textId="77777777" w:rsidTr="00587D5D">
        <w:tc>
          <w:tcPr>
            <w:tcW w:w="2617" w:type="dxa"/>
            <w:vMerge/>
            <w:tcBorders>
              <w:left w:val="single" w:sz="8" w:space="0" w:color="000000"/>
              <w:right w:val="single" w:sz="8" w:space="0" w:color="000000"/>
            </w:tcBorders>
            <w:vAlign w:val="center"/>
            <w:hideMark/>
          </w:tcPr>
          <w:p w14:paraId="3FE419A2" w14:textId="77777777" w:rsidR="003415F8" w:rsidRPr="00DF4CE5" w:rsidRDefault="003415F8" w:rsidP="00587D5D">
            <w:pPr>
              <w:spacing w:after="0" w:line="240" w:lineRule="auto"/>
              <w:jc w:val="both"/>
              <w:rPr>
                <w:rFonts w:ascii="Cambria" w:eastAsia="Times New Roman" w:hAnsi="Cambria" w:cs="Calibri"/>
                <w:lang w:val="hr-HR"/>
              </w:rPr>
            </w:pPr>
          </w:p>
        </w:tc>
        <w:tc>
          <w:tcPr>
            <w:tcW w:w="258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CB827D5" w14:textId="77777777" w:rsidR="003415F8" w:rsidRPr="00DF4CE5" w:rsidRDefault="003415F8" w:rsidP="00587D5D">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pismeni ispit</w:t>
            </w:r>
          </w:p>
        </w:tc>
        <w:tc>
          <w:tcPr>
            <w:tcW w:w="10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FDCD0E6" w14:textId="77777777" w:rsidR="003415F8" w:rsidRPr="00DF4CE5" w:rsidRDefault="003415F8" w:rsidP="00587D5D">
            <w:pPr>
              <w:spacing w:after="0" w:line="240" w:lineRule="auto"/>
              <w:jc w:val="center"/>
              <w:rPr>
                <w:rFonts w:ascii="Cambria" w:eastAsia="Times New Roman" w:hAnsi="Cambria" w:cs="Calibri"/>
                <w:lang w:val="hr-HR"/>
              </w:rPr>
            </w:pPr>
            <w:r w:rsidRPr="00840765">
              <w:rPr>
                <w:rFonts w:ascii="Cambria" w:eastAsia="Times New Roman" w:hAnsi="Cambria" w:cs="Calibri"/>
                <w:lang w:val="hr-HR"/>
              </w:rPr>
              <w:t>1. – 3.</w:t>
            </w:r>
          </w:p>
        </w:tc>
        <w:tc>
          <w:tcPr>
            <w:tcW w:w="71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546DC13" w14:textId="77777777" w:rsidR="003415F8" w:rsidRPr="00DF4CE5" w:rsidRDefault="003415F8" w:rsidP="00587D5D">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15</w:t>
            </w:r>
          </w:p>
        </w:tc>
        <w:tc>
          <w:tcPr>
            <w:tcW w:w="101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A759A8C" w14:textId="77777777" w:rsidR="003415F8" w:rsidRPr="00DF4CE5" w:rsidRDefault="003415F8" w:rsidP="00587D5D">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0,5</w:t>
            </w:r>
          </w:p>
        </w:tc>
        <w:tc>
          <w:tcPr>
            <w:tcW w:w="131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CB6B7F1" w14:textId="77777777" w:rsidR="003415F8" w:rsidRPr="00DF4CE5" w:rsidRDefault="003415F8" w:rsidP="00587D5D">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20%</w:t>
            </w:r>
          </w:p>
        </w:tc>
      </w:tr>
      <w:tr w:rsidR="003415F8" w:rsidRPr="00DF4CE5" w14:paraId="24AC3697" w14:textId="77777777" w:rsidTr="00587D5D">
        <w:trPr>
          <w:trHeight w:val="361"/>
        </w:trPr>
        <w:tc>
          <w:tcPr>
            <w:tcW w:w="2617" w:type="dxa"/>
            <w:vMerge/>
            <w:tcBorders>
              <w:left w:val="single" w:sz="8" w:space="0" w:color="000000"/>
              <w:right w:val="single" w:sz="8" w:space="0" w:color="000000"/>
            </w:tcBorders>
            <w:vAlign w:val="center"/>
            <w:hideMark/>
          </w:tcPr>
          <w:p w14:paraId="346639F5" w14:textId="77777777" w:rsidR="003415F8" w:rsidRPr="00DF4CE5" w:rsidRDefault="003415F8" w:rsidP="00587D5D">
            <w:pPr>
              <w:spacing w:after="0" w:line="240" w:lineRule="auto"/>
              <w:jc w:val="both"/>
              <w:rPr>
                <w:rFonts w:ascii="Cambria" w:eastAsia="Times New Roman" w:hAnsi="Cambria" w:cs="Calibri"/>
                <w:lang w:val="hr-HR"/>
              </w:rPr>
            </w:pPr>
          </w:p>
        </w:tc>
        <w:tc>
          <w:tcPr>
            <w:tcW w:w="258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0CA3D27" w14:textId="77777777" w:rsidR="003415F8" w:rsidRPr="00DF4CE5" w:rsidRDefault="003415F8" w:rsidP="00587D5D">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usmeni ispit</w:t>
            </w:r>
          </w:p>
        </w:tc>
        <w:tc>
          <w:tcPr>
            <w:tcW w:w="10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998D024" w14:textId="77777777" w:rsidR="003415F8" w:rsidRPr="00DF4CE5" w:rsidRDefault="003415F8" w:rsidP="00587D5D">
            <w:pPr>
              <w:spacing w:after="0" w:line="240" w:lineRule="auto"/>
              <w:jc w:val="center"/>
              <w:rPr>
                <w:rFonts w:ascii="Cambria" w:eastAsia="Times New Roman" w:hAnsi="Cambria" w:cs="Calibri"/>
                <w:lang w:val="hr-HR"/>
              </w:rPr>
            </w:pPr>
            <w:r w:rsidRPr="00840765">
              <w:rPr>
                <w:rFonts w:ascii="Cambria" w:eastAsia="Times New Roman" w:hAnsi="Cambria" w:cs="Calibri"/>
                <w:lang w:val="hr-HR"/>
              </w:rPr>
              <w:t>1. – 3.</w:t>
            </w:r>
          </w:p>
        </w:tc>
        <w:tc>
          <w:tcPr>
            <w:tcW w:w="71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675E026" w14:textId="77777777" w:rsidR="003415F8" w:rsidRPr="00DF4CE5" w:rsidRDefault="003415F8" w:rsidP="00587D5D">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15</w:t>
            </w:r>
          </w:p>
        </w:tc>
        <w:tc>
          <w:tcPr>
            <w:tcW w:w="101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3250160" w14:textId="77777777" w:rsidR="003415F8" w:rsidRPr="00DF4CE5" w:rsidRDefault="003415F8" w:rsidP="00587D5D">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0,5</w:t>
            </w:r>
          </w:p>
        </w:tc>
        <w:tc>
          <w:tcPr>
            <w:tcW w:w="131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DB2852F" w14:textId="77777777" w:rsidR="003415F8" w:rsidRPr="00DF4CE5" w:rsidRDefault="003415F8" w:rsidP="00587D5D">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20%</w:t>
            </w:r>
          </w:p>
        </w:tc>
      </w:tr>
      <w:tr w:rsidR="003415F8" w:rsidRPr="00DF4CE5" w14:paraId="6F9E37C8" w14:textId="77777777" w:rsidTr="00587D5D">
        <w:tc>
          <w:tcPr>
            <w:tcW w:w="2617" w:type="dxa"/>
            <w:vMerge/>
            <w:tcBorders>
              <w:left w:val="single" w:sz="8" w:space="0" w:color="000000"/>
              <w:right w:val="single" w:sz="8" w:space="0" w:color="000000"/>
            </w:tcBorders>
            <w:vAlign w:val="center"/>
            <w:hideMark/>
          </w:tcPr>
          <w:p w14:paraId="7DB70283" w14:textId="77777777" w:rsidR="003415F8" w:rsidRPr="00DF4CE5" w:rsidRDefault="003415F8" w:rsidP="00587D5D">
            <w:pPr>
              <w:spacing w:after="0" w:line="240" w:lineRule="auto"/>
              <w:jc w:val="both"/>
              <w:rPr>
                <w:rFonts w:ascii="Cambria" w:eastAsia="Times New Roman" w:hAnsi="Cambria" w:cs="Calibri"/>
                <w:lang w:val="hr-HR"/>
              </w:rPr>
            </w:pPr>
          </w:p>
        </w:tc>
        <w:tc>
          <w:tcPr>
            <w:tcW w:w="3673"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0E85C9D" w14:textId="77777777" w:rsidR="003415F8" w:rsidRPr="00DF4CE5" w:rsidRDefault="003415F8" w:rsidP="00587D5D">
            <w:pPr>
              <w:spacing w:after="0" w:line="240" w:lineRule="auto"/>
              <w:jc w:val="both"/>
              <w:rPr>
                <w:rFonts w:ascii="Cambria" w:eastAsia="Times New Roman" w:hAnsi="Cambria" w:cs="Calibri"/>
                <w:lang w:val="hr-HR"/>
              </w:rPr>
            </w:pPr>
            <w:proofErr w:type="spellStart"/>
            <w:r w:rsidRPr="00DF4CE5">
              <w:rPr>
                <w:rFonts w:ascii="Cambria" w:eastAsia="Times New Roman" w:hAnsi="Cambria" w:cs="Calibri"/>
              </w:rPr>
              <w:t>ukupno</w:t>
            </w:r>
            <w:proofErr w:type="spellEnd"/>
          </w:p>
        </w:tc>
        <w:tc>
          <w:tcPr>
            <w:tcW w:w="71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D35EB26" w14:textId="5540EEBC" w:rsidR="003415F8" w:rsidRPr="00DF4CE5" w:rsidRDefault="003415F8" w:rsidP="00587D5D">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1</w:t>
            </w:r>
            <w:r>
              <w:rPr>
                <w:rFonts w:ascii="Cambria" w:eastAsia="Times New Roman" w:hAnsi="Cambria" w:cs="Calibri"/>
                <w:lang w:val="hr-HR"/>
              </w:rPr>
              <w:t>50</w:t>
            </w:r>
          </w:p>
        </w:tc>
        <w:tc>
          <w:tcPr>
            <w:tcW w:w="101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88ACAE0" w14:textId="794AECB8" w:rsidR="003415F8" w:rsidRPr="00DF4CE5" w:rsidRDefault="003415F8" w:rsidP="00587D5D">
            <w:pPr>
              <w:spacing w:after="0" w:line="240" w:lineRule="auto"/>
              <w:jc w:val="center"/>
              <w:rPr>
                <w:rFonts w:ascii="Cambria" w:eastAsia="Times New Roman" w:hAnsi="Cambria" w:cs="Calibri"/>
                <w:lang w:val="hr-HR"/>
              </w:rPr>
            </w:pPr>
            <w:r>
              <w:rPr>
                <w:rFonts w:ascii="Cambria" w:eastAsia="Times New Roman" w:hAnsi="Cambria" w:cs="Calibri"/>
                <w:lang w:val="hr-HR"/>
              </w:rPr>
              <w:t>5</w:t>
            </w:r>
          </w:p>
        </w:tc>
        <w:tc>
          <w:tcPr>
            <w:tcW w:w="131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F95C473" w14:textId="77777777" w:rsidR="003415F8" w:rsidRPr="00DF4CE5" w:rsidRDefault="003415F8" w:rsidP="00587D5D">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100%</w:t>
            </w:r>
          </w:p>
        </w:tc>
      </w:tr>
      <w:tr w:rsidR="003415F8" w:rsidRPr="00D0399C" w14:paraId="53213108" w14:textId="77777777" w:rsidTr="00587D5D">
        <w:tc>
          <w:tcPr>
            <w:tcW w:w="2617" w:type="dxa"/>
            <w:vMerge/>
            <w:tcBorders>
              <w:left w:val="single" w:sz="8" w:space="0" w:color="000000"/>
              <w:bottom w:val="single" w:sz="8" w:space="0" w:color="000000"/>
              <w:right w:val="single" w:sz="8" w:space="0" w:color="000000"/>
            </w:tcBorders>
            <w:vAlign w:val="center"/>
          </w:tcPr>
          <w:p w14:paraId="23CEE2DA" w14:textId="77777777" w:rsidR="003415F8" w:rsidRPr="00DF4CE5" w:rsidRDefault="003415F8" w:rsidP="00587D5D">
            <w:pPr>
              <w:spacing w:after="0" w:line="240" w:lineRule="auto"/>
              <w:jc w:val="both"/>
              <w:rPr>
                <w:rFonts w:ascii="Cambria" w:eastAsia="Times New Roman" w:hAnsi="Cambria" w:cs="Calibri"/>
                <w:lang w:val="hr-HR"/>
              </w:rPr>
            </w:pPr>
          </w:p>
        </w:tc>
        <w:tc>
          <w:tcPr>
            <w:tcW w:w="6723"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2E18DF3" w14:textId="77777777" w:rsidR="003415F8" w:rsidRPr="00DF4CE5" w:rsidRDefault="003415F8" w:rsidP="00587D5D">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Dodatna pojašnjenja (kriteriji ocjenjivanja):</w:t>
            </w:r>
          </w:p>
          <w:p w14:paraId="320F8B6E" w14:textId="77777777" w:rsidR="003415F8" w:rsidRPr="00DF4CE5" w:rsidRDefault="003415F8" w:rsidP="00587D5D">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Pohađanje nastave je obvezno. Tolerira se 30% izostanaka (dakle, 4 izostanka) i njih nije potrebno opravdati.</w:t>
            </w:r>
          </w:p>
          <w:p w14:paraId="1964C0DF" w14:textId="77777777" w:rsidR="003415F8" w:rsidRPr="00DF4CE5" w:rsidRDefault="003415F8" w:rsidP="00587D5D">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Tijekom nastave prisustvuje se oglednom satu nastavnika – mentora u osnovnoj školi. Nakon predavanja piše se osvrt. </w:t>
            </w:r>
          </w:p>
          <w:p w14:paraId="4947F08C" w14:textId="77777777" w:rsidR="003415F8" w:rsidRPr="00DF4CE5" w:rsidRDefault="003415F8" w:rsidP="00587D5D">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Vježbe sviranja u komornom sastavu </w:t>
            </w:r>
          </w:p>
          <w:p w14:paraId="67E3F3EA" w14:textId="77777777" w:rsidR="003415F8" w:rsidRPr="00DF4CE5" w:rsidRDefault="003415F8" w:rsidP="00587D5D">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0% = Student ne sudjeluje u radu</w:t>
            </w:r>
          </w:p>
          <w:p w14:paraId="2F1135AB" w14:textId="77777777" w:rsidR="003415F8" w:rsidRPr="00DF4CE5" w:rsidRDefault="003415F8" w:rsidP="00587D5D">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5% = Student je nesiguran u sviranju zadane dionice</w:t>
            </w:r>
          </w:p>
          <w:p w14:paraId="4244BCE9" w14:textId="77777777" w:rsidR="003415F8" w:rsidRPr="00DF4CE5" w:rsidRDefault="003415F8" w:rsidP="00587D5D">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10% = Student je siguran u sviranju zadane dionice</w:t>
            </w:r>
          </w:p>
          <w:p w14:paraId="620FFDAD" w14:textId="77777777" w:rsidR="003415F8" w:rsidRPr="00DF4CE5" w:rsidRDefault="003415F8" w:rsidP="00587D5D">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Izrada ritmičke udaraljke i instrumentalne pratnje za pjesmu i/ili brojalicu koju student donosi u pismenom obliku, a potom se obrađuje i vježba na nastavi.</w:t>
            </w:r>
          </w:p>
          <w:p w14:paraId="1A83B72F" w14:textId="77777777" w:rsidR="003415F8" w:rsidRPr="00DF4CE5" w:rsidRDefault="003415F8" w:rsidP="00587D5D">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        0%   = Nije napisana vježba (svaka vježba nosi 2 boda)</w:t>
            </w:r>
          </w:p>
          <w:p w14:paraId="4A1737AD" w14:textId="77777777" w:rsidR="003415F8" w:rsidRPr="00DF4CE5" w:rsidRDefault="003415F8" w:rsidP="00587D5D">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        2-10%   = Napisana pratnja ocijenjena ocjenom od 2 do 5.</w:t>
            </w:r>
          </w:p>
          <w:p w14:paraId="77BFCB20" w14:textId="77777777" w:rsidR="003415F8" w:rsidRPr="00DF4CE5" w:rsidRDefault="003415F8" w:rsidP="00587D5D">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        2-10%   = Izvedena instrumentalna pratnja na izrađenom instrumentu.</w:t>
            </w:r>
          </w:p>
          <w:p w14:paraId="13E07E51" w14:textId="77777777" w:rsidR="003415F8" w:rsidRPr="00DF4CE5" w:rsidRDefault="003415F8" w:rsidP="00587D5D">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Pisanje priprave kao simulacija nastavnog sata (pjevanje i sviranje; pjevanje i slušanje, glazbena kreativnost). Priprave  se prezentiraju tijekom nastave.</w:t>
            </w:r>
          </w:p>
          <w:p w14:paraId="265AAE49" w14:textId="77777777" w:rsidR="003415F8" w:rsidRPr="00DF4CE5" w:rsidRDefault="003415F8" w:rsidP="00587D5D">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        0%   = Nije napisana priprava ili negativno ocjenjena priprava</w:t>
            </w:r>
          </w:p>
          <w:p w14:paraId="7FDCFD95" w14:textId="77777777" w:rsidR="003415F8" w:rsidRPr="00DF4CE5" w:rsidRDefault="003415F8" w:rsidP="00587D5D">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     10% = Napisana je priprema koja nije predstavljena na satu (ocjenjuje se ocjenom 2-5; gdje je 2 = 2,5%, 3 = 5%, 4 = 7,5%, 5 = 10%)</w:t>
            </w:r>
          </w:p>
          <w:p w14:paraId="5BF93FE1" w14:textId="77777777" w:rsidR="003415F8" w:rsidRPr="00DF4CE5" w:rsidRDefault="003415F8" w:rsidP="00587D5D">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  + 10%   = Priprava je prezentirana na satu.</w:t>
            </w:r>
          </w:p>
          <w:p w14:paraId="0414733C" w14:textId="77777777" w:rsidR="003415F8" w:rsidRPr="00DF4CE5" w:rsidRDefault="003415F8" w:rsidP="00587D5D">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Pismeni ispit se ocjenjuje na sljedeći način, a </w:t>
            </w:r>
            <w:proofErr w:type="spellStart"/>
            <w:r w:rsidRPr="00DF4CE5">
              <w:rPr>
                <w:rFonts w:ascii="Cambria" w:eastAsia="Times New Roman" w:hAnsi="Cambria" w:cs="Calibri"/>
                <w:lang w:val="hr-HR"/>
              </w:rPr>
              <w:t>max</w:t>
            </w:r>
            <w:proofErr w:type="spellEnd"/>
            <w:r w:rsidRPr="00DF4CE5">
              <w:rPr>
                <w:rFonts w:ascii="Cambria" w:eastAsia="Times New Roman" w:hAnsi="Cambria" w:cs="Calibri"/>
                <w:lang w:val="hr-HR"/>
              </w:rPr>
              <w:t>. udio ocjene je: 30%.</w:t>
            </w:r>
          </w:p>
          <w:p w14:paraId="1F9565C5" w14:textId="77777777" w:rsidR="003415F8" w:rsidRPr="00DF4CE5" w:rsidRDefault="003415F8" w:rsidP="00587D5D">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Manje od 50% točnih odgovora = 0%.</w:t>
            </w:r>
          </w:p>
          <w:p w14:paraId="416DE70C" w14:textId="77777777" w:rsidR="003415F8" w:rsidRPr="00DF4CE5" w:rsidRDefault="003415F8" w:rsidP="00587D5D">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Od 51% do 100% svaki slijedeći točni odgovor  nosi 0,4% udjela u proporcionalnom postotku.</w:t>
            </w:r>
          </w:p>
          <w:p w14:paraId="30457ED8" w14:textId="77777777" w:rsidR="003415F8" w:rsidRPr="00DF4CE5" w:rsidRDefault="003415F8" w:rsidP="00587D5D">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Usmeni ispit</w:t>
            </w:r>
          </w:p>
          <w:p w14:paraId="751FE2E2" w14:textId="77777777" w:rsidR="003415F8" w:rsidRPr="00DF4CE5" w:rsidRDefault="003415F8" w:rsidP="00587D5D">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        Na usmenom ispitu student pjeva, svira, izvodi ritam i dobe na ritmičkom instrumentu te dirigira pripremljenu pjesmu i brojalicu predviđenu za nastavu iz udžbenika glazbene kulture u 1. razredu. Udžbenik bira student sam.</w:t>
            </w:r>
          </w:p>
          <w:p w14:paraId="634FDDB4" w14:textId="77777777" w:rsidR="003415F8" w:rsidRPr="00DF4CE5" w:rsidRDefault="003415F8" w:rsidP="00587D5D">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        0%   = Student nije savladao izvedbu glazbenih elemenata</w:t>
            </w:r>
          </w:p>
          <w:p w14:paraId="09F927EC" w14:textId="77777777" w:rsidR="003415F8" w:rsidRPr="00DF4CE5" w:rsidRDefault="003415F8" w:rsidP="00587D5D">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        5%   = Student je savladao svim elementima za dovoljan</w:t>
            </w:r>
          </w:p>
          <w:p w14:paraId="367D40EE" w14:textId="77777777" w:rsidR="003415F8" w:rsidRPr="00DF4CE5" w:rsidRDefault="003415F8" w:rsidP="00587D5D">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      10%   = Student je savladao svim elementima za dobar</w:t>
            </w:r>
          </w:p>
          <w:p w14:paraId="7E30CD23" w14:textId="77777777" w:rsidR="003415F8" w:rsidRPr="00DF4CE5" w:rsidRDefault="003415F8" w:rsidP="00587D5D">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      15%   = Student je savladao svim elementima za vrlo dobar</w:t>
            </w:r>
          </w:p>
          <w:p w14:paraId="313AC063" w14:textId="77777777" w:rsidR="003415F8" w:rsidRPr="00DF4CE5" w:rsidRDefault="003415F8" w:rsidP="00587D5D">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      20%   = Savladani su svi elementi.</w:t>
            </w:r>
          </w:p>
          <w:p w14:paraId="35F3556E" w14:textId="77777777" w:rsidR="003415F8" w:rsidRPr="00DF4CE5" w:rsidRDefault="003415F8" w:rsidP="00587D5D">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Tijekom nastave ostvariti barem 20 % bodova, pismeni ispit mora biti pozitivno ocijenjen te položiti usmeni ispit.</w:t>
            </w:r>
          </w:p>
        </w:tc>
      </w:tr>
      <w:tr w:rsidR="003415F8" w:rsidRPr="00D0399C" w14:paraId="468D9672" w14:textId="77777777" w:rsidTr="00587D5D">
        <w:tc>
          <w:tcPr>
            <w:tcW w:w="261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B62D21A" w14:textId="77777777" w:rsidR="003415F8" w:rsidRPr="00DF4CE5" w:rsidRDefault="003415F8" w:rsidP="00587D5D">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Studentske obveze</w:t>
            </w:r>
          </w:p>
        </w:tc>
        <w:tc>
          <w:tcPr>
            <w:tcW w:w="6723"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9231340" w14:textId="77777777" w:rsidR="003415F8" w:rsidRPr="00DF4CE5" w:rsidRDefault="003415F8" w:rsidP="00587D5D">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Da položi kolegij, student/studentica mora:</w:t>
            </w:r>
          </w:p>
          <w:p w14:paraId="31A655FE" w14:textId="77777777" w:rsidR="003415F8" w:rsidRPr="00DF4CE5" w:rsidRDefault="003415F8" w:rsidP="00587D5D">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1. pohađati nastavu</w:t>
            </w:r>
          </w:p>
          <w:p w14:paraId="553DBFA6" w14:textId="77777777" w:rsidR="003415F8" w:rsidRPr="00DF4CE5" w:rsidRDefault="003415F8" w:rsidP="00587D5D">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2. svirati u komornom sastavu</w:t>
            </w:r>
          </w:p>
          <w:p w14:paraId="3CEE1CFF" w14:textId="77777777" w:rsidR="003415F8" w:rsidRPr="00DF4CE5" w:rsidRDefault="003415F8" w:rsidP="00587D5D">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3. izraditi instrumentalnu pratnju brojalici</w:t>
            </w:r>
          </w:p>
          <w:p w14:paraId="15DB2660" w14:textId="77777777" w:rsidR="003415F8" w:rsidRPr="00DF4CE5" w:rsidRDefault="003415F8" w:rsidP="00587D5D">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4. izraditi i prezentirati pripravu</w:t>
            </w:r>
          </w:p>
          <w:p w14:paraId="135BEC25" w14:textId="77777777" w:rsidR="003415F8" w:rsidRPr="00DF4CE5" w:rsidRDefault="003415F8" w:rsidP="00587D5D">
            <w:pPr>
              <w:spacing w:after="0" w:line="240" w:lineRule="auto"/>
              <w:jc w:val="both"/>
              <w:rPr>
                <w:rFonts w:ascii="Cambria" w:eastAsia="Times New Roman" w:hAnsi="Cambria" w:cs="Calibri"/>
                <w:lang w:val="hr-HR"/>
              </w:rPr>
            </w:pPr>
            <w:r w:rsidRPr="00DF4CE5">
              <w:rPr>
                <w:rFonts w:ascii="Cambria" w:eastAsia="Times New Roman" w:hAnsi="Cambria" w:cs="Calibri"/>
                <w:lang w:val="hr-HR"/>
              </w:rPr>
              <w:lastRenderedPageBreak/>
              <w:t>5. položiti pismeni ispit</w:t>
            </w:r>
          </w:p>
          <w:p w14:paraId="487F14EB" w14:textId="77777777" w:rsidR="003415F8" w:rsidRPr="00DF4CE5" w:rsidRDefault="003415F8" w:rsidP="00587D5D">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6. pristupiti usmenom ispitu</w:t>
            </w:r>
            <w:r>
              <w:rPr>
                <w:rFonts w:ascii="Cambria" w:eastAsia="Times New Roman" w:hAnsi="Cambria" w:cs="Calibri"/>
                <w:lang w:val="hr-HR"/>
              </w:rPr>
              <w:t>.</w:t>
            </w:r>
          </w:p>
          <w:p w14:paraId="4E524E2B" w14:textId="77777777" w:rsidR="003415F8" w:rsidRPr="00DF4CE5" w:rsidRDefault="003415F8" w:rsidP="00587D5D">
            <w:pPr>
              <w:spacing w:after="0" w:line="240" w:lineRule="auto"/>
              <w:jc w:val="both"/>
              <w:rPr>
                <w:rFonts w:ascii="Cambria" w:eastAsia="Times New Roman" w:hAnsi="Cambria" w:cs="Calibri"/>
                <w:lang w:val="hr-HR"/>
              </w:rPr>
            </w:pPr>
          </w:p>
        </w:tc>
      </w:tr>
      <w:tr w:rsidR="003415F8" w:rsidRPr="00D0399C" w14:paraId="603B5610" w14:textId="77777777" w:rsidTr="00587D5D">
        <w:tc>
          <w:tcPr>
            <w:tcW w:w="261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0D1708D" w14:textId="77777777" w:rsidR="003415F8" w:rsidRPr="00DF4CE5" w:rsidRDefault="003415F8" w:rsidP="00587D5D">
            <w:pPr>
              <w:spacing w:after="0" w:line="240" w:lineRule="auto"/>
              <w:jc w:val="both"/>
              <w:rPr>
                <w:rFonts w:ascii="Cambria" w:eastAsia="Times New Roman" w:hAnsi="Cambria" w:cs="Calibri"/>
                <w:lang w:val="hr-HR"/>
              </w:rPr>
            </w:pPr>
            <w:proofErr w:type="spellStart"/>
            <w:r w:rsidRPr="00DF4CE5">
              <w:rPr>
                <w:rFonts w:ascii="Cambria" w:eastAsia="Times New Roman" w:hAnsi="Cambria" w:cs="Calibri"/>
              </w:rPr>
              <w:lastRenderedPageBreak/>
              <w:t>Rokovi</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ispita</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i</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kolokvija</w:t>
            </w:r>
            <w:proofErr w:type="spellEnd"/>
          </w:p>
        </w:tc>
        <w:tc>
          <w:tcPr>
            <w:tcW w:w="6723"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DD7A298" w14:textId="77777777" w:rsidR="003415F8" w:rsidRPr="00DF4CE5" w:rsidRDefault="003415F8" w:rsidP="00587D5D">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Rok za predaju priprava je zadnji tjedan u travnju.</w:t>
            </w:r>
          </w:p>
          <w:p w14:paraId="1485851A" w14:textId="77777777" w:rsidR="003415F8" w:rsidRPr="00DF4CE5" w:rsidRDefault="003415F8" w:rsidP="00587D5D">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Pismeni ispit se piše treći tjedan u svibnju tijekom vježbi.</w:t>
            </w:r>
          </w:p>
          <w:p w14:paraId="614FEECA" w14:textId="77777777" w:rsidR="003415F8" w:rsidRPr="00DF4CE5" w:rsidRDefault="003415F8" w:rsidP="00587D5D">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N</w:t>
            </w:r>
            <w:r w:rsidRPr="00DF4CE5">
              <w:rPr>
                <w:rFonts w:ascii="Cambria" w:eastAsia="Times New Roman" w:hAnsi="Cambria" w:cs="Calibri"/>
                <w:lang w:val="pl-PL"/>
              </w:rPr>
              <w:t>a kraju semestra</w:t>
            </w:r>
            <w:r w:rsidRPr="00DF4CE5">
              <w:rPr>
                <w:rFonts w:ascii="Cambria" w:eastAsia="Times New Roman" w:hAnsi="Cambria" w:cs="Calibri"/>
                <w:lang w:val="hr-HR"/>
              </w:rPr>
              <w:t xml:space="preserve"> pristupa se završnome ispitu (usmenome</w:t>
            </w:r>
            <w:r>
              <w:rPr>
                <w:rFonts w:ascii="Cambria" w:eastAsia="Times New Roman" w:hAnsi="Cambria" w:cs="Calibri"/>
                <w:lang w:val="hr-HR"/>
              </w:rPr>
              <w:t>).</w:t>
            </w:r>
            <w:r w:rsidRPr="00DF4CE5">
              <w:rPr>
                <w:rFonts w:ascii="Cambria" w:eastAsia="Times New Roman" w:hAnsi="Cambria" w:cs="Calibri"/>
                <w:lang w:val="hr-HR"/>
              </w:rPr>
              <w:t xml:space="preserve"> Rokovi se objavljuju na mrežnim stranicama Fakulteta za odgojne i obrazovne znanosti </w:t>
            </w:r>
          </w:p>
          <w:p w14:paraId="5288AC00" w14:textId="77777777" w:rsidR="003415F8" w:rsidRPr="00DF4CE5" w:rsidRDefault="003415F8" w:rsidP="00587D5D">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Predaja pismena nakon roka smanjuje bodove za 50% od mogućih.</w:t>
            </w:r>
          </w:p>
        </w:tc>
      </w:tr>
      <w:tr w:rsidR="003415F8" w:rsidRPr="00DF4CE5" w14:paraId="72916A54" w14:textId="77777777" w:rsidTr="00587D5D">
        <w:tc>
          <w:tcPr>
            <w:tcW w:w="261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F618A63" w14:textId="77777777" w:rsidR="003415F8" w:rsidRPr="00DF4CE5" w:rsidRDefault="003415F8" w:rsidP="00587D5D">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Ostale važne činjenice </w:t>
            </w:r>
            <w:proofErr w:type="spellStart"/>
            <w:r w:rsidRPr="00DF4CE5">
              <w:rPr>
                <w:rFonts w:ascii="Cambria" w:eastAsia="Times New Roman" w:hAnsi="Cambria" w:cs="Calibri"/>
                <w:lang w:val="it-IT"/>
              </w:rPr>
              <w:t>vezane</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uz</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kolegij</w:t>
            </w:r>
            <w:proofErr w:type="spellEnd"/>
          </w:p>
        </w:tc>
        <w:tc>
          <w:tcPr>
            <w:tcW w:w="6723"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C06EB5B" w14:textId="77777777" w:rsidR="003415F8" w:rsidRPr="00DF4CE5" w:rsidRDefault="003415F8" w:rsidP="00587D5D">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Svi rokovi dogovoreni na nastavi se poštuju.</w:t>
            </w:r>
          </w:p>
          <w:p w14:paraId="707FD168" w14:textId="77777777" w:rsidR="003415F8" w:rsidRPr="00DF4CE5" w:rsidRDefault="003415F8" w:rsidP="00587D5D">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U slučaju održavanja nastave na daljinu, moguće je odstupanje u: mjestu izvođenja kolegija, provedbi aktivnosti, metoda tumačenja i poučavanja i načinima vrednovanja, studentskim obvezama i dostupnoj literaturi. O tome će nositeljica i </w:t>
            </w:r>
            <w:r>
              <w:rPr>
                <w:rFonts w:ascii="Cambria" w:eastAsia="Times New Roman" w:hAnsi="Cambria" w:cs="Calibri"/>
                <w:lang w:val="hr-HR"/>
              </w:rPr>
              <w:t>suradnik</w:t>
            </w:r>
            <w:r w:rsidRPr="00DF4CE5">
              <w:rPr>
                <w:rFonts w:ascii="Cambria" w:eastAsia="Times New Roman" w:hAnsi="Cambria" w:cs="Calibri"/>
                <w:lang w:val="hr-HR"/>
              </w:rPr>
              <w:t xml:space="preserve"> obavijestiti studente i studentice kad se nastava na daljinu počne održavati. Ishodi učenja ostaju nepromijenjeni.</w:t>
            </w:r>
          </w:p>
        </w:tc>
      </w:tr>
      <w:tr w:rsidR="003415F8" w:rsidRPr="00DF4CE5" w14:paraId="5BE1D36B" w14:textId="77777777" w:rsidTr="00587D5D">
        <w:trPr>
          <w:trHeight w:val="770"/>
        </w:trPr>
        <w:tc>
          <w:tcPr>
            <w:tcW w:w="261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FA919EB" w14:textId="77777777" w:rsidR="003415F8" w:rsidRPr="00DF4CE5" w:rsidRDefault="003415F8" w:rsidP="00587D5D">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Literatura</w:t>
            </w:r>
          </w:p>
        </w:tc>
        <w:tc>
          <w:tcPr>
            <w:tcW w:w="6723"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25541A86" w14:textId="77777777" w:rsidR="003415F8" w:rsidRPr="00DF4CE5" w:rsidRDefault="003415F8" w:rsidP="00587D5D">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Obvezna: </w:t>
            </w:r>
          </w:p>
          <w:p w14:paraId="268A4B77" w14:textId="77777777" w:rsidR="003415F8" w:rsidRPr="00DF4CE5" w:rsidRDefault="003415F8" w:rsidP="00587D5D">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1. Dobrota, S. (2012). Uvod u suvremenu glazbenu pedagogiju. Split: Filozofski fakultet u Splitu – Odsjek za učiteljski studij, str. 9–66.</w:t>
            </w:r>
          </w:p>
          <w:p w14:paraId="227DE455" w14:textId="77777777" w:rsidR="003415F8" w:rsidRPr="00DF4CE5" w:rsidRDefault="003415F8" w:rsidP="00587D5D">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2. </w:t>
            </w:r>
            <w:proofErr w:type="spellStart"/>
            <w:r w:rsidRPr="00DF4CE5">
              <w:rPr>
                <w:rFonts w:ascii="Cambria" w:eastAsia="Times New Roman" w:hAnsi="Cambria" w:cs="Calibri"/>
                <w:lang w:val="hr-HR"/>
              </w:rPr>
              <w:t>Njirić</w:t>
            </w:r>
            <w:proofErr w:type="spellEnd"/>
            <w:r w:rsidRPr="00DF4CE5">
              <w:rPr>
                <w:rFonts w:ascii="Cambria" w:eastAsia="Times New Roman" w:hAnsi="Cambria" w:cs="Calibri"/>
                <w:lang w:val="hr-HR"/>
              </w:rPr>
              <w:t xml:space="preserve">, N. (1992). </w:t>
            </w:r>
            <w:proofErr w:type="spellStart"/>
            <w:r w:rsidRPr="00DF4CE5">
              <w:rPr>
                <w:rFonts w:ascii="Cambria" w:eastAsia="Times New Roman" w:hAnsi="Cambria" w:cs="Calibri"/>
                <w:lang w:val="hr-HR"/>
              </w:rPr>
              <w:t>Pjevanka</w:t>
            </w:r>
            <w:proofErr w:type="spellEnd"/>
            <w:r w:rsidRPr="00DF4CE5">
              <w:rPr>
                <w:rFonts w:ascii="Cambria" w:eastAsia="Times New Roman" w:hAnsi="Cambria" w:cs="Calibri"/>
                <w:lang w:val="hr-HR"/>
              </w:rPr>
              <w:t>. Zagreb: Školska knjiga, str. 9–31, 75-108.</w:t>
            </w:r>
          </w:p>
          <w:p w14:paraId="52AD4B06" w14:textId="77777777" w:rsidR="003415F8" w:rsidRPr="00DF4CE5" w:rsidRDefault="003415F8" w:rsidP="00587D5D">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3. </w:t>
            </w:r>
            <w:proofErr w:type="spellStart"/>
            <w:r w:rsidRPr="00DF4CE5">
              <w:rPr>
                <w:rFonts w:ascii="Cambria" w:eastAsia="Times New Roman" w:hAnsi="Cambria" w:cs="Calibri"/>
                <w:lang w:val="hr-HR"/>
              </w:rPr>
              <w:t>Rojko</w:t>
            </w:r>
            <w:proofErr w:type="spellEnd"/>
            <w:r w:rsidRPr="00DF4CE5">
              <w:rPr>
                <w:rFonts w:ascii="Cambria" w:eastAsia="Times New Roman" w:hAnsi="Cambria" w:cs="Calibri"/>
                <w:lang w:val="hr-HR"/>
              </w:rPr>
              <w:t xml:space="preserve"> P. (2012). Metodika nastave glazbe: teoretsko-tematski aspekti (Glazbena nastava u općeobrazovnoj školi). Osijek: Sveučilište Josipa Jurja Strossmayera, Pedagoški fakultet Osijek, 1996. (II. elektroničko izdanje. Zagreb, 2012.).</w:t>
            </w:r>
          </w:p>
          <w:p w14:paraId="5D23FD38" w14:textId="77777777" w:rsidR="003415F8" w:rsidRPr="00DF4CE5" w:rsidRDefault="003415F8" w:rsidP="00587D5D">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Izborna:</w:t>
            </w:r>
          </w:p>
          <w:p w14:paraId="48B63798" w14:textId="77777777" w:rsidR="003415F8" w:rsidRPr="00DF4CE5" w:rsidRDefault="003415F8" w:rsidP="00587D5D">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1. </w:t>
            </w:r>
            <w:proofErr w:type="spellStart"/>
            <w:r w:rsidRPr="00DF4CE5">
              <w:rPr>
                <w:rFonts w:ascii="Cambria" w:eastAsia="Times New Roman" w:hAnsi="Cambria" w:cs="Calibri"/>
                <w:lang w:val="hr-HR"/>
              </w:rPr>
              <w:t>Lebič</w:t>
            </w:r>
            <w:proofErr w:type="spellEnd"/>
            <w:r w:rsidRPr="00DF4CE5">
              <w:rPr>
                <w:rFonts w:ascii="Cambria" w:eastAsia="Times New Roman" w:hAnsi="Cambria" w:cs="Calibri"/>
                <w:lang w:val="hr-HR"/>
              </w:rPr>
              <w:t xml:space="preserve">, L., </w:t>
            </w:r>
            <w:proofErr w:type="spellStart"/>
            <w:r w:rsidRPr="00DF4CE5">
              <w:rPr>
                <w:rFonts w:ascii="Cambria" w:eastAsia="Times New Roman" w:hAnsi="Cambria" w:cs="Calibri"/>
                <w:lang w:val="hr-HR"/>
              </w:rPr>
              <w:t>Loparnik</w:t>
            </w:r>
            <w:proofErr w:type="spellEnd"/>
            <w:r w:rsidRPr="00DF4CE5">
              <w:rPr>
                <w:rFonts w:ascii="Cambria" w:eastAsia="Times New Roman" w:hAnsi="Cambria" w:cs="Calibri"/>
                <w:lang w:val="hr-HR"/>
              </w:rPr>
              <w:t xml:space="preserve"> B. (1992). Osnove </w:t>
            </w:r>
            <w:proofErr w:type="spellStart"/>
            <w:r w:rsidRPr="00DF4CE5">
              <w:rPr>
                <w:rFonts w:ascii="Cambria" w:eastAsia="Times New Roman" w:hAnsi="Cambria" w:cs="Calibri"/>
                <w:lang w:val="hr-HR"/>
              </w:rPr>
              <w:t>glasbene</w:t>
            </w:r>
            <w:proofErr w:type="spellEnd"/>
            <w:r w:rsidRPr="00DF4CE5">
              <w:rPr>
                <w:rFonts w:ascii="Cambria" w:eastAsia="Times New Roman" w:hAnsi="Cambria" w:cs="Calibri"/>
                <w:lang w:val="hr-HR"/>
              </w:rPr>
              <w:t xml:space="preserve"> </w:t>
            </w:r>
            <w:proofErr w:type="spellStart"/>
            <w:r w:rsidRPr="00DF4CE5">
              <w:rPr>
                <w:rFonts w:ascii="Cambria" w:eastAsia="Times New Roman" w:hAnsi="Cambria" w:cs="Calibri"/>
                <w:lang w:val="hr-HR"/>
              </w:rPr>
              <w:t>umetnosti</w:t>
            </w:r>
            <w:proofErr w:type="spellEnd"/>
            <w:r w:rsidRPr="00DF4CE5">
              <w:rPr>
                <w:rFonts w:ascii="Cambria" w:eastAsia="Times New Roman" w:hAnsi="Cambria" w:cs="Calibri"/>
                <w:lang w:val="hr-HR"/>
              </w:rPr>
              <w:t xml:space="preserve">. Ljubljana: </w:t>
            </w:r>
            <w:proofErr w:type="spellStart"/>
            <w:r w:rsidRPr="00DF4CE5">
              <w:rPr>
                <w:rFonts w:ascii="Cambria" w:eastAsia="Times New Roman" w:hAnsi="Cambria" w:cs="Calibri"/>
                <w:lang w:val="hr-HR"/>
              </w:rPr>
              <w:t>Mladinska</w:t>
            </w:r>
            <w:proofErr w:type="spellEnd"/>
            <w:r w:rsidRPr="00DF4CE5">
              <w:rPr>
                <w:rFonts w:ascii="Cambria" w:eastAsia="Times New Roman" w:hAnsi="Cambria" w:cs="Calibri"/>
                <w:lang w:val="hr-HR"/>
              </w:rPr>
              <w:t xml:space="preserve"> knjiga.</w:t>
            </w:r>
          </w:p>
          <w:p w14:paraId="117F8B6D" w14:textId="77777777" w:rsidR="003415F8" w:rsidRPr="00DF4CE5" w:rsidRDefault="003415F8" w:rsidP="00587D5D">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3. </w:t>
            </w:r>
            <w:proofErr w:type="spellStart"/>
            <w:r w:rsidRPr="00DF4CE5">
              <w:rPr>
                <w:rFonts w:ascii="Cambria" w:eastAsia="Times New Roman" w:hAnsi="Cambria" w:cs="Calibri"/>
                <w:lang w:val="hr-HR"/>
              </w:rPr>
              <w:t>Pace</w:t>
            </w:r>
            <w:proofErr w:type="spellEnd"/>
            <w:r w:rsidRPr="00DF4CE5">
              <w:rPr>
                <w:rFonts w:ascii="Cambria" w:eastAsia="Times New Roman" w:hAnsi="Cambria" w:cs="Calibri"/>
                <w:lang w:val="hr-HR"/>
              </w:rPr>
              <w:t xml:space="preserve">, A. (2012). </w:t>
            </w:r>
            <w:proofErr w:type="spellStart"/>
            <w:r w:rsidRPr="00DF4CE5">
              <w:rPr>
                <w:rFonts w:ascii="Cambria" w:eastAsia="Times New Roman" w:hAnsi="Cambria" w:cs="Calibri"/>
                <w:lang w:val="hr-HR"/>
              </w:rPr>
              <w:t>Musica</w:t>
            </w:r>
            <w:proofErr w:type="spellEnd"/>
            <w:r w:rsidRPr="00DF4CE5">
              <w:rPr>
                <w:rFonts w:ascii="Cambria" w:eastAsia="Times New Roman" w:hAnsi="Cambria" w:cs="Calibri"/>
                <w:lang w:val="hr-HR"/>
              </w:rPr>
              <w:t xml:space="preserve"> e </w:t>
            </w:r>
            <w:proofErr w:type="spellStart"/>
            <w:r w:rsidRPr="00DF4CE5">
              <w:rPr>
                <w:rFonts w:ascii="Cambria" w:eastAsia="Times New Roman" w:hAnsi="Cambria" w:cs="Calibri"/>
                <w:lang w:val="hr-HR"/>
              </w:rPr>
              <w:t>formazione</w:t>
            </w:r>
            <w:proofErr w:type="spellEnd"/>
            <w:r w:rsidRPr="00DF4CE5">
              <w:rPr>
                <w:rFonts w:ascii="Cambria" w:eastAsia="Times New Roman" w:hAnsi="Cambria" w:cs="Calibri"/>
                <w:lang w:val="hr-HR"/>
              </w:rPr>
              <w:t xml:space="preserve"> </w:t>
            </w:r>
            <w:proofErr w:type="spellStart"/>
            <w:r w:rsidRPr="00DF4CE5">
              <w:rPr>
                <w:rFonts w:ascii="Cambria" w:eastAsia="Times New Roman" w:hAnsi="Cambria" w:cs="Calibri"/>
                <w:lang w:val="hr-HR"/>
              </w:rPr>
              <w:t>primaria</w:t>
            </w:r>
            <w:proofErr w:type="spellEnd"/>
            <w:r w:rsidRPr="00DF4CE5">
              <w:rPr>
                <w:rFonts w:ascii="Cambria" w:eastAsia="Times New Roman" w:hAnsi="Cambria" w:cs="Calibri"/>
                <w:lang w:val="hr-HR"/>
              </w:rPr>
              <w:t xml:space="preserve">. Padova: </w:t>
            </w:r>
            <w:proofErr w:type="spellStart"/>
            <w:r w:rsidRPr="00DF4CE5">
              <w:rPr>
                <w:rFonts w:ascii="Cambria" w:eastAsia="Times New Roman" w:hAnsi="Cambria" w:cs="Calibri"/>
                <w:lang w:val="hr-HR"/>
              </w:rPr>
              <w:t>libreria</w:t>
            </w:r>
            <w:proofErr w:type="spellEnd"/>
            <w:r w:rsidRPr="00DF4CE5">
              <w:rPr>
                <w:rFonts w:ascii="Cambria" w:eastAsia="Times New Roman" w:hAnsi="Cambria" w:cs="Calibri"/>
                <w:lang w:val="hr-HR"/>
              </w:rPr>
              <w:t xml:space="preserve"> universitaria.it </w:t>
            </w:r>
            <w:proofErr w:type="spellStart"/>
            <w:r w:rsidRPr="00DF4CE5">
              <w:rPr>
                <w:rFonts w:ascii="Cambria" w:eastAsia="Times New Roman" w:hAnsi="Cambria" w:cs="Calibri"/>
                <w:lang w:val="hr-HR"/>
              </w:rPr>
              <w:t>edizioni</w:t>
            </w:r>
            <w:proofErr w:type="spellEnd"/>
            <w:r w:rsidRPr="00DF4CE5">
              <w:rPr>
                <w:rFonts w:ascii="Cambria" w:eastAsia="Times New Roman" w:hAnsi="Cambria" w:cs="Calibri"/>
                <w:lang w:val="hr-HR"/>
              </w:rPr>
              <w:t>.</w:t>
            </w:r>
          </w:p>
          <w:p w14:paraId="651499D4" w14:textId="77777777" w:rsidR="003415F8" w:rsidRPr="00DF4CE5" w:rsidRDefault="003415F8" w:rsidP="00587D5D">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4. </w:t>
            </w:r>
            <w:proofErr w:type="spellStart"/>
            <w:r w:rsidRPr="00DF4CE5">
              <w:rPr>
                <w:rFonts w:ascii="Cambria" w:eastAsia="Times New Roman" w:hAnsi="Cambria" w:cs="Calibri"/>
                <w:lang w:val="hr-HR"/>
              </w:rPr>
              <w:t>Pesek</w:t>
            </w:r>
            <w:proofErr w:type="spellEnd"/>
            <w:r w:rsidRPr="00DF4CE5">
              <w:rPr>
                <w:rFonts w:ascii="Cambria" w:eastAsia="Times New Roman" w:hAnsi="Cambria" w:cs="Calibri"/>
                <w:lang w:val="hr-HR"/>
              </w:rPr>
              <w:t xml:space="preserve">, A. (1997). </w:t>
            </w:r>
            <w:proofErr w:type="spellStart"/>
            <w:r w:rsidRPr="00DF4CE5">
              <w:rPr>
                <w:rFonts w:ascii="Cambria" w:eastAsia="Times New Roman" w:hAnsi="Cambria" w:cs="Calibri"/>
                <w:lang w:val="hr-HR"/>
              </w:rPr>
              <w:t>Otroci</w:t>
            </w:r>
            <w:proofErr w:type="spellEnd"/>
            <w:r w:rsidRPr="00DF4CE5">
              <w:rPr>
                <w:rFonts w:ascii="Cambria" w:eastAsia="Times New Roman" w:hAnsi="Cambria" w:cs="Calibri"/>
                <w:lang w:val="hr-HR"/>
              </w:rPr>
              <w:t xml:space="preserve"> v svetu </w:t>
            </w:r>
            <w:proofErr w:type="spellStart"/>
            <w:r w:rsidRPr="00DF4CE5">
              <w:rPr>
                <w:rFonts w:ascii="Cambria" w:eastAsia="Times New Roman" w:hAnsi="Cambria" w:cs="Calibri"/>
                <w:lang w:val="hr-HR"/>
              </w:rPr>
              <w:t>glasbe</w:t>
            </w:r>
            <w:proofErr w:type="spellEnd"/>
            <w:r w:rsidRPr="00DF4CE5">
              <w:rPr>
                <w:rFonts w:ascii="Cambria" w:eastAsia="Times New Roman" w:hAnsi="Cambria" w:cs="Calibri"/>
                <w:lang w:val="hr-HR"/>
              </w:rPr>
              <w:t xml:space="preserve">. Ljubljana: </w:t>
            </w:r>
            <w:proofErr w:type="spellStart"/>
            <w:r w:rsidRPr="00DF4CE5">
              <w:rPr>
                <w:rFonts w:ascii="Cambria" w:eastAsia="Times New Roman" w:hAnsi="Cambria" w:cs="Calibri"/>
                <w:lang w:val="hr-HR"/>
              </w:rPr>
              <w:t>Mladinska</w:t>
            </w:r>
            <w:proofErr w:type="spellEnd"/>
            <w:r w:rsidRPr="00DF4CE5">
              <w:rPr>
                <w:rFonts w:ascii="Cambria" w:eastAsia="Times New Roman" w:hAnsi="Cambria" w:cs="Calibri"/>
                <w:lang w:val="hr-HR"/>
              </w:rPr>
              <w:t xml:space="preserve"> knjiga. </w:t>
            </w:r>
          </w:p>
          <w:p w14:paraId="625E53EC" w14:textId="77777777" w:rsidR="003415F8" w:rsidRPr="00DF4CE5" w:rsidRDefault="003415F8" w:rsidP="00587D5D">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5. </w:t>
            </w:r>
            <w:proofErr w:type="spellStart"/>
            <w:r w:rsidRPr="00DF4CE5">
              <w:rPr>
                <w:rFonts w:ascii="Cambria" w:eastAsia="Times New Roman" w:hAnsi="Cambria" w:cs="Calibri"/>
                <w:lang w:val="hr-HR"/>
              </w:rPr>
              <w:t>Vidulin</w:t>
            </w:r>
            <w:proofErr w:type="spellEnd"/>
            <w:r w:rsidRPr="00DF4CE5">
              <w:rPr>
                <w:rFonts w:ascii="Cambria" w:eastAsia="Times New Roman" w:hAnsi="Cambria" w:cs="Calibri"/>
                <w:lang w:val="hr-HR"/>
              </w:rPr>
              <w:t>-Orbanić, S. (</w:t>
            </w:r>
            <w:proofErr w:type="spellStart"/>
            <w:r w:rsidRPr="00DF4CE5">
              <w:rPr>
                <w:rFonts w:ascii="Cambria" w:eastAsia="Times New Roman" w:hAnsi="Cambria" w:cs="Calibri"/>
                <w:lang w:val="hr-HR"/>
              </w:rPr>
              <w:t>ur</w:t>
            </w:r>
            <w:proofErr w:type="spellEnd"/>
            <w:r w:rsidRPr="00DF4CE5">
              <w:rPr>
                <w:rFonts w:ascii="Cambria" w:eastAsia="Times New Roman" w:hAnsi="Cambria" w:cs="Calibri"/>
                <w:lang w:val="hr-HR"/>
              </w:rPr>
              <w:t>.) (2013). Zbornik radova s Trećeg međunarodnog simpozija glazbenih pedagoga. Glazbena pedagogija u svjetlu sadašnjih i budućih promjena 3. Pula: Sveučilište Jurja Dobrile u Puli.</w:t>
            </w:r>
          </w:p>
          <w:p w14:paraId="57C672E1" w14:textId="77777777" w:rsidR="003415F8" w:rsidRPr="00DF4CE5" w:rsidRDefault="003415F8" w:rsidP="00587D5D">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6. </w:t>
            </w:r>
            <w:proofErr w:type="spellStart"/>
            <w:r w:rsidRPr="00DF4CE5">
              <w:rPr>
                <w:rFonts w:ascii="Cambria" w:eastAsia="Times New Roman" w:hAnsi="Cambria" w:cs="Calibri"/>
                <w:lang w:val="hr-HR"/>
              </w:rPr>
              <w:t>Vidulin</w:t>
            </w:r>
            <w:proofErr w:type="spellEnd"/>
            <w:r w:rsidRPr="00DF4CE5">
              <w:rPr>
                <w:rFonts w:ascii="Cambria" w:eastAsia="Times New Roman" w:hAnsi="Cambria" w:cs="Calibri"/>
                <w:lang w:val="hr-HR"/>
              </w:rPr>
              <w:t>-Orbanić, S. (</w:t>
            </w:r>
            <w:proofErr w:type="spellStart"/>
            <w:r w:rsidRPr="00DF4CE5">
              <w:rPr>
                <w:rFonts w:ascii="Cambria" w:eastAsia="Times New Roman" w:hAnsi="Cambria" w:cs="Calibri"/>
                <w:lang w:val="hr-HR"/>
              </w:rPr>
              <w:t>ur</w:t>
            </w:r>
            <w:proofErr w:type="spellEnd"/>
            <w:r w:rsidRPr="00DF4CE5">
              <w:rPr>
                <w:rFonts w:ascii="Cambria" w:eastAsia="Times New Roman" w:hAnsi="Cambria" w:cs="Calibri"/>
                <w:lang w:val="hr-HR"/>
              </w:rPr>
              <w:t>.) (2011). Monografija radova s Drugog međunarodnog simpozija glazbenih pedagoga. Glazbena nastava i nastavna tehnologija: mogućnosti i ograničenja. Pula: Sveučilište Jurja Dobrile u Puli.</w:t>
            </w:r>
          </w:p>
          <w:p w14:paraId="7331FC06" w14:textId="77777777" w:rsidR="003415F8" w:rsidRPr="00DF4CE5" w:rsidRDefault="003415F8" w:rsidP="00587D5D">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7. </w:t>
            </w:r>
            <w:proofErr w:type="spellStart"/>
            <w:r w:rsidRPr="00DF4CE5">
              <w:rPr>
                <w:rFonts w:ascii="Cambria" w:eastAsia="Times New Roman" w:hAnsi="Cambria" w:cs="Calibri"/>
                <w:lang w:val="hr-HR"/>
              </w:rPr>
              <w:t>Vidulin</w:t>
            </w:r>
            <w:proofErr w:type="spellEnd"/>
            <w:r w:rsidRPr="00DF4CE5">
              <w:rPr>
                <w:rFonts w:ascii="Cambria" w:eastAsia="Times New Roman" w:hAnsi="Cambria" w:cs="Calibri"/>
                <w:lang w:val="hr-HR"/>
              </w:rPr>
              <w:t>-Orbanić, S. (</w:t>
            </w:r>
            <w:proofErr w:type="spellStart"/>
            <w:r w:rsidRPr="00DF4CE5">
              <w:rPr>
                <w:rFonts w:ascii="Cambria" w:eastAsia="Times New Roman" w:hAnsi="Cambria" w:cs="Calibri"/>
                <w:lang w:val="hr-HR"/>
              </w:rPr>
              <w:t>ur</w:t>
            </w:r>
            <w:proofErr w:type="spellEnd"/>
            <w:r w:rsidRPr="00DF4CE5">
              <w:rPr>
                <w:rFonts w:ascii="Cambria" w:eastAsia="Times New Roman" w:hAnsi="Cambria" w:cs="Calibri"/>
                <w:lang w:val="hr-HR"/>
              </w:rPr>
              <w:t>.) (2009). Zbornik radova s Prvog međunarodnog simpozija glazbenih pedagoga. Glazbena pedagogija u svjetlu sadašnjih i budućih promjena. Pula: Sveučilište Jurja Dobrile u Puli, 2009.</w:t>
            </w:r>
          </w:p>
          <w:p w14:paraId="5F9E6DA9" w14:textId="77777777" w:rsidR="003415F8" w:rsidRPr="00DF4CE5" w:rsidRDefault="003415F8" w:rsidP="00587D5D">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Priručna: razne pjesmarice.</w:t>
            </w:r>
          </w:p>
        </w:tc>
      </w:tr>
    </w:tbl>
    <w:p w14:paraId="188E2397" w14:textId="617CDE74" w:rsidR="003415F8" w:rsidRDefault="003415F8">
      <w:pPr>
        <w:rPr>
          <w:rFonts w:ascii="Cambria" w:hAnsi="Cambria"/>
          <w:lang w:val="hr-HR"/>
        </w:rPr>
      </w:pPr>
      <w:r>
        <w:rPr>
          <w:rFonts w:ascii="Cambria" w:hAnsi="Cambria"/>
          <w:lang w:val="hr-HR"/>
        </w:rPr>
        <w:br w:type="page"/>
      </w:r>
    </w:p>
    <w:tbl>
      <w:tblPr>
        <w:tblW w:w="0" w:type="auto"/>
        <w:tblInd w:w="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477"/>
        <w:gridCol w:w="2193"/>
        <w:gridCol w:w="277"/>
        <w:gridCol w:w="748"/>
        <w:gridCol w:w="879"/>
        <w:gridCol w:w="876"/>
        <w:gridCol w:w="1893"/>
      </w:tblGrid>
      <w:tr w:rsidR="003415F8" w:rsidRPr="00DF4CE5" w14:paraId="40509450" w14:textId="77777777" w:rsidTr="00587D5D">
        <w:trPr>
          <w:trHeight w:val="426"/>
        </w:trPr>
        <w:tc>
          <w:tcPr>
            <w:tcW w:w="9343" w:type="dxa"/>
            <w:gridSpan w:val="7"/>
            <w:shd w:val="clear" w:color="auto" w:fill="F3F3F3"/>
          </w:tcPr>
          <w:p w14:paraId="2947BDFE" w14:textId="77777777" w:rsidR="003415F8" w:rsidRPr="00DF4CE5" w:rsidRDefault="003415F8" w:rsidP="00587D5D">
            <w:pPr>
              <w:widowControl w:val="0"/>
              <w:autoSpaceDE w:val="0"/>
              <w:autoSpaceDN w:val="0"/>
              <w:spacing w:after="0" w:line="240" w:lineRule="auto"/>
              <w:ind w:left="5095"/>
              <w:rPr>
                <w:rFonts w:ascii="Cambria" w:eastAsia="Cambria" w:hAnsi="Cambria" w:cs="Cambria"/>
                <w:b/>
                <w:lang w:val="hr-HR"/>
              </w:rPr>
            </w:pPr>
            <w:r w:rsidRPr="00DF4CE5">
              <w:rPr>
                <w:rFonts w:ascii="Cambria" w:eastAsia="Cambria" w:hAnsi="Cambria" w:cs="Cambria"/>
                <w:b/>
                <w:lang w:val="hr-HR"/>
              </w:rPr>
              <w:lastRenderedPageBreak/>
              <w:t>IZVEDBENI</w:t>
            </w:r>
            <w:r w:rsidRPr="00DF4CE5">
              <w:rPr>
                <w:rFonts w:ascii="Cambria" w:eastAsia="Cambria" w:hAnsi="Cambria" w:cs="Cambria"/>
                <w:b/>
                <w:spacing w:val="-4"/>
                <w:lang w:val="hr-HR"/>
              </w:rPr>
              <w:t xml:space="preserve"> </w:t>
            </w:r>
            <w:r w:rsidRPr="00DF4CE5">
              <w:rPr>
                <w:rFonts w:ascii="Cambria" w:eastAsia="Cambria" w:hAnsi="Cambria" w:cs="Cambria"/>
                <w:b/>
                <w:lang w:val="hr-HR"/>
              </w:rPr>
              <w:t>PLAN</w:t>
            </w:r>
            <w:r w:rsidRPr="00DF4CE5">
              <w:rPr>
                <w:rFonts w:ascii="Cambria" w:eastAsia="Cambria" w:hAnsi="Cambria" w:cs="Cambria"/>
                <w:b/>
                <w:spacing w:val="-2"/>
                <w:lang w:val="hr-HR"/>
              </w:rPr>
              <w:t xml:space="preserve"> </w:t>
            </w:r>
            <w:r w:rsidRPr="00DF4CE5">
              <w:rPr>
                <w:rFonts w:ascii="Cambria" w:eastAsia="Cambria" w:hAnsi="Cambria" w:cs="Cambria"/>
                <w:b/>
                <w:lang w:val="hr-HR"/>
              </w:rPr>
              <w:t>NASTAVE</w:t>
            </w:r>
            <w:r w:rsidRPr="00DF4CE5">
              <w:rPr>
                <w:rFonts w:ascii="Cambria" w:eastAsia="Cambria" w:hAnsi="Cambria" w:cs="Cambria"/>
                <w:b/>
                <w:spacing w:val="-3"/>
                <w:lang w:val="hr-HR"/>
              </w:rPr>
              <w:t xml:space="preserve"> </w:t>
            </w:r>
            <w:r w:rsidRPr="00DF4CE5">
              <w:rPr>
                <w:rFonts w:ascii="Cambria" w:eastAsia="Cambria" w:hAnsi="Cambria" w:cs="Cambria"/>
                <w:b/>
                <w:lang w:val="hr-HR"/>
              </w:rPr>
              <w:t>KOLEGIJA</w:t>
            </w:r>
          </w:p>
        </w:tc>
      </w:tr>
      <w:tr w:rsidR="003415F8" w:rsidRPr="00DF4CE5" w14:paraId="217D6A27" w14:textId="77777777" w:rsidTr="00587D5D">
        <w:trPr>
          <w:trHeight w:val="704"/>
        </w:trPr>
        <w:tc>
          <w:tcPr>
            <w:tcW w:w="2477" w:type="dxa"/>
            <w:shd w:val="clear" w:color="auto" w:fill="F3F3F3"/>
          </w:tcPr>
          <w:p w14:paraId="6E568F23" w14:textId="77777777" w:rsidR="003415F8" w:rsidRPr="00DF4CE5" w:rsidRDefault="003415F8" w:rsidP="00587D5D">
            <w:pPr>
              <w:widowControl w:val="0"/>
              <w:autoSpaceDE w:val="0"/>
              <w:autoSpaceDN w:val="0"/>
              <w:spacing w:after="0" w:line="240" w:lineRule="auto"/>
              <w:ind w:left="143"/>
              <w:rPr>
                <w:rFonts w:ascii="Cambria" w:eastAsia="Cambria" w:hAnsi="Cambria" w:cs="Cambria"/>
                <w:lang w:val="hr-HR"/>
              </w:rPr>
            </w:pPr>
            <w:r w:rsidRPr="00DF4CE5">
              <w:rPr>
                <w:rFonts w:ascii="Cambria" w:eastAsia="Cambria" w:hAnsi="Cambria" w:cs="Cambria"/>
                <w:lang w:val="hr-HR"/>
              </w:rPr>
              <w:t>Kod</w:t>
            </w:r>
            <w:r w:rsidRPr="00DF4CE5">
              <w:rPr>
                <w:rFonts w:ascii="Cambria" w:eastAsia="Cambria" w:hAnsi="Cambria" w:cs="Cambria"/>
                <w:spacing w:val="-3"/>
                <w:lang w:val="hr-HR"/>
              </w:rPr>
              <w:t xml:space="preserve"> </w:t>
            </w:r>
            <w:r w:rsidRPr="00DF4CE5">
              <w:rPr>
                <w:rFonts w:ascii="Cambria" w:eastAsia="Cambria" w:hAnsi="Cambria" w:cs="Cambria"/>
                <w:lang w:val="hr-HR"/>
              </w:rPr>
              <w:t>i</w:t>
            </w:r>
            <w:r w:rsidRPr="00DF4CE5">
              <w:rPr>
                <w:rFonts w:ascii="Cambria" w:eastAsia="Cambria" w:hAnsi="Cambria" w:cs="Cambria"/>
                <w:spacing w:val="-1"/>
                <w:lang w:val="hr-HR"/>
              </w:rPr>
              <w:t xml:space="preserve"> </w:t>
            </w:r>
            <w:r w:rsidRPr="00DF4CE5">
              <w:rPr>
                <w:rFonts w:ascii="Cambria" w:eastAsia="Cambria" w:hAnsi="Cambria" w:cs="Cambria"/>
                <w:lang w:val="hr-HR"/>
              </w:rPr>
              <w:t>naziv</w:t>
            </w:r>
            <w:r w:rsidRPr="00DF4CE5">
              <w:rPr>
                <w:rFonts w:ascii="Cambria" w:eastAsia="Cambria" w:hAnsi="Cambria" w:cs="Cambria"/>
                <w:spacing w:val="-1"/>
                <w:lang w:val="hr-HR"/>
              </w:rPr>
              <w:t xml:space="preserve"> </w:t>
            </w:r>
            <w:r w:rsidRPr="00DF4CE5">
              <w:rPr>
                <w:rFonts w:ascii="Cambria" w:eastAsia="Cambria" w:hAnsi="Cambria" w:cs="Cambria"/>
                <w:lang w:val="hr-HR"/>
              </w:rPr>
              <w:t>kolegija</w:t>
            </w:r>
          </w:p>
        </w:tc>
        <w:tc>
          <w:tcPr>
            <w:tcW w:w="6866" w:type="dxa"/>
            <w:gridSpan w:val="6"/>
          </w:tcPr>
          <w:p w14:paraId="09BE15E6" w14:textId="77777777" w:rsidR="003415F8" w:rsidRPr="00DF4CE5" w:rsidRDefault="003415F8" w:rsidP="00587D5D">
            <w:pPr>
              <w:widowControl w:val="0"/>
              <w:autoSpaceDE w:val="0"/>
              <w:autoSpaceDN w:val="0"/>
              <w:spacing w:after="0" w:line="240" w:lineRule="auto"/>
              <w:ind w:left="143"/>
              <w:rPr>
                <w:rFonts w:ascii="Cambria" w:eastAsia="Cambria" w:hAnsi="Cambria" w:cs="Cambria"/>
                <w:lang w:val="hr-HR"/>
              </w:rPr>
            </w:pPr>
            <w:r w:rsidRPr="00DF4CE5">
              <w:rPr>
                <w:rFonts w:ascii="Cambria" w:eastAsia="Cambria" w:hAnsi="Cambria" w:cs="Cambria"/>
                <w:lang w:val="hr-HR"/>
              </w:rPr>
              <w:t>66278</w:t>
            </w:r>
          </w:p>
          <w:p w14:paraId="5C5AC67C" w14:textId="11EA108D" w:rsidR="003415F8" w:rsidRPr="00DF4CE5" w:rsidRDefault="003415F8" w:rsidP="00587D5D">
            <w:pPr>
              <w:widowControl w:val="0"/>
              <w:autoSpaceDE w:val="0"/>
              <w:autoSpaceDN w:val="0"/>
              <w:spacing w:after="0" w:line="240" w:lineRule="auto"/>
              <w:ind w:left="143"/>
              <w:rPr>
                <w:rFonts w:ascii="Cambria" w:eastAsia="Cambria" w:hAnsi="Cambria" w:cs="Cambria"/>
                <w:lang w:val="hr-HR"/>
              </w:rPr>
            </w:pPr>
            <w:r w:rsidRPr="00DF4CE5">
              <w:rPr>
                <w:rFonts w:ascii="Cambria" w:eastAsia="Cambria" w:hAnsi="Cambria" w:cs="Cambria"/>
                <w:lang w:val="hr-HR"/>
              </w:rPr>
              <w:t>Stručna</w:t>
            </w:r>
            <w:r w:rsidRPr="00DF4CE5">
              <w:rPr>
                <w:rFonts w:ascii="Cambria" w:eastAsia="Cambria" w:hAnsi="Cambria" w:cs="Cambria"/>
                <w:spacing w:val="-5"/>
                <w:lang w:val="hr-HR"/>
              </w:rPr>
              <w:t xml:space="preserve"> </w:t>
            </w:r>
            <w:r w:rsidRPr="00DF4CE5">
              <w:rPr>
                <w:rFonts w:ascii="Cambria" w:eastAsia="Cambria" w:hAnsi="Cambria" w:cs="Cambria"/>
                <w:lang w:val="hr-HR"/>
              </w:rPr>
              <w:t>praksa</w:t>
            </w:r>
            <w:r w:rsidRPr="00DF4CE5">
              <w:rPr>
                <w:rFonts w:ascii="Cambria" w:eastAsia="Cambria" w:hAnsi="Cambria" w:cs="Cambria"/>
                <w:spacing w:val="-5"/>
                <w:lang w:val="hr-HR"/>
              </w:rPr>
              <w:t xml:space="preserve"> </w:t>
            </w:r>
            <w:r w:rsidRPr="00DF4CE5">
              <w:rPr>
                <w:rFonts w:ascii="Cambria" w:eastAsia="Cambria" w:hAnsi="Cambria" w:cs="Cambria"/>
                <w:lang w:val="hr-HR"/>
              </w:rPr>
              <w:t>III</w:t>
            </w:r>
          </w:p>
        </w:tc>
      </w:tr>
      <w:tr w:rsidR="003415F8" w:rsidRPr="00DF4CE5" w14:paraId="690DD7EC" w14:textId="77777777" w:rsidTr="00587D5D">
        <w:trPr>
          <w:trHeight w:val="426"/>
        </w:trPr>
        <w:tc>
          <w:tcPr>
            <w:tcW w:w="2477" w:type="dxa"/>
            <w:shd w:val="clear" w:color="auto" w:fill="F3F3F3"/>
          </w:tcPr>
          <w:p w14:paraId="635E0B3F" w14:textId="77777777" w:rsidR="003415F8" w:rsidRPr="00DF4CE5" w:rsidRDefault="003415F8" w:rsidP="00587D5D">
            <w:pPr>
              <w:widowControl w:val="0"/>
              <w:autoSpaceDE w:val="0"/>
              <w:autoSpaceDN w:val="0"/>
              <w:spacing w:after="0" w:line="240" w:lineRule="auto"/>
              <w:ind w:left="143"/>
              <w:rPr>
                <w:rFonts w:ascii="Cambria" w:eastAsia="Cambria" w:hAnsi="Cambria" w:cs="Cambria"/>
                <w:lang w:val="hr-HR"/>
              </w:rPr>
            </w:pPr>
            <w:r w:rsidRPr="00DF4CE5">
              <w:rPr>
                <w:rFonts w:ascii="Cambria" w:eastAsia="Cambria" w:hAnsi="Cambria" w:cs="Cambria"/>
                <w:lang w:val="hr-HR"/>
              </w:rPr>
              <w:t>Nastavnica</w:t>
            </w:r>
          </w:p>
        </w:tc>
        <w:tc>
          <w:tcPr>
            <w:tcW w:w="6866" w:type="dxa"/>
            <w:gridSpan w:val="6"/>
          </w:tcPr>
          <w:p w14:paraId="29E248C1" w14:textId="77777777" w:rsidR="003415F8" w:rsidRPr="00DF4CE5" w:rsidRDefault="003415F8" w:rsidP="00587D5D">
            <w:pPr>
              <w:widowControl w:val="0"/>
              <w:autoSpaceDE w:val="0"/>
              <w:autoSpaceDN w:val="0"/>
              <w:spacing w:after="0" w:line="240" w:lineRule="auto"/>
              <w:ind w:left="143"/>
              <w:rPr>
                <w:rFonts w:ascii="Cambria" w:eastAsia="Cambria" w:hAnsi="Cambria" w:cs="Cambria"/>
                <w:lang w:val="hr-HR"/>
              </w:rPr>
            </w:pPr>
            <w:hyperlink r:id="rId98" w:history="1">
              <w:r w:rsidRPr="00B64772">
                <w:rPr>
                  <w:rStyle w:val="Hiperveza"/>
                  <w:rFonts w:ascii="Cambria" w:eastAsia="Cambria" w:hAnsi="Cambria" w:cs="Cambria"/>
                  <w:lang w:val="hr-HR"/>
                </w:rPr>
                <w:t>Doc.</w:t>
              </w:r>
              <w:r w:rsidRPr="00B64772">
                <w:rPr>
                  <w:rStyle w:val="Hiperveza"/>
                  <w:rFonts w:ascii="Cambria" w:eastAsia="Cambria" w:hAnsi="Cambria" w:cs="Cambria"/>
                  <w:spacing w:val="-2"/>
                  <w:lang w:val="hr-HR"/>
                </w:rPr>
                <w:t xml:space="preserve"> </w:t>
              </w:r>
              <w:r w:rsidRPr="00B64772">
                <w:rPr>
                  <w:rStyle w:val="Hiperveza"/>
                  <w:rFonts w:ascii="Cambria" w:eastAsia="Cambria" w:hAnsi="Cambria" w:cs="Cambria"/>
                  <w:lang w:val="hr-HR"/>
                </w:rPr>
                <w:t>dr.</w:t>
              </w:r>
              <w:r w:rsidRPr="00B64772">
                <w:rPr>
                  <w:rStyle w:val="Hiperveza"/>
                  <w:rFonts w:ascii="Cambria" w:eastAsia="Cambria" w:hAnsi="Cambria" w:cs="Cambria"/>
                  <w:spacing w:val="-3"/>
                  <w:lang w:val="hr-HR"/>
                </w:rPr>
                <w:t xml:space="preserve"> </w:t>
              </w:r>
              <w:r w:rsidRPr="00B64772">
                <w:rPr>
                  <w:rStyle w:val="Hiperveza"/>
                  <w:rFonts w:ascii="Cambria" w:eastAsia="Cambria" w:hAnsi="Cambria" w:cs="Cambria"/>
                  <w:lang w:val="hr-HR"/>
                </w:rPr>
                <w:t>sc.</w:t>
              </w:r>
              <w:r w:rsidRPr="00B64772">
                <w:rPr>
                  <w:rStyle w:val="Hiperveza"/>
                  <w:rFonts w:ascii="Cambria" w:eastAsia="Cambria" w:hAnsi="Cambria" w:cs="Cambria"/>
                  <w:spacing w:val="-2"/>
                  <w:lang w:val="hr-HR"/>
                </w:rPr>
                <w:t xml:space="preserve"> </w:t>
              </w:r>
              <w:r w:rsidRPr="00B64772">
                <w:rPr>
                  <w:rStyle w:val="Hiperveza"/>
                  <w:rFonts w:ascii="Cambria" w:eastAsia="Cambria" w:hAnsi="Cambria" w:cs="Cambria"/>
                  <w:lang w:val="hr-HR"/>
                </w:rPr>
                <w:t>Irena</w:t>
              </w:r>
              <w:r w:rsidRPr="00B64772">
                <w:rPr>
                  <w:rStyle w:val="Hiperveza"/>
                  <w:rFonts w:ascii="Cambria" w:eastAsia="Cambria" w:hAnsi="Cambria" w:cs="Cambria"/>
                  <w:spacing w:val="-3"/>
                  <w:lang w:val="hr-HR"/>
                </w:rPr>
                <w:t xml:space="preserve"> </w:t>
              </w:r>
              <w:r w:rsidRPr="00B64772">
                <w:rPr>
                  <w:rStyle w:val="Hiperveza"/>
                  <w:rFonts w:ascii="Cambria" w:eastAsia="Cambria" w:hAnsi="Cambria" w:cs="Cambria"/>
                  <w:lang w:val="hr-HR"/>
                </w:rPr>
                <w:t>Kiss</w:t>
              </w:r>
              <w:r w:rsidRPr="00B64772">
                <w:rPr>
                  <w:rStyle w:val="Hiperveza"/>
                  <w:rFonts w:ascii="Cambria" w:eastAsia="Cambria" w:hAnsi="Cambria" w:cs="Cambria"/>
                  <w:spacing w:val="-1"/>
                  <w:lang w:val="hr-HR"/>
                </w:rPr>
                <w:t xml:space="preserve"> </w:t>
              </w:r>
            </w:hyperlink>
            <w:r w:rsidRPr="00DF4CE5">
              <w:rPr>
                <w:rFonts w:ascii="Cambria" w:eastAsia="Cambria" w:hAnsi="Cambria" w:cs="Cambria"/>
                <w:spacing w:val="-1"/>
                <w:lang w:val="hr-HR"/>
              </w:rPr>
              <w:t xml:space="preserve"> </w:t>
            </w:r>
            <w:r w:rsidRPr="00DF4CE5">
              <w:rPr>
                <w:rFonts w:ascii="Cambria" w:eastAsia="Cambria" w:hAnsi="Cambria" w:cs="Cambria"/>
                <w:lang w:val="hr-HR"/>
              </w:rPr>
              <w:t>(nositeljica)</w:t>
            </w:r>
          </w:p>
        </w:tc>
      </w:tr>
      <w:tr w:rsidR="003415F8" w:rsidRPr="00DF4CE5" w14:paraId="7B39686A" w14:textId="77777777" w:rsidTr="00587D5D">
        <w:trPr>
          <w:trHeight w:val="707"/>
        </w:trPr>
        <w:tc>
          <w:tcPr>
            <w:tcW w:w="2477" w:type="dxa"/>
            <w:shd w:val="clear" w:color="auto" w:fill="F3F3F3"/>
          </w:tcPr>
          <w:p w14:paraId="53216155" w14:textId="77777777" w:rsidR="003415F8" w:rsidRPr="00DF4CE5" w:rsidRDefault="003415F8" w:rsidP="00587D5D">
            <w:pPr>
              <w:widowControl w:val="0"/>
              <w:autoSpaceDE w:val="0"/>
              <w:autoSpaceDN w:val="0"/>
              <w:spacing w:after="0" w:line="240" w:lineRule="auto"/>
              <w:ind w:left="143"/>
              <w:rPr>
                <w:rFonts w:ascii="Cambria" w:eastAsia="Cambria" w:hAnsi="Cambria" w:cs="Cambria"/>
                <w:lang w:val="hr-HR"/>
              </w:rPr>
            </w:pPr>
            <w:r w:rsidRPr="00DF4CE5">
              <w:rPr>
                <w:rFonts w:ascii="Cambria" w:eastAsia="Cambria" w:hAnsi="Cambria" w:cs="Cambria"/>
                <w:lang w:val="hr-HR"/>
              </w:rPr>
              <w:t>Studijski</w:t>
            </w:r>
            <w:r w:rsidRPr="00DF4CE5">
              <w:rPr>
                <w:rFonts w:ascii="Cambria" w:eastAsia="Cambria" w:hAnsi="Cambria" w:cs="Cambria"/>
                <w:spacing w:val="-4"/>
                <w:lang w:val="hr-HR"/>
              </w:rPr>
              <w:t xml:space="preserve"> </w:t>
            </w:r>
            <w:r w:rsidRPr="00DF4CE5">
              <w:rPr>
                <w:rFonts w:ascii="Cambria" w:eastAsia="Cambria" w:hAnsi="Cambria" w:cs="Cambria"/>
                <w:lang w:val="hr-HR"/>
              </w:rPr>
              <w:t>program</w:t>
            </w:r>
          </w:p>
        </w:tc>
        <w:tc>
          <w:tcPr>
            <w:tcW w:w="6866" w:type="dxa"/>
            <w:gridSpan w:val="6"/>
          </w:tcPr>
          <w:p w14:paraId="429FE999" w14:textId="77777777" w:rsidR="003415F8" w:rsidRPr="00DF4CE5" w:rsidRDefault="003415F8" w:rsidP="00587D5D">
            <w:pPr>
              <w:widowControl w:val="0"/>
              <w:autoSpaceDE w:val="0"/>
              <w:autoSpaceDN w:val="0"/>
              <w:spacing w:after="0" w:line="240" w:lineRule="auto"/>
              <w:ind w:left="143"/>
              <w:rPr>
                <w:rFonts w:ascii="Cambria" w:eastAsia="Cambria" w:hAnsi="Cambria" w:cs="Cambria"/>
                <w:lang w:val="hr-HR"/>
              </w:rPr>
            </w:pPr>
            <w:r w:rsidRPr="00DF4CE5">
              <w:rPr>
                <w:rFonts w:ascii="Cambria" w:eastAsia="Cambria" w:hAnsi="Cambria" w:cs="Cambria"/>
                <w:lang w:val="hr-HR"/>
              </w:rPr>
              <w:t>Sveučilišni</w:t>
            </w:r>
            <w:r w:rsidRPr="00DF4CE5">
              <w:rPr>
                <w:rFonts w:ascii="Cambria" w:eastAsia="Cambria" w:hAnsi="Cambria" w:cs="Cambria"/>
                <w:spacing w:val="-14"/>
                <w:lang w:val="hr-HR"/>
              </w:rPr>
              <w:t xml:space="preserve"> </w:t>
            </w:r>
            <w:r w:rsidRPr="00DF4CE5">
              <w:rPr>
                <w:rFonts w:ascii="Cambria" w:eastAsia="Cambria" w:hAnsi="Cambria" w:cs="Cambria"/>
                <w:lang w:val="hr-HR"/>
              </w:rPr>
              <w:t>integrirani</w:t>
            </w:r>
            <w:r w:rsidRPr="00DF4CE5">
              <w:rPr>
                <w:rFonts w:ascii="Cambria" w:eastAsia="Cambria" w:hAnsi="Cambria" w:cs="Cambria"/>
                <w:spacing w:val="-12"/>
                <w:lang w:val="hr-HR"/>
              </w:rPr>
              <w:t xml:space="preserve"> </w:t>
            </w:r>
            <w:r w:rsidRPr="00DF4CE5">
              <w:rPr>
                <w:rFonts w:ascii="Cambria" w:eastAsia="Cambria" w:hAnsi="Cambria" w:cs="Cambria"/>
                <w:lang w:val="hr-HR"/>
              </w:rPr>
              <w:t>prijediplomski</w:t>
            </w:r>
            <w:r w:rsidRPr="00DF4CE5">
              <w:rPr>
                <w:rFonts w:ascii="Cambria" w:eastAsia="Cambria" w:hAnsi="Cambria" w:cs="Cambria"/>
                <w:spacing w:val="-13"/>
                <w:lang w:val="hr-HR"/>
              </w:rPr>
              <w:t xml:space="preserve"> </w:t>
            </w:r>
            <w:r w:rsidRPr="00DF4CE5">
              <w:rPr>
                <w:rFonts w:ascii="Cambria" w:eastAsia="Cambria" w:hAnsi="Cambria" w:cs="Cambria"/>
                <w:lang w:val="hr-HR"/>
              </w:rPr>
              <w:t>i</w:t>
            </w:r>
            <w:r w:rsidRPr="00DF4CE5">
              <w:rPr>
                <w:rFonts w:ascii="Cambria" w:eastAsia="Cambria" w:hAnsi="Cambria" w:cs="Cambria"/>
                <w:spacing w:val="-13"/>
                <w:lang w:val="hr-HR"/>
              </w:rPr>
              <w:t xml:space="preserve"> </w:t>
            </w:r>
            <w:r w:rsidRPr="00DF4CE5">
              <w:rPr>
                <w:rFonts w:ascii="Cambria" w:eastAsia="Cambria" w:hAnsi="Cambria" w:cs="Cambria"/>
                <w:lang w:val="hr-HR"/>
              </w:rPr>
              <w:t>diplomski</w:t>
            </w:r>
            <w:r w:rsidRPr="00DF4CE5">
              <w:rPr>
                <w:rFonts w:ascii="Cambria" w:eastAsia="Cambria" w:hAnsi="Cambria" w:cs="Cambria"/>
                <w:spacing w:val="-13"/>
                <w:lang w:val="hr-HR"/>
              </w:rPr>
              <w:t xml:space="preserve"> </w:t>
            </w:r>
            <w:r w:rsidRPr="00DF4CE5">
              <w:rPr>
                <w:rFonts w:ascii="Cambria" w:eastAsia="Cambria" w:hAnsi="Cambria" w:cs="Cambria"/>
                <w:lang w:val="hr-HR"/>
              </w:rPr>
              <w:t>Učiteljski</w:t>
            </w:r>
            <w:r w:rsidRPr="00DF4CE5">
              <w:rPr>
                <w:rFonts w:ascii="Cambria" w:eastAsia="Cambria" w:hAnsi="Cambria" w:cs="Cambria"/>
                <w:spacing w:val="-13"/>
                <w:lang w:val="hr-HR"/>
              </w:rPr>
              <w:t xml:space="preserve"> </w:t>
            </w:r>
            <w:r w:rsidRPr="00DF4CE5">
              <w:rPr>
                <w:rFonts w:ascii="Cambria" w:eastAsia="Cambria" w:hAnsi="Cambria" w:cs="Cambria"/>
                <w:lang w:val="hr-HR"/>
              </w:rPr>
              <w:t>studij</w:t>
            </w:r>
          </w:p>
          <w:p w14:paraId="0BD165C2" w14:textId="77777777" w:rsidR="003415F8" w:rsidRPr="00DF4CE5" w:rsidRDefault="003415F8" w:rsidP="00587D5D">
            <w:pPr>
              <w:widowControl w:val="0"/>
              <w:autoSpaceDE w:val="0"/>
              <w:autoSpaceDN w:val="0"/>
              <w:spacing w:after="0" w:line="240" w:lineRule="auto"/>
              <w:ind w:left="143"/>
              <w:rPr>
                <w:rFonts w:ascii="Cambria" w:eastAsia="Cambria" w:hAnsi="Cambria" w:cs="Cambria"/>
                <w:lang w:val="hr-HR"/>
              </w:rPr>
            </w:pPr>
            <w:r w:rsidRPr="00DF4CE5">
              <w:rPr>
                <w:rFonts w:ascii="Cambria" w:eastAsia="Cambria" w:hAnsi="Cambria" w:cs="Cambria"/>
                <w:lang w:val="hr-HR"/>
              </w:rPr>
              <w:t>na</w:t>
            </w:r>
            <w:r w:rsidRPr="00DF4CE5">
              <w:rPr>
                <w:rFonts w:ascii="Cambria" w:eastAsia="Cambria" w:hAnsi="Cambria" w:cs="Cambria"/>
                <w:spacing w:val="-2"/>
                <w:lang w:val="hr-HR"/>
              </w:rPr>
              <w:t xml:space="preserve"> </w:t>
            </w:r>
            <w:r w:rsidRPr="00DF4CE5">
              <w:rPr>
                <w:rFonts w:ascii="Cambria" w:eastAsia="Cambria" w:hAnsi="Cambria" w:cs="Cambria"/>
                <w:lang w:val="hr-HR"/>
              </w:rPr>
              <w:t>hrvatskom</w:t>
            </w:r>
            <w:r w:rsidRPr="00DF4CE5">
              <w:rPr>
                <w:rFonts w:ascii="Cambria" w:eastAsia="Cambria" w:hAnsi="Cambria" w:cs="Cambria"/>
                <w:spacing w:val="-3"/>
                <w:lang w:val="hr-HR"/>
              </w:rPr>
              <w:t xml:space="preserve"> </w:t>
            </w:r>
            <w:r w:rsidRPr="00DF4CE5">
              <w:rPr>
                <w:rFonts w:ascii="Cambria" w:eastAsia="Cambria" w:hAnsi="Cambria" w:cs="Cambria"/>
                <w:lang w:val="hr-HR"/>
              </w:rPr>
              <w:t>jeziku</w:t>
            </w:r>
          </w:p>
        </w:tc>
      </w:tr>
      <w:tr w:rsidR="003415F8" w:rsidRPr="00DF4CE5" w14:paraId="38AD1BE4" w14:textId="77777777" w:rsidTr="00587D5D">
        <w:trPr>
          <w:trHeight w:val="707"/>
        </w:trPr>
        <w:tc>
          <w:tcPr>
            <w:tcW w:w="2477" w:type="dxa"/>
            <w:shd w:val="clear" w:color="auto" w:fill="F3F3F3"/>
          </w:tcPr>
          <w:p w14:paraId="64679966" w14:textId="77777777" w:rsidR="003415F8" w:rsidRPr="00DF4CE5" w:rsidRDefault="003415F8" w:rsidP="00587D5D">
            <w:pPr>
              <w:widowControl w:val="0"/>
              <w:autoSpaceDE w:val="0"/>
              <w:autoSpaceDN w:val="0"/>
              <w:spacing w:after="0" w:line="240" w:lineRule="auto"/>
              <w:ind w:left="143"/>
              <w:rPr>
                <w:rFonts w:ascii="Cambria" w:eastAsia="Cambria" w:hAnsi="Cambria" w:cs="Cambria"/>
                <w:lang w:val="hr-HR"/>
              </w:rPr>
            </w:pPr>
            <w:r w:rsidRPr="00DF4CE5">
              <w:rPr>
                <w:rFonts w:ascii="Cambria" w:eastAsia="Cambria" w:hAnsi="Cambria" w:cs="Cambria"/>
                <w:lang w:val="hr-HR"/>
              </w:rPr>
              <w:t>Vrsta</w:t>
            </w:r>
            <w:r w:rsidRPr="00DF4CE5">
              <w:rPr>
                <w:rFonts w:ascii="Cambria" w:eastAsia="Cambria" w:hAnsi="Cambria" w:cs="Cambria"/>
                <w:spacing w:val="-2"/>
                <w:lang w:val="hr-HR"/>
              </w:rPr>
              <w:t xml:space="preserve"> </w:t>
            </w:r>
            <w:r w:rsidRPr="00DF4CE5">
              <w:rPr>
                <w:rFonts w:ascii="Cambria" w:eastAsia="Cambria" w:hAnsi="Cambria" w:cs="Cambria"/>
                <w:lang w:val="hr-HR"/>
              </w:rPr>
              <w:t>kolegija</w:t>
            </w:r>
          </w:p>
        </w:tc>
        <w:tc>
          <w:tcPr>
            <w:tcW w:w="2470" w:type="dxa"/>
            <w:gridSpan w:val="2"/>
          </w:tcPr>
          <w:p w14:paraId="7574D7A9" w14:textId="77777777" w:rsidR="003415F8" w:rsidRPr="00DF4CE5" w:rsidRDefault="003415F8" w:rsidP="00587D5D">
            <w:pPr>
              <w:widowControl w:val="0"/>
              <w:autoSpaceDE w:val="0"/>
              <w:autoSpaceDN w:val="0"/>
              <w:spacing w:after="0" w:line="240" w:lineRule="auto"/>
              <w:ind w:left="143"/>
              <w:rPr>
                <w:rFonts w:ascii="Cambria" w:eastAsia="Cambria" w:hAnsi="Cambria" w:cs="Cambria"/>
                <w:lang w:val="hr-HR"/>
              </w:rPr>
            </w:pPr>
            <w:r w:rsidRPr="00DF4CE5">
              <w:rPr>
                <w:rFonts w:ascii="Cambria" w:eastAsia="Cambria" w:hAnsi="Cambria" w:cs="Cambria"/>
                <w:lang w:val="hr-HR"/>
              </w:rPr>
              <w:t>obvezni</w:t>
            </w:r>
          </w:p>
        </w:tc>
        <w:tc>
          <w:tcPr>
            <w:tcW w:w="1627" w:type="dxa"/>
            <w:gridSpan w:val="2"/>
            <w:shd w:val="clear" w:color="auto" w:fill="E6E6E6"/>
          </w:tcPr>
          <w:p w14:paraId="1E826708" w14:textId="77777777" w:rsidR="003415F8" w:rsidRPr="00DF4CE5" w:rsidRDefault="003415F8" w:rsidP="00587D5D">
            <w:pPr>
              <w:widowControl w:val="0"/>
              <w:autoSpaceDE w:val="0"/>
              <w:autoSpaceDN w:val="0"/>
              <w:spacing w:after="0" w:line="240" w:lineRule="auto"/>
              <w:ind w:left="143" w:right="642"/>
              <w:rPr>
                <w:rFonts w:ascii="Cambria" w:eastAsia="Cambria" w:hAnsi="Cambria" w:cs="Cambria"/>
                <w:lang w:val="hr-HR"/>
              </w:rPr>
            </w:pPr>
            <w:r w:rsidRPr="00DF4CE5">
              <w:rPr>
                <w:rFonts w:ascii="Cambria" w:eastAsia="Cambria" w:hAnsi="Cambria" w:cs="Cambria"/>
                <w:lang w:val="hr-HR"/>
              </w:rPr>
              <w:t>Razina</w:t>
            </w:r>
            <w:r w:rsidRPr="00DF4CE5">
              <w:rPr>
                <w:rFonts w:ascii="Cambria" w:eastAsia="Cambria" w:hAnsi="Cambria" w:cs="Cambria"/>
                <w:spacing w:val="1"/>
                <w:lang w:val="hr-HR"/>
              </w:rPr>
              <w:t xml:space="preserve"> </w:t>
            </w:r>
            <w:r w:rsidRPr="00DF4CE5">
              <w:rPr>
                <w:rFonts w:ascii="Cambria" w:eastAsia="Cambria" w:hAnsi="Cambria" w:cs="Cambria"/>
                <w:lang w:val="hr-HR"/>
              </w:rPr>
              <w:t>kolegija</w:t>
            </w:r>
          </w:p>
        </w:tc>
        <w:tc>
          <w:tcPr>
            <w:tcW w:w="2769" w:type="dxa"/>
            <w:gridSpan w:val="2"/>
          </w:tcPr>
          <w:p w14:paraId="0BB76278" w14:textId="77777777" w:rsidR="003415F8" w:rsidRPr="00DF4CE5" w:rsidRDefault="003415F8" w:rsidP="00587D5D">
            <w:pPr>
              <w:widowControl w:val="0"/>
              <w:autoSpaceDE w:val="0"/>
              <w:autoSpaceDN w:val="0"/>
              <w:spacing w:after="0" w:line="240" w:lineRule="auto"/>
              <w:ind w:left="144"/>
              <w:rPr>
                <w:rFonts w:ascii="Cambria" w:eastAsia="Cambria" w:hAnsi="Cambria" w:cs="Cambria"/>
                <w:lang w:val="hr-HR"/>
              </w:rPr>
            </w:pPr>
            <w:r w:rsidRPr="00DF4CE5">
              <w:rPr>
                <w:rFonts w:ascii="Cambria" w:eastAsia="Cambria" w:hAnsi="Cambria" w:cs="Cambria"/>
                <w:lang w:val="hr-HR"/>
              </w:rPr>
              <w:t>sveučilišni</w:t>
            </w:r>
          </w:p>
          <w:p w14:paraId="154950CA" w14:textId="77777777" w:rsidR="003415F8" w:rsidRPr="00DF4CE5" w:rsidRDefault="003415F8" w:rsidP="00587D5D">
            <w:pPr>
              <w:widowControl w:val="0"/>
              <w:autoSpaceDE w:val="0"/>
              <w:autoSpaceDN w:val="0"/>
              <w:spacing w:after="0" w:line="240" w:lineRule="auto"/>
              <w:ind w:left="144"/>
              <w:rPr>
                <w:rFonts w:ascii="Cambria" w:eastAsia="Cambria" w:hAnsi="Cambria" w:cs="Cambria"/>
                <w:lang w:val="hr-HR"/>
              </w:rPr>
            </w:pPr>
            <w:r w:rsidRPr="00DF4CE5">
              <w:rPr>
                <w:rFonts w:ascii="Cambria" w:eastAsia="Cambria" w:hAnsi="Cambria" w:cs="Cambria"/>
                <w:lang w:val="hr-HR"/>
              </w:rPr>
              <w:t>integrirani</w:t>
            </w:r>
          </w:p>
        </w:tc>
      </w:tr>
      <w:tr w:rsidR="003415F8" w:rsidRPr="00DF4CE5" w14:paraId="1F0D1AEA" w14:textId="77777777" w:rsidTr="00587D5D">
        <w:trPr>
          <w:trHeight w:val="705"/>
        </w:trPr>
        <w:tc>
          <w:tcPr>
            <w:tcW w:w="2477" w:type="dxa"/>
            <w:shd w:val="clear" w:color="auto" w:fill="F3F3F3"/>
          </w:tcPr>
          <w:p w14:paraId="6413D0BE" w14:textId="77777777" w:rsidR="003415F8" w:rsidRPr="00DF4CE5" w:rsidRDefault="003415F8" w:rsidP="00587D5D">
            <w:pPr>
              <w:widowControl w:val="0"/>
              <w:autoSpaceDE w:val="0"/>
              <w:autoSpaceDN w:val="0"/>
              <w:spacing w:after="0" w:line="240" w:lineRule="auto"/>
              <w:ind w:left="143"/>
              <w:rPr>
                <w:rFonts w:ascii="Cambria" w:eastAsia="Cambria" w:hAnsi="Cambria" w:cs="Cambria"/>
                <w:lang w:val="hr-HR"/>
              </w:rPr>
            </w:pPr>
            <w:r w:rsidRPr="00DF4CE5">
              <w:rPr>
                <w:rFonts w:ascii="Cambria" w:eastAsia="Cambria" w:hAnsi="Cambria" w:cs="Cambria"/>
                <w:lang w:val="hr-HR"/>
              </w:rPr>
              <w:t>Semestar</w:t>
            </w:r>
          </w:p>
        </w:tc>
        <w:tc>
          <w:tcPr>
            <w:tcW w:w="2470" w:type="dxa"/>
            <w:gridSpan w:val="2"/>
          </w:tcPr>
          <w:p w14:paraId="673BFDD6" w14:textId="77777777" w:rsidR="003415F8" w:rsidRPr="00DF4CE5" w:rsidRDefault="003415F8" w:rsidP="00587D5D">
            <w:pPr>
              <w:widowControl w:val="0"/>
              <w:autoSpaceDE w:val="0"/>
              <w:autoSpaceDN w:val="0"/>
              <w:spacing w:after="0" w:line="240" w:lineRule="auto"/>
              <w:ind w:left="143"/>
              <w:rPr>
                <w:rFonts w:ascii="Cambria" w:eastAsia="Cambria" w:hAnsi="Cambria" w:cs="Cambria"/>
                <w:lang w:val="hr-HR"/>
              </w:rPr>
            </w:pPr>
            <w:r w:rsidRPr="00DF4CE5">
              <w:rPr>
                <w:rFonts w:ascii="Cambria" w:eastAsia="Cambria" w:hAnsi="Cambria" w:cs="Cambria"/>
                <w:lang w:val="hr-HR"/>
              </w:rPr>
              <w:t>zimski</w:t>
            </w:r>
          </w:p>
        </w:tc>
        <w:tc>
          <w:tcPr>
            <w:tcW w:w="1627" w:type="dxa"/>
            <w:gridSpan w:val="2"/>
            <w:shd w:val="clear" w:color="auto" w:fill="E6E6E6"/>
          </w:tcPr>
          <w:p w14:paraId="0385DB67" w14:textId="77777777" w:rsidR="003415F8" w:rsidRPr="00DF4CE5" w:rsidRDefault="003415F8" w:rsidP="00587D5D">
            <w:pPr>
              <w:widowControl w:val="0"/>
              <w:autoSpaceDE w:val="0"/>
              <w:autoSpaceDN w:val="0"/>
              <w:spacing w:after="0" w:line="240" w:lineRule="auto"/>
              <w:ind w:left="143" w:right="719"/>
              <w:rPr>
                <w:rFonts w:ascii="Cambria" w:eastAsia="Cambria" w:hAnsi="Cambria" w:cs="Cambria"/>
                <w:lang w:val="hr-HR"/>
              </w:rPr>
            </w:pPr>
            <w:r w:rsidRPr="00DF4CE5">
              <w:rPr>
                <w:rFonts w:ascii="Cambria" w:eastAsia="Cambria" w:hAnsi="Cambria" w:cs="Cambria"/>
                <w:lang w:val="hr-HR"/>
              </w:rPr>
              <w:t>Godina</w:t>
            </w:r>
            <w:r w:rsidRPr="00DF4CE5">
              <w:rPr>
                <w:rFonts w:ascii="Cambria" w:eastAsia="Cambria" w:hAnsi="Cambria" w:cs="Cambria"/>
                <w:spacing w:val="-50"/>
                <w:lang w:val="hr-HR"/>
              </w:rPr>
              <w:t xml:space="preserve"> </w:t>
            </w:r>
            <w:r w:rsidRPr="00DF4CE5">
              <w:rPr>
                <w:rFonts w:ascii="Cambria" w:eastAsia="Cambria" w:hAnsi="Cambria" w:cs="Cambria"/>
                <w:lang w:val="hr-HR"/>
              </w:rPr>
              <w:t>studija</w:t>
            </w:r>
          </w:p>
        </w:tc>
        <w:tc>
          <w:tcPr>
            <w:tcW w:w="2769" w:type="dxa"/>
            <w:gridSpan w:val="2"/>
          </w:tcPr>
          <w:p w14:paraId="413EBE08" w14:textId="77777777" w:rsidR="003415F8" w:rsidRPr="00DF4CE5" w:rsidRDefault="003415F8" w:rsidP="00587D5D">
            <w:pPr>
              <w:widowControl w:val="0"/>
              <w:autoSpaceDE w:val="0"/>
              <w:autoSpaceDN w:val="0"/>
              <w:spacing w:after="0" w:line="240" w:lineRule="auto"/>
              <w:ind w:left="144"/>
              <w:rPr>
                <w:rFonts w:ascii="Cambria" w:eastAsia="Cambria" w:hAnsi="Cambria" w:cs="Cambria"/>
                <w:lang w:val="hr-HR"/>
              </w:rPr>
            </w:pPr>
            <w:r w:rsidRPr="00DF4CE5">
              <w:rPr>
                <w:rFonts w:ascii="Cambria" w:eastAsia="Cambria" w:hAnsi="Cambria" w:cs="Cambria"/>
                <w:lang w:val="hr-HR"/>
              </w:rPr>
              <w:t>III.</w:t>
            </w:r>
          </w:p>
        </w:tc>
      </w:tr>
      <w:tr w:rsidR="003415F8" w:rsidRPr="00DF4CE5" w14:paraId="43ACF3C2" w14:textId="77777777" w:rsidTr="00587D5D">
        <w:trPr>
          <w:trHeight w:val="1271"/>
        </w:trPr>
        <w:tc>
          <w:tcPr>
            <w:tcW w:w="2477" w:type="dxa"/>
            <w:shd w:val="clear" w:color="auto" w:fill="F3F3F3"/>
          </w:tcPr>
          <w:p w14:paraId="54CE4CF6" w14:textId="77777777" w:rsidR="003415F8" w:rsidRPr="00DF4CE5" w:rsidRDefault="003415F8" w:rsidP="00587D5D">
            <w:pPr>
              <w:widowControl w:val="0"/>
              <w:autoSpaceDE w:val="0"/>
              <w:autoSpaceDN w:val="0"/>
              <w:spacing w:after="0" w:line="240" w:lineRule="auto"/>
              <w:rPr>
                <w:rFonts w:ascii="Cambria" w:eastAsia="Cambria" w:hAnsi="Cambria" w:cs="Cambria"/>
                <w:lang w:val="hr-HR"/>
              </w:rPr>
            </w:pPr>
          </w:p>
          <w:p w14:paraId="096B5DED" w14:textId="77777777" w:rsidR="003415F8" w:rsidRPr="00DF4CE5" w:rsidRDefault="003415F8" w:rsidP="00587D5D">
            <w:pPr>
              <w:widowControl w:val="0"/>
              <w:autoSpaceDE w:val="0"/>
              <w:autoSpaceDN w:val="0"/>
              <w:spacing w:after="0" w:line="240" w:lineRule="auto"/>
              <w:ind w:left="143"/>
              <w:rPr>
                <w:rFonts w:ascii="Cambria" w:eastAsia="Cambria" w:hAnsi="Cambria" w:cs="Cambria"/>
                <w:lang w:val="hr-HR"/>
              </w:rPr>
            </w:pPr>
            <w:r w:rsidRPr="00DF4CE5">
              <w:rPr>
                <w:rFonts w:ascii="Cambria" w:eastAsia="Cambria" w:hAnsi="Cambria" w:cs="Cambria"/>
                <w:lang w:val="hr-HR"/>
              </w:rPr>
              <w:t>Mjesto</w:t>
            </w:r>
            <w:r w:rsidRPr="00DF4CE5">
              <w:rPr>
                <w:rFonts w:ascii="Cambria" w:eastAsia="Cambria" w:hAnsi="Cambria" w:cs="Cambria"/>
                <w:spacing w:val="-2"/>
                <w:lang w:val="hr-HR"/>
              </w:rPr>
              <w:t xml:space="preserve"> </w:t>
            </w:r>
            <w:r w:rsidRPr="00DF4CE5">
              <w:rPr>
                <w:rFonts w:ascii="Cambria" w:eastAsia="Cambria" w:hAnsi="Cambria" w:cs="Cambria"/>
                <w:lang w:val="hr-HR"/>
              </w:rPr>
              <w:t>izvođenja</w:t>
            </w:r>
          </w:p>
        </w:tc>
        <w:tc>
          <w:tcPr>
            <w:tcW w:w="2470" w:type="dxa"/>
            <w:gridSpan w:val="2"/>
          </w:tcPr>
          <w:p w14:paraId="76FEF76E" w14:textId="77777777" w:rsidR="003415F8" w:rsidRPr="00DF4CE5" w:rsidRDefault="003415F8" w:rsidP="00587D5D">
            <w:pPr>
              <w:widowControl w:val="0"/>
              <w:tabs>
                <w:tab w:val="left" w:pos="1046"/>
                <w:tab w:val="left" w:pos="1369"/>
                <w:tab w:val="left" w:pos="1610"/>
              </w:tabs>
              <w:autoSpaceDE w:val="0"/>
              <w:autoSpaceDN w:val="0"/>
              <w:spacing w:after="0" w:line="240" w:lineRule="auto"/>
              <w:ind w:left="143" w:right="123"/>
              <w:rPr>
                <w:rFonts w:ascii="Cambria" w:eastAsia="Cambria" w:hAnsi="Cambria" w:cs="Cambria"/>
                <w:lang w:val="hr-HR"/>
              </w:rPr>
            </w:pPr>
            <w:r w:rsidRPr="00DF4CE5">
              <w:rPr>
                <w:rFonts w:ascii="Cambria" w:eastAsia="Cambria" w:hAnsi="Cambria" w:cs="Cambria"/>
                <w:lang w:val="hr-HR"/>
              </w:rPr>
              <w:t>odgojno-obrazovna</w:t>
            </w:r>
            <w:r w:rsidRPr="00DF4CE5">
              <w:rPr>
                <w:rFonts w:ascii="Cambria" w:eastAsia="Cambria" w:hAnsi="Cambria" w:cs="Cambria"/>
                <w:spacing w:val="1"/>
                <w:lang w:val="hr-HR"/>
              </w:rPr>
              <w:t xml:space="preserve"> </w:t>
            </w:r>
            <w:r w:rsidRPr="00DF4CE5">
              <w:rPr>
                <w:rFonts w:ascii="Cambria" w:eastAsia="Cambria" w:hAnsi="Cambria" w:cs="Cambria"/>
                <w:lang w:val="hr-HR"/>
              </w:rPr>
              <w:t xml:space="preserve">ustanova </w:t>
            </w:r>
            <w:r w:rsidRPr="00DF4CE5">
              <w:rPr>
                <w:rFonts w:ascii="Cambria" w:eastAsia="Cambria" w:hAnsi="Cambria" w:cs="Cambria"/>
                <w:spacing w:val="-1"/>
                <w:lang w:val="hr-HR"/>
              </w:rPr>
              <w:t>(osnovna</w:t>
            </w:r>
            <w:r w:rsidRPr="00DF4CE5">
              <w:rPr>
                <w:rFonts w:ascii="Cambria" w:eastAsia="Cambria" w:hAnsi="Cambria" w:cs="Cambria"/>
                <w:spacing w:val="-50"/>
                <w:lang w:val="hr-HR"/>
              </w:rPr>
              <w:t xml:space="preserve"> </w:t>
            </w:r>
            <w:r w:rsidRPr="00DF4CE5">
              <w:rPr>
                <w:rFonts w:ascii="Cambria" w:eastAsia="Cambria" w:hAnsi="Cambria" w:cs="Cambria"/>
                <w:lang w:val="hr-HR"/>
              </w:rPr>
              <w:t xml:space="preserve">škola ili </w:t>
            </w:r>
            <w:r w:rsidRPr="00DF4CE5">
              <w:rPr>
                <w:rFonts w:ascii="Cambria" w:eastAsia="Cambria" w:hAnsi="Cambria" w:cs="Cambria"/>
                <w:spacing w:val="-1"/>
                <w:lang w:val="hr-HR"/>
              </w:rPr>
              <w:t>srodna</w:t>
            </w:r>
            <w:r w:rsidRPr="00DF4CE5">
              <w:rPr>
                <w:rFonts w:ascii="Cambria" w:eastAsia="Cambria" w:hAnsi="Cambria" w:cs="Cambria"/>
                <w:spacing w:val="-50"/>
                <w:lang w:val="hr-HR"/>
              </w:rPr>
              <w:t xml:space="preserve"> </w:t>
            </w:r>
            <w:r w:rsidRPr="00DF4CE5">
              <w:rPr>
                <w:rFonts w:ascii="Cambria" w:eastAsia="Cambria" w:hAnsi="Cambria" w:cs="Cambria"/>
                <w:lang w:val="hr-HR"/>
              </w:rPr>
              <w:t>institucija)</w:t>
            </w:r>
          </w:p>
        </w:tc>
        <w:tc>
          <w:tcPr>
            <w:tcW w:w="1627" w:type="dxa"/>
            <w:gridSpan w:val="2"/>
            <w:shd w:val="clear" w:color="auto" w:fill="E6E6E6"/>
          </w:tcPr>
          <w:p w14:paraId="2E6728DA" w14:textId="77777777" w:rsidR="003415F8" w:rsidRPr="00DF4CE5" w:rsidRDefault="003415F8" w:rsidP="00587D5D">
            <w:pPr>
              <w:widowControl w:val="0"/>
              <w:autoSpaceDE w:val="0"/>
              <w:autoSpaceDN w:val="0"/>
              <w:spacing w:after="0" w:line="240" w:lineRule="auto"/>
              <w:rPr>
                <w:rFonts w:ascii="Cambria" w:eastAsia="Cambria" w:hAnsi="Cambria" w:cs="Cambria"/>
                <w:lang w:val="hr-HR"/>
              </w:rPr>
            </w:pPr>
          </w:p>
          <w:p w14:paraId="469710A1" w14:textId="77777777" w:rsidR="003415F8" w:rsidRPr="00DF4CE5" w:rsidRDefault="003415F8" w:rsidP="00587D5D">
            <w:pPr>
              <w:widowControl w:val="0"/>
              <w:autoSpaceDE w:val="0"/>
              <w:autoSpaceDN w:val="0"/>
              <w:spacing w:after="0" w:line="240" w:lineRule="auto"/>
              <w:ind w:left="143"/>
              <w:rPr>
                <w:rFonts w:ascii="Cambria" w:eastAsia="Cambria" w:hAnsi="Cambria" w:cs="Cambria"/>
                <w:lang w:val="hr-HR"/>
              </w:rPr>
            </w:pPr>
            <w:r w:rsidRPr="00DF4CE5">
              <w:rPr>
                <w:rFonts w:ascii="Cambria" w:eastAsia="Cambria" w:hAnsi="Cambria" w:cs="Cambria"/>
                <w:lang w:val="hr-HR"/>
              </w:rPr>
              <w:t>Jezik</w:t>
            </w:r>
          </w:p>
          <w:p w14:paraId="2C65DDBC" w14:textId="77777777" w:rsidR="003415F8" w:rsidRPr="00DF4CE5" w:rsidRDefault="003415F8" w:rsidP="00587D5D">
            <w:pPr>
              <w:widowControl w:val="0"/>
              <w:autoSpaceDE w:val="0"/>
              <w:autoSpaceDN w:val="0"/>
              <w:spacing w:after="0" w:line="240" w:lineRule="auto"/>
              <w:ind w:left="143"/>
              <w:rPr>
                <w:rFonts w:ascii="Cambria" w:eastAsia="Cambria" w:hAnsi="Cambria" w:cs="Cambria"/>
                <w:lang w:val="hr-HR"/>
              </w:rPr>
            </w:pPr>
            <w:r w:rsidRPr="00DF4CE5">
              <w:rPr>
                <w:rFonts w:ascii="Cambria" w:eastAsia="Cambria" w:hAnsi="Cambria" w:cs="Cambria"/>
                <w:lang w:val="hr-HR"/>
              </w:rPr>
              <w:t>izvođenja</w:t>
            </w:r>
          </w:p>
        </w:tc>
        <w:tc>
          <w:tcPr>
            <w:tcW w:w="2769" w:type="dxa"/>
            <w:gridSpan w:val="2"/>
          </w:tcPr>
          <w:p w14:paraId="5AF848B1" w14:textId="77777777" w:rsidR="003415F8" w:rsidRPr="00DF4CE5" w:rsidRDefault="003415F8" w:rsidP="00587D5D">
            <w:pPr>
              <w:widowControl w:val="0"/>
              <w:autoSpaceDE w:val="0"/>
              <w:autoSpaceDN w:val="0"/>
              <w:spacing w:after="0" w:line="240" w:lineRule="auto"/>
              <w:rPr>
                <w:rFonts w:ascii="Cambria" w:eastAsia="Cambria" w:hAnsi="Cambria" w:cs="Cambria"/>
                <w:lang w:val="hr-HR"/>
              </w:rPr>
            </w:pPr>
          </w:p>
          <w:p w14:paraId="02098E83" w14:textId="77777777" w:rsidR="003415F8" w:rsidRPr="00DF4CE5" w:rsidRDefault="003415F8" w:rsidP="00587D5D">
            <w:pPr>
              <w:widowControl w:val="0"/>
              <w:autoSpaceDE w:val="0"/>
              <w:autoSpaceDN w:val="0"/>
              <w:spacing w:after="0" w:line="240" w:lineRule="auto"/>
              <w:ind w:left="144"/>
              <w:rPr>
                <w:rFonts w:ascii="Cambria" w:eastAsia="Cambria" w:hAnsi="Cambria" w:cs="Cambria"/>
                <w:lang w:val="hr-HR"/>
              </w:rPr>
            </w:pPr>
            <w:r w:rsidRPr="00DF4CE5">
              <w:rPr>
                <w:rFonts w:ascii="Cambria" w:eastAsia="Cambria" w:hAnsi="Cambria" w:cs="Cambria"/>
                <w:lang w:val="hr-HR"/>
              </w:rPr>
              <w:t>hrvatski</w:t>
            </w:r>
          </w:p>
        </w:tc>
      </w:tr>
      <w:tr w:rsidR="003415F8" w:rsidRPr="00DF4CE5" w14:paraId="5A7A8F23" w14:textId="77777777" w:rsidTr="00587D5D">
        <w:trPr>
          <w:trHeight w:val="704"/>
        </w:trPr>
        <w:tc>
          <w:tcPr>
            <w:tcW w:w="2477" w:type="dxa"/>
            <w:shd w:val="clear" w:color="auto" w:fill="F3F3F3"/>
          </w:tcPr>
          <w:p w14:paraId="5D102DD9" w14:textId="77777777" w:rsidR="003415F8" w:rsidRPr="00DF4CE5" w:rsidRDefault="003415F8" w:rsidP="00587D5D">
            <w:pPr>
              <w:widowControl w:val="0"/>
              <w:autoSpaceDE w:val="0"/>
              <w:autoSpaceDN w:val="0"/>
              <w:spacing w:after="0" w:line="240" w:lineRule="auto"/>
              <w:ind w:left="143"/>
              <w:rPr>
                <w:rFonts w:ascii="Cambria" w:eastAsia="Cambria" w:hAnsi="Cambria" w:cs="Cambria"/>
                <w:lang w:val="hr-HR"/>
              </w:rPr>
            </w:pPr>
            <w:r w:rsidRPr="00DF4CE5">
              <w:rPr>
                <w:rFonts w:ascii="Cambria" w:eastAsia="Cambria" w:hAnsi="Cambria" w:cs="Cambria"/>
                <w:lang w:val="hr-HR"/>
              </w:rPr>
              <w:t>Broj</w:t>
            </w:r>
            <w:r w:rsidRPr="00DF4CE5">
              <w:rPr>
                <w:rFonts w:ascii="Cambria" w:eastAsia="Cambria" w:hAnsi="Cambria" w:cs="Cambria"/>
                <w:spacing w:val="-2"/>
                <w:lang w:val="hr-HR"/>
              </w:rPr>
              <w:t xml:space="preserve"> </w:t>
            </w:r>
            <w:r w:rsidRPr="00DF4CE5">
              <w:rPr>
                <w:rFonts w:ascii="Cambria" w:eastAsia="Cambria" w:hAnsi="Cambria" w:cs="Cambria"/>
                <w:lang w:val="hr-HR"/>
              </w:rPr>
              <w:t>ECTS</w:t>
            </w:r>
            <w:r w:rsidRPr="00DF4CE5">
              <w:rPr>
                <w:rFonts w:ascii="Cambria" w:eastAsia="Cambria" w:hAnsi="Cambria" w:cs="Cambria"/>
                <w:spacing w:val="-2"/>
                <w:lang w:val="hr-HR"/>
              </w:rPr>
              <w:t xml:space="preserve"> </w:t>
            </w:r>
            <w:r w:rsidRPr="00DF4CE5">
              <w:rPr>
                <w:rFonts w:ascii="Cambria" w:eastAsia="Cambria" w:hAnsi="Cambria" w:cs="Cambria"/>
                <w:lang w:val="hr-HR"/>
              </w:rPr>
              <w:t>bodova</w:t>
            </w:r>
          </w:p>
        </w:tc>
        <w:tc>
          <w:tcPr>
            <w:tcW w:w="2470" w:type="dxa"/>
            <w:gridSpan w:val="2"/>
          </w:tcPr>
          <w:p w14:paraId="50BBBC8A" w14:textId="77777777" w:rsidR="003415F8" w:rsidRPr="00DF4CE5" w:rsidRDefault="003415F8" w:rsidP="00587D5D">
            <w:pPr>
              <w:widowControl w:val="0"/>
              <w:autoSpaceDE w:val="0"/>
              <w:autoSpaceDN w:val="0"/>
              <w:spacing w:after="0" w:line="240" w:lineRule="auto"/>
              <w:ind w:left="143"/>
              <w:rPr>
                <w:rFonts w:ascii="Cambria" w:eastAsia="Cambria" w:hAnsi="Cambria" w:cs="Cambria"/>
                <w:lang w:val="hr-HR"/>
              </w:rPr>
            </w:pPr>
            <w:r w:rsidRPr="00DF4CE5">
              <w:rPr>
                <w:rFonts w:ascii="Cambria" w:eastAsia="Cambria" w:hAnsi="Cambria" w:cs="Cambria"/>
                <w:lang w:val="hr-HR"/>
              </w:rPr>
              <w:t>2</w:t>
            </w:r>
          </w:p>
        </w:tc>
        <w:tc>
          <w:tcPr>
            <w:tcW w:w="1627" w:type="dxa"/>
            <w:gridSpan w:val="2"/>
            <w:shd w:val="clear" w:color="auto" w:fill="E6E6E6"/>
          </w:tcPr>
          <w:p w14:paraId="4D3CEAC0" w14:textId="77777777" w:rsidR="003415F8" w:rsidRPr="00DF4CE5" w:rsidRDefault="003415F8" w:rsidP="00587D5D">
            <w:pPr>
              <w:widowControl w:val="0"/>
              <w:autoSpaceDE w:val="0"/>
              <w:autoSpaceDN w:val="0"/>
              <w:spacing w:after="0" w:line="240" w:lineRule="auto"/>
              <w:ind w:left="143"/>
              <w:rPr>
                <w:rFonts w:ascii="Cambria" w:eastAsia="Cambria" w:hAnsi="Cambria" w:cs="Cambria"/>
                <w:lang w:val="hr-HR"/>
              </w:rPr>
            </w:pPr>
            <w:r w:rsidRPr="00DF4CE5">
              <w:rPr>
                <w:rFonts w:ascii="Cambria" w:eastAsia="Cambria" w:hAnsi="Cambria" w:cs="Cambria"/>
                <w:lang w:val="hr-HR"/>
              </w:rPr>
              <w:t>Broj</w:t>
            </w:r>
            <w:r w:rsidRPr="00DF4CE5">
              <w:rPr>
                <w:rFonts w:ascii="Cambria" w:eastAsia="Cambria" w:hAnsi="Cambria" w:cs="Cambria"/>
                <w:spacing w:val="33"/>
                <w:lang w:val="hr-HR"/>
              </w:rPr>
              <w:t xml:space="preserve"> </w:t>
            </w:r>
            <w:r w:rsidRPr="00DF4CE5">
              <w:rPr>
                <w:rFonts w:ascii="Cambria" w:eastAsia="Cambria" w:hAnsi="Cambria" w:cs="Cambria"/>
                <w:lang w:val="hr-HR"/>
              </w:rPr>
              <w:t>sati</w:t>
            </w:r>
            <w:r w:rsidRPr="00DF4CE5">
              <w:rPr>
                <w:rFonts w:ascii="Cambria" w:eastAsia="Cambria" w:hAnsi="Cambria" w:cs="Cambria"/>
                <w:spacing w:val="33"/>
                <w:lang w:val="hr-HR"/>
              </w:rPr>
              <w:t xml:space="preserve"> </w:t>
            </w:r>
            <w:r w:rsidRPr="00DF4CE5">
              <w:rPr>
                <w:rFonts w:ascii="Cambria" w:eastAsia="Cambria" w:hAnsi="Cambria" w:cs="Cambria"/>
                <w:lang w:val="hr-HR"/>
              </w:rPr>
              <w:t>u</w:t>
            </w:r>
            <w:r w:rsidRPr="00DF4CE5">
              <w:rPr>
                <w:rFonts w:ascii="Cambria" w:eastAsia="Cambria" w:hAnsi="Cambria" w:cs="Cambria"/>
                <w:spacing w:val="-50"/>
                <w:lang w:val="hr-HR"/>
              </w:rPr>
              <w:t xml:space="preserve"> </w:t>
            </w:r>
            <w:r w:rsidRPr="00DF4CE5">
              <w:rPr>
                <w:rFonts w:ascii="Cambria" w:eastAsia="Cambria" w:hAnsi="Cambria" w:cs="Cambria"/>
                <w:lang w:val="hr-HR"/>
              </w:rPr>
              <w:t>semestru</w:t>
            </w:r>
          </w:p>
        </w:tc>
        <w:tc>
          <w:tcPr>
            <w:tcW w:w="2769" w:type="dxa"/>
            <w:gridSpan w:val="2"/>
          </w:tcPr>
          <w:p w14:paraId="3506A1D1" w14:textId="628FE0AB" w:rsidR="003415F8" w:rsidRPr="00DF4CE5" w:rsidRDefault="003415F8" w:rsidP="00587D5D">
            <w:pPr>
              <w:widowControl w:val="0"/>
              <w:autoSpaceDE w:val="0"/>
              <w:autoSpaceDN w:val="0"/>
              <w:spacing w:after="0" w:line="240" w:lineRule="auto"/>
              <w:ind w:left="144"/>
              <w:rPr>
                <w:rFonts w:ascii="Cambria" w:eastAsia="Cambria" w:hAnsi="Cambria" w:cs="Cambria"/>
                <w:lang w:val="hr-HR"/>
              </w:rPr>
            </w:pPr>
            <w:r w:rsidRPr="00DF4CE5">
              <w:rPr>
                <w:rFonts w:ascii="Cambria" w:eastAsia="Cambria" w:hAnsi="Cambria" w:cs="Cambria"/>
                <w:lang w:val="hr-HR"/>
              </w:rPr>
              <w:t>0P</w:t>
            </w:r>
            <w:r w:rsidRPr="00DF4CE5">
              <w:rPr>
                <w:rFonts w:ascii="Cambria" w:eastAsia="Cambria" w:hAnsi="Cambria" w:cs="Cambria"/>
                <w:spacing w:val="-1"/>
                <w:lang w:val="hr-HR"/>
              </w:rPr>
              <w:t xml:space="preserve"> </w:t>
            </w:r>
            <w:r w:rsidRPr="00DF4CE5">
              <w:rPr>
                <w:rFonts w:ascii="Cambria" w:eastAsia="Cambria" w:hAnsi="Cambria" w:cs="Cambria"/>
                <w:lang w:val="hr-HR"/>
              </w:rPr>
              <w:t>–</w:t>
            </w:r>
            <w:r w:rsidRPr="00DF4CE5">
              <w:rPr>
                <w:rFonts w:ascii="Cambria" w:eastAsia="Cambria" w:hAnsi="Cambria" w:cs="Cambria"/>
                <w:spacing w:val="2"/>
                <w:lang w:val="hr-HR"/>
              </w:rPr>
              <w:t xml:space="preserve"> </w:t>
            </w:r>
            <w:r w:rsidRPr="00DF4CE5">
              <w:rPr>
                <w:rFonts w:ascii="Cambria" w:eastAsia="Cambria" w:hAnsi="Cambria" w:cs="Cambria"/>
                <w:lang w:val="hr-HR"/>
              </w:rPr>
              <w:t xml:space="preserve">0S – </w:t>
            </w:r>
            <w:r>
              <w:rPr>
                <w:rFonts w:ascii="Cambria" w:eastAsia="Cambria" w:hAnsi="Cambria" w:cs="Cambria"/>
                <w:lang w:val="hr-HR"/>
              </w:rPr>
              <w:t>50</w:t>
            </w:r>
            <w:r w:rsidRPr="00DF4CE5">
              <w:rPr>
                <w:rFonts w:ascii="Cambria" w:eastAsia="Cambria" w:hAnsi="Cambria" w:cs="Cambria"/>
                <w:lang w:val="hr-HR"/>
              </w:rPr>
              <w:t>V</w:t>
            </w:r>
          </w:p>
        </w:tc>
      </w:tr>
      <w:tr w:rsidR="003415F8" w:rsidRPr="00DF4CE5" w14:paraId="50048215" w14:textId="77777777" w:rsidTr="00587D5D">
        <w:trPr>
          <w:trHeight w:val="707"/>
        </w:trPr>
        <w:tc>
          <w:tcPr>
            <w:tcW w:w="2477" w:type="dxa"/>
            <w:shd w:val="clear" w:color="auto" w:fill="F3F3F3"/>
          </w:tcPr>
          <w:p w14:paraId="2AD2251B" w14:textId="77777777" w:rsidR="003415F8" w:rsidRPr="00DF4CE5" w:rsidRDefault="003415F8" w:rsidP="00587D5D">
            <w:pPr>
              <w:widowControl w:val="0"/>
              <w:autoSpaceDE w:val="0"/>
              <w:autoSpaceDN w:val="0"/>
              <w:spacing w:after="0" w:line="240" w:lineRule="auto"/>
              <w:ind w:left="143" w:right="119"/>
              <w:rPr>
                <w:rFonts w:ascii="Cambria" w:eastAsia="Cambria" w:hAnsi="Cambria" w:cs="Cambria"/>
                <w:lang w:val="hr-HR"/>
              </w:rPr>
            </w:pPr>
            <w:r w:rsidRPr="00DF4CE5">
              <w:rPr>
                <w:rFonts w:ascii="Cambria" w:eastAsia="Cambria" w:hAnsi="Cambria" w:cs="Cambria"/>
                <w:spacing w:val="-1"/>
                <w:lang w:val="hr-HR"/>
              </w:rPr>
              <w:t>Preduvjeti</w:t>
            </w:r>
            <w:r w:rsidRPr="00DF4CE5">
              <w:rPr>
                <w:rFonts w:ascii="Cambria" w:eastAsia="Cambria" w:hAnsi="Cambria" w:cs="Cambria"/>
                <w:spacing w:val="-12"/>
                <w:lang w:val="hr-HR"/>
              </w:rPr>
              <w:t xml:space="preserve"> </w:t>
            </w:r>
            <w:r w:rsidRPr="00DF4CE5">
              <w:rPr>
                <w:rFonts w:ascii="Cambria" w:eastAsia="Cambria" w:hAnsi="Cambria" w:cs="Cambria"/>
                <w:spacing w:val="-1"/>
                <w:lang w:val="hr-HR"/>
              </w:rPr>
              <w:t>za</w:t>
            </w:r>
            <w:r w:rsidRPr="00DF4CE5">
              <w:rPr>
                <w:rFonts w:ascii="Cambria" w:eastAsia="Cambria" w:hAnsi="Cambria" w:cs="Cambria"/>
                <w:spacing w:val="-12"/>
                <w:lang w:val="hr-HR"/>
              </w:rPr>
              <w:t xml:space="preserve"> </w:t>
            </w:r>
            <w:r w:rsidRPr="00DF4CE5">
              <w:rPr>
                <w:rFonts w:ascii="Cambria" w:eastAsia="Cambria" w:hAnsi="Cambria" w:cs="Cambria"/>
                <w:lang w:val="hr-HR"/>
              </w:rPr>
              <w:t>upis</w:t>
            </w:r>
            <w:r w:rsidRPr="00DF4CE5">
              <w:rPr>
                <w:rFonts w:ascii="Cambria" w:eastAsia="Cambria" w:hAnsi="Cambria" w:cs="Cambria"/>
                <w:spacing w:val="-12"/>
                <w:lang w:val="hr-HR"/>
              </w:rPr>
              <w:t xml:space="preserve"> </w:t>
            </w:r>
            <w:r w:rsidRPr="00DF4CE5">
              <w:rPr>
                <w:rFonts w:ascii="Cambria" w:eastAsia="Cambria" w:hAnsi="Cambria" w:cs="Cambria"/>
                <w:lang w:val="hr-HR"/>
              </w:rPr>
              <w:t>i</w:t>
            </w:r>
            <w:r w:rsidRPr="00DF4CE5">
              <w:rPr>
                <w:rFonts w:ascii="Cambria" w:eastAsia="Cambria" w:hAnsi="Cambria" w:cs="Cambria"/>
                <w:spacing w:val="-12"/>
                <w:lang w:val="hr-HR"/>
              </w:rPr>
              <w:t xml:space="preserve"> </w:t>
            </w:r>
            <w:r w:rsidRPr="00DF4CE5">
              <w:rPr>
                <w:rFonts w:ascii="Cambria" w:eastAsia="Cambria" w:hAnsi="Cambria" w:cs="Cambria"/>
                <w:lang w:val="hr-HR"/>
              </w:rPr>
              <w:t>za</w:t>
            </w:r>
            <w:r w:rsidRPr="00DF4CE5">
              <w:rPr>
                <w:rFonts w:ascii="Cambria" w:eastAsia="Cambria" w:hAnsi="Cambria" w:cs="Cambria"/>
                <w:spacing w:val="-49"/>
                <w:lang w:val="hr-HR"/>
              </w:rPr>
              <w:t xml:space="preserve"> </w:t>
            </w:r>
            <w:r w:rsidRPr="00DF4CE5">
              <w:rPr>
                <w:rFonts w:ascii="Cambria" w:eastAsia="Cambria" w:hAnsi="Cambria" w:cs="Cambria"/>
                <w:lang w:val="hr-HR"/>
              </w:rPr>
              <w:t>svladavanje</w:t>
            </w:r>
          </w:p>
        </w:tc>
        <w:tc>
          <w:tcPr>
            <w:tcW w:w="6866" w:type="dxa"/>
            <w:gridSpan w:val="6"/>
          </w:tcPr>
          <w:p w14:paraId="5AE64C28" w14:textId="77777777" w:rsidR="003415F8" w:rsidRPr="00DF4CE5" w:rsidRDefault="003415F8" w:rsidP="00587D5D">
            <w:pPr>
              <w:widowControl w:val="0"/>
              <w:autoSpaceDE w:val="0"/>
              <w:autoSpaceDN w:val="0"/>
              <w:spacing w:after="0" w:line="240" w:lineRule="auto"/>
              <w:ind w:left="143"/>
              <w:rPr>
                <w:rFonts w:ascii="Cambria" w:eastAsia="Cambria" w:hAnsi="Cambria" w:cs="Cambria"/>
                <w:lang w:val="hr-HR"/>
              </w:rPr>
            </w:pPr>
            <w:r w:rsidRPr="00DF4CE5">
              <w:rPr>
                <w:rFonts w:ascii="Cambria" w:eastAsia="Cambria" w:hAnsi="Cambria" w:cs="Cambria"/>
                <w:lang w:val="hr-HR"/>
              </w:rPr>
              <w:t>Nema</w:t>
            </w:r>
            <w:r w:rsidRPr="00DF4CE5">
              <w:rPr>
                <w:rFonts w:ascii="Cambria" w:eastAsia="Cambria" w:hAnsi="Cambria" w:cs="Cambria"/>
                <w:spacing w:val="-2"/>
                <w:lang w:val="hr-HR"/>
              </w:rPr>
              <w:t xml:space="preserve"> </w:t>
            </w:r>
            <w:r w:rsidRPr="00DF4CE5">
              <w:rPr>
                <w:rFonts w:ascii="Cambria" w:eastAsia="Cambria" w:hAnsi="Cambria" w:cs="Cambria"/>
                <w:lang w:val="hr-HR"/>
              </w:rPr>
              <w:t>preduvjeta</w:t>
            </w:r>
          </w:p>
        </w:tc>
      </w:tr>
      <w:tr w:rsidR="003415F8" w:rsidRPr="00D0399C" w14:paraId="1B080E90" w14:textId="77777777" w:rsidTr="00587D5D">
        <w:trPr>
          <w:trHeight w:val="707"/>
        </w:trPr>
        <w:tc>
          <w:tcPr>
            <w:tcW w:w="2477" w:type="dxa"/>
            <w:shd w:val="clear" w:color="auto" w:fill="F3F3F3"/>
          </w:tcPr>
          <w:p w14:paraId="57FF3A84" w14:textId="77777777" w:rsidR="003415F8" w:rsidRPr="00DF4CE5" w:rsidRDefault="003415F8" w:rsidP="00587D5D">
            <w:pPr>
              <w:widowControl w:val="0"/>
              <w:autoSpaceDE w:val="0"/>
              <w:autoSpaceDN w:val="0"/>
              <w:spacing w:after="0" w:line="240" w:lineRule="auto"/>
              <w:ind w:left="143"/>
              <w:rPr>
                <w:rFonts w:ascii="Cambria" w:eastAsia="Cambria" w:hAnsi="Cambria" w:cs="Cambria"/>
                <w:lang w:val="hr-HR"/>
              </w:rPr>
            </w:pPr>
            <w:proofErr w:type="spellStart"/>
            <w:r w:rsidRPr="00DF4CE5">
              <w:rPr>
                <w:rFonts w:ascii="Cambria" w:eastAsia="Cambria" w:hAnsi="Cambria" w:cs="Cambria"/>
                <w:lang w:val="hr-HR"/>
              </w:rPr>
              <w:t>Korelativnost</w:t>
            </w:r>
            <w:proofErr w:type="spellEnd"/>
          </w:p>
        </w:tc>
        <w:tc>
          <w:tcPr>
            <w:tcW w:w="6866" w:type="dxa"/>
            <w:gridSpan w:val="6"/>
          </w:tcPr>
          <w:p w14:paraId="7574C074" w14:textId="77777777" w:rsidR="003415F8" w:rsidRPr="00DF4CE5" w:rsidRDefault="003415F8" w:rsidP="00587D5D">
            <w:pPr>
              <w:widowControl w:val="0"/>
              <w:tabs>
                <w:tab w:val="left" w:pos="1105"/>
                <w:tab w:val="left" w:pos="2144"/>
                <w:tab w:val="left" w:pos="3091"/>
                <w:tab w:val="left" w:pos="4158"/>
                <w:tab w:val="left" w:pos="4631"/>
              </w:tabs>
              <w:autoSpaceDE w:val="0"/>
              <w:autoSpaceDN w:val="0"/>
              <w:spacing w:after="0" w:line="240" w:lineRule="auto"/>
              <w:ind w:left="143" w:right="124"/>
              <w:rPr>
                <w:rFonts w:ascii="Cambria" w:eastAsia="Cambria" w:hAnsi="Cambria" w:cs="Cambria"/>
                <w:lang w:val="hr-HR"/>
              </w:rPr>
            </w:pPr>
            <w:r w:rsidRPr="00DF4CE5">
              <w:rPr>
                <w:rFonts w:ascii="Cambria" w:eastAsia="Cambria" w:hAnsi="Cambria" w:cs="Cambria"/>
                <w:lang w:val="hr-HR"/>
              </w:rPr>
              <w:t>Kolegij Stručna praksa korelira s</w:t>
            </w:r>
            <w:r>
              <w:rPr>
                <w:rFonts w:ascii="Cambria" w:eastAsia="Cambria" w:hAnsi="Cambria" w:cs="Cambria"/>
                <w:lang w:val="hr-HR"/>
              </w:rPr>
              <w:t xml:space="preserve"> </w:t>
            </w:r>
            <w:r w:rsidRPr="00DF4CE5">
              <w:rPr>
                <w:rFonts w:ascii="Cambria" w:eastAsia="Cambria" w:hAnsi="Cambria" w:cs="Cambria"/>
                <w:spacing w:val="-1"/>
                <w:lang w:val="hr-HR"/>
              </w:rPr>
              <w:t xml:space="preserve">metodičkim </w:t>
            </w:r>
            <w:r w:rsidRPr="00DF4CE5">
              <w:rPr>
                <w:rFonts w:ascii="Cambria" w:eastAsia="Cambria" w:hAnsi="Cambria" w:cs="Cambria"/>
                <w:spacing w:val="-50"/>
                <w:lang w:val="hr-HR"/>
              </w:rPr>
              <w:t xml:space="preserve"> </w:t>
            </w:r>
            <w:r w:rsidRPr="00DF4CE5">
              <w:rPr>
                <w:rFonts w:ascii="Cambria" w:eastAsia="Cambria" w:hAnsi="Cambria" w:cs="Cambria"/>
                <w:lang w:val="hr-HR"/>
              </w:rPr>
              <w:t>kolegijima</w:t>
            </w:r>
            <w:r w:rsidRPr="00DF4CE5">
              <w:rPr>
                <w:rFonts w:ascii="Cambria" w:eastAsia="Cambria" w:hAnsi="Cambria" w:cs="Cambria"/>
                <w:spacing w:val="-2"/>
                <w:lang w:val="hr-HR"/>
              </w:rPr>
              <w:t xml:space="preserve"> </w:t>
            </w:r>
            <w:r w:rsidRPr="00DF4CE5">
              <w:rPr>
                <w:rFonts w:ascii="Cambria" w:eastAsia="Cambria" w:hAnsi="Cambria" w:cs="Cambria"/>
                <w:lang w:val="hr-HR"/>
              </w:rPr>
              <w:t>koji</w:t>
            </w:r>
            <w:r w:rsidRPr="00DF4CE5">
              <w:rPr>
                <w:rFonts w:ascii="Cambria" w:eastAsia="Cambria" w:hAnsi="Cambria" w:cs="Cambria"/>
                <w:spacing w:val="-2"/>
                <w:lang w:val="hr-HR"/>
              </w:rPr>
              <w:t xml:space="preserve"> </w:t>
            </w:r>
            <w:r w:rsidRPr="00DF4CE5">
              <w:rPr>
                <w:rFonts w:ascii="Cambria" w:eastAsia="Cambria" w:hAnsi="Cambria" w:cs="Cambria"/>
                <w:lang w:val="hr-HR"/>
              </w:rPr>
              <w:t>čine</w:t>
            </w:r>
            <w:r w:rsidRPr="00DF4CE5">
              <w:rPr>
                <w:rFonts w:ascii="Cambria" w:eastAsia="Cambria" w:hAnsi="Cambria" w:cs="Cambria"/>
                <w:spacing w:val="-1"/>
                <w:lang w:val="hr-HR"/>
              </w:rPr>
              <w:t xml:space="preserve"> </w:t>
            </w:r>
            <w:r w:rsidRPr="00DF4CE5">
              <w:rPr>
                <w:rFonts w:ascii="Cambria" w:eastAsia="Cambria" w:hAnsi="Cambria" w:cs="Cambria"/>
                <w:lang w:val="hr-HR"/>
              </w:rPr>
              <w:t>programsku</w:t>
            </w:r>
            <w:r w:rsidRPr="00DF4CE5">
              <w:rPr>
                <w:rFonts w:ascii="Cambria" w:eastAsia="Cambria" w:hAnsi="Cambria" w:cs="Cambria"/>
                <w:spacing w:val="-1"/>
                <w:lang w:val="hr-HR"/>
              </w:rPr>
              <w:t xml:space="preserve"> </w:t>
            </w:r>
            <w:r w:rsidRPr="00DF4CE5">
              <w:rPr>
                <w:rFonts w:ascii="Cambria" w:eastAsia="Cambria" w:hAnsi="Cambria" w:cs="Cambria"/>
                <w:lang w:val="hr-HR"/>
              </w:rPr>
              <w:t>cjelinu</w:t>
            </w:r>
            <w:r w:rsidRPr="00DF4CE5">
              <w:rPr>
                <w:rFonts w:ascii="Cambria" w:eastAsia="Cambria" w:hAnsi="Cambria" w:cs="Cambria"/>
                <w:spacing w:val="-2"/>
                <w:lang w:val="hr-HR"/>
              </w:rPr>
              <w:t xml:space="preserve"> </w:t>
            </w:r>
            <w:r w:rsidRPr="00DF4CE5">
              <w:rPr>
                <w:rFonts w:ascii="Cambria" w:eastAsia="Cambria" w:hAnsi="Cambria" w:cs="Cambria"/>
                <w:lang w:val="hr-HR"/>
              </w:rPr>
              <w:t>učiteljskog</w:t>
            </w:r>
            <w:r w:rsidRPr="00DF4CE5">
              <w:rPr>
                <w:rFonts w:ascii="Cambria" w:eastAsia="Cambria" w:hAnsi="Cambria" w:cs="Cambria"/>
                <w:spacing w:val="-4"/>
                <w:lang w:val="hr-HR"/>
              </w:rPr>
              <w:t xml:space="preserve"> </w:t>
            </w:r>
            <w:r w:rsidRPr="00DF4CE5">
              <w:rPr>
                <w:rFonts w:ascii="Cambria" w:eastAsia="Cambria" w:hAnsi="Cambria" w:cs="Cambria"/>
                <w:lang w:val="hr-HR"/>
              </w:rPr>
              <w:t>studija.</w:t>
            </w:r>
          </w:p>
        </w:tc>
      </w:tr>
      <w:tr w:rsidR="003415F8" w:rsidRPr="00D0399C" w14:paraId="5C37F754" w14:textId="77777777" w:rsidTr="00587D5D">
        <w:trPr>
          <w:trHeight w:val="988"/>
        </w:trPr>
        <w:tc>
          <w:tcPr>
            <w:tcW w:w="2477" w:type="dxa"/>
            <w:shd w:val="clear" w:color="auto" w:fill="F3F3F3"/>
          </w:tcPr>
          <w:p w14:paraId="1F237DDC" w14:textId="77777777" w:rsidR="003415F8" w:rsidRPr="00DF4CE5" w:rsidRDefault="003415F8" w:rsidP="00587D5D">
            <w:pPr>
              <w:widowControl w:val="0"/>
              <w:autoSpaceDE w:val="0"/>
              <w:autoSpaceDN w:val="0"/>
              <w:spacing w:after="0" w:line="240" w:lineRule="auto"/>
              <w:rPr>
                <w:rFonts w:ascii="Cambria" w:eastAsia="Cambria" w:hAnsi="Cambria" w:cs="Cambria"/>
                <w:lang w:val="hr-HR"/>
              </w:rPr>
            </w:pPr>
          </w:p>
          <w:p w14:paraId="2FA028B4" w14:textId="77777777" w:rsidR="003415F8" w:rsidRPr="00DF4CE5" w:rsidRDefault="003415F8" w:rsidP="00587D5D">
            <w:pPr>
              <w:widowControl w:val="0"/>
              <w:autoSpaceDE w:val="0"/>
              <w:autoSpaceDN w:val="0"/>
              <w:spacing w:after="0" w:line="240" w:lineRule="auto"/>
              <w:ind w:left="143"/>
              <w:rPr>
                <w:rFonts w:ascii="Cambria" w:eastAsia="Cambria" w:hAnsi="Cambria" w:cs="Cambria"/>
                <w:lang w:val="hr-HR"/>
              </w:rPr>
            </w:pPr>
            <w:r w:rsidRPr="00DF4CE5">
              <w:rPr>
                <w:rFonts w:ascii="Cambria" w:eastAsia="Cambria" w:hAnsi="Cambria" w:cs="Cambria"/>
                <w:lang w:val="hr-HR"/>
              </w:rPr>
              <w:t>Cilj</w:t>
            </w:r>
            <w:r w:rsidRPr="00DF4CE5">
              <w:rPr>
                <w:rFonts w:ascii="Cambria" w:eastAsia="Cambria" w:hAnsi="Cambria" w:cs="Cambria"/>
                <w:spacing w:val="-2"/>
                <w:lang w:val="hr-HR"/>
              </w:rPr>
              <w:t xml:space="preserve"> </w:t>
            </w:r>
            <w:r w:rsidRPr="00DF4CE5">
              <w:rPr>
                <w:rFonts w:ascii="Cambria" w:eastAsia="Cambria" w:hAnsi="Cambria" w:cs="Cambria"/>
                <w:lang w:val="hr-HR"/>
              </w:rPr>
              <w:t>kolegija</w:t>
            </w:r>
          </w:p>
        </w:tc>
        <w:tc>
          <w:tcPr>
            <w:tcW w:w="6866" w:type="dxa"/>
            <w:gridSpan w:val="6"/>
          </w:tcPr>
          <w:p w14:paraId="2E465BAE" w14:textId="77777777" w:rsidR="003415F8" w:rsidRPr="00DF4CE5" w:rsidRDefault="003415F8" w:rsidP="00587D5D">
            <w:pPr>
              <w:widowControl w:val="0"/>
              <w:autoSpaceDE w:val="0"/>
              <w:autoSpaceDN w:val="0"/>
              <w:spacing w:after="0" w:line="240" w:lineRule="auto"/>
              <w:ind w:left="143" w:right="125"/>
              <w:rPr>
                <w:rFonts w:ascii="Cambria" w:eastAsia="Cambria" w:hAnsi="Cambria" w:cs="Cambria"/>
                <w:lang w:val="hr-HR"/>
              </w:rPr>
            </w:pPr>
            <w:r w:rsidRPr="00DF4CE5">
              <w:rPr>
                <w:rFonts w:ascii="Cambria" w:eastAsia="Cambria" w:hAnsi="Cambria" w:cs="Cambria"/>
                <w:lang w:val="hr-HR"/>
              </w:rPr>
              <w:t>osposobiti</w:t>
            </w:r>
            <w:r w:rsidRPr="00DF4CE5">
              <w:rPr>
                <w:rFonts w:ascii="Cambria" w:eastAsia="Cambria" w:hAnsi="Cambria" w:cs="Cambria"/>
                <w:spacing w:val="1"/>
                <w:lang w:val="hr-HR"/>
              </w:rPr>
              <w:t xml:space="preserve"> </w:t>
            </w:r>
            <w:r w:rsidRPr="00DF4CE5">
              <w:rPr>
                <w:rFonts w:ascii="Cambria" w:eastAsia="Cambria" w:hAnsi="Cambria" w:cs="Cambria"/>
                <w:lang w:val="hr-HR"/>
              </w:rPr>
              <w:t>studente</w:t>
            </w:r>
            <w:r w:rsidRPr="00DF4CE5">
              <w:rPr>
                <w:rFonts w:ascii="Cambria" w:eastAsia="Cambria" w:hAnsi="Cambria" w:cs="Cambria"/>
                <w:spacing w:val="1"/>
                <w:lang w:val="hr-HR"/>
              </w:rPr>
              <w:t xml:space="preserve"> </w:t>
            </w:r>
            <w:r w:rsidRPr="00DF4CE5">
              <w:rPr>
                <w:rFonts w:ascii="Cambria" w:eastAsia="Cambria" w:hAnsi="Cambria" w:cs="Cambria"/>
                <w:lang w:val="hr-HR"/>
              </w:rPr>
              <w:t>i</w:t>
            </w:r>
            <w:r w:rsidRPr="00DF4CE5">
              <w:rPr>
                <w:rFonts w:ascii="Cambria" w:eastAsia="Cambria" w:hAnsi="Cambria" w:cs="Cambria"/>
                <w:spacing w:val="1"/>
                <w:lang w:val="hr-HR"/>
              </w:rPr>
              <w:t xml:space="preserve"> </w:t>
            </w:r>
            <w:r w:rsidRPr="00DF4CE5">
              <w:rPr>
                <w:rFonts w:ascii="Cambria" w:eastAsia="Cambria" w:hAnsi="Cambria" w:cs="Cambria"/>
                <w:lang w:val="hr-HR"/>
              </w:rPr>
              <w:t>studentice</w:t>
            </w:r>
            <w:r w:rsidRPr="00DF4CE5">
              <w:rPr>
                <w:rFonts w:ascii="Cambria" w:eastAsia="Cambria" w:hAnsi="Cambria" w:cs="Cambria"/>
                <w:spacing w:val="1"/>
                <w:lang w:val="hr-HR"/>
              </w:rPr>
              <w:t xml:space="preserve"> </w:t>
            </w:r>
            <w:r w:rsidRPr="00DF4CE5">
              <w:rPr>
                <w:rFonts w:ascii="Cambria" w:eastAsia="Cambria" w:hAnsi="Cambria" w:cs="Cambria"/>
                <w:lang w:val="hr-HR"/>
              </w:rPr>
              <w:t>za</w:t>
            </w:r>
            <w:r w:rsidRPr="00DF4CE5">
              <w:rPr>
                <w:rFonts w:ascii="Cambria" w:eastAsia="Cambria" w:hAnsi="Cambria" w:cs="Cambria"/>
                <w:spacing w:val="1"/>
                <w:lang w:val="hr-HR"/>
              </w:rPr>
              <w:t xml:space="preserve"> </w:t>
            </w:r>
            <w:r w:rsidRPr="00DF4CE5">
              <w:rPr>
                <w:rFonts w:ascii="Cambria" w:eastAsia="Cambria" w:hAnsi="Cambria" w:cs="Cambria"/>
                <w:lang w:val="hr-HR"/>
              </w:rPr>
              <w:t>razumijevanje,</w:t>
            </w:r>
            <w:r w:rsidRPr="00DF4CE5">
              <w:rPr>
                <w:rFonts w:ascii="Cambria" w:eastAsia="Cambria" w:hAnsi="Cambria" w:cs="Cambria"/>
                <w:spacing w:val="1"/>
                <w:lang w:val="hr-HR"/>
              </w:rPr>
              <w:t xml:space="preserve"> </w:t>
            </w:r>
            <w:r w:rsidRPr="00DF4CE5">
              <w:rPr>
                <w:rFonts w:ascii="Cambria" w:eastAsia="Cambria" w:hAnsi="Cambria" w:cs="Cambria"/>
                <w:lang w:val="hr-HR"/>
              </w:rPr>
              <w:t>kreiranje,</w:t>
            </w:r>
            <w:r w:rsidRPr="00DF4CE5">
              <w:rPr>
                <w:rFonts w:ascii="Cambria" w:eastAsia="Cambria" w:hAnsi="Cambria" w:cs="Cambria"/>
                <w:spacing w:val="1"/>
                <w:lang w:val="hr-HR"/>
              </w:rPr>
              <w:t xml:space="preserve"> </w:t>
            </w:r>
            <w:r w:rsidRPr="00DF4CE5">
              <w:rPr>
                <w:rFonts w:ascii="Cambria" w:eastAsia="Cambria" w:hAnsi="Cambria" w:cs="Cambria"/>
                <w:lang w:val="hr-HR"/>
              </w:rPr>
              <w:t>istraživanje</w:t>
            </w:r>
            <w:r w:rsidRPr="00DF4CE5">
              <w:rPr>
                <w:rFonts w:ascii="Cambria" w:eastAsia="Cambria" w:hAnsi="Cambria" w:cs="Cambria"/>
                <w:spacing w:val="1"/>
                <w:lang w:val="hr-HR"/>
              </w:rPr>
              <w:t xml:space="preserve"> </w:t>
            </w:r>
            <w:r w:rsidRPr="00DF4CE5">
              <w:rPr>
                <w:rFonts w:ascii="Cambria" w:eastAsia="Cambria" w:hAnsi="Cambria" w:cs="Cambria"/>
                <w:lang w:val="hr-HR"/>
              </w:rPr>
              <w:t>i</w:t>
            </w:r>
            <w:r w:rsidRPr="00DF4CE5">
              <w:rPr>
                <w:rFonts w:ascii="Cambria" w:eastAsia="Cambria" w:hAnsi="Cambria" w:cs="Cambria"/>
                <w:spacing w:val="1"/>
                <w:lang w:val="hr-HR"/>
              </w:rPr>
              <w:t xml:space="preserve"> </w:t>
            </w:r>
            <w:r w:rsidRPr="00DF4CE5">
              <w:rPr>
                <w:rFonts w:ascii="Cambria" w:eastAsia="Cambria" w:hAnsi="Cambria" w:cs="Cambria"/>
                <w:lang w:val="hr-HR"/>
              </w:rPr>
              <w:t>razvoj,</w:t>
            </w:r>
            <w:r w:rsidRPr="00DF4CE5">
              <w:rPr>
                <w:rFonts w:ascii="Cambria" w:eastAsia="Cambria" w:hAnsi="Cambria" w:cs="Cambria"/>
                <w:spacing w:val="1"/>
                <w:lang w:val="hr-HR"/>
              </w:rPr>
              <w:t xml:space="preserve"> </w:t>
            </w:r>
            <w:r w:rsidRPr="00DF4CE5">
              <w:rPr>
                <w:rFonts w:ascii="Cambria" w:eastAsia="Cambria" w:hAnsi="Cambria" w:cs="Cambria"/>
                <w:lang w:val="hr-HR"/>
              </w:rPr>
              <w:t>te</w:t>
            </w:r>
            <w:r w:rsidRPr="00DF4CE5">
              <w:rPr>
                <w:rFonts w:ascii="Cambria" w:eastAsia="Cambria" w:hAnsi="Cambria" w:cs="Cambria"/>
                <w:spacing w:val="1"/>
                <w:lang w:val="hr-HR"/>
              </w:rPr>
              <w:t xml:space="preserve"> </w:t>
            </w:r>
            <w:r w:rsidRPr="00DF4CE5">
              <w:rPr>
                <w:rFonts w:ascii="Cambria" w:eastAsia="Cambria" w:hAnsi="Cambria" w:cs="Cambria"/>
                <w:lang w:val="hr-HR"/>
              </w:rPr>
              <w:t>praćenje</w:t>
            </w:r>
            <w:r w:rsidRPr="00DF4CE5">
              <w:rPr>
                <w:rFonts w:ascii="Cambria" w:eastAsia="Cambria" w:hAnsi="Cambria" w:cs="Cambria"/>
                <w:spacing w:val="1"/>
                <w:lang w:val="hr-HR"/>
              </w:rPr>
              <w:t xml:space="preserve"> </w:t>
            </w:r>
            <w:r w:rsidRPr="00DF4CE5">
              <w:rPr>
                <w:rFonts w:ascii="Cambria" w:eastAsia="Cambria" w:hAnsi="Cambria" w:cs="Cambria"/>
                <w:lang w:val="hr-HR"/>
              </w:rPr>
              <w:t>i</w:t>
            </w:r>
            <w:r w:rsidRPr="00DF4CE5">
              <w:rPr>
                <w:rFonts w:ascii="Cambria" w:eastAsia="Cambria" w:hAnsi="Cambria" w:cs="Cambria"/>
                <w:spacing w:val="1"/>
                <w:lang w:val="hr-HR"/>
              </w:rPr>
              <w:t xml:space="preserve"> </w:t>
            </w:r>
            <w:r w:rsidRPr="00DF4CE5">
              <w:rPr>
                <w:rFonts w:ascii="Cambria" w:eastAsia="Cambria" w:hAnsi="Cambria" w:cs="Cambria"/>
                <w:lang w:val="hr-HR"/>
              </w:rPr>
              <w:t>vrednovanje</w:t>
            </w:r>
            <w:r w:rsidRPr="00DF4CE5">
              <w:rPr>
                <w:rFonts w:ascii="Cambria" w:eastAsia="Cambria" w:hAnsi="Cambria" w:cs="Cambria"/>
                <w:spacing w:val="1"/>
                <w:lang w:val="hr-HR"/>
              </w:rPr>
              <w:t xml:space="preserve"> </w:t>
            </w:r>
            <w:r w:rsidRPr="00DF4CE5">
              <w:rPr>
                <w:rFonts w:ascii="Cambria" w:eastAsia="Cambria" w:hAnsi="Cambria" w:cs="Cambria"/>
                <w:lang w:val="hr-HR"/>
              </w:rPr>
              <w:t>odgojno-</w:t>
            </w:r>
            <w:r w:rsidRPr="00DF4CE5">
              <w:rPr>
                <w:rFonts w:ascii="Cambria" w:eastAsia="Cambria" w:hAnsi="Cambria" w:cs="Cambria"/>
                <w:spacing w:val="1"/>
                <w:lang w:val="hr-HR"/>
              </w:rPr>
              <w:t xml:space="preserve"> </w:t>
            </w:r>
            <w:r w:rsidRPr="00DF4CE5">
              <w:rPr>
                <w:rFonts w:ascii="Cambria" w:eastAsia="Cambria" w:hAnsi="Cambria" w:cs="Cambria"/>
                <w:lang w:val="hr-HR"/>
              </w:rPr>
              <w:t>obrazovnog</w:t>
            </w:r>
            <w:r w:rsidRPr="00DF4CE5">
              <w:rPr>
                <w:rFonts w:ascii="Cambria" w:eastAsia="Cambria" w:hAnsi="Cambria" w:cs="Cambria"/>
                <w:spacing w:val="-2"/>
                <w:lang w:val="hr-HR"/>
              </w:rPr>
              <w:t xml:space="preserve"> </w:t>
            </w:r>
            <w:r w:rsidRPr="00DF4CE5">
              <w:rPr>
                <w:rFonts w:ascii="Cambria" w:eastAsia="Cambria" w:hAnsi="Cambria" w:cs="Cambria"/>
                <w:lang w:val="hr-HR"/>
              </w:rPr>
              <w:t>i timskog</w:t>
            </w:r>
            <w:r w:rsidRPr="00DF4CE5">
              <w:rPr>
                <w:rFonts w:ascii="Cambria" w:eastAsia="Cambria" w:hAnsi="Cambria" w:cs="Cambria"/>
                <w:spacing w:val="-2"/>
                <w:lang w:val="hr-HR"/>
              </w:rPr>
              <w:t xml:space="preserve"> </w:t>
            </w:r>
            <w:r w:rsidRPr="00DF4CE5">
              <w:rPr>
                <w:rFonts w:ascii="Cambria" w:eastAsia="Cambria" w:hAnsi="Cambria" w:cs="Cambria"/>
                <w:lang w:val="hr-HR"/>
              </w:rPr>
              <w:t>rada</w:t>
            </w:r>
          </w:p>
        </w:tc>
      </w:tr>
      <w:tr w:rsidR="003415F8" w:rsidRPr="00D0399C" w14:paraId="1009A53F" w14:textId="77777777" w:rsidTr="00587D5D">
        <w:trPr>
          <w:trHeight w:val="2113"/>
        </w:trPr>
        <w:tc>
          <w:tcPr>
            <w:tcW w:w="2477" w:type="dxa"/>
            <w:shd w:val="clear" w:color="auto" w:fill="F3F3F3"/>
          </w:tcPr>
          <w:p w14:paraId="6A18388A" w14:textId="77777777" w:rsidR="003415F8" w:rsidRPr="00DF4CE5" w:rsidRDefault="003415F8" w:rsidP="00587D5D">
            <w:pPr>
              <w:widowControl w:val="0"/>
              <w:autoSpaceDE w:val="0"/>
              <w:autoSpaceDN w:val="0"/>
              <w:spacing w:after="0" w:line="240" w:lineRule="auto"/>
              <w:rPr>
                <w:rFonts w:ascii="Cambria" w:eastAsia="Cambria" w:hAnsi="Cambria" w:cs="Cambria"/>
                <w:lang w:val="hr-HR"/>
              </w:rPr>
            </w:pPr>
          </w:p>
          <w:p w14:paraId="3E3DFCF8" w14:textId="77777777" w:rsidR="003415F8" w:rsidRPr="00DF4CE5" w:rsidRDefault="003415F8" w:rsidP="00587D5D">
            <w:pPr>
              <w:widowControl w:val="0"/>
              <w:autoSpaceDE w:val="0"/>
              <w:autoSpaceDN w:val="0"/>
              <w:spacing w:after="0" w:line="240" w:lineRule="auto"/>
              <w:rPr>
                <w:rFonts w:ascii="Cambria" w:eastAsia="Cambria" w:hAnsi="Cambria" w:cs="Cambria"/>
                <w:lang w:val="hr-HR"/>
              </w:rPr>
            </w:pPr>
          </w:p>
          <w:p w14:paraId="6B1E9314" w14:textId="77777777" w:rsidR="003415F8" w:rsidRPr="00DF4CE5" w:rsidRDefault="003415F8" w:rsidP="00587D5D">
            <w:pPr>
              <w:widowControl w:val="0"/>
              <w:autoSpaceDE w:val="0"/>
              <w:autoSpaceDN w:val="0"/>
              <w:spacing w:after="0" w:line="240" w:lineRule="auto"/>
              <w:rPr>
                <w:rFonts w:ascii="Cambria" w:eastAsia="Cambria" w:hAnsi="Cambria" w:cs="Cambria"/>
                <w:lang w:val="hr-HR"/>
              </w:rPr>
            </w:pPr>
          </w:p>
          <w:p w14:paraId="0EFD5011" w14:textId="77777777" w:rsidR="003415F8" w:rsidRPr="00DF4CE5" w:rsidRDefault="003415F8" w:rsidP="00587D5D">
            <w:pPr>
              <w:widowControl w:val="0"/>
              <w:autoSpaceDE w:val="0"/>
              <w:autoSpaceDN w:val="0"/>
              <w:spacing w:after="0" w:line="240" w:lineRule="auto"/>
              <w:ind w:left="143"/>
              <w:rPr>
                <w:rFonts w:ascii="Cambria" w:eastAsia="Cambria" w:hAnsi="Cambria" w:cs="Cambria"/>
                <w:lang w:val="hr-HR"/>
              </w:rPr>
            </w:pPr>
            <w:r w:rsidRPr="00DF4CE5">
              <w:rPr>
                <w:rFonts w:ascii="Cambria" w:eastAsia="Cambria" w:hAnsi="Cambria" w:cs="Cambria"/>
                <w:lang w:val="hr-HR"/>
              </w:rPr>
              <w:t>Ishodi</w:t>
            </w:r>
            <w:r w:rsidRPr="00DF4CE5">
              <w:rPr>
                <w:rFonts w:ascii="Cambria" w:eastAsia="Cambria" w:hAnsi="Cambria" w:cs="Cambria"/>
                <w:spacing w:val="-4"/>
                <w:lang w:val="hr-HR"/>
              </w:rPr>
              <w:t xml:space="preserve"> </w:t>
            </w:r>
            <w:r w:rsidRPr="00DF4CE5">
              <w:rPr>
                <w:rFonts w:ascii="Cambria" w:eastAsia="Cambria" w:hAnsi="Cambria" w:cs="Cambria"/>
                <w:lang w:val="hr-HR"/>
              </w:rPr>
              <w:t>učenja</w:t>
            </w:r>
          </w:p>
        </w:tc>
        <w:tc>
          <w:tcPr>
            <w:tcW w:w="6866" w:type="dxa"/>
            <w:gridSpan w:val="6"/>
          </w:tcPr>
          <w:p w14:paraId="26F561F0" w14:textId="77777777" w:rsidR="003415F8" w:rsidRPr="00DF4CE5" w:rsidRDefault="003415F8" w:rsidP="00A034E3">
            <w:pPr>
              <w:widowControl w:val="0"/>
              <w:numPr>
                <w:ilvl w:val="0"/>
                <w:numId w:val="89"/>
              </w:numPr>
              <w:tabs>
                <w:tab w:val="left" w:pos="483"/>
              </w:tabs>
              <w:autoSpaceDE w:val="0"/>
              <w:autoSpaceDN w:val="0"/>
              <w:spacing w:after="0" w:line="240" w:lineRule="auto"/>
              <w:ind w:hanging="428"/>
              <w:rPr>
                <w:rFonts w:ascii="Cambria" w:eastAsia="Cambria" w:hAnsi="Cambria" w:cs="Cambria"/>
                <w:lang w:val="hr-HR"/>
              </w:rPr>
            </w:pPr>
            <w:r w:rsidRPr="00DF4CE5">
              <w:rPr>
                <w:rFonts w:ascii="Cambria" w:eastAsia="Cambria" w:hAnsi="Cambria" w:cs="Cambria"/>
                <w:lang w:val="hr-HR"/>
              </w:rPr>
              <w:t>prikazati</w:t>
            </w:r>
            <w:r w:rsidRPr="00DF4CE5">
              <w:rPr>
                <w:rFonts w:ascii="Cambria" w:eastAsia="Cambria" w:hAnsi="Cambria" w:cs="Cambria"/>
                <w:spacing w:val="14"/>
                <w:lang w:val="hr-HR"/>
              </w:rPr>
              <w:t xml:space="preserve"> </w:t>
            </w:r>
            <w:r w:rsidRPr="00DF4CE5">
              <w:rPr>
                <w:rFonts w:ascii="Cambria" w:eastAsia="Cambria" w:hAnsi="Cambria" w:cs="Cambria"/>
                <w:lang w:val="hr-HR"/>
              </w:rPr>
              <w:t>načine</w:t>
            </w:r>
            <w:r w:rsidRPr="00DF4CE5">
              <w:rPr>
                <w:rFonts w:ascii="Cambria" w:eastAsia="Cambria" w:hAnsi="Cambria" w:cs="Cambria"/>
                <w:spacing w:val="66"/>
                <w:lang w:val="hr-HR"/>
              </w:rPr>
              <w:t xml:space="preserve"> </w:t>
            </w:r>
            <w:r w:rsidRPr="00DF4CE5">
              <w:rPr>
                <w:rFonts w:ascii="Cambria" w:eastAsia="Cambria" w:hAnsi="Cambria" w:cs="Cambria"/>
                <w:lang w:val="hr-HR"/>
              </w:rPr>
              <w:t>planiranja,</w:t>
            </w:r>
            <w:r w:rsidRPr="00DF4CE5">
              <w:rPr>
                <w:rFonts w:ascii="Cambria" w:eastAsia="Cambria" w:hAnsi="Cambria" w:cs="Cambria"/>
                <w:spacing w:val="66"/>
                <w:lang w:val="hr-HR"/>
              </w:rPr>
              <w:t xml:space="preserve"> </w:t>
            </w:r>
            <w:r w:rsidRPr="00DF4CE5">
              <w:rPr>
                <w:rFonts w:ascii="Cambria" w:eastAsia="Cambria" w:hAnsi="Cambria" w:cs="Cambria"/>
                <w:lang w:val="hr-HR"/>
              </w:rPr>
              <w:t>programiranja</w:t>
            </w:r>
            <w:r w:rsidRPr="00DF4CE5">
              <w:rPr>
                <w:rFonts w:ascii="Cambria" w:eastAsia="Cambria" w:hAnsi="Cambria" w:cs="Cambria"/>
                <w:spacing w:val="65"/>
                <w:lang w:val="hr-HR"/>
              </w:rPr>
              <w:t xml:space="preserve"> </w:t>
            </w:r>
            <w:r w:rsidRPr="00DF4CE5">
              <w:rPr>
                <w:rFonts w:ascii="Cambria" w:eastAsia="Cambria" w:hAnsi="Cambria" w:cs="Cambria"/>
                <w:lang w:val="hr-HR"/>
              </w:rPr>
              <w:t>i</w:t>
            </w:r>
            <w:r w:rsidRPr="00DF4CE5">
              <w:rPr>
                <w:rFonts w:ascii="Cambria" w:eastAsia="Cambria" w:hAnsi="Cambria" w:cs="Cambria"/>
                <w:spacing w:val="66"/>
                <w:lang w:val="hr-HR"/>
              </w:rPr>
              <w:t xml:space="preserve"> </w:t>
            </w:r>
            <w:r w:rsidRPr="00DF4CE5">
              <w:rPr>
                <w:rFonts w:ascii="Cambria" w:eastAsia="Cambria" w:hAnsi="Cambria" w:cs="Cambria"/>
                <w:lang w:val="hr-HR"/>
              </w:rPr>
              <w:t>pripremanja</w:t>
            </w:r>
          </w:p>
          <w:p w14:paraId="2EBAEBC9" w14:textId="77777777" w:rsidR="003415F8" w:rsidRPr="00DF4CE5" w:rsidRDefault="003415F8" w:rsidP="00587D5D">
            <w:pPr>
              <w:widowControl w:val="0"/>
              <w:autoSpaceDE w:val="0"/>
              <w:autoSpaceDN w:val="0"/>
              <w:spacing w:after="0" w:line="240" w:lineRule="auto"/>
              <w:ind w:left="429"/>
              <w:rPr>
                <w:rFonts w:ascii="Cambria" w:eastAsia="Cambria" w:hAnsi="Cambria" w:cs="Cambria"/>
                <w:lang w:val="hr-HR"/>
              </w:rPr>
            </w:pPr>
            <w:r w:rsidRPr="00DF4CE5">
              <w:rPr>
                <w:rFonts w:ascii="Cambria" w:eastAsia="Cambria" w:hAnsi="Cambria" w:cs="Cambria"/>
                <w:lang w:val="hr-HR"/>
              </w:rPr>
              <w:t>odgojno-obrazovnog</w:t>
            </w:r>
            <w:r w:rsidRPr="00DF4CE5">
              <w:rPr>
                <w:rFonts w:ascii="Cambria" w:eastAsia="Cambria" w:hAnsi="Cambria" w:cs="Cambria"/>
                <w:spacing w:val="-5"/>
                <w:lang w:val="hr-HR"/>
              </w:rPr>
              <w:t xml:space="preserve"> </w:t>
            </w:r>
            <w:r w:rsidRPr="00DF4CE5">
              <w:rPr>
                <w:rFonts w:ascii="Cambria" w:eastAsia="Cambria" w:hAnsi="Cambria" w:cs="Cambria"/>
                <w:lang w:val="hr-HR"/>
              </w:rPr>
              <w:t>rada</w:t>
            </w:r>
          </w:p>
          <w:p w14:paraId="53F44F51" w14:textId="77777777" w:rsidR="003415F8" w:rsidRPr="00DF4CE5" w:rsidRDefault="003415F8" w:rsidP="00A034E3">
            <w:pPr>
              <w:widowControl w:val="0"/>
              <w:numPr>
                <w:ilvl w:val="0"/>
                <w:numId w:val="89"/>
              </w:numPr>
              <w:tabs>
                <w:tab w:val="left" w:pos="458"/>
              </w:tabs>
              <w:autoSpaceDE w:val="0"/>
              <w:autoSpaceDN w:val="0"/>
              <w:spacing w:after="0" w:line="240" w:lineRule="auto"/>
              <w:ind w:left="429" w:right="126" w:hanging="286"/>
              <w:rPr>
                <w:rFonts w:ascii="Cambria" w:eastAsia="Cambria" w:hAnsi="Cambria" w:cs="Cambria"/>
                <w:lang w:val="hr-HR"/>
              </w:rPr>
            </w:pPr>
            <w:r w:rsidRPr="00DF4CE5">
              <w:rPr>
                <w:rFonts w:ascii="Cambria" w:eastAsia="Cambria" w:hAnsi="Cambria" w:cs="Cambria"/>
                <w:lang w:val="hr-HR"/>
              </w:rPr>
              <w:t>opisati</w:t>
            </w:r>
            <w:r w:rsidRPr="00DF4CE5">
              <w:rPr>
                <w:rFonts w:ascii="Cambria" w:eastAsia="Cambria" w:hAnsi="Cambria" w:cs="Cambria"/>
                <w:spacing w:val="23"/>
                <w:lang w:val="hr-HR"/>
              </w:rPr>
              <w:t xml:space="preserve"> </w:t>
            </w:r>
            <w:r w:rsidRPr="00DF4CE5">
              <w:rPr>
                <w:rFonts w:ascii="Cambria" w:eastAsia="Cambria" w:hAnsi="Cambria" w:cs="Cambria"/>
                <w:lang w:val="hr-HR"/>
              </w:rPr>
              <w:t>organizaciju</w:t>
            </w:r>
            <w:r w:rsidRPr="00DF4CE5">
              <w:rPr>
                <w:rFonts w:ascii="Cambria" w:eastAsia="Cambria" w:hAnsi="Cambria" w:cs="Cambria"/>
                <w:spacing w:val="23"/>
                <w:lang w:val="hr-HR"/>
              </w:rPr>
              <w:t xml:space="preserve"> </w:t>
            </w:r>
            <w:r w:rsidRPr="00DF4CE5">
              <w:rPr>
                <w:rFonts w:ascii="Cambria" w:eastAsia="Cambria" w:hAnsi="Cambria" w:cs="Cambria"/>
                <w:lang w:val="hr-HR"/>
              </w:rPr>
              <w:t>i</w:t>
            </w:r>
            <w:r w:rsidRPr="00DF4CE5">
              <w:rPr>
                <w:rFonts w:ascii="Cambria" w:eastAsia="Cambria" w:hAnsi="Cambria" w:cs="Cambria"/>
                <w:spacing w:val="23"/>
                <w:lang w:val="hr-HR"/>
              </w:rPr>
              <w:t xml:space="preserve"> </w:t>
            </w:r>
            <w:r w:rsidRPr="00DF4CE5">
              <w:rPr>
                <w:rFonts w:ascii="Cambria" w:eastAsia="Cambria" w:hAnsi="Cambria" w:cs="Cambria"/>
                <w:lang w:val="hr-HR"/>
              </w:rPr>
              <w:t>provođenje</w:t>
            </w:r>
            <w:r w:rsidRPr="00DF4CE5">
              <w:rPr>
                <w:rFonts w:ascii="Cambria" w:eastAsia="Cambria" w:hAnsi="Cambria" w:cs="Cambria"/>
                <w:spacing w:val="23"/>
                <w:lang w:val="hr-HR"/>
              </w:rPr>
              <w:t xml:space="preserve"> </w:t>
            </w:r>
            <w:r w:rsidRPr="00DF4CE5">
              <w:rPr>
                <w:rFonts w:ascii="Cambria" w:eastAsia="Cambria" w:hAnsi="Cambria" w:cs="Cambria"/>
                <w:lang w:val="hr-HR"/>
              </w:rPr>
              <w:t>zdravstvene,</w:t>
            </w:r>
            <w:r w:rsidRPr="00DF4CE5">
              <w:rPr>
                <w:rFonts w:ascii="Cambria" w:eastAsia="Cambria" w:hAnsi="Cambria" w:cs="Cambria"/>
                <w:spacing w:val="24"/>
                <w:lang w:val="hr-HR"/>
              </w:rPr>
              <w:t xml:space="preserve"> </w:t>
            </w:r>
            <w:r w:rsidRPr="00DF4CE5">
              <w:rPr>
                <w:rFonts w:ascii="Cambria" w:eastAsia="Cambria" w:hAnsi="Cambria" w:cs="Cambria"/>
                <w:lang w:val="hr-HR"/>
              </w:rPr>
              <w:t>socijalne</w:t>
            </w:r>
            <w:r w:rsidRPr="00DF4CE5">
              <w:rPr>
                <w:rFonts w:ascii="Cambria" w:eastAsia="Cambria" w:hAnsi="Cambria" w:cs="Cambria"/>
                <w:spacing w:val="24"/>
                <w:lang w:val="hr-HR"/>
              </w:rPr>
              <w:t xml:space="preserve"> </w:t>
            </w:r>
            <w:r w:rsidRPr="00DF4CE5">
              <w:rPr>
                <w:rFonts w:ascii="Cambria" w:eastAsia="Cambria" w:hAnsi="Cambria" w:cs="Cambria"/>
                <w:lang w:val="hr-HR"/>
              </w:rPr>
              <w:t>i</w:t>
            </w:r>
            <w:r w:rsidRPr="00DF4CE5">
              <w:rPr>
                <w:rFonts w:ascii="Cambria" w:eastAsia="Cambria" w:hAnsi="Cambria" w:cs="Cambria"/>
                <w:spacing w:val="-50"/>
                <w:lang w:val="hr-HR"/>
              </w:rPr>
              <w:t xml:space="preserve"> </w:t>
            </w:r>
            <w:r w:rsidRPr="00DF4CE5">
              <w:rPr>
                <w:rFonts w:ascii="Cambria" w:eastAsia="Cambria" w:hAnsi="Cambria" w:cs="Cambria"/>
                <w:lang w:val="hr-HR"/>
              </w:rPr>
              <w:t>ekološke</w:t>
            </w:r>
            <w:r w:rsidRPr="00DF4CE5">
              <w:rPr>
                <w:rFonts w:ascii="Cambria" w:eastAsia="Cambria" w:hAnsi="Cambria" w:cs="Cambria"/>
                <w:spacing w:val="-1"/>
                <w:lang w:val="hr-HR"/>
              </w:rPr>
              <w:t xml:space="preserve"> </w:t>
            </w:r>
            <w:r w:rsidRPr="00DF4CE5">
              <w:rPr>
                <w:rFonts w:ascii="Cambria" w:eastAsia="Cambria" w:hAnsi="Cambria" w:cs="Cambria"/>
                <w:lang w:val="hr-HR"/>
              </w:rPr>
              <w:t>skrbi o učenicima</w:t>
            </w:r>
          </w:p>
          <w:p w14:paraId="5E93B356" w14:textId="77777777" w:rsidR="003415F8" w:rsidRPr="00DF4CE5" w:rsidRDefault="003415F8" w:rsidP="00A034E3">
            <w:pPr>
              <w:widowControl w:val="0"/>
              <w:numPr>
                <w:ilvl w:val="0"/>
                <w:numId w:val="89"/>
              </w:numPr>
              <w:tabs>
                <w:tab w:val="left" w:pos="380"/>
              </w:tabs>
              <w:autoSpaceDE w:val="0"/>
              <w:autoSpaceDN w:val="0"/>
              <w:spacing w:after="0" w:line="240" w:lineRule="auto"/>
              <w:ind w:left="379" w:hanging="237"/>
              <w:rPr>
                <w:rFonts w:ascii="Cambria" w:eastAsia="Cambria" w:hAnsi="Cambria" w:cs="Cambria"/>
                <w:lang w:val="hr-HR"/>
              </w:rPr>
            </w:pPr>
            <w:r w:rsidRPr="00DF4CE5">
              <w:rPr>
                <w:rFonts w:ascii="Cambria" w:eastAsia="Cambria" w:hAnsi="Cambria" w:cs="Cambria"/>
                <w:lang w:val="hr-HR"/>
              </w:rPr>
              <w:t>realizirati</w:t>
            </w:r>
            <w:r w:rsidRPr="00DF4CE5">
              <w:rPr>
                <w:rFonts w:ascii="Cambria" w:eastAsia="Cambria" w:hAnsi="Cambria" w:cs="Cambria"/>
                <w:spacing w:val="-3"/>
                <w:lang w:val="hr-HR"/>
              </w:rPr>
              <w:t xml:space="preserve"> </w:t>
            </w:r>
            <w:r w:rsidRPr="00DF4CE5">
              <w:rPr>
                <w:rFonts w:ascii="Cambria" w:eastAsia="Cambria" w:hAnsi="Cambria" w:cs="Cambria"/>
                <w:lang w:val="hr-HR"/>
              </w:rPr>
              <w:t>nastavni</w:t>
            </w:r>
            <w:r w:rsidRPr="00DF4CE5">
              <w:rPr>
                <w:rFonts w:ascii="Cambria" w:eastAsia="Cambria" w:hAnsi="Cambria" w:cs="Cambria"/>
                <w:spacing w:val="-3"/>
                <w:lang w:val="hr-HR"/>
              </w:rPr>
              <w:t xml:space="preserve"> </w:t>
            </w:r>
            <w:r w:rsidRPr="00DF4CE5">
              <w:rPr>
                <w:rFonts w:ascii="Cambria" w:eastAsia="Cambria" w:hAnsi="Cambria" w:cs="Cambria"/>
                <w:lang w:val="hr-HR"/>
              </w:rPr>
              <w:t>sat</w:t>
            </w:r>
          </w:p>
          <w:p w14:paraId="6353CD12" w14:textId="77777777" w:rsidR="003415F8" w:rsidRPr="00DF4CE5" w:rsidRDefault="003415F8" w:rsidP="00A034E3">
            <w:pPr>
              <w:widowControl w:val="0"/>
              <w:numPr>
                <w:ilvl w:val="0"/>
                <w:numId w:val="89"/>
              </w:numPr>
              <w:tabs>
                <w:tab w:val="left" w:pos="379"/>
              </w:tabs>
              <w:autoSpaceDE w:val="0"/>
              <w:autoSpaceDN w:val="0"/>
              <w:spacing w:after="0" w:line="240" w:lineRule="auto"/>
              <w:ind w:left="378" w:hanging="236"/>
              <w:rPr>
                <w:rFonts w:ascii="Cambria" w:eastAsia="Cambria" w:hAnsi="Cambria" w:cs="Cambria"/>
                <w:lang w:val="hr-HR"/>
              </w:rPr>
            </w:pPr>
            <w:r w:rsidRPr="00DF4CE5">
              <w:rPr>
                <w:rFonts w:ascii="Cambria" w:eastAsia="Cambria" w:hAnsi="Cambria" w:cs="Cambria"/>
                <w:lang w:val="hr-HR"/>
              </w:rPr>
              <w:t>predložiti</w:t>
            </w:r>
            <w:r w:rsidRPr="00DF4CE5">
              <w:rPr>
                <w:rFonts w:ascii="Cambria" w:eastAsia="Cambria" w:hAnsi="Cambria" w:cs="Cambria"/>
                <w:spacing w:val="-7"/>
                <w:lang w:val="hr-HR"/>
              </w:rPr>
              <w:t xml:space="preserve"> </w:t>
            </w:r>
            <w:r w:rsidRPr="00DF4CE5">
              <w:rPr>
                <w:rFonts w:ascii="Cambria" w:eastAsia="Cambria" w:hAnsi="Cambria" w:cs="Cambria"/>
                <w:lang w:val="hr-HR"/>
              </w:rPr>
              <w:t>izvannastavne</w:t>
            </w:r>
            <w:r w:rsidRPr="00DF4CE5">
              <w:rPr>
                <w:rFonts w:ascii="Cambria" w:eastAsia="Cambria" w:hAnsi="Cambria" w:cs="Cambria"/>
                <w:spacing w:val="-7"/>
                <w:lang w:val="hr-HR"/>
              </w:rPr>
              <w:t xml:space="preserve"> </w:t>
            </w:r>
            <w:r w:rsidRPr="00DF4CE5">
              <w:rPr>
                <w:rFonts w:ascii="Cambria" w:eastAsia="Cambria" w:hAnsi="Cambria" w:cs="Cambria"/>
                <w:lang w:val="hr-HR"/>
              </w:rPr>
              <w:t>aktivnosti</w:t>
            </w:r>
          </w:p>
          <w:p w14:paraId="20EF1BC9" w14:textId="77777777" w:rsidR="003415F8" w:rsidRPr="00DF4CE5" w:rsidRDefault="003415F8" w:rsidP="00A034E3">
            <w:pPr>
              <w:widowControl w:val="0"/>
              <w:numPr>
                <w:ilvl w:val="0"/>
                <w:numId w:val="89"/>
              </w:numPr>
              <w:tabs>
                <w:tab w:val="left" w:pos="379"/>
              </w:tabs>
              <w:autoSpaceDE w:val="0"/>
              <w:autoSpaceDN w:val="0"/>
              <w:spacing w:after="0" w:line="240" w:lineRule="auto"/>
              <w:ind w:left="378" w:hanging="236"/>
              <w:rPr>
                <w:rFonts w:ascii="Cambria" w:eastAsia="Cambria" w:hAnsi="Cambria" w:cs="Cambria"/>
                <w:lang w:val="hr-HR"/>
              </w:rPr>
            </w:pPr>
            <w:r w:rsidRPr="00DF4CE5">
              <w:rPr>
                <w:rFonts w:ascii="Cambria" w:eastAsia="Cambria" w:hAnsi="Cambria" w:cs="Cambria"/>
                <w:lang w:val="hr-HR"/>
              </w:rPr>
              <w:t>analizirati</w:t>
            </w:r>
            <w:r w:rsidRPr="00DF4CE5">
              <w:rPr>
                <w:rFonts w:ascii="Cambria" w:eastAsia="Cambria" w:hAnsi="Cambria" w:cs="Cambria"/>
                <w:spacing w:val="-5"/>
                <w:lang w:val="hr-HR"/>
              </w:rPr>
              <w:t xml:space="preserve"> </w:t>
            </w:r>
            <w:r w:rsidRPr="00DF4CE5">
              <w:rPr>
                <w:rFonts w:ascii="Cambria" w:eastAsia="Cambria" w:hAnsi="Cambria" w:cs="Cambria"/>
                <w:lang w:val="hr-HR"/>
              </w:rPr>
              <w:t>zastupljenost</w:t>
            </w:r>
            <w:r w:rsidRPr="00DF4CE5">
              <w:rPr>
                <w:rFonts w:ascii="Cambria" w:eastAsia="Cambria" w:hAnsi="Cambria" w:cs="Cambria"/>
                <w:spacing w:val="-4"/>
                <w:lang w:val="hr-HR"/>
              </w:rPr>
              <w:t xml:space="preserve"> </w:t>
            </w:r>
            <w:proofErr w:type="spellStart"/>
            <w:r w:rsidRPr="00DF4CE5">
              <w:rPr>
                <w:rFonts w:ascii="Cambria" w:eastAsia="Cambria" w:hAnsi="Cambria" w:cs="Cambria"/>
                <w:lang w:val="hr-HR"/>
              </w:rPr>
              <w:t>međupredmetnih</w:t>
            </w:r>
            <w:proofErr w:type="spellEnd"/>
            <w:r w:rsidRPr="00DF4CE5">
              <w:rPr>
                <w:rFonts w:ascii="Cambria" w:eastAsia="Cambria" w:hAnsi="Cambria" w:cs="Cambria"/>
                <w:spacing w:val="-5"/>
                <w:lang w:val="hr-HR"/>
              </w:rPr>
              <w:t xml:space="preserve"> </w:t>
            </w:r>
            <w:r w:rsidRPr="00DF4CE5">
              <w:rPr>
                <w:rFonts w:ascii="Cambria" w:eastAsia="Cambria" w:hAnsi="Cambria" w:cs="Cambria"/>
                <w:lang w:val="hr-HR"/>
              </w:rPr>
              <w:t>tema</w:t>
            </w:r>
            <w:r w:rsidRPr="00DF4CE5">
              <w:rPr>
                <w:rFonts w:ascii="Cambria" w:eastAsia="Cambria" w:hAnsi="Cambria" w:cs="Cambria"/>
                <w:spacing w:val="-5"/>
                <w:lang w:val="hr-HR"/>
              </w:rPr>
              <w:t xml:space="preserve"> </w:t>
            </w:r>
            <w:r w:rsidRPr="00DF4CE5">
              <w:rPr>
                <w:rFonts w:ascii="Cambria" w:eastAsia="Cambria" w:hAnsi="Cambria" w:cs="Cambria"/>
                <w:lang w:val="hr-HR"/>
              </w:rPr>
              <w:t>u</w:t>
            </w:r>
            <w:r w:rsidRPr="00DF4CE5">
              <w:rPr>
                <w:rFonts w:ascii="Cambria" w:eastAsia="Cambria" w:hAnsi="Cambria" w:cs="Cambria"/>
                <w:spacing w:val="-6"/>
                <w:lang w:val="hr-HR"/>
              </w:rPr>
              <w:t xml:space="preserve"> </w:t>
            </w:r>
            <w:r w:rsidRPr="00DF4CE5">
              <w:rPr>
                <w:rFonts w:ascii="Cambria" w:eastAsia="Cambria" w:hAnsi="Cambria" w:cs="Cambria"/>
                <w:lang w:val="hr-HR"/>
              </w:rPr>
              <w:t>nastavi</w:t>
            </w:r>
          </w:p>
        </w:tc>
      </w:tr>
      <w:tr w:rsidR="003415F8" w:rsidRPr="00DF4CE5" w14:paraId="08CB1F94" w14:textId="77777777" w:rsidTr="00587D5D">
        <w:trPr>
          <w:trHeight w:val="973"/>
        </w:trPr>
        <w:tc>
          <w:tcPr>
            <w:tcW w:w="2477" w:type="dxa"/>
            <w:shd w:val="clear" w:color="auto" w:fill="F3F3F3"/>
          </w:tcPr>
          <w:p w14:paraId="5D151057" w14:textId="77777777" w:rsidR="003415F8" w:rsidRPr="00DF4CE5" w:rsidRDefault="003415F8" w:rsidP="00587D5D">
            <w:pPr>
              <w:widowControl w:val="0"/>
              <w:autoSpaceDE w:val="0"/>
              <w:autoSpaceDN w:val="0"/>
              <w:spacing w:after="0" w:line="240" w:lineRule="auto"/>
              <w:rPr>
                <w:rFonts w:ascii="Cambria" w:eastAsia="Cambria" w:hAnsi="Cambria" w:cs="Cambria"/>
                <w:lang w:val="hr-HR"/>
              </w:rPr>
            </w:pPr>
          </w:p>
          <w:p w14:paraId="0C20CB20" w14:textId="77777777" w:rsidR="003415F8" w:rsidRPr="00DF4CE5" w:rsidRDefault="003415F8" w:rsidP="00587D5D">
            <w:pPr>
              <w:widowControl w:val="0"/>
              <w:autoSpaceDE w:val="0"/>
              <w:autoSpaceDN w:val="0"/>
              <w:spacing w:after="0" w:line="240" w:lineRule="auto"/>
              <w:rPr>
                <w:rFonts w:ascii="Cambria" w:eastAsia="Cambria" w:hAnsi="Cambria" w:cs="Cambria"/>
                <w:lang w:val="hr-HR"/>
              </w:rPr>
            </w:pPr>
          </w:p>
          <w:p w14:paraId="611D4538" w14:textId="77777777" w:rsidR="003415F8" w:rsidRPr="00DF4CE5" w:rsidRDefault="003415F8" w:rsidP="00587D5D">
            <w:pPr>
              <w:widowControl w:val="0"/>
              <w:autoSpaceDE w:val="0"/>
              <w:autoSpaceDN w:val="0"/>
              <w:spacing w:after="0" w:line="240" w:lineRule="auto"/>
              <w:rPr>
                <w:rFonts w:ascii="Cambria" w:eastAsia="Cambria" w:hAnsi="Cambria" w:cs="Cambria"/>
                <w:lang w:val="hr-HR"/>
              </w:rPr>
            </w:pPr>
          </w:p>
          <w:p w14:paraId="3AF550D5" w14:textId="77777777" w:rsidR="003415F8" w:rsidRPr="00DF4CE5" w:rsidRDefault="003415F8" w:rsidP="00587D5D">
            <w:pPr>
              <w:widowControl w:val="0"/>
              <w:autoSpaceDE w:val="0"/>
              <w:autoSpaceDN w:val="0"/>
              <w:spacing w:after="0" w:line="240" w:lineRule="auto"/>
              <w:ind w:left="107"/>
              <w:rPr>
                <w:rFonts w:ascii="Cambria" w:eastAsia="Cambria" w:hAnsi="Cambria" w:cs="Cambria"/>
                <w:lang w:val="hr-HR"/>
              </w:rPr>
            </w:pPr>
            <w:r w:rsidRPr="00DF4CE5">
              <w:rPr>
                <w:rFonts w:ascii="Cambria" w:eastAsia="Cambria" w:hAnsi="Cambria" w:cs="Cambria"/>
                <w:lang w:val="hr-HR"/>
              </w:rPr>
              <w:t>Sadržaj</w:t>
            </w:r>
            <w:r w:rsidRPr="00DF4CE5">
              <w:rPr>
                <w:rFonts w:ascii="Cambria" w:eastAsia="Cambria" w:hAnsi="Cambria" w:cs="Cambria"/>
                <w:spacing w:val="-3"/>
                <w:lang w:val="hr-HR"/>
              </w:rPr>
              <w:t xml:space="preserve"> </w:t>
            </w:r>
            <w:r w:rsidRPr="00DF4CE5">
              <w:rPr>
                <w:rFonts w:ascii="Cambria" w:eastAsia="Cambria" w:hAnsi="Cambria" w:cs="Cambria"/>
                <w:lang w:val="hr-HR"/>
              </w:rPr>
              <w:t>kolegija</w:t>
            </w:r>
          </w:p>
        </w:tc>
        <w:tc>
          <w:tcPr>
            <w:tcW w:w="6866" w:type="dxa"/>
            <w:gridSpan w:val="6"/>
          </w:tcPr>
          <w:p w14:paraId="702ACCE6" w14:textId="7C606707" w:rsidR="003415F8" w:rsidRPr="00DF4CE5" w:rsidRDefault="003415F8" w:rsidP="00587D5D">
            <w:pPr>
              <w:widowControl w:val="0"/>
              <w:autoSpaceDE w:val="0"/>
              <w:autoSpaceDN w:val="0"/>
              <w:spacing w:after="0" w:line="240" w:lineRule="auto"/>
              <w:ind w:left="107"/>
              <w:rPr>
                <w:rFonts w:ascii="Cambria" w:eastAsia="Cambria" w:hAnsi="Cambria" w:cs="Cambria"/>
                <w:lang w:val="hr-HR"/>
              </w:rPr>
            </w:pPr>
            <w:r w:rsidRPr="00DF4CE5">
              <w:rPr>
                <w:rFonts w:ascii="Cambria" w:eastAsia="Cambria" w:hAnsi="Cambria" w:cs="Cambria"/>
                <w:lang w:val="hr-HR"/>
              </w:rPr>
              <w:t>Studenti</w:t>
            </w:r>
            <w:r w:rsidRPr="00DF4CE5">
              <w:rPr>
                <w:rFonts w:ascii="Cambria" w:eastAsia="Cambria" w:hAnsi="Cambria" w:cs="Cambria"/>
                <w:spacing w:val="-11"/>
                <w:lang w:val="hr-HR"/>
              </w:rPr>
              <w:t xml:space="preserve"> </w:t>
            </w:r>
            <w:r w:rsidRPr="00DF4CE5">
              <w:rPr>
                <w:rFonts w:ascii="Cambria" w:eastAsia="Cambria" w:hAnsi="Cambria" w:cs="Cambria"/>
                <w:lang w:val="hr-HR"/>
              </w:rPr>
              <w:t>stručno-pedagošku</w:t>
            </w:r>
            <w:r w:rsidRPr="00DF4CE5">
              <w:rPr>
                <w:rFonts w:ascii="Cambria" w:eastAsia="Cambria" w:hAnsi="Cambria" w:cs="Cambria"/>
                <w:spacing w:val="-11"/>
                <w:lang w:val="hr-HR"/>
              </w:rPr>
              <w:t xml:space="preserve"> </w:t>
            </w:r>
            <w:r w:rsidRPr="00DF4CE5">
              <w:rPr>
                <w:rFonts w:ascii="Cambria" w:eastAsia="Cambria" w:hAnsi="Cambria" w:cs="Cambria"/>
                <w:lang w:val="hr-HR"/>
              </w:rPr>
              <w:t>praksu</w:t>
            </w:r>
            <w:r w:rsidRPr="00DF4CE5">
              <w:rPr>
                <w:rFonts w:ascii="Cambria" w:eastAsia="Cambria" w:hAnsi="Cambria" w:cs="Cambria"/>
                <w:spacing w:val="-12"/>
                <w:lang w:val="hr-HR"/>
              </w:rPr>
              <w:t xml:space="preserve"> </w:t>
            </w:r>
            <w:r w:rsidRPr="00DF4CE5">
              <w:rPr>
                <w:rFonts w:ascii="Cambria" w:eastAsia="Cambria" w:hAnsi="Cambria" w:cs="Cambria"/>
                <w:lang w:val="hr-HR"/>
              </w:rPr>
              <w:t>ostvaruju</w:t>
            </w:r>
            <w:r w:rsidRPr="00DF4CE5">
              <w:rPr>
                <w:rFonts w:ascii="Cambria" w:eastAsia="Cambria" w:hAnsi="Cambria" w:cs="Cambria"/>
                <w:spacing w:val="-11"/>
                <w:lang w:val="hr-HR"/>
              </w:rPr>
              <w:t xml:space="preserve"> </w:t>
            </w:r>
            <w:r w:rsidRPr="00DF4CE5">
              <w:rPr>
                <w:rFonts w:ascii="Cambria" w:eastAsia="Cambria" w:hAnsi="Cambria" w:cs="Cambria"/>
                <w:lang w:val="hr-HR"/>
              </w:rPr>
              <w:t>u</w:t>
            </w:r>
            <w:r w:rsidRPr="00DF4CE5">
              <w:rPr>
                <w:rFonts w:ascii="Cambria" w:eastAsia="Cambria" w:hAnsi="Cambria" w:cs="Cambria"/>
                <w:spacing w:val="-10"/>
                <w:lang w:val="hr-HR"/>
              </w:rPr>
              <w:t xml:space="preserve"> </w:t>
            </w:r>
            <w:r w:rsidRPr="00DF4CE5">
              <w:rPr>
                <w:rFonts w:ascii="Cambria" w:eastAsia="Cambria" w:hAnsi="Cambria" w:cs="Cambria"/>
                <w:lang w:val="hr-HR"/>
              </w:rPr>
              <w:t>odabranoj</w:t>
            </w:r>
            <w:r w:rsidRPr="00DF4CE5">
              <w:rPr>
                <w:rFonts w:ascii="Cambria" w:eastAsia="Cambria" w:hAnsi="Cambria" w:cs="Cambria"/>
                <w:spacing w:val="-10"/>
                <w:lang w:val="hr-HR"/>
              </w:rPr>
              <w:t xml:space="preserve"> </w:t>
            </w:r>
            <w:r w:rsidRPr="00DF4CE5">
              <w:rPr>
                <w:rFonts w:ascii="Cambria" w:eastAsia="Cambria" w:hAnsi="Cambria" w:cs="Cambria"/>
                <w:lang w:val="hr-HR"/>
              </w:rPr>
              <w:t>školi</w:t>
            </w:r>
            <w:r w:rsidRPr="00DF4CE5">
              <w:rPr>
                <w:rFonts w:ascii="Cambria" w:eastAsia="Cambria" w:hAnsi="Cambria" w:cs="Cambria"/>
                <w:spacing w:val="-11"/>
                <w:lang w:val="hr-HR"/>
              </w:rPr>
              <w:t xml:space="preserve"> </w:t>
            </w:r>
            <w:r w:rsidRPr="00DF4CE5">
              <w:rPr>
                <w:rFonts w:ascii="Cambria" w:eastAsia="Cambria" w:hAnsi="Cambria" w:cs="Cambria"/>
                <w:lang w:val="hr-HR"/>
              </w:rPr>
              <w:t>u</w:t>
            </w:r>
            <w:r w:rsidRPr="00DF4CE5">
              <w:rPr>
                <w:rFonts w:ascii="Cambria" w:eastAsia="Cambria" w:hAnsi="Cambria" w:cs="Cambria"/>
                <w:spacing w:val="-50"/>
                <w:lang w:val="hr-HR"/>
              </w:rPr>
              <w:t xml:space="preserve"> </w:t>
            </w:r>
            <w:r w:rsidRPr="00DF4CE5">
              <w:rPr>
                <w:rFonts w:ascii="Cambria" w:eastAsia="Cambria" w:hAnsi="Cambria" w:cs="Cambria"/>
                <w:lang w:val="hr-HR"/>
              </w:rPr>
              <w:t>veljači</w:t>
            </w:r>
            <w:r w:rsidRPr="00DF4CE5">
              <w:rPr>
                <w:rFonts w:ascii="Cambria" w:eastAsia="Cambria" w:hAnsi="Cambria" w:cs="Cambria"/>
                <w:spacing w:val="-2"/>
                <w:lang w:val="hr-HR"/>
              </w:rPr>
              <w:t xml:space="preserve"> </w:t>
            </w:r>
            <w:r w:rsidRPr="00DF4CE5">
              <w:rPr>
                <w:rFonts w:ascii="Cambria" w:eastAsia="Cambria" w:hAnsi="Cambria" w:cs="Cambria"/>
                <w:lang w:val="hr-HR"/>
              </w:rPr>
              <w:t>(</w:t>
            </w:r>
            <w:r>
              <w:rPr>
                <w:rFonts w:ascii="Cambria" w:eastAsia="Cambria" w:hAnsi="Cambria" w:cs="Cambria"/>
                <w:lang w:val="hr-HR"/>
              </w:rPr>
              <w:t>50</w:t>
            </w:r>
            <w:r w:rsidRPr="00DF4CE5">
              <w:rPr>
                <w:rFonts w:ascii="Cambria" w:eastAsia="Cambria" w:hAnsi="Cambria" w:cs="Cambria"/>
                <w:spacing w:val="-1"/>
                <w:lang w:val="hr-HR"/>
              </w:rPr>
              <w:t xml:space="preserve"> </w:t>
            </w:r>
            <w:r w:rsidRPr="00DF4CE5">
              <w:rPr>
                <w:rFonts w:ascii="Cambria" w:eastAsia="Cambria" w:hAnsi="Cambria" w:cs="Cambria"/>
                <w:lang w:val="hr-HR"/>
              </w:rPr>
              <w:t>sati), pod</w:t>
            </w:r>
            <w:r w:rsidRPr="00DF4CE5">
              <w:rPr>
                <w:rFonts w:ascii="Cambria" w:eastAsia="Cambria" w:hAnsi="Cambria" w:cs="Cambria"/>
                <w:spacing w:val="-2"/>
                <w:lang w:val="hr-HR"/>
              </w:rPr>
              <w:t xml:space="preserve"> </w:t>
            </w:r>
            <w:r w:rsidRPr="00DF4CE5">
              <w:rPr>
                <w:rFonts w:ascii="Cambria" w:eastAsia="Cambria" w:hAnsi="Cambria" w:cs="Cambria"/>
                <w:lang w:val="hr-HR"/>
              </w:rPr>
              <w:t>vodstvom</w:t>
            </w:r>
            <w:r w:rsidRPr="00DF4CE5">
              <w:rPr>
                <w:rFonts w:ascii="Cambria" w:eastAsia="Cambria" w:hAnsi="Cambria" w:cs="Cambria"/>
                <w:spacing w:val="-1"/>
                <w:lang w:val="hr-HR"/>
              </w:rPr>
              <w:t xml:space="preserve"> </w:t>
            </w:r>
            <w:r w:rsidRPr="00DF4CE5">
              <w:rPr>
                <w:rFonts w:ascii="Cambria" w:eastAsia="Cambria" w:hAnsi="Cambria" w:cs="Cambria"/>
                <w:lang w:val="hr-HR"/>
              </w:rPr>
              <w:t>učitelja-mentora</w:t>
            </w:r>
          </w:p>
          <w:p w14:paraId="3503855F" w14:textId="77777777" w:rsidR="003415F8" w:rsidRPr="00DF4CE5" w:rsidRDefault="003415F8" w:rsidP="00587D5D">
            <w:pPr>
              <w:widowControl w:val="0"/>
              <w:autoSpaceDE w:val="0"/>
              <w:autoSpaceDN w:val="0"/>
              <w:spacing w:after="0" w:line="240" w:lineRule="auto"/>
              <w:ind w:left="107"/>
              <w:rPr>
                <w:rFonts w:ascii="Cambria" w:eastAsia="Cambria" w:hAnsi="Cambria" w:cs="Cambria"/>
                <w:lang w:val="hr-HR"/>
              </w:rPr>
            </w:pPr>
            <w:r w:rsidRPr="00DF4CE5">
              <w:rPr>
                <w:rFonts w:ascii="Cambria" w:eastAsia="Cambria" w:hAnsi="Cambria" w:cs="Cambria"/>
                <w:lang w:val="hr-HR"/>
              </w:rPr>
              <w:t>Nastavni</w:t>
            </w:r>
            <w:r w:rsidRPr="00DF4CE5">
              <w:rPr>
                <w:rFonts w:ascii="Cambria" w:eastAsia="Cambria" w:hAnsi="Cambria" w:cs="Cambria"/>
                <w:spacing w:val="-4"/>
                <w:lang w:val="hr-HR"/>
              </w:rPr>
              <w:t xml:space="preserve"> </w:t>
            </w:r>
            <w:r w:rsidRPr="00DF4CE5">
              <w:rPr>
                <w:rFonts w:ascii="Cambria" w:eastAsia="Cambria" w:hAnsi="Cambria" w:cs="Cambria"/>
                <w:lang w:val="hr-HR"/>
              </w:rPr>
              <w:t>program</w:t>
            </w:r>
            <w:r w:rsidRPr="00DF4CE5">
              <w:rPr>
                <w:rFonts w:ascii="Cambria" w:eastAsia="Cambria" w:hAnsi="Cambria" w:cs="Cambria"/>
                <w:spacing w:val="-5"/>
                <w:lang w:val="hr-HR"/>
              </w:rPr>
              <w:t xml:space="preserve"> </w:t>
            </w:r>
            <w:r w:rsidRPr="00DF4CE5">
              <w:rPr>
                <w:rFonts w:ascii="Cambria" w:eastAsia="Cambria" w:hAnsi="Cambria" w:cs="Cambria"/>
                <w:lang w:val="hr-HR"/>
              </w:rPr>
              <w:t>Stručne</w:t>
            </w:r>
            <w:r w:rsidRPr="00DF4CE5">
              <w:rPr>
                <w:rFonts w:ascii="Cambria" w:eastAsia="Cambria" w:hAnsi="Cambria" w:cs="Cambria"/>
                <w:spacing w:val="-4"/>
                <w:lang w:val="hr-HR"/>
              </w:rPr>
              <w:t xml:space="preserve"> </w:t>
            </w:r>
            <w:r w:rsidRPr="00DF4CE5">
              <w:rPr>
                <w:rFonts w:ascii="Cambria" w:eastAsia="Cambria" w:hAnsi="Cambria" w:cs="Cambria"/>
                <w:lang w:val="hr-HR"/>
              </w:rPr>
              <w:t>prakse</w:t>
            </w:r>
            <w:r w:rsidRPr="00DF4CE5">
              <w:rPr>
                <w:rFonts w:ascii="Cambria" w:eastAsia="Cambria" w:hAnsi="Cambria" w:cs="Cambria"/>
                <w:spacing w:val="-4"/>
                <w:lang w:val="hr-HR"/>
              </w:rPr>
              <w:t xml:space="preserve"> </w:t>
            </w:r>
            <w:r w:rsidRPr="00DF4CE5">
              <w:rPr>
                <w:rFonts w:ascii="Cambria" w:eastAsia="Cambria" w:hAnsi="Cambria" w:cs="Cambria"/>
                <w:lang w:val="hr-HR"/>
              </w:rPr>
              <w:t>III.</w:t>
            </w:r>
            <w:r w:rsidRPr="00DF4CE5">
              <w:rPr>
                <w:rFonts w:ascii="Cambria" w:eastAsia="Cambria" w:hAnsi="Cambria" w:cs="Cambria"/>
                <w:spacing w:val="-4"/>
                <w:lang w:val="hr-HR"/>
              </w:rPr>
              <w:t xml:space="preserve"> </w:t>
            </w:r>
            <w:r w:rsidRPr="00DF4CE5">
              <w:rPr>
                <w:rFonts w:ascii="Cambria" w:eastAsia="Cambria" w:hAnsi="Cambria" w:cs="Cambria"/>
                <w:lang w:val="hr-HR"/>
              </w:rPr>
              <w:t>predviđa:</w:t>
            </w:r>
          </w:p>
          <w:p w14:paraId="6320640D" w14:textId="77777777" w:rsidR="003415F8" w:rsidRPr="00DF4CE5" w:rsidRDefault="003415F8" w:rsidP="00A034E3">
            <w:pPr>
              <w:widowControl w:val="0"/>
              <w:numPr>
                <w:ilvl w:val="0"/>
                <w:numId w:val="88"/>
              </w:numPr>
              <w:tabs>
                <w:tab w:val="left" w:pos="468"/>
              </w:tabs>
              <w:autoSpaceDE w:val="0"/>
              <w:autoSpaceDN w:val="0"/>
              <w:spacing w:after="0" w:line="240" w:lineRule="auto"/>
              <w:ind w:right="89"/>
              <w:rPr>
                <w:rFonts w:ascii="Cambria" w:eastAsia="Cambria" w:hAnsi="Cambria" w:cs="Cambria"/>
                <w:lang w:val="hr-HR"/>
              </w:rPr>
            </w:pPr>
            <w:r w:rsidRPr="00DF4CE5">
              <w:rPr>
                <w:rFonts w:ascii="Cambria" w:eastAsia="Cambria" w:hAnsi="Cambria" w:cs="Cambria"/>
                <w:lang w:val="hr-HR"/>
              </w:rPr>
              <w:t>Upoznavanje</w:t>
            </w:r>
            <w:r w:rsidRPr="00DF4CE5">
              <w:rPr>
                <w:rFonts w:ascii="Cambria" w:eastAsia="Cambria" w:hAnsi="Cambria" w:cs="Cambria"/>
                <w:spacing w:val="5"/>
                <w:lang w:val="hr-HR"/>
              </w:rPr>
              <w:t xml:space="preserve"> </w:t>
            </w:r>
            <w:r w:rsidRPr="00DF4CE5">
              <w:rPr>
                <w:rFonts w:ascii="Cambria" w:eastAsia="Cambria" w:hAnsi="Cambria" w:cs="Cambria"/>
                <w:lang w:val="hr-HR"/>
              </w:rPr>
              <w:t>s</w:t>
            </w:r>
            <w:r w:rsidRPr="00DF4CE5">
              <w:rPr>
                <w:rFonts w:ascii="Cambria" w:eastAsia="Cambria" w:hAnsi="Cambria" w:cs="Cambria"/>
                <w:spacing w:val="5"/>
                <w:lang w:val="hr-HR"/>
              </w:rPr>
              <w:t xml:space="preserve"> </w:t>
            </w:r>
            <w:r w:rsidRPr="00DF4CE5">
              <w:rPr>
                <w:rFonts w:ascii="Cambria" w:eastAsia="Cambria" w:hAnsi="Cambria" w:cs="Cambria"/>
                <w:lang w:val="hr-HR"/>
              </w:rPr>
              <w:t>planiranjem,</w:t>
            </w:r>
            <w:r w:rsidRPr="00DF4CE5">
              <w:rPr>
                <w:rFonts w:ascii="Cambria" w:eastAsia="Cambria" w:hAnsi="Cambria" w:cs="Cambria"/>
                <w:spacing w:val="6"/>
                <w:lang w:val="hr-HR"/>
              </w:rPr>
              <w:t xml:space="preserve"> </w:t>
            </w:r>
            <w:r w:rsidRPr="00DF4CE5">
              <w:rPr>
                <w:rFonts w:ascii="Cambria" w:eastAsia="Cambria" w:hAnsi="Cambria" w:cs="Cambria"/>
                <w:lang w:val="hr-HR"/>
              </w:rPr>
              <w:t>programiranjem</w:t>
            </w:r>
            <w:r w:rsidRPr="00DF4CE5">
              <w:rPr>
                <w:rFonts w:ascii="Cambria" w:eastAsia="Cambria" w:hAnsi="Cambria" w:cs="Cambria"/>
                <w:spacing w:val="5"/>
                <w:lang w:val="hr-HR"/>
              </w:rPr>
              <w:t xml:space="preserve"> </w:t>
            </w:r>
            <w:r w:rsidRPr="00DF4CE5">
              <w:rPr>
                <w:rFonts w:ascii="Cambria" w:eastAsia="Cambria" w:hAnsi="Cambria" w:cs="Cambria"/>
                <w:lang w:val="hr-HR"/>
              </w:rPr>
              <w:t>i</w:t>
            </w:r>
            <w:r w:rsidRPr="00DF4CE5">
              <w:rPr>
                <w:rFonts w:ascii="Cambria" w:eastAsia="Cambria" w:hAnsi="Cambria" w:cs="Cambria"/>
                <w:spacing w:val="8"/>
                <w:lang w:val="hr-HR"/>
              </w:rPr>
              <w:t xml:space="preserve"> </w:t>
            </w:r>
            <w:r w:rsidRPr="00DF4CE5">
              <w:rPr>
                <w:rFonts w:ascii="Cambria" w:eastAsia="Cambria" w:hAnsi="Cambria" w:cs="Cambria"/>
                <w:lang w:val="hr-HR"/>
              </w:rPr>
              <w:t>pripremanjem</w:t>
            </w:r>
            <w:r w:rsidRPr="00DF4CE5">
              <w:rPr>
                <w:rFonts w:ascii="Cambria" w:eastAsia="Cambria" w:hAnsi="Cambria" w:cs="Cambria"/>
                <w:spacing w:val="-50"/>
                <w:lang w:val="hr-HR"/>
              </w:rPr>
              <w:t xml:space="preserve"> </w:t>
            </w:r>
            <w:r w:rsidRPr="00DF4CE5">
              <w:rPr>
                <w:rFonts w:ascii="Cambria" w:eastAsia="Cambria" w:hAnsi="Cambria" w:cs="Cambria"/>
                <w:lang w:val="hr-HR"/>
              </w:rPr>
              <w:t>odgojno-obrazovnog</w:t>
            </w:r>
            <w:r w:rsidRPr="00DF4CE5">
              <w:rPr>
                <w:rFonts w:ascii="Cambria" w:eastAsia="Cambria" w:hAnsi="Cambria" w:cs="Cambria"/>
                <w:spacing w:val="-2"/>
                <w:lang w:val="hr-HR"/>
              </w:rPr>
              <w:t xml:space="preserve"> </w:t>
            </w:r>
            <w:r w:rsidRPr="00DF4CE5">
              <w:rPr>
                <w:rFonts w:ascii="Cambria" w:eastAsia="Cambria" w:hAnsi="Cambria" w:cs="Cambria"/>
                <w:lang w:val="hr-HR"/>
              </w:rPr>
              <w:t>rada</w:t>
            </w:r>
            <w:r w:rsidRPr="00DF4CE5">
              <w:rPr>
                <w:rFonts w:ascii="Cambria" w:eastAsia="Cambria" w:hAnsi="Cambria" w:cs="Cambria"/>
                <w:spacing w:val="-1"/>
                <w:lang w:val="hr-HR"/>
              </w:rPr>
              <w:t xml:space="preserve"> </w:t>
            </w:r>
            <w:r w:rsidRPr="00DF4CE5">
              <w:rPr>
                <w:rFonts w:ascii="Cambria" w:eastAsia="Cambria" w:hAnsi="Cambria" w:cs="Cambria"/>
                <w:lang w:val="hr-HR"/>
              </w:rPr>
              <w:t>u</w:t>
            </w:r>
            <w:r w:rsidRPr="00DF4CE5">
              <w:rPr>
                <w:rFonts w:ascii="Cambria" w:eastAsia="Cambria" w:hAnsi="Cambria" w:cs="Cambria"/>
                <w:spacing w:val="-1"/>
                <w:lang w:val="hr-HR"/>
              </w:rPr>
              <w:t xml:space="preserve"> </w:t>
            </w:r>
            <w:r w:rsidRPr="00DF4CE5">
              <w:rPr>
                <w:rFonts w:ascii="Cambria" w:eastAsia="Cambria" w:hAnsi="Cambria" w:cs="Cambria"/>
                <w:lang w:val="hr-HR"/>
              </w:rPr>
              <w:t>nastavi</w:t>
            </w:r>
          </w:p>
          <w:p w14:paraId="6CAB3F0E" w14:textId="77777777" w:rsidR="003415F8" w:rsidRPr="00DF4CE5" w:rsidRDefault="003415F8" w:rsidP="00A034E3">
            <w:pPr>
              <w:widowControl w:val="0"/>
              <w:numPr>
                <w:ilvl w:val="0"/>
                <w:numId w:val="88"/>
              </w:numPr>
              <w:tabs>
                <w:tab w:val="left" w:pos="468"/>
              </w:tabs>
              <w:autoSpaceDE w:val="0"/>
              <w:autoSpaceDN w:val="0"/>
              <w:spacing w:after="0" w:line="240" w:lineRule="auto"/>
              <w:rPr>
                <w:rFonts w:ascii="Cambria" w:eastAsia="Cambria" w:hAnsi="Cambria" w:cs="Cambria"/>
                <w:lang w:val="hr-HR"/>
              </w:rPr>
            </w:pPr>
            <w:r w:rsidRPr="00DF4CE5">
              <w:rPr>
                <w:rFonts w:ascii="Cambria" w:eastAsia="Cambria" w:hAnsi="Cambria" w:cs="Cambria"/>
                <w:lang w:val="hr-HR"/>
              </w:rPr>
              <w:t>Upoznavanje</w:t>
            </w:r>
            <w:r w:rsidRPr="00DF4CE5">
              <w:rPr>
                <w:rFonts w:ascii="Cambria" w:eastAsia="Cambria" w:hAnsi="Cambria" w:cs="Cambria"/>
                <w:spacing w:val="-4"/>
                <w:lang w:val="hr-HR"/>
              </w:rPr>
              <w:t xml:space="preserve"> </w:t>
            </w:r>
            <w:r w:rsidRPr="00DF4CE5">
              <w:rPr>
                <w:rFonts w:ascii="Cambria" w:eastAsia="Cambria" w:hAnsi="Cambria" w:cs="Cambria"/>
                <w:lang w:val="hr-HR"/>
              </w:rPr>
              <w:t>s</w:t>
            </w:r>
            <w:r w:rsidRPr="00DF4CE5">
              <w:rPr>
                <w:rFonts w:ascii="Cambria" w:eastAsia="Cambria" w:hAnsi="Cambria" w:cs="Cambria"/>
                <w:spacing w:val="-4"/>
                <w:lang w:val="hr-HR"/>
              </w:rPr>
              <w:t xml:space="preserve"> </w:t>
            </w:r>
            <w:r w:rsidRPr="00DF4CE5">
              <w:rPr>
                <w:rFonts w:ascii="Cambria" w:eastAsia="Cambria" w:hAnsi="Cambria" w:cs="Cambria"/>
                <w:lang w:val="hr-HR"/>
              </w:rPr>
              <w:t>vođenjem</w:t>
            </w:r>
            <w:r w:rsidRPr="00DF4CE5">
              <w:rPr>
                <w:rFonts w:ascii="Cambria" w:eastAsia="Cambria" w:hAnsi="Cambria" w:cs="Cambria"/>
                <w:spacing w:val="-5"/>
                <w:lang w:val="hr-HR"/>
              </w:rPr>
              <w:t xml:space="preserve"> </w:t>
            </w:r>
            <w:r w:rsidRPr="00DF4CE5">
              <w:rPr>
                <w:rFonts w:ascii="Cambria" w:eastAsia="Cambria" w:hAnsi="Cambria" w:cs="Cambria"/>
                <w:lang w:val="hr-HR"/>
              </w:rPr>
              <w:t>pedagoške</w:t>
            </w:r>
            <w:r w:rsidRPr="00DF4CE5">
              <w:rPr>
                <w:rFonts w:ascii="Cambria" w:eastAsia="Cambria" w:hAnsi="Cambria" w:cs="Cambria"/>
                <w:spacing w:val="-4"/>
                <w:lang w:val="hr-HR"/>
              </w:rPr>
              <w:t xml:space="preserve"> </w:t>
            </w:r>
            <w:r w:rsidRPr="00DF4CE5">
              <w:rPr>
                <w:rFonts w:ascii="Cambria" w:eastAsia="Cambria" w:hAnsi="Cambria" w:cs="Cambria"/>
                <w:lang w:val="hr-HR"/>
              </w:rPr>
              <w:t>dokumentacije</w:t>
            </w:r>
          </w:p>
          <w:p w14:paraId="009EF15A" w14:textId="77777777" w:rsidR="003415F8" w:rsidRPr="00DF4CE5" w:rsidRDefault="003415F8" w:rsidP="00A034E3">
            <w:pPr>
              <w:widowControl w:val="0"/>
              <w:numPr>
                <w:ilvl w:val="0"/>
                <w:numId w:val="88"/>
              </w:numPr>
              <w:tabs>
                <w:tab w:val="left" w:pos="468"/>
              </w:tabs>
              <w:autoSpaceDE w:val="0"/>
              <w:autoSpaceDN w:val="0"/>
              <w:spacing w:after="0" w:line="240" w:lineRule="auto"/>
              <w:ind w:right="89"/>
              <w:rPr>
                <w:rFonts w:ascii="Cambria" w:eastAsia="Cambria" w:hAnsi="Cambria" w:cs="Cambria"/>
                <w:lang w:val="hr-HR"/>
              </w:rPr>
            </w:pPr>
            <w:r w:rsidRPr="00DF4CE5">
              <w:rPr>
                <w:rFonts w:ascii="Cambria" w:eastAsia="Cambria" w:hAnsi="Cambria" w:cs="Cambria"/>
                <w:lang w:val="hr-HR"/>
              </w:rPr>
              <w:t>Upoznavanje</w:t>
            </w:r>
            <w:r w:rsidRPr="00DF4CE5">
              <w:rPr>
                <w:rFonts w:ascii="Cambria" w:eastAsia="Cambria" w:hAnsi="Cambria" w:cs="Cambria"/>
                <w:spacing w:val="17"/>
                <w:lang w:val="hr-HR"/>
              </w:rPr>
              <w:t xml:space="preserve"> </w:t>
            </w:r>
            <w:r w:rsidRPr="00DF4CE5">
              <w:rPr>
                <w:rFonts w:ascii="Cambria" w:eastAsia="Cambria" w:hAnsi="Cambria" w:cs="Cambria"/>
                <w:lang w:val="hr-HR"/>
              </w:rPr>
              <w:t>s</w:t>
            </w:r>
            <w:r w:rsidRPr="00DF4CE5">
              <w:rPr>
                <w:rFonts w:ascii="Cambria" w:eastAsia="Cambria" w:hAnsi="Cambria" w:cs="Cambria"/>
                <w:spacing w:val="17"/>
                <w:lang w:val="hr-HR"/>
              </w:rPr>
              <w:t xml:space="preserve"> </w:t>
            </w:r>
            <w:r w:rsidRPr="00DF4CE5">
              <w:rPr>
                <w:rFonts w:ascii="Cambria" w:eastAsia="Cambria" w:hAnsi="Cambria" w:cs="Cambria"/>
                <w:lang w:val="hr-HR"/>
              </w:rPr>
              <w:t>napredovanjem</w:t>
            </w:r>
            <w:r w:rsidRPr="00DF4CE5">
              <w:rPr>
                <w:rFonts w:ascii="Cambria" w:eastAsia="Cambria" w:hAnsi="Cambria" w:cs="Cambria"/>
                <w:spacing w:val="16"/>
                <w:lang w:val="hr-HR"/>
              </w:rPr>
              <w:t xml:space="preserve"> </w:t>
            </w:r>
            <w:r w:rsidRPr="00DF4CE5">
              <w:rPr>
                <w:rFonts w:ascii="Cambria" w:eastAsia="Cambria" w:hAnsi="Cambria" w:cs="Cambria"/>
                <w:lang w:val="hr-HR"/>
              </w:rPr>
              <w:t>i</w:t>
            </w:r>
            <w:r w:rsidRPr="00DF4CE5">
              <w:rPr>
                <w:rFonts w:ascii="Cambria" w:eastAsia="Cambria" w:hAnsi="Cambria" w:cs="Cambria"/>
                <w:spacing w:val="17"/>
                <w:lang w:val="hr-HR"/>
              </w:rPr>
              <w:t xml:space="preserve"> </w:t>
            </w:r>
            <w:r w:rsidRPr="00DF4CE5">
              <w:rPr>
                <w:rFonts w:ascii="Cambria" w:eastAsia="Cambria" w:hAnsi="Cambria" w:cs="Cambria"/>
                <w:lang w:val="hr-HR"/>
              </w:rPr>
              <w:t>problemima</w:t>
            </w:r>
            <w:r w:rsidRPr="00DF4CE5">
              <w:rPr>
                <w:rFonts w:ascii="Cambria" w:eastAsia="Cambria" w:hAnsi="Cambria" w:cs="Cambria"/>
                <w:spacing w:val="15"/>
                <w:lang w:val="hr-HR"/>
              </w:rPr>
              <w:t xml:space="preserve"> </w:t>
            </w:r>
            <w:r w:rsidRPr="00DF4CE5">
              <w:rPr>
                <w:rFonts w:ascii="Cambria" w:eastAsia="Cambria" w:hAnsi="Cambria" w:cs="Cambria"/>
                <w:lang w:val="hr-HR"/>
              </w:rPr>
              <w:t>učenika</w:t>
            </w:r>
            <w:r w:rsidRPr="00DF4CE5">
              <w:rPr>
                <w:rFonts w:ascii="Cambria" w:eastAsia="Cambria" w:hAnsi="Cambria" w:cs="Cambria"/>
                <w:spacing w:val="16"/>
                <w:lang w:val="hr-HR"/>
              </w:rPr>
              <w:t xml:space="preserve"> </w:t>
            </w:r>
            <w:r w:rsidRPr="00DF4CE5">
              <w:rPr>
                <w:rFonts w:ascii="Cambria" w:eastAsia="Cambria" w:hAnsi="Cambria" w:cs="Cambria"/>
                <w:lang w:val="hr-HR"/>
              </w:rPr>
              <w:t>kao</w:t>
            </w:r>
            <w:r w:rsidRPr="00DF4CE5">
              <w:rPr>
                <w:rFonts w:ascii="Cambria" w:eastAsia="Cambria" w:hAnsi="Cambria" w:cs="Cambria"/>
                <w:spacing w:val="-50"/>
                <w:lang w:val="hr-HR"/>
              </w:rPr>
              <w:t xml:space="preserve"> </w:t>
            </w:r>
            <w:r w:rsidRPr="00DF4CE5">
              <w:rPr>
                <w:rFonts w:ascii="Cambria" w:eastAsia="Cambria" w:hAnsi="Cambria" w:cs="Cambria"/>
                <w:lang w:val="hr-HR"/>
              </w:rPr>
              <w:t>važnog</w:t>
            </w:r>
            <w:r w:rsidRPr="00DF4CE5">
              <w:rPr>
                <w:rFonts w:ascii="Cambria" w:eastAsia="Cambria" w:hAnsi="Cambria" w:cs="Cambria"/>
                <w:spacing w:val="-2"/>
                <w:lang w:val="hr-HR"/>
              </w:rPr>
              <w:t xml:space="preserve"> </w:t>
            </w:r>
            <w:r w:rsidRPr="00DF4CE5">
              <w:rPr>
                <w:rFonts w:ascii="Cambria" w:eastAsia="Cambria" w:hAnsi="Cambria" w:cs="Cambria"/>
                <w:lang w:val="hr-HR"/>
              </w:rPr>
              <w:t>dijela odgojno-obrazovnog</w:t>
            </w:r>
            <w:r w:rsidRPr="00DF4CE5">
              <w:rPr>
                <w:rFonts w:ascii="Cambria" w:eastAsia="Cambria" w:hAnsi="Cambria" w:cs="Cambria"/>
                <w:spacing w:val="-2"/>
                <w:lang w:val="hr-HR"/>
              </w:rPr>
              <w:t xml:space="preserve"> </w:t>
            </w:r>
            <w:r w:rsidRPr="00DF4CE5">
              <w:rPr>
                <w:rFonts w:ascii="Cambria" w:eastAsia="Cambria" w:hAnsi="Cambria" w:cs="Cambria"/>
                <w:lang w:val="hr-HR"/>
              </w:rPr>
              <w:t>procesa</w:t>
            </w:r>
          </w:p>
          <w:p w14:paraId="6C9DC782" w14:textId="77777777" w:rsidR="003415F8" w:rsidRPr="00DF4CE5" w:rsidRDefault="003415F8" w:rsidP="00A034E3">
            <w:pPr>
              <w:widowControl w:val="0"/>
              <w:numPr>
                <w:ilvl w:val="0"/>
                <w:numId w:val="88"/>
              </w:numPr>
              <w:tabs>
                <w:tab w:val="left" w:pos="468"/>
              </w:tabs>
              <w:autoSpaceDE w:val="0"/>
              <w:autoSpaceDN w:val="0"/>
              <w:spacing w:after="0" w:line="240" w:lineRule="auto"/>
              <w:jc w:val="both"/>
              <w:rPr>
                <w:rFonts w:ascii="Cambria" w:eastAsia="Cambria" w:hAnsi="Cambria" w:cs="Cambria"/>
                <w:lang w:val="hr-HR"/>
              </w:rPr>
            </w:pPr>
            <w:r w:rsidRPr="00DF4CE5">
              <w:rPr>
                <w:rFonts w:ascii="Cambria" w:eastAsia="Cambria" w:hAnsi="Cambria" w:cs="Cambria"/>
                <w:lang w:val="hr-HR"/>
              </w:rPr>
              <w:t>Prisustvovanje</w:t>
            </w:r>
            <w:r w:rsidRPr="00DF4CE5">
              <w:rPr>
                <w:rFonts w:ascii="Cambria" w:eastAsia="Cambria" w:hAnsi="Cambria" w:cs="Cambria"/>
                <w:spacing w:val="-3"/>
                <w:lang w:val="hr-HR"/>
              </w:rPr>
              <w:t xml:space="preserve"> </w:t>
            </w:r>
            <w:r w:rsidRPr="00DF4CE5">
              <w:rPr>
                <w:rFonts w:ascii="Cambria" w:eastAsia="Cambria" w:hAnsi="Cambria" w:cs="Cambria"/>
                <w:lang w:val="hr-HR"/>
              </w:rPr>
              <w:t>radu</w:t>
            </w:r>
            <w:r w:rsidRPr="00DF4CE5">
              <w:rPr>
                <w:rFonts w:ascii="Cambria" w:eastAsia="Cambria" w:hAnsi="Cambria" w:cs="Cambria"/>
                <w:spacing w:val="-3"/>
                <w:lang w:val="hr-HR"/>
              </w:rPr>
              <w:t xml:space="preserve"> </w:t>
            </w:r>
            <w:r w:rsidRPr="00DF4CE5">
              <w:rPr>
                <w:rFonts w:ascii="Cambria" w:eastAsia="Cambria" w:hAnsi="Cambria" w:cs="Cambria"/>
                <w:lang w:val="hr-HR"/>
              </w:rPr>
              <w:t>stručnih</w:t>
            </w:r>
            <w:r w:rsidRPr="00DF4CE5">
              <w:rPr>
                <w:rFonts w:ascii="Cambria" w:eastAsia="Cambria" w:hAnsi="Cambria" w:cs="Cambria"/>
                <w:spacing w:val="-2"/>
                <w:lang w:val="hr-HR"/>
              </w:rPr>
              <w:t xml:space="preserve"> </w:t>
            </w:r>
            <w:r w:rsidRPr="00DF4CE5">
              <w:rPr>
                <w:rFonts w:ascii="Cambria" w:eastAsia="Cambria" w:hAnsi="Cambria" w:cs="Cambria"/>
                <w:lang w:val="hr-HR"/>
              </w:rPr>
              <w:t>i</w:t>
            </w:r>
            <w:r w:rsidRPr="00DF4CE5">
              <w:rPr>
                <w:rFonts w:ascii="Cambria" w:eastAsia="Cambria" w:hAnsi="Cambria" w:cs="Cambria"/>
                <w:spacing w:val="-3"/>
                <w:lang w:val="hr-HR"/>
              </w:rPr>
              <w:t xml:space="preserve"> </w:t>
            </w:r>
            <w:r w:rsidRPr="00DF4CE5">
              <w:rPr>
                <w:rFonts w:ascii="Cambria" w:eastAsia="Cambria" w:hAnsi="Cambria" w:cs="Cambria"/>
                <w:lang w:val="hr-HR"/>
              </w:rPr>
              <w:t>drugih</w:t>
            </w:r>
            <w:r w:rsidRPr="00DF4CE5">
              <w:rPr>
                <w:rFonts w:ascii="Cambria" w:eastAsia="Cambria" w:hAnsi="Cambria" w:cs="Cambria"/>
                <w:spacing w:val="-2"/>
                <w:lang w:val="hr-HR"/>
              </w:rPr>
              <w:t xml:space="preserve"> </w:t>
            </w:r>
            <w:r w:rsidRPr="00DF4CE5">
              <w:rPr>
                <w:rFonts w:ascii="Cambria" w:eastAsia="Cambria" w:hAnsi="Cambria" w:cs="Cambria"/>
                <w:lang w:val="hr-HR"/>
              </w:rPr>
              <w:t>tijela</w:t>
            </w:r>
            <w:r w:rsidRPr="00DF4CE5">
              <w:rPr>
                <w:rFonts w:ascii="Cambria" w:eastAsia="Cambria" w:hAnsi="Cambria" w:cs="Cambria"/>
                <w:spacing w:val="-2"/>
                <w:lang w:val="hr-HR"/>
              </w:rPr>
              <w:t xml:space="preserve"> </w:t>
            </w:r>
            <w:r w:rsidRPr="00DF4CE5">
              <w:rPr>
                <w:rFonts w:ascii="Cambria" w:eastAsia="Cambria" w:hAnsi="Cambria" w:cs="Cambria"/>
                <w:lang w:val="hr-HR"/>
              </w:rPr>
              <w:t>škole</w:t>
            </w:r>
          </w:p>
          <w:p w14:paraId="7BFBC0CF" w14:textId="77777777" w:rsidR="003415F8" w:rsidRPr="00DF4CE5" w:rsidRDefault="003415F8" w:rsidP="00A034E3">
            <w:pPr>
              <w:widowControl w:val="0"/>
              <w:numPr>
                <w:ilvl w:val="0"/>
                <w:numId w:val="88"/>
              </w:numPr>
              <w:tabs>
                <w:tab w:val="left" w:pos="468"/>
              </w:tabs>
              <w:autoSpaceDE w:val="0"/>
              <w:autoSpaceDN w:val="0"/>
              <w:spacing w:after="0" w:line="240" w:lineRule="auto"/>
              <w:ind w:right="85"/>
              <w:rPr>
                <w:rFonts w:ascii="Cambria" w:eastAsia="Cambria" w:hAnsi="Cambria" w:cs="Cambria"/>
                <w:lang w:val="hr-HR"/>
              </w:rPr>
            </w:pPr>
            <w:r w:rsidRPr="00DF4CE5">
              <w:rPr>
                <w:rFonts w:ascii="Cambria" w:eastAsia="Cambria" w:hAnsi="Cambria" w:cs="Cambria"/>
                <w:lang w:val="hr-HR"/>
              </w:rPr>
              <w:t>Sudjelovanje</w:t>
            </w:r>
            <w:r w:rsidRPr="00DF4CE5">
              <w:rPr>
                <w:rFonts w:ascii="Cambria" w:eastAsia="Cambria" w:hAnsi="Cambria" w:cs="Cambria"/>
                <w:spacing w:val="1"/>
                <w:lang w:val="hr-HR"/>
              </w:rPr>
              <w:t xml:space="preserve"> </w:t>
            </w:r>
            <w:r w:rsidRPr="00DF4CE5">
              <w:rPr>
                <w:rFonts w:ascii="Cambria" w:eastAsia="Cambria" w:hAnsi="Cambria" w:cs="Cambria"/>
                <w:lang w:val="hr-HR"/>
              </w:rPr>
              <w:t>u</w:t>
            </w:r>
            <w:r w:rsidRPr="00DF4CE5">
              <w:rPr>
                <w:rFonts w:ascii="Cambria" w:eastAsia="Cambria" w:hAnsi="Cambria" w:cs="Cambria"/>
                <w:spacing w:val="1"/>
                <w:lang w:val="hr-HR"/>
              </w:rPr>
              <w:t xml:space="preserve"> </w:t>
            </w:r>
            <w:r w:rsidRPr="00DF4CE5">
              <w:rPr>
                <w:rFonts w:ascii="Cambria" w:eastAsia="Cambria" w:hAnsi="Cambria" w:cs="Cambria"/>
                <w:lang w:val="hr-HR"/>
              </w:rPr>
              <w:t>redovnom</w:t>
            </w:r>
            <w:r w:rsidRPr="00DF4CE5">
              <w:rPr>
                <w:rFonts w:ascii="Cambria" w:eastAsia="Cambria" w:hAnsi="Cambria" w:cs="Cambria"/>
                <w:spacing w:val="1"/>
                <w:lang w:val="hr-HR"/>
              </w:rPr>
              <w:t xml:space="preserve"> </w:t>
            </w:r>
            <w:r w:rsidRPr="00DF4CE5">
              <w:rPr>
                <w:rFonts w:ascii="Cambria" w:eastAsia="Cambria" w:hAnsi="Cambria" w:cs="Cambria"/>
                <w:lang w:val="hr-HR"/>
              </w:rPr>
              <w:t>nastavnom</w:t>
            </w:r>
            <w:r w:rsidRPr="00DF4CE5">
              <w:rPr>
                <w:rFonts w:ascii="Cambria" w:eastAsia="Cambria" w:hAnsi="Cambria" w:cs="Cambria"/>
                <w:spacing w:val="1"/>
                <w:lang w:val="hr-HR"/>
              </w:rPr>
              <w:t xml:space="preserve"> </w:t>
            </w:r>
            <w:r w:rsidRPr="00DF4CE5">
              <w:rPr>
                <w:rFonts w:ascii="Cambria" w:eastAsia="Cambria" w:hAnsi="Cambria" w:cs="Cambria"/>
                <w:lang w:val="hr-HR"/>
              </w:rPr>
              <w:t>radu,</w:t>
            </w:r>
            <w:r w:rsidRPr="00DF4CE5">
              <w:rPr>
                <w:rFonts w:ascii="Cambria" w:eastAsia="Cambria" w:hAnsi="Cambria" w:cs="Cambria"/>
                <w:spacing w:val="1"/>
                <w:lang w:val="hr-HR"/>
              </w:rPr>
              <w:t xml:space="preserve"> </w:t>
            </w:r>
            <w:r w:rsidRPr="00DF4CE5">
              <w:rPr>
                <w:rFonts w:ascii="Cambria" w:eastAsia="Cambria" w:hAnsi="Cambria" w:cs="Cambria"/>
                <w:lang w:val="hr-HR"/>
              </w:rPr>
              <w:t>dodatnoj,</w:t>
            </w:r>
            <w:r w:rsidRPr="00DF4CE5">
              <w:rPr>
                <w:rFonts w:ascii="Cambria" w:eastAsia="Cambria" w:hAnsi="Cambria" w:cs="Cambria"/>
                <w:spacing w:val="1"/>
                <w:lang w:val="hr-HR"/>
              </w:rPr>
              <w:t xml:space="preserve"> </w:t>
            </w:r>
            <w:r w:rsidRPr="00DF4CE5">
              <w:rPr>
                <w:rFonts w:ascii="Cambria" w:eastAsia="Cambria" w:hAnsi="Cambria" w:cs="Cambria"/>
                <w:lang w:val="hr-HR"/>
              </w:rPr>
              <w:t>dopunskoj</w:t>
            </w:r>
            <w:r w:rsidRPr="00DF4CE5">
              <w:rPr>
                <w:rFonts w:ascii="Cambria" w:eastAsia="Cambria" w:hAnsi="Cambria" w:cs="Cambria"/>
                <w:spacing w:val="1"/>
                <w:lang w:val="hr-HR"/>
              </w:rPr>
              <w:t xml:space="preserve"> </w:t>
            </w:r>
            <w:r w:rsidRPr="00DF4CE5">
              <w:rPr>
                <w:rFonts w:ascii="Cambria" w:eastAsia="Cambria" w:hAnsi="Cambria" w:cs="Cambria"/>
                <w:lang w:val="hr-HR"/>
              </w:rPr>
              <w:t>i</w:t>
            </w:r>
            <w:r w:rsidRPr="00DF4CE5">
              <w:rPr>
                <w:rFonts w:ascii="Cambria" w:eastAsia="Cambria" w:hAnsi="Cambria" w:cs="Cambria"/>
                <w:spacing w:val="1"/>
                <w:lang w:val="hr-HR"/>
              </w:rPr>
              <w:t xml:space="preserve"> </w:t>
            </w:r>
            <w:r w:rsidRPr="00DF4CE5">
              <w:rPr>
                <w:rFonts w:ascii="Cambria" w:eastAsia="Cambria" w:hAnsi="Cambria" w:cs="Cambria"/>
                <w:lang w:val="hr-HR"/>
              </w:rPr>
              <w:t>izbornoj</w:t>
            </w:r>
            <w:r w:rsidRPr="00DF4CE5">
              <w:rPr>
                <w:rFonts w:ascii="Cambria" w:eastAsia="Cambria" w:hAnsi="Cambria" w:cs="Cambria"/>
                <w:spacing w:val="1"/>
                <w:lang w:val="hr-HR"/>
              </w:rPr>
              <w:t xml:space="preserve"> </w:t>
            </w:r>
            <w:r w:rsidRPr="00DF4CE5">
              <w:rPr>
                <w:rFonts w:ascii="Cambria" w:eastAsia="Cambria" w:hAnsi="Cambria" w:cs="Cambria"/>
                <w:lang w:val="hr-HR"/>
              </w:rPr>
              <w:t>nastavi</w:t>
            </w:r>
            <w:r w:rsidRPr="00DF4CE5">
              <w:rPr>
                <w:rFonts w:ascii="Cambria" w:eastAsia="Cambria" w:hAnsi="Cambria" w:cs="Cambria"/>
                <w:spacing w:val="1"/>
                <w:lang w:val="hr-HR"/>
              </w:rPr>
              <w:t xml:space="preserve"> </w:t>
            </w:r>
            <w:r w:rsidRPr="00DF4CE5">
              <w:rPr>
                <w:rFonts w:ascii="Cambria" w:eastAsia="Cambria" w:hAnsi="Cambria" w:cs="Cambria"/>
                <w:lang w:val="hr-HR"/>
              </w:rPr>
              <w:t>te</w:t>
            </w:r>
            <w:r w:rsidRPr="00DF4CE5">
              <w:rPr>
                <w:rFonts w:ascii="Cambria" w:eastAsia="Cambria" w:hAnsi="Cambria" w:cs="Cambria"/>
                <w:spacing w:val="1"/>
                <w:lang w:val="hr-HR"/>
              </w:rPr>
              <w:t xml:space="preserve"> </w:t>
            </w:r>
            <w:r w:rsidRPr="00DF4CE5">
              <w:rPr>
                <w:rFonts w:ascii="Cambria" w:eastAsia="Cambria" w:hAnsi="Cambria" w:cs="Cambria"/>
                <w:lang w:val="hr-HR"/>
              </w:rPr>
              <w:t>izvannastavnim</w:t>
            </w:r>
            <w:r w:rsidRPr="00DF4CE5">
              <w:rPr>
                <w:rFonts w:ascii="Cambria" w:eastAsia="Cambria" w:hAnsi="Cambria" w:cs="Cambria"/>
                <w:spacing w:val="1"/>
                <w:lang w:val="hr-HR"/>
              </w:rPr>
              <w:t xml:space="preserve"> </w:t>
            </w:r>
            <w:r w:rsidRPr="00DF4CE5">
              <w:rPr>
                <w:rFonts w:ascii="Cambria" w:eastAsia="Cambria" w:hAnsi="Cambria" w:cs="Cambria"/>
                <w:lang w:val="hr-HR"/>
              </w:rPr>
              <w:t>i</w:t>
            </w:r>
            <w:r w:rsidRPr="00DF4CE5">
              <w:rPr>
                <w:rFonts w:ascii="Cambria" w:eastAsia="Cambria" w:hAnsi="Cambria" w:cs="Cambria"/>
                <w:spacing w:val="1"/>
                <w:lang w:val="hr-HR"/>
              </w:rPr>
              <w:t xml:space="preserve"> </w:t>
            </w:r>
            <w:r w:rsidRPr="00DF4CE5">
              <w:rPr>
                <w:rFonts w:ascii="Cambria" w:eastAsia="Cambria" w:hAnsi="Cambria" w:cs="Cambria"/>
                <w:lang w:val="hr-HR"/>
              </w:rPr>
              <w:t>izvanškolskim</w:t>
            </w:r>
            <w:r w:rsidRPr="00DF4CE5">
              <w:rPr>
                <w:rFonts w:ascii="Cambria" w:eastAsia="Cambria" w:hAnsi="Cambria" w:cs="Cambria"/>
                <w:spacing w:val="-1"/>
                <w:lang w:val="hr-HR"/>
              </w:rPr>
              <w:t xml:space="preserve"> </w:t>
            </w:r>
            <w:r w:rsidRPr="00DF4CE5">
              <w:rPr>
                <w:rFonts w:ascii="Cambria" w:eastAsia="Cambria" w:hAnsi="Cambria" w:cs="Cambria"/>
                <w:lang w:val="hr-HR"/>
              </w:rPr>
              <w:t>aktivnostima</w:t>
            </w:r>
          </w:p>
          <w:p w14:paraId="0420B0E0" w14:textId="77777777" w:rsidR="003415F8" w:rsidRPr="00DF4CE5" w:rsidRDefault="003415F8" w:rsidP="00A034E3">
            <w:pPr>
              <w:widowControl w:val="0"/>
              <w:numPr>
                <w:ilvl w:val="0"/>
                <w:numId w:val="88"/>
              </w:numPr>
              <w:tabs>
                <w:tab w:val="left" w:pos="468"/>
              </w:tabs>
              <w:autoSpaceDE w:val="0"/>
              <w:autoSpaceDN w:val="0"/>
              <w:spacing w:after="0" w:line="240" w:lineRule="auto"/>
              <w:rPr>
                <w:rFonts w:ascii="Cambria" w:eastAsia="Cambria" w:hAnsi="Cambria" w:cs="Cambria"/>
                <w:lang w:val="hr-HR"/>
              </w:rPr>
            </w:pPr>
            <w:r w:rsidRPr="00DF4CE5">
              <w:rPr>
                <w:rFonts w:ascii="Cambria" w:eastAsia="Cambria" w:hAnsi="Cambria" w:cs="Cambria"/>
                <w:lang w:val="hr-HR"/>
              </w:rPr>
              <w:t>Priprema</w:t>
            </w:r>
            <w:r w:rsidRPr="00DF4CE5">
              <w:rPr>
                <w:rFonts w:ascii="Cambria" w:eastAsia="Cambria" w:hAnsi="Cambria" w:cs="Cambria"/>
                <w:spacing w:val="16"/>
                <w:lang w:val="hr-HR"/>
              </w:rPr>
              <w:t xml:space="preserve"> </w:t>
            </w:r>
            <w:r w:rsidRPr="00DF4CE5">
              <w:rPr>
                <w:rFonts w:ascii="Cambria" w:eastAsia="Cambria" w:hAnsi="Cambria" w:cs="Cambria"/>
                <w:lang w:val="hr-HR"/>
              </w:rPr>
              <w:t>i</w:t>
            </w:r>
            <w:r w:rsidRPr="00DF4CE5">
              <w:rPr>
                <w:rFonts w:ascii="Cambria" w:eastAsia="Cambria" w:hAnsi="Cambria" w:cs="Cambria"/>
                <w:spacing w:val="67"/>
                <w:lang w:val="hr-HR"/>
              </w:rPr>
              <w:t xml:space="preserve"> </w:t>
            </w:r>
            <w:r w:rsidRPr="00DF4CE5">
              <w:rPr>
                <w:rFonts w:ascii="Cambria" w:eastAsia="Cambria" w:hAnsi="Cambria" w:cs="Cambria"/>
                <w:lang w:val="hr-HR"/>
              </w:rPr>
              <w:t>izvođenje</w:t>
            </w:r>
            <w:r w:rsidRPr="00DF4CE5">
              <w:rPr>
                <w:rFonts w:ascii="Cambria" w:eastAsia="Cambria" w:hAnsi="Cambria" w:cs="Cambria"/>
                <w:spacing w:val="70"/>
                <w:lang w:val="hr-HR"/>
              </w:rPr>
              <w:t xml:space="preserve"> </w:t>
            </w:r>
            <w:r w:rsidRPr="00DF4CE5">
              <w:rPr>
                <w:rFonts w:ascii="Cambria" w:eastAsia="Cambria" w:hAnsi="Cambria" w:cs="Cambria"/>
                <w:lang w:val="hr-HR"/>
              </w:rPr>
              <w:t>jednog</w:t>
            </w:r>
            <w:r w:rsidRPr="00DF4CE5">
              <w:rPr>
                <w:rFonts w:ascii="Cambria" w:eastAsia="Cambria" w:hAnsi="Cambria" w:cs="Cambria"/>
                <w:spacing w:val="66"/>
                <w:lang w:val="hr-HR"/>
              </w:rPr>
              <w:t xml:space="preserve"> </w:t>
            </w:r>
            <w:r w:rsidRPr="00DF4CE5">
              <w:rPr>
                <w:rFonts w:ascii="Cambria" w:eastAsia="Cambria" w:hAnsi="Cambria" w:cs="Cambria"/>
                <w:lang w:val="hr-HR"/>
              </w:rPr>
              <w:t>nastavnog</w:t>
            </w:r>
            <w:r w:rsidRPr="00DF4CE5">
              <w:rPr>
                <w:rFonts w:ascii="Cambria" w:eastAsia="Cambria" w:hAnsi="Cambria" w:cs="Cambria"/>
                <w:spacing w:val="66"/>
                <w:lang w:val="hr-HR"/>
              </w:rPr>
              <w:t xml:space="preserve"> </w:t>
            </w:r>
            <w:r w:rsidRPr="00DF4CE5">
              <w:rPr>
                <w:rFonts w:ascii="Cambria" w:eastAsia="Cambria" w:hAnsi="Cambria" w:cs="Cambria"/>
                <w:lang w:val="hr-HR"/>
              </w:rPr>
              <w:t>sata</w:t>
            </w:r>
            <w:r w:rsidRPr="00DF4CE5">
              <w:rPr>
                <w:rFonts w:ascii="Cambria" w:eastAsia="Cambria" w:hAnsi="Cambria" w:cs="Cambria"/>
                <w:spacing w:val="67"/>
                <w:lang w:val="hr-HR"/>
              </w:rPr>
              <w:t xml:space="preserve"> </w:t>
            </w:r>
            <w:r w:rsidRPr="00DF4CE5">
              <w:rPr>
                <w:rFonts w:ascii="Cambria" w:eastAsia="Cambria" w:hAnsi="Cambria" w:cs="Cambria"/>
                <w:lang w:val="hr-HR"/>
              </w:rPr>
              <w:t>iz</w:t>
            </w:r>
            <w:r w:rsidRPr="00DF4CE5">
              <w:rPr>
                <w:rFonts w:ascii="Cambria" w:eastAsia="Cambria" w:hAnsi="Cambria" w:cs="Cambria"/>
                <w:spacing w:val="66"/>
                <w:lang w:val="hr-HR"/>
              </w:rPr>
              <w:t xml:space="preserve"> </w:t>
            </w:r>
            <w:r w:rsidRPr="00DF4CE5">
              <w:rPr>
                <w:rFonts w:ascii="Cambria" w:eastAsia="Cambria" w:hAnsi="Cambria" w:cs="Cambria"/>
                <w:lang w:val="hr-HR"/>
              </w:rPr>
              <w:t>Hrvatskog</w:t>
            </w:r>
          </w:p>
          <w:p w14:paraId="752E3599" w14:textId="77777777" w:rsidR="003415F8" w:rsidRPr="00DF4CE5" w:rsidRDefault="003415F8" w:rsidP="00587D5D">
            <w:pPr>
              <w:widowControl w:val="0"/>
              <w:tabs>
                <w:tab w:val="left" w:pos="468"/>
              </w:tabs>
              <w:autoSpaceDE w:val="0"/>
              <w:autoSpaceDN w:val="0"/>
              <w:spacing w:after="0" w:line="240" w:lineRule="auto"/>
              <w:ind w:left="467" w:right="89"/>
              <w:rPr>
                <w:rFonts w:ascii="Cambria" w:eastAsia="Cambria" w:hAnsi="Cambria" w:cs="Cambria"/>
                <w:lang w:val="hr-HR"/>
              </w:rPr>
            </w:pPr>
            <w:r w:rsidRPr="00DF4CE5">
              <w:rPr>
                <w:rFonts w:ascii="Cambria" w:eastAsia="Cambria" w:hAnsi="Cambria" w:cs="Cambria"/>
                <w:lang w:val="hr-HR"/>
              </w:rPr>
              <w:t>jezika</w:t>
            </w:r>
            <w:r w:rsidRPr="00DF4CE5">
              <w:rPr>
                <w:rFonts w:ascii="Cambria" w:eastAsia="Cambria" w:hAnsi="Cambria" w:cs="Cambria"/>
                <w:spacing w:val="-3"/>
                <w:lang w:val="hr-HR"/>
              </w:rPr>
              <w:t xml:space="preserve"> </w:t>
            </w:r>
            <w:r w:rsidRPr="00DF4CE5">
              <w:rPr>
                <w:rFonts w:ascii="Cambria" w:eastAsia="Cambria" w:hAnsi="Cambria" w:cs="Cambria"/>
                <w:lang w:val="hr-HR"/>
              </w:rPr>
              <w:t>ili</w:t>
            </w:r>
            <w:r w:rsidRPr="00DF4CE5">
              <w:rPr>
                <w:rFonts w:ascii="Cambria" w:eastAsia="Cambria" w:hAnsi="Cambria" w:cs="Cambria"/>
                <w:spacing w:val="-2"/>
                <w:lang w:val="hr-HR"/>
              </w:rPr>
              <w:t xml:space="preserve"> </w:t>
            </w:r>
            <w:r w:rsidRPr="00DF4CE5">
              <w:rPr>
                <w:rFonts w:ascii="Cambria" w:eastAsia="Cambria" w:hAnsi="Cambria" w:cs="Cambria"/>
                <w:lang w:val="hr-HR"/>
              </w:rPr>
              <w:t>Glazbene</w:t>
            </w:r>
            <w:r w:rsidRPr="00DF4CE5">
              <w:rPr>
                <w:rFonts w:ascii="Cambria" w:eastAsia="Cambria" w:hAnsi="Cambria" w:cs="Cambria"/>
                <w:spacing w:val="-3"/>
                <w:lang w:val="hr-HR"/>
              </w:rPr>
              <w:t xml:space="preserve"> </w:t>
            </w:r>
            <w:r w:rsidRPr="00DF4CE5">
              <w:rPr>
                <w:rFonts w:ascii="Cambria" w:eastAsia="Cambria" w:hAnsi="Cambria" w:cs="Cambria"/>
                <w:lang w:val="hr-HR"/>
              </w:rPr>
              <w:t>kulture</w:t>
            </w:r>
          </w:p>
        </w:tc>
      </w:tr>
      <w:tr w:rsidR="003415F8" w:rsidRPr="00DF4CE5" w14:paraId="1872C0AB" w14:textId="77777777" w:rsidTr="00587D5D">
        <w:trPr>
          <w:trHeight w:val="858"/>
        </w:trPr>
        <w:tc>
          <w:tcPr>
            <w:tcW w:w="2477" w:type="dxa"/>
            <w:vMerge w:val="restart"/>
            <w:shd w:val="clear" w:color="auto" w:fill="F3F3F3"/>
          </w:tcPr>
          <w:p w14:paraId="738720F1" w14:textId="77777777" w:rsidR="003415F8" w:rsidRPr="00DF4CE5" w:rsidRDefault="003415F8" w:rsidP="00587D5D">
            <w:pPr>
              <w:widowControl w:val="0"/>
              <w:autoSpaceDE w:val="0"/>
              <w:autoSpaceDN w:val="0"/>
              <w:spacing w:after="0" w:line="240" w:lineRule="auto"/>
              <w:rPr>
                <w:rFonts w:ascii="Cambria" w:eastAsia="Cambria" w:hAnsi="Cambria" w:cs="Cambria"/>
                <w:lang w:val="hr-HR"/>
              </w:rPr>
            </w:pPr>
          </w:p>
          <w:p w14:paraId="2207B5E3" w14:textId="77777777" w:rsidR="003415F8" w:rsidRPr="00DF4CE5" w:rsidRDefault="003415F8" w:rsidP="00587D5D">
            <w:pPr>
              <w:widowControl w:val="0"/>
              <w:autoSpaceDE w:val="0"/>
              <w:autoSpaceDN w:val="0"/>
              <w:spacing w:after="0" w:line="240" w:lineRule="auto"/>
              <w:ind w:left="107"/>
              <w:rPr>
                <w:rFonts w:ascii="Cambria" w:eastAsia="Cambria" w:hAnsi="Cambria" w:cs="Cambria"/>
                <w:lang w:val="hr-HR"/>
              </w:rPr>
            </w:pPr>
            <w:r w:rsidRPr="00DF4CE5">
              <w:rPr>
                <w:rFonts w:ascii="Cambria" w:eastAsia="Cambria" w:hAnsi="Cambria" w:cs="Cambria"/>
                <w:lang w:val="hr-HR"/>
              </w:rPr>
              <w:t>Planirane</w:t>
            </w:r>
            <w:r w:rsidRPr="00DF4CE5">
              <w:rPr>
                <w:rFonts w:ascii="Cambria" w:eastAsia="Cambria" w:hAnsi="Cambria" w:cs="Cambria"/>
                <w:spacing w:val="1"/>
                <w:lang w:val="hr-HR"/>
              </w:rPr>
              <w:t xml:space="preserve"> </w:t>
            </w:r>
            <w:r w:rsidRPr="00DF4CE5">
              <w:rPr>
                <w:rFonts w:ascii="Cambria" w:eastAsia="Cambria" w:hAnsi="Cambria" w:cs="Cambria"/>
                <w:spacing w:val="-1"/>
                <w:lang w:val="hr-HR"/>
              </w:rPr>
              <w:t>aktivnosti, metode</w:t>
            </w:r>
            <w:r w:rsidRPr="00DF4CE5">
              <w:rPr>
                <w:rFonts w:ascii="Cambria" w:eastAsia="Cambria" w:hAnsi="Cambria" w:cs="Cambria"/>
                <w:lang w:val="hr-HR"/>
              </w:rPr>
              <w:t xml:space="preserve"> učenja</w:t>
            </w:r>
            <w:r w:rsidRPr="00DF4CE5">
              <w:rPr>
                <w:rFonts w:ascii="Cambria" w:eastAsia="Cambria" w:hAnsi="Cambria" w:cs="Cambria"/>
                <w:spacing w:val="40"/>
                <w:lang w:val="hr-HR"/>
              </w:rPr>
              <w:t xml:space="preserve"> </w:t>
            </w:r>
            <w:r w:rsidRPr="00DF4CE5">
              <w:rPr>
                <w:rFonts w:ascii="Cambria" w:eastAsia="Cambria" w:hAnsi="Cambria" w:cs="Cambria"/>
                <w:lang w:val="hr-HR"/>
              </w:rPr>
              <w:t>i</w:t>
            </w:r>
            <w:r w:rsidRPr="00DF4CE5">
              <w:rPr>
                <w:rFonts w:ascii="Cambria" w:eastAsia="Cambria" w:hAnsi="Cambria" w:cs="Cambria"/>
                <w:spacing w:val="41"/>
                <w:lang w:val="hr-HR"/>
              </w:rPr>
              <w:t xml:space="preserve"> </w:t>
            </w:r>
            <w:r w:rsidRPr="00DF4CE5">
              <w:rPr>
                <w:rFonts w:ascii="Cambria" w:eastAsia="Cambria" w:hAnsi="Cambria" w:cs="Cambria"/>
                <w:lang w:val="hr-HR"/>
              </w:rPr>
              <w:t>poučavanja</w:t>
            </w:r>
            <w:r w:rsidRPr="00DF4CE5">
              <w:rPr>
                <w:rFonts w:ascii="Cambria" w:eastAsia="Cambria" w:hAnsi="Cambria" w:cs="Cambria"/>
                <w:spacing w:val="40"/>
                <w:lang w:val="hr-HR"/>
              </w:rPr>
              <w:t xml:space="preserve"> </w:t>
            </w:r>
            <w:r w:rsidRPr="00DF4CE5">
              <w:rPr>
                <w:rFonts w:ascii="Cambria" w:eastAsia="Cambria" w:hAnsi="Cambria" w:cs="Cambria"/>
                <w:lang w:val="hr-HR"/>
              </w:rPr>
              <w:t>i</w:t>
            </w:r>
            <w:r w:rsidRPr="00DF4CE5">
              <w:rPr>
                <w:rFonts w:ascii="Cambria" w:eastAsia="Cambria" w:hAnsi="Cambria" w:cs="Cambria"/>
                <w:spacing w:val="-50"/>
                <w:lang w:val="hr-HR"/>
              </w:rPr>
              <w:t xml:space="preserve">  </w:t>
            </w:r>
            <w:r w:rsidRPr="00DF4CE5">
              <w:rPr>
                <w:rFonts w:ascii="Cambria" w:eastAsia="Cambria" w:hAnsi="Cambria" w:cs="Cambria"/>
                <w:lang w:val="hr-HR"/>
              </w:rPr>
              <w:t>načini</w:t>
            </w:r>
            <w:r w:rsidRPr="00DF4CE5">
              <w:rPr>
                <w:rFonts w:ascii="Cambria" w:eastAsia="Cambria" w:hAnsi="Cambria" w:cs="Cambria"/>
                <w:spacing w:val="-2"/>
                <w:lang w:val="hr-HR"/>
              </w:rPr>
              <w:t xml:space="preserve"> </w:t>
            </w:r>
            <w:r w:rsidRPr="00DF4CE5">
              <w:rPr>
                <w:rFonts w:ascii="Cambria" w:eastAsia="Cambria" w:hAnsi="Cambria" w:cs="Cambria"/>
                <w:lang w:val="hr-HR"/>
              </w:rPr>
              <w:t>vrednovanja</w:t>
            </w:r>
          </w:p>
        </w:tc>
        <w:tc>
          <w:tcPr>
            <w:tcW w:w="2193" w:type="dxa"/>
          </w:tcPr>
          <w:p w14:paraId="1CD99484" w14:textId="77777777" w:rsidR="003415F8" w:rsidRPr="00DF4CE5" w:rsidRDefault="003415F8" w:rsidP="00587D5D">
            <w:pPr>
              <w:widowControl w:val="0"/>
              <w:autoSpaceDE w:val="0"/>
              <w:autoSpaceDN w:val="0"/>
              <w:spacing w:after="0" w:line="240" w:lineRule="auto"/>
              <w:rPr>
                <w:rFonts w:ascii="Cambria" w:eastAsia="Cambria" w:hAnsi="Cambria" w:cs="Cambria"/>
                <w:lang w:val="hr-HR"/>
              </w:rPr>
            </w:pPr>
          </w:p>
          <w:p w14:paraId="622357A1" w14:textId="77777777" w:rsidR="003415F8" w:rsidRPr="00DF4CE5" w:rsidRDefault="003415F8" w:rsidP="00587D5D">
            <w:pPr>
              <w:widowControl w:val="0"/>
              <w:autoSpaceDE w:val="0"/>
              <w:autoSpaceDN w:val="0"/>
              <w:spacing w:after="0" w:line="240" w:lineRule="auto"/>
              <w:ind w:left="107"/>
              <w:rPr>
                <w:rFonts w:ascii="Cambria" w:eastAsia="Cambria" w:hAnsi="Cambria" w:cs="Cambria"/>
                <w:lang w:val="hr-HR"/>
              </w:rPr>
            </w:pPr>
            <w:r w:rsidRPr="00DF4CE5">
              <w:rPr>
                <w:rFonts w:ascii="Cambria" w:eastAsia="Cambria" w:hAnsi="Cambria" w:cs="Cambria"/>
                <w:lang w:val="hr-HR"/>
              </w:rPr>
              <w:t>Obveze</w:t>
            </w:r>
          </w:p>
        </w:tc>
        <w:tc>
          <w:tcPr>
            <w:tcW w:w="1025" w:type="dxa"/>
            <w:gridSpan w:val="2"/>
          </w:tcPr>
          <w:p w14:paraId="00E5A6DD" w14:textId="77777777" w:rsidR="003415F8" w:rsidRPr="00DF4CE5" w:rsidRDefault="003415F8" w:rsidP="00587D5D">
            <w:pPr>
              <w:widowControl w:val="0"/>
              <w:autoSpaceDE w:val="0"/>
              <w:autoSpaceDN w:val="0"/>
              <w:spacing w:after="0" w:line="240" w:lineRule="auto"/>
              <w:rPr>
                <w:rFonts w:ascii="Cambria" w:eastAsia="Cambria" w:hAnsi="Cambria" w:cs="Cambria"/>
                <w:lang w:val="hr-HR"/>
              </w:rPr>
            </w:pPr>
          </w:p>
          <w:p w14:paraId="053F2AEE" w14:textId="77777777" w:rsidR="003415F8" w:rsidRPr="00DF4CE5" w:rsidRDefault="003415F8" w:rsidP="00587D5D">
            <w:pPr>
              <w:widowControl w:val="0"/>
              <w:autoSpaceDE w:val="0"/>
              <w:autoSpaceDN w:val="0"/>
              <w:spacing w:after="0" w:line="240" w:lineRule="auto"/>
              <w:ind w:left="108"/>
              <w:rPr>
                <w:rFonts w:ascii="Cambria" w:eastAsia="Cambria" w:hAnsi="Cambria" w:cs="Cambria"/>
                <w:lang w:val="hr-HR"/>
              </w:rPr>
            </w:pPr>
            <w:r w:rsidRPr="00DF4CE5">
              <w:rPr>
                <w:rFonts w:ascii="Cambria" w:eastAsia="Cambria" w:hAnsi="Cambria" w:cs="Cambria"/>
                <w:lang w:val="hr-HR"/>
              </w:rPr>
              <w:t>Ishodi</w:t>
            </w:r>
          </w:p>
        </w:tc>
        <w:tc>
          <w:tcPr>
            <w:tcW w:w="879" w:type="dxa"/>
          </w:tcPr>
          <w:p w14:paraId="635E9A3E" w14:textId="77777777" w:rsidR="003415F8" w:rsidRPr="00DF4CE5" w:rsidRDefault="003415F8" w:rsidP="00587D5D">
            <w:pPr>
              <w:widowControl w:val="0"/>
              <w:autoSpaceDE w:val="0"/>
              <w:autoSpaceDN w:val="0"/>
              <w:spacing w:after="0" w:line="240" w:lineRule="auto"/>
              <w:rPr>
                <w:rFonts w:ascii="Cambria" w:eastAsia="Cambria" w:hAnsi="Cambria" w:cs="Cambria"/>
                <w:lang w:val="hr-HR"/>
              </w:rPr>
            </w:pPr>
          </w:p>
          <w:p w14:paraId="3F50212F" w14:textId="77777777" w:rsidR="003415F8" w:rsidRPr="00DF4CE5" w:rsidRDefault="003415F8" w:rsidP="00587D5D">
            <w:pPr>
              <w:widowControl w:val="0"/>
              <w:autoSpaceDE w:val="0"/>
              <w:autoSpaceDN w:val="0"/>
              <w:spacing w:after="0" w:line="240" w:lineRule="auto"/>
              <w:ind w:left="108"/>
              <w:rPr>
                <w:rFonts w:ascii="Cambria" w:eastAsia="Cambria" w:hAnsi="Cambria" w:cs="Cambria"/>
                <w:lang w:val="hr-HR"/>
              </w:rPr>
            </w:pPr>
            <w:r w:rsidRPr="00DF4CE5">
              <w:rPr>
                <w:rFonts w:ascii="Cambria" w:eastAsia="Cambria" w:hAnsi="Cambria" w:cs="Cambria"/>
                <w:lang w:val="hr-HR"/>
              </w:rPr>
              <w:t xml:space="preserve">  Sati</w:t>
            </w:r>
          </w:p>
        </w:tc>
        <w:tc>
          <w:tcPr>
            <w:tcW w:w="876" w:type="dxa"/>
          </w:tcPr>
          <w:p w14:paraId="0015EECE" w14:textId="77777777" w:rsidR="003415F8" w:rsidRPr="00DF4CE5" w:rsidRDefault="003415F8" w:rsidP="00587D5D">
            <w:pPr>
              <w:widowControl w:val="0"/>
              <w:autoSpaceDE w:val="0"/>
              <w:autoSpaceDN w:val="0"/>
              <w:spacing w:after="0" w:line="240" w:lineRule="auto"/>
              <w:rPr>
                <w:rFonts w:ascii="Cambria" w:eastAsia="Cambria" w:hAnsi="Cambria" w:cs="Cambria"/>
                <w:lang w:val="hr-HR"/>
              </w:rPr>
            </w:pPr>
          </w:p>
          <w:p w14:paraId="6477096F" w14:textId="77777777" w:rsidR="003415F8" w:rsidRPr="00DF4CE5" w:rsidRDefault="003415F8" w:rsidP="00587D5D">
            <w:pPr>
              <w:widowControl w:val="0"/>
              <w:autoSpaceDE w:val="0"/>
              <w:autoSpaceDN w:val="0"/>
              <w:spacing w:after="0" w:line="240" w:lineRule="auto"/>
              <w:ind w:left="109"/>
              <w:rPr>
                <w:rFonts w:ascii="Cambria" w:eastAsia="Cambria" w:hAnsi="Cambria" w:cs="Cambria"/>
                <w:lang w:val="hr-HR"/>
              </w:rPr>
            </w:pPr>
            <w:r w:rsidRPr="00DF4CE5">
              <w:rPr>
                <w:rFonts w:ascii="Cambria" w:eastAsia="Cambria" w:hAnsi="Cambria" w:cs="Cambria"/>
                <w:lang w:val="hr-HR"/>
              </w:rPr>
              <w:t>ECTS</w:t>
            </w:r>
          </w:p>
        </w:tc>
        <w:tc>
          <w:tcPr>
            <w:tcW w:w="1893" w:type="dxa"/>
          </w:tcPr>
          <w:p w14:paraId="45B1D4CC" w14:textId="77777777" w:rsidR="003415F8" w:rsidRPr="00DF4CE5" w:rsidRDefault="003415F8" w:rsidP="00587D5D">
            <w:pPr>
              <w:widowControl w:val="0"/>
              <w:tabs>
                <w:tab w:val="left" w:pos="800"/>
                <w:tab w:val="left" w:pos="1165"/>
              </w:tabs>
              <w:autoSpaceDE w:val="0"/>
              <w:autoSpaceDN w:val="0"/>
              <w:spacing w:after="0" w:line="240" w:lineRule="auto"/>
              <w:ind w:left="109" w:right="86"/>
              <w:jc w:val="center"/>
              <w:rPr>
                <w:rFonts w:ascii="Cambria" w:eastAsia="Cambria" w:hAnsi="Cambria" w:cs="Cambria"/>
                <w:spacing w:val="-1"/>
                <w:lang w:val="hr-HR"/>
              </w:rPr>
            </w:pPr>
            <w:r w:rsidRPr="00DF4CE5">
              <w:rPr>
                <w:rFonts w:ascii="Cambria" w:eastAsia="Cambria" w:hAnsi="Cambria" w:cs="Cambria"/>
                <w:lang w:val="hr-HR"/>
              </w:rPr>
              <w:t>Maksimalni</w:t>
            </w:r>
            <w:r w:rsidRPr="00DF4CE5">
              <w:rPr>
                <w:rFonts w:ascii="Cambria" w:eastAsia="Cambria" w:hAnsi="Cambria" w:cs="Cambria"/>
                <w:spacing w:val="1"/>
                <w:lang w:val="hr-HR"/>
              </w:rPr>
              <w:t xml:space="preserve"> </w:t>
            </w:r>
            <w:r w:rsidRPr="00DF4CE5">
              <w:rPr>
                <w:rFonts w:ascii="Cambria" w:eastAsia="Cambria" w:hAnsi="Cambria" w:cs="Cambria"/>
                <w:lang w:val="hr-HR"/>
              </w:rPr>
              <w:t xml:space="preserve">udio u </w:t>
            </w:r>
            <w:r w:rsidRPr="00DF4CE5">
              <w:rPr>
                <w:rFonts w:ascii="Cambria" w:eastAsia="Cambria" w:hAnsi="Cambria" w:cs="Cambria"/>
                <w:spacing w:val="-1"/>
                <w:lang w:val="hr-HR"/>
              </w:rPr>
              <w:t>ocjeni</w:t>
            </w:r>
          </w:p>
          <w:p w14:paraId="523D65AF" w14:textId="77777777" w:rsidR="003415F8" w:rsidRPr="00DF4CE5" w:rsidRDefault="003415F8" w:rsidP="00587D5D">
            <w:pPr>
              <w:widowControl w:val="0"/>
              <w:tabs>
                <w:tab w:val="left" w:pos="800"/>
                <w:tab w:val="left" w:pos="1165"/>
              </w:tabs>
              <w:autoSpaceDE w:val="0"/>
              <w:autoSpaceDN w:val="0"/>
              <w:spacing w:after="0" w:line="240" w:lineRule="auto"/>
              <w:ind w:left="109" w:right="86"/>
              <w:jc w:val="center"/>
              <w:rPr>
                <w:rFonts w:ascii="Cambria" w:eastAsia="Cambria" w:hAnsi="Cambria" w:cs="Cambria"/>
                <w:lang w:val="hr-HR"/>
              </w:rPr>
            </w:pPr>
            <w:r w:rsidRPr="00DF4CE5">
              <w:rPr>
                <w:rFonts w:ascii="Cambria" w:eastAsia="Cambria" w:hAnsi="Cambria" w:cs="Cambria"/>
                <w:spacing w:val="-50"/>
                <w:lang w:val="hr-HR"/>
              </w:rPr>
              <w:t xml:space="preserve"> </w:t>
            </w:r>
            <w:r w:rsidRPr="00DF4CE5">
              <w:rPr>
                <w:rFonts w:ascii="Cambria" w:eastAsia="Cambria" w:hAnsi="Cambria" w:cs="Cambria"/>
                <w:lang w:val="hr-HR"/>
              </w:rPr>
              <w:t>(%)</w:t>
            </w:r>
          </w:p>
        </w:tc>
      </w:tr>
      <w:tr w:rsidR="003415F8" w:rsidRPr="00DF4CE5" w14:paraId="00A6D933" w14:textId="77777777" w:rsidTr="00587D5D">
        <w:trPr>
          <w:trHeight w:val="296"/>
        </w:trPr>
        <w:tc>
          <w:tcPr>
            <w:tcW w:w="2477" w:type="dxa"/>
            <w:vMerge/>
            <w:tcBorders>
              <w:top w:val="nil"/>
            </w:tcBorders>
            <w:shd w:val="clear" w:color="auto" w:fill="F3F3F3"/>
          </w:tcPr>
          <w:p w14:paraId="05562EA6" w14:textId="77777777" w:rsidR="003415F8" w:rsidRPr="00DF4CE5" w:rsidRDefault="003415F8" w:rsidP="00587D5D">
            <w:pPr>
              <w:widowControl w:val="0"/>
              <w:autoSpaceDE w:val="0"/>
              <w:autoSpaceDN w:val="0"/>
              <w:spacing w:after="0" w:line="240" w:lineRule="auto"/>
              <w:rPr>
                <w:rFonts w:ascii="Cambria" w:eastAsia="Cambria" w:hAnsi="Cambria" w:cs="Cambria"/>
                <w:lang w:val="hr-HR"/>
              </w:rPr>
            </w:pPr>
          </w:p>
        </w:tc>
        <w:tc>
          <w:tcPr>
            <w:tcW w:w="2193" w:type="dxa"/>
          </w:tcPr>
          <w:p w14:paraId="56485791" w14:textId="77777777" w:rsidR="003415F8" w:rsidRPr="00DF4CE5" w:rsidRDefault="003415F8" w:rsidP="00587D5D">
            <w:pPr>
              <w:widowControl w:val="0"/>
              <w:autoSpaceDE w:val="0"/>
              <w:autoSpaceDN w:val="0"/>
              <w:spacing w:after="0" w:line="240" w:lineRule="auto"/>
              <w:rPr>
                <w:rFonts w:ascii="Cambria" w:eastAsia="Cambria" w:hAnsi="Cambria" w:cs="Cambria"/>
                <w:spacing w:val="-1"/>
                <w:lang w:val="hr-HR"/>
              </w:rPr>
            </w:pPr>
            <w:r w:rsidRPr="00DF4CE5">
              <w:rPr>
                <w:rFonts w:ascii="Cambria" w:eastAsia="Cambria" w:hAnsi="Cambria" w:cs="Cambria"/>
                <w:lang w:val="hr-HR"/>
              </w:rPr>
              <w:t xml:space="preserve">  hospitiranje na</w:t>
            </w:r>
            <w:r w:rsidRPr="00DF4CE5">
              <w:rPr>
                <w:rFonts w:ascii="Cambria" w:eastAsia="Cambria" w:hAnsi="Cambria" w:cs="Cambria"/>
                <w:spacing w:val="-1"/>
                <w:lang w:val="hr-HR"/>
              </w:rPr>
              <w:t xml:space="preserve"> </w:t>
            </w:r>
          </w:p>
          <w:p w14:paraId="30543789" w14:textId="77777777" w:rsidR="003415F8" w:rsidRPr="00DF4CE5" w:rsidRDefault="003415F8" w:rsidP="00587D5D">
            <w:pPr>
              <w:widowControl w:val="0"/>
              <w:autoSpaceDE w:val="0"/>
              <w:autoSpaceDN w:val="0"/>
              <w:spacing w:after="0" w:line="240" w:lineRule="auto"/>
              <w:rPr>
                <w:rFonts w:ascii="Cambria" w:eastAsia="Cambria" w:hAnsi="Cambria" w:cs="Cambria"/>
                <w:lang w:val="hr-HR"/>
              </w:rPr>
            </w:pPr>
            <w:r w:rsidRPr="00DF4CE5">
              <w:rPr>
                <w:rFonts w:ascii="Cambria" w:eastAsia="Cambria" w:hAnsi="Cambria" w:cs="Cambria"/>
                <w:spacing w:val="-1"/>
                <w:lang w:val="hr-HR"/>
              </w:rPr>
              <w:t xml:space="preserve">  </w:t>
            </w:r>
            <w:r w:rsidRPr="00DF4CE5">
              <w:rPr>
                <w:rFonts w:ascii="Cambria" w:eastAsia="Cambria" w:hAnsi="Cambria" w:cs="Cambria"/>
                <w:lang w:val="hr-HR"/>
              </w:rPr>
              <w:t>stručnoj praksi</w:t>
            </w:r>
          </w:p>
        </w:tc>
        <w:tc>
          <w:tcPr>
            <w:tcW w:w="1025" w:type="dxa"/>
            <w:gridSpan w:val="2"/>
          </w:tcPr>
          <w:p w14:paraId="29E33ECA" w14:textId="77777777" w:rsidR="003415F8" w:rsidRPr="00DF4CE5" w:rsidRDefault="003415F8" w:rsidP="00587D5D">
            <w:pPr>
              <w:widowControl w:val="0"/>
              <w:autoSpaceDE w:val="0"/>
              <w:autoSpaceDN w:val="0"/>
              <w:spacing w:after="0" w:line="240" w:lineRule="auto"/>
              <w:ind w:left="108"/>
              <w:rPr>
                <w:rFonts w:ascii="Cambria" w:eastAsia="Cambria" w:hAnsi="Cambria" w:cs="Cambria"/>
                <w:lang w:val="hr-HR"/>
              </w:rPr>
            </w:pPr>
            <w:r w:rsidRPr="00DF4CE5">
              <w:rPr>
                <w:rFonts w:ascii="Cambria" w:eastAsia="Cambria" w:hAnsi="Cambria" w:cs="Cambria"/>
                <w:lang w:val="hr-HR"/>
              </w:rPr>
              <w:t>1. -</w:t>
            </w:r>
            <w:r w:rsidRPr="00DF4CE5">
              <w:rPr>
                <w:rFonts w:ascii="Cambria" w:eastAsia="Cambria" w:hAnsi="Cambria" w:cs="Cambria"/>
                <w:spacing w:val="-2"/>
                <w:lang w:val="hr-HR"/>
              </w:rPr>
              <w:t xml:space="preserve"> </w:t>
            </w:r>
            <w:r w:rsidRPr="00DF4CE5">
              <w:rPr>
                <w:rFonts w:ascii="Cambria" w:eastAsia="Cambria" w:hAnsi="Cambria" w:cs="Cambria"/>
                <w:lang w:val="hr-HR"/>
              </w:rPr>
              <w:t>5.</w:t>
            </w:r>
          </w:p>
        </w:tc>
        <w:tc>
          <w:tcPr>
            <w:tcW w:w="879" w:type="dxa"/>
          </w:tcPr>
          <w:p w14:paraId="0DEC91D2" w14:textId="0892E96A" w:rsidR="003415F8" w:rsidRPr="00DF4CE5" w:rsidRDefault="003415F8" w:rsidP="00587D5D">
            <w:pPr>
              <w:widowControl w:val="0"/>
              <w:autoSpaceDE w:val="0"/>
              <w:autoSpaceDN w:val="0"/>
              <w:spacing w:after="0" w:line="240" w:lineRule="auto"/>
              <w:ind w:left="108"/>
              <w:rPr>
                <w:rFonts w:ascii="Cambria" w:eastAsia="Cambria" w:hAnsi="Cambria" w:cs="Cambria"/>
                <w:lang w:val="hr-HR"/>
              </w:rPr>
            </w:pPr>
            <w:r w:rsidRPr="00DF4CE5">
              <w:rPr>
                <w:rFonts w:ascii="Cambria" w:eastAsia="Cambria" w:hAnsi="Cambria" w:cs="Cambria"/>
                <w:lang w:val="hr-HR"/>
              </w:rPr>
              <w:t xml:space="preserve">   </w:t>
            </w:r>
            <w:r>
              <w:rPr>
                <w:rFonts w:ascii="Cambria" w:eastAsia="Cambria" w:hAnsi="Cambria" w:cs="Cambria"/>
                <w:lang w:val="hr-HR"/>
              </w:rPr>
              <w:t>38</w:t>
            </w:r>
          </w:p>
        </w:tc>
        <w:tc>
          <w:tcPr>
            <w:tcW w:w="876" w:type="dxa"/>
          </w:tcPr>
          <w:p w14:paraId="47A2CEE0" w14:textId="21232E4E" w:rsidR="003415F8" w:rsidRPr="00DF4CE5" w:rsidRDefault="003415F8" w:rsidP="00587D5D">
            <w:pPr>
              <w:widowControl w:val="0"/>
              <w:autoSpaceDE w:val="0"/>
              <w:autoSpaceDN w:val="0"/>
              <w:spacing w:after="0" w:line="240" w:lineRule="auto"/>
              <w:ind w:left="109"/>
              <w:rPr>
                <w:rFonts w:ascii="Cambria" w:eastAsia="Cambria" w:hAnsi="Cambria" w:cs="Cambria"/>
                <w:lang w:val="hr-HR"/>
              </w:rPr>
            </w:pPr>
            <w:r w:rsidRPr="00DF4CE5">
              <w:rPr>
                <w:rFonts w:ascii="Cambria" w:eastAsia="Cambria" w:hAnsi="Cambria" w:cs="Cambria"/>
                <w:lang w:val="hr-HR"/>
              </w:rPr>
              <w:t xml:space="preserve">  1</w:t>
            </w:r>
            <w:r>
              <w:rPr>
                <w:rFonts w:ascii="Cambria" w:eastAsia="Cambria" w:hAnsi="Cambria" w:cs="Cambria"/>
                <w:lang w:val="hr-HR"/>
              </w:rPr>
              <w:t>,3</w:t>
            </w:r>
          </w:p>
        </w:tc>
        <w:tc>
          <w:tcPr>
            <w:tcW w:w="1893" w:type="dxa"/>
          </w:tcPr>
          <w:p w14:paraId="4BE739F2" w14:textId="77777777" w:rsidR="003415F8" w:rsidRPr="00DF4CE5" w:rsidRDefault="003415F8" w:rsidP="00587D5D">
            <w:pPr>
              <w:widowControl w:val="0"/>
              <w:autoSpaceDE w:val="0"/>
              <w:autoSpaceDN w:val="0"/>
              <w:spacing w:after="0" w:line="240" w:lineRule="auto"/>
              <w:ind w:left="109"/>
              <w:rPr>
                <w:rFonts w:ascii="Cambria" w:eastAsia="Cambria" w:hAnsi="Cambria" w:cs="Cambria"/>
                <w:lang w:val="hr-HR"/>
              </w:rPr>
            </w:pPr>
            <w:r w:rsidRPr="00DF4CE5">
              <w:rPr>
                <w:rFonts w:ascii="Cambria" w:eastAsia="Cambria" w:hAnsi="Cambria" w:cs="Cambria"/>
                <w:lang w:val="hr-HR"/>
              </w:rPr>
              <w:t xml:space="preserve">          60%</w:t>
            </w:r>
          </w:p>
        </w:tc>
      </w:tr>
      <w:tr w:rsidR="003415F8" w:rsidRPr="00DF4CE5" w14:paraId="1E44439D" w14:textId="77777777" w:rsidTr="00587D5D">
        <w:trPr>
          <w:trHeight w:val="577"/>
        </w:trPr>
        <w:tc>
          <w:tcPr>
            <w:tcW w:w="2477" w:type="dxa"/>
            <w:vMerge/>
            <w:tcBorders>
              <w:top w:val="nil"/>
            </w:tcBorders>
            <w:shd w:val="clear" w:color="auto" w:fill="F3F3F3"/>
          </w:tcPr>
          <w:p w14:paraId="1BE73CAA" w14:textId="77777777" w:rsidR="003415F8" w:rsidRPr="00DF4CE5" w:rsidRDefault="003415F8" w:rsidP="00587D5D">
            <w:pPr>
              <w:widowControl w:val="0"/>
              <w:autoSpaceDE w:val="0"/>
              <w:autoSpaceDN w:val="0"/>
              <w:spacing w:after="0" w:line="240" w:lineRule="auto"/>
              <w:rPr>
                <w:rFonts w:ascii="Cambria" w:eastAsia="Cambria" w:hAnsi="Cambria" w:cs="Cambria"/>
                <w:lang w:val="hr-HR"/>
              </w:rPr>
            </w:pPr>
          </w:p>
        </w:tc>
        <w:tc>
          <w:tcPr>
            <w:tcW w:w="2193" w:type="dxa"/>
          </w:tcPr>
          <w:p w14:paraId="110F1603" w14:textId="27CB531F" w:rsidR="003415F8" w:rsidRPr="00DF4CE5" w:rsidRDefault="003415F8" w:rsidP="00587D5D">
            <w:pPr>
              <w:widowControl w:val="0"/>
              <w:tabs>
                <w:tab w:val="left" w:pos="1108"/>
              </w:tabs>
              <w:autoSpaceDE w:val="0"/>
              <w:autoSpaceDN w:val="0"/>
              <w:spacing w:after="0" w:line="240" w:lineRule="auto"/>
              <w:ind w:left="107"/>
              <w:jc w:val="both"/>
              <w:rPr>
                <w:rFonts w:ascii="Cambria" w:eastAsia="Cambria" w:hAnsi="Cambria" w:cs="Cambria"/>
                <w:lang w:val="hr-HR"/>
              </w:rPr>
            </w:pPr>
            <w:r>
              <w:rPr>
                <w:rFonts w:ascii="Cambria" w:eastAsia="Cambria" w:hAnsi="Cambria" w:cs="Cambria"/>
                <w:lang w:val="hr-HR"/>
              </w:rPr>
              <w:t>d</w:t>
            </w:r>
            <w:r w:rsidRPr="00DF4CE5">
              <w:rPr>
                <w:rFonts w:ascii="Cambria" w:eastAsia="Cambria" w:hAnsi="Cambria" w:cs="Cambria"/>
                <w:lang w:val="hr-HR"/>
              </w:rPr>
              <w:t>nevnik</w:t>
            </w:r>
          </w:p>
          <w:p w14:paraId="0ACC1E50" w14:textId="77777777" w:rsidR="003415F8" w:rsidRPr="00DF4CE5" w:rsidRDefault="003415F8" w:rsidP="00587D5D">
            <w:pPr>
              <w:widowControl w:val="0"/>
              <w:autoSpaceDE w:val="0"/>
              <w:autoSpaceDN w:val="0"/>
              <w:spacing w:after="0" w:line="240" w:lineRule="auto"/>
              <w:ind w:left="107"/>
              <w:rPr>
                <w:rFonts w:ascii="Cambria" w:eastAsia="Cambria" w:hAnsi="Cambria" w:cs="Cambria"/>
                <w:lang w:val="hr-HR"/>
              </w:rPr>
            </w:pPr>
            <w:r w:rsidRPr="00DF4CE5">
              <w:rPr>
                <w:rFonts w:ascii="Cambria" w:eastAsia="Cambria" w:hAnsi="Cambria" w:cs="Cambria"/>
                <w:lang w:val="hr-HR"/>
              </w:rPr>
              <w:t>stručne</w:t>
            </w:r>
            <w:r w:rsidRPr="00DF4CE5">
              <w:rPr>
                <w:rFonts w:ascii="Cambria" w:eastAsia="Cambria" w:hAnsi="Cambria" w:cs="Cambria"/>
                <w:spacing w:val="-3"/>
                <w:lang w:val="hr-HR"/>
              </w:rPr>
              <w:t xml:space="preserve"> </w:t>
            </w:r>
            <w:r w:rsidRPr="00DF4CE5">
              <w:rPr>
                <w:rFonts w:ascii="Cambria" w:eastAsia="Cambria" w:hAnsi="Cambria" w:cs="Cambria"/>
                <w:lang w:val="hr-HR"/>
              </w:rPr>
              <w:t>prakse</w:t>
            </w:r>
          </w:p>
        </w:tc>
        <w:tc>
          <w:tcPr>
            <w:tcW w:w="1025" w:type="dxa"/>
            <w:gridSpan w:val="2"/>
          </w:tcPr>
          <w:p w14:paraId="53B39B25" w14:textId="77777777" w:rsidR="003415F8" w:rsidRPr="00DF4CE5" w:rsidRDefault="003415F8" w:rsidP="00587D5D">
            <w:pPr>
              <w:widowControl w:val="0"/>
              <w:autoSpaceDE w:val="0"/>
              <w:autoSpaceDN w:val="0"/>
              <w:spacing w:after="0" w:line="240" w:lineRule="auto"/>
              <w:ind w:left="108"/>
              <w:rPr>
                <w:rFonts w:ascii="Cambria" w:eastAsia="Cambria" w:hAnsi="Cambria" w:cs="Cambria"/>
                <w:lang w:val="hr-HR"/>
              </w:rPr>
            </w:pPr>
            <w:r w:rsidRPr="00DF4CE5">
              <w:rPr>
                <w:rFonts w:ascii="Cambria" w:eastAsia="Cambria" w:hAnsi="Cambria" w:cs="Cambria"/>
                <w:lang w:val="hr-HR"/>
              </w:rPr>
              <w:t>1. -</w:t>
            </w:r>
            <w:r w:rsidRPr="00DF4CE5">
              <w:rPr>
                <w:rFonts w:ascii="Cambria" w:eastAsia="Cambria" w:hAnsi="Cambria" w:cs="Cambria"/>
                <w:spacing w:val="-2"/>
                <w:lang w:val="hr-HR"/>
              </w:rPr>
              <w:t xml:space="preserve"> </w:t>
            </w:r>
            <w:r w:rsidRPr="00DF4CE5">
              <w:rPr>
                <w:rFonts w:ascii="Cambria" w:eastAsia="Cambria" w:hAnsi="Cambria" w:cs="Cambria"/>
                <w:lang w:val="hr-HR"/>
              </w:rPr>
              <w:t>5.</w:t>
            </w:r>
          </w:p>
        </w:tc>
        <w:tc>
          <w:tcPr>
            <w:tcW w:w="879" w:type="dxa"/>
          </w:tcPr>
          <w:p w14:paraId="2C53C5DA" w14:textId="44F1528B" w:rsidR="003415F8" w:rsidRPr="00DF4CE5" w:rsidRDefault="003415F8" w:rsidP="00587D5D">
            <w:pPr>
              <w:widowControl w:val="0"/>
              <w:autoSpaceDE w:val="0"/>
              <w:autoSpaceDN w:val="0"/>
              <w:spacing w:after="0" w:line="240" w:lineRule="auto"/>
              <w:ind w:left="108"/>
              <w:rPr>
                <w:rFonts w:ascii="Cambria" w:eastAsia="Cambria" w:hAnsi="Cambria" w:cs="Cambria"/>
                <w:lang w:val="hr-HR"/>
              </w:rPr>
            </w:pPr>
            <w:r w:rsidRPr="00DF4CE5">
              <w:rPr>
                <w:rFonts w:ascii="Cambria" w:eastAsia="Cambria" w:hAnsi="Cambria" w:cs="Cambria"/>
                <w:lang w:val="hr-HR"/>
              </w:rPr>
              <w:t xml:space="preserve">   </w:t>
            </w:r>
            <w:r>
              <w:rPr>
                <w:rFonts w:ascii="Cambria" w:eastAsia="Cambria" w:hAnsi="Cambria" w:cs="Cambria"/>
                <w:lang w:val="hr-HR"/>
              </w:rPr>
              <w:t>22</w:t>
            </w:r>
          </w:p>
        </w:tc>
        <w:tc>
          <w:tcPr>
            <w:tcW w:w="876" w:type="dxa"/>
          </w:tcPr>
          <w:p w14:paraId="24DA1177" w14:textId="5676F22F" w:rsidR="003415F8" w:rsidRPr="00DF4CE5" w:rsidRDefault="003415F8" w:rsidP="00587D5D">
            <w:pPr>
              <w:widowControl w:val="0"/>
              <w:autoSpaceDE w:val="0"/>
              <w:autoSpaceDN w:val="0"/>
              <w:spacing w:after="0" w:line="240" w:lineRule="auto"/>
              <w:ind w:left="109"/>
              <w:rPr>
                <w:rFonts w:ascii="Cambria" w:eastAsia="Cambria" w:hAnsi="Cambria" w:cs="Cambria"/>
                <w:lang w:val="hr-HR"/>
              </w:rPr>
            </w:pPr>
            <w:r w:rsidRPr="00DF4CE5">
              <w:rPr>
                <w:rFonts w:ascii="Cambria" w:eastAsia="Cambria" w:hAnsi="Cambria" w:cs="Cambria"/>
                <w:lang w:val="hr-HR"/>
              </w:rPr>
              <w:t xml:space="preserve">  0</w:t>
            </w:r>
            <w:r>
              <w:rPr>
                <w:rFonts w:ascii="Cambria" w:eastAsia="Cambria" w:hAnsi="Cambria" w:cs="Cambria"/>
                <w:lang w:val="hr-HR"/>
              </w:rPr>
              <w:t>,7</w:t>
            </w:r>
          </w:p>
        </w:tc>
        <w:tc>
          <w:tcPr>
            <w:tcW w:w="1893" w:type="dxa"/>
          </w:tcPr>
          <w:p w14:paraId="5CDCD0D4" w14:textId="77777777" w:rsidR="003415F8" w:rsidRPr="00DF4CE5" w:rsidRDefault="003415F8" w:rsidP="00587D5D">
            <w:pPr>
              <w:widowControl w:val="0"/>
              <w:autoSpaceDE w:val="0"/>
              <w:autoSpaceDN w:val="0"/>
              <w:spacing w:after="0" w:line="240" w:lineRule="auto"/>
              <w:ind w:left="109"/>
              <w:rPr>
                <w:rFonts w:ascii="Cambria" w:eastAsia="Cambria" w:hAnsi="Cambria" w:cs="Cambria"/>
                <w:lang w:val="hr-HR"/>
              </w:rPr>
            </w:pPr>
            <w:r w:rsidRPr="00DF4CE5">
              <w:rPr>
                <w:rFonts w:ascii="Cambria" w:eastAsia="Cambria" w:hAnsi="Cambria" w:cs="Cambria"/>
                <w:lang w:val="hr-HR"/>
              </w:rPr>
              <w:t xml:space="preserve">          40%</w:t>
            </w:r>
          </w:p>
        </w:tc>
      </w:tr>
      <w:tr w:rsidR="003415F8" w:rsidRPr="00DF4CE5" w14:paraId="7E0EE04E" w14:textId="77777777" w:rsidTr="00587D5D">
        <w:trPr>
          <w:trHeight w:val="297"/>
        </w:trPr>
        <w:tc>
          <w:tcPr>
            <w:tcW w:w="2477" w:type="dxa"/>
            <w:vMerge/>
            <w:tcBorders>
              <w:top w:val="nil"/>
            </w:tcBorders>
            <w:shd w:val="clear" w:color="auto" w:fill="F3F3F3"/>
          </w:tcPr>
          <w:p w14:paraId="3BE29568" w14:textId="77777777" w:rsidR="003415F8" w:rsidRPr="00DF4CE5" w:rsidRDefault="003415F8" w:rsidP="00587D5D">
            <w:pPr>
              <w:widowControl w:val="0"/>
              <w:autoSpaceDE w:val="0"/>
              <w:autoSpaceDN w:val="0"/>
              <w:spacing w:after="0" w:line="240" w:lineRule="auto"/>
              <w:rPr>
                <w:rFonts w:ascii="Cambria" w:eastAsia="Cambria" w:hAnsi="Cambria" w:cs="Cambria"/>
                <w:lang w:val="hr-HR"/>
              </w:rPr>
            </w:pPr>
          </w:p>
        </w:tc>
        <w:tc>
          <w:tcPr>
            <w:tcW w:w="3218" w:type="dxa"/>
            <w:gridSpan w:val="3"/>
          </w:tcPr>
          <w:p w14:paraId="7E8A9989" w14:textId="77777777" w:rsidR="003415F8" w:rsidRPr="00DF4CE5" w:rsidRDefault="003415F8" w:rsidP="00587D5D">
            <w:pPr>
              <w:widowControl w:val="0"/>
              <w:autoSpaceDE w:val="0"/>
              <w:autoSpaceDN w:val="0"/>
              <w:spacing w:after="0" w:line="240" w:lineRule="auto"/>
              <w:ind w:left="107"/>
              <w:rPr>
                <w:rFonts w:ascii="Cambria" w:eastAsia="Cambria" w:hAnsi="Cambria" w:cs="Cambria"/>
                <w:lang w:val="hr-HR"/>
              </w:rPr>
            </w:pPr>
            <w:r w:rsidRPr="00DF4CE5">
              <w:rPr>
                <w:rFonts w:ascii="Cambria" w:eastAsia="Cambria" w:hAnsi="Cambria" w:cs="Cambria"/>
                <w:lang w:val="hr-HR"/>
              </w:rPr>
              <w:t>Ukupno</w:t>
            </w:r>
          </w:p>
        </w:tc>
        <w:tc>
          <w:tcPr>
            <w:tcW w:w="879" w:type="dxa"/>
          </w:tcPr>
          <w:p w14:paraId="2631060C" w14:textId="3E408DE6" w:rsidR="003415F8" w:rsidRPr="00DF4CE5" w:rsidRDefault="003415F8" w:rsidP="00587D5D">
            <w:pPr>
              <w:widowControl w:val="0"/>
              <w:autoSpaceDE w:val="0"/>
              <w:autoSpaceDN w:val="0"/>
              <w:spacing w:after="0" w:line="240" w:lineRule="auto"/>
              <w:ind w:left="108"/>
              <w:rPr>
                <w:rFonts w:ascii="Cambria" w:eastAsia="Cambria" w:hAnsi="Cambria" w:cs="Cambria"/>
                <w:lang w:val="hr-HR"/>
              </w:rPr>
            </w:pPr>
            <w:r w:rsidRPr="00DF4CE5">
              <w:rPr>
                <w:rFonts w:ascii="Cambria" w:eastAsia="Cambria" w:hAnsi="Cambria" w:cs="Cambria"/>
                <w:lang w:val="hr-HR"/>
              </w:rPr>
              <w:t xml:space="preserve">  </w:t>
            </w:r>
            <w:r>
              <w:rPr>
                <w:rFonts w:ascii="Cambria" w:eastAsia="Cambria" w:hAnsi="Cambria" w:cs="Cambria"/>
                <w:lang w:val="hr-HR"/>
              </w:rPr>
              <w:t xml:space="preserve"> </w:t>
            </w:r>
            <w:r w:rsidRPr="00DF4CE5">
              <w:rPr>
                <w:rFonts w:ascii="Cambria" w:eastAsia="Cambria" w:hAnsi="Cambria" w:cs="Cambria"/>
                <w:lang w:val="hr-HR"/>
              </w:rPr>
              <w:t>60</w:t>
            </w:r>
          </w:p>
        </w:tc>
        <w:tc>
          <w:tcPr>
            <w:tcW w:w="876" w:type="dxa"/>
          </w:tcPr>
          <w:p w14:paraId="41C1B5C7" w14:textId="77777777" w:rsidR="003415F8" w:rsidRPr="00DF4CE5" w:rsidRDefault="003415F8" w:rsidP="00587D5D">
            <w:pPr>
              <w:widowControl w:val="0"/>
              <w:autoSpaceDE w:val="0"/>
              <w:autoSpaceDN w:val="0"/>
              <w:spacing w:after="0" w:line="240" w:lineRule="auto"/>
              <w:ind w:left="109"/>
              <w:rPr>
                <w:rFonts w:ascii="Cambria" w:eastAsia="Cambria" w:hAnsi="Cambria" w:cs="Cambria"/>
                <w:lang w:val="hr-HR"/>
              </w:rPr>
            </w:pPr>
            <w:r w:rsidRPr="00DF4CE5">
              <w:rPr>
                <w:rFonts w:ascii="Cambria" w:eastAsia="Cambria" w:hAnsi="Cambria" w:cs="Cambria"/>
                <w:lang w:val="hr-HR"/>
              </w:rPr>
              <w:t xml:space="preserve">   2</w:t>
            </w:r>
          </w:p>
        </w:tc>
        <w:tc>
          <w:tcPr>
            <w:tcW w:w="1893" w:type="dxa"/>
          </w:tcPr>
          <w:p w14:paraId="3F676EB5" w14:textId="77777777" w:rsidR="003415F8" w:rsidRPr="00DF4CE5" w:rsidRDefault="003415F8" w:rsidP="00587D5D">
            <w:pPr>
              <w:widowControl w:val="0"/>
              <w:autoSpaceDE w:val="0"/>
              <w:autoSpaceDN w:val="0"/>
              <w:spacing w:after="0" w:line="240" w:lineRule="auto"/>
              <w:ind w:left="109"/>
              <w:rPr>
                <w:rFonts w:ascii="Cambria" w:eastAsia="Cambria" w:hAnsi="Cambria" w:cs="Cambria"/>
                <w:lang w:val="hr-HR"/>
              </w:rPr>
            </w:pPr>
            <w:r w:rsidRPr="00DF4CE5">
              <w:rPr>
                <w:rFonts w:ascii="Cambria" w:eastAsia="Cambria" w:hAnsi="Cambria" w:cs="Cambria"/>
                <w:lang w:val="hr-HR"/>
              </w:rPr>
              <w:t xml:space="preserve">       100%</w:t>
            </w:r>
          </w:p>
        </w:tc>
      </w:tr>
      <w:tr w:rsidR="003415F8" w:rsidRPr="00D0399C" w14:paraId="42E9D219" w14:textId="77777777" w:rsidTr="00587D5D">
        <w:trPr>
          <w:trHeight w:val="6335"/>
        </w:trPr>
        <w:tc>
          <w:tcPr>
            <w:tcW w:w="2477" w:type="dxa"/>
            <w:shd w:val="clear" w:color="auto" w:fill="F3F3F3"/>
          </w:tcPr>
          <w:p w14:paraId="1BC00647" w14:textId="77777777" w:rsidR="003415F8" w:rsidRPr="00DF4CE5" w:rsidRDefault="003415F8" w:rsidP="00587D5D">
            <w:pPr>
              <w:widowControl w:val="0"/>
              <w:autoSpaceDE w:val="0"/>
              <w:autoSpaceDN w:val="0"/>
              <w:spacing w:after="0" w:line="240" w:lineRule="auto"/>
              <w:rPr>
                <w:rFonts w:ascii="Cambria" w:eastAsia="Cambria" w:hAnsi="Cambria" w:cs="Cambria"/>
                <w:lang w:val="hr-HR"/>
              </w:rPr>
            </w:pPr>
          </w:p>
          <w:p w14:paraId="30BD81AC" w14:textId="77777777" w:rsidR="003415F8" w:rsidRPr="00DF4CE5" w:rsidRDefault="003415F8" w:rsidP="00587D5D">
            <w:pPr>
              <w:widowControl w:val="0"/>
              <w:autoSpaceDE w:val="0"/>
              <w:autoSpaceDN w:val="0"/>
              <w:spacing w:after="0" w:line="240" w:lineRule="auto"/>
              <w:rPr>
                <w:rFonts w:ascii="Cambria" w:eastAsia="Cambria" w:hAnsi="Cambria" w:cs="Cambria"/>
                <w:lang w:val="hr-HR"/>
              </w:rPr>
            </w:pPr>
          </w:p>
          <w:p w14:paraId="71247FF1" w14:textId="77777777" w:rsidR="003415F8" w:rsidRPr="00DF4CE5" w:rsidRDefault="003415F8" w:rsidP="00587D5D">
            <w:pPr>
              <w:widowControl w:val="0"/>
              <w:autoSpaceDE w:val="0"/>
              <w:autoSpaceDN w:val="0"/>
              <w:spacing w:after="0" w:line="240" w:lineRule="auto"/>
              <w:rPr>
                <w:rFonts w:ascii="Cambria" w:eastAsia="Cambria" w:hAnsi="Cambria" w:cs="Cambria"/>
                <w:lang w:val="hr-HR"/>
              </w:rPr>
            </w:pPr>
          </w:p>
          <w:p w14:paraId="204D464D" w14:textId="77777777" w:rsidR="003415F8" w:rsidRPr="00DF4CE5" w:rsidRDefault="003415F8" w:rsidP="00587D5D">
            <w:pPr>
              <w:widowControl w:val="0"/>
              <w:autoSpaceDE w:val="0"/>
              <w:autoSpaceDN w:val="0"/>
              <w:spacing w:after="0" w:line="240" w:lineRule="auto"/>
              <w:rPr>
                <w:rFonts w:ascii="Cambria" w:eastAsia="Cambria" w:hAnsi="Cambria" w:cs="Cambria"/>
                <w:lang w:val="hr-HR"/>
              </w:rPr>
            </w:pPr>
          </w:p>
          <w:p w14:paraId="4F8EB44A" w14:textId="77777777" w:rsidR="003415F8" w:rsidRPr="00DF4CE5" w:rsidRDefault="003415F8" w:rsidP="00587D5D">
            <w:pPr>
              <w:widowControl w:val="0"/>
              <w:autoSpaceDE w:val="0"/>
              <w:autoSpaceDN w:val="0"/>
              <w:spacing w:after="0" w:line="240" w:lineRule="auto"/>
              <w:rPr>
                <w:rFonts w:ascii="Cambria" w:eastAsia="Cambria" w:hAnsi="Cambria" w:cs="Cambria"/>
                <w:lang w:val="hr-HR"/>
              </w:rPr>
            </w:pPr>
          </w:p>
          <w:p w14:paraId="30A75D31" w14:textId="77777777" w:rsidR="003415F8" w:rsidRPr="00DF4CE5" w:rsidRDefault="003415F8" w:rsidP="00587D5D">
            <w:pPr>
              <w:widowControl w:val="0"/>
              <w:autoSpaceDE w:val="0"/>
              <w:autoSpaceDN w:val="0"/>
              <w:spacing w:after="0" w:line="240" w:lineRule="auto"/>
              <w:rPr>
                <w:rFonts w:ascii="Cambria" w:eastAsia="Cambria" w:hAnsi="Cambria" w:cs="Cambria"/>
                <w:lang w:val="hr-HR"/>
              </w:rPr>
            </w:pPr>
          </w:p>
          <w:p w14:paraId="1FAEE044" w14:textId="77777777" w:rsidR="003415F8" w:rsidRPr="00DF4CE5" w:rsidRDefault="003415F8" w:rsidP="00587D5D">
            <w:pPr>
              <w:widowControl w:val="0"/>
              <w:autoSpaceDE w:val="0"/>
              <w:autoSpaceDN w:val="0"/>
              <w:spacing w:after="0" w:line="240" w:lineRule="auto"/>
              <w:rPr>
                <w:rFonts w:ascii="Cambria" w:eastAsia="Cambria" w:hAnsi="Cambria" w:cs="Cambria"/>
                <w:lang w:val="hr-HR"/>
              </w:rPr>
            </w:pPr>
          </w:p>
          <w:p w14:paraId="12DE64C7" w14:textId="77777777" w:rsidR="003415F8" w:rsidRPr="00DF4CE5" w:rsidRDefault="003415F8" w:rsidP="00587D5D">
            <w:pPr>
              <w:widowControl w:val="0"/>
              <w:autoSpaceDE w:val="0"/>
              <w:autoSpaceDN w:val="0"/>
              <w:spacing w:after="0" w:line="240" w:lineRule="auto"/>
              <w:rPr>
                <w:rFonts w:ascii="Cambria" w:eastAsia="Cambria" w:hAnsi="Cambria" w:cs="Cambria"/>
                <w:lang w:val="hr-HR"/>
              </w:rPr>
            </w:pPr>
          </w:p>
          <w:p w14:paraId="78CCD21F" w14:textId="77777777" w:rsidR="003415F8" w:rsidRPr="00DF4CE5" w:rsidRDefault="003415F8" w:rsidP="00587D5D">
            <w:pPr>
              <w:widowControl w:val="0"/>
              <w:autoSpaceDE w:val="0"/>
              <w:autoSpaceDN w:val="0"/>
              <w:spacing w:after="0" w:line="240" w:lineRule="auto"/>
              <w:rPr>
                <w:rFonts w:ascii="Cambria" w:eastAsia="Cambria" w:hAnsi="Cambria" w:cs="Cambria"/>
                <w:lang w:val="hr-HR"/>
              </w:rPr>
            </w:pPr>
          </w:p>
          <w:p w14:paraId="64A5F96D" w14:textId="77777777" w:rsidR="003415F8" w:rsidRPr="00DF4CE5" w:rsidRDefault="003415F8" w:rsidP="00587D5D">
            <w:pPr>
              <w:widowControl w:val="0"/>
              <w:autoSpaceDE w:val="0"/>
              <w:autoSpaceDN w:val="0"/>
              <w:spacing w:after="0" w:line="240" w:lineRule="auto"/>
              <w:ind w:left="143"/>
              <w:rPr>
                <w:rFonts w:ascii="Cambria" w:eastAsia="Cambria" w:hAnsi="Cambria" w:cs="Cambria"/>
                <w:lang w:val="hr-HR"/>
              </w:rPr>
            </w:pPr>
            <w:r w:rsidRPr="00DF4CE5">
              <w:rPr>
                <w:rFonts w:ascii="Cambria" w:eastAsia="Cambria" w:hAnsi="Cambria" w:cs="Cambria"/>
                <w:lang w:val="hr-HR"/>
              </w:rPr>
              <w:t>Studentske</w:t>
            </w:r>
            <w:r w:rsidRPr="00DF4CE5">
              <w:rPr>
                <w:rFonts w:ascii="Cambria" w:eastAsia="Cambria" w:hAnsi="Cambria" w:cs="Cambria"/>
                <w:spacing w:val="-5"/>
                <w:lang w:val="hr-HR"/>
              </w:rPr>
              <w:t xml:space="preserve"> </w:t>
            </w:r>
            <w:r w:rsidRPr="00DF4CE5">
              <w:rPr>
                <w:rFonts w:ascii="Cambria" w:eastAsia="Cambria" w:hAnsi="Cambria" w:cs="Cambria"/>
                <w:lang w:val="hr-HR"/>
              </w:rPr>
              <w:t>obveze</w:t>
            </w:r>
          </w:p>
        </w:tc>
        <w:tc>
          <w:tcPr>
            <w:tcW w:w="6866" w:type="dxa"/>
            <w:gridSpan w:val="6"/>
          </w:tcPr>
          <w:p w14:paraId="4E5EC8B4" w14:textId="77777777" w:rsidR="003415F8" w:rsidRPr="00DF4CE5" w:rsidRDefault="003415F8" w:rsidP="00587D5D">
            <w:pPr>
              <w:widowControl w:val="0"/>
              <w:autoSpaceDE w:val="0"/>
              <w:autoSpaceDN w:val="0"/>
              <w:spacing w:after="0" w:line="240" w:lineRule="auto"/>
              <w:ind w:left="513"/>
              <w:jc w:val="both"/>
              <w:rPr>
                <w:rFonts w:ascii="Cambria" w:eastAsia="Cambria" w:hAnsi="Cambria" w:cs="Cambria"/>
                <w:lang w:val="hr-HR"/>
              </w:rPr>
            </w:pPr>
            <w:r w:rsidRPr="00DF4CE5">
              <w:rPr>
                <w:rFonts w:ascii="Cambria" w:eastAsia="Cambria" w:hAnsi="Cambria" w:cs="Cambria"/>
                <w:lang w:val="hr-HR"/>
              </w:rPr>
              <w:t>Da</w:t>
            </w:r>
            <w:r w:rsidRPr="00DF4CE5">
              <w:rPr>
                <w:rFonts w:ascii="Cambria" w:eastAsia="Cambria" w:hAnsi="Cambria" w:cs="Cambria"/>
                <w:spacing w:val="-4"/>
                <w:lang w:val="hr-HR"/>
              </w:rPr>
              <w:t xml:space="preserve"> </w:t>
            </w:r>
            <w:r w:rsidRPr="00DF4CE5">
              <w:rPr>
                <w:rFonts w:ascii="Cambria" w:eastAsia="Cambria" w:hAnsi="Cambria" w:cs="Cambria"/>
                <w:lang w:val="hr-HR"/>
              </w:rPr>
              <w:t>položi</w:t>
            </w:r>
            <w:r w:rsidRPr="00DF4CE5">
              <w:rPr>
                <w:rFonts w:ascii="Cambria" w:eastAsia="Cambria" w:hAnsi="Cambria" w:cs="Cambria"/>
                <w:spacing w:val="-4"/>
                <w:lang w:val="hr-HR"/>
              </w:rPr>
              <w:t xml:space="preserve"> </w:t>
            </w:r>
            <w:r w:rsidRPr="00DF4CE5">
              <w:rPr>
                <w:rFonts w:ascii="Cambria" w:eastAsia="Cambria" w:hAnsi="Cambria" w:cs="Cambria"/>
                <w:lang w:val="hr-HR"/>
              </w:rPr>
              <w:t>kolegij,</w:t>
            </w:r>
            <w:r w:rsidRPr="00DF4CE5">
              <w:rPr>
                <w:rFonts w:ascii="Cambria" w:eastAsia="Cambria" w:hAnsi="Cambria" w:cs="Cambria"/>
                <w:spacing w:val="-3"/>
                <w:lang w:val="hr-HR"/>
              </w:rPr>
              <w:t xml:space="preserve"> </w:t>
            </w:r>
            <w:r w:rsidRPr="00DF4CE5">
              <w:rPr>
                <w:rFonts w:ascii="Cambria" w:eastAsia="Cambria" w:hAnsi="Cambria" w:cs="Cambria"/>
                <w:lang w:val="hr-HR"/>
              </w:rPr>
              <w:t>student/studentica</w:t>
            </w:r>
            <w:r w:rsidRPr="00DF4CE5">
              <w:rPr>
                <w:rFonts w:ascii="Cambria" w:eastAsia="Cambria" w:hAnsi="Cambria" w:cs="Cambria"/>
                <w:spacing w:val="-5"/>
                <w:lang w:val="hr-HR"/>
              </w:rPr>
              <w:t xml:space="preserve"> </w:t>
            </w:r>
            <w:r w:rsidRPr="00DF4CE5">
              <w:rPr>
                <w:rFonts w:ascii="Cambria" w:eastAsia="Cambria" w:hAnsi="Cambria" w:cs="Cambria"/>
                <w:lang w:val="hr-HR"/>
              </w:rPr>
              <w:t>mora:</w:t>
            </w:r>
          </w:p>
          <w:p w14:paraId="25466FC4" w14:textId="77777777" w:rsidR="003415F8" w:rsidRPr="00DF4CE5" w:rsidRDefault="003415F8" w:rsidP="00A034E3">
            <w:pPr>
              <w:widowControl w:val="0"/>
              <w:numPr>
                <w:ilvl w:val="0"/>
                <w:numId w:val="87"/>
              </w:numPr>
              <w:tabs>
                <w:tab w:val="left" w:pos="504"/>
              </w:tabs>
              <w:autoSpaceDE w:val="0"/>
              <w:autoSpaceDN w:val="0"/>
              <w:spacing w:after="0" w:line="240" w:lineRule="auto"/>
              <w:ind w:right="120"/>
              <w:rPr>
                <w:rFonts w:ascii="Cambria" w:eastAsia="Cambria" w:hAnsi="Cambria" w:cs="Cambria"/>
                <w:lang w:val="hr-HR"/>
              </w:rPr>
            </w:pPr>
            <w:r w:rsidRPr="00DF4CE5">
              <w:rPr>
                <w:rFonts w:ascii="Cambria" w:eastAsia="Cambria" w:hAnsi="Cambria" w:cs="Cambria"/>
                <w:lang w:val="hr-HR"/>
              </w:rPr>
              <w:t>predati voditeljici stručne prakse ispunjen i ovjeren Prijavni</w:t>
            </w:r>
            <w:r w:rsidRPr="00DF4CE5">
              <w:rPr>
                <w:rFonts w:ascii="Cambria" w:eastAsia="Cambria" w:hAnsi="Cambria" w:cs="Cambria"/>
                <w:spacing w:val="1"/>
                <w:lang w:val="hr-HR"/>
              </w:rPr>
              <w:t xml:space="preserve"> </w:t>
            </w:r>
            <w:r w:rsidRPr="00DF4CE5">
              <w:rPr>
                <w:rFonts w:ascii="Cambria" w:eastAsia="Cambria" w:hAnsi="Cambria" w:cs="Cambria"/>
                <w:lang w:val="hr-HR"/>
              </w:rPr>
              <w:t>list kojim potvrđuje odabir osnovne škole (prije pohađanja</w:t>
            </w:r>
            <w:r w:rsidRPr="00DF4CE5">
              <w:rPr>
                <w:rFonts w:ascii="Cambria" w:eastAsia="Cambria" w:hAnsi="Cambria" w:cs="Cambria"/>
                <w:spacing w:val="1"/>
                <w:lang w:val="hr-HR"/>
              </w:rPr>
              <w:t xml:space="preserve"> </w:t>
            </w:r>
            <w:r w:rsidRPr="00DF4CE5">
              <w:rPr>
                <w:rFonts w:ascii="Cambria" w:eastAsia="Cambria" w:hAnsi="Cambria" w:cs="Cambria"/>
                <w:lang w:val="hr-HR"/>
              </w:rPr>
              <w:t>stručne</w:t>
            </w:r>
            <w:r w:rsidRPr="00DF4CE5">
              <w:rPr>
                <w:rFonts w:ascii="Cambria" w:eastAsia="Cambria" w:hAnsi="Cambria" w:cs="Cambria"/>
                <w:spacing w:val="-2"/>
                <w:lang w:val="hr-HR"/>
              </w:rPr>
              <w:t xml:space="preserve"> </w:t>
            </w:r>
            <w:r w:rsidRPr="00DF4CE5">
              <w:rPr>
                <w:rFonts w:ascii="Cambria" w:eastAsia="Cambria" w:hAnsi="Cambria" w:cs="Cambria"/>
                <w:lang w:val="hr-HR"/>
              </w:rPr>
              <w:t>prakse)</w:t>
            </w:r>
          </w:p>
          <w:p w14:paraId="1A3A8BE5" w14:textId="77777777" w:rsidR="003415F8" w:rsidRPr="00DF4CE5" w:rsidRDefault="003415F8" w:rsidP="00A034E3">
            <w:pPr>
              <w:widowControl w:val="0"/>
              <w:numPr>
                <w:ilvl w:val="0"/>
                <w:numId w:val="87"/>
              </w:numPr>
              <w:tabs>
                <w:tab w:val="left" w:pos="504"/>
              </w:tabs>
              <w:autoSpaceDE w:val="0"/>
              <w:autoSpaceDN w:val="0"/>
              <w:spacing w:after="0" w:line="240" w:lineRule="auto"/>
              <w:rPr>
                <w:rFonts w:ascii="Cambria" w:eastAsia="Cambria" w:hAnsi="Cambria" w:cs="Cambria"/>
                <w:lang w:val="hr-HR"/>
              </w:rPr>
            </w:pPr>
            <w:r w:rsidRPr="00DF4CE5">
              <w:rPr>
                <w:rFonts w:ascii="Cambria" w:eastAsia="Cambria" w:hAnsi="Cambria" w:cs="Cambria"/>
                <w:lang w:val="hr-HR"/>
              </w:rPr>
              <w:t>pohađati</w:t>
            </w:r>
            <w:r w:rsidRPr="00DF4CE5">
              <w:rPr>
                <w:rFonts w:ascii="Cambria" w:eastAsia="Cambria" w:hAnsi="Cambria" w:cs="Cambria"/>
                <w:spacing w:val="28"/>
                <w:lang w:val="hr-HR"/>
              </w:rPr>
              <w:t xml:space="preserve"> </w:t>
            </w:r>
            <w:r w:rsidRPr="00DF4CE5">
              <w:rPr>
                <w:rFonts w:ascii="Cambria" w:eastAsia="Cambria" w:hAnsi="Cambria" w:cs="Cambria"/>
                <w:lang w:val="hr-HR"/>
              </w:rPr>
              <w:t>redovnu,</w:t>
            </w:r>
            <w:r w:rsidRPr="00DF4CE5">
              <w:rPr>
                <w:rFonts w:ascii="Cambria" w:eastAsia="Cambria" w:hAnsi="Cambria" w:cs="Cambria"/>
                <w:spacing w:val="29"/>
                <w:lang w:val="hr-HR"/>
              </w:rPr>
              <w:t xml:space="preserve"> </w:t>
            </w:r>
            <w:r w:rsidRPr="00DF4CE5">
              <w:rPr>
                <w:rFonts w:ascii="Cambria" w:eastAsia="Cambria" w:hAnsi="Cambria" w:cs="Cambria"/>
                <w:lang w:val="hr-HR"/>
              </w:rPr>
              <w:t>dodatnu,</w:t>
            </w:r>
            <w:r w:rsidRPr="00DF4CE5">
              <w:rPr>
                <w:rFonts w:ascii="Cambria" w:eastAsia="Cambria" w:hAnsi="Cambria" w:cs="Cambria"/>
                <w:spacing w:val="29"/>
                <w:lang w:val="hr-HR"/>
              </w:rPr>
              <w:t xml:space="preserve"> </w:t>
            </w:r>
            <w:r w:rsidRPr="00DF4CE5">
              <w:rPr>
                <w:rFonts w:ascii="Cambria" w:eastAsia="Cambria" w:hAnsi="Cambria" w:cs="Cambria"/>
                <w:lang w:val="hr-HR"/>
              </w:rPr>
              <w:t>dopunsku</w:t>
            </w:r>
            <w:r w:rsidRPr="00DF4CE5">
              <w:rPr>
                <w:rFonts w:ascii="Cambria" w:eastAsia="Cambria" w:hAnsi="Cambria" w:cs="Cambria"/>
                <w:spacing w:val="27"/>
                <w:lang w:val="hr-HR"/>
              </w:rPr>
              <w:t xml:space="preserve"> </w:t>
            </w:r>
            <w:r w:rsidRPr="00DF4CE5">
              <w:rPr>
                <w:rFonts w:ascii="Cambria" w:eastAsia="Cambria" w:hAnsi="Cambria" w:cs="Cambria"/>
                <w:lang w:val="hr-HR"/>
              </w:rPr>
              <w:t>i</w:t>
            </w:r>
            <w:r w:rsidRPr="00DF4CE5">
              <w:rPr>
                <w:rFonts w:ascii="Cambria" w:eastAsia="Cambria" w:hAnsi="Cambria" w:cs="Cambria"/>
                <w:spacing w:val="29"/>
                <w:lang w:val="hr-HR"/>
              </w:rPr>
              <w:t xml:space="preserve"> </w:t>
            </w:r>
            <w:r w:rsidRPr="00DF4CE5">
              <w:rPr>
                <w:rFonts w:ascii="Cambria" w:eastAsia="Cambria" w:hAnsi="Cambria" w:cs="Cambria"/>
                <w:lang w:val="hr-HR"/>
              </w:rPr>
              <w:t>izbornu</w:t>
            </w:r>
            <w:r w:rsidRPr="00DF4CE5">
              <w:rPr>
                <w:rFonts w:ascii="Cambria" w:eastAsia="Cambria" w:hAnsi="Cambria" w:cs="Cambria"/>
                <w:spacing w:val="28"/>
                <w:lang w:val="hr-HR"/>
              </w:rPr>
              <w:t xml:space="preserve"> </w:t>
            </w:r>
            <w:r w:rsidRPr="00DF4CE5">
              <w:rPr>
                <w:rFonts w:ascii="Cambria" w:eastAsia="Cambria" w:hAnsi="Cambria" w:cs="Cambria"/>
                <w:lang w:val="hr-HR"/>
              </w:rPr>
              <w:t>nastavu</w:t>
            </w:r>
            <w:r w:rsidRPr="00DF4CE5">
              <w:rPr>
                <w:rFonts w:ascii="Cambria" w:eastAsia="Cambria" w:hAnsi="Cambria" w:cs="Cambria"/>
                <w:spacing w:val="27"/>
                <w:lang w:val="hr-HR"/>
              </w:rPr>
              <w:t xml:space="preserve"> </w:t>
            </w:r>
            <w:r w:rsidRPr="00DF4CE5">
              <w:rPr>
                <w:rFonts w:ascii="Cambria" w:eastAsia="Cambria" w:hAnsi="Cambria" w:cs="Cambria"/>
                <w:lang w:val="hr-HR"/>
              </w:rPr>
              <w:t>te</w:t>
            </w:r>
          </w:p>
          <w:p w14:paraId="531593ED" w14:textId="77777777" w:rsidR="003415F8" w:rsidRPr="00DF4CE5" w:rsidRDefault="003415F8" w:rsidP="00587D5D">
            <w:pPr>
              <w:widowControl w:val="0"/>
              <w:autoSpaceDE w:val="0"/>
              <w:autoSpaceDN w:val="0"/>
              <w:spacing w:after="0" w:line="240" w:lineRule="auto"/>
              <w:ind w:left="503"/>
              <w:jc w:val="both"/>
              <w:rPr>
                <w:rFonts w:ascii="Cambria" w:eastAsia="Cambria" w:hAnsi="Cambria" w:cs="Cambria"/>
                <w:lang w:val="hr-HR"/>
              </w:rPr>
            </w:pPr>
            <w:r w:rsidRPr="00DF4CE5">
              <w:rPr>
                <w:rFonts w:ascii="Cambria" w:eastAsia="Cambria" w:hAnsi="Cambria" w:cs="Cambria"/>
                <w:lang w:val="hr-HR"/>
              </w:rPr>
              <w:t>izvannastavne</w:t>
            </w:r>
            <w:r w:rsidRPr="00DF4CE5">
              <w:rPr>
                <w:rFonts w:ascii="Cambria" w:eastAsia="Cambria" w:hAnsi="Cambria" w:cs="Cambria"/>
                <w:spacing w:val="-7"/>
                <w:lang w:val="hr-HR"/>
              </w:rPr>
              <w:t xml:space="preserve"> </w:t>
            </w:r>
            <w:r w:rsidRPr="00DF4CE5">
              <w:rPr>
                <w:rFonts w:ascii="Cambria" w:eastAsia="Cambria" w:hAnsi="Cambria" w:cs="Cambria"/>
                <w:lang w:val="hr-HR"/>
              </w:rPr>
              <w:t>aktivnosti</w:t>
            </w:r>
          </w:p>
          <w:p w14:paraId="7DD8CCBA" w14:textId="77777777" w:rsidR="003415F8" w:rsidRPr="00DF4CE5" w:rsidRDefault="003415F8" w:rsidP="00A034E3">
            <w:pPr>
              <w:widowControl w:val="0"/>
              <w:numPr>
                <w:ilvl w:val="0"/>
                <w:numId w:val="87"/>
              </w:numPr>
              <w:tabs>
                <w:tab w:val="left" w:pos="504"/>
              </w:tabs>
              <w:autoSpaceDE w:val="0"/>
              <w:autoSpaceDN w:val="0"/>
              <w:spacing w:after="0" w:line="240" w:lineRule="auto"/>
              <w:rPr>
                <w:rFonts w:ascii="Cambria" w:eastAsia="Cambria" w:hAnsi="Cambria" w:cs="Cambria"/>
                <w:lang w:val="hr-HR"/>
              </w:rPr>
            </w:pPr>
            <w:r w:rsidRPr="00DF4CE5">
              <w:rPr>
                <w:rFonts w:ascii="Cambria" w:eastAsia="Cambria" w:hAnsi="Cambria" w:cs="Cambria"/>
                <w:lang w:val="hr-HR"/>
              </w:rPr>
              <w:t>sudjelovati</w:t>
            </w:r>
            <w:r w:rsidRPr="00DF4CE5">
              <w:rPr>
                <w:rFonts w:ascii="Cambria" w:eastAsia="Cambria" w:hAnsi="Cambria" w:cs="Cambria"/>
                <w:spacing w:val="4"/>
                <w:lang w:val="hr-HR"/>
              </w:rPr>
              <w:t xml:space="preserve"> </w:t>
            </w:r>
            <w:r w:rsidRPr="00DF4CE5">
              <w:rPr>
                <w:rFonts w:ascii="Cambria" w:eastAsia="Cambria" w:hAnsi="Cambria" w:cs="Cambria"/>
                <w:lang w:val="hr-HR"/>
              </w:rPr>
              <w:t>u</w:t>
            </w:r>
            <w:r w:rsidRPr="00DF4CE5">
              <w:rPr>
                <w:rFonts w:ascii="Cambria" w:eastAsia="Cambria" w:hAnsi="Cambria" w:cs="Cambria"/>
                <w:spacing w:val="3"/>
                <w:lang w:val="hr-HR"/>
              </w:rPr>
              <w:t xml:space="preserve"> </w:t>
            </w:r>
            <w:r w:rsidRPr="00DF4CE5">
              <w:rPr>
                <w:rFonts w:ascii="Cambria" w:eastAsia="Cambria" w:hAnsi="Cambria" w:cs="Cambria"/>
                <w:lang w:val="hr-HR"/>
              </w:rPr>
              <w:t>različitim</w:t>
            </w:r>
            <w:r w:rsidRPr="00DF4CE5">
              <w:rPr>
                <w:rFonts w:ascii="Cambria" w:eastAsia="Cambria" w:hAnsi="Cambria" w:cs="Cambria"/>
                <w:spacing w:val="4"/>
                <w:lang w:val="hr-HR"/>
              </w:rPr>
              <w:t xml:space="preserve"> </w:t>
            </w:r>
            <w:r w:rsidRPr="00DF4CE5">
              <w:rPr>
                <w:rFonts w:ascii="Cambria" w:eastAsia="Cambria" w:hAnsi="Cambria" w:cs="Cambria"/>
                <w:lang w:val="hr-HR"/>
              </w:rPr>
              <w:t>oblicima</w:t>
            </w:r>
            <w:r w:rsidRPr="00DF4CE5">
              <w:rPr>
                <w:rFonts w:ascii="Cambria" w:eastAsia="Cambria" w:hAnsi="Cambria" w:cs="Cambria"/>
                <w:spacing w:val="3"/>
                <w:lang w:val="hr-HR"/>
              </w:rPr>
              <w:t xml:space="preserve"> </w:t>
            </w:r>
            <w:r w:rsidRPr="00DF4CE5">
              <w:rPr>
                <w:rFonts w:ascii="Cambria" w:eastAsia="Cambria" w:hAnsi="Cambria" w:cs="Cambria"/>
                <w:lang w:val="hr-HR"/>
              </w:rPr>
              <w:t>odgojno-obrazovnog</w:t>
            </w:r>
            <w:r w:rsidRPr="00DF4CE5">
              <w:rPr>
                <w:rFonts w:ascii="Cambria" w:eastAsia="Cambria" w:hAnsi="Cambria" w:cs="Cambria"/>
                <w:spacing w:val="4"/>
                <w:lang w:val="hr-HR"/>
              </w:rPr>
              <w:t xml:space="preserve"> </w:t>
            </w:r>
            <w:r w:rsidRPr="00DF4CE5">
              <w:rPr>
                <w:rFonts w:ascii="Cambria" w:eastAsia="Cambria" w:hAnsi="Cambria" w:cs="Cambria"/>
                <w:lang w:val="hr-HR"/>
              </w:rPr>
              <w:t>rada</w:t>
            </w:r>
            <w:r w:rsidRPr="00DF4CE5">
              <w:rPr>
                <w:rFonts w:ascii="Cambria" w:eastAsia="Cambria" w:hAnsi="Cambria" w:cs="Cambria"/>
                <w:spacing w:val="4"/>
                <w:lang w:val="hr-HR"/>
              </w:rPr>
              <w:t xml:space="preserve"> </w:t>
            </w:r>
            <w:r w:rsidRPr="00DF4CE5">
              <w:rPr>
                <w:rFonts w:ascii="Cambria" w:eastAsia="Cambria" w:hAnsi="Cambria" w:cs="Cambria"/>
                <w:lang w:val="hr-HR"/>
              </w:rPr>
              <w:t>u</w:t>
            </w:r>
          </w:p>
          <w:p w14:paraId="0132EF6A" w14:textId="77777777" w:rsidR="003415F8" w:rsidRPr="00DF4CE5" w:rsidRDefault="003415F8" w:rsidP="00587D5D">
            <w:pPr>
              <w:widowControl w:val="0"/>
              <w:autoSpaceDE w:val="0"/>
              <w:autoSpaceDN w:val="0"/>
              <w:spacing w:after="0" w:line="240" w:lineRule="auto"/>
              <w:ind w:left="503"/>
              <w:rPr>
                <w:rFonts w:ascii="Cambria" w:eastAsia="Cambria" w:hAnsi="Cambria" w:cs="Cambria"/>
                <w:lang w:val="hr-HR"/>
              </w:rPr>
            </w:pPr>
            <w:r w:rsidRPr="00DF4CE5">
              <w:rPr>
                <w:rFonts w:ascii="Cambria" w:eastAsia="Cambria" w:hAnsi="Cambria" w:cs="Cambria"/>
                <w:lang w:val="hr-HR"/>
              </w:rPr>
              <w:t>školi</w:t>
            </w:r>
          </w:p>
          <w:p w14:paraId="1A176218" w14:textId="77777777" w:rsidR="003415F8" w:rsidRPr="00DF4CE5" w:rsidRDefault="003415F8" w:rsidP="00A034E3">
            <w:pPr>
              <w:widowControl w:val="0"/>
              <w:numPr>
                <w:ilvl w:val="0"/>
                <w:numId w:val="87"/>
              </w:numPr>
              <w:tabs>
                <w:tab w:val="left" w:pos="504"/>
              </w:tabs>
              <w:autoSpaceDE w:val="0"/>
              <w:autoSpaceDN w:val="0"/>
              <w:spacing w:after="0" w:line="240" w:lineRule="auto"/>
              <w:ind w:right="122"/>
              <w:rPr>
                <w:rFonts w:ascii="Cambria" w:eastAsia="Cambria" w:hAnsi="Cambria" w:cs="Cambria"/>
                <w:lang w:val="hr-HR"/>
              </w:rPr>
            </w:pPr>
            <w:r w:rsidRPr="00DF4CE5">
              <w:rPr>
                <w:rFonts w:ascii="Cambria" w:eastAsia="Cambria" w:hAnsi="Cambria" w:cs="Cambria"/>
                <w:lang w:val="hr-HR"/>
              </w:rPr>
              <w:t>realizirati</w:t>
            </w:r>
            <w:r w:rsidRPr="00DF4CE5">
              <w:rPr>
                <w:rFonts w:ascii="Cambria" w:eastAsia="Cambria" w:hAnsi="Cambria" w:cs="Cambria"/>
                <w:spacing w:val="-8"/>
                <w:lang w:val="hr-HR"/>
              </w:rPr>
              <w:t xml:space="preserve"> </w:t>
            </w:r>
            <w:r w:rsidRPr="00DF4CE5">
              <w:rPr>
                <w:rFonts w:ascii="Cambria" w:eastAsia="Cambria" w:hAnsi="Cambria" w:cs="Cambria"/>
                <w:lang w:val="hr-HR"/>
              </w:rPr>
              <w:t>jedan</w:t>
            </w:r>
            <w:r w:rsidRPr="00DF4CE5">
              <w:rPr>
                <w:rFonts w:ascii="Cambria" w:eastAsia="Cambria" w:hAnsi="Cambria" w:cs="Cambria"/>
                <w:spacing w:val="-7"/>
                <w:lang w:val="hr-HR"/>
              </w:rPr>
              <w:t xml:space="preserve"> </w:t>
            </w:r>
            <w:r w:rsidRPr="00DF4CE5">
              <w:rPr>
                <w:rFonts w:ascii="Cambria" w:eastAsia="Cambria" w:hAnsi="Cambria" w:cs="Cambria"/>
                <w:lang w:val="hr-HR"/>
              </w:rPr>
              <w:t>nastavni</w:t>
            </w:r>
            <w:r w:rsidRPr="00DF4CE5">
              <w:rPr>
                <w:rFonts w:ascii="Cambria" w:eastAsia="Cambria" w:hAnsi="Cambria" w:cs="Cambria"/>
                <w:spacing w:val="-7"/>
                <w:lang w:val="hr-HR"/>
              </w:rPr>
              <w:t xml:space="preserve"> </w:t>
            </w:r>
            <w:r w:rsidRPr="00DF4CE5">
              <w:rPr>
                <w:rFonts w:ascii="Cambria" w:eastAsia="Cambria" w:hAnsi="Cambria" w:cs="Cambria"/>
                <w:lang w:val="hr-HR"/>
              </w:rPr>
              <w:t>sat</w:t>
            </w:r>
            <w:r w:rsidRPr="00DF4CE5">
              <w:rPr>
                <w:rFonts w:ascii="Cambria" w:eastAsia="Cambria" w:hAnsi="Cambria" w:cs="Cambria"/>
                <w:spacing w:val="-7"/>
                <w:lang w:val="hr-HR"/>
              </w:rPr>
              <w:t xml:space="preserve"> </w:t>
            </w:r>
            <w:r w:rsidRPr="00DF4CE5">
              <w:rPr>
                <w:rFonts w:ascii="Cambria" w:eastAsia="Cambria" w:hAnsi="Cambria" w:cs="Cambria"/>
                <w:lang w:val="hr-HR"/>
              </w:rPr>
              <w:t>iz</w:t>
            </w:r>
            <w:r w:rsidRPr="00DF4CE5">
              <w:rPr>
                <w:rFonts w:ascii="Cambria" w:eastAsia="Cambria" w:hAnsi="Cambria" w:cs="Cambria"/>
                <w:spacing w:val="-9"/>
                <w:lang w:val="hr-HR"/>
              </w:rPr>
              <w:t xml:space="preserve"> </w:t>
            </w:r>
            <w:r w:rsidRPr="00DF4CE5">
              <w:rPr>
                <w:rFonts w:ascii="Cambria" w:eastAsia="Cambria" w:hAnsi="Cambria" w:cs="Cambria"/>
                <w:lang w:val="hr-HR"/>
              </w:rPr>
              <w:t>predmeta</w:t>
            </w:r>
            <w:r w:rsidRPr="00DF4CE5">
              <w:rPr>
                <w:rFonts w:ascii="Cambria" w:eastAsia="Cambria" w:hAnsi="Cambria" w:cs="Cambria"/>
                <w:spacing w:val="-7"/>
                <w:lang w:val="hr-HR"/>
              </w:rPr>
              <w:t xml:space="preserve"> </w:t>
            </w:r>
            <w:r w:rsidRPr="00DF4CE5">
              <w:rPr>
                <w:rFonts w:ascii="Cambria" w:eastAsia="Cambria" w:hAnsi="Cambria" w:cs="Cambria"/>
                <w:lang w:val="hr-HR"/>
              </w:rPr>
              <w:t>Hrvatskog</w:t>
            </w:r>
            <w:r w:rsidRPr="00DF4CE5">
              <w:rPr>
                <w:rFonts w:ascii="Cambria" w:eastAsia="Cambria" w:hAnsi="Cambria" w:cs="Cambria"/>
                <w:spacing w:val="-8"/>
                <w:lang w:val="hr-HR"/>
              </w:rPr>
              <w:t xml:space="preserve"> </w:t>
            </w:r>
            <w:r w:rsidRPr="00DF4CE5">
              <w:rPr>
                <w:rFonts w:ascii="Cambria" w:eastAsia="Cambria" w:hAnsi="Cambria" w:cs="Cambria"/>
                <w:lang w:val="hr-HR"/>
              </w:rPr>
              <w:t>jezika</w:t>
            </w:r>
            <w:r w:rsidRPr="00DF4CE5">
              <w:rPr>
                <w:rFonts w:ascii="Cambria" w:eastAsia="Cambria" w:hAnsi="Cambria" w:cs="Cambria"/>
                <w:spacing w:val="-7"/>
                <w:lang w:val="hr-HR"/>
              </w:rPr>
              <w:t xml:space="preserve"> </w:t>
            </w:r>
            <w:r w:rsidRPr="00DF4CE5">
              <w:rPr>
                <w:rFonts w:ascii="Cambria" w:eastAsia="Cambria" w:hAnsi="Cambria" w:cs="Cambria"/>
                <w:lang w:val="hr-HR"/>
              </w:rPr>
              <w:t>ili</w:t>
            </w:r>
            <w:r w:rsidRPr="00DF4CE5">
              <w:rPr>
                <w:rFonts w:ascii="Cambria" w:eastAsia="Cambria" w:hAnsi="Cambria" w:cs="Cambria"/>
                <w:spacing w:val="-51"/>
                <w:lang w:val="hr-HR"/>
              </w:rPr>
              <w:t xml:space="preserve"> </w:t>
            </w:r>
            <w:r w:rsidRPr="00DF4CE5">
              <w:rPr>
                <w:rFonts w:ascii="Cambria" w:eastAsia="Cambria" w:hAnsi="Cambria" w:cs="Cambria"/>
                <w:lang w:val="hr-HR"/>
              </w:rPr>
              <w:t>Glazbene</w:t>
            </w:r>
            <w:r w:rsidRPr="00DF4CE5">
              <w:rPr>
                <w:rFonts w:ascii="Cambria" w:eastAsia="Cambria" w:hAnsi="Cambria" w:cs="Cambria"/>
                <w:spacing w:val="-5"/>
                <w:lang w:val="hr-HR"/>
              </w:rPr>
              <w:t xml:space="preserve"> </w:t>
            </w:r>
            <w:r w:rsidRPr="00DF4CE5">
              <w:rPr>
                <w:rFonts w:ascii="Cambria" w:eastAsia="Cambria" w:hAnsi="Cambria" w:cs="Cambria"/>
                <w:lang w:val="hr-HR"/>
              </w:rPr>
              <w:t>kulture</w:t>
            </w:r>
            <w:r w:rsidRPr="00DF4CE5">
              <w:rPr>
                <w:rFonts w:ascii="Cambria" w:eastAsia="Cambria" w:hAnsi="Cambria" w:cs="Cambria"/>
                <w:spacing w:val="-4"/>
                <w:lang w:val="hr-HR"/>
              </w:rPr>
              <w:t xml:space="preserve"> </w:t>
            </w:r>
            <w:r w:rsidRPr="00DF4CE5">
              <w:rPr>
                <w:rFonts w:ascii="Cambria" w:eastAsia="Cambria" w:hAnsi="Cambria" w:cs="Cambria"/>
                <w:lang w:val="hr-HR"/>
              </w:rPr>
              <w:t>pod</w:t>
            </w:r>
            <w:r w:rsidRPr="00DF4CE5">
              <w:rPr>
                <w:rFonts w:ascii="Cambria" w:eastAsia="Cambria" w:hAnsi="Cambria" w:cs="Cambria"/>
                <w:spacing w:val="-5"/>
                <w:lang w:val="hr-HR"/>
              </w:rPr>
              <w:t xml:space="preserve"> </w:t>
            </w:r>
            <w:r w:rsidRPr="00DF4CE5">
              <w:rPr>
                <w:rFonts w:ascii="Cambria" w:eastAsia="Cambria" w:hAnsi="Cambria" w:cs="Cambria"/>
                <w:lang w:val="hr-HR"/>
              </w:rPr>
              <w:t>vodstvom</w:t>
            </w:r>
            <w:r w:rsidRPr="00DF4CE5">
              <w:rPr>
                <w:rFonts w:ascii="Cambria" w:eastAsia="Cambria" w:hAnsi="Cambria" w:cs="Cambria"/>
                <w:spacing w:val="-3"/>
                <w:lang w:val="hr-HR"/>
              </w:rPr>
              <w:t xml:space="preserve"> </w:t>
            </w:r>
            <w:r w:rsidRPr="00DF4CE5">
              <w:rPr>
                <w:rFonts w:ascii="Cambria" w:eastAsia="Cambria" w:hAnsi="Cambria" w:cs="Cambria"/>
                <w:lang w:val="hr-HR"/>
              </w:rPr>
              <w:t>učitelja-mentora</w:t>
            </w:r>
            <w:r w:rsidRPr="00DF4CE5">
              <w:rPr>
                <w:rFonts w:ascii="Cambria" w:eastAsia="Cambria" w:hAnsi="Cambria" w:cs="Cambria"/>
                <w:spacing w:val="-6"/>
                <w:lang w:val="hr-HR"/>
              </w:rPr>
              <w:t xml:space="preserve"> </w:t>
            </w:r>
            <w:r w:rsidRPr="00DF4CE5">
              <w:rPr>
                <w:rFonts w:ascii="Cambria" w:eastAsia="Cambria" w:hAnsi="Cambria" w:cs="Cambria"/>
                <w:lang w:val="hr-HR"/>
              </w:rPr>
              <w:t>u</w:t>
            </w:r>
            <w:r w:rsidRPr="00DF4CE5">
              <w:rPr>
                <w:rFonts w:ascii="Cambria" w:eastAsia="Cambria" w:hAnsi="Cambria" w:cs="Cambria"/>
                <w:spacing w:val="-6"/>
                <w:lang w:val="hr-HR"/>
              </w:rPr>
              <w:t xml:space="preserve"> </w:t>
            </w:r>
            <w:r w:rsidRPr="00DF4CE5">
              <w:rPr>
                <w:rFonts w:ascii="Cambria" w:eastAsia="Cambria" w:hAnsi="Cambria" w:cs="Cambria"/>
                <w:lang w:val="hr-HR"/>
              </w:rPr>
              <w:t>školi,</w:t>
            </w:r>
            <w:r w:rsidRPr="00DF4CE5">
              <w:rPr>
                <w:rFonts w:ascii="Cambria" w:eastAsia="Cambria" w:hAnsi="Cambria" w:cs="Cambria"/>
                <w:spacing w:val="-4"/>
                <w:lang w:val="hr-HR"/>
              </w:rPr>
              <w:t xml:space="preserve"> </w:t>
            </w:r>
            <w:r w:rsidRPr="00DF4CE5">
              <w:rPr>
                <w:rFonts w:ascii="Cambria" w:eastAsia="Cambria" w:hAnsi="Cambria" w:cs="Cambria"/>
                <w:lang w:val="hr-HR"/>
              </w:rPr>
              <w:t>koji</w:t>
            </w:r>
            <w:r w:rsidRPr="00DF4CE5">
              <w:rPr>
                <w:rFonts w:ascii="Cambria" w:eastAsia="Cambria" w:hAnsi="Cambria" w:cs="Cambria"/>
                <w:spacing w:val="-51"/>
                <w:lang w:val="hr-HR"/>
              </w:rPr>
              <w:t xml:space="preserve"> </w:t>
            </w:r>
            <w:r w:rsidRPr="00DF4CE5">
              <w:rPr>
                <w:rFonts w:ascii="Cambria" w:eastAsia="Cambria" w:hAnsi="Cambria" w:cs="Cambria"/>
                <w:lang w:val="hr-HR"/>
              </w:rPr>
              <w:t>potpisuje</w:t>
            </w:r>
            <w:r w:rsidRPr="00DF4CE5">
              <w:rPr>
                <w:rFonts w:ascii="Cambria" w:eastAsia="Cambria" w:hAnsi="Cambria" w:cs="Cambria"/>
                <w:spacing w:val="-3"/>
                <w:lang w:val="hr-HR"/>
              </w:rPr>
              <w:t xml:space="preserve"> </w:t>
            </w:r>
            <w:r w:rsidRPr="00DF4CE5">
              <w:rPr>
                <w:rFonts w:ascii="Cambria" w:eastAsia="Cambria" w:hAnsi="Cambria" w:cs="Cambria"/>
                <w:lang w:val="hr-HR"/>
              </w:rPr>
              <w:t>pripravu</w:t>
            </w:r>
            <w:r w:rsidRPr="00DF4CE5">
              <w:rPr>
                <w:rFonts w:ascii="Cambria" w:eastAsia="Cambria" w:hAnsi="Cambria" w:cs="Cambria"/>
                <w:spacing w:val="-3"/>
                <w:lang w:val="hr-HR"/>
              </w:rPr>
              <w:t xml:space="preserve"> </w:t>
            </w:r>
            <w:r w:rsidRPr="00DF4CE5">
              <w:rPr>
                <w:rFonts w:ascii="Cambria" w:eastAsia="Cambria" w:hAnsi="Cambria" w:cs="Cambria"/>
                <w:lang w:val="hr-HR"/>
              </w:rPr>
              <w:t>i</w:t>
            </w:r>
            <w:r w:rsidRPr="00DF4CE5">
              <w:rPr>
                <w:rFonts w:ascii="Cambria" w:eastAsia="Cambria" w:hAnsi="Cambria" w:cs="Cambria"/>
                <w:spacing w:val="-1"/>
                <w:lang w:val="hr-HR"/>
              </w:rPr>
              <w:t xml:space="preserve"> </w:t>
            </w:r>
            <w:r w:rsidRPr="00DF4CE5">
              <w:rPr>
                <w:rFonts w:ascii="Cambria" w:eastAsia="Cambria" w:hAnsi="Cambria" w:cs="Cambria"/>
                <w:lang w:val="hr-HR"/>
              </w:rPr>
              <w:t>daje osvrt</w:t>
            </w:r>
            <w:r w:rsidRPr="00DF4CE5">
              <w:rPr>
                <w:rFonts w:ascii="Cambria" w:eastAsia="Cambria" w:hAnsi="Cambria" w:cs="Cambria"/>
                <w:spacing w:val="-2"/>
                <w:lang w:val="hr-HR"/>
              </w:rPr>
              <w:t xml:space="preserve"> </w:t>
            </w:r>
            <w:r w:rsidRPr="00DF4CE5">
              <w:rPr>
                <w:rFonts w:ascii="Cambria" w:eastAsia="Cambria" w:hAnsi="Cambria" w:cs="Cambria"/>
                <w:lang w:val="hr-HR"/>
              </w:rPr>
              <w:t>na</w:t>
            </w:r>
            <w:r w:rsidRPr="00DF4CE5">
              <w:rPr>
                <w:rFonts w:ascii="Cambria" w:eastAsia="Cambria" w:hAnsi="Cambria" w:cs="Cambria"/>
                <w:spacing w:val="-2"/>
                <w:lang w:val="hr-HR"/>
              </w:rPr>
              <w:t xml:space="preserve"> </w:t>
            </w:r>
            <w:r w:rsidRPr="00DF4CE5">
              <w:rPr>
                <w:rFonts w:ascii="Cambria" w:eastAsia="Cambria" w:hAnsi="Cambria" w:cs="Cambria"/>
                <w:lang w:val="hr-HR"/>
              </w:rPr>
              <w:t>provedenu</w:t>
            </w:r>
            <w:r w:rsidRPr="00DF4CE5">
              <w:rPr>
                <w:rFonts w:ascii="Cambria" w:eastAsia="Cambria" w:hAnsi="Cambria" w:cs="Cambria"/>
                <w:spacing w:val="-1"/>
                <w:lang w:val="hr-HR"/>
              </w:rPr>
              <w:t xml:space="preserve"> </w:t>
            </w:r>
            <w:r w:rsidRPr="00DF4CE5">
              <w:rPr>
                <w:rFonts w:ascii="Cambria" w:eastAsia="Cambria" w:hAnsi="Cambria" w:cs="Cambria"/>
                <w:lang w:val="hr-HR"/>
              </w:rPr>
              <w:t>aktivnost</w:t>
            </w:r>
          </w:p>
          <w:p w14:paraId="0E1AE91F" w14:textId="77777777" w:rsidR="003415F8" w:rsidRPr="00DF4CE5" w:rsidRDefault="003415F8" w:rsidP="00A034E3">
            <w:pPr>
              <w:widowControl w:val="0"/>
              <w:numPr>
                <w:ilvl w:val="0"/>
                <w:numId w:val="87"/>
              </w:numPr>
              <w:tabs>
                <w:tab w:val="left" w:pos="504"/>
              </w:tabs>
              <w:autoSpaceDE w:val="0"/>
              <w:autoSpaceDN w:val="0"/>
              <w:spacing w:after="0" w:line="240" w:lineRule="auto"/>
              <w:rPr>
                <w:rFonts w:ascii="Cambria" w:eastAsia="Cambria" w:hAnsi="Cambria" w:cs="Cambria"/>
                <w:lang w:val="hr-HR"/>
              </w:rPr>
            </w:pPr>
            <w:r w:rsidRPr="00DF4CE5">
              <w:rPr>
                <w:rFonts w:ascii="Cambria" w:eastAsia="Cambria" w:hAnsi="Cambria" w:cs="Cambria"/>
                <w:lang w:val="hr-HR"/>
              </w:rPr>
              <w:t>pratiti</w:t>
            </w:r>
            <w:r w:rsidRPr="00DF4CE5">
              <w:rPr>
                <w:rFonts w:ascii="Cambria" w:eastAsia="Cambria" w:hAnsi="Cambria" w:cs="Cambria"/>
                <w:spacing w:val="2"/>
                <w:lang w:val="hr-HR"/>
              </w:rPr>
              <w:t xml:space="preserve"> </w:t>
            </w:r>
            <w:r w:rsidRPr="00DF4CE5">
              <w:rPr>
                <w:rFonts w:ascii="Cambria" w:eastAsia="Cambria" w:hAnsi="Cambria" w:cs="Cambria"/>
                <w:lang w:val="hr-HR"/>
              </w:rPr>
              <w:t>e-savjetovanja</w:t>
            </w:r>
            <w:r w:rsidRPr="00DF4CE5">
              <w:rPr>
                <w:rFonts w:ascii="Cambria" w:eastAsia="Cambria" w:hAnsi="Cambria" w:cs="Cambria"/>
                <w:spacing w:val="48"/>
                <w:lang w:val="hr-HR"/>
              </w:rPr>
              <w:t xml:space="preserve"> </w:t>
            </w:r>
            <w:r w:rsidRPr="00DF4CE5">
              <w:rPr>
                <w:rFonts w:ascii="Cambria" w:eastAsia="Cambria" w:hAnsi="Cambria" w:cs="Cambria"/>
                <w:lang w:val="hr-HR"/>
              </w:rPr>
              <w:t>Ministarstva</w:t>
            </w:r>
            <w:r w:rsidRPr="00DF4CE5">
              <w:rPr>
                <w:rFonts w:ascii="Cambria" w:eastAsia="Cambria" w:hAnsi="Cambria" w:cs="Cambria"/>
                <w:spacing w:val="52"/>
                <w:lang w:val="hr-HR"/>
              </w:rPr>
              <w:t xml:space="preserve"> </w:t>
            </w:r>
            <w:r w:rsidRPr="00DF4CE5">
              <w:rPr>
                <w:rFonts w:ascii="Cambria" w:eastAsia="Cambria" w:hAnsi="Cambria" w:cs="Cambria"/>
                <w:lang w:val="hr-HR"/>
              </w:rPr>
              <w:t>znanosti</w:t>
            </w:r>
            <w:r w:rsidRPr="00DF4CE5">
              <w:rPr>
                <w:rFonts w:ascii="Cambria" w:eastAsia="Cambria" w:hAnsi="Cambria" w:cs="Cambria"/>
                <w:spacing w:val="50"/>
                <w:lang w:val="hr-HR"/>
              </w:rPr>
              <w:t xml:space="preserve">, </w:t>
            </w:r>
            <w:r w:rsidRPr="00DF4CE5">
              <w:rPr>
                <w:rFonts w:ascii="Cambria" w:eastAsia="Cambria" w:hAnsi="Cambria" w:cs="Cambria"/>
                <w:lang w:val="hr-HR"/>
              </w:rPr>
              <w:t>obrazovanja i mladih, povezanih</w:t>
            </w:r>
            <w:r w:rsidRPr="00DF4CE5">
              <w:rPr>
                <w:rFonts w:ascii="Cambria" w:eastAsia="Cambria" w:hAnsi="Cambria" w:cs="Cambria"/>
                <w:spacing w:val="-3"/>
                <w:lang w:val="hr-HR"/>
              </w:rPr>
              <w:t xml:space="preserve"> </w:t>
            </w:r>
            <w:r w:rsidRPr="00DF4CE5">
              <w:rPr>
                <w:rFonts w:ascii="Cambria" w:eastAsia="Cambria" w:hAnsi="Cambria" w:cs="Cambria"/>
                <w:lang w:val="hr-HR"/>
              </w:rPr>
              <w:t>s</w:t>
            </w:r>
            <w:r w:rsidRPr="00DF4CE5">
              <w:rPr>
                <w:rFonts w:ascii="Cambria" w:eastAsia="Cambria" w:hAnsi="Cambria" w:cs="Cambria"/>
                <w:spacing w:val="-3"/>
                <w:lang w:val="hr-HR"/>
              </w:rPr>
              <w:t xml:space="preserve"> </w:t>
            </w:r>
            <w:r w:rsidRPr="00DF4CE5">
              <w:rPr>
                <w:rFonts w:ascii="Cambria" w:eastAsia="Cambria" w:hAnsi="Cambria" w:cs="Cambria"/>
                <w:lang w:val="hr-HR"/>
              </w:rPr>
              <w:t>osnovnoškolskim</w:t>
            </w:r>
            <w:r w:rsidRPr="00DF4CE5">
              <w:rPr>
                <w:rFonts w:ascii="Cambria" w:eastAsia="Cambria" w:hAnsi="Cambria" w:cs="Cambria"/>
                <w:spacing w:val="-2"/>
                <w:lang w:val="hr-HR"/>
              </w:rPr>
              <w:t xml:space="preserve"> </w:t>
            </w:r>
            <w:r w:rsidRPr="00DF4CE5">
              <w:rPr>
                <w:rFonts w:ascii="Cambria" w:eastAsia="Cambria" w:hAnsi="Cambria" w:cs="Cambria"/>
                <w:lang w:val="hr-HR"/>
              </w:rPr>
              <w:t>obrazovanjem</w:t>
            </w:r>
          </w:p>
          <w:p w14:paraId="396E044B" w14:textId="77777777" w:rsidR="003415F8" w:rsidRPr="00DF4CE5" w:rsidRDefault="003415F8" w:rsidP="00A034E3">
            <w:pPr>
              <w:widowControl w:val="0"/>
              <w:numPr>
                <w:ilvl w:val="0"/>
                <w:numId w:val="87"/>
              </w:numPr>
              <w:tabs>
                <w:tab w:val="left" w:pos="504"/>
              </w:tabs>
              <w:autoSpaceDE w:val="0"/>
              <w:autoSpaceDN w:val="0"/>
              <w:spacing w:after="0" w:line="240" w:lineRule="auto"/>
              <w:ind w:right="124"/>
              <w:rPr>
                <w:rFonts w:ascii="Cambria" w:eastAsia="Cambria" w:hAnsi="Cambria" w:cs="Cambria"/>
                <w:lang w:val="hr-HR"/>
              </w:rPr>
            </w:pPr>
            <w:r w:rsidRPr="00DF4CE5">
              <w:rPr>
                <w:rFonts w:ascii="Cambria" w:eastAsia="Cambria" w:hAnsi="Cambria" w:cs="Cambria"/>
                <w:lang w:val="hr-HR"/>
              </w:rPr>
              <w:t>voditi</w:t>
            </w:r>
            <w:r w:rsidRPr="00DF4CE5">
              <w:rPr>
                <w:rFonts w:ascii="Cambria" w:eastAsia="Cambria" w:hAnsi="Cambria" w:cs="Cambria"/>
                <w:spacing w:val="1"/>
                <w:lang w:val="hr-HR"/>
              </w:rPr>
              <w:t xml:space="preserve"> </w:t>
            </w:r>
            <w:r w:rsidRPr="00DF4CE5">
              <w:rPr>
                <w:rFonts w:ascii="Cambria" w:eastAsia="Cambria" w:hAnsi="Cambria" w:cs="Cambria"/>
                <w:lang w:val="hr-HR"/>
              </w:rPr>
              <w:t>Dnevnik</w:t>
            </w:r>
            <w:r w:rsidRPr="00DF4CE5">
              <w:rPr>
                <w:rFonts w:ascii="Cambria" w:eastAsia="Cambria" w:hAnsi="Cambria" w:cs="Cambria"/>
                <w:spacing w:val="1"/>
                <w:lang w:val="hr-HR"/>
              </w:rPr>
              <w:t xml:space="preserve"> </w:t>
            </w:r>
            <w:r w:rsidRPr="00DF4CE5">
              <w:rPr>
                <w:rFonts w:ascii="Cambria" w:eastAsia="Cambria" w:hAnsi="Cambria" w:cs="Cambria"/>
                <w:lang w:val="hr-HR"/>
              </w:rPr>
              <w:t>stručne</w:t>
            </w:r>
            <w:r w:rsidRPr="00DF4CE5">
              <w:rPr>
                <w:rFonts w:ascii="Cambria" w:eastAsia="Cambria" w:hAnsi="Cambria" w:cs="Cambria"/>
                <w:spacing w:val="1"/>
                <w:lang w:val="hr-HR"/>
              </w:rPr>
              <w:t xml:space="preserve"> </w:t>
            </w:r>
            <w:r w:rsidRPr="00DF4CE5">
              <w:rPr>
                <w:rFonts w:ascii="Cambria" w:eastAsia="Cambria" w:hAnsi="Cambria" w:cs="Cambria"/>
                <w:lang w:val="hr-HR"/>
              </w:rPr>
              <w:t>prakse</w:t>
            </w:r>
            <w:r w:rsidRPr="00DF4CE5">
              <w:rPr>
                <w:rFonts w:ascii="Cambria" w:eastAsia="Cambria" w:hAnsi="Cambria" w:cs="Cambria"/>
                <w:spacing w:val="1"/>
                <w:lang w:val="hr-HR"/>
              </w:rPr>
              <w:t xml:space="preserve"> </w:t>
            </w:r>
            <w:r w:rsidRPr="00DF4CE5">
              <w:rPr>
                <w:rFonts w:ascii="Cambria" w:eastAsia="Cambria" w:hAnsi="Cambria" w:cs="Cambria"/>
                <w:lang w:val="hr-HR"/>
              </w:rPr>
              <w:t>(u</w:t>
            </w:r>
            <w:r w:rsidRPr="00DF4CE5">
              <w:rPr>
                <w:rFonts w:ascii="Cambria" w:eastAsia="Cambria" w:hAnsi="Cambria" w:cs="Cambria"/>
                <w:spacing w:val="1"/>
                <w:lang w:val="hr-HR"/>
              </w:rPr>
              <w:t xml:space="preserve"> </w:t>
            </w:r>
            <w:r w:rsidRPr="00DF4CE5">
              <w:rPr>
                <w:rFonts w:ascii="Cambria" w:eastAsia="Cambria" w:hAnsi="Cambria" w:cs="Cambria"/>
                <w:lang w:val="hr-HR"/>
              </w:rPr>
              <w:t>skladu</w:t>
            </w:r>
            <w:r w:rsidRPr="00DF4CE5">
              <w:rPr>
                <w:rFonts w:ascii="Cambria" w:eastAsia="Cambria" w:hAnsi="Cambria" w:cs="Cambria"/>
                <w:spacing w:val="1"/>
                <w:lang w:val="hr-HR"/>
              </w:rPr>
              <w:t xml:space="preserve"> </w:t>
            </w:r>
            <w:r w:rsidRPr="00DF4CE5">
              <w:rPr>
                <w:rFonts w:ascii="Cambria" w:eastAsia="Cambria" w:hAnsi="Cambria" w:cs="Cambria"/>
                <w:lang w:val="hr-HR"/>
              </w:rPr>
              <w:t>s</w:t>
            </w:r>
            <w:r w:rsidRPr="00DF4CE5">
              <w:rPr>
                <w:rFonts w:ascii="Cambria" w:eastAsia="Cambria" w:hAnsi="Cambria" w:cs="Cambria"/>
                <w:spacing w:val="1"/>
                <w:lang w:val="hr-HR"/>
              </w:rPr>
              <w:t xml:space="preserve"> </w:t>
            </w:r>
            <w:r w:rsidRPr="00DF4CE5">
              <w:rPr>
                <w:rFonts w:ascii="Cambria" w:eastAsia="Cambria" w:hAnsi="Cambria" w:cs="Cambria"/>
                <w:lang w:val="hr-HR"/>
              </w:rPr>
              <w:t>Uputama</w:t>
            </w:r>
            <w:r w:rsidRPr="00DF4CE5">
              <w:rPr>
                <w:rFonts w:ascii="Cambria" w:eastAsia="Cambria" w:hAnsi="Cambria" w:cs="Cambria"/>
                <w:spacing w:val="1"/>
                <w:lang w:val="hr-HR"/>
              </w:rPr>
              <w:t xml:space="preserve"> </w:t>
            </w:r>
            <w:r w:rsidRPr="00DF4CE5">
              <w:rPr>
                <w:rFonts w:ascii="Cambria" w:eastAsia="Cambria" w:hAnsi="Cambria" w:cs="Cambria"/>
                <w:lang w:val="hr-HR"/>
              </w:rPr>
              <w:t>za</w:t>
            </w:r>
            <w:r w:rsidRPr="00DF4CE5">
              <w:rPr>
                <w:rFonts w:ascii="Cambria" w:eastAsia="Cambria" w:hAnsi="Cambria" w:cs="Cambria"/>
                <w:spacing w:val="1"/>
                <w:lang w:val="hr-HR"/>
              </w:rPr>
              <w:t xml:space="preserve"> </w:t>
            </w:r>
            <w:r w:rsidRPr="00DF4CE5">
              <w:rPr>
                <w:rFonts w:ascii="Cambria" w:eastAsia="Cambria" w:hAnsi="Cambria" w:cs="Cambria"/>
                <w:lang w:val="hr-HR"/>
              </w:rPr>
              <w:t>vođenje</w:t>
            </w:r>
            <w:r w:rsidRPr="00DF4CE5">
              <w:rPr>
                <w:rFonts w:ascii="Cambria" w:eastAsia="Cambria" w:hAnsi="Cambria" w:cs="Cambria"/>
                <w:spacing w:val="-1"/>
                <w:lang w:val="hr-HR"/>
              </w:rPr>
              <w:t xml:space="preserve"> </w:t>
            </w:r>
            <w:r w:rsidRPr="00DF4CE5">
              <w:rPr>
                <w:rFonts w:ascii="Cambria" w:eastAsia="Cambria" w:hAnsi="Cambria" w:cs="Cambria"/>
                <w:lang w:val="hr-HR"/>
              </w:rPr>
              <w:t>Dnevnika)</w:t>
            </w:r>
          </w:p>
          <w:p w14:paraId="4CA79204" w14:textId="77777777" w:rsidR="003415F8" w:rsidRPr="00DF4CE5" w:rsidRDefault="003415F8" w:rsidP="00A034E3">
            <w:pPr>
              <w:widowControl w:val="0"/>
              <w:numPr>
                <w:ilvl w:val="0"/>
                <w:numId w:val="87"/>
              </w:numPr>
              <w:autoSpaceDE w:val="0"/>
              <w:autoSpaceDN w:val="0"/>
              <w:spacing w:after="0" w:line="240" w:lineRule="auto"/>
              <w:rPr>
                <w:rFonts w:ascii="Cambria" w:eastAsia="Cambria" w:hAnsi="Cambria" w:cs="Cambria"/>
                <w:lang w:val="hr-HR"/>
              </w:rPr>
            </w:pPr>
            <w:r w:rsidRPr="00DF4CE5">
              <w:rPr>
                <w:rFonts w:ascii="Cambria" w:eastAsia="Cambria" w:hAnsi="Cambria" w:cs="Cambria"/>
                <w:lang w:val="hr-HR"/>
              </w:rPr>
              <w:t>predati Dnevnik stručne prakse, Potvrdnicu o obavljenoj</w:t>
            </w:r>
            <w:r w:rsidRPr="00DF4CE5">
              <w:rPr>
                <w:rFonts w:ascii="Cambria" w:eastAsia="Cambria" w:hAnsi="Cambria" w:cs="Cambria"/>
                <w:spacing w:val="1"/>
                <w:lang w:val="hr-HR"/>
              </w:rPr>
              <w:t xml:space="preserve"> </w:t>
            </w:r>
            <w:r w:rsidRPr="00DF4CE5">
              <w:rPr>
                <w:rFonts w:ascii="Cambria" w:eastAsia="Cambria" w:hAnsi="Cambria" w:cs="Cambria"/>
                <w:lang w:val="hr-HR"/>
              </w:rPr>
              <w:t xml:space="preserve">stručnoj praksi i </w:t>
            </w:r>
            <w:r w:rsidRPr="00DF4CE5">
              <w:rPr>
                <w:rFonts w:ascii="Cambria" w:eastAsia="Cambria" w:hAnsi="Cambria" w:cs="Arial"/>
                <w:color w:val="000000"/>
                <w:lang w:val="hr-HR"/>
              </w:rPr>
              <w:t xml:space="preserve">Mišljenje mentora o radu studenta/studentice na stručno pedagoškoj praksi </w:t>
            </w:r>
            <w:r w:rsidRPr="00DF4CE5">
              <w:rPr>
                <w:rFonts w:ascii="Cambria" w:eastAsia="Cambria" w:hAnsi="Cambria" w:cs="Cambria"/>
                <w:lang w:val="hr-HR"/>
              </w:rPr>
              <w:t>na potpis i ovjeru ravnatelju/ravnateljici škole i</w:t>
            </w:r>
            <w:r w:rsidRPr="00DF4CE5">
              <w:rPr>
                <w:rFonts w:ascii="Cambria" w:eastAsia="Cambria" w:hAnsi="Cambria" w:cs="Cambria"/>
                <w:spacing w:val="-46"/>
                <w:lang w:val="hr-HR"/>
              </w:rPr>
              <w:t xml:space="preserve">     </w:t>
            </w:r>
            <w:r w:rsidRPr="00DF4CE5">
              <w:rPr>
                <w:rFonts w:ascii="Cambria" w:eastAsia="Cambria" w:hAnsi="Cambria" w:cs="Cambria"/>
                <w:lang w:val="hr-HR"/>
              </w:rPr>
              <w:t>mentoru/mentorici, koji/koja daje stručno mišljenje o</w:t>
            </w:r>
            <w:r w:rsidRPr="00DF4CE5">
              <w:rPr>
                <w:rFonts w:ascii="Cambria" w:eastAsia="Cambria" w:hAnsi="Cambria" w:cs="Cambria"/>
                <w:spacing w:val="1"/>
                <w:lang w:val="hr-HR"/>
              </w:rPr>
              <w:t xml:space="preserve"> </w:t>
            </w:r>
            <w:r w:rsidRPr="00DF4CE5">
              <w:rPr>
                <w:rFonts w:ascii="Cambria" w:eastAsia="Cambria" w:hAnsi="Cambria" w:cs="Cambria"/>
                <w:lang w:val="hr-HR"/>
              </w:rPr>
              <w:t>provedenim aktivnostima</w:t>
            </w:r>
          </w:p>
          <w:p w14:paraId="539980AA" w14:textId="77777777" w:rsidR="003415F8" w:rsidRPr="00DF4CE5" w:rsidRDefault="003415F8" w:rsidP="00A034E3">
            <w:pPr>
              <w:widowControl w:val="0"/>
              <w:numPr>
                <w:ilvl w:val="0"/>
                <w:numId w:val="87"/>
              </w:numPr>
              <w:tabs>
                <w:tab w:val="left" w:pos="504"/>
              </w:tabs>
              <w:autoSpaceDE w:val="0"/>
              <w:autoSpaceDN w:val="0"/>
              <w:spacing w:after="0" w:line="240" w:lineRule="auto"/>
              <w:ind w:right="123"/>
              <w:rPr>
                <w:rFonts w:ascii="Cambria" w:eastAsia="Cambria" w:hAnsi="Cambria" w:cs="Cambria"/>
                <w:lang w:val="hr-HR"/>
              </w:rPr>
            </w:pPr>
            <w:r w:rsidRPr="00DF4CE5">
              <w:rPr>
                <w:rFonts w:ascii="Cambria" w:eastAsia="Cambria" w:hAnsi="Cambria" w:cs="Cambria"/>
                <w:lang w:val="hr-HR"/>
              </w:rPr>
              <w:t>predati</w:t>
            </w:r>
            <w:r w:rsidRPr="00DF4CE5">
              <w:rPr>
                <w:rFonts w:ascii="Cambria" w:eastAsia="Cambria" w:hAnsi="Cambria" w:cs="Cambria"/>
                <w:spacing w:val="1"/>
                <w:lang w:val="hr-HR"/>
              </w:rPr>
              <w:t xml:space="preserve"> </w:t>
            </w:r>
            <w:r w:rsidRPr="00DF4CE5">
              <w:rPr>
                <w:rFonts w:ascii="Cambria" w:eastAsia="Cambria" w:hAnsi="Cambria" w:cs="Cambria"/>
                <w:lang w:val="hr-HR"/>
              </w:rPr>
              <w:t>ovjerene</w:t>
            </w:r>
            <w:r w:rsidRPr="00DF4CE5">
              <w:rPr>
                <w:rFonts w:ascii="Cambria" w:eastAsia="Cambria" w:hAnsi="Cambria" w:cs="Cambria"/>
                <w:spacing w:val="1"/>
                <w:lang w:val="hr-HR"/>
              </w:rPr>
              <w:t xml:space="preserve"> </w:t>
            </w:r>
            <w:r w:rsidRPr="00DF4CE5">
              <w:rPr>
                <w:rFonts w:ascii="Cambria" w:eastAsia="Cambria" w:hAnsi="Cambria" w:cs="Cambria"/>
                <w:lang w:val="hr-HR"/>
              </w:rPr>
              <w:t>i</w:t>
            </w:r>
            <w:r w:rsidRPr="00DF4CE5">
              <w:rPr>
                <w:rFonts w:ascii="Cambria" w:eastAsia="Cambria" w:hAnsi="Cambria" w:cs="Cambria"/>
                <w:spacing w:val="1"/>
                <w:lang w:val="hr-HR"/>
              </w:rPr>
              <w:t xml:space="preserve"> </w:t>
            </w:r>
            <w:r w:rsidRPr="00DF4CE5">
              <w:rPr>
                <w:rFonts w:ascii="Cambria" w:eastAsia="Cambria" w:hAnsi="Cambria" w:cs="Cambria"/>
                <w:lang w:val="hr-HR"/>
              </w:rPr>
              <w:t>potpisane</w:t>
            </w:r>
            <w:r w:rsidRPr="00DF4CE5">
              <w:rPr>
                <w:rFonts w:ascii="Cambria" w:eastAsia="Cambria" w:hAnsi="Cambria" w:cs="Cambria"/>
                <w:spacing w:val="1"/>
                <w:lang w:val="hr-HR"/>
              </w:rPr>
              <w:t xml:space="preserve"> </w:t>
            </w:r>
            <w:r w:rsidRPr="00DF4CE5">
              <w:rPr>
                <w:rFonts w:ascii="Cambria" w:eastAsia="Cambria" w:hAnsi="Cambria" w:cs="Cambria"/>
                <w:lang w:val="hr-HR"/>
              </w:rPr>
              <w:t>dokumente</w:t>
            </w:r>
            <w:r w:rsidRPr="00DF4CE5">
              <w:rPr>
                <w:rFonts w:ascii="Cambria" w:eastAsia="Cambria" w:hAnsi="Cambria" w:cs="Cambria"/>
                <w:spacing w:val="1"/>
                <w:lang w:val="hr-HR"/>
              </w:rPr>
              <w:t xml:space="preserve"> </w:t>
            </w:r>
            <w:r w:rsidRPr="00DF4CE5">
              <w:rPr>
                <w:rFonts w:ascii="Cambria" w:eastAsia="Cambria" w:hAnsi="Cambria" w:cs="Cambria"/>
                <w:lang w:val="hr-HR"/>
              </w:rPr>
              <w:t>iz</w:t>
            </w:r>
            <w:r w:rsidRPr="00DF4CE5">
              <w:rPr>
                <w:rFonts w:ascii="Cambria" w:eastAsia="Cambria" w:hAnsi="Cambria" w:cs="Cambria"/>
                <w:spacing w:val="1"/>
                <w:lang w:val="hr-HR"/>
              </w:rPr>
              <w:t xml:space="preserve"> </w:t>
            </w:r>
            <w:r w:rsidRPr="00DF4CE5">
              <w:rPr>
                <w:rFonts w:ascii="Cambria" w:eastAsia="Cambria" w:hAnsi="Cambria" w:cs="Cambria"/>
                <w:lang w:val="hr-HR"/>
              </w:rPr>
              <w:t>prethodnog</w:t>
            </w:r>
            <w:r w:rsidRPr="00DF4CE5">
              <w:rPr>
                <w:rFonts w:ascii="Cambria" w:eastAsia="Cambria" w:hAnsi="Cambria" w:cs="Cambria"/>
                <w:spacing w:val="1"/>
                <w:lang w:val="hr-HR"/>
              </w:rPr>
              <w:t xml:space="preserve"> </w:t>
            </w:r>
            <w:r w:rsidRPr="00DF4CE5">
              <w:rPr>
                <w:rFonts w:ascii="Cambria" w:eastAsia="Cambria" w:hAnsi="Cambria" w:cs="Cambria"/>
                <w:lang w:val="hr-HR"/>
              </w:rPr>
              <w:t>stavka voditeljici stručne prakse na Fakultetu, najkasnije 15</w:t>
            </w:r>
            <w:r w:rsidRPr="00DF4CE5">
              <w:rPr>
                <w:rFonts w:ascii="Cambria" w:eastAsia="Cambria" w:hAnsi="Cambria" w:cs="Cambria"/>
                <w:spacing w:val="1"/>
                <w:lang w:val="hr-HR"/>
              </w:rPr>
              <w:t xml:space="preserve"> </w:t>
            </w:r>
            <w:r w:rsidRPr="00DF4CE5">
              <w:rPr>
                <w:rFonts w:ascii="Cambria" w:eastAsia="Cambria" w:hAnsi="Cambria" w:cs="Cambria"/>
                <w:lang w:val="hr-HR"/>
              </w:rPr>
              <w:t>dana</w:t>
            </w:r>
            <w:r w:rsidRPr="00DF4CE5">
              <w:rPr>
                <w:rFonts w:ascii="Cambria" w:eastAsia="Cambria" w:hAnsi="Cambria" w:cs="Cambria"/>
                <w:spacing w:val="-2"/>
                <w:lang w:val="hr-HR"/>
              </w:rPr>
              <w:t xml:space="preserve"> </w:t>
            </w:r>
            <w:r w:rsidRPr="00DF4CE5">
              <w:rPr>
                <w:rFonts w:ascii="Cambria" w:eastAsia="Cambria" w:hAnsi="Cambria" w:cs="Cambria"/>
                <w:lang w:val="hr-HR"/>
              </w:rPr>
              <w:t>prije ispitnog</w:t>
            </w:r>
            <w:r w:rsidRPr="00DF4CE5">
              <w:rPr>
                <w:rFonts w:ascii="Cambria" w:eastAsia="Cambria" w:hAnsi="Cambria" w:cs="Cambria"/>
                <w:spacing w:val="-1"/>
                <w:lang w:val="hr-HR"/>
              </w:rPr>
              <w:t xml:space="preserve"> </w:t>
            </w:r>
            <w:r w:rsidRPr="00DF4CE5">
              <w:rPr>
                <w:rFonts w:ascii="Cambria" w:eastAsia="Cambria" w:hAnsi="Cambria" w:cs="Cambria"/>
                <w:lang w:val="hr-HR"/>
              </w:rPr>
              <w:t>roka.</w:t>
            </w:r>
          </w:p>
        </w:tc>
      </w:tr>
      <w:tr w:rsidR="003415F8" w:rsidRPr="00D0399C" w14:paraId="2332A189" w14:textId="77777777" w:rsidTr="00587D5D">
        <w:trPr>
          <w:trHeight w:val="705"/>
        </w:trPr>
        <w:tc>
          <w:tcPr>
            <w:tcW w:w="2477" w:type="dxa"/>
            <w:shd w:val="clear" w:color="auto" w:fill="F3F3F3"/>
          </w:tcPr>
          <w:p w14:paraId="1F2DE8D8" w14:textId="77777777" w:rsidR="003415F8" w:rsidRPr="00DF4CE5" w:rsidRDefault="003415F8" w:rsidP="00587D5D">
            <w:pPr>
              <w:widowControl w:val="0"/>
              <w:autoSpaceDE w:val="0"/>
              <w:autoSpaceDN w:val="0"/>
              <w:spacing w:after="0" w:line="240" w:lineRule="auto"/>
              <w:ind w:left="143"/>
              <w:rPr>
                <w:rFonts w:ascii="Cambria" w:eastAsia="Cambria" w:hAnsi="Cambria" w:cs="Cambria"/>
                <w:lang w:val="hr-HR"/>
              </w:rPr>
            </w:pPr>
            <w:r w:rsidRPr="00DF4CE5">
              <w:rPr>
                <w:rFonts w:ascii="Cambria" w:eastAsia="Cambria" w:hAnsi="Cambria" w:cs="Cambria"/>
                <w:lang w:val="hr-HR"/>
              </w:rPr>
              <w:t>Rokovi</w:t>
            </w:r>
            <w:r w:rsidRPr="00DF4CE5">
              <w:rPr>
                <w:rFonts w:ascii="Cambria" w:eastAsia="Cambria" w:hAnsi="Cambria" w:cs="Cambria"/>
                <w:spacing w:val="-3"/>
                <w:lang w:val="hr-HR"/>
              </w:rPr>
              <w:t xml:space="preserve"> </w:t>
            </w:r>
            <w:r w:rsidRPr="00DF4CE5">
              <w:rPr>
                <w:rFonts w:ascii="Cambria" w:eastAsia="Cambria" w:hAnsi="Cambria" w:cs="Cambria"/>
                <w:lang w:val="hr-HR"/>
              </w:rPr>
              <w:t>ispita</w:t>
            </w:r>
          </w:p>
        </w:tc>
        <w:tc>
          <w:tcPr>
            <w:tcW w:w="6866" w:type="dxa"/>
            <w:gridSpan w:val="6"/>
          </w:tcPr>
          <w:p w14:paraId="3F4A5F31" w14:textId="77777777" w:rsidR="003415F8" w:rsidRPr="00DF4CE5" w:rsidRDefault="003415F8" w:rsidP="00587D5D">
            <w:pPr>
              <w:widowControl w:val="0"/>
              <w:autoSpaceDE w:val="0"/>
              <w:autoSpaceDN w:val="0"/>
              <w:spacing w:after="0" w:line="240" w:lineRule="auto"/>
              <w:ind w:left="143"/>
              <w:rPr>
                <w:rFonts w:ascii="Cambria" w:eastAsia="Cambria" w:hAnsi="Cambria" w:cs="Cambria"/>
                <w:lang w:val="hr-HR"/>
              </w:rPr>
            </w:pPr>
            <w:r w:rsidRPr="00DF4CE5">
              <w:rPr>
                <w:rFonts w:ascii="Cambria" w:eastAsia="Cambria" w:hAnsi="Cambria" w:cs="Cambria"/>
                <w:lang w:val="hr-HR"/>
              </w:rPr>
              <w:t>Rokovi</w:t>
            </w:r>
            <w:r w:rsidRPr="00DF4CE5">
              <w:rPr>
                <w:rFonts w:ascii="Cambria" w:eastAsia="Cambria" w:hAnsi="Cambria" w:cs="Cambria"/>
                <w:spacing w:val="1"/>
                <w:lang w:val="hr-HR"/>
              </w:rPr>
              <w:t xml:space="preserve"> </w:t>
            </w:r>
            <w:r w:rsidRPr="00DF4CE5">
              <w:rPr>
                <w:rFonts w:ascii="Cambria" w:eastAsia="Cambria" w:hAnsi="Cambria" w:cs="Cambria"/>
                <w:lang w:val="hr-HR"/>
              </w:rPr>
              <w:t>ispita</w:t>
            </w:r>
            <w:r w:rsidRPr="00DF4CE5">
              <w:rPr>
                <w:rFonts w:ascii="Cambria" w:eastAsia="Cambria" w:hAnsi="Cambria" w:cs="Cambria"/>
                <w:spacing w:val="1"/>
                <w:lang w:val="hr-HR"/>
              </w:rPr>
              <w:t xml:space="preserve"> </w:t>
            </w:r>
            <w:r w:rsidRPr="00DF4CE5">
              <w:rPr>
                <w:rFonts w:ascii="Cambria" w:eastAsia="Cambria" w:hAnsi="Cambria" w:cs="Cambria"/>
                <w:lang w:val="hr-HR"/>
              </w:rPr>
              <w:t>se</w:t>
            </w:r>
            <w:r w:rsidRPr="00DF4CE5">
              <w:rPr>
                <w:rFonts w:ascii="Cambria" w:eastAsia="Cambria" w:hAnsi="Cambria" w:cs="Cambria"/>
                <w:spacing w:val="1"/>
                <w:lang w:val="hr-HR"/>
              </w:rPr>
              <w:t xml:space="preserve"> </w:t>
            </w:r>
            <w:r w:rsidRPr="00DF4CE5">
              <w:rPr>
                <w:rFonts w:ascii="Cambria" w:eastAsia="Cambria" w:hAnsi="Cambria" w:cs="Cambria"/>
                <w:lang w:val="hr-HR"/>
              </w:rPr>
              <w:t>objavljuju</w:t>
            </w:r>
            <w:r w:rsidRPr="00DF4CE5">
              <w:rPr>
                <w:rFonts w:ascii="Cambria" w:eastAsia="Cambria" w:hAnsi="Cambria" w:cs="Cambria"/>
                <w:spacing w:val="1"/>
                <w:lang w:val="hr-HR"/>
              </w:rPr>
              <w:t xml:space="preserve"> </w:t>
            </w:r>
            <w:r w:rsidRPr="00DF4CE5">
              <w:rPr>
                <w:rFonts w:ascii="Cambria" w:eastAsia="Cambria" w:hAnsi="Cambria" w:cs="Cambria"/>
                <w:lang w:val="hr-HR"/>
              </w:rPr>
              <w:t>na</w:t>
            </w:r>
            <w:r w:rsidRPr="00DF4CE5">
              <w:rPr>
                <w:rFonts w:ascii="Cambria" w:eastAsia="Cambria" w:hAnsi="Cambria" w:cs="Cambria"/>
                <w:spacing w:val="1"/>
                <w:lang w:val="hr-HR"/>
              </w:rPr>
              <w:t xml:space="preserve"> </w:t>
            </w:r>
            <w:r w:rsidRPr="00DF4CE5">
              <w:rPr>
                <w:rFonts w:ascii="Cambria" w:eastAsia="Cambria" w:hAnsi="Cambria" w:cs="Cambria"/>
                <w:lang w:val="hr-HR"/>
              </w:rPr>
              <w:t>početku</w:t>
            </w:r>
            <w:r w:rsidRPr="00DF4CE5">
              <w:rPr>
                <w:rFonts w:ascii="Cambria" w:eastAsia="Cambria" w:hAnsi="Cambria" w:cs="Cambria"/>
                <w:spacing w:val="1"/>
                <w:lang w:val="hr-HR"/>
              </w:rPr>
              <w:t xml:space="preserve"> </w:t>
            </w:r>
            <w:r w:rsidRPr="00DF4CE5">
              <w:rPr>
                <w:rFonts w:ascii="Cambria" w:eastAsia="Cambria" w:hAnsi="Cambria" w:cs="Cambria"/>
                <w:lang w:val="hr-HR"/>
              </w:rPr>
              <w:t>akademske</w:t>
            </w:r>
            <w:r w:rsidRPr="00DF4CE5">
              <w:rPr>
                <w:rFonts w:ascii="Cambria" w:eastAsia="Cambria" w:hAnsi="Cambria" w:cs="Cambria"/>
                <w:spacing w:val="1"/>
                <w:lang w:val="hr-HR"/>
              </w:rPr>
              <w:t xml:space="preserve"> </w:t>
            </w:r>
            <w:r w:rsidRPr="00DF4CE5">
              <w:rPr>
                <w:rFonts w:ascii="Cambria" w:eastAsia="Cambria" w:hAnsi="Cambria" w:cs="Cambria"/>
                <w:lang w:val="hr-HR"/>
              </w:rPr>
              <w:t>godine</w:t>
            </w:r>
            <w:r w:rsidRPr="00DF4CE5">
              <w:rPr>
                <w:rFonts w:ascii="Cambria" w:eastAsia="Cambria" w:hAnsi="Cambria" w:cs="Cambria"/>
                <w:spacing w:val="1"/>
                <w:lang w:val="hr-HR"/>
              </w:rPr>
              <w:t xml:space="preserve"> </w:t>
            </w:r>
            <w:r w:rsidRPr="00DF4CE5">
              <w:rPr>
                <w:rFonts w:ascii="Cambria" w:eastAsia="Cambria" w:hAnsi="Cambria" w:cs="Cambria"/>
                <w:lang w:val="hr-HR"/>
              </w:rPr>
              <w:t>na</w:t>
            </w:r>
            <w:r w:rsidRPr="00DF4CE5">
              <w:rPr>
                <w:rFonts w:ascii="Cambria" w:eastAsia="Cambria" w:hAnsi="Cambria" w:cs="Cambria"/>
                <w:spacing w:val="-50"/>
                <w:lang w:val="hr-HR"/>
              </w:rPr>
              <w:t xml:space="preserve"> </w:t>
            </w:r>
            <w:r w:rsidRPr="00DF4CE5">
              <w:rPr>
                <w:rFonts w:ascii="Cambria" w:eastAsia="Cambria" w:hAnsi="Cambria" w:cs="Cambria"/>
                <w:lang w:val="hr-HR"/>
              </w:rPr>
              <w:t>mrežnim</w:t>
            </w:r>
            <w:r w:rsidRPr="00DF4CE5">
              <w:rPr>
                <w:rFonts w:ascii="Cambria" w:eastAsia="Cambria" w:hAnsi="Cambria" w:cs="Cambria"/>
                <w:spacing w:val="-2"/>
                <w:lang w:val="hr-HR"/>
              </w:rPr>
              <w:t xml:space="preserve"> </w:t>
            </w:r>
            <w:r w:rsidRPr="00DF4CE5">
              <w:rPr>
                <w:rFonts w:ascii="Cambria" w:eastAsia="Cambria" w:hAnsi="Cambria" w:cs="Cambria"/>
                <w:lang w:val="hr-HR"/>
              </w:rPr>
              <w:t>stranicama Sveučilišta</w:t>
            </w:r>
            <w:r w:rsidRPr="00DF4CE5">
              <w:rPr>
                <w:rFonts w:ascii="Cambria" w:eastAsia="Cambria" w:hAnsi="Cambria" w:cs="Cambria"/>
                <w:spacing w:val="-2"/>
                <w:lang w:val="hr-HR"/>
              </w:rPr>
              <w:t xml:space="preserve"> </w:t>
            </w:r>
            <w:r w:rsidRPr="00DF4CE5">
              <w:rPr>
                <w:rFonts w:ascii="Cambria" w:eastAsia="Cambria" w:hAnsi="Cambria" w:cs="Cambria"/>
                <w:lang w:val="hr-HR"/>
              </w:rPr>
              <w:t>i u</w:t>
            </w:r>
            <w:r w:rsidRPr="00DF4CE5">
              <w:rPr>
                <w:rFonts w:ascii="Cambria" w:eastAsia="Cambria" w:hAnsi="Cambria" w:cs="Cambria"/>
                <w:spacing w:val="-1"/>
                <w:lang w:val="hr-HR"/>
              </w:rPr>
              <w:t xml:space="preserve"> </w:t>
            </w:r>
            <w:r w:rsidRPr="00DF4CE5">
              <w:rPr>
                <w:rFonts w:ascii="Cambria" w:eastAsia="Cambria" w:hAnsi="Cambria" w:cs="Cambria"/>
                <w:lang w:val="hr-HR"/>
              </w:rPr>
              <w:t>ISVU</w:t>
            </w:r>
            <w:r w:rsidRPr="00DF4CE5">
              <w:rPr>
                <w:rFonts w:ascii="Cambria" w:eastAsia="Cambria" w:hAnsi="Cambria" w:cs="Cambria"/>
                <w:spacing w:val="-2"/>
                <w:lang w:val="hr-HR"/>
              </w:rPr>
              <w:t xml:space="preserve"> </w:t>
            </w:r>
            <w:r w:rsidRPr="00DF4CE5">
              <w:rPr>
                <w:rFonts w:ascii="Cambria" w:eastAsia="Cambria" w:hAnsi="Cambria" w:cs="Cambria"/>
                <w:lang w:val="hr-HR"/>
              </w:rPr>
              <w:t>sustavu.</w:t>
            </w:r>
          </w:p>
        </w:tc>
      </w:tr>
      <w:tr w:rsidR="003415F8" w:rsidRPr="00DF4CE5" w14:paraId="6E48356C" w14:textId="77777777" w:rsidTr="00587D5D">
        <w:trPr>
          <w:trHeight w:val="406"/>
        </w:trPr>
        <w:tc>
          <w:tcPr>
            <w:tcW w:w="2477" w:type="dxa"/>
            <w:shd w:val="clear" w:color="auto" w:fill="F3F3F3"/>
          </w:tcPr>
          <w:p w14:paraId="686BCA3A" w14:textId="77777777" w:rsidR="003415F8" w:rsidRPr="00DF4CE5" w:rsidRDefault="003415F8" w:rsidP="00587D5D">
            <w:pPr>
              <w:widowControl w:val="0"/>
              <w:autoSpaceDE w:val="0"/>
              <w:autoSpaceDN w:val="0"/>
              <w:spacing w:after="0" w:line="240" w:lineRule="auto"/>
              <w:rPr>
                <w:rFonts w:ascii="Cambria" w:eastAsia="Cambria" w:hAnsi="Cambria" w:cs="Cambria"/>
                <w:lang w:val="hr-HR"/>
              </w:rPr>
            </w:pPr>
          </w:p>
          <w:p w14:paraId="0A39FB86" w14:textId="77777777" w:rsidR="003415F8" w:rsidRPr="00DF4CE5" w:rsidRDefault="003415F8" w:rsidP="00587D5D">
            <w:pPr>
              <w:widowControl w:val="0"/>
              <w:tabs>
                <w:tab w:val="left" w:pos="1733"/>
              </w:tabs>
              <w:autoSpaceDE w:val="0"/>
              <w:autoSpaceDN w:val="0"/>
              <w:spacing w:after="0" w:line="240" w:lineRule="auto"/>
              <w:ind w:left="143" w:right="121"/>
              <w:rPr>
                <w:rFonts w:ascii="Cambria" w:eastAsia="Cambria" w:hAnsi="Cambria" w:cs="Cambria"/>
                <w:lang w:val="hr-HR"/>
              </w:rPr>
            </w:pPr>
            <w:r w:rsidRPr="00DF4CE5">
              <w:rPr>
                <w:rFonts w:ascii="Cambria" w:eastAsia="Cambria" w:hAnsi="Cambria" w:cs="Cambria"/>
                <w:lang w:val="hr-HR"/>
              </w:rPr>
              <w:t xml:space="preserve">Ostale </w:t>
            </w:r>
            <w:r w:rsidRPr="00DF4CE5">
              <w:rPr>
                <w:rFonts w:ascii="Cambria" w:eastAsia="Cambria" w:hAnsi="Cambria" w:cs="Cambria"/>
                <w:spacing w:val="-1"/>
                <w:lang w:val="hr-HR"/>
              </w:rPr>
              <w:t>važne</w:t>
            </w:r>
            <w:r w:rsidRPr="00DF4CE5">
              <w:rPr>
                <w:rFonts w:ascii="Cambria" w:eastAsia="Cambria" w:hAnsi="Cambria" w:cs="Cambria"/>
                <w:spacing w:val="-51"/>
                <w:lang w:val="hr-HR"/>
              </w:rPr>
              <w:t xml:space="preserve"> </w:t>
            </w:r>
            <w:r w:rsidRPr="00DF4CE5">
              <w:rPr>
                <w:rFonts w:ascii="Cambria" w:eastAsia="Cambria" w:hAnsi="Cambria" w:cs="Cambria"/>
                <w:lang w:val="hr-HR"/>
              </w:rPr>
              <w:t>činjenice</w:t>
            </w:r>
            <w:r w:rsidRPr="00DF4CE5">
              <w:rPr>
                <w:rFonts w:ascii="Cambria" w:eastAsia="Cambria" w:hAnsi="Cambria" w:cs="Cambria"/>
                <w:spacing w:val="1"/>
                <w:lang w:val="hr-HR"/>
              </w:rPr>
              <w:t xml:space="preserve"> </w:t>
            </w:r>
            <w:r w:rsidRPr="00DF4CE5">
              <w:rPr>
                <w:rFonts w:ascii="Cambria" w:eastAsia="Cambria" w:hAnsi="Cambria" w:cs="Cambria"/>
                <w:lang w:val="hr-HR"/>
              </w:rPr>
              <w:t>vezane</w:t>
            </w:r>
            <w:r w:rsidRPr="00DF4CE5">
              <w:rPr>
                <w:rFonts w:ascii="Cambria" w:eastAsia="Cambria" w:hAnsi="Cambria" w:cs="Cambria"/>
                <w:spacing w:val="1"/>
                <w:lang w:val="hr-HR"/>
              </w:rPr>
              <w:t xml:space="preserve"> </w:t>
            </w:r>
            <w:r w:rsidRPr="00DF4CE5">
              <w:rPr>
                <w:rFonts w:ascii="Cambria" w:eastAsia="Cambria" w:hAnsi="Cambria" w:cs="Cambria"/>
                <w:lang w:val="hr-HR"/>
              </w:rPr>
              <w:t>uz</w:t>
            </w:r>
            <w:r w:rsidRPr="00DF4CE5">
              <w:rPr>
                <w:rFonts w:ascii="Cambria" w:eastAsia="Cambria" w:hAnsi="Cambria" w:cs="Cambria"/>
                <w:spacing w:val="-50"/>
                <w:lang w:val="hr-HR"/>
              </w:rPr>
              <w:t xml:space="preserve"> </w:t>
            </w:r>
            <w:r w:rsidRPr="00DF4CE5">
              <w:rPr>
                <w:rFonts w:ascii="Cambria" w:eastAsia="Cambria" w:hAnsi="Cambria" w:cs="Cambria"/>
                <w:lang w:val="hr-HR"/>
              </w:rPr>
              <w:t>kolegij</w:t>
            </w:r>
          </w:p>
        </w:tc>
        <w:tc>
          <w:tcPr>
            <w:tcW w:w="6866" w:type="dxa"/>
            <w:gridSpan w:val="6"/>
          </w:tcPr>
          <w:p w14:paraId="6D72FF18" w14:textId="77777777" w:rsidR="003415F8" w:rsidRPr="00DF4CE5" w:rsidRDefault="003415F8" w:rsidP="00587D5D">
            <w:pPr>
              <w:widowControl w:val="0"/>
              <w:autoSpaceDE w:val="0"/>
              <w:autoSpaceDN w:val="0"/>
              <w:spacing w:after="0" w:line="240" w:lineRule="auto"/>
              <w:ind w:left="206" w:right="116"/>
              <w:rPr>
                <w:rFonts w:ascii="Cambria" w:eastAsia="Cambria" w:hAnsi="Cambria" w:cs="Cambria"/>
                <w:lang w:val="hr-HR"/>
              </w:rPr>
            </w:pPr>
            <w:r w:rsidRPr="00DF4CE5">
              <w:rPr>
                <w:rFonts w:ascii="Cambria" w:eastAsia="Cambria" w:hAnsi="Cambria" w:cs="Cambria"/>
                <w:lang w:val="hr-HR"/>
              </w:rPr>
              <w:t>Materijali i upute potrebne za stručnu praksu objavljuju se na</w:t>
            </w:r>
            <w:r w:rsidRPr="00DF4CE5">
              <w:rPr>
                <w:rFonts w:ascii="Cambria" w:eastAsia="Cambria" w:hAnsi="Cambria" w:cs="Cambria"/>
                <w:spacing w:val="1"/>
                <w:lang w:val="hr-HR"/>
              </w:rPr>
              <w:t xml:space="preserve"> </w:t>
            </w:r>
            <w:r w:rsidRPr="00DF4CE5">
              <w:rPr>
                <w:rFonts w:ascii="Cambria" w:eastAsia="Cambria" w:hAnsi="Cambria" w:cs="Cambria"/>
                <w:lang w:val="hr-HR"/>
              </w:rPr>
              <w:t>portalu za e-učenje istoimenoga kolegija. Studenti/</w:t>
            </w:r>
            <w:proofErr w:type="spellStart"/>
            <w:r w:rsidRPr="00DF4CE5">
              <w:rPr>
                <w:rFonts w:ascii="Cambria" w:eastAsia="Cambria" w:hAnsi="Cambria" w:cs="Cambria"/>
                <w:lang w:val="hr-HR"/>
              </w:rPr>
              <w:t>ce</w:t>
            </w:r>
            <w:proofErr w:type="spellEnd"/>
            <w:r w:rsidRPr="00DF4CE5">
              <w:rPr>
                <w:rFonts w:ascii="Cambria" w:eastAsia="Cambria" w:hAnsi="Cambria" w:cs="Cambria"/>
                <w:lang w:val="hr-HR"/>
              </w:rPr>
              <w:t xml:space="preserve"> su dužni</w:t>
            </w:r>
            <w:r w:rsidRPr="00DF4CE5">
              <w:rPr>
                <w:rFonts w:ascii="Cambria" w:eastAsia="Cambria" w:hAnsi="Cambria" w:cs="Cambria"/>
                <w:spacing w:val="1"/>
                <w:lang w:val="hr-HR"/>
              </w:rPr>
              <w:t xml:space="preserve"> </w:t>
            </w:r>
            <w:r w:rsidRPr="00DF4CE5">
              <w:rPr>
                <w:rFonts w:ascii="Cambria" w:eastAsia="Cambria" w:hAnsi="Cambria" w:cs="Cambria"/>
                <w:lang w:val="hr-HR"/>
              </w:rPr>
              <w:t>pratiti</w:t>
            </w:r>
            <w:r w:rsidRPr="00DF4CE5">
              <w:rPr>
                <w:rFonts w:ascii="Cambria" w:eastAsia="Cambria" w:hAnsi="Cambria" w:cs="Cambria"/>
                <w:spacing w:val="-4"/>
                <w:lang w:val="hr-HR"/>
              </w:rPr>
              <w:t xml:space="preserve"> </w:t>
            </w:r>
            <w:r w:rsidRPr="00DF4CE5">
              <w:rPr>
                <w:rFonts w:ascii="Cambria" w:eastAsia="Cambria" w:hAnsi="Cambria" w:cs="Cambria"/>
                <w:lang w:val="hr-HR"/>
              </w:rPr>
              <w:t>obavijesti</w:t>
            </w:r>
            <w:r w:rsidRPr="00DF4CE5">
              <w:rPr>
                <w:rFonts w:ascii="Cambria" w:eastAsia="Cambria" w:hAnsi="Cambria" w:cs="Cambria"/>
                <w:spacing w:val="-7"/>
                <w:lang w:val="hr-HR"/>
              </w:rPr>
              <w:t xml:space="preserve"> </w:t>
            </w:r>
            <w:r w:rsidRPr="00DF4CE5">
              <w:rPr>
                <w:rFonts w:ascii="Cambria" w:eastAsia="Cambria" w:hAnsi="Cambria" w:cs="Cambria"/>
                <w:lang w:val="hr-HR"/>
              </w:rPr>
              <w:t>koje</w:t>
            </w:r>
            <w:r w:rsidRPr="00DF4CE5">
              <w:rPr>
                <w:rFonts w:ascii="Cambria" w:eastAsia="Cambria" w:hAnsi="Cambria" w:cs="Cambria"/>
                <w:spacing w:val="-4"/>
                <w:lang w:val="hr-HR"/>
              </w:rPr>
              <w:t xml:space="preserve"> </w:t>
            </w:r>
            <w:r w:rsidRPr="00DF4CE5">
              <w:rPr>
                <w:rFonts w:ascii="Cambria" w:eastAsia="Cambria" w:hAnsi="Cambria" w:cs="Cambria"/>
                <w:lang w:val="hr-HR"/>
              </w:rPr>
              <w:t>će</w:t>
            </w:r>
            <w:r w:rsidRPr="00DF4CE5">
              <w:rPr>
                <w:rFonts w:ascii="Cambria" w:eastAsia="Cambria" w:hAnsi="Cambria" w:cs="Cambria"/>
                <w:spacing w:val="-7"/>
                <w:lang w:val="hr-HR"/>
              </w:rPr>
              <w:t xml:space="preserve"> </w:t>
            </w:r>
            <w:r w:rsidRPr="00DF4CE5">
              <w:rPr>
                <w:rFonts w:ascii="Cambria" w:eastAsia="Cambria" w:hAnsi="Cambria" w:cs="Cambria"/>
                <w:lang w:val="hr-HR"/>
              </w:rPr>
              <w:t>voditelj</w:t>
            </w:r>
            <w:r w:rsidRPr="00DF4CE5">
              <w:rPr>
                <w:rFonts w:ascii="Cambria" w:eastAsia="Cambria" w:hAnsi="Cambria" w:cs="Cambria"/>
                <w:spacing w:val="-4"/>
                <w:lang w:val="hr-HR"/>
              </w:rPr>
              <w:t xml:space="preserve"> </w:t>
            </w:r>
            <w:r w:rsidRPr="00DF4CE5">
              <w:rPr>
                <w:rFonts w:ascii="Cambria" w:eastAsia="Cambria" w:hAnsi="Cambria" w:cs="Cambria"/>
                <w:lang w:val="hr-HR"/>
              </w:rPr>
              <w:t>stručne</w:t>
            </w:r>
            <w:r w:rsidRPr="00DF4CE5">
              <w:rPr>
                <w:rFonts w:ascii="Cambria" w:eastAsia="Cambria" w:hAnsi="Cambria" w:cs="Cambria"/>
                <w:spacing w:val="-4"/>
                <w:lang w:val="hr-HR"/>
              </w:rPr>
              <w:t xml:space="preserve"> </w:t>
            </w:r>
            <w:r w:rsidRPr="00DF4CE5">
              <w:rPr>
                <w:rFonts w:ascii="Cambria" w:eastAsia="Cambria" w:hAnsi="Cambria" w:cs="Cambria"/>
                <w:lang w:val="hr-HR"/>
              </w:rPr>
              <w:t>prakse</w:t>
            </w:r>
            <w:r w:rsidRPr="00DF4CE5">
              <w:rPr>
                <w:rFonts w:ascii="Cambria" w:eastAsia="Cambria" w:hAnsi="Cambria" w:cs="Cambria"/>
                <w:spacing w:val="-7"/>
                <w:lang w:val="hr-HR"/>
              </w:rPr>
              <w:t xml:space="preserve"> </w:t>
            </w:r>
            <w:r w:rsidRPr="00DF4CE5">
              <w:rPr>
                <w:rFonts w:ascii="Cambria" w:eastAsia="Cambria" w:hAnsi="Cambria" w:cs="Cambria"/>
                <w:lang w:val="hr-HR"/>
              </w:rPr>
              <w:t>objavljivati</w:t>
            </w:r>
            <w:r w:rsidRPr="00DF4CE5">
              <w:rPr>
                <w:rFonts w:ascii="Cambria" w:eastAsia="Cambria" w:hAnsi="Cambria" w:cs="Cambria"/>
                <w:spacing w:val="-4"/>
                <w:lang w:val="hr-HR"/>
              </w:rPr>
              <w:t xml:space="preserve"> </w:t>
            </w:r>
            <w:r w:rsidRPr="00DF4CE5">
              <w:rPr>
                <w:rFonts w:ascii="Cambria" w:eastAsia="Cambria" w:hAnsi="Cambria" w:cs="Cambria"/>
                <w:lang w:val="hr-HR"/>
              </w:rPr>
              <w:t>na</w:t>
            </w:r>
            <w:r w:rsidRPr="00DF4CE5">
              <w:rPr>
                <w:rFonts w:ascii="Cambria" w:eastAsia="Cambria" w:hAnsi="Cambria" w:cs="Cambria"/>
                <w:spacing w:val="-5"/>
                <w:lang w:val="hr-HR"/>
              </w:rPr>
              <w:t xml:space="preserve"> </w:t>
            </w:r>
            <w:r w:rsidRPr="00DF4CE5">
              <w:rPr>
                <w:rFonts w:ascii="Cambria" w:eastAsia="Cambria" w:hAnsi="Cambria" w:cs="Cambria"/>
                <w:lang w:val="hr-HR"/>
              </w:rPr>
              <w:t>e-</w:t>
            </w:r>
            <w:r w:rsidRPr="00DF4CE5">
              <w:rPr>
                <w:rFonts w:ascii="Cambria" w:eastAsia="Cambria" w:hAnsi="Cambria" w:cs="Cambria"/>
                <w:spacing w:val="-50"/>
                <w:lang w:val="hr-HR"/>
              </w:rPr>
              <w:t xml:space="preserve"> </w:t>
            </w:r>
            <w:r w:rsidRPr="00DF4CE5">
              <w:rPr>
                <w:rFonts w:ascii="Cambria" w:eastAsia="Cambria" w:hAnsi="Cambria" w:cs="Cambria"/>
                <w:lang w:val="hr-HR"/>
              </w:rPr>
              <w:t>kolegiju.</w:t>
            </w:r>
          </w:p>
          <w:p w14:paraId="6FB13D7E" w14:textId="77777777" w:rsidR="003415F8" w:rsidRPr="00DF4CE5" w:rsidRDefault="003415F8" w:rsidP="00587D5D">
            <w:pPr>
              <w:widowControl w:val="0"/>
              <w:autoSpaceDE w:val="0"/>
              <w:autoSpaceDN w:val="0"/>
              <w:spacing w:after="0" w:line="240" w:lineRule="auto"/>
              <w:ind w:left="206"/>
              <w:rPr>
                <w:rFonts w:ascii="Cambria" w:eastAsia="Cambria" w:hAnsi="Cambria" w:cs="Calibri"/>
                <w:lang w:val="hr-HR"/>
              </w:rPr>
            </w:pPr>
            <w:r w:rsidRPr="00DF4CE5">
              <w:rPr>
                <w:rFonts w:ascii="Cambria" w:eastAsia="Cambria" w:hAnsi="Cambria" w:cs="Calibri"/>
                <w:lang w:val="hr-HR"/>
              </w:rPr>
              <w:t>U slučaju održavanja nastave na daljinu, moguće je odstupanje u:</w:t>
            </w:r>
          </w:p>
          <w:p w14:paraId="7D90FBB0" w14:textId="77777777" w:rsidR="003415F8" w:rsidRPr="00DF4CE5" w:rsidRDefault="003415F8" w:rsidP="00587D5D">
            <w:pPr>
              <w:widowControl w:val="0"/>
              <w:autoSpaceDE w:val="0"/>
              <w:autoSpaceDN w:val="0"/>
              <w:spacing w:after="0" w:line="240" w:lineRule="auto"/>
              <w:ind w:left="206"/>
              <w:rPr>
                <w:rFonts w:ascii="Cambria" w:eastAsia="Cambria" w:hAnsi="Cambria" w:cs="Calibri"/>
                <w:lang w:val="hr-HR"/>
              </w:rPr>
            </w:pPr>
            <w:r w:rsidRPr="00DF4CE5">
              <w:rPr>
                <w:rFonts w:ascii="Cambria" w:eastAsia="Cambria" w:hAnsi="Cambria" w:cs="Calibri"/>
                <w:lang w:val="hr-HR"/>
              </w:rPr>
              <w:t>- mjestu izvođenja kolegija</w:t>
            </w:r>
          </w:p>
          <w:p w14:paraId="3E1484F3" w14:textId="77777777" w:rsidR="003415F8" w:rsidRPr="00DF4CE5" w:rsidRDefault="003415F8" w:rsidP="00587D5D">
            <w:pPr>
              <w:widowControl w:val="0"/>
              <w:autoSpaceDE w:val="0"/>
              <w:autoSpaceDN w:val="0"/>
              <w:spacing w:after="0" w:line="240" w:lineRule="auto"/>
              <w:ind w:left="206"/>
              <w:rPr>
                <w:rFonts w:ascii="Cambria" w:eastAsia="Cambria" w:hAnsi="Cambria" w:cs="Calibri"/>
                <w:lang w:val="hr-HR"/>
              </w:rPr>
            </w:pPr>
            <w:r w:rsidRPr="00DF4CE5">
              <w:rPr>
                <w:rFonts w:ascii="Cambria" w:eastAsia="Cambria" w:hAnsi="Cambria" w:cs="Calibri"/>
                <w:lang w:val="hr-HR"/>
              </w:rPr>
              <w:t>- provedbi aktivnosti, metodama tumačenja i poučavanja i načinima vrednovanja</w:t>
            </w:r>
          </w:p>
          <w:p w14:paraId="343D3B6A" w14:textId="77777777" w:rsidR="003415F8" w:rsidRPr="00DF4CE5" w:rsidRDefault="003415F8" w:rsidP="00587D5D">
            <w:pPr>
              <w:widowControl w:val="0"/>
              <w:autoSpaceDE w:val="0"/>
              <w:autoSpaceDN w:val="0"/>
              <w:spacing w:after="0" w:line="240" w:lineRule="auto"/>
              <w:ind w:left="206"/>
              <w:rPr>
                <w:rFonts w:ascii="Cambria" w:eastAsia="Cambria" w:hAnsi="Cambria" w:cs="Calibri"/>
                <w:lang w:val="it-IT"/>
              </w:rPr>
            </w:pPr>
            <w:r w:rsidRPr="00DF4CE5">
              <w:rPr>
                <w:rFonts w:ascii="Cambria" w:eastAsia="Cambria" w:hAnsi="Cambria" w:cs="Calibri"/>
                <w:lang w:val="it-IT"/>
              </w:rPr>
              <w:t xml:space="preserve">- </w:t>
            </w:r>
            <w:proofErr w:type="spellStart"/>
            <w:r w:rsidRPr="00DF4CE5">
              <w:rPr>
                <w:rFonts w:ascii="Cambria" w:eastAsia="Cambria" w:hAnsi="Cambria" w:cs="Calibri"/>
                <w:lang w:val="it-IT"/>
              </w:rPr>
              <w:t>studentskim</w:t>
            </w:r>
            <w:proofErr w:type="spellEnd"/>
            <w:r w:rsidRPr="00DF4CE5">
              <w:rPr>
                <w:rFonts w:ascii="Cambria" w:eastAsia="Cambria" w:hAnsi="Cambria" w:cs="Calibri"/>
                <w:lang w:val="it-IT"/>
              </w:rPr>
              <w:t xml:space="preserve"> </w:t>
            </w:r>
            <w:proofErr w:type="spellStart"/>
            <w:r w:rsidRPr="00DF4CE5">
              <w:rPr>
                <w:rFonts w:ascii="Cambria" w:eastAsia="Cambria" w:hAnsi="Cambria" w:cs="Calibri"/>
                <w:lang w:val="it-IT"/>
              </w:rPr>
              <w:t>obvezama</w:t>
            </w:r>
            <w:proofErr w:type="spellEnd"/>
          </w:p>
          <w:p w14:paraId="2C1D22E2" w14:textId="77777777" w:rsidR="003415F8" w:rsidRPr="00DF4CE5" w:rsidRDefault="003415F8" w:rsidP="00587D5D">
            <w:pPr>
              <w:widowControl w:val="0"/>
              <w:autoSpaceDE w:val="0"/>
              <w:autoSpaceDN w:val="0"/>
              <w:spacing w:after="0" w:line="240" w:lineRule="auto"/>
              <w:ind w:left="206"/>
              <w:rPr>
                <w:rFonts w:ascii="Cambria" w:eastAsia="Cambria" w:hAnsi="Cambria" w:cs="Calibri"/>
                <w:lang w:val="it-IT"/>
              </w:rPr>
            </w:pPr>
            <w:r w:rsidRPr="00DF4CE5">
              <w:rPr>
                <w:rFonts w:ascii="Cambria" w:eastAsia="Cambria" w:hAnsi="Cambria" w:cs="Calibri"/>
                <w:lang w:val="it-IT"/>
              </w:rPr>
              <w:t xml:space="preserve">- </w:t>
            </w:r>
            <w:proofErr w:type="spellStart"/>
            <w:r w:rsidRPr="00DF4CE5">
              <w:rPr>
                <w:rFonts w:ascii="Cambria" w:eastAsia="Cambria" w:hAnsi="Cambria" w:cs="Calibri"/>
                <w:lang w:val="it-IT"/>
              </w:rPr>
              <w:t>dostupnoj</w:t>
            </w:r>
            <w:proofErr w:type="spellEnd"/>
            <w:r w:rsidRPr="00DF4CE5">
              <w:rPr>
                <w:rFonts w:ascii="Cambria" w:eastAsia="Cambria" w:hAnsi="Cambria" w:cs="Calibri"/>
                <w:lang w:val="it-IT"/>
              </w:rPr>
              <w:t xml:space="preserve"> </w:t>
            </w:r>
            <w:proofErr w:type="spellStart"/>
            <w:r w:rsidRPr="00DF4CE5">
              <w:rPr>
                <w:rFonts w:ascii="Cambria" w:eastAsia="Cambria" w:hAnsi="Cambria" w:cs="Calibri"/>
                <w:lang w:val="it-IT"/>
              </w:rPr>
              <w:t>literaturi</w:t>
            </w:r>
            <w:proofErr w:type="spellEnd"/>
            <w:r w:rsidRPr="00DF4CE5">
              <w:rPr>
                <w:rFonts w:ascii="Cambria" w:eastAsia="Cambria" w:hAnsi="Cambria" w:cs="Calibri"/>
                <w:lang w:val="it-IT"/>
              </w:rPr>
              <w:t>.</w:t>
            </w:r>
          </w:p>
          <w:p w14:paraId="74CFF59D" w14:textId="77777777" w:rsidR="003415F8" w:rsidRPr="00DF4CE5" w:rsidRDefault="003415F8" w:rsidP="00587D5D">
            <w:pPr>
              <w:widowControl w:val="0"/>
              <w:autoSpaceDE w:val="0"/>
              <w:autoSpaceDN w:val="0"/>
              <w:spacing w:after="0" w:line="240" w:lineRule="auto"/>
              <w:ind w:left="206"/>
              <w:rPr>
                <w:rFonts w:ascii="Cambria" w:eastAsia="Cambria" w:hAnsi="Cambria" w:cs="Calibri"/>
                <w:lang w:val="it-IT"/>
              </w:rPr>
            </w:pPr>
            <w:r w:rsidRPr="00DF4CE5">
              <w:rPr>
                <w:rFonts w:ascii="Cambria" w:eastAsia="Cambria" w:hAnsi="Cambria" w:cs="Calibri"/>
                <w:lang w:val="it-IT"/>
              </w:rPr>
              <w:t xml:space="preserve">O tome </w:t>
            </w:r>
            <w:proofErr w:type="spellStart"/>
            <w:r w:rsidRPr="00DF4CE5">
              <w:rPr>
                <w:rFonts w:ascii="Cambria" w:eastAsia="Cambria" w:hAnsi="Cambria" w:cs="Calibri"/>
                <w:lang w:val="it-IT"/>
              </w:rPr>
              <w:t>će</w:t>
            </w:r>
            <w:proofErr w:type="spellEnd"/>
            <w:r w:rsidRPr="00DF4CE5">
              <w:rPr>
                <w:rFonts w:ascii="Cambria" w:eastAsia="Cambria" w:hAnsi="Cambria" w:cs="Calibri"/>
                <w:lang w:val="it-IT"/>
              </w:rPr>
              <w:t xml:space="preserve"> </w:t>
            </w:r>
            <w:proofErr w:type="spellStart"/>
            <w:r w:rsidRPr="00DF4CE5">
              <w:rPr>
                <w:rFonts w:ascii="Cambria" w:eastAsia="Cambria" w:hAnsi="Cambria" w:cs="Calibri"/>
                <w:lang w:val="it-IT"/>
              </w:rPr>
              <w:t>nositeljica</w:t>
            </w:r>
            <w:proofErr w:type="spellEnd"/>
            <w:r w:rsidRPr="00DF4CE5">
              <w:rPr>
                <w:rFonts w:ascii="Cambria" w:eastAsia="Cambria" w:hAnsi="Cambria" w:cs="Calibri"/>
                <w:lang w:val="it-IT"/>
              </w:rPr>
              <w:t xml:space="preserve"> </w:t>
            </w:r>
            <w:proofErr w:type="spellStart"/>
            <w:r w:rsidRPr="00DF4CE5">
              <w:rPr>
                <w:rFonts w:ascii="Cambria" w:eastAsia="Cambria" w:hAnsi="Cambria" w:cs="Calibri"/>
                <w:lang w:val="it-IT"/>
              </w:rPr>
              <w:t>kolegija</w:t>
            </w:r>
            <w:proofErr w:type="spellEnd"/>
            <w:r w:rsidRPr="00DF4CE5">
              <w:rPr>
                <w:rFonts w:ascii="Cambria" w:eastAsia="Cambria" w:hAnsi="Cambria" w:cs="Calibri"/>
                <w:lang w:val="it-IT"/>
              </w:rPr>
              <w:t xml:space="preserve"> i </w:t>
            </w:r>
            <w:proofErr w:type="spellStart"/>
            <w:r w:rsidRPr="00DF4CE5">
              <w:rPr>
                <w:rFonts w:ascii="Cambria" w:eastAsia="Cambria" w:hAnsi="Cambria" w:cs="Calibri"/>
                <w:lang w:val="it-IT"/>
              </w:rPr>
              <w:t>asistentica</w:t>
            </w:r>
            <w:proofErr w:type="spellEnd"/>
            <w:r w:rsidRPr="00DF4CE5">
              <w:rPr>
                <w:rFonts w:ascii="Cambria" w:eastAsia="Cambria" w:hAnsi="Cambria" w:cs="Calibri"/>
                <w:lang w:val="it-IT"/>
              </w:rPr>
              <w:t xml:space="preserve"> </w:t>
            </w:r>
            <w:proofErr w:type="spellStart"/>
            <w:r w:rsidRPr="00DF4CE5">
              <w:rPr>
                <w:rFonts w:ascii="Cambria" w:eastAsia="Cambria" w:hAnsi="Cambria" w:cs="Calibri"/>
                <w:lang w:val="it-IT"/>
              </w:rPr>
              <w:t>obavijestiti</w:t>
            </w:r>
            <w:proofErr w:type="spellEnd"/>
            <w:r w:rsidRPr="00DF4CE5">
              <w:rPr>
                <w:rFonts w:ascii="Cambria" w:eastAsia="Cambria" w:hAnsi="Cambria" w:cs="Calibri"/>
                <w:lang w:val="it-IT"/>
              </w:rPr>
              <w:t xml:space="preserve"> studente i </w:t>
            </w:r>
            <w:proofErr w:type="spellStart"/>
            <w:r w:rsidRPr="00DF4CE5">
              <w:rPr>
                <w:rFonts w:ascii="Cambria" w:eastAsia="Cambria" w:hAnsi="Cambria" w:cs="Calibri"/>
                <w:lang w:val="it-IT"/>
              </w:rPr>
              <w:t>studentice</w:t>
            </w:r>
            <w:proofErr w:type="spellEnd"/>
            <w:r w:rsidRPr="00DF4CE5">
              <w:rPr>
                <w:rFonts w:ascii="Cambria" w:eastAsia="Cambria" w:hAnsi="Cambria" w:cs="Calibri"/>
                <w:lang w:val="it-IT"/>
              </w:rPr>
              <w:t xml:space="preserve"> </w:t>
            </w:r>
            <w:proofErr w:type="spellStart"/>
            <w:r w:rsidRPr="00DF4CE5">
              <w:rPr>
                <w:rFonts w:ascii="Cambria" w:eastAsia="Cambria" w:hAnsi="Cambria" w:cs="Calibri"/>
                <w:lang w:val="it-IT"/>
              </w:rPr>
              <w:t>kad</w:t>
            </w:r>
            <w:proofErr w:type="spellEnd"/>
            <w:r w:rsidRPr="00DF4CE5">
              <w:rPr>
                <w:rFonts w:ascii="Cambria" w:eastAsia="Cambria" w:hAnsi="Cambria" w:cs="Calibri"/>
                <w:lang w:val="it-IT"/>
              </w:rPr>
              <w:t xml:space="preserve"> se </w:t>
            </w:r>
            <w:proofErr w:type="spellStart"/>
            <w:r w:rsidRPr="00DF4CE5">
              <w:rPr>
                <w:rFonts w:ascii="Cambria" w:eastAsia="Cambria" w:hAnsi="Cambria" w:cs="Calibri"/>
                <w:lang w:val="it-IT"/>
              </w:rPr>
              <w:t>nastava</w:t>
            </w:r>
            <w:proofErr w:type="spellEnd"/>
            <w:r w:rsidRPr="00DF4CE5">
              <w:rPr>
                <w:rFonts w:ascii="Cambria" w:eastAsia="Cambria" w:hAnsi="Cambria" w:cs="Calibri"/>
                <w:lang w:val="it-IT"/>
              </w:rPr>
              <w:t xml:space="preserve"> </w:t>
            </w:r>
            <w:proofErr w:type="spellStart"/>
            <w:r w:rsidRPr="00DF4CE5">
              <w:rPr>
                <w:rFonts w:ascii="Cambria" w:eastAsia="Cambria" w:hAnsi="Cambria" w:cs="Calibri"/>
                <w:lang w:val="it-IT"/>
              </w:rPr>
              <w:t>na</w:t>
            </w:r>
            <w:proofErr w:type="spellEnd"/>
            <w:r w:rsidRPr="00DF4CE5">
              <w:rPr>
                <w:rFonts w:ascii="Cambria" w:eastAsia="Cambria" w:hAnsi="Cambria" w:cs="Calibri"/>
                <w:lang w:val="it-IT"/>
              </w:rPr>
              <w:t xml:space="preserve"> </w:t>
            </w:r>
            <w:proofErr w:type="spellStart"/>
            <w:r w:rsidRPr="00DF4CE5">
              <w:rPr>
                <w:rFonts w:ascii="Cambria" w:eastAsia="Cambria" w:hAnsi="Cambria" w:cs="Calibri"/>
                <w:lang w:val="it-IT"/>
              </w:rPr>
              <w:t>daljinu</w:t>
            </w:r>
            <w:proofErr w:type="spellEnd"/>
            <w:r w:rsidRPr="00DF4CE5">
              <w:rPr>
                <w:rFonts w:ascii="Cambria" w:eastAsia="Cambria" w:hAnsi="Cambria" w:cs="Calibri"/>
                <w:lang w:val="it-IT"/>
              </w:rPr>
              <w:t xml:space="preserve"> </w:t>
            </w:r>
            <w:proofErr w:type="spellStart"/>
            <w:r w:rsidRPr="00DF4CE5">
              <w:rPr>
                <w:rFonts w:ascii="Cambria" w:eastAsia="Cambria" w:hAnsi="Cambria" w:cs="Calibri"/>
                <w:lang w:val="it-IT"/>
              </w:rPr>
              <w:t>počne</w:t>
            </w:r>
            <w:proofErr w:type="spellEnd"/>
            <w:r w:rsidRPr="00DF4CE5">
              <w:rPr>
                <w:rFonts w:ascii="Cambria" w:eastAsia="Cambria" w:hAnsi="Cambria" w:cs="Calibri"/>
                <w:lang w:val="it-IT"/>
              </w:rPr>
              <w:t xml:space="preserve"> </w:t>
            </w:r>
            <w:proofErr w:type="spellStart"/>
            <w:r w:rsidRPr="00DF4CE5">
              <w:rPr>
                <w:rFonts w:ascii="Cambria" w:eastAsia="Cambria" w:hAnsi="Cambria" w:cs="Calibri"/>
                <w:lang w:val="it-IT"/>
              </w:rPr>
              <w:t>održavati</w:t>
            </w:r>
            <w:proofErr w:type="spellEnd"/>
            <w:r w:rsidRPr="00DF4CE5">
              <w:rPr>
                <w:rFonts w:ascii="Cambria" w:eastAsia="Cambria" w:hAnsi="Cambria" w:cs="Calibri"/>
                <w:lang w:val="it-IT"/>
              </w:rPr>
              <w:t>.</w:t>
            </w:r>
          </w:p>
          <w:p w14:paraId="690E8D1B" w14:textId="77777777" w:rsidR="003415F8" w:rsidRPr="00DF4CE5" w:rsidRDefault="003415F8" w:rsidP="00587D5D">
            <w:pPr>
              <w:widowControl w:val="0"/>
              <w:autoSpaceDE w:val="0"/>
              <w:autoSpaceDN w:val="0"/>
              <w:spacing w:after="0" w:line="240" w:lineRule="auto"/>
              <w:ind w:left="206" w:right="121"/>
              <w:rPr>
                <w:rFonts w:ascii="Cambria" w:eastAsia="Cambria" w:hAnsi="Cambria" w:cs="Cambria"/>
                <w:lang w:val="hr-HR"/>
              </w:rPr>
            </w:pPr>
            <w:r w:rsidRPr="00DF4CE5">
              <w:rPr>
                <w:rFonts w:ascii="Cambria" w:eastAsia="Cambria" w:hAnsi="Cambria" w:cs="Calibri"/>
                <w:lang w:val="hr-HR"/>
              </w:rPr>
              <w:t>Ishodi učenja ostaju nepromijenjeni.</w:t>
            </w:r>
          </w:p>
        </w:tc>
      </w:tr>
      <w:tr w:rsidR="003415F8" w:rsidRPr="00DF4CE5" w14:paraId="3F6771CF" w14:textId="77777777" w:rsidTr="00587D5D">
        <w:trPr>
          <w:trHeight w:val="4927"/>
        </w:trPr>
        <w:tc>
          <w:tcPr>
            <w:tcW w:w="2477" w:type="dxa"/>
            <w:shd w:val="clear" w:color="auto" w:fill="F3F3F3"/>
          </w:tcPr>
          <w:p w14:paraId="633670A9" w14:textId="77777777" w:rsidR="003415F8" w:rsidRPr="00DF4CE5" w:rsidRDefault="003415F8" w:rsidP="00587D5D">
            <w:pPr>
              <w:widowControl w:val="0"/>
              <w:autoSpaceDE w:val="0"/>
              <w:autoSpaceDN w:val="0"/>
              <w:spacing w:after="0" w:line="240" w:lineRule="auto"/>
              <w:rPr>
                <w:rFonts w:ascii="Cambria" w:eastAsia="Cambria" w:hAnsi="Cambria" w:cs="Cambria"/>
                <w:lang w:val="hr-HR"/>
              </w:rPr>
            </w:pPr>
          </w:p>
          <w:p w14:paraId="3A8CEA1F" w14:textId="77777777" w:rsidR="003415F8" w:rsidRPr="00DF4CE5" w:rsidRDefault="003415F8" w:rsidP="00587D5D">
            <w:pPr>
              <w:widowControl w:val="0"/>
              <w:autoSpaceDE w:val="0"/>
              <w:autoSpaceDN w:val="0"/>
              <w:spacing w:after="0" w:line="240" w:lineRule="auto"/>
              <w:rPr>
                <w:rFonts w:ascii="Cambria" w:eastAsia="Cambria" w:hAnsi="Cambria" w:cs="Cambria"/>
                <w:lang w:val="hr-HR"/>
              </w:rPr>
            </w:pPr>
          </w:p>
          <w:p w14:paraId="4AFE8239" w14:textId="77777777" w:rsidR="003415F8" w:rsidRPr="00DF4CE5" w:rsidRDefault="003415F8" w:rsidP="00587D5D">
            <w:pPr>
              <w:widowControl w:val="0"/>
              <w:autoSpaceDE w:val="0"/>
              <w:autoSpaceDN w:val="0"/>
              <w:spacing w:after="0" w:line="240" w:lineRule="auto"/>
              <w:rPr>
                <w:rFonts w:ascii="Cambria" w:eastAsia="Cambria" w:hAnsi="Cambria" w:cs="Cambria"/>
                <w:lang w:val="hr-HR"/>
              </w:rPr>
            </w:pPr>
          </w:p>
          <w:p w14:paraId="20D6B22E" w14:textId="77777777" w:rsidR="003415F8" w:rsidRPr="00DF4CE5" w:rsidRDefault="003415F8" w:rsidP="00587D5D">
            <w:pPr>
              <w:widowControl w:val="0"/>
              <w:autoSpaceDE w:val="0"/>
              <w:autoSpaceDN w:val="0"/>
              <w:spacing w:after="0" w:line="240" w:lineRule="auto"/>
              <w:rPr>
                <w:rFonts w:ascii="Cambria" w:eastAsia="Cambria" w:hAnsi="Cambria" w:cs="Cambria"/>
                <w:lang w:val="hr-HR"/>
              </w:rPr>
            </w:pPr>
          </w:p>
          <w:p w14:paraId="677E50A5" w14:textId="77777777" w:rsidR="003415F8" w:rsidRPr="00DF4CE5" w:rsidRDefault="003415F8" w:rsidP="00587D5D">
            <w:pPr>
              <w:widowControl w:val="0"/>
              <w:autoSpaceDE w:val="0"/>
              <w:autoSpaceDN w:val="0"/>
              <w:spacing w:after="0" w:line="240" w:lineRule="auto"/>
              <w:rPr>
                <w:rFonts w:ascii="Cambria" w:eastAsia="Cambria" w:hAnsi="Cambria" w:cs="Cambria"/>
                <w:lang w:val="hr-HR"/>
              </w:rPr>
            </w:pPr>
          </w:p>
          <w:p w14:paraId="73E8C426" w14:textId="77777777" w:rsidR="003415F8" w:rsidRPr="00DF4CE5" w:rsidRDefault="003415F8" w:rsidP="00587D5D">
            <w:pPr>
              <w:widowControl w:val="0"/>
              <w:autoSpaceDE w:val="0"/>
              <w:autoSpaceDN w:val="0"/>
              <w:spacing w:after="0" w:line="240" w:lineRule="auto"/>
              <w:rPr>
                <w:rFonts w:ascii="Cambria" w:eastAsia="Cambria" w:hAnsi="Cambria" w:cs="Cambria"/>
                <w:lang w:val="hr-HR"/>
              </w:rPr>
            </w:pPr>
          </w:p>
          <w:p w14:paraId="43B9C976" w14:textId="77777777" w:rsidR="003415F8" w:rsidRPr="00DF4CE5" w:rsidRDefault="003415F8" w:rsidP="00587D5D">
            <w:pPr>
              <w:widowControl w:val="0"/>
              <w:autoSpaceDE w:val="0"/>
              <w:autoSpaceDN w:val="0"/>
              <w:spacing w:after="0" w:line="240" w:lineRule="auto"/>
              <w:rPr>
                <w:rFonts w:ascii="Cambria" w:eastAsia="Cambria" w:hAnsi="Cambria" w:cs="Cambria"/>
                <w:lang w:val="hr-HR"/>
              </w:rPr>
            </w:pPr>
          </w:p>
          <w:p w14:paraId="49727DD2" w14:textId="77777777" w:rsidR="003415F8" w:rsidRPr="00DF4CE5" w:rsidRDefault="003415F8" w:rsidP="00587D5D">
            <w:pPr>
              <w:widowControl w:val="0"/>
              <w:autoSpaceDE w:val="0"/>
              <w:autoSpaceDN w:val="0"/>
              <w:spacing w:after="0" w:line="240" w:lineRule="auto"/>
              <w:ind w:left="143"/>
              <w:rPr>
                <w:rFonts w:ascii="Cambria" w:eastAsia="Cambria" w:hAnsi="Cambria" w:cs="Cambria"/>
                <w:lang w:val="hr-HR"/>
              </w:rPr>
            </w:pPr>
            <w:r w:rsidRPr="00DF4CE5">
              <w:rPr>
                <w:rFonts w:ascii="Cambria" w:eastAsia="Cambria" w:hAnsi="Cambria" w:cs="Cambria"/>
                <w:lang w:val="hr-HR"/>
              </w:rPr>
              <w:t>Literatura</w:t>
            </w:r>
          </w:p>
        </w:tc>
        <w:tc>
          <w:tcPr>
            <w:tcW w:w="6866" w:type="dxa"/>
            <w:gridSpan w:val="6"/>
          </w:tcPr>
          <w:p w14:paraId="4851C5D8" w14:textId="77777777" w:rsidR="003415F8" w:rsidRPr="00DF4CE5" w:rsidRDefault="003415F8" w:rsidP="00587D5D">
            <w:pPr>
              <w:widowControl w:val="0"/>
              <w:autoSpaceDE w:val="0"/>
              <w:autoSpaceDN w:val="0"/>
              <w:spacing w:after="0" w:line="240" w:lineRule="auto"/>
              <w:ind w:left="143"/>
              <w:rPr>
                <w:rFonts w:ascii="Cambria" w:eastAsia="Cambria" w:hAnsi="Cambria" w:cs="Cambria"/>
                <w:lang w:val="hr-HR"/>
              </w:rPr>
            </w:pPr>
            <w:r w:rsidRPr="00DF4CE5">
              <w:rPr>
                <w:rFonts w:ascii="Cambria" w:eastAsia="Cambria" w:hAnsi="Cambria" w:cs="Cambria"/>
                <w:lang w:val="hr-HR"/>
              </w:rPr>
              <w:t>Obvezna:</w:t>
            </w:r>
          </w:p>
          <w:p w14:paraId="041FC02C" w14:textId="77777777" w:rsidR="003415F8" w:rsidRPr="00DF4CE5" w:rsidRDefault="003415F8" w:rsidP="00A034E3">
            <w:pPr>
              <w:widowControl w:val="0"/>
              <w:numPr>
                <w:ilvl w:val="0"/>
                <w:numId w:val="86"/>
              </w:numPr>
              <w:tabs>
                <w:tab w:val="left" w:pos="425"/>
              </w:tabs>
              <w:autoSpaceDE w:val="0"/>
              <w:autoSpaceDN w:val="0"/>
              <w:spacing w:after="0" w:line="240" w:lineRule="auto"/>
              <w:ind w:right="132"/>
              <w:rPr>
                <w:rFonts w:ascii="Cambria" w:eastAsia="Cambria" w:hAnsi="Cambria" w:cs="Cambria"/>
                <w:lang w:val="hr-HR"/>
              </w:rPr>
            </w:pPr>
            <w:r w:rsidRPr="00DF4CE5">
              <w:rPr>
                <w:rFonts w:ascii="Cambria" w:eastAsia="Cambria" w:hAnsi="Cambria" w:cs="Cambria"/>
                <w:lang w:val="hr-HR"/>
              </w:rPr>
              <w:t xml:space="preserve">  Jakovac, T., </w:t>
            </w:r>
            <w:proofErr w:type="spellStart"/>
            <w:r w:rsidRPr="00DF4CE5">
              <w:rPr>
                <w:rFonts w:ascii="Cambria" w:eastAsia="Cambria" w:hAnsi="Cambria" w:cs="Cambria"/>
                <w:lang w:val="hr-HR"/>
              </w:rPr>
              <w:t>Petelin</w:t>
            </w:r>
            <w:proofErr w:type="spellEnd"/>
            <w:r w:rsidRPr="00DF4CE5">
              <w:rPr>
                <w:rFonts w:ascii="Cambria" w:eastAsia="Cambria" w:hAnsi="Cambria" w:cs="Cambria"/>
                <w:lang w:val="hr-HR"/>
              </w:rPr>
              <w:t xml:space="preserve">, K., </w:t>
            </w:r>
            <w:proofErr w:type="spellStart"/>
            <w:r w:rsidRPr="00DF4CE5">
              <w:rPr>
                <w:rFonts w:ascii="Cambria" w:eastAsia="Cambria" w:hAnsi="Cambria" w:cs="Cambria"/>
                <w:lang w:val="hr-HR"/>
              </w:rPr>
              <w:t>Možgon</w:t>
            </w:r>
            <w:proofErr w:type="spellEnd"/>
            <w:r w:rsidRPr="00DF4CE5">
              <w:rPr>
                <w:rFonts w:ascii="Cambria" w:eastAsia="Cambria" w:hAnsi="Cambria" w:cs="Cambria"/>
                <w:lang w:val="hr-HR"/>
              </w:rPr>
              <w:t xml:space="preserve"> </w:t>
            </w:r>
            <w:proofErr w:type="spellStart"/>
            <w:r w:rsidRPr="00DF4CE5">
              <w:rPr>
                <w:rFonts w:ascii="Cambria" w:eastAsia="Cambria" w:hAnsi="Cambria" w:cs="Cambria"/>
                <w:lang w:val="hr-HR"/>
              </w:rPr>
              <w:t>Kauzlarić</w:t>
            </w:r>
            <w:proofErr w:type="spellEnd"/>
            <w:r w:rsidRPr="00DF4CE5">
              <w:rPr>
                <w:rFonts w:ascii="Cambria" w:eastAsia="Cambria" w:hAnsi="Cambria" w:cs="Cambria"/>
                <w:lang w:val="hr-HR"/>
              </w:rPr>
              <w:t xml:space="preserve">, N., </w:t>
            </w:r>
            <w:proofErr w:type="spellStart"/>
            <w:r w:rsidRPr="00DF4CE5">
              <w:rPr>
                <w:rFonts w:ascii="Cambria" w:eastAsia="Cambria" w:hAnsi="Cambria" w:cs="Cambria"/>
                <w:lang w:val="hr-HR"/>
              </w:rPr>
              <w:t>Šimičić</w:t>
            </w:r>
            <w:proofErr w:type="spellEnd"/>
            <w:r w:rsidRPr="00DF4CE5">
              <w:rPr>
                <w:rFonts w:ascii="Cambria" w:eastAsia="Cambria" w:hAnsi="Cambria" w:cs="Cambria"/>
                <w:lang w:val="hr-HR"/>
              </w:rPr>
              <w:t>, I., Bajt</w:t>
            </w:r>
            <w:r w:rsidRPr="00DF4CE5">
              <w:rPr>
                <w:rFonts w:ascii="Cambria" w:eastAsia="Cambria" w:hAnsi="Cambria" w:cs="Cambria"/>
                <w:spacing w:val="1"/>
                <w:lang w:val="hr-HR"/>
              </w:rPr>
              <w:t xml:space="preserve"> </w:t>
            </w:r>
            <w:proofErr w:type="spellStart"/>
            <w:r w:rsidRPr="00DF4CE5">
              <w:rPr>
                <w:rFonts w:ascii="Cambria" w:eastAsia="Cambria" w:hAnsi="Cambria" w:cs="Cambria"/>
                <w:lang w:val="hr-HR"/>
              </w:rPr>
              <w:t>Stepić</w:t>
            </w:r>
            <w:proofErr w:type="spellEnd"/>
            <w:r w:rsidRPr="00DF4CE5">
              <w:rPr>
                <w:rFonts w:ascii="Cambria" w:eastAsia="Cambria" w:hAnsi="Cambria" w:cs="Cambria"/>
                <w:lang w:val="hr-HR"/>
              </w:rPr>
              <w:t>,</w:t>
            </w:r>
            <w:r w:rsidRPr="00DF4CE5">
              <w:rPr>
                <w:rFonts w:ascii="Cambria" w:eastAsia="Cambria" w:hAnsi="Cambria" w:cs="Cambria"/>
                <w:spacing w:val="7"/>
                <w:lang w:val="hr-HR"/>
              </w:rPr>
              <w:t xml:space="preserve"> </w:t>
            </w:r>
            <w:r w:rsidRPr="00DF4CE5">
              <w:rPr>
                <w:rFonts w:ascii="Cambria" w:eastAsia="Cambria" w:hAnsi="Cambria" w:cs="Cambria"/>
                <w:lang w:val="hr-HR"/>
              </w:rPr>
              <w:t>M.</w:t>
            </w:r>
            <w:r w:rsidRPr="00DF4CE5">
              <w:rPr>
                <w:rFonts w:ascii="Cambria" w:eastAsia="Cambria" w:hAnsi="Cambria" w:cs="Cambria"/>
                <w:spacing w:val="7"/>
                <w:lang w:val="hr-HR"/>
              </w:rPr>
              <w:t xml:space="preserve"> </w:t>
            </w:r>
            <w:r w:rsidRPr="00DF4CE5">
              <w:rPr>
                <w:rFonts w:ascii="Cambria" w:eastAsia="Cambria" w:hAnsi="Cambria" w:cs="Cambria"/>
                <w:lang w:val="hr-HR"/>
              </w:rPr>
              <w:t>(2014).</w:t>
            </w:r>
            <w:r w:rsidRPr="00DF4CE5">
              <w:rPr>
                <w:rFonts w:ascii="Cambria" w:eastAsia="Cambria" w:hAnsi="Cambria" w:cs="Cambria"/>
                <w:spacing w:val="7"/>
                <w:lang w:val="hr-HR"/>
              </w:rPr>
              <w:t xml:space="preserve"> </w:t>
            </w:r>
            <w:r w:rsidRPr="00DF4CE5">
              <w:rPr>
                <w:rFonts w:ascii="Cambria" w:eastAsia="Cambria" w:hAnsi="Cambria" w:cs="Cambria"/>
                <w:lang w:val="hr-HR"/>
              </w:rPr>
              <w:t>Priručnik</w:t>
            </w:r>
            <w:r w:rsidRPr="00DF4CE5">
              <w:rPr>
                <w:rFonts w:ascii="Cambria" w:eastAsia="Cambria" w:hAnsi="Cambria" w:cs="Cambria"/>
                <w:spacing w:val="7"/>
                <w:lang w:val="hr-HR"/>
              </w:rPr>
              <w:t xml:space="preserve"> </w:t>
            </w:r>
            <w:r w:rsidRPr="00DF4CE5">
              <w:rPr>
                <w:rFonts w:ascii="Cambria" w:eastAsia="Cambria" w:hAnsi="Cambria" w:cs="Cambria"/>
                <w:lang w:val="hr-HR"/>
              </w:rPr>
              <w:t>pedagoške</w:t>
            </w:r>
            <w:r w:rsidRPr="00DF4CE5">
              <w:rPr>
                <w:rFonts w:ascii="Cambria" w:eastAsia="Cambria" w:hAnsi="Cambria" w:cs="Cambria"/>
                <w:spacing w:val="9"/>
                <w:lang w:val="hr-HR"/>
              </w:rPr>
              <w:t xml:space="preserve"> </w:t>
            </w:r>
            <w:r w:rsidRPr="00DF4CE5">
              <w:rPr>
                <w:rFonts w:ascii="Cambria" w:eastAsia="Cambria" w:hAnsi="Cambria" w:cs="Cambria"/>
                <w:lang w:val="hr-HR"/>
              </w:rPr>
              <w:t>dokumentacije:</w:t>
            </w:r>
            <w:r w:rsidRPr="00DF4CE5">
              <w:rPr>
                <w:rFonts w:ascii="Cambria" w:eastAsia="Cambria" w:hAnsi="Cambria" w:cs="Cambria"/>
                <w:spacing w:val="5"/>
                <w:lang w:val="hr-HR"/>
              </w:rPr>
              <w:t xml:space="preserve"> </w:t>
            </w:r>
            <w:r w:rsidRPr="00DF4CE5">
              <w:rPr>
                <w:rFonts w:ascii="Cambria" w:eastAsia="Cambria" w:hAnsi="Cambria" w:cs="Cambria"/>
                <w:lang w:val="hr-HR"/>
              </w:rPr>
              <w:t>za</w:t>
            </w:r>
            <w:r w:rsidRPr="00DF4CE5">
              <w:rPr>
                <w:rFonts w:ascii="Cambria" w:eastAsia="Cambria" w:hAnsi="Cambria" w:cs="Cambria"/>
                <w:spacing w:val="7"/>
                <w:lang w:val="hr-HR"/>
              </w:rPr>
              <w:t xml:space="preserve"> </w:t>
            </w:r>
            <w:r w:rsidRPr="00DF4CE5">
              <w:rPr>
                <w:rFonts w:ascii="Cambria" w:eastAsia="Cambria" w:hAnsi="Cambria" w:cs="Cambria"/>
                <w:lang w:val="hr-HR"/>
              </w:rPr>
              <w:t>učitelje</w:t>
            </w:r>
            <w:r w:rsidRPr="00DF4CE5">
              <w:rPr>
                <w:rFonts w:ascii="Cambria" w:eastAsia="Cambria" w:hAnsi="Cambria" w:cs="Cambria"/>
                <w:spacing w:val="-51"/>
                <w:lang w:val="hr-HR"/>
              </w:rPr>
              <w:t xml:space="preserve"> </w:t>
            </w:r>
            <w:r w:rsidRPr="00DF4CE5">
              <w:rPr>
                <w:rFonts w:ascii="Cambria" w:eastAsia="Cambria" w:hAnsi="Cambria" w:cs="Cambria"/>
                <w:lang w:val="hr-HR"/>
              </w:rPr>
              <w:t>i</w:t>
            </w:r>
            <w:r w:rsidRPr="00DF4CE5">
              <w:rPr>
                <w:rFonts w:ascii="Cambria" w:eastAsia="Cambria" w:hAnsi="Cambria" w:cs="Cambria"/>
                <w:spacing w:val="-9"/>
                <w:lang w:val="hr-HR"/>
              </w:rPr>
              <w:t xml:space="preserve"> </w:t>
            </w:r>
            <w:r w:rsidRPr="00DF4CE5">
              <w:rPr>
                <w:rFonts w:ascii="Cambria" w:eastAsia="Cambria" w:hAnsi="Cambria" w:cs="Cambria"/>
                <w:lang w:val="hr-HR"/>
              </w:rPr>
              <w:t>pedagoge</w:t>
            </w:r>
            <w:r w:rsidRPr="00DF4CE5">
              <w:rPr>
                <w:rFonts w:ascii="Cambria" w:eastAsia="Cambria" w:hAnsi="Cambria" w:cs="Cambria"/>
                <w:spacing w:val="-7"/>
                <w:lang w:val="hr-HR"/>
              </w:rPr>
              <w:t xml:space="preserve"> </w:t>
            </w:r>
            <w:r w:rsidRPr="00DF4CE5">
              <w:rPr>
                <w:rFonts w:ascii="Cambria" w:eastAsia="Cambria" w:hAnsi="Cambria" w:cs="Cambria"/>
                <w:lang w:val="hr-HR"/>
              </w:rPr>
              <w:t>[</w:t>
            </w:r>
            <w:proofErr w:type="spellStart"/>
            <w:r w:rsidRPr="00DF4CE5">
              <w:rPr>
                <w:rFonts w:ascii="Cambria" w:eastAsia="Cambria" w:hAnsi="Cambria" w:cs="Cambria"/>
                <w:lang w:val="hr-HR"/>
              </w:rPr>
              <w:t>Handbook</w:t>
            </w:r>
            <w:proofErr w:type="spellEnd"/>
            <w:r w:rsidRPr="00DF4CE5">
              <w:rPr>
                <w:rFonts w:ascii="Cambria" w:eastAsia="Cambria" w:hAnsi="Cambria" w:cs="Cambria"/>
                <w:spacing w:val="-11"/>
                <w:lang w:val="hr-HR"/>
              </w:rPr>
              <w:t xml:space="preserve"> </w:t>
            </w:r>
            <w:proofErr w:type="spellStart"/>
            <w:r w:rsidRPr="00DF4CE5">
              <w:rPr>
                <w:rFonts w:ascii="Cambria" w:eastAsia="Cambria" w:hAnsi="Cambria" w:cs="Cambria"/>
                <w:lang w:val="hr-HR"/>
              </w:rPr>
              <w:t>of</w:t>
            </w:r>
            <w:proofErr w:type="spellEnd"/>
            <w:r w:rsidRPr="00DF4CE5">
              <w:rPr>
                <w:rFonts w:ascii="Cambria" w:eastAsia="Cambria" w:hAnsi="Cambria" w:cs="Cambria"/>
                <w:spacing w:val="-9"/>
                <w:lang w:val="hr-HR"/>
              </w:rPr>
              <w:t xml:space="preserve"> </w:t>
            </w:r>
            <w:proofErr w:type="spellStart"/>
            <w:r w:rsidRPr="00DF4CE5">
              <w:rPr>
                <w:rFonts w:ascii="Cambria" w:eastAsia="Cambria" w:hAnsi="Cambria" w:cs="Cambria"/>
                <w:lang w:val="hr-HR"/>
              </w:rPr>
              <w:t>pedagogical</w:t>
            </w:r>
            <w:proofErr w:type="spellEnd"/>
            <w:r w:rsidRPr="00DF4CE5">
              <w:rPr>
                <w:rFonts w:ascii="Cambria" w:eastAsia="Cambria" w:hAnsi="Cambria" w:cs="Cambria"/>
                <w:spacing w:val="-8"/>
                <w:lang w:val="hr-HR"/>
              </w:rPr>
              <w:t xml:space="preserve"> </w:t>
            </w:r>
            <w:proofErr w:type="spellStart"/>
            <w:r w:rsidRPr="00DF4CE5">
              <w:rPr>
                <w:rFonts w:ascii="Cambria" w:eastAsia="Cambria" w:hAnsi="Cambria" w:cs="Cambria"/>
                <w:lang w:val="hr-HR"/>
              </w:rPr>
              <w:t>documentation</w:t>
            </w:r>
            <w:proofErr w:type="spellEnd"/>
            <w:r w:rsidRPr="00DF4CE5">
              <w:rPr>
                <w:rFonts w:ascii="Cambria" w:eastAsia="Cambria" w:hAnsi="Cambria" w:cs="Cambria"/>
                <w:lang w:val="hr-HR"/>
              </w:rPr>
              <w:t>:</w:t>
            </w:r>
            <w:r w:rsidRPr="00DF4CE5">
              <w:rPr>
                <w:rFonts w:ascii="Cambria" w:eastAsia="Cambria" w:hAnsi="Cambria" w:cs="Cambria"/>
                <w:spacing w:val="-10"/>
                <w:lang w:val="hr-HR"/>
              </w:rPr>
              <w:t xml:space="preserve"> </w:t>
            </w:r>
            <w:r w:rsidRPr="00DF4CE5">
              <w:rPr>
                <w:rFonts w:ascii="Cambria" w:eastAsia="Cambria" w:hAnsi="Cambria" w:cs="Cambria"/>
                <w:lang w:val="hr-HR"/>
              </w:rPr>
              <w:t>for</w:t>
            </w:r>
            <w:r w:rsidRPr="00DF4CE5">
              <w:rPr>
                <w:rFonts w:ascii="Cambria" w:eastAsia="Cambria" w:hAnsi="Cambria" w:cs="Cambria"/>
                <w:spacing w:val="-7"/>
                <w:lang w:val="hr-HR"/>
              </w:rPr>
              <w:t xml:space="preserve"> </w:t>
            </w:r>
            <w:proofErr w:type="spellStart"/>
            <w:r w:rsidRPr="00DF4CE5">
              <w:rPr>
                <w:rFonts w:ascii="Cambria" w:eastAsia="Cambria" w:hAnsi="Cambria" w:cs="Cambria"/>
                <w:lang w:val="hr-HR"/>
              </w:rPr>
              <w:t>teachers</w:t>
            </w:r>
            <w:proofErr w:type="spellEnd"/>
            <w:r w:rsidRPr="00DF4CE5">
              <w:rPr>
                <w:rFonts w:ascii="Cambria" w:eastAsia="Cambria" w:hAnsi="Cambria" w:cs="Cambria"/>
                <w:spacing w:val="-51"/>
                <w:lang w:val="hr-HR"/>
              </w:rPr>
              <w:t xml:space="preserve"> </w:t>
            </w:r>
            <w:proofErr w:type="spellStart"/>
            <w:r w:rsidRPr="00DF4CE5">
              <w:rPr>
                <w:rFonts w:ascii="Cambria" w:eastAsia="Cambria" w:hAnsi="Cambria" w:cs="Cambria"/>
                <w:lang w:val="hr-HR"/>
              </w:rPr>
              <w:t>and</w:t>
            </w:r>
            <w:proofErr w:type="spellEnd"/>
            <w:r w:rsidRPr="00DF4CE5">
              <w:rPr>
                <w:rFonts w:ascii="Cambria" w:eastAsia="Cambria" w:hAnsi="Cambria" w:cs="Cambria"/>
                <w:spacing w:val="-3"/>
                <w:lang w:val="hr-HR"/>
              </w:rPr>
              <w:t xml:space="preserve"> </w:t>
            </w:r>
            <w:proofErr w:type="spellStart"/>
            <w:r w:rsidRPr="00DF4CE5">
              <w:rPr>
                <w:rFonts w:ascii="Cambria" w:eastAsia="Cambria" w:hAnsi="Cambria" w:cs="Cambria"/>
                <w:lang w:val="hr-HR"/>
              </w:rPr>
              <w:t>pedagogues</w:t>
            </w:r>
            <w:proofErr w:type="spellEnd"/>
            <w:r w:rsidRPr="00DF4CE5">
              <w:rPr>
                <w:rFonts w:ascii="Cambria" w:eastAsia="Cambria" w:hAnsi="Cambria" w:cs="Cambria"/>
                <w:lang w:val="hr-HR"/>
              </w:rPr>
              <w:t>]. Zagreb:</w:t>
            </w:r>
            <w:r w:rsidRPr="00DF4CE5">
              <w:rPr>
                <w:rFonts w:ascii="Cambria" w:eastAsia="Cambria" w:hAnsi="Cambria" w:cs="Cambria"/>
                <w:spacing w:val="-1"/>
                <w:lang w:val="hr-HR"/>
              </w:rPr>
              <w:t xml:space="preserve"> </w:t>
            </w:r>
            <w:r w:rsidRPr="00DF4CE5">
              <w:rPr>
                <w:rFonts w:ascii="Cambria" w:eastAsia="Cambria" w:hAnsi="Cambria" w:cs="Cambria"/>
                <w:lang w:val="hr-HR"/>
              </w:rPr>
              <w:t>Naklada</w:t>
            </w:r>
            <w:r w:rsidRPr="00DF4CE5">
              <w:rPr>
                <w:rFonts w:ascii="Cambria" w:eastAsia="Cambria" w:hAnsi="Cambria" w:cs="Cambria"/>
                <w:spacing w:val="-2"/>
                <w:lang w:val="hr-HR"/>
              </w:rPr>
              <w:t xml:space="preserve"> </w:t>
            </w:r>
            <w:r w:rsidRPr="00DF4CE5">
              <w:rPr>
                <w:rFonts w:ascii="Cambria" w:eastAsia="Cambria" w:hAnsi="Cambria" w:cs="Cambria"/>
                <w:lang w:val="hr-HR"/>
              </w:rPr>
              <w:t>Ljevak.</w:t>
            </w:r>
          </w:p>
          <w:p w14:paraId="511BFD26" w14:textId="77777777" w:rsidR="003415F8" w:rsidRPr="00DF4CE5" w:rsidRDefault="003415F8" w:rsidP="00A034E3">
            <w:pPr>
              <w:widowControl w:val="0"/>
              <w:numPr>
                <w:ilvl w:val="0"/>
                <w:numId w:val="86"/>
              </w:numPr>
              <w:tabs>
                <w:tab w:val="left" w:pos="425"/>
              </w:tabs>
              <w:autoSpaceDE w:val="0"/>
              <w:autoSpaceDN w:val="0"/>
              <w:spacing w:after="0" w:line="240" w:lineRule="auto"/>
              <w:ind w:right="132"/>
              <w:jc w:val="both"/>
              <w:rPr>
                <w:rFonts w:ascii="Cambria" w:eastAsia="Cambria" w:hAnsi="Cambria" w:cs="Cambria"/>
                <w:lang w:val="hr-HR"/>
              </w:rPr>
            </w:pPr>
            <w:r w:rsidRPr="00DF4CE5">
              <w:rPr>
                <w:rFonts w:ascii="Cambria" w:eastAsia="Cambria" w:hAnsi="Cambria" w:cs="Cambria"/>
                <w:lang w:val="hr-HR"/>
              </w:rPr>
              <w:t xml:space="preserve"> </w:t>
            </w:r>
            <w:proofErr w:type="spellStart"/>
            <w:r w:rsidRPr="00DF4CE5">
              <w:rPr>
                <w:rFonts w:ascii="Cambria" w:eastAsia="Cambria" w:hAnsi="Cambria" w:cs="Cambria"/>
                <w:lang w:val="hr-HR"/>
              </w:rPr>
              <w:t>Kadum</w:t>
            </w:r>
            <w:proofErr w:type="spellEnd"/>
            <w:r w:rsidRPr="00DF4CE5">
              <w:rPr>
                <w:rFonts w:ascii="Cambria" w:eastAsia="Cambria" w:hAnsi="Cambria" w:cs="Cambria"/>
                <w:lang w:val="hr-HR"/>
              </w:rPr>
              <w:t>, S., Šuvar, V., Tomić, R. (2020). Školska pedagogija. Pula: Sveučilište Jurja Dobrile, Fakultet za odgojne o obrazovne znanosti.</w:t>
            </w:r>
          </w:p>
          <w:p w14:paraId="39CB783E" w14:textId="77777777" w:rsidR="003415F8" w:rsidRPr="00DF4CE5" w:rsidRDefault="003415F8" w:rsidP="00A034E3">
            <w:pPr>
              <w:widowControl w:val="0"/>
              <w:numPr>
                <w:ilvl w:val="0"/>
                <w:numId w:val="86"/>
              </w:numPr>
              <w:tabs>
                <w:tab w:val="left" w:pos="504"/>
              </w:tabs>
              <w:autoSpaceDE w:val="0"/>
              <w:autoSpaceDN w:val="0"/>
              <w:spacing w:after="0" w:line="240" w:lineRule="auto"/>
              <w:ind w:right="118"/>
              <w:rPr>
                <w:rFonts w:ascii="Cambria" w:eastAsia="Cambria" w:hAnsi="Cambria" w:cs="Cambria"/>
                <w:lang w:val="hr-HR"/>
              </w:rPr>
            </w:pPr>
            <w:proofErr w:type="spellStart"/>
            <w:r w:rsidRPr="00DF4CE5">
              <w:rPr>
                <w:rFonts w:ascii="Cambria" w:eastAsia="Cambria" w:hAnsi="Cambria" w:cs="Cambria"/>
                <w:color w:val="333333"/>
                <w:lang w:val="hr-HR"/>
              </w:rPr>
              <w:t>Klippert</w:t>
            </w:r>
            <w:proofErr w:type="spellEnd"/>
            <w:r w:rsidRPr="00DF4CE5">
              <w:rPr>
                <w:rFonts w:ascii="Cambria" w:eastAsia="Cambria" w:hAnsi="Cambria" w:cs="Cambria"/>
                <w:color w:val="333333"/>
                <w:lang w:val="hr-HR"/>
              </w:rPr>
              <w:t>,</w:t>
            </w:r>
            <w:r w:rsidRPr="00DF4CE5">
              <w:rPr>
                <w:rFonts w:ascii="Cambria" w:eastAsia="Cambria" w:hAnsi="Cambria" w:cs="Cambria"/>
                <w:color w:val="333333"/>
                <w:spacing w:val="19"/>
                <w:lang w:val="hr-HR"/>
              </w:rPr>
              <w:t xml:space="preserve"> </w:t>
            </w:r>
            <w:r w:rsidRPr="00DF4CE5">
              <w:rPr>
                <w:rFonts w:ascii="Cambria" w:eastAsia="Cambria" w:hAnsi="Cambria" w:cs="Cambria"/>
                <w:color w:val="333333"/>
                <w:lang w:val="hr-HR"/>
              </w:rPr>
              <w:t>H.</w:t>
            </w:r>
            <w:r w:rsidRPr="00DF4CE5">
              <w:rPr>
                <w:rFonts w:ascii="Cambria" w:eastAsia="Cambria" w:hAnsi="Cambria" w:cs="Cambria"/>
                <w:color w:val="333333"/>
                <w:spacing w:val="19"/>
                <w:lang w:val="hr-HR"/>
              </w:rPr>
              <w:t xml:space="preserve"> </w:t>
            </w:r>
            <w:r w:rsidRPr="00DF4CE5">
              <w:rPr>
                <w:rFonts w:ascii="Cambria" w:eastAsia="Cambria" w:hAnsi="Cambria" w:cs="Cambria"/>
                <w:color w:val="333333"/>
                <w:lang w:val="hr-HR"/>
              </w:rPr>
              <w:t>(2001).</w:t>
            </w:r>
            <w:r w:rsidRPr="00DF4CE5">
              <w:rPr>
                <w:rFonts w:ascii="Cambria" w:eastAsia="Cambria" w:hAnsi="Cambria" w:cs="Cambria"/>
                <w:color w:val="333333"/>
                <w:spacing w:val="21"/>
                <w:lang w:val="hr-HR"/>
              </w:rPr>
              <w:t xml:space="preserve"> </w:t>
            </w:r>
            <w:r w:rsidRPr="00DF4CE5">
              <w:rPr>
                <w:rFonts w:ascii="Cambria" w:eastAsia="Cambria" w:hAnsi="Cambria" w:cs="Cambria"/>
                <w:color w:val="333333"/>
                <w:lang w:val="hr-HR"/>
              </w:rPr>
              <w:t>Kako</w:t>
            </w:r>
            <w:r w:rsidRPr="00DF4CE5">
              <w:rPr>
                <w:rFonts w:ascii="Cambria" w:eastAsia="Cambria" w:hAnsi="Cambria" w:cs="Cambria"/>
                <w:color w:val="333333"/>
                <w:spacing w:val="19"/>
                <w:lang w:val="hr-HR"/>
              </w:rPr>
              <w:t xml:space="preserve"> </w:t>
            </w:r>
            <w:r w:rsidRPr="00DF4CE5">
              <w:rPr>
                <w:rFonts w:ascii="Cambria" w:eastAsia="Cambria" w:hAnsi="Cambria" w:cs="Cambria"/>
                <w:color w:val="333333"/>
                <w:lang w:val="hr-HR"/>
              </w:rPr>
              <w:t>uspješno</w:t>
            </w:r>
            <w:r w:rsidRPr="00DF4CE5">
              <w:rPr>
                <w:rFonts w:ascii="Cambria" w:eastAsia="Cambria" w:hAnsi="Cambria" w:cs="Cambria"/>
                <w:color w:val="333333"/>
                <w:spacing w:val="20"/>
                <w:lang w:val="hr-HR"/>
              </w:rPr>
              <w:t xml:space="preserve"> </w:t>
            </w:r>
            <w:r w:rsidRPr="00DF4CE5">
              <w:rPr>
                <w:rFonts w:ascii="Cambria" w:eastAsia="Cambria" w:hAnsi="Cambria" w:cs="Cambria"/>
                <w:color w:val="333333"/>
                <w:lang w:val="hr-HR"/>
              </w:rPr>
              <w:t>učiti</w:t>
            </w:r>
            <w:r w:rsidRPr="00DF4CE5">
              <w:rPr>
                <w:rFonts w:ascii="Cambria" w:eastAsia="Cambria" w:hAnsi="Cambria" w:cs="Cambria"/>
                <w:color w:val="333333"/>
                <w:spacing w:val="20"/>
                <w:lang w:val="hr-HR"/>
              </w:rPr>
              <w:t xml:space="preserve"> </w:t>
            </w:r>
            <w:r w:rsidRPr="00DF4CE5">
              <w:rPr>
                <w:rFonts w:ascii="Cambria" w:eastAsia="Cambria" w:hAnsi="Cambria" w:cs="Cambria"/>
                <w:color w:val="333333"/>
                <w:lang w:val="hr-HR"/>
              </w:rPr>
              <w:t>u</w:t>
            </w:r>
            <w:r w:rsidRPr="00DF4CE5">
              <w:rPr>
                <w:rFonts w:ascii="Cambria" w:eastAsia="Cambria" w:hAnsi="Cambria" w:cs="Cambria"/>
                <w:color w:val="333333"/>
                <w:spacing w:val="17"/>
                <w:lang w:val="hr-HR"/>
              </w:rPr>
              <w:t xml:space="preserve"> </w:t>
            </w:r>
            <w:r w:rsidRPr="00DF4CE5">
              <w:rPr>
                <w:rFonts w:ascii="Cambria" w:eastAsia="Cambria" w:hAnsi="Cambria" w:cs="Cambria"/>
                <w:color w:val="333333"/>
                <w:lang w:val="hr-HR"/>
              </w:rPr>
              <w:t>timu.</w:t>
            </w:r>
            <w:r w:rsidRPr="00DF4CE5">
              <w:rPr>
                <w:rFonts w:ascii="Cambria" w:eastAsia="Cambria" w:hAnsi="Cambria" w:cs="Cambria"/>
                <w:color w:val="333333"/>
                <w:spacing w:val="26"/>
                <w:lang w:val="hr-HR"/>
              </w:rPr>
              <w:t xml:space="preserve"> </w:t>
            </w:r>
            <w:r w:rsidRPr="00DF4CE5">
              <w:rPr>
                <w:rFonts w:ascii="Cambria" w:eastAsia="Cambria" w:hAnsi="Cambria" w:cs="Cambria"/>
                <w:color w:val="333333"/>
                <w:lang w:val="hr-HR"/>
              </w:rPr>
              <w:t>Zagreb:</w:t>
            </w:r>
            <w:r w:rsidRPr="00DF4CE5">
              <w:rPr>
                <w:rFonts w:ascii="Cambria" w:eastAsia="Cambria" w:hAnsi="Cambria" w:cs="Cambria"/>
                <w:color w:val="333333"/>
                <w:spacing w:val="-50"/>
                <w:lang w:val="hr-HR"/>
              </w:rPr>
              <w:t xml:space="preserve"> </w:t>
            </w:r>
            <w:r w:rsidRPr="00DF4CE5">
              <w:rPr>
                <w:rFonts w:ascii="Cambria" w:eastAsia="Cambria" w:hAnsi="Cambria" w:cs="Cambria"/>
                <w:color w:val="333333"/>
                <w:lang w:val="hr-HR"/>
              </w:rPr>
              <w:t>Educa.</w:t>
            </w:r>
          </w:p>
          <w:p w14:paraId="4DD0A968" w14:textId="77777777" w:rsidR="003415F8" w:rsidRPr="00DF4CE5" w:rsidRDefault="003415F8" w:rsidP="00A034E3">
            <w:pPr>
              <w:widowControl w:val="0"/>
              <w:numPr>
                <w:ilvl w:val="0"/>
                <w:numId w:val="86"/>
              </w:numPr>
              <w:tabs>
                <w:tab w:val="left" w:pos="504"/>
              </w:tabs>
              <w:autoSpaceDE w:val="0"/>
              <w:autoSpaceDN w:val="0"/>
              <w:spacing w:after="0" w:line="240" w:lineRule="auto"/>
              <w:rPr>
                <w:rFonts w:ascii="Cambria" w:eastAsia="Cambria" w:hAnsi="Cambria" w:cs="Cambria"/>
                <w:color w:val="333333"/>
                <w:lang w:val="hr-HR"/>
              </w:rPr>
            </w:pPr>
            <w:r w:rsidRPr="00DF4CE5">
              <w:rPr>
                <w:rFonts w:ascii="Cambria" w:eastAsia="Cambria" w:hAnsi="Cambria" w:cs="Cambria"/>
                <w:lang w:val="hr-HR"/>
              </w:rPr>
              <w:t>Matijević,</w:t>
            </w:r>
            <w:r w:rsidRPr="00DF4CE5">
              <w:rPr>
                <w:rFonts w:ascii="Cambria" w:eastAsia="Cambria" w:hAnsi="Cambria" w:cs="Cambria"/>
                <w:spacing w:val="27"/>
                <w:lang w:val="hr-HR"/>
              </w:rPr>
              <w:t xml:space="preserve"> </w:t>
            </w:r>
            <w:r w:rsidRPr="00DF4CE5">
              <w:rPr>
                <w:rFonts w:ascii="Cambria" w:eastAsia="Cambria" w:hAnsi="Cambria" w:cs="Cambria"/>
                <w:lang w:val="hr-HR"/>
              </w:rPr>
              <w:t>M.</w:t>
            </w:r>
            <w:r w:rsidRPr="00DF4CE5">
              <w:rPr>
                <w:rFonts w:ascii="Cambria" w:eastAsia="Cambria" w:hAnsi="Cambria" w:cs="Cambria"/>
                <w:spacing w:val="27"/>
                <w:lang w:val="hr-HR"/>
              </w:rPr>
              <w:t xml:space="preserve"> </w:t>
            </w:r>
            <w:r w:rsidRPr="00DF4CE5">
              <w:rPr>
                <w:rFonts w:ascii="Cambria" w:eastAsia="Cambria" w:hAnsi="Cambria" w:cs="Cambria"/>
                <w:lang w:val="hr-HR"/>
              </w:rPr>
              <w:t>(2004).</w:t>
            </w:r>
            <w:r w:rsidRPr="00DF4CE5">
              <w:rPr>
                <w:rFonts w:ascii="Cambria" w:eastAsia="Cambria" w:hAnsi="Cambria" w:cs="Cambria"/>
                <w:spacing w:val="27"/>
                <w:lang w:val="hr-HR"/>
              </w:rPr>
              <w:t xml:space="preserve"> </w:t>
            </w:r>
            <w:r w:rsidRPr="00DF4CE5">
              <w:rPr>
                <w:rFonts w:ascii="Cambria" w:eastAsia="Cambria" w:hAnsi="Cambria" w:cs="Cambria"/>
                <w:lang w:val="hr-HR"/>
              </w:rPr>
              <w:t>Ocjenjivanje</w:t>
            </w:r>
            <w:r w:rsidRPr="00DF4CE5">
              <w:rPr>
                <w:rFonts w:ascii="Cambria" w:eastAsia="Cambria" w:hAnsi="Cambria" w:cs="Cambria"/>
                <w:spacing w:val="27"/>
                <w:lang w:val="hr-HR"/>
              </w:rPr>
              <w:t xml:space="preserve"> </w:t>
            </w:r>
            <w:r w:rsidRPr="00DF4CE5">
              <w:rPr>
                <w:rFonts w:ascii="Cambria" w:eastAsia="Cambria" w:hAnsi="Cambria" w:cs="Cambria"/>
                <w:lang w:val="hr-HR"/>
              </w:rPr>
              <w:t>u</w:t>
            </w:r>
            <w:r w:rsidRPr="00DF4CE5">
              <w:rPr>
                <w:rFonts w:ascii="Cambria" w:eastAsia="Cambria" w:hAnsi="Cambria" w:cs="Cambria"/>
                <w:spacing w:val="27"/>
                <w:lang w:val="hr-HR"/>
              </w:rPr>
              <w:t xml:space="preserve"> </w:t>
            </w:r>
            <w:r w:rsidRPr="00DF4CE5">
              <w:rPr>
                <w:rFonts w:ascii="Cambria" w:eastAsia="Cambria" w:hAnsi="Cambria" w:cs="Cambria"/>
                <w:lang w:val="hr-HR"/>
              </w:rPr>
              <w:t>osnovnoj</w:t>
            </w:r>
            <w:r w:rsidRPr="00DF4CE5">
              <w:rPr>
                <w:rFonts w:ascii="Cambria" w:eastAsia="Cambria" w:hAnsi="Cambria" w:cs="Cambria"/>
                <w:spacing w:val="27"/>
                <w:lang w:val="hr-HR"/>
              </w:rPr>
              <w:t xml:space="preserve"> </w:t>
            </w:r>
            <w:r w:rsidRPr="00DF4CE5">
              <w:rPr>
                <w:rFonts w:ascii="Cambria" w:eastAsia="Cambria" w:hAnsi="Cambria" w:cs="Cambria"/>
                <w:lang w:val="hr-HR"/>
              </w:rPr>
              <w:t>školi.</w:t>
            </w:r>
            <w:r w:rsidRPr="00DF4CE5">
              <w:rPr>
                <w:rFonts w:ascii="Cambria" w:eastAsia="Cambria" w:hAnsi="Cambria" w:cs="Cambria"/>
                <w:spacing w:val="27"/>
                <w:lang w:val="hr-HR"/>
              </w:rPr>
              <w:t xml:space="preserve"> </w:t>
            </w:r>
            <w:r w:rsidRPr="00DF4CE5">
              <w:rPr>
                <w:rFonts w:ascii="Cambria" w:eastAsia="Cambria" w:hAnsi="Cambria" w:cs="Cambria"/>
                <w:lang w:val="hr-HR"/>
              </w:rPr>
              <w:t>Zagreb:</w:t>
            </w:r>
          </w:p>
          <w:p w14:paraId="58FFCE2D" w14:textId="77777777" w:rsidR="003415F8" w:rsidRPr="00DF4CE5" w:rsidRDefault="003415F8" w:rsidP="00587D5D">
            <w:pPr>
              <w:widowControl w:val="0"/>
              <w:autoSpaceDE w:val="0"/>
              <w:autoSpaceDN w:val="0"/>
              <w:spacing w:after="0" w:line="240" w:lineRule="auto"/>
              <w:ind w:left="503"/>
              <w:rPr>
                <w:rFonts w:ascii="Cambria" w:eastAsia="Cambria" w:hAnsi="Cambria" w:cs="Cambria"/>
                <w:lang w:val="hr-HR"/>
              </w:rPr>
            </w:pPr>
            <w:proofErr w:type="spellStart"/>
            <w:r w:rsidRPr="00DF4CE5">
              <w:rPr>
                <w:rFonts w:ascii="Cambria" w:eastAsia="Cambria" w:hAnsi="Cambria" w:cs="Cambria"/>
                <w:lang w:val="hr-HR"/>
              </w:rPr>
              <w:t>Tipex</w:t>
            </w:r>
            <w:proofErr w:type="spellEnd"/>
            <w:r w:rsidRPr="00DF4CE5">
              <w:rPr>
                <w:rFonts w:ascii="Cambria" w:eastAsia="Cambria" w:hAnsi="Cambria" w:cs="Cambria"/>
                <w:lang w:val="hr-HR"/>
              </w:rPr>
              <w:t>.</w:t>
            </w:r>
          </w:p>
          <w:p w14:paraId="6895748E" w14:textId="77777777" w:rsidR="003415F8" w:rsidRPr="00DF4CE5" w:rsidRDefault="003415F8" w:rsidP="00A034E3">
            <w:pPr>
              <w:widowControl w:val="0"/>
              <w:numPr>
                <w:ilvl w:val="0"/>
                <w:numId w:val="86"/>
              </w:numPr>
              <w:tabs>
                <w:tab w:val="left" w:pos="504"/>
              </w:tabs>
              <w:autoSpaceDE w:val="0"/>
              <w:autoSpaceDN w:val="0"/>
              <w:spacing w:after="0" w:line="240" w:lineRule="auto"/>
              <w:ind w:right="125"/>
              <w:rPr>
                <w:rFonts w:ascii="Cambria" w:eastAsia="Cambria" w:hAnsi="Cambria" w:cs="Cambria"/>
                <w:color w:val="333333"/>
                <w:lang w:val="hr-HR"/>
              </w:rPr>
            </w:pPr>
            <w:proofErr w:type="spellStart"/>
            <w:r w:rsidRPr="00DF4CE5">
              <w:rPr>
                <w:rFonts w:ascii="Cambria" w:eastAsia="Cambria" w:hAnsi="Cambria" w:cs="Cambria"/>
                <w:lang w:val="hr-HR"/>
              </w:rPr>
              <w:t>Visinko</w:t>
            </w:r>
            <w:proofErr w:type="spellEnd"/>
            <w:r w:rsidRPr="00DF4CE5">
              <w:rPr>
                <w:rFonts w:ascii="Cambria" w:eastAsia="Cambria" w:hAnsi="Cambria" w:cs="Cambria"/>
                <w:lang w:val="hr-HR"/>
              </w:rPr>
              <w:t>,</w:t>
            </w:r>
            <w:r w:rsidRPr="00DF4CE5">
              <w:rPr>
                <w:rFonts w:ascii="Cambria" w:eastAsia="Cambria" w:hAnsi="Cambria" w:cs="Cambria"/>
                <w:spacing w:val="25"/>
                <w:lang w:val="hr-HR"/>
              </w:rPr>
              <w:t xml:space="preserve"> </w:t>
            </w:r>
            <w:r w:rsidRPr="00DF4CE5">
              <w:rPr>
                <w:rFonts w:ascii="Cambria" w:eastAsia="Cambria" w:hAnsi="Cambria" w:cs="Cambria"/>
                <w:lang w:val="hr-HR"/>
              </w:rPr>
              <w:t>K.</w:t>
            </w:r>
            <w:r w:rsidRPr="00DF4CE5">
              <w:rPr>
                <w:rFonts w:ascii="Cambria" w:eastAsia="Cambria" w:hAnsi="Cambria" w:cs="Cambria"/>
                <w:spacing w:val="25"/>
                <w:lang w:val="hr-HR"/>
              </w:rPr>
              <w:t xml:space="preserve"> </w:t>
            </w:r>
            <w:r w:rsidRPr="00DF4CE5">
              <w:rPr>
                <w:rFonts w:ascii="Cambria" w:eastAsia="Cambria" w:hAnsi="Cambria" w:cs="Cambria"/>
                <w:lang w:val="hr-HR"/>
              </w:rPr>
              <w:t>(2014).</w:t>
            </w:r>
            <w:r w:rsidRPr="00DF4CE5">
              <w:rPr>
                <w:rFonts w:ascii="Cambria" w:eastAsia="Cambria" w:hAnsi="Cambria" w:cs="Cambria"/>
                <w:spacing w:val="25"/>
                <w:lang w:val="hr-HR"/>
              </w:rPr>
              <w:t xml:space="preserve"> </w:t>
            </w:r>
            <w:r w:rsidRPr="00DF4CE5">
              <w:rPr>
                <w:rFonts w:ascii="Cambria" w:eastAsia="Cambria" w:hAnsi="Cambria" w:cs="Cambria"/>
                <w:lang w:val="hr-HR"/>
              </w:rPr>
              <w:t>Čitanje:</w:t>
            </w:r>
            <w:r w:rsidRPr="00DF4CE5">
              <w:rPr>
                <w:rFonts w:ascii="Cambria" w:eastAsia="Cambria" w:hAnsi="Cambria" w:cs="Cambria"/>
                <w:spacing w:val="23"/>
                <w:lang w:val="hr-HR"/>
              </w:rPr>
              <w:t xml:space="preserve"> </w:t>
            </w:r>
            <w:r w:rsidRPr="00DF4CE5">
              <w:rPr>
                <w:rFonts w:ascii="Cambria" w:eastAsia="Cambria" w:hAnsi="Cambria" w:cs="Cambria"/>
                <w:lang w:val="hr-HR"/>
              </w:rPr>
              <w:t>poučavanje</w:t>
            </w:r>
            <w:r w:rsidRPr="00DF4CE5">
              <w:rPr>
                <w:rFonts w:ascii="Cambria" w:eastAsia="Cambria" w:hAnsi="Cambria" w:cs="Cambria"/>
                <w:spacing w:val="22"/>
                <w:lang w:val="hr-HR"/>
              </w:rPr>
              <w:t xml:space="preserve"> </w:t>
            </w:r>
            <w:r w:rsidRPr="00DF4CE5">
              <w:rPr>
                <w:rFonts w:ascii="Cambria" w:eastAsia="Cambria" w:hAnsi="Cambria" w:cs="Cambria"/>
                <w:lang w:val="hr-HR"/>
              </w:rPr>
              <w:t>i</w:t>
            </w:r>
            <w:r w:rsidRPr="00DF4CE5">
              <w:rPr>
                <w:rFonts w:ascii="Cambria" w:eastAsia="Cambria" w:hAnsi="Cambria" w:cs="Cambria"/>
                <w:spacing w:val="24"/>
                <w:lang w:val="hr-HR"/>
              </w:rPr>
              <w:t xml:space="preserve"> </w:t>
            </w:r>
            <w:r w:rsidRPr="00DF4CE5">
              <w:rPr>
                <w:rFonts w:ascii="Cambria" w:eastAsia="Cambria" w:hAnsi="Cambria" w:cs="Cambria"/>
                <w:lang w:val="hr-HR"/>
              </w:rPr>
              <w:t>učenje.</w:t>
            </w:r>
            <w:r w:rsidRPr="00DF4CE5">
              <w:rPr>
                <w:rFonts w:ascii="Cambria" w:eastAsia="Cambria" w:hAnsi="Cambria" w:cs="Cambria"/>
                <w:spacing w:val="23"/>
                <w:lang w:val="hr-HR"/>
              </w:rPr>
              <w:t xml:space="preserve"> </w:t>
            </w:r>
            <w:r w:rsidRPr="00DF4CE5">
              <w:rPr>
                <w:rFonts w:ascii="Cambria" w:eastAsia="Cambria" w:hAnsi="Cambria" w:cs="Cambria"/>
                <w:lang w:val="hr-HR"/>
              </w:rPr>
              <w:t>Zagreb:</w:t>
            </w:r>
            <w:r w:rsidRPr="00DF4CE5">
              <w:rPr>
                <w:rFonts w:ascii="Cambria" w:eastAsia="Cambria" w:hAnsi="Cambria" w:cs="Cambria"/>
                <w:spacing w:val="-50"/>
                <w:lang w:val="hr-HR"/>
              </w:rPr>
              <w:t xml:space="preserve"> </w:t>
            </w:r>
            <w:r w:rsidRPr="00DF4CE5">
              <w:rPr>
                <w:rFonts w:ascii="Cambria" w:eastAsia="Cambria" w:hAnsi="Cambria" w:cs="Cambria"/>
                <w:lang w:val="hr-HR"/>
              </w:rPr>
              <w:t>Školska</w:t>
            </w:r>
            <w:r w:rsidRPr="00DF4CE5">
              <w:rPr>
                <w:rFonts w:ascii="Cambria" w:eastAsia="Cambria" w:hAnsi="Cambria" w:cs="Cambria"/>
                <w:spacing w:val="-2"/>
                <w:lang w:val="hr-HR"/>
              </w:rPr>
              <w:t xml:space="preserve"> </w:t>
            </w:r>
            <w:r w:rsidRPr="00DF4CE5">
              <w:rPr>
                <w:rFonts w:ascii="Cambria" w:eastAsia="Cambria" w:hAnsi="Cambria" w:cs="Cambria"/>
                <w:lang w:val="hr-HR"/>
              </w:rPr>
              <w:t>knjiga.</w:t>
            </w:r>
          </w:p>
          <w:p w14:paraId="48A54E1E" w14:textId="77777777" w:rsidR="003415F8" w:rsidRPr="00DF4CE5" w:rsidRDefault="003415F8" w:rsidP="00587D5D">
            <w:pPr>
              <w:widowControl w:val="0"/>
              <w:autoSpaceDE w:val="0"/>
              <w:autoSpaceDN w:val="0"/>
              <w:spacing w:after="0" w:line="240" w:lineRule="auto"/>
              <w:ind w:left="143"/>
              <w:rPr>
                <w:rFonts w:ascii="Cambria" w:eastAsia="Cambria" w:hAnsi="Cambria" w:cs="Cambria"/>
                <w:lang w:val="hr-HR"/>
              </w:rPr>
            </w:pPr>
            <w:r w:rsidRPr="00DF4CE5">
              <w:rPr>
                <w:rFonts w:ascii="Cambria" w:eastAsia="Cambria" w:hAnsi="Cambria" w:cs="Cambria"/>
                <w:lang w:val="hr-HR"/>
              </w:rPr>
              <w:t>Izborna:</w:t>
            </w:r>
          </w:p>
          <w:p w14:paraId="08B2A945" w14:textId="77777777" w:rsidR="003415F8" w:rsidRPr="00DF4CE5" w:rsidRDefault="003415F8" w:rsidP="00A034E3">
            <w:pPr>
              <w:widowControl w:val="0"/>
              <w:numPr>
                <w:ilvl w:val="0"/>
                <w:numId w:val="86"/>
              </w:numPr>
              <w:tabs>
                <w:tab w:val="left" w:pos="504"/>
              </w:tabs>
              <w:autoSpaceDE w:val="0"/>
              <w:autoSpaceDN w:val="0"/>
              <w:spacing w:after="0" w:line="240" w:lineRule="auto"/>
              <w:ind w:right="128"/>
              <w:rPr>
                <w:rFonts w:ascii="Cambria" w:eastAsia="Cambria" w:hAnsi="Cambria" w:cs="Cambria"/>
                <w:lang w:val="hr-HR"/>
              </w:rPr>
            </w:pPr>
            <w:proofErr w:type="spellStart"/>
            <w:r w:rsidRPr="00DF4CE5">
              <w:rPr>
                <w:rFonts w:ascii="Cambria" w:eastAsia="Cambria" w:hAnsi="Cambria" w:cs="Cambria"/>
                <w:color w:val="333333"/>
                <w:lang w:val="hr-HR"/>
              </w:rPr>
              <w:t>Hollins</w:t>
            </w:r>
            <w:proofErr w:type="spellEnd"/>
            <w:r w:rsidRPr="00DF4CE5">
              <w:rPr>
                <w:rFonts w:ascii="Cambria" w:eastAsia="Cambria" w:hAnsi="Cambria" w:cs="Cambria"/>
                <w:color w:val="333333"/>
                <w:lang w:val="hr-HR"/>
              </w:rPr>
              <w:t>,</w:t>
            </w:r>
            <w:r w:rsidRPr="00DF4CE5">
              <w:rPr>
                <w:rFonts w:ascii="Cambria" w:eastAsia="Cambria" w:hAnsi="Cambria" w:cs="Cambria"/>
                <w:color w:val="333333"/>
                <w:spacing w:val="40"/>
                <w:lang w:val="hr-HR"/>
              </w:rPr>
              <w:t xml:space="preserve"> </w:t>
            </w:r>
            <w:r w:rsidRPr="00DF4CE5">
              <w:rPr>
                <w:rFonts w:ascii="Cambria" w:eastAsia="Cambria" w:hAnsi="Cambria" w:cs="Cambria"/>
                <w:color w:val="333333"/>
                <w:lang w:val="hr-HR"/>
              </w:rPr>
              <w:t>E.R.</w:t>
            </w:r>
            <w:r w:rsidRPr="00DF4CE5">
              <w:rPr>
                <w:rFonts w:ascii="Cambria" w:eastAsia="Cambria" w:hAnsi="Cambria" w:cs="Cambria"/>
                <w:color w:val="333333"/>
                <w:spacing w:val="39"/>
                <w:lang w:val="hr-HR"/>
              </w:rPr>
              <w:t xml:space="preserve"> </w:t>
            </w:r>
            <w:r w:rsidRPr="00DF4CE5">
              <w:rPr>
                <w:rFonts w:ascii="Cambria" w:eastAsia="Cambria" w:hAnsi="Cambria" w:cs="Cambria"/>
                <w:color w:val="333333"/>
                <w:lang w:val="hr-HR"/>
              </w:rPr>
              <w:t>(2009).</w:t>
            </w:r>
            <w:r w:rsidRPr="00DF4CE5">
              <w:rPr>
                <w:rFonts w:ascii="Cambria" w:eastAsia="Cambria" w:hAnsi="Cambria" w:cs="Cambria"/>
                <w:color w:val="333333"/>
                <w:spacing w:val="40"/>
                <w:lang w:val="hr-HR"/>
              </w:rPr>
              <w:t xml:space="preserve"> </w:t>
            </w:r>
            <w:proofErr w:type="spellStart"/>
            <w:r w:rsidRPr="00DF4CE5">
              <w:rPr>
                <w:rFonts w:ascii="Cambria" w:eastAsia="Cambria" w:hAnsi="Cambria" w:cs="Cambria"/>
                <w:color w:val="333333"/>
                <w:lang w:val="hr-HR"/>
              </w:rPr>
              <w:t>Culture</w:t>
            </w:r>
            <w:proofErr w:type="spellEnd"/>
            <w:r w:rsidRPr="00DF4CE5">
              <w:rPr>
                <w:rFonts w:ascii="Cambria" w:eastAsia="Cambria" w:hAnsi="Cambria" w:cs="Cambria"/>
                <w:color w:val="333333"/>
                <w:spacing w:val="39"/>
                <w:lang w:val="hr-HR"/>
              </w:rPr>
              <w:t xml:space="preserve"> </w:t>
            </w:r>
            <w:proofErr w:type="spellStart"/>
            <w:r w:rsidRPr="00DF4CE5">
              <w:rPr>
                <w:rFonts w:ascii="Cambria" w:eastAsia="Cambria" w:hAnsi="Cambria" w:cs="Cambria"/>
                <w:color w:val="333333"/>
                <w:lang w:val="hr-HR"/>
              </w:rPr>
              <w:t>in</w:t>
            </w:r>
            <w:proofErr w:type="spellEnd"/>
            <w:r w:rsidRPr="00DF4CE5">
              <w:rPr>
                <w:rFonts w:ascii="Cambria" w:eastAsia="Cambria" w:hAnsi="Cambria" w:cs="Cambria"/>
                <w:color w:val="333333"/>
                <w:spacing w:val="40"/>
                <w:lang w:val="hr-HR"/>
              </w:rPr>
              <w:t xml:space="preserve"> </w:t>
            </w:r>
            <w:proofErr w:type="spellStart"/>
            <w:r w:rsidRPr="00DF4CE5">
              <w:rPr>
                <w:rFonts w:ascii="Cambria" w:eastAsia="Cambria" w:hAnsi="Cambria" w:cs="Cambria"/>
                <w:color w:val="333333"/>
                <w:lang w:val="hr-HR"/>
              </w:rPr>
              <w:t>school</w:t>
            </w:r>
            <w:proofErr w:type="spellEnd"/>
            <w:r w:rsidRPr="00DF4CE5">
              <w:rPr>
                <w:rFonts w:ascii="Cambria" w:eastAsia="Cambria" w:hAnsi="Cambria" w:cs="Cambria"/>
                <w:color w:val="333333"/>
                <w:spacing w:val="38"/>
                <w:lang w:val="hr-HR"/>
              </w:rPr>
              <w:t xml:space="preserve"> </w:t>
            </w:r>
            <w:proofErr w:type="spellStart"/>
            <w:r w:rsidRPr="00DF4CE5">
              <w:rPr>
                <w:rFonts w:ascii="Cambria" w:eastAsia="Cambria" w:hAnsi="Cambria" w:cs="Cambria"/>
                <w:color w:val="333333"/>
                <w:lang w:val="hr-HR"/>
              </w:rPr>
              <w:t>learning</w:t>
            </w:r>
            <w:proofErr w:type="spellEnd"/>
            <w:r w:rsidRPr="00DF4CE5">
              <w:rPr>
                <w:rFonts w:ascii="Cambria" w:eastAsia="Cambria" w:hAnsi="Cambria" w:cs="Cambria"/>
                <w:color w:val="333333"/>
                <w:lang w:val="hr-HR"/>
              </w:rPr>
              <w:t>.</w:t>
            </w:r>
            <w:r w:rsidRPr="00DF4CE5">
              <w:rPr>
                <w:rFonts w:ascii="Cambria" w:eastAsia="Cambria" w:hAnsi="Cambria" w:cs="Cambria"/>
                <w:color w:val="333333"/>
                <w:spacing w:val="39"/>
                <w:lang w:val="hr-HR"/>
              </w:rPr>
              <w:t xml:space="preserve"> </w:t>
            </w:r>
            <w:proofErr w:type="spellStart"/>
            <w:r w:rsidRPr="00DF4CE5">
              <w:rPr>
                <w:rFonts w:ascii="Cambria" w:eastAsia="Cambria" w:hAnsi="Cambria" w:cs="Cambria"/>
                <w:color w:val="333333"/>
                <w:lang w:val="hr-HR"/>
              </w:rPr>
              <w:t>Routledge</w:t>
            </w:r>
            <w:proofErr w:type="spellEnd"/>
            <w:r w:rsidRPr="00DF4CE5">
              <w:rPr>
                <w:rFonts w:ascii="Cambria" w:eastAsia="Cambria" w:hAnsi="Cambria" w:cs="Cambria"/>
                <w:color w:val="333333"/>
                <w:lang w:val="hr-HR"/>
              </w:rPr>
              <w:t>,</w:t>
            </w:r>
            <w:r w:rsidRPr="00DF4CE5">
              <w:rPr>
                <w:rFonts w:ascii="Cambria" w:eastAsia="Cambria" w:hAnsi="Cambria" w:cs="Cambria"/>
                <w:color w:val="333333"/>
                <w:spacing w:val="-49"/>
                <w:lang w:val="hr-HR"/>
              </w:rPr>
              <w:t xml:space="preserve"> </w:t>
            </w:r>
            <w:r w:rsidRPr="00DF4CE5">
              <w:rPr>
                <w:rFonts w:ascii="Cambria" w:eastAsia="Cambria" w:hAnsi="Cambria" w:cs="Cambria"/>
                <w:color w:val="333333"/>
                <w:lang w:val="hr-HR"/>
              </w:rPr>
              <w:t>New</w:t>
            </w:r>
            <w:r w:rsidRPr="00DF4CE5">
              <w:rPr>
                <w:rFonts w:ascii="Cambria" w:eastAsia="Cambria" w:hAnsi="Cambria" w:cs="Cambria"/>
                <w:color w:val="333333"/>
                <w:spacing w:val="-2"/>
                <w:lang w:val="hr-HR"/>
              </w:rPr>
              <w:t xml:space="preserve"> </w:t>
            </w:r>
            <w:r w:rsidRPr="00DF4CE5">
              <w:rPr>
                <w:rFonts w:ascii="Cambria" w:eastAsia="Cambria" w:hAnsi="Cambria" w:cs="Cambria"/>
                <w:color w:val="333333"/>
                <w:lang w:val="hr-HR"/>
              </w:rPr>
              <w:t>York</w:t>
            </w:r>
          </w:p>
          <w:p w14:paraId="491483C6" w14:textId="77777777" w:rsidR="003415F8" w:rsidRPr="00DF4CE5" w:rsidRDefault="003415F8" w:rsidP="00A034E3">
            <w:pPr>
              <w:widowControl w:val="0"/>
              <w:numPr>
                <w:ilvl w:val="0"/>
                <w:numId w:val="86"/>
              </w:numPr>
              <w:tabs>
                <w:tab w:val="left" w:pos="504"/>
              </w:tabs>
              <w:autoSpaceDE w:val="0"/>
              <w:autoSpaceDN w:val="0"/>
              <w:spacing w:after="0" w:line="240" w:lineRule="auto"/>
              <w:ind w:right="128"/>
              <w:rPr>
                <w:rFonts w:ascii="Cambria" w:eastAsia="Cambria" w:hAnsi="Cambria" w:cs="Cambria"/>
                <w:color w:val="333333"/>
                <w:lang w:val="hr-HR"/>
              </w:rPr>
            </w:pPr>
            <w:proofErr w:type="spellStart"/>
            <w:r w:rsidRPr="00DF4CE5">
              <w:rPr>
                <w:rFonts w:ascii="Cambria" w:eastAsia="Cambria" w:hAnsi="Cambria" w:cs="Cambria"/>
                <w:color w:val="333333"/>
                <w:lang w:val="hr-HR"/>
              </w:rPr>
              <w:t>Kostelnik</w:t>
            </w:r>
            <w:proofErr w:type="spellEnd"/>
            <w:r w:rsidRPr="00DF4CE5">
              <w:rPr>
                <w:rFonts w:ascii="Cambria" w:eastAsia="Cambria" w:hAnsi="Cambria" w:cs="Cambria"/>
                <w:color w:val="333333"/>
                <w:lang w:val="hr-HR"/>
              </w:rPr>
              <w:t>,</w:t>
            </w:r>
            <w:r w:rsidRPr="00DF4CE5">
              <w:rPr>
                <w:rFonts w:ascii="Cambria" w:eastAsia="Cambria" w:hAnsi="Cambria" w:cs="Cambria"/>
                <w:color w:val="333333"/>
                <w:spacing w:val="2"/>
                <w:lang w:val="hr-HR"/>
              </w:rPr>
              <w:t xml:space="preserve"> </w:t>
            </w:r>
            <w:r w:rsidRPr="00DF4CE5">
              <w:rPr>
                <w:rFonts w:ascii="Cambria" w:eastAsia="Cambria" w:hAnsi="Cambria" w:cs="Cambria"/>
                <w:color w:val="333333"/>
                <w:lang w:val="hr-HR"/>
              </w:rPr>
              <w:t xml:space="preserve">M., </w:t>
            </w:r>
            <w:proofErr w:type="spellStart"/>
            <w:r w:rsidRPr="00DF4CE5">
              <w:rPr>
                <w:rFonts w:ascii="Cambria" w:eastAsia="Cambria" w:hAnsi="Cambria" w:cs="Cambria"/>
                <w:color w:val="333333"/>
                <w:lang w:val="hr-HR"/>
              </w:rPr>
              <w:t>Onaga</w:t>
            </w:r>
            <w:proofErr w:type="spellEnd"/>
            <w:r w:rsidRPr="00DF4CE5">
              <w:rPr>
                <w:rFonts w:ascii="Cambria" w:eastAsia="Cambria" w:hAnsi="Cambria" w:cs="Cambria"/>
                <w:color w:val="333333"/>
                <w:lang w:val="hr-HR"/>
              </w:rPr>
              <w:t xml:space="preserve">, E., </w:t>
            </w:r>
            <w:proofErr w:type="spellStart"/>
            <w:r w:rsidRPr="00DF4CE5">
              <w:rPr>
                <w:rFonts w:ascii="Cambria" w:eastAsia="Cambria" w:hAnsi="Cambria" w:cs="Cambria"/>
                <w:color w:val="333333"/>
                <w:lang w:val="hr-HR"/>
              </w:rPr>
              <w:t>Rohde</w:t>
            </w:r>
            <w:proofErr w:type="spellEnd"/>
            <w:r w:rsidRPr="00DF4CE5">
              <w:rPr>
                <w:rFonts w:ascii="Cambria" w:eastAsia="Cambria" w:hAnsi="Cambria" w:cs="Cambria"/>
                <w:color w:val="333333"/>
                <w:lang w:val="hr-HR"/>
              </w:rPr>
              <w:t>,</w:t>
            </w:r>
            <w:r w:rsidRPr="00DF4CE5">
              <w:rPr>
                <w:rFonts w:ascii="Cambria" w:eastAsia="Cambria" w:hAnsi="Cambria" w:cs="Cambria"/>
                <w:color w:val="333333"/>
                <w:spacing w:val="3"/>
                <w:lang w:val="hr-HR"/>
              </w:rPr>
              <w:t xml:space="preserve"> </w:t>
            </w:r>
            <w:r w:rsidRPr="00DF4CE5">
              <w:rPr>
                <w:rFonts w:ascii="Cambria" w:eastAsia="Cambria" w:hAnsi="Cambria" w:cs="Cambria"/>
                <w:color w:val="333333"/>
                <w:lang w:val="hr-HR"/>
              </w:rPr>
              <w:t xml:space="preserve">B., </w:t>
            </w:r>
            <w:proofErr w:type="spellStart"/>
            <w:r w:rsidRPr="00DF4CE5">
              <w:rPr>
                <w:rFonts w:ascii="Cambria" w:eastAsia="Cambria" w:hAnsi="Cambria" w:cs="Cambria"/>
                <w:color w:val="333333"/>
                <w:lang w:val="hr-HR"/>
              </w:rPr>
              <w:t>Whiren</w:t>
            </w:r>
            <w:proofErr w:type="spellEnd"/>
            <w:r w:rsidRPr="00DF4CE5">
              <w:rPr>
                <w:rFonts w:ascii="Cambria" w:eastAsia="Cambria" w:hAnsi="Cambria" w:cs="Cambria"/>
                <w:color w:val="333333"/>
                <w:lang w:val="hr-HR"/>
              </w:rPr>
              <w:t>,</w:t>
            </w:r>
            <w:r w:rsidRPr="00DF4CE5">
              <w:rPr>
                <w:rFonts w:ascii="Cambria" w:eastAsia="Cambria" w:hAnsi="Cambria" w:cs="Cambria"/>
                <w:color w:val="333333"/>
                <w:spacing w:val="2"/>
                <w:lang w:val="hr-HR"/>
              </w:rPr>
              <w:t xml:space="preserve"> </w:t>
            </w:r>
            <w:r w:rsidRPr="00DF4CE5">
              <w:rPr>
                <w:rFonts w:ascii="Cambria" w:eastAsia="Cambria" w:hAnsi="Cambria" w:cs="Cambria"/>
                <w:color w:val="333333"/>
                <w:lang w:val="hr-HR"/>
              </w:rPr>
              <w:t>A. (2004).</w:t>
            </w:r>
            <w:r w:rsidRPr="00DF4CE5">
              <w:rPr>
                <w:rFonts w:ascii="Cambria" w:eastAsia="Cambria" w:hAnsi="Cambria" w:cs="Cambria"/>
                <w:color w:val="333333"/>
                <w:spacing w:val="2"/>
                <w:lang w:val="hr-HR"/>
              </w:rPr>
              <w:t xml:space="preserve"> </w:t>
            </w:r>
            <w:r w:rsidRPr="00DF4CE5">
              <w:rPr>
                <w:rFonts w:ascii="Cambria" w:eastAsia="Cambria" w:hAnsi="Cambria" w:cs="Cambria"/>
                <w:color w:val="333333"/>
                <w:lang w:val="hr-HR"/>
              </w:rPr>
              <w:t>Djeca</w:t>
            </w:r>
            <w:r w:rsidRPr="00DF4CE5">
              <w:rPr>
                <w:rFonts w:ascii="Cambria" w:eastAsia="Cambria" w:hAnsi="Cambria" w:cs="Cambria"/>
                <w:color w:val="333333"/>
                <w:spacing w:val="1"/>
                <w:lang w:val="hr-HR"/>
              </w:rPr>
              <w:t xml:space="preserve"> </w:t>
            </w:r>
            <w:r w:rsidRPr="00DF4CE5">
              <w:rPr>
                <w:rFonts w:ascii="Cambria" w:eastAsia="Cambria" w:hAnsi="Cambria" w:cs="Cambria"/>
                <w:color w:val="333333"/>
                <w:lang w:val="hr-HR"/>
              </w:rPr>
              <w:t>s</w:t>
            </w:r>
            <w:r w:rsidRPr="00DF4CE5">
              <w:rPr>
                <w:rFonts w:ascii="Cambria" w:eastAsia="Cambria" w:hAnsi="Cambria" w:cs="Cambria"/>
                <w:color w:val="333333"/>
                <w:spacing w:val="-50"/>
                <w:lang w:val="hr-HR"/>
              </w:rPr>
              <w:t xml:space="preserve"> </w:t>
            </w:r>
            <w:r w:rsidRPr="00DF4CE5">
              <w:rPr>
                <w:rFonts w:ascii="Cambria" w:eastAsia="Cambria" w:hAnsi="Cambria" w:cs="Cambria"/>
                <w:color w:val="333333"/>
                <w:lang w:val="hr-HR"/>
              </w:rPr>
              <w:t>posebnim</w:t>
            </w:r>
            <w:r w:rsidRPr="00DF4CE5">
              <w:rPr>
                <w:rFonts w:ascii="Cambria" w:eastAsia="Cambria" w:hAnsi="Cambria" w:cs="Cambria"/>
                <w:color w:val="333333"/>
                <w:spacing w:val="-2"/>
                <w:lang w:val="hr-HR"/>
              </w:rPr>
              <w:t xml:space="preserve"> </w:t>
            </w:r>
            <w:r w:rsidRPr="00DF4CE5">
              <w:rPr>
                <w:rFonts w:ascii="Cambria" w:eastAsia="Cambria" w:hAnsi="Cambria" w:cs="Cambria"/>
                <w:color w:val="333333"/>
                <w:lang w:val="hr-HR"/>
              </w:rPr>
              <w:t>potrebama,</w:t>
            </w:r>
            <w:r w:rsidRPr="00DF4CE5">
              <w:rPr>
                <w:rFonts w:ascii="Cambria" w:eastAsia="Cambria" w:hAnsi="Cambria" w:cs="Cambria"/>
                <w:color w:val="333333"/>
                <w:spacing w:val="-2"/>
                <w:lang w:val="hr-HR"/>
              </w:rPr>
              <w:t xml:space="preserve"> </w:t>
            </w:r>
            <w:r w:rsidRPr="00DF4CE5">
              <w:rPr>
                <w:rFonts w:ascii="Cambria" w:eastAsia="Cambria" w:hAnsi="Cambria" w:cs="Cambria"/>
                <w:color w:val="333333"/>
                <w:lang w:val="hr-HR"/>
              </w:rPr>
              <w:t>Educa, Zagreb.</w:t>
            </w:r>
          </w:p>
          <w:p w14:paraId="33101640" w14:textId="77777777" w:rsidR="003415F8" w:rsidRPr="00DF4CE5" w:rsidRDefault="003415F8" w:rsidP="00587D5D">
            <w:pPr>
              <w:widowControl w:val="0"/>
              <w:autoSpaceDE w:val="0"/>
              <w:autoSpaceDN w:val="0"/>
              <w:spacing w:after="0" w:line="240" w:lineRule="auto"/>
              <w:ind w:left="143"/>
              <w:rPr>
                <w:rFonts w:ascii="Cambria" w:eastAsia="Cambria" w:hAnsi="Cambria" w:cs="Cambria"/>
                <w:lang w:val="hr-HR"/>
              </w:rPr>
            </w:pPr>
            <w:r w:rsidRPr="00DF4CE5">
              <w:rPr>
                <w:rFonts w:ascii="Cambria" w:eastAsia="Cambria" w:hAnsi="Cambria" w:cs="Cambria"/>
                <w:lang w:val="hr-HR"/>
              </w:rPr>
              <w:t>Priručna:</w:t>
            </w:r>
          </w:p>
          <w:p w14:paraId="0B326E7E" w14:textId="77777777" w:rsidR="003415F8" w:rsidRPr="00DF4CE5" w:rsidRDefault="003415F8" w:rsidP="00587D5D">
            <w:pPr>
              <w:widowControl w:val="0"/>
              <w:autoSpaceDE w:val="0"/>
              <w:autoSpaceDN w:val="0"/>
              <w:spacing w:after="0" w:line="240" w:lineRule="auto"/>
              <w:ind w:left="143"/>
              <w:rPr>
                <w:rFonts w:ascii="Cambria" w:eastAsia="Cambria" w:hAnsi="Cambria" w:cs="Cambria"/>
                <w:lang w:val="hr-HR"/>
              </w:rPr>
            </w:pPr>
            <w:r w:rsidRPr="00DF4CE5">
              <w:rPr>
                <w:rFonts w:ascii="Cambria" w:eastAsia="Cambria" w:hAnsi="Cambria" w:cs="Cambria"/>
                <w:lang w:val="hr-HR"/>
              </w:rPr>
              <w:t>1.</w:t>
            </w:r>
            <w:r w:rsidRPr="00DF4CE5">
              <w:rPr>
                <w:rFonts w:ascii="Cambria" w:eastAsia="Cambria" w:hAnsi="Cambria" w:cs="Cambria"/>
                <w:spacing w:val="70"/>
                <w:lang w:val="hr-HR"/>
              </w:rPr>
              <w:t xml:space="preserve"> </w:t>
            </w:r>
            <w:proofErr w:type="spellStart"/>
            <w:r w:rsidRPr="00DF4CE5">
              <w:rPr>
                <w:rFonts w:ascii="Cambria" w:eastAsia="Cambria" w:hAnsi="Cambria" w:cs="Cambria"/>
                <w:lang w:val="hr-HR"/>
              </w:rPr>
              <w:t>Kurikulumi</w:t>
            </w:r>
            <w:proofErr w:type="spellEnd"/>
            <w:r w:rsidRPr="00DF4CE5">
              <w:rPr>
                <w:rFonts w:ascii="Cambria" w:eastAsia="Cambria" w:hAnsi="Cambria" w:cs="Cambria"/>
                <w:spacing w:val="76"/>
                <w:lang w:val="hr-HR"/>
              </w:rPr>
              <w:t xml:space="preserve"> </w:t>
            </w:r>
            <w:r w:rsidRPr="00DF4CE5">
              <w:rPr>
                <w:rFonts w:ascii="Cambria" w:eastAsia="Cambria" w:hAnsi="Cambria" w:cs="Cambria"/>
                <w:lang w:val="hr-HR"/>
              </w:rPr>
              <w:t>nastavnih</w:t>
            </w:r>
            <w:r w:rsidRPr="00DF4CE5">
              <w:rPr>
                <w:rFonts w:ascii="Cambria" w:eastAsia="Cambria" w:hAnsi="Cambria" w:cs="Cambria"/>
                <w:spacing w:val="75"/>
                <w:lang w:val="hr-HR"/>
              </w:rPr>
              <w:t xml:space="preserve"> </w:t>
            </w:r>
            <w:r w:rsidRPr="00DF4CE5">
              <w:rPr>
                <w:rFonts w:ascii="Cambria" w:eastAsia="Cambria" w:hAnsi="Cambria" w:cs="Cambria"/>
                <w:lang w:val="hr-HR"/>
              </w:rPr>
              <w:t>predmeta</w:t>
            </w:r>
            <w:r w:rsidRPr="00DF4CE5">
              <w:rPr>
                <w:rFonts w:ascii="Cambria" w:eastAsia="Cambria" w:hAnsi="Cambria" w:cs="Cambria"/>
                <w:spacing w:val="76"/>
                <w:lang w:val="hr-HR"/>
              </w:rPr>
              <w:t xml:space="preserve"> </w:t>
            </w:r>
            <w:r w:rsidRPr="00DF4CE5">
              <w:rPr>
                <w:rFonts w:ascii="Cambria" w:eastAsia="Cambria" w:hAnsi="Cambria" w:cs="Cambria"/>
                <w:lang w:val="hr-HR"/>
              </w:rPr>
              <w:t>i</w:t>
            </w:r>
            <w:r w:rsidRPr="00DF4CE5">
              <w:rPr>
                <w:rFonts w:ascii="Cambria" w:eastAsia="Cambria" w:hAnsi="Cambria" w:cs="Cambria"/>
                <w:spacing w:val="76"/>
                <w:lang w:val="hr-HR"/>
              </w:rPr>
              <w:t xml:space="preserve"> </w:t>
            </w:r>
            <w:proofErr w:type="spellStart"/>
            <w:r w:rsidRPr="00DF4CE5">
              <w:rPr>
                <w:rFonts w:ascii="Cambria" w:eastAsia="Cambria" w:hAnsi="Cambria" w:cs="Cambria"/>
                <w:lang w:val="hr-HR"/>
              </w:rPr>
              <w:t>međupredmetnih</w:t>
            </w:r>
            <w:proofErr w:type="spellEnd"/>
            <w:r w:rsidRPr="00DF4CE5">
              <w:rPr>
                <w:rFonts w:ascii="Cambria" w:eastAsia="Cambria" w:hAnsi="Cambria" w:cs="Cambria"/>
                <w:spacing w:val="76"/>
                <w:lang w:val="hr-HR"/>
              </w:rPr>
              <w:t xml:space="preserve"> </w:t>
            </w:r>
            <w:r w:rsidRPr="00DF4CE5">
              <w:rPr>
                <w:rFonts w:ascii="Cambria" w:eastAsia="Cambria" w:hAnsi="Cambria" w:cs="Cambria"/>
                <w:lang w:val="hr-HR"/>
              </w:rPr>
              <w:t>tema</w:t>
            </w:r>
          </w:p>
          <w:p w14:paraId="28C59810" w14:textId="77777777" w:rsidR="003415F8" w:rsidRPr="00DF4CE5" w:rsidRDefault="003415F8" w:rsidP="00587D5D">
            <w:pPr>
              <w:widowControl w:val="0"/>
              <w:autoSpaceDE w:val="0"/>
              <w:autoSpaceDN w:val="0"/>
              <w:spacing w:after="0" w:line="240" w:lineRule="auto"/>
              <w:ind w:left="503"/>
              <w:rPr>
                <w:rFonts w:ascii="Cambria" w:eastAsia="Cambria" w:hAnsi="Cambria" w:cs="Cambria"/>
                <w:lang w:val="hr-HR"/>
              </w:rPr>
            </w:pPr>
            <w:r w:rsidRPr="00DF4CE5">
              <w:rPr>
                <w:rFonts w:ascii="Cambria" w:eastAsia="Cambria" w:hAnsi="Cambria" w:cs="Cambria"/>
                <w:lang w:val="hr-HR"/>
              </w:rPr>
              <w:t>(2019).</w:t>
            </w:r>
            <w:r w:rsidRPr="00DF4CE5">
              <w:rPr>
                <w:rFonts w:ascii="Cambria" w:eastAsia="Cambria" w:hAnsi="Cambria" w:cs="Cambria"/>
                <w:spacing w:val="-2"/>
                <w:lang w:val="hr-HR"/>
              </w:rPr>
              <w:t xml:space="preserve"> </w:t>
            </w:r>
            <w:r w:rsidRPr="00DF4CE5">
              <w:rPr>
                <w:rFonts w:ascii="Cambria" w:eastAsia="Cambria" w:hAnsi="Cambria" w:cs="Cambria"/>
                <w:lang w:val="hr-HR"/>
              </w:rPr>
              <w:t>Zagreb:</w:t>
            </w:r>
            <w:r w:rsidRPr="00DF4CE5">
              <w:rPr>
                <w:rFonts w:ascii="Cambria" w:eastAsia="Cambria" w:hAnsi="Cambria" w:cs="Cambria"/>
                <w:spacing w:val="-2"/>
                <w:lang w:val="hr-HR"/>
              </w:rPr>
              <w:t xml:space="preserve"> </w:t>
            </w:r>
            <w:r w:rsidRPr="00DF4CE5">
              <w:rPr>
                <w:rFonts w:ascii="Cambria" w:eastAsia="Cambria" w:hAnsi="Cambria" w:cs="Cambria"/>
                <w:lang w:val="hr-HR"/>
              </w:rPr>
              <w:t>Ministarstvo znanosti i obrazovanja Republike Hrvatske</w:t>
            </w:r>
          </w:p>
        </w:tc>
      </w:tr>
    </w:tbl>
    <w:p w14:paraId="7E85DD6C" w14:textId="77777777" w:rsidR="003415F8" w:rsidRPr="00DF4CE5" w:rsidRDefault="003415F8" w:rsidP="003415F8">
      <w:pPr>
        <w:widowControl w:val="0"/>
        <w:autoSpaceDE w:val="0"/>
        <w:autoSpaceDN w:val="0"/>
        <w:spacing w:after="0" w:line="240" w:lineRule="auto"/>
        <w:rPr>
          <w:rFonts w:ascii="Cambria" w:eastAsia="Cambria" w:hAnsi="Cambria" w:cs="Cambria"/>
          <w:lang w:val="hr-HR"/>
        </w:rPr>
      </w:pPr>
    </w:p>
    <w:p w14:paraId="708C8685" w14:textId="77777777" w:rsidR="003415F8" w:rsidRPr="00DF4CE5" w:rsidRDefault="003415F8" w:rsidP="003415F8">
      <w:pPr>
        <w:jc w:val="both"/>
        <w:rPr>
          <w:rFonts w:ascii="Cambria" w:hAnsi="Cambria"/>
          <w:lang w:val="hr-HR"/>
        </w:rPr>
      </w:pPr>
    </w:p>
    <w:p w14:paraId="5A119A1F" w14:textId="77777777" w:rsidR="003415F8" w:rsidRPr="00DF4CE5" w:rsidRDefault="003415F8" w:rsidP="003415F8">
      <w:pPr>
        <w:jc w:val="both"/>
        <w:rPr>
          <w:rFonts w:ascii="Cambria" w:hAnsi="Cambria"/>
          <w:lang w:val="hr-HR"/>
        </w:rPr>
      </w:pPr>
    </w:p>
    <w:p w14:paraId="70527033" w14:textId="77777777" w:rsidR="003415F8" w:rsidRPr="00DF4CE5" w:rsidRDefault="003415F8" w:rsidP="003415F8">
      <w:pPr>
        <w:jc w:val="both"/>
        <w:rPr>
          <w:rFonts w:ascii="Cambria" w:hAnsi="Cambria"/>
          <w:lang w:val="hr-HR"/>
        </w:rPr>
      </w:pPr>
    </w:p>
    <w:p w14:paraId="25A745AC" w14:textId="77777777" w:rsidR="003415F8" w:rsidRPr="00DF4CE5" w:rsidRDefault="003415F8" w:rsidP="003415F8">
      <w:pPr>
        <w:jc w:val="both"/>
        <w:rPr>
          <w:rFonts w:ascii="Cambria" w:hAnsi="Cambria"/>
          <w:lang w:val="hr-HR"/>
        </w:rPr>
      </w:pPr>
    </w:p>
    <w:p w14:paraId="1D2895C1" w14:textId="4D908EE4" w:rsidR="003415F8" w:rsidRDefault="003415F8">
      <w:pPr>
        <w:rPr>
          <w:rFonts w:ascii="Cambria" w:hAnsi="Cambria"/>
          <w:lang w:val="hr-HR"/>
        </w:rPr>
      </w:pPr>
      <w:r>
        <w:rPr>
          <w:rFonts w:ascii="Cambria" w:hAnsi="Cambria"/>
          <w:lang w:val="hr-HR"/>
        </w:rPr>
        <w:br w:type="page"/>
      </w:r>
    </w:p>
    <w:tbl>
      <w:tblPr>
        <w:tblW w:w="5000" w:type="pct"/>
        <w:tblLayout w:type="fixed"/>
        <w:tblCellMar>
          <w:left w:w="0" w:type="dxa"/>
          <w:right w:w="0" w:type="dxa"/>
        </w:tblCellMar>
        <w:tblLook w:val="0000" w:firstRow="0" w:lastRow="0" w:firstColumn="0" w:lastColumn="0" w:noHBand="0" w:noVBand="0"/>
      </w:tblPr>
      <w:tblGrid>
        <w:gridCol w:w="2275"/>
        <w:gridCol w:w="3195"/>
        <w:gridCol w:w="105"/>
        <w:gridCol w:w="1171"/>
        <w:gridCol w:w="300"/>
        <w:gridCol w:w="472"/>
        <w:gridCol w:w="1087"/>
        <w:gridCol w:w="1415"/>
      </w:tblGrid>
      <w:tr w:rsidR="003415F8" w:rsidRPr="005C2363" w14:paraId="4868F392" w14:textId="77777777" w:rsidTr="00587D5D">
        <w:tc>
          <w:tcPr>
            <w:tcW w:w="9052"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3A768B7" w14:textId="77777777" w:rsidR="003415F8" w:rsidRPr="005C2363" w:rsidRDefault="003415F8" w:rsidP="00587D5D">
            <w:pPr>
              <w:spacing w:after="0" w:line="240" w:lineRule="auto"/>
              <w:jc w:val="right"/>
              <w:rPr>
                <w:rFonts w:ascii="Cambria" w:eastAsia="Times New Roman" w:hAnsi="Cambria" w:cs="Calibri"/>
                <w:b/>
                <w:lang w:val="hr-HR"/>
              </w:rPr>
            </w:pPr>
            <w:r w:rsidRPr="005C2363">
              <w:rPr>
                <w:rFonts w:ascii="Cambria" w:eastAsia="Times New Roman" w:hAnsi="Cambria" w:cs="Calibri"/>
                <w:b/>
                <w:lang w:val="hr-HR"/>
              </w:rPr>
              <w:lastRenderedPageBreak/>
              <w:t>IZVEDBENI PLAN NASTAVE KOLEGIJA</w:t>
            </w:r>
          </w:p>
        </w:tc>
      </w:tr>
      <w:tr w:rsidR="003415F8" w:rsidRPr="00DF4CE5" w14:paraId="67CFA6E9" w14:textId="77777777" w:rsidTr="00587D5D">
        <w:tc>
          <w:tcPr>
            <w:tcW w:w="2056" w:type="dxa"/>
            <w:tcBorders>
              <w:top w:val="single" w:sz="8" w:space="0" w:color="000000"/>
              <w:left w:val="single" w:sz="8" w:space="0" w:color="000000"/>
              <w:bottom w:val="single" w:sz="8" w:space="0" w:color="000000"/>
              <w:right w:val="single" w:sz="4" w:space="0" w:color="auto"/>
            </w:tcBorders>
            <w:shd w:val="clear" w:color="auto" w:fill="F3F3F3"/>
            <w:tcMar>
              <w:top w:w="72" w:type="dxa"/>
              <w:left w:w="144" w:type="dxa"/>
              <w:bottom w:w="72" w:type="dxa"/>
              <w:right w:w="144" w:type="dxa"/>
            </w:tcMar>
            <w:vAlign w:val="center"/>
          </w:tcPr>
          <w:p w14:paraId="7D54FFA0" w14:textId="77777777" w:rsidR="003415F8" w:rsidRPr="005C2363" w:rsidRDefault="003415F8" w:rsidP="00587D5D">
            <w:pPr>
              <w:spacing w:after="0" w:line="240" w:lineRule="auto"/>
              <w:rPr>
                <w:rFonts w:ascii="Cambria" w:eastAsia="Times New Roman" w:hAnsi="Cambria" w:cs="Calibri"/>
                <w:lang w:val="hr-HR"/>
              </w:rPr>
            </w:pPr>
            <w:r w:rsidRPr="005C2363">
              <w:rPr>
                <w:rFonts w:ascii="Cambria" w:eastAsia="Times New Roman" w:hAnsi="Cambria" w:cs="Calibri"/>
                <w:lang w:val="hr-HR"/>
              </w:rPr>
              <w:t>Kod i naziv kolegija</w:t>
            </w:r>
          </w:p>
        </w:tc>
        <w:tc>
          <w:tcPr>
            <w:tcW w:w="699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F94BAD0" w14:textId="77777777" w:rsidR="003415F8" w:rsidRPr="00DF4CE5" w:rsidRDefault="003415F8" w:rsidP="00587D5D">
            <w:pPr>
              <w:spacing w:after="0" w:line="240" w:lineRule="auto"/>
              <w:jc w:val="both"/>
              <w:rPr>
                <w:rFonts w:ascii="Cambria" w:eastAsia="Times New Roman" w:hAnsi="Cambria" w:cs="Times New Roman"/>
                <w:lang w:val="hr-HR"/>
              </w:rPr>
            </w:pPr>
            <w:r w:rsidRPr="00DF4CE5">
              <w:rPr>
                <w:rFonts w:ascii="Cambria" w:eastAsia="Times New Roman" w:hAnsi="Cambria" w:cs="Times New Roman"/>
                <w:lang w:val="hr-HR"/>
              </w:rPr>
              <w:t>Usmena zavičajna baština</w:t>
            </w:r>
          </w:p>
        </w:tc>
      </w:tr>
      <w:tr w:rsidR="003415F8" w:rsidRPr="004E3FDC" w14:paraId="541D8295" w14:textId="77777777" w:rsidTr="00587D5D">
        <w:tc>
          <w:tcPr>
            <w:tcW w:w="2056" w:type="dxa"/>
            <w:tcBorders>
              <w:top w:val="single" w:sz="8" w:space="0" w:color="000000"/>
              <w:left w:val="single" w:sz="8" w:space="0" w:color="000000"/>
              <w:bottom w:val="single" w:sz="8" w:space="0" w:color="000000"/>
              <w:right w:val="single" w:sz="4" w:space="0" w:color="auto"/>
            </w:tcBorders>
            <w:shd w:val="clear" w:color="auto" w:fill="F3F3F3"/>
            <w:tcMar>
              <w:top w:w="72" w:type="dxa"/>
              <w:left w:w="144" w:type="dxa"/>
              <w:bottom w:w="72" w:type="dxa"/>
              <w:right w:w="144" w:type="dxa"/>
            </w:tcMar>
            <w:vAlign w:val="center"/>
          </w:tcPr>
          <w:p w14:paraId="3C7E59BA" w14:textId="77777777" w:rsidR="003415F8" w:rsidRDefault="003415F8" w:rsidP="00587D5D">
            <w:pPr>
              <w:spacing w:after="0" w:line="240" w:lineRule="auto"/>
              <w:rPr>
                <w:rFonts w:ascii="Cambria" w:eastAsia="Times New Roman" w:hAnsi="Cambria" w:cs="Calibri"/>
                <w:lang w:val="hr-HR"/>
              </w:rPr>
            </w:pPr>
            <w:r w:rsidRPr="005C2363">
              <w:rPr>
                <w:rFonts w:ascii="Cambria" w:eastAsia="Times New Roman" w:hAnsi="Cambria" w:cs="Calibri"/>
                <w:lang w:val="hr-HR"/>
              </w:rPr>
              <w:t xml:space="preserve">Nastavnica </w:t>
            </w:r>
          </w:p>
          <w:p w14:paraId="24432152" w14:textId="29530E18" w:rsidR="00D01C7E" w:rsidRPr="005C2363" w:rsidRDefault="00D01C7E" w:rsidP="00587D5D">
            <w:pPr>
              <w:spacing w:after="0" w:line="240" w:lineRule="auto"/>
              <w:rPr>
                <w:rFonts w:ascii="Cambria" w:eastAsia="Times New Roman" w:hAnsi="Cambria" w:cs="Calibri"/>
                <w:lang w:val="hr-HR"/>
              </w:rPr>
            </w:pPr>
            <w:r>
              <w:rPr>
                <w:rFonts w:ascii="Cambria" w:eastAsia="Times New Roman" w:hAnsi="Cambria" w:cs="Calibri"/>
                <w:lang w:val="hr-HR"/>
              </w:rPr>
              <w:t>Suradnik</w:t>
            </w:r>
          </w:p>
        </w:tc>
        <w:tc>
          <w:tcPr>
            <w:tcW w:w="699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CA26020" w14:textId="77777777" w:rsidR="003415F8" w:rsidRDefault="003415F8" w:rsidP="00587D5D">
            <w:pPr>
              <w:snapToGrid w:val="0"/>
              <w:spacing w:after="0" w:line="240" w:lineRule="auto"/>
              <w:jc w:val="both"/>
              <w:rPr>
                <w:rFonts w:ascii="Cambria" w:eastAsia="Times New Roman" w:hAnsi="Cambria" w:cs="Times New Roman"/>
                <w:lang w:val="hr-HR"/>
              </w:rPr>
            </w:pPr>
            <w:hyperlink r:id="rId99" w:history="1">
              <w:r w:rsidRPr="00DF4CE5">
                <w:rPr>
                  <w:rFonts w:ascii="Cambria" w:eastAsia="Times New Roman" w:hAnsi="Cambria" w:cs="Times New Roman"/>
                  <w:color w:val="0000FF"/>
                  <w:u w:val="single"/>
                  <w:lang w:val="hr-HR"/>
                </w:rPr>
                <w:t>Prof. dr. sc. Vjekoslava Jurdana</w:t>
              </w:r>
            </w:hyperlink>
            <w:r w:rsidRPr="00DF4CE5">
              <w:rPr>
                <w:rFonts w:ascii="Cambria" w:eastAsia="Times New Roman" w:hAnsi="Cambria" w:cs="Times New Roman"/>
                <w:color w:val="0000FF"/>
                <w:u w:val="single"/>
                <w:lang w:val="hr-HR"/>
              </w:rPr>
              <w:t xml:space="preserve"> </w:t>
            </w:r>
            <w:r w:rsidRPr="00DF4CE5">
              <w:rPr>
                <w:rFonts w:ascii="Cambria" w:eastAsia="Times New Roman" w:hAnsi="Cambria" w:cs="Times New Roman"/>
                <w:lang w:val="hr-HR"/>
              </w:rPr>
              <w:t>(nositeljica)</w:t>
            </w:r>
          </w:p>
          <w:p w14:paraId="3E62171D" w14:textId="59A23D20" w:rsidR="00D01C7E" w:rsidRPr="00DF4CE5" w:rsidRDefault="00D01C7E" w:rsidP="00587D5D">
            <w:pPr>
              <w:snapToGrid w:val="0"/>
              <w:spacing w:after="0" w:line="240" w:lineRule="auto"/>
              <w:jc w:val="both"/>
              <w:rPr>
                <w:rFonts w:ascii="Cambria" w:eastAsia="Times New Roman" w:hAnsi="Cambria" w:cs="Times New Roman"/>
                <w:lang w:val="hr-HR"/>
              </w:rPr>
            </w:pPr>
            <w:r>
              <w:rPr>
                <w:rFonts w:ascii="Cambria" w:eastAsia="Times New Roman" w:hAnsi="Cambria" w:cs="Times New Roman"/>
                <w:lang w:val="hr-HR"/>
              </w:rPr>
              <w:t xml:space="preserve">Alen </w:t>
            </w:r>
            <w:proofErr w:type="spellStart"/>
            <w:r>
              <w:rPr>
                <w:rFonts w:ascii="Cambria" w:eastAsia="Times New Roman" w:hAnsi="Cambria" w:cs="Times New Roman"/>
                <w:lang w:val="hr-HR"/>
              </w:rPr>
              <w:t>Klančar</w:t>
            </w:r>
            <w:proofErr w:type="spellEnd"/>
            <w:r>
              <w:rPr>
                <w:rFonts w:ascii="Cambria" w:eastAsia="Times New Roman" w:hAnsi="Cambria" w:cs="Times New Roman"/>
                <w:lang w:val="hr-HR"/>
              </w:rPr>
              <w:t>, naslovni asistent</w:t>
            </w:r>
          </w:p>
        </w:tc>
      </w:tr>
      <w:tr w:rsidR="003415F8" w:rsidRPr="00D0399C" w14:paraId="3C66E147" w14:textId="77777777" w:rsidTr="00587D5D">
        <w:trPr>
          <w:trHeight w:val="652"/>
        </w:trPr>
        <w:tc>
          <w:tcPr>
            <w:tcW w:w="2056" w:type="dxa"/>
            <w:tcBorders>
              <w:top w:val="single" w:sz="8" w:space="0" w:color="000000"/>
              <w:left w:val="single" w:sz="8" w:space="0" w:color="000000"/>
              <w:bottom w:val="single" w:sz="8" w:space="0" w:color="000000"/>
              <w:right w:val="single" w:sz="4" w:space="0" w:color="auto"/>
            </w:tcBorders>
            <w:shd w:val="clear" w:color="auto" w:fill="F3F3F3"/>
            <w:tcMar>
              <w:top w:w="72" w:type="dxa"/>
              <w:left w:w="144" w:type="dxa"/>
              <w:bottom w:w="72" w:type="dxa"/>
              <w:right w:w="144" w:type="dxa"/>
            </w:tcMar>
            <w:vAlign w:val="center"/>
          </w:tcPr>
          <w:p w14:paraId="0B27802C" w14:textId="77777777" w:rsidR="003415F8" w:rsidRPr="005C2363" w:rsidRDefault="003415F8" w:rsidP="00587D5D">
            <w:pPr>
              <w:spacing w:after="0" w:line="240" w:lineRule="auto"/>
              <w:rPr>
                <w:rFonts w:ascii="Cambria" w:eastAsia="Times New Roman" w:hAnsi="Cambria" w:cs="Calibri"/>
                <w:lang w:val="hr-HR"/>
              </w:rPr>
            </w:pPr>
            <w:r w:rsidRPr="005C2363">
              <w:rPr>
                <w:rFonts w:ascii="Cambria" w:eastAsia="Times New Roman" w:hAnsi="Cambria" w:cs="Calibri"/>
                <w:lang w:val="hr-HR"/>
              </w:rPr>
              <w:t>Studijski program</w:t>
            </w:r>
          </w:p>
        </w:tc>
        <w:tc>
          <w:tcPr>
            <w:tcW w:w="699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56CDCFF" w14:textId="77777777" w:rsidR="003415F8" w:rsidRPr="00DF4CE5" w:rsidRDefault="003415F8" w:rsidP="00587D5D">
            <w:pPr>
              <w:shd w:val="clear" w:color="auto" w:fill="FFFFFF"/>
              <w:spacing w:before="330" w:after="165" w:line="240" w:lineRule="auto"/>
              <w:jc w:val="both"/>
              <w:outlineLvl w:val="1"/>
              <w:rPr>
                <w:rFonts w:ascii="Cambria" w:eastAsia="Times New Roman" w:hAnsi="Cambria" w:cs="Calibri"/>
                <w:lang w:val="hr-HR" w:eastAsia="hr-HR"/>
              </w:rPr>
            </w:pPr>
            <w:r w:rsidRPr="00DF4CE5">
              <w:rPr>
                <w:rFonts w:ascii="Cambria" w:eastAsia="Times New Roman" w:hAnsi="Cambria" w:cs="Calibri"/>
                <w:lang w:val="hr-HR"/>
              </w:rPr>
              <w:t>Sveučilišni integrirani prijediplomski i diplomski Učiteljski studij na hrvatskom jeziku</w:t>
            </w:r>
          </w:p>
        </w:tc>
      </w:tr>
      <w:tr w:rsidR="003415F8" w:rsidRPr="00DF4CE5" w14:paraId="56086AE9" w14:textId="77777777" w:rsidTr="00587D5D">
        <w:tc>
          <w:tcPr>
            <w:tcW w:w="205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1DD34F0" w14:textId="77777777" w:rsidR="003415F8" w:rsidRPr="005C2363" w:rsidRDefault="003415F8" w:rsidP="00587D5D">
            <w:pPr>
              <w:spacing w:after="0" w:line="240" w:lineRule="auto"/>
              <w:rPr>
                <w:rFonts w:ascii="Cambria" w:eastAsia="Times New Roman" w:hAnsi="Cambria" w:cs="Calibri"/>
                <w:lang w:val="hr-HR"/>
              </w:rPr>
            </w:pPr>
            <w:r w:rsidRPr="005C2363">
              <w:rPr>
                <w:rFonts w:ascii="Cambria" w:eastAsia="Times New Roman" w:hAnsi="Cambria" w:cs="Calibri"/>
                <w:lang w:val="hr-HR"/>
              </w:rPr>
              <w:t>Vrsta kolegija</w:t>
            </w:r>
          </w:p>
        </w:tc>
        <w:tc>
          <w:tcPr>
            <w:tcW w:w="2886" w:type="dxa"/>
            <w:tcBorders>
              <w:top w:val="single" w:sz="8" w:space="0" w:color="000000"/>
              <w:left w:val="single" w:sz="8" w:space="0" w:color="000000"/>
              <w:bottom w:val="single" w:sz="8" w:space="0" w:color="000000"/>
            </w:tcBorders>
            <w:tcMar>
              <w:top w:w="72" w:type="dxa"/>
              <w:left w:w="144" w:type="dxa"/>
              <w:bottom w:w="72" w:type="dxa"/>
              <w:right w:w="144" w:type="dxa"/>
            </w:tcMar>
            <w:vAlign w:val="center"/>
          </w:tcPr>
          <w:p w14:paraId="2E44B45B" w14:textId="77777777" w:rsidR="003415F8" w:rsidRPr="00DF4CE5" w:rsidRDefault="003415F8" w:rsidP="00587D5D">
            <w:pPr>
              <w:snapToGrid w:val="0"/>
              <w:spacing w:after="0" w:line="240" w:lineRule="auto"/>
              <w:jc w:val="both"/>
              <w:rPr>
                <w:rFonts w:ascii="Cambria" w:eastAsia="Times New Roman" w:hAnsi="Cambria" w:cs="Times New Roman"/>
                <w:lang w:val="hr-HR"/>
              </w:rPr>
            </w:pPr>
            <w:r w:rsidRPr="00DF4CE5">
              <w:rPr>
                <w:rFonts w:ascii="Cambria" w:eastAsia="Times New Roman" w:hAnsi="Cambria" w:cs="Times New Roman"/>
                <w:lang w:val="hr-HR"/>
              </w:rPr>
              <w:t xml:space="preserve">izborni </w:t>
            </w:r>
          </w:p>
        </w:tc>
        <w:tc>
          <w:tcPr>
            <w:tcW w:w="1424" w:type="dxa"/>
            <w:gridSpan w:val="3"/>
            <w:tcBorders>
              <w:top w:val="single" w:sz="4" w:space="0" w:color="auto"/>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1CC7C062" w14:textId="77777777" w:rsidR="003415F8" w:rsidRPr="005C2363" w:rsidRDefault="003415F8" w:rsidP="00587D5D">
            <w:pPr>
              <w:spacing w:after="0" w:line="240" w:lineRule="auto"/>
              <w:rPr>
                <w:rFonts w:ascii="Cambria" w:eastAsia="Times New Roman" w:hAnsi="Cambria" w:cs="Calibri"/>
                <w:lang w:val="hr-HR"/>
              </w:rPr>
            </w:pPr>
            <w:r w:rsidRPr="005C2363">
              <w:rPr>
                <w:rFonts w:ascii="Cambria" w:eastAsia="Times New Roman" w:hAnsi="Cambria" w:cs="Calibri"/>
                <w:lang w:val="hr-HR"/>
              </w:rPr>
              <w:t>Razina kolegija</w:t>
            </w:r>
          </w:p>
        </w:tc>
        <w:tc>
          <w:tcPr>
            <w:tcW w:w="2686"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62C215B" w14:textId="77777777" w:rsidR="003415F8" w:rsidRPr="00DF4CE5" w:rsidRDefault="003415F8" w:rsidP="00587D5D">
            <w:pPr>
              <w:snapToGrid w:val="0"/>
              <w:spacing w:after="0" w:line="240" w:lineRule="auto"/>
              <w:jc w:val="both"/>
              <w:rPr>
                <w:rFonts w:ascii="Cambria" w:eastAsia="Times New Roman" w:hAnsi="Cambria" w:cs="Times New Roman"/>
                <w:lang w:val="hr-HR"/>
              </w:rPr>
            </w:pPr>
            <w:proofErr w:type="spellStart"/>
            <w:r w:rsidRPr="00DF4CE5">
              <w:rPr>
                <w:rFonts w:ascii="Cambria" w:eastAsia="Times New Roman" w:hAnsi="Cambria" w:cs="Times New Roman"/>
                <w:lang w:val="it-IT"/>
              </w:rPr>
              <w:t>integrirani</w:t>
            </w:r>
            <w:proofErr w:type="spellEnd"/>
          </w:p>
        </w:tc>
      </w:tr>
      <w:tr w:rsidR="003415F8" w:rsidRPr="00DF4CE5" w14:paraId="6D2971A5" w14:textId="77777777" w:rsidTr="00587D5D">
        <w:tc>
          <w:tcPr>
            <w:tcW w:w="205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BFA5818" w14:textId="77777777" w:rsidR="003415F8" w:rsidRPr="005C2363" w:rsidRDefault="003415F8" w:rsidP="00587D5D">
            <w:pPr>
              <w:spacing w:after="0" w:line="240" w:lineRule="auto"/>
              <w:rPr>
                <w:rFonts w:ascii="Cambria" w:eastAsia="Times New Roman" w:hAnsi="Cambria" w:cs="Calibri"/>
                <w:lang w:val="hr-HR"/>
              </w:rPr>
            </w:pPr>
            <w:r w:rsidRPr="005C2363">
              <w:rPr>
                <w:rFonts w:ascii="Cambria" w:eastAsia="Times New Roman" w:hAnsi="Cambria" w:cs="Calibri"/>
                <w:lang w:val="hr-HR"/>
              </w:rPr>
              <w:t>Semestar</w:t>
            </w:r>
          </w:p>
        </w:tc>
        <w:tc>
          <w:tcPr>
            <w:tcW w:w="2886" w:type="dxa"/>
            <w:tcBorders>
              <w:top w:val="single" w:sz="8" w:space="0" w:color="000000"/>
              <w:left w:val="single" w:sz="8" w:space="0" w:color="000000"/>
              <w:bottom w:val="single" w:sz="8" w:space="0" w:color="000000"/>
            </w:tcBorders>
            <w:tcMar>
              <w:top w:w="72" w:type="dxa"/>
              <w:left w:w="144" w:type="dxa"/>
              <w:bottom w:w="72" w:type="dxa"/>
              <w:right w:w="144" w:type="dxa"/>
            </w:tcMar>
            <w:vAlign w:val="center"/>
          </w:tcPr>
          <w:p w14:paraId="6E125653" w14:textId="77777777" w:rsidR="003415F8" w:rsidRPr="00DF4CE5" w:rsidRDefault="003415F8" w:rsidP="00587D5D">
            <w:pPr>
              <w:snapToGrid w:val="0"/>
              <w:spacing w:after="0" w:line="240" w:lineRule="auto"/>
              <w:jc w:val="both"/>
              <w:rPr>
                <w:rFonts w:ascii="Cambria" w:eastAsia="Times New Roman" w:hAnsi="Cambria" w:cs="Times New Roman"/>
                <w:lang w:val="hr-HR"/>
              </w:rPr>
            </w:pPr>
            <w:r>
              <w:rPr>
                <w:rFonts w:ascii="Cambria" w:eastAsia="Times New Roman" w:hAnsi="Cambria" w:cs="Times New Roman"/>
                <w:lang w:val="hr-HR"/>
              </w:rPr>
              <w:t>z</w:t>
            </w:r>
            <w:r w:rsidRPr="00DF4CE5">
              <w:rPr>
                <w:rFonts w:ascii="Cambria" w:eastAsia="Times New Roman" w:hAnsi="Cambria" w:cs="Times New Roman"/>
                <w:lang w:val="hr-HR"/>
              </w:rPr>
              <w:t>imski</w:t>
            </w:r>
          </w:p>
        </w:tc>
        <w:tc>
          <w:tcPr>
            <w:tcW w:w="1424"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5086A48A" w14:textId="77777777" w:rsidR="003415F8" w:rsidRPr="005C2363" w:rsidRDefault="003415F8" w:rsidP="00587D5D">
            <w:pPr>
              <w:spacing w:after="0" w:line="240" w:lineRule="auto"/>
              <w:rPr>
                <w:rFonts w:ascii="Cambria" w:eastAsia="Times New Roman" w:hAnsi="Cambria" w:cs="Calibri"/>
                <w:lang w:val="hr-HR"/>
              </w:rPr>
            </w:pPr>
            <w:r w:rsidRPr="005C2363">
              <w:rPr>
                <w:rFonts w:ascii="Cambria" w:eastAsia="Times New Roman" w:hAnsi="Cambria" w:cs="Calibri"/>
                <w:lang w:val="hr-HR"/>
              </w:rPr>
              <w:t>Godina studija</w:t>
            </w:r>
          </w:p>
        </w:tc>
        <w:tc>
          <w:tcPr>
            <w:tcW w:w="2686"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8631BAC" w14:textId="59127820" w:rsidR="003415F8" w:rsidRPr="00DF4CE5" w:rsidRDefault="00587D5D" w:rsidP="00587D5D">
            <w:pPr>
              <w:snapToGrid w:val="0"/>
              <w:spacing w:after="0" w:line="240" w:lineRule="auto"/>
              <w:jc w:val="both"/>
              <w:rPr>
                <w:rFonts w:ascii="Cambria" w:eastAsia="Times New Roman" w:hAnsi="Cambria" w:cs="Times New Roman"/>
                <w:lang w:val="hr-HR"/>
              </w:rPr>
            </w:pPr>
            <w:r>
              <w:rPr>
                <w:rFonts w:ascii="Cambria" w:eastAsia="Times New Roman" w:hAnsi="Cambria" w:cs="Times New Roman"/>
                <w:lang w:val="hr-HR"/>
              </w:rPr>
              <w:t xml:space="preserve">III. </w:t>
            </w:r>
            <w:r w:rsidR="003415F8" w:rsidRPr="00DF4CE5">
              <w:rPr>
                <w:rFonts w:ascii="Cambria" w:eastAsia="Times New Roman" w:hAnsi="Cambria" w:cs="Times New Roman"/>
                <w:lang w:val="hr-HR"/>
              </w:rPr>
              <w:t xml:space="preserve"> </w:t>
            </w:r>
          </w:p>
        </w:tc>
      </w:tr>
      <w:tr w:rsidR="003415F8" w:rsidRPr="00DF4CE5" w14:paraId="5F916325" w14:textId="77777777" w:rsidTr="00587D5D">
        <w:tc>
          <w:tcPr>
            <w:tcW w:w="205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9F9B0D0" w14:textId="77777777" w:rsidR="003415F8" w:rsidRPr="005C2363" w:rsidRDefault="003415F8" w:rsidP="00587D5D">
            <w:pPr>
              <w:spacing w:after="0" w:line="240" w:lineRule="auto"/>
              <w:rPr>
                <w:rFonts w:ascii="Cambria" w:eastAsia="Times New Roman" w:hAnsi="Cambria" w:cs="Calibri"/>
                <w:lang w:val="hr-HR"/>
              </w:rPr>
            </w:pPr>
            <w:r w:rsidRPr="005C2363">
              <w:rPr>
                <w:rFonts w:ascii="Cambria" w:eastAsia="Times New Roman" w:hAnsi="Cambria" w:cs="Calibri"/>
                <w:lang w:val="hr-HR"/>
              </w:rPr>
              <w:t>Mjesto izvođenja</w:t>
            </w:r>
          </w:p>
        </w:tc>
        <w:tc>
          <w:tcPr>
            <w:tcW w:w="2886" w:type="dxa"/>
            <w:tcBorders>
              <w:top w:val="single" w:sz="8" w:space="0" w:color="000000"/>
              <w:left w:val="single" w:sz="8" w:space="0" w:color="000000"/>
              <w:bottom w:val="single" w:sz="8" w:space="0" w:color="000000"/>
            </w:tcBorders>
            <w:tcMar>
              <w:top w:w="72" w:type="dxa"/>
              <w:left w:w="144" w:type="dxa"/>
              <w:bottom w:w="72" w:type="dxa"/>
              <w:right w:w="144" w:type="dxa"/>
            </w:tcMar>
            <w:vAlign w:val="center"/>
          </w:tcPr>
          <w:p w14:paraId="2B010EBB" w14:textId="77777777" w:rsidR="003415F8" w:rsidRPr="00DF4CE5" w:rsidRDefault="003415F8" w:rsidP="00587D5D">
            <w:pPr>
              <w:snapToGrid w:val="0"/>
              <w:spacing w:after="0" w:line="240" w:lineRule="auto"/>
              <w:jc w:val="both"/>
              <w:rPr>
                <w:rFonts w:ascii="Cambria" w:eastAsia="Times New Roman" w:hAnsi="Cambria" w:cs="Times New Roman"/>
                <w:lang w:val="hr-HR"/>
              </w:rPr>
            </w:pPr>
            <w:r w:rsidRPr="00DF4CE5">
              <w:rPr>
                <w:rFonts w:ascii="Cambria" w:eastAsia="Times New Roman" w:hAnsi="Cambria" w:cs="Times New Roman"/>
                <w:lang w:val="hr-HR"/>
              </w:rPr>
              <w:t xml:space="preserve">dvorana </w:t>
            </w:r>
          </w:p>
        </w:tc>
        <w:tc>
          <w:tcPr>
            <w:tcW w:w="1424"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629ED660" w14:textId="77777777" w:rsidR="003415F8" w:rsidRPr="005C2363" w:rsidRDefault="003415F8" w:rsidP="00587D5D">
            <w:pPr>
              <w:spacing w:after="0" w:line="240" w:lineRule="auto"/>
              <w:rPr>
                <w:rFonts w:ascii="Cambria" w:eastAsia="Times New Roman" w:hAnsi="Cambria" w:cs="Calibri"/>
                <w:lang w:val="hr-HR"/>
              </w:rPr>
            </w:pPr>
            <w:r w:rsidRPr="005C2363">
              <w:rPr>
                <w:rFonts w:ascii="Cambria" w:eastAsia="Times New Roman" w:hAnsi="Cambria" w:cs="Calibri"/>
                <w:lang w:val="hr-HR"/>
              </w:rPr>
              <w:t xml:space="preserve">Jezik izvođenja </w:t>
            </w:r>
          </w:p>
        </w:tc>
        <w:tc>
          <w:tcPr>
            <w:tcW w:w="2686"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29314CB" w14:textId="77777777" w:rsidR="003415F8" w:rsidRPr="00DF4CE5" w:rsidRDefault="003415F8" w:rsidP="00587D5D">
            <w:pPr>
              <w:snapToGrid w:val="0"/>
              <w:spacing w:after="0" w:line="240" w:lineRule="auto"/>
              <w:jc w:val="both"/>
              <w:rPr>
                <w:rFonts w:ascii="Cambria" w:eastAsia="Times New Roman" w:hAnsi="Cambria" w:cs="Times New Roman"/>
                <w:lang w:val="hr-HR"/>
              </w:rPr>
            </w:pPr>
            <w:r w:rsidRPr="00DF4CE5">
              <w:rPr>
                <w:rFonts w:ascii="Cambria" w:eastAsia="Times New Roman" w:hAnsi="Cambria" w:cs="Times New Roman"/>
                <w:lang w:val="hr-HR"/>
              </w:rPr>
              <w:t xml:space="preserve">hrvatski </w:t>
            </w:r>
          </w:p>
        </w:tc>
      </w:tr>
      <w:tr w:rsidR="003415F8" w:rsidRPr="00DF4CE5" w14:paraId="31B457DC" w14:textId="77777777" w:rsidTr="00587D5D">
        <w:tc>
          <w:tcPr>
            <w:tcW w:w="205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7957382" w14:textId="77777777" w:rsidR="003415F8" w:rsidRPr="005C2363" w:rsidRDefault="003415F8" w:rsidP="00587D5D">
            <w:pPr>
              <w:spacing w:after="0" w:line="240" w:lineRule="auto"/>
              <w:rPr>
                <w:rFonts w:ascii="Cambria" w:eastAsia="Times New Roman" w:hAnsi="Cambria" w:cs="Calibri"/>
                <w:lang w:val="hr-HR"/>
              </w:rPr>
            </w:pPr>
            <w:r w:rsidRPr="005C2363">
              <w:rPr>
                <w:rFonts w:ascii="Cambria" w:eastAsia="Times New Roman" w:hAnsi="Cambria" w:cs="Calibri"/>
                <w:lang w:val="hr-HR"/>
              </w:rPr>
              <w:t>Broj ECTS bodova</w:t>
            </w:r>
          </w:p>
        </w:tc>
        <w:tc>
          <w:tcPr>
            <w:tcW w:w="2886" w:type="dxa"/>
            <w:tcBorders>
              <w:top w:val="single" w:sz="8" w:space="0" w:color="000000"/>
              <w:left w:val="single" w:sz="8" w:space="0" w:color="000000"/>
              <w:bottom w:val="single" w:sz="8" w:space="0" w:color="000000"/>
            </w:tcBorders>
            <w:tcMar>
              <w:top w:w="72" w:type="dxa"/>
              <w:left w:w="144" w:type="dxa"/>
              <w:bottom w:w="72" w:type="dxa"/>
              <w:right w:w="144" w:type="dxa"/>
            </w:tcMar>
            <w:vAlign w:val="center"/>
          </w:tcPr>
          <w:p w14:paraId="6B7D36BD" w14:textId="77777777" w:rsidR="003415F8" w:rsidRPr="00DF4CE5" w:rsidRDefault="003415F8" w:rsidP="00587D5D">
            <w:pPr>
              <w:snapToGrid w:val="0"/>
              <w:spacing w:after="0" w:line="240" w:lineRule="auto"/>
              <w:jc w:val="both"/>
              <w:rPr>
                <w:rFonts w:ascii="Cambria" w:eastAsia="Times New Roman" w:hAnsi="Cambria" w:cs="Times New Roman"/>
                <w:lang w:val="hr-HR"/>
              </w:rPr>
            </w:pPr>
            <w:r w:rsidRPr="00DF4CE5">
              <w:rPr>
                <w:rFonts w:ascii="Cambria" w:eastAsia="Times New Roman" w:hAnsi="Cambria" w:cs="Times New Roman"/>
                <w:lang w:val="hr-HR"/>
              </w:rPr>
              <w:t>2</w:t>
            </w:r>
          </w:p>
        </w:tc>
        <w:tc>
          <w:tcPr>
            <w:tcW w:w="1424"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3DA9DBCF" w14:textId="77777777" w:rsidR="003415F8" w:rsidRPr="005C2363" w:rsidRDefault="003415F8" w:rsidP="00587D5D">
            <w:pPr>
              <w:spacing w:after="0" w:line="240" w:lineRule="auto"/>
              <w:rPr>
                <w:rFonts w:ascii="Cambria" w:eastAsia="Times New Roman" w:hAnsi="Cambria" w:cs="Calibri"/>
                <w:lang w:val="hr-HR"/>
              </w:rPr>
            </w:pPr>
            <w:r w:rsidRPr="005C2363">
              <w:rPr>
                <w:rFonts w:ascii="Cambria" w:eastAsia="Times New Roman" w:hAnsi="Cambria" w:cs="Calibri"/>
                <w:lang w:val="hr-HR"/>
              </w:rPr>
              <w:t>Broj sati u semestru</w:t>
            </w:r>
          </w:p>
        </w:tc>
        <w:tc>
          <w:tcPr>
            <w:tcW w:w="2686"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8626473" w14:textId="77777777" w:rsidR="003415F8" w:rsidRPr="00DF4CE5" w:rsidRDefault="003415F8" w:rsidP="00587D5D">
            <w:pPr>
              <w:snapToGrid w:val="0"/>
              <w:spacing w:after="0" w:line="240" w:lineRule="auto"/>
              <w:jc w:val="both"/>
              <w:rPr>
                <w:rFonts w:ascii="Cambria" w:eastAsia="Times New Roman" w:hAnsi="Cambria" w:cs="Times New Roman"/>
                <w:lang w:val="hr-HR"/>
              </w:rPr>
            </w:pPr>
            <w:r w:rsidRPr="00DF4CE5">
              <w:rPr>
                <w:rFonts w:ascii="Cambria" w:eastAsia="Times New Roman" w:hAnsi="Cambria" w:cs="Times New Roman"/>
                <w:lang w:val="hr-HR"/>
              </w:rPr>
              <w:t xml:space="preserve">15P –15S– 0V   </w:t>
            </w:r>
          </w:p>
        </w:tc>
      </w:tr>
      <w:tr w:rsidR="003415F8" w:rsidRPr="00DF4CE5" w14:paraId="28CA7BA2" w14:textId="77777777" w:rsidTr="00587D5D">
        <w:tc>
          <w:tcPr>
            <w:tcW w:w="205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E9B62B8" w14:textId="77777777" w:rsidR="003415F8" w:rsidRPr="005C2363" w:rsidRDefault="003415F8" w:rsidP="00587D5D">
            <w:pPr>
              <w:spacing w:after="0" w:line="240" w:lineRule="auto"/>
              <w:rPr>
                <w:rFonts w:ascii="Cambria" w:eastAsia="Times New Roman" w:hAnsi="Cambria" w:cs="Calibri"/>
                <w:lang w:val="hr-HR"/>
              </w:rPr>
            </w:pPr>
            <w:r w:rsidRPr="005C2363">
              <w:rPr>
                <w:rFonts w:ascii="Cambria" w:eastAsia="Times New Roman" w:hAnsi="Cambria" w:cs="Calibri"/>
                <w:lang w:val="hr-HR"/>
              </w:rPr>
              <w:t>Preduvjeti za upis i za svladavanje</w:t>
            </w:r>
          </w:p>
        </w:tc>
        <w:tc>
          <w:tcPr>
            <w:tcW w:w="699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A2717D7" w14:textId="77777777" w:rsidR="003415F8" w:rsidRPr="00DF4CE5" w:rsidRDefault="003415F8" w:rsidP="00587D5D">
            <w:pPr>
              <w:snapToGrid w:val="0"/>
              <w:spacing w:after="0" w:line="240" w:lineRule="auto"/>
              <w:jc w:val="both"/>
              <w:rPr>
                <w:rFonts w:ascii="Cambria" w:eastAsia="Times New Roman" w:hAnsi="Cambria" w:cs="Times New Roman"/>
                <w:lang w:val="hr-HR"/>
              </w:rPr>
            </w:pPr>
            <w:r w:rsidRPr="00DF4CE5">
              <w:rPr>
                <w:rFonts w:ascii="Cambria" w:eastAsia="Times New Roman" w:hAnsi="Cambria" w:cs="Times New Roman"/>
                <w:lang w:val="hr-HR"/>
              </w:rPr>
              <w:t>Nema preduvjeta.</w:t>
            </w:r>
          </w:p>
        </w:tc>
      </w:tr>
      <w:tr w:rsidR="003415F8" w:rsidRPr="00D0399C" w14:paraId="7121D424" w14:textId="77777777" w:rsidTr="00587D5D">
        <w:tc>
          <w:tcPr>
            <w:tcW w:w="205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AF5B83C" w14:textId="77777777" w:rsidR="003415F8" w:rsidRPr="005C2363" w:rsidRDefault="003415F8" w:rsidP="00587D5D">
            <w:pPr>
              <w:spacing w:after="0" w:line="240" w:lineRule="auto"/>
              <w:rPr>
                <w:rFonts w:ascii="Cambria" w:eastAsia="Times New Roman" w:hAnsi="Cambria" w:cs="Calibri"/>
                <w:lang w:val="hr-HR"/>
              </w:rPr>
            </w:pPr>
            <w:proofErr w:type="spellStart"/>
            <w:r w:rsidRPr="005C2363">
              <w:rPr>
                <w:rFonts w:ascii="Cambria" w:eastAsia="Times New Roman" w:hAnsi="Cambria" w:cs="Calibri"/>
                <w:lang w:val="hr-HR"/>
              </w:rPr>
              <w:t>Korelativnost</w:t>
            </w:r>
            <w:proofErr w:type="spellEnd"/>
          </w:p>
        </w:tc>
        <w:tc>
          <w:tcPr>
            <w:tcW w:w="699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FA9D374" w14:textId="77777777" w:rsidR="003415F8" w:rsidRPr="00DF4CE5" w:rsidRDefault="003415F8" w:rsidP="00587D5D">
            <w:pPr>
              <w:snapToGrid w:val="0"/>
              <w:spacing w:after="0" w:line="240" w:lineRule="auto"/>
              <w:jc w:val="both"/>
              <w:rPr>
                <w:rFonts w:ascii="Cambria" w:eastAsia="Times New Roman" w:hAnsi="Cambria" w:cs="Times New Roman"/>
                <w:lang w:val="hr-HR"/>
              </w:rPr>
            </w:pPr>
            <w:r w:rsidRPr="00DF4CE5">
              <w:rPr>
                <w:rFonts w:ascii="Cambria" w:eastAsia="Times New Roman" w:hAnsi="Cambria" w:cs="Times New Roman"/>
                <w:lang w:val="hr-HR"/>
              </w:rPr>
              <w:t>Dječja književnost, Metodika nastave hrvatskog jezika, Medijska kultura, Likovna kultura, Glazbena kultura, Hrvatski jezik</w:t>
            </w:r>
          </w:p>
        </w:tc>
      </w:tr>
      <w:tr w:rsidR="003415F8" w:rsidRPr="00D0399C" w14:paraId="5105BA5B" w14:textId="77777777" w:rsidTr="00587D5D">
        <w:tc>
          <w:tcPr>
            <w:tcW w:w="205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9D46276" w14:textId="77777777" w:rsidR="003415F8" w:rsidRPr="005C2363" w:rsidRDefault="003415F8" w:rsidP="00587D5D">
            <w:pPr>
              <w:spacing w:after="0" w:line="240" w:lineRule="auto"/>
              <w:rPr>
                <w:rFonts w:ascii="Cambria" w:eastAsia="Times New Roman" w:hAnsi="Cambria" w:cs="Calibri"/>
                <w:lang w:val="hr-HR"/>
              </w:rPr>
            </w:pPr>
            <w:r w:rsidRPr="005C2363">
              <w:rPr>
                <w:rFonts w:ascii="Cambria" w:eastAsia="Times New Roman" w:hAnsi="Cambria" w:cs="Calibri"/>
                <w:lang w:val="hr-HR"/>
              </w:rPr>
              <w:t xml:space="preserve">Cilj kolegija </w:t>
            </w:r>
          </w:p>
        </w:tc>
        <w:tc>
          <w:tcPr>
            <w:tcW w:w="699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3D22C99" w14:textId="77777777" w:rsidR="003415F8" w:rsidRPr="00DF4CE5" w:rsidRDefault="003415F8" w:rsidP="00587D5D">
            <w:pPr>
              <w:snapToGrid w:val="0"/>
              <w:spacing w:after="0" w:line="240" w:lineRule="auto"/>
              <w:jc w:val="both"/>
              <w:rPr>
                <w:rFonts w:ascii="Cambria" w:eastAsia="Times New Roman" w:hAnsi="Cambria" w:cs="Times New Roman"/>
                <w:lang w:val="hr-HR"/>
              </w:rPr>
            </w:pPr>
            <w:r w:rsidRPr="00DF4CE5">
              <w:rPr>
                <w:rFonts w:ascii="Cambria" w:eastAsia="Times New Roman" w:hAnsi="Cambria" w:cs="Times New Roman"/>
                <w:lang w:val="hr-HR"/>
              </w:rPr>
              <w:t>upoznati bogatu usmenu baštinu Istre i svoga zavičaja te ulogu njegovanja te baštine u primarnom obrazovanju</w:t>
            </w:r>
          </w:p>
        </w:tc>
      </w:tr>
      <w:tr w:rsidR="003415F8" w:rsidRPr="00D0399C" w14:paraId="1CC154DE" w14:textId="77777777" w:rsidTr="00587D5D">
        <w:tc>
          <w:tcPr>
            <w:tcW w:w="205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3CB078E" w14:textId="77777777" w:rsidR="003415F8" w:rsidRPr="005C2363" w:rsidRDefault="003415F8" w:rsidP="00587D5D">
            <w:pPr>
              <w:spacing w:after="0" w:line="240" w:lineRule="auto"/>
              <w:rPr>
                <w:rFonts w:ascii="Cambria" w:eastAsia="Times New Roman" w:hAnsi="Cambria" w:cs="Calibri"/>
                <w:lang w:val="hr-HR"/>
              </w:rPr>
            </w:pPr>
            <w:r w:rsidRPr="005C2363">
              <w:rPr>
                <w:rFonts w:ascii="Cambria" w:eastAsia="Times New Roman" w:hAnsi="Cambria" w:cs="Calibri"/>
                <w:lang w:val="hr-HR"/>
              </w:rPr>
              <w:t>Ishodi učenja</w:t>
            </w:r>
          </w:p>
        </w:tc>
        <w:tc>
          <w:tcPr>
            <w:tcW w:w="699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EEDABE6" w14:textId="77777777" w:rsidR="003415F8" w:rsidRPr="00DF4CE5" w:rsidRDefault="003415F8" w:rsidP="00587D5D">
            <w:pPr>
              <w:suppressAutoHyphens/>
              <w:snapToGrid w:val="0"/>
              <w:spacing w:after="0" w:line="240" w:lineRule="auto"/>
              <w:jc w:val="both"/>
              <w:rPr>
                <w:rFonts w:ascii="Cambria" w:eastAsia="Times New Roman" w:hAnsi="Cambria" w:cs="Times New Roman"/>
                <w:lang w:val="hr-HR"/>
              </w:rPr>
            </w:pPr>
            <w:r>
              <w:rPr>
                <w:rFonts w:ascii="Cambria" w:eastAsia="Times New Roman" w:hAnsi="Cambria" w:cs="Times New Roman"/>
                <w:lang w:val="hr-HR"/>
              </w:rPr>
              <w:t xml:space="preserve">1. </w:t>
            </w:r>
            <w:r w:rsidRPr="00DF4CE5">
              <w:rPr>
                <w:rFonts w:ascii="Cambria" w:eastAsia="Times New Roman" w:hAnsi="Cambria" w:cs="Times New Roman"/>
                <w:lang w:val="hr-HR"/>
              </w:rPr>
              <w:t>pravilno tumačiti i interpretirati usmenu baštinu Istre i svoga zavičaja</w:t>
            </w:r>
          </w:p>
          <w:p w14:paraId="7EE8842C" w14:textId="77777777" w:rsidR="003415F8" w:rsidRPr="00DF4CE5" w:rsidRDefault="003415F8" w:rsidP="00587D5D">
            <w:pPr>
              <w:suppressAutoHyphens/>
              <w:snapToGrid w:val="0"/>
              <w:spacing w:after="0" w:line="240" w:lineRule="auto"/>
              <w:jc w:val="both"/>
              <w:rPr>
                <w:rFonts w:ascii="Cambria" w:eastAsia="Times New Roman" w:hAnsi="Cambria" w:cs="Times New Roman"/>
                <w:lang w:val="hr-HR"/>
              </w:rPr>
            </w:pPr>
            <w:r>
              <w:rPr>
                <w:rFonts w:ascii="Cambria" w:eastAsia="Times New Roman" w:hAnsi="Cambria" w:cs="Times New Roman"/>
                <w:lang w:val="hr-HR"/>
              </w:rPr>
              <w:t xml:space="preserve">2. </w:t>
            </w:r>
            <w:r w:rsidRPr="00DF4CE5">
              <w:rPr>
                <w:rFonts w:ascii="Cambria" w:eastAsia="Times New Roman" w:hAnsi="Cambria" w:cs="Times New Roman"/>
                <w:lang w:val="hr-HR"/>
              </w:rPr>
              <w:t>primijeniti konkretna iskustva o njegovanju zavičajne baštine u terenskoj nastavi</w:t>
            </w:r>
          </w:p>
          <w:p w14:paraId="3923824C" w14:textId="77777777" w:rsidR="003415F8" w:rsidRDefault="003415F8" w:rsidP="00587D5D">
            <w:pPr>
              <w:suppressAutoHyphens/>
              <w:spacing w:after="0" w:line="240" w:lineRule="auto"/>
              <w:jc w:val="both"/>
              <w:rPr>
                <w:rFonts w:ascii="Cambria" w:eastAsia="Times New Roman" w:hAnsi="Cambria" w:cs="Times New Roman"/>
                <w:lang w:val="hr-HR"/>
              </w:rPr>
            </w:pPr>
            <w:r>
              <w:rPr>
                <w:rFonts w:ascii="Cambria" w:eastAsia="Times New Roman" w:hAnsi="Cambria" w:cs="Times New Roman"/>
                <w:lang w:val="hr-HR"/>
              </w:rPr>
              <w:t xml:space="preserve">3. </w:t>
            </w:r>
            <w:r w:rsidRPr="00DF4CE5">
              <w:rPr>
                <w:rFonts w:ascii="Cambria" w:eastAsia="Times New Roman" w:hAnsi="Cambria" w:cs="Times New Roman"/>
                <w:lang w:val="hr-HR"/>
              </w:rPr>
              <w:t xml:space="preserve">koristiti stručnu i znanstvenu literaturu </w:t>
            </w:r>
          </w:p>
          <w:p w14:paraId="224A7042" w14:textId="77777777" w:rsidR="003415F8" w:rsidRPr="00F857AC" w:rsidRDefault="003415F8" w:rsidP="00587D5D">
            <w:pPr>
              <w:suppressAutoHyphens/>
              <w:spacing w:after="0" w:line="240" w:lineRule="auto"/>
              <w:jc w:val="both"/>
              <w:rPr>
                <w:rFonts w:ascii="Cambria" w:eastAsia="Times New Roman" w:hAnsi="Cambria" w:cs="Times New Roman"/>
                <w:lang w:val="hr-HR"/>
              </w:rPr>
            </w:pPr>
            <w:r>
              <w:rPr>
                <w:rFonts w:ascii="Cambria" w:eastAsia="Times New Roman" w:hAnsi="Cambria" w:cs="Times New Roman"/>
                <w:lang w:val="hr-HR"/>
              </w:rPr>
              <w:t xml:space="preserve">4. </w:t>
            </w:r>
            <w:r w:rsidRPr="00DF4CE5">
              <w:rPr>
                <w:rFonts w:ascii="Cambria" w:eastAsia="Times New Roman" w:hAnsi="Cambria" w:cs="Times New Roman"/>
                <w:lang w:val="hr-HR"/>
              </w:rPr>
              <w:t>primjenjujući stečene spoznaje kreativno osmisliti konkretan odgojno-obrazovni model s usmenom baštinom u radu s učenikom u primarnom obrazovanju</w:t>
            </w:r>
          </w:p>
        </w:tc>
      </w:tr>
      <w:tr w:rsidR="003415F8" w:rsidRPr="00D0399C" w14:paraId="042B4231" w14:textId="77777777" w:rsidTr="00587D5D">
        <w:tc>
          <w:tcPr>
            <w:tcW w:w="2056"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3FE187AA" w14:textId="77777777" w:rsidR="003415F8" w:rsidRPr="005C2363" w:rsidRDefault="003415F8" w:rsidP="00587D5D">
            <w:pPr>
              <w:spacing w:after="0" w:line="240" w:lineRule="auto"/>
              <w:rPr>
                <w:rFonts w:ascii="Cambria" w:eastAsia="Times New Roman" w:hAnsi="Cambria" w:cs="Calibri"/>
                <w:lang w:val="hr-HR"/>
              </w:rPr>
            </w:pPr>
            <w:r w:rsidRPr="005C2363">
              <w:rPr>
                <w:rFonts w:ascii="Cambria" w:eastAsia="Times New Roman" w:hAnsi="Cambria" w:cs="Calibri"/>
                <w:lang w:val="hr-HR"/>
              </w:rPr>
              <w:t>Sadržaj kolegija</w:t>
            </w:r>
          </w:p>
        </w:tc>
        <w:tc>
          <w:tcPr>
            <w:tcW w:w="6996"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A1E5561" w14:textId="77777777" w:rsidR="003415F8" w:rsidRDefault="003415F8" w:rsidP="00587D5D">
            <w:pPr>
              <w:suppressAutoHyphens/>
              <w:spacing w:after="0" w:line="240" w:lineRule="auto"/>
              <w:jc w:val="both"/>
              <w:rPr>
                <w:rFonts w:ascii="Cambria" w:eastAsia="Times New Roman" w:hAnsi="Cambria" w:cs="Times New Roman"/>
                <w:lang w:val="hr-HR"/>
              </w:rPr>
            </w:pPr>
            <w:r w:rsidRPr="00F857AC">
              <w:rPr>
                <w:rFonts w:ascii="Cambria" w:eastAsia="Times New Roman" w:hAnsi="Cambria" w:cs="Times New Roman"/>
                <w:lang w:val="hr-HR"/>
              </w:rPr>
              <w:t xml:space="preserve">1. </w:t>
            </w:r>
            <w:r w:rsidRPr="00DF4CE5">
              <w:rPr>
                <w:rFonts w:ascii="Cambria" w:eastAsia="Times New Roman" w:hAnsi="Cambria" w:cs="Times New Roman"/>
                <w:lang w:val="hr-HR"/>
              </w:rPr>
              <w:t>Usmena zavičajna baština: pojam, zapisivanje,  veza s dugim oblicima folklora</w:t>
            </w:r>
          </w:p>
          <w:p w14:paraId="08BE552A" w14:textId="77777777" w:rsidR="003415F8" w:rsidRDefault="003415F8" w:rsidP="00587D5D">
            <w:pPr>
              <w:suppressAutoHyphens/>
              <w:spacing w:after="0" w:line="240" w:lineRule="auto"/>
              <w:jc w:val="both"/>
              <w:rPr>
                <w:rFonts w:ascii="Cambria" w:eastAsia="Times New Roman" w:hAnsi="Cambria" w:cs="Times New Roman"/>
                <w:lang w:val="hr-HR"/>
              </w:rPr>
            </w:pPr>
            <w:r>
              <w:rPr>
                <w:rFonts w:ascii="Cambria" w:eastAsia="Times New Roman" w:hAnsi="Cambria" w:cs="Times New Roman"/>
                <w:lang w:val="hr-HR"/>
              </w:rPr>
              <w:t xml:space="preserve">2. </w:t>
            </w:r>
            <w:r w:rsidRPr="00DF4CE5">
              <w:rPr>
                <w:rFonts w:ascii="Cambria" w:eastAsia="Times New Roman" w:hAnsi="Cambria" w:cs="Times New Roman"/>
                <w:lang w:val="hr-HR"/>
              </w:rPr>
              <w:t>Vrste u stihu</w:t>
            </w:r>
          </w:p>
          <w:p w14:paraId="08D5E774" w14:textId="77777777" w:rsidR="003415F8" w:rsidRDefault="003415F8" w:rsidP="00587D5D">
            <w:pPr>
              <w:suppressAutoHyphens/>
              <w:spacing w:after="0" w:line="240" w:lineRule="auto"/>
              <w:jc w:val="both"/>
              <w:rPr>
                <w:rFonts w:ascii="Cambria" w:eastAsia="Times New Roman" w:hAnsi="Cambria" w:cs="Times New Roman"/>
                <w:lang w:val="hr-HR"/>
              </w:rPr>
            </w:pPr>
            <w:r>
              <w:rPr>
                <w:rFonts w:ascii="Cambria" w:eastAsia="Times New Roman" w:hAnsi="Cambria" w:cs="Times New Roman"/>
                <w:lang w:val="hr-HR"/>
              </w:rPr>
              <w:t xml:space="preserve">3. </w:t>
            </w:r>
            <w:r w:rsidRPr="00DF4CE5">
              <w:rPr>
                <w:rFonts w:ascii="Cambria" w:eastAsia="Times New Roman" w:hAnsi="Cambria" w:cs="Times New Roman"/>
                <w:lang w:val="hr-HR"/>
              </w:rPr>
              <w:t>Vrste u prozi</w:t>
            </w:r>
          </w:p>
          <w:p w14:paraId="111D13A7" w14:textId="77777777" w:rsidR="003415F8" w:rsidRDefault="003415F8" w:rsidP="00587D5D">
            <w:pPr>
              <w:suppressAutoHyphens/>
              <w:spacing w:after="0" w:line="240" w:lineRule="auto"/>
              <w:jc w:val="both"/>
              <w:rPr>
                <w:rFonts w:ascii="Cambria" w:eastAsia="Times New Roman" w:hAnsi="Cambria" w:cs="Times New Roman"/>
                <w:lang w:val="hr-HR"/>
              </w:rPr>
            </w:pPr>
            <w:r>
              <w:rPr>
                <w:rFonts w:ascii="Cambria" w:eastAsia="Times New Roman" w:hAnsi="Cambria" w:cs="Times New Roman"/>
                <w:lang w:val="hr-HR"/>
              </w:rPr>
              <w:t xml:space="preserve">4. </w:t>
            </w:r>
            <w:r w:rsidRPr="00DF4CE5">
              <w:rPr>
                <w:rFonts w:ascii="Cambria" w:eastAsia="Times New Roman" w:hAnsi="Cambria" w:cs="Times New Roman"/>
                <w:lang w:val="hr-HR"/>
              </w:rPr>
              <w:t>Dramski oblici</w:t>
            </w:r>
          </w:p>
          <w:p w14:paraId="23879E39" w14:textId="77777777" w:rsidR="003415F8" w:rsidRDefault="003415F8" w:rsidP="00587D5D">
            <w:pPr>
              <w:suppressAutoHyphens/>
              <w:spacing w:after="0" w:line="240" w:lineRule="auto"/>
              <w:jc w:val="both"/>
              <w:rPr>
                <w:rFonts w:ascii="Cambria" w:eastAsia="Times New Roman" w:hAnsi="Cambria" w:cs="Times New Roman"/>
                <w:lang w:val="hr-HR"/>
              </w:rPr>
            </w:pPr>
            <w:r>
              <w:rPr>
                <w:rFonts w:ascii="Cambria" w:eastAsia="Times New Roman" w:hAnsi="Cambria" w:cs="Times New Roman"/>
                <w:lang w:val="hr-HR"/>
              </w:rPr>
              <w:t xml:space="preserve">5. </w:t>
            </w:r>
            <w:r w:rsidRPr="00DF4CE5">
              <w:rPr>
                <w:rFonts w:ascii="Cambria" w:eastAsia="Times New Roman" w:hAnsi="Cambria" w:cs="Times New Roman"/>
                <w:lang w:val="hr-HR"/>
              </w:rPr>
              <w:t>Zapisi usmene književnosti u Istri</w:t>
            </w:r>
          </w:p>
          <w:p w14:paraId="24CDBF29" w14:textId="77777777" w:rsidR="003415F8" w:rsidRPr="00DF4CE5" w:rsidRDefault="003415F8" w:rsidP="00587D5D">
            <w:pPr>
              <w:suppressAutoHyphens/>
              <w:spacing w:after="0" w:line="240" w:lineRule="auto"/>
              <w:jc w:val="both"/>
              <w:rPr>
                <w:rFonts w:ascii="Cambria" w:eastAsia="Times New Roman" w:hAnsi="Cambria" w:cs="Times New Roman"/>
                <w:lang w:val="hr-HR"/>
              </w:rPr>
            </w:pPr>
            <w:r>
              <w:rPr>
                <w:rFonts w:ascii="Cambria" w:eastAsia="Times New Roman" w:hAnsi="Cambria" w:cs="Times New Roman"/>
                <w:lang w:val="hr-HR"/>
              </w:rPr>
              <w:t xml:space="preserve">6. </w:t>
            </w:r>
            <w:r w:rsidRPr="00DF4CE5">
              <w:rPr>
                <w:rFonts w:ascii="Cambria" w:eastAsia="Times New Roman" w:hAnsi="Cambria" w:cs="Times New Roman"/>
                <w:lang w:val="hr-HR"/>
              </w:rPr>
              <w:t xml:space="preserve">Usmeni motivi u pisanoj književnosti </w:t>
            </w:r>
          </w:p>
        </w:tc>
      </w:tr>
      <w:tr w:rsidR="003415F8" w:rsidRPr="005C2363" w14:paraId="5F771B1A" w14:textId="77777777" w:rsidTr="00587D5D">
        <w:tc>
          <w:tcPr>
            <w:tcW w:w="2056"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0A97116B" w14:textId="77777777" w:rsidR="003415F8" w:rsidRPr="005C2363" w:rsidRDefault="003415F8" w:rsidP="00587D5D">
            <w:pPr>
              <w:spacing w:after="0" w:line="240" w:lineRule="auto"/>
              <w:rPr>
                <w:rFonts w:ascii="Cambria" w:eastAsia="Times New Roman" w:hAnsi="Cambria" w:cs="Calibri"/>
                <w:lang w:val="hr-HR"/>
              </w:rPr>
            </w:pPr>
            <w:r w:rsidRPr="005C2363">
              <w:rPr>
                <w:rFonts w:ascii="Cambria" w:eastAsia="Times New Roman" w:hAnsi="Cambria" w:cs="Calibri"/>
                <w:lang w:val="hr-HR"/>
              </w:rPr>
              <w:t>Planirane aktivnosti,</w:t>
            </w:r>
          </w:p>
          <w:p w14:paraId="6083F183" w14:textId="77777777" w:rsidR="003415F8" w:rsidRPr="005C2363" w:rsidRDefault="003415F8" w:rsidP="00587D5D">
            <w:pPr>
              <w:spacing w:after="0" w:line="240" w:lineRule="auto"/>
              <w:rPr>
                <w:rFonts w:ascii="Cambria" w:eastAsia="Times New Roman" w:hAnsi="Cambria" w:cs="Calibri"/>
                <w:lang w:val="hr-HR"/>
              </w:rPr>
            </w:pPr>
            <w:r w:rsidRPr="005C2363">
              <w:rPr>
                <w:rFonts w:ascii="Cambria" w:eastAsia="Times New Roman" w:hAnsi="Cambria" w:cs="Calibri"/>
                <w:lang w:val="hr-HR"/>
              </w:rPr>
              <w:t>metode učenja i poučavanja i načini vrednovanja</w:t>
            </w:r>
          </w:p>
          <w:p w14:paraId="40D51EE8" w14:textId="77777777" w:rsidR="003415F8" w:rsidRPr="005C2363" w:rsidRDefault="003415F8" w:rsidP="00587D5D">
            <w:pPr>
              <w:spacing w:after="0" w:line="240" w:lineRule="auto"/>
              <w:rPr>
                <w:rFonts w:ascii="Cambria" w:eastAsia="Times New Roman" w:hAnsi="Cambria" w:cs="Calibri"/>
                <w:lang w:val="hr-HR"/>
              </w:rPr>
            </w:pPr>
          </w:p>
        </w:tc>
        <w:tc>
          <w:tcPr>
            <w:tcW w:w="298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B0F8ED6" w14:textId="77777777" w:rsidR="003415F8" w:rsidRPr="005C2363" w:rsidRDefault="003415F8" w:rsidP="00587D5D">
            <w:pPr>
              <w:spacing w:after="0" w:line="240" w:lineRule="auto"/>
              <w:jc w:val="center"/>
              <w:rPr>
                <w:rFonts w:ascii="Cambria" w:eastAsia="Times New Roman" w:hAnsi="Cambria" w:cs="Calibri"/>
                <w:lang w:val="hr-HR"/>
              </w:rPr>
            </w:pPr>
            <w:r w:rsidRPr="005C2363">
              <w:rPr>
                <w:rFonts w:ascii="Cambria" w:eastAsia="Times New Roman" w:hAnsi="Cambria" w:cs="Calibri"/>
                <w:bCs/>
                <w:lang w:val="hr-HR"/>
              </w:rPr>
              <w:t>Obveze</w:t>
            </w:r>
          </w:p>
        </w:tc>
        <w:tc>
          <w:tcPr>
            <w:tcW w:w="1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EE77871" w14:textId="77777777" w:rsidR="003415F8" w:rsidRPr="005C2363" w:rsidRDefault="003415F8" w:rsidP="00587D5D">
            <w:pPr>
              <w:spacing w:after="0" w:line="240" w:lineRule="auto"/>
              <w:jc w:val="center"/>
              <w:rPr>
                <w:rFonts w:ascii="Cambria" w:eastAsia="Times New Roman" w:hAnsi="Cambria" w:cs="Calibri"/>
                <w:bCs/>
                <w:lang w:val="hr-HR"/>
              </w:rPr>
            </w:pPr>
          </w:p>
          <w:p w14:paraId="01045295" w14:textId="77777777" w:rsidR="003415F8" w:rsidRPr="005C2363" w:rsidRDefault="003415F8" w:rsidP="00587D5D">
            <w:pPr>
              <w:spacing w:after="0" w:line="240" w:lineRule="auto"/>
              <w:jc w:val="center"/>
              <w:rPr>
                <w:rFonts w:ascii="Cambria" w:eastAsia="Times New Roman" w:hAnsi="Cambria" w:cs="Calibri"/>
                <w:lang w:val="hr-HR"/>
              </w:rPr>
            </w:pPr>
            <w:r w:rsidRPr="005C2363">
              <w:rPr>
                <w:rFonts w:ascii="Cambria" w:eastAsia="Times New Roman" w:hAnsi="Cambria" w:cs="Calibri"/>
                <w:bCs/>
                <w:lang w:val="hr-HR"/>
              </w:rPr>
              <w:t>Ishodi</w:t>
            </w:r>
          </w:p>
          <w:p w14:paraId="1DE0D534" w14:textId="77777777" w:rsidR="003415F8" w:rsidRPr="005C2363" w:rsidRDefault="003415F8" w:rsidP="00587D5D">
            <w:pPr>
              <w:spacing w:after="0" w:line="240" w:lineRule="auto"/>
              <w:jc w:val="center"/>
              <w:rPr>
                <w:rFonts w:ascii="Cambria" w:eastAsia="Times New Roman" w:hAnsi="Cambria" w:cs="Calibri"/>
                <w:lang w:val="hr-HR"/>
              </w:rPr>
            </w:pPr>
          </w:p>
        </w:tc>
        <w:tc>
          <w:tcPr>
            <w:tcW w:w="69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55FF2C6" w14:textId="77777777" w:rsidR="003415F8" w:rsidRPr="005C2363" w:rsidRDefault="003415F8" w:rsidP="00587D5D">
            <w:pPr>
              <w:spacing w:after="0" w:line="240" w:lineRule="auto"/>
              <w:jc w:val="center"/>
              <w:rPr>
                <w:rFonts w:ascii="Cambria" w:eastAsia="Times New Roman" w:hAnsi="Cambria" w:cs="Calibri"/>
                <w:vertAlign w:val="superscript"/>
                <w:lang w:val="hr-HR"/>
              </w:rPr>
            </w:pPr>
            <w:r w:rsidRPr="005C2363">
              <w:rPr>
                <w:rFonts w:ascii="Cambria" w:eastAsia="Times New Roman" w:hAnsi="Cambria" w:cs="Calibri"/>
                <w:bCs/>
                <w:lang w:val="hr-HR"/>
              </w:rPr>
              <w:t>Sati</w:t>
            </w:r>
          </w:p>
        </w:tc>
        <w:tc>
          <w:tcPr>
            <w:tcW w:w="9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CF174D3" w14:textId="77777777" w:rsidR="003415F8" w:rsidRPr="005C2363" w:rsidRDefault="003415F8" w:rsidP="00587D5D">
            <w:pPr>
              <w:spacing w:after="0" w:line="240" w:lineRule="auto"/>
              <w:jc w:val="center"/>
              <w:rPr>
                <w:rFonts w:ascii="Cambria" w:eastAsia="Times New Roman" w:hAnsi="Cambria" w:cs="Calibri"/>
                <w:lang w:val="hr-HR"/>
              </w:rPr>
            </w:pPr>
            <w:r w:rsidRPr="005C2363">
              <w:rPr>
                <w:rFonts w:ascii="Cambria" w:eastAsia="Times New Roman" w:hAnsi="Cambria" w:cs="Calibri"/>
                <w:bCs/>
                <w:lang w:val="hr-HR"/>
              </w:rPr>
              <w:t>ECTS</w:t>
            </w:r>
          </w:p>
        </w:tc>
        <w:tc>
          <w:tcPr>
            <w:tcW w:w="127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61BB18C" w14:textId="77777777" w:rsidR="003415F8" w:rsidRPr="005C2363" w:rsidRDefault="003415F8" w:rsidP="00587D5D">
            <w:pPr>
              <w:spacing w:after="0" w:line="240" w:lineRule="auto"/>
              <w:jc w:val="center"/>
              <w:rPr>
                <w:rFonts w:ascii="Cambria" w:eastAsia="Times New Roman" w:hAnsi="Cambria" w:cs="Calibri"/>
                <w:lang w:val="hr-HR"/>
              </w:rPr>
            </w:pPr>
            <w:r w:rsidRPr="005C2363">
              <w:rPr>
                <w:rFonts w:ascii="Cambria" w:eastAsia="Times New Roman" w:hAnsi="Cambria" w:cs="Calibri"/>
                <w:bCs/>
                <w:lang w:val="hr-HR"/>
              </w:rPr>
              <w:t>Maksimalni udio u ocjeni (%)</w:t>
            </w:r>
          </w:p>
        </w:tc>
      </w:tr>
      <w:tr w:rsidR="003415F8" w:rsidRPr="00DF4CE5" w14:paraId="3325E46E" w14:textId="77777777" w:rsidTr="00587D5D">
        <w:tc>
          <w:tcPr>
            <w:tcW w:w="2056" w:type="dxa"/>
            <w:vMerge/>
            <w:tcBorders>
              <w:left w:val="single" w:sz="8" w:space="0" w:color="000000"/>
              <w:right w:val="single" w:sz="8" w:space="0" w:color="000000"/>
            </w:tcBorders>
            <w:vAlign w:val="center"/>
          </w:tcPr>
          <w:p w14:paraId="7757AD14" w14:textId="77777777" w:rsidR="003415F8" w:rsidRPr="005C2363" w:rsidRDefault="003415F8" w:rsidP="00587D5D">
            <w:pPr>
              <w:spacing w:after="0" w:line="240" w:lineRule="auto"/>
              <w:rPr>
                <w:rFonts w:ascii="Cambria" w:eastAsia="Times New Roman" w:hAnsi="Cambria" w:cs="Calibri"/>
                <w:lang w:val="hr-HR"/>
              </w:rPr>
            </w:pPr>
          </w:p>
        </w:tc>
        <w:tc>
          <w:tcPr>
            <w:tcW w:w="2981" w:type="dxa"/>
            <w:gridSpan w:val="2"/>
            <w:tcBorders>
              <w:top w:val="single" w:sz="8" w:space="0" w:color="000000"/>
              <w:left w:val="single" w:sz="8" w:space="0" w:color="000000"/>
              <w:bottom w:val="single" w:sz="8" w:space="0" w:color="000000"/>
            </w:tcBorders>
            <w:tcMar>
              <w:top w:w="15" w:type="dxa"/>
              <w:left w:w="108" w:type="dxa"/>
              <w:bottom w:w="0" w:type="dxa"/>
              <w:right w:w="108" w:type="dxa"/>
            </w:tcMar>
          </w:tcPr>
          <w:p w14:paraId="7997C309" w14:textId="77777777" w:rsidR="003415F8" w:rsidRPr="00DF4CE5" w:rsidRDefault="003415F8" w:rsidP="00587D5D">
            <w:pPr>
              <w:snapToGrid w:val="0"/>
              <w:spacing w:after="0" w:line="240" w:lineRule="auto"/>
              <w:jc w:val="both"/>
              <w:rPr>
                <w:rFonts w:ascii="Cambria" w:eastAsia="Times New Roman" w:hAnsi="Cambria" w:cs="Times New Roman"/>
                <w:lang w:val="hr-HR"/>
              </w:rPr>
            </w:pPr>
            <w:proofErr w:type="spellStart"/>
            <w:r w:rsidRPr="00DF4CE5">
              <w:rPr>
                <w:rFonts w:ascii="Cambria" w:eastAsia="Times New Roman" w:hAnsi="Cambria" w:cs="Calibri"/>
              </w:rPr>
              <w:t>aktivnost</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na</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nastavi</w:t>
            </w:r>
            <w:proofErr w:type="spellEnd"/>
          </w:p>
        </w:tc>
        <w:tc>
          <w:tcPr>
            <w:tcW w:w="1058" w:type="dxa"/>
            <w:tcBorders>
              <w:top w:val="single" w:sz="8" w:space="0" w:color="000000"/>
              <w:left w:val="single" w:sz="8" w:space="0" w:color="000000"/>
              <w:bottom w:val="single" w:sz="8" w:space="0" w:color="000000"/>
            </w:tcBorders>
            <w:tcMar>
              <w:top w:w="15" w:type="dxa"/>
              <w:left w:w="108" w:type="dxa"/>
              <w:bottom w:w="0" w:type="dxa"/>
              <w:right w:w="108" w:type="dxa"/>
            </w:tcMar>
            <w:vAlign w:val="center"/>
          </w:tcPr>
          <w:p w14:paraId="4E222A54" w14:textId="77777777" w:rsidR="003415F8" w:rsidRPr="00DF4CE5" w:rsidRDefault="003415F8" w:rsidP="00587D5D">
            <w:pPr>
              <w:snapToGrid w:val="0"/>
              <w:spacing w:after="0" w:line="240" w:lineRule="auto"/>
              <w:jc w:val="center"/>
              <w:rPr>
                <w:rFonts w:ascii="Cambria" w:eastAsia="Times New Roman" w:hAnsi="Cambria" w:cs="Times New Roman"/>
                <w:lang w:val="hr-HR"/>
              </w:rPr>
            </w:pPr>
            <w:r w:rsidRPr="00DF4CE5">
              <w:rPr>
                <w:rFonts w:ascii="Cambria" w:eastAsia="Times New Roman" w:hAnsi="Cambria" w:cs="Times New Roman"/>
                <w:lang w:val="hr-HR"/>
              </w:rPr>
              <w:t xml:space="preserve">1. </w:t>
            </w:r>
            <w:r>
              <w:rPr>
                <w:rFonts w:ascii="Cambria" w:eastAsia="Times New Roman" w:hAnsi="Cambria" w:cs="Times New Roman"/>
                <w:lang w:val="hr-HR"/>
              </w:rPr>
              <w:t>–</w:t>
            </w:r>
            <w:r w:rsidRPr="00DF4CE5">
              <w:rPr>
                <w:rFonts w:ascii="Cambria" w:eastAsia="Times New Roman" w:hAnsi="Cambria" w:cs="Times New Roman"/>
                <w:lang w:val="hr-HR"/>
              </w:rPr>
              <w:t xml:space="preserve"> 4.</w:t>
            </w:r>
          </w:p>
        </w:tc>
        <w:tc>
          <w:tcPr>
            <w:tcW w:w="697" w:type="dxa"/>
            <w:gridSpan w:val="2"/>
            <w:tcBorders>
              <w:top w:val="single" w:sz="8" w:space="0" w:color="000000"/>
              <w:left w:val="single" w:sz="8" w:space="0" w:color="000000"/>
              <w:bottom w:val="single" w:sz="8" w:space="0" w:color="000000"/>
            </w:tcBorders>
            <w:tcMar>
              <w:top w:w="15" w:type="dxa"/>
              <w:left w:w="108" w:type="dxa"/>
              <w:bottom w:w="0" w:type="dxa"/>
              <w:right w:w="108" w:type="dxa"/>
            </w:tcMar>
            <w:vAlign w:val="center"/>
          </w:tcPr>
          <w:p w14:paraId="0FBEAE50" w14:textId="77777777" w:rsidR="003415F8" w:rsidRPr="00DF4CE5" w:rsidRDefault="003415F8" w:rsidP="00587D5D">
            <w:pPr>
              <w:snapToGrid w:val="0"/>
              <w:spacing w:after="0" w:line="240" w:lineRule="auto"/>
              <w:jc w:val="center"/>
              <w:rPr>
                <w:rFonts w:ascii="Cambria" w:eastAsia="Times New Roman" w:hAnsi="Cambria" w:cs="Times New Roman"/>
                <w:lang w:val="hr-HR"/>
              </w:rPr>
            </w:pPr>
            <w:r w:rsidRPr="00DF4CE5">
              <w:rPr>
                <w:rFonts w:ascii="Cambria" w:eastAsia="Times New Roman" w:hAnsi="Cambria" w:cs="Times New Roman"/>
                <w:lang w:val="hr-HR"/>
              </w:rPr>
              <w:t>2</w:t>
            </w:r>
            <w:r>
              <w:rPr>
                <w:rFonts w:ascii="Cambria" w:eastAsia="Times New Roman" w:hAnsi="Cambria" w:cs="Times New Roman"/>
                <w:lang w:val="hr-HR"/>
              </w:rPr>
              <w:t>3</w:t>
            </w:r>
          </w:p>
        </w:tc>
        <w:tc>
          <w:tcPr>
            <w:tcW w:w="982" w:type="dxa"/>
            <w:tcBorders>
              <w:top w:val="single" w:sz="8" w:space="0" w:color="000000"/>
              <w:left w:val="single" w:sz="8" w:space="0" w:color="000000"/>
              <w:bottom w:val="single" w:sz="8" w:space="0" w:color="000000"/>
            </w:tcBorders>
            <w:tcMar>
              <w:top w:w="15" w:type="dxa"/>
              <w:left w:w="108" w:type="dxa"/>
              <w:bottom w:w="0" w:type="dxa"/>
              <w:right w:w="108" w:type="dxa"/>
            </w:tcMar>
            <w:vAlign w:val="center"/>
          </w:tcPr>
          <w:p w14:paraId="2131E5B7" w14:textId="77777777" w:rsidR="003415F8" w:rsidRPr="00DF4CE5" w:rsidRDefault="003415F8" w:rsidP="00587D5D">
            <w:pPr>
              <w:snapToGrid w:val="0"/>
              <w:spacing w:after="0" w:line="240" w:lineRule="auto"/>
              <w:jc w:val="center"/>
              <w:rPr>
                <w:rFonts w:ascii="Cambria" w:eastAsia="Times New Roman" w:hAnsi="Cambria" w:cs="Times New Roman"/>
                <w:lang w:val="hr-HR"/>
              </w:rPr>
            </w:pPr>
            <w:r w:rsidRPr="00DF4CE5">
              <w:rPr>
                <w:rFonts w:ascii="Cambria" w:eastAsia="Times New Roman" w:hAnsi="Cambria" w:cs="Times New Roman"/>
                <w:lang w:val="hr-HR"/>
              </w:rPr>
              <w:t>0,8</w:t>
            </w:r>
          </w:p>
        </w:tc>
        <w:tc>
          <w:tcPr>
            <w:tcW w:w="127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2466F3B" w14:textId="77777777" w:rsidR="003415F8" w:rsidRPr="00DF4CE5" w:rsidRDefault="003415F8" w:rsidP="00587D5D">
            <w:pPr>
              <w:snapToGrid w:val="0"/>
              <w:spacing w:after="0" w:line="240" w:lineRule="auto"/>
              <w:jc w:val="center"/>
              <w:rPr>
                <w:rFonts w:ascii="Cambria" w:eastAsia="Times New Roman" w:hAnsi="Cambria" w:cs="Times New Roman"/>
                <w:lang w:val="hr-HR"/>
              </w:rPr>
            </w:pPr>
            <w:r w:rsidRPr="00DF4CE5">
              <w:rPr>
                <w:rFonts w:ascii="Cambria" w:eastAsia="Times New Roman" w:hAnsi="Cambria" w:cs="Times New Roman"/>
                <w:lang w:val="hr-HR"/>
              </w:rPr>
              <w:t>10 %</w:t>
            </w:r>
          </w:p>
        </w:tc>
      </w:tr>
      <w:tr w:rsidR="003415F8" w:rsidRPr="00DF4CE5" w14:paraId="035A0CD5" w14:textId="77777777" w:rsidTr="00587D5D">
        <w:tc>
          <w:tcPr>
            <w:tcW w:w="2056" w:type="dxa"/>
            <w:vMerge/>
            <w:tcBorders>
              <w:left w:val="single" w:sz="8" w:space="0" w:color="000000"/>
              <w:right w:val="single" w:sz="8" w:space="0" w:color="000000"/>
            </w:tcBorders>
            <w:vAlign w:val="center"/>
          </w:tcPr>
          <w:p w14:paraId="4FB91A10" w14:textId="77777777" w:rsidR="003415F8" w:rsidRPr="005C2363" w:rsidRDefault="003415F8" w:rsidP="00587D5D">
            <w:pPr>
              <w:spacing w:after="0" w:line="240" w:lineRule="auto"/>
              <w:rPr>
                <w:rFonts w:ascii="Cambria" w:eastAsia="Times New Roman" w:hAnsi="Cambria" w:cs="Calibri"/>
                <w:lang w:val="hr-HR"/>
              </w:rPr>
            </w:pPr>
          </w:p>
        </w:tc>
        <w:tc>
          <w:tcPr>
            <w:tcW w:w="2981" w:type="dxa"/>
            <w:gridSpan w:val="2"/>
            <w:tcBorders>
              <w:top w:val="single" w:sz="8" w:space="0" w:color="000000"/>
              <w:left w:val="single" w:sz="8" w:space="0" w:color="000000"/>
              <w:bottom w:val="single" w:sz="8" w:space="0" w:color="000000"/>
            </w:tcBorders>
            <w:tcMar>
              <w:top w:w="15" w:type="dxa"/>
              <w:left w:w="108" w:type="dxa"/>
              <w:bottom w:w="0" w:type="dxa"/>
              <w:right w:w="108" w:type="dxa"/>
            </w:tcMar>
          </w:tcPr>
          <w:p w14:paraId="0B29CA4E" w14:textId="77777777" w:rsidR="003415F8" w:rsidRPr="00DF4CE5" w:rsidRDefault="003415F8" w:rsidP="00587D5D">
            <w:pPr>
              <w:snapToGrid w:val="0"/>
              <w:spacing w:after="0" w:line="240" w:lineRule="auto"/>
              <w:jc w:val="both"/>
              <w:rPr>
                <w:rFonts w:ascii="Cambria" w:eastAsia="Times New Roman" w:hAnsi="Cambria" w:cs="Times New Roman"/>
                <w:lang w:val="hr-HR"/>
              </w:rPr>
            </w:pPr>
            <w:r w:rsidRPr="00DF4CE5">
              <w:rPr>
                <w:rFonts w:ascii="Cambria" w:eastAsia="Times New Roman" w:hAnsi="Cambria" w:cs="Times New Roman"/>
                <w:lang w:val="hr-HR"/>
              </w:rPr>
              <w:t>terenska nastava</w:t>
            </w:r>
          </w:p>
        </w:tc>
        <w:tc>
          <w:tcPr>
            <w:tcW w:w="1058" w:type="dxa"/>
            <w:tcBorders>
              <w:top w:val="single" w:sz="8" w:space="0" w:color="000000"/>
              <w:left w:val="single" w:sz="8" w:space="0" w:color="000000"/>
              <w:bottom w:val="single" w:sz="8" w:space="0" w:color="000000"/>
            </w:tcBorders>
            <w:tcMar>
              <w:top w:w="15" w:type="dxa"/>
              <w:left w:w="108" w:type="dxa"/>
              <w:bottom w:w="0" w:type="dxa"/>
              <w:right w:w="108" w:type="dxa"/>
            </w:tcMar>
            <w:vAlign w:val="center"/>
          </w:tcPr>
          <w:p w14:paraId="5D42DACA" w14:textId="77777777" w:rsidR="003415F8" w:rsidRPr="00DF4CE5" w:rsidRDefault="003415F8" w:rsidP="00587D5D">
            <w:pPr>
              <w:snapToGrid w:val="0"/>
              <w:spacing w:after="0" w:line="240" w:lineRule="auto"/>
              <w:jc w:val="center"/>
              <w:rPr>
                <w:rFonts w:ascii="Cambria" w:eastAsia="Times New Roman" w:hAnsi="Cambria" w:cs="Times New Roman"/>
                <w:lang w:val="hr-HR"/>
              </w:rPr>
            </w:pPr>
            <w:r w:rsidRPr="00DF4CE5">
              <w:rPr>
                <w:rFonts w:ascii="Cambria" w:eastAsia="Times New Roman" w:hAnsi="Cambria" w:cs="Times New Roman"/>
                <w:lang w:val="hr-HR"/>
              </w:rPr>
              <w:t>2.</w:t>
            </w:r>
          </w:p>
        </w:tc>
        <w:tc>
          <w:tcPr>
            <w:tcW w:w="697" w:type="dxa"/>
            <w:gridSpan w:val="2"/>
            <w:tcBorders>
              <w:top w:val="single" w:sz="8" w:space="0" w:color="000000"/>
              <w:left w:val="single" w:sz="8" w:space="0" w:color="000000"/>
              <w:bottom w:val="single" w:sz="8" w:space="0" w:color="000000"/>
            </w:tcBorders>
            <w:tcMar>
              <w:top w:w="15" w:type="dxa"/>
              <w:left w:w="108" w:type="dxa"/>
              <w:bottom w:w="0" w:type="dxa"/>
              <w:right w:w="108" w:type="dxa"/>
            </w:tcMar>
            <w:vAlign w:val="center"/>
          </w:tcPr>
          <w:p w14:paraId="68D06A05" w14:textId="77777777" w:rsidR="003415F8" w:rsidRPr="00DF4CE5" w:rsidRDefault="003415F8" w:rsidP="00587D5D">
            <w:pPr>
              <w:snapToGrid w:val="0"/>
              <w:spacing w:after="0" w:line="240" w:lineRule="auto"/>
              <w:jc w:val="center"/>
              <w:rPr>
                <w:rFonts w:ascii="Cambria" w:eastAsia="Times New Roman" w:hAnsi="Cambria" w:cs="Times New Roman"/>
                <w:lang w:val="hr-HR"/>
              </w:rPr>
            </w:pPr>
            <w:r>
              <w:rPr>
                <w:rFonts w:ascii="Cambria" w:eastAsia="Times New Roman" w:hAnsi="Cambria" w:cs="Times New Roman"/>
                <w:lang w:val="hr-HR"/>
              </w:rPr>
              <w:t>4</w:t>
            </w:r>
          </w:p>
        </w:tc>
        <w:tc>
          <w:tcPr>
            <w:tcW w:w="982" w:type="dxa"/>
            <w:tcBorders>
              <w:top w:val="single" w:sz="8" w:space="0" w:color="000000"/>
              <w:left w:val="single" w:sz="8" w:space="0" w:color="000000"/>
              <w:bottom w:val="single" w:sz="8" w:space="0" w:color="000000"/>
            </w:tcBorders>
            <w:tcMar>
              <w:top w:w="15" w:type="dxa"/>
              <w:left w:w="108" w:type="dxa"/>
              <w:bottom w:w="0" w:type="dxa"/>
              <w:right w:w="108" w:type="dxa"/>
            </w:tcMar>
            <w:vAlign w:val="center"/>
          </w:tcPr>
          <w:p w14:paraId="1E803E93" w14:textId="77777777" w:rsidR="003415F8" w:rsidRPr="00DF4CE5" w:rsidRDefault="003415F8" w:rsidP="00587D5D">
            <w:pPr>
              <w:snapToGrid w:val="0"/>
              <w:spacing w:after="0" w:line="240" w:lineRule="auto"/>
              <w:jc w:val="center"/>
              <w:rPr>
                <w:rFonts w:ascii="Cambria" w:eastAsia="Times New Roman" w:hAnsi="Cambria" w:cs="Times New Roman"/>
                <w:lang w:val="hr-HR"/>
              </w:rPr>
            </w:pPr>
            <w:r w:rsidRPr="00DF4CE5">
              <w:rPr>
                <w:rFonts w:ascii="Cambria" w:eastAsia="Times New Roman" w:hAnsi="Cambria" w:cs="Times New Roman"/>
                <w:lang w:val="hr-HR"/>
              </w:rPr>
              <w:t>0,</w:t>
            </w:r>
            <w:r>
              <w:rPr>
                <w:rFonts w:ascii="Cambria" w:eastAsia="Times New Roman" w:hAnsi="Cambria" w:cs="Times New Roman"/>
                <w:lang w:val="hr-HR"/>
              </w:rPr>
              <w:t>1</w:t>
            </w:r>
          </w:p>
        </w:tc>
        <w:tc>
          <w:tcPr>
            <w:tcW w:w="127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8ED5170" w14:textId="77777777" w:rsidR="003415F8" w:rsidRPr="00DF4CE5" w:rsidRDefault="003415F8" w:rsidP="00587D5D">
            <w:pPr>
              <w:snapToGrid w:val="0"/>
              <w:spacing w:after="0" w:line="240" w:lineRule="auto"/>
              <w:jc w:val="center"/>
              <w:rPr>
                <w:rFonts w:ascii="Cambria" w:eastAsia="Times New Roman" w:hAnsi="Cambria" w:cs="Times New Roman"/>
                <w:lang w:val="hr-HR"/>
              </w:rPr>
            </w:pPr>
            <w:r w:rsidRPr="00DF4CE5">
              <w:rPr>
                <w:rFonts w:ascii="Cambria" w:eastAsia="Times New Roman" w:hAnsi="Cambria" w:cs="Times New Roman"/>
                <w:lang w:val="hr-HR"/>
              </w:rPr>
              <w:t>0 %</w:t>
            </w:r>
          </w:p>
        </w:tc>
      </w:tr>
      <w:tr w:rsidR="003415F8" w:rsidRPr="00DF4CE5" w14:paraId="2DB03524" w14:textId="77777777" w:rsidTr="00587D5D">
        <w:tc>
          <w:tcPr>
            <w:tcW w:w="2056" w:type="dxa"/>
            <w:vMerge/>
            <w:tcBorders>
              <w:left w:val="single" w:sz="8" w:space="0" w:color="000000"/>
              <w:right w:val="single" w:sz="8" w:space="0" w:color="000000"/>
            </w:tcBorders>
            <w:vAlign w:val="center"/>
          </w:tcPr>
          <w:p w14:paraId="30AB045F" w14:textId="77777777" w:rsidR="003415F8" w:rsidRPr="005C2363" w:rsidRDefault="003415F8" w:rsidP="00587D5D">
            <w:pPr>
              <w:spacing w:after="0" w:line="240" w:lineRule="auto"/>
              <w:rPr>
                <w:rFonts w:ascii="Cambria" w:eastAsia="Times New Roman" w:hAnsi="Cambria" w:cs="Calibri"/>
                <w:lang w:val="hr-HR"/>
              </w:rPr>
            </w:pPr>
          </w:p>
        </w:tc>
        <w:tc>
          <w:tcPr>
            <w:tcW w:w="2981" w:type="dxa"/>
            <w:gridSpan w:val="2"/>
            <w:tcBorders>
              <w:top w:val="single" w:sz="8" w:space="0" w:color="000000"/>
              <w:left w:val="single" w:sz="8" w:space="0" w:color="000000"/>
              <w:bottom w:val="single" w:sz="8" w:space="0" w:color="000000"/>
            </w:tcBorders>
            <w:tcMar>
              <w:top w:w="15" w:type="dxa"/>
              <w:left w:w="108" w:type="dxa"/>
              <w:bottom w:w="0" w:type="dxa"/>
              <w:right w:w="108" w:type="dxa"/>
            </w:tcMar>
          </w:tcPr>
          <w:p w14:paraId="2BD384CF" w14:textId="77777777" w:rsidR="003415F8" w:rsidRPr="00DF4CE5" w:rsidRDefault="003415F8" w:rsidP="00587D5D">
            <w:pPr>
              <w:snapToGrid w:val="0"/>
              <w:spacing w:after="0" w:line="240" w:lineRule="auto"/>
              <w:jc w:val="both"/>
              <w:rPr>
                <w:rFonts w:ascii="Cambria" w:eastAsia="Times New Roman" w:hAnsi="Cambria" w:cs="Times New Roman"/>
                <w:lang w:val="hr-HR"/>
              </w:rPr>
            </w:pPr>
            <w:r w:rsidRPr="00DF4CE5">
              <w:rPr>
                <w:rFonts w:ascii="Cambria" w:eastAsia="Times New Roman" w:hAnsi="Cambria" w:cs="Times New Roman"/>
                <w:lang w:val="hr-HR"/>
              </w:rPr>
              <w:t xml:space="preserve">istraživanje </w:t>
            </w:r>
          </w:p>
        </w:tc>
        <w:tc>
          <w:tcPr>
            <w:tcW w:w="1058" w:type="dxa"/>
            <w:tcBorders>
              <w:top w:val="single" w:sz="8" w:space="0" w:color="000000"/>
              <w:left w:val="single" w:sz="8" w:space="0" w:color="000000"/>
              <w:bottom w:val="single" w:sz="8" w:space="0" w:color="000000"/>
            </w:tcBorders>
            <w:tcMar>
              <w:top w:w="15" w:type="dxa"/>
              <w:left w:w="108" w:type="dxa"/>
              <w:bottom w:w="0" w:type="dxa"/>
              <w:right w:w="108" w:type="dxa"/>
            </w:tcMar>
            <w:vAlign w:val="center"/>
          </w:tcPr>
          <w:p w14:paraId="6C9AB9EF" w14:textId="77777777" w:rsidR="003415F8" w:rsidRPr="00DF4CE5" w:rsidRDefault="003415F8" w:rsidP="00587D5D">
            <w:pPr>
              <w:snapToGrid w:val="0"/>
              <w:spacing w:after="0" w:line="240" w:lineRule="auto"/>
              <w:jc w:val="center"/>
              <w:rPr>
                <w:rFonts w:ascii="Cambria" w:eastAsia="Times New Roman" w:hAnsi="Cambria" w:cs="Times New Roman"/>
                <w:lang w:val="hr-HR"/>
              </w:rPr>
            </w:pPr>
            <w:r w:rsidRPr="00DF4CE5">
              <w:rPr>
                <w:rFonts w:ascii="Cambria" w:eastAsia="Times New Roman" w:hAnsi="Cambria" w:cs="Times New Roman"/>
                <w:lang w:val="hr-HR"/>
              </w:rPr>
              <w:t>3.</w:t>
            </w:r>
          </w:p>
        </w:tc>
        <w:tc>
          <w:tcPr>
            <w:tcW w:w="697" w:type="dxa"/>
            <w:gridSpan w:val="2"/>
            <w:tcBorders>
              <w:top w:val="single" w:sz="8" w:space="0" w:color="000000"/>
              <w:left w:val="single" w:sz="8" w:space="0" w:color="000000"/>
              <w:bottom w:val="single" w:sz="8" w:space="0" w:color="000000"/>
            </w:tcBorders>
            <w:tcMar>
              <w:top w:w="15" w:type="dxa"/>
              <w:left w:w="108" w:type="dxa"/>
              <w:bottom w:w="0" w:type="dxa"/>
              <w:right w:w="108" w:type="dxa"/>
            </w:tcMar>
            <w:vAlign w:val="center"/>
          </w:tcPr>
          <w:p w14:paraId="06DC03A2" w14:textId="77777777" w:rsidR="003415F8" w:rsidRPr="00DF4CE5" w:rsidRDefault="003415F8" w:rsidP="00587D5D">
            <w:pPr>
              <w:snapToGrid w:val="0"/>
              <w:spacing w:after="0" w:line="240" w:lineRule="auto"/>
              <w:jc w:val="center"/>
              <w:rPr>
                <w:rFonts w:ascii="Cambria" w:eastAsia="Times New Roman" w:hAnsi="Cambria" w:cs="Times New Roman"/>
                <w:lang w:val="hr-HR"/>
              </w:rPr>
            </w:pPr>
            <w:r>
              <w:rPr>
                <w:rFonts w:ascii="Cambria" w:eastAsia="Times New Roman" w:hAnsi="Cambria" w:cs="Times New Roman"/>
                <w:lang w:val="hr-HR"/>
              </w:rPr>
              <w:t>18</w:t>
            </w:r>
          </w:p>
        </w:tc>
        <w:tc>
          <w:tcPr>
            <w:tcW w:w="982" w:type="dxa"/>
            <w:tcBorders>
              <w:top w:val="single" w:sz="8" w:space="0" w:color="000000"/>
              <w:left w:val="single" w:sz="8" w:space="0" w:color="000000"/>
              <w:bottom w:val="single" w:sz="8" w:space="0" w:color="000000"/>
            </w:tcBorders>
            <w:tcMar>
              <w:top w:w="15" w:type="dxa"/>
              <w:left w:w="108" w:type="dxa"/>
              <w:bottom w:w="0" w:type="dxa"/>
              <w:right w:w="108" w:type="dxa"/>
            </w:tcMar>
            <w:vAlign w:val="center"/>
          </w:tcPr>
          <w:p w14:paraId="4184106E" w14:textId="77777777" w:rsidR="003415F8" w:rsidRPr="00DF4CE5" w:rsidRDefault="003415F8" w:rsidP="00587D5D">
            <w:pPr>
              <w:snapToGrid w:val="0"/>
              <w:spacing w:after="0" w:line="240" w:lineRule="auto"/>
              <w:jc w:val="center"/>
              <w:rPr>
                <w:rFonts w:ascii="Cambria" w:eastAsia="Times New Roman" w:hAnsi="Cambria" w:cs="Times New Roman"/>
                <w:lang w:val="hr-HR"/>
              </w:rPr>
            </w:pPr>
            <w:r w:rsidRPr="00DF4CE5">
              <w:rPr>
                <w:rFonts w:ascii="Cambria" w:eastAsia="Times New Roman" w:hAnsi="Cambria" w:cs="Times New Roman"/>
                <w:lang w:val="hr-HR"/>
              </w:rPr>
              <w:t>0,6</w:t>
            </w:r>
          </w:p>
        </w:tc>
        <w:tc>
          <w:tcPr>
            <w:tcW w:w="127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27716BE" w14:textId="77777777" w:rsidR="003415F8" w:rsidRPr="00DF4CE5" w:rsidRDefault="003415F8" w:rsidP="00587D5D">
            <w:pPr>
              <w:snapToGrid w:val="0"/>
              <w:spacing w:after="0" w:line="240" w:lineRule="auto"/>
              <w:jc w:val="center"/>
              <w:rPr>
                <w:rFonts w:ascii="Cambria" w:eastAsia="Times New Roman" w:hAnsi="Cambria" w:cs="Times New Roman"/>
                <w:lang w:val="hr-HR"/>
              </w:rPr>
            </w:pPr>
            <w:r w:rsidRPr="00DF4CE5">
              <w:rPr>
                <w:rFonts w:ascii="Cambria" w:eastAsia="Times New Roman" w:hAnsi="Cambria" w:cs="Times New Roman"/>
                <w:lang w:val="hr-HR"/>
              </w:rPr>
              <w:t>60 %</w:t>
            </w:r>
          </w:p>
        </w:tc>
      </w:tr>
      <w:tr w:rsidR="003415F8" w:rsidRPr="00DF4CE5" w14:paraId="2BD55144" w14:textId="77777777" w:rsidTr="00587D5D">
        <w:tc>
          <w:tcPr>
            <w:tcW w:w="2056" w:type="dxa"/>
            <w:vMerge/>
            <w:tcBorders>
              <w:left w:val="single" w:sz="8" w:space="0" w:color="000000"/>
              <w:right w:val="single" w:sz="8" w:space="0" w:color="000000"/>
            </w:tcBorders>
            <w:vAlign w:val="center"/>
          </w:tcPr>
          <w:p w14:paraId="5BF36FCF" w14:textId="77777777" w:rsidR="003415F8" w:rsidRPr="005C2363" w:rsidRDefault="003415F8" w:rsidP="00587D5D">
            <w:pPr>
              <w:spacing w:after="0" w:line="240" w:lineRule="auto"/>
              <w:rPr>
                <w:rFonts w:ascii="Cambria" w:eastAsia="Times New Roman" w:hAnsi="Cambria" w:cs="Calibri"/>
                <w:lang w:val="hr-HR"/>
              </w:rPr>
            </w:pPr>
          </w:p>
        </w:tc>
        <w:tc>
          <w:tcPr>
            <w:tcW w:w="2981" w:type="dxa"/>
            <w:gridSpan w:val="2"/>
            <w:tcBorders>
              <w:top w:val="single" w:sz="8" w:space="0" w:color="000000"/>
              <w:left w:val="single" w:sz="8" w:space="0" w:color="000000"/>
              <w:bottom w:val="single" w:sz="8" w:space="0" w:color="000000"/>
            </w:tcBorders>
            <w:tcMar>
              <w:top w:w="15" w:type="dxa"/>
              <w:left w:w="108" w:type="dxa"/>
              <w:bottom w:w="0" w:type="dxa"/>
              <w:right w:w="108" w:type="dxa"/>
            </w:tcMar>
          </w:tcPr>
          <w:p w14:paraId="25153EDA" w14:textId="77777777" w:rsidR="003415F8" w:rsidRPr="00DF4CE5" w:rsidRDefault="003415F8" w:rsidP="00587D5D">
            <w:pPr>
              <w:snapToGrid w:val="0"/>
              <w:spacing w:after="0" w:line="240" w:lineRule="auto"/>
              <w:jc w:val="both"/>
              <w:rPr>
                <w:rFonts w:ascii="Cambria" w:eastAsia="Times New Roman" w:hAnsi="Cambria" w:cs="Times New Roman"/>
                <w:lang w:val="hr-HR"/>
              </w:rPr>
            </w:pPr>
            <w:r w:rsidRPr="00DF4CE5">
              <w:rPr>
                <w:rFonts w:ascii="Cambria" w:eastAsia="Times New Roman" w:hAnsi="Cambria" w:cs="Times New Roman"/>
                <w:lang w:val="hr-HR"/>
              </w:rPr>
              <w:t>ispit (usmeni)</w:t>
            </w:r>
          </w:p>
        </w:tc>
        <w:tc>
          <w:tcPr>
            <w:tcW w:w="1058" w:type="dxa"/>
            <w:tcBorders>
              <w:top w:val="single" w:sz="8" w:space="0" w:color="000000"/>
              <w:left w:val="single" w:sz="8" w:space="0" w:color="000000"/>
              <w:bottom w:val="single" w:sz="8" w:space="0" w:color="000000"/>
            </w:tcBorders>
            <w:tcMar>
              <w:top w:w="15" w:type="dxa"/>
              <w:left w:w="108" w:type="dxa"/>
              <w:bottom w:w="0" w:type="dxa"/>
              <w:right w:w="108" w:type="dxa"/>
            </w:tcMar>
            <w:vAlign w:val="center"/>
          </w:tcPr>
          <w:p w14:paraId="3B190531" w14:textId="77777777" w:rsidR="003415F8" w:rsidRPr="00DF4CE5" w:rsidRDefault="003415F8" w:rsidP="00587D5D">
            <w:pPr>
              <w:snapToGrid w:val="0"/>
              <w:spacing w:after="0" w:line="240" w:lineRule="auto"/>
              <w:jc w:val="center"/>
              <w:rPr>
                <w:rFonts w:ascii="Cambria" w:eastAsia="Times New Roman" w:hAnsi="Cambria" w:cs="Times New Roman"/>
                <w:lang w:val="hr-HR"/>
              </w:rPr>
            </w:pPr>
            <w:r w:rsidRPr="00DF4CE5">
              <w:rPr>
                <w:rFonts w:ascii="Cambria" w:eastAsia="Times New Roman" w:hAnsi="Cambria" w:cs="Times New Roman"/>
                <w:lang w:val="hr-HR"/>
              </w:rPr>
              <w:t xml:space="preserve">1. </w:t>
            </w:r>
            <w:r>
              <w:rPr>
                <w:rFonts w:ascii="Cambria" w:eastAsia="Times New Roman" w:hAnsi="Cambria" w:cs="Times New Roman"/>
                <w:lang w:val="hr-HR"/>
              </w:rPr>
              <w:t>–</w:t>
            </w:r>
            <w:r w:rsidRPr="00DF4CE5">
              <w:rPr>
                <w:rFonts w:ascii="Cambria" w:eastAsia="Times New Roman" w:hAnsi="Cambria" w:cs="Times New Roman"/>
                <w:lang w:val="hr-HR"/>
              </w:rPr>
              <w:t xml:space="preserve"> 4.</w:t>
            </w:r>
          </w:p>
        </w:tc>
        <w:tc>
          <w:tcPr>
            <w:tcW w:w="697" w:type="dxa"/>
            <w:gridSpan w:val="2"/>
            <w:tcBorders>
              <w:top w:val="single" w:sz="8" w:space="0" w:color="000000"/>
              <w:left w:val="single" w:sz="8" w:space="0" w:color="000000"/>
              <w:bottom w:val="single" w:sz="8" w:space="0" w:color="000000"/>
            </w:tcBorders>
            <w:tcMar>
              <w:top w:w="15" w:type="dxa"/>
              <w:left w:w="108" w:type="dxa"/>
              <w:bottom w:w="0" w:type="dxa"/>
              <w:right w:w="108" w:type="dxa"/>
            </w:tcMar>
            <w:vAlign w:val="center"/>
          </w:tcPr>
          <w:p w14:paraId="49E8F407" w14:textId="77777777" w:rsidR="003415F8" w:rsidRPr="00DF4CE5" w:rsidRDefault="003415F8" w:rsidP="00587D5D">
            <w:pPr>
              <w:snapToGrid w:val="0"/>
              <w:spacing w:after="0" w:line="240" w:lineRule="auto"/>
              <w:jc w:val="center"/>
              <w:rPr>
                <w:rFonts w:ascii="Cambria" w:eastAsia="Times New Roman" w:hAnsi="Cambria" w:cs="Times New Roman"/>
                <w:lang w:val="hr-HR"/>
              </w:rPr>
            </w:pPr>
            <w:r w:rsidRPr="00DF4CE5">
              <w:rPr>
                <w:rFonts w:ascii="Cambria" w:eastAsia="Times New Roman" w:hAnsi="Cambria" w:cs="Times New Roman"/>
                <w:lang w:val="hr-HR"/>
              </w:rPr>
              <w:t>15</w:t>
            </w:r>
          </w:p>
        </w:tc>
        <w:tc>
          <w:tcPr>
            <w:tcW w:w="982" w:type="dxa"/>
            <w:tcBorders>
              <w:top w:val="single" w:sz="8" w:space="0" w:color="000000"/>
              <w:left w:val="single" w:sz="8" w:space="0" w:color="000000"/>
              <w:bottom w:val="single" w:sz="8" w:space="0" w:color="000000"/>
            </w:tcBorders>
            <w:tcMar>
              <w:top w:w="15" w:type="dxa"/>
              <w:left w:w="108" w:type="dxa"/>
              <w:bottom w:w="0" w:type="dxa"/>
              <w:right w:w="108" w:type="dxa"/>
            </w:tcMar>
            <w:vAlign w:val="center"/>
          </w:tcPr>
          <w:p w14:paraId="08E69879" w14:textId="77777777" w:rsidR="003415F8" w:rsidRPr="00DF4CE5" w:rsidRDefault="003415F8" w:rsidP="00587D5D">
            <w:pPr>
              <w:snapToGrid w:val="0"/>
              <w:spacing w:after="0" w:line="240" w:lineRule="auto"/>
              <w:jc w:val="center"/>
              <w:rPr>
                <w:rFonts w:ascii="Cambria" w:eastAsia="Times New Roman" w:hAnsi="Cambria" w:cs="Times New Roman"/>
                <w:lang w:val="hr-HR"/>
              </w:rPr>
            </w:pPr>
            <w:r w:rsidRPr="00DF4CE5">
              <w:rPr>
                <w:rFonts w:ascii="Cambria" w:eastAsia="Times New Roman" w:hAnsi="Cambria" w:cs="Times New Roman"/>
                <w:lang w:val="hr-HR"/>
              </w:rPr>
              <w:t>0,5</w:t>
            </w:r>
          </w:p>
        </w:tc>
        <w:tc>
          <w:tcPr>
            <w:tcW w:w="127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1740AF7" w14:textId="77777777" w:rsidR="003415F8" w:rsidRPr="00DF4CE5" w:rsidRDefault="003415F8" w:rsidP="00587D5D">
            <w:pPr>
              <w:snapToGrid w:val="0"/>
              <w:spacing w:after="0" w:line="240" w:lineRule="auto"/>
              <w:jc w:val="center"/>
              <w:rPr>
                <w:rFonts w:ascii="Cambria" w:eastAsia="Times New Roman" w:hAnsi="Cambria" w:cs="Times New Roman"/>
                <w:lang w:val="hr-HR"/>
              </w:rPr>
            </w:pPr>
            <w:r w:rsidRPr="00DF4CE5">
              <w:rPr>
                <w:rFonts w:ascii="Cambria" w:eastAsia="Times New Roman" w:hAnsi="Cambria" w:cs="Times New Roman"/>
                <w:lang w:val="hr-HR"/>
              </w:rPr>
              <w:t>30 %</w:t>
            </w:r>
          </w:p>
        </w:tc>
      </w:tr>
      <w:tr w:rsidR="003415F8" w:rsidRPr="005C2363" w14:paraId="6A153E0C" w14:textId="77777777" w:rsidTr="00587D5D">
        <w:tc>
          <w:tcPr>
            <w:tcW w:w="2056" w:type="dxa"/>
            <w:vMerge/>
            <w:tcBorders>
              <w:left w:val="single" w:sz="8" w:space="0" w:color="000000"/>
              <w:right w:val="single" w:sz="8" w:space="0" w:color="000000"/>
            </w:tcBorders>
            <w:vAlign w:val="center"/>
          </w:tcPr>
          <w:p w14:paraId="319B65A3" w14:textId="77777777" w:rsidR="003415F8" w:rsidRPr="005C2363" w:rsidRDefault="003415F8" w:rsidP="00587D5D">
            <w:pPr>
              <w:spacing w:after="0" w:line="240" w:lineRule="auto"/>
              <w:rPr>
                <w:rFonts w:ascii="Cambria" w:eastAsia="Times New Roman" w:hAnsi="Cambria" w:cs="Calibri"/>
                <w:lang w:val="hr-HR"/>
              </w:rPr>
            </w:pPr>
          </w:p>
        </w:tc>
        <w:tc>
          <w:tcPr>
            <w:tcW w:w="4039"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196E014" w14:textId="77777777" w:rsidR="003415F8" w:rsidRPr="005C2363" w:rsidRDefault="003415F8" w:rsidP="00587D5D">
            <w:pPr>
              <w:spacing w:after="0" w:line="240" w:lineRule="auto"/>
              <w:rPr>
                <w:rFonts w:ascii="Cambria" w:eastAsia="Times New Roman" w:hAnsi="Cambria" w:cs="Calibri"/>
                <w:lang w:val="hr-HR"/>
              </w:rPr>
            </w:pPr>
            <w:r w:rsidRPr="005C2363">
              <w:rPr>
                <w:rFonts w:ascii="Cambria" w:eastAsia="Times New Roman" w:hAnsi="Cambria" w:cs="Calibri"/>
                <w:lang w:val="hr-HR"/>
              </w:rPr>
              <w:t>ukupno</w:t>
            </w:r>
          </w:p>
        </w:tc>
        <w:tc>
          <w:tcPr>
            <w:tcW w:w="69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41F2C25" w14:textId="77777777" w:rsidR="003415F8" w:rsidRPr="005C2363" w:rsidRDefault="003415F8" w:rsidP="00587D5D">
            <w:pPr>
              <w:spacing w:after="0" w:line="240" w:lineRule="auto"/>
              <w:jc w:val="center"/>
              <w:rPr>
                <w:rFonts w:ascii="Cambria" w:eastAsia="Times New Roman" w:hAnsi="Cambria" w:cs="Calibri"/>
                <w:lang w:val="hr-HR"/>
              </w:rPr>
            </w:pPr>
            <w:r>
              <w:rPr>
                <w:rFonts w:ascii="Cambria" w:eastAsia="Times New Roman" w:hAnsi="Cambria" w:cs="Calibri"/>
                <w:lang w:val="hr-HR"/>
              </w:rPr>
              <w:t>60</w:t>
            </w:r>
          </w:p>
        </w:tc>
        <w:tc>
          <w:tcPr>
            <w:tcW w:w="9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AED48DB" w14:textId="77777777" w:rsidR="003415F8" w:rsidRPr="005C2363" w:rsidRDefault="003415F8" w:rsidP="00587D5D">
            <w:pPr>
              <w:spacing w:after="0" w:line="240" w:lineRule="auto"/>
              <w:jc w:val="center"/>
              <w:rPr>
                <w:rFonts w:ascii="Cambria" w:eastAsia="Times New Roman" w:hAnsi="Cambria" w:cs="Calibri"/>
                <w:lang w:val="hr-HR"/>
              </w:rPr>
            </w:pPr>
            <w:r>
              <w:rPr>
                <w:rFonts w:ascii="Cambria" w:eastAsia="Times New Roman" w:hAnsi="Cambria" w:cs="Calibri"/>
                <w:lang w:val="hr-HR"/>
              </w:rPr>
              <w:t>2</w:t>
            </w:r>
          </w:p>
        </w:tc>
        <w:tc>
          <w:tcPr>
            <w:tcW w:w="127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C10C2FD" w14:textId="77777777" w:rsidR="003415F8" w:rsidRPr="005C2363" w:rsidRDefault="003415F8" w:rsidP="00587D5D">
            <w:pPr>
              <w:spacing w:after="0" w:line="240" w:lineRule="auto"/>
              <w:jc w:val="center"/>
              <w:rPr>
                <w:rFonts w:ascii="Cambria" w:eastAsia="Times New Roman" w:hAnsi="Cambria" w:cs="Calibri"/>
                <w:lang w:val="hr-HR"/>
              </w:rPr>
            </w:pPr>
            <w:r>
              <w:rPr>
                <w:rFonts w:ascii="Cambria" w:eastAsia="Times New Roman" w:hAnsi="Cambria" w:cs="Calibri"/>
                <w:lang w:val="hr-HR"/>
              </w:rPr>
              <w:t>100%</w:t>
            </w:r>
          </w:p>
        </w:tc>
      </w:tr>
      <w:tr w:rsidR="003415F8" w:rsidRPr="00347571" w14:paraId="1C46EB76" w14:textId="77777777" w:rsidTr="00587D5D">
        <w:tc>
          <w:tcPr>
            <w:tcW w:w="205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BFA3FE7" w14:textId="77777777" w:rsidR="003415F8" w:rsidRPr="005C2363" w:rsidRDefault="003415F8" w:rsidP="00587D5D">
            <w:pPr>
              <w:spacing w:after="0" w:line="240" w:lineRule="auto"/>
              <w:rPr>
                <w:rFonts w:ascii="Cambria" w:eastAsia="Times New Roman" w:hAnsi="Cambria" w:cs="Calibri"/>
                <w:lang w:val="hr-HR"/>
              </w:rPr>
            </w:pPr>
            <w:r w:rsidRPr="005C2363">
              <w:rPr>
                <w:rFonts w:ascii="Cambria" w:eastAsia="Times New Roman" w:hAnsi="Cambria" w:cs="Calibri"/>
                <w:lang w:val="hr-HR"/>
              </w:rPr>
              <w:t>Studentske obveze</w:t>
            </w:r>
          </w:p>
        </w:tc>
        <w:tc>
          <w:tcPr>
            <w:tcW w:w="6996"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5A72702F" w14:textId="77777777" w:rsidR="003415F8" w:rsidRPr="003341BD" w:rsidRDefault="003415F8" w:rsidP="00587D5D">
            <w:pPr>
              <w:widowControl w:val="0"/>
              <w:autoSpaceDE w:val="0"/>
              <w:autoSpaceDN w:val="0"/>
              <w:spacing w:after="0" w:line="240" w:lineRule="auto"/>
              <w:rPr>
                <w:rFonts w:ascii="Cambria" w:eastAsia="Cambria" w:hAnsi="Cambria" w:cs="Cambria"/>
                <w:lang w:val="hr-HR"/>
              </w:rPr>
            </w:pPr>
            <w:r w:rsidRPr="003341BD">
              <w:rPr>
                <w:rFonts w:ascii="Cambria" w:eastAsia="Cambria" w:hAnsi="Cambria" w:cs="Cambria"/>
                <w:lang w:val="hr-HR"/>
              </w:rPr>
              <w:t xml:space="preserve">Da položi kolegij, student/studentica mora: </w:t>
            </w:r>
          </w:p>
          <w:p w14:paraId="7346B129" w14:textId="77777777" w:rsidR="003415F8" w:rsidRPr="003341BD" w:rsidRDefault="003415F8" w:rsidP="00587D5D">
            <w:pPr>
              <w:widowControl w:val="0"/>
              <w:autoSpaceDE w:val="0"/>
              <w:autoSpaceDN w:val="0"/>
              <w:spacing w:after="0" w:line="240" w:lineRule="auto"/>
              <w:rPr>
                <w:rFonts w:ascii="Cambria" w:eastAsia="Cambria" w:hAnsi="Cambria" w:cs="Cambria"/>
                <w:lang w:val="hr-HR"/>
              </w:rPr>
            </w:pPr>
            <w:r w:rsidRPr="003341BD">
              <w:rPr>
                <w:rFonts w:ascii="Cambria" w:eastAsia="Cambria" w:hAnsi="Cambria" w:cs="Cambria"/>
                <w:lang w:val="hr-HR"/>
              </w:rPr>
              <w:t>1.</w:t>
            </w:r>
            <w:r>
              <w:rPr>
                <w:rFonts w:ascii="Cambria" w:eastAsia="Cambria" w:hAnsi="Cambria" w:cs="Cambria"/>
                <w:lang w:val="hr-HR"/>
              </w:rPr>
              <w:t xml:space="preserve"> </w:t>
            </w:r>
            <w:r w:rsidRPr="003341BD">
              <w:rPr>
                <w:rFonts w:ascii="Cambria" w:eastAsia="Cambria" w:hAnsi="Cambria" w:cs="Cambria"/>
                <w:lang w:val="hr-HR"/>
              </w:rPr>
              <w:t>pohađati nastavu i aktivno sudjelovati na predavanjima i seminarima</w:t>
            </w:r>
          </w:p>
          <w:p w14:paraId="7A0755EC" w14:textId="77777777" w:rsidR="003415F8" w:rsidRPr="003341BD" w:rsidRDefault="003415F8" w:rsidP="00587D5D">
            <w:pPr>
              <w:widowControl w:val="0"/>
              <w:autoSpaceDE w:val="0"/>
              <w:autoSpaceDN w:val="0"/>
              <w:spacing w:after="0" w:line="240" w:lineRule="auto"/>
              <w:rPr>
                <w:rFonts w:ascii="Cambria" w:eastAsia="Cambria" w:hAnsi="Cambria" w:cs="Cambria"/>
                <w:lang w:val="hr-HR"/>
              </w:rPr>
            </w:pPr>
            <w:r w:rsidRPr="003341BD">
              <w:rPr>
                <w:rFonts w:ascii="Cambria" w:eastAsia="Cambria" w:hAnsi="Cambria" w:cs="Cambria"/>
                <w:lang w:val="hr-HR"/>
              </w:rPr>
              <w:lastRenderedPageBreak/>
              <w:t>2.</w:t>
            </w:r>
            <w:r>
              <w:rPr>
                <w:rFonts w:ascii="Cambria" w:eastAsia="Cambria" w:hAnsi="Cambria" w:cs="Cambria"/>
                <w:lang w:val="hr-HR"/>
              </w:rPr>
              <w:t xml:space="preserve"> </w:t>
            </w:r>
            <w:r w:rsidRPr="003341BD">
              <w:rPr>
                <w:rFonts w:ascii="Cambria" w:eastAsia="Cambria" w:hAnsi="Cambria" w:cs="Cambria"/>
                <w:lang w:val="hr-HR"/>
              </w:rPr>
              <w:t>u skladu s postulatima teorije recepcije aktivno i kontinuirano sudjelovati u praćenju i vrjednovanju seminarskih radova.</w:t>
            </w:r>
          </w:p>
          <w:p w14:paraId="06782B76" w14:textId="77777777" w:rsidR="003415F8" w:rsidRPr="003341BD" w:rsidRDefault="003415F8" w:rsidP="00587D5D">
            <w:pPr>
              <w:widowControl w:val="0"/>
              <w:autoSpaceDE w:val="0"/>
              <w:autoSpaceDN w:val="0"/>
              <w:spacing w:after="0" w:line="240" w:lineRule="auto"/>
              <w:rPr>
                <w:rFonts w:ascii="Cambria" w:eastAsia="Cambria" w:hAnsi="Cambria" w:cs="Cambria"/>
                <w:lang w:val="hr-HR"/>
              </w:rPr>
            </w:pPr>
            <w:r w:rsidRPr="003341BD">
              <w:rPr>
                <w:rFonts w:ascii="Cambria" w:eastAsia="Cambria" w:hAnsi="Cambria" w:cs="Cambria"/>
                <w:lang w:val="hr-HR"/>
              </w:rPr>
              <w:t xml:space="preserve">3. aktivno sudjelovati u terenskoj nastavi: Sajam knjiga u istri; Monte </w:t>
            </w:r>
            <w:proofErr w:type="spellStart"/>
            <w:r w:rsidRPr="003341BD">
              <w:rPr>
                <w:rFonts w:ascii="Cambria" w:eastAsia="Cambria" w:hAnsi="Cambria" w:cs="Cambria"/>
                <w:lang w:val="hr-HR"/>
              </w:rPr>
              <w:t>Librić</w:t>
            </w:r>
            <w:proofErr w:type="spellEnd"/>
            <w:r w:rsidRPr="003341BD">
              <w:rPr>
                <w:rFonts w:ascii="Cambria" w:eastAsia="Cambria" w:hAnsi="Cambria" w:cs="Cambria"/>
                <w:lang w:val="hr-HR"/>
              </w:rPr>
              <w:t xml:space="preserve"> te pojedinim zavičajnim manifestacijama.</w:t>
            </w:r>
          </w:p>
          <w:p w14:paraId="4B27F08F" w14:textId="77777777" w:rsidR="003415F8" w:rsidRPr="003341BD" w:rsidRDefault="003415F8" w:rsidP="00587D5D">
            <w:pPr>
              <w:widowControl w:val="0"/>
              <w:autoSpaceDE w:val="0"/>
              <w:autoSpaceDN w:val="0"/>
              <w:spacing w:after="0" w:line="240" w:lineRule="auto"/>
              <w:rPr>
                <w:rFonts w:ascii="Cambria" w:eastAsia="Cambria" w:hAnsi="Cambria" w:cs="Cambria"/>
                <w:lang w:val="hr-HR"/>
              </w:rPr>
            </w:pPr>
            <w:r w:rsidRPr="003341BD">
              <w:rPr>
                <w:rFonts w:ascii="Cambria" w:eastAsia="Cambria" w:hAnsi="Cambria" w:cs="Cambria"/>
                <w:lang w:val="hr-HR"/>
              </w:rPr>
              <w:t xml:space="preserve">4. proučiti teorijsku literaturu i primijeniti je u radu s mlađim školskim djetetom pri osmišljavanju konkretnoga modela rada. </w:t>
            </w:r>
          </w:p>
          <w:p w14:paraId="56447B9C" w14:textId="77777777" w:rsidR="003415F8" w:rsidRPr="00347571" w:rsidRDefault="003415F8" w:rsidP="00587D5D">
            <w:pPr>
              <w:widowControl w:val="0"/>
              <w:autoSpaceDE w:val="0"/>
              <w:autoSpaceDN w:val="0"/>
              <w:spacing w:after="0" w:line="240" w:lineRule="auto"/>
              <w:rPr>
                <w:rFonts w:ascii="Cambria" w:eastAsia="Cambria" w:hAnsi="Cambria" w:cs="Cambria"/>
                <w:lang w:val="hr-HR"/>
              </w:rPr>
            </w:pPr>
            <w:r w:rsidRPr="003341BD">
              <w:rPr>
                <w:rFonts w:ascii="Cambria" w:eastAsia="Cambria" w:hAnsi="Cambria" w:cs="Cambria"/>
                <w:lang w:val="hr-HR"/>
              </w:rPr>
              <w:t>5. položiti usmeni ispit.</w:t>
            </w:r>
          </w:p>
        </w:tc>
      </w:tr>
      <w:tr w:rsidR="003415F8" w:rsidRPr="00D0399C" w14:paraId="3AB7486E" w14:textId="77777777" w:rsidTr="00587D5D">
        <w:tc>
          <w:tcPr>
            <w:tcW w:w="205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7C3D4E6" w14:textId="77777777" w:rsidR="003415F8" w:rsidRPr="005C2363" w:rsidRDefault="003415F8" w:rsidP="00587D5D">
            <w:pPr>
              <w:spacing w:after="0" w:line="240" w:lineRule="auto"/>
              <w:rPr>
                <w:rFonts w:ascii="Cambria" w:eastAsia="Times New Roman" w:hAnsi="Cambria" w:cs="Calibri"/>
                <w:lang w:val="hr-HR"/>
              </w:rPr>
            </w:pPr>
            <w:r w:rsidRPr="005C2363">
              <w:rPr>
                <w:rFonts w:ascii="Cambria" w:eastAsia="Times New Roman" w:hAnsi="Cambria" w:cs="Calibri"/>
                <w:lang w:val="hr-HR"/>
              </w:rPr>
              <w:lastRenderedPageBreak/>
              <w:t>Rokovi ispita i kolokvija</w:t>
            </w:r>
          </w:p>
        </w:tc>
        <w:tc>
          <w:tcPr>
            <w:tcW w:w="699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ECB5CE3" w14:textId="77777777" w:rsidR="003415F8" w:rsidRPr="00DF4CE5" w:rsidRDefault="003415F8" w:rsidP="00587D5D">
            <w:pPr>
              <w:snapToGrid w:val="0"/>
              <w:spacing w:after="0" w:line="240" w:lineRule="auto"/>
              <w:jc w:val="both"/>
              <w:rPr>
                <w:rFonts w:ascii="Cambria" w:eastAsia="Times New Roman" w:hAnsi="Cambria" w:cs="Times New Roman"/>
                <w:lang w:val="hr-HR"/>
              </w:rPr>
            </w:pPr>
            <w:r w:rsidRPr="00DF4CE5">
              <w:rPr>
                <w:rFonts w:ascii="Cambria" w:eastAsia="Times New Roman" w:hAnsi="Cambria" w:cs="Times New Roman"/>
                <w:lang w:val="hr-HR"/>
              </w:rPr>
              <w:t xml:space="preserve">Daju se na početku akademske godine, objavljuju se na mrežnim stranicama Sveučilišta i u ISVU. </w:t>
            </w:r>
          </w:p>
        </w:tc>
      </w:tr>
      <w:tr w:rsidR="003415F8" w:rsidRPr="00DF4CE5" w14:paraId="69E8523A" w14:textId="77777777" w:rsidTr="00587D5D">
        <w:tc>
          <w:tcPr>
            <w:tcW w:w="205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462873E" w14:textId="77777777" w:rsidR="003415F8" w:rsidRPr="005C2363" w:rsidRDefault="003415F8" w:rsidP="00587D5D">
            <w:pPr>
              <w:spacing w:after="0" w:line="240" w:lineRule="auto"/>
              <w:rPr>
                <w:rFonts w:ascii="Cambria" w:eastAsia="Times New Roman" w:hAnsi="Cambria" w:cs="Calibri"/>
                <w:lang w:val="hr-HR"/>
              </w:rPr>
            </w:pPr>
            <w:r w:rsidRPr="005C2363">
              <w:rPr>
                <w:rFonts w:ascii="Cambria" w:eastAsia="Times New Roman" w:hAnsi="Cambria" w:cs="Calibri"/>
                <w:lang w:val="hr-HR"/>
              </w:rPr>
              <w:t>Ostale važne činjenice vezane uz kolegij</w:t>
            </w:r>
          </w:p>
        </w:tc>
        <w:tc>
          <w:tcPr>
            <w:tcW w:w="699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2EB22D9" w14:textId="77777777" w:rsidR="003415F8" w:rsidRPr="00DF4CE5" w:rsidRDefault="003415F8" w:rsidP="00587D5D">
            <w:pPr>
              <w:snapToGrid w:val="0"/>
              <w:spacing w:after="0" w:line="240" w:lineRule="auto"/>
              <w:jc w:val="both"/>
              <w:rPr>
                <w:rFonts w:ascii="Cambria" w:eastAsia="Times New Roman" w:hAnsi="Cambria" w:cs="Times New Roman"/>
                <w:lang w:val="hr-HR"/>
              </w:rPr>
            </w:pPr>
            <w:r w:rsidRPr="00DF4CE5">
              <w:rPr>
                <w:rFonts w:ascii="Cambria" w:eastAsia="Times New Roman" w:hAnsi="Cambria" w:cs="Times New Roman"/>
                <w:lang w:val="hr-HR"/>
              </w:rPr>
              <w:t>Materijali za predavanja i seminare objavljuju se na e-učenju.</w:t>
            </w:r>
          </w:p>
          <w:p w14:paraId="41A4CA0E" w14:textId="77777777" w:rsidR="003415F8" w:rsidRPr="00DF4CE5" w:rsidRDefault="003415F8" w:rsidP="00587D5D">
            <w:pPr>
              <w:snapToGrid w:val="0"/>
              <w:spacing w:after="0" w:line="240" w:lineRule="auto"/>
              <w:jc w:val="both"/>
              <w:rPr>
                <w:rFonts w:ascii="Cambria" w:eastAsia="Times New Roman" w:hAnsi="Cambria" w:cs="Times New Roman"/>
                <w:lang w:val="hr-HR"/>
              </w:rPr>
            </w:pPr>
            <w:r w:rsidRPr="00DF4CE5">
              <w:rPr>
                <w:rFonts w:ascii="Cambria" w:eastAsia="Times New Roman" w:hAnsi="Cambria" w:cs="Times New Roman"/>
                <w:lang w:val="hr-HR"/>
              </w:rPr>
              <w:t>U slučaju održavanja nastave na daljinu, moguće je odstupanje u: mjestu izvođenja kolegija, provedbi aktivnosti, metoda tumačenja i poučavanja i načinima vrednovanja, studentskim obvezama i dostupnoj literaturi. O tome će nositeljica kolegija obavijestiti studente i studentice kad se nastava na daljinu počne održavati. Ishodi učenja ostaju nepromijenjeni.</w:t>
            </w:r>
          </w:p>
        </w:tc>
      </w:tr>
      <w:tr w:rsidR="003415F8" w:rsidRPr="00D0399C" w14:paraId="1A8040C5" w14:textId="77777777" w:rsidTr="00587D5D">
        <w:tc>
          <w:tcPr>
            <w:tcW w:w="205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0A75E6E" w14:textId="77777777" w:rsidR="003415F8" w:rsidRPr="005C2363" w:rsidRDefault="003415F8" w:rsidP="00587D5D">
            <w:pPr>
              <w:spacing w:after="0" w:line="240" w:lineRule="auto"/>
              <w:rPr>
                <w:rFonts w:ascii="Cambria" w:eastAsia="Times New Roman" w:hAnsi="Cambria" w:cs="Calibri"/>
                <w:lang w:val="hr-HR"/>
              </w:rPr>
            </w:pPr>
            <w:r>
              <w:rPr>
                <w:rFonts w:ascii="Cambria" w:eastAsia="Times New Roman" w:hAnsi="Cambria" w:cs="Calibri"/>
                <w:lang w:val="hr-HR"/>
              </w:rPr>
              <w:t>Literatura</w:t>
            </w:r>
          </w:p>
        </w:tc>
        <w:tc>
          <w:tcPr>
            <w:tcW w:w="699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FDE4FE3" w14:textId="77777777" w:rsidR="003415F8" w:rsidRPr="003341BD" w:rsidRDefault="003415F8" w:rsidP="00587D5D">
            <w:pPr>
              <w:snapToGrid w:val="0"/>
              <w:spacing w:after="0" w:line="240" w:lineRule="auto"/>
              <w:jc w:val="both"/>
              <w:rPr>
                <w:rFonts w:ascii="Cambria" w:eastAsia="Times New Roman" w:hAnsi="Cambria" w:cs="Calibri"/>
                <w:lang w:val="hr-HR"/>
              </w:rPr>
            </w:pPr>
            <w:r w:rsidRPr="003341BD">
              <w:rPr>
                <w:rFonts w:ascii="Cambria" w:eastAsia="Times New Roman" w:hAnsi="Cambria" w:cs="Calibri"/>
                <w:lang w:val="hr-HR"/>
              </w:rPr>
              <w:t xml:space="preserve">Obvezna: </w:t>
            </w:r>
          </w:p>
          <w:p w14:paraId="0EABC4EF" w14:textId="77777777" w:rsidR="003415F8" w:rsidRPr="003341BD" w:rsidRDefault="003415F8" w:rsidP="00587D5D">
            <w:pPr>
              <w:snapToGrid w:val="0"/>
              <w:spacing w:after="0" w:line="240" w:lineRule="auto"/>
              <w:jc w:val="both"/>
              <w:rPr>
                <w:rFonts w:ascii="Cambria" w:eastAsia="Times New Roman" w:hAnsi="Cambria" w:cs="Calibri"/>
                <w:lang w:val="hr-HR"/>
              </w:rPr>
            </w:pPr>
            <w:r w:rsidRPr="003341BD">
              <w:rPr>
                <w:rFonts w:ascii="Cambria" w:eastAsia="Times New Roman" w:hAnsi="Cambria" w:cs="Calibri"/>
                <w:lang w:val="hr-HR"/>
              </w:rPr>
              <w:t xml:space="preserve">1.Bonifačić </w:t>
            </w:r>
            <w:proofErr w:type="spellStart"/>
            <w:r w:rsidRPr="003341BD">
              <w:rPr>
                <w:rFonts w:ascii="Cambria" w:eastAsia="Times New Roman" w:hAnsi="Cambria" w:cs="Calibri"/>
                <w:lang w:val="hr-HR"/>
              </w:rPr>
              <w:t>Rožin</w:t>
            </w:r>
            <w:proofErr w:type="spellEnd"/>
            <w:r w:rsidRPr="003341BD">
              <w:rPr>
                <w:rFonts w:ascii="Cambria" w:eastAsia="Times New Roman" w:hAnsi="Cambria" w:cs="Calibri"/>
                <w:lang w:val="hr-HR"/>
              </w:rPr>
              <w:t>, N. (1963). Narodne drame, poslovice i zagonetke, PSHK, knjiga 27, MH i Zora, Zagreb.</w:t>
            </w:r>
          </w:p>
          <w:p w14:paraId="6EAEB5E6" w14:textId="77777777" w:rsidR="003415F8" w:rsidRPr="003341BD" w:rsidRDefault="003415F8" w:rsidP="00587D5D">
            <w:pPr>
              <w:snapToGrid w:val="0"/>
              <w:spacing w:after="0" w:line="240" w:lineRule="auto"/>
              <w:jc w:val="both"/>
              <w:rPr>
                <w:rFonts w:ascii="Cambria" w:eastAsia="Times New Roman" w:hAnsi="Cambria" w:cs="Calibri"/>
                <w:lang w:val="hr-HR"/>
              </w:rPr>
            </w:pPr>
            <w:r w:rsidRPr="003341BD">
              <w:rPr>
                <w:rFonts w:ascii="Cambria" w:eastAsia="Times New Roman" w:hAnsi="Cambria" w:cs="Calibri"/>
                <w:lang w:val="hr-HR"/>
              </w:rPr>
              <w:t>2. Bošković-</w:t>
            </w:r>
            <w:proofErr w:type="spellStart"/>
            <w:r w:rsidRPr="003341BD">
              <w:rPr>
                <w:rFonts w:ascii="Cambria" w:eastAsia="Times New Roman" w:hAnsi="Cambria" w:cs="Calibri"/>
                <w:lang w:val="hr-HR"/>
              </w:rPr>
              <w:t>Stulli</w:t>
            </w:r>
            <w:proofErr w:type="spellEnd"/>
            <w:r w:rsidRPr="003341BD">
              <w:rPr>
                <w:rFonts w:ascii="Cambria" w:eastAsia="Times New Roman" w:hAnsi="Cambria" w:cs="Calibri"/>
                <w:lang w:val="hr-HR"/>
              </w:rPr>
              <w:t>, M. (1986). Zakopano zlato, Hrvatske usmene pripovijetke, predaje i legende iz Istre, Istra kroz stoljeća, Pula/Rijeka.</w:t>
            </w:r>
          </w:p>
          <w:p w14:paraId="3F8537C9" w14:textId="77777777" w:rsidR="003415F8" w:rsidRPr="003341BD" w:rsidRDefault="003415F8" w:rsidP="00587D5D">
            <w:pPr>
              <w:snapToGrid w:val="0"/>
              <w:spacing w:after="0" w:line="240" w:lineRule="auto"/>
              <w:jc w:val="both"/>
              <w:rPr>
                <w:rFonts w:ascii="Cambria" w:eastAsia="Times New Roman" w:hAnsi="Cambria" w:cs="Calibri"/>
                <w:lang w:val="hr-HR"/>
              </w:rPr>
            </w:pPr>
            <w:r w:rsidRPr="003341BD">
              <w:rPr>
                <w:rFonts w:ascii="Cambria" w:eastAsia="Times New Roman" w:hAnsi="Cambria" w:cs="Calibri"/>
                <w:lang w:val="hr-HR"/>
              </w:rPr>
              <w:t xml:space="preserve">3. Botica, S. ( 1995). Hrvatska </w:t>
            </w:r>
            <w:proofErr w:type="spellStart"/>
            <w:r w:rsidRPr="003341BD">
              <w:rPr>
                <w:rFonts w:ascii="Cambria" w:eastAsia="Times New Roman" w:hAnsi="Cambria" w:cs="Calibri"/>
                <w:lang w:val="hr-HR"/>
              </w:rPr>
              <w:t>usmenoknjiževna</w:t>
            </w:r>
            <w:proofErr w:type="spellEnd"/>
            <w:r w:rsidRPr="003341BD">
              <w:rPr>
                <w:rFonts w:ascii="Cambria" w:eastAsia="Times New Roman" w:hAnsi="Cambria" w:cs="Calibri"/>
                <w:lang w:val="hr-HR"/>
              </w:rPr>
              <w:t xml:space="preserve"> čitanka, Školska knjiga, Zagreb.</w:t>
            </w:r>
          </w:p>
          <w:p w14:paraId="74B9DDFA" w14:textId="77777777" w:rsidR="003415F8" w:rsidRPr="003341BD" w:rsidRDefault="003415F8" w:rsidP="00587D5D">
            <w:pPr>
              <w:snapToGrid w:val="0"/>
              <w:spacing w:after="0" w:line="240" w:lineRule="auto"/>
              <w:jc w:val="both"/>
              <w:rPr>
                <w:rFonts w:ascii="Cambria" w:eastAsia="Times New Roman" w:hAnsi="Cambria" w:cs="Calibri"/>
                <w:lang w:val="hr-HR"/>
              </w:rPr>
            </w:pPr>
            <w:r w:rsidRPr="003341BD">
              <w:rPr>
                <w:rFonts w:ascii="Cambria" w:eastAsia="Times New Roman" w:hAnsi="Cambria" w:cs="Calibri"/>
                <w:lang w:val="hr-HR"/>
              </w:rPr>
              <w:t>4. Botica, S.</w:t>
            </w:r>
            <w:r>
              <w:rPr>
                <w:rFonts w:ascii="Cambria" w:eastAsia="Times New Roman" w:hAnsi="Cambria" w:cs="Calibri"/>
                <w:lang w:val="hr-HR"/>
              </w:rPr>
              <w:t xml:space="preserve"> </w:t>
            </w:r>
            <w:r w:rsidRPr="003341BD">
              <w:rPr>
                <w:rFonts w:ascii="Cambria" w:eastAsia="Times New Roman" w:hAnsi="Cambria" w:cs="Calibri"/>
                <w:lang w:val="hr-HR"/>
              </w:rPr>
              <w:t>(2013). Povijest hrvatske usmene književnosti, Školska knjiga, Zagreb.</w:t>
            </w:r>
          </w:p>
          <w:p w14:paraId="1985B65C" w14:textId="77777777" w:rsidR="003415F8" w:rsidRPr="003341BD" w:rsidRDefault="003415F8" w:rsidP="00587D5D">
            <w:pPr>
              <w:snapToGrid w:val="0"/>
              <w:spacing w:after="0" w:line="240" w:lineRule="auto"/>
              <w:jc w:val="both"/>
              <w:rPr>
                <w:rFonts w:ascii="Cambria" w:eastAsia="Times New Roman" w:hAnsi="Cambria" w:cs="Calibri"/>
                <w:lang w:val="hr-HR"/>
              </w:rPr>
            </w:pPr>
            <w:r w:rsidRPr="003341BD">
              <w:rPr>
                <w:rFonts w:ascii="Cambria" w:eastAsia="Times New Roman" w:hAnsi="Cambria" w:cs="Calibri"/>
                <w:lang w:val="hr-HR"/>
              </w:rPr>
              <w:t xml:space="preserve">5. Hrvatske narodne pjesme što se pjevaju u Istri i na Kvarnerskih </w:t>
            </w:r>
            <w:proofErr w:type="spellStart"/>
            <w:r w:rsidRPr="003341BD">
              <w:rPr>
                <w:rFonts w:ascii="Cambria" w:eastAsia="Times New Roman" w:hAnsi="Cambria" w:cs="Calibri"/>
                <w:lang w:val="hr-HR"/>
              </w:rPr>
              <w:t>otocih</w:t>
            </w:r>
            <w:proofErr w:type="spellEnd"/>
            <w:r w:rsidRPr="003341BD">
              <w:rPr>
                <w:rFonts w:ascii="Cambria" w:eastAsia="Times New Roman" w:hAnsi="Cambria" w:cs="Calibri"/>
                <w:lang w:val="hr-HR"/>
              </w:rPr>
              <w:t xml:space="preserve"> (1880), pretisak 1997.</w:t>
            </w:r>
            <w:r>
              <w:rPr>
                <w:rFonts w:ascii="Cambria" w:eastAsia="Times New Roman" w:hAnsi="Cambria" w:cs="Calibri"/>
                <w:lang w:val="hr-HR"/>
              </w:rPr>
              <w:t xml:space="preserve"> </w:t>
            </w:r>
            <w:r w:rsidRPr="003341BD">
              <w:rPr>
                <w:rFonts w:ascii="Cambria" w:eastAsia="Times New Roman" w:hAnsi="Cambria" w:cs="Calibri"/>
                <w:lang w:val="hr-HR"/>
              </w:rPr>
              <w:t>Istarsko književno društvo „Juraj Dobrila“, Pazin.</w:t>
            </w:r>
          </w:p>
          <w:p w14:paraId="39B1A8AF" w14:textId="77777777" w:rsidR="003415F8" w:rsidRPr="003341BD" w:rsidRDefault="003415F8" w:rsidP="00587D5D">
            <w:pPr>
              <w:snapToGrid w:val="0"/>
              <w:spacing w:after="0" w:line="240" w:lineRule="auto"/>
              <w:jc w:val="both"/>
              <w:rPr>
                <w:rFonts w:ascii="Cambria" w:eastAsia="Times New Roman" w:hAnsi="Cambria" w:cs="Calibri"/>
                <w:lang w:val="hr-HR"/>
              </w:rPr>
            </w:pPr>
            <w:r w:rsidRPr="003341BD">
              <w:rPr>
                <w:rFonts w:ascii="Cambria" w:eastAsia="Times New Roman" w:hAnsi="Cambria" w:cs="Calibri"/>
                <w:lang w:val="hr-HR"/>
              </w:rPr>
              <w:t>6. Jurdana, V. (2015). Igri. Mala zavičajna čitanka, Sveučilište Jurja Dobrile u Puli/ Ustanova „Ivan Matetić Ronjgov“ Viškovo.</w:t>
            </w:r>
          </w:p>
          <w:p w14:paraId="6FA1236E" w14:textId="77777777" w:rsidR="003415F8" w:rsidRPr="003341BD" w:rsidRDefault="003415F8" w:rsidP="00587D5D">
            <w:pPr>
              <w:snapToGrid w:val="0"/>
              <w:spacing w:after="0" w:line="240" w:lineRule="auto"/>
              <w:jc w:val="both"/>
              <w:rPr>
                <w:rFonts w:ascii="Cambria" w:eastAsia="Times New Roman" w:hAnsi="Cambria" w:cs="Calibri"/>
                <w:lang w:val="hr-HR"/>
              </w:rPr>
            </w:pPr>
            <w:r w:rsidRPr="003341BD">
              <w:rPr>
                <w:rFonts w:ascii="Cambria" w:eastAsia="Times New Roman" w:hAnsi="Cambria" w:cs="Calibri"/>
                <w:lang w:val="hr-HR"/>
              </w:rPr>
              <w:t>7. Kekez, J. (1998). Usmena književnost, u: Uvod u književnost, Globus, Zagreb.</w:t>
            </w:r>
          </w:p>
          <w:p w14:paraId="13D91558" w14:textId="77777777" w:rsidR="003415F8" w:rsidRPr="003341BD" w:rsidRDefault="003415F8" w:rsidP="00587D5D">
            <w:pPr>
              <w:snapToGrid w:val="0"/>
              <w:spacing w:after="0" w:line="240" w:lineRule="auto"/>
              <w:jc w:val="both"/>
              <w:rPr>
                <w:rFonts w:ascii="Cambria" w:eastAsia="Times New Roman" w:hAnsi="Cambria" w:cs="Calibri"/>
                <w:lang w:val="hr-HR"/>
              </w:rPr>
            </w:pPr>
            <w:r w:rsidRPr="003341BD">
              <w:rPr>
                <w:rFonts w:ascii="Cambria" w:eastAsia="Times New Roman" w:hAnsi="Cambria" w:cs="Calibri"/>
                <w:lang w:val="hr-HR"/>
              </w:rPr>
              <w:t>Izborna:</w:t>
            </w:r>
          </w:p>
          <w:p w14:paraId="0A14977B" w14:textId="77777777" w:rsidR="003415F8" w:rsidRPr="003341BD" w:rsidRDefault="003415F8" w:rsidP="00587D5D">
            <w:pPr>
              <w:snapToGrid w:val="0"/>
              <w:spacing w:after="0" w:line="240" w:lineRule="auto"/>
              <w:jc w:val="both"/>
              <w:rPr>
                <w:rFonts w:ascii="Cambria" w:eastAsia="Times New Roman" w:hAnsi="Cambria" w:cs="Calibri"/>
                <w:lang w:val="hr-HR"/>
              </w:rPr>
            </w:pPr>
            <w:r w:rsidRPr="003341BD">
              <w:rPr>
                <w:rFonts w:ascii="Cambria" w:eastAsia="Times New Roman" w:hAnsi="Cambria" w:cs="Calibri"/>
                <w:lang w:val="hr-HR"/>
              </w:rPr>
              <w:t>1.Delorko, O. (1960). Istarske narodne pjesme, Institut za narodnu umjetnost, Zagreb.</w:t>
            </w:r>
          </w:p>
          <w:p w14:paraId="5303FA3C" w14:textId="77777777" w:rsidR="003415F8" w:rsidRPr="003341BD" w:rsidRDefault="003415F8" w:rsidP="00587D5D">
            <w:pPr>
              <w:snapToGrid w:val="0"/>
              <w:spacing w:after="0" w:line="240" w:lineRule="auto"/>
              <w:jc w:val="both"/>
              <w:rPr>
                <w:rFonts w:ascii="Cambria" w:eastAsia="Times New Roman" w:hAnsi="Cambria" w:cs="Calibri"/>
                <w:lang w:val="hr-HR"/>
              </w:rPr>
            </w:pPr>
            <w:r w:rsidRPr="003341BD">
              <w:rPr>
                <w:rFonts w:ascii="Cambria" w:eastAsia="Times New Roman" w:hAnsi="Cambria" w:cs="Calibri"/>
                <w:lang w:val="hr-HR"/>
              </w:rPr>
              <w:t xml:space="preserve">2.Mikac, J. (1997). Istarska </w:t>
            </w:r>
            <w:proofErr w:type="spellStart"/>
            <w:r w:rsidRPr="003341BD">
              <w:rPr>
                <w:rFonts w:ascii="Cambria" w:eastAsia="Times New Roman" w:hAnsi="Cambria" w:cs="Calibri"/>
                <w:lang w:val="hr-HR"/>
              </w:rPr>
              <w:t>škrinjica</w:t>
            </w:r>
            <w:proofErr w:type="spellEnd"/>
            <w:r w:rsidRPr="003341BD">
              <w:rPr>
                <w:rFonts w:ascii="Cambria" w:eastAsia="Times New Roman" w:hAnsi="Cambria" w:cs="Calibri"/>
                <w:lang w:val="hr-HR"/>
              </w:rPr>
              <w:t>, MH, Zagreb.</w:t>
            </w:r>
          </w:p>
          <w:p w14:paraId="5AA3C49C" w14:textId="77777777" w:rsidR="003415F8" w:rsidRPr="003341BD" w:rsidRDefault="003415F8" w:rsidP="00587D5D">
            <w:pPr>
              <w:snapToGrid w:val="0"/>
              <w:spacing w:after="0" w:line="240" w:lineRule="auto"/>
              <w:jc w:val="both"/>
              <w:rPr>
                <w:rFonts w:ascii="Cambria" w:eastAsia="Times New Roman" w:hAnsi="Cambria" w:cs="Calibri"/>
                <w:lang w:val="hr-HR"/>
              </w:rPr>
            </w:pPr>
            <w:r w:rsidRPr="003341BD">
              <w:rPr>
                <w:rFonts w:ascii="Cambria" w:eastAsia="Times New Roman" w:hAnsi="Cambria" w:cs="Calibri"/>
                <w:lang w:val="hr-HR"/>
              </w:rPr>
              <w:t xml:space="preserve">3. Orlić, D. (2005). Istarske narodne poslovice, </w:t>
            </w:r>
            <w:proofErr w:type="spellStart"/>
            <w:r w:rsidRPr="003341BD">
              <w:rPr>
                <w:rFonts w:ascii="Cambria" w:eastAsia="Times New Roman" w:hAnsi="Cambria" w:cs="Calibri"/>
                <w:lang w:val="hr-HR"/>
              </w:rPr>
              <w:t>Errata</w:t>
            </w:r>
            <w:proofErr w:type="spellEnd"/>
            <w:r w:rsidRPr="003341BD">
              <w:rPr>
                <w:rFonts w:ascii="Cambria" w:eastAsia="Times New Roman" w:hAnsi="Cambria" w:cs="Calibri"/>
                <w:lang w:val="hr-HR"/>
              </w:rPr>
              <w:t xml:space="preserve"> </w:t>
            </w:r>
            <w:proofErr w:type="spellStart"/>
            <w:r w:rsidRPr="003341BD">
              <w:rPr>
                <w:rFonts w:ascii="Cambria" w:eastAsia="Times New Roman" w:hAnsi="Cambria" w:cs="Calibri"/>
                <w:lang w:val="hr-HR"/>
              </w:rPr>
              <w:t>corrige</w:t>
            </w:r>
            <w:proofErr w:type="spellEnd"/>
            <w:r w:rsidRPr="003341BD">
              <w:rPr>
                <w:rFonts w:ascii="Cambria" w:eastAsia="Times New Roman" w:hAnsi="Cambria" w:cs="Calibri"/>
                <w:lang w:val="hr-HR"/>
              </w:rPr>
              <w:t>, Poreč.</w:t>
            </w:r>
          </w:p>
          <w:p w14:paraId="57BA7554" w14:textId="77777777" w:rsidR="003415F8" w:rsidRPr="003341BD" w:rsidRDefault="003415F8" w:rsidP="00587D5D">
            <w:pPr>
              <w:snapToGrid w:val="0"/>
              <w:spacing w:after="0" w:line="240" w:lineRule="auto"/>
              <w:jc w:val="both"/>
              <w:rPr>
                <w:rFonts w:ascii="Cambria" w:eastAsia="Times New Roman" w:hAnsi="Cambria" w:cs="Calibri"/>
                <w:lang w:val="hr-HR"/>
              </w:rPr>
            </w:pPr>
            <w:r w:rsidRPr="003341BD">
              <w:rPr>
                <w:rFonts w:ascii="Cambria" w:eastAsia="Times New Roman" w:hAnsi="Cambria" w:cs="Calibri"/>
                <w:lang w:val="hr-HR"/>
              </w:rPr>
              <w:t>4. Rudan, E. (2005). Usmena književnost, u: Istarska enciklopedija, Leksikografski zavod Miroslav Krleža, Zagreb.</w:t>
            </w:r>
          </w:p>
          <w:p w14:paraId="2733FD7F" w14:textId="77777777" w:rsidR="003415F8" w:rsidRPr="003341BD" w:rsidRDefault="003415F8" w:rsidP="00587D5D">
            <w:pPr>
              <w:snapToGrid w:val="0"/>
              <w:spacing w:after="0" w:line="240" w:lineRule="auto"/>
              <w:jc w:val="both"/>
              <w:rPr>
                <w:rFonts w:ascii="Cambria" w:eastAsia="Times New Roman" w:hAnsi="Cambria" w:cs="Calibri"/>
                <w:lang w:val="hr-HR"/>
              </w:rPr>
            </w:pPr>
            <w:r w:rsidRPr="003341BD">
              <w:rPr>
                <w:rFonts w:ascii="Cambria" w:eastAsia="Times New Roman" w:hAnsi="Cambria" w:cs="Calibri"/>
                <w:lang w:val="hr-HR"/>
              </w:rPr>
              <w:t>Priručna:</w:t>
            </w:r>
          </w:p>
          <w:p w14:paraId="1090ACC8" w14:textId="77777777" w:rsidR="003415F8" w:rsidRPr="003341BD" w:rsidRDefault="003415F8" w:rsidP="00587D5D">
            <w:pPr>
              <w:snapToGrid w:val="0"/>
              <w:spacing w:after="0" w:line="240" w:lineRule="auto"/>
              <w:jc w:val="both"/>
              <w:rPr>
                <w:rFonts w:ascii="Cambria" w:eastAsia="Times New Roman" w:hAnsi="Cambria" w:cs="Calibri"/>
                <w:lang w:val="hr-HR"/>
              </w:rPr>
            </w:pPr>
            <w:r w:rsidRPr="003341BD">
              <w:rPr>
                <w:rFonts w:ascii="Cambria" w:eastAsia="Times New Roman" w:hAnsi="Cambria" w:cs="Calibri"/>
                <w:lang w:val="hr-HR"/>
              </w:rPr>
              <w:t xml:space="preserve">1.Odabrani primjerci Zavičajne zbirke Sveučilišne knjižnice u Puli ili koje druge zavičajne zbirke. </w:t>
            </w:r>
          </w:p>
          <w:p w14:paraId="19413E9D" w14:textId="77777777" w:rsidR="003415F8" w:rsidRPr="003341BD" w:rsidRDefault="003415F8" w:rsidP="00587D5D">
            <w:pPr>
              <w:snapToGrid w:val="0"/>
              <w:spacing w:after="0" w:line="240" w:lineRule="auto"/>
              <w:jc w:val="both"/>
              <w:rPr>
                <w:rFonts w:ascii="Cambria" w:eastAsia="Times New Roman" w:hAnsi="Cambria" w:cs="Calibri"/>
                <w:lang w:val="hr-HR"/>
              </w:rPr>
            </w:pPr>
            <w:r w:rsidRPr="003341BD">
              <w:rPr>
                <w:rFonts w:ascii="Cambria" w:eastAsia="Times New Roman" w:hAnsi="Cambria" w:cs="Calibri"/>
                <w:lang w:val="hr-HR"/>
              </w:rPr>
              <w:t xml:space="preserve">2. </w:t>
            </w:r>
            <w:proofErr w:type="spellStart"/>
            <w:r w:rsidRPr="003341BD">
              <w:rPr>
                <w:rFonts w:ascii="Cambria" w:eastAsia="Times New Roman" w:hAnsi="Cambria" w:cs="Calibri"/>
                <w:lang w:val="hr-HR"/>
              </w:rPr>
              <w:t>Hameršak</w:t>
            </w:r>
            <w:proofErr w:type="spellEnd"/>
            <w:r w:rsidRPr="003341BD">
              <w:rPr>
                <w:rFonts w:ascii="Cambria" w:eastAsia="Times New Roman" w:hAnsi="Cambria" w:cs="Calibri"/>
                <w:lang w:val="hr-HR"/>
              </w:rPr>
              <w:t>, M.</w:t>
            </w:r>
            <w:r>
              <w:rPr>
                <w:rFonts w:ascii="Cambria" w:eastAsia="Times New Roman" w:hAnsi="Cambria" w:cs="Calibri"/>
                <w:lang w:val="hr-HR"/>
              </w:rPr>
              <w:t xml:space="preserve"> </w:t>
            </w:r>
            <w:r w:rsidRPr="003341BD">
              <w:rPr>
                <w:rFonts w:ascii="Cambria" w:eastAsia="Times New Roman" w:hAnsi="Cambria" w:cs="Calibri"/>
                <w:lang w:val="hr-HR"/>
              </w:rPr>
              <w:t xml:space="preserve">(2009). Usmenost za djecu u hrvatskoj etnologiji i folkloristici, </w:t>
            </w:r>
            <w:proofErr w:type="spellStart"/>
            <w:r w:rsidRPr="003341BD">
              <w:rPr>
                <w:rFonts w:ascii="Cambria" w:eastAsia="Times New Roman" w:hAnsi="Cambria" w:cs="Calibri"/>
                <w:lang w:val="hr-HR"/>
              </w:rPr>
              <w:t>Studia</w:t>
            </w:r>
            <w:proofErr w:type="spellEnd"/>
            <w:r w:rsidRPr="003341BD">
              <w:rPr>
                <w:rFonts w:ascii="Cambria" w:eastAsia="Times New Roman" w:hAnsi="Cambria" w:cs="Calibri"/>
                <w:lang w:val="hr-HR"/>
              </w:rPr>
              <w:t xml:space="preserve"> </w:t>
            </w:r>
            <w:proofErr w:type="spellStart"/>
            <w:r w:rsidRPr="003341BD">
              <w:rPr>
                <w:rFonts w:ascii="Cambria" w:eastAsia="Times New Roman" w:hAnsi="Cambria" w:cs="Calibri"/>
                <w:lang w:val="hr-HR"/>
              </w:rPr>
              <w:t>ethnologica</w:t>
            </w:r>
            <w:proofErr w:type="spellEnd"/>
            <w:r w:rsidRPr="003341BD">
              <w:rPr>
                <w:rFonts w:ascii="Cambria" w:eastAsia="Times New Roman" w:hAnsi="Cambria" w:cs="Calibri"/>
                <w:lang w:val="hr-HR"/>
              </w:rPr>
              <w:t xml:space="preserve"> </w:t>
            </w:r>
            <w:proofErr w:type="spellStart"/>
            <w:r w:rsidRPr="003341BD">
              <w:rPr>
                <w:rFonts w:ascii="Cambria" w:eastAsia="Times New Roman" w:hAnsi="Cambria" w:cs="Calibri"/>
                <w:lang w:val="hr-HR"/>
              </w:rPr>
              <w:t>Croatica</w:t>
            </w:r>
            <w:proofErr w:type="spellEnd"/>
            <w:r w:rsidRPr="003341BD">
              <w:rPr>
                <w:rFonts w:ascii="Cambria" w:eastAsia="Times New Roman" w:hAnsi="Cambria" w:cs="Calibri"/>
                <w:lang w:val="hr-HR"/>
              </w:rPr>
              <w:t>, vol.21 No.1 (2009), str.233.-254.</w:t>
            </w:r>
          </w:p>
          <w:p w14:paraId="770BCB39" w14:textId="77777777" w:rsidR="003415F8" w:rsidRPr="00DF4CE5" w:rsidRDefault="003415F8" w:rsidP="00587D5D">
            <w:pPr>
              <w:snapToGrid w:val="0"/>
              <w:spacing w:after="0" w:line="240" w:lineRule="auto"/>
              <w:jc w:val="both"/>
              <w:rPr>
                <w:rFonts w:ascii="Cambria" w:eastAsia="Times New Roman" w:hAnsi="Cambria" w:cs="Calibri"/>
                <w:lang w:val="hr-HR"/>
              </w:rPr>
            </w:pPr>
            <w:r w:rsidRPr="003341BD">
              <w:rPr>
                <w:rFonts w:ascii="Cambria" w:eastAsia="Times New Roman" w:hAnsi="Cambria" w:cs="Calibri"/>
                <w:lang w:val="hr-HR"/>
              </w:rPr>
              <w:t xml:space="preserve">3.  </w:t>
            </w:r>
            <w:proofErr w:type="spellStart"/>
            <w:r w:rsidRPr="003341BD">
              <w:rPr>
                <w:rFonts w:ascii="Cambria" w:eastAsia="Times New Roman" w:hAnsi="Cambria" w:cs="Calibri"/>
                <w:lang w:val="hr-HR"/>
              </w:rPr>
              <w:t>Matoković</w:t>
            </w:r>
            <w:proofErr w:type="spellEnd"/>
            <w:r w:rsidRPr="003341BD">
              <w:rPr>
                <w:rFonts w:ascii="Cambria" w:eastAsia="Times New Roman" w:hAnsi="Cambria" w:cs="Calibri"/>
                <w:lang w:val="hr-HR"/>
              </w:rPr>
              <w:t>, D.</w:t>
            </w:r>
            <w:r>
              <w:rPr>
                <w:rFonts w:ascii="Cambria" w:eastAsia="Times New Roman" w:hAnsi="Cambria" w:cs="Calibri"/>
                <w:lang w:val="hr-HR"/>
              </w:rPr>
              <w:t xml:space="preserve"> </w:t>
            </w:r>
            <w:r w:rsidRPr="003341BD">
              <w:rPr>
                <w:rFonts w:ascii="Cambria" w:eastAsia="Times New Roman" w:hAnsi="Cambria" w:cs="Calibri"/>
                <w:lang w:val="hr-HR"/>
              </w:rPr>
              <w:t>(2004). Dječji svijet, Etnološka istraživanja, No.2 (2004), str. 53.-64.</w:t>
            </w:r>
          </w:p>
        </w:tc>
      </w:tr>
    </w:tbl>
    <w:p w14:paraId="3DC68E9B" w14:textId="77777777" w:rsidR="003415F8" w:rsidRPr="00DF4CE5" w:rsidRDefault="003415F8" w:rsidP="003415F8">
      <w:pPr>
        <w:jc w:val="both"/>
        <w:rPr>
          <w:rFonts w:ascii="Cambria" w:hAnsi="Cambria"/>
          <w:lang w:val="hr-HR"/>
        </w:rPr>
      </w:pPr>
    </w:p>
    <w:p w14:paraId="0E6EF191" w14:textId="34974DA6" w:rsidR="00587D5D" w:rsidRDefault="00587D5D">
      <w:pPr>
        <w:rPr>
          <w:rFonts w:ascii="Cambria" w:hAnsi="Cambria"/>
          <w:lang w:val="hr-HR"/>
        </w:rPr>
      </w:pPr>
      <w:r>
        <w:rPr>
          <w:rFonts w:ascii="Cambria" w:hAnsi="Cambria"/>
          <w:lang w:val="hr-HR"/>
        </w:rPr>
        <w:br w:type="page"/>
      </w:r>
    </w:p>
    <w:tbl>
      <w:tblPr>
        <w:tblW w:w="4879" w:type="pct"/>
        <w:tblLayout w:type="fixed"/>
        <w:tblCellMar>
          <w:left w:w="0" w:type="dxa"/>
          <w:right w:w="0" w:type="dxa"/>
        </w:tblCellMar>
        <w:tblLook w:val="0600" w:firstRow="0" w:lastRow="0" w:firstColumn="0" w:lastColumn="0" w:noHBand="1" w:noVBand="1"/>
      </w:tblPr>
      <w:tblGrid>
        <w:gridCol w:w="2784"/>
        <w:gridCol w:w="2644"/>
        <w:gridCol w:w="103"/>
        <w:gridCol w:w="886"/>
        <w:gridCol w:w="847"/>
        <w:gridCol w:w="92"/>
        <w:gridCol w:w="795"/>
        <w:gridCol w:w="1627"/>
      </w:tblGrid>
      <w:tr w:rsidR="00587D5D" w:rsidRPr="005E3632" w14:paraId="15CCEB91" w14:textId="77777777" w:rsidTr="00587D5D">
        <w:tc>
          <w:tcPr>
            <w:tcW w:w="9778"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178E3EF" w14:textId="77777777" w:rsidR="00587D5D" w:rsidRPr="001F479B" w:rsidRDefault="00587D5D" w:rsidP="00587D5D">
            <w:pPr>
              <w:autoSpaceDE w:val="0"/>
              <w:autoSpaceDN w:val="0"/>
              <w:adjustRightInd w:val="0"/>
              <w:spacing w:after="0" w:line="240" w:lineRule="auto"/>
              <w:jc w:val="right"/>
              <w:rPr>
                <w:rFonts w:ascii="Cambria" w:hAnsi="Cambria"/>
                <w:b/>
                <w:bCs/>
              </w:rPr>
            </w:pPr>
            <w:r w:rsidRPr="001F479B">
              <w:rPr>
                <w:rFonts w:ascii="Cambria" w:hAnsi="Cambria"/>
                <w:b/>
                <w:bCs/>
              </w:rPr>
              <w:lastRenderedPageBreak/>
              <w:t>IZVEDBENI PLAN NASTAVE KOLEGIJA</w:t>
            </w:r>
          </w:p>
        </w:tc>
      </w:tr>
      <w:tr w:rsidR="00587D5D" w:rsidRPr="005E3632" w14:paraId="5D359618" w14:textId="77777777" w:rsidTr="00587D5D">
        <w:tc>
          <w:tcPr>
            <w:tcW w:w="278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175E5CD" w14:textId="77777777" w:rsidR="00587D5D" w:rsidRPr="005E3632" w:rsidRDefault="00587D5D" w:rsidP="00587D5D">
            <w:pPr>
              <w:autoSpaceDE w:val="0"/>
              <w:autoSpaceDN w:val="0"/>
              <w:adjustRightInd w:val="0"/>
              <w:spacing w:after="0" w:line="240" w:lineRule="auto"/>
              <w:rPr>
                <w:rFonts w:ascii="Cambria" w:hAnsi="Cambria"/>
              </w:rPr>
            </w:pPr>
            <w:proofErr w:type="spellStart"/>
            <w:r w:rsidRPr="005E3632">
              <w:rPr>
                <w:rFonts w:ascii="Cambria" w:hAnsi="Cambria"/>
              </w:rPr>
              <w:t>Kod</w:t>
            </w:r>
            <w:proofErr w:type="spellEnd"/>
            <w:r w:rsidRPr="005E3632">
              <w:rPr>
                <w:rFonts w:ascii="Cambria" w:hAnsi="Cambria"/>
              </w:rPr>
              <w:t xml:space="preserve"> </w:t>
            </w:r>
            <w:proofErr w:type="spellStart"/>
            <w:r w:rsidRPr="005E3632">
              <w:rPr>
                <w:rFonts w:ascii="Cambria" w:hAnsi="Cambria"/>
              </w:rPr>
              <w:t>i</w:t>
            </w:r>
            <w:proofErr w:type="spellEnd"/>
            <w:r w:rsidRPr="005E3632">
              <w:rPr>
                <w:rFonts w:ascii="Cambria" w:hAnsi="Cambria"/>
              </w:rPr>
              <w:t xml:space="preserve"> </w:t>
            </w:r>
            <w:proofErr w:type="spellStart"/>
            <w:r w:rsidRPr="005E3632">
              <w:rPr>
                <w:rFonts w:ascii="Cambria" w:hAnsi="Cambria"/>
              </w:rPr>
              <w:t>naziv</w:t>
            </w:r>
            <w:proofErr w:type="spellEnd"/>
            <w:r w:rsidRPr="005E3632">
              <w:rPr>
                <w:rFonts w:ascii="Cambria" w:hAnsi="Cambria"/>
              </w:rPr>
              <w:t xml:space="preserve"> </w:t>
            </w:r>
            <w:proofErr w:type="spellStart"/>
            <w:r w:rsidRPr="005E3632">
              <w:rPr>
                <w:rFonts w:ascii="Cambria" w:hAnsi="Cambria"/>
              </w:rPr>
              <w:t>kolegija</w:t>
            </w:r>
            <w:proofErr w:type="spellEnd"/>
          </w:p>
        </w:tc>
        <w:tc>
          <w:tcPr>
            <w:tcW w:w="699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118BDC8" w14:textId="04B983AA" w:rsidR="00587D5D" w:rsidRPr="005E3632" w:rsidRDefault="00587D5D" w:rsidP="00587D5D">
            <w:pPr>
              <w:autoSpaceDE w:val="0"/>
              <w:autoSpaceDN w:val="0"/>
              <w:adjustRightInd w:val="0"/>
              <w:spacing w:after="0" w:line="240" w:lineRule="auto"/>
              <w:rPr>
                <w:rFonts w:ascii="Cambria" w:hAnsi="Cambria"/>
              </w:rPr>
            </w:pPr>
            <w:proofErr w:type="spellStart"/>
            <w:r w:rsidRPr="005E3632">
              <w:rPr>
                <w:rFonts w:ascii="Cambria" w:hAnsi="Cambria"/>
              </w:rPr>
              <w:t>Akademska</w:t>
            </w:r>
            <w:proofErr w:type="spellEnd"/>
            <w:r w:rsidRPr="005E3632">
              <w:rPr>
                <w:rFonts w:ascii="Cambria" w:hAnsi="Cambria"/>
              </w:rPr>
              <w:t xml:space="preserve"> </w:t>
            </w:r>
            <w:proofErr w:type="spellStart"/>
            <w:r w:rsidRPr="005E3632">
              <w:rPr>
                <w:rFonts w:ascii="Cambria" w:hAnsi="Cambria"/>
              </w:rPr>
              <w:t>komunikacij</w:t>
            </w:r>
            <w:r>
              <w:rPr>
                <w:rFonts w:ascii="Cambria" w:hAnsi="Cambria"/>
              </w:rPr>
              <w:t>a</w:t>
            </w:r>
            <w:proofErr w:type="spellEnd"/>
          </w:p>
        </w:tc>
      </w:tr>
      <w:tr w:rsidR="00587D5D" w:rsidRPr="00D0399C" w14:paraId="1DC0E8FF" w14:textId="77777777" w:rsidTr="00587D5D">
        <w:tc>
          <w:tcPr>
            <w:tcW w:w="278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BCBFB0C" w14:textId="77777777" w:rsidR="00587D5D" w:rsidRPr="005E3632" w:rsidRDefault="00587D5D" w:rsidP="00587D5D">
            <w:pPr>
              <w:autoSpaceDE w:val="0"/>
              <w:autoSpaceDN w:val="0"/>
              <w:adjustRightInd w:val="0"/>
              <w:spacing w:after="0" w:line="240" w:lineRule="auto"/>
              <w:rPr>
                <w:rFonts w:ascii="Cambria" w:hAnsi="Cambria"/>
              </w:rPr>
            </w:pPr>
            <w:proofErr w:type="spellStart"/>
            <w:r w:rsidRPr="005E3632">
              <w:rPr>
                <w:rFonts w:ascii="Cambria" w:hAnsi="Cambria"/>
              </w:rPr>
              <w:t>Nastavnica</w:t>
            </w:r>
            <w:proofErr w:type="spellEnd"/>
            <w:r w:rsidRPr="005E3632">
              <w:rPr>
                <w:rFonts w:ascii="Cambria" w:hAnsi="Cambria"/>
              </w:rPr>
              <w:t xml:space="preserve"> </w:t>
            </w:r>
          </w:p>
        </w:tc>
        <w:tc>
          <w:tcPr>
            <w:tcW w:w="699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B6ADD85" w14:textId="06193AE6" w:rsidR="00587D5D" w:rsidRPr="00587D5D" w:rsidRDefault="00587D5D" w:rsidP="00587D5D">
            <w:pPr>
              <w:autoSpaceDE w:val="0"/>
              <w:autoSpaceDN w:val="0"/>
              <w:adjustRightInd w:val="0"/>
              <w:spacing w:after="0" w:line="240" w:lineRule="auto"/>
              <w:rPr>
                <w:rFonts w:ascii="Cambria" w:hAnsi="Cambria"/>
                <w:lang w:val="it-IT"/>
              </w:rPr>
            </w:pPr>
            <w:hyperlink r:id="rId100" w:history="1">
              <w:r w:rsidRPr="00587D5D">
                <w:rPr>
                  <w:rStyle w:val="Hiperveza"/>
                  <w:rFonts w:ascii="Cambria" w:hAnsi="Cambria"/>
                  <w:lang w:val="it-IT"/>
                </w:rPr>
                <w:t xml:space="preserve">Prof. dr. sc. Kristina </w:t>
              </w:r>
              <w:proofErr w:type="spellStart"/>
              <w:r w:rsidRPr="00587D5D">
                <w:rPr>
                  <w:rStyle w:val="Hiperveza"/>
                  <w:rFonts w:ascii="Cambria" w:hAnsi="Cambria"/>
                  <w:lang w:val="it-IT"/>
                </w:rPr>
                <w:t>Riman</w:t>
              </w:r>
              <w:proofErr w:type="spellEnd"/>
            </w:hyperlink>
            <w:r w:rsidRPr="00587D5D">
              <w:rPr>
                <w:rFonts w:ascii="Cambria" w:hAnsi="Cambria"/>
                <w:lang w:val="it-IT"/>
              </w:rPr>
              <w:t xml:space="preserve"> (</w:t>
            </w:r>
            <w:proofErr w:type="spellStart"/>
            <w:r w:rsidRPr="00587D5D">
              <w:rPr>
                <w:rFonts w:ascii="Cambria" w:hAnsi="Cambria"/>
                <w:lang w:val="it-IT"/>
              </w:rPr>
              <w:t>nositeljica</w:t>
            </w:r>
            <w:proofErr w:type="spellEnd"/>
            <w:r w:rsidRPr="00587D5D">
              <w:rPr>
                <w:rFonts w:ascii="Cambria" w:hAnsi="Cambria"/>
                <w:lang w:val="it-IT"/>
              </w:rPr>
              <w:t>)</w:t>
            </w:r>
          </w:p>
        </w:tc>
      </w:tr>
      <w:tr w:rsidR="00587D5D" w:rsidRPr="00D0399C" w14:paraId="5C89E4B2" w14:textId="77777777" w:rsidTr="00587D5D">
        <w:tc>
          <w:tcPr>
            <w:tcW w:w="278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CB74286" w14:textId="77777777" w:rsidR="00587D5D" w:rsidRPr="005E3632" w:rsidRDefault="00587D5D" w:rsidP="00587D5D">
            <w:pPr>
              <w:autoSpaceDE w:val="0"/>
              <w:autoSpaceDN w:val="0"/>
              <w:adjustRightInd w:val="0"/>
              <w:spacing w:after="0" w:line="240" w:lineRule="auto"/>
              <w:rPr>
                <w:rFonts w:ascii="Cambria" w:hAnsi="Cambria"/>
              </w:rPr>
            </w:pPr>
            <w:proofErr w:type="spellStart"/>
            <w:r w:rsidRPr="005E3632">
              <w:rPr>
                <w:rFonts w:ascii="Cambria" w:hAnsi="Cambria"/>
              </w:rPr>
              <w:t>Studijski</w:t>
            </w:r>
            <w:proofErr w:type="spellEnd"/>
            <w:r w:rsidRPr="005E3632">
              <w:rPr>
                <w:rFonts w:ascii="Cambria" w:hAnsi="Cambria"/>
              </w:rPr>
              <w:t xml:space="preserve"> program</w:t>
            </w:r>
          </w:p>
        </w:tc>
        <w:tc>
          <w:tcPr>
            <w:tcW w:w="699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D7FD7E2" w14:textId="157181B2" w:rsidR="00587D5D" w:rsidRPr="00587D5D" w:rsidRDefault="00587D5D" w:rsidP="00587D5D">
            <w:pPr>
              <w:autoSpaceDE w:val="0"/>
              <w:autoSpaceDN w:val="0"/>
              <w:adjustRightInd w:val="0"/>
              <w:spacing w:after="0" w:line="240" w:lineRule="auto"/>
              <w:rPr>
                <w:rFonts w:ascii="Cambria" w:hAnsi="Cambria"/>
                <w:lang w:val="it-IT"/>
              </w:rPr>
            </w:pPr>
            <w:proofErr w:type="spellStart"/>
            <w:r w:rsidRPr="00587D5D">
              <w:rPr>
                <w:rFonts w:ascii="Cambria" w:hAnsi="Cambria"/>
                <w:lang w:val="it-IT"/>
              </w:rPr>
              <w:t>Sveučilišni</w:t>
            </w:r>
            <w:proofErr w:type="spellEnd"/>
            <w:r w:rsidRPr="00587D5D">
              <w:rPr>
                <w:rFonts w:ascii="Cambria" w:hAnsi="Cambria"/>
                <w:lang w:val="it-IT"/>
              </w:rPr>
              <w:t xml:space="preserve"> </w:t>
            </w:r>
            <w:proofErr w:type="spellStart"/>
            <w:r w:rsidRPr="00587D5D">
              <w:rPr>
                <w:rFonts w:ascii="Cambria" w:hAnsi="Cambria"/>
                <w:lang w:val="it-IT"/>
              </w:rPr>
              <w:t>integrirani</w:t>
            </w:r>
            <w:proofErr w:type="spellEnd"/>
            <w:r w:rsidRPr="00587D5D">
              <w:rPr>
                <w:rFonts w:ascii="Cambria" w:hAnsi="Cambria"/>
                <w:lang w:val="it-IT"/>
              </w:rPr>
              <w:t xml:space="preserve"> </w:t>
            </w:r>
            <w:proofErr w:type="spellStart"/>
            <w:r w:rsidRPr="00587D5D">
              <w:rPr>
                <w:rFonts w:ascii="Cambria" w:hAnsi="Cambria"/>
                <w:lang w:val="it-IT"/>
              </w:rPr>
              <w:t>prijediplomski</w:t>
            </w:r>
            <w:proofErr w:type="spellEnd"/>
            <w:r w:rsidRPr="00587D5D">
              <w:rPr>
                <w:rFonts w:ascii="Cambria" w:hAnsi="Cambria"/>
                <w:lang w:val="it-IT"/>
              </w:rPr>
              <w:t xml:space="preserve"> i </w:t>
            </w:r>
            <w:proofErr w:type="spellStart"/>
            <w:r w:rsidRPr="00587D5D">
              <w:rPr>
                <w:rFonts w:ascii="Cambria" w:hAnsi="Cambria"/>
                <w:lang w:val="it-IT"/>
              </w:rPr>
              <w:t>diplomski</w:t>
            </w:r>
            <w:proofErr w:type="spellEnd"/>
            <w:r w:rsidRPr="00587D5D">
              <w:rPr>
                <w:rFonts w:ascii="Cambria" w:hAnsi="Cambria"/>
                <w:lang w:val="it-IT"/>
              </w:rPr>
              <w:t xml:space="preserve"> </w:t>
            </w:r>
            <w:proofErr w:type="spellStart"/>
            <w:r w:rsidRPr="00587D5D">
              <w:rPr>
                <w:rFonts w:ascii="Cambria" w:hAnsi="Cambria"/>
                <w:lang w:val="it-IT"/>
              </w:rPr>
              <w:t>Učiteljski</w:t>
            </w:r>
            <w:proofErr w:type="spellEnd"/>
            <w:r w:rsidRPr="00587D5D">
              <w:rPr>
                <w:rFonts w:ascii="Cambria" w:hAnsi="Cambria"/>
                <w:lang w:val="it-IT"/>
              </w:rPr>
              <w:t xml:space="preserve"> </w:t>
            </w:r>
            <w:proofErr w:type="spellStart"/>
            <w:r w:rsidRPr="00587D5D">
              <w:rPr>
                <w:rFonts w:ascii="Cambria" w:hAnsi="Cambria"/>
                <w:lang w:val="it-IT"/>
              </w:rPr>
              <w:t>studij</w:t>
            </w:r>
            <w:proofErr w:type="spellEnd"/>
          </w:p>
        </w:tc>
      </w:tr>
      <w:tr w:rsidR="00587D5D" w:rsidRPr="005E3632" w14:paraId="0BA64128" w14:textId="77777777" w:rsidTr="00587D5D">
        <w:tc>
          <w:tcPr>
            <w:tcW w:w="278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1177A93" w14:textId="77777777" w:rsidR="00587D5D" w:rsidRPr="005E3632" w:rsidRDefault="00587D5D" w:rsidP="00587D5D">
            <w:pPr>
              <w:autoSpaceDE w:val="0"/>
              <w:autoSpaceDN w:val="0"/>
              <w:adjustRightInd w:val="0"/>
              <w:spacing w:after="0" w:line="240" w:lineRule="auto"/>
              <w:rPr>
                <w:rFonts w:ascii="Cambria" w:hAnsi="Cambria"/>
              </w:rPr>
            </w:pPr>
            <w:proofErr w:type="spellStart"/>
            <w:r w:rsidRPr="005E3632">
              <w:rPr>
                <w:rFonts w:ascii="Cambria" w:hAnsi="Cambria"/>
              </w:rPr>
              <w:t>Vrsta</w:t>
            </w:r>
            <w:proofErr w:type="spellEnd"/>
            <w:r w:rsidRPr="005E3632">
              <w:rPr>
                <w:rFonts w:ascii="Cambria" w:hAnsi="Cambria"/>
              </w:rPr>
              <w:t xml:space="preserve"> </w:t>
            </w:r>
            <w:proofErr w:type="spellStart"/>
            <w:r w:rsidRPr="005E3632">
              <w:rPr>
                <w:rFonts w:ascii="Cambria" w:hAnsi="Cambria"/>
              </w:rPr>
              <w:t>kolegija</w:t>
            </w:r>
            <w:proofErr w:type="spellEnd"/>
          </w:p>
        </w:tc>
        <w:tc>
          <w:tcPr>
            <w:tcW w:w="264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CC6212E" w14:textId="227A232B" w:rsidR="00587D5D" w:rsidRPr="005E3632" w:rsidRDefault="00587D5D" w:rsidP="00587D5D">
            <w:pPr>
              <w:autoSpaceDE w:val="0"/>
              <w:autoSpaceDN w:val="0"/>
              <w:adjustRightInd w:val="0"/>
              <w:spacing w:after="0" w:line="240" w:lineRule="auto"/>
              <w:rPr>
                <w:rFonts w:ascii="Cambria" w:hAnsi="Cambria"/>
              </w:rPr>
            </w:pPr>
            <w:proofErr w:type="spellStart"/>
            <w:r>
              <w:rPr>
                <w:rFonts w:ascii="Cambria" w:hAnsi="Cambria"/>
              </w:rPr>
              <w:t>izborni</w:t>
            </w:r>
            <w:proofErr w:type="spellEnd"/>
          </w:p>
          <w:p w14:paraId="07F3E25E" w14:textId="77777777" w:rsidR="00587D5D" w:rsidRPr="005E3632" w:rsidRDefault="00587D5D" w:rsidP="00587D5D">
            <w:pPr>
              <w:autoSpaceDE w:val="0"/>
              <w:autoSpaceDN w:val="0"/>
              <w:adjustRightInd w:val="0"/>
              <w:spacing w:after="0" w:line="240" w:lineRule="auto"/>
              <w:rPr>
                <w:rFonts w:ascii="Cambria" w:hAnsi="Cambria"/>
              </w:rPr>
            </w:pPr>
          </w:p>
        </w:tc>
        <w:tc>
          <w:tcPr>
            <w:tcW w:w="1928" w:type="dxa"/>
            <w:gridSpan w:val="4"/>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323FDEFB" w14:textId="77777777" w:rsidR="00587D5D" w:rsidRPr="005E3632" w:rsidRDefault="00587D5D" w:rsidP="00587D5D">
            <w:pPr>
              <w:autoSpaceDE w:val="0"/>
              <w:autoSpaceDN w:val="0"/>
              <w:adjustRightInd w:val="0"/>
              <w:spacing w:after="0" w:line="240" w:lineRule="auto"/>
              <w:rPr>
                <w:rFonts w:ascii="Cambria" w:hAnsi="Cambria"/>
              </w:rPr>
            </w:pPr>
            <w:r w:rsidRPr="005E3632">
              <w:rPr>
                <w:rFonts w:ascii="Cambria" w:hAnsi="Cambria"/>
              </w:rPr>
              <w:t xml:space="preserve">Razina </w:t>
            </w:r>
            <w:proofErr w:type="spellStart"/>
            <w:r w:rsidRPr="005E3632">
              <w:rPr>
                <w:rFonts w:ascii="Cambria" w:hAnsi="Cambria"/>
              </w:rPr>
              <w:t>kolegija</w:t>
            </w:r>
            <w:proofErr w:type="spellEnd"/>
          </w:p>
        </w:tc>
        <w:tc>
          <w:tcPr>
            <w:tcW w:w="2422"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75A0AD0" w14:textId="2C5F9B4A" w:rsidR="00587D5D" w:rsidRPr="005E3632" w:rsidRDefault="00587D5D" w:rsidP="00587D5D">
            <w:pPr>
              <w:autoSpaceDE w:val="0"/>
              <w:autoSpaceDN w:val="0"/>
              <w:adjustRightInd w:val="0"/>
              <w:spacing w:after="0" w:line="240" w:lineRule="auto"/>
              <w:rPr>
                <w:rFonts w:ascii="Cambria" w:hAnsi="Cambria"/>
              </w:rPr>
            </w:pPr>
            <w:proofErr w:type="spellStart"/>
            <w:r>
              <w:rPr>
                <w:rFonts w:ascii="Cambria" w:hAnsi="Cambria"/>
              </w:rPr>
              <w:t>integrirani</w:t>
            </w:r>
            <w:proofErr w:type="spellEnd"/>
          </w:p>
          <w:p w14:paraId="345DC047" w14:textId="77777777" w:rsidR="00587D5D" w:rsidRPr="005E3632" w:rsidRDefault="00587D5D" w:rsidP="00587D5D">
            <w:pPr>
              <w:autoSpaceDE w:val="0"/>
              <w:autoSpaceDN w:val="0"/>
              <w:adjustRightInd w:val="0"/>
              <w:spacing w:after="0" w:line="240" w:lineRule="auto"/>
              <w:rPr>
                <w:rFonts w:ascii="Cambria" w:hAnsi="Cambria"/>
              </w:rPr>
            </w:pPr>
          </w:p>
        </w:tc>
      </w:tr>
      <w:tr w:rsidR="00587D5D" w:rsidRPr="005E3632" w14:paraId="1721B425" w14:textId="77777777" w:rsidTr="00587D5D">
        <w:tc>
          <w:tcPr>
            <w:tcW w:w="278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41E5B73" w14:textId="77777777" w:rsidR="00587D5D" w:rsidRPr="005E3632" w:rsidRDefault="00587D5D" w:rsidP="00587D5D">
            <w:pPr>
              <w:autoSpaceDE w:val="0"/>
              <w:autoSpaceDN w:val="0"/>
              <w:adjustRightInd w:val="0"/>
              <w:spacing w:after="0" w:line="240" w:lineRule="auto"/>
              <w:rPr>
                <w:rFonts w:ascii="Cambria" w:hAnsi="Cambria"/>
              </w:rPr>
            </w:pPr>
            <w:proofErr w:type="spellStart"/>
            <w:r w:rsidRPr="005E3632">
              <w:rPr>
                <w:rFonts w:ascii="Cambria" w:hAnsi="Cambria"/>
              </w:rPr>
              <w:t>Semestar</w:t>
            </w:r>
            <w:proofErr w:type="spellEnd"/>
          </w:p>
        </w:tc>
        <w:tc>
          <w:tcPr>
            <w:tcW w:w="264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BA6FBEF" w14:textId="77777777" w:rsidR="00587D5D" w:rsidRPr="005E3632" w:rsidRDefault="00587D5D" w:rsidP="00587D5D">
            <w:pPr>
              <w:autoSpaceDE w:val="0"/>
              <w:autoSpaceDN w:val="0"/>
              <w:adjustRightInd w:val="0"/>
              <w:spacing w:after="0" w:line="240" w:lineRule="auto"/>
              <w:rPr>
                <w:rFonts w:ascii="Cambria" w:hAnsi="Cambria"/>
              </w:rPr>
            </w:pPr>
            <w:proofErr w:type="spellStart"/>
            <w:r w:rsidRPr="005E3632">
              <w:rPr>
                <w:rFonts w:ascii="Cambria" w:hAnsi="Cambria"/>
              </w:rPr>
              <w:t>zimski</w:t>
            </w:r>
            <w:proofErr w:type="spellEnd"/>
          </w:p>
          <w:p w14:paraId="701BB94B" w14:textId="77777777" w:rsidR="00587D5D" w:rsidRPr="005E3632" w:rsidRDefault="00587D5D" w:rsidP="00587D5D">
            <w:pPr>
              <w:autoSpaceDE w:val="0"/>
              <w:autoSpaceDN w:val="0"/>
              <w:adjustRightInd w:val="0"/>
              <w:spacing w:after="0" w:line="240" w:lineRule="auto"/>
              <w:rPr>
                <w:rFonts w:ascii="Cambria" w:hAnsi="Cambria"/>
              </w:rPr>
            </w:pPr>
          </w:p>
        </w:tc>
        <w:tc>
          <w:tcPr>
            <w:tcW w:w="1928" w:type="dxa"/>
            <w:gridSpan w:val="4"/>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72A0584C" w14:textId="77777777" w:rsidR="00587D5D" w:rsidRPr="005E3632" w:rsidRDefault="00587D5D" w:rsidP="00587D5D">
            <w:pPr>
              <w:autoSpaceDE w:val="0"/>
              <w:autoSpaceDN w:val="0"/>
              <w:adjustRightInd w:val="0"/>
              <w:spacing w:after="0" w:line="240" w:lineRule="auto"/>
              <w:rPr>
                <w:rFonts w:ascii="Cambria" w:hAnsi="Cambria"/>
              </w:rPr>
            </w:pPr>
            <w:r w:rsidRPr="005E3632">
              <w:rPr>
                <w:rFonts w:ascii="Cambria" w:hAnsi="Cambria"/>
              </w:rPr>
              <w:t xml:space="preserve">Godina </w:t>
            </w:r>
            <w:proofErr w:type="spellStart"/>
            <w:r w:rsidRPr="005E3632">
              <w:rPr>
                <w:rFonts w:ascii="Cambria" w:hAnsi="Cambria"/>
              </w:rPr>
              <w:t>studija</w:t>
            </w:r>
            <w:proofErr w:type="spellEnd"/>
          </w:p>
        </w:tc>
        <w:tc>
          <w:tcPr>
            <w:tcW w:w="2422"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C6844BD" w14:textId="58FC42AC" w:rsidR="00587D5D" w:rsidRPr="005E3632" w:rsidRDefault="00587D5D" w:rsidP="00587D5D">
            <w:pPr>
              <w:autoSpaceDE w:val="0"/>
              <w:autoSpaceDN w:val="0"/>
              <w:adjustRightInd w:val="0"/>
              <w:spacing w:after="0" w:line="240" w:lineRule="auto"/>
              <w:rPr>
                <w:rFonts w:ascii="Cambria" w:hAnsi="Cambria"/>
              </w:rPr>
            </w:pPr>
            <w:r w:rsidRPr="005E3632">
              <w:rPr>
                <w:rFonts w:ascii="Cambria" w:hAnsi="Cambria"/>
              </w:rPr>
              <w:t>I</w:t>
            </w:r>
            <w:r>
              <w:rPr>
                <w:rFonts w:ascii="Cambria" w:hAnsi="Cambria"/>
              </w:rPr>
              <w:t>II.</w:t>
            </w:r>
          </w:p>
        </w:tc>
      </w:tr>
      <w:tr w:rsidR="00587D5D" w:rsidRPr="005E3632" w14:paraId="56916B0F" w14:textId="77777777" w:rsidTr="00587D5D">
        <w:tc>
          <w:tcPr>
            <w:tcW w:w="278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308ACBD" w14:textId="77777777" w:rsidR="00587D5D" w:rsidRPr="005E3632" w:rsidRDefault="00587D5D" w:rsidP="00587D5D">
            <w:pPr>
              <w:autoSpaceDE w:val="0"/>
              <w:autoSpaceDN w:val="0"/>
              <w:adjustRightInd w:val="0"/>
              <w:spacing w:after="0" w:line="240" w:lineRule="auto"/>
              <w:rPr>
                <w:rFonts w:ascii="Cambria" w:hAnsi="Cambria"/>
              </w:rPr>
            </w:pPr>
            <w:proofErr w:type="spellStart"/>
            <w:r w:rsidRPr="005E3632">
              <w:rPr>
                <w:rFonts w:ascii="Cambria" w:hAnsi="Cambria"/>
              </w:rPr>
              <w:t>Mjesto</w:t>
            </w:r>
            <w:proofErr w:type="spellEnd"/>
            <w:r w:rsidRPr="005E3632">
              <w:rPr>
                <w:rFonts w:ascii="Cambria" w:hAnsi="Cambria"/>
              </w:rPr>
              <w:t xml:space="preserve"> </w:t>
            </w:r>
            <w:proofErr w:type="spellStart"/>
            <w:r w:rsidRPr="005E3632">
              <w:rPr>
                <w:rFonts w:ascii="Cambria" w:hAnsi="Cambria"/>
              </w:rPr>
              <w:t>izvođenja</w:t>
            </w:r>
            <w:proofErr w:type="spellEnd"/>
          </w:p>
        </w:tc>
        <w:tc>
          <w:tcPr>
            <w:tcW w:w="264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ED77219" w14:textId="77777777" w:rsidR="00587D5D" w:rsidRPr="005E3632" w:rsidRDefault="00587D5D" w:rsidP="00587D5D">
            <w:pPr>
              <w:autoSpaceDE w:val="0"/>
              <w:autoSpaceDN w:val="0"/>
              <w:adjustRightInd w:val="0"/>
              <w:spacing w:after="0" w:line="240" w:lineRule="auto"/>
              <w:rPr>
                <w:rFonts w:ascii="Cambria" w:hAnsi="Cambria"/>
              </w:rPr>
            </w:pPr>
            <w:proofErr w:type="spellStart"/>
            <w:r w:rsidRPr="005E3632">
              <w:rPr>
                <w:rFonts w:ascii="Cambria" w:hAnsi="Cambria"/>
              </w:rPr>
              <w:t>učionica</w:t>
            </w:r>
            <w:proofErr w:type="spellEnd"/>
            <w:r w:rsidRPr="005E3632">
              <w:rPr>
                <w:rFonts w:ascii="Cambria" w:hAnsi="Cambria"/>
              </w:rPr>
              <w:t xml:space="preserve"> </w:t>
            </w:r>
          </w:p>
        </w:tc>
        <w:tc>
          <w:tcPr>
            <w:tcW w:w="1928" w:type="dxa"/>
            <w:gridSpan w:val="4"/>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2A412611" w14:textId="77777777" w:rsidR="00587D5D" w:rsidRPr="005E3632" w:rsidRDefault="00587D5D" w:rsidP="00587D5D">
            <w:pPr>
              <w:autoSpaceDE w:val="0"/>
              <w:autoSpaceDN w:val="0"/>
              <w:adjustRightInd w:val="0"/>
              <w:spacing w:after="0" w:line="240" w:lineRule="auto"/>
              <w:rPr>
                <w:rFonts w:ascii="Cambria" w:hAnsi="Cambria"/>
              </w:rPr>
            </w:pPr>
            <w:r w:rsidRPr="005E3632">
              <w:rPr>
                <w:rFonts w:ascii="Cambria" w:hAnsi="Cambria"/>
              </w:rPr>
              <w:t xml:space="preserve">Jezik </w:t>
            </w:r>
            <w:proofErr w:type="spellStart"/>
            <w:r w:rsidRPr="005E3632">
              <w:rPr>
                <w:rFonts w:ascii="Cambria" w:hAnsi="Cambria"/>
              </w:rPr>
              <w:t>izvođenja</w:t>
            </w:r>
            <w:proofErr w:type="spellEnd"/>
            <w:r w:rsidRPr="005E3632">
              <w:rPr>
                <w:rFonts w:ascii="Cambria" w:hAnsi="Cambria"/>
              </w:rPr>
              <w:t xml:space="preserve"> </w:t>
            </w:r>
          </w:p>
        </w:tc>
        <w:tc>
          <w:tcPr>
            <w:tcW w:w="2422"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05E23D5" w14:textId="77777777" w:rsidR="00587D5D" w:rsidRPr="005E3632" w:rsidRDefault="00587D5D" w:rsidP="00587D5D">
            <w:pPr>
              <w:autoSpaceDE w:val="0"/>
              <w:autoSpaceDN w:val="0"/>
              <w:adjustRightInd w:val="0"/>
              <w:spacing w:after="0" w:line="240" w:lineRule="auto"/>
              <w:rPr>
                <w:rFonts w:ascii="Cambria" w:hAnsi="Cambria"/>
              </w:rPr>
            </w:pPr>
            <w:proofErr w:type="spellStart"/>
            <w:r w:rsidRPr="005E3632">
              <w:rPr>
                <w:rFonts w:ascii="Cambria" w:hAnsi="Cambria"/>
              </w:rPr>
              <w:t>hrvatski</w:t>
            </w:r>
            <w:proofErr w:type="spellEnd"/>
          </w:p>
        </w:tc>
      </w:tr>
      <w:tr w:rsidR="00587D5D" w:rsidRPr="005E3632" w14:paraId="3BDB3B46" w14:textId="77777777" w:rsidTr="00587D5D">
        <w:tc>
          <w:tcPr>
            <w:tcW w:w="278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3C4FFA2" w14:textId="77777777" w:rsidR="00587D5D" w:rsidRPr="005E3632" w:rsidRDefault="00587D5D" w:rsidP="00587D5D">
            <w:pPr>
              <w:autoSpaceDE w:val="0"/>
              <w:autoSpaceDN w:val="0"/>
              <w:adjustRightInd w:val="0"/>
              <w:spacing w:after="0" w:line="240" w:lineRule="auto"/>
              <w:rPr>
                <w:rFonts w:ascii="Cambria" w:hAnsi="Cambria"/>
              </w:rPr>
            </w:pPr>
            <w:proofErr w:type="spellStart"/>
            <w:r w:rsidRPr="005E3632">
              <w:rPr>
                <w:rFonts w:ascii="Cambria" w:hAnsi="Cambria"/>
              </w:rPr>
              <w:t>Broj</w:t>
            </w:r>
            <w:proofErr w:type="spellEnd"/>
            <w:r w:rsidRPr="005E3632">
              <w:rPr>
                <w:rFonts w:ascii="Cambria" w:hAnsi="Cambria"/>
              </w:rPr>
              <w:t xml:space="preserve"> ECTS </w:t>
            </w:r>
            <w:proofErr w:type="spellStart"/>
            <w:r w:rsidRPr="005E3632">
              <w:rPr>
                <w:rFonts w:ascii="Cambria" w:hAnsi="Cambria"/>
              </w:rPr>
              <w:t>bodova</w:t>
            </w:r>
            <w:proofErr w:type="spellEnd"/>
          </w:p>
        </w:tc>
        <w:tc>
          <w:tcPr>
            <w:tcW w:w="264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78FB3E1" w14:textId="0F5D14CA" w:rsidR="00587D5D" w:rsidRPr="005E3632" w:rsidRDefault="00587D5D" w:rsidP="00587D5D">
            <w:pPr>
              <w:autoSpaceDE w:val="0"/>
              <w:autoSpaceDN w:val="0"/>
              <w:adjustRightInd w:val="0"/>
              <w:spacing w:after="0" w:line="240" w:lineRule="auto"/>
              <w:rPr>
                <w:rFonts w:ascii="Cambria" w:hAnsi="Cambria"/>
              </w:rPr>
            </w:pPr>
            <w:r>
              <w:rPr>
                <w:rFonts w:ascii="Cambria" w:hAnsi="Cambria"/>
              </w:rPr>
              <w:t>3</w:t>
            </w:r>
          </w:p>
        </w:tc>
        <w:tc>
          <w:tcPr>
            <w:tcW w:w="1928" w:type="dxa"/>
            <w:gridSpan w:val="4"/>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3EF4AA43" w14:textId="77777777" w:rsidR="00587D5D" w:rsidRPr="005E3632" w:rsidRDefault="00587D5D" w:rsidP="00587D5D">
            <w:pPr>
              <w:autoSpaceDE w:val="0"/>
              <w:autoSpaceDN w:val="0"/>
              <w:adjustRightInd w:val="0"/>
              <w:spacing w:after="0" w:line="240" w:lineRule="auto"/>
              <w:rPr>
                <w:rFonts w:ascii="Cambria" w:hAnsi="Cambria"/>
              </w:rPr>
            </w:pPr>
            <w:proofErr w:type="spellStart"/>
            <w:r w:rsidRPr="005E3632">
              <w:rPr>
                <w:rFonts w:ascii="Cambria" w:hAnsi="Cambria"/>
              </w:rPr>
              <w:t>Broj</w:t>
            </w:r>
            <w:proofErr w:type="spellEnd"/>
            <w:r w:rsidRPr="005E3632">
              <w:rPr>
                <w:rFonts w:ascii="Cambria" w:hAnsi="Cambria"/>
              </w:rPr>
              <w:t xml:space="preserve"> sati u </w:t>
            </w:r>
            <w:proofErr w:type="spellStart"/>
            <w:r w:rsidRPr="005E3632">
              <w:rPr>
                <w:rFonts w:ascii="Cambria" w:hAnsi="Cambria"/>
              </w:rPr>
              <w:t>semestru</w:t>
            </w:r>
            <w:proofErr w:type="spellEnd"/>
          </w:p>
        </w:tc>
        <w:tc>
          <w:tcPr>
            <w:tcW w:w="2422"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B3498EB" w14:textId="0D06C6EA" w:rsidR="00587D5D" w:rsidRPr="005E3632" w:rsidRDefault="00587D5D" w:rsidP="00587D5D">
            <w:pPr>
              <w:autoSpaceDE w:val="0"/>
              <w:autoSpaceDN w:val="0"/>
              <w:adjustRightInd w:val="0"/>
              <w:spacing w:after="0" w:line="240" w:lineRule="auto"/>
              <w:rPr>
                <w:rFonts w:ascii="Cambria" w:hAnsi="Cambria"/>
              </w:rPr>
            </w:pPr>
            <w:r>
              <w:rPr>
                <w:rFonts w:ascii="Cambria" w:hAnsi="Cambria"/>
              </w:rPr>
              <w:t>15</w:t>
            </w:r>
            <w:r w:rsidRPr="005E3632">
              <w:rPr>
                <w:rFonts w:ascii="Cambria" w:hAnsi="Cambria"/>
              </w:rPr>
              <w:t xml:space="preserve">P – </w:t>
            </w:r>
            <w:r>
              <w:rPr>
                <w:rFonts w:ascii="Cambria" w:hAnsi="Cambria"/>
              </w:rPr>
              <w:t>0</w:t>
            </w:r>
            <w:r w:rsidRPr="005E3632">
              <w:rPr>
                <w:rFonts w:ascii="Cambria" w:hAnsi="Cambria"/>
              </w:rPr>
              <w:t>S</w:t>
            </w:r>
            <w:r>
              <w:rPr>
                <w:rFonts w:ascii="Cambria" w:hAnsi="Cambria"/>
              </w:rPr>
              <w:t xml:space="preserve"> – 15</w:t>
            </w:r>
            <w:r w:rsidRPr="005E3632">
              <w:rPr>
                <w:rFonts w:ascii="Cambria" w:hAnsi="Cambria"/>
              </w:rPr>
              <w:t xml:space="preserve">V  </w:t>
            </w:r>
          </w:p>
        </w:tc>
      </w:tr>
      <w:tr w:rsidR="00587D5D" w:rsidRPr="005E3632" w14:paraId="4CB793F1" w14:textId="77777777" w:rsidTr="00587D5D">
        <w:tc>
          <w:tcPr>
            <w:tcW w:w="278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47DC657" w14:textId="77777777" w:rsidR="00587D5D" w:rsidRPr="00587D5D" w:rsidRDefault="00587D5D" w:rsidP="00587D5D">
            <w:pPr>
              <w:autoSpaceDE w:val="0"/>
              <w:autoSpaceDN w:val="0"/>
              <w:adjustRightInd w:val="0"/>
              <w:spacing w:after="0" w:line="240" w:lineRule="auto"/>
              <w:rPr>
                <w:rFonts w:ascii="Cambria" w:hAnsi="Cambria"/>
                <w:lang w:val="it-IT"/>
              </w:rPr>
            </w:pPr>
            <w:proofErr w:type="spellStart"/>
            <w:r w:rsidRPr="00587D5D">
              <w:rPr>
                <w:rFonts w:ascii="Cambria" w:hAnsi="Cambria"/>
                <w:lang w:val="it-IT"/>
              </w:rPr>
              <w:t>Preduvjeti</w:t>
            </w:r>
            <w:proofErr w:type="spellEnd"/>
            <w:r w:rsidRPr="00587D5D">
              <w:rPr>
                <w:rFonts w:ascii="Cambria" w:hAnsi="Cambria"/>
                <w:lang w:val="it-IT"/>
              </w:rPr>
              <w:t xml:space="preserve"> za </w:t>
            </w:r>
            <w:proofErr w:type="spellStart"/>
            <w:r w:rsidRPr="00587D5D">
              <w:rPr>
                <w:rFonts w:ascii="Cambria" w:hAnsi="Cambria"/>
                <w:lang w:val="it-IT"/>
              </w:rPr>
              <w:t>upis</w:t>
            </w:r>
            <w:proofErr w:type="spellEnd"/>
            <w:r w:rsidRPr="00587D5D">
              <w:rPr>
                <w:rFonts w:ascii="Cambria" w:hAnsi="Cambria"/>
                <w:lang w:val="it-IT"/>
              </w:rPr>
              <w:t xml:space="preserve"> i za </w:t>
            </w:r>
            <w:proofErr w:type="spellStart"/>
            <w:r w:rsidRPr="00587D5D">
              <w:rPr>
                <w:rFonts w:ascii="Cambria" w:hAnsi="Cambria"/>
                <w:lang w:val="it-IT"/>
              </w:rPr>
              <w:t>svladavanje</w:t>
            </w:r>
            <w:proofErr w:type="spellEnd"/>
          </w:p>
        </w:tc>
        <w:tc>
          <w:tcPr>
            <w:tcW w:w="699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82EF69C" w14:textId="77777777" w:rsidR="00587D5D" w:rsidRPr="005E3632" w:rsidRDefault="00587D5D" w:rsidP="00587D5D">
            <w:pPr>
              <w:autoSpaceDE w:val="0"/>
              <w:autoSpaceDN w:val="0"/>
              <w:adjustRightInd w:val="0"/>
              <w:spacing w:after="0" w:line="240" w:lineRule="auto"/>
              <w:rPr>
                <w:rFonts w:ascii="Cambria" w:hAnsi="Cambria"/>
              </w:rPr>
            </w:pPr>
            <w:r w:rsidRPr="005E3632">
              <w:rPr>
                <w:rFonts w:ascii="Cambria" w:hAnsi="Cambria"/>
              </w:rPr>
              <w:t xml:space="preserve">Nema </w:t>
            </w:r>
            <w:proofErr w:type="spellStart"/>
            <w:r w:rsidRPr="005E3632">
              <w:rPr>
                <w:rFonts w:ascii="Cambria" w:hAnsi="Cambria"/>
              </w:rPr>
              <w:t>preduvjeta</w:t>
            </w:r>
            <w:proofErr w:type="spellEnd"/>
            <w:r w:rsidRPr="005E3632">
              <w:rPr>
                <w:rFonts w:ascii="Cambria" w:hAnsi="Cambria"/>
              </w:rPr>
              <w:t xml:space="preserve"> za </w:t>
            </w:r>
            <w:proofErr w:type="spellStart"/>
            <w:r w:rsidRPr="005E3632">
              <w:rPr>
                <w:rFonts w:ascii="Cambria" w:hAnsi="Cambria"/>
              </w:rPr>
              <w:t>upis</w:t>
            </w:r>
            <w:proofErr w:type="spellEnd"/>
            <w:r w:rsidRPr="005E3632">
              <w:rPr>
                <w:rFonts w:ascii="Cambria" w:hAnsi="Cambria"/>
              </w:rPr>
              <w:t xml:space="preserve">.  </w:t>
            </w:r>
          </w:p>
        </w:tc>
      </w:tr>
      <w:tr w:rsidR="00587D5D" w:rsidRPr="005E3632" w14:paraId="53B371CA" w14:textId="77777777" w:rsidTr="00587D5D">
        <w:tc>
          <w:tcPr>
            <w:tcW w:w="278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9B35327" w14:textId="77777777" w:rsidR="00587D5D" w:rsidRPr="005E3632" w:rsidRDefault="00587D5D" w:rsidP="00587D5D">
            <w:pPr>
              <w:autoSpaceDE w:val="0"/>
              <w:autoSpaceDN w:val="0"/>
              <w:adjustRightInd w:val="0"/>
              <w:spacing w:after="0" w:line="240" w:lineRule="auto"/>
              <w:rPr>
                <w:rFonts w:ascii="Cambria" w:hAnsi="Cambria"/>
              </w:rPr>
            </w:pPr>
            <w:proofErr w:type="spellStart"/>
            <w:r w:rsidRPr="005E3632">
              <w:rPr>
                <w:rFonts w:ascii="Cambria" w:hAnsi="Cambria"/>
              </w:rPr>
              <w:t>Korelativnost</w:t>
            </w:r>
            <w:proofErr w:type="spellEnd"/>
          </w:p>
        </w:tc>
        <w:tc>
          <w:tcPr>
            <w:tcW w:w="699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F89C766" w14:textId="77777777" w:rsidR="00587D5D" w:rsidRPr="005E3632" w:rsidRDefault="00587D5D" w:rsidP="00587D5D">
            <w:pPr>
              <w:autoSpaceDE w:val="0"/>
              <w:autoSpaceDN w:val="0"/>
              <w:adjustRightInd w:val="0"/>
              <w:spacing w:after="0" w:line="240" w:lineRule="auto"/>
              <w:rPr>
                <w:rFonts w:ascii="Cambria" w:hAnsi="Cambria"/>
              </w:rPr>
            </w:pPr>
            <w:proofErr w:type="spellStart"/>
            <w:r w:rsidRPr="005E3632">
              <w:rPr>
                <w:rFonts w:ascii="Cambria" w:hAnsi="Cambria"/>
              </w:rPr>
              <w:t>Akademska</w:t>
            </w:r>
            <w:proofErr w:type="spellEnd"/>
            <w:r w:rsidRPr="005E3632">
              <w:rPr>
                <w:rFonts w:ascii="Cambria" w:hAnsi="Cambria"/>
              </w:rPr>
              <w:t xml:space="preserve"> </w:t>
            </w:r>
            <w:proofErr w:type="spellStart"/>
            <w:r w:rsidRPr="005E3632">
              <w:rPr>
                <w:rFonts w:ascii="Cambria" w:hAnsi="Cambria"/>
              </w:rPr>
              <w:t>komunikacija</w:t>
            </w:r>
            <w:proofErr w:type="spellEnd"/>
            <w:r w:rsidRPr="005E3632">
              <w:rPr>
                <w:rFonts w:ascii="Cambria" w:hAnsi="Cambria"/>
              </w:rPr>
              <w:t xml:space="preserve"> </w:t>
            </w:r>
            <w:proofErr w:type="spellStart"/>
            <w:r w:rsidRPr="005E3632">
              <w:rPr>
                <w:rFonts w:ascii="Cambria" w:hAnsi="Cambria"/>
              </w:rPr>
              <w:t>na</w:t>
            </w:r>
            <w:proofErr w:type="spellEnd"/>
            <w:r w:rsidRPr="005E3632">
              <w:rPr>
                <w:rFonts w:ascii="Cambria" w:hAnsi="Cambria"/>
              </w:rPr>
              <w:t xml:space="preserve"> </w:t>
            </w:r>
            <w:proofErr w:type="spellStart"/>
            <w:r w:rsidRPr="005E3632">
              <w:rPr>
                <w:rFonts w:ascii="Cambria" w:hAnsi="Cambria"/>
              </w:rPr>
              <w:t>stranome</w:t>
            </w:r>
            <w:proofErr w:type="spellEnd"/>
            <w:r w:rsidRPr="005E3632">
              <w:rPr>
                <w:rFonts w:ascii="Cambria" w:hAnsi="Cambria"/>
              </w:rPr>
              <w:t xml:space="preserve"> </w:t>
            </w:r>
            <w:proofErr w:type="spellStart"/>
            <w:r w:rsidRPr="005E3632">
              <w:rPr>
                <w:rFonts w:ascii="Cambria" w:hAnsi="Cambria"/>
              </w:rPr>
              <w:t>jeziku</w:t>
            </w:r>
            <w:proofErr w:type="spellEnd"/>
          </w:p>
        </w:tc>
      </w:tr>
      <w:tr w:rsidR="00587D5D" w:rsidRPr="005E3632" w14:paraId="21C8939E" w14:textId="77777777" w:rsidTr="00587D5D">
        <w:tc>
          <w:tcPr>
            <w:tcW w:w="278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6213524" w14:textId="77777777" w:rsidR="00587D5D" w:rsidRPr="005E3632" w:rsidRDefault="00587D5D" w:rsidP="00587D5D">
            <w:pPr>
              <w:autoSpaceDE w:val="0"/>
              <w:autoSpaceDN w:val="0"/>
              <w:adjustRightInd w:val="0"/>
              <w:spacing w:after="0" w:line="240" w:lineRule="auto"/>
              <w:rPr>
                <w:rFonts w:ascii="Cambria" w:hAnsi="Cambria"/>
              </w:rPr>
            </w:pPr>
            <w:proofErr w:type="spellStart"/>
            <w:r w:rsidRPr="005E3632">
              <w:rPr>
                <w:rFonts w:ascii="Cambria" w:hAnsi="Cambria"/>
              </w:rPr>
              <w:t>Cilj</w:t>
            </w:r>
            <w:proofErr w:type="spellEnd"/>
            <w:r w:rsidRPr="005E3632">
              <w:rPr>
                <w:rFonts w:ascii="Cambria" w:hAnsi="Cambria"/>
              </w:rPr>
              <w:t xml:space="preserve"> </w:t>
            </w:r>
            <w:proofErr w:type="spellStart"/>
            <w:r w:rsidRPr="005E3632">
              <w:rPr>
                <w:rFonts w:ascii="Cambria" w:hAnsi="Cambria"/>
              </w:rPr>
              <w:t>kolegija</w:t>
            </w:r>
            <w:proofErr w:type="spellEnd"/>
            <w:r w:rsidRPr="005E3632">
              <w:rPr>
                <w:rFonts w:ascii="Cambria" w:hAnsi="Cambria"/>
              </w:rPr>
              <w:t xml:space="preserve"> </w:t>
            </w:r>
          </w:p>
        </w:tc>
        <w:tc>
          <w:tcPr>
            <w:tcW w:w="699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30068FD" w14:textId="5E02BCE6" w:rsidR="00587D5D" w:rsidRPr="005E3632" w:rsidRDefault="00587D5D" w:rsidP="00587D5D">
            <w:pPr>
              <w:autoSpaceDE w:val="0"/>
              <w:autoSpaceDN w:val="0"/>
              <w:adjustRightInd w:val="0"/>
              <w:spacing w:after="0" w:line="240" w:lineRule="auto"/>
              <w:rPr>
                <w:rFonts w:ascii="Cambria" w:hAnsi="Cambria"/>
              </w:rPr>
            </w:pPr>
            <w:proofErr w:type="spellStart"/>
            <w:r w:rsidRPr="005E3632">
              <w:rPr>
                <w:rFonts w:ascii="Cambria" w:hAnsi="Cambria"/>
              </w:rPr>
              <w:t>razviti</w:t>
            </w:r>
            <w:proofErr w:type="spellEnd"/>
            <w:r w:rsidRPr="005E3632">
              <w:rPr>
                <w:rFonts w:ascii="Cambria" w:hAnsi="Cambria"/>
              </w:rPr>
              <w:t xml:space="preserve"> </w:t>
            </w:r>
            <w:proofErr w:type="spellStart"/>
            <w:r w:rsidRPr="005E3632">
              <w:rPr>
                <w:rFonts w:ascii="Cambria" w:hAnsi="Cambria"/>
              </w:rPr>
              <w:t>kompetencije</w:t>
            </w:r>
            <w:proofErr w:type="spellEnd"/>
            <w:r w:rsidRPr="005E3632">
              <w:rPr>
                <w:rFonts w:ascii="Cambria" w:hAnsi="Cambria"/>
              </w:rPr>
              <w:t xml:space="preserve"> u </w:t>
            </w:r>
            <w:proofErr w:type="spellStart"/>
            <w:r w:rsidRPr="005E3632">
              <w:rPr>
                <w:rFonts w:ascii="Cambria" w:hAnsi="Cambria"/>
              </w:rPr>
              <w:t>primjeni</w:t>
            </w:r>
            <w:proofErr w:type="spellEnd"/>
            <w:r w:rsidRPr="005E3632">
              <w:rPr>
                <w:rFonts w:ascii="Cambria" w:hAnsi="Cambria"/>
              </w:rPr>
              <w:t xml:space="preserve"> </w:t>
            </w:r>
            <w:proofErr w:type="spellStart"/>
            <w:r w:rsidRPr="005E3632">
              <w:rPr>
                <w:rFonts w:ascii="Cambria" w:hAnsi="Cambria"/>
              </w:rPr>
              <w:t>akademskog</w:t>
            </w:r>
            <w:proofErr w:type="spellEnd"/>
            <w:r w:rsidRPr="005E3632">
              <w:rPr>
                <w:rFonts w:ascii="Cambria" w:hAnsi="Cambria"/>
              </w:rPr>
              <w:t xml:space="preserve"> </w:t>
            </w:r>
            <w:proofErr w:type="spellStart"/>
            <w:r w:rsidRPr="005E3632">
              <w:rPr>
                <w:rFonts w:ascii="Cambria" w:hAnsi="Cambria"/>
              </w:rPr>
              <w:t>stila</w:t>
            </w:r>
            <w:proofErr w:type="spellEnd"/>
            <w:r w:rsidRPr="005E3632">
              <w:rPr>
                <w:rFonts w:ascii="Cambria" w:hAnsi="Cambria"/>
              </w:rPr>
              <w:t xml:space="preserve"> </w:t>
            </w:r>
            <w:proofErr w:type="spellStart"/>
            <w:r w:rsidRPr="005E3632">
              <w:rPr>
                <w:rFonts w:ascii="Cambria" w:hAnsi="Cambria"/>
              </w:rPr>
              <w:t>pisanja</w:t>
            </w:r>
            <w:proofErr w:type="spellEnd"/>
          </w:p>
        </w:tc>
      </w:tr>
      <w:tr w:rsidR="00587D5D" w:rsidRPr="00D0399C" w14:paraId="00377E4B" w14:textId="77777777" w:rsidTr="00587D5D">
        <w:tc>
          <w:tcPr>
            <w:tcW w:w="278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6D3E8D8" w14:textId="77777777" w:rsidR="00587D5D" w:rsidRPr="005E3632" w:rsidRDefault="00587D5D" w:rsidP="00587D5D">
            <w:pPr>
              <w:autoSpaceDE w:val="0"/>
              <w:autoSpaceDN w:val="0"/>
              <w:adjustRightInd w:val="0"/>
              <w:spacing w:after="0" w:line="240" w:lineRule="auto"/>
              <w:rPr>
                <w:rFonts w:ascii="Cambria" w:hAnsi="Cambria"/>
              </w:rPr>
            </w:pPr>
            <w:proofErr w:type="spellStart"/>
            <w:r w:rsidRPr="005E3632">
              <w:rPr>
                <w:rFonts w:ascii="Cambria" w:hAnsi="Cambria"/>
              </w:rPr>
              <w:t>Ishodi</w:t>
            </w:r>
            <w:proofErr w:type="spellEnd"/>
            <w:r w:rsidRPr="005E3632">
              <w:rPr>
                <w:rFonts w:ascii="Cambria" w:hAnsi="Cambria"/>
              </w:rPr>
              <w:t xml:space="preserve"> </w:t>
            </w:r>
            <w:proofErr w:type="spellStart"/>
            <w:r w:rsidRPr="005E3632">
              <w:rPr>
                <w:rFonts w:ascii="Cambria" w:hAnsi="Cambria"/>
              </w:rPr>
              <w:t>učenja</w:t>
            </w:r>
            <w:proofErr w:type="spellEnd"/>
          </w:p>
        </w:tc>
        <w:tc>
          <w:tcPr>
            <w:tcW w:w="699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A987525" w14:textId="77777777" w:rsidR="00587D5D" w:rsidRPr="00587D5D" w:rsidRDefault="00587D5D" w:rsidP="00587D5D">
            <w:pPr>
              <w:autoSpaceDE w:val="0"/>
              <w:autoSpaceDN w:val="0"/>
              <w:adjustRightInd w:val="0"/>
              <w:spacing w:after="0" w:line="240" w:lineRule="auto"/>
              <w:rPr>
                <w:rFonts w:ascii="Cambria" w:hAnsi="Cambria"/>
                <w:lang w:val="it-IT"/>
              </w:rPr>
            </w:pPr>
            <w:r w:rsidRPr="00587D5D">
              <w:rPr>
                <w:rFonts w:ascii="Cambria" w:hAnsi="Cambria"/>
                <w:lang w:val="it-IT"/>
              </w:rPr>
              <w:t xml:space="preserve">1. </w:t>
            </w:r>
            <w:proofErr w:type="spellStart"/>
            <w:r w:rsidRPr="00587D5D">
              <w:rPr>
                <w:rFonts w:ascii="Cambria" w:hAnsi="Cambria"/>
                <w:lang w:val="it-IT"/>
              </w:rPr>
              <w:t>pravilno</w:t>
            </w:r>
            <w:proofErr w:type="spellEnd"/>
            <w:r w:rsidRPr="00587D5D">
              <w:rPr>
                <w:rFonts w:ascii="Cambria" w:hAnsi="Cambria"/>
                <w:lang w:val="it-IT"/>
              </w:rPr>
              <w:t xml:space="preserve"> </w:t>
            </w:r>
            <w:proofErr w:type="spellStart"/>
            <w:r w:rsidRPr="00587D5D">
              <w:rPr>
                <w:rFonts w:ascii="Cambria" w:hAnsi="Cambria"/>
                <w:lang w:val="it-IT"/>
              </w:rPr>
              <w:t>definirati</w:t>
            </w:r>
            <w:proofErr w:type="spellEnd"/>
            <w:r w:rsidRPr="00587D5D">
              <w:rPr>
                <w:rFonts w:ascii="Cambria" w:hAnsi="Cambria"/>
                <w:lang w:val="it-IT"/>
              </w:rPr>
              <w:t xml:space="preserve"> </w:t>
            </w:r>
            <w:proofErr w:type="spellStart"/>
            <w:r w:rsidRPr="00587D5D">
              <w:rPr>
                <w:rFonts w:ascii="Cambria" w:hAnsi="Cambria"/>
                <w:lang w:val="it-IT"/>
              </w:rPr>
              <w:t>znanstveni</w:t>
            </w:r>
            <w:proofErr w:type="spellEnd"/>
            <w:r w:rsidRPr="00587D5D">
              <w:rPr>
                <w:rFonts w:ascii="Cambria" w:hAnsi="Cambria"/>
                <w:lang w:val="it-IT"/>
              </w:rPr>
              <w:t xml:space="preserve"> </w:t>
            </w:r>
            <w:proofErr w:type="spellStart"/>
            <w:r w:rsidRPr="00587D5D">
              <w:rPr>
                <w:rFonts w:ascii="Cambria" w:hAnsi="Cambria"/>
                <w:lang w:val="it-IT"/>
              </w:rPr>
              <w:t>funkcionalni</w:t>
            </w:r>
            <w:proofErr w:type="spellEnd"/>
            <w:r w:rsidRPr="00587D5D">
              <w:rPr>
                <w:rFonts w:ascii="Cambria" w:hAnsi="Cambria"/>
                <w:lang w:val="it-IT"/>
              </w:rPr>
              <w:t xml:space="preserve"> stil/</w:t>
            </w:r>
            <w:proofErr w:type="spellStart"/>
            <w:r w:rsidRPr="00587D5D">
              <w:rPr>
                <w:rFonts w:ascii="Cambria" w:hAnsi="Cambria"/>
                <w:lang w:val="it-IT"/>
              </w:rPr>
              <w:t>akademski</w:t>
            </w:r>
            <w:proofErr w:type="spellEnd"/>
            <w:r w:rsidRPr="00587D5D">
              <w:rPr>
                <w:rFonts w:ascii="Cambria" w:hAnsi="Cambria"/>
                <w:lang w:val="it-IT"/>
              </w:rPr>
              <w:t xml:space="preserve"> </w:t>
            </w:r>
            <w:proofErr w:type="spellStart"/>
            <w:r w:rsidRPr="00587D5D">
              <w:rPr>
                <w:rFonts w:ascii="Cambria" w:hAnsi="Cambria"/>
                <w:lang w:val="it-IT"/>
              </w:rPr>
              <w:t>diskurs</w:t>
            </w:r>
            <w:proofErr w:type="spellEnd"/>
            <w:r w:rsidRPr="00587D5D">
              <w:rPr>
                <w:rFonts w:ascii="Cambria" w:hAnsi="Cambria"/>
                <w:lang w:val="it-IT"/>
              </w:rPr>
              <w:t xml:space="preserve"> </w:t>
            </w:r>
          </w:p>
          <w:p w14:paraId="35D2DBA4" w14:textId="77777777" w:rsidR="00587D5D" w:rsidRPr="00587D5D" w:rsidRDefault="00587D5D" w:rsidP="00587D5D">
            <w:pPr>
              <w:autoSpaceDE w:val="0"/>
              <w:autoSpaceDN w:val="0"/>
              <w:adjustRightInd w:val="0"/>
              <w:spacing w:after="0" w:line="240" w:lineRule="auto"/>
              <w:rPr>
                <w:rFonts w:ascii="Cambria" w:hAnsi="Cambria"/>
                <w:lang w:val="it-IT"/>
              </w:rPr>
            </w:pPr>
            <w:r w:rsidRPr="00587D5D">
              <w:rPr>
                <w:rFonts w:ascii="Cambria" w:hAnsi="Cambria"/>
                <w:lang w:val="it-IT"/>
              </w:rPr>
              <w:t xml:space="preserve">2. </w:t>
            </w:r>
            <w:proofErr w:type="spellStart"/>
            <w:r w:rsidRPr="00587D5D">
              <w:rPr>
                <w:rFonts w:ascii="Cambria" w:hAnsi="Cambria"/>
                <w:lang w:val="it-IT"/>
              </w:rPr>
              <w:t>analizirati</w:t>
            </w:r>
            <w:proofErr w:type="spellEnd"/>
            <w:r w:rsidRPr="00587D5D">
              <w:rPr>
                <w:rFonts w:ascii="Cambria" w:hAnsi="Cambria"/>
                <w:lang w:val="it-IT"/>
              </w:rPr>
              <w:t xml:space="preserve"> </w:t>
            </w:r>
            <w:proofErr w:type="spellStart"/>
            <w:r w:rsidRPr="00587D5D">
              <w:rPr>
                <w:rFonts w:ascii="Cambria" w:hAnsi="Cambria"/>
                <w:lang w:val="it-IT"/>
              </w:rPr>
              <w:t>značajke</w:t>
            </w:r>
            <w:proofErr w:type="spellEnd"/>
            <w:r w:rsidRPr="00587D5D">
              <w:rPr>
                <w:rFonts w:ascii="Cambria" w:hAnsi="Cambria"/>
                <w:lang w:val="it-IT"/>
              </w:rPr>
              <w:t xml:space="preserve"> </w:t>
            </w:r>
            <w:proofErr w:type="spellStart"/>
            <w:r w:rsidRPr="00587D5D">
              <w:rPr>
                <w:rFonts w:ascii="Cambria" w:hAnsi="Cambria"/>
                <w:lang w:val="it-IT"/>
              </w:rPr>
              <w:t>akademskog</w:t>
            </w:r>
            <w:proofErr w:type="spellEnd"/>
            <w:r w:rsidRPr="00587D5D">
              <w:rPr>
                <w:rFonts w:ascii="Cambria" w:hAnsi="Cambria"/>
                <w:lang w:val="it-IT"/>
              </w:rPr>
              <w:t xml:space="preserve"> </w:t>
            </w:r>
            <w:proofErr w:type="spellStart"/>
            <w:r w:rsidRPr="00587D5D">
              <w:rPr>
                <w:rFonts w:ascii="Cambria" w:hAnsi="Cambria"/>
                <w:lang w:val="it-IT"/>
              </w:rPr>
              <w:t>teksta</w:t>
            </w:r>
            <w:proofErr w:type="spellEnd"/>
            <w:r w:rsidRPr="00587D5D">
              <w:rPr>
                <w:rFonts w:ascii="Cambria" w:hAnsi="Cambria"/>
                <w:lang w:val="it-IT"/>
              </w:rPr>
              <w:t xml:space="preserve"> </w:t>
            </w:r>
          </w:p>
          <w:p w14:paraId="7540FC30" w14:textId="77777777" w:rsidR="00587D5D" w:rsidRPr="00587D5D" w:rsidRDefault="00587D5D" w:rsidP="00587D5D">
            <w:pPr>
              <w:autoSpaceDE w:val="0"/>
              <w:autoSpaceDN w:val="0"/>
              <w:adjustRightInd w:val="0"/>
              <w:spacing w:after="0" w:line="240" w:lineRule="auto"/>
              <w:rPr>
                <w:rFonts w:ascii="Cambria" w:hAnsi="Cambria"/>
                <w:lang w:val="it-IT"/>
              </w:rPr>
            </w:pPr>
            <w:r w:rsidRPr="00587D5D">
              <w:rPr>
                <w:rFonts w:ascii="Cambria" w:hAnsi="Cambria"/>
                <w:lang w:val="it-IT"/>
              </w:rPr>
              <w:t xml:space="preserve">3. </w:t>
            </w:r>
            <w:proofErr w:type="spellStart"/>
            <w:r w:rsidRPr="00587D5D">
              <w:rPr>
                <w:rFonts w:ascii="Cambria" w:hAnsi="Cambria"/>
                <w:lang w:val="it-IT"/>
              </w:rPr>
              <w:t>analizirati</w:t>
            </w:r>
            <w:proofErr w:type="spellEnd"/>
            <w:r w:rsidRPr="00587D5D">
              <w:rPr>
                <w:rFonts w:ascii="Cambria" w:hAnsi="Cambria"/>
                <w:lang w:val="it-IT"/>
              </w:rPr>
              <w:t xml:space="preserve"> </w:t>
            </w:r>
            <w:proofErr w:type="spellStart"/>
            <w:r w:rsidRPr="00587D5D">
              <w:rPr>
                <w:rFonts w:ascii="Cambria" w:hAnsi="Cambria"/>
                <w:lang w:val="it-IT"/>
              </w:rPr>
              <w:t>različite</w:t>
            </w:r>
            <w:proofErr w:type="spellEnd"/>
            <w:r w:rsidRPr="00587D5D">
              <w:rPr>
                <w:rFonts w:ascii="Cambria" w:hAnsi="Cambria"/>
                <w:lang w:val="it-IT"/>
              </w:rPr>
              <w:t xml:space="preserve"> </w:t>
            </w:r>
            <w:proofErr w:type="spellStart"/>
            <w:r w:rsidRPr="00587D5D">
              <w:rPr>
                <w:rFonts w:ascii="Cambria" w:hAnsi="Cambria"/>
                <w:lang w:val="it-IT"/>
              </w:rPr>
              <w:t>tekstne</w:t>
            </w:r>
            <w:proofErr w:type="spellEnd"/>
            <w:r w:rsidRPr="00587D5D">
              <w:rPr>
                <w:rFonts w:ascii="Cambria" w:hAnsi="Cambria"/>
                <w:lang w:val="it-IT"/>
              </w:rPr>
              <w:t xml:space="preserve"> </w:t>
            </w:r>
            <w:proofErr w:type="spellStart"/>
            <w:r w:rsidRPr="00587D5D">
              <w:rPr>
                <w:rFonts w:ascii="Cambria" w:hAnsi="Cambria"/>
                <w:lang w:val="it-IT"/>
              </w:rPr>
              <w:t>vrste</w:t>
            </w:r>
            <w:proofErr w:type="spellEnd"/>
            <w:r w:rsidRPr="00587D5D">
              <w:rPr>
                <w:rFonts w:ascii="Cambria" w:hAnsi="Cambria"/>
                <w:lang w:val="it-IT"/>
              </w:rPr>
              <w:t xml:space="preserve"> i </w:t>
            </w:r>
            <w:proofErr w:type="spellStart"/>
            <w:r w:rsidRPr="00587D5D">
              <w:rPr>
                <w:rFonts w:ascii="Cambria" w:hAnsi="Cambria"/>
                <w:lang w:val="it-IT"/>
              </w:rPr>
              <w:t>pragmatiku</w:t>
            </w:r>
            <w:proofErr w:type="spellEnd"/>
            <w:r w:rsidRPr="00587D5D">
              <w:rPr>
                <w:rFonts w:ascii="Cambria" w:hAnsi="Cambria"/>
                <w:lang w:val="it-IT"/>
              </w:rPr>
              <w:t xml:space="preserve"> </w:t>
            </w:r>
            <w:proofErr w:type="spellStart"/>
            <w:r w:rsidRPr="00587D5D">
              <w:rPr>
                <w:rFonts w:ascii="Cambria" w:hAnsi="Cambria"/>
                <w:lang w:val="it-IT"/>
              </w:rPr>
              <w:t>akademskoga</w:t>
            </w:r>
            <w:proofErr w:type="spellEnd"/>
            <w:r w:rsidRPr="00587D5D">
              <w:rPr>
                <w:rFonts w:ascii="Cambria" w:hAnsi="Cambria"/>
                <w:lang w:val="it-IT"/>
              </w:rPr>
              <w:t xml:space="preserve"> </w:t>
            </w:r>
            <w:proofErr w:type="spellStart"/>
            <w:r w:rsidRPr="00587D5D">
              <w:rPr>
                <w:rFonts w:ascii="Cambria" w:hAnsi="Cambria"/>
                <w:lang w:val="it-IT"/>
              </w:rPr>
              <w:t>diskursa</w:t>
            </w:r>
            <w:proofErr w:type="spellEnd"/>
          </w:p>
          <w:p w14:paraId="5917C6EE" w14:textId="77777777" w:rsidR="00587D5D" w:rsidRPr="00587D5D" w:rsidRDefault="00587D5D" w:rsidP="00587D5D">
            <w:pPr>
              <w:autoSpaceDE w:val="0"/>
              <w:autoSpaceDN w:val="0"/>
              <w:adjustRightInd w:val="0"/>
              <w:spacing w:after="0" w:line="240" w:lineRule="auto"/>
              <w:rPr>
                <w:rFonts w:ascii="Cambria" w:hAnsi="Cambria"/>
                <w:lang w:val="it-IT"/>
              </w:rPr>
            </w:pPr>
            <w:r w:rsidRPr="00587D5D">
              <w:rPr>
                <w:rFonts w:ascii="Cambria" w:hAnsi="Cambria"/>
                <w:lang w:val="it-IT"/>
              </w:rPr>
              <w:t xml:space="preserve">4. </w:t>
            </w:r>
            <w:proofErr w:type="spellStart"/>
            <w:r w:rsidRPr="00587D5D">
              <w:rPr>
                <w:rFonts w:ascii="Cambria" w:hAnsi="Cambria"/>
                <w:lang w:val="it-IT"/>
              </w:rPr>
              <w:t>samostalno</w:t>
            </w:r>
            <w:proofErr w:type="spellEnd"/>
            <w:r w:rsidRPr="00587D5D">
              <w:rPr>
                <w:rFonts w:ascii="Cambria" w:hAnsi="Cambria"/>
                <w:lang w:val="it-IT"/>
              </w:rPr>
              <w:t xml:space="preserve"> </w:t>
            </w:r>
            <w:proofErr w:type="spellStart"/>
            <w:r w:rsidRPr="00587D5D">
              <w:rPr>
                <w:rFonts w:ascii="Cambria" w:hAnsi="Cambria"/>
                <w:lang w:val="it-IT"/>
              </w:rPr>
              <w:t>oblikovati</w:t>
            </w:r>
            <w:proofErr w:type="spellEnd"/>
            <w:r w:rsidRPr="00587D5D">
              <w:rPr>
                <w:rFonts w:ascii="Cambria" w:hAnsi="Cambria"/>
                <w:lang w:val="it-IT"/>
              </w:rPr>
              <w:t xml:space="preserve"> </w:t>
            </w:r>
            <w:proofErr w:type="spellStart"/>
            <w:r w:rsidRPr="00587D5D">
              <w:rPr>
                <w:rFonts w:ascii="Cambria" w:hAnsi="Cambria"/>
                <w:lang w:val="it-IT"/>
              </w:rPr>
              <w:t>akademski</w:t>
            </w:r>
            <w:proofErr w:type="spellEnd"/>
            <w:r w:rsidRPr="00587D5D">
              <w:rPr>
                <w:rFonts w:ascii="Cambria" w:hAnsi="Cambria"/>
                <w:lang w:val="it-IT"/>
              </w:rPr>
              <w:t xml:space="preserve"> </w:t>
            </w:r>
            <w:proofErr w:type="spellStart"/>
            <w:r w:rsidRPr="00587D5D">
              <w:rPr>
                <w:rFonts w:ascii="Cambria" w:hAnsi="Cambria"/>
                <w:lang w:val="it-IT"/>
              </w:rPr>
              <w:t>tekst</w:t>
            </w:r>
            <w:proofErr w:type="spellEnd"/>
            <w:r w:rsidRPr="00587D5D">
              <w:rPr>
                <w:rFonts w:ascii="Cambria" w:hAnsi="Cambria"/>
                <w:lang w:val="it-IT"/>
              </w:rPr>
              <w:t xml:space="preserve"> </w:t>
            </w:r>
            <w:proofErr w:type="spellStart"/>
            <w:r w:rsidRPr="00587D5D">
              <w:rPr>
                <w:rFonts w:ascii="Cambria" w:hAnsi="Cambria"/>
                <w:lang w:val="it-IT"/>
              </w:rPr>
              <w:t>primjenjujući</w:t>
            </w:r>
            <w:proofErr w:type="spellEnd"/>
            <w:r w:rsidRPr="00587D5D">
              <w:rPr>
                <w:rFonts w:ascii="Cambria" w:hAnsi="Cambria"/>
                <w:lang w:val="it-IT"/>
              </w:rPr>
              <w:t xml:space="preserve"> </w:t>
            </w:r>
            <w:proofErr w:type="spellStart"/>
            <w:r w:rsidRPr="00587D5D">
              <w:rPr>
                <w:rFonts w:ascii="Cambria" w:hAnsi="Cambria"/>
                <w:lang w:val="it-IT"/>
              </w:rPr>
              <w:t>usvojena</w:t>
            </w:r>
            <w:proofErr w:type="spellEnd"/>
            <w:r w:rsidRPr="00587D5D">
              <w:rPr>
                <w:rFonts w:ascii="Cambria" w:hAnsi="Cambria"/>
                <w:lang w:val="it-IT"/>
              </w:rPr>
              <w:t xml:space="preserve"> </w:t>
            </w:r>
            <w:proofErr w:type="spellStart"/>
            <w:r w:rsidRPr="00587D5D">
              <w:rPr>
                <w:rFonts w:ascii="Cambria" w:hAnsi="Cambria"/>
                <w:lang w:val="it-IT"/>
              </w:rPr>
              <w:t>načela</w:t>
            </w:r>
            <w:proofErr w:type="spellEnd"/>
            <w:r w:rsidRPr="00587D5D">
              <w:rPr>
                <w:rFonts w:ascii="Cambria" w:hAnsi="Cambria"/>
                <w:lang w:val="it-IT"/>
              </w:rPr>
              <w:t xml:space="preserve"> </w:t>
            </w:r>
            <w:proofErr w:type="spellStart"/>
            <w:r w:rsidRPr="00587D5D">
              <w:rPr>
                <w:rFonts w:ascii="Cambria" w:hAnsi="Cambria"/>
                <w:lang w:val="it-IT"/>
              </w:rPr>
              <w:t>akademskoga</w:t>
            </w:r>
            <w:proofErr w:type="spellEnd"/>
            <w:r w:rsidRPr="00587D5D">
              <w:rPr>
                <w:rFonts w:ascii="Cambria" w:hAnsi="Cambria"/>
                <w:lang w:val="it-IT"/>
              </w:rPr>
              <w:t xml:space="preserve"> </w:t>
            </w:r>
            <w:proofErr w:type="spellStart"/>
            <w:r w:rsidRPr="00587D5D">
              <w:rPr>
                <w:rFonts w:ascii="Cambria" w:hAnsi="Cambria"/>
                <w:lang w:val="it-IT"/>
              </w:rPr>
              <w:t>komuniciranja</w:t>
            </w:r>
            <w:proofErr w:type="spellEnd"/>
            <w:r w:rsidRPr="00587D5D">
              <w:rPr>
                <w:rFonts w:ascii="Cambria" w:hAnsi="Cambria"/>
                <w:lang w:val="it-IT"/>
              </w:rPr>
              <w:t>.</w:t>
            </w:r>
          </w:p>
        </w:tc>
      </w:tr>
      <w:tr w:rsidR="00587D5D" w:rsidRPr="00D0399C" w14:paraId="06499422" w14:textId="77777777" w:rsidTr="00587D5D">
        <w:tc>
          <w:tcPr>
            <w:tcW w:w="2784"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6BF4B0F3" w14:textId="77777777" w:rsidR="00587D5D" w:rsidRPr="005E3632" w:rsidRDefault="00587D5D" w:rsidP="00587D5D">
            <w:pPr>
              <w:autoSpaceDE w:val="0"/>
              <w:autoSpaceDN w:val="0"/>
              <w:adjustRightInd w:val="0"/>
              <w:spacing w:after="0" w:line="240" w:lineRule="auto"/>
              <w:rPr>
                <w:rFonts w:ascii="Cambria" w:hAnsi="Cambria"/>
              </w:rPr>
            </w:pPr>
            <w:proofErr w:type="spellStart"/>
            <w:r w:rsidRPr="005E3632">
              <w:rPr>
                <w:rFonts w:ascii="Cambria" w:hAnsi="Cambria"/>
              </w:rPr>
              <w:t>Sadržaj</w:t>
            </w:r>
            <w:proofErr w:type="spellEnd"/>
            <w:r w:rsidRPr="005E3632">
              <w:rPr>
                <w:rFonts w:ascii="Cambria" w:hAnsi="Cambria"/>
              </w:rPr>
              <w:t xml:space="preserve"> </w:t>
            </w:r>
            <w:proofErr w:type="spellStart"/>
            <w:r w:rsidRPr="005E3632">
              <w:rPr>
                <w:rFonts w:ascii="Cambria" w:hAnsi="Cambria"/>
              </w:rPr>
              <w:t>kolegija</w:t>
            </w:r>
            <w:proofErr w:type="spellEnd"/>
          </w:p>
        </w:tc>
        <w:tc>
          <w:tcPr>
            <w:tcW w:w="6994"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53552D7" w14:textId="77777777" w:rsidR="00587D5D" w:rsidRPr="005E3632" w:rsidRDefault="00587D5D" w:rsidP="00A034E3">
            <w:pPr>
              <w:numPr>
                <w:ilvl w:val="0"/>
                <w:numId w:val="103"/>
              </w:numPr>
              <w:autoSpaceDE w:val="0"/>
              <w:autoSpaceDN w:val="0"/>
              <w:adjustRightInd w:val="0"/>
              <w:spacing w:after="0" w:line="240" w:lineRule="auto"/>
              <w:ind w:left="374"/>
              <w:rPr>
                <w:rFonts w:ascii="Cambria" w:hAnsi="Cambria"/>
              </w:rPr>
            </w:pPr>
            <w:r w:rsidRPr="005E3632">
              <w:rPr>
                <w:rFonts w:ascii="Cambria" w:hAnsi="Cambria"/>
              </w:rPr>
              <w:t xml:space="preserve">Jezik, </w:t>
            </w:r>
            <w:proofErr w:type="spellStart"/>
            <w:r w:rsidRPr="005E3632">
              <w:rPr>
                <w:rFonts w:ascii="Cambria" w:hAnsi="Cambria"/>
              </w:rPr>
              <w:t>komunikacija</w:t>
            </w:r>
            <w:proofErr w:type="spellEnd"/>
            <w:r w:rsidRPr="005E3632">
              <w:rPr>
                <w:rFonts w:ascii="Cambria" w:hAnsi="Cambria"/>
              </w:rPr>
              <w:t xml:space="preserve">, </w:t>
            </w:r>
            <w:proofErr w:type="spellStart"/>
            <w:r w:rsidRPr="005E3632">
              <w:rPr>
                <w:rFonts w:ascii="Cambria" w:hAnsi="Cambria"/>
              </w:rPr>
              <w:t>funkcija</w:t>
            </w:r>
            <w:proofErr w:type="spellEnd"/>
            <w:r w:rsidRPr="005E3632">
              <w:rPr>
                <w:rFonts w:ascii="Cambria" w:hAnsi="Cambria"/>
              </w:rPr>
              <w:t xml:space="preserve">. </w:t>
            </w:r>
          </w:p>
          <w:p w14:paraId="09B7CE03" w14:textId="77777777" w:rsidR="00587D5D" w:rsidRPr="00587D5D" w:rsidRDefault="00587D5D" w:rsidP="00A034E3">
            <w:pPr>
              <w:numPr>
                <w:ilvl w:val="0"/>
                <w:numId w:val="103"/>
              </w:numPr>
              <w:autoSpaceDE w:val="0"/>
              <w:autoSpaceDN w:val="0"/>
              <w:adjustRightInd w:val="0"/>
              <w:spacing w:after="0" w:line="240" w:lineRule="auto"/>
              <w:ind w:left="374"/>
              <w:rPr>
                <w:rFonts w:ascii="Cambria" w:hAnsi="Cambria"/>
                <w:lang w:val="it-IT"/>
              </w:rPr>
            </w:pPr>
            <w:proofErr w:type="spellStart"/>
            <w:r w:rsidRPr="00587D5D">
              <w:rPr>
                <w:rFonts w:ascii="Cambria" w:hAnsi="Cambria"/>
                <w:lang w:val="it-IT"/>
              </w:rPr>
              <w:t>Funkcionalni</w:t>
            </w:r>
            <w:proofErr w:type="spellEnd"/>
            <w:r w:rsidRPr="00587D5D">
              <w:rPr>
                <w:rFonts w:ascii="Cambria" w:hAnsi="Cambria"/>
                <w:lang w:val="it-IT"/>
              </w:rPr>
              <w:t xml:space="preserve"> </w:t>
            </w:r>
            <w:proofErr w:type="spellStart"/>
            <w:r w:rsidRPr="00587D5D">
              <w:rPr>
                <w:rFonts w:ascii="Cambria" w:hAnsi="Cambria"/>
                <w:lang w:val="it-IT"/>
              </w:rPr>
              <w:t>stilovi</w:t>
            </w:r>
            <w:proofErr w:type="spellEnd"/>
            <w:r w:rsidRPr="00587D5D">
              <w:rPr>
                <w:rFonts w:ascii="Cambria" w:hAnsi="Cambria"/>
                <w:lang w:val="it-IT"/>
              </w:rPr>
              <w:t xml:space="preserve"> </w:t>
            </w:r>
            <w:proofErr w:type="spellStart"/>
            <w:r w:rsidRPr="00587D5D">
              <w:rPr>
                <w:rFonts w:ascii="Cambria" w:hAnsi="Cambria"/>
                <w:lang w:val="it-IT"/>
              </w:rPr>
              <w:t>hrvatskoga</w:t>
            </w:r>
            <w:proofErr w:type="spellEnd"/>
            <w:r w:rsidRPr="00587D5D">
              <w:rPr>
                <w:rFonts w:ascii="Cambria" w:hAnsi="Cambria"/>
                <w:lang w:val="it-IT"/>
              </w:rPr>
              <w:t xml:space="preserve"> </w:t>
            </w:r>
            <w:proofErr w:type="spellStart"/>
            <w:r w:rsidRPr="00587D5D">
              <w:rPr>
                <w:rFonts w:ascii="Cambria" w:hAnsi="Cambria"/>
                <w:lang w:val="it-IT"/>
              </w:rPr>
              <w:t>standardnoga</w:t>
            </w:r>
            <w:proofErr w:type="spellEnd"/>
            <w:r w:rsidRPr="00587D5D">
              <w:rPr>
                <w:rFonts w:ascii="Cambria" w:hAnsi="Cambria"/>
                <w:lang w:val="it-IT"/>
              </w:rPr>
              <w:t xml:space="preserve"> </w:t>
            </w:r>
            <w:proofErr w:type="spellStart"/>
            <w:r w:rsidRPr="00587D5D">
              <w:rPr>
                <w:rFonts w:ascii="Cambria" w:hAnsi="Cambria"/>
                <w:lang w:val="it-IT"/>
              </w:rPr>
              <w:t>jezika</w:t>
            </w:r>
            <w:proofErr w:type="spellEnd"/>
            <w:r w:rsidRPr="00587D5D">
              <w:rPr>
                <w:rFonts w:ascii="Cambria" w:hAnsi="Cambria"/>
                <w:lang w:val="it-IT"/>
              </w:rPr>
              <w:t xml:space="preserve">. </w:t>
            </w:r>
          </w:p>
          <w:p w14:paraId="6B66FCA3" w14:textId="77777777" w:rsidR="00587D5D" w:rsidRPr="00587D5D" w:rsidRDefault="00587D5D" w:rsidP="00A034E3">
            <w:pPr>
              <w:numPr>
                <w:ilvl w:val="0"/>
                <w:numId w:val="103"/>
              </w:numPr>
              <w:autoSpaceDE w:val="0"/>
              <w:autoSpaceDN w:val="0"/>
              <w:adjustRightInd w:val="0"/>
              <w:spacing w:after="0" w:line="240" w:lineRule="auto"/>
              <w:ind w:left="374"/>
              <w:rPr>
                <w:rFonts w:ascii="Cambria" w:hAnsi="Cambria"/>
                <w:lang w:val="it-IT"/>
              </w:rPr>
            </w:pPr>
            <w:proofErr w:type="spellStart"/>
            <w:r w:rsidRPr="00587D5D">
              <w:rPr>
                <w:rFonts w:ascii="Cambria" w:hAnsi="Cambria"/>
                <w:lang w:val="it-IT"/>
              </w:rPr>
              <w:t>Vrste</w:t>
            </w:r>
            <w:proofErr w:type="spellEnd"/>
            <w:r w:rsidRPr="00587D5D">
              <w:rPr>
                <w:rFonts w:ascii="Cambria" w:hAnsi="Cambria"/>
                <w:lang w:val="it-IT"/>
              </w:rPr>
              <w:t xml:space="preserve"> </w:t>
            </w:r>
            <w:proofErr w:type="spellStart"/>
            <w:r w:rsidRPr="00587D5D">
              <w:rPr>
                <w:rFonts w:ascii="Cambria" w:hAnsi="Cambria"/>
                <w:lang w:val="it-IT"/>
              </w:rPr>
              <w:t>stručnih</w:t>
            </w:r>
            <w:proofErr w:type="spellEnd"/>
            <w:r w:rsidRPr="00587D5D">
              <w:rPr>
                <w:rFonts w:ascii="Cambria" w:hAnsi="Cambria"/>
                <w:lang w:val="it-IT"/>
              </w:rPr>
              <w:t xml:space="preserve"> i </w:t>
            </w:r>
            <w:proofErr w:type="spellStart"/>
            <w:r w:rsidRPr="00587D5D">
              <w:rPr>
                <w:rFonts w:ascii="Cambria" w:hAnsi="Cambria"/>
                <w:lang w:val="it-IT"/>
              </w:rPr>
              <w:t>znanstvenih</w:t>
            </w:r>
            <w:proofErr w:type="spellEnd"/>
            <w:r w:rsidRPr="00587D5D">
              <w:rPr>
                <w:rFonts w:ascii="Cambria" w:hAnsi="Cambria"/>
                <w:lang w:val="it-IT"/>
              </w:rPr>
              <w:t xml:space="preserve"> </w:t>
            </w:r>
            <w:proofErr w:type="spellStart"/>
            <w:r w:rsidRPr="00587D5D">
              <w:rPr>
                <w:rFonts w:ascii="Cambria" w:hAnsi="Cambria"/>
                <w:lang w:val="it-IT"/>
              </w:rPr>
              <w:t>tekstova</w:t>
            </w:r>
            <w:proofErr w:type="spellEnd"/>
            <w:r w:rsidRPr="00587D5D">
              <w:rPr>
                <w:rFonts w:ascii="Cambria" w:hAnsi="Cambria"/>
                <w:lang w:val="it-IT"/>
              </w:rPr>
              <w:t xml:space="preserve">. </w:t>
            </w:r>
          </w:p>
          <w:p w14:paraId="68F6F837" w14:textId="77777777" w:rsidR="00587D5D" w:rsidRPr="00587D5D" w:rsidRDefault="00587D5D" w:rsidP="00A034E3">
            <w:pPr>
              <w:numPr>
                <w:ilvl w:val="0"/>
                <w:numId w:val="103"/>
              </w:numPr>
              <w:autoSpaceDE w:val="0"/>
              <w:autoSpaceDN w:val="0"/>
              <w:adjustRightInd w:val="0"/>
              <w:spacing w:after="0" w:line="240" w:lineRule="auto"/>
              <w:ind w:left="374"/>
              <w:rPr>
                <w:rFonts w:ascii="Cambria" w:hAnsi="Cambria"/>
                <w:lang w:val="it-IT"/>
              </w:rPr>
            </w:pPr>
            <w:proofErr w:type="spellStart"/>
            <w:r w:rsidRPr="00587D5D">
              <w:rPr>
                <w:rFonts w:ascii="Cambria" w:hAnsi="Cambria"/>
                <w:lang w:val="it-IT"/>
              </w:rPr>
              <w:t>Značajke</w:t>
            </w:r>
            <w:proofErr w:type="spellEnd"/>
            <w:r w:rsidRPr="00587D5D">
              <w:rPr>
                <w:rFonts w:ascii="Cambria" w:hAnsi="Cambria"/>
                <w:lang w:val="it-IT"/>
              </w:rPr>
              <w:t xml:space="preserve"> </w:t>
            </w:r>
            <w:proofErr w:type="spellStart"/>
            <w:r w:rsidRPr="00587D5D">
              <w:rPr>
                <w:rFonts w:ascii="Cambria" w:hAnsi="Cambria"/>
                <w:lang w:val="it-IT"/>
              </w:rPr>
              <w:t>akademskoga</w:t>
            </w:r>
            <w:proofErr w:type="spellEnd"/>
            <w:r w:rsidRPr="00587D5D">
              <w:rPr>
                <w:rFonts w:ascii="Cambria" w:hAnsi="Cambria"/>
                <w:lang w:val="it-IT"/>
              </w:rPr>
              <w:t xml:space="preserve"> </w:t>
            </w:r>
            <w:proofErr w:type="spellStart"/>
            <w:r w:rsidRPr="00587D5D">
              <w:rPr>
                <w:rFonts w:ascii="Cambria" w:hAnsi="Cambria"/>
                <w:lang w:val="it-IT"/>
              </w:rPr>
              <w:t>diskursa</w:t>
            </w:r>
            <w:proofErr w:type="spellEnd"/>
            <w:r w:rsidRPr="00587D5D">
              <w:rPr>
                <w:rFonts w:ascii="Cambria" w:hAnsi="Cambria"/>
                <w:lang w:val="it-IT"/>
              </w:rPr>
              <w:t xml:space="preserve"> </w:t>
            </w:r>
            <w:proofErr w:type="spellStart"/>
            <w:r w:rsidRPr="00587D5D">
              <w:rPr>
                <w:rFonts w:ascii="Cambria" w:hAnsi="Cambria"/>
                <w:lang w:val="it-IT"/>
              </w:rPr>
              <w:t>hrvatskoga</w:t>
            </w:r>
            <w:proofErr w:type="spellEnd"/>
            <w:r w:rsidRPr="00587D5D">
              <w:rPr>
                <w:rFonts w:ascii="Cambria" w:hAnsi="Cambria"/>
                <w:lang w:val="it-IT"/>
              </w:rPr>
              <w:t xml:space="preserve"> </w:t>
            </w:r>
            <w:proofErr w:type="spellStart"/>
            <w:r w:rsidRPr="00587D5D">
              <w:rPr>
                <w:rFonts w:ascii="Cambria" w:hAnsi="Cambria"/>
                <w:lang w:val="it-IT"/>
              </w:rPr>
              <w:t>jezika</w:t>
            </w:r>
            <w:proofErr w:type="spellEnd"/>
            <w:r w:rsidRPr="00587D5D">
              <w:rPr>
                <w:rFonts w:ascii="Cambria" w:hAnsi="Cambria"/>
                <w:lang w:val="it-IT"/>
              </w:rPr>
              <w:t xml:space="preserve">: </w:t>
            </w:r>
            <w:proofErr w:type="spellStart"/>
            <w:r w:rsidRPr="00587D5D">
              <w:rPr>
                <w:rFonts w:ascii="Cambria" w:hAnsi="Cambria"/>
                <w:lang w:val="it-IT"/>
              </w:rPr>
              <w:t>pisanoga</w:t>
            </w:r>
            <w:proofErr w:type="spellEnd"/>
            <w:r w:rsidRPr="00587D5D">
              <w:rPr>
                <w:rFonts w:ascii="Cambria" w:hAnsi="Cambria"/>
                <w:lang w:val="it-IT"/>
              </w:rPr>
              <w:t xml:space="preserve"> i </w:t>
            </w:r>
            <w:proofErr w:type="spellStart"/>
            <w:r w:rsidRPr="00587D5D">
              <w:rPr>
                <w:rFonts w:ascii="Cambria" w:hAnsi="Cambria"/>
                <w:lang w:val="it-IT"/>
              </w:rPr>
              <w:t>govorenoga</w:t>
            </w:r>
            <w:proofErr w:type="spellEnd"/>
            <w:r w:rsidRPr="00587D5D">
              <w:rPr>
                <w:rFonts w:ascii="Cambria" w:hAnsi="Cambria"/>
                <w:lang w:val="it-IT"/>
              </w:rPr>
              <w:t xml:space="preserve"> </w:t>
            </w:r>
            <w:proofErr w:type="spellStart"/>
            <w:r w:rsidRPr="00587D5D">
              <w:rPr>
                <w:rFonts w:ascii="Cambria" w:hAnsi="Cambria"/>
                <w:lang w:val="it-IT"/>
              </w:rPr>
              <w:t>jezika</w:t>
            </w:r>
            <w:proofErr w:type="spellEnd"/>
            <w:r w:rsidRPr="00587D5D">
              <w:rPr>
                <w:rFonts w:ascii="Cambria" w:hAnsi="Cambria"/>
                <w:lang w:val="it-IT"/>
              </w:rPr>
              <w:t xml:space="preserve">. </w:t>
            </w:r>
          </w:p>
          <w:p w14:paraId="659D51AF" w14:textId="77777777" w:rsidR="00587D5D" w:rsidRPr="00587D5D" w:rsidRDefault="00587D5D" w:rsidP="00A034E3">
            <w:pPr>
              <w:numPr>
                <w:ilvl w:val="0"/>
                <w:numId w:val="103"/>
              </w:numPr>
              <w:autoSpaceDE w:val="0"/>
              <w:autoSpaceDN w:val="0"/>
              <w:adjustRightInd w:val="0"/>
              <w:spacing w:after="0" w:line="240" w:lineRule="auto"/>
              <w:ind w:left="374"/>
              <w:rPr>
                <w:rFonts w:ascii="Cambria" w:hAnsi="Cambria"/>
                <w:lang w:val="it-IT"/>
              </w:rPr>
            </w:pPr>
            <w:proofErr w:type="spellStart"/>
            <w:r w:rsidRPr="00587D5D">
              <w:rPr>
                <w:rFonts w:ascii="Cambria" w:hAnsi="Cambria"/>
                <w:lang w:val="it-IT"/>
              </w:rPr>
              <w:t>Metodološka</w:t>
            </w:r>
            <w:proofErr w:type="spellEnd"/>
            <w:r w:rsidRPr="00587D5D">
              <w:rPr>
                <w:rFonts w:ascii="Cambria" w:hAnsi="Cambria"/>
                <w:lang w:val="it-IT"/>
              </w:rPr>
              <w:t xml:space="preserve"> </w:t>
            </w:r>
            <w:proofErr w:type="spellStart"/>
            <w:r w:rsidRPr="00587D5D">
              <w:rPr>
                <w:rFonts w:ascii="Cambria" w:hAnsi="Cambria"/>
                <w:lang w:val="it-IT"/>
              </w:rPr>
              <w:t>načela</w:t>
            </w:r>
            <w:proofErr w:type="spellEnd"/>
            <w:r w:rsidRPr="00587D5D">
              <w:rPr>
                <w:rFonts w:ascii="Cambria" w:hAnsi="Cambria"/>
                <w:lang w:val="it-IT"/>
              </w:rPr>
              <w:t xml:space="preserve"> </w:t>
            </w:r>
            <w:proofErr w:type="spellStart"/>
            <w:r w:rsidRPr="00587D5D">
              <w:rPr>
                <w:rFonts w:ascii="Cambria" w:hAnsi="Cambria"/>
                <w:lang w:val="it-IT"/>
              </w:rPr>
              <w:t>oblikovanja</w:t>
            </w:r>
            <w:proofErr w:type="spellEnd"/>
            <w:r w:rsidRPr="00587D5D">
              <w:rPr>
                <w:rFonts w:ascii="Cambria" w:hAnsi="Cambria"/>
                <w:lang w:val="it-IT"/>
              </w:rPr>
              <w:t xml:space="preserve"> </w:t>
            </w:r>
            <w:proofErr w:type="spellStart"/>
            <w:r w:rsidRPr="00587D5D">
              <w:rPr>
                <w:rFonts w:ascii="Cambria" w:hAnsi="Cambria"/>
                <w:lang w:val="it-IT"/>
              </w:rPr>
              <w:t>znanstvenoga</w:t>
            </w:r>
            <w:proofErr w:type="spellEnd"/>
            <w:r w:rsidRPr="00587D5D">
              <w:rPr>
                <w:rFonts w:ascii="Cambria" w:hAnsi="Cambria"/>
                <w:lang w:val="it-IT"/>
              </w:rPr>
              <w:t xml:space="preserve"> i </w:t>
            </w:r>
            <w:proofErr w:type="spellStart"/>
            <w:r w:rsidRPr="00587D5D">
              <w:rPr>
                <w:rFonts w:ascii="Cambria" w:hAnsi="Cambria"/>
                <w:lang w:val="it-IT"/>
              </w:rPr>
              <w:t>stručnoga</w:t>
            </w:r>
            <w:proofErr w:type="spellEnd"/>
            <w:r w:rsidRPr="00587D5D">
              <w:rPr>
                <w:rFonts w:ascii="Cambria" w:hAnsi="Cambria"/>
                <w:lang w:val="it-IT"/>
              </w:rPr>
              <w:t xml:space="preserve"> </w:t>
            </w:r>
            <w:proofErr w:type="spellStart"/>
            <w:r w:rsidRPr="00587D5D">
              <w:rPr>
                <w:rFonts w:ascii="Cambria" w:hAnsi="Cambria"/>
                <w:lang w:val="it-IT"/>
              </w:rPr>
              <w:t>teksta</w:t>
            </w:r>
            <w:proofErr w:type="spellEnd"/>
            <w:r w:rsidRPr="00587D5D">
              <w:rPr>
                <w:rFonts w:ascii="Cambria" w:hAnsi="Cambria"/>
                <w:lang w:val="it-IT"/>
              </w:rPr>
              <w:t xml:space="preserve">. Elementi </w:t>
            </w:r>
            <w:proofErr w:type="spellStart"/>
            <w:r w:rsidRPr="00587D5D">
              <w:rPr>
                <w:rFonts w:ascii="Cambria" w:hAnsi="Cambria"/>
                <w:lang w:val="it-IT"/>
              </w:rPr>
              <w:t>strukture</w:t>
            </w:r>
            <w:proofErr w:type="spellEnd"/>
            <w:r w:rsidRPr="00587D5D">
              <w:rPr>
                <w:rFonts w:ascii="Cambria" w:hAnsi="Cambria"/>
                <w:lang w:val="it-IT"/>
              </w:rPr>
              <w:t xml:space="preserve"> </w:t>
            </w:r>
            <w:proofErr w:type="spellStart"/>
            <w:r w:rsidRPr="00587D5D">
              <w:rPr>
                <w:rFonts w:ascii="Cambria" w:hAnsi="Cambria"/>
                <w:lang w:val="it-IT"/>
              </w:rPr>
              <w:t>pisanoga</w:t>
            </w:r>
            <w:proofErr w:type="spellEnd"/>
            <w:r w:rsidRPr="00587D5D">
              <w:rPr>
                <w:rFonts w:ascii="Cambria" w:hAnsi="Cambria"/>
                <w:lang w:val="it-IT"/>
              </w:rPr>
              <w:t xml:space="preserve"> </w:t>
            </w:r>
            <w:proofErr w:type="spellStart"/>
            <w:r w:rsidRPr="00587D5D">
              <w:rPr>
                <w:rFonts w:ascii="Cambria" w:hAnsi="Cambria"/>
                <w:lang w:val="it-IT"/>
              </w:rPr>
              <w:t>znanstvenog</w:t>
            </w:r>
            <w:proofErr w:type="spellEnd"/>
            <w:r w:rsidRPr="00587D5D">
              <w:rPr>
                <w:rFonts w:ascii="Cambria" w:hAnsi="Cambria"/>
                <w:lang w:val="it-IT"/>
              </w:rPr>
              <w:t xml:space="preserve"> </w:t>
            </w:r>
            <w:proofErr w:type="spellStart"/>
            <w:r w:rsidRPr="00587D5D">
              <w:rPr>
                <w:rFonts w:ascii="Cambria" w:hAnsi="Cambria"/>
                <w:lang w:val="it-IT"/>
              </w:rPr>
              <w:t>teksta</w:t>
            </w:r>
            <w:proofErr w:type="spellEnd"/>
            <w:r w:rsidRPr="00587D5D">
              <w:rPr>
                <w:rFonts w:ascii="Cambria" w:hAnsi="Cambria"/>
                <w:lang w:val="it-IT"/>
              </w:rPr>
              <w:t xml:space="preserve">. </w:t>
            </w:r>
          </w:p>
          <w:p w14:paraId="5F53A281" w14:textId="77777777" w:rsidR="00587D5D" w:rsidRPr="005E3632" w:rsidRDefault="00587D5D" w:rsidP="00A034E3">
            <w:pPr>
              <w:numPr>
                <w:ilvl w:val="0"/>
                <w:numId w:val="103"/>
              </w:numPr>
              <w:autoSpaceDE w:val="0"/>
              <w:autoSpaceDN w:val="0"/>
              <w:adjustRightInd w:val="0"/>
              <w:spacing w:after="0" w:line="240" w:lineRule="auto"/>
              <w:ind w:left="374"/>
              <w:rPr>
                <w:rFonts w:ascii="Cambria" w:hAnsi="Cambria"/>
              </w:rPr>
            </w:pPr>
            <w:proofErr w:type="spellStart"/>
            <w:r w:rsidRPr="005E3632">
              <w:rPr>
                <w:rFonts w:ascii="Cambria" w:hAnsi="Cambria"/>
              </w:rPr>
              <w:t>Funkcija</w:t>
            </w:r>
            <w:proofErr w:type="spellEnd"/>
            <w:r w:rsidRPr="005E3632">
              <w:rPr>
                <w:rFonts w:ascii="Cambria" w:hAnsi="Cambria"/>
              </w:rPr>
              <w:t xml:space="preserve"> </w:t>
            </w:r>
            <w:proofErr w:type="spellStart"/>
            <w:r w:rsidRPr="005E3632">
              <w:rPr>
                <w:rFonts w:ascii="Cambria" w:hAnsi="Cambria"/>
              </w:rPr>
              <w:t>znanstvenoga</w:t>
            </w:r>
            <w:proofErr w:type="spellEnd"/>
            <w:r w:rsidRPr="005E3632">
              <w:rPr>
                <w:rFonts w:ascii="Cambria" w:hAnsi="Cambria"/>
              </w:rPr>
              <w:t xml:space="preserve"> </w:t>
            </w:r>
            <w:proofErr w:type="spellStart"/>
            <w:r w:rsidRPr="005E3632">
              <w:rPr>
                <w:rFonts w:ascii="Cambria" w:hAnsi="Cambria"/>
              </w:rPr>
              <w:t>teksta</w:t>
            </w:r>
            <w:proofErr w:type="spellEnd"/>
            <w:r w:rsidRPr="005E3632">
              <w:rPr>
                <w:rFonts w:ascii="Cambria" w:hAnsi="Cambria"/>
              </w:rPr>
              <w:t xml:space="preserve">. </w:t>
            </w:r>
          </w:p>
          <w:p w14:paraId="268E1957" w14:textId="77777777" w:rsidR="00587D5D" w:rsidRPr="005E3632" w:rsidRDefault="00587D5D" w:rsidP="00A034E3">
            <w:pPr>
              <w:numPr>
                <w:ilvl w:val="0"/>
                <w:numId w:val="103"/>
              </w:numPr>
              <w:autoSpaceDE w:val="0"/>
              <w:autoSpaceDN w:val="0"/>
              <w:adjustRightInd w:val="0"/>
              <w:spacing w:after="0" w:line="240" w:lineRule="auto"/>
              <w:ind w:left="374"/>
              <w:rPr>
                <w:rFonts w:ascii="Cambria" w:hAnsi="Cambria"/>
              </w:rPr>
            </w:pPr>
            <w:proofErr w:type="spellStart"/>
            <w:r w:rsidRPr="005E3632">
              <w:rPr>
                <w:rFonts w:ascii="Cambria" w:hAnsi="Cambria"/>
              </w:rPr>
              <w:t>Retoričke</w:t>
            </w:r>
            <w:proofErr w:type="spellEnd"/>
            <w:r w:rsidRPr="005E3632">
              <w:rPr>
                <w:rFonts w:ascii="Cambria" w:hAnsi="Cambria"/>
              </w:rPr>
              <w:t xml:space="preserve"> </w:t>
            </w:r>
            <w:proofErr w:type="spellStart"/>
            <w:r w:rsidRPr="005E3632">
              <w:rPr>
                <w:rFonts w:ascii="Cambria" w:hAnsi="Cambria"/>
              </w:rPr>
              <w:t>strategije</w:t>
            </w:r>
            <w:proofErr w:type="spellEnd"/>
            <w:r w:rsidRPr="005E3632">
              <w:rPr>
                <w:rFonts w:ascii="Cambria" w:hAnsi="Cambria"/>
              </w:rPr>
              <w:t xml:space="preserve"> </w:t>
            </w:r>
            <w:proofErr w:type="spellStart"/>
            <w:proofErr w:type="gramStart"/>
            <w:r w:rsidRPr="005E3632">
              <w:rPr>
                <w:rFonts w:ascii="Cambria" w:hAnsi="Cambria"/>
              </w:rPr>
              <w:t>akademskog</w:t>
            </w:r>
            <w:proofErr w:type="spellEnd"/>
            <w:r w:rsidRPr="005E3632">
              <w:rPr>
                <w:rFonts w:ascii="Cambria" w:hAnsi="Cambria"/>
              </w:rPr>
              <w:t xml:space="preserve">  </w:t>
            </w:r>
            <w:proofErr w:type="spellStart"/>
            <w:r w:rsidRPr="005E3632">
              <w:rPr>
                <w:rFonts w:ascii="Cambria" w:hAnsi="Cambria"/>
              </w:rPr>
              <w:t>diskursa</w:t>
            </w:r>
            <w:proofErr w:type="spellEnd"/>
            <w:proofErr w:type="gramEnd"/>
            <w:r w:rsidRPr="005E3632">
              <w:rPr>
                <w:rFonts w:ascii="Cambria" w:hAnsi="Cambria"/>
              </w:rPr>
              <w:t xml:space="preserve">. </w:t>
            </w:r>
          </w:p>
          <w:p w14:paraId="346ED65A" w14:textId="77777777" w:rsidR="00587D5D" w:rsidRPr="005E3632" w:rsidRDefault="00587D5D" w:rsidP="00A034E3">
            <w:pPr>
              <w:numPr>
                <w:ilvl w:val="0"/>
                <w:numId w:val="103"/>
              </w:numPr>
              <w:autoSpaceDE w:val="0"/>
              <w:autoSpaceDN w:val="0"/>
              <w:adjustRightInd w:val="0"/>
              <w:spacing w:after="0" w:line="240" w:lineRule="auto"/>
              <w:ind w:left="374"/>
              <w:rPr>
                <w:rFonts w:ascii="Cambria" w:hAnsi="Cambria"/>
              </w:rPr>
            </w:pPr>
            <w:proofErr w:type="spellStart"/>
            <w:r w:rsidRPr="005E3632">
              <w:rPr>
                <w:rFonts w:ascii="Cambria" w:hAnsi="Cambria"/>
              </w:rPr>
              <w:t>Standardi</w:t>
            </w:r>
            <w:proofErr w:type="spellEnd"/>
            <w:r w:rsidRPr="005E3632">
              <w:rPr>
                <w:rFonts w:ascii="Cambria" w:hAnsi="Cambria"/>
              </w:rPr>
              <w:t xml:space="preserve"> </w:t>
            </w:r>
            <w:proofErr w:type="spellStart"/>
            <w:r w:rsidRPr="005E3632">
              <w:rPr>
                <w:rFonts w:ascii="Cambria" w:hAnsi="Cambria"/>
              </w:rPr>
              <w:t>navođenja</w:t>
            </w:r>
            <w:proofErr w:type="spellEnd"/>
            <w:r w:rsidRPr="005E3632">
              <w:rPr>
                <w:rFonts w:ascii="Cambria" w:hAnsi="Cambria"/>
              </w:rPr>
              <w:t xml:space="preserve"> literature. </w:t>
            </w:r>
          </w:p>
          <w:p w14:paraId="1B2219EF" w14:textId="77777777" w:rsidR="00587D5D" w:rsidRPr="00587D5D" w:rsidRDefault="00587D5D" w:rsidP="00A034E3">
            <w:pPr>
              <w:numPr>
                <w:ilvl w:val="0"/>
                <w:numId w:val="103"/>
              </w:numPr>
              <w:autoSpaceDE w:val="0"/>
              <w:autoSpaceDN w:val="0"/>
              <w:adjustRightInd w:val="0"/>
              <w:spacing w:after="0" w:line="240" w:lineRule="auto"/>
              <w:ind w:left="374"/>
              <w:rPr>
                <w:rFonts w:ascii="Cambria" w:hAnsi="Cambria"/>
                <w:lang w:val="it-IT"/>
              </w:rPr>
            </w:pPr>
            <w:proofErr w:type="spellStart"/>
            <w:r w:rsidRPr="00587D5D">
              <w:rPr>
                <w:rFonts w:ascii="Cambria" w:hAnsi="Cambria"/>
                <w:lang w:val="it-IT"/>
              </w:rPr>
              <w:t>Jezik</w:t>
            </w:r>
            <w:proofErr w:type="spellEnd"/>
            <w:r w:rsidRPr="00587D5D">
              <w:rPr>
                <w:rFonts w:ascii="Cambria" w:hAnsi="Cambria"/>
                <w:lang w:val="it-IT"/>
              </w:rPr>
              <w:t xml:space="preserve"> i stil </w:t>
            </w:r>
            <w:proofErr w:type="spellStart"/>
            <w:r w:rsidRPr="00587D5D">
              <w:rPr>
                <w:rFonts w:ascii="Cambria" w:hAnsi="Cambria"/>
                <w:lang w:val="it-IT"/>
              </w:rPr>
              <w:t>znanstvenoga</w:t>
            </w:r>
            <w:proofErr w:type="spellEnd"/>
            <w:r w:rsidRPr="00587D5D">
              <w:rPr>
                <w:rFonts w:ascii="Cambria" w:hAnsi="Cambria"/>
                <w:lang w:val="it-IT"/>
              </w:rPr>
              <w:t xml:space="preserve"> </w:t>
            </w:r>
            <w:proofErr w:type="spellStart"/>
            <w:r w:rsidRPr="00587D5D">
              <w:rPr>
                <w:rFonts w:ascii="Cambria" w:hAnsi="Cambria"/>
                <w:lang w:val="it-IT"/>
              </w:rPr>
              <w:t>teksta</w:t>
            </w:r>
            <w:proofErr w:type="spellEnd"/>
            <w:r w:rsidRPr="00587D5D">
              <w:rPr>
                <w:rFonts w:ascii="Cambria" w:hAnsi="Cambria"/>
                <w:lang w:val="it-IT"/>
              </w:rPr>
              <w:t xml:space="preserve">. </w:t>
            </w:r>
          </w:p>
        </w:tc>
      </w:tr>
      <w:tr w:rsidR="00587D5D" w:rsidRPr="005E3632" w14:paraId="02BBB798" w14:textId="77777777" w:rsidTr="00587D5D">
        <w:tc>
          <w:tcPr>
            <w:tcW w:w="2784"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hideMark/>
          </w:tcPr>
          <w:p w14:paraId="4FC49991" w14:textId="77777777" w:rsidR="00587D5D" w:rsidRPr="00587D5D" w:rsidRDefault="00587D5D" w:rsidP="00587D5D">
            <w:pPr>
              <w:autoSpaceDE w:val="0"/>
              <w:autoSpaceDN w:val="0"/>
              <w:adjustRightInd w:val="0"/>
              <w:spacing w:after="0" w:line="240" w:lineRule="auto"/>
              <w:rPr>
                <w:rFonts w:ascii="Cambria" w:hAnsi="Cambria"/>
                <w:lang w:val="it-IT"/>
              </w:rPr>
            </w:pPr>
            <w:proofErr w:type="spellStart"/>
            <w:r w:rsidRPr="00587D5D">
              <w:rPr>
                <w:rFonts w:ascii="Cambria" w:hAnsi="Cambria"/>
                <w:lang w:val="it-IT"/>
              </w:rPr>
              <w:t>Planirane</w:t>
            </w:r>
            <w:proofErr w:type="spellEnd"/>
            <w:r w:rsidRPr="00587D5D">
              <w:rPr>
                <w:rFonts w:ascii="Cambria" w:hAnsi="Cambria"/>
                <w:lang w:val="it-IT"/>
              </w:rPr>
              <w:t xml:space="preserve"> </w:t>
            </w:r>
            <w:proofErr w:type="spellStart"/>
            <w:r w:rsidRPr="00587D5D">
              <w:rPr>
                <w:rFonts w:ascii="Cambria" w:hAnsi="Cambria"/>
                <w:lang w:val="it-IT"/>
              </w:rPr>
              <w:t>aktivnosti</w:t>
            </w:r>
            <w:proofErr w:type="spellEnd"/>
            <w:r w:rsidRPr="00587D5D">
              <w:rPr>
                <w:rFonts w:ascii="Cambria" w:hAnsi="Cambria"/>
                <w:lang w:val="it-IT"/>
              </w:rPr>
              <w:t>,</w:t>
            </w:r>
          </w:p>
          <w:p w14:paraId="444438E0" w14:textId="77777777" w:rsidR="00587D5D" w:rsidRPr="00587D5D" w:rsidRDefault="00587D5D" w:rsidP="00587D5D">
            <w:pPr>
              <w:autoSpaceDE w:val="0"/>
              <w:autoSpaceDN w:val="0"/>
              <w:adjustRightInd w:val="0"/>
              <w:spacing w:after="0" w:line="240" w:lineRule="auto"/>
              <w:rPr>
                <w:rFonts w:ascii="Cambria" w:hAnsi="Cambria"/>
                <w:lang w:val="it-IT"/>
              </w:rPr>
            </w:pPr>
            <w:proofErr w:type="spellStart"/>
            <w:r w:rsidRPr="00587D5D">
              <w:rPr>
                <w:rFonts w:ascii="Cambria" w:hAnsi="Cambria"/>
                <w:lang w:val="it-IT"/>
              </w:rPr>
              <w:t>metode</w:t>
            </w:r>
            <w:proofErr w:type="spellEnd"/>
            <w:r w:rsidRPr="00587D5D">
              <w:rPr>
                <w:rFonts w:ascii="Cambria" w:hAnsi="Cambria"/>
                <w:lang w:val="it-IT"/>
              </w:rPr>
              <w:t xml:space="preserve"> </w:t>
            </w:r>
            <w:proofErr w:type="spellStart"/>
            <w:r w:rsidRPr="00587D5D">
              <w:rPr>
                <w:rFonts w:ascii="Cambria" w:hAnsi="Cambria"/>
                <w:lang w:val="it-IT"/>
              </w:rPr>
              <w:t>učenja</w:t>
            </w:r>
            <w:proofErr w:type="spellEnd"/>
            <w:r w:rsidRPr="00587D5D">
              <w:rPr>
                <w:rFonts w:ascii="Cambria" w:hAnsi="Cambria"/>
                <w:lang w:val="it-IT"/>
              </w:rPr>
              <w:t xml:space="preserve"> i </w:t>
            </w:r>
            <w:proofErr w:type="spellStart"/>
            <w:r w:rsidRPr="00587D5D">
              <w:rPr>
                <w:rFonts w:ascii="Cambria" w:hAnsi="Cambria"/>
                <w:lang w:val="it-IT"/>
              </w:rPr>
              <w:t>poučavanja</w:t>
            </w:r>
            <w:proofErr w:type="spellEnd"/>
            <w:r w:rsidRPr="00587D5D">
              <w:rPr>
                <w:rFonts w:ascii="Cambria" w:hAnsi="Cambria"/>
                <w:lang w:val="it-IT"/>
              </w:rPr>
              <w:t xml:space="preserve"> i </w:t>
            </w:r>
            <w:proofErr w:type="spellStart"/>
            <w:r w:rsidRPr="00587D5D">
              <w:rPr>
                <w:rFonts w:ascii="Cambria" w:hAnsi="Cambria"/>
                <w:lang w:val="it-IT"/>
              </w:rPr>
              <w:t>načini</w:t>
            </w:r>
            <w:proofErr w:type="spellEnd"/>
            <w:r w:rsidRPr="00587D5D">
              <w:rPr>
                <w:rFonts w:ascii="Cambria" w:hAnsi="Cambria"/>
                <w:lang w:val="it-IT"/>
              </w:rPr>
              <w:t xml:space="preserve"> </w:t>
            </w:r>
            <w:proofErr w:type="spellStart"/>
            <w:r w:rsidRPr="00587D5D">
              <w:rPr>
                <w:rFonts w:ascii="Cambria" w:hAnsi="Cambria"/>
                <w:lang w:val="it-IT"/>
              </w:rPr>
              <w:t>vrednovanja</w:t>
            </w:r>
            <w:proofErr w:type="spellEnd"/>
          </w:p>
          <w:p w14:paraId="0846C41E" w14:textId="77777777" w:rsidR="00587D5D" w:rsidRPr="00587D5D" w:rsidRDefault="00587D5D" w:rsidP="00587D5D">
            <w:pPr>
              <w:autoSpaceDE w:val="0"/>
              <w:autoSpaceDN w:val="0"/>
              <w:adjustRightInd w:val="0"/>
              <w:spacing w:after="0" w:line="240" w:lineRule="auto"/>
              <w:rPr>
                <w:rFonts w:ascii="Cambria" w:hAnsi="Cambria"/>
                <w:lang w:val="it-IT"/>
              </w:rPr>
            </w:pPr>
          </w:p>
        </w:tc>
        <w:tc>
          <w:tcPr>
            <w:tcW w:w="274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DDE651A" w14:textId="77777777" w:rsidR="00587D5D" w:rsidRPr="005E3632" w:rsidRDefault="00587D5D" w:rsidP="00587D5D">
            <w:pPr>
              <w:autoSpaceDE w:val="0"/>
              <w:autoSpaceDN w:val="0"/>
              <w:adjustRightInd w:val="0"/>
              <w:spacing w:after="0" w:line="240" w:lineRule="auto"/>
              <w:rPr>
                <w:rFonts w:ascii="Cambria" w:hAnsi="Cambria"/>
              </w:rPr>
            </w:pPr>
            <w:proofErr w:type="spellStart"/>
            <w:r w:rsidRPr="005E3632">
              <w:rPr>
                <w:rFonts w:ascii="Cambria" w:hAnsi="Cambria"/>
                <w:bCs/>
              </w:rPr>
              <w:t>Obveze</w:t>
            </w:r>
            <w:proofErr w:type="spellEnd"/>
            <w:r w:rsidRPr="005E3632">
              <w:rPr>
                <w:rFonts w:ascii="Cambria" w:hAnsi="Cambria"/>
                <w:bCs/>
              </w:rPr>
              <w:t xml:space="preserve"> </w:t>
            </w:r>
          </w:p>
          <w:p w14:paraId="77D964BE" w14:textId="77777777" w:rsidR="00587D5D" w:rsidRPr="005E3632" w:rsidRDefault="00587D5D" w:rsidP="00587D5D">
            <w:pPr>
              <w:autoSpaceDE w:val="0"/>
              <w:autoSpaceDN w:val="0"/>
              <w:adjustRightInd w:val="0"/>
              <w:spacing w:after="0" w:line="240" w:lineRule="auto"/>
              <w:rPr>
                <w:rFonts w:ascii="Cambria" w:hAnsi="Cambria"/>
              </w:rPr>
            </w:pPr>
          </w:p>
        </w:tc>
        <w:tc>
          <w:tcPr>
            <w:tcW w:w="88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9FAC61B" w14:textId="77777777" w:rsidR="00587D5D" w:rsidRPr="005E3632" w:rsidRDefault="00587D5D" w:rsidP="00587D5D">
            <w:pPr>
              <w:autoSpaceDE w:val="0"/>
              <w:autoSpaceDN w:val="0"/>
              <w:adjustRightInd w:val="0"/>
              <w:spacing w:after="0" w:line="240" w:lineRule="auto"/>
              <w:rPr>
                <w:rFonts w:ascii="Cambria" w:hAnsi="Cambria"/>
              </w:rPr>
            </w:pPr>
            <w:proofErr w:type="spellStart"/>
            <w:r w:rsidRPr="005E3632">
              <w:rPr>
                <w:rFonts w:ascii="Cambria" w:hAnsi="Cambria"/>
                <w:bCs/>
              </w:rPr>
              <w:t>Ishodi</w:t>
            </w:r>
            <w:proofErr w:type="spellEnd"/>
          </w:p>
          <w:p w14:paraId="548EE807" w14:textId="77777777" w:rsidR="00587D5D" w:rsidRPr="005E3632" w:rsidRDefault="00587D5D" w:rsidP="00587D5D">
            <w:pPr>
              <w:autoSpaceDE w:val="0"/>
              <w:autoSpaceDN w:val="0"/>
              <w:adjustRightInd w:val="0"/>
              <w:spacing w:after="0" w:line="240" w:lineRule="auto"/>
              <w:rPr>
                <w:rFonts w:ascii="Cambria" w:hAnsi="Cambria"/>
              </w:rPr>
            </w:pPr>
          </w:p>
        </w:tc>
        <w:tc>
          <w:tcPr>
            <w:tcW w:w="84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96835CE" w14:textId="77777777" w:rsidR="00587D5D" w:rsidRPr="005E3632" w:rsidRDefault="00587D5D" w:rsidP="00587D5D">
            <w:pPr>
              <w:autoSpaceDE w:val="0"/>
              <w:autoSpaceDN w:val="0"/>
              <w:adjustRightInd w:val="0"/>
              <w:spacing w:after="0" w:line="240" w:lineRule="auto"/>
              <w:rPr>
                <w:rFonts w:ascii="Cambria" w:hAnsi="Cambria"/>
              </w:rPr>
            </w:pPr>
            <w:r w:rsidRPr="005E3632">
              <w:rPr>
                <w:rFonts w:ascii="Cambria" w:hAnsi="Cambria"/>
                <w:bCs/>
              </w:rPr>
              <w:t>Sati</w:t>
            </w:r>
          </w:p>
        </w:tc>
        <w:tc>
          <w:tcPr>
            <w:tcW w:w="88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DE4CA77" w14:textId="77777777" w:rsidR="00587D5D" w:rsidRPr="005E3632" w:rsidRDefault="00587D5D" w:rsidP="00587D5D">
            <w:pPr>
              <w:autoSpaceDE w:val="0"/>
              <w:autoSpaceDN w:val="0"/>
              <w:adjustRightInd w:val="0"/>
              <w:spacing w:after="0" w:line="240" w:lineRule="auto"/>
              <w:rPr>
                <w:rFonts w:ascii="Cambria" w:hAnsi="Cambria"/>
              </w:rPr>
            </w:pPr>
            <w:r w:rsidRPr="005E3632">
              <w:rPr>
                <w:rFonts w:ascii="Cambria" w:hAnsi="Cambria"/>
                <w:bCs/>
              </w:rPr>
              <w:t>ECTS</w:t>
            </w:r>
          </w:p>
        </w:tc>
        <w:tc>
          <w:tcPr>
            <w:tcW w:w="16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D3844FF" w14:textId="77777777" w:rsidR="00587D5D" w:rsidRPr="005E3632" w:rsidRDefault="00587D5D" w:rsidP="00587D5D">
            <w:pPr>
              <w:autoSpaceDE w:val="0"/>
              <w:autoSpaceDN w:val="0"/>
              <w:adjustRightInd w:val="0"/>
              <w:spacing w:after="0" w:line="240" w:lineRule="auto"/>
              <w:rPr>
                <w:rFonts w:ascii="Cambria" w:hAnsi="Cambria"/>
              </w:rPr>
            </w:pPr>
            <w:proofErr w:type="spellStart"/>
            <w:r w:rsidRPr="005E3632">
              <w:rPr>
                <w:rFonts w:ascii="Cambria" w:hAnsi="Cambria"/>
                <w:bCs/>
              </w:rPr>
              <w:t>Maksimalni</w:t>
            </w:r>
            <w:proofErr w:type="spellEnd"/>
            <w:r w:rsidRPr="005E3632">
              <w:rPr>
                <w:rFonts w:ascii="Cambria" w:hAnsi="Cambria"/>
                <w:bCs/>
              </w:rPr>
              <w:t xml:space="preserve"> </w:t>
            </w:r>
            <w:proofErr w:type="spellStart"/>
            <w:r w:rsidRPr="005E3632">
              <w:rPr>
                <w:rFonts w:ascii="Cambria" w:hAnsi="Cambria"/>
                <w:bCs/>
              </w:rPr>
              <w:t>udio</w:t>
            </w:r>
            <w:proofErr w:type="spellEnd"/>
            <w:r w:rsidRPr="005E3632">
              <w:rPr>
                <w:rFonts w:ascii="Cambria" w:hAnsi="Cambria"/>
                <w:bCs/>
              </w:rPr>
              <w:t xml:space="preserve"> u </w:t>
            </w:r>
            <w:proofErr w:type="spellStart"/>
            <w:r w:rsidRPr="005E3632">
              <w:rPr>
                <w:rFonts w:ascii="Cambria" w:hAnsi="Cambria"/>
                <w:bCs/>
              </w:rPr>
              <w:t>ocjeni</w:t>
            </w:r>
            <w:proofErr w:type="spellEnd"/>
            <w:r w:rsidRPr="005E3632">
              <w:rPr>
                <w:rFonts w:ascii="Cambria" w:hAnsi="Cambria"/>
                <w:bCs/>
              </w:rPr>
              <w:t xml:space="preserve"> (%)</w:t>
            </w:r>
          </w:p>
        </w:tc>
      </w:tr>
      <w:tr w:rsidR="00587D5D" w:rsidRPr="005E3632" w14:paraId="539F5920" w14:textId="77777777" w:rsidTr="00587D5D">
        <w:tc>
          <w:tcPr>
            <w:tcW w:w="2784" w:type="dxa"/>
            <w:vMerge/>
            <w:tcBorders>
              <w:left w:val="single" w:sz="8" w:space="0" w:color="000000"/>
              <w:right w:val="single" w:sz="8" w:space="0" w:color="000000"/>
            </w:tcBorders>
            <w:vAlign w:val="center"/>
            <w:hideMark/>
          </w:tcPr>
          <w:p w14:paraId="767EE43C" w14:textId="77777777" w:rsidR="00587D5D" w:rsidRPr="005E3632" w:rsidRDefault="00587D5D" w:rsidP="00587D5D">
            <w:pPr>
              <w:autoSpaceDE w:val="0"/>
              <w:autoSpaceDN w:val="0"/>
              <w:adjustRightInd w:val="0"/>
              <w:spacing w:after="0" w:line="240" w:lineRule="auto"/>
              <w:rPr>
                <w:rFonts w:ascii="Cambria" w:hAnsi="Cambria"/>
              </w:rPr>
            </w:pPr>
          </w:p>
        </w:tc>
        <w:tc>
          <w:tcPr>
            <w:tcW w:w="274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D06BD78" w14:textId="77777777" w:rsidR="00587D5D" w:rsidRPr="00587D5D" w:rsidRDefault="00587D5D" w:rsidP="00587D5D">
            <w:pPr>
              <w:autoSpaceDE w:val="0"/>
              <w:autoSpaceDN w:val="0"/>
              <w:adjustRightInd w:val="0"/>
              <w:spacing w:after="0" w:line="240" w:lineRule="auto"/>
              <w:rPr>
                <w:rFonts w:ascii="Cambria" w:hAnsi="Cambria"/>
                <w:lang w:val="it-IT"/>
              </w:rPr>
            </w:pPr>
            <w:proofErr w:type="spellStart"/>
            <w:r w:rsidRPr="00587D5D">
              <w:rPr>
                <w:rFonts w:ascii="Cambria" w:hAnsi="Cambria"/>
                <w:lang w:val="it-IT"/>
              </w:rPr>
              <w:t>aktivnosti</w:t>
            </w:r>
            <w:proofErr w:type="spellEnd"/>
            <w:r w:rsidRPr="00587D5D">
              <w:rPr>
                <w:rFonts w:ascii="Cambria" w:hAnsi="Cambria"/>
                <w:lang w:val="it-IT"/>
              </w:rPr>
              <w:t xml:space="preserve"> </w:t>
            </w:r>
            <w:proofErr w:type="spellStart"/>
            <w:r w:rsidRPr="00587D5D">
              <w:rPr>
                <w:rFonts w:ascii="Cambria" w:hAnsi="Cambria"/>
                <w:lang w:val="it-IT"/>
              </w:rPr>
              <w:t>na</w:t>
            </w:r>
            <w:proofErr w:type="spellEnd"/>
            <w:r w:rsidRPr="00587D5D">
              <w:rPr>
                <w:rFonts w:ascii="Cambria" w:hAnsi="Cambria"/>
                <w:lang w:val="it-IT"/>
              </w:rPr>
              <w:t xml:space="preserve"> </w:t>
            </w:r>
            <w:proofErr w:type="spellStart"/>
            <w:r w:rsidRPr="00587D5D">
              <w:rPr>
                <w:rFonts w:ascii="Cambria" w:hAnsi="Cambria"/>
                <w:lang w:val="it-IT"/>
              </w:rPr>
              <w:t>nastavi</w:t>
            </w:r>
            <w:proofErr w:type="spellEnd"/>
            <w:r w:rsidRPr="00587D5D">
              <w:rPr>
                <w:rFonts w:ascii="Cambria" w:hAnsi="Cambria"/>
                <w:lang w:val="it-IT"/>
              </w:rPr>
              <w:t xml:space="preserve"> (P, S, V)</w:t>
            </w:r>
          </w:p>
        </w:tc>
        <w:tc>
          <w:tcPr>
            <w:tcW w:w="88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69F961D" w14:textId="77777777" w:rsidR="00587D5D" w:rsidRPr="005E3632" w:rsidRDefault="00587D5D" w:rsidP="00587D5D">
            <w:pPr>
              <w:autoSpaceDE w:val="0"/>
              <w:autoSpaceDN w:val="0"/>
              <w:adjustRightInd w:val="0"/>
              <w:spacing w:after="0" w:line="240" w:lineRule="auto"/>
              <w:jc w:val="center"/>
              <w:rPr>
                <w:rFonts w:ascii="Cambria" w:hAnsi="Cambria"/>
              </w:rPr>
            </w:pPr>
            <w:r w:rsidRPr="005E3632">
              <w:rPr>
                <w:rFonts w:ascii="Cambria" w:hAnsi="Cambria"/>
              </w:rPr>
              <w:t xml:space="preserve">1. </w:t>
            </w:r>
            <w:r>
              <w:rPr>
                <w:rFonts w:ascii="Cambria" w:hAnsi="Cambria"/>
              </w:rPr>
              <w:t>–</w:t>
            </w:r>
            <w:r w:rsidRPr="005E3632">
              <w:rPr>
                <w:rFonts w:ascii="Cambria" w:hAnsi="Cambria"/>
              </w:rPr>
              <w:t xml:space="preserve"> 4.</w:t>
            </w:r>
          </w:p>
        </w:tc>
        <w:tc>
          <w:tcPr>
            <w:tcW w:w="84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34E9135" w14:textId="77777777" w:rsidR="00587D5D" w:rsidRPr="005E3632" w:rsidRDefault="00587D5D" w:rsidP="00587D5D">
            <w:pPr>
              <w:autoSpaceDE w:val="0"/>
              <w:autoSpaceDN w:val="0"/>
              <w:adjustRightInd w:val="0"/>
              <w:spacing w:after="0" w:line="240" w:lineRule="auto"/>
              <w:jc w:val="center"/>
              <w:rPr>
                <w:rFonts w:ascii="Cambria" w:hAnsi="Cambria"/>
              </w:rPr>
            </w:pPr>
            <w:r w:rsidRPr="008219F3">
              <w:rPr>
                <w:rFonts w:ascii="Cambria" w:hAnsi="Cambria"/>
              </w:rPr>
              <w:t>23</w:t>
            </w:r>
          </w:p>
        </w:tc>
        <w:tc>
          <w:tcPr>
            <w:tcW w:w="88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8255A58" w14:textId="77777777" w:rsidR="00587D5D" w:rsidRPr="005E3632" w:rsidRDefault="00587D5D" w:rsidP="00587D5D">
            <w:pPr>
              <w:autoSpaceDE w:val="0"/>
              <w:autoSpaceDN w:val="0"/>
              <w:adjustRightInd w:val="0"/>
              <w:spacing w:after="0" w:line="240" w:lineRule="auto"/>
              <w:jc w:val="center"/>
              <w:rPr>
                <w:rFonts w:ascii="Cambria" w:hAnsi="Cambria"/>
              </w:rPr>
            </w:pPr>
            <w:r w:rsidRPr="005E3632">
              <w:rPr>
                <w:rFonts w:ascii="Cambria" w:hAnsi="Cambria"/>
              </w:rPr>
              <w:t>0,8</w:t>
            </w:r>
          </w:p>
        </w:tc>
        <w:tc>
          <w:tcPr>
            <w:tcW w:w="16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C07D5BB" w14:textId="77777777" w:rsidR="00587D5D" w:rsidRPr="005E3632" w:rsidRDefault="00587D5D" w:rsidP="00587D5D">
            <w:pPr>
              <w:autoSpaceDE w:val="0"/>
              <w:autoSpaceDN w:val="0"/>
              <w:adjustRightInd w:val="0"/>
              <w:spacing w:after="0" w:line="240" w:lineRule="auto"/>
              <w:jc w:val="center"/>
              <w:rPr>
                <w:rFonts w:ascii="Cambria" w:hAnsi="Cambria"/>
              </w:rPr>
            </w:pPr>
            <w:r w:rsidRPr="005E3632">
              <w:rPr>
                <w:rFonts w:ascii="Cambria" w:hAnsi="Cambria"/>
              </w:rPr>
              <w:t>0%</w:t>
            </w:r>
          </w:p>
        </w:tc>
      </w:tr>
      <w:tr w:rsidR="00587D5D" w:rsidRPr="005E3632" w14:paraId="10B4D90E" w14:textId="77777777" w:rsidTr="00587D5D">
        <w:tc>
          <w:tcPr>
            <w:tcW w:w="2784" w:type="dxa"/>
            <w:vMerge/>
            <w:tcBorders>
              <w:left w:val="single" w:sz="8" w:space="0" w:color="000000"/>
              <w:right w:val="single" w:sz="8" w:space="0" w:color="000000"/>
            </w:tcBorders>
            <w:vAlign w:val="center"/>
            <w:hideMark/>
          </w:tcPr>
          <w:p w14:paraId="3EE89714" w14:textId="77777777" w:rsidR="00587D5D" w:rsidRPr="005E3632" w:rsidRDefault="00587D5D" w:rsidP="00587D5D">
            <w:pPr>
              <w:autoSpaceDE w:val="0"/>
              <w:autoSpaceDN w:val="0"/>
              <w:adjustRightInd w:val="0"/>
              <w:spacing w:after="0" w:line="240" w:lineRule="auto"/>
              <w:rPr>
                <w:rFonts w:ascii="Cambria" w:hAnsi="Cambria"/>
              </w:rPr>
            </w:pPr>
          </w:p>
        </w:tc>
        <w:tc>
          <w:tcPr>
            <w:tcW w:w="274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BF8B5D3" w14:textId="7D8D55C0" w:rsidR="00587D5D" w:rsidRPr="005E3632" w:rsidRDefault="00587D5D" w:rsidP="00587D5D">
            <w:pPr>
              <w:autoSpaceDE w:val="0"/>
              <w:autoSpaceDN w:val="0"/>
              <w:adjustRightInd w:val="0"/>
              <w:spacing w:after="0" w:line="240" w:lineRule="auto"/>
              <w:rPr>
                <w:rFonts w:ascii="Cambria" w:hAnsi="Cambria"/>
              </w:rPr>
            </w:pPr>
            <w:proofErr w:type="spellStart"/>
            <w:r w:rsidRPr="005E3632">
              <w:rPr>
                <w:rFonts w:ascii="Cambria" w:hAnsi="Cambria"/>
              </w:rPr>
              <w:t>pisani</w:t>
            </w:r>
            <w:proofErr w:type="spellEnd"/>
            <w:r w:rsidRPr="005E3632">
              <w:rPr>
                <w:rFonts w:ascii="Cambria" w:hAnsi="Cambria"/>
              </w:rPr>
              <w:t xml:space="preserve"> </w:t>
            </w:r>
            <w:proofErr w:type="spellStart"/>
            <w:r w:rsidRPr="005E3632">
              <w:rPr>
                <w:rFonts w:ascii="Cambria" w:hAnsi="Cambria"/>
              </w:rPr>
              <w:t>radovi</w:t>
            </w:r>
            <w:proofErr w:type="spellEnd"/>
            <w:r>
              <w:rPr>
                <w:rFonts w:ascii="Cambria" w:hAnsi="Cambria"/>
              </w:rPr>
              <w:t xml:space="preserve"> (</w:t>
            </w:r>
            <w:proofErr w:type="spellStart"/>
            <w:r>
              <w:rPr>
                <w:rFonts w:ascii="Cambria" w:hAnsi="Cambria"/>
              </w:rPr>
              <w:t>kolokvij</w:t>
            </w:r>
            <w:proofErr w:type="spellEnd"/>
            <w:r>
              <w:rPr>
                <w:rFonts w:ascii="Cambria" w:hAnsi="Cambria"/>
              </w:rPr>
              <w:t>)</w:t>
            </w:r>
          </w:p>
        </w:tc>
        <w:tc>
          <w:tcPr>
            <w:tcW w:w="88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F645E82" w14:textId="77777777" w:rsidR="00587D5D" w:rsidRPr="005E3632" w:rsidRDefault="00587D5D" w:rsidP="00587D5D">
            <w:pPr>
              <w:autoSpaceDE w:val="0"/>
              <w:autoSpaceDN w:val="0"/>
              <w:adjustRightInd w:val="0"/>
              <w:spacing w:after="0" w:line="240" w:lineRule="auto"/>
              <w:jc w:val="center"/>
              <w:rPr>
                <w:rFonts w:ascii="Cambria" w:hAnsi="Cambria"/>
              </w:rPr>
            </w:pPr>
            <w:r w:rsidRPr="005E3632">
              <w:rPr>
                <w:rFonts w:ascii="Cambria" w:hAnsi="Cambria"/>
              </w:rPr>
              <w:t>1.</w:t>
            </w:r>
            <w:r>
              <w:rPr>
                <w:rFonts w:ascii="Cambria" w:hAnsi="Cambria"/>
              </w:rPr>
              <w:t xml:space="preserve"> –</w:t>
            </w:r>
            <w:r w:rsidRPr="005E3632">
              <w:rPr>
                <w:rFonts w:ascii="Cambria" w:hAnsi="Cambria"/>
              </w:rPr>
              <w:t xml:space="preserve"> 4.</w:t>
            </w:r>
          </w:p>
        </w:tc>
        <w:tc>
          <w:tcPr>
            <w:tcW w:w="84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88A68A3" w14:textId="2CC94BE1" w:rsidR="00587D5D" w:rsidRPr="005E3632" w:rsidRDefault="00587D5D" w:rsidP="00587D5D">
            <w:pPr>
              <w:autoSpaceDE w:val="0"/>
              <w:autoSpaceDN w:val="0"/>
              <w:adjustRightInd w:val="0"/>
              <w:spacing w:after="0" w:line="240" w:lineRule="auto"/>
              <w:jc w:val="center"/>
              <w:rPr>
                <w:rFonts w:ascii="Cambria" w:hAnsi="Cambria"/>
              </w:rPr>
            </w:pPr>
            <w:r>
              <w:rPr>
                <w:rFonts w:ascii="Cambria" w:hAnsi="Cambria"/>
              </w:rPr>
              <w:t>37</w:t>
            </w:r>
          </w:p>
        </w:tc>
        <w:tc>
          <w:tcPr>
            <w:tcW w:w="88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0DCECAA" w14:textId="1B0248DC" w:rsidR="00587D5D" w:rsidRPr="005E3632" w:rsidRDefault="00587D5D" w:rsidP="00587D5D">
            <w:pPr>
              <w:autoSpaceDE w:val="0"/>
              <w:autoSpaceDN w:val="0"/>
              <w:adjustRightInd w:val="0"/>
              <w:spacing w:after="0" w:line="240" w:lineRule="auto"/>
              <w:jc w:val="center"/>
              <w:rPr>
                <w:rFonts w:ascii="Cambria" w:hAnsi="Cambria"/>
              </w:rPr>
            </w:pPr>
            <w:r>
              <w:rPr>
                <w:rFonts w:ascii="Cambria" w:hAnsi="Cambria"/>
              </w:rPr>
              <w:t>1,2</w:t>
            </w:r>
          </w:p>
        </w:tc>
        <w:tc>
          <w:tcPr>
            <w:tcW w:w="16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66FF91F" w14:textId="77777777" w:rsidR="00587D5D" w:rsidRPr="005E3632" w:rsidRDefault="00587D5D" w:rsidP="00587D5D">
            <w:pPr>
              <w:autoSpaceDE w:val="0"/>
              <w:autoSpaceDN w:val="0"/>
              <w:adjustRightInd w:val="0"/>
              <w:spacing w:after="0" w:line="240" w:lineRule="auto"/>
              <w:jc w:val="center"/>
              <w:rPr>
                <w:rFonts w:ascii="Cambria" w:hAnsi="Cambria"/>
              </w:rPr>
            </w:pPr>
            <w:r>
              <w:rPr>
                <w:rFonts w:ascii="Cambria" w:hAnsi="Cambria"/>
              </w:rPr>
              <w:t>2</w:t>
            </w:r>
            <w:r w:rsidRPr="005E3632">
              <w:rPr>
                <w:rFonts w:ascii="Cambria" w:hAnsi="Cambria"/>
              </w:rPr>
              <w:t>0%</w:t>
            </w:r>
          </w:p>
        </w:tc>
      </w:tr>
      <w:tr w:rsidR="00587D5D" w:rsidRPr="005E3632" w14:paraId="6E01604C" w14:textId="77777777" w:rsidTr="00587D5D">
        <w:tc>
          <w:tcPr>
            <w:tcW w:w="2784" w:type="dxa"/>
            <w:vMerge/>
            <w:tcBorders>
              <w:left w:val="single" w:sz="8" w:space="0" w:color="000000"/>
              <w:right w:val="single" w:sz="8" w:space="0" w:color="000000"/>
            </w:tcBorders>
            <w:vAlign w:val="center"/>
            <w:hideMark/>
          </w:tcPr>
          <w:p w14:paraId="04F7A9CF" w14:textId="77777777" w:rsidR="00587D5D" w:rsidRPr="005E3632" w:rsidRDefault="00587D5D" w:rsidP="00587D5D">
            <w:pPr>
              <w:autoSpaceDE w:val="0"/>
              <w:autoSpaceDN w:val="0"/>
              <w:adjustRightInd w:val="0"/>
              <w:spacing w:after="0" w:line="240" w:lineRule="auto"/>
              <w:rPr>
                <w:rFonts w:ascii="Cambria" w:hAnsi="Cambria"/>
              </w:rPr>
            </w:pPr>
          </w:p>
        </w:tc>
        <w:tc>
          <w:tcPr>
            <w:tcW w:w="274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C3A14C3" w14:textId="77777777" w:rsidR="00587D5D" w:rsidRPr="005E3632" w:rsidRDefault="00587D5D" w:rsidP="00587D5D">
            <w:pPr>
              <w:autoSpaceDE w:val="0"/>
              <w:autoSpaceDN w:val="0"/>
              <w:adjustRightInd w:val="0"/>
              <w:spacing w:after="0" w:line="240" w:lineRule="auto"/>
              <w:rPr>
                <w:rFonts w:ascii="Cambria" w:hAnsi="Cambria"/>
              </w:rPr>
            </w:pPr>
            <w:proofErr w:type="spellStart"/>
            <w:r w:rsidRPr="005E3632">
              <w:rPr>
                <w:rFonts w:ascii="Cambria" w:hAnsi="Cambria"/>
              </w:rPr>
              <w:t>ispit</w:t>
            </w:r>
            <w:proofErr w:type="spellEnd"/>
            <w:r w:rsidRPr="005E3632">
              <w:rPr>
                <w:rFonts w:ascii="Cambria" w:hAnsi="Cambria"/>
              </w:rPr>
              <w:t xml:space="preserve"> (</w:t>
            </w:r>
            <w:proofErr w:type="spellStart"/>
            <w:r w:rsidRPr="005E3632">
              <w:rPr>
                <w:rFonts w:ascii="Cambria" w:hAnsi="Cambria"/>
              </w:rPr>
              <w:t>usmeni</w:t>
            </w:r>
            <w:proofErr w:type="spellEnd"/>
            <w:r w:rsidRPr="005E3632">
              <w:rPr>
                <w:rFonts w:ascii="Cambria" w:hAnsi="Cambria"/>
              </w:rPr>
              <w:t>)</w:t>
            </w:r>
          </w:p>
        </w:tc>
        <w:tc>
          <w:tcPr>
            <w:tcW w:w="88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B3B36E9" w14:textId="77777777" w:rsidR="00587D5D" w:rsidRPr="005E3632" w:rsidRDefault="00587D5D" w:rsidP="00587D5D">
            <w:pPr>
              <w:autoSpaceDE w:val="0"/>
              <w:autoSpaceDN w:val="0"/>
              <w:adjustRightInd w:val="0"/>
              <w:spacing w:after="0" w:line="240" w:lineRule="auto"/>
              <w:jc w:val="center"/>
              <w:rPr>
                <w:rFonts w:ascii="Cambria" w:hAnsi="Cambria"/>
              </w:rPr>
            </w:pPr>
            <w:r w:rsidRPr="005E3632">
              <w:rPr>
                <w:rFonts w:ascii="Cambria" w:hAnsi="Cambria"/>
              </w:rPr>
              <w:t>1.</w:t>
            </w:r>
            <w:r>
              <w:rPr>
                <w:rFonts w:ascii="Cambria" w:hAnsi="Cambria"/>
              </w:rPr>
              <w:t xml:space="preserve"> –</w:t>
            </w:r>
            <w:r w:rsidRPr="005E3632">
              <w:rPr>
                <w:rFonts w:ascii="Cambria" w:hAnsi="Cambria"/>
              </w:rPr>
              <w:t xml:space="preserve"> 4.</w:t>
            </w:r>
            <w:r>
              <w:rPr>
                <w:rFonts w:ascii="Cambria" w:hAnsi="Cambria"/>
              </w:rPr>
              <w:t xml:space="preserve"> </w:t>
            </w:r>
          </w:p>
        </w:tc>
        <w:tc>
          <w:tcPr>
            <w:tcW w:w="84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9B659B8" w14:textId="77777777" w:rsidR="00587D5D" w:rsidRPr="005E3632" w:rsidRDefault="00587D5D" w:rsidP="00587D5D">
            <w:pPr>
              <w:autoSpaceDE w:val="0"/>
              <w:autoSpaceDN w:val="0"/>
              <w:adjustRightInd w:val="0"/>
              <w:spacing w:after="0" w:line="240" w:lineRule="auto"/>
              <w:jc w:val="center"/>
              <w:rPr>
                <w:rFonts w:ascii="Cambria" w:hAnsi="Cambria"/>
              </w:rPr>
            </w:pPr>
            <w:r w:rsidRPr="005E3632">
              <w:rPr>
                <w:rFonts w:ascii="Cambria" w:hAnsi="Cambria"/>
              </w:rPr>
              <w:t>30</w:t>
            </w:r>
          </w:p>
        </w:tc>
        <w:tc>
          <w:tcPr>
            <w:tcW w:w="88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39CAFDA" w14:textId="77777777" w:rsidR="00587D5D" w:rsidRPr="005E3632" w:rsidRDefault="00587D5D" w:rsidP="00587D5D">
            <w:pPr>
              <w:autoSpaceDE w:val="0"/>
              <w:autoSpaceDN w:val="0"/>
              <w:adjustRightInd w:val="0"/>
              <w:spacing w:after="0" w:line="240" w:lineRule="auto"/>
              <w:jc w:val="center"/>
              <w:rPr>
                <w:rFonts w:ascii="Cambria" w:hAnsi="Cambria"/>
              </w:rPr>
            </w:pPr>
            <w:r w:rsidRPr="005E3632">
              <w:rPr>
                <w:rFonts w:ascii="Cambria" w:hAnsi="Cambria"/>
              </w:rPr>
              <w:t>1</w:t>
            </w:r>
          </w:p>
        </w:tc>
        <w:tc>
          <w:tcPr>
            <w:tcW w:w="16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D130706" w14:textId="77777777" w:rsidR="00587D5D" w:rsidRPr="005E3632" w:rsidRDefault="00587D5D" w:rsidP="00587D5D">
            <w:pPr>
              <w:autoSpaceDE w:val="0"/>
              <w:autoSpaceDN w:val="0"/>
              <w:adjustRightInd w:val="0"/>
              <w:spacing w:after="0" w:line="240" w:lineRule="auto"/>
              <w:jc w:val="center"/>
              <w:rPr>
                <w:rFonts w:ascii="Cambria" w:hAnsi="Cambria"/>
              </w:rPr>
            </w:pPr>
            <w:r w:rsidRPr="005E3632">
              <w:rPr>
                <w:rFonts w:ascii="Cambria" w:hAnsi="Cambria"/>
              </w:rPr>
              <w:t>30%</w:t>
            </w:r>
          </w:p>
        </w:tc>
      </w:tr>
      <w:tr w:rsidR="00587D5D" w:rsidRPr="005E3632" w14:paraId="04C74657" w14:textId="77777777" w:rsidTr="00587D5D">
        <w:tc>
          <w:tcPr>
            <w:tcW w:w="2784" w:type="dxa"/>
            <w:vMerge/>
            <w:tcBorders>
              <w:left w:val="single" w:sz="8" w:space="0" w:color="000000"/>
              <w:right w:val="single" w:sz="8" w:space="0" w:color="000000"/>
            </w:tcBorders>
            <w:vAlign w:val="center"/>
            <w:hideMark/>
          </w:tcPr>
          <w:p w14:paraId="45D82BC2" w14:textId="77777777" w:rsidR="00587D5D" w:rsidRPr="005E3632" w:rsidRDefault="00587D5D" w:rsidP="00587D5D">
            <w:pPr>
              <w:autoSpaceDE w:val="0"/>
              <w:autoSpaceDN w:val="0"/>
              <w:adjustRightInd w:val="0"/>
              <w:spacing w:after="0" w:line="240" w:lineRule="auto"/>
              <w:rPr>
                <w:rFonts w:ascii="Cambria" w:hAnsi="Cambria"/>
              </w:rPr>
            </w:pPr>
          </w:p>
        </w:tc>
        <w:tc>
          <w:tcPr>
            <w:tcW w:w="3633"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1139DE7" w14:textId="77777777" w:rsidR="00587D5D" w:rsidRPr="005E3632" w:rsidRDefault="00587D5D" w:rsidP="00587D5D">
            <w:pPr>
              <w:autoSpaceDE w:val="0"/>
              <w:autoSpaceDN w:val="0"/>
              <w:adjustRightInd w:val="0"/>
              <w:spacing w:after="0" w:line="240" w:lineRule="auto"/>
              <w:rPr>
                <w:rFonts w:ascii="Cambria" w:hAnsi="Cambria"/>
              </w:rPr>
            </w:pPr>
            <w:proofErr w:type="spellStart"/>
            <w:r w:rsidRPr="005E3632">
              <w:rPr>
                <w:rFonts w:ascii="Cambria" w:hAnsi="Cambria"/>
              </w:rPr>
              <w:t>ukupno</w:t>
            </w:r>
            <w:proofErr w:type="spellEnd"/>
          </w:p>
        </w:tc>
        <w:tc>
          <w:tcPr>
            <w:tcW w:w="84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89D5407" w14:textId="5E7A80FE" w:rsidR="00587D5D" w:rsidRPr="005E3632" w:rsidRDefault="00587D5D" w:rsidP="00587D5D">
            <w:pPr>
              <w:autoSpaceDE w:val="0"/>
              <w:autoSpaceDN w:val="0"/>
              <w:adjustRightInd w:val="0"/>
              <w:spacing w:after="0" w:line="240" w:lineRule="auto"/>
              <w:jc w:val="center"/>
              <w:rPr>
                <w:rFonts w:ascii="Cambria" w:hAnsi="Cambria"/>
              </w:rPr>
            </w:pPr>
            <w:r>
              <w:rPr>
                <w:rFonts w:ascii="Cambria" w:hAnsi="Cambria"/>
              </w:rPr>
              <w:t>90</w:t>
            </w:r>
          </w:p>
        </w:tc>
        <w:tc>
          <w:tcPr>
            <w:tcW w:w="88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6AD515C" w14:textId="1AFBF517" w:rsidR="00587D5D" w:rsidRPr="005E3632" w:rsidRDefault="00587D5D" w:rsidP="00587D5D">
            <w:pPr>
              <w:autoSpaceDE w:val="0"/>
              <w:autoSpaceDN w:val="0"/>
              <w:adjustRightInd w:val="0"/>
              <w:spacing w:after="0" w:line="240" w:lineRule="auto"/>
              <w:jc w:val="center"/>
              <w:rPr>
                <w:rFonts w:ascii="Cambria" w:hAnsi="Cambria"/>
              </w:rPr>
            </w:pPr>
            <w:r>
              <w:rPr>
                <w:rFonts w:ascii="Cambria" w:hAnsi="Cambria"/>
              </w:rPr>
              <w:t>3</w:t>
            </w:r>
          </w:p>
        </w:tc>
        <w:tc>
          <w:tcPr>
            <w:tcW w:w="16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216EE78" w14:textId="77777777" w:rsidR="00587D5D" w:rsidRPr="005E3632" w:rsidRDefault="00587D5D" w:rsidP="00587D5D">
            <w:pPr>
              <w:autoSpaceDE w:val="0"/>
              <w:autoSpaceDN w:val="0"/>
              <w:adjustRightInd w:val="0"/>
              <w:spacing w:after="0" w:line="240" w:lineRule="auto"/>
              <w:jc w:val="center"/>
              <w:rPr>
                <w:rFonts w:ascii="Cambria" w:hAnsi="Cambria"/>
              </w:rPr>
            </w:pPr>
            <w:r w:rsidRPr="005E3632">
              <w:rPr>
                <w:rFonts w:ascii="Cambria" w:hAnsi="Cambria"/>
              </w:rPr>
              <w:t>100%</w:t>
            </w:r>
          </w:p>
        </w:tc>
      </w:tr>
      <w:tr w:rsidR="00587D5D" w:rsidRPr="00D0399C" w14:paraId="7B49A23C" w14:textId="77777777" w:rsidTr="00587D5D">
        <w:tc>
          <w:tcPr>
            <w:tcW w:w="2784" w:type="dxa"/>
            <w:vMerge/>
            <w:tcBorders>
              <w:left w:val="single" w:sz="8" w:space="0" w:color="000000"/>
              <w:bottom w:val="single" w:sz="8" w:space="0" w:color="000000"/>
              <w:right w:val="single" w:sz="8" w:space="0" w:color="000000"/>
            </w:tcBorders>
            <w:vAlign w:val="center"/>
          </w:tcPr>
          <w:p w14:paraId="6BE23BCA" w14:textId="77777777" w:rsidR="00587D5D" w:rsidRPr="005E3632" w:rsidRDefault="00587D5D" w:rsidP="00587D5D">
            <w:pPr>
              <w:autoSpaceDE w:val="0"/>
              <w:autoSpaceDN w:val="0"/>
              <w:adjustRightInd w:val="0"/>
              <w:spacing w:after="0" w:line="240" w:lineRule="auto"/>
              <w:rPr>
                <w:rFonts w:ascii="Cambria" w:hAnsi="Cambria"/>
              </w:rPr>
            </w:pPr>
          </w:p>
        </w:tc>
        <w:tc>
          <w:tcPr>
            <w:tcW w:w="6994"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11C9976" w14:textId="77777777" w:rsidR="00587D5D" w:rsidRPr="005E3632" w:rsidRDefault="00587D5D" w:rsidP="00587D5D">
            <w:pPr>
              <w:autoSpaceDE w:val="0"/>
              <w:autoSpaceDN w:val="0"/>
              <w:adjustRightInd w:val="0"/>
              <w:spacing w:after="0" w:line="240" w:lineRule="auto"/>
              <w:rPr>
                <w:rFonts w:ascii="Cambria" w:hAnsi="Cambria"/>
              </w:rPr>
            </w:pPr>
            <w:proofErr w:type="spellStart"/>
            <w:r w:rsidRPr="005E3632">
              <w:rPr>
                <w:rFonts w:ascii="Cambria" w:hAnsi="Cambria"/>
              </w:rPr>
              <w:t>Dodatna</w:t>
            </w:r>
            <w:proofErr w:type="spellEnd"/>
            <w:r w:rsidRPr="005E3632">
              <w:rPr>
                <w:rFonts w:ascii="Cambria" w:hAnsi="Cambria"/>
              </w:rPr>
              <w:t xml:space="preserve"> </w:t>
            </w:r>
            <w:proofErr w:type="spellStart"/>
            <w:r w:rsidRPr="005E3632">
              <w:rPr>
                <w:rFonts w:ascii="Cambria" w:hAnsi="Cambria"/>
              </w:rPr>
              <w:t>pojašnjenja</w:t>
            </w:r>
            <w:proofErr w:type="spellEnd"/>
            <w:r w:rsidRPr="005E3632">
              <w:rPr>
                <w:rFonts w:ascii="Cambria" w:hAnsi="Cambria"/>
              </w:rPr>
              <w:t xml:space="preserve"> (</w:t>
            </w:r>
            <w:proofErr w:type="spellStart"/>
            <w:r w:rsidRPr="005E3632">
              <w:rPr>
                <w:rFonts w:ascii="Cambria" w:hAnsi="Cambria"/>
              </w:rPr>
              <w:t>kriteriji</w:t>
            </w:r>
            <w:proofErr w:type="spellEnd"/>
            <w:r w:rsidRPr="005E3632">
              <w:rPr>
                <w:rFonts w:ascii="Cambria" w:hAnsi="Cambria"/>
              </w:rPr>
              <w:t xml:space="preserve"> </w:t>
            </w:r>
            <w:proofErr w:type="spellStart"/>
            <w:r w:rsidRPr="005E3632">
              <w:rPr>
                <w:rFonts w:ascii="Cambria" w:hAnsi="Cambria"/>
              </w:rPr>
              <w:t>ocjenjivanja</w:t>
            </w:r>
            <w:proofErr w:type="spellEnd"/>
            <w:r w:rsidRPr="005E3632">
              <w:rPr>
                <w:rFonts w:ascii="Cambria" w:hAnsi="Cambria"/>
              </w:rPr>
              <w:t>):</w:t>
            </w:r>
          </w:p>
          <w:p w14:paraId="21381F0F" w14:textId="77777777" w:rsidR="00587D5D" w:rsidRPr="005E3632" w:rsidRDefault="00587D5D" w:rsidP="00587D5D">
            <w:pPr>
              <w:autoSpaceDE w:val="0"/>
              <w:autoSpaceDN w:val="0"/>
              <w:adjustRightInd w:val="0"/>
              <w:spacing w:after="0" w:line="240" w:lineRule="auto"/>
              <w:rPr>
                <w:rFonts w:ascii="Cambria" w:hAnsi="Cambria"/>
              </w:rPr>
            </w:pPr>
            <w:proofErr w:type="spellStart"/>
            <w:r w:rsidRPr="005E3632">
              <w:rPr>
                <w:rFonts w:ascii="Cambria" w:hAnsi="Cambria"/>
              </w:rPr>
              <w:t>Prisutnost</w:t>
            </w:r>
            <w:proofErr w:type="spellEnd"/>
            <w:r w:rsidRPr="005E3632">
              <w:rPr>
                <w:rFonts w:ascii="Cambria" w:hAnsi="Cambria"/>
              </w:rPr>
              <w:t xml:space="preserve"> </w:t>
            </w:r>
            <w:proofErr w:type="spellStart"/>
            <w:r w:rsidRPr="005E3632">
              <w:rPr>
                <w:rFonts w:ascii="Cambria" w:hAnsi="Cambria"/>
              </w:rPr>
              <w:t>na</w:t>
            </w:r>
            <w:proofErr w:type="spellEnd"/>
            <w:r w:rsidRPr="005E3632">
              <w:rPr>
                <w:rFonts w:ascii="Cambria" w:hAnsi="Cambria"/>
              </w:rPr>
              <w:t xml:space="preserve"> </w:t>
            </w:r>
            <w:proofErr w:type="spellStart"/>
            <w:r w:rsidRPr="005E3632">
              <w:rPr>
                <w:rFonts w:ascii="Cambria" w:hAnsi="Cambria"/>
              </w:rPr>
              <w:t>nastavi</w:t>
            </w:r>
            <w:proofErr w:type="spellEnd"/>
          </w:p>
          <w:p w14:paraId="010C381A" w14:textId="77777777" w:rsidR="00587D5D" w:rsidRPr="00587D5D" w:rsidRDefault="00587D5D" w:rsidP="00587D5D">
            <w:pPr>
              <w:autoSpaceDE w:val="0"/>
              <w:autoSpaceDN w:val="0"/>
              <w:adjustRightInd w:val="0"/>
              <w:spacing w:after="0" w:line="240" w:lineRule="auto"/>
              <w:rPr>
                <w:rFonts w:ascii="Cambria" w:hAnsi="Cambria"/>
                <w:lang w:val="it-IT"/>
              </w:rPr>
            </w:pPr>
            <w:proofErr w:type="spellStart"/>
            <w:r w:rsidRPr="00587D5D">
              <w:rPr>
                <w:rFonts w:ascii="Cambria" w:hAnsi="Cambria"/>
                <w:lang w:val="it-IT"/>
              </w:rPr>
              <w:t>Tolerira</w:t>
            </w:r>
            <w:proofErr w:type="spellEnd"/>
            <w:r w:rsidRPr="00587D5D">
              <w:rPr>
                <w:rFonts w:ascii="Cambria" w:hAnsi="Cambria"/>
                <w:lang w:val="it-IT"/>
              </w:rPr>
              <w:t xml:space="preserve"> se 30% </w:t>
            </w:r>
            <w:proofErr w:type="spellStart"/>
            <w:r w:rsidRPr="00587D5D">
              <w:rPr>
                <w:rFonts w:ascii="Cambria" w:hAnsi="Cambria"/>
                <w:lang w:val="it-IT"/>
              </w:rPr>
              <w:t>izostanaka</w:t>
            </w:r>
            <w:proofErr w:type="spellEnd"/>
            <w:r w:rsidRPr="00587D5D">
              <w:rPr>
                <w:rFonts w:ascii="Cambria" w:hAnsi="Cambria"/>
                <w:lang w:val="it-IT"/>
              </w:rPr>
              <w:t xml:space="preserve"> i </w:t>
            </w:r>
            <w:proofErr w:type="spellStart"/>
            <w:r w:rsidRPr="00587D5D">
              <w:rPr>
                <w:rFonts w:ascii="Cambria" w:hAnsi="Cambria"/>
                <w:lang w:val="it-IT"/>
              </w:rPr>
              <w:t>njih</w:t>
            </w:r>
            <w:proofErr w:type="spellEnd"/>
            <w:r w:rsidRPr="00587D5D">
              <w:rPr>
                <w:rFonts w:ascii="Cambria" w:hAnsi="Cambria"/>
                <w:lang w:val="it-IT"/>
              </w:rPr>
              <w:t xml:space="preserve"> </w:t>
            </w:r>
            <w:proofErr w:type="spellStart"/>
            <w:r w:rsidRPr="00587D5D">
              <w:rPr>
                <w:rFonts w:ascii="Cambria" w:hAnsi="Cambria"/>
                <w:lang w:val="it-IT"/>
              </w:rPr>
              <w:t>nije</w:t>
            </w:r>
            <w:proofErr w:type="spellEnd"/>
            <w:r w:rsidRPr="00587D5D">
              <w:rPr>
                <w:rFonts w:ascii="Cambria" w:hAnsi="Cambria"/>
                <w:lang w:val="it-IT"/>
              </w:rPr>
              <w:t xml:space="preserve"> </w:t>
            </w:r>
            <w:proofErr w:type="spellStart"/>
            <w:r w:rsidRPr="00587D5D">
              <w:rPr>
                <w:rFonts w:ascii="Cambria" w:hAnsi="Cambria"/>
                <w:lang w:val="it-IT"/>
              </w:rPr>
              <w:t>potrebno</w:t>
            </w:r>
            <w:proofErr w:type="spellEnd"/>
            <w:r w:rsidRPr="00587D5D">
              <w:rPr>
                <w:rFonts w:ascii="Cambria" w:hAnsi="Cambria"/>
                <w:lang w:val="it-IT"/>
              </w:rPr>
              <w:t xml:space="preserve"> </w:t>
            </w:r>
            <w:proofErr w:type="spellStart"/>
            <w:r w:rsidRPr="00587D5D">
              <w:rPr>
                <w:rFonts w:ascii="Cambria" w:hAnsi="Cambria"/>
                <w:lang w:val="it-IT"/>
              </w:rPr>
              <w:t>opravdati</w:t>
            </w:r>
            <w:proofErr w:type="spellEnd"/>
            <w:r w:rsidRPr="00587D5D">
              <w:rPr>
                <w:rFonts w:ascii="Cambria" w:hAnsi="Cambria"/>
                <w:lang w:val="it-IT"/>
              </w:rPr>
              <w:t xml:space="preserve">. Studenti su </w:t>
            </w:r>
            <w:proofErr w:type="spellStart"/>
            <w:r w:rsidRPr="00587D5D">
              <w:rPr>
                <w:rFonts w:ascii="Cambria" w:hAnsi="Cambria"/>
                <w:lang w:val="it-IT"/>
              </w:rPr>
              <w:t>obvezni</w:t>
            </w:r>
            <w:proofErr w:type="spellEnd"/>
            <w:r w:rsidRPr="00587D5D">
              <w:rPr>
                <w:rFonts w:ascii="Cambria" w:hAnsi="Cambria"/>
                <w:lang w:val="it-IT"/>
              </w:rPr>
              <w:t xml:space="preserve"> </w:t>
            </w:r>
            <w:proofErr w:type="spellStart"/>
            <w:r w:rsidRPr="00587D5D">
              <w:rPr>
                <w:rFonts w:ascii="Cambria" w:hAnsi="Cambria"/>
                <w:lang w:val="it-IT"/>
              </w:rPr>
              <w:t>na</w:t>
            </w:r>
            <w:proofErr w:type="spellEnd"/>
            <w:r w:rsidRPr="00587D5D">
              <w:rPr>
                <w:rFonts w:ascii="Cambria" w:hAnsi="Cambria"/>
                <w:lang w:val="it-IT"/>
              </w:rPr>
              <w:t xml:space="preserve"> </w:t>
            </w:r>
            <w:proofErr w:type="spellStart"/>
            <w:r w:rsidRPr="00587D5D">
              <w:rPr>
                <w:rFonts w:ascii="Cambria" w:hAnsi="Cambria"/>
                <w:lang w:val="it-IT"/>
              </w:rPr>
              <w:t>vrijeme</w:t>
            </w:r>
            <w:proofErr w:type="spellEnd"/>
            <w:r w:rsidRPr="00587D5D">
              <w:rPr>
                <w:rFonts w:ascii="Cambria" w:hAnsi="Cambria"/>
                <w:lang w:val="it-IT"/>
              </w:rPr>
              <w:t xml:space="preserve"> </w:t>
            </w:r>
            <w:proofErr w:type="spellStart"/>
            <w:r w:rsidRPr="00587D5D">
              <w:rPr>
                <w:rFonts w:ascii="Cambria" w:hAnsi="Cambria"/>
                <w:lang w:val="it-IT"/>
              </w:rPr>
              <w:t>izvršavati</w:t>
            </w:r>
            <w:proofErr w:type="spellEnd"/>
            <w:r w:rsidRPr="00587D5D">
              <w:rPr>
                <w:rFonts w:ascii="Cambria" w:hAnsi="Cambria"/>
                <w:lang w:val="it-IT"/>
              </w:rPr>
              <w:t xml:space="preserve"> </w:t>
            </w:r>
            <w:proofErr w:type="spellStart"/>
            <w:r w:rsidRPr="00587D5D">
              <w:rPr>
                <w:rFonts w:ascii="Cambria" w:hAnsi="Cambria"/>
                <w:lang w:val="it-IT"/>
              </w:rPr>
              <w:t>postavljene</w:t>
            </w:r>
            <w:proofErr w:type="spellEnd"/>
            <w:r w:rsidRPr="00587D5D">
              <w:rPr>
                <w:rFonts w:ascii="Cambria" w:hAnsi="Cambria"/>
                <w:lang w:val="it-IT"/>
              </w:rPr>
              <w:t xml:space="preserve"> </w:t>
            </w:r>
            <w:proofErr w:type="spellStart"/>
            <w:r w:rsidRPr="00587D5D">
              <w:rPr>
                <w:rFonts w:ascii="Cambria" w:hAnsi="Cambria"/>
                <w:lang w:val="it-IT"/>
              </w:rPr>
              <w:t>zadatke</w:t>
            </w:r>
            <w:proofErr w:type="spellEnd"/>
            <w:r w:rsidRPr="00587D5D">
              <w:rPr>
                <w:rFonts w:ascii="Cambria" w:hAnsi="Cambria"/>
                <w:lang w:val="it-IT"/>
              </w:rPr>
              <w:t xml:space="preserve">. </w:t>
            </w:r>
            <w:proofErr w:type="spellStart"/>
            <w:r w:rsidRPr="00587D5D">
              <w:rPr>
                <w:rFonts w:ascii="Cambria" w:hAnsi="Cambria"/>
                <w:lang w:val="it-IT"/>
              </w:rPr>
              <w:t>Kontinuiranost</w:t>
            </w:r>
            <w:proofErr w:type="spellEnd"/>
            <w:r w:rsidRPr="00587D5D">
              <w:rPr>
                <w:rFonts w:ascii="Cambria" w:hAnsi="Cambria"/>
                <w:lang w:val="it-IT"/>
              </w:rPr>
              <w:t xml:space="preserve"> rada </w:t>
            </w:r>
            <w:proofErr w:type="spellStart"/>
            <w:r w:rsidRPr="00587D5D">
              <w:rPr>
                <w:rFonts w:ascii="Cambria" w:hAnsi="Cambria"/>
                <w:lang w:val="it-IT"/>
              </w:rPr>
              <w:t>studenata</w:t>
            </w:r>
            <w:proofErr w:type="spellEnd"/>
            <w:r w:rsidRPr="00587D5D">
              <w:rPr>
                <w:rFonts w:ascii="Cambria" w:hAnsi="Cambria"/>
                <w:lang w:val="it-IT"/>
              </w:rPr>
              <w:t xml:space="preserve"> </w:t>
            </w:r>
            <w:proofErr w:type="spellStart"/>
            <w:r w:rsidRPr="00587D5D">
              <w:rPr>
                <w:rFonts w:ascii="Cambria" w:hAnsi="Cambria"/>
                <w:lang w:val="it-IT"/>
              </w:rPr>
              <w:t>pratit</w:t>
            </w:r>
            <w:proofErr w:type="spellEnd"/>
            <w:r w:rsidRPr="00587D5D">
              <w:rPr>
                <w:rFonts w:ascii="Cambria" w:hAnsi="Cambria"/>
                <w:lang w:val="it-IT"/>
              </w:rPr>
              <w:t xml:space="preserve"> </w:t>
            </w:r>
            <w:proofErr w:type="spellStart"/>
            <w:r w:rsidRPr="00587D5D">
              <w:rPr>
                <w:rFonts w:ascii="Cambria" w:hAnsi="Cambria"/>
                <w:lang w:val="it-IT"/>
              </w:rPr>
              <w:t>će</w:t>
            </w:r>
            <w:proofErr w:type="spellEnd"/>
            <w:r w:rsidRPr="00587D5D">
              <w:rPr>
                <w:rFonts w:ascii="Cambria" w:hAnsi="Cambria"/>
                <w:lang w:val="it-IT"/>
              </w:rPr>
              <w:t xml:space="preserve"> se </w:t>
            </w:r>
            <w:proofErr w:type="spellStart"/>
            <w:r w:rsidRPr="00587D5D">
              <w:rPr>
                <w:rFonts w:ascii="Cambria" w:hAnsi="Cambria"/>
                <w:lang w:val="it-IT"/>
              </w:rPr>
              <w:t>kroz</w:t>
            </w:r>
            <w:proofErr w:type="spellEnd"/>
            <w:r w:rsidRPr="00587D5D">
              <w:rPr>
                <w:rFonts w:ascii="Cambria" w:hAnsi="Cambria"/>
                <w:lang w:val="it-IT"/>
              </w:rPr>
              <w:t xml:space="preserve"> </w:t>
            </w:r>
            <w:proofErr w:type="spellStart"/>
            <w:r w:rsidRPr="00587D5D">
              <w:rPr>
                <w:rFonts w:ascii="Cambria" w:hAnsi="Cambria"/>
                <w:lang w:val="it-IT"/>
              </w:rPr>
              <w:t>aktivnost</w:t>
            </w:r>
            <w:proofErr w:type="spellEnd"/>
            <w:r w:rsidRPr="00587D5D">
              <w:rPr>
                <w:rFonts w:ascii="Cambria" w:hAnsi="Cambria"/>
                <w:lang w:val="it-IT"/>
              </w:rPr>
              <w:t xml:space="preserve"> i </w:t>
            </w:r>
            <w:proofErr w:type="spellStart"/>
            <w:r w:rsidRPr="00587D5D">
              <w:rPr>
                <w:rFonts w:ascii="Cambria" w:hAnsi="Cambria"/>
                <w:lang w:val="it-IT"/>
              </w:rPr>
              <w:t>zadatke</w:t>
            </w:r>
            <w:proofErr w:type="spellEnd"/>
            <w:r w:rsidRPr="00587D5D">
              <w:rPr>
                <w:rFonts w:ascii="Cambria" w:hAnsi="Cambria"/>
                <w:lang w:val="it-IT"/>
              </w:rPr>
              <w:t xml:space="preserve"> u </w:t>
            </w:r>
            <w:proofErr w:type="spellStart"/>
            <w:r w:rsidRPr="00587D5D">
              <w:rPr>
                <w:rFonts w:ascii="Cambria" w:hAnsi="Cambria"/>
                <w:lang w:val="it-IT"/>
              </w:rPr>
              <w:t>nastavi</w:t>
            </w:r>
            <w:proofErr w:type="spellEnd"/>
            <w:r w:rsidRPr="00587D5D">
              <w:rPr>
                <w:rFonts w:ascii="Cambria" w:hAnsi="Cambria"/>
                <w:lang w:val="it-IT"/>
              </w:rPr>
              <w:t xml:space="preserve"> te </w:t>
            </w:r>
            <w:proofErr w:type="spellStart"/>
            <w:r w:rsidRPr="00587D5D">
              <w:rPr>
                <w:rFonts w:ascii="Cambria" w:hAnsi="Cambria"/>
                <w:lang w:val="it-IT"/>
              </w:rPr>
              <w:t>izradu</w:t>
            </w:r>
            <w:proofErr w:type="spellEnd"/>
            <w:r w:rsidRPr="00587D5D">
              <w:rPr>
                <w:rFonts w:ascii="Cambria" w:hAnsi="Cambria"/>
                <w:lang w:val="it-IT"/>
              </w:rPr>
              <w:t xml:space="preserve"> </w:t>
            </w:r>
            <w:proofErr w:type="spellStart"/>
            <w:r w:rsidRPr="00587D5D">
              <w:rPr>
                <w:rFonts w:ascii="Cambria" w:hAnsi="Cambria"/>
                <w:lang w:val="it-IT"/>
              </w:rPr>
              <w:t>pisanoga</w:t>
            </w:r>
            <w:proofErr w:type="spellEnd"/>
            <w:r w:rsidRPr="00587D5D">
              <w:rPr>
                <w:rFonts w:ascii="Cambria" w:hAnsi="Cambria"/>
                <w:lang w:val="it-IT"/>
              </w:rPr>
              <w:t xml:space="preserve"> rada </w:t>
            </w:r>
            <w:proofErr w:type="spellStart"/>
            <w:r w:rsidRPr="00587D5D">
              <w:rPr>
                <w:rFonts w:ascii="Cambria" w:hAnsi="Cambria"/>
                <w:lang w:val="it-IT"/>
              </w:rPr>
              <w:t>koji</w:t>
            </w:r>
            <w:proofErr w:type="spellEnd"/>
            <w:r w:rsidRPr="00587D5D">
              <w:rPr>
                <w:rFonts w:ascii="Cambria" w:hAnsi="Cambria"/>
                <w:lang w:val="it-IT"/>
              </w:rPr>
              <w:t xml:space="preserve"> je </w:t>
            </w:r>
            <w:proofErr w:type="spellStart"/>
            <w:r w:rsidRPr="00587D5D">
              <w:rPr>
                <w:rFonts w:ascii="Cambria" w:hAnsi="Cambria"/>
                <w:lang w:val="it-IT"/>
              </w:rPr>
              <w:t>metodološki</w:t>
            </w:r>
            <w:proofErr w:type="spellEnd"/>
            <w:r w:rsidRPr="00587D5D">
              <w:rPr>
                <w:rFonts w:ascii="Cambria" w:hAnsi="Cambria"/>
                <w:lang w:val="it-IT"/>
              </w:rPr>
              <w:t xml:space="preserve"> </w:t>
            </w:r>
            <w:proofErr w:type="spellStart"/>
            <w:r w:rsidRPr="00587D5D">
              <w:rPr>
                <w:rFonts w:ascii="Cambria" w:hAnsi="Cambria"/>
                <w:lang w:val="it-IT"/>
              </w:rPr>
              <w:t>oblikovan</w:t>
            </w:r>
            <w:proofErr w:type="spellEnd"/>
            <w:r w:rsidRPr="00587D5D">
              <w:rPr>
                <w:rFonts w:ascii="Cambria" w:hAnsi="Cambria"/>
                <w:lang w:val="it-IT"/>
              </w:rPr>
              <w:t xml:space="preserve"> u </w:t>
            </w:r>
            <w:proofErr w:type="spellStart"/>
            <w:r w:rsidRPr="00587D5D">
              <w:rPr>
                <w:rFonts w:ascii="Cambria" w:hAnsi="Cambria"/>
                <w:lang w:val="it-IT"/>
              </w:rPr>
              <w:t>skladu</w:t>
            </w:r>
            <w:proofErr w:type="spellEnd"/>
            <w:r w:rsidRPr="00587D5D">
              <w:rPr>
                <w:rFonts w:ascii="Cambria" w:hAnsi="Cambria"/>
                <w:lang w:val="it-IT"/>
              </w:rPr>
              <w:t xml:space="preserve"> s </w:t>
            </w:r>
            <w:proofErr w:type="spellStart"/>
            <w:r w:rsidRPr="00587D5D">
              <w:rPr>
                <w:rFonts w:ascii="Cambria" w:hAnsi="Cambria"/>
                <w:lang w:val="it-IT"/>
              </w:rPr>
              <w:t>temeljnim</w:t>
            </w:r>
            <w:proofErr w:type="spellEnd"/>
            <w:r w:rsidRPr="00587D5D">
              <w:rPr>
                <w:rFonts w:ascii="Cambria" w:hAnsi="Cambria"/>
                <w:lang w:val="it-IT"/>
              </w:rPr>
              <w:t xml:space="preserve"> </w:t>
            </w:r>
            <w:proofErr w:type="spellStart"/>
            <w:r w:rsidRPr="00587D5D">
              <w:rPr>
                <w:rFonts w:ascii="Cambria" w:hAnsi="Cambria"/>
                <w:lang w:val="it-IT"/>
              </w:rPr>
              <w:t>načelima</w:t>
            </w:r>
            <w:proofErr w:type="spellEnd"/>
            <w:r w:rsidRPr="00587D5D">
              <w:rPr>
                <w:rFonts w:ascii="Cambria" w:hAnsi="Cambria"/>
                <w:lang w:val="it-IT"/>
              </w:rPr>
              <w:t xml:space="preserve"> </w:t>
            </w:r>
            <w:proofErr w:type="spellStart"/>
            <w:r w:rsidRPr="00587D5D">
              <w:rPr>
                <w:rFonts w:ascii="Cambria" w:hAnsi="Cambria"/>
                <w:lang w:val="it-IT"/>
              </w:rPr>
              <w:t>oblikovanja</w:t>
            </w:r>
            <w:proofErr w:type="spellEnd"/>
            <w:r w:rsidRPr="00587D5D">
              <w:rPr>
                <w:rFonts w:ascii="Cambria" w:hAnsi="Cambria"/>
                <w:lang w:val="it-IT"/>
              </w:rPr>
              <w:t xml:space="preserve"> </w:t>
            </w:r>
            <w:proofErr w:type="spellStart"/>
            <w:r w:rsidRPr="00587D5D">
              <w:rPr>
                <w:rFonts w:ascii="Cambria" w:hAnsi="Cambria"/>
                <w:lang w:val="it-IT"/>
              </w:rPr>
              <w:t>stručnoga</w:t>
            </w:r>
            <w:proofErr w:type="spellEnd"/>
            <w:r w:rsidRPr="00587D5D">
              <w:rPr>
                <w:rFonts w:ascii="Cambria" w:hAnsi="Cambria"/>
                <w:lang w:val="it-IT"/>
              </w:rPr>
              <w:t xml:space="preserve"> </w:t>
            </w:r>
            <w:proofErr w:type="spellStart"/>
            <w:r w:rsidRPr="00587D5D">
              <w:rPr>
                <w:rFonts w:ascii="Cambria" w:hAnsi="Cambria"/>
                <w:lang w:val="it-IT"/>
              </w:rPr>
              <w:t>teksta</w:t>
            </w:r>
            <w:proofErr w:type="spellEnd"/>
            <w:r w:rsidRPr="00587D5D">
              <w:rPr>
                <w:rFonts w:ascii="Cambria" w:hAnsi="Cambria"/>
                <w:lang w:val="it-IT"/>
              </w:rPr>
              <w:t xml:space="preserve">. </w:t>
            </w:r>
          </w:p>
          <w:p w14:paraId="4CD0F305" w14:textId="77777777" w:rsidR="00587D5D" w:rsidRPr="00587D5D" w:rsidRDefault="00587D5D" w:rsidP="00587D5D">
            <w:pPr>
              <w:autoSpaceDE w:val="0"/>
              <w:autoSpaceDN w:val="0"/>
              <w:adjustRightInd w:val="0"/>
              <w:spacing w:after="0" w:line="240" w:lineRule="auto"/>
              <w:rPr>
                <w:rFonts w:ascii="Cambria" w:hAnsi="Cambria"/>
                <w:lang w:val="it-IT"/>
              </w:rPr>
            </w:pPr>
            <w:proofErr w:type="spellStart"/>
            <w:r w:rsidRPr="00587D5D">
              <w:rPr>
                <w:rFonts w:ascii="Cambria" w:hAnsi="Cambria"/>
                <w:lang w:val="it-IT"/>
              </w:rPr>
              <w:t>Izrada</w:t>
            </w:r>
            <w:proofErr w:type="spellEnd"/>
            <w:r w:rsidRPr="00587D5D">
              <w:rPr>
                <w:rFonts w:ascii="Cambria" w:hAnsi="Cambria"/>
                <w:lang w:val="it-IT"/>
              </w:rPr>
              <w:t xml:space="preserve"> </w:t>
            </w:r>
            <w:proofErr w:type="spellStart"/>
            <w:r w:rsidRPr="00587D5D">
              <w:rPr>
                <w:rFonts w:ascii="Cambria" w:hAnsi="Cambria"/>
                <w:lang w:val="it-IT"/>
              </w:rPr>
              <w:t>seminarskoga</w:t>
            </w:r>
            <w:proofErr w:type="spellEnd"/>
            <w:r w:rsidRPr="00587D5D">
              <w:rPr>
                <w:rFonts w:ascii="Cambria" w:hAnsi="Cambria"/>
                <w:lang w:val="it-IT"/>
              </w:rPr>
              <w:t xml:space="preserve"> rada</w:t>
            </w:r>
          </w:p>
          <w:p w14:paraId="0707DBCA" w14:textId="77777777" w:rsidR="00587D5D" w:rsidRPr="00587D5D" w:rsidRDefault="00587D5D" w:rsidP="00587D5D">
            <w:pPr>
              <w:autoSpaceDE w:val="0"/>
              <w:autoSpaceDN w:val="0"/>
              <w:adjustRightInd w:val="0"/>
              <w:spacing w:after="0" w:line="240" w:lineRule="auto"/>
              <w:rPr>
                <w:rFonts w:ascii="Cambria" w:hAnsi="Cambria"/>
                <w:lang w:val="it-IT"/>
              </w:rPr>
            </w:pPr>
            <w:proofErr w:type="spellStart"/>
            <w:r w:rsidRPr="00587D5D">
              <w:rPr>
                <w:rFonts w:ascii="Cambria" w:hAnsi="Cambria"/>
                <w:lang w:val="it-IT"/>
              </w:rPr>
              <w:lastRenderedPageBreak/>
              <w:t>Seminarski</w:t>
            </w:r>
            <w:proofErr w:type="spellEnd"/>
            <w:r w:rsidRPr="00587D5D">
              <w:rPr>
                <w:rFonts w:ascii="Cambria" w:hAnsi="Cambria"/>
                <w:lang w:val="it-IT"/>
              </w:rPr>
              <w:t xml:space="preserve"> rad </w:t>
            </w:r>
            <w:proofErr w:type="spellStart"/>
            <w:r w:rsidRPr="00587D5D">
              <w:rPr>
                <w:rFonts w:ascii="Cambria" w:hAnsi="Cambria"/>
                <w:lang w:val="it-IT"/>
              </w:rPr>
              <w:t>treba</w:t>
            </w:r>
            <w:proofErr w:type="spellEnd"/>
            <w:r w:rsidRPr="00587D5D">
              <w:rPr>
                <w:rFonts w:ascii="Cambria" w:hAnsi="Cambria"/>
                <w:lang w:val="it-IT"/>
              </w:rPr>
              <w:t xml:space="preserve"> </w:t>
            </w:r>
            <w:proofErr w:type="spellStart"/>
            <w:r w:rsidRPr="00587D5D">
              <w:rPr>
                <w:rFonts w:ascii="Cambria" w:hAnsi="Cambria"/>
                <w:lang w:val="it-IT"/>
              </w:rPr>
              <w:t>izraditi</w:t>
            </w:r>
            <w:proofErr w:type="spellEnd"/>
            <w:r w:rsidRPr="00587D5D">
              <w:rPr>
                <w:rFonts w:ascii="Cambria" w:hAnsi="Cambria"/>
                <w:lang w:val="it-IT"/>
              </w:rPr>
              <w:t xml:space="preserve"> prema </w:t>
            </w:r>
            <w:proofErr w:type="spellStart"/>
            <w:r w:rsidRPr="00587D5D">
              <w:rPr>
                <w:rFonts w:ascii="Cambria" w:hAnsi="Cambria"/>
                <w:lang w:val="it-IT"/>
              </w:rPr>
              <w:t>uputama</w:t>
            </w:r>
            <w:proofErr w:type="spellEnd"/>
            <w:r w:rsidRPr="00587D5D">
              <w:rPr>
                <w:rFonts w:ascii="Cambria" w:hAnsi="Cambria"/>
                <w:lang w:val="it-IT"/>
              </w:rPr>
              <w:t xml:space="preserve"> </w:t>
            </w:r>
            <w:proofErr w:type="spellStart"/>
            <w:r w:rsidRPr="00587D5D">
              <w:rPr>
                <w:rFonts w:ascii="Cambria" w:hAnsi="Cambria"/>
                <w:lang w:val="it-IT"/>
              </w:rPr>
              <w:t>koje</w:t>
            </w:r>
            <w:proofErr w:type="spellEnd"/>
            <w:r w:rsidRPr="00587D5D">
              <w:rPr>
                <w:rFonts w:ascii="Cambria" w:hAnsi="Cambria"/>
                <w:lang w:val="it-IT"/>
              </w:rPr>
              <w:t xml:space="preserve"> </w:t>
            </w:r>
            <w:proofErr w:type="spellStart"/>
            <w:r w:rsidRPr="00587D5D">
              <w:rPr>
                <w:rFonts w:ascii="Cambria" w:hAnsi="Cambria"/>
                <w:lang w:val="it-IT"/>
              </w:rPr>
              <w:t>će</w:t>
            </w:r>
            <w:proofErr w:type="spellEnd"/>
            <w:r w:rsidRPr="00587D5D">
              <w:rPr>
                <w:rFonts w:ascii="Cambria" w:hAnsi="Cambria"/>
                <w:lang w:val="it-IT"/>
              </w:rPr>
              <w:t xml:space="preserve"> studenti/</w:t>
            </w:r>
            <w:proofErr w:type="spellStart"/>
            <w:r w:rsidRPr="00587D5D">
              <w:rPr>
                <w:rFonts w:ascii="Cambria" w:hAnsi="Cambria"/>
                <w:lang w:val="it-IT"/>
              </w:rPr>
              <w:t>studentice</w:t>
            </w:r>
            <w:proofErr w:type="spellEnd"/>
            <w:r w:rsidRPr="00587D5D">
              <w:rPr>
                <w:rFonts w:ascii="Cambria" w:hAnsi="Cambria"/>
                <w:lang w:val="it-IT"/>
              </w:rPr>
              <w:t xml:space="preserve"> </w:t>
            </w:r>
            <w:proofErr w:type="spellStart"/>
            <w:r w:rsidRPr="00587D5D">
              <w:rPr>
                <w:rFonts w:ascii="Cambria" w:hAnsi="Cambria"/>
                <w:lang w:val="it-IT"/>
              </w:rPr>
              <w:t>dobiti</w:t>
            </w:r>
            <w:proofErr w:type="spellEnd"/>
            <w:r w:rsidRPr="00587D5D">
              <w:rPr>
                <w:rFonts w:ascii="Cambria" w:hAnsi="Cambria"/>
                <w:lang w:val="it-IT"/>
              </w:rPr>
              <w:t xml:space="preserve"> </w:t>
            </w:r>
            <w:proofErr w:type="spellStart"/>
            <w:r w:rsidRPr="00587D5D">
              <w:rPr>
                <w:rFonts w:ascii="Cambria" w:hAnsi="Cambria"/>
                <w:lang w:val="it-IT"/>
              </w:rPr>
              <w:t>na</w:t>
            </w:r>
            <w:proofErr w:type="spellEnd"/>
            <w:r w:rsidRPr="00587D5D">
              <w:rPr>
                <w:rFonts w:ascii="Cambria" w:hAnsi="Cambria"/>
                <w:lang w:val="it-IT"/>
              </w:rPr>
              <w:t xml:space="preserve"> </w:t>
            </w:r>
            <w:proofErr w:type="spellStart"/>
            <w:r w:rsidRPr="00587D5D">
              <w:rPr>
                <w:rFonts w:ascii="Cambria" w:hAnsi="Cambria"/>
                <w:lang w:val="it-IT"/>
              </w:rPr>
              <w:t>predavanjima</w:t>
            </w:r>
            <w:proofErr w:type="spellEnd"/>
            <w:r w:rsidRPr="00587D5D">
              <w:rPr>
                <w:rFonts w:ascii="Cambria" w:hAnsi="Cambria"/>
                <w:lang w:val="it-IT"/>
              </w:rPr>
              <w:t xml:space="preserve">. Rad se </w:t>
            </w:r>
            <w:proofErr w:type="spellStart"/>
            <w:r w:rsidRPr="00587D5D">
              <w:rPr>
                <w:rFonts w:ascii="Cambria" w:hAnsi="Cambria"/>
                <w:lang w:val="it-IT"/>
              </w:rPr>
              <w:t>vrednuje</w:t>
            </w:r>
            <w:proofErr w:type="spellEnd"/>
            <w:r w:rsidRPr="00587D5D">
              <w:rPr>
                <w:rFonts w:ascii="Cambria" w:hAnsi="Cambria"/>
                <w:lang w:val="it-IT"/>
              </w:rPr>
              <w:t xml:space="preserve"> s </w:t>
            </w:r>
            <w:proofErr w:type="spellStart"/>
            <w:r w:rsidRPr="00587D5D">
              <w:rPr>
                <w:rFonts w:ascii="Cambria" w:hAnsi="Cambria"/>
                <w:lang w:val="it-IT"/>
              </w:rPr>
              <w:t>obzirom</w:t>
            </w:r>
            <w:proofErr w:type="spellEnd"/>
            <w:r w:rsidRPr="00587D5D">
              <w:rPr>
                <w:rFonts w:ascii="Cambria" w:hAnsi="Cambria"/>
                <w:lang w:val="it-IT"/>
              </w:rPr>
              <w:t xml:space="preserve"> </w:t>
            </w:r>
            <w:proofErr w:type="spellStart"/>
            <w:r w:rsidRPr="00587D5D">
              <w:rPr>
                <w:rFonts w:ascii="Cambria" w:hAnsi="Cambria"/>
                <w:lang w:val="it-IT"/>
              </w:rPr>
              <w:t>na</w:t>
            </w:r>
            <w:proofErr w:type="spellEnd"/>
            <w:r w:rsidRPr="00587D5D">
              <w:rPr>
                <w:rFonts w:ascii="Cambria" w:hAnsi="Cambria"/>
                <w:lang w:val="it-IT"/>
              </w:rPr>
              <w:t xml:space="preserve"> </w:t>
            </w:r>
            <w:proofErr w:type="spellStart"/>
            <w:r w:rsidRPr="00587D5D">
              <w:rPr>
                <w:rFonts w:ascii="Cambria" w:hAnsi="Cambria"/>
                <w:lang w:val="it-IT"/>
              </w:rPr>
              <w:t>obradu</w:t>
            </w:r>
            <w:proofErr w:type="spellEnd"/>
            <w:r w:rsidRPr="00587D5D">
              <w:rPr>
                <w:rFonts w:ascii="Cambria" w:hAnsi="Cambria"/>
                <w:lang w:val="it-IT"/>
              </w:rPr>
              <w:t xml:space="preserve"> teme (</w:t>
            </w:r>
            <w:proofErr w:type="spellStart"/>
            <w:r w:rsidRPr="00587D5D">
              <w:rPr>
                <w:rFonts w:ascii="Cambria" w:hAnsi="Cambria"/>
                <w:lang w:val="it-IT"/>
              </w:rPr>
              <w:t>jesu</w:t>
            </w:r>
            <w:proofErr w:type="spellEnd"/>
            <w:r w:rsidRPr="00587D5D">
              <w:rPr>
                <w:rFonts w:ascii="Cambria" w:hAnsi="Cambria"/>
                <w:lang w:val="it-IT"/>
              </w:rPr>
              <w:t xml:space="preserve"> li </w:t>
            </w:r>
            <w:proofErr w:type="spellStart"/>
            <w:r w:rsidRPr="00587D5D">
              <w:rPr>
                <w:rFonts w:ascii="Cambria" w:hAnsi="Cambria"/>
                <w:lang w:val="it-IT"/>
              </w:rPr>
              <w:t>odabrani</w:t>
            </w:r>
            <w:proofErr w:type="spellEnd"/>
            <w:r w:rsidRPr="00587D5D">
              <w:rPr>
                <w:rFonts w:ascii="Cambria" w:hAnsi="Cambria"/>
                <w:lang w:val="it-IT"/>
              </w:rPr>
              <w:t xml:space="preserve"> </w:t>
            </w:r>
            <w:proofErr w:type="spellStart"/>
            <w:r w:rsidRPr="00587D5D">
              <w:rPr>
                <w:rFonts w:ascii="Cambria" w:hAnsi="Cambria"/>
                <w:lang w:val="it-IT"/>
              </w:rPr>
              <w:t>relevantni</w:t>
            </w:r>
            <w:proofErr w:type="spellEnd"/>
            <w:r w:rsidRPr="00587D5D">
              <w:rPr>
                <w:rFonts w:ascii="Cambria" w:hAnsi="Cambria"/>
                <w:lang w:val="it-IT"/>
              </w:rPr>
              <w:t xml:space="preserve"> </w:t>
            </w:r>
            <w:proofErr w:type="spellStart"/>
            <w:r w:rsidRPr="00587D5D">
              <w:rPr>
                <w:rFonts w:ascii="Cambria" w:hAnsi="Cambria"/>
                <w:lang w:val="it-IT"/>
              </w:rPr>
              <w:t>sadržaji</w:t>
            </w:r>
            <w:proofErr w:type="spellEnd"/>
            <w:r w:rsidRPr="00587D5D">
              <w:rPr>
                <w:rFonts w:ascii="Cambria" w:hAnsi="Cambria"/>
                <w:lang w:val="it-IT"/>
              </w:rPr>
              <w:t xml:space="preserve"> i </w:t>
            </w:r>
            <w:proofErr w:type="spellStart"/>
            <w:r w:rsidRPr="00587D5D">
              <w:rPr>
                <w:rFonts w:ascii="Cambria" w:hAnsi="Cambria"/>
                <w:lang w:val="it-IT"/>
              </w:rPr>
              <w:t>jesu</w:t>
            </w:r>
            <w:proofErr w:type="spellEnd"/>
            <w:r w:rsidRPr="00587D5D">
              <w:rPr>
                <w:rFonts w:ascii="Cambria" w:hAnsi="Cambria"/>
                <w:lang w:val="it-IT"/>
              </w:rPr>
              <w:t xml:space="preserve"> li </w:t>
            </w:r>
            <w:proofErr w:type="spellStart"/>
            <w:r w:rsidRPr="00587D5D">
              <w:rPr>
                <w:rFonts w:ascii="Cambria" w:hAnsi="Cambria"/>
                <w:lang w:val="it-IT"/>
              </w:rPr>
              <w:t>napisani</w:t>
            </w:r>
            <w:proofErr w:type="spellEnd"/>
            <w:r w:rsidRPr="00587D5D">
              <w:rPr>
                <w:rFonts w:ascii="Cambria" w:hAnsi="Cambria"/>
                <w:lang w:val="it-IT"/>
              </w:rPr>
              <w:t xml:space="preserve"> </w:t>
            </w:r>
            <w:proofErr w:type="spellStart"/>
            <w:r w:rsidRPr="00587D5D">
              <w:rPr>
                <w:rFonts w:ascii="Cambria" w:hAnsi="Cambria"/>
                <w:lang w:val="it-IT"/>
              </w:rPr>
              <w:t>na</w:t>
            </w:r>
            <w:proofErr w:type="spellEnd"/>
            <w:r w:rsidRPr="00587D5D">
              <w:rPr>
                <w:rFonts w:ascii="Cambria" w:hAnsi="Cambria"/>
                <w:lang w:val="it-IT"/>
              </w:rPr>
              <w:t xml:space="preserve"> </w:t>
            </w:r>
            <w:proofErr w:type="spellStart"/>
            <w:r w:rsidRPr="00587D5D">
              <w:rPr>
                <w:rFonts w:ascii="Cambria" w:hAnsi="Cambria"/>
                <w:lang w:val="it-IT"/>
              </w:rPr>
              <w:t>primjeren</w:t>
            </w:r>
            <w:proofErr w:type="spellEnd"/>
            <w:r w:rsidRPr="00587D5D">
              <w:rPr>
                <w:rFonts w:ascii="Cambria" w:hAnsi="Cambria"/>
                <w:lang w:val="it-IT"/>
              </w:rPr>
              <w:t xml:space="preserve"> </w:t>
            </w:r>
            <w:proofErr w:type="spellStart"/>
            <w:r w:rsidRPr="00587D5D">
              <w:rPr>
                <w:rFonts w:ascii="Cambria" w:hAnsi="Cambria"/>
                <w:lang w:val="it-IT"/>
              </w:rPr>
              <w:t>način</w:t>
            </w:r>
            <w:proofErr w:type="spellEnd"/>
            <w:r w:rsidRPr="00587D5D">
              <w:rPr>
                <w:rFonts w:ascii="Cambria" w:hAnsi="Cambria"/>
                <w:lang w:val="it-IT"/>
              </w:rPr>
              <w:t xml:space="preserve">), s </w:t>
            </w:r>
            <w:proofErr w:type="spellStart"/>
            <w:r w:rsidRPr="00587D5D">
              <w:rPr>
                <w:rFonts w:ascii="Cambria" w:hAnsi="Cambria"/>
                <w:lang w:val="it-IT"/>
              </w:rPr>
              <w:t>obzirom</w:t>
            </w:r>
            <w:proofErr w:type="spellEnd"/>
            <w:r w:rsidRPr="00587D5D">
              <w:rPr>
                <w:rFonts w:ascii="Cambria" w:hAnsi="Cambria"/>
                <w:lang w:val="it-IT"/>
              </w:rPr>
              <w:t xml:space="preserve"> </w:t>
            </w:r>
            <w:proofErr w:type="spellStart"/>
            <w:r w:rsidRPr="00587D5D">
              <w:rPr>
                <w:rFonts w:ascii="Cambria" w:hAnsi="Cambria"/>
                <w:lang w:val="it-IT"/>
              </w:rPr>
              <w:t>na</w:t>
            </w:r>
            <w:proofErr w:type="spellEnd"/>
            <w:r w:rsidRPr="00587D5D">
              <w:rPr>
                <w:rFonts w:ascii="Cambria" w:hAnsi="Cambria"/>
                <w:lang w:val="it-IT"/>
              </w:rPr>
              <w:t xml:space="preserve"> </w:t>
            </w:r>
            <w:proofErr w:type="spellStart"/>
            <w:r w:rsidRPr="00587D5D">
              <w:rPr>
                <w:rFonts w:ascii="Cambria" w:hAnsi="Cambria"/>
                <w:lang w:val="it-IT"/>
              </w:rPr>
              <w:t>stukturu</w:t>
            </w:r>
            <w:proofErr w:type="spellEnd"/>
            <w:r w:rsidRPr="00587D5D">
              <w:rPr>
                <w:rFonts w:ascii="Cambria" w:hAnsi="Cambria"/>
                <w:lang w:val="it-IT"/>
              </w:rPr>
              <w:t xml:space="preserve"> (</w:t>
            </w:r>
            <w:proofErr w:type="spellStart"/>
            <w:r w:rsidRPr="00587D5D">
              <w:rPr>
                <w:rFonts w:ascii="Cambria" w:hAnsi="Cambria"/>
                <w:lang w:val="it-IT"/>
              </w:rPr>
              <w:t>jesu</w:t>
            </w:r>
            <w:proofErr w:type="spellEnd"/>
            <w:r w:rsidRPr="00587D5D">
              <w:rPr>
                <w:rFonts w:ascii="Cambria" w:hAnsi="Cambria"/>
                <w:lang w:val="it-IT"/>
              </w:rPr>
              <w:t xml:space="preserve"> li </w:t>
            </w:r>
            <w:proofErr w:type="spellStart"/>
            <w:r w:rsidRPr="00587D5D">
              <w:rPr>
                <w:rFonts w:ascii="Cambria" w:hAnsi="Cambria"/>
                <w:lang w:val="it-IT"/>
              </w:rPr>
              <w:t>zadovoljene</w:t>
            </w:r>
            <w:proofErr w:type="spellEnd"/>
            <w:r w:rsidRPr="00587D5D">
              <w:rPr>
                <w:rFonts w:ascii="Cambria" w:hAnsi="Cambria"/>
                <w:lang w:val="it-IT"/>
              </w:rPr>
              <w:t xml:space="preserve"> </w:t>
            </w:r>
            <w:proofErr w:type="spellStart"/>
            <w:r w:rsidRPr="00587D5D">
              <w:rPr>
                <w:rFonts w:ascii="Cambria" w:hAnsi="Cambria"/>
                <w:lang w:val="it-IT"/>
              </w:rPr>
              <w:t>značajke</w:t>
            </w:r>
            <w:proofErr w:type="spellEnd"/>
            <w:r w:rsidRPr="00587D5D">
              <w:rPr>
                <w:rFonts w:ascii="Cambria" w:hAnsi="Cambria"/>
                <w:lang w:val="it-IT"/>
              </w:rPr>
              <w:t xml:space="preserve"> </w:t>
            </w:r>
            <w:proofErr w:type="spellStart"/>
            <w:r w:rsidRPr="00587D5D">
              <w:rPr>
                <w:rFonts w:ascii="Cambria" w:hAnsi="Cambria"/>
                <w:lang w:val="it-IT"/>
              </w:rPr>
              <w:t>stručnoga</w:t>
            </w:r>
            <w:proofErr w:type="spellEnd"/>
            <w:r w:rsidRPr="00587D5D">
              <w:rPr>
                <w:rFonts w:ascii="Cambria" w:hAnsi="Cambria"/>
                <w:lang w:val="it-IT"/>
              </w:rPr>
              <w:t xml:space="preserve"> rada te je li </w:t>
            </w:r>
            <w:proofErr w:type="spellStart"/>
            <w:r w:rsidRPr="00587D5D">
              <w:rPr>
                <w:rFonts w:ascii="Cambria" w:hAnsi="Cambria"/>
                <w:lang w:val="it-IT"/>
              </w:rPr>
              <w:t>korišten</w:t>
            </w:r>
            <w:proofErr w:type="spellEnd"/>
            <w:r w:rsidRPr="00587D5D">
              <w:rPr>
                <w:rFonts w:ascii="Cambria" w:hAnsi="Cambria"/>
                <w:lang w:val="it-IT"/>
              </w:rPr>
              <w:t xml:space="preserve"> </w:t>
            </w:r>
            <w:proofErr w:type="spellStart"/>
            <w:r w:rsidRPr="00587D5D">
              <w:rPr>
                <w:rFonts w:ascii="Cambria" w:hAnsi="Cambria"/>
                <w:lang w:val="it-IT"/>
              </w:rPr>
              <w:t>primjeren</w:t>
            </w:r>
            <w:proofErr w:type="spellEnd"/>
            <w:r w:rsidRPr="00587D5D">
              <w:rPr>
                <w:rFonts w:ascii="Cambria" w:hAnsi="Cambria"/>
                <w:lang w:val="it-IT"/>
              </w:rPr>
              <w:t xml:space="preserve"> </w:t>
            </w:r>
            <w:proofErr w:type="spellStart"/>
            <w:r w:rsidRPr="00587D5D">
              <w:rPr>
                <w:rFonts w:ascii="Cambria" w:hAnsi="Cambria"/>
                <w:lang w:val="it-IT"/>
              </w:rPr>
              <w:t>način</w:t>
            </w:r>
            <w:proofErr w:type="spellEnd"/>
            <w:r w:rsidRPr="00587D5D">
              <w:rPr>
                <w:rFonts w:ascii="Cambria" w:hAnsi="Cambria"/>
                <w:lang w:val="it-IT"/>
              </w:rPr>
              <w:t xml:space="preserve"> </w:t>
            </w:r>
            <w:proofErr w:type="spellStart"/>
            <w:r w:rsidRPr="00587D5D">
              <w:rPr>
                <w:rFonts w:ascii="Cambria" w:hAnsi="Cambria"/>
                <w:lang w:val="it-IT"/>
              </w:rPr>
              <w:t>pisanja</w:t>
            </w:r>
            <w:proofErr w:type="spellEnd"/>
            <w:r w:rsidRPr="00587D5D">
              <w:rPr>
                <w:rFonts w:ascii="Cambria" w:hAnsi="Cambria"/>
                <w:lang w:val="it-IT"/>
              </w:rPr>
              <w:t xml:space="preserve">, </w:t>
            </w:r>
            <w:proofErr w:type="spellStart"/>
            <w:r w:rsidRPr="00587D5D">
              <w:rPr>
                <w:rFonts w:ascii="Cambria" w:hAnsi="Cambria"/>
                <w:lang w:val="it-IT"/>
              </w:rPr>
              <w:t>jesu</w:t>
            </w:r>
            <w:proofErr w:type="spellEnd"/>
            <w:r w:rsidRPr="00587D5D">
              <w:rPr>
                <w:rFonts w:ascii="Cambria" w:hAnsi="Cambria"/>
                <w:lang w:val="it-IT"/>
              </w:rPr>
              <w:t xml:space="preserve"> li </w:t>
            </w:r>
            <w:proofErr w:type="spellStart"/>
            <w:r w:rsidRPr="00587D5D">
              <w:rPr>
                <w:rFonts w:ascii="Cambria" w:hAnsi="Cambria"/>
                <w:lang w:val="it-IT"/>
              </w:rPr>
              <w:t>sadržaji</w:t>
            </w:r>
            <w:proofErr w:type="spellEnd"/>
            <w:r w:rsidRPr="00587D5D">
              <w:rPr>
                <w:rFonts w:ascii="Cambria" w:hAnsi="Cambria"/>
                <w:lang w:val="it-IT"/>
              </w:rPr>
              <w:t xml:space="preserve"> </w:t>
            </w:r>
            <w:proofErr w:type="spellStart"/>
            <w:r w:rsidRPr="00587D5D">
              <w:rPr>
                <w:rFonts w:ascii="Cambria" w:hAnsi="Cambria"/>
                <w:lang w:val="it-IT"/>
              </w:rPr>
              <w:t>iz</w:t>
            </w:r>
            <w:proofErr w:type="spellEnd"/>
            <w:r w:rsidRPr="00587D5D">
              <w:rPr>
                <w:rFonts w:ascii="Cambria" w:hAnsi="Cambria"/>
                <w:lang w:val="it-IT"/>
              </w:rPr>
              <w:t xml:space="preserve"> literature </w:t>
            </w:r>
            <w:proofErr w:type="spellStart"/>
            <w:r w:rsidRPr="00587D5D">
              <w:rPr>
                <w:rFonts w:ascii="Cambria" w:hAnsi="Cambria"/>
                <w:lang w:val="it-IT"/>
              </w:rPr>
              <w:t>na</w:t>
            </w:r>
            <w:proofErr w:type="spellEnd"/>
            <w:r w:rsidRPr="00587D5D">
              <w:rPr>
                <w:rFonts w:ascii="Cambria" w:hAnsi="Cambria"/>
                <w:lang w:val="it-IT"/>
              </w:rPr>
              <w:t xml:space="preserve"> </w:t>
            </w:r>
            <w:proofErr w:type="spellStart"/>
            <w:r w:rsidRPr="00587D5D">
              <w:rPr>
                <w:rFonts w:ascii="Cambria" w:hAnsi="Cambria"/>
                <w:lang w:val="it-IT"/>
              </w:rPr>
              <w:t>ispravan</w:t>
            </w:r>
            <w:proofErr w:type="spellEnd"/>
            <w:r w:rsidRPr="00587D5D">
              <w:rPr>
                <w:rFonts w:ascii="Cambria" w:hAnsi="Cambria"/>
                <w:lang w:val="it-IT"/>
              </w:rPr>
              <w:t xml:space="preserve"> </w:t>
            </w:r>
            <w:proofErr w:type="spellStart"/>
            <w:r w:rsidRPr="00587D5D">
              <w:rPr>
                <w:rFonts w:ascii="Cambria" w:hAnsi="Cambria"/>
                <w:lang w:val="it-IT"/>
              </w:rPr>
              <w:t>način</w:t>
            </w:r>
            <w:proofErr w:type="spellEnd"/>
            <w:r w:rsidRPr="00587D5D">
              <w:rPr>
                <w:rFonts w:ascii="Cambria" w:hAnsi="Cambria"/>
                <w:lang w:val="it-IT"/>
              </w:rPr>
              <w:t xml:space="preserve"> </w:t>
            </w:r>
            <w:proofErr w:type="spellStart"/>
            <w:r w:rsidRPr="00587D5D">
              <w:rPr>
                <w:rFonts w:ascii="Cambria" w:hAnsi="Cambria"/>
                <w:lang w:val="it-IT"/>
              </w:rPr>
              <w:t>parafrazirani</w:t>
            </w:r>
            <w:proofErr w:type="spellEnd"/>
            <w:r w:rsidRPr="00587D5D">
              <w:rPr>
                <w:rFonts w:ascii="Cambria" w:hAnsi="Cambria"/>
                <w:lang w:val="it-IT"/>
              </w:rPr>
              <w:t xml:space="preserve">), s </w:t>
            </w:r>
            <w:proofErr w:type="spellStart"/>
            <w:r w:rsidRPr="00587D5D">
              <w:rPr>
                <w:rFonts w:ascii="Cambria" w:hAnsi="Cambria"/>
                <w:lang w:val="it-IT"/>
              </w:rPr>
              <w:t>obzirom</w:t>
            </w:r>
            <w:proofErr w:type="spellEnd"/>
            <w:r w:rsidRPr="00587D5D">
              <w:rPr>
                <w:rFonts w:ascii="Cambria" w:hAnsi="Cambria"/>
                <w:lang w:val="it-IT"/>
              </w:rPr>
              <w:t xml:space="preserve"> </w:t>
            </w:r>
            <w:proofErr w:type="spellStart"/>
            <w:r w:rsidRPr="00587D5D">
              <w:rPr>
                <w:rFonts w:ascii="Cambria" w:hAnsi="Cambria"/>
                <w:lang w:val="it-IT"/>
              </w:rPr>
              <w:t>na</w:t>
            </w:r>
            <w:proofErr w:type="spellEnd"/>
            <w:r w:rsidRPr="00587D5D">
              <w:rPr>
                <w:rFonts w:ascii="Cambria" w:hAnsi="Cambria"/>
                <w:lang w:val="it-IT"/>
              </w:rPr>
              <w:t xml:space="preserve"> </w:t>
            </w:r>
            <w:proofErr w:type="spellStart"/>
            <w:r w:rsidRPr="00587D5D">
              <w:rPr>
                <w:rFonts w:ascii="Cambria" w:hAnsi="Cambria"/>
                <w:lang w:val="it-IT"/>
              </w:rPr>
              <w:t>formu</w:t>
            </w:r>
            <w:proofErr w:type="spellEnd"/>
            <w:r w:rsidRPr="00587D5D">
              <w:rPr>
                <w:rFonts w:ascii="Cambria" w:hAnsi="Cambria"/>
                <w:lang w:val="it-IT"/>
              </w:rPr>
              <w:t xml:space="preserve"> (je li </w:t>
            </w:r>
            <w:proofErr w:type="spellStart"/>
            <w:r w:rsidRPr="00587D5D">
              <w:rPr>
                <w:rFonts w:ascii="Cambria" w:hAnsi="Cambria"/>
                <w:lang w:val="it-IT"/>
              </w:rPr>
              <w:t>dosljedno</w:t>
            </w:r>
            <w:proofErr w:type="spellEnd"/>
            <w:r w:rsidRPr="00587D5D">
              <w:rPr>
                <w:rFonts w:ascii="Cambria" w:hAnsi="Cambria"/>
                <w:lang w:val="it-IT"/>
              </w:rPr>
              <w:t xml:space="preserve"> </w:t>
            </w:r>
            <w:proofErr w:type="spellStart"/>
            <w:r w:rsidRPr="00587D5D">
              <w:rPr>
                <w:rFonts w:ascii="Cambria" w:hAnsi="Cambria"/>
                <w:lang w:val="it-IT"/>
              </w:rPr>
              <w:t>proveden</w:t>
            </w:r>
            <w:proofErr w:type="spellEnd"/>
            <w:r w:rsidRPr="00587D5D">
              <w:rPr>
                <w:rFonts w:ascii="Cambria" w:hAnsi="Cambria"/>
                <w:lang w:val="it-IT"/>
              </w:rPr>
              <w:t xml:space="preserve"> </w:t>
            </w:r>
            <w:proofErr w:type="spellStart"/>
            <w:r w:rsidRPr="00587D5D">
              <w:rPr>
                <w:rFonts w:ascii="Cambria" w:hAnsi="Cambria"/>
                <w:lang w:val="it-IT"/>
              </w:rPr>
              <w:t>odabrani</w:t>
            </w:r>
            <w:proofErr w:type="spellEnd"/>
            <w:r w:rsidRPr="00587D5D">
              <w:rPr>
                <w:rFonts w:ascii="Cambria" w:hAnsi="Cambria"/>
                <w:lang w:val="it-IT"/>
              </w:rPr>
              <w:t xml:space="preserve"> stil </w:t>
            </w:r>
            <w:proofErr w:type="spellStart"/>
            <w:r w:rsidRPr="00587D5D">
              <w:rPr>
                <w:rFonts w:ascii="Cambria" w:hAnsi="Cambria"/>
                <w:lang w:val="it-IT"/>
              </w:rPr>
              <w:t>citiranja</w:t>
            </w:r>
            <w:proofErr w:type="spellEnd"/>
            <w:r w:rsidRPr="00587D5D">
              <w:rPr>
                <w:rFonts w:ascii="Cambria" w:hAnsi="Cambria"/>
                <w:lang w:val="it-IT"/>
              </w:rPr>
              <w:t xml:space="preserve"> i </w:t>
            </w:r>
            <w:proofErr w:type="spellStart"/>
            <w:r w:rsidRPr="00587D5D">
              <w:rPr>
                <w:rFonts w:ascii="Cambria" w:hAnsi="Cambria"/>
                <w:lang w:val="it-IT"/>
              </w:rPr>
              <w:t>navođenja</w:t>
            </w:r>
            <w:proofErr w:type="spellEnd"/>
            <w:r w:rsidRPr="00587D5D">
              <w:rPr>
                <w:rFonts w:ascii="Cambria" w:hAnsi="Cambria"/>
                <w:lang w:val="it-IT"/>
              </w:rPr>
              <w:t xml:space="preserve"> literature).</w:t>
            </w:r>
          </w:p>
          <w:p w14:paraId="53879293" w14:textId="77777777" w:rsidR="00587D5D" w:rsidRPr="00587D5D" w:rsidRDefault="00587D5D" w:rsidP="00587D5D">
            <w:pPr>
              <w:autoSpaceDE w:val="0"/>
              <w:autoSpaceDN w:val="0"/>
              <w:adjustRightInd w:val="0"/>
              <w:spacing w:after="0" w:line="240" w:lineRule="auto"/>
              <w:rPr>
                <w:rFonts w:ascii="Cambria" w:hAnsi="Cambria"/>
                <w:lang w:val="it-IT"/>
              </w:rPr>
            </w:pPr>
            <w:proofErr w:type="spellStart"/>
            <w:r w:rsidRPr="00587D5D">
              <w:rPr>
                <w:rFonts w:ascii="Cambria" w:hAnsi="Cambria"/>
                <w:lang w:val="it-IT"/>
              </w:rPr>
              <w:t>Prije</w:t>
            </w:r>
            <w:proofErr w:type="spellEnd"/>
            <w:r w:rsidRPr="00587D5D">
              <w:rPr>
                <w:rFonts w:ascii="Cambria" w:hAnsi="Cambria"/>
                <w:lang w:val="it-IT"/>
              </w:rPr>
              <w:t xml:space="preserve"> </w:t>
            </w:r>
            <w:proofErr w:type="spellStart"/>
            <w:r w:rsidRPr="00587D5D">
              <w:rPr>
                <w:rFonts w:ascii="Cambria" w:hAnsi="Cambria"/>
                <w:lang w:val="it-IT"/>
              </w:rPr>
              <w:t>učitavanja</w:t>
            </w:r>
            <w:proofErr w:type="spellEnd"/>
            <w:r w:rsidRPr="00587D5D">
              <w:rPr>
                <w:rFonts w:ascii="Cambria" w:hAnsi="Cambria"/>
                <w:lang w:val="it-IT"/>
              </w:rPr>
              <w:t xml:space="preserve"> rada </w:t>
            </w:r>
            <w:proofErr w:type="spellStart"/>
            <w:r w:rsidRPr="00587D5D">
              <w:rPr>
                <w:rFonts w:ascii="Cambria" w:hAnsi="Cambria"/>
                <w:lang w:val="it-IT"/>
              </w:rPr>
              <w:t>na</w:t>
            </w:r>
            <w:proofErr w:type="spellEnd"/>
            <w:r w:rsidRPr="00587D5D">
              <w:rPr>
                <w:rFonts w:ascii="Cambria" w:hAnsi="Cambria"/>
                <w:lang w:val="it-IT"/>
              </w:rPr>
              <w:t xml:space="preserve"> za to </w:t>
            </w:r>
            <w:proofErr w:type="spellStart"/>
            <w:r w:rsidRPr="00587D5D">
              <w:rPr>
                <w:rFonts w:ascii="Cambria" w:hAnsi="Cambria"/>
                <w:lang w:val="it-IT"/>
              </w:rPr>
              <w:t>predviđeno</w:t>
            </w:r>
            <w:proofErr w:type="spellEnd"/>
            <w:r w:rsidRPr="00587D5D">
              <w:rPr>
                <w:rFonts w:ascii="Cambria" w:hAnsi="Cambria"/>
                <w:lang w:val="it-IT"/>
              </w:rPr>
              <w:t xml:space="preserve"> </w:t>
            </w:r>
            <w:proofErr w:type="spellStart"/>
            <w:r w:rsidRPr="00587D5D">
              <w:rPr>
                <w:rFonts w:ascii="Cambria" w:hAnsi="Cambria"/>
                <w:lang w:val="it-IT"/>
              </w:rPr>
              <w:t>mjesto</w:t>
            </w:r>
            <w:proofErr w:type="spellEnd"/>
            <w:r w:rsidRPr="00587D5D">
              <w:rPr>
                <w:rFonts w:ascii="Cambria" w:hAnsi="Cambria"/>
                <w:lang w:val="it-IT"/>
              </w:rPr>
              <w:t xml:space="preserve"> </w:t>
            </w:r>
            <w:proofErr w:type="spellStart"/>
            <w:r w:rsidRPr="00587D5D">
              <w:rPr>
                <w:rFonts w:ascii="Cambria" w:hAnsi="Cambria"/>
                <w:lang w:val="it-IT"/>
              </w:rPr>
              <w:t>na</w:t>
            </w:r>
            <w:proofErr w:type="spellEnd"/>
            <w:r w:rsidRPr="00587D5D">
              <w:rPr>
                <w:rFonts w:ascii="Cambria" w:hAnsi="Cambria"/>
                <w:lang w:val="it-IT"/>
              </w:rPr>
              <w:t xml:space="preserve"> e-</w:t>
            </w:r>
            <w:proofErr w:type="spellStart"/>
            <w:r w:rsidRPr="00587D5D">
              <w:rPr>
                <w:rFonts w:ascii="Cambria" w:hAnsi="Cambria"/>
                <w:lang w:val="it-IT"/>
              </w:rPr>
              <w:t>učenju</w:t>
            </w:r>
            <w:proofErr w:type="spellEnd"/>
            <w:r w:rsidRPr="00587D5D">
              <w:rPr>
                <w:rFonts w:ascii="Cambria" w:hAnsi="Cambria"/>
                <w:lang w:val="it-IT"/>
              </w:rPr>
              <w:t xml:space="preserve">, </w:t>
            </w:r>
            <w:proofErr w:type="spellStart"/>
            <w:r w:rsidRPr="00587D5D">
              <w:rPr>
                <w:rFonts w:ascii="Cambria" w:hAnsi="Cambria"/>
                <w:lang w:val="it-IT"/>
              </w:rPr>
              <w:t>student</w:t>
            </w:r>
            <w:proofErr w:type="spellEnd"/>
            <w:r w:rsidRPr="00587D5D">
              <w:rPr>
                <w:rFonts w:ascii="Cambria" w:hAnsi="Cambria"/>
                <w:lang w:val="it-IT"/>
              </w:rPr>
              <w:t>/</w:t>
            </w:r>
            <w:proofErr w:type="spellStart"/>
            <w:r w:rsidRPr="00587D5D">
              <w:rPr>
                <w:rFonts w:ascii="Cambria" w:hAnsi="Cambria"/>
                <w:lang w:val="it-IT"/>
              </w:rPr>
              <w:t>studentica</w:t>
            </w:r>
            <w:proofErr w:type="spellEnd"/>
            <w:r w:rsidRPr="00587D5D">
              <w:rPr>
                <w:rFonts w:ascii="Cambria" w:hAnsi="Cambria"/>
                <w:lang w:val="it-IT"/>
              </w:rPr>
              <w:t xml:space="preserve"> rad </w:t>
            </w:r>
            <w:proofErr w:type="spellStart"/>
            <w:r w:rsidRPr="00587D5D">
              <w:rPr>
                <w:rFonts w:ascii="Cambria" w:hAnsi="Cambria"/>
                <w:lang w:val="it-IT"/>
              </w:rPr>
              <w:t>treba</w:t>
            </w:r>
            <w:proofErr w:type="spellEnd"/>
            <w:r w:rsidRPr="00587D5D">
              <w:rPr>
                <w:rFonts w:ascii="Cambria" w:hAnsi="Cambria"/>
                <w:lang w:val="it-IT"/>
              </w:rPr>
              <w:t xml:space="preserve"> </w:t>
            </w:r>
            <w:proofErr w:type="spellStart"/>
            <w:r w:rsidRPr="00587D5D">
              <w:rPr>
                <w:rFonts w:ascii="Cambria" w:hAnsi="Cambria"/>
                <w:lang w:val="it-IT"/>
              </w:rPr>
              <w:t>učitati</w:t>
            </w:r>
            <w:proofErr w:type="spellEnd"/>
            <w:r w:rsidRPr="00587D5D">
              <w:rPr>
                <w:rFonts w:ascii="Cambria" w:hAnsi="Cambria"/>
                <w:lang w:val="it-IT"/>
              </w:rPr>
              <w:t xml:space="preserve"> </w:t>
            </w:r>
            <w:proofErr w:type="spellStart"/>
            <w:r w:rsidRPr="00587D5D">
              <w:rPr>
                <w:rFonts w:ascii="Cambria" w:hAnsi="Cambria"/>
                <w:lang w:val="it-IT"/>
              </w:rPr>
              <w:t>na</w:t>
            </w:r>
            <w:proofErr w:type="spellEnd"/>
            <w:r w:rsidRPr="00587D5D">
              <w:rPr>
                <w:rFonts w:ascii="Cambria" w:hAnsi="Cambria"/>
                <w:lang w:val="it-IT"/>
              </w:rPr>
              <w:t xml:space="preserve">: https://plagscan.unipu.hr/unipu? te </w:t>
            </w:r>
            <w:proofErr w:type="spellStart"/>
            <w:r w:rsidRPr="00587D5D">
              <w:rPr>
                <w:rFonts w:ascii="Cambria" w:hAnsi="Cambria"/>
                <w:lang w:val="it-IT"/>
              </w:rPr>
              <w:t>rezultate</w:t>
            </w:r>
            <w:proofErr w:type="spellEnd"/>
            <w:r w:rsidRPr="00587D5D">
              <w:rPr>
                <w:rFonts w:ascii="Cambria" w:hAnsi="Cambria"/>
                <w:lang w:val="it-IT"/>
              </w:rPr>
              <w:t xml:space="preserve"> </w:t>
            </w:r>
            <w:proofErr w:type="spellStart"/>
            <w:r w:rsidRPr="00587D5D">
              <w:rPr>
                <w:rFonts w:ascii="Cambria" w:hAnsi="Cambria"/>
                <w:lang w:val="it-IT"/>
              </w:rPr>
              <w:t>učitati</w:t>
            </w:r>
            <w:proofErr w:type="spellEnd"/>
            <w:r w:rsidRPr="00587D5D">
              <w:rPr>
                <w:rFonts w:ascii="Cambria" w:hAnsi="Cambria"/>
                <w:lang w:val="it-IT"/>
              </w:rPr>
              <w:t xml:space="preserve"> </w:t>
            </w:r>
            <w:proofErr w:type="spellStart"/>
            <w:r w:rsidRPr="00587D5D">
              <w:rPr>
                <w:rFonts w:ascii="Cambria" w:hAnsi="Cambria"/>
                <w:lang w:val="it-IT"/>
              </w:rPr>
              <w:t>na</w:t>
            </w:r>
            <w:proofErr w:type="spellEnd"/>
            <w:r w:rsidRPr="00587D5D">
              <w:rPr>
                <w:rFonts w:ascii="Cambria" w:hAnsi="Cambria"/>
                <w:lang w:val="it-IT"/>
              </w:rPr>
              <w:t xml:space="preserve"> e-</w:t>
            </w:r>
            <w:proofErr w:type="spellStart"/>
            <w:r w:rsidRPr="00587D5D">
              <w:rPr>
                <w:rFonts w:ascii="Cambria" w:hAnsi="Cambria"/>
                <w:lang w:val="it-IT"/>
              </w:rPr>
              <w:t>učenje</w:t>
            </w:r>
            <w:proofErr w:type="spellEnd"/>
            <w:r w:rsidRPr="00587D5D">
              <w:rPr>
                <w:rFonts w:ascii="Cambria" w:hAnsi="Cambria"/>
                <w:lang w:val="it-IT"/>
              </w:rPr>
              <w:t xml:space="preserve"> </w:t>
            </w:r>
            <w:proofErr w:type="spellStart"/>
            <w:r w:rsidRPr="00587D5D">
              <w:rPr>
                <w:rFonts w:ascii="Cambria" w:hAnsi="Cambria"/>
                <w:lang w:val="it-IT"/>
              </w:rPr>
              <w:t>uz</w:t>
            </w:r>
            <w:proofErr w:type="spellEnd"/>
            <w:r w:rsidRPr="00587D5D">
              <w:rPr>
                <w:rFonts w:ascii="Cambria" w:hAnsi="Cambria"/>
                <w:lang w:val="it-IT"/>
              </w:rPr>
              <w:t xml:space="preserve"> </w:t>
            </w:r>
            <w:proofErr w:type="spellStart"/>
            <w:r w:rsidRPr="00587D5D">
              <w:rPr>
                <w:rFonts w:ascii="Cambria" w:hAnsi="Cambria"/>
                <w:lang w:val="it-IT"/>
              </w:rPr>
              <w:t>seminarski</w:t>
            </w:r>
            <w:proofErr w:type="spellEnd"/>
            <w:r w:rsidRPr="00587D5D">
              <w:rPr>
                <w:rFonts w:ascii="Cambria" w:hAnsi="Cambria"/>
                <w:lang w:val="it-IT"/>
              </w:rPr>
              <w:t xml:space="preserve"> rad</w:t>
            </w:r>
          </w:p>
          <w:p w14:paraId="130EE21A" w14:textId="77777777" w:rsidR="00587D5D" w:rsidRPr="00587D5D" w:rsidRDefault="00587D5D" w:rsidP="00587D5D">
            <w:pPr>
              <w:autoSpaceDE w:val="0"/>
              <w:autoSpaceDN w:val="0"/>
              <w:adjustRightInd w:val="0"/>
              <w:spacing w:after="0" w:line="240" w:lineRule="auto"/>
              <w:rPr>
                <w:rFonts w:ascii="Cambria" w:hAnsi="Cambria"/>
                <w:lang w:val="it-IT"/>
              </w:rPr>
            </w:pPr>
            <w:proofErr w:type="spellStart"/>
            <w:r w:rsidRPr="00587D5D">
              <w:rPr>
                <w:rFonts w:ascii="Cambria" w:hAnsi="Cambria"/>
                <w:lang w:val="it-IT"/>
              </w:rPr>
              <w:t>Priprema</w:t>
            </w:r>
            <w:proofErr w:type="spellEnd"/>
            <w:r w:rsidRPr="00587D5D">
              <w:rPr>
                <w:rFonts w:ascii="Cambria" w:hAnsi="Cambria"/>
                <w:lang w:val="it-IT"/>
              </w:rPr>
              <w:t xml:space="preserve"> i </w:t>
            </w:r>
            <w:proofErr w:type="spellStart"/>
            <w:r w:rsidRPr="00587D5D">
              <w:rPr>
                <w:rFonts w:ascii="Cambria" w:hAnsi="Cambria"/>
                <w:lang w:val="it-IT"/>
              </w:rPr>
              <w:t>vrednovanje</w:t>
            </w:r>
            <w:proofErr w:type="spellEnd"/>
            <w:r w:rsidRPr="00587D5D">
              <w:rPr>
                <w:rFonts w:ascii="Cambria" w:hAnsi="Cambria"/>
                <w:lang w:val="it-IT"/>
              </w:rPr>
              <w:t xml:space="preserve"> </w:t>
            </w:r>
            <w:proofErr w:type="spellStart"/>
            <w:r w:rsidRPr="00587D5D">
              <w:rPr>
                <w:rFonts w:ascii="Cambria" w:hAnsi="Cambria"/>
                <w:lang w:val="it-IT"/>
              </w:rPr>
              <w:t>usmenog</w:t>
            </w:r>
            <w:proofErr w:type="spellEnd"/>
            <w:r w:rsidRPr="00587D5D">
              <w:rPr>
                <w:rFonts w:ascii="Cambria" w:hAnsi="Cambria"/>
                <w:lang w:val="it-IT"/>
              </w:rPr>
              <w:t xml:space="preserve"> </w:t>
            </w:r>
            <w:proofErr w:type="spellStart"/>
            <w:r w:rsidRPr="00587D5D">
              <w:rPr>
                <w:rFonts w:ascii="Cambria" w:hAnsi="Cambria"/>
                <w:lang w:val="it-IT"/>
              </w:rPr>
              <w:t>izlaganja</w:t>
            </w:r>
            <w:proofErr w:type="spellEnd"/>
          </w:p>
          <w:p w14:paraId="3D04CAF9" w14:textId="77777777" w:rsidR="00587D5D" w:rsidRPr="00587D5D" w:rsidRDefault="00587D5D" w:rsidP="00587D5D">
            <w:pPr>
              <w:autoSpaceDE w:val="0"/>
              <w:autoSpaceDN w:val="0"/>
              <w:adjustRightInd w:val="0"/>
              <w:spacing w:after="0" w:line="240" w:lineRule="auto"/>
              <w:rPr>
                <w:rFonts w:ascii="Cambria" w:hAnsi="Cambria"/>
                <w:b/>
                <w:u w:val="single"/>
                <w:lang w:val="it-IT"/>
              </w:rPr>
            </w:pPr>
            <w:r w:rsidRPr="00587D5D">
              <w:rPr>
                <w:rFonts w:ascii="Cambria" w:hAnsi="Cambria"/>
                <w:lang w:val="it-IT"/>
              </w:rPr>
              <w:t>Studenti/</w:t>
            </w:r>
            <w:proofErr w:type="spellStart"/>
            <w:r w:rsidRPr="00587D5D">
              <w:rPr>
                <w:rFonts w:ascii="Cambria" w:hAnsi="Cambria"/>
                <w:lang w:val="it-IT"/>
              </w:rPr>
              <w:t>studentice</w:t>
            </w:r>
            <w:proofErr w:type="spellEnd"/>
            <w:r w:rsidRPr="00587D5D">
              <w:rPr>
                <w:rFonts w:ascii="Cambria" w:hAnsi="Cambria"/>
                <w:lang w:val="it-IT"/>
              </w:rPr>
              <w:t xml:space="preserve"> </w:t>
            </w:r>
            <w:proofErr w:type="spellStart"/>
            <w:r w:rsidRPr="00587D5D">
              <w:rPr>
                <w:rFonts w:ascii="Cambria" w:hAnsi="Cambria"/>
                <w:lang w:val="it-IT"/>
              </w:rPr>
              <w:t>trebaju</w:t>
            </w:r>
            <w:proofErr w:type="spellEnd"/>
            <w:r w:rsidRPr="00587D5D">
              <w:rPr>
                <w:rFonts w:ascii="Cambria" w:hAnsi="Cambria"/>
                <w:lang w:val="it-IT"/>
              </w:rPr>
              <w:t xml:space="preserve"> </w:t>
            </w:r>
            <w:proofErr w:type="spellStart"/>
            <w:r w:rsidRPr="00587D5D">
              <w:rPr>
                <w:rFonts w:ascii="Cambria" w:hAnsi="Cambria"/>
                <w:lang w:val="it-IT"/>
              </w:rPr>
              <w:t>prezentirati</w:t>
            </w:r>
            <w:proofErr w:type="spellEnd"/>
            <w:r w:rsidRPr="00587D5D">
              <w:rPr>
                <w:rFonts w:ascii="Cambria" w:hAnsi="Cambria"/>
                <w:lang w:val="it-IT"/>
              </w:rPr>
              <w:t xml:space="preserve"> </w:t>
            </w:r>
            <w:proofErr w:type="spellStart"/>
            <w:r w:rsidRPr="00587D5D">
              <w:rPr>
                <w:rFonts w:ascii="Cambria" w:hAnsi="Cambria"/>
                <w:lang w:val="it-IT"/>
              </w:rPr>
              <w:t>izlaganje</w:t>
            </w:r>
            <w:proofErr w:type="spellEnd"/>
            <w:r w:rsidRPr="00587D5D">
              <w:rPr>
                <w:rFonts w:ascii="Cambria" w:hAnsi="Cambria"/>
                <w:lang w:val="it-IT"/>
              </w:rPr>
              <w:t xml:space="preserve"> </w:t>
            </w:r>
            <w:proofErr w:type="spellStart"/>
            <w:r w:rsidRPr="00587D5D">
              <w:rPr>
                <w:rFonts w:ascii="Cambria" w:hAnsi="Cambria"/>
                <w:lang w:val="it-IT"/>
              </w:rPr>
              <w:t>na</w:t>
            </w:r>
            <w:proofErr w:type="spellEnd"/>
            <w:r w:rsidRPr="00587D5D">
              <w:rPr>
                <w:rFonts w:ascii="Cambria" w:hAnsi="Cambria"/>
                <w:lang w:val="it-IT"/>
              </w:rPr>
              <w:t xml:space="preserve"> </w:t>
            </w:r>
            <w:proofErr w:type="spellStart"/>
            <w:r w:rsidRPr="00587D5D">
              <w:rPr>
                <w:rFonts w:ascii="Cambria" w:hAnsi="Cambria"/>
                <w:lang w:val="it-IT"/>
              </w:rPr>
              <w:t>zadanu</w:t>
            </w:r>
            <w:proofErr w:type="spellEnd"/>
            <w:r w:rsidRPr="00587D5D">
              <w:rPr>
                <w:rFonts w:ascii="Cambria" w:hAnsi="Cambria"/>
                <w:lang w:val="it-IT"/>
              </w:rPr>
              <w:t xml:space="preserve"> </w:t>
            </w:r>
            <w:proofErr w:type="spellStart"/>
            <w:r w:rsidRPr="00587D5D">
              <w:rPr>
                <w:rFonts w:ascii="Cambria" w:hAnsi="Cambria"/>
                <w:lang w:val="it-IT"/>
              </w:rPr>
              <w:t>temu</w:t>
            </w:r>
            <w:proofErr w:type="spellEnd"/>
            <w:r w:rsidRPr="00587D5D">
              <w:rPr>
                <w:rFonts w:ascii="Cambria" w:hAnsi="Cambria"/>
                <w:lang w:val="it-IT"/>
              </w:rPr>
              <w:t xml:space="preserve"> </w:t>
            </w:r>
            <w:proofErr w:type="spellStart"/>
            <w:r w:rsidRPr="00587D5D">
              <w:rPr>
                <w:rFonts w:ascii="Cambria" w:hAnsi="Cambria"/>
                <w:lang w:val="it-IT"/>
              </w:rPr>
              <w:t>koje</w:t>
            </w:r>
            <w:proofErr w:type="spellEnd"/>
            <w:r w:rsidRPr="00587D5D">
              <w:rPr>
                <w:rFonts w:ascii="Cambria" w:hAnsi="Cambria"/>
                <w:lang w:val="it-IT"/>
              </w:rPr>
              <w:t xml:space="preserve"> </w:t>
            </w:r>
            <w:proofErr w:type="spellStart"/>
            <w:r w:rsidRPr="00587D5D">
              <w:rPr>
                <w:rFonts w:ascii="Cambria" w:hAnsi="Cambria"/>
                <w:lang w:val="it-IT"/>
              </w:rPr>
              <w:t>može</w:t>
            </w:r>
            <w:proofErr w:type="spellEnd"/>
            <w:r w:rsidRPr="00587D5D">
              <w:rPr>
                <w:rFonts w:ascii="Cambria" w:hAnsi="Cambria"/>
                <w:lang w:val="it-IT"/>
              </w:rPr>
              <w:t xml:space="preserve"> </w:t>
            </w:r>
            <w:proofErr w:type="spellStart"/>
            <w:r w:rsidRPr="00587D5D">
              <w:rPr>
                <w:rFonts w:ascii="Cambria" w:hAnsi="Cambria"/>
                <w:lang w:val="it-IT"/>
              </w:rPr>
              <w:t>trajati</w:t>
            </w:r>
            <w:proofErr w:type="spellEnd"/>
            <w:r w:rsidRPr="00587D5D">
              <w:rPr>
                <w:rFonts w:ascii="Cambria" w:hAnsi="Cambria"/>
                <w:lang w:val="it-IT"/>
              </w:rPr>
              <w:t xml:space="preserve"> </w:t>
            </w:r>
            <w:proofErr w:type="spellStart"/>
            <w:r w:rsidRPr="00587D5D">
              <w:rPr>
                <w:rFonts w:ascii="Cambria" w:hAnsi="Cambria"/>
                <w:lang w:val="it-IT"/>
              </w:rPr>
              <w:t>desetak</w:t>
            </w:r>
            <w:proofErr w:type="spellEnd"/>
            <w:r w:rsidRPr="00587D5D">
              <w:rPr>
                <w:rFonts w:ascii="Cambria" w:hAnsi="Cambria"/>
                <w:lang w:val="it-IT"/>
              </w:rPr>
              <w:t xml:space="preserve"> minuta, prema </w:t>
            </w:r>
            <w:proofErr w:type="spellStart"/>
            <w:r w:rsidRPr="00587D5D">
              <w:rPr>
                <w:rFonts w:ascii="Cambria" w:hAnsi="Cambria"/>
                <w:lang w:val="it-IT"/>
              </w:rPr>
              <w:t>rasporedu</w:t>
            </w:r>
            <w:proofErr w:type="spellEnd"/>
            <w:r w:rsidRPr="00587D5D">
              <w:rPr>
                <w:rFonts w:ascii="Cambria" w:hAnsi="Cambria"/>
                <w:lang w:val="it-IT"/>
              </w:rPr>
              <w:t xml:space="preserve"> </w:t>
            </w:r>
            <w:proofErr w:type="spellStart"/>
            <w:r w:rsidRPr="00587D5D">
              <w:rPr>
                <w:rFonts w:ascii="Cambria" w:hAnsi="Cambria"/>
                <w:lang w:val="it-IT"/>
              </w:rPr>
              <w:t>dogovorenom</w:t>
            </w:r>
            <w:proofErr w:type="spellEnd"/>
            <w:r w:rsidRPr="00587D5D">
              <w:rPr>
                <w:rFonts w:ascii="Cambria" w:hAnsi="Cambria"/>
                <w:lang w:val="it-IT"/>
              </w:rPr>
              <w:t xml:space="preserve"> </w:t>
            </w:r>
            <w:proofErr w:type="spellStart"/>
            <w:r w:rsidRPr="00587D5D">
              <w:rPr>
                <w:rFonts w:ascii="Cambria" w:hAnsi="Cambria"/>
                <w:lang w:val="it-IT"/>
              </w:rPr>
              <w:t>na</w:t>
            </w:r>
            <w:proofErr w:type="spellEnd"/>
            <w:r w:rsidRPr="00587D5D">
              <w:rPr>
                <w:rFonts w:ascii="Cambria" w:hAnsi="Cambria"/>
                <w:lang w:val="it-IT"/>
              </w:rPr>
              <w:t xml:space="preserve"> </w:t>
            </w:r>
            <w:proofErr w:type="spellStart"/>
            <w:r w:rsidRPr="00587D5D">
              <w:rPr>
                <w:rFonts w:ascii="Cambria" w:hAnsi="Cambria"/>
                <w:lang w:val="it-IT"/>
              </w:rPr>
              <w:t>nastavi</w:t>
            </w:r>
            <w:proofErr w:type="spellEnd"/>
            <w:r w:rsidRPr="00587D5D">
              <w:rPr>
                <w:rFonts w:ascii="Cambria" w:hAnsi="Cambria"/>
                <w:lang w:val="it-IT"/>
              </w:rPr>
              <w:t xml:space="preserve">. </w:t>
            </w:r>
          </w:p>
          <w:p w14:paraId="7BEB8FE4" w14:textId="77777777" w:rsidR="00587D5D" w:rsidRPr="00587D5D" w:rsidRDefault="00587D5D" w:rsidP="00587D5D">
            <w:pPr>
              <w:autoSpaceDE w:val="0"/>
              <w:autoSpaceDN w:val="0"/>
              <w:adjustRightInd w:val="0"/>
              <w:spacing w:after="0" w:line="240" w:lineRule="auto"/>
              <w:rPr>
                <w:rFonts w:ascii="Cambria" w:hAnsi="Cambria"/>
                <w:lang w:val="it-IT"/>
              </w:rPr>
            </w:pPr>
            <w:r w:rsidRPr="00587D5D">
              <w:rPr>
                <w:rFonts w:ascii="Cambria" w:hAnsi="Cambria"/>
                <w:lang w:val="it-IT"/>
              </w:rPr>
              <w:t>Studenti/</w:t>
            </w:r>
            <w:proofErr w:type="spellStart"/>
            <w:r w:rsidRPr="00587D5D">
              <w:rPr>
                <w:rFonts w:ascii="Cambria" w:hAnsi="Cambria"/>
                <w:lang w:val="it-IT"/>
              </w:rPr>
              <w:t>studentice</w:t>
            </w:r>
            <w:proofErr w:type="spellEnd"/>
            <w:r w:rsidRPr="00587D5D">
              <w:rPr>
                <w:rFonts w:ascii="Cambria" w:hAnsi="Cambria"/>
                <w:lang w:val="it-IT"/>
              </w:rPr>
              <w:t xml:space="preserve"> </w:t>
            </w:r>
            <w:proofErr w:type="spellStart"/>
            <w:r w:rsidRPr="00587D5D">
              <w:rPr>
                <w:rFonts w:ascii="Cambria" w:hAnsi="Cambria"/>
                <w:lang w:val="it-IT"/>
              </w:rPr>
              <w:t>trebaju</w:t>
            </w:r>
            <w:proofErr w:type="spellEnd"/>
            <w:r w:rsidRPr="00587D5D">
              <w:rPr>
                <w:rFonts w:ascii="Cambria" w:hAnsi="Cambria"/>
                <w:lang w:val="it-IT"/>
              </w:rPr>
              <w:t xml:space="preserve"> </w:t>
            </w:r>
            <w:proofErr w:type="spellStart"/>
            <w:r w:rsidRPr="00587D5D">
              <w:rPr>
                <w:rFonts w:ascii="Cambria" w:hAnsi="Cambria"/>
                <w:lang w:val="it-IT"/>
              </w:rPr>
              <w:t>prezentaciju</w:t>
            </w:r>
            <w:proofErr w:type="spellEnd"/>
            <w:r w:rsidRPr="00587D5D">
              <w:rPr>
                <w:rFonts w:ascii="Cambria" w:hAnsi="Cambria"/>
                <w:lang w:val="it-IT"/>
              </w:rPr>
              <w:t xml:space="preserve"> </w:t>
            </w:r>
            <w:proofErr w:type="gramStart"/>
            <w:r w:rsidRPr="00587D5D">
              <w:rPr>
                <w:rFonts w:ascii="Cambria" w:hAnsi="Cambria"/>
                <w:lang w:val="it-IT"/>
              </w:rPr>
              <w:t>i ostale</w:t>
            </w:r>
            <w:proofErr w:type="gramEnd"/>
            <w:r w:rsidRPr="00587D5D">
              <w:rPr>
                <w:rFonts w:ascii="Cambria" w:hAnsi="Cambria"/>
                <w:lang w:val="it-IT"/>
              </w:rPr>
              <w:t xml:space="preserve"> </w:t>
            </w:r>
            <w:proofErr w:type="spellStart"/>
            <w:r w:rsidRPr="00587D5D">
              <w:rPr>
                <w:rFonts w:ascii="Cambria" w:hAnsi="Cambria"/>
                <w:lang w:val="it-IT"/>
              </w:rPr>
              <w:t>elektroničke</w:t>
            </w:r>
            <w:proofErr w:type="spellEnd"/>
            <w:r w:rsidRPr="00587D5D">
              <w:rPr>
                <w:rFonts w:ascii="Cambria" w:hAnsi="Cambria"/>
                <w:lang w:val="it-IT"/>
              </w:rPr>
              <w:t xml:space="preserve"> </w:t>
            </w:r>
            <w:proofErr w:type="spellStart"/>
            <w:r w:rsidRPr="00587D5D">
              <w:rPr>
                <w:rFonts w:ascii="Cambria" w:hAnsi="Cambria"/>
                <w:lang w:val="it-IT"/>
              </w:rPr>
              <w:t>materijale</w:t>
            </w:r>
            <w:proofErr w:type="spellEnd"/>
            <w:r w:rsidRPr="00587D5D">
              <w:rPr>
                <w:rFonts w:ascii="Cambria" w:hAnsi="Cambria"/>
                <w:lang w:val="it-IT"/>
              </w:rPr>
              <w:t xml:space="preserve"> </w:t>
            </w:r>
            <w:proofErr w:type="spellStart"/>
            <w:r w:rsidRPr="00587D5D">
              <w:rPr>
                <w:rFonts w:ascii="Cambria" w:hAnsi="Cambria"/>
                <w:lang w:val="it-IT"/>
              </w:rPr>
              <w:t>koje</w:t>
            </w:r>
            <w:proofErr w:type="spellEnd"/>
            <w:r w:rsidRPr="00587D5D">
              <w:rPr>
                <w:rFonts w:ascii="Cambria" w:hAnsi="Cambria"/>
                <w:lang w:val="it-IT"/>
              </w:rPr>
              <w:t xml:space="preserve"> </w:t>
            </w:r>
            <w:proofErr w:type="spellStart"/>
            <w:r w:rsidRPr="00587D5D">
              <w:rPr>
                <w:rFonts w:ascii="Cambria" w:hAnsi="Cambria"/>
                <w:lang w:val="it-IT"/>
              </w:rPr>
              <w:t>će</w:t>
            </w:r>
            <w:proofErr w:type="spellEnd"/>
            <w:r w:rsidRPr="00587D5D">
              <w:rPr>
                <w:rFonts w:ascii="Cambria" w:hAnsi="Cambria"/>
                <w:lang w:val="it-IT"/>
              </w:rPr>
              <w:t xml:space="preserve"> </w:t>
            </w:r>
            <w:proofErr w:type="spellStart"/>
            <w:r w:rsidRPr="00587D5D">
              <w:rPr>
                <w:rFonts w:ascii="Cambria" w:hAnsi="Cambria"/>
                <w:lang w:val="it-IT"/>
              </w:rPr>
              <w:t>koristiti</w:t>
            </w:r>
            <w:proofErr w:type="spellEnd"/>
            <w:r w:rsidRPr="00587D5D">
              <w:rPr>
                <w:rFonts w:ascii="Cambria" w:hAnsi="Cambria"/>
                <w:lang w:val="it-IT"/>
              </w:rPr>
              <w:t xml:space="preserve"> u </w:t>
            </w:r>
            <w:proofErr w:type="spellStart"/>
            <w:r w:rsidRPr="00587D5D">
              <w:rPr>
                <w:rFonts w:ascii="Cambria" w:hAnsi="Cambria"/>
                <w:lang w:val="it-IT"/>
              </w:rPr>
              <w:t>izlaganju</w:t>
            </w:r>
            <w:proofErr w:type="spellEnd"/>
            <w:r w:rsidRPr="00587D5D">
              <w:rPr>
                <w:rFonts w:ascii="Cambria" w:hAnsi="Cambria"/>
                <w:lang w:val="it-IT"/>
              </w:rPr>
              <w:t xml:space="preserve"> predati </w:t>
            </w:r>
            <w:proofErr w:type="spellStart"/>
            <w:r w:rsidRPr="00587D5D">
              <w:rPr>
                <w:rFonts w:ascii="Cambria" w:hAnsi="Cambria"/>
                <w:lang w:val="it-IT"/>
              </w:rPr>
              <w:t>na</w:t>
            </w:r>
            <w:proofErr w:type="spellEnd"/>
            <w:r w:rsidRPr="00587D5D">
              <w:rPr>
                <w:rFonts w:ascii="Cambria" w:hAnsi="Cambria"/>
                <w:lang w:val="it-IT"/>
              </w:rPr>
              <w:t xml:space="preserve"> e-</w:t>
            </w:r>
            <w:proofErr w:type="spellStart"/>
            <w:r w:rsidRPr="00587D5D">
              <w:rPr>
                <w:rFonts w:ascii="Cambria" w:hAnsi="Cambria"/>
                <w:lang w:val="it-IT"/>
              </w:rPr>
              <w:t>učenju</w:t>
            </w:r>
            <w:proofErr w:type="spellEnd"/>
            <w:r w:rsidRPr="00587D5D">
              <w:rPr>
                <w:rFonts w:ascii="Cambria" w:hAnsi="Cambria"/>
                <w:lang w:val="it-IT"/>
              </w:rPr>
              <w:t xml:space="preserve"> </w:t>
            </w:r>
            <w:proofErr w:type="spellStart"/>
            <w:r w:rsidRPr="00587D5D">
              <w:rPr>
                <w:rFonts w:ascii="Cambria" w:hAnsi="Cambria"/>
                <w:lang w:val="it-IT"/>
              </w:rPr>
              <w:t>najkasnije</w:t>
            </w:r>
            <w:proofErr w:type="spellEnd"/>
            <w:r w:rsidRPr="00587D5D">
              <w:rPr>
                <w:rFonts w:ascii="Cambria" w:hAnsi="Cambria"/>
                <w:lang w:val="it-IT"/>
              </w:rPr>
              <w:t xml:space="preserve"> </w:t>
            </w:r>
            <w:proofErr w:type="spellStart"/>
            <w:r w:rsidRPr="00587D5D">
              <w:rPr>
                <w:rFonts w:ascii="Cambria" w:hAnsi="Cambria"/>
                <w:lang w:val="it-IT"/>
              </w:rPr>
              <w:t>dva</w:t>
            </w:r>
            <w:proofErr w:type="spellEnd"/>
            <w:r w:rsidRPr="00587D5D">
              <w:rPr>
                <w:rFonts w:ascii="Cambria" w:hAnsi="Cambria"/>
                <w:lang w:val="it-IT"/>
              </w:rPr>
              <w:t xml:space="preserve"> </w:t>
            </w:r>
            <w:proofErr w:type="spellStart"/>
            <w:r w:rsidRPr="00587D5D">
              <w:rPr>
                <w:rFonts w:ascii="Cambria" w:hAnsi="Cambria"/>
                <w:lang w:val="it-IT"/>
              </w:rPr>
              <w:t>dana</w:t>
            </w:r>
            <w:proofErr w:type="spellEnd"/>
            <w:r w:rsidRPr="00587D5D">
              <w:rPr>
                <w:rFonts w:ascii="Cambria" w:hAnsi="Cambria"/>
                <w:lang w:val="it-IT"/>
              </w:rPr>
              <w:t xml:space="preserve"> </w:t>
            </w:r>
            <w:proofErr w:type="spellStart"/>
            <w:r w:rsidRPr="00587D5D">
              <w:rPr>
                <w:rFonts w:ascii="Cambria" w:hAnsi="Cambria"/>
                <w:lang w:val="it-IT"/>
              </w:rPr>
              <w:t>prije</w:t>
            </w:r>
            <w:proofErr w:type="spellEnd"/>
            <w:r w:rsidRPr="00587D5D">
              <w:rPr>
                <w:rFonts w:ascii="Cambria" w:hAnsi="Cambria"/>
                <w:lang w:val="it-IT"/>
              </w:rPr>
              <w:t xml:space="preserve"> </w:t>
            </w:r>
            <w:proofErr w:type="spellStart"/>
            <w:r w:rsidRPr="00587D5D">
              <w:rPr>
                <w:rFonts w:ascii="Cambria" w:hAnsi="Cambria"/>
                <w:lang w:val="it-IT"/>
              </w:rPr>
              <w:t>izlaganja</w:t>
            </w:r>
            <w:proofErr w:type="spellEnd"/>
            <w:r w:rsidRPr="00587D5D">
              <w:rPr>
                <w:rFonts w:ascii="Cambria" w:hAnsi="Cambria"/>
                <w:lang w:val="it-IT"/>
              </w:rPr>
              <w:t>.</w:t>
            </w:r>
          </w:p>
          <w:p w14:paraId="16FC0B14" w14:textId="77777777" w:rsidR="00587D5D" w:rsidRPr="00587D5D" w:rsidRDefault="00587D5D" w:rsidP="00587D5D">
            <w:pPr>
              <w:autoSpaceDE w:val="0"/>
              <w:autoSpaceDN w:val="0"/>
              <w:adjustRightInd w:val="0"/>
              <w:spacing w:after="0" w:line="240" w:lineRule="auto"/>
              <w:rPr>
                <w:rFonts w:ascii="Cambria" w:hAnsi="Cambria"/>
                <w:lang w:val="it-IT"/>
              </w:rPr>
            </w:pPr>
            <w:r w:rsidRPr="00587D5D">
              <w:rPr>
                <w:rFonts w:ascii="Cambria" w:hAnsi="Cambria"/>
                <w:lang w:val="it-IT"/>
              </w:rPr>
              <w:t xml:space="preserve">Seminar se </w:t>
            </w:r>
            <w:proofErr w:type="spellStart"/>
            <w:r w:rsidRPr="00587D5D">
              <w:rPr>
                <w:rFonts w:ascii="Cambria" w:hAnsi="Cambria"/>
                <w:lang w:val="it-IT"/>
              </w:rPr>
              <w:t>vrednuje</w:t>
            </w:r>
            <w:proofErr w:type="spellEnd"/>
            <w:r w:rsidRPr="00587D5D">
              <w:rPr>
                <w:rFonts w:ascii="Cambria" w:hAnsi="Cambria"/>
                <w:lang w:val="it-IT"/>
              </w:rPr>
              <w:t xml:space="preserve"> s </w:t>
            </w:r>
            <w:proofErr w:type="spellStart"/>
            <w:r w:rsidRPr="00587D5D">
              <w:rPr>
                <w:rFonts w:ascii="Cambria" w:hAnsi="Cambria"/>
                <w:lang w:val="it-IT"/>
              </w:rPr>
              <w:t>obzirom</w:t>
            </w:r>
            <w:proofErr w:type="spellEnd"/>
            <w:r w:rsidRPr="00587D5D">
              <w:rPr>
                <w:rFonts w:ascii="Cambria" w:hAnsi="Cambria"/>
                <w:lang w:val="it-IT"/>
              </w:rPr>
              <w:t xml:space="preserve"> </w:t>
            </w:r>
            <w:proofErr w:type="spellStart"/>
            <w:r w:rsidRPr="00587D5D">
              <w:rPr>
                <w:rFonts w:ascii="Cambria" w:hAnsi="Cambria"/>
                <w:lang w:val="it-IT"/>
              </w:rPr>
              <w:t>na</w:t>
            </w:r>
            <w:proofErr w:type="spellEnd"/>
            <w:r w:rsidRPr="00587D5D">
              <w:rPr>
                <w:rFonts w:ascii="Cambria" w:hAnsi="Cambria"/>
                <w:lang w:val="it-IT"/>
              </w:rPr>
              <w:t xml:space="preserve"> to </w:t>
            </w:r>
            <w:proofErr w:type="spellStart"/>
            <w:r w:rsidRPr="00587D5D">
              <w:rPr>
                <w:rFonts w:ascii="Cambria" w:hAnsi="Cambria"/>
                <w:lang w:val="it-IT"/>
              </w:rPr>
              <w:t>jesu</w:t>
            </w:r>
            <w:proofErr w:type="spellEnd"/>
            <w:r w:rsidRPr="00587D5D">
              <w:rPr>
                <w:rFonts w:ascii="Cambria" w:hAnsi="Cambria"/>
                <w:lang w:val="it-IT"/>
              </w:rPr>
              <w:t xml:space="preserve"> i </w:t>
            </w:r>
            <w:proofErr w:type="spellStart"/>
            <w:r w:rsidRPr="00587D5D">
              <w:rPr>
                <w:rFonts w:ascii="Cambria" w:hAnsi="Cambria"/>
                <w:lang w:val="it-IT"/>
              </w:rPr>
              <w:t>izdvojeni</w:t>
            </w:r>
            <w:proofErr w:type="spellEnd"/>
            <w:r w:rsidRPr="00587D5D">
              <w:rPr>
                <w:rFonts w:ascii="Cambria" w:hAnsi="Cambria"/>
                <w:lang w:val="it-IT"/>
              </w:rPr>
              <w:t xml:space="preserve"> </w:t>
            </w:r>
            <w:proofErr w:type="spellStart"/>
            <w:r w:rsidRPr="00587D5D">
              <w:rPr>
                <w:rFonts w:ascii="Cambria" w:hAnsi="Cambria"/>
                <w:lang w:val="it-IT"/>
              </w:rPr>
              <w:t>najvažniji</w:t>
            </w:r>
            <w:proofErr w:type="spellEnd"/>
            <w:r w:rsidRPr="00587D5D">
              <w:rPr>
                <w:rFonts w:ascii="Cambria" w:hAnsi="Cambria"/>
                <w:lang w:val="it-IT"/>
              </w:rPr>
              <w:t xml:space="preserve"> </w:t>
            </w:r>
            <w:proofErr w:type="spellStart"/>
            <w:r w:rsidRPr="00587D5D">
              <w:rPr>
                <w:rFonts w:ascii="Cambria" w:hAnsi="Cambria"/>
                <w:lang w:val="it-IT"/>
              </w:rPr>
              <w:t>sadržaji</w:t>
            </w:r>
            <w:proofErr w:type="spellEnd"/>
            <w:r w:rsidRPr="00587D5D">
              <w:rPr>
                <w:rFonts w:ascii="Cambria" w:hAnsi="Cambria"/>
                <w:lang w:val="it-IT"/>
              </w:rPr>
              <w:t xml:space="preserve">, </w:t>
            </w:r>
            <w:proofErr w:type="spellStart"/>
            <w:r w:rsidRPr="00587D5D">
              <w:rPr>
                <w:rFonts w:ascii="Cambria" w:hAnsi="Cambria"/>
                <w:lang w:val="it-IT"/>
              </w:rPr>
              <w:t>jesu</w:t>
            </w:r>
            <w:proofErr w:type="spellEnd"/>
            <w:r w:rsidRPr="00587D5D">
              <w:rPr>
                <w:rFonts w:ascii="Cambria" w:hAnsi="Cambria"/>
                <w:lang w:val="it-IT"/>
              </w:rPr>
              <w:t xml:space="preserve"> li </w:t>
            </w:r>
            <w:proofErr w:type="spellStart"/>
            <w:r w:rsidRPr="00587D5D">
              <w:rPr>
                <w:rFonts w:ascii="Cambria" w:hAnsi="Cambria"/>
                <w:lang w:val="it-IT"/>
              </w:rPr>
              <w:t>jasno</w:t>
            </w:r>
            <w:proofErr w:type="spellEnd"/>
            <w:r w:rsidRPr="00587D5D">
              <w:rPr>
                <w:rFonts w:ascii="Cambria" w:hAnsi="Cambria"/>
                <w:lang w:val="it-IT"/>
              </w:rPr>
              <w:t xml:space="preserve"> </w:t>
            </w:r>
            <w:proofErr w:type="spellStart"/>
            <w:r w:rsidRPr="00587D5D">
              <w:rPr>
                <w:rFonts w:ascii="Cambria" w:hAnsi="Cambria"/>
                <w:lang w:val="it-IT"/>
              </w:rPr>
              <w:t>ispričani</w:t>
            </w:r>
            <w:proofErr w:type="spellEnd"/>
            <w:r w:rsidRPr="00587D5D">
              <w:rPr>
                <w:rFonts w:ascii="Cambria" w:hAnsi="Cambria"/>
                <w:lang w:val="it-IT"/>
              </w:rPr>
              <w:t xml:space="preserve"> (</w:t>
            </w:r>
            <w:proofErr w:type="spellStart"/>
            <w:r w:rsidRPr="00587D5D">
              <w:rPr>
                <w:rFonts w:ascii="Cambria" w:hAnsi="Cambria"/>
                <w:lang w:val="it-IT"/>
              </w:rPr>
              <w:t>bez</w:t>
            </w:r>
            <w:proofErr w:type="spellEnd"/>
            <w:r w:rsidRPr="00587D5D">
              <w:rPr>
                <w:rFonts w:ascii="Cambria" w:hAnsi="Cambria"/>
                <w:lang w:val="it-IT"/>
              </w:rPr>
              <w:t xml:space="preserve"> </w:t>
            </w:r>
            <w:proofErr w:type="spellStart"/>
            <w:r w:rsidRPr="00587D5D">
              <w:rPr>
                <w:rFonts w:ascii="Cambria" w:hAnsi="Cambria"/>
                <w:lang w:val="it-IT"/>
              </w:rPr>
              <w:t>čitanja</w:t>
            </w:r>
            <w:proofErr w:type="spellEnd"/>
            <w:r w:rsidRPr="00587D5D">
              <w:rPr>
                <w:rFonts w:ascii="Cambria" w:hAnsi="Cambria"/>
                <w:lang w:val="it-IT"/>
              </w:rPr>
              <w:t xml:space="preserve"> </w:t>
            </w:r>
            <w:proofErr w:type="spellStart"/>
            <w:r w:rsidRPr="00587D5D">
              <w:rPr>
                <w:rFonts w:ascii="Cambria" w:hAnsi="Cambria"/>
                <w:lang w:val="it-IT"/>
              </w:rPr>
              <w:t>teksta</w:t>
            </w:r>
            <w:proofErr w:type="spellEnd"/>
            <w:r w:rsidRPr="00587D5D">
              <w:rPr>
                <w:rFonts w:ascii="Cambria" w:hAnsi="Cambria"/>
                <w:lang w:val="it-IT"/>
              </w:rPr>
              <w:t xml:space="preserve"> ili </w:t>
            </w:r>
            <w:proofErr w:type="spellStart"/>
            <w:r w:rsidRPr="00587D5D">
              <w:rPr>
                <w:rFonts w:ascii="Cambria" w:hAnsi="Cambria"/>
                <w:lang w:val="it-IT"/>
              </w:rPr>
              <w:t>natuknica</w:t>
            </w:r>
            <w:proofErr w:type="spellEnd"/>
            <w:r w:rsidRPr="00587D5D">
              <w:rPr>
                <w:rFonts w:ascii="Cambria" w:hAnsi="Cambria"/>
                <w:lang w:val="it-IT"/>
              </w:rPr>
              <w:t xml:space="preserve">), te </w:t>
            </w:r>
            <w:proofErr w:type="spellStart"/>
            <w:r w:rsidRPr="00587D5D">
              <w:rPr>
                <w:rFonts w:ascii="Cambria" w:hAnsi="Cambria"/>
                <w:lang w:val="it-IT"/>
              </w:rPr>
              <w:t>jesu</w:t>
            </w:r>
            <w:proofErr w:type="spellEnd"/>
            <w:r w:rsidRPr="00587D5D">
              <w:rPr>
                <w:rFonts w:ascii="Cambria" w:hAnsi="Cambria"/>
                <w:lang w:val="it-IT"/>
              </w:rPr>
              <w:t xml:space="preserve"> li </w:t>
            </w:r>
            <w:proofErr w:type="spellStart"/>
            <w:r w:rsidRPr="00587D5D">
              <w:rPr>
                <w:rFonts w:ascii="Cambria" w:hAnsi="Cambria"/>
                <w:lang w:val="it-IT"/>
              </w:rPr>
              <w:t>načinom</w:t>
            </w:r>
            <w:proofErr w:type="spellEnd"/>
            <w:r w:rsidRPr="00587D5D">
              <w:rPr>
                <w:rFonts w:ascii="Cambria" w:hAnsi="Cambria"/>
                <w:lang w:val="it-IT"/>
              </w:rPr>
              <w:t xml:space="preserve"> </w:t>
            </w:r>
            <w:proofErr w:type="spellStart"/>
            <w:r w:rsidRPr="00587D5D">
              <w:rPr>
                <w:rFonts w:ascii="Cambria" w:hAnsi="Cambria"/>
                <w:lang w:val="it-IT"/>
              </w:rPr>
              <w:t>izlaganja</w:t>
            </w:r>
            <w:proofErr w:type="spellEnd"/>
            <w:r w:rsidRPr="00587D5D">
              <w:rPr>
                <w:rFonts w:ascii="Cambria" w:hAnsi="Cambria"/>
                <w:lang w:val="it-IT"/>
              </w:rPr>
              <w:t xml:space="preserve"> </w:t>
            </w:r>
            <w:proofErr w:type="spellStart"/>
            <w:r w:rsidRPr="00587D5D">
              <w:rPr>
                <w:rFonts w:ascii="Cambria" w:hAnsi="Cambria"/>
                <w:lang w:val="it-IT"/>
              </w:rPr>
              <w:t>uspjeli</w:t>
            </w:r>
            <w:proofErr w:type="spellEnd"/>
            <w:r w:rsidRPr="00587D5D">
              <w:rPr>
                <w:rFonts w:ascii="Cambria" w:hAnsi="Cambria"/>
                <w:lang w:val="it-IT"/>
              </w:rPr>
              <w:t xml:space="preserve"> </w:t>
            </w:r>
            <w:proofErr w:type="spellStart"/>
            <w:r w:rsidRPr="00587D5D">
              <w:rPr>
                <w:rFonts w:ascii="Cambria" w:hAnsi="Cambria"/>
                <w:lang w:val="it-IT"/>
              </w:rPr>
              <w:t>aktivirati</w:t>
            </w:r>
            <w:proofErr w:type="spellEnd"/>
            <w:r w:rsidRPr="00587D5D">
              <w:rPr>
                <w:rFonts w:ascii="Cambria" w:hAnsi="Cambria"/>
                <w:lang w:val="it-IT"/>
              </w:rPr>
              <w:t xml:space="preserve"> studente da </w:t>
            </w:r>
            <w:proofErr w:type="gramStart"/>
            <w:r w:rsidRPr="00587D5D">
              <w:rPr>
                <w:rFonts w:ascii="Cambria" w:hAnsi="Cambria"/>
                <w:lang w:val="it-IT"/>
              </w:rPr>
              <w:t>se</w:t>
            </w:r>
            <w:proofErr w:type="gramEnd"/>
            <w:r w:rsidRPr="00587D5D">
              <w:rPr>
                <w:rFonts w:ascii="Cambria" w:hAnsi="Cambria"/>
                <w:lang w:val="it-IT"/>
              </w:rPr>
              <w:t xml:space="preserve"> </w:t>
            </w:r>
            <w:proofErr w:type="spellStart"/>
            <w:r w:rsidRPr="00587D5D">
              <w:rPr>
                <w:rFonts w:ascii="Cambria" w:hAnsi="Cambria"/>
                <w:lang w:val="it-IT"/>
              </w:rPr>
              <w:t>uključe</w:t>
            </w:r>
            <w:proofErr w:type="spellEnd"/>
            <w:r w:rsidRPr="00587D5D">
              <w:rPr>
                <w:rFonts w:ascii="Cambria" w:hAnsi="Cambria"/>
                <w:lang w:val="it-IT"/>
              </w:rPr>
              <w:t xml:space="preserve"> u </w:t>
            </w:r>
            <w:proofErr w:type="spellStart"/>
            <w:r w:rsidRPr="00587D5D">
              <w:rPr>
                <w:rFonts w:ascii="Cambria" w:hAnsi="Cambria"/>
                <w:lang w:val="it-IT"/>
              </w:rPr>
              <w:t>raspravu</w:t>
            </w:r>
            <w:proofErr w:type="spellEnd"/>
            <w:r w:rsidRPr="00587D5D">
              <w:rPr>
                <w:rFonts w:ascii="Cambria" w:hAnsi="Cambria"/>
                <w:lang w:val="it-IT"/>
              </w:rPr>
              <w:t xml:space="preserve"> </w:t>
            </w:r>
            <w:proofErr w:type="spellStart"/>
            <w:r w:rsidRPr="00587D5D">
              <w:rPr>
                <w:rFonts w:ascii="Cambria" w:hAnsi="Cambria"/>
                <w:lang w:val="it-IT"/>
              </w:rPr>
              <w:t>nakon</w:t>
            </w:r>
            <w:proofErr w:type="spellEnd"/>
            <w:r w:rsidRPr="00587D5D">
              <w:rPr>
                <w:rFonts w:ascii="Cambria" w:hAnsi="Cambria"/>
                <w:lang w:val="it-IT"/>
              </w:rPr>
              <w:t xml:space="preserve"> </w:t>
            </w:r>
            <w:proofErr w:type="spellStart"/>
            <w:r w:rsidRPr="00587D5D">
              <w:rPr>
                <w:rFonts w:ascii="Cambria" w:hAnsi="Cambria"/>
                <w:lang w:val="it-IT"/>
              </w:rPr>
              <w:t>izloženog</w:t>
            </w:r>
            <w:proofErr w:type="spellEnd"/>
            <w:r w:rsidRPr="00587D5D">
              <w:rPr>
                <w:rFonts w:ascii="Cambria" w:hAnsi="Cambria"/>
                <w:lang w:val="it-IT"/>
              </w:rPr>
              <w:t xml:space="preserve"> </w:t>
            </w:r>
            <w:proofErr w:type="spellStart"/>
            <w:r w:rsidRPr="00587D5D">
              <w:rPr>
                <w:rFonts w:ascii="Cambria" w:hAnsi="Cambria"/>
                <w:lang w:val="it-IT"/>
              </w:rPr>
              <w:t>sadržaja</w:t>
            </w:r>
            <w:proofErr w:type="spellEnd"/>
            <w:r w:rsidRPr="00587D5D">
              <w:rPr>
                <w:rFonts w:ascii="Cambria" w:hAnsi="Cambria"/>
                <w:lang w:val="it-IT"/>
              </w:rPr>
              <w:t>.</w:t>
            </w:r>
          </w:p>
          <w:p w14:paraId="5E41AB72" w14:textId="77777777" w:rsidR="00587D5D" w:rsidRPr="00587D5D" w:rsidRDefault="00587D5D" w:rsidP="00587D5D">
            <w:pPr>
              <w:autoSpaceDE w:val="0"/>
              <w:autoSpaceDN w:val="0"/>
              <w:adjustRightInd w:val="0"/>
              <w:spacing w:after="0" w:line="240" w:lineRule="auto"/>
              <w:rPr>
                <w:rFonts w:ascii="Cambria" w:hAnsi="Cambria"/>
                <w:lang w:val="it-IT"/>
              </w:rPr>
            </w:pPr>
            <w:r w:rsidRPr="00587D5D">
              <w:rPr>
                <w:rFonts w:ascii="Cambria" w:hAnsi="Cambria"/>
                <w:lang w:val="it-IT"/>
              </w:rPr>
              <w:t xml:space="preserve">Pisani </w:t>
            </w:r>
            <w:proofErr w:type="spellStart"/>
            <w:r w:rsidRPr="00587D5D">
              <w:rPr>
                <w:rFonts w:ascii="Cambria" w:hAnsi="Cambria"/>
                <w:lang w:val="it-IT"/>
              </w:rPr>
              <w:t>ispit</w:t>
            </w:r>
            <w:proofErr w:type="spellEnd"/>
          </w:p>
          <w:p w14:paraId="185B2290" w14:textId="77777777" w:rsidR="00587D5D" w:rsidRPr="00587D5D" w:rsidRDefault="00587D5D" w:rsidP="00587D5D">
            <w:pPr>
              <w:autoSpaceDE w:val="0"/>
              <w:autoSpaceDN w:val="0"/>
              <w:adjustRightInd w:val="0"/>
              <w:spacing w:after="0" w:line="240" w:lineRule="auto"/>
              <w:rPr>
                <w:rFonts w:ascii="Cambria" w:hAnsi="Cambria"/>
                <w:lang w:val="it-IT"/>
              </w:rPr>
            </w:pPr>
            <w:r w:rsidRPr="00587D5D">
              <w:rPr>
                <w:rFonts w:ascii="Cambria" w:hAnsi="Cambria"/>
                <w:lang w:val="it-IT"/>
              </w:rPr>
              <w:t xml:space="preserve">Na </w:t>
            </w:r>
            <w:proofErr w:type="spellStart"/>
            <w:r w:rsidRPr="00587D5D">
              <w:rPr>
                <w:rFonts w:ascii="Cambria" w:hAnsi="Cambria"/>
                <w:lang w:val="it-IT"/>
              </w:rPr>
              <w:t>kraju</w:t>
            </w:r>
            <w:proofErr w:type="spellEnd"/>
            <w:r w:rsidRPr="00587D5D">
              <w:rPr>
                <w:rFonts w:ascii="Cambria" w:hAnsi="Cambria"/>
                <w:lang w:val="it-IT"/>
              </w:rPr>
              <w:t xml:space="preserve"> </w:t>
            </w:r>
            <w:proofErr w:type="spellStart"/>
            <w:r w:rsidRPr="00587D5D">
              <w:rPr>
                <w:rFonts w:ascii="Cambria" w:hAnsi="Cambria"/>
                <w:lang w:val="it-IT"/>
              </w:rPr>
              <w:t>semestra</w:t>
            </w:r>
            <w:proofErr w:type="spellEnd"/>
            <w:r w:rsidRPr="00587D5D">
              <w:rPr>
                <w:rFonts w:ascii="Cambria" w:hAnsi="Cambria"/>
                <w:lang w:val="it-IT"/>
              </w:rPr>
              <w:t xml:space="preserve"> </w:t>
            </w:r>
            <w:proofErr w:type="spellStart"/>
            <w:r w:rsidRPr="00587D5D">
              <w:rPr>
                <w:rFonts w:ascii="Cambria" w:hAnsi="Cambria"/>
                <w:lang w:val="it-IT"/>
              </w:rPr>
              <w:t>pristupa</w:t>
            </w:r>
            <w:proofErr w:type="spellEnd"/>
            <w:r w:rsidRPr="00587D5D">
              <w:rPr>
                <w:rFonts w:ascii="Cambria" w:hAnsi="Cambria"/>
                <w:lang w:val="it-IT"/>
              </w:rPr>
              <w:t xml:space="preserve"> se </w:t>
            </w:r>
            <w:proofErr w:type="spellStart"/>
            <w:r w:rsidRPr="00587D5D">
              <w:rPr>
                <w:rFonts w:ascii="Cambria" w:hAnsi="Cambria"/>
                <w:lang w:val="it-IT"/>
              </w:rPr>
              <w:t>usmenom</w:t>
            </w:r>
            <w:proofErr w:type="spellEnd"/>
            <w:r w:rsidRPr="00587D5D">
              <w:rPr>
                <w:rFonts w:ascii="Cambria" w:hAnsi="Cambria"/>
                <w:lang w:val="it-IT"/>
              </w:rPr>
              <w:t xml:space="preserve"> </w:t>
            </w:r>
            <w:proofErr w:type="spellStart"/>
            <w:r w:rsidRPr="00587D5D">
              <w:rPr>
                <w:rFonts w:ascii="Cambria" w:hAnsi="Cambria"/>
                <w:lang w:val="it-IT"/>
              </w:rPr>
              <w:t>ispitu</w:t>
            </w:r>
            <w:proofErr w:type="spellEnd"/>
            <w:r w:rsidRPr="00587D5D">
              <w:rPr>
                <w:rFonts w:ascii="Cambria" w:hAnsi="Cambria"/>
                <w:lang w:val="it-IT"/>
              </w:rPr>
              <w:t>.</w:t>
            </w:r>
          </w:p>
        </w:tc>
      </w:tr>
      <w:tr w:rsidR="00587D5D" w:rsidRPr="005E3632" w14:paraId="3145D684" w14:textId="77777777" w:rsidTr="00587D5D">
        <w:tc>
          <w:tcPr>
            <w:tcW w:w="278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2E1D347" w14:textId="77777777" w:rsidR="00587D5D" w:rsidRPr="005E3632" w:rsidRDefault="00587D5D" w:rsidP="00587D5D">
            <w:pPr>
              <w:autoSpaceDE w:val="0"/>
              <w:autoSpaceDN w:val="0"/>
              <w:adjustRightInd w:val="0"/>
              <w:spacing w:after="0" w:line="240" w:lineRule="auto"/>
              <w:rPr>
                <w:rFonts w:ascii="Cambria" w:hAnsi="Cambria"/>
              </w:rPr>
            </w:pPr>
            <w:proofErr w:type="spellStart"/>
            <w:r w:rsidRPr="005E3632">
              <w:rPr>
                <w:rFonts w:ascii="Cambria" w:hAnsi="Cambria"/>
              </w:rPr>
              <w:lastRenderedPageBreak/>
              <w:t>Studentske</w:t>
            </w:r>
            <w:proofErr w:type="spellEnd"/>
            <w:r w:rsidRPr="005E3632">
              <w:rPr>
                <w:rFonts w:ascii="Cambria" w:hAnsi="Cambria"/>
              </w:rPr>
              <w:t xml:space="preserve"> </w:t>
            </w:r>
            <w:proofErr w:type="spellStart"/>
            <w:r w:rsidRPr="005E3632">
              <w:rPr>
                <w:rFonts w:ascii="Cambria" w:hAnsi="Cambria"/>
              </w:rPr>
              <w:t>obveze</w:t>
            </w:r>
            <w:proofErr w:type="spellEnd"/>
          </w:p>
        </w:tc>
        <w:tc>
          <w:tcPr>
            <w:tcW w:w="699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C7331D2" w14:textId="77777777" w:rsidR="00587D5D" w:rsidRPr="00587D5D" w:rsidRDefault="00587D5D" w:rsidP="00587D5D">
            <w:pPr>
              <w:autoSpaceDE w:val="0"/>
              <w:autoSpaceDN w:val="0"/>
              <w:adjustRightInd w:val="0"/>
              <w:spacing w:after="0" w:line="240" w:lineRule="auto"/>
              <w:rPr>
                <w:rFonts w:ascii="Cambria" w:hAnsi="Cambria"/>
                <w:lang w:val="it-IT"/>
              </w:rPr>
            </w:pPr>
            <w:r w:rsidRPr="00587D5D">
              <w:rPr>
                <w:rFonts w:ascii="Cambria" w:hAnsi="Cambria"/>
                <w:lang w:val="it-IT"/>
              </w:rPr>
              <w:t xml:space="preserve">Da </w:t>
            </w:r>
            <w:proofErr w:type="spellStart"/>
            <w:r w:rsidRPr="00587D5D">
              <w:rPr>
                <w:rFonts w:ascii="Cambria" w:hAnsi="Cambria"/>
                <w:lang w:val="it-IT"/>
              </w:rPr>
              <w:t>položi</w:t>
            </w:r>
            <w:proofErr w:type="spellEnd"/>
            <w:r w:rsidRPr="00587D5D">
              <w:rPr>
                <w:rFonts w:ascii="Cambria" w:hAnsi="Cambria"/>
                <w:lang w:val="it-IT"/>
              </w:rPr>
              <w:t xml:space="preserve"> </w:t>
            </w:r>
            <w:proofErr w:type="spellStart"/>
            <w:r w:rsidRPr="00587D5D">
              <w:rPr>
                <w:rFonts w:ascii="Cambria" w:hAnsi="Cambria"/>
                <w:lang w:val="it-IT"/>
              </w:rPr>
              <w:t>kolegij</w:t>
            </w:r>
            <w:proofErr w:type="spellEnd"/>
            <w:r w:rsidRPr="00587D5D">
              <w:rPr>
                <w:rFonts w:ascii="Cambria" w:hAnsi="Cambria"/>
                <w:lang w:val="it-IT"/>
              </w:rPr>
              <w:t xml:space="preserve">, </w:t>
            </w:r>
            <w:proofErr w:type="spellStart"/>
            <w:r w:rsidRPr="00587D5D">
              <w:rPr>
                <w:rFonts w:ascii="Cambria" w:hAnsi="Cambria"/>
                <w:lang w:val="it-IT"/>
              </w:rPr>
              <w:t>student</w:t>
            </w:r>
            <w:proofErr w:type="spellEnd"/>
            <w:r w:rsidRPr="00587D5D">
              <w:rPr>
                <w:rFonts w:ascii="Cambria" w:hAnsi="Cambria"/>
                <w:lang w:val="it-IT"/>
              </w:rPr>
              <w:t>/</w:t>
            </w:r>
            <w:proofErr w:type="spellStart"/>
            <w:r w:rsidRPr="00587D5D">
              <w:rPr>
                <w:rFonts w:ascii="Cambria" w:hAnsi="Cambria"/>
                <w:lang w:val="it-IT"/>
              </w:rPr>
              <w:t>studentica</w:t>
            </w:r>
            <w:proofErr w:type="spellEnd"/>
            <w:r w:rsidRPr="00587D5D">
              <w:rPr>
                <w:rFonts w:ascii="Cambria" w:hAnsi="Cambria"/>
                <w:lang w:val="it-IT"/>
              </w:rPr>
              <w:t xml:space="preserve"> mora</w:t>
            </w:r>
          </w:p>
          <w:p w14:paraId="2A4B15C4" w14:textId="77777777" w:rsidR="00587D5D" w:rsidRPr="00587D5D" w:rsidRDefault="00587D5D" w:rsidP="00587D5D">
            <w:pPr>
              <w:autoSpaceDE w:val="0"/>
              <w:autoSpaceDN w:val="0"/>
              <w:adjustRightInd w:val="0"/>
              <w:spacing w:after="0" w:line="240" w:lineRule="auto"/>
              <w:rPr>
                <w:rFonts w:ascii="Cambria" w:hAnsi="Cambria"/>
                <w:lang w:val="it-IT"/>
              </w:rPr>
            </w:pPr>
            <w:r w:rsidRPr="00587D5D">
              <w:rPr>
                <w:rFonts w:ascii="Cambria" w:hAnsi="Cambria"/>
                <w:lang w:val="it-IT"/>
              </w:rPr>
              <w:t xml:space="preserve">1. </w:t>
            </w:r>
            <w:proofErr w:type="spellStart"/>
            <w:r w:rsidRPr="00587D5D">
              <w:rPr>
                <w:rFonts w:ascii="Cambria" w:hAnsi="Cambria"/>
                <w:lang w:val="it-IT"/>
              </w:rPr>
              <w:t>izraditi</w:t>
            </w:r>
            <w:proofErr w:type="spellEnd"/>
            <w:r w:rsidRPr="00587D5D">
              <w:rPr>
                <w:rFonts w:ascii="Cambria" w:hAnsi="Cambria"/>
                <w:lang w:val="it-IT"/>
              </w:rPr>
              <w:t xml:space="preserve"> </w:t>
            </w:r>
            <w:proofErr w:type="spellStart"/>
            <w:r w:rsidRPr="00587D5D">
              <w:rPr>
                <w:rFonts w:ascii="Cambria" w:hAnsi="Cambria"/>
                <w:lang w:val="it-IT"/>
              </w:rPr>
              <w:t>seminarski</w:t>
            </w:r>
            <w:proofErr w:type="spellEnd"/>
            <w:r w:rsidRPr="00587D5D">
              <w:rPr>
                <w:rFonts w:ascii="Cambria" w:hAnsi="Cambria"/>
                <w:lang w:val="it-IT"/>
              </w:rPr>
              <w:t xml:space="preserve"> rad</w:t>
            </w:r>
          </w:p>
          <w:p w14:paraId="1D8EB6D4" w14:textId="77777777" w:rsidR="00587D5D" w:rsidRPr="00587D5D" w:rsidRDefault="00587D5D" w:rsidP="00587D5D">
            <w:pPr>
              <w:autoSpaceDE w:val="0"/>
              <w:autoSpaceDN w:val="0"/>
              <w:adjustRightInd w:val="0"/>
              <w:spacing w:after="0" w:line="240" w:lineRule="auto"/>
              <w:rPr>
                <w:rFonts w:ascii="Cambria" w:hAnsi="Cambria"/>
                <w:lang w:val="it-IT"/>
              </w:rPr>
            </w:pPr>
            <w:r w:rsidRPr="00587D5D">
              <w:rPr>
                <w:rFonts w:ascii="Cambria" w:hAnsi="Cambria"/>
                <w:lang w:val="it-IT"/>
              </w:rPr>
              <w:t xml:space="preserve">2. </w:t>
            </w:r>
            <w:proofErr w:type="spellStart"/>
            <w:r w:rsidRPr="00587D5D">
              <w:rPr>
                <w:rFonts w:ascii="Cambria" w:hAnsi="Cambria"/>
                <w:lang w:val="it-IT"/>
              </w:rPr>
              <w:t>prezentirati</w:t>
            </w:r>
            <w:proofErr w:type="spellEnd"/>
            <w:r w:rsidRPr="00587D5D">
              <w:rPr>
                <w:rFonts w:ascii="Cambria" w:hAnsi="Cambria"/>
                <w:lang w:val="it-IT"/>
              </w:rPr>
              <w:t xml:space="preserve"> </w:t>
            </w:r>
            <w:proofErr w:type="spellStart"/>
            <w:r w:rsidRPr="00587D5D">
              <w:rPr>
                <w:rFonts w:ascii="Cambria" w:hAnsi="Cambria"/>
                <w:lang w:val="it-IT"/>
              </w:rPr>
              <w:t>izlaganje</w:t>
            </w:r>
            <w:proofErr w:type="spellEnd"/>
            <w:r w:rsidRPr="00587D5D">
              <w:rPr>
                <w:rFonts w:ascii="Cambria" w:hAnsi="Cambria"/>
                <w:lang w:val="it-IT"/>
              </w:rPr>
              <w:t xml:space="preserve"> </w:t>
            </w:r>
            <w:proofErr w:type="spellStart"/>
            <w:r w:rsidRPr="00587D5D">
              <w:rPr>
                <w:rFonts w:ascii="Cambria" w:hAnsi="Cambria"/>
                <w:lang w:val="it-IT"/>
              </w:rPr>
              <w:t>na</w:t>
            </w:r>
            <w:proofErr w:type="spellEnd"/>
            <w:r w:rsidRPr="00587D5D">
              <w:rPr>
                <w:rFonts w:ascii="Cambria" w:hAnsi="Cambria"/>
                <w:lang w:val="it-IT"/>
              </w:rPr>
              <w:t xml:space="preserve"> </w:t>
            </w:r>
            <w:proofErr w:type="spellStart"/>
            <w:r w:rsidRPr="00587D5D">
              <w:rPr>
                <w:rFonts w:ascii="Cambria" w:hAnsi="Cambria"/>
                <w:lang w:val="it-IT"/>
              </w:rPr>
              <w:t>zadanu</w:t>
            </w:r>
            <w:proofErr w:type="spellEnd"/>
            <w:r w:rsidRPr="00587D5D">
              <w:rPr>
                <w:rFonts w:ascii="Cambria" w:hAnsi="Cambria"/>
                <w:lang w:val="it-IT"/>
              </w:rPr>
              <w:t xml:space="preserve"> </w:t>
            </w:r>
            <w:proofErr w:type="spellStart"/>
            <w:r w:rsidRPr="00587D5D">
              <w:rPr>
                <w:rFonts w:ascii="Cambria" w:hAnsi="Cambria"/>
                <w:lang w:val="it-IT"/>
              </w:rPr>
              <w:t>temu</w:t>
            </w:r>
            <w:proofErr w:type="spellEnd"/>
            <w:r w:rsidRPr="00587D5D">
              <w:rPr>
                <w:rFonts w:ascii="Cambria" w:hAnsi="Cambria"/>
                <w:lang w:val="it-IT"/>
              </w:rPr>
              <w:t xml:space="preserve">, prema </w:t>
            </w:r>
            <w:proofErr w:type="spellStart"/>
            <w:r w:rsidRPr="00587D5D">
              <w:rPr>
                <w:rFonts w:ascii="Cambria" w:hAnsi="Cambria"/>
                <w:lang w:val="it-IT"/>
              </w:rPr>
              <w:t>vremeniku</w:t>
            </w:r>
            <w:proofErr w:type="spellEnd"/>
            <w:r w:rsidRPr="00587D5D">
              <w:rPr>
                <w:rFonts w:ascii="Cambria" w:hAnsi="Cambria"/>
                <w:lang w:val="it-IT"/>
              </w:rPr>
              <w:t xml:space="preserve"> </w:t>
            </w:r>
            <w:proofErr w:type="spellStart"/>
            <w:r w:rsidRPr="00587D5D">
              <w:rPr>
                <w:rFonts w:ascii="Cambria" w:hAnsi="Cambria"/>
                <w:lang w:val="it-IT"/>
              </w:rPr>
              <w:t>izlaganja</w:t>
            </w:r>
            <w:proofErr w:type="spellEnd"/>
            <w:r w:rsidRPr="00587D5D">
              <w:rPr>
                <w:rFonts w:ascii="Cambria" w:hAnsi="Cambria"/>
                <w:lang w:val="it-IT"/>
              </w:rPr>
              <w:t xml:space="preserve"> </w:t>
            </w:r>
            <w:proofErr w:type="spellStart"/>
            <w:r w:rsidRPr="00587D5D">
              <w:rPr>
                <w:rFonts w:ascii="Cambria" w:hAnsi="Cambria"/>
                <w:lang w:val="it-IT"/>
              </w:rPr>
              <w:t>koji</w:t>
            </w:r>
            <w:proofErr w:type="spellEnd"/>
            <w:r w:rsidRPr="00587D5D">
              <w:rPr>
                <w:rFonts w:ascii="Cambria" w:hAnsi="Cambria"/>
                <w:lang w:val="it-IT"/>
              </w:rPr>
              <w:t xml:space="preserve"> </w:t>
            </w:r>
            <w:proofErr w:type="spellStart"/>
            <w:r w:rsidRPr="00587D5D">
              <w:rPr>
                <w:rFonts w:ascii="Cambria" w:hAnsi="Cambria"/>
                <w:lang w:val="it-IT"/>
              </w:rPr>
              <w:t>će</w:t>
            </w:r>
            <w:proofErr w:type="spellEnd"/>
            <w:r w:rsidRPr="00587D5D">
              <w:rPr>
                <w:rFonts w:ascii="Cambria" w:hAnsi="Cambria"/>
                <w:lang w:val="it-IT"/>
              </w:rPr>
              <w:t xml:space="preserve"> </w:t>
            </w:r>
            <w:proofErr w:type="spellStart"/>
            <w:r w:rsidRPr="00587D5D">
              <w:rPr>
                <w:rFonts w:ascii="Cambria" w:hAnsi="Cambria"/>
                <w:lang w:val="it-IT"/>
              </w:rPr>
              <w:t>biti</w:t>
            </w:r>
            <w:proofErr w:type="spellEnd"/>
            <w:r w:rsidRPr="00587D5D">
              <w:rPr>
                <w:rFonts w:ascii="Cambria" w:hAnsi="Cambria"/>
                <w:lang w:val="it-IT"/>
              </w:rPr>
              <w:t xml:space="preserve"> </w:t>
            </w:r>
            <w:proofErr w:type="spellStart"/>
            <w:r w:rsidRPr="00587D5D">
              <w:rPr>
                <w:rFonts w:ascii="Cambria" w:hAnsi="Cambria"/>
                <w:lang w:val="it-IT"/>
              </w:rPr>
              <w:t>objavljen</w:t>
            </w:r>
            <w:proofErr w:type="spellEnd"/>
            <w:r w:rsidRPr="00587D5D">
              <w:rPr>
                <w:rFonts w:ascii="Cambria" w:hAnsi="Cambria"/>
                <w:lang w:val="it-IT"/>
              </w:rPr>
              <w:t xml:space="preserve"> </w:t>
            </w:r>
            <w:proofErr w:type="spellStart"/>
            <w:r w:rsidRPr="00587D5D">
              <w:rPr>
                <w:rFonts w:ascii="Cambria" w:hAnsi="Cambria"/>
                <w:lang w:val="it-IT"/>
              </w:rPr>
              <w:t>na</w:t>
            </w:r>
            <w:proofErr w:type="spellEnd"/>
            <w:r w:rsidRPr="00587D5D">
              <w:rPr>
                <w:rFonts w:ascii="Cambria" w:hAnsi="Cambria"/>
                <w:lang w:val="it-IT"/>
              </w:rPr>
              <w:t xml:space="preserve"> </w:t>
            </w:r>
            <w:proofErr w:type="spellStart"/>
            <w:r w:rsidRPr="00587D5D">
              <w:rPr>
                <w:rFonts w:ascii="Cambria" w:hAnsi="Cambria"/>
                <w:lang w:val="it-IT"/>
              </w:rPr>
              <w:t>portalu</w:t>
            </w:r>
            <w:proofErr w:type="spellEnd"/>
            <w:r w:rsidRPr="00587D5D">
              <w:rPr>
                <w:rFonts w:ascii="Cambria" w:hAnsi="Cambria"/>
                <w:lang w:val="it-IT"/>
              </w:rPr>
              <w:t xml:space="preserve"> za </w:t>
            </w:r>
            <w:proofErr w:type="spellStart"/>
            <w:r w:rsidRPr="00587D5D">
              <w:rPr>
                <w:rFonts w:ascii="Cambria" w:hAnsi="Cambria"/>
                <w:lang w:val="it-IT"/>
              </w:rPr>
              <w:t>udaljeno</w:t>
            </w:r>
            <w:proofErr w:type="spellEnd"/>
            <w:r w:rsidRPr="00587D5D">
              <w:rPr>
                <w:rFonts w:ascii="Cambria" w:hAnsi="Cambria"/>
                <w:lang w:val="it-IT"/>
              </w:rPr>
              <w:t xml:space="preserve"> </w:t>
            </w:r>
            <w:proofErr w:type="spellStart"/>
            <w:r w:rsidRPr="00587D5D">
              <w:rPr>
                <w:rFonts w:ascii="Cambria" w:hAnsi="Cambria"/>
                <w:lang w:val="it-IT"/>
              </w:rPr>
              <w:t>učenje</w:t>
            </w:r>
            <w:proofErr w:type="spellEnd"/>
          </w:p>
          <w:p w14:paraId="0708A674" w14:textId="77777777" w:rsidR="00587D5D" w:rsidRPr="005E3632" w:rsidRDefault="00587D5D" w:rsidP="00587D5D">
            <w:pPr>
              <w:autoSpaceDE w:val="0"/>
              <w:autoSpaceDN w:val="0"/>
              <w:adjustRightInd w:val="0"/>
              <w:spacing w:after="0" w:line="240" w:lineRule="auto"/>
              <w:rPr>
                <w:rFonts w:ascii="Cambria" w:hAnsi="Cambria"/>
              </w:rPr>
            </w:pPr>
            <w:r w:rsidRPr="005E3632">
              <w:rPr>
                <w:rFonts w:ascii="Cambria" w:hAnsi="Cambria"/>
              </w:rPr>
              <w:t xml:space="preserve">3. </w:t>
            </w:r>
            <w:proofErr w:type="spellStart"/>
            <w:r>
              <w:rPr>
                <w:rFonts w:ascii="Cambria" w:hAnsi="Cambria"/>
              </w:rPr>
              <w:t>p</w:t>
            </w:r>
            <w:r w:rsidRPr="005E3632">
              <w:rPr>
                <w:rFonts w:ascii="Cambria" w:hAnsi="Cambria"/>
              </w:rPr>
              <w:t>oložiti</w:t>
            </w:r>
            <w:proofErr w:type="spellEnd"/>
            <w:r w:rsidRPr="005E3632">
              <w:rPr>
                <w:rFonts w:ascii="Cambria" w:hAnsi="Cambria"/>
              </w:rPr>
              <w:t xml:space="preserve"> </w:t>
            </w:r>
            <w:proofErr w:type="spellStart"/>
            <w:r w:rsidRPr="005E3632">
              <w:rPr>
                <w:rFonts w:ascii="Cambria" w:hAnsi="Cambria"/>
              </w:rPr>
              <w:t>kolokvij</w:t>
            </w:r>
            <w:proofErr w:type="spellEnd"/>
          </w:p>
          <w:p w14:paraId="71E675E5" w14:textId="77777777" w:rsidR="00587D5D" w:rsidRPr="005E3632" w:rsidRDefault="00587D5D" w:rsidP="00587D5D">
            <w:pPr>
              <w:autoSpaceDE w:val="0"/>
              <w:autoSpaceDN w:val="0"/>
              <w:adjustRightInd w:val="0"/>
              <w:spacing w:after="0" w:line="240" w:lineRule="auto"/>
              <w:rPr>
                <w:rFonts w:ascii="Cambria" w:hAnsi="Cambria"/>
              </w:rPr>
            </w:pPr>
            <w:r w:rsidRPr="005E3632">
              <w:rPr>
                <w:rFonts w:ascii="Cambria" w:hAnsi="Cambria"/>
              </w:rPr>
              <w:t xml:space="preserve">4. </w:t>
            </w:r>
            <w:proofErr w:type="spellStart"/>
            <w:r>
              <w:rPr>
                <w:rFonts w:ascii="Cambria" w:hAnsi="Cambria"/>
              </w:rPr>
              <w:t>p</w:t>
            </w:r>
            <w:r w:rsidRPr="005E3632">
              <w:rPr>
                <w:rFonts w:ascii="Cambria" w:hAnsi="Cambria"/>
              </w:rPr>
              <w:t>oložiti</w:t>
            </w:r>
            <w:proofErr w:type="spellEnd"/>
            <w:r w:rsidRPr="005E3632">
              <w:rPr>
                <w:rFonts w:ascii="Cambria" w:hAnsi="Cambria"/>
              </w:rPr>
              <w:t xml:space="preserve"> </w:t>
            </w:r>
            <w:proofErr w:type="spellStart"/>
            <w:r w:rsidRPr="005E3632">
              <w:rPr>
                <w:rFonts w:ascii="Cambria" w:hAnsi="Cambria"/>
              </w:rPr>
              <w:t>ispit</w:t>
            </w:r>
            <w:proofErr w:type="spellEnd"/>
            <w:r w:rsidRPr="005E3632">
              <w:rPr>
                <w:rFonts w:ascii="Cambria" w:hAnsi="Cambria"/>
              </w:rPr>
              <w:t>.</w:t>
            </w:r>
          </w:p>
        </w:tc>
      </w:tr>
      <w:tr w:rsidR="00587D5D" w:rsidRPr="005E3632" w14:paraId="101A4E82" w14:textId="77777777" w:rsidTr="00587D5D">
        <w:tc>
          <w:tcPr>
            <w:tcW w:w="278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F435766" w14:textId="77777777" w:rsidR="00587D5D" w:rsidRPr="005E3632" w:rsidRDefault="00587D5D" w:rsidP="00587D5D">
            <w:pPr>
              <w:autoSpaceDE w:val="0"/>
              <w:autoSpaceDN w:val="0"/>
              <w:adjustRightInd w:val="0"/>
              <w:spacing w:after="0" w:line="240" w:lineRule="auto"/>
              <w:rPr>
                <w:rFonts w:ascii="Cambria" w:hAnsi="Cambria"/>
              </w:rPr>
            </w:pPr>
            <w:proofErr w:type="spellStart"/>
            <w:r w:rsidRPr="005E3632">
              <w:rPr>
                <w:rFonts w:ascii="Cambria" w:hAnsi="Cambria"/>
              </w:rPr>
              <w:t>Rokovi</w:t>
            </w:r>
            <w:proofErr w:type="spellEnd"/>
            <w:r w:rsidRPr="005E3632">
              <w:rPr>
                <w:rFonts w:ascii="Cambria" w:hAnsi="Cambria"/>
              </w:rPr>
              <w:t xml:space="preserve"> </w:t>
            </w:r>
            <w:proofErr w:type="spellStart"/>
            <w:r w:rsidRPr="005E3632">
              <w:rPr>
                <w:rFonts w:ascii="Cambria" w:hAnsi="Cambria"/>
              </w:rPr>
              <w:t>ispita</w:t>
            </w:r>
            <w:proofErr w:type="spellEnd"/>
            <w:r w:rsidRPr="005E3632">
              <w:rPr>
                <w:rFonts w:ascii="Cambria" w:hAnsi="Cambria"/>
              </w:rPr>
              <w:t xml:space="preserve"> </w:t>
            </w:r>
            <w:proofErr w:type="spellStart"/>
            <w:r w:rsidRPr="005E3632">
              <w:rPr>
                <w:rFonts w:ascii="Cambria" w:hAnsi="Cambria"/>
              </w:rPr>
              <w:t>i</w:t>
            </w:r>
            <w:proofErr w:type="spellEnd"/>
            <w:r w:rsidRPr="005E3632">
              <w:rPr>
                <w:rFonts w:ascii="Cambria" w:hAnsi="Cambria"/>
              </w:rPr>
              <w:t xml:space="preserve"> </w:t>
            </w:r>
            <w:proofErr w:type="spellStart"/>
            <w:r w:rsidRPr="005E3632">
              <w:rPr>
                <w:rFonts w:ascii="Cambria" w:hAnsi="Cambria"/>
              </w:rPr>
              <w:t>kolokvija</w:t>
            </w:r>
            <w:proofErr w:type="spellEnd"/>
          </w:p>
        </w:tc>
        <w:tc>
          <w:tcPr>
            <w:tcW w:w="699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57CCEE7" w14:textId="77777777" w:rsidR="00587D5D" w:rsidRPr="005E3632" w:rsidRDefault="00587D5D" w:rsidP="00587D5D">
            <w:pPr>
              <w:autoSpaceDE w:val="0"/>
              <w:autoSpaceDN w:val="0"/>
              <w:adjustRightInd w:val="0"/>
              <w:spacing w:after="0" w:line="240" w:lineRule="auto"/>
              <w:rPr>
                <w:rFonts w:ascii="Cambria" w:hAnsi="Cambria"/>
              </w:rPr>
            </w:pPr>
            <w:proofErr w:type="spellStart"/>
            <w:r w:rsidRPr="005E3632">
              <w:rPr>
                <w:rFonts w:ascii="Cambria" w:hAnsi="Cambria"/>
              </w:rPr>
              <w:t>Rokovi</w:t>
            </w:r>
            <w:proofErr w:type="spellEnd"/>
            <w:r w:rsidRPr="005E3632">
              <w:rPr>
                <w:rFonts w:ascii="Cambria" w:hAnsi="Cambria"/>
              </w:rPr>
              <w:t xml:space="preserve"> </w:t>
            </w:r>
            <w:proofErr w:type="spellStart"/>
            <w:r w:rsidRPr="005E3632">
              <w:rPr>
                <w:rFonts w:ascii="Cambria" w:hAnsi="Cambria"/>
              </w:rPr>
              <w:t>ispita</w:t>
            </w:r>
            <w:proofErr w:type="spellEnd"/>
            <w:r w:rsidRPr="005E3632">
              <w:rPr>
                <w:rFonts w:ascii="Cambria" w:hAnsi="Cambria"/>
              </w:rPr>
              <w:t xml:space="preserve"> se </w:t>
            </w:r>
            <w:proofErr w:type="spellStart"/>
            <w:r w:rsidRPr="005E3632">
              <w:rPr>
                <w:rFonts w:ascii="Cambria" w:hAnsi="Cambria"/>
              </w:rPr>
              <w:t>objavljuju</w:t>
            </w:r>
            <w:proofErr w:type="spellEnd"/>
            <w:r w:rsidRPr="005E3632">
              <w:rPr>
                <w:rFonts w:ascii="Cambria" w:hAnsi="Cambria"/>
              </w:rPr>
              <w:t xml:space="preserve"> </w:t>
            </w:r>
            <w:proofErr w:type="spellStart"/>
            <w:r w:rsidRPr="005E3632">
              <w:rPr>
                <w:rFonts w:ascii="Cambria" w:hAnsi="Cambria"/>
              </w:rPr>
              <w:t>na</w:t>
            </w:r>
            <w:proofErr w:type="spellEnd"/>
            <w:r w:rsidRPr="005E3632">
              <w:rPr>
                <w:rFonts w:ascii="Cambria" w:hAnsi="Cambria"/>
              </w:rPr>
              <w:t xml:space="preserve"> </w:t>
            </w:r>
            <w:proofErr w:type="spellStart"/>
            <w:r w:rsidRPr="005E3632">
              <w:rPr>
                <w:rFonts w:ascii="Cambria" w:hAnsi="Cambria"/>
              </w:rPr>
              <w:t>početku</w:t>
            </w:r>
            <w:proofErr w:type="spellEnd"/>
            <w:r w:rsidRPr="005E3632">
              <w:rPr>
                <w:rFonts w:ascii="Cambria" w:hAnsi="Cambria"/>
              </w:rPr>
              <w:t xml:space="preserve"> </w:t>
            </w:r>
            <w:proofErr w:type="spellStart"/>
            <w:r w:rsidRPr="005E3632">
              <w:rPr>
                <w:rFonts w:ascii="Cambria" w:hAnsi="Cambria"/>
              </w:rPr>
              <w:t>akademske</w:t>
            </w:r>
            <w:proofErr w:type="spellEnd"/>
            <w:r w:rsidRPr="005E3632">
              <w:rPr>
                <w:rFonts w:ascii="Cambria" w:hAnsi="Cambria"/>
              </w:rPr>
              <w:t xml:space="preserve"> </w:t>
            </w:r>
            <w:proofErr w:type="spellStart"/>
            <w:r w:rsidRPr="005E3632">
              <w:rPr>
                <w:rFonts w:ascii="Cambria" w:hAnsi="Cambria"/>
              </w:rPr>
              <w:t>godine</w:t>
            </w:r>
            <w:proofErr w:type="spellEnd"/>
            <w:r w:rsidRPr="005E3632">
              <w:rPr>
                <w:rFonts w:ascii="Cambria" w:hAnsi="Cambria"/>
              </w:rPr>
              <w:t xml:space="preserve"> </w:t>
            </w:r>
            <w:proofErr w:type="spellStart"/>
            <w:r w:rsidRPr="005E3632">
              <w:rPr>
                <w:rFonts w:ascii="Cambria" w:hAnsi="Cambria"/>
              </w:rPr>
              <w:t>na</w:t>
            </w:r>
            <w:proofErr w:type="spellEnd"/>
            <w:r w:rsidRPr="005E3632">
              <w:rPr>
                <w:rFonts w:ascii="Cambria" w:hAnsi="Cambria"/>
              </w:rPr>
              <w:t xml:space="preserve"> </w:t>
            </w:r>
            <w:proofErr w:type="spellStart"/>
            <w:r w:rsidRPr="005E3632">
              <w:rPr>
                <w:rFonts w:ascii="Cambria" w:hAnsi="Cambria"/>
              </w:rPr>
              <w:t>mrežnim</w:t>
            </w:r>
            <w:proofErr w:type="spellEnd"/>
            <w:r w:rsidRPr="005E3632">
              <w:rPr>
                <w:rFonts w:ascii="Cambria" w:hAnsi="Cambria"/>
              </w:rPr>
              <w:t xml:space="preserve"> </w:t>
            </w:r>
            <w:proofErr w:type="spellStart"/>
            <w:r w:rsidRPr="005E3632">
              <w:rPr>
                <w:rFonts w:ascii="Cambria" w:hAnsi="Cambria"/>
              </w:rPr>
              <w:t>stranicama</w:t>
            </w:r>
            <w:proofErr w:type="spellEnd"/>
            <w:r w:rsidRPr="005E3632">
              <w:rPr>
                <w:rFonts w:ascii="Cambria" w:hAnsi="Cambria"/>
              </w:rPr>
              <w:t xml:space="preserve"> </w:t>
            </w:r>
            <w:proofErr w:type="spellStart"/>
            <w:r w:rsidRPr="005E3632">
              <w:rPr>
                <w:rFonts w:ascii="Cambria" w:hAnsi="Cambria"/>
              </w:rPr>
              <w:t>Sveučilišta</w:t>
            </w:r>
            <w:proofErr w:type="spellEnd"/>
            <w:r w:rsidRPr="005E3632">
              <w:rPr>
                <w:rFonts w:ascii="Cambria" w:hAnsi="Cambria"/>
              </w:rPr>
              <w:t xml:space="preserve"> </w:t>
            </w:r>
            <w:proofErr w:type="spellStart"/>
            <w:r w:rsidRPr="005E3632">
              <w:rPr>
                <w:rFonts w:ascii="Cambria" w:hAnsi="Cambria"/>
              </w:rPr>
              <w:t>i</w:t>
            </w:r>
            <w:proofErr w:type="spellEnd"/>
            <w:r w:rsidRPr="005E3632">
              <w:rPr>
                <w:rFonts w:ascii="Cambria" w:hAnsi="Cambria"/>
              </w:rPr>
              <w:t xml:space="preserve"> u ISVU </w:t>
            </w:r>
            <w:proofErr w:type="spellStart"/>
            <w:r w:rsidRPr="005E3632">
              <w:rPr>
                <w:rFonts w:ascii="Cambria" w:hAnsi="Cambria"/>
              </w:rPr>
              <w:t>sustavu</w:t>
            </w:r>
            <w:proofErr w:type="spellEnd"/>
            <w:r w:rsidRPr="005E3632">
              <w:rPr>
                <w:rFonts w:ascii="Cambria" w:hAnsi="Cambria"/>
              </w:rPr>
              <w:t>.</w:t>
            </w:r>
          </w:p>
        </w:tc>
      </w:tr>
      <w:tr w:rsidR="00587D5D" w:rsidRPr="005E3632" w14:paraId="746A42CF" w14:textId="77777777" w:rsidTr="00587D5D">
        <w:tc>
          <w:tcPr>
            <w:tcW w:w="278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C429BDB" w14:textId="77777777" w:rsidR="00587D5D" w:rsidRPr="00587D5D" w:rsidRDefault="00587D5D" w:rsidP="00587D5D">
            <w:pPr>
              <w:autoSpaceDE w:val="0"/>
              <w:autoSpaceDN w:val="0"/>
              <w:adjustRightInd w:val="0"/>
              <w:spacing w:after="0" w:line="240" w:lineRule="auto"/>
              <w:rPr>
                <w:rFonts w:ascii="Cambria" w:hAnsi="Cambria"/>
                <w:lang w:val="it-IT"/>
              </w:rPr>
            </w:pPr>
            <w:r w:rsidRPr="00587D5D">
              <w:rPr>
                <w:rFonts w:ascii="Cambria" w:hAnsi="Cambria"/>
                <w:lang w:val="it-IT"/>
              </w:rPr>
              <w:t xml:space="preserve">Ostale </w:t>
            </w:r>
            <w:proofErr w:type="spellStart"/>
            <w:r w:rsidRPr="00587D5D">
              <w:rPr>
                <w:rFonts w:ascii="Cambria" w:hAnsi="Cambria"/>
                <w:lang w:val="it-IT"/>
              </w:rPr>
              <w:t>važne</w:t>
            </w:r>
            <w:proofErr w:type="spellEnd"/>
            <w:r w:rsidRPr="00587D5D">
              <w:rPr>
                <w:rFonts w:ascii="Cambria" w:hAnsi="Cambria"/>
                <w:lang w:val="it-IT"/>
              </w:rPr>
              <w:t xml:space="preserve"> </w:t>
            </w:r>
            <w:proofErr w:type="spellStart"/>
            <w:r w:rsidRPr="00587D5D">
              <w:rPr>
                <w:rFonts w:ascii="Cambria" w:hAnsi="Cambria"/>
                <w:lang w:val="it-IT"/>
              </w:rPr>
              <w:t>činjenice</w:t>
            </w:r>
            <w:proofErr w:type="spellEnd"/>
            <w:r w:rsidRPr="00587D5D">
              <w:rPr>
                <w:rFonts w:ascii="Cambria" w:hAnsi="Cambria"/>
                <w:lang w:val="it-IT"/>
              </w:rPr>
              <w:t xml:space="preserve"> </w:t>
            </w:r>
            <w:proofErr w:type="spellStart"/>
            <w:r w:rsidRPr="00587D5D">
              <w:rPr>
                <w:rFonts w:ascii="Cambria" w:hAnsi="Cambria"/>
                <w:lang w:val="it-IT"/>
              </w:rPr>
              <w:t>vezane</w:t>
            </w:r>
            <w:proofErr w:type="spellEnd"/>
            <w:r w:rsidRPr="00587D5D">
              <w:rPr>
                <w:rFonts w:ascii="Cambria" w:hAnsi="Cambria"/>
                <w:lang w:val="it-IT"/>
              </w:rPr>
              <w:t xml:space="preserve"> </w:t>
            </w:r>
            <w:proofErr w:type="spellStart"/>
            <w:r w:rsidRPr="00587D5D">
              <w:rPr>
                <w:rFonts w:ascii="Cambria" w:hAnsi="Cambria"/>
                <w:lang w:val="it-IT"/>
              </w:rPr>
              <w:t>uz</w:t>
            </w:r>
            <w:proofErr w:type="spellEnd"/>
            <w:r w:rsidRPr="00587D5D">
              <w:rPr>
                <w:rFonts w:ascii="Cambria" w:hAnsi="Cambria"/>
                <w:lang w:val="it-IT"/>
              </w:rPr>
              <w:t xml:space="preserve"> </w:t>
            </w:r>
            <w:proofErr w:type="spellStart"/>
            <w:r w:rsidRPr="00587D5D">
              <w:rPr>
                <w:rFonts w:ascii="Cambria" w:hAnsi="Cambria"/>
                <w:lang w:val="it-IT"/>
              </w:rPr>
              <w:t>kolegij</w:t>
            </w:r>
            <w:proofErr w:type="spellEnd"/>
          </w:p>
        </w:tc>
        <w:tc>
          <w:tcPr>
            <w:tcW w:w="699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261F71B" w14:textId="77777777" w:rsidR="00587D5D" w:rsidRPr="00587D5D" w:rsidRDefault="00587D5D" w:rsidP="00587D5D">
            <w:pPr>
              <w:autoSpaceDE w:val="0"/>
              <w:autoSpaceDN w:val="0"/>
              <w:adjustRightInd w:val="0"/>
              <w:spacing w:after="0" w:line="240" w:lineRule="auto"/>
              <w:ind w:right="-40"/>
              <w:rPr>
                <w:rFonts w:ascii="Cambria" w:hAnsi="Cambria"/>
                <w:lang w:val="it-IT"/>
              </w:rPr>
            </w:pPr>
            <w:r w:rsidRPr="00587D5D">
              <w:rPr>
                <w:rFonts w:ascii="Cambria" w:hAnsi="Cambria"/>
                <w:lang w:val="it-IT"/>
              </w:rPr>
              <w:t>U </w:t>
            </w:r>
            <w:proofErr w:type="spellStart"/>
            <w:r w:rsidRPr="00587D5D">
              <w:rPr>
                <w:rFonts w:ascii="Cambria" w:hAnsi="Cambria"/>
                <w:lang w:val="it-IT"/>
              </w:rPr>
              <w:t>slučaju</w:t>
            </w:r>
            <w:proofErr w:type="spellEnd"/>
            <w:r w:rsidRPr="00587D5D">
              <w:rPr>
                <w:rFonts w:ascii="Cambria" w:hAnsi="Cambria"/>
                <w:lang w:val="it-IT"/>
              </w:rPr>
              <w:t xml:space="preserve"> </w:t>
            </w:r>
            <w:proofErr w:type="spellStart"/>
            <w:r w:rsidRPr="00587D5D">
              <w:rPr>
                <w:rFonts w:ascii="Cambria" w:hAnsi="Cambria"/>
                <w:lang w:val="it-IT"/>
              </w:rPr>
              <w:t>održavanja</w:t>
            </w:r>
            <w:proofErr w:type="spellEnd"/>
            <w:r w:rsidRPr="00587D5D">
              <w:rPr>
                <w:rFonts w:ascii="Cambria" w:hAnsi="Cambria"/>
                <w:lang w:val="it-IT"/>
              </w:rPr>
              <w:t xml:space="preserve"> </w:t>
            </w:r>
            <w:proofErr w:type="spellStart"/>
            <w:r w:rsidRPr="00587D5D">
              <w:rPr>
                <w:rFonts w:ascii="Cambria" w:hAnsi="Cambria"/>
                <w:lang w:val="it-IT"/>
              </w:rPr>
              <w:t>nastave</w:t>
            </w:r>
            <w:proofErr w:type="spellEnd"/>
            <w:r w:rsidRPr="00587D5D">
              <w:rPr>
                <w:rFonts w:ascii="Cambria" w:hAnsi="Cambria"/>
                <w:lang w:val="it-IT"/>
              </w:rPr>
              <w:t xml:space="preserve"> </w:t>
            </w:r>
            <w:proofErr w:type="spellStart"/>
            <w:r w:rsidRPr="00587D5D">
              <w:rPr>
                <w:rFonts w:ascii="Cambria" w:hAnsi="Cambria"/>
                <w:lang w:val="it-IT"/>
              </w:rPr>
              <w:t>na</w:t>
            </w:r>
            <w:proofErr w:type="spellEnd"/>
            <w:r w:rsidRPr="00587D5D">
              <w:rPr>
                <w:rFonts w:ascii="Cambria" w:hAnsi="Cambria"/>
                <w:lang w:val="it-IT"/>
              </w:rPr>
              <w:t xml:space="preserve"> </w:t>
            </w:r>
            <w:proofErr w:type="spellStart"/>
            <w:r w:rsidRPr="00587D5D">
              <w:rPr>
                <w:rFonts w:ascii="Cambria" w:hAnsi="Cambria"/>
                <w:lang w:val="it-IT"/>
              </w:rPr>
              <w:t>daljinu</w:t>
            </w:r>
            <w:proofErr w:type="spellEnd"/>
            <w:r w:rsidRPr="00587D5D">
              <w:rPr>
                <w:rFonts w:ascii="Cambria" w:hAnsi="Cambria"/>
                <w:lang w:val="it-IT"/>
              </w:rPr>
              <w:t xml:space="preserve">, </w:t>
            </w:r>
            <w:proofErr w:type="spellStart"/>
            <w:r w:rsidRPr="00587D5D">
              <w:rPr>
                <w:rFonts w:ascii="Cambria" w:hAnsi="Cambria"/>
                <w:lang w:val="it-IT"/>
              </w:rPr>
              <w:t>moguće</w:t>
            </w:r>
            <w:proofErr w:type="spellEnd"/>
            <w:r w:rsidRPr="00587D5D">
              <w:rPr>
                <w:rFonts w:ascii="Cambria" w:hAnsi="Cambria"/>
                <w:lang w:val="it-IT"/>
              </w:rPr>
              <w:t xml:space="preserve"> je </w:t>
            </w:r>
            <w:proofErr w:type="spellStart"/>
            <w:r w:rsidRPr="00587D5D">
              <w:rPr>
                <w:rFonts w:ascii="Cambria" w:hAnsi="Cambria"/>
                <w:lang w:val="it-IT"/>
              </w:rPr>
              <w:t>odstupanje</w:t>
            </w:r>
            <w:proofErr w:type="spellEnd"/>
            <w:r w:rsidRPr="00587D5D">
              <w:rPr>
                <w:rFonts w:ascii="Cambria" w:hAnsi="Cambria"/>
                <w:lang w:val="it-IT"/>
              </w:rPr>
              <w:t xml:space="preserve"> u:</w:t>
            </w:r>
          </w:p>
          <w:p w14:paraId="0351726C" w14:textId="77777777" w:rsidR="00587D5D" w:rsidRPr="005E3632" w:rsidRDefault="00587D5D" w:rsidP="00A034E3">
            <w:pPr>
              <w:numPr>
                <w:ilvl w:val="0"/>
                <w:numId w:val="102"/>
              </w:numPr>
              <w:tabs>
                <w:tab w:val="left" w:pos="270"/>
              </w:tabs>
              <w:autoSpaceDE w:val="0"/>
              <w:autoSpaceDN w:val="0"/>
              <w:adjustRightInd w:val="0"/>
              <w:spacing w:after="0" w:line="240" w:lineRule="auto"/>
              <w:ind w:left="0" w:firstLine="0"/>
              <w:rPr>
                <w:rFonts w:ascii="Cambria" w:hAnsi="Cambria"/>
              </w:rPr>
            </w:pPr>
            <w:proofErr w:type="spellStart"/>
            <w:r w:rsidRPr="005E3632">
              <w:rPr>
                <w:rFonts w:ascii="Cambria" w:hAnsi="Cambria"/>
              </w:rPr>
              <w:t>mjestu</w:t>
            </w:r>
            <w:proofErr w:type="spellEnd"/>
            <w:r w:rsidRPr="005E3632">
              <w:rPr>
                <w:rFonts w:ascii="Cambria" w:hAnsi="Cambria"/>
              </w:rPr>
              <w:t xml:space="preserve"> </w:t>
            </w:r>
            <w:proofErr w:type="spellStart"/>
            <w:r w:rsidRPr="005E3632">
              <w:rPr>
                <w:rFonts w:ascii="Cambria" w:hAnsi="Cambria"/>
              </w:rPr>
              <w:t>izvođenja</w:t>
            </w:r>
            <w:proofErr w:type="spellEnd"/>
            <w:r w:rsidRPr="005E3632">
              <w:rPr>
                <w:rFonts w:ascii="Cambria" w:hAnsi="Cambria"/>
              </w:rPr>
              <w:t xml:space="preserve"> </w:t>
            </w:r>
            <w:proofErr w:type="spellStart"/>
            <w:r w:rsidRPr="005E3632">
              <w:rPr>
                <w:rFonts w:ascii="Cambria" w:hAnsi="Cambria"/>
              </w:rPr>
              <w:t>kolegija</w:t>
            </w:r>
            <w:proofErr w:type="spellEnd"/>
          </w:p>
          <w:p w14:paraId="669F41C5" w14:textId="77777777" w:rsidR="00587D5D" w:rsidRPr="00587D5D" w:rsidRDefault="00587D5D" w:rsidP="00A034E3">
            <w:pPr>
              <w:numPr>
                <w:ilvl w:val="0"/>
                <w:numId w:val="102"/>
              </w:numPr>
              <w:tabs>
                <w:tab w:val="left" w:pos="270"/>
              </w:tabs>
              <w:autoSpaceDE w:val="0"/>
              <w:autoSpaceDN w:val="0"/>
              <w:adjustRightInd w:val="0"/>
              <w:spacing w:after="0" w:line="240" w:lineRule="auto"/>
              <w:ind w:left="0" w:firstLine="0"/>
              <w:rPr>
                <w:rFonts w:ascii="Cambria" w:hAnsi="Cambria"/>
                <w:lang w:val="it-IT"/>
              </w:rPr>
            </w:pPr>
            <w:proofErr w:type="spellStart"/>
            <w:r w:rsidRPr="00587D5D">
              <w:rPr>
                <w:rFonts w:ascii="Cambria" w:hAnsi="Cambria"/>
                <w:lang w:val="it-IT"/>
              </w:rPr>
              <w:t>provedbi</w:t>
            </w:r>
            <w:proofErr w:type="spellEnd"/>
            <w:r w:rsidRPr="00587D5D">
              <w:rPr>
                <w:rFonts w:ascii="Cambria" w:hAnsi="Cambria"/>
                <w:lang w:val="it-IT"/>
              </w:rPr>
              <w:t xml:space="preserve"> </w:t>
            </w:r>
            <w:proofErr w:type="spellStart"/>
            <w:r w:rsidRPr="00587D5D">
              <w:rPr>
                <w:rFonts w:ascii="Cambria" w:hAnsi="Cambria"/>
                <w:lang w:val="it-IT"/>
              </w:rPr>
              <w:t>aktivnosti</w:t>
            </w:r>
            <w:proofErr w:type="spellEnd"/>
            <w:r w:rsidRPr="00587D5D">
              <w:rPr>
                <w:rFonts w:ascii="Cambria" w:hAnsi="Cambria"/>
                <w:lang w:val="it-IT"/>
              </w:rPr>
              <w:t xml:space="preserve">, </w:t>
            </w:r>
            <w:proofErr w:type="spellStart"/>
            <w:r w:rsidRPr="00587D5D">
              <w:rPr>
                <w:rFonts w:ascii="Cambria" w:hAnsi="Cambria"/>
                <w:lang w:val="it-IT"/>
              </w:rPr>
              <w:t>metoda</w:t>
            </w:r>
            <w:proofErr w:type="spellEnd"/>
            <w:r w:rsidRPr="00587D5D">
              <w:rPr>
                <w:rFonts w:ascii="Cambria" w:hAnsi="Cambria"/>
                <w:lang w:val="it-IT"/>
              </w:rPr>
              <w:t xml:space="preserve"> </w:t>
            </w:r>
            <w:proofErr w:type="spellStart"/>
            <w:r w:rsidRPr="00587D5D">
              <w:rPr>
                <w:rFonts w:ascii="Cambria" w:hAnsi="Cambria"/>
                <w:lang w:val="it-IT"/>
              </w:rPr>
              <w:t>tumačenja</w:t>
            </w:r>
            <w:proofErr w:type="spellEnd"/>
            <w:r w:rsidRPr="00587D5D">
              <w:rPr>
                <w:rFonts w:ascii="Cambria" w:hAnsi="Cambria"/>
                <w:lang w:val="it-IT"/>
              </w:rPr>
              <w:t xml:space="preserve"> i </w:t>
            </w:r>
            <w:proofErr w:type="spellStart"/>
            <w:r w:rsidRPr="00587D5D">
              <w:rPr>
                <w:rFonts w:ascii="Cambria" w:hAnsi="Cambria"/>
                <w:lang w:val="it-IT"/>
              </w:rPr>
              <w:t>poučavanja</w:t>
            </w:r>
            <w:proofErr w:type="spellEnd"/>
            <w:r w:rsidRPr="00587D5D">
              <w:rPr>
                <w:rFonts w:ascii="Cambria" w:hAnsi="Cambria"/>
                <w:lang w:val="it-IT"/>
              </w:rPr>
              <w:t xml:space="preserve"> i </w:t>
            </w:r>
            <w:proofErr w:type="spellStart"/>
            <w:r w:rsidRPr="00587D5D">
              <w:rPr>
                <w:rFonts w:ascii="Cambria" w:hAnsi="Cambria"/>
                <w:lang w:val="it-IT"/>
              </w:rPr>
              <w:t>načinima</w:t>
            </w:r>
            <w:proofErr w:type="spellEnd"/>
            <w:r w:rsidRPr="00587D5D">
              <w:rPr>
                <w:rFonts w:ascii="Cambria" w:hAnsi="Cambria"/>
                <w:lang w:val="it-IT"/>
              </w:rPr>
              <w:t xml:space="preserve"> </w:t>
            </w:r>
            <w:proofErr w:type="spellStart"/>
            <w:r w:rsidRPr="00587D5D">
              <w:rPr>
                <w:rFonts w:ascii="Cambria" w:hAnsi="Cambria"/>
                <w:lang w:val="it-IT"/>
              </w:rPr>
              <w:t>vrednovanja</w:t>
            </w:r>
            <w:proofErr w:type="spellEnd"/>
          </w:p>
          <w:p w14:paraId="06AB1DAC" w14:textId="77777777" w:rsidR="00587D5D" w:rsidRPr="005E3632" w:rsidRDefault="00587D5D" w:rsidP="00A034E3">
            <w:pPr>
              <w:numPr>
                <w:ilvl w:val="0"/>
                <w:numId w:val="102"/>
              </w:numPr>
              <w:tabs>
                <w:tab w:val="left" w:pos="270"/>
              </w:tabs>
              <w:autoSpaceDE w:val="0"/>
              <w:autoSpaceDN w:val="0"/>
              <w:adjustRightInd w:val="0"/>
              <w:spacing w:after="0" w:line="240" w:lineRule="auto"/>
              <w:ind w:left="0" w:firstLine="0"/>
              <w:rPr>
                <w:rFonts w:ascii="Cambria" w:hAnsi="Cambria"/>
              </w:rPr>
            </w:pPr>
            <w:proofErr w:type="spellStart"/>
            <w:r w:rsidRPr="005E3632">
              <w:rPr>
                <w:rFonts w:ascii="Cambria" w:hAnsi="Cambria"/>
              </w:rPr>
              <w:t>studentskim</w:t>
            </w:r>
            <w:proofErr w:type="spellEnd"/>
            <w:r w:rsidRPr="005E3632">
              <w:rPr>
                <w:rFonts w:ascii="Cambria" w:hAnsi="Cambria"/>
              </w:rPr>
              <w:t xml:space="preserve"> </w:t>
            </w:r>
            <w:proofErr w:type="spellStart"/>
            <w:r w:rsidRPr="005E3632">
              <w:rPr>
                <w:rFonts w:ascii="Cambria" w:hAnsi="Cambria"/>
              </w:rPr>
              <w:t>obvezama</w:t>
            </w:r>
            <w:proofErr w:type="spellEnd"/>
          </w:p>
          <w:p w14:paraId="6D9E0C06" w14:textId="77777777" w:rsidR="00587D5D" w:rsidRPr="005E3632" w:rsidRDefault="00587D5D" w:rsidP="00A034E3">
            <w:pPr>
              <w:numPr>
                <w:ilvl w:val="0"/>
                <w:numId w:val="102"/>
              </w:numPr>
              <w:tabs>
                <w:tab w:val="left" w:pos="270"/>
              </w:tabs>
              <w:autoSpaceDE w:val="0"/>
              <w:autoSpaceDN w:val="0"/>
              <w:adjustRightInd w:val="0"/>
              <w:spacing w:after="0" w:line="240" w:lineRule="auto"/>
              <w:ind w:left="0" w:firstLine="0"/>
              <w:rPr>
                <w:rFonts w:ascii="Cambria" w:hAnsi="Cambria"/>
              </w:rPr>
            </w:pPr>
            <w:proofErr w:type="spellStart"/>
            <w:r w:rsidRPr="005E3632">
              <w:rPr>
                <w:rFonts w:ascii="Cambria" w:hAnsi="Cambria"/>
              </w:rPr>
              <w:t>dostupnoj</w:t>
            </w:r>
            <w:proofErr w:type="spellEnd"/>
            <w:r w:rsidRPr="005E3632">
              <w:rPr>
                <w:rFonts w:ascii="Cambria" w:hAnsi="Cambria"/>
              </w:rPr>
              <w:t xml:space="preserve"> </w:t>
            </w:r>
            <w:proofErr w:type="spellStart"/>
            <w:r w:rsidRPr="005E3632">
              <w:rPr>
                <w:rFonts w:ascii="Cambria" w:hAnsi="Cambria"/>
              </w:rPr>
              <w:t>literaturi</w:t>
            </w:r>
            <w:proofErr w:type="spellEnd"/>
            <w:r w:rsidRPr="005E3632">
              <w:rPr>
                <w:rFonts w:ascii="Cambria" w:hAnsi="Cambria"/>
              </w:rPr>
              <w:t>.</w:t>
            </w:r>
          </w:p>
          <w:p w14:paraId="63403964" w14:textId="77777777" w:rsidR="00587D5D" w:rsidRPr="00587D5D" w:rsidRDefault="00587D5D" w:rsidP="00587D5D">
            <w:pPr>
              <w:autoSpaceDE w:val="0"/>
              <w:autoSpaceDN w:val="0"/>
              <w:adjustRightInd w:val="0"/>
              <w:spacing w:after="0" w:line="240" w:lineRule="auto"/>
              <w:rPr>
                <w:rFonts w:ascii="Cambria" w:hAnsi="Cambria"/>
                <w:lang w:val="it-IT"/>
              </w:rPr>
            </w:pPr>
            <w:r w:rsidRPr="00587D5D">
              <w:rPr>
                <w:rFonts w:ascii="Cambria" w:hAnsi="Cambria"/>
                <w:lang w:val="it-IT"/>
              </w:rPr>
              <w:t xml:space="preserve">O tome </w:t>
            </w:r>
            <w:proofErr w:type="spellStart"/>
            <w:r w:rsidRPr="00587D5D">
              <w:rPr>
                <w:rFonts w:ascii="Cambria" w:hAnsi="Cambria"/>
                <w:lang w:val="it-IT"/>
              </w:rPr>
              <w:t>će</w:t>
            </w:r>
            <w:proofErr w:type="spellEnd"/>
            <w:r w:rsidRPr="00587D5D">
              <w:rPr>
                <w:rFonts w:ascii="Cambria" w:hAnsi="Cambria"/>
                <w:lang w:val="it-IT"/>
              </w:rPr>
              <w:t xml:space="preserve"> </w:t>
            </w:r>
            <w:proofErr w:type="spellStart"/>
            <w:r w:rsidRPr="00587D5D">
              <w:rPr>
                <w:rFonts w:ascii="Cambria" w:hAnsi="Cambria"/>
                <w:lang w:val="it-IT"/>
              </w:rPr>
              <w:t>nositeljica</w:t>
            </w:r>
            <w:proofErr w:type="spellEnd"/>
            <w:r w:rsidRPr="00587D5D">
              <w:rPr>
                <w:rFonts w:ascii="Cambria" w:hAnsi="Cambria"/>
                <w:lang w:val="it-IT"/>
              </w:rPr>
              <w:t xml:space="preserve"> </w:t>
            </w:r>
            <w:proofErr w:type="spellStart"/>
            <w:r w:rsidRPr="00587D5D">
              <w:rPr>
                <w:rFonts w:ascii="Cambria" w:hAnsi="Cambria"/>
                <w:lang w:val="it-IT"/>
              </w:rPr>
              <w:t>kolegija</w:t>
            </w:r>
            <w:proofErr w:type="spellEnd"/>
            <w:r w:rsidRPr="00587D5D">
              <w:rPr>
                <w:rFonts w:ascii="Cambria" w:hAnsi="Cambria"/>
                <w:lang w:val="it-IT"/>
              </w:rPr>
              <w:t xml:space="preserve"> </w:t>
            </w:r>
            <w:proofErr w:type="spellStart"/>
            <w:r w:rsidRPr="00587D5D">
              <w:rPr>
                <w:rFonts w:ascii="Cambria" w:hAnsi="Cambria"/>
                <w:lang w:val="it-IT"/>
              </w:rPr>
              <w:t>obavijestiti</w:t>
            </w:r>
            <w:proofErr w:type="spellEnd"/>
            <w:r w:rsidRPr="00587D5D">
              <w:rPr>
                <w:rFonts w:ascii="Cambria" w:hAnsi="Cambria"/>
                <w:lang w:val="it-IT"/>
              </w:rPr>
              <w:t xml:space="preserve"> studente i </w:t>
            </w:r>
            <w:proofErr w:type="spellStart"/>
            <w:r w:rsidRPr="00587D5D">
              <w:rPr>
                <w:rFonts w:ascii="Cambria" w:hAnsi="Cambria"/>
                <w:lang w:val="it-IT"/>
              </w:rPr>
              <w:t>studentice</w:t>
            </w:r>
            <w:proofErr w:type="spellEnd"/>
            <w:r w:rsidRPr="00587D5D">
              <w:rPr>
                <w:rFonts w:ascii="Cambria" w:hAnsi="Cambria"/>
                <w:lang w:val="it-IT"/>
              </w:rPr>
              <w:t xml:space="preserve"> </w:t>
            </w:r>
            <w:proofErr w:type="spellStart"/>
            <w:r w:rsidRPr="00587D5D">
              <w:rPr>
                <w:rFonts w:ascii="Cambria" w:hAnsi="Cambria"/>
                <w:lang w:val="it-IT"/>
              </w:rPr>
              <w:t>kad</w:t>
            </w:r>
            <w:proofErr w:type="spellEnd"/>
            <w:r w:rsidRPr="00587D5D">
              <w:rPr>
                <w:rFonts w:ascii="Cambria" w:hAnsi="Cambria"/>
                <w:lang w:val="it-IT"/>
              </w:rPr>
              <w:t xml:space="preserve"> se </w:t>
            </w:r>
            <w:proofErr w:type="spellStart"/>
            <w:r w:rsidRPr="00587D5D">
              <w:rPr>
                <w:rFonts w:ascii="Cambria" w:hAnsi="Cambria"/>
                <w:lang w:val="it-IT"/>
              </w:rPr>
              <w:t>nastava</w:t>
            </w:r>
            <w:proofErr w:type="spellEnd"/>
            <w:r w:rsidRPr="00587D5D">
              <w:rPr>
                <w:rFonts w:ascii="Cambria" w:hAnsi="Cambria"/>
                <w:lang w:val="it-IT"/>
              </w:rPr>
              <w:t xml:space="preserve"> </w:t>
            </w:r>
            <w:proofErr w:type="spellStart"/>
            <w:r w:rsidRPr="00587D5D">
              <w:rPr>
                <w:rFonts w:ascii="Cambria" w:hAnsi="Cambria"/>
                <w:lang w:val="it-IT"/>
              </w:rPr>
              <w:t>na</w:t>
            </w:r>
            <w:proofErr w:type="spellEnd"/>
            <w:r w:rsidRPr="00587D5D">
              <w:rPr>
                <w:rFonts w:ascii="Cambria" w:hAnsi="Cambria"/>
                <w:lang w:val="it-IT"/>
              </w:rPr>
              <w:t xml:space="preserve"> </w:t>
            </w:r>
            <w:proofErr w:type="spellStart"/>
            <w:r w:rsidRPr="00587D5D">
              <w:rPr>
                <w:rFonts w:ascii="Cambria" w:hAnsi="Cambria"/>
                <w:lang w:val="it-IT"/>
              </w:rPr>
              <w:t>daljinu</w:t>
            </w:r>
            <w:proofErr w:type="spellEnd"/>
            <w:r w:rsidRPr="00587D5D">
              <w:rPr>
                <w:rFonts w:ascii="Cambria" w:hAnsi="Cambria"/>
                <w:lang w:val="it-IT"/>
              </w:rPr>
              <w:t xml:space="preserve"> </w:t>
            </w:r>
            <w:proofErr w:type="spellStart"/>
            <w:r w:rsidRPr="00587D5D">
              <w:rPr>
                <w:rFonts w:ascii="Cambria" w:hAnsi="Cambria"/>
                <w:lang w:val="it-IT"/>
              </w:rPr>
              <w:t>počne</w:t>
            </w:r>
            <w:proofErr w:type="spellEnd"/>
            <w:r w:rsidRPr="00587D5D">
              <w:rPr>
                <w:rFonts w:ascii="Cambria" w:hAnsi="Cambria"/>
                <w:lang w:val="it-IT"/>
              </w:rPr>
              <w:t xml:space="preserve"> </w:t>
            </w:r>
            <w:proofErr w:type="spellStart"/>
            <w:r w:rsidRPr="00587D5D">
              <w:rPr>
                <w:rFonts w:ascii="Cambria" w:hAnsi="Cambria"/>
                <w:lang w:val="it-IT"/>
              </w:rPr>
              <w:t>održavati</w:t>
            </w:r>
            <w:proofErr w:type="spellEnd"/>
            <w:r w:rsidRPr="00587D5D">
              <w:rPr>
                <w:rFonts w:ascii="Cambria" w:hAnsi="Cambria"/>
                <w:lang w:val="it-IT"/>
              </w:rPr>
              <w:t>.</w:t>
            </w:r>
          </w:p>
          <w:p w14:paraId="31E68ADE" w14:textId="77777777" w:rsidR="00587D5D" w:rsidRPr="005E3632" w:rsidRDefault="00587D5D" w:rsidP="00587D5D">
            <w:pPr>
              <w:autoSpaceDE w:val="0"/>
              <w:autoSpaceDN w:val="0"/>
              <w:adjustRightInd w:val="0"/>
              <w:spacing w:after="0" w:line="240" w:lineRule="auto"/>
              <w:rPr>
                <w:rFonts w:ascii="Cambria" w:hAnsi="Cambria"/>
              </w:rPr>
            </w:pPr>
            <w:proofErr w:type="spellStart"/>
            <w:r w:rsidRPr="005E3632">
              <w:rPr>
                <w:rFonts w:ascii="Cambria" w:hAnsi="Cambria"/>
              </w:rPr>
              <w:t>Ishodi</w:t>
            </w:r>
            <w:proofErr w:type="spellEnd"/>
            <w:r w:rsidRPr="005E3632">
              <w:rPr>
                <w:rFonts w:ascii="Cambria" w:hAnsi="Cambria"/>
              </w:rPr>
              <w:t xml:space="preserve"> </w:t>
            </w:r>
            <w:proofErr w:type="spellStart"/>
            <w:r w:rsidRPr="005E3632">
              <w:rPr>
                <w:rFonts w:ascii="Cambria" w:hAnsi="Cambria"/>
              </w:rPr>
              <w:t>učenja</w:t>
            </w:r>
            <w:proofErr w:type="spellEnd"/>
            <w:r w:rsidRPr="005E3632">
              <w:rPr>
                <w:rFonts w:ascii="Cambria" w:hAnsi="Cambria"/>
              </w:rPr>
              <w:t xml:space="preserve"> </w:t>
            </w:r>
            <w:proofErr w:type="spellStart"/>
            <w:r w:rsidRPr="005E3632">
              <w:rPr>
                <w:rFonts w:ascii="Cambria" w:hAnsi="Cambria"/>
              </w:rPr>
              <w:t>ostaju</w:t>
            </w:r>
            <w:proofErr w:type="spellEnd"/>
            <w:r w:rsidRPr="005E3632">
              <w:rPr>
                <w:rFonts w:ascii="Cambria" w:hAnsi="Cambria"/>
              </w:rPr>
              <w:t xml:space="preserve"> </w:t>
            </w:r>
            <w:proofErr w:type="spellStart"/>
            <w:r w:rsidRPr="005E3632">
              <w:rPr>
                <w:rFonts w:ascii="Cambria" w:hAnsi="Cambria"/>
              </w:rPr>
              <w:t>nepromijenjeni</w:t>
            </w:r>
            <w:proofErr w:type="spellEnd"/>
            <w:r w:rsidRPr="005E3632">
              <w:rPr>
                <w:rFonts w:ascii="Cambria" w:hAnsi="Cambria"/>
              </w:rPr>
              <w:t>.</w:t>
            </w:r>
          </w:p>
        </w:tc>
      </w:tr>
      <w:tr w:rsidR="00587D5D" w:rsidRPr="00D0399C" w14:paraId="2E7922B3" w14:textId="77777777" w:rsidTr="00587D5D">
        <w:trPr>
          <w:trHeight w:val="770"/>
        </w:trPr>
        <w:tc>
          <w:tcPr>
            <w:tcW w:w="278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B91E913" w14:textId="77777777" w:rsidR="00587D5D" w:rsidRPr="005E3632" w:rsidRDefault="00587D5D" w:rsidP="00587D5D">
            <w:pPr>
              <w:autoSpaceDE w:val="0"/>
              <w:autoSpaceDN w:val="0"/>
              <w:adjustRightInd w:val="0"/>
              <w:spacing w:after="0" w:line="240" w:lineRule="auto"/>
              <w:rPr>
                <w:rFonts w:ascii="Cambria" w:hAnsi="Cambria"/>
              </w:rPr>
            </w:pPr>
            <w:proofErr w:type="spellStart"/>
            <w:r w:rsidRPr="005E3632">
              <w:rPr>
                <w:rFonts w:ascii="Cambria" w:hAnsi="Cambria"/>
              </w:rPr>
              <w:t>Literatura</w:t>
            </w:r>
            <w:proofErr w:type="spellEnd"/>
          </w:p>
        </w:tc>
        <w:tc>
          <w:tcPr>
            <w:tcW w:w="6994"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17A74AB5" w14:textId="77777777" w:rsidR="00587D5D" w:rsidRPr="005E3632" w:rsidRDefault="00587D5D" w:rsidP="00587D5D">
            <w:pPr>
              <w:autoSpaceDE w:val="0"/>
              <w:autoSpaceDN w:val="0"/>
              <w:adjustRightInd w:val="0"/>
              <w:spacing w:after="0" w:line="240" w:lineRule="auto"/>
              <w:rPr>
                <w:rFonts w:ascii="Cambria" w:hAnsi="Cambria"/>
              </w:rPr>
            </w:pPr>
            <w:proofErr w:type="spellStart"/>
            <w:r w:rsidRPr="005E3632">
              <w:rPr>
                <w:rFonts w:ascii="Cambria" w:hAnsi="Cambria"/>
              </w:rPr>
              <w:t>Obvezna</w:t>
            </w:r>
            <w:proofErr w:type="spellEnd"/>
            <w:r w:rsidRPr="005E3632">
              <w:rPr>
                <w:rFonts w:ascii="Cambria" w:hAnsi="Cambria"/>
              </w:rPr>
              <w:t xml:space="preserve">: </w:t>
            </w:r>
          </w:p>
          <w:p w14:paraId="07E9BC34" w14:textId="77777777" w:rsidR="00587D5D" w:rsidRPr="005E3632" w:rsidRDefault="00587D5D" w:rsidP="00587D5D">
            <w:pPr>
              <w:autoSpaceDE w:val="0"/>
              <w:autoSpaceDN w:val="0"/>
              <w:adjustRightInd w:val="0"/>
              <w:spacing w:after="0" w:line="240" w:lineRule="auto"/>
              <w:rPr>
                <w:rFonts w:ascii="Cambria" w:hAnsi="Cambria"/>
              </w:rPr>
            </w:pPr>
            <w:r w:rsidRPr="005E3632">
              <w:rPr>
                <w:rFonts w:ascii="Cambria" w:hAnsi="Cambria"/>
              </w:rPr>
              <w:t xml:space="preserve">1. </w:t>
            </w:r>
            <w:proofErr w:type="spellStart"/>
            <w:r w:rsidRPr="005E3632">
              <w:rPr>
                <w:rFonts w:ascii="Cambria" w:hAnsi="Cambria"/>
              </w:rPr>
              <w:t>Oraić</w:t>
            </w:r>
            <w:proofErr w:type="spellEnd"/>
            <w:r w:rsidRPr="005E3632">
              <w:rPr>
                <w:rFonts w:ascii="Cambria" w:hAnsi="Cambria"/>
              </w:rPr>
              <w:t xml:space="preserve"> Tolić, D. (2011). </w:t>
            </w:r>
            <w:proofErr w:type="spellStart"/>
            <w:r w:rsidRPr="005E3632">
              <w:rPr>
                <w:rFonts w:ascii="Cambria" w:hAnsi="Cambria"/>
              </w:rPr>
              <w:t>Akademsko</w:t>
            </w:r>
            <w:proofErr w:type="spellEnd"/>
            <w:r w:rsidRPr="005E3632">
              <w:rPr>
                <w:rFonts w:ascii="Cambria" w:hAnsi="Cambria"/>
              </w:rPr>
              <w:t xml:space="preserve"> pismo. Zagreb: </w:t>
            </w:r>
            <w:proofErr w:type="spellStart"/>
            <w:r w:rsidRPr="005E3632">
              <w:rPr>
                <w:rFonts w:ascii="Cambria" w:hAnsi="Cambria"/>
              </w:rPr>
              <w:t>Naklada</w:t>
            </w:r>
            <w:proofErr w:type="spellEnd"/>
            <w:r w:rsidRPr="005E3632">
              <w:rPr>
                <w:rFonts w:ascii="Cambria" w:hAnsi="Cambria"/>
              </w:rPr>
              <w:t xml:space="preserve"> </w:t>
            </w:r>
            <w:proofErr w:type="spellStart"/>
            <w:r w:rsidRPr="005E3632">
              <w:rPr>
                <w:rFonts w:ascii="Cambria" w:hAnsi="Cambria"/>
              </w:rPr>
              <w:t>Ljevak</w:t>
            </w:r>
            <w:proofErr w:type="spellEnd"/>
            <w:r w:rsidRPr="005E3632">
              <w:rPr>
                <w:rFonts w:ascii="Cambria" w:hAnsi="Cambria"/>
              </w:rPr>
              <w:t>.</w:t>
            </w:r>
          </w:p>
          <w:p w14:paraId="2CE5BE14" w14:textId="77777777" w:rsidR="00587D5D" w:rsidRPr="005E3632" w:rsidRDefault="00587D5D" w:rsidP="00587D5D">
            <w:pPr>
              <w:autoSpaceDE w:val="0"/>
              <w:autoSpaceDN w:val="0"/>
              <w:adjustRightInd w:val="0"/>
              <w:spacing w:after="0" w:line="240" w:lineRule="auto"/>
              <w:rPr>
                <w:rFonts w:ascii="Cambria" w:hAnsi="Cambria"/>
              </w:rPr>
            </w:pPr>
            <w:r w:rsidRPr="005E3632">
              <w:rPr>
                <w:rFonts w:ascii="Cambria" w:hAnsi="Cambria"/>
              </w:rPr>
              <w:t xml:space="preserve">2. </w:t>
            </w:r>
            <w:proofErr w:type="spellStart"/>
            <w:r w:rsidRPr="005E3632">
              <w:rPr>
                <w:rFonts w:ascii="Cambria" w:hAnsi="Cambria"/>
              </w:rPr>
              <w:t>Katnić</w:t>
            </w:r>
            <w:proofErr w:type="spellEnd"/>
            <w:r w:rsidRPr="005E3632">
              <w:rPr>
                <w:rFonts w:ascii="Cambria" w:hAnsi="Cambria"/>
              </w:rPr>
              <w:t xml:space="preserve"> Bakaršić, M. (2004). </w:t>
            </w:r>
            <w:proofErr w:type="spellStart"/>
            <w:r w:rsidRPr="005E3632">
              <w:rPr>
                <w:rFonts w:ascii="Cambria" w:hAnsi="Cambria"/>
              </w:rPr>
              <w:t>Akademski</w:t>
            </w:r>
            <w:proofErr w:type="spellEnd"/>
            <w:r w:rsidRPr="005E3632">
              <w:rPr>
                <w:rFonts w:ascii="Cambria" w:hAnsi="Cambria"/>
              </w:rPr>
              <w:t xml:space="preserve"> </w:t>
            </w:r>
            <w:proofErr w:type="spellStart"/>
            <w:r w:rsidRPr="005E3632">
              <w:rPr>
                <w:rFonts w:ascii="Cambria" w:hAnsi="Cambria"/>
              </w:rPr>
              <w:t>diskurs</w:t>
            </w:r>
            <w:proofErr w:type="spellEnd"/>
            <w:r w:rsidRPr="005E3632">
              <w:rPr>
                <w:rFonts w:ascii="Cambria" w:hAnsi="Cambria"/>
              </w:rPr>
              <w:t xml:space="preserve">: </w:t>
            </w:r>
            <w:proofErr w:type="spellStart"/>
            <w:r w:rsidRPr="005E3632">
              <w:rPr>
                <w:rFonts w:ascii="Cambria" w:hAnsi="Cambria"/>
              </w:rPr>
              <w:t>dileme</w:t>
            </w:r>
            <w:proofErr w:type="spellEnd"/>
            <w:r w:rsidRPr="005E3632">
              <w:rPr>
                <w:rFonts w:ascii="Cambria" w:hAnsi="Cambria"/>
              </w:rPr>
              <w:t xml:space="preserve"> </w:t>
            </w:r>
            <w:proofErr w:type="spellStart"/>
            <w:r w:rsidRPr="005E3632">
              <w:rPr>
                <w:rFonts w:ascii="Cambria" w:hAnsi="Cambria"/>
              </w:rPr>
              <w:t>i</w:t>
            </w:r>
            <w:proofErr w:type="spellEnd"/>
            <w:r w:rsidRPr="005E3632">
              <w:rPr>
                <w:rFonts w:ascii="Cambria" w:hAnsi="Cambria"/>
              </w:rPr>
              <w:t xml:space="preserve"> </w:t>
            </w:r>
            <w:proofErr w:type="spellStart"/>
            <w:r w:rsidRPr="005E3632">
              <w:rPr>
                <w:rFonts w:ascii="Cambria" w:hAnsi="Cambria"/>
              </w:rPr>
              <w:t>izazovi</w:t>
            </w:r>
            <w:proofErr w:type="spellEnd"/>
            <w:r w:rsidRPr="005E3632">
              <w:rPr>
                <w:rFonts w:ascii="Cambria" w:hAnsi="Cambria"/>
              </w:rPr>
              <w:t xml:space="preserve">. </w:t>
            </w:r>
            <w:proofErr w:type="spellStart"/>
            <w:r w:rsidRPr="005E3632">
              <w:rPr>
                <w:rFonts w:ascii="Cambria" w:hAnsi="Cambria"/>
              </w:rPr>
              <w:t>Obdobja</w:t>
            </w:r>
            <w:proofErr w:type="spellEnd"/>
            <w:r w:rsidRPr="005E3632">
              <w:rPr>
                <w:rFonts w:ascii="Cambria" w:hAnsi="Cambria"/>
              </w:rPr>
              <w:t xml:space="preserve"> 22, Ljubljana, str. 191-197. </w:t>
            </w:r>
          </w:p>
          <w:p w14:paraId="04B9DF09" w14:textId="77777777" w:rsidR="00587D5D" w:rsidRPr="005E3632" w:rsidRDefault="00587D5D" w:rsidP="00587D5D">
            <w:pPr>
              <w:autoSpaceDE w:val="0"/>
              <w:autoSpaceDN w:val="0"/>
              <w:adjustRightInd w:val="0"/>
              <w:spacing w:after="0" w:line="240" w:lineRule="auto"/>
              <w:rPr>
                <w:rFonts w:ascii="Cambria" w:hAnsi="Cambria"/>
              </w:rPr>
            </w:pPr>
            <w:r w:rsidRPr="005E3632">
              <w:rPr>
                <w:rFonts w:ascii="Cambria" w:hAnsi="Cambria"/>
              </w:rPr>
              <w:t xml:space="preserve">3. </w:t>
            </w:r>
            <w:proofErr w:type="spellStart"/>
            <w:r w:rsidRPr="005E3632">
              <w:rPr>
                <w:rFonts w:ascii="Cambria" w:hAnsi="Cambria"/>
              </w:rPr>
              <w:t>Silić</w:t>
            </w:r>
            <w:proofErr w:type="spellEnd"/>
            <w:r w:rsidRPr="005E3632">
              <w:rPr>
                <w:rFonts w:ascii="Cambria" w:hAnsi="Cambria"/>
              </w:rPr>
              <w:t xml:space="preserve">, J. (2006). </w:t>
            </w:r>
            <w:proofErr w:type="spellStart"/>
            <w:r w:rsidRPr="005E3632">
              <w:rPr>
                <w:rFonts w:ascii="Cambria" w:hAnsi="Cambria"/>
              </w:rPr>
              <w:t>Funkcionalni</w:t>
            </w:r>
            <w:proofErr w:type="spellEnd"/>
            <w:r w:rsidRPr="005E3632">
              <w:rPr>
                <w:rFonts w:ascii="Cambria" w:hAnsi="Cambria"/>
              </w:rPr>
              <w:t xml:space="preserve"> </w:t>
            </w:r>
            <w:proofErr w:type="spellStart"/>
            <w:r w:rsidRPr="005E3632">
              <w:rPr>
                <w:rFonts w:ascii="Cambria" w:hAnsi="Cambria"/>
              </w:rPr>
              <w:t>stilovi</w:t>
            </w:r>
            <w:proofErr w:type="spellEnd"/>
            <w:r w:rsidRPr="005E3632">
              <w:rPr>
                <w:rFonts w:ascii="Cambria" w:hAnsi="Cambria"/>
              </w:rPr>
              <w:t xml:space="preserve"> </w:t>
            </w:r>
            <w:proofErr w:type="spellStart"/>
            <w:r w:rsidRPr="005E3632">
              <w:rPr>
                <w:rFonts w:ascii="Cambria" w:hAnsi="Cambria"/>
              </w:rPr>
              <w:t>hrvatskoga</w:t>
            </w:r>
            <w:proofErr w:type="spellEnd"/>
            <w:r w:rsidRPr="005E3632">
              <w:rPr>
                <w:rFonts w:ascii="Cambria" w:hAnsi="Cambria"/>
              </w:rPr>
              <w:t xml:space="preserve"> </w:t>
            </w:r>
            <w:proofErr w:type="spellStart"/>
            <w:r w:rsidRPr="005E3632">
              <w:rPr>
                <w:rFonts w:ascii="Cambria" w:hAnsi="Cambria"/>
              </w:rPr>
              <w:t>jezika</w:t>
            </w:r>
            <w:proofErr w:type="spellEnd"/>
            <w:r w:rsidRPr="005E3632">
              <w:rPr>
                <w:rFonts w:ascii="Cambria" w:hAnsi="Cambria"/>
              </w:rPr>
              <w:t xml:space="preserve">. Zagreb: </w:t>
            </w:r>
            <w:proofErr w:type="spellStart"/>
            <w:r w:rsidRPr="005E3632">
              <w:rPr>
                <w:rFonts w:ascii="Cambria" w:hAnsi="Cambria"/>
              </w:rPr>
              <w:t>Disput</w:t>
            </w:r>
            <w:proofErr w:type="spellEnd"/>
            <w:r w:rsidRPr="005E3632">
              <w:rPr>
                <w:rFonts w:ascii="Cambria" w:hAnsi="Cambria"/>
              </w:rPr>
              <w:t>.</w:t>
            </w:r>
          </w:p>
          <w:p w14:paraId="69AE009C" w14:textId="77777777" w:rsidR="00587D5D" w:rsidRPr="00587D5D" w:rsidRDefault="00587D5D" w:rsidP="00587D5D">
            <w:pPr>
              <w:autoSpaceDE w:val="0"/>
              <w:autoSpaceDN w:val="0"/>
              <w:adjustRightInd w:val="0"/>
              <w:spacing w:after="0" w:line="240" w:lineRule="auto"/>
              <w:rPr>
                <w:rFonts w:ascii="Cambria" w:hAnsi="Cambria"/>
                <w:lang w:val="it-IT"/>
              </w:rPr>
            </w:pPr>
            <w:proofErr w:type="spellStart"/>
            <w:r w:rsidRPr="00587D5D">
              <w:rPr>
                <w:rFonts w:ascii="Cambria" w:hAnsi="Cambria"/>
                <w:lang w:val="it-IT"/>
              </w:rPr>
              <w:t>Izborna</w:t>
            </w:r>
            <w:proofErr w:type="spellEnd"/>
            <w:r w:rsidRPr="00587D5D">
              <w:rPr>
                <w:rFonts w:ascii="Cambria" w:hAnsi="Cambria"/>
                <w:lang w:val="it-IT"/>
              </w:rPr>
              <w:t>:</w:t>
            </w:r>
          </w:p>
          <w:p w14:paraId="535A3E2E" w14:textId="77777777" w:rsidR="00587D5D" w:rsidRPr="00587D5D" w:rsidRDefault="00587D5D" w:rsidP="00587D5D">
            <w:pPr>
              <w:autoSpaceDE w:val="0"/>
              <w:autoSpaceDN w:val="0"/>
              <w:adjustRightInd w:val="0"/>
              <w:spacing w:after="0" w:line="240" w:lineRule="auto"/>
              <w:rPr>
                <w:rFonts w:ascii="Cambria" w:hAnsi="Cambria"/>
                <w:lang w:val="it-IT"/>
              </w:rPr>
            </w:pPr>
            <w:r w:rsidRPr="00587D5D">
              <w:rPr>
                <w:rFonts w:ascii="Cambria" w:hAnsi="Cambria"/>
                <w:lang w:val="it-IT"/>
              </w:rPr>
              <w:t xml:space="preserve">1. </w:t>
            </w:r>
            <w:proofErr w:type="spellStart"/>
            <w:r w:rsidRPr="00587D5D">
              <w:rPr>
                <w:rFonts w:ascii="Cambria" w:hAnsi="Cambria"/>
                <w:lang w:val="it-IT"/>
              </w:rPr>
              <w:t>Badurina</w:t>
            </w:r>
            <w:proofErr w:type="spellEnd"/>
            <w:r w:rsidRPr="00587D5D">
              <w:rPr>
                <w:rFonts w:ascii="Cambria" w:hAnsi="Cambria"/>
                <w:lang w:val="it-IT"/>
              </w:rPr>
              <w:t xml:space="preserve">, L. i </w:t>
            </w:r>
            <w:proofErr w:type="spellStart"/>
            <w:r w:rsidRPr="00587D5D">
              <w:rPr>
                <w:rFonts w:ascii="Cambria" w:hAnsi="Cambria"/>
                <w:lang w:val="it-IT"/>
              </w:rPr>
              <w:t>Kovačević</w:t>
            </w:r>
            <w:proofErr w:type="spellEnd"/>
            <w:r w:rsidRPr="00587D5D">
              <w:rPr>
                <w:rFonts w:ascii="Cambria" w:hAnsi="Cambria"/>
                <w:lang w:val="it-IT"/>
              </w:rPr>
              <w:t xml:space="preserve">, M. (2001). </w:t>
            </w:r>
            <w:proofErr w:type="spellStart"/>
            <w:r w:rsidRPr="00587D5D">
              <w:rPr>
                <w:rFonts w:ascii="Cambria" w:hAnsi="Cambria"/>
                <w:lang w:val="it-IT"/>
              </w:rPr>
              <w:t>Raslojavanje</w:t>
            </w:r>
            <w:proofErr w:type="spellEnd"/>
            <w:r w:rsidRPr="00587D5D">
              <w:rPr>
                <w:rFonts w:ascii="Cambria" w:hAnsi="Cambria"/>
                <w:lang w:val="it-IT"/>
              </w:rPr>
              <w:t xml:space="preserve"> </w:t>
            </w:r>
            <w:proofErr w:type="spellStart"/>
            <w:r w:rsidRPr="00587D5D">
              <w:rPr>
                <w:rFonts w:ascii="Cambria" w:hAnsi="Cambria"/>
                <w:lang w:val="it-IT"/>
              </w:rPr>
              <w:t>jezične</w:t>
            </w:r>
            <w:proofErr w:type="spellEnd"/>
            <w:r w:rsidRPr="00587D5D">
              <w:rPr>
                <w:rFonts w:ascii="Cambria" w:hAnsi="Cambria"/>
                <w:lang w:val="it-IT"/>
              </w:rPr>
              <w:t xml:space="preserve"> </w:t>
            </w:r>
            <w:proofErr w:type="spellStart"/>
            <w:r w:rsidRPr="00587D5D">
              <w:rPr>
                <w:rFonts w:ascii="Cambria" w:hAnsi="Cambria"/>
                <w:lang w:val="it-IT"/>
              </w:rPr>
              <w:t>stvarnosti</w:t>
            </w:r>
            <w:proofErr w:type="spellEnd"/>
            <w:r w:rsidRPr="00587D5D">
              <w:rPr>
                <w:rFonts w:ascii="Cambria" w:hAnsi="Cambria"/>
                <w:lang w:val="it-IT"/>
              </w:rPr>
              <w:t xml:space="preserve">. </w:t>
            </w:r>
            <w:proofErr w:type="spellStart"/>
            <w:r w:rsidRPr="00587D5D">
              <w:rPr>
                <w:rFonts w:ascii="Cambria" w:hAnsi="Cambria"/>
                <w:lang w:val="it-IT"/>
              </w:rPr>
              <w:t>Filozofski</w:t>
            </w:r>
            <w:proofErr w:type="spellEnd"/>
            <w:r w:rsidRPr="00587D5D">
              <w:rPr>
                <w:rFonts w:ascii="Cambria" w:hAnsi="Cambria"/>
                <w:lang w:val="it-IT"/>
              </w:rPr>
              <w:t xml:space="preserve"> </w:t>
            </w:r>
            <w:proofErr w:type="spellStart"/>
            <w:r w:rsidRPr="00587D5D">
              <w:rPr>
                <w:rFonts w:ascii="Cambria" w:hAnsi="Cambria"/>
                <w:lang w:val="it-IT"/>
              </w:rPr>
              <w:t>fakultet</w:t>
            </w:r>
            <w:proofErr w:type="spellEnd"/>
            <w:r w:rsidRPr="00587D5D">
              <w:rPr>
                <w:rFonts w:ascii="Cambria" w:hAnsi="Cambria"/>
                <w:lang w:val="it-IT"/>
              </w:rPr>
              <w:t xml:space="preserve"> u </w:t>
            </w:r>
            <w:proofErr w:type="spellStart"/>
            <w:r w:rsidRPr="00587D5D">
              <w:rPr>
                <w:rFonts w:ascii="Cambria" w:hAnsi="Cambria"/>
                <w:lang w:val="it-IT"/>
              </w:rPr>
              <w:t>Rijeci</w:t>
            </w:r>
            <w:proofErr w:type="spellEnd"/>
            <w:r w:rsidRPr="00587D5D">
              <w:rPr>
                <w:rFonts w:ascii="Cambria" w:hAnsi="Cambria"/>
                <w:lang w:val="it-IT"/>
              </w:rPr>
              <w:t xml:space="preserve">. Rijeka. </w:t>
            </w:r>
          </w:p>
          <w:p w14:paraId="48105EED" w14:textId="77777777" w:rsidR="00587D5D" w:rsidRPr="00587D5D" w:rsidRDefault="00587D5D" w:rsidP="00587D5D">
            <w:pPr>
              <w:autoSpaceDE w:val="0"/>
              <w:autoSpaceDN w:val="0"/>
              <w:adjustRightInd w:val="0"/>
              <w:spacing w:after="0" w:line="240" w:lineRule="auto"/>
              <w:rPr>
                <w:rFonts w:ascii="Cambria" w:hAnsi="Cambria"/>
                <w:lang w:val="it-IT"/>
              </w:rPr>
            </w:pPr>
            <w:r w:rsidRPr="00587D5D">
              <w:rPr>
                <w:rFonts w:ascii="Cambria" w:hAnsi="Cambria"/>
                <w:lang w:val="it-IT"/>
              </w:rPr>
              <w:t xml:space="preserve">2. </w:t>
            </w:r>
            <w:proofErr w:type="spellStart"/>
            <w:r w:rsidRPr="00587D5D">
              <w:rPr>
                <w:rFonts w:ascii="Cambria" w:hAnsi="Cambria"/>
                <w:lang w:val="it-IT"/>
              </w:rPr>
              <w:t>Gačić</w:t>
            </w:r>
            <w:proofErr w:type="spellEnd"/>
            <w:r w:rsidRPr="00587D5D">
              <w:rPr>
                <w:rFonts w:ascii="Cambria" w:hAnsi="Cambria"/>
                <w:lang w:val="it-IT"/>
              </w:rPr>
              <w:t xml:space="preserve">, M. (2001). </w:t>
            </w:r>
            <w:proofErr w:type="spellStart"/>
            <w:r w:rsidRPr="00587D5D">
              <w:rPr>
                <w:rFonts w:ascii="Cambria" w:hAnsi="Cambria"/>
                <w:lang w:val="it-IT"/>
              </w:rPr>
              <w:t>Pisanje</w:t>
            </w:r>
            <w:proofErr w:type="spellEnd"/>
            <w:r w:rsidRPr="00587D5D">
              <w:rPr>
                <w:rFonts w:ascii="Cambria" w:hAnsi="Cambria"/>
                <w:lang w:val="it-IT"/>
              </w:rPr>
              <w:t xml:space="preserve"> i </w:t>
            </w:r>
            <w:proofErr w:type="spellStart"/>
            <w:r w:rsidRPr="00587D5D">
              <w:rPr>
                <w:rFonts w:ascii="Cambria" w:hAnsi="Cambria"/>
                <w:lang w:val="it-IT"/>
              </w:rPr>
              <w:t>objavljivanje</w:t>
            </w:r>
            <w:proofErr w:type="spellEnd"/>
            <w:r w:rsidRPr="00587D5D">
              <w:rPr>
                <w:rFonts w:ascii="Cambria" w:hAnsi="Cambria"/>
                <w:lang w:val="it-IT"/>
              </w:rPr>
              <w:t xml:space="preserve"> </w:t>
            </w:r>
            <w:proofErr w:type="spellStart"/>
            <w:r w:rsidRPr="00587D5D">
              <w:rPr>
                <w:rFonts w:ascii="Cambria" w:hAnsi="Cambria"/>
                <w:lang w:val="it-IT"/>
              </w:rPr>
              <w:t>znanstvenih</w:t>
            </w:r>
            <w:proofErr w:type="spellEnd"/>
            <w:r w:rsidRPr="00587D5D">
              <w:rPr>
                <w:rFonts w:ascii="Cambria" w:hAnsi="Cambria"/>
                <w:lang w:val="it-IT"/>
              </w:rPr>
              <w:t xml:space="preserve"> i </w:t>
            </w:r>
            <w:proofErr w:type="spellStart"/>
            <w:r w:rsidRPr="00587D5D">
              <w:rPr>
                <w:rFonts w:ascii="Cambria" w:hAnsi="Cambria"/>
                <w:lang w:val="it-IT"/>
              </w:rPr>
              <w:t>stručnih</w:t>
            </w:r>
            <w:proofErr w:type="spellEnd"/>
            <w:r w:rsidRPr="00587D5D">
              <w:rPr>
                <w:rFonts w:ascii="Cambria" w:hAnsi="Cambria"/>
                <w:lang w:val="it-IT"/>
              </w:rPr>
              <w:t xml:space="preserve"> </w:t>
            </w:r>
            <w:proofErr w:type="spellStart"/>
            <w:r w:rsidRPr="00587D5D">
              <w:rPr>
                <w:rFonts w:ascii="Cambria" w:hAnsi="Cambria"/>
                <w:lang w:val="it-IT"/>
              </w:rPr>
              <w:t>radova</w:t>
            </w:r>
            <w:proofErr w:type="spellEnd"/>
            <w:r w:rsidRPr="00587D5D">
              <w:rPr>
                <w:rFonts w:ascii="Cambria" w:hAnsi="Cambria"/>
                <w:lang w:val="it-IT"/>
              </w:rPr>
              <w:t xml:space="preserve">. </w:t>
            </w:r>
            <w:proofErr w:type="spellStart"/>
            <w:r w:rsidRPr="00587D5D">
              <w:rPr>
                <w:rFonts w:ascii="Cambria" w:hAnsi="Cambria"/>
                <w:lang w:val="it-IT"/>
              </w:rPr>
              <w:t>Zagreb</w:t>
            </w:r>
            <w:proofErr w:type="spellEnd"/>
            <w:r w:rsidRPr="00587D5D">
              <w:rPr>
                <w:rFonts w:ascii="Cambria" w:hAnsi="Cambria"/>
                <w:lang w:val="it-IT"/>
              </w:rPr>
              <w:t xml:space="preserve">: </w:t>
            </w:r>
            <w:proofErr w:type="spellStart"/>
            <w:r w:rsidRPr="00587D5D">
              <w:rPr>
                <w:rFonts w:ascii="Cambria" w:hAnsi="Cambria"/>
                <w:lang w:val="it-IT"/>
              </w:rPr>
              <w:t>Ministarstvo</w:t>
            </w:r>
            <w:proofErr w:type="spellEnd"/>
            <w:r w:rsidRPr="00587D5D">
              <w:rPr>
                <w:rFonts w:ascii="Cambria" w:hAnsi="Cambria"/>
                <w:lang w:val="it-IT"/>
              </w:rPr>
              <w:t xml:space="preserve"> </w:t>
            </w:r>
            <w:proofErr w:type="spellStart"/>
            <w:r w:rsidRPr="00587D5D">
              <w:rPr>
                <w:rFonts w:ascii="Cambria" w:hAnsi="Cambria"/>
                <w:lang w:val="it-IT"/>
              </w:rPr>
              <w:t>unutarnjih</w:t>
            </w:r>
            <w:proofErr w:type="spellEnd"/>
            <w:r w:rsidRPr="00587D5D">
              <w:rPr>
                <w:rFonts w:ascii="Cambria" w:hAnsi="Cambria"/>
                <w:lang w:val="it-IT"/>
              </w:rPr>
              <w:t xml:space="preserve"> </w:t>
            </w:r>
            <w:proofErr w:type="spellStart"/>
            <w:r w:rsidRPr="00587D5D">
              <w:rPr>
                <w:rFonts w:ascii="Cambria" w:hAnsi="Cambria"/>
                <w:lang w:val="it-IT"/>
              </w:rPr>
              <w:t>poslova</w:t>
            </w:r>
            <w:proofErr w:type="spellEnd"/>
            <w:r w:rsidRPr="00587D5D">
              <w:rPr>
                <w:rFonts w:ascii="Cambria" w:hAnsi="Cambria"/>
                <w:lang w:val="it-IT"/>
              </w:rPr>
              <w:t xml:space="preserve"> RH – </w:t>
            </w:r>
            <w:proofErr w:type="spellStart"/>
            <w:r w:rsidRPr="00587D5D">
              <w:rPr>
                <w:rFonts w:ascii="Cambria" w:hAnsi="Cambria"/>
                <w:lang w:val="it-IT"/>
              </w:rPr>
              <w:t>Policijska</w:t>
            </w:r>
            <w:proofErr w:type="spellEnd"/>
            <w:r w:rsidRPr="00587D5D">
              <w:rPr>
                <w:rFonts w:ascii="Cambria" w:hAnsi="Cambria"/>
                <w:lang w:val="it-IT"/>
              </w:rPr>
              <w:t xml:space="preserve"> </w:t>
            </w:r>
            <w:proofErr w:type="spellStart"/>
            <w:r w:rsidRPr="00587D5D">
              <w:rPr>
                <w:rFonts w:ascii="Cambria" w:hAnsi="Cambria"/>
                <w:lang w:val="it-IT"/>
              </w:rPr>
              <w:t>akademija</w:t>
            </w:r>
            <w:proofErr w:type="spellEnd"/>
            <w:r w:rsidRPr="00587D5D">
              <w:rPr>
                <w:rFonts w:ascii="Cambria" w:hAnsi="Cambria"/>
                <w:lang w:val="it-IT"/>
              </w:rPr>
              <w:t>.</w:t>
            </w:r>
          </w:p>
          <w:p w14:paraId="3716795F" w14:textId="77777777" w:rsidR="00587D5D" w:rsidRPr="00587D5D" w:rsidRDefault="00587D5D" w:rsidP="00587D5D">
            <w:pPr>
              <w:autoSpaceDE w:val="0"/>
              <w:autoSpaceDN w:val="0"/>
              <w:adjustRightInd w:val="0"/>
              <w:spacing w:after="0" w:line="240" w:lineRule="auto"/>
              <w:rPr>
                <w:rFonts w:ascii="Cambria" w:hAnsi="Cambria"/>
                <w:lang w:val="it-IT"/>
              </w:rPr>
            </w:pPr>
            <w:r w:rsidRPr="00587D5D">
              <w:rPr>
                <w:rFonts w:ascii="Cambria" w:hAnsi="Cambria"/>
                <w:lang w:val="it-IT"/>
              </w:rPr>
              <w:lastRenderedPageBreak/>
              <w:t xml:space="preserve">3. </w:t>
            </w:r>
            <w:proofErr w:type="spellStart"/>
            <w:r w:rsidRPr="00587D5D">
              <w:rPr>
                <w:rFonts w:ascii="Cambria" w:hAnsi="Cambria"/>
                <w:lang w:val="it-IT"/>
              </w:rPr>
              <w:t>Katnić-Bakaršić</w:t>
            </w:r>
            <w:proofErr w:type="spellEnd"/>
            <w:r w:rsidRPr="00587D5D">
              <w:rPr>
                <w:rFonts w:ascii="Cambria" w:hAnsi="Cambria"/>
                <w:lang w:val="it-IT"/>
              </w:rPr>
              <w:t xml:space="preserve">, M. (2012). </w:t>
            </w:r>
            <w:proofErr w:type="spellStart"/>
            <w:r w:rsidRPr="00587D5D">
              <w:rPr>
                <w:rFonts w:ascii="Cambria" w:hAnsi="Cambria"/>
                <w:lang w:val="it-IT"/>
              </w:rPr>
              <w:t>Između</w:t>
            </w:r>
            <w:proofErr w:type="spellEnd"/>
            <w:r w:rsidRPr="00587D5D">
              <w:rPr>
                <w:rFonts w:ascii="Cambria" w:hAnsi="Cambria"/>
                <w:lang w:val="it-IT"/>
              </w:rPr>
              <w:t xml:space="preserve"> </w:t>
            </w:r>
            <w:proofErr w:type="spellStart"/>
            <w:r w:rsidRPr="00587D5D">
              <w:rPr>
                <w:rFonts w:ascii="Cambria" w:hAnsi="Cambria"/>
                <w:lang w:val="it-IT"/>
              </w:rPr>
              <w:t>diskursa</w:t>
            </w:r>
            <w:proofErr w:type="spellEnd"/>
            <w:r w:rsidRPr="00587D5D">
              <w:rPr>
                <w:rFonts w:ascii="Cambria" w:hAnsi="Cambria"/>
                <w:lang w:val="it-IT"/>
              </w:rPr>
              <w:t xml:space="preserve"> </w:t>
            </w:r>
            <w:proofErr w:type="spellStart"/>
            <w:r w:rsidRPr="00587D5D">
              <w:rPr>
                <w:rFonts w:ascii="Cambria" w:hAnsi="Cambria"/>
                <w:lang w:val="it-IT"/>
              </w:rPr>
              <w:t>moći</w:t>
            </w:r>
            <w:proofErr w:type="spellEnd"/>
            <w:r w:rsidRPr="00587D5D">
              <w:rPr>
                <w:rFonts w:ascii="Cambria" w:hAnsi="Cambria"/>
                <w:lang w:val="it-IT"/>
              </w:rPr>
              <w:t xml:space="preserve"> i </w:t>
            </w:r>
            <w:proofErr w:type="spellStart"/>
            <w:r w:rsidRPr="00587D5D">
              <w:rPr>
                <w:rFonts w:ascii="Cambria" w:hAnsi="Cambria"/>
                <w:lang w:val="it-IT"/>
              </w:rPr>
              <w:t>moći</w:t>
            </w:r>
            <w:proofErr w:type="spellEnd"/>
            <w:r w:rsidRPr="00587D5D">
              <w:rPr>
                <w:rFonts w:ascii="Cambria" w:hAnsi="Cambria"/>
                <w:lang w:val="it-IT"/>
              </w:rPr>
              <w:t xml:space="preserve"> </w:t>
            </w:r>
            <w:proofErr w:type="spellStart"/>
            <w:r w:rsidRPr="00587D5D">
              <w:rPr>
                <w:rFonts w:ascii="Cambria" w:hAnsi="Cambria"/>
                <w:lang w:val="it-IT"/>
              </w:rPr>
              <w:t>diskursa</w:t>
            </w:r>
            <w:proofErr w:type="spellEnd"/>
            <w:r w:rsidRPr="00587D5D">
              <w:rPr>
                <w:rFonts w:ascii="Cambria" w:hAnsi="Cambria"/>
                <w:lang w:val="it-IT"/>
              </w:rPr>
              <w:t xml:space="preserve">. </w:t>
            </w:r>
            <w:proofErr w:type="spellStart"/>
            <w:r w:rsidRPr="00587D5D">
              <w:rPr>
                <w:rFonts w:ascii="Cambria" w:hAnsi="Cambria"/>
                <w:lang w:val="it-IT"/>
              </w:rPr>
              <w:t>Zagreb</w:t>
            </w:r>
            <w:proofErr w:type="spellEnd"/>
            <w:r w:rsidRPr="00587D5D">
              <w:rPr>
                <w:rFonts w:ascii="Cambria" w:hAnsi="Cambria"/>
                <w:lang w:val="it-IT"/>
              </w:rPr>
              <w:t xml:space="preserve"> – Sarajevo: </w:t>
            </w:r>
            <w:proofErr w:type="spellStart"/>
            <w:r w:rsidRPr="00587D5D">
              <w:rPr>
                <w:rFonts w:ascii="Cambria" w:hAnsi="Cambria"/>
                <w:lang w:val="it-IT"/>
              </w:rPr>
              <w:t>Naklada</w:t>
            </w:r>
            <w:proofErr w:type="spellEnd"/>
            <w:r w:rsidRPr="00587D5D">
              <w:rPr>
                <w:rFonts w:ascii="Cambria" w:hAnsi="Cambria"/>
                <w:lang w:val="it-IT"/>
              </w:rPr>
              <w:t xml:space="preserve"> Zoro.</w:t>
            </w:r>
          </w:p>
          <w:p w14:paraId="743B1217" w14:textId="77777777" w:rsidR="00587D5D" w:rsidRPr="00587D5D" w:rsidRDefault="00587D5D" w:rsidP="00587D5D">
            <w:pPr>
              <w:autoSpaceDE w:val="0"/>
              <w:autoSpaceDN w:val="0"/>
              <w:adjustRightInd w:val="0"/>
              <w:spacing w:after="0" w:line="240" w:lineRule="auto"/>
              <w:rPr>
                <w:rFonts w:ascii="Cambria" w:hAnsi="Cambria"/>
                <w:lang w:val="it-IT"/>
              </w:rPr>
            </w:pPr>
            <w:r w:rsidRPr="00587D5D">
              <w:rPr>
                <w:rFonts w:ascii="Cambria" w:hAnsi="Cambria"/>
                <w:lang w:val="it-IT"/>
              </w:rPr>
              <w:t xml:space="preserve">4. </w:t>
            </w:r>
            <w:proofErr w:type="spellStart"/>
            <w:r w:rsidRPr="00587D5D">
              <w:rPr>
                <w:rFonts w:ascii="Cambria" w:hAnsi="Cambria"/>
                <w:lang w:val="it-IT"/>
              </w:rPr>
              <w:t>Matešić</w:t>
            </w:r>
            <w:proofErr w:type="spellEnd"/>
            <w:r w:rsidRPr="00587D5D">
              <w:rPr>
                <w:rFonts w:ascii="Cambria" w:hAnsi="Cambria"/>
                <w:lang w:val="it-IT"/>
              </w:rPr>
              <w:t xml:space="preserve">, M. (2014). Pisani </w:t>
            </w:r>
            <w:proofErr w:type="spellStart"/>
            <w:r w:rsidRPr="00587D5D">
              <w:rPr>
                <w:rFonts w:ascii="Cambria" w:hAnsi="Cambria"/>
                <w:lang w:val="it-IT"/>
              </w:rPr>
              <w:t>akademski</w:t>
            </w:r>
            <w:proofErr w:type="spellEnd"/>
            <w:r w:rsidRPr="00587D5D">
              <w:rPr>
                <w:rFonts w:ascii="Cambria" w:hAnsi="Cambria"/>
                <w:lang w:val="it-IT"/>
              </w:rPr>
              <w:t xml:space="preserve"> </w:t>
            </w:r>
            <w:proofErr w:type="spellStart"/>
            <w:r w:rsidRPr="00587D5D">
              <w:rPr>
                <w:rFonts w:ascii="Cambria" w:hAnsi="Cambria"/>
                <w:lang w:val="it-IT"/>
              </w:rPr>
              <w:t>diskurs</w:t>
            </w:r>
            <w:proofErr w:type="spellEnd"/>
            <w:r w:rsidRPr="00587D5D">
              <w:rPr>
                <w:rFonts w:ascii="Cambria" w:hAnsi="Cambria"/>
                <w:lang w:val="it-IT"/>
              </w:rPr>
              <w:t xml:space="preserve"> i </w:t>
            </w:r>
            <w:proofErr w:type="spellStart"/>
            <w:r w:rsidRPr="00587D5D">
              <w:rPr>
                <w:rFonts w:ascii="Cambria" w:hAnsi="Cambria"/>
                <w:lang w:val="it-IT"/>
              </w:rPr>
              <w:t>tradicionalna</w:t>
            </w:r>
            <w:proofErr w:type="spellEnd"/>
            <w:r w:rsidRPr="00587D5D">
              <w:rPr>
                <w:rFonts w:ascii="Cambria" w:hAnsi="Cambria"/>
                <w:lang w:val="it-IT"/>
              </w:rPr>
              <w:t xml:space="preserve"> </w:t>
            </w:r>
            <w:proofErr w:type="spellStart"/>
            <w:r w:rsidRPr="00587D5D">
              <w:rPr>
                <w:rFonts w:ascii="Cambria" w:hAnsi="Cambria"/>
                <w:lang w:val="it-IT"/>
              </w:rPr>
              <w:t>normativnost</w:t>
            </w:r>
            <w:proofErr w:type="spellEnd"/>
            <w:r w:rsidRPr="00587D5D">
              <w:rPr>
                <w:rFonts w:ascii="Cambria" w:hAnsi="Cambria"/>
                <w:lang w:val="it-IT"/>
              </w:rPr>
              <w:t xml:space="preserve">. </w:t>
            </w:r>
            <w:proofErr w:type="spellStart"/>
            <w:r w:rsidRPr="00587D5D">
              <w:rPr>
                <w:rFonts w:ascii="Cambria" w:hAnsi="Cambria"/>
                <w:lang w:val="it-IT"/>
              </w:rPr>
              <w:t>Priručnik</w:t>
            </w:r>
            <w:proofErr w:type="spellEnd"/>
            <w:r w:rsidRPr="00587D5D">
              <w:rPr>
                <w:rFonts w:ascii="Cambria" w:hAnsi="Cambria"/>
                <w:lang w:val="it-IT"/>
              </w:rPr>
              <w:t xml:space="preserve"> za </w:t>
            </w:r>
            <w:proofErr w:type="spellStart"/>
            <w:r w:rsidRPr="00587D5D">
              <w:rPr>
                <w:rFonts w:ascii="Cambria" w:hAnsi="Cambria"/>
                <w:lang w:val="it-IT"/>
              </w:rPr>
              <w:t>prevoditelje</w:t>
            </w:r>
            <w:proofErr w:type="spellEnd"/>
            <w:r w:rsidRPr="00587D5D">
              <w:rPr>
                <w:rFonts w:ascii="Cambria" w:hAnsi="Cambria"/>
                <w:lang w:val="it-IT"/>
              </w:rPr>
              <w:t xml:space="preserve">: </w:t>
            </w:r>
            <w:proofErr w:type="spellStart"/>
            <w:r w:rsidRPr="00587D5D">
              <w:rPr>
                <w:rFonts w:ascii="Cambria" w:hAnsi="Cambria"/>
                <w:lang w:val="it-IT"/>
              </w:rPr>
              <w:t>prilog</w:t>
            </w:r>
            <w:proofErr w:type="spellEnd"/>
            <w:r w:rsidRPr="00587D5D">
              <w:rPr>
                <w:rFonts w:ascii="Cambria" w:hAnsi="Cambria"/>
                <w:lang w:val="it-IT"/>
              </w:rPr>
              <w:t xml:space="preserve"> </w:t>
            </w:r>
            <w:proofErr w:type="spellStart"/>
            <w:r w:rsidRPr="00587D5D">
              <w:rPr>
                <w:rFonts w:ascii="Cambria" w:hAnsi="Cambria"/>
                <w:lang w:val="it-IT"/>
              </w:rPr>
              <w:t>teoriji</w:t>
            </w:r>
            <w:proofErr w:type="spellEnd"/>
            <w:r w:rsidRPr="00587D5D">
              <w:rPr>
                <w:rFonts w:ascii="Cambria" w:hAnsi="Cambria"/>
                <w:lang w:val="it-IT"/>
              </w:rPr>
              <w:t xml:space="preserve"> i </w:t>
            </w:r>
            <w:proofErr w:type="spellStart"/>
            <w:r w:rsidRPr="00587D5D">
              <w:rPr>
                <w:rFonts w:ascii="Cambria" w:hAnsi="Cambria"/>
                <w:lang w:val="it-IT"/>
              </w:rPr>
              <w:t>praksi</w:t>
            </w:r>
            <w:proofErr w:type="spellEnd"/>
            <w:r w:rsidRPr="00587D5D">
              <w:rPr>
                <w:rFonts w:ascii="Cambria" w:hAnsi="Cambria"/>
                <w:lang w:val="it-IT"/>
              </w:rPr>
              <w:t xml:space="preserve">. </w:t>
            </w:r>
            <w:proofErr w:type="spellStart"/>
            <w:r w:rsidRPr="00587D5D">
              <w:rPr>
                <w:rFonts w:ascii="Cambria" w:hAnsi="Cambria"/>
                <w:lang w:val="it-IT"/>
              </w:rPr>
              <w:t>Filozofski</w:t>
            </w:r>
            <w:proofErr w:type="spellEnd"/>
            <w:r w:rsidRPr="00587D5D">
              <w:rPr>
                <w:rFonts w:ascii="Cambria" w:hAnsi="Cambria"/>
                <w:lang w:val="it-IT"/>
              </w:rPr>
              <w:t xml:space="preserve"> </w:t>
            </w:r>
            <w:proofErr w:type="spellStart"/>
            <w:r w:rsidRPr="00587D5D">
              <w:rPr>
                <w:rFonts w:ascii="Cambria" w:hAnsi="Cambria"/>
                <w:lang w:val="it-IT"/>
              </w:rPr>
              <w:t>fakultet</w:t>
            </w:r>
            <w:proofErr w:type="spellEnd"/>
            <w:r w:rsidRPr="00587D5D">
              <w:rPr>
                <w:rFonts w:ascii="Cambria" w:hAnsi="Cambria"/>
                <w:lang w:val="it-IT"/>
              </w:rPr>
              <w:t xml:space="preserve"> u </w:t>
            </w:r>
            <w:proofErr w:type="spellStart"/>
            <w:r w:rsidRPr="00587D5D">
              <w:rPr>
                <w:rFonts w:ascii="Cambria" w:hAnsi="Cambria"/>
                <w:lang w:val="it-IT"/>
              </w:rPr>
              <w:t>Rijeci</w:t>
            </w:r>
            <w:proofErr w:type="spellEnd"/>
            <w:r w:rsidRPr="00587D5D">
              <w:rPr>
                <w:rFonts w:ascii="Cambria" w:hAnsi="Cambria"/>
                <w:lang w:val="it-IT"/>
              </w:rPr>
              <w:t xml:space="preserve">, </w:t>
            </w:r>
            <w:proofErr w:type="spellStart"/>
            <w:r w:rsidRPr="00587D5D">
              <w:rPr>
                <w:rFonts w:ascii="Cambria" w:hAnsi="Cambria"/>
                <w:lang w:val="it-IT"/>
              </w:rPr>
              <w:t>str</w:t>
            </w:r>
            <w:proofErr w:type="spellEnd"/>
            <w:r w:rsidRPr="00587D5D">
              <w:rPr>
                <w:rFonts w:ascii="Cambria" w:hAnsi="Cambria"/>
                <w:lang w:val="it-IT"/>
              </w:rPr>
              <w:t>. 339-354.</w:t>
            </w:r>
          </w:p>
          <w:p w14:paraId="193201BB" w14:textId="77777777" w:rsidR="00587D5D" w:rsidRPr="00587D5D" w:rsidRDefault="00587D5D" w:rsidP="00587D5D">
            <w:pPr>
              <w:autoSpaceDE w:val="0"/>
              <w:autoSpaceDN w:val="0"/>
              <w:adjustRightInd w:val="0"/>
              <w:spacing w:after="0" w:line="240" w:lineRule="auto"/>
              <w:rPr>
                <w:rFonts w:ascii="Cambria" w:hAnsi="Cambria"/>
                <w:lang w:val="it-IT"/>
              </w:rPr>
            </w:pPr>
          </w:p>
        </w:tc>
      </w:tr>
    </w:tbl>
    <w:p w14:paraId="2B8AB3F8" w14:textId="4003C9EF" w:rsidR="00587D5D" w:rsidRDefault="00587D5D" w:rsidP="003B7C0C">
      <w:pPr>
        <w:rPr>
          <w:rFonts w:ascii="Cambria" w:hAnsi="Cambria"/>
          <w:lang w:val="it-IT"/>
        </w:rPr>
      </w:pPr>
    </w:p>
    <w:p w14:paraId="6C669F07" w14:textId="77777777" w:rsidR="00587D5D" w:rsidRDefault="00587D5D">
      <w:pPr>
        <w:rPr>
          <w:rFonts w:ascii="Cambria" w:hAnsi="Cambria"/>
          <w:lang w:val="it-IT"/>
        </w:rPr>
      </w:pPr>
      <w:r>
        <w:rPr>
          <w:rFonts w:ascii="Cambria" w:hAnsi="Cambria"/>
          <w:lang w:val="it-IT"/>
        </w:rPr>
        <w:br w:type="page"/>
      </w:r>
    </w:p>
    <w:p w14:paraId="552D257B" w14:textId="77777777" w:rsidR="005A04F3" w:rsidRDefault="005A04F3" w:rsidP="003B7C0C">
      <w:pPr>
        <w:rPr>
          <w:rFonts w:ascii="Cambria" w:hAnsi="Cambria"/>
          <w:lang w:val="it-IT"/>
        </w:rPr>
      </w:pPr>
    </w:p>
    <w:tbl>
      <w:tblPr>
        <w:tblW w:w="5000" w:type="pct"/>
        <w:tblLayout w:type="fixed"/>
        <w:tblCellMar>
          <w:left w:w="0" w:type="dxa"/>
          <w:right w:w="0" w:type="dxa"/>
        </w:tblCellMar>
        <w:tblLook w:val="0600" w:firstRow="0" w:lastRow="0" w:firstColumn="0" w:lastColumn="0" w:noHBand="1" w:noVBand="1"/>
      </w:tblPr>
      <w:tblGrid>
        <w:gridCol w:w="2684"/>
        <w:gridCol w:w="2222"/>
        <w:gridCol w:w="94"/>
        <w:gridCol w:w="1052"/>
        <w:gridCol w:w="270"/>
        <w:gridCol w:w="423"/>
        <w:gridCol w:w="976"/>
        <w:gridCol w:w="1908"/>
        <w:gridCol w:w="391"/>
      </w:tblGrid>
      <w:tr w:rsidR="00587D5D" w:rsidRPr="00A62FBD" w14:paraId="22FFCF89" w14:textId="77777777" w:rsidTr="00587D5D">
        <w:trPr>
          <w:gridAfter w:val="1"/>
          <w:wAfter w:w="391" w:type="dxa"/>
        </w:trPr>
        <w:tc>
          <w:tcPr>
            <w:tcW w:w="9629"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8C11998" w14:textId="77777777" w:rsidR="00587D5D" w:rsidRPr="00A62FBD" w:rsidRDefault="00587D5D" w:rsidP="00587D5D">
            <w:pPr>
              <w:pStyle w:val="Bezproreda"/>
              <w:jc w:val="right"/>
              <w:rPr>
                <w:rFonts w:ascii="Cambria" w:hAnsi="Cambria" w:cs="Calibri"/>
                <w:b/>
              </w:rPr>
            </w:pPr>
            <w:r w:rsidRPr="00A62FBD">
              <w:rPr>
                <w:rFonts w:ascii="Cambria" w:hAnsi="Cambria" w:cs="Calibri"/>
                <w:b/>
              </w:rPr>
              <w:t>IZVEDBENI PLAN NASTAVE KOLEGIJA</w:t>
            </w:r>
          </w:p>
        </w:tc>
      </w:tr>
      <w:tr w:rsidR="00587D5D" w:rsidRPr="00D0399C" w14:paraId="5D6570B9" w14:textId="77777777" w:rsidTr="00587D5D">
        <w:trPr>
          <w:gridAfter w:val="1"/>
          <w:wAfter w:w="391" w:type="dxa"/>
        </w:trPr>
        <w:tc>
          <w:tcPr>
            <w:tcW w:w="268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AC9833A" w14:textId="77777777" w:rsidR="00587D5D" w:rsidRPr="00A62FBD" w:rsidRDefault="00587D5D" w:rsidP="00587D5D">
            <w:pPr>
              <w:pStyle w:val="Bezproreda"/>
              <w:rPr>
                <w:rFonts w:ascii="Cambria" w:hAnsi="Cambria" w:cs="Calibri"/>
              </w:rPr>
            </w:pPr>
            <w:r w:rsidRPr="00A62FBD">
              <w:rPr>
                <w:rFonts w:ascii="Cambria" w:hAnsi="Cambria" w:cs="Calibri"/>
              </w:rPr>
              <w:t>Kod i naziv kolegija</w:t>
            </w:r>
          </w:p>
        </w:tc>
        <w:tc>
          <w:tcPr>
            <w:tcW w:w="694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FBC1459" w14:textId="77777777" w:rsidR="00587D5D" w:rsidRPr="008A292C" w:rsidRDefault="00587D5D" w:rsidP="00587D5D">
            <w:pPr>
              <w:pStyle w:val="Bezproreda"/>
              <w:rPr>
                <w:rFonts w:ascii="Cambria" w:hAnsi="Cambria" w:cs="Calibri"/>
              </w:rPr>
            </w:pPr>
            <w:r>
              <w:rPr>
                <w:rFonts w:ascii="Cambria" w:hAnsi="Cambria" w:cs="Calibri"/>
              </w:rPr>
              <w:t>Uspostava i upravljanje projektima u obrazovanju</w:t>
            </w:r>
          </w:p>
        </w:tc>
      </w:tr>
      <w:tr w:rsidR="00587D5D" w:rsidRPr="00D0399C" w14:paraId="24787722" w14:textId="77777777" w:rsidTr="00587D5D">
        <w:trPr>
          <w:gridAfter w:val="1"/>
          <w:wAfter w:w="391" w:type="dxa"/>
        </w:trPr>
        <w:tc>
          <w:tcPr>
            <w:tcW w:w="268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7A2539C" w14:textId="792B99D8" w:rsidR="00587D5D" w:rsidRPr="00A62FBD" w:rsidRDefault="00587D5D" w:rsidP="00587D5D">
            <w:pPr>
              <w:pStyle w:val="Bezproreda"/>
              <w:rPr>
                <w:rFonts w:ascii="Cambria" w:hAnsi="Cambria" w:cs="Calibri"/>
              </w:rPr>
            </w:pPr>
            <w:r w:rsidRPr="00A62FBD">
              <w:rPr>
                <w:rFonts w:ascii="Cambria" w:hAnsi="Cambria" w:cs="Calibri"/>
              </w:rPr>
              <w:t xml:space="preserve">Nastavnica </w:t>
            </w:r>
          </w:p>
        </w:tc>
        <w:tc>
          <w:tcPr>
            <w:tcW w:w="694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96E3873" w14:textId="2F2DCF0F" w:rsidR="00587D5D" w:rsidRPr="00A62FBD" w:rsidRDefault="00587D5D" w:rsidP="00587D5D">
            <w:pPr>
              <w:pStyle w:val="Bezproreda"/>
              <w:rPr>
                <w:rFonts w:ascii="Cambria" w:hAnsi="Cambria" w:cs="Calibri"/>
              </w:rPr>
            </w:pPr>
            <w:hyperlink r:id="rId101" w:history="1">
              <w:r w:rsidRPr="00587D5D">
                <w:rPr>
                  <w:rStyle w:val="Hiperveza"/>
                  <w:rFonts w:ascii="Cambria" w:hAnsi="Cambria" w:cs="Calibri"/>
                </w:rPr>
                <w:t xml:space="preserve">Doc. dr. sc. </w:t>
              </w:r>
              <w:proofErr w:type="spellStart"/>
              <w:r w:rsidRPr="00587D5D">
                <w:rPr>
                  <w:rStyle w:val="Hiperveza"/>
                  <w:rFonts w:ascii="Cambria" w:hAnsi="Cambria" w:cs="Calibri"/>
                </w:rPr>
                <w:t>Marlena</w:t>
              </w:r>
              <w:proofErr w:type="spellEnd"/>
              <w:r w:rsidRPr="00587D5D">
                <w:rPr>
                  <w:rStyle w:val="Hiperveza"/>
                  <w:rFonts w:ascii="Cambria" w:hAnsi="Cambria" w:cs="Calibri"/>
                </w:rPr>
                <w:t xml:space="preserve"> Plavšić</w:t>
              </w:r>
            </w:hyperlink>
            <w:r>
              <w:rPr>
                <w:rFonts w:ascii="Cambria" w:hAnsi="Cambria" w:cs="Calibri"/>
              </w:rPr>
              <w:t xml:space="preserve"> (nositeljica)</w:t>
            </w:r>
          </w:p>
        </w:tc>
      </w:tr>
      <w:tr w:rsidR="00587D5D" w:rsidRPr="00D0399C" w14:paraId="06409971" w14:textId="77777777" w:rsidTr="00587D5D">
        <w:trPr>
          <w:gridAfter w:val="1"/>
          <w:wAfter w:w="391" w:type="dxa"/>
        </w:trPr>
        <w:tc>
          <w:tcPr>
            <w:tcW w:w="268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C7F27A5" w14:textId="77777777" w:rsidR="00587D5D" w:rsidRPr="00A62FBD" w:rsidRDefault="00587D5D" w:rsidP="00587D5D">
            <w:pPr>
              <w:pStyle w:val="Bezproreda"/>
              <w:rPr>
                <w:rFonts w:ascii="Cambria" w:hAnsi="Cambria" w:cs="Calibri"/>
              </w:rPr>
            </w:pPr>
            <w:r w:rsidRPr="00A62FBD">
              <w:rPr>
                <w:rFonts w:ascii="Cambria" w:hAnsi="Cambria" w:cs="Calibri"/>
              </w:rPr>
              <w:t>Studijski program</w:t>
            </w:r>
          </w:p>
        </w:tc>
        <w:tc>
          <w:tcPr>
            <w:tcW w:w="694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520CC0A" w14:textId="2573D1AE" w:rsidR="00587D5D" w:rsidRPr="00A62FBD" w:rsidRDefault="00587D5D" w:rsidP="00587D5D">
            <w:pPr>
              <w:pStyle w:val="Bezproreda"/>
              <w:rPr>
                <w:rFonts w:ascii="Cambria" w:hAnsi="Cambria" w:cs="Calibri"/>
              </w:rPr>
            </w:pPr>
            <w:r w:rsidRPr="00A62FBD">
              <w:rPr>
                <w:rFonts w:ascii="Cambria" w:hAnsi="Cambria" w:cs="Calibri"/>
              </w:rPr>
              <w:t>Integrirani pr</w:t>
            </w:r>
            <w:r w:rsidR="004131DB">
              <w:rPr>
                <w:rFonts w:ascii="Cambria" w:hAnsi="Cambria" w:cs="Calibri"/>
              </w:rPr>
              <w:t>ije</w:t>
            </w:r>
            <w:r w:rsidRPr="00A62FBD">
              <w:rPr>
                <w:rFonts w:ascii="Cambria" w:hAnsi="Cambria" w:cs="Calibri"/>
              </w:rPr>
              <w:t xml:space="preserve">diplomski i diplomski sveučilišni </w:t>
            </w:r>
            <w:r w:rsidR="004131DB">
              <w:rPr>
                <w:rFonts w:ascii="Cambria" w:hAnsi="Cambria" w:cs="Calibri"/>
              </w:rPr>
              <w:t>U</w:t>
            </w:r>
            <w:r w:rsidRPr="00A62FBD">
              <w:rPr>
                <w:rFonts w:ascii="Cambria" w:hAnsi="Cambria" w:cs="Calibri"/>
              </w:rPr>
              <w:t>čiteljski studij</w:t>
            </w:r>
            <w:r>
              <w:rPr>
                <w:rFonts w:ascii="Cambria" w:hAnsi="Cambria" w:cs="Calibri"/>
              </w:rPr>
              <w:t xml:space="preserve"> s nastavom na hrvatskom jeziku</w:t>
            </w:r>
          </w:p>
        </w:tc>
      </w:tr>
      <w:tr w:rsidR="00587D5D" w:rsidRPr="00A62FBD" w14:paraId="315ABE42" w14:textId="77777777" w:rsidTr="00587D5D">
        <w:trPr>
          <w:gridAfter w:val="1"/>
          <w:wAfter w:w="391" w:type="dxa"/>
        </w:trPr>
        <w:tc>
          <w:tcPr>
            <w:tcW w:w="268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74B36A0" w14:textId="77777777" w:rsidR="00587D5D" w:rsidRPr="00A62FBD" w:rsidRDefault="00587D5D" w:rsidP="00587D5D">
            <w:pPr>
              <w:pStyle w:val="Bezproreda"/>
              <w:rPr>
                <w:rFonts w:ascii="Cambria" w:hAnsi="Cambria" w:cs="Calibri"/>
              </w:rPr>
            </w:pPr>
            <w:r w:rsidRPr="00A62FBD">
              <w:rPr>
                <w:rFonts w:ascii="Cambria" w:hAnsi="Cambria" w:cs="Calibri"/>
              </w:rPr>
              <w:t>Vrsta kolegija</w:t>
            </w:r>
          </w:p>
        </w:tc>
        <w:tc>
          <w:tcPr>
            <w:tcW w:w="222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B7B8945" w14:textId="77777777" w:rsidR="00587D5D" w:rsidRPr="00A62FBD" w:rsidRDefault="00587D5D" w:rsidP="00587D5D">
            <w:pPr>
              <w:pStyle w:val="Bezproreda"/>
              <w:rPr>
                <w:rFonts w:ascii="Cambria" w:hAnsi="Cambria" w:cs="Calibri"/>
              </w:rPr>
            </w:pPr>
            <w:r>
              <w:rPr>
                <w:rFonts w:ascii="Cambria" w:hAnsi="Cambria" w:cs="Calibri"/>
              </w:rPr>
              <w:t>izborni</w:t>
            </w:r>
          </w:p>
          <w:p w14:paraId="6D4DDA54" w14:textId="77777777" w:rsidR="00587D5D" w:rsidRPr="00A62FBD" w:rsidRDefault="00587D5D" w:rsidP="00587D5D">
            <w:pPr>
              <w:pStyle w:val="Bezproreda"/>
              <w:rPr>
                <w:rFonts w:ascii="Cambria" w:hAnsi="Cambria" w:cs="Calibri"/>
              </w:rPr>
            </w:pPr>
          </w:p>
        </w:tc>
        <w:tc>
          <w:tcPr>
            <w:tcW w:w="1416"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5EBDC68B" w14:textId="77777777" w:rsidR="00587D5D" w:rsidRPr="00A62FBD" w:rsidRDefault="00587D5D" w:rsidP="00587D5D">
            <w:pPr>
              <w:pStyle w:val="Bezproreda"/>
              <w:rPr>
                <w:rFonts w:ascii="Cambria" w:hAnsi="Cambria" w:cs="Calibri"/>
              </w:rPr>
            </w:pPr>
            <w:r w:rsidRPr="00A62FBD">
              <w:rPr>
                <w:rFonts w:ascii="Cambria" w:hAnsi="Cambria" w:cs="Calibri"/>
              </w:rPr>
              <w:t>Razina kolegija</w:t>
            </w:r>
          </w:p>
        </w:tc>
        <w:tc>
          <w:tcPr>
            <w:tcW w:w="3307"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176B06B" w14:textId="77777777" w:rsidR="00587D5D" w:rsidRPr="00A62FBD" w:rsidRDefault="00587D5D" w:rsidP="00587D5D">
            <w:pPr>
              <w:pStyle w:val="Bezproreda"/>
              <w:rPr>
                <w:rFonts w:ascii="Cambria" w:hAnsi="Cambria" w:cs="Calibri"/>
              </w:rPr>
            </w:pPr>
            <w:r>
              <w:rPr>
                <w:rFonts w:ascii="Cambria" w:hAnsi="Cambria" w:cs="Calibri"/>
              </w:rPr>
              <w:t>in</w:t>
            </w:r>
            <w:r w:rsidRPr="00A62FBD">
              <w:rPr>
                <w:rFonts w:ascii="Cambria" w:hAnsi="Cambria" w:cs="Calibri"/>
              </w:rPr>
              <w:t>tegrirani</w:t>
            </w:r>
          </w:p>
        </w:tc>
      </w:tr>
      <w:tr w:rsidR="00587D5D" w:rsidRPr="00A62FBD" w14:paraId="7B8D2253" w14:textId="77777777" w:rsidTr="00587D5D">
        <w:trPr>
          <w:gridAfter w:val="1"/>
          <w:wAfter w:w="391" w:type="dxa"/>
        </w:trPr>
        <w:tc>
          <w:tcPr>
            <w:tcW w:w="268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141A519" w14:textId="77777777" w:rsidR="00587D5D" w:rsidRPr="00A62FBD" w:rsidRDefault="00587D5D" w:rsidP="00587D5D">
            <w:pPr>
              <w:pStyle w:val="Bezproreda"/>
              <w:rPr>
                <w:rFonts w:ascii="Cambria" w:hAnsi="Cambria" w:cs="Calibri"/>
              </w:rPr>
            </w:pPr>
            <w:r w:rsidRPr="00A62FBD">
              <w:rPr>
                <w:rFonts w:ascii="Cambria" w:hAnsi="Cambria" w:cs="Calibri"/>
              </w:rPr>
              <w:t>Semestar</w:t>
            </w:r>
          </w:p>
        </w:tc>
        <w:tc>
          <w:tcPr>
            <w:tcW w:w="222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E676F9F" w14:textId="77777777" w:rsidR="00587D5D" w:rsidRPr="00A62FBD" w:rsidRDefault="00587D5D" w:rsidP="00587D5D">
            <w:pPr>
              <w:pStyle w:val="Bezproreda"/>
              <w:rPr>
                <w:rFonts w:ascii="Cambria" w:hAnsi="Cambria" w:cs="Calibri"/>
              </w:rPr>
            </w:pPr>
            <w:r>
              <w:rPr>
                <w:rFonts w:ascii="Cambria" w:hAnsi="Cambria" w:cs="Calibri"/>
              </w:rPr>
              <w:t>zimski</w:t>
            </w:r>
          </w:p>
        </w:tc>
        <w:tc>
          <w:tcPr>
            <w:tcW w:w="1416"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713201CC" w14:textId="77777777" w:rsidR="00587D5D" w:rsidRPr="00A62FBD" w:rsidRDefault="00587D5D" w:rsidP="00587D5D">
            <w:pPr>
              <w:pStyle w:val="Bezproreda"/>
              <w:rPr>
                <w:rFonts w:ascii="Cambria" w:hAnsi="Cambria" w:cs="Calibri"/>
              </w:rPr>
            </w:pPr>
            <w:r w:rsidRPr="00A62FBD">
              <w:rPr>
                <w:rFonts w:ascii="Cambria" w:hAnsi="Cambria" w:cs="Calibri"/>
              </w:rPr>
              <w:t>Godina studija</w:t>
            </w:r>
          </w:p>
        </w:tc>
        <w:tc>
          <w:tcPr>
            <w:tcW w:w="3307"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67BEF04" w14:textId="77777777" w:rsidR="00587D5D" w:rsidRPr="00A62FBD" w:rsidRDefault="00587D5D" w:rsidP="00587D5D">
            <w:pPr>
              <w:pStyle w:val="Bezproreda"/>
              <w:rPr>
                <w:rFonts w:ascii="Cambria" w:hAnsi="Cambria" w:cs="Calibri"/>
              </w:rPr>
            </w:pPr>
            <w:r w:rsidRPr="00A62FBD">
              <w:rPr>
                <w:rFonts w:ascii="Cambria" w:hAnsi="Cambria" w:cs="Calibri"/>
              </w:rPr>
              <w:t>III.</w:t>
            </w:r>
          </w:p>
        </w:tc>
      </w:tr>
      <w:tr w:rsidR="00587D5D" w:rsidRPr="00A62FBD" w14:paraId="05E0B3A6" w14:textId="77777777" w:rsidTr="00587D5D">
        <w:trPr>
          <w:gridAfter w:val="1"/>
          <w:wAfter w:w="391" w:type="dxa"/>
        </w:trPr>
        <w:tc>
          <w:tcPr>
            <w:tcW w:w="268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06ABAFE" w14:textId="77777777" w:rsidR="00587D5D" w:rsidRPr="00A62FBD" w:rsidRDefault="00587D5D" w:rsidP="00587D5D">
            <w:pPr>
              <w:pStyle w:val="Bezproreda"/>
              <w:rPr>
                <w:rFonts w:ascii="Cambria" w:hAnsi="Cambria" w:cs="Calibri"/>
              </w:rPr>
            </w:pPr>
            <w:proofErr w:type="spellStart"/>
            <w:r w:rsidRPr="00A62FBD">
              <w:rPr>
                <w:rFonts w:ascii="Cambria" w:hAnsi="Cambria" w:cs="Calibri"/>
                <w:lang w:val="en-US"/>
              </w:rPr>
              <w:t>Mjesto</w:t>
            </w:r>
            <w:proofErr w:type="spellEnd"/>
            <w:r w:rsidRPr="00A62FBD">
              <w:rPr>
                <w:rFonts w:ascii="Cambria" w:hAnsi="Cambria" w:cs="Calibri"/>
                <w:lang w:val="en-US"/>
              </w:rPr>
              <w:t xml:space="preserve"> </w:t>
            </w:r>
            <w:proofErr w:type="spellStart"/>
            <w:r w:rsidRPr="00A62FBD">
              <w:rPr>
                <w:rFonts w:ascii="Cambria" w:hAnsi="Cambria" w:cs="Calibri"/>
                <w:lang w:val="en-US"/>
              </w:rPr>
              <w:t>izvođenja</w:t>
            </w:r>
            <w:proofErr w:type="spellEnd"/>
          </w:p>
        </w:tc>
        <w:tc>
          <w:tcPr>
            <w:tcW w:w="222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9949164" w14:textId="3264DA5F" w:rsidR="00587D5D" w:rsidRPr="00A62FBD" w:rsidRDefault="004131DB" w:rsidP="00587D5D">
            <w:pPr>
              <w:pStyle w:val="Bezproreda"/>
              <w:rPr>
                <w:rFonts w:ascii="Cambria" w:hAnsi="Cambria" w:cs="Calibri"/>
              </w:rPr>
            </w:pPr>
            <w:r>
              <w:rPr>
                <w:rFonts w:ascii="Cambria" w:hAnsi="Cambria" w:cs="Calibri"/>
              </w:rPr>
              <w:t>učionica</w:t>
            </w:r>
          </w:p>
        </w:tc>
        <w:tc>
          <w:tcPr>
            <w:tcW w:w="1416"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639A918D" w14:textId="77777777" w:rsidR="00587D5D" w:rsidRPr="00A62FBD" w:rsidRDefault="00587D5D" w:rsidP="00587D5D">
            <w:pPr>
              <w:pStyle w:val="Bezproreda"/>
              <w:rPr>
                <w:rFonts w:ascii="Cambria" w:hAnsi="Cambria" w:cs="Calibri"/>
              </w:rPr>
            </w:pPr>
            <w:r w:rsidRPr="00A62FBD">
              <w:rPr>
                <w:rFonts w:ascii="Cambria" w:hAnsi="Cambria" w:cs="Calibri"/>
                <w:lang w:val="en-US"/>
              </w:rPr>
              <w:t>Jezik</w:t>
            </w:r>
            <w:r w:rsidRPr="00A62FBD">
              <w:rPr>
                <w:rFonts w:ascii="Cambria" w:hAnsi="Cambria" w:cs="Calibri"/>
              </w:rPr>
              <w:t xml:space="preserve"> izvođenja</w:t>
            </w:r>
          </w:p>
        </w:tc>
        <w:tc>
          <w:tcPr>
            <w:tcW w:w="3307"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BCEC177" w14:textId="77777777" w:rsidR="00587D5D" w:rsidRPr="00A62FBD" w:rsidRDefault="00587D5D" w:rsidP="00587D5D">
            <w:pPr>
              <w:pStyle w:val="Bezproreda"/>
              <w:rPr>
                <w:rFonts w:ascii="Cambria" w:hAnsi="Cambria" w:cs="Calibri"/>
              </w:rPr>
            </w:pPr>
            <w:r w:rsidRPr="00A62FBD">
              <w:rPr>
                <w:rFonts w:ascii="Cambria" w:hAnsi="Cambria" w:cs="Calibri"/>
              </w:rPr>
              <w:t>hrvatski</w:t>
            </w:r>
          </w:p>
        </w:tc>
      </w:tr>
      <w:tr w:rsidR="00587D5D" w:rsidRPr="00A62FBD" w14:paraId="7858E62A" w14:textId="77777777" w:rsidTr="00587D5D">
        <w:trPr>
          <w:gridAfter w:val="1"/>
          <w:wAfter w:w="391" w:type="dxa"/>
        </w:trPr>
        <w:tc>
          <w:tcPr>
            <w:tcW w:w="268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8588A60" w14:textId="77777777" w:rsidR="00587D5D" w:rsidRPr="00A62FBD" w:rsidRDefault="00587D5D" w:rsidP="00587D5D">
            <w:pPr>
              <w:pStyle w:val="Bezproreda"/>
              <w:rPr>
                <w:rFonts w:ascii="Cambria" w:hAnsi="Cambria" w:cs="Calibri"/>
              </w:rPr>
            </w:pPr>
            <w:r w:rsidRPr="00A62FBD">
              <w:rPr>
                <w:rFonts w:ascii="Cambria" w:hAnsi="Cambria" w:cs="Calibri"/>
              </w:rPr>
              <w:t>Broj ECTS bodova</w:t>
            </w:r>
          </w:p>
        </w:tc>
        <w:tc>
          <w:tcPr>
            <w:tcW w:w="222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7C138A7" w14:textId="77777777" w:rsidR="00587D5D" w:rsidRPr="00A62FBD" w:rsidRDefault="00587D5D" w:rsidP="00587D5D">
            <w:pPr>
              <w:pStyle w:val="Bezproreda"/>
              <w:rPr>
                <w:rFonts w:ascii="Cambria" w:hAnsi="Cambria" w:cs="Calibri"/>
              </w:rPr>
            </w:pPr>
            <w:r w:rsidRPr="00A62FBD">
              <w:rPr>
                <w:rFonts w:ascii="Cambria" w:hAnsi="Cambria" w:cs="Calibri"/>
              </w:rPr>
              <w:t>3</w:t>
            </w:r>
          </w:p>
        </w:tc>
        <w:tc>
          <w:tcPr>
            <w:tcW w:w="1416"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6AA725D9" w14:textId="77777777" w:rsidR="00587D5D" w:rsidRPr="00A62FBD" w:rsidRDefault="00587D5D" w:rsidP="00587D5D">
            <w:pPr>
              <w:pStyle w:val="Bezproreda"/>
              <w:rPr>
                <w:rFonts w:ascii="Cambria" w:hAnsi="Cambria" w:cs="Calibri"/>
              </w:rPr>
            </w:pPr>
            <w:r w:rsidRPr="00A62FBD">
              <w:rPr>
                <w:rFonts w:ascii="Cambria" w:hAnsi="Cambria" w:cs="Calibri"/>
              </w:rPr>
              <w:t>Broj sati u semestru</w:t>
            </w:r>
          </w:p>
        </w:tc>
        <w:tc>
          <w:tcPr>
            <w:tcW w:w="3307"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963E51A" w14:textId="036F9F4E" w:rsidR="00587D5D" w:rsidRPr="00A62FBD" w:rsidRDefault="00587D5D" w:rsidP="00587D5D">
            <w:pPr>
              <w:pStyle w:val="Bezproreda"/>
              <w:rPr>
                <w:rFonts w:ascii="Cambria" w:hAnsi="Cambria" w:cs="Calibri"/>
              </w:rPr>
            </w:pPr>
            <w:r w:rsidRPr="00A62FBD">
              <w:rPr>
                <w:rFonts w:ascii="Cambria" w:hAnsi="Cambria" w:cs="Calibri"/>
              </w:rPr>
              <w:t xml:space="preserve">15P – </w:t>
            </w:r>
            <w:r w:rsidR="004131DB">
              <w:rPr>
                <w:rFonts w:ascii="Cambria" w:hAnsi="Cambria" w:cs="Calibri"/>
              </w:rPr>
              <w:t>0S</w:t>
            </w:r>
            <w:r w:rsidRPr="00A62FBD">
              <w:rPr>
                <w:rFonts w:ascii="Cambria" w:hAnsi="Cambria" w:cs="Calibri"/>
              </w:rPr>
              <w:t xml:space="preserve"> – </w:t>
            </w:r>
            <w:r w:rsidR="004131DB">
              <w:rPr>
                <w:rFonts w:ascii="Cambria" w:hAnsi="Cambria" w:cs="Calibri"/>
              </w:rPr>
              <w:t>15V</w:t>
            </w:r>
            <w:r w:rsidRPr="00A62FBD">
              <w:rPr>
                <w:rFonts w:ascii="Cambria" w:hAnsi="Cambria" w:cs="Calibri"/>
              </w:rPr>
              <w:t xml:space="preserve">   </w:t>
            </w:r>
          </w:p>
        </w:tc>
      </w:tr>
      <w:tr w:rsidR="00587D5D" w:rsidRPr="00A62FBD" w14:paraId="66928985" w14:textId="77777777" w:rsidTr="00587D5D">
        <w:trPr>
          <w:gridAfter w:val="1"/>
          <w:wAfter w:w="391" w:type="dxa"/>
        </w:trPr>
        <w:tc>
          <w:tcPr>
            <w:tcW w:w="268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582E3A7" w14:textId="77777777" w:rsidR="00587D5D" w:rsidRPr="00A62FBD" w:rsidRDefault="00587D5D" w:rsidP="00587D5D">
            <w:pPr>
              <w:pStyle w:val="Bezproreda"/>
              <w:rPr>
                <w:rFonts w:ascii="Cambria" w:hAnsi="Cambria" w:cs="Calibri"/>
              </w:rPr>
            </w:pPr>
            <w:r w:rsidRPr="00A62FBD">
              <w:rPr>
                <w:rFonts w:ascii="Cambria" w:hAnsi="Cambria" w:cs="Calibri"/>
              </w:rPr>
              <w:t>Preduvjeti za upis i za svladavanje</w:t>
            </w:r>
          </w:p>
        </w:tc>
        <w:tc>
          <w:tcPr>
            <w:tcW w:w="694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9644407" w14:textId="77777777" w:rsidR="00587D5D" w:rsidRPr="00A62FBD" w:rsidRDefault="00587D5D" w:rsidP="00587D5D">
            <w:pPr>
              <w:pStyle w:val="Bezproreda"/>
              <w:rPr>
                <w:rFonts w:ascii="Cambria" w:hAnsi="Cambria" w:cs="Calibri"/>
              </w:rPr>
            </w:pPr>
            <w:r>
              <w:rPr>
                <w:rFonts w:ascii="Cambria" w:hAnsi="Cambria" w:cs="Calibri"/>
              </w:rPr>
              <w:t>Ne</w:t>
            </w:r>
            <w:r w:rsidRPr="00A62FBD">
              <w:rPr>
                <w:rFonts w:ascii="Cambria" w:hAnsi="Cambria" w:cs="Calibri"/>
              </w:rPr>
              <w:t>ma preduvjeta za upis</w:t>
            </w:r>
          </w:p>
        </w:tc>
      </w:tr>
      <w:tr w:rsidR="00587D5D" w:rsidRPr="00D0399C" w14:paraId="505A51E4" w14:textId="77777777" w:rsidTr="00587D5D">
        <w:trPr>
          <w:gridAfter w:val="1"/>
          <w:wAfter w:w="391" w:type="dxa"/>
        </w:trPr>
        <w:tc>
          <w:tcPr>
            <w:tcW w:w="268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EB2B060" w14:textId="77777777" w:rsidR="00587D5D" w:rsidRPr="00A62FBD" w:rsidRDefault="00587D5D" w:rsidP="00587D5D">
            <w:pPr>
              <w:pStyle w:val="Bezproreda"/>
              <w:rPr>
                <w:rFonts w:ascii="Cambria" w:hAnsi="Cambria" w:cs="Calibri"/>
              </w:rPr>
            </w:pPr>
            <w:proofErr w:type="spellStart"/>
            <w:r w:rsidRPr="00A62FBD">
              <w:rPr>
                <w:rFonts w:ascii="Cambria" w:hAnsi="Cambria" w:cs="Calibri"/>
                <w:lang w:val="en-US"/>
              </w:rPr>
              <w:t>Korelativnost</w:t>
            </w:r>
            <w:proofErr w:type="spellEnd"/>
          </w:p>
        </w:tc>
        <w:tc>
          <w:tcPr>
            <w:tcW w:w="694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8250C6B" w14:textId="77777777" w:rsidR="00587D5D" w:rsidRPr="00587D5D" w:rsidRDefault="00587D5D" w:rsidP="00587D5D">
            <w:pPr>
              <w:autoSpaceDE w:val="0"/>
              <w:autoSpaceDN w:val="0"/>
              <w:adjustRightInd w:val="0"/>
              <w:rPr>
                <w:rFonts w:ascii="Cambria" w:hAnsi="Cambria" w:cs="Calibri"/>
                <w:lang w:val="hr-HR"/>
              </w:rPr>
            </w:pPr>
            <w:r w:rsidRPr="00587D5D">
              <w:rPr>
                <w:rFonts w:ascii="Cambria" w:hAnsi="Cambria" w:cs="Calibri"/>
                <w:lang w:val="hr-HR"/>
              </w:rPr>
              <w:t xml:space="preserve">Osnove informatike, Akademska komunikacija, Upotreba </w:t>
            </w:r>
            <w:proofErr w:type="spellStart"/>
            <w:r w:rsidRPr="00587D5D">
              <w:rPr>
                <w:rFonts w:ascii="Cambria" w:hAnsi="Cambria" w:cs="Calibri"/>
                <w:lang w:val="hr-HR"/>
              </w:rPr>
              <w:t>ICTa</w:t>
            </w:r>
            <w:proofErr w:type="spellEnd"/>
            <w:r w:rsidRPr="00587D5D">
              <w:rPr>
                <w:rFonts w:ascii="Cambria" w:hAnsi="Cambria" w:cs="Calibri"/>
                <w:lang w:val="hr-HR"/>
              </w:rPr>
              <w:t xml:space="preserve"> u odgoju i obrazovanju</w:t>
            </w:r>
          </w:p>
        </w:tc>
      </w:tr>
      <w:tr w:rsidR="00587D5D" w:rsidRPr="00D0399C" w14:paraId="6D40D910" w14:textId="77777777" w:rsidTr="00587D5D">
        <w:trPr>
          <w:gridAfter w:val="1"/>
          <w:wAfter w:w="391" w:type="dxa"/>
        </w:trPr>
        <w:tc>
          <w:tcPr>
            <w:tcW w:w="268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4047CAF" w14:textId="77777777" w:rsidR="00587D5D" w:rsidRPr="00A62FBD" w:rsidRDefault="00587D5D" w:rsidP="00587D5D">
            <w:pPr>
              <w:pStyle w:val="Bezproreda"/>
              <w:rPr>
                <w:rFonts w:ascii="Cambria" w:hAnsi="Cambria" w:cs="Calibri"/>
              </w:rPr>
            </w:pPr>
            <w:r w:rsidRPr="00A62FBD">
              <w:rPr>
                <w:rFonts w:ascii="Cambria" w:hAnsi="Cambria" w:cs="Calibri"/>
              </w:rPr>
              <w:t xml:space="preserve">Cilj kolegija </w:t>
            </w:r>
          </w:p>
        </w:tc>
        <w:tc>
          <w:tcPr>
            <w:tcW w:w="694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B300BC9" w14:textId="4E9B4168" w:rsidR="00587D5D" w:rsidRPr="00587D5D" w:rsidRDefault="004131DB" w:rsidP="00587D5D">
            <w:pPr>
              <w:autoSpaceDE w:val="0"/>
              <w:autoSpaceDN w:val="0"/>
              <w:adjustRightInd w:val="0"/>
              <w:rPr>
                <w:rFonts w:ascii="Cambria" w:hAnsi="Cambria" w:cs="Calibri"/>
                <w:lang w:val="hr-HR"/>
              </w:rPr>
            </w:pPr>
            <w:r>
              <w:rPr>
                <w:rFonts w:ascii="Cambria" w:hAnsi="Cambria" w:cs="Calibri"/>
                <w:lang w:val="hr-HR"/>
              </w:rPr>
              <w:t>u</w:t>
            </w:r>
            <w:r w:rsidR="00587D5D" w:rsidRPr="00587D5D">
              <w:rPr>
                <w:rFonts w:ascii="Cambria" w:hAnsi="Cambria" w:cs="Calibri"/>
                <w:lang w:val="hr-HR"/>
              </w:rPr>
              <w:t>svojiti znanja i prakse vezane uz rad na projektima u obrazovanju</w:t>
            </w:r>
          </w:p>
        </w:tc>
      </w:tr>
      <w:tr w:rsidR="00587D5D" w:rsidRPr="00D0399C" w14:paraId="539DE155" w14:textId="77777777" w:rsidTr="00587D5D">
        <w:trPr>
          <w:gridAfter w:val="1"/>
          <w:wAfter w:w="391" w:type="dxa"/>
        </w:trPr>
        <w:tc>
          <w:tcPr>
            <w:tcW w:w="268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BD419BF" w14:textId="77777777" w:rsidR="00587D5D" w:rsidRPr="00A62FBD" w:rsidRDefault="00587D5D" w:rsidP="00587D5D">
            <w:pPr>
              <w:pStyle w:val="Bezproreda"/>
              <w:rPr>
                <w:rFonts w:ascii="Cambria" w:hAnsi="Cambria" w:cs="Calibri"/>
              </w:rPr>
            </w:pPr>
            <w:r w:rsidRPr="00A62FBD">
              <w:rPr>
                <w:rFonts w:ascii="Cambria" w:hAnsi="Cambria" w:cs="Calibri"/>
              </w:rPr>
              <w:t>Ishodi učenja</w:t>
            </w:r>
          </w:p>
        </w:tc>
        <w:tc>
          <w:tcPr>
            <w:tcW w:w="694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2EC939F" w14:textId="77777777" w:rsidR="00587D5D" w:rsidRPr="00F408CA" w:rsidRDefault="00587D5D" w:rsidP="00A034E3">
            <w:pPr>
              <w:pStyle w:val="Bezproreda"/>
              <w:numPr>
                <w:ilvl w:val="0"/>
                <w:numId w:val="98"/>
              </w:numPr>
              <w:rPr>
                <w:rFonts w:ascii="Cambria" w:hAnsi="Cambria" w:cs="Calibri"/>
              </w:rPr>
            </w:pPr>
            <w:r>
              <w:rPr>
                <w:rFonts w:ascii="Cambria" w:hAnsi="Cambria" w:cs="Calibri"/>
              </w:rPr>
              <w:t xml:space="preserve">analizirati obrazovni proces, s ciljem uočavanja nedostataka te pružanja prijedloga za poboljšanje istog kroz izradu </w:t>
            </w:r>
            <w:r w:rsidRPr="00F408CA">
              <w:rPr>
                <w:rFonts w:ascii="Cambria" w:hAnsi="Cambria" w:cs="Calibri"/>
              </w:rPr>
              <w:t>idejn</w:t>
            </w:r>
            <w:r>
              <w:rPr>
                <w:rFonts w:ascii="Cambria" w:hAnsi="Cambria" w:cs="Calibri"/>
              </w:rPr>
              <w:t>og</w:t>
            </w:r>
            <w:r w:rsidRPr="00F408CA">
              <w:rPr>
                <w:rFonts w:ascii="Cambria" w:hAnsi="Cambria" w:cs="Calibri"/>
              </w:rPr>
              <w:t xml:space="preserve"> plan</w:t>
            </w:r>
            <w:r>
              <w:rPr>
                <w:rFonts w:ascii="Cambria" w:hAnsi="Cambria" w:cs="Calibri"/>
              </w:rPr>
              <w:t>a</w:t>
            </w:r>
            <w:r w:rsidRPr="00F408CA">
              <w:rPr>
                <w:rFonts w:ascii="Cambria" w:hAnsi="Cambria" w:cs="Calibri"/>
              </w:rPr>
              <w:t xml:space="preserve"> projektnog prijedloga</w:t>
            </w:r>
          </w:p>
          <w:p w14:paraId="08E80F82" w14:textId="1758087C" w:rsidR="00587D5D" w:rsidRDefault="004131DB" w:rsidP="00A034E3">
            <w:pPr>
              <w:pStyle w:val="Bezproreda"/>
              <w:numPr>
                <w:ilvl w:val="0"/>
                <w:numId w:val="98"/>
              </w:numPr>
              <w:autoSpaceDE w:val="0"/>
              <w:autoSpaceDN w:val="0"/>
              <w:adjustRightInd w:val="0"/>
              <w:rPr>
                <w:rFonts w:ascii="Cambria" w:hAnsi="Cambria" w:cs="Calibri"/>
              </w:rPr>
            </w:pPr>
            <w:r>
              <w:rPr>
                <w:rFonts w:ascii="Cambria" w:hAnsi="Cambria" w:cs="Calibri"/>
              </w:rPr>
              <w:t>primijeniti alate</w:t>
            </w:r>
            <w:r w:rsidR="00587D5D">
              <w:rPr>
                <w:rFonts w:ascii="Cambria" w:hAnsi="Cambria" w:cs="Calibri"/>
              </w:rPr>
              <w:t xml:space="preserve"> za izradu (kako samostalno, tako i grupno) projektne prijave</w:t>
            </w:r>
          </w:p>
          <w:p w14:paraId="49A7B269" w14:textId="5F8FBC1F" w:rsidR="00587D5D" w:rsidRDefault="004131DB" w:rsidP="00A034E3">
            <w:pPr>
              <w:pStyle w:val="Bezproreda"/>
              <w:numPr>
                <w:ilvl w:val="0"/>
                <w:numId w:val="98"/>
              </w:numPr>
              <w:autoSpaceDE w:val="0"/>
              <w:autoSpaceDN w:val="0"/>
              <w:adjustRightInd w:val="0"/>
              <w:rPr>
                <w:rFonts w:ascii="Cambria" w:hAnsi="Cambria" w:cs="Calibri"/>
              </w:rPr>
            </w:pPr>
            <w:r>
              <w:rPr>
                <w:rFonts w:ascii="Cambria" w:hAnsi="Cambria" w:cs="Calibri"/>
              </w:rPr>
              <w:t>analizirati</w:t>
            </w:r>
            <w:r w:rsidR="00587D5D">
              <w:rPr>
                <w:rFonts w:ascii="Cambria" w:hAnsi="Cambria" w:cs="Calibri"/>
              </w:rPr>
              <w:t xml:space="preserve"> metodologiju procesa projekta</w:t>
            </w:r>
          </w:p>
          <w:p w14:paraId="2576A4D2" w14:textId="608BED83" w:rsidR="00587D5D" w:rsidRPr="004131DB" w:rsidRDefault="004131DB" w:rsidP="00A034E3">
            <w:pPr>
              <w:pStyle w:val="Bezproreda"/>
              <w:numPr>
                <w:ilvl w:val="0"/>
                <w:numId w:val="98"/>
              </w:numPr>
              <w:autoSpaceDE w:val="0"/>
              <w:autoSpaceDN w:val="0"/>
              <w:adjustRightInd w:val="0"/>
              <w:rPr>
                <w:rFonts w:ascii="Cambria" w:hAnsi="Cambria" w:cs="Calibri"/>
              </w:rPr>
            </w:pPr>
            <w:r>
              <w:rPr>
                <w:rFonts w:ascii="Cambria" w:hAnsi="Cambria" w:cs="Calibri"/>
              </w:rPr>
              <w:t>primijeniti</w:t>
            </w:r>
            <w:r w:rsidR="00587D5D">
              <w:rPr>
                <w:rFonts w:ascii="Cambria" w:hAnsi="Cambria" w:cs="Calibri"/>
              </w:rPr>
              <w:t xml:space="preserve"> vještine nužne za vođenje i sudjelovanje u projektima u obrazovanju</w:t>
            </w:r>
          </w:p>
        </w:tc>
      </w:tr>
      <w:tr w:rsidR="00587D5D" w:rsidRPr="00D0399C" w14:paraId="37539A39" w14:textId="77777777" w:rsidTr="00587D5D">
        <w:tc>
          <w:tcPr>
            <w:tcW w:w="2684"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6ADA59EF" w14:textId="77777777" w:rsidR="00587D5D" w:rsidRPr="00A62FBD" w:rsidRDefault="00587D5D" w:rsidP="00587D5D">
            <w:pPr>
              <w:pStyle w:val="Bezproreda"/>
              <w:rPr>
                <w:rFonts w:ascii="Cambria" w:hAnsi="Cambria" w:cs="Calibri"/>
              </w:rPr>
            </w:pPr>
            <w:r w:rsidRPr="00A62FBD">
              <w:rPr>
                <w:rFonts w:ascii="Cambria" w:hAnsi="Cambria" w:cs="Calibri"/>
              </w:rPr>
              <w:t>Sadržaj kolegija</w:t>
            </w:r>
          </w:p>
        </w:tc>
        <w:tc>
          <w:tcPr>
            <w:tcW w:w="6945"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5B920C8" w14:textId="77777777" w:rsidR="00587D5D" w:rsidRDefault="00587D5D" w:rsidP="00A034E3">
            <w:pPr>
              <w:pStyle w:val="Odlomakpopisa"/>
              <w:numPr>
                <w:ilvl w:val="0"/>
                <w:numId w:val="99"/>
              </w:numPr>
              <w:autoSpaceDE w:val="0"/>
              <w:autoSpaceDN w:val="0"/>
              <w:adjustRightInd w:val="0"/>
              <w:rPr>
                <w:rFonts w:ascii="Cambria" w:hAnsi="Cambria" w:cs="Calibri"/>
              </w:rPr>
            </w:pPr>
            <w:r>
              <w:rPr>
                <w:rFonts w:ascii="Cambria" w:hAnsi="Cambria" w:cs="Calibri"/>
              </w:rPr>
              <w:t>uloga projekata u  obrazovanju</w:t>
            </w:r>
          </w:p>
          <w:p w14:paraId="3A2B7558" w14:textId="77777777" w:rsidR="00587D5D" w:rsidRDefault="00587D5D" w:rsidP="00A034E3">
            <w:pPr>
              <w:pStyle w:val="Odlomakpopisa"/>
              <w:numPr>
                <w:ilvl w:val="0"/>
                <w:numId w:val="99"/>
              </w:numPr>
              <w:autoSpaceDE w:val="0"/>
              <w:autoSpaceDN w:val="0"/>
              <w:adjustRightInd w:val="0"/>
              <w:rPr>
                <w:rFonts w:ascii="Cambria" w:hAnsi="Cambria" w:cs="Calibri"/>
              </w:rPr>
            </w:pPr>
            <w:r>
              <w:rPr>
                <w:rFonts w:ascii="Cambria" w:hAnsi="Cambria" w:cs="Calibri"/>
              </w:rPr>
              <w:t>vrste projekata u obrazovanju i osnove upravljanja projektom</w:t>
            </w:r>
          </w:p>
          <w:p w14:paraId="30417EE5" w14:textId="77777777" w:rsidR="00587D5D" w:rsidRDefault="00587D5D" w:rsidP="00A034E3">
            <w:pPr>
              <w:pStyle w:val="Odlomakpopisa"/>
              <w:numPr>
                <w:ilvl w:val="0"/>
                <w:numId w:val="99"/>
              </w:numPr>
              <w:autoSpaceDE w:val="0"/>
              <w:autoSpaceDN w:val="0"/>
              <w:adjustRightInd w:val="0"/>
              <w:rPr>
                <w:rFonts w:ascii="Cambria" w:hAnsi="Cambria" w:cs="Calibri"/>
              </w:rPr>
            </w:pPr>
            <w:r>
              <w:rPr>
                <w:rFonts w:ascii="Cambria" w:hAnsi="Cambria" w:cs="Calibri"/>
              </w:rPr>
              <w:t>planiranje i priprema projekta</w:t>
            </w:r>
          </w:p>
          <w:p w14:paraId="5BADED6F" w14:textId="77777777" w:rsidR="00587D5D" w:rsidRDefault="00587D5D" w:rsidP="00A034E3">
            <w:pPr>
              <w:pStyle w:val="Odlomakpopisa"/>
              <w:numPr>
                <w:ilvl w:val="0"/>
                <w:numId w:val="99"/>
              </w:numPr>
              <w:autoSpaceDE w:val="0"/>
              <w:autoSpaceDN w:val="0"/>
              <w:adjustRightInd w:val="0"/>
              <w:rPr>
                <w:rFonts w:ascii="Cambria" w:hAnsi="Cambria" w:cs="Calibri"/>
              </w:rPr>
            </w:pPr>
            <w:r>
              <w:rPr>
                <w:rFonts w:ascii="Cambria" w:hAnsi="Cambria" w:cs="Calibri"/>
              </w:rPr>
              <w:t>postupak prijave projekta</w:t>
            </w:r>
          </w:p>
          <w:p w14:paraId="3A7A97C9" w14:textId="77777777" w:rsidR="00587D5D" w:rsidRDefault="00587D5D" w:rsidP="00A034E3">
            <w:pPr>
              <w:pStyle w:val="Odlomakpopisa"/>
              <w:numPr>
                <w:ilvl w:val="0"/>
                <w:numId w:val="99"/>
              </w:numPr>
              <w:autoSpaceDE w:val="0"/>
              <w:autoSpaceDN w:val="0"/>
              <w:adjustRightInd w:val="0"/>
              <w:rPr>
                <w:rFonts w:ascii="Cambria" w:hAnsi="Cambria" w:cs="Calibri"/>
              </w:rPr>
            </w:pPr>
            <w:r>
              <w:rPr>
                <w:rFonts w:ascii="Cambria" w:hAnsi="Cambria" w:cs="Calibri"/>
              </w:rPr>
              <w:t xml:space="preserve">institucije </w:t>
            </w:r>
            <w:proofErr w:type="spellStart"/>
            <w:r>
              <w:rPr>
                <w:rFonts w:ascii="Cambria" w:hAnsi="Cambria" w:cs="Calibri"/>
              </w:rPr>
              <w:t>pružateljice</w:t>
            </w:r>
            <w:proofErr w:type="spellEnd"/>
            <w:r>
              <w:rPr>
                <w:rFonts w:ascii="Cambria" w:hAnsi="Cambria" w:cs="Calibri"/>
              </w:rPr>
              <w:t xml:space="preserve"> pomoći</w:t>
            </w:r>
            <w:r w:rsidRPr="003B4F14">
              <w:rPr>
                <w:rFonts w:ascii="Cambria" w:hAnsi="Cambria" w:cs="Calibri"/>
              </w:rPr>
              <w:t xml:space="preserve"> pri uspostavi i provođenju projekata</w:t>
            </w:r>
          </w:p>
          <w:p w14:paraId="0C1DD968" w14:textId="77777777" w:rsidR="00587D5D" w:rsidRDefault="00587D5D" w:rsidP="00A034E3">
            <w:pPr>
              <w:pStyle w:val="Odlomakpopisa"/>
              <w:numPr>
                <w:ilvl w:val="0"/>
                <w:numId w:val="99"/>
              </w:numPr>
              <w:autoSpaceDE w:val="0"/>
              <w:autoSpaceDN w:val="0"/>
              <w:adjustRightInd w:val="0"/>
              <w:rPr>
                <w:rFonts w:ascii="Cambria" w:hAnsi="Cambria" w:cs="Calibri"/>
              </w:rPr>
            </w:pPr>
            <w:r>
              <w:rPr>
                <w:rFonts w:ascii="Cambria" w:hAnsi="Cambria" w:cs="Calibri"/>
              </w:rPr>
              <w:t>faze projekta i njihove odlike</w:t>
            </w:r>
          </w:p>
          <w:p w14:paraId="702A2705" w14:textId="77777777" w:rsidR="00587D5D" w:rsidRPr="003B4F14" w:rsidRDefault="00587D5D" w:rsidP="00A034E3">
            <w:pPr>
              <w:pStyle w:val="Odlomakpopisa"/>
              <w:numPr>
                <w:ilvl w:val="0"/>
                <w:numId w:val="99"/>
              </w:numPr>
              <w:autoSpaceDE w:val="0"/>
              <w:autoSpaceDN w:val="0"/>
              <w:adjustRightInd w:val="0"/>
              <w:rPr>
                <w:rFonts w:ascii="Cambria" w:hAnsi="Cambria" w:cs="Calibri"/>
              </w:rPr>
            </w:pPr>
            <w:r>
              <w:rPr>
                <w:rFonts w:ascii="Cambria" w:hAnsi="Cambria" w:cs="Calibri"/>
              </w:rPr>
              <w:t>akademska i poslovna pismenost</w:t>
            </w:r>
          </w:p>
          <w:p w14:paraId="1C27EC85" w14:textId="77777777" w:rsidR="00587D5D" w:rsidRPr="001D70C4" w:rsidRDefault="00587D5D" w:rsidP="00A034E3">
            <w:pPr>
              <w:pStyle w:val="Odlomakpopisa"/>
              <w:numPr>
                <w:ilvl w:val="0"/>
                <w:numId w:val="99"/>
              </w:numPr>
              <w:autoSpaceDE w:val="0"/>
              <w:autoSpaceDN w:val="0"/>
              <w:adjustRightInd w:val="0"/>
              <w:rPr>
                <w:rFonts w:ascii="Cambria" w:hAnsi="Cambria" w:cs="Calibri"/>
              </w:rPr>
            </w:pPr>
            <w:r>
              <w:rPr>
                <w:rFonts w:ascii="Cambria" w:hAnsi="Cambria" w:cs="Calibri"/>
              </w:rPr>
              <w:t>potrebna informatička znanja</w:t>
            </w:r>
          </w:p>
          <w:p w14:paraId="42A96DFA" w14:textId="77777777" w:rsidR="00587D5D" w:rsidRDefault="00587D5D" w:rsidP="00A034E3">
            <w:pPr>
              <w:pStyle w:val="Odlomakpopisa"/>
              <w:numPr>
                <w:ilvl w:val="0"/>
                <w:numId w:val="99"/>
              </w:numPr>
              <w:autoSpaceDE w:val="0"/>
              <w:autoSpaceDN w:val="0"/>
              <w:adjustRightInd w:val="0"/>
              <w:rPr>
                <w:rFonts w:ascii="Cambria" w:hAnsi="Cambria" w:cs="Calibri"/>
              </w:rPr>
            </w:pPr>
            <w:r>
              <w:rPr>
                <w:rFonts w:ascii="Cambria" w:hAnsi="Cambria" w:cs="Calibri"/>
              </w:rPr>
              <w:t>uloga voditelja projekta</w:t>
            </w:r>
          </w:p>
          <w:p w14:paraId="78ECEA7B" w14:textId="77777777" w:rsidR="00587D5D" w:rsidRDefault="00587D5D" w:rsidP="00A034E3">
            <w:pPr>
              <w:pStyle w:val="Odlomakpopisa"/>
              <w:numPr>
                <w:ilvl w:val="0"/>
                <w:numId w:val="99"/>
              </w:numPr>
              <w:autoSpaceDE w:val="0"/>
              <w:autoSpaceDN w:val="0"/>
              <w:adjustRightInd w:val="0"/>
              <w:rPr>
                <w:rFonts w:ascii="Cambria" w:hAnsi="Cambria" w:cs="Calibri"/>
              </w:rPr>
            </w:pPr>
            <w:r>
              <w:rPr>
                <w:rFonts w:ascii="Cambria" w:hAnsi="Cambria" w:cs="Calibri"/>
              </w:rPr>
              <w:t>izgradnja i održavanje učinkovitog tima</w:t>
            </w:r>
          </w:p>
          <w:p w14:paraId="33EC68A5" w14:textId="77777777" w:rsidR="00587D5D" w:rsidRDefault="00587D5D" w:rsidP="00A034E3">
            <w:pPr>
              <w:pStyle w:val="Odlomakpopisa"/>
              <w:numPr>
                <w:ilvl w:val="0"/>
                <w:numId w:val="99"/>
              </w:numPr>
              <w:autoSpaceDE w:val="0"/>
              <w:autoSpaceDN w:val="0"/>
              <w:adjustRightInd w:val="0"/>
              <w:rPr>
                <w:rFonts w:ascii="Cambria" w:hAnsi="Cambria" w:cs="Calibri"/>
              </w:rPr>
            </w:pPr>
            <w:r w:rsidRPr="00DE6FE6">
              <w:rPr>
                <w:rFonts w:ascii="Cambria" w:hAnsi="Cambria" w:cs="Calibri"/>
              </w:rPr>
              <w:t xml:space="preserve">provedba projekta </w:t>
            </w:r>
          </w:p>
          <w:p w14:paraId="0F775471" w14:textId="77777777" w:rsidR="00587D5D" w:rsidRPr="00DE6FE6" w:rsidRDefault="00587D5D" w:rsidP="00A034E3">
            <w:pPr>
              <w:pStyle w:val="Odlomakpopisa"/>
              <w:numPr>
                <w:ilvl w:val="0"/>
                <w:numId w:val="99"/>
              </w:numPr>
              <w:autoSpaceDE w:val="0"/>
              <w:autoSpaceDN w:val="0"/>
              <w:adjustRightInd w:val="0"/>
              <w:rPr>
                <w:rFonts w:ascii="Cambria" w:hAnsi="Cambria" w:cs="Calibri"/>
              </w:rPr>
            </w:pPr>
            <w:r>
              <w:rPr>
                <w:rFonts w:ascii="Cambria" w:hAnsi="Cambria" w:cs="Calibri"/>
              </w:rPr>
              <w:t>periodičko izvještavanje i praćenje napretka</w:t>
            </w:r>
          </w:p>
          <w:p w14:paraId="6FEF2600" w14:textId="77777777" w:rsidR="00587D5D" w:rsidRDefault="00587D5D" w:rsidP="00A034E3">
            <w:pPr>
              <w:pStyle w:val="Odlomakpopisa"/>
              <w:numPr>
                <w:ilvl w:val="0"/>
                <w:numId w:val="99"/>
              </w:numPr>
              <w:autoSpaceDE w:val="0"/>
              <w:autoSpaceDN w:val="0"/>
              <w:adjustRightInd w:val="0"/>
              <w:rPr>
                <w:rFonts w:ascii="Cambria" w:hAnsi="Cambria" w:cs="Calibri"/>
              </w:rPr>
            </w:pPr>
            <w:r>
              <w:rPr>
                <w:rFonts w:ascii="Cambria" w:hAnsi="Cambria" w:cs="Calibri"/>
              </w:rPr>
              <w:t>rješavanje potencijalnih problema i smanjivanje rizika</w:t>
            </w:r>
          </w:p>
          <w:p w14:paraId="4491BB9F" w14:textId="77777777" w:rsidR="00587D5D" w:rsidRDefault="00587D5D" w:rsidP="00A034E3">
            <w:pPr>
              <w:pStyle w:val="Odlomakpopisa"/>
              <w:numPr>
                <w:ilvl w:val="0"/>
                <w:numId w:val="99"/>
              </w:numPr>
              <w:autoSpaceDE w:val="0"/>
              <w:autoSpaceDN w:val="0"/>
              <w:adjustRightInd w:val="0"/>
              <w:rPr>
                <w:rFonts w:ascii="Cambria" w:hAnsi="Cambria" w:cs="Calibri"/>
              </w:rPr>
            </w:pPr>
            <w:r>
              <w:rPr>
                <w:rFonts w:ascii="Cambria" w:hAnsi="Cambria" w:cs="Calibri"/>
              </w:rPr>
              <w:t>diseminacija rezultata i komunikacijske aktivnosti</w:t>
            </w:r>
          </w:p>
          <w:p w14:paraId="25D792B6" w14:textId="77777777" w:rsidR="00587D5D" w:rsidRPr="006E78F9" w:rsidRDefault="00587D5D" w:rsidP="00A034E3">
            <w:pPr>
              <w:pStyle w:val="Odlomakpopisa"/>
              <w:numPr>
                <w:ilvl w:val="0"/>
                <w:numId w:val="99"/>
              </w:numPr>
              <w:autoSpaceDE w:val="0"/>
              <w:autoSpaceDN w:val="0"/>
              <w:adjustRightInd w:val="0"/>
              <w:rPr>
                <w:rFonts w:ascii="Cambria" w:hAnsi="Cambria" w:cs="Calibri"/>
              </w:rPr>
            </w:pPr>
            <w:r>
              <w:rPr>
                <w:rFonts w:ascii="Cambria" w:hAnsi="Cambria" w:cs="Calibri"/>
              </w:rPr>
              <w:lastRenderedPageBreak/>
              <w:t>završetak projekta i izrada projektnih izvještaja</w:t>
            </w:r>
          </w:p>
        </w:tc>
        <w:tc>
          <w:tcPr>
            <w:tcW w:w="391" w:type="dxa"/>
          </w:tcPr>
          <w:p w14:paraId="5A2422B0" w14:textId="77777777" w:rsidR="00587D5D" w:rsidRPr="00587D5D" w:rsidRDefault="00587D5D" w:rsidP="00587D5D">
            <w:pPr>
              <w:rPr>
                <w:lang w:val="hr-HR"/>
              </w:rPr>
            </w:pPr>
          </w:p>
        </w:tc>
      </w:tr>
      <w:tr w:rsidR="00587D5D" w:rsidRPr="00A62FBD" w14:paraId="312C158E" w14:textId="77777777" w:rsidTr="00587D5D">
        <w:trPr>
          <w:gridAfter w:val="1"/>
          <w:wAfter w:w="391" w:type="dxa"/>
        </w:trPr>
        <w:tc>
          <w:tcPr>
            <w:tcW w:w="2684"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hideMark/>
          </w:tcPr>
          <w:p w14:paraId="1D503FD8" w14:textId="77777777" w:rsidR="00587D5D" w:rsidRPr="00A62FBD" w:rsidRDefault="00587D5D" w:rsidP="00587D5D">
            <w:pPr>
              <w:pStyle w:val="Bezproreda"/>
              <w:rPr>
                <w:rFonts w:ascii="Cambria" w:hAnsi="Cambria" w:cs="Calibri"/>
              </w:rPr>
            </w:pPr>
            <w:r w:rsidRPr="00A62FBD">
              <w:rPr>
                <w:rFonts w:ascii="Cambria" w:hAnsi="Cambria" w:cs="Calibri"/>
              </w:rPr>
              <w:t>Planirane aktivnosti</w:t>
            </w:r>
            <w:r w:rsidRPr="00A62FBD">
              <w:rPr>
                <w:rFonts w:ascii="Cambria" w:hAnsi="Cambria" w:cs="Calibri"/>
                <w:lang w:val="it-IT"/>
              </w:rPr>
              <w:t>,</w:t>
            </w:r>
          </w:p>
          <w:p w14:paraId="2AAE11B8" w14:textId="77777777" w:rsidR="00587D5D" w:rsidRPr="00A62FBD" w:rsidRDefault="00587D5D" w:rsidP="00587D5D">
            <w:pPr>
              <w:pStyle w:val="Bezproreda"/>
              <w:rPr>
                <w:rFonts w:ascii="Cambria" w:hAnsi="Cambria" w:cs="Calibri"/>
              </w:rPr>
            </w:pPr>
            <w:proofErr w:type="spellStart"/>
            <w:r w:rsidRPr="00A62FBD">
              <w:rPr>
                <w:rFonts w:ascii="Cambria" w:hAnsi="Cambria" w:cs="Calibri"/>
                <w:lang w:val="it-IT"/>
              </w:rPr>
              <w:t>metode</w:t>
            </w:r>
            <w:proofErr w:type="spellEnd"/>
            <w:r w:rsidRPr="00A62FBD">
              <w:rPr>
                <w:rFonts w:ascii="Cambria" w:hAnsi="Cambria" w:cs="Calibri"/>
                <w:lang w:val="it-IT"/>
              </w:rPr>
              <w:t xml:space="preserve"> </w:t>
            </w:r>
            <w:r w:rsidRPr="00A62FBD">
              <w:rPr>
                <w:rFonts w:ascii="Cambria" w:hAnsi="Cambria" w:cs="Calibri"/>
              </w:rPr>
              <w:t>učenja i poučavanja i načini vrednovanja</w:t>
            </w:r>
          </w:p>
          <w:p w14:paraId="72EA87EC" w14:textId="77777777" w:rsidR="00587D5D" w:rsidRPr="00A62FBD" w:rsidRDefault="00587D5D" w:rsidP="00587D5D">
            <w:pPr>
              <w:pStyle w:val="Bezproreda"/>
              <w:rPr>
                <w:rFonts w:ascii="Cambria" w:hAnsi="Cambria" w:cs="Calibri"/>
              </w:rPr>
            </w:pPr>
          </w:p>
        </w:tc>
        <w:tc>
          <w:tcPr>
            <w:tcW w:w="231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A6D5EE6" w14:textId="77777777" w:rsidR="00587D5D" w:rsidRPr="0073720D" w:rsidRDefault="00587D5D" w:rsidP="00587D5D">
            <w:pPr>
              <w:pStyle w:val="Bezproreda"/>
              <w:rPr>
                <w:rFonts w:ascii="Cambria" w:hAnsi="Cambria" w:cs="Calibri"/>
              </w:rPr>
            </w:pPr>
            <w:r w:rsidRPr="0073720D">
              <w:rPr>
                <w:rFonts w:ascii="Cambria" w:hAnsi="Cambria" w:cs="Calibri"/>
              </w:rPr>
              <w:t>Obveze</w:t>
            </w:r>
          </w:p>
          <w:p w14:paraId="40DE6244" w14:textId="77777777" w:rsidR="00587D5D" w:rsidRPr="0073720D" w:rsidRDefault="00587D5D" w:rsidP="00587D5D">
            <w:pPr>
              <w:pStyle w:val="Bezproreda"/>
              <w:rPr>
                <w:rFonts w:ascii="Cambria" w:hAnsi="Cambria" w:cs="Calibri"/>
              </w:rPr>
            </w:pPr>
          </w:p>
        </w:tc>
        <w:tc>
          <w:tcPr>
            <w:tcW w:w="10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E6C93D6" w14:textId="77777777" w:rsidR="00587D5D" w:rsidRPr="0073720D" w:rsidRDefault="00587D5D" w:rsidP="00587D5D">
            <w:pPr>
              <w:pStyle w:val="Bezproreda"/>
              <w:rPr>
                <w:rFonts w:ascii="Cambria" w:hAnsi="Cambria" w:cs="Calibri"/>
              </w:rPr>
            </w:pPr>
            <w:r w:rsidRPr="0073720D">
              <w:rPr>
                <w:rFonts w:ascii="Cambria" w:hAnsi="Cambria" w:cs="Calibri"/>
              </w:rPr>
              <w:t>Ishodi</w:t>
            </w:r>
          </w:p>
          <w:p w14:paraId="16703703" w14:textId="77777777" w:rsidR="00587D5D" w:rsidRPr="0073720D" w:rsidRDefault="00587D5D" w:rsidP="00587D5D">
            <w:pPr>
              <w:pStyle w:val="Bezproreda"/>
              <w:rPr>
                <w:rFonts w:ascii="Cambria" w:hAnsi="Cambria" w:cs="Calibri"/>
              </w:rPr>
            </w:pPr>
          </w:p>
        </w:tc>
        <w:tc>
          <w:tcPr>
            <w:tcW w:w="69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9FB1F64" w14:textId="77777777" w:rsidR="00587D5D" w:rsidRPr="0073720D" w:rsidRDefault="00587D5D" w:rsidP="00587D5D">
            <w:pPr>
              <w:pStyle w:val="Bezproreda"/>
              <w:rPr>
                <w:rFonts w:ascii="Cambria" w:hAnsi="Cambria" w:cs="Calibri"/>
              </w:rPr>
            </w:pPr>
            <w:r w:rsidRPr="0073720D">
              <w:rPr>
                <w:rFonts w:ascii="Cambria" w:hAnsi="Cambria" w:cs="Calibri"/>
              </w:rPr>
              <w:t>Sati</w:t>
            </w:r>
          </w:p>
        </w:tc>
        <w:tc>
          <w:tcPr>
            <w:tcW w:w="9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1F02D19" w14:textId="77777777" w:rsidR="00587D5D" w:rsidRPr="0073720D" w:rsidRDefault="00587D5D" w:rsidP="00587D5D">
            <w:pPr>
              <w:pStyle w:val="Bezproreda"/>
              <w:rPr>
                <w:rFonts w:ascii="Cambria" w:hAnsi="Cambria" w:cs="Calibri"/>
              </w:rPr>
            </w:pPr>
            <w:r>
              <w:rPr>
                <w:rFonts w:ascii="Cambria" w:hAnsi="Cambria" w:cs="Calibri"/>
              </w:rPr>
              <w:t>ECTS</w:t>
            </w:r>
          </w:p>
        </w:tc>
        <w:tc>
          <w:tcPr>
            <w:tcW w:w="19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5FEF5E4" w14:textId="77777777" w:rsidR="00587D5D" w:rsidRPr="0073720D" w:rsidRDefault="00587D5D" w:rsidP="00587D5D">
            <w:pPr>
              <w:pStyle w:val="Bezproreda"/>
              <w:rPr>
                <w:rFonts w:ascii="Cambria" w:hAnsi="Cambria" w:cs="Calibri"/>
              </w:rPr>
            </w:pPr>
            <w:r w:rsidRPr="0073720D">
              <w:rPr>
                <w:rFonts w:ascii="Cambria" w:hAnsi="Cambria" w:cs="Calibri"/>
              </w:rPr>
              <w:t>Maksimalni udio u ocjeni</w:t>
            </w:r>
            <w:r w:rsidRPr="0073720D">
              <w:rPr>
                <w:rFonts w:ascii="Cambria" w:hAnsi="Cambria" w:cs="Calibri"/>
                <w:lang w:val="en-US"/>
              </w:rPr>
              <w:t xml:space="preserve"> (%)</w:t>
            </w:r>
          </w:p>
        </w:tc>
      </w:tr>
      <w:tr w:rsidR="00587D5D" w:rsidRPr="00A62FBD" w14:paraId="4E4BCB61" w14:textId="77777777" w:rsidTr="00587D5D">
        <w:trPr>
          <w:gridAfter w:val="1"/>
          <w:wAfter w:w="391" w:type="dxa"/>
        </w:trPr>
        <w:tc>
          <w:tcPr>
            <w:tcW w:w="2684" w:type="dxa"/>
            <w:vMerge/>
            <w:tcBorders>
              <w:left w:val="single" w:sz="8" w:space="0" w:color="000000"/>
              <w:right w:val="single" w:sz="8" w:space="0" w:color="000000"/>
            </w:tcBorders>
            <w:vAlign w:val="center"/>
            <w:hideMark/>
          </w:tcPr>
          <w:p w14:paraId="0343A761" w14:textId="77777777" w:rsidR="00587D5D" w:rsidRPr="00A62FBD" w:rsidRDefault="00587D5D" w:rsidP="00587D5D">
            <w:pPr>
              <w:pStyle w:val="Bezproreda"/>
              <w:rPr>
                <w:rFonts w:ascii="Cambria" w:hAnsi="Cambria" w:cs="Calibri"/>
              </w:rPr>
            </w:pPr>
          </w:p>
        </w:tc>
        <w:tc>
          <w:tcPr>
            <w:tcW w:w="231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578EFF5" w14:textId="77777777" w:rsidR="00587D5D" w:rsidRPr="00A62FBD" w:rsidRDefault="00587D5D" w:rsidP="00587D5D">
            <w:pPr>
              <w:rPr>
                <w:rFonts w:ascii="Cambria" w:eastAsia="Calibri" w:hAnsi="Cambria" w:cs="Calibri"/>
              </w:rPr>
            </w:pPr>
            <w:proofErr w:type="spellStart"/>
            <w:r w:rsidRPr="00A62FBD">
              <w:rPr>
                <w:rFonts w:ascii="Cambria" w:eastAsia="Calibri" w:hAnsi="Cambria" w:cs="Calibri"/>
              </w:rPr>
              <w:t>pohađanje</w:t>
            </w:r>
            <w:proofErr w:type="spellEnd"/>
            <w:r w:rsidRPr="00A62FBD">
              <w:rPr>
                <w:rFonts w:ascii="Cambria" w:eastAsia="Calibri" w:hAnsi="Cambria" w:cs="Calibri"/>
              </w:rPr>
              <w:t xml:space="preserve"> P, </w:t>
            </w:r>
            <w:r>
              <w:rPr>
                <w:rFonts w:ascii="Cambria" w:eastAsia="Calibri" w:hAnsi="Cambria" w:cs="Calibri"/>
              </w:rPr>
              <w:t>V</w:t>
            </w:r>
          </w:p>
        </w:tc>
        <w:tc>
          <w:tcPr>
            <w:tcW w:w="10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B9A5AEE" w14:textId="20411CA0" w:rsidR="00587D5D" w:rsidRPr="00A62FBD" w:rsidRDefault="00587D5D" w:rsidP="00587D5D">
            <w:pPr>
              <w:rPr>
                <w:rFonts w:ascii="Cambria" w:eastAsia="Calibri" w:hAnsi="Cambria" w:cs="Calibri"/>
              </w:rPr>
            </w:pPr>
            <w:r w:rsidRPr="00A62FBD">
              <w:rPr>
                <w:rFonts w:ascii="Cambria" w:eastAsia="Calibri" w:hAnsi="Cambria" w:cs="Calibri"/>
              </w:rPr>
              <w:t>1</w:t>
            </w:r>
            <w:r>
              <w:rPr>
                <w:rFonts w:ascii="Cambria" w:eastAsia="Calibri" w:hAnsi="Cambria" w:cs="Calibri"/>
              </w:rPr>
              <w:t>.</w:t>
            </w:r>
            <w:r w:rsidRPr="00A62FBD">
              <w:rPr>
                <w:rFonts w:ascii="Cambria" w:eastAsia="Calibri" w:hAnsi="Cambria" w:cs="Calibri"/>
              </w:rPr>
              <w:t xml:space="preserve"> </w:t>
            </w:r>
            <w:r w:rsidR="004131DB">
              <w:rPr>
                <w:rFonts w:ascii="Cambria" w:eastAsia="Calibri" w:hAnsi="Cambria" w:cs="Calibri"/>
              </w:rPr>
              <w:t>–</w:t>
            </w:r>
            <w:r w:rsidRPr="00A62FBD">
              <w:rPr>
                <w:rFonts w:ascii="Cambria" w:eastAsia="Calibri" w:hAnsi="Cambria" w:cs="Calibri"/>
              </w:rPr>
              <w:t xml:space="preserve"> 4. </w:t>
            </w:r>
          </w:p>
        </w:tc>
        <w:tc>
          <w:tcPr>
            <w:tcW w:w="69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B9F2D89" w14:textId="77777777" w:rsidR="00587D5D" w:rsidRPr="00A62FBD" w:rsidRDefault="00587D5D" w:rsidP="00587D5D">
            <w:pPr>
              <w:jc w:val="center"/>
              <w:rPr>
                <w:rFonts w:ascii="Cambria" w:eastAsia="Calibri" w:hAnsi="Cambria" w:cs="Calibri"/>
              </w:rPr>
            </w:pPr>
            <w:r w:rsidRPr="00A62FBD">
              <w:rPr>
                <w:rFonts w:ascii="Cambria" w:eastAsia="Calibri" w:hAnsi="Cambria" w:cs="Calibri"/>
              </w:rPr>
              <w:t>23</w:t>
            </w:r>
          </w:p>
        </w:tc>
        <w:tc>
          <w:tcPr>
            <w:tcW w:w="9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4A2A8C6" w14:textId="77777777" w:rsidR="00587D5D" w:rsidRPr="00A62FBD" w:rsidRDefault="00587D5D" w:rsidP="00587D5D">
            <w:pPr>
              <w:jc w:val="center"/>
              <w:rPr>
                <w:rFonts w:ascii="Cambria" w:eastAsia="Calibri" w:hAnsi="Cambria" w:cs="Calibri"/>
              </w:rPr>
            </w:pPr>
            <w:r w:rsidRPr="00A62FBD">
              <w:rPr>
                <w:rFonts w:ascii="Cambria" w:eastAsia="Calibri" w:hAnsi="Cambria" w:cs="Calibri"/>
              </w:rPr>
              <w:t>0,8</w:t>
            </w:r>
          </w:p>
        </w:tc>
        <w:tc>
          <w:tcPr>
            <w:tcW w:w="19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F31A320" w14:textId="77777777" w:rsidR="00587D5D" w:rsidRPr="00A62FBD" w:rsidRDefault="00587D5D" w:rsidP="00587D5D">
            <w:pPr>
              <w:jc w:val="center"/>
              <w:rPr>
                <w:rFonts w:ascii="Cambria" w:eastAsia="Calibri" w:hAnsi="Cambria" w:cs="Calibri"/>
              </w:rPr>
            </w:pPr>
            <w:r w:rsidRPr="00A62FBD">
              <w:rPr>
                <w:rFonts w:ascii="Cambria" w:eastAsia="Calibri" w:hAnsi="Cambria" w:cs="Calibri"/>
              </w:rPr>
              <w:t>20</w:t>
            </w:r>
            <w:r>
              <w:rPr>
                <w:rFonts w:ascii="Cambria" w:eastAsia="Calibri" w:hAnsi="Cambria" w:cs="Calibri"/>
              </w:rPr>
              <w:t xml:space="preserve"> %</w:t>
            </w:r>
          </w:p>
        </w:tc>
      </w:tr>
      <w:tr w:rsidR="00587D5D" w:rsidRPr="00A62FBD" w14:paraId="0E026398" w14:textId="77777777" w:rsidTr="00587D5D">
        <w:trPr>
          <w:gridAfter w:val="1"/>
          <w:wAfter w:w="391" w:type="dxa"/>
        </w:trPr>
        <w:tc>
          <w:tcPr>
            <w:tcW w:w="2684" w:type="dxa"/>
            <w:vMerge/>
            <w:tcBorders>
              <w:left w:val="single" w:sz="8" w:space="0" w:color="000000"/>
              <w:right w:val="single" w:sz="8" w:space="0" w:color="000000"/>
            </w:tcBorders>
            <w:vAlign w:val="center"/>
            <w:hideMark/>
          </w:tcPr>
          <w:p w14:paraId="4CC63063" w14:textId="77777777" w:rsidR="00587D5D" w:rsidRPr="00A62FBD" w:rsidRDefault="00587D5D" w:rsidP="00587D5D">
            <w:pPr>
              <w:pStyle w:val="Bezproreda"/>
              <w:rPr>
                <w:rFonts w:ascii="Cambria" w:hAnsi="Cambria" w:cs="Calibri"/>
              </w:rPr>
            </w:pPr>
          </w:p>
        </w:tc>
        <w:tc>
          <w:tcPr>
            <w:tcW w:w="231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A3B323C" w14:textId="77777777" w:rsidR="00587D5D" w:rsidRPr="00A62FBD" w:rsidRDefault="00587D5D" w:rsidP="00587D5D">
            <w:pPr>
              <w:rPr>
                <w:rFonts w:ascii="Cambria" w:eastAsia="Calibri" w:hAnsi="Cambria" w:cs="Calibri"/>
              </w:rPr>
            </w:pPr>
            <w:proofErr w:type="spellStart"/>
            <w:r>
              <w:rPr>
                <w:rFonts w:ascii="Cambria" w:eastAsia="Calibri" w:hAnsi="Cambria" w:cs="Calibri"/>
              </w:rPr>
              <w:t>vježbe</w:t>
            </w:r>
            <w:proofErr w:type="spellEnd"/>
          </w:p>
        </w:tc>
        <w:tc>
          <w:tcPr>
            <w:tcW w:w="10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C0313B1" w14:textId="36E6DFB3" w:rsidR="00587D5D" w:rsidRPr="00A62FBD" w:rsidRDefault="00587D5D" w:rsidP="00587D5D">
            <w:pPr>
              <w:rPr>
                <w:rFonts w:ascii="Cambria" w:eastAsia="Calibri" w:hAnsi="Cambria" w:cs="Calibri"/>
              </w:rPr>
            </w:pPr>
            <w:r w:rsidRPr="00A62FBD">
              <w:rPr>
                <w:rFonts w:ascii="Cambria" w:eastAsia="Calibri" w:hAnsi="Cambria" w:cs="Calibri"/>
              </w:rPr>
              <w:t>1</w:t>
            </w:r>
            <w:r>
              <w:rPr>
                <w:rFonts w:ascii="Cambria" w:eastAsia="Calibri" w:hAnsi="Cambria" w:cs="Calibri"/>
              </w:rPr>
              <w:t xml:space="preserve">. </w:t>
            </w:r>
            <w:r w:rsidR="004131DB">
              <w:rPr>
                <w:rFonts w:ascii="Cambria" w:eastAsia="Calibri" w:hAnsi="Cambria" w:cs="Calibri"/>
              </w:rPr>
              <w:t>–</w:t>
            </w:r>
            <w:r w:rsidRPr="00A62FBD">
              <w:rPr>
                <w:rFonts w:ascii="Cambria" w:eastAsia="Calibri" w:hAnsi="Cambria" w:cs="Calibri"/>
              </w:rPr>
              <w:t xml:space="preserve"> 4</w:t>
            </w:r>
            <w:r>
              <w:rPr>
                <w:rFonts w:ascii="Cambria" w:eastAsia="Calibri" w:hAnsi="Cambria" w:cs="Calibri"/>
              </w:rPr>
              <w:t>.</w:t>
            </w:r>
          </w:p>
        </w:tc>
        <w:tc>
          <w:tcPr>
            <w:tcW w:w="69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D175CB9" w14:textId="42762D9E" w:rsidR="00587D5D" w:rsidRPr="00A62FBD" w:rsidRDefault="004131DB" w:rsidP="00587D5D">
            <w:pPr>
              <w:jc w:val="center"/>
              <w:rPr>
                <w:rFonts w:ascii="Cambria" w:eastAsia="Calibri" w:hAnsi="Cambria" w:cs="Calibri"/>
              </w:rPr>
            </w:pPr>
            <w:r>
              <w:rPr>
                <w:rFonts w:ascii="Cambria" w:eastAsia="Calibri" w:hAnsi="Cambria" w:cs="Calibri"/>
              </w:rPr>
              <w:t>30</w:t>
            </w:r>
          </w:p>
        </w:tc>
        <w:tc>
          <w:tcPr>
            <w:tcW w:w="9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44CDC95" w14:textId="77777777" w:rsidR="00587D5D" w:rsidRPr="00A62FBD" w:rsidRDefault="00587D5D" w:rsidP="00587D5D">
            <w:pPr>
              <w:jc w:val="center"/>
              <w:rPr>
                <w:rFonts w:ascii="Cambria" w:eastAsia="Calibri" w:hAnsi="Cambria" w:cs="Calibri"/>
              </w:rPr>
            </w:pPr>
            <w:r w:rsidRPr="00A62FBD">
              <w:rPr>
                <w:rFonts w:ascii="Cambria" w:eastAsia="Calibri" w:hAnsi="Cambria" w:cs="Calibri"/>
              </w:rPr>
              <w:t>1</w:t>
            </w:r>
          </w:p>
        </w:tc>
        <w:tc>
          <w:tcPr>
            <w:tcW w:w="19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3B6FC86" w14:textId="77777777" w:rsidR="00587D5D" w:rsidRPr="00A62FBD" w:rsidRDefault="00587D5D" w:rsidP="00587D5D">
            <w:pPr>
              <w:jc w:val="center"/>
              <w:rPr>
                <w:rFonts w:ascii="Cambria" w:eastAsia="Calibri" w:hAnsi="Cambria" w:cs="Calibri"/>
              </w:rPr>
            </w:pPr>
            <w:r w:rsidRPr="00A62FBD">
              <w:rPr>
                <w:rFonts w:ascii="Cambria" w:eastAsia="Calibri" w:hAnsi="Cambria" w:cs="Calibri"/>
              </w:rPr>
              <w:t>30</w:t>
            </w:r>
            <w:r>
              <w:rPr>
                <w:rFonts w:ascii="Cambria" w:eastAsia="Calibri" w:hAnsi="Cambria" w:cs="Calibri"/>
              </w:rPr>
              <w:t xml:space="preserve"> %</w:t>
            </w:r>
          </w:p>
        </w:tc>
      </w:tr>
      <w:tr w:rsidR="00587D5D" w:rsidRPr="00A62FBD" w14:paraId="1AB692D9" w14:textId="77777777" w:rsidTr="00587D5D">
        <w:trPr>
          <w:gridAfter w:val="1"/>
          <w:wAfter w:w="391" w:type="dxa"/>
        </w:trPr>
        <w:tc>
          <w:tcPr>
            <w:tcW w:w="2684" w:type="dxa"/>
            <w:vMerge/>
            <w:tcBorders>
              <w:left w:val="single" w:sz="8" w:space="0" w:color="000000"/>
              <w:right w:val="single" w:sz="8" w:space="0" w:color="000000"/>
            </w:tcBorders>
            <w:vAlign w:val="center"/>
            <w:hideMark/>
          </w:tcPr>
          <w:p w14:paraId="0CB37991" w14:textId="77777777" w:rsidR="00587D5D" w:rsidRPr="00A62FBD" w:rsidRDefault="00587D5D" w:rsidP="00587D5D">
            <w:pPr>
              <w:pStyle w:val="Bezproreda"/>
              <w:rPr>
                <w:rFonts w:ascii="Cambria" w:hAnsi="Cambria" w:cs="Calibri"/>
              </w:rPr>
            </w:pPr>
          </w:p>
        </w:tc>
        <w:tc>
          <w:tcPr>
            <w:tcW w:w="231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C4B5DC1" w14:textId="77777777" w:rsidR="00587D5D" w:rsidRPr="00A62FBD" w:rsidRDefault="00587D5D" w:rsidP="00587D5D">
            <w:pPr>
              <w:rPr>
                <w:rFonts w:ascii="Cambria" w:eastAsia="Calibri" w:hAnsi="Cambria" w:cs="Calibri"/>
              </w:rPr>
            </w:pPr>
            <w:proofErr w:type="spellStart"/>
            <w:r w:rsidRPr="00A62FBD">
              <w:rPr>
                <w:rFonts w:ascii="Cambria" w:eastAsia="Calibri" w:hAnsi="Cambria" w:cs="Calibri"/>
              </w:rPr>
              <w:t>ispit</w:t>
            </w:r>
            <w:proofErr w:type="spellEnd"/>
            <w:r w:rsidRPr="00A62FBD">
              <w:rPr>
                <w:rFonts w:ascii="Cambria" w:eastAsia="Calibri" w:hAnsi="Cambria" w:cs="Calibri"/>
              </w:rPr>
              <w:t xml:space="preserve"> (</w:t>
            </w:r>
            <w:proofErr w:type="spellStart"/>
            <w:r w:rsidRPr="00A62FBD">
              <w:rPr>
                <w:rFonts w:ascii="Cambria" w:eastAsia="Calibri" w:hAnsi="Cambria" w:cs="Calibri"/>
              </w:rPr>
              <w:t>usmeni</w:t>
            </w:r>
            <w:proofErr w:type="spellEnd"/>
            <w:r w:rsidRPr="00A62FBD">
              <w:rPr>
                <w:rFonts w:ascii="Cambria" w:eastAsia="Calibri" w:hAnsi="Cambria" w:cs="Calibri"/>
              </w:rPr>
              <w:t>)</w:t>
            </w:r>
          </w:p>
        </w:tc>
        <w:tc>
          <w:tcPr>
            <w:tcW w:w="10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258AA27" w14:textId="5B5D12DC" w:rsidR="00587D5D" w:rsidRPr="00A62FBD" w:rsidRDefault="00587D5D" w:rsidP="00587D5D">
            <w:pPr>
              <w:rPr>
                <w:rFonts w:ascii="Cambria" w:eastAsia="Calibri" w:hAnsi="Cambria" w:cs="Calibri"/>
              </w:rPr>
            </w:pPr>
            <w:r w:rsidRPr="00A62FBD">
              <w:rPr>
                <w:rFonts w:ascii="Cambria" w:eastAsia="Calibri" w:hAnsi="Cambria" w:cs="Calibri"/>
              </w:rPr>
              <w:t>1</w:t>
            </w:r>
            <w:r>
              <w:rPr>
                <w:rFonts w:ascii="Cambria" w:eastAsia="Calibri" w:hAnsi="Cambria" w:cs="Calibri"/>
              </w:rPr>
              <w:t>.</w:t>
            </w:r>
            <w:r w:rsidRPr="00A62FBD">
              <w:rPr>
                <w:rFonts w:ascii="Cambria" w:eastAsia="Calibri" w:hAnsi="Cambria" w:cs="Calibri"/>
              </w:rPr>
              <w:t xml:space="preserve"> </w:t>
            </w:r>
            <w:r w:rsidR="004131DB">
              <w:rPr>
                <w:rFonts w:ascii="Cambria" w:eastAsia="Calibri" w:hAnsi="Cambria" w:cs="Calibri"/>
              </w:rPr>
              <w:t>–</w:t>
            </w:r>
            <w:r w:rsidRPr="00A62FBD">
              <w:rPr>
                <w:rFonts w:ascii="Cambria" w:eastAsia="Calibri" w:hAnsi="Cambria" w:cs="Calibri"/>
              </w:rPr>
              <w:t xml:space="preserve"> 4. </w:t>
            </w:r>
          </w:p>
        </w:tc>
        <w:tc>
          <w:tcPr>
            <w:tcW w:w="69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E84695E" w14:textId="762BA4B7" w:rsidR="00587D5D" w:rsidRPr="00A62FBD" w:rsidRDefault="004131DB" w:rsidP="00587D5D">
            <w:pPr>
              <w:jc w:val="center"/>
              <w:rPr>
                <w:rFonts w:ascii="Cambria" w:eastAsia="Calibri" w:hAnsi="Cambria" w:cs="Calibri"/>
              </w:rPr>
            </w:pPr>
            <w:r>
              <w:rPr>
                <w:rFonts w:ascii="Cambria" w:eastAsia="Calibri" w:hAnsi="Cambria" w:cs="Calibri"/>
              </w:rPr>
              <w:t>37</w:t>
            </w:r>
          </w:p>
        </w:tc>
        <w:tc>
          <w:tcPr>
            <w:tcW w:w="9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8CB14C4" w14:textId="70E39A18" w:rsidR="00587D5D" w:rsidRPr="00A62FBD" w:rsidRDefault="004131DB" w:rsidP="00587D5D">
            <w:pPr>
              <w:jc w:val="center"/>
              <w:rPr>
                <w:rFonts w:ascii="Cambria" w:eastAsia="Calibri" w:hAnsi="Cambria" w:cs="Calibri"/>
              </w:rPr>
            </w:pPr>
            <w:r>
              <w:rPr>
                <w:rFonts w:ascii="Cambria" w:eastAsia="Calibri" w:hAnsi="Cambria" w:cs="Calibri"/>
              </w:rPr>
              <w:t>1,2</w:t>
            </w:r>
          </w:p>
        </w:tc>
        <w:tc>
          <w:tcPr>
            <w:tcW w:w="19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1E85FF9" w14:textId="77777777" w:rsidR="00587D5D" w:rsidRPr="00A62FBD" w:rsidRDefault="00587D5D" w:rsidP="00587D5D">
            <w:pPr>
              <w:jc w:val="center"/>
              <w:rPr>
                <w:rFonts w:ascii="Cambria" w:eastAsia="Calibri" w:hAnsi="Cambria" w:cs="Calibri"/>
              </w:rPr>
            </w:pPr>
            <w:r w:rsidRPr="00A62FBD">
              <w:rPr>
                <w:rFonts w:ascii="Cambria" w:eastAsia="Calibri" w:hAnsi="Cambria" w:cs="Calibri"/>
              </w:rPr>
              <w:t>50</w:t>
            </w:r>
            <w:r>
              <w:rPr>
                <w:rFonts w:ascii="Cambria" w:eastAsia="Calibri" w:hAnsi="Cambria" w:cs="Calibri"/>
              </w:rPr>
              <w:t xml:space="preserve"> %</w:t>
            </w:r>
          </w:p>
        </w:tc>
      </w:tr>
      <w:tr w:rsidR="00587D5D" w:rsidRPr="00A62FBD" w14:paraId="18563A92" w14:textId="77777777" w:rsidTr="00587D5D">
        <w:trPr>
          <w:gridAfter w:val="1"/>
          <w:wAfter w:w="391" w:type="dxa"/>
        </w:trPr>
        <w:tc>
          <w:tcPr>
            <w:tcW w:w="2684" w:type="dxa"/>
            <w:vMerge/>
            <w:tcBorders>
              <w:left w:val="single" w:sz="8" w:space="0" w:color="000000"/>
              <w:right w:val="single" w:sz="8" w:space="0" w:color="000000"/>
            </w:tcBorders>
            <w:vAlign w:val="center"/>
            <w:hideMark/>
          </w:tcPr>
          <w:p w14:paraId="692C5BEE" w14:textId="77777777" w:rsidR="00587D5D" w:rsidRPr="00A62FBD" w:rsidRDefault="00587D5D" w:rsidP="00587D5D">
            <w:pPr>
              <w:pStyle w:val="Bezproreda"/>
              <w:rPr>
                <w:rFonts w:ascii="Cambria" w:hAnsi="Cambria" w:cs="Calibri"/>
              </w:rPr>
            </w:pPr>
          </w:p>
        </w:tc>
        <w:tc>
          <w:tcPr>
            <w:tcW w:w="231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5CFB624" w14:textId="77777777" w:rsidR="00587D5D" w:rsidRPr="00A62FBD" w:rsidRDefault="00587D5D" w:rsidP="00587D5D">
            <w:pPr>
              <w:rPr>
                <w:rFonts w:ascii="Cambria" w:eastAsia="Calibri" w:hAnsi="Cambria" w:cs="Calibri"/>
              </w:rPr>
            </w:pPr>
            <w:proofErr w:type="spellStart"/>
            <w:r w:rsidRPr="00A62FBD">
              <w:rPr>
                <w:rFonts w:ascii="Cambria" w:eastAsia="Calibri" w:hAnsi="Cambria" w:cs="Calibri"/>
              </w:rPr>
              <w:t>ukupno</w:t>
            </w:r>
            <w:proofErr w:type="spellEnd"/>
          </w:p>
        </w:tc>
        <w:tc>
          <w:tcPr>
            <w:tcW w:w="10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C8B6681" w14:textId="77777777" w:rsidR="00587D5D" w:rsidRPr="00A62FBD" w:rsidRDefault="00587D5D" w:rsidP="00587D5D">
            <w:pPr>
              <w:rPr>
                <w:rFonts w:ascii="Cambria" w:eastAsia="Calibri" w:hAnsi="Cambria" w:cs="Calibri"/>
              </w:rPr>
            </w:pPr>
          </w:p>
        </w:tc>
        <w:tc>
          <w:tcPr>
            <w:tcW w:w="69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AE8647D" w14:textId="431DD18B" w:rsidR="00587D5D" w:rsidRPr="00A62FBD" w:rsidRDefault="004131DB" w:rsidP="00587D5D">
            <w:pPr>
              <w:jc w:val="center"/>
              <w:rPr>
                <w:rFonts w:ascii="Cambria" w:eastAsia="Calibri" w:hAnsi="Cambria" w:cs="Calibri"/>
              </w:rPr>
            </w:pPr>
            <w:r>
              <w:rPr>
                <w:rFonts w:ascii="Cambria" w:eastAsia="Calibri" w:hAnsi="Cambria" w:cs="Calibri"/>
              </w:rPr>
              <w:t>90</w:t>
            </w:r>
          </w:p>
        </w:tc>
        <w:tc>
          <w:tcPr>
            <w:tcW w:w="9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063F28B" w14:textId="77777777" w:rsidR="00587D5D" w:rsidRPr="00A62FBD" w:rsidRDefault="00587D5D" w:rsidP="00587D5D">
            <w:pPr>
              <w:jc w:val="center"/>
              <w:rPr>
                <w:rFonts w:ascii="Cambria" w:eastAsia="Calibri" w:hAnsi="Cambria" w:cs="Calibri"/>
              </w:rPr>
            </w:pPr>
            <w:r w:rsidRPr="00A62FBD">
              <w:rPr>
                <w:rFonts w:ascii="Cambria" w:eastAsia="Calibri" w:hAnsi="Cambria" w:cs="Calibri"/>
              </w:rPr>
              <w:t>3</w:t>
            </w:r>
          </w:p>
        </w:tc>
        <w:tc>
          <w:tcPr>
            <w:tcW w:w="19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55C7DE3" w14:textId="77777777" w:rsidR="00587D5D" w:rsidRPr="00A62FBD" w:rsidRDefault="00587D5D" w:rsidP="00587D5D">
            <w:pPr>
              <w:pStyle w:val="Bezproreda"/>
              <w:jc w:val="center"/>
              <w:rPr>
                <w:rFonts w:ascii="Cambria" w:hAnsi="Cambria" w:cs="Calibri"/>
              </w:rPr>
            </w:pPr>
            <w:r w:rsidRPr="00A62FBD">
              <w:rPr>
                <w:rFonts w:ascii="Cambria" w:hAnsi="Cambria" w:cs="Calibri"/>
              </w:rPr>
              <w:t>100</w:t>
            </w:r>
            <w:r>
              <w:rPr>
                <w:rFonts w:ascii="Cambria" w:hAnsi="Cambria" w:cs="Calibri"/>
              </w:rPr>
              <w:t xml:space="preserve"> %</w:t>
            </w:r>
          </w:p>
        </w:tc>
      </w:tr>
      <w:tr w:rsidR="00587D5D" w:rsidRPr="00D0399C" w14:paraId="380F6756" w14:textId="77777777" w:rsidTr="00587D5D">
        <w:trPr>
          <w:gridAfter w:val="1"/>
          <w:wAfter w:w="391" w:type="dxa"/>
        </w:trPr>
        <w:tc>
          <w:tcPr>
            <w:tcW w:w="2684" w:type="dxa"/>
            <w:vMerge/>
            <w:tcBorders>
              <w:left w:val="single" w:sz="8" w:space="0" w:color="000000"/>
              <w:bottom w:val="single" w:sz="8" w:space="0" w:color="000000"/>
              <w:right w:val="single" w:sz="8" w:space="0" w:color="000000"/>
            </w:tcBorders>
            <w:vAlign w:val="center"/>
          </w:tcPr>
          <w:p w14:paraId="3F11B15C" w14:textId="77777777" w:rsidR="00587D5D" w:rsidRPr="00A62FBD" w:rsidRDefault="00587D5D" w:rsidP="00587D5D">
            <w:pPr>
              <w:pStyle w:val="Bezproreda"/>
              <w:rPr>
                <w:rFonts w:ascii="Cambria" w:hAnsi="Cambria" w:cs="Calibri"/>
              </w:rPr>
            </w:pPr>
          </w:p>
        </w:tc>
        <w:tc>
          <w:tcPr>
            <w:tcW w:w="6945"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D6C1E36" w14:textId="74FFD601" w:rsidR="00587D5D" w:rsidRDefault="00587D5D" w:rsidP="00587D5D">
            <w:pPr>
              <w:pStyle w:val="Bezproreda"/>
              <w:rPr>
                <w:rFonts w:ascii="Cambria" w:hAnsi="Cambria" w:cs="Calibri"/>
                <w:bCs/>
              </w:rPr>
            </w:pPr>
            <w:r w:rsidRPr="0073720D">
              <w:rPr>
                <w:rFonts w:ascii="Cambria" w:hAnsi="Cambria" w:cs="Calibri"/>
                <w:bCs/>
              </w:rPr>
              <w:t>Dodatna pojašnjenja (kriteriji ocjenjivanja):</w:t>
            </w:r>
          </w:p>
          <w:p w14:paraId="395975F7" w14:textId="669B75B7" w:rsidR="00587D5D" w:rsidRPr="004131DB" w:rsidRDefault="00587D5D" w:rsidP="00587D5D">
            <w:pPr>
              <w:pStyle w:val="Bezproreda"/>
              <w:rPr>
                <w:rFonts w:ascii="Cambria" w:hAnsi="Cambria" w:cs="Calibri"/>
                <w:bCs/>
              </w:rPr>
            </w:pPr>
            <w:r>
              <w:rPr>
                <w:rFonts w:ascii="Cambria" w:hAnsi="Cambria" w:cs="Calibri"/>
                <w:bCs/>
              </w:rPr>
              <w:t xml:space="preserve">Očekuje se aktivno sudjelovanje studenata na vježbama tijekom kojih će se grupno raditi na projektnim prijedlozima koji će predstavljati osnovu za ispit. </w:t>
            </w:r>
          </w:p>
        </w:tc>
      </w:tr>
      <w:tr w:rsidR="00587D5D" w:rsidRPr="00A62FBD" w14:paraId="4D3E82B6" w14:textId="77777777" w:rsidTr="00587D5D">
        <w:trPr>
          <w:gridAfter w:val="1"/>
          <w:wAfter w:w="391" w:type="dxa"/>
          <w:trHeight w:val="1771"/>
        </w:trPr>
        <w:tc>
          <w:tcPr>
            <w:tcW w:w="268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1FC2994" w14:textId="77777777" w:rsidR="00587D5D" w:rsidRPr="00A62FBD" w:rsidRDefault="00587D5D" w:rsidP="00587D5D">
            <w:pPr>
              <w:pStyle w:val="Bezproreda"/>
              <w:rPr>
                <w:rFonts w:ascii="Cambria" w:hAnsi="Cambria" w:cs="Calibri"/>
              </w:rPr>
            </w:pPr>
            <w:r w:rsidRPr="00A62FBD">
              <w:rPr>
                <w:rFonts w:ascii="Cambria" w:hAnsi="Cambria" w:cs="Calibri"/>
              </w:rPr>
              <w:t>Studentske obveze</w:t>
            </w:r>
          </w:p>
        </w:tc>
        <w:tc>
          <w:tcPr>
            <w:tcW w:w="694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C92CC2D" w14:textId="15C1CD1E" w:rsidR="00587D5D" w:rsidRPr="00587D5D" w:rsidRDefault="00587D5D" w:rsidP="00587D5D">
            <w:pPr>
              <w:suppressAutoHyphens/>
              <w:snapToGrid w:val="0"/>
              <w:rPr>
                <w:rFonts w:ascii="Cambria" w:hAnsi="Cambria" w:cs="Calibri"/>
                <w:lang w:val="it-IT"/>
              </w:rPr>
            </w:pPr>
            <w:proofErr w:type="spellStart"/>
            <w:r w:rsidRPr="00587D5D">
              <w:rPr>
                <w:rFonts w:ascii="Cambria" w:hAnsi="Cambria" w:cs="Calibri"/>
                <w:lang w:val="it-IT"/>
              </w:rPr>
              <w:t>Kako</w:t>
            </w:r>
            <w:proofErr w:type="spellEnd"/>
            <w:r w:rsidRPr="00587D5D">
              <w:rPr>
                <w:rFonts w:ascii="Cambria" w:hAnsi="Cambria" w:cs="Calibri"/>
                <w:lang w:val="it-IT"/>
              </w:rPr>
              <w:t xml:space="preserve"> bi </w:t>
            </w:r>
            <w:proofErr w:type="spellStart"/>
            <w:r w:rsidRPr="00587D5D">
              <w:rPr>
                <w:rFonts w:ascii="Cambria" w:hAnsi="Cambria" w:cs="Calibri"/>
                <w:lang w:val="it-IT"/>
              </w:rPr>
              <w:t>položili</w:t>
            </w:r>
            <w:proofErr w:type="spellEnd"/>
            <w:r w:rsidRPr="00587D5D">
              <w:rPr>
                <w:rFonts w:ascii="Cambria" w:hAnsi="Cambria" w:cs="Calibri"/>
                <w:lang w:val="it-IT"/>
              </w:rPr>
              <w:t xml:space="preserve"> </w:t>
            </w:r>
            <w:proofErr w:type="spellStart"/>
            <w:r w:rsidRPr="00587D5D">
              <w:rPr>
                <w:rFonts w:ascii="Cambria" w:hAnsi="Cambria" w:cs="Calibri"/>
                <w:lang w:val="it-IT"/>
              </w:rPr>
              <w:t>kolegij</w:t>
            </w:r>
            <w:proofErr w:type="spellEnd"/>
            <w:r w:rsidRPr="00587D5D">
              <w:rPr>
                <w:rFonts w:ascii="Cambria" w:hAnsi="Cambria" w:cs="Calibri"/>
                <w:lang w:val="it-IT"/>
              </w:rPr>
              <w:t xml:space="preserve"> </w:t>
            </w:r>
            <w:proofErr w:type="spellStart"/>
            <w:r w:rsidRPr="00587D5D">
              <w:rPr>
                <w:rFonts w:ascii="Cambria" w:hAnsi="Cambria" w:cs="Calibri"/>
                <w:lang w:val="it-IT"/>
              </w:rPr>
              <w:t>student</w:t>
            </w:r>
            <w:proofErr w:type="spellEnd"/>
            <w:r w:rsidRPr="00587D5D">
              <w:rPr>
                <w:rFonts w:ascii="Cambria" w:hAnsi="Cambria" w:cs="Calibri"/>
                <w:lang w:val="it-IT"/>
              </w:rPr>
              <w:t>/</w:t>
            </w:r>
            <w:proofErr w:type="spellStart"/>
            <w:r w:rsidRPr="00587D5D">
              <w:rPr>
                <w:rFonts w:ascii="Cambria" w:hAnsi="Cambria" w:cs="Calibri"/>
                <w:lang w:val="it-IT"/>
              </w:rPr>
              <w:t>ica</w:t>
            </w:r>
            <w:proofErr w:type="spellEnd"/>
            <w:r w:rsidRPr="00587D5D">
              <w:rPr>
                <w:rFonts w:ascii="Cambria" w:hAnsi="Cambria" w:cs="Calibri"/>
                <w:lang w:val="it-IT"/>
              </w:rPr>
              <w:t xml:space="preserve"> mora: </w:t>
            </w:r>
          </w:p>
          <w:p w14:paraId="66AFB011" w14:textId="77777777" w:rsidR="00587D5D" w:rsidRPr="00A62FBD" w:rsidRDefault="00587D5D" w:rsidP="00A034E3">
            <w:pPr>
              <w:pStyle w:val="Odlomakpopisa"/>
              <w:numPr>
                <w:ilvl w:val="0"/>
                <w:numId w:val="97"/>
              </w:numPr>
              <w:suppressAutoHyphens/>
              <w:snapToGrid w:val="0"/>
              <w:rPr>
                <w:rFonts w:ascii="Cambria" w:hAnsi="Cambria" w:cs="Calibri"/>
              </w:rPr>
            </w:pPr>
            <w:r w:rsidRPr="00A62FBD">
              <w:rPr>
                <w:rFonts w:ascii="Cambria" w:hAnsi="Cambria" w:cs="Calibri"/>
              </w:rPr>
              <w:t>pohađati nastavu</w:t>
            </w:r>
            <w:r>
              <w:rPr>
                <w:rFonts w:ascii="Cambria" w:hAnsi="Cambria" w:cs="Calibri"/>
              </w:rPr>
              <w:t xml:space="preserve"> (tolerira se 30 % izostanaka)</w:t>
            </w:r>
          </w:p>
          <w:p w14:paraId="7D026539" w14:textId="77777777" w:rsidR="00587D5D" w:rsidRPr="00A62FBD" w:rsidRDefault="00587D5D" w:rsidP="00A034E3">
            <w:pPr>
              <w:pStyle w:val="Odlomakpopisa"/>
              <w:numPr>
                <w:ilvl w:val="0"/>
                <w:numId w:val="97"/>
              </w:numPr>
              <w:suppressAutoHyphens/>
              <w:rPr>
                <w:rFonts w:ascii="Cambria" w:hAnsi="Cambria" w:cs="Calibri"/>
              </w:rPr>
            </w:pPr>
            <w:r w:rsidRPr="00A62FBD">
              <w:rPr>
                <w:rFonts w:ascii="Cambria" w:hAnsi="Cambria" w:cs="Calibri"/>
              </w:rPr>
              <w:t>aktivno komentarima i sugestijama sudjelovati u nastavnom procesu</w:t>
            </w:r>
            <w:r>
              <w:rPr>
                <w:rFonts w:ascii="Cambria" w:hAnsi="Cambria" w:cs="Calibri"/>
              </w:rPr>
              <w:t>, posebice vježbama</w:t>
            </w:r>
          </w:p>
          <w:p w14:paraId="5FF22EDF" w14:textId="77777777" w:rsidR="00587D5D" w:rsidRPr="00A62FBD" w:rsidRDefault="00587D5D" w:rsidP="00A034E3">
            <w:pPr>
              <w:pStyle w:val="Odlomakpopisa"/>
              <w:numPr>
                <w:ilvl w:val="0"/>
                <w:numId w:val="97"/>
              </w:numPr>
              <w:suppressAutoHyphens/>
              <w:rPr>
                <w:rFonts w:ascii="Cambria" w:hAnsi="Cambria" w:cs="Calibri"/>
              </w:rPr>
            </w:pPr>
            <w:r>
              <w:rPr>
                <w:rFonts w:ascii="Cambria" w:hAnsi="Cambria" w:cs="Calibri"/>
              </w:rPr>
              <w:t>osmisliti projektni prijedlog</w:t>
            </w:r>
            <w:r w:rsidRPr="00A62FBD">
              <w:rPr>
                <w:rFonts w:ascii="Cambria" w:hAnsi="Cambria" w:cs="Calibri"/>
              </w:rPr>
              <w:t xml:space="preserve"> i usmeno ga izložiti tijekom usmenog ispita</w:t>
            </w:r>
          </w:p>
          <w:p w14:paraId="68FD01E4" w14:textId="77777777" w:rsidR="00587D5D" w:rsidRPr="00A62FBD" w:rsidRDefault="00587D5D" w:rsidP="00A034E3">
            <w:pPr>
              <w:pStyle w:val="Odlomakpopisa"/>
              <w:numPr>
                <w:ilvl w:val="0"/>
                <w:numId w:val="97"/>
              </w:numPr>
              <w:suppressAutoHyphens/>
              <w:rPr>
                <w:rFonts w:ascii="Cambria" w:hAnsi="Cambria" w:cs="Calibri"/>
              </w:rPr>
            </w:pPr>
            <w:r w:rsidRPr="00A62FBD">
              <w:rPr>
                <w:rFonts w:ascii="Cambria" w:hAnsi="Cambria" w:cs="Calibri"/>
              </w:rPr>
              <w:t>položiti završni usmeni ispit</w:t>
            </w:r>
          </w:p>
        </w:tc>
      </w:tr>
      <w:tr w:rsidR="00587D5D" w:rsidRPr="00D0399C" w14:paraId="4719E582" w14:textId="77777777" w:rsidTr="00587D5D">
        <w:trPr>
          <w:gridAfter w:val="1"/>
          <w:wAfter w:w="391" w:type="dxa"/>
        </w:trPr>
        <w:tc>
          <w:tcPr>
            <w:tcW w:w="268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22955C2" w14:textId="77777777" w:rsidR="00587D5D" w:rsidRPr="00A62FBD" w:rsidRDefault="00587D5D" w:rsidP="00587D5D">
            <w:pPr>
              <w:pStyle w:val="Bezproreda"/>
              <w:rPr>
                <w:rFonts w:ascii="Cambria" w:hAnsi="Cambria" w:cs="Calibri"/>
              </w:rPr>
            </w:pPr>
            <w:proofErr w:type="spellStart"/>
            <w:r w:rsidRPr="00A62FBD">
              <w:rPr>
                <w:rFonts w:ascii="Cambria" w:hAnsi="Cambria" w:cs="Calibri"/>
                <w:lang w:val="en-US"/>
              </w:rPr>
              <w:t>Rokovi</w:t>
            </w:r>
            <w:proofErr w:type="spellEnd"/>
            <w:r w:rsidRPr="00A62FBD">
              <w:rPr>
                <w:rFonts w:ascii="Cambria" w:hAnsi="Cambria" w:cs="Calibri"/>
                <w:lang w:val="en-US"/>
              </w:rPr>
              <w:t xml:space="preserve"> </w:t>
            </w:r>
            <w:proofErr w:type="spellStart"/>
            <w:r w:rsidRPr="00A62FBD">
              <w:rPr>
                <w:rFonts w:ascii="Cambria" w:hAnsi="Cambria" w:cs="Calibri"/>
                <w:lang w:val="en-US"/>
              </w:rPr>
              <w:t>ispita</w:t>
            </w:r>
            <w:proofErr w:type="spellEnd"/>
            <w:r w:rsidRPr="00A62FBD">
              <w:rPr>
                <w:rFonts w:ascii="Cambria" w:hAnsi="Cambria" w:cs="Calibri"/>
                <w:lang w:val="en-US"/>
              </w:rPr>
              <w:t xml:space="preserve"> </w:t>
            </w:r>
            <w:proofErr w:type="spellStart"/>
            <w:r w:rsidRPr="00A62FBD">
              <w:rPr>
                <w:rFonts w:ascii="Cambria" w:hAnsi="Cambria" w:cs="Calibri"/>
                <w:lang w:val="en-US"/>
              </w:rPr>
              <w:t>i</w:t>
            </w:r>
            <w:proofErr w:type="spellEnd"/>
            <w:r w:rsidRPr="00A62FBD">
              <w:rPr>
                <w:rFonts w:ascii="Cambria" w:hAnsi="Cambria" w:cs="Calibri"/>
                <w:lang w:val="en-US"/>
              </w:rPr>
              <w:t xml:space="preserve"> </w:t>
            </w:r>
            <w:proofErr w:type="spellStart"/>
            <w:r w:rsidRPr="00A62FBD">
              <w:rPr>
                <w:rFonts w:ascii="Cambria" w:hAnsi="Cambria" w:cs="Calibri"/>
                <w:lang w:val="en-US"/>
              </w:rPr>
              <w:t>kolokvija</w:t>
            </w:r>
            <w:proofErr w:type="spellEnd"/>
          </w:p>
        </w:tc>
        <w:tc>
          <w:tcPr>
            <w:tcW w:w="694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6CBE4EB" w14:textId="77777777" w:rsidR="00587D5D" w:rsidRPr="00A62FBD" w:rsidRDefault="00587D5D" w:rsidP="00587D5D">
            <w:pPr>
              <w:pStyle w:val="Bezproreda"/>
              <w:rPr>
                <w:rFonts w:ascii="Cambria" w:hAnsi="Cambria" w:cs="Calibri"/>
              </w:rPr>
            </w:pPr>
            <w:r w:rsidRPr="00A62FBD">
              <w:rPr>
                <w:rFonts w:ascii="Cambria" w:hAnsi="Cambria" w:cs="Calibri"/>
              </w:rPr>
              <w:t>Objavljuju se na početku akademske godine na mrežnim stranicama Fakulteta i u ISVU</w:t>
            </w:r>
          </w:p>
        </w:tc>
      </w:tr>
      <w:tr w:rsidR="00587D5D" w:rsidRPr="00A62FBD" w14:paraId="03F48744" w14:textId="77777777" w:rsidTr="00587D5D">
        <w:trPr>
          <w:gridAfter w:val="1"/>
          <w:wAfter w:w="391" w:type="dxa"/>
        </w:trPr>
        <w:tc>
          <w:tcPr>
            <w:tcW w:w="268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78699C6" w14:textId="77777777" w:rsidR="00587D5D" w:rsidRPr="00A62FBD" w:rsidRDefault="00587D5D" w:rsidP="00587D5D">
            <w:pPr>
              <w:pStyle w:val="Bezproreda"/>
              <w:rPr>
                <w:rFonts w:ascii="Cambria" w:hAnsi="Cambria" w:cs="Calibri"/>
              </w:rPr>
            </w:pPr>
            <w:r w:rsidRPr="00A62FBD">
              <w:rPr>
                <w:rFonts w:ascii="Cambria" w:hAnsi="Cambria" w:cs="Calibri"/>
              </w:rPr>
              <w:t xml:space="preserve">Ostale važne činjenice </w:t>
            </w:r>
            <w:proofErr w:type="spellStart"/>
            <w:r w:rsidRPr="00A62FBD">
              <w:rPr>
                <w:rFonts w:ascii="Cambria" w:hAnsi="Cambria" w:cs="Calibri"/>
                <w:lang w:val="it-IT"/>
              </w:rPr>
              <w:t>vezane</w:t>
            </w:r>
            <w:proofErr w:type="spellEnd"/>
            <w:r w:rsidRPr="00A62FBD">
              <w:rPr>
                <w:rFonts w:ascii="Cambria" w:hAnsi="Cambria" w:cs="Calibri"/>
                <w:lang w:val="it-IT"/>
              </w:rPr>
              <w:t xml:space="preserve"> </w:t>
            </w:r>
            <w:proofErr w:type="spellStart"/>
            <w:r w:rsidRPr="00A62FBD">
              <w:rPr>
                <w:rFonts w:ascii="Cambria" w:hAnsi="Cambria" w:cs="Calibri"/>
                <w:lang w:val="it-IT"/>
              </w:rPr>
              <w:t>uz</w:t>
            </w:r>
            <w:proofErr w:type="spellEnd"/>
            <w:r w:rsidRPr="00A62FBD">
              <w:rPr>
                <w:rFonts w:ascii="Cambria" w:hAnsi="Cambria" w:cs="Calibri"/>
                <w:lang w:val="it-IT"/>
              </w:rPr>
              <w:t xml:space="preserve"> </w:t>
            </w:r>
            <w:proofErr w:type="spellStart"/>
            <w:r w:rsidRPr="00A62FBD">
              <w:rPr>
                <w:rFonts w:ascii="Cambria" w:hAnsi="Cambria" w:cs="Calibri"/>
                <w:lang w:val="it-IT"/>
              </w:rPr>
              <w:t>kolegij</w:t>
            </w:r>
            <w:proofErr w:type="spellEnd"/>
          </w:p>
        </w:tc>
        <w:tc>
          <w:tcPr>
            <w:tcW w:w="694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1C609D7" w14:textId="77777777" w:rsidR="00587D5D" w:rsidRPr="00A62FBD" w:rsidRDefault="00587D5D" w:rsidP="00587D5D">
            <w:pPr>
              <w:pStyle w:val="Bezproreda"/>
              <w:rPr>
                <w:rFonts w:ascii="Cambria" w:hAnsi="Cambria" w:cs="Calibri"/>
              </w:rPr>
            </w:pPr>
            <w:r>
              <w:rPr>
                <w:rFonts w:ascii="Cambria" w:hAnsi="Cambria" w:cs="Calibri"/>
              </w:rPr>
              <w:t xml:space="preserve">Materijali za predavanja i vježbe biti će dostupni na stranicama e-učenja. </w:t>
            </w:r>
          </w:p>
          <w:p w14:paraId="75742677" w14:textId="77777777" w:rsidR="00587D5D" w:rsidRPr="00A62FBD" w:rsidRDefault="00587D5D" w:rsidP="00587D5D">
            <w:pPr>
              <w:pStyle w:val="Bezproreda"/>
              <w:rPr>
                <w:rFonts w:ascii="Cambria" w:hAnsi="Cambria" w:cs="Calibri"/>
              </w:rPr>
            </w:pPr>
            <w:r w:rsidRPr="00A62FBD">
              <w:rPr>
                <w:rFonts w:ascii="Cambria" w:hAnsi="Cambria" w:cs="Calibri"/>
              </w:rPr>
              <w:t>U slučaju održavanja nastave na daljinu, moguće je odstupanje u: mjestu izvođenja kolegija, provedbi aktivnosti, metoda tumačenja i poučavanja i načinima vrednovanja, studentskim obvezama i dostupnoj literaturi. O tome će nositelj</w:t>
            </w:r>
            <w:r>
              <w:rPr>
                <w:rFonts w:ascii="Cambria" w:hAnsi="Cambria" w:cs="Calibri"/>
              </w:rPr>
              <w:t xml:space="preserve"> kolegija</w:t>
            </w:r>
            <w:r w:rsidRPr="00A62FBD">
              <w:rPr>
                <w:rFonts w:ascii="Cambria" w:hAnsi="Cambria" w:cs="Calibri"/>
              </w:rPr>
              <w:t xml:space="preserve"> obavijestiti studente i studentice kad se nastava na daljinu počne održavati. Ishodi učenja ostaju nepromijenjeni.</w:t>
            </w:r>
          </w:p>
        </w:tc>
      </w:tr>
      <w:tr w:rsidR="00587D5D" w:rsidRPr="00A62FBD" w14:paraId="43C85882" w14:textId="77777777" w:rsidTr="00587D5D">
        <w:trPr>
          <w:gridAfter w:val="1"/>
          <w:wAfter w:w="391" w:type="dxa"/>
          <w:trHeight w:val="770"/>
        </w:trPr>
        <w:tc>
          <w:tcPr>
            <w:tcW w:w="268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6F5DBB2" w14:textId="77777777" w:rsidR="00587D5D" w:rsidRPr="00A62FBD" w:rsidRDefault="00587D5D" w:rsidP="00587D5D">
            <w:pPr>
              <w:pStyle w:val="Bezproreda"/>
              <w:rPr>
                <w:rFonts w:ascii="Cambria" w:hAnsi="Cambria" w:cs="Calibri"/>
              </w:rPr>
            </w:pPr>
            <w:r w:rsidRPr="00A62FBD">
              <w:rPr>
                <w:rFonts w:ascii="Cambria" w:hAnsi="Cambria" w:cs="Calibri"/>
              </w:rPr>
              <w:t>Literatura</w:t>
            </w:r>
          </w:p>
        </w:tc>
        <w:tc>
          <w:tcPr>
            <w:tcW w:w="6945"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0850C26C" w14:textId="46E6A8FA" w:rsidR="00587D5D" w:rsidRPr="00587D5D" w:rsidRDefault="00587D5D" w:rsidP="004131DB">
            <w:pPr>
              <w:autoSpaceDE w:val="0"/>
              <w:autoSpaceDN w:val="0"/>
              <w:adjustRightInd w:val="0"/>
              <w:spacing w:after="0" w:line="240" w:lineRule="auto"/>
              <w:rPr>
                <w:rFonts w:ascii="Cambria" w:hAnsi="Cambria" w:cs="Calibri"/>
                <w:bCs/>
                <w:lang w:val="it-IT"/>
              </w:rPr>
            </w:pPr>
            <w:proofErr w:type="spellStart"/>
            <w:r w:rsidRPr="00587D5D">
              <w:rPr>
                <w:rFonts w:ascii="Cambria" w:hAnsi="Cambria" w:cs="Calibri"/>
                <w:bCs/>
                <w:lang w:val="it-IT"/>
              </w:rPr>
              <w:t>Obvezna</w:t>
            </w:r>
            <w:proofErr w:type="spellEnd"/>
            <w:r w:rsidRPr="00587D5D">
              <w:rPr>
                <w:rFonts w:ascii="Cambria" w:hAnsi="Cambria" w:cs="Calibri"/>
                <w:bCs/>
                <w:lang w:val="it-IT"/>
              </w:rPr>
              <w:t>:</w:t>
            </w:r>
          </w:p>
          <w:p w14:paraId="1D3F62C8" w14:textId="1AE2B94E" w:rsidR="00587D5D" w:rsidRPr="00587D5D" w:rsidRDefault="004131DB" w:rsidP="004131DB">
            <w:pPr>
              <w:autoSpaceDE w:val="0"/>
              <w:autoSpaceDN w:val="0"/>
              <w:adjustRightInd w:val="0"/>
              <w:spacing w:after="0" w:line="240" w:lineRule="auto"/>
              <w:rPr>
                <w:rFonts w:ascii="Cambria" w:hAnsi="Cambria" w:cs="Calibri"/>
                <w:bCs/>
                <w:lang w:val="it-IT"/>
              </w:rPr>
            </w:pPr>
            <w:r>
              <w:rPr>
                <w:rFonts w:ascii="Cambria" w:hAnsi="Cambria" w:cs="Calibri"/>
                <w:bCs/>
                <w:lang w:val="it-IT"/>
              </w:rPr>
              <w:t xml:space="preserve">1. </w:t>
            </w:r>
            <w:proofErr w:type="spellStart"/>
            <w:r w:rsidR="00587D5D" w:rsidRPr="00587D5D">
              <w:rPr>
                <w:rFonts w:ascii="Cambria" w:hAnsi="Cambria" w:cs="Calibri"/>
                <w:bCs/>
                <w:lang w:val="it-IT"/>
              </w:rPr>
              <w:t>Maletić</w:t>
            </w:r>
            <w:proofErr w:type="spellEnd"/>
            <w:r w:rsidR="00587D5D" w:rsidRPr="00587D5D">
              <w:rPr>
                <w:rFonts w:ascii="Cambria" w:hAnsi="Cambria" w:cs="Calibri"/>
                <w:bCs/>
                <w:lang w:val="it-IT"/>
              </w:rPr>
              <w:t xml:space="preserve">, I. i dr. (2018). Moj EU </w:t>
            </w:r>
            <w:proofErr w:type="spellStart"/>
            <w:r w:rsidR="00587D5D" w:rsidRPr="00587D5D">
              <w:rPr>
                <w:rFonts w:ascii="Cambria" w:hAnsi="Cambria" w:cs="Calibri"/>
                <w:bCs/>
                <w:lang w:val="it-IT"/>
              </w:rPr>
              <w:t>projekt</w:t>
            </w:r>
            <w:proofErr w:type="spellEnd"/>
            <w:r w:rsidR="00587D5D" w:rsidRPr="00587D5D">
              <w:rPr>
                <w:rFonts w:ascii="Cambria" w:hAnsi="Cambria" w:cs="Calibri"/>
                <w:bCs/>
                <w:lang w:val="it-IT"/>
              </w:rPr>
              <w:t xml:space="preserve"> – </w:t>
            </w:r>
            <w:proofErr w:type="spellStart"/>
            <w:r w:rsidR="00587D5D" w:rsidRPr="00587D5D">
              <w:rPr>
                <w:rFonts w:ascii="Cambria" w:hAnsi="Cambria" w:cs="Calibri"/>
                <w:bCs/>
                <w:lang w:val="it-IT"/>
              </w:rPr>
              <w:t>priručnik</w:t>
            </w:r>
            <w:proofErr w:type="spellEnd"/>
            <w:r w:rsidR="00587D5D" w:rsidRPr="00587D5D">
              <w:rPr>
                <w:rFonts w:ascii="Cambria" w:hAnsi="Cambria" w:cs="Calibri"/>
                <w:bCs/>
                <w:lang w:val="it-IT"/>
              </w:rPr>
              <w:t xml:space="preserve"> za </w:t>
            </w:r>
            <w:proofErr w:type="spellStart"/>
            <w:r w:rsidR="00587D5D" w:rsidRPr="00587D5D">
              <w:rPr>
                <w:rFonts w:ascii="Cambria" w:hAnsi="Cambria" w:cs="Calibri"/>
                <w:bCs/>
                <w:lang w:val="it-IT"/>
              </w:rPr>
              <w:t>pripremu</w:t>
            </w:r>
            <w:proofErr w:type="spellEnd"/>
            <w:r w:rsidR="00587D5D" w:rsidRPr="00587D5D">
              <w:rPr>
                <w:rFonts w:ascii="Cambria" w:hAnsi="Cambria" w:cs="Calibri"/>
                <w:bCs/>
                <w:lang w:val="it-IT"/>
              </w:rPr>
              <w:t xml:space="preserve"> i </w:t>
            </w:r>
            <w:proofErr w:type="spellStart"/>
            <w:r w:rsidR="00587D5D" w:rsidRPr="00587D5D">
              <w:rPr>
                <w:rFonts w:ascii="Cambria" w:hAnsi="Cambria" w:cs="Calibri"/>
                <w:bCs/>
                <w:lang w:val="it-IT"/>
              </w:rPr>
              <w:t>provedbu</w:t>
            </w:r>
            <w:proofErr w:type="spellEnd"/>
            <w:r w:rsidR="00587D5D" w:rsidRPr="00587D5D">
              <w:rPr>
                <w:rFonts w:ascii="Cambria" w:hAnsi="Cambria" w:cs="Calibri"/>
                <w:bCs/>
                <w:lang w:val="it-IT"/>
              </w:rPr>
              <w:t xml:space="preserve"> EU </w:t>
            </w:r>
            <w:proofErr w:type="spellStart"/>
            <w:r w:rsidR="00587D5D" w:rsidRPr="00587D5D">
              <w:rPr>
                <w:rFonts w:ascii="Cambria" w:hAnsi="Cambria" w:cs="Calibri"/>
                <w:bCs/>
                <w:lang w:val="it-IT"/>
              </w:rPr>
              <w:t>projekata</w:t>
            </w:r>
            <w:proofErr w:type="spellEnd"/>
            <w:r w:rsidR="00587D5D" w:rsidRPr="00587D5D">
              <w:rPr>
                <w:rFonts w:ascii="Cambria" w:hAnsi="Cambria" w:cs="Calibri"/>
                <w:bCs/>
                <w:lang w:val="it-IT"/>
              </w:rPr>
              <w:t xml:space="preserve">. </w:t>
            </w:r>
            <w:proofErr w:type="spellStart"/>
            <w:r w:rsidR="00587D5D" w:rsidRPr="00587D5D">
              <w:rPr>
                <w:rFonts w:ascii="Cambria" w:hAnsi="Cambria" w:cs="Calibri"/>
                <w:bCs/>
                <w:lang w:val="it-IT"/>
              </w:rPr>
              <w:t>Zagreb</w:t>
            </w:r>
            <w:proofErr w:type="spellEnd"/>
            <w:r w:rsidR="00587D5D" w:rsidRPr="00587D5D">
              <w:rPr>
                <w:rFonts w:ascii="Cambria" w:hAnsi="Cambria" w:cs="Calibri"/>
                <w:bCs/>
                <w:lang w:val="it-IT"/>
              </w:rPr>
              <w:t>: TIM4PIN</w:t>
            </w:r>
          </w:p>
          <w:p w14:paraId="23BD5951" w14:textId="2BC32A3D" w:rsidR="00587D5D" w:rsidRPr="00587D5D" w:rsidRDefault="004131DB" w:rsidP="004131DB">
            <w:pPr>
              <w:autoSpaceDE w:val="0"/>
              <w:autoSpaceDN w:val="0"/>
              <w:adjustRightInd w:val="0"/>
              <w:spacing w:after="0" w:line="240" w:lineRule="auto"/>
              <w:rPr>
                <w:rFonts w:ascii="Cambria" w:hAnsi="Cambria" w:cs="Calibri"/>
                <w:bCs/>
                <w:lang w:val="it-IT"/>
              </w:rPr>
            </w:pPr>
            <w:r>
              <w:rPr>
                <w:rFonts w:ascii="Cambria" w:hAnsi="Cambria" w:cs="Calibri"/>
                <w:bCs/>
                <w:lang w:val="it-IT"/>
              </w:rPr>
              <w:t xml:space="preserve">2. </w:t>
            </w:r>
            <w:proofErr w:type="spellStart"/>
            <w:r w:rsidR="00587D5D" w:rsidRPr="00587D5D">
              <w:rPr>
                <w:rFonts w:ascii="Cambria" w:hAnsi="Cambria" w:cs="Calibri"/>
                <w:bCs/>
                <w:lang w:val="it-IT"/>
              </w:rPr>
              <w:t>Bošnjak</w:t>
            </w:r>
            <w:proofErr w:type="spellEnd"/>
            <w:r w:rsidR="00587D5D" w:rsidRPr="00587D5D">
              <w:rPr>
                <w:rFonts w:ascii="Cambria" w:hAnsi="Cambria" w:cs="Calibri"/>
                <w:bCs/>
                <w:lang w:val="it-IT"/>
              </w:rPr>
              <w:t xml:space="preserve">, N. (2018). EU </w:t>
            </w:r>
            <w:proofErr w:type="spellStart"/>
            <w:r w:rsidR="00587D5D" w:rsidRPr="00587D5D">
              <w:rPr>
                <w:rFonts w:ascii="Cambria" w:hAnsi="Cambria" w:cs="Calibri"/>
                <w:bCs/>
                <w:lang w:val="it-IT"/>
              </w:rPr>
              <w:t>fondovi</w:t>
            </w:r>
            <w:proofErr w:type="spellEnd"/>
            <w:r w:rsidR="00587D5D" w:rsidRPr="00587D5D">
              <w:rPr>
                <w:rFonts w:ascii="Cambria" w:hAnsi="Cambria" w:cs="Calibri"/>
                <w:bCs/>
                <w:lang w:val="it-IT"/>
              </w:rPr>
              <w:t xml:space="preserve"> i </w:t>
            </w:r>
            <w:proofErr w:type="spellStart"/>
            <w:r w:rsidR="00587D5D" w:rsidRPr="00587D5D">
              <w:rPr>
                <w:rFonts w:ascii="Cambria" w:hAnsi="Cambria" w:cs="Calibri"/>
                <w:bCs/>
                <w:lang w:val="it-IT"/>
              </w:rPr>
              <w:t>projektni</w:t>
            </w:r>
            <w:proofErr w:type="spellEnd"/>
            <w:r w:rsidR="00587D5D" w:rsidRPr="00587D5D">
              <w:rPr>
                <w:rFonts w:ascii="Cambria" w:hAnsi="Cambria" w:cs="Calibri"/>
                <w:bCs/>
                <w:lang w:val="it-IT"/>
              </w:rPr>
              <w:t xml:space="preserve"> </w:t>
            </w:r>
            <w:proofErr w:type="spellStart"/>
            <w:r w:rsidR="00587D5D" w:rsidRPr="00587D5D">
              <w:rPr>
                <w:rFonts w:ascii="Cambria" w:hAnsi="Cambria" w:cs="Calibri"/>
                <w:bCs/>
                <w:lang w:val="it-IT"/>
              </w:rPr>
              <w:t>ciklus</w:t>
            </w:r>
            <w:proofErr w:type="spellEnd"/>
            <w:r w:rsidR="00587D5D" w:rsidRPr="00587D5D">
              <w:rPr>
                <w:rFonts w:ascii="Cambria" w:hAnsi="Cambria" w:cs="Calibri"/>
                <w:bCs/>
                <w:lang w:val="it-IT"/>
              </w:rPr>
              <w:t xml:space="preserve"> za </w:t>
            </w:r>
            <w:proofErr w:type="spellStart"/>
            <w:r w:rsidR="00587D5D" w:rsidRPr="00587D5D">
              <w:rPr>
                <w:rFonts w:ascii="Cambria" w:hAnsi="Cambria" w:cs="Calibri"/>
                <w:bCs/>
                <w:lang w:val="it-IT"/>
              </w:rPr>
              <w:t>apsolutne</w:t>
            </w:r>
            <w:proofErr w:type="spellEnd"/>
            <w:r w:rsidR="00587D5D" w:rsidRPr="00587D5D">
              <w:rPr>
                <w:rFonts w:ascii="Cambria" w:hAnsi="Cambria" w:cs="Calibri"/>
                <w:bCs/>
                <w:lang w:val="it-IT"/>
              </w:rPr>
              <w:t xml:space="preserve"> </w:t>
            </w:r>
            <w:proofErr w:type="spellStart"/>
            <w:r w:rsidR="00587D5D" w:rsidRPr="00587D5D">
              <w:rPr>
                <w:rFonts w:ascii="Cambria" w:hAnsi="Cambria" w:cs="Calibri"/>
                <w:bCs/>
                <w:lang w:val="it-IT"/>
              </w:rPr>
              <w:t>početnike</w:t>
            </w:r>
            <w:proofErr w:type="spellEnd"/>
            <w:r w:rsidR="00587D5D" w:rsidRPr="00587D5D">
              <w:rPr>
                <w:rFonts w:ascii="Cambria" w:hAnsi="Cambria" w:cs="Calibri"/>
                <w:bCs/>
                <w:lang w:val="it-IT"/>
              </w:rPr>
              <w:t xml:space="preserve">. </w:t>
            </w:r>
            <w:proofErr w:type="spellStart"/>
            <w:r w:rsidR="00587D5D" w:rsidRPr="00587D5D">
              <w:rPr>
                <w:rFonts w:ascii="Cambria" w:hAnsi="Cambria" w:cs="Calibri"/>
                <w:bCs/>
                <w:lang w:val="it-IT"/>
              </w:rPr>
              <w:t>Zagreb</w:t>
            </w:r>
            <w:proofErr w:type="spellEnd"/>
            <w:r w:rsidR="00587D5D" w:rsidRPr="00587D5D">
              <w:rPr>
                <w:rFonts w:ascii="Cambria" w:hAnsi="Cambria" w:cs="Calibri"/>
                <w:bCs/>
                <w:lang w:val="it-IT"/>
              </w:rPr>
              <w:t xml:space="preserve">: </w:t>
            </w:r>
            <w:proofErr w:type="spellStart"/>
            <w:r w:rsidR="00587D5D" w:rsidRPr="00587D5D">
              <w:rPr>
                <w:rFonts w:ascii="Cambria" w:hAnsi="Cambria" w:cs="Calibri"/>
                <w:bCs/>
                <w:lang w:val="it-IT"/>
              </w:rPr>
              <w:t>Geologika</w:t>
            </w:r>
            <w:proofErr w:type="spellEnd"/>
            <w:r w:rsidR="00587D5D" w:rsidRPr="00587D5D">
              <w:rPr>
                <w:rFonts w:ascii="Cambria" w:hAnsi="Cambria" w:cs="Calibri"/>
                <w:bCs/>
                <w:lang w:val="it-IT"/>
              </w:rPr>
              <w:t xml:space="preserve"> Regulus</w:t>
            </w:r>
          </w:p>
          <w:p w14:paraId="663D6333" w14:textId="77777777" w:rsidR="004131DB" w:rsidRDefault="004131DB" w:rsidP="004131DB">
            <w:pPr>
              <w:autoSpaceDE w:val="0"/>
              <w:autoSpaceDN w:val="0"/>
              <w:adjustRightInd w:val="0"/>
              <w:spacing w:after="0" w:line="240" w:lineRule="auto"/>
              <w:rPr>
                <w:rFonts w:ascii="Cambria" w:hAnsi="Cambria" w:cs="Calibri"/>
                <w:bCs/>
                <w:lang w:val="it-IT"/>
              </w:rPr>
            </w:pPr>
            <w:r>
              <w:rPr>
                <w:rFonts w:ascii="Cambria" w:hAnsi="Cambria" w:cs="Calibri"/>
                <w:bCs/>
                <w:lang w:val="it-IT"/>
              </w:rPr>
              <w:t xml:space="preserve">3. </w:t>
            </w:r>
            <w:proofErr w:type="spellStart"/>
            <w:r w:rsidR="00587D5D" w:rsidRPr="00587D5D">
              <w:rPr>
                <w:rFonts w:ascii="Cambria" w:hAnsi="Cambria" w:cs="Calibri"/>
                <w:bCs/>
                <w:lang w:val="it-IT"/>
              </w:rPr>
              <w:t>Europska</w:t>
            </w:r>
            <w:proofErr w:type="spellEnd"/>
            <w:r w:rsidR="00587D5D" w:rsidRPr="00587D5D">
              <w:rPr>
                <w:rFonts w:ascii="Cambria" w:hAnsi="Cambria" w:cs="Calibri"/>
                <w:bCs/>
                <w:lang w:val="it-IT"/>
              </w:rPr>
              <w:t xml:space="preserve"> </w:t>
            </w:r>
            <w:proofErr w:type="spellStart"/>
            <w:r w:rsidR="00587D5D" w:rsidRPr="00587D5D">
              <w:rPr>
                <w:rFonts w:ascii="Cambria" w:hAnsi="Cambria" w:cs="Calibri"/>
                <w:bCs/>
                <w:lang w:val="it-IT"/>
              </w:rPr>
              <w:t>komisija</w:t>
            </w:r>
            <w:proofErr w:type="spellEnd"/>
            <w:r w:rsidR="00587D5D" w:rsidRPr="00587D5D">
              <w:rPr>
                <w:rFonts w:ascii="Cambria" w:hAnsi="Cambria" w:cs="Calibri"/>
                <w:bCs/>
                <w:lang w:val="it-IT"/>
              </w:rPr>
              <w:t xml:space="preserve"> (2016). Erasmus+. </w:t>
            </w:r>
            <w:proofErr w:type="spellStart"/>
            <w:r w:rsidR="00587D5D" w:rsidRPr="00587D5D">
              <w:rPr>
                <w:rFonts w:ascii="Cambria" w:hAnsi="Cambria" w:cs="Calibri"/>
                <w:bCs/>
                <w:lang w:val="it-IT"/>
              </w:rPr>
              <w:t>Praktičan</w:t>
            </w:r>
            <w:proofErr w:type="spellEnd"/>
            <w:r w:rsidR="00587D5D" w:rsidRPr="00587D5D">
              <w:rPr>
                <w:rFonts w:ascii="Cambria" w:hAnsi="Cambria" w:cs="Calibri"/>
                <w:bCs/>
                <w:lang w:val="it-IT"/>
              </w:rPr>
              <w:t xml:space="preserve"> </w:t>
            </w:r>
            <w:proofErr w:type="spellStart"/>
            <w:r w:rsidR="00587D5D" w:rsidRPr="00587D5D">
              <w:rPr>
                <w:rFonts w:ascii="Cambria" w:hAnsi="Cambria" w:cs="Calibri"/>
                <w:bCs/>
                <w:lang w:val="it-IT"/>
              </w:rPr>
              <w:t>vodič</w:t>
            </w:r>
            <w:proofErr w:type="spellEnd"/>
            <w:r w:rsidR="00587D5D" w:rsidRPr="00587D5D">
              <w:rPr>
                <w:rFonts w:ascii="Cambria" w:hAnsi="Cambria" w:cs="Calibri"/>
                <w:bCs/>
                <w:lang w:val="it-IT"/>
              </w:rPr>
              <w:t xml:space="preserve"> za </w:t>
            </w:r>
            <w:proofErr w:type="spellStart"/>
            <w:r w:rsidR="00587D5D" w:rsidRPr="00587D5D">
              <w:rPr>
                <w:rFonts w:ascii="Cambria" w:hAnsi="Cambria" w:cs="Calibri"/>
                <w:bCs/>
                <w:lang w:val="it-IT"/>
              </w:rPr>
              <w:t>ravnatelje</w:t>
            </w:r>
            <w:proofErr w:type="spellEnd"/>
            <w:r w:rsidR="00587D5D" w:rsidRPr="00587D5D">
              <w:rPr>
                <w:rFonts w:ascii="Cambria" w:hAnsi="Cambria" w:cs="Calibri"/>
                <w:bCs/>
                <w:lang w:val="it-IT"/>
              </w:rPr>
              <w:t xml:space="preserve"> i </w:t>
            </w:r>
            <w:proofErr w:type="spellStart"/>
            <w:r w:rsidR="00587D5D" w:rsidRPr="00587D5D">
              <w:rPr>
                <w:rFonts w:ascii="Cambria" w:hAnsi="Cambria" w:cs="Calibri"/>
                <w:bCs/>
                <w:lang w:val="it-IT"/>
              </w:rPr>
              <w:t>stručne</w:t>
            </w:r>
            <w:proofErr w:type="spellEnd"/>
            <w:r w:rsidR="00587D5D" w:rsidRPr="00587D5D">
              <w:rPr>
                <w:rFonts w:ascii="Cambria" w:hAnsi="Cambria" w:cs="Calibri"/>
                <w:bCs/>
                <w:lang w:val="it-IT"/>
              </w:rPr>
              <w:t xml:space="preserve"> </w:t>
            </w:r>
            <w:proofErr w:type="spellStart"/>
            <w:r w:rsidR="00587D5D" w:rsidRPr="00587D5D">
              <w:rPr>
                <w:rFonts w:ascii="Cambria" w:hAnsi="Cambria" w:cs="Calibri"/>
                <w:bCs/>
                <w:lang w:val="it-IT"/>
              </w:rPr>
              <w:t>timove</w:t>
            </w:r>
            <w:proofErr w:type="spellEnd"/>
            <w:r w:rsidR="00587D5D" w:rsidRPr="00587D5D">
              <w:rPr>
                <w:rFonts w:ascii="Cambria" w:hAnsi="Cambria" w:cs="Calibri"/>
                <w:bCs/>
                <w:lang w:val="it-IT"/>
              </w:rPr>
              <w:t xml:space="preserve"> u </w:t>
            </w:r>
            <w:proofErr w:type="spellStart"/>
            <w:r w:rsidR="00587D5D" w:rsidRPr="00587D5D">
              <w:rPr>
                <w:rFonts w:ascii="Cambria" w:hAnsi="Cambria" w:cs="Calibri"/>
                <w:bCs/>
                <w:lang w:val="it-IT"/>
              </w:rPr>
              <w:t>školama</w:t>
            </w:r>
            <w:proofErr w:type="spellEnd"/>
            <w:r w:rsidR="00587D5D" w:rsidRPr="00587D5D">
              <w:rPr>
                <w:rFonts w:ascii="Cambria" w:hAnsi="Cambria" w:cs="Calibri"/>
                <w:bCs/>
                <w:lang w:val="it-IT"/>
              </w:rPr>
              <w:t xml:space="preserve"> </w:t>
            </w:r>
            <w:proofErr w:type="spellStart"/>
            <w:r w:rsidR="00587D5D" w:rsidRPr="00587D5D">
              <w:rPr>
                <w:rFonts w:ascii="Cambria" w:hAnsi="Cambria" w:cs="Calibri"/>
                <w:bCs/>
                <w:lang w:val="it-IT"/>
              </w:rPr>
              <w:t>Zagreb</w:t>
            </w:r>
            <w:proofErr w:type="spellEnd"/>
            <w:r w:rsidR="00587D5D" w:rsidRPr="00587D5D">
              <w:rPr>
                <w:rFonts w:ascii="Cambria" w:hAnsi="Cambria" w:cs="Calibri"/>
                <w:bCs/>
                <w:lang w:val="it-IT"/>
              </w:rPr>
              <w:t xml:space="preserve">: </w:t>
            </w:r>
            <w:proofErr w:type="spellStart"/>
            <w:r w:rsidR="00587D5D" w:rsidRPr="00587D5D">
              <w:rPr>
                <w:rFonts w:ascii="Cambria" w:hAnsi="Cambria" w:cs="Calibri"/>
                <w:bCs/>
                <w:lang w:val="it-IT"/>
              </w:rPr>
              <w:t>Agencija</w:t>
            </w:r>
            <w:proofErr w:type="spellEnd"/>
            <w:r w:rsidR="00587D5D" w:rsidRPr="00587D5D">
              <w:rPr>
                <w:rFonts w:ascii="Cambria" w:hAnsi="Cambria" w:cs="Calibri"/>
                <w:bCs/>
                <w:lang w:val="it-IT"/>
              </w:rPr>
              <w:t xml:space="preserve"> za </w:t>
            </w:r>
            <w:proofErr w:type="spellStart"/>
            <w:r w:rsidR="00587D5D" w:rsidRPr="00587D5D">
              <w:rPr>
                <w:rFonts w:ascii="Cambria" w:hAnsi="Cambria" w:cs="Calibri"/>
                <w:bCs/>
                <w:lang w:val="it-IT"/>
              </w:rPr>
              <w:t>mobilnost</w:t>
            </w:r>
            <w:proofErr w:type="spellEnd"/>
            <w:r w:rsidR="00587D5D" w:rsidRPr="00587D5D">
              <w:rPr>
                <w:rFonts w:ascii="Cambria" w:hAnsi="Cambria" w:cs="Calibri"/>
                <w:bCs/>
                <w:lang w:val="it-IT"/>
              </w:rPr>
              <w:t xml:space="preserve"> i </w:t>
            </w:r>
            <w:proofErr w:type="spellStart"/>
            <w:r w:rsidR="00587D5D" w:rsidRPr="00587D5D">
              <w:rPr>
                <w:rFonts w:ascii="Cambria" w:hAnsi="Cambria" w:cs="Calibri"/>
                <w:bCs/>
                <w:lang w:val="it-IT"/>
              </w:rPr>
              <w:t>programe</w:t>
            </w:r>
            <w:proofErr w:type="spellEnd"/>
            <w:r w:rsidR="00587D5D" w:rsidRPr="00587D5D">
              <w:rPr>
                <w:rFonts w:ascii="Cambria" w:hAnsi="Cambria" w:cs="Calibri"/>
                <w:bCs/>
                <w:lang w:val="it-IT"/>
              </w:rPr>
              <w:t xml:space="preserve"> </w:t>
            </w:r>
          </w:p>
          <w:p w14:paraId="65FF9B94" w14:textId="2E3945F4" w:rsidR="00587D5D" w:rsidRPr="00587D5D" w:rsidRDefault="004131DB" w:rsidP="004131DB">
            <w:pPr>
              <w:autoSpaceDE w:val="0"/>
              <w:autoSpaceDN w:val="0"/>
              <w:adjustRightInd w:val="0"/>
              <w:spacing w:after="0" w:line="240" w:lineRule="auto"/>
              <w:rPr>
                <w:rFonts w:ascii="Cambria" w:hAnsi="Cambria" w:cs="Calibri"/>
                <w:bCs/>
                <w:lang w:val="it-IT"/>
              </w:rPr>
            </w:pPr>
            <w:r>
              <w:rPr>
                <w:rFonts w:ascii="Cambria" w:hAnsi="Cambria" w:cs="Calibri"/>
                <w:bCs/>
                <w:lang w:val="it-IT"/>
              </w:rPr>
              <w:t xml:space="preserve">4. </w:t>
            </w:r>
            <w:proofErr w:type="spellStart"/>
            <w:r w:rsidR="00587D5D" w:rsidRPr="00587D5D">
              <w:rPr>
                <w:rFonts w:ascii="Cambria" w:hAnsi="Cambria" w:cs="Calibri"/>
                <w:bCs/>
                <w:lang w:val="it-IT"/>
              </w:rPr>
              <w:t>Europske</w:t>
            </w:r>
            <w:proofErr w:type="spellEnd"/>
            <w:r w:rsidR="00587D5D" w:rsidRPr="00587D5D">
              <w:rPr>
                <w:rFonts w:ascii="Cambria" w:hAnsi="Cambria" w:cs="Calibri"/>
                <w:bCs/>
                <w:lang w:val="it-IT"/>
              </w:rPr>
              <w:t xml:space="preserve"> </w:t>
            </w:r>
            <w:proofErr w:type="spellStart"/>
            <w:r w:rsidR="00587D5D" w:rsidRPr="00587D5D">
              <w:rPr>
                <w:rFonts w:ascii="Cambria" w:hAnsi="Cambria" w:cs="Calibri"/>
                <w:bCs/>
                <w:lang w:val="it-IT"/>
              </w:rPr>
              <w:t>unije</w:t>
            </w:r>
            <w:proofErr w:type="spellEnd"/>
            <w:r w:rsidR="00587D5D" w:rsidRPr="00587D5D">
              <w:rPr>
                <w:rFonts w:ascii="Cambria" w:hAnsi="Cambria" w:cs="Calibri"/>
                <w:bCs/>
                <w:lang w:val="it-IT"/>
              </w:rPr>
              <w:t xml:space="preserve"> (</w:t>
            </w:r>
            <w:proofErr w:type="spellStart"/>
            <w:r w:rsidR="00587D5D" w:rsidRPr="00587D5D">
              <w:rPr>
                <w:rFonts w:ascii="Cambria" w:hAnsi="Cambria" w:cs="Calibri"/>
                <w:bCs/>
                <w:lang w:val="it-IT"/>
              </w:rPr>
              <w:t>brošura</w:t>
            </w:r>
            <w:proofErr w:type="spellEnd"/>
            <w:r w:rsidR="00587D5D" w:rsidRPr="00587D5D">
              <w:rPr>
                <w:rFonts w:ascii="Cambria" w:hAnsi="Cambria" w:cs="Calibri"/>
                <w:bCs/>
                <w:lang w:val="it-IT"/>
              </w:rPr>
              <w:t>)</w:t>
            </w:r>
          </w:p>
          <w:p w14:paraId="1A005E2D" w14:textId="77777777" w:rsidR="00587D5D" w:rsidRPr="00587D5D" w:rsidRDefault="00587D5D" w:rsidP="004131DB">
            <w:pPr>
              <w:autoSpaceDE w:val="0"/>
              <w:autoSpaceDN w:val="0"/>
              <w:adjustRightInd w:val="0"/>
              <w:spacing w:after="0" w:line="240" w:lineRule="auto"/>
              <w:rPr>
                <w:rFonts w:ascii="Cambria" w:hAnsi="Cambria" w:cs="Calibri"/>
                <w:lang w:val="it-IT"/>
              </w:rPr>
            </w:pPr>
            <w:proofErr w:type="spellStart"/>
            <w:r w:rsidRPr="00587D5D">
              <w:rPr>
                <w:rFonts w:ascii="Cambria" w:hAnsi="Cambria" w:cs="Calibri"/>
                <w:lang w:val="it-IT"/>
              </w:rPr>
              <w:t>Izborna</w:t>
            </w:r>
            <w:proofErr w:type="spellEnd"/>
            <w:r w:rsidRPr="00587D5D">
              <w:rPr>
                <w:rFonts w:ascii="Cambria" w:hAnsi="Cambria" w:cs="Calibri"/>
                <w:lang w:val="it-IT"/>
              </w:rPr>
              <w:t xml:space="preserve">: </w:t>
            </w:r>
          </w:p>
          <w:p w14:paraId="1B299CEC" w14:textId="3BA43B4F" w:rsidR="00587D5D" w:rsidRPr="000960A1" w:rsidRDefault="004131DB" w:rsidP="004131DB">
            <w:pPr>
              <w:autoSpaceDE w:val="0"/>
              <w:autoSpaceDN w:val="0"/>
              <w:adjustRightInd w:val="0"/>
              <w:spacing w:after="0" w:line="240" w:lineRule="auto"/>
              <w:rPr>
                <w:rFonts w:ascii="Cambria" w:hAnsi="Cambria" w:cs="Calibri"/>
                <w:bCs/>
              </w:rPr>
            </w:pPr>
            <w:r>
              <w:rPr>
                <w:rFonts w:ascii="Cambria" w:hAnsi="Cambria" w:cs="Calibri"/>
                <w:bCs/>
                <w:lang w:val="it-IT"/>
              </w:rPr>
              <w:t xml:space="preserve">1. </w:t>
            </w:r>
            <w:proofErr w:type="spellStart"/>
            <w:r w:rsidR="00587D5D" w:rsidRPr="00587D5D">
              <w:rPr>
                <w:rFonts w:ascii="Cambria" w:hAnsi="Cambria" w:cs="Calibri"/>
                <w:bCs/>
                <w:lang w:val="it-IT"/>
              </w:rPr>
              <w:t>Maletić</w:t>
            </w:r>
            <w:proofErr w:type="spellEnd"/>
            <w:r w:rsidR="00587D5D" w:rsidRPr="00587D5D">
              <w:rPr>
                <w:rFonts w:ascii="Cambria" w:hAnsi="Cambria" w:cs="Calibri"/>
                <w:bCs/>
                <w:lang w:val="it-IT"/>
              </w:rPr>
              <w:t xml:space="preserve">, I. i dr. (2020). </w:t>
            </w:r>
            <w:proofErr w:type="spellStart"/>
            <w:r w:rsidR="00587D5D" w:rsidRPr="00587D5D">
              <w:rPr>
                <w:rFonts w:ascii="Cambria" w:hAnsi="Cambria" w:cs="Calibri"/>
                <w:bCs/>
                <w:lang w:val="it-IT"/>
              </w:rPr>
              <w:t>Vodič</w:t>
            </w:r>
            <w:proofErr w:type="spellEnd"/>
            <w:r w:rsidR="00587D5D" w:rsidRPr="00587D5D">
              <w:rPr>
                <w:rFonts w:ascii="Cambria" w:hAnsi="Cambria" w:cs="Calibri"/>
                <w:bCs/>
                <w:lang w:val="it-IT"/>
              </w:rPr>
              <w:t xml:space="preserve"> </w:t>
            </w:r>
            <w:proofErr w:type="spellStart"/>
            <w:r w:rsidR="00587D5D" w:rsidRPr="00587D5D">
              <w:rPr>
                <w:rFonts w:ascii="Cambria" w:hAnsi="Cambria" w:cs="Calibri"/>
                <w:bCs/>
                <w:lang w:val="it-IT"/>
              </w:rPr>
              <w:t>kroz</w:t>
            </w:r>
            <w:proofErr w:type="spellEnd"/>
            <w:r w:rsidR="00587D5D" w:rsidRPr="00587D5D">
              <w:rPr>
                <w:rFonts w:ascii="Cambria" w:hAnsi="Cambria" w:cs="Calibri"/>
                <w:bCs/>
                <w:lang w:val="it-IT"/>
              </w:rPr>
              <w:t xml:space="preserve"> </w:t>
            </w:r>
            <w:proofErr w:type="spellStart"/>
            <w:r w:rsidR="00587D5D" w:rsidRPr="00587D5D">
              <w:rPr>
                <w:rFonts w:ascii="Cambria" w:hAnsi="Cambria" w:cs="Calibri"/>
                <w:bCs/>
                <w:lang w:val="it-IT"/>
              </w:rPr>
              <w:t>programe</w:t>
            </w:r>
            <w:proofErr w:type="spellEnd"/>
            <w:r w:rsidR="00587D5D" w:rsidRPr="00587D5D">
              <w:rPr>
                <w:rFonts w:ascii="Cambria" w:hAnsi="Cambria" w:cs="Calibri"/>
                <w:bCs/>
                <w:lang w:val="it-IT"/>
              </w:rPr>
              <w:t xml:space="preserve"> i </w:t>
            </w:r>
            <w:proofErr w:type="spellStart"/>
            <w:r w:rsidR="00587D5D" w:rsidRPr="00587D5D">
              <w:rPr>
                <w:rFonts w:ascii="Cambria" w:hAnsi="Cambria" w:cs="Calibri"/>
                <w:bCs/>
                <w:lang w:val="it-IT"/>
              </w:rPr>
              <w:t>fondove</w:t>
            </w:r>
            <w:proofErr w:type="spellEnd"/>
            <w:r w:rsidR="00587D5D" w:rsidRPr="00587D5D">
              <w:rPr>
                <w:rFonts w:ascii="Cambria" w:hAnsi="Cambria" w:cs="Calibri"/>
                <w:bCs/>
                <w:lang w:val="it-IT"/>
              </w:rPr>
              <w:t xml:space="preserve"> EU-a </w:t>
            </w:r>
            <w:proofErr w:type="gramStart"/>
            <w:r w:rsidR="00587D5D" w:rsidRPr="00587D5D">
              <w:rPr>
                <w:rFonts w:ascii="Cambria" w:hAnsi="Cambria" w:cs="Calibri"/>
                <w:bCs/>
                <w:lang w:val="it-IT"/>
              </w:rPr>
              <w:t>2021.-2027..</w:t>
            </w:r>
            <w:proofErr w:type="gramEnd"/>
            <w:r w:rsidR="00587D5D" w:rsidRPr="00587D5D">
              <w:rPr>
                <w:rFonts w:ascii="Cambria" w:hAnsi="Cambria" w:cs="Calibri"/>
                <w:bCs/>
                <w:lang w:val="it-IT"/>
              </w:rPr>
              <w:t xml:space="preserve"> </w:t>
            </w:r>
            <w:r w:rsidR="00587D5D" w:rsidRPr="000960A1">
              <w:rPr>
                <w:rFonts w:ascii="Cambria" w:hAnsi="Cambria" w:cs="Calibri"/>
                <w:bCs/>
              </w:rPr>
              <w:t>Zagreb: TIM4PIN</w:t>
            </w:r>
          </w:p>
          <w:p w14:paraId="2675C288" w14:textId="389D7356" w:rsidR="00587D5D" w:rsidRPr="00987A64" w:rsidRDefault="004131DB" w:rsidP="004131DB">
            <w:pPr>
              <w:autoSpaceDE w:val="0"/>
              <w:autoSpaceDN w:val="0"/>
              <w:adjustRightInd w:val="0"/>
              <w:spacing w:after="0" w:line="240" w:lineRule="auto"/>
              <w:rPr>
                <w:rFonts w:ascii="Cambria" w:hAnsi="Cambria" w:cs="Calibri"/>
              </w:rPr>
            </w:pPr>
            <w:r>
              <w:rPr>
                <w:rFonts w:ascii="Cambria" w:hAnsi="Cambria" w:cs="Calibri"/>
              </w:rPr>
              <w:t xml:space="preserve">2. </w:t>
            </w:r>
            <w:proofErr w:type="spellStart"/>
            <w:r w:rsidR="00587D5D" w:rsidRPr="00987A64">
              <w:rPr>
                <w:rFonts w:ascii="Cambria" w:hAnsi="Cambria" w:cs="Calibri"/>
              </w:rPr>
              <w:t>Heerkens</w:t>
            </w:r>
            <w:proofErr w:type="spellEnd"/>
            <w:r w:rsidR="00587D5D" w:rsidRPr="00987A64">
              <w:rPr>
                <w:rFonts w:ascii="Cambria" w:hAnsi="Cambria" w:cs="Calibri"/>
              </w:rPr>
              <w:t xml:space="preserve">, G. R. (2020). </w:t>
            </w:r>
            <w:proofErr w:type="spellStart"/>
            <w:r w:rsidR="00587D5D" w:rsidRPr="00987A64">
              <w:rPr>
                <w:rFonts w:ascii="Cambria" w:hAnsi="Cambria" w:cs="Calibri"/>
              </w:rPr>
              <w:t>Upravljanje</w:t>
            </w:r>
            <w:proofErr w:type="spellEnd"/>
            <w:r w:rsidR="00587D5D" w:rsidRPr="00987A64">
              <w:rPr>
                <w:rFonts w:ascii="Cambria" w:hAnsi="Cambria" w:cs="Calibri"/>
              </w:rPr>
              <w:t xml:space="preserve"> </w:t>
            </w:r>
            <w:proofErr w:type="spellStart"/>
            <w:r w:rsidR="00587D5D" w:rsidRPr="00987A64">
              <w:rPr>
                <w:rFonts w:ascii="Cambria" w:hAnsi="Cambria" w:cs="Calibri"/>
              </w:rPr>
              <w:t>projektom</w:t>
            </w:r>
            <w:proofErr w:type="spellEnd"/>
            <w:r w:rsidR="00587D5D" w:rsidRPr="00987A64">
              <w:rPr>
                <w:rFonts w:ascii="Cambria" w:hAnsi="Cambria" w:cs="Calibri"/>
              </w:rPr>
              <w:t>. Zagreb: Mate</w:t>
            </w:r>
          </w:p>
          <w:p w14:paraId="0EB4A91C" w14:textId="3E646D70" w:rsidR="00587D5D" w:rsidRPr="00797EE6" w:rsidRDefault="004131DB" w:rsidP="004131DB">
            <w:pPr>
              <w:autoSpaceDE w:val="0"/>
              <w:autoSpaceDN w:val="0"/>
              <w:adjustRightInd w:val="0"/>
              <w:spacing w:after="0" w:line="240" w:lineRule="auto"/>
              <w:rPr>
                <w:rFonts w:ascii="Cambria" w:hAnsi="Cambria" w:cs="Calibri"/>
              </w:rPr>
            </w:pPr>
            <w:r>
              <w:rPr>
                <w:rFonts w:ascii="Cambria" w:hAnsi="Cambria" w:cs="Calibri"/>
              </w:rPr>
              <w:t xml:space="preserve">3. </w:t>
            </w:r>
            <w:proofErr w:type="spellStart"/>
            <w:r w:rsidR="00587D5D" w:rsidRPr="00987A64">
              <w:rPr>
                <w:rFonts w:ascii="Cambria" w:hAnsi="Cambria" w:cs="Calibri"/>
              </w:rPr>
              <w:t>Kosor</w:t>
            </w:r>
            <w:proofErr w:type="spellEnd"/>
            <w:r w:rsidR="00587D5D" w:rsidRPr="00987A64">
              <w:rPr>
                <w:rFonts w:ascii="Cambria" w:hAnsi="Cambria" w:cs="Calibri"/>
              </w:rPr>
              <w:t>, K. (</w:t>
            </w:r>
            <w:proofErr w:type="spellStart"/>
            <w:r w:rsidR="00587D5D" w:rsidRPr="00987A64">
              <w:rPr>
                <w:rFonts w:ascii="Cambria" w:hAnsi="Cambria" w:cs="Calibri"/>
              </w:rPr>
              <w:t>ur</w:t>
            </w:r>
            <w:proofErr w:type="spellEnd"/>
            <w:r w:rsidR="00587D5D" w:rsidRPr="00987A64">
              <w:rPr>
                <w:rFonts w:ascii="Cambria" w:hAnsi="Cambria" w:cs="Calibri"/>
              </w:rPr>
              <w:t xml:space="preserve">.) </w:t>
            </w:r>
            <w:r w:rsidR="00587D5D" w:rsidRPr="00587D5D">
              <w:rPr>
                <w:rFonts w:ascii="Cambria" w:hAnsi="Cambria" w:cs="Calibri"/>
                <w:lang w:val="it-IT"/>
              </w:rPr>
              <w:t>(2016). Erasmus</w:t>
            </w:r>
            <w:proofErr w:type="gramStart"/>
            <w:r w:rsidR="00587D5D" w:rsidRPr="00587D5D">
              <w:rPr>
                <w:rFonts w:ascii="Cambria" w:hAnsi="Cambria" w:cs="Calibri"/>
                <w:lang w:val="it-IT"/>
              </w:rPr>
              <w:t>+ :</w:t>
            </w:r>
            <w:proofErr w:type="gramEnd"/>
            <w:r w:rsidR="00587D5D" w:rsidRPr="00587D5D">
              <w:rPr>
                <w:rFonts w:ascii="Cambria" w:hAnsi="Cambria" w:cs="Calibri"/>
                <w:lang w:val="it-IT"/>
              </w:rPr>
              <w:t xml:space="preserve"> </w:t>
            </w:r>
            <w:proofErr w:type="spellStart"/>
            <w:r w:rsidR="00587D5D" w:rsidRPr="00587D5D">
              <w:rPr>
                <w:rFonts w:ascii="Cambria" w:hAnsi="Cambria" w:cs="Calibri"/>
                <w:lang w:val="it-IT"/>
              </w:rPr>
              <w:t>priručnik</w:t>
            </w:r>
            <w:proofErr w:type="spellEnd"/>
            <w:r w:rsidR="00587D5D" w:rsidRPr="00587D5D">
              <w:rPr>
                <w:rFonts w:ascii="Cambria" w:hAnsi="Cambria" w:cs="Calibri"/>
                <w:lang w:val="it-IT"/>
              </w:rPr>
              <w:t xml:space="preserve"> za </w:t>
            </w:r>
            <w:proofErr w:type="spellStart"/>
            <w:r w:rsidR="00587D5D" w:rsidRPr="00587D5D">
              <w:rPr>
                <w:rFonts w:ascii="Cambria" w:hAnsi="Cambria" w:cs="Calibri"/>
                <w:lang w:val="it-IT"/>
              </w:rPr>
              <w:t>pripremu</w:t>
            </w:r>
            <w:proofErr w:type="spellEnd"/>
            <w:r w:rsidR="00587D5D" w:rsidRPr="00587D5D">
              <w:rPr>
                <w:rFonts w:ascii="Cambria" w:hAnsi="Cambria" w:cs="Calibri"/>
                <w:lang w:val="it-IT"/>
              </w:rPr>
              <w:t xml:space="preserve"> i </w:t>
            </w:r>
            <w:proofErr w:type="spellStart"/>
            <w:r w:rsidR="00587D5D" w:rsidRPr="00587D5D">
              <w:rPr>
                <w:rFonts w:ascii="Cambria" w:hAnsi="Cambria" w:cs="Calibri"/>
                <w:lang w:val="it-IT"/>
              </w:rPr>
              <w:t>provedbu</w:t>
            </w:r>
            <w:proofErr w:type="spellEnd"/>
            <w:r w:rsidR="00587D5D" w:rsidRPr="00587D5D">
              <w:rPr>
                <w:rFonts w:ascii="Cambria" w:hAnsi="Cambria" w:cs="Calibri"/>
                <w:lang w:val="it-IT"/>
              </w:rPr>
              <w:t xml:space="preserve"> </w:t>
            </w:r>
            <w:proofErr w:type="spellStart"/>
            <w:r w:rsidR="00587D5D" w:rsidRPr="00587D5D">
              <w:rPr>
                <w:rFonts w:ascii="Cambria" w:hAnsi="Cambria" w:cs="Calibri"/>
                <w:lang w:val="it-IT"/>
              </w:rPr>
              <w:t>programa</w:t>
            </w:r>
            <w:proofErr w:type="spellEnd"/>
            <w:r w:rsidR="00587D5D" w:rsidRPr="00587D5D">
              <w:rPr>
                <w:rFonts w:ascii="Cambria" w:hAnsi="Cambria" w:cs="Calibri"/>
                <w:lang w:val="it-IT"/>
              </w:rPr>
              <w:t xml:space="preserve"> </w:t>
            </w:r>
            <w:proofErr w:type="spellStart"/>
            <w:r w:rsidR="00587D5D" w:rsidRPr="00587D5D">
              <w:rPr>
                <w:rFonts w:ascii="Cambria" w:hAnsi="Cambria" w:cs="Calibri"/>
                <w:lang w:val="it-IT"/>
              </w:rPr>
              <w:t>financiranih</w:t>
            </w:r>
            <w:proofErr w:type="spellEnd"/>
            <w:r w:rsidR="00587D5D" w:rsidRPr="00587D5D">
              <w:rPr>
                <w:rFonts w:ascii="Cambria" w:hAnsi="Cambria" w:cs="Calibri"/>
                <w:lang w:val="it-IT"/>
              </w:rPr>
              <w:t xml:space="preserve"> </w:t>
            </w:r>
            <w:proofErr w:type="spellStart"/>
            <w:r w:rsidR="00587D5D" w:rsidRPr="00587D5D">
              <w:rPr>
                <w:rFonts w:ascii="Cambria" w:hAnsi="Cambria" w:cs="Calibri"/>
                <w:lang w:val="it-IT"/>
              </w:rPr>
              <w:t>iz</w:t>
            </w:r>
            <w:proofErr w:type="spellEnd"/>
            <w:r w:rsidR="00587D5D" w:rsidRPr="00587D5D">
              <w:rPr>
                <w:rFonts w:ascii="Cambria" w:hAnsi="Cambria" w:cs="Calibri"/>
                <w:lang w:val="it-IT"/>
              </w:rPr>
              <w:t xml:space="preserve"> </w:t>
            </w:r>
            <w:proofErr w:type="spellStart"/>
            <w:r w:rsidR="00587D5D" w:rsidRPr="00587D5D">
              <w:rPr>
                <w:rFonts w:ascii="Cambria" w:hAnsi="Cambria" w:cs="Calibri"/>
                <w:lang w:val="it-IT"/>
              </w:rPr>
              <w:t>programa</w:t>
            </w:r>
            <w:proofErr w:type="spellEnd"/>
            <w:r w:rsidR="00587D5D" w:rsidRPr="00587D5D">
              <w:rPr>
                <w:rFonts w:ascii="Cambria" w:hAnsi="Cambria" w:cs="Calibri"/>
                <w:lang w:val="it-IT"/>
              </w:rPr>
              <w:t xml:space="preserve"> Erasmus+. </w:t>
            </w:r>
            <w:r w:rsidR="00587D5D">
              <w:rPr>
                <w:rFonts w:ascii="Cambria" w:hAnsi="Cambria" w:cs="Calibri"/>
              </w:rPr>
              <w:t xml:space="preserve">Zagreb: TIM4PIN </w:t>
            </w:r>
          </w:p>
        </w:tc>
      </w:tr>
    </w:tbl>
    <w:p w14:paraId="77F85C0C" w14:textId="77777777" w:rsidR="00587D5D" w:rsidRDefault="00587D5D" w:rsidP="00587D5D"/>
    <w:p w14:paraId="61E0B1CE" w14:textId="72508050" w:rsidR="00587D5D" w:rsidRDefault="00587D5D" w:rsidP="003B7C0C">
      <w:pPr>
        <w:rPr>
          <w:rFonts w:ascii="Cambria" w:hAnsi="Cambria"/>
          <w:lang w:val="it-IT"/>
        </w:rPr>
      </w:pPr>
      <w:r>
        <w:rPr>
          <w:rFonts w:ascii="Cambria" w:hAnsi="Cambria"/>
          <w:lang w:val="it-IT"/>
        </w:rPr>
        <w:br w:type="page"/>
      </w:r>
    </w:p>
    <w:p w14:paraId="155775DA" w14:textId="230F3723" w:rsidR="00D01C7E" w:rsidRPr="00D01C7E" w:rsidRDefault="00D01C7E" w:rsidP="00D01C7E">
      <w:pPr>
        <w:jc w:val="center"/>
        <w:rPr>
          <w:rFonts w:ascii="Cambria" w:hAnsi="Cambria"/>
          <w:b/>
          <w:lang w:val="it-IT"/>
        </w:rPr>
      </w:pPr>
      <w:r w:rsidRPr="00D01C7E">
        <w:rPr>
          <w:rFonts w:ascii="Cambria" w:hAnsi="Cambria"/>
          <w:b/>
          <w:lang w:val="it-IT"/>
        </w:rPr>
        <w:lastRenderedPageBreak/>
        <w:t xml:space="preserve">VI. </w:t>
      </w:r>
      <w:proofErr w:type="spellStart"/>
      <w:r w:rsidRPr="00D01C7E">
        <w:rPr>
          <w:rFonts w:ascii="Cambria" w:hAnsi="Cambria"/>
          <w:b/>
          <w:lang w:val="it-IT"/>
        </w:rPr>
        <w:t>semestar</w:t>
      </w:r>
      <w:proofErr w:type="spellEnd"/>
    </w:p>
    <w:tbl>
      <w:tblPr>
        <w:tblW w:w="5084" w:type="pct"/>
        <w:tblLayout w:type="fixed"/>
        <w:tblCellMar>
          <w:left w:w="0" w:type="dxa"/>
          <w:right w:w="0" w:type="dxa"/>
        </w:tblCellMar>
        <w:tblLook w:val="0000" w:firstRow="0" w:lastRow="0" w:firstColumn="0" w:lastColumn="0" w:noHBand="0" w:noVBand="0"/>
      </w:tblPr>
      <w:tblGrid>
        <w:gridCol w:w="2809"/>
        <w:gridCol w:w="2497"/>
        <w:gridCol w:w="310"/>
        <w:gridCol w:w="1064"/>
        <w:gridCol w:w="370"/>
        <w:gridCol w:w="687"/>
        <w:gridCol w:w="868"/>
        <w:gridCol w:w="1583"/>
      </w:tblGrid>
      <w:tr w:rsidR="005A04F3" w:rsidRPr="00DF4CE5" w14:paraId="0CAECCD6" w14:textId="77777777" w:rsidTr="00535B7E">
        <w:tc>
          <w:tcPr>
            <w:tcW w:w="9497"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FF81E4A" w14:textId="77777777" w:rsidR="005A04F3" w:rsidRPr="00DF4CE5" w:rsidRDefault="005A04F3" w:rsidP="00A12846">
            <w:pPr>
              <w:spacing w:after="0"/>
              <w:jc w:val="right"/>
              <w:rPr>
                <w:rFonts w:ascii="Cambria" w:eastAsia="Calibri" w:hAnsi="Cambria" w:cs="Calibri"/>
                <w:b/>
                <w:lang w:val="hr-HR"/>
              </w:rPr>
            </w:pPr>
            <w:r w:rsidRPr="00DF4CE5">
              <w:rPr>
                <w:rFonts w:ascii="Cambria" w:eastAsia="Calibri" w:hAnsi="Cambria" w:cs="Calibri"/>
                <w:b/>
                <w:lang w:val="hr-HR"/>
              </w:rPr>
              <w:t>IZVEDBENI PLAN NASTAVE KOLEGIJA</w:t>
            </w:r>
          </w:p>
        </w:tc>
      </w:tr>
      <w:tr w:rsidR="005A04F3" w:rsidRPr="00DF4CE5" w14:paraId="7426FE06" w14:textId="77777777" w:rsidTr="00535B7E">
        <w:tc>
          <w:tcPr>
            <w:tcW w:w="261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8F4D9F4" w14:textId="77777777" w:rsidR="005A04F3" w:rsidRPr="00DF4CE5" w:rsidRDefault="005A04F3" w:rsidP="008B34AF">
            <w:pPr>
              <w:spacing w:after="0"/>
              <w:jc w:val="both"/>
              <w:rPr>
                <w:rFonts w:ascii="Cambria" w:eastAsia="Calibri" w:hAnsi="Cambria" w:cs="Calibri"/>
                <w:lang w:val="hr-HR"/>
              </w:rPr>
            </w:pPr>
            <w:r w:rsidRPr="00DF4CE5">
              <w:rPr>
                <w:rFonts w:ascii="Cambria" w:eastAsia="Calibri" w:hAnsi="Cambria" w:cs="Calibri"/>
                <w:lang w:val="hr-HR"/>
              </w:rPr>
              <w:t>Kod i naziv kolegija</w:t>
            </w:r>
          </w:p>
        </w:tc>
        <w:tc>
          <w:tcPr>
            <w:tcW w:w="6879"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45A1F8F" w14:textId="77777777" w:rsidR="005A04F3" w:rsidRPr="00DF4CE5" w:rsidRDefault="005A04F3" w:rsidP="008B34AF">
            <w:pPr>
              <w:spacing w:after="0"/>
              <w:jc w:val="both"/>
              <w:rPr>
                <w:rFonts w:ascii="Cambria" w:eastAsia="Calibri" w:hAnsi="Cambria" w:cs="Calibri"/>
                <w:lang w:val="hr-HR"/>
              </w:rPr>
            </w:pPr>
            <w:r w:rsidRPr="00DF4CE5">
              <w:rPr>
                <w:rFonts w:ascii="Cambria" w:eastAsia="Calibri" w:hAnsi="Cambria" w:cs="Calibri"/>
                <w:lang w:val="hr-HR"/>
              </w:rPr>
              <w:t>85800</w:t>
            </w:r>
          </w:p>
          <w:p w14:paraId="20799A73" w14:textId="77777777" w:rsidR="005A04F3" w:rsidRPr="00DF4CE5" w:rsidRDefault="005A04F3" w:rsidP="008B34AF">
            <w:pPr>
              <w:spacing w:after="0"/>
              <w:jc w:val="both"/>
              <w:rPr>
                <w:rFonts w:ascii="Cambria" w:eastAsia="Calibri" w:hAnsi="Cambria" w:cs="Calibri"/>
                <w:lang w:val="hr-HR"/>
              </w:rPr>
            </w:pPr>
            <w:r w:rsidRPr="00DF4CE5">
              <w:rPr>
                <w:rFonts w:ascii="Cambria" w:eastAsia="Calibri" w:hAnsi="Cambria" w:cs="Calibri"/>
                <w:lang w:val="hr-HR"/>
              </w:rPr>
              <w:t>Medijska kultura</w:t>
            </w:r>
          </w:p>
        </w:tc>
      </w:tr>
      <w:tr w:rsidR="005A04F3" w:rsidRPr="00D0399C" w14:paraId="21FB777A" w14:textId="77777777" w:rsidTr="00535B7E">
        <w:tc>
          <w:tcPr>
            <w:tcW w:w="261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6EC1AA0" w14:textId="77777777" w:rsidR="005A04F3" w:rsidRPr="00DF4CE5" w:rsidRDefault="005A04F3" w:rsidP="008B34AF">
            <w:pPr>
              <w:spacing w:after="0"/>
              <w:jc w:val="both"/>
              <w:rPr>
                <w:rFonts w:ascii="Cambria" w:eastAsia="Calibri" w:hAnsi="Cambria" w:cs="Calibri"/>
                <w:lang w:val="hr-HR"/>
              </w:rPr>
            </w:pPr>
            <w:r w:rsidRPr="00DF4CE5">
              <w:rPr>
                <w:rFonts w:ascii="Cambria" w:eastAsia="Calibri" w:hAnsi="Cambria" w:cs="Calibri"/>
                <w:lang w:val="hr-HR"/>
              </w:rPr>
              <w:t xml:space="preserve">Nastavnica </w:t>
            </w:r>
          </w:p>
        </w:tc>
        <w:tc>
          <w:tcPr>
            <w:tcW w:w="6879"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AC63C12" w14:textId="0AD06731" w:rsidR="005A04F3" w:rsidRPr="00DF4CE5" w:rsidRDefault="004131DB" w:rsidP="008B34AF">
            <w:pPr>
              <w:spacing w:after="0"/>
              <w:jc w:val="both"/>
              <w:rPr>
                <w:rFonts w:ascii="Cambria" w:eastAsia="Calibri" w:hAnsi="Cambria" w:cs="Calibri"/>
                <w:lang w:val="hr-HR"/>
              </w:rPr>
            </w:pPr>
            <w:hyperlink r:id="rId102" w:history="1">
              <w:r w:rsidRPr="004131DB">
                <w:rPr>
                  <w:rStyle w:val="Hiperveza"/>
                  <w:rFonts w:ascii="Cambria" w:hAnsi="Cambria"/>
                  <w:lang w:val="it-IT"/>
                </w:rPr>
                <w:t xml:space="preserve">Prof. dr. sc. Kristina </w:t>
              </w:r>
              <w:proofErr w:type="spellStart"/>
              <w:r w:rsidRPr="004131DB">
                <w:rPr>
                  <w:rStyle w:val="Hiperveza"/>
                  <w:rFonts w:ascii="Cambria" w:hAnsi="Cambria"/>
                  <w:lang w:val="it-IT"/>
                </w:rPr>
                <w:t>Riman</w:t>
              </w:r>
              <w:proofErr w:type="spellEnd"/>
            </w:hyperlink>
            <w:r w:rsidRPr="004131DB">
              <w:rPr>
                <w:lang w:val="it-IT"/>
              </w:rPr>
              <w:t xml:space="preserve"> </w:t>
            </w:r>
            <w:r w:rsidR="003B7C0C" w:rsidRPr="003B7C0C">
              <w:rPr>
                <w:rFonts w:ascii="Cambria" w:eastAsia="Calibri" w:hAnsi="Cambria" w:cs="Calibri"/>
                <w:lang w:val="hr-HR"/>
              </w:rPr>
              <w:t>(nositeljica)</w:t>
            </w:r>
          </w:p>
        </w:tc>
      </w:tr>
      <w:tr w:rsidR="005A04F3" w:rsidRPr="00D0399C" w14:paraId="7657956C" w14:textId="77777777" w:rsidTr="00535B7E">
        <w:tc>
          <w:tcPr>
            <w:tcW w:w="261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7233D64" w14:textId="77777777" w:rsidR="005A04F3" w:rsidRPr="00DF4CE5" w:rsidRDefault="005A04F3" w:rsidP="008B34AF">
            <w:pPr>
              <w:spacing w:after="0"/>
              <w:jc w:val="both"/>
              <w:rPr>
                <w:rFonts w:ascii="Cambria" w:eastAsia="Calibri" w:hAnsi="Cambria" w:cs="Calibri"/>
                <w:lang w:val="hr-HR"/>
              </w:rPr>
            </w:pPr>
            <w:r w:rsidRPr="00DF4CE5">
              <w:rPr>
                <w:rFonts w:ascii="Cambria" w:eastAsia="Calibri" w:hAnsi="Cambria" w:cs="Calibri"/>
                <w:lang w:val="hr-HR"/>
              </w:rPr>
              <w:t>Studijski program</w:t>
            </w:r>
          </w:p>
        </w:tc>
        <w:tc>
          <w:tcPr>
            <w:tcW w:w="6879"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DF6F667" w14:textId="77777777" w:rsidR="005A04F3" w:rsidRPr="00DF4CE5" w:rsidRDefault="005A04F3" w:rsidP="008B34AF">
            <w:pPr>
              <w:spacing w:after="0"/>
              <w:jc w:val="both"/>
              <w:rPr>
                <w:rFonts w:ascii="Cambria" w:eastAsia="Calibri" w:hAnsi="Cambria" w:cs="Calibri"/>
                <w:lang w:val="hr-HR"/>
              </w:rPr>
            </w:pPr>
            <w:r w:rsidRPr="00DF4CE5">
              <w:rPr>
                <w:rFonts w:ascii="Cambria" w:eastAsia="Calibri" w:hAnsi="Cambria" w:cs="Calibri"/>
                <w:lang w:val="hr-HR"/>
              </w:rPr>
              <w:t>Sveučilišni integrirani prijediplomski i diplomski Učiteljski studij na hrvatskom jeziku</w:t>
            </w:r>
          </w:p>
        </w:tc>
      </w:tr>
      <w:tr w:rsidR="005A04F3" w:rsidRPr="00DF4CE5" w14:paraId="6D201160" w14:textId="77777777" w:rsidTr="00535B7E">
        <w:tc>
          <w:tcPr>
            <w:tcW w:w="261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90C3F6E" w14:textId="77777777" w:rsidR="005A04F3" w:rsidRPr="00DF4CE5" w:rsidRDefault="005A04F3" w:rsidP="008B34AF">
            <w:pPr>
              <w:spacing w:after="0"/>
              <w:jc w:val="both"/>
              <w:rPr>
                <w:rFonts w:ascii="Cambria" w:eastAsia="Calibri" w:hAnsi="Cambria" w:cs="Calibri"/>
                <w:lang w:val="hr-HR"/>
              </w:rPr>
            </w:pPr>
            <w:r w:rsidRPr="00DF4CE5">
              <w:rPr>
                <w:rFonts w:ascii="Cambria" w:eastAsia="Calibri" w:hAnsi="Cambria" w:cs="Calibri"/>
                <w:lang w:val="hr-HR"/>
              </w:rPr>
              <w:t>Vrsta kolegija</w:t>
            </w:r>
          </w:p>
        </w:tc>
        <w:tc>
          <w:tcPr>
            <w:tcW w:w="232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5EA27B8" w14:textId="77777777" w:rsidR="005A04F3" w:rsidRPr="00DF4CE5" w:rsidRDefault="005A04F3" w:rsidP="008B34AF">
            <w:pPr>
              <w:spacing w:after="0"/>
              <w:jc w:val="both"/>
              <w:rPr>
                <w:rFonts w:ascii="Cambria" w:eastAsia="Calibri" w:hAnsi="Cambria" w:cs="Calibri"/>
                <w:lang w:val="hr-HR"/>
              </w:rPr>
            </w:pPr>
            <w:r w:rsidRPr="00DF4CE5">
              <w:rPr>
                <w:rFonts w:ascii="Cambria" w:eastAsia="Calibri" w:hAnsi="Cambria" w:cs="Calibri"/>
                <w:lang w:val="hr-HR"/>
              </w:rPr>
              <w:t xml:space="preserve">obvezan </w:t>
            </w:r>
          </w:p>
        </w:tc>
        <w:tc>
          <w:tcPr>
            <w:tcW w:w="1626"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03027FA3" w14:textId="77777777" w:rsidR="005A04F3" w:rsidRPr="00DF4CE5" w:rsidRDefault="005A04F3" w:rsidP="008B34AF">
            <w:pPr>
              <w:spacing w:after="0"/>
              <w:jc w:val="both"/>
              <w:rPr>
                <w:rFonts w:ascii="Cambria" w:eastAsia="Calibri" w:hAnsi="Cambria" w:cs="Calibri"/>
                <w:lang w:val="hr-HR"/>
              </w:rPr>
            </w:pPr>
            <w:r w:rsidRPr="00DF4CE5">
              <w:rPr>
                <w:rFonts w:ascii="Cambria" w:eastAsia="Calibri" w:hAnsi="Cambria" w:cs="Calibri"/>
                <w:lang w:val="hr-HR"/>
              </w:rPr>
              <w:t>Razina kolegija</w:t>
            </w:r>
          </w:p>
        </w:tc>
        <w:tc>
          <w:tcPr>
            <w:tcW w:w="2925"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1E72FC3" w14:textId="77777777" w:rsidR="005A04F3" w:rsidRPr="00DF4CE5" w:rsidRDefault="005A04F3" w:rsidP="008B34AF">
            <w:pPr>
              <w:spacing w:after="0"/>
              <w:jc w:val="both"/>
              <w:rPr>
                <w:rFonts w:ascii="Cambria" w:eastAsia="Calibri" w:hAnsi="Cambria" w:cs="Calibri"/>
                <w:lang w:val="hr-HR"/>
              </w:rPr>
            </w:pPr>
            <w:r w:rsidRPr="00DF4CE5">
              <w:rPr>
                <w:rFonts w:ascii="Cambria" w:eastAsia="Calibri" w:hAnsi="Cambria" w:cs="Calibri"/>
                <w:lang w:val="hr-HR"/>
              </w:rPr>
              <w:t>integrirani</w:t>
            </w:r>
          </w:p>
        </w:tc>
      </w:tr>
      <w:tr w:rsidR="005A04F3" w:rsidRPr="00DF4CE5" w14:paraId="22BACE73" w14:textId="77777777" w:rsidTr="00535B7E">
        <w:tc>
          <w:tcPr>
            <w:tcW w:w="261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2476FF0" w14:textId="77777777" w:rsidR="005A04F3" w:rsidRPr="00DF4CE5" w:rsidRDefault="005A04F3" w:rsidP="008B34AF">
            <w:pPr>
              <w:spacing w:after="0"/>
              <w:jc w:val="both"/>
              <w:rPr>
                <w:rFonts w:ascii="Cambria" w:eastAsia="Calibri" w:hAnsi="Cambria" w:cs="Calibri"/>
                <w:lang w:val="hr-HR"/>
              </w:rPr>
            </w:pPr>
            <w:proofErr w:type="spellStart"/>
            <w:r w:rsidRPr="00DF4CE5">
              <w:rPr>
                <w:rFonts w:ascii="Cambria" w:eastAsia="Calibri" w:hAnsi="Cambria" w:cs="Calibri"/>
                <w:lang w:val="hr-HR"/>
              </w:rPr>
              <w:t>emestar</w:t>
            </w:r>
            <w:proofErr w:type="spellEnd"/>
          </w:p>
        </w:tc>
        <w:tc>
          <w:tcPr>
            <w:tcW w:w="232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99DF892" w14:textId="2184CA17" w:rsidR="005A04F3" w:rsidRPr="00DF4CE5" w:rsidRDefault="00587D5D" w:rsidP="008B34AF">
            <w:pPr>
              <w:spacing w:after="0"/>
              <w:jc w:val="both"/>
              <w:rPr>
                <w:rFonts w:ascii="Cambria" w:eastAsia="Calibri" w:hAnsi="Cambria" w:cs="Calibri"/>
                <w:lang w:val="hr-HR"/>
              </w:rPr>
            </w:pPr>
            <w:r>
              <w:rPr>
                <w:rFonts w:ascii="Cambria" w:eastAsia="Calibri" w:hAnsi="Cambria" w:cs="Calibri"/>
                <w:lang w:val="hr-HR"/>
              </w:rPr>
              <w:t>ljetni</w:t>
            </w:r>
          </w:p>
        </w:tc>
        <w:tc>
          <w:tcPr>
            <w:tcW w:w="1626"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0C55BD3B" w14:textId="77777777" w:rsidR="005A04F3" w:rsidRPr="00DF4CE5" w:rsidRDefault="005A04F3" w:rsidP="008B34AF">
            <w:pPr>
              <w:spacing w:after="0"/>
              <w:jc w:val="both"/>
              <w:rPr>
                <w:rFonts w:ascii="Cambria" w:eastAsia="Calibri" w:hAnsi="Cambria" w:cs="Calibri"/>
                <w:lang w:val="hr-HR"/>
              </w:rPr>
            </w:pPr>
            <w:r w:rsidRPr="00DF4CE5">
              <w:rPr>
                <w:rFonts w:ascii="Cambria" w:eastAsia="Calibri" w:hAnsi="Cambria" w:cs="Calibri"/>
                <w:lang w:val="hr-HR"/>
              </w:rPr>
              <w:t>Godina studija</w:t>
            </w:r>
          </w:p>
        </w:tc>
        <w:tc>
          <w:tcPr>
            <w:tcW w:w="2925"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0492FC7" w14:textId="77777777" w:rsidR="005A04F3" w:rsidRPr="00DF4CE5" w:rsidRDefault="005A04F3" w:rsidP="008B34AF">
            <w:pPr>
              <w:spacing w:after="0"/>
              <w:jc w:val="both"/>
              <w:rPr>
                <w:rFonts w:ascii="Cambria" w:eastAsia="Calibri" w:hAnsi="Cambria" w:cs="Calibri"/>
                <w:lang w:val="hr-HR"/>
              </w:rPr>
            </w:pPr>
            <w:r w:rsidRPr="00DF4CE5">
              <w:rPr>
                <w:rFonts w:ascii="Cambria" w:eastAsia="Calibri" w:hAnsi="Cambria" w:cs="Calibri"/>
                <w:lang w:val="hr-HR"/>
              </w:rPr>
              <w:t>III.</w:t>
            </w:r>
          </w:p>
        </w:tc>
      </w:tr>
      <w:tr w:rsidR="005A04F3" w:rsidRPr="00DF4CE5" w14:paraId="412FA468" w14:textId="77777777" w:rsidTr="00535B7E">
        <w:tc>
          <w:tcPr>
            <w:tcW w:w="261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38EC699" w14:textId="77777777" w:rsidR="005A04F3" w:rsidRPr="00DF4CE5" w:rsidRDefault="005A04F3" w:rsidP="008B34AF">
            <w:pPr>
              <w:spacing w:after="0"/>
              <w:jc w:val="both"/>
              <w:rPr>
                <w:rFonts w:ascii="Cambria" w:eastAsia="Calibri" w:hAnsi="Cambria" w:cs="Calibri"/>
                <w:lang w:val="hr-HR"/>
              </w:rPr>
            </w:pPr>
            <w:proofErr w:type="spellStart"/>
            <w:r w:rsidRPr="00DF4CE5">
              <w:rPr>
                <w:rFonts w:ascii="Cambria" w:eastAsia="Calibri" w:hAnsi="Cambria" w:cs="Calibri"/>
              </w:rPr>
              <w:t>Mjesto</w:t>
            </w:r>
            <w:proofErr w:type="spellEnd"/>
            <w:r w:rsidRPr="00DF4CE5">
              <w:rPr>
                <w:rFonts w:ascii="Cambria" w:eastAsia="Calibri" w:hAnsi="Cambria" w:cs="Calibri"/>
              </w:rPr>
              <w:t xml:space="preserve"> </w:t>
            </w:r>
            <w:proofErr w:type="spellStart"/>
            <w:r w:rsidRPr="00DF4CE5">
              <w:rPr>
                <w:rFonts w:ascii="Cambria" w:eastAsia="Calibri" w:hAnsi="Cambria" w:cs="Calibri"/>
              </w:rPr>
              <w:t>izvođenja</w:t>
            </w:r>
            <w:proofErr w:type="spellEnd"/>
          </w:p>
        </w:tc>
        <w:tc>
          <w:tcPr>
            <w:tcW w:w="232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765DDF5" w14:textId="1DDBF9B9" w:rsidR="005A04F3" w:rsidRPr="00DF4CE5" w:rsidRDefault="003B7C0C" w:rsidP="008B34AF">
            <w:pPr>
              <w:spacing w:after="0"/>
              <w:jc w:val="both"/>
              <w:rPr>
                <w:rFonts w:ascii="Cambria" w:eastAsia="Calibri" w:hAnsi="Cambria" w:cs="Calibri"/>
                <w:lang w:val="hr-HR"/>
              </w:rPr>
            </w:pPr>
            <w:r>
              <w:rPr>
                <w:rFonts w:ascii="Cambria" w:eastAsia="Calibri" w:hAnsi="Cambria" w:cs="Calibri"/>
                <w:lang w:val="hr-HR"/>
              </w:rPr>
              <w:t>u</w:t>
            </w:r>
            <w:r w:rsidR="005A04F3" w:rsidRPr="00DF4CE5">
              <w:rPr>
                <w:rFonts w:ascii="Cambria" w:eastAsia="Calibri" w:hAnsi="Cambria" w:cs="Calibri"/>
                <w:lang w:val="hr-HR"/>
              </w:rPr>
              <w:t xml:space="preserve">čionica </w:t>
            </w:r>
          </w:p>
        </w:tc>
        <w:tc>
          <w:tcPr>
            <w:tcW w:w="1626"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2A00DBF1" w14:textId="77777777" w:rsidR="005A04F3" w:rsidRPr="00DF4CE5" w:rsidRDefault="005A04F3" w:rsidP="008B34AF">
            <w:pPr>
              <w:spacing w:after="0"/>
              <w:jc w:val="both"/>
              <w:rPr>
                <w:rFonts w:ascii="Cambria" w:eastAsia="Calibri" w:hAnsi="Cambria" w:cs="Calibri"/>
                <w:lang w:val="hr-HR"/>
              </w:rPr>
            </w:pPr>
            <w:r w:rsidRPr="00DF4CE5">
              <w:rPr>
                <w:rFonts w:ascii="Cambria" w:eastAsia="Calibri" w:hAnsi="Cambria" w:cs="Calibri"/>
              </w:rPr>
              <w:t>Jezik</w:t>
            </w:r>
            <w:r w:rsidRPr="00DF4CE5">
              <w:rPr>
                <w:rFonts w:ascii="Cambria" w:eastAsia="Calibri" w:hAnsi="Cambria" w:cs="Calibri"/>
                <w:lang w:val="hr-HR"/>
              </w:rPr>
              <w:t xml:space="preserve"> izvođenja </w:t>
            </w:r>
          </w:p>
        </w:tc>
        <w:tc>
          <w:tcPr>
            <w:tcW w:w="2925"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E028184" w14:textId="77777777" w:rsidR="005A04F3" w:rsidRPr="00DF4CE5" w:rsidRDefault="005A04F3" w:rsidP="008B34AF">
            <w:pPr>
              <w:spacing w:after="0"/>
              <w:jc w:val="both"/>
              <w:rPr>
                <w:rFonts w:ascii="Cambria" w:eastAsia="Calibri" w:hAnsi="Cambria" w:cs="Calibri"/>
                <w:lang w:val="hr-HR"/>
              </w:rPr>
            </w:pPr>
            <w:r w:rsidRPr="00DF4CE5">
              <w:rPr>
                <w:rFonts w:ascii="Cambria" w:eastAsia="Calibri" w:hAnsi="Cambria" w:cs="Calibri"/>
                <w:lang w:val="hr-HR"/>
              </w:rPr>
              <w:t>hrvatski</w:t>
            </w:r>
          </w:p>
        </w:tc>
      </w:tr>
      <w:tr w:rsidR="005A04F3" w:rsidRPr="00DF4CE5" w14:paraId="4F937557" w14:textId="77777777" w:rsidTr="00535B7E">
        <w:tc>
          <w:tcPr>
            <w:tcW w:w="261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BC30292" w14:textId="77777777" w:rsidR="005A04F3" w:rsidRPr="00DF4CE5" w:rsidRDefault="005A04F3" w:rsidP="008B34AF">
            <w:pPr>
              <w:spacing w:after="0"/>
              <w:jc w:val="both"/>
              <w:rPr>
                <w:rFonts w:ascii="Cambria" w:eastAsia="Calibri" w:hAnsi="Cambria" w:cs="Calibri"/>
                <w:lang w:val="hr-HR"/>
              </w:rPr>
            </w:pPr>
            <w:r w:rsidRPr="00DF4CE5">
              <w:rPr>
                <w:rFonts w:ascii="Cambria" w:eastAsia="Calibri" w:hAnsi="Cambria" w:cs="Calibri"/>
                <w:lang w:val="hr-HR"/>
              </w:rPr>
              <w:t>Broj ECTS bodova</w:t>
            </w:r>
          </w:p>
        </w:tc>
        <w:tc>
          <w:tcPr>
            <w:tcW w:w="232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3467E3E" w14:textId="77777777" w:rsidR="005A04F3" w:rsidRPr="00DF4CE5" w:rsidRDefault="005A04F3" w:rsidP="008B34AF">
            <w:pPr>
              <w:spacing w:after="0"/>
              <w:jc w:val="both"/>
              <w:rPr>
                <w:rFonts w:ascii="Cambria" w:eastAsia="Calibri" w:hAnsi="Cambria" w:cs="Calibri"/>
                <w:lang w:val="hr-HR"/>
              </w:rPr>
            </w:pPr>
            <w:r w:rsidRPr="00DF4CE5">
              <w:rPr>
                <w:rFonts w:ascii="Cambria" w:eastAsia="Calibri" w:hAnsi="Cambria" w:cs="Calibri"/>
                <w:lang w:val="hr-HR"/>
              </w:rPr>
              <w:t>4</w:t>
            </w:r>
          </w:p>
        </w:tc>
        <w:tc>
          <w:tcPr>
            <w:tcW w:w="1626"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2265FD3F" w14:textId="77777777" w:rsidR="005A04F3" w:rsidRPr="00DF4CE5" w:rsidRDefault="005A04F3" w:rsidP="008B34AF">
            <w:pPr>
              <w:spacing w:after="0"/>
              <w:jc w:val="both"/>
              <w:rPr>
                <w:rFonts w:ascii="Cambria" w:eastAsia="Calibri" w:hAnsi="Cambria" w:cs="Calibri"/>
                <w:lang w:val="hr-HR"/>
              </w:rPr>
            </w:pPr>
            <w:r w:rsidRPr="00DF4CE5">
              <w:rPr>
                <w:rFonts w:ascii="Cambria" w:eastAsia="Calibri" w:hAnsi="Cambria" w:cs="Calibri"/>
                <w:lang w:val="hr-HR"/>
              </w:rPr>
              <w:t>Broj sati u semestru</w:t>
            </w:r>
          </w:p>
        </w:tc>
        <w:tc>
          <w:tcPr>
            <w:tcW w:w="2925"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DB122DE" w14:textId="6E309984" w:rsidR="005A04F3" w:rsidRPr="00DF4CE5" w:rsidRDefault="005A04F3" w:rsidP="008B34AF">
            <w:pPr>
              <w:spacing w:after="0"/>
              <w:jc w:val="both"/>
              <w:rPr>
                <w:rFonts w:ascii="Cambria" w:eastAsia="Calibri" w:hAnsi="Cambria" w:cs="Calibri"/>
                <w:lang w:val="hr-HR"/>
              </w:rPr>
            </w:pPr>
            <w:r w:rsidRPr="00DF4CE5">
              <w:rPr>
                <w:rFonts w:ascii="Cambria" w:eastAsia="Calibri" w:hAnsi="Cambria" w:cs="Calibri"/>
                <w:lang w:val="hr-HR"/>
              </w:rPr>
              <w:t xml:space="preserve">15P – </w:t>
            </w:r>
            <w:r w:rsidR="00CE1FD6" w:rsidRPr="00DF4CE5">
              <w:rPr>
                <w:rFonts w:ascii="Cambria" w:eastAsia="Calibri" w:hAnsi="Cambria" w:cs="Calibri"/>
                <w:lang w:val="hr-HR"/>
              </w:rPr>
              <w:t>30S</w:t>
            </w:r>
            <w:r w:rsidRPr="00DF4CE5">
              <w:rPr>
                <w:rFonts w:ascii="Cambria" w:eastAsia="Calibri" w:hAnsi="Cambria" w:cs="Calibri"/>
                <w:lang w:val="hr-HR"/>
              </w:rPr>
              <w:t xml:space="preserve"> –</w:t>
            </w:r>
            <w:r w:rsidR="00CE1FD6" w:rsidRPr="00DF4CE5">
              <w:rPr>
                <w:rFonts w:ascii="Cambria" w:eastAsia="Calibri" w:hAnsi="Cambria" w:cs="Calibri"/>
                <w:lang w:val="hr-HR"/>
              </w:rPr>
              <w:t xml:space="preserve"> 0V</w:t>
            </w:r>
          </w:p>
        </w:tc>
      </w:tr>
      <w:tr w:rsidR="005A04F3" w:rsidRPr="00DF4CE5" w14:paraId="3AB21587" w14:textId="77777777" w:rsidTr="00535B7E">
        <w:tc>
          <w:tcPr>
            <w:tcW w:w="261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7096A83" w14:textId="77777777" w:rsidR="005A04F3" w:rsidRPr="00DF4CE5" w:rsidRDefault="005A04F3" w:rsidP="008B34AF">
            <w:pPr>
              <w:spacing w:after="0"/>
              <w:jc w:val="both"/>
              <w:rPr>
                <w:rFonts w:ascii="Cambria" w:eastAsia="Calibri" w:hAnsi="Cambria" w:cs="Calibri"/>
                <w:lang w:val="hr-HR"/>
              </w:rPr>
            </w:pPr>
            <w:r w:rsidRPr="00DF4CE5">
              <w:rPr>
                <w:rFonts w:ascii="Cambria" w:eastAsia="Calibri" w:hAnsi="Cambria" w:cs="Calibri"/>
                <w:lang w:val="hr-HR"/>
              </w:rPr>
              <w:t>Preduvjeti za upis i za svladavanje</w:t>
            </w:r>
          </w:p>
        </w:tc>
        <w:tc>
          <w:tcPr>
            <w:tcW w:w="6879"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F48109C" w14:textId="77777777" w:rsidR="005A04F3" w:rsidRPr="00DF4CE5" w:rsidRDefault="005A04F3" w:rsidP="008B34AF">
            <w:pPr>
              <w:spacing w:after="0"/>
              <w:jc w:val="both"/>
              <w:rPr>
                <w:rFonts w:ascii="Cambria" w:eastAsia="Calibri" w:hAnsi="Cambria" w:cs="Calibri"/>
                <w:lang w:val="hr-HR"/>
              </w:rPr>
            </w:pPr>
            <w:r w:rsidRPr="00DF4CE5">
              <w:rPr>
                <w:rFonts w:ascii="Cambria" w:eastAsia="Calibri" w:hAnsi="Cambria" w:cs="Calibri"/>
                <w:lang w:val="hr-HR"/>
              </w:rPr>
              <w:t xml:space="preserve">Nema preduvjeta za upis.  </w:t>
            </w:r>
          </w:p>
        </w:tc>
      </w:tr>
      <w:tr w:rsidR="005A04F3" w:rsidRPr="00D0399C" w14:paraId="2335A9C0" w14:textId="77777777" w:rsidTr="00535B7E">
        <w:tc>
          <w:tcPr>
            <w:tcW w:w="261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CF0A266" w14:textId="77777777" w:rsidR="005A04F3" w:rsidRPr="00DF4CE5" w:rsidRDefault="005A04F3" w:rsidP="008B34AF">
            <w:pPr>
              <w:spacing w:after="0"/>
              <w:jc w:val="both"/>
              <w:rPr>
                <w:rFonts w:ascii="Cambria" w:eastAsia="Calibri" w:hAnsi="Cambria" w:cs="Calibri"/>
                <w:lang w:val="hr-HR"/>
              </w:rPr>
            </w:pPr>
            <w:proofErr w:type="spellStart"/>
            <w:r w:rsidRPr="00DF4CE5">
              <w:rPr>
                <w:rFonts w:ascii="Cambria" w:eastAsia="Calibri" w:hAnsi="Cambria" w:cs="Calibri"/>
              </w:rPr>
              <w:t>Korelativnost</w:t>
            </w:r>
            <w:proofErr w:type="spellEnd"/>
          </w:p>
        </w:tc>
        <w:tc>
          <w:tcPr>
            <w:tcW w:w="6879"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6931267" w14:textId="77777777" w:rsidR="005A04F3" w:rsidRPr="00DF4CE5" w:rsidRDefault="005A04F3" w:rsidP="008B34AF">
            <w:pPr>
              <w:spacing w:after="0"/>
              <w:jc w:val="both"/>
              <w:rPr>
                <w:rFonts w:ascii="Cambria" w:eastAsia="Calibri" w:hAnsi="Cambria" w:cs="Calibri"/>
                <w:lang w:val="hr-HR"/>
              </w:rPr>
            </w:pPr>
            <w:r w:rsidRPr="00DF4CE5">
              <w:rPr>
                <w:rFonts w:ascii="Cambria" w:eastAsia="Calibri" w:hAnsi="Cambria" w:cs="Calibri"/>
                <w:lang w:val="hr-HR"/>
              </w:rPr>
              <w:t>Hrvatski jezik, Dječja književnost, Glazbena kultura, Likovna kultura, Metodika hrvatskog jezika</w:t>
            </w:r>
          </w:p>
        </w:tc>
      </w:tr>
      <w:tr w:rsidR="005A04F3" w:rsidRPr="00D0399C" w14:paraId="27865B8F" w14:textId="77777777" w:rsidTr="00535B7E">
        <w:tc>
          <w:tcPr>
            <w:tcW w:w="261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CBDE44B" w14:textId="77777777" w:rsidR="005A04F3" w:rsidRPr="00DF4CE5" w:rsidRDefault="005A04F3" w:rsidP="008B34AF">
            <w:pPr>
              <w:spacing w:after="0"/>
              <w:jc w:val="both"/>
              <w:rPr>
                <w:rFonts w:ascii="Cambria" w:eastAsia="Calibri" w:hAnsi="Cambria" w:cs="Calibri"/>
                <w:lang w:val="hr-HR"/>
              </w:rPr>
            </w:pPr>
            <w:r w:rsidRPr="00DF4CE5">
              <w:rPr>
                <w:rFonts w:ascii="Cambria" w:eastAsia="Calibri" w:hAnsi="Cambria" w:cs="Calibri"/>
                <w:lang w:val="hr-HR"/>
              </w:rPr>
              <w:t xml:space="preserve">Cilj kolegija </w:t>
            </w:r>
          </w:p>
        </w:tc>
        <w:tc>
          <w:tcPr>
            <w:tcW w:w="6879"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BEBFE43" w14:textId="77777777" w:rsidR="005A04F3" w:rsidRPr="00DF4CE5" w:rsidRDefault="005A04F3" w:rsidP="008B34AF">
            <w:pPr>
              <w:spacing w:after="0"/>
              <w:jc w:val="both"/>
              <w:rPr>
                <w:rFonts w:ascii="Cambria" w:eastAsia="Calibri" w:hAnsi="Cambria" w:cs="Calibri"/>
                <w:lang w:val="hr-HR"/>
              </w:rPr>
            </w:pPr>
            <w:r w:rsidRPr="00DF4CE5">
              <w:rPr>
                <w:rFonts w:ascii="Cambria" w:eastAsia="Calibri" w:hAnsi="Cambria" w:cs="Calibri"/>
                <w:lang w:val="hr-HR"/>
              </w:rPr>
              <w:t>Upoznati studente/studentice s osnovnim pojmovima medijske kulture, pri čemu studenti trebaju usvojiti temeljne spoznaje o vrstama medija i njihovom razvoju i razviti sposobnost samostalne interpretacije medijskih sadržaja namijenjenih djeci osnovnoškolske dobi.</w:t>
            </w:r>
          </w:p>
        </w:tc>
      </w:tr>
      <w:tr w:rsidR="005A04F3" w:rsidRPr="00D0399C" w14:paraId="237979D1" w14:textId="77777777" w:rsidTr="00535B7E">
        <w:tc>
          <w:tcPr>
            <w:tcW w:w="261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873434E" w14:textId="77777777" w:rsidR="005A04F3" w:rsidRPr="00DF4CE5" w:rsidRDefault="005A04F3" w:rsidP="008B34AF">
            <w:pPr>
              <w:spacing w:after="0"/>
              <w:jc w:val="both"/>
              <w:rPr>
                <w:rFonts w:ascii="Cambria" w:eastAsia="Calibri" w:hAnsi="Cambria" w:cs="Calibri"/>
                <w:lang w:val="hr-HR"/>
              </w:rPr>
            </w:pPr>
            <w:r w:rsidRPr="00DF4CE5">
              <w:rPr>
                <w:rFonts w:ascii="Cambria" w:eastAsia="Calibri" w:hAnsi="Cambria" w:cs="Calibri"/>
                <w:lang w:val="hr-HR"/>
              </w:rPr>
              <w:t>Ishodi učenja</w:t>
            </w:r>
          </w:p>
        </w:tc>
        <w:tc>
          <w:tcPr>
            <w:tcW w:w="6879"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8E9F6AE" w14:textId="77777777" w:rsidR="005A04F3" w:rsidRPr="00DF4CE5" w:rsidRDefault="005A04F3" w:rsidP="008B34AF">
            <w:pPr>
              <w:spacing w:after="0"/>
              <w:jc w:val="both"/>
              <w:rPr>
                <w:rFonts w:ascii="Cambria" w:eastAsia="Calibri" w:hAnsi="Cambria" w:cs="Calibri"/>
                <w:lang w:val="hr-HR"/>
              </w:rPr>
            </w:pPr>
            <w:r w:rsidRPr="00DF4CE5">
              <w:rPr>
                <w:rFonts w:ascii="Cambria" w:eastAsia="Calibri" w:hAnsi="Cambria" w:cs="Calibri"/>
                <w:lang w:val="hr-HR"/>
              </w:rPr>
              <w:t>1. definirati temeljne pojmove iz područja medijske kulture</w:t>
            </w:r>
          </w:p>
          <w:p w14:paraId="32A947E7" w14:textId="77777777" w:rsidR="005A04F3" w:rsidRPr="00DF4CE5" w:rsidRDefault="005A04F3" w:rsidP="008B34AF">
            <w:pPr>
              <w:spacing w:after="0"/>
              <w:jc w:val="both"/>
              <w:rPr>
                <w:rFonts w:ascii="Cambria" w:eastAsia="Calibri" w:hAnsi="Cambria" w:cs="Calibri"/>
                <w:lang w:val="hr-HR"/>
              </w:rPr>
            </w:pPr>
            <w:r w:rsidRPr="00DF4CE5">
              <w:rPr>
                <w:rFonts w:ascii="Cambria" w:eastAsia="Calibri" w:hAnsi="Cambria" w:cs="Calibri"/>
                <w:lang w:val="hr-HR"/>
              </w:rPr>
              <w:t>2. analizirati pojedina medijska ostvarenja</w:t>
            </w:r>
          </w:p>
          <w:p w14:paraId="233848D4" w14:textId="77777777" w:rsidR="005A04F3" w:rsidRPr="00DF4CE5" w:rsidRDefault="005A04F3" w:rsidP="008B34AF">
            <w:pPr>
              <w:spacing w:after="0"/>
              <w:jc w:val="both"/>
              <w:rPr>
                <w:rFonts w:ascii="Cambria" w:eastAsia="Calibri" w:hAnsi="Cambria" w:cs="Calibri"/>
                <w:lang w:val="hr-HR"/>
              </w:rPr>
            </w:pPr>
            <w:r w:rsidRPr="00DF4CE5">
              <w:rPr>
                <w:rFonts w:ascii="Cambria" w:eastAsia="Calibri" w:hAnsi="Cambria" w:cs="Calibri"/>
                <w:lang w:val="hr-HR"/>
              </w:rPr>
              <w:t>3. usporediti različita medijska ostvarenja istog sadržaja</w:t>
            </w:r>
          </w:p>
          <w:p w14:paraId="414EB3AC" w14:textId="77777777" w:rsidR="005A04F3" w:rsidRPr="00DF4CE5" w:rsidRDefault="005A04F3" w:rsidP="008B34AF">
            <w:pPr>
              <w:spacing w:after="0"/>
              <w:jc w:val="both"/>
              <w:rPr>
                <w:rFonts w:ascii="Cambria" w:eastAsia="Calibri" w:hAnsi="Cambria" w:cs="Calibri"/>
                <w:lang w:val="hr-HR"/>
              </w:rPr>
            </w:pPr>
            <w:r w:rsidRPr="00DF4CE5">
              <w:rPr>
                <w:rFonts w:ascii="Cambria" w:eastAsia="Calibri" w:hAnsi="Cambria" w:cs="Calibri"/>
                <w:lang w:val="hr-HR"/>
              </w:rPr>
              <w:t>4. kritički vrednovati pojedina medijska ostvarenja</w:t>
            </w:r>
          </w:p>
          <w:p w14:paraId="034FB258" w14:textId="77777777" w:rsidR="005A04F3" w:rsidRPr="00DF4CE5" w:rsidRDefault="005A04F3" w:rsidP="008B34AF">
            <w:pPr>
              <w:spacing w:after="0"/>
              <w:jc w:val="both"/>
              <w:rPr>
                <w:rFonts w:ascii="Cambria" w:eastAsia="Calibri" w:hAnsi="Cambria" w:cs="Calibri"/>
                <w:lang w:val="hr-HR"/>
              </w:rPr>
            </w:pPr>
            <w:r w:rsidRPr="00DF4CE5">
              <w:rPr>
                <w:rFonts w:ascii="Cambria" w:eastAsia="Calibri" w:hAnsi="Cambria" w:cs="Calibri"/>
                <w:lang w:val="hr-HR"/>
              </w:rPr>
              <w:t>5. primijeniti stečene kompetencije na medijskim sadržajima namijenjenima djeci osnovnoškolske dobi</w:t>
            </w:r>
          </w:p>
        </w:tc>
      </w:tr>
      <w:tr w:rsidR="005A04F3" w:rsidRPr="00D0399C" w14:paraId="08B3302E" w14:textId="77777777" w:rsidTr="00535B7E">
        <w:tc>
          <w:tcPr>
            <w:tcW w:w="2618"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064301FA" w14:textId="77777777" w:rsidR="005A04F3" w:rsidRPr="00DF4CE5" w:rsidRDefault="005A04F3" w:rsidP="008B34AF">
            <w:pPr>
              <w:spacing w:after="0"/>
              <w:jc w:val="both"/>
              <w:rPr>
                <w:rFonts w:ascii="Cambria" w:eastAsia="Calibri" w:hAnsi="Cambria" w:cs="Calibri"/>
                <w:lang w:val="hr-HR"/>
              </w:rPr>
            </w:pPr>
            <w:r w:rsidRPr="00DF4CE5">
              <w:rPr>
                <w:rFonts w:ascii="Cambria" w:eastAsia="Calibri" w:hAnsi="Cambria" w:cs="Calibri"/>
                <w:lang w:val="hr-HR"/>
              </w:rPr>
              <w:t>Sadržaj kolegija</w:t>
            </w:r>
          </w:p>
        </w:tc>
        <w:tc>
          <w:tcPr>
            <w:tcW w:w="6879"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3AF7D08" w14:textId="77777777" w:rsidR="005A04F3" w:rsidRPr="00DF4CE5" w:rsidRDefault="005A04F3" w:rsidP="008B34AF">
            <w:pPr>
              <w:spacing w:after="0"/>
              <w:jc w:val="both"/>
              <w:rPr>
                <w:rFonts w:ascii="Cambria" w:eastAsia="Calibri" w:hAnsi="Cambria" w:cs="Calibri"/>
                <w:lang w:val="hr-HR"/>
              </w:rPr>
            </w:pPr>
            <w:r w:rsidRPr="00DF4CE5">
              <w:rPr>
                <w:rFonts w:ascii="Cambria" w:eastAsia="Calibri" w:hAnsi="Cambria" w:cs="Calibri"/>
                <w:lang w:val="hr-HR"/>
              </w:rPr>
              <w:t>1. Uvod u medije</w:t>
            </w:r>
          </w:p>
          <w:p w14:paraId="0E5C7201" w14:textId="77777777" w:rsidR="005A04F3" w:rsidRPr="00DF4CE5" w:rsidRDefault="005A04F3" w:rsidP="008B34AF">
            <w:pPr>
              <w:spacing w:after="0"/>
              <w:jc w:val="both"/>
              <w:rPr>
                <w:rFonts w:ascii="Cambria" w:eastAsia="Calibri" w:hAnsi="Cambria" w:cs="Calibri"/>
                <w:lang w:val="hr-HR"/>
              </w:rPr>
            </w:pPr>
            <w:r w:rsidRPr="00DF4CE5">
              <w:rPr>
                <w:rFonts w:ascii="Cambria" w:eastAsia="Calibri" w:hAnsi="Cambria" w:cs="Calibri"/>
                <w:lang w:val="hr-HR"/>
              </w:rPr>
              <w:t xml:space="preserve">2. Medijska pismenost i medijska kultura </w:t>
            </w:r>
          </w:p>
          <w:p w14:paraId="0B8E3887" w14:textId="77777777" w:rsidR="005A04F3" w:rsidRPr="00DF4CE5" w:rsidRDefault="005A04F3" w:rsidP="008B34AF">
            <w:pPr>
              <w:spacing w:after="0"/>
              <w:jc w:val="both"/>
              <w:rPr>
                <w:rFonts w:ascii="Cambria" w:eastAsia="Calibri" w:hAnsi="Cambria" w:cs="Calibri"/>
                <w:lang w:val="hr-HR"/>
              </w:rPr>
            </w:pPr>
            <w:r w:rsidRPr="00DF4CE5">
              <w:rPr>
                <w:rFonts w:ascii="Cambria" w:eastAsia="Calibri" w:hAnsi="Cambria" w:cs="Calibri"/>
                <w:lang w:val="hr-HR"/>
              </w:rPr>
              <w:t>3. Tisak (povijest i vrste tiskovina, novinarstvo, časopisi za djecu)</w:t>
            </w:r>
          </w:p>
          <w:p w14:paraId="6A1B544E" w14:textId="77777777" w:rsidR="005A04F3" w:rsidRPr="00DF4CE5" w:rsidRDefault="005A04F3" w:rsidP="008B34AF">
            <w:pPr>
              <w:spacing w:after="0"/>
              <w:jc w:val="both"/>
              <w:rPr>
                <w:rFonts w:ascii="Cambria" w:eastAsia="Calibri" w:hAnsi="Cambria" w:cs="Calibri"/>
                <w:lang w:val="hr-HR"/>
              </w:rPr>
            </w:pPr>
            <w:r w:rsidRPr="00DF4CE5">
              <w:rPr>
                <w:rFonts w:ascii="Cambria" w:eastAsia="Calibri" w:hAnsi="Cambria" w:cs="Calibri"/>
                <w:lang w:val="hr-HR"/>
              </w:rPr>
              <w:t>4. Kazalište (povijest i vrste kazališta, kazališne predstave za djecu)</w:t>
            </w:r>
          </w:p>
          <w:p w14:paraId="357E1631" w14:textId="77777777" w:rsidR="005A04F3" w:rsidRPr="00DF4CE5" w:rsidRDefault="005A04F3" w:rsidP="008B34AF">
            <w:pPr>
              <w:spacing w:after="0"/>
              <w:jc w:val="both"/>
              <w:rPr>
                <w:rFonts w:ascii="Cambria" w:eastAsia="Calibri" w:hAnsi="Cambria" w:cs="Calibri"/>
                <w:lang w:val="hr-HR"/>
              </w:rPr>
            </w:pPr>
            <w:r w:rsidRPr="00DF4CE5">
              <w:rPr>
                <w:rFonts w:ascii="Cambria" w:eastAsia="Calibri" w:hAnsi="Cambria" w:cs="Calibri"/>
                <w:lang w:val="hr-HR"/>
              </w:rPr>
              <w:t xml:space="preserve">5. Radio (povijest radija, radijske emisije namijenjene djeci ) </w:t>
            </w:r>
          </w:p>
          <w:p w14:paraId="4126382F" w14:textId="77777777" w:rsidR="005A04F3" w:rsidRPr="00DF4CE5" w:rsidRDefault="005A04F3" w:rsidP="008B34AF">
            <w:pPr>
              <w:spacing w:after="0"/>
              <w:jc w:val="both"/>
              <w:rPr>
                <w:rFonts w:ascii="Cambria" w:eastAsia="Calibri" w:hAnsi="Cambria" w:cs="Calibri"/>
                <w:lang w:val="hr-HR"/>
              </w:rPr>
            </w:pPr>
            <w:r w:rsidRPr="00DF4CE5">
              <w:rPr>
                <w:rFonts w:ascii="Cambria" w:eastAsia="Calibri" w:hAnsi="Cambria" w:cs="Calibri"/>
                <w:lang w:val="hr-HR"/>
              </w:rPr>
              <w:t xml:space="preserve">6. Film (temeljni filmski pojmovi, povijest filma, filmske vrste, filmska ostvarenja za djecu, film u nastavi) </w:t>
            </w:r>
          </w:p>
          <w:p w14:paraId="72462981" w14:textId="77777777" w:rsidR="005A04F3" w:rsidRPr="00DF4CE5" w:rsidRDefault="005A04F3" w:rsidP="008B34AF">
            <w:pPr>
              <w:spacing w:after="0"/>
              <w:jc w:val="both"/>
              <w:rPr>
                <w:rFonts w:ascii="Cambria" w:eastAsia="Calibri" w:hAnsi="Cambria" w:cs="Calibri"/>
                <w:lang w:val="hr-HR"/>
              </w:rPr>
            </w:pPr>
            <w:r w:rsidRPr="00DF4CE5">
              <w:rPr>
                <w:rFonts w:ascii="Cambria" w:eastAsia="Calibri" w:hAnsi="Cambria" w:cs="Calibri"/>
                <w:lang w:val="hr-HR"/>
              </w:rPr>
              <w:t xml:space="preserve">7. Televizija (povijest televizije, televizijske serije za djecu) </w:t>
            </w:r>
          </w:p>
        </w:tc>
      </w:tr>
      <w:tr w:rsidR="005A04F3" w:rsidRPr="00DF4CE5" w14:paraId="479E3E05" w14:textId="77777777" w:rsidTr="00DB76CD">
        <w:tc>
          <w:tcPr>
            <w:tcW w:w="2618"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5D4C00FE" w14:textId="77777777" w:rsidR="005A04F3" w:rsidRPr="00DF4CE5" w:rsidRDefault="005A04F3" w:rsidP="008B34AF">
            <w:pPr>
              <w:spacing w:after="0"/>
              <w:jc w:val="both"/>
              <w:rPr>
                <w:rFonts w:ascii="Cambria" w:eastAsia="Calibri" w:hAnsi="Cambria" w:cs="Calibri"/>
                <w:lang w:val="hr-HR"/>
              </w:rPr>
            </w:pPr>
            <w:r w:rsidRPr="00DF4CE5">
              <w:rPr>
                <w:rFonts w:ascii="Cambria" w:eastAsia="Calibri" w:hAnsi="Cambria" w:cs="Calibri"/>
                <w:lang w:val="hr-HR"/>
              </w:rPr>
              <w:t>Planirane aktivnosti,</w:t>
            </w:r>
          </w:p>
          <w:p w14:paraId="47CEF786" w14:textId="77777777" w:rsidR="005A04F3" w:rsidRPr="00DF4CE5" w:rsidRDefault="005A04F3" w:rsidP="008B34AF">
            <w:pPr>
              <w:spacing w:after="0"/>
              <w:jc w:val="both"/>
              <w:rPr>
                <w:rFonts w:ascii="Cambria" w:eastAsia="Calibri" w:hAnsi="Cambria" w:cs="Calibri"/>
                <w:lang w:val="hr-HR"/>
              </w:rPr>
            </w:pPr>
            <w:proofErr w:type="spellStart"/>
            <w:r w:rsidRPr="00DF4CE5">
              <w:rPr>
                <w:rFonts w:ascii="Cambria" w:eastAsia="Calibri" w:hAnsi="Cambria" w:cs="Calibri"/>
                <w:lang w:val="it-IT"/>
              </w:rPr>
              <w:t>metode</w:t>
            </w:r>
            <w:proofErr w:type="spellEnd"/>
            <w:r w:rsidRPr="00DF4CE5">
              <w:rPr>
                <w:rFonts w:ascii="Cambria" w:eastAsia="Calibri" w:hAnsi="Cambria" w:cs="Calibri"/>
                <w:lang w:val="hr-HR"/>
              </w:rPr>
              <w:t xml:space="preserve"> učenja i poučavanja i načini vrednovanja</w:t>
            </w:r>
          </w:p>
          <w:p w14:paraId="69FAB50E" w14:textId="77777777" w:rsidR="005A04F3" w:rsidRPr="00DF4CE5" w:rsidRDefault="005A04F3" w:rsidP="008B34AF">
            <w:pPr>
              <w:spacing w:after="0"/>
              <w:jc w:val="both"/>
              <w:rPr>
                <w:rFonts w:ascii="Cambria" w:eastAsia="Calibri" w:hAnsi="Cambria" w:cs="Calibri"/>
                <w:lang w:val="hr-HR"/>
              </w:rPr>
            </w:pPr>
          </w:p>
        </w:tc>
        <w:tc>
          <w:tcPr>
            <w:tcW w:w="261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200D112" w14:textId="77777777" w:rsidR="005A04F3" w:rsidRPr="00DF4CE5" w:rsidRDefault="005A04F3" w:rsidP="008B34AF">
            <w:pPr>
              <w:spacing w:after="0"/>
              <w:jc w:val="both"/>
              <w:rPr>
                <w:rFonts w:ascii="Cambria" w:eastAsia="Calibri" w:hAnsi="Cambria" w:cs="Calibri"/>
                <w:lang w:val="hr-HR"/>
              </w:rPr>
            </w:pPr>
            <w:r w:rsidRPr="00DF4CE5">
              <w:rPr>
                <w:rFonts w:ascii="Cambria" w:eastAsia="Calibri" w:hAnsi="Cambria" w:cs="Calibri"/>
                <w:bCs/>
                <w:lang w:val="hr-HR"/>
              </w:rPr>
              <w:t>Obveze</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4618A77" w14:textId="77777777" w:rsidR="005A04F3" w:rsidRPr="00DF4CE5" w:rsidRDefault="005A04F3" w:rsidP="008B34AF">
            <w:pPr>
              <w:spacing w:after="0"/>
              <w:jc w:val="both"/>
              <w:rPr>
                <w:rFonts w:ascii="Cambria" w:eastAsia="Calibri" w:hAnsi="Cambria" w:cs="Calibri"/>
                <w:lang w:val="hr-HR"/>
              </w:rPr>
            </w:pPr>
            <w:r w:rsidRPr="00DF4CE5">
              <w:rPr>
                <w:rFonts w:ascii="Cambria" w:eastAsia="Calibri" w:hAnsi="Cambria" w:cs="Calibri"/>
                <w:bCs/>
                <w:lang w:val="hr-HR"/>
              </w:rPr>
              <w:t>Ishodi</w:t>
            </w:r>
          </w:p>
        </w:tc>
        <w:tc>
          <w:tcPr>
            <w:tcW w:w="98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09B26D" w14:textId="77777777" w:rsidR="005A04F3" w:rsidRPr="00DF4CE5" w:rsidRDefault="005A04F3" w:rsidP="008B34AF">
            <w:pPr>
              <w:spacing w:after="0"/>
              <w:jc w:val="both"/>
              <w:rPr>
                <w:rFonts w:ascii="Cambria" w:eastAsia="Calibri" w:hAnsi="Cambria" w:cs="Calibri"/>
                <w:lang w:val="hr-HR"/>
              </w:rPr>
            </w:pPr>
            <w:r w:rsidRPr="00DF4CE5">
              <w:rPr>
                <w:rFonts w:ascii="Cambria" w:eastAsia="Calibri" w:hAnsi="Cambria" w:cs="Calibri"/>
                <w:bCs/>
                <w:lang w:val="hr-HR"/>
              </w:rPr>
              <w:t>Sati</w:t>
            </w:r>
          </w:p>
        </w:tc>
        <w:tc>
          <w:tcPr>
            <w:tcW w:w="8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80EC61A" w14:textId="77777777" w:rsidR="005A04F3" w:rsidRPr="00DF4CE5" w:rsidRDefault="005A04F3" w:rsidP="008B34AF">
            <w:pPr>
              <w:spacing w:after="0"/>
              <w:jc w:val="both"/>
              <w:rPr>
                <w:rFonts w:ascii="Cambria" w:eastAsia="Calibri" w:hAnsi="Cambria" w:cs="Calibri"/>
                <w:lang w:val="hr-HR"/>
              </w:rPr>
            </w:pPr>
            <w:r w:rsidRPr="00DF4CE5">
              <w:rPr>
                <w:rFonts w:ascii="Cambria" w:eastAsia="Calibri" w:hAnsi="Cambria" w:cs="Calibri"/>
                <w:bCs/>
                <w:lang w:val="hr-HR"/>
              </w:rPr>
              <w:t>ECTS</w:t>
            </w:r>
          </w:p>
        </w:tc>
        <w:tc>
          <w:tcPr>
            <w:tcW w:w="14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9D2D0BA" w14:textId="77777777" w:rsidR="005A04F3" w:rsidRPr="00DF4CE5" w:rsidRDefault="005A04F3" w:rsidP="008B34AF">
            <w:pPr>
              <w:spacing w:after="0"/>
              <w:jc w:val="both"/>
              <w:rPr>
                <w:rFonts w:ascii="Cambria" w:eastAsia="Calibri" w:hAnsi="Cambria" w:cs="Calibri"/>
                <w:lang w:val="hr-HR"/>
              </w:rPr>
            </w:pPr>
            <w:r w:rsidRPr="00DF4CE5">
              <w:rPr>
                <w:rFonts w:ascii="Cambria" w:eastAsia="Calibri" w:hAnsi="Cambria" w:cs="Calibri"/>
                <w:bCs/>
                <w:lang w:val="hr-HR"/>
              </w:rPr>
              <w:t>Maksimalni udio u ocjeni</w:t>
            </w:r>
            <w:r w:rsidRPr="00DF4CE5">
              <w:rPr>
                <w:rFonts w:ascii="Cambria" w:eastAsia="Calibri" w:hAnsi="Cambria" w:cs="Calibri"/>
                <w:bCs/>
              </w:rPr>
              <w:t xml:space="preserve"> (%)</w:t>
            </w:r>
          </w:p>
        </w:tc>
      </w:tr>
      <w:tr w:rsidR="00DB76CD" w:rsidRPr="00DF4CE5" w14:paraId="06C4EDC9" w14:textId="77777777" w:rsidTr="00DB76CD">
        <w:tc>
          <w:tcPr>
            <w:tcW w:w="2618" w:type="dxa"/>
            <w:vMerge/>
            <w:tcBorders>
              <w:left w:val="single" w:sz="8" w:space="0" w:color="000000"/>
              <w:right w:val="single" w:sz="8" w:space="0" w:color="000000"/>
            </w:tcBorders>
            <w:vAlign w:val="center"/>
          </w:tcPr>
          <w:p w14:paraId="1CBE267A" w14:textId="77777777" w:rsidR="00DB76CD" w:rsidRPr="00DF4CE5" w:rsidRDefault="00DB76CD" w:rsidP="00DB76CD">
            <w:pPr>
              <w:spacing w:after="0"/>
              <w:jc w:val="both"/>
              <w:rPr>
                <w:rFonts w:ascii="Cambria" w:eastAsia="Calibri" w:hAnsi="Cambria" w:cs="Calibri"/>
                <w:lang w:val="hr-HR"/>
              </w:rPr>
            </w:pPr>
          </w:p>
        </w:tc>
        <w:tc>
          <w:tcPr>
            <w:tcW w:w="261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5D6D5EF" w14:textId="445B5589" w:rsidR="00DB76CD" w:rsidRPr="00DF4CE5" w:rsidRDefault="00DB76CD" w:rsidP="00DB76CD">
            <w:pPr>
              <w:spacing w:after="0"/>
              <w:jc w:val="both"/>
              <w:rPr>
                <w:rFonts w:ascii="Cambria" w:eastAsia="Calibri" w:hAnsi="Cambria" w:cs="Calibri"/>
                <w:lang w:val="hr-HR"/>
              </w:rPr>
            </w:pPr>
            <w:proofErr w:type="spellStart"/>
            <w:r w:rsidRPr="00DF4CE5">
              <w:rPr>
                <w:rFonts w:ascii="Cambria" w:eastAsia="Times New Roman" w:hAnsi="Cambria" w:cs="Calibri"/>
              </w:rPr>
              <w:t>aktivnost</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na</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nastavi</w:t>
            </w:r>
            <w:proofErr w:type="spellEnd"/>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DDA13D4" w14:textId="77777777" w:rsidR="00DB76CD" w:rsidRPr="00DF4CE5" w:rsidRDefault="00DB76CD" w:rsidP="00DB76CD">
            <w:pPr>
              <w:spacing w:after="0"/>
              <w:jc w:val="both"/>
              <w:rPr>
                <w:rFonts w:ascii="Cambria" w:eastAsia="Calibri" w:hAnsi="Cambria" w:cs="Calibri"/>
                <w:lang w:val="hr-HR"/>
              </w:rPr>
            </w:pPr>
            <w:r w:rsidRPr="00DF4CE5">
              <w:rPr>
                <w:rFonts w:ascii="Cambria" w:eastAsia="Calibri" w:hAnsi="Cambria" w:cs="Calibri"/>
                <w:lang w:val="hr-HR"/>
              </w:rPr>
              <w:t> 1. - 5.</w:t>
            </w:r>
          </w:p>
        </w:tc>
        <w:tc>
          <w:tcPr>
            <w:tcW w:w="98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2379C56" w14:textId="77777777" w:rsidR="00DB76CD" w:rsidRPr="00DF4CE5" w:rsidRDefault="00DB76CD" w:rsidP="00DB76CD">
            <w:pPr>
              <w:spacing w:after="0"/>
              <w:jc w:val="both"/>
              <w:rPr>
                <w:rFonts w:ascii="Cambria" w:eastAsia="Calibri" w:hAnsi="Cambria" w:cs="Calibri"/>
                <w:lang w:val="hr-HR"/>
              </w:rPr>
            </w:pPr>
            <w:r w:rsidRPr="00DF4CE5">
              <w:rPr>
                <w:rFonts w:ascii="Cambria" w:eastAsia="Calibri" w:hAnsi="Cambria" w:cs="Calibri"/>
                <w:lang w:val="hr-HR"/>
              </w:rPr>
              <w:t>34</w:t>
            </w:r>
          </w:p>
        </w:tc>
        <w:tc>
          <w:tcPr>
            <w:tcW w:w="8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A754D6E" w14:textId="5372F3CB" w:rsidR="00DB76CD" w:rsidRPr="00DF4CE5" w:rsidRDefault="00DB76CD" w:rsidP="00DB76CD">
            <w:pPr>
              <w:spacing w:after="0"/>
              <w:jc w:val="both"/>
              <w:rPr>
                <w:rFonts w:ascii="Cambria" w:eastAsia="Calibri" w:hAnsi="Cambria" w:cs="Calibri"/>
                <w:lang w:val="hr-HR"/>
              </w:rPr>
            </w:pPr>
            <w:r w:rsidRPr="00DF4CE5">
              <w:rPr>
                <w:rFonts w:ascii="Cambria" w:eastAsia="Calibri" w:hAnsi="Cambria" w:cs="Calibri"/>
                <w:lang w:val="hr-HR"/>
              </w:rPr>
              <w:t> 1,1</w:t>
            </w:r>
          </w:p>
        </w:tc>
        <w:tc>
          <w:tcPr>
            <w:tcW w:w="14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1286C07" w14:textId="77777777" w:rsidR="00DB76CD" w:rsidRPr="00DF4CE5" w:rsidRDefault="00DB76CD" w:rsidP="00DB76CD">
            <w:pPr>
              <w:spacing w:after="0"/>
              <w:jc w:val="both"/>
              <w:rPr>
                <w:rFonts w:ascii="Cambria" w:eastAsia="Calibri" w:hAnsi="Cambria" w:cs="Calibri"/>
                <w:lang w:val="hr-HR"/>
              </w:rPr>
            </w:pPr>
            <w:r w:rsidRPr="00DF4CE5">
              <w:rPr>
                <w:rFonts w:ascii="Cambria" w:eastAsia="Calibri" w:hAnsi="Cambria" w:cs="Calibri"/>
                <w:lang w:val="hr-HR"/>
              </w:rPr>
              <w:t> 10%</w:t>
            </w:r>
          </w:p>
        </w:tc>
      </w:tr>
      <w:tr w:rsidR="00DB76CD" w:rsidRPr="00DF4CE5" w14:paraId="385D9740" w14:textId="77777777" w:rsidTr="00DB76CD">
        <w:tc>
          <w:tcPr>
            <w:tcW w:w="2618" w:type="dxa"/>
            <w:vMerge/>
            <w:tcBorders>
              <w:left w:val="single" w:sz="8" w:space="0" w:color="000000"/>
              <w:right w:val="single" w:sz="8" w:space="0" w:color="000000"/>
            </w:tcBorders>
            <w:vAlign w:val="center"/>
          </w:tcPr>
          <w:p w14:paraId="4BE2F610" w14:textId="77777777" w:rsidR="00DB76CD" w:rsidRPr="00DF4CE5" w:rsidRDefault="00DB76CD" w:rsidP="00DB76CD">
            <w:pPr>
              <w:spacing w:after="0"/>
              <w:jc w:val="both"/>
              <w:rPr>
                <w:rFonts w:ascii="Cambria" w:eastAsia="Calibri" w:hAnsi="Cambria" w:cs="Calibri"/>
                <w:lang w:val="hr-HR"/>
              </w:rPr>
            </w:pPr>
          </w:p>
        </w:tc>
        <w:tc>
          <w:tcPr>
            <w:tcW w:w="261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D069213" w14:textId="77777777" w:rsidR="00DB76CD" w:rsidRPr="00DF4CE5" w:rsidRDefault="00DB76CD" w:rsidP="00DB76CD">
            <w:pPr>
              <w:spacing w:after="0"/>
              <w:jc w:val="both"/>
              <w:rPr>
                <w:rFonts w:ascii="Cambria" w:eastAsia="Calibri" w:hAnsi="Cambria" w:cs="Calibri"/>
                <w:lang w:val="hr-HR"/>
              </w:rPr>
            </w:pPr>
            <w:r w:rsidRPr="00DF4CE5">
              <w:rPr>
                <w:rFonts w:ascii="Cambria" w:eastAsia="Calibri" w:hAnsi="Cambria" w:cs="Calibri"/>
                <w:lang w:val="it-IT"/>
              </w:rPr>
              <w:t>s</w:t>
            </w:r>
            <w:proofErr w:type="spellStart"/>
            <w:r w:rsidRPr="00DF4CE5">
              <w:rPr>
                <w:rFonts w:ascii="Cambria" w:eastAsia="Calibri" w:hAnsi="Cambria" w:cs="Calibri"/>
                <w:lang w:val="hr-HR"/>
              </w:rPr>
              <w:t>amostalni</w:t>
            </w:r>
            <w:proofErr w:type="spellEnd"/>
            <w:r w:rsidRPr="00DF4CE5">
              <w:rPr>
                <w:rFonts w:ascii="Cambria" w:eastAsia="Calibri" w:hAnsi="Cambria" w:cs="Calibri"/>
                <w:lang w:val="hr-HR"/>
              </w:rPr>
              <w:t xml:space="preserve"> zadaci (domaća zadaća)</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01EC55B" w14:textId="77777777" w:rsidR="00DB76CD" w:rsidRPr="00DF4CE5" w:rsidRDefault="00DB76CD" w:rsidP="00DB76CD">
            <w:pPr>
              <w:spacing w:after="0"/>
              <w:jc w:val="both"/>
              <w:rPr>
                <w:rFonts w:ascii="Cambria" w:eastAsia="Calibri" w:hAnsi="Cambria" w:cs="Calibri"/>
                <w:lang w:val="hr-HR"/>
              </w:rPr>
            </w:pPr>
            <w:r w:rsidRPr="00DF4CE5">
              <w:rPr>
                <w:rFonts w:ascii="Cambria" w:eastAsia="Calibri" w:hAnsi="Cambria" w:cs="Calibri"/>
                <w:lang w:val="hr-HR"/>
              </w:rPr>
              <w:t> 2. - 5.</w:t>
            </w:r>
          </w:p>
        </w:tc>
        <w:tc>
          <w:tcPr>
            <w:tcW w:w="98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78627D3" w14:textId="4F76F1DE" w:rsidR="00DB76CD" w:rsidRPr="00DF4CE5" w:rsidRDefault="00DB76CD" w:rsidP="00DB76CD">
            <w:pPr>
              <w:spacing w:after="0"/>
              <w:jc w:val="both"/>
              <w:rPr>
                <w:rFonts w:ascii="Cambria" w:eastAsia="Calibri" w:hAnsi="Cambria" w:cs="Calibri"/>
                <w:lang w:val="hr-HR"/>
              </w:rPr>
            </w:pPr>
            <w:r w:rsidRPr="00DF4CE5">
              <w:rPr>
                <w:rFonts w:ascii="Cambria" w:eastAsia="Calibri" w:hAnsi="Cambria" w:cs="Calibri"/>
                <w:lang w:val="hr-HR"/>
              </w:rPr>
              <w:t> 15</w:t>
            </w:r>
          </w:p>
        </w:tc>
        <w:tc>
          <w:tcPr>
            <w:tcW w:w="8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0B2957C" w14:textId="17EECF14" w:rsidR="00DB76CD" w:rsidRPr="00DF4CE5" w:rsidRDefault="00DB76CD" w:rsidP="00DB76CD">
            <w:pPr>
              <w:spacing w:after="0"/>
              <w:jc w:val="both"/>
              <w:rPr>
                <w:rFonts w:ascii="Cambria" w:eastAsia="Calibri" w:hAnsi="Cambria" w:cs="Calibri"/>
                <w:lang w:val="hr-HR"/>
              </w:rPr>
            </w:pPr>
            <w:r w:rsidRPr="00DF4CE5">
              <w:rPr>
                <w:rFonts w:ascii="Cambria" w:eastAsia="Calibri" w:hAnsi="Cambria" w:cs="Calibri"/>
                <w:lang w:val="hr-HR"/>
              </w:rPr>
              <w:t xml:space="preserve"> 0,5</w:t>
            </w:r>
          </w:p>
        </w:tc>
        <w:tc>
          <w:tcPr>
            <w:tcW w:w="14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E1D62A1" w14:textId="77777777" w:rsidR="00DB76CD" w:rsidRPr="00DF4CE5" w:rsidRDefault="00DB76CD" w:rsidP="00DB76CD">
            <w:pPr>
              <w:spacing w:after="0"/>
              <w:jc w:val="both"/>
              <w:rPr>
                <w:rFonts w:ascii="Cambria" w:eastAsia="Calibri" w:hAnsi="Cambria" w:cs="Calibri"/>
                <w:lang w:val="hr-HR"/>
              </w:rPr>
            </w:pPr>
            <w:r w:rsidRPr="00DF4CE5">
              <w:rPr>
                <w:rFonts w:ascii="Cambria" w:eastAsia="Calibri" w:hAnsi="Cambria" w:cs="Calibri"/>
                <w:lang w:val="hr-HR"/>
              </w:rPr>
              <w:t> 20%</w:t>
            </w:r>
          </w:p>
        </w:tc>
      </w:tr>
      <w:tr w:rsidR="00DB76CD" w:rsidRPr="00DF4CE5" w14:paraId="67C69C4C" w14:textId="77777777" w:rsidTr="00DB76CD">
        <w:tc>
          <w:tcPr>
            <w:tcW w:w="2618" w:type="dxa"/>
            <w:vMerge/>
            <w:tcBorders>
              <w:left w:val="single" w:sz="8" w:space="0" w:color="000000"/>
              <w:right w:val="single" w:sz="8" w:space="0" w:color="000000"/>
            </w:tcBorders>
            <w:vAlign w:val="center"/>
          </w:tcPr>
          <w:p w14:paraId="79804724" w14:textId="77777777" w:rsidR="00DB76CD" w:rsidRPr="00DF4CE5" w:rsidRDefault="00DB76CD" w:rsidP="00DB76CD">
            <w:pPr>
              <w:spacing w:after="0"/>
              <w:jc w:val="both"/>
              <w:rPr>
                <w:rFonts w:ascii="Cambria" w:eastAsia="Calibri" w:hAnsi="Cambria" w:cs="Calibri"/>
                <w:lang w:val="hr-HR"/>
              </w:rPr>
            </w:pPr>
          </w:p>
        </w:tc>
        <w:tc>
          <w:tcPr>
            <w:tcW w:w="261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9362890" w14:textId="77777777" w:rsidR="00DB76CD" w:rsidRPr="00DF4CE5" w:rsidRDefault="00DB76CD" w:rsidP="00DB76CD">
            <w:pPr>
              <w:spacing w:after="0"/>
              <w:jc w:val="both"/>
              <w:rPr>
                <w:rFonts w:ascii="Cambria" w:eastAsia="Calibri" w:hAnsi="Cambria" w:cs="Calibri"/>
                <w:lang w:val="hr-HR"/>
              </w:rPr>
            </w:pPr>
            <w:r w:rsidRPr="00DF4CE5">
              <w:rPr>
                <w:rFonts w:ascii="Cambria" w:eastAsia="Calibri" w:hAnsi="Cambria" w:cs="Calibri"/>
                <w:lang w:val="hr-HR"/>
              </w:rPr>
              <w:t>seminarski rad</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DBEF926" w14:textId="77777777" w:rsidR="00DB76CD" w:rsidRPr="00DF4CE5" w:rsidRDefault="00DB76CD" w:rsidP="00DB76CD">
            <w:pPr>
              <w:spacing w:after="0"/>
              <w:jc w:val="both"/>
              <w:rPr>
                <w:rFonts w:ascii="Cambria" w:eastAsia="Calibri" w:hAnsi="Cambria" w:cs="Calibri"/>
                <w:lang w:val="hr-HR"/>
              </w:rPr>
            </w:pPr>
            <w:r w:rsidRPr="00DF4CE5">
              <w:rPr>
                <w:rFonts w:ascii="Cambria" w:eastAsia="Calibri" w:hAnsi="Cambria" w:cs="Calibri"/>
                <w:lang w:val="hr-HR"/>
              </w:rPr>
              <w:t> 1. - 5.</w:t>
            </w:r>
          </w:p>
        </w:tc>
        <w:tc>
          <w:tcPr>
            <w:tcW w:w="98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26902AA" w14:textId="5694DE38" w:rsidR="00DB76CD" w:rsidRPr="00DF4CE5" w:rsidRDefault="00DB76CD" w:rsidP="00DB76CD">
            <w:pPr>
              <w:spacing w:after="0"/>
              <w:jc w:val="both"/>
              <w:rPr>
                <w:rFonts w:ascii="Cambria" w:eastAsia="Calibri" w:hAnsi="Cambria" w:cs="Calibri"/>
                <w:lang w:val="hr-HR"/>
              </w:rPr>
            </w:pPr>
            <w:r w:rsidRPr="00DF4CE5">
              <w:rPr>
                <w:rFonts w:ascii="Cambria" w:eastAsia="Calibri" w:hAnsi="Cambria" w:cs="Calibri"/>
                <w:lang w:val="hr-HR"/>
              </w:rPr>
              <w:t> 24</w:t>
            </w:r>
          </w:p>
        </w:tc>
        <w:tc>
          <w:tcPr>
            <w:tcW w:w="8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198281E" w14:textId="77777777" w:rsidR="00DB76CD" w:rsidRPr="00DF4CE5" w:rsidRDefault="00DB76CD" w:rsidP="00DB76CD">
            <w:pPr>
              <w:spacing w:after="0"/>
              <w:jc w:val="both"/>
              <w:rPr>
                <w:rFonts w:ascii="Cambria" w:eastAsia="Calibri" w:hAnsi="Cambria" w:cs="Calibri"/>
                <w:lang w:val="hr-HR"/>
              </w:rPr>
            </w:pPr>
            <w:r w:rsidRPr="00DF4CE5">
              <w:rPr>
                <w:rFonts w:ascii="Cambria" w:eastAsia="Calibri" w:hAnsi="Cambria" w:cs="Calibri"/>
                <w:lang w:val="hr-HR"/>
              </w:rPr>
              <w:t> 0,8</w:t>
            </w:r>
          </w:p>
        </w:tc>
        <w:tc>
          <w:tcPr>
            <w:tcW w:w="14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5480A78" w14:textId="77777777" w:rsidR="00DB76CD" w:rsidRPr="00DF4CE5" w:rsidRDefault="00DB76CD" w:rsidP="00DB76CD">
            <w:pPr>
              <w:spacing w:after="0"/>
              <w:jc w:val="both"/>
              <w:rPr>
                <w:rFonts w:ascii="Cambria" w:eastAsia="Calibri" w:hAnsi="Cambria" w:cs="Calibri"/>
                <w:lang w:val="hr-HR"/>
              </w:rPr>
            </w:pPr>
            <w:r w:rsidRPr="00DF4CE5">
              <w:rPr>
                <w:rFonts w:ascii="Cambria" w:eastAsia="Calibri" w:hAnsi="Cambria" w:cs="Calibri"/>
                <w:lang w:val="hr-HR"/>
              </w:rPr>
              <w:t> 20%</w:t>
            </w:r>
          </w:p>
        </w:tc>
      </w:tr>
      <w:tr w:rsidR="00DB76CD" w:rsidRPr="00DF4CE5" w14:paraId="57C85C4C" w14:textId="77777777" w:rsidTr="00DB76CD">
        <w:tc>
          <w:tcPr>
            <w:tcW w:w="2618" w:type="dxa"/>
            <w:vMerge/>
            <w:tcBorders>
              <w:left w:val="single" w:sz="8" w:space="0" w:color="000000"/>
              <w:right w:val="single" w:sz="8" w:space="0" w:color="000000"/>
            </w:tcBorders>
            <w:vAlign w:val="center"/>
          </w:tcPr>
          <w:p w14:paraId="4966EF71" w14:textId="77777777" w:rsidR="00DB76CD" w:rsidRPr="00DF4CE5" w:rsidRDefault="00DB76CD" w:rsidP="00DB76CD">
            <w:pPr>
              <w:spacing w:after="0"/>
              <w:jc w:val="both"/>
              <w:rPr>
                <w:rFonts w:ascii="Cambria" w:eastAsia="Calibri" w:hAnsi="Cambria" w:cs="Calibri"/>
                <w:lang w:val="hr-HR"/>
              </w:rPr>
            </w:pPr>
          </w:p>
        </w:tc>
        <w:tc>
          <w:tcPr>
            <w:tcW w:w="261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CFCA81B" w14:textId="77777777" w:rsidR="00DB76CD" w:rsidRPr="00DF4CE5" w:rsidRDefault="00DB76CD" w:rsidP="00DB76CD">
            <w:pPr>
              <w:spacing w:after="0"/>
              <w:jc w:val="both"/>
              <w:rPr>
                <w:rFonts w:ascii="Cambria" w:eastAsia="Calibri" w:hAnsi="Cambria" w:cs="Calibri"/>
                <w:lang w:val="hr-HR"/>
              </w:rPr>
            </w:pPr>
            <w:r w:rsidRPr="00DF4CE5">
              <w:rPr>
                <w:rFonts w:ascii="Cambria" w:eastAsia="Calibri" w:hAnsi="Cambria" w:cs="Calibri"/>
                <w:lang w:val="it-IT"/>
              </w:rPr>
              <w:t>k</w:t>
            </w:r>
            <w:proofErr w:type="spellStart"/>
            <w:r w:rsidRPr="00DF4CE5">
              <w:rPr>
                <w:rFonts w:ascii="Cambria" w:eastAsia="Calibri" w:hAnsi="Cambria" w:cs="Calibri"/>
                <w:lang w:val="hr-HR"/>
              </w:rPr>
              <w:t>olokvij</w:t>
            </w:r>
            <w:proofErr w:type="spellEnd"/>
            <w:r w:rsidRPr="00DF4CE5">
              <w:rPr>
                <w:rFonts w:ascii="Cambria" w:eastAsia="Calibri" w:hAnsi="Cambria" w:cs="Calibri"/>
                <w:lang w:val="hr-HR"/>
              </w:rPr>
              <w:t xml:space="preserve"> </w:t>
            </w:r>
            <w:proofErr w:type="spellStart"/>
            <w:r w:rsidRPr="00DF4CE5">
              <w:rPr>
                <w:rFonts w:ascii="Cambria" w:eastAsia="Calibri" w:hAnsi="Cambria" w:cs="Calibri"/>
                <w:lang w:val="it-IT"/>
              </w:rPr>
              <w:t>pismeni</w:t>
            </w:r>
            <w:proofErr w:type="spellEnd"/>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3C9D66B" w14:textId="77777777" w:rsidR="00DB76CD" w:rsidRPr="00DF4CE5" w:rsidRDefault="00DB76CD" w:rsidP="00DB76CD">
            <w:pPr>
              <w:spacing w:after="0"/>
              <w:jc w:val="both"/>
              <w:rPr>
                <w:rFonts w:ascii="Cambria" w:eastAsia="Calibri" w:hAnsi="Cambria" w:cs="Calibri"/>
                <w:lang w:val="hr-HR"/>
              </w:rPr>
            </w:pPr>
            <w:r w:rsidRPr="00DF4CE5">
              <w:rPr>
                <w:rFonts w:ascii="Cambria" w:eastAsia="Calibri" w:hAnsi="Cambria" w:cs="Calibri"/>
                <w:lang w:val="hr-HR"/>
              </w:rPr>
              <w:t> 1., 2.</w:t>
            </w:r>
          </w:p>
        </w:tc>
        <w:tc>
          <w:tcPr>
            <w:tcW w:w="98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133B312" w14:textId="210C2B1D" w:rsidR="00DB76CD" w:rsidRPr="00DF4CE5" w:rsidRDefault="00DB76CD" w:rsidP="00DB76CD">
            <w:pPr>
              <w:spacing w:after="0"/>
              <w:jc w:val="both"/>
              <w:rPr>
                <w:rFonts w:ascii="Cambria" w:eastAsia="Calibri" w:hAnsi="Cambria" w:cs="Calibri"/>
                <w:lang w:val="hr-HR"/>
              </w:rPr>
            </w:pPr>
            <w:r w:rsidRPr="00DF4CE5">
              <w:rPr>
                <w:rFonts w:ascii="Cambria" w:eastAsia="Calibri" w:hAnsi="Cambria" w:cs="Calibri"/>
                <w:lang w:val="hr-HR"/>
              </w:rPr>
              <w:t xml:space="preserve"> 17</w:t>
            </w:r>
          </w:p>
        </w:tc>
        <w:tc>
          <w:tcPr>
            <w:tcW w:w="8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769781B" w14:textId="77777777" w:rsidR="00DB76CD" w:rsidRPr="00DF4CE5" w:rsidRDefault="00DB76CD" w:rsidP="00DB76CD">
            <w:pPr>
              <w:spacing w:after="0"/>
              <w:jc w:val="both"/>
              <w:rPr>
                <w:rFonts w:ascii="Cambria" w:eastAsia="Calibri" w:hAnsi="Cambria" w:cs="Calibri"/>
                <w:lang w:val="hr-HR"/>
              </w:rPr>
            </w:pPr>
            <w:r w:rsidRPr="00DF4CE5">
              <w:rPr>
                <w:rFonts w:ascii="Cambria" w:eastAsia="Calibri" w:hAnsi="Cambria" w:cs="Calibri"/>
                <w:lang w:val="hr-HR"/>
              </w:rPr>
              <w:t> 0,6</w:t>
            </w:r>
          </w:p>
        </w:tc>
        <w:tc>
          <w:tcPr>
            <w:tcW w:w="14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43170FC" w14:textId="77777777" w:rsidR="00DB76CD" w:rsidRPr="00DF4CE5" w:rsidRDefault="00DB76CD" w:rsidP="00DB76CD">
            <w:pPr>
              <w:spacing w:after="0"/>
              <w:jc w:val="both"/>
              <w:rPr>
                <w:rFonts w:ascii="Cambria" w:eastAsia="Calibri" w:hAnsi="Cambria" w:cs="Calibri"/>
                <w:lang w:val="hr-HR"/>
              </w:rPr>
            </w:pPr>
            <w:r w:rsidRPr="00DF4CE5">
              <w:rPr>
                <w:rFonts w:ascii="Cambria" w:eastAsia="Calibri" w:hAnsi="Cambria" w:cs="Calibri"/>
                <w:lang w:val="hr-HR"/>
              </w:rPr>
              <w:t> 20%</w:t>
            </w:r>
          </w:p>
        </w:tc>
      </w:tr>
      <w:tr w:rsidR="00DB76CD" w:rsidRPr="00DF4CE5" w14:paraId="42EF7F3A" w14:textId="77777777" w:rsidTr="00DB76CD">
        <w:tc>
          <w:tcPr>
            <w:tcW w:w="2618" w:type="dxa"/>
            <w:vMerge/>
            <w:tcBorders>
              <w:left w:val="single" w:sz="8" w:space="0" w:color="000000"/>
              <w:right w:val="single" w:sz="8" w:space="0" w:color="000000"/>
            </w:tcBorders>
            <w:vAlign w:val="center"/>
          </w:tcPr>
          <w:p w14:paraId="3C89A6E7" w14:textId="77777777" w:rsidR="00DB76CD" w:rsidRPr="00DF4CE5" w:rsidRDefault="00DB76CD" w:rsidP="00DB76CD">
            <w:pPr>
              <w:spacing w:after="0"/>
              <w:jc w:val="both"/>
              <w:rPr>
                <w:rFonts w:ascii="Cambria" w:eastAsia="Calibri" w:hAnsi="Cambria" w:cs="Calibri"/>
                <w:lang w:val="hr-HR"/>
              </w:rPr>
            </w:pPr>
          </w:p>
        </w:tc>
        <w:tc>
          <w:tcPr>
            <w:tcW w:w="261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7D4B6DA" w14:textId="77777777" w:rsidR="00DB76CD" w:rsidRPr="00DF4CE5" w:rsidRDefault="00DB76CD" w:rsidP="00DB76CD">
            <w:pPr>
              <w:spacing w:after="0"/>
              <w:jc w:val="both"/>
              <w:rPr>
                <w:rFonts w:ascii="Cambria" w:eastAsia="Calibri" w:hAnsi="Cambria" w:cs="Calibri"/>
                <w:lang w:val="hr-HR"/>
              </w:rPr>
            </w:pPr>
            <w:r w:rsidRPr="00DF4CE5">
              <w:rPr>
                <w:rFonts w:ascii="Cambria" w:eastAsia="Calibri" w:hAnsi="Cambria" w:cs="Calibri"/>
                <w:lang w:val="hr-HR"/>
              </w:rPr>
              <w:t>ispit pismeni</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6776EE3" w14:textId="77777777" w:rsidR="00DB76CD" w:rsidRPr="00DF4CE5" w:rsidRDefault="00DB76CD" w:rsidP="00DB76CD">
            <w:pPr>
              <w:spacing w:after="0"/>
              <w:jc w:val="both"/>
              <w:rPr>
                <w:rFonts w:ascii="Cambria" w:eastAsia="Calibri" w:hAnsi="Cambria" w:cs="Calibri"/>
                <w:lang w:val="hr-HR"/>
              </w:rPr>
            </w:pPr>
            <w:r w:rsidRPr="00DF4CE5">
              <w:rPr>
                <w:rFonts w:ascii="Cambria" w:eastAsia="Calibri" w:hAnsi="Cambria" w:cs="Calibri"/>
                <w:lang w:val="hr-HR"/>
              </w:rPr>
              <w:t> 1., 2., 5.</w:t>
            </w:r>
          </w:p>
        </w:tc>
        <w:tc>
          <w:tcPr>
            <w:tcW w:w="98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EE5BBF4" w14:textId="41A940DC" w:rsidR="00DB76CD" w:rsidRPr="00DF4CE5" w:rsidRDefault="00DB76CD" w:rsidP="00DB76CD">
            <w:pPr>
              <w:spacing w:after="0"/>
              <w:jc w:val="both"/>
              <w:rPr>
                <w:rFonts w:ascii="Cambria" w:eastAsia="Calibri" w:hAnsi="Cambria" w:cs="Calibri"/>
                <w:lang w:val="hr-HR"/>
              </w:rPr>
            </w:pPr>
            <w:r w:rsidRPr="00DF4CE5">
              <w:rPr>
                <w:rFonts w:ascii="Cambria" w:eastAsia="Calibri" w:hAnsi="Cambria" w:cs="Calibri"/>
                <w:lang w:val="hr-HR"/>
              </w:rPr>
              <w:t> 30</w:t>
            </w:r>
          </w:p>
        </w:tc>
        <w:tc>
          <w:tcPr>
            <w:tcW w:w="8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E68500A" w14:textId="77777777" w:rsidR="00DB76CD" w:rsidRPr="00DF4CE5" w:rsidRDefault="00DB76CD" w:rsidP="00DB76CD">
            <w:pPr>
              <w:spacing w:after="0"/>
              <w:jc w:val="both"/>
              <w:rPr>
                <w:rFonts w:ascii="Cambria" w:eastAsia="Calibri" w:hAnsi="Cambria" w:cs="Calibri"/>
                <w:lang w:val="hr-HR"/>
              </w:rPr>
            </w:pPr>
            <w:r w:rsidRPr="00DF4CE5">
              <w:rPr>
                <w:rFonts w:ascii="Cambria" w:eastAsia="Calibri" w:hAnsi="Cambria" w:cs="Calibri"/>
                <w:lang w:val="hr-HR"/>
              </w:rPr>
              <w:t> 1</w:t>
            </w:r>
          </w:p>
        </w:tc>
        <w:tc>
          <w:tcPr>
            <w:tcW w:w="14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2D365A7" w14:textId="77777777" w:rsidR="00DB76CD" w:rsidRPr="00DF4CE5" w:rsidRDefault="00DB76CD" w:rsidP="00DB76CD">
            <w:pPr>
              <w:spacing w:after="0"/>
              <w:jc w:val="both"/>
              <w:rPr>
                <w:rFonts w:ascii="Cambria" w:eastAsia="Calibri" w:hAnsi="Cambria" w:cs="Calibri"/>
                <w:lang w:val="hr-HR"/>
              </w:rPr>
            </w:pPr>
            <w:r w:rsidRPr="00DF4CE5">
              <w:rPr>
                <w:rFonts w:ascii="Cambria" w:eastAsia="Calibri" w:hAnsi="Cambria" w:cs="Calibri"/>
                <w:lang w:val="hr-HR"/>
              </w:rPr>
              <w:t> 30%</w:t>
            </w:r>
          </w:p>
        </w:tc>
      </w:tr>
      <w:tr w:rsidR="00DB76CD" w:rsidRPr="00DF4CE5" w14:paraId="3F810888" w14:textId="77777777" w:rsidTr="00DB76CD">
        <w:tc>
          <w:tcPr>
            <w:tcW w:w="2618" w:type="dxa"/>
            <w:vMerge/>
            <w:tcBorders>
              <w:left w:val="single" w:sz="8" w:space="0" w:color="000000"/>
              <w:right w:val="single" w:sz="8" w:space="0" w:color="000000"/>
            </w:tcBorders>
            <w:vAlign w:val="center"/>
          </w:tcPr>
          <w:p w14:paraId="78F09973" w14:textId="77777777" w:rsidR="00DB76CD" w:rsidRPr="00DF4CE5" w:rsidRDefault="00DB76CD" w:rsidP="00DB76CD">
            <w:pPr>
              <w:spacing w:after="0"/>
              <w:jc w:val="both"/>
              <w:rPr>
                <w:rFonts w:ascii="Cambria" w:eastAsia="Calibri" w:hAnsi="Cambria" w:cs="Calibri"/>
                <w:lang w:val="hr-HR"/>
              </w:rPr>
            </w:pPr>
          </w:p>
        </w:tc>
        <w:tc>
          <w:tcPr>
            <w:tcW w:w="3609"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13BD89F" w14:textId="38C32AF9" w:rsidR="00DB76CD" w:rsidRPr="00DF4CE5" w:rsidRDefault="00B07393" w:rsidP="00DB76CD">
            <w:pPr>
              <w:spacing w:after="0"/>
              <w:jc w:val="both"/>
              <w:rPr>
                <w:rFonts w:ascii="Cambria" w:eastAsia="Calibri" w:hAnsi="Cambria" w:cs="Calibri"/>
                <w:lang w:val="hr-HR"/>
              </w:rPr>
            </w:pPr>
            <w:proofErr w:type="spellStart"/>
            <w:r w:rsidRPr="00DF4CE5">
              <w:rPr>
                <w:rFonts w:ascii="Cambria" w:eastAsia="Calibri" w:hAnsi="Cambria" w:cs="Calibri"/>
                <w:lang w:val="it-IT"/>
              </w:rPr>
              <w:t>U</w:t>
            </w:r>
            <w:r w:rsidR="00DB76CD" w:rsidRPr="00DF4CE5">
              <w:rPr>
                <w:rFonts w:ascii="Cambria" w:eastAsia="Calibri" w:hAnsi="Cambria" w:cs="Calibri"/>
                <w:lang w:val="it-IT"/>
              </w:rPr>
              <w:t>kupno</w:t>
            </w:r>
            <w:proofErr w:type="spellEnd"/>
          </w:p>
        </w:tc>
        <w:tc>
          <w:tcPr>
            <w:tcW w:w="98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FF231BE" w14:textId="02E1FE27" w:rsidR="00DB76CD" w:rsidRPr="00DF4CE5" w:rsidRDefault="00DB76CD" w:rsidP="00DB76CD">
            <w:pPr>
              <w:spacing w:after="0"/>
              <w:jc w:val="both"/>
              <w:rPr>
                <w:rFonts w:ascii="Cambria" w:eastAsia="Calibri" w:hAnsi="Cambria" w:cs="Calibri"/>
                <w:lang w:val="hr-HR"/>
              </w:rPr>
            </w:pPr>
            <w:r w:rsidRPr="00DF4CE5">
              <w:rPr>
                <w:rFonts w:ascii="Cambria" w:eastAsia="Calibri" w:hAnsi="Cambria" w:cs="Calibri"/>
                <w:lang w:val="hr-HR"/>
              </w:rPr>
              <w:t>120</w:t>
            </w:r>
          </w:p>
        </w:tc>
        <w:tc>
          <w:tcPr>
            <w:tcW w:w="8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96B01AA" w14:textId="77777777" w:rsidR="00DB76CD" w:rsidRPr="00DF4CE5" w:rsidRDefault="00DB76CD" w:rsidP="00DB76CD">
            <w:pPr>
              <w:spacing w:after="0"/>
              <w:jc w:val="both"/>
              <w:rPr>
                <w:rFonts w:ascii="Cambria" w:eastAsia="Calibri" w:hAnsi="Cambria" w:cs="Calibri"/>
                <w:lang w:val="hr-HR"/>
              </w:rPr>
            </w:pPr>
            <w:r w:rsidRPr="00DF4CE5">
              <w:rPr>
                <w:rFonts w:ascii="Cambria" w:eastAsia="Calibri" w:hAnsi="Cambria" w:cs="Calibri"/>
                <w:lang w:val="hr-HR"/>
              </w:rPr>
              <w:t xml:space="preserve"> 4</w:t>
            </w:r>
          </w:p>
        </w:tc>
        <w:tc>
          <w:tcPr>
            <w:tcW w:w="14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92BC714" w14:textId="77777777" w:rsidR="00DB76CD" w:rsidRPr="00DF4CE5" w:rsidRDefault="00DB76CD" w:rsidP="00DB76CD">
            <w:pPr>
              <w:spacing w:after="0"/>
              <w:jc w:val="both"/>
              <w:rPr>
                <w:rFonts w:ascii="Cambria" w:eastAsia="Calibri" w:hAnsi="Cambria" w:cs="Calibri"/>
                <w:lang w:val="hr-HR"/>
              </w:rPr>
            </w:pPr>
            <w:r w:rsidRPr="00DF4CE5">
              <w:rPr>
                <w:rFonts w:ascii="Cambria" w:eastAsia="Calibri" w:hAnsi="Cambria" w:cs="Calibri"/>
                <w:lang w:val="hr-HR"/>
              </w:rPr>
              <w:t>100%</w:t>
            </w:r>
          </w:p>
        </w:tc>
      </w:tr>
      <w:tr w:rsidR="00DB76CD" w:rsidRPr="00D0399C" w14:paraId="2A125728" w14:textId="77777777" w:rsidTr="00535B7E">
        <w:tc>
          <w:tcPr>
            <w:tcW w:w="2618" w:type="dxa"/>
            <w:vMerge/>
            <w:tcBorders>
              <w:left w:val="single" w:sz="8" w:space="0" w:color="000000"/>
              <w:bottom w:val="single" w:sz="8" w:space="0" w:color="000000"/>
              <w:right w:val="single" w:sz="8" w:space="0" w:color="000000"/>
            </w:tcBorders>
            <w:vAlign w:val="center"/>
          </w:tcPr>
          <w:p w14:paraId="54312112" w14:textId="77777777" w:rsidR="00DB76CD" w:rsidRPr="00DF4CE5" w:rsidRDefault="00DB76CD" w:rsidP="00DB76CD">
            <w:pPr>
              <w:spacing w:after="0"/>
              <w:jc w:val="both"/>
              <w:rPr>
                <w:rFonts w:ascii="Cambria" w:eastAsia="Calibri" w:hAnsi="Cambria" w:cs="Calibri"/>
                <w:lang w:val="hr-HR"/>
              </w:rPr>
            </w:pPr>
          </w:p>
        </w:tc>
        <w:tc>
          <w:tcPr>
            <w:tcW w:w="6879"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BCE9D4E" w14:textId="77777777" w:rsidR="00DB76CD" w:rsidRPr="00DF4CE5" w:rsidRDefault="00DB76CD" w:rsidP="00DB76CD">
            <w:pPr>
              <w:spacing w:after="0"/>
              <w:jc w:val="both"/>
              <w:rPr>
                <w:rFonts w:ascii="Cambria" w:eastAsia="Calibri" w:hAnsi="Cambria" w:cs="Calibri"/>
                <w:lang w:val="hr-HR"/>
              </w:rPr>
            </w:pPr>
            <w:r w:rsidRPr="00DF4CE5">
              <w:rPr>
                <w:rFonts w:ascii="Cambria" w:eastAsia="Calibri" w:hAnsi="Cambria" w:cs="Calibri"/>
                <w:lang w:val="hr-HR"/>
              </w:rPr>
              <w:t xml:space="preserve">Dodatna pojašnjenja (kriteriji ocjenjivanja): </w:t>
            </w:r>
          </w:p>
          <w:p w14:paraId="4075BD82" w14:textId="77777777" w:rsidR="00DB76CD" w:rsidRPr="00DF4CE5" w:rsidRDefault="00DB76CD" w:rsidP="00DB76CD">
            <w:pPr>
              <w:spacing w:after="0"/>
              <w:jc w:val="both"/>
              <w:rPr>
                <w:rFonts w:ascii="Cambria" w:eastAsia="Calibri" w:hAnsi="Cambria" w:cs="Calibri"/>
                <w:lang w:val="hr-HR"/>
              </w:rPr>
            </w:pPr>
            <w:r w:rsidRPr="00DF4CE5">
              <w:rPr>
                <w:rFonts w:ascii="Cambria" w:eastAsia="Calibri" w:hAnsi="Cambria" w:cs="Calibri"/>
                <w:lang w:val="hr-HR"/>
              </w:rPr>
              <w:t>Prisustvo na nastavi</w:t>
            </w:r>
          </w:p>
          <w:p w14:paraId="50C8086E" w14:textId="1914A3EC" w:rsidR="00DB76CD" w:rsidRPr="00B64772" w:rsidRDefault="00DB76CD" w:rsidP="00B64772">
            <w:pPr>
              <w:autoSpaceDE w:val="0"/>
              <w:autoSpaceDN w:val="0"/>
              <w:adjustRightInd w:val="0"/>
              <w:spacing w:after="0"/>
              <w:jc w:val="both"/>
              <w:rPr>
                <w:rFonts w:ascii="Cambria" w:eastAsia="Calibri" w:hAnsi="Cambria" w:cs="Calibri"/>
                <w:lang w:val="hr-HR"/>
              </w:rPr>
            </w:pPr>
            <w:r w:rsidRPr="00DF4CE5">
              <w:rPr>
                <w:rFonts w:ascii="Cambria" w:eastAsia="Calibri" w:hAnsi="Cambria" w:cs="Calibri"/>
                <w:lang w:val="hr-HR"/>
              </w:rPr>
              <w:t>Poželjno je da studentice/studenti prisustvuju i aktivno sudjeluju na nastavi. Studentice/studenti mogu prikupiti 10 % bodova ako izostane s održane nastave manje od 4 puta. Za veći broj izostanaka oduzimaju se bodovi po ovoj formuli: 1 bod za 4 izostanka, 3 boda za 5 izostanaka, 6 bodova za 6 izostanaka i 10 bodova za 7 ili više izostanaka. Izostanak se ne može nadoknaditi i ne treba se opravdavati.</w:t>
            </w:r>
          </w:p>
          <w:p w14:paraId="24F84632" w14:textId="77777777" w:rsidR="00DB76CD" w:rsidRPr="00DF4CE5" w:rsidRDefault="00DB76CD" w:rsidP="00DB76CD">
            <w:pPr>
              <w:spacing w:after="0"/>
              <w:jc w:val="both"/>
              <w:rPr>
                <w:rFonts w:ascii="Cambria" w:eastAsia="Calibri" w:hAnsi="Cambria" w:cs="Calibri"/>
                <w:lang w:val="hr-HR"/>
              </w:rPr>
            </w:pPr>
            <w:r w:rsidRPr="00DF4CE5">
              <w:rPr>
                <w:rFonts w:ascii="Cambria" w:eastAsia="Calibri" w:hAnsi="Cambria" w:cs="Calibri"/>
                <w:lang w:val="hr-HR"/>
              </w:rPr>
              <w:t>Priprema i vrednovanje seminarskog rada</w:t>
            </w:r>
          </w:p>
          <w:p w14:paraId="63A9A4A8" w14:textId="77777777" w:rsidR="00DB76CD" w:rsidRPr="00DF4CE5" w:rsidRDefault="00DB76CD" w:rsidP="00DB76CD">
            <w:pPr>
              <w:spacing w:after="0"/>
              <w:jc w:val="both"/>
              <w:rPr>
                <w:rFonts w:ascii="Cambria" w:eastAsia="Calibri" w:hAnsi="Cambria" w:cs="Calibri"/>
                <w:b/>
                <w:u w:val="single"/>
                <w:lang w:val="hr-HR"/>
              </w:rPr>
            </w:pPr>
            <w:r w:rsidRPr="00DF4CE5">
              <w:rPr>
                <w:rFonts w:ascii="Cambria" w:eastAsia="Calibri" w:hAnsi="Cambria" w:cs="Calibri"/>
                <w:lang w:val="hr-HR"/>
              </w:rPr>
              <w:t>Osnovni cilj seminarskog rada jeste zainteresirati i informirati studente o odabranoj seminarskoj temi. Izvedba seminara može trajati do 30 minuta.</w:t>
            </w:r>
          </w:p>
          <w:p w14:paraId="7E1EBF95" w14:textId="77777777" w:rsidR="00DB76CD" w:rsidRPr="00DF4CE5" w:rsidRDefault="00DB76CD" w:rsidP="00DB76CD">
            <w:pPr>
              <w:spacing w:after="0"/>
              <w:jc w:val="both"/>
              <w:rPr>
                <w:rFonts w:ascii="Cambria" w:eastAsia="Calibri" w:hAnsi="Cambria" w:cs="Calibri"/>
                <w:lang w:val="hr-HR"/>
              </w:rPr>
            </w:pPr>
            <w:r w:rsidRPr="00DF4CE5">
              <w:rPr>
                <w:rFonts w:ascii="Cambria" w:eastAsia="Calibri" w:hAnsi="Cambria" w:cs="Calibri"/>
                <w:lang w:val="hr-HR"/>
              </w:rPr>
              <w:t>Studenti su dužni prezentaciju i ostale elektronske materijale koje će koristiti u izlaganju predati na forumu za e-učenje kolegija najkasnije dva dana prije izlaganja.</w:t>
            </w:r>
          </w:p>
          <w:p w14:paraId="7CA8AF4F" w14:textId="77777777" w:rsidR="00DB76CD" w:rsidRPr="00DF4CE5" w:rsidRDefault="00DB76CD" w:rsidP="00DB76CD">
            <w:pPr>
              <w:spacing w:after="0"/>
              <w:jc w:val="both"/>
              <w:rPr>
                <w:rFonts w:ascii="Cambria" w:eastAsia="Calibri" w:hAnsi="Cambria" w:cs="Calibri"/>
                <w:lang w:val="hr-HR"/>
              </w:rPr>
            </w:pPr>
            <w:r w:rsidRPr="00DF4CE5">
              <w:rPr>
                <w:rFonts w:ascii="Cambria" w:eastAsia="Calibri" w:hAnsi="Cambria" w:cs="Calibri"/>
                <w:lang w:val="hr-HR"/>
              </w:rPr>
              <w:t>Pri vrednovanju seminarskog rada važni su sljedeći pokazatelji:</w:t>
            </w:r>
          </w:p>
          <w:p w14:paraId="6E5A7763" w14:textId="77777777" w:rsidR="00DB76CD" w:rsidRPr="00DF4CE5" w:rsidRDefault="00DB76CD" w:rsidP="00DB76CD">
            <w:pPr>
              <w:spacing w:after="0"/>
              <w:jc w:val="both"/>
              <w:rPr>
                <w:rFonts w:ascii="Cambria" w:eastAsia="Calibri" w:hAnsi="Cambria" w:cs="Calibri"/>
                <w:lang w:val="hr-HR"/>
              </w:rPr>
            </w:pPr>
            <w:r w:rsidRPr="00DF4CE5">
              <w:rPr>
                <w:rFonts w:ascii="Cambria" w:eastAsia="Calibri" w:hAnsi="Cambria" w:cs="Calibri"/>
                <w:lang w:val="hr-HR"/>
              </w:rPr>
              <w:t>1. Pokrivenost teme (jesu li predstavljeni najvažniji sadržaji na primjeren način, jesu li navedeni odgovarajući primjeri)</w:t>
            </w:r>
          </w:p>
          <w:p w14:paraId="1FA2FD63" w14:textId="77777777" w:rsidR="00DB76CD" w:rsidRPr="00DF4CE5" w:rsidRDefault="00DB76CD" w:rsidP="00DB76CD">
            <w:pPr>
              <w:spacing w:after="0"/>
              <w:jc w:val="both"/>
              <w:rPr>
                <w:rFonts w:ascii="Cambria" w:eastAsia="Calibri" w:hAnsi="Cambria" w:cs="Calibri"/>
                <w:lang w:val="hr-HR"/>
              </w:rPr>
            </w:pPr>
            <w:r w:rsidRPr="00DF4CE5">
              <w:rPr>
                <w:rFonts w:ascii="Cambria" w:eastAsia="Calibri" w:hAnsi="Cambria" w:cs="Calibri"/>
                <w:lang w:val="hr-HR"/>
              </w:rPr>
              <w:t>2. Izlaganje teme (sigurnost, bez čitanja bilješki, jasnoća, razumljivost, izostanak grešaka – sadržajnih i jezičnih)</w:t>
            </w:r>
          </w:p>
          <w:p w14:paraId="7E04735E" w14:textId="47E15120" w:rsidR="00DB76CD" w:rsidRPr="00DF4CE5" w:rsidRDefault="00DB76CD" w:rsidP="00B64772">
            <w:pPr>
              <w:spacing w:after="0"/>
              <w:jc w:val="both"/>
              <w:rPr>
                <w:rFonts w:ascii="Cambria" w:eastAsia="Calibri" w:hAnsi="Cambria" w:cs="Calibri"/>
                <w:lang w:val="hr-HR"/>
              </w:rPr>
            </w:pPr>
            <w:r w:rsidRPr="00DF4CE5">
              <w:rPr>
                <w:rFonts w:ascii="Cambria" w:eastAsia="Calibri" w:hAnsi="Cambria" w:cs="Calibri"/>
                <w:lang w:val="hr-HR"/>
              </w:rPr>
              <w:t>3. Aktivnost i motiviranje studenata (sposobnost zadržavanja pažnje na izloženim temama i aktivnostima; uspješno poticanje studenata na aktivno sudjelovanje)</w:t>
            </w:r>
          </w:p>
          <w:p w14:paraId="0BCADDCE" w14:textId="77777777" w:rsidR="00DB76CD" w:rsidRPr="00DF4CE5" w:rsidRDefault="00DB76CD" w:rsidP="00DB76CD">
            <w:pPr>
              <w:autoSpaceDE w:val="0"/>
              <w:autoSpaceDN w:val="0"/>
              <w:adjustRightInd w:val="0"/>
              <w:spacing w:after="0"/>
              <w:jc w:val="both"/>
              <w:rPr>
                <w:rFonts w:ascii="Cambria" w:eastAsia="Calibri" w:hAnsi="Cambria" w:cs="Calibri"/>
                <w:lang w:val="hr-HR"/>
              </w:rPr>
            </w:pPr>
            <w:r w:rsidRPr="00DF4CE5">
              <w:rPr>
                <w:rFonts w:ascii="Cambria" w:eastAsia="Calibri" w:hAnsi="Cambria" w:cs="Calibri"/>
                <w:lang w:val="hr-HR"/>
              </w:rPr>
              <w:t>Vrednovanje kolokvija</w:t>
            </w:r>
          </w:p>
          <w:p w14:paraId="00ABD6AC" w14:textId="77777777" w:rsidR="00DB76CD" w:rsidRPr="00DF4CE5" w:rsidRDefault="00DB76CD" w:rsidP="00DB76CD">
            <w:pPr>
              <w:autoSpaceDE w:val="0"/>
              <w:autoSpaceDN w:val="0"/>
              <w:adjustRightInd w:val="0"/>
              <w:spacing w:after="0"/>
              <w:jc w:val="both"/>
              <w:rPr>
                <w:rFonts w:ascii="Cambria" w:eastAsia="Calibri" w:hAnsi="Cambria" w:cs="Calibri"/>
                <w:lang w:val="hr-HR"/>
              </w:rPr>
            </w:pPr>
            <w:r w:rsidRPr="00DF4CE5">
              <w:rPr>
                <w:rFonts w:ascii="Cambria" w:eastAsia="Calibri" w:hAnsi="Cambria" w:cs="Calibri"/>
                <w:lang w:val="hr-HR"/>
              </w:rPr>
              <w:t>Tijekom semestra pišu se dva kolokvija, na svakom se može postići najviše 10% na sljedeći  način:</w:t>
            </w:r>
          </w:p>
          <w:p w14:paraId="5B5725C0" w14:textId="77777777" w:rsidR="00DB76CD" w:rsidRPr="00DF4CE5" w:rsidRDefault="00DB76CD" w:rsidP="00DB76CD">
            <w:pPr>
              <w:autoSpaceDE w:val="0"/>
              <w:autoSpaceDN w:val="0"/>
              <w:adjustRightInd w:val="0"/>
              <w:spacing w:after="0"/>
              <w:jc w:val="both"/>
              <w:rPr>
                <w:rFonts w:ascii="Cambria" w:eastAsia="Calibri" w:hAnsi="Cambria" w:cs="Calibri"/>
                <w:lang w:val="hr-HR"/>
              </w:rPr>
            </w:pPr>
            <w:r w:rsidRPr="00DF4CE5">
              <w:rPr>
                <w:rFonts w:ascii="Cambria" w:eastAsia="Calibri" w:hAnsi="Cambria" w:cs="Calibri"/>
                <w:lang w:val="hr-HR"/>
              </w:rPr>
              <w:t>manje od 50 % to</w:t>
            </w:r>
            <w:r w:rsidRPr="00DF4CE5">
              <w:rPr>
                <w:rFonts w:ascii="Cambria" w:eastAsia="TimesNewRoman" w:hAnsi="Cambria" w:cs="Calibri"/>
                <w:lang w:val="hr-HR"/>
              </w:rPr>
              <w:t>č</w:t>
            </w:r>
            <w:r w:rsidRPr="00DF4CE5">
              <w:rPr>
                <w:rFonts w:ascii="Cambria" w:eastAsia="Calibri" w:hAnsi="Cambria" w:cs="Calibri"/>
                <w:lang w:val="hr-HR"/>
              </w:rPr>
              <w:t>nih odgovora = 0 % ocjene</w:t>
            </w:r>
          </w:p>
          <w:p w14:paraId="39502978" w14:textId="77777777" w:rsidR="00DB76CD" w:rsidRPr="00DF4CE5" w:rsidRDefault="00DB76CD" w:rsidP="00DB76CD">
            <w:pPr>
              <w:autoSpaceDE w:val="0"/>
              <w:autoSpaceDN w:val="0"/>
              <w:adjustRightInd w:val="0"/>
              <w:spacing w:after="0"/>
              <w:jc w:val="both"/>
              <w:rPr>
                <w:rFonts w:ascii="Cambria" w:eastAsia="Calibri" w:hAnsi="Cambria" w:cs="Calibri"/>
                <w:lang w:val="hr-HR"/>
              </w:rPr>
            </w:pPr>
            <w:r w:rsidRPr="00DF4CE5">
              <w:rPr>
                <w:rFonts w:ascii="Cambria" w:eastAsia="Calibri" w:hAnsi="Cambria" w:cs="Calibri"/>
                <w:lang w:val="hr-HR"/>
              </w:rPr>
              <w:t>od 51 % do 60 % = 2 % ocjene</w:t>
            </w:r>
          </w:p>
          <w:p w14:paraId="5353A30E" w14:textId="77777777" w:rsidR="00DB76CD" w:rsidRPr="00DF4CE5" w:rsidRDefault="00DB76CD" w:rsidP="00DB76CD">
            <w:pPr>
              <w:autoSpaceDE w:val="0"/>
              <w:autoSpaceDN w:val="0"/>
              <w:adjustRightInd w:val="0"/>
              <w:spacing w:after="0"/>
              <w:jc w:val="both"/>
              <w:rPr>
                <w:rFonts w:ascii="Cambria" w:eastAsia="Calibri" w:hAnsi="Cambria" w:cs="Calibri"/>
                <w:lang w:val="hr-HR"/>
              </w:rPr>
            </w:pPr>
            <w:r w:rsidRPr="00DF4CE5">
              <w:rPr>
                <w:rFonts w:ascii="Cambria" w:eastAsia="Calibri" w:hAnsi="Cambria" w:cs="Calibri"/>
                <w:lang w:val="hr-HR"/>
              </w:rPr>
              <w:t>od 61% do 70 % = 4 % ocjene</w:t>
            </w:r>
          </w:p>
          <w:p w14:paraId="4AA32E58" w14:textId="77777777" w:rsidR="00DB76CD" w:rsidRPr="00DF4CE5" w:rsidRDefault="00DB76CD" w:rsidP="00DB76CD">
            <w:pPr>
              <w:autoSpaceDE w:val="0"/>
              <w:autoSpaceDN w:val="0"/>
              <w:adjustRightInd w:val="0"/>
              <w:spacing w:after="0"/>
              <w:jc w:val="both"/>
              <w:rPr>
                <w:rFonts w:ascii="Cambria" w:eastAsia="Calibri" w:hAnsi="Cambria" w:cs="Calibri"/>
                <w:lang w:val="hr-HR"/>
              </w:rPr>
            </w:pPr>
            <w:r w:rsidRPr="00DF4CE5">
              <w:rPr>
                <w:rFonts w:ascii="Cambria" w:eastAsia="Calibri" w:hAnsi="Cambria" w:cs="Calibri"/>
                <w:lang w:val="hr-HR"/>
              </w:rPr>
              <w:t>od 71% do 80 % = 6 % ocjene</w:t>
            </w:r>
          </w:p>
          <w:p w14:paraId="7135D323" w14:textId="77777777" w:rsidR="00DB76CD" w:rsidRPr="00DF4CE5" w:rsidRDefault="00DB76CD" w:rsidP="00DB76CD">
            <w:pPr>
              <w:autoSpaceDE w:val="0"/>
              <w:autoSpaceDN w:val="0"/>
              <w:adjustRightInd w:val="0"/>
              <w:spacing w:after="0"/>
              <w:jc w:val="both"/>
              <w:rPr>
                <w:rFonts w:ascii="Cambria" w:eastAsia="Calibri" w:hAnsi="Cambria" w:cs="Calibri"/>
                <w:lang w:val="hr-HR"/>
              </w:rPr>
            </w:pPr>
            <w:r w:rsidRPr="00DF4CE5">
              <w:rPr>
                <w:rFonts w:ascii="Cambria" w:eastAsia="Calibri" w:hAnsi="Cambria" w:cs="Calibri"/>
                <w:lang w:val="hr-HR"/>
              </w:rPr>
              <w:t>od 81% do 90 % = 8 % ocjene</w:t>
            </w:r>
          </w:p>
          <w:p w14:paraId="310BB132" w14:textId="29F221E7" w:rsidR="00DB76CD" w:rsidRPr="00DF4CE5" w:rsidRDefault="00DB76CD" w:rsidP="00B64772">
            <w:pPr>
              <w:autoSpaceDE w:val="0"/>
              <w:autoSpaceDN w:val="0"/>
              <w:adjustRightInd w:val="0"/>
              <w:spacing w:after="0"/>
              <w:jc w:val="both"/>
              <w:rPr>
                <w:rFonts w:ascii="Cambria" w:eastAsia="Calibri" w:hAnsi="Cambria" w:cs="Calibri"/>
                <w:lang w:val="hr-HR"/>
              </w:rPr>
            </w:pPr>
            <w:r w:rsidRPr="00DF4CE5">
              <w:rPr>
                <w:rFonts w:ascii="Cambria" w:eastAsia="Calibri" w:hAnsi="Cambria" w:cs="Calibri"/>
                <w:lang w:val="hr-HR"/>
              </w:rPr>
              <w:t>od 91% do 100 % = 10 % ocjene</w:t>
            </w:r>
          </w:p>
          <w:p w14:paraId="289986F5" w14:textId="77777777" w:rsidR="00DB76CD" w:rsidRPr="00DF4CE5" w:rsidRDefault="00DB76CD" w:rsidP="00DB76CD">
            <w:pPr>
              <w:spacing w:after="0"/>
              <w:jc w:val="both"/>
              <w:rPr>
                <w:rFonts w:ascii="Cambria" w:eastAsia="Calibri" w:hAnsi="Cambria" w:cs="Calibri"/>
                <w:lang w:val="hr-HR"/>
              </w:rPr>
            </w:pPr>
            <w:r w:rsidRPr="00DF4CE5">
              <w:rPr>
                <w:rFonts w:ascii="Cambria" w:eastAsia="Calibri" w:hAnsi="Cambria" w:cs="Calibri"/>
                <w:lang w:val="hr-HR"/>
              </w:rPr>
              <w:t>Završni ispit</w:t>
            </w:r>
          </w:p>
          <w:p w14:paraId="24DB3CE6" w14:textId="77777777" w:rsidR="00DB76CD" w:rsidRPr="00DF4CE5" w:rsidRDefault="00DB76CD" w:rsidP="00DB76CD">
            <w:pPr>
              <w:spacing w:after="0"/>
              <w:jc w:val="both"/>
              <w:rPr>
                <w:rFonts w:ascii="Cambria" w:eastAsia="Calibri" w:hAnsi="Cambria" w:cs="Calibri"/>
                <w:lang w:val="hr-HR"/>
              </w:rPr>
            </w:pPr>
            <w:r w:rsidRPr="00DF4CE5">
              <w:rPr>
                <w:rFonts w:ascii="Cambria" w:eastAsia="Calibri" w:hAnsi="Cambria" w:cs="Calibri"/>
                <w:lang w:val="hr-HR"/>
              </w:rPr>
              <w:t>Završna provjera znanja provodi se završnim pismenim ispitom. Završni pismeni ispit ocjenjuje se na sljedeći način:</w:t>
            </w:r>
          </w:p>
          <w:p w14:paraId="09BBF982" w14:textId="77777777" w:rsidR="00DB76CD" w:rsidRPr="00DF4CE5" w:rsidRDefault="00DB76CD" w:rsidP="00DB76CD">
            <w:pPr>
              <w:autoSpaceDE w:val="0"/>
              <w:autoSpaceDN w:val="0"/>
              <w:adjustRightInd w:val="0"/>
              <w:spacing w:after="0"/>
              <w:jc w:val="both"/>
              <w:rPr>
                <w:rFonts w:ascii="Cambria" w:eastAsia="Calibri" w:hAnsi="Cambria" w:cs="Calibri"/>
                <w:lang w:val="hr-HR"/>
              </w:rPr>
            </w:pPr>
            <w:r w:rsidRPr="00DF4CE5">
              <w:rPr>
                <w:rFonts w:ascii="Cambria" w:eastAsia="Calibri" w:hAnsi="Cambria" w:cs="Calibri"/>
                <w:lang w:val="hr-HR"/>
              </w:rPr>
              <w:t>manje od 50 % to</w:t>
            </w:r>
            <w:r w:rsidRPr="00DF4CE5">
              <w:rPr>
                <w:rFonts w:ascii="Cambria" w:eastAsia="TimesNewRoman" w:hAnsi="Cambria" w:cs="Calibri"/>
                <w:lang w:val="hr-HR"/>
              </w:rPr>
              <w:t>č</w:t>
            </w:r>
            <w:r w:rsidRPr="00DF4CE5">
              <w:rPr>
                <w:rFonts w:ascii="Cambria" w:eastAsia="Calibri" w:hAnsi="Cambria" w:cs="Calibri"/>
                <w:lang w:val="hr-HR"/>
              </w:rPr>
              <w:t>nih odgovora = 0 % ocjene</w:t>
            </w:r>
          </w:p>
          <w:p w14:paraId="0B5F9B50" w14:textId="77777777" w:rsidR="00DB76CD" w:rsidRPr="00DF4CE5" w:rsidRDefault="00DB76CD" w:rsidP="00DB76CD">
            <w:pPr>
              <w:autoSpaceDE w:val="0"/>
              <w:autoSpaceDN w:val="0"/>
              <w:adjustRightInd w:val="0"/>
              <w:spacing w:after="0"/>
              <w:jc w:val="both"/>
              <w:rPr>
                <w:rFonts w:ascii="Cambria" w:eastAsia="Calibri" w:hAnsi="Cambria" w:cs="Calibri"/>
                <w:lang w:val="hr-HR"/>
              </w:rPr>
            </w:pPr>
            <w:r w:rsidRPr="00DF4CE5">
              <w:rPr>
                <w:rFonts w:ascii="Cambria" w:eastAsia="Calibri" w:hAnsi="Cambria" w:cs="Calibri"/>
                <w:lang w:val="hr-HR"/>
              </w:rPr>
              <w:t>od 51 % do 60 % = 6 % ocjene</w:t>
            </w:r>
          </w:p>
          <w:p w14:paraId="6DD6108B" w14:textId="77777777" w:rsidR="00DB76CD" w:rsidRPr="00DF4CE5" w:rsidRDefault="00DB76CD" w:rsidP="00DB76CD">
            <w:pPr>
              <w:autoSpaceDE w:val="0"/>
              <w:autoSpaceDN w:val="0"/>
              <w:adjustRightInd w:val="0"/>
              <w:spacing w:after="0"/>
              <w:jc w:val="both"/>
              <w:rPr>
                <w:rFonts w:ascii="Cambria" w:eastAsia="Calibri" w:hAnsi="Cambria" w:cs="Calibri"/>
                <w:lang w:val="hr-HR"/>
              </w:rPr>
            </w:pPr>
            <w:r w:rsidRPr="00DF4CE5">
              <w:rPr>
                <w:rFonts w:ascii="Cambria" w:eastAsia="Calibri" w:hAnsi="Cambria" w:cs="Calibri"/>
                <w:lang w:val="hr-HR"/>
              </w:rPr>
              <w:t>od 61% do 70 % = 12 % ocjene</w:t>
            </w:r>
          </w:p>
          <w:p w14:paraId="4845A573" w14:textId="77777777" w:rsidR="00DB76CD" w:rsidRPr="00DF4CE5" w:rsidRDefault="00DB76CD" w:rsidP="00DB76CD">
            <w:pPr>
              <w:autoSpaceDE w:val="0"/>
              <w:autoSpaceDN w:val="0"/>
              <w:adjustRightInd w:val="0"/>
              <w:spacing w:after="0"/>
              <w:jc w:val="both"/>
              <w:rPr>
                <w:rFonts w:ascii="Cambria" w:eastAsia="Calibri" w:hAnsi="Cambria" w:cs="Calibri"/>
                <w:lang w:val="hr-HR"/>
              </w:rPr>
            </w:pPr>
            <w:r w:rsidRPr="00DF4CE5">
              <w:rPr>
                <w:rFonts w:ascii="Cambria" w:eastAsia="Calibri" w:hAnsi="Cambria" w:cs="Calibri"/>
                <w:lang w:val="hr-HR"/>
              </w:rPr>
              <w:t>od 71% do 80 % = 18 % ocjene</w:t>
            </w:r>
          </w:p>
          <w:p w14:paraId="32E8F77B" w14:textId="77777777" w:rsidR="00DB76CD" w:rsidRPr="00DF4CE5" w:rsidRDefault="00DB76CD" w:rsidP="00DB76CD">
            <w:pPr>
              <w:autoSpaceDE w:val="0"/>
              <w:autoSpaceDN w:val="0"/>
              <w:adjustRightInd w:val="0"/>
              <w:spacing w:after="0"/>
              <w:jc w:val="both"/>
              <w:rPr>
                <w:rFonts w:ascii="Cambria" w:eastAsia="Calibri" w:hAnsi="Cambria" w:cs="Calibri"/>
                <w:lang w:val="hr-HR"/>
              </w:rPr>
            </w:pPr>
            <w:r w:rsidRPr="00DF4CE5">
              <w:rPr>
                <w:rFonts w:ascii="Cambria" w:eastAsia="Calibri" w:hAnsi="Cambria" w:cs="Calibri"/>
                <w:lang w:val="hr-HR"/>
              </w:rPr>
              <w:t>od 81% do 90 % = 24 % ocjene</w:t>
            </w:r>
          </w:p>
          <w:p w14:paraId="2E6B0732" w14:textId="77777777" w:rsidR="00DB76CD" w:rsidRPr="00DF4CE5" w:rsidRDefault="00DB76CD" w:rsidP="00DB76CD">
            <w:pPr>
              <w:autoSpaceDE w:val="0"/>
              <w:autoSpaceDN w:val="0"/>
              <w:adjustRightInd w:val="0"/>
              <w:spacing w:after="0"/>
              <w:jc w:val="both"/>
              <w:rPr>
                <w:rFonts w:ascii="Cambria" w:eastAsia="Calibri" w:hAnsi="Cambria" w:cs="Calibri"/>
                <w:lang w:val="hr-HR"/>
              </w:rPr>
            </w:pPr>
            <w:r w:rsidRPr="00DF4CE5">
              <w:rPr>
                <w:rFonts w:ascii="Cambria" w:eastAsia="Calibri" w:hAnsi="Cambria" w:cs="Calibri"/>
                <w:lang w:val="hr-HR"/>
              </w:rPr>
              <w:t>od 91% do 100 % = 30 % ocjene</w:t>
            </w:r>
          </w:p>
          <w:p w14:paraId="23E883BB" w14:textId="490B5643" w:rsidR="00DB76CD" w:rsidRPr="00DF4CE5" w:rsidRDefault="00DB76CD" w:rsidP="00DB76CD">
            <w:pPr>
              <w:spacing w:after="0"/>
              <w:jc w:val="both"/>
              <w:rPr>
                <w:rFonts w:ascii="Cambria" w:eastAsia="Calibri" w:hAnsi="Cambria" w:cs="Calibri"/>
                <w:lang w:val="hr-HR"/>
              </w:rPr>
            </w:pPr>
            <w:r w:rsidRPr="00DF4CE5">
              <w:rPr>
                <w:rFonts w:ascii="Cambria" w:eastAsia="Calibri" w:hAnsi="Cambria" w:cs="Calibri"/>
                <w:lang w:val="hr-HR"/>
              </w:rPr>
              <w:t>Student koji ne može prisustvovati završnoj provjeri znanja mora na vrijeme otkazati prijavu ispita ili će se smatrati da je ispitu pristupio i da ga nije položio.</w:t>
            </w:r>
          </w:p>
        </w:tc>
      </w:tr>
      <w:tr w:rsidR="00DB76CD" w:rsidRPr="00DF4CE5" w14:paraId="5D43F819" w14:textId="77777777" w:rsidTr="00535B7E">
        <w:tc>
          <w:tcPr>
            <w:tcW w:w="261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CA6522E" w14:textId="77777777" w:rsidR="00DB76CD" w:rsidRPr="00DF4CE5" w:rsidRDefault="00DB76CD" w:rsidP="00DB76CD">
            <w:pPr>
              <w:spacing w:after="0"/>
              <w:jc w:val="both"/>
              <w:rPr>
                <w:rFonts w:ascii="Cambria" w:eastAsia="Calibri" w:hAnsi="Cambria" w:cs="Calibri"/>
                <w:lang w:val="hr-HR"/>
              </w:rPr>
            </w:pPr>
            <w:r w:rsidRPr="00DF4CE5">
              <w:rPr>
                <w:rFonts w:ascii="Cambria" w:eastAsia="Calibri" w:hAnsi="Cambria" w:cs="Calibri"/>
                <w:lang w:val="hr-HR"/>
              </w:rPr>
              <w:t>Studentske obveze</w:t>
            </w:r>
          </w:p>
        </w:tc>
        <w:tc>
          <w:tcPr>
            <w:tcW w:w="6879"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3AB6E7A" w14:textId="77777777" w:rsidR="00DB76CD" w:rsidRPr="00DF4CE5" w:rsidRDefault="00DB76CD" w:rsidP="00DB76CD">
            <w:pPr>
              <w:spacing w:after="0"/>
              <w:jc w:val="both"/>
              <w:rPr>
                <w:rFonts w:ascii="Cambria" w:eastAsia="Calibri" w:hAnsi="Cambria" w:cs="Calibri"/>
                <w:lang w:val="hr-HR"/>
              </w:rPr>
            </w:pPr>
            <w:r w:rsidRPr="00DF4CE5">
              <w:rPr>
                <w:rFonts w:ascii="Cambria" w:eastAsia="Calibri" w:hAnsi="Cambria" w:cs="Calibri"/>
                <w:lang w:val="hr-HR"/>
              </w:rPr>
              <w:t>Da položi kolegij, student/studentica mora:</w:t>
            </w:r>
          </w:p>
          <w:p w14:paraId="52BA07E6" w14:textId="39D219B2" w:rsidR="00DB76CD" w:rsidRPr="00DF4CE5" w:rsidRDefault="00DB76CD" w:rsidP="00DB76CD">
            <w:pPr>
              <w:spacing w:after="0"/>
              <w:jc w:val="both"/>
              <w:rPr>
                <w:rFonts w:ascii="Cambria" w:eastAsia="Calibri" w:hAnsi="Cambria" w:cs="Calibri"/>
                <w:lang w:val="hr-HR"/>
              </w:rPr>
            </w:pPr>
            <w:r w:rsidRPr="00DF4CE5">
              <w:rPr>
                <w:rFonts w:ascii="Cambria" w:eastAsia="Calibri" w:hAnsi="Cambria" w:cs="Calibri"/>
                <w:lang w:val="hr-HR"/>
              </w:rPr>
              <w:t xml:space="preserve">1. </w:t>
            </w:r>
            <w:r w:rsidR="00B64772">
              <w:rPr>
                <w:rFonts w:ascii="Cambria" w:eastAsia="Calibri" w:hAnsi="Cambria" w:cs="Calibri"/>
                <w:lang w:val="hr-HR"/>
              </w:rPr>
              <w:t>p</w:t>
            </w:r>
            <w:r w:rsidRPr="00DF4CE5">
              <w:rPr>
                <w:rFonts w:ascii="Cambria" w:eastAsia="Calibri" w:hAnsi="Cambria" w:cs="Calibri"/>
                <w:lang w:val="hr-HR"/>
              </w:rPr>
              <w:t>ohađati nastavu</w:t>
            </w:r>
          </w:p>
          <w:p w14:paraId="45CDEAA1" w14:textId="69FD25AF" w:rsidR="00DB76CD" w:rsidRPr="00DF4CE5" w:rsidRDefault="00DB76CD" w:rsidP="00DB76CD">
            <w:pPr>
              <w:spacing w:after="0"/>
              <w:jc w:val="both"/>
              <w:rPr>
                <w:rFonts w:ascii="Cambria" w:eastAsia="Calibri" w:hAnsi="Cambria" w:cs="Calibri"/>
                <w:lang w:val="hr-HR"/>
              </w:rPr>
            </w:pPr>
            <w:r w:rsidRPr="00DF4CE5">
              <w:rPr>
                <w:rFonts w:ascii="Cambria" w:eastAsia="Calibri" w:hAnsi="Cambria" w:cs="Calibri"/>
                <w:lang w:val="hr-HR"/>
              </w:rPr>
              <w:lastRenderedPageBreak/>
              <w:t xml:space="preserve">2. </w:t>
            </w:r>
            <w:r w:rsidR="00B64772">
              <w:rPr>
                <w:rFonts w:ascii="Cambria" w:eastAsia="Calibri" w:hAnsi="Cambria" w:cs="Calibri"/>
                <w:lang w:val="hr-HR"/>
              </w:rPr>
              <w:t>u</w:t>
            </w:r>
            <w:r w:rsidRPr="00DF4CE5">
              <w:rPr>
                <w:rFonts w:ascii="Cambria" w:eastAsia="Calibri" w:hAnsi="Cambria" w:cs="Calibri"/>
                <w:lang w:val="hr-HR"/>
              </w:rPr>
              <w:t xml:space="preserve">smeno izložiti seminarski rad na odabranu temu, prema </w:t>
            </w:r>
            <w:proofErr w:type="spellStart"/>
            <w:r w:rsidRPr="00DF4CE5">
              <w:rPr>
                <w:rFonts w:ascii="Cambria" w:eastAsia="Calibri" w:hAnsi="Cambria" w:cs="Calibri"/>
                <w:lang w:val="hr-HR"/>
              </w:rPr>
              <w:t>vremeniku</w:t>
            </w:r>
            <w:proofErr w:type="spellEnd"/>
            <w:r w:rsidRPr="00DF4CE5">
              <w:rPr>
                <w:rFonts w:ascii="Cambria" w:eastAsia="Calibri" w:hAnsi="Cambria" w:cs="Calibri"/>
                <w:lang w:val="hr-HR"/>
              </w:rPr>
              <w:t xml:space="preserve"> izlaganja koji će biti dogovoren na prvom susretu i objavljen na portalu za udaljeno učenje</w:t>
            </w:r>
          </w:p>
          <w:p w14:paraId="07AF07CC" w14:textId="5FA381EC" w:rsidR="00DB76CD" w:rsidRPr="00DF4CE5" w:rsidRDefault="00DB76CD" w:rsidP="00DB76CD">
            <w:pPr>
              <w:spacing w:after="0"/>
              <w:jc w:val="both"/>
              <w:rPr>
                <w:rFonts w:ascii="Cambria" w:eastAsia="Calibri" w:hAnsi="Cambria" w:cs="Calibri"/>
                <w:lang w:val="hr-HR"/>
              </w:rPr>
            </w:pPr>
            <w:r w:rsidRPr="00DF4CE5">
              <w:rPr>
                <w:rFonts w:ascii="Cambria" w:eastAsia="Calibri" w:hAnsi="Cambria" w:cs="Calibri"/>
                <w:lang w:val="hr-HR"/>
              </w:rPr>
              <w:t xml:space="preserve">3. </w:t>
            </w:r>
            <w:r w:rsidR="00B64772">
              <w:rPr>
                <w:rFonts w:ascii="Cambria" w:eastAsia="Calibri" w:hAnsi="Cambria" w:cs="Calibri"/>
                <w:lang w:val="hr-HR"/>
              </w:rPr>
              <w:t>p</w:t>
            </w:r>
            <w:r w:rsidRPr="00DF4CE5">
              <w:rPr>
                <w:rFonts w:ascii="Cambria" w:eastAsia="Calibri" w:hAnsi="Cambria" w:cs="Calibri"/>
                <w:lang w:val="hr-HR"/>
              </w:rPr>
              <w:t>oložiti kolokvije</w:t>
            </w:r>
          </w:p>
          <w:p w14:paraId="60CAC066" w14:textId="31962FC1" w:rsidR="00DB76CD" w:rsidRPr="00DF4CE5" w:rsidRDefault="00DB76CD" w:rsidP="00DB76CD">
            <w:pPr>
              <w:spacing w:after="0"/>
              <w:jc w:val="both"/>
              <w:rPr>
                <w:rFonts w:ascii="Cambria" w:eastAsia="Calibri" w:hAnsi="Cambria" w:cs="Calibri"/>
                <w:lang w:val="hr-HR"/>
              </w:rPr>
            </w:pPr>
            <w:r w:rsidRPr="00DF4CE5">
              <w:rPr>
                <w:rFonts w:ascii="Cambria" w:eastAsia="Calibri" w:hAnsi="Cambria" w:cs="Calibri"/>
                <w:lang w:val="hr-HR"/>
              </w:rPr>
              <w:t xml:space="preserve">4. </w:t>
            </w:r>
            <w:r w:rsidR="00B64772">
              <w:rPr>
                <w:rFonts w:ascii="Cambria" w:eastAsia="Calibri" w:hAnsi="Cambria" w:cs="Calibri"/>
                <w:lang w:val="hr-HR"/>
              </w:rPr>
              <w:t>p</w:t>
            </w:r>
            <w:r w:rsidRPr="00DF4CE5">
              <w:rPr>
                <w:rFonts w:ascii="Cambria" w:eastAsia="Calibri" w:hAnsi="Cambria" w:cs="Calibri"/>
                <w:lang w:val="hr-HR"/>
              </w:rPr>
              <w:t>oložiti ispit.</w:t>
            </w:r>
          </w:p>
        </w:tc>
      </w:tr>
      <w:tr w:rsidR="00DB76CD" w:rsidRPr="00D0399C" w14:paraId="15DF3B75" w14:textId="77777777" w:rsidTr="00535B7E">
        <w:tc>
          <w:tcPr>
            <w:tcW w:w="261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391B844" w14:textId="77777777" w:rsidR="00DB76CD" w:rsidRPr="00DF4CE5" w:rsidRDefault="00DB76CD" w:rsidP="00DB76CD">
            <w:pPr>
              <w:spacing w:after="0"/>
              <w:jc w:val="both"/>
              <w:rPr>
                <w:rFonts w:ascii="Cambria" w:eastAsia="Calibri" w:hAnsi="Cambria" w:cs="Calibri"/>
                <w:lang w:val="hr-HR"/>
              </w:rPr>
            </w:pPr>
            <w:proofErr w:type="spellStart"/>
            <w:r w:rsidRPr="00DF4CE5">
              <w:rPr>
                <w:rFonts w:ascii="Cambria" w:eastAsia="Calibri" w:hAnsi="Cambria" w:cs="Calibri"/>
              </w:rPr>
              <w:lastRenderedPageBreak/>
              <w:t>Rokovi</w:t>
            </w:r>
            <w:proofErr w:type="spellEnd"/>
            <w:r w:rsidRPr="00DF4CE5">
              <w:rPr>
                <w:rFonts w:ascii="Cambria" w:eastAsia="Calibri" w:hAnsi="Cambria" w:cs="Calibri"/>
              </w:rPr>
              <w:t xml:space="preserve"> </w:t>
            </w:r>
            <w:proofErr w:type="spellStart"/>
            <w:r w:rsidRPr="00DF4CE5">
              <w:rPr>
                <w:rFonts w:ascii="Cambria" w:eastAsia="Calibri" w:hAnsi="Cambria" w:cs="Calibri"/>
              </w:rPr>
              <w:t>ispita</w:t>
            </w:r>
            <w:proofErr w:type="spellEnd"/>
            <w:r w:rsidRPr="00DF4CE5">
              <w:rPr>
                <w:rFonts w:ascii="Cambria" w:eastAsia="Calibri" w:hAnsi="Cambria" w:cs="Calibri"/>
              </w:rPr>
              <w:t xml:space="preserve"> </w:t>
            </w:r>
            <w:proofErr w:type="spellStart"/>
            <w:r w:rsidRPr="00DF4CE5">
              <w:rPr>
                <w:rFonts w:ascii="Cambria" w:eastAsia="Calibri" w:hAnsi="Cambria" w:cs="Calibri"/>
              </w:rPr>
              <w:t>i</w:t>
            </w:r>
            <w:proofErr w:type="spellEnd"/>
            <w:r w:rsidRPr="00DF4CE5">
              <w:rPr>
                <w:rFonts w:ascii="Cambria" w:eastAsia="Calibri" w:hAnsi="Cambria" w:cs="Calibri"/>
              </w:rPr>
              <w:t xml:space="preserve"> </w:t>
            </w:r>
            <w:proofErr w:type="spellStart"/>
            <w:r w:rsidRPr="00DF4CE5">
              <w:rPr>
                <w:rFonts w:ascii="Cambria" w:eastAsia="Calibri" w:hAnsi="Cambria" w:cs="Calibri"/>
              </w:rPr>
              <w:t>kolokvija</w:t>
            </w:r>
            <w:proofErr w:type="spellEnd"/>
          </w:p>
        </w:tc>
        <w:tc>
          <w:tcPr>
            <w:tcW w:w="6879"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856D2BB" w14:textId="77777777" w:rsidR="00DB76CD" w:rsidRPr="00DF4CE5" w:rsidRDefault="00DB76CD" w:rsidP="00DB76CD">
            <w:pPr>
              <w:spacing w:after="0"/>
              <w:jc w:val="both"/>
              <w:rPr>
                <w:rFonts w:ascii="Cambria" w:eastAsia="Calibri" w:hAnsi="Cambria" w:cs="Calibri"/>
                <w:lang w:val="hr-HR"/>
              </w:rPr>
            </w:pPr>
            <w:r w:rsidRPr="00DF4CE5">
              <w:rPr>
                <w:rFonts w:ascii="Cambria" w:eastAsia="Calibri" w:hAnsi="Cambria" w:cs="Calibri"/>
                <w:lang w:val="hr-HR"/>
              </w:rPr>
              <w:t xml:space="preserve">Rokovi ispita se objavljuju u ISVU. </w:t>
            </w:r>
          </w:p>
        </w:tc>
      </w:tr>
      <w:tr w:rsidR="00DB76CD" w:rsidRPr="00DF4CE5" w14:paraId="2185CA8E" w14:textId="77777777" w:rsidTr="00535B7E">
        <w:tc>
          <w:tcPr>
            <w:tcW w:w="261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FF8C415" w14:textId="77777777" w:rsidR="00DB76CD" w:rsidRPr="00DF4CE5" w:rsidRDefault="00DB76CD" w:rsidP="00DB76CD">
            <w:pPr>
              <w:spacing w:after="0"/>
              <w:jc w:val="both"/>
              <w:rPr>
                <w:rFonts w:ascii="Cambria" w:eastAsia="Calibri" w:hAnsi="Cambria" w:cs="Calibri"/>
                <w:lang w:val="hr-HR"/>
              </w:rPr>
            </w:pPr>
            <w:r w:rsidRPr="00DF4CE5">
              <w:rPr>
                <w:rFonts w:ascii="Cambria" w:eastAsia="Calibri" w:hAnsi="Cambria" w:cs="Calibri"/>
                <w:lang w:val="hr-HR"/>
              </w:rPr>
              <w:t xml:space="preserve">Ostale važne činjenice </w:t>
            </w:r>
            <w:proofErr w:type="spellStart"/>
            <w:r w:rsidRPr="00DF4CE5">
              <w:rPr>
                <w:rFonts w:ascii="Cambria" w:eastAsia="Calibri" w:hAnsi="Cambria" w:cs="Calibri"/>
                <w:lang w:val="it-IT"/>
              </w:rPr>
              <w:t>vezane</w:t>
            </w:r>
            <w:proofErr w:type="spellEnd"/>
            <w:r w:rsidRPr="00DF4CE5">
              <w:rPr>
                <w:rFonts w:ascii="Cambria" w:eastAsia="Calibri" w:hAnsi="Cambria" w:cs="Calibri"/>
                <w:lang w:val="it-IT"/>
              </w:rPr>
              <w:t xml:space="preserve"> </w:t>
            </w:r>
            <w:proofErr w:type="spellStart"/>
            <w:r w:rsidRPr="00DF4CE5">
              <w:rPr>
                <w:rFonts w:ascii="Cambria" w:eastAsia="Calibri" w:hAnsi="Cambria" w:cs="Calibri"/>
                <w:lang w:val="it-IT"/>
              </w:rPr>
              <w:t>uz</w:t>
            </w:r>
            <w:proofErr w:type="spellEnd"/>
            <w:r w:rsidRPr="00DF4CE5">
              <w:rPr>
                <w:rFonts w:ascii="Cambria" w:eastAsia="Calibri" w:hAnsi="Cambria" w:cs="Calibri"/>
                <w:lang w:val="it-IT"/>
              </w:rPr>
              <w:t xml:space="preserve"> </w:t>
            </w:r>
            <w:proofErr w:type="spellStart"/>
            <w:r w:rsidRPr="00DF4CE5">
              <w:rPr>
                <w:rFonts w:ascii="Cambria" w:eastAsia="Calibri" w:hAnsi="Cambria" w:cs="Calibri"/>
                <w:lang w:val="it-IT"/>
              </w:rPr>
              <w:t>kolegij</w:t>
            </w:r>
            <w:proofErr w:type="spellEnd"/>
          </w:p>
        </w:tc>
        <w:tc>
          <w:tcPr>
            <w:tcW w:w="6879"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5872587" w14:textId="77777777" w:rsidR="00DB76CD" w:rsidRPr="00DF4CE5" w:rsidRDefault="00DB76CD" w:rsidP="00DB76CD">
            <w:pPr>
              <w:spacing w:after="0"/>
              <w:jc w:val="both"/>
              <w:rPr>
                <w:rFonts w:ascii="Cambria" w:eastAsia="Calibri" w:hAnsi="Cambria" w:cs="Calibri"/>
                <w:lang w:val="hr-HR"/>
              </w:rPr>
            </w:pPr>
            <w:r w:rsidRPr="00DF4CE5">
              <w:rPr>
                <w:rFonts w:ascii="Cambria" w:eastAsia="Calibri" w:hAnsi="Cambria" w:cs="Calibri"/>
                <w:lang w:val="hr-HR"/>
              </w:rPr>
              <w:t xml:space="preserve">U slučaju održavanja nastave na daljinu, moguće je odstupanje u: </w:t>
            </w:r>
          </w:p>
          <w:p w14:paraId="5CB7AC52" w14:textId="77777777" w:rsidR="00DB76CD" w:rsidRPr="00DF4CE5" w:rsidRDefault="00DB76CD" w:rsidP="00DB76CD">
            <w:pPr>
              <w:spacing w:after="0"/>
              <w:jc w:val="both"/>
              <w:rPr>
                <w:rFonts w:ascii="Cambria" w:eastAsia="Calibri" w:hAnsi="Cambria" w:cs="Calibri"/>
                <w:lang w:val="hr-HR"/>
              </w:rPr>
            </w:pPr>
            <w:r w:rsidRPr="00DF4CE5">
              <w:rPr>
                <w:rFonts w:ascii="Cambria" w:eastAsia="Calibri" w:hAnsi="Cambria" w:cs="Calibri"/>
                <w:lang w:val="hr-HR"/>
              </w:rPr>
              <w:t xml:space="preserve">- mjestu izvođenja kolegija, </w:t>
            </w:r>
          </w:p>
          <w:p w14:paraId="0D5A9E6F" w14:textId="77777777" w:rsidR="00DB76CD" w:rsidRPr="00DF4CE5" w:rsidRDefault="00DB76CD" w:rsidP="00DB76CD">
            <w:pPr>
              <w:spacing w:after="0"/>
              <w:jc w:val="both"/>
              <w:rPr>
                <w:rFonts w:ascii="Cambria" w:eastAsia="Calibri" w:hAnsi="Cambria" w:cs="Calibri"/>
                <w:lang w:val="hr-HR"/>
              </w:rPr>
            </w:pPr>
            <w:r w:rsidRPr="00DF4CE5">
              <w:rPr>
                <w:rFonts w:ascii="Cambria" w:eastAsia="Calibri" w:hAnsi="Cambria" w:cs="Calibri"/>
                <w:lang w:val="hr-HR"/>
              </w:rPr>
              <w:t xml:space="preserve">- provedbi aktivnosti, </w:t>
            </w:r>
          </w:p>
          <w:p w14:paraId="687CB73A" w14:textId="77777777" w:rsidR="00DB76CD" w:rsidRPr="00DF4CE5" w:rsidRDefault="00DB76CD" w:rsidP="00DB76CD">
            <w:pPr>
              <w:spacing w:after="0"/>
              <w:jc w:val="both"/>
              <w:rPr>
                <w:rFonts w:ascii="Cambria" w:eastAsia="Calibri" w:hAnsi="Cambria" w:cs="Calibri"/>
                <w:lang w:val="hr-HR"/>
              </w:rPr>
            </w:pPr>
            <w:r w:rsidRPr="00DF4CE5">
              <w:rPr>
                <w:rFonts w:ascii="Cambria" w:eastAsia="Calibri" w:hAnsi="Cambria" w:cs="Calibri"/>
                <w:lang w:val="hr-HR"/>
              </w:rPr>
              <w:t xml:space="preserve">- metodama tumačenja i poučavanja i načinima vrednovanja, </w:t>
            </w:r>
          </w:p>
          <w:p w14:paraId="138E2109" w14:textId="77777777" w:rsidR="00DB76CD" w:rsidRPr="00DF4CE5" w:rsidRDefault="00DB76CD" w:rsidP="00DB76CD">
            <w:pPr>
              <w:spacing w:after="0"/>
              <w:jc w:val="both"/>
              <w:rPr>
                <w:rFonts w:ascii="Cambria" w:eastAsia="Calibri" w:hAnsi="Cambria" w:cs="Calibri"/>
                <w:lang w:val="hr-HR"/>
              </w:rPr>
            </w:pPr>
            <w:r w:rsidRPr="00DF4CE5">
              <w:rPr>
                <w:rFonts w:ascii="Cambria" w:eastAsia="Calibri" w:hAnsi="Cambria" w:cs="Calibri"/>
                <w:lang w:val="hr-HR"/>
              </w:rPr>
              <w:t>- studentskim obvezama i dostupnoj literaturi.</w:t>
            </w:r>
          </w:p>
          <w:p w14:paraId="4E961E80" w14:textId="77777777" w:rsidR="00DB76CD" w:rsidRPr="00DF4CE5" w:rsidRDefault="00DB76CD" w:rsidP="00DB76CD">
            <w:pPr>
              <w:spacing w:after="0"/>
              <w:jc w:val="both"/>
              <w:rPr>
                <w:rFonts w:ascii="Cambria" w:eastAsia="Calibri" w:hAnsi="Cambria" w:cs="Calibri"/>
                <w:lang w:val="hr-HR"/>
              </w:rPr>
            </w:pPr>
            <w:r w:rsidRPr="00DF4CE5">
              <w:rPr>
                <w:rFonts w:ascii="Cambria" w:eastAsia="Calibri" w:hAnsi="Cambria" w:cs="Calibri"/>
                <w:lang w:val="hr-HR"/>
              </w:rPr>
              <w:t xml:space="preserve"> O tome će nositeljica kolegija obavijestiti studente i studentice kad se nastava na daljinu počne održavati.</w:t>
            </w:r>
          </w:p>
          <w:p w14:paraId="701CF23C" w14:textId="77777777" w:rsidR="00DB76CD" w:rsidRPr="00DF4CE5" w:rsidRDefault="00DB76CD" w:rsidP="00DB76CD">
            <w:pPr>
              <w:spacing w:after="0"/>
              <w:jc w:val="both"/>
              <w:rPr>
                <w:rFonts w:ascii="Cambria" w:eastAsia="Calibri" w:hAnsi="Cambria" w:cs="Calibri"/>
                <w:lang w:val="hr-HR"/>
              </w:rPr>
            </w:pPr>
            <w:r w:rsidRPr="00DF4CE5">
              <w:rPr>
                <w:rFonts w:ascii="Cambria" w:eastAsia="Calibri" w:hAnsi="Cambria" w:cs="Calibri"/>
                <w:lang w:val="hr-HR"/>
              </w:rPr>
              <w:t>Ishodi učenja ostaju nepromijenjeni.</w:t>
            </w:r>
          </w:p>
        </w:tc>
      </w:tr>
      <w:tr w:rsidR="00DB76CD" w:rsidRPr="00DF4CE5" w14:paraId="2A3544A1" w14:textId="77777777" w:rsidTr="00535B7E">
        <w:trPr>
          <w:trHeight w:val="770"/>
        </w:trPr>
        <w:tc>
          <w:tcPr>
            <w:tcW w:w="261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4B86CA6" w14:textId="77777777" w:rsidR="00DB76CD" w:rsidRPr="00DF4CE5" w:rsidRDefault="00DB76CD" w:rsidP="00DB76CD">
            <w:pPr>
              <w:spacing w:after="0"/>
              <w:jc w:val="both"/>
              <w:rPr>
                <w:rFonts w:ascii="Cambria" w:eastAsia="Calibri" w:hAnsi="Cambria" w:cs="Calibri"/>
                <w:lang w:val="hr-HR"/>
              </w:rPr>
            </w:pPr>
            <w:r w:rsidRPr="00DF4CE5">
              <w:rPr>
                <w:rFonts w:ascii="Cambria" w:eastAsia="Calibri" w:hAnsi="Cambria" w:cs="Calibri"/>
                <w:lang w:val="hr-HR"/>
              </w:rPr>
              <w:t>Literatura</w:t>
            </w:r>
          </w:p>
        </w:tc>
        <w:tc>
          <w:tcPr>
            <w:tcW w:w="6879"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522CE595" w14:textId="77777777" w:rsidR="00DB76CD" w:rsidRPr="00DF4CE5" w:rsidRDefault="00DB76CD" w:rsidP="00DB76CD">
            <w:pPr>
              <w:spacing w:after="0"/>
              <w:jc w:val="both"/>
              <w:rPr>
                <w:rFonts w:ascii="Cambria" w:eastAsia="Calibri" w:hAnsi="Cambria" w:cs="Calibri"/>
                <w:lang w:val="hr-HR"/>
              </w:rPr>
            </w:pPr>
            <w:r w:rsidRPr="00DF4CE5">
              <w:rPr>
                <w:rFonts w:ascii="Cambria" w:eastAsia="Calibri" w:hAnsi="Cambria" w:cs="Calibri"/>
                <w:lang w:val="hr-HR"/>
              </w:rPr>
              <w:t xml:space="preserve">Obvezna: </w:t>
            </w:r>
          </w:p>
          <w:p w14:paraId="1F7077B2" w14:textId="77777777" w:rsidR="00DB76CD" w:rsidRPr="00DF4CE5" w:rsidRDefault="00DB76CD" w:rsidP="00A034E3">
            <w:pPr>
              <w:numPr>
                <w:ilvl w:val="0"/>
                <w:numId w:val="12"/>
              </w:numPr>
              <w:spacing w:after="0"/>
              <w:ind w:left="431" w:right="-142"/>
              <w:contextualSpacing/>
              <w:jc w:val="both"/>
              <w:rPr>
                <w:rFonts w:ascii="Cambria" w:eastAsia="Calibri" w:hAnsi="Cambria" w:cs="Calibri"/>
                <w:lang w:val="hr-HR"/>
              </w:rPr>
            </w:pPr>
            <w:r w:rsidRPr="00DF4CE5">
              <w:rPr>
                <w:rFonts w:ascii="Cambria" w:eastAsia="Calibri" w:hAnsi="Cambria" w:cs="Calibri"/>
                <w:lang w:val="hr-HR"/>
              </w:rPr>
              <w:t>Čitajmo između redaka. Priručnik za razvoj medijske pismenosti. GONG i Kurziv, Zagreb, 2016. https://www.gong.hr/media/uploads/med_pismenost_pub.pdf</w:t>
            </w:r>
          </w:p>
          <w:p w14:paraId="38ACB717" w14:textId="77777777" w:rsidR="00DB76CD" w:rsidRPr="00DF4CE5" w:rsidRDefault="00DB76CD" w:rsidP="00A034E3">
            <w:pPr>
              <w:numPr>
                <w:ilvl w:val="0"/>
                <w:numId w:val="12"/>
              </w:numPr>
              <w:spacing w:after="0"/>
              <w:ind w:left="431"/>
              <w:contextualSpacing/>
              <w:jc w:val="both"/>
              <w:rPr>
                <w:rFonts w:ascii="Cambria" w:eastAsia="Calibri" w:hAnsi="Cambria" w:cs="Calibri"/>
                <w:lang w:val="hr-HR"/>
              </w:rPr>
            </w:pPr>
            <w:r w:rsidRPr="00DF4CE5">
              <w:rPr>
                <w:rFonts w:ascii="Cambria" w:eastAsia="Calibri" w:hAnsi="Cambria" w:cs="Calibri"/>
                <w:lang w:val="hr-HR"/>
              </w:rPr>
              <w:t>Komunikacija odgaja — odgoj komunicira. Emocionalna i medijska pismenost, Pragma, Zagreb, 2015.</w:t>
            </w:r>
          </w:p>
          <w:p w14:paraId="54F8B583" w14:textId="77777777" w:rsidR="00DB76CD" w:rsidRPr="00DF4CE5" w:rsidRDefault="00DB76CD" w:rsidP="00A034E3">
            <w:pPr>
              <w:numPr>
                <w:ilvl w:val="0"/>
                <w:numId w:val="12"/>
              </w:numPr>
              <w:spacing w:after="0"/>
              <w:ind w:left="431"/>
              <w:contextualSpacing/>
              <w:jc w:val="both"/>
              <w:rPr>
                <w:rFonts w:ascii="Cambria" w:eastAsia="Calibri" w:hAnsi="Cambria" w:cs="Calibri"/>
                <w:lang w:val="hr-HR"/>
              </w:rPr>
            </w:pPr>
            <w:r w:rsidRPr="00DF4CE5">
              <w:rPr>
                <w:rFonts w:ascii="Cambria" w:eastAsia="Calibri" w:hAnsi="Cambria" w:cs="Calibri"/>
                <w:lang w:val="hr-HR"/>
              </w:rPr>
              <w:t>(http://www.udruga-pragma.hr/wp-content/uploads/2015/10/komunikacija-odgaja-odgoj-komunicira.pdf)</w:t>
            </w:r>
          </w:p>
          <w:p w14:paraId="6458395B" w14:textId="77777777" w:rsidR="00DB76CD" w:rsidRPr="00DF4CE5" w:rsidRDefault="00DB76CD" w:rsidP="00A034E3">
            <w:pPr>
              <w:numPr>
                <w:ilvl w:val="0"/>
                <w:numId w:val="12"/>
              </w:numPr>
              <w:spacing w:after="0"/>
              <w:ind w:left="431"/>
              <w:contextualSpacing/>
              <w:jc w:val="both"/>
              <w:rPr>
                <w:rFonts w:ascii="Cambria" w:eastAsia="Calibri" w:hAnsi="Cambria" w:cs="Calibri"/>
                <w:lang w:val="hr-HR"/>
              </w:rPr>
            </w:pPr>
            <w:proofErr w:type="spellStart"/>
            <w:r w:rsidRPr="00DF4CE5">
              <w:rPr>
                <w:rFonts w:ascii="Cambria" w:eastAsia="Calibri" w:hAnsi="Cambria" w:cs="Calibri"/>
                <w:lang w:val="hr-HR"/>
              </w:rPr>
              <w:t>Kolucki</w:t>
            </w:r>
            <w:proofErr w:type="spellEnd"/>
            <w:r w:rsidRPr="00DF4CE5">
              <w:rPr>
                <w:rFonts w:ascii="Cambria" w:eastAsia="Calibri" w:hAnsi="Cambria" w:cs="Calibri"/>
                <w:lang w:val="hr-HR"/>
              </w:rPr>
              <w:t xml:space="preserve">, B. i </w:t>
            </w:r>
            <w:proofErr w:type="spellStart"/>
            <w:r w:rsidRPr="00DF4CE5">
              <w:rPr>
                <w:rFonts w:ascii="Cambria" w:eastAsia="Calibri" w:hAnsi="Cambria" w:cs="Calibri"/>
                <w:lang w:val="hr-HR"/>
              </w:rPr>
              <w:t>Lemish</w:t>
            </w:r>
            <w:proofErr w:type="spellEnd"/>
            <w:r w:rsidRPr="00DF4CE5">
              <w:rPr>
                <w:rFonts w:ascii="Cambria" w:eastAsia="Calibri" w:hAnsi="Cambria" w:cs="Calibri"/>
                <w:lang w:val="hr-HR"/>
              </w:rPr>
              <w:t xml:space="preserve">, D. </w:t>
            </w:r>
            <w:proofErr w:type="spellStart"/>
            <w:r w:rsidRPr="00DF4CE5">
              <w:rPr>
                <w:rFonts w:ascii="Cambria" w:eastAsia="Calibri" w:hAnsi="Cambria" w:cs="Calibri"/>
                <w:lang w:val="hr-HR"/>
              </w:rPr>
              <w:t>Kakokomuniciratis</w:t>
            </w:r>
            <w:proofErr w:type="spellEnd"/>
            <w:r w:rsidRPr="00DF4CE5">
              <w:rPr>
                <w:rFonts w:ascii="Cambria" w:eastAsia="Calibri" w:hAnsi="Cambria" w:cs="Calibri"/>
                <w:lang w:val="hr-HR"/>
              </w:rPr>
              <w:t xml:space="preserve"> djecom, Fond Ujedinjenih naroda za djecu (UNICEF), Ured za Hrvatsku, Zagreb 2013.</w:t>
            </w:r>
          </w:p>
          <w:p w14:paraId="279D3EF0" w14:textId="77777777" w:rsidR="00DB76CD" w:rsidRPr="00DF4CE5" w:rsidRDefault="00DB76CD" w:rsidP="00A034E3">
            <w:pPr>
              <w:numPr>
                <w:ilvl w:val="0"/>
                <w:numId w:val="12"/>
              </w:numPr>
              <w:autoSpaceDE w:val="0"/>
              <w:autoSpaceDN w:val="0"/>
              <w:adjustRightInd w:val="0"/>
              <w:spacing w:after="0" w:line="240" w:lineRule="auto"/>
              <w:ind w:left="431"/>
              <w:jc w:val="both"/>
              <w:rPr>
                <w:rFonts w:ascii="Cambria" w:eastAsia="Times New Roman" w:hAnsi="Cambria" w:cs="Calibri"/>
                <w:lang w:val="hr-HR"/>
              </w:rPr>
            </w:pPr>
            <w:r w:rsidRPr="00DF4CE5">
              <w:rPr>
                <w:rFonts w:ascii="Cambria" w:eastAsia="Times New Roman" w:hAnsi="Cambria" w:cs="Calibri"/>
                <w:lang w:val="hr-HR"/>
              </w:rPr>
              <w:t xml:space="preserve">Košir, M., </w:t>
            </w:r>
            <w:proofErr w:type="spellStart"/>
            <w:r w:rsidRPr="00DF4CE5">
              <w:rPr>
                <w:rFonts w:ascii="Cambria" w:eastAsia="Times New Roman" w:hAnsi="Cambria" w:cs="Calibri"/>
                <w:lang w:val="hr-HR"/>
              </w:rPr>
              <w:t>Zgrabljić</w:t>
            </w:r>
            <w:proofErr w:type="spellEnd"/>
            <w:r w:rsidRPr="00DF4CE5">
              <w:rPr>
                <w:rFonts w:ascii="Cambria" w:eastAsia="Times New Roman" w:hAnsi="Cambria" w:cs="Calibri"/>
                <w:lang w:val="hr-HR"/>
              </w:rPr>
              <w:t xml:space="preserve">, N., </w:t>
            </w:r>
            <w:proofErr w:type="spellStart"/>
            <w:r w:rsidRPr="00DF4CE5">
              <w:rPr>
                <w:rFonts w:ascii="Cambria" w:eastAsia="Times New Roman" w:hAnsi="Cambria" w:cs="Calibri"/>
                <w:lang w:val="hr-HR"/>
              </w:rPr>
              <w:t>Ranfl</w:t>
            </w:r>
            <w:proofErr w:type="spellEnd"/>
            <w:r w:rsidRPr="00DF4CE5">
              <w:rPr>
                <w:rFonts w:ascii="Cambria" w:eastAsia="Times New Roman" w:hAnsi="Cambria" w:cs="Calibri"/>
                <w:lang w:val="hr-HR"/>
              </w:rPr>
              <w:t xml:space="preserve">, R., Život s medijima, </w:t>
            </w:r>
            <w:proofErr w:type="spellStart"/>
            <w:r w:rsidRPr="00DF4CE5">
              <w:rPr>
                <w:rFonts w:ascii="Cambria" w:eastAsia="Times New Roman" w:hAnsi="Cambria" w:cs="Calibri"/>
                <w:lang w:val="hr-HR"/>
              </w:rPr>
              <w:t>Doron</w:t>
            </w:r>
            <w:proofErr w:type="spellEnd"/>
            <w:r w:rsidRPr="00DF4CE5">
              <w:rPr>
                <w:rFonts w:ascii="Cambria" w:eastAsia="Times New Roman" w:hAnsi="Cambria" w:cs="Calibri"/>
                <w:lang w:val="hr-HR"/>
              </w:rPr>
              <w:t xml:space="preserve">, Zagreb, 1999. </w:t>
            </w:r>
          </w:p>
          <w:p w14:paraId="56843FB9" w14:textId="77777777" w:rsidR="00DB76CD" w:rsidRPr="00DF4CE5" w:rsidRDefault="00DB76CD" w:rsidP="00A034E3">
            <w:pPr>
              <w:numPr>
                <w:ilvl w:val="0"/>
                <w:numId w:val="12"/>
              </w:numPr>
              <w:autoSpaceDE w:val="0"/>
              <w:autoSpaceDN w:val="0"/>
              <w:adjustRightInd w:val="0"/>
              <w:spacing w:after="0" w:line="240" w:lineRule="auto"/>
              <w:ind w:left="431"/>
              <w:jc w:val="both"/>
              <w:rPr>
                <w:rFonts w:ascii="Cambria" w:eastAsia="Times New Roman" w:hAnsi="Cambria" w:cs="Calibri"/>
                <w:lang w:val="hr-HR"/>
              </w:rPr>
            </w:pPr>
            <w:r w:rsidRPr="00DF4CE5">
              <w:rPr>
                <w:rFonts w:ascii="Cambria" w:eastAsia="Times New Roman" w:hAnsi="Cambria" w:cs="Calibri"/>
                <w:lang w:val="hr-HR"/>
              </w:rPr>
              <w:t>Mikić, K. Film u nastavi medijske kulture, Educa, Zagreb, 2001.</w:t>
            </w:r>
          </w:p>
          <w:p w14:paraId="11AB6860" w14:textId="5C8909C6" w:rsidR="00DB76CD" w:rsidRPr="00B64772" w:rsidRDefault="00DB76CD" w:rsidP="00A034E3">
            <w:pPr>
              <w:numPr>
                <w:ilvl w:val="0"/>
                <w:numId w:val="12"/>
              </w:numPr>
              <w:spacing w:after="0"/>
              <w:ind w:left="431"/>
              <w:contextualSpacing/>
              <w:jc w:val="both"/>
              <w:rPr>
                <w:rFonts w:ascii="Cambria" w:eastAsia="Calibri" w:hAnsi="Cambria" w:cs="Calibri"/>
                <w:lang w:val="hr-HR"/>
              </w:rPr>
            </w:pPr>
            <w:r w:rsidRPr="00DF4CE5">
              <w:rPr>
                <w:rFonts w:ascii="Cambria" w:eastAsia="Calibri" w:hAnsi="Cambria" w:cs="Calibri"/>
                <w:lang w:val="hr-HR"/>
              </w:rPr>
              <w:t>Težak, S., Metodika nastave filma na općeobrazovnoj razini, Školska knjiga, Zagreb, 2002</w:t>
            </w:r>
            <w:r w:rsidR="00B64772">
              <w:rPr>
                <w:rFonts w:ascii="Cambria" w:eastAsia="Calibri" w:hAnsi="Cambria" w:cs="Calibri"/>
                <w:lang w:val="hr-HR"/>
              </w:rPr>
              <w:t>.</w:t>
            </w:r>
          </w:p>
          <w:p w14:paraId="77CFF7AC" w14:textId="77777777" w:rsidR="00DB76CD" w:rsidRPr="00DF4CE5" w:rsidRDefault="00DB76CD" w:rsidP="00DB76CD">
            <w:pPr>
              <w:spacing w:after="0"/>
              <w:jc w:val="both"/>
              <w:rPr>
                <w:rFonts w:ascii="Cambria" w:eastAsia="Calibri" w:hAnsi="Cambria" w:cs="Calibri"/>
                <w:lang w:val="hr-HR"/>
              </w:rPr>
            </w:pPr>
            <w:r w:rsidRPr="00DF4CE5">
              <w:rPr>
                <w:rFonts w:ascii="Cambria" w:eastAsia="Calibri" w:hAnsi="Cambria" w:cs="Calibri"/>
                <w:lang w:val="hr-HR"/>
              </w:rPr>
              <w:t>Izborna:</w:t>
            </w:r>
          </w:p>
          <w:p w14:paraId="005D88A9" w14:textId="77777777" w:rsidR="00DB76CD" w:rsidRPr="00DF4CE5" w:rsidRDefault="00DB76CD" w:rsidP="00A034E3">
            <w:pPr>
              <w:numPr>
                <w:ilvl w:val="0"/>
                <w:numId w:val="13"/>
              </w:numPr>
              <w:spacing w:after="0"/>
              <w:ind w:left="431"/>
              <w:contextualSpacing/>
              <w:jc w:val="both"/>
              <w:rPr>
                <w:rFonts w:ascii="Cambria" w:eastAsia="Calibri" w:hAnsi="Cambria" w:cs="Calibri"/>
                <w:lang w:val="hr-HR"/>
              </w:rPr>
            </w:pPr>
            <w:r w:rsidRPr="00DF4CE5">
              <w:rPr>
                <w:rFonts w:ascii="Cambria" w:eastAsia="Calibri" w:hAnsi="Cambria" w:cs="Calibri"/>
                <w:lang w:val="hr-HR"/>
              </w:rPr>
              <w:t>Časopisi za djecu i mladež, Knjižnice grada Zagreba, Zagreb, 2010.</w:t>
            </w:r>
          </w:p>
          <w:p w14:paraId="1F506296" w14:textId="77777777" w:rsidR="00DB76CD" w:rsidRPr="00DF4CE5" w:rsidRDefault="00DB76CD" w:rsidP="00A034E3">
            <w:pPr>
              <w:numPr>
                <w:ilvl w:val="0"/>
                <w:numId w:val="13"/>
              </w:numPr>
              <w:spacing w:after="0"/>
              <w:ind w:left="431"/>
              <w:contextualSpacing/>
              <w:jc w:val="both"/>
              <w:rPr>
                <w:rFonts w:ascii="Cambria" w:eastAsia="Calibri" w:hAnsi="Cambria" w:cs="Calibri"/>
                <w:lang w:val="hr-HR"/>
              </w:rPr>
            </w:pPr>
            <w:proofErr w:type="spellStart"/>
            <w:r w:rsidRPr="00DF4CE5">
              <w:rPr>
                <w:rFonts w:ascii="Cambria" w:eastAsia="Calibri" w:hAnsi="Cambria" w:cs="Calibri"/>
                <w:lang w:val="hr-HR"/>
              </w:rPr>
              <w:t>Ilišin</w:t>
            </w:r>
            <w:proofErr w:type="spellEnd"/>
            <w:r w:rsidRPr="00DF4CE5">
              <w:rPr>
                <w:rFonts w:ascii="Cambria" w:eastAsia="Calibri" w:hAnsi="Cambria" w:cs="Calibri"/>
                <w:lang w:val="hr-HR"/>
              </w:rPr>
              <w:t>, V., Marinović-Bobinac, A., Radin, F., Djeca i mediji – uloga medija u svakodnevnom životu djece, Državni zavod za zaštitu obitelji, materinstva i mladeži, Zagreb, 2001.</w:t>
            </w:r>
          </w:p>
          <w:p w14:paraId="69E2C7E4" w14:textId="77777777" w:rsidR="00DB76CD" w:rsidRPr="00DF4CE5" w:rsidRDefault="00DB76CD" w:rsidP="00A034E3">
            <w:pPr>
              <w:numPr>
                <w:ilvl w:val="0"/>
                <w:numId w:val="13"/>
              </w:numPr>
              <w:spacing w:after="0"/>
              <w:ind w:left="431"/>
              <w:contextualSpacing/>
              <w:jc w:val="both"/>
              <w:rPr>
                <w:rFonts w:ascii="Cambria" w:eastAsia="Calibri" w:hAnsi="Cambria" w:cs="Calibri"/>
                <w:lang w:val="hr-HR"/>
              </w:rPr>
            </w:pPr>
            <w:r w:rsidRPr="00DF4CE5">
              <w:rPr>
                <w:rFonts w:ascii="Cambria" w:eastAsia="Calibri" w:hAnsi="Cambria" w:cs="Calibri"/>
                <w:lang w:val="hr-HR"/>
              </w:rPr>
              <w:t>Izazovi nastave hrvatskoga jezika : zbornik radova sa Simpozija Učitelja i nastavnika Hrvatskoga jezika (8 ; 2017 ; Sveti Martin na Muri) i Stručnog skupa Medijska pismenost (2017 ; Sinj) (</w:t>
            </w:r>
            <w:proofErr w:type="spellStart"/>
            <w:r w:rsidRPr="00DF4CE5">
              <w:rPr>
                <w:rFonts w:ascii="Cambria" w:eastAsia="Calibri" w:hAnsi="Cambria" w:cs="Calibri"/>
                <w:lang w:val="hr-HR"/>
              </w:rPr>
              <w:t>ur</w:t>
            </w:r>
            <w:proofErr w:type="spellEnd"/>
            <w:r w:rsidRPr="00DF4CE5">
              <w:rPr>
                <w:rFonts w:ascii="Cambria" w:eastAsia="Calibri" w:hAnsi="Cambria" w:cs="Calibri"/>
                <w:lang w:val="hr-HR"/>
              </w:rPr>
              <w:t xml:space="preserve">. </w:t>
            </w:r>
            <w:proofErr w:type="spellStart"/>
            <w:r w:rsidRPr="00DF4CE5">
              <w:rPr>
                <w:rFonts w:ascii="Cambria" w:eastAsia="Calibri" w:hAnsi="Cambria" w:cs="Calibri"/>
                <w:lang w:val="hr-HR"/>
              </w:rPr>
              <w:t>Listeš</w:t>
            </w:r>
            <w:proofErr w:type="spellEnd"/>
            <w:r w:rsidRPr="00DF4CE5">
              <w:rPr>
                <w:rFonts w:ascii="Cambria" w:eastAsia="Calibri" w:hAnsi="Cambria" w:cs="Calibri"/>
                <w:lang w:val="hr-HR"/>
              </w:rPr>
              <w:t>, S. i Belina, L.), Zagreb : Školska knjiga , 2017</w:t>
            </w:r>
          </w:p>
          <w:p w14:paraId="3C1B7548" w14:textId="77777777" w:rsidR="00DB76CD" w:rsidRPr="00DF4CE5" w:rsidRDefault="00DB76CD" w:rsidP="00A034E3">
            <w:pPr>
              <w:numPr>
                <w:ilvl w:val="0"/>
                <w:numId w:val="13"/>
              </w:numPr>
              <w:spacing w:after="0"/>
              <w:ind w:left="431"/>
              <w:contextualSpacing/>
              <w:jc w:val="both"/>
              <w:rPr>
                <w:rFonts w:ascii="Cambria" w:eastAsia="Calibri" w:hAnsi="Cambria" w:cs="Calibri"/>
                <w:lang w:val="hr-HR"/>
              </w:rPr>
            </w:pPr>
            <w:r w:rsidRPr="00DF4CE5">
              <w:rPr>
                <w:rFonts w:ascii="Cambria" w:eastAsia="Calibri" w:hAnsi="Cambria" w:cs="Calibri"/>
                <w:lang w:val="hr-HR"/>
              </w:rPr>
              <w:t xml:space="preserve">Košir, M., </w:t>
            </w:r>
            <w:proofErr w:type="spellStart"/>
            <w:r w:rsidRPr="00DF4CE5">
              <w:rPr>
                <w:rFonts w:ascii="Cambria" w:eastAsia="Calibri" w:hAnsi="Cambria" w:cs="Calibri"/>
                <w:lang w:val="hr-HR"/>
              </w:rPr>
              <w:t>Zgrabljić</w:t>
            </w:r>
            <w:proofErr w:type="spellEnd"/>
            <w:r w:rsidRPr="00DF4CE5">
              <w:rPr>
                <w:rFonts w:ascii="Cambria" w:eastAsia="Calibri" w:hAnsi="Cambria" w:cs="Calibri"/>
                <w:lang w:val="hr-HR"/>
              </w:rPr>
              <w:t xml:space="preserve">, N., </w:t>
            </w:r>
            <w:proofErr w:type="spellStart"/>
            <w:r w:rsidRPr="00DF4CE5">
              <w:rPr>
                <w:rFonts w:ascii="Cambria" w:eastAsia="Calibri" w:hAnsi="Cambria" w:cs="Calibri"/>
                <w:lang w:val="hr-HR"/>
              </w:rPr>
              <w:t>Ranfl</w:t>
            </w:r>
            <w:proofErr w:type="spellEnd"/>
            <w:r w:rsidRPr="00DF4CE5">
              <w:rPr>
                <w:rFonts w:ascii="Cambria" w:eastAsia="Calibri" w:hAnsi="Cambria" w:cs="Calibri"/>
                <w:lang w:val="hr-HR"/>
              </w:rPr>
              <w:t xml:space="preserve">, R., Život s medijima, </w:t>
            </w:r>
            <w:proofErr w:type="spellStart"/>
            <w:r w:rsidRPr="00DF4CE5">
              <w:rPr>
                <w:rFonts w:ascii="Cambria" w:eastAsia="Calibri" w:hAnsi="Cambria" w:cs="Calibri"/>
                <w:lang w:val="hr-HR"/>
              </w:rPr>
              <w:t>Doron</w:t>
            </w:r>
            <w:proofErr w:type="spellEnd"/>
            <w:r w:rsidRPr="00DF4CE5">
              <w:rPr>
                <w:rFonts w:ascii="Cambria" w:eastAsia="Calibri" w:hAnsi="Cambria" w:cs="Calibri"/>
                <w:lang w:val="hr-HR"/>
              </w:rPr>
              <w:t xml:space="preserve">, Zagreb, 1999. </w:t>
            </w:r>
          </w:p>
          <w:p w14:paraId="046F23E0" w14:textId="77777777" w:rsidR="00DB76CD" w:rsidRPr="00DF4CE5" w:rsidRDefault="00DB76CD" w:rsidP="00A034E3">
            <w:pPr>
              <w:numPr>
                <w:ilvl w:val="0"/>
                <w:numId w:val="13"/>
              </w:numPr>
              <w:spacing w:after="0"/>
              <w:ind w:left="431"/>
              <w:contextualSpacing/>
              <w:jc w:val="both"/>
              <w:rPr>
                <w:rFonts w:ascii="Cambria" w:eastAsia="Calibri" w:hAnsi="Cambria" w:cs="Calibri"/>
                <w:lang w:val="hr-HR"/>
              </w:rPr>
            </w:pPr>
            <w:proofErr w:type="spellStart"/>
            <w:r w:rsidRPr="00DF4CE5">
              <w:rPr>
                <w:rFonts w:ascii="Cambria" w:eastAsia="Calibri" w:hAnsi="Cambria" w:cs="Calibri"/>
                <w:lang w:val="hr-HR"/>
              </w:rPr>
              <w:t>Miliša</w:t>
            </w:r>
            <w:proofErr w:type="spellEnd"/>
            <w:r w:rsidRPr="00DF4CE5">
              <w:rPr>
                <w:rFonts w:ascii="Cambria" w:eastAsia="Calibri" w:hAnsi="Cambria" w:cs="Calibri"/>
                <w:lang w:val="hr-HR"/>
              </w:rPr>
              <w:t xml:space="preserve">, Z., </w:t>
            </w:r>
            <w:proofErr w:type="spellStart"/>
            <w:r w:rsidRPr="00DF4CE5">
              <w:rPr>
                <w:rFonts w:ascii="Cambria" w:eastAsia="Calibri" w:hAnsi="Cambria" w:cs="Calibri"/>
                <w:lang w:val="hr-HR"/>
              </w:rPr>
              <w:t>Saravanja</w:t>
            </w:r>
            <w:proofErr w:type="spellEnd"/>
            <w:r w:rsidRPr="00DF4CE5">
              <w:rPr>
                <w:rFonts w:ascii="Cambria" w:eastAsia="Calibri" w:hAnsi="Cambria" w:cs="Calibri"/>
                <w:lang w:val="hr-HR"/>
              </w:rPr>
              <w:t xml:space="preserve">, </w:t>
            </w:r>
            <w:proofErr w:type="spellStart"/>
            <w:r w:rsidRPr="00DF4CE5">
              <w:rPr>
                <w:rFonts w:ascii="Cambria" w:eastAsia="Calibri" w:hAnsi="Cambria" w:cs="Calibri"/>
                <w:lang w:val="hr-HR"/>
              </w:rPr>
              <w:t>M.,Analiza</w:t>
            </w:r>
            <w:proofErr w:type="spellEnd"/>
            <w:r w:rsidRPr="00DF4CE5">
              <w:rPr>
                <w:rFonts w:ascii="Cambria" w:eastAsia="Calibri" w:hAnsi="Cambria" w:cs="Calibri"/>
                <w:lang w:val="hr-HR"/>
              </w:rPr>
              <w:t xml:space="preserve"> medijskih sadržaja u čitankama za osnovne škole, </w:t>
            </w:r>
            <w:proofErr w:type="spellStart"/>
            <w:r w:rsidRPr="00DF4CE5">
              <w:rPr>
                <w:rFonts w:ascii="Cambria" w:eastAsia="Calibri" w:hAnsi="Cambria" w:cs="Calibri"/>
                <w:lang w:val="hr-HR"/>
              </w:rPr>
              <w:t>Medianali</w:t>
            </w:r>
            <w:proofErr w:type="spellEnd"/>
            <w:r w:rsidRPr="00DF4CE5">
              <w:rPr>
                <w:rFonts w:ascii="Cambria" w:eastAsia="Calibri" w:hAnsi="Cambria" w:cs="Calibri"/>
                <w:lang w:val="hr-HR"/>
              </w:rPr>
              <w:t>, Vol. 5., No. 9. 2001.</w:t>
            </w:r>
          </w:p>
          <w:p w14:paraId="36BFFE40" w14:textId="77777777" w:rsidR="00DB76CD" w:rsidRPr="00DF4CE5" w:rsidRDefault="00DB76CD" w:rsidP="00A034E3">
            <w:pPr>
              <w:numPr>
                <w:ilvl w:val="0"/>
                <w:numId w:val="13"/>
              </w:numPr>
              <w:spacing w:after="0"/>
              <w:ind w:left="431"/>
              <w:contextualSpacing/>
              <w:jc w:val="both"/>
              <w:rPr>
                <w:rFonts w:ascii="Cambria" w:eastAsia="Calibri" w:hAnsi="Cambria" w:cs="Calibri"/>
                <w:lang w:val="hr-HR"/>
              </w:rPr>
            </w:pPr>
            <w:r w:rsidRPr="00DF4CE5">
              <w:rPr>
                <w:rFonts w:ascii="Cambria" w:eastAsia="Calibri" w:hAnsi="Cambria" w:cs="Calibri"/>
                <w:lang w:val="hr-HR"/>
              </w:rPr>
              <w:t>Mučalo, M., Radio – medij 20. stoljeća, AGM, Zagreb , 2010.</w:t>
            </w:r>
          </w:p>
          <w:p w14:paraId="7E89A7BA" w14:textId="77777777" w:rsidR="00DB76CD" w:rsidRPr="00DF4CE5" w:rsidRDefault="00DB76CD" w:rsidP="00A034E3">
            <w:pPr>
              <w:numPr>
                <w:ilvl w:val="0"/>
                <w:numId w:val="13"/>
              </w:numPr>
              <w:spacing w:after="0"/>
              <w:ind w:left="431"/>
              <w:contextualSpacing/>
              <w:jc w:val="both"/>
              <w:rPr>
                <w:rFonts w:ascii="Cambria" w:eastAsia="Calibri" w:hAnsi="Cambria" w:cs="Calibri"/>
                <w:lang w:val="hr-HR"/>
              </w:rPr>
            </w:pPr>
            <w:proofErr w:type="spellStart"/>
            <w:r w:rsidRPr="00DF4CE5">
              <w:rPr>
                <w:rFonts w:ascii="Cambria" w:eastAsia="Calibri" w:hAnsi="Cambria" w:cs="Calibri"/>
                <w:lang w:val="hr-HR"/>
              </w:rPr>
              <w:t>Penjak</w:t>
            </w:r>
            <w:proofErr w:type="spellEnd"/>
            <w:r w:rsidRPr="00DF4CE5">
              <w:rPr>
                <w:rFonts w:ascii="Cambria" w:eastAsia="Calibri" w:hAnsi="Cambria" w:cs="Calibri"/>
                <w:lang w:val="hr-HR"/>
              </w:rPr>
              <w:t xml:space="preserve">, A., Mozart ili </w:t>
            </w:r>
            <w:proofErr w:type="spellStart"/>
            <w:r w:rsidRPr="00DF4CE5">
              <w:rPr>
                <w:rFonts w:ascii="Cambria" w:eastAsia="Calibri" w:hAnsi="Cambria" w:cs="Calibri"/>
                <w:lang w:val="hr-HR"/>
              </w:rPr>
              <w:t>Pocoyo</w:t>
            </w:r>
            <w:proofErr w:type="spellEnd"/>
            <w:r w:rsidRPr="00DF4CE5">
              <w:rPr>
                <w:rFonts w:ascii="Cambria" w:eastAsia="Calibri" w:hAnsi="Cambria" w:cs="Calibri"/>
                <w:lang w:val="hr-HR"/>
              </w:rPr>
              <w:t xml:space="preserve"> – drugi roditelji KGYO generacije, Školski vjesnik, Vol. 59., No. 4. 2010.</w:t>
            </w:r>
          </w:p>
          <w:p w14:paraId="01F4798B" w14:textId="77777777" w:rsidR="00DB76CD" w:rsidRPr="00DF4CE5" w:rsidRDefault="00DB76CD" w:rsidP="00A034E3">
            <w:pPr>
              <w:numPr>
                <w:ilvl w:val="0"/>
                <w:numId w:val="13"/>
              </w:numPr>
              <w:spacing w:after="0"/>
              <w:ind w:left="431"/>
              <w:contextualSpacing/>
              <w:jc w:val="both"/>
              <w:rPr>
                <w:rFonts w:ascii="Cambria" w:eastAsia="Calibri" w:hAnsi="Cambria" w:cs="Calibri"/>
                <w:lang w:val="hr-HR"/>
              </w:rPr>
            </w:pPr>
            <w:r w:rsidRPr="00DF4CE5">
              <w:rPr>
                <w:rFonts w:ascii="Cambria" w:eastAsia="Calibri" w:hAnsi="Cambria" w:cs="Calibri"/>
                <w:lang w:val="hr-HR"/>
              </w:rPr>
              <w:t>Peterlić, A., Osnove teorije filma, Hrvatska sveučilišna naklada, Zagreb, 2001.</w:t>
            </w:r>
          </w:p>
          <w:p w14:paraId="1AE77D6D" w14:textId="77777777" w:rsidR="00DB76CD" w:rsidRPr="00DF4CE5" w:rsidRDefault="00DB76CD" w:rsidP="00A034E3">
            <w:pPr>
              <w:numPr>
                <w:ilvl w:val="0"/>
                <w:numId w:val="13"/>
              </w:numPr>
              <w:spacing w:after="0"/>
              <w:ind w:left="431"/>
              <w:contextualSpacing/>
              <w:jc w:val="both"/>
              <w:rPr>
                <w:rFonts w:ascii="Cambria" w:eastAsia="Calibri" w:hAnsi="Cambria" w:cs="Calibri"/>
                <w:lang w:val="hr-HR"/>
              </w:rPr>
            </w:pPr>
            <w:r w:rsidRPr="00DF4CE5">
              <w:rPr>
                <w:rFonts w:ascii="Cambria" w:eastAsia="Calibri" w:hAnsi="Cambria" w:cs="Calibri"/>
                <w:lang w:val="hr-HR"/>
              </w:rPr>
              <w:t xml:space="preserve">Rončević, A. , Multimediji u nastavi, Web knjižara, Split, 2011. </w:t>
            </w:r>
          </w:p>
          <w:p w14:paraId="3DC36D5B" w14:textId="77777777" w:rsidR="00DB76CD" w:rsidRPr="00DF4CE5" w:rsidRDefault="00DB76CD" w:rsidP="00A034E3">
            <w:pPr>
              <w:numPr>
                <w:ilvl w:val="0"/>
                <w:numId w:val="13"/>
              </w:numPr>
              <w:spacing w:after="0"/>
              <w:ind w:left="431"/>
              <w:contextualSpacing/>
              <w:jc w:val="both"/>
              <w:rPr>
                <w:rFonts w:ascii="Cambria" w:eastAsia="Calibri" w:hAnsi="Cambria" w:cs="Calibri"/>
                <w:lang w:val="hr-HR"/>
              </w:rPr>
            </w:pPr>
            <w:r w:rsidRPr="00DF4CE5">
              <w:rPr>
                <w:rFonts w:ascii="Cambria" w:eastAsia="Calibri" w:hAnsi="Cambria" w:cs="Calibri"/>
                <w:lang w:val="hr-HR"/>
              </w:rPr>
              <w:lastRenderedPageBreak/>
              <w:t>Sindik, J., Kako roditelji percipiraju utjecaj televizije na predškolsku djecu, Medijska istraživanja, Vol. 18., No. 1., 2012.</w:t>
            </w:r>
          </w:p>
          <w:p w14:paraId="0D4713BA" w14:textId="77777777" w:rsidR="00DB76CD" w:rsidRPr="00DF4CE5" w:rsidRDefault="00DB76CD" w:rsidP="00A034E3">
            <w:pPr>
              <w:numPr>
                <w:ilvl w:val="0"/>
                <w:numId w:val="13"/>
              </w:numPr>
              <w:spacing w:after="0"/>
              <w:ind w:left="431"/>
              <w:contextualSpacing/>
              <w:jc w:val="both"/>
              <w:rPr>
                <w:rFonts w:ascii="Cambria" w:eastAsia="Calibri" w:hAnsi="Cambria" w:cs="Calibri"/>
                <w:lang w:val="hr-HR"/>
              </w:rPr>
            </w:pPr>
            <w:r w:rsidRPr="00DF4CE5">
              <w:rPr>
                <w:rFonts w:ascii="Cambria" w:eastAsia="Calibri" w:hAnsi="Cambria" w:cs="Calibri"/>
                <w:lang w:val="hr-HR"/>
              </w:rPr>
              <w:t>Škrabalo, I., Hrvatska filmska povijest ukratko (1896-2006), V.B.Z., Zagreb , 2008.</w:t>
            </w:r>
          </w:p>
          <w:p w14:paraId="7ACC8DF9" w14:textId="77777777" w:rsidR="00DB76CD" w:rsidRPr="00DF4CE5" w:rsidRDefault="00DB76CD" w:rsidP="00A034E3">
            <w:pPr>
              <w:numPr>
                <w:ilvl w:val="0"/>
                <w:numId w:val="13"/>
              </w:numPr>
              <w:spacing w:after="0"/>
              <w:ind w:left="431"/>
              <w:contextualSpacing/>
              <w:jc w:val="both"/>
              <w:rPr>
                <w:rFonts w:ascii="Cambria" w:eastAsia="Calibri" w:hAnsi="Cambria" w:cs="Calibri"/>
                <w:lang w:val="hr-HR"/>
              </w:rPr>
            </w:pPr>
            <w:r w:rsidRPr="00DF4CE5">
              <w:rPr>
                <w:rFonts w:ascii="Cambria" w:eastAsia="Calibri" w:hAnsi="Cambria" w:cs="Calibri"/>
                <w:lang w:val="hr-HR"/>
              </w:rPr>
              <w:t>Težak, D., Dječji junak u romanu i filmu. Školske novine, Zagreb, 1990.</w:t>
            </w:r>
          </w:p>
          <w:p w14:paraId="146F8DA2" w14:textId="77777777" w:rsidR="00DB76CD" w:rsidRPr="00DF4CE5" w:rsidRDefault="00DB76CD" w:rsidP="00A034E3">
            <w:pPr>
              <w:numPr>
                <w:ilvl w:val="0"/>
                <w:numId w:val="13"/>
              </w:numPr>
              <w:spacing w:after="0"/>
              <w:ind w:left="431"/>
              <w:contextualSpacing/>
              <w:jc w:val="both"/>
              <w:rPr>
                <w:rFonts w:ascii="Cambria" w:eastAsia="Calibri" w:hAnsi="Cambria" w:cs="Calibri"/>
                <w:lang w:val="hr-HR"/>
              </w:rPr>
            </w:pPr>
            <w:r w:rsidRPr="00DF4CE5">
              <w:rPr>
                <w:rFonts w:ascii="Cambria" w:eastAsia="Calibri" w:hAnsi="Cambria" w:cs="Calibri"/>
                <w:lang w:val="hr-HR"/>
              </w:rPr>
              <w:t xml:space="preserve">Tolić, M., Medijsko-pedagogijske implikacije za razvoj medijske kulture u školskom kurikulumu, </w:t>
            </w:r>
            <w:proofErr w:type="spellStart"/>
            <w:r w:rsidRPr="00DF4CE5">
              <w:rPr>
                <w:rFonts w:ascii="Cambria" w:eastAsia="Calibri" w:hAnsi="Cambria" w:cs="Calibri"/>
                <w:lang w:val="hr-HR"/>
              </w:rPr>
              <w:t>Medianali</w:t>
            </w:r>
            <w:proofErr w:type="spellEnd"/>
            <w:r w:rsidRPr="00DF4CE5">
              <w:rPr>
                <w:rFonts w:ascii="Cambria" w:eastAsia="Calibri" w:hAnsi="Cambria" w:cs="Calibri"/>
                <w:lang w:val="hr-HR"/>
              </w:rPr>
              <w:t>, Vol. 5., No. 9., 2011.</w:t>
            </w:r>
          </w:p>
          <w:p w14:paraId="16994337" w14:textId="77777777" w:rsidR="00DB76CD" w:rsidRPr="00DF4CE5" w:rsidRDefault="00DB76CD" w:rsidP="00A034E3">
            <w:pPr>
              <w:numPr>
                <w:ilvl w:val="0"/>
                <w:numId w:val="13"/>
              </w:numPr>
              <w:spacing w:after="0"/>
              <w:ind w:left="431"/>
              <w:contextualSpacing/>
              <w:jc w:val="both"/>
              <w:rPr>
                <w:rFonts w:ascii="Cambria" w:eastAsia="Calibri" w:hAnsi="Cambria" w:cs="Calibri"/>
                <w:lang w:val="hr-HR"/>
              </w:rPr>
            </w:pPr>
            <w:proofErr w:type="spellStart"/>
            <w:r w:rsidRPr="00DF4CE5">
              <w:rPr>
                <w:rFonts w:ascii="Cambria" w:eastAsia="Calibri" w:hAnsi="Cambria" w:cs="Calibri"/>
                <w:lang w:val="hr-HR"/>
              </w:rPr>
              <w:t>Uvanović</w:t>
            </w:r>
            <w:proofErr w:type="spellEnd"/>
            <w:r w:rsidRPr="00DF4CE5">
              <w:rPr>
                <w:rFonts w:ascii="Cambria" w:eastAsia="Calibri" w:hAnsi="Cambria" w:cs="Calibri"/>
                <w:lang w:val="hr-HR"/>
              </w:rPr>
              <w:t xml:space="preserve">, </w:t>
            </w:r>
            <w:proofErr w:type="spellStart"/>
            <w:r w:rsidRPr="00DF4CE5">
              <w:rPr>
                <w:rFonts w:ascii="Cambria" w:eastAsia="Calibri" w:hAnsi="Cambria" w:cs="Calibri"/>
                <w:lang w:val="hr-HR"/>
              </w:rPr>
              <w:t>Ž.Književnost</w:t>
            </w:r>
            <w:proofErr w:type="spellEnd"/>
            <w:r w:rsidRPr="00DF4CE5">
              <w:rPr>
                <w:rFonts w:ascii="Cambria" w:eastAsia="Calibri" w:hAnsi="Cambria" w:cs="Calibri"/>
                <w:lang w:val="hr-HR"/>
              </w:rPr>
              <w:t xml:space="preserve"> i film : teorija filmske ekranizacije književnosti s primjerima iz hrvatske i svjetske književnosti, Matica hrvatska, Osijek, 2009. </w:t>
            </w:r>
          </w:p>
          <w:p w14:paraId="10B453C6" w14:textId="77777777" w:rsidR="00DB76CD" w:rsidRPr="00DF4CE5" w:rsidRDefault="00DB76CD" w:rsidP="00A034E3">
            <w:pPr>
              <w:numPr>
                <w:ilvl w:val="0"/>
                <w:numId w:val="13"/>
              </w:numPr>
              <w:spacing w:after="0"/>
              <w:ind w:left="431"/>
              <w:contextualSpacing/>
              <w:jc w:val="both"/>
              <w:rPr>
                <w:rFonts w:ascii="Cambria" w:eastAsia="Calibri" w:hAnsi="Cambria" w:cs="Calibri"/>
                <w:lang w:val="hr-HR"/>
              </w:rPr>
            </w:pPr>
            <w:r w:rsidRPr="00DF4CE5">
              <w:rPr>
                <w:rFonts w:ascii="Cambria" w:eastAsia="Calibri" w:hAnsi="Cambria" w:cs="Calibri"/>
                <w:lang w:val="hr-HR"/>
              </w:rPr>
              <w:t xml:space="preserve">Vučković, D., Metodički pristup književnome djelu i njegovoj filmskoj </w:t>
            </w:r>
            <w:proofErr w:type="spellStart"/>
            <w:r w:rsidRPr="00DF4CE5">
              <w:rPr>
                <w:rFonts w:ascii="Cambria" w:eastAsia="Calibri" w:hAnsi="Cambria" w:cs="Calibri"/>
                <w:lang w:val="hr-HR"/>
              </w:rPr>
              <w:t>adaptacijiu</w:t>
            </w:r>
            <w:proofErr w:type="spellEnd"/>
            <w:r w:rsidRPr="00DF4CE5">
              <w:rPr>
                <w:rFonts w:ascii="Cambria" w:eastAsia="Calibri" w:hAnsi="Cambria" w:cs="Calibri"/>
                <w:lang w:val="hr-HR"/>
              </w:rPr>
              <w:t xml:space="preserve"> nižim razredima osnovne škole u Crnoj Gori, </w:t>
            </w:r>
            <w:proofErr w:type="spellStart"/>
            <w:r w:rsidRPr="00DF4CE5">
              <w:rPr>
                <w:rFonts w:ascii="Cambria" w:eastAsia="Calibri" w:hAnsi="Cambria" w:cs="Calibri"/>
                <w:lang w:val="hr-HR"/>
              </w:rPr>
              <w:t>The</w:t>
            </w:r>
            <w:proofErr w:type="spellEnd"/>
            <w:r w:rsidRPr="00DF4CE5">
              <w:rPr>
                <w:rFonts w:ascii="Cambria" w:eastAsia="Calibri" w:hAnsi="Cambria" w:cs="Calibri"/>
                <w:lang w:val="hr-HR"/>
              </w:rPr>
              <w:t xml:space="preserve"> </w:t>
            </w:r>
            <w:proofErr w:type="spellStart"/>
            <w:r w:rsidRPr="00DF4CE5">
              <w:rPr>
                <w:rFonts w:ascii="Cambria" w:eastAsia="Calibri" w:hAnsi="Cambria" w:cs="Calibri"/>
                <w:lang w:val="hr-HR"/>
              </w:rPr>
              <w:t>Faculty</w:t>
            </w:r>
            <w:proofErr w:type="spellEnd"/>
            <w:r w:rsidRPr="00DF4CE5">
              <w:rPr>
                <w:rFonts w:ascii="Cambria" w:eastAsia="Calibri" w:hAnsi="Cambria" w:cs="Calibri"/>
                <w:lang w:val="hr-HR"/>
              </w:rPr>
              <w:t xml:space="preserve"> </w:t>
            </w:r>
            <w:proofErr w:type="spellStart"/>
            <w:r w:rsidRPr="00DF4CE5">
              <w:rPr>
                <w:rFonts w:ascii="Cambria" w:eastAsia="Calibri" w:hAnsi="Cambria" w:cs="Calibri"/>
                <w:lang w:val="hr-HR"/>
              </w:rPr>
              <w:t>of</w:t>
            </w:r>
            <w:proofErr w:type="spellEnd"/>
            <w:r w:rsidRPr="00DF4CE5">
              <w:rPr>
                <w:rFonts w:ascii="Cambria" w:eastAsia="Calibri" w:hAnsi="Cambria" w:cs="Calibri"/>
                <w:lang w:val="hr-HR"/>
              </w:rPr>
              <w:t xml:space="preserve"> </w:t>
            </w:r>
            <w:proofErr w:type="spellStart"/>
            <w:r w:rsidRPr="00DF4CE5">
              <w:rPr>
                <w:rFonts w:ascii="Cambria" w:eastAsia="Calibri" w:hAnsi="Cambria" w:cs="Calibri"/>
                <w:lang w:val="hr-HR"/>
              </w:rPr>
              <w:t>Teacher</w:t>
            </w:r>
            <w:proofErr w:type="spellEnd"/>
            <w:r w:rsidRPr="00DF4CE5">
              <w:rPr>
                <w:rFonts w:ascii="Cambria" w:eastAsia="Calibri" w:hAnsi="Cambria" w:cs="Calibri"/>
                <w:lang w:val="hr-HR"/>
              </w:rPr>
              <w:t xml:space="preserve"> </w:t>
            </w:r>
            <w:proofErr w:type="spellStart"/>
            <w:r w:rsidRPr="00DF4CE5">
              <w:rPr>
                <w:rFonts w:ascii="Cambria" w:eastAsia="Calibri" w:hAnsi="Cambria" w:cs="Calibri"/>
                <w:lang w:val="hr-HR"/>
              </w:rPr>
              <w:t>Education</w:t>
            </w:r>
            <w:proofErr w:type="spellEnd"/>
            <w:r w:rsidRPr="00DF4CE5">
              <w:rPr>
                <w:rFonts w:ascii="Cambria" w:eastAsia="Calibri" w:hAnsi="Cambria" w:cs="Calibri"/>
                <w:lang w:val="hr-HR"/>
              </w:rPr>
              <w:t xml:space="preserve"> University </w:t>
            </w:r>
            <w:proofErr w:type="spellStart"/>
            <w:r w:rsidRPr="00DF4CE5">
              <w:rPr>
                <w:rFonts w:ascii="Cambria" w:eastAsia="Calibri" w:hAnsi="Cambria" w:cs="Calibri"/>
                <w:lang w:val="hr-HR"/>
              </w:rPr>
              <w:t>of</w:t>
            </w:r>
            <w:proofErr w:type="spellEnd"/>
            <w:r w:rsidRPr="00DF4CE5">
              <w:rPr>
                <w:rFonts w:ascii="Cambria" w:eastAsia="Calibri" w:hAnsi="Cambria" w:cs="Calibri"/>
                <w:lang w:val="hr-HR"/>
              </w:rPr>
              <w:t xml:space="preserve"> Zagreb </w:t>
            </w:r>
            <w:proofErr w:type="spellStart"/>
            <w:r w:rsidRPr="00DF4CE5">
              <w:rPr>
                <w:rFonts w:ascii="Cambria" w:eastAsia="Calibri" w:hAnsi="Cambria" w:cs="Calibri"/>
                <w:lang w:val="hr-HR"/>
              </w:rPr>
              <w:t>Conference</w:t>
            </w:r>
            <w:proofErr w:type="spellEnd"/>
            <w:r w:rsidRPr="00DF4CE5">
              <w:rPr>
                <w:rFonts w:ascii="Cambria" w:eastAsia="Calibri" w:hAnsi="Cambria" w:cs="Calibri"/>
                <w:lang w:val="hr-HR"/>
              </w:rPr>
              <w:t xml:space="preserve"> –</w:t>
            </w:r>
          </w:p>
          <w:p w14:paraId="70FE8EA5" w14:textId="77777777" w:rsidR="00DB76CD" w:rsidRPr="00DF4CE5" w:rsidRDefault="00DB76CD" w:rsidP="00A034E3">
            <w:pPr>
              <w:numPr>
                <w:ilvl w:val="0"/>
                <w:numId w:val="13"/>
              </w:numPr>
              <w:spacing w:after="0"/>
              <w:ind w:left="431"/>
              <w:contextualSpacing/>
              <w:jc w:val="both"/>
              <w:rPr>
                <w:rFonts w:ascii="Cambria" w:eastAsia="Calibri" w:hAnsi="Cambria" w:cs="Calibri"/>
                <w:lang w:val="hr-HR"/>
              </w:rPr>
            </w:pPr>
            <w:proofErr w:type="spellStart"/>
            <w:r w:rsidRPr="00DF4CE5">
              <w:rPr>
                <w:rFonts w:ascii="Cambria" w:eastAsia="Calibri" w:hAnsi="Cambria" w:cs="Calibri"/>
                <w:lang w:val="hr-HR"/>
              </w:rPr>
              <w:t>Researching</w:t>
            </w:r>
            <w:proofErr w:type="spellEnd"/>
            <w:r w:rsidRPr="00DF4CE5">
              <w:rPr>
                <w:rFonts w:ascii="Cambria" w:eastAsia="Calibri" w:hAnsi="Cambria" w:cs="Calibri"/>
                <w:lang w:val="hr-HR"/>
              </w:rPr>
              <w:t xml:space="preserve"> </w:t>
            </w:r>
            <w:proofErr w:type="spellStart"/>
            <w:r w:rsidRPr="00DF4CE5">
              <w:rPr>
                <w:rFonts w:ascii="Cambria" w:eastAsia="Calibri" w:hAnsi="Cambria" w:cs="Calibri"/>
                <w:lang w:val="hr-HR"/>
              </w:rPr>
              <w:t>Paradigms</w:t>
            </w:r>
            <w:proofErr w:type="spellEnd"/>
            <w:r w:rsidRPr="00DF4CE5">
              <w:rPr>
                <w:rFonts w:ascii="Cambria" w:eastAsia="Calibri" w:hAnsi="Cambria" w:cs="Calibri"/>
                <w:lang w:val="hr-HR"/>
              </w:rPr>
              <w:t xml:space="preserve"> </w:t>
            </w:r>
            <w:proofErr w:type="spellStart"/>
            <w:r w:rsidRPr="00DF4CE5">
              <w:rPr>
                <w:rFonts w:ascii="Cambria" w:eastAsia="Calibri" w:hAnsi="Cambria" w:cs="Calibri"/>
                <w:lang w:val="hr-HR"/>
              </w:rPr>
              <w:t>of</w:t>
            </w:r>
            <w:proofErr w:type="spellEnd"/>
            <w:r w:rsidRPr="00DF4CE5">
              <w:rPr>
                <w:rFonts w:ascii="Cambria" w:eastAsia="Calibri" w:hAnsi="Cambria" w:cs="Calibri"/>
                <w:lang w:val="hr-HR"/>
              </w:rPr>
              <w:t xml:space="preserve"> </w:t>
            </w:r>
            <w:proofErr w:type="spellStart"/>
            <w:r w:rsidRPr="00DF4CE5">
              <w:rPr>
                <w:rFonts w:ascii="Cambria" w:eastAsia="Calibri" w:hAnsi="Cambria" w:cs="Calibri"/>
                <w:lang w:val="hr-HR"/>
              </w:rPr>
              <w:t>Childhood</w:t>
            </w:r>
            <w:proofErr w:type="spellEnd"/>
            <w:r w:rsidRPr="00DF4CE5">
              <w:rPr>
                <w:rFonts w:ascii="Cambria" w:eastAsia="Calibri" w:hAnsi="Cambria" w:cs="Calibri"/>
                <w:lang w:val="hr-HR"/>
              </w:rPr>
              <w:t xml:space="preserve"> </w:t>
            </w:r>
            <w:proofErr w:type="spellStart"/>
            <w:r w:rsidRPr="00DF4CE5">
              <w:rPr>
                <w:rFonts w:ascii="Cambria" w:eastAsia="Calibri" w:hAnsi="Cambria" w:cs="Calibri"/>
                <w:lang w:val="hr-HR"/>
              </w:rPr>
              <w:t>and</w:t>
            </w:r>
            <w:proofErr w:type="spellEnd"/>
            <w:r w:rsidRPr="00DF4CE5">
              <w:rPr>
                <w:rFonts w:ascii="Cambria" w:eastAsia="Calibri" w:hAnsi="Cambria" w:cs="Calibri"/>
                <w:lang w:val="hr-HR"/>
              </w:rPr>
              <w:t xml:space="preserve"> </w:t>
            </w:r>
            <w:proofErr w:type="spellStart"/>
            <w:r w:rsidRPr="00DF4CE5">
              <w:rPr>
                <w:rFonts w:ascii="Cambria" w:eastAsia="Calibri" w:hAnsi="Cambria" w:cs="Calibri"/>
                <w:lang w:val="hr-HR"/>
              </w:rPr>
              <w:t>Education</w:t>
            </w:r>
            <w:proofErr w:type="spellEnd"/>
            <w:r w:rsidRPr="00DF4CE5">
              <w:rPr>
                <w:rFonts w:ascii="Cambria" w:eastAsia="Calibri" w:hAnsi="Cambria" w:cs="Calibri"/>
                <w:lang w:val="hr-HR"/>
              </w:rPr>
              <w:t xml:space="preserve"> – UFZG2015, Opatija, 2015.,101-122</w:t>
            </w:r>
          </w:p>
          <w:p w14:paraId="70B34739" w14:textId="77777777" w:rsidR="00DB76CD" w:rsidRPr="00DF4CE5" w:rsidRDefault="00DB76CD" w:rsidP="00A034E3">
            <w:pPr>
              <w:numPr>
                <w:ilvl w:val="0"/>
                <w:numId w:val="13"/>
              </w:numPr>
              <w:spacing w:after="0"/>
              <w:ind w:left="431"/>
              <w:contextualSpacing/>
              <w:jc w:val="both"/>
              <w:rPr>
                <w:rFonts w:ascii="Cambria" w:eastAsia="Calibri" w:hAnsi="Cambria" w:cs="Calibri"/>
                <w:lang w:val="hr-HR"/>
              </w:rPr>
            </w:pPr>
            <w:proofErr w:type="spellStart"/>
            <w:r w:rsidRPr="00DF4CE5">
              <w:rPr>
                <w:rFonts w:ascii="Cambria" w:eastAsia="Calibri" w:hAnsi="Cambria" w:cs="Calibri"/>
                <w:lang w:val="hr-HR"/>
              </w:rPr>
              <w:t>Vukonić</w:t>
            </w:r>
            <w:proofErr w:type="spellEnd"/>
            <w:r w:rsidRPr="00DF4CE5">
              <w:rPr>
                <w:rFonts w:ascii="Cambria" w:eastAsia="Calibri" w:hAnsi="Cambria" w:cs="Calibri"/>
                <w:lang w:val="hr-HR"/>
              </w:rPr>
              <w:t xml:space="preserve">-Žunić, J., Delaš, B., Lutkarski medij u školi: priručnik za učitelje i voditelje lutkarskih družina, Školska knjiga, Zagreb, 2006. </w:t>
            </w:r>
          </w:p>
          <w:p w14:paraId="76A99202" w14:textId="782C3F48" w:rsidR="00DB76CD" w:rsidRPr="00B64772" w:rsidRDefault="00DB76CD" w:rsidP="00A034E3">
            <w:pPr>
              <w:numPr>
                <w:ilvl w:val="0"/>
                <w:numId w:val="13"/>
              </w:numPr>
              <w:spacing w:after="0"/>
              <w:ind w:left="431"/>
              <w:contextualSpacing/>
              <w:jc w:val="both"/>
              <w:rPr>
                <w:rFonts w:ascii="Cambria" w:eastAsia="Calibri" w:hAnsi="Cambria" w:cs="Calibri"/>
                <w:lang w:val="hr-HR"/>
              </w:rPr>
            </w:pPr>
            <w:r w:rsidRPr="00DF4CE5">
              <w:rPr>
                <w:rFonts w:ascii="Cambria" w:eastAsia="Calibri" w:hAnsi="Cambria" w:cs="Calibri"/>
                <w:lang w:val="hr-HR"/>
              </w:rPr>
              <w:t xml:space="preserve">Žderić, J., Medijska kultura djece i mladih – mogućnosti i zamke, Sretna knjiga, Zagreb, 2009. </w:t>
            </w:r>
          </w:p>
          <w:p w14:paraId="62534C10" w14:textId="77777777" w:rsidR="00DB76CD" w:rsidRPr="00DF4CE5" w:rsidRDefault="00DB76CD" w:rsidP="00DB76CD">
            <w:pPr>
              <w:spacing w:after="0"/>
              <w:jc w:val="both"/>
              <w:rPr>
                <w:rFonts w:ascii="Cambria" w:eastAsia="Calibri" w:hAnsi="Cambria" w:cs="Calibri"/>
                <w:lang w:val="hr-HR"/>
              </w:rPr>
            </w:pPr>
            <w:r w:rsidRPr="00DF4CE5">
              <w:rPr>
                <w:rFonts w:ascii="Cambria" w:eastAsia="Calibri" w:hAnsi="Cambria" w:cs="Calibri"/>
                <w:lang w:val="hr-HR"/>
              </w:rPr>
              <w:t>Priručna:</w:t>
            </w:r>
          </w:p>
          <w:p w14:paraId="3099ED09" w14:textId="77777777" w:rsidR="00DB76CD" w:rsidRPr="00DF4CE5" w:rsidRDefault="00DB76CD" w:rsidP="00A034E3">
            <w:pPr>
              <w:numPr>
                <w:ilvl w:val="0"/>
                <w:numId w:val="14"/>
              </w:numPr>
              <w:spacing w:after="0"/>
              <w:ind w:left="431"/>
              <w:contextualSpacing/>
              <w:jc w:val="both"/>
              <w:rPr>
                <w:rFonts w:ascii="Cambria" w:eastAsia="Calibri" w:hAnsi="Cambria" w:cs="Calibri"/>
                <w:lang w:val="hr-HR"/>
              </w:rPr>
            </w:pPr>
            <w:r w:rsidRPr="00DF4CE5">
              <w:rPr>
                <w:rFonts w:ascii="Cambria" w:eastAsia="Calibri" w:hAnsi="Cambria" w:cs="Calibri"/>
                <w:lang w:val="hr-HR"/>
              </w:rPr>
              <w:t>Filmski leksikon (http://film.lzmk.hr/)</w:t>
            </w:r>
          </w:p>
          <w:p w14:paraId="1C274957" w14:textId="77777777" w:rsidR="00DB76CD" w:rsidRPr="00DF4CE5" w:rsidRDefault="00DB76CD" w:rsidP="00A034E3">
            <w:pPr>
              <w:numPr>
                <w:ilvl w:val="0"/>
                <w:numId w:val="14"/>
              </w:numPr>
              <w:spacing w:after="0"/>
              <w:ind w:left="431"/>
              <w:contextualSpacing/>
              <w:jc w:val="both"/>
              <w:rPr>
                <w:rFonts w:ascii="Cambria" w:eastAsia="Calibri" w:hAnsi="Cambria" w:cs="Calibri"/>
                <w:lang w:val="hr-HR"/>
              </w:rPr>
            </w:pPr>
            <w:r w:rsidRPr="00DF4CE5">
              <w:rPr>
                <w:rFonts w:ascii="Cambria" w:eastAsia="Calibri" w:hAnsi="Cambria" w:cs="Calibri"/>
                <w:lang w:val="hr-HR"/>
              </w:rPr>
              <w:t>https://www.medijskapismenost.hr/</w:t>
            </w:r>
          </w:p>
        </w:tc>
      </w:tr>
    </w:tbl>
    <w:p w14:paraId="5896ACE7" w14:textId="77777777" w:rsidR="005A04F3" w:rsidRPr="00DF4CE5" w:rsidRDefault="005A04F3" w:rsidP="008B34AF">
      <w:pPr>
        <w:jc w:val="both"/>
        <w:rPr>
          <w:rFonts w:ascii="Cambria" w:hAnsi="Cambria"/>
          <w:lang w:val="hr-HR"/>
        </w:rPr>
      </w:pPr>
    </w:p>
    <w:p w14:paraId="277400A5" w14:textId="77777777" w:rsidR="005A04F3" w:rsidRPr="00DF4CE5" w:rsidRDefault="005A04F3" w:rsidP="008B34AF">
      <w:pPr>
        <w:jc w:val="both"/>
        <w:rPr>
          <w:rFonts w:ascii="Cambria" w:hAnsi="Cambria"/>
          <w:lang w:val="hr-HR"/>
        </w:rPr>
      </w:pPr>
    </w:p>
    <w:p w14:paraId="284994E8" w14:textId="679321E8" w:rsidR="001421C4" w:rsidRDefault="001421C4">
      <w:pPr>
        <w:rPr>
          <w:rFonts w:ascii="Cambria" w:hAnsi="Cambria"/>
          <w:lang w:val="hr-HR"/>
        </w:rPr>
      </w:pPr>
      <w:r>
        <w:rPr>
          <w:rFonts w:ascii="Cambria" w:hAnsi="Cambria"/>
          <w:lang w:val="hr-HR"/>
        </w:rPr>
        <w:br w:type="page"/>
      </w:r>
    </w:p>
    <w:tbl>
      <w:tblPr>
        <w:tblStyle w:val="TableNormal"/>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610"/>
        <w:gridCol w:w="2475"/>
        <w:gridCol w:w="105"/>
        <w:gridCol w:w="1095"/>
        <w:gridCol w:w="270"/>
        <w:gridCol w:w="450"/>
        <w:gridCol w:w="1005"/>
        <w:gridCol w:w="1335"/>
      </w:tblGrid>
      <w:tr w:rsidR="001421C4" w:rsidRPr="001421C4" w14:paraId="4C613124" w14:textId="77777777" w:rsidTr="00450B7A">
        <w:tc>
          <w:tcPr>
            <w:tcW w:w="9345" w:type="dxa"/>
            <w:gridSpan w:val="8"/>
            <w:shd w:val="clear" w:color="auto" w:fill="F3F3F3"/>
            <w:vAlign w:val="center"/>
            <w:hideMark/>
          </w:tcPr>
          <w:p w14:paraId="29D430CF" w14:textId="77777777" w:rsidR="001421C4" w:rsidRPr="001421C4" w:rsidRDefault="001421C4" w:rsidP="00450B7A">
            <w:pPr>
              <w:jc w:val="right"/>
              <w:rPr>
                <w:rFonts w:ascii="Cambria" w:eastAsia="Calibri" w:hAnsi="Cambria" w:cs="Calibri"/>
                <w:b/>
                <w:sz w:val="22"/>
                <w:szCs w:val="22"/>
              </w:rPr>
            </w:pPr>
            <w:r w:rsidRPr="001421C4">
              <w:rPr>
                <w:rFonts w:ascii="Cambria" w:eastAsia="Calibri" w:hAnsi="Cambria" w:cs="Calibri"/>
                <w:b/>
                <w:sz w:val="22"/>
                <w:szCs w:val="22"/>
              </w:rPr>
              <w:lastRenderedPageBreak/>
              <w:t>IZVEDBENI PLAN NASTAVE KOLEGIJA</w:t>
            </w:r>
          </w:p>
        </w:tc>
      </w:tr>
      <w:tr w:rsidR="001421C4" w:rsidRPr="001421C4" w14:paraId="24232FB6" w14:textId="77777777" w:rsidTr="00450B7A">
        <w:tc>
          <w:tcPr>
            <w:tcW w:w="2610" w:type="dxa"/>
            <w:shd w:val="clear" w:color="auto" w:fill="F3F3F3"/>
            <w:vAlign w:val="center"/>
            <w:hideMark/>
          </w:tcPr>
          <w:p w14:paraId="47A717E8" w14:textId="77777777" w:rsidR="001421C4" w:rsidRPr="001421C4" w:rsidRDefault="001421C4" w:rsidP="00450B7A">
            <w:pPr>
              <w:rPr>
                <w:rFonts w:ascii="Cambria" w:eastAsia="Calibri" w:hAnsi="Cambria" w:cs="Calibri"/>
                <w:sz w:val="22"/>
                <w:szCs w:val="22"/>
              </w:rPr>
            </w:pPr>
            <w:proofErr w:type="spellStart"/>
            <w:r w:rsidRPr="001421C4">
              <w:rPr>
                <w:rFonts w:ascii="Cambria" w:eastAsia="Calibri" w:hAnsi="Cambria" w:cs="Calibri"/>
                <w:sz w:val="22"/>
                <w:szCs w:val="22"/>
              </w:rPr>
              <w:t>Kod</w:t>
            </w:r>
            <w:proofErr w:type="spellEnd"/>
            <w:r w:rsidRPr="001421C4">
              <w:rPr>
                <w:rFonts w:ascii="Cambria" w:eastAsia="Calibri" w:hAnsi="Cambria" w:cs="Calibri"/>
                <w:sz w:val="22"/>
                <w:szCs w:val="22"/>
              </w:rPr>
              <w:t xml:space="preserve"> </w:t>
            </w:r>
            <w:proofErr w:type="spellStart"/>
            <w:r w:rsidRPr="001421C4">
              <w:rPr>
                <w:rFonts w:ascii="Cambria" w:eastAsia="Calibri" w:hAnsi="Cambria" w:cs="Calibri"/>
                <w:sz w:val="22"/>
                <w:szCs w:val="22"/>
              </w:rPr>
              <w:t>i</w:t>
            </w:r>
            <w:proofErr w:type="spellEnd"/>
            <w:r w:rsidRPr="001421C4">
              <w:rPr>
                <w:rFonts w:ascii="Cambria" w:eastAsia="Calibri" w:hAnsi="Cambria" w:cs="Calibri"/>
                <w:sz w:val="22"/>
                <w:szCs w:val="22"/>
              </w:rPr>
              <w:t xml:space="preserve"> </w:t>
            </w:r>
            <w:proofErr w:type="spellStart"/>
            <w:r w:rsidRPr="001421C4">
              <w:rPr>
                <w:rFonts w:ascii="Cambria" w:eastAsia="Calibri" w:hAnsi="Cambria" w:cs="Calibri"/>
                <w:sz w:val="22"/>
                <w:szCs w:val="22"/>
              </w:rPr>
              <w:t>naziv</w:t>
            </w:r>
            <w:proofErr w:type="spellEnd"/>
            <w:r w:rsidRPr="001421C4">
              <w:rPr>
                <w:rFonts w:ascii="Cambria" w:eastAsia="Calibri" w:hAnsi="Cambria" w:cs="Calibri"/>
                <w:sz w:val="22"/>
                <w:szCs w:val="22"/>
              </w:rPr>
              <w:t xml:space="preserve"> </w:t>
            </w:r>
            <w:proofErr w:type="spellStart"/>
            <w:r w:rsidRPr="001421C4">
              <w:rPr>
                <w:rFonts w:ascii="Cambria" w:eastAsia="Calibri" w:hAnsi="Cambria" w:cs="Calibri"/>
                <w:sz w:val="22"/>
                <w:szCs w:val="22"/>
              </w:rPr>
              <w:t>kolegija</w:t>
            </w:r>
            <w:proofErr w:type="spellEnd"/>
          </w:p>
        </w:tc>
        <w:tc>
          <w:tcPr>
            <w:tcW w:w="6735" w:type="dxa"/>
            <w:gridSpan w:val="7"/>
            <w:vAlign w:val="center"/>
          </w:tcPr>
          <w:p w14:paraId="704CF359" w14:textId="77777777" w:rsidR="001421C4" w:rsidRPr="001421C4" w:rsidRDefault="001421C4" w:rsidP="00450B7A">
            <w:pPr>
              <w:rPr>
                <w:rFonts w:ascii="Cambria" w:eastAsia="Calibri" w:hAnsi="Cambria" w:cs="Calibri"/>
                <w:sz w:val="22"/>
                <w:szCs w:val="22"/>
              </w:rPr>
            </w:pPr>
          </w:p>
          <w:p w14:paraId="532095E4" w14:textId="77777777" w:rsidR="001421C4" w:rsidRPr="001421C4" w:rsidRDefault="001421C4" w:rsidP="00450B7A">
            <w:pPr>
              <w:rPr>
                <w:rFonts w:ascii="Cambria" w:eastAsia="Calibri" w:hAnsi="Cambria" w:cs="Calibri"/>
                <w:sz w:val="22"/>
                <w:szCs w:val="22"/>
              </w:rPr>
            </w:pPr>
            <w:proofErr w:type="spellStart"/>
            <w:r w:rsidRPr="001421C4">
              <w:rPr>
                <w:rFonts w:ascii="Cambria" w:eastAsia="Calibri" w:hAnsi="Cambria" w:cs="Calibri"/>
                <w:sz w:val="22"/>
                <w:szCs w:val="22"/>
              </w:rPr>
              <w:t>Osnove</w:t>
            </w:r>
            <w:proofErr w:type="spellEnd"/>
            <w:r w:rsidRPr="001421C4">
              <w:rPr>
                <w:rFonts w:ascii="Cambria" w:eastAsia="Calibri" w:hAnsi="Cambria" w:cs="Calibri"/>
                <w:sz w:val="22"/>
                <w:szCs w:val="22"/>
              </w:rPr>
              <w:t xml:space="preserve"> </w:t>
            </w:r>
            <w:proofErr w:type="spellStart"/>
            <w:r w:rsidRPr="001421C4">
              <w:rPr>
                <w:rFonts w:ascii="Cambria" w:eastAsia="Calibri" w:hAnsi="Cambria" w:cs="Calibri"/>
                <w:sz w:val="22"/>
                <w:szCs w:val="22"/>
              </w:rPr>
              <w:t>ekologije</w:t>
            </w:r>
            <w:proofErr w:type="spellEnd"/>
          </w:p>
        </w:tc>
      </w:tr>
      <w:tr w:rsidR="001421C4" w:rsidRPr="001421C4" w14:paraId="4A2D8B2F" w14:textId="77777777" w:rsidTr="00450B7A">
        <w:tc>
          <w:tcPr>
            <w:tcW w:w="2610" w:type="dxa"/>
            <w:shd w:val="clear" w:color="auto" w:fill="F3F3F3"/>
            <w:vAlign w:val="center"/>
            <w:hideMark/>
          </w:tcPr>
          <w:p w14:paraId="74EA1176" w14:textId="77777777" w:rsidR="001421C4" w:rsidRPr="001421C4" w:rsidRDefault="001421C4" w:rsidP="00450B7A">
            <w:pPr>
              <w:rPr>
                <w:rFonts w:ascii="Cambria" w:eastAsia="Calibri" w:hAnsi="Cambria" w:cs="Calibri"/>
                <w:sz w:val="22"/>
                <w:szCs w:val="22"/>
              </w:rPr>
            </w:pPr>
            <w:proofErr w:type="spellStart"/>
            <w:r w:rsidRPr="001421C4">
              <w:rPr>
                <w:rFonts w:ascii="Cambria" w:eastAsia="Calibri" w:hAnsi="Cambria" w:cs="Calibri"/>
                <w:sz w:val="22"/>
                <w:szCs w:val="22"/>
              </w:rPr>
              <w:t>Nastavnik</w:t>
            </w:r>
            <w:proofErr w:type="spellEnd"/>
          </w:p>
        </w:tc>
        <w:tc>
          <w:tcPr>
            <w:tcW w:w="6735" w:type="dxa"/>
            <w:gridSpan w:val="7"/>
            <w:vAlign w:val="center"/>
            <w:hideMark/>
          </w:tcPr>
          <w:p w14:paraId="52ACCC7C" w14:textId="4AD9BAF9" w:rsidR="001421C4" w:rsidRPr="001421C4" w:rsidRDefault="001421C4" w:rsidP="00450B7A">
            <w:pPr>
              <w:pStyle w:val="StandardWeb"/>
              <w:snapToGrid w:val="0"/>
              <w:rPr>
                <w:rFonts w:ascii="Cambria" w:hAnsi="Cambria" w:cs="Calibri"/>
                <w:bCs/>
                <w:sz w:val="22"/>
                <w:szCs w:val="22"/>
              </w:rPr>
            </w:pPr>
            <w:hyperlink r:id="rId103" w:history="1">
              <w:r w:rsidRPr="001421C4">
                <w:rPr>
                  <w:rStyle w:val="Hiperveza"/>
                  <w:rFonts w:ascii="Cambria" w:hAnsi="Cambria" w:cs="Calibri"/>
                  <w:bCs/>
                  <w:sz w:val="22"/>
                  <w:szCs w:val="22"/>
                </w:rPr>
                <w:t xml:space="preserve">Prof. dr. sc. Mauro </w:t>
              </w:r>
              <w:proofErr w:type="spellStart"/>
              <w:r w:rsidRPr="001421C4">
                <w:rPr>
                  <w:rStyle w:val="Hiperveza"/>
                  <w:rFonts w:ascii="Cambria" w:hAnsi="Cambria" w:cs="Calibri"/>
                  <w:bCs/>
                  <w:sz w:val="22"/>
                  <w:szCs w:val="22"/>
                </w:rPr>
                <w:t>Štifanić</w:t>
              </w:r>
              <w:proofErr w:type="spellEnd"/>
              <w:r w:rsidRPr="001421C4">
                <w:rPr>
                  <w:rStyle w:val="Hiperveza"/>
                  <w:rFonts w:ascii="Cambria" w:hAnsi="Cambria" w:cs="Calibri"/>
                  <w:bCs/>
                  <w:sz w:val="22"/>
                  <w:szCs w:val="22"/>
                </w:rPr>
                <w:t xml:space="preserve"> </w:t>
              </w:r>
            </w:hyperlink>
            <w:r>
              <w:rPr>
                <w:rFonts w:ascii="Cambria" w:hAnsi="Cambria" w:cs="Calibri"/>
                <w:bCs/>
                <w:sz w:val="22"/>
                <w:szCs w:val="22"/>
              </w:rPr>
              <w:t xml:space="preserve"> (nositelj)</w:t>
            </w:r>
          </w:p>
        </w:tc>
      </w:tr>
      <w:tr w:rsidR="001421C4" w:rsidRPr="001421C4" w14:paraId="07DC8AD9" w14:textId="77777777" w:rsidTr="00450B7A">
        <w:tc>
          <w:tcPr>
            <w:tcW w:w="2610" w:type="dxa"/>
            <w:shd w:val="clear" w:color="auto" w:fill="F3F3F3"/>
            <w:vAlign w:val="center"/>
            <w:hideMark/>
          </w:tcPr>
          <w:p w14:paraId="5041779E" w14:textId="77777777" w:rsidR="001421C4" w:rsidRPr="001421C4" w:rsidRDefault="001421C4" w:rsidP="00450B7A">
            <w:pPr>
              <w:rPr>
                <w:rFonts w:ascii="Cambria" w:eastAsia="Calibri" w:hAnsi="Cambria" w:cs="Calibri"/>
                <w:sz w:val="22"/>
                <w:szCs w:val="22"/>
              </w:rPr>
            </w:pPr>
            <w:proofErr w:type="spellStart"/>
            <w:r w:rsidRPr="001421C4">
              <w:rPr>
                <w:rFonts w:ascii="Cambria" w:eastAsia="Calibri" w:hAnsi="Cambria" w:cs="Calibri"/>
                <w:sz w:val="22"/>
                <w:szCs w:val="22"/>
              </w:rPr>
              <w:t>Studijski</w:t>
            </w:r>
            <w:proofErr w:type="spellEnd"/>
            <w:r w:rsidRPr="001421C4">
              <w:rPr>
                <w:rFonts w:ascii="Cambria" w:eastAsia="Calibri" w:hAnsi="Cambria" w:cs="Calibri"/>
                <w:sz w:val="22"/>
                <w:szCs w:val="22"/>
              </w:rPr>
              <w:t xml:space="preserve"> program</w:t>
            </w:r>
          </w:p>
        </w:tc>
        <w:tc>
          <w:tcPr>
            <w:tcW w:w="6735" w:type="dxa"/>
            <w:gridSpan w:val="7"/>
            <w:vAlign w:val="center"/>
            <w:hideMark/>
          </w:tcPr>
          <w:p w14:paraId="7A96D7AA" w14:textId="77777777" w:rsidR="001421C4" w:rsidRPr="001421C4" w:rsidRDefault="001421C4" w:rsidP="00450B7A">
            <w:pPr>
              <w:rPr>
                <w:rFonts w:ascii="Cambria" w:eastAsia="Calibri" w:hAnsi="Cambria" w:cs="Calibri"/>
                <w:sz w:val="22"/>
                <w:szCs w:val="22"/>
              </w:rPr>
            </w:pPr>
            <w:proofErr w:type="spellStart"/>
            <w:r w:rsidRPr="001421C4">
              <w:rPr>
                <w:rFonts w:ascii="Cambria" w:eastAsia="Calibri" w:hAnsi="Cambria" w:cs="Calibri"/>
                <w:sz w:val="22"/>
                <w:szCs w:val="22"/>
              </w:rPr>
              <w:t>Sveučilišni</w:t>
            </w:r>
            <w:proofErr w:type="spellEnd"/>
            <w:r w:rsidRPr="001421C4">
              <w:rPr>
                <w:rFonts w:ascii="Cambria" w:eastAsia="Calibri" w:hAnsi="Cambria" w:cs="Calibri"/>
                <w:sz w:val="22"/>
                <w:szCs w:val="22"/>
              </w:rPr>
              <w:t xml:space="preserve"> </w:t>
            </w:r>
            <w:proofErr w:type="spellStart"/>
            <w:r w:rsidRPr="001421C4">
              <w:rPr>
                <w:rFonts w:ascii="Cambria" w:eastAsia="Calibri" w:hAnsi="Cambria" w:cs="Calibri"/>
                <w:sz w:val="22"/>
                <w:szCs w:val="22"/>
              </w:rPr>
              <w:t>integrirani</w:t>
            </w:r>
            <w:proofErr w:type="spellEnd"/>
            <w:r w:rsidRPr="001421C4">
              <w:rPr>
                <w:rFonts w:ascii="Cambria" w:eastAsia="Calibri" w:hAnsi="Cambria" w:cs="Calibri"/>
                <w:sz w:val="22"/>
                <w:szCs w:val="22"/>
              </w:rPr>
              <w:t xml:space="preserve"> </w:t>
            </w:r>
            <w:proofErr w:type="spellStart"/>
            <w:r w:rsidRPr="001421C4">
              <w:rPr>
                <w:rFonts w:ascii="Cambria" w:eastAsia="Calibri" w:hAnsi="Cambria" w:cs="Calibri"/>
                <w:sz w:val="22"/>
                <w:szCs w:val="22"/>
              </w:rPr>
              <w:t>prijediplomski</w:t>
            </w:r>
            <w:proofErr w:type="spellEnd"/>
            <w:r w:rsidRPr="001421C4">
              <w:rPr>
                <w:rFonts w:ascii="Cambria" w:eastAsia="Calibri" w:hAnsi="Cambria" w:cs="Calibri"/>
                <w:sz w:val="22"/>
                <w:szCs w:val="22"/>
              </w:rPr>
              <w:t xml:space="preserve"> </w:t>
            </w:r>
            <w:proofErr w:type="spellStart"/>
            <w:r w:rsidRPr="001421C4">
              <w:rPr>
                <w:rFonts w:ascii="Cambria" w:eastAsia="Calibri" w:hAnsi="Cambria" w:cs="Calibri"/>
                <w:sz w:val="22"/>
                <w:szCs w:val="22"/>
              </w:rPr>
              <w:t>i</w:t>
            </w:r>
            <w:proofErr w:type="spellEnd"/>
            <w:r w:rsidRPr="001421C4">
              <w:rPr>
                <w:rFonts w:ascii="Cambria" w:eastAsia="Calibri" w:hAnsi="Cambria" w:cs="Calibri"/>
                <w:sz w:val="22"/>
                <w:szCs w:val="22"/>
              </w:rPr>
              <w:t xml:space="preserve"> </w:t>
            </w:r>
            <w:proofErr w:type="spellStart"/>
            <w:r w:rsidRPr="001421C4">
              <w:rPr>
                <w:rFonts w:ascii="Cambria" w:eastAsia="Calibri" w:hAnsi="Cambria" w:cs="Calibri"/>
                <w:sz w:val="22"/>
                <w:szCs w:val="22"/>
              </w:rPr>
              <w:t>diplomski</w:t>
            </w:r>
            <w:proofErr w:type="spellEnd"/>
            <w:r w:rsidRPr="001421C4">
              <w:rPr>
                <w:rFonts w:ascii="Cambria" w:eastAsia="Calibri" w:hAnsi="Cambria" w:cs="Calibri"/>
                <w:sz w:val="22"/>
                <w:szCs w:val="22"/>
              </w:rPr>
              <w:t xml:space="preserve"> </w:t>
            </w:r>
            <w:proofErr w:type="spellStart"/>
            <w:r w:rsidRPr="001421C4">
              <w:rPr>
                <w:rFonts w:ascii="Cambria" w:eastAsia="Calibri" w:hAnsi="Cambria" w:cs="Calibri"/>
                <w:sz w:val="22"/>
                <w:szCs w:val="22"/>
              </w:rPr>
              <w:t>Učiteljski</w:t>
            </w:r>
            <w:proofErr w:type="spellEnd"/>
            <w:r w:rsidRPr="001421C4">
              <w:rPr>
                <w:rFonts w:ascii="Cambria" w:eastAsia="Calibri" w:hAnsi="Cambria" w:cs="Calibri"/>
                <w:sz w:val="22"/>
                <w:szCs w:val="22"/>
              </w:rPr>
              <w:t xml:space="preserve"> </w:t>
            </w:r>
            <w:proofErr w:type="spellStart"/>
            <w:r w:rsidRPr="001421C4">
              <w:rPr>
                <w:rFonts w:ascii="Cambria" w:eastAsia="Calibri" w:hAnsi="Cambria" w:cs="Calibri"/>
                <w:sz w:val="22"/>
                <w:szCs w:val="22"/>
              </w:rPr>
              <w:t>studij</w:t>
            </w:r>
            <w:proofErr w:type="spellEnd"/>
            <w:r w:rsidRPr="001421C4">
              <w:rPr>
                <w:rFonts w:ascii="Cambria" w:eastAsia="Calibri" w:hAnsi="Cambria" w:cs="Calibri"/>
                <w:sz w:val="22"/>
                <w:szCs w:val="22"/>
              </w:rPr>
              <w:t xml:space="preserve"> </w:t>
            </w:r>
            <w:proofErr w:type="spellStart"/>
            <w:r w:rsidRPr="001421C4">
              <w:rPr>
                <w:rFonts w:ascii="Cambria" w:eastAsia="Calibri" w:hAnsi="Cambria" w:cs="Calibri"/>
                <w:sz w:val="22"/>
                <w:szCs w:val="22"/>
              </w:rPr>
              <w:t>na</w:t>
            </w:r>
            <w:proofErr w:type="spellEnd"/>
            <w:r w:rsidRPr="001421C4">
              <w:rPr>
                <w:rFonts w:ascii="Cambria" w:eastAsia="Calibri" w:hAnsi="Cambria" w:cs="Calibri"/>
                <w:sz w:val="22"/>
                <w:szCs w:val="22"/>
              </w:rPr>
              <w:t xml:space="preserve"> </w:t>
            </w:r>
            <w:proofErr w:type="spellStart"/>
            <w:r w:rsidRPr="001421C4">
              <w:rPr>
                <w:rFonts w:ascii="Cambria" w:eastAsia="Calibri" w:hAnsi="Cambria" w:cs="Calibri"/>
                <w:sz w:val="22"/>
                <w:szCs w:val="22"/>
              </w:rPr>
              <w:t>hrvatskom</w:t>
            </w:r>
            <w:proofErr w:type="spellEnd"/>
            <w:r w:rsidRPr="001421C4">
              <w:rPr>
                <w:rFonts w:ascii="Cambria" w:eastAsia="Calibri" w:hAnsi="Cambria" w:cs="Calibri"/>
                <w:sz w:val="22"/>
                <w:szCs w:val="22"/>
              </w:rPr>
              <w:t xml:space="preserve"> </w:t>
            </w:r>
            <w:proofErr w:type="spellStart"/>
            <w:r w:rsidRPr="001421C4">
              <w:rPr>
                <w:rFonts w:ascii="Cambria" w:eastAsia="Calibri" w:hAnsi="Cambria" w:cs="Calibri"/>
                <w:sz w:val="22"/>
                <w:szCs w:val="22"/>
              </w:rPr>
              <w:t>jeziku</w:t>
            </w:r>
            <w:proofErr w:type="spellEnd"/>
          </w:p>
        </w:tc>
      </w:tr>
      <w:tr w:rsidR="001421C4" w:rsidRPr="001421C4" w14:paraId="293D3C61" w14:textId="77777777" w:rsidTr="00450B7A">
        <w:tc>
          <w:tcPr>
            <w:tcW w:w="2610" w:type="dxa"/>
            <w:shd w:val="clear" w:color="auto" w:fill="F3F3F3"/>
            <w:vAlign w:val="center"/>
            <w:hideMark/>
          </w:tcPr>
          <w:p w14:paraId="32C76480" w14:textId="77777777" w:rsidR="001421C4" w:rsidRPr="001421C4" w:rsidRDefault="001421C4" w:rsidP="00450B7A">
            <w:pPr>
              <w:rPr>
                <w:rFonts w:ascii="Cambria" w:eastAsia="Calibri" w:hAnsi="Cambria" w:cs="Calibri"/>
                <w:sz w:val="22"/>
                <w:szCs w:val="22"/>
              </w:rPr>
            </w:pPr>
            <w:proofErr w:type="spellStart"/>
            <w:r w:rsidRPr="001421C4">
              <w:rPr>
                <w:rFonts w:ascii="Cambria" w:eastAsia="Calibri" w:hAnsi="Cambria" w:cs="Calibri"/>
                <w:sz w:val="22"/>
                <w:szCs w:val="22"/>
              </w:rPr>
              <w:t>Vrsta</w:t>
            </w:r>
            <w:proofErr w:type="spellEnd"/>
            <w:r w:rsidRPr="001421C4">
              <w:rPr>
                <w:rFonts w:ascii="Cambria" w:eastAsia="Calibri" w:hAnsi="Cambria" w:cs="Calibri"/>
                <w:sz w:val="22"/>
                <w:szCs w:val="22"/>
              </w:rPr>
              <w:t xml:space="preserve"> </w:t>
            </w:r>
            <w:proofErr w:type="spellStart"/>
            <w:r w:rsidRPr="001421C4">
              <w:rPr>
                <w:rFonts w:ascii="Cambria" w:eastAsia="Calibri" w:hAnsi="Cambria" w:cs="Calibri"/>
                <w:sz w:val="22"/>
                <w:szCs w:val="22"/>
              </w:rPr>
              <w:t>kolegija</w:t>
            </w:r>
            <w:proofErr w:type="spellEnd"/>
          </w:p>
        </w:tc>
        <w:tc>
          <w:tcPr>
            <w:tcW w:w="2475" w:type="dxa"/>
            <w:vAlign w:val="center"/>
            <w:hideMark/>
          </w:tcPr>
          <w:p w14:paraId="266748C9" w14:textId="3BC6B4F4" w:rsidR="001421C4" w:rsidRPr="001421C4" w:rsidRDefault="001421C4" w:rsidP="00450B7A">
            <w:pPr>
              <w:rPr>
                <w:rFonts w:ascii="Cambria" w:eastAsia="Calibri" w:hAnsi="Cambria" w:cs="Calibri"/>
                <w:sz w:val="22"/>
                <w:szCs w:val="22"/>
              </w:rPr>
            </w:pPr>
            <w:proofErr w:type="spellStart"/>
            <w:r>
              <w:rPr>
                <w:rFonts w:ascii="Cambria" w:eastAsia="Calibri" w:hAnsi="Cambria" w:cs="Calibri"/>
                <w:sz w:val="22"/>
                <w:szCs w:val="22"/>
              </w:rPr>
              <w:t>o</w:t>
            </w:r>
            <w:r w:rsidRPr="001421C4">
              <w:rPr>
                <w:rFonts w:ascii="Cambria" w:eastAsia="Calibri" w:hAnsi="Cambria" w:cs="Calibri"/>
                <w:sz w:val="22"/>
                <w:szCs w:val="22"/>
              </w:rPr>
              <w:t>bvezan</w:t>
            </w:r>
            <w:proofErr w:type="spellEnd"/>
            <w:r w:rsidRPr="001421C4">
              <w:rPr>
                <w:rFonts w:ascii="Cambria" w:eastAsia="Calibri" w:hAnsi="Cambria" w:cs="Calibri"/>
                <w:sz w:val="22"/>
                <w:szCs w:val="22"/>
              </w:rPr>
              <w:t xml:space="preserve"> </w:t>
            </w:r>
          </w:p>
        </w:tc>
        <w:tc>
          <w:tcPr>
            <w:tcW w:w="1470" w:type="dxa"/>
            <w:gridSpan w:val="3"/>
            <w:shd w:val="clear" w:color="auto" w:fill="E6E6E6"/>
            <w:vAlign w:val="center"/>
            <w:hideMark/>
          </w:tcPr>
          <w:p w14:paraId="63600908" w14:textId="77777777" w:rsidR="001421C4" w:rsidRPr="001421C4" w:rsidRDefault="001421C4" w:rsidP="00450B7A">
            <w:pPr>
              <w:rPr>
                <w:rFonts w:ascii="Cambria" w:eastAsia="Calibri" w:hAnsi="Cambria" w:cs="Calibri"/>
                <w:sz w:val="22"/>
                <w:szCs w:val="22"/>
              </w:rPr>
            </w:pPr>
            <w:r w:rsidRPr="001421C4">
              <w:rPr>
                <w:rFonts w:ascii="Cambria" w:eastAsia="Calibri" w:hAnsi="Cambria" w:cs="Calibri"/>
                <w:sz w:val="22"/>
                <w:szCs w:val="22"/>
              </w:rPr>
              <w:t xml:space="preserve">Razina </w:t>
            </w:r>
            <w:proofErr w:type="spellStart"/>
            <w:r w:rsidRPr="001421C4">
              <w:rPr>
                <w:rFonts w:ascii="Cambria" w:eastAsia="Calibri" w:hAnsi="Cambria" w:cs="Calibri"/>
                <w:sz w:val="22"/>
                <w:szCs w:val="22"/>
              </w:rPr>
              <w:t>kolegija</w:t>
            </w:r>
            <w:proofErr w:type="spellEnd"/>
          </w:p>
        </w:tc>
        <w:tc>
          <w:tcPr>
            <w:tcW w:w="2790" w:type="dxa"/>
            <w:gridSpan w:val="3"/>
            <w:vAlign w:val="center"/>
            <w:hideMark/>
          </w:tcPr>
          <w:p w14:paraId="764752B7" w14:textId="74382FB6" w:rsidR="001421C4" w:rsidRPr="001421C4" w:rsidRDefault="001421C4" w:rsidP="00450B7A">
            <w:pPr>
              <w:rPr>
                <w:rFonts w:ascii="Cambria" w:eastAsia="Calibri" w:hAnsi="Cambria" w:cs="Calibri"/>
                <w:b/>
                <w:sz w:val="22"/>
                <w:szCs w:val="22"/>
              </w:rPr>
            </w:pPr>
            <w:proofErr w:type="spellStart"/>
            <w:r>
              <w:rPr>
                <w:rFonts w:ascii="Cambria" w:eastAsia="Calibri" w:hAnsi="Cambria" w:cs="Calibri"/>
                <w:sz w:val="22"/>
                <w:szCs w:val="22"/>
              </w:rPr>
              <w:t>i</w:t>
            </w:r>
            <w:r w:rsidRPr="001421C4">
              <w:rPr>
                <w:rFonts w:ascii="Cambria" w:eastAsia="Calibri" w:hAnsi="Cambria" w:cs="Calibri"/>
                <w:sz w:val="22"/>
                <w:szCs w:val="22"/>
              </w:rPr>
              <w:t>ntegrirani</w:t>
            </w:r>
            <w:proofErr w:type="spellEnd"/>
          </w:p>
        </w:tc>
      </w:tr>
      <w:tr w:rsidR="001421C4" w:rsidRPr="001421C4" w14:paraId="1E1ECD47" w14:textId="77777777" w:rsidTr="00450B7A">
        <w:tc>
          <w:tcPr>
            <w:tcW w:w="2610" w:type="dxa"/>
            <w:shd w:val="clear" w:color="auto" w:fill="F3F3F3"/>
            <w:vAlign w:val="center"/>
            <w:hideMark/>
          </w:tcPr>
          <w:p w14:paraId="2D421F7E" w14:textId="77777777" w:rsidR="001421C4" w:rsidRPr="001421C4" w:rsidRDefault="001421C4" w:rsidP="00450B7A">
            <w:pPr>
              <w:rPr>
                <w:rFonts w:ascii="Cambria" w:eastAsia="Calibri" w:hAnsi="Cambria" w:cs="Calibri"/>
                <w:sz w:val="22"/>
                <w:szCs w:val="22"/>
              </w:rPr>
            </w:pPr>
            <w:proofErr w:type="spellStart"/>
            <w:r w:rsidRPr="001421C4">
              <w:rPr>
                <w:rFonts w:ascii="Cambria" w:eastAsia="Calibri" w:hAnsi="Cambria" w:cs="Calibri"/>
                <w:sz w:val="22"/>
                <w:szCs w:val="22"/>
              </w:rPr>
              <w:t>Semestar</w:t>
            </w:r>
            <w:proofErr w:type="spellEnd"/>
          </w:p>
        </w:tc>
        <w:tc>
          <w:tcPr>
            <w:tcW w:w="2475" w:type="dxa"/>
            <w:vAlign w:val="center"/>
            <w:hideMark/>
          </w:tcPr>
          <w:p w14:paraId="5CBEFED6" w14:textId="77777777" w:rsidR="001421C4" w:rsidRPr="001421C4" w:rsidRDefault="001421C4" w:rsidP="00450B7A">
            <w:pPr>
              <w:rPr>
                <w:rFonts w:ascii="Cambria" w:eastAsia="Calibri" w:hAnsi="Cambria" w:cs="Calibri"/>
                <w:sz w:val="22"/>
                <w:szCs w:val="22"/>
              </w:rPr>
            </w:pPr>
            <w:proofErr w:type="spellStart"/>
            <w:r w:rsidRPr="001421C4">
              <w:rPr>
                <w:rFonts w:ascii="Cambria" w:eastAsia="Calibri" w:hAnsi="Cambria" w:cs="Calibri"/>
                <w:sz w:val="22"/>
                <w:szCs w:val="22"/>
              </w:rPr>
              <w:t>ljetni</w:t>
            </w:r>
            <w:proofErr w:type="spellEnd"/>
          </w:p>
        </w:tc>
        <w:tc>
          <w:tcPr>
            <w:tcW w:w="1470" w:type="dxa"/>
            <w:gridSpan w:val="3"/>
            <w:shd w:val="clear" w:color="auto" w:fill="E6E6E6"/>
            <w:vAlign w:val="center"/>
            <w:hideMark/>
          </w:tcPr>
          <w:p w14:paraId="26433E52" w14:textId="77777777" w:rsidR="001421C4" w:rsidRPr="001421C4" w:rsidRDefault="001421C4" w:rsidP="00450B7A">
            <w:pPr>
              <w:rPr>
                <w:rFonts w:ascii="Cambria" w:eastAsia="Calibri" w:hAnsi="Cambria" w:cs="Calibri"/>
                <w:sz w:val="22"/>
                <w:szCs w:val="22"/>
              </w:rPr>
            </w:pPr>
            <w:r w:rsidRPr="001421C4">
              <w:rPr>
                <w:rFonts w:ascii="Cambria" w:eastAsia="Calibri" w:hAnsi="Cambria" w:cs="Calibri"/>
                <w:sz w:val="22"/>
                <w:szCs w:val="22"/>
              </w:rPr>
              <w:t xml:space="preserve">Godina </w:t>
            </w:r>
            <w:proofErr w:type="spellStart"/>
            <w:r w:rsidRPr="001421C4">
              <w:rPr>
                <w:rFonts w:ascii="Cambria" w:eastAsia="Calibri" w:hAnsi="Cambria" w:cs="Calibri"/>
                <w:sz w:val="22"/>
                <w:szCs w:val="22"/>
              </w:rPr>
              <w:t>studija</w:t>
            </w:r>
            <w:proofErr w:type="spellEnd"/>
          </w:p>
        </w:tc>
        <w:tc>
          <w:tcPr>
            <w:tcW w:w="2790" w:type="dxa"/>
            <w:gridSpan w:val="3"/>
            <w:vAlign w:val="center"/>
            <w:hideMark/>
          </w:tcPr>
          <w:p w14:paraId="7CBA9CD0" w14:textId="77777777" w:rsidR="001421C4" w:rsidRPr="001421C4" w:rsidRDefault="001421C4" w:rsidP="00450B7A">
            <w:pPr>
              <w:rPr>
                <w:rFonts w:ascii="Cambria" w:eastAsia="Calibri" w:hAnsi="Cambria" w:cs="Calibri"/>
                <w:sz w:val="22"/>
                <w:szCs w:val="22"/>
              </w:rPr>
            </w:pPr>
            <w:r w:rsidRPr="001421C4">
              <w:rPr>
                <w:rFonts w:ascii="Cambria" w:eastAsia="Calibri" w:hAnsi="Cambria" w:cs="Calibri"/>
                <w:sz w:val="22"/>
                <w:szCs w:val="22"/>
              </w:rPr>
              <w:t>III</w:t>
            </w:r>
          </w:p>
        </w:tc>
      </w:tr>
      <w:tr w:rsidR="001421C4" w:rsidRPr="001421C4" w14:paraId="4049E5ED" w14:textId="77777777" w:rsidTr="00450B7A">
        <w:tc>
          <w:tcPr>
            <w:tcW w:w="2610" w:type="dxa"/>
            <w:shd w:val="clear" w:color="auto" w:fill="F3F3F3"/>
            <w:vAlign w:val="center"/>
            <w:hideMark/>
          </w:tcPr>
          <w:p w14:paraId="1EB5DE0F" w14:textId="77777777" w:rsidR="001421C4" w:rsidRPr="001421C4" w:rsidRDefault="001421C4" w:rsidP="00450B7A">
            <w:pPr>
              <w:rPr>
                <w:rFonts w:ascii="Cambria" w:eastAsia="Calibri" w:hAnsi="Cambria" w:cs="Calibri"/>
                <w:sz w:val="22"/>
                <w:szCs w:val="22"/>
              </w:rPr>
            </w:pPr>
            <w:proofErr w:type="spellStart"/>
            <w:r w:rsidRPr="001421C4">
              <w:rPr>
                <w:rFonts w:ascii="Cambria" w:eastAsia="Calibri" w:hAnsi="Cambria" w:cs="Calibri"/>
                <w:sz w:val="22"/>
                <w:szCs w:val="22"/>
              </w:rPr>
              <w:t>Mjesto</w:t>
            </w:r>
            <w:proofErr w:type="spellEnd"/>
            <w:r w:rsidRPr="001421C4">
              <w:rPr>
                <w:rFonts w:ascii="Cambria" w:eastAsia="Calibri" w:hAnsi="Cambria" w:cs="Calibri"/>
                <w:sz w:val="22"/>
                <w:szCs w:val="22"/>
              </w:rPr>
              <w:t xml:space="preserve"> </w:t>
            </w:r>
            <w:proofErr w:type="spellStart"/>
            <w:r w:rsidRPr="001421C4">
              <w:rPr>
                <w:rFonts w:ascii="Cambria" w:eastAsia="Calibri" w:hAnsi="Cambria" w:cs="Calibri"/>
                <w:sz w:val="22"/>
                <w:szCs w:val="22"/>
              </w:rPr>
              <w:t>izvođenja</w:t>
            </w:r>
            <w:proofErr w:type="spellEnd"/>
          </w:p>
        </w:tc>
        <w:tc>
          <w:tcPr>
            <w:tcW w:w="2475" w:type="dxa"/>
            <w:vAlign w:val="center"/>
            <w:hideMark/>
          </w:tcPr>
          <w:p w14:paraId="4214A0F1" w14:textId="610C8B6D" w:rsidR="001421C4" w:rsidRPr="001421C4" w:rsidRDefault="001421C4" w:rsidP="00450B7A">
            <w:pPr>
              <w:rPr>
                <w:rFonts w:ascii="Cambria" w:eastAsia="Calibri" w:hAnsi="Cambria" w:cs="Calibri"/>
                <w:sz w:val="22"/>
                <w:szCs w:val="22"/>
              </w:rPr>
            </w:pPr>
            <w:proofErr w:type="spellStart"/>
            <w:r w:rsidRPr="001421C4">
              <w:rPr>
                <w:rFonts w:ascii="Cambria" w:eastAsia="Calibri" w:hAnsi="Cambria" w:cs="Calibri"/>
                <w:sz w:val="22"/>
                <w:szCs w:val="22"/>
              </w:rPr>
              <w:t>učionica</w:t>
            </w:r>
            <w:proofErr w:type="spellEnd"/>
          </w:p>
        </w:tc>
        <w:tc>
          <w:tcPr>
            <w:tcW w:w="1470" w:type="dxa"/>
            <w:gridSpan w:val="3"/>
            <w:shd w:val="clear" w:color="auto" w:fill="E6E6E6"/>
            <w:vAlign w:val="center"/>
            <w:hideMark/>
          </w:tcPr>
          <w:p w14:paraId="2C6F1FEF" w14:textId="77777777" w:rsidR="001421C4" w:rsidRPr="001421C4" w:rsidRDefault="001421C4" w:rsidP="00450B7A">
            <w:pPr>
              <w:rPr>
                <w:rFonts w:ascii="Cambria" w:eastAsia="Calibri" w:hAnsi="Cambria" w:cs="Calibri"/>
                <w:sz w:val="22"/>
                <w:szCs w:val="22"/>
              </w:rPr>
            </w:pPr>
            <w:r w:rsidRPr="001421C4">
              <w:rPr>
                <w:rFonts w:ascii="Cambria" w:eastAsia="Calibri" w:hAnsi="Cambria" w:cs="Calibri"/>
                <w:sz w:val="22"/>
                <w:szCs w:val="22"/>
              </w:rPr>
              <w:t xml:space="preserve">Jezik </w:t>
            </w:r>
            <w:proofErr w:type="spellStart"/>
            <w:r w:rsidRPr="001421C4">
              <w:rPr>
                <w:rFonts w:ascii="Cambria" w:eastAsia="Calibri" w:hAnsi="Cambria" w:cs="Calibri"/>
                <w:sz w:val="22"/>
                <w:szCs w:val="22"/>
              </w:rPr>
              <w:t>izvođenja</w:t>
            </w:r>
            <w:proofErr w:type="spellEnd"/>
            <w:r w:rsidRPr="001421C4">
              <w:rPr>
                <w:rFonts w:ascii="Cambria" w:eastAsia="Calibri" w:hAnsi="Cambria" w:cs="Calibri"/>
                <w:sz w:val="22"/>
                <w:szCs w:val="22"/>
              </w:rPr>
              <w:t xml:space="preserve"> (</w:t>
            </w:r>
            <w:proofErr w:type="spellStart"/>
            <w:r w:rsidRPr="001421C4">
              <w:rPr>
                <w:rFonts w:ascii="Cambria" w:eastAsia="Calibri" w:hAnsi="Cambria" w:cs="Calibri"/>
                <w:sz w:val="22"/>
                <w:szCs w:val="22"/>
              </w:rPr>
              <w:t>drugi</w:t>
            </w:r>
            <w:proofErr w:type="spellEnd"/>
            <w:r w:rsidRPr="001421C4">
              <w:rPr>
                <w:rFonts w:ascii="Cambria" w:eastAsia="Calibri" w:hAnsi="Cambria" w:cs="Calibri"/>
                <w:sz w:val="22"/>
                <w:szCs w:val="22"/>
              </w:rPr>
              <w:t xml:space="preserve"> </w:t>
            </w:r>
            <w:proofErr w:type="spellStart"/>
            <w:r w:rsidRPr="001421C4">
              <w:rPr>
                <w:rFonts w:ascii="Cambria" w:eastAsia="Calibri" w:hAnsi="Cambria" w:cs="Calibri"/>
                <w:sz w:val="22"/>
                <w:szCs w:val="22"/>
              </w:rPr>
              <w:t>jezici</w:t>
            </w:r>
            <w:proofErr w:type="spellEnd"/>
            <w:r w:rsidRPr="001421C4">
              <w:rPr>
                <w:rFonts w:ascii="Cambria" w:eastAsia="Calibri" w:hAnsi="Cambria" w:cs="Calibri"/>
                <w:sz w:val="22"/>
                <w:szCs w:val="22"/>
              </w:rPr>
              <w:t>)</w:t>
            </w:r>
          </w:p>
        </w:tc>
        <w:tc>
          <w:tcPr>
            <w:tcW w:w="2790" w:type="dxa"/>
            <w:gridSpan w:val="3"/>
            <w:vAlign w:val="center"/>
            <w:hideMark/>
          </w:tcPr>
          <w:p w14:paraId="3E28DA42" w14:textId="77777777" w:rsidR="001421C4" w:rsidRPr="001421C4" w:rsidRDefault="001421C4" w:rsidP="00450B7A">
            <w:pPr>
              <w:rPr>
                <w:rFonts w:ascii="Cambria" w:eastAsia="Calibri" w:hAnsi="Cambria" w:cs="Calibri"/>
                <w:sz w:val="22"/>
                <w:szCs w:val="22"/>
              </w:rPr>
            </w:pPr>
            <w:proofErr w:type="spellStart"/>
            <w:r w:rsidRPr="001421C4">
              <w:rPr>
                <w:rFonts w:ascii="Cambria" w:eastAsia="Calibri" w:hAnsi="Cambria" w:cs="Calibri"/>
                <w:sz w:val="22"/>
                <w:szCs w:val="22"/>
              </w:rPr>
              <w:t>hrvatski</w:t>
            </w:r>
            <w:proofErr w:type="spellEnd"/>
          </w:p>
        </w:tc>
      </w:tr>
      <w:tr w:rsidR="001421C4" w:rsidRPr="001421C4" w14:paraId="58865FBB" w14:textId="77777777" w:rsidTr="00450B7A">
        <w:tc>
          <w:tcPr>
            <w:tcW w:w="2610" w:type="dxa"/>
            <w:shd w:val="clear" w:color="auto" w:fill="F3F3F3"/>
            <w:vAlign w:val="center"/>
            <w:hideMark/>
          </w:tcPr>
          <w:p w14:paraId="6E0687AB" w14:textId="77777777" w:rsidR="001421C4" w:rsidRPr="001421C4" w:rsidRDefault="001421C4" w:rsidP="00450B7A">
            <w:pPr>
              <w:rPr>
                <w:rFonts w:ascii="Cambria" w:eastAsia="Calibri" w:hAnsi="Cambria" w:cs="Calibri"/>
                <w:sz w:val="22"/>
                <w:szCs w:val="22"/>
              </w:rPr>
            </w:pPr>
            <w:proofErr w:type="spellStart"/>
            <w:r w:rsidRPr="001421C4">
              <w:rPr>
                <w:rFonts w:ascii="Cambria" w:eastAsia="Calibri" w:hAnsi="Cambria" w:cs="Calibri"/>
                <w:sz w:val="22"/>
                <w:szCs w:val="22"/>
              </w:rPr>
              <w:t>Broj</w:t>
            </w:r>
            <w:proofErr w:type="spellEnd"/>
            <w:r w:rsidRPr="001421C4">
              <w:rPr>
                <w:rFonts w:ascii="Cambria" w:eastAsia="Calibri" w:hAnsi="Cambria" w:cs="Calibri"/>
                <w:sz w:val="22"/>
                <w:szCs w:val="22"/>
              </w:rPr>
              <w:t xml:space="preserve"> ECTS </w:t>
            </w:r>
            <w:proofErr w:type="spellStart"/>
            <w:r w:rsidRPr="001421C4">
              <w:rPr>
                <w:rFonts w:ascii="Cambria" w:eastAsia="Calibri" w:hAnsi="Cambria" w:cs="Calibri"/>
                <w:sz w:val="22"/>
                <w:szCs w:val="22"/>
              </w:rPr>
              <w:t>bodova</w:t>
            </w:r>
            <w:proofErr w:type="spellEnd"/>
          </w:p>
        </w:tc>
        <w:tc>
          <w:tcPr>
            <w:tcW w:w="2475" w:type="dxa"/>
            <w:vAlign w:val="center"/>
            <w:hideMark/>
          </w:tcPr>
          <w:p w14:paraId="0B8F8B68" w14:textId="77777777" w:rsidR="001421C4" w:rsidRPr="001421C4" w:rsidRDefault="001421C4" w:rsidP="00450B7A">
            <w:pPr>
              <w:rPr>
                <w:rFonts w:ascii="Cambria" w:eastAsia="Calibri" w:hAnsi="Cambria" w:cs="Calibri"/>
                <w:sz w:val="22"/>
                <w:szCs w:val="22"/>
              </w:rPr>
            </w:pPr>
            <w:r w:rsidRPr="001421C4">
              <w:rPr>
                <w:rFonts w:ascii="Cambria" w:eastAsia="Calibri" w:hAnsi="Cambria" w:cs="Calibri"/>
                <w:sz w:val="22"/>
                <w:szCs w:val="22"/>
              </w:rPr>
              <w:t>3</w:t>
            </w:r>
          </w:p>
        </w:tc>
        <w:tc>
          <w:tcPr>
            <w:tcW w:w="1470" w:type="dxa"/>
            <w:gridSpan w:val="3"/>
            <w:shd w:val="clear" w:color="auto" w:fill="E6E6E6"/>
            <w:vAlign w:val="center"/>
            <w:hideMark/>
          </w:tcPr>
          <w:p w14:paraId="1CE3D7FF" w14:textId="77777777" w:rsidR="001421C4" w:rsidRPr="001421C4" w:rsidRDefault="001421C4" w:rsidP="00450B7A">
            <w:pPr>
              <w:rPr>
                <w:rFonts w:ascii="Cambria" w:eastAsia="Calibri" w:hAnsi="Cambria" w:cs="Calibri"/>
                <w:sz w:val="22"/>
                <w:szCs w:val="22"/>
              </w:rPr>
            </w:pPr>
            <w:proofErr w:type="spellStart"/>
            <w:r w:rsidRPr="001421C4">
              <w:rPr>
                <w:rFonts w:ascii="Cambria" w:eastAsia="Calibri" w:hAnsi="Cambria" w:cs="Calibri"/>
                <w:sz w:val="22"/>
                <w:szCs w:val="22"/>
              </w:rPr>
              <w:t>Broj</w:t>
            </w:r>
            <w:proofErr w:type="spellEnd"/>
            <w:r w:rsidRPr="001421C4">
              <w:rPr>
                <w:rFonts w:ascii="Cambria" w:eastAsia="Calibri" w:hAnsi="Cambria" w:cs="Calibri"/>
                <w:sz w:val="22"/>
                <w:szCs w:val="22"/>
              </w:rPr>
              <w:t xml:space="preserve"> sati u </w:t>
            </w:r>
            <w:proofErr w:type="spellStart"/>
            <w:r w:rsidRPr="001421C4">
              <w:rPr>
                <w:rFonts w:ascii="Cambria" w:eastAsia="Calibri" w:hAnsi="Cambria" w:cs="Calibri"/>
                <w:sz w:val="22"/>
                <w:szCs w:val="22"/>
              </w:rPr>
              <w:t>semestru</w:t>
            </w:r>
            <w:proofErr w:type="spellEnd"/>
          </w:p>
        </w:tc>
        <w:tc>
          <w:tcPr>
            <w:tcW w:w="2790" w:type="dxa"/>
            <w:gridSpan w:val="3"/>
            <w:vAlign w:val="center"/>
            <w:hideMark/>
          </w:tcPr>
          <w:p w14:paraId="6BE2027D" w14:textId="360E3423" w:rsidR="001421C4" w:rsidRPr="001421C4" w:rsidRDefault="001421C4" w:rsidP="00450B7A">
            <w:pPr>
              <w:rPr>
                <w:rFonts w:ascii="Cambria" w:eastAsia="Calibri" w:hAnsi="Cambria" w:cs="Calibri"/>
                <w:sz w:val="22"/>
                <w:szCs w:val="22"/>
              </w:rPr>
            </w:pPr>
            <w:r w:rsidRPr="001421C4">
              <w:rPr>
                <w:rFonts w:ascii="Cambria" w:eastAsia="Calibri" w:hAnsi="Cambria" w:cs="Calibri"/>
                <w:sz w:val="22"/>
                <w:szCs w:val="22"/>
              </w:rPr>
              <w:t xml:space="preserve">30P – </w:t>
            </w:r>
            <w:r>
              <w:rPr>
                <w:rFonts w:ascii="Cambria" w:eastAsia="Calibri" w:hAnsi="Cambria" w:cs="Calibri"/>
                <w:sz w:val="22"/>
                <w:szCs w:val="22"/>
              </w:rPr>
              <w:t xml:space="preserve">15S – </w:t>
            </w:r>
            <w:r w:rsidRPr="001421C4">
              <w:rPr>
                <w:rFonts w:ascii="Cambria" w:eastAsia="Calibri" w:hAnsi="Cambria" w:cs="Calibri"/>
                <w:sz w:val="22"/>
                <w:szCs w:val="22"/>
              </w:rPr>
              <w:t>0V</w:t>
            </w:r>
          </w:p>
        </w:tc>
      </w:tr>
      <w:tr w:rsidR="001421C4" w:rsidRPr="00D0399C" w14:paraId="14521E5A" w14:textId="77777777" w:rsidTr="00450B7A">
        <w:tc>
          <w:tcPr>
            <w:tcW w:w="2610" w:type="dxa"/>
            <w:shd w:val="clear" w:color="auto" w:fill="F3F3F3"/>
            <w:vAlign w:val="center"/>
            <w:hideMark/>
          </w:tcPr>
          <w:p w14:paraId="36137F8C" w14:textId="77777777" w:rsidR="001421C4" w:rsidRPr="001421C4" w:rsidRDefault="001421C4" w:rsidP="00450B7A">
            <w:pPr>
              <w:rPr>
                <w:rFonts w:ascii="Cambria" w:eastAsia="Calibri" w:hAnsi="Cambria" w:cs="Calibri"/>
                <w:sz w:val="22"/>
                <w:szCs w:val="22"/>
                <w:lang w:val="it-IT"/>
              </w:rPr>
            </w:pPr>
            <w:proofErr w:type="spellStart"/>
            <w:r w:rsidRPr="001421C4">
              <w:rPr>
                <w:rFonts w:ascii="Cambria" w:eastAsia="Calibri" w:hAnsi="Cambria" w:cs="Calibri"/>
                <w:sz w:val="22"/>
                <w:szCs w:val="22"/>
                <w:lang w:val="it-IT"/>
              </w:rPr>
              <w:t>Preduvjeti</w:t>
            </w:r>
            <w:proofErr w:type="spellEnd"/>
            <w:r w:rsidRPr="001421C4">
              <w:rPr>
                <w:rFonts w:ascii="Cambria" w:eastAsia="Calibri" w:hAnsi="Cambria" w:cs="Calibri"/>
                <w:sz w:val="22"/>
                <w:szCs w:val="22"/>
                <w:lang w:val="it-IT"/>
              </w:rPr>
              <w:t xml:space="preserve"> za </w:t>
            </w:r>
            <w:proofErr w:type="spellStart"/>
            <w:r w:rsidRPr="001421C4">
              <w:rPr>
                <w:rFonts w:ascii="Cambria" w:eastAsia="Calibri" w:hAnsi="Cambria" w:cs="Calibri"/>
                <w:sz w:val="22"/>
                <w:szCs w:val="22"/>
                <w:lang w:val="it-IT"/>
              </w:rPr>
              <w:t>upis</w:t>
            </w:r>
            <w:proofErr w:type="spellEnd"/>
            <w:r w:rsidRPr="001421C4">
              <w:rPr>
                <w:rFonts w:ascii="Cambria" w:eastAsia="Calibri" w:hAnsi="Cambria" w:cs="Calibri"/>
                <w:sz w:val="22"/>
                <w:szCs w:val="22"/>
                <w:lang w:val="it-IT"/>
              </w:rPr>
              <w:t xml:space="preserve"> i za </w:t>
            </w:r>
            <w:proofErr w:type="spellStart"/>
            <w:r w:rsidRPr="001421C4">
              <w:rPr>
                <w:rFonts w:ascii="Cambria" w:eastAsia="Calibri" w:hAnsi="Cambria" w:cs="Calibri"/>
                <w:sz w:val="22"/>
                <w:szCs w:val="22"/>
                <w:lang w:val="it-IT"/>
              </w:rPr>
              <w:t>svladavanje</w:t>
            </w:r>
            <w:proofErr w:type="spellEnd"/>
          </w:p>
        </w:tc>
        <w:tc>
          <w:tcPr>
            <w:tcW w:w="6735" w:type="dxa"/>
            <w:gridSpan w:val="7"/>
            <w:vAlign w:val="center"/>
            <w:hideMark/>
          </w:tcPr>
          <w:p w14:paraId="2510E5F1" w14:textId="77777777" w:rsidR="001421C4" w:rsidRPr="001421C4" w:rsidRDefault="001421C4" w:rsidP="00450B7A">
            <w:pPr>
              <w:rPr>
                <w:rFonts w:ascii="Cambria" w:eastAsia="Calibri" w:hAnsi="Cambria" w:cs="Calibri"/>
                <w:sz w:val="22"/>
                <w:szCs w:val="22"/>
                <w:lang w:val="it-IT"/>
              </w:rPr>
            </w:pPr>
            <w:r w:rsidRPr="001421C4">
              <w:rPr>
                <w:rFonts w:ascii="Cambria" w:eastAsia="Calibri" w:hAnsi="Cambria" w:cs="Calibri"/>
                <w:sz w:val="22"/>
                <w:szCs w:val="22"/>
                <w:lang w:val="it-IT"/>
              </w:rPr>
              <w:t xml:space="preserve">Pravo </w:t>
            </w:r>
            <w:proofErr w:type="spellStart"/>
            <w:r w:rsidRPr="001421C4">
              <w:rPr>
                <w:rFonts w:ascii="Cambria" w:eastAsia="Calibri" w:hAnsi="Cambria" w:cs="Calibri"/>
                <w:sz w:val="22"/>
                <w:szCs w:val="22"/>
                <w:lang w:val="it-IT"/>
              </w:rPr>
              <w:t>prijave</w:t>
            </w:r>
            <w:proofErr w:type="spellEnd"/>
            <w:r w:rsidRPr="001421C4">
              <w:rPr>
                <w:rFonts w:ascii="Cambria" w:eastAsia="Calibri" w:hAnsi="Cambria" w:cs="Calibri"/>
                <w:sz w:val="22"/>
                <w:szCs w:val="22"/>
                <w:lang w:val="it-IT"/>
              </w:rPr>
              <w:t xml:space="preserve"> </w:t>
            </w:r>
            <w:proofErr w:type="spellStart"/>
            <w:r w:rsidRPr="001421C4">
              <w:rPr>
                <w:rFonts w:ascii="Cambria" w:eastAsia="Calibri" w:hAnsi="Cambria" w:cs="Calibri"/>
                <w:sz w:val="22"/>
                <w:szCs w:val="22"/>
                <w:lang w:val="it-IT"/>
              </w:rPr>
              <w:t>ispita</w:t>
            </w:r>
            <w:proofErr w:type="spellEnd"/>
            <w:r w:rsidRPr="001421C4">
              <w:rPr>
                <w:rFonts w:ascii="Cambria" w:eastAsia="Calibri" w:hAnsi="Cambria" w:cs="Calibri"/>
                <w:sz w:val="22"/>
                <w:szCs w:val="22"/>
                <w:lang w:val="it-IT"/>
              </w:rPr>
              <w:t xml:space="preserve"> </w:t>
            </w:r>
            <w:proofErr w:type="spellStart"/>
            <w:r w:rsidRPr="001421C4">
              <w:rPr>
                <w:rFonts w:ascii="Cambria" w:eastAsia="Calibri" w:hAnsi="Cambria" w:cs="Calibri"/>
                <w:sz w:val="22"/>
                <w:szCs w:val="22"/>
                <w:lang w:val="it-IT"/>
              </w:rPr>
              <w:t>iz</w:t>
            </w:r>
            <w:proofErr w:type="spellEnd"/>
            <w:r w:rsidRPr="001421C4">
              <w:rPr>
                <w:rFonts w:ascii="Cambria" w:eastAsia="Calibri" w:hAnsi="Cambria" w:cs="Calibri"/>
                <w:sz w:val="22"/>
                <w:szCs w:val="22"/>
                <w:lang w:val="it-IT"/>
              </w:rPr>
              <w:t xml:space="preserve"> </w:t>
            </w:r>
            <w:proofErr w:type="spellStart"/>
            <w:r w:rsidRPr="001421C4">
              <w:rPr>
                <w:rFonts w:ascii="Cambria" w:eastAsia="Calibri" w:hAnsi="Cambria" w:cs="Calibri"/>
                <w:sz w:val="22"/>
                <w:szCs w:val="22"/>
                <w:lang w:val="it-IT"/>
              </w:rPr>
              <w:t>kolegija</w:t>
            </w:r>
            <w:proofErr w:type="spellEnd"/>
            <w:r w:rsidRPr="001421C4">
              <w:rPr>
                <w:rFonts w:ascii="Cambria" w:eastAsia="Calibri" w:hAnsi="Cambria" w:cs="Calibri"/>
                <w:sz w:val="22"/>
                <w:szCs w:val="22"/>
                <w:lang w:val="it-IT"/>
              </w:rPr>
              <w:t xml:space="preserve"> </w:t>
            </w:r>
            <w:proofErr w:type="spellStart"/>
            <w:r w:rsidRPr="001421C4">
              <w:rPr>
                <w:rFonts w:ascii="Cambria" w:eastAsia="Calibri" w:hAnsi="Cambria" w:cs="Calibri"/>
                <w:sz w:val="22"/>
                <w:szCs w:val="22"/>
                <w:lang w:val="it-IT"/>
              </w:rPr>
              <w:t>Prirodoslovlje</w:t>
            </w:r>
            <w:proofErr w:type="spellEnd"/>
            <w:r w:rsidRPr="001421C4">
              <w:rPr>
                <w:rFonts w:ascii="Cambria" w:eastAsia="Calibri" w:hAnsi="Cambria" w:cs="Calibri"/>
                <w:sz w:val="22"/>
                <w:szCs w:val="22"/>
                <w:lang w:val="it-IT"/>
              </w:rPr>
              <w:t>.</w:t>
            </w:r>
          </w:p>
        </w:tc>
      </w:tr>
      <w:tr w:rsidR="001421C4" w:rsidRPr="00D0399C" w14:paraId="2BD02A62" w14:textId="77777777" w:rsidTr="00450B7A">
        <w:tc>
          <w:tcPr>
            <w:tcW w:w="2610" w:type="dxa"/>
            <w:shd w:val="clear" w:color="auto" w:fill="F3F3F3"/>
            <w:vAlign w:val="center"/>
            <w:hideMark/>
          </w:tcPr>
          <w:p w14:paraId="2D632755" w14:textId="77777777" w:rsidR="001421C4" w:rsidRPr="001421C4" w:rsidRDefault="001421C4" w:rsidP="00450B7A">
            <w:pPr>
              <w:rPr>
                <w:rFonts w:ascii="Cambria" w:eastAsia="Calibri" w:hAnsi="Cambria" w:cs="Calibri"/>
                <w:sz w:val="22"/>
                <w:szCs w:val="22"/>
              </w:rPr>
            </w:pPr>
            <w:proofErr w:type="spellStart"/>
            <w:r w:rsidRPr="001421C4">
              <w:rPr>
                <w:rFonts w:ascii="Cambria" w:eastAsia="Calibri" w:hAnsi="Cambria" w:cs="Calibri"/>
                <w:sz w:val="22"/>
                <w:szCs w:val="22"/>
              </w:rPr>
              <w:t>Korelativnost</w:t>
            </w:r>
            <w:proofErr w:type="spellEnd"/>
          </w:p>
        </w:tc>
        <w:tc>
          <w:tcPr>
            <w:tcW w:w="6735" w:type="dxa"/>
            <w:gridSpan w:val="7"/>
            <w:vAlign w:val="center"/>
            <w:hideMark/>
          </w:tcPr>
          <w:p w14:paraId="4FE8AA0A" w14:textId="77777777" w:rsidR="001421C4" w:rsidRPr="001421C4" w:rsidRDefault="001421C4" w:rsidP="00450B7A">
            <w:pPr>
              <w:rPr>
                <w:rFonts w:ascii="Cambria" w:eastAsia="Calibri" w:hAnsi="Cambria" w:cs="Calibri"/>
                <w:sz w:val="22"/>
                <w:szCs w:val="22"/>
                <w:lang w:val="it-IT"/>
              </w:rPr>
            </w:pPr>
            <w:proofErr w:type="spellStart"/>
            <w:r w:rsidRPr="001421C4">
              <w:rPr>
                <w:rFonts w:ascii="Cambria" w:eastAsia="Calibri" w:hAnsi="Cambria" w:cs="Calibri"/>
                <w:sz w:val="22"/>
                <w:szCs w:val="22"/>
                <w:lang w:val="it-IT"/>
              </w:rPr>
              <w:t>Prirodoslovlje</w:t>
            </w:r>
            <w:proofErr w:type="spellEnd"/>
            <w:r w:rsidRPr="001421C4">
              <w:rPr>
                <w:rFonts w:ascii="Cambria" w:eastAsia="Calibri" w:hAnsi="Cambria" w:cs="Calibri"/>
                <w:sz w:val="22"/>
                <w:szCs w:val="22"/>
                <w:lang w:val="it-IT"/>
              </w:rPr>
              <w:t xml:space="preserve">, </w:t>
            </w:r>
            <w:proofErr w:type="spellStart"/>
            <w:r w:rsidRPr="001421C4">
              <w:rPr>
                <w:rFonts w:ascii="Cambria" w:eastAsia="Calibri" w:hAnsi="Cambria" w:cs="Calibri"/>
                <w:sz w:val="22"/>
                <w:szCs w:val="22"/>
                <w:lang w:val="it-IT"/>
              </w:rPr>
              <w:t>Metodika</w:t>
            </w:r>
            <w:proofErr w:type="spellEnd"/>
            <w:r w:rsidRPr="001421C4">
              <w:rPr>
                <w:rFonts w:ascii="Cambria" w:eastAsia="Calibri" w:hAnsi="Cambria" w:cs="Calibri"/>
                <w:sz w:val="22"/>
                <w:szCs w:val="22"/>
                <w:lang w:val="it-IT"/>
              </w:rPr>
              <w:t xml:space="preserve"> </w:t>
            </w:r>
            <w:proofErr w:type="spellStart"/>
            <w:r w:rsidRPr="001421C4">
              <w:rPr>
                <w:rFonts w:ascii="Cambria" w:eastAsia="Calibri" w:hAnsi="Cambria" w:cs="Calibri"/>
                <w:sz w:val="22"/>
                <w:szCs w:val="22"/>
                <w:lang w:val="it-IT"/>
              </w:rPr>
              <w:t>prirode</w:t>
            </w:r>
            <w:proofErr w:type="spellEnd"/>
            <w:r w:rsidRPr="001421C4">
              <w:rPr>
                <w:rFonts w:ascii="Cambria" w:eastAsia="Calibri" w:hAnsi="Cambria" w:cs="Calibri"/>
                <w:sz w:val="22"/>
                <w:szCs w:val="22"/>
                <w:lang w:val="it-IT"/>
              </w:rPr>
              <w:t xml:space="preserve"> i </w:t>
            </w:r>
            <w:proofErr w:type="spellStart"/>
            <w:r w:rsidRPr="001421C4">
              <w:rPr>
                <w:rFonts w:ascii="Cambria" w:eastAsia="Calibri" w:hAnsi="Cambria" w:cs="Calibri"/>
                <w:sz w:val="22"/>
                <w:szCs w:val="22"/>
                <w:lang w:val="it-IT"/>
              </w:rPr>
              <w:t>društva</w:t>
            </w:r>
            <w:proofErr w:type="spellEnd"/>
            <w:r w:rsidRPr="001421C4">
              <w:rPr>
                <w:rFonts w:ascii="Cambria" w:eastAsia="Calibri" w:hAnsi="Cambria" w:cs="Calibri"/>
                <w:sz w:val="22"/>
                <w:szCs w:val="22"/>
                <w:lang w:val="it-IT"/>
              </w:rPr>
              <w:t xml:space="preserve"> I, </w:t>
            </w:r>
            <w:proofErr w:type="spellStart"/>
            <w:r w:rsidRPr="001421C4">
              <w:rPr>
                <w:rFonts w:ascii="Cambria" w:eastAsia="Calibri" w:hAnsi="Cambria" w:cs="Calibri"/>
                <w:sz w:val="22"/>
                <w:szCs w:val="22"/>
                <w:lang w:val="it-IT"/>
              </w:rPr>
              <w:t>Metodika</w:t>
            </w:r>
            <w:proofErr w:type="spellEnd"/>
            <w:r w:rsidRPr="001421C4">
              <w:rPr>
                <w:rFonts w:ascii="Cambria" w:eastAsia="Calibri" w:hAnsi="Cambria" w:cs="Calibri"/>
                <w:sz w:val="22"/>
                <w:szCs w:val="22"/>
                <w:lang w:val="it-IT"/>
              </w:rPr>
              <w:t xml:space="preserve"> </w:t>
            </w:r>
            <w:proofErr w:type="spellStart"/>
            <w:r w:rsidRPr="001421C4">
              <w:rPr>
                <w:rFonts w:ascii="Cambria" w:eastAsia="Calibri" w:hAnsi="Cambria" w:cs="Calibri"/>
                <w:sz w:val="22"/>
                <w:szCs w:val="22"/>
                <w:lang w:val="it-IT"/>
              </w:rPr>
              <w:t>prirode</w:t>
            </w:r>
            <w:proofErr w:type="spellEnd"/>
            <w:r w:rsidRPr="001421C4">
              <w:rPr>
                <w:rFonts w:ascii="Cambria" w:eastAsia="Calibri" w:hAnsi="Cambria" w:cs="Calibri"/>
                <w:sz w:val="22"/>
                <w:szCs w:val="22"/>
                <w:lang w:val="it-IT"/>
              </w:rPr>
              <w:t xml:space="preserve"> i </w:t>
            </w:r>
            <w:proofErr w:type="spellStart"/>
            <w:r w:rsidRPr="001421C4">
              <w:rPr>
                <w:rFonts w:ascii="Cambria" w:eastAsia="Calibri" w:hAnsi="Cambria" w:cs="Calibri"/>
                <w:sz w:val="22"/>
                <w:szCs w:val="22"/>
                <w:lang w:val="it-IT"/>
              </w:rPr>
              <w:t>društva</w:t>
            </w:r>
            <w:proofErr w:type="spellEnd"/>
            <w:r w:rsidRPr="001421C4">
              <w:rPr>
                <w:rFonts w:ascii="Cambria" w:eastAsia="Calibri" w:hAnsi="Cambria" w:cs="Calibri"/>
                <w:sz w:val="22"/>
                <w:szCs w:val="22"/>
                <w:lang w:val="it-IT"/>
              </w:rPr>
              <w:t xml:space="preserve"> II, </w:t>
            </w:r>
            <w:proofErr w:type="spellStart"/>
            <w:r w:rsidRPr="001421C4">
              <w:rPr>
                <w:rFonts w:ascii="Cambria" w:eastAsia="Calibri" w:hAnsi="Cambria" w:cs="Calibri"/>
                <w:sz w:val="22"/>
                <w:szCs w:val="22"/>
                <w:lang w:val="it-IT"/>
              </w:rPr>
              <w:t>Metodika</w:t>
            </w:r>
            <w:proofErr w:type="spellEnd"/>
            <w:r w:rsidRPr="001421C4">
              <w:rPr>
                <w:rFonts w:ascii="Cambria" w:eastAsia="Calibri" w:hAnsi="Cambria" w:cs="Calibri"/>
                <w:sz w:val="22"/>
                <w:szCs w:val="22"/>
                <w:lang w:val="it-IT"/>
              </w:rPr>
              <w:t xml:space="preserve"> </w:t>
            </w:r>
            <w:proofErr w:type="spellStart"/>
            <w:r w:rsidRPr="001421C4">
              <w:rPr>
                <w:rFonts w:ascii="Cambria" w:eastAsia="Calibri" w:hAnsi="Cambria" w:cs="Calibri"/>
                <w:sz w:val="22"/>
                <w:szCs w:val="22"/>
                <w:lang w:val="it-IT"/>
              </w:rPr>
              <w:t>prirode</w:t>
            </w:r>
            <w:proofErr w:type="spellEnd"/>
            <w:r w:rsidRPr="001421C4">
              <w:rPr>
                <w:rFonts w:ascii="Cambria" w:eastAsia="Calibri" w:hAnsi="Cambria" w:cs="Calibri"/>
                <w:sz w:val="22"/>
                <w:szCs w:val="22"/>
                <w:lang w:val="it-IT"/>
              </w:rPr>
              <w:t xml:space="preserve"> i </w:t>
            </w:r>
            <w:proofErr w:type="spellStart"/>
            <w:r w:rsidRPr="001421C4">
              <w:rPr>
                <w:rFonts w:ascii="Cambria" w:eastAsia="Calibri" w:hAnsi="Cambria" w:cs="Calibri"/>
                <w:sz w:val="22"/>
                <w:szCs w:val="22"/>
                <w:lang w:val="it-IT"/>
              </w:rPr>
              <w:t>društva</w:t>
            </w:r>
            <w:proofErr w:type="spellEnd"/>
            <w:r w:rsidRPr="001421C4">
              <w:rPr>
                <w:rFonts w:ascii="Cambria" w:eastAsia="Calibri" w:hAnsi="Cambria" w:cs="Calibri"/>
                <w:sz w:val="22"/>
                <w:szCs w:val="22"/>
                <w:lang w:val="it-IT"/>
              </w:rPr>
              <w:t xml:space="preserve"> III</w:t>
            </w:r>
          </w:p>
        </w:tc>
      </w:tr>
      <w:tr w:rsidR="001421C4" w:rsidRPr="001421C4" w14:paraId="27C1A551" w14:textId="77777777" w:rsidTr="00450B7A">
        <w:tc>
          <w:tcPr>
            <w:tcW w:w="2610" w:type="dxa"/>
            <w:shd w:val="clear" w:color="auto" w:fill="F3F3F3"/>
            <w:vAlign w:val="center"/>
            <w:hideMark/>
          </w:tcPr>
          <w:p w14:paraId="6BF6C8E4" w14:textId="77777777" w:rsidR="001421C4" w:rsidRPr="001421C4" w:rsidRDefault="001421C4" w:rsidP="00450B7A">
            <w:pPr>
              <w:rPr>
                <w:rFonts w:ascii="Cambria" w:eastAsia="Calibri" w:hAnsi="Cambria" w:cs="Calibri"/>
                <w:sz w:val="22"/>
                <w:szCs w:val="22"/>
              </w:rPr>
            </w:pPr>
            <w:proofErr w:type="spellStart"/>
            <w:r w:rsidRPr="001421C4">
              <w:rPr>
                <w:rFonts w:ascii="Cambria" w:eastAsia="Calibri" w:hAnsi="Cambria" w:cs="Calibri"/>
                <w:sz w:val="22"/>
                <w:szCs w:val="22"/>
              </w:rPr>
              <w:t>Cilj</w:t>
            </w:r>
            <w:proofErr w:type="spellEnd"/>
            <w:r w:rsidRPr="001421C4">
              <w:rPr>
                <w:rFonts w:ascii="Cambria" w:eastAsia="Calibri" w:hAnsi="Cambria" w:cs="Calibri"/>
                <w:sz w:val="22"/>
                <w:szCs w:val="22"/>
              </w:rPr>
              <w:t xml:space="preserve"> </w:t>
            </w:r>
            <w:proofErr w:type="spellStart"/>
            <w:r w:rsidRPr="001421C4">
              <w:rPr>
                <w:rFonts w:ascii="Cambria" w:eastAsia="Calibri" w:hAnsi="Cambria" w:cs="Calibri"/>
                <w:sz w:val="22"/>
                <w:szCs w:val="22"/>
              </w:rPr>
              <w:t>kolegija</w:t>
            </w:r>
            <w:proofErr w:type="spellEnd"/>
            <w:r w:rsidRPr="001421C4">
              <w:rPr>
                <w:rFonts w:ascii="Cambria" w:eastAsia="Calibri" w:hAnsi="Cambria" w:cs="Calibri"/>
                <w:sz w:val="22"/>
                <w:szCs w:val="22"/>
              </w:rPr>
              <w:t xml:space="preserve"> </w:t>
            </w:r>
          </w:p>
        </w:tc>
        <w:tc>
          <w:tcPr>
            <w:tcW w:w="6735" w:type="dxa"/>
            <w:gridSpan w:val="7"/>
            <w:vAlign w:val="center"/>
            <w:hideMark/>
          </w:tcPr>
          <w:p w14:paraId="7585C41E" w14:textId="77777777" w:rsidR="001421C4" w:rsidRPr="001421C4" w:rsidRDefault="001421C4" w:rsidP="00450B7A">
            <w:pPr>
              <w:rPr>
                <w:rFonts w:ascii="Cambria" w:eastAsia="Calibri" w:hAnsi="Cambria" w:cs="Calibri"/>
                <w:sz w:val="22"/>
                <w:szCs w:val="22"/>
              </w:rPr>
            </w:pPr>
            <w:proofErr w:type="spellStart"/>
            <w:r w:rsidRPr="001421C4">
              <w:rPr>
                <w:rFonts w:ascii="Cambria" w:eastAsia="Calibri" w:hAnsi="Cambria" w:cs="Calibri"/>
                <w:sz w:val="22"/>
                <w:szCs w:val="22"/>
              </w:rPr>
              <w:t>Usvajanje</w:t>
            </w:r>
            <w:proofErr w:type="spellEnd"/>
            <w:r w:rsidRPr="001421C4">
              <w:rPr>
                <w:rFonts w:ascii="Cambria" w:eastAsia="Calibri" w:hAnsi="Cambria" w:cs="Calibri"/>
                <w:sz w:val="22"/>
                <w:szCs w:val="22"/>
              </w:rPr>
              <w:t xml:space="preserve"> </w:t>
            </w:r>
            <w:proofErr w:type="spellStart"/>
            <w:r w:rsidRPr="001421C4">
              <w:rPr>
                <w:rFonts w:ascii="Cambria" w:eastAsia="Calibri" w:hAnsi="Cambria" w:cs="Calibri"/>
                <w:sz w:val="22"/>
                <w:szCs w:val="22"/>
              </w:rPr>
              <w:t>činjeničnih</w:t>
            </w:r>
            <w:proofErr w:type="spellEnd"/>
            <w:r w:rsidRPr="001421C4">
              <w:rPr>
                <w:rFonts w:ascii="Cambria" w:eastAsia="Calibri" w:hAnsi="Cambria" w:cs="Calibri"/>
                <w:sz w:val="22"/>
                <w:szCs w:val="22"/>
              </w:rPr>
              <w:t xml:space="preserve"> </w:t>
            </w:r>
            <w:proofErr w:type="spellStart"/>
            <w:r w:rsidRPr="001421C4">
              <w:rPr>
                <w:rFonts w:ascii="Cambria" w:eastAsia="Calibri" w:hAnsi="Cambria" w:cs="Calibri"/>
                <w:sz w:val="22"/>
                <w:szCs w:val="22"/>
              </w:rPr>
              <w:t>i</w:t>
            </w:r>
            <w:proofErr w:type="spellEnd"/>
            <w:r w:rsidRPr="001421C4">
              <w:rPr>
                <w:rFonts w:ascii="Cambria" w:eastAsia="Calibri" w:hAnsi="Cambria" w:cs="Calibri"/>
                <w:sz w:val="22"/>
                <w:szCs w:val="22"/>
              </w:rPr>
              <w:t xml:space="preserve"> </w:t>
            </w:r>
            <w:proofErr w:type="spellStart"/>
            <w:r w:rsidRPr="001421C4">
              <w:rPr>
                <w:rFonts w:ascii="Cambria" w:eastAsia="Calibri" w:hAnsi="Cambria" w:cs="Calibri"/>
                <w:sz w:val="22"/>
                <w:szCs w:val="22"/>
              </w:rPr>
              <w:t>teorijskih</w:t>
            </w:r>
            <w:proofErr w:type="spellEnd"/>
            <w:r w:rsidRPr="001421C4">
              <w:rPr>
                <w:rFonts w:ascii="Cambria" w:eastAsia="Calibri" w:hAnsi="Cambria" w:cs="Calibri"/>
                <w:sz w:val="22"/>
                <w:szCs w:val="22"/>
              </w:rPr>
              <w:t xml:space="preserve"> </w:t>
            </w:r>
            <w:proofErr w:type="spellStart"/>
            <w:r w:rsidRPr="001421C4">
              <w:rPr>
                <w:rFonts w:ascii="Cambria" w:eastAsia="Calibri" w:hAnsi="Cambria" w:cs="Calibri"/>
                <w:sz w:val="22"/>
                <w:szCs w:val="22"/>
              </w:rPr>
              <w:t>znanja</w:t>
            </w:r>
            <w:proofErr w:type="spellEnd"/>
            <w:r w:rsidRPr="001421C4">
              <w:rPr>
                <w:rFonts w:ascii="Cambria" w:eastAsia="Calibri" w:hAnsi="Cambria" w:cs="Calibri"/>
                <w:sz w:val="22"/>
                <w:szCs w:val="22"/>
              </w:rPr>
              <w:t xml:space="preserve"> </w:t>
            </w:r>
            <w:proofErr w:type="spellStart"/>
            <w:r w:rsidRPr="001421C4">
              <w:rPr>
                <w:rFonts w:ascii="Cambria" w:eastAsia="Calibri" w:hAnsi="Cambria" w:cs="Calibri"/>
                <w:sz w:val="22"/>
                <w:szCs w:val="22"/>
              </w:rPr>
              <w:t>iz</w:t>
            </w:r>
            <w:proofErr w:type="spellEnd"/>
            <w:r w:rsidRPr="001421C4">
              <w:rPr>
                <w:rFonts w:ascii="Cambria" w:eastAsia="Calibri" w:hAnsi="Cambria" w:cs="Calibri"/>
                <w:sz w:val="22"/>
                <w:szCs w:val="22"/>
              </w:rPr>
              <w:t xml:space="preserve"> </w:t>
            </w:r>
            <w:proofErr w:type="spellStart"/>
            <w:r w:rsidRPr="001421C4">
              <w:rPr>
                <w:rFonts w:ascii="Cambria" w:eastAsia="Calibri" w:hAnsi="Cambria" w:cs="Calibri"/>
                <w:sz w:val="22"/>
                <w:szCs w:val="22"/>
              </w:rPr>
              <w:t>domene</w:t>
            </w:r>
            <w:proofErr w:type="spellEnd"/>
            <w:r w:rsidRPr="001421C4">
              <w:rPr>
                <w:rFonts w:ascii="Cambria" w:eastAsia="Calibri" w:hAnsi="Cambria" w:cs="Calibri"/>
                <w:sz w:val="22"/>
                <w:szCs w:val="22"/>
              </w:rPr>
              <w:t xml:space="preserve"> </w:t>
            </w:r>
            <w:proofErr w:type="spellStart"/>
            <w:r w:rsidRPr="001421C4">
              <w:rPr>
                <w:rFonts w:ascii="Cambria" w:eastAsia="Calibri" w:hAnsi="Cambria" w:cs="Calibri"/>
                <w:sz w:val="22"/>
                <w:szCs w:val="22"/>
              </w:rPr>
              <w:t>ekologije</w:t>
            </w:r>
            <w:proofErr w:type="spellEnd"/>
            <w:r w:rsidRPr="001421C4">
              <w:rPr>
                <w:rFonts w:ascii="Cambria" w:eastAsia="Calibri" w:hAnsi="Cambria" w:cs="Calibri"/>
                <w:sz w:val="22"/>
                <w:szCs w:val="22"/>
              </w:rPr>
              <w:t xml:space="preserve">, </w:t>
            </w:r>
            <w:proofErr w:type="spellStart"/>
            <w:r w:rsidRPr="001421C4">
              <w:rPr>
                <w:rFonts w:ascii="Cambria" w:eastAsia="Calibri" w:hAnsi="Cambria" w:cs="Calibri"/>
                <w:sz w:val="22"/>
                <w:szCs w:val="22"/>
              </w:rPr>
              <w:t>razvoj</w:t>
            </w:r>
            <w:proofErr w:type="spellEnd"/>
            <w:r w:rsidRPr="001421C4">
              <w:rPr>
                <w:rFonts w:ascii="Cambria" w:eastAsia="Calibri" w:hAnsi="Cambria" w:cs="Calibri"/>
                <w:sz w:val="22"/>
                <w:szCs w:val="22"/>
              </w:rPr>
              <w:t xml:space="preserve"> </w:t>
            </w:r>
            <w:proofErr w:type="spellStart"/>
            <w:r w:rsidRPr="001421C4">
              <w:rPr>
                <w:rFonts w:ascii="Cambria" w:eastAsia="Calibri" w:hAnsi="Cambria" w:cs="Calibri"/>
                <w:sz w:val="22"/>
                <w:szCs w:val="22"/>
              </w:rPr>
              <w:t>spoznajnih</w:t>
            </w:r>
            <w:proofErr w:type="spellEnd"/>
            <w:r w:rsidRPr="001421C4">
              <w:rPr>
                <w:rFonts w:ascii="Cambria" w:eastAsia="Calibri" w:hAnsi="Cambria" w:cs="Calibri"/>
                <w:sz w:val="22"/>
                <w:szCs w:val="22"/>
              </w:rPr>
              <w:t xml:space="preserve"> </w:t>
            </w:r>
            <w:proofErr w:type="spellStart"/>
            <w:r w:rsidRPr="001421C4">
              <w:rPr>
                <w:rFonts w:ascii="Cambria" w:eastAsia="Calibri" w:hAnsi="Cambria" w:cs="Calibri"/>
                <w:sz w:val="22"/>
                <w:szCs w:val="22"/>
              </w:rPr>
              <w:t>vještina</w:t>
            </w:r>
            <w:proofErr w:type="spellEnd"/>
            <w:r w:rsidRPr="001421C4">
              <w:rPr>
                <w:rFonts w:ascii="Cambria" w:eastAsia="Calibri" w:hAnsi="Cambria" w:cs="Calibri"/>
                <w:sz w:val="22"/>
                <w:szCs w:val="22"/>
              </w:rPr>
              <w:t xml:space="preserve">, </w:t>
            </w:r>
            <w:proofErr w:type="spellStart"/>
            <w:r w:rsidRPr="001421C4">
              <w:rPr>
                <w:rFonts w:ascii="Cambria" w:eastAsia="Calibri" w:hAnsi="Cambria" w:cs="Calibri"/>
                <w:sz w:val="22"/>
                <w:szCs w:val="22"/>
              </w:rPr>
              <w:t>samostalnosti</w:t>
            </w:r>
            <w:proofErr w:type="spellEnd"/>
            <w:r w:rsidRPr="001421C4">
              <w:rPr>
                <w:rFonts w:ascii="Cambria" w:eastAsia="Calibri" w:hAnsi="Cambria" w:cs="Calibri"/>
                <w:sz w:val="22"/>
                <w:szCs w:val="22"/>
              </w:rPr>
              <w:t xml:space="preserve"> </w:t>
            </w:r>
            <w:proofErr w:type="spellStart"/>
            <w:r w:rsidRPr="001421C4">
              <w:rPr>
                <w:rFonts w:ascii="Cambria" w:eastAsia="Calibri" w:hAnsi="Cambria" w:cs="Calibri"/>
                <w:sz w:val="22"/>
                <w:szCs w:val="22"/>
              </w:rPr>
              <w:t>i</w:t>
            </w:r>
            <w:proofErr w:type="spellEnd"/>
            <w:r w:rsidRPr="001421C4">
              <w:rPr>
                <w:rFonts w:ascii="Cambria" w:eastAsia="Calibri" w:hAnsi="Cambria" w:cs="Calibri"/>
                <w:sz w:val="22"/>
                <w:szCs w:val="22"/>
              </w:rPr>
              <w:t xml:space="preserve"> </w:t>
            </w:r>
            <w:proofErr w:type="spellStart"/>
            <w:r w:rsidRPr="001421C4">
              <w:rPr>
                <w:rFonts w:ascii="Cambria" w:eastAsia="Calibri" w:hAnsi="Cambria" w:cs="Calibri"/>
                <w:sz w:val="22"/>
                <w:szCs w:val="22"/>
              </w:rPr>
              <w:t>odgovornosti</w:t>
            </w:r>
            <w:proofErr w:type="spellEnd"/>
            <w:r w:rsidRPr="001421C4">
              <w:rPr>
                <w:rFonts w:ascii="Cambria" w:eastAsia="Calibri" w:hAnsi="Cambria" w:cs="Calibri"/>
                <w:sz w:val="22"/>
                <w:szCs w:val="22"/>
              </w:rPr>
              <w:t xml:space="preserve">. </w:t>
            </w:r>
            <w:proofErr w:type="spellStart"/>
            <w:r w:rsidRPr="001421C4">
              <w:rPr>
                <w:rFonts w:ascii="Cambria" w:eastAsia="Calibri" w:hAnsi="Cambria" w:cs="Calibri"/>
                <w:sz w:val="22"/>
                <w:szCs w:val="22"/>
              </w:rPr>
              <w:t>Tumačiti</w:t>
            </w:r>
            <w:proofErr w:type="spellEnd"/>
            <w:r w:rsidRPr="001421C4">
              <w:rPr>
                <w:rFonts w:ascii="Cambria" w:eastAsia="Calibri" w:hAnsi="Cambria" w:cs="Calibri"/>
                <w:sz w:val="22"/>
                <w:szCs w:val="22"/>
              </w:rPr>
              <w:t xml:space="preserve"> </w:t>
            </w:r>
            <w:proofErr w:type="spellStart"/>
            <w:r w:rsidRPr="001421C4">
              <w:rPr>
                <w:rFonts w:ascii="Cambria" w:eastAsia="Calibri" w:hAnsi="Cambria" w:cs="Calibri"/>
                <w:sz w:val="22"/>
                <w:szCs w:val="22"/>
              </w:rPr>
              <w:t>osnovne</w:t>
            </w:r>
            <w:proofErr w:type="spellEnd"/>
            <w:r w:rsidRPr="001421C4">
              <w:rPr>
                <w:rFonts w:ascii="Cambria" w:eastAsia="Calibri" w:hAnsi="Cambria" w:cs="Calibri"/>
                <w:sz w:val="22"/>
                <w:szCs w:val="22"/>
              </w:rPr>
              <w:t xml:space="preserve"> </w:t>
            </w:r>
            <w:proofErr w:type="spellStart"/>
            <w:r w:rsidRPr="001421C4">
              <w:rPr>
                <w:rFonts w:ascii="Cambria" w:eastAsia="Calibri" w:hAnsi="Cambria" w:cs="Calibri"/>
                <w:sz w:val="22"/>
                <w:szCs w:val="22"/>
              </w:rPr>
              <w:t>termine</w:t>
            </w:r>
            <w:proofErr w:type="spellEnd"/>
            <w:r w:rsidRPr="001421C4">
              <w:rPr>
                <w:rFonts w:ascii="Cambria" w:eastAsia="Calibri" w:hAnsi="Cambria" w:cs="Calibri"/>
                <w:sz w:val="22"/>
                <w:szCs w:val="22"/>
              </w:rPr>
              <w:t xml:space="preserve"> </w:t>
            </w:r>
            <w:proofErr w:type="spellStart"/>
            <w:r w:rsidRPr="001421C4">
              <w:rPr>
                <w:rFonts w:ascii="Cambria" w:eastAsia="Calibri" w:hAnsi="Cambria" w:cs="Calibri"/>
                <w:sz w:val="22"/>
                <w:szCs w:val="22"/>
              </w:rPr>
              <w:t>i</w:t>
            </w:r>
            <w:proofErr w:type="spellEnd"/>
            <w:r w:rsidRPr="001421C4">
              <w:rPr>
                <w:rFonts w:ascii="Cambria" w:eastAsia="Calibri" w:hAnsi="Cambria" w:cs="Calibri"/>
                <w:sz w:val="22"/>
                <w:szCs w:val="22"/>
              </w:rPr>
              <w:t xml:space="preserve"> </w:t>
            </w:r>
            <w:proofErr w:type="spellStart"/>
            <w:r w:rsidRPr="001421C4">
              <w:rPr>
                <w:rFonts w:ascii="Cambria" w:eastAsia="Calibri" w:hAnsi="Cambria" w:cs="Calibri"/>
                <w:sz w:val="22"/>
                <w:szCs w:val="22"/>
              </w:rPr>
              <w:t>principe</w:t>
            </w:r>
            <w:proofErr w:type="spellEnd"/>
            <w:r w:rsidRPr="001421C4">
              <w:rPr>
                <w:rFonts w:ascii="Cambria" w:eastAsia="Calibri" w:hAnsi="Cambria" w:cs="Calibri"/>
                <w:sz w:val="22"/>
                <w:szCs w:val="22"/>
              </w:rPr>
              <w:t xml:space="preserve"> </w:t>
            </w:r>
            <w:proofErr w:type="spellStart"/>
            <w:r w:rsidRPr="001421C4">
              <w:rPr>
                <w:rFonts w:ascii="Cambria" w:eastAsia="Calibri" w:hAnsi="Cambria" w:cs="Calibri"/>
                <w:sz w:val="22"/>
                <w:szCs w:val="22"/>
              </w:rPr>
              <w:t>interakcija</w:t>
            </w:r>
            <w:proofErr w:type="spellEnd"/>
            <w:r w:rsidRPr="001421C4">
              <w:rPr>
                <w:rFonts w:ascii="Cambria" w:eastAsia="Calibri" w:hAnsi="Cambria" w:cs="Calibri"/>
                <w:sz w:val="22"/>
                <w:szCs w:val="22"/>
              </w:rPr>
              <w:t xml:space="preserve"> </w:t>
            </w:r>
            <w:proofErr w:type="spellStart"/>
            <w:r w:rsidRPr="001421C4">
              <w:rPr>
                <w:rFonts w:ascii="Cambria" w:eastAsia="Calibri" w:hAnsi="Cambria" w:cs="Calibri"/>
                <w:sz w:val="22"/>
                <w:szCs w:val="22"/>
              </w:rPr>
              <w:t>živih</w:t>
            </w:r>
            <w:proofErr w:type="spellEnd"/>
            <w:r w:rsidRPr="001421C4">
              <w:rPr>
                <w:rFonts w:ascii="Cambria" w:eastAsia="Calibri" w:hAnsi="Cambria" w:cs="Calibri"/>
                <w:sz w:val="22"/>
                <w:szCs w:val="22"/>
              </w:rPr>
              <w:t xml:space="preserve"> </w:t>
            </w:r>
            <w:proofErr w:type="spellStart"/>
            <w:r w:rsidRPr="001421C4">
              <w:rPr>
                <w:rFonts w:ascii="Cambria" w:eastAsia="Calibri" w:hAnsi="Cambria" w:cs="Calibri"/>
                <w:sz w:val="22"/>
                <w:szCs w:val="22"/>
              </w:rPr>
              <w:t>organizama</w:t>
            </w:r>
            <w:proofErr w:type="spellEnd"/>
            <w:r w:rsidRPr="001421C4">
              <w:rPr>
                <w:rFonts w:ascii="Cambria" w:eastAsia="Calibri" w:hAnsi="Cambria" w:cs="Calibri"/>
                <w:sz w:val="22"/>
                <w:szCs w:val="22"/>
              </w:rPr>
              <w:t xml:space="preserve"> s </w:t>
            </w:r>
            <w:proofErr w:type="spellStart"/>
            <w:r w:rsidRPr="001421C4">
              <w:rPr>
                <w:rFonts w:ascii="Cambria" w:eastAsia="Calibri" w:hAnsi="Cambria" w:cs="Calibri"/>
                <w:sz w:val="22"/>
                <w:szCs w:val="22"/>
              </w:rPr>
              <w:t>okolišem</w:t>
            </w:r>
            <w:proofErr w:type="spellEnd"/>
            <w:r w:rsidRPr="001421C4">
              <w:rPr>
                <w:rFonts w:ascii="Cambria" w:eastAsia="Calibri" w:hAnsi="Cambria" w:cs="Calibri"/>
                <w:sz w:val="22"/>
                <w:szCs w:val="22"/>
              </w:rPr>
              <w:t xml:space="preserve">, </w:t>
            </w:r>
            <w:proofErr w:type="spellStart"/>
            <w:r w:rsidRPr="001421C4">
              <w:rPr>
                <w:rFonts w:ascii="Cambria" w:eastAsia="Calibri" w:hAnsi="Cambria" w:cs="Calibri"/>
                <w:sz w:val="22"/>
                <w:szCs w:val="22"/>
              </w:rPr>
              <w:t>očuvanja</w:t>
            </w:r>
            <w:proofErr w:type="spellEnd"/>
            <w:r w:rsidRPr="001421C4">
              <w:rPr>
                <w:rFonts w:ascii="Cambria" w:eastAsia="Calibri" w:hAnsi="Cambria" w:cs="Calibri"/>
                <w:sz w:val="22"/>
                <w:szCs w:val="22"/>
              </w:rPr>
              <w:t xml:space="preserve"> </w:t>
            </w:r>
            <w:proofErr w:type="spellStart"/>
            <w:r w:rsidRPr="001421C4">
              <w:rPr>
                <w:rFonts w:ascii="Cambria" w:eastAsia="Calibri" w:hAnsi="Cambria" w:cs="Calibri"/>
                <w:sz w:val="22"/>
                <w:szCs w:val="22"/>
              </w:rPr>
              <w:t>okoliša</w:t>
            </w:r>
            <w:proofErr w:type="spellEnd"/>
            <w:r w:rsidRPr="001421C4">
              <w:rPr>
                <w:rFonts w:ascii="Cambria" w:eastAsia="Calibri" w:hAnsi="Cambria" w:cs="Calibri"/>
                <w:sz w:val="22"/>
                <w:szCs w:val="22"/>
              </w:rPr>
              <w:t xml:space="preserve"> </w:t>
            </w:r>
            <w:proofErr w:type="spellStart"/>
            <w:r w:rsidRPr="001421C4">
              <w:rPr>
                <w:rFonts w:ascii="Cambria" w:eastAsia="Calibri" w:hAnsi="Cambria" w:cs="Calibri"/>
                <w:sz w:val="22"/>
                <w:szCs w:val="22"/>
              </w:rPr>
              <w:t>i</w:t>
            </w:r>
            <w:proofErr w:type="spellEnd"/>
            <w:r w:rsidRPr="001421C4">
              <w:rPr>
                <w:rFonts w:ascii="Cambria" w:eastAsia="Calibri" w:hAnsi="Cambria" w:cs="Calibri"/>
                <w:sz w:val="22"/>
                <w:szCs w:val="22"/>
              </w:rPr>
              <w:t xml:space="preserve"> </w:t>
            </w:r>
            <w:proofErr w:type="spellStart"/>
            <w:r w:rsidRPr="001421C4">
              <w:rPr>
                <w:rFonts w:ascii="Cambria" w:eastAsia="Calibri" w:hAnsi="Cambria" w:cs="Calibri"/>
                <w:sz w:val="22"/>
                <w:szCs w:val="22"/>
              </w:rPr>
              <w:t>mogućnosti</w:t>
            </w:r>
            <w:proofErr w:type="spellEnd"/>
            <w:r w:rsidRPr="001421C4">
              <w:rPr>
                <w:rFonts w:ascii="Cambria" w:eastAsia="Calibri" w:hAnsi="Cambria" w:cs="Calibri"/>
                <w:sz w:val="22"/>
                <w:szCs w:val="22"/>
              </w:rPr>
              <w:t xml:space="preserve"> </w:t>
            </w:r>
            <w:proofErr w:type="spellStart"/>
            <w:r w:rsidRPr="001421C4">
              <w:rPr>
                <w:rFonts w:ascii="Cambria" w:eastAsia="Calibri" w:hAnsi="Cambria" w:cs="Calibri"/>
                <w:sz w:val="22"/>
                <w:szCs w:val="22"/>
              </w:rPr>
              <w:t>djelovanja</w:t>
            </w:r>
            <w:proofErr w:type="spellEnd"/>
            <w:r w:rsidRPr="001421C4">
              <w:rPr>
                <w:rFonts w:ascii="Cambria" w:eastAsia="Calibri" w:hAnsi="Cambria" w:cs="Calibri"/>
                <w:sz w:val="22"/>
                <w:szCs w:val="22"/>
              </w:rPr>
              <w:t xml:space="preserve"> u </w:t>
            </w:r>
            <w:proofErr w:type="spellStart"/>
            <w:r w:rsidRPr="001421C4">
              <w:rPr>
                <w:rFonts w:ascii="Cambria" w:eastAsia="Calibri" w:hAnsi="Cambria" w:cs="Calibri"/>
                <w:sz w:val="22"/>
                <w:szCs w:val="22"/>
              </w:rPr>
              <w:t>cilju</w:t>
            </w:r>
            <w:proofErr w:type="spellEnd"/>
            <w:r w:rsidRPr="001421C4">
              <w:rPr>
                <w:rFonts w:ascii="Cambria" w:eastAsia="Calibri" w:hAnsi="Cambria" w:cs="Calibri"/>
                <w:sz w:val="22"/>
                <w:szCs w:val="22"/>
              </w:rPr>
              <w:t xml:space="preserve"> </w:t>
            </w:r>
            <w:proofErr w:type="spellStart"/>
            <w:r w:rsidRPr="001421C4">
              <w:rPr>
                <w:rFonts w:ascii="Cambria" w:eastAsia="Calibri" w:hAnsi="Cambria" w:cs="Calibri"/>
                <w:sz w:val="22"/>
                <w:szCs w:val="22"/>
              </w:rPr>
              <w:t>smanjenja</w:t>
            </w:r>
            <w:proofErr w:type="spellEnd"/>
            <w:r w:rsidRPr="001421C4">
              <w:rPr>
                <w:rFonts w:ascii="Cambria" w:eastAsia="Calibri" w:hAnsi="Cambria" w:cs="Calibri"/>
                <w:sz w:val="22"/>
                <w:szCs w:val="22"/>
              </w:rPr>
              <w:t xml:space="preserve"> </w:t>
            </w:r>
            <w:proofErr w:type="spellStart"/>
            <w:r w:rsidRPr="001421C4">
              <w:rPr>
                <w:rFonts w:ascii="Cambria" w:eastAsia="Calibri" w:hAnsi="Cambria" w:cs="Calibri"/>
                <w:sz w:val="22"/>
                <w:szCs w:val="22"/>
              </w:rPr>
              <w:t>čovjekovog</w:t>
            </w:r>
            <w:proofErr w:type="spellEnd"/>
            <w:r w:rsidRPr="001421C4">
              <w:rPr>
                <w:rFonts w:ascii="Cambria" w:eastAsia="Calibri" w:hAnsi="Cambria" w:cs="Calibri"/>
                <w:sz w:val="22"/>
                <w:szCs w:val="22"/>
              </w:rPr>
              <w:t xml:space="preserve"> </w:t>
            </w:r>
            <w:proofErr w:type="spellStart"/>
            <w:r w:rsidRPr="001421C4">
              <w:rPr>
                <w:rFonts w:ascii="Cambria" w:eastAsia="Calibri" w:hAnsi="Cambria" w:cs="Calibri"/>
                <w:sz w:val="22"/>
                <w:szCs w:val="22"/>
              </w:rPr>
              <w:t>utjecaja</w:t>
            </w:r>
            <w:proofErr w:type="spellEnd"/>
            <w:r w:rsidRPr="001421C4">
              <w:rPr>
                <w:rFonts w:ascii="Cambria" w:eastAsia="Calibri" w:hAnsi="Cambria" w:cs="Calibri"/>
                <w:sz w:val="22"/>
                <w:szCs w:val="22"/>
              </w:rPr>
              <w:t xml:space="preserve"> </w:t>
            </w:r>
            <w:proofErr w:type="spellStart"/>
            <w:r w:rsidRPr="001421C4">
              <w:rPr>
                <w:rFonts w:ascii="Cambria" w:eastAsia="Calibri" w:hAnsi="Cambria" w:cs="Calibri"/>
                <w:sz w:val="22"/>
                <w:szCs w:val="22"/>
              </w:rPr>
              <w:t>na</w:t>
            </w:r>
            <w:proofErr w:type="spellEnd"/>
            <w:r w:rsidRPr="001421C4">
              <w:rPr>
                <w:rFonts w:ascii="Cambria" w:eastAsia="Calibri" w:hAnsi="Cambria" w:cs="Calibri"/>
                <w:sz w:val="22"/>
                <w:szCs w:val="22"/>
              </w:rPr>
              <w:t xml:space="preserve"> </w:t>
            </w:r>
            <w:proofErr w:type="spellStart"/>
            <w:r w:rsidRPr="001421C4">
              <w:rPr>
                <w:rFonts w:ascii="Cambria" w:eastAsia="Calibri" w:hAnsi="Cambria" w:cs="Calibri"/>
                <w:sz w:val="22"/>
                <w:szCs w:val="22"/>
              </w:rPr>
              <w:t>okoliš</w:t>
            </w:r>
            <w:proofErr w:type="spellEnd"/>
            <w:r w:rsidRPr="001421C4">
              <w:rPr>
                <w:rFonts w:ascii="Cambria" w:eastAsia="Calibri" w:hAnsi="Cambria" w:cs="Calibri"/>
                <w:sz w:val="22"/>
                <w:szCs w:val="22"/>
              </w:rPr>
              <w:t xml:space="preserve"> </w:t>
            </w:r>
            <w:proofErr w:type="spellStart"/>
            <w:r w:rsidRPr="001421C4">
              <w:rPr>
                <w:rFonts w:ascii="Cambria" w:eastAsia="Calibri" w:hAnsi="Cambria" w:cs="Calibri"/>
                <w:sz w:val="22"/>
                <w:szCs w:val="22"/>
              </w:rPr>
              <w:t>i</w:t>
            </w:r>
            <w:proofErr w:type="spellEnd"/>
            <w:r w:rsidRPr="001421C4">
              <w:rPr>
                <w:rFonts w:ascii="Cambria" w:eastAsia="Calibri" w:hAnsi="Cambria" w:cs="Calibri"/>
                <w:sz w:val="22"/>
                <w:szCs w:val="22"/>
              </w:rPr>
              <w:t xml:space="preserve"> </w:t>
            </w:r>
            <w:proofErr w:type="spellStart"/>
            <w:r w:rsidRPr="001421C4">
              <w:rPr>
                <w:rFonts w:ascii="Cambria" w:eastAsia="Calibri" w:hAnsi="Cambria" w:cs="Calibri"/>
                <w:sz w:val="22"/>
                <w:szCs w:val="22"/>
              </w:rPr>
              <w:t>održivog</w:t>
            </w:r>
            <w:proofErr w:type="spellEnd"/>
            <w:r w:rsidRPr="001421C4">
              <w:rPr>
                <w:rFonts w:ascii="Cambria" w:eastAsia="Calibri" w:hAnsi="Cambria" w:cs="Calibri"/>
                <w:sz w:val="22"/>
                <w:szCs w:val="22"/>
              </w:rPr>
              <w:t xml:space="preserve"> </w:t>
            </w:r>
            <w:proofErr w:type="spellStart"/>
            <w:r w:rsidRPr="001421C4">
              <w:rPr>
                <w:rFonts w:ascii="Cambria" w:eastAsia="Calibri" w:hAnsi="Cambria" w:cs="Calibri"/>
                <w:sz w:val="22"/>
                <w:szCs w:val="22"/>
              </w:rPr>
              <w:t>razvoja</w:t>
            </w:r>
            <w:proofErr w:type="spellEnd"/>
            <w:r w:rsidRPr="001421C4">
              <w:rPr>
                <w:rFonts w:ascii="Cambria" w:eastAsia="Calibri" w:hAnsi="Cambria" w:cs="Calibri"/>
                <w:sz w:val="22"/>
                <w:szCs w:val="22"/>
              </w:rPr>
              <w:t>.</w:t>
            </w:r>
          </w:p>
        </w:tc>
      </w:tr>
      <w:tr w:rsidR="001421C4" w:rsidRPr="00D0399C" w14:paraId="16EFB16C" w14:textId="77777777" w:rsidTr="00450B7A">
        <w:tc>
          <w:tcPr>
            <w:tcW w:w="2610" w:type="dxa"/>
            <w:shd w:val="clear" w:color="auto" w:fill="F3F3F3"/>
            <w:vAlign w:val="center"/>
            <w:hideMark/>
          </w:tcPr>
          <w:p w14:paraId="4AEFD5FD" w14:textId="77777777" w:rsidR="001421C4" w:rsidRPr="001421C4" w:rsidRDefault="001421C4" w:rsidP="00450B7A">
            <w:pPr>
              <w:rPr>
                <w:rFonts w:ascii="Cambria" w:eastAsia="Calibri" w:hAnsi="Cambria" w:cs="Calibri"/>
                <w:sz w:val="22"/>
                <w:szCs w:val="22"/>
              </w:rPr>
            </w:pPr>
            <w:proofErr w:type="spellStart"/>
            <w:r w:rsidRPr="001421C4">
              <w:rPr>
                <w:rFonts w:ascii="Cambria" w:eastAsia="Calibri" w:hAnsi="Cambria" w:cs="Calibri"/>
                <w:sz w:val="22"/>
                <w:szCs w:val="22"/>
              </w:rPr>
              <w:t>Ishodi</w:t>
            </w:r>
            <w:proofErr w:type="spellEnd"/>
            <w:r w:rsidRPr="001421C4">
              <w:rPr>
                <w:rFonts w:ascii="Cambria" w:eastAsia="Calibri" w:hAnsi="Cambria" w:cs="Calibri"/>
                <w:sz w:val="22"/>
                <w:szCs w:val="22"/>
              </w:rPr>
              <w:t xml:space="preserve"> </w:t>
            </w:r>
            <w:proofErr w:type="spellStart"/>
            <w:r w:rsidRPr="001421C4">
              <w:rPr>
                <w:rFonts w:ascii="Cambria" w:eastAsia="Calibri" w:hAnsi="Cambria" w:cs="Calibri"/>
                <w:sz w:val="22"/>
                <w:szCs w:val="22"/>
              </w:rPr>
              <w:t>učenja</w:t>
            </w:r>
            <w:proofErr w:type="spellEnd"/>
          </w:p>
        </w:tc>
        <w:tc>
          <w:tcPr>
            <w:tcW w:w="6735" w:type="dxa"/>
            <w:gridSpan w:val="7"/>
            <w:vAlign w:val="center"/>
            <w:hideMark/>
          </w:tcPr>
          <w:p w14:paraId="6DF12246" w14:textId="77777777" w:rsidR="001421C4" w:rsidRPr="001421C4" w:rsidRDefault="001421C4" w:rsidP="00A034E3">
            <w:pPr>
              <w:pStyle w:val="Odlomakpopisa1"/>
              <w:numPr>
                <w:ilvl w:val="0"/>
                <w:numId w:val="105"/>
              </w:numPr>
              <w:spacing w:before="100" w:beforeAutospacing="1" w:after="100" w:afterAutospacing="1" w:line="273" w:lineRule="auto"/>
              <w:rPr>
                <w:rFonts w:ascii="Cambria" w:hAnsi="Cambria" w:cs="Calibri"/>
                <w:sz w:val="22"/>
                <w:szCs w:val="22"/>
              </w:rPr>
            </w:pPr>
            <w:r w:rsidRPr="001421C4">
              <w:rPr>
                <w:rFonts w:ascii="Cambria" w:hAnsi="Cambria" w:cs="Calibri"/>
                <w:sz w:val="22"/>
                <w:szCs w:val="22"/>
              </w:rPr>
              <w:t>Opisati osnovne pojmove i principe interakcija živih organizama s okolišem</w:t>
            </w:r>
          </w:p>
          <w:p w14:paraId="56BCCFB0" w14:textId="77777777" w:rsidR="001421C4" w:rsidRPr="001421C4" w:rsidRDefault="001421C4" w:rsidP="00A034E3">
            <w:pPr>
              <w:pStyle w:val="Odlomakpopisa1"/>
              <w:numPr>
                <w:ilvl w:val="0"/>
                <w:numId w:val="105"/>
              </w:numPr>
              <w:spacing w:before="100" w:beforeAutospacing="1" w:after="100" w:afterAutospacing="1" w:line="273" w:lineRule="auto"/>
              <w:rPr>
                <w:rFonts w:ascii="Cambria" w:hAnsi="Cambria" w:cs="Calibri"/>
                <w:sz w:val="22"/>
                <w:szCs w:val="22"/>
              </w:rPr>
            </w:pPr>
            <w:r w:rsidRPr="001421C4">
              <w:rPr>
                <w:rFonts w:ascii="Cambria" w:hAnsi="Cambria" w:cs="Calibri"/>
                <w:sz w:val="22"/>
                <w:szCs w:val="22"/>
              </w:rPr>
              <w:t xml:space="preserve">Primijeniti stečena činjenična i teorijska znanja u planiranju odgoja i obrazovanja za održivi razvoj </w:t>
            </w:r>
          </w:p>
          <w:p w14:paraId="2478814F" w14:textId="77777777" w:rsidR="001421C4" w:rsidRPr="001421C4" w:rsidRDefault="001421C4" w:rsidP="00A034E3">
            <w:pPr>
              <w:pStyle w:val="Odlomakpopisa1"/>
              <w:numPr>
                <w:ilvl w:val="0"/>
                <w:numId w:val="105"/>
              </w:numPr>
              <w:spacing w:before="100" w:beforeAutospacing="1" w:after="100" w:afterAutospacing="1" w:line="273" w:lineRule="auto"/>
              <w:rPr>
                <w:rFonts w:ascii="Cambria" w:hAnsi="Cambria" w:cs="Calibri"/>
                <w:sz w:val="22"/>
                <w:szCs w:val="22"/>
              </w:rPr>
            </w:pPr>
            <w:r w:rsidRPr="001421C4">
              <w:rPr>
                <w:rFonts w:ascii="Cambria" w:hAnsi="Cambria" w:cs="Calibri"/>
                <w:sz w:val="22"/>
                <w:szCs w:val="22"/>
              </w:rPr>
              <w:t>Osmisliti, kreirati i prezentirati seminarski rad na određenu temu iz domene ekologije</w:t>
            </w:r>
          </w:p>
          <w:p w14:paraId="3E057C88" w14:textId="77777777" w:rsidR="001421C4" w:rsidRPr="001421C4" w:rsidRDefault="001421C4" w:rsidP="00A034E3">
            <w:pPr>
              <w:pStyle w:val="Odlomakpopisa1"/>
              <w:numPr>
                <w:ilvl w:val="0"/>
                <w:numId w:val="105"/>
              </w:numPr>
              <w:spacing w:before="100" w:beforeAutospacing="1" w:after="100" w:afterAutospacing="1" w:line="273" w:lineRule="auto"/>
              <w:rPr>
                <w:rFonts w:ascii="Cambria" w:hAnsi="Cambria" w:cs="Calibri"/>
                <w:sz w:val="22"/>
                <w:szCs w:val="22"/>
              </w:rPr>
            </w:pPr>
            <w:r w:rsidRPr="001421C4">
              <w:rPr>
                <w:rFonts w:ascii="Cambria" w:hAnsi="Cambria" w:cs="Calibri"/>
                <w:sz w:val="22"/>
                <w:szCs w:val="22"/>
              </w:rPr>
              <w:t>Kritički i argumentirano procjenjivati iznesene zaključke i teze</w:t>
            </w:r>
          </w:p>
          <w:p w14:paraId="73873629" w14:textId="77777777" w:rsidR="001421C4" w:rsidRPr="001421C4" w:rsidRDefault="001421C4" w:rsidP="00A034E3">
            <w:pPr>
              <w:pStyle w:val="Odlomakpopisa1"/>
              <w:numPr>
                <w:ilvl w:val="0"/>
                <w:numId w:val="105"/>
              </w:numPr>
              <w:spacing w:before="100" w:beforeAutospacing="1" w:after="100" w:afterAutospacing="1" w:line="273" w:lineRule="auto"/>
              <w:rPr>
                <w:rFonts w:ascii="Cambria" w:hAnsi="Cambria" w:cs="Calibri"/>
                <w:sz w:val="22"/>
                <w:szCs w:val="22"/>
              </w:rPr>
            </w:pPr>
            <w:r w:rsidRPr="001421C4">
              <w:rPr>
                <w:rFonts w:ascii="Cambria" w:hAnsi="Cambria" w:cs="Calibri"/>
                <w:sz w:val="22"/>
                <w:szCs w:val="22"/>
              </w:rPr>
              <w:t>Tumačiti mogućnosti smanjenja vlastitog utjecaja na okoliš</w:t>
            </w:r>
          </w:p>
          <w:p w14:paraId="2535AB0C" w14:textId="77777777" w:rsidR="001421C4" w:rsidRPr="001421C4" w:rsidRDefault="001421C4" w:rsidP="00A034E3">
            <w:pPr>
              <w:pStyle w:val="Odlomakpopisa1"/>
              <w:numPr>
                <w:ilvl w:val="0"/>
                <w:numId w:val="105"/>
              </w:numPr>
              <w:spacing w:before="100" w:beforeAutospacing="1" w:after="100" w:afterAutospacing="1" w:line="273" w:lineRule="auto"/>
              <w:rPr>
                <w:rFonts w:ascii="Cambria" w:hAnsi="Cambria" w:cs="Calibri"/>
                <w:sz w:val="22"/>
                <w:szCs w:val="22"/>
              </w:rPr>
            </w:pPr>
            <w:r w:rsidRPr="001421C4">
              <w:rPr>
                <w:rFonts w:ascii="Cambria" w:hAnsi="Cambria" w:cs="Calibri"/>
                <w:bCs/>
                <w:sz w:val="22"/>
                <w:szCs w:val="22"/>
              </w:rPr>
              <w:t>Provesti</w:t>
            </w:r>
            <w:r w:rsidRPr="001421C4">
              <w:rPr>
                <w:rFonts w:ascii="Cambria" w:hAnsi="Cambria" w:cs="Calibri"/>
                <w:sz w:val="22"/>
                <w:szCs w:val="22"/>
              </w:rPr>
              <w:t xml:space="preserve"> jednostavnije istraživačke zadatke iz područja ekologije i razvoja ekološke svijesti, vrednovati dobivene rezultate i </w:t>
            </w:r>
            <w:r w:rsidRPr="001421C4">
              <w:rPr>
                <w:rFonts w:ascii="Cambria" w:hAnsi="Cambria" w:cs="Calibri"/>
                <w:bCs/>
                <w:sz w:val="22"/>
                <w:szCs w:val="22"/>
              </w:rPr>
              <w:t>uputiti</w:t>
            </w:r>
            <w:r w:rsidRPr="001421C4">
              <w:rPr>
                <w:rFonts w:ascii="Cambria" w:hAnsi="Cambria" w:cs="Calibri"/>
                <w:sz w:val="22"/>
                <w:szCs w:val="22"/>
              </w:rPr>
              <w:t xml:space="preserve"> na mogućnosti poboljšanja ekološko-pedagoške prakse.</w:t>
            </w:r>
          </w:p>
        </w:tc>
      </w:tr>
      <w:tr w:rsidR="001421C4" w:rsidRPr="001421C4" w14:paraId="0035F03E" w14:textId="77777777" w:rsidTr="00450B7A">
        <w:tc>
          <w:tcPr>
            <w:tcW w:w="2610" w:type="dxa"/>
            <w:shd w:val="clear" w:color="auto" w:fill="F3F3F3"/>
            <w:vAlign w:val="center"/>
            <w:hideMark/>
          </w:tcPr>
          <w:p w14:paraId="04762958" w14:textId="77777777" w:rsidR="001421C4" w:rsidRPr="001421C4" w:rsidRDefault="001421C4" w:rsidP="00450B7A">
            <w:pPr>
              <w:rPr>
                <w:rFonts w:ascii="Cambria" w:eastAsia="Calibri" w:hAnsi="Cambria" w:cs="Calibri"/>
                <w:sz w:val="22"/>
                <w:szCs w:val="22"/>
              </w:rPr>
            </w:pPr>
            <w:proofErr w:type="spellStart"/>
            <w:r w:rsidRPr="001421C4">
              <w:rPr>
                <w:rFonts w:ascii="Cambria" w:eastAsia="Calibri" w:hAnsi="Cambria" w:cs="Calibri"/>
                <w:sz w:val="22"/>
                <w:szCs w:val="22"/>
              </w:rPr>
              <w:t>Sadržaj</w:t>
            </w:r>
            <w:proofErr w:type="spellEnd"/>
            <w:r w:rsidRPr="001421C4">
              <w:rPr>
                <w:rFonts w:ascii="Cambria" w:eastAsia="Calibri" w:hAnsi="Cambria" w:cs="Calibri"/>
                <w:sz w:val="22"/>
                <w:szCs w:val="22"/>
              </w:rPr>
              <w:t xml:space="preserve"> </w:t>
            </w:r>
            <w:proofErr w:type="spellStart"/>
            <w:r w:rsidRPr="001421C4">
              <w:rPr>
                <w:rFonts w:ascii="Cambria" w:eastAsia="Calibri" w:hAnsi="Cambria" w:cs="Calibri"/>
                <w:sz w:val="22"/>
                <w:szCs w:val="22"/>
              </w:rPr>
              <w:t>kolegija</w:t>
            </w:r>
            <w:proofErr w:type="spellEnd"/>
          </w:p>
        </w:tc>
        <w:tc>
          <w:tcPr>
            <w:tcW w:w="6735" w:type="dxa"/>
            <w:gridSpan w:val="7"/>
            <w:vAlign w:val="center"/>
            <w:hideMark/>
          </w:tcPr>
          <w:p w14:paraId="441CD5C8" w14:textId="77777777" w:rsidR="001421C4" w:rsidRPr="001421C4" w:rsidRDefault="001421C4" w:rsidP="00A034E3">
            <w:pPr>
              <w:pStyle w:val="Odlomakpopisa1"/>
              <w:numPr>
                <w:ilvl w:val="0"/>
                <w:numId w:val="106"/>
              </w:numPr>
              <w:tabs>
                <w:tab w:val="left" w:pos="0"/>
                <w:tab w:val="left" w:pos="540"/>
              </w:tabs>
              <w:suppressAutoHyphens/>
              <w:spacing w:before="100" w:beforeAutospacing="1" w:after="100" w:afterAutospacing="1" w:line="273" w:lineRule="auto"/>
              <w:rPr>
                <w:rFonts w:ascii="Cambria" w:hAnsi="Cambria" w:cs="Calibri"/>
                <w:sz w:val="22"/>
                <w:szCs w:val="22"/>
              </w:rPr>
            </w:pPr>
            <w:r w:rsidRPr="001421C4">
              <w:rPr>
                <w:rFonts w:ascii="Cambria" w:hAnsi="Cambria" w:cs="Calibri"/>
                <w:sz w:val="22"/>
                <w:szCs w:val="22"/>
              </w:rPr>
              <w:t>Uvod u ekologiju i ekologija kao znanost</w:t>
            </w:r>
          </w:p>
          <w:p w14:paraId="21423811" w14:textId="77777777" w:rsidR="001421C4" w:rsidRPr="001421C4" w:rsidRDefault="001421C4" w:rsidP="00A034E3">
            <w:pPr>
              <w:pStyle w:val="Odlomakpopisa1"/>
              <w:numPr>
                <w:ilvl w:val="0"/>
                <w:numId w:val="106"/>
              </w:numPr>
              <w:tabs>
                <w:tab w:val="left" w:pos="0"/>
                <w:tab w:val="left" w:pos="540"/>
              </w:tabs>
              <w:suppressAutoHyphens/>
              <w:spacing w:before="100" w:beforeAutospacing="1" w:after="100" w:afterAutospacing="1" w:line="273" w:lineRule="auto"/>
              <w:rPr>
                <w:rFonts w:ascii="Cambria" w:hAnsi="Cambria" w:cs="Calibri"/>
                <w:sz w:val="22"/>
                <w:szCs w:val="22"/>
              </w:rPr>
            </w:pPr>
            <w:r w:rsidRPr="001421C4">
              <w:rPr>
                <w:rFonts w:ascii="Cambria" w:hAnsi="Cambria" w:cs="Calibri"/>
                <w:sz w:val="22"/>
                <w:szCs w:val="22"/>
              </w:rPr>
              <w:t xml:space="preserve">Biotički i abiotički ekološki čimbenici </w:t>
            </w:r>
          </w:p>
          <w:p w14:paraId="046DB8EC" w14:textId="77777777" w:rsidR="001421C4" w:rsidRPr="001421C4" w:rsidRDefault="001421C4" w:rsidP="00A034E3">
            <w:pPr>
              <w:pStyle w:val="Odlomakpopisa1"/>
              <w:numPr>
                <w:ilvl w:val="0"/>
                <w:numId w:val="106"/>
              </w:numPr>
              <w:tabs>
                <w:tab w:val="left" w:pos="0"/>
                <w:tab w:val="left" w:pos="540"/>
              </w:tabs>
              <w:suppressAutoHyphens/>
              <w:spacing w:before="100" w:beforeAutospacing="1" w:after="100" w:afterAutospacing="1" w:line="273" w:lineRule="auto"/>
              <w:rPr>
                <w:rFonts w:ascii="Cambria" w:hAnsi="Cambria" w:cs="Calibri"/>
                <w:sz w:val="22"/>
                <w:szCs w:val="22"/>
              </w:rPr>
            </w:pPr>
            <w:r w:rsidRPr="001421C4">
              <w:rPr>
                <w:rFonts w:ascii="Cambria" w:hAnsi="Cambria" w:cs="Calibri"/>
                <w:sz w:val="22"/>
                <w:szCs w:val="22"/>
              </w:rPr>
              <w:t>Populacije</w:t>
            </w:r>
          </w:p>
          <w:p w14:paraId="005BF9EC" w14:textId="77777777" w:rsidR="001421C4" w:rsidRPr="001421C4" w:rsidRDefault="001421C4" w:rsidP="00A034E3">
            <w:pPr>
              <w:pStyle w:val="Odlomakpopisa1"/>
              <w:numPr>
                <w:ilvl w:val="0"/>
                <w:numId w:val="106"/>
              </w:numPr>
              <w:tabs>
                <w:tab w:val="left" w:pos="0"/>
                <w:tab w:val="left" w:pos="540"/>
              </w:tabs>
              <w:suppressAutoHyphens/>
              <w:spacing w:before="100" w:beforeAutospacing="1" w:after="100" w:afterAutospacing="1" w:line="273" w:lineRule="auto"/>
              <w:rPr>
                <w:rFonts w:ascii="Cambria" w:hAnsi="Cambria" w:cs="Calibri"/>
                <w:sz w:val="22"/>
                <w:szCs w:val="22"/>
              </w:rPr>
            </w:pPr>
            <w:r w:rsidRPr="001421C4">
              <w:rPr>
                <w:rFonts w:ascii="Cambria" w:hAnsi="Cambria" w:cs="Calibri"/>
                <w:sz w:val="22"/>
                <w:szCs w:val="22"/>
              </w:rPr>
              <w:t>Životne zajednice</w:t>
            </w:r>
          </w:p>
          <w:p w14:paraId="638F9173" w14:textId="77777777" w:rsidR="001421C4" w:rsidRPr="001421C4" w:rsidRDefault="001421C4" w:rsidP="00A034E3">
            <w:pPr>
              <w:pStyle w:val="Odlomakpopisa1"/>
              <w:numPr>
                <w:ilvl w:val="0"/>
                <w:numId w:val="106"/>
              </w:numPr>
              <w:tabs>
                <w:tab w:val="left" w:pos="0"/>
                <w:tab w:val="left" w:pos="540"/>
              </w:tabs>
              <w:suppressAutoHyphens/>
              <w:spacing w:before="100" w:beforeAutospacing="1" w:after="100" w:afterAutospacing="1" w:line="273" w:lineRule="auto"/>
              <w:rPr>
                <w:rFonts w:ascii="Cambria" w:hAnsi="Cambria" w:cs="Calibri"/>
                <w:sz w:val="22"/>
                <w:szCs w:val="22"/>
              </w:rPr>
            </w:pPr>
            <w:r w:rsidRPr="001421C4">
              <w:rPr>
                <w:rFonts w:ascii="Cambria" w:hAnsi="Cambria" w:cs="Calibri"/>
                <w:sz w:val="22"/>
                <w:szCs w:val="22"/>
              </w:rPr>
              <w:t>Trofički odnosi, povezanost žive i nežive prirode</w:t>
            </w:r>
          </w:p>
          <w:p w14:paraId="15CBC3E5" w14:textId="77777777" w:rsidR="001421C4" w:rsidRPr="001421C4" w:rsidRDefault="001421C4" w:rsidP="00A034E3">
            <w:pPr>
              <w:pStyle w:val="Odlomakpopisa1"/>
              <w:numPr>
                <w:ilvl w:val="0"/>
                <w:numId w:val="106"/>
              </w:numPr>
              <w:tabs>
                <w:tab w:val="left" w:pos="0"/>
                <w:tab w:val="left" w:pos="540"/>
              </w:tabs>
              <w:suppressAutoHyphens/>
              <w:spacing w:before="100" w:beforeAutospacing="1" w:after="100" w:afterAutospacing="1" w:line="273" w:lineRule="auto"/>
              <w:rPr>
                <w:rFonts w:ascii="Cambria" w:hAnsi="Cambria" w:cs="Calibri"/>
                <w:sz w:val="22"/>
                <w:szCs w:val="22"/>
              </w:rPr>
            </w:pPr>
            <w:r w:rsidRPr="001421C4">
              <w:rPr>
                <w:rFonts w:ascii="Cambria" w:hAnsi="Cambria" w:cs="Calibri"/>
                <w:sz w:val="22"/>
                <w:szCs w:val="22"/>
              </w:rPr>
              <w:t>Antropogeni utjecaj na okoliš i mogućnosti smanjenja utjecaja</w:t>
            </w:r>
          </w:p>
          <w:p w14:paraId="4526E542" w14:textId="77777777" w:rsidR="001421C4" w:rsidRPr="001421C4" w:rsidRDefault="001421C4" w:rsidP="00A034E3">
            <w:pPr>
              <w:pStyle w:val="Odlomakpopisa1"/>
              <w:numPr>
                <w:ilvl w:val="0"/>
                <w:numId w:val="106"/>
              </w:numPr>
              <w:tabs>
                <w:tab w:val="left" w:pos="0"/>
                <w:tab w:val="left" w:pos="540"/>
              </w:tabs>
              <w:suppressAutoHyphens/>
              <w:spacing w:before="100" w:beforeAutospacing="1" w:after="100" w:afterAutospacing="1" w:line="273" w:lineRule="auto"/>
              <w:rPr>
                <w:rFonts w:ascii="Cambria" w:hAnsi="Cambria" w:cs="Calibri"/>
                <w:sz w:val="22"/>
                <w:szCs w:val="22"/>
              </w:rPr>
            </w:pPr>
            <w:r w:rsidRPr="001421C4">
              <w:rPr>
                <w:rFonts w:ascii="Cambria" w:hAnsi="Cambria" w:cs="Calibri"/>
                <w:sz w:val="22"/>
                <w:szCs w:val="22"/>
              </w:rPr>
              <w:t>Zaštita prirode</w:t>
            </w:r>
          </w:p>
        </w:tc>
      </w:tr>
      <w:tr w:rsidR="001421C4" w:rsidRPr="001421C4" w14:paraId="02B68A11" w14:textId="77777777" w:rsidTr="00450B7A">
        <w:tc>
          <w:tcPr>
            <w:tcW w:w="2610" w:type="dxa"/>
            <w:vMerge w:val="restart"/>
            <w:shd w:val="clear" w:color="auto" w:fill="F3F3F3"/>
            <w:vAlign w:val="center"/>
            <w:hideMark/>
          </w:tcPr>
          <w:p w14:paraId="304E3724" w14:textId="77777777" w:rsidR="001421C4" w:rsidRPr="001421C4" w:rsidRDefault="001421C4" w:rsidP="00450B7A">
            <w:pPr>
              <w:rPr>
                <w:rFonts w:ascii="Cambria" w:eastAsia="Calibri" w:hAnsi="Cambria" w:cs="Calibri"/>
                <w:sz w:val="22"/>
                <w:szCs w:val="22"/>
                <w:lang w:val="it-IT"/>
              </w:rPr>
            </w:pPr>
            <w:proofErr w:type="spellStart"/>
            <w:r w:rsidRPr="001421C4">
              <w:rPr>
                <w:rFonts w:ascii="Cambria" w:eastAsia="Calibri" w:hAnsi="Cambria" w:cs="Calibri"/>
                <w:sz w:val="22"/>
                <w:szCs w:val="22"/>
                <w:lang w:val="it-IT"/>
              </w:rPr>
              <w:t>Planirane</w:t>
            </w:r>
            <w:proofErr w:type="spellEnd"/>
            <w:r w:rsidRPr="001421C4">
              <w:rPr>
                <w:rFonts w:ascii="Cambria" w:eastAsia="Calibri" w:hAnsi="Cambria" w:cs="Calibri"/>
                <w:sz w:val="22"/>
                <w:szCs w:val="22"/>
                <w:lang w:val="it-IT"/>
              </w:rPr>
              <w:t xml:space="preserve"> </w:t>
            </w:r>
            <w:proofErr w:type="spellStart"/>
            <w:r w:rsidRPr="001421C4">
              <w:rPr>
                <w:rFonts w:ascii="Cambria" w:eastAsia="Calibri" w:hAnsi="Cambria" w:cs="Calibri"/>
                <w:sz w:val="22"/>
                <w:szCs w:val="22"/>
                <w:lang w:val="it-IT"/>
              </w:rPr>
              <w:t>aktivnosti</w:t>
            </w:r>
            <w:proofErr w:type="spellEnd"/>
            <w:r w:rsidRPr="001421C4">
              <w:rPr>
                <w:rFonts w:ascii="Cambria" w:eastAsia="Calibri" w:hAnsi="Cambria" w:cs="Calibri"/>
                <w:sz w:val="22"/>
                <w:szCs w:val="22"/>
                <w:lang w:val="it-IT"/>
              </w:rPr>
              <w:t>,</w:t>
            </w:r>
          </w:p>
          <w:p w14:paraId="43A637E5" w14:textId="77777777" w:rsidR="001421C4" w:rsidRPr="001421C4" w:rsidRDefault="001421C4" w:rsidP="00450B7A">
            <w:pPr>
              <w:rPr>
                <w:rFonts w:ascii="Cambria" w:eastAsia="Calibri" w:hAnsi="Cambria" w:cs="Calibri"/>
                <w:sz w:val="22"/>
                <w:szCs w:val="22"/>
                <w:lang w:val="it-IT"/>
              </w:rPr>
            </w:pPr>
            <w:proofErr w:type="spellStart"/>
            <w:r w:rsidRPr="001421C4">
              <w:rPr>
                <w:rFonts w:ascii="Cambria" w:eastAsia="Calibri" w:hAnsi="Cambria" w:cs="Calibri"/>
                <w:sz w:val="22"/>
                <w:szCs w:val="22"/>
                <w:lang w:val="it-IT"/>
              </w:rPr>
              <w:t>metode</w:t>
            </w:r>
            <w:proofErr w:type="spellEnd"/>
            <w:r w:rsidRPr="001421C4">
              <w:rPr>
                <w:rFonts w:ascii="Cambria" w:eastAsia="Calibri" w:hAnsi="Cambria" w:cs="Calibri"/>
                <w:sz w:val="22"/>
                <w:szCs w:val="22"/>
                <w:lang w:val="it-IT"/>
              </w:rPr>
              <w:t xml:space="preserve"> </w:t>
            </w:r>
            <w:proofErr w:type="spellStart"/>
            <w:r w:rsidRPr="001421C4">
              <w:rPr>
                <w:rFonts w:ascii="Cambria" w:eastAsia="Calibri" w:hAnsi="Cambria" w:cs="Calibri"/>
                <w:sz w:val="22"/>
                <w:szCs w:val="22"/>
                <w:lang w:val="it-IT"/>
              </w:rPr>
              <w:t>učenja</w:t>
            </w:r>
            <w:proofErr w:type="spellEnd"/>
            <w:r w:rsidRPr="001421C4">
              <w:rPr>
                <w:rFonts w:ascii="Cambria" w:eastAsia="Calibri" w:hAnsi="Cambria" w:cs="Calibri"/>
                <w:sz w:val="22"/>
                <w:szCs w:val="22"/>
                <w:lang w:val="it-IT"/>
              </w:rPr>
              <w:t xml:space="preserve"> i </w:t>
            </w:r>
            <w:proofErr w:type="spellStart"/>
            <w:r w:rsidRPr="001421C4">
              <w:rPr>
                <w:rFonts w:ascii="Cambria" w:eastAsia="Calibri" w:hAnsi="Cambria" w:cs="Calibri"/>
                <w:sz w:val="22"/>
                <w:szCs w:val="22"/>
                <w:lang w:val="it-IT"/>
              </w:rPr>
              <w:t>poučavanja</w:t>
            </w:r>
            <w:proofErr w:type="spellEnd"/>
            <w:r w:rsidRPr="001421C4">
              <w:rPr>
                <w:rFonts w:ascii="Cambria" w:eastAsia="Calibri" w:hAnsi="Cambria" w:cs="Calibri"/>
                <w:sz w:val="22"/>
                <w:szCs w:val="22"/>
                <w:lang w:val="it-IT"/>
              </w:rPr>
              <w:t xml:space="preserve"> i </w:t>
            </w:r>
            <w:proofErr w:type="spellStart"/>
            <w:r w:rsidRPr="001421C4">
              <w:rPr>
                <w:rFonts w:ascii="Cambria" w:eastAsia="Calibri" w:hAnsi="Cambria" w:cs="Calibri"/>
                <w:sz w:val="22"/>
                <w:szCs w:val="22"/>
                <w:lang w:val="it-IT"/>
              </w:rPr>
              <w:t>načini</w:t>
            </w:r>
            <w:proofErr w:type="spellEnd"/>
            <w:r w:rsidRPr="001421C4">
              <w:rPr>
                <w:rFonts w:ascii="Cambria" w:eastAsia="Calibri" w:hAnsi="Cambria" w:cs="Calibri"/>
                <w:sz w:val="22"/>
                <w:szCs w:val="22"/>
                <w:lang w:val="it-IT"/>
              </w:rPr>
              <w:t xml:space="preserve"> </w:t>
            </w:r>
            <w:proofErr w:type="spellStart"/>
            <w:r w:rsidRPr="001421C4">
              <w:rPr>
                <w:rFonts w:ascii="Cambria" w:eastAsia="Calibri" w:hAnsi="Cambria" w:cs="Calibri"/>
                <w:sz w:val="22"/>
                <w:szCs w:val="22"/>
                <w:lang w:val="it-IT"/>
              </w:rPr>
              <w:t>vrednovanja</w:t>
            </w:r>
            <w:proofErr w:type="spellEnd"/>
          </w:p>
        </w:tc>
        <w:tc>
          <w:tcPr>
            <w:tcW w:w="2580" w:type="dxa"/>
            <w:gridSpan w:val="2"/>
            <w:vAlign w:val="center"/>
            <w:hideMark/>
          </w:tcPr>
          <w:p w14:paraId="5ABB2FEB" w14:textId="77777777" w:rsidR="001421C4" w:rsidRPr="001421C4" w:rsidRDefault="001421C4" w:rsidP="00450B7A">
            <w:pPr>
              <w:rPr>
                <w:rFonts w:ascii="Cambria" w:eastAsia="Calibri" w:hAnsi="Cambria" w:cs="Calibri"/>
                <w:sz w:val="22"/>
                <w:szCs w:val="22"/>
              </w:rPr>
            </w:pPr>
            <w:proofErr w:type="spellStart"/>
            <w:r w:rsidRPr="001421C4">
              <w:rPr>
                <w:rFonts w:ascii="Cambria" w:eastAsia="Calibri" w:hAnsi="Cambria" w:cs="Calibri"/>
                <w:bCs/>
                <w:sz w:val="22"/>
                <w:szCs w:val="22"/>
              </w:rPr>
              <w:t>Obveze</w:t>
            </w:r>
            <w:proofErr w:type="spellEnd"/>
          </w:p>
        </w:tc>
        <w:tc>
          <w:tcPr>
            <w:tcW w:w="1095" w:type="dxa"/>
            <w:vAlign w:val="center"/>
            <w:hideMark/>
          </w:tcPr>
          <w:p w14:paraId="5A2A4181" w14:textId="77777777" w:rsidR="001421C4" w:rsidRPr="001421C4" w:rsidRDefault="001421C4" w:rsidP="00450B7A">
            <w:pPr>
              <w:rPr>
                <w:rFonts w:ascii="Cambria" w:eastAsia="Calibri" w:hAnsi="Cambria" w:cs="Calibri"/>
                <w:sz w:val="22"/>
                <w:szCs w:val="22"/>
              </w:rPr>
            </w:pPr>
            <w:proofErr w:type="spellStart"/>
            <w:r w:rsidRPr="001421C4">
              <w:rPr>
                <w:rFonts w:ascii="Cambria" w:eastAsia="Calibri" w:hAnsi="Cambria" w:cs="Calibri"/>
                <w:bCs/>
                <w:sz w:val="22"/>
                <w:szCs w:val="22"/>
              </w:rPr>
              <w:t>Ishodi</w:t>
            </w:r>
            <w:proofErr w:type="spellEnd"/>
          </w:p>
        </w:tc>
        <w:tc>
          <w:tcPr>
            <w:tcW w:w="720" w:type="dxa"/>
            <w:gridSpan w:val="2"/>
            <w:vAlign w:val="center"/>
            <w:hideMark/>
          </w:tcPr>
          <w:p w14:paraId="221FEABA" w14:textId="77777777" w:rsidR="001421C4" w:rsidRPr="001421C4" w:rsidRDefault="001421C4" w:rsidP="00450B7A">
            <w:pPr>
              <w:rPr>
                <w:rFonts w:ascii="Cambria" w:eastAsia="Calibri" w:hAnsi="Cambria" w:cs="Calibri"/>
                <w:sz w:val="22"/>
                <w:szCs w:val="22"/>
              </w:rPr>
            </w:pPr>
            <w:r w:rsidRPr="001421C4">
              <w:rPr>
                <w:rFonts w:ascii="Cambria" w:eastAsia="Calibri" w:hAnsi="Cambria" w:cs="Calibri"/>
                <w:bCs/>
                <w:sz w:val="22"/>
                <w:szCs w:val="22"/>
              </w:rPr>
              <w:t>Sati</w:t>
            </w:r>
          </w:p>
        </w:tc>
        <w:tc>
          <w:tcPr>
            <w:tcW w:w="1005" w:type="dxa"/>
            <w:vAlign w:val="center"/>
            <w:hideMark/>
          </w:tcPr>
          <w:p w14:paraId="3D7C9486" w14:textId="77777777" w:rsidR="001421C4" w:rsidRPr="001421C4" w:rsidRDefault="001421C4" w:rsidP="00450B7A">
            <w:pPr>
              <w:rPr>
                <w:rFonts w:ascii="Cambria" w:eastAsia="Calibri" w:hAnsi="Cambria" w:cs="Calibri"/>
                <w:sz w:val="22"/>
                <w:szCs w:val="22"/>
              </w:rPr>
            </w:pPr>
            <w:r w:rsidRPr="001421C4">
              <w:rPr>
                <w:rFonts w:ascii="Cambria" w:eastAsia="Calibri" w:hAnsi="Cambria" w:cs="Calibri"/>
                <w:bCs/>
                <w:sz w:val="22"/>
                <w:szCs w:val="22"/>
              </w:rPr>
              <w:t xml:space="preserve">ECTS </w:t>
            </w:r>
            <w:proofErr w:type="spellStart"/>
            <w:r w:rsidRPr="001421C4">
              <w:rPr>
                <w:rFonts w:ascii="Cambria" w:eastAsia="Calibri" w:hAnsi="Cambria" w:cs="Calibri"/>
                <w:bCs/>
                <w:sz w:val="22"/>
                <w:szCs w:val="22"/>
              </w:rPr>
              <w:t>bodovi</w:t>
            </w:r>
            <w:proofErr w:type="spellEnd"/>
          </w:p>
        </w:tc>
        <w:tc>
          <w:tcPr>
            <w:tcW w:w="1335" w:type="dxa"/>
            <w:vAlign w:val="center"/>
            <w:hideMark/>
          </w:tcPr>
          <w:p w14:paraId="6F5A9FEF" w14:textId="77777777" w:rsidR="001421C4" w:rsidRPr="001421C4" w:rsidRDefault="001421C4" w:rsidP="00450B7A">
            <w:pPr>
              <w:rPr>
                <w:rFonts w:ascii="Cambria" w:eastAsia="Calibri" w:hAnsi="Cambria" w:cs="Calibri"/>
                <w:sz w:val="22"/>
                <w:szCs w:val="22"/>
              </w:rPr>
            </w:pPr>
            <w:proofErr w:type="spellStart"/>
            <w:r w:rsidRPr="001421C4">
              <w:rPr>
                <w:rFonts w:ascii="Cambria" w:eastAsia="Calibri" w:hAnsi="Cambria" w:cs="Calibri"/>
                <w:bCs/>
                <w:sz w:val="22"/>
                <w:szCs w:val="22"/>
              </w:rPr>
              <w:t>Maksimalni</w:t>
            </w:r>
            <w:proofErr w:type="spellEnd"/>
            <w:r w:rsidRPr="001421C4">
              <w:rPr>
                <w:rFonts w:ascii="Cambria" w:eastAsia="Calibri" w:hAnsi="Cambria" w:cs="Calibri"/>
                <w:bCs/>
                <w:sz w:val="22"/>
                <w:szCs w:val="22"/>
              </w:rPr>
              <w:t xml:space="preserve"> </w:t>
            </w:r>
            <w:proofErr w:type="spellStart"/>
            <w:r w:rsidRPr="001421C4">
              <w:rPr>
                <w:rFonts w:ascii="Cambria" w:eastAsia="Calibri" w:hAnsi="Cambria" w:cs="Calibri"/>
                <w:bCs/>
                <w:sz w:val="22"/>
                <w:szCs w:val="22"/>
              </w:rPr>
              <w:t>udio</w:t>
            </w:r>
            <w:proofErr w:type="spellEnd"/>
            <w:r w:rsidRPr="001421C4">
              <w:rPr>
                <w:rFonts w:ascii="Cambria" w:eastAsia="Calibri" w:hAnsi="Cambria" w:cs="Calibri"/>
                <w:bCs/>
                <w:sz w:val="22"/>
                <w:szCs w:val="22"/>
              </w:rPr>
              <w:t xml:space="preserve"> u </w:t>
            </w:r>
            <w:proofErr w:type="spellStart"/>
            <w:r w:rsidRPr="001421C4">
              <w:rPr>
                <w:rFonts w:ascii="Cambria" w:eastAsia="Calibri" w:hAnsi="Cambria" w:cs="Calibri"/>
                <w:bCs/>
                <w:sz w:val="22"/>
                <w:szCs w:val="22"/>
              </w:rPr>
              <w:t>ocjeni</w:t>
            </w:r>
            <w:proofErr w:type="spellEnd"/>
            <w:r w:rsidRPr="001421C4">
              <w:rPr>
                <w:rFonts w:ascii="Cambria" w:eastAsia="Calibri" w:hAnsi="Cambria" w:cs="Calibri"/>
                <w:bCs/>
                <w:sz w:val="22"/>
                <w:szCs w:val="22"/>
              </w:rPr>
              <w:t xml:space="preserve"> (%)</w:t>
            </w:r>
          </w:p>
        </w:tc>
      </w:tr>
      <w:tr w:rsidR="001421C4" w:rsidRPr="001421C4" w14:paraId="7E21F445" w14:textId="77777777" w:rsidTr="00450B7A">
        <w:tc>
          <w:tcPr>
            <w:tcW w:w="2610" w:type="dxa"/>
            <w:vMerge/>
            <w:vAlign w:val="center"/>
            <w:hideMark/>
          </w:tcPr>
          <w:p w14:paraId="2FDB5391" w14:textId="77777777" w:rsidR="001421C4" w:rsidRPr="001421C4" w:rsidRDefault="001421C4" w:rsidP="00450B7A">
            <w:pPr>
              <w:rPr>
                <w:rFonts w:ascii="Cambria" w:eastAsia="Calibri" w:hAnsi="Cambria" w:cs="Calibri"/>
                <w:sz w:val="22"/>
                <w:szCs w:val="22"/>
              </w:rPr>
            </w:pPr>
          </w:p>
        </w:tc>
        <w:tc>
          <w:tcPr>
            <w:tcW w:w="2580" w:type="dxa"/>
            <w:gridSpan w:val="2"/>
            <w:hideMark/>
          </w:tcPr>
          <w:p w14:paraId="0C21ADA9" w14:textId="77777777" w:rsidR="001421C4" w:rsidRPr="001421C4" w:rsidRDefault="001421C4" w:rsidP="00450B7A">
            <w:pPr>
              <w:rPr>
                <w:rFonts w:ascii="Cambria" w:eastAsia="Calibri" w:hAnsi="Cambria" w:cs="Calibri"/>
                <w:sz w:val="22"/>
                <w:szCs w:val="22"/>
                <w:lang w:val="it-IT"/>
              </w:rPr>
            </w:pPr>
            <w:proofErr w:type="spellStart"/>
            <w:r w:rsidRPr="001421C4">
              <w:rPr>
                <w:rFonts w:ascii="Cambria" w:eastAsia="Calibri" w:hAnsi="Cambria" w:cs="Calibri"/>
                <w:sz w:val="22"/>
                <w:szCs w:val="22"/>
                <w:lang w:val="it-IT"/>
              </w:rPr>
              <w:t>aktivnost</w:t>
            </w:r>
            <w:proofErr w:type="spellEnd"/>
            <w:r w:rsidRPr="001421C4">
              <w:rPr>
                <w:rFonts w:ascii="Cambria" w:eastAsia="Calibri" w:hAnsi="Cambria" w:cs="Calibri"/>
                <w:sz w:val="22"/>
                <w:szCs w:val="22"/>
                <w:lang w:val="it-IT"/>
              </w:rPr>
              <w:t xml:space="preserve"> u </w:t>
            </w:r>
            <w:proofErr w:type="spellStart"/>
            <w:r w:rsidRPr="001421C4">
              <w:rPr>
                <w:rFonts w:ascii="Cambria" w:eastAsia="Calibri" w:hAnsi="Cambria" w:cs="Calibri"/>
                <w:sz w:val="22"/>
                <w:szCs w:val="22"/>
                <w:lang w:val="it-IT"/>
              </w:rPr>
              <w:t>nastavi</w:t>
            </w:r>
            <w:proofErr w:type="spellEnd"/>
            <w:r w:rsidRPr="001421C4">
              <w:rPr>
                <w:rFonts w:ascii="Cambria" w:eastAsia="Calibri" w:hAnsi="Cambria" w:cs="Calibri"/>
                <w:sz w:val="22"/>
                <w:szCs w:val="22"/>
                <w:lang w:val="it-IT"/>
              </w:rPr>
              <w:t xml:space="preserve"> (P i S)</w:t>
            </w:r>
          </w:p>
        </w:tc>
        <w:tc>
          <w:tcPr>
            <w:tcW w:w="1095" w:type="dxa"/>
            <w:vAlign w:val="center"/>
            <w:hideMark/>
          </w:tcPr>
          <w:p w14:paraId="030FD78F" w14:textId="77777777" w:rsidR="001421C4" w:rsidRPr="001421C4" w:rsidRDefault="001421C4" w:rsidP="00450B7A">
            <w:pPr>
              <w:rPr>
                <w:rFonts w:ascii="Cambria" w:eastAsia="Calibri" w:hAnsi="Cambria" w:cs="Calibri"/>
                <w:sz w:val="22"/>
                <w:szCs w:val="22"/>
              </w:rPr>
            </w:pPr>
            <w:r w:rsidRPr="001421C4">
              <w:rPr>
                <w:rFonts w:ascii="Cambria" w:eastAsia="Calibri" w:hAnsi="Cambria" w:cs="Calibri"/>
                <w:sz w:val="22"/>
                <w:szCs w:val="22"/>
                <w:lang w:val="it-IT"/>
              </w:rPr>
              <w:t> </w:t>
            </w:r>
            <w:r w:rsidRPr="001421C4">
              <w:rPr>
                <w:rFonts w:ascii="Cambria" w:eastAsia="Calibri" w:hAnsi="Cambria" w:cs="Calibri"/>
                <w:sz w:val="22"/>
                <w:szCs w:val="22"/>
              </w:rPr>
              <w:t>1.,2.,</w:t>
            </w:r>
          </w:p>
          <w:p w14:paraId="11CD2E0B" w14:textId="77777777" w:rsidR="001421C4" w:rsidRPr="001421C4" w:rsidRDefault="001421C4" w:rsidP="00450B7A">
            <w:pPr>
              <w:rPr>
                <w:rFonts w:ascii="Cambria" w:eastAsia="Calibri" w:hAnsi="Cambria" w:cs="Calibri"/>
                <w:sz w:val="22"/>
                <w:szCs w:val="22"/>
              </w:rPr>
            </w:pPr>
            <w:r w:rsidRPr="001421C4">
              <w:rPr>
                <w:rFonts w:ascii="Cambria" w:eastAsia="Calibri" w:hAnsi="Cambria" w:cs="Calibri"/>
                <w:sz w:val="22"/>
                <w:szCs w:val="22"/>
              </w:rPr>
              <w:t>4.,5.</w:t>
            </w:r>
          </w:p>
        </w:tc>
        <w:tc>
          <w:tcPr>
            <w:tcW w:w="720" w:type="dxa"/>
            <w:gridSpan w:val="2"/>
            <w:vAlign w:val="center"/>
            <w:hideMark/>
          </w:tcPr>
          <w:p w14:paraId="076C0C1B" w14:textId="77777777" w:rsidR="001421C4" w:rsidRPr="001421C4" w:rsidRDefault="001421C4" w:rsidP="00450B7A">
            <w:pPr>
              <w:jc w:val="center"/>
              <w:rPr>
                <w:rFonts w:ascii="Cambria" w:eastAsia="Calibri" w:hAnsi="Cambria" w:cs="Calibri"/>
                <w:sz w:val="22"/>
                <w:szCs w:val="22"/>
              </w:rPr>
            </w:pPr>
            <w:r w:rsidRPr="001421C4">
              <w:rPr>
                <w:rFonts w:ascii="Cambria" w:eastAsia="Calibri" w:hAnsi="Cambria" w:cs="Calibri"/>
                <w:sz w:val="22"/>
                <w:szCs w:val="22"/>
              </w:rPr>
              <w:t>34</w:t>
            </w:r>
          </w:p>
        </w:tc>
        <w:tc>
          <w:tcPr>
            <w:tcW w:w="1005" w:type="dxa"/>
            <w:vAlign w:val="center"/>
            <w:hideMark/>
          </w:tcPr>
          <w:p w14:paraId="57192373" w14:textId="77777777" w:rsidR="001421C4" w:rsidRPr="001421C4" w:rsidRDefault="001421C4" w:rsidP="00450B7A">
            <w:pPr>
              <w:jc w:val="center"/>
              <w:rPr>
                <w:rFonts w:ascii="Cambria" w:eastAsia="Calibri" w:hAnsi="Cambria" w:cs="Calibri"/>
                <w:sz w:val="22"/>
                <w:szCs w:val="22"/>
              </w:rPr>
            </w:pPr>
            <w:r w:rsidRPr="001421C4">
              <w:rPr>
                <w:rFonts w:ascii="Cambria" w:eastAsia="Calibri" w:hAnsi="Cambria" w:cs="Calibri"/>
                <w:sz w:val="22"/>
                <w:szCs w:val="22"/>
              </w:rPr>
              <w:t>1,1</w:t>
            </w:r>
          </w:p>
        </w:tc>
        <w:tc>
          <w:tcPr>
            <w:tcW w:w="1335" w:type="dxa"/>
            <w:vAlign w:val="center"/>
            <w:hideMark/>
          </w:tcPr>
          <w:p w14:paraId="7A71E317" w14:textId="77777777" w:rsidR="001421C4" w:rsidRPr="001421C4" w:rsidRDefault="001421C4" w:rsidP="00450B7A">
            <w:pPr>
              <w:jc w:val="center"/>
              <w:rPr>
                <w:rFonts w:ascii="Cambria" w:eastAsia="Calibri" w:hAnsi="Cambria" w:cs="Calibri"/>
                <w:sz w:val="22"/>
                <w:szCs w:val="22"/>
              </w:rPr>
            </w:pPr>
            <w:r w:rsidRPr="001421C4">
              <w:rPr>
                <w:rFonts w:ascii="Cambria" w:eastAsia="Calibri" w:hAnsi="Cambria" w:cs="Calibri"/>
                <w:sz w:val="22"/>
                <w:szCs w:val="22"/>
              </w:rPr>
              <w:t>15%</w:t>
            </w:r>
          </w:p>
        </w:tc>
      </w:tr>
      <w:tr w:rsidR="001421C4" w:rsidRPr="001421C4" w14:paraId="0B3DA9BA" w14:textId="77777777" w:rsidTr="00450B7A">
        <w:tc>
          <w:tcPr>
            <w:tcW w:w="2610" w:type="dxa"/>
            <w:vMerge/>
            <w:vAlign w:val="center"/>
            <w:hideMark/>
          </w:tcPr>
          <w:p w14:paraId="77A4F246" w14:textId="77777777" w:rsidR="001421C4" w:rsidRPr="001421C4" w:rsidRDefault="001421C4" w:rsidP="00450B7A">
            <w:pPr>
              <w:rPr>
                <w:rFonts w:ascii="Cambria" w:eastAsia="Calibri" w:hAnsi="Cambria" w:cs="Calibri"/>
                <w:sz w:val="22"/>
                <w:szCs w:val="22"/>
              </w:rPr>
            </w:pPr>
          </w:p>
        </w:tc>
        <w:tc>
          <w:tcPr>
            <w:tcW w:w="2580" w:type="dxa"/>
            <w:gridSpan w:val="2"/>
            <w:hideMark/>
          </w:tcPr>
          <w:p w14:paraId="0DEF6756" w14:textId="77777777" w:rsidR="001421C4" w:rsidRPr="001421C4" w:rsidRDefault="001421C4" w:rsidP="00450B7A">
            <w:pPr>
              <w:rPr>
                <w:rFonts w:ascii="Cambria" w:eastAsia="Calibri" w:hAnsi="Cambria" w:cs="Calibri"/>
                <w:sz w:val="22"/>
                <w:szCs w:val="22"/>
              </w:rPr>
            </w:pPr>
            <w:proofErr w:type="spellStart"/>
            <w:r w:rsidRPr="001421C4">
              <w:rPr>
                <w:rFonts w:ascii="Cambria" w:eastAsia="Calibri" w:hAnsi="Cambria" w:cs="Calibri"/>
                <w:sz w:val="22"/>
                <w:szCs w:val="22"/>
              </w:rPr>
              <w:t>seminarski</w:t>
            </w:r>
            <w:proofErr w:type="spellEnd"/>
            <w:r w:rsidRPr="001421C4">
              <w:rPr>
                <w:rFonts w:ascii="Cambria" w:eastAsia="Calibri" w:hAnsi="Cambria" w:cs="Calibri"/>
                <w:sz w:val="22"/>
                <w:szCs w:val="22"/>
              </w:rPr>
              <w:t xml:space="preserve"> rad</w:t>
            </w:r>
          </w:p>
        </w:tc>
        <w:tc>
          <w:tcPr>
            <w:tcW w:w="1095" w:type="dxa"/>
            <w:vAlign w:val="center"/>
            <w:hideMark/>
          </w:tcPr>
          <w:p w14:paraId="345C041E" w14:textId="77777777" w:rsidR="001421C4" w:rsidRPr="001421C4" w:rsidRDefault="001421C4" w:rsidP="00450B7A">
            <w:pPr>
              <w:rPr>
                <w:rFonts w:ascii="Cambria" w:eastAsia="Calibri" w:hAnsi="Cambria" w:cs="Calibri"/>
                <w:sz w:val="22"/>
                <w:szCs w:val="22"/>
              </w:rPr>
            </w:pPr>
            <w:r w:rsidRPr="001421C4">
              <w:rPr>
                <w:rFonts w:ascii="Cambria" w:eastAsia="Calibri" w:hAnsi="Cambria" w:cs="Calibri"/>
                <w:sz w:val="22"/>
                <w:szCs w:val="22"/>
              </w:rPr>
              <w:t> 2.-5.</w:t>
            </w:r>
          </w:p>
        </w:tc>
        <w:tc>
          <w:tcPr>
            <w:tcW w:w="720" w:type="dxa"/>
            <w:gridSpan w:val="2"/>
            <w:vAlign w:val="center"/>
            <w:hideMark/>
          </w:tcPr>
          <w:p w14:paraId="4916BD60" w14:textId="77777777" w:rsidR="001421C4" w:rsidRPr="001421C4" w:rsidRDefault="001421C4" w:rsidP="00450B7A">
            <w:pPr>
              <w:jc w:val="center"/>
              <w:rPr>
                <w:rFonts w:ascii="Cambria" w:eastAsia="Calibri" w:hAnsi="Cambria" w:cs="Calibri"/>
                <w:sz w:val="22"/>
                <w:szCs w:val="22"/>
              </w:rPr>
            </w:pPr>
            <w:r w:rsidRPr="001421C4">
              <w:rPr>
                <w:rFonts w:ascii="Cambria" w:eastAsia="Calibri" w:hAnsi="Cambria" w:cs="Calibri"/>
                <w:sz w:val="22"/>
                <w:szCs w:val="22"/>
              </w:rPr>
              <w:t>14</w:t>
            </w:r>
          </w:p>
        </w:tc>
        <w:tc>
          <w:tcPr>
            <w:tcW w:w="1005" w:type="dxa"/>
            <w:vAlign w:val="center"/>
            <w:hideMark/>
          </w:tcPr>
          <w:p w14:paraId="086BFAD9" w14:textId="77777777" w:rsidR="001421C4" w:rsidRPr="001421C4" w:rsidRDefault="001421C4" w:rsidP="00450B7A">
            <w:pPr>
              <w:jc w:val="center"/>
              <w:rPr>
                <w:rFonts w:ascii="Cambria" w:eastAsia="Calibri" w:hAnsi="Cambria" w:cs="Calibri"/>
                <w:sz w:val="22"/>
                <w:szCs w:val="22"/>
              </w:rPr>
            </w:pPr>
            <w:r w:rsidRPr="001421C4">
              <w:rPr>
                <w:rFonts w:ascii="Cambria" w:eastAsia="Calibri" w:hAnsi="Cambria" w:cs="Calibri"/>
                <w:sz w:val="22"/>
                <w:szCs w:val="22"/>
              </w:rPr>
              <w:t>0,5</w:t>
            </w:r>
          </w:p>
        </w:tc>
        <w:tc>
          <w:tcPr>
            <w:tcW w:w="1335" w:type="dxa"/>
            <w:vAlign w:val="center"/>
            <w:hideMark/>
          </w:tcPr>
          <w:p w14:paraId="31830AAF" w14:textId="77777777" w:rsidR="001421C4" w:rsidRPr="001421C4" w:rsidRDefault="001421C4" w:rsidP="00450B7A">
            <w:pPr>
              <w:jc w:val="center"/>
              <w:rPr>
                <w:rFonts w:ascii="Cambria" w:eastAsia="Calibri" w:hAnsi="Cambria" w:cs="Calibri"/>
                <w:sz w:val="22"/>
                <w:szCs w:val="22"/>
              </w:rPr>
            </w:pPr>
            <w:r w:rsidRPr="001421C4">
              <w:rPr>
                <w:rFonts w:ascii="Cambria" w:eastAsia="Calibri" w:hAnsi="Cambria" w:cs="Calibri"/>
                <w:sz w:val="22"/>
                <w:szCs w:val="22"/>
              </w:rPr>
              <w:t>15%</w:t>
            </w:r>
          </w:p>
        </w:tc>
      </w:tr>
      <w:tr w:rsidR="001421C4" w:rsidRPr="001421C4" w14:paraId="426E6519" w14:textId="77777777" w:rsidTr="00450B7A">
        <w:tc>
          <w:tcPr>
            <w:tcW w:w="2610" w:type="dxa"/>
            <w:vMerge/>
            <w:vAlign w:val="center"/>
            <w:hideMark/>
          </w:tcPr>
          <w:p w14:paraId="57A5095A" w14:textId="77777777" w:rsidR="001421C4" w:rsidRPr="001421C4" w:rsidRDefault="001421C4" w:rsidP="00450B7A">
            <w:pPr>
              <w:rPr>
                <w:rFonts w:ascii="Cambria" w:eastAsia="Calibri" w:hAnsi="Cambria" w:cs="Calibri"/>
                <w:sz w:val="22"/>
                <w:szCs w:val="22"/>
              </w:rPr>
            </w:pPr>
          </w:p>
        </w:tc>
        <w:tc>
          <w:tcPr>
            <w:tcW w:w="2580" w:type="dxa"/>
            <w:gridSpan w:val="2"/>
            <w:hideMark/>
          </w:tcPr>
          <w:p w14:paraId="7164B827" w14:textId="77777777" w:rsidR="001421C4" w:rsidRPr="001421C4" w:rsidRDefault="001421C4" w:rsidP="00450B7A">
            <w:pPr>
              <w:rPr>
                <w:rFonts w:ascii="Cambria" w:eastAsia="Calibri" w:hAnsi="Cambria" w:cs="Calibri"/>
                <w:sz w:val="22"/>
                <w:szCs w:val="22"/>
              </w:rPr>
            </w:pPr>
            <w:proofErr w:type="spellStart"/>
            <w:r w:rsidRPr="001421C4">
              <w:rPr>
                <w:rFonts w:ascii="Cambria" w:eastAsia="Calibri" w:hAnsi="Cambria" w:cs="Calibri"/>
                <w:sz w:val="22"/>
                <w:szCs w:val="22"/>
              </w:rPr>
              <w:t>kolokviji</w:t>
            </w:r>
            <w:proofErr w:type="spellEnd"/>
            <w:r w:rsidRPr="001421C4">
              <w:rPr>
                <w:rFonts w:ascii="Cambria" w:eastAsia="Calibri" w:hAnsi="Cambria" w:cs="Calibri"/>
                <w:sz w:val="22"/>
                <w:szCs w:val="22"/>
              </w:rPr>
              <w:t xml:space="preserve"> (2 </w:t>
            </w:r>
            <w:proofErr w:type="spellStart"/>
            <w:r w:rsidRPr="001421C4">
              <w:rPr>
                <w:rFonts w:ascii="Cambria" w:eastAsia="Calibri" w:hAnsi="Cambria" w:cs="Calibri"/>
                <w:sz w:val="22"/>
                <w:szCs w:val="22"/>
              </w:rPr>
              <w:t>pisana</w:t>
            </w:r>
            <w:proofErr w:type="spellEnd"/>
            <w:r w:rsidRPr="001421C4">
              <w:rPr>
                <w:rFonts w:ascii="Cambria" w:eastAsia="Calibri" w:hAnsi="Cambria" w:cs="Calibri"/>
                <w:sz w:val="22"/>
                <w:szCs w:val="22"/>
              </w:rPr>
              <w:t>)</w:t>
            </w:r>
          </w:p>
        </w:tc>
        <w:tc>
          <w:tcPr>
            <w:tcW w:w="1095" w:type="dxa"/>
            <w:vAlign w:val="center"/>
            <w:hideMark/>
          </w:tcPr>
          <w:p w14:paraId="3FF9B70A" w14:textId="77777777" w:rsidR="001421C4" w:rsidRPr="001421C4" w:rsidRDefault="001421C4" w:rsidP="00450B7A">
            <w:pPr>
              <w:rPr>
                <w:rFonts w:ascii="Cambria" w:eastAsia="Calibri" w:hAnsi="Cambria" w:cs="Calibri"/>
                <w:sz w:val="22"/>
                <w:szCs w:val="22"/>
              </w:rPr>
            </w:pPr>
            <w:r w:rsidRPr="001421C4">
              <w:rPr>
                <w:rFonts w:ascii="Cambria" w:eastAsia="Calibri" w:hAnsi="Cambria" w:cs="Calibri"/>
                <w:sz w:val="22"/>
                <w:szCs w:val="22"/>
              </w:rPr>
              <w:t> 1.,4.</w:t>
            </w:r>
          </w:p>
        </w:tc>
        <w:tc>
          <w:tcPr>
            <w:tcW w:w="720" w:type="dxa"/>
            <w:gridSpan w:val="2"/>
            <w:vAlign w:val="center"/>
            <w:hideMark/>
          </w:tcPr>
          <w:p w14:paraId="69EFD2AC" w14:textId="77777777" w:rsidR="001421C4" w:rsidRPr="001421C4" w:rsidRDefault="001421C4" w:rsidP="00450B7A">
            <w:pPr>
              <w:jc w:val="center"/>
              <w:rPr>
                <w:rFonts w:ascii="Cambria" w:eastAsia="Calibri" w:hAnsi="Cambria" w:cs="Calibri"/>
                <w:sz w:val="22"/>
                <w:szCs w:val="22"/>
              </w:rPr>
            </w:pPr>
            <w:r w:rsidRPr="001421C4">
              <w:rPr>
                <w:rFonts w:ascii="Cambria" w:eastAsia="Calibri" w:hAnsi="Cambria" w:cs="Calibri"/>
                <w:sz w:val="22"/>
                <w:szCs w:val="22"/>
              </w:rPr>
              <w:t>20</w:t>
            </w:r>
          </w:p>
        </w:tc>
        <w:tc>
          <w:tcPr>
            <w:tcW w:w="1005" w:type="dxa"/>
            <w:vAlign w:val="center"/>
            <w:hideMark/>
          </w:tcPr>
          <w:p w14:paraId="3071FABC" w14:textId="77777777" w:rsidR="001421C4" w:rsidRPr="001421C4" w:rsidRDefault="001421C4" w:rsidP="00450B7A">
            <w:pPr>
              <w:jc w:val="center"/>
              <w:rPr>
                <w:rFonts w:ascii="Cambria" w:eastAsia="Calibri" w:hAnsi="Cambria" w:cs="Calibri"/>
                <w:sz w:val="22"/>
                <w:szCs w:val="22"/>
              </w:rPr>
            </w:pPr>
            <w:r w:rsidRPr="001421C4">
              <w:rPr>
                <w:rFonts w:ascii="Cambria" w:eastAsia="Calibri" w:hAnsi="Cambria" w:cs="Calibri"/>
                <w:sz w:val="22"/>
                <w:szCs w:val="22"/>
              </w:rPr>
              <w:t>0,7</w:t>
            </w:r>
          </w:p>
        </w:tc>
        <w:tc>
          <w:tcPr>
            <w:tcW w:w="1335" w:type="dxa"/>
            <w:vAlign w:val="center"/>
            <w:hideMark/>
          </w:tcPr>
          <w:p w14:paraId="1FACC781" w14:textId="77777777" w:rsidR="001421C4" w:rsidRPr="001421C4" w:rsidRDefault="001421C4" w:rsidP="00450B7A">
            <w:pPr>
              <w:jc w:val="center"/>
              <w:rPr>
                <w:rFonts w:ascii="Cambria" w:eastAsia="Calibri" w:hAnsi="Cambria" w:cs="Calibri"/>
                <w:sz w:val="22"/>
                <w:szCs w:val="22"/>
              </w:rPr>
            </w:pPr>
            <w:r w:rsidRPr="001421C4">
              <w:rPr>
                <w:rFonts w:ascii="Cambria" w:eastAsia="Calibri" w:hAnsi="Cambria" w:cs="Calibri"/>
                <w:sz w:val="22"/>
                <w:szCs w:val="22"/>
              </w:rPr>
              <w:t>40%</w:t>
            </w:r>
          </w:p>
        </w:tc>
      </w:tr>
      <w:tr w:rsidR="001421C4" w:rsidRPr="001421C4" w14:paraId="70B7F351" w14:textId="77777777" w:rsidTr="00450B7A">
        <w:tc>
          <w:tcPr>
            <w:tcW w:w="2610" w:type="dxa"/>
            <w:vMerge/>
            <w:vAlign w:val="center"/>
            <w:hideMark/>
          </w:tcPr>
          <w:p w14:paraId="202943A1" w14:textId="77777777" w:rsidR="001421C4" w:rsidRPr="001421C4" w:rsidRDefault="001421C4" w:rsidP="00450B7A">
            <w:pPr>
              <w:rPr>
                <w:rFonts w:ascii="Cambria" w:eastAsia="Calibri" w:hAnsi="Cambria" w:cs="Calibri"/>
                <w:sz w:val="22"/>
                <w:szCs w:val="22"/>
              </w:rPr>
            </w:pPr>
          </w:p>
        </w:tc>
        <w:tc>
          <w:tcPr>
            <w:tcW w:w="2580" w:type="dxa"/>
            <w:gridSpan w:val="2"/>
            <w:hideMark/>
          </w:tcPr>
          <w:p w14:paraId="6A143F44" w14:textId="77777777" w:rsidR="001421C4" w:rsidRPr="001421C4" w:rsidRDefault="001421C4" w:rsidP="00450B7A">
            <w:pPr>
              <w:rPr>
                <w:rFonts w:ascii="Cambria" w:eastAsia="Calibri" w:hAnsi="Cambria" w:cs="Calibri"/>
                <w:sz w:val="22"/>
                <w:szCs w:val="22"/>
              </w:rPr>
            </w:pPr>
            <w:proofErr w:type="spellStart"/>
            <w:r w:rsidRPr="001421C4">
              <w:rPr>
                <w:rFonts w:ascii="Cambria" w:eastAsia="Calibri" w:hAnsi="Cambria" w:cs="Calibri"/>
                <w:sz w:val="22"/>
                <w:szCs w:val="22"/>
              </w:rPr>
              <w:t>ispit</w:t>
            </w:r>
            <w:proofErr w:type="spellEnd"/>
            <w:r w:rsidRPr="001421C4">
              <w:rPr>
                <w:rFonts w:ascii="Cambria" w:eastAsia="Calibri" w:hAnsi="Cambria" w:cs="Calibri"/>
                <w:sz w:val="22"/>
                <w:szCs w:val="22"/>
              </w:rPr>
              <w:t xml:space="preserve"> (</w:t>
            </w:r>
            <w:proofErr w:type="spellStart"/>
            <w:r w:rsidRPr="001421C4">
              <w:rPr>
                <w:rFonts w:ascii="Cambria" w:eastAsia="Calibri" w:hAnsi="Cambria" w:cs="Calibri"/>
                <w:sz w:val="22"/>
                <w:szCs w:val="22"/>
              </w:rPr>
              <w:t>pisani</w:t>
            </w:r>
            <w:proofErr w:type="spellEnd"/>
            <w:r w:rsidRPr="001421C4">
              <w:rPr>
                <w:rFonts w:ascii="Cambria" w:eastAsia="Calibri" w:hAnsi="Cambria" w:cs="Calibri"/>
                <w:sz w:val="22"/>
                <w:szCs w:val="22"/>
              </w:rPr>
              <w:t xml:space="preserve"> </w:t>
            </w:r>
            <w:proofErr w:type="spellStart"/>
            <w:r w:rsidRPr="001421C4">
              <w:rPr>
                <w:rFonts w:ascii="Cambria" w:eastAsia="Calibri" w:hAnsi="Cambria" w:cs="Calibri"/>
                <w:sz w:val="22"/>
                <w:szCs w:val="22"/>
              </w:rPr>
              <w:t>i</w:t>
            </w:r>
            <w:proofErr w:type="spellEnd"/>
            <w:r w:rsidRPr="001421C4">
              <w:rPr>
                <w:rFonts w:ascii="Cambria" w:eastAsia="Calibri" w:hAnsi="Cambria" w:cs="Calibri"/>
                <w:sz w:val="22"/>
                <w:szCs w:val="22"/>
              </w:rPr>
              <w:t xml:space="preserve"> </w:t>
            </w:r>
            <w:proofErr w:type="spellStart"/>
            <w:r w:rsidRPr="001421C4">
              <w:rPr>
                <w:rFonts w:ascii="Cambria" w:eastAsia="Calibri" w:hAnsi="Cambria" w:cs="Calibri"/>
                <w:sz w:val="22"/>
                <w:szCs w:val="22"/>
              </w:rPr>
              <w:t>usmeni</w:t>
            </w:r>
            <w:proofErr w:type="spellEnd"/>
            <w:r w:rsidRPr="001421C4">
              <w:rPr>
                <w:rFonts w:ascii="Cambria" w:eastAsia="Calibri" w:hAnsi="Cambria" w:cs="Calibri"/>
                <w:sz w:val="22"/>
                <w:szCs w:val="22"/>
              </w:rPr>
              <w:t>)</w:t>
            </w:r>
          </w:p>
        </w:tc>
        <w:tc>
          <w:tcPr>
            <w:tcW w:w="1095" w:type="dxa"/>
            <w:vAlign w:val="center"/>
            <w:hideMark/>
          </w:tcPr>
          <w:p w14:paraId="25CC145B" w14:textId="77777777" w:rsidR="001421C4" w:rsidRPr="001421C4" w:rsidRDefault="001421C4" w:rsidP="00450B7A">
            <w:pPr>
              <w:rPr>
                <w:rFonts w:ascii="Cambria" w:eastAsia="Calibri" w:hAnsi="Cambria" w:cs="Calibri"/>
                <w:sz w:val="22"/>
                <w:szCs w:val="22"/>
              </w:rPr>
            </w:pPr>
            <w:r w:rsidRPr="001421C4">
              <w:rPr>
                <w:rFonts w:ascii="Cambria" w:eastAsia="Calibri" w:hAnsi="Cambria" w:cs="Calibri"/>
                <w:sz w:val="22"/>
                <w:szCs w:val="22"/>
              </w:rPr>
              <w:t> 1.,4.,5.</w:t>
            </w:r>
          </w:p>
        </w:tc>
        <w:tc>
          <w:tcPr>
            <w:tcW w:w="720" w:type="dxa"/>
            <w:gridSpan w:val="2"/>
            <w:vAlign w:val="center"/>
            <w:hideMark/>
          </w:tcPr>
          <w:p w14:paraId="2135BC2E" w14:textId="77777777" w:rsidR="001421C4" w:rsidRPr="001421C4" w:rsidRDefault="001421C4" w:rsidP="00450B7A">
            <w:pPr>
              <w:jc w:val="center"/>
              <w:rPr>
                <w:rFonts w:ascii="Cambria" w:eastAsia="Calibri" w:hAnsi="Cambria" w:cs="Calibri"/>
                <w:sz w:val="22"/>
                <w:szCs w:val="22"/>
              </w:rPr>
            </w:pPr>
            <w:r w:rsidRPr="001421C4">
              <w:rPr>
                <w:rFonts w:ascii="Cambria" w:eastAsia="Calibri" w:hAnsi="Cambria" w:cs="Calibri"/>
                <w:sz w:val="22"/>
                <w:szCs w:val="22"/>
              </w:rPr>
              <w:t>20</w:t>
            </w:r>
          </w:p>
        </w:tc>
        <w:tc>
          <w:tcPr>
            <w:tcW w:w="1005" w:type="dxa"/>
            <w:vAlign w:val="center"/>
            <w:hideMark/>
          </w:tcPr>
          <w:p w14:paraId="2580F160" w14:textId="77777777" w:rsidR="001421C4" w:rsidRPr="001421C4" w:rsidRDefault="001421C4" w:rsidP="00450B7A">
            <w:pPr>
              <w:jc w:val="center"/>
              <w:rPr>
                <w:rFonts w:ascii="Cambria" w:eastAsia="Calibri" w:hAnsi="Cambria" w:cs="Calibri"/>
                <w:sz w:val="22"/>
                <w:szCs w:val="22"/>
              </w:rPr>
            </w:pPr>
            <w:r w:rsidRPr="001421C4">
              <w:rPr>
                <w:rFonts w:ascii="Cambria" w:eastAsia="Calibri" w:hAnsi="Cambria" w:cs="Calibri"/>
                <w:sz w:val="22"/>
                <w:szCs w:val="22"/>
              </w:rPr>
              <w:t>0,7</w:t>
            </w:r>
          </w:p>
        </w:tc>
        <w:tc>
          <w:tcPr>
            <w:tcW w:w="1335" w:type="dxa"/>
            <w:vAlign w:val="center"/>
            <w:hideMark/>
          </w:tcPr>
          <w:p w14:paraId="5EB8C059" w14:textId="77777777" w:rsidR="001421C4" w:rsidRPr="001421C4" w:rsidRDefault="001421C4" w:rsidP="00450B7A">
            <w:pPr>
              <w:jc w:val="center"/>
              <w:rPr>
                <w:rFonts w:ascii="Cambria" w:eastAsia="Calibri" w:hAnsi="Cambria" w:cs="Calibri"/>
                <w:sz w:val="22"/>
                <w:szCs w:val="22"/>
              </w:rPr>
            </w:pPr>
            <w:r w:rsidRPr="001421C4">
              <w:rPr>
                <w:rFonts w:ascii="Cambria" w:eastAsia="Calibri" w:hAnsi="Cambria" w:cs="Calibri"/>
                <w:sz w:val="22"/>
                <w:szCs w:val="22"/>
              </w:rPr>
              <w:t>30%</w:t>
            </w:r>
          </w:p>
        </w:tc>
      </w:tr>
      <w:tr w:rsidR="001421C4" w:rsidRPr="001421C4" w14:paraId="2930C308" w14:textId="77777777" w:rsidTr="00450B7A">
        <w:tc>
          <w:tcPr>
            <w:tcW w:w="2610" w:type="dxa"/>
            <w:vMerge/>
            <w:vAlign w:val="center"/>
            <w:hideMark/>
          </w:tcPr>
          <w:p w14:paraId="5BFE5439" w14:textId="77777777" w:rsidR="001421C4" w:rsidRPr="001421C4" w:rsidRDefault="001421C4" w:rsidP="00450B7A">
            <w:pPr>
              <w:rPr>
                <w:rFonts w:ascii="Cambria" w:eastAsia="Calibri" w:hAnsi="Cambria" w:cs="Calibri"/>
                <w:sz w:val="22"/>
                <w:szCs w:val="22"/>
              </w:rPr>
            </w:pPr>
          </w:p>
        </w:tc>
        <w:tc>
          <w:tcPr>
            <w:tcW w:w="3675" w:type="dxa"/>
            <w:gridSpan w:val="3"/>
            <w:hideMark/>
          </w:tcPr>
          <w:p w14:paraId="46F1FAD4" w14:textId="77777777" w:rsidR="001421C4" w:rsidRPr="001421C4" w:rsidRDefault="001421C4" w:rsidP="00450B7A">
            <w:pPr>
              <w:rPr>
                <w:rFonts w:ascii="Cambria" w:eastAsia="Calibri" w:hAnsi="Cambria" w:cs="Calibri"/>
                <w:sz w:val="22"/>
                <w:szCs w:val="22"/>
              </w:rPr>
            </w:pPr>
            <w:proofErr w:type="spellStart"/>
            <w:r w:rsidRPr="001421C4">
              <w:rPr>
                <w:rFonts w:ascii="Cambria" w:eastAsia="Calibri" w:hAnsi="Cambria" w:cs="Calibri"/>
                <w:sz w:val="22"/>
                <w:szCs w:val="22"/>
              </w:rPr>
              <w:t>ukupno</w:t>
            </w:r>
            <w:proofErr w:type="spellEnd"/>
          </w:p>
        </w:tc>
        <w:tc>
          <w:tcPr>
            <w:tcW w:w="720" w:type="dxa"/>
            <w:gridSpan w:val="2"/>
            <w:vAlign w:val="center"/>
            <w:hideMark/>
          </w:tcPr>
          <w:p w14:paraId="4C3074FA" w14:textId="77777777" w:rsidR="001421C4" w:rsidRPr="001421C4" w:rsidRDefault="001421C4" w:rsidP="00450B7A">
            <w:pPr>
              <w:jc w:val="center"/>
              <w:rPr>
                <w:rFonts w:ascii="Cambria" w:eastAsia="Calibri" w:hAnsi="Cambria" w:cs="Calibri"/>
                <w:sz w:val="22"/>
                <w:szCs w:val="22"/>
              </w:rPr>
            </w:pPr>
            <w:r w:rsidRPr="001421C4">
              <w:rPr>
                <w:rFonts w:ascii="Cambria" w:eastAsia="Calibri" w:hAnsi="Cambria" w:cs="Calibri"/>
                <w:sz w:val="22"/>
                <w:szCs w:val="22"/>
              </w:rPr>
              <w:t>90</w:t>
            </w:r>
          </w:p>
        </w:tc>
        <w:tc>
          <w:tcPr>
            <w:tcW w:w="1005" w:type="dxa"/>
            <w:vAlign w:val="center"/>
            <w:hideMark/>
          </w:tcPr>
          <w:p w14:paraId="7A046C1D" w14:textId="77777777" w:rsidR="001421C4" w:rsidRPr="001421C4" w:rsidRDefault="001421C4" w:rsidP="00450B7A">
            <w:pPr>
              <w:jc w:val="center"/>
              <w:rPr>
                <w:rFonts w:ascii="Cambria" w:eastAsia="Calibri" w:hAnsi="Cambria" w:cs="Calibri"/>
                <w:sz w:val="22"/>
                <w:szCs w:val="22"/>
              </w:rPr>
            </w:pPr>
            <w:r w:rsidRPr="001421C4">
              <w:rPr>
                <w:rFonts w:ascii="Cambria" w:eastAsia="Calibri" w:hAnsi="Cambria" w:cs="Calibri"/>
                <w:sz w:val="22"/>
                <w:szCs w:val="22"/>
              </w:rPr>
              <w:t>3</w:t>
            </w:r>
          </w:p>
        </w:tc>
        <w:tc>
          <w:tcPr>
            <w:tcW w:w="1335" w:type="dxa"/>
            <w:vAlign w:val="center"/>
            <w:hideMark/>
          </w:tcPr>
          <w:p w14:paraId="16B497D0" w14:textId="77777777" w:rsidR="001421C4" w:rsidRPr="001421C4" w:rsidRDefault="001421C4" w:rsidP="00450B7A">
            <w:pPr>
              <w:jc w:val="center"/>
              <w:rPr>
                <w:rFonts w:ascii="Cambria" w:eastAsia="Calibri" w:hAnsi="Cambria" w:cs="Calibri"/>
                <w:sz w:val="22"/>
                <w:szCs w:val="22"/>
              </w:rPr>
            </w:pPr>
            <w:r w:rsidRPr="001421C4">
              <w:rPr>
                <w:rFonts w:ascii="Cambria" w:eastAsia="Calibri" w:hAnsi="Cambria" w:cs="Calibri"/>
                <w:sz w:val="22"/>
                <w:szCs w:val="22"/>
              </w:rPr>
              <w:t>100%</w:t>
            </w:r>
          </w:p>
        </w:tc>
      </w:tr>
      <w:tr w:rsidR="001421C4" w:rsidRPr="00D0399C" w14:paraId="12B19500" w14:textId="77777777" w:rsidTr="00450B7A">
        <w:tc>
          <w:tcPr>
            <w:tcW w:w="2610" w:type="dxa"/>
            <w:vMerge/>
            <w:vAlign w:val="center"/>
            <w:hideMark/>
          </w:tcPr>
          <w:p w14:paraId="4EB6D3C9" w14:textId="77777777" w:rsidR="001421C4" w:rsidRPr="001421C4" w:rsidRDefault="001421C4" w:rsidP="00450B7A">
            <w:pPr>
              <w:rPr>
                <w:rFonts w:ascii="Cambria" w:eastAsia="Calibri" w:hAnsi="Cambria" w:cs="Calibri"/>
                <w:sz w:val="22"/>
                <w:szCs w:val="22"/>
              </w:rPr>
            </w:pPr>
          </w:p>
        </w:tc>
        <w:tc>
          <w:tcPr>
            <w:tcW w:w="6735" w:type="dxa"/>
            <w:gridSpan w:val="7"/>
            <w:hideMark/>
          </w:tcPr>
          <w:p w14:paraId="56E7A39B" w14:textId="77777777" w:rsidR="001421C4" w:rsidRPr="001421C4" w:rsidRDefault="001421C4" w:rsidP="00450B7A">
            <w:pPr>
              <w:rPr>
                <w:rFonts w:ascii="Cambria" w:eastAsia="Calibri" w:hAnsi="Cambria" w:cs="Calibri"/>
                <w:sz w:val="22"/>
                <w:szCs w:val="22"/>
              </w:rPr>
            </w:pPr>
            <w:proofErr w:type="spellStart"/>
            <w:r w:rsidRPr="001421C4">
              <w:rPr>
                <w:rFonts w:ascii="Cambria" w:eastAsia="Calibri" w:hAnsi="Cambria" w:cs="Calibri"/>
                <w:sz w:val="22"/>
                <w:szCs w:val="22"/>
              </w:rPr>
              <w:t>Dodatna</w:t>
            </w:r>
            <w:proofErr w:type="spellEnd"/>
            <w:r w:rsidRPr="001421C4">
              <w:rPr>
                <w:rFonts w:ascii="Cambria" w:eastAsia="Calibri" w:hAnsi="Cambria" w:cs="Calibri"/>
                <w:sz w:val="22"/>
                <w:szCs w:val="22"/>
              </w:rPr>
              <w:t xml:space="preserve"> </w:t>
            </w:r>
            <w:proofErr w:type="spellStart"/>
            <w:r w:rsidRPr="001421C4">
              <w:rPr>
                <w:rFonts w:ascii="Cambria" w:eastAsia="Calibri" w:hAnsi="Cambria" w:cs="Calibri"/>
                <w:sz w:val="22"/>
                <w:szCs w:val="22"/>
              </w:rPr>
              <w:t>pojašnjenja</w:t>
            </w:r>
            <w:proofErr w:type="spellEnd"/>
            <w:r w:rsidRPr="001421C4">
              <w:rPr>
                <w:rFonts w:ascii="Cambria" w:eastAsia="Calibri" w:hAnsi="Cambria" w:cs="Calibri"/>
                <w:sz w:val="22"/>
                <w:szCs w:val="22"/>
              </w:rPr>
              <w:t>:</w:t>
            </w:r>
          </w:p>
          <w:p w14:paraId="0F7C4621" w14:textId="77777777" w:rsidR="001421C4" w:rsidRPr="001421C4" w:rsidRDefault="001421C4" w:rsidP="00450B7A">
            <w:pPr>
              <w:rPr>
                <w:rFonts w:ascii="Cambria" w:eastAsia="Calibri" w:hAnsi="Cambria" w:cs="Calibri"/>
                <w:sz w:val="22"/>
                <w:szCs w:val="22"/>
              </w:rPr>
            </w:pPr>
            <w:r w:rsidRPr="001421C4">
              <w:rPr>
                <w:rFonts w:ascii="Cambria" w:eastAsia="Calibri" w:hAnsi="Cambria" w:cs="Calibri"/>
                <w:sz w:val="22"/>
                <w:szCs w:val="22"/>
              </w:rPr>
              <w:t xml:space="preserve">Za </w:t>
            </w:r>
            <w:proofErr w:type="spellStart"/>
            <w:r w:rsidRPr="001421C4">
              <w:rPr>
                <w:rFonts w:ascii="Cambria" w:eastAsia="Calibri" w:hAnsi="Cambria" w:cs="Calibri"/>
                <w:sz w:val="22"/>
                <w:szCs w:val="22"/>
              </w:rPr>
              <w:t>uspješan</w:t>
            </w:r>
            <w:proofErr w:type="spellEnd"/>
            <w:r w:rsidRPr="001421C4">
              <w:rPr>
                <w:rFonts w:ascii="Cambria" w:eastAsia="Calibri" w:hAnsi="Cambria" w:cs="Calibri"/>
                <w:sz w:val="22"/>
                <w:szCs w:val="22"/>
              </w:rPr>
              <w:t xml:space="preserve"> </w:t>
            </w:r>
            <w:proofErr w:type="spellStart"/>
            <w:r w:rsidRPr="001421C4">
              <w:rPr>
                <w:rFonts w:ascii="Cambria" w:eastAsia="Calibri" w:hAnsi="Cambria" w:cs="Calibri"/>
                <w:sz w:val="22"/>
                <w:szCs w:val="22"/>
              </w:rPr>
              <w:t>završetak</w:t>
            </w:r>
            <w:proofErr w:type="spellEnd"/>
            <w:r w:rsidRPr="001421C4">
              <w:rPr>
                <w:rFonts w:ascii="Cambria" w:eastAsia="Calibri" w:hAnsi="Cambria" w:cs="Calibri"/>
                <w:sz w:val="22"/>
                <w:szCs w:val="22"/>
              </w:rPr>
              <w:t xml:space="preserve"> </w:t>
            </w:r>
            <w:proofErr w:type="spellStart"/>
            <w:r w:rsidRPr="001421C4">
              <w:rPr>
                <w:rFonts w:ascii="Cambria" w:eastAsia="Calibri" w:hAnsi="Cambria" w:cs="Calibri"/>
                <w:sz w:val="22"/>
                <w:szCs w:val="22"/>
              </w:rPr>
              <w:t>kolegija</w:t>
            </w:r>
            <w:proofErr w:type="spellEnd"/>
            <w:r w:rsidRPr="001421C4">
              <w:rPr>
                <w:rFonts w:ascii="Cambria" w:eastAsia="Calibri" w:hAnsi="Cambria" w:cs="Calibri"/>
                <w:sz w:val="22"/>
                <w:szCs w:val="22"/>
              </w:rPr>
              <w:t xml:space="preserve"> student </w:t>
            </w:r>
            <w:proofErr w:type="spellStart"/>
            <w:r w:rsidRPr="001421C4">
              <w:rPr>
                <w:rFonts w:ascii="Cambria" w:eastAsia="Calibri" w:hAnsi="Cambria" w:cs="Calibri"/>
                <w:sz w:val="22"/>
                <w:szCs w:val="22"/>
              </w:rPr>
              <w:t>iz</w:t>
            </w:r>
            <w:proofErr w:type="spellEnd"/>
            <w:r w:rsidRPr="001421C4">
              <w:rPr>
                <w:rFonts w:ascii="Cambria" w:eastAsia="Calibri" w:hAnsi="Cambria" w:cs="Calibri"/>
                <w:sz w:val="22"/>
                <w:szCs w:val="22"/>
              </w:rPr>
              <w:t xml:space="preserve"> </w:t>
            </w:r>
            <w:proofErr w:type="spellStart"/>
            <w:r w:rsidRPr="001421C4">
              <w:rPr>
                <w:rFonts w:ascii="Cambria" w:eastAsia="Calibri" w:hAnsi="Cambria" w:cs="Calibri"/>
                <w:sz w:val="22"/>
                <w:szCs w:val="22"/>
              </w:rPr>
              <w:t>svake</w:t>
            </w:r>
            <w:proofErr w:type="spellEnd"/>
            <w:r w:rsidRPr="001421C4">
              <w:rPr>
                <w:rFonts w:ascii="Cambria" w:eastAsia="Calibri" w:hAnsi="Cambria" w:cs="Calibri"/>
                <w:sz w:val="22"/>
                <w:szCs w:val="22"/>
              </w:rPr>
              <w:t xml:space="preserve"> </w:t>
            </w:r>
            <w:proofErr w:type="spellStart"/>
            <w:r w:rsidRPr="001421C4">
              <w:rPr>
                <w:rFonts w:ascii="Cambria" w:eastAsia="Calibri" w:hAnsi="Cambria" w:cs="Calibri"/>
                <w:sz w:val="22"/>
                <w:szCs w:val="22"/>
              </w:rPr>
              <w:t>predviđene</w:t>
            </w:r>
            <w:proofErr w:type="spellEnd"/>
            <w:r w:rsidRPr="001421C4">
              <w:rPr>
                <w:rFonts w:ascii="Cambria" w:eastAsia="Calibri" w:hAnsi="Cambria" w:cs="Calibri"/>
                <w:sz w:val="22"/>
                <w:szCs w:val="22"/>
              </w:rPr>
              <w:t xml:space="preserve"> </w:t>
            </w:r>
            <w:proofErr w:type="spellStart"/>
            <w:r w:rsidRPr="001421C4">
              <w:rPr>
                <w:rFonts w:ascii="Cambria" w:eastAsia="Calibri" w:hAnsi="Cambria" w:cs="Calibri"/>
                <w:sz w:val="22"/>
                <w:szCs w:val="22"/>
              </w:rPr>
              <w:t>obaveze</w:t>
            </w:r>
            <w:proofErr w:type="spellEnd"/>
            <w:r w:rsidRPr="001421C4">
              <w:rPr>
                <w:rFonts w:ascii="Cambria" w:eastAsia="Calibri" w:hAnsi="Cambria" w:cs="Calibri"/>
                <w:sz w:val="22"/>
                <w:szCs w:val="22"/>
              </w:rPr>
              <w:t xml:space="preserve"> </w:t>
            </w:r>
            <w:proofErr w:type="spellStart"/>
            <w:r w:rsidRPr="001421C4">
              <w:rPr>
                <w:rFonts w:ascii="Cambria" w:eastAsia="Calibri" w:hAnsi="Cambria" w:cs="Calibri"/>
                <w:sz w:val="22"/>
                <w:szCs w:val="22"/>
              </w:rPr>
              <w:t>treba</w:t>
            </w:r>
            <w:proofErr w:type="spellEnd"/>
            <w:r w:rsidRPr="001421C4">
              <w:rPr>
                <w:rFonts w:ascii="Cambria" w:eastAsia="Calibri" w:hAnsi="Cambria" w:cs="Calibri"/>
                <w:sz w:val="22"/>
                <w:szCs w:val="22"/>
              </w:rPr>
              <w:t xml:space="preserve"> </w:t>
            </w:r>
            <w:proofErr w:type="spellStart"/>
            <w:r w:rsidRPr="001421C4">
              <w:rPr>
                <w:rFonts w:ascii="Cambria" w:eastAsia="Calibri" w:hAnsi="Cambria" w:cs="Calibri"/>
                <w:sz w:val="22"/>
                <w:szCs w:val="22"/>
              </w:rPr>
              <w:t>ostvariti</w:t>
            </w:r>
            <w:proofErr w:type="spellEnd"/>
            <w:r w:rsidRPr="001421C4">
              <w:rPr>
                <w:rFonts w:ascii="Cambria" w:eastAsia="Calibri" w:hAnsi="Cambria" w:cs="Calibri"/>
                <w:sz w:val="22"/>
                <w:szCs w:val="22"/>
              </w:rPr>
              <w:t xml:space="preserve"> </w:t>
            </w:r>
            <w:proofErr w:type="spellStart"/>
            <w:r w:rsidRPr="001421C4">
              <w:rPr>
                <w:rFonts w:ascii="Cambria" w:eastAsia="Calibri" w:hAnsi="Cambria" w:cs="Calibri"/>
                <w:sz w:val="22"/>
                <w:szCs w:val="22"/>
              </w:rPr>
              <w:t>najmanje</w:t>
            </w:r>
            <w:proofErr w:type="spellEnd"/>
            <w:r w:rsidRPr="001421C4">
              <w:rPr>
                <w:rFonts w:ascii="Cambria" w:eastAsia="Calibri" w:hAnsi="Cambria" w:cs="Calibri"/>
                <w:sz w:val="22"/>
                <w:szCs w:val="22"/>
              </w:rPr>
              <w:t xml:space="preserve"> </w:t>
            </w:r>
            <w:proofErr w:type="spellStart"/>
            <w:r w:rsidRPr="001421C4">
              <w:rPr>
                <w:rFonts w:ascii="Cambria" w:eastAsia="Calibri" w:hAnsi="Cambria" w:cs="Calibri"/>
                <w:sz w:val="22"/>
                <w:szCs w:val="22"/>
              </w:rPr>
              <w:t>polovinu</w:t>
            </w:r>
            <w:proofErr w:type="spellEnd"/>
            <w:r w:rsidRPr="001421C4">
              <w:rPr>
                <w:rFonts w:ascii="Cambria" w:eastAsia="Calibri" w:hAnsi="Cambria" w:cs="Calibri"/>
                <w:sz w:val="22"/>
                <w:szCs w:val="22"/>
              </w:rPr>
              <w:t xml:space="preserve"> </w:t>
            </w:r>
            <w:proofErr w:type="spellStart"/>
            <w:r w:rsidRPr="001421C4">
              <w:rPr>
                <w:rFonts w:ascii="Cambria" w:eastAsia="Calibri" w:hAnsi="Cambria" w:cs="Calibri"/>
                <w:sz w:val="22"/>
                <w:szCs w:val="22"/>
              </w:rPr>
              <w:t>predviđenih</w:t>
            </w:r>
            <w:proofErr w:type="spellEnd"/>
            <w:r w:rsidRPr="001421C4">
              <w:rPr>
                <w:rFonts w:ascii="Cambria" w:eastAsia="Calibri" w:hAnsi="Cambria" w:cs="Calibri"/>
                <w:sz w:val="22"/>
                <w:szCs w:val="22"/>
              </w:rPr>
              <w:t xml:space="preserve"> </w:t>
            </w:r>
            <w:proofErr w:type="spellStart"/>
            <w:r w:rsidRPr="001421C4">
              <w:rPr>
                <w:rFonts w:ascii="Cambria" w:eastAsia="Calibri" w:hAnsi="Cambria" w:cs="Calibri"/>
                <w:sz w:val="22"/>
                <w:szCs w:val="22"/>
              </w:rPr>
              <w:t>bodova</w:t>
            </w:r>
            <w:proofErr w:type="spellEnd"/>
            <w:r w:rsidRPr="001421C4">
              <w:rPr>
                <w:rFonts w:ascii="Cambria" w:eastAsia="Calibri" w:hAnsi="Cambria" w:cs="Calibri"/>
                <w:sz w:val="22"/>
                <w:szCs w:val="22"/>
              </w:rPr>
              <w:t>.</w:t>
            </w:r>
          </w:p>
          <w:p w14:paraId="2D9B2B25" w14:textId="77777777" w:rsidR="001421C4" w:rsidRPr="001421C4" w:rsidRDefault="001421C4" w:rsidP="00450B7A">
            <w:pPr>
              <w:rPr>
                <w:rFonts w:ascii="Cambria" w:eastAsia="Calibri" w:hAnsi="Cambria" w:cs="Calibri"/>
                <w:sz w:val="22"/>
                <w:szCs w:val="22"/>
              </w:rPr>
            </w:pPr>
            <w:proofErr w:type="spellStart"/>
            <w:r w:rsidRPr="001421C4">
              <w:rPr>
                <w:rFonts w:ascii="Cambria" w:eastAsia="Calibri" w:hAnsi="Cambria" w:cs="Calibri"/>
                <w:sz w:val="22"/>
                <w:szCs w:val="22"/>
              </w:rPr>
              <w:t>Kolokviji</w:t>
            </w:r>
            <w:proofErr w:type="spellEnd"/>
            <w:r w:rsidRPr="001421C4">
              <w:rPr>
                <w:rFonts w:ascii="Cambria" w:eastAsia="Calibri" w:hAnsi="Cambria" w:cs="Calibri"/>
                <w:sz w:val="22"/>
                <w:szCs w:val="22"/>
              </w:rPr>
              <w:t xml:space="preserve"> </w:t>
            </w:r>
            <w:proofErr w:type="spellStart"/>
            <w:r w:rsidRPr="001421C4">
              <w:rPr>
                <w:rFonts w:ascii="Cambria" w:eastAsia="Calibri" w:hAnsi="Cambria" w:cs="Calibri"/>
                <w:sz w:val="22"/>
                <w:szCs w:val="22"/>
              </w:rPr>
              <w:t>nisu</w:t>
            </w:r>
            <w:proofErr w:type="spellEnd"/>
            <w:r w:rsidRPr="001421C4">
              <w:rPr>
                <w:rFonts w:ascii="Cambria" w:eastAsia="Calibri" w:hAnsi="Cambria" w:cs="Calibri"/>
                <w:sz w:val="22"/>
                <w:szCs w:val="22"/>
              </w:rPr>
              <w:t xml:space="preserve"> </w:t>
            </w:r>
            <w:proofErr w:type="spellStart"/>
            <w:r w:rsidRPr="001421C4">
              <w:rPr>
                <w:rFonts w:ascii="Cambria" w:eastAsia="Calibri" w:hAnsi="Cambria" w:cs="Calibri"/>
                <w:sz w:val="22"/>
                <w:szCs w:val="22"/>
              </w:rPr>
              <w:t>obavezni</w:t>
            </w:r>
            <w:proofErr w:type="spellEnd"/>
            <w:r w:rsidRPr="001421C4">
              <w:rPr>
                <w:rFonts w:ascii="Cambria" w:eastAsia="Calibri" w:hAnsi="Cambria" w:cs="Calibri"/>
                <w:sz w:val="22"/>
                <w:szCs w:val="22"/>
              </w:rPr>
              <w:t xml:space="preserve"> </w:t>
            </w:r>
            <w:proofErr w:type="spellStart"/>
            <w:r w:rsidRPr="001421C4">
              <w:rPr>
                <w:rFonts w:ascii="Cambria" w:eastAsia="Calibri" w:hAnsi="Cambria" w:cs="Calibri"/>
                <w:sz w:val="22"/>
                <w:szCs w:val="22"/>
              </w:rPr>
              <w:t>ali</w:t>
            </w:r>
            <w:proofErr w:type="spellEnd"/>
            <w:r w:rsidRPr="001421C4">
              <w:rPr>
                <w:rFonts w:ascii="Cambria" w:eastAsia="Calibri" w:hAnsi="Cambria" w:cs="Calibri"/>
                <w:sz w:val="22"/>
                <w:szCs w:val="22"/>
              </w:rPr>
              <w:t xml:space="preserve"> </w:t>
            </w:r>
            <w:proofErr w:type="spellStart"/>
            <w:r w:rsidRPr="001421C4">
              <w:rPr>
                <w:rFonts w:ascii="Cambria" w:eastAsia="Calibri" w:hAnsi="Cambria" w:cs="Calibri"/>
                <w:sz w:val="22"/>
                <w:szCs w:val="22"/>
              </w:rPr>
              <w:t>studentima</w:t>
            </w:r>
            <w:proofErr w:type="spellEnd"/>
            <w:r w:rsidRPr="001421C4">
              <w:rPr>
                <w:rFonts w:ascii="Cambria" w:eastAsia="Calibri" w:hAnsi="Cambria" w:cs="Calibri"/>
                <w:sz w:val="22"/>
                <w:szCs w:val="22"/>
              </w:rPr>
              <w:t xml:space="preserve"> </w:t>
            </w:r>
            <w:proofErr w:type="spellStart"/>
            <w:r w:rsidRPr="001421C4">
              <w:rPr>
                <w:rFonts w:ascii="Cambria" w:eastAsia="Calibri" w:hAnsi="Cambria" w:cs="Calibri"/>
                <w:sz w:val="22"/>
                <w:szCs w:val="22"/>
              </w:rPr>
              <w:t>pružaju</w:t>
            </w:r>
            <w:proofErr w:type="spellEnd"/>
            <w:r w:rsidRPr="001421C4">
              <w:rPr>
                <w:rFonts w:ascii="Cambria" w:eastAsia="Calibri" w:hAnsi="Cambria" w:cs="Calibri"/>
                <w:sz w:val="22"/>
                <w:szCs w:val="22"/>
              </w:rPr>
              <w:t xml:space="preserve"> </w:t>
            </w:r>
            <w:proofErr w:type="spellStart"/>
            <w:r w:rsidRPr="001421C4">
              <w:rPr>
                <w:rFonts w:ascii="Cambria" w:eastAsia="Calibri" w:hAnsi="Cambria" w:cs="Calibri"/>
                <w:sz w:val="22"/>
                <w:szCs w:val="22"/>
              </w:rPr>
              <w:t>mogućnost</w:t>
            </w:r>
            <w:proofErr w:type="spellEnd"/>
            <w:r w:rsidRPr="001421C4">
              <w:rPr>
                <w:rFonts w:ascii="Cambria" w:eastAsia="Calibri" w:hAnsi="Cambria" w:cs="Calibri"/>
                <w:sz w:val="22"/>
                <w:szCs w:val="22"/>
              </w:rPr>
              <w:t xml:space="preserve"> </w:t>
            </w:r>
            <w:proofErr w:type="spellStart"/>
            <w:r w:rsidRPr="001421C4">
              <w:rPr>
                <w:rFonts w:ascii="Cambria" w:eastAsia="Calibri" w:hAnsi="Cambria" w:cs="Calibri"/>
                <w:sz w:val="22"/>
                <w:szCs w:val="22"/>
              </w:rPr>
              <w:t>oslobađanja</w:t>
            </w:r>
            <w:proofErr w:type="spellEnd"/>
            <w:r w:rsidRPr="001421C4">
              <w:rPr>
                <w:rFonts w:ascii="Cambria" w:eastAsia="Calibri" w:hAnsi="Cambria" w:cs="Calibri"/>
                <w:sz w:val="22"/>
                <w:szCs w:val="22"/>
              </w:rPr>
              <w:t xml:space="preserve"> </w:t>
            </w:r>
            <w:proofErr w:type="spellStart"/>
            <w:r w:rsidRPr="001421C4">
              <w:rPr>
                <w:rFonts w:ascii="Cambria" w:eastAsia="Calibri" w:hAnsi="Cambria" w:cs="Calibri"/>
                <w:sz w:val="22"/>
                <w:szCs w:val="22"/>
              </w:rPr>
              <w:t>od</w:t>
            </w:r>
            <w:proofErr w:type="spellEnd"/>
            <w:r w:rsidRPr="001421C4">
              <w:rPr>
                <w:rFonts w:ascii="Cambria" w:eastAsia="Calibri" w:hAnsi="Cambria" w:cs="Calibri"/>
                <w:sz w:val="22"/>
                <w:szCs w:val="22"/>
              </w:rPr>
              <w:t xml:space="preserve"> </w:t>
            </w:r>
            <w:proofErr w:type="spellStart"/>
            <w:r w:rsidRPr="001421C4">
              <w:rPr>
                <w:rFonts w:ascii="Cambria" w:eastAsia="Calibri" w:hAnsi="Cambria" w:cs="Calibri"/>
                <w:sz w:val="22"/>
                <w:szCs w:val="22"/>
              </w:rPr>
              <w:t>pisanog</w:t>
            </w:r>
            <w:proofErr w:type="spellEnd"/>
            <w:r w:rsidRPr="001421C4">
              <w:rPr>
                <w:rFonts w:ascii="Cambria" w:eastAsia="Calibri" w:hAnsi="Cambria" w:cs="Calibri"/>
                <w:sz w:val="22"/>
                <w:szCs w:val="22"/>
              </w:rPr>
              <w:t xml:space="preserve"> </w:t>
            </w:r>
            <w:proofErr w:type="spellStart"/>
            <w:r w:rsidRPr="001421C4">
              <w:rPr>
                <w:rFonts w:ascii="Cambria" w:eastAsia="Calibri" w:hAnsi="Cambria" w:cs="Calibri"/>
                <w:sz w:val="22"/>
                <w:szCs w:val="22"/>
              </w:rPr>
              <w:t>dijela</w:t>
            </w:r>
            <w:proofErr w:type="spellEnd"/>
            <w:r w:rsidRPr="001421C4">
              <w:rPr>
                <w:rFonts w:ascii="Cambria" w:eastAsia="Calibri" w:hAnsi="Cambria" w:cs="Calibri"/>
                <w:sz w:val="22"/>
                <w:szCs w:val="22"/>
              </w:rPr>
              <w:t xml:space="preserve"> </w:t>
            </w:r>
            <w:proofErr w:type="spellStart"/>
            <w:r w:rsidRPr="001421C4">
              <w:rPr>
                <w:rFonts w:ascii="Cambria" w:eastAsia="Calibri" w:hAnsi="Cambria" w:cs="Calibri"/>
                <w:sz w:val="22"/>
                <w:szCs w:val="22"/>
              </w:rPr>
              <w:t>ispita</w:t>
            </w:r>
            <w:proofErr w:type="spellEnd"/>
            <w:r w:rsidRPr="001421C4">
              <w:rPr>
                <w:rFonts w:ascii="Cambria" w:eastAsia="Calibri" w:hAnsi="Cambria" w:cs="Calibri"/>
                <w:sz w:val="22"/>
                <w:szCs w:val="22"/>
              </w:rPr>
              <w:t xml:space="preserve"> (</w:t>
            </w:r>
            <w:proofErr w:type="spellStart"/>
            <w:r w:rsidRPr="001421C4">
              <w:rPr>
                <w:rFonts w:ascii="Cambria" w:eastAsia="Calibri" w:hAnsi="Cambria" w:cs="Calibri"/>
                <w:sz w:val="22"/>
                <w:szCs w:val="22"/>
              </w:rPr>
              <w:t>uz</w:t>
            </w:r>
            <w:proofErr w:type="spellEnd"/>
            <w:r w:rsidRPr="001421C4">
              <w:rPr>
                <w:rFonts w:ascii="Cambria" w:eastAsia="Calibri" w:hAnsi="Cambria" w:cs="Calibri"/>
                <w:sz w:val="22"/>
                <w:szCs w:val="22"/>
              </w:rPr>
              <w:t xml:space="preserve"> </w:t>
            </w:r>
            <w:proofErr w:type="spellStart"/>
            <w:r w:rsidRPr="001421C4">
              <w:rPr>
                <w:rFonts w:ascii="Cambria" w:eastAsia="Calibri" w:hAnsi="Cambria" w:cs="Calibri"/>
                <w:sz w:val="22"/>
                <w:szCs w:val="22"/>
              </w:rPr>
              <w:t>najmanje</w:t>
            </w:r>
            <w:proofErr w:type="spellEnd"/>
            <w:r w:rsidRPr="001421C4">
              <w:rPr>
                <w:rFonts w:ascii="Cambria" w:eastAsia="Calibri" w:hAnsi="Cambria" w:cs="Calibri"/>
                <w:sz w:val="22"/>
                <w:szCs w:val="22"/>
              </w:rPr>
              <w:t xml:space="preserve"> 50% </w:t>
            </w:r>
            <w:proofErr w:type="spellStart"/>
            <w:r w:rsidRPr="001421C4">
              <w:rPr>
                <w:rFonts w:ascii="Cambria" w:eastAsia="Calibri" w:hAnsi="Cambria" w:cs="Calibri"/>
                <w:sz w:val="22"/>
                <w:szCs w:val="22"/>
              </w:rPr>
              <w:t>bodova</w:t>
            </w:r>
            <w:proofErr w:type="spellEnd"/>
            <w:r w:rsidRPr="001421C4">
              <w:rPr>
                <w:rFonts w:ascii="Cambria" w:eastAsia="Calibri" w:hAnsi="Cambria" w:cs="Calibri"/>
                <w:sz w:val="22"/>
                <w:szCs w:val="22"/>
              </w:rPr>
              <w:t xml:space="preserve"> </w:t>
            </w:r>
            <w:proofErr w:type="spellStart"/>
            <w:r w:rsidRPr="001421C4">
              <w:rPr>
                <w:rFonts w:ascii="Cambria" w:eastAsia="Calibri" w:hAnsi="Cambria" w:cs="Calibri"/>
                <w:sz w:val="22"/>
                <w:szCs w:val="22"/>
              </w:rPr>
              <w:t>na</w:t>
            </w:r>
            <w:proofErr w:type="spellEnd"/>
            <w:r w:rsidRPr="001421C4">
              <w:rPr>
                <w:rFonts w:ascii="Cambria" w:eastAsia="Calibri" w:hAnsi="Cambria" w:cs="Calibri"/>
                <w:sz w:val="22"/>
                <w:szCs w:val="22"/>
              </w:rPr>
              <w:t xml:space="preserve"> </w:t>
            </w:r>
            <w:proofErr w:type="spellStart"/>
            <w:r w:rsidRPr="001421C4">
              <w:rPr>
                <w:rFonts w:ascii="Cambria" w:eastAsia="Calibri" w:hAnsi="Cambria" w:cs="Calibri"/>
                <w:sz w:val="22"/>
                <w:szCs w:val="22"/>
              </w:rPr>
              <w:t>kolokviju</w:t>
            </w:r>
            <w:proofErr w:type="spellEnd"/>
            <w:r w:rsidRPr="001421C4">
              <w:rPr>
                <w:rFonts w:ascii="Cambria" w:eastAsia="Calibri" w:hAnsi="Cambria" w:cs="Calibri"/>
                <w:sz w:val="22"/>
                <w:szCs w:val="22"/>
              </w:rPr>
              <w:t xml:space="preserve">) </w:t>
            </w:r>
            <w:proofErr w:type="spellStart"/>
            <w:r w:rsidRPr="001421C4">
              <w:rPr>
                <w:rFonts w:ascii="Cambria" w:eastAsia="Calibri" w:hAnsi="Cambria" w:cs="Calibri"/>
                <w:sz w:val="22"/>
                <w:szCs w:val="22"/>
              </w:rPr>
              <w:t>ili</w:t>
            </w:r>
            <w:proofErr w:type="spellEnd"/>
            <w:r w:rsidRPr="001421C4">
              <w:rPr>
                <w:rFonts w:ascii="Cambria" w:eastAsia="Calibri" w:hAnsi="Cambria" w:cs="Calibri"/>
                <w:sz w:val="22"/>
                <w:szCs w:val="22"/>
              </w:rPr>
              <w:t xml:space="preserve"> </w:t>
            </w:r>
            <w:proofErr w:type="spellStart"/>
            <w:r w:rsidRPr="001421C4">
              <w:rPr>
                <w:rFonts w:ascii="Cambria" w:eastAsia="Calibri" w:hAnsi="Cambria" w:cs="Calibri"/>
                <w:sz w:val="22"/>
                <w:szCs w:val="22"/>
              </w:rPr>
              <w:t>i</w:t>
            </w:r>
            <w:proofErr w:type="spellEnd"/>
            <w:r w:rsidRPr="001421C4">
              <w:rPr>
                <w:rFonts w:ascii="Cambria" w:eastAsia="Calibri" w:hAnsi="Cambria" w:cs="Calibri"/>
                <w:sz w:val="22"/>
                <w:szCs w:val="22"/>
              </w:rPr>
              <w:t xml:space="preserve"> </w:t>
            </w:r>
            <w:proofErr w:type="spellStart"/>
            <w:r w:rsidRPr="001421C4">
              <w:rPr>
                <w:rFonts w:ascii="Cambria" w:eastAsia="Calibri" w:hAnsi="Cambria" w:cs="Calibri"/>
                <w:sz w:val="22"/>
                <w:szCs w:val="22"/>
              </w:rPr>
              <w:t>pisanog</w:t>
            </w:r>
            <w:proofErr w:type="spellEnd"/>
            <w:r w:rsidRPr="001421C4">
              <w:rPr>
                <w:rFonts w:ascii="Cambria" w:eastAsia="Calibri" w:hAnsi="Cambria" w:cs="Calibri"/>
                <w:sz w:val="22"/>
                <w:szCs w:val="22"/>
              </w:rPr>
              <w:t xml:space="preserve"> </w:t>
            </w:r>
            <w:proofErr w:type="spellStart"/>
            <w:r w:rsidRPr="001421C4">
              <w:rPr>
                <w:rFonts w:ascii="Cambria" w:eastAsia="Calibri" w:hAnsi="Cambria" w:cs="Calibri"/>
                <w:sz w:val="22"/>
                <w:szCs w:val="22"/>
              </w:rPr>
              <w:t>i</w:t>
            </w:r>
            <w:proofErr w:type="spellEnd"/>
            <w:r w:rsidRPr="001421C4">
              <w:rPr>
                <w:rFonts w:ascii="Cambria" w:eastAsia="Calibri" w:hAnsi="Cambria" w:cs="Calibri"/>
                <w:sz w:val="22"/>
                <w:szCs w:val="22"/>
              </w:rPr>
              <w:t xml:space="preserve"> </w:t>
            </w:r>
            <w:proofErr w:type="spellStart"/>
            <w:r w:rsidRPr="001421C4">
              <w:rPr>
                <w:rFonts w:ascii="Cambria" w:eastAsia="Calibri" w:hAnsi="Cambria" w:cs="Calibri"/>
                <w:sz w:val="22"/>
                <w:szCs w:val="22"/>
              </w:rPr>
              <w:t>usmenog</w:t>
            </w:r>
            <w:proofErr w:type="spellEnd"/>
            <w:r w:rsidRPr="001421C4">
              <w:rPr>
                <w:rFonts w:ascii="Cambria" w:eastAsia="Calibri" w:hAnsi="Cambria" w:cs="Calibri"/>
                <w:sz w:val="22"/>
                <w:szCs w:val="22"/>
              </w:rPr>
              <w:t xml:space="preserve"> </w:t>
            </w:r>
            <w:proofErr w:type="spellStart"/>
            <w:r w:rsidRPr="001421C4">
              <w:rPr>
                <w:rFonts w:ascii="Cambria" w:eastAsia="Calibri" w:hAnsi="Cambria" w:cs="Calibri"/>
                <w:sz w:val="22"/>
                <w:szCs w:val="22"/>
              </w:rPr>
              <w:t>dijela</w:t>
            </w:r>
            <w:proofErr w:type="spellEnd"/>
            <w:r w:rsidRPr="001421C4">
              <w:rPr>
                <w:rFonts w:ascii="Cambria" w:eastAsia="Calibri" w:hAnsi="Cambria" w:cs="Calibri"/>
                <w:sz w:val="22"/>
                <w:szCs w:val="22"/>
              </w:rPr>
              <w:t xml:space="preserve"> </w:t>
            </w:r>
            <w:proofErr w:type="spellStart"/>
            <w:r w:rsidRPr="001421C4">
              <w:rPr>
                <w:rFonts w:ascii="Cambria" w:eastAsia="Calibri" w:hAnsi="Cambria" w:cs="Calibri"/>
                <w:sz w:val="22"/>
                <w:szCs w:val="22"/>
              </w:rPr>
              <w:t>ispita</w:t>
            </w:r>
            <w:proofErr w:type="spellEnd"/>
            <w:r w:rsidRPr="001421C4">
              <w:rPr>
                <w:rFonts w:ascii="Cambria" w:eastAsia="Calibri" w:hAnsi="Cambria" w:cs="Calibri"/>
                <w:sz w:val="22"/>
                <w:szCs w:val="22"/>
              </w:rPr>
              <w:t xml:space="preserve"> (</w:t>
            </w:r>
            <w:proofErr w:type="spellStart"/>
            <w:r w:rsidRPr="001421C4">
              <w:rPr>
                <w:rFonts w:ascii="Cambria" w:eastAsia="Calibri" w:hAnsi="Cambria" w:cs="Calibri"/>
                <w:sz w:val="22"/>
                <w:szCs w:val="22"/>
              </w:rPr>
              <w:t>uz</w:t>
            </w:r>
            <w:proofErr w:type="spellEnd"/>
            <w:r w:rsidRPr="001421C4">
              <w:rPr>
                <w:rFonts w:ascii="Cambria" w:eastAsia="Calibri" w:hAnsi="Cambria" w:cs="Calibri"/>
                <w:sz w:val="22"/>
                <w:szCs w:val="22"/>
              </w:rPr>
              <w:t xml:space="preserve"> </w:t>
            </w:r>
            <w:proofErr w:type="spellStart"/>
            <w:r w:rsidRPr="001421C4">
              <w:rPr>
                <w:rFonts w:ascii="Cambria" w:eastAsia="Calibri" w:hAnsi="Cambria" w:cs="Calibri"/>
                <w:sz w:val="22"/>
                <w:szCs w:val="22"/>
              </w:rPr>
              <w:t>najmanje</w:t>
            </w:r>
            <w:proofErr w:type="spellEnd"/>
            <w:r w:rsidRPr="001421C4">
              <w:rPr>
                <w:rFonts w:ascii="Cambria" w:eastAsia="Calibri" w:hAnsi="Cambria" w:cs="Calibri"/>
                <w:sz w:val="22"/>
                <w:szCs w:val="22"/>
              </w:rPr>
              <w:t xml:space="preserve"> 70% </w:t>
            </w:r>
            <w:proofErr w:type="spellStart"/>
            <w:r w:rsidRPr="001421C4">
              <w:rPr>
                <w:rFonts w:ascii="Cambria" w:eastAsia="Calibri" w:hAnsi="Cambria" w:cs="Calibri"/>
                <w:sz w:val="22"/>
                <w:szCs w:val="22"/>
              </w:rPr>
              <w:t>bodova</w:t>
            </w:r>
            <w:proofErr w:type="spellEnd"/>
            <w:r w:rsidRPr="001421C4">
              <w:rPr>
                <w:rFonts w:ascii="Cambria" w:eastAsia="Calibri" w:hAnsi="Cambria" w:cs="Calibri"/>
                <w:sz w:val="22"/>
                <w:szCs w:val="22"/>
              </w:rPr>
              <w:t xml:space="preserve"> </w:t>
            </w:r>
            <w:proofErr w:type="spellStart"/>
            <w:r w:rsidRPr="001421C4">
              <w:rPr>
                <w:rFonts w:ascii="Cambria" w:eastAsia="Calibri" w:hAnsi="Cambria" w:cs="Calibri"/>
                <w:sz w:val="22"/>
                <w:szCs w:val="22"/>
              </w:rPr>
              <w:t>na</w:t>
            </w:r>
            <w:proofErr w:type="spellEnd"/>
            <w:r w:rsidRPr="001421C4">
              <w:rPr>
                <w:rFonts w:ascii="Cambria" w:eastAsia="Calibri" w:hAnsi="Cambria" w:cs="Calibri"/>
                <w:sz w:val="22"/>
                <w:szCs w:val="22"/>
              </w:rPr>
              <w:t xml:space="preserve"> </w:t>
            </w:r>
            <w:proofErr w:type="spellStart"/>
            <w:r w:rsidRPr="001421C4">
              <w:rPr>
                <w:rFonts w:ascii="Cambria" w:eastAsia="Calibri" w:hAnsi="Cambria" w:cs="Calibri"/>
                <w:sz w:val="22"/>
                <w:szCs w:val="22"/>
              </w:rPr>
              <w:t>kolokviju</w:t>
            </w:r>
            <w:proofErr w:type="spellEnd"/>
            <w:r w:rsidRPr="001421C4">
              <w:rPr>
                <w:rFonts w:ascii="Cambria" w:eastAsia="Calibri" w:hAnsi="Cambria" w:cs="Calibri"/>
                <w:sz w:val="22"/>
                <w:szCs w:val="22"/>
              </w:rPr>
              <w:t xml:space="preserve">), </w:t>
            </w:r>
            <w:proofErr w:type="spellStart"/>
            <w:r w:rsidRPr="001421C4">
              <w:rPr>
                <w:rFonts w:ascii="Cambria" w:eastAsia="Calibri" w:hAnsi="Cambria" w:cs="Calibri"/>
                <w:sz w:val="22"/>
                <w:szCs w:val="22"/>
              </w:rPr>
              <w:t>neovisno</w:t>
            </w:r>
            <w:proofErr w:type="spellEnd"/>
            <w:r w:rsidRPr="001421C4">
              <w:rPr>
                <w:rFonts w:ascii="Cambria" w:eastAsia="Calibri" w:hAnsi="Cambria" w:cs="Calibri"/>
                <w:sz w:val="22"/>
                <w:szCs w:val="22"/>
              </w:rPr>
              <w:t xml:space="preserve"> za </w:t>
            </w:r>
            <w:proofErr w:type="spellStart"/>
            <w:r w:rsidRPr="001421C4">
              <w:rPr>
                <w:rFonts w:ascii="Cambria" w:eastAsia="Calibri" w:hAnsi="Cambria" w:cs="Calibri"/>
                <w:sz w:val="22"/>
                <w:szCs w:val="22"/>
              </w:rPr>
              <w:t>prvi</w:t>
            </w:r>
            <w:proofErr w:type="spellEnd"/>
            <w:r w:rsidRPr="001421C4">
              <w:rPr>
                <w:rFonts w:ascii="Cambria" w:eastAsia="Calibri" w:hAnsi="Cambria" w:cs="Calibri"/>
                <w:sz w:val="22"/>
                <w:szCs w:val="22"/>
              </w:rPr>
              <w:t xml:space="preserve"> </w:t>
            </w:r>
            <w:proofErr w:type="spellStart"/>
            <w:r w:rsidRPr="001421C4">
              <w:rPr>
                <w:rFonts w:ascii="Cambria" w:eastAsia="Calibri" w:hAnsi="Cambria" w:cs="Calibri"/>
                <w:sz w:val="22"/>
                <w:szCs w:val="22"/>
              </w:rPr>
              <w:t>i</w:t>
            </w:r>
            <w:proofErr w:type="spellEnd"/>
            <w:r w:rsidRPr="001421C4">
              <w:rPr>
                <w:rFonts w:ascii="Cambria" w:eastAsia="Calibri" w:hAnsi="Cambria" w:cs="Calibri"/>
                <w:sz w:val="22"/>
                <w:szCs w:val="22"/>
              </w:rPr>
              <w:t xml:space="preserve"> </w:t>
            </w:r>
            <w:proofErr w:type="spellStart"/>
            <w:r w:rsidRPr="001421C4">
              <w:rPr>
                <w:rFonts w:ascii="Cambria" w:eastAsia="Calibri" w:hAnsi="Cambria" w:cs="Calibri"/>
                <w:sz w:val="22"/>
                <w:szCs w:val="22"/>
              </w:rPr>
              <w:t>drugi</w:t>
            </w:r>
            <w:proofErr w:type="spellEnd"/>
            <w:r w:rsidRPr="001421C4">
              <w:rPr>
                <w:rFonts w:ascii="Cambria" w:eastAsia="Calibri" w:hAnsi="Cambria" w:cs="Calibri"/>
                <w:sz w:val="22"/>
                <w:szCs w:val="22"/>
              </w:rPr>
              <w:t xml:space="preserve"> </w:t>
            </w:r>
            <w:proofErr w:type="spellStart"/>
            <w:r w:rsidRPr="001421C4">
              <w:rPr>
                <w:rFonts w:ascii="Cambria" w:eastAsia="Calibri" w:hAnsi="Cambria" w:cs="Calibri"/>
                <w:sz w:val="22"/>
                <w:szCs w:val="22"/>
              </w:rPr>
              <w:t>dio</w:t>
            </w:r>
            <w:proofErr w:type="spellEnd"/>
            <w:r w:rsidRPr="001421C4">
              <w:rPr>
                <w:rFonts w:ascii="Cambria" w:eastAsia="Calibri" w:hAnsi="Cambria" w:cs="Calibri"/>
                <w:sz w:val="22"/>
                <w:szCs w:val="22"/>
              </w:rPr>
              <w:t xml:space="preserve"> </w:t>
            </w:r>
            <w:proofErr w:type="spellStart"/>
            <w:r w:rsidRPr="001421C4">
              <w:rPr>
                <w:rFonts w:ascii="Cambria" w:eastAsia="Calibri" w:hAnsi="Cambria" w:cs="Calibri"/>
                <w:sz w:val="22"/>
                <w:szCs w:val="22"/>
              </w:rPr>
              <w:t>gradiva</w:t>
            </w:r>
            <w:proofErr w:type="spellEnd"/>
            <w:r w:rsidRPr="001421C4">
              <w:rPr>
                <w:rFonts w:ascii="Cambria" w:eastAsia="Calibri" w:hAnsi="Cambria" w:cs="Calibri"/>
                <w:sz w:val="22"/>
                <w:szCs w:val="22"/>
              </w:rPr>
              <w:t>.</w:t>
            </w:r>
          </w:p>
          <w:p w14:paraId="34D2E509" w14:textId="77777777" w:rsidR="001421C4" w:rsidRPr="001421C4" w:rsidRDefault="001421C4" w:rsidP="00450B7A">
            <w:pPr>
              <w:rPr>
                <w:rFonts w:ascii="Cambria" w:eastAsia="Calibri" w:hAnsi="Cambria" w:cs="Calibri"/>
                <w:sz w:val="22"/>
                <w:szCs w:val="22"/>
              </w:rPr>
            </w:pPr>
            <w:proofErr w:type="spellStart"/>
            <w:r w:rsidRPr="001421C4">
              <w:rPr>
                <w:rFonts w:ascii="Cambria" w:eastAsia="Calibri" w:hAnsi="Cambria" w:cs="Calibri"/>
                <w:sz w:val="22"/>
                <w:szCs w:val="22"/>
              </w:rPr>
              <w:t>Oslobađanje</w:t>
            </w:r>
            <w:proofErr w:type="spellEnd"/>
            <w:r w:rsidRPr="001421C4">
              <w:rPr>
                <w:rFonts w:ascii="Cambria" w:eastAsia="Calibri" w:hAnsi="Cambria" w:cs="Calibri"/>
                <w:sz w:val="22"/>
                <w:szCs w:val="22"/>
              </w:rPr>
              <w:t xml:space="preserve"> od </w:t>
            </w:r>
            <w:proofErr w:type="spellStart"/>
            <w:r w:rsidRPr="001421C4">
              <w:rPr>
                <w:rFonts w:ascii="Cambria" w:eastAsia="Calibri" w:hAnsi="Cambria" w:cs="Calibri"/>
                <w:sz w:val="22"/>
                <w:szCs w:val="22"/>
              </w:rPr>
              <w:t>ispita</w:t>
            </w:r>
            <w:proofErr w:type="spellEnd"/>
            <w:r w:rsidRPr="001421C4">
              <w:rPr>
                <w:rFonts w:ascii="Cambria" w:eastAsia="Calibri" w:hAnsi="Cambria" w:cs="Calibri"/>
                <w:sz w:val="22"/>
                <w:szCs w:val="22"/>
              </w:rPr>
              <w:t xml:space="preserve"> (</w:t>
            </w:r>
            <w:proofErr w:type="spellStart"/>
            <w:r w:rsidRPr="001421C4">
              <w:rPr>
                <w:rFonts w:ascii="Cambria" w:eastAsia="Calibri" w:hAnsi="Cambria" w:cs="Calibri"/>
                <w:sz w:val="22"/>
                <w:szCs w:val="22"/>
              </w:rPr>
              <w:t>na</w:t>
            </w:r>
            <w:proofErr w:type="spellEnd"/>
            <w:r w:rsidRPr="001421C4">
              <w:rPr>
                <w:rFonts w:ascii="Cambria" w:eastAsia="Calibri" w:hAnsi="Cambria" w:cs="Calibri"/>
                <w:sz w:val="22"/>
                <w:szCs w:val="22"/>
              </w:rPr>
              <w:t xml:space="preserve"> </w:t>
            </w:r>
            <w:proofErr w:type="spellStart"/>
            <w:r w:rsidRPr="001421C4">
              <w:rPr>
                <w:rFonts w:ascii="Cambria" w:eastAsia="Calibri" w:hAnsi="Cambria" w:cs="Calibri"/>
                <w:sz w:val="22"/>
                <w:szCs w:val="22"/>
              </w:rPr>
              <w:t>osnovu</w:t>
            </w:r>
            <w:proofErr w:type="spellEnd"/>
            <w:r w:rsidRPr="001421C4">
              <w:rPr>
                <w:rFonts w:ascii="Cambria" w:eastAsia="Calibri" w:hAnsi="Cambria" w:cs="Calibri"/>
                <w:sz w:val="22"/>
                <w:szCs w:val="22"/>
              </w:rPr>
              <w:t xml:space="preserve"> </w:t>
            </w:r>
            <w:proofErr w:type="spellStart"/>
            <w:r w:rsidRPr="001421C4">
              <w:rPr>
                <w:rFonts w:ascii="Cambria" w:eastAsia="Calibri" w:hAnsi="Cambria" w:cs="Calibri"/>
                <w:sz w:val="22"/>
                <w:szCs w:val="22"/>
              </w:rPr>
              <w:t>rezultata</w:t>
            </w:r>
            <w:proofErr w:type="spellEnd"/>
            <w:r w:rsidRPr="001421C4">
              <w:rPr>
                <w:rFonts w:ascii="Cambria" w:eastAsia="Calibri" w:hAnsi="Cambria" w:cs="Calibri"/>
                <w:sz w:val="22"/>
                <w:szCs w:val="22"/>
              </w:rPr>
              <w:t xml:space="preserve"> </w:t>
            </w:r>
            <w:proofErr w:type="spellStart"/>
            <w:r w:rsidRPr="001421C4">
              <w:rPr>
                <w:rFonts w:ascii="Cambria" w:eastAsia="Calibri" w:hAnsi="Cambria" w:cs="Calibri"/>
                <w:sz w:val="22"/>
                <w:szCs w:val="22"/>
              </w:rPr>
              <w:t>ostvarenih</w:t>
            </w:r>
            <w:proofErr w:type="spellEnd"/>
            <w:r w:rsidRPr="001421C4">
              <w:rPr>
                <w:rFonts w:ascii="Cambria" w:eastAsia="Calibri" w:hAnsi="Cambria" w:cs="Calibri"/>
                <w:sz w:val="22"/>
                <w:szCs w:val="22"/>
              </w:rPr>
              <w:t xml:space="preserve"> </w:t>
            </w:r>
            <w:proofErr w:type="spellStart"/>
            <w:r w:rsidRPr="001421C4">
              <w:rPr>
                <w:rFonts w:ascii="Cambria" w:eastAsia="Calibri" w:hAnsi="Cambria" w:cs="Calibri"/>
                <w:sz w:val="22"/>
                <w:szCs w:val="22"/>
              </w:rPr>
              <w:t>na</w:t>
            </w:r>
            <w:proofErr w:type="spellEnd"/>
            <w:r w:rsidRPr="001421C4">
              <w:rPr>
                <w:rFonts w:ascii="Cambria" w:eastAsia="Calibri" w:hAnsi="Cambria" w:cs="Calibri"/>
                <w:sz w:val="22"/>
                <w:szCs w:val="22"/>
              </w:rPr>
              <w:t xml:space="preserve"> </w:t>
            </w:r>
            <w:proofErr w:type="spellStart"/>
            <w:r w:rsidRPr="001421C4">
              <w:rPr>
                <w:rFonts w:ascii="Cambria" w:eastAsia="Calibri" w:hAnsi="Cambria" w:cs="Calibri"/>
                <w:sz w:val="22"/>
                <w:szCs w:val="22"/>
              </w:rPr>
              <w:t>kolokvijima</w:t>
            </w:r>
            <w:proofErr w:type="spellEnd"/>
            <w:r w:rsidRPr="001421C4">
              <w:rPr>
                <w:rFonts w:ascii="Cambria" w:eastAsia="Calibri" w:hAnsi="Cambria" w:cs="Calibri"/>
                <w:sz w:val="22"/>
                <w:szCs w:val="22"/>
              </w:rPr>
              <w:t xml:space="preserve">) </w:t>
            </w:r>
            <w:proofErr w:type="spellStart"/>
            <w:r w:rsidRPr="001421C4">
              <w:rPr>
                <w:rFonts w:ascii="Cambria" w:eastAsia="Calibri" w:hAnsi="Cambria" w:cs="Calibri"/>
                <w:sz w:val="22"/>
                <w:szCs w:val="22"/>
              </w:rPr>
              <w:t>vrijedi</w:t>
            </w:r>
            <w:proofErr w:type="spellEnd"/>
            <w:r w:rsidRPr="001421C4">
              <w:rPr>
                <w:rFonts w:ascii="Cambria" w:eastAsia="Calibri" w:hAnsi="Cambria" w:cs="Calibri"/>
                <w:sz w:val="22"/>
                <w:szCs w:val="22"/>
              </w:rPr>
              <w:t xml:space="preserve"> do </w:t>
            </w:r>
            <w:proofErr w:type="spellStart"/>
            <w:r w:rsidRPr="001421C4">
              <w:rPr>
                <w:rFonts w:ascii="Cambria" w:eastAsia="Calibri" w:hAnsi="Cambria" w:cs="Calibri"/>
                <w:sz w:val="22"/>
                <w:szCs w:val="22"/>
              </w:rPr>
              <w:t>kraja</w:t>
            </w:r>
            <w:proofErr w:type="spellEnd"/>
            <w:r w:rsidRPr="001421C4">
              <w:rPr>
                <w:rFonts w:ascii="Cambria" w:eastAsia="Calibri" w:hAnsi="Cambria" w:cs="Calibri"/>
                <w:sz w:val="22"/>
                <w:szCs w:val="22"/>
              </w:rPr>
              <w:t xml:space="preserve"> </w:t>
            </w:r>
            <w:proofErr w:type="spellStart"/>
            <w:r w:rsidRPr="001421C4">
              <w:rPr>
                <w:rFonts w:ascii="Cambria" w:eastAsia="Calibri" w:hAnsi="Cambria" w:cs="Calibri"/>
                <w:sz w:val="22"/>
                <w:szCs w:val="22"/>
              </w:rPr>
              <w:t>izvanrednog</w:t>
            </w:r>
            <w:proofErr w:type="spellEnd"/>
            <w:r w:rsidRPr="001421C4">
              <w:rPr>
                <w:rFonts w:ascii="Cambria" w:eastAsia="Calibri" w:hAnsi="Cambria" w:cs="Calibri"/>
                <w:sz w:val="22"/>
                <w:szCs w:val="22"/>
              </w:rPr>
              <w:t xml:space="preserve"> </w:t>
            </w:r>
            <w:proofErr w:type="spellStart"/>
            <w:r w:rsidRPr="001421C4">
              <w:rPr>
                <w:rFonts w:ascii="Cambria" w:eastAsia="Calibri" w:hAnsi="Cambria" w:cs="Calibri"/>
                <w:sz w:val="22"/>
                <w:szCs w:val="22"/>
              </w:rPr>
              <w:t>ispitnog</w:t>
            </w:r>
            <w:proofErr w:type="spellEnd"/>
            <w:r w:rsidRPr="001421C4">
              <w:rPr>
                <w:rFonts w:ascii="Cambria" w:eastAsia="Calibri" w:hAnsi="Cambria" w:cs="Calibri"/>
                <w:sz w:val="22"/>
                <w:szCs w:val="22"/>
              </w:rPr>
              <w:t xml:space="preserve"> </w:t>
            </w:r>
            <w:proofErr w:type="spellStart"/>
            <w:r w:rsidRPr="001421C4">
              <w:rPr>
                <w:rFonts w:ascii="Cambria" w:eastAsia="Calibri" w:hAnsi="Cambria" w:cs="Calibri"/>
                <w:sz w:val="22"/>
                <w:szCs w:val="22"/>
              </w:rPr>
              <w:t>roka</w:t>
            </w:r>
            <w:proofErr w:type="spellEnd"/>
            <w:r w:rsidRPr="001421C4">
              <w:rPr>
                <w:rFonts w:ascii="Cambria" w:eastAsia="Calibri" w:hAnsi="Cambria" w:cs="Calibri"/>
                <w:sz w:val="22"/>
                <w:szCs w:val="22"/>
              </w:rPr>
              <w:t xml:space="preserve"> u </w:t>
            </w:r>
            <w:proofErr w:type="spellStart"/>
            <w:r w:rsidRPr="001421C4">
              <w:rPr>
                <w:rFonts w:ascii="Cambria" w:eastAsia="Calibri" w:hAnsi="Cambria" w:cs="Calibri"/>
                <w:sz w:val="22"/>
                <w:szCs w:val="22"/>
              </w:rPr>
              <w:t>travnju</w:t>
            </w:r>
            <w:proofErr w:type="spellEnd"/>
            <w:r w:rsidRPr="001421C4">
              <w:rPr>
                <w:rFonts w:ascii="Cambria" w:eastAsia="Calibri" w:hAnsi="Cambria" w:cs="Calibri"/>
                <w:sz w:val="22"/>
                <w:szCs w:val="22"/>
              </w:rPr>
              <w:t>.</w:t>
            </w:r>
          </w:p>
          <w:p w14:paraId="19A965C2" w14:textId="77777777" w:rsidR="001421C4" w:rsidRPr="001421C4" w:rsidRDefault="001421C4" w:rsidP="00450B7A">
            <w:pPr>
              <w:rPr>
                <w:rFonts w:ascii="Cambria" w:eastAsia="Calibri" w:hAnsi="Cambria" w:cs="Calibri"/>
                <w:sz w:val="22"/>
                <w:szCs w:val="22"/>
                <w:lang w:val="it-IT"/>
              </w:rPr>
            </w:pPr>
            <w:r w:rsidRPr="001421C4">
              <w:rPr>
                <w:rFonts w:ascii="Cambria" w:eastAsia="Calibri" w:hAnsi="Cambria" w:cs="Calibri"/>
                <w:sz w:val="22"/>
                <w:szCs w:val="22"/>
                <w:lang w:val="it-IT"/>
              </w:rPr>
              <w:t xml:space="preserve">Pisani </w:t>
            </w:r>
            <w:proofErr w:type="spellStart"/>
            <w:r w:rsidRPr="001421C4">
              <w:rPr>
                <w:rFonts w:ascii="Cambria" w:eastAsia="Calibri" w:hAnsi="Cambria" w:cs="Calibri"/>
                <w:sz w:val="22"/>
                <w:szCs w:val="22"/>
                <w:lang w:val="it-IT"/>
              </w:rPr>
              <w:t>ispit</w:t>
            </w:r>
            <w:proofErr w:type="spellEnd"/>
            <w:r w:rsidRPr="001421C4">
              <w:rPr>
                <w:rFonts w:ascii="Cambria" w:eastAsia="Calibri" w:hAnsi="Cambria" w:cs="Calibri"/>
                <w:sz w:val="22"/>
                <w:szCs w:val="22"/>
                <w:lang w:val="it-IT"/>
              </w:rPr>
              <w:t xml:space="preserve"> je </w:t>
            </w:r>
            <w:proofErr w:type="spellStart"/>
            <w:r w:rsidRPr="001421C4">
              <w:rPr>
                <w:rFonts w:ascii="Cambria" w:eastAsia="Calibri" w:hAnsi="Cambria" w:cs="Calibri"/>
                <w:sz w:val="22"/>
                <w:szCs w:val="22"/>
                <w:lang w:val="it-IT"/>
              </w:rPr>
              <w:t>eliminacijski</w:t>
            </w:r>
            <w:proofErr w:type="spellEnd"/>
            <w:r w:rsidRPr="001421C4">
              <w:rPr>
                <w:rFonts w:ascii="Cambria" w:eastAsia="Calibri" w:hAnsi="Cambria" w:cs="Calibri"/>
                <w:sz w:val="22"/>
                <w:szCs w:val="22"/>
                <w:lang w:val="it-IT"/>
              </w:rPr>
              <w:t xml:space="preserve"> (za </w:t>
            </w:r>
            <w:proofErr w:type="spellStart"/>
            <w:r w:rsidRPr="001421C4">
              <w:rPr>
                <w:rFonts w:ascii="Cambria" w:eastAsia="Calibri" w:hAnsi="Cambria" w:cs="Calibri"/>
                <w:sz w:val="22"/>
                <w:szCs w:val="22"/>
                <w:lang w:val="it-IT"/>
              </w:rPr>
              <w:t>prolaz</w:t>
            </w:r>
            <w:proofErr w:type="spellEnd"/>
            <w:r w:rsidRPr="001421C4">
              <w:rPr>
                <w:rFonts w:ascii="Cambria" w:eastAsia="Calibri" w:hAnsi="Cambria" w:cs="Calibri"/>
                <w:sz w:val="22"/>
                <w:szCs w:val="22"/>
                <w:lang w:val="it-IT"/>
              </w:rPr>
              <w:t xml:space="preserve"> </w:t>
            </w:r>
            <w:proofErr w:type="spellStart"/>
            <w:r w:rsidRPr="001421C4">
              <w:rPr>
                <w:rFonts w:ascii="Cambria" w:eastAsia="Calibri" w:hAnsi="Cambria" w:cs="Calibri"/>
                <w:sz w:val="22"/>
                <w:szCs w:val="22"/>
                <w:lang w:val="it-IT"/>
              </w:rPr>
              <w:t>na</w:t>
            </w:r>
            <w:proofErr w:type="spellEnd"/>
            <w:r w:rsidRPr="001421C4">
              <w:rPr>
                <w:rFonts w:ascii="Cambria" w:eastAsia="Calibri" w:hAnsi="Cambria" w:cs="Calibri"/>
                <w:sz w:val="22"/>
                <w:szCs w:val="22"/>
                <w:lang w:val="it-IT"/>
              </w:rPr>
              <w:t xml:space="preserve"> </w:t>
            </w:r>
            <w:proofErr w:type="spellStart"/>
            <w:r w:rsidRPr="001421C4">
              <w:rPr>
                <w:rFonts w:ascii="Cambria" w:eastAsia="Calibri" w:hAnsi="Cambria" w:cs="Calibri"/>
                <w:sz w:val="22"/>
                <w:szCs w:val="22"/>
                <w:lang w:val="it-IT"/>
              </w:rPr>
              <w:t>usmeni</w:t>
            </w:r>
            <w:proofErr w:type="spellEnd"/>
            <w:r w:rsidRPr="001421C4">
              <w:rPr>
                <w:rFonts w:ascii="Cambria" w:eastAsia="Calibri" w:hAnsi="Cambria" w:cs="Calibri"/>
                <w:sz w:val="22"/>
                <w:szCs w:val="22"/>
                <w:lang w:val="it-IT"/>
              </w:rPr>
              <w:t xml:space="preserve"> </w:t>
            </w:r>
            <w:proofErr w:type="spellStart"/>
            <w:r w:rsidRPr="001421C4">
              <w:rPr>
                <w:rFonts w:ascii="Cambria" w:eastAsia="Calibri" w:hAnsi="Cambria" w:cs="Calibri"/>
                <w:sz w:val="22"/>
                <w:szCs w:val="22"/>
                <w:lang w:val="it-IT"/>
              </w:rPr>
              <w:t>ispit</w:t>
            </w:r>
            <w:proofErr w:type="spellEnd"/>
            <w:r w:rsidRPr="001421C4">
              <w:rPr>
                <w:rFonts w:ascii="Cambria" w:eastAsia="Calibri" w:hAnsi="Cambria" w:cs="Calibri"/>
                <w:sz w:val="22"/>
                <w:szCs w:val="22"/>
                <w:lang w:val="it-IT"/>
              </w:rPr>
              <w:t xml:space="preserve"> </w:t>
            </w:r>
            <w:proofErr w:type="spellStart"/>
            <w:r w:rsidRPr="001421C4">
              <w:rPr>
                <w:rFonts w:ascii="Cambria" w:eastAsia="Calibri" w:hAnsi="Cambria" w:cs="Calibri"/>
                <w:sz w:val="22"/>
                <w:szCs w:val="22"/>
                <w:lang w:val="it-IT"/>
              </w:rPr>
              <w:t>potrebno</w:t>
            </w:r>
            <w:proofErr w:type="spellEnd"/>
            <w:r w:rsidRPr="001421C4">
              <w:rPr>
                <w:rFonts w:ascii="Cambria" w:eastAsia="Calibri" w:hAnsi="Cambria" w:cs="Calibri"/>
                <w:sz w:val="22"/>
                <w:szCs w:val="22"/>
                <w:lang w:val="it-IT"/>
              </w:rPr>
              <w:t xml:space="preserve"> je </w:t>
            </w:r>
            <w:proofErr w:type="spellStart"/>
            <w:r w:rsidRPr="001421C4">
              <w:rPr>
                <w:rFonts w:ascii="Cambria" w:eastAsia="Calibri" w:hAnsi="Cambria" w:cs="Calibri"/>
                <w:sz w:val="22"/>
                <w:szCs w:val="22"/>
                <w:lang w:val="it-IT"/>
              </w:rPr>
              <w:t>postići</w:t>
            </w:r>
            <w:proofErr w:type="spellEnd"/>
            <w:r w:rsidRPr="001421C4">
              <w:rPr>
                <w:rFonts w:ascii="Cambria" w:eastAsia="Calibri" w:hAnsi="Cambria" w:cs="Calibri"/>
                <w:sz w:val="22"/>
                <w:szCs w:val="22"/>
                <w:lang w:val="it-IT"/>
              </w:rPr>
              <w:t xml:space="preserve"> </w:t>
            </w:r>
            <w:proofErr w:type="spellStart"/>
            <w:r w:rsidRPr="001421C4">
              <w:rPr>
                <w:rFonts w:ascii="Cambria" w:eastAsia="Calibri" w:hAnsi="Cambria" w:cs="Calibri"/>
                <w:sz w:val="22"/>
                <w:szCs w:val="22"/>
                <w:lang w:val="it-IT"/>
              </w:rPr>
              <w:t>najmanje</w:t>
            </w:r>
            <w:proofErr w:type="spellEnd"/>
            <w:r w:rsidRPr="001421C4">
              <w:rPr>
                <w:rFonts w:ascii="Cambria" w:eastAsia="Calibri" w:hAnsi="Cambria" w:cs="Calibri"/>
                <w:sz w:val="22"/>
                <w:szCs w:val="22"/>
                <w:lang w:val="it-IT"/>
              </w:rPr>
              <w:t xml:space="preserve"> 50% </w:t>
            </w:r>
            <w:proofErr w:type="spellStart"/>
            <w:r w:rsidRPr="001421C4">
              <w:rPr>
                <w:rFonts w:ascii="Cambria" w:eastAsia="Calibri" w:hAnsi="Cambria" w:cs="Calibri"/>
                <w:sz w:val="22"/>
                <w:szCs w:val="22"/>
                <w:lang w:val="it-IT"/>
              </w:rPr>
              <w:t>bodova</w:t>
            </w:r>
            <w:proofErr w:type="spellEnd"/>
            <w:r w:rsidRPr="001421C4">
              <w:rPr>
                <w:rFonts w:ascii="Cambria" w:eastAsia="Calibri" w:hAnsi="Cambria" w:cs="Calibri"/>
                <w:sz w:val="22"/>
                <w:szCs w:val="22"/>
                <w:lang w:val="it-IT"/>
              </w:rPr>
              <w:t xml:space="preserve">). </w:t>
            </w:r>
            <w:proofErr w:type="spellStart"/>
            <w:r w:rsidRPr="001421C4">
              <w:rPr>
                <w:rFonts w:ascii="Cambria" w:eastAsia="Calibri" w:hAnsi="Cambria" w:cs="Calibri"/>
                <w:sz w:val="22"/>
                <w:szCs w:val="22"/>
                <w:lang w:val="it-IT"/>
              </w:rPr>
              <w:t>Ukoliko</w:t>
            </w:r>
            <w:proofErr w:type="spellEnd"/>
            <w:r w:rsidRPr="001421C4">
              <w:rPr>
                <w:rFonts w:ascii="Cambria" w:eastAsia="Calibri" w:hAnsi="Cambria" w:cs="Calibri"/>
                <w:sz w:val="22"/>
                <w:szCs w:val="22"/>
                <w:lang w:val="it-IT"/>
              </w:rPr>
              <w:t xml:space="preserve"> </w:t>
            </w:r>
            <w:proofErr w:type="spellStart"/>
            <w:r w:rsidRPr="001421C4">
              <w:rPr>
                <w:rFonts w:ascii="Cambria" w:eastAsia="Calibri" w:hAnsi="Cambria" w:cs="Calibri"/>
                <w:sz w:val="22"/>
                <w:szCs w:val="22"/>
                <w:lang w:val="it-IT"/>
              </w:rPr>
              <w:t>na</w:t>
            </w:r>
            <w:proofErr w:type="spellEnd"/>
            <w:r w:rsidRPr="001421C4">
              <w:rPr>
                <w:rFonts w:ascii="Cambria" w:eastAsia="Calibri" w:hAnsi="Cambria" w:cs="Calibri"/>
                <w:sz w:val="22"/>
                <w:szCs w:val="22"/>
                <w:lang w:val="it-IT"/>
              </w:rPr>
              <w:t xml:space="preserve"> </w:t>
            </w:r>
            <w:proofErr w:type="spellStart"/>
            <w:r w:rsidRPr="001421C4">
              <w:rPr>
                <w:rFonts w:ascii="Cambria" w:eastAsia="Calibri" w:hAnsi="Cambria" w:cs="Calibri"/>
                <w:sz w:val="22"/>
                <w:szCs w:val="22"/>
                <w:lang w:val="it-IT"/>
              </w:rPr>
              <w:t>pisanom</w:t>
            </w:r>
            <w:proofErr w:type="spellEnd"/>
            <w:r w:rsidRPr="001421C4">
              <w:rPr>
                <w:rFonts w:ascii="Cambria" w:eastAsia="Calibri" w:hAnsi="Cambria" w:cs="Calibri"/>
                <w:sz w:val="22"/>
                <w:szCs w:val="22"/>
                <w:lang w:val="it-IT"/>
              </w:rPr>
              <w:t xml:space="preserve"> </w:t>
            </w:r>
            <w:proofErr w:type="spellStart"/>
            <w:r w:rsidRPr="001421C4">
              <w:rPr>
                <w:rFonts w:ascii="Cambria" w:eastAsia="Calibri" w:hAnsi="Cambria" w:cs="Calibri"/>
                <w:sz w:val="22"/>
                <w:szCs w:val="22"/>
                <w:lang w:val="it-IT"/>
              </w:rPr>
              <w:t>ispitu</w:t>
            </w:r>
            <w:proofErr w:type="spellEnd"/>
            <w:r w:rsidRPr="001421C4">
              <w:rPr>
                <w:rFonts w:ascii="Cambria" w:eastAsia="Calibri" w:hAnsi="Cambria" w:cs="Calibri"/>
                <w:sz w:val="22"/>
                <w:szCs w:val="22"/>
                <w:lang w:val="it-IT"/>
              </w:rPr>
              <w:t xml:space="preserve"> </w:t>
            </w:r>
            <w:proofErr w:type="spellStart"/>
            <w:r w:rsidRPr="001421C4">
              <w:rPr>
                <w:rFonts w:ascii="Cambria" w:eastAsia="Calibri" w:hAnsi="Cambria" w:cs="Calibri"/>
                <w:sz w:val="22"/>
                <w:szCs w:val="22"/>
                <w:lang w:val="it-IT"/>
              </w:rPr>
              <w:t>ostvari</w:t>
            </w:r>
            <w:proofErr w:type="spellEnd"/>
            <w:r w:rsidRPr="001421C4">
              <w:rPr>
                <w:rFonts w:ascii="Cambria" w:eastAsia="Calibri" w:hAnsi="Cambria" w:cs="Calibri"/>
                <w:sz w:val="22"/>
                <w:szCs w:val="22"/>
                <w:lang w:val="it-IT"/>
              </w:rPr>
              <w:t xml:space="preserve"> </w:t>
            </w:r>
            <w:proofErr w:type="spellStart"/>
            <w:r w:rsidRPr="001421C4">
              <w:rPr>
                <w:rFonts w:ascii="Cambria" w:eastAsia="Calibri" w:hAnsi="Cambria" w:cs="Calibri"/>
                <w:sz w:val="22"/>
                <w:szCs w:val="22"/>
                <w:lang w:val="it-IT"/>
              </w:rPr>
              <w:t>najmanje</w:t>
            </w:r>
            <w:proofErr w:type="spellEnd"/>
            <w:r w:rsidRPr="001421C4">
              <w:rPr>
                <w:rFonts w:ascii="Cambria" w:eastAsia="Calibri" w:hAnsi="Cambria" w:cs="Calibri"/>
                <w:sz w:val="22"/>
                <w:szCs w:val="22"/>
                <w:lang w:val="it-IT"/>
              </w:rPr>
              <w:t xml:space="preserve"> 70% </w:t>
            </w:r>
            <w:proofErr w:type="spellStart"/>
            <w:r w:rsidRPr="001421C4">
              <w:rPr>
                <w:rFonts w:ascii="Cambria" w:eastAsia="Calibri" w:hAnsi="Cambria" w:cs="Calibri"/>
                <w:sz w:val="22"/>
                <w:szCs w:val="22"/>
                <w:lang w:val="it-IT"/>
              </w:rPr>
              <w:t>bodova</w:t>
            </w:r>
            <w:proofErr w:type="spellEnd"/>
            <w:r w:rsidRPr="001421C4">
              <w:rPr>
                <w:rFonts w:ascii="Cambria" w:eastAsia="Calibri" w:hAnsi="Cambria" w:cs="Calibri"/>
                <w:sz w:val="22"/>
                <w:szCs w:val="22"/>
                <w:lang w:val="it-IT"/>
              </w:rPr>
              <w:t xml:space="preserve">, </w:t>
            </w:r>
            <w:proofErr w:type="spellStart"/>
            <w:r w:rsidRPr="001421C4">
              <w:rPr>
                <w:rFonts w:ascii="Cambria" w:eastAsia="Calibri" w:hAnsi="Cambria" w:cs="Calibri"/>
                <w:sz w:val="22"/>
                <w:szCs w:val="22"/>
                <w:lang w:val="it-IT"/>
              </w:rPr>
              <w:t>student</w:t>
            </w:r>
            <w:proofErr w:type="spellEnd"/>
            <w:r w:rsidRPr="001421C4">
              <w:rPr>
                <w:rFonts w:ascii="Cambria" w:eastAsia="Calibri" w:hAnsi="Cambria" w:cs="Calibri"/>
                <w:sz w:val="22"/>
                <w:szCs w:val="22"/>
                <w:lang w:val="it-IT"/>
              </w:rPr>
              <w:t xml:space="preserve"> ne mora </w:t>
            </w:r>
            <w:proofErr w:type="spellStart"/>
            <w:r w:rsidRPr="001421C4">
              <w:rPr>
                <w:rFonts w:ascii="Cambria" w:eastAsia="Calibri" w:hAnsi="Cambria" w:cs="Calibri"/>
                <w:sz w:val="22"/>
                <w:szCs w:val="22"/>
                <w:lang w:val="it-IT"/>
              </w:rPr>
              <w:t>pristupiti</w:t>
            </w:r>
            <w:proofErr w:type="spellEnd"/>
            <w:r w:rsidRPr="001421C4">
              <w:rPr>
                <w:rFonts w:ascii="Cambria" w:eastAsia="Calibri" w:hAnsi="Cambria" w:cs="Calibri"/>
                <w:sz w:val="22"/>
                <w:szCs w:val="22"/>
                <w:lang w:val="it-IT"/>
              </w:rPr>
              <w:t xml:space="preserve"> </w:t>
            </w:r>
            <w:proofErr w:type="spellStart"/>
            <w:r w:rsidRPr="001421C4">
              <w:rPr>
                <w:rFonts w:ascii="Cambria" w:eastAsia="Calibri" w:hAnsi="Cambria" w:cs="Calibri"/>
                <w:sz w:val="22"/>
                <w:szCs w:val="22"/>
                <w:lang w:val="it-IT"/>
              </w:rPr>
              <w:t>usmenom</w:t>
            </w:r>
            <w:proofErr w:type="spellEnd"/>
            <w:r w:rsidRPr="001421C4">
              <w:rPr>
                <w:rFonts w:ascii="Cambria" w:eastAsia="Calibri" w:hAnsi="Cambria" w:cs="Calibri"/>
                <w:sz w:val="22"/>
                <w:szCs w:val="22"/>
                <w:lang w:val="it-IT"/>
              </w:rPr>
              <w:t xml:space="preserve"> </w:t>
            </w:r>
            <w:proofErr w:type="spellStart"/>
            <w:r w:rsidRPr="001421C4">
              <w:rPr>
                <w:rFonts w:ascii="Cambria" w:eastAsia="Calibri" w:hAnsi="Cambria" w:cs="Calibri"/>
                <w:sz w:val="22"/>
                <w:szCs w:val="22"/>
                <w:lang w:val="it-IT"/>
              </w:rPr>
              <w:t>ispitu</w:t>
            </w:r>
            <w:proofErr w:type="spellEnd"/>
            <w:r w:rsidRPr="001421C4">
              <w:rPr>
                <w:rFonts w:ascii="Cambria" w:eastAsia="Calibri" w:hAnsi="Cambria" w:cs="Calibri"/>
                <w:sz w:val="22"/>
                <w:szCs w:val="22"/>
                <w:lang w:val="it-IT"/>
              </w:rPr>
              <w:t>.</w:t>
            </w:r>
          </w:p>
        </w:tc>
      </w:tr>
      <w:tr w:rsidR="001421C4" w:rsidRPr="00D0399C" w14:paraId="3812E403" w14:textId="77777777" w:rsidTr="00450B7A">
        <w:tc>
          <w:tcPr>
            <w:tcW w:w="2610" w:type="dxa"/>
            <w:shd w:val="clear" w:color="auto" w:fill="F3F3F3"/>
            <w:vAlign w:val="center"/>
            <w:hideMark/>
          </w:tcPr>
          <w:p w14:paraId="41ADEC74" w14:textId="77777777" w:rsidR="001421C4" w:rsidRPr="001421C4" w:rsidRDefault="001421C4" w:rsidP="00450B7A">
            <w:pPr>
              <w:rPr>
                <w:rFonts w:ascii="Cambria" w:eastAsia="Calibri" w:hAnsi="Cambria" w:cs="Calibri"/>
                <w:sz w:val="22"/>
                <w:szCs w:val="22"/>
              </w:rPr>
            </w:pPr>
            <w:proofErr w:type="spellStart"/>
            <w:r w:rsidRPr="001421C4">
              <w:rPr>
                <w:rFonts w:ascii="Cambria" w:eastAsia="Calibri" w:hAnsi="Cambria" w:cs="Calibri"/>
                <w:sz w:val="22"/>
                <w:szCs w:val="22"/>
              </w:rPr>
              <w:t>Studentske</w:t>
            </w:r>
            <w:proofErr w:type="spellEnd"/>
            <w:r w:rsidRPr="001421C4">
              <w:rPr>
                <w:rFonts w:ascii="Cambria" w:eastAsia="Calibri" w:hAnsi="Cambria" w:cs="Calibri"/>
                <w:sz w:val="22"/>
                <w:szCs w:val="22"/>
              </w:rPr>
              <w:t xml:space="preserve"> </w:t>
            </w:r>
            <w:proofErr w:type="spellStart"/>
            <w:r w:rsidRPr="001421C4">
              <w:rPr>
                <w:rFonts w:ascii="Cambria" w:eastAsia="Calibri" w:hAnsi="Cambria" w:cs="Calibri"/>
                <w:sz w:val="22"/>
                <w:szCs w:val="22"/>
              </w:rPr>
              <w:t>obveze</w:t>
            </w:r>
            <w:proofErr w:type="spellEnd"/>
          </w:p>
        </w:tc>
        <w:tc>
          <w:tcPr>
            <w:tcW w:w="6735" w:type="dxa"/>
            <w:gridSpan w:val="7"/>
            <w:vAlign w:val="center"/>
            <w:hideMark/>
          </w:tcPr>
          <w:p w14:paraId="4854F49C" w14:textId="77777777" w:rsidR="001421C4" w:rsidRPr="001421C4" w:rsidRDefault="001421C4" w:rsidP="00450B7A">
            <w:pPr>
              <w:rPr>
                <w:rFonts w:ascii="Cambria" w:eastAsia="Calibri" w:hAnsi="Cambria" w:cs="Calibri"/>
                <w:sz w:val="22"/>
                <w:szCs w:val="22"/>
                <w:lang w:val="it-IT"/>
              </w:rPr>
            </w:pPr>
            <w:r w:rsidRPr="001421C4">
              <w:rPr>
                <w:rFonts w:ascii="Cambria" w:eastAsia="Calibri" w:hAnsi="Cambria" w:cs="Calibri"/>
                <w:sz w:val="22"/>
                <w:szCs w:val="22"/>
                <w:lang w:val="it-IT"/>
              </w:rPr>
              <w:t xml:space="preserve">Da </w:t>
            </w:r>
            <w:proofErr w:type="spellStart"/>
            <w:r w:rsidRPr="001421C4">
              <w:rPr>
                <w:rFonts w:ascii="Cambria" w:eastAsia="Calibri" w:hAnsi="Cambria" w:cs="Calibri"/>
                <w:sz w:val="22"/>
                <w:szCs w:val="22"/>
                <w:lang w:val="it-IT"/>
              </w:rPr>
              <w:t>položi</w:t>
            </w:r>
            <w:proofErr w:type="spellEnd"/>
            <w:r w:rsidRPr="001421C4">
              <w:rPr>
                <w:rFonts w:ascii="Cambria" w:eastAsia="Calibri" w:hAnsi="Cambria" w:cs="Calibri"/>
                <w:sz w:val="22"/>
                <w:szCs w:val="22"/>
                <w:lang w:val="it-IT"/>
              </w:rPr>
              <w:t xml:space="preserve"> </w:t>
            </w:r>
            <w:proofErr w:type="spellStart"/>
            <w:r w:rsidRPr="001421C4">
              <w:rPr>
                <w:rFonts w:ascii="Cambria" w:eastAsia="Calibri" w:hAnsi="Cambria" w:cs="Calibri"/>
                <w:sz w:val="22"/>
                <w:szCs w:val="22"/>
                <w:lang w:val="it-IT"/>
              </w:rPr>
              <w:t>kolegij</w:t>
            </w:r>
            <w:proofErr w:type="spellEnd"/>
            <w:r w:rsidRPr="001421C4">
              <w:rPr>
                <w:rFonts w:ascii="Cambria" w:eastAsia="Calibri" w:hAnsi="Cambria" w:cs="Calibri"/>
                <w:sz w:val="22"/>
                <w:szCs w:val="22"/>
                <w:lang w:val="it-IT"/>
              </w:rPr>
              <w:t xml:space="preserve">, </w:t>
            </w:r>
            <w:proofErr w:type="spellStart"/>
            <w:r w:rsidRPr="001421C4">
              <w:rPr>
                <w:rFonts w:ascii="Cambria" w:eastAsia="Calibri" w:hAnsi="Cambria" w:cs="Calibri"/>
                <w:sz w:val="22"/>
                <w:szCs w:val="22"/>
                <w:lang w:val="it-IT"/>
              </w:rPr>
              <w:t>student</w:t>
            </w:r>
            <w:proofErr w:type="spellEnd"/>
            <w:r w:rsidRPr="001421C4">
              <w:rPr>
                <w:rFonts w:ascii="Cambria" w:eastAsia="Calibri" w:hAnsi="Cambria" w:cs="Calibri"/>
                <w:sz w:val="22"/>
                <w:szCs w:val="22"/>
                <w:lang w:val="it-IT"/>
              </w:rPr>
              <w:t>/</w:t>
            </w:r>
            <w:proofErr w:type="spellStart"/>
            <w:r w:rsidRPr="001421C4">
              <w:rPr>
                <w:rFonts w:ascii="Cambria" w:eastAsia="Calibri" w:hAnsi="Cambria" w:cs="Calibri"/>
                <w:sz w:val="22"/>
                <w:szCs w:val="22"/>
                <w:lang w:val="it-IT"/>
              </w:rPr>
              <w:t>studentica</w:t>
            </w:r>
            <w:proofErr w:type="spellEnd"/>
            <w:r w:rsidRPr="001421C4">
              <w:rPr>
                <w:rFonts w:ascii="Cambria" w:eastAsia="Calibri" w:hAnsi="Cambria" w:cs="Calibri"/>
                <w:sz w:val="22"/>
                <w:szCs w:val="22"/>
                <w:lang w:val="it-IT"/>
              </w:rPr>
              <w:t xml:space="preserve"> mora: </w:t>
            </w:r>
          </w:p>
          <w:p w14:paraId="7E38CFAC" w14:textId="77777777" w:rsidR="001421C4" w:rsidRPr="001421C4" w:rsidRDefault="001421C4" w:rsidP="00450B7A">
            <w:pPr>
              <w:rPr>
                <w:rFonts w:ascii="Cambria" w:eastAsia="Calibri" w:hAnsi="Cambria" w:cs="Calibri"/>
                <w:sz w:val="22"/>
                <w:szCs w:val="22"/>
                <w:lang w:val="it-IT"/>
              </w:rPr>
            </w:pPr>
            <w:r w:rsidRPr="001421C4">
              <w:rPr>
                <w:rFonts w:ascii="Cambria" w:eastAsia="Calibri" w:hAnsi="Cambria" w:cs="Calibri"/>
                <w:sz w:val="22"/>
                <w:szCs w:val="22"/>
                <w:lang w:val="it-IT"/>
              </w:rPr>
              <w:t xml:space="preserve">1. </w:t>
            </w:r>
            <w:proofErr w:type="spellStart"/>
            <w:r w:rsidRPr="001421C4">
              <w:rPr>
                <w:rFonts w:ascii="Cambria" w:eastAsia="Calibri" w:hAnsi="Cambria" w:cs="Calibri"/>
                <w:sz w:val="22"/>
                <w:szCs w:val="22"/>
                <w:lang w:val="it-IT"/>
              </w:rPr>
              <w:t>Redovito</w:t>
            </w:r>
            <w:proofErr w:type="spellEnd"/>
            <w:r w:rsidRPr="001421C4">
              <w:rPr>
                <w:rFonts w:ascii="Cambria" w:eastAsia="Calibri" w:hAnsi="Cambria" w:cs="Calibri"/>
                <w:sz w:val="22"/>
                <w:szCs w:val="22"/>
                <w:lang w:val="it-IT"/>
              </w:rPr>
              <w:t xml:space="preserve"> </w:t>
            </w:r>
            <w:proofErr w:type="spellStart"/>
            <w:r w:rsidRPr="001421C4">
              <w:rPr>
                <w:rFonts w:ascii="Cambria" w:eastAsia="Calibri" w:hAnsi="Cambria" w:cs="Calibri"/>
                <w:sz w:val="22"/>
                <w:szCs w:val="22"/>
                <w:lang w:val="it-IT"/>
              </w:rPr>
              <w:t>pohađati</w:t>
            </w:r>
            <w:proofErr w:type="spellEnd"/>
            <w:r w:rsidRPr="001421C4">
              <w:rPr>
                <w:rFonts w:ascii="Cambria" w:eastAsia="Calibri" w:hAnsi="Cambria" w:cs="Calibri"/>
                <w:sz w:val="22"/>
                <w:szCs w:val="22"/>
                <w:lang w:val="it-IT"/>
              </w:rPr>
              <w:t xml:space="preserve"> i </w:t>
            </w:r>
            <w:proofErr w:type="spellStart"/>
            <w:r w:rsidRPr="001421C4">
              <w:rPr>
                <w:rFonts w:ascii="Cambria" w:eastAsia="Calibri" w:hAnsi="Cambria" w:cs="Calibri"/>
                <w:sz w:val="22"/>
                <w:szCs w:val="22"/>
                <w:lang w:val="it-IT"/>
              </w:rPr>
              <w:t>aktivno</w:t>
            </w:r>
            <w:proofErr w:type="spellEnd"/>
            <w:r w:rsidRPr="001421C4">
              <w:rPr>
                <w:rFonts w:ascii="Cambria" w:eastAsia="Calibri" w:hAnsi="Cambria" w:cs="Calibri"/>
                <w:sz w:val="22"/>
                <w:szCs w:val="22"/>
                <w:lang w:val="it-IT"/>
              </w:rPr>
              <w:t xml:space="preserve"> </w:t>
            </w:r>
            <w:proofErr w:type="spellStart"/>
            <w:r w:rsidRPr="001421C4">
              <w:rPr>
                <w:rFonts w:ascii="Cambria" w:eastAsia="Calibri" w:hAnsi="Cambria" w:cs="Calibri"/>
                <w:sz w:val="22"/>
                <w:szCs w:val="22"/>
                <w:lang w:val="it-IT"/>
              </w:rPr>
              <w:t>sudjelovati</w:t>
            </w:r>
            <w:proofErr w:type="spellEnd"/>
            <w:r w:rsidRPr="001421C4">
              <w:rPr>
                <w:rFonts w:ascii="Cambria" w:eastAsia="Calibri" w:hAnsi="Cambria" w:cs="Calibri"/>
                <w:sz w:val="22"/>
                <w:szCs w:val="22"/>
                <w:lang w:val="it-IT"/>
              </w:rPr>
              <w:t xml:space="preserve"> u </w:t>
            </w:r>
            <w:proofErr w:type="spellStart"/>
            <w:r w:rsidRPr="001421C4">
              <w:rPr>
                <w:rFonts w:ascii="Cambria" w:eastAsia="Calibri" w:hAnsi="Cambria" w:cs="Calibri"/>
                <w:sz w:val="22"/>
                <w:szCs w:val="22"/>
                <w:lang w:val="it-IT"/>
              </w:rPr>
              <w:t>svim</w:t>
            </w:r>
            <w:proofErr w:type="spellEnd"/>
            <w:r w:rsidRPr="001421C4">
              <w:rPr>
                <w:rFonts w:ascii="Cambria" w:eastAsia="Calibri" w:hAnsi="Cambria" w:cs="Calibri"/>
                <w:sz w:val="22"/>
                <w:szCs w:val="22"/>
                <w:lang w:val="it-IT"/>
              </w:rPr>
              <w:t xml:space="preserve"> </w:t>
            </w:r>
            <w:proofErr w:type="spellStart"/>
            <w:r w:rsidRPr="001421C4">
              <w:rPr>
                <w:rFonts w:ascii="Cambria" w:eastAsia="Calibri" w:hAnsi="Cambria" w:cs="Calibri"/>
                <w:sz w:val="22"/>
                <w:szCs w:val="22"/>
                <w:lang w:val="it-IT"/>
              </w:rPr>
              <w:t>oblicima</w:t>
            </w:r>
            <w:proofErr w:type="spellEnd"/>
            <w:r w:rsidRPr="001421C4">
              <w:rPr>
                <w:rFonts w:ascii="Cambria" w:eastAsia="Calibri" w:hAnsi="Cambria" w:cs="Calibri"/>
                <w:sz w:val="22"/>
                <w:szCs w:val="22"/>
                <w:lang w:val="it-IT"/>
              </w:rPr>
              <w:t xml:space="preserve"> </w:t>
            </w:r>
            <w:proofErr w:type="spellStart"/>
            <w:r w:rsidRPr="001421C4">
              <w:rPr>
                <w:rFonts w:ascii="Cambria" w:eastAsia="Calibri" w:hAnsi="Cambria" w:cs="Calibri"/>
                <w:sz w:val="22"/>
                <w:szCs w:val="22"/>
                <w:lang w:val="it-IT"/>
              </w:rPr>
              <w:t>nastave</w:t>
            </w:r>
            <w:proofErr w:type="spellEnd"/>
            <w:r w:rsidRPr="001421C4">
              <w:rPr>
                <w:rFonts w:ascii="Cambria" w:eastAsia="Calibri" w:hAnsi="Cambria" w:cs="Calibri"/>
                <w:sz w:val="22"/>
                <w:szCs w:val="22"/>
                <w:lang w:val="it-IT"/>
              </w:rPr>
              <w:t xml:space="preserve">. </w:t>
            </w:r>
            <w:proofErr w:type="spellStart"/>
            <w:r w:rsidRPr="001421C4">
              <w:rPr>
                <w:rFonts w:ascii="Cambria" w:eastAsia="Calibri" w:hAnsi="Cambria" w:cs="Calibri"/>
                <w:sz w:val="22"/>
                <w:szCs w:val="22"/>
                <w:lang w:val="it-IT"/>
              </w:rPr>
              <w:t>Toleriraju</w:t>
            </w:r>
            <w:proofErr w:type="spellEnd"/>
            <w:r w:rsidRPr="001421C4">
              <w:rPr>
                <w:rFonts w:ascii="Cambria" w:eastAsia="Calibri" w:hAnsi="Cambria" w:cs="Calibri"/>
                <w:sz w:val="22"/>
                <w:szCs w:val="22"/>
                <w:lang w:val="it-IT"/>
              </w:rPr>
              <w:t xml:space="preserve"> se </w:t>
            </w:r>
            <w:proofErr w:type="spellStart"/>
            <w:r w:rsidRPr="001421C4">
              <w:rPr>
                <w:rFonts w:ascii="Cambria" w:eastAsia="Calibri" w:hAnsi="Cambria" w:cs="Calibri"/>
                <w:sz w:val="22"/>
                <w:szCs w:val="22"/>
                <w:lang w:val="it-IT"/>
              </w:rPr>
              <w:t>izostanci</w:t>
            </w:r>
            <w:proofErr w:type="spellEnd"/>
            <w:r w:rsidRPr="001421C4">
              <w:rPr>
                <w:rFonts w:ascii="Cambria" w:eastAsia="Calibri" w:hAnsi="Cambria" w:cs="Calibri"/>
                <w:sz w:val="22"/>
                <w:szCs w:val="22"/>
                <w:lang w:val="it-IT"/>
              </w:rPr>
              <w:t xml:space="preserve"> do 30% </w:t>
            </w:r>
            <w:proofErr w:type="spellStart"/>
            <w:r w:rsidRPr="001421C4">
              <w:rPr>
                <w:rFonts w:ascii="Cambria" w:eastAsia="Calibri" w:hAnsi="Cambria" w:cs="Calibri"/>
                <w:sz w:val="22"/>
                <w:szCs w:val="22"/>
                <w:lang w:val="it-IT"/>
              </w:rPr>
              <w:t>satnice</w:t>
            </w:r>
            <w:proofErr w:type="spellEnd"/>
            <w:r w:rsidRPr="001421C4">
              <w:rPr>
                <w:rFonts w:ascii="Cambria" w:eastAsia="Calibri" w:hAnsi="Cambria" w:cs="Calibri"/>
                <w:sz w:val="22"/>
                <w:szCs w:val="22"/>
                <w:lang w:val="it-IT"/>
              </w:rPr>
              <w:t xml:space="preserve"> (</w:t>
            </w:r>
            <w:proofErr w:type="spellStart"/>
            <w:r w:rsidRPr="001421C4">
              <w:rPr>
                <w:rFonts w:ascii="Cambria" w:eastAsia="Calibri" w:hAnsi="Cambria" w:cs="Calibri"/>
                <w:sz w:val="22"/>
                <w:szCs w:val="22"/>
                <w:lang w:val="it-IT"/>
              </w:rPr>
              <w:t>posebno</w:t>
            </w:r>
            <w:proofErr w:type="spellEnd"/>
            <w:r w:rsidRPr="001421C4">
              <w:rPr>
                <w:rFonts w:ascii="Cambria" w:eastAsia="Calibri" w:hAnsi="Cambria" w:cs="Calibri"/>
                <w:sz w:val="22"/>
                <w:szCs w:val="22"/>
                <w:lang w:val="it-IT"/>
              </w:rPr>
              <w:t xml:space="preserve"> za </w:t>
            </w:r>
            <w:proofErr w:type="spellStart"/>
            <w:r w:rsidRPr="001421C4">
              <w:rPr>
                <w:rFonts w:ascii="Cambria" w:eastAsia="Calibri" w:hAnsi="Cambria" w:cs="Calibri"/>
                <w:sz w:val="22"/>
                <w:szCs w:val="22"/>
                <w:lang w:val="it-IT"/>
              </w:rPr>
              <w:t>svaki</w:t>
            </w:r>
            <w:proofErr w:type="spellEnd"/>
            <w:r w:rsidRPr="001421C4">
              <w:rPr>
                <w:rFonts w:ascii="Cambria" w:eastAsia="Calibri" w:hAnsi="Cambria" w:cs="Calibri"/>
                <w:sz w:val="22"/>
                <w:szCs w:val="22"/>
                <w:lang w:val="it-IT"/>
              </w:rPr>
              <w:t xml:space="preserve"> </w:t>
            </w:r>
            <w:proofErr w:type="spellStart"/>
            <w:r w:rsidRPr="001421C4">
              <w:rPr>
                <w:rFonts w:ascii="Cambria" w:eastAsia="Calibri" w:hAnsi="Cambria" w:cs="Calibri"/>
                <w:sz w:val="22"/>
                <w:szCs w:val="22"/>
                <w:lang w:val="it-IT"/>
              </w:rPr>
              <w:t>oblik</w:t>
            </w:r>
            <w:proofErr w:type="spellEnd"/>
            <w:r w:rsidRPr="001421C4">
              <w:rPr>
                <w:rFonts w:ascii="Cambria" w:eastAsia="Calibri" w:hAnsi="Cambria" w:cs="Calibri"/>
                <w:sz w:val="22"/>
                <w:szCs w:val="22"/>
                <w:lang w:val="it-IT"/>
              </w:rPr>
              <w:t xml:space="preserve"> </w:t>
            </w:r>
            <w:proofErr w:type="spellStart"/>
            <w:r w:rsidRPr="001421C4">
              <w:rPr>
                <w:rFonts w:ascii="Cambria" w:eastAsia="Calibri" w:hAnsi="Cambria" w:cs="Calibri"/>
                <w:sz w:val="22"/>
                <w:szCs w:val="22"/>
                <w:lang w:val="it-IT"/>
              </w:rPr>
              <w:t>nastave</w:t>
            </w:r>
            <w:proofErr w:type="spellEnd"/>
            <w:r w:rsidRPr="001421C4">
              <w:rPr>
                <w:rFonts w:ascii="Cambria" w:eastAsia="Calibri" w:hAnsi="Cambria" w:cs="Calibri"/>
                <w:sz w:val="22"/>
                <w:szCs w:val="22"/>
                <w:lang w:val="it-IT"/>
              </w:rPr>
              <w:t>).</w:t>
            </w:r>
          </w:p>
          <w:p w14:paraId="6483F2DE" w14:textId="77777777" w:rsidR="001421C4" w:rsidRPr="001421C4" w:rsidRDefault="001421C4" w:rsidP="00450B7A">
            <w:pPr>
              <w:rPr>
                <w:rFonts w:ascii="Cambria" w:eastAsia="Calibri" w:hAnsi="Cambria" w:cs="Calibri"/>
                <w:sz w:val="22"/>
                <w:szCs w:val="22"/>
                <w:lang w:val="it-IT"/>
              </w:rPr>
            </w:pPr>
            <w:r w:rsidRPr="001421C4">
              <w:rPr>
                <w:rFonts w:ascii="Cambria" w:eastAsia="Calibri" w:hAnsi="Cambria" w:cs="Calibri"/>
                <w:sz w:val="22"/>
                <w:szCs w:val="22"/>
                <w:lang w:val="it-IT"/>
              </w:rPr>
              <w:t xml:space="preserve">2. </w:t>
            </w:r>
            <w:proofErr w:type="spellStart"/>
            <w:r w:rsidRPr="001421C4">
              <w:rPr>
                <w:rFonts w:ascii="Cambria" w:eastAsia="Calibri" w:hAnsi="Cambria" w:cs="Calibri"/>
                <w:sz w:val="22"/>
                <w:szCs w:val="22"/>
                <w:lang w:val="it-IT"/>
              </w:rPr>
              <w:t>Individualno</w:t>
            </w:r>
            <w:proofErr w:type="spellEnd"/>
            <w:r w:rsidRPr="001421C4">
              <w:rPr>
                <w:rFonts w:ascii="Cambria" w:eastAsia="Calibri" w:hAnsi="Cambria" w:cs="Calibri"/>
                <w:sz w:val="22"/>
                <w:szCs w:val="22"/>
                <w:lang w:val="it-IT"/>
              </w:rPr>
              <w:t xml:space="preserve"> </w:t>
            </w:r>
            <w:proofErr w:type="spellStart"/>
            <w:r w:rsidRPr="001421C4">
              <w:rPr>
                <w:rFonts w:ascii="Cambria" w:eastAsia="Calibri" w:hAnsi="Cambria" w:cs="Calibri"/>
                <w:sz w:val="22"/>
                <w:szCs w:val="22"/>
                <w:lang w:val="it-IT"/>
              </w:rPr>
              <w:t>obraditi</w:t>
            </w:r>
            <w:proofErr w:type="spellEnd"/>
            <w:r w:rsidRPr="001421C4">
              <w:rPr>
                <w:rFonts w:ascii="Cambria" w:eastAsia="Calibri" w:hAnsi="Cambria" w:cs="Calibri"/>
                <w:sz w:val="22"/>
                <w:szCs w:val="22"/>
                <w:lang w:val="it-IT"/>
              </w:rPr>
              <w:t xml:space="preserve"> </w:t>
            </w:r>
            <w:proofErr w:type="spellStart"/>
            <w:r w:rsidRPr="001421C4">
              <w:rPr>
                <w:rFonts w:ascii="Cambria" w:eastAsia="Calibri" w:hAnsi="Cambria" w:cs="Calibri"/>
                <w:sz w:val="22"/>
                <w:szCs w:val="22"/>
                <w:lang w:val="it-IT"/>
              </w:rPr>
              <w:t>jednu</w:t>
            </w:r>
            <w:proofErr w:type="spellEnd"/>
            <w:r w:rsidRPr="001421C4">
              <w:rPr>
                <w:rFonts w:ascii="Cambria" w:eastAsia="Calibri" w:hAnsi="Cambria" w:cs="Calibri"/>
                <w:sz w:val="22"/>
                <w:szCs w:val="22"/>
                <w:lang w:val="it-IT"/>
              </w:rPr>
              <w:t xml:space="preserve"> </w:t>
            </w:r>
            <w:proofErr w:type="spellStart"/>
            <w:r w:rsidRPr="001421C4">
              <w:rPr>
                <w:rFonts w:ascii="Cambria" w:eastAsia="Calibri" w:hAnsi="Cambria" w:cs="Calibri"/>
                <w:sz w:val="22"/>
                <w:szCs w:val="22"/>
                <w:lang w:val="it-IT"/>
              </w:rPr>
              <w:t>unaprijed</w:t>
            </w:r>
            <w:proofErr w:type="spellEnd"/>
            <w:r w:rsidRPr="001421C4">
              <w:rPr>
                <w:rFonts w:ascii="Cambria" w:eastAsia="Calibri" w:hAnsi="Cambria" w:cs="Calibri"/>
                <w:sz w:val="22"/>
                <w:szCs w:val="22"/>
                <w:lang w:val="it-IT"/>
              </w:rPr>
              <w:t xml:space="preserve"> </w:t>
            </w:r>
            <w:proofErr w:type="spellStart"/>
            <w:r w:rsidRPr="001421C4">
              <w:rPr>
                <w:rFonts w:ascii="Cambria" w:eastAsia="Calibri" w:hAnsi="Cambria" w:cs="Calibri"/>
                <w:sz w:val="22"/>
                <w:szCs w:val="22"/>
                <w:lang w:val="it-IT"/>
              </w:rPr>
              <w:t>određenu</w:t>
            </w:r>
            <w:proofErr w:type="spellEnd"/>
            <w:r w:rsidRPr="001421C4">
              <w:rPr>
                <w:rFonts w:ascii="Cambria" w:eastAsia="Calibri" w:hAnsi="Cambria" w:cs="Calibri"/>
                <w:sz w:val="22"/>
                <w:szCs w:val="22"/>
                <w:lang w:val="it-IT"/>
              </w:rPr>
              <w:t xml:space="preserve"> </w:t>
            </w:r>
            <w:proofErr w:type="spellStart"/>
            <w:r w:rsidRPr="001421C4">
              <w:rPr>
                <w:rFonts w:ascii="Cambria" w:eastAsia="Calibri" w:hAnsi="Cambria" w:cs="Calibri"/>
                <w:sz w:val="22"/>
                <w:szCs w:val="22"/>
                <w:lang w:val="it-IT"/>
              </w:rPr>
              <w:t>temu</w:t>
            </w:r>
            <w:proofErr w:type="spellEnd"/>
            <w:r w:rsidRPr="001421C4">
              <w:rPr>
                <w:rFonts w:ascii="Cambria" w:eastAsia="Calibri" w:hAnsi="Cambria" w:cs="Calibri"/>
                <w:sz w:val="22"/>
                <w:szCs w:val="22"/>
                <w:lang w:val="it-IT"/>
              </w:rPr>
              <w:t xml:space="preserve"> </w:t>
            </w:r>
            <w:proofErr w:type="spellStart"/>
            <w:r w:rsidRPr="001421C4">
              <w:rPr>
                <w:rFonts w:ascii="Cambria" w:eastAsia="Calibri" w:hAnsi="Cambria" w:cs="Calibri"/>
                <w:sz w:val="22"/>
                <w:szCs w:val="22"/>
                <w:lang w:val="it-IT"/>
              </w:rPr>
              <w:t>iz</w:t>
            </w:r>
            <w:proofErr w:type="spellEnd"/>
            <w:r w:rsidRPr="001421C4">
              <w:rPr>
                <w:rFonts w:ascii="Cambria" w:eastAsia="Calibri" w:hAnsi="Cambria" w:cs="Calibri"/>
                <w:sz w:val="22"/>
                <w:szCs w:val="22"/>
                <w:lang w:val="it-IT"/>
              </w:rPr>
              <w:t xml:space="preserve"> </w:t>
            </w:r>
            <w:proofErr w:type="spellStart"/>
            <w:r w:rsidRPr="001421C4">
              <w:rPr>
                <w:rFonts w:ascii="Cambria" w:eastAsia="Calibri" w:hAnsi="Cambria" w:cs="Calibri"/>
                <w:sz w:val="22"/>
                <w:szCs w:val="22"/>
                <w:lang w:val="it-IT"/>
              </w:rPr>
              <w:t>koje</w:t>
            </w:r>
            <w:proofErr w:type="spellEnd"/>
            <w:r w:rsidRPr="001421C4">
              <w:rPr>
                <w:rFonts w:ascii="Cambria" w:eastAsia="Calibri" w:hAnsi="Cambria" w:cs="Calibri"/>
                <w:sz w:val="22"/>
                <w:szCs w:val="22"/>
                <w:lang w:val="it-IT"/>
              </w:rPr>
              <w:t xml:space="preserve"> </w:t>
            </w:r>
            <w:proofErr w:type="spellStart"/>
            <w:r w:rsidRPr="001421C4">
              <w:rPr>
                <w:rFonts w:ascii="Cambria" w:eastAsia="Calibri" w:hAnsi="Cambria" w:cs="Calibri"/>
                <w:sz w:val="22"/>
                <w:szCs w:val="22"/>
                <w:lang w:val="it-IT"/>
              </w:rPr>
              <w:t>će</w:t>
            </w:r>
            <w:proofErr w:type="spellEnd"/>
            <w:r w:rsidRPr="001421C4">
              <w:rPr>
                <w:rFonts w:ascii="Cambria" w:eastAsia="Calibri" w:hAnsi="Cambria" w:cs="Calibri"/>
                <w:sz w:val="22"/>
                <w:szCs w:val="22"/>
                <w:lang w:val="it-IT"/>
              </w:rPr>
              <w:t xml:space="preserve"> prema </w:t>
            </w:r>
            <w:proofErr w:type="spellStart"/>
            <w:r w:rsidRPr="001421C4">
              <w:rPr>
                <w:rFonts w:ascii="Cambria" w:eastAsia="Calibri" w:hAnsi="Cambria" w:cs="Calibri"/>
                <w:sz w:val="22"/>
                <w:szCs w:val="22"/>
                <w:lang w:val="it-IT"/>
              </w:rPr>
              <w:t>dobivenim</w:t>
            </w:r>
            <w:proofErr w:type="spellEnd"/>
            <w:r w:rsidRPr="001421C4">
              <w:rPr>
                <w:rFonts w:ascii="Cambria" w:eastAsia="Calibri" w:hAnsi="Cambria" w:cs="Calibri"/>
                <w:sz w:val="22"/>
                <w:szCs w:val="22"/>
                <w:lang w:val="it-IT"/>
              </w:rPr>
              <w:t xml:space="preserve"> </w:t>
            </w:r>
            <w:proofErr w:type="spellStart"/>
            <w:r w:rsidRPr="001421C4">
              <w:rPr>
                <w:rFonts w:ascii="Cambria" w:eastAsia="Calibri" w:hAnsi="Cambria" w:cs="Calibri"/>
                <w:sz w:val="22"/>
                <w:szCs w:val="22"/>
                <w:lang w:val="it-IT"/>
              </w:rPr>
              <w:t>uputama</w:t>
            </w:r>
            <w:proofErr w:type="spellEnd"/>
            <w:r w:rsidRPr="001421C4">
              <w:rPr>
                <w:rFonts w:ascii="Cambria" w:eastAsia="Calibri" w:hAnsi="Cambria" w:cs="Calibri"/>
                <w:sz w:val="22"/>
                <w:szCs w:val="22"/>
                <w:lang w:val="it-IT"/>
              </w:rPr>
              <w:t xml:space="preserve"> </w:t>
            </w:r>
            <w:proofErr w:type="spellStart"/>
            <w:r w:rsidRPr="001421C4">
              <w:rPr>
                <w:rFonts w:ascii="Cambria" w:eastAsia="Calibri" w:hAnsi="Cambria" w:cs="Calibri"/>
                <w:sz w:val="22"/>
                <w:szCs w:val="22"/>
                <w:lang w:val="it-IT"/>
              </w:rPr>
              <w:t>pripremiti</w:t>
            </w:r>
            <w:proofErr w:type="spellEnd"/>
            <w:r w:rsidRPr="001421C4">
              <w:rPr>
                <w:rFonts w:ascii="Cambria" w:eastAsia="Calibri" w:hAnsi="Cambria" w:cs="Calibri"/>
                <w:sz w:val="22"/>
                <w:szCs w:val="22"/>
                <w:lang w:val="it-IT"/>
              </w:rPr>
              <w:t xml:space="preserve"> i </w:t>
            </w:r>
            <w:proofErr w:type="spellStart"/>
            <w:r w:rsidRPr="001421C4">
              <w:rPr>
                <w:rFonts w:ascii="Cambria" w:eastAsia="Calibri" w:hAnsi="Cambria" w:cs="Calibri"/>
                <w:sz w:val="22"/>
                <w:szCs w:val="22"/>
                <w:lang w:val="it-IT"/>
              </w:rPr>
              <w:t>održati</w:t>
            </w:r>
            <w:proofErr w:type="spellEnd"/>
            <w:r w:rsidRPr="001421C4">
              <w:rPr>
                <w:rFonts w:ascii="Cambria" w:eastAsia="Calibri" w:hAnsi="Cambria" w:cs="Calibri"/>
                <w:sz w:val="22"/>
                <w:szCs w:val="22"/>
                <w:lang w:val="it-IT"/>
              </w:rPr>
              <w:t xml:space="preserve"> </w:t>
            </w:r>
            <w:proofErr w:type="spellStart"/>
            <w:r w:rsidRPr="001421C4">
              <w:rPr>
                <w:rFonts w:ascii="Cambria" w:eastAsia="Calibri" w:hAnsi="Cambria" w:cs="Calibri"/>
                <w:sz w:val="22"/>
                <w:szCs w:val="22"/>
                <w:lang w:val="it-IT"/>
              </w:rPr>
              <w:t>jedno</w:t>
            </w:r>
            <w:proofErr w:type="spellEnd"/>
            <w:r w:rsidRPr="001421C4">
              <w:rPr>
                <w:rFonts w:ascii="Cambria" w:eastAsia="Calibri" w:hAnsi="Cambria" w:cs="Calibri"/>
                <w:sz w:val="22"/>
                <w:szCs w:val="22"/>
                <w:lang w:val="it-IT"/>
              </w:rPr>
              <w:t xml:space="preserve"> </w:t>
            </w:r>
            <w:proofErr w:type="spellStart"/>
            <w:r w:rsidRPr="001421C4">
              <w:rPr>
                <w:rFonts w:ascii="Cambria" w:eastAsia="Calibri" w:hAnsi="Cambria" w:cs="Calibri"/>
                <w:sz w:val="22"/>
                <w:szCs w:val="22"/>
                <w:lang w:val="it-IT"/>
              </w:rPr>
              <w:t>usmeno</w:t>
            </w:r>
            <w:proofErr w:type="spellEnd"/>
            <w:r w:rsidRPr="001421C4">
              <w:rPr>
                <w:rFonts w:ascii="Cambria" w:eastAsia="Calibri" w:hAnsi="Cambria" w:cs="Calibri"/>
                <w:sz w:val="22"/>
                <w:szCs w:val="22"/>
                <w:lang w:val="it-IT"/>
              </w:rPr>
              <w:t xml:space="preserve"> </w:t>
            </w:r>
            <w:proofErr w:type="spellStart"/>
            <w:r w:rsidRPr="001421C4">
              <w:rPr>
                <w:rFonts w:ascii="Cambria" w:eastAsia="Calibri" w:hAnsi="Cambria" w:cs="Calibri"/>
                <w:sz w:val="22"/>
                <w:szCs w:val="22"/>
                <w:lang w:val="it-IT"/>
              </w:rPr>
              <w:t>izlaganje</w:t>
            </w:r>
            <w:proofErr w:type="spellEnd"/>
            <w:r w:rsidRPr="001421C4">
              <w:rPr>
                <w:rFonts w:ascii="Cambria" w:eastAsia="Calibri" w:hAnsi="Cambria" w:cs="Calibri"/>
                <w:sz w:val="22"/>
                <w:szCs w:val="22"/>
                <w:lang w:val="it-IT"/>
              </w:rPr>
              <w:t xml:space="preserve"> (</w:t>
            </w:r>
            <w:proofErr w:type="spellStart"/>
            <w:r w:rsidRPr="001421C4">
              <w:rPr>
                <w:rFonts w:ascii="Cambria" w:eastAsia="Calibri" w:hAnsi="Cambria" w:cs="Calibri"/>
                <w:sz w:val="22"/>
                <w:szCs w:val="22"/>
                <w:lang w:val="it-IT"/>
              </w:rPr>
              <w:t>seminarski</w:t>
            </w:r>
            <w:proofErr w:type="spellEnd"/>
            <w:r w:rsidRPr="001421C4">
              <w:rPr>
                <w:rFonts w:ascii="Cambria" w:eastAsia="Calibri" w:hAnsi="Cambria" w:cs="Calibri"/>
                <w:sz w:val="22"/>
                <w:szCs w:val="22"/>
                <w:lang w:val="it-IT"/>
              </w:rPr>
              <w:t xml:space="preserve"> rad) u </w:t>
            </w:r>
            <w:proofErr w:type="spellStart"/>
            <w:r w:rsidRPr="001421C4">
              <w:rPr>
                <w:rFonts w:ascii="Cambria" w:eastAsia="Calibri" w:hAnsi="Cambria" w:cs="Calibri"/>
                <w:sz w:val="22"/>
                <w:szCs w:val="22"/>
                <w:lang w:val="it-IT"/>
              </w:rPr>
              <w:t>trajanju</w:t>
            </w:r>
            <w:proofErr w:type="spellEnd"/>
            <w:r w:rsidRPr="001421C4">
              <w:rPr>
                <w:rFonts w:ascii="Cambria" w:eastAsia="Calibri" w:hAnsi="Cambria" w:cs="Calibri"/>
                <w:sz w:val="22"/>
                <w:szCs w:val="22"/>
                <w:lang w:val="it-IT"/>
              </w:rPr>
              <w:t xml:space="preserve"> </w:t>
            </w:r>
            <w:proofErr w:type="gramStart"/>
            <w:r w:rsidRPr="001421C4">
              <w:rPr>
                <w:rFonts w:ascii="Cambria" w:eastAsia="Calibri" w:hAnsi="Cambria" w:cs="Calibri"/>
                <w:sz w:val="22"/>
                <w:szCs w:val="22"/>
                <w:lang w:val="it-IT"/>
              </w:rPr>
              <w:t>od</w:t>
            </w:r>
            <w:proofErr w:type="gramEnd"/>
            <w:r w:rsidRPr="001421C4">
              <w:rPr>
                <w:rFonts w:ascii="Cambria" w:eastAsia="Calibri" w:hAnsi="Cambria" w:cs="Calibri"/>
                <w:sz w:val="22"/>
                <w:szCs w:val="22"/>
                <w:lang w:val="it-IT"/>
              </w:rPr>
              <w:t xml:space="preserve"> 5 - 7 min.</w:t>
            </w:r>
          </w:p>
          <w:p w14:paraId="35091261" w14:textId="77777777" w:rsidR="001421C4" w:rsidRPr="001421C4" w:rsidRDefault="001421C4" w:rsidP="00450B7A">
            <w:pPr>
              <w:rPr>
                <w:rFonts w:ascii="Cambria" w:eastAsia="Calibri" w:hAnsi="Cambria" w:cs="Calibri"/>
                <w:sz w:val="22"/>
                <w:szCs w:val="22"/>
                <w:lang w:val="it-IT"/>
              </w:rPr>
            </w:pPr>
            <w:r w:rsidRPr="001421C4">
              <w:rPr>
                <w:rFonts w:ascii="Cambria" w:eastAsia="Calibri" w:hAnsi="Cambria" w:cs="Calibri"/>
                <w:sz w:val="22"/>
                <w:szCs w:val="22"/>
                <w:lang w:val="it-IT"/>
              </w:rPr>
              <w:t xml:space="preserve">3. </w:t>
            </w:r>
            <w:proofErr w:type="spellStart"/>
            <w:r w:rsidRPr="001421C4">
              <w:rPr>
                <w:rFonts w:ascii="Cambria" w:eastAsia="Calibri" w:hAnsi="Cambria" w:cs="Calibri"/>
                <w:sz w:val="22"/>
                <w:szCs w:val="22"/>
                <w:lang w:val="it-IT"/>
              </w:rPr>
              <w:t>Položiti</w:t>
            </w:r>
            <w:proofErr w:type="spellEnd"/>
            <w:r w:rsidRPr="001421C4">
              <w:rPr>
                <w:rFonts w:ascii="Cambria" w:eastAsia="Calibri" w:hAnsi="Cambria" w:cs="Calibri"/>
                <w:sz w:val="22"/>
                <w:szCs w:val="22"/>
                <w:lang w:val="it-IT"/>
              </w:rPr>
              <w:t xml:space="preserve"> oba </w:t>
            </w:r>
            <w:proofErr w:type="spellStart"/>
            <w:r w:rsidRPr="001421C4">
              <w:rPr>
                <w:rFonts w:ascii="Cambria" w:eastAsia="Calibri" w:hAnsi="Cambria" w:cs="Calibri"/>
                <w:sz w:val="22"/>
                <w:szCs w:val="22"/>
                <w:lang w:val="it-IT"/>
              </w:rPr>
              <w:t>kolokvija</w:t>
            </w:r>
            <w:proofErr w:type="spellEnd"/>
            <w:r w:rsidRPr="001421C4">
              <w:rPr>
                <w:rFonts w:ascii="Cambria" w:eastAsia="Calibri" w:hAnsi="Cambria" w:cs="Calibri"/>
                <w:sz w:val="22"/>
                <w:szCs w:val="22"/>
                <w:lang w:val="it-IT"/>
              </w:rPr>
              <w:t xml:space="preserve"> s </w:t>
            </w:r>
            <w:proofErr w:type="spellStart"/>
            <w:r w:rsidRPr="001421C4">
              <w:rPr>
                <w:rFonts w:ascii="Cambria" w:eastAsia="Calibri" w:hAnsi="Cambria" w:cs="Calibri"/>
                <w:sz w:val="22"/>
                <w:szCs w:val="22"/>
                <w:lang w:val="it-IT"/>
              </w:rPr>
              <w:t>više</w:t>
            </w:r>
            <w:proofErr w:type="spellEnd"/>
            <w:r w:rsidRPr="001421C4">
              <w:rPr>
                <w:rFonts w:ascii="Cambria" w:eastAsia="Calibri" w:hAnsi="Cambria" w:cs="Calibri"/>
                <w:sz w:val="22"/>
                <w:szCs w:val="22"/>
                <w:lang w:val="it-IT"/>
              </w:rPr>
              <w:t xml:space="preserve"> </w:t>
            </w:r>
            <w:proofErr w:type="gramStart"/>
            <w:r w:rsidRPr="001421C4">
              <w:rPr>
                <w:rFonts w:ascii="Cambria" w:eastAsia="Calibri" w:hAnsi="Cambria" w:cs="Calibri"/>
                <w:sz w:val="22"/>
                <w:szCs w:val="22"/>
                <w:lang w:val="it-IT"/>
              </w:rPr>
              <w:t>od</w:t>
            </w:r>
            <w:proofErr w:type="gramEnd"/>
            <w:r w:rsidRPr="001421C4">
              <w:rPr>
                <w:rFonts w:ascii="Cambria" w:eastAsia="Calibri" w:hAnsi="Cambria" w:cs="Calibri"/>
                <w:sz w:val="22"/>
                <w:szCs w:val="22"/>
                <w:lang w:val="it-IT"/>
              </w:rPr>
              <w:t xml:space="preserve"> 70% </w:t>
            </w:r>
            <w:proofErr w:type="spellStart"/>
            <w:r w:rsidRPr="001421C4">
              <w:rPr>
                <w:rFonts w:ascii="Cambria" w:eastAsia="Calibri" w:hAnsi="Cambria" w:cs="Calibri"/>
                <w:sz w:val="22"/>
                <w:szCs w:val="22"/>
                <w:lang w:val="it-IT"/>
              </w:rPr>
              <w:t>bodova</w:t>
            </w:r>
            <w:proofErr w:type="spellEnd"/>
            <w:r w:rsidRPr="001421C4">
              <w:rPr>
                <w:rFonts w:ascii="Cambria" w:eastAsia="Calibri" w:hAnsi="Cambria" w:cs="Calibri"/>
                <w:sz w:val="22"/>
                <w:szCs w:val="22"/>
                <w:lang w:val="it-IT"/>
              </w:rPr>
              <w:t xml:space="preserve"> </w:t>
            </w:r>
            <w:proofErr w:type="spellStart"/>
            <w:r w:rsidRPr="001421C4">
              <w:rPr>
                <w:rFonts w:ascii="Cambria" w:eastAsia="Calibri" w:hAnsi="Cambria" w:cs="Calibri"/>
                <w:sz w:val="22"/>
                <w:szCs w:val="22"/>
                <w:lang w:val="it-IT"/>
              </w:rPr>
              <w:t>na</w:t>
            </w:r>
            <w:proofErr w:type="spellEnd"/>
            <w:r w:rsidRPr="001421C4">
              <w:rPr>
                <w:rFonts w:ascii="Cambria" w:eastAsia="Calibri" w:hAnsi="Cambria" w:cs="Calibri"/>
                <w:sz w:val="22"/>
                <w:szCs w:val="22"/>
                <w:lang w:val="it-IT"/>
              </w:rPr>
              <w:t xml:space="preserve"> </w:t>
            </w:r>
            <w:proofErr w:type="spellStart"/>
            <w:r w:rsidRPr="001421C4">
              <w:rPr>
                <w:rFonts w:ascii="Cambria" w:eastAsia="Calibri" w:hAnsi="Cambria" w:cs="Calibri"/>
                <w:sz w:val="22"/>
                <w:szCs w:val="22"/>
                <w:lang w:val="it-IT"/>
              </w:rPr>
              <w:t>svakom</w:t>
            </w:r>
            <w:proofErr w:type="spellEnd"/>
            <w:r w:rsidRPr="001421C4">
              <w:rPr>
                <w:rFonts w:ascii="Cambria" w:eastAsia="Calibri" w:hAnsi="Cambria" w:cs="Calibri"/>
                <w:sz w:val="22"/>
                <w:szCs w:val="22"/>
                <w:lang w:val="it-IT"/>
              </w:rPr>
              <w:t xml:space="preserve"> ili </w:t>
            </w:r>
            <w:proofErr w:type="spellStart"/>
            <w:r w:rsidRPr="001421C4">
              <w:rPr>
                <w:rFonts w:ascii="Cambria" w:eastAsia="Calibri" w:hAnsi="Cambria" w:cs="Calibri"/>
                <w:sz w:val="22"/>
                <w:szCs w:val="22"/>
                <w:lang w:val="it-IT"/>
              </w:rPr>
              <w:t>Položiti</w:t>
            </w:r>
            <w:proofErr w:type="spellEnd"/>
            <w:r w:rsidRPr="001421C4">
              <w:rPr>
                <w:rFonts w:ascii="Cambria" w:eastAsia="Calibri" w:hAnsi="Cambria" w:cs="Calibri"/>
                <w:sz w:val="22"/>
                <w:szCs w:val="22"/>
                <w:lang w:val="it-IT"/>
              </w:rPr>
              <w:t xml:space="preserve"> </w:t>
            </w:r>
            <w:proofErr w:type="spellStart"/>
            <w:r w:rsidRPr="001421C4">
              <w:rPr>
                <w:rFonts w:ascii="Cambria" w:eastAsia="Calibri" w:hAnsi="Cambria" w:cs="Calibri"/>
                <w:sz w:val="22"/>
                <w:szCs w:val="22"/>
                <w:lang w:val="it-IT"/>
              </w:rPr>
              <w:t>završni</w:t>
            </w:r>
            <w:proofErr w:type="spellEnd"/>
            <w:r w:rsidRPr="001421C4">
              <w:rPr>
                <w:rFonts w:ascii="Cambria" w:eastAsia="Calibri" w:hAnsi="Cambria" w:cs="Calibri"/>
                <w:sz w:val="22"/>
                <w:szCs w:val="22"/>
                <w:lang w:val="it-IT"/>
              </w:rPr>
              <w:t xml:space="preserve"> </w:t>
            </w:r>
            <w:proofErr w:type="spellStart"/>
            <w:r w:rsidRPr="001421C4">
              <w:rPr>
                <w:rFonts w:ascii="Cambria" w:eastAsia="Calibri" w:hAnsi="Cambria" w:cs="Calibri"/>
                <w:sz w:val="22"/>
                <w:szCs w:val="22"/>
                <w:lang w:val="it-IT"/>
              </w:rPr>
              <w:t>ispit</w:t>
            </w:r>
            <w:proofErr w:type="spellEnd"/>
            <w:r w:rsidRPr="001421C4">
              <w:rPr>
                <w:rFonts w:ascii="Cambria" w:eastAsia="Calibri" w:hAnsi="Cambria" w:cs="Calibri"/>
                <w:sz w:val="22"/>
                <w:szCs w:val="22"/>
                <w:lang w:val="it-IT"/>
              </w:rPr>
              <w:t>.</w:t>
            </w:r>
          </w:p>
        </w:tc>
      </w:tr>
      <w:tr w:rsidR="001421C4" w:rsidRPr="001421C4" w14:paraId="002D9476" w14:textId="77777777" w:rsidTr="00450B7A">
        <w:tc>
          <w:tcPr>
            <w:tcW w:w="2610" w:type="dxa"/>
            <w:shd w:val="clear" w:color="auto" w:fill="F3F3F3"/>
            <w:vAlign w:val="center"/>
            <w:hideMark/>
          </w:tcPr>
          <w:p w14:paraId="47C21996" w14:textId="77777777" w:rsidR="001421C4" w:rsidRPr="001421C4" w:rsidRDefault="001421C4" w:rsidP="00450B7A">
            <w:pPr>
              <w:rPr>
                <w:rFonts w:ascii="Cambria" w:eastAsia="Calibri" w:hAnsi="Cambria" w:cs="Calibri"/>
                <w:sz w:val="22"/>
                <w:szCs w:val="22"/>
              </w:rPr>
            </w:pPr>
            <w:proofErr w:type="spellStart"/>
            <w:r w:rsidRPr="001421C4">
              <w:rPr>
                <w:rFonts w:ascii="Cambria" w:eastAsia="Calibri" w:hAnsi="Cambria" w:cs="Calibri"/>
                <w:sz w:val="22"/>
                <w:szCs w:val="22"/>
              </w:rPr>
              <w:t>Rokovi</w:t>
            </w:r>
            <w:proofErr w:type="spellEnd"/>
            <w:r w:rsidRPr="001421C4">
              <w:rPr>
                <w:rFonts w:ascii="Cambria" w:eastAsia="Calibri" w:hAnsi="Cambria" w:cs="Calibri"/>
                <w:sz w:val="22"/>
                <w:szCs w:val="22"/>
              </w:rPr>
              <w:t xml:space="preserve"> </w:t>
            </w:r>
            <w:proofErr w:type="spellStart"/>
            <w:r w:rsidRPr="001421C4">
              <w:rPr>
                <w:rFonts w:ascii="Cambria" w:eastAsia="Calibri" w:hAnsi="Cambria" w:cs="Calibri"/>
                <w:sz w:val="22"/>
                <w:szCs w:val="22"/>
              </w:rPr>
              <w:t>ispita</w:t>
            </w:r>
            <w:proofErr w:type="spellEnd"/>
            <w:r w:rsidRPr="001421C4">
              <w:rPr>
                <w:rFonts w:ascii="Cambria" w:eastAsia="Calibri" w:hAnsi="Cambria" w:cs="Calibri"/>
                <w:sz w:val="22"/>
                <w:szCs w:val="22"/>
              </w:rPr>
              <w:t xml:space="preserve"> </w:t>
            </w:r>
            <w:proofErr w:type="spellStart"/>
            <w:r w:rsidRPr="001421C4">
              <w:rPr>
                <w:rFonts w:ascii="Cambria" w:eastAsia="Calibri" w:hAnsi="Cambria" w:cs="Calibri"/>
                <w:sz w:val="22"/>
                <w:szCs w:val="22"/>
              </w:rPr>
              <w:t>i</w:t>
            </w:r>
            <w:proofErr w:type="spellEnd"/>
            <w:r w:rsidRPr="001421C4">
              <w:rPr>
                <w:rFonts w:ascii="Cambria" w:eastAsia="Calibri" w:hAnsi="Cambria" w:cs="Calibri"/>
                <w:sz w:val="22"/>
                <w:szCs w:val="22"/>
              </w:rPr>
              <w:t xml:space="preserve"> </w:t>
            </w:r>
            <w:proofErr w:type="spellStart"/>
            <w:r w:rsidRPr="001421C4">
              <w:rPr>
                <w:rFonts w:ascii="Cambria" w:eastAsia="Calibri" w:hAnsi="Cambria" w:cs="Calibri"/>
                <w:sz w:val="22"/>
                <w:szCs w:val="22"/>
              </w:rPr>
              <w:t>kolokvija</w:t>
            </w:r>
            <w:proofErr w:type="spellEnd"/>
          </w:p>
        </w:tc>
        <w:tc>
          <w:tcPr>
            <w:tcW w:w="6735" w:type="dxa"/>
            <w:gridSpan w:val="7"/>
            <w:vAlign w:val="center"/>
            <w:hideMark/>
          </w:tcPr>
          <w:p w14:paraId="7C5C68CE" w14:textId="77777777" w:rsidR="001421C4" w:rsidRPr="001421C4" w:rsidRDefault="001421C4" w:rsidP="00450B7A">
            <w:pPr>
              <w:rPr>
                <w:rFonts w:ascii="Cambria" w:eastAsia="Calibri" w:hAnsi="Cambria" w:cs="Calibri"/>
                <w:sz w:val="22"/>
                <w:szCs w:val="22"/>
              </w:rPr>
            </w:pPr>
            <w:proofErr w:type="spellStart"/>
            <w:r w:rsidRPr="001421C4">
              <w:rPr>
                <w:rFonts w:ascii="Cambria" w:eastAsia="Calibri" w:hAnsi="Cambria" w:cs="Calibri"/>
                <w:sz w:val="22"/>
                <w:szCs w:val="22"/>
              </w:rPr>
              <w:t>Određuju</w:t>
            </w:r>
            <w:proofErr w:type="spellEnd"/>
            <w:r w:rsidRPr="001421C4">
              <w:rPr>
                <w:rFonts w:ascii="Cambria" w:eastAsia="Calibri" w:hAnsi="Cambria" w:cs="Calibri"/>
                <w:sz w:val="22"/>
                <w:szCs w:val="22"/>
              </w:rPr>
              <w:t xml:space="preserve"> se </w:t>
            </w:r>
            <w:proofErr w:type="spellStart"/>
            <w:r w:rsidRPr="001421C4">
              <w:rPr>
                <w:rFonts w:ascii="Cambria" w:eastAsia="Calibri" w:hAnsi="Cambria" w:cs="Calibri"/>
                <w:sz w:val="22"/>
                <w:szCs w:val="22"/>
              </w:rPr>
              <w:t>na</w:t>
            </w:r>
            <w:proofErr w:type="spellEnd"/>
            <w:r w:rsidRPr="001421C4">
              <w:rPr>
                <w:rFonts w:ascii="Cambria" w:eastAsia="Calibri" w:hAnsi="Cambria" w:cs="Calibri"/>
                <w:sz w:val="22"/>
                <w:szCs w:val="22"/>
              </w:rPr>
              <w:t xml:space="preserve"> </w:t>
            </w:r>
            <w:proofErr w:type="spellStart"/>
            <w:r w:rsidRPr="001421C4">
              <w:rPr>
                <w:rFonts w:ascii="Cambria" w:eastAsia="Calibri" w:hAnsi="Cambria" w:cs="Calibri"/>
                <w:sz w:val="22"/>
                <w:szCs w:val="22"/>
              </w:rPr>
              <w:t>početku</w:t>
            </w:r>
            <w:proofErr w:type="spellEnd"/>
            <w:r w:rsidRPr="001421C4">
              <w:rPr>
                <w:rFonts w:ascii="Cambria" w:eastAsia="Calibri" w:hAnsi="Cambria" w:cs="Calibri"/>
                <w:sz w:val="22"/>
                <w:szCs w:val="22"/>
              </w:rPr>
              <w:t xml:space="preserve"> </w:t>
            </w:r>
            <w:proofErr w:type="spellStart"/>
            <w:r w:rsidRPr="001421C4">
              <w:rPr>
                <w:rFonts w:ascii="Cambria" w:eastAsia="Calibri" w:hAnsi="Cambria" w:cs="Calibri"/>
                <w:sz w:val="22"/>
                <w:szCs w:val="22"/>
              </w:rPr>
              <w:t>akademske</w:t>
            </w:r>
            <w:proofErr w:type="spellEnd"/>
            <w:r w:rsidRPr="001421C4">
              <w:rPr>
                <w:rFonts w:ascii="Cambria" w:eastAsia="Calibri" w:hAnsi="Cambria" w:cs="Calibri"/>
                <w:sz w:val="22"/>
                <w:szCs w:val="22"/>
              </w:rPr>
              <w:t xml:space="preserve"> </w:t>
            </w:r>
            <w:proofErr w:type="spellStart"/>
            <w:r w:rsidRPr="001421C4">
              <w:rPr>
                <w:rFonts w:ascii="Cambria" w:eastAsia="Calibri" w:hAnsi="Cambria" w:cs="Calibri"/>
                <w:sz w:val="22"/>
                <w:szCs w:val="22"/>
              </w:rPr>
              <w:t>godine</w:t>
            </w:r>
            <w:proofErr w:type="spellEnd"/>
            <w:r w:rsidRPr="001421C4">
              <w:rPr>
                <w:rFonts w:ascii="Cambria" w:eastAsia="Calibri" w:hAnsi="Cambria" w:cs="Calibri"/>
                <w:sz w:val="22"/>
                <w:szCs w:val="22"/>
              </w:rPr>
              <w:t xml:space="preserve">, </w:t>
            </w:r>
            <w:proofErr w:type="spellStart"/>
            <w:r w:rsidRPr="001421C4">
              <w:rPr>
                <w:rFonts w:ascii="Cambria" w:eastAsia="Calibri" w:hAnsi="Cambria" w:cs="Calibri"/>
                <w:sz w:val="22"/>
                <w:szCs w:val="22"/>
              </w:rPr>
              <w:t>objavljuju</w:t>
            </w:r>
            <w:proofErr w:type="spellEnd"/>
            <w:r w:rsidRPr="001421C4">
              <w:rPr>
                <w:rFonts w:ascii="Cambria" w:eastAsia="Calibri" w:hAnsi="Cambria" w:cs="Calibri"/>
                <w:sz w:val="22"/>
                <w:szCs w:val="22"/>
              </w:rPr>
              <w:t xml:space="preserve"> se </w:t>
            </w:r>
            <w:proofErr w:type="spellStart"/>
            <w:r w:rsidRPr="001421C4">
              <w:rPr>
                <w:rFonts w:ascii="Cambria" w:eastAsia="Calibri" w:hAnsi="Cambria" w:cs="Calibri"/>
                <w:sz w:val="22"/>
                <w:szCs w:val="22"/>
              </w:rPr>
              <w:t>na</w:t>
            </w:r>
            <w:proofErr w:type="spellEnd"/>
            <w:r w:rsidRPr="001421C4">
              <w:rPr>
                <w:rFonts w:ascii="Cambria" w:eastAsia="Calibri" w:hAnsi="Cambria" w:cs="Calibri"/>
                <w:sz w:val="22"/>
                <w:szCs w:val="22"/>
              </w:rPr>
              <w:t xml:space="preserve"> </w:t>
            </w:r>
            <w:proofErr w:type="spellStart"/>
            <w:r w:rsidRPr="001421C4">
              <w:rPr>
                <w:rFonts w:ascii="Cambria" w:eastAsia="Calibri" w:hAnsi="Cambria" w:cs="Calibri"/>
                <w:sz w:val="22"/>
                <w:szCs w:val="22"/>
              </w:rPr>
              <w:t>mrežnim</w:t>
            </w:r>
            <w:proofErr w:type="spellEnd"/>
            <w:r w:rsidRPr="001421C4">
              <w:rPr>
                <w:rFonts w:ascii="Cambria" w:eastAsia="Calibri" w:hAnsi="Cambria" w:cs="Calibri"/>
                <w:sz w:val="22"/>
                <w:szCs w:val="22"/>
              </w:rPr>
              <w:t xml:space="preserve"> </w:t>
            </w:r>
            <w:proofErr w:type="spellStart"/>
            <w:r w:rsidRPr="001421C4">
              <w:rPr>
                <w:rFonts w:ascii="Cambria" w:eastAsia="Calibri" w:hAnsi="Cambria" w:cs="Calibri"/>
                <w:sz w:val="22"/>
                <w:szCs w:val="22"/>
              </w:rPr>
              <w:t>stranicama</w:t>
            </w:r>
            <w:proofErr w:type="spellEnd"/>
            <w:r w:rsidRPr="001421C4">
              <w:rPr>
                <w:rFonts w:ascii="Cambria" w:eastAsia="Calibri" w:hAnsi="Cambria" w:cs="Calibri"/>
                <w:sz w:val="22"/>
                <w:szCs w:val="22"/>
              </w:rPr>
              <w:t xml:space="preserve"> </w:t>
            </w:r>
            <w:proofErr w:type="spellStart"/>
            <w:r w:rsidRPr="001421C4">
              <w:rPr>
                <w:rFonts w:ascii="Cambria" w:eastAsia="Calibri" w:hAnsi="Cambria" w:cs="Calibri"/>
                <w:sz w:val="22"/>
                <w:szCs w:val="22"/>
              </w:rPr>
              <w:t>Sveučilišta</w:t>
            </w:r>
            <w:proofErr w:type="spellEnd"/>
            <w:r w:rsidRPr="001421C4">
              <w:rPr>
                <w:rFonts w:ascii="Cambria" w:eastAsia="Calibri" w:hAnsi="Cambria" w:cs="Calibri"/>
                <w:sz w:val="22"/>
                <w:szCs w:val="22"/>
              </w:rPr>
              <w:t xml:space="preserve"> </w:t>
            </w:r>
            <w:proofErr w:type="spellStart"/>
            <w:r w:rsidRPr="001421C4">
              <w:rPr>
                <w:rFonts w:ascii="Cambria" w:eastAsia="Calibri" w:hAnsi="Cambria" w:cs="Calibri"/>
                <w:sz w:val="22"/>
                <w:szCs w:val="22"/>
              </w:rPr>
              <w:t>i</w:t>
            </w:r>
            <w:proofErr w:type="spellEnd"/>
            <w:r w:rsidRPr="001421C4">
              <w:rPr>
                <w:rFonts w:ascii="Cambria" w:eastAsia="Calibri" w:hAnsi="Cambria" w:cs="Calibri"/>
                <w:sz w:val="22"/>
                <w:szCs w:val="22"/>
              </w:rPr>
              <w:t xml:space="preserve"> u ISVU </w:t>
            </w:r>
            <w:proofErr w:type="spellStart"/>
            <w:r w:rsidRPr="001421C4">
              <w:rPr>
                <w:rFonts w:ascii="Cambria" w:eastAsia="Calibri" w:hAnsi="Cambria" w:cs="Calibri"/>
                <w:sz w:val="22"/>
                <w:szCs w:val="22"/>
              </w:rPr>
              <w:t>sustavu</w:t>
            </w:r>
            <w:proofErr w:type="spellEnd"/>
          </w:p>
        </w:tc>
      </w:tr>
      <w:tr w:rsidR="001421C4" w:rsidRPr="001421C4" w14:paraId="632814C9" w14:textId="77777777" w:rsidTr="00450B7A">
        <w:tc>
          <w:tcPr>
            <w:tcW w:w="2610" w:type="dxa"/>
            <w:shd w:val="clear" w:color="auto" w:fill="F3F3F3"/>
            <w:vAlign w:val="center"/>
            <w:hideMark/>
          </w:tcPr>
          <w:p w14:paraId="6FA51C73" w14:textId="77777777" w:rsidR="001421C4" w:rsidRPr="001421C4" w:rsidRDefault="001421C4" w:rsidP="00450B7A">
            <w:pPr>
              <w:rPr>
                <w:rFonts w:ascii="Cambria" w:eastAsia="Calibri" w:hAnsi="Cambria" w:cs="Calibri"/>
                <w:sz w:val="22"/>
                <w:szCs w:val="22"/>
                <w:lang w:val="it-IT"/>
              </w:rPr>
            </w:pPr>
            <w:r w:rsidRPr="001421C4">
              <w:rPr>
                <w:rFonts w:ascii="Cambria" w:eastAsia="Calibri" w:hAnsi="Cambria" w:cs="Calibri"/>
                <w:sz w:val="22"/>
                <w:szCs w:val="22"/>
                <w:lang w:val="it-IT"/>
              </w:rPr>
              <w:t xml:space="preserve">Ostale </w:t>
            </w:r>
            <w:proofErr w:type="spellStart"/>
            <w:r w:rsidRPr="001421C4">
              <w:rPr>
                <w:rFonts w:ascii="Cambria" w:eastAsia="Calibri" w:hAnsi="Cambria" w:cs="Calibri"/>
                <w:sz w:val="22"/>
                <w:szCs w:val="22"/>
                <w:lang w:val="it-IT"/>
              </w:rPr>
              <w:t>važne</w:t>
            </w:r>
            <w:proofErr w:type="spellEnd"/>
            <w:r w:rsidRPr="001421C4">
              <w:rPr>
                <w:rFonts w:ascii="Cambria" w:eastAsia="Calibri" w:hAnsi="Cambria" w:cs="Calibri"/>
                <w:sz w:val="22"/>
                <w:szCs w:val="22"/>
                <w:lang w:val="it-IT"/>
              </w:rPr>
              <w:t xml:space="preserve"> </w:t>
            </w:r>
            <w:proofErr w:type="spellStart"/>
            <w:r w:rsidRPr="001421C4">
              <w:rPr>
                <w:rFonts w:ascii="Cambria" w:eastAsia="Calibri" w:hAnsi="Cambria" w:cs="Calibri"/>
                <w:sz w:val="22"/>
                <w:szCs w:val="22"/>
                <w:lang w:val="it-IT"/>
              </w:rPr>
              <w:t>činjenice</w:t>
            </w:r>
            <w:proofErr w:type="spellEnd"/>
            <w:r w:rsidRPr="001421C4">
              <w:rPr>
                <w:rFonts w:ascii="Cambria" w:eastAsia="Calibri" w:hAnsi="Cambria" w:cs="Calibri"/>
                <w:sz w:val="22"/>
                <w:szCs w:val="22"/>
                <w:lang w:val="it-IT"/>
              </w:rPr>
              <w:t xml:space="preserve"> </w:t>
            </w:r>
            <w:proofErr w:type="spellStart"/>
            <w:r w:rsidRPr="001421C4">
              <w:rPr>
                <w:rFonts w:ascii="Cambria" w:eastAsia="Calibri" w:hAnsi="Cambria" w:cs="Calibri"/>
                <w:sz w:val="22"/>
                <w:szCs w:val="22"/>
                <w:lang w:val="it-IT"/>
              </w:rPr>
              <w:t>vezane</w:t>
            </w:r>
            <w:proofErr w:type="spellEnd"/>
            <w:r w:rsidRPr="001421C4">
              <w:rPr>
                <w:rFonts w:ascii="Cambria" w:eastAsia="Calibri" w:hAnsi="Cambria" w:cs="Calibri"/>
                <w:sz w:val="22"/>
                <w:szCs w:val="22"/>
                <w:lang w:val="it-IT"/>
              </w:rPr>
              <w:t xml:space="preserve"> </w:t>
            </w:r>
            <w:proofErr w:type="spellStart"/>
            <w:r w:rsidRPr="001421C4">
              <w:rPr>
                <w:rFonts w:ascii="Cambria" w:eastAsia="Calibri" w:hAnsi="Cambria" w:cs="Calibri"/>
                <w:sz w:val="22"/>
                <w:szCs w:val="22"/>
                <w:lang w:val="it-IT"/>
              </w:rPr>
              <w:t>uz</w:t>
            </w:r>
            <w:proofErr w:type="spellEnd"/>
            <w:r w:rsidRPr="001421C4">
              <w:rPr>
                <w:rFonts w:ascii="Cambria" w:eastAsia="Calibri" w:hAnsi="Cambria" w:cs="Calibri"/>
                <w:sz w:val="22"/>
                <w:szCs w:val="22"/>
                <w:lang w:val="it-IT"/>
              </w:rPr>
              <w:t xml:space="preserve"> </w:t>
            </w:r>
            <w:proofErr w:type="spellStart"/>
            <w:r w:rsidRPr="001421C4">
              <w:rPr>
                <w:rFonts w:ascii="Cambria" w:eastAsia="Calibri" w:hAnsi="Cambria" w:cs="Calibri"/>
                <w:sz w:val="22"/>
                <w:szCs w:val="22"/>
                <w:lang w:val="it-IT"/>
              </w:rPr>
              <w:t>kolegij</w:t>
            </w:r>
            <w:proofErr w:type="spellEnd"/>
          </w:p>
        </w:tc>
        <w:tc>
          <w:tcPr>
            <w:tcW w:w="6735" w:type="dxa"/>
            <w:gridSpan w:val="7"/>
            <w:vAlign w:val="center"/>
            <w:hideMark/>
          </w:tcPr>
          <w:p w14:paraId="2C4160B7" w14:textId="77777777" w:rsidR="001421C4" w:rsidRPr="001421C4" w:rsidRDefault="001421C4" w:rsidP="00450B7A">
            <w:pPr>
              <w:rPr>
                <w:rFonts w:ascii="Cambria" w:eastAsia="Calibri" w:hAnsi="Cambria" w:cs="Calibri"/>
                <w:sz w:val="22"/>
                <w:szCs w:val="22"/>
              </w:rPr>
            </w:pPr>
            <w:r w:rsidRPr="001421C4">
              <w:rPr>
                <w:rFonts w:ascii="Cambria" w:eastAsia="Calibri" w:hAnsi="Cambria" w:cs="Calibri"/>
                <w:sz w:val="22"/>
                <w:szCs w:val="22"/>
                <w:lang w:val="it-IT"/>
              </w:rPr>
              <w:t xml:space="preserve">U </w:t>
            </w:r>
            <w:proofErr w:type="spellStart"/>
            <w:r w:rsidRPr="001421C4">
              <w:rPr>
                <w:rFonts w:ascii="Cambria" w:eastAsia="Calibri" w:hAnsi="Cambria" w:cs="Calibri"/>
                <w:sz w:val="22"/>
                <w:szCs w:val="22"/>
                <w:lang w:val="it-IT"/>
              </w:rPr>
              <w:t>slučaju</w:t>
            </w:r>
            <w:proofErr w:type="spellEnd"/>
            <w:r w:rsidRPr="001421C4">
              <w:rPr>
                <w:rFonts w:ascii="Cambria" w:eastAsia="Calibri" w:hAnsi="Cambria" w:cs="Calibri"/>
                <w:sz w:val="22"/>
                <w:szCs w:val="22"/>
                <w:lang w:val="it-IT"/>
              </w:rPr>
              <w:t xml:space="preserve"> </w:t>
            </w:r>
            <w:proofErr w:type="spellStart"/>
            <w:r w:rsidRPr="001421C4">
              <w:rPr>
                <w:rFonts w:ascii="Cambria" w:eastAsia="Calibri" w:hAnsi="Cambria" w:cs="Calibri"/>
                <w:sz w:val="22"/>
                <w:szCs w:val="22"/>
                <w:lang w:val="it-IT"/>
              </w:rPr>
              <w:t>održavanja</w:t>
            </w:r>
            <w:proofErr w:type="spellEnd"/>
            <w:r w:rsidRPr="001421C4">
              <w:rPr>
                <w:rFonts w:ascii="Cambria" w:eastAsia="Calibri" w:hAnsi="Cambria" w:cs="Calibri"/>
                <w:sz w:val="22"/>
                <w:szCs w:val="22"/>
                <w:lang w:val="it-IT"/>
              </w:rPr>
              <w:t xml:space="preserve"> </w:t>
            </w:r>
            <w:proofErr w:type="spellStart"/>
            <w:r w:rsidRPr="001421C4">
              <w:rPr>
                <w:rFonts w:ascii="Cambria" w:eastAsia="Calibri" w:hAnsi="Cambria" w:cs="Calibri"/>
                <w:sz w:val="22"/>
                <w:szCs w:val="22"/>
                <w:lang w:val="it-IT"/>
              </w:rPr>
              <w:t>nastave</w:t>
            </w:r>
            <w:proofErr w:type="spellEnd"/>
            <w:r w:rsidRPr="001421C4">
              <w:rPr>
                <w:rFonts w:ascii="Cambria" w:eastAsia="Calibri" w:hAnsi="Cambria" w:cs="Calibri"/>
                <w:sz w:val="22"/>
                <w:szCs w:val="22"/>
                <w:lang w:val="it-IT"/>
              </w:rPr>
              <w:t xml:space="preserve"> </w:t>
            </w:r>
            <w:proofErr w:type="spellStart"/>
            <w:r w:rsidRPr="001421C4">
              <w:rPr>
                <w:rFonts w:ascii="Cambria" w:eastAsia="Calibri" w:hAnsi="Cambria" w:cs="Calibri"/>
                <w:sz w:val="22"/>
                <w:szCs w:val="22"/>
                <w:lang w:val="it-IT"/>
              </w:rPr>
              <w:t>na</w:t>
            </w:r>
            <w:proofErr w:type="spellEnd"/>
            <w:r w:rsidRPr="001421C4">
              <w:rPr>
                <w:rFonts w:ascii="Cambria" w:eastAsia="Calibri" w:hAnsi="Cambria" w:cs="Calibri"/>
                <w:sz w:val="22"/>
                <w:szCs w:val="22"/>
                <w:lang w:val="it-IT"/>
              </w:rPr>
              <w:t xml:space="preserve"> </w:t>
            </w:r>
            <w:proofErr w:type="spellStart"/>
            <w:r w:rsidRPr="001421C4">
              <w:rPr>
                <w:rFonts w:ascii="Cambria" w:eastAsia="Calibri" w:hAnsi="Cambria" w:cs="Calibri"/>
                <w:sz w:val="22"/>
                <w:szCs w:val="22"/>
                <w:lang w:val="it-IT"/>
              </w:rPr>
              <w:t>daljinu</w:t>
            </w:r>
            <w:proofErr w:type="spellEnd"/>
            <w:r w:rsidRPr="001421C4">
              <w:rPr>
                <w:rFonts w:ascii="Cambria" w:eastAsia="Calibri" w:hAnsi="Cambria" w:cs="Calibri"/>
                <w:sz w:val="22"/>
                <w:szCs w:val="22"/>
                <w:lang w:val="it-IT"/>
              </w:rPr>
              <w:t xml:space="preserve">, </w:t>
            </w:r>
            <w:proofErr w:type="spellStart"/>
            <w:r w:rsidRPr="001421C4">
              <w:rPr>
                <w:rFonts w:ascii="Cambria" w:eastAsia="Calibri" w:hAnsi="Cambria" w:cs="Calibri"/>
                <w:sz w:val="22"/>
                <w:szCs w:val="22"/>
                <w:lang w:val="it-IT"/>
              </w:rPr>
              <w:t>moguće</w:t>
            </w:r>
            <w:proofErr w:type="spellEnd"/>
            <w:r w:rsidRPr="001421C4">
              <w:rPr>
                <w:rFonts w:ascii="Cambria" w:eastAsia="Calibri" w:hAnsi="Cambria" w:cs="Calibri"/>
                <w:sz w:val="22"/>
                <w:szCs w:val="22"/>
                <w:lang w:val="it-IT"/>
              </w:rPr>
              <w:t xml:space="preserve"> je </w:t>
            </w:r>
            <w:proofErr w:type="spellStart"/>
            <w:r w:rsidRPr="001421C4">
              <w:rPr>
                <w:rFonts w:ascii="Cambria" w:eastAsia="Calibri" w:hAnsi="Cambria" w:cs="Calibri"/>
                <w:sz w:val="22"/>
                <w:szCs w:val="22"/>
                <w:lang w:val="it-IT"/>
              </w:rPr>
              <w:t>odstupanje</w:t>
            </w:r>
            <w:proofErr w:type="spellEnd"/>
            <w:r w:rsidRPr="001421C4">
              <w:rPr>
                <w:rFonts w:ascii="Cambria" w:eastAsia="Calibri" w:hAnsi="Cambria" w:cs="Calibri"/>
                <w:sz w:val="22"/>
                <w:szCs w:val="22"/>
                <w:lang w:val="it-IT"/>
              </w:rPr>
              <w:t xml:space="preserve"> u: </w:t>
            </w:r>
            <w:proofErr w:type="spellStart"/>
            <w:r w:rsidRPr="001421C4">
              <w:rPr>
                <w:rFonts w:ascii="Cambria" w:eastAsia="Calibri" w:hAnsi="Cambria" w:cs="Calibri"/>
                <w:sz w:val="22"/>
                <w:szCs w:val="22"/>
                <w:lang w:val="it-IT"/>
              </w:rPr>
              <w:t>mjestu</w:t>
            </w:r>
            <w:proofErr w:type="spellEnd"/>
            <w:r w:rsidRPr="001421C4">
              <w:rPr>
                <w:rFonts w:ascii="Cambria" w:eastAsia="Calibri" w:hAnsi="Cambria" w:cs="Calibri"/>
                <w:sz w:val="22"/>
                <w:szCs w:val="22"/>
                <w:lang w:val="it-IT"/>
              </w:rPr>
              <w:t xml:space="preserve"> </w:t>
            </w:r>
            <w:proofErr w:type="spellStart"/>
            <w:r w:rsidRPr="001421C4">
              <w:rPr>
                <w:rFonts w:ascii="Cambria" w:eastAsia="Calibri" w:hAnsi="Cambria" w:cs="Calibri"/>
                <w:sz w:val="22"/>
                <w:szCs w:val="22"/>
                <w:lang w:val="it-IT"/>
              </w:rPr>
              <w:t>izvođenja</w:t>
            </w:r>
            <w:proofErr w:type="spellEnd"/>
            <w:r w:rsidRPr="001421C4">
              <w:rPr>
                <w:rFonts w:ascii="Cambria" w:eastAsia="Calibri" w:hAnsi="Cambria" w:cs="Calibri"/>
                <w:sz w:val="22"/>
                <w:szCs w:val="22"/>
                <w:lang w:val="it-IT"/>
              </w:rPr>
              <w:t xml:space="preserve"> </w:t>
            </w:r>
            <w:proofErr w:type="spellStart"/>
            <w:r w:rsidRPr="001421C4">
              <w:rPr>
                <w:rFonts w:ascii="Cambria" w:eastAsia="Calibri" w:hAnsi="Cambria" w:cs="Calibri"/>
                <w:sz w:val="22"/>
                <w:szCs w:val="22"/>
                <w:lang w:val="it-IT"/>
              </w:rPr>
              <w:t>kolegija</w:t>
            </w:r>
            <w:proofErr w:type="spellEnd"/>
            <w:r w:rsidRPr="001421C4">
              <w:rPr>
                <w:rFonts w:ascii="Cambria" w:eastAsia="Calibri" w:hAnsi="Cambria" w:cs="Calibri"/>
                <w:sz w:val="22"/>
                <w:szCs w:val="22"/>
                <w:lang w:val="it-IT"/>
              </w:rPr>
              <w:t xml:space="preserve">, </w:t>
            </w:r>
            <w:proofErr w:type="spellStart"/>
            <w:r w:rsidRPr="001421C4">
              <w:rPr>
                <w:rFonts w:ascii="Cambria" w:eastAsia="Calibri" w:hAnsi="Cambria" w:cs="Calibri"/>
                <w:sz w:val="22"/>
                <w:szCs w:val="22"/>
                <w:lang w:val="it-IT"/>
              </w:rPr>
              <w:t>provedbi</w:t>
            </w:r>
            <w:proofErr w:type="spellEnd"/>
            <w:r w:rsidRPr="001421C4">
              <w:rPr>
                <w:rFonts w:ascii="Cambria" w:eastAsia="Calibri" w:hAnsi="Cambria" w:cs="Calibri"/>
                <w:sz w:val="22"/>
                <w:szCs w:val="22"/>
                <w:lang w:val="it-IT"/>
              </w:rPr>
              <w:t xml:space="preserve"> </w:t>
            </w:r>
            <w:proofErr w:type="spellStart"/>
            <w:r w:rsidRPr="001421C4">
              <w:rPr>
                <w:rFonts w:ascii="Cambria" w:eastAsia="Calibri" w:hAnsi="Cambria" w:cs="Calibri"/>
                <w:sz w:val="22"/>
                <w:szCs w:val="22"/>
                <w:lang w:val="it-IT"/>
              </w:rPr>
              <w:t>aktivnosti</w:t>
            </w:r>
            <w:proofErr w:type="spellEnd"/>
            <w:r w:rsidRPr="001421C4">
              <w:rPr>
                <w:rFonts w:ascii="Cambria" w:eastAsia="Calibri" w:hAnsi="Cambria" w:cs="Calibri"/>
                <w:sz w:val="22"/>
                <w:szCs w:val="22"/>
                <w:lang w:val="it-IT"/>
              </w:rPr>
              <w:t xml:space="preserve">, </w:t>
            </w:r>
            <w:proofErr w:type="spellStart"/>
            <w:r w:rsidRPr="001421C4">
              <w:rPr>
                <w:rFonts w:ascii="Cambria" w:eastAsia="Calibri" w:hAnsi="Cambria" w:cs="Calibri"/>
                <w:sz w:val="22"/>
                <w:szCs w:val="22"/>
                <w:lang w:val="it-IT"/>
              </w:rPr>
              <w:t>metoda</w:t>
            </w:r>
            <w:proofErr w:type="spellEnd"/>
            <w:r w:rsidRPr="001421C4">
              <w:rPr>
                <w:rFonts w:ascii="Cambria" w:eastAsia="Calibri" w:hAnsi="Cambria" w:cs="Calibri"/>
                <w:sz w:val="22"/>
                <w:szCs w:val="22"/>
                <w:lang w:val="it-IT"/>
              </w:rPr>
              <w:t xml:space="preserve"> </w:t>
            </w:r>
            <w:proofErr w:type="spellStart"/>
            <w:r w:rsidRPr="001421C4">
              <w:rPr>
                <w:rFonts w:ascii="Cambria" w:eastAsia="Calibri" w:hAnsi="Cambria" w:cs="Calibri"/>
                <w:sz w:val="22"/>
                <w:szCs w:val="22"/>
                <w:lang w:val="it-IT"/>
              </w:rPr>
              <w:t>tumačenja</w:t>
            </w:r>
            <w:proofErr w:type="spellEnd"/>
            <w:r w:rsidRPr="001421C4">
              <w:rPr>
                <w:rFonts w:ascii="Cambria" w:eastAsia="Calibri" w:hAnsi="Cambria" w:cs="Calibri"/>
                <w:sz w:val="22"/>
                <w:szCs w:val="22"/>
                <w:lang w:val="it-IT"/>
              </w:rPr>
              <w:t xml:space="preserve"> i </w:t>
            </w:r>
            <w:proofErr w:type="spellStart"/>
            <w:r w:rsidRPr="001421C4">
              <w:rPr>
                <w:rFonts w:ascii="Cambria" w:eastAsia="Calibri" w:hAnsi="Cambria" w:cs="Calibri"/>
                <w:sz w:val="22"/>
                <w:szCs w:val="22"/>
                <w:lang w:val="it-IT"/>
              </w:rPr>
              <w:t>poučavanja</w:t>
            </w:r>
            <w:proofErr w:type="spellEnd"/>
            <w:r w:rsidRPr="001421C4">
              <w:rPr>
                <w:rFonts w:ascii="Cambria" w:eastAsia="Calibri" w:hAnsi="Cambria" w:cs="Calibri"/>
                <w:sz w:val="22"/>
                <w:szCs w:val="22"/>
                <w:lang w:val="it-IT"/>
              </w:rPr>
              <w:t xml:space="preserve"> i </w:t>
            </w:r>
            <w:proofErr w:type="spellStart"/>
            <w:r w:rsidRPr="001421C4">
              <w:rPr>
                <w:rFonts w:ascii="Cambria" w:eastAsia="Calibri" w:hAnsi="Cambria" w:cs="Calibri"/>
                <w:sz w:val="22"/>
                <w:szCs w:val="22"/>
                <w:lang w:val="it-IT"/>
              </w:rPr>
              <w:t>načinima</w:t>
            </w:r>
            <w:proofErr w:type="spellEnd"/>
            <w:r w:rsidRPr="001421C4">
              <w:rPr>
                <w:rFonts w:ascii="Cambria" w:eastAsia="Calibri" w:hAnsi="Cambria" w:cs="Calibri"/>
                <w:sz w:val="22"/>
                <w:szCs w:val="22"/>
                <w:lang w:val="it-IT"/>
              </w:rPr>
              <w:t xml:space="preserve"> </w:t>
            </w:r>
            <w:proofErr w:type="spellStart"/>
            <w:r w:rsidRPr="001421C4">
              <w:rPr>
                <w:rFonts w:ascii="Cambria" w:eastAsia="Calibri" w:hAnsi="Cambria" w:cs="Calibri"/>
                <w:sz w:val="22"/>
                <w:szCs w:val="22"/>
                <w:lang w:val="it-IT"/>
              </w:rPr>
              <w:t>vrednovanja</w:t>
            </w:r>
            <w:proofErr w:type="spellEnd"/>
            <w:r w:rsidRPr="001421C4">
              <w:rPr>
                <w:rFonts w:ascii="Cambria" w:eastAsia="Calibri" w:hAnsi="Cambria" w:cs="Calibri"/>
                <w:sz w:val="22"/>
                <w:szCs w:val="22"/>
                <w:lang w:val="it-IT"/>
              </w:rPr>
              <w:t xml:space="preserve">, </w:t>
            </w:r>
            <w:proofErr w:type="spellStart"/>
            <w:r w:rsidRPr="001421C4">
              <w:rPr>
                <w:rFonts w:ascii="Cambria" w:eastAsia="Calibri" w:hAnsi="Cambria" w:cs="Calibri"/>
                <w:sz w:val="22"/>
                <w:szCs w:val="22"/>
                <w:lang w:val="it-IT"/>
              </w:rPr>
              <w:t>studentskim</w:t>
            </w:r>
            <w:proofErr w:type="spellEnd"/>
            <w:r w:rsidRPr="001421C4">
              <w:rPr>
                <w:rFonts w:ascii="Cambria" w:eastAsia="Calibri" w:hAnsi="Cambria" w:cs="Calibri"/>
                <w:sz w:val="22"/>
                <w:szCs w:val="22"/>
                <w:lang w:val="it-IT"/>
              </w:rPr>
              <w:t xml:space="preserve"> </w:t>
            </w:r>
            <w:proofErr w:type="spellStart"/>
            <w:r w:rsidRPr="001421C4">
              <w:rPr>
                <w:rFonts w:ascii="Cambria" w:eastAsia="Calibri" w:hAnsi="Cambria" w:cs="Calibri"/>
                <w:sz w:val="22"/>
                <w:szCs w:val="22"/>
                <w:lang w:val="it-IT"/>
              </w:rPr>
              <w:t>obvezama</w:t>
            </w:r>
            <w:proofErr w:type="spellEnd"/>
            <w:r w:rsidRPr="001421C4">
              <w:rPr>
                <w:rFonts w:ascii="Cambria" w:eastAsia="Calibri" w:hAnsi="Cambria" w:cs="Calibri"/>
                <w:sz w:val="22"/>
                <w:szCs w:val="22"/>
                <w:lang w:val="it-IT"/>
              </w:rPr>
              <w:t xml:space="preserve"> i </w:t>
            </w:r>
            <w:proofErr w:type="spellStart"/>
            <w:r w:rsidRPr="001421C4">
              <w:rPr>
                <w:rFonts w:ascii="Cambria" w:eastAsia="Calibri" w:hAnsi="Cambria" w:cs="Calibri"/>
                <w:sz w:val="22"/>
                <w:szCs w:val="22"/>
                <w:lang w:val="it-IT"/>
              </w:rPr>
              <w:t>dostupnoj</w:t>
            </w:r>
            <w:proofErr w:type="spellEnd"/>
            <w:r w:rsidRPr="001421C4">
              <w:rPr>
                <w:rFonts w:ascii="Cambria" w:eastAsia="Calibri" w:hAnsi="Cambria" w:cs="Calibri"/>
                <w:sz w:val="22"/>
                <w:szCs w:val="22"/>
                <w:lang w:val="it-IT"/>
              </w:rPr>
              <w:t xml:space="preserve"> </w:t>
            </w:r>
            <w:proofErr w:type="spellStart"/>
            <w:r w:rsidRPr="001421C4">
              <w:rPr>
                <w:rFonts w:ascii="Cambria" w:eastAsia="Calibri" w:hAnsi="Cambria" w:cs="Calibri"/>
                <w:sz w:val="22"/>
                <w:szCs w:val="22"/>
                <w:lang w:val="it-IT"/>
              </w:rPr>
              <w:t>literaturi</w:t>
            </w:r>
            <w:proofErr w:type="spellEnd"/>
            <w:r w:rsidRPr="001421C4">
              <w:rPr>
                <w:rFonts w:ascii="Cambria" w:eastAsia="Calibri" w:hAnsi="Cambria" w:cs="Calibri"/>
                <w:sz w:val="22"/>
                <w:szCs w:val="22"/>
                <w:lang w:val="it-IT"/>
              </w:rPr>
              <w:t xml:space="preserve">. O tome </w:t>
            </w:r>
            <w:proofErr w:type="spellStart"/>
            <w:r w:rsidRPr="001421C4">
              <w:rPr>
                <w:rFonts w:ascii="Cambria" w:eastAsia="Calibri" w:hAnsi="Cambria" w:cs="Calibri"/>
                <w:sz w:val="22"/>
                <w:szCs w:val="22"/>
                <w:lang w:val="it-IT"/>
              </w:rPr>
              <w:t>će</w:t>
            </w:r>
            <w:proofErr w:type="spellEnd"/>
            <w:r w:rsidRPr="001421C4">
              <w:rPr>
                <w:rFonts w:ascii="Cambria" w:eastAsia="Calibri" w:hAnsi="Cambria" w:cs="Calibri"/>
                <w:sz w:val="22"/>
                <w:szCs w:val="22"/>
                <w:lang w:val="it-IT"/>
              </w:rPr>
              <w:t xml:space="preserve"> </w:t>
            </w:r>
            <w:proofErr w:type="spellStart"/>
            <w:r w:rsidRPr="001421C4">
              <w:rPr>
                <w:rFonts w:ascii="Cambria" w:eastAsia="Calibri" w:hAnsi="Cambria" w:cs="Calibri"/>
                <w:sz w:val="22"/>
                <w:szCs w:val="22"/>
                <w:lang w:val="it-IT"/>
              </w:rPr>
              <w:t>nositelj</w:t>
            </w:r>
            <w:proofErr w:type="spellEnd"/>
            <w:r w:rsidRPr="001421C4">
              <w:rPr>
                <w:rFonts w:ascii="Cambria" w:eastAsia="Calibri" w:hAnsi="Cambria" w:cs="Calibri"/>
                <w:sz w:val="22"/>
                <w:szCs w:val="22"/>
                <w:lang w:val="it-IT"/>
              </w:rPr>
              <w:t xml:space="preserve"> </w:t>
            </w:r>
            <w:proofErr w:type="spellStart"/>
            <w:r w:rsidRPr="001421C4">
              <w:rPr>
                <w:rFonts w:ascii="Cambria" w:eastAsia="Calibri" w:hAnsi="Cambria" w:cs="Calibri"/>
                <w:sz w:val="22"/>
                <w:szCs w:val="22"/>
                <w:lang w:val="it-IT"/>
              </w:rPr>
              <w:t>kolegija</w:t>
            </w:r>
            <w:proofErr w:type="spellEnd"/>
            <w:r w:rsidRPr="001421C4">
              <w:rPr>
                <w:rFonts w:ascii="Cambria" w:eastAsia="Calibri" w:hAnsi="Cambria" w:cs="Calibri"/>
                <w:sz w:val="22"/>
                <w:szCs w:val="22"/>
                <w:lang w:val="it-IT"/>
              </w:rPr>
              <w:t xml:space="preserve"> i </w:t>
            </w:r>
            <w:proofErr w:type="spellStart"/>
            <w:r w:rsidRPr="001421C4">
              <w:rPr>
                <w:rFonts w:ascii="Cambria" w:eastAsia="Calibri" w:hAnsi="Cambria" w:cs="Calibri"/>
                <w:sz w:val="22"/>
                <w:szCs w:val="22"/>
                <w:lang w:val="it-IT"/>
              </w:rPr>
              <w:t>asistentica</w:t>
            </w:r>
            <w:proofErr w:type="spellEnd"/>
            <w:r w:rsidRPr="001421C4">
              <w:rPr>
                <w:rFonts w:ascii="Cambria" w:eastAsia="Calibri" w:hAnsi="Cambria" w:cs="Calibri"/>
                <w:sz w:val="22"/>
                <w:szCs w:val="22"/>
                <w:lang w:val="it-IT"/>
              </w:rPr>
              <w:t xml:space="preserve"> </w:t>
            </w:r>
            <w:proofErr w:type="spellStart"/>
            <w:r w:rsidRPr="001421C4">
              <w:rPr>
                <w:rFonts w:ascii="Cambria" w:eastAsia="Calibri" w:hAnsi="Cambria" w:cs="Calibri"/>
                <w:sz w:val="22"/>
                <w:szCs w:val="22"/>
                <w:lang w:val="it-IT"/>
              </w:rPr>
              <w:t>obavijestiti</w:t>
            </w:r>
            <w:proofErr w:type="spellEnd"/>
            <w:r w:rsidRPr="001421C4">
              <w:rPr>
                <w:rFonts w:ascii="Cambria" w:eastAsia="Calibri" w:hAnsi="Cambria" w:cs="Calibri"/>
                <w:sz w:val="22"/>
                <w:szCs w:val="22"/>
                <w:lang w:val="it-IT"/>
              </w:rPr>
              <w:t xml:space="preserve"> studente i </w:t>
            </w:r>
            <w:proofErr w:type="spellStart"/>
            <w:r w:rsidRPr="001421C4">
              <w:rPr>
                <w:rFonts w:ascii="Cambria" w:eastAsia="Calibri" w:hAnsi="Cambria" w:cs="Calibri"/>
                <w:sz w:val="22"/>
                <w:szCs w:val="22"/>
                <w:lang w:val="it-IT"/>
              </w:rPr>
              <w:t>studentice</w:t>
            </w:r>
            <w:proofErr w:type="spellEnd"/>
            <w:r w:rsidRPr="001421C4">
              <w:rPr>
                <w:rFonts w:ascii="Cambria" w:eastAsia="Calibri" w:hAnsi="Cambria" w:cs="Calibri"/>
                <w:sz w:val="22"/>
                <w:szCs w:val="22"/>
                <w:lang w:val="it-IT"/>
              </w:rPr>
              <w:t xml:space="preserve"> </w:t>
            </w:r>
            <w:proofErr w:type="spellStart"/>
            <w:r w:rsidRPr="001421C4">
              <w:rPr>
                <w:rFonts w:ascii="Cambria" w:eastAsia="Calibri" w:hAnsi="Cambria" w:cs="Calibri"/>
                <w:sz w:val="22"/>
                <w:szCs w:val="22"/>
                <w:lang w:val="it-IT"/>
              </w:rPr>
              <w:t>kad</w:t>
            </w:r>
            <w:proofErr w:type="spellEnd"/>
            <w:r w:rsidRPr="001421C4">
              <w:rPr>
                <w:rFonts w:ascii="Cambria" w:eastAsia="Calibri" w:hAnsi="Cambria" w:cs="Calibri"/>
                <w:sz w:val="22"/>
                <w:szCs w:val="22"/>
                <w:lang w:val="it-IT"/>
              </w:rPr>
              <w:t xml:space="preserve"> se </w:t>
            </w:r>
            <w:proofErr w:type="spellStart"/>
            <w:r w:rsidRPr="001421C4">
              <w:rPr>
                <w:rFonts w:ascii="Cambria" w:eastAsia="Calibri" w:hAnsi="Cambria" w:cs="Calibri"/>
                <w:sz w:val="22"/>
                <w:szCs w:val="22"/>
                <w:lang w:val="it-IT"/>
              </w:rPr>
              <w:t>nastava</w:t>
            </w:r>
            <w:proofErr w:type="spellEnd"/>
            <w:r w:rsidRPr="001421C4">
              <w:rPr>
                <w:rFonts w:ascii="Cambria" w:eastAsia="Calibri" w:hAnsi="Cambria" w:cs="Calibri"/>
                <w:sz w:val="22"/>
                <w:szCs w:val="22"/>
                <w:lang w:val="it-IT"/>
              </w:rPr>
              <w:t xml:space="preserve"> </w:t>
            </w:r>
            <w:proofErr w:type="spellStart"/>
            <w:r w:rsidRPr="001421C4">
              <w:rPr>
                <w:rFonts w:ascii="Cambria" w:eastAsia="Calibri" w:hAnsi="Cambria" w:cs="Calibri"/>
                <w:sz w:val="22"/>
                <w:szCs w:val="22"/>
                <w:lang w:val="it-IT"/>
              </w:rPr>
              <w:t>na</w:t>
            </w:r>
            <w:proofErr w:type="spellEnd"/>
            <w:r w:rsidRPr="001421C4">
              <w:rPr>
                <w:rFonts w:ascii="Cambria" w:eastAsia="Calibri" w:hAnsi="Cambria" w:cs="Calibri"/>
                <w:sz w:val="22"/>
                <w:szCs w:val="22"/>
                <w:lang w:val="it-IT"/>
              </w:rPr>
              <w:t xml:space="preserve"> </w:t>
            </w:r>
            <w:proofErr w:type="spellStart"/>
            <w:r w:rsidRPr="001421C4">
              <w:rPr>
                <w:rFonts w:ascii="Cambria" w:eastAsia="Calibri" w:hAnsi="Cambria" w:cs="Calibri"/>
                <w:sz w:val="22"/>
                <w:szCs w:val="22"/>
                <w:lang w:val="it-IT"/>
              </w:rPr>
              <w:t>daljinu</w:t>
            </w:r>
            <w:proofErr w:type="spellEnd"/>
            <w:r w:rsidRPr="001421C4">
              <w:rPr>
                <w:rFonts w:ascii="Cambria" w:eastAsia="Calibri" w:hAnsi="Cambria" w:cs="Calibri"/>
                <w:sz w:val="22"/>
                <w:szCs w:val="22"/>
                <w:lang w:val="it-IT"/>
              </w:rPr>
              <w:t xml:space="preserve"> </w:t>
            </w:r>
            <w:proofErr w:type="spellStart"/>
            <w:r w:rsidRPr="001421C4">
              <w:rPr>
                <w:rFonts w:ascii="Cambria" w:eastAsia="Calibri" w:hAnsi="Cambria" w:cs="Calibri"/>
                <w:sz w:val="22"/>
                <w:szCs w:val="22"/>
                <w:lang w:val="it-IT"/>
              </w:rPr>
              <w:t>počne</w:t>
            </w:r>
            <w:proofErr w:type="spellEnd"/>
            <w:r w:rsidRPr="001421C4">
              <w:rPr>
                <w:rFonts w:ascii="Cambria" w:eastAsia="Calibri" w:hAnsi="Cambria" w:cs="Calibri"/>
                <w:sz w:val="22"/>
                <w:szCs w:val="22"/>
                <w:lang w:val="it-IT"/>
              </w:rPr>
              <w:t xml:space="preserve"> </w:t>
            </w:r>
            <w:proofErr w:type="spellStart"/>
            <w:r w:rsidRPr="001421C4">
              <w:rPr>
                <w:rFonts w:ascii="Cambria" w:eastAsia="Calibri" w:hAnsi="Cambria" w:cs="Calibri"/>
                <w:sz w:val="22"/>
                <w:szCs w:val="22"/>
                <w:lang w:val="it-IT"/>
              </w:rPr>
              <w:t>održavati</w:t>
            </w:r>
            <w:proofErr w:type="spellEnd"/>
            <w:r w:rsidRPr="001421C4">
              <w:rPr>
                <w:rFonts w:ascii="Cambria" w:eastAsia="Calibri" w:hAnsi="Cambria" w:cs="Calibri"/>
                <w:sz w:val="22"/>
                <w:szCs w:val="22"/>
                <w:lang w:val="it-IT"/>
              </w:rPr>
              <w:t xml:space="preserve">. </w:t>
            </w:r>
            <w:proofErr w:type="spellStart"/>
            <w:r w:rsidRPr="001421C4">
              <w:rPr>
                <w:rFonts w:ascii="Cambria" w:eastAsia="Calibri" w:hAnsi="Cambria" w:cs="Calibri"/>
                <w:sz w:val="22"/>
                <w:szCs w:val="22"/>
              </w:rPr>
              <w:t>Ishodi</w:t>
            </w:r>
            <w:proofErr w:type="spellEnd"/>
            <w:r w:rsidRPr="001421C4">
              <w:rPr>
                <w:rFonts w:ascii="Cambria" w:eastAsia="Calibri" w:hAnsi="Cambria" w:cs="Calibri"/>
                <w:sz w:val="22"/>
                <w:szCs w:val="22"/>
              </w:rPr>
              <w:t xml:space="preserve"> </w:t>
            </w:r>
            <w:proofErr w:type="spellStart"/>
            <w:r w:rsidRPr="001421C4">
              <w:rPr>
                <w:rFonts w:ascii="Cambria" w:eastAsia="Calibri" w:hAnsi="Cambria" w:cs="Calibri"/>
                <w:sz w:val="22"/>
                <w:szCs w:val="22"/>
              </w:rPr>
              <w:t>učenja</w:t>
            </w:r>
            <w:proofErr w:type="spellEnd"/>
            <w:r w:rsidRPr="001421C4">
              <w:rPr>
                <w:rFonts w:ascii="Cambria" w:eastAsia="Calibri" w:hAnsi="Cambria" w:cs="Calibri"/>
                <w:sz w:val="22"/>
                <w:szCs w:val="22"/>
              </w:rPr>
              <w:t xml:space="preserve"> </w:t>
            </w:r>
            <w:proofErr w:type="spellStart"/>
            <w:r w:rsidRPr="001421C4">
              <w:rPr>
                <w:rFonts w:ascii="Cambria" w:eastAsia="Calibri" w:hAnsi="Cambria" w:cs="Calibri"/>
                <w:sz w:val="22"/>
                <w:szCs w:val="22"/>
              </w:rPr>
              <w:t>ostaju</w:t>
            </w:r>
            <w:proofErr w:type="spellEnd"/>
            <w:r w:rsidRPr="001421C4">
              <w:rPr>
                <w:rFonts w:ascii="Cambria" w:eastAsia="Calibri" w:hAnsi="Cambria" w:cs="Calibri"/>
                <w:sz w:val="22"/>
                <w:szCs w:val="22"/>
              </w:rPr>
              <w:t xml:space="preserve"> </w:t>
            </w:r>
            <w:proofErr w:type="spellStart"/>
            <w:r w:rsidRPr="001421C4">
              <w:rPr>
                <w:rFonts w:ascii="Cambria" w:eastAsia="Calibri" w:hAnsi="Cambria" w:cs="Calibri"/>
                <w:sz w:val="22"/>
                <w:szCs w:val="22"/>
              </w:rPr>
              <w:t>nepromijenjeni</w:t>
            </w:r>
            <w:proofErr w:type="spellEnd"/>
            <w:r w:rsidRPr="001421C4">
              <w:rPr>
                <w:rFonts w:ascii="Cambria" w:eastAsia="Calibri" w:hAnsi="Cambria" w:cs="Calibri"/>
                <w:sz w:val="22"/>
                <w:szCs w:val="22"/>
              </w:rPr>
              <w:t>.</w:t>
            </w:r>
          </w:p>
        </w:tc>
      </w:tr>
      <w:tr w:rsidR="001421C4" w:rsidRPr="001421C4" w14:paraId="766D8926" w14:textId="77777777" w:rsidTr="00450B7A">
        <w:tc>
          <w:tcPr>
            <w:tcW w:w="2610" w:type="dxa"/>
            <w:shd w:val="clear" w:color="auto" w:fill="F3F3F3"/>
            <w:vAlign w:val="center"/>
            <w:hideMark/>
          </w:tcPr>
          <w:p w14:paraId="13B247BA" w14:textId="77777777" w:rsidR="001421C4" w:rsidRPr="001421C4" w:rsidRDefault="001421C4" w:rsidP="00450B7A">
            <w:pPr>
              <w:rPr>
                <w:rFonts w:ascii="Cambria" w:eastAsia="Calibri" w:hAnsi="Cambria" w:cs="Calibri"/>
                <w:sz w:val="22"/>
                <w:szCs w:val="22"/>
              </w:rPr>
            </w:pPr>
            <w:proofErr w:type="spellStart"/>
            <w:r w:rsidRPr="001421C4">
              <w:rPr>
                <w:rFonts w:ascii="Cambria" w:eastAsia="Calibri" w:hAnsi="Cambria" w:cs="Calibri"/>
                <w:sz w:val="22"/>
                <w:szCs w:val="22"/>
              </w:rPr>
              <w:t>Literatura</w:t>
            </w:r>
            <w:proofErr w:type="spellEnd"/>
          </w:p>
        </w:tc>
        <w:tc>
          <w:tcPr>
            <w:tcW w:w="6735" w:type="dxa"/>
            <w:gridSpan w:val="7"/>
            <w:shd w:val="clear" w:color="auto" w:fill="FFFFFF"/>
            <w:vAlign w:val="center"/>
          </w:tcPr>
          <w:p w14:paraId="397662D8" w14:textId="77777777" w:rsidR="001421C4" w:rsidRPr="001421C4" w:rsidRDefault="001421C4" w:rsidP="00450B7A">
            <w:pPr>
              <w:snapToGrid w:val="0"/>
              <w:rPr>
                <w:rFonts w:ascii="Cambria" w:eastAsia="Calibri" w:hAnsi="Cambria" w:cs="Calibri"/>
                <w:sz w:val="22"/>
                <w:szCs w:val="22"/>
              </w:rPr>
            </w:pPr>
            <w:proofErr w:type="spellStart"/>
            <w:r w:rsidRPr="001421C4">
              <w:rPr>
                <w:rFonts w:ascii="Cambria" w:eastAsia="Calibri" w:hAnsi="Cambria" w:cs="Calibri"/>
                <w:sz w:val="22"/>
                <w:szCs w:val="22"/>
              </w:rPr>
              <w:t>Obvezna</w:t>
            </w:r>
            <w:proofErr w:type="spellEnd"/>
            <w:r w:rsidRPr="001421C4">
              <w:rPr>
                <w:rFonts w:ascii="Cambria" w:eastAsia="Calibri" w:hAnsi="Cambria" w:cs="Calibri"/>
                <w:sz w:val="22"/>
                <w:szCs w:val="22"/>
              </w:rPr>
              <w:t>:</w:t>
            </w:r>
          </w:p>
          <w:p w14:paraId="0DBABBC2" w14:textId="77777777" w:rsidR="001421C4" w:rsidRPr="001421C4" w:rsidRDefault="001421C4" w:rsidP="00A034E3">
            <w:pPr>
              <w:pStyle w:val="Odlomakpopisa1"/>
              <w:numPr>
                <w:ilvl w:val="0"/>
                <w:numId w:val="107"/>
              </w:numPr>
              <w:snapToGrid w:val="0"/>
              <w:spacing w:before="100" w:beforeAutospacing="1" w:after="100" w:afterAutospacing="1" w:line="273" w:lineRule="auto"/>
              <w:rPr>
                <w:rFonts w:ascii="Cambria" w:hAnsi="Cambria" w:cs="Calibri"/>
                <w:sz w:val="22"/>
                <w:szCs w:val="22"/>
              </w:rPr>
            </w:pPr>
            <w:r w:rsidRPr="001421C4">
              <w:rPr>
                <w:rFonts w:ascii="Cambria" w:hAnsi="Cambria" w:cs="Calibri"/>
                <w:sz w:val="22"/>
                <w:szCs w:val="22"/>
              </w:rPr>
              <w:t xml:space="preserve">Jelenić, A., </w:t>
            </w:r>
            <w:proofErr w:type="spellStart"/>
            <w:r w:rsidRPr="001421C4">
              <w:rPr>
                <w:rFonts w:ascii="Cambria" w:hAnsi="Cambria" w:cs="Calibri"/>
                <w:sz w:val="22"/>
                <w:szCs w:val="22"/>
              </w:rPr>
              <w:t>Kerovac</w:t>
            </w:r>
            <w:proofErr w:type="spellEnd"/>
            <w:r w:rsidRPr="001421C4">
              <w:rPr>
                <w:rFonts w:ascii="Cambria" w:hAnsi="Cambria" w:cs="Calibri"/>
                <w:sz w:val="22"/>
                <w:szCs w:val="22"/>
              </w:rPr>
              <w:t xml:space="preserve">, M., </w:t>
            </w:r>
            <w:proofErr w:type="spellStart"/>
            <w:r w:rsidRPr="001421C4">
              <w:rPr>
                <w:rFonts w:ascii="Cambria" w:hAnsi="Cambria" w:cs="Calibri"/>
                <w:sz w:val="22"/>
                <w:szCs w:val="22"/>
              </w:rPr>
              <w:t>Ternjej</w:t>
            </w:r>
            <w:proofErr w:type="spellEnd"/>
            <w:r w:rsidRPr="001421C4">
              <w:rPr>
                <w:rFonts w:ascii="Cambria" w:hAnsi="Cambria" w:cs="Calibri"/>
                <w:sz w:val="22"/>
                <w:szCs w:val="22"/>
              </w:rPr>
              <w:t>, I., Mihaljević, Z. Biologija 4 – genetika, evolucija, ekologija. Udžbenik za 4. razred gimnazije (IV izdanje). Profil International, Zagreb, 2008. str. 165-245</w:t>
            </w:r>
          </w:p>
          <w:p w14:paraId="4FC1B94C" w14:textId="77777777" w:rsidR="001421C4" w:rsidRPr="001421C4" w:rsidRDefault="001421C4" w:rsidP="00A034E3">
            <w:pPr>
              <w:pStyle w:val="Odlomakpopisa1"/>
              <w:numPr>
                <w:ilvl w:val="0"/>
                <w:numId w:val="107"/>
              </w:numPr>
              <w:spacing w:before="100" w:beforeAutospacing="1" w:after="100" w:afterAutospacing="1" w:line="273" w:lineRule="auto"/>
              <w:rPr>
                <w:rFonts w:ascii="Cambria" w:hAnsi="Cambria" w:cs="Calibri"/>
                <w:sz w:val="22"/>
                <w:szCs w:val="22"/>
              </w:rPr>
            </w:pPr>
            <w:r w:rsidRPr="001421C4">
              <w:rPr>
                <w:rFonts w:ascii="Cambria" w:hAnsi="Cambria" w:cs="Calibri"/>
                <w:sz w:val="22"/>
                <w:szCs w:val="22"/>
              </w:rPr>
              <w:t xml:space="preserve">Scott M. Ekologija. </w:t>
            </w:r>
            <w:proofErr w:type="spellStart"/>
            <w:r w:rsidRPr="001421C4">
              <w:rPr>
                <w:rFonts w:ascii="Cambria" w:hAnsi="Cambria" w:cs="Calibri"/>
                <w:sz w:val="22"/>
                <w:szCs w:val="22"/>
              </w:rPr>
              <w:t>SysPrint</w:t>
            </w:r>
            <w:proofErr w:type="spellEnd"/>
            <w:r w:rsidRPr="001421C4">
              <w:rPr>
                <w:rFonts w:ascii="Cambria" w:hAnsi="Cambria" w:cs="Calibri"/>
                <w:sz w:val="22"/>
                <w:szCs w:val="22"/>
              </w:rPr>
              <w:t xml:space="preserve"> d.o.o. Zagreb, 1998.</w:t>
            </w:r>
          </w:p>
          <w:p w14:paraId="55EE7ED0" w14:textId="77777777" w:rsidR="001421C4" w:rsidRPr="001421C4" w:rsidRDefault="001421C4" w:rsidP="00A034E3">
            <w:pPr>
              <w:pStyle w:val="Odlomakpopisa1"/>
              <w:numPr>
                <w:ilvl w:val="0"/>
                <w:numId w:val="107"/>
              </w:numPr>
              <w:spacing w:before="100" w:beforeAutospacing="1" w:after="100" w:afterAutospacing="1" w:line="273" w:lineRule="auto"/>
              <w:rPr>
                <w:rFonts w:ascii="Cambria" w:hAnsi="Cambria" w:cs="Calibri"/>
                <w:sz w:val="22"/>
                <w:szCs w:val="22"/>
              </w:rPr>
            </w:pPr>
            <w:r w:rsidRPr="001421C4">
              <w:rPr>
                <w:rFonts w:ascii="Cambria" w:hAnsi="Cambria" w:cs="Calibri"/>
                <w:sz w:val="22"/>
                <w:szCs w:val="22"/>
              </w:rPr>
              <w:t xml:space="preserve">Internet stranica: Državni zavod za zaštitu prirode </w:t>
            </w:r>
            <w:hyperlink r:id="rId104" w:history="1">
              <w:r w:rsidRPr="001421C4">
                <w:rPr>
                  <w:rStyle w:val="Hiperveza"/>
                  <w:rFonts w:ascii="Cambria" w:hAnsi="Cambria"/>
                  <w:sz w:val="22"/>
                  <w:szCs w:val="22"/>
                </w:rPr>
                <w:t>www.dzzp.hr</w:t>
              </w:r>
            </w:hyperlink>
          </w:p>
          <w:p w14:paraId="3983C21C" w14:textId="77777777" w:rsidR="001421C4" w:rsidRPr="001421C4" w:rsidRDefault="001421C4" w:rsidP="00450B7A">
            <w:pPr>
              <w:rPr>
                <w:rFonts w:ascii="Cambria" w:eastAsia="Calibri" w:hAnsi="Cambria" w:cs="Calibri"/>
                <w:sz w:val="22"/>
                <w:szCs w:val="22"/>
                <w:lang w:val="it-IT"/>
              </w:rPr>
            </w:pPr>
          </w:p>
          <w:p w14:paraId="0EBA9021" w14:textId="77777777" w:rsidR="001421C4" w:rsidRPr="001421C4" w:rsidRDefault="001421C4" w:rsidP="00450B7A">
            <w:pPr>
              <w:rPr>
                <w:rFonts w:ascii="Cambria" w:eastAsia="Calibri" w:hAnsi="Cambria" w:cs="Calibri"/>
                <w:sz w:val="22"/>
                <w:szCs w:val="22"/>
              </w:rPr>
            </w:pPr>
            <w:proofErr w:type="spellStart"/>
            <w:r w:rsidRPr="001421C4">
              <w:rPr>
                <w:rFonts w:ascii="Cambria" w:eastAsia="Calibri" w:hAnsi="Cambria" w:cs="Calibri"/>
                <w:sz w:val="22"/>
                <w:szCs w:val="22"/>
              </w:rPr>
              <w:t>Izborna</w:t>
            </w:r>
            <w:proofErr w:type="spellEnd"/>
            <w:r w:rsidRPr="001421C4">
              <w:rPr>
                <w:rFonts w:ascii="Cambria" w:eastAsia="Calibri" w:hAnsi="Cambria" w:cs="Calibri"/>
                <w:sz w:val="22"/>
                <w:szCs w:val="22"/>
              </w:rPr>
              <w:t>:</w:t>
            </w:r>
          </w:p>
          <w:p w14:paraId="2638014E" w14:textId="77777777" w:rsidR="001421C4" w:rsidRPr="001421C4" w:rsidRDefault="001421C4" w:rsidP="00A034E3">
            <w:pPr>
              <w:pStyle w:val="Odlomakpopisa1"/>
              <w:numPr>
                <w:ilvl w:val="0"/>
                <w:numId w:val="108"/>
              </w:numPr>
              <w:spacing w:before="100" w:beforeAutospacing="1" w:after="100" w:afterAutospacing="1" w:line="273" w:lineRule="auto"/>
              <w:rPr>
                <w:rFonts w:ascii="Cambria" w:hAnsi="Cambria" w:cs="Calibri"/>
                <w:sz w:val="22"/>
                <w:szCs w:val="22"/>
              </w:rPr>
            </w:pPr>
            <w:r w:rsidRPr="001421C4">
              <w:rPr>
                <w:rFonts w:ascii="Cambria" w:hAnsi="Cambria" w:cs="Calibri"/>
                <w:sz w:val="22"/>
                <w:szCs w:val="22"/>
              </w:rPr>
              <w:t xml:space="preserve">Udžbenici nastavnog predmeta Priroda i društvo </w:t>
            </w:r>
          </w:p>
          <w:p w14:paraId="4D96D378" w14:textId="77777777" w:rsidR="001421C4" w:rsidRPr="001421C4" w:rsidRDefault="001421C4" w:rsidP="00A034E3">
            <w:pPr>
              <w:pStyle w:val="Odlomakpopisa1"/>
              <w:numPr>
                <w:ilvl w:val="0"/>
                <w:numId w:val="108"/>
              </w:numPr>
              <w:spacing w:before="100" w:beforeAutospacing="1" w:after="100" w:afterAutospacing="1" w:line="273" w:lineRule="auto"/>
              <w:rPr>
                <w:rFonts w:ascii="Cambria" w:hAnsi="Cambria" w:cs="Calibri"/>
                <w:sz w:val="22"/>
                <w:szCs w:val="22"/>
              </w:rPr>
            </w:pPr>
            <w:r w:rsidRPr="001421C4">
              <w:rPr>
                <w:rFonts w:ascii="Cambria" w:hAnsi="Cambria" w:cs="Calibri"/>
                <w:sz w:val="22"/>
                <w:szCs w:val="22"/>
              </w:rPr>
              <w:t xml:space="preserve">Delić A, </w:t>
            </w:r>
            <w:proofErr w:type="spellStart"/>
            <w:r w:rsidRPr="001421C4">
              <w:rPr>
                <w:rFonts w:ascii="Cambria" w:hAnsi="Cambria" w:cs="Calibri"/>
                <w:sz w:val="22"/>
                <w:szCs w:val="22"/>
              </w:rPr>
              <w:t>Vijtiuk</w:t>
            </w:r>
            <w:proofErr w:type="spellEnd"/>
            <w:r w:rsidRPr="001421C4">
              <w:rPr>
                <w:rFonts w:ascii="Cambria" w:hAnsi="Cambria" w:cs="Calibri"/>
                <w:sz w:val="22"/>
                <w:szCs w:val="22"/>
              </w:rPr>
              <w:t xml:space="preserve"> N. Prirodoslovlje. Školska knjiga Zagreb, 2004.</w:t>
            </w:r>
          </w:p>
          <w:p w14:paraId="2E3B7D09" w14:textId="77777777" w:rsidR="001421C4" w:rsidRPr="001421C4" w:rsidRDefault="001421C4" w:rsidP="00A034E3">
            <w:pPr>
              <w:pStyle w:val="Odlomakpopisa1"/>
              <w:numPr>
                <w:ilvl w:val="0"/>
                <w:numId w:val="108"/>
              </w:numPr>
              <w:spacing w:before="100" w:beforeAutospacing="1" w:after="100" w:afterAutospacing="1" w:line="273" w:lineRule="auto"/>
              <w:rPr>
                <w:rFonts w:ascii="Cambria" w:hAnsi="Cambria" w:cs="Calibri"/>
                <w:sz w:val="22"/>
                <w:szCs w:val="22"/>
              </w:rPr>
            </w:pPr>
            <w:proofErr w:type="spellStart"/>
            <w:r w:rsidRPr="001421C4">
              <w:rPr>
                <w:rFonts w:ascii="Cambria" w:hAnsi="Cambria" w:cs="Calibri"/>
                <w:sz w:val="22"/>
                <w:szCs w:val="22"/>
              </w:rPr>
              <w:t>Blatarić</w:t>
            </w:r>
            <w:proofErr w:type="spellEnd"/>
            <w:r w:rsidRPr="001421C4">
              <w:rPr>
                <w:rFonts w:ascii="Cambria" w:hAnsi="Cambria" w:cs="Calibri"/>
                <w:sz w:val="22"/>
                <w:szCs w:val="22"/>
              </w:rPr>
              <w:t>, Z. Biološki leksikon 2, Alfa, 2009.</w:t>
            </w:r>
          </w:p>
          <w:p w14:paraId="3B387EF6" w14:textId="77777777" w:rsidR="001421C4" w:rsidRPr="001421C4" w:rsidRDefault="001421C4" w:rsidP="00A034E3">
            <w:pPr>
              <w:pStyle w:val="Odlomakpopisa1"/>
              <w:numPr>
                <w:ilvl w:val="0"/>
                <w:numId w:val="108"/>
              </w:numPr>
              <w:snapToGrid w:val="0"/>
              <w:spacing w:before="100" w:beforeAutospacing="1" w:after="100" w:afterAutospacing="1" w:line="273" w:lineRule="auto"/>
              <w:rPr>
                <w:rFonts w:ascii="Cambria" w:hAnsi="Cambria" w:cs="Calibri"/>
                <w:sz w:val="22"/>
                <w:szCs w:val="22"/>
              </w:rPr>
            </w:pPr>
            <w:r w:rsidRPr="001421C4">
              <w:rPr>
                <w:rFonts w:ascii="Cambria" w:hAnsi="Cambria" w:cs="Calibri"/>
                <w:sz w:val="22"/>
                <w:szCs w:val="22"/>
              </w:rPr>
              <w:t>Bralić V. Nacionalni parkovi Hrvatske. Školska knjiga. Zagreb, 1991.</w:t>
            </w:r>
          </w:p>
          <w:p w14:paraId="016B8228" w14:textId="77777777" w:rsidR="001421C4" w:rsidRPr="001421C4" w:rsidRDefault="001421C4" w:rsidP="00A034E3">
            <w:pPr>
              <w:pStyle w:val="Odlomakpopisa1"/>
              <w:numPr>
                <w:ilvl w:val="0"/>
                <w:numId w:val="108"/>
              </w:numPr>
              <w:spacing w:before="100" w:beforeAutospacing="1" w:after="100" w:afterAutospacing="1" w:line="273" w:lineRule="auto"/>
              <w:rPr>
                <w:rFonts w:ascii="Cambria" w:hAnsi="Cambria" w:cs="Calibri"/>
                <w:sz w:val="22"/>
                <w:szCs w:val="22"/>
              </w:rPr>
            </w:pPr>
            <w:proofErr w:type="spellStart"/>
            <w:r w:rsidRPr="001421C4">
              <w:rPr>
                <w:rFonts w:ascii="Cambria" w:hAnsi="Cambria" w:cs="Calibri"/>
                <w:sz w:val="22"/>
                <w:szCs w:val="22"/>
              </w:rPr>
              <w:t>Litvinoff</w:t>
            </w:r>
            <w:proofErr w:type="spellEnd"/>
            <w:r w:rsidRPr="001421C4">
              <w:rPr>
                <w:rFonts w:ascii="Cambria" w:hAnsi="Cambria" w:cs="Calibri"/>
                <w:sz w:val="22"/>
                <w:szCs w:val="22"/>
              </w:rPr>
              <w:t xml:space="preserve">, M. Atlas zaštite okoliša : &lt;veliki ilustrirani vodič za skrb o našem planetu&gt;. ABC naklada. Zagreb, 2001. </w:t>
            </w:r>
          </w:p>
          <w:p w14:paraId="146CE365" w14:textId="77777777" w:rsidR="001421C4" w:rsidRPr="001421C4" w:rsidRDefault="001421C4" w:rsidP="00A034E3">
            <w:pPr>
              <w:pStyle w:val="Odlomakpopisa1"/>
              <w:numPr>
                <w:ilvl w:val="0"/>
                <w:numId w:val="108"/>
              </w:numPr>
              <w:spacing w:before="100" w:beforeAutospacing="1" w:after="100" w:afterAutospacing="1" w:line="273" w:lineRule="auto"/>
              <w:rPr>
                <w:rFonts w:ascii="Cambria" w:hAnsi="Cambria" w:cs="Calibri"/>
                <w:sz w:val="22"/>
                <w:szCs w:val="22"/>
              </w:rPr>
            </w:pPr>
            <w:proofErr w:type="spellStart"/>
            <w:r w:rsidRPr="001421C4">
              <w:rPr>
                <w:rFonts w:ascii="Cambria" w:hAnsi="Cambria" w:cs="Calibri"/>
                <w:sz w:val="22"/>
                <w:szCs w:val="22"/>
              </w:rPr>
              <w:lastRenderedPageBreak/>
              <w:t>Rischard</w:t>
            </w:r>
            <w:proofErr w:type="spellEnd"/>
            <w:r w:rsidRPr="001421C4">
              <w:rPr>
                <w:rFonts w:ascii="Cambria" w:hAnsi="Cambria" w:cs="Calibri"/>
                <w:sz w:val="22"/>
                <w:szCs w:val="22"/>
              </w:rPr>
              <w:t>, J. Točno u podne: 20 globalnih problema: 20 godina za rješavanje. Golden marketing - Tehnička knjiga. Zagreb, 2005.</w:t>
            </w:r>
          </w:p>
          <w:p w14:paraId="305C4946" w14:textId="77777777" w:rsidR="001421C4" w:rsidRPr="001421C4" w:rsidRDefault="001421C4" w:rsidP="00A034E3">
            <w:pPr>
              <w:pStyle w:val="Odlomakpopisa1"/>
              <w:numPr>
                <w:ilvl w:val="0"/>
                <w:numId w:val="108"/>
              </w:numPr>
              <w:spacing w:before="100" w:beforeAutospacing="1" w:after="100" w:afterAutospacing="1" w:line="273" w:lineRule="auto"/>
              <w:rPr>
                <w:rFonts w:ascii="Cambria" w:hAnsi="Cambria" w:cs="Calibri"/>
                <w:sz w:val="22"/>
                <w:szCs w:val="22"/>
              </w:rPr>
            </w:pPr>
            <w:r w:rsidRPr="001421C4">
              <w:rPr>
                <w:rFonts w:ascii="Cambria" w:hAnsi="Cambria" w:cs="Calibri"/>
                <w:sz w:val="22"/>
                <w:szCs w:val="22"/>
              </w:rPr>
              <w:t xml:space="preserve">Rogers, E. K. Zeleni priručnik : svaki dan za zdraviji planet. </w:t>
            </w:r>
            <w:proofErr w:type="spellStart"/>
            <w:r w:rsidRPr="001421C4">
              <w:rPr>
                <w:rFonts w:ascii="Cambria" w:hAnsi="Cambria" w:cs="Calibri"/>
                <w:sz w:val="22"/>
                <w:szCs w:val="22"/>
              </w:rPr>
              <w:t>Planetopija</w:t>
            </w:r>
            <w:proofErr w:type="spellEnd"/>
            <w:r w:rsidRPr="001421C4">
              <w:rPr>
                <w:rFonts w:ascii="Cambria" w:hAnsi="Cambria" w:cs="Calibri"/>
                <w:sz w:val="22"/>
                <w:szCs w:val="22"/>
              </w:rPr>
              <w:t>. Zagreb, 2008.</w:t>
            </w:r>
          </w:p>
          <w:p w14:paraId="5F73CE85" w14:textId="77777777" w:rsidR="001421C4" w:rsidRPr="001421C4" w:rsidRDefault="001421C4" w:rsidP="00A034E3">
            <w:pPr>
              <w:pStyle w:val="Odlomakpopisa1"/>
              <w:numPr>
                <w:ilvl w:val="0"/>
                <w:numId w:val="108"/>
              </w:numPr>
              <w:spacing w:before="100" w:beforeAutospacing="1" w:after="100" w:afterAutospacing="1" w:line="273" w:lineRule="auto"/>
              <w:rPr>
                <w:rFonts w:ascii="Cambria" w:hAnsi="Cambria" w:cs="Calibri"/>
                <w:sz w:val="22"/>
                <w:szCs w:val="22"/>
              </w:rPr>
            </w:pPr>
            <w:r w:rsidRPr="001421C4">
              <w:rPr>
                <w:rFonts w:ascii="Cambria" w:hAnsi="Cambria" w:cs="Calibri"/>
                <w:sz w:val="22"/>
                <w:szCs w:val="22"/>
              </w:rPr>
              <w:t xml:space="preserve">Springer O. Ekološki leksikon. MZOPU. </w:t>
            </w:r>
            <w:proofErr w:type="spellStart"/>
            <w:r w:rsidRPr="001421C4">
              <w:rPr>
                <w:rFonts w:ascii="Cambria" w:hAnsi="Cambria" w:cs="Calibri"/>
                <w:sz w:val="22"/>
                <w:szCs w:val="22"/>
              </w:rPr>
              <w:t>Barbat</w:t>
            </w:r>
            <w:proofErr w:type="spellEnd"/>
            <w:r w:rsidRPr="001421C4">
              <w:rPr>
                <w:rFonts w:ascii="Cambria" w:hAnsi="Cambria" w:cs="Calibri"/>
                <w:sz w:val="22"/>
                <w:szCs w:val="22"/>
              </w:rPr>
              <w:t>, Zagreb, 2001.</w:t>
            </w:r>
          </w:p>
          <w:p w14:paraId="78C69C77" w14:textId="77777777" w:rsidR="001421C4" w:rsidRPr="001421C4" w:rsidRDefault="001421C4" w:rsidP="00A034E3">
            <w:pPr>
              <w:pStyle w:val="Odlomakpopisa1"/>
              <w:numPr>
                <w:ilvl w:val="0"/>
                <w:numId w:val="108"/>
              </w:numPr>
              <w:spacing w:before="100" w:beforeAutospacing="1" w:after="100" w:afterAutospacing="1" w:line="273" w:lineRule="auto"/>
              <w:rPr>
                <w:rFonts w:ascii="Cambria" w:hAnsi="Cambria" w:cs="Calibri"/>
                <w:sz w:val="22"/>
                <w:szCs w:val="22"/>
              </w:rPr>
            </w:pPr>
            <w:r w:rsidRPr="001421C4">
              <w:rPr>
                <w:rFonts w:ascii="Cambria" w:hAnsi="Cambria" w:cs="Calibri"/>
                <w:sz w:val="22"/>
                <w:szCs w:val="22"/>
              </w:rPr>
              <w:t xml:space="preserve">Springer, O. Otrovani modrozeleni planet : priručnik iz ekologije, </w:t>
            </w:r>
            <w:proofErr w:type="spellStart"/>
            <w:r w:rsidRPr="001421C4">
              <w:rPr>
                <w:rFonts w:ascii="Cambria" w:hAnsi="Cambria" w:cs="Calibri"/>
                <w:sz w:val="22"/>
                <w:szCs w:val="22"/>
              </w:rPr>
              <w:t>ekotoksikologije</w:t>
            </w:r>
            <w:proofErr w:type="spellEnd"/>
            <w:r w:rsidRPr="001421C4">
              <w:rPr>
                <w:rFonts w:ascii="Cambria" w:hAnsi="Cambria" w:cs="Calibri"/>
                <w:sz w:val="22"/>
                <w:szCs w:val="22"/>
              </w:rPr>
              <w:t xml:space="preserve"> i zaštite prirode i okoliša. Meridijani. Samobor, 2008. </w:t>
            </w:r>
          </w:p>
        </w:tc>
      </w:tr>
    </w:tbl>
    <w:p w14:paraId="633363D3" w14:textId="77777777" w:rsidR="001421C4" w:rsidRDefault="001421C4" w:rsidP="001421C4"/>
    <w:p w14:paraId="1288B1FA" w14:textId="77777777" w:rsidR="005A04F3" w:rsidRPr="00DF4CE5" w:rsidRDefault="005A04F3" w:rsidP="008B34AF">
      <w:pPr>
        <w:jc w:val="both"/>
        <w:rPr>
          <w:rFonts w:ascii="Cambria" w:hAnsi="Cambria"/>
          <w:lang w:val="hr-HR"/>
        </w:rPr>
      </w:pPr>
    </w:p>
    <w:p w14:paraId="29E24F64" w14:textId="77777777" w:rsidR="005A04F3" w:rsidRPr="00DF4CE5" w:rsidRDefault="005A04F3" w:rsidP="008B34AF">
      <w:pPr>
        <w:jc w:val="both"/>
        <w:rPr>
          <w:rFonts w:ascii="Cambria" w:hAnsi="Cambria"/>
          <w:lang w:val="hr-HR"/>
        </w:rPr>
      </w:pPr>
    </w:p>
    <w:p w14:paraId="6A0C7143" w14:textId="77777777" w:rsidR="005A04F3" w:rsidRPr="00DF4CE5" w:rsidRDefault="005A04F3" w:rsidP="008B34AF">
      <w:pPr>
        <w:jc w:val="both"/>
        <w:rPr>
          <w:rFonts w:ascii="Cambria" w:hAnsi="Cambria"/>
          <w:lang w:val="hr-HR"/>
        </w:rPr>
      </w:pPr>
    </w:p>
    <w:p w14:paraId="7A62118B" w14:textId="77777777" w:rsidR="005A04F3" w:rsidRPr="00DF4CE5" w:rsidRDefault="005A04F3" w:rsidP="008B34AF">
      <w:pPr>
        <w:jc w:val="both"/>
        <w:rPr>
          <w:rFonts w:ascii="Cambria" w:hAnsi="Cambria"/>
          <w:lang w:val="hr-HR"/>
        </w:rPr>
      </w:pPr>
    </w:p>
    <w:p w14:paraId="4039F8D6" w14:textId="1B07F863" w:rsidR="003B7C0C" w:rsidRDefault="003B7C0C">
      <w:pPr>
        <w:rPr>
          <w:rFonts w:ascii="Cambria" w:hAnsi="Cambria"/>
          <w:lang w:val="hr-HR"/>
        </w:rPr>
      </w:pPr>
      <w:r>
        <w:rPr>
          <w:rFonts w:ascii="Cambria" w:hAnsi="Cambria"/>
          <w:lang w:val="hr-HR"/>
        </w:rPr>
        <w:br w:type="page"/>
      </w:r>
    </w:p>
    <w:tbl>
      <w:tblPr>
        <w:tblW w:w="5155" w:type="pct"/>
        <w:tblLayout w:type="fixed"/>
        <w:tblCellMar>
          <w:left w:w="0" w:type="dxa"/>
          <w:right w:w="0" w:type="dxa"/>
        </w:tblCellMar>
        <w:tblLook w:val="0600" w:firstRow="0" w:lastRow="0" w:firstColumn="0" w:lastColumn="0" w:noHBand="1" w:noVBand="1"/>
      </w:tblPr>
      <w:tblGrid>
        <w:gridCol w:w="2807"/>
        <w:gridCol w:w="2662"/>
        <w:gridCol w:w="105"/>
        <w:gridCol w:w="1172"/>
        <w:gridCol w:w="300"/>
        <w:gridCol w:w="541"/>
        <w:gridCol w:w="1019"/>
        <w:gridCol w:w="1725"/>
      </w:tblGrid>
      <w:tr w:rsidR="004131DB" w:rsidRPr="00DF4CE5" w14:paraId="0E2BB71C" w14:textId="77777777" w:rsidTr="000F1A10">
        <w:tc>
          <w:tcPr>
            <w:tcW w:w="10331"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0FB9263" w14:textId="77777777" w:rsidR="004131DB" w:rsidRPr="00DF4CE5" w:rsidRDefault="004131DB" w:rsidP="000F1A10">
            <w:pPr>
              <w:contextualSpacing/>
              <w:jc w:val="right"/>
              <w:rPr>
                <w:rFonts w:ascii="Cambria" w:eastAsia="Calibri" w:hAnsi="Cambria" w:cs="Calibri"/>
                <w:b/>
                <w:lang w:val="hr-HR"/>
              </w:rPr>
            </w:pPr>
            <w:r w:rsidRPr="00DF4CE5">
              <w:rPr>
                <w:rFonts w:ascii="Cambria" w:eastAsia="Calibri" w:hAnsi="Cambria" w:cs="Calibri"/>
                <w:b/>
                <w:lang w:val="hr-HR"/>
              </w:rPr>
              <w:lastRenderedPageBreak/>
              <w:t>IZVEDBENI PLAN NASTAVE KOLEGIJA</w:t>
            </w:r>
          </w:p>
        </w:tc>
      </w:tr>
      <w:tr w:rsidR="004131DB" w:rsidRPr="00D0399C" w14:paraId="4486879E" w14:textId="77777777" w:rsidTr="000F1A10">
        <w:tc>
          <w:tcPr>
            <w:tcW w:w="280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E1C75A1" w14:textId="77777777" w:rsidR="004131DB" w:rsidRPr="00DF4CE5" w:rsidRDefault="004131DB" w:rsidP="000F1A10">
            <w:pPr>
              <w:contextualSpacing/>
              <w:jc w:val="both"/>
              <w:rPr>
                <w:rFonts w:ascii="Cambria" w:eastAsia="Calibri" w:hAnsi="Cambria" w:cs="Calibri"/>
                <w:lang w:val="hr-HR"/>
              </w:rPr>
            </w:pPr>
            <w:r w:rsidRPr="00DF4CE5">
              <w:rPr>
                <w:rFonts w:ascii="Cambria" w:eastAsia="Calibri" w:hAnsi="Cambria" w:cs="Calibri"/>
                <w:lang w:val="hr-HR"/>
              </w:rPr>
              <w:t>Kod i naziv kolegija</w:t>
            </w:r>
          </w:p>
        </w:tc>
        <w:tc>
          <w:tcPr>
            <w:tcW w:w="752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454CE99" w14:textId="19C2F68F" w:rsidR="004131DB" w:rsidRPr="00DF4CE5" w:rsidRDefault="004131DB" w:rsidP="000F1A10">
            <w:pPr>
              <w:contextualSpacing/>
              <w:jc w:val="both"/>
              <w:rPr>
                <w:rFonts w:ascii="Cambria" w:eastAsia="Calibri" w:hAnsi="Cambria" w:cs="Calibri"/>
                <w:b/>
                <w:lang w:val="hr-HR"/>
              </w:rPr>
            </w:pPr>
            <w:r w:rsidRPr="00DF4CE5">
              <w:rPr>
                <w:rFonts w:ascii="Cambria" w:eastAsia="Calibri" w:hAnsi="Cambria" w:cs="Calibri"/>
                <w:lang w:val="hr-HR"/>
              </w:rPr>
              <w:t>Metodika nastave hrvatskog jezika II</w:t>
            </w:r>
          </w:p>
        </w:tc>
      </w:tr>
      <w:tr w:rsidR="004131DB" w:rsidRPr="004E3FDC" w14:paraId="254DC7FF" w14:textId="77777777" w:rsidTr="000F1A10">
        <w:tc>
          <w:tcPr>
            <w:tcW w:w="280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80D8F89" w14:textId="1ED78413" w:rsidR="004131DB" w:rsidRDefault="004131DB" w:rsidP="000F1A10">
            <w:pPr>
              <w:contextualSpacing/>
              <w:jc w:val="both"/>
              <w:rPr>
                <w:rFonts w:ascii="Cambria" w:eastAsia="Calibri" w:hAnsi="Cambria" w:cs="Calibri"/>
                <w:lang w:val="hr-HR"/>
              </w:rPr>
            </w:pPr>
            <w:r w:rsidRPr="00DF4CE5">
              <w:rPr>
                <w:rFonts w:ascii="Cambria" w:eastAsia="Calibri" w:hAnsi="Cambria" w:cs="Calibri"/>
                <w:lang w:val="hr-HR"/>
              </w:rPr>
              <w:t>Nastavni</w:t>
            </w:r>
            <w:r>
              <w:rPr>
                <w:rFonts w:ascii="Cambria" w:eastAsia="Calibri" w:hAnsi="Cambria" w:cs="Calibri"/>
                <w:lang w:val="hr-HR"/>
              </w:rPr>
              <w:t>ca</w:t>
            </w:r>
          </w:p>
          <w:p w14:paraId="3B48847D" w14:textId="4F845515" w:rsidR="004131DB" w:rsidRPr="00DF4CE5" w:rsidRDefault="004131DB" w:rsidP="000F1A10">
            <w:pPr>
              <w:contextualSpacing/>
              <w:jc w:val="both"/>
              <w:rPr>
                <w:rFonts w:ascii="Cambria" w:eastAsia="Calibri" w:hAnsi="Cambria" w:cs="Calibri"/>
                <w:lang w:val="hr-HR"/>
              </w:rPr>
            </w:pPr>
            <w:r>
              <w:rPr>
                <w:rFonts w:ascii="Cambria" w:eastAsia="Calibri" w:hAnsi="Cambria" w:cs="Calibri"/>
                <w:lang w:val="hr-HR"/>
              </w:rPr>
              <w:t>Suradni</w:t>
            </w:r>
            <w:r w:rsidR="00D01C7E">
              <w:rPr>
                <w:rFonts w:ascii="Cambria" w:eastAsia="Calibri" w:hAnsi="Cambria" w:cs="Calibri"/>
                <w:lang w:val="hr-HR"/>
              </w:rPr>
              <w:t>k</w:t>
            </w:r>
          </w:p>
        </w:tc>
        <w:tc>
          <w:tcPr>
            <w:tcW w:w="752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90FD3D4" w14:textId="77777777" w:rsidR="004131DB" w:rsidRDefault="004131DB" w:rsidP="000F1A10">
            <w:pPr>
              <w:contextualSpacing/>
              <w:jc w:val="both"/>
              <w:rPr>
                <w:rFonts w:ascii="Cambria" w:eastAsia="Calibri" w:hAnsi="Cambria" w:cs="Calibri"/>
                <w:lang w:val="hr-HR"/>
              </w:rPr>
            </w:pPr>
            <w:hyperlink r:id="rId105" w:history="1">
              <w:r w:rsidRPr="004131DB">
                <w:rPr>
                  <w:rStyle w:val="Hiperveza"/>
                  <w:rFonts w:ascii="Cambria" w:eastAsia="Calibri" w:hAnsi="Cambria" w:cs="Calibri"/>
                  <w:lang w:val="hr-HR"/>
                </w:rPr>
                <w:t>Prof. dr. sc. Vjekoslava Jurdana</w:t>
              </w:r>
            </w:hyperlink>
            <w:r>
              <w:rPr>
                <w:rFonts w:ascii="Cambria" w:eastAsia="Calibri" w:hAnsi="Cambria" w:cs="Calibri"/>
                <w:lang w:val="hr-HR"/>
              </w:rPr>
              <w:t xml:space="preserve"> (</w:t>
            </w:r>
            <w:r w:rsidRPr="00DF4CE5">
              <w:rPr>
                <w:rFonts w:ascii="Cambria" w:eastAsia="Calibri" w:hAnsi="Cambria" w:cs="Calibri"/>
                <w:lang w:val="hr-HR"/>
              </w:rPr>
              <w:t>nositelj</w:t>
            </w:r>
            <w:r>
              <w:rPr>
                <w:rFonts w:ascii="Cambria" w:eastAsia="Calibri" w:hAnsi="Cambria" w:cs="Calibri"/>
                <w:lang w:val="hr-HR"/>
              </w:rPr>
              <w:t>ica)</w:t>
            </w:r>
          </w:p>
          <w:p w14:paraId="3642373C" w14:textId="0A4C4890" w:rsidR="00D01C7E" w:rsidRPr="00DF4CE5" w:rsidRDefault="00D01C7E" w:rsidP="000F1A10">
            <w:pPr>
              <w:contextualSpacing/>
              <w:jc w:val="both"/>
              <w:rPr>
                <w:rFonts w:ascii="Cambria" w:eastAsia="Calibri" w:hAnsi="Cambria" w:cs="Calibri"/>
                <w:lang w:val="hr-HR"/>
              </w:rPr>
            </w:pPr>
            <w:r>
              <w:rPr>
                <w:rFonts w:ascii="Cambria" w:eastAsia="Calibri" w:hAnsi="Cambria" w:cs="Calibri"/>
                <w:lang w:val="hr-HR"/>
              </w:rPr>
              <w:t xml:space="preserve">Alen </w:t>
            </w:r>
            <w:proofErr w:type="spellStart"/>
            <w:r>
              <w:rPr>
                <w:rFonts w:ascii="Cambria" w:eastAsia="Calibri" w:hAnsi="Cambria" w:cs="Calibri"/>
                <w:lang w:val="hr-HR"/>
              </w:rPr>
              <w:t>Klančar</w:t>
            </w:r>
            <w:proofErr w:type="spellEnd"/>
            <w:r>
              <w:rPr>
                <w:rFonts w:ascii="Cambria" w:eastAsia="Calibri" w:hAnsi="Cambria" w:cs="Calibri"/>
                <w:lang w:val="hr-HR"/>
              </w:rPr>
              <w:t>, naslovni asistent</w:t>
            </w:r>
          </w:p>
        </w:tc>
      </w:tr>
      <w:tr w:rsidR="004131DB" w:rsidRPr="00D0399C" w14:paraId="494633FE" w14:textId="77777777" w:rsidTr="000F1A10">
        <w:tc>
          <w:tcPr>
            <w:tcW w:w="280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3FE5B41" w14:textId="77777777" w:rsidR="004131DB" w:rsidRPr="00DF4CE5" w:rsidRDefault="004131DB" w:rsidP="000F1A10">
            <w:pPr>
              <w:contextualSpacing/>
              <w:jc w:val="both"/>
              <w:rPr>
                <w:rFonts w:ascii="Cambria" w:eastAsia="Calibri" w:hAnsi="Cambria" w:cs="Calibri"/>
                <w:lang w:val="hr-HR"/>
              </w:rPr>
            </w:pPr>
            <w:r w:rsidRPr="00DF4CE5">
              <w:rPr>
                <w:rFonts w:ascii="Cambria" w:eastAsia="Calibri" w:hAnsi="Cambria" w:cs="Calibri"/>
                <w:lang w:val="hr-HR"/>
              </w:rPr>
              <w:t>Studijski program</w:t>
            </w:r>
          </w:p>
        </w:tc>
        <w:tc>
          <w:tcPr>
            <w:tcW w:w="752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FFF8961" w14:textId="77777777" w:rsidR="004131DB" w:rsidRPr="00DF4CE5" w:rsidRDefault="004131DB" w:rsidP="000F1A10">
            <w:pPr>
              <w:contextualSpacing/>
              <w:jc w:val="both"/>
              <w:rPr>
                <w:rFonts w:ascii="Cambria" w:eastAsia="Calibri" w:hAnsi="Cambria" w:cs="Calibri"/>
                <w:lang w:val="hr-HR"/>
              </w:rPr>
            </w:pPr>
            <w:r w:rsidRPr="00DF4CE5">
              <w:rPr>
                <w:rFonts w:ascii="Cambria" w:eastAsia="Calibri" w:hAnsi="Cambria" w:cs="Calibri"/>
                <w:lang w:val="hr-HR"/>
              </w:rPr>
              <w:t>Sveučilišni integrirani prijediplomski i diplomski Učiteljski studij na hrvatskom jeziku</w:t>
            </w:r>
          </w:p>
        </w:tc>
      </w:tr>
      <w:tr w:rsidR="004131DB" w:rsidRPr="00DF4CE5" w14:paraId="01DC2D85" w14:textId="77777777" w:rsidTr="000F1A10">
        <w:tc>
          <w:tcPr>
            <w:tcW w:w="280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5456460" w14:textId="77777777" w:rsidR="004131DB" w:rsidRPr="00DF4CE5" w:rsidRDefault="004131DB" w:rsidP="000F1A10">
            <w:pPr>
              <w:contextualSpacing/>
              <w:jc w:val="both"/>
              <w:rPr>
                <w:rFonts w:ascii="Cambria" w:eastAsia="Calibri" w:hAnsi="Cambria" w:cs="Calibri"/>
                <w:lang w:val="hr-HR"/>
              </w:rPr>
            </w:pPr>
            <w:r w:rsidRPr="00DF4CE5">
              <w:rPr>
                <w:rFonts w:ascii="Cambria" w:eastAsia="Calibri" w:hAnsi="Cambria" w:cs="Calibri"/>
                <w:lang w:val="hr-HR"/>
              </w:rPr>
              <w:t>Vrsta kolegija</w:t>
            </w:r>
          </w:p>
        </w:tc>
        <w:tc>
          <w:tcPr>
            <w:tcW w:w="266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2288D31" w14:textId="77777777" w:rsidR="004131DB" w:rsidRPr="00DF4CE5" w:rsidRDefault="004131DB" w:rsidP="000F1A10">
            <w:pPr>
              <w:contextualSpacing/>
              <w:jc w:val="both"/>
              <w:rPr>
                <w:rFonts w:ascii="Cambria" w:eastAsia="Calibri" w:hAnsi="Cambria" w:cs="Calibri"/>
                <w:lang w:val="hr-HR"/>
              </w:rPr>
            </w:pPr>
            <w:r w:rsidRPr="00DF4CE5">
              <w:rPr>
                <w:rFonts w:ascii="Cambria" w:eastAsia="Calibri" w:hAnsi="Cambria" w:cs="Calibri"/>
                <w:lang w:val="hr-HR"/>
              </w:rPr>
              <w:t xml:space="preserve">obvezan </w:t>
            </w:r>
          </w:p>
        </w:tc>
        <w:tc>
          <w:tcPr>
            <w:tcW w:w="1577"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18BD743C" w14:textId="77777777" w:rsidR="004131DB" w:rsidRPr="00DF4CE5" w:rsidRDefault="004131DB" w:rsidP="000F1A10">
            <w:pPr>
              <w:contextualSpacing/>
              <w:jc w:val="both"/>
              <w:rPr>
                <w:rFonts w:ascii="Cambria" w:eastAsia="Calibri" w:hAnsi="Cambria" w:cs="Calibri"/>
                <w:lang w:val="hr-HR"/>
              </w:rPr>
            </w:pPr>
            <w:r w:rsidRPr="00DF4CE5">
              <w:rPr>
                <w:rFonts w:ascii="Cambria" w:eastAsia="Calibri" w:hAnsi="Cambria" w:cs="Calibri"/>
                <w:lang w:val="hr-HR"/>
              </w:rPr>
              <w:t>Razina kolegija</w:t>
            </w:r>
          </w:p>
        </w:tc>
        <w:tc>
          <w:tcPr>
            <w:tcW w:w="3285"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720D6C6" w14:textId="77777777" w:rsidR="004131DB" w:rsidRPr="00DF4CE5" w:rsidRDefault="004131DB" w:rsidP="000F1A10">
            <w:pPr>
              <w:contextualSpacing/>
              <w:jc w:val="both"/>
              <w:rPr>
                <w:rFonts w:ascii="Cambria" w:eastAsia="Calibri" w:hAnsi="Cambria" w:cs="Calibri"/>
                <w:lang w:val="hr-HR"/>
              </w:rPr>
            </w:pPr>
            <w:proofErr w:type="spellStart"/>
            <w:r>
              <w:rPr>
                <w:rFonts w:ascii="Cambria" w:eastAsia="Calibri" w:hAnsi="Cambria" w:cs="Calibri"/>
              </w:rPr>
              <w:t>in</w:t>
            </w:r>
            <w:r w:rsidRPr="00DF4CE5">
              <w:rPr>
                <w:rFonts w:ascii="Cambria" w:eastAsia="Calibri" w:hAnsi="Cambria" w:cs="Calibri"/>
              </w:rPr>
              <w:t>tegrirani</w:t>
            </w:r>
            <w:proofErr w:type="spellEnd"/>
          </w:p>
        </w:tc>
      </w:tr>
      <w:tr w:rsidR="004131DB" w:rsidRPr="00DF4CE5" w14:paraId="1B05257F" w14:textId="77777777" w:rsidTr="000F1A10">
        <w:tc>
          <w:tcPr>
            <w:tcW w:w="280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6CAF4A5" w14:textId="77777777" w:rsidR="004131DB" w:rsidRPr="00DF4CE5" w:rsidRDefault="004131DB" w:rsidP="000F1A10">
            <w:pPr>
              <w:contextualSpacing/>
              <w:jc w:val="both"/>
              <w:rPr>
                <w:rFonts w:ascii="Cambria" w:eastAsia="Calibri" w:hAnsi="Cambria" w:cs="Calibri"/>
                <w:lang w:val="hr-HR"/>
              </w:rPr>
            </w:pPr>
            <w:r w:rsidRPr="00DF4CE5">
              <w:rPr>
                <w:rFonts w:ascii="Cambria" w:eastAsia="Calibri" w:hAnsi="Cambria" w:cs="Calibri"/>
                <w:lang w:val="hr-HR"/>
              </w:rPr>
              <w:t>Semestar</w:t>
            </w:r>
          </w:p>
        </w:tc>
        <w:tc>
          <w:tcPr>
            <w:tcW w:w="266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3185A06" w14:textId="3A45CD68" w:rsidR="004131DB" w:rsidRPr="00DF4CE5" w:rsidRDefault="004131DB" w:rsidP="000F1A10">
            <w:pPr>
              <w:contextualSpacing/>
              <w:jc w:val="both"/>
              <w:rPr>
                <w:rFonts w:ascii="Cambria" w:eastAsia="Calibri" w:hAnsi="Cambria" w:cs="Calibri"/>
                <w:lang w:val="hr-HR"/>
              </w:rPr>
            </w:pPr>
            <w:r>
              <w:rPr>
                <w:rFonts w:ascii="Cambria" w:eastAsia="Calibri" w:hAnsi="Cambria" w:cs="Calibri"/>
                <w:lang w:val="hr-HR"/>
              </w:rPr>
              <w:t>z</w:t>
            </w:r>
            <w:r w:rsidRPr="00DF4CE5">
              <w:rPr>
                <w:rFonts w:ascii="Cambria" w:eastAsia="Calibri" w:hAnsi="Cambria" w:cs="Calibri"/>
                <w:lang w:val="hr-HR"/>
              </w:rPr>
              <w:t>imski</w:t>
            </w:r>
          </w:p>
        </w:tc>
        <w:tc>
          <w:tcPr>
            <w:tcW w:w="1577"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3842814E" w14:textId="77777777" w:rsidR="004131DB" w:rsidRPr="00DF4CE5" w:rsidRDefault="004131DB" w:rsidP="000F1A10">
            <w:pPr>
              <w:contextualSpacing/>
              <w:jc w:val="both"/>
              <w:rPr>
                <w:rFonts w:ascii="Cambria" w:eastAsia="Calibri" w:hAnsi="Cambria" w:cs="Calibri"/>
                <w:lang w:val="hr-HR"/>
              </w:rPr>
            </w:pPr>
            <w:r w:rsidRPr="00DF4CE5">
              <w:rPr>
                <w:rFonts w:ascii="Cambria" w:eastAsia="Calibri" w:hAnsi="Cambria" w:cs="Calibri"/>
                <w:lang w:val="hr-HR"/>
              </w:rPr>
              <w:t>Godina studija</w:t>
            </w:r>
          </w:p>
        </w:tc>
        <w:tc>
          <w:tcPr>
            <w:tcW w:w="3285"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A67611A" w14:textId="74184A53" w:rsidR="004131DB" w:rsidRPr="00DF4CE5" w:rsidRDefault="004131DB" w:rsidP="000F1A10">
            <w:pPr>
              <w:contextualSpacing/>
              <w:jc w:val="both"/>
              <w:rPr>
                <w:rFonts w:ascii="Cambria" w:eastAsia="Calibri" w:hAnsi="Cambria" w:cs="Calibri"/>
                <w:lang w:val="hr-HR"/>
              </w:rPr>
            </w:pPr>
            <w:r w:rsidRPr="00DF4CE5">
              <w:rPr>
                <w:rFonts w:ascii="Cambria" w:eastAsia="Calibri" w:hAnsi="Cambria" w:cs="Calibri"/>
                <w:lang w:val="hr-HR"/>
              </w:rPr>
              <w:t>I</w:t>
            </w:r>
            <w:r>
              <w:rPr>
                <w:rFonts w:ascii="Cambria" w:eastAsia="Calibri" w:hAnsi="Cambria" w:cs="Calibri"/>
                <w:lang w:val="hr-HR"/>
              </w:rPr>
              <w:t>II</w:t>
            </w:r>
            <w:r w:rsidRPr="00DF4CE5">
              <w:rPr>
                <w:rFonts w:ascii="Cambria" w:eastAsia="Calibri" w:hAnsi="Cambria" w:cs="Calibri"/>
                <w:lang w:val="hr-HR"/>
              </w:rPr>
              <w:t>.</w:t>
            </w:r>
          </w:p>
        </w:tc>
      </w:tr>
      <w:tr w:rsidR="004131DB" w:rsidRPr="00DF4CE5" w14:paraId="1890DF22" w14:textId="77777777" w:rsidTr="000F1A10">
        <w:tc>
          <w:tcPr>
            <w:tcW w:w="280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F7C4710" w14:textId="77777777" w:rsidR="004131DB" w:rsidRPr="00DF4CE5" w:rsidRDefault="004131DB" w:rsidP="000F1A10">
            <w:pPr>
              <w:contextualSpacing/>
              <w:jc w:val="both"/>
              <w:rPr>
                <w:rFonts w:ascii="Cambria" w:eastAsia="Calibri" w:hAnsi="Cambria" w:cs="Calibri"/>
                <w:lang w:val="hr-HR"/>
              </w:rPr>
            </w:pPr>
            <w:proofErr w:type="spellStart"/>
            <w:r w:rsidRPr="00DF4CE5">
              <w:rPr>
                <w:rFonts w:ascii="Cambria" w:eastAsia="Calibri" w:hAnsi="Cambria" w:cs="Calibri"/>
              </w:rPr>
              <w:t>Mjesto</w:t>
            </w:r>
            <w:proofErr w:type="spellEnd"/>
            <w:r w:rsidRPr="00DF4CE5">
              <w:rPr>
                <w:rFonts w:ascii="Cambria" w:eastAsia="Calibri" w:hAnsi="Cambria" w:cs="Calibri"/>
              </w:rPr>
              <w:t xml:space="preserve"> </w:t>
            </w:r>
            <w:proofErr w:type="spellStart"/>
            <w:r w:rsidRPr="00DF4CE5">
              <w:rPr>
                <w:rFonts w:ascii="Cambria" w:eastAsia="Calibri" w:hAnsi="Cambria" w:cs="Calibri"/>
              </w:rPr>
              <w:t>izvođenja</w:t>
            </w:r>
            <w:proofErr w:type="spellEnd"/>
          </w:p>
        </w:tc>
        <w:tc>
          <w:tcPr>
            <w:tcW w:w="266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DBF070E" w14:textId="77777777" w:rsidR="004131DB" w:rsidRPr="00DF4CE5" w:rsidRDefault="004131DB" w:rsidP="000F1A10">
            <w:pPr>
              <w:contextualSpacing/>
              <w:jc w:val="both"/>
              <w:rPr>
                <w:rFonts w:ascii="Cambria" w:eastAsia="Calibri" w:hAnsi="Cambria" w:cs="Calibri"/>
                <w:lang w:val="hr-HR"/>
              </w:rPr>
            </w:pPr>
            <w:r>
              <w:rPr>
                <w:rFonts w:ascii="Cambria" w:eastAsia="Calibri" w:hAnsi="Cambria" w:cs="Calibri"/>
                <w:lang w:val="hr-HR"/>
              </w:rPr>
              <w:t>učionica</w:t>
            </w:r>
          </w:p>
        </w:tc>
        <w:tc>
          <w:tcPr>
            <w:tcW w:w="1577"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347E808C" w14:textId="77777777" w:rsidR="004131DB" w:rsidRPr="00DF4CE5" w:rsidRDefault="004131DB" w:rsidP="000F1A10">
            <w:pPr>
              <w:contextualSpacing/>
              <w:jc w:val="both"/>
              <w:rPr>
                <w:rFonts w:ascii="Cambria" w:eastAsia="Calibri" w:hAnsi="Cambria" w:cs="Calibri"/>
                <w:lang w:val="hr-HR"/>
              </w:rPr>
            </w:pPr>
            <w:r w:rsidRPr="00DF4CE5">
              <w:rPr>
                <w:rFonts w:ascii="Cambria" w:eastAsia="Calibri" w:hAnsi="Cambria" w:cs="Calibri"/>
              </w:rPr>
              <w:t>Jezik</w:t>
            </w:r>
            <w:r w:rsidRPr="00DF4CE5">
              <w:rPr>
                <w:rFonts w:ascii="Cambria" w:eastAsia="Calibri" w:hAnsi="Cambria" w:cs="Calibri"/>
                <w:lang w:val="hr-HR"/>
              </w:rPr>
              <w:t xml:space="preserve"> izvođenja </w:t>
            </w:r>
          </w:p>
        </w:tc>
        <w:tc>
          <w:tcPr>
            <w:tcW w:w="3285"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4165A3E" w14:textId="77777777" w:rsidR="004131DB" w:rsidRPr="00DF4CE5" w:rsidRDefault="004131DB" w:rsidP="000F1A10">
            <w:pPr>
              <w:contextualSpacing/>
              <w:jc w:val="both"/>
              <w:rPr>
                <w:rFonts w:ascii="Cambria" w:eastAsia="Calibri" w:hAnsi="Cambria" w:cs="Calibri"/>
                <w:lang w:val="hr-HR"/>
              </w:rPr>
            </w:pPr>
            <w:r w:rsidRPr="00DF4CE5">
              <w:rPr>
                <w:rFonts w:ascii="Cambria" w:eastAsia="Calibri" w:hAnsi="Cambria" w:cs="Calibri"/>
                <w:lang w:val="hr-HR"/>
              </w:rPr>
              <w:t xml:space="preserve">hrvatski </w:t>
            </w:r>
          </w:p>
        </w:tc>
      </w:tr>
      <w:tr w:rsidR="004131DB" w:rsidRPr="00DF4CE5" w14:paraId="5FD14927" w14:textId="77777777" w:rsidTr="000F1A10">
        <w:tc>
          <w:tcPr>
            <w:tcW w:w="280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8CCD054" w14:textId="77777777" w:rsidR="004131DB" w:rsidRPr="00DF4CE5" w:rsidRDefault="004131DB" w:rsidP="000F1A10">
            <w:pPr>
              <w:contextualSpacing/>
              <w:jc w:val="both"/>
              <w:rPr>
                <w:rFonts w:ascii="Cambria" w:eastAsia="Calibri" w:hAnsi="Cambria" w:cs="Calibri"/>
                <w:lang w:val="hr-HR"/>
              </w:rPr>
            </w:pPr>
            <w:r w:rsidRPr="00DF4CE5">
              <w:rPr>
                <w:rFonts w:ascii="Cambria" w:eastAsia="Calibri" w:hAnsi="Cambria" w:cs="Calibri"/>
                <w:lang w:val="hr-HR"/>
              </w:rPr>
              <w:t>Broj ECTS bodova</w:t>
            </w:r>
          </w:p>
        </w:tc>
        <w:tc>
          <w:tcPr>
            <w:tcW w:w="266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460EA1A" w14:textId="01DDCA93" w:rsidR="004131DB" w:rsidRPr="00DF4CE5" w:rsidRDefault="004131DB" w:rsidP="000F1A10">
            <w:pPr>
              <w:contextualSpacing/>
              <w:jc w:val="both"/>
              <w:rPr>
                <w:rFonts w:ascii="Cambria" w:eastAsia="Calibri" w:hAnsi="Cambria" w:cs="Calibri"/>
                <w:lang w:val="hr-HR"/>
              </w:rPr>
            </w:pPr>
            <w:r>
              <w:rPr>
                <w:rFonts w:ascii="Cambria" w:eastAsia="Calibri" w:hAnsi="Cambria" w:cs="Calibri"/>
                <w:lang w:val="hr-HR"/>
              </w:rPr>
              <w:t>4</w:t>
            </w:r>
          </w:p>
        </w:tc>
        <w:tc>
          <w:tcPr>
            <w:tcW w:w="1577"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0501BB25" w14:textId="77777777" w:rsidR="004131DB" w:rsidRPr="00DF4CE5" w:rsidRDefault="004131DB" w:rsidP="000F1A10">
            <w:pPr>
              <w:contextualSpacing/>
              <w:jc w:val="both"/>
              <w:rPr>
                <w:rFonts w:ascii="Cambria" w:eastAsia="Calibri" w:hAnsi="Cambria" w:cs="Calibri"/>
                <w:lang w:val="hr-HR"/>
              </w:rPr>
            </w:pPr>
            <w:r w:rsidRPr="00DF4CE5">
              <w:rPr>
                <w:rFonts w:ascii="Cambria" w:eastAsia="Calibri" w:hAnsi="Cambria" w:cs="Calibri"/>
                <w:lang w:val="hr-HR"/>
              </w:rPr>
              <w:t>Broj sati u semestru</w:t>
            </w:r>
          </w:p>
        </w:tc>
        <w:tc>
          <w:tcPr>
            <w:tcW w:w="3285"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E7529CC" w14:textId="43CCE644" w:rsidR="004131DB" w:rsidRPr="00DF4CE5" w:rsidRDefault="004131DB" w:rsidP="000F1A10">
            <w:pPr>
              <w:contextualSpacing/>
              <w:jc w:val="both"/>
              <w:rPr>
                <w:rFonts w:ascii="Cambria" w:eastAsia="Calibri" w:hAnsi="Cambria" w:cs="Calibri"/>
                <w:lang w:val="hr-HR"/>
              </w:rPr>
            </w:pPr>
            <w:r>
              <w:rPr>
                <w:rFonts w:ascii="Cambria" w:eastAsia="Calibri" w:hAnsi="Cambria" w:cs="Calibri"/>
                <w:lang w:val="hr-HR"/>
              </w:rPr>
              <w:t>15</w:t>
            </w:r>
            <w:r w:rsidRPr="00DF4CE5">
              <w:rPr>
                <w:rFonts w:ascii="Cambria" w:eastAsia="Calibri" w:hAnsi="Cambria" w:cs="Calibri"/>
                <w:lang w:val="hr-HR"/>
              </w:rPr>
              <w:t xml:space="preserve">P – 0S –30V   </w:t>
            </w:r>
          </w:p>
        </w:tc>
      </w:tr>
      <w:tr w:rsidR="004131DB" w:rsidRPr="00DF4CE5" w14:paraId="01CA1356" w14:textId="77777777" w:rsidTr="000F1A10">
        <w:tc>
          <w:tcPr>
            <w:tcW w:w="280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AF05965" w14:textId="77777777" w:rsidR="004131DB" w:rsidRPr="00DF4CE5" w:rsidRDefault="004131DB" w:rsidP="000F1A10">
            <w:pPr>
              <w:contextualSpacing/>
              <w:jc w:val="both"/>
              <w:rPr>
                <w:rFonts w:ascii="Cambria" w:eastAsia="Calibri" w:hAnsi="Cambria" w:cs="Calibri"/>
                <w:lang w:val="hr-HR"/>
              </w:rPr>
            </w:pPr>
            <w:r w:rsidRPr="00DF4CE5">
              <w:rPr>
                <w:rFonts w:ascii="Cambria" w:eastAsia="Calibri" w:hAnsi="Cambria" w:cs="Calibri"/>
                <w:lang w:val="hr-HR"/>
              </w:rPr>
              <w:t>Preduvjeti za upis i za svladavanje</w:t>
            </w:r>
          </w:p>
        </w:tc>
        <w:tc>
          <w:tcPr>
            <w:tcW w:w="752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1A27E09" w14:textId="77777777" w:rsidR="004131DB" w:rsidRPr="00DF4CE5" w:rsidRDefault="004131DB" w:rsidP="000F1A10">
            <w:pPr>
              <w:contextualSpacing/>
              <w:jc w:val="both"/>
              <w:rPr>
                <w:rFonts w:ascii="Cambria" w:eastAsia="Calibri" w:hAnsi="Cambria" w:cs="Calibri"/>
                <w:lang w:val="hr-HR"/>
              </w:rPr>
            </w:pPr>
            <w:r w:rsidRPr="00DF4CE5">
              <w:rPr>
                <w:rFonts w:ascii="Cambria" w:eastAsia="Calibri" w:hAnsi="Cambria" w:cs="Calibri"/>
                <w:lang w:val="hr-HR"/>
              </w:rPr>
              <w:t>Nema preduvjeta</w:t>
            </w:r>
          </w:p>
        </w:tc>
      </w:tr>
      <w:tr w:rsidR="004131DB" w:rsidRPr="00D0399C" w14:paraId="3C6D2102" w14:textId="77777777" w:rsidTr="000F1A10">
        <w:tc>
          <w:tcPr>
            <w:tcW w:w="280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0548BA8" w14:textId="77777777" w:rsidR="004131DB" w:rsidRPr="00DF4CE5" w:rsidRDefault="004131DB" w:rsidP="000F1A10">
            <w:pPr>
              <w:contextualSpacing/>
              <w:jc w:val="both"/>
              <w:rPr>
                <w:rFonts w:ascii="Cambria" w:eastAsia="Calibri" w:hAnsi="Cambria" w:cs="Calibri"/>
                <w:lang w:val="hr-HR"/>
              </w:rPr>
            </w:pPr>
            <w:proofErr w:type="spellStart"/>
            <w:r w:rsidRPr="00DF4CE5">
              <w:rPr>
                <w:rFonts w:ascii="Cambria" w:eastAsia="Calibri" w:hAnsi="Cambria" w:cs="Calibri"/>
              </w:rPr>
              <w:t>Korelativnost</w:t>
            </w:r>
            <w:proofErr w:type="spellEnd"/>
          </w:p>
        </w:tc>
        <w:tc>
          <w:tcPr>
            <w:tcW w:w="752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67E7578" w14:textId="77777777" w:rsidR="004131DB" w:rsidRPr="00DF4CE5" w:rsidRDefault="004131DB" w:rsidP="000F1A10">
            <w:pPr>
              <w:contextualSpacing/>
              <w:jc w:val="both"/>
              <w:rPr>
                <w:rFonts w:ascii="Cambria" w:eastAsia="Calibri" w:hAnsi="Cambria" w:cs="Calibri"/>
                <w:lang w:val="hr-HR"/>
              </w:rPr>
            </w:pPr>
            <w:r w:rsidRPr="00DF4CE5">
              <w:rPr>
                <w:rFonts w:ascii="Cambria" w:eastAsia="Calibri" w:hAnsi="Cambria" w:cs="Calibri"/>
                <w:lang w:val="hr-HR"/>
              </w:rPr>
              <w:t>Hrvatski jezik I, Hrvatski jezik II, Dječja književnost, Pismeno izražavanje, Metodika hrvatskog jezika I, Metodika hrvatskog jezika III, kao i s drugim kolegijima jezično-umjetničke usmjerenosti. Očekuju se predznanja iz pismenog izražavanja te poznavanje pravopisnih pravila.</w:t>
            </w:r>
          </w:p>
        </w:tc>
      </w:tr>
      <w:tr w:rsidR="004131DB" w:rsidRPr="00D0399C" w14:paraId="31C84332" w14:textId="77777777" w:rsidTr="000F1A10">
        <w:tc>
          <w:tcPr>
            <w:tcW w:w="280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1982E35" w14:textId="77777777" w:rsidR="004131DB" w:rsidRPr="00DF4CE5" w:rsidRDefault="004131DB" w:rsidP="000F1A10">
            <w:pPr>
              <w:contextualSpacing/>
              <w:jc w:val="both"/>
              <w:rPr>
                <w:rFonts w:ascii="Cambria" w:eastAsia="Calibri" w:hAnsi="Cambria" w:cs="Calibri"/>
                <w:lang w:val="hr-HR"/>
              </w:rPr>
            </w:pPr>
            <w:r w:rsidRPr="00DF4CE5">
              <w:rPr>
                <w:rFonts w:ascii="Cambria" w:eastAsia="Calibri" w:hAnsi="Cambria" w:cs="Calibri"/>
                <w:lang w:val="hr-HR"/>
              </w:rPr>
              <w:t xml:space="preserve">Cilj kolegija </w:t>
            </w:r>
          </w:p>
        </w:tc>
        <w:tc>
          <w:tcPr>
            <w:tcW w:w="752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63170FD" w14:textId="77777777" w:rsidR="004131DB" w:rsidRPr="00DF4CE5" w:rsidRDefault="004131DB" w:rsidP="000F1A10">
            <w:pPr>
              <w:contextualSpacing/>
              <w:jc w:val="both"/>
              <w:rPr>
                <w:rFonts w:ascii="Cambria" w:eastAsia="Calibri" w:hAnsi="Cambria" w:cs="Calibri"/>
                <w:lang w:val="hr-HR"/>
              </w:rPr>
            </w:pPr>
            <w:r w:rsidRPr="00DF4CE5">
              <w:rPr>
                <w:rFonts w:ascii="Cambria" w:eastAsia="Calibri" w:hAnsi="Cambria" w:cs="Calibri"/>
                <w:lang w:val="hr-HR"/>
              </w:rPr>
              <w:t>osposobiti za primjenu istih u radu s učenicima od 1. do 4. razreda osnovne škole, razviti vještine pismenog izražavanja, razvijat će vještine rada u timu i svakako sposobnost primjene znanja u praksi</w:t>
            </w:r>
          </w:p>
        </w:tc>
      </w:tr>
      <w:tr w:rsidR="004131DB" w:rsidRPr="00D0399C" w14:paraId="7FF8422E" w14:textId="77777777" w:rsidTr="000F1A10">
        <w:tc>
          <w:tcPr>
            <w:tcW w:w="280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AC6B239" w14:textId="77777777" w:rsidR="004131DB" w:rsidRPr="00DF4CE5" w:rsidRDefault="004131DB" w:rsidP="000F1A10">
            <w:pPr>
              <w:contextualSpacing/>
              <w:jc w:val="both"/>
              <w:rPr>
                <w:rFonts w:ascii="Cambria" w:eastAsia="Calibri" w:hAnsi="Cambria" w:cs="Calibri"/>
                <w:lang w:val="hr-HR"/>
              </w:rPr>
            </w:pPr>
            <w:r w:rsidRPr="00DF4CE5">
              <w:rPr>
                <w:rFonts w:ascii="Cambria" w:eastAsia="Calibri" w:hAnsi="Cambria" w:cs="Calibri"/>
                <w:lang w:val="hr-HR"/>
              </w:rPr>
              <w:t>Ishodi učenja</w:t>
            </w:r>
          </w:p>
        </w:tc>
        <w:tc>
          <w:tcPr>
            <w:tcW w:w="752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3B02579" w14:textId="77777777" w:rsidR="004131DB" w:rsidRPr="00DF4CE5" w:rsidRDefault="004131DB" w:rsidP="000F1A10">
            <w:pPr>
              <w:spacing w:after="0" w:line="240" w:lineRule="auto"/>
              <w:contextualSpacing/>
              <w:jc w:val="both"/>
              <w:rPr>
                <w:rFonts w:ascii="Cambria" w:eastAsia="Calibri" w:hAnsi="Cambria" w:cs="Calibri"/>
                <w:lang w:val="hr-HR"/>
              </w:rPr>
            </w:pPr>
            <w:r>
              <w:rPr>
                <w:rFonts w:ascii="Cambria" w:eastAsia="Calibri" w:hAnsi="Cambria" w:cs="Calibri"/>
                <w:lang w:val="hr-HR"/>
              </w:rPr>
              <w:t xml:space="preserve">1. </w:t>
            </w:r>
            <w:r w:rsidRPr="00DF4CE5">
              <w:rPr>
                <w:rFonts w:ascii="Cambria" w:eastAsia="Calibri" w:hAnsi="Cambria" w:cs="Calibri"/>
                <w:lang w:val="hr-HR"/>
              </w:rPr>
              <w:t>pravilno tumačiti temeljne pojmove metodike hrvatskog jezika</w:t>
            </w:r>
          </w:p>
          <w:p w14:paraId="779A7B08" w14:textId="77777777" w:rsidR="004131DB" w:rsidRPr="00DF4CE5" w:rsidRDefault="004131DB" w:rsidP="000F1A10">
            <w:pPr>
              <w:spacing w:after="0" w:line="240" w:lineRule="auto"/>
              <w:contextualSpacing/>
              <w:jc w:val="both"/>
              <w:rPr>
                <w:rFonts w:ascii="Cambria" w:eastAsia="Calibri" w:hAnsi="Cambria" w:cs="Calibri"/>
                <w:lang w:val="hr-HR"/>
              </w:rPr>
            </w:pPr>
            <w:r>
              <w:rPr>
                <w:rFonts w:ascii="Cambria" w:eastAsia="Calibri" w:hAnsi="Cambria" w:cs="Calibri"/>
                <w:lang w:val="hr-HR"/>
              </w:rPr>
              <w:t xml:space="preserve">2. </w:t>
            </w:r>
            <w:r w:rsidRPr="00DF4CE5">
              <w:rPr>
                <w:rFonts w:ascii="Cambria" w:eastAsia="Calibri" w:hAnsi="Cambria" w:cs="Calibri"/>
                <w:lang w:val="hr-HR"/>
              </w:rPr>
              <w:t xml:space="preserve">analizirati stručnu metodičku literaturu kako bi se primijenile stečene spoznaje u nastavnoj praksi </w:t>
            </w:r>
          </w:p>
          <w:p w14:paraId="7C6EC735" w14:textId="77777777" w:rsidR="004131DB" w:rsidRPr="00DF4CE5" w:rsidRDefault="004131DB" w:rsidP="000F1A10">
            <w:pPr>
              <w:spacing w:after="0" w:line="240" w:lineRule="auto"/>
              <w:contextualSpacing/>
              <w:jc w:val="both"/>
              <w:rPr>
                <w:rFonts w:ascii="Cambria" w:eastAsia="Calibri" w:hAnsi="Cambria" w:cs="Calibri"/>
                <w:lang w:val="hr-HR"/>
              </w:rPr>
            </w:pPr>
            <w:r>
              <w:rPr>
                <w:rFonts w:ascii="Cambria" w:eastAsia="Calibri" w:hAnsi="Cambria" w:cs="Calibri"/>
                <w:lang w:val="hr-HR"/>
              </w:rPr>
              <w:t xml:space="preserve">3. </w:t>
            </w:r>
            <w:r w:rsidRPr="00DF4CE5">
              <w:rPr>
                <w:rFonts w:ascii="Cambria" w:eastAsia="Calibri" w:hAnsi="Cambria" w:cs="Calibri"/>
                <w:lang w:val="hr-HR"/>
              </w:rPr>
              <w:t xml:space="preserve">pravilno pisati tiskana i pisana slova te usvojiti temeljna pravila kod početnog čitanja  </w:t>
            </w:r>
          </w:p>
          <w:p w14:paraId="40DD2C46" w14:textId="77777777" w:rsidR="004131DB" w:rsidRPr="00DF4CE5" w:rsidRDefault="004131DB" w:rsidP="000F1A10">
            <w:pPr>
              <w:spacing w:after="0" w:line="240" w:lineRule="auto"/>
              <w:contextualSpacing/>
              <w:jc w:val="both"/>
              <w:rPr>
                <w:rFonts w:ascii="Cambria" w:eastAsia="Calibri" w:hAnsi="Cambria" w:cs="Calibri"/>
                <w:lang w:val="hr-HR"/>
              </w:rPr>
            </w:pPr>
            <w:r>
              <w:rPr>
                <w:rFonts w:ascii="Cambria" w:eastAsia="Calibri" w:hAnsi="Cambria" w:cs="Times New Roman"/>
                <w:lang w:val="hr-HR"/>
              </w:rPr>
              <w:t xml:space="preserve">4. </w:t>
            </w:r>
            <w:r w:rsidRPr="00DF4CE5">
              <w:rPr>
                <w:rFonts w:ascii="Cambria" w:eastAsia="Calibri" w:hAnsi="Cambria" w:cs="Times New Roman"/>
                <w:lang w:val="hr-HR"/>
              </w:rPr>
              <w:t>analizirati metode izvođenja nastave iz hrvatskog jezika</w:t>
            </w:r>
            <w:r w:rsidRPr="00DF4CE5">
              <w:rPr>
                <w:rFonts w:ascii="Cambria" w:eastAsia="Calibri" w:hAnsi="Cambria" w:cs="Calibri"/>
                <w:lang w:val="hr-HR"/>
              </w:rPr>
              <w:t>.</w:t>
            </w:r>
          </w:p>
        </w:tc>
      </w:tr>
      <w:tr w:rsidR="004131DB" w:rsidRPr="00A421F5" w14:paraId="67FB87A6" w14:textId="77777777" w:rsidTr="000F1A10">
        <w:tc>
          <w:tcPr>
            <w:tcW w:w="2807"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720FED39" w14:textId="77777777" w:rsidR="004131DB" w:rsidRPr="00DF4CE5" w:rsidRDefault="004131DB" w:rsidP="000F1A10">
            <w:pPr>
              <w:contextualSpacing/>
              <w:jc w:val="both"/>
              <w:rPr>
                <w:rFonts w:ascii="Cambria" w:eastAsia="Calibri" w:hAnsi="Cambria" w:cs="Calibri"/>
                <w:lang w:val="hr-HR"/>
              </w:rPr>
            </w:pPr>
            <w:r w:rsidRPr="00DF4CE5">
              <w:rPr>
                <w:rFonts w:ascii="Cambria" w:eastAsia="Calibri" w:hAnsi="Cambria" w:cs="Calibri"/>
                <w:lang w:val="hr-HR"/>
              </w:rPr>
              <w:t>Sadržaj kolegija</w:t>
            </w:r>
          </w:p>
        </w:tc>
        <w:tc>
          <w:tcPr>
            <w:tcW w:w="7524"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80C9020" w14:textId="77777777" w:rsidR="004131DB" w:rsidRPr="00DF4CE5" w:rsidRDefault="004131DB" w:rsidP="000F1A10">
            <w:pPr>
              <w:spacing w:after="0" w:line="240" w:lineRule="auto"/>
              <w:contextualSpacing/>
              <w:jc w:val="both"/>
              <w:rPr>
                <w:rFonts w:ascii="Cambria" w:eastAsia="Calibri" w:hAnsi="Cambria" w:cs="Calibri"/>
                <w:lang w:val="hr-HR"/>
              </w:rPr>
            </w:pPr>
            <w:r>
              <w:rPr>
                <w:rFonts w:ascii="Cambria" w:eastAsia="Calibri" w:hAnsi="Cambria" w:cs="Calibri"/>
                <w:lang w:val="hr-HR"/>
              </w:rPr>
              <w:t xml:space="preserve">1. </w:t>
            </w:r>
            <w:r w:rsidRPr="00DF4CE5">
              <w:rPr>
                <w:rFonts w:ascii="Cambria" w:eastAsia="Calibri" w:hAnsi="Cambria" w:cs="Calibri"/>
                <w:lang w:val="hr-HR"/>
              </w:rPr>
              <w:t xml:space="preserve">Metodika početnog čitanja i pisanja: preduvjeti za uspješno čitanje i pisanje, pregled aktualne metodičke literature </w:t>
            </w:r>
          </w:p>
          <w:p w14:paraId="45021589" w14:textId="77777777" w:rsidR="004131DB" w:rsidRPr="00DF4CE5" w:rsidRDefault="004131DB" w:rsidP="000F1A10">
            <w:pPr>
              <w:spacing w:after="0" w:line="240" w:lineRule="auto"/>
              <w:contextualSpacing/>
              <w:jc w:val="both"/>
              <w:rPr>
                <w:rFonts w:ascii="Cambria" w:eastAsia="Calibri" w:hAnsi="Cambria" w:cs="Calibri"/>
                <w:lang w:val="hr-HR"/>
              </w:rPr>
            </w:pPr>
            <w:r>
              <w:rPr>
                <w:rFonts w:ascii="Cambria" w:eastAsia="Calibri" w:hAnsi="Cambria" w:cs="Calibri"/>
                <w:lang w:val="hr-HR"/>
              </w:rPr>
              <w:t xml:space="preserve">2. </w:t>
            </w:r>
            <w:r w:rsidRPr="00DF4CE5">
              <w:rPr>
                <w:rFonts w:ascii="Cambria" w:eastAsia="Calibri" w:hAnsi="Cambria" w:cs="Calibri"/>
                <w:lang w:val="hr-HR"/>
              </w:rPr>
              <w:t xml:space="preserve">Metodika književnosti: pregled aktualne metodičke literature i zastupljenosti književnih sadržaja u nastavnim programima, obveznim udžbenicima i ostalom radnom materijalu u primarnom obrazovanju. Popisi obvezne učeničke lektire u primarnom obrazovanju. Primjeri nastavnih jedinica (različiti pristupi), mogućnosti međupodručne i </w:t>
            </w:r>
            <w:proofErr w:type="spellStart"/>
            <w:r w:rsidRPr="00DF4CE5">
              <w:rPr>
                <w:rFonts w:ascii="Cambria" w:eastAsia="Calibri" w:hAnsi="Cambria" w:cs="Calibri"/>
                <w:lang w:val="hr-HR"/>
              </w:rPr>
              <w:t>međupredmetne</w:t>
            </w:r>
            <w:proofErr w:type="spellEnd"/>
            <w:r w:rsidRPr="00DF4CE5">
              <w:rPr>
                <w:rFonts w:ascii="Cambria" w:eastAsia="Calibri" w:hAnsi="Cambria" w:cs="Calibri"/>
                <w:lang w:val="hr-HR"/>
              </w:rPr>
              <w:t xml:space="preserve"> korelacije. </w:t>
            </w:r>
          </w:p>
          <w:p w14:paraId="7C00F08C" w14:textId="77777777" w:rsidR="004131DB" w:rsidRPr="00DF4CE5" w:rsidRDefault="004131DB" w:rsidP="000F1A10">
            <w:pPr>
              <w:spacing w:after="0" w:line="240" w:lineRule="auto"/>
              <w:contextualSpacing/>
              <w:jc w:val="both"/>
              <w:rPr>
                <w:rFonts w:ascii="Cambria" w:eastAsia="Calibri" w:hAnsi="Cambria" w:cs="Calibri"/>
                <w:lang w:val="hr-HR"/>
              </w:rPr>
            </w:pPr>
            <w:r>
              <w:rPr>
                <w:rFonts w:ascii="Cambria" w:eastAsia="Calibri" w:hAnsi="Cambria" w:cs="Calibri"/>
                <w:lang w:val="hr-HR"/>
              </w:rPr>
              <w:t xml:space="preserve">3. </w:t>
            </w:r>
            <w:r w:rsidRPr="00DF4CE5">
              <w:rPr>
                <w:rFonts w:ascii="Cambria" w:eastAsia="Calibri" w:hAnsi="Cambria" w:cs="Calibri"/>
                <w:lang w:val="hr-HR"/>
              </w:rPr>
              <w:t xml:space="preserve">Metodika medijske kulture: pregled metodičke literature i zastupljenosti sadržaja u nastavnim programima, obveznim udžbenicima i ostalom radnom materijalu u primarnom obrazovanju. Popisi časopisa za učenike primarnog obrazovanja. Primjeri nastavnih jedinica (različiti pristupi), mogućnosti međupodručne i </w:t>
            </w:r>
            <w:proofErr w:type="spellStart"/>
            <w:r w:rsidRPr="00DF4CE5">
              <w:rPr>
                <w:rFonts w:ascii="Cambria" w:eastAsia="Calibri" w:hAnsi="Cambria" w:cs="Calibri"/>
                <w:lang w:val="hr-HR"/>
              </w:rPr>
              <w:t>međupredmetne</w:t>
            </w:r>
            <w:proofErr w:type="spellEnd"/>
            <w:r w:rsidRPr="00DF4CE5">
              <w:rPr>
                <w:rFonts w:ascii="Cambria" w:eastAsia="Calibri" w:hAnsi="Cambria" w:cs="Calibri"/>
                <w:lang w:val="hr-HR"/>
              </w:rPr>
              <w:t xml:space="preserve"> korelacije. </w:t>
            </w:r>
          </w:p>
          <w:p w14:paraId="4B192B83" w14:textId="77777777" w:rsidR="004131DB" w:rsidRPr="00DF4CE5" w:rsidRDefault="004131DB" w:rsidP="000F1A10">
            <w:pPr>
              <w:spacing w:after="0" w:line="240" w:lineRule="auto"/>
              <w:contextualSpacing/>
              <w:jc w:val="both"/>
              <w:rPr>
                <w:rFonts w:ascii="Cambria" w:eastAsia="Calibri" w:hAnsi="Cambria" w:cs="Calibri"/>
                <w:lang w:val="hr-HR"/>
              </w:rPr>
            </w:pPr>
            <w:r>
              <w:rPr>
                <w:rFonts w:ascii="Cambria" w:eastAsia="Calibri" w:hAnsi="Cambria" w:cs="Calibri"/>
                <w:lang w:val="hr-HR"/>
              </w:rPr>
              <w:t xml:space="preserve">4. </w:t>
            </w:r>
            <w:r w:rsidRPr="00DF4CE5">
              <w:rPr>
                <w:rFonts w:ascii="Cambria" w:eastAsia="Calibri" w:hAnsi="Cambria" w:cs="Calibri"/>
                <w:lang w:val="hr-HR"/>
              </w:rPr>
              <w:t xml:space="preserve">Metodika jezika: pregled metodičke literature i zastupljenosti sadržaja u nastavnim programima, obveznim udžbenicima i ostalom radnom materijalu u </w:t>
            </w:r>
            <w:r w:rsidRPr="00DF4CE5">
              <w:rPr>
                <w:rFonts w:ascii="Cambria" w:eastAsia="Calibri" w:hAnsi="Cambria" w:cs="Calibri"/>
                <w:lang w:val="hr-HR"/>
              </w:rPr>
              <w:lastRenderedPageBreak/>
              <w:t xml:space="preserve">primarnom obrazovanju. Primjeri nastavnih jedinica i mogućnosti međupodručne korelacije.  </w:t>
            </w:r>
          </w:p>
          <w:p w14:paraId="1FA715C9" w14:textId="77777777" w:rsidR="004131DB" w:rsidRPr="00DF4CE5" w:rsidRDefault="004131DB" w:rsidP="000F1A10">
            <w:pPr>
              <w:spacing w:after="0" w:line="240" w:lineRule="auto"/>
              <w:contextualSpacing/>
              <w:jc w:val="both"/>
              <w:rPr>
                <w:rFonts w:ascii="Cambria" w:eastAsia="Calibri" w:hAnsi="Cambria" w:cs="Calibri"/>
                <w:lang w:val="hr-HR"/>
              </w:rPr>
            </w:pPr>
            <w:r>
              <w:rPr>
                <w:rFonts w:ascii="Cambria" w:eastAsia="Calibri" w:hAnsi="Cambria" w:cs="Calibri"/>
                <w:lang w:val="hr-HR"/>
              </w:rPr>
              <w:t xml:space="preserve">5. </w:t>
            </w:r>
            <w:r w:rsidRPr="00DF4CE5">
              <w:rPr>
                <w:rFonts w:ascii="Cambria" w:eastAsia="Calibri" w:hAnsi="Cambria" w:cs="Calibri"/>
                <w:lang w:val="hr-HR"/>
              </w:rPr>
              <w:t xml:space="preserve">Metodika jezičnog i pismenog  izražavanja: pregled metodičke literature i zastupljenosti sadržaja u nastavnim programima, obveznim udžbenicima i ostalom radnom materijalu u primarnom obrazovanju. Primjeri nastavnih jedinica mogućnosti međupodručne i </w:t>
            </w:r>
            <w:proofErr w:type="spellStart"/>
            <w:r w:rsidRPr="00DF4CE5">
              <w:rPr>
                <w:rFonts w:ascii="Cambria" w:eastAsia="Calibri" w:hAnsi="Cambria" w:cs="Calibri"/>
                <w:lang w:val="hr-HR"/>
              </w:rPr>
              <w:t>međupredmetne</w:t>
            </w:r>
            <w:proofErr w:type="spellEnd"/>
            <w:r w:rsidRPr="00DF4CE5">
              <w:rPr>
                <w:rFonts w:ascii="Cambria" w:eastAsia="Calibri" w:hAnsi="Cambria" w:cs="Calibri"/>
                <w:lang w:val="hr-HR"/>
              </w:rPr>
              <w:t xml:space="preserve"> korelacije.</w:t>
            </w:r>
          </w:p>
        </w:tc>
      </w:tr>
      <w:tr w:rsidR="004131DB" w:rsidRPr="00DF4CE5" w14:paraId="1E6606EA" w14:textId="77777777" w:rsidTr="000F1A10">
        <w:tc>
          <w:tcPr>
            <w:tcW w:w="2807"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hideMark/>
          </w:tcPr>
          <w:p w14:paraId="378FDE05" w14:textId="77777777" w:rsidR="004131DB" w:rsidRPr="00DF4CE5" w:rsidRDefault="004131DB" w:rsidP="000F1A10">
            <w:pPr>
              <w:contextualSpacing/>
              <w:jc w:val="both"/>
              <w:rPr>
                <w:rFonts w:ascii="Cambria" w:eastAsia="Calibri" w:hAnsi="Cambria" w:cs="Calibri"/>
                <w:lang w:val="hr-HR"/>
              </w:rPr>
            </w:pPr>
            <w:r w:rsidRPr="00DF4CE5">
              <w:rPr>
                <w:rFonts w:ascii="Cambria" w:eastAsia="Calibri" w:hAnsi="Cambria" w:cs="Calibri"/>
                <w:lang w:val="hr-HR"/>
              </w:rPr>
              <w:lastRenderedPageBreak/>
              <w:t>Planirane aktivnosti</w:t>
            </w:r>
            <w:r w:rsidRPr="00B30379">
              <w:rPr>
                <w:rFonts w:ascii="Cambria" w:eastAsia="Calibri" w:hAnsi="Cambria" w:cs="Calibri"/>
                <w:lang w:val="it-IT"/>
              </w:rPr>
              <w:t>,</w:t>
            </w:r>
          </w:p>
          <w:p w14:paraId="2545432E" w14:textId="77777777" w:rsidR="004131DB" w:rsidRPr="00DF4CE5" w:rsidRDefault="004131DB" w:rsidP="000F1A10">
            <w:pPr>
              <w:contextualSpacing/>
              <w:jc w:val="both"/>
              <w:rPr>
                <w:rFonts w:ascii="Cambria" w:eastAsia="Calibri" w:hAnsi="Cambria" w:cs="Calibri"/>
                <w:lang w:val="hr-HR"/>
              </w:rPr>
            </w:pPr>
            <w:r w:rsidRPr="00DF4CE5">
              <w:rPr>
                <w:rFonts w:ascii="Cambria" w:eastAsia="Calibri" w:hAnsi="Cambria" w:cs="Calibri"/>
                <w:lang w:val="hr-HR"/>
              </w:rPr>
              <w:t>metode učenja i poučavanja i načini vrednovanja</w:t>
            </w:r>
          </w:p>
        </w:tc>
        <w:tc>
          <w:tcPr>
            <w:tcW w:w="276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D2EFB9F" w14:textId="77777777" w:rsidR="004131DB" w:rsidRPr="00DF4CE5" w:rsidRDefault="004131DB" w:rsidP="000F1A10">
            <w:pPr>
              <w:contextualSpacing/>
              <w:jc w:val="both"/>
              <w:rPr>
                <w:rFonts w:ascii="Cambria" w:eastAsia="Calibri" w:hAnsi="Cambria" w:cs="Calibri"/>
                <w:lang w:val="hr-HR"/>
              </w:rPr>
            </w:pPr>
            <w:r w:rsidRPr="00DF4CE5">
              <w:rPr>
                <w:rFonts w:ascii="Cambria" w:eastAsia="Calibri" w:hAnsi="Cambria" w:cs="Calibri"/>
                <w:bCs/>
                <w:lang w:val="hr-HR"/>
              </w:rPr>
              <w:t>Obveze</w:t>
            </w:r>
          </w:p>
        </w:tc>
        <w:tc>
          <w:tcPr>
            <w:tcW w:w="11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E7800A4" w14:textId="77777777" w:rsidR="004131DB" w:rsidRPr="00DF4CE5" w:rsidRDefault="004131DB" w:rsidP="000F1A10">
            <w:pPr>
              <w:contextualSpacing/>
              <w:jc w:val="both"/>
              <w:rPr>
                <w:rFonts w:ascii="Cambria" w:eastAsia="Calibri" w:hAnsi="Cambria" w:cs="Calibri"/>
                <w:lang w:val="hr-HR"/>
              </w:rPr>
            </w:pPr>
            <w:r w:rsidRPr="00DF4CE5">
              <w:rPr>
                <w:rFonts w:ascii="Cambria" w:eastAsia="Calibri" w:hAnsi="Cambria" w:cs="Calibri"/>
                <w:bCs/>
                <w:lang w:val="hr-HR"/>
              </w:rPr>
              <w:t>Ishodi</w:t>
            </w:r>
          </w:p>
        </w:tc>
        <w:tc>
          <w:tcPr>
            <w:tcW w:w="84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CBD736A" w14:textId="77777777" w:rsidR="004131DB" w:rsidRPr="00DF4CE5" w:rsidRDefault="004131DB" w:rsidP="000F1A10">
            <w:pPr>
              <w:contextualSpacing/>
              <w:jc w:val="both"/>
              <w:rPr>
                <w:rFonts w:ascii="Cambria" w:eastAsia="Calibri" w:hAnsi="Cambria" w:cs="Calibri"/>
                <w:lang w:val="hr-HR"/>
              </w:rPr>
            </w:pPr>
            <w:r w:rsidRPr="00DF4CE5">
              <w:rPr>
                <w:rFonts w:ascii="Cambria" w:eastAsia="Calibri" w:hAnsi="Cambria" w:cs="Calibri"/>
                <w:bCs/>
                <w:lang w:val="hr-HR"/>
              </w:rPr>
              <w:t>Sati</w:t>
            </w:r>
          </w:p>
        </w:tc>
        <w:tc>
          <w:tcPr>
            <w:tcW w:w="10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B016933" w14:textId="77777777" w:rsidR="004131DB" w:rsidRPr="00DF4CE5" w:rsidRDefault="004131DB" w:rsidP="000F1A10">
            <w:pPr>
              <w:contextualSpacing/>
              <w:jc w:val="both"/>
              <w:rPr>
                <w:rFonts w:ascii="Cambria" w:eastAsia="Calibri" w:hAnsi="Cambria" w:cs="Calibri"/>
                <w:lang w:val="hr-HR"/>
              </w:rPr>
            </w:pPr>
            <w:r w:rsidRPr="00DF4CE5">
              <w:rPr>
                <w:rFonts w:ascii="Cambria" w:eastAsia="Calibri" w:hAnsi="Cambria" w:cs="Calibri"/>
                <w:bCs/>
                <w:lang w:val="hr-HR"/>
              </w:rPr>
              <w:t>ECTS</w:t>
            </w:r>
          </w:p>
        </w:tc>
        <w:tc>
          <w:tcPr>
            <w:tcW w:w="17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02D8C23" w14:textId="77777777" w:rsidR="004131DB" w:rsidRPr="00DF4CE5" w:rsidRDefault="004131DB" w:rsidP="000F1A10">
            <w:pPr>
              <w:contextualSpacing/>
              <w:jc w:val="both"/>
              <w:rPr>
                <w:rFonts w:ascii="Cambria" w:eastAsia="Calibri" w:hAnsi="Cambria" w:cs="Calibri"/>
                <w:lang w:val="hr-HR"/>
              </w:rPr>
            </w:pPr>
            <w:r w:rsidRPr="00DF4CE5">
              <w:rPr>
                <w:rFonts w:ascii="Cambria" w:eastAsia="Calibri" w:hAnsi="Cambria" w:cs="Calibri"/>
                <w:bCs/>
                <w:lang w:val="hr-HR"/>
              </w:rPr>
              <w:t>Maksimalni udio u ocjeni</w:t>
            </w:r>
            <w:r w:rsidRPr="00DF4CE5">
              <w:rPr>
                <w:rFonts w:ascii="Cambria" w:eastAsia="Calibri" w:hAnsi="Cambria" w:cs="Calibri"/>
                <w:bCs/>
              </w:rPr>
              <w:t xml:space="preserve"> (%)</w:t>
            </w:r>
          </w:p>
        </w:tc>
      </w:tr>
      <w:tr w:rsidR="004131DB" w:rsidRPr="00DF4CE5" w14:paraId="29C86D29" w14:textId="77777777" w:rsidTr="000F1A10">
        <w:tc>
          <w:tcPr>
            <w:tcW w:w="2807" w:type="dxa"/>
            <w:vMerge/>
            <w:tcBorders>
              <w:left w:val="single" w:sz="8" w:space="0" w:color="000000"/>
              <w:right w:val="single" w:sz="8" w:space="0" w:color="000000"/>
            </w:tcBorders>
            <w:vAlign w:val="center"/>
            <w:hideMark/>
          </w:tcPr>
          <w:p w14:paraId="4B23FD93" w14:textId="77777777" w:rsidR="004131DB" w:rsidRPr="00DF4CE5" w:rsidRDefault="004131DB" w:rsidP="000F1A10">
            <w:pPr>
              <w:contextualSpacing/>
              <w:jc w:val="both"/>
              <w:rPr>
                <w:rFonts w:ascii="Cambria" w:eastAsia="Calibri" w:hAnsi="Cambria" w:cs="Calibri"/>
                <w:lang w:val="hr-HR"/>
              </w:rPr>
            </w:pPr>
          </w:p>
        </w:tc>
        <w:tc>
          <w:tcPr>
            <w:tcW w:w="276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EC3BD94" w14:textId="77777777" w:rsidR="004131DB" w:rsidRPr="00DF4CE5" w:rsidRDefault="004131DB" w:rsidP="000F1A10">
            <w:pPr>
              <w:contextualSpacing/>
              <w:jc w:val="both"/>
              <w:rPr>
                <w:rFonts w:ascii="Cambria" w:eastAsia="Calibri" w:hAnsi="Cambria" w:cs="Calibri"/>
                <w:lang w:val="hr-HR"/>
              </w:rPr>
            </w:pPr>
            <w:proofErr w:type="spellStart"/>
            <w:r w:rsidRPr="00DF4CE5">
              <w:rPr>
                <w:rFonts w:ascii="Cambria" w:eastAsia="Times New Roman" w:hAnsi="Cambria" w:cs="Calibri"/>
              </w:rPr>
              <w:t>aktivnost</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na</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nastavi</w:t>
            </w:r>
            <w:proofErr w:type="spellEnd"/>
          </w:p>
        </w:tc>
        <w:tc>
          <w:tcPr>
            <w:tcW w:w="11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64CB40C" w14:textId="77777777" w:rsidR="004131DB" w:rsidRPr="00DF4CE5" w:rsidRDefault="004131DB" w:rsidP="000F1A10">
            <w:pPr>
              <w:contextualSpacing/>
              <w:jc w:val="center"/>
              <w:rPr>
                <w:rFonts w:ascii="Cambria" w:eastAsia="Calibri" w:hAnsi="Cambria" w:cs="Calibri"/>
                <w:lang w:val="hr-HR"/>
              </w:rPr>
            </w:pPr>
            <w:r w:rsidRPr="00DF4CE5">
              <w:rPr>
                <w:rFonts w:ascii="Cambria" w:eastAsia="Calibri" w:hAnsi="Cambria" w:cs="Calibri"/>
                <w:lang w:val="hr-HR"/>
              </w:rPr>
              <w:t>1.</w:t>
            </w:r>
            <w:r>
              <w:rPr>
                <w:rFonts w:ascii="Cambria" w:eastAsia="Calibri" w:hAnsi="Cambria" w:cs="Calibri"/>
                <w:lang w:val="hr-HR"/>
              </w:rPr>
              <w:t xml:space="preserve"> – </w:t>
            </w:r>
            <w:r w:rsidRPr="00DF4CE5">
              <w:rPr>
                <w:rFonts w:ascii="Cambria" w:eastAsia="Calibri" w:hAnsi="Cambria" w:cs="Calibri"/>
                <w:lang w:val="hr-HR"/>
              </w:rPr>
              <w:t>4.</w:t>
            </w:r>
          </w:p>
        </w:tc>
        <w:tc>
          <w:tcPr>
            <w:tcW w:w="84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7A43607" w14:textId="0FC32731" w:rsidR="004131DB" w:rsidRPr="00DF4CE5" w:rsidRDefault="004131DB" w:rsidP="000F1A10">
            <w:pPr>
              <w:contextualSpacing/>
              <w:jc w:val="center"/>
              <w:rPr>
                <w:rFonts w:ascii="Cambria" w:eastAsia="Calibri" w:hAnsi="Cambria" w:cs="Calibri"/>
                <w:lang w:val="hr-HR"/>
              </w:rPr>
            </w:pPr>
            <w:r>
              <w:rPr>
                <w:rFonts w:ascii="Cambria" w:eastAsia="Calibri" w:hAnsi="Cambria" w:cs="Calibri"/>
                <w:lang w:val="hr-HR"/>
              </w:rPr>
              <w:t>34</w:t>
            </w:r>
          </w:p>
        </w:tc>
        <w:tc>
          <w:tcPr>
            <w:tcW w:w="10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1B9AC8A" w14:textId="511F48AC" w:rsidR="004131DB" w:rsidRPr="00DF4CE5" w:rsidRDefault="004131DB" w:rsidP="000F1A10">
            <w:pPr>
              <w:contextualSpacing/>
              <w:jc w:val="center"/>
              <w:rPr>
                <w:rFonts w:ascii="Cambria" w:eastAsia="Calibri" w:hAnsi="Cambria" w:cs="Calibri"/>
                <w:lang w:val="hr-HR"/>
              </w:rPr>
            </w:pPr>
            <w:r>
              <w:rPr>
                <w:rFonts w:ascii="Cambria" w:eastAsia="Calibri" w:hAnsi="Cambria" w:cs="Calibri"/>
                <w:lang w:val="hr-HR"/>
              </w:rPr>
              <w:t>1,1</w:t>
            </w:r>
          </w:p>
        </w:tc>
        <w:tc>
          <w:tcPr>
            <w:tcW w:w="17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B1D3007" w14:textId="77777777" w:rsidR="004131DB" w:rsidRPr="00DF4CE5" w:rsidRDefault="004131DB" w:rsidP="000F1A10">
            <w:pPr>
              <w:contextualSpacing/>
              <w:jc w:val="center"/>
              <w:rPr>
                <w:rFonts w:ascii="Cambria" w:eastAsia="Calibri" w:hAnsi="Cambria" w:cs="Calibri"/>
                <w:lang w:val="hr-HR"/>
              </w:rPr>
            </w:pPr>
            <w:r w:rsidRPr="00DF4CE5">
              <w:rPr>
                <w:rFonts w:ascii="Cambria" w:eastAsia="Calibri" w:hAnsi="Cambria" w:cs="Calibri"/>
                <w:lang w:val="hr-HR"/>
              </w:rPr>
              <w:t>20%</w:t>
            </w:r>
          </w:p>
        </w:tc>
      </w:tr>
      <w:tr w:rsidR="004131DB" w:rsidRPr="00DF4CE5" w14:paraId="1AB99A3A" w14:textId="77777777" w:rsidTr="000F1A10">
        <w:tc>
          <w:tcPr>
            <w:tcW w:w="2807" w:type="dxa"/>
            <w:vMerge/>
            <w:tcBorders>
              <w:left w:val="single" w:sz="8" w:space="0" w:color="000000"/>
              <w:right w:val="single" w:sz="8" w:space="0" w:color="000000"/>
            </w:tcBorders>
            <w:vAlign w:val="center"/>
            <w:hideMark/>
          </w:tcPr>
          <w:p w14:paraId="09109809" w14:textId="77777777" w:rsidR="004131DB" w:rsidRPr="00DF4CE5" w:rsidRDefault="004131DB" w:rsidP="000F1A10">
            <w:pPr>
              <w:contextualSpacing/>
              <w:jc w:val="both"/>
              <w:rPr>
                <w:rFonts w:ascii="Cambria" w:eastAsia="Calibri" w:hAnsi="Cambria" w:cs="Calibri"/>
                <w:lang w:val="hr-HR"/>
              </w:rPr>
            </w:pPr>
          </w:p>
        </w:tc>
        <w:tc>
          <w:tcPr>
            <w:tcW w:w="276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CA55873" w14:textId="55F0FCFA" w:rsidR="004131DB" w:rsidRPr="00DF4CE5" w:rsidRDefault="004131DB" w:rsidP="000F1A10">
            <w:pPr>
              <w:contextualSpacing/>
              <w:jc w:val="both"/>
              <w:rPr>
                <w:rFonts w:ascii="Cambria" w:eastAsia="Calibri" w:hAnsi="Cambria" w:cs="Calibri"/>
                <w:lang w:val="hr-HR"/>
              </w:rPr>
            </w:pPr>
            <w:proofErr w:type="spellStart"/>
            <w:r w:rsidRPr="00DF4CE5">
              <w:rPr>
                <w:rFonts w:ascii="Cambria" w:eastAsia="Calibri" w:hAnsi="Cambria" w:cs="Calibri"/>
              </w:rPr>
              <w:t>vježbe</w:t>
            </w:r>
            <w:proofErr w:type="spellEnd"/>
          </w:p>
        </w:tc>
        <w:tc>
          <w:tcPr>
            <w:tcW w:w="11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E3F230C" w14:textId="77777777" w:rsidR="004131DB" w:rsidRPr="00DF4CE5" w:rsidRDefault="004131DB" w:rsidP="000F1A10">
            <w:pPr>
              <w:contextualSpacing/>
              <w:jc w:val="center"/>
              <w:rPr>
                <w:rFonts w:ascii="Cambria" w:eastAsia="Calibri" w:hAnsi="Cambria" w:cs="Calibri"/>
                <w:lang w:val="hr-HR"/>
              </w:rPr>
            </w:pPr>
            <w:r w:rsidRPr="00DF4CE5">
              <w:rPr>
                <w:rFonts w:ascii="Cambria" w:eastAsia="Calibri" w:hAnsi="Cambria" w:cs="Calibri"/>
                <w:lang w:val="hr-HR"/>
              </w:rPr>
              <w:t>1.</w:t>
            </w:r>
            <w:r>
              <w:rPr>
                <w:rFonts w:ascii="Cambria" w:eastAsia="Calibri" w:hAnsi="Cambria" w:cs="Calibri"/>
                <w:lang w:val="hr-HR"/>
              </w:rPr>
              <w:t xml:space="preserve"> – </w:t>
            </w:r>
            <w:r w:rsidRPr="00DF4CE5">
              <w:rPr>
                <w:rFonts w:ascii="Cambria" w:eastAsia="Calibri" w:hAnsi="Cambria" w:cs="Calibri"/>
                <w:lang w:val="hr-HR"/>
              </w:rPr>
              <w:t>4.</w:t>
            </w:r>
          </w:p>
        </w:tc>
        <w:tc>
          <w:tcPr>
            <w:tcW w:w="84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7305315" w14:textId="1AC38493" w:rsidR="004131DB" w:rsidRPr="00DF4CE5" w:rsidRDefault="004131DB" w:rsidP="000F1A10">
            <w:pPr>
              <w:contextualSpacing/>
              <w:jc w:val="center"/>
              <w:rPr>
                <w:rFonts w:ascii="Cambria" w:eastAsia="Calibri" w:hAnsi="Cambria" w:cs="Calibri"/>
                <w:lang w:val="hr-HR"/>
              </w:rPr>
            </w:pPr>
            <w:r>
              <w:rPr>
                <w:rFonts w:ascii="Cambria" w:eastAsia="Calibri" w:hAnsi="Cambria" w:cs="Calibri"/>
                <w:lang w:val="hr-HR"/>
              </w:rPr>
              <w:t>30</w:t>
            </w:r>
          </w:p>
        </w:tc>
        <w:tc>
          <w:tcPr>
            <w:tcW w:w="10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3F030A9" w14:textId="3DFBF8AC" w:rsidR="004131DB" w:rsidRPr="00DF4CE5" w:rsidRDefault="004131DB" w:rsidP="000F1A10">
            <w:pPr>
              <w:contextualSpacing/>
              <w:jc w:val="center"/>
              <w:rPr>
                <w:rFonts w:ascii="Cambria" w:eastAsia="Calibri" w:hAnsi="Cambria" w:cs="Calibri"/>
                <w:lang w:val="hr-HR"/>
              </w:rPr>
            </w:pPr>
            <w:r>
              <w:rPr>
                <w:rFonts w:ascii="Cambria" w:eastAsia="Calibri" w:hAnsi="Cambria" w:cs="Calibri"/>
                <w:lang w:val="hr-HR"/>
              </w:rPr>
              <w:t>1</w:t>
            </w:r>
          </w:p>
        </w:tc>
        <w:tc>
          <w:tcPr>
            <w:tcW w:w="17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08789AD" w14:textId="77777777" w:rsidR="004131DB" w:rsidRPr="00DF4CE5" w:rsidRDefault="004131DB" w:rsidP="000F1A10">
            <w:pPr>
              <w:contextualSpacing/>
              <w:jc w:val="center"/>
              <w:rPr>
                <w:rFonts w:ascii="Cambria" w:eastAsia="Calibri" w:hAnsi="Cambria" w:cs="Calibri"/>
                <w:lang w:val="hr-HR"/>
              </w:rPr>
            </w:pPr>
            <w:r w:rsidRPr="00DF4CE5">
              <w:rPr>
                <w:rFonts w:ascii="Cambria" w:eastAsia="Calibri" w:hAnsi="Cambria" w:cs="Calibri"/>
                <w:lang w:val="hr-HR"/>
              </w:rPr>
              <w:t>20%</w:t>
            </w:r>
          </w:p>
        </w:tc>
      </w:tr>
      <w:tr w:rsidR="004131DB" w:rsidRPr="00DF4CE5" w14:paraId="323C9DF4" w14:textId="77777777" w:rsidTr="000F1A10">
        <w:tc>
          <w:tcPr>
            <w:tcW w:w="2807" w:type="dxa"/>
            <w:vMerge/>
            <w:tcBorders>
              <w:left w:val="single" w:sz="8" w:space="0" w:color="000000"/>
              <w:right w:val="single" w:sz="8" w:space="0" w:color="000000"/>
            </w:tcBorders>
            <w:vAlign w:val="center"/>
            <w:hideMark/>
          </w:tcPr>
          <w:p w14:paraId="5D5E5798" w14:textId="77777777" w:rsidR="004131DB" w:rsidRPr="00DF4CE5" w:rsidRDefault="004131DB" w:rsidP="000F1A10">
            <w:pPr>
              <w:contextualSpacing/>
              <w:jc w:val="both"/>
              <w:rPr>
                <w:rFonts w:ascii="Cambria" w:eastAsia="Calibri" w:hAnsi="Cambria" w:cs="Calibri"/>
                <w:lang w:val="hr-HR"/>
              </w:rPr>
            </w:pPr>
          </w:p>
        </w:tc>
        <w:tc>
          <w:tcPr>
            <w:tcW w:w="276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75348B9" w14:textId="77777777" w:rsidR="004131DB" w:rsidRPr="00DF4CE5" w:rsidRDefault="004131DB" w:rsidP="000F1A10">
            <w:pPr>
              <w:contextualSpacing/>
              <w:jc w:val="both"/>
              <w:rPr>
                <w:rFonts w:ascii="Cambria" w:eastAsia="Calibri" w:hAnsi="Cambria" w:cs="Calibri"/>
                <w:lang w:val="hr-HR"/>
              </w:rPr>
            </w:pPr>
            <w:r w:rsidRPr="00DF4CE5">
              <w:rPr>
                <w:rFonts w:ascii="Cambria" w:eastAsia="Calibri" w:hAnsi="Cambria" w:cs="Calibri"/>
                <w:lang w:val="hr-HR"/>
              </w:rPr>
              <w:t>kolokvij i priprema za kontinuiranu provjeru znanja</w:t>
            </w:r>
          </w:p>
        </w:tc>
        <w:tc>
          <w:tcPr>
            <w:tcW w:w="11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119A744" w14:textId="77777777" w:rsidR="004131DB" w:rsidRPr="00DF4CE5" w:rsidRDefault="004131DB" w:rsidP="000F1A10">
            <w:pPr>
              <w:contextualSpacing/>
              <w:jc w:val="center"/>
              <w:rPr>
                <w:rFonts w:ascii="Cambria" w:eastAsia="Calibri" w:hAnsi="Cambria" w:cs="Calibri"/>
                <w:lang w:val="hr-HR"/>
              </w:rPr>
            </w:pPr>
            <w:r w:rsidRPr="00DF4CE5">
              <w:rPr>
                <w:rFonts w:ascii="Cambria" w:eastAsia="Calibri" w:hAnsi="Cambria" w:cs="Calibri"/>
                <w:lang w:val="hr-HR"/>
              </w:rPr>
              <w:t>1.</w:t>
            </w:r>
            <w:r>
              <w:rPr>
                <w:rFonts w:ascii="Cambria" w:eastAsia="Calibri" w:hAnsi="Cambria" w:cs="Calibri"/>
                <w:lang w:val="hr-HR"/>
              </w:rPr>
              <w:t xml:space="preserve"> – </w:t>
            </w:r>
            <w:r w:rsidRPr="00DF4CE5">
              <w:rPr>
                <w:rFonts w:ascii="Cambria" w:eastAsia="Calibri" w:hAnsi="Cambria" w:cs="Calibri"/>
                <w:lang w:val="hr-HR"/>
              </w:rPr>
              <w:t>4.</w:t>
            </w:r>
          </w:p>
        </w:tc>
        <w:tc>
          <w:tcPr>
            <w:tcW w:w="84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032AF2C" w14:textId="69C9DC9C" w:rsidR="004131DB" w:rsidRPr="00DF4CE5" w:rsidRDefault="004131DB" w:rsidP="000F1A10">
            <w:pPr>
              <w:contextualSpacing/>
              <w:jc w:val="center"/>
              <w:rPr>
                <w:rFonts w:ascii="Cambria" w:eastAsia="Calibri" w:hAnsi="Cambria" w:cs="Calibri"/>
                <w:lang w:val="hr-HR"/>
              </w:rPr>
            </w:pPr>
            <w:r w:rsidRPr="00DF4CE5">
              <w:rPr>
                <w:rFonts w:ascii="Cambria" w:eastAsia="Calibri" w:hAnsi="Cambria" w:cs="Calibri"/>
                <w:lang w:val="hr-HR"/>
              </w:rPr>
              <w:t>3</w:t>
            </w:r>
            <w:r>
              <w:rPr>
                <w:rFonts w:ascii="Cambria" w:eastAsia="Calibri" w:hAnsi="Cambria" w:cs="Calibri"/>
                <w:lang w:val="hr-HR"/>
              </w:rPr>
              <w:t>0</w:t>
            </w:r>
          </w:p>
        </w:tc>
        <w:tc>
          <w:tcPr>
            <w:tcW w:w="10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3771229" w14:textId="17E566AE" w:rsidR="004131DB" w:rsidRPr="00DF4CE5" w:rsidRDefault="004131DB" w:rsidP="000F1A10">
            <w:pPr>
              <w:contextualSpacing/>
              <w:jc w:val="center"/>
              <w:rPr>
                <w:rFonts w:ascii="Cambria" w:eastAsia="Calibri" w:hAnsi="Cambria" w:cs="Calibri"/>
                <w:lang w:val="hr-HR"/>
              </w:rPr>
            </w:pPr>
            <w:r w:rsidRPr="00DF4CE5">
              <w:rPr>
                <w:rFonts w:ascii="Cambria" w:eastAsia="Calibri" w:hAnsi="Cambria" w:cs="Calibri"/>
                <w:lang w:val="hr-HR"/>
              </w:rPr>
              <w:t>1</w:t>
            </w:r>
          </w:p>
        </w:tc>
        <w:tc>
          <w:tcPr>
            <w:tcW w:w="17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A008D60" w14:textId="77777777" w:rsidR="004131DB" w:rsidRPr="00DF4CE5" w:rsidRDefault="004131DB" w:rsidP="000F1A10">
            <w:pPr>
              <w:contextualSpacing/>
              <w:jc w:val="center"/>
              <w:rPr>
                <w:rFonts w:ascii="Cambria" w:eastAsia="Calibri" w:hAnsi="Cambria" w:cs="Calibri"/>
                <w:lang w:val="hr-HR"/>
              </w:rPr>
            </w:pPr>
            <w:r w:rsidRPr="00DF4CE5">
              <w:rPr>
                <w:rFonts w:ascii="Cambria" w:eastAsia="Calibri" w:hAnsi="Cambria" w:cs="Calibri"/>
                <w:lang w:val="hr-HR"/>
              </w:rPr>
              <w:t>30%</w:t>
            </w:r>
          </w:p>
        </w:tc>
      </w:tr>
      <w:tr w:rsidR="004131DB" w:rsidRPr="00DF4CE5" w14:paraId="3F9B0A20" w14:textId="77777777" w:rsidTr="000F1A10">
        <w:tc>
          <w:tcPr>
            <w:tcW w:w="2807" w:type="dxa"/>
            <w:vMerge/>
            <w:tcBorders>
              <w:left w:val="single" w:sz="8" w:space="0" w:color="000000"/>
              <w:right w:val="single" w:sz="8" w:space="0" w:color="000000"/>
            </w:tcBorders>
            <w:vAlign w:val="center"/>
            <w:hideMark/>
          </w:tcPr>
          <w:p w14:paraId="5A8459B4" w14:textId="77777777" w:rsidR="004131DB" w:rsidRPr="00DF4CE5" w:rsidRDefault="004131DB" w:rsidP="000F1A10">
            <w:pPr>
              <w:contextualSpacing/>
              <w:jc w:val="both"/>
              <w:rPr>
                <w:rFonts w:ascii="Cambria" w:eastAsia="Calibri" w:hAnsi="Cambria" w:cs="Calibri"/>
                <w:lang w:val="hr-HR"/>
              </w:rPr>
            </w:pPr>
          </w:p>
        </w:tc>
        <w:tc>
          <w:tcPr>
            <w:tcW w:w="276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27233D8" w14:textId="77777777" w:rsidR="004131DB" w:rsidRPr="00DF4CE5" w:rsidRDefault="004131DB" w:rsidP="000F1A10">
            <w:pPr>
              <w:contextualSpacing/>
              <w:jc w:val="both"/>
              <w:rPr>
                <w:rFonts w:ascii="Cambria" w:eastAsia="Calibri" w:hAnsi="Cambria" w:cs="Calibri"/>
                <w:lang w:val="hr-HR"/>
              </w:rPr>
            </w:pPr>
            <w:r w:rsidRPr="00DF4CE5">
              <w:rPr>
                <w:rFonts w:ascii="Cambria" w:eastAsia="Calibri" w:hAnsi="Cambria" w:cs="Calibri"/>
                <w:lang w:val="hr-HR"/>
              </w:rPr>
              <w:t>priprema i polaganje ispita</w:t>
            </w:r>
          </w:p>
        </w:tc>
        <w:tc>
          <w:tcPr>
            <w:tcW w:w="11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23BBD10" w14:textId="77777777" w:rsidR="004131DB" w:rsidRPr="00DF4CE5" w:rsidRDefault="004131DB" w:rsidP="000F1A10">
            <w:pPr>
              <w:contextualSpacing/>
              <w:jc w:val="center"/>
              <w:rPr>
                <w:rFonts w:ascii="Cambria" w:eastAsia="Calibri" w:hAnsi="Cambria" w:cs="Calibri"/>
                <w:lang w:val="hr-HR"/>
              </w:rPr>
            </w:pPr>
            <w:r w:rsidRPr="00DF4CE5">
              <w:rPr>
                <w:rFonts w:ascii="Cambria" w:eastAsia="Calibri" w:hAnsi="Cambria" w:cs="Calibri"/>
                <w:lang w:val="hr-HR"/>
              </w:rPr>
              <w:t>1.</w:t>
            </w:r>
            <w:r>
              <w:rPr>
                <w:rFonts w:ascii="Cambria" w:eastAsia="Calibri" w:hAnsi="Cambria" w:cs="Calibri"/>
                <w:lang w:val="hr-HR"/>
              </w:rPr>
              <w:t xml:space="preserve"> – </w:t>
            </w:r>
            <w:r w:rsidRPr="00DF4CE5">
              <w:rPr>
                <w:rFonts w:ascii="Cambria" w:eastAsia="Calibri" w:hAnsi="Cambria" w:cs="Calibri"/>
                <w:lang w:val="hr-HR"/>
              </w:rPr>
              <w:t>4.</w:t>
            </w:r>
          </w:p>
        </w:tc>
        <w:tc>
          <w:tcPr>
            <w:tcW w:w="84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8D0CF41" w14:textId="7A91BD79" w:rsidR="004131DB" w:rsidRPr="00DF4CE5" w:rsidRDefault="004131DB" w:rsidP="000F1A10">
            <w:pPr>
              <w:contextualSpacing/>
              <w:jc w:val="center"/>
              <w:rPr>
                <w:rFonts w:ascii="Cambria" w:eastAsia="Calibri" w:hAnsi="Cambria" w:cs="Calibri"/>
                <w:lang w:val="hr-HR"/>
              </w:rPr>
            </w:pPr>
            <w:r>
              <w:rPr>
                <w:rFonts w:ascii="Cambria" w:eastAsia="Calibri" w:hAnsi="Cambria" w:cs="Calibri"/>
                <w:lang w:val="hr-HR"/>
              </w:rPr>
              <w:t>26</w:t>
            </w:r>
          </w:p>
        </w:tc>
        <w:tc>
          <w:tcPr>
            <w:tcW w:w="10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DABAC2F" w14:textId="7EDBB0E7" w:rsidR="004131DB" w:rsidRPr="00DF4CE5" w:rsidRDefault="004131DB" w:rsidP="000F1A10">
            <w:pPr>
              <w:contextualSpacing/>
              <w:jc w:val="center"/>
              <w:rPr>
                <w:rFonts w:ascii="Cambria" w:eastAsia="Calibri" w:hAnsi="Cambria" w:cs="Calibri"/>
                <w:lang w:val="hr-HR"/>
              </w:rPr>
            </w:pPr>
            <w:r>
              <w:rPr>
                <w:rFonts w:ascii="Cambria" w:eastAsia="Calibri" w:hAnsi="Cambria" w:cs="Calibri"/>
                <w:lang w:val="hr-HR"/>
              </w:rPr>
              <w:t>0,9</w:t>
            </w:r>
          </w:p>
        </w:tc>
        <w:tc>
          <w:tcPr>
            <w:tcW w:w="17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DF94A0F" w14:textId="77777777" w:rsidR="004131DB" w:rsidRPr="00DF4CE5" w:rsidRDefault="004131DB" w:rsidP="000F1A10">
            <w:pPr>
              <w:contextualSpacing/>
              <w:jc w:val="center"/>
              <w:rPr>
                <w:rFonts w:ascii="Cambria" w:eastAsia="Calibri" w:hAnsi="Cambria" w:cs="Calibri"/>
                <w:lang w:val="hr-HR"/>
              </w:rPr>
            </w:pPr>
            <w:r w:rsidRPr="00DF4CE5">
              <w:rPr>
                <w:rFonts w:ascii="Cambria" w:eastAsia="Calibri" w:hAnsi="Cambria" w:cs="Calibri"/>
                <w:lang w:val="hr-HR"/>
              </w:rPr>
              <w:t>30%</w:t>
            </w:r>
          </w:p>
        </w:tc>
      </w:tr>
      <w:tr w:rsidR="004131DB" w:rsidRPr="00DF4CE5" w14:paraId="05A0510F" w14:textId="77777777" w:rsidTr="000F1A10">
        <w:tc>
          <w:tcPr>
            <w:tcW w:w="2807" w:type="dxa"/>
            <w:vMerge/>
            <w:tcBorders>
              <w:left w:val="single" w:sz="8" w:space="0" w:color="000000"/>
              <w:right w:val="single" w:sz="8" w:space="0" w:color="000000"/>
            </w:tcBorders>
            <w:vAlign w:val="center"/>
            <w:hideMark/>
          </w:tcPr>
          <w:p w14:paraId="39E03DF3" w14:textId="77777777" w:rsidR="004131DB" w:rsidRPr="00DF4CE5" w:rsidRDefault="004131DB" w:rsidP="000F1A10">
            <w:pPr>
              <w:contextualSpacing/>
              <w:jc w:val="both"/>
              <w:rPr>
                <w:rFonts w:ascii="Cambria" w:eastAsia="Calibri" w:hAnsi="Cambria" w:cs="Calibri"/>
                <w:lang w:val="hr-HR"/>
              </w:rPr>
            </w:pPr>
          </w:p>
        </w:tc>
        <w:tc>
          <w:tcPr>
            <w:tcW w:w="3939"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AB56253" w14:textId="77777777" w:rsidR="004131DB" w:rsidRPr="00DF4CE5" w:rsidRDefault="004131DB" w:rsidP="000F1A10">
            <w:pPr>
              <w:contextualSpacing/>
              <w:jc w:val="both"/>
              <w:rPr>
                <w:rFonts w:ascii="Cambria" w:eastAsia="Calibri" w:hAnsi="Cambria" w:cs="Calibri"/>
                <w:lang w:val="hr-HR"/>
              </w:rPr>
            </w:pPr>
            <w:proofErr w:type="spellStart"/>
            <w:r>
              <w:rPr>
                <w:rFonts w:ascii="Cambria" w:eastAsia="Calibri" w:hAnsi="Cambria" w:cs="Calibri"/>
              </w:rPr>
              <w:t>u</w:t>
            </w:r>
            <w:r w:rsidRPr="00DF4CE5">
              <w:rPr>
                <w:rFonts w:ascii="Cambria" w:eastAsia="Calibri" w:hAnsi="Cambria" w:cs="Calibri"/>
              </w:rPr>
              <w:t>kupno</w:t>
            </w:r>
            <w:proofErr w:type="spellEnd"/>
          </w:p>
        </w:tc>
        <w:tc>
          <w:tcPr>
            <w:tcW w:w="84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B89FC31" w14:textId="62E0211F" w:rsidR="004131DB" w:rsidRPr="00DF4CE5" w:rsidRDefault="004131DB" w:rsidP="000F1A10">
            <w:pPr>
              <w:contextualSpacing/>
              <w:jc w:val="center"/>
              <w:rPr>
                <w:rFonts w:ascii="Cambria" w:eastAsia="Calibri" w:hAnsi="Cambria" w:cs="Calibri"/>
                <w:lang w:val="hr-HR"/>
              </w:rPr>
            </w:pPr>
            <w:r w:rsidRPr="00DF4CE5">
              <w:rPr>
                <w:rFonts w:ascii="Cambria" w:eastAsia="Calibri" w:hAnsi="Cambria" w:cs="Calibri"/>
                <w:lang w:val="hr-HR"/>
              </w:rPr>
              <w:t>1</w:t>
            </w:r>
            <w:r>
              <w:rPr>
                <w:rFonts w:ascii="Cambria" w:eastAsia="Calibri" w:hAnsi="Cambria" w:cs="Calibri"/>
                <w:lang w:val="hr-HR"/>
              </w:rPr>
              <w:t>20</w:t>
            </w:r>
          </w:p>
        </w:tc>
        <w:tc>
          <w:tcPr>
            <w:tcW w:w="10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79CCF2D" w14:textId="123EAC5B" w:rsidR="004131DB" w:rsidRPr="00DF4CE5" w:rsidRDefault="004131DB" w:rsidP="000F1A10">
            <w:pPr>
              <w:contextualSpacing/>
              <w:jc w:val="center"/>
              <w:rPr>
                <w:rFonts w:ascii="Cambria" w:eastAsia="Calibri" w:hAnsi="Cambria" w:cs="Calibri"/>
                <w:lang w:val="hr-HR"/>
              </w:rPr>
            </w:pPr>
            <w:r>
              <w:rPr>
                <w:rFonts w:ascii="Cambria" w:eastAsia="Calibri" w:hAnsi="Cambria" w:cs="Calibri"/>
                <w:lang w:val="hr-HR"/>
              </w:rPr>
              <w:t>4</w:t>
            </w:r>
          </w:p>
        </w:tc>
        <w:tc>
          <w:tcPr>
            <w:tcW w:w="17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5C4AFFD" w14:textId="77777777" w:rsidR="004131DB" w:rsidRPr="00DF4CE5" w:rsidRDefault="004131DB" w:rsidP="000F1A10">
            <w:pPr>
              <w:contextualSpacing/>
              <w:jc w:val="center"/>
              <w:rPr>
                <w:rFonts w:ascii="Cambria" w:eastAsia="Calibri" w:hAnsi="Cambria" w:cs="Calibri"/>
                <w:lang w:val="hr-HR"/>
              </w:rPr>
            </w:pPr>
            <w:r w:rsidRPr="00DF4CE5">
              <w:rPr>
                <w:rFonts w:ascii="Cambria" w:eastAsia="Calibri" w:hAnsi="Cambria" w:cs="Calibri"/>
                <w:lang w:val="hr-HR"/>
              </w:rPr>
              <w:t>100%</w:t>
            </w:r>
          </w:p>
        </w:tc>
      </w:tr>
      <w:tr w:rsidR="004131DB" w:rsidRPr="00DF4CE5" w14:paraId="22C9F291" w14:textId="77777777" w:rsidTr="000F1A10">
        <w:tc>
          <w:tcPr>
            <w:tcW w:w="2807" w:type="dxa"/>
            <w:vMerge/>
            <w:tcBorders>
              <w:left w:val="single" w:sz="8" w:space="0" w:color="000000"/>
              <w:bottom w:val="single" w:sz="8" w:space="0" w:color="000000"/>
              <w:right w:val="single" w:sz="8" w:space="0" w:color="000000"/>
            </w:tcBorders>
            <w:vAlign w:val="center"/>
          </w:tcPr>
          <w:p w14:paraId="72525F3F" w14:textId="77777777" w:rsidR="004131DB" w:rsidRPr="00DF4CE5" w:rsidRDefault="004131DB" w:rsidP="000F1A10">
            <w:pPr>
              <w:contextualSpacing/>
              <w:jc w:val="both"/>
              <w:rPr>
                <w:rFonts w:ascii="Cambria" w:eastAsia="Calibri" w:hAnsi="Cambria" w:cs="Calibri"/>
                <w:lang w:val="hr-HR"/>
              </w:rPr>
            </w:pPr>
          </w:p>
        </w:tc>
        <w:tc>
          <w:tcPr>
            <w:tcW w:w="7524" w:type="dxa"/>
            <w:gridSpan w:val="7"/>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5D1CF9EF" w14:textId="77777777" w:rsidR="004131DB" w:rsidRPr="00DF4CE5" w:rsidRDefault="004131DB" w:rsidP="000F1A10">
            <w:pPr>
              <w:contextualSpacing/>
              <w:jc w:val="both"/>
              <w:rPr>
                <w:rFonts w:ascii="Cambria" w:eastAsia="Calibri" w:hAnsi="Cambria" w:cs="Calibri"/>
                <w:lang w:val="hr-HR"/>
              </w:rPr>
            </w:pPr>
            <w:r w:rsidRPr="00DF4CE5">
              <w:rPr>
                <w:rFonts w:ascii="Cambria" w:eastAsia="Calibri" w:hAnsi="Cambria" w:cs="Calibri"/>
                <w:lang w:val="hr-HR"/>
              </w:rPr>
              <w:t>Dodatna pojašnjenja (kriteriji ocjenjivanja):</w:t>
            </w:r>
          </w:p>
          <w:p w14:paraId="3BAD1E04" w14:textId="77777777" w:rsidR="004131DB" w:rsidRPr="00DF4CE5" w:rsidRDefault="004131DB" w:rsidP="000F1A10">
            <w:pPr>
              <w:contextualSpacing/>
              <w:jc w:val="both"/>
              <w:rPr>
                <w:rFonts w:ascii="Cambria" w:eastAsia="Calibri" w:hAnsi="Cambria" w:cs="Calibri"/>
                <w:lang w:val="hr-HR"/>
              </w:rPr>
            </w:pPr>
            <w:r w:rsidRPr="00DF4CE5">
              <w:rPr>
                <w:rFonts w:ascii="Cambria" w:eastAsia="Calibri" w:hAnsi="Cambria" w:cs="Calibri"/>
                <w:lang w:val="hr-HR"/>
              </w:rPr>
              <w:t>Pohađanje nastave je obvezno. Tolerira se 30% izostanaka i njih nije potrebno opravdati. Studenti svakog tjedna su dužni izraditi samostalne zadatke te prezentirati ih na sljedećem susretu. U semestru se pišu dva kolokvija (poznavanje pravopisnih normi hrvatskog jezika i gramatika koja je sadržaj rada u primarnom obrazovanju)</w:t>
            </w:r>
            <w:r>
              <w:rPr>
                <w:rFonts w:ascii="Cambria" w:eastAsia="Calibri" w:hAnsi="Cambria" w:cs="Calibri"/>
                <w:lang w:val="hr-HR"/>
              </w:rPr>
              <w:t>.</w:t>
            </w:r>
            <w:r w:rsidRPr="00DF4CE5">
              <w:rPr>
                <w:rFonts w:ascii="Cambria" w:eastAsia="Calibri" w:hAnsi="Cambria" w:cs="Calibri"/>
                <w:lang w:val="hr-HR"/>
              </w:rPr>
              <w:t xml:space="preserve"> Na kraju semestra pristupa se završnome ispitu (pismenome). U konačnu ocjenu ulaze ocjena seminarskoga rada, vježbi, kolokvija te aktivnost na nastavi koja uključuje analizu samostalnih zadataka. </w:t>
            </w:r>
          </w:p>
          <w:p w14:paraId="7B655146" w14:textId="77777777" w:rsidR="004131DB" w:rsidRPr="00DF4CE5" w:rsidRDefault="004131DB" w:rsidP="000F1A10">
            <w:pPr>
              <w:contextualSpacing/>
              <w:jc w:val="both"/>
              <w:rPr>
                <w:rFonts w:ascii="Cambria" w:eastAsia="Calibri" w:hAnsi="Cambria" w:cs="Calibri"/>
                <w:lang w:val="hr-HR"/>
              </w:rPr>
            </w:pPr>
            <w:r w:rsidRPr="00DF4CE5">
              <w:rPr>
                <w:rFonts w:ascii="Cambria" w:eastAsia="Calibri" w:hAnsi="Cambria" w:cs="Calibri"/>
                <w:lang w:val="hr-HR"/>
              </w:rPr>
              <w:t xml:space="preserve">Sudjelovanje u nastavi ocjenjuje se na sljedeći način: </w:t>
            </w:r>
          </w:p>
          <w:p w14:paraId="78EBD1C1" w14:textId="77777777" w:rsidR="004131DB" w:rsidRPr="00DF4CE5" w:rsidRDefault="004131DB" w:rsidP="000F1A10">
            <w:pPr>
              <w:contextualSpacing/>
              <w:jc w:val="both"/>
              <w:rPr>
                <w:rFonts w:ascii="Cambria" w:eastAsia="Calibri" w:hAnsi="Cambria" w:cs="Calibri"/>
                <w:lang w:val="hr-HR"/>
              </w:rPr>
            </w:pPr>
            <w:r w:rsidRPr="00DF4CE5">
              <w:rPr>
                <w:rFonts w:ascii="Cambria" w:eastAsia="Calibri" w:hAnsi="Cambria" w:cs="Calibri"/>
                <w:lang w:val="hr-HR"/>
              </w:rPr>
              <w:t xml:space="preserve">0% = Ne dolazi na nastavu. </w:t>
            </w:r>
          </w:p>
          <w:p w14:paraId="09DAC58A" w14:textId="77777777" w:rsidR="004131DB" w:rsidRPr="00DF4CE5" w:rsidRDefault="004131DB" w:rsidP="000F1A10">
            <w:pPr>
              <w:contextualSpacing/>
              <w:jc w:val="both"/>
              <w:rPr>
                <w:rFonts w:ascii="Cambria" w:eastAsia="Calibri" w:hAnsi="Cambria" w:cs="Calibri"/>
                <w:lang w:val="hr-HR"/>
              </w:rPr>
            </w:pPr>
            <w:r w:rsidRPr="00DF4CE5">
              <w:rPr>
                <w:rFonts w:ascii="Cambria" w:eastAsia="Calibri" w:hAnsi="Cambria" w:cs="Calibri"/>
                <w:lang w:val="hr-HR"/>
              </w:rPr>
              <w:t xml:space="preserve">4% = Prisustvuje nastavi, no ne sudjeluje u radu, tj. samostalni zadaci nisu napisane više od 3 puta. </w:t>
            </w:r>
          </w:p>
          <w:p w14:paraId="28D8EC51" w14:textId="77777777" w:rsidR="004131DB" w:rsidRPr="00DF4CE5" w:rsidRDefault="004131DB" w:rsidP="000F1A10">
            <w:pPr>
              <w:contextualSpacing/>
              <w:jc w:val="both"/>
              <w:rPr>
                <w:rFonts w:ascii="Cambria" w:eastAsia="Calibri" w:hAnsi="Cambria" w:cs="Calibri"/>
                <w:lang w:val="hr-HR"/>
              </w:rPr>
            </w:pPr>
            <w:r w:rsidRPr="00DF4CE5">
              <w:rPr>
                <w:rFonts w:ascii="Cambria" w:eastAsia="Calibri" w:hAnsi="Cambria" w:cs="Calibri"/>
                <w:lang w:val="hr-HR"/>
              </w:rPr>
              <w:t xml:space="preserve">8% = Pripremljen/-na je, no samostalni zadaci su nepotpuni − uz veće nedostatke (samostalni zadaci redovito s pogreškama, više od 3 puta).  12% = Pripremljen/-na je, no samostalni zadaci su nepotpuni − uz manje nedostatke (samostalni zadaci s tek ponekim pogreškama).  </w:t>
            </w:r>
          </w:p>
          <w:p w14:paraId="24EEA736" w14:textId="77777777" w:rsidR="004131DB" w:rsidRPr="00DF4CE5" w:rsidRDefault="004131DB" w:rsidP="000F1A10">
            <w:pPr>
              <w:contextualSpacing/>
              <w:jc w:val="both"/>
              <w:rPr>
                <w:rFonts w:ascii="Cambria" w:eastAsia="Calibri" w:hAnsi="Cambria" w:cs="Calibri"/>
                <w:lang w:val="hr-HR"/>
              </w:rPr>
            </w:pPr>
            <w:r w:rsidRPr="00DF4CE5">
              <w:rPr>
                <w:rFonts w:ascii="Cambria" w:eastAsia="Calibri" w:hAnsi="Cambria" w:cs="Calibri"/>
                <w:lang w:val="hr-HR"/>
              </w:rPr>
              <w:t xml:space="preserve">16% = Redovito je pripremljen/-na, samostalni zadaci su korektni, dobrovoljno sudjeluje u nastavnome procesu. </w:t>
            </w:r>
          </w:p>
          <w:p w14:paraId="7291768A" w14:textId="77777777" w:rsidR="004131DB" w:rsidRPr="00DF4CE5" w:rsidRDefault="004131DB" w:rsidP="000F1A10">
            <w:pPr>
              <w:contextualSpacing/>
              <w:jc w:val="both"/>
              <w:rPr>
                <w:rFonts w:ascii="Cambria" w:eastAsia="Calibri" w:hAnsi="Cambria" w:cs="Calibri"/>
                <w:lang w:val="hr-HR"/>
              </w:rPr>
            </w:pPr>
            <w:r w:rsidRPr="00DF4CE5">
              <w:rPr>
                <w:rFonts w:ascii="Cambria" w:eastAsia="Calibri" w:hAnsi="Cambria" w:cs="Calibri"/>
                <w:lang w:val="hr-HR"/>
              </w:rPr>
              <w:t xml:space="preserve">20% = Student/studentica pokazuje visok stupanj zainteresiranosti za kolegij, uvijek je pripremljen/-na; postavlja pitanja i problematizira teme vezane i važne za kolegij, donosi dodatne materijale  koji su vezani uz temu koja se obrađuje.  </w:t>
            </w:r>
          </w:p>
          <w:p w14:paraId="517D879D" w14:textId="77777777" w:rsidR="004131DB" w:rsidRPr="00DF4CE5" w:rsidRDefault="004131DB" w:rsidP="000F1A10">
            <w:pPr>
              <w:contextualSpacing/>
              <w:jc w:val="both"/>
              <w:rPr>
                <w:rFonts w:ascii="Cambria" w:eastAsia="Calibri" w:hAnsi="Cambria" w:cs="Calibri"/>
                <w:lang w:val="hr-HR"/>
              </w:rPr>
            </w:pPr>
            <w:r w:rsidRPr="00DF4CE5">
              <w:rPr>
                <w:rFonts w:ascii="Cambria" w:eastAsia="Calibri" w:hAnsi="Cambria" w:cs="Calibri"/>
                <w:lang w:val="hr-HR"/>
              </w:rPr>
              <w:t xml:space="preserve">Seminarski rad/vježbe ocjenjuje se ovako: </w:t>
            </w:r>
          </w:p>
          <w:p w14:paraId="57C8790F" w14:textId="77777777" w:rsidR="004131DB" w:rsidRPr="00DF4CE5" w:rsidRDefault="004131DB" w:rsidP="000F1A10">
            <w:pPr>
              <w:contextualSpacing/>
              <w:jc w:val="both"/>
              <w:rPr>
                <w:rFonts w:ascii="Cambria" w:eastAsia="Calibri" w:hAnsi="Cambria" w:cs="Calibri"/>
                <w:lang w:val="hr-HR"/>
              </w:rPr>
            </w:pPr>
            <w:r w:rsidRPr="00DF4CE5">
              <w:rPr>
                <w:rFonts w:ascii="Cambria" w:eastAsia="Calibri" w:hAnsi="Cambria" w:cs="Calibri"/>
                <w:lang w:val="hr-HR"/>
              </w:rPr>
              <w:t xml:space="preserve">0% = Seminar je napisan  ali  sadrži puno gramatičkih i pravopisnih pogrešaka, sadržaj seminara nije u vezi sa naslovom seminara. </w:t>
            </w:r>
          </w:p>
          <w:p w14:paraId="40D92B49" w14:textId="77777777" w:rsidR="004131DB" w:rsidRPr="00DF4CE5" w:rsidRDefault="004131DB" w:rsidP="000F1A10">
            <w:pPr>
              <w:contextualSpacing/>
              <w:jc w:val="both"/>
              <w:rPr>
                <w:rFonts w:ascii="Cambria" w:eastAsia="Calibri" w:hAnsi="Cambria" w:cs="Calibri"/>
                <w:lang w:val="hr-HR"/>
              </w:rPr>
            </w:pPr>
            <w:r w:rsidRPr="00DF4CE5">
              <w:rPr>
                <w:rFonts w:ascii="Cambria" w:eastAsia="Calibri" w:hAnsi="Cambria" w:cs="Calibri"/>
                <w:lang w:val="hr-HR"/>
              </w:rPr>
              <w:t xml:space="preserve">4% = Seminar je  nepotpun − uz veće sadržajne nedostatke. Korišteno je manje od tri izvora podataka (literature, Internet izvori).  </w:t>
            </w:r>
          </w:p>
          <w:p w14:paraId="665E6C81" w14:textId="77777777" w:rsidR="004131DB" w:rsidRPr="00DF4CE5" w:rsidRDefault="004131DB" w:rsidP="000F1A10">
            <w:pPr>
              <w:contextualSpacing/>
              <w:jc w:val="both"/>
              <w:rPr>
                <w:rFonts w:ascii="Cambria" w:eastAsia="Calibri" w:hAnsi="Cambria" w:cs="Calibri"/>
                <w:lang w:val="hr-HR"/>
              </w:rPr>
            </w:pPr>
            <w:r w:rsidRPr="00DF4CE5">
              <w:rPr>
                <w:rFonts w:ascii="Cambria" w:eastAsia="Calibri" w:hAnsi="Cambria" w:cs="Calibri"/>
                <w:lang w:val="hr-HR"/>
              </w:rPr>
              <w:t xml:space="preserve">8%= Seminar je nepotpun  - uz manje sadržajne nedostatke. Korišteno je manje od pet  izvora podataka (literatura, Internet izvori) </w:t>
            </w:r>
          </w:p>
          <w:p w14:paraId="4F757AA9" w14:textId="77777777" w:rsidR="004131DB" w:rsidRPr="00DF4CE5" w:rsidRDefault="004131DB" w:rsidP="000F1A10">
            <w:pPr>
              <w:contextualSpacing/>
              <w:jc w:val="both"/>
              <w:rPr>
                <w:rFonts w:ascii="Cambria" w:eastAsia="Calibri" w:hAnsi="Cambria" w:cs="Calibri"/>
                <w:lang w:val="hr-HR"/>
              </w:rPr>
            </w:pPr>
            <w:r w:rsidRPr="00DF4CE5">
              <w:rPr>
                <w:rFonts w:ascii="Cambria" w:eastAsia="Calibri" w:hAnsi="Cambria" w:cs="Calibri"/>
                <w:lang w:val="hr-HR"/>
              </w:rPr>
              <w:t>12% = Seminar ima manje sadržajne nedostatke. Korišteno je manje od sedam izvora podataka (</w:t>
            </w:r>
            <w:proofErr w:type="spellStart"/>
            <w:r w:rsidRPr="00DF4CE5">
              <w:rPr>
                <w:rFonts w:ascii="Cambria" w:eastAsia="Calibri" w:hAnsi="Cambria" w:cs="Calibri"/>
                <w:lang w:val="hr-HR"/>
              </w:rPr>
              <w:t>literarura</w:t>
            </w:r>
            <w:proofErr w:type="spellEnd"/>
            <w:r w:rsidRPr="00DF4CE5">
              <w:rPr>
                <w:rFonts w:ascii="Cambria" w:eastAsia="Calibri" w:hAnsi="Cambria" w:cs="Calibri"/>
                <w:lang w:val="hr-HR"/>
              </w:rPr>
              <w:t xml:space="preserve">, Internet izvori). </w:t>
            </w:r>
          </w:p>
          <w:p w14:paraId="68EF9184" w14:textId="77777777" w:rsidR="004131DB" w:rsidRPr="00DF4CE5" w:rsidRDefault="004131DB" w:rsidP="000F1A10">
            <w:pPr>
              <w:contextualSpacing/>
              <w:jc w:val="both"/>
              <w:rPr>
                <w:rFonts w:ascii="Cambria" w:eastAsia="Calibri" w:hAnsi="Cambria" w:cs="Calibri"/>
                <w:lang w:val="hr-HR"/>
              </w:rPr>
            </w:pPr>
            <w:r w:rsidRPr="00DF4CE5">
              <w:rPr>
                <w:rFonts w:ascii="Cambria" w:eastAsia="Calibri" w:hAnsi="Cambria" w:cs="Calibri"/>
                <w:lang w:val="hr-HR"/>
              </w:rPr>
              <w:t xml:space="preserve">16% = Seminarski rad je  korektno napisan,  potkrijepljen podatcima iz domaće  literature (više od 10) i sve    zajedno čini  sadržajnu cjelinu. 20%  = Seminarski </w:t>
            </w:r>
            <w:r w:rsidRPr="00DF4CE5">
              <w:rPr>
                <w:rFonts w:ascii="Cambria" w:eastAsia="Calibri" w:hAnsi="Cambria" w:cs="Calibri"/>
                <w:lang w:val="hr-HR"/>
              </w:rPr>
              <w:lastRenderedPageBreak/>
              <w:t xml:space="preserve">rad je  detaljno napisan,  potkrijepljen podatcima iz domaće i stane literature (više od 10) i  sve zajedno čini  sadržajnu cjelinu.  </w:t>
            </w:r>
          </w:p>
          <w:p w14:paraId="49AE52EA" w14:textId="77777777" w:rsidR="004131DB" w:rsidRPr="00DF4CE5" w:rsidRDefault="004131DB" w:rsidP="000F1A10">
            <w:pPr>
              <w:contextualSpacing/>
              <w:jc w:val="both"/>
              <w:rPr>
                <w:rFonts w:ascii="Cambria" w:eastAsia="Calibri" w:hAnsi="Cambria" w:cs="Calibri"/>
                <w:lang w:val="hr-HR"/>
              </w:rPr>
            </w:pPr>
            <w:r w:rsidRPr="00DF4CE5">
              <w:rPr>
                <w:rFonts w:ascii="Cambria" w:eastAsia="Calibri" w:hAnsi="Cambria" w:cs="Calibri"/>
                <w:lang w:val="hr-HR"/>
              </w:rPr>
              <w:t>Rad neće biti pozitivno ocijenjen ako se uoče dijelovi teksta koji su doslovno prepisani a nisu citirani, pravopisne i/ili gramatičke pogreške i nakon profesoričinih napomena.  Studenti će na prvome predavanju dobiti primjerak seminarskoga rada koji se smatra uzornim te će se uputiti na slične radove koji su objavljeni u periodici.</w:t>
            </w:r>
          </w:p>
          <w:p w14:paraId="3FAFAC4E" w14:textId="77777777" w:rsidR="004131DB" w:rsidRPr="00DF4CE5" w:rsidRDefault="004131DB" w:rsidP="000F1A10">
            <w:pPr>
              <w:ind w:hanging="41"/>
              <w:contextualSpacing/>
              <w:jc w:val="both"/>
              <w:rPr>
                <w:rFonts w:ascii="Cambria" w:eastAsia="Calibri" w:hAnsi="Cambria" w:cs="Calibri"/>
                <w:lang w:val="hr-HR"/>
              </w:rPr>
            </w:pPr>
            <w:r w:rsidRPr="00DF4CE5">
              <w:rPr>
                <w:rFonts w:ascii="Cambria" w:eastAsia="Calibri" w:hAnsi="Cambria" w:cs="Calibri"/>
                <w:lang w:val="hr-HR"/>
              </w:rPr>
              <w:t xml:space="preserve"> Kolokviji   </w:t>
            </w:r>
          </w:p>
          <w:p w14:paraId="5172093F" w14:textId="77777777" w:rsidR="004131DB" w:rsidRPr="00DF4CE5" w:rsidRDefault="004131DB" w:rsidP="000F1A10">
            <w:pPr>
              <w:ind w:hanging="41"/>
              <w:contextualSpacing/>
              <w:jc w:val="both"/>
              <w:rPr>
                <w:rFonts w:ascii="Cambria" w:eastAsia="Calibri" w:hAnsi="Cambria" w:cs="Calibri"/>
                <w:lang w:val="hr-HR"/>
              </w:rPr>
            </w:pPr>
            <w:r w:rsidRPr="00DF4CE5">
              <w:rPr>
                <w:rFonts w:ascii="Cambria" w:eastAsia="Calibri" w:hAnsi="Cambria" w:cs="Calibri"/>
                <w:lang w:val="hr-HR"/>
              </w:rPr>
              <w:t xml:space="preserve"> Da bi student pristupio završnom pismenom ispitu, oba kolokvija moraju biti pozitivna. S obzirom da se u kolokvijima ispituju sadržaji koji se obrađuju u primarnom obrazovanju</w:t>
            </w:r>
            <w:r>
              <w:rPr>
                <w:rFonts w:ascii="Cambria" w:eastAsia="Calibri" w:hAnsi="Cambria" w:cs="Calibri"/>
                <w:lang w:val="hr-HR"/>
              </w:rPr>
              <w:t xml:space="preserve">, </w:t>
            </w:r>
            <w:r w:rsidRPr="00DF4CE5">
              <w:rPr>
                <w:rFonts w:ascii="Cambria" w:eastAsia="Calibri" w:hAnsi="Cambria" w:cs="Calibri"/>
                <w:lang w:val="hr-HR"/>
              </w:rPr>
              <w:t xml:space="preserve">a učitelj (sadašnji studenti) te sadržaje mora prenijeti učenicima, kolokvij će biti pozitivan ako kandidat ostvari najmanje 70%.   </w:t>
            </w:r>
          </w:p>
          <w:p w14:paraId="1ED998B8" w14:textId="77777777" w:rsidR="004131DB" w:rsidRPr="00DF4CE5" w:rsidRDefault="004131DB" w:rsidP="000F1A10">
            <w:pPr>
              <w:ind w:hanging="41"/>
              <w:contextualSpacing/>
              <w:jc w:val="both"/>
              <w:rPr>
                <w:rFonts w:ascii="Cambria" w:eastAsia="Calibri" w:hAnsi="Cambria" w:cs="Calibri"/>
                <w:lang w:val="hr-HR"/>
              </w:rPr>
            </w:pPr>
            <w:r w:rsidRPr="00DF4CE5">
              <w:rPr>
                <w:rFonts w:ascii="Cambria" w:eastAsia="Calibri" w:hAnsi="Cambria" w:cs="Calibri"/>
                <w:lang w:val="hr-HR"/>
              </w:rPr>
              <w:t xml:space="preserve">od 70%  do 80%   dobar (3) – 10%  </w:t>
            </w:r>
          </w:p>
          <w:p w14:paraId="1CC494BA" w14:textId="77777777" w:rsidR="004131DB" w:rsidRPr="00DF4CE5" w:rsidRDefault="004131DB" w:rsidP="000F1A10">
            <w:pPr>
              <w:ind w:hanging="41"/>
              <w:contextualSpacing/>
              <w:jc w:val="both"/>
              <w:rPr>
                <w:rFonts w:ascii="Cambria" w:eastAsia="Calibri" w:hAnsi="Cambria" w:cs="Calibri"/>
                <w:lang w:val="hr-HR"/>
              </w:rPr>
            </w:pPr>
            <w:r w:rsidRPr="00DF4CE5">
              <w:rPr>
                <w:rFonts w:ascii="Cambria" w:eastAsia="Calibri" w:hAnsi="Cambria" w:cs="Calibri"/>
                <w:lang w:val="hr-HR"/>
              </w:rPr>
              <w:t xml:space="preserve">od 81% do 90%  vrlo dobar (4) – 20%  </w:t>
            </w:r>
          </w:p>
          <w:p w14:paraId="3C8A5ACB" w14:textId="77777777" w:rsidR="004131DB" w:rsidRPr="00DF4CE5" w:rsidRDefault="004131DB" w:rsidP="000F1A10">
            <w:pPr>
              <w:ind w:hanging="41"/>
              <w:contextualSpacing/>
              <w:jc w:val="both"/>
              <w:rPr>
                <w:rFonts w:ascii="Cambria" w:eastAsia="Calibri" w:hAnsi="Cambria" w:cs="Calibri"/>
                <w:lang w:val="hr-HR"/>
              </w:rPr>
            </w:pPr>
            <w:r w:rsidRPr="00DF4CE5">
              <w:rPr>
                <w:rFonts w:ascii="Cambria" w:eastAsia="Calibri" w:hAnsi="Cambria" w:cs="Calibri"/>
                <w:lang w:val="hr-HR"/>
              </w:rPr>
              <w:t xml:space="preserve">više od 91%  odličan (5) – 30%  </w:t>
            </w:r>
          </w:p>
        </w:tc>
      </w:tr>
      <w:tr w:rsidR="004131DB" w:rsidRPr="002B1E8D" w14:paraId="33CE84DD" w14:textId="77777777" w:rsidTr="000F1A10">
        <w:tc>
          <w:tcPr>
            <w:tcW w:w="280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86B6FD4" w14:textId="77777777" w:rsidR="004131DB" w:rsidRPr="00DF4CE5" w:rsidRDefault="004131DB" w:rsidP="000F1A10">
            <w:pPr>
              <w:contextualSpacing/>
              <w:jc w:val="both"/>
              <w:rPr>
                <w:rFonts w:ascii="Cambria" w:eastAsia="Calibri" w:hAnsi="Cambria" w:cs="Calibri"/>
                <w:lang w:val="hr-HR"/>
              </w:rPr>
            </w:pPr>
            <w:r w:rsidRPr="00DF4CE5">
              <w:rPr>
                <w:rFonts w:ascii="Cambria" w:eastAsia="Calibri" w:hAnsi="Cambria" w:cs="Calibri"/>
                <w:lang w:val="hr-HR"/>
              </w:rPr>
              <w:lastRenderedPageBreak/>
              <w:t>Studentske obveze</w:t>
            </w:r>
          </w:p>
        </w:tc>
        <w:tc>
          <w:tcPr>
            <w:tcW w:w="752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CADF8FA" w14:textId="77777777" w:rsidR="004131DB" w:rsidRPr="00DF4CE5" w:rsidRDefault="004131DB" w:rsidP="000F1A10">
            <w:pPr>
              <w:contextualSpacing/>
              <w:jc w:val="both"/>
              <w:rPr>
                <w:rFonts w:ascii="Cambria" w:eastAsia="Calibri" w:hAnsi="Cambria" w:cs="Calibri"/>
                <w:lang w:val="hr-HR"/>
              </w:rPr>
            </w:pPr>
            <w:r w:rsidRPr="00DF4CE5">
              <w:rPr>
                <w:rFonts w:ascii="Cambria" w:eastAsia="Calibri" w:hAnsi="Cambria" w:cs="Calibri"/>
                <w:lang w:val="hr-HR"/>
              </w:rPr>
              <w:t>Da položi kolegij, student/studentica mora:</w:t>
            </w:r>
          </w:p>
          <w:p w14:paraId="093543F3" w14:textId="77777777" w:rsidR="004131DB" w:rsidRDefault="004131DB" w:rsidP="000F1A10">
            <w:pPr>
              <w:spacing w:after="0" w:line="240" w:lineRule="auto"/>
              <w:jc w:val="both"/>
              <w:rPr>
                <w:rFonts w:ascii="Cambria" w:eastAsia="Calibri" w:hAnsi="Cambria" w:cs="Calibri"/>
                <w:lang w:val="hr-HR"/>
              </w:rPr>
            </w:pPr>
            <w:r>
              <w:rPr>
                <w:rFonts w:ascii="Cambria" w:eastAsia="Calibri" w:hAnsi="Cambria" w:cs="Calibri"/>
                <w:lang w:val="hr-HR"/>
              </w:rPr>
              <w:t xml:space="preserve">1. </w:t>
            </w:r>
            <w:r w:rsidRPr="00DF4CE5">
              <w:rPr>
                <w:rFonts w:ascii="Cambria" w:eastAsia="Calibri" w:hAnsi="Cambria" w:cs="Calibri"/>
                <w:lang w:val="hr-HR"/>
              </w:rPr>
              <w:t>prisustvovati i aktivno sudjelovati na predavanjima i vježbama (mogući izostanak iznosi 30 % ukupne satnice)</w:t>
            </w:r>
          </w:p>
          <w:p w14:paraId="5B7C6C6F" w14:textId="77777777" w:rsidR="004131DB" w:rsidRDefault="004131DB" w:rsidP="000F1A10">
            <w:pPr>
              <w:spacing w:after="0" w:line="240" w:lineRule="auto"/>
              <w:jc w:val="both"/>
              <w:rPr>
                <w:rFonts w:ascii="Cambria" w:eastAsia="Calibri" w:hAnsi="Cambria" w:cs="Calibri"/>
                <w:lang w:val="hr-HR"/>
              </w:rPr>
            </w:pPr>
            <w:r>
              <w:rPr>
                <w:rFonts w:ascii="Cambria" w:eastAsia="Calibri" w:hAnsi="Cambria" w:cs="Calibri"/>
                <w:lang w:val="hr-HR"/>
              </w:rPr>
              <w:t>2. izraditi i predati seminarski rad</w:t>
            </w:r>
          </w:p>
          <w:p w14:paraId="4F58D024" w14:textId="77777777" w:rsidR="004131DB" w:rsidRDefault="004131DB" w:rsidP="000F1A10">
            <w:pPr>
              <w:spacing w:after="0" w:line="240" w:lineRule="auto"/>
              <w:jc w:val="both"/>
              <w:rPr>
                <w:rFonts w:ascii="Cambria" w:eastAsia="Calibri" w:hAnsi="Cambria" w:cs="Calibri"/>
                <w:lang w:val="hr-HR"/>
              </w:rPr>
            </w:pPr>
            <w:r>
              <w:rPr>
                <w:rFonts w:ascii="Cambria" w:eastAsia="Calibri" w:hAnsi="Cambria" w:cs="Calibri"/>
                <w:lang w:val="hr-HR"/>
              </w:rPr>
              <w:t>3. položiti kolokvij</w:t>
            </w:r>
          </w:p>
          <w:p w14:paraId="1D35CB8C" w14:textId="77777777" w:rsidR="004131DB" w:rsidRPr="00DF4CE5" w:rsidRDefault="004131DB" w:rsidP="000F1A10">
            <w:pPr>
              <w:spacing w:after="0" w:line="240" w:lineRule="auto"/>
              <w:jc w:val="both"/>
              <w:rPr>
                <w:rFonts w:ascii="Cambria" w:eastAsia="Calibri" w:hAnsi="Cambria" w:cs="Calibri"/>
                <w:lang w:val="hr-HR"/>
              </w:rPr>
            </w:pPr>
            <w:r>
              <w:rPr>
                <w:rFonts w:ascii="Cambria" w:eastAsia="Calibri" w:hAnsi="Cambria" w:cs="Calibri"/>
                <w:lang w:val="hr-HR"/>
              </w:rPr>
              <w:t xml:space="preserve">4. položiti završni ispit. </w:t>
            </w:r>
          </w:p>
        </w:tc>
      </w:tr>
      <w:tr w:rsidR="004131DB" w:rsidRPr="00D0399C" w14:paraId="501CEDF3" w14:textId="77777777" w:rsidTr="000F1A10">
        <w:tc>
          <w:tcPr>
            <w:tcW w:w="280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4CBE54F" w14:textId="77777777" w:rsidR="004131DB" w:rsidRPr="00DF4CE5" w:rsidRDefault="004131DB" w:rsidP="000F1A10">
            <w:pPr>
              <w:contextualSpacing/>
              <w:jc w:val="both"/>
              <w:rPr>
                <w:rFonts w:ascii="Cambria" w:eastAsia="Calibri" w:hAnsi="Cambria" w:cs="Calibri"/>
                <w:lang w:val="hr-HR"/>
              </w:rPr>
            </w:pPr>
            <w:proofErr w:type="spellStart"/>
            <w:r w:rsidRPr="00DF4CE5">
              <w:rPr>
                <w:rFonts w:ascii="Cambria" w:eastAsia="Calibri" w:hAnsi="Cambria" w:cs="Calibri"/>
              </w:rPr>
              <w:t>Rokovi</w:t>
            </w:r>
            <w:proofErr w:type="spellEnd"/>
            <w:r w:rsidRPr="00DF4CE5">
              <w:rPr>
                <w:rFonts w:ascii="Cambria" w:eastAsia="Calibri" w:hAnsi="Cambria" w:cs="Calibri"/>
              </w:rPr>
              <w:t xml:space="preserve"> </w:t>
            </w:r>
            <w:proofErr w:type="spellStart"/>
            <w:r w:rsidRPr="00DF4CE5">
              <w:rPr>
                <w:rFonts w:ascii="Cambria" w:eastAsia="Calibri" w:hAnsi="Cambria" w:cs="Calibri"/>
              </w:rPr>
              <w:t>ispita</w:t>
            </w:r>
            <w:proofErr w:type="spellEnd"/>
            <w:r w:rsidRPr="00DF4CE5">
              <w:rPr>
                <w:rFonts w:ascii="Cambria" w:eastAsia="Calibri" w:hAnsi="Cambria" w:cs="Calibri"/>
              </w:rPr>
              <w:t xml:space="preserve"> </w:t>
            </w:r>
            <w:proofErr w:type="spellStart"/>
            <w:r w:rsidRPr="00DF4CE5">
              <w:rPr>
                <w:rFonts w:ascii="Cambria" w:eastAsia="Calibri" w:hAnsi="Cambria" w:cs="Calibri"/>
              </w:rPr>
              <w:t>i</w:t>
            </w:r>
            <w:proofErr w:type="spellEnd"/>
            <w:r w:rsidRPr="00DF4CE5">
              <w:rPr>
                <w:rFonts w:ascii="Cambria" w:eastAsia="Calibri" w:hAnsi="Cambria" w:cs="Calibri"/>
              </w:rPr>
              <w:t xml:space="preserve"> </w:t>
            </w:r>
            <w:proofErr w:type="spellStart"/>
            <w:r w:rsidRPr="00DF4CE5">
              <w:rPr>
                <w:rFonts w:ascii="Cambria" w:eastAsia="Calibri" w:hAnsi="Cambria" w:cs="Calibri"/>
              </w:rPr>
              <w:t>kolokvija</w:t>
            </w:r>
            <w:proofErr w:type="spellEnd"/>
          </w:p>
        </w:tc>
        <w:tc>
          <w:tcPr>
            <w:tcW w:w="752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D28C510" w14:textId="77777777" w:rsidR="004131DB" w:rsidRPr="00DF4CE5" w:rsidRDefault="004131DB" w:rsidP="000F1A10">
            <w:pPr>
              <w:contextualSpacing/>
              <w:jc w:val="both"/>
              <w:rPr>
                <w:rFonts w:ascii="Cambria" w:eastAsia="Calibri" w:hAnsi="Cambria" w:cs="Calibri"/>
                <w:lang w:val="hr-HR"/>
              </w:rPr>
            </w:pPr>
            <w:r w:rsidRPr="00DF4CE5">
              <w:rPr>
                <w:rFonts w:ascii="Cambria" w:eastAsia="Calibri" w:hAnsi="Cambria" w:cs="Calibri"/>
                <w:lang w:val="hr-HR"/>
              </w:rPr>
              <w:t xml:space="preserve">Oglašeni su na mrežnim stranicama Fakulteta te na </w:t>
            </w:r>
            <w:proofErr w:type="spellStart"/>
            <w:r w:rsidRPr="00DF4CE5">
              <w:rPr>
                <w:rFonts w:ascii="Cambria" w:eastAsia="Calibri" w:hAnsi="Cambria" w:cs="Calibri"/>
                <w:lang w:val="hr-HR"/>
              </w:rPr>
              <w:t>Studomatu</w:t>
            </w:r>
            <w:proofErr w:type="spellEnd"/>
            <w:r w:rsidRPr="00DF4CE5">
              <w:rPr>
                <w:rFonts w:ascii="Cambria" w:eastAsia="Calibri" w:hAnsi="Cambria" w:cs="Calibri"/>
                <w:lang w:val="hr-HR"/>
              </w:rPr>
              <w:t>.</w:t>
            </w:r>
          </w:p>
        </w:tc>
      </w:tr>
      <w:tr w:rsidR="004131DB" w:rsidRPr="00884B46" w14:paraId="1D8019EE" w14:textId="77777777" w:rsidTr="000F1A10">
        <w:tc>
          <w:tcPr>
            <w:tcW w:w="280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0E155ED" w14:textId="77777777" w:rsidR="004131DB" w:rsidRPr="00DF4CE5" w:rsidRDefault="004131DB" w:rsidP="000F1A10">
            <w:pPr>
              <w:contextualSpacing/>
              <w:jc w:val="both"/>
              <w:rPr>
                <w:rFonts w:ascii="Cambria" w:eastAsia="Calibri" w:hAnsi="Cambria" w:cs="Calibri"/>
                <w:lang w:val="hr-HR"/>
              </w:rPr>
            </w:pPr>
            <w:r w:rsidRPr="00DF4CE5">
              <w:rPr>
                <w:rFonts w:ascii="Cambria" w:eastAsia="Calibri" w:hAnsi="Cambria" w:cs="Calibri"/>
                <w:lang w:val="hr-HR"/>
              </w:rPr>
              <w:t>Ostale važne činjenice vezane uz kolegij</w:t>
            </w:r>
          </w:p>
        </w:tc>
        <w:tc>
          <w:tcPr>
            <w:tcW w:w="752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FAA25FC" w14:textId="77777777" w:rsidR="004131DB" w:rsidRPr="00DF4CE5" w:rsidRDefault="004131DB" w:rsidP="000F1A10">
            <w:pPr>
              <w:contextualSpacing/>
              <w:jc w:val="both"/>
              <w:rPr>
                <w:rFonts w:ascii="Cambria" w:eastAsia="Calibri" w:hAnsi="Cambria" w:cs="Calibri"/>
                <w:lang w:val="hr-HR"/>
              </w:rPr>
            </w:pPr>
            <w:r w:rsidRPr="00DF4CE5">
              <w:rPr>
                <w:rFonts w:ascii="Cambria" w:eastAsia="Calibri" w:hAnsi="Cambria" w:cs="Calibri"/>
                <w:lang w:val="hr-HR"/>
              </w:rPr>
              <w:t xml:space="preserve">U slučaju održavanja nastave na daljinu, moguće je odstupanje u: mjestu izvođenja kolegija, provedbi aktivnosti, metoda tumačenja i poučavanja i načinima vrednovanja, studentskim obvezama i dostupnoj literaturi. O tome će nositelj kolegija </w:t>
            </w:r>
            <w:r>
              <w:rPr>
                <w:rFonts w:ascii="Cambria" w:eastAsia="Calibri" w:hAnsi="Cambria" w:cs="Calibri"/>
                <w:lang w:val="hr-HR"/>
              </w:rPr>
              <w:t xml:space="preserve">i suradnica </w:t>
            </w:r>
            <w:r w:rsidRPr="00DF4CE5">
              <w:rPr>
                <w:rFonts w:ascii="Cambria" w:eastAsia="Calibri" w:hAnsi="Cambria" w:cs="Calibri"/>
                <w:lang w:val="hr-HR"/>
              </w:rPr>
              <w:t>obavijestiti studente i studentice kad se nastava na daljinu počne održavati. Ishodi učenja ostaju nepromijenjeni.</w:t>
            </w:r>
          </w:p>
        </w:tc>
      </w:tr>
      <w:tr w:rsidR="004131DB" w:rsidRPr="00D0399C" w14:paraId="47806FFF" w14:textId="77777777" w:rsidTr="000F1A10">
        <w:tc>
          <w:tcPr>
            <w:tcW w:w="280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66F752F" w14:textId="77777777" w:rsidR="004131DB" w:rsidRPr="00DF4CE5" w:rsidRDefault="004131DB" w:rsidP="000F1A10">
            <w:pPr>
              <w:contextualSpacing/>
              <w:jc w:val="both"/>
              <w:rPr>
                <w:rFonts w:ascii="Cambria" w:eastAsia="Calibri" w:hAnsi="Cambria" w:cs="Calibri"/>
                <w:lang w:val="hr-HR"/>
              </w:rPr>
            </w:pPr>
            <w:r>
              <w:rPr>
                <w:rFonts w:ascii="Cambria" w:eastAsia="Calibri" w:hAnsi="Cambria" w:cs="Calibri"/>
                <w:lang w:val="hr-HR"/>
              </w:rPr>
              <w:t>Literatura</w:t>
            </w:r>
          </w:p>
        </w:tc>
        <w:tc>
          <w:tcPr>
            <w:tcW w:w="752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CEF6EFC" w14:textId="77777777" w:rsidR="004131DB" w:rsidRPr="00884B46" w:rsidRDefault="004131DB" w:rsidP="000F1A10">
            <w:pPr>
              <w:contextualSpacing/>
              <w:jc w:val="both"/>
              <w:rPr>
                <w:rFonts w:ascii="Cambria" w:eastAsia="Calibri" w:hAnsi="Cambria" w:cs="Calibri"/>
                <w:lang w:val="hr-HR"/>
              </w:rPr>
            </w:pPr>
            <w:r w:rsidRPr="00884B46">
              <w:rPr>
                <w:rFonts w:ascii="Cambria" w:eastAsia="Calibri" w:hAnsi="Cambria" w:cs="Calibri"/>
                <w:lang w:val="hr-HR"/>
              </w:rPr>
              <w:t xml:space="preserve">Obvezna: </w:t>
            </w:r>
          </w:p>
          <w:p w14:paraId="58816408" w14:textId="77777777" w:rsidR="004131DB" w:rsidRPr="00884B46" w:rsidRDefault="004131DB" w:rsidP="000F1A10">
            <w:pPr>
              <w:contextualSpacing/>
              <w:jc w:val="both"/>
              <w:rPr>
                <w:rFonts w:ascii="Cambria" w:eastAsia="Calibri" w:hAnsi="Cambria" w:cs="Calibri"/>
                <w:lang w:val="hr-HR"/>
              </w:rPr>
            </w:pPr>
            <w:r w:rsidRPr="00884B46">
              <w:rPr>
                <w:rFonts w:ascii="Cambria" w:eastAsia="Calibri" w:hAnsi="Cambria" w:cs="Calibri"/>
                <w:lang w:val="hr-HR"/>
              </w:rPr>
              <w:t xml:space="preserve">1. Bežen, A., (2008). Metodika - znanost o poučavanju nastavnog predmeta, Učiteljski fakultet - Profil, Zagreb </w:t>
            </w:r>
          </w:p>
          <w:p w14:paraId="76E7605E" w14:textId="77777777" w:rsidR="004131DB" w:rsidRPr="00884B46" w:rsidRDefault="004131DB" w:rsidP="000F1A10">
            <w:pPr>
              <w:contextualSpacing/>
              <w:jc w:val="both"/>
              <w:rPr>
                <w:rFonts w:ascii="Cambria" w:eastAsia="Calibri" w:hAnsi="Cambria" w:cs="Calibri"/>
                <w:lang w:val="hr-HR"/>
              </w:rPr>
            </w:pPr>
            <w:r w:rsidRPr="00884B46">
              <w:rPr>
                <w:rFonts w:ascii="Cambria" w:eastAsia="Calibri" w:hAnsi="Cambria" w:cs="Calibri"/>
                <w:lang w:val="hr-HR"/>
              </w:rPr>
              <w:t>2. Rosandić, D., (2005). Metodika književnog odgoja i obrazovanja, Zagreb, Školska knjiga</w:t>
            </w:r>
          </w:p>
          <w:p w14:paraId="2568F1B5" w14:textId="77777777" w:rsidR="004131DB" w:rsidRPr="00884B46" w:rsidRDefault="004131DB" w:rsidP="000F1A10">
            <w:pPr>
              <w:contextualSpacing/>
              <w:jc w:val="both"/>
              <w:rPr>
                <w:rFonts w:ascii="Cambria" w:eastAsia="Calibri" w:hAnsi="Cambria" w:cs="Calibri"/>
                <w:lang w:val="hr-HR"/>
              </w:rPr>
            </w:pPr>
            <w:r w:rsidRPr="00884B46">
              <w:rPr>
                <w:rFonts w:ascii="Cambria" w:eastAsia="Calibri" w:hAnsi="Cambria" w:cs="Calibri"/>
                <w:lang w:val="hr-HR"/>
              </w:rPr>
              <w:t>3. Rosandić, D., (1993). Novi metodički obzori: Prinosi metodici hrvatskog jezika i književnosti, Zagreb, Školske novine</w:t>
            </w:r>
          </w:p>
          <w:p w14:paraId="460D7476" w14:textId="77777777" w:rsidR="004131DB" w:rsidRPr="00884B46" w:rsidRDefault="004131DB" w:rsidP="000F1A10">
            <w:pPr>
              <w:contextualSpacing/>
              <w:jc w:val="both"/>
              <w:rPr>
                <w:rFonts w:ascii="Cambria" w:eastAsia="Calibri" w:hAnsi="Cambria" w:cs="Calibri"/>
                <w:lang w:val="hr-HR"/>
              </w:rPr>
            </w:pPr>
            <w:r w:rsidRPr="00884B46">
              <w:rPr>
                <w:rFonts w:ascii="Cambria" w:eastAsia="Calibri" w:hAnsi="Cambria" w:cs="Calibri"/>
                <w:lang w:val="hr-HR"/>
              </w:rPr>
              <w:t>5.  Težak, S., (1996). Teorija i praksa nastave hrvatskoga jezika 1 i 2, Školska knjiga, Zagreb</w:t>
            </w:r>
          </w:p>
          <w:p w14:paraId="0D39A631" w14:textId="77777777" w:rsidR="004131DB" w:rsidRPr="00884B46" w:rsidRDefault="004131DB" w:rsidP="000F1A10">
            <w:pPr>
              <w:contextualSpacing/>
              <w:jc w:val="both"/>
              <w:rPr>
                <w:rFonts w:ascii="Cambria" w:eastAsia="Calibri" w:hAnsi="Cambria" w:cs="Calibri"/>
                <w:lang w:val="hr-HR"/>
              </w:rPr>
            </w:pPr>
            <w:r w:rsidRPr="00884B46">
              <w:rPr>
                <w:rFonts w:ascii="Cambria" w:eastAsia="Calibri" w:hAnsi="Cambria" w:cs="Calibri"/>
                <w:lang w:val="hr-HR"/>
              </w:rPr>
              <w:t>6. Udžbenička literatura i nastavni programi za više razrede osnovne škole i srednju školu. Popis na:  http://public.mzos.hr/Default.aspx?sec=3074 (popis odobrenih udžbenika za OŠ i SŠ)</w:t>
            </w:r>
          </w:p>
          <w:p w14:paraId="77A958AD" w14:textId="77777777" w:rsidR="004131DB" w:rsidRPr="00884B46" w:rsidRDefault="004131DB" w:rsidP="000F1A10">
            <w:pPr>
              <w:contextualSpacing/>
              <w:jc w:val="both"/>
              <w:rPr>
                <w:rFonts w:ascii="Cambria" w:eastAsia="Calibri" w:hAnsi="Cambria" w:cs="Calibri"/>
                <w:lang w:val="hr-HR"/>
              </w:rPr>
            </w:pPr>
            <w:r w:rsidRPr="00884B46">
              <w:rPr>
                <w:rFonts w:ascii="Cambria" w:eastAsia="Calibri" w:hAnsi="Cambria" w:cs="Calibri"/>
                <w:lang w:val="hr-HR"/>
              </w:rPr>
              <w:t>7. Časopisi: Metodički obzori, Metodički ogledi, Život i škola</w:t>
            </w:r>
          </w:p>
          <w:p w14:paraId="36BBCB80" w14:textId="77777777" w:rsidR="004131DB" w:rsidRPr="00884B46" w:rsidRDefault="004131DB" w:rsidP="000F1A10">
            <w:pPr>
              <w:contextualSpacing/>
              <w:jc w:val="both"/>
              <w:rPr>
                <w:rFonts w:ascii="Cambria" w:eastAsia="Calibri" w:hAnsi="Cambria" w:cs="Calibri"/>
                <w:lang w:val="hr-HR"/>
              </w:rPr>
            </w:pPr>
            <w:r w:rsidRPr="00884B46">
              <w:rPr>
                <w:rFonts w:ascii="Cambria" w:eastAsia="Calibri" w:hAnsi="Cambria" w:cs="Calibri"/>
                <w:lang w:val="hr-HR"/>
              </w:rPr>
              <w:t>Izborna:</w:t>
            </w:r>
          </w:p>
          <w:p w14:paraId="5D7AC1A5" w14:textId="77777777" w:rsidR="004131DB" w:rsidRPr="00884B46" w:rsidRDefault="004131DB" w:rsidP="000F1A10">
            <w:pPr>
              <w:contextualSpacing/>
              <w:jc w:val="both"/>
              <w:rPr>
                <w:rFonts w:ascii="Cambria" w:eastAsia="Calibri" w:hAnsi="Cambria" w:cs="Calibri"/>
                <w:lang w:val="hr-HR"/>
              </w:rPr>
            </w:pPr>
            <w:r w:rsidRPr="00884B46">
              <w:rPr>
                <w:rFonts w:ascii="Cambria" w:eastAsia="Calibri" w:hAnsi="Cambria" w:cs="Calibri"/>
                <w:lang w:val="hr-HR"/>
              </w:rPr>
              <w:t xml:space="preserve">1. Biblioteka Ključ za književno djelo, Metodičke upute, Školska knjiga, Zagreb </w:t>
            </w:r>
          </w:p>
          <w:p w14:paraId="4963B01B" w14:textId="77777777" w:rsidR="004131DB" w:rsidRPr="00884B46" w:rsidRDefault="004131DB" w:rsidP="000F1A10">
            <w:pPr>
              <w:contextualSpacing/>
              <w:jc w:val="both"/>
              <w:rPr>
                <w:rFonts w:ascii="Cambria" w:eastAsia="Calibri" w:hAnsi="Cambria" w:cs="Calibri"/>
                <w:lang w:val="hr-HR"/>
              </w:rPr>
            </w:pPr>
            <w:r w:rsidRPr="00884B46">
              <w:rPr>
                <w:rFonts w:ascii="Cambria" w:eastAsia="Calibri" w:hAnsi="Cambria" w:cs="Calibri"/>
                <w:lang w:val="hr-HR"/>
              </w:rPr>
              <w:t xml:space="preserve">2. </w:t>
            </w:r>
            <w:proofErr w:type="spellStart"/>
            <w:r w:rsidRPr="00884B46">
              <w:rPr>
                <w:rFonts w:ascii="Cambria" w:eastAsia="Calibri" w:hAnsi="Cambria" w:cs="Calibri"/>
                <w:lang w:val="hr-HR"/>
              </w:rPr>
              <w:t>Benjak</w:t>
            </w:r>
            <w:proofErr w:type="spellEnd"/>
            <w:r w:rsidRPr="00884B46">
              <w:rPr>
                <w:rFonts w:ascii="Cambria" w:eastAsia="Calibri" w:hAnsi="Cambria" w:cs="Calibri"/>
                <w:lang w:val="hr-HR"/>
              </w:rPr>
              <w:t>, M., (2001). Književnost(i) u kontaktu, Izdavački centar Rijeka, Rijeka</w:t>
            </w:r>
          </w:p>
          <w:p w14:paraId="1067DB7F" w14:textId="77777777" w:rsidR="004131DB" w:rsidRPr="00884B46" w:rsidRDefault="004131DB" w:rsidP="000F1A10">
            <w:pPr>
              <w:contextualSpacing/>
              <w:jc w:val="both"/>
              <w:rPr>
                <w:rFonts w:ascii="Cambria" w:eastAsia="Calibri" w:hAnsi="Cambria" w:cs="Calibri"/>
                <w:lang w:val="hr-HR"/>
              </w:rPr>
            </w:pPr>
            <w:r w:rsidRPr="00884B46">
              <w:rPr>
                <w:rFonts w:ascii="Cambria" w:eastAsia="Calibri" w:hAnsi="Cambria" w:cs="Calibri"/>
                <w:lang w:val="hr-HR"/>
              </w:rPr>
              <w:t xml:space="preserve">3. </w:t>
            </w:r>
            <w:proofErr w:type="spellStart"/>
            <w:r w:rsidRPr="00884B46">
              <w:rPr>
                <w:rFonts w:ascii="Cambria" w:eastAsia="Calibri" w:hAnsi="Cambria" w:cs="Calibri"/>
                <w:lang w:val="hr-HR"/>
              </w:rPr>
              <w:t>Benjak</w:t>
            </w:r>
            <w:proofErr w:type="spellEnd"/>
            <w:r w:rsidRPr="00884B46">
              <w:rPr>
                <w:rFonts w:ascii="Cambria" w:eastAsia="Calibri" w:hAnsi="Cambria" w:cs="Calibri"/>
                <w:lang w:val="hr-HR"/>
              </w:rPr>
              <w:t>, M., (2005). Požgaj Hadži, V., Bez predrasuda i stereotipa, Izdavački centar Rijeka</w:t>
            </w:r>
          </w:p>
          <w:p w14:paraId="7B5C48E3" w14:textId="77777777" w:rsidR="004131DB" w:rsidRPr="00884B46" w:rsidRDefault="004131DB" w:rsidP="000F1A10">
            <w:pPr>
              <w:contextualSpacing/>
              <w:jc w:val="both"/>
              <w:rPr>
                <w:rFonts w:ascii="Cambria" w:eastAsia="Calibri" w:hAnsi="Cambria" w:cs="Calibri"/>
                <w:lang w:val="hr-HR"/>
              </w:rPr>
            </w:pPr>
            <w:r w:rsidRPr="00884B46">
              <w:rPr>
                <w:rFonts w:ascii="Cambria" w:eastAsia="Calibri" w:hAnsi="Cambria" w:cs="Calibri"/>
                <w:lang w:val="hr-HR"/>
              </w:rPr>
              <w:t xml:space="preserve">4. </w:t>
            </w:r>
            <w:proofErr w:type="spellStart"/>
            <w:r w:rsidRPr="00884B46">
              <w:rPr>
                <w:rFonts w:ascii="Cambria" w:eastAsia="Calibri" w:hAnsi="Cambria" w:cs="Calibri"/>
                <w:lang w:val="hr-HR"/>
              </w:rPr>
              <w:t>Benjak</w:t>
            </w:r>
            <w:proofErr w:type="spellEnd"/>
            <w:r w:rsidRPr="00884B46">
              <w:rPr>
                <w:rFonts w:ascii="Cambria" w:eastAsia="Calibri" w:hAnsi="Cambria" w:cs="Calibri"/>
                <w:lang w:val="hr-HR"/>
              </w:rPr>
              <w:t xml:space="preserve">, M., (2006). </w:t>
            </w:r>
            <w:proofErr w:type="spellStart"/>
            <w:r w:rsidRPr="00884B46">
              <w:rPr>
                <w:rFonts w:ascii="Cambria" w:eastAsia="Calibri" w:hAnsi="Cambria" w:cs="Calibri"/>
                <w:lang w:val="hr-HR"/>
              </w:rPr>
              <w:t>Stendhalovi</w:t>
            </w:r>
            <w:proofErr w:type="spellEnd"/>
            <w:r w:rsidRPr="00884B46">
              <w:rPr>
                <w:rFonts w:ascii="Cambria" w:eastAsia="Calibri" w:hAnsi="Cambria" w:cs="Calibri"/>
                <w:lang w:val="hr-HR"/>
              </w:rPr>
              <w:t xml:space="preserve"> i </w:t>
            </w:r>
            <w:proofErr w:type="spellStart"/>
            <w:r w:rsidRPr="00884B46">
              <w:rPr>
                <w:rFonts w:ascii="Cambria" w:eastAsia="Calibri" w:hAnsi="Cambria" w:cs="Calibri"/>
                <w:lang w:val="hr-HR"/>
              </w:rPr>
              <w:t>Flaubertovi</w:t>
            </w:r>
            <w:proofErr w:type="spellEnd"/>
            <w:r w:rsidRPr="00884B46">
              <w:rPr>
                <w:rFonts w:ascii="Cambria" w:eastAsia="Calibri" w:hAnsi="Cambria" w:cs="Calibri"/>
                <w:lang w:val="hr-HR"/>
              </w:rPr>
              <w:t xml:space="preserve"> romani u metodičkom obzoru, Sveučilište u Rijeci, Pula</w:t>
            </w:r>
          </w:p>
          <w:p w14:paraId="1E651DAF" w14:textId="77777777" w:rsidR="004131DB" w:rsidRPr="00884B46" w:rsidRDefault="004131DB" w:rsidP="000F1A10">
            <w:pPr>
              <w:contextualSpacing/>
              <w:jc w:val="both"/>
              <w:rPr>
                <w:rFonts w:ascii="Cambria" w:eastAsia="Calibri" w:hAnsi="Cambria" w:cs="Calibri"/>
                <w:lang w:val="hr-HR"/>
              </w:rPr>
            </w:pPr>
            <w:r w:rsidRPr="00884B46">
              <w:rPr>
                <w:rFonts w:ascii="Cambria" w:eastAsia="Calibri" w:hAnsi="Cambria" w:cs="Calibri"/>
                <w:lang w:val="hr-HR"/>
              </w:rPr>
              <w:lastRenderedPageBreak/>
              <w:t>5. Diklić - Rosandić - Šabić, (1990). Odzivi i dozivi lirske pjesme, PKZ, Zagreb.</w:t>
            </w:r>
          </w:p>
          <w:p w14:paraId="283087BC" w14:textId="77777777" w:rsidR="004131DB" w:rsidRPr="00884B46" w:rsidRDefault="004131DB" w:rsidP="000F1A10">
            <w:pPr>
              <w:contextualSpacing/>
              <w:jc w:val="both"/>
              <w:rPr>
                <w:rFonts w:ascii="Cambria" w:eastAsia="Calibri" w:hAnsi="Cambria" w:cs="Calibri"/>
                <w:lang w:val="hr-HR"/>
              </w:rPr>
            </w:pPr>
            <w:r w:rsidRPr="00884B46">
              <w:rPr>
                <w:rFonts w:ascii="Cambria" w:eastAsia="Calibri" w:hAnsi="Cambria" w:cs="Calibri"/>
                <w:lang w:val="hr-HR"/>
              </w:rPr>
              <w:t xml:space="preserve">6. Diklić, Z., (1989). Lik u književnoj, scenskoj i filmskoj umjetnosti, Školska knjiga, Zagreb, </w:t>
            </w:r>
          </w:p>
          <w:p w14:paraId="68D403DF" w14:textId="77777777" w:rsidR="004131DB" w:rsidRPr="00884B46" w:rsidRDefault="004131DB" w:rsidP="000F1A10">
            <w:pPr>
              <w:contextualSpacing/>
              <w:jc w:val="both"/>
              <w:rPr>
                <w:rFonts w:ascii="Cambria" w:eastAsia="Calibri" w:hAnsi="Cambria" w:cs="Calibri"/>
                <w:lang w:val="hr-HR"/>
              </w:rPr>
            </w:pPr>
            <w:r w:rsidRPr="00884B46">
              <w:rPr>
                <w:rFonts w:ascii="Cambria" w:eastAsia="Calibri" w:hAnsi="Cambria" w:cs="Calibri"/>
                <w:lang w:val="hr-HR"/>
              </w:rPr>
              <w:t xml:space="preserve">7. </w:t>
            </w:r>
            <w:proofErr w:type="spellStart"/>
            <w:r w:rsidRPr="00884B46">
              <w:rPr>
                <w:rFonts w:ascii="Cambria" w:eastAsia="Calibri" w:hAnsi="Cambria" w:cs="Calibri"/>
                <w:lang w:val="hr-HR"/>
              </w:rPr>
              <w:t>Kajić</w:t>
            </w:r>
            <w:proofErr w:type="spellEnd"/>
            <w:r w:rsidRPr="00884B46">
              <w:rPr>
                <w:rFonts w:ascii="Cambria" w:eastAsia="Calibri" w:hAnsi="Cambria" w:cs="Calibri"/>
                <w:lang w:val="hr-HR"/>
              </w:rPr>
              <w:t>, R., (1981). Roman u sustavu problemske nastave, Školska knjiga, Zagreb</w:t>
            </w:r>
          </w:p>
          <w:p w14:paraId="28A57447" w14:textId="77777777" w:rsidR="004131DB" w:rsidRPr="00884B46" w:rsidRDefault="004131DB" w:rsidP="000F1A10">
            <w:pPr>
              <w:contextualSpacing/>
              <w:jc w:val="both"/>
              <w:rPr>
                <w:rFonts w:ascii="Cambria" w:eastAsia="Calibri" w:hAnsi="Cambria" w:cs="Calibri"/>
                <w:lang w:val="hr-HR"/>
              </w:rPr>
            </w:pPr>
            <w:r w:rsidRPr="00884B46">
              <w:rPr>
                <w:rFonts w:ascii="Cambria" w:eastAsia="Calibri" w:hAnsi="Cambria" w:cs="Calibri"/>
                <w:lang w:val="hr-HR"/>
              </w:rPr>
              <w:t xml:space="preserve">8. </w:t>
            </w:r>
            <w:proofErr w:type="spellStart"/>
            <w:r w:rsidRPr="00884B46">
              <w:rPr>
                <w:rFonts w:ascii="Cambria" w:eastAsia="Calibri" w:hAnsi="Cambria" w:cs="Calibri"/>
                <w:lang w:val="hr-HR"/>
              </w:rPr>
              <w:t>Kermek-Sredanović</w:t>
            </w:r>
            <w:proofErr w:type="spellEnd"/>
            <w:r w:rsidRPr="00884B46">
              <w:rPr>
                <w:rFonts w:ascii="Cambria" w:eastAsia="Calibri" w:hAnsi="Cambria" w:cs="Calibri"/>
                <w:lang w:val="hr-HR"/>
              </w:rPr>
              <w:t>, M., (1991). Književni interesi djece i omladine, Zagreb, Školska knjiga</w:t>
            </w:r>
          </w:p>
          <w:p w14:paraId="6E6AA1B4" w14:textId="77777777" w:rsidR="004131DB" w:rsidRPr="00884B46" w:rsidRDefault="004131DB" w:rsidP="000F1A10">
            <w:pPr>
              <w:contextualSpacing/>
              <w:jc w:val="both"/>
              <w:rPr>
                <w:rFonts w:ascii="Cambria" w:eastAsia="Calibri" w:hAnsi="Cambria" w:cs="Calibri"/>
                <w:lang w:val="hr-HR"/>
              </w:rPr>
            </w:pPr>
            <w:r w:rsidRPr="00884B46">
              <w:rPr>
                <w:rFonts w:ascii="Cambria" w:eastAsia="Calibri" w:hAnsi="Cambria" w:cs="Calibri"/>
                <w:lang w:val="hr-HR"/>
              </w:rPr>
              <w:t>9. Kovačević, M., (1998). Književno-metodička motrišta, Zagreb, Školske novine</w:t>
            </w:r>
          </w:p>
          <w:p w14:paraId="0BCA7566" w14:textId="77777777" w:rsidR="004131DB" w:rsidRPr="00884B46" w:rsidRDefault="004131DB" w:rsidP="000F1A10">
            <w:pPr>
              <w:contextualSpacing/>
              <w:jc w:val="both"/>
              <w:rPr>
                <w:rFonts w:ascii="Cambria" w:eastAsia="Calibri" w:hAnsi="Cambria" w:cs="Calibri"/>
                <w:lang w:val="hr-HR"/>
              </w:rPr>
            </w:pPr>
            <w:r w:rsidRPr="00884B46">
              <w:rPr>
                <w:rFonts w:ascii="Cambria" w:eastAsia="Calibri" w:hAnsi="Cambria" w:cs="Calibri"/>
                <w:lang w:val="hr-HR"/>
              </w:rPr>
              <w:t xml:space="preserve">10. Lagumdžija, N., (2000). Basna u osnovnoškolskoj nastavi književnosti, Hena </w:t>
            </w:r>
            <w:proofErr w:type="spellStart"/>
            <w:r w:rsidRPr="00884B46">
              <w:rPr>
                <w:rFonts w:ascii="Cambria" w:eastAsia="Calibri" w:hAnsi="Cambria" w:cs="Calibri"/>
                <w:lang w:val="hr-HR"/>
              </w:rPr>
              <w:t>Com</w:t>
            </w:r>
            <w:proofErr w:type="spellEnd"/>
            <w:r w:rsidRPr="00884B46">
              <w:rPr>
                <w:rFonts w:ascii="Cambria" w:eastAsia="Calibri" w:hAnsi="Cambria" w:cs="Calibri"/>
                <w:lang w:val="hr-HR"/>
              </w:rPr>
              <w:t>, Zagreb</w:t>
            </w:r>
          </w:p>
          <w:p w14:paraId="71067908" w14:textId="77777777" w:rsidR="004131DB" w:rsidRPr="00884B46" w:rsidRDefault="004131DB" w:rsidP="000F1A10">
            <w:pPr>
              <w:contextualSpacing/>
              <w:jc w:val="both"/>
              <w:rPr>
                <w:rFonts w:ascii="Cambria" w:eastAsia="Calibri" w:hAnsi="Cambria" w:cs="Calibri"/>
                <w:lang w:val="hr-HR"/>
              </w:rPr>
            </w:pPr>
            <w:r w:rsidRPr="00884B46">
              <w:rPr>
                <w:rFonts w:ascii="Cambria" w:eastAsia="Calibri" w:hAnsi="Cambria" w:cs="Calibri"/>
                <w:lang w:val="hr-HR"/>
              </w:rPr>
              <w:t>11. Pavletić, V., (1995). Kako razumjeti poeziju, Školska knjiga, Zagreb, 1995.</w:t>
            </w:r>
          </w:p>
          <w:p w14:paraId="205E23D7" w14:textId="77777777" w:rsidR="004131DB" w:rsidRPr="00884B46" w:rsidRDefault="004131DB" w:rsidP="000F1A10">
            <w:pPr>
              <w:contextualSpacing/>
              <w:jc w:val="both"/>
              <w:rPr>
                <w:rFonts w:ascii="Cambria" w:eastAsia="Calibri" w:hAnsi="Cambria" w:cs="Calibri"/>
                <w:lang w:val="hr-HR"/>
              </w:rPr>
            </w:pPr>
            <w:r w:rsidRPr="00884B46">
              <w:rPr>
                <w:rFonts w:ascii="Cambria" w:eastAsia="Calibri" w:hAnsi="Cambria" w:cs="Calibri"/>
                <w:lang w:val="hr-HR"/>
              </w:rPr>
              <w:t xml:space="preserve">12. </w:t>
            </w:r>
            <w:proofErr w:type="spellStart"/>
            <w:r w:rsidRPr="00884B46">
              <w:rPr>
                <w:rFonts w:ascii="Cambria" w:eastAsia="Calibri" w:hAnsi="Cambria" w:cs="Calibri"/>
                <w:lang w:val="hr-HR"/>
              </w:rPr>
              <w:t>Perotti</w:t>
            </w:r>
            <w:proofErr w:type="spellEnd"/>
            <w:r w:rsidRPr="00884B46">
              <w:rPr>
                <w:rFonts w:ascii="Cambria" w:eastAsia="Calibri" w:hAnsi="Cambria" w:cs="Calibri"/>
                <w:lang w:val="hr-HR"/>
              </w:rPr>
              <w:t xml:space="preserve">, A., (1995). Pledoaje za interkulturalni odgoj i </w:t>
            </w:r>
            <w:proofErr w:type="spellStart"/>
            <w:r w:rsidRPr="00884B46">
              <w:rPr>
                <w:rFonts w:ascii="Cambria" w:eastAsia="Calibri" w:hAnsi="Cambria" w:cs="Calibri"/>
                <w:lang w:val="hr-HR"/>
              </w:rPr>
              <w:t>obrazovanje,Educa</w:t>
            </w:r>
            <w:proofErr w:type="spellEnd"/>
            <w:r w:rsidRPr="00884B46">
              <w:rPr>
                <w:rFonts w:ascii="Cambria" w:eastAsia="Calibri" w:hAnsi="Cambria" w:cs="Calibri"/>
                <w:lang w:val="hr-HR"/>
              </w:rPr>
              <w:t>, Zagreb</w:t>
            </w:r>
          </w:p>
          <w:p w14:paraId="5691B35D" w14:textId="77777777" w:rsidR="004131DB" w:rsidRPr="00884B46" w:rsidRDefault="004131DB" w:rsidP="000F1A10">
            <w:pPr>
              <w:contextualSpacing/>
              <w:jc w:val="both"/>
              <w:rPr>
                <w:rFonts w:ascii="Cambria" w:eastAsia="Calibri" w:hAnsi="Cambria" w:cs="Calibri"/>
                <w:lang w:val="hr-HR"/>
              </w:rPr>
            </w:pPr>
            <w:r w:rsidRPr="00884B46">
              <w:rPr>
                <w:rFonts w:ascii="Cambria" w:eastAsia="Calibri" w:hAnsi="Cambria" w:cs="Calibri"/>
                <w:lang w:val="hr-HR"/>
              </w:rPr>
              <w:t xml:space="preserve">13. Rosandić, D., (2003). </w:t>
            </w:r>
            <w:proofErr w:type="spellStart"/>
            <w:r w:rsidRPr="00884B46">
              <w:rPr>
                <w:rFonts w:ascii="Cambria" w:eastAsia="Calibri" w:hAnsi="Cambria" w:cs="Calibri"/>
                <w:lang w:val="hr-HR"/>
              </w:rPr>
              <w:t>Kurikulski</w:t>
            </w:r>
            <w:proofErr w:type="spellEnd"/>
            <w:r w:rsidRPr="00884B46">
              <w:rPr>
                <w:rFonts w:ascii="Cambria" w:eastAsia="Calibri" w:hAnsi="Cambria" w:cs="Calibri"/>
                <w:lang w:val="hr-HR"/>
              </w:rPr>
              <w:t xml:space="preserve"> metodički obzori, Školske novine, Zagreb</w:t>
            </w:r>
          </w:p>
          <w:p w14:paraId="2E9AE2D5" w14:textId="77777777" w:rsidR="004131DB" w:rsidRPr="00884B46" w:rsidRDefault="004131DB" w:rsidP="000F1A10">
            <w:pPr>
              <w:contextualSpacing/>
              <w:jc w:val="both"/>
              <w:rPr>
                <w:rFonts w:ascii="Cambria" w:eastAsia="Calibri" w:hAnsi="Cambria" w:cs="Calibri"/>
                <w:lang w:val="hr-HR"/>
              </w:rPr>
            </w:pPr>
            <w:r w:rsidRPr="00884B46">
              <w:rPr>
                <w:rFonts w:ascii="Cambria" w:eastAsia="Calibri" w:hAnsi="Cambria" w:cs="Calibri"/>
                <w:lang w:val="hr-HR"/>
              </w:rPr>
              <w:t>14. Šabić, A. G., (1983). Lirska poezija u razrednoj nastavi, Školska knjiga, Zagreb</w:t>
            </w:r>
          </w:p>
          <w:p w14:paraId="06FCDC60" w14:textId="77777777" w:rsidR="004131DB" w:rsidRPr="00884B46" w:rsidRDefault="004131DB" w:rsidP="000F1A10">
            <w:pPr>
              <w:contextualSpacing/>
              <w:jc w:val="both"/>
              <w:rPr>
                <w:rFonts w:ascii="Cambria" w:eastAsia="Calibri" w:hAnsi="Cambria" w:cs="Calibri"/>
                <w:lang w:val="hr-HR"/>
              </w:rPr>
            </w:pPr>
            <w:r w:rsidRPr="00884B46">
              <w:rPr>
                <w:rFonts w:ascii="Cambria" w:eastAsia="Calibri" w:hAnsi="Cambria" w:cs="Calibri"/>
                <w:lang w:val="hr-HR"/>
              </w:rPr>
              <w:t>15. Šabić, A. G., (1991).  Učenik i lirika, Školska knjiga, Zagreb</w:t>
            </w:r>
          </w:p>
          <w:p w14:paraId="2D9EFDEE" w14:textId="77777777" w:rsidR="004131DB" w:rsidRPr="00DF4CE5" w:rsidRDefault="004131DB" w:rsidP="000F1A10">
            <w:pPr>
              <w:contextualSpacing/>
              <w:jc w:val="both"/>
              <w:rPr>
                <w:rFonts w:ascii="Cambria" w:eastAsia="Calibri" w:hAnsi="Cambria" w:cs="Calibri"/>
                <w:lang w:val="hr-HR"/>
              </w:rPr>
            </w:pPr>
            <w:r w:rsidRPr="00884B46">
              <w:rPr>
                <w:rFonts w:ascii="Cambria" w:eastAsia="Calibri" w:hAnsi="Cambria" w:cs="Calibri"/>
                <w:lang w:val="hr-HR"/>
              </w:rPr>
              <w:t>16. Težak, S., (1977). Prilozi interpretaciji lirske pjesme, PKZ, Zagreb</w:t>
            </w:r>
          </w:p>
        </w:tc>
      </w:tr>
    </w:tbl>
    <w:p w14:paraId="25556FFE" w14:textId="77777777" w:rsidR="004131DB" w:rsidRPr="00DF4CE5" w:rsidRDefault="004131DB" w:rsidP="004131DB">
      <w:pPr>
        <w:jc w:val="both"/>
        <w:rPr>
          <w:rFonts w:ascii="Cambria" w:hAnsi="Cambria"/>
          <w:lang w:val="hr-HR"/>
        </w:rPr>
      </w:pPr>
    </w:p>
    <w:p w14:paraId="1BD0C110" w14:textId="4D1E95FD" w:rsidR="004131DB" w:rsidRDefault="004131DB">
      <w:pPr>
        <w:rPr>
          <w:rFonts w:ascii="Cambria" w:hAnsi="Cambria"/>
          <w:lang w:val="hr-HR"/>
        </w:rPr>
      </w:pPr>
      <w:r>
        <w:rPr>
          <w:rFonts w:ascii="Cambria" w:hAnsi="Cambria"/>
          <w:lang w:val="hr-HR"/>
        </w:rPr>
        <w:br w:type="page"/>
      </w:r>
    </w:p>
    <w:tbl>
      <w:tblPr>
        <w:tblW w:w="5162" w:type="pct"/>
        <w:tblLayout w:type="fixed"/>
        <w:tblCellMar>
          <w:left w:w="0" w:type="dxa"/>
          <w:right w:w="0" w:type="dxa"/>
        </w:tblCellMar>
        <w:tblLook w:val="0600" w:firstRow="0" w:lastRow="0" w:firstColumn="0" w:lastColumn="0" w:noHBand="1" w:noVBand="1"/>
      </w:tblPr>
      <w:tblGrid>
        <w:gridCol w:w="2971"/>
        <w:gridCol w:w="2353"/>
        <w:gridCol w:w="300"/>
        <w:gridCol w:w="799"/>
        <w:gridCol w:w="915"/>
        <w:gridCol w:w="852"/>
        <w:gridCol w:w="207"/>
        <w:gridCol w:w="1948"/>
      </w:tblGrid>
      <w:tr w:rsidR="00D0147D" w:rsidRPr="00E45645" w14:paraId="5854F812" w14:textId="77777777" w:rsidTr="000F1A10">
        <w:tc>
          <w:tcPr>
            <w:tcW w:w="9345"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EF21678" w14:textId="77777777" w:rsidR="00D0147D" w:rsidRPr="00A62FBD" w:rsidRDefault="00D0147D" w:rsidP="000F1A10">
            <w:pPr>
              <w:spacing w:after="0" w:line="240" w:lineRule="auto"/>
              <w:jc w:val="right"/>
              <w:rPr>
                <w:rFonts w:ascii="Cambria" w:hAnsi="Cambria" w:cs="Calibri"/>
                <w:b/>
              </w:rPr>
            </w:pPr>
            <w:r w:rsidRPr="00A62FBD">
              <w:rPr>
                <w:rFonts w:ascii="Cambria" w:hAnsi="Cambria" w:cs="Calibri"/>
                <w:b/>
              </w:rPr>
              <w:lastRenderedPageBreak/>
              <w:t>IZVEDBENI PLAN NASTAVE KOLEGIJA</w:t>
            </w:r>
          </w:p>
        </w:tc>
      </w:tr>
      <w:tr w:rsidR="00D0147D" w:rsidRPr="00E45645" w14:paraId="1541F8C3" w14:textId="77777777" w:rsidTr="000F1A10">
        <w:tc>
          <w:tcPr>
            <w:tcW w:w="268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EBDBBC1" w14:textId="77777777" w:rsidR="00D0147D" w:rsidRPr="00884B46" w:rsidRDefault="00D0147D" w:rsidP="000F1A10">
            <w:pPr>
              <w:spacing w:after="0" w:line="240" w:lineRule="auto"/>
              <w:rPr>
                <w:rFonts w:ascii="Cambria" w:hAnsi="Cambria" w:cs="Calibri"/>
              </w:rPr>
            </w:pPr>
            <w:proofErr w:type="spellStart"/>
            <w:r w:rsidRPr="00884B46">
              <w:rPr>
                <w:rFonts w:ascii="Cambria" w:hAnsi="Cambria" w:cs="Calibri"/>
              </w:rPr>
              <w:t>Kod</w:t>
            </w:r>
            <w:proofErr w:type="spellEnd"/>
            <w:r w:rsidRPr="00884B46">
              <w:rPr>
                <w:rFonts w:ascii="Cambria" w:hAnsi="Cambria" w:cs="Calibri"/>
              </w:rPr>
              <w:t xml:space="preserve"> </w:t>
            </w:r>
            <w:proofErr w:type="spellStart"/>
            <w:r w:rsidRPr="00884B46">
              <w:rPr>
                <w:rFonts w:ascii="Cambria" w:hAnsi="Cambria" w:cs="Calibri"/>
              </w:rPr>
              <w:t>i</w:t>
            </w:r>
            <w:proofErr w:type="spellEnd"/>
            <w:r w:rsidRPr="00884B46">
              <w:rPr>
                <w:rFonts w:ascii="Cambria" w:hAnsi="Cambria" w:cs="Calibri"/>
              </w:rPr>
              <w:t xml:space="preserve"> </w:t>
            </w:r>
            <w:proofErr w:type="spellStart"/>
            <w:r w:rsidRPr="00884B46">
              <w:rPr>
                <w:rFonts w:ascii="Cambria" w:hAnsi="Cambria" w:cs="Calibri"/>
              </w:rPr>
              <w:t>naziv</w:t>
            </w:r>
            <w:proofErr w:type="spellEnd"/>
            <w:r w:rsidRPr="00884B46">
              <w:rPr>
                <w:rFonts w:ascii="Cambria" w:hAnsi="Cambria" w:cs="Calibri"/>
              </w:rPr>
              <w:t xml:space="preserve"> </w:t>
            </w:r>
            <w:proofErr w:type="spellStart"/>
            <w:r w:rsidRPr="00884B46">
              <w:rPr>
                <w:rFonts w:ascii="Cambria" w:hAnsi="Cambria" w:cs="Calibri"/>
              </w:rPr>
              <w:t>kolegija</w:t>
            </w:r>
            <w:proofErr w:type="spellEnd"/>
          </w:p>
        </w:tc>
        <w:tc>
          <w:tcPr>
            <w:tcW w:w="6662"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1A4647EC" w14:textId="1BE49E1A" w:rsidR="00D0147D" w:rsidRPr="00D0147D" w:rsidRDefault="00D0147D" w:rsidP="000F1A10">
            <w:pPr>
              <w:spacing w:after="0" w:line="240" w:lineRule="auto"/>
              <w:rPr>
                <w:rFonts w:ascii="Cambria" w:hAnsi="Cambria" w:cs="Calibri"/>
              </w:rPr>
            </w:pPr>
            <w:proofErr w:type="spellStart"/>
            <w:r w:rsidRPr="00884B46">
              <w:rPr>
                <w:rFonts w:ascii="Cambria" w:hAnsi="Cambria" w:cs="Calibri"/>
              </w:rPr>
              <w:t>Metodika</w:t>
            </w:r>
            <w:proofErr w:type="spellEnd"/>
            <w:r w:rsidRPr="00884B46">
              <w:rPr>
                <w:rFonts w:ascii="Cambria" w:hAnsi="Cambria" w:cs="Calibri"/>
              </w:rPr>
              <w:t xml:space="preserve"> </w:t>
            </w:r>
            <w:proofErr w:type="spellStart"/>
            <w:r w:rsidRPr="00884B46">
              <w:rPr>
                <w:rFonts w:ascii="Cambria" w:hAnsi="Cambria" w:cs="Calibri"/>
              </w:rPr>
              <w:t>nastave</w:t>
            </w:r>
            <w:proofErr w:type="spellEnd"/>
            <w:r w:rsidRPr="00884B46">
              <w:rPr>
                <w:rFonts w:ascii="Cambria" w:hAnsi="Cambria" w:cs="Calibri"/>
              </w:rPr>
              <w:t xml:space="preserve"> </w:t>
            </w:r>
            <w:proofErr w:type="spellStart"/>
            <w:r w:rsidRPr="00884B46">
              <w:rPr>
                <w:rFonts w:ascii="Cambria" w:hAnsi="Cambria" w:cs="Calibri"/>
              </w:rPr>
              <w:t>matematike</w:t>
            </w:r>
            <w:proofErr w:type="spellEnd"/>
            <w:r w:rsidRPr="00884B46">
              <w:rPr>
                <w:rFonts w:ascii="Cambria" w:hAnsi="Cambria" w:cs="Calibri"/>
              </w:rPr>
              <w:t xml:space="preserve"> I</w:t>
            </w:r>
          </w:p>
        </w:tc>
      </w:tr>
      <w:tr w:rsidR="00D0147D" w:rsidRPr="00D0399C" w14:paraId="0BF20E5B" w14:textId="77777777" w:rsidTr="000F1A10">
        <w:tc>
          <w:tcPr>
            <w:tcW w:w="268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EF10405" w14:textId="77777777" w:rsidR="00D0147D" w:rsidRPr="00884B46" w:rsidRDefault="00D0147D" w:rsidP="000F1A10">
            <w:pPr>
              <w:spacing w:after="0" w:line="240" w:lineRule="auto"/>
              <w:rPr>
                <w:rFonts w:ascii="Cambria" w:hAnsi="Cambria" w:cs="Calibri"/>
              </w:rPr>
            </w:pPr>
            <w:proofErr w:type="spellStart"/>
            <w:r w:rsidRPr="00884B46">
              <w:rPr>
                <w:rFonts w:ascii="Cambria" w:hAnsi="Cambria" w:cs="Calibri"/>
              </w:rPr>
              <w:t>Nastavnik</w:t>
            </w:r>
            <w:proofErr w:type="spellEnd"/>
          </w:p>
          <w:p w14:paraId="1F33E99E" w14:textId="77777777" w:rsidR="00D0147D" w:rsidRPr="00884B46" w:rsidRDefault="00D0147D" w:rsidP="000F1A10">
            <w:pPr>
              <w:spacing w:after="0" w:line="240" w:lineRule="auto"/>
              <w:rPr>
                <w:rFonts w:ascii="Cambria" w:hAnsi="Cambria" w:cs="Calibri"/>
              </w:rPr>
            </w:pPr>
            <w:proofErr w:type="spellStart"/>
            <w:r w:rsidRPr="00884B46">
              <w:rPr>
                <w:rFonts w:ascii="Cambria" w:hAnsi="Cambria" w:cs="Calibri"/>
              </w:rPr>
              <w:t>Suradnic</w:t>
            </w:r>
            <w:r>
              <w:rPr>
                <w:rFonts w:ascii="Cambria" w:hAnsi="Cambria" w:cs="Calibri"/>
              </w:rPr>
              <w:t>a</w:t>
            </w:r>
            <w:proofErr w:type="spellEnd"/>
          </w:p>
        </w:tc>
        <w:tc>
          <w:tcPr>
            <w:tcW w:w="6662"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59615E9" w14:textId="77777777" w:rsidR="00D0147D" w:rsidRPr="00884B46" w:rsidRDefault="00D0147D" w:rsidP="000F1A10">
            <w:pPr>
              <w:widowControl w:val="0"/>
              <w:spacing w:after="0" w:line="240" w:lineRule="auto"/>
              <w:rPr>
                <w:rFonts w:ascii="Cambria" w:hAnsi="Cambria" w:cs="Calibri"/>
              </w:rPr>
            </w:pPr>
            <w:hyperlink r:id="rId106" w:history="1">
              <w:r w:rsidRPr="00884B46">
                <w:rPr>
                  <w:rStyle w:val="Hiperveza"/>
                  <w:rFonts w:ascii="Cambria" w:hAnsi="Cambria" w:cs="Calibri"/>
                </w:rPr>
                <w:t xml:space="preserve">Doc. dr. sc. Siniša </w:t>
              </w:r>
              <w:proofErr w:type="spellStart"/>
              <w:r w:rsidRPr="00884B46">
                <w:rPr>
                  <w:rStyle w:val="Hiperveza"/>
                  <w:rFonts w:ascii="Cambria" w:hAnsi="Cambria" w:cs="Calibri"/>
                </w:rPr>
                <w:t>Miličić</w:t>
              </w:r>
              <w:proofErr w:type="spellEnd"/>
            </w:hyperlink>
            <w:r w:rsidRPr="00884B46">
              <w:rPr>
                <w:rFonts w:ascii="Cambria" w:hAnsi="Cambria" w:cs="Calibri"/>
              </w:rPr>
              <w:t xml:space="preserve"> (</w:t>
            </w:r>
            <w:proofErr w:type="spellStart"/>
            <w:r w:rsidRPr="00884B46">
              <w:rPr>
                <w:rFonts w:ascii="Cambria" w:hAnsi="Cambria" w:cs="Calibri"/>
              </w:rPr>
              <w:t>nositelj</w:t>
            </w:r>
            <w:proofErr w:type="spellEnd"/>
            <w:r w:rsidRPr="00884B46">
              <w:rPr>
                <w:rFonts w:ascii="Cambria" w:hAnsi="Cambria" w:cs="Calibri"/>
              </w:rPr>
              <w:t xml:space="preserve"> </w:t>
            </w:r>
            <w:proofErr w:type="spellStart"/>
            <w:r w:rsidRPr="00884B46">
              <w:rPr>
                <w:rFonts w:ascii="Cambria" w:hAnsi="Cambria" w:cs="Calibri"/>
              </w:rPr>
              <w:t>kolegija</w:t>
            </w:r>
            <w:proofErr w:type="spellEnd"/>
            <w:r w:rsidRPr="00884B46">
              <w:rPr>
                <w:rFonts w:ascii="Cambria" w:hAnsi="Cambria" w:cs="Calibri"/>
              </w:rPr>
              <w:t>)</w:t>
            </w:r>
          </w:p>
          <w:p w14:paraId="09D35860" w14:textId="77777777" w:rsidR="00D0147D" w:rsidRPr="00884B46" w:rsidRDefault="00D0147D" w:rsidP="000F1A10">
            <w:pPr>
              <w:spacing w:after="0" w:line="240" w:lineRule="auto"/>
              <w:rPr>
                <w:rFonts w:ascii="Cambria" w:hAnsi="Cambria" w:cs="Calibri"/>
                <w:lang w:val="it-IT"/>
              </w:rPr>
            </w:pPr>
            <w:hyperlink r:id="rId107" w:history="1">
              <w:r w:rsidRPr="00884B46">
                <w:rPr>
                  <w:rStyle w:val="Hiperveza"/>
                  <w:rFonts w:ascii="Cambria" w:hAnsi="Cambria"/>
                  <w:lang w:val="it-IT"/>
                </w:rPr>
                <w:t xml:space="preserve">Dr. sc. </w:t>
              </w:r>
              <w:proofErr w:type="spellStart"/>
              <w:r w:rsidRPr="00884B46">
                <w:rPr>
                  <w:rStyle w:val="Hiperveza"/>
                  <w:rFonts w:ascii="Cambria" w:hAnsi="Cambria" w:cs="Calibri"/>
                  <w:lang w:val="it-IT"/>
                </w:rPr>
                <w:t>Branka</w:t>
              </w:r>
              <w:proofErr w:type="spellEnd"/>
              <w:r w:rsidRPr="00884B46">
                <w:rPr>
                  <w:rStyle w:val="Hiperveza"/>
                  <w:rFonts w:ascii="Cambria" w:hAnsi="Cambria" w:cs="Calibri"/>
                  <w:lang w:val="it-IT"/>
                </w:rPr>
                <w:t xml:space="preserve"> </w:t>
              </w:r>
              <w:proofErr w:type="spellStart"/>
              <w:r w:rsidRPr="00884B46">
                <w:rPr>
                  <w:rStyle w:val="Hiperveza"/>
                  <w:rFonts w:ascii="Cambria" w:hAnsi="Cambria" w:cs="Calibri"/>
                  <w:lang w:val="it-IT"/>
                </w:rPr>
                <w:t>Antunović</w:t>
              </w:r>
              <w:proofErr w:type="spellEnd"/>
              <w:r w:rsidRPr="00884B46">
                <w:rPr>
                  <w:rStyle w:val="Hiperveza"/>
                  <w:rFonts w:ascii="Cambria" w:hAnsi="Cambria" w:cs="Calibri"/>
                  <w:lang w:val="it-IT"/>
                </w:rPr>
                <w:t xml:space="preserve">, </w:t>
              </w:r>
              <w:proofErr w:type="spellStart"/>
              <w:r w:rsidRPr="00884B46">
                <w:rPr>
                  <w:rStyle w:val="Hiperveza"/>
                  <w:rFonts w:ascii="Cambria" w:hAnsi="Cambria" w:cs="Calibri"/>
                  <w:lang w:val="it-IT"/>
                </w:rPr>
                <w:t>viša</w:t>
              </w:r>
              <w:proofErr w:type="spellEnd"/>
              <w:r w:rsidRPr="00884B46">
                <w:rPr>
                  <w:rStyle w:val="Hiperveza"/>
                  <w:rFonts w:ascii="Cambria" w:hAnsi="Cambria" w:cs="Calibri"/>
                  <w:lang w:val="it-IT"/>
                </w:rPr>
                <w:t xml:space="preserve"> </w:t>
              </w:r>
              <w:proofErr w:type="spellStart"/>
              <w:r w:rsidRPr="00884B46">
                <w:rPr>
                  <w:rStyle w:val="Hiperveza"/>
                  <w:rFonts w:ascii="Cambria" w:hAnsi="Cambria" w:cs="Calibri"/>
                  <w:lang w:val="it-IT"/>
                </w:rPr>
                <w:t>asistentica</w:t>
              </w:r>
              <w:proofErr w:type="spellEnd"/>
            </w:hyperlink>
          </w:p>
        </w:tc>
      </w:tr>
      <w:tr w:rsidR="00D0147D" w:rsidRPr="00E45645" w14:paraId="394BD35C" w14:textId="77777777" w:rsidTr="000F1A10">
        <w:trPr>
          <w:trHeight w:val="312"/>
        </w:trPr>
        <w:tc>
          <w:tcPr>
            <w:tcW w:w="268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01D645E" w14:textId="77777777" w:rsidR="00D0147D" w:rsidRPr="00884B46" w:rsidRDefault="00D0147D" w:rsidP="000F1A10">
            <w:pPr>
              <w:spacing w:after="0" w:line="240" w:lineRule="auto"/>
              <w:rPr>
                <w:rFonts w:ascii="Cambria" w:hAnsi="Cambria" w:cs="Calibri"/>
              </w:rPr>
            </w:pPr>
            <w:proofErr w:type="spellStart"/>
            <w:r w:rsidRPr="00884B46">
              <w:rPr>
                <w:rFonts w:ascii="Cambria" w:hAnsi="Cambria" w:cs="Calibri"/>
              </w:rPr>
              <w:t>Studijski</w:t>
            </w:r>
            <w:proofErr w:type="spellEnd"/>
            <w:r w:rsidRPr="00884B46">
              <w:rPr>
                <w:rFonts w:ascii="Cambria" w:hAnsi="Cambria" w:cs="Calibri"/>
              </w:rPr>
              <w:t xml:space="preserve"> program</w:t>
            </w:r>
          </w:p>
        </w:tc>
        <w:tc>
          <w:tcPr>
            <w:tcW w:w="6662"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62A04389" w14:textId="77777777" w:rsidR="00D0147D" w:rsidRPr="00884B46" w:rsidRDefault="00D0147D" w:rsidP="000F1A10">
            <w:pPr>
              <w:spacing w:after="0" w:line="240" w:lineRule="auto"/>
              <w:rPr>
                <w:rFonts w:ascii="Cambria" w:hAnsi="Cambria" w:cs="Calibri"/>
                <w:b/>
                <w:bCs/>
              </w:rPr>
            </w:pPr>
            <w:proofErr w:type="spellStart"/>
            <w:r w:rsidRPr="00884B46">
              <w:rPr>
                <w:rFonts w:ascii="Cambria" w:hAnsi="Cambria" w:cs="Calibri"/>
              </w:rPr>
              <w:t>Sveučilišni</w:t>
            </w:r>
            <w:proofErr w:type="spellEnd"/>
            <w:r w:rsidRPr="00884B46">
              <w:rPr>
                <w:rFonts w:ascii="Cambria" w:hAnsi="Cambria" w:cs="Calibri"/>
              </w:rPr>
              <w:t xml:space="preserve"> </w:t>
            </w:r>
            <w:proofErr w:type="spellStart"/>
            <w:r w:rsidRPr="00884B46">
              <w:rPr>
                <w:rFonts w:ascii="Cambria" w:hAnsi="Cambria" w:cs="Calibri"/>
              </w:rPr>
              <w:t>integrirani</w:t>
            </w:r>
            <w:proofErr w:type="spellEnd"/>
            <w:r w:rsidRPr="00884B46">
              <w:rPr>
                <w:rFonts w:ascii="Cambria" w:hAnsi="Cambria" w:cs="Calibri"/>
              </w:rPr>
              <w:t xml:space="preserve"> </w:t>
            </w:r>
            <w:proofErr w:type="spellStart"/>
            <w:r w:rsidRPr="00884B46">
              <w:rPr>
                <w:rFonts w:ascii="Cambria" w:hAnsi="Cambria" w:cs="Calibri"/>
              </w:rPr>
              <w:t>prijediplomski</w:t>
            </w:r>
            <w:proofErr w:type="spellEnd"/>
            <w:r w:rsidRPr="00884B46">
              <w:rPr>
                <w:rFonts w:ascii="Cambria" w:hAnsi="Cambria" w:cs="Calibri"/>
              </w:rPr>
              <w:t xml:space="preserve"> </w:t>
            </w:r>
            <w:proofErr w:type="spellStart"/>
            <w:r w:rsidRPr="00884B46">
              <w:rPr>
                <w:rFonts w:ascii="Cambria" w:hAnsi="Cambria" w:cs="Calibri"/>
              </w:rPr>
              <w:t>i</w:t>
            </w:r>
            <w:proofErr w:type="spellEnd"/>
            <w:r w:rsidRPr="00884B46">
              <w:rPr>
                <w:rFonts w:ascii="Cambria" w:hAnsi="Cambria" w:cs="Calibri"/>
              </w:rPr>
              <w:t xml:space="preserve"> </w:t>
            </w:r>
            <w:proofErr w:type="spellStart"/>
            <w:r w:rsidRPr="00884B46">
              <w:rPr>
                <w:rFonts w:ascii="Cambria" w:hAnsi="Cambria" w:cs="Calibri"/>
              </w:rPr>
              <w:t>diplomski</w:t>
            </w:r>
            <w:proofErr w:type="spellEnd"/>
            <w:r w:rsidRPr="00884B46">
              <w:rPr>
                <w:rFonts w:ascii="Cambria" w:hAnsi="Cambria" w:cs="Calibri"/>
              </w:rPr>
              <w:t xml:space="preserve"> </w:t>
            </w:r>
            <w:proofErr w:type="spellStart"/>
            <w:r w:rsidRPr="00884B46">
              <w:rPr>
                <w:rFonts w:ascii="Cambria" w:hAnsi="Cambria" w:cs="Calibri"/>
              </w:rPr>
              <w:t>Učiteljski</w:t>
            </w:r>
            <w:proofErr w:type="spellEnd"/>
            <w:r w:rsidRPr="00884B46">
              <w:rPr>
                <w:rFonts w:ascii="Cambria" w:hAnsi="Cambria" w:cs="Calibri"/>
              </w:rPr>
              <w:t xml:space="preserve"> </w:t>
            </w:r>
            <w:proofErr w:type="spellStart"/>
            <w:r w:rsidRPr="00884B46">
              <w:rPr>
                <w:rFonts w:ascii="Cambria" w:hAnsi="Cambria" w:cs="Calibri"/>
              </w:rPr>
              <w:t>studij</w:t>
            </w:r>
            <w:proofErr w:type="spellEnd"/>
            <w:r w:rsidRPr="00884B46">
              <w:rPr>
                <w:rFonts w:ascii="Cambria" w:hAnsi="Cambria" w:cs="Calibri"/>
              </w:rPr>
              <w:t xml:space="preserve"> </w:t>
            </w:r>
            <w:proofErr w:type="spellStart"/>
            <w:r w:rsidRPr="00884B46">
              <w:rPr>
                <w:rFonts w:ascii="Cambria" w:hAnsi="Cambria" w:cs="Calibri"/>
              </w:rPr>
              <w:t>na</w:t>
            </w:r>
            <w:proofErr w:type="spellEnd"/>
            <w:r w:rsidRPr="00884B46">
              <w:rPr>
                <w:rFonts w:ascii="Cambria" w:hAnsi="Cambria" w:cs="Calibri"/>
              </w:rPr>
              <w:t xml:space="preserve"> </w:t>
            </w:r>
            <w:proofErr w:type="spellStart"/>
            <w:r w:rsidRPr="00884B46">
              <w:rPr>
                <w:rFonts w:ascii="Cambria" w:hAnsi="Cambria" w:cs="Calibri"/>
              </w:rPr>
              <w:t>hrvatskom</w:t>
            </w:r>
            <w:proofErr w:type="spellEnd"/>
            <w:r w:rsidRPr="00884B46">
              <w:rPr>
                <w:rFonts w:ascii="Cambria" w:hAnsi="Cambria" w:cs="Calibri"/>
              </w:rPr>
              <w:t xml:space="preserve"> </w:t>
            </w:r>
            <w:proofErr w:type="spellStart"/>
            <w:r w:rsidRPr="00884B46">
              <w:rPr>
                <w:rFonts w:ascii="Cambria" w:hAnsi="Cambria" w:cs="Calibri"/>
              </w:rPr>
              <w:t>jeziku</w:t>
            </w:r>
            <w:proofErr w:type="spellEnd"/>
          </w:p>
        </w:tc>
      </w:tr>
      <w:tr w:rsidR="00D0147D" w:rsidRPr="00E45645" w14:paraId="10ABBB07" w14:textId="77777777" w:rsidTr="000F1A10">
        <w:tc>
          <w:tcPr>
            <w:tcW w:w="268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CF83C2D" w14:textId="77777777" w:rsidR="00D0147D" w:rsidRPr="00884B46" w:rsidRDefault="00D0147D" w:rsidP="000F1A10">
            <w:pPr>
              <w:spacing w:after="0" w:line="240" w:lineRule="auto"/>
              <w:rPr>
                <w:rFonts w:ascii="Cambria" w:hAnsi="Cambria" w:cs="Calibri"/>
              </w:rPr>
            </w:pPr>
            <w:proofErr w:type="spellStart"/>
            <w:r w:rsidRPr="00884B46">
              <w:rPr>
                <w:rFonts w:ascii="Cambria" w:hAnsi="Cambria" w:cs="Calibri"/>
              </w:rPr>
              <w:t>Vrsta</w:t>
            </w:r>
            <w:proofErr w:type="spellEnd"/>
            <w:r w:rsidRPr="00884B46">
              <w:rPr>
                <w:rFonts w:ascii="Cambria" w:hAnsi="Cambria" w:cs="Calibri"/>
              </w:rPr>
              <w:t xml:space="preserve"> </w:t>
            </w:r>
            <w:proofErr w:type="spellStart"/>
            <w:r w:rsidRPr="00884B46">
              <w:rPr>
                <w:rFonts w:ascii="Cambria" w:hAnsi="Cambria" w:cs="Calibri"/>
              </w:rPr>
              <w:t>kolegija</w:t>
            </w:r>
            <w:proofErr w:type="spellEnd"/>
          </w:p>
        </w:tc>
        <w:tc>
          <w:tcPr>
            <w:tcW w:w="2396"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A295653" w14:textId="77777777" w:rsidR="00D0147D" w:rsidRPr="00884B46" w:rsidRDefault="00D0147D" w:rsidP="000F1A10">
            <w:pPr>
              <w:spacing w:after="0" w:line="240" w:lineRule="auto"/>
              <w:rPr>
                <w:rFonts w:ascii="Cambria" w:hAnsi="Cambria" w:cs="Calibri"/>
              </w:rPr>
            </w:pPr>
            <w:proofErr w:type="spellStart"/>
            <w:r w:rsidRPr="00884B46">
              <w:rPr>
                <w:rFonts w:ascii="Cambria" w:hAnsi="Cambria" w:cs="Calibri"/>
              </w:rPr>
              <w:t>obavezan</w:t>
            </w:r>
            <w:proofErr w:type="spellEnd"/>
            <w:r w:rsidRPr="00884B46">
              <w:rPr>
                <w:rFonts w:ascii="Cambria" w:hAnsi="Cambria" w:cs="Calibri"/>
              </w:rPr>
              <w:t xml:space="preserve"> </w:t>
            </w:r>
          </w:p>
        </w:tc>
        <w:tc>
          <w:tcPr>
            <w:tcW w:w="2506" w:type="dxa"/>
            <w:gridSpan w:val="4"/>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2EE18F09" w14:textId="77777777" w:rsidR="00D0147D" w:rsidRPr="00884B46" w:rsidRDefault="00D0147D" w:rsidP="000F1A10">
            <w:pPr>
              <w:spacing w:after="0" w:line="240" w:lineRule="auto"/>
              <w:rPr>
                <w:rFonts w:ascii="Cambria" w:hAnsi="Cambria" w:cs="Calibri"/>
              </w:rPr>
            </w:pPr>
            <w:r w:rsidRPr="00884B46">
              <w:rPr>
                <w:rFonts w:ascii="Cambria" w:hAnsi="Cambria" w:cs="Calibri"/>
              </w:rPr>
              <w:t xml:space="preserve">Razina </w:t>
            </w:r>
            <w:proofErr w:type="spellStart"/>
            <w:r w:rsidRPr="00884B46">
              <w:rPr>
                <w:rFonts w:ascii="Cambria" w:hAnsi="Cambria" w:cs="Calibri"/>
              </w:rPr>
              <w:t>kolegija</w:t>
            </w:r>
            <w:proofErr w:type="spellEnd"/>
          </w:p>
        </w:tc>
        <w:tc>
          <w:tcPr>
            <w:tcW w:w="17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E3920CB" w14:textId="77777777" w:rsidR="00D0147D" w:rsidRPr="00A62FBD" w:rsidRDefault="00D0147D" w:rsidP="000F1A10">
            <w:pPr>
              <w:spacing w:after="0" w:line="240" w:lineRule="auto"/>
              <w:rPr>
                <w:rFonts w:ascii="Cambria" w:hAnsi="Cambria" w:cs="Calibri"/>
              </w:rPr>
            </w:pPr>
            <w:proofErr w:type="spellStart"/>
            <w:r>
              <w:rPr>
                <w:rFonts w:ascii="Cambria" w:hAnsi="Cambria" w:cs="Calibri"/>
              </w:rPr>
              <w:t>i</w:t>
            </w:r>
            <w:r w:rsidRPr="00A62FBD">
              <w:rPr>
                <w:rFonts w:ascii="Cambria" w:hAnsi="Cambria" w:cs="Calibri"/>
              </w:rPr>
              <w:t>ntegrirani</w:t>
            </w:r>
            <w:proofErr w:type="spellEnd"/>
          </w:p>
        </w:tc>
      </w:tr>
      <w:tr w:rsidR="00D0147D" w:rsidRPr="00E45645" w14:paraId="08293604" w14:textId="77777777" w:rsidTr="000F1A10">
        <w:tc>
          <w:tcPr>
            <w:tcW w:w="268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732C69F" w14:textId="77777777" w:rsidR="00D0147D" w:rsidRPr="00884B46" w:rsidRDefault="00D0147D" w:rsidP="000F1A10">
            <w:pPr>
              <w:spacing w:after="0" w:line="240" w:lineRule="auto"/>
              <w:rPr>
                <w:rFonts w:ascii="Cambria" w:hAnsi="Cambria" w:cs="Calibri"/>
              </w:rPr>
            </w:pPr>
            <w:proofErr w:type="spellStart"/>
            <w:r w:rsidRPr="00884B46">
              <w:rPr>
                <w:rFonts w:ascii="Cambria" w:hAnsi="Cambria" w:cs="Calibri"/>
              </w:rPr>
              <w:t>Semestar</w:t>
            </w:r>
            <w:proofErr w:type="spellEnd"/>
          </w:p>
        </w:tc>
        <w:tc>
          <w:tcPr>
            <w:tcW w:w="2396"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1FA9BC0" w14:textId="46449D61" w:rsidR="00D0147D" w:rsidRPr="00884B46" w:rsidRDefault="00D0147D" w:rsidP="000F1A10">
            <w:pPr>
              <w:spacing w:after="0" w:line="240" w:lineRule="auto"/>
              <w:rPr>
                <w:rFonts w:ascii="Cambria" w:hAnsi="Cambria" w:cs="Calibri"/>
              </w:rPr>
            </w:pPr>
            <w:proofErr w:type="spellStart"/>
            <w:r>
              <w:rPr>
                <w:rFonts w:ascii="Cambria" w:hAnsi="Cambria" w:cs="Calibri"/>
              </w:rPr>
              <w:t>ljetni</w:t>
            </w:r>
            <w:proofErr w:type="spellEnd"/>
          </w:p>
        </w:tc>
        <w:tc>
          <w:tcPr>
            <w:tcW w:w="2506" w:type="dxa"/>
            <w:gridSpan w:val="4"/>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6635F45B" w14:textId="77777777" w:rsidR="00D0147D" w:rsidRPr="00884B46" w:rsidRDefault="00D0147D" w:rsidP="000F1A10">
            <w:pPr>
              <w:spacing w:after="0" w:line="240" w:lineRule="auto"/>
              <w:rPr>
                <w:rFonts w:ascii="Cambria" w:hAnsi="Cambria" w:cs="Calibri"/>
              </w:rPr>
            </w:pPr>
            <w:r w:rsidRPr="00884B46">
              <w:rPr>
                <w:rFonts w:ascii="Cambria" w:hAnsi="Cambria" w:cs="Calibri"/>
              </w:rPr>
              <w:t xml:space="preserve">Godina </w:t>
            </w:r>
            <w:proofErr w:type="spellStart"/>
            <w:r w:rsidRPr="00884B46">
              <w:rPr>
                <w:rFonts w:ascii="Cambria" w:hAnsi="Cambria" w:cs="Calibri"/>
              </w:rPr>
              <w:t>studija</w:t>
            </w:r>
            <w:proofErr w:type="spellEnd"/>
          </w:p>
        </w:tc>
        <w:tc>
          <w:tcPr>
            <w:tcW w:w="17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EEC3E92" w14:textId="54013134" w:rsidR="00D0147D" w:rsidRPr="00A62FBD" w:rsidRDefault="00D0147D" w:rsidP="000F1A10">
            <w:pPr>
              <w:spacing w:after="0" w:line="240" w:lineRule="auto"/>
              <w:rPr>
                <w:rFonts w:ascii="Cambria" w:hAnsi="Cambria" w:cs="Calibri"/>
              </w:rPr>
            </w:pPr>
            <w:r>
              <w:rPr>
                <w:rFonts w:ascii="Cambria" w:hAnsi="Cambria" w:cs="Calibri"/>
              </w:rPr>
              <w:t>III.</w:t>
            </w:r>
          </w:p>
        </w:tc>
      </w:tr>
      <w:tr w:rsidR="00D0147D" w:rsidRPr="00E45645" w14:paraId="6F345BDE" w14:textId="77777777" w:rsidTr="000F1A10">
        <w:tc>
          <w:tcPr>
            <w:tcW w:w="268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009FC2A" w14:textId="77777777" w:rsidR="00D0147D" w:rsidRPr="00884B46" w:rsidRDefault="00D0147D" w:rsidP="000F1A10">
            <w:pPr>
              <w:spacing w:after="0" w:line="240" w:lineRule="auto"/>
              <w:rPr>
                <w:rFonts w:ascii="Cambria" w:hAnsi="Cambria" w:cs="Calibri"/>
              </w:rPr>
            </w:pPr>
            <w:proofErr w:type="spellStart"/>
            <w:r w:rsidRPr="00884B46">
              <w:rPr>
                <w:rFonts w:ascii="Cambria" w:hAnsi="Cambria" w:cs="Calibri"/>
              </w:rPr>
              <w:t>Mjesto</w:t>
            </w:r>
            <w:proofErr w:type="spellEnd"/>
            <w:r w:rsidRPr="00884B46">
              <w:rPr>
                <w:rFonts w:ascii="Cambria" w:hAnsi="Cambria" w:cs="Calibri"/>
              </w:rPr>
              <w:t xml:space="preserve"> </w:t>
            </w:r>
            <w:proofErr w:type="spellStart"/>
            <w:r w:rsidRPr="00884B46">
              <w:rPr>
                <w:rFonts w:ascii="Cambria" w:hAnsi="Cambria" w:cs="Calibri"/>
              </w:rPr>
              <w:t>izvođenja</w:t>
            </w:r>
            <w:proofErr w:type="spellEnd"/>
          </w:p>
        </w:tc>
        <w:tc>
          <w:tcPr>
            <w:tcW w:w="2396"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A1BA064" w14:textId="77777777" w:rsidR="00D0147D" w:rsidRPr="00884B46" w:rsidRDefault="00D0147D" w:rsidP="000F1A10">
            <w:pPr>
              <w:spacing w:after="0" w:line="240" w:lineRule="auto"/>
              <w:rPr>
                <w:rFonts w:ascii="Cambria" w:hAnsi="Cambria" w:cs="Calibri"/>
              </w:rPr>
            </w:pPr>
            <w:proofErr w:type="spellStart"/>
            <w:r w:rsidRPr="00884B46">
              <w:rPr>
                <w:rFonts w:ascii="Cambria" w:hAnsi="Cambria" w:cs="Calibri"/>
              </w:rPr>
              <w:t>učionica</w:t>
            </w:r>
            <w:proofErr w:type="spellEnd"/>
          </w:p>
        </w:tc>
        <w:tc>
          <w:tcPr>
            <w:tcW w:w="2506" w:type="dxa"/>
            <w:gridSpan w:val="4"/>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60E4DA98" w14:textId="77777777" w:rsidR="00D0147D" w:rsidRPr="00884B46" w:rsidRDefault="00D0147D" w:rsidP="000F1A10">
            <w:pPr>
              <w:spacing w:after="0" w:line="240" w:lineRule="auto"/>
              <w:rPr>
                <w:rFonts w:ascii="Cambria" w:hAnsi="Cambria" w:cs="Calibri"/>
              </w:rPr>
            </w:pPr>
            <w:r w:rsidRPr="00884B46">
              <w:rPr>
                <w:rFonts w:ascii="Cambria" w:hAnsi="Cambria" w:cs="Calibri"/>
              </w:rPr>
              <w:t xml:space="preserve">Jezik </w:t>
            </w:r>
            <w:proofErr w:type="spellStart"/>
            <w:r w:rsidRPr="00884B46">
              <w:rPr>
                <w:rFonts w:ascii="Cambria" w:hAnsi="Cambria" w:cs="Calibri"/>
              </w:rPr>
              <w:t>izvođenja</w:t>
            </w:r>
            <w:proofErr w:type="spellEnd"/>
            <w:r w:rsidRPr="00884B46">
              <w:rPr>
                <w:rFonts w:ascii="Cambria" w:hAnsi="Cambria" w:cs="Calibri"/>
              </w:rPr>
              <w:t xml:space="preserve"> (</w:t>
            </w:r>
            <w:proofErr w:type="spellStart"/>
            <w:r w:rsidRPr="00884B46">
              <w:rPr>
                <w:rFonts w:ascii="Cambria" w:hAnsi="Cambria" w:cs="Calibri"/>
              </w:rPr>
              <w:t>drugi</w:t>
            </w:r>
            <w:proofErr w:type="spellEnd"/>
            <w:r w:rsidRPr="00884B46">
              <w:rPr>
                <w:rFonts w:ascii="Cambria" w:hAnsi="Cambria" w:cs="Calibri"/>
              </w:rPr>
              <w:t xml:space="preserve"> </w:t>
            </w:r>
            <w:proofErr w:type="spellStart"/>
            <w:r w:rsidRPr="00884B46">
              <w:rPr>
                <w:rFonts w:ascii="Cambria" w:hAnsi="Cambria" w:cs="Calibri"/>
              </w:rPr>
              <w:t>jezici</w:t>
            </w:r>
            <w:proofErr w:type="spellEnd"/>
            <w:r w:rsidRPr="00884B46">
              <w:rPr>
                <w:rFonts w:ascii="Cambria" w:hAnsi="Cambria" w:cs="Calibri"/>
              </w:rPr>
              <w:t>)</w:t>
            </w:r>
          </w:p>
        </w:tc>
        <w:tc>
          <w:tcPr>
            <w:tcW w:w="17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6A2D0E3" w14:textId="77777777" w:rsidR="00D0147D" w:rsidRPr="00A62FBD" w:rsidRDefault="00D0147D" w:rsidP="000F1A10">
            <w:pPr>
              <w:spacing w:after="0" w:line="240" w:lineRule="auto"/>
              <w:rPr>
                <w:rFonts w:ascii="Cambria" w:hAnsi="Cambria" w:cs="Calibri"/>
              </w:rPr>
            </w:pPr>
            <w:proofErr w:type="spellStart"/>
            <w:r w:rsidRPr="00A62FBD">
              <w:rPr>
                <w:rFonts w:ascii="Cambria" w:hAnsi="Cambria" w:cs="Calibri"/>
              </w:rPr>
              <w:t>hrvatski</w:t>
            </w:r>
            <w:proofErr w:type="spellEnd"/>
          </w:p>
        </w:tc>
      </w:tr>
      <w:tr w:rsidR="00D0147D" w:rsidRPr="00E45645" w14:paraId="06A7103C" w14:textId="77777777" w:rsidTr="000F1A10">
        <w:tc>
          <w:tcPr>
            <w:tcW w:w="268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6B557D2" w14:textId="77777777" w:rsidR="00D0147D" w:rsidRPr="00884B46" w:rsidRDefault="00D0147D" w:rsidP="000F1A10">
            <w:pPr>
              <w:spacing w:after="0" w:line="240" w:lineRule="auto"/>
              <w:rPr>
                <w:rFonts w:ascii="Cambria" w:hAnsi="Cambria" w:cs="Calibri"/>
              </w:rPr>
            </w:pPr>
            <w:proofErr w:type="spellStart"/>
            <w:r w:rsidRPr="00884B46">
              <w:rPr>
                <w:rFonts w:ascii="Cambria" w:hAnsi="Cambria" w:cs="Calibri"/>
              </w:rPr>
              <w:t>Broj</w:t>
            </w:r>
            <w:proofErr w:type="spellEnd"/>
            <w:r w:rsidRPr="00884B46">
              <w:rPr>
                <w:rFonts w:ascii="Cambria" w:hAnsi="Cambria" w:cs="Calibri"/>
              </w:rPr>
              <w:t xml:space="preserve"> ECTS </w:t>
            </w:r>
            <w:proofErr w:type="spellStart"/>
            <w:r w:rsidRPr="00884B46">
              <w:rPr>
                <w:rFonts w:ascii="Cambria" w:hAnsi="Cambria" w:cs="Calibri"/>
              </w:rPr>
              <w:t>bodova</w:t>
            </w:r>
            <w:proofErr w:type="spellEnd"/>
          </w:p>
        </w:tc>
        <w:tc>
          <w:tcPr>
            <w:tcW w:w="2396"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5F6FD04" w14:textId="211AC04C" w:rsidR="00D0147D" w:rsidRPr="00884B46" w:rsidRDefault="00D0147D" w:rsidP="000F1A10">
            <w:pPr>
              <w:spacing w:after="0" w:line="240" w:lineRule="auto"/>
              <w:rPr>
                <w:rFonts w:ascii="Cambria" w:hAnsi="Cambria" w:cs="Calibri"/>
              </w:rPr>
            </w:pPr>
            <w:r>
              <w:rPr>
                <w:rFonts w:ascii="Cambria" w:hAnsi="Cambria" w:cs="Calibri"/>
              </w:rPr>
              <w:t>4</w:t>
            </w:r>
          </w:p>
        </w:tc>
        <w:tc>
          <w:tcPr>
            <w:tcW w:w="2506" w:type="dxa"/>
            <w:gridSpan w:val="4"/>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5F55413E" w14:textId="77777777" w:rsidR="00D0147D" w:rsidRPr="00884B46" w:rsidRDefault="00D0147D" w:rsidP="000F1A10">
            <w:pPr>
              <w:spacing w:after="0" w:line="240" w:lineRule="auto"/>
              <w:rPr>
                <w:rFonts w:ascii="Cambria" w:hAnsi="Cambria" w:cs="Calibri"/>
              </w:rPr>
            </w:pPr>
            <w:proofErr w:type="spellStart"/>
            <w:r w:rsidRPr="00884B46">
              <w:rPr>
                <w:rFonts w:ascii="Cambria" w:hAnsi="Cambria" w:cs="Calibri"/>
              </w:rPr>
              <w:t>Broj</w:t>
            </w:r>
            <w:proofErr w:type="spellEnd"/>
            <w:r w:rsidRPr="00884B46">
              <w:rPr>
                <w:rFonts w:ascii="Cambria" w:hAnsi="Cambria" w:cs="Calibri"/>
              </w:rPr>
              <w:t xml:space="preserve"> sati u </w:t>
            </w:r>
            <w:proofErr w:type="spellStart"/>
            <w:r w:rsidRPr="00884B46">
              <w:rPr>
                <w:rFonts w:ascii="Cambria" w:hAnsi="Cambria" w:cs="Calibri"/>
              </w:rPr>
              <w:t>semestru</w:t>
            </w:r>
            <w:proofErr w:type="spellEnd"/>
          </w:p>
        </w:tc>
        <w:tc>
          <w:tcPr>
            <w:tcW w:w="17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4B4C99A" w14:textId="5E804598" w:rsidR="00D0147D" w:rsidRPr="00A62FBD" w:rsidRDefault="00D0147D" w:rsidP="000F1A10">
            <w:pPr>
              <w:spacing w:after="0" w:line="240" w:lineRule="auto"/>
              <w:rPr>
                <w:rFonts w:ascii="Cambria" w:hAnsi="Cambria" w:cs="Calibri"/>
              </w:rPr>
            </w:pPr>
            <w:r>
              <w:rPr>
                <w:rFonts w:ascii="Cambria" w:hAnsi="Cambria" w:cs="Calibri"/>
              </w:rPr>
              <w:t>15</w:t>
            </w:r>
            <w:r w:rsidRPr="00A62FBD">
              <w:rPr>
                <w:rFonts w:ascii="Cambria" w:hAnsi="Cambria" w:cs="Calibri"/>
              </w:rPr>
              <w:t xml:space="preserve">P – </w:t>
            </w:r>
            <w:r>
              <w:rPr>
                <w:rFonts w:ascii="Cambria" w:hAnsi="Cambria" w:cs="Calibri"/>
              </w:rPr>
              <w:t>0S – 30V</w:t>
            </w:r>
          </w:p>
        </w:tc>
      </w:tr>
      <w:tr w:rsidR="00D0147D" w:rsidRPr="00D0399C" w14:paraId="7CDA03CF" w14:textId="77777777" w:rsidTr="000F1A10">
        <w:trPr>
          <w:trHeight w:val="670"/>
        </w:trPr>
        <w:tc>
          <w:tcPr>
            <w:tcW w:w="268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22687DE" w14:textId="77777777" w:rsidR="00D0147D" w:rsidRPr="00161325" w:rsidRDefault="00D0147D" w:rsidP="000F1A10">
            <w:pPr>
              <w:spacing w:after="0" w:line="240" w:lineRule="auto"/>
              <w:rPr>
                <w:rFonts w:ascii="Cambria" w:hAnsi="Cambria" w:cs="Calibri"/>
                <w:lang w:val="it-IT"/>
              </w:rPr>
            </w:pPr>
            <w:proofErr w:type="spellStart"/>
            <w:r w:rsidRPr="00161325">
              <w:rPr>
                <w:rFonts w:ascii="Cambria" w:hAnsi="Cambria" w:cs="Calibri"/>
                <w:lang w:val="it-IT"/>
              </w:rPr>
              <w:t>Preduvjeti</w:t>
            </w:r>
            <w:proofErr w:type="spellEnd"/>
            <w:r w:rsidRPr="00161325">
              <w:rPr>
                <w:rFonts w:ascii="Cambria" w:hAnsi="Cambria" w:cs="Calibri"/>
                <w:lang w:val="it-IT"/>
              </w:rPr>
              <w:t xml:space="preserve"> za </w:t>
            </w:r>
            <w:proofErr w:type="spellStart"/>
            <w:r w:rsidRPr="00161325">
              <w:rPr>
                <w:rFonts w:ascii="Cambria" w:hAnsi="Cambria" w:cs="Calibri"/>
                <w:lang w:val="it-IT"/>
              </w:rPr>
              <w:t>upis</w:t>
            </w:r>
            <w:proofErr w:type="spellEnd"/>
            <w:r w:rsidRPr="00161325">
              <w:rPr>
                <w:rFonts w:ascii="Cambria" w:hAnsi="Cambria" w:cs="Calibri"/>
                <w:lang w:val="it-IT"/>
              </w:rPr>
              <w:t xml:space="preserve"> i za </w:t>
            </w:r>
            <w:proofErr w:type="spellStart"/>
            <w:r w:rsidRPr="00161325">
              <w:rPr>
                <w:rFonts w:ascii="Cambria" w:hAnsi="Cambria" w:cs="Calibri"/>
                <w:lang w:val="it-IT"/>
              </w:rPr>
              <w:t>svladavanje</w:t>
            </w:r>
            <w:proofErr w:type="spellEnd"/>
          </w:p>
        </w:tc>
        <w:tc>
          <w:tcPr>
            <w:tcW w:w="6662"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B3720B9" w14:textId="77777777" w:rsidR="00D0147D" w:rsidRPr="00161325" w:rsidRDefault="00D0147D" w:rsidP="000F1A10">
            <w:pPr>
              <w:spacing w:after="0" w:line="240" w:lineRule="auto"/>
              <w:rPr>
                <w:rFonts w:ascii="Cambria" w:hAnsi="Cambria" w:cs="Calibri"/>
                <w:lang w:val="it-IT"/>
              </w:rPr>
            </w:pPr>
            <w:proofErr w:type="spellStart"/>
            <w:r w:rsidRPr="00161325">
              <w:rPr>
                <w:rFonts w:ascii="Cambria" w:hAnsi="Cambria" w:cs="Calibri"/>
                <w:lang w:val="it-IT"/>
              </w:rPr>
              <w:t>Temeljna</w:t>
            </w:r>
            <w:proofErr w:type="spellEnd"/>
            <w:r w:rsidRPr="00161325">
              <w:rPr>
                <w:rFonts w:ascii="Cambria" w:hAnsi="Cambria" w:cs="Calibri"/>
                <w:lang w:val="it-IT"/>
              </w:rPr>
              <w:t xml:space="preserve"> </w:t>
            </w:r>
            <w:proofErr w:type="spellStart"/>
            <w:r w:rsidRPr="00161325">
              <w:rPr>
                <w:rFonts w:ascii="Cambria" w:hAnsi="Cambria" w:cs="Calibri"/>
                <w:lang w:val="it-IT"/>
              </w:rPr>
              <w:t>znanja</w:t>
            </w:r>
            <w:proofErr w:type="spellEnd"/>
            <w:r w:rsidRPr="00161325">
              <w:rPr>
                <w:rFonts w:ascii="Cambria" w:hAnsi="Cambria" w:cs="Calibri"/>
                <w:lang w:val="it-IT"/>
              </w:rPr>
              <w:t xml:space="preserve"> </w:t>
            </w:r>
            <w:proofErr w:type="spellStart"/>
            <w:r w:rsidRPr="00161325">
              <w:rPr>
                <w:rFonts w:ascii="Cambria" w:hAnsi="Cambria" w:cs="Calibri"/>
                <w:lang w:val="it-IT"/>
              </w:rPr>
              <w:t>iz</w:t>
            </w:r>
            <w:proofErr w:type="spellEnd"/>
            <w:r w:rsidRPr="00161325">
              <w:rPr>
                <w:rFonts w:ascii="Cambria" w:hAnsi="Cambria" w:cs="Calibri"/>
                <w:lang w:val="it-IT"/>
              </w:rPr>
              <w:t xml:space="preserve"> </w:t>
            </w:r>
            <w:proofErr w:type="spellStart"/>
            <w:r w:rsidRPr="00161325">
              <w:rPr>
                <w:rFonts w:ascii="Cambria" w:hAnsi="Cambria" w:cs="Calibri"/>
                <w:lang w:val="it-IT"/>
              </w:rPr>
              <w:t>elementarne</w:t>
            </w:r>
            <w:proofErr w:type="spellEnd"/>
            <w:r w:rsidRPr="00161325">
              <w:rPr>
                <w:rFonts w:ascii="Cambria" w:hAnsi="Cambria" w:cs="Calibri"/>
                <w:lang w:val="it-IT"/>
              </w:rPr>
              <w:t xml:space="preserve"> </w:t>
            </w:r>
            <w:proofErr w:type="spellStart"/>
            <w:r w:rsidRPr="00161325">
              <w:rPr>
                <w:rFonts w:ascii="Cambria" w:hAnsi="Cambria" w:cs="Calibri"/>
                <w:lang w:val="it-IT"/>
              </w:rPr>
              <w:t>matematike</w:t>
            </w:r>
            <w:proofErr w:type="spellEnd"/>
            <w:r w:rsidRPr="00161325">
              <w:rPr>
                <w:rFonts w:ascii="Cambria" w:hAnsi="Cambria" w:cs="Calibri"/>
                <w:lang w:val="it-IT"/>
              </w:rPr>
              <w:t xml:space="preserve"> </w:t>
            </w:r>
            <w:proofErr w:type="spellStart"/>
            <w:r w:rsidRPr="00161325">
              <w:rPr>
                <w:rFonts w:ascii="Cambria" w:hAnsi="Cambria" w:cs="Calibri"/>
                <w:lang w:val="it-IT"/>
              </w:rPr>
              <w:t>usvojena</w:t>
            </w:r>
            <w:proofErr w:type="spellEnd"/>
            <w:r w:rsidRPr="00161325">
              <w:rPr>
                <w:rFonts w:ascii="Cambria" w:hAnsi="Cambria" w:cs="Calibri"/>
                <w:lang w:val="it-IT"/>
              </w:rPr>
              <w:t xml:space="preserve"> </w:t>
            </w:r>
            <w:proofErr w:type="spellStart"/>
            <w:r w:rsidRPr="00161325">
              <w:rPr>
                <w:rFonts w:ascii="Cambria" w:hAnsi="Cambria" w:cs="Calibri"/>
                <w:lang w:val="it-IT"/>
              </w:rPr>
              <w:t>tijekom</w:t>
            </w:r>
            <w:proofErr w:type="spellEnd"/>
            <w:r w:rsidRPr="00161325">
              <w:rPr>
                <w:rFonts w:ascii="Cambria" w:hAnsi="Cambria" w:cs="Calibri"/>
                <w:lang w:val="it-IT"/>
              </w:rPr>
              <w:t xml:space="preserve"> </w:t>
            </w:r>
            <w:proofErr w:type="spellStart"/>
            <w:r w:rsidRPr="00161325">
              <w:rPr>
                <w:rFonts w:ascii="Cambria" w:hAnsi="Cambria" w:cs="Calibri"/>
                <w:lang w:val="it-IT"/>
              </w:rPr>
              <w:t>osnovnog</w:t>
            </w:r>
            <w:proofErr w:type="spellEnd"/>
            <w:r w:rsidRPr="00161325">
              <w:rPr>
                <w:rFonts w:ascii="Cambria" w:hAnsi="Cambria" w:cs="Calibri"/>
                <w:lang w:val="it-IT"/>
              </w:rPr>
              <w:t xml:space="preserve"> i </w:t>
            </w:r>
            <w:proofErr w:type="spellStart"/>
            <w:r w:rsidRPr="00161325">
              <w:rPr>
                <w:rFonts w:ascii="Cambria" w:hAnsi="Cambria" w:cs="Calibri"/>
                <w:lang w:val="it-IT"/>
              </w:rPr>
              <w:t>srednjeg</w:t>
            </w:r>
            <w:proofErr w:type="spellEnd"/>
            <w:r w:rsidRPr="00161325">
              <w:rPr>
                <w:rFonts w:ascii="Cambria" w:hAnsi="Cambria" w:cs="Calibri"/>
                <w:lang w:val="it-IT"/>
              </w:rPr>
              <w:t xml:space="preserve"> </w:t>
            </w:r>
            <w:proofErr w:type="spellStart"/>
            <w:r w:rsidRPr="00161325">
              <w:rPr>
                <w:rFonts w:ascii="Cambria" w:hAnsi="Cambria" w:cs="Calibri"/>
                <w:lang w:val="it-IT"/>
              </w:rPr>
              <w:t>obrazovanja</w:t>
            </w:r>
            <w:proofErr w:type="spellEnd"/>
            <w:r w:rsidRPr="00161325">
              <w:rPr>
                <w:rFonts w:ascii="Cambria" w:hAnsi="Cambria" w:cs="Calibri"/>
                <w:lang w:val="it-IT"/>
              </w:rPr>
              <w:t xml:space="preserve">. </w:t>
            </w:r>
            <w:proofErr w:type="spellStart"/>
            <w:r w:rsidRPr="00161325">
              <w:rPr>
                <w:rFonts w:ascii="Cambria" w:hAnsi="Cambria" w:cs="Calibri"/>
                <w:lang w:val="it-IT"/>
              </w:rPr>
              <w:t>Temeljna</w:t>
            </w:r>
            <w:proofErr w:type="spellEnd"/>
            <w:r w:rsidRPr="00161325">
              <w:rPr>
                <w:rFonts w:ascii="Cambria" w:hAnsi="Cambria" w:cs="Calibri"/>
                <w:lang w:val="it-IT"/>
              </w:rPr>
              <w:t xml:space="preserve"> </w:t>
            </w:r>
            <w:proofErr w:type="spellStart"/>
            <w:r w:rsidRPr="00161325">
              <w:rPr>
                <w:rFonts w:ascii="Cambria" w:hAnsi="Cambria" w:cs="Calibri"/>
                <w:lang w:val="it-IT"/>
              </w:rPr>
              <w:t>znanja</w:t>
            </w:r>
            <w:proofErr w:type="spellEnd"/>
            <w:r w:rsidRPr="00161325">
              <w:rPr>
                <w:rFonts w:ascii="Cambria" w:hAnsi="Cambria" w:cs="Calibri"/>
                <w:lang w:val="it-IT"/>
              </w:rPr>
              <w:t xml:space="preserve"> </w:t>
            </w:r>
            <w:proofErr w:type="spellStart"/>
            <w:r w:rsidRPr="00161325">
              <w:rPr>
                <w:rFonts w:ascii="Cambria" w:hAnsi="Cambria" w:cs="Calibri"/>
                <w:lang w:val="it-IT"/>
              </w:rPr>
              <w:t>iz</w:t>
            </w:r>
            <w:proofErr w:type="spellEnd"/>
            <w:r w:rsidRPr="00161325">
              <w:rPr>
                <w:rFonts w:ascii="Cambria" w:hAnsi="Cambria" w:cs="Calibri"/>
                <w:lang w:val="it-IT"/>
              </w:rPr>
              <w:t xml:space="preserve"> </w:t>
            </w:r>
            <w:proofErr w:type="spellStart"/>
            <w:r w:rsidRPr="00161325">
              <w:rPr>
                <w:rFonts w:ascii="Cambria" w:hAnsi="Cambria" w:cs="Calibri"/>
                <w:lang w:val="it-IT"/>
              </w:rPr>
              <w:t>pedagogije</w:t>
            </w:r>
            <w:proofErr w:type="spellEnd"/>
            <w:r w:rsidRPr="00161325">
              <w:rPr>
                <w:rFonts w:ascii="Cambria" w:hAnsi="Cambria" w:cs="Calibri"/>
                <w:lang w:val="it-IT"/>
              </w:rPr>
              <w:t xml:space="preserve"> i </w:t>
            </w:r>
            <w:proofErr w:type="spellStart"/>
            <w:r w:rsidRPr="00161325">
              <w:rPr>
                <w:rFonts w:ascii="Cambria" w:hAnsi="Cambria" w:cs="Calibri"/>
                <w:lang w:val="it-IT"/>
              </w:rPr>
              <w:t>didaktike</w:t>
            </w:r>
            <w:proofErr w:type="spellEnd"/>
            <w:r w:rsidRPr="00161325">
              <w:rPr>
                <w:rFonts w:ascii="Cambria" w:hAnsi="Cambria" w:cs="Calibri"/>
                <w:lang w:val="it-IT"/>
              </w:rPr>
              <w:t xml:space="preserve">. </w:t>
            </w:r>
          </w:p>
          <w:p w14:paraId="7CEF2136" w14:textId="77777777" w:rsidR="00D0147D" w:rsidRPr="00161325" w:rsidRDefault="00D0147D" w:rsidP="000F1A10">
            <w:pPr>
              <w:spacing w:after="0" w:line="240" w:lineRule="auto"/>
              <w:rPr>
                <w:rFonts w:ascii="Cambria" w:hAnsi="Cambria" w:cs="Calibri"/>
                <w:lang w:val="it-IT"/>
              </w:rPr>
            </w:pPr>
            <w:proofErr w:type="spellStart"/>
            <w:r w:rsidRPr="00161325">
              <w:rPr>
                <w:rFonts w:ascii="Cambria" w:hAnsi="Cambria" w:cs="Calibri"/>
                <w:lang w:val="it-IT"/>
              </w:rPr>
              <w:t>Kako</w:t>
            </w:r>
            <w:proofErr w:type="spellEnd"/>
            <w:r w:rsidRPr="00161325">
              <w:rPr>
                <w:rFonts w:ascii="Cambria" w:hAnsi="Cambria" w:cs="Calibri"/>
                <w:lang w:val="it-IT"/>
              </w:rPr>
              <w:t xml:space="preserve"> bi se </w:t>
            </w:r>
            <w:proofErr w:type="spellStart"/>
            <w:r w:rsidRPr="00161325">
              <w:rPr>
                <w:rFonts w:ascii="Cambria" w:hAnsi="Cambria" w:cs="Calibri"/>
                <w:lang w:val="it-IT"/>
              </w:rPr>
              <w:t>pristupilo</w:t>
            </w:r>
            <w:proofErr w:type="spellEnd"/>
            <w:r w:rsidRPr="00161325">
              <w:rPr>
                <w:rFonts w:ascii="Cambria" w:hAnsi="Cambria" w:cs="Calibri"/>
                <w:lang w:val="it-IT"/>
              </w:rPr>
              <w:t xml:space="preserve"> </w:t>
            </w:r>
            <w:proofErr w:type="spellStart"/>
            <w:r w:rsidRPr="00161325">
              <w:rPr>
                <w:rFonts w:ascii="Cambria" w:hAnsi="Cambria" w:cs="Calibri"/>
                <w:lang w:val="it-IT"/>
              </w:rPr>
              <w:t>polaganju</w:t>
            </w:r>
            <w:proofErr w:type="spellEnd"/>
            <w:r w:rsidRPr="00161325">
              <w:rPr>
                <w:rFonts w:ascii="Cambria" w:hAnsi="Cambria" w:cs="Calibri"/>
                <w:lang w:val="it-IT"/>
              </w:rPr>
              <w:t xml:space="preserve"> </w:t>
            </w:r>
            <w:proofErr w:type="spellStart"/>
            <w:r w:rsidRPr="00161325">
              <w:rPr>
                <w:rFonts w:ascii="Cambria" w:hAnsi="Cambria" w:cs="Calibri"/>
                <w:lang w:val="it-IT"/>
              </w:rPr>
              <w:t>ispita</w:t>
            </w:r>
            <w:proofErr w:type="spellEnd"/>
            <w:r w:rsidRPr="00161325">
              <w:rPr>
                <w:rFonts w:ascii="Cambria" w:hAnsi="Cambria" w:cs="Calibri"/>
                <w:lang w:val="it-IT"/>
              </w:rPr>
              <w:t xml:space="preserve">, </w:t>
            </w:r>
            <w:proofErr w:type="spellStart"/>
            <w:r w:rsidRPr="00161325">
              <w:rPr>
                <w:rFonts w:ascii="Cambria" w:hAnsi="Cambria" w:cs="Calibri"/>
                <w:lang w:val="it-IT"/>
              </w:rPr>
              <w:t>potrebno</w:t>
            </w:r>
            <w:proofErr w:type="spellEnd"/>
            <w:r w:rsidRPr="00161325">
              <w:rPr>
                <w:rFonts w:ascii="Cambria" w:hAnsi="Cambria" w:cs="Calibri"/>
                <w:lang w:val="it-IT"/>
              </w:rPr>
              <w:t xml:space="preserve"> je imati </w:t>
            </w:r>
            <w:proofErr w:type="spellStart"/>
            <w:r w:rsidRPr="00161325">
              <w:rPr>
                <w:rFonts w:ascii="Cambria" w:hAnsi="Cambria" w:cs="Calibri"/>
                <w:lang w:val="it-IT"/>
              </w:rPr>
              <w:t>položene</w:t>
            </w:r>
            <w:proofErr w:type="spellEnd"/>
            <w:r w:rsidRPr="00161325">
              <w:rPr>
                <w:rFonts w:ascii="Cambria" w:hAnsi="Cambria" w:cs="Calibri"/>
                <w:lang w:val="it-IT"/>
              </w:rPr>
              <w:t xml:space="preserve"> </w:t>
            </w:r>
            <w:proofErr w:type="spellStart"/>
            <w:r w:rsidRPr="00161325">
              <w:rPr>
                <w:rFonts w:ascii="Cambria" w:hAnsi="Cambria" w:cs="Calibri"/>
                <w:lang w:val="it-IT"/>
              </w:rPr>
              <w:t>kolegije</w:t>
            </w:r>
            <w:proofErr w:type="spellEnd"/>
            <w:r w:rsidRPr="00161325">
              <w:rPr>
                <w:rFonts w:ascii="Cambria" w:hAnsi="Cambria" w:cs="Calibri"/>
                <w:lang w:val="it-IT"/>
              </w:rPr>
              <w:t xml:space="preserve"> </w:t>
            </w:r>
            <w:proofErr w:type="spellStart"/>
            <w:r w:rsidRPr="00161325">
              <w:rPr>
                <w:rFonts w:ascii="Cambria" w:hAnsi="Cambria" w:cs="Calibri"/>
                <w:lang w:val="it-IT"/>
              </w:rPr>
              <w:t>druge</w:t>
            </w:r>
            <w:proofErr w:type="spellEnd"/>
            <w:r w:rsidRPr="00161325">
              <w:rPr>
                <w:rFonts w:ascii="Cambria" w:hAnsi="Cambria" w:cs="Calibri"/>
                <w:lang w:val="it-IT"/>
              </w:rPr>
              <w:t xml:space="preserve"> godine </w:t>
            </w:r>
            <w:proofErr w:type="spellStart"/>
            <w:r w:rsidRPr="00161325">
              <w:rPr>
                <w:rFonts w:ascii="Cambria" w:hAnsi="Cambria" w:cs="Calibri"/>
                <w:lang w:val="it-IT"/>
              </w:rPr>
              <w:t>studija</w:t>
            </w:r>
            <w:proofErr w:type="spellEnd"/>
            <w:r w:rsidRPr="00161325">
              <w:rPr>
                <w:rFonts w:ascii="Cambria" w:hAnsi="Cambria" w:cs="Calibri"/>
                <w:lang w:val="it-IT"/>
              </w:rPr>
              <w:t xml:space="preserve">: </w:t>
            </w:r>
            <w:proofErr w:type="spellStart"/>
            <w:r w:rsidRPr="00161325">
              <w:rPr>
                <w:rFonts w:ascii="Cambria" w:hAnsi="Cambria" w:cs="Calibri"/>
                <w:lang w:val="it-IT"/>
              </w:rPr>
              <w:t>Osnove</w:t>
            </w:r>
            <w:proofErr w:type="spellEnd"/>
            <w:r w:rsidRPr="00161325">
              <w:rPr>
                <w:rFonts w:ascii="Cambria" w:hAnsi="Cambria" w:cs="Calibri"/>
                <w:lang w:val="it-IT"/>
              </w:rPr>
              <w:t xml:space="preserve"> </w:t>
            </w:r>
            <w:proofErr w:type="spellStart"/>
            <w:r w:rsidRPr="00161325">
              <w:rPr>
                <w:rFonts w:ascii="Cambria" w:hAnsi="Cambria" w:cs="Calibri"/>
                <w:lang w:val="it-IT"/>
              </w:rPr>
              <w:t>matematike</w:t>
            </w:r>
            <w:proofErr w:type="spellEnd"/>
            <w:r w:rsidRPr="00161325">
              <w:rPr>
                <w:rFonts w:ascii="Cambria" w:hAnsi="Cambria" w:cs="Calibri"/>
                <w:lang w:val="it-IT"/>
              </w:rPr>
              <w:t xml:space="preserve">, </w:t>
            </w:r>
            <w:proofErr w:type="spellStart"/>
            <w:r w:rsidRPr="00161325">
              <w:rPr>
                <w:rFonts w:ascii="Cambria" w:hAnsi="Cambria" w:cs="Calibri"/>
                <w:lang w:val="it-IT"/>
              </w:rPr>
              <w:t>Elementarna</w:t>
            </w:r>
            <w:proofErr w:type="spellEnd"/>
            <w:r w:rsidRPr="00161325">
              <w:rPr>
                <w:rFonts w:ascii="Cambria" w:hAnsi="Cambria" w:cs="Calibri"/>
                <w:lang w:val="it-IT"/>
              </w:rPr>
              <w:t xml:space="preserve"> </w:t>
            </w:r>
            <w:proofErr w:type="spellStart"/>
            <w:r w:rsidRPr="00161325">
              <w:rPr>
                <w:rFonts w:ascii="Cambria" w:hAnsi="Cambria" w:cs="Calibri"/>
                <w:lang w:val="it-IT"/>
              </w:rPr>
              <w:t>geometrija</w:t>
            </w:r>
            <w:proofErr w:type="spellEnd"/>
            <w:r w:rsidRPr="00161325">
              <w:rPr>
                <w:rFonts w:ascii="Cambria" w:hAnsi="Cambria" w:cs="Calibri"/>
                <w:lang w:val="it-IT"/>
              </w:rPr>
              <w:t xml:space="preserve"> i </w:t>
            </w:r>
            <w:proofErr w:type="spellStart"/>
            <w:r w:rsidRPr="00161325">
              <w:rPr>
                <w:rFonts w:ascii="Cambria" w:hAnsi="Cambria" w:cs="Calibri"/>
                <w:lang w:val="it-IT"/>
              </w:rPr>
              <w:t>Didaktika</w:t>
            </w:r>
            <w:proofErr w:type="spellEnd"/>
            <w:r w:rsidRPr="00161325">
              <w:rPr>
                <w:rFonts w:ascii="Cambria" w:hAnsi="Cambria" w:cs="Calibri"/>
                <w:lang w:val="it-IT"/>
              </w:rPr>
              <w:t xml:space="preserve">. </w:t>
            </w:r>
          </w:p>
        </w:tc>
      </w:tr>
      <w:tr w:rsidR="00D0147D" w:rsidRPr="00D0399C" w14:paraId="3B21758C" w14:textId="77777777" w:rsidTr="000F1A10">
        <w:tc>
          <w:tcPr>
            <w:tcW w:w="268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2D10B51" w14:textId="77777777" w:rsidR="00D0147D" w:rsidRPr="00A62FBD" w:rsidRDefault="00D0147D" w:rsidP="000F1A10">
            <w:pPr>
              <w:spacing w:after="0" w:line="240" w:lineRule="auto"/>
              <w:rPr>
                <w:rFonts w:ascii="Cambria" w:hAnsi="Cambria" w:cs="Calibri"/>
              </w:rPr>
            </w:pPr>
            <w:proofErr w:type="spellStart"/>
            <w:r w:rsidRPr="00A62FBD">
              <w:rPr>
                <w:rFonts w:ascii="Cambria" w:hAnsi="Cambria" w:cs="Calibri"/>
              </w:rPr>
              <w:t>Korelativnost</w:t>
            </w:r>
            <w:proofErr w:type="spellEnd"/>
          </w:p>
        </w:tc>
        <w:tc>
          <w:tcPr>
            <w:tcW w:w="6662"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8AC0AA7" w14:textId="77777777" w:rsidR="00D0147D" w:rsidRPr="00161325" w:rsidRDefault="00D0147D" w:rsidP="000F1A10">
            <w:pPr>
              <w:spacing w:after="0" w:line="240" w:lineRule="auto"/>
              <w:rPr>
                <w:rFonts w:ascii="Cambria" w:hAnsi="Cambria" w:cs="Calibri"/>
                <w:lang w:val="it-IT"/>
              </w:rPr>
            </w:pPr>
            <w:proofErr w:type="spellStart"/>
            <w:r w:rsidRPr="00161325">
              <w:rPr>
                <w:rFonts w:ascii="Cambria" w:hAnsi="Cambria" w:cs="Calibri"/>
                <w:lang w:val="it-IT"/>
              </w:rPr>
              <w:t>Metodika</w:t>
            </w:r>
            <w:proofErr w:type="spellEnd"/>
            <w:r w:rsidRPr="00161325">
              <w:rPr>
                <w:rFonts w:ascii="Cambria" w:hAnsi="Cambria" w:cs="Calibri"/>
                <w:lang w:val="it-IT"/>
              </w:rPr>
              <w:t xml:space="preserve"> </w:t>
            </w:r>
            <w:proofErr w:type="spellStart"/>
            <w:r w:rsidRPr="00161325">
              <w:rPr>
                <w:rFonts w:ascii="Cambria" w:hAnsi="Cambria" w:cs="Calibri"/>
                <w:lang w:val="it-IT"/>
              </w:rPr>
              <w:t>nastave</w:t>
            </w:r>
            <w:proofErr w:type="spellEnd"/>
            <w:r w:rsidRPr="00161325">
              <w:rPr>
                <w:rFonts w:ascii="Cambria" w:hAnsi="Cambria" w:cs="Calibri"/>
                <w:lang w:val="it-IT"/>
              </w:rPr>
              <w:t xml:space="preserve"> </w:t>
            </w:r>
            <w:proofErr w:type="spellStart"/>
            <w:r w:rsidRPr="00161325">
              <w:rPr>
                <w:rFonts w:ascii="Cambria" w:hAnsi="Cambria" w:cs="Calibri"/>
                <w:lang w:val="it-IT"/>
              </w:rPr>
              <w:t>matematike</w:t>
            </w:r>
            <w:proofErr w:type="spellEnd"/>
            <w:r w:rsidRPr="00161325">
              <w:rPr>
                <w:rFonts w:ascii="Cambria" w:hAnsi="Cambria" w:cs="Calibri"/>
                <w:lang w:val="it-IT"/>
              </w:rPr>
              <w:t xml:space="preserve"> II i </w:t>
            </w:r>
            <w:proofErr w:type="spellStart"/>
            <w:r w:rsidRPr="00161325">
              <w:rPr>
                <w:rFonts w:ascii="Cambria" w:hAnsi="Cambria" w:cs="Calibri"/>
                <w:lang w:val="it-IT"/>
              </w:rPr>
              <w:t>Metodika</w:t>
            </w:r>
            <w:proofErr w:type="spellEnd"/>
            <w:r w:rsidRPr="00161325">
              <w:rPr>
                <w:rFonts w:ascii="Cambria" w:hAnsi="Cambria" w:cs="Calibri"/>
                <w:lang w:val="it-IT"/>
              </w:rPr>
              <w:t xml:space="preserve"> </w:t>
            </w:r>
            <w:proofErr w:type="spellStart"/>
            <w:r w:rsidRPr="00161325">
              <w:rPr>
                <w:rFonts w:ascii="Cambria" w:hAnsi="Cambria" w:cs="Calibri"/>
                <w:lang w:val="it-IT"/>
              </w:rPr>
              <w:t>nastave</w:t>
            </w:r>
            <w:proofErr w:type="spellEnd"/>
            <w:r w:rsidRPr="00161325">
              <w:rPr>
                <w:rFonts w:ascii="Cambria" w:hAnsi="Cambria" w:cs="Calibri"/>
                <w:lang w:val="it-IT"/>
              </w:rPr>
              <w:t xml:space="preserve"> </w:t>
            </w:r>
            <w:proofErr w:type="spellStart"/>
            <w:r w:rsidRPr="00161325">
              <w:rPr>
                <w:rFonts w:ascii="Cambria" w:hAnsi="Cambria" w:cs="Calibri"/>
                <w:lang w:val="it-IT"/>
              </w:rPr>
              <w:t>matematike</w:t>
            </w:r>
            <w:proofErr w:type="spellEnd"/>
            <w:r w:rsidRPr="00161325">
              <w:rPr>
                <w:rFonts w:ascii="Cambria" w:hAnsi="Cambria" w:cs="Calibri"/>
                <w:lang w:val="it-IT"/>
              </w:rPr>
              <w:t xml:space="preserve"> III.</w:t>
            </w:r>
          </w:p>
        </w:tc>
      </w:tr>
      <w:tr w:rsidR="00D0147D" w:rsidRPr="00E45645" w14:paraId="1A5E2510" w14:textId="77777777" w:rsidTr="000F1A10">
        <w:tc>
          <w:tcPr>
            <w:tcW w:w="268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DA73D46" w14:textId="77777777" w:rsidR="00D0147D" w:rsidRPr="00A62FBD" w:rsidRDefault="00D0147D" w:rsidP="000F1A10">
            <w:pPr>
              <w:spacing w:after="0" w:line="240" w:lineRule="auto"/>
              <w:rPr>
                <w:rFonts w:ascii="Cambria" w:hAnsi="Cambria" w:cs="Calibri"/>
              </w:rPr>
            </w:pPr>
            <w:proofErr w:type="spellStart"/>
            <w:r w:rsidRPr="00A62FBD">
              <w:rPr>
                <w:rFonts w:ascii="Cambria" w:hAnsi="Cambria" w:cs="Calibri"/>
              </w:rPr>
              <w:t>Cilj</w:t>
            </w:r>
            <w:proofErr w:type="spellEnd"/>
            <w:r w:rsidRPr="00A62FBD">
              <w:rPr>
                <w:rFonts w:ascii="Cambria" w:hAnsi="Cambria" w:cs="Calibri"/>
              </w:rPr>
              <w:t xml:space="preserve"> </w:t>
            </w:r>
            <w:proofErr w:type="spellStart"/>
            <w:r w:rsidRPr="00A62FBD">
              <w:rPr>
                <w:rFonts w:ascii="Cambria" w:hAnsi="Cambria" w:cs="Calibri"/>
              </w:rPr>
              <w:t>kolegija</w:t>
            </w:r>
            <w:proofErr w:type="spellEnd"/>
            <w:r w:rsidRPr="00A62FBD">
              <w:rPr>
                <w:rFonts w:ascii="Cambria" w:hAnsi="Cambria" w:cs="Calibri"/>
              </w:rPr>
              <w:t xml:space="preserve"> </w:t>
            </w:r>
          </w:p>
        </w:tc>
        <w:tc>
          <w:tcPr>
            <w:tcW w:w="6662"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3E66FDC" w14:textId="77777777" w:rsidR="00D0147D" w:rsidRPr="00A62FBD" w:rsidRDefault="00D0147D" w:rsidP="000F1A10">
            <w:pPr>
              <w:autoSpaceDE w:val="0"/>
              <w:autoSpaceDN w:val="0"/>
              <w:adjustRightInd w:val="0"/>
              <w:spacing w:after="0" w:line="240" w:lineRule="auto"/>
              <w:rPr>
                <w:rFonts w:ascii="Cambria" w:hAnsi="Cambria" w:cs="Calibri"/>
              </w:rPr>
            </w:pPr>
            <w:proofErr w:type="spellStart"/>
            <w:r>
              <w:rPr>
                <w:rFonts w:ascii="Cambria" w:hAnsi="Cambria" w:cs="Calibri"/>
              </w:rPr>
              <w:t>u</w:t>
            </w:r>
            <w:r w:rsidRPr="00A62FBD">
              <w:rPr>
                <w:rFonts w:ascii="Cambria" w:hAnsi="Cambria" w:cs="Calibri"/>
              </w:rPr>
              <w:t>svojiti</w:t>
            </w:r>
            <w:proofErr w:type="spellEnd"/>
            <w:r w:rsidRPr="00A62FBD">
              <w:rPr>
                <w:rFonts w:ascii="Cambria" w:hAnsi="Cambria" w:cs="Calibri"/>
              </w:rPr>
              <w:t xml:space="preserve"> </w:t>
            </w:r>
            <w:proofErr w:type="spellStart"/>
            <w:r w:rsidRPr="00A62FBD">
              <w:rPr>
                <w:rFonts w:ascii="Cambria" w:hAnsi="Cambria" w:cs="Calibri"/>
              </w:rPr>
              <w:t>osnovna</w:t>
            </w:r>
            <w:proofErr w:type="spellEnd"/>
            <w:r w:rsidRPr="00A62FBD">
              <w:rPr>
                <w:rFonts w:ascii="Cambria" w:hAnsi="Cambria" w:cs="Calibri"/>
              </w:rPr>
              <w:t xml:space="preserve"> </w:t>
            </w:r>
            <w:proofErr w:type="spellStart"/>
            <w:r w:rsidRPr="00A62FBD">
              <w:rPr>
                <w:rFonts w:ascii="Cambria" w:hAnsi="Cambria" w:cs="Calibri"/>
              </w:rPr>
              <w:t>znanja</w:t>
            </w:r>
            <w:proofErr w:type="spellEnd"/>
            <w:r w:rsidRPr="00A62FBD">
              <w:rPr>
                <w:rFonts w:ascii="Cambria" w:hAnsi="Cambria" w:cs="Calibri"/>
              </w:rPr>
              <w:t xml:space="preserve"> </w:t>
            </w:r>
            <w:proofErr w:type="spellStart"/>
            <w:r w:rsidRPr="00A62FBD">
              <w:rPr>
                <w:rFonts w:ascii="Cambria" w:hAnsi="Cambria" w:cs="Calibri"/>
              </w:rPr>
              <w:t>i</w:t>
            </w:r>
            <w:proofErr w:type="spellEnd"/>
            <w:r w:rsidRPr="00A62FBD">
              <w:rPr>
                <w:rFonts w:ascii="Cambria" w:hAnsi="Cambria" w:cs="Calibri"/>
              </w:rPr>
              <w:t xml:space="preserve"> </w:t>
            </w:r>
            <w:proofErr w:type="spellStart"/>
            <w:r w:rsidRPr="00A62FBD">
              <w:rPr>
                <w:rFonts w:ascii="Cambria" w:hAnsi="Cambria" w:cs="Calibri"/>
              </w:rPr>
              <w:t>teorijske</w:t>
            </w:r>
            <w:proofErr w:type="spellEnd"/>
            <w:r w:rsidRPr="00A62FBD">
              <w:rPr>
                <w:rFonts w:ascii="Cambria" w:hAnsi="Cambria" w:cs="Calibri"/>
              </w:rPr>
              <w:t xml:space="preserve"> </w:t>
            </w:r>
            <w:proofErr w:type="spellStart"/>
            <w:r w:rsidRPr="00A62FBD">
              <w:rPr>
                <w:rFonts w:ascii="Cambria" w:hAnsi="Cambria" w:cs="Calibri"/>
              </w:rPr>
              <w:t>spoznaje</w:t>
            </w:r>
            <w:proofErr w:type="spellEnd"/>
            <w:r w:rsidRPr="00A62FBD">
              <w:rPr>
                <w:rFonts w:ascii="Cambria" w:hAnsi="Cambria" w:cs="Calibri"/>
              </w:rPr>
              <w:t xml:space="preserve"> </w:t>
            </w:r>
            <w:proofErr w:type="spellStart"/>
            <w:r w:rsidRPr="00A62FBD">
              <w:rPr>
                <w:rFonts w:ascii="Cambria" w:hAnsi="Cambria" w:cs="Calibri"/>
              </w:rPr>
              <w:t>iz</w:t>
            </w:r>
            <w:proofErr w:type="spellEnd"/>
            <w:r w:rsidRPr="00A62FBD">
              <w:rPr>
                <w:rFonts w:ascii="Cambria" w:hAnsi="Cambria" w:cs="Calibri"/>
              </w:rPr>
              <w:t xml:space="preserve"> </w:t>
            </w:r>
            <w:proofErr w:type="spellStart"/>
            <w:r w:rsidRPr="00A62FBD">
              <w:rPr>
                <w:rFonts w:ascii="Cambria" w:hAnsi="Cambria" w:cs="Calibri"/>
              </w:rPr>
              <w:t>područja</w:t>
            </w:r>
            <w:proofErr w:type="spellEnd"/>
            <w:r w:rsidRPr="00A62FBD">
              <w:rPr>
                <w:rFonts w:ascii="Cambria" w:hAnsi="Cambria" w:cs="Calibri"/>
              </w:rPr>
              <w:t xml:space="preserve"> </w:t>
            </w:r>
            <w:proofErr w:type="spellStart"/>
            <w:r w:rsidRPr="00A62FBD">
              <w:rPr>
                <w:rFonts w:ascii="Cambria" w:hAnsi="Cambria" w:cs="Calibri"/>
              </w:rPr>
              <w:t>metodike</w:t>
            </w:r>
            <w:proofErr w:type="spellEnd"/>
            <w:r w:rsidRPr="00A62FBD">
              <w:rPr>
                <w:rFonts w:ascii="Cambria" w:hAnsi="Cambria" w:cs="Calibri"/>
              </w:rPr>
              <w:t xml:space="preserve"> </w:t>
            </w:r>
            <w:proofErr w:type="spellStart"/>
            <w:r>
              <w:rPr>
                <w:rFonts w:ascii="Cambria" w:hAnsi="Cambria" w:cs="Calibri"/>
              </w:rPr>
              <w:t>nastave</w:t>
            </w:r>
            <w:proofErr w:type="spellEnd"/>
            <w:r>
              <w:rPr>
                <w:rFonts w:ascii="Cambria" w:hAnsi="Cambria" w:cs="Calibri"/>
              </w:rPr>
              <w:t xml:space="preserve"> </w:t>
            </w:r>
            <w:proofErr w:type="spellStart"/>
            <w:r w:rsidRPr="00A62FBD">
              <w:rPr>
                <w:rFonts w:ascii="Cambria" w:hAnsi="Cambria" w:cs="Calibri"/>
              </w:rPr>
              <w:t>matematike</w:t>
            </w:r>
            <w:proofErr w:type="spellEnd"/>
          </w:p>
        </w:tc>
      </w:tr>
      <w:tr w:rsidR="00D0147D" w:rsidRPr="00E45645" w14:paraId="311EF147" w14:textId="77777777" w:rsidTr="000F1A10">
        <w:tc>
          <w:tcPr>
            <w:tcW w:w="268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8C09DFF" w14:textId="77777777" w:rsidR="00D0147D" w:rsidRPr="00A62FBD" w:rsidRDefault="00D0147D" w:rsidP="000F1A10">
            <w:pPr>
              <w:spacing w:after="0" w:line="240" w:lineRule="auto"/>
              <w:rPr>
                <w:rFonts w:ascii="Cambria" w:hAnsi="Cambria" w:cs="Calibri"/>
              </w:rPr>
            </w:pPr>
            <w:proofErr w:type="spellStart"/>
            <w:r w:rsidRPr="00A62FBD">
              <w:rPr>
                <w:rFonts w:ascii="Cambria" w:hAnsi="Cambria" w:cs="Calibri"/>
              </w:rPr>
              <w:t>Ishodi</w:t>
            </w:r>
            <w:proofErr w:type="spellEnd"/>
            <w:r w:rsidRPr="00A62FBD">
              <w:rPr>
                <w:rFonts w:ascii="Cambria" w:hAnsi="Cambria" w:cs="Calibri"/>
              </w:rPr>
              <w:t xml:space="preserve"> </w:t>
            </w:r>
            <w:proofErr w:type="spellStart"/>
            <w:r w:rsidRPr="00A62FBD">
              <w:rPr>
                <w:rFonts w:ascii="Cambria" w:hAnsi="Cambria" w:cs="Calibri"/>
              </w:rPr>
              <w:t>učenja</w:t>
            </w:r>
            <w:proofErr w:type="spellEnd"/>
          </w:p>
        </w:tc>
        <w:tc>
          <w:tcPr>
            <w:tcW w:w="6662"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07A088C" w14:textId="77777777" w:rsidR="00D0147D" w:rsidRPr="00E2330C" w:rsidRDefault="00D0147D" w:rsidP="00A034E3">
            <w:pPr>
              <w:pStyle w:val="Odlomakpopisa"/>
              <w:numPr>
                <w:ilvl w:val="0"/>
                <w:numId w:val="19"/>
              </w:numPr>
              <w:spacing w:after="0" w:line="240" w:lineRule="auto"/>
              <w:rPr>
                <w:rFonts w:ascii="Cambria" w:eastAsia="SimSun" w:hAnsi="Cambria" w:cs="TTE297F630t00"/>
                <w:lang w:eastAsia="hr-HR"/>
              </w:rPr>
            </w:pPr>
            <w:r>
              <w:rPr>
                <w:rFonts w:ascii="Cambria" w:eastAsia="SimSun" w:hAnsi="Cambria" w:cs="TTE297F630t00"/>
                <w:lang w:eastAsia="hr-HR"/>
              </w:rPr>
              <w:t>o</w:t>
            </w:r>
            <w:r w:rsidRPr="00E2330C">
              <w:rPr>
                <w:rFonts w:ascii="Cambria" w:eastAsia="SimSun" w:hAnsi="Cambria" w:cs="TTE297F630t00"/>
                <w:lang w:eastAsia="hr-HR"/>
              </w:rPr>
              <w:t>pisati spoznajne karakteristike procesa učenja matematike</w:t>
            </w:r>
          </w:p>
          <w:p w14:paraId="64A68C38" w14:textId="77777777" w:rsidR="00D0147D" w:rsidRPr="00E2330C" w:rsidRDefault="00D0147D" w:rsidP="00A034E3">
            <w:pPr>
              <w:pStyle w:val="Odlomakpopisa"/>
              <w:numPr>
                <w:ilvl w:val="0"/>
                <w:numId w:val="19"/>
              </w:numPr>
              <w:spacing w:after="0" w:line="240" w:lineRule="auto"/>
              <w:rPr>
                <w:rFonts w:ascii="Cambria" w:eastAsia="SimSun" w:hAnsi="Cambria" w:cs="TTE297F630t00"/>
                <w:lang w:eastAsia="hr-HR"/>
              </w:rPr>
            </w:pPr>
            <w:r>
              <w:rPr>
                <w:rFonts w:ascii="Cambria" w:eastAsia="SimSun" w:hAnsi="Cambria" w:cs="TTE297F630t00"/>
                <w:lang w:eastAsia="hr-HR"/>
              </w:rPr>
              <w:t>d</w:t>
            </w:r>
            <w:r w:rsidRPr="00E2330C">
              <w:rPr>
                <w:rFonts w:ascii="Cambria" w:eastAsia="SimSun" w:hAnsi="Cambria" w:cs="TTE297F630t00"/>
                <w:lang w:eastAsia="hr-HR"/>
              </w:rPr>
              <w:t>efinirati suvremene standarde matematičkih kompetencija</w:t>
            </w:r>
          </w:p>
          <w:p w14:paraId="645E245F" w14:textId="77777777" w:rsidR="00D0147D" w:rsidRPr="00E2330C" w:rsidRDefault="00D0147D" w:rsidP="00A034E3">
            <w:pPr>
              <w:pStyle w:val="Odlomakpopisa"/>
              <w:numPr>
                <w:ilvl w:val="0"/>
                <w:numId w:val="19"/>
              </w:numPr>
              <w:spacing w:after="0" w:line="240" w:lineRule="auto"/>
              <w:rPr>
                <w:rFonts w:ascii="Cambria" w:eastAsia="SimSun" w:hAnsi="Cambria" w:cs="TTE297F630t00"/>
                <w:lang w:eastAsia="hr-HR"/>
              </w:rPr>
            </w:pPr>
            <w:r>
              <w:rPr>
                <w:rFonts w:ascii="Cambria" w:eastAsia="SimSun" w:hAnsi="Cambria" w:cs="TTE297F630t00"/>
                <w:lang w:eastAsia="hr-HR"/>
              </w:rPr>
              <w:t>p</w:t>
            </w:r>
            <w:r w:rsidRPr="00E2330C">
              <w:rPr>
                <w:rFonts w:ascii="Cambria" w:eastAsia="SimSun" w:hAnsi="Cambria" w:cs="TTE297F630t00"/>
                <w:lang w:eastAsia="hr-HR"/>
              </w:rPr>
              <w:t xml:space="preserve">ovezati kognitivne sposobnosti djece s razinama usvajanja matematičkog gradiva te važećim kurikulumom </w:t>
            </w:r>
          </w:p>
          <w:p w14:paraId="0AA648A0" w14:textId="77777777" w:rsidR="00D0147D" w:rsidRPr="00E2330C" w:rsidRDefault="00D0147D" w:rsidP="00A034E3">
            <w:pPr>
              <w:pStyle w:val="Odlomakpopisa"/>
              <w:numPr>
                <w:ilvl w:val="0"/>
                <w:numId w:val="19"/>
              </w:numPr>
              <w:spacing w:after="0" w:line="240" w:lineRule="auto"/>
              <w:rPr>
                <w:rFonts w:ascii="Cambria" w:eastAsia="SimSun" w:hAnsi="Cambria" w:cs="TTE297F630t00"/>
                <w:lang w:eastAsia="hr-HR"/>
              </w:rPr>
            </w:pPr>
            <w:r>
              <w:rPr>
                <w:rFonts w:ascii="Cambria" w:eastAsia="SimSun" w:hAnsi="Cambria" w:cs="TTE297F630t00"/>
                <w:lang w:eastAsia="hr-HR"/>
              </w:rPr>
              <w:t>p</w:t>
            </w:r>
            <w:r w:rsidRPr="00E2330C">
              <w:rPr>
                <w:rFonts w:ascii="Cambria" w:eastAsia="SimSun" w:hAnsi="Cambria" w:cs="TTE297F630t00"/>
                <w:lang w:eastAsia="hr-HR"/>
              </w:rPr>
              <w:t xml:space="preserve">rimjenjivati osnove metodičkog oblikovanja nastave kroz nastavne situacije u početnom učenju matematike </w:t>
            </w:r>
          </w:p>
          <w:p w14:paraId="283CDC1F" w14:textId="77777777" w:rsidR="00D0147D" w:rsidRPr="00E2330C" w:rsidRDefault="00D0147D" w:rsidP="00A034E3">
            <w:pPr>
              <w:pStyle w:val="Odlomakpopisa"/>
              <w:numPr>
                <w:ilvl w:val="0"/>
                <w:numId w:val="19"/>
              </w:numPr>
              <w:spacing w:after="0" w:line="240" w:lineRule="auto"/>
              <w:rPr>
                <w:rFonts w:ascii="Cambria" w:eastAsia="SimSun" w:hAnsi="Cambria" w:cs="TTE297F630t00"/>
                <w:lang w:eastAsia="hr-HR"/>
              </w:rPr>
            </w:pPr>
            <w:r>
              <w:rPr>
                <w:rFonts w:ascii="Cambria" w:eastAsia="SimSun" w:hAnsi="Cambria" w:cs="TTE297F630t00"/>
                <w:lang w:eastAsia="hr-HR"/>
              </w:rPr>
              <w:t>i</w:t>
            </w:r>
            <w:r w:rsidRPr="00E2330C">
              <w:rPr>
                <w:rFonts w:ascii="Cambria" w:eastAsia="SimSun" w:hAnsi="Cambria" w:cs="TTE297F630t00"/>
                <w:lang w:eastAsia="hr-HR"/>
              </w:rPr>
              <w:t>zraditi godišnji/mjesečni/tematski kurikulum</w:t>
            </w:r>
            <w:r>
              <w:rPr>
                <w:rFonts w:ascii="Cambria" w:eastAsia="SimSun" w:hAnsi="Cambria" w:cs="TTE297F630t00"/>
                <w:lang w:eastAsia="hr-HR"/>
              </w:rPr>
              <w:t xml:space="preserve"> </w:t>
            </w:r>
          </w:p>
          <w:p w14:paraId="41D55B5E" w14:textId="77777777" w:rsidR="00D0147D" w:rsidRPr="00A62FBD" w:rsidRDefault="00D0147D" w:rsidP="00A034E3">
            <w:pPr>
              <w:pStyle w:val="Odlomakpopisa"/>
              <w:numPr>
                <w:ilvl w:val="0"/>
                <w:numId w:val="19"/>
              </w:numPr>
              <w:spacing w:after="0" w:line="240" w:lineRule="auto"/>
              <w:rPr>
                <w:rFonts w:ascii="Cambria" w:eastAsia="SimSun" w:hAnsi="Cambria" w:cs="Calibri"/>
                <w:lang w:eastAsia="hr-HR"/>
              </w:rPr>
            </w:pPr>
            <w:r>
              <w:rPr>
                <w:rFonts w:ascii="Cambria" w:eastAsia="SimSun" w:hAnsi="Cambria" w:cs="TTE297F630t00"/>
                <w:lang w:eastAsia="hr-HR"/>
              </w:rPr>
              <w:t>analizirati</w:t>
            </w:r>
            <w:r w:rsidRPr="00E2330C">
              <w:rPr>
                <w:rFonts w:ascii="Cambria" w:eastAsia="SimSun" w:hAnsi="Cambria" w:cs="TTE297F630t00"/>
                <w:lang w:eastAsia="hr-HR"/>
              </w:rPr>
              <w:t xml:space="preserve"> nastavne pripreme</w:t>
            </w:r>
          </w:p>
        </w:tc>
      </w:tr>
      <w:tr w:rsidR="00D0147D" w:rsidRPr="00E45645" w14:paraId="2DE3DE47" w14:textId="77777777" w:rsidTr="000F1A10">
        <w:tc>
          <w:tcPr>
            <w:tcW w:w="2683"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0B1AF941" w14:textId="77777777" w:rsidR="00D0147D" w:rsidRPr="00A62FBD" w:rsidRDefault="00D0147D" w:rsidP="000F1A10">
            <w:pPr>
              <w:spacing w:after="0" w:line="240" w:lineRule="auto"/>
              <w:rPr>
                <w:rFonts w:ascii="Cambria" w:hAnsi="Cambria" w:cs="Calibri"/>
              </w:rPr>
            </w:pPr>
            <w:proofErr w:type="spellStart"/>
            <w:r w:rsidRPr="00A62FBD">
              <w:rPr>
                <w:rFonts w:ascii="Cambria" w:hAnsi="Cambria" w:cs="Calibri"/>
              </w:rPr>
              <w:t>Sadržaj</w:t>
            </w:r>
            <w:proofErr w:type="spellEnd"/>
            <w:r w:rsidRPr="00A62FBD">
              <w:rPr>
                <w:rFonts w:ascii="Cambria" w:hAnsi="Cambria" w:cs="Calibri"/>
              </w:rPr>
              <w:t xml:space="preserve"> </w:t>
            </w:r>
            <w:proofErr w:type="spellStart"/>
            <w:r w:rsidRPr="00A62FBD">
              <w:rPr>
                <w:rFonts w:ascii="Cambria" w:hAnsi="Cambria" w:cs="Calibri"/>
              </w:rPr>
              <w:t>kolegija</w:t>
            </w:r>
            <w:proofErr w:type="spellEnd"/>
          </w:p>
        </w:tc>
        <w:tc>
          <w:tcPr>
            <w:tcW w:w="6662"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4D8D887" w14:textId="77777777" w:rsidR="00D0147D" w:rsidRDefault="00D0147D" w:rsidP="00A034E3">
            <w:pPr>
              <w:pStyle w:val="Odlomakpopisa"/>
              <w:numPr>
                <w:ilvl w:val="0"/>
                <w:numId w:val="20"/>
              </w:numPr>
              <w:spacing w:after="0" w:line="240" w:lineRule="auto"/>
              <w:rPr>
                <w:rFonts w:ascii="Cambria" w:eastAsia="SimSun" w:hAnsi="Cambria" w:cs="TTE297F630t00"/>
                <w:lang w:eastAsia="hr-HR"/>
              </w:rPr>
            </w:pPr>
            <w:r w:rsidRPr="00E2330C">
              <w:rPr>
                <w:rFonts w:ascii="Cambria" w:eastAsia="SimSun" w:hAnsi="Cambria" w:cs="TTE297F630t00"/>
                <w:lang w:eastAsia="hr-HR"/>
              </w:rPr>
              <w:t xml:space="preserve">Upoznavanje s metodikom matematike kao znanstvenom disciplinom. Definiranje osnovnih pojmova, ciljeva i zadaća u metodici matematike. </w:t>
            </w:r>
          </w:p>
          <w:p w14:paraId="2DF78970" w14:textId="77777777" w:rsidR="00D0147D" w:rsidRPr="00E2330C" w:rsidRDefault="00D0147D" w:rsidP="00A034E3">
            <w:pPr>
              <w:pStyle w:val="Odlomakpopisa"/>
              <w:numPr>
                <w:ilvl w:val="0"/>
                <w:numId w:val="20"/>
              </w:numPr>
              <w:spacing w:after="0" w:line="240" w:lineRule="auto"/>
              <w:rPr>
                <w:rFonts w:ascii="Cambria" w:eastAsia="SimSun" w:hAnsi="Cambria" w:cs="TTE297F630t00"/>
                <w:lang w:eastAsia="hr-HR"/>
              </w:rPr>
            </w:pPr>
            <w:r>
              <w:rPr>
                <w:rFonts w:ascii="Cambria" w:eastAsia="SimSun" w:hAnsi="Cambria" w:cs="TTE297F630t00"/>
                <w:lang w:eastAsia="hr-HR"/>
              </w:rPr>
              <w:t>Upoznavanje s kurikulumom nastavnog predmeta matematike</w:t>
            </w:r>
          </w:p>
          <w:p w14:paraId="0C6051BA" w14:textId="77777777" w:rsidR="00D0147D" w:rsidRDefault="00D0147D" w:rsidP="00A034E3">
            <w:pPr>
              <w:pStyle w:val="Odlomakpopisa"/>
              <w:numPr>
                <w:ilvl w:val="0"/>
                <w:numId w:val="20"/>
              </w:numPr>
              <w:spacing w:after="0" w:line="240" w:lineRule="auto"/>
              <w:rPr>
                <w:rFonts w:ascii="Cambria" w:eastAsia="SimSun" w:hAnsi="Cambria" w:cs="TTE297F630t00"/>
                <w:lang w:eastAsia="hr-HR"/>
              </w:rPr>
            </w:pPr>
            <w:r w:rsidRPr="00E2330C">
              <w:rPr>
                <w:rFonts w:ascii="Cambria" w:eastAsia="SimSun" w:hAnsi="Cambria" w:cs="TTE297F630t00"/>
                <w:lang w:eastAsia="hr-HR"/>
              </w:rPr>
              <w:t xml:space="preserve">Znanstvene metode u nastavi matematike. </w:t>
            </w:r>
          </w:p>
          <w:p w14:paraId="662BFD59" w14:textId="77777777" w:rsidR="00D0147D" w:rsidRDefault="00D0147D" w:rsidP="00A034E3">
            <w:pPr>
              <w:pStyle w:val="Odlomakpopisa"/>
              <w:numPr>
                <w:ilvl w:val="0"/>
                <w:numId w:val="20"/>
              </w:numPr>
              <w:spacing w:after="0" w:line="240" w:lineRule="auto"/>
              <w:rPr>
                <w:rFonts w:ascii="Cambria" w:eastAsia="SimSun" w:hAnsi="Cambria" w:cs="TTE297F630t00"/>
                <w:lang w:eastAsia="hr-HR"/>
              </w:rPr>
            </w:pPr>
            <w:r w:rsidRPr="00CB38D0">
              <w:rPr>
                <w:rFonts w:ascii="Cambria" w:eastAsia="SimSun" w:hAnsi="Cambria" w:cs="TTE297F630t00"/>
                <w:lang w:eastAsia="hr-HR"/>
              </w:rPr>
              <w:t>Povezivanje matematike s drugim predmetima</w:t>
            </w:r>
            <w:r>
              <w:rPr>
                <w:rFonts w:ascii="Cambria" w:eastAsia="SimSun" w:hAnsi="Cambria" w:cs="TTE297F630t00"/>
                <w:lang w:eastAsia="hr-HR"/>
              </w:rPr>
              <w:t xml:space="preserve"> </w:t>
            </w:r>
            <w:r w:rsidRPr="00CB38D0">
              <w:rPr>
                <w:rFonts w:ascii="Cambria" w:eastAsia="SimSun" w:hAnsi="Cambria" w:cs="TTE297F630t00"/>
                <w:lang w:eastAsia="hr-HR"/>
              </w:rPr>
              <w:t xml:space="preserve">i </w:t>
            </w:r>
            <w:proofErr w:type="spellStart"/>
            <w:r w:rsidRPr="00CB38D0">
              <w:rPr>
                <w:rFonts w:ascii="Cambria" w:eastAsia="SimSun" w:hAnsi="Cambria" w:cs="TTE297F630t00"/>
                <w:lang w:eastAsia="hr-HR"/>
              </w:rPr>
              <w:t>međupredmetnim</w:t>
            </w:r>
            <w:proofErr w:type="spellEnd"/>
            <w:r w:rsidRPr="00CB38D0">
              <w:rPr>
                <w:rFonts w:ascii="Cambria" w:eastAsia="SimSun" w:hAnsi="Cambria" w:cs="TTE297F630t00"/>
                <w:lang w:eastAsia="hr-HR"/>
              </w:rPr>
              <w:t xml:space="preserve"> temama i svakodnevnim životom</w:t>
            </w:r>
          </w:p>
          <w:p w14:paraId="40A322B0" w14:textId="77777777" w:rsidR="00D0147D" w:rsidRPr="00E2330C" w:rsidRDefault="00D0147D" w:rsidP="00A034E3">
            <w:pPr>
              <w:pStyle w:val="Odlomakpopisa"/>
              <w:numPr>
                <w:ilvl w:val="0"/>
                <w:numId w:val="20"/>
              </w:numPr>
              <w:spacing w:after="0" w:line="240" w:lineRule="auto"/>
              <w:rPr>
                <w:rFonts w:ascii="Cambria" w:eastAsia="SimSun" w:hAnsi="Cambria" w:cs="TTE297F630t00"/>
                <w:lang w:eastAsia="hr-HR"/>
              </w:rPr>
            </w:pPr>
            <w:r w:rsidRPr="00E2330C">
              <w:rPr>
                <w:rFonts w:ascii="Cambria" w:eastAsia="SimSun" w:hAnsi="Cambria" w:cs="TTE297F630t00"/>
                <w:lang w:eastAsia="hr-HR"/>
              </w:rPr>
              <w:t xml:space="preserve">Psihološke osnove nastave matematike. Subjektivne pretpostavke za formiranje osnovnih matematičkih pojmova. </w:t>
            </w:r>
          </w:p>
          <w:p w14:paraId="4D768E3B" w14:textId="77777777" w:rsidR="00D0147D" w:rsidRPr="00E2330C" w:rsidRDefault="00D0147D" w:rsidP="00A034E3">
            <w:pPr>
              <w:pStyle w:val="Odlomakpopisa"/>
              <w:numPr>
                <w:ilvl w:val="0"/>
                <w:numId w:val="20"/>
              </w:numPr>
              <w:spacing w:after="0" w:line="240" w:lineRule="auto"/>
              <w:rPr>
                <w:rFonts w:ascii="Cambria" w:eastAsia="SimSun" w:hAnsi="Cambria" w:cs="TTE297F630t00"/>
                <w:lang w:eastAsia="hr-HR"/>
              </w:rPr>
            </w:pPr>
            <w:r w:rsidRPr="00E2330C">
              <w:rPr>
                <w:rFonts w:ascii="Cambria" w:eastAsia="SimSun" w:hAnsi="Cambria" w:cs="TTE297F630t00"/>
                <w:lang w:eastAsia="hr-HR"/>
              </w:rPr>
              <w:t xml:space="preserve">Spoznajne osnove početne nastave matematike. Matematički pojam. Metodički pristup formiranju osnovnih matematičkih pojmova. </w:t>
            </w:r>
          </w:p>
          <w:p w14:paraId="583B5489" w14:textId="77777777" w:rsidR="00D0147D" w:rsidRPr="00E2330C" w:rsidRDefault="00D0147D" w:rsidP="00A034E3">
            <w:pPr>
              <w:pStyle w:val="Odlomakpopisa"/>
              <w:numPr>
                <w:ilvl w:val="0"/>
                <w:numId w:val="20"/>
              </w:numPr>
              <w:spacing w:after="0" w:line="240" w:lineRule="auto"/>
              <w:rPr>
                <w:rFonts w:ascii="Cambria" w:eastAsia="SimSun" w:hAnsi="Cambria" w:cs="TTE297F630t00"/>
                <w:lang w:eastAsia="hr-HR"/>
              </w:rPr>
            </w:pPr>
            <w:r w:rsidRPr="00E2330C">
              <w:rPr>
                <w:rFonts w:ascii="Cambria" w:eastAsia="SimSun" w:hAnsi="Cambria" w:cs="TTE297F630t00"/>
                <w:lang w:eastAsia="hr-HR"/>
              </w:rPr>
              <w:t>Načela u nastavi matematike</w:t>
            </w:r>
            <w:r>
              <w:rPr>
                <w:rFonts w:ascii="Cambria" w:eastAsia="SimSun" w:hAnsi="Cambria" w:cs="TTE297F630t00"/>
                <w:lang w:eastAsia="hr-HR"/>
              </w:rPr>
              <w:t>.</w:t>
            </w:r>
          </w:p>
          <w:p w14:paraId="7726E335" w14:textId="77777777" w:rsidR="00D0147D" w:rsidRDefault="00D0147D" w:rsidP="00A034E3">
            <w:pPr>
              <w:pStyle w:val="Odlomakpopisa"/>
              <w:numPr>
                <w:ilvl w:val="0"/>
                <w:numId w:val="20"/>
              </w:numPr>
              <w:spacing w:after="0" w:line="240" w:lineRule="auto"/>
              <w:rPr>
                <w:rFonts w:ascii="Cambria" w:eastAsia="SimSun" w:hAnsi="Cambria" w:cs="TTE297F630t00"/>
                <w:lang w:eastAsia="hr-HR"/>
              </w:rPr>
            </w:pPr>
            <w:r>
              <w:rPr>
                <w:rFonts w:ascii="Cambria" w:eastAsia="SimSun" w:hAnsi="Cambria" w:cs="TTE297F630t00"/>
                <w:lang w:eastAsia="hr-HR"/>
              </w:rPr>
              <w:t>Metode i oblici rada u nastavi matematike.</w:t>
            </w:r>
          </w:p>
          <w:p w14:paraId="29E7677C" w14:textId="77777777" w:rsidR="00D0147D" w:rsidRPr="00E2330C" w:rsidRDefault="00D0147D" w:rsidP="00A034E3">
            <w:pPr>
              <w:pStyle w:val="Odlomakpopisa"/>
              <w:numPr>
                <w:ilvl w:val="0"/>
                <w:numId w:val="20"/>
              </w:numPr>
              <w:spacing w:after="0" w:line="240" w:lineRule="auto"/>
              <w:rPr>
                <w:rFonts w:ascii="Cambria" w:eastAsia="SimSun" w:hAnsi="Cambria" w:cs="TTE297F630t00"/>
                <w:lang w:eastAsia="hr-HR"/>
              </w:rPr>
            </w:pPr>
            <w:r w:rsidRPr="00E2330C">
              <w:rPr>
                <w:rFonts w:ascii="Cambria" w:eastAsia="SimSun" w:hAnsi="Cambria" w:cs="TTE297F630t00"/>
                <w:lang w:eastAsia="hr-HR"/>
              </w:rPr>
              <w:t xml:space="preserve">Nastavna sredstva i pomagala u nastavi matematike. </w:t>
            </w:r>
          </w:p>
          <w:p w14:paraId="2D79C402" w14:textId="77777777" w:rsidR="00D0147D" w:rsidRPr="00E2330C" w:rsidRDefault="00D0147D" w:rsidP="00A034E3">
            <w:pPr>
              <w:pStyle w:val="Odlomakpopisa"/>
              <w:numPr>
                <w:ilvl w:val="0"/>
                <w:numId w:val="20"/>
              </w:numPr>
              <w:spacing w:after="0" w:line="240" w:lineRule="auto"/>
              <w:rPr>
                <w:rFonts w:ascii="Cambria" w:eastAsia="SimSun" w:hAnsi="Cambria" w:cs="TTE297F630t00"/>
                <w:lang w:eastAsia="hr-HR"/>
              </w:rPr>
            </w:pPr>
            <w:r w:rsidRPr="00E2330C">
              <w:rPr>
                <w:rFonts w:ascii="Cambria" w:eastAsia="SimSun" w:hAnsi="Cambria" w:cs="TTE297F630t00"/>
                <w:lang w:eastAsia="hr-HR"/>
              </w:rPr>
              <w:t xml:space="preserve">Organizacija </w:t>
            </w:r>
            <w:r>
              <w:rPr>
                <w:rFonts w:ascii="Cambria" w:eastAsia="SimSun" w:hAnsi="Cambria" w:cs="TTE297F630t00"/>
                <w:lang w:eastAsia="hr-HR"/>
              </w:rPr>
              <w:t xml:space="preserve">nastavnog </w:t>
            </w:r>
            <w:r w:rsidRPr="00E2330C">
              <w:rPr>
                <w:rFonts w:ascii="Cambria" w:eastAsia="SimSun" w:hAnsi="Cambria" w:cs="TTE297F630t00"/>
                <w:lang w:eastAsia="hr-HR"/>
              </w:rPr>
              <w:t xml:space="preserve">sata </w:t>
            </w:r>
          </w:p>
          <w:p w14:paraId="336150E7" w14:textId="77777777" w:rsidR="00D0147D" w:rsidRPr="000C67FD" w:rsidRDefault="00D0147D" w:rsidP="00A034E3">
            <w:pPr>
              <w:pStyle w:val="Odlomakpopisa"/>
              <w:numPr>
                <w:ilvl w:val="0"/>
                <w:numId w:val="20"/>
              </w:numPr>
              <w:spacing w:after="0" w:line="240" w:lineRule="auto"/>
              <w:rPr>
                <w:rFonts w:ascii="Cambria" w:eastAsia="SimSun" w:hAnsi="Cambria" w:cs="Calibri"/>
                <w:lang w:eastAsia="hr-HR"/>
              </w:rPr>
            </w:pPr>
            <w:r w:rsidRPr="00E2330C">
              <w:rPr>
                <w:rFonts w:ascii="Cambria" w:eastAsia="SimSun" w:hAnsi="Cambria" w:cs="TTE297F630t00"/>
                <w:lang w:eastAsia="hr-HR"/>
              </w:rPr>
              <w:t xml:space="preserve">Planiranje, od kurikuluma do nastavne pripreme. </w:t>
            </w:r>
          </w:p>
          <w:p w14:paraId="37696F08" w14:textId="77777777" w:rsidR="00D0147D" w:rsidRPr="007A153C" w:rsidRDefault="00D0147D" w:rsidP="00A034E3">
            <w:pPr>
              <w:pStyle w:val="Odlomakpopisa"/>
              <w:numPr>
                <w:ilvl w:val="0"/>
                <w:numId w:val="20"/>
              </w:numPr>
              <w:spacing w:after="0" w:line="240" w:lineRule="auto"/>
              <w:rPr>
                <w:rFonts w:ascii="Cambria" w:eastAsia="SimSun" w:hAnsi="Cambria" w:cs="Calibri"/>
                <w:lang w:eastAsia="hr-HR"/>
              </w:rPr>
            </w:pPr>
            <w:r w:rsidRPr="00E2330C">
              <w:rPr>
                <w:rFonts w:ascii="Cambria" w:eastAsia="SimSun" w:hAnsi="Cambria" w:cs="TTE297F630t00"/>
                <w:lang w:eastAsia="hr-HR"/>
              </w:rPr>
              <w:t>Vrednovanje matematičkih sadržaja</w:t>
            </w:r>
          </w:p>
          <w:p w14:paraId="62D559D3" w14:textId="77777777" w:rsidR="00D0147D" w:rsidRPr="00E159B2" w:rsidRDefault="00D0147D" w:rsidP="00A034E3">
            <w:pPr>
              <w:pStyle w:val="Odlomakpopisa"/>
              <w:numPr>
                <w:ilvl w:val="0"/>
                <w:numId w:val="20"/>
              </w:numPr>
              <w:spacing w:after="0" w:line="240" w:lineRule="auto"/>
              <w:rPr>
                <w:rFonts w:ascii="Cambria" w:eastAsia="SimSun" w:hAnsi="Cambria" w:cs="Calibri"/>
                <w:lang w:eastAsia="hr-HR"/>
              </w:rPr>
            </w:pPr>
            <w:r>
              <w:rPr>
                <w:rFonts w:ascii="Cambria" w:eastAsia="SimSun" w:hAnsi="Cambria" w:cs="TTE297F630t00"/>
                <w:lang w:eastAsia="hr-HR"/>
              </w:rPr>
              <w:t>Zanimljivosti iz svijeta matematike</w:t>
            </w:r>
          </w:p>
        </w:tc>
      </w:tr>
      <w:tr w:rsidR="00D0147D" w:rsidRPr="00E45645" w14:paraId="4CDF0EE4" w14:textId="77777777" w:rsidTr="000F1A10">
        <w:tc>
          <w:tcPr>
            <w:tcW w:w="2683"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19D30F7B" w14:textId="77777777" w:rsidR="00D0147D" w:rsidRPr="00A62FBD" w:rsidRDefault="00D0147D" w:rsidP="000F1A10">
            <w:pPr>
              <w:spacing w:after="0" w:line="240" w:lineRule="auto"/>
              <w:rPr>
                <w:rFonts w:ascii="Cambria" w:hAnsi="Cambria" w:cs="Calibri"/>
              </w:rPr>
            </w:pPr>
            <w:proofErr w:type="spellStart"/>
            <w:r w:rsidRPr="00A62FBD">
              <w:rPr>
                <w:rFonts w:ascii="Cambria" w:hAnsi="Cambria" w:cs="Calibri"/>
              </w:rPr>
              <w:t>Planirane</w:t>
            </w:r>
            <w:proofErr w:type="spellEnd"/>
            <w:r w:rsidRPr="00A62FBD">
              <w:rPr>
                <w:rFonts w:ascii="Cambria" w:hAnsi="Cambria" w:cs="Calibri"/>
              </w:rPr>
              <w:t xml:space="preserve"> </w:t>
            </w:r>
            <w:proofErr w:type="spellStart"/>
            <w:r w:rsidRPr="00A62FBD">
              <w:rPr>
                <w:rFonts w:ascii="Cambria" w:hAnsi="Cambria" w:cs="Calibri"/>
              </w:rPr>
              <w:t>aktivnosti</w:t>
            </w:r>
            <w:proofErr w:type="spellEnd"/>
            <w:r w:rsidRPr="00A62FBD">
              <w:rPr>
                <w:rFonts w:ascii="Cambria" w:hAnsi="Cambria" w:cs="Calibri"/>
                <w:lang w:val="it-IT"/>
              </w:rPr>
              <w:t>,</w:t>
            </w:r>
          </w:p>
          <w:p w14:paraId="51059250" w14:textId="77777777" w:rsidR="00D0147D" w:rsidRPr="00161325" w:rsidRDefault="00D0147D" w:rsidP="000F1A10">
            <w:pPr>
              <w:spacing w:after="0" w:line="240" w:lineRule="auto"/>
              <w:rPr>
                <w:rFonts w:ascii="Cambria" w:hAnsi="Cambria" w:cs="Calibri"/>
                <w:lang w:val="it-IT"/>
              </w:rPr>
            </w:pPr>
            <w:proofErr w:type="spellStart"/>
            <w:r w:rsidRPr="00A62FBD">
              <w:rPr>
                <w:rFonts w:ascii="Cambria" w:hAnsi="Cambria" w:cs="Calibri"/>
                <w:lang w:val="it-IT"/>
              </w:rPr>
              <w:lastRenderedPageBreak/>
              <w:t>metode</w:t>
            </w:r>
            <w:proofErr w:type="spellEnd"/>
            <w:r w:rsidRPr="00A62FBD">
              <w:rPr>
                <w:rFonts w:ascii="Cambria" w:hAnsi="Cambria" w:cs="Calibri"/>
                <w:lang w:val="it-IT"/>
              </w:rPr>
              <w:t xml:space="preserve"> </w:t>
            </w:r>
            <w:proofErr w:type="spellStart"/>
            <w:r w:rsidRPr="00161325">
              <w:rPr>
                <w:rFonts w:ascii="Cambria" w:hAnsi="Cambria" w:cs="Calibri"/>
                <w:lang w:val="it-IT"/>
              </w:rPr>
              <w:t>učenja</w:t>
            </w:r>
            <w:proofErr w:type="spellEnd"/>
            <w:r w:rsidRPr="00161325">
              <w:rPr>
                <w:rFonts w:ascii="Cambria" w:hAnsi="Cambria" w:cs="Calibri"/>
                <w:lang w:val="it-IT"/>
              </w:rPr>
              <w:t xml:space="preserve"> i </w:t>
            </w:r>
            <w:proofErr w:type="spellStart"/>
            <w:r w:rsidRPr="00161325">
              <w:rPr>
                <w:rFonts w:ascii="Cambria" w:hAnsi="Cambria" w:cs="Calibri"/>
                <w:lang w:val="it-IT"/>
              </w:rPr>
              <w:t>poučavanja</w:t>
            </w:r>
            <w:proofErr w:type="spellEnd"/>
            <w:r w:rsidRPr="00161325">
              <w:rPr>
                <w:rFonts w:ascii="Cambria" w:hAnsi="Cambria" w:cs="Calibri"/>
                <w:lang w:val="it-IT"/>
              </w:rPr>
              <w:t xml:space="preserve"> i </w:t>
            </w:r>
            <w:proofErr w:type="spellStart"/>
            <w:r w:rsidRPr="00161325">
              <w:rPr>
                <w:rFonts w:ascii="Cambria" w:hAnsi="Cambria" w:cs="Calibri"/>
                <w:lang w:val="it-IT"/>
              </w:rPr>
              <w:t>načini</w:t>
            </w:r>
            <w:proofErr w:type="spellEnd"/>
            <w:r w:rsidRPr="00161325">
              <w:rPr>
                <w:rFonts w:ascii="Cambria" w:hAnsi="Cambria" w:cs="Calibri"/>
                <w:lang w:val="it-IT"/>
              </w:rPr>
              <w:t xml:space="preserve"> </w:t>
            </w:r>
            <w:proofErr w:type="spellStart"/>
            <w:r w:rsidRPr="00161325">
              <w:rPr>
                <w:rFonts w:ascii="Cambria" w:hAnsi="Cambria" w:cs="Calibri"/>
                <w:lang w:val="it-IT"/>
              </w:rPr>
              <w:t>vrednovanja</w:t>
            </w:r>
            <w:proofErr w:type="spellEnd"/>
          </w:p>
          <w:p w14:paraId="5DCADC7B" w14:textId="77777777" w:rsidR="00D0147D" w:rsidRPr="00161325" w:rsidRDefault="00D0147D" w:rsidP="000F1A10">
            <w:pPr>
              <w:spacing w:after="0" w:line="240" w:lineRule="auto"/>
              <w:rPr>
                <w:rFonts w:ascii="Cambria" w:hAnsi="Cambria" w:cs="Calibri"/>
                <w:lang w:val="it-IT"/>
              </w:rPr>
            </w:pPr>
          </w:p>
        </w:tc>
        <w:tc>
          <w:tcPr>
            <w:tcW w:w="21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A793738" w14:textId="77777777" w:rsidR="00D0147D" w:rsidRPr="00A62FBD" w:rsidRDefault="00D0147D" w:rsidP="000F1A10">
            <w:pPr>
              <w:spacing w:after="0" w:line="240" w:lineRule="auto"/>
              <w:rPr>
                <w:rFonts w:ascii="Cambria" w:hAnsi="Cambria" w:cs="Calibri"/>
              </w:rPr>
            </w:pPr>
            <w:proofErr w:type="spellStart"/>
            <w:r w:rsidRPr="00E41472">
              <w:rPr>
                <w:rFonts w:ascii="Cambria" w:hAnsi="Cambria" w:cs="Calibri"/>
              </w:rPr>
              <w:lastRenderedPageBreak/>
              <w:t>Obaveze</w:t>
            </w:r>
            <w:proofErr w:type="spellEnd"/>
          </w:p>
        </w:tc>
        <w:tc>
          <w:tcPr>
            <w:tcW w:w="99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74845B3" w14:textId="77777777" w:rsidR="00D0147D" w:rsidRPr="00A62FBD" w:rsidRDefault="00D0147D" w:rsidP="000F1A10">
            <w:pPr>
              <w:spacing w:after="0" w:line="240" w:lineRule="auto"/>
              <w:jc w:val="center"/>
              <w:rPr>
                <w:rFonts w:ascii="Cambria" w:hAnsi="Cambria" w:cs="Calibri"/>
              </w:rPr>
            </w:pPr>
            <w:proofErr w:type="spellStart"/>
            <w:r w:rsidRPr="00E41472">
              <w:rPr>
                <w:rFonts w:ascii="Cambria" w:hAnsi="Cambria" w:cs="Calibri"/>
              </w:rPr>
              <w:t>Ishodi</w:t>
            </w:r>
            <w:proofErr w:type="spellEnd"/>
          </w:p>
        </w:tc>
        <w:tc>
          <w:tcPr>
            <w:tcW w:w="8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AA69C27" w14:textId="77777777" w:rsidR="00D0147D" w:rsidRPr="00A62FBD" w:rsidRDefault="00D0147D" w:rsidP="000F1A10">
            <w:pPr>
              <w:spacing w:after="0" w:line="240" w:lineRule="auto"/>
              <w:jc w:val="center"/>
              <w:rPr>
                <w:rFonts w:ascii="Cambria" w:hAnsi="Cambria" w:cs="Calibri"/>
              </w:rPr>
            </w:pPr>
            <w:r w:rsidRPr="00E41472">
              <w:rPr>
                <w:rFonts w:ascii="Cambria" w:hAnsi="Cambria" w:cs="Calibri"/>
              </w:rPr>
              <w:t>Sati</w:t>
            </w:r>
          </w:p>
        </w:tc>
        <w:tc>
          <w:tcPr>
            <w:tcW w:w="77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4C13985" w14:textId="77777777" w:rsidR="00D0147D" w:rsidRPr="00A62FBD" w:rsidRDefault="00D0147D" w:rsidP="000F1A10">
            <w:pPr>
              <w:spacing w:after="0" w:line="240" w:lineRule="auto"/>
              <w:jc w:val="center"/>
              <w:rPr>
                <w:rFonts w:ascii="Cambria" w:hAnsi="Cambria" w:cs="Calibri"/>
              </w:rPr>
            </w:pPr>
            <w:r>
              <w:rPr>
                <w:rFonts w:ascii="Cambria" w:hAnsi="Cambria" w:cs="Calibri"/>
              </w:rPr>
              <w:t>ECTS</w:t>
            </w:r>
          </w:p>
        </w:tc>
        <w:tc>
          <w:tcPr>
            <w:tcW w:w="194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3C86362" w14:textId="77777777" w:rsidR="00D0147D" w:rsidRPr="00E41472" w:rsidRDefault="00D0147D" w:rsidP="000F1A10">
            <w:pPr>
              <w:spacing w:after="0" w:line="240" w:lineRule="auto"/>
              <w:jc w:val="center"/>
              <w:rPr>
                <w:rFonts w:ascii="Cambria" w:hAnsi="Cambria" w:cs="Calibri"/>
              </w:rPr>
            </w:pPr>
            <w:proofErr w:type="spellStart"/>
            <w:r w:rsidRPr="00E41472">
              <w:rPr>
                <w:rFonts w:ascii="Cambria" w:hAnsi="Cambria" w:cs="Calibri"/>
              </w:rPr>
              <w:t>Maksimalni</w:t>
            </w:r>
            <w:proofErr w:type="spellEnd"/>
          </w:p>
          <w:p w14:paraId="399965B1" w14:textId="77777777" w:rsidR="00D0147D" w:rsidRPr="00A62FBD" w:rsidRDefault="00D0147D" w:rsidP="000F1A10">
            <w:pPr>
              <w:spacing w:after="0" w:line="240" w:lineRule="auto"/>
              <w:jc w:val="center"/>
              <w:rPr>
                <w:rFonts w:ascii="Cambria" w:hAnsi="Cambria" w:cs="Calibri"/>
              </w:rPr>
            </w:pPr>
            <w:proofErr w:type="spellStart"/>
            <w:r w:rsidRPr="00E41472">
              <w:rPr>
                <w:rFonts w:ascii="Cambria" w:hAnsi="Cambria" w:cs="Calibri"/>
              </w:rPr>
              <w:t>udio</w:t>
            </w:r>
            <w:proofErr w:type="spellEnd"/>
            <w:r w:rsidRPr="00E41472">
              <w:rPr>
                <w:rFonts w:ascii="Cambria" w:hAnsi="Cambria" w:cs="Calibri"/>
              </w:rPr>
              <w:t xml:space="preserve"> u </w:t>
            </w:r>
            <w:proofErr w:type="spellStart"/>
            <w:r w:rsidRPr="00E41472">
              <w:rPr>
                <w:rFonts w:ascii="Cambria" w:hAnsi="Cambria" w:cs="Calibri"/>
              </w:rPr>
              <w:t>ocjeni</w:t>
            </w:r>
            <w:proofErr w:type="spellEnd"/>
            <w:r w:rsidRPr="00E41472">
              <w:rPr>
                <w:rFonts w:ascii="Cambria" w:hAnsi="Cambria" w:cs="Calibri"/>
              </w:rPr>
              <w:t xml:space="preserve"> (%)</w:t>
            </w:r>
          </w:p>
        </w:tc>
      </w:tr>
      <w:tr w:rsidR="00D0147D" w:rsidRPr="00E45645" w14:paraId="0F4ECDD1" w14:textId="77777777" w:rsidTr="000F1A10">
        <w:tc>
          <w:tcPr>
            <w:tcW w:w="2683" w:type="dxa"/>
            <w:vMerge/>
            <w:tcBorders>
              <w:left w:val="single" w:sz="8" w:space="0" w:color="000000"/>
              <w:right w:val="single" w:sz="8" w:space="0" w:color="000000"/>
            </w:tcBorders>
            <w:vAlign w:val="center"/>
          </w:tcPr>
          <w:p w14:paraId="244B27A2" w14:textId="77777777" w:rsidR="00D0147D" w:rsidRPr="00A62FBD" w:rsidRDefault="00D0147D" w:rsidP="000F1A10">
            <w:pPr>
              <w:spacing w:after="0" w:line="240" w:lineRule="auto"/>
              <w:rPr>
                <w:rFonts w:ascii="Cambria" w:hAnsi="Cambria" w:cs="Calibri"/>
              </w:rPr>
            </w:pPr>
          </w:p>
        </w:tc>
        <w:tc>
          <w:tcPr>
            <w:tcW w:w="21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23C2D6B" w14:textId="77777777" w:rsidR="00D0147D" w:rsidRPr="00A62FBD" w:rsidRDefault="00D0147D" w:rsidP="000F1A10">
            <w:pPr>
              <w:spacing w:after="0" w:line="240" w:lineRule="auto"/>
              <w:rPr>
                <w:rFonts w:ascii="Cambria" w:hAnsi="Cambria" w:cs="Calibri"/>
              </w:rPr>
            </w:pPr>
            <w:proofErr w:type="spellStart"/>
            <w:r w:rsidRPr="00E2330C">
              <w:rPr>
                <w:rFonts w:ascii="Cambria" w:hAnsi="Cambria"/>
              </w:rPr>
              <w:t>aktivnosti</w:t>
            </w:r>
            <w:proofErr w:type="spellEnd"/>
            <w:r w:rsidRPr="00E2330C">
              <w:rPr>
                <w:rFonts w:ascii="Cambria" w:hAnsi="Cambria"/>
              </w:rPr>
              <w:t xml:space="preserve"> u </w:t>
            </w:r>
            <w:proofErr w:type="spellStart"/>
            <w:r w:rsidRPr="00E2330C">
              <w:rPr>
                <w:rFonts w:ascii="Cambria" w:hAnsi="Cambria"/>
              </w:rPr>
              <w:t>nastavi</w:t>
            </w:r>
            <w:proofErr w:type="spellEnd"/>
          </w:p>
        </w:tc>
        <w:tc>
          <w:tcPr>
            <w:tcW w:w="99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9A74B39" w14:textId="77777777" w:rsidR="00D0147D" w:rsidRPr="00A62FBD" w:rsidRDefault="00D0147D" w:rsidP="000F1A10">
            <w:pPr>
              <w:spacing w:after="0" w:line="240" w:lineRule="auto"/>
              <w:jc w:val="center"/>
              <w:rPr>
                <w:rFonts w:ascii="Cambria" w:hAnsi="Cambria" w:cs="Calibri"/>
              </w:rPr>
            </w:pPr>
            <w:r w:rsidRPr="00E2330C">
              <w:rPr>
                <w:rFonts w:ascii="Cambria" w:hAnsi="Cambria"/>
              </w:rPr>
              <w:t>1.</w:t>
            </w:r>
            <w:r>
              <w:rPr>
                <w:rFonts w:ascii="Cambria" w:hAnsi="Cambria"/>
              </w:rPr>
              <w:t xml:space="preserve"> – </w:t>
            </w:r>
            <w:r w:rsidRPr="00E2330C">
              <w:rPr>
                <w:rFonts w:ascii="Cambria" w:hAnsi="Cambria"/>
              </w:rPr>
              <w:t>6.</w:t>
            </w:r>
          </w:p>
        </w:tc>
        <w:tc>
          <w:tcPr>
            <w:tcW w:w="8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1FD8C2A" w14:textId="77777777" w:rsidR="00D0147D" w:rsidRPr="00A62FBD" w:rsidRDefault="00D0147D" w:rsidP="000F1A10">
            <w:pPr>
              <w:spacing w:after="0" w:line="240" w:lineRule="auto"/>
              <w:jc w:val="center"/>
              <w:rPr>
                <w:rFonts w:ascii="Cambria" w:hAnsi="Cambria" w:cs="Calibri"/>
              </w:rPr>
            </w:pPr>
            <w:r>
              <w:rPr>
                <w:rFonts w:ascii="Cambria" w:hAnsi="Cambria"/>
              </w:rPr>
              <w:t>34</w:t>
            </w:r>
          </w:p>
        </w:tc>
        <w:tc>
          <w:tcPr>
            <w:tcW w:w="77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6F72BE2" w14:textId="77777777" w:rsidR="00D0147D" w:rsidRPr="00A62FBD" w:rsidRDefault="00D0147D" w:rsidP="000F1A10">
            <w:pPr>
              <w:spacing w:after="0" w:line="240" w:lineRule="auto"/>
              <w:jc w:val="center"/>
              <w:rPr>
                <w:rFonts w:ascii="Cambria" w:hAnsi="Cambria" w:cs="Calibri"/>
              </w:rPr>
            </w:pPr>
            <w:r>
              <w:rPr>
                <w:rFonts w:ascii="Cambria" w:hAnsi="Cambria"/>
              </w:rPr>
              <w:t>1,1</w:t>
            </w:r>
          </w:p>
        </w:tc>
        <w:tc>
          <w:tcPr>
            <w:tcW w:w="194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35B440E" w14:textId="77777777" w:rsidR="00D0147D" w:rsidRPr="00A62FBD" w:rsidRDefault="00D0147D" w:rsidP="000F1A10">
            <w:pPr>
              <w:spacing w:after="0" w:line="240" w:lineRule="auto"/>
              <w:jc w:val="center"/>
              <w:rPr>
                <w:rFonts w:ascii="Cambria" w:hAnsi="Cambria" w:cs="Calibri"/>
              </w:rPr>
            </w:pPr>
            <w:r w:rsidRPr="00E2330C">
              <w:rPr>
                <w:rFonts w:ascii="Cambria" w:hAnsi="Cambria"/>
              </w:rPr>
              <w:t>3</w:t>
            </w:r>
            <w:r>
              <w:rPr>
                <w:rFonts w:ascii="Cambria" w:hAnsi="Cambria"/>
              </w:rPr>
              <w:t>5</w:t>
            </w:r>
            <w:r w:rsidRPr="00E2330C">
              <w:rPr>
                <w:rFonts w:ascii="Cambria" w:hAnsi="Cambria"/>
              </w:rPr>
              <w:t>%</w:t>
            </w:r>
          </w:p>
        </w:tc>
      </w:tr>
      <w:tr w:rsidR="00D0147D" w:rsidRPr="00E45645" w14:paraId="6F58153F" w14:textId="77777777" w:rsidTr="000F1A10">
        <w:tc>
          <w:tcPr>
            <w:tcW w:w="2683" w:type="dxa"/>
            <w:vMerge/>
            <w:tcBorders>
              <w:left w:val="single" w:sz="8" w:space="0" w:color="000000"/>
              <w:right w:val="single" w:sz="8" w:space="0" w:color="000000"/>
            </w:tcBorders>
            <w:vAlign w:val="center"/>
          </w:tcPr>
          <w:p w14:paraId="5D3A80CC" w14:textId="77777777" w:rsidR="00D0147D" w:rsidRPr="00A62FBD" w:rsidRDefault="00D0147D" w:rsidP="000F1A10">
            <w:pPr>
              <w:spacing w:after="0" w:line="240" w:lineRule="auto"/>
              <w:rPr>
                <w:rFonts w:ascii="Cambria" w:hAnsi="Cambria" w:cs="Calibri"/>
              </w:rPr>
            </w:pPr>
          </w:p>
        </w:tc>
        <w:tc>
          <w:tcPr>
            <w:tcW w:w="21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86C02F4" w14:textId="77777777" w:rsidR="00D0147D" w:rsidRPr="00A62FBD" w:rsidRDefault="00D0147D" w:rsidP="000F1A10">
            <w:pPr>
              <w:spacing w:after="0" w:line="240" w:lineRule="auto"/>
              <w:rPr>
                <w:rFonts w:ascii="Cambria" w:hAnsi="Cambria" w:cs="Calibri"/>
              </w:rPr>
            </w:pPr>
            <w:proofErr w:type="spellStart"/>
            <w:r w:rsidRPr="00E2330C">
              <w:rPr>
                <w:rFonts w:ascii="Cambria" w:hAnsi="Cambria"/>
              </w:rPr>
              <w:t>pismeni</w:t>
            </w:r>
            <w:proofErr w:type="spellEnd"/>
            <w:r w:rsidRPr="00E2330C">
              <w:rPr>
                <w:rFonts w:ascii="Cambria" w:hAnsi="Cambria"/>
              </w:rPr>
              <w:t xml:space="preserve"> </w:t>
            </w:r>
            <w:proofErr w:type="spellStart"/>
            <w:r w:rsidRPr="00E2330C">
              <w:rPr>
                <w:rFonts w:ascii="Cambria" w:hAnsi="Cambria"/>
              </w:rPr>
              <w:t>ispit</w:t>
            </w:r>
            <w:proofErr w:type="spellEnd"/>
            <w:r w:rsidRPr="00E2330C">
              <w:rPr>
                <w:rFonts w:ascii="Cambria" w:hAnsi="Cambria"/>
              </w:rPr>
              <w:t xml:space="preserve">  </w:t>
            </w:r>
          </w:p>
        </w:tc>
        <w:tc>
          <w:tcPr>
            <w:tcW w:w="99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2BA133F" w14:textId="77777777" w:rsidR="00D0147D" w:rsidRPr="00A62FBD" w:rsidRDefault="00D0147D" w:rsidP="000F1A10">
            <w:pPr>
              <w:spacing w:after="0" w:line="240" w:lineRule="auto"/>
              <w:jc w:val="center"/>
              <w:rPr>
                <w:rFonts w:ascii="Cambria" w:hAnsi="Cambria" w:cs="Calibri"/>
              </w:rPr>
            </w:pPr>
            <w:r w:rsidRPr="00E2330C">
              <w:rPr>
                <w:rFonts w:ascii="Cambria" w:hAnsi="Cambria"/>
              </w:rPr>
              <w:t>1.</w:t>
            </w:r>
            <w:r>
              <w:rPr>
                <w:rFonts w:ascii="Cambria" w:hAnsi="Cambria"/>
              </w:rPr>
              <w:t xml:space="preserve"> – </w:t>
            </w:r>
            <w:r w:rsidRPr="00E2330C">
              <w:rPr>
                <w:rFonts w:ascii="Cambria" w:hAnsi="Cambria"/>
              </w:rPr>
              <w:t>6.</w:t>
            </w:r>
          </w:p>
        </w:tc>
        <w:tc>
          <w:tcPr>
            <w:tcW w:w="8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781321A" w14:textId="77777777" w:rsidR="00D0147D" w:rsidRPr="00A62FBD" w:rsidRDefault="00D0147D" w:rsidP="000F1A10">
            <w:pPr>
              <w:spacing w:after="0" w:line="240" w:lineRule="auto"/>
              <w:jc w:val="center"/>
              <w:rPr>
                <w:rFonts w:ascii="Cambria" w:hAnsi="Cambria" w:cs="Calibri"/>
              </w:rPr>
            </w:pPr>
            <w:r>
              <w:rPr>
                <w:rFonts w:ascii="Cambria" w:hAnsi="Cambria"/>
              </w:rPr>
              <w:t>45</w:t>
            </w:r>
          </w:p>
        </w:tc>
        <w:tc>
          <w:tcPr>
            <w:tcW w:w="77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26BDD98" w14:textId="77777777" w:rsidR="00D0147D" w:rsidRPr="00A62FBD" w:rsidRDefault="00D0147D" w:rsidP="000F1A10">
            <w:pPr>
              <w:spacing w:after="0" w:line="240" w:lineRule="auto"/>
              <w:jc w:val="center"/>
              <w:rPr>
                <w:rFonts w:ascii="Cambria" w:hAnsi="Cambria" w:cs="Calibri"/>
              </w:rPr>
            </w:pPr>
            <w:r>
              <w:rPr>
                <w:rFonts w:ascii="Cambria" w:hAnsi="Cambria"/>
              </w:rPr>
              <w:t>1,5</w:t>
            </w:r>
          </w:p>
        </w:tc>
        <w:tc>
          <w:tcPr>
            <w:tcW w:w="194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F20FB5E" w14:textId="77777777" w:rsidR="00D0147D" w:rsidRPr="00A62FBD" w:rsidRDefault="00D0147D" w:rsidP="000F1A10">
            <w:pPr>
              <w:spacing w:after="0" w:line="240" w:lineRule="auto"/>
              <w:jc w:val="center"/>
              <w:rPr>
                <w:rFonts w:ascii="Cambria" w:hAnsi="Cambria" w:cs="Calibri"/>
              </w:rPr>
            </w:pPr>
            <w:r w:rsidRPr="00E2330C">
              <w:rPr>
                <w:rFonts w:ascii="Cambria" w:hAnsi="Cambria"/>
              </w:rPr>
              <w:t>30%</w:t>
            </w:r>
          </w:p>
        </w:tc>
      </w:tr>
      <w:tr w:rsidR="00D0147D" w:rsidRPr="00E45645" w14:paraId="1344FB29" w14:textId="77777777" w:rsidTr="000F1A10">
        <w:tc>
          <w:tcPr>
            <w:tcW w:w="2683" w:type="dxa"/>
            <w:vMerge/>
            <w:tcBorders>
              <w:left w:val="single" w:sz="8" w:space="0" w:color="000000"/>
              <w:right w:val="single" w:sz="8" w:space="0" w:color="000000"/>
            </w:tcBorders>
            <w:vAlign w:val="center"/>
          </w:tcPr>
          <w:p w14:paraId="2133F266" w14:textId="77777777" w:rsidR="00D0147D" w:rsidRPr="00A62FBD" w:rsidRDefault="00D0147D" w:rsidP="000F1A10">
            <w:pPr>
              <w:spacing w:after="0" w:line="240" w:lineRule="auto"/>
              <w:rPr>
                <w:rFonts w:ascii="Cambria" w:hAnsi="Cambria" w:cs="Calibri"/>
              </w:rPr>
            </w:pPr>
          </w:p>
        </w:tc>
        <w:tc>
          <w:tcPr>
            <w:tcW w:w="21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0E6E4BB" w14:textId="77777777" w:rsidR="00D0147D" w:rsidRPr="00A62FBD" w:rsidRDefault="00D0147D" w:rsidP="000F1A10">
            <w:pPr>
              <w:spacing w:after="0" w:line="240" w:lineRule="auto"/>
              <w:rPr>
                <w:rFonts w:ascii="Cambria" w:hAnsi="Cambria" w:cs="Calibri"/>
              </w:rPr>
            </w:pPr>
            <w:proofErr w:type="spellStart"/>
            <w:r w:rsidRPr="00E2330C">
              <w:rPr>
                <w:rFonts w:ascii="Cambria" w:hAnsi="Cambria"/>
              </w:rPr>
              <w:t>usmeni</w:t>
            </w:r>
            <w:proofErr w:type="spellEnd"/>
            <w:r w:rsidRPr="00E2330C">
              <w:rPr>
                <w:rFonts w:ascii="Cambria" w:hAnsi="Cambria"/>
              </w:rPr>
              <w:t xml:space="preserve"> </w:t>
            </w:r>
            <w:proofErr w:type="spellStart"/>
            <w:r w:rsidRPr="00E2330C">
              <w:rPr>
                <w:rFonts w:ascii="Cambria" w:hAnsi="Cambria"/>
              </w:rPr>
              <w:t>ispit</w:t>
            </w:r>
            <w:proofErr w:type="spellEnd"/>
          </w:p>
        </w:tc>
        <w:tc>
          <w:tcPr>
            <w:tcW w:w="99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4E1C42F" w14:textId="77777777" w:rsidR="00D0147D" w:rsidRPr="00A62FBD" w:rsidRDefault="00D0147D" w:rsidP="000F1A10">
            <w:pPr>
              <w:spacing w:after="0" w:line="240" w:lineRule="auto"/>
              <w:jc w:val="center"/>
              <w:rPr>
                <w:rFonts w:ascii="Cambria" w:hAnsi="Cambria" w:cs="Calibri"/>
              </w:rPr>
            </w:pPr>
            <w:r w:rsidRPr="00E2330C">
              <w:rPr>
                <w:rFonts w:ascii="Cambria" w:hAnsi="Cambria"/>
              </w:rPr>
              <w:t>1.</w:t>
            </w:r>
            <w:r>
              <w:rPr>
                <w:rFonts w:ascii="Cambria" w:hAnsi="Cambria"/>
              </w:rPr>
              <w:t xml:space="preserve"> – </w:t>
            </w:r>
            <w:r w:rsidRPr="00E2330C">
              <w:rPr>
                <w:rFonts w:ascii="Cambria" w:hAnsi="Cambria"/>
              </w:rPr>
              <w:t>6.</w:t>
            </w:r>
          </w:p>
        </w:tc>
        <w:tc>
          <w:tcPr>
            <w:tcW w:w="8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4300848" w14:textId="6301C848" w:rsidR="00D0147D" w:rsidRPr="00A62FBD" w:rsidRDefault="00D0147D" w:rsidP="000F1A10">
            <w:pPr>
              <w:spacing w:after="0" w:line="240" w:lineRule="auto"/>
              <w:jc w:val="center"/>
              <w:rPr>
                <w:rFonts w:ascii="Cambria" w:hAnsi="Cambria" w:cs="Calibri"/>
              </w:rPr>
            </w:pPr>
            <w:r>
              <w:rPr>
                <w:rFonts w:ascii="Cambria" w:hAnsi="Cambria"/>
              </w:rPr>
              <w:t>41</w:t>
            </w:r>
          </w:p>
        </w:tc>
        <w:tc>
          <w:tcPr>
            <w:tcW w:w="77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1BA7764" w14:textId="571A577F" w:rsidR="00D0147D" w:rsidRPr="00EE0ED0" w:rsidRDefault="00D0147D" w:rsidP="000F1A10">
            <w:pPr>
              <w:spacing w:after="0" w:line="240" w:lineRule="auto"/>
              <w:jc w:val="center"/>
              <w:rPr>
                <w:rFonts w:ascii="Cambria" w:hAnsi="Cambria" w:cs="Calibri"/>
              </w:rPr>
            </w:pPr>
            <w:r>
              <w:rPr>
                <w:rFonts w:ascii="Cambria" w:hAnsi="Cambria"/>
              </w:rPr>
              <w:t>1,4</w:t>
            </w:r>
          </w:p>
        </w:tc>
        <w:tc>
          <w:tcPr>
            <w:tcW w:w="194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9830ADF" w14:textId="77777777" w:rsidR="00D0147D" w:rsidRPr="00A62FBD" w:rsidRDefault="00D0147D" w:rsidP="000F1A10">
            <w:pPr>
              <w:spacing w:after="0" w:line="240" w:lineRule="auto"/>
              <w:jc w:val="center"/>
              <w:rPr>
                <w:rFonts w:ascii="Cambria" w:hAnsi="Cambria" w:cs="Calibri"/>
              </w:rPr>
            </w:pPr>
            <w:r w:rsidRPr="00E2330C">
              <w:rPr>
                <w:rFonts w:ascii="Cambria" w:hAnsi="Cambria"/>
              </w:rPr>
              <w:t>35%</w:t>
            </w:r>
          </w:p>
        </w:tc>
      </w:tr>
      <w:tr w:rsidR="00D0147D" w:rsidRPr="00E45645" w14:paraId="7B581D64" w14:textId="77777777" w:rsidTr="000F1A10">
        <w:tc>
          <w:tcPr>
            <w:tcW w:w="2683" w:type="dxa"/>
            <w:vMerge/>
            <w:tcBorders>
              <w:left w:val="single" w:sz="8" w:space="0" w:color="000000"/>
              <w:right w:val="single" w:sz="8" w:space="0" w:color="000000"/>
            </w:tcBorders>
            <w:vAlign w:val="center"/>
          </w:tcPr>
          <w:p w14:paraId="586407D2" w14:textId="77777777" w:rsidR="00D0147D" w:rsidRPr="00A62FBD" w:rsidRDefault="00D0147D" w:rsidP="000F1A10">
            <w:pPr>
              <w:spacing w:after="0" w:line="240" w:lineRule="auto"/>
              <w:rPr>
                <w:rFonts w:ascii="Cambria" w:hAnsi="Cambria" w:cs="Calibri"/>
              </w:rPr>
            </w:pPr>
          </w:p>
        </w:tc>
        <w:tc>
          <w:tcPr>
            <w:tcW w:w="3118"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08CD869" w14:textId="77777777" w:rsidR="00D0147D" w:rsidRPr="00A62FBD" w:rsidRDefault="00D0147D" w:rsidP="000F1A10">
            <w:pPr>
              <w:spacing w:after="0" w:line="240" w:lineRule="auto"/>
              <w:rPr>
                <w:rFonts w:ascii="Cambria" w:hAnsi="Cambria" w:cs="Calibri"/>
              </w:rPr>
            </w:pPr>
            <w:proofErr w:type="spellStart"/>
            <w:r w:rsidRPr="00E2330C">
              <w:rPr>
                <w:rFonts w:ascii="Cambria" w:hAnsi="Cambria"/>
              </w:rPr>
              <w:t>ukupno</w:t>
            </w:r>
            <w:proofErr w:type="spellEnd"/>
          </w:p>
        </w:tc>
        <w:tc>
          <w:tcPr>
            <w:tcW w:w="8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656F4D0" w14:textId="1BF3BBDB" w:rsidR="00D0147D" w:rsidRPr="00A62FBD" w:rsidRDefault="00D0147D" w:rsidP="000F1A10">
            <w:pPr>
              <w:spacing w:after="0" w:line="240" w:lineRule="auto"/>
              <w:jc w:val="center"/>
              <w:rPr>
                <w:rFonts w:ascii="Cambria" w:hAnsi="Cambria" w:cs="Calibri"/>
              </w:rPr>
            </w:pPr>
            <w:r>
              <w:rPr>
                <w:rFonts w:ascii="Cambria" w:hAnsi="Cambria"/>
              </w:rPr>
              <w:t>120</w:t>
            </w:r>
          </w:p>
        </w:tc>
        <w:tc>
          <w:tcPr>
            <w:tcW w:w="77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0FA79AC" w14:textId="6B38F545" w:rsidR="00D0147D" w:rsidRPr="00A62FBD" w:rsidRDefault="00D0147D" w:rsidP="000F1A10">
            <w:pPr>
              <w:spacing w:after="0" w:line="240" w:lineRule="auto"/>
              <w:jc w:val="center"/>
              <w:rPr>
                <w:rFonts w:ascii="Cambria" w:hAnsi="Cambria" w:cs="Calibri"/>
              </w:rPr>
            </w:pPr>
            <w:r>
              <w:rPr>
                <w:rFonts w:ascii="Cambria" w:hAnsi="Cambria"/>
              </w:rPr>
              <w:t>4</w:t>
            </w:r>
          </w:p>
        </w:tc>
        <w:tc>
          <w:tcPr>
            <w:tcW w:w="194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41A9879" w14:textId="77777777" w:rsidR="00D0147D" w:rsidRPr="00A62FBD" w:rsidRDefault="00D0147D" w:rsidP="000F1A10">
            <w:pPr>
              <w:spacing w:after="0" w:line="240" w:lineRule="auto"/>
              <w:jc w:val="center"/>
              <w:rPr>
                <w:rFonts w:ascii="Cambria" w:hAnsi="Cambria" w:cs="Calibri"/>
              </w:rPr>
            </w:pPr>
            <w:r w:rsidRPr="00E2330C">
              <w:rPr>
                <w:rFonts w:ascii="Cambria" w:hAnsi="Cambria"/>
              </w:rPr>
              <w:t>100%</w:t>
            </w:r>
          </w:p>
        </w:tc>
      </w:tr>
      <w:tr w:rsidR="00D0147D" w:rsidRPr="00E45645" w14:paraId="7345FC66" w14:textId="77777777" w:rsidTr="000F1A10">
        <w:tc>
          <w:tcPr>
            <w:tcW w:w="2683" w:type="dxa"/>
            <w:vMerge/>
            <w:tcBorders>
              <w:left w:val="single" w:sz="8" w:space="0" w:color="000000"/>
              <w:bottom w:val="single" w:sz="8" w:space="0" w:color="000000"/>
              <w:right w:val="single" w:sz="8" w:space="0" w:color="000000"/>
            </w:tcBorders>
            <w:vAlign w:val="center"/>
          </w:tcPr>
          <w:p w14:paraId="7E6C7172" w14:textId="77777777" w:rsidR="00D0147D" w:rsidRPr="00A62FBD" w:rsidRDefault="00D0147D" w:rsidP="000F1A10">
            <w:pPr>
              <w:spacing w:after="0" w:line="240" w:lineRule="auto"/>
              <w:rPr>
                <w:rFonts w:ascii="Cambria" w:hAnsi="Cambria" w:cs="Calibri"/>
              </w:rPr>
            </w:pPr>
          </w:p>
        </w:tc>
        <w:tc>
          <w:tcPr>
            <w:tcW w:w="6662"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14926D1" w14:textId="77777777" w:rsidR="00D0147D" w:rsidRPr="00A62FBD" w:rsidRDefault="00D0147D" w:rsidP="000F1A10">
            <w:pPr>
              <w:spacing w:after="0" w:line="240" w:lineRule="auto"/>
              <w:rPr>
                <w:rFonts w:ascii="Cambria" w:hAnsi="Cambria" w:cs="Calibri"/>
              </w:rPr>
            </w:pPr>
            <w:proofErr w:type="spellStart"/>
            <w:r w:rsidRPr="00A62FBD">
              <w:rPr>
                <w:rFonts w:ascii="Cambria" w:hAnsi="Cambria" w:cs="Calibri"/>
              </w:rPr>
              <w:t>Dodatna</w:t>
            </w:r>
            <w:proofErr w:type="spellEnd"/>
            <w:r w:rsidRPr="00A62FBD">
              <w:rPr>
                <w:rFonts w:ascii="Cambria" w:hAnsi="Cambria" w:cs="Calibri"/>
              </w:rPr>
              <w:t xml:space="preserve"> </w:t>
            </w:r>
            <w:proofErr w:type="spellStart"/>
            <w:r w:rsidRPr="00A62FBD">
              <w:rPr>
                <w:rFonts w:ascii="Cambria" w:hAnsi="Cambria" w:cs="Calibri"/>
              </w:rPr>
              <w:t>pojašnjenja</w:t>
            </w:r>
            <w:proofErr w:type="spellEnd"/>
            <w:r w:rsidRPr="00A62FBD">
              <w:rPr>
                <w:rFonts w:ascii="Cambria" w:hAnsi="Cambria" w:cs="Calibri"/>
              </w:rPr>
              <w:t xml:space="preserve"> (</w:t>
            </w:r>
            <w:proofErr w:type="spellStart"/>
            <w:r w:rsidRPr="00A62FBD">
              <w:rPr>
                <w:rFonts w:ascii="Cambria" w:hAnsi="Cambria" w:cs="Calibri"/>
              </w:rPr>
              <w:t>kriteriji</w:t>
            </w:r>
            <w:proofErr w:type="spellEnd"/>
            <w:r w:rsidRPr="00A62FBD">
              <w:rPr>
                <w:rFonts w:ascii="Cambria" w:hAnsi="Cambria" w:cs="Calibri"/>
              </w:rPr>
              <w:t xml:space="preserve"> </w:t>
            </w:r>
            <w:proofErr w:type="spellStart"/>
            <w:r w:rsidRPr="00A62FBD">
              <w:rPr>
                <w:rFonts w:ascii="Cambria" w:hAnsi="Cambria" w:cs="Calibri"/>
              </w:rPr>
              <w:t>ocjenjivanja</w:t>
            </w:r>
            <w:proofErr w:type="spellEnd"/>
            <w:r w:rsidRPr="00A62FBD">
              <w:rPr>
                <w:rFonts w:ascii="Cambria" w:hAnsi="Cambria" w:cs="Calibri"/>
              </w:rPr>
              <w:t>):</w:t>
            </w:r>
          </w:p>
          <w:p w14:paraId="0E62D1E8" w14:textId="77777777" w:rsidR="00D0147D" w:rsidRPr="00A62FBD" w:rsidRDefault="00D0147D" w:rsidP="000F1A10">
            <w:pPr>
              <w:spacing w:after="0" w:line="240" w:lineRule="auto"/>
              <w:rPr>
                <w:rFonts w:ascii="Cambria" w:hAnsi="Cambria" w:cs="Calibri"/>
              </w:rPr>
            </w:pPr>
            <w:proofErr w:type="spellStart"/>
            <w:r w:rsidRPr="00A62FBD">
              <w:rPr>
                <w:rFonts w:ascii="Cambria" w:hAnsi="Cambria" w:cs="Calibri"/>
              </w:rPr>
              <w:t>Pismeni</w:t>
            </w:r>
            <w:proofErr w:type="spellEnd"/>
            <w:r w:rsidRPr="00A62FBD">
              <w:rPr>
                <w:rFonts w:ascii="Cambria" w:hAnsi="Cambria" w:cs="Calibri"/>
              </w:rPr>
              <w:t xml:space="preserve"> </w:t>
            </w:r>
            <w:proofErr w:type="spellStart"/>
            <w:r w:rsidRPr="00A62FBD">
              <w:rPr>
                <w:rFonts w:ascii="Cambria" w:hAnsi="Cambria" w:cs="Calibri"/>
              </w:rPr>
              <w:t>ispiti</w:t>
            </w:r>
            <w:proofErr w:type="spellEnd"/>
            <w:r w:rsidRPr="00A62FBD">
              <w:rPr>
                <w:rFonts w:ascii="Cambria" w:hAnsi="Cambria" w:cs="Calibri"/>
              </w:rPr>
              <w:t xml:space="preserve"> </w:t>
            </w:r>
            <w:proofErr w:type="spellStart"/>
            <w:r w:rsidRPr="00A62FBD">
              <w:rPr>
                <w:rFonts w:ascii="Cambria" w:hAnsi="Cambria" w:cs="Calibri"/>
              </w:rPr>
              <w:t>ocjenjuju</w:t>
            </w:r>
            <w:proofErr w:type="spellEnd"/>
            <w:r w:rsidRPr="00A62FBD">
              <w:rPr>
                <w:rFonts w:ascii="Cambria" w:hAnsi="Cambria" w:cs="Calibri"/>
              </w:rPr>
              <w:t xml:space="preserve"> se </w:t>
            </w:r>
            <w:proofErr w:type="spellStart"/>
            <w:r w:rsidRPr="00A62FBD">
              <w:rPr>
                <w:rFonts w:ascii="Cambria" w:hAnsi="Cambria" w:cs="Calibri"/>
              </w:rPr>
              <w:t>na</w:t>
            </w:r>
            <w:proofErr w:type="spellEnd"/>
            <w:r w:rsidRPr="00A62FBD">
              <w:rPr>
                <w:rFonts w:ascii="Cambria" w:hAnsi="Cambria" w:cs="Calibri"/>
              </w:rPr>
              <w:t xml:space="preserve"> </w:t>
            </w:r>
            <w:proofErr w:type="spellStart"/>
            <w:r w:rsidRPr="00A62FBD">
              <w:rPr>
                <w:rFonts w:ascii="Cambria" w:hAnsi="Cambria" w:cs="Calibri"/>
              </w:rPr>
              <w:t>sljedeći</w:t>
            </w:r>
            <w:proofErr w:type="spellEnd"/>
            <w:r w:rsidRPr="00A62FBD">
              <w:rPr>
                <w:rFonts w:ascii="Cambria" w:hAnsi="Cambria" w:cs="Calibri"/>
              </w:rPr>
              <w:t xml:space="preserve"> </w:t>
            </w:r>
            <w:proofErr w:type="spellStart"/>
            <w:r w:rsidRPr="00A62FBD">
              <w:rPr>
                <w:rFonts w:ascii="Cambria" w:hAnsi="Cambria" w:cs="Calibri"/>
              </w:rPr>
              <w:t>način</w:t>
            </w:r>
            <w:proofErr w:type="spellEnd"/>
            <w:r w:rsidRPr="00A62FBD">
              <w:rPr>
                <w:rFonts w:ascii="Cambria" w:hAnsi="Cambria" w:cs="Calibri"/>
              </w:rPr>
              <w:t xml:space="preserve"> (</w:t>
            </w:r>
            <w:proofErr w:type="spellStart"/>
            <w:r w:rsidRPr="00A62FBD">
              <w:rPr>
                <w:rFonts w:ascii="Cambria" w:hAnsi="Cambria" w:cs="Calibri"/>
              </w:rPr>
              <w:t>ali</w:t>
            </w:r>
            <w:proofErr w:type="spellEnd"/>
            <w:r w:rsidRPr="00A62FBD">
              <w:rPr>
                <w:rFonts w:ascii="Cambria" w:hAnsi="Cambria" w:cs="Calibri"/>
              </w:rPr>
              <w:t xml:space="preserve"> </w:t>
            </w:r>
            <w:proofErr w:type="spellStart"/>
            <w:r w:rsidRPr="00A62FBD">
              <w:rPr>
                <w:rFonts w:ascii="Cambria" w:hAnsi="Cambria" w:cs="Calibri"/>
              </w:rPr>
              <w:t>i</w:t>
            </w:r>
            <w:proofErr w:type="spellEnd"/>
            <w:r w:rsidRPr="00A62FBD">
              <w:rPr>
                <w:rFonts w:ascii="Cambria" w:hAnsi="Cambria" w:cs="Calibri"/>
              </w:rPr>
              <w:t xml:space="preserve"> </w:t>
            </w:r>
            <w:proofErr w:type="spellStart"/>
            <w:r w:rsidRPr="00A62FBD">
              <w:rPr>
                <w:rFonts w:ascii="Cambria" w:hAnsi="Cambria" w:cs="Calibri"/>
              </w:rPr>
              <w:t>detaljnije</w:t>
            </w:r>
            <w:proofErr w:type="spellEnd"/>
            <w:r w:rsidRPr="00A62FBD">
              <w:rPr>
                <w:rFonts w:ascii="Cambria" w:hAnsi="Cambria" w:cs="Calibri"/>
              </w:rPr>
              <w:t xml:space="preserve"> u </w:t>
            </w:r>
            <w:proofErr w:type="spellStart"/>
            <w:r w:rsidRPr="00A62FBD">
              <w:rPr>
                <w:rFonts w:ascii="Cambria" w:hAnsi="Cambria" w:cs="Calibri"/>
              </w:rPr>
              <w:t>postotku</w:t>
            </w:r>
            <w:proofErr w:type="spellEnd"/>
            <w:r w:rsidRPr="00A62FBD">
              <w:rPr>
                <w:rFonts w:ascii="Cambria" w:hAnsi="Cambria" w:cs="Calibri"/>
              </w:rPr>
              <w:t xml:space="preserve">, </w:t>
            </w:r>
            <w:proofErr w:type="spellStart"/>
            <w:r w:rsidRPr="00A62FBD">
              <w:rPr>
                <w:rFonts w:ascii="Cambria" w:hAnsi="Cambria" w:cs="Calibri"/>
              </w:rPr>
              <w:t>pri</w:t>
            </w:r>
            <w:proofErr w:type="spellEnd"/>
            <w:r w:rsidRPr="00A62FBD">
              <w:rPr>
                <w:rFonts w:ascii="Cambria" w:hAnsi="Cambria" w:cs="Calibri"/>
              </w:rPr>
              <w:t xml:space="preserve"> </w:t>
            </w:r>
            <w:proofErr w:type="spellStart"/>
            <w:r w:rsidRPr="00A62FBD">
              <w:rPr>
                <w:rFonts w:ascii="Cambria" w:hAnsi="Cambria" w:cs="Calibri"/>
              </w:rPr>
              <w:t>čemu</w:t>
            </w:r>
            <w:proofErr w:type="spellEnd"/>
            <w:r w:rsidRPr="00A62FBD">
              <w:rPr>
                <w:rFonts w:ascii="Cambria" w:hAnsi="Cambria" w:cs="Calibri"/>
              </w:rPr>
              <w:t xml:space="preserve"> se </w:t>
            </w:r>
            <w:proofErr w:type="spellStart"/>
            <w:r w:rsidRPr="00A62FBD">
              <w:rPr>
                <w:rFonts w:ascii="Cambria" w:hAnsi="Cambria" w:cs="Calibri"/>
              </w:rPr>
              <w:t>uzima</w:t>
            </w:r>
            <w:proofErr w:type="spellEnd"/>
            <w:r w:rsidRPr="00A62FBD">
              <w:rPr>
                <w:rFonts w:ascii="Cambria" w:hAnsi="Cambria" w:cs="Calibri"/>
              </w:rPr>
              <w:t xml:space="preserve"> u </w:t>
            </w:r>
            <w:proofErr w:type="spellStart"/>
            <w:r w:rsidRPr="00A62FBD">
              <w:rPr>
                <w:rFonts w:ascii="Cambria" w:hAnsi="Cambria" w:cs="Calibri"/>
              </w:rPr>
              <w:t>obzir</w:t>
            </w:r>
            <w:proofErr w:type="spellEnd"/>
            <w:r w:rsidRPr="00A62FBD">
              <w:rPr>
                <w:rFonts w:ascii="Cambria" w:hAnsi="Cambria" w:cs="Calibri"/>
              </w:rPr>
              <w:t xml:space="preserve"> </w:t>
            </w:r>
            <w:proofErr w:type="spellStart"/>
            <w:r w:rsidRPr="00A62FBD">
              <w:rPr>
                <w:rFonts w:ascii="Cambria" w:hAnsi="Cambria" w:cs="Calibri"/>
              </w:rPr>
              <w:t>udio</w:t>
            </w:r>
            <w:proofErr w:type="spellEnd"/>
            <w:r w:rsidRPr="00A62FBD">
              <w:rPr>
                <w:rFonts w:ascii="Cambria" w:hAnsi="Cambria" w:cs="Calibri"/>
              </w:rPr>
              <w:t xml:space="preserve"> </w:t>
            </w:r>
            <w:proofErr w:type="spellStart"/>
            <w:r w:rsidRPr="00A62FBD">
              <w:rPr>
                <w:rFonts w:ascii="Cambria" w:hAnsi="Cambria" w:cs="Calibri"/>
              </w:rPr>
              <w:t>bodova</w:t>
            </w:r>
            <w:proofErr w:type="spellEnd"/>
            <w:r w:rsidRPr="00A62FBD">
              <w:rPr>
                <w:rFonts w:ascii="Cambria" w:hAnsi="Cambria" w:cs="Calibri"/>
              </w:rPr>
              <w:t xml:space="preserve"> u </w:t>
            </w:r>
            <w:proofErr w:type="spellStart"/>
            <w:r w:rsidRPr="00A62FBD">
              <w:rPr>
                <w:rFonts w:ascii="Cambria" w:hAnsi="Cambria" w:cs="Calibri"/>
              </w:rPr>
              <w:t>ukupnom</w:t>
            </w:r>
            <w:proofErr w:type="spellEnd"/>
            <w:r w:rsidRPr="00A62FBD">
              <w:rPr>
                <w:rFonts w:ascii="Cambria" w:hAnsi="Cambria" w:cs="Calibri"/>
              </w:rPr>
              <w:t xml:space="preserve"> </w:t>
            </w:r>
            <w:proofErr w:type="spellStart"/>
            <w:r w:rsidRPr="00A62FBD">
              <w:rPr>
                <w:rFonts w:ascii="Cambria" w:hAnsi="Cambria" w:cs="Calibri"/>
              </w:rPr>
              <w:t>broju</w:t>
            </w:r>
            <w:proofErr w:type="spellEnd"/>
            <w:r w:rsidRPr="00A62FBD">
              <w:rPr>
                <w:rFonts w:ascii="Cambria" w:hAnsi="Cambria" w:cs="Calibri"/>
              </w:rPr>
              <w:t xml:space="preserve"> </w:t>
            </w:r>
            <w:proofErr w:type="spellStart"/>
            <w:r w:rsidRPr="00A62FBD">
              <w:rPr>
                <w:rFonts w:ascii="Cambria" w:hAnsi="Cambria" w:cs="Calibri"/>
              </w:rPr>
              <w:t>bodova</w:t>
            </w:r>
            <w:proofErr w:type="spellEnd"/>
            <w:r w:rsidRPr="00A62FBD">
              <w:rPr>
                <w:rFonts w:ascii="Cambria" w:hAnsi="Cambria" w:cs="Calibri"/>
              </w:rPr>
              <w:t xml:space="preserve">, </w:t>
            </w:r>
            <w:proofErr w:type="spellStart"/>
            <w:r w:rsidRPr="00A62FBD">
              <w:rPr>
                <w:rFonts w:ascii="Cambria" w:hAnsi="Cambria" w:cs="Calibri"/>
              </w:rPr>
              <w:t>te</w:t>
            </w:r>
            <w:proofErr w:type="spellEnd"/>
            <w:r w:rsidRPr="00A62FBD">
              <w:rPr>
                <w:rFonts w:ascii="Cambria" w:hAnsi="Cambria" w:cs="Calibri"/>
              </w:rPr>
              <w:t xml:space="preserve"> </w:t>
            </w:r>
            <w:proofErr w:type="spellStart"/>
            <w:r w:rsidRPr="00A62FBD">
              <w:rPr>
                <w:rFonts w:ascii="Cambria" w:hAnsi="Cambria" w:cs="Calibri"/>
              </w:rPr>
              <w:t>onda</w:t>
            </w:r>
            <w:proofErr w:type="spellEnd"/>
            <w:r w:rsidRPr="00A62FBD">
              <w:rPr>
                <w:rFonts w:ascii="Cambria" w:hAnsi="Cambria" w:cs="Calibri"/>
              </w:rPr>
              <w:t xml:space="preserve"> </w:t>
            </w:r>
            <w:proofErr w:type="spellStart"/>
            <w:r w:rsidRPr="00A62FBD">
              <w:rPr>
                <w:rFonts w:ascii="Cambria" w:hAnsi="Cambria" w:cs="Calibri"/>
              </w:rPr>
              <w:t>udio</w:t>
            </w:r>
            <w:proofErr w:type="spellEnd"/>
            <w:r w:rsidRPr="00A62FBD">
              <w:rPr>
                <w:rFonts w:ascii="Cambria" w:hAnsi="Cambria" w:cs="Calibri"/>
              </w:rPr>
              <w:t xml:space="preserve"> u </w:t>
            </w:r>
            <w:proofErr w:type="spellStart"/>
            <w:r w:rsidRPr="00A62FBD">
              <w:rPr>
                <w:rFonts w:ascii="Cambria" w:hAnsi="Cambria" w:cs="Calibri"/>
              </w:rPr>
              <w:t>ukupnoj</w:t>
            </w:r>
            <w:proofErr w:type="spellEnd"/>
            <w:r w:rsidRPr="00A62FBD">
              <w:rPr>
                <w:rFonts w:ascii="Cambria" w:hAnsi="Cambria" w:cs="Calibri"/>
              </w:rPr>
              <w:t xml:space="preserve"> </w:t>
            </w:r>
            <w:proofErr w:type="spellStart"/>
            <w:r w:rsidRPr="00A62FBD">
              <w:rPr>
                <w:rFonts w:ascii="Cambria" w:hAnsi="Cambria" w:cs="Calibri"/>
              </w:rPr>
              <w:t>ocjeni</w:t>
            </w:r>
            <w:proofErr w:type="spellEnd"/>
            <w:proofErr w:type="gramStart"/>
            <w:r w:rsidRPr="00A62FBD">
              <w:rPr>
                <w:rFonts w:ascii="Cambria" w:hAnsi="Cambria" w:cs="Calibri"/>
              </w:rPr>
              <w:t>):</w:t>
            </w:r>
            <w:proofErr w:type="spellStart"/>
            <w:r w:rsidRPr="00A62FBD">
              <w:rPr>
                <w:rFonts w:ascii="Cambria" w:hAnsi="Cambria" w:cs="Calibri"/>
              </w:rPr>
              <w:t>manje</w:t>
            </w:r>
            <w:proofErr w:type="spellEnd"/>
            <w:proofErr w:type="gramEnd"/>
            <w:r w:rsidRPr="00A62FBD">
              <w:rPr>
                <w:rFonts w:ascii="Cambria" w:hAnsi="Cambria" w:cs="Calibri"/>
              </w:rPr>
              <w:t xml:space="preserve"> od 9 </w:t>
            </w:r>
            <w:proofErr w:type="spellStart"/>
            <w:r w:rsidRPr="00A62FBD">
              <w:rPr>
                <w:rFonts w:ascii="Cambria" w:hAnsi="Cambria" w:cs="Calibri"/>
              </w:rPr>
              <w:t>bodova</w:t>
            </w:r>
            <w:proofErr w:type="spellEnd"/>
            <w:r w:rsidRPr="00A62FBD">
              <w:rPr>
                <w:rFonts w:ascii="Cambria" w:hAnsi="Cambria" w:cs="Calibri"/>
              </w:rPr>
              <w:t xml:space="preserve"> </w:t>
            </w:r>
            <w:r w:rsidRPr="00A62FBD">
              <w:rPr>
                <w:rFonts w:ascii="Cambria" w:hAnsi="Cambria" w:cs="Calibri"/>
              </w:rPr>
              <w:tab/>
              <w:t xml:space="preserve">= </w:t>
            </w:r>
            <w:r w:rsidRPr="00A62FBD">
              <w:rPr>
                <w:rFonts w:ascii="Cambria" w:hAnsi="Cambria" w:cs="Calibri"/>
              </w:rPr>
              <w:tab/>
              <w:t xml:space="preserve">bez </w:t>
            </w:r>
            <w:proofErr w:type="spellStart"/>
            <w:r w:rsidRPr="00A62FBD">
              <w:rPr>
                <w:rFonts w:ascii="Cambria" w:hAnsi="Cambria" w:cs="Calibri"/>
              </w:rPr>
              <w:t>ocjene</w:t>
            </w:r>
            <w:proofErr w:type="spellEnd"/>
          </w:p>
          <w:p w14:paraId="001B6AAE" w14:textId="77777777" w:rsidR="00D0147D" w:rsidRPr="00A62FBD" w:rsidRDefault="00D0147D" w:rsidP="000F1A10">
            <w:pPr>
              <w:spacing w:after="0" w:line="240" w:lineRule="auto"/>
              <w:rPr>
                <w:rFonts w:ascii="Cambria" w:hAnsi="Cambria" w:cs="Calibri"/>
              </w:rPr>
            </w:pPr>
            <w:r w:rsidRPr="00A62FBD">
              <w:rPr>
                <w:rFonts w:ascii="Cambria" w:hAnsi="Cambria" w:cs="Calibri"/>
              </w:rPr>
              <w:tab/>
              <w:t xml:space="preserve">od 9 do 10 </w:t>
            </w:r>
            <w:proofErr w:type="spellStart"/>
            <w:r w:rsidRPr="00A62FBD">
              <w:rPr>
                <w:rFonts w:ascii="Cambria" w:hAnsi="Cambria" w:cs="Calibri"/>
              </w:rPr>
              <w:t>bodova</w:t>
            </w:r>
            <w:proofErr w:type="spellEnd"/>
            <w:r w:rsidRPr="00A62FBD">
              <w:rPr>
                <w:rFonts w:ascii="Cambria" w:hAnsi="Cambria" w:cs="Calibri"/>
              </w:rPr>
              <w:tab/>
              <w:t>=</w:t>
            </w:r>
            <w:r w:rsidRPr="00A62FBD">
              <w:rPr>
                <w:rFonts w:ascii="Cambria" w:hAnsi="Cambria" w:cs="Calibri"/>
              </w:rPr>
              <w:tab/>
            </w:r>
            <w:proofErr w:type="spellStart"/>
            <w:r w:rsidRPr="00A62FBD">
              <w:rPr>
                <w:rFonts w:ascii="Cambria" w:hAnsi="Cambria" w:cs="Calibri"/>
              </w:rPr>
              <w:t>ocjena</w:t>
            </w:r>
            <w:proofErr w:type="spellEnd"/>
            <w:r w:rsidRPr="00A62FBD">
              <w:rPr>
                <w:rFonts w:ascii="Cambria" w:hAnsi="Cambria" w:cs="Calibri"/>
              </w:rPr>
              <w:t xml:space="preserve"> 2</w:t>
            </w:r>
          </w:p>
          <w:p w14:paraId="36D84DEF" w14:textId="77777777" w:rsidR="00D0147D" w:rsidRPr="00A62FBD" w:rsidRDefault="00D0147D" w:rsidP="000F1A10">
            <w:pPr>
              <w:spacing w:after="0" w:line="240" w:lineRule="auto"/>
              <w:rPr>
                <w:rFonts w:ascii="Cambria" w:hAnsi="Cambria" w:cs="Calibri"/>
              </w:rPr>
            </w:pPr>
            <w:r w:rsidRPr="00A62FBD">
              <w:rPr>
                <w:rFonts w:ascii="Cambria" w:hAnsi="Cambria" w:cs="Calibri"/>
              </w:rPr>
              <w:tab/>
              <w:t xml:space="preserve">od 11 do 13 </w:t>
            </w:r>
            <w:proofErr w:type="spellStart"/>
            <w:r w:rsidRPr="00A62FBD">
              <w:rPr>
                <w:rFonts w:ascii="Cambria" w:hAnsi="Cambria" w:cs="Calibri"/>
              </w:rPr>
              <w:t>bodova</w:t>
            </w:r>
            <w:proofErr w:type="spellEnd"/>
            <w:r w:rsidRPr="00A62FBD">
              <w:rPr>
                <w:rFonts w:ascii="Cambria" w:hAnsi="Cambria" w:cs="Calibri"/>
              </w:rPr>
              <w:tab/>
              <w:t>=</w:t>
            </w:r>
            <w:r w:rsidRPr="00A62FBD">
              <w:rPr>
                <w:rFonts w:ascii="Cambria" w:hAnsi="Cambria" w:cs="Calibri"/>
              </w:rPr>
              <w:tab/>
            </w:r>
            <w:proofErr w:type="spellStart"/>
            <w:r w:rsidRPr="00A62FBD">
              <w:rPr>
                <w:rFonts w:ascii="Cambria" w:hAnsi="Cambria" w:cs="Calibri"/>
              </w:rPr>
              <w:t>ocjena</w:t>
            </w:r>
            <w:proofErr w:type="spellEnd"/>
            <w:r w:rsidRPr="00A62FBD">
              <w:rPr>
                <w:rFonts w:ascii="Cambria" w:hAnsi="Cambria" w:cs="Calibri"/>
              </w:rPr>
              <w:t xml:space="preserve"> 3</w:t>
            </w:r>
          </w:p>
          <w:p w14:paraId="2332908F" w14:textId="77777777" w:rsidR="00D0147D" w:rsidRPr="00A62FBD" w:rsidRDefault="00D0147D" w:rsidP="000F1A10">
            <w:pPr>
              <w:spacing w:after="0" w:line="240" w:lineRule="auto"/>
              <w:rPr>
                <w:rFonts w:ascii="Cambria" w:hAnsi="Cambria" w:cs="Calibri"/>
              </w:rPr>
            </w:pPr>
            <w:r w:rsidRPr="00A62FBD">
              <w:rPr>
                <w:rFonts w:ascii="Cambria" w:hAnsi="Cambria" w:cs="Calibri"/>
              </w:rPr>
              <w:tab/>
              <w:t xml:space="preserve">od 14 do </w:t>
            </w:r>
            <w:proofErr w:type="gramStart"/>
            <w:r w:rsidRPr="00A62FBD">
              <w:rPr>
                <w:rFonts w:ascii="Cambria" w:hAnsi="Cambria" w:cs="Calibri"/>
              </w:rPr>
              <w:t xml:space="preserve">15  </w:t>
            </w:r>
            <w:proofErr w:type="spellStart"/>
            <w:r w:rsidRPr="00A62FBD">
              <w:rPr>
                <w:rFonts w:ascii="Cambria" w:hAnsi="Cambria" w:cs="Calibri"/>
              </w:rPr>
              <w:t>bodova</w:t>
            </w:r>
            <w:proofErr w:type="spellEnd"/>
            <w:proofErr w:type="gramEnd"/>
            <w:r w:rsidRPr="00A62FBD">
              <w:rPr>
                <w:rFonts w:ascii="Cambria" w:hAnsi="Cambria" w:cs="Calibri"/>
              </w:rPr>
              <w:tab/>
              <w:t>=</w:t>
            </w:r>
            <w:r w:rsidRPr="00A62FBD">
              <w:rPr>
                <w:rFonts w:ascii="Cambria" w:hAnsi="Cambria" w:cs="Calibri"/>
              </w:rPr>
              <w:tab/>
            </w:r>
            <w:proofErr w:type="spellStart"/>
            <w:r w:rsidRPr="00A62FBD">
              <w:rPr>
                <w:rFonts w:ascii="Cambria" w:hAnsi="Cambria" w:cs="Calibri"/>
              </w:rPr>
              <w:t>ocjena</w:t>
            </w:r>
            <w:proofErr w:type="spellEnd"/>
            <w:r w:rsidRPr="00A62FBD">
              <w:rPr>
                <w:rFonts w:ascii="Cambria" w:hAnsi="Cambria" w:cs="Calibri"/>
              </w:rPr>
              <w:t xml:space="preserve"> 4</w:t>
            </w:r>
          </w:p>
          <w:p w14:paraId="65E091CB" w14:textId="77777777" w:rsidR="00D0147D" w:rsidRPr="00A62FBD" w:rsidRDefault="00D0147D" w:rsidP="000F1A10">
            <w:pPr>
              <w:spacing w:after="0" w:line="240" w:lineRule="auto"/>
              <w:rPr>
                <w:rFonts w:ascii="Cambria" w:hAnsi="Cambria" w:cs="Calibri"/>
              </w:rPr>
            </w:pPr>
            <w:r w:rsidRPr="00A62FBD">
              <w:rPr>
                <w:rFonts w:ascii="Cambria" w:hAnsi="Cambria" w:cs="Calibri"/>
              </w:rPr>
              <w:tab/>
              <w:t xml:space="preserve">od 16 do 18 </w:t>
            </w:r>
            <w:proofErr w:type="spellStart"/>
            <w:r w:rsidRPr="00A62FBD">
              <w:rPr>
                <w:rFonts w:ascii="Cambria" w:hAnsi="Cambria" w:cs="Calibri"/>
              </w:rPr>
              <w:t>bodova</w:t>
            </w:r>
            <w:proofErr w:type="spellEnd"/>
            <w:r w:rsidRPr="00A62FBD">
              <w:rPr>
                <w:rFonts w:ascii="Cambria" w:hAnsi="Cambria" w:cs="Calibri"/>
              </w:rPr>
              <w:tab/>
              <w:t>=</w:t>
            </w:r>
            <w:r w:rsidRPr="00A62FBD">
              <w:rPr>
                <w:rFonts w:ascii="Cambria" w:hAnsi="Cambria" w:cs="Calibri"/>
              </w:rPr>
              <w:tab/>
            </w:r>
            <w:proofErr w:type="spellStart"/>
            <w:r w:rsidRPr="00A62FBD">
              <w:rPr>
                <w:rFonts w:ascii="Cambria" w:hAnsi="Cambria" w:cs="Calibri"/>
              </w:rPr>
              <w:t>ocjena</w:t>
            </w:r>
            <w:proofErr w:type="spellEnd"/>
            <w:r w:rsidRPr="00A62FBD">
              <w:rPr>
                <w:rFonts w:ascii="Cambria" w:hAnsi="Cambria" w:cs="Calibri"/>
              </w:rPr>
              <w:t xml:space="preserve"> 5</w:t>
            </w:r>
          </w:p>
        </w:tc>
      </w:tr>
      <w:tr w:rsidR="00D0147D" w:rsidRPr="00D0399C" w14:paraId="66F51D9E" w14:textId="77777777" w:rsidTr="000F1A10">
        <w:tc>
          <w:tcPr>
            <w:tcW w:w="268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EF0C539" w14:textId="77777777" w:rsidR="00D0147D" w:rsidRPr="00A62FBD" w:rsidRDefault="00D0147D" w:rsidP="000F1A10">
            <w:pPr>
              <w:spacing w:after="0" w:line="240" w:lineRule="auto"/>
              <w:rPr>
                <w:rFonts w:ascii="Cambria" w:hAnsi="Cambria" w:cs="Calibri"/>
              </w:rPr>
            </w:pPr>
            <w:proofErr w:type="spellStart"/>
            <w:r w:rsidRPr="00A62FBD">
              <w:rPr>
                <w:rFonts w:ascii="Cambria" w:hAnsi="Cambria" w:cs="Calibri"/>
              </w:rPr>
              <w:t>Studentske</w:t>
            </w:r>
            <w:proofErr w:type="spellEnd"/>
            <w:r w:rsidRPr="00A62FBD">
              <w:rPr>
                <w:rFonts w:ascii="Cambria" w:hAnsi="Cambria" w:cs="Calibri"/>
              </w:rPr>
              <w:t xml:space="preserve"> </w:t>
            </w:r>
            <w:proofErr w:type="spellStart"/>
            <w:r w:rsidRPr="00A62FBD">
              <w:rPr>
                <w:rFonts w:ascii="Cambria" w:hAnsi="Cambria" w:cs="Calibri"/>
              </w:rPr>
              <w:t>obveze</w:t>
            </w:r>
            <w:proofErr w:type="spellEnd"/>
          </w:p>
        </w:tc>
        <w:tc>
          <w:tcPr>
            <w:tcW w:w="6662"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5CAF266" w14:textId="77777777" w:rsidR="00D0147D" w:rsidRPr="00161325" w:rsidRDefault="00D0147D" w:rsidP="000F1A10">
            <w:pPr>
              <w:spacing w:after="0" w:line="240" w:lineRule="auto"/>
              <w:rPr>
                <w:rFonts w:ascii="Cambria" w:hAnsi="Cambria" w:cs="Calibri"/>
                <w:lang w:val="it-IT"/>
              </w:rPr>
            </w:pPr>
            <w:r w:rsidRPr="00161325">
              <w:rPr>
                <w:rFonts w:ascii="Cambria" w:hAnsi="Cambria" w:cs="Calibri"/>
                <w:lang w:val="it-IT"/>
              </w:rPr>
              <w:t xml:space="preserve">Da </w:t>
            </w:r>
            <w:proofErr w:type="spellStart"/>
            <w:r w:rsidRPr="00161325">
              <w:rPr>
                <w:rFonts w:ascii="Cambria" w:hAnsi="Cambria" w:cs="Calibri"/>
                <w:lang w:val="it-IT"/>
              </w:rPr>
              <w:t>položi</w:t>
            </w:r>
            <w:proofErr w:type="spellEnd"/>
            <w:r w:rsidRPr="00161325">
              <w:rPr>
                <w:rFonts w:ascii="Cambria" w:hAnsi="Cambria" w:cs="Calibri"/>
                <w:lang w:val="it-IT"/>
              </w:rPr>
              <w:t xml:space="preserve"> </w:t>
            </w:r>
            <w:proofErr w:type="spellStart"/>
            <w:r w:rsidRPr="00161325">
              <w:rPr>
                <w:rFonts w:ascii="Cambria" w:hAnsi="Cambria" w:cs="Calibri"/>
                <w:lang w:val="it-IT"/>
              </w:rPr>
              <w:t>kolegij</w:t>
            </w:r>
            <w:proofErr w:type="spellEnd"/>
            <w:r w:rsidRPr="00161325">
              <w:rPr>
                <w:rFonts w:ascii="Cambria" w:hAnsi="Cambria" w:cs="Calibri"/>
                <w:lang w:val="it-IT"/>
              </w:rPr>
              <w:t xml:space="preserve">, </w:t>
            </w:r>
            <w:proofErr w:type="spellStart"/>
            <w:r w:rsidRPr="00161325">
              <w:rPr>
                <w:rFonts w:ascii="Cambria" w:hAnsi="Cambria" w:cs="Calibri"/>
                <w:lang w:val="it-IT"/>
              </w:rPr>
              <w:t>student</w:t>
            </w:r>
            <w:proofErr w:type="spellEnd"/>
            <w:r w:rsidRPr="00161325">
              <w:rPr>
                <w:rFonts w:ascii="Cambria" w:hAnsi="Cambria" w:cs="Calibri"/>
                <w:lang w:val="it-IT"/>
              </w:rPr>
              <w:t>/</w:t>
            </w:r>
            <w:proofErr w:type="spellStart"/>
            <w:r w:rsidRPr="00161325">
              <w:rPr>
                <w:rFonts w:ascii="Cambria" w:hAnsi="Cambria" w:cs="Calibri"/>
                <w:lang w:val="it-IT"/>
              </w:rPr>
              <w:t>studentica</w:t>
            </w:r>
            <w:proofErr w:type="spellEnd"/>
            <w:r w:rsidRPr="00161325">
              <w:rPr>
                <w:rFonts w:ascii="Cambria" w:hAnsi="Cambria" w:cs="Calibri"/>
                <w:lang w:val="it-IT"/>
              </w:rPr>
              <w:t xml:space="preserve"> mora:</w:t>
            </w:r>
          </w:p>
          <w:p w14:paraId="65C212F6" w14:textId="77777777" w:rsidR="00D0147D" w:rsidRPr="00D23471" w:rsidRDefault="00D0147D" w:rsidP="00A034E3">
            <w:pPr>
              <w:pStyle w:val="Odlomakpopisa"/>
              <w:numPr>
                <w:ilvl w:val="0"/>
                <w:numId w:val="21"/>
              </w:numPr>
              <w:spacing w:after="0" w:line="240" w:lineRule="auto"/>
              <w:rPr>
                <w:rFonts w:ascii="Cambria" w:hAnsi="Cambria"/>
              </w:rPr>
            </w:pPr>
            <w:r w:rsidRPr="00D23471">
              <w:rPr>
                <w:rFonts w:ascii="Cambria" w:hAnsi="Cambria"/>
              </w:rPr>
              <w:t>redovito pohađati nastavu i aktivno sudjelovati u svim oblicima nastave (barem 70% prisustva na vježbama te barem 70% prisustva na predavanjima)</w:t>
            </w:r>
          </w:p>
          <w:p w14:paraId="615E5463" w14:textId="77777777" w:rsidR="00D0147D" w:rsidRPr="00D23471" w:rsidRDefault="00D0147D" w:rsidP="00A034E3">
            <w:pPr>
              <w:pStyle w:val="Odlomakpopisa"/>
              <w:numPr>
                <w:ilvl w:val="0"/>
                <w:numId w:val="21"/>
              </w:numPr>
              <w:spacing w:after="0" w:line="240" w:lineRule="auto"/>
              <w:rPr>
                <w:rFonts w:ascii="Cambria" w:hAnsi="Cambria"/>
                <w:noProof/>
              </w:rPr>
            </w:pPr>
            <w:r w:rsidRPr="00D23471">
              <w:rPr>
                <w:rFonts w:ascii="Cambria" w:hAnsi="Cambria"/>
              </w:rPr>
              <w:t>redovito izraditi samostalne zadatke i zadatke u grupi (barem 50</w:t>
            </w:r>
            <w:r w:rsidRPr="00D23471">
              <w:rPr>
                <w:rFonts w:ascii="Cambria" w:hAnsi="Cambria"/>
                <w:noProof/>
              </w:rPr>
              <w:t>% ocjenskih bodova)</w:t>
            </w:r>
          </w:p>
          <w:p w14:paraId="7AD83ED1" w14:textId="77777777" w:rsidR="00D0147D" w:rsidRPr="00D23471" w:rsidRDefault="00D0147D" w:rsidP="00A034E3">
            <w:pPr>
              <w:pStyle w:val="Odlomakpopisa"/>
              <w:numPr>
                <w:ilvl w:val="0"/>
                <w:numId w:val="21"/>
              </w:numPr>
              <w:spacing w:after="0" w:line="240" w:lineRule="auto"/>
              <w:rPr>
                <w:rFonts w:ascii="Cambria" w:hAnsi="Cambria"/>
                <w:noProof/>
              </w:rPr>
            </w:pPr>
            <w:r w:rsidRPr="00D23471">
              <w:rPr>
                <w:rFonts w:ascii="Cambria" w:hAnsi="Cambria"/>
                <w:noProof/>
              </w:rPr>
              <w:t>zadovoljiti na pismenom ispitu (barem 50% ocjenskih bodova)</w:t>
            </w:r>
          </w:p>
          <w:p w14:paraId="54EEC47F" w14:textId="77777777" w:rsidR="00D0147D" w:rsidRPr="00D23471" w:rsidRDefault="00D0147D" w:rsidP="00A034E3">
            <w:pPr>
              <w:pStyle w:val="Odlomakpopisa"/>
              <w:numPr>
                <w:ilvl w:val="0"/>
                <w:numId w:val="21"/>
              </w:numPr>
              <w:spacing w:after="0" w:line="240" w:lineRule="auto"/>
              <w:rPr>
                <w:rFonts w:ascii="Cambria" w:hAnsi="Cambria" w:cs="Calibri"/>
              </w:rPr>
            </w:pPr>
            <w:r w:rsidRPr="00E2330C">
              <w:rPr>
                <w:rFonts w:ascii="Cambria" w:hAnsi="Cambria"/>
                <w:noProof/>
              </w:rPr>
              <w:t>zadovoljiti na usmenom ispitu (barem 50% ocjenskih</w:t>
            </w:r>
            <w:r w:rsidRPr="00E2330C">
              <w:rPr>
                <w:rFonts w:ascii="Cambria" w:hAnsi="Cambria"/>
              </w:rPr>
              <w:t xml:space="preserve"> bodova)</w:t>
            </w:r>
            <w:r>
              <w:rPr>
                <w:rFonts w:ascii="Cambria" w:hAnsi="Cambria"/>
              </w:rPr>
              <w:t>.</w:t>
            </w:r>
          </w:p>
        </w:tc>
      </w:tr>
      <w:tr w:rsidR="00D0147D" w:rsidRPr="00D0399C" w14:paraId="7797EE29" w14:textId="77777777" w:rsidTr="000F1A10">
        <w:trPr>
          <w:trHeight w:val="345"/>
        </w:trPr>
        <w:tc>
          <w:tcPr>
            <w:tcW w:w="268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47E1C4D" w14:textId="77777777" w:rsidR="00D0147D" w:rsidRPr="00A62FBD" w:rsidRDefault="00D0147D" w:rsidP="000F1A10">
            <w:pPr>
              <w:spacing w:after="0" w:line="240" w:lineRule="auto"/>
              <w:rPr>
                <w:rFonts w:ascii="Cambria" w:hAnsi="Cambria" w:cs="Calibri"/>
              </w:rPr>
            </w:pPr>
            <w:proofErr w:type="spellStart"/>
            <w:r w:rsidRPr="00A62FBD">
              <w:rPr>
                <w:rFonts w:ascii="Cambria" w:hAnsi="Cambria" w:cs="Calibri"/>
              </w:rPr>
              <w:t>Rokovi</w:t>
            </w:r>
            <w:proofErr w:type="spellEnd"/>
            <w:r w:rsidRPr="00A62FBD">
              <w:rPr>
                <w:rFonts w:ascii="Cambria" w:hAnsi="Cambria" w:cs="Calibri"/>
              </w:rPr>
              <w:t xml:space="preserve"> </w:t>
            </w:r>
            <w:proofErr w:type="spellStart"/>
            <w:r w:rsidRPr="00A62FBD">
              <w:rPr>
                <w:rFonts w:ascii="Cambria" w:hAnsi="Cambria" w:cs="Calibri"/>
              </w:rPr>
              <w:t>ispita</w:t>
            </w:r>
            <w:proofErr w:type="spellEnd"/>
            <w:r w:rsidRPr="00A62FBD">
              <w:rPr>
                <w:rFonts w:ascii="Cambria" w:hAnsi="Cambria" w:cs="Calibri"/>
              </w:rPr>
              <w:t xml:space="preserve"> </w:t>
            </w:r>
          </w:p>
        </w:tc>
        <w:tc>
          <w:tcPr>
            <w:tcW w:w="6662"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5109102" w14:textId="77777777" w:rsidR="00D0147D" w:rsidRPr="00161325" w:rsidRDefault="00D0147D" w:rsidP="000F1A10">
            <w:pPr>
              <w:spacing w:after="0" w:line="240" w:lineRule="auto"/>
              <w:rPr>
                <w:rFonts w:ascii="Cambria" w:hAnsi="Cambria" w:cs="Calibri"/>
                <w:lang w:val="it-IT"/>
              </w:rPr>
            </w:pPr>
            <w:proofErr w:type="spellStart"/>
            <w:r w:rsidRPr="00161325">
              <w:rPr>
                <w:rFonts w:ascii="Cambria" w:hAnsi="Cambria" w:cs="Calibri"/>
                <w:lang w:val="it-IT"/>
              </w:rPr>
              <w:t>Datumi</w:t>
            </w:r>
            <w:proofErr w:type="spellEnd"/>
            <w:r w:rsidRPr="00161325">
              <w:rPr>
                <w:rFonts w:ascii="Cambria" w:hAnsi="Cambria" w:cs="Calibri"/>
                <w:lang w:val="it-IT"/>
              </w:rPr>
              <w:t xml:space="preserve"> </w:t>
            </w:r>
            <w:proofErr w:type="spellStart"/>
            <w:r w:rsidRPr="00161325">
              <w:rPr>
                <w:rFonts w:ascii="Cambria" w:hAnsi="Cambria" w:cs="Calibri"/>
                <w:lang w:val="it-IT"/>
              </w:rPr>
              <w:t>dostupni</w:t>
            </w:r>
            <w:proofErr w:type="spellEnd"/>
            <w:r w:rsidRPr="00161325">
              <w:rPr>
                <w:rFonts w:ascii="Cambria" w:hAnsi="Cambria" w:cs="Calibri"/>
                <w:lang w:val="it-IT"/>
              </w:rPr>
              <w:t xml:space="preserve"> </w:t>
            </w:r>
            <w:proofErr w:type="spellStart"/>
            <w:r w:rsidRPr="00161325">
              <w:rPr>
                <w:rFonts w:ascii="Cambria" w:hAnsi="Cambria" w:cs="Calibri"/>
                <w:lang w:val="it-IT"/>
              </w:rPr>
              <w:t>na</w:t>
            </w:r>
            <w:proofErr w:type="spellEnd"/>
            <w:r w:rsidRPr="00161325">
              <w:rPr>
                <w:rFonts w:ascii="Cambria" w:hAnsi="Cambria" w:cs="Calibri"/>
                <w:lang w:val="it-IT"/>
              </w:rPr>
              <w:t xml:space="preserve"> </w:t>
            </w:r>
            <w:proofErr w:type="spellStart"/>
            <w:r>
              <w:rPr>
                <w:rFonts w:ascii="Cambria" w:hAnsi="Cambria" w:cs="Calibri"/>
                <w:lang w:val="it-IT"/>
              </w:rPr>
              <w:t>mrežnim</w:t>
            </w:r>
            <w:proofErr w:type="spellEnd"/>
            <w:r w:rsidRPr="00161325">
              <w:rPr>
                <w:rFonts w:ascii="Cambria" w:hAnsi="Cambria" w:cs="Calibri"/>
                <w:lang w:val="it-IT"/>
              </w:rPr>
              <w:t xml:space="preserve"> </w:t>
            </w:r>
            <w:proofErr w:type="spellStart"/>
            <w:r w:rsidRPr="00161325">
              <w:rPr>
                <w:rFonts w:ascii="Cambria" w:hAnsi="Cambria" w:cs="Calibri"/>
                <w:lang w:val="it-IT"/>
              </w:rPr>
              <w:t>stranicama</w:t>
            </w:r>
            <w:proofErr w:type="spellEnd"/>
            <w:r w:rsidRPr="00161325">
              <w:rPr>
                <w:rFonts w:ascii="Cambria" w:hAnsi="Cambria" w:cs="Calibri"/>
                <w:lang w:val="it-IT"/>
              </w:rPr>
              <w:t xml:space="preserve"> </w:t>
            </w:r>
            <w:proofErr w:type="spellStart"/>
            <w:r w:rsidRPr="00161325">
              <w:rPr>
                <w:rFonts w:ascii="Cambria" w:hAnsi="Cambria" w:cs="Calibri"/>
                <w:lang w:val="it-IT"/>
              </w:rPr>
              <w:t>Odjela</w:t>
            </w:r>
            <w:proofErr w:type="spellEnd"/>
            <w:r w:rsidRPr="00161325">
              <w:rPr>
                <w:rFonts w:ascii="Cambria" w:hAnsi="Cambria" w:cs="Calibri"/>
                <w:lang w:val="it-IT"/>
              </w:rPr>
              <w:t xml:space="preserve"> i ISVU </w:t>
            </w:r>
            <w:proofErr w:type="spellStart"/>
            <w:r w:rsidRPr="00161325">
              <w:rPr>
                <w:rFonts w:ascii="Cambria" w:hAnsi="Cambria" w:cs="Calibri"/>
                <w:lang w:val="it-IT"/>
              </w:rPr>
              <w:t>bazi</w:t>
            </w:r>
            <w:proofErr w:type="spellEnd"/>
            <w:r w:rsidRPr="00161325">
              <w:rPr>
                <w:rFonts w:ascii="Cambria" w:hAnsi="Cambria" w:cs="Calibri"/>
                <w:lang w:val="it-IT"/>
              </w:rPr>
              <w:t>.</w:t>
            </w:r>
          </w:p>
        </w:tc>
      </w:tr>
      <w:tr w:rsidR="00D0147D" w:rsidRPr="00884B46" w14:paraId="4B5870F6" w14:textId="77777777" w:rsidTr="000F1A10">
        <w:tc>
          <w:tcPr>
            <w:tcW w:w="268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A98A571" w14:textId="77777777" w:rsidR="00D0147D" w:rsidRPr="00161325" w:rsidRDefault="00D0147D" w:rsidP="000F1A10">
            <w:pPr>
              <w:spacing w:after="0" w:line="240" w:lineRule="auto"/>
              <w:rPr>
                <w:rFonts w:ascii="Cambria" w:hAnsi="Cambria" w:cs="Calibri"/>
                <w:lang w:val="it-IT"/>
              </w:rPr>
            </w:pPr>
            <w:r w:rsidRPr="00161325">
              <w:rPr>
                <w:rFonts w:ascii="Cambria" w:hAnsi="Cambria" w:cs="Calibri"/>
                <w:lang w:val="it-IT"/>
              </w:rPr>
              <w:t xml:space="preserve">Ostale </w:t>
            </w:r>
            <w:proofErr w:type="spellStart"/>
            <w:r w:rsidRPr="00161325">
              <w:rPr>
                <w:rFonts w:ascii="Cambria" w:hAnsi="Cambria" w:cs="Calibri"/>
                <w:lang w:val="it-IT"/>
              </w:rPr>
              <w:t>važne</w:t>
            </w:r>
            <w:proofErr w:type="spellEnd"/>
            <w:r w:rsidRPr="00161325">
              <w:rPr>
                <w:rFonts w:ascii="Cambria" w:hAnsi="Cambria" w:cs="Calibri"/>
                <w:lang w:val="it-IT"/>
              </w:rPr>
              <w:t xml:space="preserve"> </w:t>
            </w:r>
            <w:proofErr w:type="spellStart"/>
            <w:r w:rsidRPr="00161325">
              <w:rPr>
                <w:rFonts w:ascii="Cambria" w:hAnsi="Cambria" w:cs="Calibri"/>
                <w:lang w:val="it-IT"/>
              </w:rPr>
              <w:t>činjenice</w:t>
            </w:r>
            <w:proofErr w:type="spellEnd"/>
            <w:r w:rsidRPr="00161325">
              <w:rPr>
                <w:rFonts w:ascii="Cambria" w:hAnsi="Cambria" w:cs="Calibri"/>
                <w:lang w:val="it-IT"/>
              </w:rPr>
              <w:t xml:space="preserve"> </w:t>
            </w:r>
            <w:proofErr w:type="spellStart"/>
            <w:r w:rsidRPr="00A62FBD">
              <w:rPr>
                <w:rFonts w:ascii="Cambria" w:hAnsi="Cambria" w:cs="Calibri"/>
                <w:lang w:val="it-IT"/>
              </w:rPr>
              <w:t>vezane</w:t>
            </w:r>
            <w:proofErr w:type="spellEnd"/>
            <w:r w:rsidRPr="00A62FBD">
              <w:rPr>
                <w:rFonts w:ascii="Cambria" w:hAnsi="Cambria" w:cs="Calibri"/>
                <w:lang w:val="it-IT"/>
              </w:rPr>
              <w:t xml:space="preserve"> </w:t>
            </w:r>
            <w:proofErr w:type="spellStart"/>
            <w:r w:rsidRPr="00A62FBD">
              <w:rPr>
                <w:rFonts w:ascii="Cambria" w:hAnsi="Cambria" w:cs="Calibri"/>
                <w:lang w:val="it-IT"/>
              </w:rPr>
              <w:t>uz</w:t>
            </w:r>
            <w:proofErr w:type="spellEnd"/>
            <w:r w:rsidRPr="00A62FBD">
              <w:rPr>
                <w:rFonts w:ascii="Cambria" w:hAnsi="Cambria" w:cs="Calibri"/>
                <w:lang w:val="it-IT"/>
              </w:rPr>
              <w:t xml:space="preserve"> </w:t>
            </w:r>
            <w:proofErr w:type="spellStart"/>
            <w:r w:rsidRPr="00A62FBD">
              <w:rPr>
                <w:rFonts w:ascii="Cambria" w:hAnsi="Cambria" w:cs="Calibri"/>
                <w:lang w:val="it-IT"/>
              </w:rPr>
              <w:t>kolegij</w:t>
            </w:r>
            <w:proofErr w:type="spellEnd"/>
          </w:p>
        </w:tc>
        <w:tc>
          <w:tcPr>
            <w:tcW w:w="6662"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D0F8DFB" w14:textId="77777777" w:rsidR="00D0147D" w:rsidRPr="00161325" w:rsidRDefault="00D0147D" w:rsidP="000F1A10">
            <w:pPr>
              <w:spacing w:after="0" w:line="240" w:lineRule="auto"/>
              <w:rPr>
                <w:rFonts w:ascii="Cambria" w:hAnsi="Cambria" w:cs="Calibri"/>
                <w:lang w:val="it-IT"/>
              </w:rPr>
            </w:pPr>
            <w:proofErr w:type="spellStart"/>
            <w:r w:rsidRPr="00161325">
              <w:rPr>
                <w:rFonts w:ascii="Cambria" w:hAnsi="Cambria" w:cs="Calibri"/>
                <w:lang w:val="it-IT"/>
              </w:rPr>
              <w:t>Materijali</w:t>
            </w:r>
            <w:proofErr w:type="spellEnd"/>
            <w:r w:rsidRPr="00161325">
              <w:rPr>
                <w:rFonts w:ascii="Cambria" w:hAnsi="Cambria" w:cs="Calibri"/>
                <w:lang w:val="it-IT"/>
              </w:rPr>
              <w:t xml:space="preserve"> za </w:t>
            </w:r>
            <w:proofErr w:type="spellStart"/>
            <w:r w:rsidRPr="00161325">
              <w:rPr>
                <w:rFonts w:ascii="Cambria" w:hAnsi="Cambria" w:cs="Calibri"/>
                <w:lang w:val="it-IT"/>
              </w:rPr>
              <w:t>predavanja</w:t>
            </w:r>
            <w:proofErr w:type="spellEnd"/>
            <w:r w:rsidRPr="00161325">
              <w:rPr>
                <w:rFonts w:ascii="Cambria" w:hAnsi="Cambria" w:cs="Calibri"/>
                <w:lang w:val="it-IT"/>
              </w:rPr>
              <w:t xml:space="preserve"> i </w:t>
            </w:r>
            <w:proofErr w:type="spellStart"/>
            <w:r w:rsidRPr="00161325">
              <w:rPr>
                <w:rFonts w:ascii="Cambria" w:hAnsi="Cambria" w:cs="Calibri"/>
                <w:lang w:val="it-IT"/>
              </w:rPr>
              <w:t>vježbe</w:t>
            </w:r>
            <w:proofErr w:type="spellEnd"/>
            <w:r w:rsidRPr="00161325">
              <w:rPr>
                <w:rFonts w:ascii="Cambria" w:hAnsi="Cambria" w:cs="Calibri"/>
                <w:lang w:val="it-IT"/>
              </w:rPr>
              <w:t xml:space="preserve"> </w:t>
            </w:r>
            <w:proofErr w:type="spellStart"/>
            <w:r w:rsidRPr="00161325">
              <w:rPr>
                <w:rFonts w:ascii="Cambria" w:hAnsi="Cambria" w:cs="Calibri"/>
                <w:lang w:val="it-IT"/>
              </w:rPr>
              <w:t>objavljuju</w:t>
            </w:r>
            <w:proofErr w:type="spellEnd"/>
            <w:r w:rsidRPr="00161325">
              <w:rPr>
                <w:rFonts w:ascii="Cambria" w:hAnsi="Cambria" w:cs="Calibri"/>
                <w:lang w:val="it-IT"/>
              </w:rPr>
              <w:t xml:space="preserve"> se </w:t>
            </w:r>
            <w:proofErr w:type="spellStart"/>
            <w:r w:rsidRPr="00161325">
              <w:rPr>
                <w:rFonts w:ascii="Cambria" w:hAnsi="Cambria" w:cs="Calibri"/>
                <w:lang w:val="it-IT"/>
              </w:rPr>
              <w:t>na</w:t>
            </w:r>
            <w:proofErr w:type="spellEnd"/>
            <w:r w:rsidRPr="00161325">
              <w:rPr>
                <w:rFonts w:ascii="Cambria" w:hAnsi="Cambria" w:cs="Calibri"/>
                <w:lang w:val="it-IT"/>
              </w:rPr>
              <w:t xml:space="preserve"> e-</w:t>
            </w:r>
            <w:proofErr w:type="spellStart"/>
            <w:r w:rsidRPr="00161325">
              <w:rPr>
                <w:rFonts w:ascii="Cambria" w:hAnsi="Cambria" w:cs="Calibri"/>
                <w:lang w:val="it-IT"/>
              </w:rPr>
              <w:t>učenju</w:t>
            </w:r>
            <w:proofErr w:type="spellEnd"/>
            <w:r w:rsidRPr="00161325">
              <w:rPr>
                <w:rFonts w:ascii="Cambria" w:hAnsi="Cambria" w:cs="Calibri"/>
                <w:lang w:val="it-IT"/>
              </w:rPr>
              <w:t>.</w:t>
            </w:r>
          </w:p>
          <w:p w14:paraId="08C6BD4A" w14:textId="77777777" w:rsidR="00D0147D" w:rsidRPr="00884B46" w:rsidRDefault="00D0147D" w:rsidP="000F1A10">
            <w:pPr>
              <w:spacing w:after="0" w:line="240" w:lineRule="auto"/>
              <w:rPr>
                <w:rFonts w:ascii="Cambria" w:hAnsi="Cambria" w:cs="Calibri"/>
                <w:lang w:val="it-IT"/>
              </w:rPr>
            </w:pPr>
            <w:r w:rsidRPr="00161325">
              <w:rPr>
                <w:rFonts w:ascii="Cambria" w:hAnsi="Cambria" w:cs="Calibri"/>
                <w:lang w:val="it-IT"/>
              </w:rPr>
              <w:t xml:space="preserve">U </w:t>
            </w:r>
            <w:proofErr w:type="spellStart"/>
            <w:r w:rsidRPr="00161325">
              <w:rPr>
                <w:rFonts w:ascii="Cambria" w:hAnsi="Cambria" w:cs="Calibri"/>
                <w:lang w:val="it-IT"/>
              </w:rPr>
              <w:t>slučaju</w:t>
            </w:r>
            <w:proofErr w:type="spellEnd"/>
            <w:r w:rsidRPr="00161325">
              <w:rPr>
                <w:rFonts w:ascii="Cambria" w:hAnsi="Cambria" w:cs="Calibri"/>
                <w:lang w:val="it-IT"/>
              </w:rPr>
              <w:t xml:space="preserve"> </w:t>
            </w:r>
            <w:proofErr w:type="spellStart"/>
            <w:r w:rsidRPr="00161325">
              <w:rPr>
                <w:rFonts w:ascii="Cambria" w:hAnsi="Cambria" w:cs="Calibri"/>
                <w:lang w:val="it-IT"/>
              </w:rPr>
              <w:t>održavanja</w:t>
            </w:r>
            <w:proofErr w:type="spellEnd"/>
            <w:r w:rsidRPr="00161325">
              <w:rPr>
                <w:rFonts w:ascii="Cambria" w:hAnsi="Cambria" w:cs="Calibri"/>
                <w:lang w:val="it-IT"/>
              </w:rPr>
              <w:t xml:space="preserve"> </w:t>
            </w:r>
            <w:proofErr w:type="spellStart"/>
            <w:r w:rsidRPr="00161325">
              <w:rPr>
                <w:rFonts w:ascii="Cambria" w:hAnsi="Cambria" w:cs="Calibri"/>
                <w:lang w:val="it-IT"/>
              </w:rPr>
              <w:t>nastave</w:t>
            </w:r>
            <w:proofErr w:type="spellEnd"/>
            <w:r w:rsidRPr="00161325">
              <w:rPr>
                <w:rFonts w:ascii="Cambria" w:hAnsi="Cambria" w:cs="Calibri"/>
                <w:lang w:val="it-IT"/>
              </w:rPr>
              <w:t xml:space="preserve"> </w:t>
            </w:r>
            <w:proofErr w:type="spellStart"/>
            <w:r w:rsidRPr="00161325">
              <w:rPr>
                <w:rFonts w:ascii="Cambria" w:hAnsi="Cambria" w:cs="Calibri"/>
                <w:lang w:val="it-IT"/>
              </w:rPr>
              <w:t>na</w:t>
            </w:r>
            <w:proofErr w:type="spellEnd"/>
            <w:r w:rsidRPr="00161325">
              <w:rPr>
                <w:rFonts w:ascii="Cambria" w:hAnsi="Cambria" w:cs="Calibri"/>
                <w:lang w:val="it-IT"/>
              </w:rPr>
              <w:t xml:space="preserve"> </w:t>
            </w:r>
            <w:proofErr w:type="spellStart"/>
            <w:r w:rsidRPr="00161325">
              <w:rPr>
                <w:rFonts w:ascii="Cambria" w:hAnsi="Cambria" w:cs="Calibri"/>
                <w:lang w:val="it-IT"/>
              </w:rPr>
              <w:t>daljinu</w:t>
            </w:r>
            <w:proofErr w:type="spellEnd"/>
            <w:r w:rsidRPr="00161325">
              <w:rPr>
                <w:rFonts w:ascii="Cambria" w:hAnsi="Cambria" w:cs="Calibri"/>
                <w:lang w:val="it-IT"/>
              </w:rPr>
              <w:t xml:space="preserve">, </w:t>
            </w:r>
            <w:proofErr w:type="spellStart"/>
            <w:r w:rsidRPr="00161325">
              <w:rPr>
                <w:rFonts w:ascii="Cambria" w:hAnsi="Cambria" w:cs="Calibri"/>
                <w:lang w:val="it-IT"/>
              </w:rPr>
              <w:t>moguće</w:t>
            </w:r>
            <w:proofErr w:type="spellEnd"/>
            <w:r w:rsidRPr="00161325">
              <w:rPr>
                <w:rFonts w:ascii="Cambria" w:hAnsi="Cambria" w:cs="Calibri"/>
                <w:lang w:val="it-IT"/>
              </w:rPr>
              <w:t xml:space="preserve"> je </w:t>
            </w:r>
            <w:proofErr w:type="spellStart"/>
            <w:r w:rsidRPr="00161325">
              <w:rPr>
                <w:rFonts w:ascii="Cambria" w:hAnsi="Cambria" w:cs="Calibri"/>
                <w:lang w:val="it-IT"/>
              </w:rPr>
              <w:t>odstupanje</w:t>
            </w:r>
            <w:proofErr w:type="spellEnd"/>
            <w:r w:rsidRPr="00161325">
              <w:rPr>
                <w:rFonts w:ascii="Cambria" w:hAnsi="Cambria" w:cs="Calibri"/>
                <w:lang w:val="it-IT"/>
              </w:rPr>
              <w:t xml:space="preserve"> u: </w:t>
            </w:r>
            <w:proofErr w:type="spellStart"/>
            <w:r w:rsidRPr="00161325">
              <w:rPr>
                <w:rFonts w:ascii="Cambria" w:hAnsi="Cambria" w:cs="Calibri"/>
                <w:lang w:val="it-IT"/>
              </w:rPr>
              <w:t>mjestu</w:t>
            </w:r>
            <w:proofErr w:type="spellEnd"/>
            <w:r w:rsidRPr="00161325">
              <w:rPr>
                <w:rFonts w:ascii="Cambria" w:hAnsi="Cambria" w:cs="Calibri"/>
                <w:lang w:val="it-IT"/>
              </w:rPr>
              <w:t xml:space="preserve"> </w:t>
            </w:r>
            <w:proofErr w:type="spellStart"/>
            <w:r w:rsidRPr="00161325">
              <w:rPr>
                <w:rFonts w:ascii="Cambria" w:hAnsi="Cambria" w:cs="Calibri"/>
                <w:lang w:val="it-IT"/>
              </w:rPr>
              <w:t>izvođenja</w:t>
            </w:r>
            <w:proofErr w:type="spellEnd"/>
            <w:r w:rsidRPr="00161325">
              <w:rPr>
                <w:rFonts w:ascii="Cambria" w:hAnsi="Cambria" w:cs="Calibri"/>
                <w:lang w:val="it-IT"/>
              </w:rPr>
              <w:t xml:space="preserve"> </w:t>
            </w:r>
            <w:proofErr w:type="spellStart"/>
            <w:r w:rsidRPr="00161325">
              <w:rPr>
                <w:rFonts w:ascii="Cambria" w:hAnsi="Cambria" w:cs="Calibri"/>
                <w:lang w:val="it-IT"/>
              </w:rPr>
              <w:t>kolegija</w:t>
            </w:r>
            <w:proofErr w:type="spellEnd"/>
            <w:r w:rsidRPr="00161325">
              <w:rPr>
                <w:rFonts w:ascii="Cambria" w:hAnsi="Cambria" w:cs="Calibri"/>
                <w:lang w:val="it-IT"/>
              </w:rPr>
              <w:t xml:space="preserve">, </w:t>
            </w:r>
            <w:proofErr w:type="spellStart"/>
            <w:r w:rsidRPr="00161325">
              <w:rPr>
                <w:rFonts w:ascii="Cambria" w:hAnsi="Cambria" w:cs="Calibri"/>
                <w:lang w:val="it-IT"/>
              </w:rPr>
              <w:t>provedbi</w:t>
            </w:r>
            <w:proofErr w:type="spellEnd"/>
            <w:r w:rsidRPr="00161325">
              <w:rPr>
                <w:rFonts w:ascii="Cambria" w:hAnsi="Cambria" w:cs="Calibri"/>
                <w:lang w:val="it-IT"/>
              </w:rPr>
              <w:t xml:space="preserve"> </w:t>
            </w:r>
            <w:proofErr w:type="spellStart"/>
            <w:r w:rsidRPr="00161325">
              <w:rPr>
                <w:rFonts w:ascii="Cambria" w:hAnsi="Cambria" w:cs="Calibri"/>
                <w:lang w:val="it-IT"/>
              </w:rPr>
              <w:t>aktivnosti</w:t>
            </w:r>
            <w:proofErr w:type="spellEnd"/>
            <w:r w:rsidRPr="00161325">
              <w:rPr>
                <w:rFonts w:ascii="Cambria" w:hAnsi="Cambria" w:cs="Calibri"/>
                <w:lang w:val="it-IT"/>
              </w:rPr>
              <w:t xml:space="preserve">, </w:t>
            </w:r>
            <w:proofErr w:type="spellStart"/>
            <w:r w:rsidRPr="00161325">
              <w:rPr>
                <w:rFonts w:ascii="Cambria" w:hAnsi="Cambria" w:cs="Calibri"/>
                <w:lang w:val="it-IT"/>
              </w:rPr>
              <w:t>metoda</w:t>
            </w:r>
            <w:proofErr w:type="spellEnd"/>
            <w:r w:rsidRPr="00161325">
              <w:rPr>
                <w:rFonts w:ascii="Cambria" w:hAnsi="Cambria" w:cs="Calibri"/>
                <w:lang w:val="it-IT"/>
              </w:rPr>
              <w:t xml:space="preserve"> </w:t>
            </w:r>
            <w:proofErr w:type="spellStart"/>
            <w:r w:rsidRPr="00161325">
              <w:rPr>
                <w:rFonts w:ascii="Cambria" w:hAnsi="Cambria" w:cs="Calibri"/>
                <w:lang w:val="it-IT"/>
              </w:rPr>
              <w:t>tumačenja</w:t>
            </w:r>
            <w:proofErr w:type="spellEnd"/>
            <w:r w:rsidRPr="00161325">
              <w:rPr>
                <w:rFonts w:ascii="Cambria" w:hAnsi="Cambria" w:cs="Calibri"/>
                <w:lang w:val="it-IT"/>
              </w:rPr>
              <w:t xml:space="preserve"> i </w:t>
            </w:r>
            <w:proofErr w:type="spellStart"/>
            <w:r w:rsidRPr="00161325">
              <w:rPr>
                <w:rFonts w:ascii="Cambria" w:hAnsi="Cambria" w:cs="Calibri"/>
                <w:lang w:val="it-IT"/>
              </w:rPr>
              <w:t>poučavanja</w:t>
            </w:r>
            <w:proofErr w:type="spellEnd"/>
            <w:r w:rsidRPr="00161325">
              <w:rPr>
                <w:rFonts w:ascii="Cambria" w:hAnsi="Cambria" w:cs="Calibri"/>
                <w:lang w:val="it-IT"/>
              </w:rPr>
              <w:t xml:space="preserve"> i </w:t>
            </w:r>
            <w:proofErr w:type="spellStart"/>
            <w:r w:rsidRPr="00161325">
              <w:rPr>
                <w:rFonts w:ascii="Cambria" w:hAnsi="Cambria" w:cs="Calibri"/>
                <w:lang w:val="it-IT"/>
              </w:rPr>
              <w:t>načinima</w:t>
            </w:r>
            <w:proofErr w:type="spellEnd"/>
            <w:r w:rsidRPr="00161325">
              <w:rPr>
                <w:rFonts w:ascii="Cambria" w:hAnsi="Cambria" w:cs="Calibri"/>
                <w:lang w:val="it-IT"/>
              </w:rPr>
              <w:t xml:space="preserve"> </w:t>
            </w:r>
            <w:proofErr w:type="spellStart"/>
            <w:r w:rsidRPr="00161325">
              <w:rPr>
                <w:rFonts w:ascii="Cambria" w:hAnsi="Cambria" w:cs="Calibri"/>
                <w:lang w:val="it-IT"/>
              </w:rPr>
              <w:t>vrednovanja</w:t>
            </w:r>
            <w:proofErr w:type="spellEnd"/>
            <w:r w:rsidRPr="00161325">
              <w:rPr>
                <w:rFonts w:ascii="Cambria" w:hAnsi="Cambria" w:cs="Calibri"/>
                <w:lang w:val="it-IT"/>
              </w:rPr>
              <w:t xml:space="preserve">, </w:t>
            </w:r>
            <w:proofErr w:type="spellStart"/>
            <w:r w:rsidRPr="00161325">
              <w:rPr>
                <w:rFonts w:ascii="Cambria" w:hAnsi="Cambria" w:cs="Calibri"/>
                <w:lang w:val="it-IT"/>
              </w:rPr>
              <w:t>studentskim</w:t>
            </w:r>
            <w:proofErr w:type="spellEnd"/>
            <w:r w:rsidRPr="00161325">
              <w:rPr>
                <w:rFonts w:ascii="Cambria" w:hAnsi="Cambria" w:cs="Calibri"/>
                <w:lang w:val="it-IT"/>
              </w:rPr>
              <w:t xml:space="preserve"> </w:t>
            </w:r>
            <w:proofErr w:type="spellStart"/>
            <w:r w:rsidRPr="00161325">
              <w:rPr>
                <w:rFonts w:ascii="Cambria" w:hAnsi="Cambria" w:cs="Calibri"/>
                <w:lang w:val="it-IT"/>
              </w:rPr>
              <w:t>obvezama</w:t>
            </w:r>
            <w:proofErr w:type="spellEnd"/>
            <w:r w:rsidRPr="00161325">
              <w:rPr>
                <w:rFonts w:ascii="Cambria" w:hAnsi="Cambria" w:cs="Calibri"/>
                <w:lang w:val="it-IT"/>
              </w:rPr>
              <w:t xml:space="preserve"> i </w:t>
            </w:r>
            <w:proofErr w:type="spellStart"/>
            <w:r w:rsidRPr="00161325">
              <w:rPr>
                <w:rFonts w:ascii="Cambria" w:hAnsi="Cambria" w:cs="Calibri"/>
                <w:lang w:val="it-IT"/>
              </w:rPr>
              <w:t>dostupnoj</w:t>
            </w:r>
            <w:proofErr w:type="spellEnd"/>
            <w:r w:rsidRPr="00161325">
              <w:rPr>
                <w:rFonts w:ascii="Cambria" w:hAnsi="Cambria" w:cs="Calibri"/>
                <w:lang w:val="it-IT"/>
              </w:rPr>
              <w:t xml:space="preserve"> </w:t>
            </w:r>
            <w:proofErr w:type="spellStart"/>
            <w:r w:rsidRPr="00161325">
              <w:rPr>
                <w:rFonts w:ascii="Cambria" w:hAnsi="Cambria" w:cs="Calibri"/>
                <w:lang w:val="it-IT"/>
              </w:rPr>
              <w:t>literaturi</w:t>
            </w:r>
            <w:proofErr w:type="spellEnd"/>
            <w:r w:rsidRPr="00161325">
              <w:rPr>
                <w:rFonts w:ascii="Cambria" w:hAnsi="Cambria" w:cs="Calibri"/>
                <w:lang w:val="it-IT"/>
              </w:rPr>
              <w:t xml:space="preserve">. O tome </w:t>
            </w:r>
            <w:proofErr w:type="spellStart"/>
            <w:r w:rsidRPr="00161325">
              <w:rPr>
                <w:rFonts w:ascii="Cambria" w:hAnsi="Cambria" w:cs="Calibri"/>
                <w:lang w:val="it-IT"/>
              </w:rPr>
              <w:t>nositelj</w:t>
            </w:r>
            <w:proofErr w:type="spellEnd"/>
            <w:r w:rsidRPr="00161325">
              <w:rPr>
                <w:rFonts w:ascii="Cambria" w:hAnsi="Cambria" w:cs="Calibri"/>
                <w:lang w:val="it-IT"/>
              </w:rPr>
              <w:t xml:space="preserve"> i </w:t>
            </w:r>
            <w:proofErr w:type="spellStart"/>
            <w:r>
              <w:rPr>
                <w:rFonts w:ascii="Cambria" w:hAnsi="Cambria" w:cs="Calibri"/>
                <w:lang w:val="it-IT"/>
              </w:rPr>
              <w:t>suradnica</w:t>
            </w:r>
            <w:proofErr w:type="spellEnd"/>
            <w:r w:rsidRPr="00161325">
              <w:rPr>
                <w:rFonts w:ascii="Cambria" w:hAnsi="Cambria" w:cs="Calibri"/>
                <w:lang w:val="it-IT"/>
              </w:rPr>
              <w:t xml:space="preserve"> </w:t>
            </w:r>
            <w:proofErr w:type="spellStart"/>
            <w:r w:rsidRPr="00161325">
              <w:rPr>
                <w:rFonts w:ascii="Cambria" w:hAnsi="Cambria" w:cs="Calibri"/>
                <w:lang w:val="it-IT"/>
              </w:rPr>
              <w:t>obavijestiti</w:t>
            </w:r>
            <w:proofErr w:type="spellEnd"/>
            <w:r w:rsidRPr="00161325">
              <w:rPr>
                <w:rFonts w:ascii="Cambria" w:hAnsi="Cambria" w:cs="Calibri"/>
                <w:lang w:val="it-IT"/>
              </w:rPr>
              <w:t xml:space="preserve"> studente i </w:t>
            </w:r>
            <w:proofErr w:type="spellStart"/>
            <w:r w:rsidRPr="00161325">
              <w:rPr>
                <w:rFonts w:ascii="Cambria" w:hAnsi="Cambria" w:cs="Calibri"/>
                <w:lang w:val="it-IT"/>
              </w:rPr>
              <w:t>studentice</w:t>
            </w:r>
            <w:proofErr w:type="spellEnd"/>
            <w:r w:rsidRPr="00161325">
              <w:rPr>
                <w:rFonts w:ascii="Cambria" w:hAnsi="Cambria" w:cs="Calibri"/>
                <w:lang w:val="it-IT"/>
              </w:rPr>
              <w:t xml:space="preserve"> </w:t>
            </w:r>
            <w:proofErr w:type="spellStart"/>
            <w:r w:rsidRPr="00161325">
              <w:rPr>
                <w:rFonts w:ascii="Cambria" w:hAnsi="Cambria" w:cs="Calibri"/>
                <w:lang w:val="it-IT"/>
              </w:rPr>
              <w:t>kad</w:t>
            </w:r>
            <w:proofErr w:type="spellEnd"/>
            <w:r w:rsidRPr="00161325">
              <w:rPr>
                <w:rFonts w:ascii="Cambria" w:hAnsi="Cambria" w:cs="Calibri"/>
                <w:lang w:val="it-IT"/>
              </w:rPr>
              <w:t xml:space="preserve"> se </w:t>
            </w:r>
            <w:proofErr w:type="spellStart"/>
            <w:r w:rsidRPr="00161325">
              <w:rPr>
                <w:rFonts w:ascii="Cambria" w:hAnsi="Cambria" w:cs="Calibri"/>
                <w:lang w:val="it-IT"/>
              </w:rPr>
              <w:t>nastava</w:t>
            </w:r>
            <w:proofErr w:type="spellEnd"/>
            <w:r w:rsidRPr="00161325">
              <w:rPr>
                <w:rFonts w:ascii="Cambria" w:hAnsi="Cambria" w:cs="Calibri"/>
                <w:lang w:val="it-IT"/>
              </w:rPr>
              <w:t xml:space="preserve"> </w:t>
            </w:r>
            <w:proofErr w:type="spellStart"/>
            <w:r w:rsidRPr="00161325">
              <w:rPr>
                <w:rFonts w:ascii="Cambria" w:hAnsi="Cambria" w:cs="Calibri"/>
                <w:lang w:val="it-IT"/>
              </w:rPr>
              <w:t>na</w:t>
            </w:r>
            <w:proofErr w:type="spellEnd"/>
            <w:r w:rsidRPr="00161325">
              <w:rPr>
                <w:rFonts w:ascii="Cambria" w:hAnsi="Cambria" w:cs="Calibri"/>
                <w:lang w:val="it-IT"/>
              </w:rPr>
              <w:t xml:space="preserve"> </w:t>
            </w:r>
            <w:proofErr w:type="spellStart"/>
            <w:r w:rsidRPr="00161325">
              <w:rPr>
                <w:rFonts w:ascii="Cambria" w:hAnsi="Cambria" w:cs="Calibri"/>
                <w:lang w:val="it-IT"/>
              </w:rPr>
              <w:t>daljinu</w:t>
            </w:r>
            <w:proofErr w:type="spellEnd"/>
            <w:r w:rsidRPr="00161325">
              <w:rPr>
                <w:rFonts w:ascii="Cambria" w:hAnsi="Cambria" w:cs="Calibri"/>
                <w:lang w:val="it-IT"/>
              </w:rPr>
              <w:t xml:space="preserve"> </w:t>
            </w:r>
            <w:proofErr w:type="spellStart"/>
            <w:r w:rsidRPr="00161325">
              <w:rPr>
                <w:rFonts w:ascii="Cambria" w:hAnsi="Cambria" w:cs="Calibri"/>
                <w:lang w:val="it-IT"/>
              </w:rPr>
              <w:t>počne</w:t>
            </w:r>
            <w:proofErr w:type="spellEnd"/>
            <w:r w:rsidRPr="00161325">
              <w:rPr>
                <w:rFonts w:ascii="Cambria" w:hAnsi="Cambria" w:cs="Calibri"/>
                <w:lang w:val="it-IT"/>
              </w:rPr>
              <w:t xml:space="preserve"> </w:t>
            </w:r>
            <w:proofErr w:type="spellStart"/>
            <w:r w:rsidRPr="00161325">
              <w:rPr>
                <w:rFonts w:ascii="Cambria" w:hAnsi="Cambria" w:cs="Calibri"/>
                <w:lang w:val="it-IT"/>
              </w:rPr>
              <w:t>održavati</w:t>
            </w:r>
            <w:proofErr w:type="spellEnd"/>
            <w:r w:rsidRPr="00161325">
              <w:rPr>
                <w:rFonts w:ascii="Cambria" w:hAnsi="Cambria" w:cs="Calibri"/>
                <w:lang w:val="it-IT"/>
              </w:rPr>
              <w:t xml:space="preserve">. </w:t>
            </w:r>
            <w:proofErr w:type="spellStart"/>
            <w:r w:rsidRPr="00884B46">
              <w:rPr>
                <w:rFonts w:ascii="Cambria" w:hAnsi="Cambria" w:cs="Calibri"/>
                <w:lang w:val="it-IT"/>
              </w:rPr>
              <w:t>Ishodi</w:t>
            </w:r>
            <w:proofErr w:type="spellEnd"/>
            <w:r w:rsidRPr="00884B46">
              <w:rPr>
                <w:rFonts w:ascii="Cambria" w:hAnsi="Cambria" w:cs="Calibri"/>
                <w:lang w:val="it-IT"/>
              </w:rPr>
              <w:t xml:space="preserve"> </w:t>
            </w:r>
            <w:proofErr w:type="spellStart"/>
            <w:r w:rsidRPr="00884B46">
              <w:rPr>
                <w:rFonts w:ascii="Cambria" w:hAnsi="Cambria" w:cs="Calibri"/>
                <w:lang w:val="it-IT"/>
              </w:rPr>
              <w:t>učenja</w:t>
            </w:r>
            <w:proofErr w:type="spellEnd"/>
            <w:r w:rsidRPr="00884B46">
              <w:rPr>
                <w:rFonts w:ascii="Cambria" w:hAnsi="Cambria" w:cs="Calibri"/>
                <w:lang w:val="it-IT"/>
              </w:rPr>
              <w:t xml:space="preserve"> </w:t>
            </w:r>
            <w:proofErr w:type="spellStart"/>
            <w:r w:rsidRPr="00884B46">
              <w:rPr>
                <w:rFonts w:ascii="Cambria" w:hAnsi="Cambria" w:cs="Calibri"/>
                <w:lang w:val="it-IT"/>
              </w:rPr>
              <w:t>ostaju</w:t>
            </w:r>
            <w:proofErr w:type="spellEnd"/>
            <w:r w:rsidRPr="00884B46">
              <w:rPr>
                <w:rFonts w:ascii="Cambria" w:hAnsi="Cambria" w:cs="Calibri"/>
                <w:lang w:val="it-IT"/>
              </w:rPr>
              <w:t xml:space="preserve"> </w:t>
            </w:r>
            <w:proofErr w:type="spellStart"/>
            <w:r w:rsidRPr="00884B46">
              <w:rPr>
                <w:rFonts w:ascii="Cambria" w:hAnsi="Cambria" w:cs="Calibri"/>
                <w:lang w:val="it-IT"/>
              </w:rPr>
              <w:t>nepromijenjeni</w:t>
            </w:r>
            <w:proofErr w:type="spellEnd"/>
            <w:r w:rsidRPr="00884B46">
              <w:rPr>
                <w:rFonts w:ascii="Cambria" w:hAnsi="Cambria" w:cs="Calibri"/>
                <w:lang w:val="it-IT"/>
              </w:rPr>
              <w:t>.</w:t>
            </w:r>
          </w:p>
        </w:tc>
      </w:tr>
      <w:tr w:rsidR="00D0147D" w:rsidRPr="00E45645" w14:paraId="00955719" w14:textId="77777777" w:rsidTr="000F1A10">
        <w:trPr>
          <w:trHeight w:val="329"/>
        </w:trPr>
        <w:tc>
          <w:tcPr>
            <w:tcW w:w="268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AF2663C" w14:textId="77777777" w:rsidR="00D0147D" w:rsidRPr="00A62FBD" w:rsidRDefault="00D0147D" w:rsidP="000F1A10">
            <w:pPr>
              <w:spacing w:after="0" w:line="240" w:lineRule="auto"/>
              <w:rPr>
                <w:rFonts w:ascii="Cambria" w:hAnsi="Cambria" w:cs="Calibri"/>
              </w:rPr>
            </w:pPr>
            <w:proofErr w:type="spellStart"/>
            <w:r w:rsidRPr="00A62FBD">
              <w:rPr>
                <w:rFonts w:ascii="Cambria" w:hAnsi="Cambria" w:cs="Calibri"/>
              </w:rPr>
              <w:t>Literatura</w:t>
            </w:r>
            <w:proofErr w:type="spellEnd"/>
          </w:p>
        </w:tc>
        <w:tc>
          <w:tcPr>
            <w:tcW w:w="6662"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6048CF9B" w14:textId="77777777" w:rsidR="00D0147D" w:rsidRPr="00753F2C" w:rsidRDefault="00D0147D" w:rsidP="000F1A10">
            <w:pPr>
              <w:suppressAutoHyphens/>
              <w:spacing w:after="0" w:line="240" w:lineRule="auto"/>
              <w:rPr>
                <w:rFonts w:ascii="Cambria" w:hAnsi="Cambria"/>
                <w:bCs/>
                <w:lang w:eastAsia="zh-CN"/>
              </w:rPr>
            </w:pPr>
            <w:proofErr w:type="spellStart"/>
            <w:r w:rsidRPr="00656166">
              <w:rPr>
                <w:rFonts w:ascii="Cambria" w:hAnsi="Cambria"/>
                <w:bCs/>
                <w:lang w:eastAsia="zh-CN"/>
              </w:rPr>
              <w:t>Obvezna</w:t>
            </w:r>
            <w:proofErr w:type="spellEnd"/>
            <w:r w:rsidRPr="00656166">
              <w:rPr>
                <w:rFonts w:ascii="Cambria" w:hAnsi="Cambria"/>
                <w:bCs/>
                <w:lang w:eastAsia="zh-CN"/>
              </w:rPr>
              <w:t>:</w:t>
            </w:r>
            <w:r w:rsidRPr="00753F2C">
              <w:rPr>
                <w:rFonts w:ascii="Cambria" w:hAnsi="Cambria"/>
                <w:bCs/>
                <w:lang w:eastAsia="zh-CN"/>
              </w:rPr>
              <w:t xml:space="preserve"> </w:t>
            </w:r>
          </w:p>
          <w:p w14:paraId="645155E8" w14:textId="77777777" w:rsidR="00D0147D" w:rsidRDefault="00D0147D" w:rsidP="00A034E3">
            <w:pPr>
              <w:pStyle w:val="Odlomakpopisa"/>
              <w:numPr>
                <w:ilvl w:val="0"/>
                <w:numId w:val="22"/>
              </w:numPr>
              <w:suppressAutoHyphens/>
              <w:spacing w:after="0" w:line="240" w:lineRule="auto"/>
              <w:rPr>
                <w:rFonts w:ascii="Cambria" w:hAnsi="Cambria"/>
                <w:bCs/>
                <w:noProof/>
                <w:lang w:eastAsia="zh-CN"/>
              </w:rPr>
            </w:pPr>
            <w:r w:rsidRPr="00B166B3">
              <w:rPr>
                <w:rFonts w:ascii="Cambria" w:hAnsi="Cambria"/>
                <w:bCs/>
                <w:lang w:eastAsia="zh-CN"/>
              </w:rPr>
              <w:t xml:space="preserve">Markovac, J. (2001.) </w:t>
            </w:r>
            <w:r w:rsidRPr="00B166B3">
              <w:rPr>
                <w:rFonts w:ascii="Cambria" w:hAnsi="Cambria"/>
                <w:bCs/>
                <w:i/>
                <w:lang w:eastAsia="zh-CN"/>
              </w:rPr>
              <w:t>Metodika početne nastave matematike</w:t>
            </w:r>
            <w:r w:rsidRPr="00B166B3">
              <w:rPr>
                <w:rFonts w:ascii="Cambria" w:hAnsi="Cambria"/>
                <w:bCs/>
                <w:lang w:eastAsia="zh-CN"/>
              </w:rPr>
              <w:t>. Školska knjiga.</w:t>
            </w:r>
          </w:p>
          <w:p w14:paraId="1F599500" w14:textId="77777777" w:rsidR="00D0147D" w:rsidRPr="00B166B3" w:rsidRDefault="00D0147D" w:rsidP="00A034E3">
            <w:pPr>
              <w:pStyle w:val="Odlomakpopisa"/>
              <w:numPr>
                <w:ilvl w:val="0"/>
                <w:numId w:val="22"/>
              </w:numPr>
              <w:suppressAutoHyphens/>
              <w:spacing w:after="0" w:line="240" w:lineRule="auto"/>
              <w:rPr>
                <w:rFonts w:ascii="Cambria" w:hAnsi="Cambria"/>
                <w:bCs/>
                <w:noProof/>
                <w:lang w:eastAsia="zh-CN"/>
              </w:rPr>
            </w:pPr>
            <w:r w:rsidRPr="00B166B3">
              <w:rPr>
                <w:rFonts w:ascii="Cambria" w:hAnsi="Cambria"/>
                <w:bCs/>
                <w:noProof/>
                <w:lang w:eastAsia="zh-CN"/>
              </w:rPr>
              <w:t xml:space="preserve">Kurnik, Z. (2009.) </w:t>
            </w:r>
            <w:r w:rsidRPr="00B166B3">
              <w:rPr>
                <w:rFonts w:ascii="Cambria" w:hAnsi="Cambria"/>
                <w:bCs/>
                <w:i/>
                <w:noProof/>
                <w:lang w:eastAsia="zh-CN"/>
              </w:rPr>
              <w:t xml:space="preserve">Znanstveni okviri nastave matematike. </w:t>
            </w:r>
            <w:r w:rsidRPr="00B166B3">
              <w:rPr>
                <w:rFonts w:ascii="Cambria" w:hAnsi="Cambria"/>
                <w:bCs/>
                <w:noProof/>
                <w:lang w:eastAsia="zh-CN"/>
              </w:rPr>
              <w:t>Element.</w:t>
            </w:r>
          </w:p>
          <w:p w14:paraId="4AB5F42C" w14:textId="77777777" w:rsidR="00D0147D" w:rsidRPr="00884B46" w:rsidRDefault="00D0147D" w:rsidP="00A034E3">
            <w:pPr>
              <w:pStyle w:val="Odlomakpopisa"/>
              <w:numPr>
                <w:ilvl w:val="0"/>
                <w:numId w:val="22"/>
              </w:numPr>
              <w:spacing w:after="0" w:line="240" w:lineRule="auto"/>
              <w:rPr>
                <w:rFonts w:ascii="Cambria" w:hAnsi="Cambria"/>
                <w:bCs/>
                <w:lang w:eastAsia="zh-CN"/>
              </w:rPr>
            </w:pPr>
            <w:proofErr w:type="spellStart"/>
            <w:r>
              <w:rPr>
                <w:rFonts w:ascii="Cambria" w:hAnsi="Cambria"/>
                <w:bCs/>
                <w:lang w:eastAsia="zh-CN"/>
              </w:rPr>
              <w:t>Liebeck</w:t>
            </w:r>
            <w:proofErr w:type="spellEnd"/>
            <w:r>
              <w:rPr>
                <w:rFonts w:ascii="Cambria" w:hAnsi="Cambria"/>
                <w:bCs/>
                <w:lang w:eastAsia="zh-CN"/>
              </w:rPr>
              <w:t xml:space="preserve">, P. (1985). </w:t>
            </w:r>
            <w:r>
              <w:rPr>
                <w:rFonts w:ascii="Cambria" w:hAnsi="Cambria"/>
                <w:bCs/>
                <w:i/>
                <w:lang w:eastAsia="zh-CN"/>
              </w:rPr>
              <w:t>Kako djeca uče matematiku</w:t>
            </w:r>
            <w:r>
              <w:rPr>
                <w:rFonts w:ascii="Cambria" w:hAnsi="Cambria"/>
                <w:bCs/>
                <w:lang w:eastAsia="zh-CN"/>
              </w:rPr>
              <w:t xml:space="preserve">. EDUCA. </w:t>
            </w:r>
          </w:p>
          <w:p w14:paraId="4165074A" w14:textId="77777777" w:rsidR="00D0147D" w:rsidRPr="00753F2C" w:rsidRDefault="00D0147D" w:rsidP="000F1A10">
            <w:pPr>
              <w:suppressAutoHyphens/>
              <w:spacing w:after="0" w:line="240" w:lineRule="auto"/>
              <w:rPr>
                <w:rFonts w:ascii="Cambria" w:hAnsi="Cambria"/>
                <w:bCs/>
                <w:lang w:eastAsia="zh-CN"/>
              </w:rPr>
            </w:pPr>
            <w:proofErr w:type="spellStart"/>
            <w:r w:rsidRPr="00753F2C">
              <w:rPr>
                <w:rFonts w:ascii="Cambria" w:hAnsi="Cambria"/>
                <w:bCs/>
                <w:lang w:eastAsia="zh-CN"/>
              </w:rPr>
              <w:t>Priručna</w:t>
            </w:r>
            <w:proofErr w:type="spellEnd"/>
            <w:r w:rsidRPr="00753F2C">
              <w:rPr>
                <w:rFonts w:ascii="Cambria" w:hAnsi="Cambria"/>
                <w:bCs/>
                <w:lang w:eastAsia="zh-CN"/>
              </w:rPr>
              <w:t>:</w:t>
            </w:r>
          </w:p>
          <w:p w14:paraId="5BD56A69" w14:textId="77777777" w:rsidR="00D0147D" w:rsidRPr="00753F2C" w:rsidRDefault="00D0147D" w:rsidP="00A034E3">
            <w:pPr>
              <w:pStyle w:val="Odlomakpopisa"/>
              <w:numPr>
                <w:ilvl w:val="0"/>
                <w:numId w:val="23"/>
              </w:numPr>
              <w:suppressAutoHyphens/>
              <w:spacing w:after="0" w:line="240" w:lineRule="auto"/>
              <w:rPr>
                <w:rFonts w:ascii="Cambria" w:hAnsi="Cambria"/>
                <w:bCs/>
                <w:lang w:eastAsia="zh-CN"/>
              </w:rPr>
            </w:pPr>
            <w:r w:rsidRPr="00753F2C">
              <w:rPr>
                <w:rFonts w:ascii="Cambria" w:hAnsi="Cambria"/>
                <w:bCs/>
                <w:lang w:eastAsia="zh-CN"/>
              </w:rPr>
              <w:t xml:space="preserve">Kurikulum nastavnog predmeta Matematika </w:t>
            </w:r>
            <w:hyperlink r:id="rId108" w:history="1">
              <w:r w:rsidRPr="00965A9F">
                <w:rPr>
                  <w:rStyle w:val="Hiperveza"/>
                  <w:rFonts w:ascii="Cambria" w:hAnsi="Cambria"/>
                  <w:bCs/>
                </w:rPr>
                <w:t>https://mzo.gov.hr/istaknute-teme/odgoj-i-obrazovanje/nacionalni-kurikulum/predmetni-kurikulumi/539</w:t>
              </w:r>
            </w:hyperlink>
            <w:r w:rsidRPr="00753F2C">
              <w:rPr>
                <w:rFonts w:ascii="Cambria" w:hAnsi="Cambria"/>
                <w:bCs/>
              </w:rPr>
              <w:t xml:space="preserve"> </w:t>
            </w:r>
          </w:p>
          <w:p w14:paraId="256037C1" w14:textId="77777777" w:rsidR="00D0147D" w:rsidRDefault="00D0147D" w:rsidP="00A034E3">
            <w:pPr>
              <w:pStyle w:val="Odlomakpopisa"/>
              <w:numPr>
                <w:ilvl w:val="0"/>
                <w:numId w:val="23"/>
              </w:numPr>
              <w:suppressAutoHyphens/>
              <w:spacing w:after="0" w:line="240" w:lineRule="auto"/>
              <w:rPr>
                <w:rFonts w:ascii="Cambria" w:hAnsi="Cambria"/>
                <w:bCs/>
                <w:lang w:eastAsia="zh-CN"/>
              </w:rPr>
            </w:pPr>
            <w:proofErr w:type="spellStart"/>
            <w:r>
              <w:rPr>
                <w:rFonts w:ascii="Cambria" w:hAnsi="Cambria"/>
                <w:bCs/>
                <w:lang w:eastAsia="zh-CN"/>
              </w:rPr>
              <w:t>Kurikulumi</w:t>
            </w:r>
            <w:proofErr w:type="spellEnd"/>
            <w:r>
              <w:rPr>
                <w:rFonts w:ascii="Cambria" w:hAnsi="Cambria"/>
                <w:bCs/>
                <w:lang w:eastAsia="zh-CN"/>
              </w:rPr>
              <w:t xml:space="preserve"> </w:t>
            </w:r>
            <w:proofErr w:type="spellStart"/>
            <w:r>
              <w:rPr>
                <w:rFonts w:ascii="Cambria" w:hAnsi="Cambria"/>
                <w:bCs/>
                <w:lang w:eastAsia="zh-CN"/>
              </w:rPr>
              <w:t>međupredmetnih</w:t>
            </w:r>
            <w:proofErr w:type="spellEnd"/>
            <w:r>
              <w:rPr>
                <w:rFonts w:ascii="Cambria" w:hAnsi="Cambria"/>
                <w:bCs/>
                <w:lang w:eastAsia="zh-CN"/>
              </w:rPr>
              <w:t xml:space="preserve"> tema </w:t>
            </w:r>
            <w:hyperlink r:id="rId109" w:history="1">
              <w:r w:rsidRPr="00D85BC0">
                <w:rPr>
                  <w:rStyle w:val="Hiperveza"/>
                  <w:rFonts w:ascii="Cambria" w:hAnsi="Cambria"/>
                  <w:bCs/>
                  <w:lang w:eastAsia="zh-CN"/>
                </w:rPr>
                <w:t>https://mzo.gov.hr/istaknute-teme/odgoj-i-obrazovanje/nacionalni-kurikulum/medjupredmetne-teme/3852</w:t>
              </w:r>
            </w:hyperlink>
          </w:p>
          <w:p w14:paraId="7747B962" w14:textId="77777777" w:rsidR="00D0147D" w:rsidRPr="00753F2C" w:rsidRDefault="00D0147D" w:rsidP="00A034E3">
            <w:pPr>
              <w:pStyle w:val="Odlomakpopisa"/>
              <w:numPr>
                <w:ilvl w:val="0"/>
                <w:numId w:val="23"/>
              </w:numPr>
              <w:suppressAutoHyphens/>
              <w:spacing w:after="0" w:line="240" w:lineRule="auto"/>
              <w:rPr>
                <w:rFonts w:ascii="Cambria" w:hAnsi="Cambria"/>
                <w:bCs/>
                <w:lang w:eastAsia="zh-CN"/>
              </w:rPr>
            </w:pPr>
            <w:r w:rsidRPr="00753F2C">
              <w:rPr>
                <w:rFonts w:ascii="Cambria" w:hAnsi="Cambria"/>
                <w:bCs/>
                <w:lang w:eastAsia="zh-CN"/>
              </w:rPr>
              <w:t>Aktualni udžbenici za matematiku od 1. do 4.</w:t>
            </w:r>
            <w:r>
              <w:rPr>
                <w:rFonts w:ascii="Cambria" w:hAnsi="Cambria"/>
                <w:bCs/>
                <w:lang w:eastAsia="zh-CN"/>
              </w:rPr>
              <w:t xml:space="preserve"> </w:t>
            </w:r>
            <w:r w:rsidRPr="00753F2C">
              <w:rPr>
                <w:rFonts w:ascii="Cambria" w:hAnsi="Cambria"/>
                <w:bCs/>
                <w:lang w:eastAsia="zh-CN"/>
              </w:rPr>
              <w:t>razreda osnovne škole</w:t>
            </w:r>
          </w:p>
          <w:p w14:paraId="159FCF61" w14:textId="77777777" w:rsidR="00D0147D" w:rsidRPr="00753F2C" w:rsidRDefault="00D0147D" w:rsidP="000F1A10">
            <w:pPr>
              <w:suppressAutoHyphens/>
              <w:spacing w:after="0" w:line="240" w:lineRule="auto"/>
              <w:rPr>
                <w:rFonts w:ascii="Cambria" w:hAnsi="Cambria"/>
                <w:bCs/>
                <w:lang w:eastAsia="zh-CN"/>
              </w:rPr>
            </w:pPr>
            <w:proofErr w:type="spellStart"/>
            <w:r w:rsidRPr="00753F2C">
              <w:rPr>
                <w:rFonts w:ascii="Cambria" w:hAnsi="Cambria"/>
                <w:bCs/>
                <w:lang w:eastAsia="zh-CN"/>
              </w:rPr>
              <w:t>Izborna</w:t>
            </w:r>
            <w:proofErr w:type="spellEnd"/>
            <w:r w:rsidRPr="00753F2C">
              <w:rPr>
                <w:rFonts w:ascii="Cambria" w:hAnsi="Cambria"/>
                <w:bCs/>
                <w:lang w:eastAsia="zh-CN"/>
              </w:rPr>
              <w:t xml:space="preserve">: </w:t>
            </w:r>
          </w:p>
          <w:p w14:paraId="2EE36992" w14:textId="77777777" w:rsidR="00D0147D" w:rsidRPr="00161325" w:rsidRDefault="00D0147D" w:rsidP="00A034E3">
            <w:pPr>
              <w:numPr>
                <w:ilvl w:val="0"/>
                <w:numId w:val="24"/>
              </w:numPr>
              <w:suppressAutoHyphens/>
              <w:spacing w:after="0" w:line="240" w:lineRule="auto"/>
              <w:rPr>
                <w:lang w:val="it-IT" w:eastAsia="en-GB"/>
              </w:rPr>
            </w:pPr>
            <w:r w:rsidRPr="00161325">
              <w:rPr>
                <w:rFonts w:ascii="Cambria" w:hAnsi="Cambria"/>
                <w:bCs/>
                <w:noProof/>
                <w:lang w:val="it-IT" w:eastAsia="zh-CN"/>
              </w:rPr>
              <w:t xml:space="preserve">Jensen, E. (1998) </w:t>
            </w:r>
            <w:r w:rsidRPr="00161325">
              <w:rPr>
                <w:rFonts w:ascii="Cambria" w:hAnsi="Cambria"/>
                <w:bCs/>
                <w:i/>
                <w:noProof/>
                <w:lang w:val="it-IT" w:eastAsia="zh-CN"/>
              </w:rPr>
              <w:t>Super nastava</w:t>
            </w:r>
            <w:r w:rsidRPr="00161325">
              <w:rPr>
                <w:rFonts w:ascii="Cambria" w:hAnsi="Cambria"/>
                <w:bCs/>
                <w:noProof/>
                <w:lang w:val="it-IT" w:eastAsia="zh-CN"/>
              </w:rPr>
              <w:t>. Naklada Slap.</w:t>
            </w:r>
          </w:p>
          <w:p w14:paraId="6555DBC1" w14:textId="77777777" w:rsidR="00D0147D" w:rsidRPr="00161325" w:rsidRDefault="00D0147D" w:rsidP="00A034E3">
            <w:pPr>
              <w:numPr>
                <w:ilvl w:val="0"/>
                <w:numId w:val="24"/>
              </w:numPr>
              <w:suppressAutoHyphens/>
              <w:spacing w:after="0" w:line="240" w:lineRule="auto"/>
              <w:rPr>
                <w:rFonts w:ascii="Cambria" w:hAnsi="Cambria"/>
                <w:bCs/>
                <w:noProof/>
                <w:lang w:val="it-IT" w:eastAsia="zh-CN"/>
              </w:rPr>
            </w:pPr>
            <w:r w:rsidRPr="00161325">
              <w:rPr>
                <w:rFonts w:ascii="Cambria" w:hAnsi="Cambria"/>
                <w:bCs/>
                <w:noProof/>
                <w:lang w:val="it-IT" w:eastAsia="zh-CN"/>
              </w:rPr>
              <w:t>Jurjević Jovanović, I., Rukljač,I., Viher, J. (2020),</w:t>
            </w:r>
            <w:r w:rsidRPr="00161325">
              <w:rPr>
                <w:lang w:val="it-IT"/>
              </w:rPr>
              <w:t xml:space="preserve"> </w:t>
            </w:r>
            <w:proofErr w:type="spellStart"/>
            <w:r w:rsidRPr="00161325">
              <w:rPr>
                <w:rFonts w:ascii="Cambria" w:hAnsi="Cambria"/>
                <w:bCs/>
                <w:i/>
                <w:lang w:val="it-IT" w:eastAsia="zh-CN"/>
              </w:rPr>
              <w:t>Vrednovanje</w:t>
            </w:r>
            <w:proofErr w:type="spellEnd"/>
            <w:r w:rsidRPr="00161325">
              <w:rPr>
                <w:rFonts w:ascii="Cambria" w:hAnsi="Cambria"/>
                <w:bCs/>
                <w:i/>
                <w:lang w:val="it-IT" w:eastAsia="zh-CN"/>
              </w:rPr>
              <w:t xml:space="preserve"> u </w:t>
            </w:r>
            <w:proofErr w:type="spellStart"/>
            <w:r w:rsidRPr="00161325">
              <w:rPr>
                <w:rFonts w:ascii="Cambria" w:hAnsi="Cambria"/>
                <w:bCs/>
                <w:i/>
                <w:lang w:val="it-IT" w:eastAsia="zh-CN"/>
              </w:rPr>
              <w:t>razrednoj</w:t>
            </w:r>
            <w:proofErr w:type="spellEnd"/>
            <w:r w:rsidRPr="00161325">
              <w:rPr>
                <w:rFonts w:ascii="Cambria" w:hAnsi="Cambria"/>
                <w:bCs/>
                <w:i/>
                <w:lang w:val="it-IT" w:eastAsia="zh-CN"/>
              </w:rPr>
              <w:t xml:space="preserve"> </w:t>
            </w:r>
            <w:proofErr w:type="spellStart"/>
            <w:r w:rsidRPr="00161325">
              <w:rPr>
                <w:rFonts w:ascii="Cambria" w:hAnsi="Cambria"/>
                <w:bCs/>
                <w:i/>
                <w:lang w:val="it-IT" w:eastAsia="zh-CN"/>
              </w:rPr>
              <w:t>nastavi</w:t>
            </w:r>
            <w:proofErr w:type="spellEnd"/>
            <w:r w:rsidRPr="00161325">
              <w:rPr>
                <w:lang w:val="it-IT"/>
              </w:rPr>
              <w:t xml:space="preserve">, </w:t>
            </w:r>
            <w:proofErr w:type="spellStart"/>
            <w:r w:rsidRPr="00161325">
              <w:rPr>
                <w:lang w:val="it-IT"/>
              </w:rPr>
              <w:t>Školska</w:t>
            </w:r>
            <w:proofErr w:type="spellEnd"/>
            <w:r w:rsidRPr="00161325">
              <w:rPr>
                <w:lang w:val="it-IT"/>
              </w:rPr>
              <w:t xml:space="preserve"> </w:t>
            </w:r>
            <w:proofErr w:type="spellStart"/>
            <w:r w:rsidRPr="00161325">
              <w:rPr>
                <w:lang w:val="it-IT"/>
              </w:rPr>
              <w:t>knjiga</w:t>
            </w:r>
            <w:proofErr w:type="spellEnd"/>
            <w:r w:rsidRPr="00161325">
              <w:rPr>
                <w:lang w:val="it-IT"/>
              </w:rPr>
              <w:t>.</w:t>
            </w:r>
          </w:p>
          <w:p w14:paraId="29DC7386" w14:textId="77777777" w:rsidR="00D0147D" w:rsidRDefault="00D0147D" w:rsidP="00A034E3">
            <w:pPr>
              <w:numPr>
                <w:ilvl w:val="0"/>
                <w:numId w:val="24"/>
              </w:numPr>
              <w:suppressAutoHyphens/>
              <w:spacing w:after="0" w:line="240" w:lineRule="auto"/>
              <w:rPr>
                <w:rFonts w:ascii="Cambria" w:hAnsi="Cambria"/>
                <w:bCs/>
                <w:lang w:eastAsia="zh-CN"/>
              </w:rPr>
            </w:pPr>
            <w:r w:rsidRPr="00161325">
              <w:rPr>
                <w:rFonts w:ascii="Cambria" w:hAnsi="Cambria"/>
                <w:bCs/>
                <w:noProof/>
                <w:lang w:val="it-IT" w:eastAsia="zh-CN"/>
              </w:rPr>
              <w:t xml:space="preserve">Matijević, M. i Radovanović, D. (2011) </w:t>
            </w:r>
            <w:r w:rsidRPr="00161325">
              <w:rPr>
                <w:rFonts w:ascii="Cambria" w:hAnsi="Cambria"/>
                <w:bCs/>
                <w:i/>
                <w:noProof/>
                <w:lang w:val="it-IT" w:eastAsia="zh-CN"/>
              </w:rPr>
              <w:t>Nastava usmjerena na učenika</w:t>
            </w:r>
            <w:r w:rsidRPr="00161325">
              <w:rPr>
                <w:rFonts w:ascii="Cambria" w:hAnsi="Cambria"/>
                <w:bCs/>
                <w:noProof/>
                <w:lang w:val="it-IT" w:eastAsia="zh-CN"/>
              </w:rPr>
              <w:t xml:space="preserve">. </w:t>
            </w:r>
            <w:r w:rsidRPr="009A37A9">
              <w:rPr>
                <w:rFonts w:ascii="Cambria" w:hAnsi="Cambria"/>
                <w:bCs/>
                <w:noProof/>
                <w:lang w:eastAsia="zh-CN"/>
              </w:rPr>
              <w:t>Školske novine.</w:t>
            </w:r>
          </w:p>
          <w:p w14:paraId="0948B18D" w14:textId="77777777" w:rsidR="00D0147D" w:rsidRPr="00161325" w:rsidRDefault="00D0147D" w:rsidP="00A034E3">
            <w:pPr>
              <w:numPr>
                <w:ilvl w:val="0"/>
                <w:numId w:val="24"/>
              </w:numPr>
              <w:suppressAutoHyphens/>
              <w:spacing w:after="0" w:line="240" w:lineRule="auto"/>
              <w:rPr>
                <w:rFonts w:ascii="Cambria" w:hAnsi="Cambria"/>
                <w:bCs/>
                <w:lang w:val="it-IT" w:eastAsia="zh-CN"/>
              </w:rPr>
            </w:pPr>
            <w:r w:rsidRPr="00161325">
              <w:rPr>
                <w:rFonts w:ascii="Cambria" w:hAnsi="Cambria"/>
                <w:bCs/>
                <w:noProof/>
                <w:lang w:val="it-IT" w:eastAsia="zh-CN"/>
              </w:rPr>
              <w:t>Mattes, W</w:t>
            </w:r>
            <w:r w:rsidRPr="00161325">
              <w:rPr>
                <w:rFonts w:ascii="Cambria" w:hAnsi="Cambria"/>
                <w:bCs/>
                <w:lang w:val="it-IT" w:eastAsia="zh-CN"/>
              </w:rPr>
              <w:t xml:space="preserve">. (2007) </w:t>
            </w:r>
            <w:proofErr w:type="spellStart"/>
            <w:r w:rsidRPr="00161325">
              <w:rPr>
                <w:rFonts w:ascii="Cambria" w:hAnsi="Cambria"/>
                <w:bCs/>
                <w:i/>
                <w:lang w:val="it-IT" w:eastAsia="zh-CN"/>
              </w:rPr>
              <w:t>Rutinski</w:t>
            </w:r>
            <w:proofErr w:type="spellEnd"/>
            <w:r w:rsidRPr="00161325">
              <w:rPr>
                <w:rFonts w:ascii="Cambria" w:hAnsi="Cambria"/>
                <w:bCs/>
                <w:i/>
                <w:lang w:val="it-IT" w:eastAsia="zh-CN"/>
              </w:rPr>
              <w:t xml:space="preserve"> </w:t>
            </w:r>
            <w:proofErr w:type="spellStart"/>
            <w:r w:rsidRPr="00161325">
              <w:rPr>
                <w:rFonts w:ascii="Cambria" w:hAnsi="Cambria"/>
                <w:bCs/>
                <w:i/>
                <w:lang w:val="it-IT" w:eastAsia="zh-CN"/>
              </w:rPr>
              <w:t>planirati</w:t>
            </w:r>
            <w:proofErr w:type="spellEnd"/>
            <w:r w:rsidRPr="00161325">
              <w:rPr>
                <w:rFonts w:ascii="Cambria" w:hAnsi="Cambria"/>
                <w:bCs/>
                <w:i/>
                <w:lang w:val="it-IT" w:eastAsia="zh-CN"/>
              </w:rPr>
              <w:t xml:space="preserve"> - </w:t>
            </w:r>
            <w:proofErr w:type="spellStart"/>
            <w:r w:rsidRPr="00161325">
              <w:rPr>
                <w:rFonts w:ascii="Cambria" w:hAnsi="Cambria"/>
                <w:bCs/>
                <w:i/>
                <w:lang w:val="it-IT" w:eastAsia="zh-CN"/>
              </w:rPr>
              <w:t>učinkovito</w:t>
            </w:r>
            <w:proofErr w:type="spellEnd"/>
            <w:r w:rsidRPr="00161325">
              <w:rPr>
                <w:rFonts w:ascii="Cambria" w:hAnsi="Cambria"/>
                <w:bCs/>
                <w:i/>
                <w:lang w:val="it-IT" w:eastAsia="zh-CN"/>
              </w:rPr>
              <w:t xml:space="preserve"> </w:t>
            </w:r>
            <w:proofErr w:type="spellStart"/>
            <w:r w:rsidRPr="00161325">
              <w:rPr>
                <w:rFonts w:ascii="Cambria" w:hAnsi="Cambria"/>
                <w:bCs/>
                <w:i/>
                <w:lang w:val="it-IT" w:eastAsia="zh-CN"/>
              </w:rPr>
              <w:t>poučavati</w:t>
            </w:r>
            <w:proofErr w:type="spellEnd"/>
            <w:r w:rsidRPr="00161325">
              <w:rPr>
                <w:rFonts w:ascii="Cambria" w:hAnsi="Cambria"/>
                <w:bCs/>
                <w:lang w:val="it-IT" w:eastAsia="zh-CN"/>
              </w:rPr>
              <w:t xml:space="preserve">: </w:t>
            </w:r>
            <w:proofErr w:type="spellStart"/>
            <w:r w:rsidRPr="00161325">
              <w:rPr>
                <w:rFonts w:ascii="Cambria" w:hAnsi="Cambria"/>
                <w:bCs/>
                <w:lang w:val="it-IT" w:eastAsia="zh-CN"/>
              </w:rPr>
              <w:t>Naklada</w:t>
            </w:r>
            <w:proofErr w:type="spellEnd"/>
            <w:r w:rsidRPr="00161325">
              <w:rPr>
                <w:rFonts w:ascii="Cambria" w:hAnsi="Cambria"/>
                <w:bCs/>
                <w:lang w:val="it-IT" w:eastAsia="zh-CN"/>
              </w:rPr>
              <w:t xml:space="preserve"> </w:t>
            </w:r>
            <w:proofErr w:type="spellStart"/>
            <w:r w:rsidRPr="00161325">
              <w:rPr>
                <w:rFonts w:ascii="Cambria" w:hAnsi="Cambria"/>
                <w:bCs/>
                <w:lang w:val="it-IT" w:eastAsia="zh-CN"/>
              </w:rPr>
              <w:t>Ljevak</w:t>
            </w:r>
            <w:proofErr w:type="spellEnd"/>
            <w:r w:rsidRPr="00161325">
              <w:rPr>
                <w:rFonts w:ascii="Cambria" w:hAnsi="Cambria"/>
                <w:bCs/>
                <w:lang w:val="it-IT" w:eastAsia="zh-CN"/>
              </w:rPr>
              <w:t>.</w:t>
            </w:r>
          </w:p>
          <w:p w14:paraId="44D027D8" w14:textId="77777777" w:rsidR="00D0147D" w:rsidRPr="0023094D" w:rsidRDefault="00D0147D" w:rsidP="00A034E3">
            <w:pPr>
              <w:numPr>
                <w:ilvl w:val="0"/>
                <w:numId w:val="24"/>
              </w:numPr>
              <w:suppressAutoHyphens/>
              <w:spacing w:after="0" w:line="240" w:lineRule="auto"/>
              <w:rPr>
                <w:rFonts w:ascii="Cambria" w:hAnsi="Cambria" w:cs="Calibri"/>
                <w:lang w:eastAsia="zh-CN"/>
              </w:rPr>
            </w:pPr>
            <w:r w:rsidRPr="00161325">
              <w:rPr>
                <w:rFonts w:ascii="Cambria" w:hAnsi="Cambria"/>
                <w:bCs/>
                <w:lang w:val="it-IT" w:eastAsia="zh-CN"/>
              </w:rPr>
              <w:t xml:space="preserve">MIŠ – </w:t>
            </w:r>
            <w:proofErr w:type="spellStart"/>
            <w:r w:rsidRPr="00161325">
              <w:rPr>
                <w:rFonts w:ascii="Cambria" w:hAnsi="Cambria"/>
                <w:bCs/>
                <w:lang w:val="it-IT" w:eastAsia="zh-CN"/>
              </w:rPr>
              <w:t>Časopis</w:t>
            </w:r>
            <w:proofErr w:type="spellEnd"/>
            <w:r w:rsidRPr="00161325">
              <w:rPr>
                <w:rFonts w:ascii="Cambria" w:hAnsi="Cambria"/>
                <w:bCs/>
                <w:lang w:val="it-IT" w:eastAsia="zh-CN"/>
              </w:rPr>
              <w:t xml:space="preserve"> </w:t>
            </w:r>
            <w:proofErr w:type="spellStart"/>
            <w:r w:rsidRPr="00161325">
              <w:rPr>
                <w:rFonts w:ascii="Cambria" w:hAnsi="Cambria"/>
                <w:bCs/>
                <w:i/>
                <w:lang w:val="it-IT" w:eastAsia="zh-CN"/>
              </w:rPr>
              <w:t>Matematika</w:t>
            </w:r>
            <w:proofErr w:type="spellEnd"/>
            <w:r w:rsidRPr="00161325">
              <w:rPr>
                <w:rFonts w:ascii="Cambria" w:hAnsi="Cambria"/>
                <w:bCs/>
                <w:i/>
                <w:lang w:val="it-IT" w:eastAsia="zh-CN"/>
              </w:rPr>
              <w:t xml:space="preserve"> i </w:t>
            </w:r>
            <w:proofErr w:type="spellStart"/>
            <w:r w:rsidRPr="00161325">
              <w:rPr>
                <w:rFonts w:ascii="Cambria" w:hAnsi="Cambria"/>
                <w:bCs/>
                <w:i/>
                <w:lang w:val="it-IT" w:eastAsia="zh-CN"/>
              </w:rPr>
              <w:t>škola</w:t>
            </w:r>
            <w:proofErr w:type="spellEnd"/>
            <w:r w:rsidRPr="00161325">
              <w:rPr>
                <w:rFonts w:ascii="Cambria" w:hAnsi="Cambria"/>
                <w:bCs/>
                <w:lang w:val="it-IT" w:eastAsia="zh-CN"/>
              </w:rPr>
              <w:t xml:space="preserve">, </w:t>
            </w:r>
            <w:proofErr w:type="spellStart"/>
            <w:r w:rsidRPr="00161325">
              <w:rPr>
                <w:rFonts w:ascii="Cambria" w:hAnsi="Cambria"/>
                <w:bCs/>
                <w:lang w:val="it-IT" w:eastAsia="zh-CN"/>
              </w:rPr>
              <w:t>Element</w:t>
            </w:r>
            <w:proofErr w:type="spellEnd"/>
            <w:r w:rsidRPr="00161325">
              <w:rPr>
                <w:rFonts w:ascii="Cambria" w:hAnsi="Cambria"/>
                <w:bCs/>
                <w:lang w:val="it-IT" w:eastAsia="zh-CN"/>
              </w:rPr>
              <w:t xml:space="preserve">. </w:t>
            </w:r>
            <w:r w:rsidRPr="00161325">
              <w:rPr>
                <w:rFonts w:ascii="Cambria" w:hAnsi="Cambria" w:cs="Calibri"/>
                <w:lang w:val="it-IT" w:eastAsia="zh-CN"/>
              </w:rPr>
              <w:t xml:space="preserve"> </w:t>
            </w:r>
            <w:hyperlink r:id="rId110" w:history="1">
              <w:r w:rsidRPr="0023094D">
                <w:rPr>
                  <w:rStyle w:val="Hiperveza"/>
                </w:rPr>
                <w:t>https://mis.element.hr/</w:t>
              </w:r>
            </w:hyperlink>
          </w:p>
        </w:tc>
      </w:tr>
    </w:tbl>
    <w:p w14:paraId="296CF66F" w14:textId="72841558" w:rsidR="00D0147D" w:rsidRDefault="00D0147D">
      <w:pPr>
        <w:rPr>
          <w:rFonts w:ascii="Cambria" w:hAnsi="Cambria"/>
          <w:lang w:val="hr-HR"/>
        </w:rPr>
      </w:pPr>
      <w:r>
        <w:rPr>
          <w:rFonts w:ascii="Cambria" w:hAnsi="Cambria"/>
          <w:lang w:val="hr-HR"/>
        </w:rPr>
        <w:br w:type="page"/>
      </w:r>
    </w:p>
    <w:tbl>
      <w:tblPr>
        <w:tblW w:w="5000" w:type="pct"/>
        <w:tblLayout w:type="fixed"/>
        <w:tblCellMar>
          <w:left w:w="0" w:type="dxa"/>
          <w:right w:w="0" w:type="dxa"/>
        </w:tblCellMar>
        <w:tblLook w:val="0600" w:firstRow="0" w:lastRow="0" w:firstColumn="0" w:lastColumn="0" w:noHBand="1" w:noVBand="1"/>
      </w:tblPr>
      <w:tblGrid>
        <w:gridCol w:w="2806"/>
        <w:gridCol w:w="2663"/>
        <w:gridCol w:w="105"/>
        <w:gridCol w:w="1172"/>
        <w:gridCol w:w="300"/>
        <w:gridCol w:w="472"/>
        <w:gridCol w:w="1087"/>
        <w:gridCol w:w="1415"/>
      </w:tblGrid>
      <w:tr w:rsidR="00D0147D" w:rsidRPr="00DF4CE5" w14:paraId="21AA65DC" w14:textId="77777777" w:rsidTr="000F1A10">
        <w:tc>
          <w:tcPr>
            <w:tcW w:w="9340"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B337F61" w14:textId="77777777" w:rsidR="00D0147D" w:rsidRPr="00DF4CE5" w:rsidRDefault="00D0147D" w:rsidP="000F1A10">
            <w:pPr>
              <w:spacing w:after="0" w:line="240" w:lineRule="auto"/>
              <w:jc w:val="right"/>
              <w:rPr>
                <w:rFonts w:ascii="Cambria" w:eastAsia="Times New Roman" w:hAnsi="Cambria" w:cs="Calibri"/>
                <w:b/>
                <w:lang w:val="hr-HR"/>
              </w:rPr>
            </w:pPr>
            <w:bookmarkStart w:id="105" w:name="_Hlk200112674"/>
            <w:r w:rsidRPr="00DF4CE5">
              <w:rPr>
                <w:rFonts w:ascii="Cambria" w:eastAsia="Times New Roman" w:hAnsi="Cambria" w:cs="Calibri"/>
                <w:b/>
                <w:lang w:val="hr-HR"/>
              </w:rPr>
              <w:lastRenderedPageBreak/>
              <w:t>IZVEDBENI PLAN NASTAVE KOLEGIJA</w:t>
            </w:r>
          </w:p>
        </w:tc>
      </w:tr>
      <w:tr w:rsidR="00D0147D" w:rsidRPr="00DF4CE5" w14:paraId="42D4105C" w14:textId="77777777" w:rsidTr="000F1A10">
        <w:tc>
          <w:tcPr>
            <w:tcW w:w="261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112768D" w14:textId="77777777" w:rsidR="00D0147D" w:rsidRPr="00DF4CE5" w:rsidRDefault="00D0147D"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Kod i naziv kolegija</w:t>
            </w:r>
          </w:p>
        </w:tc>
        <w:tc>
          <w:tcPr>
            <w:tcW w:w="672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F8EC2CE" w14:textId="22C0D6E1" w:rsidR="00D0147D" w:rsidRPr="00DF4CE5" w:rsidRDefault="00D0147D"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Metodika glazbene kulture II</w:t>
            </w:r>
          </w:p>
        </w:tc>
      </w:tr>
      <w:tr w:rsidR="00D0147D" w:rsidRPr="00DF4CE5" w14:paraId="68A83803" w14:textId="77777777" w:rsidTr="000F1A10">
        <w:tc>
          <w:tcPr>
            <w:tcW w:w="261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C8463C0" w14:textId="77777777" w:rsidR="00D0147D" w:rsidRPr="00DF4CE5" w:rsidRDefault="00D0147D"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Nastavnica </w:t>
            </w:r>
          </w:p>
          <w:p w14:paraId="5DF39DC8" w14:textId="77777777" w:rsidR="00D0147D" w:rsidRPr="00DF4CE5" w:rsidRDefault="00D0147D"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Suradnik</w:t>
            </w:r>
          </w:p>
        </w:tc>
        <w:tc>
          <w:tcPr>
            <w:tcW w:w="672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5F8E41C" w14:textId="77777777" w:rsidR="00D0147D" w:rsidRPr="00DF4CE5" w:rsidRDefault="00D0147D" w:rsidP="000F1A10">
            <w:pPr>
              <w:spacing w:after="0" w:line="240" w:lineRule="auto"/>
              <w:jc w:val="both"/>
              <w:rPr>
                <w:rFonts w:ascii="Cambria" w:eastAsia="Times New Roman" w:hAnsi="Cambria" w:cs="Times New Roman"/>
                <w:lang w:val="hr-HR"/>
              </w:rPr>
            </w:pPr>
            <w:hyperlink r:id="rId111" w:history="1">
              <w:proofErr w:type="spellStart"/>
              <w:r w:rsidRPr="009568E0">
                <w:rPr>
                  <w:rStyle w:val="Hiperveza"/>
                  <w:rFonts w:ascii="Cambria" w:hAnsi="Cambria"/>
                  <w:lang w:val="it-IT"/>
                </w:rPr>
                <w:t>Naslovna</w:t>
              </w:r>
              <w:proofErr w:type="spellEnd"/>
              <w:r w:rsidRPr="009568E0">
                <w:rPr>
                  <w:rStyle w:val="Hiperveza"/>
                  <w:rFonts w:ascii="Cambria" w:hAnsi="Cambria"/>
                  <w:lang w:val="it-IT"/>
                </w:rPr>
                <w:t xml:space="preserve"> doc. dr. sc. Anita </w:t>
              </w:r>
              <w:proofErr w:type="spellStart"/>
              <w:r w:rsidRPr="009568E0">
                <w:rPr>
                  <w:rStyle w:val="Hiperveza"/>
                  <w:rFonts w:ascii="Cambria" w:hAnsi="Cambria"/>
                  <w:lang w:val="it-IT"/>
                </w:rPr>
                <w:t>Gergorić</w:t>
              </w:r>
              <w:proofErr w:type="spellEnd"/>
            </w:hyperlink>
            <w:r w:rsidRPr="00DF4CE5">
              <w:rPr>
                <w:rFonts w:ascii="Cambria" w:hAnsi="Cambria"/>
                <w:lang w:val="it-IT"/>
              </w:rPr>
              <w:t xml:space="preserve"> </w:t>
            </w:r>
            <w:r w:rsidRPr="00DF4CE5">
              <w:rPr>
                <w:rFonts w:ascii="Cambria" w:eastAsia="Times New Roman" w:hAnsi="Cambria" w:cs="Times New Roman"/>
                <w:lang w:val="hr-HR"/>
              </w:rPr>
              <w:t>(nositeljica)</w:t>
            </w:r>
          </w:p>
          <w:p w14:paraId="1853F9F0" w14:textId="77777777" w:rsidR="00D0147D" w:rsidRPr="00DF4CE5" w:rsidRDefault="00D0147D" w:rsidP="000F1A10">
            <w:pPr>
              <w:spacing w:after="0" w:line="240" w:lineRule="auto"/>
              <w:jc w:val="both"/>
              <w:rPr>
                <w:rFonts w:ascii="Cambria" w:eastAsia="Times New Roman" w:hAnsi="Cambria" w:cs="Calibri"/>
                <w:lang w:val="hr-HR"/>
              </w:rPr>
            </w:pPr>
            <w:hyperlink r:id="rId112" w:history="1">
              <w:r>
                <w:rPr>
                  <w:rFonts w:ascii="Cambria" w:eastAsia="Times New Roman" w:hAnsi="Cambria" w:cs="Times New Roman"/>
                  <w:color w:val="0000FF"/>
                  <w:u w:val="single"/>
                  <w:lang w:val="hr-HR"/>
                </w:rPr>
                <w:t>M</w:t>
              </w:r>
              <w:r w:rsidRPr="00DF4CE5">
                <w:rPr>
                  <w:rFonts w:ascii="Cambria" w:eastAsia="Times New Roman" w:hAnsi="Cambria" w:cs="Times New Roman"/>
                  <w:color w:val="0000FF"/>
                  <w:u w:val="single"/>
                  <w:lang w:val="hr-HR"/>
                </w:rPr>
                <w:t>r. sc. Branko Radić, pred.</w:t>
              </w:r>
            </w:hyperlink>
          </w:p>
        </w:tc>
      </w:tr>
      <w:tr w:rsidR="00D0147D" w:rsidRPr="00D0399C" w14:paraId="7B327BD1" w14:textId="77777777" w:rsidTr="000F1A10">
        <w:tc>
          <w:tcPr>
            <w:tcW w:w="261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879C467" w14:textId="77777777" w:rsidR="00D0147D" w:rsidRPr="00DF4CE5" w:rsidRDefault="00D0147D"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Studijski program</w:t>
            </w:r>
          </w:p>
        </w:tc>
        <w:tc>
          <w:tcPr>
            <w:tcW w:w="672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27059D2" w14:textId="77777777" w:rsidR="00D0147D" w:rsidRPr="00DF4CE5" w:rsidRDefault="00D0147D"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Sveučilišni integrirani prijediplomski i diplomski Učiteljski studij na hrvatskom jeziku</w:t>
            </w:r>
          </w:p>
        </w:tc>
      </w:tr>
      <w:tr w:rsidR="00D0147D" w:rsidRPr="00DF4CE5" w14:paraId="2087DAA3" w14:textId="77777777" w:rsidTr="000F1A10">
        <w:tc>
          <w:tcPr>
            <w:tcW w:w="261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AC4F969" w14:textId="77777777" w:rsidR="00D0147D" w:rsidRPr="00DF4CE5" w:rsidRDefault="00D0147D"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Vrsta kolegija</w:t>
            </w:r>
          </w:p>
        </w:tc>
        <w:tc>
          <w:tcPr>
            <w:tcW w:w="248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1A10DFB" w14:textId="77777777" w:rsidR="00D0147D" w:rsidRPr="00DF4CE5" w:rsidRDefault="00D0147D"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obvezan </w:t>
            </w:r>
          </w:p>
        </w:tc>
        <w:tc>
          <w:tcPr>
            <w:tcW w:w="1470"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2AA2320C" w14:textId="77777777" w:rsidR="00D0147D" w:rsidRPr="00DF4CE5" w:rsidRDefault="00D0147D"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Razina kolegija</w:t>
            </w:r>
          </w:p>
        </w:tc>
        <w:tc>
          <w:tcPr>
            <w:tcW w:w="2772"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B66C45C" w14:textId="77777777" w:rsidR="00D0147D" w:rsidRPr="00DF4CE5" w:rsidRDefault="00D0147D" w:rsidP="000F1A10">
            <w:pPr>
              <w:spacing w:after="0" w:line="240" w:lineRule="auto"/>
              <w:jc w:val="both"/>
              <w:rPr>
                <w:rFonts w:ascii="Cambria" w:eastAsia="Times New Roman" w:hAnsi="Cambria" w:cs="Calibri"/>
                <w:lang w:val="hr-HR"/>
              </w:rPr>
            </w:pPr>
            <w:proofErr w:type="spellStart"/>
            <w:r w:rsidRPr="00DF4CE5">
              <w:rPr>
                <w:rFonts w:ascii="Cambria" w:eastAsia="Times New Roman" w:hAnsi="Cambria" w:cs="Calibri"/>
                <w:lang w:val="it-IT"/>
              </w:rPr>
              <w:t>integrirani</w:t>
            </w:r>
            <w:proofErr w:type="spellEnd"/>
          </w:p>
        </w:tc>
      </w:tr>
      <w:tr w:rsidR="00D0147D" w:rsidRPr="00DF4CE5" w14:paraId="49BA14B1" w14:textId="77777777" w:rsidTr="000F1A10">
        <w:tc>
          <w:tcPr>
            <w:tcW w:w="261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6DB5132" w14:textId="77777777" w:rsidR="00D0147D" w:rsidRPr="00DF4CE5" w:rsidRDefault="00D0147D"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Semestar</w:t>
            </w:r>
          </w:p>
        </w:tc>
        <w:tc>
          <w:tcPr>
            <w:tcW w:w="248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6C6A48E" w14:textId="78E5FBA5" w:rsidR="00D0147D" w:rsidRPr="00DF4CE5" w:rsidRDefault="00D0147D" w:rsidP="000F1A10">
            <w:pPr>
              <w:spacing w:after="0" w:line="240" w:lineRule="auto"/>
              <w:jc w:val="both"/>
              <w:rPr>
                <w:rFonts w:ascii="Cambria" w:eastAsia="Times New Roman" w:hAnsi="Cambria" w:cs="Calibri"/>
                <w:lang w:val="hr-HR"/>
              </w:rPr>
            </w:pPr>
            <w:r>
              <w:rPr>
                <w:rFonts w:ascii="Cambria" w:eastAsia="Times New Roman" w:hAnsi="Cambria" w:cs="Calibri"/>
                <w:lang w:val="hr-HR"/>
              </w:rPr>
              <w:t>ljetni</w:t>
            </w:r>
          </w:p>
        </w:tc>
        <w:tc>
          <w:tcPr>
            <w:tcW w:w="1470"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3DA3E109" w14:textId="77777777" w:rsidR="00D0147D" w:rsidRPr="00DF4CE5" w:rsidRDefault="00D0147D"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Godina studija</w:t>
            </w:r>
          </w:p>
        </w:tc>
        <w:tc>
          <w:tcPr>
            <w:tcW w:w="2772"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2FCDD13" w14:textId="57A2B6D4" w:rsidR="00D0147D" w:rsidRPr="00DF4CE5" w:rsidRDefault="00D0147D"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I</w:t>
            </w:r>
            <w:r>
              <w:rPr>
                <w:rFonts w:ascii="Cambria" w:eastAsia="Times New Roman" w:hAnsi="Cambria" w:cs="Calibri"/>
                <w:lang w:val="hr-HR"/>
              </w:rPr>
              <w:t>II</w:t>
            </w:r>
            <w:r w:rsidRPr="00DF4CE5">
              <w:rPr>
                <w:rFonts w:ascii="Cambria" w:eastAsia="Times New Roman" w:hAnsi="Cambria" w:cs="Calibri"/>
                <w:lang w:val="hr-HR"/>
              </w:rPr>
              <w:t>.</w:t>
            </w:r>
          </w:p>
        </w:tc>
      </w:tr>
      <w:tr w:rsidR="00D0147D" w:rsidRPr="00DF4CE5" w14:paraId="7A293B86" w14:textId="77777777" w:rsidTr="000F1A10">
        <w:tc>
          <w:tcPr>
            <w:tcW w:w="261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2B8AEA2" w14:textId="77777777" w:rsidR="00D0147D" w:rsidRPr="00DF4CE5" w:rsidRDefault="00D0147D" w:rsidP="000F1A10">
            <w:pPr>
              <w:spacing w:after="0" w:line="240" w:lineRule="auto"/>
              <w:jc w:val="both"/>
              <w:rPr>
                <w:rFonts w:ascii="Cambria" w:eastAsia="Times New Roman" w:hAnsi="Cambria" w:cs="Calibri"/>
                <w:lang w:val="hr-HR"/>
              </w:rPr>
            </w:pPr>
            <w:proofErr w:type="spellStart"/>
            <w:r w:rsidRPr="00DF4CE5">
              <w:rPr>
                <w:rFonts w:ascii="Cambria" w:eastAsia="Times New Roman" w:hAnsi="Cambria" w:cs="Calibri"/>
              </w:rPr>
              <w:t>Mjesto</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izvođenja</w:t>
            </w:r>
            <w:proofErr w:type="spellEnd"/>
          </w:p>
        </w:tc>
        <w:tc>
          <w:tcPr>
            <w:tcW w:w="248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21038A6" w14:textId="77777777" w:rsidR="00D0147D" w:rsidRPr="00DF4CE5" w:rsidRDefault="00D0147D"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učionica,</w:t>
            </w:r>
          </w:p>
          <w:p w14:paraId="4359E9D6" w14:textId="77777777" w:rsidR="00D0147D" w:rsidRPr="00DF4CE5" w:rsidRDefault="00D0147D"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vježbaonica u osnovnoj školi,</w:t>
            </w:r>
          </w:p>
          <w:p w14:paraId="6B6C83B0" w14:textId="77777777" w:rsidR="00D0147D" w:rsidRPr="00DF4CE5" w:rsidRDefault="00D0147D"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prostorija za javni nastup</w:t>
            </w:r>
          </w:p>
        </w:tc>
        <w:tc>
          <w:tcPr>
            <w:tcW w:w="1470"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3D04DE0A" w14:textId="77777777" w:rsidR="00D0147D" w:rsidRPr="00DF4CE5" w:rsidRDefault="00D0147D" w:rsidP="000F1A10">
            <w:pPr>
              <w:spacing w:after="0" w:line="240" w:lineRule="auto"/>
              <w:jc w:val="both"/>
              <w:rPr>
                <w:rFonts w:ascii="Cambria" w:eastAsia="Times New Roman" w:hAnsi="Cambria" w:cs="Calibri"/>
                <w:lang w:val="hr-HR"/>
              </w:rPr>
            </w:pPr>
            <w:r w:rsidRPr="00DF4CE5">
              <w:rPr>
                <w:rFonts w:ascii="Cambria" w:eastAsia="Times New Roman" w:hAnsi="Cambria" w:cs="Calibri"/>
              </w:rPr>
              <w:t>Jezik</w:t>
            </w:r>
            <w:r w:rsidRPr="00DF4CE5">
              <w:rPr>
                <w:rFonts w:ascii="Cambria" w:eastAsia="Times New Roman" w:hAnsi="Cambria" w:cs="Calibri"/>
                <w:lang w:val="hr-HR"/>
              </w:rPr>
              <w:t xml:space="preserve"> izvođenja (drugi jezici)</w:t>
            </w:r>
          </w:p>
        </w:tc>
        <w:tc>
          <w:tcPr>
            <w:tcW w:w="2772"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EC6FD12" w14:textId="77777777" w:rsidR="00D0147D" w:rsidRPr="00DF4CE5" w:rsidRDefault="00D0147D"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hrvatski </w:t>
            </w:r>
          </w:p>
          <w:p w14:paraId="32E79AC5" w14:textId="77777777" w:rsidR="00D0147D" w:rsidRPr="00DF4CE5" w:rsidRDefault="00D0147D"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(talijanski, slovenski)</w:t>
            </w:r>
          </w:p>
        </w:tc>
      </w:tr>
      <w:tr w:rsidR="00D0147D" w:rsidRPr="00DF4CE5" w14:paraId="7C090202" w14:textId="77777777" w:rsidTr="000F1A10">
        <w:tc>
          <w:tcPr>
            <w:tcW w:w="261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ADD7A38" w14:textId="77777777" w:rsidR="00D0147D" w:rsidRPr="00DF4CE5" w:rsidRDefault="00D0147D"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Broj ECTS bodova</w:t>
            </w:r>
          </w:p>
        </w:tc>
        <w:tc>
          <w:tcPr>
            <w:tcW w:w="248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DA6779B" w14:textId="7B606366" w:rsidR="00D0147D" w:rsidRPr="00DF4CE5" w:rsidRDefault="00D0147D" w:rsidP="000F1A10">
            <w:pPr>
              <w:spacing w:after="0" w:line="240" w:lineRule="auto"/>
              <w:jc w:val="both"/>
              <w:rPr>
                <w:rFonts w:ascii="Cambria" w:eastAsia="Times New Roman" w:hAnsi="Cambria" w:cs="Calibri"/>
                <w:lang w:val="hr-HR"/>
              </w:rPr>
            </w:pPr>
            <w:r>
              <w:rPr>
                <w:rFonts w:ascii="Cambria" w:eastAsia="Times New Roman" w:hAnsi="Cambria" w:cs="Calibri"/>
                <w:lang w:val="hr-HR"/>
              </w:rPr>
              <w:t>5</w:t>
            </w:r>
          </w:p>
        </w:tc>
        <w:tc>
          <w:tcPr>
            <w:tcW w:w="1470"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3647572A" w14:textId="77777777" w:rsidR="00D0147D" w:rsidRPr="00DF4CE5" w:rsidRDefault="00D0147D"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Broj sati u semestru</w:t>
            </w:r>
          </w:p>
        </w:tc>
        <w:tc>
          <w:tcPr>
            <w:tcW w:w="2772"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9E7C8A3" w14:textId="31A183FE" w:rsidR="00D0147D" w:rsidRPr="00DF4CE5" w:rsidRDefault="00D0147D"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30P – 0S – </w:t>
            </w:r>
            <w:r>
              <w:rPr>
                <w:rFonts w:ascii="Cambria" w:eastAsia="Times New Roman" w:hAnsi="Cambria" w:cs="Calibri"/>
                <w:lang w:val="hr-HR"/>
              </w:rPr>
              <w:t>30</w:t>
            </w:r>
            <w:r w:rsidRPr="00DF4CE5">
              <w:rPr>
                <w:rFonts w:ascii="Cambria" w:eastAsia="Times New Roman" w:hAnsi="Cambria" w:cs="Calibri"/>
                <w:lang w:val="hr-HR"/>
              </w:rPr>
              <w:t xml:space="preserve">V   </w:t>
            </w:r>
          </w:p>
        </w:tc>
      </w:tr>
      <w:tr w:rsidR="00D0147D" w:rsidRPr="00D0399C" w14:paraId="3014FA0C" w14:textId="77777777" w:rsidTr="000F1A10">
        <w:tc>
          <w:tcPr>
            <w:tcW w:w="261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09EFD0B" w14:textId="77777777" w:rsidR="00D0147D" w:rsidRPr="00DF4CE5" w:rsidRDefault="00D0147D"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Preduvjeti za upis i za svladavanje</w:t>
            </w:r>
          </w:p>
        </w:tc>
        <w:tc>
          <w:tcPr>
            <w:tcW w:w="672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E5E3B47" w14:textId="77777777" w:rsidR="00D0147D" w:rsidRPr="00DF4CE5" w:rsidRDefault="00D0147D"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Položeni ispiti iz Glazbene kulture, Glazbenog pisma i sviranja, Sviranja 1, Sviranja 2, Metodike glazbene kulture I.</w:t>
            </w:r>
          </w:p>
        </w:tc>
      </w:tr>
      <w:tr w:rsidR="00D0147D" w:rsidRPr="00D0399C" w14:paraId="65B23238" w14:textId="77777777" w:rsidTr="000F1A10">
        <w:tc>
          <w:tcPr>
            <w:tcW w:w="261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FC968EA" w14:textId="77777777" w:rsidR="00D0147D" w:rsidRPr="00DF4CE5" w:rsidRDefault="00D0147D" w:rsidP="000F1A10">
            <w:pPr>
              <w:spacing w:after="0" w:line="240" w:lineRule="auto"/>
              <w:jc w:val="both"/>
              <w:rPr>
                <w:rFonts w:ascii="Cambria" w:eastAsia="Times New Roman" w:hAnsi="Cambria" w:cs="Calibri"/>
                <w:lang w:val="hr-HR"/>
              </w:rPr>
            </w:pPr>
            <w:proofErr w:type="spellStart"/>
            <w:r w:rsidRPr="00DF4CE5">
              <w:rPr>
                <w:rFonts w:ascii="Cambria" w:eastAsia="Times New Roman" w:hAnsi="Cambria" w:cs="Calibri"/>
              </w:rPr>
              <w:t>Korelativnost</w:t>
            </w:r>
            <w:proofErr w:type="spellEnd"/>
          </w:p>
        </w:tc>
        <w:tc>
          <w:tcPr>
            <w:tcW w:w="672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CCAA895" w14:textId="77777777" w:rsidR="00D0147D" w:rsidRPr="00DF4CE5" w:rsidRDefault="00D0147D"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Glazbena kultura, Glazbeno pismo i sviranje, Sviranje I., Sviranje II., Metodika glazbene kulture I., Metodika hrvatskog jezika, Metodika likovne kulture, Metodika kineziološke kulture, Rad s darovitom djecom, Rad s djecom s posebnim potrebama</w:t>
            </w:r>
          </w:p>
        </w:tc>
      </w:tr>
      <w:tr w:rsidR="00D0147D" w:rsidRPr="00D0399C" w14:paraId="03525F50" w14:textId="77777777" w:rsidTr="000F1A10">
        <w:tc>
          <w:tcPr>
            <w:tcW w:w="261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03D833C" w14:textId="77777777" w:rsidR="00D0147D" w:rsidRPr="00DF4CE5" w:rsidRDefault="00D0147D"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Cilj kolegija </w:t>
            </w:r>
          </w:p>
        </w:tc>
        <w:tc>
          <w:tcPr>
            <w:tcW w:w="672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2E0560F" w14:textId="77777777" w:rsidR="00D0147D" w:rsidRPr="00DF4CE5" w:rsidRDefault="00D0147D"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obraditi sve organizacijske oblike rada u području pjevanja i sviranja, koristeći se glazbenom terminologijom te predstaviti naučeno javnim nastupom.</w:t>
            </w:r>
          </w:p>
        </w:tc>
      </w:tr>
      <w:tr w:rsidR="00D0147D" w:rsidRPr="00D0399C" w14:paraId="57901E43" w14:textId="77777777" w:rsidTr="000F1A10">
        <w:tc>
          <w:tcPr>
            <w:tcW w:w="261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A1F241B" w14:textId="77777777" w:rsidR="00D0147D" w:rsidRPr="00DF4CE5" w:rsidRDefault="00D0147D"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Ishodi učenja</w:t>
            </w:r>
          </w:p>
        </w:tc>
        <w:tc>
          <w:tcPr>
            <w:tcW w:w="672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7B8E172" w14:textId="77777777" w:rsidR="00D0147D" w:rsidRPr="00DF4CE5" w:rsidRDefault="00D0147D" w:rsidP="000F1A10">
            <w:pPr>
              <w:autoSpaceDE w:val="0"/>
              <w:autoSpaceDN w:val="0"/>
              <w:adjustRightInd w:val="0"/>
              <w:spacing w:after="0" w:line="240" w:lineRule="auto"/>
              <w:jc w:val="both"/>
              <w:rPr>
                <w:rFonts w:ascii="Cambria" w:eastAsia="Times New Roman" w:hAnsi="Cambria" w:cs="Calibri"/>
                <w:lang w:val="hr-HR"/>
              </w:rPr>
            </w:pPr>
            <w:r w:rsidRPr="00DF4CE5">
              <w:rPr>
                <w:rFonts w:ascii="Cambria" w:eastAsia="Times New Roman" w:hAnsi="Cambria" w:cs="Calibri"/>
                <w:lang w:val="hr-HR"/>
              </w:rPr>
              <w:t>1. navesti prednosti i nedostatke različitih nastavnih oblika i metoda rada u glazbenoj kulturi</w:t>
            </w:r>
          </w:p>
          <w:p w14:paraId="3AADC7BE" w14:textId="77777777" w:rsidR="00D0147D" w:rsidRPr="00DF4CE5" w:rsidRDefault="00D0147D" w:rsidP="000F1A10">
            <w:pPr>
              <w:autoSpaceDE w:val="0"/>
              <w:autoSpaceDN w:val="0"/>
              <w:adjustRightInd w:val="0"/>
              <w:spacing w:after="0" w:line="240" w:lineRule="auto"/>
              <w:jc w:val="both"/>
              <w:rPr>
                <w:rFonts w:ascii="Cambria" w:eastAsia="Times New Roman" w:hAnsi="Cambria" w:cs="Calibri"/>
                <w:lang w:val="hr-HR"/>
              </w:rPr>
            </w:pPr>
            <w:r w:rsidRPr="00DF4CE5">
              <w:rPr>
                <w:rFonts w:ascii="Cambria" w:eastAsia="Times New Roman" w:hAnsi="Cambria" w:cs="Calibri"/>
                <w:lang w:val="hr-HR"/>
              </w:rPr>
              <w:t>2. prepoznati glazbene sposobnosti učenika</w:t>
            </w:r>
          </w:p>
          <w:p w14:paraId="37D49FD0" w14:textId="77777777" w:rsidR="00D0147D" w:rsidRPr="00DF4CE5" w:rsidRDefault="00D0147D" w:rsidP="000F1A10">
            <w:pPr>
              <w:autoSpaceDE w:val="0"/>
              <w:autoSpaceDN w:val="0"/>
              <w:adjustRightInd w:val="0"/>
              <w:spacing w:after="0" w:line="240" w:lineRule="auto"/>
              <w:jc w:val="both"/>
              <w:rPr>
                <w:rFonts w:ascii="Cambria" w:eastAsia="Times New Roman" w:hAnsi="Cambria" w:cs="Calibri"/>
                <w:lang w:val="hr-HR"/>
              </w:rPr>
            </w:pPr>
            <w:r w:rsidRPr="00DF4CE5">
              <w:rPr>
                <w:rFonts w:ascii="Cambria" w:eastAsia="Times New Roman" w:hAnsi="Cambria" w:cs="Calibri"/>
                <w:lang w:val="hr-HR"/>
              </w:rPr>
              <w:t>3. razlikovati hrvatsko folklorno glazbovanje</w:t>
            </w:r>
          </w:p>
          <w:p w14:paraId="7303B597" w14:textId="77777777" w:rsidR="00D0147D" w:rsidRPr="00DF4CE5" w:rsidRDefault="00D0147D" w:rsidP="000F1A10">
            <w:pPr>
              <w:autoSpaceDE w:val="0"/>
              <w:autoSpaceDN w:val="0"/>
              <w:adjustRightInd w:val="0"/>
              <w:spacing w:after="0" w:line="240" w:lineRule="auto"/>
              <w:jc w:val="both"/>
              <w:rPr>
                <w:rFonts w:ascii="Cambria" w:eastAsia="Times New Roman" w:hAnsi="Cambria" w:cs="Calibri"/>
                <w:lang w:val="hr-HR"/>
              </w:rPr>
            </w:pPr>
            <w:r w:rsidRPr="00DF4CE5">
              <w:rPr>
                <w:rFonts w:ascii="Cambria" w:eastAsia="Times New Roman" w:hAnsi="Cambria" w:cs="Calibri"/>
                <w:lang w:val="hr-HR"/>
              </w:rPr>
              <w:t>4. prepoznati kod učenika glazbeni sluh, ritam i glazbenu memoriju pjevanjem, sviranjem i radom na brojalici</w:t>
            </w:r>
          </w:p>
          <w:p w14:paraId="705A698C" w14:textId="77777777" w:rsidR="00D0147D" w:rsidRPr="00DF4CE5" w:rsidRDefault="00D0147D" w:rsidP="000F1A10">
            <w:pPr>
              <w:autoSpaceDE w:val="0"/>
              <w:autoSpaceDN w:val="0"/>
              <w:adjustRightInd w:val="0"/>
              <w:spacing w:after="0" w:line="240" w:lineRule="auto"/>
              <w:jc w:val="both"/>
              <w:rPr>
                <w:rFonts w:ascii="Cambria" w:eastAsia="Times New Roman" w:hAnsi="Cambria" w:cs="Calibri"/>
                <w:lang w:val="hr-HR"/>
              </w:rPr>
            </w:pPr>
            <w:r w:rsidRPr="00DF4CE5">
              <w:rPr>
                <w:rFonts w:ascii="Cambria" w:eastAsia="Times New Roman" w:hAnsi="Cambria" w:cs="Calibri"/>
                <w:lang w:val="hr-HR"/>
              </w:rPr>
              <w:t>5. demonstrirati znanja iz teorije glazbe, glazbene umjetnosti, pjevanja i sviranja na teorijskoj i praktičnoj razini</w:t>
            </w:r>
          </w:p>
        </w:tc>
      </w:tr>
      <w:tr w:rsidR="00D0147D" w:rsidRPr="00D0399C" w14:paraId="3B4E3D85" w14:textId="77777777" w:rsidTr="000F1A10">
        <w:tc>
          <w:tcPr>
            <w:tcW w:w="2616"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4EE5DAAA" w14:textId="77777777" w:rsidR="00D0147D" w:rsidRPr="00DF4CE5" w:rsidRDefault="00D0147D"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Sadržaj kolegija</w:t>
            </w:r>
          </w:p>
        </w:tc>
        <w:tc>
          <w:tcPr>
            <w:tcW w:w="6724"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3027BEE" w14:textId="77777777" w:rsidR="00D0147D" w:rsidRPr="00DF4CE5" w:rsidRDefault="00D0147D"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1. različiti pristupi nastavi glazbene kulture</w:t>
            </w:r>
          </w:p>
          <w:p w14:paraId="715940EF" w14:textId="77777777" w:rsidR="00D0147D" w:rsidRPr="00DF4CE5" w:rsidRDefault="00D0147D"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2. glazbena kultura u nižim razredima osnovne škole</w:t>
            </w:r>
          </w:p>
          <w:p w14:paraId="081D0B1C" w14:textId="77777777" w:rsidR="00D0147D" w:rsidRPr="00DF4CE5" w:rsidRDefault="00D0147D"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3. ishodi u nastavi glazbene kultura u nižim razredima osnovne škole</w:t>
            </w:r>
          </w:p>
          <w:p w14:paraId="5D3FF56E" w14:textId="77777777" w:rsidR="00D0147D" w:rsidRPr="00DF4CE5" w:rsidRDefault="00D0147D"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4. glazbene sposobnosti</w:t>
            </w:r>
          </w:p>
          <w:p w14:paraId="79B76901" w14:textId="77777777" w:rsidR="00D0147D" w:rsidRPr="00DF4CE5" w:rsidRDefault="00D0147D"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5. pjevanje kao područje glazbene kulture</w:t>
            </w:r>
          </w:p>
          <w:p w14:paraId="0C4448B9" w14:textId="77777777" w:rsidR="00D0147D" w:rsidRPr="00DF4CE5" w:rsidRDefault="00D0147D"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6. postupak učenja pjevanja po sluhu</w:t>
            </w:r>
          </w:p>
          <w:p w14:paraId="32A69057" w14:textId="77777777" w:rsidR="00D0147D" w:rsidRPr="00DF4CE5" w:rsidRDefault="00D0147D"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7. glazbeni instrumenti</w:t>
            </w:r>
          </w:p>
          <w:p w14:paraId="3AFC16BF" w14:textId="77777777" w:rsidR="00D0147D" w:rsidRPr="00DF4CE5" w:rsidRDefault="00D0147D"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8. sviranje kao područje glazbene kulture</w:t>
            </w:r>
          </w:p>
          <w:p w14:paraId="74017F9D" w14:textId="77777777" w:rsidR="00D0147D" w:rsidRPr="00DF4CE5" w:rsidRDefault="00D0147D"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9. brojalice</w:t>
            </w:r>
          </w:p>
          <w:p w14:paraId="7889AF41" w14:textId="77777777" w:rsidR="00D0147D" w:rsidRPr="00DF4CE5" w:rsidRDefault="00D0147D"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10.  zapažanje izražajnih elemenata</w:t>
            </w:r>
          </w:p>
          <w:p w14:paraId="55154F51" w14:textId="77777777" w:rsidR="00D0147D" w:rsidRPr="00DF4CE5" w:rsidRDefault="00D0147D"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11. hrvatska folklorna glazba</w:t>
            </w:r>
          </w:p>
          <w:p w14:paraId="2D90B643" w14:textId="77777777" w:rsidR="00D0147D" w:rsidRPr="00DF4CE5" w:rsidRDefault="00D0147D"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12. priprema za nastup i javni nastup</w:t>
            </w:r>
          </w:p>
          <w:p w14:paraId="23ACE808" w14:textId="77777777" w:rsidR="00D0147D" w:rsidRPr="00DF4CE5" w:rsidRDefault="00D0147D"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13. terenska nastava (kazalište, koncert, glazbena zavičajna nastava)</w:t>
            </w:r>
          </w:p>
        </w:tc>
      </w:tr>
      <w:tr w:rsidR="00D0147D" w:rsidRPr="00DF4CE5" w14:paraId="6C04436B" w14:textId="77777777" w:rsidTr="000F1A10">
        <w:tc>
          <w:tcPr>
            <w:tcW w:w="2616"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hideMark/>
          </w:tcPr>
          <w:p w14:paraId="439ADD26" w14:textId="77777777" w:rsidR="00D0147D" w:rsidRPr="00DF4CE5" w:rsidRDefault="00D0147D"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lastRenderedPageBreak/>
              <w:t>Planirane aktivnosti,</w:t>
            </w:r>
          </w:p>
          <w:p w14:paraId="2722DFBC" w14:textId="77777777" w:rsidR="00D0147D" w:rsidRPr="00DF4CE5" w:rsidRDefault="00D0147D" w:rsidP="000F1A10">
            <w:pPr>
              <w:spacing w:after="0" w:line="240" w:lineRule="auto"/>
              <w:jc w:val="both"/>
              <w:rPr>
                <w:rFonts w:ascii="Cambria" w:eastAsia="Times New Roman" w:hAnsi="Cambria" w:cs="Calibri"/>
                <w:lang w:val="hr-HR"/>
              </w:rPr>
            </w:pPr>
            <w:proofErr w:type="spellStart"/>
            <w:r w:rsidRPr="00DF4CE5">
              <w:rPr>
                <w:rFonts w:ascii="Cambria" w:eastAsia="Times New Roman" w:hAnsi="Cambria" w:cs="Calibri"/>
                <w:lang w:val="it-IT"/>
              </w:rPr>
              <w:t>metode</w:t>
            </w:r>
            <w:proofErr w:type="spellEnd"/>
            <w:r w:rsidRPr="00DF4CE5">
              <w:rPr>
                <w:rFonts w:ascii="Cambria" w:eastAsia="Times New Roman" w:hAnsi="Cambria" w:cs="Calibri"/>
                <w:lang w:val="hr-HR"/>
              </w:rPr>
              <w:t xml:space="preserve"> učenja i poučavanja i načini vrednovanja</w:t>
            </w:r>
          </w:p>
        </w:tc>
        <w:tc>
          <w:tcPr>
            <w:tcW w:w="258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FEDFC78" w14:textId="77777777" w:rsidR="00D0147D" w:rsidRPr="00DF4CE5" w:rsidRDefault="00D0147D" w:rsidP="000F1A10">
            <w:pPr>
              <w:spacing w:after="0" w:line="240" w:lineRule="auto"/>
              <w:jc w:val="both"/>
              <w:rPr>
                <w:rFonts w:ascii="Cambria" w:eastAsia="Times New Roman" w:hAnsi="Cambria" w:cs="Calibri"/>
                <w:lang w:val="hr-HR"/>
              </w:rPr>
            </w:pPr>
            <w:r w:rsidRPr="00DF4CE5">
              <w:rPr>
                <w:rFonts w:ascii="Cambria" w:eastAsia="Times New Roman" w:hAnsi="Cambria" w:cs="Calibri"/>
                <w:bCs/>
                <w:lang w:val="hr-HR"/>
              </w:rPr>
              <w:t>Obveze</w:t>
            </w:r>
          </w:p>
        </w:tc>
        <w:tc>
          <w:tcPr>
            <w:tcW w:w="10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7FB8B3E" w14:textId="77777777" w:rsidR="00D0147D" w:rsidRPr="00DF4CE5" w:rsidRDefault="00D0147D" w:rsidP="000F1A10">
            <w:pPr>
              <w:spacing w:after="0" w:line="240" w:lineRule="auto"/>
              <w:jc w:val="both"/>
              <w:rPr>
                <w:rFonts w:ascii="Cambria" w:eastAsia="Times New Roman" w:hAnsi="Cambria" w:cs="Calibri"/>
                <w:lang w:val="hr-HR"/>
              </w:rPr>
            </w:pPr>
            <w:r w:rsidRPr="00DF4CE5">
              <w:rPr>
                <w:rFonts w:ascii="Cambria" w:eastAsia="Times New Roman" w:hAnsi="Cambria" w:cs="Calibri"/>
                <w:bCs/>
                <w:lang w:val="hr-HR"/>
              </w:rPr>
              <w:t>Ishodi</w:t>
            </w:r>
          </w:p>
        </w:tc>
        <w:tc>
          <w:tcPr>
            <w:tcW w:w="72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819A8E8" w14:textId="77777777" w:rsidR="00D0147D" w:rsidRPr="00DF4CE5" w:rsidRDefault="00D0147D" w:rsidP="000F1A10">
            <w:pPr>
              <w:spacing w:after="0" w:line="240" w:lineRule="auto"/>
              <w:jc w:val="both"/>
              <w:rPr>
                <w:rFonts w:ascii="Cambria" w:eastAsia="Times New Roman" w:hAnsi="Cambria" w:cs="Calibri"/>
                <w:lang w:val="hr-HR"/>
              </w:rPr>
            </w:pPr>
            <w:r w:rsidRPr="00DF4CE5">
              <w:rPr>
                <w:rFonts w:ascii="Cambria" w:eastAsia="Times New Roman" w:hAnsi="Cambria" w:cs="Calibri"/>
                <w:bCs/>
                <w:lang w:val="hr-HR"/>
              </w:rPr>
              <w:t>Sati</w:t>
            </w:r>
          </w:p>
        </w:tc>
        <w:tc>
          <w:tcPr>
            <w:tcW w:w="101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B71AEE3" w14:textId="77777777" w:rsidR="00D0147D" w:rsidRPr="00DF4CE5" w:rsidRDefault="00D0147D" w:rsidP="000F1A10">
            <w:pPr>
              <w:spacing w:after="0" w:line="240" w:lineRule="auto"/>
              <w:jc w:val="both"/>
              <w:rPr>
                <w:rFonts w:ascii="Cambria" w:eastAsia="Times New Roman" w:hAnsi="Cambria" w:cs="Calibri"/>
                <w:lang w:val="hr-HR"/>
              </w:rPr>
            </w:pPr>
            <w:r w:rsidRPr="00DF4CE5">
              <w:rPr>
                <w:rFonts w:ascii="Cambria" w:eastAsia="Times New Roman" w:hAnsi="Cambria" w:cs="Calibri"/>
                <w:bCs/>
                <w:lang w:val="hr-HR"/>
              </w:rPr>
              <w:t>ECTS</w:t>
            </w:r>
          </w:p>
        </w:tc>
        <w:tc>
          <w:tcPr>
            <w:tcW w:w="13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34F15CD" w14:textId="77777777" w:rsidR="00D0147D" w:rsidRPr="00DF4CE5" w:rsidRDefault="00D0147D" w:rsidP="000F1A10">
            <w:pPr>
              <w:spacing w:after="0" w:line="240" w:lineRule="auto"/>
              <w:jc w:val="both"/>
              <w:rPr>
                <w:rFonts w:ascii="Cambria" w:eastAsia="Times New Roman" w:hAnsi="Cambria" w:cs="Calibri"/>
                <w:lang w:val="hr-HR"/>
              </w:rPr>
            </w:pPr>
            <w:r w:rsidRPr="00DF4CE5">
              <w:rPr>
                <w:rFonts w:ascii="Cambria" w:eastAsia="Times New Roman" w:hAnsi="Cambria" w:cs="Calibri"/>
                <w:bCs/>
                <w:lang w:val="hr-HR"/>
              </w:rPr>
              <w:t>Maksimalni udio u ocjeni</w:t>
            </w:r>
            <w:r w:rsidRPr="00DF4CE5">
              <w:rPr>
                <w:rFonts w:ascii="Cambria" w:eastAsia="Times New Roman" w:hAnsi="Cambria" w:cs="Calibri"/>
                <w:bCs/>
              </w:rPr>
              <w:t xml:space="preserve"> (%)</w:t>
            </w:r>
          </w:p>
        </w:tc>
      </w:tr>
      <w:tr w:rsidR="00D0147D" w:rsidRPr="00DF4CE5" w14:paraId="534F67B6" w14:textId="77777777" w:rsidTr="000F1A10">
        <w:tc>
          <w:tcPr>
            <w:tcW w:w="2616" w:type="dxa"/>
            <w:vMerge/>
            <w:tcBorders>
              <w:left w:val="single" w:sz="8" w:space="0" w:color="000000"/>
              <w:right w:val="single" w:sz="8" w:space="0" w:color="000000"/>
            </w:tcBorders>
            <w:vAlign w:val="center"/>
            <w:hideMark/>
          </w:tcPr>
          <w:p w14:paraId="7A9B59ED" w14:textId="77777777" w:rsidR="00D0147D" w:rsidRPr="00DF4CE5" w:rsidRDefault="00D0147D" w:rsidP="000F1A10">
            <w:pPr>
              <w:spacing w:after="0" w:line="240" w:lineRule="auto"/>
              <w:jc w:val="both"/>
              <w:rPr>
                <w:rFonts w:ascii="Cambria" w:eastAsia="Times New Roman" w:hAnsi="Cambria" w:cs="Calibri"/>
                <w:lang w:val="hr-HR"/>
              </w:rPr>
            </w:pPr>
          </w:p>
        </w:tc>
        <w:tc>
          <w:tcPr>
            <w:tcW w:w="258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4D5D541" w14:textId="77777777" w:rsidR="00D0147D" w:rsidRPr="00DF4CE5" w:rsidRDefault="00D0147D" w:rsidP="000F1A10">
            <w:pPr>
              <w:spacing w:after="0" w:line="240" w:lineRule="auto"/>
              <w:jc w:val="both"/>
              <w:rPr>
                <w:rFonts w:ascii="Cambria" w:eastAsia="Times New Roman" w:hAnsi="Cambria" w:cs="Calibri"/>
                <w:lang w:val="hr-HR"/>
              </w:rPr>
            </w:pPr>
            <w:proofErr w:type="spellStart"/>
            <w:r w:rsidRPr="00DF4CE5">
              <w:rPr>
                <w:rFonts w:ascii="Cambria" w:eastAsia="Times New Roman" w:hAnsi="Cambria" w:cs="Calibri"/>
              </w:rPr>
              <w:t>aktivnost</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na</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nastavi</w:t>
            </w:r>
            <w:proofErr w:type="spellEnd"/>
          </w:p>
        </w:tc>
        <w:tc>
          <w:tcPr>
            <w:tcW w:w="10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A62F7B5" w14:textId="77777777" w:rsidR="00D0147D" w:rsidRPr="00DF4CE5" w:rsidRDefault="00D0147D"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1. </w:t>
            </w:r>
            <w:r>
              <w:rPr>
                <w:rFonts w:ascii="Cambria" w:eastAsia="Times New Roman" w:hAnsi="Cambria" w:cs="Calibri"/>
                <w:lang w:val="hr-HR"/>
              </w:rPr>
              <w:t>–</w:t>
            </w:r>
            <w:r w:rsidRPr="00DF4CE5">
              <w:rPr>
                <w:rFonts w:ascii="Cambria" w:eastAsia="Times New Roman" w:hAnsi="Cambria" w:cs="Calibri"/>
                <w:lang w:val="hr-HR"/>
              </w:rPr>
              <w:t xml:space="preserve"> 5.</w:t>
            </w:r>
          </w:p>
        </w:tc>
        <w:tc>
          <w:tcPr>
            <w:tcW w:w="72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1C58D1C" w14:textId="66EA3DF4" w:rsidR="00D0147D" w:rsidRPr="00DF4CE5" w:rsidRDefault="00D0147D" w:rsidP="000F1A10">
            <w:pPr>
              <w:spacing w:after="0" w:line="240" w:lineRule="auto"/>
              <w:jc w:val="center"/>
              <w:rPr>
                <w:rFonts w:ascii="Cambria" w:eastAsia="Times New Roman" w:hAnsi="Cambria" w:cs="Calibri"/>
                <w:lang w:val="hr-HR"/>
              </w:rPr>
            </w:pPr>
            <w:r>
              <w:rPr>
                <w:rFonts w:ascii="Cambria" w:eastAsia="Times New Roman" w:hAnsi="Cambria" w:cs="Calibri"/>
                <w:lang w:val="hr-HR"/>
              </w:rPr>
              <w:t>45</w:t>
            </w:r>
          </w:p>
        </w:tc>
        <w:tc>
          <w:tcPr>
            <w:tcW w:w="101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2C3210B" w14:textId="445889DE" w:rsidR="00D0147D" w:rsidRPr="00DF4CE5" w:rsidRDefault="00D0147D" w:rsidP="000F1A10">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1,</w:t>
            </w:r>
            <w:r>
              <w:rPr>
                <w:rFonts w:ascii="Cambria" w:eastAsia="Times New Roman" w:hAnsi="Cambria" w:cs="Calibri"/>
                <w:lang w:val="hr-HR"/>
              </w:rPr>
              <w:t>5</w:t>
            </w:r>
          </w:p>
        </w:tc>
        <w:tc>
          <w:tcPr>
            <w:tcW w:w="13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2D793D6" w14:textId="77777777" w:rsidR="00D0147D" w:rsidRPr="00DF4CE5" w:rsidRDefault="00D0147D" w:rsidP="000F1A10">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10 %</w:t>
            </w:r>
          </w:p>
        </w:tc>
      </w:tr>
      <w:tr w:rsidR="00D0147D" w:rsidRPr="00DF4CE5" w14:paraId="7BCA0B0A" w14:textId="77777777" w:rsidTr="000F1A10">
        <w:tc>
          <w:tcPr>
            <w:tcW w:w="2616" w:type="dxa"/>
            <w:vMerge/>
            <w:tcBorders>
              <w:left w:val="single" w:sz="8" w:space="0" w:color="000000"/>
              <w:right w:val="single" w:sz="8" w:space="0" w:color="000000"/>
            </w:tcBorders>
            <w:vAlign w:val="center"/>
            <w:hideMark/>
          </w:tcPr>
          <w:p w14:paraId="284A8B68" w14:textId="77777777" w:rsidR="00D0147D" w:rsidRPr="00DF4CE5" w:rsidRDefault="00D0147D" w:rsidP="000F1A10">
            <w:pPr>
              <w:spacing w:after="0" w:line="240" w:lineRule="auto"/>
              <w:jc w:val="both"/>
              <w:rPr>
                <w:rFonts w:ascii="Cambria" w:eastAsia="Times New Roman" w:hAnsi="Cambria" w:cs="Calibri"/>
                <w:lang w:val="hr-HR"/>
              </w:rPr>
            </w:pPr>
          </w:p>
        </w:tc>
        <w:tc>
          <w:tcPr>
            <w:tcW w:w="258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ED2E9E6" w14:textId="77777777" w:rsidR="00D0147D" w:rsidRPr="00DF4CE5" w:rsidRDefault="00D0147D"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izrada četiri priprave za nastup</w:t>
            </w:r>
          </w:p>
        </w:tc>
        <w:tc>
          <w:tcPr>
            <w:tcW w:w="10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C640396" w14:textId="77777777" w:rsidR="00D0147D" w:rsidRPr="00DF4CE5" w:rsidRDefault="00D0147D"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1. </w:t>
            </w:r>
            <w:r>
              <w:rPr>
                <w:rFonts w:ascii="Cambria" w:eastAsia="Times New Roman" w:hAnsi="Cambria" w:cs="Calibri"/>
                <w:lang w:val="hr-HR"/>
              </w:rPr>
              <w:t>–</w:t>
            </w:r>
            <w:r w:rsidRPr="00DF4CE5">
              <w:rPr>
                <w:rFonts w:ascii="Cambria" w:eastAsia="Times New Roman" w:hAnsi="Cambria" w:cs="Calibri"/>
                <w:lang w:val="hr-HR"/>
              </w:rPr>
              <w:t xml:space="preserve"> 5.</w:t>
            </w:r>
          </w:p>
        </w:tc>
        <w:tc>
          <w:tcPr>
            <w:tcW w:w="72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3EA3B99" w14:textId="77777777" w:rsidR="00D0147D" w:rsidRPr="00DF4CE5" w:rsidRDefault="00D0147D" w:rsidP="000F1A10">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30</w:t>
            </w:r>
          </w:p>
        </w:tc>
        <w:tc>
          <w:tcPr>
            <w:tcW w:w="101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BFD5FEE" w14:textId="77777777" w:rsidR="00D0147D" w:rsidRPr="00DF4CE5" w:rsidRDefault="00D0147D" w:rsidP="000F1A10">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1</w:t>
            </w:r>
          </w:p>
        </w:tc>
        <w:tc>
          <w:tcPr>
            <w:tcW w:w="13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2561756" w14:textId="77777777" w:rsidR="00D0147D" w:rsidRPr="00DF4CE5" w:rsidRDefault="00D0147D" w:rsidP="000F1A10">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30 %</w:t>
            </w:r>
          </w:p>
        </w:tc>
      </w:tr>
      <w:tr w:rsidR="00D0147D" w:rsidRPr="00DF4CE5" w14:paraId="41CB1982" w14:textId="77777777" w:rsidTr="000F1A10">
        <w:trPr>
          <w:trHeight w:val="307"/>
        </w:trPr>
        <w:tc>
          <w:tcPr>
            <w:tcW w:w="2616" w:type="dxa"/>
            <w:vMerge/>
            <w:tcBorders>
              <w:left w:val="single" w:sz="8" w:space="0" w:color="000000"/>
              <w:right w:val="single" w:sz="8" w:space="0" w:color="000000"/>
            </w:tcBorders>
            <w:vAlign w:val="center"/>
            <w:hideMark/>
          </w:tcPr>
          <w:p w14:paraId="111685CE" w14:textId="77777777" w:rsidR="00D0147D" w:rsidRPr="00DF4CE5" w:rsidRDefault="00D0147D" w:rsidP="000F1A10">
            <w:pPr>
              <w:spacing w:after="0" w:line="240" w:lineRule="auto"/>
              <w:jc w:val="both"/>
              <w:rPr>
                <w:rFonts w:ascii="Cambria" w:eastAsia="Times New Roman" w:hAnsi="Cambria" w:cs="Calibri"/>
                <w:lang w:val="hr-HR"/>
              </w:rPr>
            </w:pPr>
          </w:p>
        </w:tc>
        <w:tc>
          <w:tcPr>
            <w:tcW w:w="258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817FD63" w14:textId="77777777" w:rsidR="00D0147D" w:rsidRPr="00DF4CE5" w:rsidRDefault="00D0147D"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generalna proba i nastup</w:t>
            </w:r>
          </w:p>
        </w:tc>
        <w:tc>
          <w:tcPr>
            <w:tcW w:w="10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B6098BB" w14:textId="77777777" w:rsidR="00D0147D" w:rsidRPr="00DF4CE5" w:rsidRDefault="00D0147D"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1. </w:t>
            </w:r>
            <w:r>
              <w:rPr>
                <w:rFonts w:ascii="Cambria" w:eastAsia="Times New Roman" w:hAnsi="Cambria" w:cs="Calibri"/>
                <w:lang w:val="hr-HR"/>
              </w:rPr>
              <w:t>–</w:t>
            </w:r>
            <w:r w:rsidRPr="00DF4CE5">
              <w:rPr>
                <w:rFonts w:ascii="Cambria" w:eastAsia="Times New Roman" w:hAnsi="Cambria" w:cs="Calibri"/>
                <w:lang w:val="hr-HR"/>
              </w:rPr>
              <w:t xml:space="preserve"> 5.</w:t>
            </w:r>
          </w:p>
        </w:tc>
        <w:tc>
          <w:tcPr>
            <w:tcW w:w="72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3D008A4" w14:textId="128F7FAB" w:rsidR="00D0147D" w:rsidRPr="00DF4CE5" w:rsidRDefault="00D0147D" w:rsidP="000F1A10">
            <w:pPr>
              <w:spacing w:after="0" w:line="240" w:lineRule="auto"/>
              <w:jc w:val="center"/>
              <w:rPr>
                <w:rFonts w:ascii="Cambria" w:eastAsia="Times New Roman" w:hAnsi="Cambria" w:cs="Calibri"/>
                <w:lang w:val="hr-HR"/>
              </w:rPr>
            </w:pPr>
            <w:r>
              <w:rPr>
                <w:rFonts w:ascii="Cambria" w:eastAsia="Times New Roman" w:hAnsi="Cambria" w:cs="Calibri"/>
                <w:lang w:val="hr-HR"/>
              </w:rPr>
              <w:t>30</w:t>
            </w:r>
          </w:p>
        </w:tc>
        <w:tc>
          <w:tcPr>
            <w:tcW w:w="101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EE832B9" w14:textId="26217EEA" w:rsidR="00D0147D" w:rsidRPr="00DF4CE5" w:rsidRDefault="00D0147D" w:rsidP="000F1A10">
            <w:pPr>
              <w:spacing w:after="0" w:line="240" w:lineRule="auto"/>
              <w:jc w:val="center"/>
              <w:rPr>
                <w:rFonts w:ascii="Cambria" w:eastAsia="Times New Roman" w:hAnsi="Cambria" w:cs="Calibri"/>
                <w:lang w:val="hr-HR"/>
              </w:rPr>
            </w:pPr>
            <w:r>
              <w:rPr>
                <w:rFonts w:ascii="Cambria" w:eastAsia="Times New Roman" w:hAnsi="Cambria" w:cs="Calibri"/>
                <w:lang w:val="hr-HR"/>
              </w:rPr>
              <w:t>1</w:t>
            </w:r>
          </w:p>
        </w:tc>
        <w:tc>
          <w:tcPr>
            <w:tcW w:w="13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CEED76D" w14:textId="77777777" w:rsidR="00D0147D" w:rsidRPr="00DF4CE5" w:rsidRDefault="00D0147D" w:rsidP="000F1A10">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20 %</w:t>
            </w:r>
          </w:p>
        </w:tc>
      </w:tr>
      <w:tr w:rsidR="00D0147D" w:rsidRPr="00DF4CE5" w14:paraId="2C99C1CF" w14:textId="77777777" w:rsidTr="000F1A10">
        <w:trPr>
          <w:trHeight w:val="307"/>
        </w:trPr>
        <w:tc>
          <w:tcPr>
            <w:tcW w:w="2616" w:type="dxa"/>
            <w:vMerge/>
            <w:tcBorders>
              <w:left w:val="single" w:sz="8" w:space="0" w:color="000000"/>
              <w:right w:val="single" w:sz="8" w:space="0" w:color="000000"/>
            </w:tcBorders>
            <w:vAlign w:val="center"/>
          </w:tcPr>
          <w:p w14:paraId="279E70D0" w14:textId="77777777" w:rsidR="00D0147D" w:rsidRPr="00DF4CE5" w:rsidRDefault="00D0147D" w:rsidP="000F1A10">
            <w:pPr>
              <w:spacing w:after="0" w:line="240" w:lineRule="auto"/>
              <w:jc w:val="both"/>
              <w:rPr>
                <w:rFonts w:ascii="Cambria" w:eastAsia="Times New Roman" w:hAnsi="Cambria" w:cs="Calibri"/>
                <w:lang w:val="hr-HR"/>
              </w:rPr>
            </w:pPr>
          </w:p>
        </w:tc>
        <w:tc>
          <w:tcPr>
            <w:tcW w:w="258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5A9436" w14:textId="77777777" w:rsidR="00D0147D" w:rsidRPr="00DF4CE5" w:rsidRDefault="00D0147D"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pismeni ispit</w:t>
            </w:r>
          </w:p>
        </w:tc>
        <w:tc>
          <w:tcPr>
            <w:tcW w:w="10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1F49B62" w14:textId="77777777" w:rsidR="00D0147D" w:rsidRPr="00DF4CE5" w:rsidRDefault="00D0147D"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1. </w:t>
            </w:r>
            <w:r>
              <w:rPr>
                <w:rFonts w:ascii="Cambria" w:eastAsia="Times New Roman" w:hAnsi="Cambria" w:cs="Calibri"/>
                <w:lang w:val="hr-HR"/>
              </w:rPr>
              <w:t>–</w:t>
            </w:r>
            <w:r w:rsidRPr="00DF4CE5">
              <w:rPr>
                <w:rFonts w:ascii="Cambria" w:eastAsia="Times New Roman" w:hAnsi="Cambria" w:cs="Calibri"/>
                <w:lang w:val="hr-HR"/>
              </w:rPr>
              <w:t xml:space="preserve"> 5.</w:t>
            </w:r>
          </w:p>
        </w:tc>
        <w:tc>
          <w:tcPr>
            <w:tcW w:w="72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FF9C82E" w14:textId="185F5055" w:rsidR="00D0147D" w:rsidRPr="00DF4CE5" w:rsidRDefault="00D0147D" w:rsidP="000F1A10">
            <w:pPr>
              <w:spacing w:after="0" w:line="240" w:lineRule="auto"/>
              <w:jc w:val="center"/>
              <w:rPr>
                <w:rFonts w:ascii="Cambria" w:eastAsia="Times New Roman" w:hAnsi="Cambria" w:cs="Calibri"/>
                <w:lang w:val="hr-HR"/>
              </w:rPr>
            </w:pPr>
            <w:r>
              <w:rPr>
                <w:rFonts w:ascii="Cambria" w:eastAsia="Times New Roman" w:hAnsi="Cambria" w:cs="Calibri"/>
                <w:lang w:val="hr-HR"/>
              </w:rPr>
              <w:t>15</w:t>
            </w:r>
          </w:p>
        </w:tc>
        <w:tc>
          <w:tcPr>
            <w:tcW w:w="101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C8174C9" w14:textId="6EFA0565" w:rsidR="00D0147D" w:rsidRPr="00DF4CE5" w:rsidRDefault="00D0147D" w:rsidP="000F1A10">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0,</w:t>
            </w:r>
            <w:r>
              <w:rPr>
                <w:rFonts w:ascii="Cambria" w:eastAsia="Times New Roman" w:hAnsi="Cambria" w:cs="Calibri"/>
                <w:lang w:val="hr-HR"/>
              </w:rPr>
              <w:t>5</w:t>
            </w:r>
          </w:p>
        </w:tc>
        <w:tc>
          <w:tcPr>
            <w:tcW w:w="13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D6A2853" w14:textId="77777777" w:rsidR="00D0147D" w:rsidRPr="00DF4CE5" w:rsidRDefault="00D0147D" w:rsidP="000F1A10">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20 %</w:t>
            </w:r>
          </w:p>
        </w:tc>
      </w:tr>
      <w:tr w:rsidR="00D0147D" w:rsidRPr="00DF4CE5" w14:paraId="1092DE4A" w14:textId="77777777" w:rsidTr="000F1A10">
        <w:tc>
          <w:tcPr>
            <w:tcW w:w="2616" w:type="dxa"/>
            <w:vMerge/>
            <w:tcBorders>
              <w:left w:val="single" w:sz="8" w:space="0" w:color="000000"/>
              <w:right w:val="single" w:sz="8" w:space="0" w:color="000000"/>
            </w:tcBorders>
            <w:vAlign w:val="center"/>
            <w:hideMark/>
          </w:tcPr>
          <w:p w14:paraId="21ACEAE2" w14:textId="77777777" w:rsidR="00D0147D" w:rsidRPr="00DF4CE5" w:rsidRDefault="00D0147D" w:rsidP="000F1A10">
            <w:pPr>
              <w:spacing w:after="0" w:line="240" w:lineRule="auto"/>
              <w:jc w:val="both"/>
              <w:rPr>
                <w:rFonts w:ascii="Cambria" w:eastAsia="Times New Roman" w:hAnsi="Cambria" w:cs="Calibri"/>
                <w:lang w:val="hr-HR"/>
              </w:rPr>
            </w:pPr>
          </w:p>
        </w:tc>
        <w:tc>
          <w:tcPr>
            <w:tcW w:w="258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1BB9AED" w14:textId="77777777" w:rsidR="00D0147D" w:rsidRPr="00DF4CE5" w:rsidRDefault="00D0147D"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usmeni ispit</w:t>
            </w:r>
          </w:p>
        </w:tc>
        <w:tc>
          <w:tcPr>
            <w:tcW w:w="10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53319C4" w14:textId="77777777" w:rsidR="00D0147D" w:rsidRPr="00DF4CE5" w:rsidRDefault="00D0147D"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1. </w:t>
            </w:r>
            <w:r>
              <w:rPr>
                <w:rFonts w:ascii="Cambria" w:eastAsia="Times New Roman" w:hAnsi="Cambria" w:cs="Calibri"/>
                <w:lang w:val="hr-HR"/>
              </w:rPr>
              <w:t>–</w:t>
            </w:r>
            <w:r w:rsidRPr="00DF4CE5">
              <w:rPr>
                <w:rFonts w:ascii="Cambria" w:eastAsia="Times New Roman" w:hAnsi="Cambria" w:cs="Calibri"/>
                <w:lang w:val="hr-HR"/>
              </w:rPr>
              <w:t xml:space="preserve"> 5.</w:t>
            </w:r>
          </w:p>
        </w:tc>
        <w:tc>
          <w:tcPr>
            <w:tcW w:w="72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470395D" w14:textId="77777777" w:rsidR="00D0147D" w:rsidRPr="00DF4CE5" w:rsidRDefault="00D0147D" w:rsidP="000F1A10">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30</w:t>
            </w:r>
          </w:p>
        </w:tc>
        <w:tc>
          <w:tcPr>
            <w:tcW w:w="101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055885D" w14:textId="77777777" w:rsidR="00D0147D" w:rsidRPr="00DF4CE5" w:rsidRDefault="00D0147D" w:rsidP="000F1A10">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1</w:t>
            </w:r>
          </w:p>
        </w:tc>
        <w:tc>
          <w:tcPr>
            <w:tcW w:w="13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C5D40FC" w14:textId="77777777" w:rsidR="00D0147D" w:rsidRPr="00DF4CE5" w:rsidRDefault="00D0147D" w:rsidP="000F1A10">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20 %</w:t>
            </w:r>
          </w:p>
        </w:tc>
      </w:tr>
      <w:tr w:rsidR="00D0147D" w:rsidRPr="00DF4CE5" w14:paraId="4EBF68F8" w14:textId="77777777" w:rsidTr="000F1A10">
        <w:tc>
          <w:tcPr>
            <w:tcW w:w="2616" w:type="dxa"/>
            <w:vMerge/>
            <w:tcBorders>
              <w:left w:val="single" w:sz="8" w:space="0" w:color="000000"/>
              <w:right w:val="single" w:sz="8" w:space="0" w:color="000000"/>
            </w:tcBorders>
            <w:vAlign w:val="center"/>
            <w:hideMark/>
          </w:tcPr>
          <w:p w14:paraId="6D666F15" w14:textId="77777777" w:rsidR="00D0147D" w:rsidRPr="00DF4CE5" w:rsidRDefault="00D0147D" w:rsidP="000F1A10">
            <w:pPr>
              <w:spacing w:after="0" w:line="240" w:lineRule="auto"/>
              <w:jc w:val="both"/>
              <w:rPr>
                <w:rFonts w:ascii="Cambria" w:eastAsia="Times New Roman" w:hAnsi="Cambria" w:cs="Calibri"/>
                <w:lang w:val="hr-HR"/>
              </w:rPr>
            </w:pPr>
          </w:p>
        </w:tc>
        <w:tc>
          <w:tcPr>
            <w:tcW w:w="3672"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DC06D4C" w14:textId="77777777" w:rsidR="00D0147D" w:rsidRPr="00DF4CE5" w:rsidRDefault="00D0147D" w:rsidP="000F1A10">
            <w:pPr>
              <w:spacing w:after="0" w:line="240" w:lineRule="auto"/>
              <w:jc w:val="both"/>
              <w:rPr>
                <w:rFonts w:ascii="Cambria" w:eastAsia="Times New Roman" w:hAnsi="Cambria" w:cs="Calibri"/>
                <w:lang w:val="hr-HR"/>
              </w:rPr>
            </w:pPr>
            <w:proofErr w:type="spellStart"/>
            <w:r>
              <w:rPr>
                <w:rFonts w:ascii="Cambria" w:eastAsia="Times New Roman" w:hAnsi="Cambria" w:cs="Calibri"/>
              </w:rPr>
              <w:t>u</w:t>
            </w:r>
            <w:r w:rsidRPr="00DF4CE5">
              <w:rPr>
                <w:rFonts w:ascii="Cambria" w:eastAsia="Times New Roman" w:hAnsi="Cambria" w:cs="Calibri"/>
              </w:rPr>
              <w:t>kupno</w:t>
            </w:r>
            <w:proofErr w:type="spellEnd"/>
          </w:p>
        </w:tc>
        <w:tc>
          <w:tcPr>
            <w:tcW w:w="72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A2DA90B" w14:textId="2B5CD9B9" w:rsidR="00D0147D" w:rsidRPr="00DF4CE5" w:rsidRDefault="00D0147D" w:rsidP="000F1A10">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1</w:t>
            </w:r>
            <w:r>
              <w:rPr>
                <w:rFonts w:ascii="Cambria" w:eastAsia="Times New Roman" w:hAnsi="Cambria" w:cs="Calibri"/>
                <w:lang w:val="hr-HR"/>
              </w:rPr>
              <w:t>50</w:t>
            </w:r>
          </w:p>
        </w:tc>
        <w:tc>
          <w:tcPr>
            <w:tcW w:w="101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4BAD9D2" w14:textId="157EDC4B" w:rsidR="00D0147D" w:rsidRPr="00DF4CE5" w:rsidRDefault="00D0147D" w:rsidP="000F1A10">
            <w:pPr>
              <w:spacing w:after="0" w:line="240" w:lineRule="auto"/>
              <w:jc w:val="center"/>
              <w:rPr>
                <w:rFonts w:ascii="Cambria" w:eastAsia="Times New Roman" w:hAnsi="Cambria" w:cs="Calibri"/>
                <w:lang w:val="hr-HR"/>
              </w:rPr>
            </w:pPr>
            <w:r>
              <w:rPr>
                <w:rFonts w:ascii="Cambria" w:eastAsia="Times New Roman" w:hAnsi="Cambria" w:cs="Calibri"/>
                <w:lang w:val="hr-HR"/>
              </w:rPr>
              <w:t>5</w:t>
            </w:r>
          </w:p>
        </w:tc>
        <w:tc>
          <w:tcPr>
            <w:tcW w:w="13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F432A6C" w14:textId="77777777" w:rsidR="00D0147D" w:rsidRPr="00DF4CE5" w:rsidRDefault="00D0147D" w:rsidP="000F1A10">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100 %</w:t>
            </w:r>
          </w:p>
        </w:tc>
      </w:tr>
      <w:tr w:rsidR="00D0147D" w:rsidRPr="00D0399C" w14:paraId="099CB1CC" w14:textId="77777777" w:rsidTr="000F1A10">
        <w:tc>
          <w:tcPr>
            <w:tcW w:w="2616" w:type="dxa"/>
            <w:vMerge/>
            <w:tcBorders>
              <w:left w:val="single" w:sz="8" w:space="0" w:color="000000"/>
              <w:bottom w:val="single" w:sz="8" w:space="0" w:color="000000"/>
              <w:right w:val="single" w:sz="8" w:space="0" w:color="000000"/>
            </w:tcBorders>
            <w:vAlign w:val="center"/>
          </w:tcPr>
          <w:p w14:paraId="202AD620" w14:textId="77777777" w:rsidR="00D0147D" w:rsidRPr="00DF4CE5" w:rsidRDefault="00D0147D" w:rsidP="000F1A10">
            <w:pPr>
              <w:spacing w:after="0" w:line="240" w:lineRule="auto"/>
              <w:jc w:val="both"/>
              <w:rPr>
                <w:rFonts w:ascii="Cambria" w:eastAsia="Times New Roman" w:hAnsi="Cambria" w:cs="Calibri"/>
                <w:lang w:val="hr-HR"/>
              </w:rPr>
            </w:pPr>
          </w:p>
        </w:tc>
        <w:tc>
          <w:tcPr>
            <w:tcW w:w="6724"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6654FE9" w14:textId="77777777" w:rsidR="00D0147D" w:rsidRPr="00DF4CE5" w:rsidRDefault="00D0147D"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Dodatna pojašnjenja (kriteriji ocjenjivanja):</w:t>
            </w:r>
          </w:p>
          <w:p w14:paraId="17B75FA9" w14:textId="77777777" w:rsidR="00D0147D" w:rsidRPr="00DF4CE5" w:rsidRDefault="00D0147D"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Pohađanje nastave je obvezno. Tolerira se 30 % izostanaka (dakle, sveukupno 12 sati).</w:t>
            </w:r>
          </w:p>
          <w:p w14:paraId="70DD8AD7" w14:textId="77777777" w:rsidR="00D0147D" w:rsidRPr="00DF4CE5" w:rsidRDefault="00D0147D"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Pohađanje nastave ocjenjuje se na sljedeći način:</w:t>
            </w:r>
          </w:p>
          <w:p w14:paraId="7E246000" w14:textId="77777777" w:rsidR="00D0147D" w:rsidRPr="00DF4CE5" w:rsidRDefault="00D0147D"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Izrada četiri priprave potrebne su za neposredni rad u osnovnoj školi nakon čega se priprema javni nastup (koncert). </w:t>
            </w:r>
          </w:p>
          <w:p w14:paraId="5483D09E" w14:textId="77777777" w:rsidR="00D0147D" w:rsidRPr="00DF4CE5" w:rsidRDefault="00D0147D"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Pisanje priprave se ocjenjuje:</w:t>
            </w:r>
          </w:p>
          <w:p w14:paraId="5FE71789" w14:textId="77777777" w:rsidR="00D0147D" w:rsidRPr="00DF4CE5" w:rsidRDefault="00D0147D"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0 % - nije napisana priprava.</w:t>
            </w:r>
          </w:p>
          <w:p w14:paraId="3F7ED051" w14:textId="77777777" w:rsidR="00D0147D" w:rsidRPr="00DF4CE5" w:rsidRDefault="00D0147D"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Svaka priprava ocjenjuje se od 1 do 5. Ocjena je ujedno i udio u ocjeni.</w:t>
            </w:r>
          </w:p>
          <w:p w14:paraId="7F0A7C54" w14:textId="77777777" w:rsidR="00D0147D" w:rsidRPr="00DF4CE5" w:rsidRDefault="00D0147D"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1% - priprava nije napisana u roku, ali je odrađena na vrijeme.</w:t>
            </w:r>
          </w:p>
          <w:p w14:paraId="5050989A" w14:textId="77777777" w:rsidR="00D0147D" w:rsidRPr="00DF4CE5" w:rsidRDefault="00D0147D"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2% - priprava napisana i odrađena u roku te ocjenjena ocjenom dovoljan</w:t>
            </w:r>
          </w:p>
          <w:p w14:paraId="3EFB2FFA" w14:textId="77777777" w:rsidR="00D0147D" w:rsidRPr="00DF4CE5" w:rsidRDefault="00D0147D"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3% - priprava napisana i odrađena u roku te ocjenjena ocjenom dobar</w:t>
            </w:r>
          </w:p>
          <w:p w14:paraId="456C501A" w14:textId="77777777" w:rsidR="00D0147D" w:rsidRPr="00DF4CE5" w:rsidRDefault="00D0147D"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4% - priprava napisana i odrađena u roku te ocjenjena ocjenom vrlo dobar</w:t>
            </w:r>
          </w:p>
          <w:p w14:paraId="6749DDD1" w14:textId="77777777" w:rsidR="00D0147D" w:rsidRPr="00DF4CE5" w:rsidRDefault="00D0147D"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5 % - priprava napisana i odrađena u roku te ocjenjena ocjenom odličan</w:t>
            </w:r>
          </w:p>
          <w:p w14:paraId="17CF9C1B" w14:textId="77777777" w:rsidR="00D0147D" w:rsidRPr="00DF4CE5" w:rsidRDefault="00D0147D"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+10 % - prijenos znanja i vještina učenicima</w:t>
            </w:r>
          </w:p>
          <w:p w14:paraId="12A470FB" w14:textId="77777777" w:rsidR="00D0147D" w:rsidRPr="00DF4CE5" w:rsidRDefault="00D0147D"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Generalna proba i nastup </w:t>
            </w:r>
          </w:p>
          <w:p w14:paraId="498F175D" w14:textId="77777777" w:rsidR="00D0147D" w:rsidRPr="00DF4CE5" w:rsidRDefault="00D0147D"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0 % = Na nastupu nisu zadovoljeni kriteriji postavljeni na predavanjima ili nije se pristupilo nastupu (ocjena nedovoljan)</w:t>
            </w:r>
          </w:p>
          <w:p w14:paraId="11801DE2" w14:textId="77777777" w:rsidR="00D0147D" w:rsidRPr="00DF4CE5" w:rsidRDefault="00D0147D"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5 % = Na nastupu su djelomično zadovoljeni kriteriji postavljeni na predavanjima (ocjena dovoljan)</w:t>
            </w:r>
          </w:p>
          <w:p w14:paraId="7B072B6F" w14:textId="77777777" w:rsidR="00D0147D" w:rsidRPr="00DF4CE5" w:rsidRDefault="00D0147D"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10 % = Na nastupu su djelomično zadovoljeni kriteriji postavljeni na predavanjima (ocjena dobar)</w:t>
            </w:r>
          </w:p>
          <w:p w14:paraId="5D1A3456" w14:textId="77777777" w:rsidR="00D0147D" w:rsidRPr="00DF4CE5" w:rsidRDefault="00D0147D"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15 % = Na nastupu su zadovoljeni gotovo svi kriteriji postavljeni na predavanjima (ocjena </w:t>
            </w:r>
            <w:proofErr w:type="spellStart"/>
            <w:r w:rsidRPr="00DF4CE5">
              <w:rPr>
                <w:rFonts w:ascii="Cambria" w:eastAsia="Times New Roman" w:hAnsi="Cambria" w:cs="Calibri"/>
                <w:lang w:val="hr-HR"/>
              </w:rPr>
              <w:t>vrlodobar</w:t>
            </w:r>
            <w:proofErr w:type="spellEnd"/>
            <w:r w:rsidRPr="00DF4CE5">
              <w:rPr>
                <w:rFonts w:ascii="Cambria" w:eastAsia="Times New Roman" w:hAnsi="Cambria" w:cs="Calibri"/>
                <w:lang w:val="hr-HR"/>
              </w:rPr>
              <w:t>)</w:t>
            </w:r>
          </w:p>
          <w:p w14:paraId="5156C08D" w14:textId="77777777" w:rsidR="00D0147D" w:rsidRPr="00DF4CE5" w:rsidRDefault="00D0147D"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20 % = Na nastupu su zadovoljeni svi kriteriji postavljeni na predavanjima</w:t>
            </w:r>
          </w:p>
          <w:p w14:paraId="0825BDFD" w14:textId="77777777" w:rsidR="00D0147D" w:rsidRPr="00DF4CE5" w:rsidRDefault="00D0147D"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Pismeni ispit</w:t>
            </w:r>
            <w:r w:rsidRPr="00DF4CE5">
              <w:rPr>
                <w:rFonts w:ascii="Cambria" w:eastAsia="Times New Roman" w:hAnsi="Cambria" w:cs="Calibri"/>
                <w:b/>
                <w:u w:val="single"/>
                <w:lang w:val="hr-HR"/>
              </w:rPr>
              <w:t xml:space="preserve"> </w:t>
            </w:r>
            <w:r w:rsidRPr="00DF4CE5">
              <w:rPr>
                <w:rFonts w:ascii="Cambria" w:eastAsia="Times New Roman" w:hAnsi="Cambria" w:cs="Calibri"/>
                <w:lang w:val="hr-HR"/>
              </w:rPr>
              <w:t xml:space="preserve">(gradivo iz kurikuluma) se ocjenjuje na sljedeći način, a </w:t>
            </w:r>
            <w:proofErr w:type="spellStart"/>
            <w:r w:rsidRPr="00DF4CE5">
              <w:rPr>
                <w:rFonts w:ascii="Cambria" w:eastAsia="Times New Roman" w:hAnsi="Cambria" w:cs="Calibri"/>
                <w:lang w:val="hr-HR"/>
              </w:rPr>
              <w:t>max</w:t>
            </w:r>
            <w:proofErr w:type="spellEnd"/>
            <w:r w:rsidRPr="00DF4CE5">
              <w:rPr>
                <w:rFonts w:ascii="Cambria" w:eastAsia="Times New Roman" w:hAnsi="Cambria" w:cs="Calibri"/>
                <w:lang w:val="hr-HR"/>
              </w:rPr>
              <w:t>. udio ocjene je: 20 %.</w:t>
            </w:r>
          </w:p>
          <w:p w14:paraId="2AF64171" w14:textId="77777777" w:rsidR="00D0147D" w:rsidRPr="00DF4CE5" w:rsidRDefault="00D0147D"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Manje od 50 % točnih odgovora = 0 %.</w:t>
            </w:r>
          </w:p>
          <w:p w14:paraId="44395E2C" w14:textId="77777777" w:rsidR="00D0147D" w:rsidRPr="00DF4CE5" w:rsidRDefault="00D0147D"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Od 51 % do 100 % svaki slijedeći točni odgovor  nosi udio u                                 proporcionalnom postotku.</w:t>
            </w:r>
          </w:p>
          <w:p w14:paraId="67DE9AD2" w14:textId="77777777" w:rsidR="00D0147D" w:rsidRPr="00DF4CE5" w:rsidRDefault="00D0147D"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Usmeni: Ocjenjuje se vještina sviranja na melodijskom </w:t>
            </w:r>
            <w:proofErr w:type="spellStart"/>
            <w:r w:rsidRPr="00DF4CE5">
              <w:rPr>
                <w:rFonts w:ascii="Cambria" w:eastAsia="Times New Roman" w:hAnsi="Cambria" w:cs="Calibri"/>
                <w:lang w:val="hr-HR"/>
              </w:rPr>
              <w:t>Orffovom</w:t>
            </w:r>
            <w:proofErr w:type="spellEnd"/>
            <w:r w:rsidRPr="00DF4CE5">
              <w:rPr>
                <w:rFonts w:ascii="Cambria" w:eastAsia="Times New Roman" w:hAnsi="Cambria" w:cs="Calibri"/>
                <w:lang w:val="hr-HR"/>
              </w:rPr>
              <w:t xml:space="preserve"> instrumentariju</w:t>
            </w:r>
            <w:r w:rsidRPr="00DF4CE5">
              <w:rPr>
                <w:rFonts w:ascii="Cambria" w:eastAsia="Times New Roman" w:hAnsi="Cambria" w:cs="Calibri"/>
                <w:b/>
                <w:lang w:val="hr-HR"/>
              </w:rPr>
              <w:t xml:space="preserve"> </w:t>
            </w:r>
            <w:r w:rsidRPr="00DF4CE5">
              <w:rPr>
                <w:rFonts w:ascii="Cambria" w:eastAsia="Times New Roman" w:hAnsi="Cambria" w:cs="Calibri"/>
                <w:lang w:val="hr-HR"/>
              </w:rPr>
              <w:t xml:space="preserve">uz pjesmu i uz brojalicu. Pjesme se biraju iz udžbenika glazbene kulture 2. razreda osnovne škole. Udžbenik bira student. </w:t>
            </w:r>
          </w:p>
          <w:p w14:paraId="61E64626" w14:textId="77777777" w:rsidR="00D0147D" w:rsidRPr="00DF4CE5" w:rsidRDefault="00D0147D"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        0 %   = Student ne vlada sviranjem i pjevanjem</w:t>
            </w:r>
          </w:p>
          <w:p w14:paraId="5A1E142B" w14:textId="77777777" w:rsidR="00D0147D" w:rsidRPr="00DF4CE5" w:rsidRDefault="00D0147D"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        7,5 %   = Student vlada sviranjem i pjevanjem za dovoljan</w:t>
            </w:r>
          </w:p>
          <w:p w14:paraId="4EF892D5" w14:textId="77777777" w:rsidR="00D0147D" w:rsidRPr="00DF4CE5" w:rsidRDefault="00D0147D"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      15 %   = Student vlada sviranjem i pjevanjem za dobar</w:t>
            </w:r>
          </w:p>
          <w:p w14:paraId="3125CDB8" w14:textId="77777777" w:rsidR="00D0147D" w:rsidRPr="00DF4CE5" w:rsidRDefault="00D0147D"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      22,5 %   = Student vlada sviranjem i pjevanjem za </w:t>
            </w:r>
            <w:proofErr w:type="spellStart"/>
            <w:r w:rsidRPr="00DF4CE5">
              <w:rPr>
                <w:rFonts w:ascii="Cambria" w:eastAsia="Times New Roman" w:hAnsi="Cambria" w:cs="Calibri"/>
                <w:lang w:val="hr-HR"/>
              </w:rPr>
              <w:t>vrlodobar</w:t>
            </w:r>
            <w:proofErr w:type="spellEnd"/>
          </w:p>
          <w:p w14:paraId="1251EB9B" w14:textId="77777777" w:rsidR="00D0147D" w:rsidRPr="00DF4CE5" w:rsidRDefault="00D0147D"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      30 %   = Student vlada sviranjem i pjevanjem.</w:t>
            </w:r>
          </w:p>
          <w:p w14:paraId="6BC85207" w14:textId="77777777" w:rsidR="00D0147D" w:rsidRPr="00DF4CE5" w:rsidRDefault="00D0147D"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Student može pristupiti ispitu ukoliko je tijekom nastave prikupio najmanje 20 % udjela u ocjeni.</w:t>
            </w:r>
          </w:p>
          <w:p w14:paraId="7EFFC3A3" w14:textId="77777777" w:rsidR="00D0147D" w:rsidRPr="00DF4CE5" w:rsidRDefault="00D0147D" w:rsidP="000F1A10">
            <w:pPr>
              <w:spacing w:after="0" w:line="240" w:lineRule="auto"/>
              <w:jc w:val="both"/>
              <w:rPr>
                <w:rFonts w:ascii="Cambria" w:eastAsia="Times New Roman" w:hAnsi="Cambria" w:cs="Calibri"/>
                <w:lang w:val="pl-PL"/>
              </w:rPr>
            </w:pPr>
            <w:r w:rsidRPr="00DF4CE5">
              <w:rPr>
                <w:rFonts w:ascii="Cambria" w:eastAsia="Times New Roman" w:hAnsi="Cambria" w:cs="Calibri"/>
                <w:lang w:val="hr-HR"/>
              </w:rPr>
              <w:t>Da položi kolegij, student/studentica mora pristupiti i pozitivno napisati pismeni ispit na ispitnom roku.</w:t>
            </w:r>
            <w:r w:rsidRPr="00DF4CE5">
              <w:rPr>
                <w:rFonts w:ascii="Cambria" w:eastAsia="Times New Roman" w:hAnsi="Cambria" w:cs="Calibri"/>
                <w:lang w:val="pl-PL"/>
              </w:rPr>
              <w:t xml:space="preserve"> </w:t>
            </w:r>
          </w:p>
          <w:p w14:paraId="3501300A" w14:textId="77777777" w:rsidR="00D0147D" w:rsidRPr="00DF4CE5" w:rsidRDefault="00D0147D"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pl-PL"/>
              </w:rPr>
              <w:lastRenderedPageBreak/>
              <w:t>Ukoliko se dogovoreni termini ne poštuju, smanjuju se postavljeni bodovi za 25 %.</w:t>
            </w:r>
          </w:p>
        </w:tc>
      </w:tr>
      <w:tr w:rsidR="00D0147D" w:rsidRPr="00D0399C" w14:paraId="6308E968" w14:textId="77777777" w:rsidTr="000F1A10">
        <w:tc>
          <w:tcPr>
            <w:tcW w:w="261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B5DA17F" w14:textId="77777777" w:rsidR="00D0147D" w:rsidRPr="00DF4CE5" w:rsidRDefault="00D0147D"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lastRenderedPageBreak/>
              <w:t>Studentske obveze</w:t>
            </w:r>
          </w:p>
        </w:tc>
        <w:tc>
          <w:tcPr>
            <w:tcW w:w="672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2095C6E" w14:textId="77777777" w:rsidR="00D0147D" w:rsidRPr="00DF4CE5" w:rsidRDefault="00D0147D"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Da položi kolegij, student/studentica mora:</w:t>
            </w:r>
          </w:p>
          <w:p w14:paraId="2C2BB2E4" w14:textId="77777777" w:rsidR="00D0147D" w:rsidRPr="00DF4CE5" w:rsidRDefault="00D0147D"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1. pohađati nastavu</w:t>
            </w:r>
          </w:p>
          <w:p w14:paraId="237AA0E2" w14:textId="77777777" w:rsidR="00D0147D" w:rsidRPr="00DF4CE5" w:rsidRDefault="00D0147D"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2. izraditi četiri priprave za nastup</w:t>
            </w:r>
          </w:p>
          <w:p w14:paraId="327ABF97" w14:textId="77777777" w:rsidR="00D0147D" w:rsidRPr="00DF4CE5" w:rsidRDefault="00D0147D"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3. pjevati, svirati i dirigirati na nastupu</w:t>
            </w:r>
          </w:p>
          <w:p w14:paraId="2A14D441" w14:textId="77777777" w:rsidR="00D0147D" w:rsidRPr="00DF4CE5" w:rsidRDefault="00D0147D"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4. položiti pismeni ispit</w:t>
            </w:r>
          </w:p>
          <w:p w14:paraId="7C1F97A1" w14:textId="77777777" w:rsidR="00D0147D" w:rsidRPr="00DF4CE5" w:rsidRDefault="00D0147D"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5. položiti usmeni ispit</w:t>
            </w:r>
            <w:r>
              <w:rPr>
                <w:rFonts w:ascii="Cambria" w:eastAsia="Times New Roman" w:hAnsi="Cambria" w:cs="Calibri"/>
                <w:lang w:val="hr-HR"/>
              </w:rPr>
              <w:t>.</w:t>
            </w:r>
          </w:p>
        </w:tc>
      </w:tr>
      <w:tr w:rsidR="00D0147D" w:rsidRPr="00D0399C" w14:paraId="308D0B5F" w14:textId="77777777" w:rsidTr="000F1A10">
        <w:tc>
          <w:tcPr>
            <w:tcW w:w="261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7EF269A" w14:textId="77777777" w:rsidR="00D0147D" w:rsidRPr="00DF4CE5" w:rsidRDefault="00D0147D" w:rsidP="000F1A10">
            <w:pPr>
              <w:spacing w:after="0" w:line="240" w:lineRule="auto"/>
              <w:jc w:val="both"/>
              <w:rPr>
                <w:rFonts w:ascii="Cambria" w:eastAsia="Times New Roman" w:hAnsi="Cambria" w:cs="Calibri"/>
                <w:lang w:val="hr-HR"/>
              </w:rPr>
            </w:pPr>
            <w:proofErr w:type="spellStart"/>
            <w:r w:rsidRPr="00DF4CE5">
              <w:rPr>
                <w:rFonts w:ascii="Cambria" w:eastAsia="Times New Roman" w:hAnsi="Cambria" w:cs="Calibri"/>
              </w:rPr>
              <w:t>Rokovi</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ispita</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i</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kolokvija</w:t>
            </w:r>
            <w:proofErr w:type="spellEnd"/>
          </w:p>
        </w:tc>
        <w:tc>
          <w:tcPr>
            <w:tcW w:w="672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CA8CA65" w14:textId="77777777" w:rsidR="00D0147D" w:rsidRPr="00DF4CE5" w:rsidRDefault="00D0147D"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Generalna proba i nastup održavaju se tijekom prosinca.</w:t>
            </w:r>
          </w:p>
          <w:p w14:paraId="52696679" w14:textId="77777777" w:rsidR="00D0147D" w:rsidRPr="00DF4CE5" w:rsidRDefault="00D0147D"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Rokovi se objavljuju na mrežnim stranicama Fakulteta za odgojne i obrazovne znanosti i putem ISVU.</w:t>
            </w:r>
          </w:p>
        </w:tc>
      </w:tr>
      <w:tr w:rsidR="00D0147D" w:rsidRPr="00DF4CE5" w14:paraId="4D1C0D11" w14:textId="77777777" w:rsidTr="000F1A10">
        <w:tc>
          <w:tcPr>
            <w:tcW w:w="261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DFA0611" w14:textId="77777777" w:rsidR="00D0147D" w:rsidRPr="00DF4CE5" w:rsidRDefault="00D0147D"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Ostale važne činjenice </w:t>
            </w:r>
            <w:proofErr w:type="spellStart"/>
            <w:r w:rsidRPr="00DF4CE5">
              <w:rPr>
                <w:rFonts w:ascii="Cambria" w:eastAsia="Times New Roman" w:hAnsi="Cambria" w:cs="Calibri"/>
                <w:lang w:val="it-IT"/>
              </w:rPr>
              <w:t>vezaneuzkolegij</w:t>
            </w:r>
            <w:proofErr w:type="spellEnd"/>
          </w:p>
        </w:tc>
        <w:tc>
          <w:tcPr>
            <w:tcW w:w="672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BC789BF" w14:textId="77777777" w:rsidR="00D0147D" w:rsidRPr="00DF4CE5" w:rsidRDefault="00D0147D" w:rsidP="000F1A10">
            <w:pPr>
              <w:spacing w:after="0" w:line="240" w:lineRule="auto"/>
              <w:jc w:val="both"/>
              <w:rPr>
                <w:rFonts w:ascii="Cambria" w:eastAsia="Times New Roman" w:hAnsi="Cambria" w:cs="Calibri"/>
                <w:lang w:val="pl-PL"/>
              </w:rPr>
            </w:pPr>
            <w:r w:rsidRPr="00DF4CE5">
              <w:rPr>
                <w:rFonts w:ascii="Cambria" w:eastAsia="Times New Roman" w:hAnsi="Cambria" w:cs="Calibri"/>
                <w:lang w:val="pl-PL"/>
              </w:rPr>
              <w:t xml:space="preserve">Sve pisane priprave predaju se na nastavi ili mailom do dogovorenog termina. </w:t>
            </w:r>
          </w:p>
          <w:p w14:paraId="60FC60D7" w14:textId="77777777" w:rsidR="00D0147D" w:rsidRPr="00DF4CE5" w:rsidRDefault="00D0147D"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U slučaju održavanja nastave na daljinu, moguće je odstupanje u: mjestu izvođenja kolegija, provedbi aktivnosti, metoda tumačenja i poučavanja i načinima vrednovanja, studentskim obvezama i dostupnoj literaturi. O tome će nositeljica i </w:t>
            </w:r>
            <w:r>
              <w:rPr>
                <w:rFonts w:ascii="Cambria" w:eastAsia="Times New Roman" w:hAnsi="Cambria" w:cs="Calibri"/>
                <w:lang w:val="hr-HR"/>
              </w:rPr>
              <w:t>suradnik</w:t>
            </w:r>
            <w:r w:rsidRPr="00DF4CE5">
              <w:rPr>
                <w:rFonts w:ascii="Cambria" w:eastAsia="Times New Roman" w:hAnsi="Cambria" w:cs="Calibri"/>
                <w:lang w:val="hr-HR"/>
              </w:rPr>
              <w:t xml:space="preserve"> obavijestiti studente i studentice kad se nastava na daljinu počne održavati. Ishodi učenja ostaju nepromijenjeni.</w:t>
            </w:r>
          </w:p>
        </w:tc>
      </w:tr>
      <w:tr w:rsidR="00D0147D" w:rsidRPr="00D0399C" w14:paraId="5306AD8C" w14:textId="77777777" w:rsidTr="000F1A10">
        <w:trPr>
          <w:trHeight w:val="770"/>
        </w:trPr>
        <w:tc>
          <w:tcPr>
            <w:tcW w:w="261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82E33C5" w14:textId="77777777" w:rsidR="00D0147D" w:rsidRPr="00DF4CE5" w:rsidRDefault="00D0147D"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Literatura</w:t>
            </w:r>
          </w:p>
        </w:tc>
        <w:tc>
          <w:tcPr>
            <w:tcW w:w="6724"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2F84EA4E" w14:textId="77777777" w:rsidR="00D0147D" w:rsidRPr="00DF4CE5" w:rsidRDefault="00D0147D" w:rsidP="000F1A10">
            <w:pPr>
              <w:spacing w:after="0" w:line="240" w:lineRule="auto"/>
              <w:rPr>
                <w:rFonts w:ascii="Cambria" w:eastAsia="Times New Roman" w:hAnsi="Cambria" w:cs="Calibri"/>
                <w:lang w:val="hr-HR"/>
              </w:rPr>
            </w:pPr>
            <w:r w:rsidRPr="00DF4CE5">
              <w:rPr>
                <w:rFonts w:ascii="Cambria" w:eastAsia="Times New Roman" w:hAnsi="Cambria" w:cs="Calibri"/>
                <w:lang w:val="hr-HR"/>
              </w:rPr>
              <w:t xml:space="preserve">Obvezna: </w:t>
            </w:r>
          </w:p>
          <w:p w14:paraId="191D6EBB" w14:textId="77777777" w:rsidR="00D0147D" w:rsidRPr="00DF4CE5" w:rsidRDefault="00D0147D" w:rsidP="000F1A10">
            <w:pPr>
              <w:spacing w:after="0" w:line="240" w:lineRule="auto"/>
              <w:rPr>
                <w:rFonts w:ascii="Cambria" w:eastAsia="Times New Roman" w:hAnsi="Cambria" w:cs="Calibri"/>
                <w:color w:val="0000FF"/>
                <w:u w:val="single"/>
                <w:lang w:val="hr-HR"/>
              </w:rPr>
            </w:pPr>
            <w:r w:rsidRPr="00DF4CE5">
              <w:rPr>
                <w:rFonts w:ascii="Cambria" w:eastAsia="Times New Roman" w:hAnsi="Cambria" w:cs="Calibri"/>
                <w:lang w:val="hr-HR"/>
              </w:rPr>
              <w:t xml:space="preserve">1. </w:t>
            </w:r>
            <w:proofErr w:type="spellStart"/>
            <w:r w:rsidRPr="00DF4CE5">
              <w:rPr>
                <w:rFonts w:ascii="Cambria" w:eastAsia="Times New Roman" w:hAnsi="Cambria" w:cs="Calibri"/>
                <w:lang w:val="hr-HR"/>
              </w:rPr>
              <w:t>Rojko</w:t>
            </w:r>
            <w:proofErr w:type="spellEnd"/>
            <w:r w:rsidRPr="00DF4CE5">
              <w:rPr>
                <w:rFonts w:ascii="Cambria" w:eastAsia="Times New Roman" w:hAnsi="Cambria" w:cs="Calibri"/>
                <w:lang w:val="hr-HR"/>
              </w:rPr>
              <w:t xml:space="preserve">, P. (1996). Metodika nastave glazbe: teoretsko-tematski aspekti (Glazbena nastava u općeobrazovnoj školi). Osijek: Sveučilište Josipa Jurja Strossmayera, Pedagoški fakultet Osijek. (II. elektroničko izdanje. Zagreb, 2012.), str. 22 – 137. </w:t>
            </w:r>
            <w:r>
              <w:fldChar w:fldCharType="begin"/>
            </w:r>
            <w:r>
              <w:instrText>HYPERLINK "https://bib.irb.hr/datoteka/566005.ROJKO_Metodika_nastave_glazbe._Teorijsko_tematski_aspekti.pdf"</w:instrText>
            </w:r>
            <w:r>
              <w:fldChar w:fldCharType="separate"/>
            </w:r>
            <w:r w:rsidRPr="00DF4CE5">
              <w:rPr>
                <w:rFonts w:ascii="Cambria" w:eastAsia="Times New Roman" w:hAnsi="Cambria" w:cs="Calibri"/>
                <w:color w:val="0000FF"/>
                <w:u w:val="single"/>
                <w:lang w:val="hr-HR"/>
              </w:rPr>
              <w:t>https://bib.irb.hr/datoteka/566005.ROJKO_Metodika_nastave_glazbe._Teorijsko_tematski_aspekti.pdf</w:t>
            </w:r>
            <w:r>
              <w:fldChar w:fldCharType="end"/>
            </w:r>
          </w:p>
          <w:p w14:paraId="192DBED9" w14:textId="77777777" w:rsidR="00D0147D" w:rsidRPr="00DF4CE5" w:rsidRDefault="00D0147D" w:rsidP="000F1A10">
            <w:pPr>
              <w:spacing w:after="0" w:line="240" w:lineRule="auto"/>
              <w:rPr>
                <w:rFonts w:ascii="Cambria" w:eastAsia="Times New Roman" w:hAnsi="Cambria" w:cs="Calibri"/>
                <w:lang w:val="hr-HR"/>
              </w:rPr>
            </w:pPr>
            <w:r w:rsidRPr="00DF4CE5">
              <w:rPr>
                <w:rFonts w:ascii="Cambria" w:eastAsia="Times New Roman" w:hAnsi="Cambria" w:cs="Calibri"/>
                <w:lang w:val="hr-HR"/>
              </w:rPr>
              <w:t xml:space="preserve">2. </w:t>
            </w:r>
            <w:proofErr w:type="spellStart"/>
            <w:r w:rsidRPr="00DF4CE5">
              <w:rPr>
                <w:rFonts w:ascii="Cambria" w:eastAsia="Times New Roman" w:hAnsi="Cambria" w:cs="Calibri"/>
                <w:lang w:val="hr-HR"/>
              </w:rPr>
              <w:t>Michels</w:t>
            </w:r>
            <w:proofErr w:type="spellEnd"/>
            <w:r w:rsidRPr="00DF4CE5">
              <w:rPr>
                <w:rFonts w:ascii="Cambria" w:eastAsia="Times New Roman" w:hAnsi="Cambria" w:cs="Calibri"/>
                <w:lang w:val="hr-HR"/>
              </w:rPr>
              <w:t>, U. (2004). Atlas glazbe. Zagreb: Golden marketing-Tehnička knjiga, sv. 1., str. 24-109.</w:t>
            </w:r>
          </w:p>
          <w:p w14:paraId="0AFF462E" w14:textId="77777777" w:rsidR="00D0147D" w:rsidRPr="00DF4CE5" w:rsidRDefault="00D0147D" w:rsidP="000F1A10">
            <w:pPr>
              <w:spacing w:after="0" w:line="240" w:lineRule="auto"/>
              <w:rPr>
                <w:rFonts w:ascii="Cambria" w:eastAsia="Times New Roman" w:hAnsi="Cambria" w:cs="Calibri"/>
                <w:lang w:val="hr-HR"/>
              </w:rPr>
            </w:pPr>
            <w:r w:rsidRPr="00DF4CE5">
              <w:rPr>
                <w:rFonts w:ascii="Cambria" w:eastAsia="Times New Roman" w:hAnsi="Cambria" w:cs="Calibri"/>
                <w:lang w:val="hr-HR"/>
              </w:rPr>
              <w:t>3. Mihelić, I. (2009). Hrvatska folklorna glazba. Zagreb: Profil, str. 260.</w:t>
            </w:r>
          </w:p>
          <w:p w14:paraId="7E3400CA" w14:textId="77777777" w:rsidR="00D0147D" w:rsidRPr="00DF4CE5" w:rsidRDefault="00D0147D" w:rsidP="000F1A10">
            <w:pPr>
              <w:spacing w:after="0" w:line="240" w:lineRule="auto"/>
              <w:rPr>
                <w:rFonts w:ascii="Cambria" w:eastAsia="Times New Roman" w:hAnsi="Cambria" w:cs="Calibri"/>
                <w:lang w:val="hr-HR"/>
              </w:rPr>
            </w:pPr>
            <w:r w:rsidRPr="00DF4CE5">
              <w:rPr>
                <w:rFonts w:ascii="Cambria" w:eastAsia="Times New Roman" w:hAnsi="Cambria" w:cs="Calibri"/>
                <w:lang w:val="hr-HR"/>
              </w:rPr>
              <w:t>Izborna:</w:t>
            </w:r>
          </w:p>
          <w:p w14:paraId="2C0F3A6C" w14:textId="77777777" w:rsidR="00D0147D" w:rsidRPr="00DF4CE5" w:rsidRDefault="00D0147D" w:rsidP="000F1A10">
            <w:pPr>
              <w:spacing w:after="0" w:line="240" w:lineRule="auto"/>
              <w:rPr>
                <w:rFonts w:ascii="Cambria" w:eastAsia="Times New Roman" w:hAnsi="Cambria" w:cs="Calibri"/>
                <w:lang w:val="hr-HR"/>
              </w:rPr>
            </w:pPr>
            <w:r w:rsidRPr="00DF4CE5">
              <w:rPr>
                <w:rFonts w:ascii="Cambria" w:eastAsia="Times New Roman" w:hAnsi="Cambria" w:cs="Calibri"/>
                <w:lang w:val="hr-HR"/>
              </w:rPr>
              <w:t xml:space="preserve">1. Dobrota, S. (2012). Uvod u suvremenu glazbenu pedagogiju. Split: Filozofski fakultet u Splitu – Odsjek za učiteljski studij, </w:t>
            </w:r>
          </w:p>
          <w:p w14:paraId="5F411095" w14:textId="77777777" w:rsidR="00D0147D" w:rsidRPr="00DF4CE5" w:rsidRDefault="00D0147D" w:rsidP="000F1A10">
            <w:pPr>
              <w:spacing w:after="0" w:line="240" w:lineRule="auto"/>
              <w:rPr>
                <w:rFonts w:ascii="Cambria" w:eastAsia="Times New Roman" w:hAnsi="Cambria" w:cs="Calibri"/>
                <w:lang w:val="hr-HR"/>
              </w:rPr>
            </w:pPr>
            <w:r w:rsidRPr="00DF4CE5">
              <w:rPr>
                <w:rFonts w:ascii="Cambria" w:eastAsia="Times New Roman" w:hAnsi="Cambria" w:cs="Calibri"/>
                <w:lang w:val="hr-HR"/>
              </w:rPr>
              <w:t xml:space="preserve">2. </w:t>
            </w:r>
            <w:proofErr w:type="spellStart"/>
            <w:r w:rsidRPr="00DF4CE5">
              <w:rPr>
                <w:rFonts w:ascii="Cambria" w:eastAsia="Times New Roman" w:hAnsi="Cambria" w:cs="Calibri"/>
                <w:lang w:val="hr-HR"/>
              </w:rPr>
              <w:t>Njirić</w:t>
            </w:r>
            <w:proofErr w:type="spellEnd"/>
            <w:r w:rsidRPr="00DF4CE5">
              <w:rPr>
                <w:rFonts w:ascii="Cambria" w:eastAsia="Times New Roman" w:hAnsi="Cambria" w:cs="Calibri"/>
                <w:lang w:val="hr-HR"/>
              </w:rPr>
              <w:t xml:space="preserve">, N. (1992). </w:t>
            </w:r>
            <w:proofErr w:type="spellStart"/>
            <w:r w:rsidRPr="00DF4CE5">
              <w:rPr>
                <w:rFonts w:ascii="Cambria" w:eastAsia="Times New Roman" w:hAnsi="Cambria" w:cs="Calibri"/>
                <w:lang w:val="hr-HR"/>
              </w:rPr>
              <w:t>Pjevanka</w:t>
            </w:r>
            <w:proofErr w:type="spellEnd"/>
            <w:r w:rsidRPr="00DF4CE5">
              <w:rPr>
                <w:rFonts w:ascii="Cambria" w:eastAsia="Times New Roman" w:hAnsi="Cambria" w:cs="Calibri"/>
                <w:lang w:val="hr-HR"/>
              </w:rPr>
              <w:t>. Zagreb: Školska knjiga.</w:t>
            </w:r>
          </w:p>
          <w:p w14:paraId="5E260BAE" w14:textId="77777777" w:rsidR="00D0147D" w:rsidRPr="00DF4CE5" w:rsidRDefault="00D0147D" w:rsidP="000F1A10">
            <w:pPr>
              <w:spacing w:after="0" w:line="240" w:lineRule="auto"/>
              <w:rPr>
                <w:rFonts w:ascii="Cambria" w:eastAsia="Times New Roman" w:hAnsi="Cambria" w:cs="Calibri"/>
                <w:lang w:val="hr-HR"/>
              </w:rPr>
            </w:pPr>
            <w:r w:rsidRPr="00DF4CE5">
              <w:rPr>
                <w:rFonts w:ascii="Cambria" w:eastAsia="Times New Roman" w:hAnsi="Cambria" w:cs="Calibri"/>
                <w:lang w:val="hr-HR"/>
              </w:rPr>
              <w:t xml:space="preserve">3. </w:t>
            </w:r>
            <w:proofErr w:type="spellStart"/>
            <w:r w:rsidRPr="00DF4CE5">
              <w:rPr>
                <w:rFonts w:ascii="Cambria" w:eastAsia="Times New Roman" w:hAnsi="Cambria" w:cs="Calibri"/>
                <w:lang w:val="hr-HR"/>
              </w:rPr>
              <w:t>Lebič</w:t>
            </w:r>
            <w:proofErr w:type="spellEnd"/>
            <w:r w:rsidRPr="00DF4CE5">
              <w:rPr>
                <w:rFonts w:ascii="Cambria" w:eastAsia="Times New Roman" w:hAnsi="Cambria" w:cs="Calibri"/>
                <w:lang w:val="hr-HR"/>
              </w:rPr>
              <w:t xml:space="preserve">, L., </w:t>
            </w:r>
            <w:proofErr w:type="spellStart"/>
            <w:r w:rsidRPr="00DF4CE5">
              <w:rPr>
                <w:rFonts w:ascii="Cambria" w:eastAsia="Times New Roman" w:hAnsi="Cambria" w:cs="Calibri"/>
                <w:lang w:val="hr-HR"/>
              </w:rPr>
              <w:t>Loparnik</w:t>
            </w:r>
            <w:proofErr w:type="spellEnd"/>
            <w:r w:rsidRPr="00DF4CE5">
              <w:rPr>
                <w:rFonts w:ascii="Cambria" w:eastAsia="Times New Roman" w:hAnsi="Cambria" w:cs="Calibri"/>
                <w:lang w:val="hr-HR"/>
              </w:rPr>
              <w:t xml:space="preserve">, B. (1992). Osnove </w:t>
            </w:r>
            <w:proofErr w:type="spellStart"/>
            <w:r w:rsidRPr="00DF4CE5">
              <w:rPr>
                <w:rFonts w:ascii="Cambria" w:eastAsia="Times New Roman" w:hAnsi="Cambria" w:cs="Calibri"/>
                <w:lang w:val="hr-HR"/>
              </w:rPr>
              <w:t>glasbene</w:t>
            </w:r>
            <w:proofErr w:type="spellEnd"/>
            <w:r w:rsidRPr="00DF4CE5">
              <w:rPr>
                <w:rFonts w:ascii="Cambria" w:eastAsia="Times New Roman" w:hAnsi="Cambria" w:cs="Calibri"/>
                <w:lang w:val="hr-HR"/>
              </w:rPr>
              <w:t xml:space="preserve"> </w:t>
            </w:r>
            <w:proofErr w:type="spellStart"/>
            <w:r w:rsidRPr="00DF4CE5">
              <w:rPr>
                <w:rFonts w:ascii="Cambria" w:eastAsia="Times New Roman" w:hAnsi="Cambria" w:cs="Calibri"/>
                <w:lang w:val="hr-HR"/>
              </w:rPr>
              <w:t>umetnosti</w:t>
            </w:r>
            <w:proofErr w:type="spellEnd"/>
            <w:r w:rsidRPr="00DF4CE5">
              <w:rPr>
                <w:rFonts w:ascii="Cambria" w:eastAsia="Times New Roman" w:hAnsi="Cambria" w:cs="Calibri"/>
                <w:lang w:val="hr-HR"/>
              </w:rPr>
              <w:t xml:space="preserve">. Ljubljana: </w:t>
            </w:r>
            <w:proofErr w:type="spellStart"/>
            <w:r w:rsidRPr="00DF4CE5">
              <w:rPr>
                <w:rFonts w:ascii="Cambria" w:eastAsia="Times New Roman" w:hAnsi="Cambria" w:cs="Calibri"/>
                <w:lang w:val="hr-HR"/>
              </w:rPr>
              <w:t>Mladinska</w:t>
            </w:r>
            <w:proofErr w:type="spellEnd"/>
            <w:r w:rsidRPr="00DF4CE5">
              <w:rPr>
                <w:rFonts w:ascii="Cambria" w:eastAsia="Times New Roman" w:hAnsi="Cambria" w:cs="Calibri"/>
                <w:lang w:val="hr-HR"/>
              </w:rPr>
              <w:t xml:space="preserve"> knjiga.</w:t>
            </w:r>
          </w:p>
          <w:p w14:paraId="749AED19" w14:textId="77777777" w:rsidR="00D0147D" w:rsidRPr="00DF4CE5" w:rsidRDefault="00D0147D" w:rsidP="000F1A10">
            <w:pPr>
              <w:spacing w:after="0" w:line="240" w:lineRule="auto"/>
              <w:rPr>
                <w:rFonts w:ascii="Cambria" w:eastAsia="Times New Roman" w:hAnsi="Cambria" w:cs="Calibri"/>
                <w:lang w:val="hr-HR"/>
              </w:rPr>
            </w:pPr>
            <w:r w:rsidRPr="00DF4CE5">
              <w:rPr>
                <w:rFonts w:ascii="Cambria" w:eastAsia="Times New Roman" w:hAnsi="Cambria" w:cs="Calibri"/>
                <w:lang w:val="hr-HR"/>
              </w:rPr>
              <w:t xml:space="preserve">4. </w:t>
            </w:r>
            <w:proofErr w:type="spellStart"/>
            <w:r w:rsidRPr="00DF4CE5">
              <w:rPr>
                <w:rFonts w:ascii="Cambria" w:eastAsia="Times New Roman" w:hAnsi="Cambria" w:cs="Calibri"/>
                <w:lang w:val="hr-HR"/>
              </w:rPr>
              <w:t>Pace</w:t>
            </w:r>
            <w:proofErr w:type="spellEnd"/>
            <w:r w:rsidRPr="00DF4CE5">
              <w:rPr>
                <w:rFonts w:ascii="Cambria" w:eastAsia="Times New Roman" w:hAnsi="Cambria" w:cs="Calibri"/>
                <w:lang w:val="hr-HR"/>
              </w:rPr>
              <w:t xml:space="preserve">, A. (2012). </w:t>
            </w:r>
            <w:proofErr w:type="spellStart"/>
            <w:r w:rsidRPr="00DF4CE5">
              <w:rPr>
                <w:rFonts w:ascii="Cambria" w:eastAsia="Times New Roman" w:hAnsi="Cambria" w:cs="Calibri"/>
                <w:lang w:val="hr-HR"/>
              </w:rPr>
              <w:t>Musica</w:t>
            </w:r>
            <w:proofErr w:type="spellEnd"/>
            <w:r w:rsidRPr="00DF4CE5">
              <w:rPr>
                <w:rFonts w:ascii="Cambria" w:eastAsia="Times New Roman" w:hAnsi="Cambria" w:cs="Calibri"/>
                <w:lang w:val="hr-HR"/>
              </w:rPr>
              <w:t xml:space="preserve"> e </w:t>
            </w:r>
            <w:proofErr w:type="spellStart"/>
            <w:r w:rsidRPr="00DF4CE5">
              <w:rPr>
                <w:rFonts w:ascii="Cambria" w:eastAsia="Times New Roman" w:hAnsi="Cambria" w:cs="Calibri"/>
                <w:lang w:val="hr-HR"/>
              </w:rPr>
              <w:t>formazione</w:t>
            </w:r>
            <w:proofErr w:type="spellEnd"/>
            <w:r w:rsidRPr="00DF4CE5">
              <w:rPr>
                <w:rFonts w:ascii="Cambria" w:eastAsia="Times New Roman" w:hAnsi="Cambria" w:cs="Calibri"/>
                <w:lang w:val="hr-HR"/>
              </w:rPr>
              <w:t xml:space="preserve"> </w:t>
            </w:r>
            <w:proofErr w:type="spellStart"/>
            <w:r w:rsidRPr="00DF4CE5">
              <w:rPr>
                <w:rFonts w:ascii="Cambria" w:eastAsia="Times New Roman" w:hAnsi="Cambria" w:cs="Calibri"/>
                <w:lang w:val="hr-HR"/>
              </w:rPr>
              <w:t>primaria</w:t>
            </w:r>
            <w:proofErr w:type="spellEnd"/>
            <w:r w:rsidRPr="00DF4CE5">
              <w:rPr>
                <w:rFonts w:ascii="Cambria" w:eastAsia="Times New Roman" w:hAnsi="Cambria" w:cs="Calibri"/>
                <w:lang w:val="hr-HR"/>
              </w:rPr>
              <w:t xml:space="preserve">. Padova: libreriauniversitaria.it </w:t>
            </w:r>
            <w:proofErr w:type="spellStart"/>
            <w:r w:rsidRPr="00DF4CE5">
              <w:rPr>
                <w:rFonts w:ascii="Cambria" w:eastAsia="Times New Roman" w:hAnsi="Cambria" w:cs="Calibri"/>
                <w:lang w:val="hr-HR"/>
              </w:rPr>
              <w:t>edizioni</w:t>
            </w:r>
            <w:proofErr w:type="spellEnd"/>
            <w:r w:rsidRPr="00DF4CE5">
              <w:rPr>
                <w:rFonts w:ascii="Cambria" w:eastAsia="Times New Roman" w:hAnsi="Cambria" w:cs="Calibri"/>
                <w:lang w:val="hr-HR"/>
              </w:rPr>
              <w:t>.</w:t>
            </w:r>
          </w:p>
          <w:p w14:paraId="7686BE95" w14:textId="77777777" w:rsidR="00D0147D" w:rsidRPr="00DF4CE5" w:rsidRDefault="00D0147D" w:rsidP="000F1A10">
            <w:pPr>
              <w:spacing w:after="0" w:line="240" w:lineRule="auto"/>
              <w:rPr>
                <w:rFonts w:ascii="Cambria" w:eastAsia="Times New Roman" w:hAnsi="Cambria" w:cs="Calibri"/>
                <w:lang w:val="hr-HR"/>
              </w:rPr>
            </w:pPr>
            <w:r w:rsidRPr="00DF4CE5">
              <w:rPr>
                <w:rFonts w:ascii="Cambria" w:eastAsia="Times New Roman" w:hAnsi="Cambria" w:cs="Calibri"/>
                <w:lang w:val="hr-HR"/>
              </w:rPr>
              <w:t xml:space="preserve">5. </w:t>
            </w:r>
            <w:proofErr w:type="spellStart"/>
            <w:r w:rsidRPr="00DF4CE5">
              <w:rPr>
                <w:rFonts w:ascii="Cambria" w:eastAsia="Times New Roman" w:hAnsi="Cambria" w:cs="Calibri"/>
                <w:lang w:val="hr-HR"/>
              </w:rPr>
              <w:t>Pesek</w:t>
            </w:r>
            <w:proofErr w:type="spellEnd"/>
            <w:r w:rsidRPr="00DF4CE5">
              <w:rPr>
                <w:rFonts w:ascii="Cambria" w:eastAsia="Times New Roman" w:hAnsi="Cambria" w:cs="Calibri"/>
                <w:lang w:val="hr-HR"/>
              </w:rPr>
              <w:t xml:space="preserve">, A. (1997). </w:t>
            </w:r>
            <w:proofErr w:type="spellStart"/>
            <w:r w:rsidRPr="00DF4CE5">
              <w:rPr>
                <w:rFonts w:ascii="Cambria" w:eastAsia="Times New Roman" w:hAnsi="Cambria" w:cs="Calibri"/>
                <w:lang w:val="hr-HR"/>
              </w:rPr>
              <w:t>Otroci</w:t>
            </w:r>
            <w:proofErr w:type="spellEnd"/>
            <w:r w:rsidRPr="00DF4CE5">
              <w:rPr>
                <w:rFonts w:ascii="Cambria" w:eastAsia="Times New Roman" w:hAnsi="Cambria" w:cs="Calibri"/>
                <w:lang w:val="hr-HR"/>
              </w:rPr>
              <w:t xml:space="preserve"> v svetu </w:t>
            </w:r>
            <w:proofErr w:type="spellStart"/>
            <w:r w:rsidRPr="00DF4CE5">
              <w:rPr>
                <w:rFonts w:ascii="Cambria" w:eastAsia="Times New Roman" w:hAnsi="Cambria" w:cs="Calibri"/>
                <w:lang w:val="hr-HR"/>
              </w:rPr>
              <w:t>glasbe</w:t>
            </w:r>
            <w:proofErr w:type="spellEnd"/>
            <w:r w:rsidRPr="00DF4CE5">
              <w:rPr>
                <w:rFonts w:ascii="Cambria" w:eastAsia="Times New Roman" w:hAnsi="Cambria" w:cs="Calibri"/>
                <w:lang w:val="hr-HR"/>
              </w:rPr>
              <w:t xml:space="preserve">. Ljubljana: </w:t>
            </w:r>
            <w:proofErr w:type="spellStart"/>
            <w:r w:rsidRPr="00DF4CE5">
              <w:rPr>
                <w:rFonts w:ascii="Cambria" w:eastAsia="Times New Roman" w:hAnsi="Cambria" w:cs="Calibri"/>
                <w:lang w:val="hr-HR"/>
              </w:rPr>
              <w:t>Mladinska</w:t>
            </w:r>
            <w:proofErr w:type="spellEnd"/>
            <w:r w:rsidRPr="00DF4CE5">
              <w:rPr>
                <w:rFonts w:ascii="Cambria" w:eastAsia="Times New Roman" w:hAnsi="Cambria" w:cs="Calibri"/>
                <w:lang w:val="hr-HR"/>
              </w:rPr>
              <w:t xml:space="preserve"> knjiga.</w:t>
            </w:r>
          </w:p>
          <w:p w14:paraId="2A4A468D" w14:textId="77777777" w:rsidR="00D0147D" w:rsidRPr="00DF4CE5" w:rsidRDefault="00D0147D" w:rsidP="000F1A10">
            <w:pPr>
              <w:spacing w:after="0" w:line="240" w:lineRule="auto"/>
              <w:rPr>
                <w:rFonts w:ascii="Cambria" w:eastAsia="Times New Roman" w:hAnsi="Cambria" w:cs="Calibri"/>
                <w:lang w:val="hr-HR"/>
              </w:rPr>
            </w:pPr>
            <w:r w:rsidRPr="00DF4CE5">
              <w:rPr>
                <w:rFonts w:ascii="Cambria" w:eastAsia="Times New Roman" w:hAnsi="Cambria" w:cs="Calibri"/>
                <w:lang w:val="hr-HR"/>
              </w:rPr>
              <w:t xml:space="preserve">6. </w:t>
            </w:r>
            <w:proofErr w:type="spellStart"/>
            <w:r w:rsidRPr="00DF4CE5">
              <w:rPr>
                <w:rFonts w:ascii="Cambria" w:eastAsia="Times New Roman" w:hAnsi="Cambria" w:cs="Calibri"/>
                <w:lang w:val="hr-HR"/>
              </w:rPr>
              <w:t>Vidulin</w:t>
            </w:r>
            <w:proofErr w:type="spellEnd"/>
            <w:r w:rsidRPr="00DF4CE5">
              <w:rPr>
                <w:rFonts w:ascii="Cambria" w:eastAsia="Times New Roman" w:hAnsi="Cambria" w:cs="Calibri"/>
                <w:lang w:val="hr-HR"/>
              </w:rPr>
              <w:t>-Orbanić, S. (</w:t>
            </w:r>
            <w:proofErr w:type="spellStart"/>
            <w:r w:rsidRPr="00DF4CE5">
              <w:rPr>
                <w:rFonts w:ascii="Cambria" w:eastAsia="Times New Roman" w:hAnsi="Cambria" w:cs="Calibri"/>
                <w:lang w:val="hr-HR"/>
              </w:rPr>
              <w:t>ur</w:t>
            </w:r>
            <w:proofErr w:type="spellEnd"/>
            <w:r w:rsidRPr="00DF4CE5">
              <w:rPr>
                <w:rFonts w:ascii="Cambria" w:eastAsia="Times New Roman" w:hAnsi="Cambria" w:cs="Calibri"/>
                <w:lang w:val="hr-HR"/>
              </w:rPr>
              <w:t>.) (2013). Zbornik radova s Trećeg međunarodnog simpozija glazbenih pedagoga. Glazbena pedagogija u svjetlu sadašnjih i budućih promjena 3. Pula: Sveučilište Jurja Dobrile u Puli.</w:t>
            </w:r>
          </w:p>
          <w:p w14:paraId="7E8162C4" w14:textId="77777777" w:rsidR="00D0147D" w:rsidRPr="00DF4CE5" w:rsidRDefault="00D0147D" w:rsidP="000F1A10">
            <w:pPr>
              <w:spacing w:after="0" w:line="240" w:lineRule="auto"/>
              <w:rPr>
                <w:rFonts w:ascii="Cambria" w:eastAsia="Times New Roman" w:hAnsi="Cambria" w:cs="Calibri"/>
                <w:lang w:val="hr-HR"/>
              </w:rPr>
            </w:pPr>
            <w:r w:rsidRPr="00DF4CE5">
              <w:rPr>
                <w:rFonts w:ascii="Cambria" w:eastAsia="Times New Roman" w:hAnsi="Cambria" w:cs="Calibri"/>
                <w:lang w:val="hr-HR"/>
              </w:rPr>
              <w:t xml:space="preserve">7. </w:t>
            </w:r>
            <w:proofErr w:type="spellStart"/>
            <w:r w:rsidRPr="00DF4CE5">
              <w:rPr>
                <w:rFonts w:ascii="Cambria" w:eastAsia="Times New Roman" w:hAnsi="Cambria" w:cs="Calibri"/>
                <w:lang w:val="hr-HR"/>
              </w:rPr>
              <w:t>Vidulin</w:t>
            </w:r>
            <w:proofErr w:type="spellEnd"/>
            <w:r w:rsidRPr="00DF4CE5">
              <w:rPr>
                <w:rFonts w:ascii="Cambria" w:eastAsia="Times New Roman" w:hAnsi="Cambria" w:cs="Calibri"/>
                <w:lang w:val="hr-HR"/>
              </w:rPr>
              <w:t>-Orbanić, S. (</w:t>
            </w:r>
            <w:proofErr w:type="spellStart"/>
            <w:r w:rsidRPr="00DF4CE5">
              <w:rPr>
                <w:rFonts w:ascii="Cambria" w:eastAsia="Times New Roman" w:hAnsi="Cambria" w:cs="Calibri"/>
                <w:lang w:val="hr-HR"/>
              </w:rPr>
              <w:t>ur</w:t>
            </w:r>
            <w:proofErr w:type="spellEnd"/>
            <w:r w:rsidRPr="00DF4CE5">
              <w:rPr>
                <w:rFonts w:ascii="Cambria" w:eastAsia="Times New Roman" w:hAnsi="Cambria" w:cs="Calibri"/>
                <w:lang w:val="hr-HR"/>
              </w:rPr>
              <w:t>.) (2011). Monografija radova s Drugog međunarodnog simpozija glazbenih pedagoga. Glazbena nastava i nastavna tehnologija: mogućnosti i ograničenja. Pula: Sveučilište Jurja Dobrile u Puli.</w:t>
            </w:r>
          </w:p>
          <w:p w14:paraId="44B6E759" w14:textId="77777777" w:rsidR="00D0147D" w:rsidRPr="00DF4CE5" w:rsidRDefault="00D0147D" w:rsidP="000F1A10">
            <w:pPr>
              <w:spacing w:after="0" w:line="240" w:lineRule="auto"/>
              <w:rPr>
                <w:rFonts w:ascii="Cambria" w:eastAsia="Times New Roman" w:hAnsi="Cambria" w:cs="Calibri"/>
                <w:lang w:val="hr-HR"/>
              </w:rPr>
            </w:pPr>
            <w:r w:rsidRPr="00DF4CE5">
              <w:rPr>
                <w:rFonts w:ascii="Cambria" w:eastAsia="Times New Roman" w:hAnsi="Cambria" w:cs="Calibri"/>
                <w:lang w:val="hr-HR"/>
              </w:rPr>
              <w:t xml:space="preserve">8. </w:t>
            </w:r>
            <w:proofErr w:type="spellStart"/>
            <w:r w:rsidRPr="00DF4CE5">
              <w:rPr>
                <w:rFonts w:ascii="Cambria" w:eastAsia="Times New Roman" w:hAnsi="Cambria" w:cs="Calibri"/>
                <w:lang w:val="hr-HR"/>
              </w:rPr>
              <w:t>Vidulin</w:t>
            </w:r>
            <w:proofErr w:type="spellEnd"/>
            <w:r w:rsidRPr="00DF4CE5">
              <w:rPr>
                <w:rFonts w:ascii="Cambria" w:eastAsia="Times New Roman" w:hAnsi="Cambria" w:cs="Calibri"/>
                <w:lang w:val="hr-HR"/>
              </w:rPr>
              <w:t>-Orbanić, S. (</w:t>
            </w:r>
            <w:proofErr w:type="spellStart"/>
            <w:r w:rsidRPr="00DF4CE5">
              <w:rPr>
                <w:rFonts w:ascii="Cambria" w:eastAsia="Times New Roman" w:hAnsi="Cambria" w:cs="Calibri"/>
                <w:lang w:val="hr-HR"/>
              </w:rPr>
              <w:t>ur</w:t>
            </w:r>
            <w:proofErr w:type="spellEnd"/>
            <w:r w:rsidRPr="00DF4CE5">
              <w:rPr>
                <w:rFonts w:ascii="Cambria" w:eastAsia="Times New Roman" w:hAnsi="Cambria" w:cs="Calibri"/>
                <w:lang w:val="hr-HR"/>
              </w:rPr>
              <w:t>.) (2009). Zbornik radova s Prvog međunarodnog simpozija glazbenih pedagoga. Glazbena pedagogija u svjetlu sadašnjih i budućih promjena. Pula: Sveučilište Jurja Dobrile u Puli.</w:t>
            </w:r>
          </w:p>
          <w:p w14:paraId="37D61BC5" w14:textId="77777777" w:rsidR="00D0147D" w:rsidRPr="00DF4CE5" w:rsidRDefault="00D0147D" w:rsidP="000F1A10">
            <w:pPr>
              <w:spacing w:after="0" w:line="240" w:lineRule="auto"/>
              <w:rPr>
                <w:rFonts w:ascii="Cambria" w:eastAsia="Times New Roman" w:hAnsi="Cambria" w:cs="Calibri"/>
                <w:lang w:val="hr-HR"/>
              </w:rPr>
            </w:pPr>
            <w:r w:rsidRPr="00DF4CE5">
              <w:rPr>
                <w:rFonts w:ascii="Cambria" w:eastAsia="Times New Roman" w:hAnsi="Cambria" w:cs="Calibri"/>
                <w:lang w:val="hr-HR"/>
              </w:rPr>
              <w:t>Priručna: razne pjesmarice.</w:t>
            </w:r>
          </w:p>
          <w:p w14:paraId="2BF437A0" w14:textId="77777777" w:rsidR="00D0147D" w:rsidRPr="00DF4CE5" w:rsidRDefault="00D0147D" w:rsidP="000F1A10">
            <w:pPr>
              <w:spacing w:after="0" w:line="240" w:lineRule="auto"/>
              <w:rPr>
                <w:rFonts w:ascii="Cambria" w:eastAsia="Times New Roman" w:hAnsi="Cambria" w:cs="Calibri"/>
                <w:lang w:val="hr-HR"/>
              </w:rPr>
            </w:pPr>
            <w:r w:rsidRPr="00DF4CE5">
              <w:rPr>
                <w:rFonts w:ascii="Cambria" w:eastAsia="Times New Roman" w:hAnsi="Cambria" w:cs="Calibri"/>
                <w:lang w:val="hr-HR"/>
              </w:rPr>
              <w:lastRenderedPageBreak/>
              <w:t>Kurikulum nastavnog predmeta Glazbena kultura za Osnovne škole i Glazbena umjetnost za Gimnazije (</w:t>
            </w:r>
            <w:hyperlink r:id="rId113" w:history="1">
              <w:r w:rsidRPr="00DF4CE5">
                <w:rPr>
                  <w:rFonts w:ascii="Cambria" w:eastAsia="Times New Roman" w:hAnsi="Cambria" w:cs="Times New Roman"/>
                  <w:lang w:val="hr-HR"/>
                </w:rPr>
                <w:t>https://narodne-novine.nn.hr/clanci/sluzbeni/2019_01_7_151.html</w:t>
              </w:r>
            </w:hyperlink>
            <w:r w:rsidRPr="00DF4CE5">
              <w:rPr>
                <w:rFonts w:ascii="Cambria" w:eastAsia="Times New Roman" w:hAnsi="Cambria" w:cs="Calibri"/>
                <w:lang w:val="hr-HR"/>
              </w:rPr>
              <w:t>)</w:t>
            </w:r>
          </w:p>
        </w:tc>
      </w:tr>
      <w:bookmarkEnd w:id="105"/>
    </w:tbl>
    <w:p w14:paraId="6B5043F0" w14:textId="77777777" w:rsidR="00FC4004" w:rsidRDefault="00FC4004" w:rsidP="00830554">
      <w:pPr>
        <w:rPr>
          <w:rFonts w:ascii="Cambria" w:hAnsi="Cambria"/>
          <w:lang w:val="hr-HR"/>
        </w:rPr>
      </w:pPr>
    </w:p>
    <w:p w14:paraId="3F72F671" w14:textId="77777777" w:rsidR="00FC4004" w:rsidRDefault="00FC4004">
      <w:pPr>
        <w:rPr>
          <w:rFonts w:ascii="Cambria" w:hAnsi="Cambria"/>
          <w:lang w:val="hr-HR"/>
        </w:rPr>
      </w:pPr>
      <w:r>
        <w:rPr>
          <w:rFonts w:ascii="Cambria" w:hAnsi="Cambria"/>
          <w:lang w:val="hr-HR"/>
        </w:rPr>
        <w:br w:type="page"/>
      </w:r>
    </w:p>
    <w:tbl>
      <w:tblPr>
        <w:tblW w:w="5018" w:type="pct"/>
        <w:tblLayout w:type="fixed"/>
        <w:tblCellMar>
          <w:left w:w="0" w:type="dxa"/>
          <w:right w:w="0" w:type="dxa"/>
        </w:tblCellMar>
        <w:tblLook w:val="0600" w:firstRow="0" w:lastRow="0" w:firstColumn="0" w:lastColumn="0" w:noHBand="1" w:noVBand="1"/>
      </w:tblPr>
      <w:tblGrid>
        <w:gridCol w:w="2824"/>
        <w:gridCol w:w="2678"/>
        <w:gridCol w:w="105"/>
        <w:gridCol w:w="1171"/>
        <w:gridCol w:w="298"/>
        <w:gridCol w:w="472"/>
        <w:gridCol w:w="1089"/>
        <w:gridCol w:w="1419"/>
      </w:tblGrid>
      <w:tr w:rsidR="00FC4004" w:rsidRPr="000E50AE" w14:paraId="1841DC1E" w14:textId="77777777" w:rsidTr="00050905">
        <w:trPr>
          <w:trHeight w:val="151"/>
        </w:trPr>
        <w:tc>
          <w:tcPr>
            <w:tcW w:w="10056"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86510CA" w14:textId="77777777" w:rsidR="00FC4004" w:rsidRPr="000E50AE" w:rsidRDefault="00FC4004" w:rsidP="000F1A10">
            <w:pPr>
              <w:spacing w:after="0" w:line="240" w:lineRule="auto"/>
              <w:jc w:val="right"/>
              <w:rPr>
                <w:rFonts w:ascii="Cambria" w:eastAsia="Times New Roman" w:hAnsi="Cambria" w:cs="Calibri"/>
                <w:b/>
              </w:rPr>
            </w:pPr>
            <w:r w:rsidRPr="000E50AE">
              <w:rPr>
                <w:rFonts w:ascii="Cambria" w:eastAsia="Times New Roman" w:hAnsi="Cambria" w:cs="Calibri"/>
                <w:b/>
              </w:rPr>
              <w:lastRenderedPageBreak/>
              <w:t>IZVEDBENI PLAN NASTAVE KOLEGIJA</w:t>
            </w:r>
          </w:p>
        </w:tc>
      </w:tr>
      <w:tr w:rsidR="00FC4004" w:rsidRPr="000E50AE" w14:paraId="36D20424" w14:textId="77777777" w:rsidTr="00050905">
        <w:trPr>
          <w:trHeight w:val="151"/>
        </w:trPr>
        <w:tc>
          <w:tcPr>
            <w:tcW w:w="282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1A6305C" w14:textId="77777777" w:rsidR="00FC4004" w:rsidRPr="000E50AE" w:rsidRDefault="00FC4004" w:rsidP="000F1A10">
            <w:pPr>
              <w:spacing w:after="0" w:line="240" w:lineRule="auto"/>
              <w:jc w:val="both"/>
              <w:rPr>
                <w:rFonts w:ascii="Cambria" w:eastAsia="Times New Roman" w:hAnsi="Cambria" w:cs="Calibri"/>
              </w:rPr>
            </w:pPr>
            <w:proofErr w:type="spellStart"/>
            <w:r w:rsidRPr="000E50AE">
              <w:rPr>
                <w:rFonts w:ascii="Cambria" w:eastAsia="Times New Roman" w:hAnsi="Cambria" w:cs="Calibri"/>
              </w:rPr>
              <w:t>Kod</w:t>
            </w:r>
            <w:proofErr w:type="spellEnd"/>
            <w:r w:rsidRPr="000E50AE">
              <w:rPr>
                <w:rFonts w:ascii="Cambria" w:eastAsia="Times New Roman" w:hAnsi="Cambria" w:cs="Calibri"/>
              </w:rPr>
              <w:t xml:space="preserve"> </w:t>
            </w:r>
            <w:proofErr w:type="spellStart"/>
            <w:r w:rsidRPr="000E50AE">
              <w:rPr>
                <w:rFonts w:ascii="Cambria" w:eastAsia="Times New Roman" w:hAnsi="Cambria" w:cs="Calibri"/>
              </w:rPr>
              <w:t>i</w:t>
            </w:r>
            <w:proofErr w:type="spellEnd"/>
            <w:r w:rsidRPr="000E50AE">
              <w:rPr>
                <w:rFonts w:ascii="Cambria" w:eastAsia="Times New Roman" w:hAnsi="Cambria" w:cs="Calibri"/>
              </w:rPr>
              <w:t xml:space="preserve"> </w:t>
            </w:r>
            <w:proofErr w:type="spellStart"/>
            <w:r w:rsidRPr="000E50AE">
              <w:rPr>
                <w:rFonts w:ascii="Cambria" w:eastAsia="Times New Roman" w:hAnsi="Cambria" w:cs="Calibri"/>
              </w:rPr>
              <w:t>naziv</w:t>
            </w:r>
            <w:proofErr w:type="spellEnd"/>
            <w:r w:rsidRPr="000E50AE">
              <w:rPr>
                <w:rFonts w:ascii="Cambria" w:eastAsia="Times New Roman" w:hAnsi="Cambria" w:cs="Calibri"/>
              </w:rPr>
              <w:t xml:space="preserve"> </w:t>
            </w:r>
            <w:proofErr w:type="spellStart"/>
            <w:r w:rsidRPr="000E50AE">
              <w:rPr>
                <w:rFonts w:ascii="Cambria" w:eastAsia="Times New Roman" w:hAnsi="Cambria" w:cs="Calibri"/>
              </w:rPr>
              <w:t>kolegija</w:t>
            </w:r>
            <w:proofErr w:type="spellEnd"/>
          </w:p>
        </w:tc>
        <w:tc>
          <w:tcPr>
            <w:tcW w:w="7232"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F99FB82" w14:textId="77777777" w:rsidR="00FC4004" w:rsidRPr="000E50AE" w:rsidRDefault="00FC4004" w:rsidP="000F1A10">
            <w:pPr>
              <w:spacing w:after="0" w:line="240" w:lineRule="auto"/>
              <w:jc w:val="both"/>
              <w:rPr>
                <w:rFonts w:ascii="Cambria" w:eastAsia="Times New Roman" w:hAnsi="Cambria" w:cs="Calibri"/>
              </w:rPr>
            </w:pPr>
            <w:r w:rsidRPr="000E50AE">
              <w:rPr>
                <w:rFonts w:ascii="Cambria" w:eastAsia="Times New Roman" w:hAnsi="Cambria" w:cs="Calibri"/>
              </w:rPr>
              <w:t xml:space="preserve">96518 </w:t>
            </w:r>
          </w:p>
          <w:p w14:paraId="61528C02" w14:textId="5B003DD1" w:rsidR="00FC4004" w:rsidRPr="000E50AE" w:rsidRDefault="00FC4004" w:rsidP="000F1A10">
            <w:pPr>
              <w:spacing w:after="0" w:line="240" w:lineRule="auto"/>
              <w:jc w:val="both"/>
              <w:rPr>
                <w:rFonts w:ascii="Cambria" w:eastAsia="Times New Roman" w:hAnsi="Cambria" w:cs="Calibri"/>
              </w:rPr>
            </w:pPr>
            <w:proofErr w:type="spellStart"/>
            <w:r w:rsidRPr="000E50AE">
              <w:rPr>
                <w:rFonts w:ascii="Cambria" w:eastAsia="Times New Roman" w:hAnsi="Cambria" w:cs="Calibri"/>
              </w:rPr>
              <w:t>Kineziološka</w:t>
            </w:r>
            <w:proofErr w:type="spellEnd"/>
            <w:r w:rsidRPr="000E50AE">
              <w:rPr>
                <w:rFonts w:ascii="Cambria" w:eastAsia="Times New Roman" w:hAnsi="Cambria" w:cs="Calibri"/>
              </w:rPr>
              <w:t xml:space="preserve"> </w:t>
            </w:r>
            <w:proofErr w:type="spellStart"/>
            <w:r w:rsidRPr="000E50AE">
              <w:rPr>
                <w:rFonts w:ascii="Cambria" w:eastAsia="Times New Roman" w:hAnsi="Cambria" w:cs="Calibri"/>
              </w:rPr>
              <w:t>metodika</w:t>
            </w:r>
            <w:proofErr w:type="spellEnd"/>
            <w:r w:rsidRPr="000E50AE">
              <w:rPr>
                <w:rFonts w:ascii="Cambria" w:eastAsia="Times New Roman" w:hAnsi="Cambria" w:cs="Calibri"/>
              </w:rPr>
              <w:t xml:space="preserve"> I</w:t>
            </w:r>
          </w:p>
        </w:tc>
      </w:tr>
      <w:tr w:rsidR="00FC4004" w:rsidRPr="000E50AE" w14:paraId="290E24B1" w14:textId="77777777" w:rsidTr="00050905">
        <w:trPr>
          <w:trHeight w:val="151"/>
        </w:trPr>
        <w:tc>
          <w:tcPr>
            <w:tcW w:w="282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1F5A3A2" w14:textId="77777777" w:rsidR="00FC4004" w:rsidRPr="000E50AE" w:rsidRDefault="00FC4004" w:rsidP="000F1A10">
            <w:pPr>
              <w:spacing w:after="0" w:line="240" w:lineRule="auto"/>
              <w:jc w:val="both"/>
              <w:rPr>
                <w:rFonts w:ascii="Cambria" w:eastAsia="Times New Roman" w:hAnsi="Cambria" w:cs="Calibri"/>
              </w:rPr>
            </w:pPr>
            <w:proofErr w:type="spellStart"/>
            <w:r w:rsidRPr="000E50AE">
              <w:rPr>
                <w:rFonts w:ascii="Cambria" w:eastAsia="Times New Roman" w:hAnsi="Cambria" w:cs="Calibri"/>
              </w:rPr>
              <w:t>Nastavnica</w:t>
            </w:r>
            <w:proofErr w:type="spellEnd"/>
          </w:p>
        </w:tc>
        <w:tc>
          <w:tcPr>
            <w:tcW w:w="7232"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7934D6D" w14:textId="77777777" w:rsidR="00FC4004" w:rsidRPr="000E50AE" w:rsidRDefault="00FC4004" w:rsidP="000F1A10">
            <w:pPr>
              <w:spacing w:after="0" w:line="240" w:lineRule="auto"/>
              <w:jc w:val="both"/>
              <w:rPr>
                <w:rFonts w:ascii="Cambria" w:eastAsia="Times New Roman" w:hAnsi="Cambria" w:cs="Calibri"/>
              </w:rPr>
            </w:pPr>
            <w:hyperlink r:id="rId114" w:history="1">
              <w:r>
                <w:rPr>
                  <w:rStyle w:val="Hiperveza"/>
                  <w:rFonts w:ascii="Cambria" w:hAnsi="Cambria" w:cs="Calibri"/>
                </w:rPr>
                <w:t>P</w:t>
              </w:r>
              <w:r w:rsidRPr="000E50AE">
                <w:rPr>
                  <w:rStyle w:val="Hiperveza"/>
                  <w:rFonts w:ascii="Cambria" w:hAnsi="Cambria" w:cs="Calibri"/>
                </w:rPr>
                <w:t>rof. dr. sc. Iva Blažević</w:t>
              </w:r>
            </w:hyperlink>
            <w:r w:rsidRPr="000E50AE">
              <w:rPr>
                <w:rFonts w:ascii="Cambria" w:eastAsia="Times New Roman" w:hAnsi="Cambria" w:cs="Calibri"/>
              </w:rPr>
              <w:t xml:space="preserve"> </w:t>
            </w:r>
            <w:r>
              <w:rPr>
                <w:rFonts w:ascii="Cambria" w:eastAsia="Times New Roman" w:hAnsi="Cambria" w:cs="Calibri"/>
              </w:rPr>
              <w:t>(</w:t>
            </w:r>
            <w:proofErr w:type="spellStart"/>
            <w:r w:rsidRPr="000E50AE">
              <w:rPr>
                <w:rFonts w:ascii="Cambria" w:eastAsia="Times New Roman" w:hAnsi="Cambria" w:cs="Calibri"/>
              </w:rPr>
              <w:t>nositeljica</w:t>
            </w:r>
            <w:proofErr w:type="spellEnd"/>
            <w:r>
              <w:rPr>
                <w:rFonts w:ascii="Cambria" w:eastAsia="Times New Roman" w:hAnsi="Cambria" w:cs="Calibri"/>
              </w:rPr>
              <w:t>)</w:t>
            </w:r>
          </w:p>
        </w:tc>
      </w:tr>
      <w:tr w:rsidR="00FC4004" w:rsidRPr="000E50AE" w14:paraId="2273DBA7" w14:textId="77777777" w:rsidTr="00050905">
        <w:trPr>
          <w:trHeight w:val="151"/>
        </w:trPr>
        <w:tc>
          <w:tcPr>
            <w:tcW w:w="282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EA268D4" w14:textId="77777777" w:rsidR="00FC4004" w:rsidRPr="000E50AE" w:rsidRDefault="00FC4004" w:rsidP="000F1A10">
            <w:pPr>
              <w:spacing w:after="0" w:line="240" w:lineRule="auto"/>
              <w:jc w:val="both"/>
              <w:rPr>
                <w:rFonts w:ascii="Cambria" w:eastAsia="Times New Roman" w:hAnsi="Cambria" w:cs="Calibri"/>
              </w:rPr>
            </w:pPr>
            <w:proofErr w:type="spellStart"/>
            <w:r w:rsidRPr="000E50AE">
              <w:rPr>
                <w:rFonts w:ascii="Cambria" w:eastAsia="Times New Roman" w:hAnsi="Cambria" w:cs="Calibri"/>
              </w:rPr>
              <w:t>Studijski</w:t>
            </w:r>
            <w:proofErr w:type="spellEnd"/>
            <w:r w:rsidRPr="000E50AE">
              <w:rPr>
                <w:rFonts w:ascii="Cambria" w:eastAsia="Times New Roman" w:hAnsi="Cambria" w:cs="Calibri"/>
              </w:rPr>
              <w:t xml:space="preserve"> program</w:t>
            </w:r>
          </w:p>
        </w:tc>
        <w:tc>
          <w:tcPr>
            <w:tcW w:w="7232"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79C4E47" w14:textId="77777777" w:rsidR="00FC4004" w:rsidRPr="000E50AE" w:rsidRDefault="00FC4004" w:rsidP="000F1A10">
            <w:pPr>
              <w:spacing w:after="0" w:line="240" w:lineRule="auto"/>
              <w:jc w:val="both"/>
              <w:rPr>
                <w:rFonts w:ascii="Cambria" w:eastAsia="Times New Roman" w:hAnsi="Cambria" w:cs="Calibri"/>
              </w:rPr>
            </w:pPr>
            <w:proofErr w:type="spellStart"/>
            <w:r w:rsidRPr="000E50AE">
              <w:rPr>
                <w:rFonts w:ascii="Cambria" w:eastAsia="Calibri" w:hAnsi="Cambria" w:cs="Times New Roman"/>
              </w:rPr>
              <w:t>Sveučilišni</w:t>
            </w:r>
            <w:proofErr w:type="spellEnd"/>
            <w:r w:rsidRPr="000E50AE">
              <w:rPr>
                <w:rFonts w:ascii="Cambria" w:eastAsia="Calibri" w:hAnsi="Cambria" w:cs="Times New Roman"/>
              </w:rPr>
              <w:t xml:space="preserve"> </w:t>
            </w:r>
            <w:proofErr w:type="spellStart"/>
            <w:r w:rsidRPr="000E50AE">
              <w:rPr>
                <w:rFonts w:ascii="Cambria" w:eastAsia="Calibri" w:hAnsi="Cambria" w:cs="Times New Roman"/>
              </w:rPr>
              <w:t>integrirani</w:t>
            </w:r>
            <w:proofErr w:type="spellEnd"/>
            <w:r w:rsidRPr="000E50AE">
              <w:rPr>
                <w:rFonts w:ascii="Cambria" w:eastAsia="Calibri" w:hAnsi="Cambria" w:cs="Times New Roman"/>
              </w:rPr>
              <w:t xml:space="preserve"> </w:t>
            </w:r>
            <w:proofErr w:type="spellStart"/>
            <w:r w:rsidRPr="000E50AE">
              <w:rPr>
                <w:rFonts w:ascii="Cambria" w:eastAsia="Calibri" w:hAnsi="Cambria" w:cs="Times New Roman"/>
              </w:rPr>
              <w:t>prijediplomski</w:t>
            </w:r>
            <w:proofErr w:type="spellEnd"/>
            <w:r w:rsidRPr="000E50AE">
              <w:rPr>
                <w:rFonts w:ascii="Cambria" w:eastAsia="Calibri" w:hAnsi="Cambria" w:cs="Times New Roman"/>
              </w:rPr>
              <w:t xml:space="preserve"> </w:t>
            </w:r>
            <w:proofErr w:type="spellStart"/>
            <w:r w:rsidRPr="000E50AE">
              <w:rPr>
                <w:rFonts w:ascii="Cambria" w:eastAsia="Calibri" w:hAnsi="Cambria" w:cs="Times New Roman"/>
              </w:rPr>
              <w:t>i</w:t>
            </w:r>
            <w:proofErr w:type="spellEnd"/>
            <w:r w:rsidRPr="000E50AE">
              <w:rPr>
                <w:rFonts w:ascii="Cambria" w:eastAsia="Calibri" w:hAnsi="Cambria" w:cs="Times New Roman"/>
              </w:rPr>
              <w:t xml:space="preserve"> </w:t>
            </w:r>
            <w:proofErr w:type="spellStart"/>
            <w:r w:rsidRPr="000E50AE">
              <w:rPr>
                <w:rFonts w:ascii="Cambria" w:eastAsia="Calibri" w:hAnsi="Cambria" w:cs="Times New Roman"/>
              </w:rPr>
              <w:t>diplomski</w:t>
            </w:r>
            <w:proofErr w:type="spellEnd"/>
            <w:r w:rsidRPr="000E50AE">
              <w:rPr>
                <w:rFonts w:ascii="Cambria" w:eastAsia="Calibri" w:hAnsi="Cambria" w:cs="Times New Roman"/>
              </w:rPr>
              <w:t xml:space="preserve"> </w:t>
            </w:r>
            <w:proofErr w:type="spellStart"/>
            <w:r w:rsidRPr="000E50AE">
              <w:rPr>
                <w:rFonts w:ascii="Cambria" w:eastAsia="Calibri" w:hAnsi="Cambria" w:cs="Times New Roman"/>
              </w:rPr>
              <w:t>Učiteljski</w:t>
            </w:r>
            <w:proofErr w:type="spellEnd"/>
            <w:r w:rsidRPr="000E50AE">
              <w:rPr>
                <w:rFonts w:ascii="Cambria" w:eastAsia="Calibri" w:hAnsi="Cambria" w:cs="Times New Roman"/>
              </w:rPr>
              <w:t xml:space="preserve"> </w:t>
            </w:r>
            <w:proofErr w:type="spellStart"/>
            <w:r w:rsidRPr="000E50AE">
              <w:rPr>
                <w:rFonts w:ascii="Cambria" w:eastAsia="Calibri" w:hAnsi="Cambria" w:cs="Times New Roman"/>
              </w:rPr>
              <w:t>studij</w:t>
            </w:r>
            <w:proofErr w:type="spellEnd"/>
            <w:r w:rsidRPr="000E50AE">
              <w:rPr>
                <w:rFonts w:ascii="Cambria" w:eastAsia="Calibri" w:hAnsi="Cambria" w:cs="Times New Roman"/>
              </w:rPr>
              <w:t xml:space="preserve"> </w:t>
            </w:r>
            <w:proofErr w:type="spellStart"/>
            <w:r w:rsidRPr="000E50AE">
              <w:rPr>
                <w:rFonts w:ascii="Cambria" w:eastAsia="Calibri" w:hAnsi="Cambria" w:cs="Times New Roman"/>
              </w:rPr>
              <w:t>na</w:t>
            </w:r>
            <w:proofErr w:type="spellEnd"/>
            <w:r w:rsidRPr="000E50AE">
              <w:rPr>
                <w:rFonts w:ascii="Cambria" w:eastAsia="Calibri" w:hAnsi="Cambria" w:cs="Times New Roman"/>
              </w:rPr>
              <w:t xml:space="preserve"> </w:t>
            </w:r>
            <w:proofErr w:type="spellStart"/>
            <w:r w:rsidRPr="000E50AE">
              <w:rPr>
                <w:rFonts w:ascii="Cambria" w:eastAsia="Calibri" w:hAnsi="Cambria" w:cs="Times New Roman"/>
              </w:rPr>
              <w:t>hrvatskom</w:t>
            </w:r>
            <w:proofErr w:type="spellEnd"/>
            <w:r w:rsidRPr="000E50AE">
              <w:rPr>
                <w:rFonts w:ascii="Cambria" w:eastAsia="Calibri" w:hAnsi="Cambria" w:cs="Times New Roman"/>
              </w:rPr>
              <w:t xml:space="preserve"> </w:t>
            </w:r>
            <w:proofErr w:type="spellStart"/>
            <w:r w:rsidRPr="000E50AE">
              <w:rPr>
                <w:rFonts w:ascii="Cambria" w:eastAsia="Calibri" w:hAnsi="Cambria" w:cs="Times New Roman"/>
              </w:rPr>
              <w:t>jeziku</w:t>
            </w:r>
            <w:proofErr w:type="spellEnd"/>
          </w:p>
        </w:tc>
      </w:tr>
      <w:tr w:rsidR="00FC4004" w:rsidRPr="000E50AE" w14:paraId="0EDBD0F9" w14:textId="77777777" w:rsidTr="00050905">
        <w:trPr>
          <w:trHeight w:val="151"/>
        </w:trPr>
        <w:tc>
          <w:tcPr>
            <w:tcW w:w="282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1BE51AF" w14:textId="77777777" w:rsidR="00FC4004" w:rsidRPr="000E50AE" w:rsidRDefault="00FC4004" w:rsidP="000F1A10">
            <w:pPr>
              <w:spacing w:after="0" w:line="240" w:lineRule="auto"/>
              <w:jc w:val="both"/>
              <w:rPr>
                <w:rFonts w:ascii="Cambria" w:eastAsia="Times New Roman" w:hAnsi="Cambria" w:cs="Calibri"/>
              </w:rPr>
            </w:pPr>
            <w:proofErr w:type="spellStart"/>
            <w:r w:rsidRPr="000E50AE">
              <w:rPr>
                <w:rFonts w:ascii="Cambria" w:eastAsia="Times New Roman" w:hAnsi="Cambria" w:cs="Calibri"/>
              </w:rPr>
              <w:t>Vrsta</w:t>
            </w:r>
            <w:proofErr w:type="spellEnd"/>
            <w:r w:rsidRPr="000E50AE">
              <w:rPr>
                <w:rFonts w:ascii="Cambria" w:eastAsia="Times New Roman" w:hAnsi="Cambria" w:cs="Calibri"/>
              </w:rPr>
              <w:t xml:space="preserve"> </w:t>
            </w:r>
            <w:proofErr w:type="spellStart"/>
            <w:r w:rsidRPr="000E50AE">
              <w:rPr>
                <w:rFonts w:ascii="Cambria" w:eastAsia="Times New Roman" w:hAnsi="Cambria" w:cs="Calibri"/>
              </w:rPr>
              <w:t>kolegija</w:t>
            </w:r>
            <w:proofErr w:type="spellEnd"/>
          </w:p>
        </w:tc>
        <w:tc>
          <w:tcPr>
            <w:tcW w:w="267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D509360" w14:textId="77777777" w:rsidR="00FC4004" w:rsidRPr="000E50AE" w:rsidRDefault="00FC4004" w:rsidP="000F1A10">
            <w:pPr>
              <w:spacing w:after="0" w:line="240" w:lineRule="auto"/>
              <w:jc w:val="both"/>
              <w:rPr>
                <w:rFonts w:ascii="Cambria" w:eastAsia="Times New Roman" w:hAnsi="Cambria" w:cs="Calibri"/>
              </w:rPr>
            </w:pPr>
            <w:proofErr w:type="spellStart"/>
            <w:r w:rsidRPr="000E50AE">
              <w:rPr>
                <w:rFonts w:ascii="Cambria" w:eastAsia="Times New Roman" w:hAnsi="Cambria" w:cs="Calibri"/>
              </w:rPr>
              <w:t>obvezan</w:t>
            </w:r>
            <w:proofErr w:type="spellEnd"/>
          </w:p>
        </w:tc>
        <w:tc>
          <w:tcPr>
            <w:tcW w:w="1574"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67327375" w14:textId="77777777" w:rsidR="00FC4004" w:rsidRPr="000E50AE" w:rsidRDefault="00FC4004" w:rsidP="000F1A10">
            <w:pPr>
              <w:spacing w:after="0" w:line="240" w:lineRule="auto"/>
              <w:jc w:val="both"/>
              <w:rPr>
                <w:rFonts w:ascii="Cambria" w:eastAsia="Times New Roman" w:hAnsi="Cambria" w:cs="Calibri"/>
              </w:rPr>
            </w:pPr>
            <w:r w:rsidRPr="000E50AE">
              <w:rPr>
                <w:rFonts w:ascii="Cambria" w:eastAsia="Times New Roman" w:hAnsi="Cambria" w:cs="Calibri"/>
              </w:rPr>
              <w:t xml:space="preserve">Razina </w:t>
            </w:r>
            <w:proofErr w:type="spellStart"/>
            <w:r w:rsidRPr="000E50AE">
              <w:rPr>
                <w:rFonts w:ascii="Cambria" w:eastAsia="Times New Roman" w:hAnsi="Cambria" w:cs="Calibri"/>
              </w:rPr>
              <w:t>kolegija</w:t>
            </w:r>
            <w:proofErr w:type="spellEnd"/>
          </w:p>
        </w:tc>
        <w:tc>
          <w:tcPr>
            <w:tcW w:w="2980"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5844871" w14:textId="77777777" w:rsidR="00FC4004" w:rsidRPr="000E50AE" w:rsidRDefault="00FC4004" w:rsidP="000F1A10">
            <w:pPr>
              <w:spacing w:after="0" w:line="240" w:lineRule="auto"/>
              <w:jc w:val="both"/>
              <w:rPr>
                <w:rFonts w:ascii="Cambria" w:eastAsia="Times New Roman" w:hAnsi="Cambria" w:cs="Calibri"/>
              </w:rPr>
            </w:pPr>
            <w:proofErr w:type="spellStart"/>
            <w:r w:rsidRPr="000E50AE">
              <w:rPr>
                <w:rFonts w:ascii="Cambria" w:eastAsia="Times New Roman" w:hAnsi="Cambria" w:cs="Calibri"/>
              </w:rPr>
              <w:t>integrirani</w:t>
            </w:r>
            <w:proofErr w:type="spellEnd"/>
          </w:p>
        </w:tc>
      </w:tr>
      <w:tr w:rsidR="00FC4004" w:rsidRPr="000E50AE" w14:paraId="48AE11F0" w14:textId="77777777" w:rsidTr="00050905">
        <w:trPr>
          <w:trHeight w:val="151"/>
        </w:trPr>
        <w:tc>
          <w:tcPr>
            <w:tcW w:w="282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1ECA398" w14:textId="77777777" w:rsidR="00FC4004" w:rsidRPr="000E50AE" w:rsidRDefault="00FC4004" w:rsidP="000F1A10">
            <w:pPr>
              <w:spacing w:after="0" w:line="240" w:lineRule="auto"/>
              <w:jc w:val="both"/>
              <w:rPr>
                <w:rFonts w:ascii="Cambria" w:eastAsia="Times New Roman" w:hAnsi="Cambria" w:cs="Calibri"/>
              </w:rPr>
            </w:pPr>
            <w:proofErr w:type="spellStart"/>
            <w:r w:rsidRPr="000E50AE">
              <w:rPr>
                <w:rFonts w:ascii="Cambria" w:eastAsia="Times New Roman" w:hAnsi="Cambria" w:cs="Calibri"/>
              </w:rPr>
              <w:t>Semestar</w:t>
            </w:r>
            <w:proofErr w:type="spellEnd"/>
          </w:p>
        </w:tc>
        <w:tc>
          <w:tcPr>
            <w:tcW w:w="267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E4CCE78" w14:textId="77777777" w:rsidR="00FC4004" w:rsidRPr="000E50AE" w:rsidRDefault="00FC4004" w:rsidP="000F1A10">
            <w:pPr>
              <w:spacing w:after="0" w:line="240" w:lineRule="auto"/>
              <w:jc w:val="both"/>
              <w:rPr>
                <w:rFonts w:ascii="Cambria" w:eastAsia="Times New Roman" w:hAnsi="Cambria" w:cs="Calibri"/>
              </w:rPr>
            </w:pPr>
            <w:proofErr w:type="spellStart"/>
            <w:r w:rsidRPr="000E50AE">
              <w:rPr>
                <w:rFonts w:ascii="Cambria" w:eastAsia="Times New Roman" w:hAnsi="Cambria" w:cs="Calibri"/>
              </w:rPr>
              <w:t>ljetni</w:t>
            </w:r>
            <w:proofErr w:type="spellEnd"/>
          </w:p>
        </w:tc>
        <w:tc>
          <w:tcPr>
            <w:tcW w:w="1574"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339999AD" w14:textId="77777777" w:rsidR="00FC4004" w:rsidRPr="000E50AE" w:rsidRDefault="00FC4004" w:rsidP="000F1A10">
            <w:pPr>
              <w:spacing w:after="0" w:line="240" w:lineRule="auto"/>
              <w:jc w:val="both"/>
              <w:rPr>
                <w:rFonts w:ascii="Cambria" w:eastAsia="Times New Roman" w:hAnsi="Cambria" w:cs="Calibri"/>
              </w:rPr>
            </w:pPr>
            <w:r w:rsidRPr="000E50AE">
              <w:rPr>
                <w:rFonts w:ascii="Cambria" w:eastAsia="Times New Roman" w:hAnsi="Cambria" w:cs="Calibri"/>
              </w:rPr>
              <w:t xml:space="preserve">Godina </w:t>
            </w:r>
            <w:proofErr w:type="spellStart"/>
            <w:r w:rsidRPr="000E50AE">
              <w:rPr>
                <w:rFonts w:ascii="Cambria" w:eastAsia="Times New Roman" w:hAnsi="Cambria" w:cs="Calibri"/>
              </w:rPr>
              <w:t>studija</w:t>
            </w:r>
            <w:proofErr w:type="spellEnd"/>
          </w:p>
        </w:tc>
        <w:tc>
          <w:tcPr>
            <w:tcW w:w="2980"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6A951A6" w14:textId="342F34F6" w:rsidR="00FC4004" w:rsidRPr="000E50AE" w:rsidRDefault="00FC4004" w:rsidP="000F1A10">
            <w:pPr>
              <w:spacing w:after="0" w:line="240" w:lineRule="auto"/>
              <w:jc w:val="both"/>
              <w:rPr>
                <w:rFonts w:ascii="Cambria" w:eastAsia="Times New Roman" w:hAnsi="Cambria" w:cs="Calibri"/>
              </w:rPr>
            </w:pPr>
            <w:r w:rsidRPr="000E50AE">
              <w:rPr>
                <w:rFonts w:ascii="Cambria" w:eastAsia="Times New Roman" w:hAnsi="Cambria" w:cs="Calibri"/>
              </w:rPr>
              <w:t>I</w:t>
            </w:r>
            <w:r>
              <w:rPr>
                <w:rFonts w:ascii="Cambria" w:eastAsia="Times New Roman" w:hAnsi="Cambria" w:cs="Calibri"/>
              </w:rPr>
              <w:t>II</w:t>
            </w:r>
            <w:r w:rsidRPr="000E50AE">
              <w:rPr>
                <w:rFonts w:ascii="Cambria" w:eastAsia="Times New Roman" w:hAnsi="Cambria" w:cs="Calibri"/>
              </w:rPr>
              <w:t>.</w:t>
            </w:r>
          </w:p>
        </w:tc>
      </w:tr>
      <w:tr w:rsidR="00FC4004" w:rsidRPr="000E50AE" w14:paraId="0272479C" w14:textId="77777777" w:rsidTr="00050905">
        <w:trPr>
          <w:trHeight w:val="151"/>
        </w:trPr>
        <w:tc>
          <w:tcPr>
            <w:tcW w:w="282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8F30CB6" w14:textId="77777777" w:rsidR="00FC4004" w:rsidRPr="000E50AE" w:rsidRDefault="00FC4004" w:rsidP="000F1A10">
            <w:pPr>
              <w:spacing w:after="0" w:line="240" w:lineRule="auto"/>
              <w:jc w:val="both"/>
              <w:rPr>
                <w:rFonts w:ascii="Cambria" w:eastAsia="Times New Roman" w:hAnsi="Cambria" w:cs="Calibri"/>
              </w:rPr>
            </w:pPr>
            <w:proofErr w:type="spellStart"/>
            <w:r w:rsidRPr="000E50AE">
              <w:rPr>
                <w:rFonts w:ascii="Cambria" w:eastAsia="Times New Roman" w:hAnsi="Cambria" w:cs="Calibri"/>
              </w:rPr>
              <w:t>Mjesto</w:t>
            </w:r>
            <w:proofErr w:type="spellEnd"/>
            <w:r w:rsidRPr="000E50AE">
              <w:rPr>
                <w:rFonts w:ascii="Cambria" w:eastAsia="Times New Roman" w:hAnsi="Cambria" w:cs="Calibri"/>
              </w:rPr>
              <w:t xml:space="preserve"> </w:t>
            </w:r>
            <w:proofErr w:type="spellStart"/>
            <w:r w:rsidRPr="000E50AE">
              <w:rPr>
                <w:rFonts w:ascii="Cambria" w:eastAsia="Times New Roman" w:hAnsi="Cambria" w:cs="Calibri"/>
              </w:rPr>
              <w:t>izvođenja</w:t>
            </w:r>
            <w:proofErr w:type="spellEnd"/>
          </w:p>
        </w:tc>
        <w:tc>
          <w:tcPr>
            <w:tcW w:w="267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F3B8ADD" w14:textId="77777777" w:rsidR="00FC4004" w:rsidRPr="000E50AE" w:rsidRDefault="00FC4004" w:rsidP="000F1A10">
            <w:pPr>
              <w:spacing w:after="0" w:line="240" w:lineRule="auto"/>
              <w:rPr>
                <w:rFonts w:ascii="Cambria" w:eastAsia="Times New Roman" w:hAnsi="Cambria" w:cs="Calibri"/>
                <w:lang w:val="it-IT"/>
              </w:rPr>
            </w:pPr>
            <w:proofErr w:type="spellStart"/>
            <w:r w:rsidRPr="000E50AE">
              <w:rPr>
                <w:rFonts w:ascii="Cambria" w:eastAsia="Times New Roman" w:hAnsi="Cambria" w:cs="Calibri"/>
                <w:lang w:val="it-IT"/>
              </w:rPr>
              <w:t>dvoran</w:t>
            </w:r>
            <w:r>
              <w:rPr>
                <w:rFonts w:ascii="Cambria" w:eastAsia="Times New Roman" w:hAnsi="Cambria" w:cs="Calibri"/>
                <w:lang w:val="it-IT"/>
              </w:rPr>
              <w:t>a</w:t>
            </w:r>
            <w:proofErr w:type="spellEnd"/>
            <w:r w:rsidRPr="000E50AE">
              <w:rPr>
                <w:rFonts w:ascii="Cambria" w:eastAsia="Times New Roman" w:hAnsi="Cambria" w:cs="Calibri"/>
                <w:lang w:val="it-IT"/>
              </w:rPr>
              <w:t xml:space="preserve"> i </w:t>
            </w:r>
            <w:proofErr w:type="spellStart"/>
            <w:r w:rsidRPr="000E50AE">
              <w:rPr>
                <w:rFonts w:ascii="Cambria" w:eastAsia="Times New Roman" w:hAnsi="Cambria" w:cs="Calibri"/>
                <w:lang w:val="it-IT"/>
              </w:rPr>
              <w:t>sportska</w:t>
            </w:r>
            <w:proofErr w:type="spellEnd"/>
            <w:r w:rsidRPr="000E50AE">
              <w:rPr>
                <w:rFonts w:ascii="Cambria" w:eastAsia="Times New Roman" w:hAnsi="Cambria" w:cs="Calibri"/>
                <w:lang w:val="it-IT"/>
              </w:rPr>
              <w:t xml:space="preserve"> </w:t>
            </w:r>
            <w:proofErr w:type="spellStart"/>
            <w:r w:rsidRPr="000E50AE">
              <w:rPr>
                <w:rFonts w:ascii="Cambria" w:eastAsia="Times New Roman" w:hAnsi="Cambria" w:cs="Calibri"/>
                <w:lang w:val="it-IT"/>
              </w:rPr>
              <w:t>dvorana</w:t>
            </w:r>
            <w:proofErr w:type="spellEnd"/>
          </w:p>
        </w:tc>
        <w:tc>
          <w:tcPr>
            <w:tcW w:w="1574"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2A4B3DF1" w14:textId="77777777" w:rsidR="00FC4004" w:rsidRPr="000E50AE" w:rsidRDefault="00FC4004" w:rsidP="000F1A10">
            <w:pPr>
              <w:spacing w:after="0" w:line="240" w:lineRule="auto"/>
              <w:jc w:val="both"/>
              <w:rPr>
                <w:rFonts w:ascii="Cambria" w:eastAsia="Times New Roman" w:hAnsi="Cambria" w:cs="Calibri"/>
              </w:rPr>
            </w:pPr>
            <w:r w:rsidRPr="000E50AE">
              <w:rPr>
                <w:rFonts w:ascii="Cambria" w:eastAsia="Times New Roman" w:hAnsi="Cambria" w:cs="Calibri"/>
              </w:rPr>
              <w:t xml:space="preserve">Jezik </w:t>
            </w:r>
            <w:proofErr w:type="spellStart"/>
            <w:r w:rsidRPr="000E50AE">
              <w:rPr>
                <w:rFonts w:ascii="Cambria" w:eastAsia="Times New Roman" w:hAnsi="Cambria" w:cs="Calibri"/>
              </w:rPr>
              <w:t>izvođenja</w:t>
            </w:r>
            <w:proofErr w:type="spellEnd"/>
            <w:r w:rsidRPr="000E50AE">
              <w:rPr>
                <w:rFonts w:ascii="Cambria" w:eastAsia="Times New Roman" w:hAnsi="Cambria" w:cs="Calibri"/>
              </w:rPr>
              <w:t xml:space="preserve"> </w:t>
            </w:r>
          </w:p>
        </w:tc>
        <w:tc>
          <w:tcPr>
            <w:tcW w:w="2980"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394118E" w14:textId="77777777" w:rsidR="00FC4004" w:rsidRPr="000E50AE" w:rsidRDefault="00FC4004" w:rsidP="000F1A10">
            <w:pPr>
              <w:spacing w:after="0" w:line="240" w:lineRule="auto"/>
              <w:jc w:val="both"/>
              <w:rPr>
                <w:rFonts w:ascii="Cambria" w:eastAsia="Times New Roman" w:hAnsi="Cambria" w:cs="Calibri"/>
              </w:rPr>
            </w:pPr>
            <w:proofErr w:type="spellStart"/>
            <w:r w:rsidRPr="000E50AE">
              <w:rPr>
                <w:rFonts w:ascii="Cambria" w:eastAsia="Times New Roman" w:hAnsi="Cambria" w:cs="Calibri"/>
              </w:rPr>
              <w:t>hrvatski</w:t>
            </w:r>
            <w:proofErr w:type="spellEnd"/>
            <w:r w:rsidRPr="000E50AE">
              <w:rPr>
                <w:rFonts w:ascii="Cambria" w:eastAsia="Times New Roman" w:hAnsi="Cambria" w:cs="Calibri"/>
              </w:rPr>
              <w:t xml:space="preserve"> (</w:t>
            </w:r>
            <w:proofErr w:type="spellStart"/>
            <w:r w:rsidRPr="000E50AE">
              <w:rPr>
                <w:rFonts w:ascii="Cambria" w:eastAsia="Times New Roman" w:hAnsi="Cambria" w:cs="Calibri"/>
              </w:rPr>
              <w:t>engleski</w:t>
            </w:r>
            <w:proofErr w:type="spellEnd"/>
            <w:r w:rsidRPr="000E50AE">
              <w:rPr>
                <w:rFonts w:ascii="Cambria" w:eastAsia="Times New Roman" w:hAnsi="Cambria" w:cs="Calibri"/>
              </w:rPr>
              <w:t>)</w:t>
            </w:r>
          </w:p>
        </w:tc>
      </w:tr>
      <w:tr w:rsidR="00FC4004" w:rsidRPr="000E50AE" w14:paraId="7E3A39C0" w14:textId="77777777" w:rsidTr="00050905">
        <w:trPr>
          <w:trHeight w:val="151"/>
        </w:trPr>
        <w:tc>
          <w:tcPr>
            <w:tcW w:w="282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531E909" w14:textId="77777777" w:rsidR="00FC4004" w:rsidRPr="000E50AE" w:rsidRDefault="00FC4004" w:rsidP="000F1A10">
            <w:pPr>
              <w:spacing w:after="0" w:line="240" w:lineRule="auto"/>
              <w:jc w:val="both"/>
              <w:rPr>
                <w:rFonts w:ascii="Cambria" w:eastAsia="Times New Roman" w:hAnsi="Cambria" w:cs="Calibri"/>
              </w:rPr>
            </w:pPr>
            <w:proofErr w:type="spellStart"/>
            <w:r w:rsidRPr="000E50AE">
              <w:rPr>
                <w:rFonts w:ascii="Cambria" w:eastAsia="Times New Roman" w:hAnsi="Cambria" w:cs="Calibri"/>
              </w:rPr>
              <w:t>Broj</w:t>
            </w:r>
            <w:proofErr w:type="spellEnd"/>
            <w:r w:rsidRPr="000E50AE">
              <w:rPr>
                <w:rFonts w:ascii="Cambria" w:eastAsia="Times New Roman" w:hAnsi="Cambria" w:cs="Calibri"/>
              </w:rPr>
              <w:t xml:space="preserve"> ECTS </w:t>
            </w:r>
            <w:proofErr w:type="spellStart"/>
            <w:r w:rsidRPr="000E50AE">
              <w:rPr>
                <w:rFonts w:ascii="Cambria" w:eastAsia="Times New Roman" w:hAnsi="Cambria" w:cs="Calibri"/>
              </w:rPr>
              <w:t>bodova</w:t>
            </w:r>
            <w:proofErr w:type="spellEnd"/>
          </w:p>
        </w:tc>
        <w:tc>
          <w:tcPr>
            <w:tcW w:w="267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6C5F569" w14:textId="77777777" w:rsidR="00FC4004" w:rsidRPr="000E50AE" w:rsidRDefault="00FC4004" w:rsidP="000F1A10">
            <w:pPr>
              <w:spacing w:after="0" w:line="240" w:lineRule="auto"/>
              <w:jc w:val="both"/>
              <w:rPr>
                <w:rFonts w:ascii="Cambria" w:eastAsia="Times New Roman" w:hAnsi="Cambria" w:cs="Calibri"/>
              </w:rPr>
            </w:pPr>
            <w:r w:rsidRPr="000E50AE">
              <w:rPr>
                <w:rFonts w:ascii="Cambria" w:eastAsia="Times New Roman" w:hAnsi="Cambria" w:cs="Calibri"/>
              </w:rPr>
              <w:t>4</w:t>
            </w:r>
          </w:p>
        </w:tc>
        <w:tc>
          <w:tcPr>
            <w:tcW w:w="1574"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4364805B" w14:textId="77777777" w:rsidR="00FC4004" w:rsidRPr="000E50AE" w:rsidRDefault="00FC4004" w:rsidP="000F1A10">
            <w:pPr>
              <w:spacing w:after="0" w:line="240" w:lineRule="auto"/>
              <w:jc w:val="both"/>
              <w:rPr>
                <w:rFonts w:ascii="Cambria" w:eastAsia="Times New Roman" w:hAnsi="Cambria" w:cs="Calibri"/>
              </w:rPr>
            </w:pPr>
            <w:proofErr w:type="spellStart"/>
            <w:r w:rsidRPr="000E50AE">
              <w:rPr>
                <w:rFonts w:ascii="Cambria" w:eastAsia="Times New Roman" w:hAnsi="Cambria" w:cs="Calibri"/>
              </w:rPr>
              <w:t>Broj</w:t>
            </w:r>
            <w:proofErr w:type="spellEnd"/>
            <w:r w:rsidRPr="000E50AE">
              <w:rPr>
                <w:rFonts w:ascii="Cambria" w:eastAsia="Times New Roman" w:hAnsi="Cambria" w:cs="Calibri"/>
              </w:rPr>
              <w:t xml:space="preserve"> sati u </w:t>
            </w:r>
            <w:proofErr w:type="spellStart"/>
            <w:r w:rsidRPr="000E50AE">
              <w:rPr>
                <w:rFonts w:ascii="Cambria" w:eastAsia="Times New Roman" w:hAnsi="Cambria" w:cs="Calibri"/>
              </w:rPr>
              <w:t>semestru</w:t>
            </w:r>
            <w:proofErr w:type="spellEnd"/>
          </w:p>
        </w:tc>
        <w:tc>
          <w:tcPr>
            <w:tcW w:w="2980"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19CFA47" w14:textId="77777777" w:rsidR="00FC4004" w:rsidRPr="000E50AE" w:rsidRDefault="00FC4004" w:rsidP="000F1A10">
            <w:pPr>
              <w:spacing w:after="0" w:line="240" w:lineRule="auto"/>
              <w:jc w:val="both"/>
              <w:rPr>
                <w:rFonts w:ascii="Cambria" w:eastAsia="Times New Roman" w:hAnsi="Cambria" w:cs="Calibri"/>
              </w:rPr>
            </w:pPr>
            <w:r w:rsidRPr="000E50AE">
              <w:rPr>
                <w:rFonts w:ascii="Cambria" w:eastAsia="Times New Roman" w:hAnsi="Cambria" w:cs="Calibri"/>
              </w:rPr>
              <w:t>30P – 0S</w:t>
            </w:r>
            <w:r>
              <w:rPr>
                <w:rFonts w:ascii="Cambria" w:eastAsia="Times New Roman" w:hAnsi="Cambria" w:cs="Calibri"/>
              </w:rPr>
              <w:t xml:space="preserve"> – </w:t>
            </w:r>
            <w:r w:rsidRPr="000E50AE">
              <w:rPr>
                <w:rFonts w:ascii="Cambria" w:eastAsia="Times New Roman" w:hAnsi="Cambria" w:cs="Calibri"/>
              </w:rPr>
              <w:t>1</w:t>
            </w:r>
            <w:r>
              <w:rPr>
                <w:rFonts w:ascii="Cambria" w:eastAsia="Times New Roman" w:hAnsi="Cambria" w:cs="Calibri"/>
              </w:rPr>
              <w:t>5</w:t>
            </w:r>
            <w:r w:rsidRPr="000E50AE">
              <w:rPr>
                <w:rFonts w:ascii="Cambria" w:eastAsia="Times New Roman" w:hAnsi="Cambria" w:cs="Calibri"/>
              </w:rPr>
              <w:t xml:space="preserve">V </w:t>
            </w:r>
          </w:p>
        </w:tc>
      </w:tr>
      <w:tr w:rsidR="00FC4004" w:rsidRPr="00D0399C" w14:paraId="54BC8AA4" w14:textId="77777777" w:rsidTr="00050905">
        <w:trPr>
          <w:trHeight w:val="151"/>
        </w:trPr>
        <w:tc>
          <w:tcPr>
            <w:tcW w:w="282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AC6714A" w14:textId="77777777" w:rsidR="00FC4004" w:rsidRPr="000E50AE" w:rsidRDefault="00FC4004" w:rsidP="000F1A10">
            <w:pPr>
              <w:spacing w:after="0" w:line="240" w:lineRule="auto"/>
              <w:jc w:val="both"/>
              <w:rPr>
                <w:rFonts w:ascii="Cambria" w:eastAsia="Times New Roman" w:hAnsi="Cambria" w:cs="Calibri"/>
                <w:lang w:val="it-IT"/>
              </w:rPr>
            </w:pPr>
            <w:proofErr w:type="spellStart"/>
            <w:r w:rsidRPr="000E50AE">
              <w:rPr>
                <w:rFonts w:ascii="Cambria" w:eastAsia="Times New Roman" w:hAnsi="Cambria" w:cs="Calibri"/>
                <w:lang w:val="it-IT"/>
              </w:rPr>
              <w:t>Preduvjeti</w:t>
            </w:r>
            <w:proofErr w:type="spellEnd"/>
            <w:r w:rsidRPr="000E50AE">
              <w:rPr>
                <w:rFonts w:ascii="Cambria" w:eastAsia="Times New Roman" w:hAnsi="Cambria" w:cs="Calibri"/>
                <w:lang w:val="it-IT"/>
              </w:rPr>
              <w:t xml:space="preserve"> za </w:t>
            </w:r>
            <w:proofErr w:type="spellStart"/>
            <w:r w:rsidRPr="000E50AE">
              <w:rPr>
                <w:rFonts w:ascii="Cambria" w:eastAsia="Times New Roman" w:hAnsi="Cambria" w:cs="Calibri"/>
                <w:lang w:val="it-IT"/>
              </w:rPr>
              <w:t>upis</w:t>
            </w:r>
            <w:proofErr w:type="spellEnd"/>
            <w:r w:rsidRPr="000E50AE">
              <w:rPr>
                <w:rFonts w:ascii="Cambria" w:eastAsia="Times New Roman" w:hAnsi="Cambria" w:cs="Calibri"/>
                <w:lang w:val="it-IT"/>
              </w:rPr>
              <w:t xml:space="preserve"> i za </w:t>
            </w:r>
            <w:proofErr w:type="spellStart"/>
            <w:r w:rsidRPr="000E50AE">
              <w:rPr>
                <w:rFonts w:ascii="Cambria" w:eastAsia="Times New Roman" w:hAnsi="Cambria" w:cs="Calibri"/>
                <w:lang w:val="it-IT"/>
              </w:rPr>
              <w:t>svladavanje</w:t>
            </w:r>
            <w:proofErr w:type="spellEnd"/>
          </w:p>
        </w:tc>
        <w:tc>
          <w:tcPr>
            <w:tcW w:w="7232"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9F4F089" w14:textId="77777777" w:rsidR="00FC4004" w:rsidRPr="000E50AE" w:rsidRDefault="00FC4004" w:rsidP="000F1A10">
            <w:pPr>
              <w:spacing w:after="0" w:line="240" w:lineRule="auto"/>
              <w:jc w:val="both"/>
              <w:rPr>
                <w:rFonts w:ascii="Cambria" w:eastAsia="Times New Roman" w:hAnsi="Cambria" w:cs="Calibri"/>
                <w:lang w:val="it-IT"/>
              </w:rPr>
            </w:pPr>
            <w:proofErr w:type="spellStart"/>
            <w:r w:rsidRPr="000E50AE">
              <w:rPr>
                <w:rFonts w:ascii="Cambria" w:eastAsia="Times New Roman" w:hAnsi="Cambria" w:cs="Calibri"/>
                <w:lang w:val="it-IT"/>
              </w:rPr>
              <w:t>Odslušan</w:t>
            </w:r>
            <w:proofErr w:type="spellEnd"/>
            <w:r w:rsidRPr="000E50AE">
              <w:rPr>
                <w:rFonts w:ascii="Cambria" w:eastAsia="Times New Roman" w:hAnsi="Cambria" w:cs="Calibri"/>
                <w:lang w:val="it-IT"/>
              </w:rPr>
              <w:t xml:space="preserve"> </w:t>
            </w:r>
            <w:proofErr w:type="spellStart"/>
            <w:r w:rsidRPr="000E50AE">
              <w:rPr>
                <w:rFonts w:ascii="Cambria" w:eastAsia="Times New Roman" w:hAnsi="Cambria" w:cs="Calibri"/>
                <w:lang w:val="it-IT"/>
              </w:rPr>
              <w:t>kolegij</w:t>
            </w:r>
            <w:proofErr w:type="spellEnd"/>
            <w:r w:rsidRPr="000E50AE">
              <w:rPr>
                <w:rFonts w:ascii="Cambria" w:eastAsia="Times New Roman" w:hAnsi="Cambria" w:cs="Calibri"/>
                <w:lang w:val="it-IT"/>
              </w:rPr>
              <w:t xml:space="preserve"> </w:t>
            </w:r>
            <w:proofErr w:type="spellStart"/>
            <w:r w:rsidRPr="000E50AE">
              <w:rPr>
                <w:rFonts w:ascii="Cambria" w:eastAsia="Times New Roman" w:hAnsi="Cambria" w:cs="Calibri"/>
                <w:lang w:val="it-IT"/>
              </w:rPr>
              <w:t>Kineziologija</w:t>
            </w:r>
            <w:proofErr w:type="spellEnd"/>
            <w:r w:rsidRPr="000E50AE">
              <w:rPr>
                <w:rFonts w:ascii="Cambria" w:eastAsia="Times New Roman" w:hAnsi="Cambria" w:cs="Calibri"/>
                <w:lang w:val="it-IT"/>
              </w:rPr>
              <w:t xml:space="preserve">. </w:t>
            </w:r>
            <w:proofErr w:type="spellStart"/>
            <w:r w:rsidRPr="000E50AE">
              <w:rPr>
                <w:rFonts w:ascii="Cambria" w:eastAsia="Times New Roman" w:hAnsi="Cambria" w:cs="Calibri"/>
                <w:lang w:val="it-IT"/>
              </w:rPr>
              <w:t>Završnom</w:t>
            </w:r>
            <w:proofErr w:type="spellEnd"/>
            <w:r w:rsidRPr="000E50AE">
              <w:rPr>
                <w:rFonts w:ascii="Cambria" w:eastAsia="Times New Roman" w:hAnsi="Cambria" w:cs="Calibri"/>
                <w:lang w:val="it-IT"/>
              </w:rPr>
              <w:t xml:space="preserve"> </w:t>
            </w:r>
            <w:proofErr w:type="spellStart"/>
            <w:r w:rsidRPr="000E50AE">
              <w:rPr>
                <w:rFonts w:ascii="Cambria" w:eastAsia="Times New Roman" w:hAnsi="Cambria" w:cs="Calibri"/>
                <w:lang w:val="it-IT"/>
              </w:rPr>
              <w:t>ispitu</w:t>
            </w:r>
            <w:proofErr w:type="spellEnd"/>
            <w:r w:rsidRPr="000E50AE">
              <w:rPr>
                <w:rFonts w:ascii="Cambria" w:eastAsia="Times New Roman" w:hAnsi="Cambria" w:cs="Calibri"/>
                <w:lang w:val="it-IT"/>
              </w:rPr>
              <w:t xml:space="preserve"> </w:t>
            </w:r>
            <w:proofErr w:type="spellStart"/>
            <w:r w:rsidRPr="000E50AE">
              <w:rPr>
                <w:rFonts w:ascii="Cambria" w:eastAsia="Times New Roman" w:hAnsi="Cambria" w:cs="Calibri"/>
                <w:lang w:val="it-IT"/>
              </w:rPr>
              <w:t>mogu</w:t>
            </w:r>
            <w:proofErr w:type="spellEnd"/>
            <w:r w:rsidRPr="000E50AE">
              <w:rPr>
                <w:rFonts w:ascii="Cambria" w:eastAsia="Times New Roman" w:hAnsi="Cambria" w:cs="Calibri"/>
                <w:lang w:val="it-IT"/>
              </w:rPr>
              <w:t xml:space="preserve"> </w:t>
            </w:r>
            <w:proofErr w:type="spellStart"/>
            <w:r w:rsidRPr="000E50AE">
              <w:rPr>
                <w:rFonts w:ascii="Cambria" w:eastAsia="Times New Roman" w:hAnsi="Cambria" w:cs="Calibri"/>
                <w:lang w:val="it-IT"/>
              </w:rPr>
              <w:t>pristupiti</w:t>
            </w:r>
            <w:proofErr w:type="spellEnd"/>
            <w:r w:rsidRPr="000E50AE">
              <w:rPr>
                <w:rFonts w:ascii="Cambria" w:eastAsia="Times New Roman" w:hAnsi="Cambria" w:cs="Calibri"/>
                <w:lang w:val="it-IT"/>
              </w:rPr>
              <w:t xml:space="preserve"> studenti </w:t>
            </w:r>
            <w:proofErr w:type="spellStart"/>
            <w:r w:rsidRPr="000E50AE">
              <w:rPr>
                <w:rFonts w:ascii="Cambria" w:eastAsia="Times New Roman" w:hAnsi="Cambria" w:cs="Calibri"/>
                <w:lang w:val="it-IT"/>
              </w:rPr>
              <w:t>koji</w:t>
            </w:r>
            <w:proofErr w:type="spellEnd"/>
            <w:r w:rsidRPr="000E50AE">
              <w:rPr>
                <w:rFonts w:ascii="Cambria" w:eastAsia="Times New Roman" w:hAnsi="Cambria" w:cs="Calibri"/>
                <w:lang w:val="it-IT"/>
              </w:rPr>
              <w:t xml:space="preserve"> su </w:t>
            </w:r>
            <w:proofErr w:type="spellStart"/>
            <w:r w:rsidRPr="000E50AE">
              <w:rPr>
                <w:rFonts w:ascii="Cambria" w:eastAsia="Times New Roman" w:hAnsi="Cambria" w:cs="Calibri"/>
                <w:lang w:val="it-IT"/>
              </w:rPr>
              <w:t>položili</w:t>
            </w:r>
            <w:proofErr w:type="spellEnd"/>
            <w:r w:rsidRPr="000E50AE">
              <w:rPr>
                <w:rFonts w:ascii="Cambria" w:eastAsia="Times New Roman" w:hAnsi="Cambria" w:cs="Calibri"/>
                <w:lang w:val="it-IT"/>
              </w:rPr>
              <w:t xml:space="preserve"> </w:t>
            </w:r>
            <w:proofErr w:type="spellStart"/>
            <w:r w:rsidRPr="000E50AE">
              <w:rPr>
                <w:rFonts w:ascii="Cambria" w:eastAsia="Times New Roman" w:hAnsi="Cambria" w:cs="Calibri"/>
                <w:lang w:val="it-IT"/>
              </w:rPr>
              <w:t>kolegij</w:t>
            </w:r>
            <w:proofErr w:type="spellEnd"/>
            <w:r w:rsidRPr="000E50AE">
              <w:rPr>
                <w:rFonts w:ascii="Cambria" w:eastAsia="Times New Roman" w:hAnsi="Cambria" w:cs="Calibri"/>
                <w:lang w:val="it-IT"/>
              </w:rPr>
              <w:t xml:space="preserve"> </w:t>
            </w:r>
            <w:proofErr w:type="spellStart"/>
            <w:r w:rsidRPr="000E50AE">
              <w:rPr>
                <w:rFonts w:ascii="Cambria" w:eastAsia="Times New Roman" w:hAnsi="Cambria" w:cs="Calibri"/>
                <w:lang w:val="it-IT"/>
              </w:rPr>
              <w:t>Kineziologija</w:t>
            </w:r>
            <w:proofErr w:type="spellEnd"/>
            <w:r w:rsidRPr="000E50AE">
              <w:rPr>
                <w:rFonts w:ascii="Cambria" w:eastAsia="Times New Roman" w:hAnsi="Cambria" w:cs="Calibri"/>
                <w:lang w:val="it-IT"/>
              </w:rPr>
              <w:t xml:space="preserve">. </w:t>
            </w:r>
          </w:p>
        </w:tc>
      </w:tr>
      <w:tr w:rsidR="00FC4004" w:rsidRPr="000E50AE" w14:paraId="7078D0C9" w14:textId="77777777" w:rsidTr="00050905">
        <w:trPr>
          <w:trHeight w:val="151"/>
        </w:trPr>
        <w:tc>
          <w:tcPr>
            <w:tcW w:w="282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01F8B5F" w14:textId="77777777" w:rsidR="00FC4004" w:rsidRPr="000E50AE" w:rsidRDefault="00FC4004" w:rsidP="000F1A10">
            <w:pPr>
              <w:spacing w:after="0" w:line="240" w:lineRule="auto"/>
              <w:jc w:val="both"/>
              <w:rPr>
                <w:rFonts w:ascii="Cambria" w:eastAsia="Times New Roman" w:hAnsi="Cambria" w:cs="Calibri"/>
              </w:rPr>
            </w:pPr>
            <w:proofErr w:type="spellStart"/>
            <w:r w:rsidRPr="000E50AE">
              <w:rPr>
                <w:rFonts w:ascii="Cambria" w:eastAsia="Times New Roman" w:hAnsi="Cambria" w:cs="Calibri"/>
              </w:rPr>
              <w:t>Korelativnost</w:t>
            </w:r>
            <w:proofErr w:type="spellEnd"/>
          </w:p>
        </w:tc>
        <w:tc>
          <w:tcPr>
            <w:tcW w:w="7232"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5329487" w14:textId="77777777" w:rsidR="00FC4004" w:rsidRPr="000E50AE" w:rsidRDefault="00FC4004" w:rsidP="000F1A10">
            <w:pPr>
              <w:spacing w:after="0" w:line="240" w:lineRule="auto"/>
              <w:jc w:val="both"/>
              <w:rPr>
                <w:rFonts w:ascii="Cambria" w:eastAsia="Times New Roman" w:hAnsi="Cambria" w:cs="Calibri"/>
              </w:rPr>
            </w:pPr>
            <w:r w:rsidRPr="000E50AE">
              <w:rPr>
                <w:rFonts w:ascii="Cambria" w:eastAsia="Times New Roman" w:hAnsi="Cambria" w:cs="Calibri"/>
                <w:lang w:val="pl-PL"/>
              </w:rPr>
              <w:t>Kineziološka kultura, Kineziologija, Pedagogija, Didaktika, Sociologija obrazovanja, Razvojna psihologija, Edukacijska psihologija, Socijalna pedagogija, Istraživanje odgoja i obrazovanja</w:t>
            </w:r>
          </w:p>
        </w:tc>
      </w:tr>
      <w:tr w:rsidR="00FC4004" w:rsidRPr="000E50AE" w14:paraId="6813F1DB" w14:textId="77777777" w:rsidTr="00050905">
        <w:trPr>
          <w:trHeight w:val="151"/>
        </w:trPr>
        <w:tc>
          <w:tcPr>
            <w:tcW w:w="282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5EEB5BD" w14:textId="77777777" w:rsidR="00FC4004" w:rsidRPr="000E50AE" w:rsidRDefault="00FC4004" w:rsidP="000F1A10">
            <w:pPr>
              <w:spacing w:after="0" w:line="240" w:lineRule="auto"/>
              <w:jc w:val="both"/>
              <w:rPr>
                <w:rFonts w:ascii="Cambria" w:eastAsia="Times New Roman" w:hAnsi="Cambria" w:cs="Calibri"/>
              </w:rPr>
            </w:pPr>
            <w:proofErr w:type="spellStart"/>
            <w:r w:rsidRPr="000E50AE">
              <w:rPr>
                <w:rFonts w:ascii="Cambria" w:eastAsia="Times New Roman" w:hAnsi="Cambria" w:cs="Calibri"/>
              </w:rPr>
              <w:t>Cilj</w:t>
            </w:r>
            <w:proofErr w:type="spellEnd"/>
            <w:r w:rsidRPr="000E50AE">
              <w:rPr>
                <w:rFonts w:ascii="Cambria" w:eastAsia="Times New Roman" w:hAnsi="Cambria" w:cs="Calibri"/>
              </w:rPr>
              <w:t xml:space="preserve"> </w:t>
            </w:r>
            <w:proofErr w:type="spellStart"/>
            <w:r w:rsidRPr="000E50AE">
              <w:rPr>
                <w:rFonts w:ascii="Cambria" w:eastAsia="Times New Roman" w:hAnsi="Cambria" w:cs="Calibri"/>
              </w:rPr>
              <w:t>kolegija</w:t>
            </w:r>
            <w:proofErr w:type="spellEnd"/>
            <w:r w:rsidRPr="000E50AE">
              <w:rPr>
                <w:rFonts w:ascii="Cambria" w:eastAsia="Times New Roman" w:hAnsi="Cambria" w:cs="Calibri"/>
              </w:rPr>
              <w:t xml:space="preserve"> </w:t>
            </w:r>
          </w:p>
        </w:tc>
        <w:tc>
          <w:tcPr>
            <w:tcW w:w="7232"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1BF0448" w14:textId="77777777" w:rsidR="00FC4004" w:rsidRPr="000E50AE" w:rsidRDefault="00FC4004" w:rsidP="000F1A10">
            <w:pPr>
              <w:spacing w:after="0" w:line="240" w:lineRule="auto"/>
              <w:jc w:val="both"/>
              <w:rPr>
                <w:rFonts w:ascii="Cambria" w:eastAsia="Times New Roman" w:hAnsi="Cambria" w:cs="Calibri"/>
                <w:lang w:eastAsia="hr-HR"/>
              </w:rPr>
            </w:pPr>
            <w:proofErr w:type="spellStart"/>
            <w:r w:rsidRPr="000E50AE">
              <w:rPr>
                <w:rFonts w:ascii="Cambria" w:eastAsia="Times New Roman" w:hAnsi="Cambria" w:cs="Calibri Light"/>
              </w:rPr>
              <w:t>utvrditi</w:t>
            </w:r>
            <w:proofErr w:type="spellEnd"/>
            <w:r w:rsidRPr="000E50AE">
              <w:rPr>
                <w:rFonts w:ascii="Cambria" w:eastAsia="Times New Roman" w:hAnsi="Cambria" w:cs="Calibri Light"/>
              </w:rPr>
              <w:t xml:space="preserve"> </w:t>
            </w:r>
            <w:proofErr w:type="spellStart"/>
            <w:r w:rsidRPr="000E50AE">
              <w:rPr>
                <w:rFonts w:ascii="Cambria" w:eastAsia="Times New Roman" w:hAnsi="Cambria" w:cs="Calibri Light"/>
              </w:rPr>
              <w:t>odgojno-obrazovne</w:t>
            </w:r>
            <w:proofErr w:type="spellEnd"/>
            <w:r w:rsidRPr="000E50AE">
              <w:rPr>
                <w:rFonts w:ascii="Cambria" w:eastAsia="Times New Roman" w:hAnsi="Cambria" w:cs="Calibri Light"/>
              </w:rPr>
              <w:t xml:space="preserve"> </w:t>
            </w:r>
            <w:proofErr w:type="spellStart"/>
            <w:r w:rsidRPr="000E50AE">
              <w:rPr>
                <w:rFonts w:ascii="Cambria" w:eastAsia="Times New Roman" w:hAnsi="Cambria" w:cs="Calibri Light"/>
              </w:rPr>
              <w:t>ciljeve</w:t>
            </w:r>
            <w:proofErr w:type="spellEnd"/>
            <w:r w:rsidRPr="000E50AE">
              <w:rPr>
                <w:rFonts w:ascii="Cambria" w:eastAsia="Times New Roman" w:hAnsi="Cambria" w:cs="Calibri Light"/>
              </w:rPr>
              <w:t xml:space="preserve"> </w:t>
            </w:r>
            <w:proofErr w:type="spellStart"/>
            <w:r w:rsidRPr="000E50AE">
              <w:rPr>
                <w:rFonts w:ascii="Cambria" w:eastAsia="Times New Roman" w:hAnsi="Cambria" w:cs="Calibri Light"/>
              </w:rPr>
              <w:t>učenja</w:t>
            </w:r>
            <w:proofErr w:type="spellEnd"/>
            <w:r w:rsidRPr="000E50AE">
              <w:rPr>
                <w:rFonts w:ascii="Cambria" w:eastAsia="Times New Roman" w:hAnsi="Cambria" w:cs="Calibri Light"/>
              </w:rPr>
              <w:t xml:space="preserve">, </w:t>
            </w:r>
            <w:proofErr w:type="spellStart"/>
            <w:r w:rsidRPr="000E50AE">
              <w:rPr>
                <w:rFonts w:ascii="Cambria" w:eastAsia="Times New Roman" w:hAnsi="Cambria" w:cs="Calibri Light"/>
              </w:rPr>
              <w:t>poučavanja</w:t>
            </w:r>
            <w:proofErr w:type="spellEnd"/>
            <w:r w:rsidRPr="000E50AE">
              <w:rPr>
                <w:rFonts w:ascii="Cambria" w:eastAsia="Times New Roman" w:hAnsi="Cambria" w:cs="Calibri Light"/>
              </w:rPr>
              <w:t xml:space="preserve"> </w:t>
            </w:r>
            <w:proofErr w:type="spellStart"/>
            <w:r w:rsidRPr="000E50AE">
              <w:rPr>
                <w:rFonts w:ascii="Cambria" w:eastAsia="Times New Roman" w:hAnsi="Cambria" w:cs="Calibri Light"/>
              </w:rPr>
              <w:t>i</w:t>
            </w:r>
            <w:proofErr w:type="spellEnd"/>
            <w:r w:rsidRPr="000E50AE">
              <w:rPr>
                <w:rFonts w:ascii="Cambria" w:eastAsia="Times New Roman" w:hAnsi="Cambria" w:cs="Calibri Light"/>
              </w:rPr>
              <w:t xml:space="preserve"> </w:t>
            </w:r>
            <w:proofErr w:type="spellStart"/>
            <w:r w:rsidRPr="000E50AE">
              <w:rPr>
                <w:rFonts w:ascii="Cambria" w:eastAsia="Times New Roman" w:hAnsi="Cambria" w:cs="Calibri Light"/>
              </w:rPr>
              <w:t>vježbanja</w:t>
            </w:r>
            <w:proofErr w:type="spellEnd"/>
            <w:r w:rsidRPr="000E50AE">
              <w:rPr>
                <w:rFonts w:ascii="Cambria" w:eastAsia="Times New Roman" w:hAnsi="Cambria" w:cs="Calibri Light"/>
              </w:rPr>
              <w:t xml:space="preserve"> u </w:t>
            </w:r>
            <w:proofErr w:type="spellStart"/>
            <w:r w:rsidRPr="000E50AE">
              <w:rPr>
                <w:rFonts w:ascii="Cambria" w:eastAsia="Times New Roman" w:hAnsi="Cambria" w:cs="Calibri Light"/>
              </w:rPr>
              <w:t>tjelesnom</w:t>
            </w:r>
            <w:proofErr w:type="spellEnd"/>
            <w:r w:rsidRPr="000E50AE">
              <w:rPr>
                <w:rFonts w:ascii="Cambria" w:eastAsia="Times New Roman" w:hAnsi="Cambria" w:cs="Calibri Light"/>
              </w:rPr>
              <w:t xml:space="preserve"> </w:t>
            </w:r>
            <w:proofErr w:type="spellStart"/>
            <w:r w:rsidRPr="000E50AE">
              <w:rPr>
                <w:rFonts w:ascii="Cambria" w:eastAsia="Times New Roman" w:hAnsi="Cambria" w:cs="Calibri Light"/>
              </w:rPr>
              <w:t>i</w:t>
            </w:r>
            <w:proofErr w:type="spellEnd"/>
            <w:r w:rsidRPr="000E50AE">
              <w:rPr>
                <w:rFonts w:ascii="Cambria" w:eastAsia="Times New Roman" w:hAnsi="Cambria" w:cs="Calibri Light"/>
              </w:rPr>
              <w:t xml:space="preserve"> </w:t>
            </w:r>
            <w:proofErr w:type="spellStart"/>
            <w:r w:rsidRPr="000E50AE">
              <w:rPr>
                <w:rFonts w:ascii="Cambria" w:eastAsia="Times New Roman" w:hAnsi="Cambria" w:cs="Calibri Light"/>
              </w:rPr>
              <w:t>zdravstvenom</w:t>
            </w:r>
            <w:proofErr w:type="spellEnd"/>
            <w:r w:rsidRPr="000E50AE">
              <w:rPr>
                <w:rFonts w:ascii="Cambria" w:eastAsia="Times New Roman" w:hAnsi="Cambria" w:cs="Calibri Light"/>
              </w:rPr>
              <w:t xml:space="preserve"> </w:t>
            </w:r>
            <w:proofErr w:type="spellStart"/>
            <w:r w:rsidRPr="000E50AE">
              <w:rPr>
                <w:rFonts w:ascii="Cambria" w:eastAsia="Times New Roman" w:hAnsi="Cambria" w:cs="Calibri Light"/>
              </w:rPr>
              <w:t>odgojno-obrazovnom</w:t>
            </w:r>
            <w:proofErr w:type="spellEnd"/>
            <w:r w:rsidRPr="000E50AE">
              <w:rPr>
                <w:rFonts w:ascii="Cambria" w:eastAsia="Times New Roman" w:hAnsi="Cambria" w:cs="Calibri Light"/>
              </w:rPr>
              <w:t xml:space="preserve"> </w:t>
            </w:r>
            <w:proofErr w:type="spellStart"/>
            <w:r w:rsidRPr="000E50AE">
              <w:rPr>
                <w:rFonts w:ascii="Cambria" w:eastAsia="Times New Roman" w:hAnsi="Cambria" w:cs="Calibri Light"/>
              </w:rPr>
              <w:t>području</w:t>
            </w:r>
            <w:proofErr w:type="spellEnd"/>
            <w:r w:rsidRPr="000E50AE">
              <w:rPr>
                <w:rFonts w:ascii="Cambria" w:eastAsia="Times New Roman" w:hAnsi="Cambria" w:cs="Calibri Light"/>
              </w:rPr>
              <w:t xml:space="preserve"> </w:t>
            </w:r>
            <w:proofErr w:type="spellStart"/>
            <w:r w:rsidRPr="000E50AE">
              <w:rPr>
                <w:rFonts w:ascii="Cambria" w:eastAsia="Times New Roman" w:hAnsi="Cambria" w:cs="Calibri Light"/>
              </w:rPr>
              <w:t>i</w:t>
            </w:r>
            <w:proofErr w:type="spellEnd"/>
            <w:r w:rsidRPr="000E50AE">
              <w:rPr>
                <w:rFonts w:ascii="Cambria" w:eastAsia="Times New Roman" w:hAnsi="Cambria" w:cs="Calibri Light"/>
              </w:rPr>
              <w:t xml:space="preserve"> </w:t>
            </w:r>
            <w:proofErr w:type="spellStart"/>
            <w:r w:rsidRPr="000E50AE">
              <w:rPr>
                <w:rFonts w:ascii="Cambria" w:eastAsia="Times New Roman" w:hAnsi="Cambria" w:cs="Calibri Light"/>
              </w:rPr>
              <w:t>upoznavanje</w:t>
            </w:r>
            <w:proofErr w:type="spellEnd"/>
            <w:r w:rsidRPr="000E50AE">
              <w:rPr>
                <w:rFonts w:ascii="Cambria" w:eastAsia="Times New Roman" w:hAnsi="Cambria" w:cs="Calibri Light"/>
              </w:rPr>
              <w:t xml:space="preserve"> s </w:t>
            </w:r>
            <w:proofErr w:type="spellStart"/>
            <w:r w:rsidRPr="000E50AE">
              <w:rPr>
                <w:rFonts w:ascii="Cambria" w:eastAsia="Times New Roman" w:hAnsi="Cambria" w:cs="Calibri Light"/>
              </w:rPr>
              <w:t>motoričkim</w:t>
            </w:r>
            <w:proofErr w:type="spellEnd"/>
            <w:r w:rsidRPr="000E50AE">
              <w:rPr>
                <w:rFonts w:ascii="Cambria" w:eastAsia="Times New Roman" w:hAnsi="Cambria" w:cs="Calibri Light"/>
              </w:rPr>
              <w:t xml:space="preserve"> </w:t>
            </w:r>
            <w:proofErr w:type="spellStart"/>
            <w:r w:rsidRPr="000E50AE">
              <w:rPr>
                <w:rFonts w:ascii="Cambria" w:eastAsia="Times New Roman" w:hAnsi="Cambria" w:cs="Calibri Light"/>
              </w:rPr>
              <w:t>sadržajima</w:t>
            </w:r>
            <w:proofErr w:type="spellEnd"/>
            <w:r w:rsidRPr="000E50AE">
              <w:rPr>
                <w:rFonts w:ascii="Cambria" w:eastAsia="Times New Roman" w:hAnsi="Cambria" w:cs="Calibri Light"/>
              </w:rPr>
              <w:t xml:space="preserve"> </w:t>
            </w:r>
            <w:proofErr w:type="spellStart"/>
            <w:r w:rsidRPr="000E50AE">
              <w:rPr>
                <w:rFonts w:ascii="Cambria" w:eastAsia="Times New Roman" w:hAnsi="Cambria" w:cs="Calibri Light"/>
              </w:rPr>
              <w:t>predmetnog</w:t>
            </w:r>
            <w:proofErr w:type="spellEnd"/>
            <w:r w:rsidRPr="000E50AE">
              <w:rPr>
                <w:rFonts w:ascii="Cambria" w:eastAsia="Times New Roman" w:hAnsi="Cambria" w:cs="Calibri Light"/>
              </w:rPr>
              <w:t xml:space="preserve"> </w:t>
            </w:r>
            <w:proofErr w:type="spellStart"/>
            <w:r w:rsidRPr="000E50AE">
              <w:rPr>
                <w:rFonts w:ascii="Cambria" w:eastAsia="Times New Roman" w:hAnsi="Cambria" w:cs="Calibri Light"/>
              </w:rPr>
              <w:t>kurikuluma</w:t>
            </w:r>
            <w:proofErr w:type="spellEnd"/>
            <w:r w:rsidRPr="000E50AE">
              <w:rPr>
                <w:rFonts w:ascii="Cambria" w:eastAsia="Times New Roman" w:hAnsi="Cambria" w:cs="Calibri Light"/>
              </w:rPr>
              <w:t xml:space="preserve"> </w:t>
            </w:r>
            <w:proofErr w:type="spellStart"/>
            <w:r w:rsidRPr="000E50AE">
              <w:rPr>
                <w:rFonts w:ascii="Cambria" w:eastAsia="Times New Roman" w:hAnsi="Cambria" w:cs="Calibri Light"/>
              </w:rPr>
              <w:t>Tjelesne</w:t>
            </w:r>
            <w:proofErr w:type="spellEnd"/>
            <w:r w:rsidRPr="000E50AE">
              <w:rPr>
                <w:rFonts w:ascii="Cambria" w:eastAsia="Times New Roman" w:hAnsi="Cambria" w:cs="Calibri Light"/>
              </w:rPr>
              <w:t xml:space="preserve"> </w:t>
            </w:r>
            <w:proofErr w:type="spellStart"/>
            <w:r w:rsidRPr="000E50AE">
              <w:rPr>
                <w:rFonts w:ascii="Cambria" w:eastAsia="Times New Roman" w:hAnsi="Cambria" w:cs="Calibri Light"/>
              </w:rPr>
              <w:t>i</w:t>
            </w:r>
            <w:proofErr w:type="spellEnd"/>
            <w:r w:rsidRPr="000E50AE">
              <w:rPr>
                <w:rFonts w:ascii="Cambria" w:eastAsia="Times New Roman" w:hAnsi="Cambria" w:cs="Calibri Light"/>
              </w:rPr>
              <w:t xml:space="preserve"> </w:t>
            </w:r>
            <w:proofErr w:type="spellStart"/>
            <w:r w:rsidRPr="000E50AE">
              <w:rPr>
                <w:rFonts w:ascii="Cambria" w:eastAsia="Times New Roman" w:hAnsi="Cambria" w:cs="Calibri Light"/>
              </w:rPr>
              <w:t>zdravstvene</w:t>
            </w:r>
            <w:proofErr w:type="spellEnd"/>
            <w:r w:rsidRPr="000E50AE">
              <w:rPr>
                <w:rFonts w:ascii="Cambria" w:eastAsia="Times New Roman" w:hAnsi="Cambria" w:cs="Calibri Light"/>
              </w:rPr>
              <w:t xml:space="preserve"> </w:t>
            </w:r>
            <w:proofErr w:type="spellStart"/>
            <w:r w:rsidRPr="000E50AE">
              <w:rPr>
                <w:rFonts w:ascii="Cambria" w:eastAsia="Times New Roman" w:hAnsi="Cambria" w:cs="Calibri Light"/>
              </w:rPr>
              <w:t>kulture</w:t>
            </w:r>
            <w:proofErr w:type="spellEnd"/>
            <w:r w:rsidRPr="000E50AE">
              <w:rPr>
                <w:rFonts w:ascii="Cambria" w:eastAsia="Times New Roman" w:hAnsi="Cambria" w:cs="Calibri Light"/>
              </w:rPr>
              <w:t xml:space="preserve"> u </w:t>
            </w:r>
            <w:proofErr w:type="spellStart"/>
            <w:r w:rsidRPr="000E50AE">
              <w:rPr>
                <w:rFonts w:ascii="Cambria" w:eastAsia="Times New Roman" w:hAnsi="Cambria" w:cs="Calibri Light"/>
              </w:rPr>
              <w:t>razrednoj</w:t>
            </w:r>
            <w:proofErr w:type="spellEnd"/>
            <w:r w:rsidRPr="000E50AE">
              <w:rPr>
                <w:rFonts w:ascii="Cambria" w:eastAsia="Times New Roman" w:hAnsi="Cambria" w:cs="Calibri Light"/>
              </w:rPr>
              <w:t xml:space="preserve"> </w:t>
            </w:r>
            <w:proofErr w:type="spellStart"/>
            <w:r w:rsidRPr="000E50AE">
              <w:rPr>
                <w:rFonts w:ascii="Cambria" w:eastAsia="Times New Roman" w:hAnsi="Cambria" w:cs="Calibri Light"/>
              </w:rPr>
              <w:t>nastavi</w:t>
            </w:r>
            <w:proofErr w:type="spellEnd"/>
          </w:p>
        </w:tc>
      </w:tr>
      <w:tr w:rsidR="00FC4004" w:rsidRPr="00D0399C" w14:paraId="2F530477" w14:textId="77777777" w:rsidTr="00050905">
        <w:trPr>
          <w:trHeight w:val="151"/>
        </w:trPr>
        <w:tc>
          <w:tcPr>
            <w:tcW w:w="282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0324522" w14:textId="77777777" w:rsidR="00FC4004" w:rsidRPr="000E50AE" w:rsidRDefault="00FC4004" w:rsidP="000F1A10">
            <w:pPr>
              <w:spacing w:after="0" w:line="240" w:lineRule="auto"/>
              <w:jc w:val="both"/>
              <w:rPr>
                <w:rFonts w:ascii="Cambria" w:eastAsia="Times New Roman" w:hAnsi="Cambria" w:cs="Calibri"/>
              </w:rPr>
            </w:pPr>
            <w:proofErr w:type="spellStart"/>
            <w:r w:rsidRPr="000E50AE">
              <w:rPr>
                <w:rFonts w:ascii="Cambria" w:eastAsia="Times New Roman" w:hAnsi="Cambria" w:cs="Calibri"/>
              </w:rPr>
              <w:t>Ishodi</w:t>
            </w:r>
            <w:proofErr w:type="spellEnd"/>
            <w:r w:rsidRPr="000E50AE">
              <w:rPr>
                <w:rFonts w:ascii="Cambria" w:eastAsia="Times New Roman" w:hAnsi="Cambria" w:cs="Calibri"/>
              </w:rPr>
              <w:t xml:space="preserve"> </w:t>
            </w:r>
            <w:proofErr w:type="spellStart"/>
            <w:r w:rsidRPr="000E50AE">
              <w:rPr>
                <w:rFonts w:ascii="Cambria" w:eastAsia="Times New Roman" w:hAnsi="Cambria" w:cs="Calibri"/>
              </w:rPr>
              <w:t>učenja</w:t>
            </w:r>
            <w:proofErr w:type="spellEnd"/>
          </w:p>
        </w:tc>
        <w:tc>
          <w:tcPr>
            <w:tcW w:w="7232"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3931CBF" w14:textId="77777777" w:rsidR="00FC4004" w:rsidRPr="000E50AE" w:rsidRDefault="00FC4004" w:rsidP="000F1A10">
            <w:pPr>
              <w:tabs>
                <w:tab w:val="left" w:pos="490"/>
              </w:tabs>
              <w:spacing w:after="0" w:line="240" w:lineRule="auto"/>
              <w:jc w:val="both"/>
              <w:rPr>
                <w:rFonts w:ascii="Cambria" w:eastAsia="Times New Roman" w:hAnsi="Cambria" w:cs="Calibri"/>
              </w:rPr>
            </w:pPr>
            <w:r w:rsidRPr="000E50AE">
              <w:rPr>
                <w:rFonts w:ascii="Cambria" w:eastAsia="Times New Roman" w:hAnsi="Cambria" w:cs="Calibri"/>
              </w:rPr>
              <w:t xml:space="preserve">1. </w:t>
            </w:r>
            <w:proofErr w:type="spellStart"/>
            <w:r w:rsidRPr="000E50AE">
              <w:rPr>
                <w:rFonts w:ascii="Cambria" w:eastAsia="Times New Roman" w:hAnsi="Cambria" w:cs="Calibri"/>
              </w:rPr>
              <w:t>interpretirati</w:t>
            </w:r>
            <w:proofErr w:type="spellEnd"/>
            <w:r w:rsidRPr="000E50AE">
              <w:rPr>
                <w:rFonts w:ascii="Cambria" w:eastAsia="Times New Roman" w:hAnsi="Cambria" w:cs="Calibri"/>
              </w:rPr>
              <w:t xml:space="preserve"> </w:t>
            </w:r>
            <w:proofErr w:type="spellStart"/>
            <w:r w:rsidRPr="000E50AE">
              <w:rPr>
                <w:rFonts w:ascii="Cambria" w:eastAsia="Times New Roman" w:hAnsi="Cambria" w:cs="Calibri"/>
              </w:rPr>
              <w:t>kritički</w:t>
            </w:r>
            <w:proofErr w:type="spellEnd"/>
            <w:r w:rsidRPr="000E50AE">
              <w:rPr>
                <w:rFonts w:ascii="Cambria" w:eastAsia="Times New Roman" w:hAnsi="Cambria" w:cs="Calibri"/>
              </w:rPr>
              <w:t xml:space="preserve"> </w:t>
            </w:r>
            <w:proofErr w:type="spellStart"/>
            <w:r w:rsidRPr="000E50AE">
              <w:rPr>
                <w:rFonts w:ascii="Cambria" w:eastAsia="Times New Roman" w:hAnsi="Cambria" w:cs="Calibri"/>
              </w:rPr>
              <w:t>i</w:t>
            </w:r>
            <w:proofErr w:type="spellEnd"/>
            <w:r w:rsidRPr="000E50AE">
              <w:rPr>
                <w:rFonts w:ascii="Cambria" w:eastAsia="Times New Roman" w:hAnsi="Cambria" w:cs="Calibri"/>
              </w:rPr>
              <w:t xml:space="preserve"> </w:t>
            </w:r>
            <w:proofErr w:type="spellStart"/>
            <w:r w:rsidRPr="000E50AE">
              <w:rPr>
                <w:rFonts w:ascii="Cambria" w:eastAsia="Times New Roman" w:hAnsi="Cambria" w:cs="Calibri"/>
              </w:rPr>
              <w:t>stvaralački</w:t>
            </w:r>
            <w:proofErr w:type="spellEnd"/>
            <w:r w:rsidRPr="000E50AE">
              <w:rPr>
                <w:rFonts w:ascii="Cambria" w:eastAsia="Times New Roman" w:hAnsi="Cambria" w:cs="Calibri"/>
              </w:rPr>
              <w:t xml:space="preserve"> </w:t>
            </w:r>
            <w:proofErr w:type="spellStart"/>
            <w:r w:rsidRPr="000E50AE">
              <w:rPr>
                <w:rFonts w:ascii="Cambria" w:eastAsia="Times New Roman" w:hAnsi="Cambria" w:cs="Calibri"/>
              </w:rPr>
              <w:t>odnos</w:t>
            </w:r>
            <w:proofErr w:type="spellEnd"/>
            <w:r w:rsidRPr="000E50AE">
              <w:rPr>
                <w:rFonts w:ascii="Cambria" w:eastAsia="Times New Roman" w:hAnsi="Cambria" w:cs="Calibri"/>
              </w:rPr>
              <w:t xml:space="preserve"> </w:t>
            </w:r>
            <w:proofErr w:type="spellStart"/>
            <w:r w:rsidRPr="000E50AE">
              <w:rPr>
                <w:rFonts w:ascii="Cambria" w:eastAsia="Times New Roman" w:hAnsi="Cambria" w:cs="Calibri"/>
              </w:rPr>
              <w:t>prema</w:t>
            </w:r>
            <w:proofErr w:type="spellEnd"/>
            <w:r w:rsidRPr="000E50AE">
              <w:rPr>
                <w:rFonts w:ascii="Cambria" w:eastAsia="Times New Roman" w:hAnsi="Cambria" w:cs="Calibri"/>
              </w:rPr>
              <w:t xml:space="preserve"> </w:t>
            </w:r>
            <w:proofErr w:type="spellStart"/>
            <w:r w:rsidRPr="000E50AE">
              <w:rPr>
                <w:rFonts w:ascii="Cambria" w:eastAsia="Times New Roman" w:hAnsi="Cambria" w:cs="Calibri"/>
              </w:rPr>
              <w:t>kineziologijskoj</w:t>
            </w:r>
            <w:proofErr w:type="spellEnd"/>
            <w:r w:rsidRPr="000E50AE">
              <w:rPr>
                <w:rFonts w:ascii="Cambria" w:eastAsia="Times New Roman" w:hAnsi="Cambria" w:cs="Calibri"/>
              </w:rPr>
              <w:t xml:space="preserve"> </w:t>
            </w:r>
            <w:proofErr w:type="spellStart"/>
            <w:r w:rsidRPr="000E50AE">
              <w:rPr>
                <w:rFonts w:ascii="Cambria" w:eastAsia="Times New Roman" w:hAnsi="Cambria" w:cs="Calibri"/>
              </w:rPr>
              <w:t>znanosti</w:t>
            </w:r>
            <w:proofErr w:type="spellEnd"/>
            <w:r w:rsidRPr="000E50AE">
              <w:rPr>
                <w:rFonts w:ascii="Cambria" w:eastAsia="Times New Roman" w:hAnsi="Cambria" w:cs="Calibri"/>
              </w:rPr>
              <w:t xml:space="preserve"> </w:t>
            </w:r>
            <w:proofErr w:type="spellStart"/>
            <w:r w:rsidRPr="000E50AE">
              <w:rPr>
                <w:rFonts w:ascii="Cambria" w:eastAsia="Times New Roman" w:hAnsi="Cambria" w:cs="Calibri"/>
              </w:rPr>
              <w:t>i</w:t>
            </w:r>
            <w:proofErr w:type="spellEnd"/>
            <w:r w:rsidRPr="000E50AE">
              <w:rPr>
                <w:rFonts w:ascii="Cambria" w:eastAsia="Times New Roman" w:hAnsi="Cambria" w:cs="Calibri"/>
              </w:rPr>
              <w:t xml:space="preserve"> </w:t>
            </w:r>
            <w:proofErr w:type="spellStart"/>
            <w:r w:rsidRPr="000E50AE">
              <w:rPr>
                <w:rFonts w:ascii="Cambria" w:eastAsia="Times New Roman" w:hAnsi="Cambria" w:cs="Calibri"/>
              </w:rPr>
              <w:t>tjelesnom</w:t>
            </w:r>
            <w:proofErr w:type="spellEnd"/>
            <w:r w:rsidRPr="000E50AE">
              <w:rPr>
                <w:rFonts w:ascii="Cambria" w:eastAsia="Times New Roman" w:hAnsi="Cambria" w:cs="Calibri"/>
              </w:rPr>
              <w:t xml:space="preserve"> </w:t>
            </w:r>
            <w:proofErr w:type="spellStart"/>
            <w:r w:rsidRPr="000E50AE">
              <w:rPr>
                <w:rFonts w:ascii="Cambria" w:eastAsia="Times New Roman" w:hAnsi="Cambria" w:cs="Calibri"/>
              </w:rPr>
              <w:t>i</w:t>
            </w:r>
            <w:proofErr w:type="spellEnd"/>
            <w:r w:rsidRPr="000E50AE">
              <w:rPr>
                <w:rFonts w:ascii="Cambria" w:eastAsia="Times New Roman" w:hAnsi="Cambria" w:cs="Calibri"/>
              </w:rPr>
              <w:t xml:space="preserve"> </w:t>
            </w:r>
            <w:proofErr w:type="spellStart"/>
            <w:r w:rsidRPr="000E50AE">
              <w:rPr>
                <w:rFonts w:ascii="Cambria" w:eastAsia="Times New Roman" w:hAnsi="Cambria" w:cs="Calibri"/>
              </w:rPr>
              <w:t>zdravstvenom</w:t>
            </w:r>
            <w:proofErr w:type="spellEnd"/>
            <w:r w:rsidRPr="000E50AE">
              <w:rPr>
                <w:rFonts w:ascii="Cambria" w:eastAsia="Times New Roman" w:hAnsi="Cambria" w:cs="Calibri"/>
              </w:rPr>
              <w:t xml:space="preserve"> </w:t>
            </w:r>
            <w:proofErr w:type="spellStart"/>
            <w:r w:rsidRPr="000E50AE">
              <w:rPr>
                <w:rFonts w:ascii="Cambria" w:eastAsia="Times New Roman" w:hAnsi="Cambria" w:cs="Calibri"/>
              </w:rPr>
              <w:t>odgojno</w:t>
            </w:r>
            <w:proofErr w:type="spellEnd"/>
            <w:r w:rsidRPr="000E50AE">
              <w:rPr>
                <w:rFonts w:ascii="Cambria" w:eastAsia="Times New Roman" w:hAnsi="Cambria" w:cs="Calibri"/>
              </w:rPr>
              <w:t xml:space="preserve"> </w:t>
            </w:r>
            <w:proofErr w:type="spellStart"/>
            <w:r w:rsidRPr="000E50AE">
              <w:rPr>
                <w:rFonts w:ascii="Cambria" w:eastAsia="Times New Roman" w:hAnsi="Cambria" w:cs="Calibri"/>
              </w:rPr>
              <w:t>obrazovnom</w:t>
            </w:r>
            <w:r w:rsidRPr="000E50AE">
              <w:rPr>
                <w:rFonts w:ascii="Cambria" w:eastAsia="Times New Roman" w:hAnsi="Cambria" w:cs="Times New Roman"/>
                <w:lang w:eastAsia="hr-HR"/>
              </w:rPr>
              <w:t>-</w:t>
            </w:r>
            <w:r w:rsidRPr="000E50AE">
              <w:rPr>
                <w:rFonts w:ascii="Cambria" w:eastAsia="Times New Roman" w:hAnsi="Cambria" w:cs="Calibri"/>
              </w:rPr>
              <w:t>području</w:t>
            </w:r>
            <w:proofErr w:type="spellEnd"/>
          </w:p>
          <w:p w14:paraId="3DC2745F" w14:textId="77777777" w:rsidR="00FC4004" w:rsidRPr="000E50AE" w:rsidRDefault="00FC4004" w:rsidP="000F1A10">
            <w:pPr>
              <w:tabs>
                <w:tab w:val="left" w:pos="490"/>
              </w:tabs>
              <w:spacing w:after="0" w:line="240" w:lineRule="auto"/>
              <w:jc w:val="both"/>
              <w:rPr>
                <w:rFonts w:ascii="Cambria" w:eastAsia="Times New Roman" w:hAnsi="Cambria" w:cs="Calibri"/>
                <w:lang w:val="it-IT"/>
              </w:rPr>
            </w:pPr>
            <w:r w:rsidRPr="000E50AE">
              <w:rPr>
                <w:rFonts w:ascii="Cambria" w:eastAsia="Times New Roman" w:hAnsi="Cambria" w:cs="Calibri"/>
                <w:lang w:val="it-IT"/>
              </w:rPr>
              <w:t xml:space="preserve">2. </w:t>
            </w:r>
            <w:proofErr w:type="spellStart"/>
            <w:r w:rsidRPr="000E50AE">
              <w:rPr>
                <w:rFonts w:ascii="Cambria" w:eastAsia="Times New Roman" w:hAnsi="Cambria" w:cs="Calibri"/>
                <w:lang w:val="it-IT"/>
              </w:rPr>
              <w:t>interpretirati</w:t>
            </w:r>
            <w:proofErr w:type="spellEnd"/>
            <w:r w:rsidRPr="000E50AE">
              <w:rPr>
                <w:rFonts w:ascii="Cambria" w:eastAsia="Times New Roman" w:hAnsi="Cambria" w:cs="Calibri"/>
                <w:lang w:val="it-IT"/>
              </w:rPr>
              <w:t xml:space="preserve"> </w:t>
            </w:r>
            <w:proofErr w:type="spellStart"/>
            <w:r w:rsidRPr="000E50AE">
              <w:rPr>
                <w:rFonts w:ascii="Cambria" w:eastAsia="Times New Roman" w:hAnsi="Cambria" w:cs="Calibri"/>
                <w:lang w:val="it-IT"/>
              </w:rPr>
              <w:t>osnovne</w:t>
            </w:r>
            <w:proofErr w:type="spellEnd"/>
            <w:r w:rsidRPr="000E50AE">
              <w:rPr>
                <w:rFonts w:ascii="Cambria" w:eastAsia="Times New Roman" w:hAnsi="Cambria" w:cs="Calibri"/>
                <w:lang w:val="it-IT"/>
              </w:rPr>
              <w:t xml:space="preserve"> </w:t>
            </w:r>
            <w:proofErr w:type="spellStart"/>
            <w:r w:rsidRPr="000E50AE">
              <w:rPr>
                <w:rFonts w:ascii="Cambria" w:eastAsia="Times New Roman" w:hAnsi="Cambria" w:cs="Calibri"/>
                <w:lang w:val="it-IT"/>
              </w:rPr>
              <w:t>pojmove</w:t>
            </w:r>
            <w:proofErr w:type="spellEnd"/>
            <w:r w:rsidRPr="000E50AE">
              <w:rPr>
                <w:rFonts w:ascii="Cambria" w:eastAsia="Times New Roman" w:hAnsi="Cambria" w:cs="Calibri"/>
                <w:lang w:val="it-IT"/>
              </w:rPr>
              <w:t xml:space="preserve"> i </w:t>
            </w:r>
            <w:proofErr w:type="spellStart"/>
            <w:r w:rsidRPr="000E50AE">
              <w:rPr>
                <w:rFonts w:ascii="Cambria" w:eastAsia="Times New Roman" w:hAnsi="Cambria" w:cs="Calibri"/>
                <w:lang w:val="it-IT"/>
              </w:rPr>
              <w:t>stručne</w:t>
            </w:r>
            <w:proofErr w:type="spellEnd"/>
            <w:r w:rsidRPr="000E50AE">
              <w:rPr>
                <w:rFonts w:ascii="Cambria" w:eastAsia="Times New Roman" w:hAnsi="Cambria" w:cs="Calibri"/>
                <w:lang w:val="it-IT"/>
              </w:rPr>
              <w:t xml:space="preserve"> termine </w:t>
            </w:r>
            <w:proofErr w:type="spellStart"/>
            <w:r w:rsidRPr="000E50AE">
              <w:rPr>
                <w:rFonts w:ascii="Cambria" w:eastAsia="Times New Roman" w:hAnsi="Cambria" w:cs="Calibri"/>
                <w:lang w:val="it-IT"/>
              </w:rPr>
              <w:t>iz</w:t>
            </w:r>
            <w:proofErr w:type="spellEnd"/>
            <w:r w:rsidRPr="000E50AE">
              <w:rPr>
                <w:rFonts w:ascii="Cambria" w:eastAsia="Times New Roman" w:hAnsi="Cambria" w:cs="Calibri"/>
                <w:lang w:val="it-IT"/>
              </w:rPr>
              <w:t xml:space="preserve"> </w:t>
            </w:r>
            <w:proofErr w:type="spellStart"/>
            <w:r w:rsidRPr="000E50AE">
              <w:rPr>
                <w:rFonts w:ascii="Cambria" w:eastAsia="Times New Roman" w:hAnsi="Cambria" w:cs="Calibri"/>
                <w:lang w:val="it-IT"/>
              </w:rPr>
              <w:t>kineziološke</w:t>
            </w:r>
            <w:proofErr w:type="spellEnd"/>
            <w:r w:rsidRPr="000E50AE">
              <w:rPr>
                <w:rFonts w:ascii="Cambria" w:eastAsia="Times New Roman" w:hAnsi="Cambria" w:cs="Calibri"/>
                <w:lang w:val="it-IT"/>
              </w:rPr>
              <w:t xml:space="preserve"> </w:t>
            </w:r>
            <w:proofErr w:type="spellStart"/>
            <w:r w:rsidRPr="000E50AE">
              <w:rPr>
                <w:rFonts w:ascii="Cambria" w:eastAsia="Times New Roman" w:hAnsi="Cambria" w:cs="Calibri"/>
                <w:lang w:val="it-IT"/>
              </w:rPr>
              <w:t>metodike</w:t>
            </w:r>
            <w:proofErr w:type="spellEnd"/>
          </w:p>
          <w:p w14:paraId="67F7480F" w14:textId="77777777" w:rsidR="00FC4004" w:rsidRPr="000E50AE" w:rsidRDefault="00FC4004" w:rsidP="000F1A10">
            <w:pPr>
              <w:tabs>
                <w:tab w:val="left" w:pos="490"/>
              </w:tabs>
              <w:spacing w:after="0" w:line="240" w:lineRule="auto"/>
              <w:jc w:val="both"/>
              <w:rPr>
                <w:rFonts w:ascii="Cambria" w:eastAsia="Times New Roman" w:hAnsi="Cambria" w:cs="Calibri"/>
                <w:lang w:val="it-IT"/>
              </w:rPr>
            </w:pPr>
            <w:r w:rsidRPr="000E50AE">
              <w:rPr>
                <w:rFonts w:ascii="Cambria" w:eastAsia="Times New Roman" w:hAnsi="Cambria" w:cs="Calibri"/>
                <w:lang w:val="it-IT"/>
              </w:rPr>
              <w:t xml:space="preserve">3. </w:t>
            </w:r>
            <w:proofErr w:type="spellStart"/>
            <w:r w:rsidRPr="000E50AE">
              <w:rPr>
                <w:rFonts w:ascii="Cambria" w:eastAsia="Times New Roman" w:hAnsi="Cambria" w:cs="Calibri"/>
                <w:lang w:val="it-IT"/>
              </w:rPr>
              <w:t>analizirati</w:t>
            </w:r>
            <w:proofErr w:type="spellEnd"/>
            <w:r w:rsidRPr="000E50AE">
              <w:rPr>
                <w:rFonts w:ascii="Cambria" w:eastAsia="Times New Roman" w:hAnsi="Cambria" w:cs="Calibri"/>
                <w:lang w:val="it-IT"/>
              </w:rPr>
              <w:t xml:space="preserve"> </w:t>
            </w:r>
            <w:proofErr w:type="spellStart"/>
            <w:r w:rsidRPr="000E50AE">
              <w:rPr>
                <w:rFonts w:ascii="Cambria" w:eastAsia="Times New Roman" w:hAnsi="Cambria" w:cs="Calibri"/>
                <w:lang w:val="it-IT"/>
              </w:rPr>
              <w:t>mogućnosti</w:t>
            </w:r>
            <w:proofErr w:type="spellEnd"/>
            <w:r w:rsidRPr="000E50AE">
              <w:rPr>
                <w:rFonts w:ascii="Cambria" w:eastAsia="Times New Roman" w:hAnsi="Cambria" w:cs="Calibri"/>
                <w:lang w:val="it-IT"/>
              </w:rPr>
              <w:t xml:space="preserve"> </w:t>
            </w:r>
            <w:proofErr w:type="spellStart"/>
            <w:r w:rsidRPr="000E50AE">
              <w:rPr>
                <w:rFonts w:ascii="Cambria" w:eastAsia="Times New Roman" w:hAnsi="Cambria" w:cs="Calibri"/>
                <w:lang w:val="it-IT"/>
              </w:rPr>
              <w:t>primjene</w:t>
            </w:r>
            <w:proofErr w:type="spellEnd"/>
            <w:r w:rsidRPr="000E50AE">
              <w:rPr>
                <w:rFonts w:ascii="Cambria" w:eastAsia="Times New Roman" w:hAnsi="Cambria" w:cs="Calibri"/>
                <w:lang w:val="it-IT"/>
              </w:rPr>
              <w:t xml:space="preserve"> </w:t>
            </w:r>
            <w:proofErr w:type="spellStart"/>
            <w:r w:rsidRPr="000E50AE">
              <w:rPr>
                <w:rFonts w:ascii="Cambria" w:eastAsia="Times New Roman" w:hAnsi="Cambria" w:cs="Calibri"/>
                <w:lang w:val="it-IT"/>
              </w:rPr>
              <w:t>kinezioloških</w:t>
            </w:r>
            <w:proofErr w:type="spellEnd"/>
            <w:r w:rsidRPr="000E50AE">
              <w:rPr>
                <w:rFonts w:ascii="Cambria" w:eastAsia="Times New Roman" w:hAnsi="Cambria" w:cs="Calibri"/>
                <w:lang w:val="it-IT"/>
              </w:rPr>
              <w:t xml:space="preserve"> </w:t>
            </w:r>
            <w:proofErr w:type="spellStart"/>
            <w:r w:rsidRPr="000E50AE">
              <w:rPr>
                <w:rFonts w:ascii="Cambria" w:eastAsia="Times New Roman" w:hAnsi="Cambria" w:cs="Calibri"/>
                <w:lang w:val="it-IT"/>
              </w:rPr>
              <w:t>aktivnosti</w:t>
            </w:r>
            <w:proofErr w:type="spellEnd"/>
            <w:r w:rsidRPr="000E50AE">
              <w:rPr>
                <w:rFonts w:ascii="Cambria" w:eastAsia="Times New Roman" w:hAnsi="Cambria" w:cs="Calibri"/>
                <w:lang w:val="it-IT"/>
              </w:rPr>
              <w:t xml:space="preserve"> i </w:t>
            </w:r>
            <w:proofErr w:type="spellStart"/>
            <w:r w:rsidRPr="000E50AE">
              <w:rPr>
                <w:rFonts w:ascii="Cambria" w:eastAsia="Times New Roman" w:hAnsi="Cambria" w:cs="Calibri"/>
                <w:lang w:val="it-IT"/>
              </w:rPr>
              <w:t>drugih</w:t>
            </w:r>
            <w:proofErr w:type="spellEnd"/>
            <w:r w:rsidRPr="000E50AE">
              <w:rPr>
                <w:rFonts w:ascii="Cambria" w:eastAsia="Times New Roman" w:hAnsi="Cambria" w:cs="Calibri"/>
                <w:lang w:val="it-IT"/>
              </w:rPr>
              <w:t xml:space="preserve"> </w:t>
            </w:r>
            <w:proofErr w:type="spellStart"/>
            <w:r w:rsidRPr="000E50AE">
              <w:rPr>
                <w:rFonts w:ascii="Cambria" w:eastAsia="Times New Roman" w:hAnsi="Cambria" w:cs="Calibri"/>
                <w:lang w:val="it-IT"/>
              </w:rPr>
              <w:t>oblika</w:t>
            </w:r>
            <w:proofErr w:type="spellEnd"/>
            <w:r w:rsidRPr="000E50AE">
              <w:rPr>
                <w:rFonts w:ascii="Cambria" w:eastAsia="Times New Roman" w:hAnsi="Cambria" w:cs="Calibri"/>
                <w:lang w:val="it-IT"/>
              </w:rPr>
              <w:t xml:space="preserve"> </w:t>
            </w:r>
            <w:proofErr w:type="spellStart"/>
            <w:r w:rsidRPr="000E50AE">
              <w:rPr>
                <w:rFonts w:ascii="Cambria" w:eastAsia="Times New Roman" w:hAnsi="Cambria" w:cs="Calibri"/>
                <w:lang w:val="it-IT"/>
              </w:rPr>
              <w:t>odgojno-obrazovnog</w:t>
            </w:r>
            <w:proofErr w:type="spellEnd"/>
            <w:r w:rsidRPr="000E50AE">
              <w:rPr>
                <w:rFonts w:ascii="Cambria" w:eastAsia="Times New Roman" w:hAnsi="Cambria" w:cs="Calibri"/>
                <w:lang w:val="it-IT"/>
              </w:rPr>
              <w:t xml:space="preserve"> rada s </w:t>
            </w:r>
            <w:proofErr w:type="spellStart"/>
            <w:r w:rsidRPr="000E50AE">
              <w:rPr>
                <w:rFonts w:ascii="Cambria" w:eastAsia="Times New Roman" w:hAnsi="Cambria" w:cs="Calibri"/>
                <w:lang w:val="it-IT"/>
              </w:rPr>
              <w:t>djecom</w:t>
            </w:r>
            <w:proofErr w:type="spellEnd"/>
            <w:r w:rsidRPr="000E50AE">
              <w:rPr>
                <w:rFonts w:ascii="Cambria" w:eastAsia="Times New Roman" w:hAnsi="Cambria" w:cs="Calibri"/>
                <w:lang w:val="it-IT"/>
              </w:rPr>
              <w:t xml:space="preserve"> </w:t>
            </w:r>
            <w:proofErr w:type="spellStart"/>
            <w:r w:rsidRPr="000E50AE">
              <w:rPr>
                <w:rFonts w:ascii="Cambria" w:eastAsia="Times New Roman" w:hAnsi="Cambria" w:cs="Calibri"/>
                <w:lang w:val="it-IT"/>
              </w:rPr>
              <w:t>školske</w:t>
            </w:r>
            <w:proofErr w:type="spellEnd"/>
            <w:r w:rsidRPr="000E50AE">
              <w:rPr>
                <w:rFonts w:ascii="Cambria" w:eastAsia="Times New Roman" w:hAnsi="Cambria" w:cs="Calibri"/>
                <w:lang w:val="it-IT"/>
              </w:rPr>
              <w:t xml:space="preserve"> </w:t>
            </w:r>
            <w:proofErr w:type="spellStart"/>
            <w:r w:rsidRPr="000E50AE">
              <w:rPr>
                <w:rFonts w:ascii="Cambria" w:eastAsia="Times New Roman" w:hAnsi="Cambria" w:cs="Calibri"/>
                <w:lang w:val="it-IT"/>
              </w:rPr>
              <w:t>dobi</w:t>
            </w:r>
            <w:proofErr w:type="spellEnd"/>
          </w:p>
          <w:p w14:paraId="149468B4" w14:textId="77777777" w:rsidR="00FC4004" w:rsidRPr="000E50AE" w:rsidRDefault="00FC4004" w:rsidP="000F1A10">
            <w:pPr>
              <w:tabs>
                <w:tab w:val="left" w:pos="490"/>
              </w:tabs>
              <w:spacing w:after="0" w:line="240" w:lineRule="auto"/>
              <w:jc w:val="both"/>
              <w:rPr>
                <w:rFonts w:ascii="Cambria" w:eastAsia="Times New Roman" w:hAnsi="Cambria" w:cs="Calibri"/>
                <w:lang w:val="it-IT"/>
              </w:rPr>
            </w:pPr>
            <w:r w:rsidRPr="000E50AE">
              <w:rPr>
                <w:rFonts w:ascii="Cambria" w:eastAsia="Times New Roman" w:hAnsi="Cambria" w:cs="Calibri"/>
                <w:lang w:val="it-IT"/>
              </w:rPr>
              <w:t xml:space="preserve">4. </w:t>
            </w:r>
            <w:proofErr w:type="spellStart"/>
            <w:r w:rsidRPr="000E50AE">
              <w:rPr>
                <w:rFonts w:ascii="Cambria" w:eastAsia="Times New Roman" w:hAnsi="Cambria" w:cs="Calibri"/>
                <w:lang w:val="it-IT"/>
              </w:rPr>
              <w:t>razlikovati</w:t>
            </w:r>
            <w:proofErr w:type="spellEnd"/>
            <w:r w:rsidRPr="000E50AE">
              <w:rPr>
                <w:rFonts w:ascii="Cambria" w:eastAsia="Times New Roman" w:hAnsi="Cambria" w:cs="Calibri"/>
                <w:lang w:val="it-IT"/>
              </w:rPr>
              <w:t xml:space="preserve"> </w:t>
            </w:r>
            <w:proofErr w:type="spellStart"/>
            <w:r w:rsidRPr="000E50AE">
              <w:rPr>
                <w:rFonts w:ascii="Cambria" w:eastAsia="Times New Roman" w:hAnsi="Cambria" w:cs="Calibri"/>
                <w:lang w:val="it-IT"/>
              </w:rPr>
              <w:t>obilježja</w:t>
            </w:r>
            <w:proofErr w:type="spellEnd"/>
            <w:r w:rsidRPr="000E50AE">
              <w:rPr>
                <w:rFonts w:ascii="Cambria" w:eastAsia="Times New Roman" w:hAnsi="Cambria" w:cs="Calibri"/>
                <w:lang w:val="it-IT"/>
              </w:rPr>
              <w:t xml:space="preserve"> rasta i </w:t>
            </w:r>
            <w:proofErr w:type="spellStart"/>
            <w:r w:rsidRPr="000E50AE">
              <w:rPr>
                <w:rFonts w:ascii="Cambria" w:eastAsia="Times New Roman" w:hAnsi="Cambria" w:cs="Calibri"/>
                <w:lang w:val="it-IT"/>
              </w:rPr>
              <w:t>razvoja</w:t>
            </w:r>
            <w:proofErr w:type="spellEnd"/>
            <w:r w:rsidRPr="000E50AE">
              <w:rPr>
                <w:rFonts w:ascii="Cambria" w:eastAsia="Times New Roman" w:hAnsi="Cambria" w:cs="Calibri"/>
                <w:lang w:val="it-IT"/>
              </w:rPr>
              <w:t xml:space="preserve"> </w:t>
            </w:r>
            <w:proofErr w:type="spellStart"/>
            <w:r w:rsidRPr="000E50AE">
              <w:rPr>
                <w:rFonts w:ascii="Cambria" w:eastAsia="Times New Roman" w:hAnsi="Cambria" w:cs="Calibri"/>
                <w:lang w:val="it-IT"/>
              </w:rPr>
              <w:t>djece</w:t>
            </w:r>
            <w:proofErr w:type="spellEnd"/>
            <w:r w:rsidRPr="000E50AE">
              <w:rPr>
                <w:rFonts w:ascii="Cambria" w:eastAsia="Times New Roman" w:hAnsi="Cambria" w:cs="Calibri"/>
                <w:lang w:val="it-IT"/>
              </w:rPr>
              <w:t xml:space="preserve"> </w:t>
            </w:r>
            <w:proofErr w:type="spellStart"/>
            <w:r w:rsidRPr="000E50AE">
              <w:rPr>
                <w:rFonts w:ascii="Cambria" w:eastAsia="Times New Roman" w:hAnsi="Cambria" w:cs="Calibri"/>
                <w:lang w:val="it-IT"/>
              </w:rPr>
              <w:t>školske</w:t>
            </w:r>
            <w:proofErr w:type="spellEnd"/>
            <w:r w:rsidRPr="000E50AE">
              <w:rPr>
                <w:rFonts w:ascii="Cambria" w:eastAsia="Times New Roman" w:hAnsi="Cambria" w:cs="Calibri"/>
                <w:lang w:val="it-IT"/>
              </w:rPr>
              <w:t xml:space="preserve"> </w:t>
            </w:r>
            <w:proofErr w:type="spellStart"/>
            <w:r w:rsidRPr="000E50AE">
              <w:rPr>
                <w:rFonts w:ascii="Cambria" w:eastAsia="Times New Roman" w:hAnsi="Cambria" w:cs="Calibri"/>
                <w:lang w:val="it-IT"/>
              </w:rPr>
              <w:t>dobi</w:t>
            </w:r>
            <w:proofErr w:type="spellEnd"/>
          </w:p>
          <w:p w14:paraId="1C818188" w14:textId="77777777" w:rsidR="00FC4004" w:rsidRPr="000E50AE" w:rsidRDefault="00FC4004" w:rsidP="000F1A10">
            <w:pPr>
              <w:spacing w:after="0" w:line="240" w:lineRule="auto"/>
              <w:jc w:val="both"/>
              <w:rPr>
                <w:rFonts w:ascii="Cambria" w:eastAsia="Times New Roman" w:hAnsi="Cambria" w:cs="Calibri Light"/>
                <w:lang w:val="it-IT"/>
              </w:rPr>
            </w:pPr>
            <w:r w:rsidRPr="000E50AE">
              <w:rPr>
                <w:rFonts w:ascii="Cambria" w:eastAsia="Times New Roman" w:hAnsi="Cambria" w:cs="Calibri"/>
                <w:lang w:val="it-IT"/>
              </w:rPr>
              <w:t xml:space="preserve">5. </w:t>
            </w:r>
            <w:proofErr w:type="spellStart"/>
            <w:r w:rsidRPr="000E50AE">
              <w:rPr>
                <w:rFonts w:ascii="Cambria" w:eastAsia="Times New Roman" w:hAnsi="Cambria" w:cs="Calibri"/>
                <w:lang w:val="it-IT"/>
              </w:rPr>
              <w:t>interpretirati</w:t>
            </w:r>
            <w:proofErr w:type="spellEnd"/>
            <w:r w:rsidRPr="000E50AE">
              <w:rPr>
                <w:rFonts w:ascii="Cambria" w:eastAsia="Times New Roman" w:hAnsi="Cambria" w:cs="Calibri"/>
                <w:lang w:val="it-IT"/>
              </w:rPr>
              <w:t xml:space="preserve"> </w:t>
            </w:r>
            <w:proofErr w:type="spellStart"/>
            <w:r w:rsidRPr="000E50AE">
              <w:rPr>
                <w:rFonts w:ascii="Cambria" w:eastAsia="Times New Roman" w:hAnsi="Cambria" w:cs="Calibri"/>
                <w:lang w:val="it-IT"/>
              </w:rPr>
              <w:t>strukturu</w:t>
            </w:r>
            <w:proofErr w:type="spellEnd"/>
            <w:r w:rsidRPr="000E50AE">
              <w:rPr>
                <w:rFonts w:ascii="Cambria" w:eastAsia="Times New Roman" w:hAnsi="Cambria" w:cs="Calibri"/>
                <w:lang w:val="it-IT"/>
              </w:rPr>
              <w:t xml:space="preserve"> i </w:t>
            </w:r>
            <w:proofErr w:type="spellStart"/>
            <w:r w:rsidRPr="000E50AE">
              <w:rPr>
                <w:rFonts w:ascii="Cambria" w:eastAsia="Times New Roman" w:hAnsi="Cambria" w:cs="Calibri"/>
                <w:lang w:val="it-IT"/>
              </w:rPr>
              <w:t>trajanje</w:t>
            </w:r>
            <w:proofErr w:type="spellEnd"/>
            <w:r w:rsidRPr="000E50AE">
              <w:rPr>
                <w:rFonts w:ascii="Cambria" w:eastAsia="Times New Roman" w:hAnsi="Cambria" w:cs="Calibri"/>
                <w:lang w:val="it-IT"/>
              </w:rPr>
              <w:t xml:space="preserve"> </w:t>
            </w:r>
            <w:proofErr w:type="spellStart"/>
            <w:r w:rsidRPr="000E50AE">
              <w:rPr>
                <w:rFonts w:ascii="Cambria" w:eastAsia="Times New Roman" w:hAnsi="Cambria" w:cs="Calibri"/>
                <w:lang w:val="it-IT"/>
              </w:rPr>
              <w:t>sata</w:t>
            </w:r>
            <w:proofErr w:type="spellEnd"/>
            <w:r w:rsidRPr="000E50AE">
              <w:rPr>
                <w:rFonts w:ascii="Cambria" w:eastAsia="Times New Roman" w:hAnsi="Cambria" w:cs="Calibri"/>
                <w:lang w:val="it-IT"/>
              </w:rPr>
              <w:t xml:space="preserve"> </w:t>
            </w:r>
            <w:proofErr w:type="spellStart"/>
            <w:r w:rsidRPr="000E50AE">
              <w:rPr>
                <w:rFonts w:ascii="Cambria" w:eastAsia="Times New Roman" w:hAnsi="Cambria" w:cs="Calibri"/>
                <w:lang w:val="it-IT"/>
              </w:rPr>
              <w:t>tjelesne</w:t>
            </w:r>
            <w:proofErr w:type="spellEnd"/>
            <w:r w:rsidRPr="000E50AE">
              <w:rPr>
                <w:rFonts w:ascii="Cambria" w:eastAsia="Times New Roman" w:hAnsi="Cambria" w:cs="Calibri"/>
                <w:lang w:val="it-IT"/>
              </w:rPr>
              <w:t xml:space="preserve"> i </w:t>
            </w:r>
            <w:proofErr w:type="spellStart"/>
            <w:r w:rsidRPr="000E50AE">
              <w:rPr>
                <w:rFonts w:ascii="Cambria" w:eastAsia="Times New Roman" w:hAnsi="Cambria" w:cs="Calibri"/>
                <w:lang w:val="it-IT"/>
              </w:rPr>
              <w:t>zdravstvene</w:t>
            </w:r>
            <w:proofErr w:type="spellEnd"/>
            <w:r w:rsidRPr="000E50AE">
              <w:rPr>
                <w:rFonts w:ascii="Cambria" w:eastAsia="Times New Roman" w:hAnsi="Cambria" w:cs="Calibri"/>
                <w:lang w:val="it-IT"/>
              </w:rPr>
              <w:t xml:space="preserve"> </w:t>
            </w:r>
            <w:proofErr w:type="spellStart"/>
            <w:r w:rsidRPr="000E50AE">
              <w:rPr>
                <w:rFonts w:ascii="Cambria" w:eastAsia="Times New Roman" w:hAnsi="Cambria" w:cs="Calibri"/>
                <w:lang w:val="it-IT"/>
              </w:rPr>
              <w:t>kulture</w:t>
            </w:r>
            <w:proofErr w:type="spellEnd"/>
            <w:r w:rsidRPr="000E50AE">
              <w:rPr>
                <w:rFonts w:ascii="Cambria" w:eastAsia="Times New Roman" w:hAnsi="Cambria" w:cs="Calibri"/>
                <w:lang w:val="it-IT"/>
              </w:rPr>
              <w:t>.</w:t>
            </w:r>
          </w:p>
        </w:tc>
      </w:tr>
      <w:tr w:rsidR="00FC4004" w:rsidRPr="000E50AE" w14:paraId="3471EECB" w14:textId="77777777" w:rsidTr="00050905">
        <w:trPr>
          <w:trHeight w:val="151"/>
        </w:trPr>
        <w:tc>
          <w:tcPr>
            <w:tcW w:w="2824"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1EDF1CB4" w14:textId="77777777" w:rsidR="00FC4004" w:rsidRPr="000E50AE" w:rsidRDefault="00FC4004" w:rsidP="000F1A10">
            <w:pPr>
              <w:spacing w:after="0" w:line="240" w:lineRule="auto"/>
              <w:jc w:val="both"/>
              <w:rPr>
                <w:rFonts w:ascii="Cambria" w:eastAsia="Times New Roman" w:hAnsi="Cambria" w:cs="Calibri"/>
              </w:rPr>
            </w:pPr>
            <w:proofErr w:type="spellStart"/>
            <w:r w:rsidRPr="000E50AE">
              <w:rPr>
                <w:rFonts w:ascii="Cambria" w:eastAsia="Times New Roman" w:hAnsi="Cambria" w:cs="Calibri"/>
              </w:rPr>
              <w:t>Sadržaj</w:t>
            </w:r>
            <w:proofErr w:type="spellEnd"/>
            <w:r w:rsidRPr="000E50AE">
              <w:rPr>
                <w:rFonts w:ascii="Cambria" w:eastAsia="Times New Roman" w:hAnsi="Cambria" w:cs="Calibri"/>
              </w:rPr>
              <w:t xml:space="preserve"> </w:t>
            </w:r>
            <w:proofErr w:type="spellStart"/>
            <w:r w:rsidRPr="000E50AE">
              <w:rPr>
                <w:rFonts w:ascii="Cambria" w:eastAsia="Times New Roman" w:hAnsi="Cambria" w:cs="Calibri"/>
              </w:rPr>
              <w:t>kolegija</w:t>
            </w:r>
            <w:proofErr w:type="spellEnd"/>
          </w:p>
        </w:tc>
        <w:tc>
          <w:tcPr>
            <w:tcW w:w="7232"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05CE633" w14:textId="77777777" w:rsidR="00FC4004" w:rsidRPr="000E50AE" w:rsidRDefault="00FC4004" w:rsidP="000F1A10">
            <w:pPr>
              <w:spacing w:after="0" w:line="240" w:lineRule="auto"/>
              <w:jc w:val="both"/>
              <w:rPr>
                <w:rFonts w:ascii="Cambria" w:eastAsia="Times New Roman" w:hAnsi="Cambria" w:cs="Calibri"/>
              </w:rPr>
            </w:pPr>
            <w:r w:rsidRPr="000E50AE">
              <w:rPr>
                <w:rFonts w:ascii="Cambria" w:eastAsia="Times New Roman" w:hAnsi="Cambria" w:cs="Calibri"/>
              </w:rPr>
              <w:t xml:space="preserve">1. </w:t>
            </w:r>
            <w:proofErr w:type="spellStart"/>
            <w:r w:rsidRPr="000E50AE">
              <w:rPr>
                <w:rFonts w:ascii="Cambria" w:eastAsia="Times New Roman" w:hAnsi="Cambria" w:cs="Calibri"/>
              </w:rPr>
              <w:t>Uvod</w:t>
            </w:r>
            <w:proofErr w:type="spellEnd"/>
            <w:r w:rsidRPr="000E50AE">
              <w:rPr>
                <w:rFonts w:ascii="Cambria" w:eastAsia="Times New Roman" w:hAnsi="Cambria" w:cs="Calibri"/>
              </w:rPr>
              <w:t xml:space="preserve"> u </w:t>
            </w:r>
            <w:proofErr w:type="spellStart"/>
            <w:r w:rsidRPr="000E50AE">
              <w:rPr>
                <w:rFonts w:ascii="Cambria" w:eastAsia="Times New Roman" w:hAnsi="Cambria" w:cs="Calibri"/>
              </w:rPr>
              <w:t>kineziološku</w:t>
            </w:r>
            <w:proofErr w:type="spellEnd"/>
            <w:r w:rsidRPr="000E50AE">
              <w:rPr>
                <w:rFonts w:ascii="Cambria" w:eastAsia="Times New Roman" w:hAnsi="Cambria" w:cs="Calibri"/>
              </w:rPr>
              <w:t xml:space="preserve"> </w:t>
            </w:r>
            <w:proofErr w:type="spellStart"/>
            <w:r w:rsidRPr="000E50AE">
              <w:rPr>
                <w:rFonts w:ascii="Cambria" w:eastAsia="Times New Roman" w:hAnsi="Cambria" w:cs="Calibri"/>
              </w:rPr>
              <w:t>metodiku</w:t>
            </w:r>
            <w:proofErr w:type="spellEnd"/>
          </w:p>
          <w:p w14:paraId="36F8374D" w14:textId="77777777" w:rsidR="00FC4004" w:rsidRPr="000E50AE" w:rsidRDefault="00FC4004" w:rsidP="000F1A10">
            <w:pPr>
              <w:spacing w:after="0" w:line="240" w:lineRule="auto"/>
              <w:jc w:val="both"/>
              <w:rPr>
                <w:rFonts w:ascii="Cambria" w:eastAsia="Times New Roman" w:hAnsi="Cambria" w:cs="Calibri"/>
              </w:rPr>
            </w:pPr>
            <w:r w:rsidRPr="000E50AE">
              <w:rPr>
                <w:rFonts w:ascii="Cambria" w:eastAsia="Times New Roman" w:hAnsi="Cambria" w:cs="Calibri"/>
              </w:rPr>
              <w:t xml:space="preserve">2. </w:t>
            </w:r>
            <w:proofErr w:type="spellStart"/>
            <w:r w:rsidRPr="000E50AE">
              <w:rPr>
                <w:rFonts w:ascii="Cambria" w:eastAsia="Times New Roman" w:hAnsi="Cambria" w:cs="Calibri"/>
              </w:rPr>
              <w:t>Antropološka</w:t>
            </w:r>
            <w:proofErr w:type="spellEnd"/>
            <w:r w:rsidRPr="000E50AE">
              <w:rPr>
                <w:rFonts w:ascii="Cambria" w:eastAsia="Times New Roman" w:hAnsi="Cambria" w:cs="Calibri"/>
              </w:rPr>
              <w:t xml:space="preserve"> </w:t>
            </w:r>
            <w:proofErr w:type="spellStart"/>
            <w:r w:rsidRPr="000E50AE">
              <w:rPr>
                <w:rFonts w:ascii="Cambria" w:eastAsia="Times New Roman" w:hAnsi="Cambria" w:cs="Calibri"/>
              </w:rPr>
              <w:t>obilježja</w:t>
            </w:r>
            <w:proofErr w:type="spellEnd"/>
            <w:r w:rsidRPr="000E50AE">
              <w:rPr>
                <w:rFonts w:ascii="Cambria" w:eastAsia="Times New Roman" w:hAnsi="Cambria" w:cs="Calibri"/>
              </w:rPr>
              <w:t xml:space="preserve"> </w:t>
            </w:r>
            <w:proofErr w:type="spellStart"/>
            <w:r w:rsidRPr="000E50AE">
              <w:rPr>
                <w:rFonts w:ascii="Cambria" w:eastAsia="Times New Roman" w:hAnsi="Cambria" w:cs="Calibri"/>
              </w:rPr>
              <w:t>djece</w:t>
            </w:r>
            <w:proofErr w:type="spellEnd"/>
          </w:p>
          <w:p w14:paraId="6B6E59B7" w14:textId="77777777" w:rsidR="00FC4004" w:rsidRPr="000E50AE" w:rsidRDefault="00FC4004" w:rsidP="000F1A10">
            <w:pPr>
              <w:spacing w:after="0" w:line="240" w:lineRule="auto"/>
              <w:jc w:val="both"/>
              <w:rPr>
                <w:rFonts w:ascii="Cambria" w:eastAsia="Times New Roman" w:hAnsi="Cambria" w:cs="Calibri"/>
              </w:rPr>
            </w:pPr>
            <w:r w:rsidRPr="000E50AE">
              <w:rPr>
                <w:rFonts w:ascii="Cambria" w:eastAsia="Times New Roman" w:hAnsi="Cambria" w:cs="Calibri"/>
              </w:rPr>
              <w:t xml:space="preserve">3. </w:t>
            </w:r>
            <w:proofErr w:type="spellStart"/>
            <w:r w:rsidRPr="000E50AE">
              <w:rPr>
                <w:rFonts w:ascii="Cambria" w:eastAsia="Times New Roman" w:hAnsi="Cambria" w:cs="Calibri"/>
              </w:rPr>
              <w:t>Sustav</w:t>
            </w:r>
            <w:proofErr w:type="spellEnd"/>
            <w:r w:rsidRPr="000E50AE">
              <w:rPr>
                <w:rFonts w:ascii="Cambria" w:eastAsia="Times New Roman" w:hAnsi="Cambria" w:cs="Calibri"/>
              </w:rPr>
              <w:t xml:space="preserve"> </w:t>
            </w:r>
            <w:proofErr w:type="spellStart"/>
            <w:r w:rsidRPr="000E50AE">
              <w:rPr>
                <w:rFonts w:ascii="Cambria" w:eastAsia="Times New Roman" w:hAnsi="Cambria" w:cs="Calibri"/>
              </w:rPr>
              <w:t>odgoja</w:t>
            </w:r>
            <w:proofErr w:type="spellEnd"/>
            <w:r w:rsidRPr="000E50AE">
              <w:rPr>
                <w:rFonts w:ascii="Cambria" w:eastAsia="Times New Roman" w:hAnsi="Cambria" w:cs="Calibri"/>
              </w:rPr>
              <w:t xml:space="preserve"> </w:t>
            </w:r>
            <w:proofErr w:type="spellStart"/>
            <w:r w:rsidRPr="000E50AE">
              <w:rPr>
                <w:rFonts w:ascii="Cambria" w:eastAsia="Times New Roman" w:hAnsi="Cambria" w:cs="Calibri"/>
              </w:rPr>
              <w:t>i</w:t>
            </w:r>
            <w:proofErr w:type="spellEnd"/>
            <w:r w:rsidRPr="000E50AE">
              <w:rPr>
                <w:rFonts w:ascii="Cambria" w:eastAsia="Times New Roman" w:hAnsi="Cambria" w:cs="Calibri"/>
              </w:rPr>
              <w:t xml:space="preserve"> </w:t>
            </w:r>
            <w:proofErr w:type="spellStart"/>
            <w:r w:rsidRPr="000E50AE">
              <w:rPr>
                <w:rFonts w:ascii="Cambria" w:eastAsia="Times New Roman" w:hAnsi="Cambria" w:cs="Calibri"/>
              </w:rPr>
              <w:t>obrazovanja</w:t>
            </w:r>
            <w:proofErr w:type="spellEnd"/>
            <w:r w:rsidRPr="000E50AE">
              <w:rPr>
                <w:rFonts w:ascii="Cambria" w:eastAsia="Times New Roman" w:hAnsi="Cambria" w:cs="Calibri"/>
              </w:rPr>
              <w:t xml:space="preserve">: </w:t>
            </w:r>
            <w:proofErr w:type="spellStart"/>
            <w:r w:rsidRPr="000E50AE">
              <w:rPr>
                <w:rFonts w:ascii="Cambria" w:eastAsia="Times New Roman" w:hAnsi="Cambria" w:cs="Calibri"/>
              </w:rPr>
              <w:t>tjelesno</w:t>
            </w:r>
            <w:proofErr w:type="spellEnd"/>
            <w:r w:rsidRPr="000E50AE">
              <w:rPr>
                <w:rFonts w:ascii="Cambria" w:eastAsia="Times New Roman" w:hAnsi="Cambria" w:cs="Calibri"/>
              </w:rPr>
              <w:t xml:space="preserve"> </w:t>
            </w:r>
            <w:proofErr w:type="spellStart"/>
            <w:r w:rsidRPr="000E50AE">
              <w:rPr>
                <w:rFonts w:ascii="Cambria" w:eastAsia="Times New Roman" w:hAnsi="Cambria" w:cs="Calibri"/>
              </w:rPr>
              <w:t>i</w:t>
            </w:r>
            <w:proofErr w:type="spellEnd"/>
            <w:r w:rsidRPr="000E50AE">
              <w:rPr>
                <w:rFonts w:ascii="Cambria" w:eastAsia="Times New Roman" w:hAnsi="Cambria" w:cs="Calibri"/>
              </w:rPr>
              <w:t xml:space="preserve"> </w:t>
            </w:r>
            <w:proofErr w:type="spellStart"/>
            <w:r w:rsidRPr="000E50AE">
              <w:rPr>
                <w:rFonts w:ascii="Cambria" w:eastAsia="Times New Roman" w:hAnsi="Cambria" w:cs="Calibri"/>
              </w:rPr>
              <w:t>zdravstveno</w:t>
            </w:r>
            <w:proofErr w:type="spellEnd"/>
            <w:r w:rsidRPr="000E50AE">
              <w:rPr>
                <w:rFonts w:ascii="Cambria" w:eastAsia="Times New Roman" w:hAnsi="Cambria" w:cs="Calibri"/>
              </w:rPr>
              <w:t xml:space="preserve"> </w:t>
            </w:r>
            <w:proofErr w:type="spellStart"/>
            <w:r w:rsidRPr="000E50AE">
              <w:rPr>
                <w:rFonts w:ascii="Cambria" w:eastAsia="Times New Roman" w:hAnsi="Cambria" w:cs="Calibri"/>
              </w:rPr>
              <w:t>odgojno</w:t>
            </w:r>
            <w:proofErr w:type="spellEnd"/>
            <w:r w:rsidRPr="000E50AE">
              <w:rPr>
                <w:rFonts w:ascii="Cambria" w:eastAsia="Times New Roman" w:hAnsi="Cambria" w:cs="Calibri"/>
              </w:rPr>
              <w:t xml:space="preserve"> </w:t>
            </w:r>
            <w:proofErr w:type="spellStart"/>
            <w:r w:rsidRPr="000E50AE">
              <w:rPr>
                <w:rFonts w:ascii="Cambria" w:eastAsia="Times New Roman" w:hAnsi="Cambria" w:cs="Calibri"/>
              </w:rPr>
              <w:t>obrazovno</w:t>
            </w:r>
            <w:proofErr w:type="spellEnd"/>
            <w:r w:rsidRPr="000E50AE">
              <w:rPr>
                <w:rFonts w:ascii="Cambria" w:eastAsia="Times New Roman" w:hAnsi="Cambria" w:cs="Calibri"/>
              </w:rPr>
              <w:t xml:space="preserve"> </w:t>
            </w:r>
            <w:proofErr w:type="spellStart"/>
            <w:r w:rsidRPr="000E50AE">
              <w:rPr>
                <w:rFonts w:ascii="Cambria" w:eastAsia="Times New Roman" w:hAnsi="Cambria" w:cs="Calibri"/>
              </w:rPr>
              <w:t>područje</w:t>
            </w:r>
            <w:proofErr w:type="spellEnd"/>
          </w:p>
          <w:p w14:paraId="0374AC08" w14:textId="77777777" w:rsidR="00FC4004" w:rsidRPr="000E50AE" w:rsidRDefault="00FC4004" w:rsidP="000F1A10">
            <w:pPr>
              <w:spacing w:after="0" w:line="240" w:lineRule="auto"/>
              <w:jc w:val="both"/>
              <w:rPr>
                <w:rFonts w:ascii="Cambria" w:eastAsia="Times New Roman" w:hAnsi="Cambria" w:cs="Calibri"/>
              </w:rPr>
            </w:pPr>
            <w:r w:rsidRPr="000E50AE">
              <w:rPr>
                <w:rFonts w:ascii="Cambria" w:eastAsia="Times New Roman" w:hAnsi="Cambria" w:cs="Calibri"/>
              </w:rPr>
              <w:t xml:space="preserve">4. </w:t>
            </w:r>
            <w:proofErr w:type="spellStart"/>
            <w:r w:rsidRPr="000E50AE">
              <w:rPr>
                <w:rFonts w:ascii="Cambria" w:eastAsia="Times New Roman" w:hAnsi="Cambria" w:cs="Calibri"/>
              </w:rPr>
              <w:t>Svrha</w:t>
            </w:r>
            <w:proofErr w:type="spellEnd"/>
            <w:r w:rsidRPr="000E50AE">
              <w:rPr>
                <w:rFonts w:ascii="Cambria" w:eastAsia="Times New Roman" w:hAnsi="Cambria" w:cs="Calibri"/>
              </w:rPr>
              <w:t xml:space="preserve"> </w:t>
            </w:r>
            <w:proofErr w:type="spellStart"/>
            <w:r w:rsidRPr="000E50AE">
              <w:rPr>
                <w:rFonts w:ascii="Cambria" w:eastAsia="Times New Roman" w:hAnsi="Cambria" w:cs="Calibri"/>
              </w:rPr>
              <w:t>i</w:t>
            </w:r>
            <w:proofErr w:type="spellEnd"/>
            <w:r w:rsidRPr="000E50AE">
              <w:rPr>
                <w:rFonts w:ascii="Cambria" w:eastAsia="Times New Roman" w:hAnsi="Cambria" w:cs="Calibri"/>
              </w:rPr>
              <w:t xml:space="preserve"> </w:t>
            </w:r>
            <w:proofErr w:type="spellStart"/>
            <w:r w:rsidRPr="000E50AE">
              <w:rPr>
                <w:rFonts w:ascii="Cambria" w:eastAsia="Times New Roman" w:hAnsi="Cambria" w:cs="Calibri"/>
              </w:rPr>
              <w:t>smjernice</w:t>
            </w:r>
            <w:proofErr w:type="spellEnd"/>
            <w:r w:rsidRPr="000E50AE">
              <w:rPr>
                <w:rFonts w:ascii="Cambria" w:eastAsia="Times New Roman" w:hAnsi="Cambria" w:cs="Calibri"/>
              </w:rPr>
              <w:t xml:space="preserve"> rada u </w:t>
            </w:r>
            <w:proofErr w:type="spellStart"/>
            <w:r w:rsidRPr="000E50AE">
              <w:rPr>
                <w:rFonts w:ascii="Cambria" w:eastAsia="Times New Roman" w:hAnsi="Cambria" w:cs="Calibri"/>
              </w:rPr>
              <w:t>tjelesnom</w:t>
            </w:r>
            <w:proofErr w:type="spellEnd"/>
            <w:r w:rsidRPr="000E50AE">
              <w:rPr>
                <w:rFonts w:ascii="Cambria" w:eastAsia="Times New Roman" w:hAnsi="Cambria" w:cs="Calibri"/>
              </w:rPr>
              <w:t xml:space="preserve"> </w:t>
            </w:r>
            <w:proofErr w:type="spellStart"/>
            <w:r w:rsidRPr="000E50AE">
              <w:rPr>
                <w:rFonts w:ascii="Cambria" w:eastAsia="Times New Roman" w:hAnsi="Cambria" w:cs="Calibri"/>
              </w:rPr>
              <w:t>i</w:t>
            </w:r>
            <w:proofErr w:type="spellEnd"/>
            <w:r w:rsidRPr="000E50AE">
              <w:rPr>
                <w:rFonts w:ascii="Cambria" w:eastAsia="Times New Roman" w:hAnsi="Cambria" w:cs="Calibri"/>
              </w:rPr>
              <w:t xml:space="preserve"> </w:t>
            </w:r>
            <w:proofErr w:type="spellStart"/>
            <w:r w:rsidRPr="000E50AE">
              <w:rPr>
                <w:rFonts w:ascii="Cambria" w:eastAsia="Times New Roman" w:hAnsi="Cambria" w:cs="Calibri"/>
              </w:rPr>
              <w:t>zdravstvenom</w:t>
            </w:r>
            <w:proofErr w:type="spellEnd"/>
            <w:r w:rsidRPr="000E50AE">
              <w:rPr>
                <w:rFonts w:ascii="Cambria" w:eastAsia="Times New Roman" w:hAnsi="Cambria" w:cs="Calibri"/>
              </w:rPr>
              <w:t xml:space="preserve"> </w:t>
            </w:r>
            <w:proofErr w:type="spellStart"/>
            <w:r w:rsidRPr="000E50AE">
              <w:rPr>
                <w:rFonts w:ascii="Cambria" w:eastAsia="Times New Roman" w:hAnsi="Cambria" w:cs="Calibri"/>
              </w:rPr>
              <w:t>području</w:t>
            </w:r>
            <w:proofErr w:type="spellEnd"/>
            <w:r w:rsidRPr="000E50AE">
              <w:rPr>
                <w:rFonts w:ascii="Cambria" w:eastAsia="Times New Roman" w:hAnsi="Cambria" w:cs="Calibri"/>
              </w:rPr>
              <w:t xml:space="preserve"> </w:t>
            </w:r>
            <w:proofErr w:type="spellStart"/>
            <w:r w:rsidRPr="000E50AE">
              <w:rPr>
                <w:rFonts w:ascii="Cambria" w:eastAsia="Times New Roman" w:hAnsi="Cambria" w:cs="Calibri"/>
              </w:rPr>
              <w:t>te</w:t>
            </w:r>
            <w:proofErr w:type="spellEnd"/>
            <w:r w:rsidRPr="000E50AE">
              <w:rPr>
                <w:rFonts w:ascii="Cambria" w:eastAsia="Times New Roman" w:hAnsi="Cambria" w:cs="Calibri"/>
              </w:rPr>
              <w:t xml:space="preserve"> </w:t>
            </w:r>
            <w:proofErr w:type="spellStart"/>
            <w:r w:rsidRPr="000E50AE">
              <w:rPr>
                <w:rFonts w:ascii="Cambria" w:eastAsia="Times New Roman" w:hAnsi="Cambria" w:cs="Calibri"/>
              </w:rPr>
              <w:t>vrste</w:t>
            </w:r>
            <w:proofErr w:type="spellEnd"/>
            <w:r w:rsidRPr="000E50AE">
              <w:rPr>
                <w:rFonts w:ascii="Cambria" w:eastAsia="Times New Roman" w:hAnsi="Cambria" w:cs="Calibri"/>
              </w:rPr>
              <w:t xml:space="preserve"> </w:t>
            </w:r>
            <w:proofErr w:type="spellStart"/>
            <w:r w:rsidRPr="000E50AE">
              <w:rPr>
                <w:rFonts w:ascii="Cambria" w:eastAsia="Times New Roman" w:hAnsi="Cambria" w:cs="Calibri"/>
              </w:rPr>
              <w:t>odgojno-obrazovnog</w:t>
            </w:r>
            <w:proofErr w:type="spellEnd"/>
            <w:r w:rsidRPr="000E50AE">
              <w:rPr>
                <w:rFonts w:ascii="Cambria" w:eastAsia="Times New Roman" w:hAnsi="Cambria" w:cs="Calibri"/>
              </w:rPr>
              <w:t xml:space="preserve"> rada u </w:t>
            </w:r>
            <w:proofErr w:type="spellStart"/>
            <w:r w:rsidRPr="000E50AE">
              <w:rPr>
                <w:rFonts w:ascii="Cambria" w:eastAsia="Times New Roman" w:hAnsi="Cambria" w:cs="Calibri"/>
              </w:rPr>
              <w:t>tjelesnom</w:t>
            </w:r>
            <w:proofErr w:type="spellEnd"/>
            <w:r w:rsidRPr="000E50AE">
              <w:rPr>
                <w:rFonts w:ascii="Cambria" w:eastAsia="Times New Roman" w:hAnsi="Cambria" w:cs="Calibri"/>
              </w:rPr>
              <w:t xml:space="preserve"> </w:t>
            </w:r>
            <w:proofErr w:type="spellStart"/>
            <w:r w:rsidRPr="000E50AE">
              <w:rPr>
                <w:rFonts w:ascii="Cambria" w:eastAsia="Times New Roman" w:hAnsi="Cambria" w:cs="Calibri"/>
              </w:rPr>
              <w:t>i</w:t>
            </w:r>
            <w:proofErr w:type="spellEnd"/>
            <w:r w:rsidRPr="000E50AE">
              <w:rPr>
                <w:rFonts w:ascii="Cambria" w:eastAsia="Times New Roman" w:hAnsi="Cambria" w:cs="Calibri"/>
              </w:rPr>
              <w:t xml:space="preserve"> </w:t>
            </w:r>
            <w:proofErr w:type="spellStart"/>
            <w:r w:rsidRPr="000E50AE">
              <w:rPr>
                <w:rFonts w:ascii="Cambria" w:eastAsia="Times New Roman" w:hAnsi="Cambria" w:cs="Calibri"/>
              </w:rPr>
              <w:t>zdravstvenom</w:t>
            </w:r>
            <w:proofErr w:type="spellEnd"/>
            <w:r w:rsidRPr="000E50AE">
              <w:rPr>
                <w:rFonts w:ascii="Cambria" w:eastAsia="Times New Roman" w:hAnsi="Cambria" w:cs="Calibri"/>
              </w:rPr>
              <w:t xml:space="preserve"> </w:t>
            </w:r>
            <w:proofErr w:type="spellStart"/>
            <w:r w:rsidRPr="000E50AE">
              <w:rPr>
                <w:rFonts w:ascii="Cambria" w:eastAsia="Times New Roman" w:hAnsi="Cambria" w:cs="Calibri"/>
              </w:rPr>
              <w:t>području</w:t>
            </w:r>
            <w:proofErr w:type="spellEnd"/>
          </w:p>
          <w:p w14:paraId="2DF86DC6" w14:textId="77777777" w:rsidR="00FC4004" w:rsidRPr="000E50AE" w:rsidRDefault="00FC4004" w:rsidP="000F1A10">
            <w:pPr>
              <w:spacing w:after="0" w:line="240" w:lineRule="auto"/>
              <w:jc w:val="both"/>
              <w:rPr>
                <w:rFonts w:ascii="Cambria" w:eastAsia="Times New Roman" w:hAnsi="Cambria" w:cs="Calibri"/>
              </w:rPr>
            </w:pPr>
            <w:r w:rsidRPr="000E50AE">
              <w:rPr>
                <w:rFonts w:ascii="Cambria" w:eastAsia="Times New Roman" w:hAnsi="Cambria" w:cs="Calibri"/>
              </w:rPr>
              <w:t xml:space="preserve">5. Plan </w:t>
            </w:r>
            <w:proofErr w:type="spellStart"/>
            <w:r w:rsidRPr="000E50AE">
              <w:rPr>
                <w:rFonts w:ascii="Cambria" w:eastAsia="Times New Roman" w:hAnsi="Cambria" w:cs="Calibri"/>
              </w:rPr>
              <w:t>i</w:t>
            </w:r>
            <w:proofErr w:type="spellEnd"/>
            <w:r w:rsidRPr="000E50AE">
              <w:rPr>
                <w:rFonts w:ascii="Cambria" w:eastAsia="Times New Roman" w:hAnsi="Cambria" w:cs="Calibri"/>
              </w:rPr>
              <w:t xml:space="preserve"> program </w:t>
            </w:r>
            <w:proofErr w:type="spellStart"/>
            <w:r w:rsidRPr="000E50AE">
              <w:rPr>
                <w:rFonts w:ascii="Cambria" w:eastAsia="Times New Roman" w:hAnsi="Cambria" w:cs="Calibri"/>
              </w:rPr>
              <w:t>tjelesne</w:t>
            </w:r>
            <w:proofErr w:type="spellEnd"/>
            <w:r w:rsidRPr="000E50AE">
              <w:rPr>
                <w:rFonts w:ascii="Cambria" w:eastAsia="Times New Roman" w:hAnsi="Cambria" w:cs="Calibri"/>
              </w:rPr>
              <w:t xml:space="preserve"> </w:t>
            </w:r>
            <w:proofErr w:type="spellStart"/>
            <w:r w:rsidRPr="000E50AE">
              <w:rPr>
                <w:rFonts w:ascii="Cambria" w:eastAsia="Times New Roman" w:hAnsi="Cambria" w:cs="Calibri"/>
              </w:rPr>
              <w:t>i</w:t>
            </w:r>
            <w:proofErr w:type="spellEnd"/>
            <w:r w:rsidRPr="000E50AE">
              <w:rPr>
                <w:rFonts w:ascii="Cambria" w:eastAsia="Times New Roman" w:hAnsi="Cambria" w:cs="Calibri"/>
              </w:rPr>
              <w:t xml:space="preserve"> </w:t>
            </w:r>
            <w:proofErr w:type="spellStart"/>
            <w:r w:rsidRPr="000E50AE">
              <w:rPr>
                <w:rFonts w:ascii="Cambria" w:eastAsia="Times New Roman" w:hAnsi="Cambria" w:cs="Calibri"/>
              </w:rPr>
              <w:t>zdravstvene</w:t>
            </w:r>
            <w:proofErr w:type="spellEnd"/>
            <w:r w:rsidRPr="000E50AE">
              <w:rPr>
                <w:rFonts w:ascii="Cambria" w:eastAsia="Times New Roman" w:hAnsi="Cambria" w:cs="Calibri"/>
              </w:rPr>
              <w:t xml:space="preserve"> </w:t>
            </w:r>
            <w:proofErr w:type="spellStart"/>
            <w:r w:rsidRPr="000E50AE">
              <w:rPr>
                <w:rFonts w:ascii="Cambria" w:eastAsia="Times New Roman" w:hAnsi="Cambria" w:cs="Calibri"/>
              </w:rPr>
              <w:t>kulture</w:t>
            </w:r>
            <w:proofErr w:type="spellEnd"/>
            <w:r w:rsidRPr="000E50AE">
              <w:rPr>
                <w:rFonts w:ascii="Cambria" w:eastAsia="Times New Roman" w:hAnsi="Cambria" w:cs="Calibri"/>
              </w:rPr>
              <w:t xml:space="preserve"> od 1. </w:t>
            </w:r>
            <w:proofErr w:type="spellStart"/>
            <w:r w:rsidRPr="000E50AE">
              <w:rPr>
                <w:rFonts w:ascii="Cambria" w:eastAsia="Times New Roman" w:hAnsi="Cambria" w:cs="Calibri"/>
              </w:rPr>
              <w:t>do</w:t>
            </w:r>
            <w:proofErr w:type="spellEnd"/>
            <w:r w:rsidRPr="000E50AE">
              <w:rPr>
                <w:rFonts w:ascii="Cambria" w:eastAsia="Times New Roman" w:hAnsi="Cambria" w:cs="Calibri"/>
              </w:rPr>
              <w:t xml:space="preserve"> 4. </w:t>
            </w:r>
            <w:proofErr w:type="spellStart"/>
            <w:r w:rsidRPr="000E50AE">
              <w:rPr>
                <w:rFonts w:ascii="Cambria" w:eastAsia="Times New Roman" w:hAnsi="Cambria" w:cs="Calibri"/>
              </w:rPr>
              <w:t>razreda</w:t>
            </w:r>
            <w:proofErr w:type="spellEnd"/>
            <w:r w:rsidRPr="000E50AE">
              <w:rPr>
                <w:rFonts w:ascii="Cambria" w:eastAsia="Times New Roman" w:hAnsi="Cambria" w:cs="Calibri"/>
              </w:rPr>
              <w:t xml:space="preserve"> </w:t>
            </w:r>
            <w:proofErr w:type="spellStart"/>
            <w:r w:rsidRPr="000E50AE">
              <w:rPr>
                <w:rFonts w:ascii="Cambria" w:eastAsia="Times New Roman" w:hAnsi="Cambria" w:cs="Calibri"/>
              </w:rPr>
              <w:t>osnovne</w:t>
            </w:r>
            <w:proofErr w:type="spellEnd"/>
            <w:r w:rsidRPr="000E50AE">
              <w:rPr>
                <w:rFonts w:ascii="Cambria" w:eastAsia="Times New Roman" w:hAnsi="Cambria" w:cs="Calibri"/>
              </w:rPr>
              <w:t xml:space="preserve"> </w:t>
            </w:r>
            <w:proofErr w:type="spellStart"/>
            <w:r w:rsidRPr="000E50AE">
              <w:rPr>
                <w:rFonts w:ascii="Cambria" w:eastAsia="Times New Roman" w:hAnsi="Cambria" w:cs="Calibri"/>
              </w:rPr>
              <w:t>škole</w:t>
            </w:r>
            <w:proofErr w:type="spellEnd"/>
          </w:p>
          <w:p w14:paraId="2E98079E" w14:textId="77777777" w:rsidR="00FC4004" w:rsidRPr="000E50AE" w:rsidRDefault="00FC4004" w:rsidP="000F1A10">
            <w:pPr>
              <w:spacing w:after="0" w:line="240" w:lineRule="auto"/>
              <w:jc w:val="both"/>
              <w:rPr>
                <w:rFonts w:ascii="Cambria" w:eastAsia="Times New Roman" w:hAnsi="Cambria" w:cs="Calibri"/>
              </w:rPr>
            </w:pPr>
            <w:r w:rsidRPr="000E50AE">
              <w:rPr>
                <w:rFonts w:ascii="Cambria" w:eastAsia="Times New Roman" w:hAnsi="Cambria" w:cs="Calibri"/>
              </w:rPr>
              <w:t xml:space="preserve">6. </w:t>
            </w:r>
            <w:proofErr w:type="spellStart"/>
            <w:r w:rsidRPr="000E50AE">
              <w:rPr>
                <w:rFonts w:ascii="Cambria" w:eastAsia="Times New Roman" w:hAnsi="Cambria" w:cs="Calibri"/>
              </w:rPr>
              <w:t>Organizacija</w:t>
            </w:r>
            <w:proofErr w:type="spellEnd"/>
            <w:r w:rsidRPr="000E50AE">
              <w:rPr>
                <w:rFonts w:ascii="Cambria" w:eastAsia="Times New Roman" w:hAnsi="Cambria" w:cs="Calibri"/>
              </w:rPr>
              <w:t xml:space="preserve"> </w:t>
            </w:r>
            <w:proofErr w:type="spellStart"/>
            <w:r w:rsidRPr="000E50AE">
              <w:rPr>
                <w:rFonts w:ascii="Cambria" w:eastAsia="Times New Roman" w:hAnsi="Cambria" w:cs="Calibri"/>
              </w:rPr>
              <w:t>tjelesnog</w:t>
            </w:r>
            <w:proofErr w:type="spellEnd"/>
            <w:r w:rsidRPr="000E50AE">
              <w:rPr>
                <w:rFonts w:ascii="Cambria" w:eastAsia="Times New Roman" w:hAnsi="Cambria" w:cs="Calibri"/>
              </w:rPr>
              <w:t xml:space="preserve"> </w:t>
            </w:r>
            <w:proofErr w:type="spellStart"/>
            <w:r w:rsidRPr="000E50AE">
              <w:rPr>
                <w:rFonts w:ascii="Cambria" w:eastAsia="Times New Roman" w:hAnsi="Cambria" w:cs="Calibri"/>
              </w:rPr>
              <w:t>vježbanja</w:t>
            </w:r>
            <w:proofErr w:type="spellEnd"/>
          </w:p>
          <w:p w14:paraId="19690534" w14:textId="77777777" w:rsidR="00FC4004" w:rsidRPr="000E50AE" w:rsidRDefault="00FC4004" w:rsidP="000F1A10">
            <w:pPr>
              <w:spacing w:after="0" w:line="240" w:lineRule="auto"/>
              <w:jc w:val="both"/>
              <w:rPr>
                <w:rFonts w:ascii="Cambria" w:eastAsia="Times New Roman" w:hAnsi="Cambria" w:cs="Calibri"/>
                <w:lang w:val="it-IT"/>
              </w:rPr>
            </w:pPr>
            <w:r w:rsidRPr="000E50AE">
              <w:rPr>
                <w:rFonts w:ascii="Cambria" w:eastAsia="Times New Roman" w:hAnsi="Cambria" w:cs="Calibri"/>
                <w:lang w:val="it-IT"/>
              </w:rPr>
              <w:t xml:space="preserve">7. Sat </w:t>
            </w:r>
            <w:proofErr w:type="spellStart"/>
            <w:r w:rsidRPr="000E50AE">
              <w:rPr>
                <w:rFonts w:ascii="Cambria" w:eastAsia="Times New Roman" w:hAnsi="Cambria" w:cs="Calibri"/>
                <w:lang w:val="it-IT"/>
              </w:rPr>
              <w:t>tjelesne</w:t>
            </w:r>
            <w:proofErr w:type="spellEnd"/>
            <w:r w:rsidRPr="000E50AE">
              <w:rPr>
                <w:rFonts w:ascii="Cambria" w:eastAsia="Times New Roman" w:hAnsi="Cambria" w:cs="Calibri"/>
                <w:lang w:val="it-IT"/>
              </w:rPr>
              <w:t xml:space="preserve"> i </w:t>
            </w:r>
            <w:proofErr w:type="spellStart"/>
            <w:r w:rsidRPr="000E50AE">
              <w:rPr>
                <w:rFonts w:ascii="Cambria" w:eastAsia="Times New Roman" w:hAnsi="Cambria" w:cs="Calibri"/>
                <w:lang w:val="it-IT"/>
              </w:rPr>
              <w:t>zdravstvene</w:t>
            </w:r>
            <w:proofErr w:type="spellEnd"/>
            <w:r w:rsidRPr="000E50AE">
              <w:rPr>
                <w:rFonts w:ascii="Cambria" w:eastAsia="Times New Roman" w:hAnsi="Cambria" w:cs="Calibri"/>
                <w:lang w:val="it-IT"/>
              </w:rPr>
              <w:t xml:space="preserve"> </w:t>
            </w:r>
            <w:proofErr w:type="spellStart"/>
            <w:r w:rsidRPr="000E50AE">
              <w:rPr>
                <w:rFonts w:ascii="Cambria" w:eastAsia="Times New Roman" w:hAnsi="Cambria" w:cs="Calibri"/>
                <w:lang w:val="it-IT"/>
              </w:rPr>
              <w:t>kulture</w:t>
            </w:r>
            <w:proofErr w:type="spellEnd"/>
            <w:r w:rsidRPr="000E50AE">
              <w:rPr>
                <w:rFonts w:ascii="Cambria" w:eastAsia="Times New Roman" w:hAnsi="Cambria" w:cs="Calibri"/>
                <w:lang w:val="it-IT"/>
              </w:rPr>
              <w:t xml:space="preserve"> (</w:t>
            </w:r>
            <w:proofErr w:type="spellStart"/>
            <w:r w:rsidRPr="000E50AE">
              <w:rPr>
                <w:rFonts w:ascii="Cambria" w:eastAsia="Times New Roman" w:hAnsi="Cambria" w:cs="Calibri"/>
                <w:lang w:val="it-IT"/>
              </w:rPr>
              <w:t>uvodni</w:t>
            </w:r>
            <w:proofErr w:type="spellEnd"/>
            <w:r w:rsidRPr="000E50AE">
              <w:rPr>
                <w:rFonts w:ascii="Cambria" w:eastAsia="Times New Roman" w:hAnsi="Cambria" w:cs="Calibri"/>
                <w:lang w:val="it-IT"/>
              </w:rPr>
              <w:t xml:space="preserve">, </w:t>
            </w:r>
            <w:proofErr w:type="spellStart"/>
            <w:r w:rsidRPr="000E50AE">
              <w:rPr>
                <w:rFonts w:ascii="Cambria" w:eastAsia="Times New Roman" w:hAnsi="Cambria" w:cs="Calibri"/>
                <w:lang w:val="it-IT"/>
              </w:rPr>
              <w:t>pripremni</w:t>
            </w:r>
            <w:proofErr w:type="spellEnd"/>
            <w:r w:rsidRPr="000E50AE">
              <w:rPr>
                <w:rFonts w:ascii="Cambria" w:eastAsia="Times New Roman" w:hAnsi="Cambria" w:cs="Calibri"/>
                <w:lang w:val="it-IT"/>
              </w:rPr>
              <w:t xml:space="preserve">, </w:t>
            </w:r>
            <w:proofErr w:type="spellStart"/>
            <w:r w:rsidRPr="000E50AE">
              <w:rPr>
                <w:rFonts w:ascii="Cambria" w:eastAsia="Times New Roman" w:hAnsi="Cambria" w:cs="Calibri"/>
                <w:lang w:val="it-IT"/>
              </w:rPr>
              <w:t>glavni</w:t>
            </w:r>
            <w:proofErr w:type="spellEnd"/>
            <w:r w:rsidRPr="000E50AE">
              <w:rPr>
                <w:rFonts w:ascii="Cambria" w:eastAsia="Times New Roman" w:hAnsi="Cambria" w:cs="Calibri"/>
                <w:lang w:val="it-IT"/>
              </w:rPr>
              <w:t xml:space="preserve"> i </w:t>
            </w:r>
            <w:proofErr w:type="spellStart"/>
            <w:r w:rsidRPr="000E50AE">
              <w:rPr>
                <w:rFonts w:ascii="Cambria" w:eastAsia="Times New Roman" w:hAnsi="Cambria" w:cs="Calibri"/>
                <w:lang w:val="it-IT"/>
              </w:rPr>
              <w:t>završni</w:t>
            </w:r>
            <w:proofErr w:type="spellEnd"/>
            <w:r w:rsidRPr="000E50AE">
              <w:rPr>
                <w:rFonts w:ascii="Cambria" w:eastAsia="Times New Roman" w:hAnsi="Cambria" w:cs="Calibri"/>
                <w:lang w:val="it-IT"/>
              </w:rPr>
              <w:t xml:space="preserve"> dio </w:t>
            </w:r>
            <w:proofErr w:type="spellStart"/>
            <w:r w:rsidRPr="000E50AE">
              <w:rPr>
                <w:rFonts w:ascii="Cambria" w:eastAsia="Times New Roman" w:hAnsi="Cambria" w:cs="Calibri"/>
                <w:lang w:val="it-IT"/>
              </w:rPr>
              <w:t>sata</w:t>
            </w:r>
            <w:proofErr w:type="spellEnd"/>
            <w:r w:rsidRPr="000E50AE">
              <w:rPr>
                <w:rFonts w:ascii="Cambria" w:eastAsia="Times New Roman" w:hAnsi="Cambria" w:cs="Calibri"/>
                <w:lang w:val="it-IT"/>
              </w:rPr>
              <w:t>)</w:t>
            </w:r>
          </w:p>
          <w:p w14:paraId="6CF95655" w14:textId="77777777" w:rsidR="00FC4004" w:rsidRPr="000E50AE" w:rsidRDefault="00FC4004" w:rsidP="000F1A10">
            <w:pPr>
              <w:spacing w:after="0" w:line="240" w:lineRule="auto"/>
              <w:jc w:val="both"/>
              <w:rPr>
                <w:rFonts w:ascii="Cambria" w:eastAsia="Times New Roman" w:hAnsi="Cambria" w:cs="Calibri"/>
              </w:rPr>
            </w:pPr>
            <w:r w:rsidRPr="000E50AE">
              <w:rPr>
                <w:rFonts w:ascii="Cambria" w:eastAsia="Times New Roman" w:hAnsi="Cambria" w:cs="Calibri"/>
              </w:rPr>
              <w:t xml:space="preserve">8. </w:t>
            </w:r>
            <w:proofErr w:type="spellStart"/>
            <w:r w:rsidRPr="000E50AE">
              <w:rPr>
                <w:rFonts w:ascii="Cambria" w:eastAsia="Times New Roman" w:hAnsi="Cambria" w:cs="Calibri"/>
              </w:rPr>
              <w:t>Opterećenje</w:t>
            </w:r>
            <w:proofErr w:type="spellEnd"/>
            <w:r w:rsidRPr="000E50AE">
              <w:rPr>
                <w:rFonts w:ascii="Cambria" w:eastAsia="Times New Roman" w:hAnsi="Cambria" w:cs="Calibri"/>
              </w:rPr>
              <w:t xml:space="preserve"> </w:t>
            </w:r>
            <w:proofErr w:type="spellStart"/>
            <w:r w:rsidRPr="000E50AE">
              <w:rPr>
                <w:rFonts w:ascii="Cambria" w:eastAsia="Times New Roman" w:hAnsi="Cambria" w:cs="Calibri"/>
              </w:rPr>
              <w:t>na</w:t>
            </w:r>
            <w:proofErr w:type="spellEnd"/>
            <w:r w:rsidRPr="000E50AE">
              <w:rPr>
                <w:rFonts w:ascii="Cambria" w:eastAsia="Times New Roman" w:hAnsi="Cambria" w:cs="Calibri"/>
              </w:rPr>
              <w:t xml:space="preserve"> </w:t>
            </w:r>
            <w:proofErr w:type="spellStart"/>
            <w:r w:rsidRPr="000E50AE">
              <w:rPr>
                <w:rFonts w:ascii="Cambria" w:eastAsia="Times New Roman" w:hAnsi="Cambria" w:cs="Calibri"/>
              </w:rPr>
              <w:t>satu</w:t>
            </w:r>
            <w:proofErr w:type="spellEnd"/>
            <w:r w:rsidRPr="000E50AE">
              <w:rPr>
                <w:rFonts w:ascii="Cambria" w:eastAsia="Times New Roman" w:hAnsi="Cambria" w:cs="Calibri"/>
              </w:rPr>
              <w:t xml:space="preserve"> </w:t>
            </w:r>
            <w:proofErr w:type="spellStart"/>
            <w:r w:rsidRPr="000E50AE">
              <w:rPr>
                <w:rFonts w:ascii="Cambria" w:eastAsia="Times New Roman" w:hAnsi="Cambria" w:cs="Calibri"/>
              </w:rPr>
              <w:t>tjelesne</w:t>
            </w:r>
            <w:proofErr w:type="spellEnd"/>
            <w:r w:rsidRPr="000E50AE">
              <w:rPr>
                <w:rFonts w:ascii="Cambria" w:eastAsia="Times New Roman" w:hAnsi="Cambria" w:cs="Calibri"/>
              </w:rPr>
              <w:t xml:space="preserve"> </w:t>
            </w:r>
            <w:proofErr w:type="spellStart"/>
            <w:r w:rsidRPr="000E50AE">
              <w:rPr>
                <w:rFonts w:ascii="Cambria" w:eastAsia="Times New Roman" w:hAnsi="Cambria" w:cs="Calibri"/>
              </w:rPr>
              <w:t>i</w:t>
            </w:r>
            <w:proofErr w:type="spellEnd"/>
            <w:r w:rsidRPr="000E50AE">
              <w:rPr>
                <w:rFonts w:ascii="Cambria" w:eastAsia="Times New Roman" w:hAnsi="Cambria" w:cs="Calibri"/>
              </w:rPr>
              <w:t xml:space="preserve"> </w:t>
            </w:r>
            <w:proofErr w:type="spellStart"/>
            <w:r w:rsidRPr="000E50AE">
              <w:rPr>
                <w:rFonts w:ascii="Cambria" w:eastAsia="Times New Roman" w:hAnsi="Cambria" w:cs="Calibri"/>
              </w:rPr>
              <w:t>zdravstvene</w:t>
            </w:r>
            <w:proofErr w:type="spellEnd"/>
            <w:r w:rsidRPr="000E50AE">
              <w:rPr>
                <w:rFonts w:ascii="Cambria" w:eastAsia="Times New Roman" w:hAnsi="Cambria" w:cs="Calibri"/>
              </w:rPr>
              <w:t xml:space="preserve"> </w:t>
            </w:r>
            <w:proofErr w:type="spellStart"/>
            <w:r w:rsidRPr="000E50AE">
              <w:rPr>
                <w:rFonts w:ascii="Cambria" w:eastAsia="Times New Roman" w:hAnsi="Cambria" w:cs="Calibri"/>
              </w:rPr>
              <w:t>kulture</w:t>
            </w:r>
            <w:proofErr w:type="spellEnd"/>
          </w:p>
        </w:tc>
      </w:tr>
      <w:tr w:rsidR="00FC4004" w:rsidRPr="000E50AE" w14:paraId="605B9DF6" w14:textId="77777777" w:rsidTr="00050905">
        <w:trPr>
          <w:trHeight w:val="151"/>
        </w:trPr>
        <w:tc>
          <w:tcPr>
            <w:tcW w:w="2824"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hideMark/>
          </w:tcPr>
          <w:p w14:paraId="11E2BB97" w14:textId="77777777" w:rsidR="00FC4004" w:rsidRPr="000E50AE" w:rsidRDefault="00FC4004" w:rsidP="000F1A10">
            <w:pPr>
              <w:spacing w:after="0" w:line="240" w:lineRule="auto"/>
              <w:jc w:val="both"/>
              <w:rPr>
                <w:rFonts w:ascii="Cambria" w:eastAsia="Times New Roman" w:hAnsi="Cambria" w:cs="Calibri"/>
                <w:lang w:val="it-IT"/>
              </w:rPr>
            </w:pPr>
            <w:proofErr w:type="spellStart"/>
            <w:r w:rsidRPr="000E50AE">
              <w:rPr>
                <w:rFonts w:ascii="Cambria" w:eastAsia="Times New Roman" w:hAnsi="Cambria" w:cs="Calibri"/>
                <w:lang w:val="it-IT"/>
              </w:rPr>
              <w:t>Planirane</w:t>
            </w:r>
            <w:proofErr w:type="spellEnd"/>
            <w:r w:rsidRPr="000E50AE">
              <w:rPr>
                <w:rFonts w:ascii="Cambria" w:eastAsia="Times New Roman" w:hAnsi="Cambria" w:cs="Calibri"/>
                <w:lang w:val="it-IT"/>
              </w:rPr>
              <w:t xml:space="preserve"> </w:t>
            </w:r>
            <w:proofErr w:type="spellStart"/>
            <w:r w:rsidRPr="000E50AE">
              <w:rPr>
                <w:rFonts w:ascii="Cambria" w:eastAsia="Times New Roman" w:hAnsi="Cambria" w:cs="Calibri"/>
                <w:lang w:val="it-IT"/>
              </w:rPr>
              <w:t>aktivnosti</w:t>
            </w:r>
            <w:proofErr w:type="spellEnd"/>
            <w:r w:rsidRPr="000E50AE">
              <w:rPr>
                <w:rFonts w:ascii="Cambria" w:eastAsia="Times New Roman" w:hAnsi="Cambria" w:cs="Calibri"/>
                <w:lang w:val="it-IT"/>
              </w:rPr>
              <w:t>,</w:t>
            </w:r>
          </w:p>
          <w:p w14:paraId="42433B2A" w14:textId="77777777" w:rsidR="00FC4004" w:rsidRPr="000E50AE" w:rsidRDefault="00FC4004" w:rsidP="000F1A10">
            <w:pPr>
              <w:spacing w:after="0" w:line="240" w:lineRule="auto"/>
              <w:jc w:val="both"/>
              <w:rPr>
                <w:rFonts w:ascii="Cambria" w:eastAsia="Times New Roman" w:hAnsi="Cambria" w:cs="Calibri"/>
                <w:lang w:val="it-IT"/>
              </w:rPr>
            </w:pPr>
            <w:proofErr w:type="spellStart"/>
            <w:r w:rsidRPr="000E50AE">
              <w:rPr>
                <w:rFonts w:ascii="Cambria" w:eastAsia="Times New Roman" w:hAnsi="Cambria" w:cs="Calibri"/>
                <w:lang w:val="it-IT"/>
              </w:rPr>
              <w:t>metode</w:t>
            </w:r>
            <w:proofErr w:type="spellEnd"/>
            <w:r w:rsidRPr="000E50AE">
              <w:rPr>
                <w:rFonts w:ascii="Cambria" w:eastAsia="Times New Roman" w:hAnsi="Cambria" w:cs="Calibri"/>
                <w:lang w:val="it-IT"/>
              </w:rPr>
              <w:t xml:space="preserve"> </w:t>
            </w:r>
            <w:proofErr w:type="spellStart"/>
            <w:r w:rsidRPr="000E50AE">
              <w:rPr>
                <w:rFonts w:ascii="Cambria" w:eastAsia="Times New Roman" w:hAnsi="Cambria" w:cs="Calibri"/>
                <w:lang w:val="it-IT"/>
              </w:rPr>
              <w:t>učenja</w:t>
            </w:r>
            <w:proofErr w:type="spellEnd"/>
            <w:r w:rsidRPr="000E50AE">
              <w:rPr>
                <w:rFonts w:ascii="Cambria" w:eastAsia="Times New Roman" w:hAnsi="Cambria" w:cs="Calibri"/>
                <w:lang w:val="it-IT"/>
              </w:rPr>
              <w:t xml:space="preserve"> i </w:t>
            </w:r>
            <w:proofErr w:type="spellStart"/>
            <w:r w:rsidRPr="000E50AE">
              <w:rPr>
                <w:rFonts w:ascii="Cambria" w:eastAsia="Times New Roman" w:hAnsi="Cambria" w:cs="Calibri"/>
                <w:lang w:val="it-IT"/>
              </w:rPr>
              <w:t>poučavanja</w:t>
            </w:r>
            <w:proofErr w:type="spellEnd"/>
            <w:r w:rsidRPr="000E50AE">
              <w:rPr>
                <w:rFonts w:ascii="Cambria" w:eastAsia="Times New Roman" w:hAnsi="Cambria" w:cs="Calibri"/>
                <w:lang w:val="it-IT"/>
              </w:rPr>
              <w:t xml:space="preserve"> i </w:t>
            </w:r>
            <w:proofErr w:type="spellStart"/>
            <w:r w:rsidRPr="000E50AE">
              <w:rPr>
                <w:rFonts w:ascii="Cambria" w:eastAsia="Times New Roman" w:hAnsi="Cambria" w:cs="Calibri"/>
                <w:lang w:val="it-IT"/>
              </w:rPr>
              <w:t>načini</w:t>
            </w:r>
            <w:proofErr w:type="spellEnd"/>
            <w:r w:rsidRPr="000E50AE">
              <w:rPr>
                <w:rFonts w:ascii="Cambria" w:eastAsia="Times New Roman" w:hAnsi="Cambria" w:cs="Calibri"/>
                <w:lang w:val="it-IT"/>
              </w:rPr>
              <w:t xml:space="preserve"> </w:t>
            </w:r>
            <w:proofErr w:type="spellStart"/>
            <w:r w:rsidRPr="000E50AE">
              <w:rPr>
                <w:rFonts w:ascii="Cambria" w:eastAsia="Times New Roman" w:hAnsi="Cambria" w:cs="Calibri"/>
                <w:lang w:val="it-IT"/>
              </w:rPr>
              <w:t>vrednovanja</w:t>
            </w:r>
            <w:proofErr w:type="spellEnd"/>
          </w:p>
          <w:p w14:paraId="284193A6" w14:textId="77777777" w:rsidR="00FC4004" w:rsidRPr="000E50AE" w:rsidRDefault="00FC4004" w:rsidP="000F1A10">
            <w:pPr>
              <w:spacing w:after="0" w:line="240" w:lineRule="auto"/>
              <w:jc w:val="both"/>
              <w:rPr>
                <w:rFonts w:ascii="Cambria" w:eastAsia="Times New Roman" w:hAnsi="Cambria" w:cs="Calibri"/>
                <w:lang w:val="it-IT"/>
              </w:rPr>
            </w:pPr>
          </w:p>
        </w:tc>
        <w:tc>
          <w:tcPr>
            <w:tcW w:w="278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6CA1587" w14:textId="77777777" w:rsidR="00FC4004" w:rsidRPr="000E50AE" w:rsidRDefault="00FC4004" w:rsidP="000F1A10">
            <w:pPr>
              <w:spacing w:after="0" w:line="240" w:lineRule="auto"/>
              <w:jc w:val="both"/>
              <w:rPr>
                <w:rFonts w:ascii="Cambria" w:eastAsia="Times New Roman" w:hAnsi="Cambria" w:cs="Calibri"/>
              </w:rPr>
            </w:pPr>
            <w:proofErr w:type="spellStart"/>
            <w:r w:rsidRPr="000E50AE">
              <w:rPr>
                <w:rFonts w:ascii="Cambria" w:eastAsia="Times New Roman" w:hAnsi="Cambria" w:cs="Calibri"/>
              </w:rPr>
              <w:t>Obveze</w:t>
            </w:r>
            <w:proofErr w:type="spellEnd"/>
          </w:p>
        </w:tc>
        <w:tc>
          <w:tcPr>
            <w:tcW w:w="117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1A8CE29" w14:textId="77777777" w:rsidR="00FC4004" w:rsidRPr="000E50AE" w:rsidRDefault="00FC4004" w:rsidP="000F1A10">
            <w:pPr>
              <w:spacing w:after="0" w:line="240" w:lineRule="auto"/>
              <w:jc w:val="both"/>
              <w:rPr>
                <w:rFonts w:ascii="Cambria" w:eastAsia="Times New Roman" w:hAnsi="Cambria" w:cs="Calibri"/>
              </w:rPr>
            </w:pPr>
            <w:proofErr w:type="spellStart"/>
            <w:r w:rsidRPr="000E50AE">
              <w:rPr>
                <w:rFonts w:ascii="Cambria" w:eastAsia="Times New Roman" w:hAnsi="Cambria" w:cs="Calibri"/>
              </w:rPr>
              <w:t>Ishodi</w:t>
            </w:r>
            <w:proofErr w:type="spellEnd"/>
          </w:p>
        </w:tc>
        <w:tc>
          <w:tcPr>
            <w:tcW w:w="77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3F9C6F3" w14:textId="77777777" w:rsidR="00FC4004" w:rsidRPr="000E50AE" w:rsidRDefault="00FC4004" w:rsidP="000F1A10">
            <w:pPr>
              <w:spacing w:after="0" w:line="240" w:lineRule="auto"/>
              <w:jc w:val="both"/>
              <w:rPr>
                <w:rFonts w:ascii="Cambria" w:eastAsia="Times New Roman" w:hAnsi="Cambria" w:cs="Calibri"/>
              </w:rPr>
            </w:pPr>
            <w:r w:rsidRPr="000E50AE">
              <w:rPr>
                <w:rFonts w:ascii="Cambria" w:eastAsia="Times New Roman" w:hAnsi="Cambria" w:cs="Calibri"/>
              </w:rPr>
              <w:t>Sati</w:t>
            </w:r>
          </w:p>
        </w:tc>
        <w:tc>
          <w:tcPr>
            <w:tcW w:w="108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05219C4" w14:textId="77777777" w:rsidR="00FC4004" w:rsidRPr="000E50AE" w:rsidRDefault="00FC4004" w:rsidP="000F1A10">
            <w:pPr>
              <w:spacing w:after="0" w:line="240" w:lineRule="auto"/>
              <w:jc w:val="both"/>
              <w:rPr>
                <w:rFonts w:ascii="Cambria" w:eastAsia="Times New Roman" w:hAnsi="Cambria" w:cs="Calibri"/>
              </w:rPr>
            </w:pPr>
            <w:r w:rsidRPr="000E50AE">
              <w:rPr>
                <w:rFonts w:ascii="Cambria" w:eastAsia="Times New Roman" w:hAnsi="Cambria" w:cs="Calibri"/>
              </w:rPr>
              <w:t>ECTS</w:t>
            </w:r>
          </w:p>
        </w:tc>
        <w:tc>
          <w:tcPr>
            <w:tcW w:w="14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8B3449B" w14:textId="77777777" w:rsidR="00FC4004" w:rsidRPr="000E50AE" w:rsidRDefault="00FC4004" w:rsidP="000F1A10">
            <w:pPr>
              <w:spacing w:after="0" w:line="240" w:lineRule="auto"/>
              <w:jc w:val="both"/>
              <w:rPr>
                <w:rFonts w:ascii="Cambria" w:eastAsia="Times New Roman" w:hAnsi="Cambria" w:cs="Calibri"/>
              </w:rPr>
            </w:pPr>
            <w:proofErr w:type="spellStart"/>
            <w:r w:rsidRPr="000E50AE">
              <w:rPr>
                <w:rFonts w:ascii="Cambria" w:eastAsia="Times New Roman" w:hAnsi="Cambria" w:cs="Calibri"/>
              </w:rPr>
              <w:t>Maksimalni</w:t>
            </w:r>
            <w:proofErr w:type="spellEnd"/>
            <w:r w:rsidRPr="000E50AE">
              <w:rPr>
                <w:rFonts w:ascii="Cambria" w:eastAsia="Times New Roman" w:hAnsi="Cambria" w:cs="Calibri"/>
              </w:rPr>
              <w:t xml:space="preserve"> </w:t>
            </w:r>
            <w:proofErr w:type="spellStart"/>
            <w:r w:rsidRPr="000E50AE">
              <w:rPr>
                <w:rFonts w:ascii="Cambria" w:eastAsia="Times New Roman" w:hAnsi="Cambria" w:cs="Calibri"/>
              </w:rPr>
              <w:t>udio</w:t>
            </w:r>
            <w:proofErr w:type="spellEnd"/>
            <w:r w:rsidRPr="000E50AE">
              <w:rPr>
                <w:rFonts w:ascii="Cambria" w:eastAsia="Times New Roman" w:hAnsi="Cambria" w:cs="Calibri"/>
              </w:rPr>
              <w:t xml:space="preserve"> u </w:t>
            </w:r>
            <w:proofErr w:type="spellStart"/>
            <w:r w:rsidRPr="000E50AE">
              <w:rPr>
                <w:rFonts w:ascii="Cambria" w:eastAsia="Times New Roman" w:hAnsi="Cambria" w:cs="Calibri"/>
              </w:rPr>
              <w:t>ocjeni</w:t>
            </w:r>
            <w:proofErr w:type="spellEnd"/>
            <w:r w:rsidRPr="000E50AE">
              <w:rPr>
                <w:rFonts w:ascii="Cambria" w:eastAsia="Times New Roman" w:hAnsi="Cambria" w:cs="Calibri"/>
              </w:rPr>
              <w:t xml:space="preserve"> (%)</w:t>
            </w:r>
          </w:p>
        </w:tc>
      </w:tr>
      <w:tr w:rsidR="00FC4004" w:rsidRPr="000E50AE" w14:paraId="29C206F8" w14:textId="77777777" w:rsidTr="00050905">
        <w:trPr>
          <w:trHeight w:val="151"/>
        </w:trPr>
        <w:tc>
          <w:tcPr>
            <w:tcW w:w="2824" w:type="dxa"/>
            <w:vMerge/>
            <w:tcBorders>
              <w:left w:val="single" w:sz="8" w:space="0" w:color="000000"/>
              <w:right w:val="single" w:sz="8" w:space="0" w:color="000000"/>
            </w:tcBorders>
            <w:vAlign w:val="center"/>
            <w:hideMark/>
          </w:tcPr>
          <w:p w14:paraId="35C7D44A" w14:textId="77777777" w:rsidR="00FC4004" w:rsidRPr="000E50AE" w:rsidRDefault="00FC4004" w:rsidP="000F1A10">
            <w:pPr>
              <w:spacing w:after="0" w:line="240" w:lineRule="auto"/>
              <w:jc w:val="both"/>
              <w:rPr>
                <w:rFonts w:ascii="Cambria" w:eastAsia="Times New Roman" w:hAnsi="Cambria" w:cs="Calibri"/>
              </w:rPr>
            </w:pPr>
          </w:p>
        </w:tc>
        <w:tc>
          <w:tcPr>
            <w:tcW w:w="278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E27E044" w14:textId="77777777" w:rsidR="00FC4004" w:rsidRPr="007B5EAE" w:rsidRDefault="00FC4004" w:rsidP="000F1A10">
            <w:pPr>
              <w:spacing w:after="0" w:line="240" w:lineRule="auto"/>
              <w:rPr>
                <w:rFonts w:ascii="Cambria" w:eastAsia="Times New Roman" w:hAnsi="Cambria" w:cs="Calibri"/>
                <w:lang w:val="it-IT"/>
              </w:rPr>
            </w:pPr>
            <w:proofErr w:type="spellStart"/>
            <w:r w:rsidRPr="000E50AE">
              <w:rPr>
                <w:rFonts w:ascii="Cambria" w:eastAsia="Times New Roman" w:hAnsi="Cambria" w:cs="Calibri"/>
                <w:lang w:val="it-IT"/>
              </w:rPr>
              <w:t>p</w:t>
            </w:r>
            <w:r w:rsidRPr="007B5EAE">
              <w:rPr>
                <w:rFonts w:ascii="Cambria" w:eastAsia="Times New Roman" w:hAnsi="Cambria" w:cs="Calibri"/>
                <w:lang w:val="it-IT"/>
              </w:rPr>
              <w:t>ohađanje</w:t>
            </w:r>
            <w:proofErr w:type="spellEnd"/>
            <w:r w:rsidRPr="007B5EAE">
              <w:rPr>
                <w:rFonts w:ascii="Cambria" w:eastAsia="Times New Roman" w:hAnsi="Cambria" w:cs="Calibri"/>
                <w:lang w:val="it-IT"/>
              </w:rPr>
              <w:t xml:space="preserve"> i </w:t>
            </w:r>
            <w:proofErr w:type="spellStart"/>
            <w:r w:rsidRPr="007B5EAE">
              <w:rPr>
                <w:rFonts w:ascii="Cambria" w:eastAsia="Times New Roman" w:hAnsi="Cambria" w:cs="Calibri"/>
                <w:lang w:val="it-IT"/>
              </w:rPr>
              <w:t>aktivnost</w:t>
            </w:r>
            <w:proofErr w:type="spellEnd"/>
            <w:r w:rsidRPr="007B5EAE">
              <w:rPr>
                <w:rFonts w:ascii="Cambria" w:eastAsia="Times New Roman" w:hAnsi="Cambria" w:cs="Calibri"/>
                <w:lang w:val="it-IT"/>
              </w:rPr>
              <w:t xml:space="preserve"> </w:t>
            </w:r>
            <w:proofErr w:type="spellStart"/>
            <w:r w:rsidRPr="007B5EAE">
              <w:rPr>
                <w:rFonts w:ascii="Cambria" w:eastAsia="Times New Roman" w:hAnsi="Cambria" w:cs="Calibri"/>
                <w:lang w:val="it-IT"/>
              </w:rPr>
              <w:t>na</w:t>
            </w:r>
            <w:proofErr w:type="spellEnd"/>
            <w:r w:rsidRPr="007B5EAE">
              <w:rPr>
                <w:rFonts w:ascii="Cambria" w:eastAsia="Times New Roman" w:hAnsi="Cambria" w:cs="Calibri"/>
                <w:lang w:val="it-IT"/>
              </w:rPr>
              <w:t xml:space="preserve"> </w:t>
            </w:r>
            <w:proofErr w:type="spellStart"/>
            <w:r w:rsidRPr="007B5EAE">
              <w:rPr>
                <w:rFonts w:ascii="Cambria" w:eastAsia="Times New Roman" w:hAnsi="Cambria" w:cs="Calibri"/>
                <w:lang w:val="it-IT"/>
              </w:rPr>
              <w:t>nastavi</w:t>
            </w:r>
            <w:proofErr w:type="spellEnd"/>
            <w:r w:rsidRPr="007B5EAE">
              <w:rPr>
                <w:rFonts w:ascii="Cambria" w:eastAsia="Times New Roman" w:hAnsi="Cambria" w:cs="Calibri"/>
                <w:lang w:val="it-IT"/>
              </w:rPr>
              <w:t xml:space="preserve"> P, V (</w:t>
            </w:r>
            <w:proofErr w:type="spellStart"/>
            <w:r w:rsidRPr="007B5EAE">
              <w:rPr>
                <w:rFonts w:ascii="Cambria" w:eastAsia="Times New Roman" w:hAnsi="Cambria" w:cs="Calibri"/>
                <w:lang w:val="it-IT"/>
              </w:rPr>
              <w:t>dvorana</w:t>
            </w:r>
            <w:proofErr w:type="spellEnd"/>
            <w:r w:rsidRPr="007B5EAE">
              <w:rPr>
                <w:rFonts w:ascii="Cambria" w:eastAsia="Times New Roman" w:hAnsi="Cambria" w:cs="Calibri"/>
                <w:lang w:val="it-IT"/>
              </w:rPr>
              <w:t>)</w:t>
            </w:r>
          </w:p>
        </w:tc>
        <w:tc>
          <w:tcPr>
            <w:tcW w:w="117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AD3722F" w14:textId="77777777" w:rsidR="00FC4004" w:rsidRPr="000E50AE" w:rsidRDefault="00FC4004" w:rsidP="000F1A10">
            <w:pPr>
              <w:spacing w:after="0" w:line="240" w:lineRule="auto"/>
              <w:jc w:val="center"/>
              <w:rPr>
                <w:rFonts w:ascii="Cambria" w:eastAsia="Times New Roman" w:hAnsi="Cambria" w:cs="Calibri"/>
              </w:rPr>
            </w:pPr>
            <w:r w:rsidRPr="000E50AE">
              <w:rPr>
                <w:rFonts w:ascii="Cambria" w:eastAsia="Times New Roman" w:hAnsi="Cambria" w:cs="Calibri"/>
              </w:rPr>
              <w:t>1.</w:t>
            </w:r>
            <w:r>
              <w:rPr>
                <w:rFonts w:ascii="Cambria" w:eastAsia="Times New Roman" w:hAnsi="Cambria" w:cs="Calibri"/>
              </w:rPr>
              <w:t xml:space="preserve"> – </w:t>
            </w:r>
            <w:r w:rsidRPr="000E50AE">
              <w:rPr>
                <w:rFonts w:ascii="Cambria" w:eastAsia="Times New Roman" w:hAnsi="Cambria" w:cs="Calibri"/>
              </w:rPr>
              <w:t>5.</w:t>
            </w:r>
          </w:p>
        </w:tc>
        <w:tc>
          <w:tcPr>
            <w:tcW w:w="77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CD05AFA" w14:textId="77777777" w:rsidR="00FC4004" w:rsidRPr="000E50AE" w:rsidRDefault="00FC4004" w:rsidP="000F1A10">
            <w:pPr>
              <w:spacing w:after="0" w:line="240" w:lineRule="auto"/>
              <w:jc w:val="center"/>
              <w:rPr>
                <w:rFonts w:ascii="Cambria" w:eastAsia="Times New Roman" w:hAnsi="Cambria" w:cs="Calibri"/>
              </w:rPr>
            </w:pPr>
            <w:r w:rsidRPr="000E50AE">
              <w:rPr>
                <w:rFonts w:ascii="Cambria" w:eastAsia="Times New Roman" w:hAnsi="Cambria" w:cs="Calibri"/>
              </w:rPr>
              <w:t>34</w:t>
            </w:r>
          </w:p>
        </w:tc>
        <w:tc>
          <w:tcPr>
            <w:tcW w:w="108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03F03DB" w14:textId="77777777" w:rsidR="00FC4004" w:rsidRPr="000E50AE" w:rsidRDefault="00FC4004" w:rsidP="000F1A10">
            <w:pPr>
              <w:spacing w:after="0" w:line="240" w:lineRule="auto"/>
              <w:jc w:val="center"/>
              <w:rPr>
                <w:rFonts w:ascii="Cambria" w:eastAsia="Times New Roman" w:hAnsi="Cambria" w:cs="Calibri"/>
              </w:rPr>
            </w:pPr>
            <w:r w:rsidRPr="000E50AE">
              <w:rPr>
                <w:rFonts w:ascii="Cambria" w:eastAsia="Times New Roman" w:hAnsi="Cambria" w:cs="Calibri"/>
              </w:rPr>
              <w:t>1,1</w:t>
            </w:r>
          </w:p>
        </w:tc>
        <w:tc>
          <w:tcPr>
            <w:tcW w:w="14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C83DCFF" w14:textId="77777777" w:rsidR="00FC4004" w:rsidRPr="000E50AE" w:rsidRDefault="00FC4004" w:rsidP="000F1A10">
            <w:pPr>
              <w:spacing w:after="0" w:line="240" w:lineRule="auto"/>
              <w:jc w:val="center"/>
              <w:rPr>
                <w:rFonts w:ascii="Cambria" w:eastAsia="Times New Roman" w:hAnsi="Cambria" w:cs="Calibri"/>
              </w:rPr>
            </w:pPr>
            <w:r w:rsidRPr="000E50AE">
              <w:rPr>
                <w:rFonts w:ascii="Cambria" w:eastAsia="Times New Roman" w:hAnsi="Cambria" w:cs="Calibri"/>
              </w:rPr>
              <w:t>10%</w:t>
            </w:r>
          </w:p>
        </w:tc>
      </w:tr>
      <w:tr w:rsidR="00FC4004" w:rsidRPr="000E50AE" w14:paraId="77561AA5" w14:textId="77777777" w:rsidTr="00050905">
        <w:trPr>
          <w:trHeight w:val="151"/>
        </w:trPr>
        <w:tc>
          <w:tcPr>
            <w:tcW w:w="2824" w:type="dxa"/>
            <w:vMerge/>
            <w:tcBorders>
              <w:left w:val="single" w:sz="8" w:space="0" w:color="000000"/>
              <w:right w:val="single" w:sz="8" w:space="0" w:color="000000"/>
            </w:tcBorders>
            <w:vAlign w:val="center"/>
          </w:tcPr>
          <w:p w14:paraId="139213E4" w14:textId="77777777" w:rsidR="00FC4004" w:rsidRPr="000E50AE" w:rsidRDefault="00FC4004" w:rsidP="000F1A10">
            <w:pPr>
              <w:spacing w:after="0" w:line="240" w:lineRule="auto"/>
              <w:jc w:val="both"/>
              <w:rPr>
                <w:rFonts w:ascii="Cambria" w:eastAsia="Times New Roman" w:hAnsi="Cambria" w:cs="Calibri"/>
              </w:rPr>
            </w:pPr>
          </w:p>
        </w:tc>
        <w:tc>
          <w:tcPr>
            <w:tcW w:w="278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611C35B" w14:textId="77777777" w:rsidR="00FC4004" w:rsidRPr="000E50AE" w:rsidRDefault="00FC4004" w:rsidP="000F1A10">
            <w:pPr>
              <w:spacing w:after="0" w:line="240" w:lineRule="auto"/>
              <w:jc w:val="both"/>
              <w:rPr>
                <w:rFonts w:ascii="Cambria" w:eastAsia="Times New Roman" w:hAnsi="Cambria" w:cs="Calibri"/>
              </w:rPr>
            </w:pPr>
            <w:proofErr w:type="spellStart"/>
            <w:r w:rsidRPr="000E50AE">
              <w:rPr>
                <w:rFonts w:ascii="Cambria" w:eastAsia="Times New Roman" w:hAnsi="Cambria" w:cs="Calibri"/>
              </w:rPr>
              <w:t>praktični</w:t>
            </w:r>
            <w:proofErr w:type="spellEnd"/>
            <w:r w:rsidRPr="000E50AE">
              <w:rPr>
                <w:rFonts w:ascii="Cambria" w:eastAsia="Times New Roman" w:hAnsi="Cambria" w:cs="Calibri"/>
              </w:rPr>
              <w:t xml:space="preserve"> rad</w:t>
            </w:r>
          </w:p>
        </w:tc>
        <w:tc>
          <w:tcPr>
            <w:tcW w:w="117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280565F" w14:textId="77777777" w:rsidR="00FC4004" w:rsidRPr="000E50AE" w:rsidRDefault="00FC4004" w:rsidP="000F1A10">
            <w:pPr>
              <w:spacing w:after="0" w:line="240" w:lineRule="auto"/>
              <w:jc w:val="center"/>
              <w:rPr>
                <w:rFonts w:ascii="Cambria" w:eastAsia="Times New Roman" w:hAnsi="Cambria" w:cs="Calibri"/>
              </w:rPr>
            </w:pPr>
            <w:r w:rsidRPr="000E50AE">
              <w:rPr>
                <w:rFonts w:ascii="Cambria" w:eastAsia="Times New Roman" w:hAnsi="Cambria" w:cs="Calibri"/>
              </w:rPr>
              <w:t>5.</w:t>
            </w:r>
          </w:p>
        </w:tc>
        <w:tc>
          <w:tcPr>
            <w:tcW w:w="77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07E4BF6" w14:textId="77777777" w:rsidR="00FC4004" w:rsidRPr="000E50AE" w:rsidRDefault="00FC4004" w:rsidP="000F1A10">
            <w:pPr>
              <w:spacing w:after="0" w:line="240" w:lineRule="auto"/>
              <w:jc w:val="center"/>
              <w:rPr>
                <w:rFonts w:ascii="Cambria" w:eastAsia="Times New Roman" w:hAnsi="Cambria" w:cs="Calibri"/>
              </w:rPr>
            </w:pPr>
            <w:r w:rsidRPr="000E50AE">
              <w:rPr>
                <w:rFonts w:ascii="Cambria" w:eastAsia="Times New Roman" w:hAnsi="Cambria" w:cs="Calibri"/>
              </w:rPr>
              <w:t>18</w:t>
            </w:r>
          </w:p>
        </w:tc>
        <w:tc>
          <w:tcPr>
            <w:tcW w:w="108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834E0DA" w14:textId="77777777" w:rsidR="00FC4004" w:rsidRPr="000E50AE" w:rsidRDefault="00FC4004" w:rsidP="000F1A10">
            <w:pPr>
              <w:spacing w:after="0" w:line="240" w:lineRule="auto"/>
              <w:jc w:val="center"/>
              <w:rPr>
                <w:rFonts w:ascii="Cambria" w:eastAsia="Times New Roman" w:hAnsi="Cambria" w:cs="Calibri"/>
              </w:rPr>
            </w:pPr>
            <w:r w:rsidRPr="000E50AE">
              <w:rPr>
                <w:rFonts w:ascii="Cambria" w:eastAsia="Times New Roman" w:hAnsi="Cambria" w:cs="Calibri"/>
              </w:rPr>
              <w:t>0,6</w:t>
            </w:r>
          </w:p>
        </w:tc>
        <w:tc>
          <w:tcPr>
            <w:tcW w:w="14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FA2E5C9" w14:textId="77777777" w:rsidR="00FC4004" w:rsidRPr="000E50AE" w:rsidRDefault="00FC4004" w:rsidP="000F1A10">
            <w:pPr>
              <w:spacing w:after="0" w:line="240" w:lineRule="auto"/>
              <w:jc w:val="center"/>
              <w:rPr>
                <w:rFonts w:ascii="Cambria" w:eastAsia="Times New Roman" w:hAnsi="Cambria" w:cs="Calibri"/>
              </w:rPr>
            </w:pPr>
            <w:r w:rsidRPr="000E50AE">
              <w:rPr>
                <w:rFonts w:ascii="Cambria" w:eastAsia="Times New Roman" w:hAnsi="Cambria" w:cs="Calibri"/>
              </w:rPr>
              <w:t>10%</w:t>
            </w:r>
          </w:p>
        </w:tc>
      </w:tr>
      <w:tr w:rsidR="00FC4004" w:rsidRPr="000E50AE" w14:paraId="27E4A3F9" w14:textId="77777777" w:rsidTr="00050905">
        <w:trPr>
          <w:trHeight w:val="151"/>
        </w:trPr>
        <w:tc>
          <w:tcPr>
            <w:tcW w:w="2824" w:type="dxa"/>
            <w:vMerge/>
            <w:tcBorders>
              <w:left w:val="single" w:sz="8" w:space="0" w:color="000000"/>
              <w:right w:val="single" w:sz="8" w:space="0" w:color="000000"/>
            </w:tcBorders>
            <w:vAlign w:val="center"/>
            <w:hideMark/>
          </w:tcPr>
          <w:p w14:paraId="3D4928D9" w14:textId="77777777" w:rsidR="00FC4004" w:rsidRPr="000E50AE" w:rsidRDefault="00FC4004" w:rsidP="000F1A10">
            <w:pPr>
              <w:spacing w:after="0" w:line="240" w:lineRule="auto"/>
              <w:jc w:val="both"/>
              <w:rPr>
                <w:rFonts w:ascii="Cambria" w:eastAsia="Times New Roman" w:hAnsi="Cambria" w:cs="Calibri"/>
              </w:rPr>
            </w:pPr>
          </w:p>
        </w:tc>
        <w:tc>
          <w:tcPr>
            <w:tcW w:w="278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AB0DEE1" w14:textId="77777777" w:rsidR="00FC4004" w:rsidRPr="000E50AE" w:rsidRDefault="00FC4004" w:rsidP="000F1A10">
            <w:pPr>
              <w:spacing w:after="0" w:line="240" w:lineRule="auto"/>
              <w:jc w:val="both"/>
              <w:rPr>
                <w:rFonts w:ascii="Cambria" w:eastAsia="Times New Roman" w:hAnsi="Cambria" w:cs="Calibri"/>
              </w:rPr>
            </w:pPr>
            <w:proofErr w:type="spellStart"/>
            <w:r w:rsidRPr="000E50AE">
              <w:rPr>
                <w:rFonts w:ascii="Cambria" w:eastAsia="Times New Roman" w:hAnsi="Cambria" w:cs="Calibri"/>
              </w:rPr>
              <w:t>kolokvij</w:t>
            </w:r>
            <w:proofErr w:type="spellEnd"/>
            <w:r w:rsidRPr="000E50AE">
              <w:rPr>
                <w:rFonts w:ascii="Cambria" w:eastAsia="Times New Roman" w:hAnsi="Cambria" w:cs="Calibri"/>
              </w:rPr>
              <w:t xml:space="preserve"> (</w:t>
            </w:r>
            <w:proofErr w:type="spellStart"/>
            <w:r w:rsidRPr="000E50AE">
              <w:rPr>
                <w:rFonts w:ascii="Cambria" w:eastAsia="Times New Roman" w:hAnsi="Cambria" w:cs="Calibri"/>
              </w:rPr>
              <w:t>pismeni</w:t>
            </w:r>
            <w:proofErr w:type="spellEnd"/>
            <w:r w:rsidRPr="000E50AE">
              <w:rPr>
                <w:rFonts w:ascii="Cambria" w:eastAsia="Times New Roman" w:hAnsi="Cambria" w:cs="Calibri"/>
              </w:rPr>
              <w:t>)</w:t>
            </w:r>
          </w:p>
        </w:tc>
        <w:tc>
          <w:tcPr>
            <w:tcW w:w="117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E63339C" w14:textId="77777777" w:rsidR="00FC4004" w:rsidRPr="000E50AE" w:rsidRDefault="00FC4004" w:rsidP="000F1A10">
            <w:pPr>
              <w:spacing w:after="0" w:line="240" w:lineRule="auto"/>
              <w:jc w:val="center"/>
              <w:rPr>
                <w:rFonts w:ascii="Cambria" w:eastAsia="Times New Roman" w:hAnsi="Cambria" w:cs="Calibri"/>
              </w:rPr>
            </w:pPr>
            <w:r w:rsidRPr="000E50AE">
              <w:rPr>
                <w:rFonts w:ascii="Cambria" w:eastAsia="Times New Roman" w:hAnsi="Cambria" w:cs="Calibri"/>
              </w:rPr>
              <w:t>1.</w:t>
            </w:r>
            <w:r>
              <w:rPr>
                <w:rFonts w:ascii="Cambria" w:eastAsia="Times New Roman" w:hAnsi="Cambria" w:cs="Calibri"/>
              </w:rPr>
              <w:t xml:space="preserve"> – </w:t>
            </w:r>
            <w:r w:rsidRPr="000E50AE">
              <w:rPr>
                <w:rFonts w:ascii="Cambria" w:eastAsia="Times New Roman" w:hAnsi="Cambria" w:cs="Calibri"/>
              </w:rPr>
              <w:t>5.</w:t>
            </w:r>
          </w:p>
        </w:tc>
        <w:tc>
          <w:tcPr>
            <w:tcW w:w="77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EBFA14B" w14:textId="77777777" w:rsidR="00FC4004" w:rsidRPr="000E50AE" w:rsidRDefault="00FC4004" w:rsidP="000F1A10">
            <w:pPr>
              <w:spacing w:after="0" w:line="240" w:lineRule="auto"/>
              <w:jc w:val="center"/>
              <w:rPr>
                <w:rFonts w:ascii="Cambria" w:eastAsia="Times New Roman" w:hAnsi="Cambria" w:cs="Calibri"/>
              </w:rPr>
            </w:pPr>
            <w:r w:rsidRPr="000E50AE">
              <w:rPr>
                <w:rFonts w:ascii="Cambria" w:eastAsia="Times New Roman" w:hAnsi="Cambria" w:cs="Calibri"/>
              </w:rPr>
              <w:t>38</w:t>
            </w:r>
          </w:p>
        </w:tc>
        <w:tc>
          <w:tcPr>
            <w:tcW w:w="108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89B87E0" w14:textId="77777777" w:rsidR="00FC4004" w:rsidRPr="000E50AE" w:rsidRDefault="00FC4004" w:rsidP="000F1A10">
            <w:pPr>
              <w:spacing w:after="0" w:line="240" w:lineRule="auto"/>
              <w:jc w:val="center"/>
              <w:rPr>
                <w:rFonts w:ascii="Cambria" w:eastAsia="Times New Roman" w:hAnsi="Cambria" w:cs="Calibri"/>
              </w:rPr>
            </w:pPr>
            <w:r w:rsidRPr="000E50AE">
              <w:rPr>
                <w:rFonts w:ascii="Cambria" w:eastAsia="Times New Roman" w:hAnsi="Cambria" w:cs="Calibri"/>
              </w:rPr>
              <w:t>1,3</w:t>
            </w:r>
          </w:p>
        </w:tc>
        <w:tc>
          <w:tcPr>
            <w:tcW w:w="14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1B856BE" w14:textId="77777777" w:rsidR="00FC4004" w:rsidRPr="000E50AE" w:rsidRDefault="00FC4004" w:rsidP="000F1A10">
            <w:pPr>
              <w:spacing w:after="0" w:line="240" w:lineRule="auto"/>
              <w:jc w:val="center"/>
              <w:rPr>
                <w:rFonts w:ascii="Cambria" w:eastAsia="Times New Roman" w:hAnsi="Cambria" w:cs="Calibri"/>
              </w:rPr>
            </w:pPr>
            <w:r w:rsidRPr="000E50AE">
              <w:rPr>
                <w:rFonts w:ascii="Cambria" w:eastAsia="Times New Roman" w:hAnsi="Cambria" w:cs="Calibri"/>
              </w:rPr>
              <w:t>2x25%</w:t>
            </w:r>
          </w:p>
        </w:tc>
      </w:tr>
      <w:tr w:rsidR="00FC4004" w:rsidRPr="000E50AE" w14:paraId="408181ED" w14:textId="77777777" w:rsidTr="00050905">
        <w:trPr>
          <w:trHeight w:val="151"/>
        </w:trPr>
        <w:tc>
          <w:tcPr>
            <w:tcW w:w="2824" w:type="dxa"/>
            <w:vMerge/>
            <w:tcBorders>
              <w:left w:val="single" w:sz="8" w:space="0" w:color="000000"/>
              <w:right w:val="single" w:sz="8" w:space="0" w:color="000000"/>
            </w:tcBorders>
            <w:vAlign w:val="center"/>
            <w:hideMark/>
          </w:tcPr>
          <w:p w14:paraId="09733EFC" w14:textId="77777777" w:rsidR="00FC4004" w:rsidRPr="000E50AE" w:rsidRDefault="00FC4004" w:rsidP="000F1A10">
            <w:pPr>
              <w:spacing w:after="0" w:line="240" w:lineRule="auto"/>
              <w:jc w:val="both"/>
              <w:rPr>
                <w:rFonts w:ascii="Cambria" w:eastAsia="Times New Roman" w:hAnsi="Cambria" w:cs="Calibri"/>
              </w:rPr>
            </w:pPr>
          </w:p>
        </w:tc>
        <w:tc>
          <w:tcPr>
            <w:tcW w:w="278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543ED84" w14:textId="77777777" w:rsidR="00FC4004" w:rsidRPr="000E50AE" w:rsidRDefault="00FC4004" w:rsidP="000F1A10">
            <w:pPr>
              <w:spacing w:after="0" w:line="240" w:lineRule="auto"/>
              <w:jc w:val="both"/>
              <w:rPr>
                <w:rFonts w:ascii="Cambria" w:eastAsia="Times New Roman" w:hAnsi="Cambria" w:cs="Calibri"/>
              </w:rPr>
            </w:pPr>
            <w:proofErr w:type="spellStart"/>
            <w:r w:rsidRPr="000E50AE">
              <w:rPr>
                <w:rFonts w:ascii="Cambria" w:eastAsia="Times New Roman" w:hAnsi="Cambria" w:cs="Calibri"/>
              </w:rPr>
              <w:t>ispit</w:t>
            </w:r>
            <w:proofErr w:type="spellEnd"/>
            <w:r w:rsidRPr="000E50AE">
              <w:rPr>
                <w:rFonts w:ascii="Cambria" w:eastAsia="Times New Roman" w:hAnsi="Cambria" w:cs="Calibri"/>
              </w:rPr>
              <w:t xml:space="preserve"> (</w:t>
            </w:r>
            <w:proofErr w:type="spellStart"/>
            <w:r w:rsidRPr="000E50AE">
              <w:rPr>
                <w:rFonts w:ascii="Cambria" w:eastAsia="Times New Roman" w:hAnsi="Cambria" w:cs="Calibri"/>
              </w:rPr>
              <w:t>usmeni</w:t>
            </w:r>
            <w:proofErr w:type="spellEnd"/>
            <w:r w:rsidRPr="000E50AE">
              <w:rPr>
                <w:rFonts w:ascii="Cambria" w:eastAsia="Times New Roman" w:hAnsi="Cambria" w:cs="Calibri"/>
              </w:rPr>
              <w:t>)</w:t>
            </w:r>
          </w:p>
        </w:tc>
        <w:tc>
          <w:tcPr>
            <w:tcW w:w="117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9FB9B9F" w14:textId="77777777" w:rsidR="00FC4004" w:rsidRPr="000E50AE" w:rsidRDefault="00FC4004" w:rsidP="000F1A10">
            <w:pPr>
              <w:spacing w:after="0" w:line="240" w:lineRule="auto"/>
              <w:jc w:val="center"/>
              <w:rPr>
                <w:rFonts w:ascii="Cambria" w:eastAsia="Times New Roman" w:hAnsi="Cambria" w:cs="Calibri"/>
              </w:rPr>
            </w:pPr>
            <w:r w:rsidRPr="000E50AE">
              <w:rPr>
                <w:rFonts w:ascii="Cambria" w:eastAsia="Times New Roman" w:hAnsi="Cambria" w:cs="Calibri"/>
              </w:rPr>
              <w:t>1.</w:t>
            </w:r>
            <w:r>
              <w:rPr>
                <w:rFonts w:ascii="Cambria" w:eastAsia="Times New Roman" w:hAnsi="Cambria" w:cs="Calibri"/>
              </w:rPr>
              <w:t xml:space="preserve"> – </w:t>
            </w:r>
            <w:r w:rsidRPr="000E50AE">
              <w:rPr>
                <w:rFonts w:ascii="Cambria" w:eastAsia="Times New Roman" w:hAnsi="Cambria" w:cs="Calibri"/>
              </w:rPr>
              <w:t>5.</w:t>
            </w:r>
          </w:p>
        </w:tc>
        <w:tc>
          <w:tcPr>
            <w:tcW w:w="77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48E0539" w14:textId="77777777" w:rsidR="00FC4004" w:rsidRPr="000E50AE" w:rsidRDefault="00FC4004" w:rsidP="000F1A10">
            <w:pPr>
              <w:spacing w:after="0" w:line="240" w:lineRule="auto"/>
              <w:jc w:val="center"/>
              <w:rPr>
                <w:rFonts w:ascii="Cambria" w:eastAsia="Times New Roman" w:hAnsi="Cambria" w:cs="Calibri"/>
              </w:rPr>
            </w:pPr>
            <w:r w:rsidRPr="000E50AE">
              <w:rPr>
                <w:rFonts w:ascii="Cambria" w:eastAsia="Times New Roman" w:hAnsi="Cambria" w:cs="Calibri"/>
              </w:rPr>
              <w:t>30</w:t>
            </w:r>
          </w:p>
        </w:tc>
        <w:tc>
          <w:tcPr>
            <w:tcW w:w="108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76B02BE" w14:textId="77777777" w:rsidR="00FC4004" w:rsidRPr="000E50AE" w:rsidRDefault="00FC4004" w:rsidP="000F1A10">
            <w:pPr>
              <w:spacing w:after="0" w:line="240" w:lineRule="auto"/>
              <w:jc w:val="center"/>
              <w:rPr>
                <w:rFonts w:ascii="Cambria" w:eastAsia="Times New Roman" w:hAnsi="Cambria" w:cs="Calibri"/>
              </w:rPr>
            </w:pPr>
            <w:r w:rsidRPr="000E50AE">
              <w:rPr>
                <w:rFonts w:ascii="Cambria" w:eastAsia="Times New Roman" w:hAnsi="Cambria" w:cs="Calibri"/>
              </w:rPr>
              <w:t>1</w:t>
            </w:r>
          </w:p>
        </w:tc>
        <w:tc>
          <w:tcPr>
            <w:tcW w:w="14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F552537" w14:textId="77777777" w:rsidR="00FC4004" w:rsidRPr="000E50AE" w:rsidRDefault="00FC4004" w:rsidP="000F1A10">
            <w:pPr>
              <w:spacing w:after="0" w:line="240" w:lineRule="auto"/>
              <w:jc w:val="center"/>
              <w:rPr>
                <w:rFonts w:ascii="Cambria" w:eastAsia="Times New Roman" w:hAnsi="Cambria" w:cs="Calibri"/>
              </w:rPr>
            </w:pPr>
            <w:r w:rsidRPr="000E50AE">
              <w:rPr>
                <w:rFonts w:ascii="Cambria" w:eastAsia="Times New Roman" w:hAnsi="Cambria" w:cs="Calibri"/>
              </w:rPr>
              <w:t>30%</w:t>
            </w:r>
          </w:p>
        </w:tc>
      </w:tr>
      <w:tr w:rsidR="00FC4004" w:rsidRPr="000E50AE" w14:paraId="6948F68B" w14:textId="77777777" w:rsidTr="00050905">
        <w:trPr>
          <w:trHeight w:val="151"/>
        </w:trPr>
        <w:tc>
          <w:tcPr>
            <w:tcW w:w="2824" w:type="dxa"/>
            <w:vMerge/>
            <w:tcBorders>
              <w:left w:val="single" w:sz="8" w:space="0" w:color="000000"/>
              <w:right w:val="single" w:sz="8" w:space="0" w:color="000000"/>
            </w:tcBorders>
            <w:vAlign w:val="center"/>
            <w:hideMark/>
          </w:tcPr>
          <w:p w14:paraId="43623DDC" w14:textId="77777777" w:rsidR="00FC4004" w:rsidRPr="000E50AE" w:rsidRDefault="00FC4004" w:rsidP="000F1A10">
            <w:pPr>
              <w:spacing w:after="0" w:line="240" w:lineRule="auto"/>
              <w:jc w:val="both"/>
              <w:rPr>
                <w:rFonts w:ascii="Cambria" w:eastAsia="Times New Roman" w:hAnsi="Cambria" w:cs="Calibri"/>
              </w:rPr>
            </w:pPr>
          </w:p>
        </w:tc>
        <w:tc>
          <w:tcPr>
            <w:tcW w:w="3954"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AEBF5D1" w14:textId="77777777" w:rsidR="00FC4004" w:rsidRPr="000E50AE" w:rsidRDefault="00FC4004" w:rsidP="000F1A10">
            <w:pPr>
              <w:spacing w:after="0" w:line="240" w:lineRule="auto"/>
              <w:jc w:val="both"/>
              <w:rPr>
                <w:rFonts w:ascii="Cambria" w:eastAsia="Times New Roman" w:hAnsi="Cambria" w:cs="Calibri"/>
              </w:rPr>
            </w:pPr>
            <w:proofErr w:type="spellStart"/>
            <w:r w:rsidRPr="000E50AE">
              <w:rPr>
                <w:rFonts w:ascii="Cambria" w:eastAsia="Times New Roman" w:hAnsi="Cambria" w:cs="Calibri"/>
              </w:rPr>
              <w:t>ukupno</w:t>
            </w:r>
            <w:proofErr w:type="spellEnd"/>
          </w:p>
        </w:tc>
        <w:tc>
          <w:tcPr>
            <w:tcW w:w="77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942250C" w14:textId="77777777" w:rsidR="00FC4004" w:rsidRPr="000E50AE" w:rsidRDefault="00FC4004" w:rsidP="000F1A10">
            <w:pPr>
              <w:spacing w:after="0" w:line="240" w:lineRule="auto"/>
              <w:jc w:val="center"/>
              <w:rPr>
                <w:rFonts w:ascii="Cambria" w:eastAsia="Times New Roman" w:hAnsi="Cambria" w:cs="Calibri"/>
              </w:rPr>
            </w:pPr>
            <w:r w:rsidRPr="000E50AE">
              <w:rPr>
                <w:rFonts w:ascii="Cambria" w:eastAsia="Times New Roman" w:hAnsi="Cambria" w:cs="Calibri"/>
              </w:rPr>
              <w:t>120</w:t>
            </w:r>
          </w:p>
        </w:tc>
        <w:tc>
          <w:tcPr>
            <w:tcW w:w="108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9941A32" w14:textId="77777777" w:rsidR="00FC4004" w:rsidRPr="000E50AE" w:rsidRDefault="00FC4004" w:rsidP="000F1A10">
            <w:pPr>
              <w:spacing w:after="0" w:line="240" w:lineRule="auto"/>
              <w:jc w:val="center"/>
              <w:rPr>
                <w:rFonts w:ascii="Cambria" w:eastAsia="Times New Roman" w:hAnsi="Cambria" w:cs="Calibri"/>
              </w:rPr>
            </w:pPr>
            <w:r w:rsidRPr="000E50AE">
              <w:rPr>
                <w:rFonts w:ascii="Cambria" w:eastAsia="Times New Roman" w:hAnsi="Cambria" w:cs="Calibri"/>
              </w:rPr>
              <w:t>4</w:t>
            </w:r>
          </w:p>
        </w:tc>
        <w:tc>
          <w:tcPr>
            <w:tcW w:w="14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1BDCC08" w14:textId="77777777" w:rsidR="00FC4004" w:rsidRPr="000E50AE" w:rsidRDefault="00FC4004" w:rsidP="000F1A10">
            <w:pPr>
              <w:spacing w:after="0" w:line="240" w:lineRule="auto"/>
              <w:jc w:val="center"/>
              <w:rPr>
                <w:rFonts w:ascii="Cambria" w:eastAsia="Times New Roman" w:hAnsi="Cambria" w:cs="Calibri"/>
              </w:rPr>
            </w:pPr>
            <w:r w:rsidRPr="000E50AE">
              <w:rPr>
                <w:rFonts w:ascii="Cambria" w:eastAsia="Times New Roman" w:hAnsi="Cambria" w:cs="Calibri"/>
              </w:rPr>
              <w:t>100%</w:t>
            </w:r>
          </w:p>
        </w:tc>
      </w:tr>
      <w:tr w:rsidR="00FC4004" w:rsidRPr="000E50AE" w14:paraId="74502220" w14:textId="77777777" w:rsidTr="00050905">
        <w:trPr>
          <w:trHeight w:val="151"/>
        </w:trPr>
        <w:tc>
          <w:tcPr>
            <w:tcW w:w="2824" w:type="dxa"/>
            <w:vMerge/>
            <w:tcBorders>
              <w:left w:val="single" w:sz="8" w:space="0" w:color="000000"/>
              <w:bottom w:val="single" w:sz="8" w:space="0" w:color="000000"/>
              <w:right w:val="single" w:sz="8" w:space="0" w:color="000000"/>
            </w:tcBorders>
            <w:vAlign w:val="center"/>
          </w:tcPr>
          <w:p w14:paraId="2F270FB6" w14:textId="77777777" w:rsidR="00FC4004" w:rsidRPr="000E50AE" w:rsidRDefault="00FC4004" w:rsidP="000F1A10">
            <w:pPr>
              <w:spacing w:after="0" w:line="240" w:lineRule="auto"/>
              <w:jc w:val="both"/>
              <w:rPr>
                <w:rFonts w:ascii="Cambria" w:eastAsia="Times New Roman" w:hAnsi="Cambria" w:cs="Calibri"/>
              </w:rPr>
            </w:pPr>
          </w:p>
        </w:tc>
        <w:tc>
          <w:tcPr>
            <w:tcW w:w="7232"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892821A" w14:textId="77777777" w:rsidR="00FC4004" w:rsidRPr="000E50AE" w:rsidRDefault="00FC4004" w:rsidP="000F1A10">
            <w:pPr>
              <w:spacing w:after="0" w:line="240" w:lineRule="auto"/>
              <w:jc w:val="both"/>
              <w:rPr>
                <w:rFonts w:ascii="Cambria" w:eastAsia="Times New Roman" w:hAnsi="Cambria" w:cs="Calibri"/>
              </w:rPr>
            </w:pPr>
            <w:proofErr w:type="spellStart"/>
            <w:r w:rsidRPr="000E50AE">
              <w:rPr>
                <w:rFonts w:ascii="Cambria" w:eastAsia="Times New Roman" w:hAnsi="Cambria" w:cs="Calibri"/>
              </w:rPr>
              <w:t>Dodatna</w:t>
            </w:r>
            <w:proofErr w:type="spellEnd"/>
            <w:r w:rsidRPr="000E50AE">
              <w:rPr>
                <w:rFonts w:ascii="Cambria" w:eastAsia="Times New Roman" w:hAnsi="Cambria" w:cs="Calibri"/>
              </w:rPr>
              <w:t xml:space="preserve"> </w:t>
            </w:r>
            <w:proofErr w:type="spellStart"/>
            <w:r w:rsidRPr="000E50AE">
              <w:rPr>
                <w:rFonts w:ascii="Cambria" w:eastAsia="Times New Roman" w:hAnsi="Cambria" w:cs="Calibri"/>
              </w:rPr>
              <w:t>pojašnjenja</w:t>
            </w:r>
            <w:proofErr w:type="spellEnd"/>
            <w:r w:rsidRPr="000E50AE">
              <w:rPr>
                <w:rFonts w:ascii="Cambria" w:eastAsia="Times New Roman" w:hAnsi="Cambria" w:cs="Calibri"/>
              </w:rPr>
              <w:t xml:space="preserve"> (</w:t>
            </w:r>
            <w:proofErr w:type="spellStart"/>
            <w:r w:rsidRPr="000E50AE">
              <w:rPr>
                <w:rFonts w:ascii="Cambria" w:eastAsia="Times New Roman" w:hAnsi="Cambria" w:cs="Calibri"/>
              </w:rPr>
              <w:t>kriteriji</w:t>
            </w:r>
            <w:proofErr w:type="spellEnd"/>
            <w:r w:rsidRPr="000E50AE">
              <w:rPr>
                <w:rFonts w:ascii="Cambria" w:eastAsia="Times New Roman" w:hAnsi="Cambria" w:cs="Calibri"/>
              </w:rPr>
              <w:t xml:space="preserve"> </w:t>
            </w:r>
            <w:proofErr w:type="spellStart"/>
            <w:r w:rsidRPr="000E50AE">
              <w:rPr>
                <w:rFonts w:ascii="Cambria" w:eastAsia="Times New Roman" w:hAnsi="Cambria" w:cs="Calibri"/>
              </w:rPr>
              <w:t>ocjenjivanja</w:t>
            </w:r>
            <w:proofErr w:type="spellEnd"/>
            <w:r w:rsidRPr="000E50AE">
              <w:rPr>
                <w:rFonts w:ascii="Cambria" w:eastAsia="Times New Roman" w:hAnsi="Cambria" w:cs="Calibri"/>
              </w:rPr>
              <w:t>):</w:t>
            </w:r>
          </w:p>
          <w:p w14:paraId="7795CFC5" w14:textId="77777777" w:rsidR="00FC4004" w:rsidRPr="007B5EAE" w:rsidRDefault="00FC4004" w:rsidP="000F1A10">
            <w:pPr>
              <w:spacing w:after="0" w:line="240" w:lineRule="auto"/>
              <w:jc w:val="both"/>
              <w:rPr>
                <w:rFonts w:ascii="Cambria" w:eastAsia="Times New Roman" w:hAnsi="Cambria" w:cs="Calibri"/>
                <w:lang w:val="it-IT"/>
              </w:rPr>
            </w:pPr>
            <w:proofErr w:type="spellStart"/>
            <w:r w:rsidRPr="000E50AE">
              <w:rPr>
                <w:rFonts w:ascii="Cambria" w:eastAsia="Times New Roman" w:hAnsi="Cambria" w:cs="Calibri"/>
                <w:bCs/>
              </w:rPr>
              <w:t>Pohađanje</w:t>
            </w:r>
            <w:proofErr w:type="spellEnd"/>
            <w:r w:rsidRPr="000E50AE">
              <w:rPr>
                <w:rFonts w:ascii="Cambria" w:eastAsia="Times New Roman" w:hAnsi="Cambria" w:cs="Calibri"/>
                <w:bCs/>
              </w:rPr>
              <w:t xml:space="preserve"> </w:t>
            </w:r>
            <w:proofErr w:type="spellStart"/>
            <w:r w:rsidRPr="000E50AE">
              <w:rPr>
                <w:rFonts w:ascii="Cambria" w:eastAsia="Times New Roman" w:hAnsi="Cambria" w:cs="Calibri"/>
                <w:bCs/>
              </w:rPr>
              <w:t>nastave</w:t>
            </w:r>
            <w:proofErr w:type="spellEnd"/>
            <w:r w:rsidRPr="000E50AE">
              <w:rPr>
                <w:rFonts w:ascii="Cambria" w:eastAsia="Times New Roman" w:hAnsi="Cambria" w:cs="Calibri"/>
              </w:rPr>
              <w:t xml:space="preserve"> je </w:t>
            </w:r>
            <w:proofErr w:type="spellStart"/>
            <w:r w:rsidRPr="000E50AE">
              <w:rPr>
                <w:rFonts w:ascii="Cambria" w:eastAsia="Times New Roman" w:hAnsi="Cambria" w:cs="Calibri"/>
              </w:rPr>
              <w:t>obvezno</w:t>
            </w:r>
            <w:proofErr w:type="spellEnd"/>
            <w:r w:rsidRPr="000E50AE">
              <w:rPr>
                <w:rFonts w:ascii="Cambria" w:eastAsia="Times New Roman" w:hAnsi="Cambria" w:cs="Calibri"/>
              </w:rPr>
              <w:t xml:space="preserve">. </w:t>
            </w:r>
            <w:proofErr w:type="spellStart"/>
            <w:r w:rsidRPr="007B5EAE">
              <w:rPr>
                <w:rFonts w:ascii="Cambria" w:eastAsia="Times New Roman" w:hAnsi="Cambria" w:cs="Calibri"/>
                <w:lang w:val="it-IT"/>
              </w:rPr>
              <w:t>Tolerira</w:t>
            </w:r>
            <w:proofErr w:type="spellEnd"/>
            <w:r w:rsidRPr="007B5EAE">
              <w:rPr>
                <w:rFonts w:ascii="Cambria" w:eastAsia="Times New Roman" w:hAnsi="Cambria" w:cs="Calibri"/>
                <w:lang w:val="it-IT"/>
              </w:rPr>
              <w:t xml:space="preserve"> se 30% </w:t>
            </w:r>
            <w:proofErr w:type="spellStart"/>
            <w:r w:rsidRPr="007B5EAE">
              <w:rPr>
                <w:rFonts w:ascii="Cambria" w:eastAsia="Times New Roman" w:hAnsi="Cambria" w:cs="Calibri"/>
                <w:lang w:val="it-IT"/>
              </w:rPr>
              <w:t>izostanaka</w:t>
            </w:r>
            <w:proofErr w:type="spellEnd"/>
            <w:r w:rsidRPr="007B5EAE">
              <w:rPr>
                <w:rFonts w:ascii="Cambria" w:eastAsia="Times New Roman" w:hAnsi="Cambria" w:cs="Calibri"/>
                <w:lang w:val="it-IT"/>
              </w:rPr>
              <w:t xml:space="preserve"> (4 </w:t>
            </w:r>
            <w:proofErr w:type="spellStart"/>
            <w:r w:rsidRPr="007B5EAE">
              <w:rPr>
                <w:rFonts w:ascii="Cambria" w:eastAsia="Times New Roman" w:hAnsi="Cambria" w:cs="Calibri"/>
                <w:lang w:val="it-IT"/>
              </w:rPr>
              <w:t>izostanka</w:t>
            </w:r>
            <w:proofErr w:type="spellEnd"/>
            <w:r w:rsidRPr="007B5EAE">
              <w:rPr>
                <w:rFonts w:ascii="Cambria" w:eastAsia="Times New Roman" w:hAnsi="Cambria" w:cs="Calibri"/>
                <w:lang w:val="it-IT"/>
              </w:rPr>
              <w:t xml:space="preserve">) i </w:t>
            </w:r>
            <w:proofErr w:type="spellStart"/>
            <w:r w:rsidRPr="007B5EAE">
              <w:rPr>
                <w:rFonts w:ascii="Cambria" w:eastAsia="Times New Roman" w:hAnsi="Cambria" w:cs="Calibri"/>
                <w:lang w:val="it-IT"/>
              </w:rPr>
              <w:t>njih</w:t>
            </w:r>
            <w:proofErr w:type="spellEnd"/>
            <w:r w:rsidRPr="007B5EAE">
              <w:rPr>
                <w:rFonts w:ascii="Cambria" w:eastAsia="Times New Roman" w:hAnsi="Cambria" w:cs="Calibri"/>
                <w:lang w:val="it-IT"/>
              </w:rPr>
              <w:t xml:space="preserve"> </w:t>
            </w:r>
            <w:proofErr w:type="spellStart"/>
            <w:r w:rsidRPr="007B5EAE">
              <w:rPr>
                <w:rFonts w:ascii="Cambria" w:eastAsia="Times New Roman" w:hAnsi="Cambria" w:cs="Calibri"/>
                <w:lang w:val="it-IT"/>
              </w:rPr>
              <w:t>nije</w:t>
            </w:r>
            <w:proofErr w:type="spellEnd"/>
            <w:r w:rsidRPr="007B5EAE">
              <w:rPr>
                <w:rFonts w:ascii="Cambria" w:eastAsia="Times New Roman" w:hAnsi="Cambria" w:cs="Calibri"/>
                <w:lang w:val="it-IT"/>
              </w:rPr>
              <w:t xml:space="preserve"> </w:t>
            </w:r>
            <w:proofErr w:type="spellStart"/>
            <w:r w:rsidRPr="007B5EAE">
              <w:rPr>
                <w:rFonts w:ascii="Cambria" w:eastAsia="Times New Roman" w:hAnsi="Cambria" w:cs="Calibri"/>
                <w:lang w:val="it-IT"/>
              </w:rPr>
              <w:t>potrebno</w:t>
            </w:r>
            <w:proofErr w:type="spellEnd"/>
            <w:r w:rsidRPr="007B5EAE">
              <w:rPr>
                <w:rFonts w:ascii="Cambria" w:eastAsia="Times New Roman" w:hAnsi="Cambria" w:cs="Calibri"/>
                <w:lang w:val="it-IT"/>
              </w:rPr>
              <w:t xml:space="preserve"> </w:t>
            </w:r>
            <w:proofErr w:type="spellStart"/>
            <w:r w:rsidRPr="007B5EAE">
              <w:rPr>
                <w:rFonts w:ascii="Cambria" w:eastAsia="Times New Roman" w:hAnsi="Cambria" w:cs="Calibri"/>
                <w:lang w:val="it-IT"/>
              </w:rPr>
              <w:t>opravdati</w:t>
            </w:r>
            <w:proofErr w:type="spellEnd"/>
            <w:r w:rsidRPr="007B5EAE">
              <w:rPr>
                <w:rFonts w:ascii="Cambria" w:eastAsia="Times New Roman" w:hAnsi="Cambria" w:cs="Calibri"/>
                <w:lang w:val="it-IT"/>
              </w:rPr>
              <w:t xml:space="preserve">. </w:t>
            </w:r>
            <w:proofErr w:type="spellStart"/>
            <w:r w:rsidRPr="007B5EAE">
              <w:rPr>
                <w:rFonts w:ascii="Cambria" w:eastAsia="Times New Roman" w:hAnsi="Cambria" w:cs="Calibri"/>
                <w:lang w:val="it-IT"/>
              </w:rPr>
              <w:t>Praćenje</w:t>
            </w:r>
            <w:proofErr w:type="spellEnd"/>
            <w:r w:rsidRPr="007B5EAE">
              <w:rPr>
                <w:rFonts w:ascii="Cambria" w:eastAsia="Times New Roman" w:hAnsi="Cambria" w:cs="Calibri"/>
                <w:lang w:val="it-IT"/>
              </w:rPr>
              <w:t xml:space="preserve"> i </w:t>
            </w:r>
            <w:proofErr w:type="spellStart"/>
            <w:r w:rsidRPr="007B5EAE">
              <w:rPr>
                <w:rFonts w:ascii="Cambria" w:eastAsia="Times New Roman" w:hAnsi="Cambria" w:cs="Calibri"/>
                <w:lang w:val="it-IT"/>
              </w:rPr>
              <w:t>ocjenjivanje</w:t>
            </w:r>
            <w:proofErr w:type="spellEnd"/>
            <w:r w:rsidRPr="007B5EAE">
              <w:rPr>
                <w:rFonts w:ascii="Cambria" w:eastAsia="Times New Roman" w:hAnsi="Cambria" w:cs="Calibri"/>
                <w:lang w:val="it-IT"/>
              </w:rPr>
              <w:t xml:space="preserve"> </w:t>
            </w:r>
            <w:proofErr w:type="spellStart"/>
            <w:r w:rsidRPr="007B5EAE">
              <w:rPr>
                <w:rFonts w:ascii="Cambria" w:eastAsia="Times New Roman" w:hAnsi="Cambria" w:cs="Calibri"/>
                <w:lang w:val="it-IT"/>
              </w:rPr>
              <w:t>studenata</w:t>
            </w:r>
            <w:proofErr w:type="spellEnd"/>
            <w:r w:rsidRPr="007B5EAE">
              <w:rPr>
                <w:rFonts w:ascii="Cambria" w:eastAsia="Times New Roman" w:hAnsi="Cambria" w:cs="Calibri"/>
                <w:lang w:val="it-IT"/>
              </w:rPr>
              <w:t xml:space="preserve"> </w:t>
            </w:r>
            <w:proofErr w:type="spellStart"/>
            <w:r w:rsidRPr="007B5EAE">
              <w:rPr>
                <w:rFonts w:ascii="Cambria" w:eastAsia="Times New Roman" w:hAnsi="Cambria" w:cs="Calibri"/>
                <w:lang w:val="it-IT"/>
              </w:rPr>
              <w:t>izvodi</w:t>
            </w:r>
            <w:proofErr w:type="spellEnd"/>
            <w:r w:rsidRPr="007B5EAE">
              <w:rPr>
                <w:rFonts w:ascii="Cambria" w:eastAsia="Times New Roman" w:hAnsi="Cambria" w:cs="Calibri"/>
                <w:lang w:val="it-IT"/>
              </w:rPr>
              <w:t xml:space="preserve"> se </w:t>
            </w:r>
            <w:proofErr w:type="spellStart"/>
            <w:r w:rsidRPr="007B5EAE">
              <w:rPr>
                <w:rFonts w:ascii="Cambria" w:eastAsia="Times New Roman" w:hAnsi="Cambria" w:cs="Calibri"/>
                <w:lang w:val="it-IT"/>
              </w:rPr>
              <w:t>tijekom</w:t>
            </w:r>
            <w:proofErr w:type="spellEnd"/>
            <w:r w:rsidRPr="007B5EAE">
              <w:rPr>
                <w:rFonts w:ascii="Cambria" w:eastAsia="Times New Roman" w:hAnsi="Cambria" w:cs="Calibri"/>
                <w:lang w:val="it-IT"/>
              </w:rPr>
              <w:t xml:space="preserve"> </w:t>
            </w:r>
            <w:proofErr w:type="spellStart"/>
            <w:r w:rsidRPr="007B5EAE">
              <w:rPr>
                <w:rFonts w:ascii="Cambria" w:eastAsia="Times New Roman" w:hAnsi="Cambria" w:cs="Calibri"/>
                <w:lang w:val="it-IT"/>
              </w:rPr>
              <w:t>nastave</w:t>
            </w:r>
            <w:proofErr w:type="spellEnd"/>
            <w:r w:rsidRPr="007B5EAE">
              <w:rPr>
                <w:rFonts w:ascii="Cambria" w:eastAsia="Times New Roman" w:hAnsi="Cambria" w:cs="Calibri"/>
                <w:lang w:val="it-IT"/>
              </w:rPr>
              <w:t xml:space="preserve"> i </w:t>
            </w:r>
            <w:proofErr w:type="spellStart"/>
            <w:r w:rsidRPr="007B5EAE">
              <w:rPr>
                <w:rFonts w:ascii="Cambria" w:eastAsia="Times New Roman" w:hAnsi="Cambria" w:cs="Calibri"/>
                <w:lang w:val="it-IT"/>
              </w:rPr>
              <w:t>na</w:t>
            </w:r>
            <w:proofErr w:type="spellEnd"/>
            <w:r w:rsidRPr="007B5EAE">
              <w:rPr>
                <w:rFonts w:ascii="Cambria" w:eastAsia="Times New Roman" w:hAnsi="Cambria" w:cs="Calibri"/>
                <w:lang w:val="it-IT"/>
              </w:rPr>
              <w:t xml:space="preserve"> </w:t>
            </w:r>
            <w:proofErr w:type="spellStart"/>
            <w:r w:rsidRPr="007B5EAE">
              <w:rPr>
                <w:rFonts w:ascii="Cambria" w:eastAsia="Times New Roman" w:hAnsi="Cambria" w:cs="Calibri"/>
                <w:lang w:val="it-IT"/>
              </w:rPr>
              <w:t>završnom</w:t>
            </w:r>
            <w:proofErr w:type="spellEnd"/>
            <w:r w:rsidRPr="007B5EAE">
              <w:rPr>
                <w:rFonts w:ascii="Cambria" w:eastAsia="Times New Roman" w:hAnsi="Cambria" w:cs="Calibri"/>
                <w:lang w:val="it-IT"/>
              </w:rPr>
              <w:t xml:space="preserve"> </w:t>
            </w:r>
            <w:proofErr w:type="spellStart"/>
            <w:r w:rsidRPr="007B5EAE">
              <w:rPr>
                <w:rFonts w:ascii="Cambria" w:eastAsia="Times New Roman" w:hAnsi="Cambria" w:cs="Calibri"/>
                <w:lang w:val="it-IT"/>
              </w:rPr>
              <w:t>ispitu</w:t>
            </w:r>
            <w:proofErr w:type="spellEnd"/>
            <w:r w:rsidRPr="007B5EAE">
              <w:rPr>
                <w:rFonts w:ascii="Cambria" w:eastAsia="Times New Roman" w:hAnsi="Cambria" w:cs="Calibri"/>
                <w:lang w:val="it-IT"/>
              </w:rPr>
              <w:t xml:space="preserve">. </w:t>
            </w:r>
            <w:proofErr w:type="spellStart"/>
            <w:r w:rsidRPr="007B5EAE">
              <w:rPr>
                <w:rFonts w:ascii="Cambria" w:eastAsia="Times New Roman" w:hAnsi="Cambria" w:cs="Calibri"/>
                <w:lang w:val="it-IT"/>
              </w:rPr>
              <w:t>Tijekom</w:t>
            </w:r>
            <w:proofErr w:type="spellEnd"/>
            <w:r w:rsidRPr="007B5EAE">
              <w:rPr>
                <w:rFonts w:ascii="Cambria" w:eastAsia="Times New Roman" w:hAnsi="Cambria" w:cs="Calibri"/>
                <w:lang w:val="it-IT"/>
              </w:rPr>
              <w:t xml:space="preserve"> </w:t>
            </w:r>
            <w:proofErr w:type="spellStart"/>
            <w:r w:rsidRPr="007B5EAE">
              <w:rPr>
                <w:rFonts w:ascii="Cambria" w:eastAsia="Times New Roman" w:hAnsi="Cambria" w:cs="Calibri"/>
                <w:lang w:val="it-IT"/>
              </w:rPr>
              <w:t>nastave</w:t>
            </w:r>
            <w:proofErr w:type="spellEnd"/>
            <w:r w:rsidRPr="007B5EAE">
              <w:rPr>
                <w:rFonts w:ascii="Cambria" w:eastAsia="Times New Roman" w:hAnsi="Cambria" w:cs="Calibri"/>
                <w:lang w:val="it-IT"/>
              </w:rPr>
              <w:t xml:space="preserve"> </w:t>
            </w:r>
            <w:proofErr w:type="spellStart"/>
            <w:r w:rsidRPr="007B5EAE">
              <w:rPr>
                <w:rFonts w:ascii="Cambria" w:eastAsia="Times New Roman" w:hAnsi="Cambria" w:cs="Calibri"/>
                <w:lang w:val="it-IT"/>
              </w:rPr>
              <w:t>student</w:t>
            </w:r>
            <w:proofErr w:type="spellEnd"/>
            <w:r w:rsidRPr="007B5EAE">
              <w:rPr>
                <w:rFonts w:ascii="Cambria" w:eastAsia="Times New Roman" w:hAnsi="Cambria" w:cs="Calibri"/>
                <w:lang w:val="it-IT"/>
              </w:rPr>
              <w:t xml:space="preserve"> </w:t>
            </w:r>
            <w:proofErr w:type="spellStart"/>
            <w:r w:rsidRPr="007B5EAE">
              <w:rPr>
                <w:rFonts w:ascii="Cambria" w:eastAsia="Times New Roman" w:hAnsi="Cambria" w:cs="Calibri"/>
                <w:lang w:val="it-IT"/>
              </w:rPr>
              <w:t>ostvaruje</w:t>
            </w:r>
            <w:proofErr w:type="spellEnd"/>
            <w:r w:rsidRPr="007B5EAE">
              <w:rPr>
                <w:rFonts w:ascii="Cambria" w:eastAsia="Times New Roman" w:hAnsi="Cambria" w:cs="Calibri"/>
                <w:lang w:val="it-IT"/>
              </w:rPr>
              <w:t xml:space="preserve"> 70% </w:t>
            </w:r>
            <w:proofErr w:type="spellStart"/>
            <w:r w:rsidRPr="007B5EAE">
              <w:rPr>
                <w:rFonts w:ascii="Cambria" w:eastAsia="Times New Roman" w:hAnsi="Cambria" w:cs="Calibri"/>
                <w:lang w:val="it-IT"/>
              </w:rPr>
              <w:t>ocjene</w:t>
            </w:r>
            <w:proofErr w:type="spellEnd"/>
            <w:r w:rsidRPr="007B5EAE">
              <w:rPr>
                <w:rFonts w:ascii="Cambria" w:eastAsia="Times New Roman" w:hAnsi="Cambria" w:cs="Calibri"/>
                <w:lang w:val="it-IT"/>
              </w:rPr>
              <w:t xml:space="preserve">, a </w:t>
            </w:r>
            <w:proofErr w:type="spellStart"/>
            <w:r w:rsidRPr="007B5EAE">
              <w:rPr>
                <w:rFonts w:ascii="Cambria" w:eastAsia="Times New Roman" w:hAnsi="Cambria" w:cs="Calibri"/>
                <w:lang w:val="it-IT"/>
              </w:rPr>
              <w:t>na</w:t>
            </w:r>
            <w:proofErr w:type="spellEnd"/>
            <w:r w:rsidRPr="007B5EAE">
              <w:rPr>
                <w:rFonts w:ascii="Cambria" w:eastAsia="Times New Roman" w:hAnsi="Cambria" w:cs="Calibri"/>
                <w:lang w:val="it-IT"/>
              </w:rPr>
              <w:t xml:space="preserve"> </w:t>
            </w:r>
            <w:proofErr w:type="spellStart"/>
            <w:r w:rsidRPr="007B5EAE">
              <w:rPr>
                <w:rFonts w:ascii="Cambria" w:eastAsia="Times New Roman" w:hAnsi="Cambria" w:cs="Calibri"/>
                <w:lang w:val="it-IT"/>
              </w:rPr>
              <w:t>završnom</w:t>
            </w:r>
            <w:proofErr w:type="spellEnd"/>
            <w:r w:rsidRPr="007B5EAE">
              <w:rPr>
                <w:rFonts w:ascii="Cambria" w:eastAsia="Times New Roman" w:hAnsi="Cambria" w:cs="Calibri"/>
                <w:lang w:val="it-IT"/>
              </w:rPr>
              <w:t xml:space="preserve"> </w:t>
            </w:r>
            <w:proofErr w:type="spellStart"/>
            <w:r w:rsidRPr="007B5EAE">
              <w:rPr>
                <w:rFonts w:ascii="Cambria" w:eastAsia="Times New Roman" w:hAnsi="Cambria" w:cs="Calibri"/>
                <w:lang w:val="it-IT"/>
              </w:rPr>
              <w:t>ispitu</w:t>
            </w:r>
            <w:proofErr w:type="spellEnd"/>
            <w:r w:rsidRPr="007B5EAE">
              <w:rPr>
                <w:rFonts w:ascii="Cambria" w:eastAsia="Times New Roman" w:hAnsi="Cambria" w:cs="Calibri"/>
                <w:lang w:val="it-IT"/>
              </w:rPr>
              <w:t xml:space="preserve"> 30% </w:t>
            </w:r>
            <w:proofErr w:type="spellStart"/>
            <w:r w:rsidRPr="007B5EAE">
              <w:rPr>
                <w:rFonts w:ascii="Cambria" w:eastAsia="Times New Roman" w:hAnsi="Cambria" w:cs="Calibri"/>
                <w:lang w:val="it-IT"/>
              </w:rPr>
              <w:t>ocjene</w:t>
            </w:r>
            <w:proofErr w:type="spellEnd"/>
            <w:r w:rsidRPr="007B5EAE">
              <w:rPr>
                <w:rFonts w:ascii="Cambria" w:eastAsia="Times New Roman" w:hAnsi="Cambria" w:cs="Calibri"/>
                <w:lang w:val="it-IT"/>
              </w:rPr>
              <w:t>.</w:t>
            </w:r>
          </w:p>
          <w:p w14:paraId="4950BED6" w14:textId="77777777" w:rsidR="00FC4004" w:rsidRPr="007B5EAE" w:rsidRDefault="00FC4004" w:rsidP="000F1A10">
            <w:pPr>
              <w:spacing w:after="0" w:line="240" w:lineRule="auto"/>
              <w:jc w:val="both"/>
              <w:rPr>
                <w:rFonts w:ascii="Cambria" w:eastAsia="Times New Roman" w:hAnsi="Cambria" w:cs="Calibri"/>
                <w:lang w:val="it-IT"/>
              </w:rPr>
            </w:pPr>
            <w:proofErr w:type="spellStart"/>
            <w:r w:rsidRPr="007B5EAE">
              <w:rPr>
                <w:rFonts w:ascii="Cambria" w:eastAsia="Times New Roman" w:hAnsi="Cambria" w:cs="Calibri"/>
                <w:bCs/>
                <w:lang w:val="it-IT"/>
              </w:rPr>
              <w:t>Praktični</w:t>
            </w:r>
            <w:proofErr w:type="spellEnd"/>
            <w:r w:rsidRPr="007B5EAE">
              <w:rPr>
                <w:rFonts w:ascii="Cambria" w:eastAsia="Times New Roman" w:hAnsi="Cambria" w:cs="Calibri"/>
                <w:bCs/>
                <w:lang w:val="it-IT"/>
              </w:rPr>
              <w:t xml:space="preserve"> rad</w:t>
            </w:r>
            <w:r w:rsidRPr="007B5EAE">
              <w:rPr>
                <w:rFonts w:ascii="Cambria" w:eastAsia="Times New Roman" w:hAnsi="Cambria" w:cs="Calibri"/>
                <w:lang w:val="it-IT"/>
              </w:rPr>
              <w:t xml:space="preserve"> se </w:t>
            </w:r>
            <w:proofErr w:type="spellStart"/>
            <w:r w:rsidRPr="007B5EAE">
              <w:rPr>
                <w:rFonts w:ascii="Cambria" w:eastAsia="Times New Roman" w:hAnsi="Cambria" w:cs="Calibri"/>
                <w:lang w:val="it-IT"/>
              </w:rPr>
              <w:t>odnosi</w:t>
            </w:r>
            <w:proofErr w:type="spellEnd"/>
            <w:r w:rsidRPr="007B5EAE">
              <w:rPr>
                <w:rFonts w:ascii="Cambria" w:eastAsia="Times New Roman" w:hAnsi="Cambria" w:cs="Calibri"/>
                <w:lang w:val="it-IT"/>
              </w:rPr>
              <w:t xml:space="preserve"> </w:t>
            </w:r>
            <w:proofErr w:type="spellStart"/>
            <w:r w:rsidRPr="007B5EAE">
              <w:rPr>
                <w:rFonts w:ascii="Cambria" w:eastAsia="Times New Roman" w:hAnsi="Cambria" w:cs="Calibri"/>
                <w:lang w:val="it-IT"/>
              </w:rPr>
              <w:t>na</w:t>
            </w:r>
            <w:proofErr w:type="spellEnd"/>
            <w:r w:rsidRPr="007B5EAE">
              <w:rPr>
                <w:rFonts w:ascii="Cambria" w:eastAsia="Times New Roman" w:hAnsi="Cambria" w:cs="Calibri"/>
                <w:lang w:val="it-IT"/>
              </w:rPr>
              <w:t xml:space="preserve"> </w:t>
            </w:r>
            <w:proofErr w:type="spellStart"/>
            <w:r w:rsidRPr="007B5EAE">
              <w:rPr>
                <w:rFonts w:ascii="Cambria" w:eastAsia="Times New Roman" w:hAnsi="Cambria" w:cs="Calibri"/>
                <w:lang w:val="it-IT"/>
              </w:rPr>
              <w:t>izradu</w:t>
            </w:r>
            <w:proofErr w:type="spellEnd"/>
            <w:r w:rsidRPr="007B5EAE">
              <w:rPr>
                <w:rFonts w:ascii="Cambria" w:eastAsia="Times New Roman" w:hAnsi="Cambria" w:cs="Calibri"/>
                <w:lang w:val="it-IT"/>
              </w:rPr>
              <w:t xml:space="preserve"> i </w:t>
            </w:r>
            <w:proofErr w:type="spellStart"/>
            <w:r w:rsidRPr="007B5EAE">
              <w:rPr>
                <w:rFonts w:ascii="Cambria" w:eastAsia="Times New Roman" w:hAnsi="Cambria" w:cs="Calibri"/>
                <w:lang w:val="it-IT"/>
              </w:rPr>
              <w:t>provođenje</w:t>
            </w:r>
            <w:proofErr w:type="spellEnd"/>
            <w:r w:rsidRPr="007B5EAE">
              <w:rPr>
                <w:rFonts w:ascii="Cambria" w:eastAsia="Times New Roman" w:hAnsi="Cambria" w:cs="Calibri"/>
                <w:lang w:val="it-IT"/>
              </w:rPr>
              <w:t xml:space="preserve"> </w:t>
            </w:r>
            <w:proofErr w:type="spellStart"/>
            <w:r w:rsidRPr="007B5EAE">
              <w:rPr>
                <w:rFonts w:ascii="Cambria" w:eastAsia="Times New Roman" w:hAnsi="Cambria" w:cs="Calibri"/>
                <w:lang w:val="it-IT"/>
              </w:rPr>
              <w:t>sadržaja</w:t>
            </w:r>
            <w:proofErr w:type="spellEnd"/>
            <w:r w:rsidRPr="007B5EAE">
              <w:rPr>
                <w:rFonts w:ascii="Cambria" w:eastAsia="Times New Roman" w:hAnsi="Cambria" w:cs="Calibri"/>
                <w:lang w:val="it-IT"/>
              </w:rPr>
              <w:t xml:space="preserve"> </w:t>
            </w:r>
            <w:proofErr w:type="spellStart"/>
            <w:r w:rsidRPr="007B5EAE">
              <w:rPr>
                <w:rFonts w:ascii="Cambria" w:eastAsia="Times New Roman" w:hAnsi="Cambria" w:cs="Calibri"/>
                <w:lang w:val="it-IT"/>
              </w:rPr>
              <w:t>tjelesne</w:t>
            </w:r>
            <w:proofErr w:type="spellEnd"/>
            <w:r w:rsidRPr="007B5EAE">
              <w:rPr>
                <w:rFonts w:ascii="Cambria" w:eastAsia="Times New Roman" w:hAnsi="Cambria" w:cs="Calibri"/>
                <w:lang w:val="it-IT"/>
              </w:rPr>
              <w:t xml:space="preserve"> i </w:t>
            </w:r>
            <w:proofErr w:type="spellStart"/>
            <w:r w:rsidRPr="007B5EAE">
              <w:rPr>
                <w:rFonts w:ascii="Cambria" w:eastAsia="Times New Roman" w:hAnsi="Cambria" w:cs="Calibri"/>
                <w:lang w:val="it-IT"/>
              </w:rPr>
              <w:t>zdravstvene</w:t>
            </w:r>
            <w:proofErr w:type="spellEnd"/>
            <w:r w:rsidRPr="007B5EAE">
              <w:rPr>
                <w:rFonts w:ascii="Cambria" w:eastAsia="Times New Roman" w:hAnsi="Cambria" w:cs="Calibri"/>
                <w:lang w:val="it-IT"/>
              </w:rPr>
              <w:t xml:space="preserve"> </w:t>
            </w:r>
            <w:proofErr w:type="spellStart"/>
            <w:r w:rsidRPr="007B5EAE">
              <w:rPr>
                <w:rFonts w:ascii="Cambria" w:eastAsia="Times New Roman" w:hAnsi="Cambria" w:cs="Calibri"/>
                <w:lang w:val="it-IT"/>
              </w:rPr>
              <w:t>kulture</w:t>
            </w:r>
            <w:proofErr w:type="spellEnd"/>
            <w:r w:rsidRPr="007B5EAE">
              <w:rPr>
                <w:rFonts w:ascii="Cambria" w:eastAsia="Times New Roman" w:hAnsi="Cambria" w:cs="Calibri"/>
                <w:lang w:val="it-IT"/>
              </w:rPr>
              <w:t xml:space="preserve"> u </w:t>
            </w:r>
            <w:proofErr w:type="spellStart"/>
            <w:r w:rsidRPr="007B5EAE">
              <w:rPr>
                <w:rFonts w:ascii="Cambria" w:eastAsia="Times New Roman" w:hAnsi="Cambria" w:cs="Calibri"/>
                <w:lang w:val="it-IT"/>
              </w:rPr>
              <w:t>dvorani</w:t>
            </w:r>
            <w:proofErr w:type="spellEnd"/>
            <w:r w:rsidRPr="007B5EAE">
              <w:rPr>
                <w:rFonts w:ascii="Cambria" w:eastAsia="Times New Roman" w:hAnsi="Cambria" w:cs="Calibri"/>
                <w:lang w:val="it-IT"/>
              </w:rPr>
              <w:t xml:space="preserve">, a </w:t>
            </w:r>
            <w:proofErr w:type="spellStart"/>
            <w:r w:rsidRPr="007B5EAE">
              <w:rPr>
                <w:rFonts w:ascii="Cambria" w:eastAsia="Times New Roman" w:hAnsi="Cambria" w:cs="Calibri"/>
                <w:lang w:val="it-IT"/>
              </w:rPr>
              <w:t>ocjenjuje</w:t>
            </w:r>
            <w:proofErr w:type="spellEnd"/>
            <w:r w:rsidRPr="007B5EAE">
              <w:rPr>
                <w:rFonts w:ascii="Cambria" w:eastAsia="Times New Roman" w:hAnsi="Cambria" w:cs="Calibri"/>
                <w:lang w:val="it-IT"/>
              </w:rPr>
              <w:t xml:space="preserve"> se </w:t>
            </w:r>
            <w:proofErr w:type="spellStart"/>
            <w:r w:rsidRPr="007B5EAE">
              <w:rPr>
                <w:rFonts w:ascii="Cambria" w:eastAsia="Times New Roman" w:hAnsi="Cambria" w:cs="Calibri"/>
                <w:lang w:val="it-IT"/>
              </w:rPr>
              <w:t>na</w:t>
            </w:r>
            <w:proofErr w:type="spellEnd"/>
            <w:r w:rsidRPr="007B5EAE">
              <w:rPr>
                <w:rFonts w:ascii="Cambria" w:eastAsia="Times New Roman" w:hAnsi="Cambria" w:cs="Calibri"/>
                <w:lang w:val="it-IT"/>
              </w:rPr>
              <w:t xml:space="preserve"> </w:t>
            </w:r>
            <w:proofErr w:type="spellStart"/>
            <w:r w:rsidRPr="007B5EAE">
              <w:rPr>
                <w:rFonts w:ascii="Cambria" w:eastAsia="Times New Roman" w:hAnsi="Cambria" w:cs="Calibri"/>
                <w:lang w:val="it-IT"/>
              </w:rPr>
              <w:t>slijedeći</w:t>
            </w:r>
            <w:proofErr w:type="spellEnd"/>
            <w:r w:rsidRPr="007B5EAE">
              <w:rPr>
                <w:rFonts w:ascii="Cambria" w:eastAsia="Times New Roman" w:hAnsi="Cambria" w:cs="Calibri"/>
                <w:lang w:val="it-IT"/>
              </w:rPr>
              <w:t xml:space="preserve"> </w:t>
            </w:r>
            <w:proofErr w:type="spellStart"/>
            <w:r w:rsidRPr="007B5EAE">
              <w:rPr>
                <w:rFonts w:ascii="Cambria" w:eastAsia="Times New Roman" w:hAnsi="Cambria" w:cs="Calibri"/>
                <w:lang w:val="it-IT"/>
              </w:rPr>
              <w:t>način</w:t>
            </w:r>
            <w:proofErr w:type="spellEnd"/>
            <w:r w:rsidRPr="007B5EAE">
              <w:rPr>
                <w:rFonts w:ascii="Cambria" w:eastAsia="Times New Roman" w:hAnsi="Cambria" w:cs="Calibri"/>
                <w:lang w:val="it-IT"/>
              </w:rPr>
              <w:t>:</w:t>
            </w:r>
          </w:p>
          <w:p w14:paraId="39B604C3" w14:textId="77777777" w:rsidR="00FC4004" w:rsidRPr="007B5EAE" w:rsidRDefault="00FC4004" w:rsidP="000F1A10">
            <w:pPr>
              <w:spacing w:after="0" w:line="240" w:lineRule="auto"/>
              <w:jc w:val="both"/>
              <w:rPr>
                <w:rFonts w:ascii="Cambria" w:eastAsia="Times New Roman" w:hAnsi="Cambria" w:cs="Calibri"/>
                <w:lang w:val="it-IT"/>
              </w:rPr>
            </w:pPr>
            <w:r w:rsidRPr="007B5EAE">
              <w:rPr>
                <w:rFonts w:ascii="Cambria" w:eastAsia="Times New Roman" w:hAnsi="Cambria" w:cs="Calibri"/>
                <w:lang w:val="it-IT"/>
              </w:rPr>
              <w:t xml:space="preserve">0% = </w:t>
            </w:r>
            <w:r w:rsidRPr="000E50AE">
              <w:rPr>
                <w:rFonts w:ascii="Cambria" w:eastAsia="Times New Roman" w:hAnsi="Cambria" w:cs="Calibri"/>
                <w:lang w:val="pl-PL"/>
              </w:rPr>
              <w:t>Nije izrađen i proveden praktični rad</w:t>
            </w:r>
            <w:r w:rsidRPr="007B5EAE">
              <w:rPr>
                <w:rFonts w:ascii="Cambria" w:eastAsia="Times New Roman" w:hAnsi="Cambria" w:cs="Calibri"/>
                <w:lang w:val="it-IT"/>
              </w:rPr>
              <w:t>.</w:t>
            </w:r>
          </w:p>
          <w:p w14:paraId="16E191B2" w14:textId="77777777" w:rsidR="00FC4004" w:rsidRPr="007B5EAE" w:rsidRDefault="00FC4004" w:rsidP="000F1A10">
            <w:pPr>
              <w:tabs>
                <w:tab w:val="left" w:pos="6990"/>
              </w:tabs>
              <w:spacing w:after="0" w:line="240" w:lineRule="auto"/>
              <w:jc w:val="both"/>
              <w:rPr>
                <w:rFonts w:ascii="Cambria" w:eastAsia="Times New Roman" w:hAnsi="Cambria" w:cs="Calibri"/>
                <w:lang w:val="it-IT"/>
              </w:rPr>
            </w:pPr>
            <w:r w:rsidRPr="007B5EAE">
              <w:rPr>
                <w:rFonts w:ascii="Cambria" w:eastAsia="Times New Roman" w:hAnsi="Cambria" w:cs="Calibri"/>
                <w:lang w:val="it-IT"/>
              </w:rPr>
              <w:t xml:space="preserve">2% = </w:t>
            </w:r>
            <w:proofErr w:type="spellStart"/>
            <w:r w:rsidRPr="007B5EAE">
              <w:rPr>
                <w:rFonts w:ascii="Cambria" w:eastAsia="Times New Roman" w:hAnsi="Cambria" w:cs="Calibri"/>
                <w:lang w:val="it-IT"/>
              </w:rPr>
              <w:t>Nije</w:t>
            </w:r>
            <w:proofErr w:type="spellEnd"/>
            <w:r w:rsidRPr="007B5EAE">
              <w:rPr>
                <w:rFonts w:ascii="Cambria" w:eastAsia="Times New Roman" w:hAnsi="Cambria" w:cs="Calibri"/>
                <w:lang w:val="it-IT"/>
              </w:rPr>
              <w:t xml:space="preserve"> </w:t>
            </w:r>
            <w:proofErr w:type="spellStart"/>
            <w:r w:rsidRPr="007B5EAE">
              <w:rPr>
                <w:rFonts w:ascii="Cambria" w:eastAsia="Times New Roman" w:hAnsi="Cambria" w:cs="Calibri"/>
                <w:lang w:val="it-IT"/>
              </w:rPr>
              <w:t>izrađen</w:t>
            </w:r>
            <w:proofErr w:type="spellEnd"/>
            <w:r w:rsidRPr="007B5EAE">
              <w:rPr>
                <w:rFonts w:ascii="Cambria" w:eastAsia="Times New Roman" w:hAnsi="Cambria" w:cs="Calibri"/>
                <w:lang w:val="it-IT"/>
              </w:rPr>
              <w:t xml:space="preserve"> </w:t>
            </w:r>
            <w:proofErr w:type="spellStart"/>
            <w:r w:rsidRPr="007B5EAE">
              <w:rPr>
                <w:rFonts w:ascii="Cambria" w:eastAsia="Times New Roman" w:hAnsi="Cambria" w:cs="Calibri"/>
                <w:lang w:val="it-IT"/>
              </w:rPr>
              <w:t>praktični</w:t>
            </w:r>
            <w:proofErr w:type="spellEnd"/>
            <w:r w:rsidRPr="007B5EAE">
              <w:rPr>
                <w:rFonts w:ascii="Cambria" w:eastAsia="Times New Roman" w:hAnsi="Cambria" w:cs="Calibri"/>
                <w:lang w:val="it-IT"/>
              </w:rPr>
              <w:t xml:space="preserve"> rad, ali je </w:t>
            </w:r>
            <w:proofErr w:type="spellStart"/>
            <w:r w:rsidRPr="007B5EAE">
              <w:rPr>
                <w:rFonts w:ascii="Cambria" w:eastAsia="Times New Roman" w:hAnsi="Cambria" w:cs="Calibri"/>
                <w:lang w:val="it-IT"/>
              </w:rPr>
              <w:t>proveden</w:t>
            </w:r>
            <w:proofErr w:type="spellEnd"/>
            <w:r w:rsidRPr="007B5EAE">
              <w:rPr>
                <w:rFonts w:ascii="Cambria" w:eastAsia="Times New Roman" w:hAnsi="Cambria" w:cs="Calibri"/>
                <w:lang w:val="it-IT"/>
              </w:rPr>
              <w:t xml:space="preserve"> </w:t>
            </w:r>
            <w:proofErr w:type="spellStart"/>
            <w:r w:rsidRPr="007B5EAE">
              <w:rPr>
                <w:rFonts w:ascii="Cambria" w:eastAsia="Times New Roman" w:hAnsi="Cambria" w:cs="Calibri"/>
                <w:lang w:val="it-IT"/>
              </w:rPr>
              <w:t>uz</w:t>
            </w:r>
            <w:proofErr w:type="spellEnd"/>
            <w:r w:rsidRPr="007B5EAE">
              <w:rPr>
                <w:rFonts w:ascii="Cambria" w:eastAsia="Times New Roman" w:hAnsi="Cambria" w:cs="Calibri"/>
                <w:lang w:val="it-IT"/>
              </w:rPr>
              <w:t xml:space="preserve"> </w:t>
            </w:r>
            <w:proofErr w:type="spellStart"/>
            <w:r w:rsidRPr="007B5EAE">
              <w:rPr>
                <w:rFonts w:ascii="Cambria" w:eastAsia="Times New Roman" w:hAnsi="Cambria" w:cs="Calibri"/>
                <w:lang w:val="it-IT"/>
              </w:rPr>
              <w:t>veće</w:t>
            </w:r>
            <w:proofErr w:type="spellEnd"/>
            <w:r w:rsidRPr="007B5EAE">
              <w:rPr>
                <w:rFonts w:ascii="Cambria" w:eastAsia="Times New Roman" w:hAnsi="Cambria" w:cs="Calibri"/>
                <w:lang w:val="it-IT"/>
              </w:rPr>
              <w:t xml:space="preserve"> </w:t>
            </w:r>
            <w:proofErr w:type="spellStart"/>
            <w:r w:rsidRPr="007B5EAE">
              <w:rPr>
                <w:rFonts w:ascii="Cambria" w:eastAsia="Times New Roman" w:hAnsi="Cambria" w:cs="Calibri"/>
                <w:lang w:val="it-IT"/>
              </w:rPr>
              <w:t>nedostatke</w:t>
            </w:r>
            <w:proofErr w:type="spellEnd"/>
            <w:r w:rsidRPr="007B5EAE">
              <w:rPr>
                <w:rFonts w:ascii="Cambria" w:eastAsia="Times New Roman" w:hAnsi="Cambria" w:cs="Calibri"/>
                <w:lang w:val="it-IT"/>
              </w:rPr>
              <w:t>.</w:t>
            </w:r>
          </w:p>
          <w:p w14:paraId="669F1FDF" w14:textId="77777777" w:rsidR="00FC4004" w:rsidRPr="007B5EAE" w:rsidRDefault="00FC4004" w:rsidP="000F1A10">
            <w:pPr>
              <w:spacing w:after="0" w:line="240" w:lineRule="auto"/>
              <w:jc w:val="both"/>
              <w:rPr>
                <w:rFonts w:ascii="Cambria" w:eastAsia="Times New Roman" w:hAnsi="Cambria" w:cs="Calibri"/>
                <w:lang w:val="it-IT"/>
              </w:rPr>
            </w:pPr>
            <w:r w:rsidRPr="007B5EAE">
              <w:rPr>
                <w:rFonts w:ascii="Cambria" w:eastAsia="Times New Roman" w:hAnsi="Cambria" w:cs="Calibri"/>
                <w:lang w:val="it-IT"/>
              </w:rPr>
              <w:t xml:space="preserve">4% = </w:t>
            </w:r>
            <w:proofErr w:type="spellStart"/>
            <w:r w:rsidRPr="007B5EAE">
              <w:rPr>
                <w:rFonts w:ascii="Cambria" w:eastAsia="Times New Roman" w:hAnsi="Cambria" w:cs="Calibri"/>
                <w:lang w:val="it-IT"/>
              </w:rPr>
              <w:t>Praktični</w:t>
            </w:r>
            <w:proofErr w:type="spellEnd"/>
            <w:r w:rsidRPr="007B5EAE">
              <w:rPr>
                <w:rFonts w:ascii="Cambria" w:eastAsia="Times New Roman" w:hAnsi="Cambria" w:cs="Calibri"/>
                <w:lang w:val="it-IT"/>
              </w:rPr>
              <w:t xml:space="preserve"> je rad </w:t>
            </w:r>
            <w:proofErr w:type="spellStart"/>
            <w:r w:rsidRPr="007B5EAE">
              <w:rPr>
                <w:rFonts w:ascii="Cambria" w:eastAsia="Times New Roman" w:hAnsi="Cambria" w:cs="Calibri"/>
                <w:lang w:val="it-IT"/>
              </w:rPr>
              <w:t>izrađen</w:t>
            </w:r>
            <w:proofErr w:type="spellEnd"/>
            <w:r w:rsidRPr="007B5EAE">
              <w:rPr>
                <w:rFonts w:ascii="Cambria" w:eastAsia="Times New Roman" w:hAnsi="Cambria" w:cs="Calibri"/>
                <w:lang w:val="it-IT"/>
              </w:rPr>
              <w:t xml:space="preserve"> </w:t>
            </w:r>
            <w:proofErr w:type="spellStart"/>
            <w:r w:rsidRPr="007B5EAE">
              <w:rPr>
                <w:rFonts w:ascii="Cambria" w:eastAsia="Times New Roman" w:hAnsi="Cambria" w:cs="Calibri"/>
                <w:lang w:val="it-IT"/>
              </w:rPr>
              <w:t>uz</w:t>
            </w:r>
            <w:proofErr w:type="spellEnd"/>
            <w:r w:rsidRPr="007B5EAE">
              <w:rPr>
                <w:rFonts w:ascii="Cambria" w:eastAsia="Times New Roman" w:hAnsi="Cambria" w:cs="Calibri"/>
                <w:lang w:val="it-IT"/>
              </w:rPr>
              <w:t xml:space="preserve"> </w:t>
            </w:r>
            <w:proofErr w:type="spellStart"/>
            <w:r w:rsidRPr="007B5EAE">
              <w:rPr>
                <w:rFonts w:ascii="Cambria" w:eastAsia="Times New Roman" w:hAnsi="Cambria" w:cs="Calibri"/>
                <w:lang w:val="it-IT"/>
              </w:rPr>
              <w:t>veće</w:t>
            </w:r>
            <w:proofErr w:type="spellEnd"/>
            <w:r w:rsidRPr="007B5EAE">
              <w:rPr>
                <w:rFonts w:ascii="Cambria" w:eastAsia="Times New Roman" w:hAnsi="Cambria" w:cs="Calibri"/>
                <w:lang w:val="it-IT"/>
              </w:rPr>
              <w:t xml:space="preserve"> </w:t>
            </w:r>
            <w:proofErr w:type="spellStart"/>
            <w:r w:rsidRPr="007B5EAE">
              <w:rPr>
                <w:rFonts w:ascii="Cambria" w:eastAsia="Times New Roman" w:hAnsi="Cambria" w:cs="Calibri"/>
                <w:lang w:val="it-IT"/>
              </w:rPr>
              <w:t>nedostatke</w:t>
            </w:r>
            <w:proofErr w:type="spellEnd"/>
            <w:r w:rsidRPr="007B5EAE">
              <w:rPr>
                <w:rFonts w:ascii="Cambria" w:eastAsia="Times New Roman" w:hAnsi="Cambria" w:cs="Calibri"/>
                <w:lang w:val="it-IT"/>
              </w:rPr>
              <w:t xml:space="preserve"> i </w:t>
            </w:r>
            <w:proofErr w:type="spellStart"/>
            <w:r w:rsidRPr="007B5EAE">
              <w:rPr>
                <w:rFonts w:ascii="Cambria" w:eastAsia="Times New Roman" w:hAnsi="Cambria" w:cs="Calibri"/>
                <w:lang w:val="it-IT"/>
              </w:rPr>
              <w:t>proveden</w:t>
            </w:r>
            <w:proofErr w:type="spellEnd"/>
            <w:r w:rsidRPr="007B5EAE">
              <w:rPr>
                <w:rFonts w:ascii="Cambria" w:eastAsia="Times New Roman" w:hAnsi="Cambria" w:cs="Calibri"/>
                <w:lang w:val="it-IT"/>
              </w:rPr>
              <w:t xml:space="preserve"> </w:t>
            </w:r>
            <w:proofErr w:type="spellStart"/>
            <w:r w:rsidRPr="007B5EAE">
              <w:rPr>
                <w:rFonts w:ascii="Cambria" w:eastAsia="Times New Roman" w:hAnsi="Cambria" w:cs="Calibri"/>
                <w:lang w:val="it-IT"/>
              </w:rPr>
              <w:t>uz</w:t>
            </w:r>
            <w:proofErr w:type="spellEnd"/>
            <w:r w:rsidRPr="007B5EAE">
              <w:rPr>
                <w:rFonts w:ascii="Cambria" w:eastAsia="Times New Roman" w:hAnsi="Cambria" w:cs="Calibri"/>
                <w:lang w:val="it-IT"/>
              </w:rPr>
              <w:t xml:space="preserve"> </w:t>
            </w:r>
            <w:proofErr w:type="spellStart"/>
            <w:r w:rsidRPr="007B5EAE">
              <w:rPr>
                <w:rFonts w:ascii="Cambria" w:eastAsia="Times New Roman" w:hAnsi="Cambria" w:cs="Calibri"/>
                <w:lang w:val="it-IT"/>
              </w:rPr>
              <w:t>veće</w:t>
            </w:r>
            <w:proofErr w:type="spellEnd"/>
            <w:r w:rsidRPr="007B5EAE">
              <w:rPr>
                <w:rFonts w:ascii="Cambria" w:eastAsia="Times New Roman" w:hAnsi="Cambria" w:cs="Calibri"/>
                <w:lang w:val="it-IT"/>
              </w:rPr>
              <w:t xml:space="preserve"> </w:t>
            </w:r>
            <w:proofErr w:type="spellStart"/>
            <w:r w:rsidRPr="007B5EAE">
              <w:rPr>
                <w:rFonts w:ascii="Cambria" w:eastAsia="Times New Roman" w:hAnsi="Cambria" w:cs="Calibri"/>
                <w:lang w:val="it-IT"/>
              </w:rPr>
              <w:t>nedostatke</w:t>
            </w:r>
            <w:proofErr w:type="spellEnd"/>
            <w:r w:rsidRPr="007B5EAE">
              <w:rPr>
                <w:rFonts w:ascii="Cambria" w:eastAsia="Times New Roman" w:hAnsi="Cambria" w:cs="Calibri"/>
                <w:lang w:val="it-IT"/>
              </w:rPr>
              <w:t>.</w:t>
            </w:r>
          </w:p>
          <w:p w14:paraId="01968F6C" w14:textId="77777777" w:rsidR="00FC4004" w:rsidRPr="007B5EAE" w:rsidRDefault="00FC4004" w:rsidP="000F1A10">
            <w:pPr>
              <w:spacing w:after="0" w:line="240" w:lineRule="auto"/>
              <w:jc w:val="both"/>
              <w:rPr>
                <w:rFonts w:ascii="Cambria" w:eastAsia="Times New Roman" w:hAnsi="Cambria" w:cs="Calibri"/>
                <w:lang w:val="it-IT"/>
              </w:rPr>
            </w:pPr>
            <w:r w:rsidRPr="007B5EAE">
              <w:rPr>
                <w:rFonts w:ascii="Cambria" w:eastAsia="Times New Roman" w:hAnsi="Cambria" w:cs="Calibri"/>
                <w:lang w:val="it-IT"/>
              </w:rPr>
              <w:t xml:space="preserve">6% = </w:t>
            </w:r>
            <w:proofErr w:type="spellStart"/>
            <w:r w:rsidRPr="007B5EAE">
              <w:rPr>
                <w:rFonts w:ascii="Cambria" w:eastAsia="Times New Roman" w:hAnsi="Cambria" w:cs="Calibri"/>
                <w:lang w:val="it-IT"/>
              </w:rPr>
              <w:t>Praktični</w:t>
            </w:r>
            <w:proofErr w:type="spellEnd"/>
            <w:r w:rsidRPr="007B5EAE">
              <w:rPr>
                <w:rFonts w:ascii="Cambria" w:eastAsia="Times New Roman" w:hAnsi="Cambria" w:cs="Calibri"/>
                <w:lang w:val="it-IT"/>
              </w:rPr>
              <w:t xml:space="preserve"> je rad </w:t>
            </w:r>
            <w:proofErr w:type="spellStart"/>
            <w:r w:rsidRPr="007B5EAE">
              <w:rPr>
                <w:rFonts w:ascii="Cambria" w:eastAsia="Times New Roman" w:hAnsi="Cambria" w:cs="Calibri"/>
                <w:lang w:val="it-IT"/>
              </w:rPr>
              <w:t>izrađen</w:t>
            </w:r>
            <w:proofErr w:type="spellEnd"/>
            <w:r w:rsidRPr="007B5EAE">
              <w:rPr>
                <w:rFonts w:ascii="Cambria" w:eastAsia="Times New Roman" w:hAnsi="Cambria" w:cs="Calibri"/>
                <w:lang w:val="it-IT"/>
              </w:rPr>
              <w:t xml:space="preserve"> </w:t>
            </w:r>
            <w:proofErr w:type="spellStart"/>
            <w:r w:rsidRPr="007B5EAE">
              <w:rPr>
                <w:rFonts w:ascii="Cambria" w:eastAsia="Times New Roman" w:hAnsi="Cambria" w:cs="Calibri"/>
                <w:lang w:val="it-IT"/>
              </w:rPr>
              <w:t>uz</w:t>
            </w:r>
            <w:proofErr w:type="spellEnd"/>
            <w:r w:rsidRPr="007B5EAE">
              <w:rPr>
                <w:rFonts w:ascii="Cambria" w:eastAsia="Times New Roman" w:hAnsi="Cambria" w:cs="Calibri"/>
                <w:lang w:val="it-IT"/>
              </w:rPr>
              <w:t xml:space="preserve"> </w:t>
            </w:r>
            <w:proofErr w:type="spellStart"/>
            <w:r w:rsidRPr="007B5EAE">
              <w:rPr>
                <w:rFonts w:ascii="Cambria" w:eastAsia="Times New Roman" w:hAnsi="Cambria" w:cs="Calibri"/>
                <w:lang w:val="it-IT"/>
              </w:rPr>
              <w:t>veće</w:t>
            </w:r>
            <w:proofErr w:type="spellEnd"/>
            <w:r w:rsidRPr="007B5EAE">
              <w:rPr>
                <w:rFonts w:ascii="Cambria" w:eastAsia="Times New Roman" w:hAnsi="Cambria" w:cs="Calibri"/>
                <w:lang w:val="it-IT"/>
              </w:rPr>
              <w:t xml:space="preserve"> </w:t>
            </w:r>
            <w:proofErr w:type="spellStart"/>
            <w:r w:rsidRPr="007B5EAE">
              <w:rPr>
                <w:rFonts w:ascii="Cambria" w:eastAsia="Times New Roman" w:hAnsi="Cambria" w:cs="Calibri"/>
                <w:lang w:val="it-IT"/>
              </w:rPr>
              <w:t>nedostatke</w:t>
            </w:r>
            <w:proofErr w:type="spellEnd"/>
            <w:r w:rsidRPr="007B5EAE">
              <w:rPr>
                <w:rFonts w:ascii="Cambria" w:eastAsia="Times New Roman" w:hAnsi="Cambria" w:cs="Calibri"/>
                <w:lang w:val="it-IT"/>
              </w:rPr>
              <w:t xml:space="preserve"> i </w:t>
            </w:r>
            <w:proofErr w:type="spellStart"/>
            <w:r w:rsidRPr="007B5EAE">
              <w:rPr>
                <w:rFonts w:ascii="Cambria" w:eastAsia="Times New Roman" w:hAnsi="Cambria" w:cs="Calibri"/>
                <w:lang w:val="it-IT"/>
              </w:rPr>
              <w:t>proveden</w:t>
            </w:r>
            <w:proofErr w:type="spellEnd"/>
            <w:r w:rsidRPr="007B5EAE">
              <w:rPr>
                <w:rFonts w:ascii="Cambria" w:eastAsia="Times New Roman" w:hAnsi="Cambria" w:cs="Calibri"/>
                <w:lang w:val="it-IT"/>
              </w:rPr>
              <w:t xml:space="preserve"> </w:t>
            </w:r>
            <w:proofErr w:type="spellStart"/>
            <w:r w:rsidRPr="007B5EAE">
              <w:rPr>
                <w:rFonts w:ascii="Cambria" w:eastAsia="Times New Roman" w:hAnsi="Cambria" w:cs="Calibri"/>
                <w:lang w:val="it-IT"/>
              </w:rPr>
              <w:t>uz</w:t>
            </w:r>
            <w:proofErr w:type="spellEnd"/>
            <w:r w:rsidRPr="007B5EAE">
              <w:rPr>
                <w:rFonts w:ascii="Cambria" w:eastAsia="Times New Roman" w:hAnsi="Cambria" w:cs="Calibri"/>
                <w:lang w:val="it-IT"/>
              </w:rPr>
              <w:t xml:space="preserve"> </w:t>
            </w:r>
            <w:proofErr w:type="spellStart"/>
            <w:r w:rsidRPr="007B5EAE">
              <w:rPr>
                <w:rFonts w:ascii="Cambria" w:eastAsia="Times New Roman" w:hAnsi="Cambria" w:cs="Calibri"/>
                <w:lang w:val="it-IT"/>
              </w:rPr>
              <w:t>manje</w:t>
            </w:r>
            <w:proofErr w:type="spellEnd"/>
            <w:r w:rsidRPr="007B5EAE">
              <w:rPr>
                <w:rFonts w:ascii="Cambria" w:eastAsia="Times New Roman" w:hAnsi="Cambria" w:cs="Calibri"/>
                <w:lang w:val="it-IT"/>
              </w:rPr>
              <w:t xml:space="preserve"> </w:t>
            </w:r>
            <w:proofErr w:type="spellStart"/>
            <w:r w:rsidRPr="007B5EAE">
              <w:rPr>
                <w:rFonts w:ascii="Cambria" w:eastAsia="Times New Roman" w:hAnsi="Cambria" w:cs="Calibri"/>
                <w:lang w:val="it-IT"/>
              </w:rPr>
              <w:t>nedostatke</w:t>
            </w:r>
            <w:proofErr w:type="spellEnd"/>
            <w:r w:rsidRPr="007B5EAE">
              <w:rPr>
                <w:rFonts w:ascii="Cambria" w:eastAsia="Times New Roman" w:hAnsi="Cambria" w:cs="Calibri"/>
                <w:lang w:val="it-IT"/>
              </w:rPr>
              <w:t>.</w:t>
            </w:r>
          </w:p>
          <w:p w14:paraId="0808DACF" w14:textId="77777777" w:rsidR="00FC4004" w:rsidRPr="007B5EAE" w:rsidRDefault="00FC4004" w:rsidP="000F1A10">
            <w:pPr>
              <w:spacing w:after="0" w:line="240" w:lineRule="auto"/>
              <w:jc w:val="both"/>
              <w:rPr>
                <w:rFonts w:ascii="Cambria" w:eastAsia="Times New Roman" w:hAnsi="Cambria" w:cs="Calibri"/>
                <w:lang w:val="it-IT"/>
              </w:rPr>
            </w:pPr>
            <w:r w:rsidRPr="007B5EAE">
              <w:rPr>
                <w:rFonts w:ascii="Cambria" w:eastAsia="Times New Roman" w:hAnsi="Cambria" w:cs="Calibri"/>
                <w:lang w:val="it-IT"/>
              </w:rPr>
              <w:t xml:space="preserve">8% = </w:t>
            </w:r>
            <w:proofErr w:type="spellStart"/>
            <w:r w:rsidRPr="007B5EAE">
              <w:rPr>
                <w:rFonts w:ascii="Cambria" w:eastAsia="Times New Roman" w:hAnsi="Cambria" w:cs="Calibri"/>
                <w:lang w:val="it-IT"/>
              </w:rPr>
              <w:t>Praktični</w:t>
            </w:r>
            <w:proofErr w:type="spellEnd"/>
            <w:r w:rsidRPr="007B5EAE">
              <w:rPr>
                <w:rFonts w:ascii="Cambria" w:eastAsia="Times New Roman" w:hAnsi="Cambria" w:cs="Calibri"/>
                <w:lang w:val="it-IT"/>
              </w:rPr>
              <w:t xml:space="preserve"> je rad </w:t>
            </w:r>
            <w:proofErr w:type="spellStart"/>
            <w:r w:rsidRPr="007B5EAE">
              <w:rPr>
                <w:rFonts w:ascii="Cambria" w:eastAsia="Times New Roman" w:hAnsi="Cambria" w:cs="Calibri"/>
                <w:lang w:val="it-IT"/>
              </w:rPr>
              <w:t>izrađen</w:t>
            </w:r>
            <w:proofErr w:type="spellEnd"/>
            <w:r w:rsidRPr="007B5EAE">
              <w:rPr>
                <w:rFonts w:ascii="Cambria" w:eastAsia="Times New Roman" w:hAnsi="Cambria" w:cs="Calibri"/>
                <w:lang w:val="it-IT"/>
              </w:rPr>
              <w:t xml:space="preserve"> i </w:t>
            </w:r>
            <w:proofErr w:type="spellStart"/>
            <w:r w:rsidRPr="007B5EAE">
              <w:rPr>
                <w:rFonts w:ascii="Cambria" w:eastAsia="Times New Roman" w:hAnsi="Cambria" w:cs="Calibri"/>
                <w:lang w:val="it-IT"/>
              </w:rPr>
              <w:t>proveden</w:t>
            </w:r>
            <w:proofErr w:type="spellEnd"/>
            <w:r w:rsidRPr="007B5EAE">
              <w:rPr>
                <w:rFonts w:ascii="Cambria" w:eastAsia="Times New Roman" w:hAnsi="Cambria" w:cs="Calibri"/>
                <w:lang w:val="it-IT"/>
              </w:rPr>
              <w:t xml:space="preserve"> </w:t>
            </w:r>
            <w:proofErr w:type="spellStart"/>
            <w:r w:rsidRPr="007B5EAE">
              <w:rPr>
                <w:rFonts w:ascii="Cambria" w:eastAsia="Times New Roman" w:hAnsi="Cambria" w:cs="Calibri"/>
                <w:lang w:val="it-IT"/>
              </w:rPr>
              <w:t>uz</w:t>
            </w:r>
            <w:proofErr w:type="spellEnd"/>
            <w:r w:rsidRPr="007B5EAE">
              <w:rPr>
                <w:rFonts w:ascii="Cambria" w:eastAsia="Times New Roman" w:hAnsi="Cambria" w:cs="Calibri"/>
                <w:lang w:val="it-IT"/>
              </w:rPr>
              <w:t xml:space="preserve"> </w:t>
            </w:r>
            <w:proofErr w:type="spellStart"/>
            <w:r w:rsidRPr="007B5EAE">
              <w:rPr>
                <w:rFonts w:ascii="Cambria" w:eastAsia="Times New Roman" w:hAnsi="Cambria" w:cs="Calibri"/>
                <w:lang w:val="it-IT"/>
              </w:rPr>
              <w:t>manje</w:t>
            </w:r>
            <w:proofErr w:type="spellEnd"/>
            <w:r w:rsidRPr="007B5EAE">
              <w:rPr>
                <w:rFonts w:ascii="Cambria" w:eastAsia="Times New Roman" w:hAnsi="Cambria" w:cs="Calibri"/>
                <w:lang w:val="it-IT"/>
              </w:rPr>
              <w:t xml:space="preserve"> </w:t>
            </w:r>
            <w:proofErr w:type="spellStart"/>
            <w:r w:rsidRPr="007B5EAE">
              <w:rPr>
                <w:rFonts w:ascii="Cambria" w:eastAsia="Times New Roman" w:hAnsi="Cambria" w:cs="Calibri"/>
                <w:lang w:val="it-IT"/>
              </w:rPr>
              <w:t>nedostatke</w:t>
            </w:r>
            <w:proofErr w:type="spellEnd"/>
            <w:r w:rsidRPr="007B5EAE">
              <w:rPr>
                <w:rFonts w:ascii="Cambria" w:eastAsia="Times New Roman" w:hAnsi="Cambria" w:cs="Calibri"/>
                <w:lang w:val="it-IT"/>
              </w:rPr>
              <w:t>.</w:t>
            </w:r>
          </w:p>
          <w:p w14:paraId="56BEEFFF" w14:textId="77777777" w:rsidR="00FC4004" w:rsidRPr="000E50AE" w:rsidRDefault="00FC4004" w:rsidP="000F1A10">
            <w:pPr>
              <w:spacing w:after="0" w:line="240" w:lineRule="auto"/>
              <w:jc w:val="both"/>
              <w:rPr>
                <w:rFonts w:ascii="Cambria" w:eastAsia="Times New Roman" w:hAnsi="Cambria" w:cs="Calibri"/>
                <w:lang w:val="pl-PL"/>
              </w:rPr>
            </w:pPr>
            <w:r w:rsidRPr="000E50AE">
              <w:rPr>
                <w:rFonts w:ascii="Cambria" w:eastAsia="Times New Roman" w:hAnsi="Cambria" w:cs="Calibri"/>
                <w:lang w:val="pl-PL"/>
              </w:rPr>
              <w:t>10% = Vrlo kvalitetno izrađen i proveden praktični rad.</w:t>
            </w:r>
          </w:p>
          <w:p w14:paraId="7609E2D6" w14:textId="77777777" w:rsidR="00FC4004" w:rsidRPr="000E50AE" w:rsidRDefault="00FC4004" w:rsidP="000F1A10">
            <w:pPr>
              <w:spacing w:after="0" w:line="240" w:lineRule="auto"/>
              <w:jc w:val="both"/>
              <w:rPr>
                <w:rFonts w:ascii="Cambria" w:eastAsia="Times New Roman" w:hAnsi="Cambria" w:cs="Calibri"/>
                <w:lang w:eastAsia="hr-HR"/>
              </w:rPr>
            </w:pPr>
            <w:r w:rsidRPr="007B5EAE">
              <w:rPr>
                <w:rFonts w:ascii="Cambria" w:eastAsia="Times New Roman" w:hAnsi="Cambria" w:cs="Calibri"/>
                <w:bCs/>
                <w:lang w:val="pl-PL" w:eastAsia="hr-HR"/>
              </w:rPr>
              <w:t>Usmeni ispit</w:t>
            </w:r>
            <w:r w:rsidRPr="007B5EAE">
              <w:rPr>
                <w:rFonts w:ascii="Cambria" w:eastAsia="Times New Roman" w:hAnsi="Cambria" w:cs="Calibri"/>
                <w:lang w:val="pl-PL" w:eastAsia="hr-HR"/>
              </w:rPr>
              <w:t xml:space="preserve"> je svojevrsna rekapitulacija svega naučenog tijekom semestra i odražava opću pripremljenost i spremnost za primjenu naučenih sadržaja kolegija. </w:t>
            </w:r>
            <w:proofErr w:type="spellStart"/>
            <w:r w:rsidRPr="000E50AE">
              <w:rPr>
                <w:rFonts w:ascii="Cambria" w:eastAsia="Times New Roman" w:hAnsi="Cambria" w:cs="Calibri"/>
                <w:lang w:eastAsia="hr-HR"/>
              </w:rPr>
              <w:t>Usmeni</w:t>
            </w:r>
            <w:proofErr w:type="spellEnd"/>
            <w:r w:rsidRPr="000E50AE">
              <w:rPr>
                <w:rFonts w:ascii="Cambria" w:eastAsia="Times New Roman" w:hAnsi="Cambria" w:cs="Calibri"/>
                <w:lang w:eastAsia="hr-HR"/>
              </w:rPr>
              <w:t xml:space="preserve"> </w:t>
            </w:r>
            <w:proofErr w:type="spellStart"/>
            <w:r w:rsidRPr="000E50AE">
              <w:rPr>
                <w:rFonts w:ascii="Cambria" w:eastAsia="Times New Roman" w:hAnsi="Cambria" w:cs="Calibri"/>
                <w:lang w:eastAsia="hr-HR"/>
              </w:rPr>
              <w:t>ispit</w:t>
            </w:r>
            <w:proofErr w:type="spellEnd"/>
            <w:r w:rsidRPr="000E50AE">
              <w:rPr>
                <w:rFonts w:ascii="Cambria" w:eastAsia="Times New Roman" w:hAnsi="Cambria" w:cs="Calibri"/>
                <w:lang w:eastAsia="hr-HR"/>
              </w:rPr>
              <w:t xml:space="preserve"> </w:t>
            </w:r>
            <w:proofErr w:type="spellStart"/>
            <w:r w:rsidRPr="000E50AE">
              <w:rPr>
                <w:rFonts w:ascii="Cambria" w:eastAsia="Times New Roman" w:hAnsi="Cambria" w:cs="Calibri"/>
                <w:lang w:eastAsia="hr-HR"/>
              </w:rPr>
              <w:t>sastoji</w:t>
            </w:r>
            <w:proofErr w:type="spellEnd"/>
            <w:r w:rsidRPr="000E50AE">
              <w:rPr>
                <w:rFonts w:ascii="Cambria" w:eastAsia="Times New Roman" w:hAnsi="Cambria" w:cs="Calibri"/>
                <w:lang w:eastAsia="hr-HR"/>
              </w:rPr>
              <w:t xml:space="preserve"> se od tri </w:t>
            </w:r>
            <w:proofErr w:type="spellStart"/>
            <w:r w:rsidRPr="000E50AE">
              <w:rPr>
                <w:rFonts w:ascii="Cambria" w:eastAsia="Times New Roman" w:hAnsi="Cambria" w:cs="Calibri"/>
                <w:lang w:eastAsia="hr-HR"/>
              </w:rPr>
              <w:t>pitanja</w:t>
            </w:r>
            <w:proofErr w:type="spellEnd"/>
            <w:r w:rsidRPr="000E50AE">
              <w:rPr>
                <w:rFonts w:ascii="Cambria" w:eastAsia="Times New Roman" w:hAnsi="Cambria" w:cs="Calibri"/>
                <w:lang w:eastAsia="hr-HR"/>
              </w:rPr>
              <w:t xml:space="preserve">. </w:t>
            </w:r>
          </w:p>
        </w:tc>
      </w:tr>
      <w:tr w:rsidR="00FC4004" w:rsidRPr="00D0399C" w14:paraId="3FA549CC" w14:textId="77777777" w:rsidTr="00050905">
        <w:trPr>
          <w:trHeight w:val="151"/>
        </w:trPr>
        <w:tc>
          <w:tcPr>
            <w:tcW w:w="282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13A2587" w14:textId="77777777" w:rsidR="00FC4004" w:rsidRPr="000E50AE" w:rsidRDefault="00FC4004" w:rsidP="000F1A10">
            <w:pPr>
              <w:spacing w:after="0" w:line="240" w:lineRule="auto"/>
              <w:jc w:val="both"/>
              <w:rPr>
                <w:rFonts w:ascii="Cambria" w:eastAsia="Times New Roman" w:hAnsi="Cambria" w:cs="Calibri"/>
              </w:rPr>
            </w:pPr>
            <w:proofErr w:type="spellStart"/>
            <w:r w:rsidRPr="000E50AE">
              <w:rPr>
                <w:rFonts w:ascii="Cambria" w:eastAsia="Times New Roman" w:hAnsi="Cambria" w:cs="Calibri"/>
              </w:rPr>
              <w:t>Studentske</w:t>
            </w:r>
            <w:proofErr w:type="spellEnd"/>
            <w:r w:rsidRPr="000E50AE">
              <w:rPr>
                <w:rFonts w:ascii="Cambria" w:eastAsia="Times New Roman" w:hAnsi="Cambria" w:cs="Calibri"/>
              </w:rPr>
              <w:t xml:space="preserve"> </w:t>
            </w:r>
            <w:proofErr w:type="spellStart"/>
            <w:r w:rsidRPr="000E50AE">
              <w:rPr>
                <w:rFonts w:ascii="Cambria" w:eastAsia="Times New Roman" w:hAnsi="Cambria" w:cs="Calibri"/>
              </w:rPr>
              <w:t>obveze</w:t>
            </w:r>
            <w:proofErr w:type="spellEnd"/>
          </w:p>
        </w:tc>
        <w:tc>
          <w:tcPr>
            <w:tcW w:w="7232"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EBE8847" w14:textId="77777777" w:rsidR="00FC4004" w:rsidRPr="007B5EAE" w:rsidRDefault="00FC4004" w:rsidP="000F1A10">
            <w:pPr>
              <w:spacing w:after="0" w:line="240" w:lineRule="auto"/>
              <w:jc w:val="both"/>
              <w:rPr>
                <w:rFonts w:ascii="Cambria" w:eastAsia="Times New Roman" w:hAnsi="Cambria" w:cs="Calibri"/>
                <w:lang w:val="it-IT"/>
              </w:rPr>
            </w:pPr>
            <w:r w:rsidRPr="007B5EAE">
              <w:rPr>
                <w:rFonts w:ascii="Cambria" w:eastAsia="Times New Roman" w:hAnsi="Cambria" w:cs="Calibri"/>
                <w:lang w:val="it-IT"/>
              </w:rPr>
              <w:t xml:space="preserve">Da </w:t>
            </w:r>
            <w:proofErr w:type="spellStart"/>
            <w:r w:rsidRPr="007B5EAE">
              <w:rPr>
                <w:rFonts w:ascii="Cambria" w:eastAsia="Times New Roman" w:hAnsi="Cambria" w:cs="Calibri"/>
                <w:lang w:val="it-IT"/>
              </w:rPr>
              <w:t>položi</w:t>
            </w:r>
            <w:proofErr w:type="spellEnd"/>
            <w:r w:rsidRPr="007B5EAE">
              <w:rPr>
                <w:rFonts w:ascii="Cambria" w:eastAsia="Times New Roman" w:hAnsi="Cambria" w:cs="Calibri"/>
                <w:lang w:val="it-IT"/>
              </w:rPr>
              <w:t xml:space="preserve"> </w:t>
            </w:r>
            <w:proofErr w:type="spellStart"/>
            <w:r w:rsidRPr="007B5EAE">
              <w:rPr>
                <w:rFonts w:ascii="Cambria" w:eastAsia="Times New Roman" w:hAnsi="Cambria" w:cs="Calibri"/>
                <w:lang w:val="it-IT"/>
              </w:rPr>
              <w:t>kolegij</w:t>
            </w:r>
            <w:proofErr w:type="spellEnd"/>
            <w:r w:rsidRPr="007B5EAE">
              <w:rPr>
                <w:rFonts w:ascii="Cambria" w:eastAsia="Times New Roman" w:hAnsi="Cambria" w:cs="Calibri"/>
                <w:lang w:val="it-IT"/>
              </w:rPr>
              <w:t xml:space="preserve">, </w:t>
            </w:r>
            <w:proofErr w:type="spellStart"/>
            <w:r w:rsidRPr="007B5EAE">
              <w:rPr>
                <w:rFonts w:ascii="Cambria" w:eastAsia="Times New Roman" w:hAnsi="Cambria" w:cs="Calibri"/>
                <w:lang w:val="it-IT"/>
              </w:rPr>
              <w:t>student</w:t>
            </w:r>
            <w:proofErr w:type="spellEnd"/>
            <w:r w:rsidRPr="007B5EAE">
              <w:rPr>
                <w:rFonts w:ascii="Cambria" w:eastAsia="Times New Roman" w:hAnsi="Cambria" w:cs="Calibri"/>
                <w:lang w:val="it-IT"/>
              </w:rPr>
              <w:t xml:space="preserve"> mora: </w:t>
            </w:r>
          </w:p>
          <w:p w14:paraId="1E7EFCA3" w14:textId="77777777" w:rsidR="00FC4004" w:rsidRPr="00C034A7" w:rsidRDefault="00FC4004" w:rsidP="000F1A10">
            <w:pPr>
              <w:spacing w:after="0" w:line="240" w:lineRule="auto"/>
              <w:jc w:val="both"/>
              <w:rPr>
                <w:rFonts w:ascii="Cambria" w:eastAsia="Times New Roman" w:hAnsi="Cambria" w:cs="Calibri"/>
                <w:lang w:val="hr-HR"/>
              </w:rPr>
            </w:pPr>
            <w:r w:rsidRPr="007B5EAE">
              <w:rPr>
                <w:rFonts w:ascii="Cambria" w:eastAsia="Times New Roman" w:hAnsi="Cambria" w:cs="Calibri"/>
                <w:lang w:val="it-IT"/>
              </w:rPr>
              <w:t xml:space="preserve">1. </w:t>
            </w:r>
            <w:r>
              <w:rPr>
                <w:rFonts w:ascii="Cambria" w:eastAsia="Times New Roman" w:hAnsi="Cambria" w:cs="Calibri"/>
                <w:lang w:val="hr-HR"/>
              </w:rPr>
              <w:t>p</w:t>
            </w:r>
            <w:r w:rsidRPr="000E50AE">
              <w:rPr>
                <w:rFonts w:ascii="Cambria" w:eastAsia="Times New Roman" w:hAnsi="Cambria" w:cs="Calibri"/>
                <w:lang w:val="vi-VN"/>
              </w:rPr>
              <w:t>ohađa</w:t>
            </w:r>
            <w:r w:rsidRPr="007B5EAE">
              <w:rPr>
                <w:rFonts w:ascii="Cambria" w:eastAsia="Times New Roman" w:hAnsi="Cambria" w:cs="Calibri"/>
                <w:lang w:val="it-IT"/>
              </w:rPr>
              <w:t xml:space="preserve">ti </w:t>
            </w:r>
            <w:proofErr w:type="spellStart"/>
            <w:r w:rsidRPr="007B5EAE">
              <w:rPr>
                <w:rFonts w:ascii="Cambria" w:eastAsia="Times New Roman" w:hAnsi="Cambria" w:cs="Calibri"/>
                <w:lang w:val="it-IT"/>
              </w:rPr>
              <w:t>više</w:t>
            </w:r>
            <w:proofErr w:type="spellEnd"/>
            <w:r w:rsidRPr="007B5EAE">
              <w:rPr>
                <w:rFonts w:ascii="Cambria" w:eastAsia="Times New Roman" w:hAnsi="Cambria" w:cs="Calibri"/>
                <w:lang w:val="it-IT"/>
              </w:rPr>
              <w:t xml:space="preserve"> </w:t>
            </w:r>
            <w:proofErr w:type="gramStart"/>
            <w:r w:rsidRPr="007B5EAE">
              <w:rPr>
                <w:rFonts w:ascii="Cambria" w:eastAsia="Times New Roman" w:hAnsi="Cambria" w:cs="Calibri"/>
                <w:lang w:val="it-IT"/>
              </w:rPr>
              <w:t>od</w:t>
            </w:r>
            <w:proofErr w:type="gramEnd"/>
            <w:r w:rsidRPr="007B5EAE">
              <w:rPr>
                <w:rFonts w:ascii="Cambria" w:eastAsia="Times New Roman" w:hAnsi="Cambria" w:cs="Calibri"/>
                <w:lang w:val="it-IT"/>
              </w:rPr>
              <w:t xml:space="preserve"> 70 % </w:t>
            </w:r>
            <w:proofErr w:type="spellStart"/>
            <w:r w:rsidRPr="007B5EAE">
              <w:rPr>
                <w:rFonts w:ascii="Cambria" w:eastAsia="Times New Roman" w:hAnsi="Cambria" w:cs="Calibri"/>
                <w:lang w:val="it-IT"/>
              </w:rPr>
              <w:t>nastave</w:t>
            </w:r>
            <w:proofErr w:type="spellEnd"/>
            <w:r>
              <w:rPr>
                <w:rFonts w:ascii="Cambria" w:eastAsia="Times New Roman" w:hAnsi="Cambria" w:cs="Calibri"/>
                <w:lang w:val="it-IT"/>
              </w:rPr>
              <w:t xml:space="preserve"> (a</w:t>
            </w:r>
            <w:r w:rsidRPr="000E50AE">
              <w:rPr>
                <w:rFonts w:ascii="Cambria" w:eastAsia="Times New Roman" w:hAnsi="Cambria" w:cs="Calibri"/>
                <w:lang w:val="vi-VN"/>
              </w:rPr>
              <w:t xml:space="preserve">ko student izostane </w:t>
            </w:r>
            <w:proofErr w:type="spellStart"/>
            <w:r w:rsidRPr="007B5EAE">
              <w:rPr>
                <w:rFonts w:ascii="Cambria" w:eastAsia="Times New Roman" w:hAnsi="Cambria" w:cs="Calibri"/>
                <w:lang w:val="it-IT"/>
              </w:rPr>
              <w:t>više</w:t>
            </w:r>
            <w:proofErr w:type="spellEnd"/>
            <w:r w:rsidRPr="007B5EAE">
              <w:rPr>
                <w:rFonts w:ascii="Cambria" w:eastAsia="Times New Roman" w:hAnsi="Cambria" w:cs="Calibri"/>
                <w:lang w:val="it-IT"/>
              </w:rPr>
              <w:t xml:space="preserve"> </w:t>
            </w:r>
            <w:proofErr w:type="gramStart"/>
            <w:r w:rsidRPr="007B5EAE">
              <w:rPr>
                <w:rFonts w:ascii="Cambria" w:eastAsia="Times New Roman" w:hAnsi="Cambria" w:cs="Calibri"/>
                <w:lang w:val="it-IT"/>
              </w:rPr>
              <w:t>od</w:t>
            </w:r>
            <w:proofErr w:type="gramEnd"/>
            <w:r w:rsidRPr="007B5EAE">
              <w:rPr>
                <w:rFonts w:ascii="Cambria" w:eastAsia="Times New Roman" w:hAnsi="Cambria" w:cs="Calibri"/>
                <w:lang w:val="it-IT"/>
              </w:rPr>
              <w:t xml:space="preserve"> 30% do 50% </w:t>
            </w:r>
            <w:proofErr w:type="spellStart"/>
            <w:r w:rsidRPr="007B5EAE">
              <w:rPr>
                <w:rFonts w:ascii="Cambria" w:eastAsia="Times New Roman" w:hAnsi="Cambria" w:cs="Calibri"/>
                <w:lang w:val="it-IT"/>
              </w:rPr>
              <w:t>nastave</w:t>
            </w:r>
            <w:proofErr w:type="spellEnd"/>
            <w:r w:rsidRPr="000E50AE">
              <w:rPr>
                <w:rFonts w:ascii="Cambria" w:eastAsia="Times New Roman" w:hAnsi="Cambria" w:cs="Calibri"/>
                <w:lang w:val="vi-VN"/>
              </w:rPr>
              <w:t xml:space="preserve">, trebat će izvršiti dodatne zadatke, odnosno ako izostane više </w:t>
            </w:r>
            <w:proofErr w:type="gramStart"/>
            <w:r w:rsidRPr="007B5EAE">
              <w:rPr>
                <w:rFonts w:ascii="Cambria" w:eastAsia="Times New Roman" w:hAnsi="Cambria" w:cs="Calibri"/>
                <w:lang w:val="it-IT"/>
              </w:rPr>
              <w:t>od</w:t>
            </w:r>
            <w:proofErr w:type="gramEnd"/>
            <w:r w:rsidRPr="007B5EAE">
              <w:rPr>
                <w:rFonts w:ascii="Cambria" w:eastAsia="Times New Roman" w:hAnsi="Cambria" w:cs="Calibri"/>
                <w:lang w:val="it-IT"/>
              </w:rPr>
              <w:t xml:space="preserve"> 50%</w:t>
            </w:r>
            <w:r w:rsidRPr="000E50AE">
              <w:rPr>
                <w:rFonts w:ascii="Cambria" w:eastAsia="Times New Roman" w:hAnsi="Cambria" w:cs="Calibri"/>
                <w:lang w:val="vi-VN"/>
              </w:rPr>
              <w:t xml:space="preserve">, uskratit će mu se pravo na potpis, ispit i upis </w:t>
            </w:r>
            <w:proofErr w:type="spellStart"/>
            <w:r w:rsidRPr="007B5EAE">
              <w:rPr>
                <w:rFonts w:ascii="Cambria" w:eastAsia="Times New Roman" w:hAnsi="Cambria" w:cs="Calibri"/>
                <w:lang w:val="it-IT"/>
              </w:rPr>
              <w:t>bodova</w:t>
            </w:r>
            <w:proofErr w:type="spellEnd"/>
            <w:r>
              <w:rPr>
                <w:rFonts w:ascii="Cambria" w:eastAsia="Times New Roman" w:hAnsi="Cambria" w:cs="Calibri"/>
                <w:lang w:val="hr-HR"/>
              </w:rPr>
              <w:t>)</w:t>
            </w:r>
          </w:p>
          <w:p w14:paraId="08AEC1F9" w14:textId="77777777" w:rsidR="00FC4004" w:rsidRPr="007B5EAE" w:rsidRDefault="00FC4004" w:rsidP="000F1A10">
            <w:pPr>
              <w:spacing w:after="0" w:line="240" w:lineRule="auto"/>
              <w:jc w:val="both"/>
              <w:rPr>
                <w:rFonts w:ascii="Cambria" w:eastAsia="Times New Roman" w:hAnsi="Cambria" w:cs="Calibri"/>
                <w:lang w:val="it-IT"/>
              </w:rPr>
            </w:pPr>
            <w:r w:rsidRPr="007B5EAE">
              <w:rPr>
                <w:rFonts w:ascii="Cambria" w:eastAsia="Times New Roman" w:hAnsi="Cambria" w:cs="Calibri"/>
                <w:lang w:val="it-IT"/>
              </w:rPr>
              <w:t xml:space="preserve">2. </w:t>
            </w:r>
            <w:proofErr w:type="spellStart"/>
            <w:r>
              <w:rPr>
                <w:rFonts w:ascii="Cambria" w:eastAsia="Times New Roman" w:hAnsi="Cambria" w:cs="Calibri"/>
                <w:lang w:val="it-IT"/>
              </w:rPr>
              <w:t>iz</w:t>
            </w:r>
            <w:r w:rsidRPr="007B5EAE">
              <w:rPr>
                <w:rFonts w:ascii="Cambria" w:eastAsia="Times New Roman" w:hAnsi="Cambria" w:cs="Calibri"/>
                <w:lang w:val="it-IT"/>
              </w:rPr>
              <w:t>raditi</w:t>
            </w:r>
            <w:proofErr w:type="spellEnd"/>
            <w:r w:rsidRPr="007B5EAE">
              <w:rPr>
                <w:rFonts w:ascii="Cambria" w:eastAsia="Times New Roman" w:hAnsi="Cambria" w:cs="Calibri"/>
                <w:lang w:val="it-IT"/>
              </w:rPr>
              <w:t xml:space="preserve"> </w:t>
            </w:r>
            <w:proofErr w:type="spellStart"/>
            <w:r w:rsidRPr="007B5EAE">
              <w:rPr>
                <w:rFonts w:ascii="Cambria" w:eastAsia="Times New Roman" w:hAnsi="Cambria" w:cs="Calibri"/>
                <w:lang w:val="it-IT"/>
              </w:rPr>
              <w:t>praktični</w:t>
            </w:r>
            <w:proofErr w:type="spellEnd"/>
            <w:r w:rsidRPr="007B5EAE">
              <w:rPr>
                <w:rFonts w:ascii="Cambria" w:eastAsia="Times New Roman" w:hAnsi="Cambria" w:cs="Calibri"/>
                <w:lang w:val="it-IT"/>
              </w:rPr>
              <w:t xml:space="preserve"> </w:t>
            </w:r>
            <w:proofErr w:type="spellStart"/>
            <w:r w:rsidRPr="007B5EAE">
              <w:rPr>
                <w:rFonts w:ascii="Cambria" w:eastAsia="Times New Roman" w:hAnsi="Cambria" w:cs="Calibri"/>
                <w:lang w:val="it-IT"/>
              </w:rPr>
              <w:t>zadatke</w:t>
            </w:r>
            <w:proofErr w:type="spellEnd"/>
          </w:p>
          <w:p w14:paraId="33542F3F" w14:textId="77777777" w:rsidR="00FC4004" w:rsidRPr="007B5EAE" w:rsidRDefault="00FC4004" w:rsidP="000F1A10">
            <w:pPr>
              <w:spacing w:after="0" w:line="240" w:lineRule="auto"/>
              <w:jc w:val="both"/>
              <w:rPr>
                <w:rFonts w:ascii="Cambria" w:eastAsia="Times New Roman" w:hAnsi="Cambria" w:cs="Calibri"/>
                <w:lang w:val="it-IT"/>
              </w:rPr>
            </w:pPr>
            <w:r w:rsidRPr="007B5EAE">
              <w:rPr>
                <w:rFonts w:ascii="Cambria" w:eastAsia="Times New Roman" w:hAnsi="Cambria" w:cs="Calibri"/>
                <w:lang w:val="it-IT"/>
              </w:rPr>
              <w:t xml:space="preserve">3. </w:t>
            </w:r>
            <w:proofErr w:type="spellStart"/>
            <w:r>
              <w:rPr>
                <w:rFonts w:ascii="Cambria" w:eastAsia="Times New Roman" w:hAnsi="Cambria" w:cs="Calibri"/>
                <w:lang w:val="it-IT"/>
              </w:rPr>
              <w:t>p</w:t>
            </w:r>
            <w:r w:rsidRPr="007B5EAE">
              <w:rPr>
                <w:rFonts w:ascii="Cambria" w:eastAsia="Times New Roman" w:hAnsi="Cambria" w:cs="Calibri"/>
                <w:lang w:val="it-IT"/>
              </w:rPr>
              <w:t>oložiti</w:t>
            </w:r>
            <w:proofErr w:type="spellEnd"/>
            <w:r w:rsidRPr="007B5EAE">
              <w:rPr>
                <w:rFonts w:ascii="Cambria" w:eastAsia="Times New Roman" w:hAnsi="Cambria" w:cs="Calibri"/>
                <w:lang w:val="it-IT"/>
              </w:rPr>
              <w:t xml:space="preserve"> </w:t>
            </w:r>
            <w:proofErr w:type="spellStart"/>
            <w:r w:rsidRPr="007B5EAE">
              <w:rPr>
                <w:rFonts w:ascii="Cambria" w:eastAsia="Times New Roman" w:hAnsi="Cambria" w:cs="Calibri"/>
                <w:lang w:val="it-IT"/>
              </w:rPr>
              <w:t>usmeni</w:t>
            </w:r>
            <w:proofErr w:type="spellEnd"/>
            <w:r w:rsidRPr="007B5EAE">
              <w:rPr>
                <w:rFonts w:ascii="Cambria" w:eastAsia="Times New Roman" w:hAnsi="Cambria" w:cs="Calibri"/>
                <w:lang w:val="it-IT"/>
              </w:rPr>
              <w:t xml:space="preserve"> </w:t>
            </w:r>
            <w:proofErr w:type="spellStart"/>
            <w:r w:rsidRPr="007B5EAE">
              <w:rPr>
                <w:rFonts w:ascii="Cambria" w:eastAsia="Times New Roman" w:hAnsi="Cambria" w:cs="Calibri"/>
                <w:lang w:val="it-IT"/>
              </w:rPr>
              <w:t>ispit</w:t>
            </w:r>
            <w:proofErr w:type="spellEnd"/>
            <w:r w:rsidRPr="007B5EAE">
              <w:rPr>
                <w:rFonts w:ascii="Cambria" w:eastAsia="Times New Roman" w:hAnsi="Cambria" w:cs="Calibri"/>
                <w:lang w:val="it-IT"/>
              </w:rPr>
              <w:t>.</w:t>
            </w:r>
          </w:p>
        </w:tc>
      </w:tr>
      <w:tr w:rsidR="00FC4004" w:rsidRPr="00D0399C" w14:paraId="50A40A4C" w14:textId="77777777" w:rsidTr="00050905">
        <w:trPr>
          <w:trHeight w:val="151"/>
        </w:trPr>
        <w:tc>
          <w:tcPr>
            <w:tcW w:w="282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30CDCA5" w14:textId="77777777" w:rsidR="00FC4004" w:rsidRPr="000E50AE" w:rsidRDefault="00FC4004" w:rsidP="000F1A10">
            <w:pPr>
              <w:spacing w:after="0" w:line="240" w:lineRule="auto"/>
              <w:jc w:val="both"/>
              <w:rPr>
                <w:rFonts w:ascii="Cambria" w:eastAsia="Times New Roman" w:hAnsi="Cambria" w:cs="Calibri"/>
              </w:rPr>
            </w:pPr>
            <w:proofErr w:type="spellStart"/>
            <w:r w:rsidRPr="000E50AE">
              <w:rPr>
                <w:rFonts w:ascii="Cambria" w:eastAsia="Times New Roman" w:hAnsi="Cambria" w:cs="Calibri"/>
              </w:rPr>
              <w:t>Rokovi</w:t>
            </w:r>
            <w:proofErr w:type="spellEnd"/>
            <w:r w:rsidRPr="000E50AE">
              <w:rPr>
                <w:rFonts w:ascii="Cambria" w:eastAsia="Times New Roman" w:hAnsi="Cambria" w:cs="Calibri"/>
              </w:rPr>
              <w:t xml:space="preserve"> </w:t>
            </w:r>
            <w:proofErr w:type="spellStart"/>
            <w:r w:rsidRPr="000E50AE">
              <w:rPr>
                <w:rFonts w:ascii="Cambria" w:eastAsia="Times New Roman" w:hAnsi="Cambria" w:cs="Calibri"/>
              </w:rPr>
              <w:t>ispita</w:t>
            </w:r>
            <w:proofErr w:type="spellEnd"/>
            <w:r w:rsidRPr="000E50AE">
              <w:rPr>
                <w:rFonts w:ascii="Cambria" w:eastAsia="Times New Roman" w:hAnsi="Cambria" w:cs="Calibri"/>
              </w:rPr>
              <w:t xml:space="preserve"> </w:t>
            </w:r>
            <w:proofErr w:type="spellStart"/>
            <w:r w:rsidRPr="000E50AE">
              <w:rPr>
                <w:rFonts w:ascii="Cambria" w:eastAsia="Times New Roman" w:hAnsi="Cambria" w:cs="Calibri"/>
              </w:rPr>
              <w:t>i</w:t>
            </w:r>
            <w:proofErr w:type="spellEnd"/>
            <w:r w:rsidRPr="000E50AE">
              <w:rPr>
                <w:rFonts w:ascii="Cambria" w:eastAsia="Times New Roman" w:hAnsi="Cambria" w:cs="Calibri"/>
              </w:rPr>
              <w:t xml:space="preserve"> </w:t>
            </w:r>
            <w:proofErr w:type="spellStart"/>
            <w:r w:rsidRPr="000E50AE">
              <w:rPr>
                <w:rFonts w:ascii="Cambria" w:eastAsia="Times New Roman" w:hAnsi="Cambria" w:cs="Calibri"/>
              </w:rPr>
              <w:t>kolokvija</w:t>
            </w:r>
            <w:proofErr w:type="spellEnd"/>
          </w:p>
        </w:tc>
        <w:tc>
          <w:tcPr>
            <w:tcW w:w="7232"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F796EFF" w14:textId="77777777" w:rsidR="00FC4004" w:rsidRPr="000E50AE" w:rsidRDefault="00FC4004" w:rsidP="000F1A10">
            <w:pPr>
              <w:spacing w:after="0" w:line="240" w:lineRule="auto"/>
              <w:jc w:val="both"/>
              <w:rPr>
                <w:rFonts w:ascii="Cambria" w:eastAsia="Times New Roman" w:hAnsi="Cambria" w:cs="Calibri"/>
                <w:lang w:val="it-IT"/>
              </w:rPr>
            </w:pPr>
            <w:proofErr w:type="spellStart"/>
            <w:r w:rsidRPr="000E50AE">
              <w:rPr>
                <w:rFonts w:ascii="Cambria" w:eastAsia="Times New Roman" w:hAnsi="Cambria" w:cs="Calibri"/>
                <w:lang w:val="it-IT"/>
              </w:rPr>
              <w:t>Daju</w:t>
            </w:r>
            <w:proofErr w:type="spellEnd"/>
            <w:r w:rsidRPr="000E50AE">
              <w:rPr>
                <w:rFonts w:ascii="Cambria" w:eastAsia="Times New Roman" w:hAnsi="Cambria" w:cs="Calibri"/>
                <w:lang w:val="it-IT"/>
              </w:rPr>
              <w:t xml:space="preserve"> se </w:t>
            </w:r>
            <w:proofErr w:type="spellStart"/>
            <w:r w:rsidRPr="000E50AE">
              <w:rPr>
                <w:rFonts w:ascii="Cambria" w:eastAsia="Times New Roman" w:hAnsi="Cambria" w:cs="Calibri"/>
                <w:lang w:val="it-IT"/>
              </w:rPr>
              <w:t>na</w:t>
            </w:r>
            <w:proofErr w:type="spellEnd"/>
            <w:r w:rsidRPr="000E50AE">
              <w:rPr>
                <w:rFonts w:ascii="Cambria" w:eastAsia="Times New Roman" w:hAnsi="Cambria" w:cs="Calibri"/>
                <w:lang w:val="it-IT"/>
              </w:rPr>
              <w:t xml:space="preserve"> </w:t>
            </w:r>
            <w:proofErr w:type="spellStart"/>
            <w:r w:rsidRPr="000E50AE">
              <w:rPr>
                <w:rFonts w:ascii="Cambria" w:eastAsia="Times New Roman" w:hAnsi="Cambria" w:cs="Calibri"/>
                <w:lang w:val="it-IT"/>
              </w:rPr>
              <w:t>početku</w:t>
            </w:r>
            <w:proofErr w:type="spellEnd"/>
            <w:r w:rsidRPr="000E50AE">
              <w:rPr>
                <w:rFonts w:ascii="Cambria" w:eastAsia="Times New Roman" w:hAnsi="Cambria" w:cs="Calibri"/>
                <w:lang w:val="it-IT"/>
              </w:rPr>
              <w:t xml:space="preserve"> </w:t>
            </w:r>
            <w:proofErr w:type="spellStart"/>
            <w:r w:rsidRPr="000E50AE">
              <w:rPr>
                <w:rFonts w:ascii="Cambria" w:eastAsia="Times New Roman" w:hAnsi="Cambria" w:cs="Calibri"/>
                <w:lang w:val="it-IT"/>
              </w:rPr>
              <w:t>akademske</w:t>
            </w:r>
            <w:proofErr w:type="spellEnd"/>
            <w:r w:rsidRPr="000E50AE">
              <w:rPr>
                <w:rFonts w:ascii="Cambria" w:eastAsia="Times New Roman" w:hAnsi="Cambria" w:cs="Calibri"/>
                <w:lang w:val="it-IT"/>
              </w:rPr>
              <w:t xml:space="preserve"> godine i </w:t>
            </w:r>
            <w:proofErr w:type="spellStart"/>
            <w:r w:rsidRPr="000E50AE">
              <w:rPr>
                <w:rFonts w:ascii="Cambria" w:eastAsia="Times New Roman" w:hAnsi="Cambria" w:cs="Calibri"/>
                <w:lang w:val="it-IT"/>
              </w:rPr>
              <w:t>objavljuju</w:t>
            </w:r>
            <w:proofErr w:type="spellEnd"/>
            <w:r w:rsidRPr="000E50AE">
              <w:rPr>
                <w:rFonts w:ascii="Cambria" w:eastAsia="Times New Roman" w:hAnsi="Cambria" w:cs="Calibri"/>
                <w:lang w:val="it-IT"/>
              </w:rPr>
              <w:t xml:space="preserve"> se u ISVU. </w:t>
            </w:r>
          </w:p>
        </w:tc>
      </w:tr>
      <w:tr w:rsidR="00FC4004" w:rsidRPr="00C034A7" w14:paraId="43239631" w14:textId="77777777" w:rsidTr="00050905">
        <w:trPr>
          <w:trHeight w:val="151"/>
        </w:trPr>
        <w:tc>
          <w:tcPr>
            <w:tcW w:w="282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02BE166" w14:textId="77777777" w:rsidR="00FC4004" w:rsidRPr="007B5EAE" w:rsidRDefault="00FC4004" w:rsidP="000F1A10">
            <w:pPr>
              <w:spacing w:after="0" w:line="240" w:lineRule="auto"/>
              <w:jc w:val="both"/>
              <w:rPr>
                <w:rFonts w:ascii="Cambria" w:eastAsia="Times New Roman" w:hAnsi="Cambria" w:cs="Calibri"/>
                <w:lang w:val="it-IT"/>
              </w:rPr>
            </w:pPr>
            <w:r w:rsidRPr="007B5EAE">
              <w:rPr>
                <w:rFonts w:ascii="Cambria" w:eastAsia="Times New Roman" w:hAnsi="Cambria" w:cs="Calibri"/>
                <w:lang w:val="it-IT"/>
              </w:rPr>
              <w:t xml:space="preserve">Ostale </w:t>
            </w:r>
            <w:proofErr w:type="spellStart"/>
            <w:r w:rsidRPr="007B5EAE">
              <w:rPr>
                <w:rFonts w:ascii="Cambria" w:eastAsia="Times New Roman" w:hAnsi="Cambria" w:cs="Calibri"/>
                <w:lang w:val="it-IT"/>
              </w:rPr>
              <w:t>važne</w:t>
            </w:r>
            <w:proofErr w:type="spellEnd"/>
            <w:r w:rsidRPr="007B5EAE">
              <w:rPr>
                <w:rFonts w:ascii="Cambria" w:eastAsia="Times New Roman" w:hAnsi="Cambria" w:cs="Calibri"/>
                <w:lang w:val="it-IT"/>
              </w:rPr>
              <w:t xml:space="preserve"> </w:t>
            </w:r>
            <w:proofErr w:type="spellStart"/>
            <w:r w:rsidRPr="007B5EAE">
              <w:rPr>
                <w:rFonts w:ascii="Cambria" w:eastAsia="Times New Roman" w:hAnsi="Cambria" w:cs="Calibri"/>
                <w:lang w:val="it-IT"/>
              </w:rPr>
              <w:t>činjenice</w:t>
            </w:r>
            <w:proofErr w:type="spellEnd"/>
            <w:r w:rsidRPr="007B5EAE">
              <w:rPr>
                <w:rFonts w:ascii="Cambria" w:eastAsia="Times New Roman" w:hAnsi="Cambria" w:cs="Calibri"/>
                <w:lang w:val="it-IT"/>
              </w:rPr>
              <w:t xml:space="preserve"> </w:t>
            </w:r>
            <w:proofErr w:type="spellStart"/>
            <w:r w:rsidRPr="007B5EAE">
              <w:rPr>
                <w:rFonts w:ascii="Cambria" w:eastAsia="Times New Roman" w:hAnsi="Cambria" w:cs="Calibri"/>
                <w:lang w:val="it-IT"/>
              </w:rPr>
              <w:t>vezane</w:t>
            </w:r>
            <w:proofErr w:type="spellEnd"/>
            <w:r w:rsidRPr="007B5EAE">
              <w:rPr>
                <w:rFonts w:ascii="Cambria" w:eastAsia="Times New Roman" w:hAnsi="Cambria" w:cs="Calibri"/>
                <w:lang w:val="it-IT"/>
              </w:rPr>
              <w:t xml:space="preserve"> </w:t>
            </w:r>
            <w:proofErr w:type="spellStart"/>
            <w:r w:rsidRPr="007B5EAE">
              <w:rPr>
                <w:rFonts w:ascii="Cambria" w:eastAsia="Times New Roman" w:hAnsi="Cambria" w:cs="Calibri"/>
                <w:lang w:val="it-IT"/>
              </w:rPr>
              <w:t>uz</w:t>
            </w:r>
            <w:proofErr w:type="spellEnd"/>
            <w:r w:rsidRPr="007B5EAE">
              <w:rPr>
                <w:rFonts w:ascii="Cambria" w:eastAsia="Times New Roman" w:hAnsi="Cambria" w:cs="Calibri"/>
                <w:lang w:val="it-IT"/>
              </w:rPr>
              <w:t xml:space="preserve"> </w:t>
            </w:r>
            <w:proofErr w:type="spellStart"/>
            <w:r w:rsidRPr="007B5EAE">
              <w:rPr>
                <w:rFonts w:ascii="Cambria" w:eastAsia="Times New Roman" w:hAnsi="Cambria" w:cs="Calibri"/>
                <w:lang w:val="it-IT"/>
              </w:rPr>
              <w:t>kolegij</w:t>
            </w:r>
            <w:proofErr w:type="spellEnd"/>
          </w:p>
        </w:tc>
        <w:tc>
          <w:tcPr>
            <w:tcW w:w="7232"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E72CD16" w14:textId="77777777" w:rsidR="00FC4004" w:rsidRPr="007B5EAE" w:rsidRDefault="00FC4004" w:rsidP="000F1A10">
            <w:pPr>
              <w:spacing w:after="0" w:line="240" w:lineRule="auto"/>
              <w:jc w:val="both"/>
              <w:rPr>
                <w:rFonts w:ascii="Cambria" w:eastAsia="Times New Roman" w:hAnsi="Cambria" w:cs="Calibri"/>
                <w:lang w:val="it-IT"/>
              </w:rPr>
            </w:pPr>
            <w:proofErr w:type="spellStart"/>
            <w:r w:rsidRPr="007B5EAE">
              <w:rPr>
                <w:rFonts w:ascii="Cambria" w:eastAsia="Times New Roman" w:hAnsi="Cambria" w:cs="Calibri"/>
                <w:lang w:val="it-IT"/>
              </w:rPr>
              <w:t>Materijali</w:t>
            </w:r>
            <w:proofErr w:type="spellEnd"/>
            <w:r w:rsidRPr="007B5EAE">
              <w:rPr>
                <w:rFonts w:ascii="Cambria" w:eastAsia="Times New Roman" w:hAnsi="Cambria" w:cs="Calibri"/>
                <w:lang w:val="it-IT"/>
              </w:rPr>
              <w:t xml:space="preserve"> za </w:t>
            </w:r>
            <w:proofErr w:type="spellStart"/>
            <w:r w:rsidRPr="007B5EAE">
              <w:rPr>
                <w:rFonts w:ascii="Cambria" w:eastAsia="Times New Roman" w:hAnsi="Cambria" w:cs="Calibri"/>
                <w:lang w:val="it-IT"/>
              </w:rPr>
              <w:t>predavanja</w:t>
            </w:r>
            <w:proofErr w:type="spellEnd"/>
            <w:r w:rsidRPr="007B5EAE">
              <w:rPr>
                <w:rFonts w:ascii="Cambria" w:eastAsia="Times New Roman" w:hAnsi="Cambria" w:cs="Calibri"/>
                <w:lang w:val="it-IT"/>
              </w:rPr>
              <w:t xml:space="preserve"> </w:t>
            </w:r>
            <w:proofErr w:type="gramStart"/>
            <w:r w:rsidRPr="007B5EAE">
              <w:rPr>
                <w:rFonts w:ascii="Cambria" w:eastAsia="Times New Roman" w:hAnsi="Cambria" w:cs="Calibri"/>
                <w:lang w:val="it-IT"/>
              </w:rPr>
              <w:t>i seminare</w:t>
            </w:r>
            <w:proofErr w:type="gramEnd"/>
            <w:r w:rsidRPr="007B5EAE">
              <w:rPr>
                <w:rFonts w:ascii="Cambria" w:eastAsia="Times New Roman" w:hAnsi="Cambria" w:cs="Calibri"/>
                <w:lang w:val="it-IT"/>
              </w:rPr>
              <w:t xml:space="preserve"> </w:t>
            </w:r>
            <w:proofErr w:type="spellStart"/>
            <w:r w:rsidRPr="007B5EAE">
              <w:rPr>
                <w:rFonts w:ascii="Cambria" w:eastAsia="Times New Roman" w:hAnsi="Cambria" w:cs="Calibri"/>
                <w:lang w:val="it-IT"/>
              </w:rPr>
              <w:t>objavljuju</w:t>
            </w:r>
            <w:proofErr w:type="spellEnd"/>
            <w:r w:rsidRPr="007B5EAE">
              <w:rPr>
                <w:rFonts w:ascii="Cambria" w:eastAsia="Times New Roman" w:hAnsi="Cambria" w:cs="Calibri"/>
                <w:lang w:val="it-IT"/>
              </w:rPr>
              <w:t xml:space="preserve"> se </w:t>
            </w:r>
            <w:proofErr w:type="spellStart"/>
            <w:r w:rsidRPr="007B5EAE">
              <w:rPr>
                <w:rFonts w:ascii="Cambria" w:eastAsia="Times New Roman" w:hAnsi="Cambria" w:cs="Calibri"/>
                <w:lang w:val="it-IT"/>
              </w:rPr>
              <w:t>na</w:t>
            </w:r>
            <w:proofErr w:type="spellEnd"/>
            <w:r w:rsidRPr="007B5EAE">
              <w:rPr>
                <w:rFonts w:ascii="Cambria" w:eastAsia="Times New Roman" w:hAnsi="Cambria" w:cs="Calibri"/>
                <w:lang w:val="it-IT"/>
              </w:rPr>
              <w:t xml:space="preserve"> e</w:t>
            </w:r>
            <w:r w:rsidRPr="000E50AE">
              <w:rPr>
                <w:rFonts w:ascii="Cambria" w:eastAsia="Times New Roman" w:hAnsi="Cambria" w:cs="Calibri"/>
                <w:lang w:val="it-IT"/>
              </w:rPr>
              <w:t>-</w:t>
            </w:r>
            <w:proofErr w:type="spellStart"/>
            <w:r w:rsidRPr="000E50AE">
              <w:rPr>
                <w:rFonts w:ascii="Cambria" w:eastAsia="Times New Roman" w:hAnsi="Cambria" w:cs="Calibri"/>
                <w:lang w:val="it-IT"/>
              </w:rPr>
              <w:t>učenj</w:t>
            </w:r>
            <w:r w:rsidRPr="007B5EAE">
              <w:rPr>
                <w:rFonts w:ascii="Cambria" w:eastAsia="Times New Roman" w:hAnsi="Cambria" w:cs="Calibri"/>
                <w:lang w:val="it-IT"/>
              </w:rPr>
              <w:t>u</w:t>
            </w:r>
            <w:proofErr w:type="spellEnd"/>
            <w:r w:rsidRPr="007B5EAE">
              <w:rPr>
                <w:rFonts w:ascii="Cambria" w:eastAsia="Times New Roman" w:hAnsi="Cambria" w:cs="Calibri"/>
                <w:lang w:val="it-IT"/>
              </w:rPr>
              <w:t>.</w:t>
            </w:r>
          </w:p>
          <w:p w14:paraId="4532A653" w14:textId="77777777" w:rsidR="00FC4004" w:rsidRPr="00C034A7" w:rsidRDefault="00FC4004" w:rsidP="000F1A10">
            <w:pPr>
              <w:spacing w:after="0" w:line="240" w:lineRule="auto"/>
              <w:jc w:val="both"/>
              <w:rPr>
                <w:rFonts w:ascii="Cambria" w:eastAsia="Times New Roman" w:hAnsi="Cambria" w:cs="Calibri"/>
                <w:lang w:val="it-IT"/>
              </w:rPr>
            </w:pPr>
            <w:r w:rsidRPr="007B5EAE">
              <w:rPr>
                <w:rFonts w:ascii="Cambria" w:eastAsia="Times New Roman" w:hAnsi="Cambria" w:cs="Calibri"/>
                <w:lang w:val="it-IT"/>
              </w:rPr>
              <w:t xml:space="preserve">U </w:t>
            </w:r>
            <w:proofErr w:type="spellStart"/>
            <w:r w:rsidRPr="007B5EAE">
              <w:rPr>
                <w:rFonts w:ascii="Cambria" w:eastAsia="Times New Roman" w:hAnsi="Cambria" w:cs="Calibri"/>
                <w:lang w:val="it-IT"/>
              </w:rPr>
              <w:t>slučaju</w:t>
            </w:r>
            <w:proofErr w:type="spellEnd"/>
            <w:r w:rsidRPr="007B5EAE">
              <w:rPr>
                <w:rFonts w:ascii="Cambria" w:eastAsia="Times New Roman" w:hAnsi="Cambria" w:cs="Calibri"/>
                <w:lang w:val="it-IT"/>
              </w:rPr>
              <w:t xml:space="preserve"> </w:t>
            </w:r>
            <w:proofErr w:type="spellStart"/>
            <w:r w:rsidRPr="007B5EAE">
              <w:rPr>
                <w:rFonts w:ascii="Cambria" w:eastAsia="Times New Roman" w:hAnsi="Cambria" w:cs="Calibri"/>
                <w:lang w:val="it-IT"/>
              </w:rPr>
              <w:t>održavanja</w:t>
            </w:r>
            <w:proofErr w:type="spellEnd"/>
            <w:r w:rsidRPr="007B5EAE">
              <w:rPr>
                <w:rFonts w:ascii="Cambria" w:eastAsia="Times New Roman" w:hAnsi="Cambria" w:cs="Calibri"/>
                <w:lang w:val="it-IT"/>
              </w:rPr>
              <w:t xml:space="preserve"> </w:t>
            </w:r>
            <w:proofErr w:type="spellStart"/>
            <w:r w:rsidRPr="007B5EAE">
              <w:rPr>
                <w:rFonts w:ascii="Cambria" w:eastAsia="Times New Roman" w:hAnsi="Cambria" w:cs="Calibri"/>
                <w:lang w:val="it-IT"/>
              </w:rPr>
              <w:t>nastave</w:t>
            </w:r>
            <w:proofErr w:type="spellEnd"/>
            <w:r w:rsidRPr="007B5EAE">
              <w:rPr>
                <w:rFonts w:ascii="Cambria" w:eastAsia="Times New Roman" w:hAnsi="Cambria" w:cs="Calibri"/>
                <w:lang w:val="it-IT"/>
              </w:rPr>
              <w:t xml:space="preserve"> </w:t>
            </w:r>
            <w:proofErr w:type="spellStart"/>
            <w:r w:rsidRPr="007B5EAE">
              <w:rPr>
                <w:rFonts w:ascii="Cambria" w:eastAsia="Times New Roman" w:hAnsi="Cambria" w:cs="Calibri"/>
                <w:lang w:val="it-IT"/>
              </w:rPr>
              <w:t>na</w:t>
            </w:r>
            <w:proofErr w:type="spellEnd"/>
            <w:r w:rsidRPr="007B5EAE">
              <w:rPr>
                <w:rFonts w:ascii="Cambria" w:eastAsia="Times New Roman" w:hAnsi="Cambria" w:cs="Calibri"/>
                <w:lang w:val="it-IT"/>
              </w:rPr>
              <w:t xml:space="preserve"> </w:t>
            </w:r>
            <w:proofErr w:type="spellStart"/>
            <w:r w:rsidRPr="007B5EAE">
              <w:rPr>
                <w:rFonts w:ascii="Cambria" w:eastAsia="Times New Roman" w:hAnsi="Cambria" w:cs="Calibri"/>
                <w:lang w:val="it-IT"/>
              </w:rPr>
              <w:t>daljinu</w:t>
            </w:r>
            <w:proofErr w:type="spellEnd"/>
            <w:r w:rsidRPr="007B5EAE">
              <w:rPr>
                <w:rFonts w:ascii="Cambria" w:eastAsia="Times New Roman" w:hAnsi="Cambria" w:cs="Calibri"/>
                <w:lang w:val="it-IT"/>
              </w:rPr>
              <w:t xml:space="preserve">, </w:t>
            </w:r>
            <w:proofErr w:type="spellStart"/>
            <w:r w:rsidRPr="007B5EAE">
              <w:rPr>
                <w:rFonts w:ascii="Cambria" w:eastAsia="Times New Roman" w:hAnsi="Cambria" w:cs="Calibri"/>
                <w:lang w:val="it-IT"/>
              </w:rPr>
              <w:t>moguće</w:t>
            </w:r>
            <w:proofErr w:type="spellEnd"/>
            <w:r w:rsidRPr="007B5EAE">
              <w:rPr>
                <w:rFonts w:ascii="Cambria" w:eastAsia="Times New Roman" w:hAnsi="Cambria" w:cs="Calibri"/>
                <w:lang w:val="it-IT"/>
              </w:rPr>
              <w:t xml:space="preserve"> je </w:t>
            </w:r>
            <w:proofErr w:type="spellStart"/>
            <w:r w:rsidRPr="007B5EAE">
              <w:rPr>
                <w:rFonts w:ascii="Cambria" w:eastAsia="Times New Roman" w:hAnsi="Cambria" w:cs="Calibri"/>
                <w:lang w:val="it-IT"/>
              </w:rPr>
              <w:t>odstupanje</w:t>
            </w:r>
            <w:proofErr w:type="spellEnd"/>
            <w:r w:rsidRPr="007B5EAE">
              <w:rPr>
                <w:rFonts w:ascii="Cambria" w:eastAsia="Times New Roman" w:hAnsi="Cambria" w:cs="Calibri"/>
                <w:lang w:val="it-IT"/>
              </w:rPr>
              <w:t xml:space="preserve"> u: </w:t>
            </w:r>
            <w:proofErr w:type="spellStart"/>
            <w:r w:rsidRPr="007B5EAE">
              <w:rPr>
                <w:rFonts w:ascii="Cambria" w:eastAsia="Times New Roman" w:hAnsi="Cambria" w:cs="Calibri"/>
                <w:lang w:val="it-IT"/>
              </w:rPr>
              <w:t>mjestu</w:t>
            </w:r>
            <w:proofErr w:type="spellEnd"/>
            <w:r w:rsidRPr="007B5EAE">
              <w:rPr>
                <w:rFonts w:ascii="Cambria" w:eastAsia="Times New Roman" w:hAnsi="Cambria" w:cs="Calibri"/>
                <w:lang w:val="it-IT"/>
              </w:rPr>
              <w:t xml:space="preserve"> </w:t>
            </w:r>
            <w:proofErr w:type="spellStart"/>
            <w:r w:rsidRPr="007B5EAE">
              <w:rPr>
                <w:rFonts w:ascii="Cambria" w:eastAsia="Times New Roman" w:hAnsi="Cambria" w:cs="Calibri"/>
                <w:lang w:val="it-IT"/>
              </w:rPr>
              <w:t>izvođenja</w:t>
            </w:r>
            <w:proofErr w:type="spellEnd"/>
            <w:r w:rsidRPr="007B5EAE">
              <w:rPr>
                <w:rFonts w:ascii="Cambria" w:eastAsia="Times New Roman" w:hAnsi="Cambria" w:cs="Calibri"/>
                <w:lang w:val="it-IT"/>
              </w:rPr>
              <w:t xml:space="preserve"> </w:t>
            </w:r>
            <w:proofErr w:type="spellStart"/>
            <w:r w:rsidRPr="007B5EAE">
              <w:rPr>
                <w:rFonts w:ascii="Cambria" w:eastAsia="Times New Roman" w:hAnsi="Cambria" w:cs="Calibri"/>
                <w:lang w:val="it-IT"/>
              </w:rPr>
              <w:t>kolegija</w:t>
            </w:r>
            <w:proofErr w:type="spellEnd"/>
            <w:r w:rsidRPr="007B5EAE">
              <w:rPr>
                <w:rFonts w:ascii="Cambria" w:eastAsia="Times New Roman" w:hAnsi="Cambria" w:cs="Calibri"/>
                <w:lang w:val="it-IT"/>
              </w:rPr>
              <w:t xml:space="preserve">, </w:t>
            </w:r>
            <w:proofErr w:type="spellStart"/>
            <w:r w:rsidRPr="007B5EAE">
              <w:rPr>
                <w:rFonts w:ascii="Cambria" w:eastAsia="Times New Roman" w:hAnsi="Cambria" w:cs="Calibri"/>
                <w:lang w:val="it-IT"/>
              </w:rPr>
              <w:t>provedbi</w:t>
            </w:r>
            <w:proofErr w:type="spellEnd"/>
            <w:r w:rsidRPr="007B5EAE">
              <w:rPr>
                <w:rFonts w:ascii="Cambria" w:eastAsia="Times New Roman" w:hAnsi="Cambria" w:cs="Calibri"/>
                <w:lang w:val="it-IT"/>
              </w:rPr>
              <w:t xml:space="preserve"> </w:t>
            </w:r>
            <w:proofErr w:type="spellStart"/>
            <w:r w:rsidRPr="007B5EAE">
              <w:rPr>
                <w:rFonts w:ascii="Cambria" w:eastAsia="Times New Roman" w:hAnsi="Cambria" w:cs="Calibri"/>
                <w:lang w:val="it-IT"/>
              </w:rPr>
              <w:t>aktivnosti</w:t>
            </w:r>
            <w:proofErr w:type="spellEnd"/>
            <w:r w:rsidRPr="007B5EAE">
              <w:rPr>
                <w:rFonts w:ascii="Cambria" w:eastAsia="Times New Roman" w:hAnsi="Cambria" w:cs="Calibri"/>
                <w:lang w:val="it-IT"/>
              </w:rPr>
              <w:t xml:space="preserve">, </w:t>
            </w:r>
            <w:proofErr w:type="spellStart"/>
            <w:r w:rsidRPr="007B5EAE">
              <w:rPr>
                <w:rFonts w:ascii="Cambria" w:eastAsia="Times New Roman" w:hAnsi="Cambria" w:cs="Calibri"/>
                <w:lang w:val="it-IT"/>
              </w:rPr>
              <w:t>metoda</w:t>
            </w:r>
            <w:proofErr w:type="spellEnd"/>
            <w:r w:rsidRPr="007B5EAE">
              <w:rPr>
                <w:rFonts w:ascii="Cambria" w:eastAsia="Times New Roman" w:hAnsi="Cambria" w:cs="Calibri"/>
                <w:lang w:val="it-IT"/>
              </w:rPr>
              <w:t xml:space="preserve"> </w:t>
            </w:r>
            <w:proofErr w:type="spellStart"/>
            <w:r w:rsidRPr="007B5EAE">
              <w:rPr>
                <w:rFonts w:ascii="Cambria" w:eastAsia="Times New Roman" w:hAnsi="Cambria" w:cs="Calibri"/>
                <w:lang w:val="it-IT"/>
              </w:rPr>
              <w:t>tumačenja</w:t>
            </w:r>
            <w:proofErr w:type="spellEnd"/>
            <w:r w:rsidRPr="007B5EAE">
              <w:rPr>
                <w:rFonts w:ascii="Cambria" w:eastAsia="Times New Roman" w:hAnsi="Cambria" w:cs="Calibri"/>
                <w:lang w:val="it-IT"/>
              </w:rPr>
              <w:t xml:space="preserve"> i </w:t>
            </w:r>
            <w:proofErr w:type="spellStart"/>
            <w:r w:rsidRPr="007B5EAE">
              <w:rPr>
                <w:rFonts w:ascii="Cambria" w:eastAsia="Times New Roman" w:hAnsi="Cambria" w:cs="Calibri"/>
                <w:lang w:val="it-IT"/>
              </w:rPr>
              <w:t>poučavanja</w:t>
            </w:r>
            <w:proofErr w:type="spellEnd"/>
            <w:r w:rsidRPr="007B5EAE">
              <w:rPr>
                <w:rFonts w:ascii="Cambria" w:eastAsia="Times New Roman" w:hAnsi="Cambria" w:cs="Calibri"/>
                <w:lang w:val="it-IT"/>
              </w:rPr>
              <w:t xml:space="preserve"> i </w:t>
            </w:r>
            <w:proofErr w:type="spellStart"/>
            <w:r w:rsidRPr="007B5EAE">
              <w:rPr>
                <w:rFonts w:ascii="Cambria" w:eastAsia="Times New Roman" w:hAnsi="Cambria" w:cs="Calibri"/>
                <w:lang w:val="it-IT"/>
              </w:rPr>
              <w:t>načinima</w:t>
            </w:r>
            <w:proofErr w:type="spellEnd"/>
            <w:r w:rsidRPr="007B5EAE">
              <w:rPr>
                <w:rFonts w:ascii="Cambria" w:eastAsia="Times New Roman" w:hAnsi="Cambria" w:cs="Calibri"/>
                <w:lang w:val="it-IT"/>
              </w:rPr>
              <w:t xml:space="preserve"> </w:t>
            </w:r>
            <w:proofErr w:type="spellStart"/>
            <w:r w:rsidRPr="007B5EAE">
              <w:rPr>
                <w:rFonts w:ascii="Cambria" w:eastAsia="Times New Roman" w:hAnsi="Cambria" w:cs="Calibri"/>
                <w:lang w:val="it-IT"/>
              </w:rPr>
              <w:t>vrednovanja</w:t>
            </w:r>
            <w:proofErr w:type="spellEnd"/>
            <w:r w:rsidRPr="007B5EAE">
              <w:rPr>
                <w:rFonts w:ascii="Cambria" w:eastAsia="Times New Roman" w:hAnsi="Cambria" w:cs="Calibri"/>
                <w:lang w:val="it-IT"/>
              </w:rPr>
              <w:t xml:space="preserve">, </w:t>
            </w:r>
            <w:proofErr w:type="spellStart"/>
            <w:r w:rsidRPr="007B5EAE">
              <w:rPr>
                <w:rFonts w:ascii="Cambria" w:eastAsia="Times New Roman" w:hAnsi="Cambria" w:cs="Calibri"/>
                <w:lang w:val="it-IT"/>
              </w:rPr>
              <w:t>studentskim</w:t>
            </w:r>
            <w:proofErr w:type="spellEnd"/>
            <w:r w:rsidRPr="007B5EAE">
              <w:rPr>
                <w:rFonts w:ascii="Cambria" w:eastAsia="Times New Roman" w:hAnsi="Cambria" w:cs="Calibri"/>
                <w:lang w:val="it-IT"/>
              </w:rPr>
              <w:t xml:space="preserve"> </w:t>
            </w:r>
            <w:proofErr w:type="spellStart"/>
            <w:r w:rsidRPr="007B5EAE">
              <w:rPr>
                <w:rFonts w:ascii="Cambria" w:eastAsia="Times New Roman" w:hAnsi="Cambria" w:cs="Calibri"/>
                <w:lang w:val="it-IT"/>
              </w:rPr>
              <w:t>obvezama</w:t>
            </w:r>
            <w:proofErr w:type="spellEnd"/>
            <w:r w:rsidRPr="007B5EAE">
              <w:rPr>
                <w:rFonts w:ascii="Cambria" w:eastAsia="Times New Roman" w:hAnsi="Cambria" w:cs="Calibri"/>
                <w:lang w:val="it-IT"/>
              </w:rPr>
              <w:t xml:space="preserve"> i </w:t>
            </w:r>
            <w:proofErr w:type="spellStart"/>
            <w:r w:rsidRPr="007B5EAE">
              <w:rPr>
                <w:rFonts w:ascii="Cambria" w:eastAsia="Times New Roman" w:hAnsi="Cambria" w:cs="Calibri"/>
                <w:lang w:val="it-IT"/>
              </w:rPr>
              <w:t>dostupnoj</w:t>
            </w:r>
            <w:proofErr w:type="spellEnd"/>
            <w:r w:rsidRPr="007B5EAE">
              <w:rPr>
                <w:rFonts w:ascii="Cambria" w:eastAsia="Times New Roman" w:hAnsi="Cambria" w:cs="Calibri"/>
                <w:lang w:val="it-IT"/>
              </w:rPr>
              <w:t xml:space="preserve"> </w:t>
            </w:r>
            <w:proofErr w:type="spellStart"/>
            <w:r w:rsidRPr="007B5EAE">
              <w:rPr>
                <w:rFonts w:ascii="Cambria" w:eastAsia="Times New Roman" w:hAnsi="Cambria" w:cs="Calibri"/>
                <w:lang w:val="it-IT"/>
              </w:rPr>
              <w:t>literaturi</w:t>
            </w:r>
            <w:proofErr w:type="spellEnd"/>
            <w:r w:rsidRPr="007B5EAE">
              <w:rPr>
                <w:rFonts w:ascii="Cambria" w:eastAsia="Times New Roman" w:hAnsi="Cambria" w:cs="Calibri"/>
                <w:lang w:val="it-IT"/>
              </w:rPr>
              <w:t xml:space="preserve">. O tome </w:t>
            </w:r>
            <w:proofErr w:type="spellStart"/>
            <w:r w:rsidRPr="007B5EAE">
              <w:rPr>
                <w:rFonts w:ascii="Cambria" w:eastAsia="Times New Roman" w:hAnsi="Cambria" w:cs="Calibri"/>
                <w:lang w:val="it-IT"/>
              </w:rPr>
              <w:t>će</w:t>
            </w:r>
            <w:proofErr w:type="spellEnd"/>
            <w:r w:rsidRPr="007B5EAE">
              <w:rPr>
                <w:rFonts w:ascii="Cambria" w:eastAsia="Times New Roman" w:hAnsi="Cambria" w:cs="Calibri"/>
                <w:lang w:val="it-IT"/>
              </w:rPr>
              <w:t xml:space="preserve"> </w:t>
            </w:r>
            <w:proofErr w:type="spellStart"/>
            <w:r w:rsidRPr="007B5EAE">
              <w:rPr>
                <w:rFonts w:ascii="Cambria" w:eastAsia="Times New Roman" w:hAnsi="Cambria" w:cs="Calibri"/>
                <w:lang w:val="it-IT"/>
              </w:rPr>
              <w:t>nositeljica</w:t>
            </w:r>
            <w:proofErr w:type="spellEnd"/>
            <w:r w:rsidRPr="007B5EAE">
              <w:rPr>
                <w:rFonts w:ascii="Cambria" w:eastAsia="Times New Roman" w:hAnsi="Cambria" w:cs="Calibri"/>
                <w:lang w:val="it-IT"/>
              </w:rPr>
              <w:t xml:space="preserve"> </w:t>
            </w:r>
            <w:proofErr w:type="spellStart"/>
            <w:r w:rsidRPr="007B5EAE">
              <w:rPr>
                <w:rFonts w:ascii="Cambria" w:eastAsia="Times New Roman" w:hAnsi="Cambria" w:cs="Calibri"/>
                <w:lang w:val="it-IT"/>
              </w:rPr>
              <w:t>kolegija</w:t>
            </w:r>
            <w:proofErr w:type="spellEnd"/>
            <w:r w:rsidRPr="007B5EAE">
              <w:rPr>
                <w:rFonts w:ascii="Cambria" w:eastAsia="Times New Roman" w:hAnsi="Cambria" w:cs="Calibri"/>
                <w:lang w:val="it-IT"/>
              </w:rPr>
              <w:t xml:space="preserve"> </w:t>
            </w:r>
            <w:proofErr w:type="spellStart"/>
            <w:r w:rsidRPr="007B5EAE">
              <w:rPr>
                <w:rFonts w:ascii="Cambria" w:eastAsia="Times New Roman" w:hAnsi="Cambria" w:cs="Calibri"/>
                <w:lang w:val="it-IT"/>
              </w:rPr>
              <w:t>obavijestiti</w:t>
            </w:r>
            <w:proofErr w:type="spellEnd"/>
            <w:r w:rsidRPr="007B5EAE">
              <w:rPr>
                <w:rFonts w:ascii="Cambria" w:eastAsia="Times New Roman" w:hAnsi="Cambria" w:cs="Calibri"/>
                <w:lang w:val="it-IT"/>
              </w:rPr>
              <w:t xml:space="preserve"> studente i </w:t>
            </w:r>
            <w:proofErr w:type="spellStart"/>
            <w:r w:rsidRPr="007B5EAE">
              <w:rPr>
                <w:rFonts w:ascii="Cambria" w:eastAsia="Times New Roman" w:hAnsi="Cambria" w:cs="Calibri"/>
                <w:lang w:val="it-IT"/>
              </w:rPr>
              <w:t>studentice</w:t>
            </w:r>
            <w:proofErr w:type="spellEnd"/>
            <w:r w:rsidRPr="007B5EAE">
              <w:rPr>
                <w:rFonts w:ascii="Cambria" w:eastAsia="Times New Roman" w:hAnsi="Cambria" w:cs="Calibri"/>
                <w:lang w:val="it-IT"/>
              </w:rPr>
              <w:t xml:space="preserve"> </w:t>
            </w:r>
            <w:proofErr w:type="spellStart"/>
            <w:r w:rsidRPr="007B5EAE">
              <w:rPr>
                <w:rFonts w:ascii="Cambria" w:eastAsia="Times New Roman" w:hAnsi="Cambria" w:cs="Calibri"/>
                <w:lang w:val="it-IT"/>
              </w:rPr>
              <w:t>kad</w:t>
            </w:r>
            <w:proofErr w:type="spellEnd"/>
            <w:r w:rsidRPr="007B5EAE">
              <w:rPr>
                <w:rFonts w:ascii="Cambria" w:eastAsia="Times New Roman" w:hAnsi="Cambria" w:cs="Calibri"/>
                <w:lang w:val="it-IT"/>
              </w:rPr>
              <w:t xml:space="preserve"> se </w:t>
            </w:r>
            <w:proofErr w:type="spellStart"/>
            <w:r w:rsidRPr="007B5EAE">
              <w:rPr>
                <w:rFonts w:ascii="Cambria" w:eastAsia="Times New Roman" w:hAnsi="Cambria" w:cs="Calibri"/>
                <w:lang w:val="it-IT"/>
              </w:rPr>
              <w:t>nastava</w:t>
            </w:r>
            <w:proofErr w:type="spellEnd"/>
            <w:r w:rsidRPr="007B5EAE">
              <w:rPr>
                <w:rFonts w:ascii="Cambria" w:eastAsia="Times New Roman" w:hAnsi="Cambria" w:cs="Calibri"/>
                <w:lang w:val="it-IT"/>
              </w:rPr>
              <w:t xml:space="preserve"> </w:t>
            </w:r>
            <w:proofErr w:type="spellStart"/>
            <w:r w:rsidRPr="007B5EAE">
              <w:rPr>
                <w:rFonts w:ascii="Cambria" w:eastAsia="Times New Roman" w:hAnsi="Cambria" w:cs="Calibri"/>
                <w:lang w:val="it-IT"/>
              </w:rPr>
              <w:t>na</w:t>
            </w:r>
            <w:proofErr w:type="spellEnd"/>
            <w:r w:rsidRPr="007B5EAE">
              <w:rPr>
                <w:rFonts w:ascii="Cambria" w:eastAsia="Times New Roman" w:hAnsi="Cambria" w:cs="Calibri"/>
                <w:lang w:val="it-IT"/>
              </w:rPr>
              <w:t xml:space="preserve"> </w:t>
            </w:r>
            <w:proofErr w:type="spellStart"/>
            <w:r w:rsidRPr="007B5EAE">
              <w:rPr>
                <w:rFonts w:ascii="Cambria" w:eastAsia="Times New Roman" w:hAnsi="Cambria" w:cs="Calibri"/>
                <w:lang w:val="it-IT"/>
              </w:rPr>
              <w:t>daljinu</w:t>
            </w:r>
            <w:proofErr w:type="spellEnd"/>
            <w:r w:rsidRPr="007B5EAE">
              <w:rPr>
                <w:rFonts w:ascii="Cambria" w:eastAsia="Times New Roman" w:hAnsi="Cambria" w:cs="Calibri"/>
                <w:lang w:val="it-IT"/>
              </w:rPr>
              <w:t xml:space="preserve"> </w:t>
            </w:r>
            <w:proofErr w:type="spellStart"/>
            <w:r w:rsidRPr="007B5EAE">
              <w:rPr>
                <w:rFonts w:ascii="Cambria" w:eastAsia="Times New Roman" w:hAnsi="Cambria" w:cs="Calibri"/>
                <w:lang w:val="it-IT"/>
              </w:rPr>
              <w:t>počne</w:t>
            </w:r>
            <w:proofErr w:type="spellEnd"/>
            <w:r w:rsidRPr="007B5EAE">
              <w:rPr>
                <w:rFonts w:ascii="Cambria" w:eastAsia="Times New Roman" w:hAnsi="Cambria" w:cs="Calibri"/>
                <w:lang w:val="it-IT"/>
              </w:rPr>
              <w:t xml:space="preserve"> </w:t>
            </w:r>
            <w:proofErr w:type="spellStart"/>
            <w:r w:rsidRPr="007B5EAE">
              <w:rPr>
                <w:rFonts w:ascii="Cambria" w:eastAsia="Times New Roman" w:hAnsi="Cambria" w:cs="Calibri"/>
                <w:lang w:val="it-IT"/>
              </w:rPr>
              <w:t>održavati</w:t>
            </w:r>
            <w:proofErr w:type="spellEnd"/>
            <w:r w:rsidRPr="007B5EAE">
              <w:rPr>
                <w:rFonts w:ascii="Cambria" w:eastAsia="Times New Roman" w:hAnsi="Cambria" w:cs="Calibri"/>
                <w:lang w:val="it-IT"/>
              </w:rPr>
              <w:t xml:space="preserve">. </w:t>
            </w:r>
            <w:proofErr w:type="spellStart"/>
            <w:r w:rsidRPr="00C034A7">
              <w:rPr>
                <w:rFonts w:ascii="Cambria" w:eastAsia="Times New Roman" w:hAnsi="Cambria" w:cs="Calibri"/>
                <w:lang w:val="it-IT"/>
              </w:rPr>
              <w:t>Ishodi</w:t>
            </w:r>
            <w:proofErr w:type="spellEnd"/>
            <w:r w:rsidRPr="00C034A7">
              <w:rPr>
                <w:rFonts w:ascii="Cambria" w:eastAsia="Times New Roman" w:hAnsi="Cambria" w:cs="Calibri"/>
                <w:lang w:val="it-IT"/>
              </w:rPr>
              <w:t xml:space="preserve"> </w:t>
            </w:r>
            <w:proofErr w:type="spellStart"/>
            <w:r w:rsidRPr="00C034A7">
              <w:rPr>
                <w:rFonts w:ascii="Cambria" w:eastAsia="Times New Roman" w:hAnsi="Cambria" w:cs="Calibri"/>
                <w:lang w:val="it-IT"/>
              </w:rPr>
              <w:t>učenja</w:t>
            </w:r>
            <w:proofErr w:type="spellEnd"/>
            <w:r w:rsidRPr="00C034A7">
              <w:rPr>
                <w:rFonts w:ascii="Cambria" w:eastAsia="Times New Roman" w:hAnsi="Cambria" w:cs="Calibri"/>
                <w:lang w:val="it-IT"/>
              </w:rPr>
              <w:t xml:space="preserve"> </w:t>
            </w:r>
            <w:proofErr w:type="spellStart"/>
            <w:r w:rsidRPr="00C034A7">
              <w:rPr>
                <w:rFonts w:ascii="Cambria" w:eastAsia="Times New Roman" w:hAnsi="Cambria" w:cs="Calibri"/>
                <w:lang w:val="it-IT"/>
              </w:rPr>
              <w:t>ostaju</w:t>
            </w:r>
            <w:proofErr w:type="spellEnd"/>
            <w:r w:rsidRPr="00C034A7">
              <w:rPr>
                <w:rFonts w:ascii="Cambria" w:eastAsia="Times New Roman" w:hAnsi="Cambria" w:cs="Calibri"/>
                <w:lang w:val="it-IT"/>
              </w:rPr>
              <w:t xml:space="preserve"> </w:t>
            </w:r>
            <w:proofErr w:type="spellStart"/>
            <w:r w:rsidRPr="00C034A7">
              <w:rPr>
                <w:rFonts w:ascii="Cambria" w:eastAsia="Times New Roman" w:hAnsi="Cambria" w:cs="Calibri"/>
                <w:lang w:val="it-IT"/>
              </w:rPr>
              <w:t>nepromijenjeni</w:t>
            </w:r>
            <w:proofErr w:type="spellEnd"/>
            <w:r w:rsidRPr="00C034A7">
              <w:rPr>
                <w:rFonts w:ascii="Cambria" w:eastAsia="Times New Roman" w:hAnsi="Cambria" w:cs="Calibri"/>
                <w:lang w:val="it-IT"/>
              </w:rPr>
              <w:t>.</w:t>
            </w:r>
          </w:p>
        </w:tc>
      </w:tr>
      <w:tr w:rsidR="00FC4004" w:rsidRPr="00C034A7" w14:paraId="6FD686C1" w14:textId="77777777" w:rsidTr="00050905">
        <w:trPr>
          <w:trHeight w:val="4161"/>
        </w:trPr>
        <w:tc>
          <w:tcPr>
            <w:tcW w:w="282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745C00D" w14:textId="77777777" w:rsidR="00FC4004" w:rsidRPr="000E50AE" w:rsidRDefault="00FC4004" w:rsidP="000F1A10">
            <w:pPr>
              <w:spacing w:after="0" w:line="240" w:lineRule="auto"/>
              <w:jc w:val="both"/>
              <w:rPr>
                <w:rFonts w:ascii="Cambria" w:eastAsia="Times New Roman" w:hAnsi="Cambria" w:cs="Calibri"/>
              </w:rPr>
            </w:pPr>
            <w:proofErr w:type="spellStart"/>
            <w:r w:rsidRPr="000E50AE">
              <w:rPr>
                <w:rFonts w:ascii="Cambria" w:eastAsia="Times New Roman" w:hAnsi="Cambria" w:cs="Calibri"/>
              </w:rPr>
              <w:lastRenderedPageBreak/>
              <w:t>Literatura</w:t>
            </w:r>
            <w:proofErr w:type="spellEnd"/>
          </w:p>
        </w:tc>
        <w:tc>
          <w:tcPr>
            <w:tcW w:w="7232"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59E57BED" w14:textId="77777777" w:rsidR="00FC4004" w:rsidRPr="00B30379" w:rsidRDefault="00FC4004" w:rsidP="000F1A10">
            <w:pPr>
              <w:tabs>
                <w:tab w:val="left" w:pos="479"/>
              </w:tabs>
              <w:spacing w:after="0" w:line="240" w:lineRule="auto"/>
              <w:ind w:left="54" w:hanging="54"/>
              <w:jc w:val="both"/>
              <w:rPr>
                <w:rFonts w:ascii="Cambria" w:eastAsia="Times New Roman" w:hAnsi="Cambria" w:cs="Calibri"/>
                <w:bCs/>
                <w:lang w:val="it-IT"/>
              </w:rPr>
            </w:pPr>
            <w:proofErr w:type="spellStart"/>
            <w:r w:rsidRPr="00B30379">
              <w:rPr>
                <w:rFonts w:ascii="Cambria" w:eastAsia="Times New Roman" w:hAnsi="Cambria" w:cs="Calibri"/>
                <w:bCs/>
                <w:lang w:val="it-IT"/>
              </w:rPr>
              <w:t>Obvezna</w:t>
            </w:r>
            <w:proofErr w:type="spellEnd"/>
            <w:r w:rsidRPr="00B30379">
              <w:rPr>
                <w:rFonts w:ascii="Cambria" w:eastAsia="Times New Roman" w:hAnsi="Cambria" w:cs="Calibri"/>
                <w:bCs/>
                <w:lang w:val="it-IT"/>
              </w:rPr>
              <w:t>:</w:t>
            </w:r>
          </w:p>
          <w:p w14:paraId="53D01EB2" w14:textId="77777777" w:rsidR="00FC4004" w:rsidRPr="00C034A7" w:rsidRDefault="00FC4004" w:rsidP="000F1A10">
            <w:pPr>
              <w:tabs>
                <w:tab w:val="left" w:pos="479"/>
              </w:tabs>
              <w:spacing w:after="0" w:line="240" w:lineRule="auto"/>
              <w:ind w:left="54"/>
              <w:jc w:val="both"/>
              <w:rPr>
                <w:rFonts w:ascii="Cambria" w:eastAsia="Times New Roman" w:hAnsi="Cambria" w:cs="Calibri"/>
                <w:lang w:val="it-IT"/>
              </w:rPr>
            </w:pPr>
            <w:r>
              <w:rPr>
                <w:rFonts w:ascii="Cambria" w:eastAsia="Times New Roman" w:hAnsi="Cambria" w:cs="Calibri"/>
                <w:lang w:val="it-IT"/>
              </w:rPr>
              <w:t xml:space="preserve">1. </w:t>
            </w:r>
            <w:proofErr w:type="spellStart"/>
            <w:r w:rsidRPr="007B5EAE">
              <w:rPr>
                <w:rFonts w:ascii="Cambria" w:eastAsia="Times New Roman" w:hAnsi="Cambria" w:cs="Calibri"/>
                <w:lang w:val="it-IT"/>
              </w:rPr>
              <w:t>Findak</w:t>
            </w:r>
            <w:proofErr w:type="spellEnd"/>
            <w:r w:rsidRPr="007B5EAE">
              <w:rPr>
                <w:rFonts w:ascii="Cambria" w:eastAsia="Times New Roman" w:hAnsi="Cambria" w:cs="Calibri"/>
                <w:lang w:val="it-IT"/>
              </w:rPr>
              <w:t xml:space="preserve">, V. (2003). </w:t>
            </w:r>
            <w:proofErr w:type="spellStart"/>
            <w:r w:rsidRPr="007B5EAE">
              <w:rPr>
                <w:rFonts w:ascii="Cambria" w:eastAsia="Times New Roman" w:hAnsi="Cambria" w:cs="Calibri"/>
                <w:i/>
                <w:iCs/>
                <w:lang w:val="it-IT"/>
              </w:rPr>
              <w:t>Metodika</w:t>
            </w:r>
            <w:proofErr w:type="spellEnd"/>
            <w:r w:rsidRPr="007B5EAE">
              <w:rPr>
                <w:rFonts w:ascii="Cambria" w:eastAsia="Times New Roman" w:hAnsi="Cambria" w:cs="Calibri"/>
                <w:i/>
                <w:iCs/>
                <w:lang w:val="it-IT"/>
              </w:rPr>
              <w:t xml:space="preserve"> </w:t>
            </w:r>
            <w:proofErr w:type="spellStart"/>
            <w:r w:rsidRPr="007B5EAE">
              <w:rPr>
                <w:rFonts w:ascii="Cambria" w:eastAsia="Times New Roman" w:hAnsi="Cambria" w:cs="Calibri"/>
                <w:i/>
                <w:iCs/>
                <w:lang w:val="it-IT"/>
              </w:rPr>
              <w:t>tjelesne</w:t>
            </w:r>
            <w:proofErr w:type="spellEnd"/>
            <w:r w:rsidRPr="007B5EAE">
              <w:rPr>
                <w:rFonts w:ascii="Cambria" w:eastAsia="Times New Roman" w:hAnsi="Cambria" w:cs="Calibri"/>
                <w:i/>
                <w:iCs/>
                <w:lang w:val="it-IT"/>
              </w:rPr>
              <w:t xml:space="preserve"> i </w:t>
            </w:r>
            <w:proofErr w:type="spellStart"/>
            <w:r w:rsidRPr="007B5EAE">
              <w:rPr>
                <w:rFonts w:ascii="Cambria" w:eastAsia="Times New Roman" w:hAnsi="Cambria" w:cs="Calibri"/>
                <w:i/>
                <w:iCs/>
                <w:lang w:val="it-IT"/>
              </w:rPr>
              <w:t>zdravstvene</w:t>
            </w:r>
            <w:proofErr w:type="spellEnd"/>
            <w:r w:rsidRPr="007B5EAE">
              <w:rPr>
                <w:rFonts w:ascii="Cambria" w:eastAsia="Times New Roman" w:hAnsi="Cambria" w:cs="Calibri"/>
                <w:i/>
                <w:iCs/>
                <w:lang w:val="it-IT"/>
              </w:rPr>
              <w:t xml:space="preserve"> </w:t>
            </w:r>
            <w:proofErr w:type="spellStart"/>
            <w:r w:rsidRPr="007B5EAE">
              <w:rPr>
                <w:rFonts w:ascii="Cambria" w:eastAsia="Times New Roman" w:hAnsi="Cambria" w:cs="Calibri"/>
                <w:i/>
                <w:iCs/>
                <w:lang w:val="it-IT"/>
              </w:rPr>
              <w:t>kulture</w:t>
            </w:r>
            <w:proofErr w:type="spellEnd"/>
            <w:r w:rsidRPr="007B5EAE">
              <w:rPr>
                <w:rFonts w:ascii="Cambria" w:eastAsia="Times New Roman" w:hAnsi="Cambria" w:cs="Calibri"/>
                <w:lang w:val="it-IT"/>
              </w:rPr>
              <w:t xml:space="preserve">. </w:t>
            </w:r>
            <w:proofErr w:type="spellStart"/>
            <w:r w:rsidRPr="00C034A7">
              <w:rPr>
                <w:rFonts w:ascii="Cambria" w:eastAsia="Times New Roman" w:hAnsi="Cambria" w:cs="Calibri"/>
                <w:lang w:val="it-IT"/>
              </w:rPr>
              <w:t>Zagreb</w:t>
            </w:r>
            <w:proofErr w:type="spellEnd"/>
            <w:r w:rsidRPr="00C034A7">
              <w:rPr>
                <w:rFonts w:ascii="Cambria" w:eastAsia="Times New Roman" w:hAnsi="Cambria" w:cs="Calibri"/>
                <w:lang w:val="it-IT"/>
              </w:rPr>
              <w:t xml:space="preserve">: </w:t>
            </w:r>
            <w:proofErr w:type="spellStart"/>
            <w:r w:rsidRPr="00C034A7">
              <w:rPr>
                <w:rFonts w:ascii="Cambria" w:eastAsia="Times New Roman" w:hAnsi="Cambria" w:cs="Calibri"/>
                <w:lang w:val="it-IT"/>
              </w:rPr>
              <w:t>Školska</w:t>
            </w:r>
            <w:proofErr w:type="spellEnd"/>
            <w:r w:rsidRPr="00C034A7">
              <w:rPr>
                <w:rFonts w:ascii="Cambria" w:eastAsia="Times New Roman" w:hAnsi="Cambria" w:cs="Calibri"/>
                <w:lang w:val="it-IT"/>
              </w:rPr>
              <w:t xml:space="preserve"> </w:t>
            </w:r>
            <w:proofErr w:type="spellStart"/>
            <w:r w:rsidRPr="00C034A7">
              <w:rPr>
                <w:rFonts w:ascii="Cambria" w:eastAsia="Times New Roman" w:hAnsi="Cambria" w:cs="Calibri"/>
                <w:lang w:val="it-IT"/>
              </w:rPr>
              <w:t>knjiga</w:t>
            </w:r>
            <w:proofErr w:type="spellEnd"/>
            <w:r w:rsidRPr="00C034A7">
              <w:rPr>
                <w:rFonts w:ascii="Cambria" w:eastAsia="Times New Roman" w:hAnsi="Cambria" w:cs="Calibri"/>
                <w:lang w:val="it-IT"/>
              </w:rPr>
              <w:t>.</w:t>
            </w:r>
          </w:p>
          <w:p w14:paraId="72366635" w14:textId="77777777" w:rsidR="00FC4004" w:rsidRPr="00C034A7" w:rsidRDefault="00FC4004" w:rsidP="000F1A10">
            <w:pPr>
              <w:tabs>
                <w:tab w:val="left" w:pos="479"/>
              </w:tabs>
              <w:spacing w:after="0" w:line="240" w:lineRule="auto"/>
              <w:ind w:left="54"/>
              <w:jc w:val="both"/>
              <w:rPr>
                <w:rFonts w:ascii="Cambria" w:eastAsia="Times New Roman" w:hAnsi="Cambria" w:cs="Calibri"/>
                <w:lang w:val="it-IT"/>
              </w:rPr>
            </w:pPr>
            <w:r>
              <w:rPr>
                <w:rFonts w:ascii="Cambria" w:eastAsia="Times New Roman" w:hAnsi="Cambria" w:cs="Calibri"/>
                <w:lang w:val="it-IT"/>
              </w:rPr>
              <w:t xml:space="preserve">2. </w:t>
            </w:r>
            <w:proofErr w:type="spellStart"/>
            <w:r w:rsidRPr="007B5EAE">
              <w:rPr>
                <w:rFonts w:ascii="Cambria" w:eastAsia="Times New Roman" w:hAnsi="Cambria" w:cs="Calibri"/>
                <w:lang w:val="it-IT"/>
              </w:rPr>
              <w:t>Neljak</w:t>
            </w:r>
            <w:proofErr w:type="spellEnd"/>
            <w:r w:rsidRPr="007B5EAE">
              <w:rPr>
                <w:rFonts w:ascii="Cambria" w:eastAsia="Times New Roman" w:hAnsi="Cambria" w:cs="Calibri"/>
                <w:lang w:val="it-IT"/>
              </w:rPr>
              <w:t xml:space="preserve">, B. (2011). </w:t>
            </w:r>
            <w:proofErr w:type="spellStart"/>
            <w:r w:rsidRPr="007B5EAE">
              <w:rPr>
                <w:rFonts w:ascii="Cambria" w:eastAsia="Times New Roman" w:hAnsi="Cambria" w:cs="Calibri"/>
                <w:i/>
                <w:iCs/>
                <w:lang w:val="it-IT"/>
              </w:rPr>
              <w:t>Opća</w:t>
            </w:r>
            <w:proofErr w:type="spellEnd"/>
            <w:r w:rsidRPr="007B5EAE">
              <w:rPr>
                <w:rFonts w:ascii="Cambria" w:eastAsia="Times New Roman" w:hAnsi="Cambria" w:cs="Calibri"/>
                <w:i/>
                <w:iCs/>
                <w:lang w:val="it-IT"/>
              </w:rPr>
              <w:t xml:space="preserve"> </w:t>
            </w:r>
            <w:proofErr w:type="spellStart"/>
            <w:r w:rsidRPr="007B5EAE">
              <w:rPr>
                <w:rFonts w:ascii="Cambria" w:eastAsia="Times New Roman" w:hAnsi="Cambria" w:cs="Calibri"/>
                <w:i/>
                <w:iCs/>
                <w:lang w:val="it-IT"/>
              </w:rPr>
              <w:t>kineziološka</w:t>
            </w:r>
            <w:proofErr w:type="spellEnd"/>
            <w:r w:rsidRPr="007B5EAE">
              <w:rPr>
                <w:rFonts w:ascii="Cambria" w:eastAsia="Times New Roman" w:hAnsi="Cambria" w:cs="Calibri"/>
                <w:i/>
                <w:iCs/>
                <w:lang w:val="it-IT"/>
              </w:rPr>
              <w:t xml:space="preserve"> </w:t>
            </w:r>
            <w:proofErr w:type="spellStart"/>
            <w:r w:rsidRPr="007B5EAE">
              <w:rPr>
                <w:rFonts w:ascii="Cambria" w:eastAsia="Times New Roman" w:hAnsi="Cambria" w:cs="Calibri"/>
                <w:i/>
                <w:iCs/>
                <w:lang w:val="it-IT"/>
              </w:rPr>
              <w:t>metodika</w:t>
            </w:r>
            <w:proofErr w:type="spellEnd"/>
            <w:r w:rsidRPr="007B5EAE">
              <w:rPr>
                <w:rFonts w:ascii="Cambria" w:eastAsia="Times New Roman" w:hAnsi="Cambria" w:cs="Calibri"/>
                <w:lang w:val="it-IT"/>
              </w:rPr>
              <w:t xml:space="preserve">. </w:t>
            </w:r>
            <w:proofErr w:type="spellStart"/>
            <w:r w:rsidRPr="00C034A7">
              <w:rPr>
                <w:rFonts w:ascii="Cambria" w:eastAsia="Times New Roman" w:hAnsi="Cambria" w:cs="Calibri"/>
                <w:lang w:val="it-IT"/>
              </w:rPr>
              <w:t>Zagreb</w:t>
            </w:r>
            <w:proofErr w:type="spellEnd"/>
            <w:r w:rsidRPr="00C034A7">
              <w:rPr>
                <w:rFonts w:ascii="Cambria" w:eastAsia="Times New Roman" w:hAnsi="Cambria" w:cs="Calibri"/>
                <w:lang w:val="it-IT"/>
              </w:rPr>
              <w:t xml:space="preserve">: </w:t>
            </w:r>
            <w:proofErr w:type="spellStart"/>
            <w:r w:rsidRPr="00C034A7">
              <w:rPr>
                <w:rFonts w:ascii="Cambria" w:eastAsia="Times New Roman" w:hAnsi="Cambria" w:cs="Calibri"/>
                <w:lang w:val="it-IT"/>
              </w:rPr>
              <w:t>Kineziološki</w:t>
            </w:r>
            <w:proofErr w:type="spellEnd"/>
            <w:r w:rsidRPr="00C034A7">
              <w:rPr>
                <w:rFonts w:ascii="Cambria" w:eastAsia="Times New Roman" w:hAnsi="Cambria" w:cs="Calibri"/>
                <w:lang w:val="it-IT"/>
              </w:rPr>
              <w:t xml:space="preserve"> </w:t>
            </w:r>
            <w:proofErr w:type="spellStart"/>
            <w:r w:rsidRPr="00C034A7">
              <w:rPr>
                <w:rFonts w:ascii="Cambria" w:eastAsia="Times New Roman" w:hAnsi="Cambria" w:cs="Calibri"/>
                <w:lang w:val="it-IT"/>
              </w:rPr>
              <w:t>fakultet</w:t>
            </w:r>
            <w:proofErr w:type="spellEnd"/>
            <w:r w:rsidRPr="00C034A7">
              <w:rPr>
                <w:rFonts w:ascii="Cambria" w:eastAsia="Times New Roman" w:hAnsi="Cambria" w:cs="Calibri"/>
                <w:lang w:val="it-IT"/>
              </w:rPr>
              <w:t>.</w:t>
            </w:r>
          </w:p>
          <w:p w14:paraId="2BFBED66" w14:textId="77777777" w:rsidR="00FC4004" w:rsidRPr="00B30379" w:rsidRDefault="00FC4004" w:rsidP="000F1A10">
            <w:pPr>
              <w:tabs>
                <w:tab w:val="left" w:pos="479"/>
              </w:tabs>
              <w:spacing w:after="0" w:line="240" w:lineRule="auto"/>
              <w:ind w:left="54"/>
              <w:jc w:val="both"/>
              <w:rPr>
                <w:rFonts w:ascii="Cambria" w:eastAsia="Times New Roman" w:hAnsi="Cambria" w:cs="Calibri"/>
                <w:lang w:val="it-IT"/>
              </w:rPr>
            </w:pPr>
            <w:r w:rsidRPr="00C034A7">
              <w:rPr>
                <w:rFonts w:ascii="Cambria" w:eastAsia="Times New Roman" w:hAnsi="Cambria" w:cs="Calibri"/>
                <w:lang w:val="it-IT"/>
              </w:rPr>
              <w:t xml:space="preserve">3. </w:t>
            </w:r>
            <w:proofErr w:type="spellStart"/>
            <w:r w:rsidRPr="00C034A7">
              <w:rPr>
                <w:rFonts w:ascii="Cambria" w:eastAsia="Times New Roman" w:hAnsi="Cambria" w:cs="Calibri"/>
                <w:lang w:val="it-IT"/>
              </w:rPr>
              <w:t>Neljak</w:t>
            </w:r>
            <w:proofErr w:type="spellEnd"/>
            <w:r w:rsidRPr="00C034A7">
              <w:rPr>
                <w:rFonts w:ascii="Cambria" w:eastAsia="Times New Roman" w:hAnsi="Cambria" w:cs="Calibri"/>
                <w:lang w:val="it-IT"/>
              </w:rPr>
              <w:t xml:space="preserve">, B. (2011). </w:t>
            </w:r>
            <w:proofErr w:type="spellStart"/>
            <w:r w:rsidRPr="00B30379">
              <w:rPr>
                <w:rFonts w:ascii="Cambria" w:eastAsia="Times New Roman" w:hAnsi="Cambria" w:cs="Calibri"/>
                <w:i/>
                <w:iCs/>
                <w:lang w:val="it-IT"/>
              </w:rPr>
              <w:t>Kineziološka</w:t>
            </w:r>
            <w:proofErr w:type="spellEnd"/>
            <w:r w:rsidRPr="00B30379">
              <w:rPr>
                <w:rFonts w:ascii="Cambria" w:eastAsia="Times New Roman" w:hAnsi="Cambria" w:cs="Calibri"/>
                <w:i/>
                <w:iCs/>
                <w:lang w:val="it-IT"/>
              </w:rPr>
              <w:t xml:space="preserve"> </w:t>
            </w:r>
            <w:proofErr w:type="spellStart"/>
            <w:r w:rsidRPr="00B30379">
              <w:rPr>
                <w:rFonts w:ascii="Cambria" w:eastAsia="Times New Roman" w:hAnsi="Cambria" w:cs="Calibri"/>
                <w:i/>
                <w:iCs/>
                <w:lang w:val="it-IT"/>
              </w:rPr>
              <w:t>metodika</w:t>
            </w:r>
            <w:proofErr w:type="spellEnd"/>
            <w:r w:rsidRPr="00B30379">
              <w:rPr>
                <w:rFonts w:ascii="Cambria" w:eastAsia="Times New Roman" w:hAnsi="Cambria" w:cs="Calibri"/>
                <w:i/>
                <w:iCs/>
                <w:lang w:val="it-IT"/>
              </w:rPr>
              <w:t xml:space="preserve"> u </w:t>
            </w:r>
            <w:proofErr w:type="spellStart"/>
            <w:r w:rsidRPr="00B30379">
              <w:rPr>
                <w:rFonts w:ascii="Cambria" w:eastAsia="Times New Roman" w:hAnsi="Cambria" w:cs="Calibri"/>
                <w:i/>
                <w:iCs/>
                <w:lang w:val="it-IT"/>
              </w:rPr>
              <w:t>osnovnom</w:t>
            </w:r>
            <w:proofErr w:type="spellEnd"/>
            <w:r w:rsidRPr="00B30379">
              <w:rPr>
                <w:rFonts w:ascii="Cambria" w:eastAsia="Times New Roman" w:hAnsi="Cambria" w:cs="Calibri"/>
                <w:i/>
                <w:iCs/>
                <w:lang w:val="it-IT"/>
              </w:rPr>
              <w:t xml:space="preserve"> i </w:t>
            </w:r>
            <w:proofErr w:type="spellStart"/>
            <w:r w:rsidRPr="00B30379">
              <w:rPr>
                <w:rFonts w:ascii="Cambria" w:eastAsia="Times New Roman" w:hAnsi="Cambria" w:cs="Calibri"/>
                <w:i/>
                <w:iCs/>
                <w:lang w:val="it-IT"/>
              </w:rPr>
              <w:t>srednjem</w:t>
            </w:r>
            <w:proofErr w:type="spellEnd"/>
            <w:r w:rsidRPr="00B30379">
              <w:rPr>
                <w:rFonts w:ascii="Cambria" w:eastAsia="Times New Roman" w:hAnsi="Cambria" w:cs="Calibri"/>
                <w:i/>
                <w:iCs/>
                <w:lang w:val="it-IT"/>
              </w:rPr>
              <w:t xml:space="preserve"> </w:t>
            </w:r>
            <w:proofErr w:type="spellStart"/>
            <w:r w:rsidRPr="00B30379">
              <w:rPr>
                <w:rFonts w:ascii="Cambria" w:eastAsia="Times New Roman" w:hAnsi="Cambria" w:cs="Calibri"/>
                <w:i/>
                <w:iCs/>
                <w:lang w:val="it-IT"/>
              </w:rPr>
              <w:t>školstvu</w:t>
            </w:r>
            <w:proofErr w:type="spellEnd"/>
            <w:r w:rsidRPr="00B30379">
              <w:rPr>
                <w:rFonts w:ascii="Cambria" w:eastAsia="Times New Roman" w:hAnsi="Cambria" w:cs="Calibri"/>
                <w:lang w:val="it-IT"/>
              </w:rPr>
              <w:t xml:space="preserve">. </w:t>
            </w:r>
            <w:proofErr w:type="spellStart"/>
            <w:r w:rsidRPr="00B30379">
              <w:rPr>
                <w:rFonts w:ascii="Cambria" w:eastAsia="Times New Roman" w:hAnsi="Cambria" w:cs="Calibri"/>
                <w:lang w:val="it-IT"/>
              </w:rPr>
              <w:t>Zagreb</w:t>
            </w:r>
            <w:proofErr w:type="spellEnd"/>
            <w:r w:rsidRPr="00B30379">
              <w:rPr>
                <w:rFonts w:ascii="Cambria" w:eastAsia="Times New Roman" w:hAnsi="Cambria" w:cs="Calibri"/>
                <w:lang w:val="it-IT"/>
              </w:rPr>
              <w:t xml:space="preserve">: </w:t>
            </w:r>
            <w:proofErr w:type="spellStart"/>
            <w:r w:rsidRPr="00B30379">
              <w:rPr>
                <w:rFonts w:ascii="Cambria" w:eastAsia="Times New Roman" w:hAnsi="Cambria" w:cs="Calibri"/>
                <w:lang w:val="it-IT"/>
              </w:rPr>
              <w:t>Kineziološki</w:t>
            </w:r>
            <w:proofErr w:type="spellEnd"/>
            <w:r w:rsidRPr="00B30379">
              <w:rPr>
                <w:rFonts w:ascii="Cambria" w:eastAsia="Times New Roman" w:hAnsi="Cambria" w:cs="Calibri"/>
                <w:lang w:val="it-IT"/>
              </w:rPr>
              <w:t xml:space="preserve"> </w:t>
            </w:r>
            <w:proofErr w:type="spellStart"/>
            <w:r w:rsidRPr="00B30379">
              <w:rPr>
                <w:rFonts w:ascii="Cambria" w:eastAsia="Times New Roman" w:hAnsi="Cambria" w:cs="Calibri"/>
                <w:lang w:val="it-IT"/>
              </w:rPr>
              <w:t>fakultet</w:t>
            </w:r>
            <w:proofErr w:type="spellEnd"/>
            <w:r w:rsidRPr="00B30379">
              <w:rPr>
                <w:rFonts w:ascii="Cambria" w:eastAsia="Times New Roman" w:hAnsi="Cambria" w:cs="Calibri"/>
                <w:lang w:val="it-IT"/>
              </w:rPr>
              <w:t>.</w:t>
            </w:r>
          </w:p>
          <w:p w14:paraId="7ACF3C7D" w14:textId="77777777" w:rsidR="00FC4004" w:rsidRPr="00B30379" w:rsidRDefault="00FC4004" w:rsidP="000F1A10">
            <w:pPr>
              <w:tabs>
                <w:tab w:val="left" w:pos="479"/>
              </w:tabs>
              <w:spacing w:after="0" w:line="240" w:lineRule="auto"/>
              <w:ind w:left="54"/>
              <w:jc w:val="both"/>
              <w:rPr>
                <w:rFonts w:ascii="Cambria" w:eastAsia="Times New Roman" w:hAnsi="Cambria" w:cs="Calibri"/>
                <w:lang w:val="it-IT"/>
              </w:rPr>
            </w:pPr>
            <w:r w:rsidRPr="00B30379">
              <w:rPr>
                <w:rFonts w:ascii="Cambria" w:eastAsia="Times New Roman" w:hAnsi="Cambria" w:cs="Calibri"/>
                <w:lang w:val="it-IT"/>
              </w:rPr>
              <w:t xml:space="preserve">4. </w:t>
            </w:r>
            <w:proofErr w:type="spellStart"/>
            <w:r w:rsidRPr="00B30379">
              <w:rPr>
                <w:rFonts w:ascii="Cambria" w:eastAsia="Times New Roman" w:hAnsi="Cambria" w:cs="Calibri"/>
                <w:lang w:val="it-IT"/>
              </w:rPr>
              <w:t>Pejčić</w:t>
            </w:r>
            <w:proofErr w:type="spellEnd"/>
            <w:r w:rsidRPr="00B30379">
              <w:rPr>
                <w:rFonts w:ascii="Cambria" w:eastAsia="Times New Roman" w:hAnsi="Cambria" w:cs="Calibri"/>
                <w:lang w:val="it-IT"/>
              </w:rPr>
              <w:t xml:space="preserve">, A., &amp; Trajkovski, B. (2018). </w:t>
            </w:r>
            <w:proofErr w:type="spellStart"/>
            <w:r w:rsidRPr="00B30379">
              <w:rPr>
                <w:rFonts w:ascii="Cambria" w:eastAsia="Times New Roman" w:hAnsi="Cambria" w:cs="Calibri"/>
                <w:i/>
                <w:iCs/>
                <w:lang w:val="it-IT"/>
              </w:rPr>
              <w:t>Što</w:t>
            </w:r>
            <w:proofErr w:type="spellEnd"/>
            <w:r w:rsidRPr="00B30379">
              <w:rPr>
                <w:rFonts w:ascii="Cambria" w:eastAsia="Times New Roman" w:hAnsi="Cambria" w:cs="Calibri"/>
                <w:i/>
                <w:iCs/>
                <w:lang w:val="it-IT"/>
              </w:rPr>
              <w:t xml:space="preserve"> i </w:t>
            </w:r>
            <w:proofErr w:type="spellStart"/>
            <w:r w:rsidRPr="00B30379">
              <w:rPr>
                <w:rFonts w:ascii="Cambria" w:eastAsia="Times New Roman" w:hAnsi="Cambria" w:cs="Calibri"/>
                <w:i/>
                <w:iCs/>
                <w:lang w:val="it-IT"/>
              </w:rPr>
              <w:t>kako</w:t>
            </w:r>
            <w:proofErr w:type="spellEnd"/>
            <w:r w:rsidRPr="00B30379">
              <w:rPr>
                <w:rFonts w:ascii="Cambria" w:eastAsia="Times New Roman" w:hAnsi="Cambria" w:cs="Calibri"/>
                <w:i/>
                <w:iCs/>
                <w:lang w:val="it-IT"/>
              </w:rPr>
              <w:t xml:space="preserve"> </w:t>
            </w:r>
            <w:proofErr w:type="spellStart"/>
            <w:r w:rsidRPr="00B30379">
              <w:rPr>
                <w:rFonts w:ascii="Cambria" w:eastAsia="Times New Roman" w:hAnsi="Cambria" w:cs="Calibri"/>
                <w:i/>
                <w:iCs/>
                <w:lang w:val="it-IT"/>
              </w:rPr>
              <w:t>vježbati</w:t>
            </w:r>
            <w:proofErr w:type="spellEnd"/>
            <w:r w:rsidRPr="00B30379">
              <w:rPr>
                <w:rFonts w:ascii="Cambria" w:eastAsia="Times New Roman" w:hAnsi="Cambria" w:cs="Calibri"/>
                <w:i/>
                <w:iCs/>
                <w:lang w:val="it-IT"/>
              </w:rPr>
              <w:t xml:space="preserve"> s </w:t>
            </w:r>
            <w:proofErr w:type="spellStart"/>
            <w:r w:rsidRPr="00B30379">
              <w:rPr>
                <w:rFonts w:ascii="Cambria" w:eastAsia="Times New Roman" w:hAnsi="Cambria" w:cs="Calibri"/>
                <w:i/>
                <w:iCs/>
                <w:lang w:val="it-IT"/>
              </w:rPr>
              <w:t>djecom</w:t>
            </w:r>
            <w:proofErr w:type="spellEnd"/>
            <w:r w:rsidRPr="00B30379">
              <w:rPr>
                <w:rFonts w:ascii="Cambria" w:eastAsia="Times New Roman" w:hAnsi="Cambria" w:cs="Calibri"/>
                <w:i/>
                <w:iCs/>
                <w:lang w:val="it-IT"/>
              </w:rPr>
              <w:t xml:space="preserve"> u </w:t>
            </w:r>
            <w:proofErr w:type="spellStart"/>
            <w:r w:rsidRPr="00B30379">
              <w:rPr>
                <w:rFonts w:ascii="Cambria" w:eastAsia="Times New Roman" w:hAnsi="Cambria" w:cs="Calibri"/>
                <w:i/>
                <w:iCs/>
                <w:lang w:val="it-IT"/>
              </w:rPr>
              <w:t>vrtiću</w:t>
            </w:r>
            <w:proofErr w:type="spellEnd"/>
            <w:r w:rsidRPr="00B30379">
              <w:rPr>
                <w:rFonts w:ascii="Cambria" w:eastAsia="Times New Roman" w:hAnsi="Cambria" w:cs="Calibri"/>
                <w:i/>
                <w:iCs/>
                <w:lang w:val="it-IT"/>
              </w:rPr>
              <w:t xml:space="preserve"> i </w:t>
            </w:r>
            <w:proofErr w:type="spellStart"/>
            <w:r w:rsidRPr="00B30379">
              <w:rPr>
                <w:rFonts w:ascii="Cambria" w:eastAsia="Times New Roman" w:hAnsi="Cambria" w:cs="Calibri"/>
                <w:i/>
                <w:iCs/>
                <w:lang w:val="it-IT"/>
              </w:rPr>
              <w:t>školi</w:t>
            </w:r>
            <w:proofErr w:type="spellEnd"/>
            <w:r w:rsidRPr="00B30379">
              <w:rPr>
                <w:rFonts w:ascii="Cambria" w:eastAsia="Times New Roman" w:hAnsi="Cambria" w:cs="Calibri"/>
                <w:lang w:val="it-IT"/>
              </w:rPr>
              <w:t xml:space="preserve">. Rijeka: </w:t>
            </w:r>
            <w:proofErr w:type="spellStart"/>
            <w:r w:rsidRPr="00B30379">
              <w:rPr>
                <w:rFonts w:ascii="Cambria" w:eastAsia="Times New Roman" w:hAnsi="Cambria" w:cs="Calibri"/>
                <w:lang w:val="it-IT"/>
              </w:rPr>
              <w:t>Učiteljski</w:t>
            </w:r>
            <w:proofErr w:type="spellEnd"/>
            <w:r w:rsidRPr="00B30379">
              <w:rPr>
                <w:rFonts w:ascii="Cambria" w:eastAsia="Times New Roman" w:hAnsi="Cambria" w:cs="Calibri"/>
                <w:lang w:val="it-IT"/>
              </w:rPr>
              <w:t xml:space="preserve"> </w:t>
            </w:r>
            <w:proofErr w:type="spellStart"/>
            <w:r w:rsidRPr="00B30379">
              <w:rPr>
                <w:rFonts w:ascii="Cambria" w:eastAsia="Times New Roman" w:hAnsi="Cambria" w:cs="Calibri"/>
                <w:lang w:val="it-IT"/>
              </w:rPr>
              <w:t>fakultet</w:t>
            </w:r>
            <w:proofErr w:type="spellEnd"/>
            <w:r w:rsidRPr="00B30379">
              <w:rPr>
                <w:rFonts w:ascii="Cambria" w:eastAsia="Times New Roman" w:hAnsi="Cambria" w:cs="Calibri"/>
                <w:lang w:val="it-IT"/>
              </w:rPr>
              <w:t xml:space="preserve"> </w:t>
            </w:r>
            <w:proofErr w:type="spellStart"/>
            <w:r w:rsidRPr="00B30379">
              <w:rPr>
                <w:rFonts w:ascii="Cambria" w:eastAsia="Times New Roman" w:hAnsi="Cambria" w:cs="Calibri"/>
                <w:lang w:val="it-IT"/>
              </w:rPr>
              <w:t>Sveučilišta</w:t>
            </w:r>
            <w:proofErr w:type="spellEnd"/>
            <w:r w:rsidRPr="00B30379">
              <w:rPr>
                <w:rFonts w:ascii="Cambria" w:eastAsia="Times New Roman" w:hAnsi="Cambria" w:cs="Calibri"/>
                <w:lang w:val="it-IT"/>
              </w:rPr>
              <w:t xml:space="preserve"> u </w:t>
            </w:r>
            <w:proofErr w:type="spellStart"/>
            <w:r w:rsidRPr="00B30379">
              <w:rPr>
                <w:rFonts w:ascii="Cambria" w:eastAsia="Times New Roman" w:hAnsi="Cambria" w:cs="Calibri"/>
                <w:lang w:val="it-IT"/>
              </w:rPr>
              <w:t>Rijeci</w:t>
            </w:r>
            <w:proofErr w:type="spellEnd"/>
            <w:r w:rsidRPr="00B30379">
              <w:rPr>
                <w:rFonts w:ascii="Cambria" w:eastAsia="Times New Roman" w:hAnsi="Cambria" w:cs="Calibri"/>
                <w:lang w:val="it-IT"/>
              </w:rPr>
              <w:t>.</w:t>
            </w:r>
          </w:p>
          <w:p w14:paraId="7B5090D3" w14:textId="77777777" w:rsidR="00FC4004" w:rsidRPr="00B30379" w:rsidRDefault="00FC4004" w:rsidP="000F1A10">
            <w:pPr>
              <w:tabs>
                <w:tab w:val="left" w:pos="479"/>
              </w:tabs>
              <w:spacing w:after="0" w:line="240" w:lineRule="auto"/>
              <w:ind w:left="54" w:hanging="54"/>
              <w:jc w:val="both"/>
              <w:rPr>
                <w:rFonts w:ascii="Cambria" w:eastAsia="Times New Roman" w:hAnsi="Cambria" w:cs="Calibri"/>
                <w:bCs/>
                <w:lang w:val="it-IT"/>
              </w:rPr>
            </w:pPr>
            <w:proofErr w:type="spellStart"/>
            <w:r w:rsidRPr="00B30379">
              <w:rPr>
                <w:rFonts w:ascii="Cambria" w:eastAsia="Times New Roman" w:hAnsi="Cambria" w:cs="Calibri"/>
                <w:bCs/>
                <w:lang w:val="it-IT"/>
              </w:rPr>
              <w:t>Izborna</w:t>
            </w:r>
            <w:proofErr w:type="spellEnd"/>
            <w:r w:rsidRPr="00B30379">
              <w:rPr>
                <w:rFonts w:ascii="Cambria" w:eastAsia="Times New Roman" w:hAnsi="Cambria" w:cs="Calibri"/>
                <w:bCs/>
                <w:lang w:val="it-IT"/>
              </w:rPr>
              <w:t>:</w:t>
            </w:r>
          </w:p>
          <w:p w14:paraId="5CD0F3F3" w14:textId="77777777" w:rsidR="00FC4004" w:rsidRPr="00B30379" w:rsidRDefault="00FC4004" w:rsidP="000F1A10">
            <w:pPr>
              <w:tabs>
                <w:tab w:val="left" w:pos="479"/>
              </w:tabs>
              <w:spacing w:after="0" w:line="240" w:lineRule="auto"/>
              <w:ind w:left="54"/>
              <w:jc w:val="both"/>
              <w:rPr>
                <w:rFonts w:ascii="Cambria" w:eastAsia="Times New Roman" w:hAnsi="Cambria" w:cs="Calibri"/>
                <w:lang w:val="it-IT"/>
              </w:rPr>
            </w:pPr>
            <w:r w:rsidRPr="00B30379">
              <w:rPr>
                <w:rFonts w:ascii="Cambria" w:eastAsia="Times New Roman" w:hAnsi="Cambria" w:cs="Calibri"/>
                <w:lang w:val="it-IT"/>
              </w:rPr>
              <w:t xml:space="preserve">1. </w:t>
            </w:r>
            <w:proofErr w:type="spellStart"/>
            <w:r w:rsidRPr="00B30379">
              <w:rPr>
                <w:rFonts w:ascii="Cambria" w:eastAsia="Times New Roman" w:hAnsi="Cambria" w:cs="Calibri"/>
                <w:lang w:val="it-IT"/>
              </w:rPr>
              <w:t>Mišigoj-Duraković</w:t>
            </w:r>
            <w:proofErr w:type="spellEnd"/>
            <w:r w:rsidRPr="00B30379">
              <w:rPr>
                <w:rFonts w:ascii="Cambria" w:eastAsia="Times New Roman" w:hAnsi="Cambria" w:cs="Calibri"/>
                <w:lang w:val="it-IT"/>
              </w:rPr>
              <w:t xml:space="preserve">, M. (2008). </w:t>
            </w:r>
            <w:proofErr w:type="spellStart"/>
            <w:r w:rsidRPr="00B30379">
              <w:rPr>
                <w:rFonts w:ascii="Cambria" w:eastAsia="Times New Roman" w:hAnsi="Cambria" w:cs="Calibri"/>
                <w:i/>
                <w:iCs/>
                <w:lang w:val="it-IT"/>
              </w:rPr>
              <w:t>Kinantropologija</w:t>
            </w:r>
            <w:proofErr w:type="spellEnd"/>
            <w:r w:rsidRPr="00B30379">
              <w:rPr>
                <w:rFonts w:ascii="Cambria" w:eastAsia="Times New Roman" w:hAnsi="Cambria" w:cs="Calibri"/>
                <w:i/>
                <w:iCs/>
                <w:lang w:val="it-IT"/>
              </w:rPr>
              <w:t xml:space="preserve">: </w:t>
            </w:r>
            <w:proofErr w:type="spellStart"/>
            <w:r w:rsidRPr="00B30379">
              <w:rPr>
                <w:rFonts w:ascii="Cambria" w:eastAsia="Times New Roman" w:hAnsi="Cambria" w:cs="Calibri"/>
                <w:i/>
                <w:iCs/>
                <w:lang w:val="it-IT"/>
              </w:rPr>
              <w:t>Biološki</w:t>
            </w:r>
            <w:proofErr w:type="spellEnd"/>
            <w:r w:rsidRPr="00B30379">
              <w:rPr>
                <w:rFonts w:ascii="Cambria" w:eastAsia="Times New Roman" w:hAnsi="Cambria" w:cs="Calibri"/>
                <w:i/>
                <w:iCs/>
                <w:lang w:val="it-IT"/>
              </w:rPr>
              <w:t xml:space="preserve"> </w:t>
            </w:r>
            <w:proofErr w:type="spellStart"/>
            <w:r w:rsidRPr="00B30379">
              <w:rPr>
                <w:rFonts w:ascii="Cambria" w:eastAsia="Times New Roman" w:hAnsi="Cambria" w:cs="Calibri"/>
                <w:i/>
                <w:iCs/>
                <w:lang w:val="it-IT"/>
              </w:rPr>
              <w:t>aspekti</w:t>
            </w:r>
            <w:proofErr w:type="spellEnd"/>
            <w:r w:rsidRPr="00B30379">
              <w:rPr>
                <w:rFonts w:ascii="Cambria" w:eastAsia="Times New Roman" w:hAnsi="Cambria" w:cs="Calibri"/>
                <w:i/>
                <w:iCs/>
                <w:lang w:val="it-IT"/>
              </w:rPr>
              <w:t xml:space="preserve"> </w:t>
            </w:r>
            <w:proofErr w:type="spellStart"/>
            <w:r w:rsidRPr="00B30379">
              <w:rPr>
                <w:rFonts w:ascii="Cambria" w:eastAsia="Times New Roman" w:hAnsi="Cambria" w:cs="Calibri"/>
                <w:i/>
                <w:iCs/>
                <w:lang w:val="it-IT"/>
              </w:rPr>
              <w:t>tjelesnog</w:t>
            </w:r>
            <w:proofErr w:type="spellEnd"/>
            <w:r w:rsidRPr="00B30379">
              <w:rPr>
                <w:rFonts w:ascii="Cambria" w:eastAsia="Times New Roman" w:hAnsi="Cambria" w:cs="Calibri"/>
                <w:i/>
                <w:iCs/>
                <w:lang w:val="it-IT"/>
              </w:rPr>
              <w:t xml:space="preserve"> </w:t>
            </w:r>
            <w:proofErr w:type="spellStart"/>
            <w:r w:rsidRPr="00B30379">
              <w:rPr>
                <w:rFonts w:ascii="Cambria" w:eastAsia="Times New Roman" w:hAnsi="Cambria" w:cs="Calibri"/>
                <w:i/>
                <w:iCs/>
                <w:lang w:val="it-IT"/>
              </w:rPr>
              <w:t>vježbanja</w:t>
            </w:r>
            <w:proofErr w:type="spellEnd"/>
            <w:r w:rsidRPr="00B30379">
              <w:rPr>
                <w:rFonts w:ascii="Cambria" w:eastAsia="Times New Roman" w:hAnsi="Cambria" w:cs="Calibri"/>
                <w:lang w:val="it-IT"/>
              </w:rPr>
              <w:t xml:space="preserve">. </w:t>
            </w:r>
            <w:proofErr w:type="spellStart"/>
            <w:r w:rsidRPr="00B30379">
              <w:rPr>
                <w:rFonts w:ascii="Cambria" w:eastAsia="Times New Roman" w:hAnsi="Cambria" w:cs="Calibri"/>
                <w:lang w:val="it-IT"/>
              </w:rPr>
              <w:t>Zagreb</w:t>
            </w:r>
            <w:proofErr w:type="spellEnd"/>
            <w:r w:rsidRPr="00B30379">
              <w:rPr>
                <w:rFonts w:ascii="Cambria" w:eastAsia="Times New Roman" w:hAnsi="Cambria" w:cs="Calibri"/>
                <w:lang w:val="it-IT"/>
              </w:rPr>
              <w:t xml:space="preserve">: </w:t>
            </w:r>
            <w:proofErr w:type="spellStart"/>
            <w:r w:rsidRPr="00B30379">
              <w:rPr>
                <w:rFonts w:ascii="Cambria" w:eastAsia="Times New Roman" w:hAnsi="Cambria" w:cs="Calibri"/>
                <w:lang w:val="it-IT"/>
              </w:rPr>
              <w:t>Kineziološki</w:t>
            </w:r>
            <w:proofErr w:type="spellEnd"/>
            <w:r w:rsidRPr="00B30379">
              <w:rPr>
                <w:rFonts w:ascii="Cambria" w:eastAsia="Times New Roman" w:hAnsi="Cambria" w:cs="Calibri"/>
                <w:lang w:val="it-IT"/>
              </w:rPr>
              <w:t xml:space="preserve"> </w:t>
            </w:r>
            <w:proofErr w:type="spellStart"/>
            <w:r w:rsidRPr="00B30379">
              <w:rPr>
                <w:rFonts w:ascii="Cambria" w:eastAsia="Times New Roman" w:hAnsi="Cambria" w:cs="Calibri"/>
                <w:lang w:val="it-IT"/>
              </w:rPr>
              <w:t>fakultet</w:t>
            </w:r>
            <w:proofErr w:type="spellEnd"/>
            <w:r w:rsidRPr="00B30379">
              <w:rPr>
                <w:rFonts w:ascii="Cambria" w:eastAsia="Times New Roman" w:hAnsi="Cambria" w:cs="Calibri"/>
                <w:lang w:val="it-IT"/>
              </w:rPr>
              <w:t>.</w:t>
            </w:r>
          </w:p>
          <w:p w14:paraId="572B9083" w14:textId="77777777" w:rsidR="00FC4004" w:rsidRPr="00C034A7" w:rsidRDefault="00FC4004" w:rsidP="000F1A10">
            <w:pPr>
              <w:tabs>
                <w:tab w:val="left" w:pos="479"/>
              </w:tabs>
              <w:spacing w:after="0" w:line="240" w:lineRule="auto"/>
              <w:ind w:left="54"/>
              <w:jc w:val="both"/>
              <w:rPr>
                <w:rFonts w:ascii="Cambria" w:eastAsia="Times New Roman" w:hAnsi="Cambria" w:cs="Calibri"/>
                <w:lang w:val="it-IT"/>
              </w:rPr>
            </w:pPr>
            <w:r>
              <w:rPr>
                <w:rFonts w:ascii="Cambria" w:eastAsia="Times New Roman" w:hAnsi="Cambria" w:cs="Calibri"/>
                <w:lang w:val="it-IT"/>
              </w:rPr>
              <w:t xml:space="preserve">2. </w:t>
            </w:r>
            <w:proofErr w:type="spellStart"/>
            <w:r w:rsidRPr="007B5EAE">
              <w:rPr>
                <w:rFonts w:ascii="Cambria" w:eastAsia="Times New Roman" w:hAnsi="Cambria" w:cs="Calibri"/>
                <w:lang w:val="it-IT"/>
              </w:rPr>
              <w:t>Mišigoj-Duraković</w:t>
            </w:r>
            <w:proofErr w:type="spellEnd"/>
            <w:r w:rsidRPr="007B5EAE">
              <w:rPr>
                <w:rFonts w:ascii="Cambria" w:eastAsia="Times New Roman" w:hAnsi="Cambria" w:cs="Calibri"/>
                <w:lang w:val="it-IT"/>
              </w:rPr>
              <w:t xml:space="preserve">, M., i </w:t>
            </w:r>
            <w:proofErr w:type="spellStart"/>
            <w:r w:rsidRPr="007B5EAE">
              <w:rPr>
                <w:rFonts w:ascii="Cambria" w:eastAsia="Times New Roman" w:hAnsi="Cambria" w:cs="Calibri"/>
                <w:lang w:val="it-IT"/>
              </w:rPr>
              <w:t>suradnici</w:t>
            </w:r>
            <w:proofErr w:type="spellEnd"/>
            <w:r w:rsidRPr="007B5EAE">
              <w:rPr>
                <w:rFonts w:ascii="Cambria" w:eastAsia="Times New Roman" w:hAnsi="Cambria" w:cs="Calibri"/>
                <w:lang w:val="it-IT"/>
              </w:rPr>
              <w:t xml:space="preserve">. (2018). </w:t>
            </w:r>
            <w:proofErr w:type="spellStart"/>
            <w:r w:rsidRPr="007B5EAE">
              <w:rPr>
                <w:rFonts w:ascii="Cambria" w:eastAsia="Times New Roman" w:hAnsi="Cambria" w:cs="Calibri"/>
                <w:i/>
                <w:iCs/>
                <w:lang w:val="it-IT"/>
              </w:rPr>
              <w:t>Tjelesno</w:t>
            </w:r>
            <w:proofErr w:type="spellEnd"/>
            <w:r w:rsidRPr="007B5EAE">
              <w:rPr>
                <w:rFonts w:ascii="Cambria" w:eastAsia="Times New Roman" w:hAnsi="Cambria" w:cs="Calibri"/>
                <w:i/>
                <w:iCs/>
                <w:lang w:val="it-IT"/>
              </w:rPr>
              <w:t xml:space="preserve"> </w:t>
            </w:r>
            <w:proofErr w:type="spellStart"/>
            <w:r w:rsidRPr="007B5EAE">
              <w:rPr>
                <w:rFonts w:ascii="Cambria" w:eastAsia="Times New Roman" w:hAnsi="Cambria" w:cs="Calibri"/>
                <w:i/>
                <w:iCs/>
                <w:lang w:val="it-IT"/>
              </w:rPr>
              <w:t>vježbanje</w:t>
            </w:r>
            <w:proofErr w:type="spellEnd"/>
            <w:r w:rsidRPr="007B5EAE">
              <w:rPr>
                <w:rFonts w:ascii="Cambria" w:eastAsia="Times New Roman" w:hAnsi="Cambria" w:cs="Calibri"/>
                <w:i/>
                <w:iCs/>
                <w:lang w:val="it-IT"/>
              </w:rPr>
              <w:t xml:space="preserve"> i </w:t>
            </w:r>
            <w:proofErr w:type="spellStart"/>
            <w:r w:rsidRPr="007B5EAE">
              <w:rPr>
                <w:rFonts w:ascii="Cambria" w:eastAsia="Times New Roman" w:hAnsi="Cambria" w:cs="Calibri"/>
                <w:i/>
                <w:iCs/>
                <w:lang w:val="it-IT"/>
              </w:rPr>
              <w:t>zdravlje</w:t>
            </w:r>
            <w:proofErr w:type="spellEnd"/>
            <w:r w:rsidRPr="007B5EAE">
              <w:rPr>
                <w:rFonts w:ascii="Cambria" w:eastAsia="Times New Roman" w:hAnsi="Cambria" w:cs="Calibri"/>
                <w:lang w:val="it-IT"/>
              </w:rPr>
              <w:t xml:space="preserve">. </w:t>
            </w:r>
            <w:proofErr w:type="spellStart"/>
            <w:r w:rsidRPr="007B5EAE">
              <w:rPr>
                <w:rFonts w:ascii="Cambria" w:eastAsia="Times New Roman" w:hAnsi="Cambria" w:cs="Calibri"/>
                <w:lang w:val="it-IT"/>
              </w:rPr>
              <w:t>Zagreb</w:t>
            </w:r>
            <w:proofErr w:type="spellEnd"/>
            <w:r w:rsidRPr="007B5EAE">
              <w:rPr>
                <w:rFonts w:ascii="Cambria" w:eastAsia="Times New Roman" w:hAnsi="Cambria" w:cs="Calibri"/>
                <w:lang w:val="it-IT"/>
              </w:rPr>
              <w:t xml:space="preserve">: </w:t>
            </w:r>
            <w:proofErr w:type="spellStart"/>
            <w:r w:rsidRPr="007B5EAE">
              <w:rPr>
                <w:rFonts w:ascii="Cambria" w:eastAsia="Times New Roman" w:hAnsi="Cambria" w:cs="Calibri"/>
                <w:lang w:val="it-IT"/>
              </w:rPr>
              <w:t>Kineziološki</w:t>
            </w:r>
            <w:proofErr w:type="spellEnd"/>
            <w:r w:rsidRPr="007B5EAE">
              <w:rPr>
                <w:rFonts w:ascii="Cambria" w:eastAsia="Times New Roman" w:hAnsi="Cambria" w:cs="Calibri"/>
                <w:lang w:val="it-IT"/>
              </w:rPr>
              <w:t xml:space="preserve"> </w:t>
            </w:r>
            <w:proofErr w:type="spellStart"/>
            <w:r w:rsidRPr="007B5EAE">
              <w:rPr>
                <w:rFonts w:ascii="Cambria" w:eastAsia="Times New Roman" w:hAnsi="Cambria" w:cs="Calibri"/>
                <w:lang w:val="it-IT"/>
              </w:rPr>
              <w:t>fakultet</w:t>
            </w:r>
            <w:proofErr w:type="spellEnd"/>
            <w:r w:rsidRPr="007B5EAE">
              <w:rPr>
                <w:rFonts w:ascii="Cambria" w:eastAsia="Times New Roman" w:hAnsi="Cambria" w:cs="Calibri"/>
                <w:lang w:val="it-IT"/>
              </w:rPr>
              <w:t xml:space="preserve"> </w:t>
            </w:r>
            <w:proofErr w:type="spellStart"/>
            <w:r w:rsidRPr="007B5EAE">
              <w:rPr>
                <w:rFonts w:ascii="Cambria" w:eastAsia="Times New Roman" w:hAnsi="Cambria" w:cs="Calibri"/>
                <w:lang w:val="it-IT"/>
              </w:rPr>
              <w:t>Sveučilišta</w:t>
            </w:r>
            <w:proofErr w:type="spellEnd"/>
            <w:r w:rsidRPr="007B5EAE">
              <w:rPr>
                <w:rFonts w:ascii="Cambria" w:eastAsia="Times New Roman" w:hAnsi="Cambria" w:cs="Calibri"/>
                <w:lang w:val="it-IT"/>
              </w:rPr>
              <w:t xml:space="preserve"> u </w:t>
            </w:r>
            <w:proofErr w:type="spellStart"/>
            <w:r w:rsidRPr="007B5EAE">
              <w:rPr>
                <w:rFonts w:ascii="Cambria" w:eastAsia="Times New Roman" w:hAnsi="Cambria" w:cs="Calibri"/>
                <w:lang w:val="it-IT"/>
              </w:rPr>
              <w:t>Zagrebu</w:t>
            </w:r>
            <w:proofErr w:type="spellEnd"/>
            <w:r w:rsidRPr="007B5EAE">
              <w:rPr>
                <w:rFonts w:ascii="Cambria" w:eastAsia="Times New Roman" w:hAnsi="Cambria" w:cs="Calibri"/>
                <w:lang w:val="it-IT"/>
              </w:rPr>
              <w:t>.</w:t>
            </w:r>
          </w:p>
          <w:p w14:paraId="3D53C642" w14:textId="77777777" w:rsidR="00FC4004" w:rsidRPr="00B30379" w:rsidRDefault="00FC4004" w:rsidP="000F1A10">
            <w:pPr>
              <w:tabs>
                <w:tab w:val="left" w:pos="479"/>
              </w:tabs>
              <w:spacing w:after="0" w:line="240" w:lineRule="auto"/>
              <w:ind w:left="54"/>
              <w:jc w:val="both"/>
              <w:rPr>
                <w:rFonts w:ascii="Cambria" w:eastAsia="Times New Roman" w:hAnsi="Cambria" w:cs="Calibri"/>
                <w:lang w:val="it-IT"/>
              </w:rPr>
            </w:pPr>
            <w:r>
              <w:rPr>
                <w:rFonts w:ascii="Cambria" w:eastAsia="Times New Roman" w:hAnsi="Cambria" w:cs="Calibri"/>
                <w:lang w:val="it-IT"/>
              </w:rPr>
              <w:t xml:space="preserve">3. </w:t>
            </w:r>
            <w:proofErr w:type="spellStart"/>
            <w:r w:rsidRPr="007B5EAE">
              <w:rPr>
                <w:rFonts w:ascii="Cambria" w:eastAsia="Times New Roman" w:hAnsi="Cambria" w:cs="Calibri"/>
                <w:lang w:val="it-IT"/>
              </w:rPr>
              <w:t>Sekulić</w:t>
            </w:r>
            <w:proofErr w:type="spellEnd"/>
            <w:r w:rsidRPr="007B5EAE">
              <w:rPr>
                <w:rFonts w:ascii="Cambria" w:eastAsia="Times New Roman" w:hAnsi="Cambria" w:cs="Calibri"/>
                <w:lang w:val="it-IT"/>
              </w:rPr>
              <w:t xml:space="preserve">, D., &amp; </w:t>
            </w:r>
            <w:proofErr w:type="spellStart"/>
            <w:r w:rsidRPr="007B5EAE">
              <w:rPr>
                <w:rFonts w:ascii="Cambria" w:eastAsia="Times New Roman" w:hAnsi="Cambria" w:cs="Calibri"/>
                <w:lang w:val="it-IT"/>
              </w:rPr>
              <w:t>Metikoš</w:t>
            </w:r>
            <w:proofErr w:type="spellEnd"/>
            <w:r w:rsidRPr="007B5EAE">
              <w:rPr>
                <w:rFonts w:ascii="Cambria" w:eastAsia="Times New Roman" w:hAnsi="Cambria" w:cs="Calibri"/>
                <w:lang w:val="it-IT"/>
              </w:rPr>
              <w:t xml:space="preserve">, D. (2007). </w:t>
            </w:r>
            <w:proofErr w:type="spellStart"/>
            <w:r w:rsidRPr="007B5EAE">
              <w:rPr>
                <w:rFonts w:ascii="Cambria" w:eastAsia="Times New Roman" w:hAnsi="Cambria" w:cs="Calibri"/>
                <w:i/>
                <w:iCs/>
                <w:lang w:val="it-IT"/>
              </w:rPr>
              <w:t>Uvod</w:t>
            </w:r>
            <w:proofErr w:type="spellEnd"/>
            <w:r w:rsidRPr="007B5EAE">
              <w:rPr>
                <w:rFonts w:ascii="Cambria" w:eastAsia="Times New Roman" w:hAnsi="Cambria" w:cs="Calibri"/>
                <w:i/>
                <w:iCs/>
                <w:lang w:val="it-IT"/>
              </w:rPr>
              <w:t xml:space="preserve"> u </w:t>
            </w:r>
            <w:proofErr w:type="spellStart"/>
            <w:r w:rsidRPr="007B5EAE">
              <w:rPr>
                <w:rFonts w:ascii="Cambria" w:eastAsia="Times New Roman" w:hAnsi="Cambria" w:cs="Calibri"/>
                <w:i/>
                <w:iCs/>
                <w:lang w:val="it-IT"/>
              </w:rPr>
              <w:t>transformacijske</w:t>
            </w:r>
            <w:proofErr w:type="spellEnd"/>
            <w:r w:rsidRPr="007B5EAE">
              <w:rPr>
                <w:rFonts w:ascii="Cambria" w:eastAsia="Times New Roman" w:hAnsi="Cambria" w:cs="Calibri"/>
                <w:i/>
                <w:iCs/>
                <w:lang w:val="it-IT"/>
              </w:rPr>
              <w:t xml:space="preserve"> </w:t>
            </w:r>
            <w:proofErr w:type="spellStart"/>
            <w:r w:rsidRPr="007B5EAE">
              <w:rPr>
                <w:rFonts w:ascii="Cambria" w:eastAsia="Times New Roman" w:hAnsi="Cambria" w:cs="Calibri"/>
                <w:i/>
                <w:iCs/>
                <w:lang w:val="it-IT"/>
              </w:rPr>
              <w:t>postupke</w:t>
            </w:r>
            <w:proofErr w:type="spellEnd"/>
            <w:r w:rsidRPr="007B5EAE">
              <w:rPr>
                <w:rFonts w:ascii="Cambria" w:eastAsia="Times New Roman" w:hAnsi="Cambria" w:cs="Calibri"/>
                <w:i/>
                <w:iCs/>
                <w:lang w:val="it-IT"/>
              </w:rPr>
              <w:t xml:space="preserve"> u </w:t>
            </w:r>
            <w:proofErr w:type="spellStart"/>
            <w:r w:rsidRPr="007B5EAE">
              <w:rPr>
                <w:rFonts w:ascii="Cambria" w:eastAsia="Times New Roman" w:hAnsi="Cambria" w:cs="Calibri"/>
                <w:i/>
                <w:iCs/>
                <w:lang w:val="it-IT"/>
              </w:rPr>
              <w:t>kineziologiji</w:t>
            </w:r>
            <w:proofErr w:type="spellEnd"/>
            <w:r w:rsidRPr="007B5EAE">
              <w:rPr>
                <w:rFonts w:ascii="Cambria" w:eastAsia="Times New Roman" w:hAnsi="Cambria" w:cs="Calibri"/>
                <w:lang w:val="it-IT"/>
              </w:rPr>
              <w:t xml:space="preserve">. Split: </w:t>
            </w:r>
            <w:proofErr w:type="spellStart"/>
            <w:r w:rsidRPr="007B5EAE">
              <w:rPr>
                <w:rFonts w:ascii="Cambria" w:eastAsia="Times New Roman" w:hAnsi="Cambria" w:cs="Calibri"/>
                <w:lang w:val="it-IT"/>
              </w:rPr>
              <w:t>Fakultet</w:t>
            </w:r>
            <w:proofErr w:type="spellEnd"/>
            <w:r w:rsidRPr="007B5EAE">
              <w:rPr>
                <w:rFonts w:ascii="Cambria" w:eastAsia="Times New Roman" w:hAnsi="Cambria" w:cs="Calibri"/>
                <w:lang w:val="it-IT"/>
              </w:rPr>
              <w:t xml:space="preserve"> </w:t>
            </w:r>
            <w:proofErr w:type="spellStart"/>
            <w:r w:rsidRPr="007B5EAE">
              <w:rPr>
                <w:rFonts w:ascii="Cambria" w:eastAsia="Times New Roman" w:hAnsi="Cambria" w:cs="Calibri"/>
                <w:lang w:val="it-IT"/>
              </w:rPr>
              <w:t>prirodoslovno-matematičkih</w:t>
            </w:r>
            <w:proofErr w:type="spellEnd"/>
            <w:r w:rsidRPr="007B5EAE">
              <w:rPr>
                <w:rFonts w:ascii="Cambria" w:eastAsia="Times New Roman" w:hAnsi="Cambria" w:cs="Calibri"/>
                <w:lang w:val="it-IT"/>
              </w:rPr>
              <w:t xml:space="preserve"> </w:t>
            </w:r>
            <w:proofErr w:type="spellStart"/>
            <w:r w:rsidRPr="007B5EAE">
              <w:rPr>
                <w:rFonts w:ascii="Cambria" w:eastAsia="Times New Roman" w:hAnsi="Cambria" w:cs="Calibri"/>
                <w:lang w:val="it-IT"/>
              </w:rPr>
              <w:t>znanosti</w:t>
            </w:r>
            <w:proofErr w:type="spellEnd"/>
            <w:r w:rsidRPr="007B5EAE">
              <w:rPr>
                <w:rFonts w:ascii="Cambria" w:eastAsia="Times New Roman" w:hAnsi="Cambria" w:cs="Calibri"/>
                <w:lang w:val="it-IT"/>
              </w:rPr>
              <w:t xml:space="preserve"> i </w:t>
            </w:r>
            <w:proofErr w:type="spellStart"/>
            <w:r w:rsidRPr="007B5EAE">
              <w:rPr>
                <w:rFonts w:ascii="Cambria" w:eastAsia="Times New Roman" w:hAnsi="Cambria" w:cs="Calibri"/>
                <w:lang w:val="it-IT"/>
              </w:rPr>
              <w:t>kineziologije</w:t>
            </w:r>
            <w:proofErr w:type="spellEnd"/>
            <w:r w:rsidRPr="007B5EAE">
              <w:rPr>
                <w:rFonts w:ascii="Cambria" w:eastAsia="Times New Roman" w:hAnsi="Cambria" w:cs="Calibri"/>
                <w:lang w:val="it-IT"/>
              </w:rPr>
              <w:t xml:space="preserve"> </w:t>
            </w:r>
            <w:proofErr w:type="spellStart"/>
            <w:r w:rsidRPr="007B5EAE">
              <w:rPr>
                <w:rFonts w:ascii="Cambria" w:eastAsia="Times New Roman" w:hAnsi="Cambria" w:cs="Calibri"/>
                <w:lang w:val="it-IT"/>
              </w:rPr>
              <w:t>Sveučilišta</w:t>
            </w:r>
            <w:proofErr w:type="spellEnd"/>
            <w:r w:rsidRPr="007B5EAE">
              <w:rPr>
                <w:rFonts w:ascii="Cambria" w:eastAsia="Times New Roman" w:hAnsi="Cambria" w:cs="Calibri"/>
                <w:lang w:val="it-IT"/>
              </w:rPr>
              <w:t xml:space="preserve"> u </w:t>
            </w:r>
            <w:proofErr w:type="spellStart"/>
            <w:r w:rsidRPr="007B5EAE">
              <w:rPr>
                <w:rFonts w:ascii="Cambria" w:eastAsia="Times New Roman" w:hAnsi="Cambria" w:cs="Calibri"/>
                <w:lang w:val="it-IT"/>
              </w:rPr>
              <w:t>Splitu</w:t>
            </w:r>
            <w:proofErr w:type="spellEnd"/>
            <w:r w:rsidRPr="007B5EAE">
              <w:rPr>
                <w:rFonts w:ascii="Cambria" w:eastAsia="Times New Roman" w:hAnsi="Cambria" w:cs="Calibri"/>
                <w:lang w:val="it-IT"/>
              </w:rPr>
              <w:t>.</w:t>
            </w:r>
          </w:p>
          <w:p w14:paraId="51E9B58E" w14:textId="77777777" w:rsidR="00FC4004" w:rsidRPr="00C034A7" w:rsidRDefault="00FC4004" w:rsidP="000F1A10">
            <w:pPr>
              <w:tabs>
                <w:tab w:val="left" w:pos="479"/>
              </w:tabs>
              <w:spacing w:after="0" w:line="240" w:lineRule="auto"/>
              <w:ind w:left="54" w:hanging="54"/>
              <w:jc w:val="both"/>
              <w:rPr>
                <w:rFonts w:ascii="Cambria" w:eastAsia="Times New Roman" w:hAnsi="Cambria" w:cs="Calibri"/>
                <w:bCs/>
                <w:lang w:val="it-IT"/>
              </w:rPr>
            </w:pPr>
            <w:proofErr w:type="spellStart"/>
            <w:r w:rsidRPr="00C034A7">
              <w:rPr>
                <w:rFonts w:ascii="Cambria" w:eastAsia="Times New Roman" w:hAnsi="Cambria" w:cs="Calibri"/>
                <w:bCs/>
                <w:lang w:val="it-IT"/>
              </w:rPr>
              <w:t>Priručna</w:t>
            </w:r>
            <w:proofErr w:type="spellEnd"/>
            <w:r w:rsidRPr="00C034A7">
              <w:rPr>
                <w:rFonts w:ascii="Cambria" w:eastAsia="Times New Roman" w:hAnsi="Cambria" w:cs="Calibri"/>
                <w:bCs/>
                <w:lang w:val="it-IT"/>
              </w:rPr>
              <w:t>:</w:t>
            </w:r>
          </w:p>
          <w:p w14:paraId="0DE6F1CA" w14:textId="77777777" w:rsidR="00FC4004" w:rsidRPr="00C034A7" w:rsidRDefault="00FC4004" w:rsidP="000F1A10">
            <w:pPr>
              <w:tabs>
                <w:tab w:val="left" w:pos="479"/>
              </w:tabs>
              <w:spacing w:after="0" w:line="240" w:lineRule="auto"/>
              <w:jc w:val="both"/>
              <w:rPr>
                <w:rFonts w:ascii="Cambria" w:eastAsia="Times New Roman" w:hAnsi="Cambria" w:cs="Calibri"/>
                <w:lang w:val="it-IT"/>
              </w:rPr>
            </w:pPr>
            <w:r>
              <w:rPr>
                <w:rFonts w:ascii="Cambria" w:eastAsia="Times New Roman" w:hAnsi="Cambria" w:cs="Calibri"/>
                <w:lang w:val="it-IT"/>
              </w:rPr>
              <w:t xml:space="preserve">1. </w:t>
            </w:r>
            <w:proofErr w:type="spellStart"/>
            <w:r w:rsidRPr="007B5EAE">
              <w:rPr>
                <w:rFonts w:ascii="Cambria" w:eastAsia="Times New Roman" w:hAnsi="Cambria" w:cs="Calibri"/>
                <w:lang w:val="it-IT"/>
              </w:rPr>
              <w:t>Ministarstvo</w:t>
            </w:r>
            <w:proofErr w:type="spellEnd"/>
            <w:r w:rsidRPr="007B5EAE">
              <w:rPr>
                <w:rFonts w:ascii="Cambria" w:eastAsia="Times New Roman" w:hAnsi="Cambria" w:cs="Calibri"/>
                <w:lang w:val="it-IT"/>
              </w:rPr>
              <w:t xml:space="preserve"> </w:t>
            </w:r>
            <w:proofErr w:type="spellStart"/>
            <w:r w:rsidRPr="007B5EAE">
              <w:rPr>
                <w:rFonts w:ascii="Cambria" w:eastAsia="Times New Roman" w:hAnsi="Cambria" w:cs="Calibri"/>
                <w:lang w:val="it-IT"/>
              </w:rPr>
              <w:t>znanosti</w:t>
            </w:r>
            <w:proofErr w:type="spellEnd"/>
            <w:r w:rsidRPr="007B5EAE">
              <w:rPr>
                <w:rFonts w:ascii="Cambria" w:eastAsia="Times New Roman" w:hAnsi="Cambria" w:cs="Calibri"/>
                <w:lang w:val="it-IT"/>
              </w:rPr>
              <w:t xml:space="preserve">, </w:t>
            </w:r>
            <w:proofErr w:type="spellStart"/>
            <w:r w:rsidRPr="007B5EAE">
              <w:rPr>
                <w:rFonts w:ascii="Cambria" w:eastAsia="Times New Roman" w:hAnsi="Cambria" w:cs="Calibri"/>
                <w:lang w:val="it-IT"/>
              </w:rPr>
              <w:t>obrazovanja</w:t>
            </w:r>
            <w:proofErr w:type="spellEnd"/>
            <w:r w:rsidRPr="007B5EAE">
              <w:rPr>
                <w:rFonts w:ascii="Cambria" w:eastAsia="Times New Roman" w:hAnsi="Cambria" w:cs="Calibri"/>
                <w:lang w:val="it-IT"/>
              </w:rPr>
              <w:t xml:space="preserve"> </w:t>
            </w:r>
            <w:proofErr w:type="gramStart"/>
            <w:r w:rsidRPr="007B5EAE">
              <w:rPr>
                <w:rFonts w:ascii="Cambria" w:eastAsia="Times New Roman" w:hAnsi="Cambria" w:cs="Calibri"/>
                <w:lang w:val="it-IT"/>
              </w:rPr>
              <w:t>i sporta</w:t>
            </w:r>
            <w:proofErr w:type="gramEnd"/>
            <w:r w:rsidRPr="007B5EAE">
              <w:rPr>
                <w:rFonts w:ascii="Cambria" w:eastAsia="Times New Roman" w:hAnsi="Cambria" w:cs="Calibri"/>
                <w:lang w:val="it-IT"/>
              </w:rPr>
              <w:t xml:space="preserve">. </w:t>
            </w:r>
            <w:r w:rsidRPr="00C034A7">
              <w:rPr>
                <w:rFonts w:ascii="Cambria" w:eastAsia="Times New Roman" w:hAnsi="Cambria" w:cs="Calibri"/>
                <w:lang w:val="it-IT"/>
              </w:rPr>
              <w:t xml:space="preserve">(2019). </w:t>
            </w:r>
            <w:proofErr w:type="spellStart"/>
            <w:r w:rsidRPr="00C034A7">
              <w:rPr>
                <w:rFonts w:ascii="Cambria" w:eastAsia="Times New Roman" w:hAnsi="Cambria" w:cs="Calibri"/>
                <w:i/>
                <w:iCs/>
                <w:lang w:val="it-IT"/>
              </w:rPr>
              <w:t>Predmetni</w:t>
            </w:r>
            <w:proofErr w:type="spellEnd"/>
            <w:r w:rsidRPr="00C034A7">
              <w:rPr>
                <w:rFonts w:ascii="Cambria" w:eastAsia="Times New Roman" w:hAnsi="Cambria" w:cs="Calibri"/>
                <w:i/>
                <w:iCs/>
                <w:lang w:val="it-IT"/>
              </w:rPr>
              <w:t xml:space="preserve"> </w:t>
            </w:r>
            <w:proofErr w:type="spellStart"/>
            <w:r w:rsidRPr="00C034A7">
              <w:rPr>
                <w:rFonts w:ascii="Cambria" w:eastAsia="Times New Roman" w:hAnsi="Cambria" w:cs="Calibri"/>
                <w:i/>
                <w:iCs/>
                <w:lang w:val="it-IT"/>
              </w:rPr>
              <w:t>kurikulum</w:t>
            </w:r>
            <w:proofErr w:type="spellEnd"/>
            <w:r w:rsidRPr="00C034A7">
              <w:rPr>
                <w:rFonts w:ascii="Cambria" w:eastAsia="Times New Roman" w:hAnsi="Cambria" w:cs="Calibri"/>
                <w:lang w:val="it-IT"/>
              </w:rPr>
              <w:t xml:space="preserve">. </w:t>
            </w:r>
            <w:proofErr w:type="spellStart"/>
            <w:r w:rsidRPr="00C034A7">
              <w:rPr>
                <w:rFonts w:ascii="Cambria" w:eastAsia="Times New Roman" w:hAnsi="Cambria" w:cs="Calibri"/>
                <w:lang w:val="it-IT"/>
              </w:rPr>
              <w:t>Zagreb</w:t>
            </w:r>
            <w:proofErr w:type="spellEnd"/>
            <w:r w:rsidRPr="00C034A7">
              <w:rPr>
                <w:rFonts w:ascii="Cambria" w:eastAsia="Times New Roman" w:hAnsi="Cambria" w:cs="Calibri"/>
                <w:lang w:val="it-IT"/>
              </w:rPr>
              <w:t>: MZOS.</w:t>
            </w:r>
          </w:p>
        </w:tc>
      </w:tr>
    </w:tbl>
    <w:p w14:paraId="13FC990B" w14:textId="77777777" w:rsidR="00FC4004" w:rsidRPr="00C034A7" w:rsidRDefault="00FC4004" w:rsidP="00FC4004">
      <w:pPr>
        <w:rPr>
          <w:lang w:val="it-IT"/>
        </w:rPr>
      </w:pPr>
    </w:p>
    <w:p w14:paraId="5C880972" w14:textId="77777777" w:rsidR="00FC4004" w:rsidRPr="00DF4CE5" w:rsidRDefault="00FC4004" w:rsidP="00FC4004">
      <w:pPr>
        <w:jc w:val="both"/>
        <w:rPr>
          <w:rFonts w:ascii="Cambria" w:hAnsi="Cambria"/>
          <w:lang w:val="hr-HR"/>
        </w:rPr>
      </w:pPr>
    </w:p>
    <w:p w14:paraId="7960AD57" w14:textId="77777777" w:rsidR="00FC4004" w:rsidRDefault="00FC4004">
      <w:pPr>
        <w:rPr>
          <w:rFonts w:ascii="Cambria" w:hAnsi="Cambria"/>
          <w:lang w:val="hr-HR"/>
        </w:rPr>
      </w:pPr>
      <w:r>
        <w:rPr>
          <w:rFonts w:ascii="Cambria" w:hAnsi="Cambria"/>
          <w:lang w:val="hr-HR"/>
        </w:rPr>
        <w:br w:type="page"/>
      </w:r>
    </w:p>
    <w:tbl>
      <w:tblPr>
        <w:tblW w:w="5000" w:type="pct"/>
        <w:tblLayout w:type="fixed"/>
        <w:tblCellMar>
          <w:left w:w="0" w:type="dxa"/>
          <w:right w:w="0" w:type="dxa"/>
        </w:tblCellMar>
        <w:tblLook w:val="0600" w:firstRow="0" w:lastRow="0" w:firstColumn="0" w:lastColumn="0" w:noHBand="1" w:noVBand="1"/>
      </w:tblPr>
      <w:tblGrid>
        <w:gridCol w:w="2422"/>
        <w:gridCol w:w="2887"/>
        <w:gridCol w:w="1217"/>
        <w:gridCol w:w="527"/>
        <w:gridCol w:w="462"/>
        <w:gridCol w:w="1087"/>
        <w:gridCol w:w="1418"/>
      </w:tblGrid>
      <w:tr w:rsidR="00FC4004" w:rsidRPr="00DF4CE5" w14:paraId="6415E6ED" w14:textId="77777777" w:rsidTr="000F1A10">
        <w:tc>
          <w:tcPr>
            <w:tcW w:w="9340" w:type="dxa"/>
            <w:gridSpan w:val="7"/>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54F73AF" w14:textId="77777777" w:rsidR="00FC4004" w:rsidRPr="00DF4CE5" w:rsidRDefault="00FC4004" w:rsidP="000F1A10">
            <w:pPr>
              <w:spacing w:after="0" w:line="240" w:lineRule="auto"/>
              <w:jc w:val="right"/>
              <w:rPr>
                <w:rFonts w:ascii="Cambria" w:eastAsia="Calibri" w:hAnsi="Cambria" w:cs="Times New Roman"/>
                <w:b/>
                <w:lang w:val="hr-HR"/>
              </w:rPr>
            </w:pPr>
            <w:bookmarkStart w:id="106" w:name="_Hlk200114162"/>
            <w:r w:rsidRPr="00DF4CE5">
              <w:rPr>
                <w:rFonts w:ascii="Cambria" w:eastAsia="Calibri" w:hAnsi="Cambria" w:cs="Times New Roman"/>
                <w:b/>
                <w:lang w:val="hr-HR"/>
              </w:rPr>
              <w:lastRenderedPageBreak/>
              <w:t>IZVEDBENI PLAN NASTAVE KOLEGIJA</w:t>
            </w:r>
          </w:p>
        </w:tc>
      </w:tr>
      <w:tr w:rsidR="00FC4004" w:rsidRPr="00DF4CE5" w14:paraId="6638C3DB" w14:textId="77777777" w:rsidTr="000F1A10">
        <w:tc>
          <w:tcPr>
            <w:tcW w:w="225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748F095" w14:textId="77777777" w:rsidR="00FC4004" w:rsidRPr="00DF4CE5" w:rsidRDefault="00FC4004" w:rsidP="000F1A10">
            <w:pPr>
              <w:spacing w:after="0" w:line="240" w:lineRule="auto"/>
              <w:jc w:val="both"/>
              <w:rPr>
                <w:rFonts w:ascii="Cambria" w:eastAsia="Calibri" w:hAnsi="Cambria" w:cs="Times New Roman"/>
                <w:lang w:val="hr-HR"/>
              </w:rPr>
            </w:pPr>
            <w:r w:rsidRPr="00DF4CE5">
              <w:rPr>
                <w:rFonts w:ascii="Cambria" w:eastAsia="Calibri" w:hAnsi="Cambria" w:cs="Times New Roman"/>
                <w:lang w:val="hr-HR"/>
              </w:rPr>
              <w:t>Kod i naziv kolegija</w:t>
            </w:r>
          </w:p>
        </w:tc>
        <w:tc>
          <w:tcPr>
            <w:tcW w:w="7082"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4425FD8" w14:textId="77777777" w:rsidR="00FC4004" w:rsidRPr="00DF4CE5" w:rsidRDefault="00FC4004" w:rsidP="000F1A10">
            <w:pPr>
              <w:spacing w:after="0"/>
              <w:jc w:val="both"/>
              <w:rPr>
                <w:rFonts w:ascii="Cambria" w:eastAsia="Calibri" w:hAnsi="Cambria" w:cs="Times New Roman"/>
                <w:lang w:val="hr-HR"/>
              </w:rPr>
            </w:pPr>
            <w:r w:rsidRPr="00DF4CE5">
              <w:rPr>
                <w:rFonts w:ascii="Cambria" w:eastAsia="Calibri" w:hAnsi="Cambria" w:cs="Times New Roman"/>
                <w:lang w:val="hr-HR"/>
              </w:rPr>
              <w:t>241307</w:t>
            </w:r>
          </w:p>
          <w:p w14:paraId="0163A189" w14:textId="77777777" w:rsidR="00FC4004" w:rsidRPr="00DF4CE5" w:rsidRDefault="00FC4004" w:rsidP="000F1A10">
            <w:pPr>
              <w:spacing w:after="0"/>
              <w:jc w:val="both"/>
              <w:rPr>
                <w:rFonts w:ascii="Cambria" w:eastAsia="Calibri" w:hAnsi="Cambria" w:cs="Times New Roman"/>
                <w:lang w:val="hr-HR"/>
              </w:rPr>
            </w:pPr>
            <w:r w:rsidRPr="00DF4CE5">
              <w:rPr>
                <w:rFonts w:ascii="Cambria" w:eastAsia="Calibri" w:hAnsi="Cambria" w:cs="Times New Roman"/>
                <w:lang w:val="hr-HR"/>
              </w:rPr>
              <w:t>Hrvatski dječji roman</w:t>
            </w:r>
          </w:p>
        </w:tc>
      </w:tr>
      <w:tr w:rsidR="00FC4004" w:rsidRPr="00D0399C" w14:paraId="76136878" w14:textId="77777777" w:rsidTr="000F1A10">
        <w:tc>
          <w:tcPr>
            <w:tcW w:w="225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ABEA684" w14:textId="77777777" w:rsidR="00FC4004" w:rsidRPr="00DF4CE5" w:rsidRDefault="00FC4004" w:rsidP="000F1A10">
            <w:pPr>
              <w:spacing w:after="0" w:line="240" w:lineRule="auto"/>
              <w:jc w:val="both"/>
              <w:rPr>
                <w:rFonts w:ascii="Cambria" w:eastAsia="Calibri" w:hAnsi="Cambria" w:cs="Times New Roman"/>
                <w:lang w:val="hr-HR"/>
              </w:rPr>
            </w:pPr>
            <w:r w:rsidRPr="00DF4CE5">
              <w:rPr>
                <w:rFonts w:ascii="Cambria" w:eastAsia="Calibri" w:hAnsi="Cambria" w:cs="Times New Roman"/>
                <w:lang w:val="hr-HR"/>
              </w:rPr>
              <w:t>Nastavnica</w:t>
            </w:r>
          </w:p>
        </w:tc>
        <w:tc>
          <w:tcPr>
            <w:tcW w:w="7082"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F06E1DA" w14:textId="77777777" w:rsidR="00FC4004" w:rsidRPr="00DF4CE5" w:rsidRDefault="00FC4004" w:rsidP="000F1A10">
            <w:pPr>
              <w:spacing w:after="0" w:line="240" w:lineRule="auto"/>
              <w:jc w:val="both"/>
              <w:rPr>
                <w:rFonts w:ascii="Cambria" w:eastAsia="Calibri" w:hAnsi="Cambria" w:cs="Times New Roman"/>
                <w:lang w:val="hr-HR"/>
              </w:rPr>
            </w:pPr>
            <w:hyperlink r:id="rId115" w:history="1">
              <w:r w:rsidRPr="00DF4CE5">
                <w:rPr>
                  <w:rStyle w:val="Hiperveza"/>
                  <w:rFonts w:ascii="Cambria" w:eastAsia="Calibri" w:hAnsi="Cambria" w:cs="Times New Roman"/>
                  <w:lang w:val="hr-HR"/>
                </w:rPr>
                <w:t xml:space="preserve">Prof. dr. sc. Kristina </w:t>
              </w:r>
              <w:proofErr w:type="spellStart"/>
              <w:r w:rsidRPr="00DF4CE5">
                <w:rPr>
                  <w:rStyle w:val="Hiperveza"/>
                  <w:rFonts w:ascii="Cambria" w:eastAsia="Calibri" w:hAnsi="Cambria" w:cs="Times New Roman"/>
                  <w:lang w:val="hr-HR"/>
                </w:rPr>
                <w:t>Riman</w:t>
              </w:r>
              <w:proofErr w:type="spellEnd"/>
            </w:hyperlink>
            <w:r w:rsidRPr="00DF4CE5">
              <w:rPr>
                <w:rFonts w:ascii="Cambria" w:eastAsia="Calibri" w:hAnsi="Cambria" w:cs="Times New Roman"/>
                <w:lang w:val="hr-HR"/>
              </w:rPr>
              <w:t xml:space="preserve"> (nositeljica)</w:t>
            </w:r>
          </w:p>
        </w:tc>
      </w:tr>
      <w:tr w:rsidR="00FC4004" w:rsidRPr="00D0399C" w14:paraId="257F25AB" w14:textId="77777777" w:rsidTr="000F1A10">
        <w:tc>
          <w:tcPr>
            <w:tcW w:w="225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19BC298" w14:textId="77777777" w:rsidR="00FC4004" w:rsidRPr="00DF4CE5" w:rsidRDefault="00FC4004" w:rsidP="000F1A10">
            <w:pPr>
              <w:spacing w:after="0" w:line="240" w:lineRule="auto"/>
              <w:jc w:val="both"/>
              <w:rPr>
                <w:rFonts w:ascii="Cambria" w:eastAsia="Calibri" w:hAnsi="Cambria" w:cs="Times New Roman"/>
                <w:lang w:val="hr-HR"/>
              </w:rPr>
            </w:pPr>
            <w:r w:rsidRPr="00DF4CE5">
              <w:rPr>
                <w:rFonts w:ascii="Cambria" w:eastAsia="Calibri" w:hAnsi="Cambria" w:cs="Times New Roman"/>
                <w:lang w:val="hr-HR"/>
              </w:rPr>
              <w:t>Studijski program</w:t>
            </w:r>
          </w:p>
        </w:tc>
        <w:tc>
          <w:tcPr>
            <w:tcW w:w="7082"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F853CED" w14:textId="77777777" w:rsidR="00FC4004" w:rsidRPr="00DF4CE5" w:rsidRDefault="00FC4004" w:rsidP="00FC4004">
            <w:pPr>
              <w:spacing w:after="0" w:line="240" w:lineRule="auto"/>
              <w:rPr>
                <w:rFonts w:ascii="Cambria" w:eastAsia="Calibri" w:hAnsi="Cambria" w:cs="Times New Roman"/>
                <w:lang w:val="hr-HR"/>
              </w:rPr>
            </w:pPr>
            <w:r w:rsidRPr="00DF4CE5">
              <w:rPr>
                <w:rFonts w:ascii="Cambria" w:eastAsia="Calibri" w:hAnsi="Cambria" w:cs="Times New Roman"/>
                <w:lang w:val="hr-HR"/>
              </w:rPr>
              <w:t>Sveučilišni integrirani prijediplomski i diplomski Učiteljski studij na hrvatskom jeziku</w:t>
            </w:r>
          </w:p>
        </w:tc>
      </w:tr>
      <w:tr w:rsidR="00FC4004" w:rsidRPr="00DF4CE5" w14:paraId="493D22AD" w14:textId="77777777" w:rsidTr="000F1A10">
        <w:tc>
          <w:tcPr>
            <w:tcW w:w="225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9D4D53C" w14:textId="77777777" w:rsidR="00FC4004" w:rsidRPr="00DF4CE5" w:rsidRDefault="00FC4004" w:rsidP="000F1A10">
            <w:pPr>
              <w:spacing w:after="0" w:line="240" w:lineRule="auto"/>
              <w:jc w:val="both"/>
              <w:rPr>
                <w:rFonts w:ascii="Cambria" w:eastAsia="Calibri" w:hAnsi="Cambria" w:cs="Times New Roman"/>
                <w:lang w:val="hr-HR"/>
              </w:rPr>
            </w:pPr>
            <w:r w:rsidRPr="00DF4CE5">
              <w:rPr>
                <w:rFonts w:ascii="Cambria" w:eastAsia="Calibri" w:hAnsi="Cambria" w:cs="Times New Roman"/>
                <w:lang w:val="hr-HR"/>
              </w:rPr>
              <w:t>Vrsta kolegija</w:t>
            </w:r>
          </w:p>
        </w:tc>
        <w:tc>
          <w:tcPr>
            <w:tcW w:w="269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505168C" w14:textId="77777777" w:rsidR="00FC4004" w:rsidRPr="00DF4CE5" w:rsidRDefault="00FC4004" w:rsidP="000F1A10">
            <w:pPr>
              <w:spacing w:after="0" w:line="240" w:lineRule="auto"/>
              <w:jc w:val="both"/>
              <w:rPr>
                <w:rFonts w:ascii="Cambria" w:eastAsia="Calibri" w:hAnsi="Cambria" w:cs="Times New Roman"/>
                <w:lang w:val="hr-HR"/>
              </w:rPr>
            </w:pPr>
            <w:r>
              <w:rPr>
                <w:rFonts w:ascii="Cambria" w:eastAsia="Calibri" w:hAnsi="Cambria" w:cs="Times New Roman"/>
                <w:lang w:val="hr-HR"/>
              </w:rPr>
              <w:t>i</w:t>
            </w:r>
            <w:r w:rsidRPr="00DF4CE5">
              <w:rPr>
                <w:rFonts w:ascii="Cambria" w:eastAsia="Calibri" w:hAnsi="Cambria" w:cs="Times New Roman"/>
                <w:lang w:val="hr-HR"/>
              </w:rPr>
              <w:t xml:space="preserve">zborni </w:t>
            </w:r>
          </w:p>
        </w:tc>
        <w:tc>
          <w:tcPr>
            <w:tcW w:w="1625"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7F3EB1BA" w14:textId="77777777" w:rsidR="00FC4004" w:rsidRPr="00DF4CE5" w:rsidRDefault="00FC4004" w:rsidP="000F1A10">
            <w:pPr>
              <w:spacing w:after="0" w:line="240" w:lineRule="auto"/>
              <w:jc w:val="both"/>
              <w:rPr>
                <w:rFonts w:ascii="Cambria" w:eastAsia="Calibri" w:hAnsi="Cambria" w:cs="Times New Roman"/>
                <w:lang w:val="hr-HR"/>
              </w:rPr>
            </w:pPr>
            <w:r w:rsidRPr="00DF4CE5">
              <w:rPr>
                <w:rFonts w:ascii="Cambria" w:eastAsia="Calibri" w:hAnsi="Cambria" w:cs="Times New Roman"/>
                <w:lang w:val="hr-HR"/>
              </w:rPr>
              <w:t>Razina kolegija</w:t>
            </w:r>
          </w:p>
        </w:tc>
        <w:tc>
          <w:tcPr>
            <w:tcW w:w="2766"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335279B" w14:textId="77777777" w:rsidR="00FC4004" w:rsidRPr="00DF4CE5" w:rsidRDefault="00FC4004" w:rsidP="000F1A10">
            <w:pPr>
              <w:spacing w:after="0" w:line="240" w:lineRule="auto"/>
              <w:jc w:val="both"/>
              <w:rPr>
                <w:rFonts w:ascii="Cambria" w:eastAsia="Calibri" w:hAnsi="Cambria" w:cs="Times New Roman"/>
                <w:lang w:val="hr-HR"/>
              </w:rPr>
            </w:pPr>
            <w:r w:rsidRPr="00DF4CE5">
              <w:rPr>
                <w:rFonts w:ascii="Cambria" w:eastAsia="Calibri" w:hAnsi="Cambria" w:cs="Times New Roman"/>
                <w:lang w:val="hr-HR"/>
              </w:rPr>
              <w:t>integrirani</w:t>
            </w:r>
          </w:p>
        </w:tc>
      </w:tr>
      <w:tr w:rsidR="00FC4004" w:rsidRPr="00DF4CE5" w14:paraId="3F7802BD" w14:textId="77777777" w:rsidTr="000F1A10">
        <w:tc>
          <w:tcPr>
            <w:tcW w:w="225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968179F" w14:textId="77777777" w:rsidR="00FC4004" w:rsidRPr="00DF4CE5" w:rsidRDefault="00FC4004" w:rsidP="000F1A10">
            <w:pPr>
              <w:spacing w:after="0" w:line="240" w:lineRule="auto"/>
              <w:jc w:val="both"/>
              <w:rPr>
                <w:rFonts w:ascii="Cambria" w:eastAsia="Calibri" w:hAnsi="Cambria" w:cs="Times New Roman"/>
                <w:lang w:val="hr-HR"/>
              </w:rPr>
            </w:pPr>
            <w:r w:rsidRPr="00DF4CE5">
              <w:rPr>
                <w:rFonts w:ascii="Cambria" w:eastAsia="Calibri" w:hAnsi="Cambria" w:cs="Times New Roman"/>
                <w:lang w:val="hr-HR"/>
              </w:rPr>
              <w:t>Semestar</w:t>
            </w:r>
          </w:p>
        </w:tc>
        <w:tc>
          <w:tcPr>
            <w:tcW w:w="269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95F0142" w14:textId="77777777" w:rsidR="00FC4004" w:rsidRPr="00DF4CE5" w:rsidRDefault="00FC4004" w:rsidP="000F1A10">
            <w:pPr>
              <w:spacing w:after="0" w:line="240" w:lineRule="auto"/>
              <w:jc w:val="both"/>
              <w:rPr>
                <w:rFonts w:ascii="Cambria" w:eastAsia="Calibri" w:hAnsi="Cambria" w:cs="Times New Roman"/>
                <w:lang w:val="hr-HR"/>
              </w:rPr>
            </w:pPr>
            <w:r>
              <w:rPr>
                <w:rFonts w:ascii="Cambria" w:eastAsia="Calibri" w:hAnsi="Cambria" w:cs="Times New Roman"/>
                <w:lang w:val="hr-HR"/>
              </w:rPr>
              <w:t>l</w:t>
            </w:r>
            <w:r w:rsidRPr="00DF4CE5">
              <w:rPr>
                <w:rFonts w:ascii="Cambria" w:eastAsia="Calibri" w:hAnsi="Cambria" w:cs="Times New Roman"/>
                <w:lang w:val="hr-HR"/>
              </w:rPr>
              <w:t>jetni</w:t>
            </w:r>
            <w:r w:rsidRPr="00DF4CE5">
              <w:rPr>
                <w:rFonts w:ascii="Cambria" w:eastAsia="Calibri" w:hAnsi="Cambria" w:cs="Times New Roman"/>
                <w:b/>
                <w:bCs/>
                <w:lang w:val="hr-HR"/>
              </w:rPr>
              <w:t xml:space="preserve">  </w:t>
            </w:r>
          </w:p>
        </w:tc>
        <w:tc>
          <w:tcPr>
            <w:tcW w:w="1625"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0CC01A4B" w14:textId="77777777" w:rsidR="00FC4004" w:rsidRPr="00DF4CE5" w:rsidRDefault="00FC4004" w:rsidP="000F1A10">
            <w:pPr>
              <w:spacing w:after="0" w:line="240" w:lineRule="auto"/>
              <w:jc w:val="both"/>
              <w:rPr>
                <w:rFonts w:ascii="Cambria" w:eastAsia="Calibri" w:hAnsi="Cambria" w:cs="Times New Roman"/>
                <w:lang w:val="hr-HR"/>
              </w:rPr>
            </w:pPr>
            <w:r w:rsidRPr="00DF4CE5">
              <w:rPr>
                <w:rFonts w:ascii="Cambria" w:eastAsia="Calibri" w:hAnsi="Cambria" w:cs="Times New Roman"/>
                <w:lang w:val="hr-HR"/>
              </w:rPr>
              <w:t>Godina studija</w:t>
            </w:r>
          </w:p>
        </w:tc>
        <w:tc>
          <w:tcPr>
            <w:tcW w:w="2766"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0BD7681" w14:textId="2F56B18D" w:rsidR="00FC4004" w:rsidRPr="00DF4CE5" w:rsidRDefault="00FC4004" w:rsidP="000F1A10">
            <w:pPr>
              <w:spacing w:after="0" w:line="240" w:lineRule="auto"/>
              <w:jc w:val="both"/>
              <w:rPr>
                <w:rFonts w:ascii="Cambria" w:eastAsia="Calibri" w:hAnsi="Cambria" w:cs="Times New Roman"/>
                <w:lang w:val="hr-HR"/>
              </w:rPr>
            </w:pPr>
            <w:r>
              <w:rPr>
                <w:rFonts w:ascii="Cambria" w:eastAsia="Calibri" w:hAnsi="Cambria" w:cs="Times New Roman"/>
                <w:lang w:val="hr-HR"/>
              </w:rPr>
              <w:t>III.</w:t>
            </w:r>
          </w:p>
        </w:tc>
      </w:tr>
      <w:tr w:rsidR="00FC4004" w:rsidRPr="00DF4CE5" w14:paraId="020B3376" w14:textId="77777777" w:rsidTr="000F1A10">
        <w:tc>
          <w:tcPr>
            <w:tcW w:w="225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A0DD842" w14:textId="77777777" w:rsidR="00FC4004" w:rsidRPr="00DF4CE5" w:rsidRDefault="00FC4004" w:rsidP="000F1A10">
            <w:pPr>
              <w:spacing w:after="0" w:line="240" w:lineRule="auto"/>
              <w:jc w:val="both"/>
              <w:rPr>
                <w:rFonts w:ascii="Cambria" w:eastAsia="Calibri" w:hAnsi="Cambria" w:cs="Times New Roman"/>
                <w:lang w:val="hr-HR"/>
              </w:rPr>
            </w:pPr>
            <w:proofErr w:type="spellStart"/>
            <w:r w:rsidRPr="00DF4CE5">
              <w:rPr>
                <w:rFonts w:ascii="Cambria" w:eastAsia="Calibri" w:hAnsi="Cambria" w:cs="Times New Roman"/>
              </w:rPr>
              <w:t>Mjesto</w:t>
            </w:r>
            <w:proofErr w:type="spellEnd"/>
            <w:r w:rsidRPr="00DF4CE5">
              <w:rPr>
                <w:rFonts w:ascii="Cambria" w:eastAsia="Calibri" w:hAnsi="Cambria" w:cs="Times New Roman"/>
              </w:rPr>
              <w:t xml:space="preserve"> </w:t>
            </w:r>
            <w:proofErr w:type="spellStart"/>
            <w:r w:rsidRPr="00DF4CE5">
              <w:rPr>
                <w:rFonts w:ascii="Cambria" w:eastAsia="Calibri" w:hAnsi="Cambria" w:cs="Times New Roman"/>
              </w:rPr>
              <w:t>izvođenja</w:t>
            </w:r>
            <w:proofErr w:type="spellEnd"/>
          </w:p>
        </w:tc>
        <w:tc>
          <w:tcPr>
            <w:tcW w:w="269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02E66BF" w14:textId="1F1C7273" w:rsidR="00FC4004" w:rsidRPr="00DF4CE5" w:rsidRDefault="00FC4004" w:rsidP="000F1A10">
            <w:pPr>
              <w:spacing w:after="0" w:line="240" w:lineRule="auto"/>
              <w:jc w:val="both"/>
              <w:rPr>
                <w:rFonts w:ascii="Cambria" w:eastAsia="Calibri" w:hAnsi="Cambria" w:cs="Times New Roman"/>
                <w:lang w:val="hr-HR"/>
              </w:rPr>
            </w:pPr>
            <w:r>
              <w:rPr>
                <w:rFonts w:ascii="Cambria" w:eastAsia="Calibri" w:hAnsi="Cambria" w:cs="Times New Roman"/>
                <w:lang w:val="hr-HR"/>
              </w:rPr>
              <w:t>u</w:t>
            </w:r>
            <w:r w:rsidRPr="00DF4CE5">
              <w:rPr>
                <w:rFonts w:ascii="Cambria" w:eastAsia="Calibri" w:hAnsi="Cambria" w:cs="Times New Roman"/>
                <w:lang w:val="hr-HR"/>
              </w:rPr>
              <w:t xml:space="preserve">čionica </w:t>
            </w:r>
          </w:p>
        </w:tc>
        <w:tc>
          <w:tcPr>
            <w:tcW w:w="1625"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0F287027" w14:textId="77777777" w:rsidR="00FC4004" w:rsidRPr="00DF4CE5" w:rsidRDefault="00FC4004" w:rsidP="000F1A10">
            <w:pPr>
              <w:spacing w:after="0" w:line="240" w:lineRule="auto"/>
              <w:jc w:val="both"/>
              <w:rPr>
                <w:rFonts w:ascii="Cambria" w:eastAsia="Calibri" w:hAnsi="Cambria" w:cs="Times New Roman"/>
                <w:lang w:val="hr-HR"/>
              </w:rPr>
            </w:pPr>
            <w:r w:rsidRPr="00DF4CE5">
              <w:rPr>
                <w:rFonts w:ascii="Cambria" w:eastAsia="Calibri" w:hAnsi="Cambria" w:cs="Times New Roman"/>
              </w:rPr>
              <w:t>Jezik</w:t>
            </w:r>
            <w:r w:rsidRPr="00DF4CE5">
              <w:rPr>
                <w:rFonts w:ascii="Cambria" w:eastAsia="Calibri" w:hAnsi="Cambria" w:cs="Times New Roman"/>
                <w:lang w:val="hr-HR"/>
              </w:rPr>
              <w:t xml:space="preserve"> izvođenja </w:t>
            </w:r>
          </w:p>
        </w:tc>
        <w:tc>
          <w:tcPr>
            <w:tcW w:w="2766"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D633594" w14:textId="77777777" w:rsidR="00FC4004" w:rsidRPr="00DF4CE5" w:rsidRDefault="00FC4004" w:rsidP="000F1A10">
            <w:pPr>
              <w:spacing w:after="0" w:line="240" w:lineRule="auto"/>
              <w:jc w:val="both"/>
              <w:rPr>
                <w:rFonts w:ascii="Cambria" w:eastAsia="Calibri" w:hAnsi="Cambria" w:cs="Times New Roman"/>
                <w:lang w:val="hr-HR"/>
              </w:rPr>
            </w:pPr>
            <w:r w:rsidRPr="00DF4CE5">
              <w:rPr>
                <w:rFonts w:ascii="Cambria" w:eastAsia="Calibri" w:hAnsi="Cambria" w:cs="Times New Roman"/>
                <w:lang w:val="hr-HR"/>
              </w:rPr>
              <w:t>hrvatski</w:t>
            </w:r>
          </w:p>
        </w:tc>
      </w:tr>
      <w:tr w:rsidR="00FC4004" w:rsidRPr="00DF4CE5" w14:paraId="25EEFDD7" w14:textId="77777777" w:rsidTr="000F1A10">
        <w:tc>
          <w:tcPr>
            <w:tcW w:w="225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2C1E081" w14:textId="77777777" w:rsidR="00FC4004" w:rsidRPr="00DF4CE5" w:rsidRDefault="00FC4004" w:rsidP="000F1A10">
            <w:pPr>
              <w:spacing w:after="0" w:line="240" w:lineRule="auto"/>
              <w:jc w:val="both"/>
              <w:rPr>
                <w:rFonts w:ascii="Cambria" w:eastAsia="Calibri" w:hAnsi="Cambria" w:cs="Times New Roman"/>
                <w:lang w:val="hr-HR"/>
              </w:rPr>
            </w:pPr>
            <w:r w:rsidRPr="00DF4CE5">
              <w:rPr>
                <w:rFonts w:ascii="Cambria" w:eastAsia="Calibri" w:hAnsi="Cambria" w:cs="Times New Roman"/>
                <w:lang w:val="hr-HR"/>
              </w:rPr>
              <w:t>Broj ECTS bodova</w:t>
            </w:r>
          </w:p>
        </w:tc>
        <w:tc>
          <w:tcPr>
            <w:tcW w:w="269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2CE75E7" w14:textId="38F7C70F" w:rsidR="00FC4004" w:rsidRPr="00DF4CE5" w:rsidRDefault="00FC4004" w:rsidP="000F1A10">
            <w:pPr>
              <w:spacing w:after="0" w:line="240" w:lineRule="auto"/>
              <w:jc w:val="both"/>
              <w:rPr>
                <w:rFonts w:ascii="Cambria" w:eastAsia="Calibri" w:hAnsi="Cambria" w:cs="Times New Roman"/>
                <w:lang w:val="hr-HR"/>
              </w:rPr>
            </w:pPr>
            <w:r>
              <w:rPr>
                <w:rFonts w:ascii="Cambria" w:eastAsia="Calibri" w:hAnsi="Cambria" w:cs="Times New Roman"/>
                <w:lang w:val="hr-HR"/>
              </w:rPr>
              <w:t>3</w:t>
            </w:r>
          </w:p>
        </w:tc>
        <w:tc>
          <w:tcPr>
            <w:tcW w:w="1625"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258E02DF" w14:textId="77777777" w:rsidR="00FC4004" w:rsidRPr="00DF4CE5" w:rsidRDefault="00FC4004" w:rsidP="000F1A10">
            <w:pPr>
              <w:spacing w:after="0" w:line="240" w:lineRule="auto"/>
              <w:jc w:val="both"/>
              <w:rPr>
                <w:rFonts w:ascii="Cambria" w:eastAsia="Calibri" w:hAnsi="Cambria" w:cs="Times New Roman"/>
                <w:lang w:val="hr-HR"/>
              </w:rPr>
            </w:pPr>
            <w:r w:rsidRPr="00DF4CE5">
              <w:rPr>
                <w:rFonts w:ascii="Cambria" w:eastAsia="Calibri" w:hAnsi="Cambria" w:cs="Times New Roman"/>
                <w:lang w:val="hr-HR"/>
              </w:rPr>
              <w:t>Broj sati u semestru</w:t>
            </w:r>
          </w:p>
        </w:tc>
        <w:tc>
          <w:tcPr>
            <w:tcW w:w="2766"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410DCAF" w14:textId="77777777" w:rsidR="00FC4004" w:rsidRPr="00DF4CE5" w:rsidRDefault="00FC4004" w:rsidP="000F1A10">
            <w:pPr>
              <w:spacing w:after="0" w:line="240" w:lineRule="auto"/>
              <w:jc w:val="both"/>
              <w:rPr>
                <w:rFonts w:ascii="Cambria" w:eastAsia="Calibri" w:hAnsi="Cambria" w:cs="Times New Roman"/>
                <w:lang w:val="hr-HR"/>
              </w:rPr>
            </w:pPr>
            <w:r w:rsidRPr="00DF4CE5">
              <w:rPr>
                <w:rFonts w:ascii="Cambria" w:eastAsia="Calibri" w:hAnsi="Cambria" w:cs="Times New Roman"/>
                <w:lang w:val="hr-HR"/>
              </w:rPr>
              <w:t xml:space="preserve">15P </w:t>
            </w:r>
            <w:r>
              <w:rPr>
                <w:rFonts w:ascii="Cambria" w:eastAsia="Calibri" w:hAnsi="Cambria" w:cs="Times New Roman"/>
                <w:lang w:val="hr-HR"/>
              </w:rPr>
              <w:t>–</w:t>
            </w:r>
            <w:r w:rsidRPr="00DF4CE5">
              <w:rPr>
                <w:rFonts w:ascii="Cambria" w:eastAsia="Calibri" w:hAnsi="Cambria" w:cs="Times New Roman"/>
                <w:lang w:val="hr-HR"/>
              </w:rPr>
              <w:t xml:space="preserve"> </w:t>
            </w:r>
            <w:r>
              <w:rPr>
                <w:rFonts w:ascii="Cambria" w:eastAsia="Calibri" w:hAnsi="Cambria" w:cs="Times New Roman"/>
                <w:lang w:val="hr-HR"/>
              </w:rPr>
              <w:t>1</w:t>
            </w:r>
            <w:r w:rsidRPr="00DF4CE5">
              <w:rPr>
                <w:rFonts w:ascii="Cambria" w:eastAsia="Calibri" w:hAnsi="Cambria" w:cs="Times New Roman"/>
                <w:lang w:val="hr-HR"/>
              </w:rPr>
              <w:t>5S</w:t>
            </w:r>
            <w:r>
              <w:rPr>
                <w:rFonts w:ascii="Cambria" w:eastAsia="Calibri" w:hAnsi="Cambria" w:cs="Times New Roman"/>
                <w:lang w:val="hr-HR"/>
              </w:rPr>
              <w:t xml:space="preserve"> – </w:t>
            </w:r>
            <w:r w:rsidRPr="00DF4CE5">
              <w:rPr>
                <w:rFonts w:ascii="Cambria" w:eastAsia="Calibri" w:hAnsi="Cambria" w:cs="Times New Roman"/>
                <w:lang w:val="hr-HR"/>
              </w:rPr>
              <w:t xml:space="preserve">0V   </w:t>
            </w:r>
          </w:p>
        </w:tc>
      </w:tr>
      <w:tr w:rsidR="00FC4004" w:rsidRPr="00DF4CE5" w14:paraId="027E746B" w14:textId="77777777" w:rsidTr="000F1A10">
        <w:tc>
          <w:tcPr>
            <w:tcW w:w="225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C8CF9E5" w14:textId="77777777" w:rsidR="00FC4004" w:rsidRPr="00DF4CE5" w:rsidRDefault="00FC4004" w:rsidP="000F1A10">
            <w:pPr>
              <w:spacing w:after="0" w:line="240" w:lineRule="auto"/>
              <w:jc w:val="both"/>
              <w:rPr>
                <w:rFonts w:ascii="Cambria" w:eastAsia="Calibri" w:hAnsi="Cambria" w:cs="Times New Roman"/>
                <w:lang w:val="hr-HR"/>
              </w:rPr>
            </w:pPr>
            <w:r w:rsidRPr="00DF4CE5">
              <w:rPr>
                <w:rFonts w:ascii="Cambria" w:eastAsia="Calibri" w:hAnsi="Cambria" w:cs="Times New Roman"/>
                <w:lang w:val="hr-HR"/>
              </w:rPr>
              <w:t>Preduvjeti za upis i za svladavanje</w:t>
            </w:r>
          </w:p>
        </w:tc>
        <w:tc>
          <w:tcPr>
            <w:tcW w:w="7082"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75BA966" w14:textId="77777777" w:rsidR="00FC4004" w:rsidRPr="00DF4CE5" w:rsidRDefault="00FC4004" w:rsidP="000F1A10">
            <w:pPr>
              <w:spacing w:after="0" w:line="240" w:lineRule="auto"/>
              <w:jc w:val="both"/>
              <w:rPr>
                <w:rFonts w:ascii="Cambria" w:eastAsia="Calibri" w:hAnsi="Cambria" w:cs="Times New Roman"/>
                <w:lang w:val="hr-HR"/>
              </w:rPr>
            </w:pPr>
            <w:r w:rsidRPr="00DF4CE5">
              <w:rPr>
                <w:rFonts w:ascii="Cambria" w:eastAsia="Calibri" w:hAnsi="Cambria" w:cs="Times New Roman"/>
                <w:lang w:val="hr-HR"/>
              </w:rPr>
              <w:t xml:space="preserve">Nema preduvjeta za upis.  </w:t>
            </w:r>
          </w:p>
        </w:tc>
      </w:tr>
      <w:tr w:rsidR="00FC4004" w:rsidRPr="00D0399C" w14:paraId="210E6D5C" w14:textId="77777777" w:rsidTr="000F1A10">
        <w:tc>
          <w:tcPr>
            <w:tcW w:w="225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844CF7D" w14:textId="77777777" w:rsidR="00FC4004" w:rsidRPr="00DF4CE5" w:rsidRDefault="00FC4004" w:rsidP="000F1A10">
            <w:pPr>
              <w:spacing w:after="0" w:line="240" w:lineRule="auto"/>
              <w:jc w:val="both"/>
              <w:rPr>
                <w:rFonts w:ascii="Cambria" w:eastAsia="Calibri" w:hAnsi="Cambria" w:cs="Times New Roman"/>
                <w:lang w:val="hr-HR"/>
              </w:rPr>
            </w:pPr>
            <w:proofErr w:type="spellStart"/>
            <w:r w:rsidRPr="00DF4CE5">
              <w:rPr>
                <w:rFonts w:ascii="Cambria" w:eastAsia="Calibri" w:hAnsi="Cambria" w:cs="Times New Roman"/>
              </w:rPr>
              <w:t>Korelativnost</w:t>
            </w:r>
            <w:proofErr w:type="spellEnd"/>
          </w:p>
        </w:tc>
        <w:tc>
          <w:tcPr>
            <w:tcW w:w="7082"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2D8C51C" w14:textId="77777777" w:rsidR="00FC4004" w:rsidRPr="00DF4CE5" w:rsidRDefault="00FC4004" w:rsidP="000F1A10">
            <w:pPr>
              <w:spacing w:after="0" w:line="240" w:lineRule="auto"/>
              <w:jc w:val="both"/>
              <w:rPr>
                <w:rFonts w:ascii="Cambria" w:eastAsia="Calibri" w:hAnsi="Cambria" w:cs="Times New Roman"/>
                <w:lang w:val="hr-HR"/>
              </w:rPr>
            </w:pPr>
            <w:r w:rsidRPr="00DF4CE5">
              <w:rPr>
                <w:rFonts w:ascii="Cambria" w:eastAsia="Calibri" w:hAnsi="Cambria" w:cs="Times New Roman"/>
                <w:lang w:val="hr-HR"/>
              </w:rPr>
              <w:t>Književnost za djecu i mladež, Teorija književnosti, Svjetska književnost, Hrvatska književnost, Hrvatska usmena književnosti</w:t>
            </w:r>
          </w:p>
        </w:tc>
      </w:tr>
      <w:tr w:rsidR="00FC4004" w:rsidRPr="00D0399C" w14:paraId="420263B3" w14:textId="77777777" w:rsidTr="000F1A10">
        <w:tc>
          <w:tcPr>
            <w:tcW w:w="225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1862003" w14:textId="77777777" w:rsidR="00FC4004" w:rsidRPr="00DF4CE5" w:rsidRDefault="00FC4004" w:rsidP="000F1A10">
            <w:pPr>
              <w:spacing w:after="0" w:line="240" w:lineRule="auto"/>
              <w:jc w:val="both"/>
              <w:rPr>
                <w:rFonts w:ascii="Cambria" w:eastAsia="Calibri" w:hAnsi="Cambria" w:cs="Times New Roman"/>
                <w:lang w:val="hr-HR"/>
              </w:rPr>
            </w:pPr>
            <w:r w:rsidRPr="00DF4CE5">
              <w:rPr>
                <w:rFonts w:ascii="Cambria" w:eastAsia="Calibri" w:hAnsi="Cambria" w:cs="Times New Roman"/>
                <w:lang w:val="hr-HR"/>
              </w:rPr>
              <w:t xml:space="preserve">Cilj kolegija </w:t>
            </w:r>
          </w:p>
        </w:tc>
        <w:tc>
          <w:tcPr>
            <w:tcW w:w="7082"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186F8C4" w14:textId="77777777" w:rsidR="00FC4004" w:rsidRPr="00DF4CE5" w:rsidRDefault="00FC4004" w:rsidP="000F1A10">
            <w:pPr>
              <w:spacing w:after="0" w:line="240" w:lineRule="auto"/>
              <w:jc w:val="both"/>
              <w:rPr>
                <w:rFonts w:ascii="Cambria" w:eastAsia="Calibri" w:hAnsi="Cambria" w:cs="Times New Roman"/>
                <w:lang w:val="hr-HR"/>
              </w:rPr>
            </w:pPr>
            <w:r w:rsidRPr="00DF4CE5">
              <w:rPr>
                <w:rFonts w:ascii="Cambria" w:eastAsia="Calibri" w:hAnsi="Cambria" w:cs="Times New Roman"/>
                <w:lang w:val="hr-HR"/>
              </w:rPr>
              <w:t>upoznati studente/studentice s osnovnim pojmovima koji se odnose na hrvatski dječji roman i hrvatski roman za mladež, pri čemu studenti /studentice trebaju usvojiti temeljne spoznaje o vrstama hrvatskog dječjeg romana, specifičnostima hrvatskih dječjih romana, te razviti sposobnost samostalne interpretacije hrvatskih romana namijenjenih djeci i mladeži.</w:t>
            </w:r>
          </w:p>
        </w:tc>
      </w:tr>
      <w:tr w:rsidR="00FC4004" w:rsidRPr="00D0399C" w14:paraId="2FB0ECAE" w14:textId="77777777" w:rsidTr="000F1A10">
        <w:tc>
          <w:tcPr>
            <w:tcW w:w="225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0B7A477" w14:textId="77777777" w:rsidR="00FC4004" w:rsidRPr="00DF4CE5" w:rsidRDefault="00FC4004" w:rsidP="000F1A10">
            <w:pPr>
              <w:spacing w:after="0" w:line="240" w:lineRule="auto"/>
              <w:jc w:val="both"/>
              <w:rPr>
                <w:rFonts w:ascii="Cambria" w:eastAsia="Calibri" w:hAnsi="Cambria" w:cs="Times New Roman"/>
                <w:lang w:val="hr-HR"/>
              </w:rPr>
            </w:pPr>
            <w:r w:rsidRPr="00DF4CE5">
              <w:rPr>
                <w:rFonts w:ascii="Cambria" w:eastAsia="Calibri" w:hAnsi="Cambria" w:cs="Times New Roman"/>
                <w:lang w:val="hr-HR"/>
              </w:rPr>
              <w:t>Ishodi učenja</w:t>
            </w:r>
          </w:p>
        </w:tc>
        <w:tc>
          <w:tcPr>
            <w:tcW w:w="7082"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02D4C49" w14:textId="77777777" w:rsidR="00FC4004" w:rsidRPr="00DF4CE5" w:rsidRDefault="00FC4004" w:rsidP="000F1A10">
            <w:pPr>
              <w:spacing w:after="0" w:line="240" w:lineRule="auto"/>
              <w:jc w:val="both"/>
              <w:rPr>
                <w:rFonts w:ascii="Cambria" w:eastAsia="Calibri" w:hAnsi="Cambria" w:cs="Times New Roman"/>
                <w:lang w:val="hr-HR"/>
              </w:rPr>
            </w:pPr>
            <w:r w:rsidRPr="00DF4CE5">
              <w:rPr>
                <w:rFonts w:ascii="Cambria" w:eastAsia="Calibri" w:hAnsi="Cambria" w:cs="Times New Roman"/>
                <w:lang w:val="hr-HR"/>
              </w:rPr>
              <w:t>1. Pravilno definirati temeljne pojmove iz područja dječjeg romana i romana za mladež</w:t>
            </w:r>
          </w:p>
          <w:p w14:paraId="74D46B73" w14:textId="77777777" w:rsidR="00FC4004" w:rsidRPr="00DF4CE5" w:rsidRDefault="00FC4004" w:rsidP="000F1A10">
            <w:pPr>
              <w:spacing w:after="0" w:line="240" w:lineRule="auto"/>
              <w:jc w:val="both"/>
              <w:rPr>
                <w:rFonts w:ascii="Cambria" w:eastAsia="Calibri" w:hAnsi="Cambria" w:cs="Times New Roman"/>
                <w:lang w:val="hr-HR"/>
              </w:rPr>
            </w:pPr>
            <w:r w:rsidRPr="00DF4CE5">
              <w:rPr>
                <w:rFonts w:ascii="Cambria" w:eastAsia="Calibri" w:hAnsi="Cambria" w:cs="Times New Roman"/>
                <w:lang w:val="hr-HR"/>
              </w:rPr>
              <w:t>2. Interpretirati pojedina ostvarenja hrvatskog dječjeg romana i romana za mladež</w:t>
            </w:r>
          </w:p>
          <w:p w14:paraId="142B204D" w14:textId="77777777" w:rsidR="00FC4004" w:rsidRPr="00DF4CE5" w:rsidRDefault="00FC4004" w:rsidP="000F1A10">
            <w:pPr>
              <w:spacing w:after="0" w:line="240" w:lineRule="auto"/>
              <w:jc w:val="both"/>
              <w:rPr>
                <w:rFonts w:ascii="Cambria" w:eastAsia="Calibri" w:hAnsi="Cambria" w:cs="Times New Roman"/>
                <w:lang w:val="hr-HR"/>
              </w:rPr>
            </w:pPr>
            <w:r w:rsidRPr="00DF4CE5">
              <w:rPr>
                <w:rFonts w:ascii="Cambria" w:eastAsia="Calibri" w:hAnsi="Cambria" w:cs="Times New Roman"/>
                <w:lang w:val="hr-HR"/>
              </w:rPr>
              <w:t>3. Raščlaniti odabrane hrvatske dječje romane i romane za mladež.</w:t>
            </w:r>
          </w:p>
          <w:p w14:paraId="5582F7D2" w14:textId="77777777" w:rsidR="00FC4004" w:rsidRPr="00DF4CE5" w:rsidRDefault="00FC4004" w:rsidP="000F1A10">
            <w:pPr>
              <w:spacing w:after="0" w:line="240" w:lineRule="auto"/>
              <w:jc w:val="both"/>
              <w:rPr>
                <w:rFonts w:ascii="Cambria" w:eastAsia="Calibri" w:hAnsi="Cambria" w:cs="Times New Roman"/>
                <w:lang w:val="hr-HR"/>
              </w:rPr>
            </w:pPr>
            <w:r w:rsidRPr="00DF4CE5">
              <w:rPr>
                <w:rFonts w:ascii="Cambria" w:eastAsia="Calibri" w:hAnsi="Cambria" w:cs="Times New Roman"/>
                <w:lang w:val="hr-HR"/>
              </w:rPr>
              <w:t>4. Kritički vrednovati pojedine romane za djecu i mladež koji ulaze u korpus hrvatske književnosti</w:t>
            </w:r>
          </w:p>
          <w:p w14:paraId="1C6A28EE" w14:textId="77777777" w:rsidR="00FC4004" w:rsidRPr="00DF4CE5" w:rsidRDefault="00FC4004" w:rsidP="000F1A10">
            <w:pPr>
              <w:spacing w:after="0" w:line="240" w:lineRule="auto"/>
              <w:jc w:val="both"/>
              <w:rPr>
                <w:rFonts w:ascii="Cambria" w:eastAsia="Calibri" w:hAnsi="Cambria" w:cs="Times New Roman"/>
                <w:lang w:val="hr-HR"/>
              </w:rPr>
            </w:pPr>
            <w:r w:rsidRPr="00DF4CE5">
              <w:rPr>
                <w:rFonts w:ascii="Cambria" w:eastAsia="Calibri" w:hAnsi="Cambria" w:cs="Times New Roman"/>
                <w:lang w:val="hr-HR"/>
              </w:rPr>
              <w:t>5. Primijeniti stečene kompetencije na književnim djelima namijenjenima djeci i mladeži</w:t>
            </w:r>
          </w:p>
        </w:tc>
      </w:tr>
      <w:tr w:rsidR="00FC4004" w:rsidRPr="00D0399C" w14:paraId="3F66AA2B" w14:textId="77777777" w:rsidTr="000F1A10">
        <w:tc>
          <w:tcPr>
            <w:tcW w:w="2258"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3174AE39" w14:textId="77777777" w:rsidR="00FC4004" w:rsidRPr="00DF4CE5" w:rsidRDefault="00FC4004" w:rsidP="000F1A10">
            <w:pPr>
              <w:spacing w:after="0" w:line="240" w:lineRule="auto"/>
              <w:jc w:val="both"/>
              <w:rPr>
                <w:rFonts w:ascii="Cambria" w:eastAsia="Calibri" w:hAnsi="Cambria" w:cs="Times New Roman"/>
                <w:lang w:val="hr-HR"/>
              </w:rPr>
            </w:pPr>
            <w:r w:rsidRPr="00DF4CE5">
              <w:rPr>
                <w:rFonts w:ascii="Cambria" w:eastAsia="Calibri" w:hAnsi="Cambria" w:cs="Times New Roman"/>
                <w:lang w:val="hr-HR"/>
              </w:rPr>
              <w:t>Sadržaj kolegija</w:t>
            </w:r>
          </w:p>
        </w:tc>
        <w:tc>
          <w:tcPr>
            <w:tcW w:w="7082" w:type="dxa"/>
            <w:gridSpan w:val="6"/>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44C8078" w14:textId="77777777" w:rsidR="00FC4004" w:rsidRPr="00DF4CE5" w:rsidRDefault="00FC4004" w:rsidP="000F1A10">
            <w:pPr>
              <w:spacing w:after="0" w:line="240" w:lineRule="auto"/>
              <w:jc w:val="both"/>
              <w:rPr>
                <w:rFonts w:ascii="Cambria" w:eastAsia="Calibri" w:hAnsi="Cambria" w:cs="Times New Roman"/>
                <w:lang w:val="hr-HR"/>
              </w:rPr>
            </w:pPr>
            <w:r w:rsidRPr="00DF4CE5">
              <w:rPr>
                <w:rFonts w:ascii="Cambria" w:eastAsia="Calibri" w:hAnsi="Cambria" w:cs="Times New Roman"/>
                <w:lang w:val="hr-HR"/>
              </w:rPr>
              <w:t xml:space="preserve">1. Uvod u proučavanje hrvatskog dječjeg romana (Definiranje i naziv. Recepcijska usmjerenost). </w:t>
            </w:r>
          </w:p>
          <w:p w14:paraId="65E96B89" w14:textId="77777777" w:rsidR="00FC4004" w:rsidRPr="00DF4CE5" w:rsidRDefault="00FC4004" w:rsidP="000F1A10">
            <w:pPr>
              <w:spacing w:after="0" w:line="240" w:lineRule="auto"/>
              <w:jc w:val="both"/>
              <w:rPr>
                <w:rFonts w:ascii="Cambria" w:eastAsia="Calibri" w:hAnsi="Cambria" w:cs="Times New Roman"/>
                <w:lang w:val="hr-HR"/>
              </w:rPr>
            </w:pPr>
            <w:r w:rsidRPr="00DF4CE5">
              <w:rPr>
                <w:rFonts w:ascii="Cambria" w:eastAsia="Calibri" w:hAnsi="Cambria" w:cs="Times New Roman"/>
                <w:lang w:val="hr-HR"/>
              </w:rPr>
              <w:t>2. Značajke hrvatskog dječjeg romana (Klasifikacija i periodizacija)</w:t>
            </w:r>
          </w:p>
          <w:p w14:paraId="46CF4ED8" w14:textId="77777777" w:rsidR="00FC4004" w:rsidRPr="00DF4CE5" w:rsidRDefault="00FC4004" w:rsidP="000F1A10">
            <w:pPr>
              <w:spacing w:after="0"/>
              <w:jc w:val="both"/>
              <w:rPr>
                <w:rFonts w:ascii="Cambria" w:eastAsia="Calibri" w:hAnsi="Cambria" w:cs="Times New Roman"/>
                <w:lang w:val="hr-HR"/>
              </w:rPr>
            </w:pPr>
            <w:r w:rsidRPr="00DF4CE5">
              <w:rPr>
                <w:rFonts w:ascii="Cambria" w:eastAsia="Calibri" w:hAnsi="Cambria" w:cs="Times New Roman"/>
                <w:lang w:val="hr-HR"/>
              </w:rPr>
              <w:t xml:space="preserve">3. Počeci hrvatskog dječjeg romana. </w:t>
            </w:r>
          </w:p>
          <w:p w14:paraId="1A1099C6" w14:textId="77777777" w:rsidR="00FC4004" w:rsidRPr="00DF4CE5" w:rsidRDefault="00FC4004" w:rsidP="000F1A10">
            <w:pPr>
              <w:spacing w:after="0"/>
              <w:jc w:val="both"/>
              <w:rPr>
                <w:rFonts w:ascii="Cambria" w:eastAsia="Calibri" w:hAnsi="Cambria" w:cs="Times New Roman"/>
                <w:bCs/>
                <w:lang w:val="hr-HR"/>
              </w:rPr>
            </w:pPr>
            <w:r w:rsidRPr="00DF4CE5">
              <w:rPr>
                <w:rFonts w:ascii="Cambria" w:eastAsia="Calibri" w:hAnsi="Cambria" w:cs="Times New Roman"/>
                <w:iCs/>
                <w:lang w:val="hr-HR"/>
              </w:rPr>
              <w:t xml:space="preserve">4. </w:t>
            </w:r>
            <w:r w:rsidRPr="00DF4CE5">
              <w:rPr>
                <w:rFonts w:ascii="Cambria" w:eastAsia="Calibri" w:hAnsi="Cambria" w:cs="Times New Roman"/>
                <w:lang w:val="hr-HR"/>
              </w:rPr>
              <w:t>Realistički dječji roman.</w:t>
            </w:r>
            <w:r w:rsidRPr="00DF4CE5">
              <w:rPr>
                <w:rFonts w:ascii="Cambria" w:eastAsia="Calibri" w:hAnsi="Cambria" w:cs="Times New Roman"/>
                <w:bCs/>
                <w:lang w:val="hr-HR"/>
              </w:rPr>
              <w:t xml:space="preserve"> </w:t>
            </w:r>
          </w:p>
          <w:p w14:paraId="09E80A96" w14:textId="77777777" w:rsidR="00FC4004" w:rsidRPr="00DF4CE5" w:rsidRDefault="00FC4004" w:rsidP="000F1A10">
            <w:pPr>
              <w:spacing w:after="0"/>
              <w:jc w:val="both"/>
              <w:rPr>
                <w:rFonts w:ascii="Cambria" w:eastAsia="Calibri" w:hAnsi="Cambria" w:cs="Times New Roman"/>
                <w:lang w:val="hr-HR"/>
              </w:rPr>
            </w:pPr>
            <w:r w:rsidRPr="00DF4CE5">
              <w:rPr>
                <w:rFonts w:ascii="Cambria" w:eastAsia="Calibri" w:hAnsi="Cambria" w:cs="Times New Roman"/>
                <w:bCs/>
                <w:lang w:val="hr-HR"/>
              </w:rPr>
              <w:t xml:space="preserve">5. </w:t>
            </w:r>
            <w:r w:rsidRPr="00DF4CE5">
              <w:rPr>
                <w:rFonts w:ascii="Cambria" w:eastAsia="Calibri" w:hAnsi="Cambria" w:cs="Times New Roman"/>
                <w:lang w:val="hr-HR"/>
              </w:rPr>
              <w:t xml:space="preserve">Zrelo doba hrvatskog dječjeg romana. </w:t>
            </w:r>
          </w:p>
          <w:p w14:paraId="25EAE52D" w14:textId="77777777" w:rsidR="00FC4004" w:rsidRPr="00DF4CE5" w:rsidRDefault="00FC4004" w:rsidP="000F1A10">
            <w:pPr>
              <w:spacing w:after="0"/>
              <w:jc w:val="both"/>
              <w:rPr>
                <w:rFonts w:ascii="Cambria" w:eastAsia="Calibri" w:hAnsi="Cambria" w:cs="Times New Roman"/>
                <w:iCs/>
                <w:lang w:val="hr-HR"/>
              </w:rPr>
            </w:pPr>
            <w:r w:rsidRPr="00DF4CE5">
              <w:rPr>
                <w:rFonts w:ascii="Cambria" w:eastAsia="Calibri" w:hAnsi="Cambria" w:cs="Times New Roman"/>
                <w:lang w:val="hr-HR"/>
              </w:rPr>
              <w:t>6. Suvremeni hrvatski dječji roman i roman za mladež.</w:t>
            </w:r>
          </w:p>
        </w:tc>
      </w:tr>
      <w:tr w:rsidR="00FC4004" w:rsidRPr="00DF4CE5" w14:paraId="4E3A6EFB" w14:textId="77777777" w:rsidTr="000F1A10">
        <w:tc>
          <w:tcPr>
            <w:tcW w:w="2258"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hideMark/>
          </w:tcPr>
          <w:p w14:paraId="609AFDA6" w14:textId="77777777" w:rsidR="00FC4004" w:rsidRPr="00DF4CE5" w:rsidRDefault="00FC4004" w:rsidP="000F1A10">
            <w:pPr>
              <w:spacing w:after="0" w:line="240" w:lineRule="auto"/>
              <w:jc w:val="both"/>
              <w:rPr>
                <w:rFonts w:ascii="Cambria" w:eastAsia="Calibri" w:hAnsi="Cambria" w:cs="Times New Roman"/>
                <w:lang w:val="hr-HR"/>
              </w:rPr>
            </w:pPr>
            <w:r w:rsidRPr="00DF4CE5">
              <w:rPr>
                <w:rFonts w:ascii="Cambria" w:eastAsia="Calibri" w:hAnsi="Cambria" w:cs="Times New Roman"/>
                <w:lang w:val="hr-HR"/>
              </w:rPr>
              <w:t>Planirane aktivnosti,</w:t>
            </w:r>
          </w:p>
          <w:p w14:paraId="3501B4D4" w14:textId="77777777" w:rsidR="00FC4004" w:rsidRPr="00DF4CE5" w:rsidRDefault="00FC4004" w:rsidP="000F1A10">
            <w:pPr>
              <w:spacing w:after="0" w:line="240" w:lineRule="auto"/>
              <w:rPr>
                <w:rFonts w:ascii="Cambria" w:eastAsia="Calibri" w:hAnsi="Cambria" w:cs="Times New Roman"/>
                <w:lang w:val="hr-HR"/>
              </w:rPr>
            </w:pPr>
            <w:proofErr w:type="spellStart"/>
            <w:r w:rsidRPr="00DF4CE5">
              <w:rPr>
                <w:rFonts w:ascii="Cambria" w:eastAsia="Calibri" w:hAnsi="Cambria" w:cs="Times New Roman"/>
                <w:lang w:val="it-IT"/>
              </w:rPr>
              <w:t>metode</w:t>
            </w:r>
            <w:proofErr w:type="spellEnd"/>
            <w:r w:rsidRPr="00DF4CE5">
              <w:rPr>
                <w:rFonts w:ascii="Cambria" w:eastAsia="Calibri" w:hAnsi="Cambria" w:cs="Times New Roman"/>
                <w:lang w:val="hr-HR"/>
              </w:rPr>
              <w:t xml:space="preserve"> učenja i poučavanja i načini vrednovanja</w:t>
            </w:r>
          </w:p>
          <w:p w14:paraId="1D82F598" w14:textId="77777777" w:rsidR="00FC4004" w:rsidRPr="00DF4CE5" w:rsidRDefault="00FC4004" w:rsidP="000F1A10">
            <w:pPr>
              <w:spacing w:after="0" w:line="240" w:lineRule="auto"/>
              <w:jc w:val="both"/>
              <w:rPr>
                <w:rFonts w:ascii="Cambria" w:eastAsia="Calibri" w:hAnsi="Cambria" w:cs="Times New Roman"/>
                <w:lang w:val="hr-HR"/>
              </w:rPr>
            </w:pPr>
          </w:p>
        </w:tc>
        <w:tc>
          <w:tcPr>
            <w:tcW w:w="269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414941F" w14:textId="77777777" w:rsidR="00FC4004" w:rsidRPr="00DF4CE5" w:rsidRDefault="00FC4004" w:rsidP="000F1A10">
            <w:pPr>
              <w:spacing w:after="0" w:line="240" w:lineRule="auto"/>
              <w:jc w:val="both"/>
              <w:rPr>
                <w:rFonts w:ascii="Cambria" w:eastAsia="Calibri" w:hAnsi="Cambria" w:cs="Times New Roman"/>
                <w:lang w:val="hr-HR"/>
              </w:rPr>
            </w:pPr>
            <w:r w:rsidRPr="00DF4CE5">
              <w:rPr>
                <w:rFonts w:ascii="Cambria" w:eastAsia="Calibri" w:hAnsi="Cambria" w:cs="Times New Roman"/>
                <w:bCs/>
                <w:lang w:val="hr-HR"/>
              </w:rPr>
              <w:t>Obveze</w:t>
            </w:r>
            <w:r w:rsidRPr="00DF4CE5">
              <w:rPr>
                <w:rFonts w:ascii="Cambria" w:eastAsia="Calibri" w:hAnsi="Cambria" w:cs="Times New Roman"/>
                <w:bCs/>
              </w:rPr>
              <w:t xml:space="preserve"> </w:t>
            </w:r>
          </w:p>
          <w:p w14:paraId="6483432C" w14:textId="77777777" w:rsidR="00FC4004" w:rsidRPr="00DF4CE5" w:rsidRDefault="00FC4004" w:rsidP="000F1A10">
            <w:pPr>
              <w:spacing w:after="0" w:line="240" w:lineRule="auto"/>
              <w:jc w:val="both"/>
              <w:rPr>
                <w:rFonts w:ascii="Cambria" w:eastAsia="Calibri" w:hAnsi="Cambria" w:cs="Times New Roman"/>
                <w:lang w:val="hr-HR"/>
              </w:rPr>
            </w:pP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AB4EDFE" w14:textId="77777777" w:rsidR="00FC4004" w:rsidRPr="00DF4CE5" w:rsidRDefault="00FC4004" w:rsidP="000F1A10">
            <w:pPr>
              <w:spacing w:after="0" w:line="240" w:lineRule="auto"/>
              <w:jc w:val="both"/>
              <w:rPr>
                <w:rFonts w:ascii="Cambria" w:eastAsia="Calibri" w:hAnsi="Cambria" w:cs="Times New Roman"/>
                <w:lang w:val="hr-HR"/>
              </w:rPr>
            </w:pPr>
            <w:r w:rsidRPr="00DF4CE5">
              <w:rPr>
                <w:rFonts w:ascii="Cambria" w:eastAsia="Calibri" w:hAnsi="Cambria" w:cs="Times New Roman"/>
                <w:bCs/>
                <w:lang w:val="hr-HR"/>
              </w:rPr>
              <w:t>Ishodi</w:t>
            </w:r>
          </w:p>
        </w:tc>
        <w:tc>
          <w:tcPr>
            <w:tcW w:w="92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A1AD82E" w14:textId="77777777" w:rsidR="00FC4004" w:rsidRPr="00DF4CE5" w:rsidRDefault="00FC4004" w:rsidP="000F1A10">
            <w:pPr>
              <w:spacing w:after="0" w:line="240" w:lineRule="auto"/>
              <w:jc w:val="both"/>
              <w:rPr>
                <w:rFonts w:ascii="Cambria" w:eastAsia="Calibri" w:hAnsi="Cambria" w:cs="Times New Roman"/>
                <w:lang w:val="hr-HR"/>
              </w:rPr>
            </w:pPr>
            <w:r w:rsidRPr="00DF4CE5">
              <w:rPr>
                <w:rFonts w:ascii="Cambria" w:eastAsia="Calibri" w:hAnsi="Cambria" w:cs="Times New Roman"/>
                <w:bCs/>
                <w:lang w:val="hr-HR"/>
              </w:rPr>
              <w:t>Sati</w:t>
            </w:r>
          </w:p>
        </w:tc>
        <w:tc>
          <w:tcPr>
            <w:tcW w:w="101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2E42B4F" w14:textId="77777777" w:rsidR="00FC4004" w:rsidRPr="00DF4CE5" w:rsidRDefault="00FC4004" w:rsidP="000F1A10">
            <w:pPr>
              <w:spacing w:after="0" w:line="240" w:lineRule="auto"/>
              <w:jc w:val="both"/>
              <w:rPr>
                <w:rFonts w:ascii="Cambria" w:eastAsia="Calibri" w:hAnsi="Cambria" w:cs="Times New Roman"/>
                <w:lang w:val="hr-HR"/>
              </w:rPr>
            </w:pPr>
            <w:r w:rsidRPr="00DF4CE5">
              <w:rPr>
                <w:rFonts w:ascii="Cambria" w:eastAsia="Calibri" w:hAnsi="Cambria" w:cs="Times New Roman"/>
                <w:bCs/>
                <w:lang w:val="hr-HR"/>
              </w:rPr>
              <w:t>ECTS</w:t>
            </w:r>
          </w:p>
        </w:tc>
        <w:tc>
          <w:tcPr>
            <w:tcW w:w="132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65E644B" w14:textId="77777777" w:rsidR="00FC4004" w:rsidRPr="00DF4CE5" w:rsidRDefault="00FC4004" w:rsidP="000F1A10">
            <w:pPr>
              <w:spacing w:after="0" w:line="240" w:lineRule="auto"/>
              <w:rPr>
                <w:rFonts w:ascii="Cambria" w:eastAsia="Calibri" w:hAnsi="Cambria" w:cs="Times New Roman"/>
                <w:lang w:val="hr-HR"/>
              </w:rPr>
            </w:pPr>
            <w:r w:rsidRPr="00DF4CE5">
              <w:rPr>
                <w:rFonts w:ascii="Cambria" w:eastAsia="Calibri" w:hAnsi="Cambria" w:cs="Times New Roman"/>
                <w:bCs/>
                <w:lang w:val="hr-HR"/>
              </w:rPr>
              <w:t>Maksimalni udio u ocjeni</w:t>
            </w:r>
            <w:r w:rsidRPr="00DF4CE5">
              <w:rPr>
                <w:rFonts w:ascii="Cambria" w:eastAsia="Calibri" w:hAnsi="Cambria" w:cs="Times New Roman"/>
                <w:bCs/>
              </w:rPr>
              <w:t xml:space="preserve"> (%)</w:t>
            </w:r>
          </w:p>
        </w:tc>
      </w:tr>
      <w:tr w:rsidR="00FC4004" w:rsidRPr="00DF4CE5" w14:paraId="0A3C4A1B" w14:textId="77777777" w:rsidTr="000F1A10">
        <w:tc>
          <w:tcPr>
            <w:tcW w:w="2258" w:type="dxa"/>
            <w:vMerge/>
            <w:tcBorders>
              <w:left w:val="single" w:sz="8" w:space="0" w:color="000000"/>
              <w:right w:val="single" w:sz="8" w:space="0" w:color="000000"/>
            </w:tcBorders>
            <w:vAlign w:val="center"/>
            <w:hideMark/>
          </w:tcPr>
          <w:p w14:paraId="32C075F1" w14:textId="77777777" w:rsidR="00FC4004" w:rsidRPr="00DF4CE5" w:rsidRDefault="00FC4004" w:rsidP="000F1A10">
            <w:pPr>
              <w:spacing w:after="0" w:line="240" w:lineRule="auto"/>
              <w:jc w:val="both"/>
              <w:rPr>
                <w:rFonts w:ascii="Cambria" w:eastAsia="Calibri" w:hAnsi="Cambria" w:cs="Times New Roman"/>
                <w:lang w:val="hr-HR"/>
              </w:rPr>
            </w:pPr>
          </w:p>
        </w:tc>
        <w:tc>
          <w:tcPr>
            <w:tcW w:w="269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C796177" w14:textId="77777777" w:rsidR="00FC4004" w:rsidRPr="00DF4CE5" w:rsidRDefault="00FC4004" w:rsidP="000F1A10">
            <w:pPr>
              <w:spacing w:after="0" w:line="240" w:lineRule="auto"/>
              <w:jc w:val="both"/>
              <w:rPr>
                <w:rFonts w:ascii="Cambria" w:eastAsia="Calibri" w:hAnsi="Cambria" w:cs="Times New Roman"/>
                <w:lang w:val="hr-HR"/>
              </w:rPr>
            </w:pPr>
            <w:r>
              <w:rPr>
                <w:rFonts w:ascii="Cambria" w:eastAsia="Calibri" w:hAnsi="Cambria" w:cs="Times New Roman"/>
                <w:lang w:val="hr-HR"/>
              </w:rPr>
              <w:t>a</w:t>
            </w:r>
            <w:r w:rsidRPr="00DF4CE5">
              <w:rPr>
                <w:rFonts w:ascii="Cambria" w:eastAsia="Calibri" w:hAnsi="Cambria" w:cs="Times New Roman"/>
                <w:lang w:val="hr-HR"/>
              </w:rPr>
              <w:t>ktivnost na nastavi</w:t>
            </w:r>
            <w:r>
              <w:rPr>
                <w:rFonts w:ascii="Cambria" w:eastAsia="Calibri" w:hAnsi="Cambria" w:cs="Times New Roman"/>
                <w:lang w:val="hr-HR"/>
              </w:rPr>
              <w:t xml:space="preserve"> (P, S)</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79CCD92" w14:textId="77777777" w:rsidR="00FC4004" w:rsidRPr="00DF4CE5" w:rsidRDefault="00FC4004" w:rsidP="000F1A10">
            <w:pPr>
              <w:spacing w:after="0" w:line="240" w:lineRule="auto"/>
              <w:jc w:val="center"/>
              <w:rPr>
                <w:rFonts w:ascii="Cambria" w:eastAsia="Calibri" w:hAnsi="Cambria" w:cs="Times New Roman"/>
                <w:lang w:val="hr-HR"/>
              </w:rPr>
            </w:pPr>
            <w:r w:rsidRPr="00DF4CE5">
              <w:rPr>
                <w:rFonts w:ascii="Cambria" w:eastAsia="Calibri" w:hAnsi="Cambria" w:cs="Times New Roman"/>
                <w:lang w:val="hr-HR"/>
              </w:rPr>
              <w:t xml:space="preserve">1. </w:t>
            </w:r>
            <w:r>
              <w:rPr>
                <w:rFonts w:ascii="Cambria" w:eastAsia="Calibri" w:hAnsi="Cambria" w:cs="Times New Roman"/>
                <w:lang w:val="hr-HR"/>
              </w:rPr>
              <w:t>–</w:t>
            </w:r>
            <w:r w:rsidRPr="00DF4CE5">
              <w:rPr>
                <w:rFonts w:ascii="Cambria" w:eastAsia="Calibri" w:hAnsi="Cambria" w:cs="Times New Roman"/>
                <w:lang w:val="hr-HR"/>
              </w:rPr>
              <w:t xml:space="preserve"> 5.</w:t>
            </w:r>
          </w:p>
        </w:tc>
        <w:tc>
          <w:tcPr>
            <w:tcW w:w="92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58754D8" w14:textId="77777777" w:rsidR="00FC4004" w:rsidRPr="00DF4CE5" w:rsidRDefault="00FC4004" w:rsidP="000F1A10">
            <w:pPr>
              <w:spacing w:after="0" w:line="240" w:lineRule="auto"/>
              <w:jc w:val="center"/>
              <w:rPr>
                <w:rFonts w:ascii="Cambria" w:eastAsia="Calibri" w:hAnsi="Cambria" w:cs="Times New Roman"/>
                <w:lang w:val="hr-HR"/>
              </w:rPr>
            </w:pPr>
            <w:r w:rsidRPr="00DF4CE5">
              <w:rPr>
                <w:rFonts w:ascii="Cambria" w:eastAsia="Calibri" w:hAnsi="Cambria" w:cs="Times New Roman"/>
                <w:lang w:val="hr-HR"/>
              </w:rPr>
              <w:t>23</w:t>
            </w:r>
          </w:p>
        </w:tc>
        <w:tc>
          <w:tcPr>
            <w:tcW w:w="101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3CED795" w14:textId="77777777" w:rsidR="00FC4004" w:rsidRPr="00DF4CE5" w:rsidRDefault="00FC4004" w:rsidP="000F1A10">
            <w:pPr>
              <w:spacing w:after="0" w:line="240" w:lineRule="auto"/>
              <w:jc w:val="center"/>
              <w:rPr>
                <w:rFonts w:ascii="Cambria" w:eastAsia="Calibri" w:hAnsi="Cambria" w:cs="Times New Roman"/>
                <w:lang w:val="hr-HR"/>
              </w:rPr>
            </w:pPr>
            <w:r w:rsidRPr="00DF4CE5">
              <w:rPr>
                <w:rFonts w:ascii="Cambria" w:eastAsia="Calibri" w:hAnsi="Cambria" w:cs="Times New Roman"/>
                <w:lang w:val="hr-HR"/>
              </w:rPr>
              <w:t>0,8</w:t>
            </w:r>
          </w:p>
        </w:tc>
        <w:tc>
          <w:tcPr>
            <w:tcW w:w="132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131454B" w14:textId="77777777" w:rsidR="00FC4004" w:rsidRPr="00DF4CE5" w:rsidRDefault="00FC4004" w:rsidP="000F1A10">
            <w:pPr>
              <w:spacing w:after="0" w:line="240" w:lineRule="auto"/>
              <w:jc w:val="center"/>
              <w:rPr>
                <w:rFonts w:ascii="Cambria" w:eastAsia="Calibri" w:hAnsi="Cambria" w:cs="Times New Roman"/>
                <w:lang w:val="hr-HR"/>
              </w:rPr>
            </w:pPr>
            <w:r w:rsidRPr="00DF4CE5">
              <w:rPr>
                <w:rFonts w:ascii="Cambria" w:eastAsia="Calibri" w:hAnsi="Cambria" w:cs="Times New Roman"/>
                <w:lang w:val="hr-HR"/>
              </w:rPr>
              <w:t>10%</w:t>
            </w:r>
          </w:p>
        </w:tc>
      </w:tr>
      <w:tr w:rsidR="00FC4004" w:rsidRPr="00DF4CE5" w14:paraId="6B1FAC74" w14:textId="77777777" w:rsidTr="000F1A10">
        <w:tc>
          <w:tcPr>
            <w:tcW w:w="2258" w:type="dxa"/>
            <w:vMerge/>
            <w:tcBorders>
              <w:left w:val="single" w:sz="8" w:space="0" w:color="000000"/>
              <w:right w:val="single" w:sz="8" w:space="0" w:color="000000"/>
            </w:tcBorders>
            <w:vAlign w:val="center"/>
            <w:hideMark/>
          </w:tcPr>
          <w:p w14:paraId="45F3AB06" w14:textId="77777777" w:rsidR="00FC4004" w:rsidRPr="00DF4CE5" w:rsidRDefault="00FC4004" w:rsidP="000F1A10">
            <w:pPr>
              <w:spacing w:after="0" w:line="240" w:lineRule="auto"/>
              <w:jc w:val="both"/>
              <w:rPr>
                <w:rFonts w:ascii="Cambria" w:eastAsia="Calibri" w:hAnsi="Cambria" w:cs="Times New Roman"/>
                <w:lang w:val="hr-HR"/>
              </w:rPr>
            </w:pPr>
          </w:p>
        </w:tc>
        <w:tc>
          <w:tcPr>
            <w:tcW w:w="269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FF4EE61" w14:textId="77777777" w:rsidR="00FC4004" w:rsidRPr="00DF4CE5" w:rsidRDefault="00FC4004" w:rsidP="000F1A10">
            <w:pPr>
              <w:spacing w:after="0" w:line="240" w:lineRule="auto"/>
              <w:jc w:val="both"/>
              <w:rPr>
                <w:rFonts w:ascii="Cambria" w:eastAsia="Calibri" w:hAnsi="Cambria" w:cs="Times New Roman"/>
                <w:lang w:val="hr-HR"/>
              </w:rPr>
            </w:pPr>
            <w:proofErr w:type="spellStart"/>
            <w:r>
              <w:rPr>
                <w:rFonts w:ascii="Cambria" w:eastAsia="Calibri" w:hAnsi="Cambria" w:cs="Times New Roman"/>
                <w:lang w:val="it-IT"/>
              </w:rPr>
              <w:t>s</w:t>
            </w:r>
            <w:r w:rsidRPr="00DF4CE5">
              <w:rPr>
                <w:rFonts w:ascii="Cambria" w:eastAsia="Calibri" w:hAnsi="Cambria" w:cs="Times New Roman"/>
                <w:lang w:val="it-IT"/>
              </w:rPr>
              <w:t>amostalni</w:t>
            </w:r>
            <w:proofErr w:type="spellEnd"/>
            <w:r w:rsidRPr="00DF4CE5">
              <w:rPr>
                <w:rFonts w:ascii="Cambria" w:eastAsia="Calibri" w:hAnsi="Cambria" w:cs="Times New Roman"/>
                <w:lang w:val="it-IT"/>
              </w:rPr>
              <w:t xml:space="preserve"> </w:t>
            </w:r>
            <w:proofErr w:type="spellStart"/>
            <w:r w:rsidRPr="00DF4CE5">
              <w:rPr>
                <w:rFonts w:ascii="Cambria" w:eastAsia="Calibri" w:hAnsi="Cambria" w:cs="Times New Roman"/>
                <w:lang w:val="it-IT"/>
              </w:rPr>
              <w:t>zadaci</w:t>
            </w:r>
            <w:proofErr w:type="spellEnd"/>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269D9FA" w14:textId="77777777" w:rsidR="00FC4004" w:rsidRPr="00DF4CE5" w:rsidRDefault="00FC4004" w:rsidP="000F1A10">
            <w:pPr>
              <w:spacing w:after="0" w:line="240" w:lineRule="auto"/>
              <w:jc w:val="center"/>
              <w:rPr>
                <w:rFonts w:ascii="Cambria" w:eastAsia="Calibri" w:hAnsi="Cambria" w:cs="Times New Roman"/>
                <w:lang w:val="hr-HR"/>
              </w:rPr>
            </w:pPr>
            <w:r w:rsidRPr="00DF4CE5">
              <w:rPr>
                <w:rFonts w:ascii="Cambria" w:eastAsia="Calibri" w:hAnsi="Cambria" w:cs="Times New Roman"/>
                <w:lang w:val="hr-HR"/>
              </w:rPr>
              <w:t xml:space="preserve">2. </w:t>
            </w:r>
            <w:r>
              <w:rPr>
                <w:rFonts w:ascii="Cambria" w:eastAsia="Calibri" w:hAnsi="Cambria" w:cs="Times New Roman"/>
                <w:lang w:val="hr-HR"/>
              </w:rPr>
              <w:t>–</w:t>
            </w:r>
            <w:r w:rsidRPr="00DF4CE5">
              <w:rPr>
                <w:rFonts w:ascii="Cambria" w:eastAsia="Calibri" w:hAnsi="Cambria" w:cs="Times New Roman"/>
                <w:lang w:val="hr-HR"/>
              </w:rPr>
              <w:t xml:space="preserve"> 5.</w:t>
            </w:r>
          </w:p>
        </w:tc>
        <w:tc>
          <w:tcPr>
            <w:tcW w:w="92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1DC2464" w14:textId="2F79A2BF" w:rsidR="00FC4004" w:rsidRPr="00DF4CE5" w:rsidRDefault="00FC4004" w:rsidP="000F1A10">
            <w:pPr>
              <w:spacing w:after="0" w:line="240" w:lineRule="auto"/>
              <w:jc w:val="center"/>
              <w:rPr>
                <w:rFonts w:ascii="Cambria" w:eastAsia="Calibri" w:hAnsi="Cambria" w:cs="Times New Roman"/>
                <w:lang w:val="hr-HR"/>
              </w:rPr>
            </w:pPr>
            <w:r>
              <w:rPr>
                <w:rFonts w:ascii="Cambria" w:eastAsia="Calibri" w:hAnsi="Cambria" w:cs="Times New Roman"/>
                <w:lang w:val="hr-HR"/>
              </w:rPr>
              <w:t>3</w:t>
            </w:r>
            <w:r w:rsidRPr="00DF4CE5">
              <w:rPr>
                <w:rFonts w:ascii="Cambria" w:eastAsia="Calibri" w:hAnsi="Cambria" w:cs="Times New Roman"/>
                <w:lang w:val="hr-HR"/>
              </w:rPr>
              <w:t>7</w:t>
            </w:r>
          </w:p>
        </w:tc>
        <w:tc>
          <w:tcPr>
            <w:tcW w:w="101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56CB844" w14:textId="00EEB643" w:rsidR="00FC4004" w:rsidRPr="00DF4CE5" w:rsidRDefault="00FC4004" w:rsidP="000F1A10">
            <w:pPr>
              <w:spacing w:after="0" w:line="240" w:lineRule="auto"/>
              <w:jc w:val="center"/>
              <w:rPr>
                <w:rFonts w:ascii="Cambria" w:eastAsia="Calibri" w:hAnsi="Cambria" w:cs="Times New Roman"/>
                <w:lang w:val="hr-HR"/>
              </w:rPr>
            </w:pPr>
            <w:r>
              <w:rPr>
                <w:rFonts w:ascii="Cambria" w:eastAsia="Calibri" w:hAnsi="Cambria" w:cs="Times New Roman"/>
                <w:lang w:val="hr-HR"/>
              </w:rPr>
              <w:t>1</w:t>
            </w:r>
            <w:r w:rsidRPr="00DF4CE5">
              <w:rPr>
                <w:rFonts w:ascii="Cambria" w:eastAsia="Calibri" w:hAnsi="Cambria" w:cs="Times New Roman"/>
                <w:lang w:val="hr-HR"/>
              </w:rPr>
              <w:t>,2</w:t>
            </w:r>
          </w:p>
        </w:tc>
        <w:tc>
          <w:tcPr>
            <w:tcW w:w="132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6E5DB6C" w14:textId="77777777" w:rsidR="00FC4004" w:rsidRPr="00DF4CE5" w:rsidRDefault="00FC4004" w:rsidP="000F1A10">
            <w:pPr>
              <w:spacing w:after="0" w:line="240" w:lineRule="auto"/>
              <w:jc w:val="center"/>
              <w:rPr>
                <w:rFonts w:ascii="Cambria" w:eastAsia="Calibri" w:hAnsi="Cambria" w:cs="Times New Roman"/>
                <w:lang w:val="hr-HR"/>
              </w:rPr>
            </w:pPr>
            <w:r w:rsidRPr="00DF4CE5">
              <w:rPr>
                <w:rFonts w:ascii="Cambria" w:eastAsia="Calibri" w:hAnsi="Cambria" w:cs="Times New Roman"/>
                <w:lang w:val="hr-HR"/>
              </w:rPr>
              <w:t>30%</w:t>
            </w:r>
          </w:p>
        </w:tc>
      </w:tr>
      <w:tr w:rsidR="00FC4004" w:rsidRPr="00DF4CE5" w14:paraId="7C18421B" w14:textId="77777777" w:rsidTr="000F1A10">
        <w:tc>
          <w:tcPr>
            <w:tcW w:w="2258" w:type="dxa"/>
            <w:vMerge/>
            <w:tcBorders>
              <w:left w:val="single" w:sz="8" w:space="0" w:color="000000"/>
              <w:right w:val="single" w:sz="8" w:space="0" w:color="000000"/>
            </w:tcBorders>
            <w:vAlign w:val="center"/>
            <w:hideMark/>
          </w:tcPr>
          <w:p w14:paraId="3927BF79" w14:textId="77777777" w:rsidR="00FC4004" w:rsidRPr="00DF4CE5" w:rsidRDefault="00FC4004" w:rsidP="000F1A10">
            <w:pPr>
              <w:spacing w:after="0" w:line="240" w:lineRule="auto"/>
              <w:jc w:val="both"/>
              <w:rPr>
                <w:rFonts w:ascii="Cambria" w:eastAsia="Calibri" w:hAnsi="Cambria" w:cs="Times New Roman"/>
                <w:lang w:val="hr-HR"/>
              </w:rPr>
            </w:pPr>
          </w:p>
        </w:tc>
        <w:tc>
          <w:tcPr>
            <w:tcW w:w="269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4E95CFF" w14:textId="77777777" w:rsidR="00FC4004" w:rsidRPr="00DF4CE5" w:rsidRDefault="00FC4004" w:rsidP="000F1A10">
            <w:pPr>
              <w:spacing w:after="0" w:line="240" w:lineRule="auto"/>
              <w:jc w:val="both"/>
              <w:rPr>
                <w:rFonts w:ascii="Cambria" w:eastAsia="Calibri" w:hAnsi="Cambria" w:cs="Times New Roman"/>
                <w:lang w:val="hr-HR"/>
              </w:rPr>
            </w:pPr>
            <w:r>
              <w:rPr>
                <w:rFonts w:ascii="Cambria" w:eastAsia="Calibri" w:hAnsi="Cambria" w:cs="Times New Roman"/>
                <w:lang w:val="hr-HR"/>
              </w:rPr>
              <w:t>s</w:t>
            </w:r>
            <w:r w:rsidRPr="00DF4CE5">
              <w:rPr>
                <w:rFonts w:ascii="Cambria" w:eastAsia="Calibri" w:hAnsi="Cambria" w:cs="Times New Roman"/>
                <w:lang w:val="hr-HR"/>
              </w:rPr>
              <w:t>eminarski rad</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7A18CE3" w14:textId="77777777" w:rsidR="00FC4004" w:rsidRPr="00DF4CE5" w:rsidRDefault="00FC4004" w:rsidP="000F1A10">
            <w:pPr>
              <w:spacing w:after="0" w:line="240" w:lineRule="auto"/>
              <w:jc w:val="center"/>
              <w:rPr>
                <w:rFonts w:ascii="Cambria" w:eastAsia="Calibri" w:hAnsi="Cambria" w:cs="Times New Roman"/>
                <w:lang w:val="hr-HR"/>
              </w:rPr>
            </w:pPr>
            <w:r w:rsidRPr="00DF4CE5">
              <w:rPr>
                <w:rFonts w:ascii="Cambria" w:eastAsia="Calibri" w:hAnsi="Cambria" w:cs="Times New Roman"/>
                <w:lang w:val="hr-HR"/>
              </w:rPr>
              <w:t xml:space="preserve">1. </w:t>
            </w:r>
            <w:r>
              <w:rPr>
                <w:rFonts w:ascii="Cambria" w:eastAsia="Calibri" w:hAnsi="Cambria" w:cs="Times New Roman"/>
                <w:lang w:val="hr-HR"/>
              </w:rPr>
              <w:t>–</w:t>
            </w:r>
            <w:r w:rsidRPr="00DF4CE5">
              <w:rPr>
                <w:rFonts w:ascii="Cambria" w:eastAsia="Calibri" w:hAnsi="Cambria" w:cs="Times New Roman"/>
                <w:lang w:val="hr-HR"/>
              </w:rPr>
              <w:t xml:space="preserve"> 5.</w:t>
            </w:r>
          </w:p>
        </w:tc>
        <w:tc>
          <w:tcPr>
            <w:tcW w:w="92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BA6A9AC" w14:textId="77777777" w:rsidR="00FC4004" w:rsidRPr="00DF4CE5" w:rsidRDefault="00FC4004" w:rsidP="000F1A10">
            <w:pPr>
              <w:spacing w:after="0" w:line="240" w:lineRule="auto"/>
              <w:jc w:val="center"/>
              <w:rPr>
                <w:rFonts w:ascii="Cambria" w:eastAsia="Calibri" w:hAnsi="Cambria" w:cs="Times New Roman"/>
                <w:lang w:val="hr-HR"/>
              </w:rPr>
            </w:pPr>
            <w:r w:rsidRPr="00DF4CE5">
              <w:rPr>
                <w:rFonts w:ascii="Cambria" w:eastAsia="Calibri" w:hAnsi="Cambria" w:cs="Times New Roman"/>
                <w:lang w:val="hr-HR"/>
              </w:rPr>
              <w:t>15</w:t>
            </w:r>
          </w:p>
        </w:tc>
        <w:tc>
          <w:tcPr>
            <w:tcW w:w="101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3C7F0B7" w14:textId="77777777" w:rsidR="00FC4004" w:rsidRPr="00DF4CE5" w:rsidRDefault="00FC4004" w:rsidP="000F1A10">
            <w:pPr>
              <w:spacing w:after="0" w:line="240" w:lineRule="auto"/>
              <w:jc w:val="center"/>
              <w:rPr>
                <w:rFonts w:ascii="Cambria" w:eastAsia="Calibri" w:hAnsi="Cambria" w:cs="Times New Roman"/>
                <w:lang w:val="hr-HR"/>
              </w:rPr>
            </w:pPr>
            <w:r w:rsidRPr="00DF4CE5">
              <w:rPr>
                <w:rFonts w:ascii="Cambria" w:eastAsia="Calibri" w:hAnsi="Cambria" w:cs="Times New Roman"/>
                <w:lang w:val="hr-HR"/>
              </w:rPr>
              <w:t>0,5</w:t>
            </w:r>
          </w:p>
        </w:tc>
        <w:tc>
          <w:tcPr>
            <w:tcW w:w="132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86A9664" w14:textId="77777777" w:rsidR="00FC4004" w:rsidRPr="00DF4CE5" w:rsidRDefault="00FC4004" w:rsidP="000F1A10">
            <w:pPr>
              <w:spacing w:after="0" w:line="240" w:lineRule="auto"/>
              <w:jc w:val="center"/>
              <w:rPr>
                <w:rFonts w:ascii="Cambria" w:eastAsia="Calibri" w:hAnsi="Cambria" w:cs="Times New Roman"/>
                <w:lang w:val="hr-HR"/>
              </w:rPr>
            </w:pPr>
            <w:r w:rsidRPr="00DF4CE5">
              <w:rPr>
                <w:rFonts w:ascii="Cambria" w:eastAsia="Calibri" w:hAnsi="Cambria" w:cs="Times New Roman"/>
                <w:lang w:val="hr-HR"/>
              </w:rPr>
              <w:t>30%</w:t>
            </w:r>
          </w:p>
        </w:tc>
      </w:tr>
      <w:tr w:rsidR="00FC4004" w:rsidRPr="00DF4CE5" w14:paraId="210CD260" w14:textId="77777777" w:rsidTr="000F1A10">
        <w:tc>
          <w:tcPr>
            <w:tcW w:w="2258" w:type="dxa"/>
            <w:vMerge/>
            <w:tcBorders>
              <w:left w:val="single" w:sz="8" w:space="0" w:color="000000"/>
              <w:right w:val="single" w:sz="8" w:space="0" w:color="000000"/>
            </w:tcBorders>
            <w:vAlign w:val="center"/>
            <w:hideMark/>
          </w:tcPr>
          <w:p w14:paraId="49AD0676" w14:textId="77777777" w:rsidR="00FC4004" w:rsidRPr="00DF4CE5" w:rsidRDefault="00FC4004" w:rsidP="000F1A10">
            <w:pPr>
              <w:spacing w:after="0" w:line="240" w:lineRule="auto"/>
              <w:jc w:val="both"/>
              <w:rPr>
                <w:rFonts w:ascii="Cambria" w:eastAsia="Calibri" w:hAnsi="Cambria" w:cs="Times New Roman"/>
                <w:lang w:val="hr-HR"/>
              </w:rPr>
            </w:pPr>
          </w:p>
        </w:tc>
        <w:tc>
          <w:tcPr>
            <w:tcW w:w="269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DDDB210" w14:textId="77777777" w:rsidR="00FC4004" w:rsidRPr="00DF4CE5" w:rsidRDefault="00FC4004" w:rsidP="000F1A10">
            <w:pPr>
              <w:spacing w:after="0" w:line="240" w:lineRule="auto"/>
              <w:jc w:val="both"/>
              <w:rPr>
                <w:rFonts w:ascii="Cambria" w:eastAsia="Calibri" w:hAnsi="Cambria" w:cs="Times New Roman"/>
                <w:lang w:val="hr-HR"/>
              </w:rPr>
            </w:pPr>
            <w:r>
              <w:rPr>
                <w:rFonts w:ascii="Cambria" w:eastAsia="Calibri" w:hAnsi="Cambria" w:cs="Times New Roman"/>
                <w:lang w:val="hr-HR"/>
              </w:rPr>
              <w:t>i</w:t>
            </w:r>
            <w:r w:rsidRPr="00DF4CE5">
              <w:rPr>
                <w:rFonts w:ascii="Cambria" w:eastAsia="Calibri" w:hAnsi="Cambria" w:cs="Times New Roman"/>
                <w:lang w:val="hr-HR"/>
              </w:rPr>
              <w:t>spit pisani</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D04D773" w14:textId="77777777" w:rsidR="00FC4004" w:rsidRPr="00DF4CE5" w:rsidRDefault="00FC4004" w:rsidP="000F1A10">
            <w:pPr>
              <w:spacing w:after="0" w:line="240" w:lineRule="auto"/>
              <w:jc w:val="center"/>
              <w:rPr>
                <w:rFonts w:ascii="Cambria" w:eastAsia="Calibri" w:hAnsi="Cambria" w:cs="Times New Roman"/>
                <w:lang w:val="hr-HR"/>
              </w:rPr>
            </w:pPr>
            <w:r w:rsidRPr="00DF4CE5">
              <w:rPr>
                <w:rFonts w:ascii="Cambria" w:eastAsia="Calibri" w:hAnsi="Cambria" w:cs="Times New Roman"/>
                <w:lang w:val="hr-HR"/>
              </w:rPr>
              <w:t>1., 2., 5.</w:t>
            </w:r>
          </w:p>
        </w:tc>
        <w:tc>
          <w:tcPr>
            <w:tcW w:w="92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DC9FCC5" w14:textId="77777777" w:rsidR="00FC4004" w:rsidRPr="00DF4CE5" w:rsidRDefault="00FC4004" w:rsidP="000F1A10">
            <w:pPr>
              <w:spacing w:after="0" w:line="240" w:lineRule="auto"/>
              <w:jc w:val="center"/>
              <w:rPr>
                <w:rFonts w:ascii="Cambria" w:eastAsia="Calibri" w:hAnsi="Cambria" w:cs="Times New Roman"/>
                <w:lang w:val="hr-HR"/>
              </w:rPr>
            </w:pPr>
            <w:r w:rsidRPr="00DF4CE5">
              <w:rPr>
                <w:rFonts w:ascii="Cambria" w:eastAsia="Calibri" w:hAnsi="Cambria" w:cs="Times New Roman"/>
                <w:lang w:val="hr-HR"/>
              </w:rPr>
              <w:t>15</w:t>
            </w:r>
          </w:p>
        </w:tc>
        <w:tc>
          <w:tcPr>
            <w:tcW w:w="101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8F2C891" w14:textId="77777777" w:rsidR="00FC4004" w:rsidRPr="00DF4CE5" w:rsidRDefault="00FC4004" w:rsidP="000F1A10">
            <w:pPr>
              <w:spacing w:after="0" w:line="240" w:lineRule="auto"/>
              <w:jc w:val="center"/>
              <w:rPr>
                <w:rFonts w:ascii="Cambria" w:eastAsia="Calibri" w:hAnsi="Cambria" w:cs="Times New Roman"/>
                <w:lang w:val="hr-HR"/>
              </w:rPr>
            </w:pPr>
            <w:r w:rsidRPr="00DF4CE5">
              <w:rPr>
                <w:rFonts w:ascii="Cambria" w:eastAsia="Calibri" w:hAnsi="Cambria" w:cs="Times New Roman"/>
                <w:lang w:val="hr-HR"/>
              </w:rPr>
              <w:t>0,5</w:t>
            </w:r>
          </w:p>
        </w:tc>
        <w:tc>
          <w:tcPr>
            <w:tcW w:w="132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5052297" w14:textId="77777777" w:rsidR="00FC4004" w:rsidRPr="00DF4CE5" w:rsidRDefault="00FC4004" w:rsidP="000F1A10">
            <w:pPr>
              <w:spacing w:after="0" w:line="240" w:lineRule="auto"/>
              <w:jc w:val="center"/>
              <w:rPr>
                <w:rFonts w:ascii="Cambria" w:eastAsia="Calibri" w:hAnsi="Cambria" w:cs="Times New Roman"/>
                <w:lang w:val="hr-HR"/>
              </w:rPr>
            </w:pPr>
            <w:r w:rsidRPr="00DF4CE5">
              <w:rPr>
                <w:rFonts w:ascii="Cambria" w:eastAsia="Calibri" w:hAnsi="Cambria" w:cs="Times New Roman"/>
                <w:lang w:val="hr-HR"/>
              </w:rPr>
              <w:t>30%</w:t>
            </w:r>
          </w:p>
        </w:tc>
      </w:tr>
      <w:tr w:rsidR="00FC4004" w:rsidRPr="00DF4CE5" w14:paraId="43DB28D7" w14:textId="77777777" w:rsidTr="000F1A10">
        <w:tc>
          <w:tcPr>
            <w:tcW w:w="2258" w:type="dxa"/>
            <w:vMerge/>
            <w:tcBorders>
              <w:left w:val="single" w:sz="8" w:space="0" w:color="000000"/>
              <w:right w:val="single" w:sz="8" w:space="0" w:color="000000"/>
            </w:tcBorders>
            <w:vAlign w:val="center"/>
            <w:hideMark/>
          </w:tcPr>
          <w:p w14:paraId="03EF6659" w14:textId="77777777" w:rsidR="00FC4004" w:rsidRPr="00DF4CE5" w:rsidRDefault="00FC4004" w:rsidP="000F1A10">
            <w:pPr>
              <w:spacing w:after="0" w:line="240" w:lineRule="auto"/>
              <w:jc w:val="both"/>
              <w:rPr>
                <w:rFonts w:ascii="Cambria" w:eastAsia="Calibri" w:hAnsi="Cambria" w:cs="Times New Roman"/>
                <w:lang w:val="hr-HR"/>
              </w:rPr>
            </w:pPr>
          </w:p>
        </w:tc>
        <w:tc>
          <w:tcPr>
            <w:tcW w:w="382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2362406" w14:textId="77777777" w:rsidR="00FC4004" w:rsidRPr="00DF4CE5" w:rsidRDefault="00FC4004" w:rsidP="000F1A10">
            <w:pPr>
              <w:spacing w:after="0" w:line="240" w:lineRule="auto"/>
              <w:jc w:val="both"/>
              <w:rPr>
                <w:rFonts w:ascii="Cambria" w:eastAsia="Calibri" w:hAnsi="Cambria" w:cs="Times New Roman"/>
                <w:lang w:val="hr-HR"/>
              </w:rPr>
            </w:pPr>
            <w:proofErr w:type="spellStart"/>
            <w:r>
              <w:rPr>
                <w:rFonts w:ascii="Cambria" w:eastAsia="Calibri" w:hAnsi="Cambria" w:cs="Times New Roman"/>
                <w:lang w:val="it-IT"/>
              </w:rPr>
              <w:t>u</w:t>
            </w:r>
            <w:r w:rsidRPr="00DF4CE5">
              <w:rPr>
                <w:rFonts w:ascii="Cambria" w:eastAsia="Calibri" w:hAnsi="Cambria" w:cs="Times New Roman"/>
                <w:lang w:val="it-IT"/>
              </w:rPr>
              <w:t>kupno</w:t>
            </w:r>
            <w:proofErr w:type="spellEnd"/>
          </w:p>
        </w:tc>
        <w:tc>
          <w:tcPr>
            <w:tcW w:w="92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210BCCB" w14:textId="304E9B04" w:rsidR="00FC4004" w:rsidRPr="00DF4CE5" w:rsidRDefault="00FC4004" w:rsidP="000F1A10">
            <w:pPr>
              <w:spacing w:after="0" w:line="240" w:lineRule="auto"/>
              <w:jc w:val="center"/>
              <w:rPr>
                <w:rFonts w:ascii="Cambria" w:eastAsia="Calibri" w:hAnsi="Cambria" w:cs="Times New Roman"/>
                <w:lang w:val="hr-HR"/>
              </w:rPr>
            </w:pPr>
            <w:r>
              <w:rPr>
                <w:rFonts w:ascii="Cambria" w:eastAsia="Calibri" w:hAnsi="Cambria" w:cs="Times New Roman"/>
                <w:lang w:val="hr-HR"/>
              </w:rPr>
              <w:t>90</w:t>
            </w:r>
          </w:p>
        </w:tc>
        <w:tc>
          <w:tcPr>
            <w:tcW w:w="101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7277D95" w14:textId="04E3BA95" w:rsidR="00FC4004" w:rsidRPr="00DF4CE5" w:rsidRDefault="00FC4004" w:rsidP="000F1A10">
            <w:pPr>
              <w:spacing w:after="0" w:line="240" w:lineRule="auto"/>
              <w:jc w:val="center"/>
              <w:rPr>
                <w:rFonts w:ascii="Cambria" w:eastAsia="Calibri" w:hAnsi="Cambria" w:cs="Times New Roman"/>
                <w:lang w:val="hr-HR"/>
              </w:rPr>
            </w:pPr>
            <w:r>
              <w:rPr>
                <w:rFonts w:ascii="Cambria" w:eastAsia="Calibri" w:hAnsi="Cambria" w:cs="Times New Roman"/>
                <w:lang w:val="hr-HR"/>
              </w:rPr>
              <w:t>3</w:t>
            </w:r>
          </w:p>
        </w:tc>
        <w:tc>
          <w:tcPr>
            <w:tcW w:w="132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1097BB1" w14:textId="77777777" w:rsidR="00FC4004" w:rsidRPr="00DF4CE5" w:rsidRDefault="00FC4004" w:rsidP="000F1A10">
            <w:pPr>
              <w:spacing w:after="0" w:line="240" w:lineRule="auto"/>
              <w:jc w:val="center"/>
              <w:rPr>
                <w:rFonts w:ascii="Cambria" w:eastAsia="Calibri" w:hAnsi="Cambria" w:cs="Times New Roman"/>
                <w:lang w:val="hr-HR"/>
              </w:rPr>
            </w:pPr>
            <w:r w:rsidRPr="00DF4CE5">
              <w:rPr>
                <w:rFonts w:ascii="Cambria" w:eastAsia="Calibri" w:hAnsi="Cambria" w:cs="Times New Roman"/>
                <w:lang w:val="hr-HR"/>
              </w:rPr>
              <w:t>100%</w:t>
            </w:r>
          </w:p>
        </w:tc>
      </w:tr>
      <w:tr w:rsidR="00FC4004" w:rsidRPr="00D0399C" w14:paraId="3FED467E" w14:textId="77777777" w:rsidTr="000F1A10">
        <w:tc>
          <w:tcPr>
            <w:tcW w:w="2258" w:type="dxa"/>
            <w:vMerge/>
            <w:tcBorders>
              <w:left w:val="single" w:sz="8" w:space="0" w:color="000000"/>
              <w:bottom w:val="single" w:sz="8" w:space="0" w:color="000000"/>
              <w:right w:val="single" w:sz="8" w:space="0" w:color="000000"/>
            </w:tcBorders>
            <w:vAlign w:val="center"/>
          </w:tcPr>
          <w:p w14:paraId="49BA9D64" w14:textId="77777777" w:rsidR="00FC4004" w:rsidRPr="00DF4CE5" w:rsidRDefault="00FC4004" w:rsidP="000F1A10">
            <w:pPr>
              <w:spacing w:after="0" w:line="240" w:lineRule="auto"/>
              <w:jc w:val="both"/>
              <w:rPr>
                <w:rFonts w:ascii="Cambria" w:eastAsia="Calibri" w:hAnsi="Cambria" w:cs="Times New Roman"/>
                <w:lang w:val="hr-HR"/>
              </w:rPr>
            </w:pPr>
          </w:p>
        </w:tc>
        <w:tc>
          <w:tcPr>
            <w:tcW w:w="7082" w:type="dxa"/>
            <w:gridSpan w:val="6"/>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734E4A4" w14:textId="77777777" w:rsidR="00FC4004" w:rsidRPr="00DF4CE5" w:rsidRDefault="00FC4004" w:rsidP="000F1A10">
            <w:pPr>
              <w:spacing w:after="0" w:line="240" w:lineRule="auto"/>
              <w:jc w:val="both"/>
              <w:rPr>
                <w:rFonts w:ascii="Cambria" w:eastAsia="Calibri" w:hAnsi="Cambria" w:cs="Times New Roman"/>
                <w:lang w:val="hr-HR"/>
              </w:rPr>
            </w:pPr>
            <w:r w:rsidRPr="00DF4CE5">
              <w:rPr>
                <w:rFonts w:ascii="Cambria" w:eastAsia="Calibri" w:hAnsi="Cambria" w:cs="Times New Roman"/>
                <w:lang w:val="hr-HR"/>
              </w:rPr>
              <w:t xml:space="preserve">Dodatna pojašnjenja (kriteriji ocjenjivanja): </w:t>
            </w:r>
          </w:p>
          <w:p w14:paraId="63341CDA" w14:textId="77777777" w:rsidR="00FC4004" w:rsidRPr="00DF4CE5" w:rsidRDefault="00FC4004" w:rsidP="000F1A10">
            <w:pPr>
              <w:spacing w:after="0" w:line="240" w:lineRule="auto"/>
              <w:jc w:val="both"/>
              <w:rPr>
                <w:rFonts w:ascii="Cambria" w:eastAsia="Calibri" w:hAnsi="Cambria" w:cs="Times New Roman"/>
                <w:lang w:val="hr-HR"/>
              </w:rPr>
            </w:pPr>
            <w:r w:rsidRPr="00DF4CE5">
              <w:rPr>
                <w:rFonts w:ascii="Cambria" w:eastAsia="Calibri" w:hAnsi="Cambria" w:cs="Times New Roman"/>
                <w:lang w:val="hr-HR"/>
              </w:rPr>
              <w:lastRenderedPageBreak/>
              <w:t>Prisustvo na nastavi</w:t>
            </w:r>
          </w:p>
          <w:p w14:paraId="6143B6A7" w14:textId="77777777" w:rsidR="00FC4004" w:rsidRPr="00DF4CE5" w:rsidRDefault="00FC4004" w:rsidP="000F1A10">
            <w:pPr>
              <w:autoSpaceDE w:val="0"/>
              <w:autoSpaceDN w:val="0"/>
              <w:adjustRightInd w:val="0"/>
              <w:spacing w:after="0"/>
              <w:jc w:val="both"/>
              <w:rPr>
                <w:rFonts w:ascii="Cambria" w:eastAsia="Calibri" w:hAnsi="Cambria" w:cs="Times New Roman"/>
                <w:lang w:val="hr-HR"/>
              </w:rPr>
            </w:pPr>
            <w:r w:rsidRPr="00DF4CE5">
              <w:rPr>
                <w:rFonts w:ascii="Cambria" w:eastAsia="Calibri" w:hAnsi="Cambria" w:cs="Arial"/>
                <w:lang w:val="hr-HR"/>
              </w:rPr>
              <w:t>Poželjno je da studentice/studenti prisustvuju i aktivno sudjeluju na nastavi. Studentica/student može prikupiti 10 % bodova ako izostane s održane nastave manje od 4 puta. Za veći broj izostanaka oduzimaju se bodovi po ovoj formuli: 1 bod za 4 izostanka, 3 boda za 5 izostanaka, 6 bodova za 6 izostanaka i 10 bodova za 7 ili više izostanaka. Izostanak se ne može nadoknaditi i ne treba se opravdavati.</w:t>
            </w:r>
          </w:p>
          <w:p w14:paraId="7DC30E3D" w14:textId="77777777" w:rsidR="00FC4004" w:rsidRPr="00DF4CE5" w:rsidRDefault="00FC4004" w:rsidP="000F1A10">
            <w:pPr>
              <w:spacing w:after="0"/>
              <w:jc w:val="both"/>
              <w:rPr>
                <w:rFonts w:ascii="Cambria" w:eastAsia="Calibri" w:hAnsi="Cambria" w:cs="Arial"/>
                <w:lang w:val="hr-HR"/>
              </w:rPr>
            </w:pPr>
            <w:r w:rsidRPr="00DF4CE5">
              <w:rPr>
                <w:rFonts w:ascii="Cambria" w:eastAsia="Calibri" w:hAnsi="Cambria" w:cs="Arial"/>
                <w:lang w:val="hr-HR"/>
              </w:rPr>
              <w:t>Priprema i vrednovanje seminarskog rada</w:t>
            </w:r>
          </w:p>
          <w:p w14:paraId="3F0637BE" w14:textId="77777777" w:rsidR="00FC4004" w:rsidRPr="00DF4CE5" w:rsidRDefault="00FC4004" w:rsidP="000F1A10">
            <w:pPr>
              <w:spacing w:after="0"/>
              <w:jc w:val="both"/>
              <w:rPr>
                <w:rFonts w:ascii="Cambria" w:eastAsia="Calibri" w:hAnsi="Cambria" w:cs="Arial"/>
                <w:u w:val="single"/>
                <w:lang w:val="hr-HR"/>
              </w:rPr>
            </w:pPr>
            <w:r w:rsidRPr="00DF4CE5">
              <w:rPr>
                <w:rFonts w:ascii="Cambria" w:eastAsia="Calibri" w:hAnsi="Cambria" w:cs="Arial"/>
                <w:lang w:val="hr-HR"/>
              </w:rPr>
              <w:t>Osnovni cilj seminarskog rada jeste zainteresirati i informirati studente o odabranoj seminarskoj temi. Izvedba seminara treba trajati 15 minuta.</w:t>
            </w:r>
          </w:p>
          <w:p w14:paraId="6C9537FB" w14:textId="77777777" w:rsidR="00FC4004" w:rsidRPr="00DF4CE5" w:rsidRDefault="00FC4004" w:rsidP="000F1A10">
            <w:pPr>
              <w:spacing w:after="0"/>
              <w:jc w:val="both"/>
              <w:rPr>
                <w:rFonts w:ascii="Cambria" w:eastAsia="Calibri" w:hAnsi="Cambria" w:cs="Arial"/>
                <w:lang w:val="hr-HR"/>
              </w:rPr>
            </w:pPr>
            <w:r w:rsidRPr="00DF4CE5">
              <w:rPr>
                <w:rFonts w:ascii="Cambria" w:eastAsia="Calibri" w:hAnsi="Cambria" w:cs="Arial"/>
                <w:lang w:val="hr-HR"/>
              </w:rPr>
              <w:t>Studenti odabiru temu seminarskoga rada na portalu za udaljeno učenje (e-učenje). Studenti su dužni prezentaciju i ostale elektronske materijale koje će koristiti u izlaganju predati na forumu kolegija (e-učenje) najkasnije 72 sata prije izlaganja.</w:t>
            </w:r>
          </w:p>
          <w:p w14:paraId="33918EB9" w14:textId="77777777" w:rsidR="00FC4004" w:rsidRPr="00DF4CE5" w:rsidRDefault="00FC4004" w:rsidP="000F1A10">
            <w:pPr>
              <w:spacing w:after="0"/>
              <w:jc w:val="both"/>
              <w:rPr>
                <w:rFonts w:ascii="Cambria" w:eastAsia="Calibri" w:hAnsi="Cambria" w:cs="Arial"/>
                <w:lang w:val="hr-HR"/>
              </w:rPr>
            </w:pPr>
            <w:r w:rsidRPr="00DF4CE5">
              <w:rPr>
                <w:rFonts w:ascii="Cambria" w:eastAsia="Calibri" w:hAnsi="Cambria" w:cs="Arial"/>
                <w:lang w:val="hr-HR"/>
              </w:rPr>
              <w:t>Pri vrednovanju seminarskog rada važni su sljedeći pokazatelji:</w:t>
            </w:r>
          </w:p>
          <w:p w14:paraId="721D1078" w14:textId="77777777" w:rsidR="00FC4004" w:rsidRPr="00DF4CE5" w:rsidRDefault="00FC4004" w:rsidP="000F1A10">
            <w:pPr>
              <w:spacing w:after="0"/>
              <w:jc w:val="both"/>
              <w:rPr>
                <w:rFonts w:ascii="Cambria" w:eastAsia="Calibri" w:hAnsi="Cambria" w:cs="Arial"/>
                <w:lang w:val="hr-HR"/>
              </w:rPr>
            </w:pPr>
            <w:r w:rsidRPr="00DF4CE5">
              <w:rPr>
                <w:rFonts w:ascii="Cambria" w:eastAsia="Calibri" w:hAnsi="Cambria" w:cs="Arial"/>
                <w:lang w:val="hr-HR"/>
              </w:rPr>
              <w:t>1. Pokrivenost teme (jesu li predstavljeni najvažniji sadržaji na primjeren način, jesu li navedeni odgovarajući primjeri)</w:t>
            </w:r>
          </w:p>
          <w:p w14:paraId="600DAD73" w14:textId="77777777" w:rsidR="00FC4004" w:rsidRPr="00DF4CE5" w:rsidRDefault="00FC4004" w:rsidP="000F1A10">
            <w:pPr>
              <w:spacing w:after="0"/>
              <w:jc w:val="both"/>
              <w:rPr>
                <w:rFonts w:ascii="Cambria" w:eastAsia="Calibri" w:hAnsi="Cambria" w:cs="Arial"/>
                <w:lang w:val="hr-HR"/>
              </w:rPr>
            </w:pPr>
            <w:r w:rsidRPr="00DF4CE5">
              <w:rPr>
                <w:rFonts w:ascii="Cambria" w:eastAsia="Calibri" w:hAnsi="Cambria" w:cs="Arial"/>
                <w:lang w:val="hr-HR"/>
              </w:rPr>
              <w:t>2. Izlaganje teme (sigurnost, bez čitanja bilješki, jasnoća, razumljivost, izostanak grešaka – sadržajnih i jezičnih)</w:t>
            </w:r>
          </w:p>
          <w:p w14:paraId="07C3F750" w14:textId="77777777" w:rsidR="00FC4004" w:rsidRPr="00977220" w:rsidRDefault="00FC4004" w:rsidP="000F1A10">
            <w:pPr>
              <w:spacing w:after="0" w:line="240" w:lineRule="auto"/>
              <w:jc w:val="both"/>
              <w:rPr>
                <w:rFonts w:ascii="Cambria" w:eastAsia="Calibri" w:hAnsi="Cambria" w:cs="Arial"/>
                <w:lang w:val="hr-HR"/>
              </w:rPr>
            </w:pPr>
            <w:r w:rsidRPr="00DF4CE5">
              <w:rPr>
                <w:rFonts w:ascii="Cambria" w:eastAsia="Calibri" w:hAnsi="Cambria" w:cs="Arial"/>
                <w:lang w:val="hr-HR"/>
              </w:rPr>
              <w:t>3. Aktivnost i motiviranje studenata (sposobnost zadržavanja pažnje na izloženim temama i aktivnostima; uspješno poticanje studenata na aktivno sudjelovanje)</w:t>
            </w:r>
          </w:p>
          <w:p w14:paraId="03F36613" w14:textId="77777777" w:rsidR="00FC4004" w:rsidRPr="00DF4CE5" w:rsidRDefault="00FC4004" w:rsidP="000F1A10">
            <w:pPr>
              <w:spacing w:after="0" w:line="240" w:lineRule="auto"/>
              <w:jc w:val="both"/>
              <w:rPr>
                <w:rFonts w:ascii="Cambria" w:eastAsia="Calibri" w:hAnsi="Cambria" w:cs="Times New Roman"/>
                <w:lang w:val="hr-HR"/>
              </w:rPr>
            </w:pPr>
            <w:r w:rsidRPr="00DF4CE5">
              <w:rPr>
                <w:rFonts w:ascii="Cambria" w:eastAsia="Calibri" w:hAnsi="Cambria" w:cs="Times New Roman"/>
                <w:lang w:val="hr-HR"/>
              </w:rPr>
              <w:t>Završni ispit</w:t>
            </w:r>
          </w:p>
          <w:p w14:paraId="2B9F883F" w14:textId="77777777" w:rsidR="00FC4004" w:rsidRPr="00DF4CE5" w:rsidRDefault="00FC4004" w:rsidP="000F1A10">
            <w:pPr>
              <w:spacing w:after="0" w:line="240" w:lineRule="auto"/>
              <w:jc w:val="both"/>
              <w:rPr>
                <w:rFonts w:ascii="Cambria" w:eastAsia="Calibri" w:hAnsi="Cambria" w:cs="Arial"/>
                <w:lang w:val="hr-HR"/>
              </w:rPr>
            </w:pPr>
            <w:r w:rsidRPr="00DF4CE5">
              <w:rPr>
                <w:rFonts w:ascii="Cambria" w:eastAsia="Calibri" w:hAnsi="Cambria" w:cs="Arial"/>
                <w:lang w:val="hr-HR"/>
              </w:rPr>
              <w:t xml:space="preserve">Završna provjera znanja provodi se završnim usmenim ispitom. </w:t>
            </w:r>
          </w:p>
          <w:p w14:paraId="223AAC36" w14:textId="77777777" w:rsidR="00FC4004" w:rsidRPr="00DF4CE5" w:rsidRDefault="00FC4004" w:rsidP="000F1A10">
            <w:pPr>
              <w:spacing w:after="0" w:line="240" w:lineRule="auto"/>
              <w:jc w:val="both"/>
              <w:rPr>
                <w:rFonts w:ascii="Cambria" w:eastAsia="Calibri" w:hAnsi="Cambria" w:cs="Times New Roman"/>
                <w:lang w:val="hr-HR"/>
              </w:rPr>
            </w:pPr>
            <w:r w:rsidRPr="00DF4CE5">
              <w:rPr>
                <w:rFonts w:ascii="Cambria" w:eastAsia="Calibri" w:hAnsi="Cambria" w:cs="Arial"/>
                <w:lang w:val="hr-HR"/>
              </w:rPr>
              <w:t xml:space="preserve">Studentica/student koji ne može prisustvovati završnoj provjeri znanja mora na vrijeme otkazati prijavu ispita ili će se smatrati da je ispitu pristupio i da ga nije položio. </w:t>
            </w:r>
          </w:p>
        </w:tc>
      </w:tr>
      <w:tr w:rsidR="00FC4004" w:rsidRPr="00DF4CE5" w14:paraId="6A94785A" w14:textId="77777777" w:rsidTr="000F1A10">
        <w:tc>
          <w:tcPr>
            <w:tcW w:w="225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CB6366E" w14:textId="77777777" w:rsidR="00FC4004" w:rsidRPr="00DF4CE5" w:rsidRDefault="00FC4004" w:rsidP="000F1A10">
            <w:pPr>
              <w:spacing w:after="0" w:line="240" w:lineRule="auto"/>
              <w:jc w:val="both"/>
              <w:rPr>
                <w:rFonts w:ascii="Cambria" w:eastAsia="Calibri" w:hAnsi="Cambria" w:cs="Times New Roman"/>
                <w:lang w:val="hr-HR"/>
              </w:rPr>
            </w:pPr>
            <w:r w:rsidRPr="00DF4CE5">
              <w:rPr>
                <w:rFonts w:ascii="Cambria" w:eastAsia="Calibri" w:hAnsi="Cambria" w:cs="Times New Roman"/>
                <w:lang w:val="hr-HR"/>
              </w:rPr>
              <w:lastRenderedPageBreak/>
              <w:t>Studentske obveze</w:t>
            </w:r>
          </w:p>
        </w:tc>
        <w:tc>
          <w:tcPr>
            <w:tcW w:w="7082"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552C798" w14:textId="77777777" w:rsidR="00FC4004" w:rsidRPr="00DF4CE5" w:rsidRDefault="00FC4004" w:rsidP="000F1A10">
            <w:pPr>
              <w:spacing w:after="0" w:line="240" w:lineRule="auto"/>
              <w:jc w:val="both"/>
              <w:rPr>
                <w:rFonts w:ascii="Cambria" w:eastAsia="Calibri" w:hAnsi="Cambria" w:cs="Times New Roman"/>
                <w:lang w:val="hr-HR"/>
              </w:rPr>
            </w:pPr>
            <w:r w:rsidRPr="00DF4CE5">
              <w:rPr>
                <w:rFonts w:ascii="Cambria" w:eastAsia="Calibri" w:hAnsi="Cambria" w:cs="Times New Roman"/>
                <w:lang w:val="hr-HR"/>
              </w:rPr>
              <w:t>Da položi kolegij, student/studentica mora:</w:t>
            </w:r>
          </w:p>
          <w:p w14:paraId="13BFDD73" w14:textId="77777777" w:rsidR="00FC4004" w:rsidRDefault="00FC4004" w:rsidP="000F1A10">
            <w:pPr>
              <w:spacing w:after="0" w:line="240" w:lineRule="auto"/>
              <w:jc w:val="both"/>
              <w:rPr>
                <w:rFonts w:ascii="Cambria" w:eastAsia="Calibri" w:hAnsi="Cambria" w:cs="Times New Roman"/>
                <w:lang w:val="hr-HR"/>
              </w:rPr>
            </w:pPr>
            <w:r w:rsidRPr="00DF4CE5">
              <w:rPr>
                <w:rFonts w:ascii="Cambria" w:eastAsia="Calibri" w:hAnsi="Cambria" w:cs="Times New Roman"/>
                <w:lang w:val="hr-HR"/>
              </w:rPr>
              <w:t xml:space="preserve">1. </w:t>
            </w:r>
            <w:r>
              <w:rPr>
                <w:rFonts w:ascii="Cambria" w:eastAsia="Calibri" w:hAnsi="Cambria" w:cs="Times New Roman"/>
                <w:lang w:val="hr-HR"/>
              </w:rPr>
              <w:t>p</w:t>
            </w:r>
            <w:r w:rsidRPr="00DF4CE5">
              <w:rPr>
                <w:rFonts w:ascii="Cambria" w:eastAsia="Calibri" w:hAnsi="Cambria" w:cs="Times New Roman"/>
                <w:lang w:val="hr-HR"/>
              </w:rPr>
              <w:t xml:space="preserve">ohađati </w:t>
            </w:r>
            <w:r>
              <w:rPr>
                <w:rFonts w:ascii="Cambria" w:eastAsia="Calibri" w:hAnsi="Cambria" w:cs="Times New Roman"/>
                <w:lang w:val="hr-HR"/>
              </w:rPr>
              <w:t xml:space="preserve">i aktivno sudjelovati na nastavi </w:t>
            </w:r>
          </w:p>
          <w:p w14:paraId="429F4657" w14:textId="77777777" w:rsidR="00FC4004" w:rsidRPr="00DF4CE5" w:rsidRDefault="00FC4004" w:rsidP="000F1A10">
            <w:pPr>
              <w:spacing w:after="0" w:line="240" w:lineRule="auto"/>
              <w:jc w:val="both"/>
              <w:rPr>
                <w:rFonts w:ascii="Cambria" w:eastAsia="Calibri" w:hAnsi="Cambria" w:cs="Times New Roman"/>
                <w:lang w:val="hr-HR"/>
              </w:rPr>
            </w:pPr>
            <w:r w:rsidRPr="00DF4CE5">
              <w:rPr>
                <w:rFonts w:ascii="Cambria" w:eastAsia="Calibri" w:hAnsi="Cambria" w:cs="Times New Roman"/>
                <w:lang w:val="hr-HR"/>
              </w:rPr>
              <w:t>2.</w:t>
            </w:r>
            <w:r>
              <w:rPr>
                <w:rFonts w:ascii="Cambria" w:eastAsia="Calibri" w:hAnsi="Cambria" w:cs="Times New Roman"/>
                <w:lang w:val="hr-HR"/>
              </w:rPr>
              <w:t xml:space="preserve"> u</w:t>
            </w:r>
            <w:r w:rsidRPr="00DF4CE5">
              <w:rPr>
                <w:rFonts w:ascii="Cambria" w:eastAsia="Calibri" w:hAnsi="Cambria" w:cs="Times New Roman"/>
                <w:lang w:val="hr-HR"/>
              </w:rPr>
              <w:t xml:space="preserve">smeno izložiti seminarski rad na odabranu temu, prema </w:t>
            </w:r>
            <w:proofErr w:type="spellStart"/>
            <w:r w:rsidRPr="00DF4CE5">
              <w:rPr>
                <w:rFonts w:ascii="Cambria" w:eastAsia="Calibri" w:hAnsi="Cambria" w:cs="Times New Roman"/>
                <w:lang w:val="hr-HR"/>
              </w:rPr>
              <w:t>vremeniku</w:t>
            </w:r>
            <w:proofErr w:type="spellEnd"/>
            <w:r w:rsidRPr="00DF4CE5">
              <w:rPr>
                <w:rFonts w:ascii="Cambria" w:eastAsia="Calibri" w:hAnsi="Cambria" w:cs="Times New Roman"/>
                <w:lang w:val="hr-HR"/>
              </w:rPr>
              <w:t xml:space="preserve"> izlaganja koji će biti dogovoren na prvom susretu i objavljen na portalu za udaljeno učenje</w:t>
            </w:r>
          </w:p>
          <w:p w14:paraId="735A4EF8" w14:textId="77777777" w:rsidR="00FC4004" w:rsidRPr="00DF4CE5" w:rsidRDefault="00FC4004" w:rsidP="000F1A10">
            <w:pPr>
              <w:spacing w:after="0" w:line="240" w:lineRule="auto"/>
              <w:jc w:val="both"/>
              <w:rPr>
                <w:rFonts w:ascii="Cambria" w:eastAsia="Calibri" w:hAnsi="Cambria" w:cs="Times New Roman"/>
                <w:lang w:val="hr-HR"/>
              </w:rPr>
            </w:pPr>
            <w:r w:rsidRPr="00DF4CE5">
              <w:rPr>
                <w:rFonts w:ascii="Cambria" w:eastAsia="Calibri" w:hAnsi="Cambria" w:cs="Times New Roman"/>
                <w:lang w:val="hr-HR"/>
              </w:rPr>
              <w:t xml:space="preserve">3. </w:t>
            </w:r>
            <w:r>
              <w:rPr>
                <w:rFonts w:ascii="Cambria" w:eastAsia="Calibri" w:hAnsi="Cambria" w:cs="Times New Roman"/>
                <w:lang w:val="hr-HR"/>
              </w:rPr>
              <w:t>p</w:t>
            </w:r>
            <w:r w:rsidRPr="00DF4CE5">
              <w:rPr>
                <w:rFonts w:ascii="Cambria" w:eastAsia="Calibri" w:hAnsi="Cambria" w:cs="Times New Roman"/>
                <w:lang w:val="hr-HR"/>
              </w:rPr>
              <w:t>oložiti ispit.</w:t>
            </w:r>
          </w:p>
        </w:tc>
      </w:tr>
      <w:tr w:rsidR="00FC4004" w:rsidRPr="00D0399C" w14:paraId="4EA0517B" w14:textId="77777777" w:rsidTr="000F1A10">
        <w:tc>
          <w:tcPr>
            <w:tcW w:w="225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CDA0310" w14:textId="77777777" w:rsidR="00FC4004" w:rsidRPr="00DF4CE5" w:rsidRDefault="00FC4004" w:rsidP="000F1A10">
            <w:pPr>
              <w:spacing w:after="0" w:line="240" w:lineRule="auto"/>
              <w:rPr>
                <w:rFonts w:ascii="Cambria" w:eastAsia="Calibri" w:hAnsi="Cambria" w:cs="Times New Roman"/>
                <w:lang w:val="hr-HR"/>
              </w:rPr>
            </w:pPr>
            <w:proofErr w:type="spellStart"/>
            <w:r w:rsidRPr="00DF4CE5">
              <w:rPr>
                <w:rFonts w:ascii="Cambria" w:eastAsia="Calibri" w:hAnsi="Cambria" w:cs="Times New Roman"/>
              </w:rPr>
              <w:t>Rokovi</w:t>
            </w:r>
            <w:proofErr w:type="spellEnd"/>
            <w:r w:rsidRPr="00DF4CE5">
              <w:rPr>
                <w:rFonts w:ascii="Cambria" w:eastAsia="Calibri" w:hAnsi="Cambria" w:cs="Times New Roman"/>
              </w:rPr>
              <w:t xml:space="preserve"> </w:t>
            </w:r>
            <w:proofErr w:type="spellStart"/>
            <w:r w:rsidRPr="00DF4CE5">
              <w:rPr>
                <w:rFonts w:ascii="Cambria" w:eastAsia="Calibri" w:hAnsi="Cambria" w:cs="Times New Roman"/>
              </w:rPr>
              <w:t>ispita</w:t>
            </w:r>
            <w:proofErr w:type="spellEnd"/>
            <w:r w:rsidRPr="00DF4CE5">
              <w:rPr>
                <w:rFonts w:ascii="Cambria" w:eastAsia="Calibri" w:hAnsi="Cambria" w:cs="Times New Roman"/>
              </w:rPr>
              <w:t xml:space="preserve"> </w:t>
            </w:r>
            <w:proofErr w:type="spellStart"/>
            <w:r w:rsidRPr="00DF4CE5">
              <w:rPr>
                <w:rFonts w:ascii="Cambria" w:eastAsia="Calibri" w:hAnsi="Cambria" w:cs="Times New Roman"/>
              </w:rPr>
              <w:t>i</w:t>
            </w:r>
            <w:proofErr w:type="spellEnd"/>
            <w:r w:rsidRPr="00DF4CE5">
              <w:rPr>
                <w:rFonts w:ascii="Cambria" w:eastAsia="Calibri" w:hAnsi="Cambria" w:cs="Times New Roman"/>
              </w:rPr>
              <w:t xml:space="preserve"> </w:t>
            </w:r>
            <w:proofErr w:type="spellStart"/>
            <w:r w:rsidRPr="00DF4CE5">
              <w:rPr>
                <w:rFonts w:ascii="Cambria" w:eastAsia="Calibri" w:hAnsi="Cambria" w:cs="Times New Roman"/>
              </w:rPr>
              <w:t>kolokvija</w:t>
            </w:r>
            <w:proofErr w:type="spellEnd"/>
          </w:p>
        </w:tc>
        <w:tc>
          <w:tcPr>
            <w:tcW w:w="7082"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2B46C02" w14:textId="77777777" w:rsidR="00FC4004" w:rsidRPr="00DF4CE5" w:rsidRDefault="00FC4004" w:rsidP="000F1A10">
            <w:pPr>
              <w:spacing w:after="0" w:line="240" w:lineRule="auto"/>
              <w:jc w:val="both"/>
              <w:rPr>
                <w:rFonts w:ascii="Cambria" w:eastAsia="Calibri" w:hAnsi="Cambria" w:cs="Times New Roman"/>
                <w:lang w:val="hr-HR"/>
              </w:rPr>
            </w:pPr>
            <w:r w:rsidRPr="00DF4CE5">
              <w:rPr>
                <w:rFonts w:ascii="Cambria" w:eastAsia="Calibri" w:hAnsi="Cambria" w:cs="Times New Roman"/>
                <w:lang w:val="hr-HR"/>
              </w:rPr>
              <w:t xml:space="preserve">Rokovi ispita se objavljuju u ISVU sustavu. </w:t>
            </w:r>
          </w:p>
        </w:tc>
      </w:tr>
      <w:tr w:rsidR="00FC4004" w:rsidRPr="00DF4CE5" w14:paraId="45DC0247" w14:textId="77777777" w:rsidTr="000F1A10">
        <w:tc>
          <w:tcPr>
            <w:tcW w:w="225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762C3D5" w14:textId="77777777" w:rsidR="00FC4004" w:rsidRPr="00DF4CE5" w:rsidRDefault="00FC4004" w:rsidP="000F1A10">
            <w:pPr>
              <w:spacing w:after="0" w:line="240" w:lineRule="auto"/>
              <w:rPr>
                <w:rFonts w:ascii="Cambria" w:eastAsia="Calibri" w:hAnsi="Cambria" w:cs="Times New Roman"/>
                <w:lang w:val="hr-HR"/>
              </w:rPr>
            </w:pPr>
            <w:r w:rsidRPr="00DF4CE5">
              <w:rPr>
                <w:rFonts w:ascii="Cambria" w:eastAsia="Calibri" w:hAnsi="Cambria" w:cs="Times New Roman"/>
                <w:lang w:val="hr-HR"/>
              </w:rPr>
              <w:t xml:space="preserve">Ostale važne činjenice </w:t>
            </w:r>
            <w:proofErr w:type="spellStart"/>
            <w:r w:rsidRPr="00DF4CE5">
              <w:rPr>
                <w:rFonts w:ascii="Cambria" w:eastAsia="Calibri" w:hAnsi="Cambria" w:cs="Times New Roman"/>
                <w:lang w:val="it-IT"/>
              </w:rPr>
              <w:t>vezane</w:t>
            </w:r>
            <w:proofErr w:type="spellEnd"/>
            <w:r w:rsidRPr="00DF4CE5">
              <w:rPr>
                <w:rFonts w:ascii="Cambria" w:eastAsia="Calibri" w:hAnsi="Cambria" w:cs="Times New Roman"/>
                <w:lang w:val="it-IT"/>
              </w:rPr>
              <w:t xml:space="preserve"> </w:t>
            </w:r>
            <w:proofErr w:type="spellStart"/>
            <w:r w:rsidRPr="00DF4CE5">
              <w:rPr>
                <w:rFonts w:ascii="Cambria" w:eastAsia="Calibri" w:hAnsi="Cambria" w:cs="Times New Roman"/>
                <w:lang w:val="it-IT"/>
              </w:rPr>
              <w:t>uz</w:t>
            </w:r>
            <w:proofErr w:type="spellEnd"/>
            <w:r w:rsidRPr="00DF4CE5">
              <w:rPr>
                <w:rFonts w:ascii="Cambria" w:eastAsia="Calibri" w:hAnsi="Cambria" w:cs="Times New Roman"/>
                <w:lang w:val="it-IT"/>
              </w:rPr>
              <w:t xml:space="preserve"> </w:t>
            </w:r>
            <w:proofErr w:type="spellStart"/>
            <w:r w:rsidRPr="00DF4CE5">
              <w:rPr>
                <w:rFonts w:ascii="Cambria" w:eastAsia="Calibri" w:hAnsi="Cambria" w:cs="Times New Roman"/>
                <w:lang w:val="it-IT"/>
              </w:rPr>
              <w:t>kolegij</w:t>
            </w:r>
            <w:proofErr w:type="spellEnd"/>
          </w:p>
        </w:tc>
        <w:tc>
          <w:tcPr>
            <w:tcW w:w="7082"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2FFAEA7" w14:textId="77777777" w:rsidR="00FC4004" w:rsidRPr="00DF4CE5" w:rsidRDefault="00FC4004" w:rsidP="000F1A10">
            <w:pPr>
              <w:spacing w:after="0" w:line="240" w:lineRule="auto"/>
              <w:jc w:val="both"/>
              <w:rPr>
                <w:rFonts w:ascii="Cambria" w:eastAsia="Calibri" w:hAnsi="Cambria" w:cs="Times New Roman"/>
                <w:lang w:val="hr-HR"/>
              </w:rPr>
            </w:pPr>
            <w:r w:rsidRPr="00DF4CE5">
              <w:rPr>
                <w:rFonts w:ascii="Cambria" w:hAnsi="Cambria"/>
                <w:lang w:val="hr-HR"/>
              </w:rPr>
              <w:t xml:space="preserve">U slučaju održavanja nastave na daljinu, moguće je odstupanje u: mjestu izvođenja kolegija, provedbi aktivnosti, metoda tumačenja i poučavanja i načinima vrednovanja, studentskim obvezama i dostupnoj literaturi. </w:t>
            </w:r>
            <w:r w:rsidRPr="00FD3975">
              <w:rPr>
                <w:rFonts w:ascii="Cambria" w:hAnsi="Cambria"/>
                <w:lang w:val="hr-HR"/>
              </w:rPr>
              <w:t>O tome će nositeljica kolegija obavijestiti studente i studentice kad se nastava na daljinu počne održavati. Ishodi učenja ostaju nepromijenjeni.</w:t>
            </w:r>
          </w:p>
        </w:tc>
      </w:tr>
      <w:tr w:rsidR="00FC4004" w:rsidRPr="00D0399C" w14:paraId="5C6024C7" w14:textId="77777777" w:rsidTr="000F1A10">
        <w:tc>
          <w:tcPr>
            <w:tcW w:w="225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4502DD2" w14:textId="77777777" w:rsidR="00FC4004" w:rsidRPr="00DF4CE5" w:rsidRDefault="00FC4004" w:rsidP="000F1A10">
            <w:pPr>
              <w:spacing w:after="0" w:line="240" w:lineRule="auto"/>
              <w:rPr>
                <w:rFonts w:ascii="Cambria" w:eastAsia="Calibri" w:hAnsi="Cambria" w:cs="Times New Roman"/>
                <w:lang w:val="hr-HR"/>
              </w:rPr>
            </w:pPr>
            <w:r>
              <w:rPr>
                <w:rFonts w:ascii="Cambria" w:eastAsia="Calibri" w:hAnsi="Cambria" w:cs="Times New Roman"/>
                <w:lang w:val="hr-HR"/>
              </w:rPr>
              <w:t>Literatura</w:t>
            </w:r>
          </w:p>
        </w:tc>
        <w:tc>
          <w:tcPr>
            <w:tcW w:w="7082"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2FA8477" w14:textId="77777777" w:rsidR="00FC4004" w:rsidRPr="00DF4CE5" w:rsidRDefault="00FC4004" w:rsidP="000F1A10">
            <w:pPr>
              <w:spacing w:after="0" w:line="240" w:lineRule="auto"/>
              <w:jc w:val="both"/>
              <w:rPr>
                <w:rFonts w:ascii="Cambria" w:eastAsia="Calibri" w:hAnsi="Cambria" w:cs="Times New Roman"/>
                <w:lang w:val="hr-HR"/>
              </w:rPr>
            </w:pPr>
            <w:r w:rsidRPr="00DF4CE5">
              <w:rPr>
                <w:rFonts w:ascii="Cambria" w:eastAsia="Calibri" w:hAnsi="Cambria" w:cs="Times New Roman"/>
                <w:lang w:val="hr-HR"/>
              </w:rPr>
              <w:t xml:space="preserve">Obvezna: </w:t>
            </w:r>
          </w:p>
          <w:p w14:paraId="4FB8A564" w14:textId="77777777" w:rsidR="00FC4004" w:rsidRPr="00DF4CE5" w:rsidRDefault="00FC4004" w:rsidP="000F1A10">
            <w:pPr>
              <w:spacing w:after="0" w:line="240" w:lineRule="auto"/>
              <w:jc w:val="both"/>
              <w:rPr>
                <w:rFonts w:ascii="Cambria" w:eastAsia="Calibri" w:hAnsi="Cambria" w:cs="Times New Roman"/>
                <w:lang w:val="hr-HR"/>
              </w:rPr>
            </w:pPr>
            <w:proofErr w:type="spellStart"/>
            <w:r w:rsidRPr="00DF4CE5">
              <w:rPr>
                <w:rFonts w:ascii="Cambria" w:eastAsia="Calibri" w:hAnsi="Cambria" w:cs="Times New Roman"/>
                <w:lang w:val="hr-HR"/>
              </w:rPr>
              <w:t>Hameršak</w:t>
            </w:r>
            <w:proofErr w:type="spellEnd"/>
            <w:r w:rsidRPr="00DF4CE5">
              <w:rPr>
                <w:rFonts w:ascii="Cambria" w:eastAsia="Calibri" w:hAnsi="Cambria" w:cs="Times New Roman"/>
                <w:lang w:val="hr-HR"/>
              </w:rPr>
              <w:t xml:space="preserve">, M., Zima, D. (2015) Uvod u dječju književnost. Zagreb: </w:t>
            </w:r>
            <w:proofErr w:type="spellStart"/>
            <w:r w:rsidRPr="00DF4CE5">
              <w:rPr>
                <w:rFonts w:ascii="Cambria" w:eastAsia="Calibri" w:hAnsi="Cambria" w:cs="Times New Roman"/>
                <w:lang w:val="hr-HR"/>
              </w:rPr>
              <w:t>Leykam</w:t>
            </w:r>
            <w:proofErr w:type="spellEnd"/>
            <w:r w:rsidRPr="00DF4CE5">
              <w:rPr>
                <w:rFonts w:ascii="Cambria" w:eastAsia="Calibri" w:hAnsi="Cambria" w:cs="Times New Roman"/>
                <w:lang w:val="hr-HR"/>
              </w:rPr>
              <w:t xml:space="preserve"> International, str. 197.-224.</w:t>
            </w:r>
          </w:p>
          <w:p w14:paraId="79ADD733" w14:textId="77777777" w:rsidR="00FC4004" w:rsidRPr="00DF4CE5" w:rsidRDefault="00FC4004" w:rsidP="000F1A10">
            <w:pPr>
              <w:spacing w:after="0"/>
              <w:jc w:val="both"/>
              <w:rPr>
                <w:rFonts w:ascii="Cambria" w:eastAsia="Calibri" w:hAnsi="Cambria" w:cs="Times New Roman"/>
                <w:bCs/>
                <w:lang w:val="hr-HR"/>
              </w:rPr>
            </w:pPr>
            <w:proofErr w:type="spellStart"/>
            <w:r w:rsidRPr="00DF4CE5">
              <w:rPr>
                <w:rFonts w:ascii="Cambria" w:eastAsia="Calibri" w:hAnsi="Cambria" w:cs="Times New Roman"/>
                <w:bCs/>
                <w:lang w:val="hr-HR"/>
              </w:rPr>
              <w:t>Majhut</w:t>
            </w:r>
            <w:proofErr w:type="spellEnd"/>
            <w:r w:rsidRPr="00DF4CE5">
              <w:rPr>
                <w:rFonts w:ascii="Cambria" w:eastAsia="Calibri" w:hAnsi="Cambria" w:cs="Times New Roman"/>
                <w:bCs/>
                <w:lang w:val="hr-HR"/>
              </w:rPr>
              <w:t>, B. (2005) Pustolov, siroče i dječja družba: hrvatski dječji roman do 1945. Zagreb: FF press, Zagreb.</w:t>
            </w:r>
          </w:p>
          <w:p w14:paraId="1D25B29F" w14:textId="77777777" w:rsidR="00FC4004" w:rsidRPr="00977220" w:rsidRDefault="00FC4004" w:rsidP="000F1A10">
            <w:pPr>
              <w:spacing w:after="0"/>
              <w:jc w:val="both"/>
              <w:rPr>
                <w:rFonts w:ascii="Cambria" w:eastAsia="Calibri" w:hAnsi="Cambria" w:cs="Times New Roman"/>
                <w:bCs/>
                <w:lang w:val="hr-HR"/>
              </w:rPr>
            </w:pPr>
            <w:proofErr w:type="spellStart"/>
            <w:r w:rsidRPr="00DF4CE5">
              <w:rPr>
                <w:rFonts w:ascii="Cambria" w:eastAsia="Calibri" w:hAnsi="Cambria" w:cs="Times New Roman"/>
                <w:bCs/>
                <w:lang w:val="hr-HR"/>
              </w:rPr>
              <w:t>Vrcić</w:t>
            </w:r>
            <w:proofErr w:type="spellEnd"/>
            <w:r w:rsidRPr="00DF4CE5">
              <w:rPr>
                <w:rFonts w:ascii="Cambria" w:eastAsia="Calibri" w:hAnsi="Cambria" w:cs="Times New Roman"/>
                <w:bCs/>
                <w:lang w:val="hr-HR"/>
              </w:rPr>
              <w:t xml:space="preserve">-Mataija, S. (2018) Hrvatski realistični dječji roman, Zadar: Sveučilište u Zadru. </w:t>
            </w:r>
          </w:p>
          <w:p w14:paraId="4A42313D" w14:textId="77777777" w:rsidR="00FC4004" w:rsidRPr="00DF4CE5" w:rsidRDefault="00FC4004" w:rsidP="000F1A10">
            <w:pPr>
              <w:spacing w:after="0" w:line="240" w:lineRule="auto"/>
              <w:jc w:val="both"/>
              <w:rPr>
                <w:rFonts w:ascii="Cambria" w:eastAsia="Calibri" w:hAnsi="Cambria" w:cs="Times New Roman"/>
                <w:lang w:val="hr-HR"/>
              </w:rPr>
            </w:pPr>
            <w:r w:rsidRPr="00DF4CE5">
              <w:rPr>
                <w:rFonts w:ascii="Cambria" w:eastAsia="Calibri" w:hAnsi="Cambria" w:cs="Times New Roman"/>
                <w:lang w:val="hr-HR"/>
              </w:rPr>
              <w:t>Izborna:</w:t>
            </w:r>
          </w:p>
          <w:p w14:paraId="6867C2D4" w14:textId="77777777" w:rsidR="00FC4004" w:rsidRPr="00DF4CE5" w:rsidRDefault="00FC4004" w:rsidP="000F1A10">
            <w:pPr>
              <w:spacing w:after="0" w:line="240" w:lineRule="auto"/>
              <w:jc w:val="both"/>
              <w:rPr>
                <w:rFonts w:ascii="Cambria" w:eastAsia="Calibri" w:hAnsi="Cambria" w:cs="Times New Roman"/>
                <w:lang w:val="hr-HR"/>
              </w:rPr>
            </w:pPr>
            <w:proofErr w:type="spellStart"/>
            <w:r w:rsidRPr="00DF4CE5">
              <w:rPr>
                <w:rFonts w:ascii="Cambria" w:eastAsia="Calibri" w:hAnsi="Cambria" w:cs="Times New Roman"/>
                <w:lang w:val="hr-HR"/>
              </w:rPr>
              <w:t>Hranjec</w:t>
            </w:r>
            <w:proofErr w:type="spellEnd"/>
            <w:r w:rsidRPr="00DF4CE5">
              <w:rPr>
                <w:rFonts w:ascii="Cambria" w:eastAsia="Calibri" w:hAnsi="Cambria" w:cs="Times New Roman"/>
                <w:lang w:val="hr-HR"/>
              </w:rPr>
              <w:t>, S. (1998) Hrvatski dječji roman. Zagreb: Znanje.</w:t>
            </w:r>
          </w:p>
          <w:p w14:paraId="6FAA3EC4" w14:textId="77777777" w:rsidR="00FC4004" w:rsidRPr="00DF4CE5" w:rsidRDefault="00FC4004" w:rsidP="000F1A10">
            <w:pPr>
              <w:spacing w:after="0" w:line="240" w:lineRule="auto"/>
              <w:jc w:val="both"/>
              <w:rPr>
                <w:rFonts w:ascii="Cambria" w:eastAsia="Calibri" w:hAnsi="Cambria" w:cs="Times New Roman"/>
                <w:lang w:val="hr-HR"/>
              </w:rPr>
            </w:pPr>
            <w:r w:rsidRPr="00DF4CE5">
              <w:rPr>
                <w:rFonts w:ascii="Cambria" w:eastAsia="Calibri" w:hAnsi="Cambria" w:cs="Times New Roman"/>
                <w:lang w:val="hr-HR"/>
              </w:rPr>
              <w:lastRenderedPageBreak/>
              <w:t>Kolar-Dimitrijević, M. (2012) Tragovi vremena u djelima Mate Lovraka. Zagreb: Srednja Europa.</w:t>
            </w:r>
          </w:p>
          <w:p w14:paraId="7136D9CA" w14:textId="77777777" w:rsidR="00FC4004" w:rsidRPr="00DF4CE5" w:rsidRDefault="00FC4004" w:rsidP="000F1A10">
            <w:pPr>
              <w:spacing w:after="0" w:line="240" w:lineRule="auto"/>
              <w:jc w:val="both"/>
              <w:rPr>
                <w:rFonts w:ascii="Cambria" w:eastAsia="Calibri" w:hAnsi="Cambria" w:cs="Times New Roman"/>
                <w:lang w:val="hr-HR"/>
              </w:rPr>
            </w:pPr>
            <w:proofErr w:type="spellStart"/>
            <w:r w:rsidRPr="00DF4CE5">
              <w:rPr>
                <w:rFonts w:ascii="Cambria" w:eastAsia="Calibri" w:hAnsi="Cambria" w:cs="Times New Roman"/>
                <w:lang w:val="hr-HR"/>
              </w:rPr>
              <w:t>Majhut</w:t>
            </w:r>
            <w:proofErr w:type="spellEnd"/>
            <w:r w:rsidRPr="00DF4CE5">
              <w:rPr>
                <w:rFonts w:ascii="Cambria" w:eastAsia="Calibri" w:hAnsi="Cambria" w:cs="Times New Roman"/>
                <w:lang w:val="hr-HR"/>
              </w:rPr>
              <w:t xml:space="preserve">, B. (2008) </w:t>
            </w:r>
            <w:hyperlink r:id="rId116" w:history="1">
              <w:r w:rsidRPr="00DF4CE5">
                <w:rPr>
                  <w:rFonts w:ascii="Cambria" w:eastAsia="Calibri" w:hAnsi="Cambria" w:cs="Times New Roman"/>
                  <w:color w:val="0563C1"/>
                  <w:u w:val="single"/>
                  <w:lang w:val="hr-HR"/>
                </w:rPr>
                <w:t>Recepcija romana Čudnovate zgode Šegrta Hlapića Ivane Brlić Mažuranić</w:t>
              </w:r>
            </w:hyperlink>
            <w:r w:rsidRPr="00DF4CE5">
              <w:rPr>
                <w:rFonts w:ascii="Cambria" w:eastAsia="Calibri" w:hAnsi="Cambria" w:cs="Times New Roman"/>
                <w:lang w:val="hr-HR"/>
              </w:rPr>
              <w:t xml:space="preserve">, Nova </w:t>
            </w:r>
            <w:proofErr w:type="spellStart"/>
            <w:r w:rsidRPr="00DF4CE5">
              <w:rPr>
                <w:rFonts w:ascii="Cambria" w:eastAsia="Calibri" w:hAnsi="Cambria" w:cs="Times New Roman"/>
                <w:lang w:val="hr-HR"/>
              </w:rPr>
              <w:t>Croatica</w:t>
            </w:r>
            <w:proofErr w:type="spellEnd"/>
            <w:r w:rsidRPr="00DF4CE5">
              <w:rPr>
                <w:rFonts w:ascii="Cambria" w:eastAsia="Calibri" w:hAnsi="Cambria" w:cs="Times New Roman"/>
                <w:lang w:val="hr-HR"/>
              </w:rPr>
              <w:t xml:space="preserve"> 2 (2), 43-115. </w:t>
            </w:r>
          </w:p>
          <w:p w14:paraId="604E0C7F" w14:textId="77777777" w:rsidR="00FC4004" w:rsidRPr="00DF4CE5" w:rsidRDefault="00FC4004" w:rsidP="000F1A10">
            <w:pPr>
              <w:spacing w:after="0" w:line="240" w:lineRule="auto"/>
              <w:ind w:right="-13"/>
              <w:jc w:val="both"/>
              <w:rPr>
                <w:rFonts w:ascii="Cambria" w:eastAsia="Calibri" w:hAnsi="Cambria" w:cs="Times New Roman"/>
                <w:lang w:val="hr-HR"/>
              </w:rPr>
            </w:pPr>
            <w:r w:rsidRPr="00DF4CE5">
              <w:rPr>
                <w:rFonts w:ascii="Cambria" w:eastAsia="Calibri" w:hAnsi="Cambria" w:cs="Times New Roman"/>
                <w:lang w:val="hr-HR"/>
              </w:rPr>
              <w:t>Težak, D. (1990) Dječji junak u romanu i filmu. Zagreb: Školske novine.</w:t>
            </w:r>
          </w:p>
          <w:p w14:paraId="2D42568E" w14:textId="77777777" w:rsidR="00FC4004" w:rsidRPr="00DF4CE5" w:rsidRDefault="00FC4004" w:rsidP="000F1A10">
            <w:pPr>
              <w:spacing w:after="0" w:line="240" w:lineRule="auto"/>
              <w:jc w:val="both"/>
              <w:rPr>
                <w:rFonts w:ascii="Cambria" w:eastAsia="Calibri" w:hAnsi="Cambria" w:cs="Times New Roman"/>
                <w:lang w:val="hr-HR"/>
              </w:rPr>
            </w:pPr>
            <w:r w:rsidRPr="00DF4CE5">
              <w:rPr>
                <w:rFonts w:ascii="Cambria" w:eastAsia="Calibri" w:hAnsi="Cambria" w:cs="Times New Roman"/>
                <w:lang w:val="hr-HR"/>
              </w:rPr>
              <w:t xml:space="preserve">Težak, D. (2006) </w:t>
            </w:r>
            <w:hyperlink r:id="rId117" w:history="1">
              <w:r w:rsidRPr="00DF4CE5">
                <w:rPr>
                  <w:rFonts w:ascii="Cambria" w:eastAsia="Calibri" w:hAnsi="Cambria" w:cs="Times New Roman"/>
                  <w:color w:val="0563C1"/>
                  <w:u w:val="single"/>
                  <w:lang w:val="hr-HR"/>
                </w:rPr>
                <w:t>Vitez i Kušan – začetnici moderne hrvatske dječje književnosti</w:t>
              </w:r>
            </w:hyperlink>
            <w:r w:rsidRPr="00DF4CE5">
              <w:rPr>
                <w:rFonts w:ascii="Cambria" w:eastAsia="Calibri" w:hAnsi="Cambria" w:cs="Times New Roman"/>
                <w:lang w:val="hr-HR"/>
              </w:rPr>
              <w:t xml:space="preserve">. Metodika 7 (3), 279-288. </w:t>
            </w:r>
          </w:p>
          <w:p w14:paraId="64FF4712" w14:textId="77777777" w:rsidR="00FC4004" w:rsidRPr="00DF4CE5" w:rsidRDefault="00FC4004" w:rsidP="000F1A10">
            <w:pPr>
              <w:spacing w:after="0" w:line="240" w:lineRule="auto"/>
              <w:jc w:val="both"/>
              <w:rPr>
                <w:rFonts w:ascii="Cambria" w:eastAsia="Calibri" w:hAnsi="Cambria" w:cs="Times New Roman"/>
                <w:lang w:val="hr-HR"/>
              </w:rPr>
            </w:pPr>
            <w:proofErr w:type="spellStart"/>
            <w:r w:rsidRPr="00DF4CE5">
              <w:rPr>
                <w:rFonts w:ascii="Cambria" w:eastAsia="Calibri" w:hAnsi="Cambria" w:cs="Times New Roman"/>
                <w:lang w:val="hr-HR"/>
              </w:rPr>
              <w:t>Vrcić</w:t>
            </w:r>
            <w:proofErr w:type="spellEnd"/>
            <w:r w:rsidRPr="00DF4CE5">
              <w:rPr>
                <w:rFonts w:ascii="Cambria" w:eastAsia="Calibri" w:hAnsi="Cambria" w:cs="Times New Roman"/>
                <w:lang w:val="hr-HR"/>
              </w:rPr>
              <w:t xml:space="preserve">-Mataija, S. (2012) </w:t>
            </w:r>
            <w:hyperlink r:id="rId118" w:history="1">
              <w:r w:rsidRPr="00DF4CE5">
                <w:rPr>
                  <w:rFonts w:ascii="Cambria" w:eastAsia="Calibri" w:hAnsi="Cambria" w:cs="Times New Roman"/>
                  <w:color w:val="0563C1"/>
                  <w:u w:val="single"/>
                  <w:lang w:val="hr-HR"/>
                </w:rPr>
                <w:t>Prilog tipologiji hrvatskog dječjeg romana</w:t>
              </w:r>
            </w:hyperlink>
            <w:r w:rsidRPr="00DF4CE5">
              <w:rPr>
                <w:rFonts w:ascii="Cambria" w:eastAsia="Calibri" w:hAnsi="Cambria" w:cs="Times New Roman"/>
                <w:lang w:val="hr-HR"/>
              </w:rPr>
              <w:t xml:space="preserve">. </w:t>
            </w:r>
            <w:proofErr w:type="spellStart"/>
            <w:r w:rsidRPr="00DF4CE5">
              <w:rPr>
                <w:rFonts w:ascii="Cambria" w:eastAsia="Calibri" w:hAnsi="Cambria" w:cs="Times New Roman"/>
                <w:lang w:val="hr-HR"/>
              </w:rPr>
              <w:t>Fluminensia</w:t>
            </w:r>
            <w:proofErr w:type="spellEnd"/>
            <w:r w:rsidRPr="00DF4CE5">
              <w:rPr>
                <w:rFonts w:ascii="Cambria" w:eastAsia="Calibri" w:hAnsi="Cambria" w:cs="Times New Roman"/>
                <w:lang w:val="hr-HR"/>
              </w:rPr>
              <w:t>, 3 (2), 143-154.</w:t>
            </w:r>
          </w:p>
          <w:p w14:paraId="3056744D" w14:textId="77777777" w:rsidR="00FC4004" w:rsidRDefault="00FC4004" w:rsidP="000F1A10">
            <w:pPr>
              <w:spacing w:after="0" w:line="240" w:lineRule="auto"/>
              <w:jc w:val="both"/>
              <w:rPr>
                <w:rFonts w:ascii="Cambria" w:eastAsia="Calibri" w:hAnsi="Cambria" w:cs="Times New Roman"/>
                <w:lang w:val="hr-HR"/>
              </w:rPr>
            </w:pPr>
            <w:r w:rsidRPr="00DF4CE5">
              <w:rPr>
                <w:rFonts w:ascii="Cambria" w:eastAsia="Calibri" w:hAnsi="Cambria" w:cs="Times New Roman"/>
                <w:lang w:val="hr-HR"/>
              </w:rPr>
              <w:t>Zima, D. (2011) Kraći ljudi: povijest dječjeg lika u hrvatskom dječjem romanu, Zagreb: Školska knjiga.</w:t>
            </w:r>
          </w:p>
          <w:p w14:paraId="7FB883FD" w14:textId="77777777" w:rsidR="00FC4004" w:rsidRPr="00977220" w:rsidRDefault="00FC4004" w:rsidP="000F1A10">
            <w:pPr>
              <w:spacing w:after="0" w:line="240" w:lineRule="auto"/>
              <w:jc w:val="both"/>
              <w:rPr>
                <w:rFonts w:ascii="Cambria" w:hAnsi="Cambria"/>
                <w:lang w:val="hr-HR"/>
              </w:rPr>
            </w:pPr>
            <w:r w:rsidRPr="00977220">
              <w:rPr>
                <w:rFonts w:ascii="Cambria" w:hAnsi="Cambria"/>
                <w:lang w:val="hr-HR"/>
              </w:rPr>
              <w:t>Lektira (odabrati barem 10 naslova):</w:t>
            </w:r>
          </w:p>
          <w:p w14:paraId="64AC6ED4" w14:textId="77777777" w:rsidR="00FC4004" w:rsidRPr="00977220" w:rsidRDefault="00FC4004" w:rsidP="000F1A10">
            <w:pPr>
              <w:spacing w:after="0" w:line="240" w:lineRule="auto"/>
              <w:jc w:val="both"/>
              <w:rPr>
                <w:rFonts w:ascii="Cambria" w:hAnsi="Cambria"/>
                <w:lang w:val="hr-HR"/>
              </w:rPr>
            </w:pPr>
            <w:r w:rsidRPr="00977220">
              <w:rPr>
                <w:rFonts w:ascii="Cambria" w:hAnsi="Cambria"/>
                <w:lang w:val="hr-HR"/>
              </w:rPr>
              <w:t>I. Brlić Mažuranić: Čudnovate zgode Šegrta Hlapića</w:t>
            </w:r>
          </w:p>
          <w:p w14:paraId="4624A6D6" w14:textId="77777777" w:rsidR="00FC4004" w:rsidRPr="00977220" w:rsidRDefault="00FC4004" w:rsidP="000F1A10">
            <w:pPr>
              <w:spacing w:after="0" w:line="240" w:lineRule="auto"/>
              <w:jc w:val="both"/>
              <w:rPr>
                <w:rFonts w:ascii="Cambria" w:hAnsi="Cambria"/>
                <w:lang w:val="hr-HR"/>
              </w:rPr>
            </w:pPr>
            <w:r w:rsidRPr="00977220">
              <w:rPr>
                <w:rFonts w:ascii="Cambria" w:hAnsi="Cambria"/>
                <w:lang w:val="hr-HR"/>
              </w:rPr>
              <w:t>M. Lovrak: Vlak u snijegu; Družba Pere Kvržice</w:t>
            </w:r>
          </w:p>
          <w:p w14:paraId="07214832" w14:textId="77777777" w:rsidR="00FC4004" w:rsidRPr="00977220" w:rsidRDefault="00FC4004" w:rsidP="000F1A10">
            <w:pPr>
              <w:spacing w:after="0" w:line="240" w:lineRule="auto"/>
              <w:jc w:val="both"/>
              <w:rPr>
                <w:rFonts w:ascii="Cambria" w:hAnsi="Cambria"/>
                <w:lang w:val="hr-HR"/>
              </w:rPr>
            </w:pPr>
            <w:r w:rsidRPr="00977220">
              <w:rPr>
                <w:rFonts w:ascii="Cambria" w:hAnsi="Cambria"/>
                <w:lang w:val="hr-HR"/>
              </w:rPr>
              <w:t>I. Kušan: Uzbuna na Zelenom Vrhu; Koko i duhovi; Koko u Parizu; Lažeš, Melita; Ljubav ili smrt</w:t>
            </w:r>
          </w:p>
          <w:p w14:paraId="22DB6196" w14:textId="77777777" w:rsidR="00FC4004" w:rsidRPr="00977220" w:rsidRDefault="00FC4004" w:rsidP="000F1A10">
            <w:pPr>
              <w:spacing w:after="0" w:line="240" w:lineRule="auto"/>
              <w:jc w:val="both"/>
              <w:rPr>
                <w:rFonts w:ascii="Cambria" w:hAnsi="Cambria"/>
                <w:lang w:val="hr-HR"/>
              </w:rPr>
            </w:pPr>
            <w:r w:rsidRPr="00977220">
              <w:rPr>
                <w:rFonts w:ascii="Cambria" w:hAnsi="Cambria"/>
                <w:lang w:val="hr-HR"/>
              </w:rPr>
              <w:t xml:space="preserve">M. </w:t>
            </w:r>
            <w:proofErr w:type="spellStart"/>
            <w:r w:rsidRPr="00977220">
              <w:rPr>
                <w:rFonts w:ascii="Cambria" w:hAnsi="Cambria"/>
                <w:lang w:val="hr-HR"/>
              </w:rPr>
              <w:t>Matošec</w:t>
            </w:r>
            <w:proofErr w:type="spellEnd"/>
            <w:r w:rsidRPr="00977220">
              <w:rPr>
                <w:rFonts w:ascii="Cambria" w:hAnsi="Cambria"/>
                <w:lang w:val="hr-HR"/>
              </w:rPr>
              <w:t xml:space="preserve">: </w:t>
            </w:r>
            <w:proofErr w:type="spellStart"/>
            <w:r w:rsidRPr="00977220">
              <w:rPr>
                <w:rFonts w:ascii="Cambria" w:hAnsi="Cambria"/>
                <w:lang w:val="hr-HR"/>
              </w:rPr>
              <w:t>Tiki</w:t>
            </w:r>
            <w:proofErr w:type="spellEnd"/>
            <w:r w:rsidRPr="00977220">
              <w:rPr>
                <w:rFonts w:ascii="Cambria" w:hAnsi="Cambria"/>
                <w:lang w:val="hr-HR"/>
              </w:rPr>
              <w:t xml:space="preserve"> traži neznanca; Strah u Ulici lipa; Suvišan u svemiru</w:t>
            </w:r>
          </w:p>
          <w:p w14:paraId="553B6C8A" w14:textId="77777777" w:rsidR="00FC4004" w:rsidRPr="00977220" w:rsidRDefault="00FC4004" w:rsidP="000F1A10">
            <w:pPr>
              <w:spacing w:after="0" w:line="240" w:lineRule="auto"/>
              <w:jc w:val="both"/>
              <w:rPr>
                <w:rFonts w:ascii="Cambria" w:hAnsi="Cambria"/>
                <w:lang w:val="hr-HR"/>
              </w:rPr>
            </w:pPr>
            <w:r w:rsidRPr="00977220">
              <w:rPr>
                <w:rFonts w:ascii="Cambria" w:hAnsi="Cambria"/>
                <w:lang w:val="hr-HR"/>
              </w:rPr>
              <w:t xml:space="preserve">A. </w:t>
            </w:r>
            <w:proofErr w:type="spellStart"/>
            <w:r w:rsidRPr="00977220">
              <w:rPr>
                <w:rFonts w:ascii="Cambria" w:hAnsi="Cambria"/>
                <w:lang w:val="hr-HR"/>
              </w:rPr>
              <w:t>Gardaš</w:t>
            </w:r>
            <w:proofErr w:type="spellEnd"/>
            <w:r w:rsidRPr="00977220">
              <w:rPr>
                <w:rFonts w:ascii="Cambria" w:hAnsi="Cambria"/>
                <w:lang w:val="hr-HR"/>
              </w:rPr>
              <w:t>: Duh u močvari; Miron u škripcu; Filip dječak bez imena</w:t>
            </w:r>
          </w:p>
          <w:p w14:paraId="63BFDB0C" w14:textId="77777777" w:rsidR="00FC4004" w:rsidRPr="00977220" w:rsidRDefault="00FC4004" w:rsidP="000F1A10">
            <w:pPr>
              <w:spacing w:after="0" w:line="240" w:lineRule="auto"/>
              <w:jc w:val="both"/>
              <w:rPr>
                <w:rFonts w:ascii="Cambria" w:hAnsi="Cambria"/>
                <w:lang w:val="hr-HR"/>
              </w:rPr>
            </w:pPr>
            <w:r w:rsidRPr="00977220">
              <w:rPr>
                <w:rFonts w:ascii="Cambria" w:hAnsi="Cambria"/>
                <w:lang w:val="hr-HR"/>
              </w:rPr>
              <w:t>M. Gavran: Sretni dani; Kako je tata osvojio mamu; Zaljubljen do ušiju; Svašta u mojoj glavi</w:t>
            </w:r>
          </w:p>
          <w:p w14:paraId="5243514C" w14:textId="77777777" w:rsidR="00FC4004" w:rsidRPr="00977220" w:rsidRDefault="00FC4004" w:rsidP="000F1A10">
            <w:pPr>
              <w:spacing w:after="0" w:line="240" w:lineRule="auto"/>
              <w:jc w:val="both"/>
              <w:rPr>
                <w:rFonts w:ascii="Cambria" w:hAnsi="Cambria"/>
                <w:lang w:val="hr-HR"/>
              </w:rPr>
            </w:pPr>
            <w:r w:rsidRPr="00977220">
              <w:rPr>
                <w:rFonts w:ascii="Cambria" w:hAnsi="Cambria"/>
                <w:lang w:val="hr-HR"/>
              </w:rPr>
              <w:t>H. Kovačević: Tajna Ribljeg Oka; Tajna mačje šape; Tajna Tužnog psa;   Tajna graditelja straha; Tajna zlatnog zuba</w:t>
            </w:r>
          </w:p>
          <w:p w14:paraId="7B92A6B3" w14:textId="77777777" w:rsidR="00FC4004" w:rsidRPr="00977220" w:rsidRDefault="00FC4004" w:rsidP="000F1A10">
            <w:pPr>
              <w:spacing w:after="0" w:line="240" w:lineRule="auto"/>
              <w:jc w:val="both"/>
              <w:rPr>
                <w:rFonts w:ascii="Cambria" w:hAnsi="Cambria"/>
                <w:lang w:val="hr-HR"/>
              </w:rPr>
            </w:pPr>
            <w:r w:rsidRPr="00977220">
              <w:rPr>
                <w:rFonts w:ascii="Cambria" w:hAnsi="Cambria"/>
                <w:lang w:val="hr-HR"/>
              </w:rPr>
              <w:t xml:space="preserve">Z. </w:t>
            </w:r>
            <w:proofErr w:type="spellStart"/>
            <w:r w:rsidRPr="00977220">
              <w:rPr>
                <w:rFonts w:ascii="Cambria" w:hAnsi="Cambria"/>
                <w:lang w:val="hr-HR"/>
              </w:rPr>
              <w:t>Krilić</w:t>
            </w:r>
            <w:proofErr w:type="spellEnd"/>
            <w:r w:rsidRPr="00977220">
              <w:rPr>
                <w:rFonts w:ascii="Cambria" w:hAnsi="Cambria"/>
                <w:lang w:val="hr-HR"/>
              </w:rPr>
              <w:t>: Čudnovata istina; Zabranjena vrata; Veliki zavodnik</w:t>
            </w:r>
          </w:p>
          <w:p w14:paraId="441215EA" w14:textId="77777777" w:rsidR="00FC4004" w:rsidRPr="00977220" w:rsidRDefault="00FC4004" w:rsidP="000F1A10">
            <w:pPr>
              <w:spacing w:after="0" w:line="240" w:lineRule="auto"/>
              <w:jc w:val="both"/>
              <w:rPr>
                <w:rFonts w:ascii="Cambria" w:hAnsi="Cambria"/>
                <w:lang w:val="hr-HR"/>
              </w:rPr>
            </w:pPr>
            <w:r w:rsidRPr="00977220">
              <w:rPr>
                <w:rFonts w:ascii="Cambria" w:hAnsi="Cambria"/>
                <w:lang w:val="hr-HR"/>
              </w:rPr>
              <w:t>P. Pavličić: Zeleni tigar;  Petlja; Trojica u Trnju</w:t>
            </w:r>
          </w:p>
          <w:p w14:paraId="04DF99A3" w14:textId="77777777" w:rsidR="00FC4004" w:rsidRPr="00977220" w:rsidRDefault="00FC4004" w:rsidP="000F1A10">
            <w:pPr>
              <w:spacing w:after="0" w:line="240" w:lineRule="auto"/>
              <w:jc w:val="both"/>
              <w:rPr>
                <w:rFonts w:ascii="Cambria" w:hAnsi="Cambria"/>
                <w:lang w:val="hr-HR"/>
              </w:rPr>
            </w:pPr>
            <w:r w:rsidRPr="00977220">
              <w:rPr>
                <w:rFonts w:ascii="Cambria" w:hAnsi="Cambria"/>
                <w:lang w:val="hr-HR"/>
              </w:rPr>
              <w:t xml:space="preserve">T. Horvat: Tajna Gornjega grada; </w:t>
            </w:r>
          </w:p>
          <w:p w14:paraId="1115BDB6" w14:textId="77777777" w:rsidR="00FC4004" w:rsidRPr="00977220" w:rsidRDefault="00FC4004" w:rsidP="000F1A10">
            <w:pPr>
              <w:spacing w:after="0" w:line="240" w:lineRule="auto"/>
              <w:jc w:val="both"/>
              <w:rPr>
                <w:rFonts w:ascii="Cambria" w:hAnsi="Cambria"/>
                <w:lang w:val="hr-HR"/>
              </w:rPr>
            </w:pPr>
            <w:r w:rsidRPr="00977220">
              <w:rPr>
                <w:rFonts w:ascii="Cambria" w:hAnsi="Cambria"/>
                <w:lang w:val="hr-HR"/>
              </w:rPr>
              <w:t xml:space="preserve">B. </w:t>
            </w:r>
            <w:proofErr w:type="spellStart"/>
            <w:r w:rsidRPr="00977220">
              <w:rPr>
                <w:rFonts w:ascii="Cambria" w:hAnsi="Cambria"/>
                <w:lang w:val="hr-HR"/>
              </w:rPr>
              <w:t>Dovjak</w:t>
            </w:r>
            <w:proofErr w:type="spellEnd"/>
            <w:r w:rsidRPr="00977220">
              <w:rPr>
                <w:rFonts w:ascii="Cambria" w:hAnsi="Cambria"/>
                <w:lang w:val="hr-HR"/>
              </w:rPr>
              <w:t>-Matković: Zagrebačka priča</w:t>
            </w:r>
          </w:p>
          <w:p w14:paraId="0A1BAB23" w14:textId="77777777" w:rsidR="00FC4004" w:rsidRPr="00977220" w:rsidRDefault="00FC4004" w:rsidP="000F1A10">
            <w:pPr>
              <w:spacing w:after="0" w:line="240" w:lineRule="auto"/>
              <w:jc w:val="both"/>
              <w:rPr>
                <w:rFonts w:ascii="Cambria" w:hAnsi="Cambria"/>
                <w:lang w:val="hr-HR"/>
              </w:rPr>
            </w:pPr>
            <w:r w:rsidRPr="00977220">
              <w:rPr>
                <w:rFonts w:ascii="Cambria" w:hAnsi="Cambria"/>
                <w:lang w:val="hr-HR"/>
              </w:rPr>
              <w:t xml:space="preserve">D. Horvatić: Junačina </w:t>
            </w:r>
            <w:proofErr w:type="spellStart"/>
            <w:r w:rsidRPr="00977220">
              <w:rPr>
                <w:rFonts w:ascii="Cambria" w:hAnsi="Cambria"/>
                <w:lang w:val="hr-HR"/>
              </w:rPr>
              <w:t>Mijat</w:t>
            </w:r>
            <w:proofErr w:type="spellEnd"/>
            <w:r w:rsidRPr="00977220">
              <w:rPr>
                <w:rFonts w:ascii="Cambria" w:hAnsi="Cambria"/>
                <w:lang w:val="hr-HR"/>
              </w:rPr>
              <w:t xml:space="preserve"> Tomić</w:t>
            </w:r>
          </w:p>
          <w:p w14:paraId="62812425" w14:textId="77777777" w:rsidR="00FC4004" w:rsidRPr="00977220" w:rsidRDefault="00FC4004" w:rsidP="000F1A10">
            <w:pPr>
              <w:spacing w:after="0" w:line="240" w:lineRule="auto"/>
              <w:jc w:val="both"/>
              <w:rPr>
                <w:rFonts w:ascii="Cambria" w:hAnsi="Cambria"/>
                <w:lang w:val="hr-HR"/>
              </w:rPr>
            </w:pPr>
            <w:r w:rsidRPr="00977220">
              <w:rPr>
                <w:rFonts w:ascii="Cambria" w:hAnsi="Cambria"/>
                <w:lang w:val="hr-HR"/>
              </w:rPr>
              <w:t xml:space="preserve">I. </w:t>
            </w:r>
            <w:proofErr w:type="spellStart"/>
            <w:r w:rsidRPr="00977220">
              <w:rPr>
                <w:rFonts w:ascii="Cambria" w:hAnsi="Cambria"/>
                <w:lang w:val="hr-HR"/>
              </w:rPr>
              <w:t>Šajatović</w:t>
            </w:r>
            <w:proofErr w:type="spellEnd"/>
            <w:r w:rsidRPr="00977220">
              <w:rPr>
                <w:rFonts w:ascii="Cambria" w:hAnsi="Cambria"/>
                <w:lang w:val="hr-HR"/>
              </w:rPr>
              <w:t>: Tajna ogrlice sa sedam rubina</w:t>
            </w:r>
          </w:p>
          <w:p w14:paraId="0F5495C2" w14:textId="77777777" w:rsidR="00FC4004" w:rsidRPr="00977220" w:rsidRDefault="00FC4004" w:rsidP="000F1A10">
            <w:pPr>
              <w:spacing w:after="0" w:line="240" w:lineRule="auto"/>
              <w:jc w:val="both"/>
              <w:rPr>
                <w:rFonts w:ascii="Cambria" w:hAnsi="Cambria"/>
                <w:lang w:val="hr-HR"/>
              </w:rPr>
            </w:pPr>
            <w:r w:rsidRPr="00977220">
              <w:rPr>
                <w:rFonts w:ascii="Cambria" w:hAnsi="Cambria"/>
                <w:lang w:val="hr-HR"/>
              </w:rPr>
              <w:t xml:space="preserve">J. </w:t>
            </w:r>
            <w:proofErr w:type="spellStart"/>
            <w:r w:rsidRPr="00977220">
              <w:rPr>
                <w:rFonts w:ascii="Cambria" w:hAnsi="Cambria"/>
                <w:lang w:val="hr-HR"/>
              </w:rPr>
              <w:t>Cvenić</w:t>
            </w:r>
            <w:proofErr w:type="spellEnd"/>
            <w:r w:rsidRPr="00977220">
              <w:rPr>
                <w:rFonts w:ascii="Cambria" w:hAnsi="Cambria"/>
                <w:lang w:val="hr-HR"/>
              </w:rPr>
              <w:t xml:space="preserve">: Čvrsto drži </w:t>
            </w:r>
            <w:proofErr w:type="spellStart"/>
            <w:r w:rsidRPr="00977220">
              <w:rPr>
                <w:rFonts w:ascii="Cambria" w:hAnsi="Cambria"/>
                <w:lang w:val="hr-HR"/>
              </w:rPr>
              <w:t>joy-stick</w:t>
            </w:r>
            <w:proofErr w:type="spellEnd"/>
          </w:p>
          <w:p w14:paraId="3B01DFAF" w14:textId="77777777" w:rsidR="00FC4004" w:rsidRPr="00977220" w:rsidRDefault="00FC4004" w:rsidP="000F1A10">
            <w:pPr>
              <w:spacing w:after="0" w:line="240" w:lineRule="auto"/>
              <w:jc w:val="both"/>
              <w:rPr>
                <w:rFonts w:ascii="Cambria" w:hAnsi="Cambria"/>
                <w:lang w:val="hr-HR"/>
              </w:rPr>
            </w:pPr>
            <w:r w:rsidRPr="00977220">
              <w:rPr>
                <w:rFonts w:ascii="Cambria" w:hAnsi="Cambria"/>
                <w:lang w:val="hr-HR"/>
              </w:rPr>
              <w:t xml:space="preserve">J. </w:t>
            </w:r>
            <w:proofErr w:type="spellStart"/>
            <w:r w:rsidRPr="00977220">
              <w:rPr>
                <w:rFonts w:ascii="Cambria" w:hAnsi="Cambria"/>
                <w:lang w:val="hr-HR"/>
              </w:rPr>
              <w:t>Bitenc</w:t>
            </w:r>
            <w:proofErr w:type="spellEnd"/>
            <w:r w:rsidRPr="00977220">
              <w:rPr>
                <w:rFonts w:ascii="Cambria" w:hAnsi="Cambria"/>
                <w:lang w:val="hr-HR"/>
              </w:rPr>
              <w:t>: Twist na bazenu</w:t>
            </w:r>
          </w:p>
          <w:p w14:paraId="51EF1CDB" w14:textId="77777777" w:rsidR="00FC4004" w:rsidRPr="00977220" w:rsidRDefault="00FC4004" w:rsidP="000F1A10">
            <w:pPr>
              <w:spacing w:after="0" w:line="240" w:lineRule="auto"/>
              <w:jc w:val="both"/>
              <w:rPr>
                <w:rFonts w:ascii="Cambria" w:hAnsi="Cambria"/>
                <w:lang w:val="hr-HR"/>
              </w:rPr>
            </w:pPr>
            <w:r w:rsidRPr="00977220">
              <w:rPr>
                <w:rFonts w:ascii="Cambria" w:hAnsi="Cambria"/>
                <w:lang w:val="hr-HR"/>
              </w:rPr>
              <w:t xml:space="preserve">Š. </w:t>
            </w:r>
            <w:proofErr w:type="spellStart"/>
            <w:r w:rsidRPr="00977220">
              <w:rPr>
                <w:rFonts w:ascii="Cambria" w:hAnsi="Cambria"/>
                <w:lang w:val="hr-HR"/>
              </w:rPr>
              <w:t>Storić</w:t>
            </w:r>
            <w:proofErr w:type="spellEnd"/>
            <w:r w:rsidRPr="00977220">
              <w:rPr>
                <w:rFonts w:ascii="Cambria" w:hAnsi="Cambria"/>
                <w:lang w:val="hr-HR"/>
              </w:rPr>
              <w:t>: Poljubit ću je uskoro, možda</w:t>
            </w:r>
          </w:p>
          <w:p w14:paraId="5D32E70E" w14:textId="77777777" w:rsidR="00FC4004" w:rsidRPr="00977220" w:rsidRDefault="00FC4004" w:rsidP="000F1A10">
            <w:pPr>
              <w:spacing w:after="0" w:line="240" w:lineRule="auto"/>
              <w:jc w:val="both"/>
              <w:rPr>
                <w:rFonts w:ascii="Cambria" w:hAnsi="Cambria"/>
                <w:lang w:val="hr-HR"/>
              </w:rPr>
            </w:pPr>
            <w:r w:rsidRPr="00977220">
              <w:rPr>
                <w:rFonts w:ascii="Cambria" w:hAnsi="Cambria"/>
                <w:lang w:val="hr-HR"/>
              </w:rPr>
              <w:t xml:space="preserve">J. Horvat: </w:t>
            </w:r>
            <w:proofErr w:type="spellStart"/>
            <w:r w:rsidRPr="00977220">
              <w:rPr>
                <w:rFonts w:ascii="Cambria" w:hAnsi="Cambria"/>
                <w:lang w:val="hr-HR"/>
              </w:rPr>
              <w:t>Waitapu</w:t>
            </w:r>
            <w:proofErr w:type="spellEnd"/>
            <w:r w:rsidRPr="00977220">
              <w:rPr>
                <w:rFonts w:ascii="Cambria" w:hAnsi="Cambria"/>
                <w:lang w:val="hr-HR"/>
              </w:rPr>
              <w:t xml:space="preserve"> </w:t>
            </w:r>
          </w:p>
          <w:p w14:paraId="04D6FAB4" w14:textId="77777777" w:rsidR="00FC4004" w:rsidRPr="00977220" w:rsidRDefault="00FC4004" w:rsidP="000F1A10">
            <w:pPr>
              <w:spacing w:after="0" w:line="240" w:lineRule="auto"/>
              <w:jc w:val="both"/>
              <w:rPr>
                <w:rFonts w:ascii="Cambria" w:hAnsi="Cambria"/>
                <w:lang w:val="hr-HR"/>
              </w:rPr>
            </w:pPr>
            <w:r w:rsidRPr="00977220">
              <w:rPr>
                <w:rFonts w:ascii="Cambria" w:hAnsi="Cambria"/>
                <w:lang w:val="hr-HR"/>
              </w:rPr>
              <w:t xml:space="preserve">N. Pulić: </w:t>
            </w:r>
            <w:proofErr w:type="spellStart"/>
            <w:r w:rsidRPr="00977220">
              <w:rPr>
                <w:rFonts w:ascii="Cambria" w:hAnsi="Cambria"/>
                <w:lang w:val="hr-HR"/>
              </w:rPr>
              <w:t>Maksimirci</w:t>
            </w:r>
            <w:proofErr w:type="spellEnd"/>
            <w:r w:rsidRPr="00977220">
              <w:rPr>
                <w:rFonts w:ascii="Cambria" w:hAnsi="Cambria"/>
                <w:lang w:val="hr-HR"/>
              </w:rPr>
              <w:t xml:space="preserve">; Ključić oko vrata </w:t>
            </w:r>
          </w:p>
          <w:p w14:paraId="465C6D1C" w14:textId="77777777" w:rsidR="00FC4004" w:rsidRPr="00977220" w:rsidRDefault="00FC4004" w:rsidP="000F1A10">
            <w:pPr>
              <w:spacing w:after="0" w:line="240" w:lineRule="auto"/>
              <w:jc w:val="both"/>
              <w:rPr>
                <w:rFonts w:ascii="Cambria" w:hAnsi="Cambria"/>
                <w:lang w:val="hr-HR"/>
              </w:rPr>
            </w:pPr>
            <w:r w:rsidRPr="00977220">
              <w:rPr>
                <w:rFonts w:ascii="Cambria" w:hAnsi="Cambria"/>
                <w:lang w:val="hr-HR"/>
              </w:rPr>
              <w:t>M. Rundek: Psima ulaz zabranjen</w:t>
            </w:r>
          </w:p>
          <w:p w14:paraId="62D29AF8" w14:textId="77777777" w:rsidR="00FC4004" w:rsidRPr="00977220" w:rsidRDefault="00FC4004" w:rsidP="000F1A10">
            <w:pPr>
              <w:spacing w:after="0" w:line="240" w:lineRule="auto"/>
              <w:jc w:val="both"/>
              <w:rPr>
                <w:rFonts w:ascii="Cambria" w:hAnsi="Cambria"/>
                <w:lang w:val="hr-HR"/>
              </w:rPr>
            </w:pPr>
            <w:r w:rsidRPr="00977220">
              <w:rPr>
                <w:rFonts w:ascii="Cambria" w:hAnsi="Cambria"/>
                <w:lang w:val="hr-HR"/>
              </w:rPr>
              <w:t xml:space="preserve">B. </w:t>
            </w:r>
            <w:proofErr w:type="spellStart"/>
            <w:r w:rsidRPr="00977220">
              <w:rPr>
                <w:rFonts w:ascii="Cambria" w:hAnsi="Cambria"/>
                <w:lang w:val="hr-HR"/>
              </w:rPr>
              <w:t>Prosenjak</w:t>
            </w:r>
            <w:proofErr w:type="spellEnd"/>
            <w:r w:rsidRPr="00977220">
              <w:rPr>
                <w:rFonts w:ascii="Cambria" w:hAnsi="Cambria"/>
                <w:lang w:val="hr-HR"/>
              </w:rPr>
              <w:t>: Divlji konj</w:t>
            </w:r>
          </w:p>
          <w:p w14:paraId="44900717" w14:textId="77777777" w:rsidR="00FC4004" w:rsidRPr="00977220" w:rsidRDefault="00FC4004" w:rsidP="000F1A10">
            <w:pPr>
              <w:spacing w:after="0" w:line="240" w:lineRule="auto"/>
              <w:jc w:val="both"/>
              <w:rPr>
                <w:rFonts w:ascii="Cambria" w:hAnsi="Cambria"/>
                <w:lang w:val="hr-HR"/>
              </w:rPr>
            </w:pPr>
            <w:r w:rsidRPr="00977220">
              <w:rPr>
                <w:rFonts w:ascii="Cambria" w:hAnsi="Cambria"/>
                <w:lang w:val="hr-HR"/>
              </w:rPr>
              <w:t xml:space="preserve">H. Hitrec: </w:t>
            </w:r>
            <w:proofErr w:type="spellStart"/>
            <w:r w:rsidRPr="00977220">
              <w:rPr>
                <w:rFonts w:ascii="Cambria" w:hAnsi="Cambria"/>
                <w:lang w:val="hr-HR"/>
              </w:rPr>
              <w:t>Smogovci</w:t>
            </w:r>
            <w:proofErr w:type="spellEnd"/>
            <w:r w:rsidRPr="00977220">
              <w:rPr>
                <w:rFonts w:ascii="Cambria" w:hAnsi="Cambria"/>
                <w:lang w:val="hr-HR"/>
              </w:rPr>
              <w:t xml:space="preserve">, Eko </w:t>
            </w:r>
            <w:proofErr w:type="spellStart"/>
            <w:r w:rsidRPr="00977220">
              <w:rPr>
                <w:rFonts w:ascii="Cambria" w:hAnsi="Cambria"/>
                <w:lang w:val="hr-HR"/>
              </w:rPr>
              <w:t>Eko</w:t>
            </w:r>
            <w:proofErr w:type="spellEnd"/>
          </w:p>
          <w:p w14:paraId="646CE5E1" w14:textId="77777777" w:rsidR="00FC4004" w:rsidRPr="00977220" w:rsidRDefault="00FC4004" w:rsidP="000F1A10">
            <w:pPr>
              <w:spacing w:after="0" w:line="240" w:lineRule="auto"/>
              <w:jc w:val="both"/>
              <w:rPr>
                <w:rFonts w:ascii="Cambria" w:hAnsi="Cambria"/>
                <w:lang w:val="hr-HR"/>
              </w:rPr>
            </w:pPr>
            <w:r w:rsidRPr="00977220">
              <w:rPr>
                <w:rFonts w:ascii="Cambria" w:hAnsi="Cambria"/>
                <w:lang w:val="hr-HR"/>
              </w:rPr>
              <w:t>D. Miloš: Bijeli klaun</w:t>
            </w:r>
          </w:p>
          <w:p w14:paraId="40BBD17D" w14:textId="77777777" w:rsidR="00FC4004" w:rsidRPr="00977220" w:rsidRDefault="00FC4004" w:rsidP="000F1A10">
            <w:pPr>
              <w:spacing w:after="0" w:line="240" w:lineRule="auto"/>
              <w:jc w:val="both"/>
              <w:rPr>
                <w:rFonts w:ascii="Cambria" w:hAnsi="Cambria"/>
                <w:lang w:val="hr-HR"/>
              </w:rPr>
            </w:pPr>
            <w:r w:rsidRPr="00977220">
              <w:rPr>
                <w:rFonts w:ascii="Cambria" w:hAnsi="Cambria"/>
                <w:lang w:val="hr-HR"/>
              </w:rPr>
              <w:t xml:space="preserve">Z. </w:t>
            </w:r>
            <w:proofErr w:type="spellStart"/>
            <w:r w:rsidRPr="00977220">
              <w:rPr>
                <w:rFonts w:ascii="Cambria" w:hAnsi="Cambria"/>
                <w:lang w:val="hr-HR"/>
              </w:rPr>
              <w:t>Pongrašić</w:t>
            </w:r>
            <w:proofErr w:type="spellEnd"/>
            <w:r w:rsidRPr="00977220">
              <w:rPr>
                <w:rFonts w:ascii="Cambria" w:hAnsi="Cambria"/>
                <w:lang w:val="hr-HR"/>
              </w:rPr>
              <w:t>: Gumi-gumi</w:t>
            </w:r>
          </w:p>
          <w:p w14:paraId="00607FB5" w14:textId="77777777" w:rsidR="00FC4004" w:rsidRPr="00977220" w:rsidRDefault="00FC4004" w:rsidP="000F1A10">
            <w:pPr>
              <w:spacing w:after="0" w:line="240" w:lineRule="auto"/>
              <w:jc w:val="both"/>
              <w:rPr>
                <w:rFonts w:ascii="Cambria" w:hAnsi="Cambria"/>
                <w:lang w:val="hr-HR"/>
              </w:rPr>
            </w:pPr>
            <w:r w:rsidRPr="00977220">
              <w:rPr>
                <w:rFonts w:ascii="Cambria" w:hAnsi="Cambria"/>
                <w:lang w:val="hr-HR"/>
              </w:rPr>
              <w:t>B. Primorac: Maturalac</w:t>
            </w:r>
          </w:p>
          <w:p w14:paraId="110FE752" w14:textId="77777777" w:rsidR="00FC4004" w:rsidRPr="00977220" w:rsidRDefault="00FC4004" w:rsidP="000F1A10">
            <w:pPr>
              <w:spacing w:after="0" w:line="240" w:lineRule="auto"/>
              <w:jc w:val="both"/>
              <w:rPr>
                <w:rFonts w:ascii="Cambria" w:hAnsi="Cambria"/>
                <w:lang w:val="hr-HR"/>
              </w:rPr>
            </w:pPr>
            <w:r w:rsidRPr="00977220">
              <w:rPr>
                <w:rFonts w:ascii="Cambria" w:hAnsi="Cambria"/>
                <w:lang w:val="hr-HR"/>
              </w:rPr>
              <w:t>D. Jelačić-Bužimski: Sportski život Letećeg Martina; Balkanska mafija; Martin protiv CIA-e i KGB-a</w:t>
            </w:r>
          </w:p>
          <w:p w14:paraId="2A2A00D8" w14:textId="77777777" w:rsidR="00FC4004" w:rsidRPr="00977220" w:rsidRDefault="00FC4004" w:rsidP="000F1A10">
            <w:pPr>
              <w:spacing w:after="0" w:line="240" w:lineRule="auto"/>
              <w:jc w:val="both"/>
              <w:rPr>
                <w:rFonts w:ascii="Cambria" w:hAnsi="Cambria"/>
                <w:lang w:val="hr-HR"/>
              </w:rPr>
            </w:pPr>
            <w:r w:rsidRPr="00977220">
              <w:rPr>
                <w:rFonts w:ascii="Cambria" w:hAnsi="Cambria"/>
                <w:lang w:val="hr-HR"/>
              </w:rPr>
              <w:t xml:space="preserve">V. Stahuljak: Don od Tromeđe </w:t>
            </w:r>
          </w:p>
          <w:p w14:paraId="286F2E53" w14:textId="77777777" w:rsidR="00FC4004" w:rsidRPr="00977220" w:rsidRDefault="00FC4004" w:rsidP="000F1A10">
            <w:pPr>
              <w:spacing w:after="0" w:line="240" w:lineRule="auto"/>
              <w:jc w:val="both"/>
              <w:rPr>
                <w:rFonts w:ascii="Cambria" w:hAnsi="Cambria"/>
                <w:lang w:val="hr-HR"/>
              </w:rPr>
            </w:pPr>
            <w:r w:rsidRPr="00977220">
              <w:rPr>
                <w:rFonts w:ascii="Cambria" w:hAnsi="Cambria"/>
                <w:lang w:val="hr-HR"/>
              </w:rPr>
              <w:t xml:space="preserve">M. Jurić Zagorka: Kći </w:t>
            </w:r>
            <w:proofErr w:type="spellStart"/>
            <w:r w:rsidRPr="00977220">
              <w:rPr>
                <w:rFonts w:ascii="Cambria" w:hAnsi="Cambria"/>
                <w:lang w:val="hr-HR"/>
              </w:rPr>
              <w:t>Lotršćaka</w:t>
            </w:r>
            <w:proofErr w:type="spellEnd"/>
          </w:p>
          <w:p w14:paraId="4C50F99F" w14:textId="77777777" w:rsidR="00FC4004" w:rsidRPr="00977220" w:rsidRDefault="00FC4004" w:rsidP="000F1A10">
            <w:pPr>
              <w:spacing w:after="0" w:line="240" w:lineRule="auto"/>
              <w:jc w:val="both"/>
              <w:rPr>
                <w:rFonts w:ascii="Cambria" w:hAnsi="Cambria"/>
                <w:lang w:val="hr-HR"/>
              </w:rPr>
            </w:pPr>
            <w:r w:rsidRPr="00977220">
              <w:rPr>
                <w:rFonts w:ascii="Cambria" w:hAnsi="Cambria"/>
                <w:lang w:val="hr-HR"/>
              </w:rPr>
              <w:t xml:space="preserve">S. </w:t>
            </w:r>
            <w:proofErr w:type="spellStart"/>
            <w:r w:rsidRPr="00977220">
              <w:rPr>
                <w:rFonts w:ascii="Cambria" w:hAnsi="Cambria"/>
                <w:lang w:val="hr-HR"/>
              </w:rPr>
              <w:t>Škrinjarić</w:t>
            </w:r>
            <w:proofErr w:type="spellEnd"/>
            <w:r w:rsidRPr="00977220">
              <w:rPr>
                <w:rFonts w:ascii="Cambria" w:hAnsi="Cambria"/>
                <w:lang w:val="hr-HR"/>
              </w:rPr>
              <w:t>: Ulica predaka; Čarobni prosjak</w:t>
            </w:r>
          </w:p>
          <w:p w14:paraId="59852FF0" w14:textId="77777777" w:rsidR="00FC4004" w:rsidRPr="00977220" w:rsidRDefault="00FC4004" w:rsidP="000F1A10">
            <w:pPr>
              <w:spacing w:after="0" w:line="240" w:lineRule="auto"/>
              <w:jc w:val="both"/>
              <w:rPr>
                <w:rFonts w:ascii="Cambria" w:hAnsi="Cambria"/>
                <w:lang w:val="hr-HR"/>
              </w:rPr>
            </w:pPr>
            <w:r w:rsidRPr="00977220">
              <w:rPr>
                <w:rFonts w:ascii="Cambria" w:hAnsi="Cambria"/>
                <w:lang w:val="hr-HR"/>
              </w:rPr>
              <w:t xml:space="preserve">S. Šesto: Debela; Vanda; Tko je ubio </w:t>
            </w:r>
            <w:proofErr w:type="spellStart"/>
            <w:r w:rsidRPr="00977220">
              <w:rPr>
                <w:rFonts w:ascii="Cambria" w:hAnsi="Cambria"/>
                <w:lang w:val="hr-HR"/>
              </w:rPr>
              <w:t>Pašteticu</w:t>
            </w:r>
            <w:proofErr w:type="spellEnd"/>
          </w:p>
          <w:p w14:paraId="658CE898" w14:textId="77777777" w:rsidR="00FC4004" w:rsidRPr="00977220" w:rsidRDefault="00FC4004" w:rsidP="000F1A10">
            <w:pPr>
              <w:spacing w:after="0" w:line="240" w:lineRule="auto"/>
              <w:jc w:val="both"/>
              <w:rPr>
                <w:rFonts w:ascii="Cambria" w:hAnsi="Cambria"/>
                <w:lang w:val="hr-HR"/>
              </w:rPr>
            </w:pPr>
            <w:r w:rsidRPr="00977220">
              <w:rPr>
                <w:rFonts w:ascii="Cambria" w:hAnsi="Cambria"/>
                <w:lang w:val="hr-HR"/>
              </w:rPr>
              <w:t xml:space="preserve">N. </w:t>
            </w:r>
            <w:proofErr w:type="spellStart"/>
            <w:r w:rsidRPr="00977220">
              <w:rPr>
                <w:rFonts w:ascii="Cambria" w:hAnsi="Cambria"/>
                <w:lang w:val="hr-HR"/>
              </w:rPr>
              <w:t>Mihelčić</w:t>
            </w:r>
            <w:proofErr w:type="spellEnd"/>
            <w:r w:rsidRPr="00977220">
              <w:rPr>
                <w:rFonts w:ascii="Cambria" w:hAnsi="Cambria"/>
                <w:lang w:val="hr-HR"/>
              </w:rPr>
              <w:t>: Bilješke jedne gimnazijalke</w:t>
            </w:r>
          </w:p>
          <w:p w14:paraId="69C40A53" w14:textId="77777777" w:rsidR="00FC4004" w:rsidRPr="00977220" w:rsidRDefault="00FC4004" w:rsidP="000F1A10">
            <w:pPr>
              <w:spacing w:after="0" w:line="240" w:lineRule="auto"/>
              <w:jc w:val="both"/>
              <w:rPr>
                <w:rFonts w:ascii="Cambria" w:hAnsi="Cambria"/>
                <w:lang w:val="hr-HR"/>
              </w:rPr>
            </w:pPr>
            <w:r w:rsidRPr="00977220">
              <w:rPr>
                <w:rFonts w:ascii="Cambria" w:hAnsi="Cambria"/>
                <w:lang w:val="hr-HR"/>
              </w:rPr>
              <w:t xml:space="preserve">M. Brajko </w:t>
            </w:r>
            <w:proofErr w:type="spellStart"/>
            <w:r w:rsidRPr="00977220">
              <w:rPr>
                <w:rFonts w:ascii="Cambria" w:hAnsi="Cambria"/>
                <w:lang w:val="hr-HR"/>
              </w:rPr>
              <w:t>Livaković</w:t>
            </w:r>
            <w:proofErr w:type="spellEnd"/>
            <w:r w:rsidRPr="00977220">
              <w:rPr>
                <w:rFonts w:ascii="Cambria" w:hAnsi="Cambria"/>
                <w:lang w:val="hr-HR"/>
              </w:rPr>
              <w:t>: Kad pobijedi ljubav</w:t>
            </w:r>
          </w:p>
          <w:p w14:paraId="20CCFCB4" w14:textId="77777777" w:rsidR="00FC4004" w:rsidRPr="00977220" w:rsidRDefault="00FC4004" w:rsidP="000F1A10">
            <w:pPr>
              <w:spacing w:after="0" w:line="240" w:lineRule="auto"/>
              <w:jc w:val="both"/>
              <w:rPr>
                <w:rFonts w:ascii="Cambria" w:hAnsi="Cambria"/>
                <w:lang w:val="hr-HR"/>
              </w:rPr>
            </w:pPr>
            <w:r w:rsidRPr="00977220">
              <w:rPr>
                <w:rFonts w:ascii="Cambria" w:hAnsi="Cambria"/>
                <w:lang w:val="hr-HR"/>
              </w:rPr>
              <w:t xml:space="preserve">S. Pilić: O mamama sve najbolje; Sasvim sam </w:t>
            </w:r>
            <w:proofErr w:type="spellStart"/>
            <w:r w:rsidRPr="00977220">
              <w:rPr>
                <w:rFonts w:ascii="Cambria" w:hAnsi="Cambria"/>
                <w:lang w:val="hr-HR"/>
              </w:rPr>
              <w:t>popubertetio</w:t>
            </w:r>
            <w:proofErr w:type="spellEnd"/>
            <w:r w:rsidRPr="00977220">
              <w:rPr>
                <w:rFonts w:ascii="Cambria" w:hAnsi="Cambria"/>
                <w:lang w:val="hr-HR"/>
              </w:rPr>
              <w:t xml:space="preserve">; Mrvice iz dnevnog boravka </w:t>
            </w:r>
          </w:p>
          <w:p w14:paraId="7307441A" w14:textId="77777777" w:rsidR="00FC4004" w:rsidRPr="00977220" w:rsidRDefault="00FC4004" w:rsidP="000F1A10">
            <w:pPr>
              <w:spacing w:after="0" w:line="240" w:lineRule="auto"/>
              <w:jc w:val="both"/>
              <w:rPr>
                <w:rFonts w:ascii="Cambria" w:hAnsi="Cambria"/>
                <w:lang w:val="hr-HR"/>
              </w:rPr>
            </w:pPr>
            <w:r w:rsidRPr="00977220">
              <w:rPr>
                <w:rFonts w:ascii="Cambria" w:hAnsi="Cambria"/>
                <w:lang w:val="hr-HR"/>
              </w:rPr>
              <w:t xml:space="preserve">G. </w:t>
            </w:r>
            <w:proofErr w:type="spellStart"/>
            <w:r w:rsidRPr="00977220">
              <w:rPr>
                <w:rFonts w:ascii="Cambria" w:hAnsi="Cambria"/>
                <w:lang w:val="hr-HR"/>
              </w:rPr>
              <w:t>Tribuson</w:t>
            </w:r>
            <w:proofErr w:type="spellEnd"/>
            <w:r w:rsidRPr="00977220">
              <w:rPr>
                <w:rFonts w:ascii="Cambria" w:hAnsi="Cambria"/>
                <w:lang w:val="hr-HR"/>
              </w:rPr>
              <w:t>: Legija stranaca; Rani dani; Ne dao Bog većeg zla</w:t>
            </w:r>
          </w:p>
          <w:p w14:paraId="78CC9AEB" w14:textId="77777777" w:rsidR="00FC4004" w:rsidRPr="00DF4CE5" w:rsidRDefault="00FC4004" w:rsidP="000F1A10">
            <w:pPr>
              <w:spacing w:after="0" w:line="240" w:lineRule="auto"/>
              <w:jc w:val="both"/>
              <w:rPr>
                <w:rFonts w:ascii="Cambria" w:hAnsi="Cambria"/>
                <w:lang w:val="hr-HR"/>
              </w:rPr>
            </w:pPr>
            <w:r w:rsidRPr="00977220">
              <w:rPr>
                <w:rFonts w:ascii="Cambria" w:hAnsi="Cambria"/>
                <w:lang w:val="hr-HR"/>
              </w:rPr>
              <w:t>- ostali naslovi prema vlastitom izboru</w:t>
            </w:r>
          </w:p>
        </w:tc>
      </w:tr>
    </w:tbl>
    <w:p w14:paraId="07E4408A" w14:textId="77777777" w:rsidR="00FC4004" w:rsidRPr="00DF4CE5" w:rsidRDefault="00FC4004" w:rsidP="00FC4004">
      <w:pPr>
        <w:jc w:val="both"/>
        <w:rPr>
          <w:rFonts w:ascii="Cambria" w:eastAsia="Calibri" w:hAnsi="Cambria" w:cs="Times New Roman"/>
          <w:lang w:val="hr-HR"/>
        </w:rPr>
      </w:pPr>
    </w:p>
    <w:bookmarkEnd w:id="106"/>
    <w:p w14:paraId="669DC620" w14:textId="374AD86C" w:rsidR="001421C4" w:rsidRDefault="001421C4">
      <w:pPr>
        <w:rPr>
          <w:rFonts w:ascii="Cambria" w:hAnsi="Cambria"/>
          <w:lang w:val="hr-HR"/>
        </w:rPr>
      </w:pPr>
      <w:r>
        <w:rPr>
          <w:rFonts w:ascii="Cambria" w:hAnsi="Cambria"/>
          <w:lang w:val="hr-HR"/>
        </w:rPr>
        <w:br w:type="page"/>
      </w:r>
    </w:p>
    <w:tbl>
      <w:tblPr>
        <w:tblStyle w:val="TableNormal"/>
        <w:tblW w:w="1020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0"/>
        <w:gridCol w:w="3015"/>
        <w:gridCol w:w="975"/>
        <w:gridCol w:w="285"/>
        <w:gridCol w:w="465"/>
        <w:gridCol w:w="810"/>
        <w:gridCol w:w="2191"/>
      </w:tblGrid>
      <w:tr w:rsidR="001421C4" w:rsidRPr="001421C4" w14:paraId="4F474D62" w14:textId="77777777" w:rsidTr="001421C4">
        <w:tc>
          <w:tcPr>
            <w:tcW w:w="10201" w:type="dxa"/>
            <w:gridSpan w:val="7"/>
            <w:tcBorders>
              <w:top w:val="single" w:sz="4" w:space="0" w:color="auto"/>
              <w:left w:val="single" w:sz="4" w:space="0" w:color="auto"/>
              <w:bottom w:val="single" w:sz="4" w:space="0" w:color="auto"/>
              <w:right w:val="single" w:sz="4" w:space="0" w:color="auto"/>
            </w:tcBorders>
            <w:shd w:val="clear" w:color="auto" w:fill="F3F3F3"/>
            <w:tcMar>
              <w:top w:w="15" w:type="dxa"/>
              <w:left w:w="15" w:type="dxa"/>
              <w:bottom w:w="15" w:type="dxa"/>
              <w:right w:w="15" w:type="dxa"/>
            </w:tcMar>
            <w:vAlign w:val="center"/>
            <w:hideMark/>
          </w:tcPr>
          <w:p w14:paraId="77FD6637" w14:textId="77777777" w:rsidR="001421C4" w:rsidRPr="001421C4" w:rsidRDefault="001421C4">
            <w:pPr>
              <w:jc w:val="right"/>
              <w:rPr>
                <w:rFonts w:ascii="Cambria" w:hAnsi="Cambria"/>
                <w:sz w:val="22"/>
                <w:szCs w:val="22"/>
              </w:rPr>
            </w:pPr>
            <w:r w:rsidRPr="004E3FDC">
              <w:rPr>
                <w:rFonts w:ascii="Cambria" w:hAnsi="Cambria"/>
                <w:sz w:val="22"/>
                <w:szCs w:val="22"/>
                <w:lang w:val="it-IT"/>
              </w:rPr>
              <w:lastRenderedPageBreak/>
              <w:br w:type="page"/>
            </w:r>
            <w:r w:rsidRPr="001421C4">
              <w:rPr>
                <w:rFonts w:ascii="Cambria" w:hAnsi="Cambria"/>
                <w:sz w:val="22"/>
                <w:szCs w:val="22"/>
              </w:rPr>
              <w:t>IZVEDBENI PLAN NASTAVE KOLEGIJA</w:t>
            </w:r>
          </w:p>
        </w:tc>
      </w:tr>
      <w:tr w:rsidR="001421C4" w:rsidRPr="001421C4" w14:paraId="7BEFEFEA" w14:textId="77777777" w:rsidTr="001421C4">
        <w:tc>
          <w:tcPr>
            <w:tcW w:w="2460" w:type="dxa"/>
            <w:tcBorders>
              <w:top w:val="single" w:sz="4" w:space="0" w:color="auto"/>
              <w:left w:val="single" w:sz="4" w:space="0" w:color="auto"/>
              <w:bottom w:val="single" w:sz="4" w:space="0" w:color="auto"/>
              <w:right w:val="single" w:sz="4" w:space="0" w:color="auto"/>
            </w:tcBorders>
            <w:shd w:val="clear" w:color="auto" w:fill="F3F3F3"/>
            <w:tcMar>
              <w:top w:w="15" w:type="dxa"/>
              <w:left w:w="15" w:type="dxa"/>
              <w:bottom w:w="15" w:type="dxa"/>
              <w:right w:w="15" w:type="dxa"/>
            </w:tcMar>
            <w:vAlign w:val="center"/>
            <w:hideMark/>
          </w:tcPr>
          <w:p w14:paraId="7D7076C0" w14:textId="77777777" w:rsidR="001421C4" w:rsidRPr="001421C4" w:rsidRDefault="001421C4">
            <w:pPr>
              <w:rPr>
                <w:rFonts w:ascii="Cambria" w:hAnsi="Cambria"/>
                <w:sz w:val="22"/>
                <w:szCs w:val="22"/>
              </w:rPr>
            </w:pPr>
            <w:proofErr w:type="spellStart"/>
            <w:r w:rsidRPr="001421C4">
              <w:rPr>
                <w:rFonts w:ascii="Cambria" w:hAnsi="Cambria"/>
                <w:sz w:val="22"/>
                <w:szCs w:val="22"/>
              </w:rPr>
              <w:t>Kod</w:t>
            </w:r>
            <w:proofErr w:type="spellEnd"/>
            <w:r w:rsidRPr="001421C4">
              <w:rPr>
                <w:rFonts w:ascii="Cambria" w:hAnsi="Cambria"/>
                <w:sz w:val="22"/>
                <w:szCs w:val="22"/>
              </w:rPr>
              <w:t xml:space="preserve"> </w:t>
            </w:r>
            <w:proofErr w:type="spellStart"/>
            <w:r w:rsidRPr="001421C4">
              <w:rPr>
                <w:rFonts w:ascii="Cambria" w:hAnsi="Cambria"/>
                <w:sz w:val="22"/>
                <w:szCs w:val="22"/>
              </w:rPr>
              <w:t>i</w:t>
            </w:r>
            <w:proofErr w:type="spellEnd"/>
            <w:r w:rsidRPr="001421C4">
              <w:rPr>
                <w:rFonts w:ascii="Cambria" w:hAnsi="Cambria"/>
                <w:sz w:val="22"/>
                <w:szCs w:val="22"/>
              </w:rPr>
              <w:t xml:space="preserve"> </w:t>
            </w:r>
            <w:proofErr w:type="spellStart"/>
            <w:r w:rsidRPr="001421C4">
              <w:rPr>
                <w:rFonts w:ascii="Cambria" w:hAnsi="Cambria"/>
                <w:sz w:val="22"/>
                <w:szCs w:val="22"/>
              </w:rPr>
              <w:t>naziv</w:t>
            </w:r>
            <w:proofErr w:type="spellEnd"/>
            <w:r w:rsidRPr="001421C4">
              <w:rPr>
                <w:rFonts w:ascii="Cambria" w:hAnsi="Cambria"/>
                <w:sz w:val="22"/>
                <w:szCs w:val="22"/>
              </w:rPr>
              <w:t xml:space="preserve"> </w:t>
            </w:r>
            <w:proofErr w:type="spellStart"/>
            <w:r w:rsidRPr="001421C4">
              <w:rPr>
                <w:rFonts w:ascii="Cambria" w:hAnsi="Cambria"/>
                <w:sz w:val="22"/>
                <w:szCs w:val="22"/>
              </w:rPr>
              <w:t>kolegija</w:t>
            </w:r>
            <w:proofErr w:type="spellEnd"/>
          </w:p>
        </w:tc>
        <w:tc>
          <w:tcPr>
            <w:tcW w:w="7741"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E888EE5" w14:textId="1E25E556" w:rsidR="001421C4" w:rsidRPr="001421C4" w:rsidRDefault="001421C4">
            <w:pPr>
              <w:rPr>
                <w:rFonts w:ascii="Cambria" w:hAnsi="Cambria"/>
                <w:sz w:val="22"/>
                <w:szCs w:val="22"/>
              </w:rPr>
            </w:pPr>
            <w:r>
              <w:rPr>
                <w:rFonts w:ascii="Cambria" w:hAnsi="Cambria"/>
                <w:sz w:val="22"/>
                <w:szCs w:val="22"/>
              </w:rPr>
              <w:t>199919</w:t>
            </w:r>
          </w:p>
          <w:p w14:paraId="37DEDDCE" w14:textId="77777777" w:rsidR="001421C4" w:rsidRPr="001421C4" w:rsidRDefault="001421C4">
            <w:pPr>
              <w:rPr>
                <w:rFonts w:ascii="Cambria" w:hAnsi="Cambria"/>
                <w:sz w:val="22"/>
                <w:szCs w:val="22"/>
              </w:rPr>
            </w:pPr>
            <w:proofErr w:type="spellStart"/>
            <w:r w:rsidRPr="001421C4">
              <w:rPr>
                <w:rFonts w:ascii="Cambria" w:hAnsi="Cambria"/>
                <w:sz w:val="22"/>
                <w:szCs w:val="22"/>
              </w:rPr>
              <w:t>Osnove</w:t>
            </w:r>
            <w:proofErr w:type="spellEnd"/>
            <w:r w:rsidRPr="001421C4">
              <w:rPr>
                <w:rFonts w:ascii="Cambria" w:hAnsi="Cambria"/>
                <w:sz w:val="22"/>
                <w:szCs w:val="22"/>
              </w:rPr>
              <w:t xml:space="preserve"> </w:t>
            </w:r>
            <w:proofErr w:type="spellStart"/>
            <w:r w:rsidRPr="001421C4">
              <w:rPr>
                <w:rFonts w:ascii="Cambria" w:hAnsi="Cambria"/>
                <w:sz w:val="22"/>
                <w:szCs w:val="22"/>
              </w:rPr>
              <w:t>zbornog</w:t>
            </w:r>
            <w:proofErr w:type="spellEnd"/>
            <w:r w:rsidRPr="001421C4">
              <w:rPr>
                <w:rFonts w:ascii="Cambria" w:hAnsi="Cambria"/>
                <w:sz w:val="22"/>
                <w:szCs w:val="22"/>
              </w:rPr>
              <w:t xml:space="preserve"> </w:t>
            </w:r>
            <w:proofErr w:type="spellStart"/>
            <w:r w:rsidRPr="001421C4">
              <w:rPr>
                <w:rFonts w:ascii="Cambria" w:hAnsi="Cambria"/>
                <w:sz w:val="22"/>
                <w:szCs w:val="22"/>
              </w:rPr>
              <w:t>pjevanja</w:t>
            </w:r>
            <w:proofErr w:type="spellEnd"/>
          </w:p>
        </w:tc>
      </w:tr>
      <w:tr w:rsidR="001421C4" w:rsidRPr="001421C4" w14:paraId="68FEED8A" w14:textId="77777777" w:rsidTr="001421C4">
        <w:tc>
          <w:tcPr>
            <w:tcW w:w="2460" w:type="dxa"/>
            <w:tcBorders>
              <w:top w:val="single" w:sz="4" w:space="0" w:color="auto"/>
              <w:left w:val="single" w:sz="4" w:space="0" w:color="auto"/>
              <w:bottom w:val="single" w:sz="4" w:space="0" w:color="auto"/>
              <w:right w:val="single" w:sz="4" w:space="0" w:color="auto"/>
            </w:tcBorders>
            <w:shd w:val="clear" w:color="auto" w:fill="F3F3F3"/>
            <w:tcMar>
              <w:top w:w="15" w:type="dxa"/>
              <w:left w:w="15" w:type="dxa"/>
              <w:bottom w:w="15" w:type="dxa"/>
              <w:right w:w="15" w:type="dxa"/>
            </w:tcMar>
            <w:vAlign w:val="center"/>
            <w:hideMark/>
          </w:tcPr>
          <w:p w14:paraId="3ED3DA2C" w14:textId="77777777" w:rsidR="001421C4" w:rsidRPr="001421C4" w:rsidRDefault="001421C4">
            <w:pPr>
              <w:rPr>
                <w:rFonts w:ascii="Cambria" w:hAnsi="Cambria"/>
                <w:sz w:val="22"/>
                <w:szCs w:val="22"/>
              </w:rPr>
            </w:pPr>
            <w:proofErr w:type="spellStart"/>
            <w:r w:rsidRPr="001421C4">
              <w:rPr>
                <w:rFonts w:ascii="Cambria" w:hAnsi="Cambria"/>
                <w:sz w:val="22"/>
                <w:szCs w:val="22"/>
              </w:rPr>
              <w:t>Nastavnica</w:t>
            </w:r>
            <w:proofErr w:type="spellEnd"/>
          </w:p>
          <w:p w14:paraId="60658EB1" w14:textId="77777777" w:rsidR="001421C4" w:rsidRPr="001421C4" w:rsidRDefault="001421C4">
            <w:pPr>
              <w:rPr>
                <w:rFonts w:ascii="Cambria" w:hAnsi="Cambria"/>
                <w:sz w:val="22"/>
                <w:szCs w:val="22"/>
              </w:rPr>
            </w:pPr>
            <w:proofErr w:type="spellStart"/>
            <w:r w:rsidRPr="001421C4">
              <w:rPr>
                <w:rFonts w:ascii="Cambria" w:hAnsi="Cambria"/>
                <w:sz w:val="22"/>
                <w:szCs w:val="22"/>
              </w:rPr>
              <w:t>Suradnik</w:t>
            </w:r>
            <w:proofErr w:type="spellEnd"/>
          </w:p>
        </w:tc>
        <w:tc>
          <w:tcPr>
            <w:tcW w:w="7741"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3200BCC" w14:textId="397F2A9C" w:rsidR="001421C4" w:rsidRPr="001421C4" w:rsidRDefault="001421C4">
            <w:pPr>
              <w:rPr>
                <w:rFonts w:ascii="Cambria" w:hAnsi="Cambria"/>
                <w:sz w:val="22"/>
                <w:szCs w:val="22"/>
                <w:lang w:val="it-IT"/>
              </w:rPr>
            </w:pPr>
            <w:hyperlink r:id="rId119" w:history="1">
              <w:r w:rsidRPr="001421C4">
                <w:rPr>
                  <w:rStyle w:val="Hiperveza"/>
                  <w:rFonts w:ascii="Cambria" w:hAnsi="Cambria"/>
                  <w:sz w:val="22"/>
                  <w:szCs w:val="22"/>
                  <w:lang w:val="it-IT"/>
                </w:rPr>
                <w:t>Prof. dr. sc. Ivana Paula Gortan-Carlin</w:t>
              </w:r>
            </w:hyperlink>
            <w:r w:rsidR="00B36357">
              <w:rPr>
                <w:rStyle w:val="Hiperveza"/>
                <w:rFonts w:ascii="Cambria" w:hAnsi="Cambria"/>
                <w:lang w:val="it-IT"/>
              </w:rPr>
              <w:t xml:space="preserve"> </w:t>
            </w:r>
            <w:r w:rsidRPr="001421C4">
              <w:rPr>
                <w:rFonts w:ascii="Cambria" w:hAnsi="Cambria"/>
                <w:sz w:val="22"/>
                <w:szCs w:val="22"/>
                <w:lang w:val="it-IT"/>
              </w:rPr>
              <w:t>(</w:t>
            </w:r>
            <w:proofErr w:type="spellStart"/>
            <w:r w:rsidRPr="001421C4">
              <w:rPr>
                <w:rFonts w:ascii="Cambria" w:hAnsi="Cambria"/>
                <w:sz w:val="22"/>
                <w:szCs w:val="22"/>
                <w:lang w:val="it-IT"/>
              </w:rPr>
              <w:t>nositeljica</w:t>
            </w:r>
            <w:proofErr w:type="spellEnd"/>
            <w:r w:rsidRPr="001421C4">
              <w:rPr>
                <w:rFonts w:ascii="Cambria" w:hAnsi="Cambria"/>
                <w:sz w:val="22"/>
                <w:szCs w:val="22"/>
                <w:lang w:val="it-IT"/>
              </w:rPr>
              <w:t>)</w:t>
            </w:r>
          </w:p>
          <w:p w14:paraId="6F714F5F" w14:textId="77777777" w:rsidR="001421C4" w:rsidRPr="001421C4" w:rsidRDefault="001421C4">
            <w:pPr>
              <w:rPr>
                <w:rFonts w:ascii="Cambria" w:hAnsi="Cambria"/>
                <w:sz w:val="22"/>
                <w:szCs w:val="22"/>
              </w:rPr>
            </w:pPr>
            <w:hyperlink r:id="rId120" w:history="1">
              <w:r w:rsidRPr="001421C4">
                <w:rPr>
                  <w:rStyle w:val="Hiperveza"/>
                  <w:rFonts w:ascii="Cambria" w:hAnsi="Cambria"/>
                  <w:sz w:val="22"/>
                  <w:szCs w:val="22"/>
                </w:rPr>
                <w:t>Mr. sc. Branko Radić, pred.</w:t>
              </w:r>
            </w:hyperlink>
          </w:p>
        </w:tc>
      </w:tr>
      <w:tr w:rsidR="001421C4" w:rsidRPr="001421C4" w14:paraId="332BA014" w14:textId="77777777" w:rsidTr="001421C4">
        <w:tc>
          <w:tcPr>
            <w:tcW w:w="2460" w:type="dxa"/>
            <w:tcBorders>
              <w:top w:val="single" w:sz="4" w:space="0" w:color="auto"/>
              <w:left w:val="single" w:sz="4" w:space="0" w:color="auto"/>
              <w:bottom w:val="single" w:sz="4" w:space="0" w:color="auto"/>
              <w:right w:val="single" w:sz="4" w:space="0" w:color="auto"/>
            </w:tcBorders>
            <w:shd w:val="clear" w:color="auto" w:fill="F3F3F3"/>
            <w:tcMar>
              <w:top w:w="15" w:type="dxa"/>
              <w:left w:w="15" w:type="dxa"/>
              <w:bottom w:w="15" w:type="dxa"/>
              <w:right w:w="15" w:type="dxa"/>
            </w:tcMar>
            <w:vAlign w:val="center"/>
            <w:hideMark/>
          </w:tcPr>
          <w:p w14:paraId="16EBB50E" w14:textId="77777777" w:rsidR="001421C4" w:rsidRPr="001421C4" w:rsidRDefault="001421C4">
            <w:pPr>
              <w:rPr>
                <w:rFonts w:ascii="Cambria" w:hAnsi="Cambria"/>
                <w:sz w:val="22"/>
                <w:szCs w:val="22"/>
              </w:rPr>
            </w:pPr>
            <w:proofErr w:type="spellStart"/>
            <w:r w:rsidRPr="001421C4">
              <w:rPr>
                <w:rFonts w:ascii="Cambria" w:hAnsi="Cambria"/>
                <w:sz w:val="22"/>
                <w:szCs w:val="22"/>
              </w:rPr>
              <w:t>Studijski</w:t>
            </w:r>
            <w:proofErr w:type="spellEnd"/>
            <w:r w:rsidRPr="001421C4">
              <w:rPr>
                <w:rFonts w:ascii="Cambria" w:hAnsi="Cambria"/>
                <w:sz w:val="22"/>
                <w:szCs w:val="22"/>
              </w:rPr>
              <w:t xml:space="preserve"> program</w:t>
            </w:r>
          </w:p>
        </w:tc>
        <w:tc>
          <w:tcPr>
            <w:tcW w:w="7741"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B8D9F78" w14:textId="77777777" w:rsidR="001421C4" w:rsidRPr="001421C4" w:rsidRDefault="001421C4">
            <w:pPr>
              <w:rPr>
                <w:rFonts w:ascii="Cambria" w:hAnsi="Cambria"/>
                <w:sz w:val="22"/>
                <w:szCs w:val="22"/>
              </w:rPr>
            </w:pPr>
            <w:proofErr w:type="spellStart"/>
            <w:r w:rsidRPr="001421C4">
              <w:rPr>
                <w:rFonts w:ascii="Cambria" w:hAnsi="Cambria"/>
                <w:sz w:val="22"/>
                <w:szCs w:val="22"/>
              </w:rPr>
              <w:t>Sveučilišni</w:t>
            </w:r>
            <w:proofErr w:type="spellEnd"/>
            <w:r w:rsidRPr="001421C4">
              <w:rPr>
                <w:rFonts w:ascii="Cambria" w:hAnsi="Cambria"/>
                <w:sz w:val="22"/>
                <w:szCs w:val="22"/>
              </w:rPr>
              <w:t xml:space="preserve"> </w:t>
            </w:r>
            <w:proofErr w:type="spellStart"/>
            <w:r w:rsidRPr="001421C4">
              <w:rPr>
                <w:rFonts w:ascii="Cambria" w:hAnsi="Cambria"/>
                <w:sz w:val="22"/>
                <w:szCs w:val="22"/>
              </w:rPr>
              <w:t>integrirani</w:t>
            </w:r>
            <w:proofErr w:type="spellEnd"/>
            <w:r w:rsidRPr="001421C4">
              <w:rPr>
                <w:rFonts w:ascii="Cambria" w:hAnsi="Cambria"/>
                <w:sz w:val="22"/>
                <w:szCs w:val="22"/>
              </w:rPr>
              <w:t xml:space="preserve"> </w:t>
            </w:r>
            <w:proofErr w:type="spellStart"/>
            <w:r w:rsidRPr="001421C4">
              <w:rPr>
                <w:rFonts w:ascii="Cambria" w:hAnsi="Cambria"/>
                <w:sz w:val="22"/>
                <w:szCs w:val="22"/>
              </w:rPr>
              <w:t>prijediplomski</w:t>
            </w:r>
            <w:proofErr w:type="spellEnd"/>
            <w:r w:rsidRPr="001421C4">
              <w:rPr>
                <w:rFonts w:ascii="Cambria" w:hAnsi="Cambria"/>
                <w:sz w:val="22"/>
                <w:szCs w:val="22"/>
              </w:rPr>
              <w:t xml:space="preserve"> </w:t>
            </w:r>
            <w:proofErr w:type="spellStart"/>
            <w:r w:rsidRPr="001421C4">
              <w:rPr>
                <w:rFonts w:ascii="Cambria" w:hAnsi="Cambria"/>
                <w:sz w:val="22"/>
                <w:szCs w:val="22"/>
              </w:rPr>
              <w:t>i</w:t>
            </w:r>
            <w:proofErr w:type="spellEnd"/>
            <w:r w:rsidRPr="001421C4">
              <w:rPr>
                <w:rFonts w:ascii="Cambria" w:hAnsi="Cambria"/>
                <w:sz w:val="22"/>
                <w:szCs w:val="22"/>
              </w:rPr>
              <w:t xml:space="preserve"> </w:t>
            </w:r>
            <w:proofErr w:type="spellStart"/>
            <w:r w:rsidRPr="001421C4">
              <w:rPr>
                <w:rFonts w:ascii="Cambria" w:hAnsi="Cambria"/>
                <w:sz w:val="22"/>
                <w:szCs w:val="22"/>
              </w:rPr>
              <w:t>diplomski</w:t>
            </w:r>
            <w:proofErr w:type="spellEnd"/>
            <w:r w:rsidRPr="001421C4">
              <w:rPr>
                <w:rFonts w:ascii="Cambria" w:hAnsi="Cambria"/>
                <w:sz w:val="22"/>
                <w:szCs w:val="22"/>
              </w:rPr>
              <w:t xml:space="preserve"> </w:t>
            </w:r>
            <w:proofErr w:type="spellStart"/>
            <w:r w:rsidRPr="001421C4">
              <w:rPr>
                <w:rFonts w:ascii="Cambria" w:hAnsi="Cambria"/>
                <w:sz w:val="22"/>
                <w:szCs w:val="22"/>
              </w:rPr>
              <w:t>Učiteljski</w:t>
            </w:r>
            <w:proofErr w:type="spellEnd"/>
            <w:r w:rsidRPr="001421C4">
              <w:rPr>
                <w:rFonts w:ascii="Cambria" w:hAnsi="Cambria"/>
                <w:sz w:val="22"/>
                <w:szCs w:val="22"/>
              </w:rPr>
              <w:t xml:space="preserve"> </w:t>
            </w:r>
            <w:proofErr w:type="spellStart"/>
            <w:r w:rsidRPr="001421C4">
              <w:rPr>
                <w:rFonts w:ascii="Cambria" w:hAnsi="Cambria"/>
                <w:sz w:val="22"/>
                <w:szCs w:val="22"/>
              </w:rPr>
              <w:t>studij</w:t>
            </w:r>
            <w:proofErr w:type="spellEnd"/>
            <w:r w:rsidRPr="001421C4">
              <w:rPr>
                <w:rFonts w:ascii="Cambria" w:hAnsi="Cambria"/>
                <w:sz w:val="22"/>
                <w:szCs w:val="22"/>
              </w:rPr>
              <w:t xml:space="preserve"> </w:t>
            </w:r>
            <w:proofErr w:type="spellStart"/>
            <w:r w:rsidRPr="001421C4">
              <w:rPr>
                <w:rFonts w:ascii="Cambria" w:hAnsi="Cambria"/>
                <w:sz w:val="22"/>
                <w:szCs w:val="22"/>
              </w:rPr>
              <w:t>na</w:t>
            </w:r>
            <w:proofErr w:type="spellEnd"/>
            <w:r w:rsidRPr="001421C4">
              <w:rPr>
                <w:rFonts w:ascii="Cambria" w:hAnsi="Cambria"/>
                <w:sz w:val="22"/>
                <w:szCs w:val="22"/>
              </w:rPr>
              <w:t xml:space="preserve"> </w:t>
            </w:r>
            <w:proofErr w:type="spellStart"/>
            <w:r w:rsidRPr="001421C4">
              <w:rPr>
                <w:rFonts w:ascii="Cambria" w:hAnsi="Cambria"/>
                <w:sz w:val="22"/>
                <w:szCs w:val="22"/>
              </w:rPr>
              <w:t>hrvatskom</w:t>
            </w:r>
            <w:proofErr w:type="spellEnd"/>
            <w:r w:rsidRPr="001421C4">
              <w:rPr>
                <w:rFonts w:ascii="Cambria" w:hAnsi="Cambria"/>
                <w:sz w:val="22"/>
                <w:szCs w:val="22"/>
              </w:rPr>
              <w:t xml:space="preserve"> </w:t>
            </w:r>
            <w:proofErr w:type="spellStart"/>
            <w:r w:rsidRPr="001421C4">
              <w:rPr>
                <w:rFonts w:ascii="Cambria" w:hAnsi="Cambria"/>
                <w:sz w:val="22"/>
                <w:szCs w:val="22"/>
              </w:rPr>
              <w:t>jeziku</w:t>
            </w:r>
            <w:proofErr w:type="spellEnd"/>
          </w:p>
        </w:tc>
      </w:tr>
      <w:tr w:rsidR="001421C4" w:rsidRPr="001421C4" w14:paraId="6A7B17BD" w14:textId="77777777" w:rsidTr="001421C4">
        <w:tc>
          <w:tcPr>
            <w:tcW w:w="2460" w:type="dxa"/>
            <w:tcBorders>
              <w:top w:val="single" w:sz="4" w:space="0" w:color="auto"/>
              <w:left w:val="single" w:sz="4" w:space="0" w:color="auto"/>
              <w:bottom w:val="single" w:sz="4" w:space="0" w:color="auto"/>
              <w:right w:val="single" w:sz="4" w:space="0" w:color="auto"/>
            </w:tcBorders>
            <w:shd w:val="clear" w:color="auto" w:fill="F3F3F3"/>
            <w:tcMar>
              <w:top w:w="15" w:type="dxa"/>
              <w:left w:w="15" w:type="dxa"/>
              <w:bottom w:w="15" w:type="dxa"/>
              <w:right w:w="15" w:type="dxa"/>
            </w:tcMar>
            <w:vAlign w:val="center"/>
            <w:hideMark/>
          </w:tcPr>
          <w:p w14:paraId="2BA8DEE2" w14:textId="77777777" w:rsidR="001421C4" w:rsidRPr="001421C4" w:rsidRDefault="001421C4">
            <w:pPr>
              <w:rPr>
                <w:rFonts w:ascii="Cambria" w:hAnsi="Cambria"/>
                <w:sz w:val="22"/>
                <w:szCs w:val="22"/>
              </w:rPr>
            </w:pPr>
            <w:proofErr w:type="spellStart"/>
            <w:r w:rsidRPr="001421C4">
              <w:rPr>
                <w:rFonts w:ascii="Cambria" w:hAnsi="Cambria"/>
                <w:sz w:val="22"/>
                <w:szCs w:val="22"/>
              </w:rPr>
              <w:t>Vrsta</w:t>
            </w:r>
            <w:proofErr w:type="spellEnd"/>
            <w:r w:rsidRPr="001421C4">
              <w:rPr>
                <w:rFonts w:ascii="Cambria" w:hAnsi="Cambria"/>
                <w:sz w:val="22"/>
                <w:szCs w:val="22"/>
              </w:rPr>
              <w:t xml:space="preserve"> </w:t>
            </w:r>
            <w:proofErr w:type="spellStart"/>
            <w:r w:rsidRPr="001421C4">
              <w:rPr>
                <w:rFonts w:ascii="Cambria" w:hAnsi="Cambria"/>
                <w:sz w:val="22"/>
                <w:szCs w:val="22"/>
              </w:rPr>
              <w:t>kolegija</w:t>
            </w:r>
            <w:proofErr w:type="spellEnd"/>
          </w:p>
        </w:tc>
        <w:tc>
          <w:tcPr>
            <w:tcW w:w="301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87B3FC0" w14:textId="77777777" w:rsidR="001421C4" w:rsidRPr="001421C4" w:rsidRDefault="001421C4">
            <w:pPr>
              <w:rPr>
                <w:rFonts w:ascii="Cambria" w:hAnsi="Cambria"/>
                <w:sz w:val="22"/>
                <w:szCs w:val="22"/>
              </w:rPr>
            </w:pPr>
            <w:proofErr w:type="spellStart"/>
            <w:r w:rsidRPr="001421C4">
              <w:rPr>
                <w:rFonts w:ascii="Cambria" w:hAnsi="Cambria"/>
                <w:sz w:val="22"/>
                <w:szCs w:val="22"/>
              </w:rPr>
              <w:t>izborni</w:t>
            </w:r>
            <w:proofErr w:type="spellEnd"/>
            <w:r w:rsidRPr="001421C4">
              <w:rPr>
                <w:rFonts w:ascii="Cambria" w:hAnsi="Cambria"/>
                <w:sz w:val="22"/>
                <w:szCs w:val="22"/>
              </w:rPr>
              <w:t xml:space="preserve"> </w:t>
            </w:r>
          </w:p>
        </w:tc>
        <w:tc>
          <w:tcPr>
            <w:tcW w:w="1260" w:type="dxa"/>
            <w:gridSpan w:val="2"/>
            <w:tcBorders>
              <w:top w:val="single" w:sz="4" w:space="0" w:color="auto"/>
              <w:left w:val="single" w:sz="4" w:space="0" w:color="auto"/>
              <w:bottom w:val="single" w:sz="4" w:space="0" w:color="auto"/>
              <w:right w:val="single" w:sz="4" w:space="0" w:color="auto"/>
            </w:tcBorders>
            <w:shd w:val="clear" w:color="auto" w:fill="E6E6E6"/>
            <w:tcMar>
              <w:top w:w="15" w:type="dxa"/>
              <w:left w:w="15" w:type="dxa"/>
              <w:bottom w:w="15" w:type="dxa"/>
              <w:right w:w="15" w:type="dxa"/>
            </w:tcMar>
            <w:vAlign w:val="center"/>
            <w:hideMark/>
          </w:tcPr>
          <w:p w14:paraId="7B494C56" w14:textId="77777777" w:rsidR="001421C4" w:rsidRPr="001421C4" w:rsidRDefault="001421C4">
            <w:pPr>
              <w:rPr>
                <w:rFonts w:ascii="Cambria" w:hAnsi="Cambria"/>
                <w:sz w:val="22"/>
                <w:szCs w:val="22"/>
              </w:rPr>
            </w:pPr>
            <w:r w:rsidRPr="001421C4">
              <w:rPr>
                <w:rFonts w:ascii="Cambria" w:hAnsi="Cambria"/>
                <w:sz w:val="22"/>
                <w:szCs w:val="22"/>
              </w:rPr>
              <w:t xml:space="preserve">Razina </w:t>
            </w:r>
            <w:proofErr w:type="spellStart"/>
            <w:r w:rsidRPr="001421C4">
              <w:rPr>
                <w:rFonts w:ascii="Cambria" w:hAnsi="Cambria"/>
                <w:sz w:val="22"/>
                <w:szCs w:val="22"/>
              </w:rPr>
              <w:t>kolegija</w:t>
            </w:r>
            <w:proofErr w:type="spellEnd"/>
          </w:p>
        </w:tc>
        <w:tc>
          <w:tcPr>
            <w:tcW w:w="3466"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6028A29" w14:textId="77777777" w:rsidR="001421C4" w:rsidRPr="001421C4" w:rsidRDefault="001421C4">
            <w:pPr>
              <w:rPr>
                <w:rFonts w:ascii="Cambria" w:hAnsi="Cambria"/>
                <w:sz w:val="22"/>
                <w:szCs w:val="22"/>
              </w:rPr>
            </w:pPr>
            <w:proofErr w:type="spellStart"/>
            <w:r w:rsidRPr="001421C4">
              <w:rPr>
                <w:rFonts w:ascii="Cambria" w:hAnsi="Cambria"/>
                <w:sz w:val="22"/>
                <w:szCs w:val="22"/>
              </w:rPr>
              <w:t>integrirani</w:t>
            </w:r>
            <w:proofErr w:type="spellEnd"/>
          </w:p>
        </w:tc>
      </w:tr>
      <w:tr w:rsidR="001421C4" w:rsidRPr="001421C4" w14:paraId="693BF647" w14:textId="77777777" w:rsidTr="001421C4">
        <w:tc>
          <w:tcPr>
            <w:tcW w:w="2460" w:type="dxa"/>
            <w:tcBorders>
              <w:top w:val="single" w:sz="4" w:space="0" w:color="auto"/>
              <w:left w:val="single" w:sz="4" w:space="0" w:color="auto"/>
              <w:bottom w:val="single" w:sz="4" w:space="0" w:color="auto"/>
              <w:right w:val="single" w:sz="4" w:space="0" w:color="auto"/>
            </w:tcBorders>
            <w:shd w:val="clear" w:color="auto" w:fill="F3F3F3"/>
            <w:tcMar>
              <w:top w:w="15" w:type="dxa"/>
              <w:left w:w="15" w:type="dxa"/>
              <w:bottom w:w="15" w:type="dxa"/>
              <w:right w:w="15" w:type="dxa"/>
            </w:tcMar>
            <w:vAlign w:val="center"/>
            <w:hideMark/>
          </w:tcPr>
          <w:p w14:paraId="0F4AAD7E" w14:textId="77777777" w:rsidR="001421C4" w:rsidRPr="001421C4" w:rsidRDefault="001421C4">
            <w:pPr>
              <w:rPr>
                <w:rFonts w:ascii="Cambria" w:hAnsi="Cambria"/>
                <w:sz w:val="22"/>
                <w:szCs w:val="22"/>
              </w:rPr>
            </w:pPr>
            <w:proofErr w:type="spellStart"/>
            <w:r w:rsidRPr="001421C4">
              <w:rPr>
                <w:rFonts w:ascii="Cambria" w:hAnsi="Cambria"/>
                <w:sz w:val="22"/>
                <w:szCs w:val="22"/>
              </w:rPr>
              <w:t>Semestar</w:t>
            </w:r>
            <w:proofErr w:type="spellEnd"/>
          </w:p>
        </w:tc>
        <w:tc>
          <w:tcPr>
            <w:tcW w:w="301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EEE699B" w14:textId="77777777" w:rsidR="001421C4" w:rsidRPr="001421C4" w:rsidRDefault="001421C4">
            <w:pPr>
              <w:rPr>
                <w:rFonts w:ascii="Cambria" w:hAnsi="Cambria"/>
                <w:sz w:val="22"/>
                <w:szCs w:val="22"/>
              </w:rPr>
            </w:pPr>
            <w:proofErr w:type="spellStart"/>
            <w:r w:rsidRPr="001421C4">
              <w:rPr>
                <w:rFonts w:ascii="Cambria" w:hAnsi="Cambria"/>
                <w:sz w:val="22"/>
                <w:szCs w:val="22"/>
              </w:rPr>
              <w:t>ljetni</w:t>
            </w:r>
            <w:proofErr w:type="spellEnd"/>
          </w:p>
        </w:tc>
        <w:tc>
          <w:tcPr>
            <w:tcW w:w="1260" w:type="dxa"/>
            <w:gridSpan w:val="2"/>
            <w:tcBorders>
              <w:top w:val="single" w:sz="4" w:space="0" w:color="auto"/>
              <w:left w:val="single" w:sz="4" w:space="0" w:color="auto"/>
              <w:bottom w:val="single" w:sz="4" w:space="0" w:color="auto"/>
              <w:right w:val="single" w:sz="4" w:space="0" w:color="auto"/>
            </w:tcBorders>
            <w:shd w:val="clear" w:color="auto" w:fill="E6E6E6"/>
            <w:tcMar>
              <w:top w:w="15" w:type="dxa"/>
              <w:left w:w="15" w:type="dxa"/>
              <w:bottom w:w="15" w:type="dxa"/>
              <w:right w:w="15" w:type="dxa"/>
            </w:tcMar>
            <w:vAlign w:val="center"/>
            <w:hideMark/>
          </w:tcPr>
          <w:p w14:paraId="5B5626F0" w14:textId="77777777" w:rsidR="001421C4" w:rsidRPr="001421C4" w:rsidRDefault="001421C4">
            <w:pPr>
              <w:rPr>
                <w:rFonts w:ascii="Cambria" w:hAnsi="Cambria"/>
                <w:sz w:val="22"/>
                <w:szCs w:val="22"/>
              </w:rPr>
            </w:pPr>
            <w:r w:rsidRPr="001421C4">
              <w:rPr>
                <w:rFonts w:ascii="Cambria" w:hAnsi="Cambria"/>
                <w:sz w:val="22"/>
                <w:szCs w:val="22"/>
              </w:rPr>
              <w:t xml:space="preserve">Godina </w:t>
            </w:r>
            <w:proofErr w:type="spellStart"/>
            <w:r w:rsidRPr="001421C4">
              <w:rPr>
                <w:rFonts w:ascii="Cambria" w:hAnsi="Cambria"/>
                <w:sz w:val="22"/>
                <w:szCs w:val="22"/>
              </w:rPr>
              <w:t>studija</w:t>
            </w:r>
            <w:proofErr w:type="spellEnd"/>
          </w:p>
        </w:tc>
        <w:tc>
          <w:tcPr>
            <w:tcW w:w="3466"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320B7E8" w14:textId="77777777" w:rsidR="001421C4" w:rsidRPr="001421C4" w:rsidRDefault="001421C4">
            <w:pPr>
              <w:rPr>
                <w:rFonts w:ascii="Cambria" w:hAnsi="Cambria"/>
                <w:sz w:val="22"/>
                <w:szCs w:val="22"/>
              </w:rPr>
            </w:pPr>
            <w:r w:rsidRPr="001421C4">
              <w:rPr>
                <w:rFonts w:ascii="Cambria" w:hAnsi="Cambria"/>
                <w:sz w:val="22"/>
                <w:szCs w:val="22"/>
              </w:rPr>
              <w:t>III.</w:t>
            </w:r>
          </w:p>
        </w:tc>
      </w:tr>
      <w:tr w:rsidR="001421C4" w:rsidRPr="001421C4" w14:paraId="7784BB73" w14:textId="77777777" w:rsidTr="001421C4">
        <w:tc>
          <w:tcPr>
            <w:tcW w:w="2460" w:type="dxa"/>
            <w:tcBorders>
              <w:top w:val="single" w:sz="4" w:space="0" w:color="auto"/>
              <w:left w:val="single" w:sz="4" w:space="0" w:color="auto"/>
              <w:bottom w:val="single" w:sz="4" w:space="0" w:color="auto"/>
              <w:right w:val="single" w:sz="4" w:space="0" w:color="auto"/>
            </w:tcBorders>
            <w:shd w:val="clear" w:color="auto" w:fill="F3F3F3"/>
            <w:tcMar>
              <w:top w:w="15" w:type="dxa"/>
              <w:left w:w="15" w:type="dxa"/>
              <w:bottom w:w="15" w:type="dxa"/>
              <w:right w:w="15" w:type="dxa"/>
            </w:tcMar>
            <w:vAlign w:val="center"/>
            <w:hideMark/>
          </w:tcPr>
          <w:p w14:paraId="3C63E812" w14:textId="77777777" w:rsidR="001421C4" w:rsidRPr="001421C4" w:rsidRDefault="001421C4">
            <w:pPr>
              <w:rPr>
                <w:rFonts w:ascii="Cambria" w:hAnsi="Cambria"/>
                <w:sz w:val="22"/>
                <w:szCs w:val="22"/>
              </w:rPr>
            </w:pPr>
            <w:proofErr w:type="spellStart"/>
            <w:r w:rsidRPr="001421C4">
              <w:rPr>
                <w:rFonts w:ascii="Cambria" w:hAnsi="Cambria"/>
                <w:sz w:val="22"/>
                <w:szCs w:val="22"/>
              </w:rPr>
              <w:t>Mjesto</w:t>
            </w:r>
            <w:proofErr w:type="spellEnd"/>
            <w:r w:rsidRPr="001421C4">
              <w:rPr>
                <w:rFonts w:ascii="Cambria" w:hAnsi="Cambria"/>
                <w:sz w:val="22"/>
                <w:szCs w:val="22"/>
              </w:rPr>
              <w:t xml:space="preserve"> </w:t>
            </w:r>
            <w:proofErr w:type="spellStart"/>
            <w:r w:rsidRPr="001421C4">
              <w:rPr>
                <w:rFonts w:ascii="Cambria" w:hAnsi="Cambria"/>
                <w:sz w:val="22"/>
                <w:szCs w:val="22"/>
              </w:rPr>
              <w:t>izvođenja</w:t>
            </w:r>
            <w:proofErr w:type="spellEnd"/>
          </w:p>
        </w:tc>
        <w:tc>
          <w:tcPr>
            <w:tcW w:w="301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FCAD20E" w14:textId="77777777" w:rsidR="001421C4" w:rsidRPr="001421C4" w:rsidRDefault="001421C4">
            <w:pPr>
              <w:rPr>
                <w:rFonts w:ascii="Cambria" w:hAnsi="Cambria"/>
                <w:sz w:val="22"/>
                <w:szCs w:val="22"/>
                <w:lang w:val="it-IT"/>
              </w:rPr>
            </w:pPr>
            <w:proofErr w:type="spellStart"/>
            <w:r w:rsidRPr="001421C4">
              <w:rPr>
                <w:rFonts w:ascii="Cambria" w:hAnsi="Cambria"/>
                <w:sz w:val="22"/>
                <w:szCs w:val="22"/>
                <w:lang w:val="it-IT"/>
              </w:rPr>
              <w:t>učionica</w:t>
            </w:r>
            <w:proofErr w:type="spellEnd"/>
            <w:r w:rsidRPr="001421C4">
              <w:rPr>
                <w:rFonts w:ascii="Cambria" w:hAnsi="Cambria"/>
                <w:sz w:val="22"/>
                <w:szCs w:val="22"/>
                <w:lang w:val="it-IT"/>
              </w:rPr>
              <w:t xml:space="preserve">, </w:t>
            </w:r>
            <w:proofErr w:type="spellStart"/>
            <w:r w:rsidRPr="001421C4">
              <w:rPr>
                <w:rFonts w:ascii="Cambria" w:hAnsi="Cambria"/>
                <w:sz w:val="22"/>
                <w:szCs w:val="22"/>
                <w:lang w:val="it-IT"/>
              </w:rPr>
              <w:t>prostorije</w:t>
            </w:r>
            <w:proofErr w:type="spellEnd"/>
            <w:r w:rsidRPr="001421C4">
              <w:rPr>
                <w:rFonts w:ascii="Cambria" w:hAnsi="Cambria"/>
                <w:sz w:val="22"/>
                <w:szCs w:val="22"/>
                <w:lang w:val="it-IT"/>
              </w:rPr>
              <w:t xml:space="preserve"> </w:t>
            </w:r>
            <w:proofErr w:type="spellStart"/>
            <w:r w:rsidRPr="001421C4">
              <w:rPr>
                <w:rFonts w:ascii="Cambria" w:hAnsi="Cambria"/>
                <w:sz w:val="22"/>
                <w:szCs w:val="22"/>
                <w:lang w:val="it-IT"/>
              </w:rPr>
              <w:t>vježbaonice</w:t>
            </w:r>
            <w:proofErr w:type="spellEnd"/>
            <w:r w:rsidRPr="001421C4">
              <w:rPr>
                <w:rFonts w:ascii="Cambria" w:hAnsi="Cambria"/>
                <w:sz w:val="22"/>
                <w:szCs w:val="22"/>
                <w:lang w:val="it-IT"/>
              </w:rPr>
              <w:t xml:space="preserve"> </w:t>
            </w:r>
            <w:proofErr w:type="spellStart"/>
            <w:r w:rsidRPr="001421C4">
              <w:rPr>
                <w:rFonts w:ascii="Cambria" w:hAnsi="Cambria"/>
                <w:sz w:val="22"/>
                <w:szCs w:val="22"/>
                <w:lang w:val="it-IT"/>
              </w:rPr>
              <w:t>zborske</w:t>
            </w:r>
            <w:proofErr w:type="spellEnd"/>
            <w:r w:rsidRPr="001421C4">
              <w:rPr>
                <w:rFonts w:ascii="Cambria" w:hAnsi="Cambria"/>
                <w:sz w:val="22"/>
                <w:szCs w:val="22"/>
                <w:lang w:val="it-IT"/>
              </w:rPr>
              <w:t xml:space="preserve"> </w:t>
            </w:r>
            <w:proofErr w:type="spellStart"/>
            <w:r w:rsidRPr="001421C4">
              <w:rPr>
                <w:rFonts w:ascii="Cambria" w:hAnsi="Cambria"/>
                <w:sz w:val="22"/>
                <w:szCs w:val="22"/>
                <w:lang w:val="it-IT"/>
              </w:rPr>
              <w:t>glazbe</w:t>
            </w:r>
            <w:proofErr w:type="spellEnd"/>
          </w:p>
        </w:tc>
        <w:tc>
          <w:tcPr>
            <w:tcW w:w="1260" w:type="dxa"/>
            <w:gridSpan w:val="2"/>
            <w:tcBorders>
              <w:top w:val="single" w:sz="4" w:space="0" w:color="auto"/>
              <w:left w:val="single" w:sz="4" w:space="0" w:color="auto"/>
              <w:bottom w:val="single" w:sz="4" w:space="0" w:color="auto"/>
              <w:right w:val="single" w:sz="4" w:space="0" w:color="auto"/>
            </w:tcBorders>
            <w:shd w:val="clear" w:color="auto" w:fill="E6E6E6"/>
            <w:tcMar>
              <w:top w:w="15" w:type="dxa"/>
              <w:left w:w="15" w:type="dxa"/>
              <w:bottom w:w="15" w:type="dxa"/>
              <w:right w:w="15" w:type="dxa"/>
            </w:tcMar>
            <w:vAlign w:val="center"/>
            <w:hideMark/>
          </w:tcPr>
          <w:p w14:paraId="02E942EC" w14:textId="77777777" w:rsidR="001421C4" w:rsidRPr="001421C4" w:rsidRDefault="001421C4">
            <w:pPr>
              <w:rPr>
                <w:rFonts w:ascii="Cambria" w:hAnsi="Cambria"/>
                <w:sz w:val="22"/>
                <w:szCs w:val="22"/>
              </w:rPr>
            </w:pPr>
            <w:r w:rsidRPr="001421C4">
              <w:rPr>
                <w:rFonts w:ascii="Cambria" w:hAnsi="Cambria"/>
                <w:sz w:val="22"/>
                <w:szCs w:val="22"/>
              </w:rPr>
              <w:t xml:space="preserve">Jezik </w:t>
            </w:r>
            <w:proofErr w:type="spellStart"/>
            <w:r w:rsidRPr="001421C4">
              <w:rPr>
                <w:rFonts w:ascii="Cambria" w:hAnsi="Cambria"/>
                <w:sz w:val="22"/>
                <w:szCs w:val="22"/>
              </w:rPr>
              <w:t>izvođenja</w:t>
            </w:r>
            <w:proofErr w:type="spellEnd"/>
            <w:r w:rsidRPr="001421C4">
              <w:rPr>
                <w:rFonts w:ascii="Cambria" w:hAnsi="Cambria"/>
                <w:sz w:val="22"/>
                <w:szCs w:val="22"/>
              </w:rPr>
              <w:t xml:space="preserve"> </w:t>
            </w:r>
          </w:p>
        </w:tc>
        <w:tc>
          <w:tcPr>
            <w:tcW w:w="3466"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9B9176C" w14:textId="77777777" w:rsidR="001421C4" w:rsidRPr="001421C4" w:rsidRDefault="001421C4">
            <w:pPr>
              <w:rPr>
                <w:rFonts w:ascii="Cambria" w:hAnsi="Cambria"/>
                <w:sz w:val="22"/>
                <w:szCs w:val="22"/>
              </w:rPr>
            </w:pPr>
            <w:proofErr w:type="spellStart"/>
            <w:r w:rsidRPr="001421C4">
              <w:rPr>
                <w:rFonts w:ascii="Cambria" w:hAnsi="Cambria"/>
                <w:sz w:val="22"/>
                <w:szCs w:val="22"/>
              </w:rPr>
              <w:t>hrvatski</w:t>
            </w:r>
            <w:proofErr w:type="spellEnd"/>
            <w:r w:rsidRPr="001421C4">
              <w:rPr>
                <w:rFonts w:ascii="Cambria" w:hAnsi="Cambria"/>
                <w:sz w:val="22"/>
                <w:szCs w:val="22"/>
              </w:rPr>
              <w:t xml:space="preserve"> </w:t>
            </w:r>
          </w:p>
          <w:p w14:paraId="5CC47336" w14:textId="77777777" w:rsidR="001421C4" w:rsidRPr="001421C4" w:rsidRDefault="001421C4">
            <w:pPr>
              <w:rPr>
                <w:rFonts w:ascii="Cambria" w:hAnsi="Cambria"/>
                <w:sz w:val="22"/>
                <w:szCs w:val="22"/>
              </w:rPr>
            </w:pPr>
            <w:r w:rsidRPr="001421C4">
              <w:rPr>
                <w:rFonts w:ascii="Cambria" w:hAnsi="Cambria"/>
                <w:sz w:val="22"/>
                <w:szCs w:val="22"/>
              </w:rPr>
              <w:t>(</w:t>
            </w:r>
            <w:proofErr w:type="spellStart"/>
            <w:r w:rsidRPr="001421C4">
              <w:rPr>
                <w:rFonts w:ascii="Cambria" w:hAnsi="Cambria"/>
                <w:sz w:val="22"/>
                <w:szCs w:val="22"/>
              </w:rPr>
              <w:t>talijanski</w:t>
            </w:r>
            <w:proofErr w:type="spellEnd"/>
            <w:r w:rsidRPr="001421C4">
              <w:rPr>
                <w:rFonts w:ascii="Cambria" w:hAnsi="Cambria"/>
                <w:sz w:val="22"/>
                <w:szCs w:val="22"/>
              </w:rPr>
              <w:t xml:space="preserve">, </w:t>
            </w:r>
            <w:proofErr w:type="spellStart"/>
            <w:r w:rsidRPr="001421C4">
              <w:rPr>
                <w:rFonts w:ascii="Cambria" w:hAnsi="Cambria"/>
                <w:sz w:val="22"/>
                <w:szCs w:val="22"/>
              </w:rPr>
              <w:t>slovenski</w:t>
            </w:r>
            <w:proofErr w:type="spellEnd"/>
            <w:r w:rsidRPr="001421C4">
              <w:rPr>
                <w:rFonts w:ascii="Cambria" w:hAnsi="Cambria"/>
                <w:sz w:val="22"/>
                <w:szCs w:val="22"/>
              </w:rPr>
              <w:t>)</w:t>
            </w:r>
          </w:p>
        </w:tc>
      </w:tr>
      <w:tr w:rsidR="001421C4" w:rsidRPr="001421C4" w14:paraId="65C9B9FB" w14:textId="77777777" w:rsidTr="001421C4">
        <w:tc>
          <w:tcPr>
            <w:tcW w:w="2460" w:type="dxa"/>
            <w:tcBorders>
              <w:top w:val="single" w:sz="4" w:space="0" w:color="auto"/>
              <w:left w:val="single" w:sz="4" w:space="0" w:color="auto"/>
              <w:bottom w:val="single" w:sz="4" w:space="0" w:color="auto"/>
              <w:right w:val="single" w:sz="4" w:space="0" w:color="auto"/>
            </w:tcBorders>
            <w:shd w:val="clear" w:color="auto" w:fill="F3F3F3"/>
            <w:tcMar>
              <w:top w:w="15" w:type="dxa"/>
              <w:left w:w="15" w:type="dxa"/>
              <w:bottom w:w="15" w:type="dxa"/>
              <w:right w:w="15" w:type="dxa"/>
            </w:tcMar>
            <w:vAlign w:val="center"/>
            <w:hideMark/>
          </w:tcPr>
          <w:p w14:paraId="3A182D01" w14:textId="77777777" w:rsidR="001421C4" w:rsidRPr="001421C4" w:rsidRDefault="001421C4">
            <w:pPr>
              <w:rPr>
                <w:rFonts w:ascii="Cambria" w:hAnsi="Cambria"/>
                <w:sz w:val="22"/>
                <w:szCs w:val="22"/>
              </w:rPr>
            </w:pPr>
            <w:proofErr w:type="spellStart"/>
            <w:r w:rsidRPr="001421C4">
              <w:rPr>
                <w:rFonts w:ascii="Cambria" w:hAnsi="Cambria"/>
                <w:sz w:val="22"/>
                <w:szCs w:val="22"/>
              </w:rPr>
              <w:t>Broj</w:t>
            </w:r>
            <w:proofErr w:type="spellEnd"/>
            <w:r w:rsidRPr="001421C4">
              <w:rPr>
                <w:rFonts w:ascii="Cambria" w:hAnsi="Cambria"/>
                <w:sz w:val="22"/>
                <w:szCs w:val="22"/>
              </w:rPr>
              <w:t xml:space="preserve"> ECTS </w:t>
            </w:r>
            <w:proofErr w:type="spellStart"/>
            <w:r w:rsidRPr="001421C4">
              <w:rPr>
                <w:rFonts w:ascii="Cambria" w:hAnsi="Cambria"/>
                <w:sz w:val="22"/>
                <w:szCs w:val="22"/>
              </w:rPr>
              <w:t>bodova</w:t>
            </w:r>
            <w:proofErr w:type="spellEnd"/>
          </w:p>
        </w:tc>
        <w:tc>
          <w:tcPr>
            <w:tcW w:w="301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C834D83" w14:textId="77777777" w:rsidR="001421C4" w:rsidRPr="001421C4" w:rsidRDefault="001421C4">
            <w:pPr>
              <w:rPr>
                <w:rFonts w:ascii="Cambria" w:hAnsi="Cambria"/>
                <w:sz w:val="22"/>
                <w:szCs w:val="22"/>
              </w:rPr>
            </w:pPr>
            <w:r w:rsidRPr="001421C4">
              <w:rPr>
                <w:rFonts w:ascii="Cambria" w:hAnsi="Cambria"/>
                <w:sz w:val="22"/>
                <w:szCs w:val="22"/>
              </w:rPr>
              <w:t>3</w:t>
            </w:r>
          </w:p>
        </w:tc>
        <w:tc>
          <w:tcPr>
            <w:tcW w:w="1260" w:type="dxa"/>
            <w:gridSpan w:val="2"/>
            <w:tcBorders>
              <w:top w:val="single" w:sz="4" w:space="0" w:color="auto"/>
              <w:left w:val="single" w:sz="4" w:space="0" w:color="auto"/>
              <w:bottom w:val="single" w:sz="4" w:space="0" w:color="auto"/>
              <w:right w:val="single" w:sz="4" w:space="0" w:color="auto"/>
            </w:tcBorders>
            <w:shd w:val="clear" w:color="auto" w:fill="E6E6E6"/>
            <w:tcMar>
              <w:top w:w="15" w:type="dxa"/>
              <w:left w:w="15" w:type="dxa"/>
              <w:bottom w:w="15" w:type="dxa"/>
              <w:right w:w="15" w:type="dxa"/>
            </w:tcMar>
            <w:vAlign w:val="center"/>
            <w:hideMark/>
          </w:tcPr>
          <w:p w14:paraId="644185BC" w14:textId="77777777" w:rsidR="001421C4" w:rsidRPr="001421C4" w:rsidRDefault="001421C4">
            <w:pPr>
              <w:rPr>
                <w:rFonts w:ascii="Cambria" w:hAnsi="Cambria"/>
                <w:sz w:val="22"/>
                <w:szCs w:val="22"/>
              </w:rPr>
            </w:pPr>
            <w:proofErr w:type="spellStart"/>
            <w:r w:rsidRPr="001421C4">
              <w:rPr>
                <w:rFonts w:ascii="Cambria" w:hAnsi="Cambria"/>
                <w:sz w:val="22"/>
                <w:szCs w:val="22"/>
              </w:rPr>
              <w:t>Broj</w:t>
            </w:r>
            <w:proofErr w:type="spellEnd"/>
            <w:r w:rsidRPr="001421C4">
              <w:rPr>
                <w:rFonts w:ascii="Cambria" w:hAnsi="Cambria"/>
                <w:sz w:val="22"/>
                <w:szCs w:val="22"/>
              </w:rPr>
              <w:t xml:space="preserve"> sati u </w:t>
            </w:r>
            <w:proofErr w:type="spellStart"/>
            <w:r w:rsidRPr="001421C4">
              <w:rPr>
                <w:rFonts w:ascii="Cambria" w:hAnsi="Cambria"/>
                <w:sz w:val="22"/>
                <w:szCs w:val="22"/>
              </w:rPr>
              <w:t>semestru</w:t>
            </w:r>
            <w:proofErr w:type="spellEnd"/>
          </w:p>
        </w:tc>
        <w:tc>
          <w:tcPr>
            <w:tcW w:w="3466"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0B473C2" w14:textId="17DA5CB1" w:rsidR="001421C4" w:rsidRPr="001421C4" w:rsidRDefault="001421C4">
            <w:pPr>
              <w:rPr>
                <w:rFonts w:ascii="Cambria" w:hAnsi="Cambria"/>
                <w:sz w:val="22"/>
                <w:szCs w:val="22"/>
              </w:rPr>
            </w:pPr>
            <w:r w:rsidRPr="001421C4">
              <w:rPr>
                <w:rFonts w:ascii="Cambria" w:hAnsi="Cambria"/>
                <w:sz w:val="22"/>
                <w:szCs w:val="22"/>
              </w:rPr>
              <w:t xml:space="preserve">15P – 0S – 15V </w:t>
            </w:r>
          </w:p>
        </w:tc>
      </w:tr>
      <w:tr w:rsidR="001421C4" w:rsidRPr="001421C4" w14:paraId="247FE63B" w14:textId="77777777" w:rsidTr="001421C4">
        <w:tc>
          <w:tcPr>
            <w:tcW w:w="2460" w:type="dxa"/>
            <w:tcBorders>
              <w:top w:val="single" w:sz="4" w:space="0" w:color="auto"/>
              <w:left w:val="single" w:sz="4" w:space="0" w:color="auto"/>
              <w:bottom w:val="single" w:sz="4" w:space="0" w:color="auto"/>
              <w:right w:val="single" w:sz="4" w:space="0" w:color="auto"/>
            </w:tcBorders>
            <w:shd w:val="clear" w:color="auto" w:fill="F3F3F3"/>
            <w:tcMar>
              <w:top w:w="15" w:type="dxa"/>
              <w:left w:w="15" w:type="dxa"/>
              <w:bottom w:w="15" w:type="dxa"/>
              <w:right w:w="15" w:type="dxa"/>
            </w:tcMar>
            <w:vAlign w:val="center"/>
            <w:hideMark/>
          </w:tcPr>
          <w:p w14:paraId="06F0D097" w14:textId="77777777" w:rsidR="001421C4" w:rsidRPr="001421C4" w:rsidRDefault="001421C4">
            <w:pPr>
              <w:rPr>
                <w:rFonts w:ascii="Cambria" w:hAnsi="Cambria"/>
                <w:sz w:val="22"/>
                <w:szCs w:val="22"/>
                <w:lang w:val="it-IT"/>
              </w:rPr>
            </w:pPr>
            <w:proofErr w:type="spellStart"/>
            <w:r w:rsidRPr="001421C4">
              <w:rPr>
                <w:rFonts w:ascii="Cambria" w:hAnsi="Cambria"/>
                <w:sz w:val="22"/>
                <w:szCs w:val="22"/>
                <w:lang w:val="it-IT"/>
              </w:rPr>
              <w:t>Preduvjeti</w:t>
            </w:r>
            <w:proofErr w:type="spellEnd"/>
            <w:r w:rsidRPr="001421C4">
              <w:rPr>
                <w:rFonts w:ascii="Cambria" w:hAnsi="Cambria"/>
                <w:sz w:val="22"/>
                <w:szCs w:val="22"/>
                <w:lang w:val="it-IT"/>
              </w:rPr>
              <w:t xml:space="preserve"> za </w:t>
            </w:r>
            <w:proofErr w:type="spellStart"/>
            <w:r w:rsidRPr="001421C4">
              <w:rPr>
                <w:rFonts w:ascii="Cambria" w:hAnsi="Cambria"/>
                <w:sz w:val="22"/>
                <w:szCs w:val="22"/>
                <w:lang w:val="it-IT"/>
              </w:rPr>
              <w:t>upis</w:t>
            </w:r>
            <w:proofErr w:type="spellEnd"/>
            <w:r w:rsidRPr="001421C4">
              <w:rPr>
                <w:rFonts w:ascii="Cambria" w:hAnsi="Cambria"/>
                <w:sz w:val="22"/>
                <w:szCs w:val="22"/>
                <w:lang w:val="it-IT"/>
              </w:rPr>
              <w:t xml:space="preserve"> i za </w:t>
            </w:r>
            <w:proofErr w:type="spellStart"/>
            <w:r w:rsidRPr="001421C4">
              <w:rPr>
                <w:rFonts w:ascii="Cambria" w:hAnsi="Cambria"/>
                <w:sz w:val="22"/>
                <w:szCs w:val="22"/>
                <w:lang w:val="it-IT"/>
              </w:rPr>
              <w:t>svladavanje</w:t>
            </w:r>
            <w:proofErr w:type="spellEnd"/>
          </w:p>
        </w:tc>
        <w:tc>
          <w:tcPr>
            <w:tcW w:w="7741"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F7EF4BD" w14:textId="77777777" w:rsidR="001421C4" w:rsidRPr="001421C4" w:rsidRDefault="001421C4">
            <w:pPr>
              <w:rPr>
                <w:rFonts w:ascii="Cambria" w:hAnsi="Cambria"/>
                <w:sz w:val="22"/>
                <w:szCs w:val="22"/>
              </w:rPr>
            </w:pPr>
            <w:r w:rsidRPr="001421C4">
              <w:rPr>
                <w:rFonts w:ascii="Cambria" w:hAnsi="Cambria"/>
                <w:sz w:val="22"/>
                <w:szCs w:val="22"/>
              </w:rPr>
              <w:t xml:space="preserve">Nema </w:t>
            </w:r>
            <w:proofErr w:type="spellStart"/>
            <w:r w:rsidRPr="001421C4">
              <w:rPr>
                <w:rFonts w:ascii="Cambria" w:hAnsi="Cambria"/>
                <w:sz w:val="22"/>
                <w:szCs w:val="22"/>
              </w:rPr>
              <w:t>preduvjeta</w:t>
            </w:r>
            <w:proofErr w:type="spellEnd"/>
          </w:p>
        </w:tc>
      </w:tr>
      <w:tr w:rsidR="001421C4" w:rsidRPr="001421C4" w14:paraId="7D8328E6" w14:textId="77777777" w:rsidTr="001421C4">
        <w:tc>
          <w:tcPr>
            <w:tcW w:w="2460" w:type="dxa"/>
            <w:tcBorders>
              <w:top w:val="single" w:sz="4" w:space="0" w:color="auto"/>
              <w:left w:val="single" w:sz="4" w:space="0" w:color="auto"/>
              <w:bottom w:val="single" w:sz="4" w:space="0" w:color="auto"/>
              <w:right w:val="single" w:sz="4" w:space="0" w:color="auto"/>
            </w:tcBorders>
            <w:shd w:val="clear" w:color="auto" w:fill="F3F3F3"/>
            <w:tcMar>
              <w:top w:w="15" w:type="dxa"/>
              <w:left w:w="15" w:type="dxa"/>
              <w:bottom w:w="15" w:type="dxa"/>
              <w:right w:w="15" w:type="dxa"/>
            </w:tcMar>
            <w:vAlign w:val="center"/>
            <w:hideMark/>
          </w:tcPr>
          <w:p w14:paraId="59B02AAB" w14:textId="77777777" w:rsidR="001421C4" w:rsidRPr="001421C4" w:rsidRDefault="001421C4">
            <w:pPr>
              <w:rPr>
                <w:rFonts w:ascii="Cambria" w:hAnsi="Cambria"/>
                <w:sz w:val="22"/>
                <w:szCs w:val="22"/>
              </w:rPr>
            </w:pPr>
            <w:proofErr w:type="spellStart"/>
            <w:r w:rsidRPr="001421C4">
              <w:rPr>
                <w:rFonts w:ascii="Cambria" w:hAnsi="Cambria"/>
                <w:sz w:val="22"/>
                <w:szCs w:val="22"/>
              </w:rPr>
              <w:t>Korelativnost</w:t>
            </w:r>
            <w:proofErr w:type="spellEnd"/>
          </w:p>
        </w:tc>
        <w:tc>
          <w:tcPr>
            <w:tcW w:w="7741"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661B5AA" w14:textId="77777777" w:rsidR="001421C4" w:rsidRPr="001421C4" w:rsidRDefault="001421C4">
            <w:pPr>
              <w:rPr>
                <w:rFonts w:ascii="Cambria" w:hAnsi="Cambria"/>
                <w:sz w:val="22"/>
                <w:szCs w:val="22"/>
              </w:rPr>
            </w:pPr>
            <w:proofErr w:type="spellStart"/>
            <w:r w:rsidRPr="001421C4">
              <w:rPr>
                <w:rFonts w:ascii="Cambria" w:hAnsi="Cambria"/>
                <w:sz w:val="22"/>
                <w:szCs w:val="22"/>
              </w:rPr>
              <w:t>Metodika</w:t>
            </w:r>
            <w:proofErr w:type="spellEnd"/>
            <w:r w:rsidRPr="001421C4">
              <w:rPr>
                <w:rFonts w:ascii="Cambria" w:hAnsi="Cambria"/>
                <w:sz w:val="22"/>
                <w:szCs w:val="22"/>
              </w:rPr>
              <w:t xml:space="preserve"> </w:t>
            </w:r>
            <w:proofErr w:type="spellStart"/>
            <w:r w:rsidRPr="001421C4">
              <w:rPr>
                <w:rFonts w:ascii="Cambria" w:hAnsi="Cambria"/>
                <w:sz w:val="22"/>
                <w:szCs w:val="22"/>
              </w:rPr>
              <w:t>glazbene</w:t>
            </w:r>
            <w:proofErr w:type="spellEnd"/>
            <w:r w:rsidRPr="001421C4">
              <w:rPr>
                <w:rFonts w:ascii="Cambria" w:hAnsi="Cambria"/>
                <w:sz w:val="22"/>
                <w:szCs w:val="22"/>
              </w:rPr>
              <w:t xml:space="preserve"> </w:t>
            </w:r>
            <w:proofErr w:type="spellStart"/>
            <w:r w:rsidRPr="001421C4">
              <w:rPr>
                <w:rFonts w:ascii="Cambria" w:hAnsi="Cambria"/>
                <w:sz w:val="22"/>
                <w:szCs w:val="22"/>
              </w:rPr>
              <w:t>kulture</w:t>
            </w:r>
            <w:proofErr w:type="spellEnd"/>
            <w:r w:rsidRPr="001421C4">
              <w:rPr>
                <w:rFonts w:ascii="Cambria" w:hAnsi="Cambria"/>
                <w:sz w:val="22"/>
                <w:szCs w:val="22"/>
              </w:rPr>
              <w:t xml:space="preserve"> I., </w:t>
            </w:r>
            <w:proofErr w:type="spellStart"/>
            <w:r w:rsidRPr="001421C4">
              <w:rPr>
                <w:rFonts w:ascii="Cambria" w:hAnsi="Cambria"/>
                <w:sz w:val="22"/>
                <w:szCs w:val="22"/>
              </w:rPr>
              <w:t>Metodika</w:t>
            </w:r>
            <w:proofErr w:type="spellEnd"/>
            <w:r w:rsidRPr="001421C4">
              <w:rPr>
                <w:rFonts w:ascii="Cambria" w:hAnsi="Cambria"/>
                <w:sz w:val="22"/>
                <w:szCs w:val="22"/>
              </w:rPr>
              <w:t xml:space="preserve"> </w:t>
            </w:r>
            <w:proofErr w:type="spellStart"/>
            <w:r w:rsidRPr="001421C4">
              <w:rPr>
                <w:rFonts w:ascii="Cambria" w:hAnsi="Cambria"/>
                <w:sz w:val="22"/>
                <w:szCs w:val="22"/>
              </w:rPr>
              <w:t>glazbene</w:t>
            </w:r>
            <w:proofErr w:type="spellEnd"/>
            <w:r w:rsidRPr="001421C4">
              <w:rPr>
                <w:rFonts w:ascii="Cambria" w:hAnsi="Cambria"/>
                <w:sz w:val="22"/>
                <w:szCs w:val="22"/>
              </w:rPr>
              <w:t xml:space="preserve"> </w:t>
            </w:r>
            <w:proofErr w:type="spellStart"/>
            <w:r w:rsidRPr="001421C4">
              <w:rPr>
                <w:rFonts w:ascii="Cambria" w:hAnsi="Cambria"/>
                <w:sz w:val="22"/>
                <w:szCs w:val="22"/>
              </w:rPr>
              <w:t>kulture</w:t>
            </w:r>
            <w:proofErr w:type="spellEnd"/>
            <w:r w:rsidRPr="001421C4">
              <w:rPr>
                <w:rFonts w:ascii="Cambria" w:hAnsi="Cambria"/>
                <w:sz w:val="22"/>
                <w:szCs w:val="22"/>
              </w:rPr>
              <w:t xml:space="preserve"> II., Rad s </w:t>
            </w:r>
            <w:proofErr w:type="spellStart"/>
            <w:r w:rsidRPr="001421C4">
              <w:rPr>
                <w:rFonts w:ascii="Cambria" w:hAnsi="Cambria"/>
                <w:sz w:val="22"/>
                <w:szCs w:val="22"/>
              </w:rPr>
              <w:t>darovitom</w:t>
            </w:r>
            <w:proofErr w:type="spellEnd"/>
            <w:r w:rsidRPr="001421C4">
              <w:rPr>
                <w:rFonts w:ascii="Cambria" w:hAnsi="Cambria"/>
                <w:sz w:val="22"/>
                <w:szCs w:val="22"/>
              </w:rPr>
              <w:t xml:space="preserve"> </w:t>
            </w:r>
            <w:proofErr w:type="spellStart"/>
            <w:r w:rsidRPr="001421C4">
              <w:rPr>
                <w:rFonts w:ascii="Cambria" w:hAnsi="Cambria"/>
                <w:sz w:val="22"/>
                <w:szCs w:val="22"/>
              </w:rPr>
              <w:t>djecom</w:t>
            </w:r>
            <w:proofErr w:type="spellEnd"/>
            <w:r w:rsidRPr="001421C4">
              <w:rPr>
                <w:rFonts w:ascii="Cambria" w:hAnsi="Cambria"/>
                <w:sz w:val="22"/>
                <w:szCs w:val="22"/>
              </w:rPr>
              <w:t xml:space="preserve">, Hrvatska </w:t>
            </w:r>
            <w:proofErr w:type="spellStart"/>
            <w:r w:rsidRPr="001421C4">
              <w:rPr>
                <w:rFonts w:ascii="Cambria" w:hAnsi="Cambria"/>
                <w:sz w:val="22"/>
                <w:szCs w:val="22"/>
              </w:rPr>
              <w:t>glazbena</w:t>
            </w:r>
            <w:proofErr w:type="spellEnd"/>
            <w:r w:rsidRPr="001421C4">
              <w:rPr>
                <w:rFonts w:ascii="Cambria" w:hAnsi="Cambria"/>
                <w:sz w:val="22"/>
                <w:szCs w:val="22"/>
              </w:rPr>
              <w:t xml:space="preserve"> </w:t>
            </w:r>
            <w:proofErr w:type="spellStart"/>
            <w:r w:rsidRPr="001421C4">
              <w:rPr>
                <w:rFonts w:ascii="Cambria" w:hAnsi="Cambria"/>
                <w:sz w:val="22"/>
                <w:szCs w:val="22"/>
              </w:rPr>
              <w:t>baština</w:t>
            </w:r>
            <w:proofErr w:type="spellEnd"/>
          </w:p>
        </w:tc>
      </w:tr>
      <w:tr w:rsidR="001421C4" w:rsidRPr="001421C4" w14:paraId="55BAF168" w14:textId="77777777" w:rsidTr="001421C4">
        <w:tc>
          <w:tcPr>
            <w:tcW w:w="2460" w:type="dxa"/>
            <w:tcBorders>
              <w:top w:val="single" w:sz="4" w:space="0" w:color="auto"/>
              <w:left w:val="single" w:sz="4" w:space="0" w:color="auto"/>
              <w:bottom w:val="single" w:sz="4" w:space="0" w:color="auto"/>
              <w:right w:val="single" w:sz="4" w:space="0" w:color="auto"/>
            </w:tcBorders>
            <w:shd w:val="clear" w:color="auto" w:fill="F3F3F3"/>
            <w:tcMar>
              <w:top w:w="15" w:type="dxa"/>
              <w:left w:w="15" w:type="dxa"/>
              <w:bottom w:w="15" w:type="dxa"/>
              <w:right w:w="15" w:type="dxa"/>
            </w:tcMar>
            <w:vAlign w:val="center"/>
            <w:hideMark/>
          </w:tcPr>
          <w:p w14:paraId="2BC50035" w14:textId="77777777" w:rsidR="001421C4" w:rsidRPr="001421C4" w:rsidRDefault="001421C4">
            <w:pPr>
              <w:rPr>
                <w:rFonts w:ascii="Cambria" w:hAnsi="Cambria"/>
                <w:sz w:val="22"/>
                <w:szCs w:val="22"/>
              </w:rPr>
            </w:pPr>
            <w:proofErr w:type="spellStart"/>
            <w:r w:rsidRPr="001421C4">
              <w:rPr>
                <w:rFonts w:ascii="Cambria" w:hAnsi="Cambria"/>
                <w:sz w:val="22"/>
                <w:szCs w:val="22"/>
              </w:rPr>
              <w:t>Cilj</w:t>
            </w:r>
            <w:proofErr w:type="spellEnd"/>
            <w:r w:rsidRPr="001421C4">
              <w:rPr>
                <w:rFonts w:ascii="Cambria" w:hAnsi="Cambria"/>
                <w:sz w:val="22"/>
                <w:szCs w:val="22"/>
              </w:rPr>
              <w:t xml:space="preserve"> </w:t>
            </w:r>
            <w:proofErr w:type="spellStart"/>
            <w:r w:rsidRPr="001421C4">
              <w:rPr>
                <w:rFonts w:ascii="Cambria" w:hAnsi="Cambria"/>
                <w:sz w:val="22"/>
                <w:szCs w:val="22"/>
              </w:rPr>
              <w:t>kolegija</w:t>
            </w:r>
            <w:proofErr w:type="spellEnd"/>
            <w:r w:rsidRPr="001421C4">
              <w:rPr>
                <w:rFonts w:ascii="Cambria" w:hAnsi="Cambria"/>
                <w:sz w:val="22"/>
                <w:szCs w:val="22"/>
              </w:rPr>
              <w:t xml:space="preserve"> </w:t>
            </w:r>
          </w:p>
        </w:tc>
        <w:tc>
          <w:tcPr>
            <w:tcW w:w="7741"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FA5C673" w14:textId="77777777" w:rsidR="001421C4" w:rsidRPr="001421C4" w:rsidRDefault="001421C4">
            <w:pPr>
              <w:rPr>
                <w:rFonts w:ascii="Cambria" w:hAnsi="Cambria"/>
                <w:sz w:val="22"/>
                <w:szCs w:val="22"/>
              </w:rPr>
            </w:pPr>
            <w:proofErr w:type="spellStart"/>
            <w:proofErr w:type="gramStart"/>
            <w:r w:rsidRPr="001421C4">
              <w:rPr>
                <w:rFonts w:ascii="Cambria" w:hAnsi="Cambria"/>
                <w:sz w:val="22"/>
                <w:szCs w:val="22"/>
              </w:rPr>
              <w:t>usvojiti</w:t>
            </w:r>
            <w:proofErr w:type="spellEnd"/>
            <w:r w:rsidRPr="001421C4">
              <w:rPr>
                <w:rFonts w:ascii="Cambria" w:hAnsi="Cambria"/>
                <w:sz w:val="22"/>
                <w:szCs w:val="22"/>
              </w:rPr>
              <w:t xml:space="preserve">  </w:t>
            </w:r>
            <w:proofErr w:type="spellStart"/>
            <w:r w:rsidRPr="001421C4">
              <w:rPr>
                <w:rFonts w:ascii="Cambria" w:hAnsi="Cambria"/>
                <w:sz w:val="22"/>
                <w:szCs w:val="22"/>
              </w:rPr>
              <w:t>opće</w:t>
            </w:r>
            <w:proofErr w:type="spellEnd"/>
            <w:proofErr w:type="gramEnd"/>
            <w:r w:rsidRPr="001421C4">
              <w:rPr>
                <w:rFonts w:ascii="Cambria" w:hAnsi="Cambria"/>
                <w:sz w:val="22"/>
                <w:szCs w:val="22"/>
              </w:rPr>
              <w:t xml:space="preserve"> </w:t>
            </w:r>
            <w:proofErr w:type="spellStart"/>
            <w:r w:rsidRPr="001421C4">
              <w:rPr>
                <w:rFonts w:ascii="Cambria" w:hAnsi="Cambria"/>
                <w:sz w:val="22"/>
                <w:szCs w:val="22"/>
              </w:rPr>
              <w:t>principe</w:t>
            </w:r>
            <w:proofErr w:type="spellEnd"/>
            <w:r w:rsidRPr="001421C4">
              <w:rPr>
                <w:rFonts w:ascii="Cambria" w:hAnsi="Cambria"/>
                <w:sz w:val="22"/>
                <w:szCs w:val="22"/>
              </w:rPr>
              <w:t xml:space="preserve"> </w:t>
            </w:r>
            <w:proofErr w:type="spellStart"/>
            <w:r w:rsidRPr="001421C4">
              <w:rPr>
                <w:rFonts w:ascii="Cambria" w:hAnsi="Cambria"/>
                <w:sz w:val="22"/>
                <w:szCs w:val="22"/>
              </w:rPr>
              <w:t>vođenja</w:t>
            </w:r>
            <w:proofErr w:type="spellEnd"/>
            <w:r w:rsidRPr="001421C4">
              <w:rPr>
                <w:rFonts w:ascii="Cambria" w:hAnsi="Cambria"/>
                <w:sz w:val="22"/>
                <w:szCs w:val="22"/>
              </w:rPr>
              <w:t xml:space="preserve"> </w:t>
            </w:r>
            <w:proofErr w:type="spellStart"/>
            <w:r w:rsidRPr="001421C4">
              <w:rPr>
                <w:rFonts w:ascii="Cambria" w:hAnsi="Cambria"/>
                <w:sz w:val="22"/>
                <w:szCs w:val="22"/>
              </w:rPr>
              <w:t>različitih</w:t>
            </w:r>
            <w:proofErr w:type="spellEnd"/>
            <w:r w:rsidRPr="001421C4">
              <w:rPr>
                <w:rFonts w:ascii="Cambria" w:hAnsi="Cambria"/>
                <w:sz w:val="22"/>
                <w:szCs w:val="22"/>
              </w:rPr>
              <w:t xml:space="preserve"> </w:t>
            </w:r>
            <w:proofErr w:type="spellStart"/>
            <w:r w:rsidRPr="001421C4">
              <w:rPr>
                <w:rFonts w:ascii="Cambria" w:hAnsi="Cambria"/>
                <w:sz w:val="22"/>
                <w:szCs w:val="22"/>
              </w:rPr>
              <w:t>vrsta</w:t>
            </w:r>
            <w:proofErr w:type="spellEnd"/>
            <w:r w:rsidRPr="001421C4">
              <w:rPr>
                <w:rFonts w:ascii="Cambria" w:hAnsi="Cambria"/>
                <w:sz w:val="22"/>
                <w:szCs w:val="22"/>
              </w:rPr>
              <w:t xml:space="preserve"> </w:t>
            </w:r>
            <w:proofErr w:type="spellStart"/>
            <w:r w:rsidRPr="001421C4">
              <w:rPr>
                <w:rFonts w:ascii="Cambria" w:hAnsi="Cambria"/>
                <w:sz w:val="22"/>
                <w:szCs w:val="22"/>
              </w:rPr>
              <w:t>zborova</w:t>
            </w:r>
            <w:proofErr w:type="spellEnd"/>
            <w:r w:rsidRPr="001421C4">
              <w:rPr>
                <w:rFonts w:ascii="Cambria" w:hAnsi="Cambria"/>
                <w:sz w:val="22"/>
                <w:szCs w:val="22"/>
              </w:rPr>
              <w:t xml:space="preserve">, s </w:t>
            </w:r>
            <w:proofErr w:type="spellStart"/>
            <w:r w:rsidRPr="001421C4">
              <w:rPr>
                <w:rFonts w:ascii="Cambria" w:hAnsi="Cambria"/>
                <w:sz w:val="22"/>
                <w:szCs w:val="22"/>
              </w:rPr>
              <w:t>naglaskom</w:t>
            </w:r>
            <w:proofErr w:type="spellEnd"/>
            <w:r w:rsidRPr="001421C4">
              <w:rPr>
                <w:rFonts w:ascii="Cambria" w:hAnsi="Cambria"/>
                <w:sz w:val="22"/>
                <w:szCs w:val="22"/>
              </w:rPr>
              <w:t xml:space="preserve"> </w:t>
            </w:r>
            <w:proofErr w:type="spellStart"/>
            <w:r w:rsidRPr="001421C4">
              <w:rPr>
                <w:rFonts w:ascii="Cambria" w:hAnsi="Cambria"/>
                <w:sz w:val="22"/>
                <w:szCs w:val="22"/>
              </w:rPr>
              <w:t>na</w:t>
            </w:r>
            <w:proofErr w:type="spellEnd"/>
            <w:r w:rsidRPr="001421C4">
              <w:rPr>
                <w:rFonts w:ascii="Cambria" w:hAnsi="Cambria"/>
                <w:sz w:val="22"/>
                <w:szCs w:val="22"/>
              </w:rPr>
              <w:t xml:space="preserve"> </w:t>
            </w:r>
            <w:proofErr w:type="spellStart"/>
            <w:r w:rsidRPr="001421C4">
              <w:rPr>
                <w:rFonts w:ascii="Cambria" w:hAnsi="Cambria"/>
                <w:sz w:val="22"/>
                <w:szCs w:val="22"/>
              </w:rPr>
              <w:t>dječje</w:t>
            </w:r>
            <w:proofErr w:type="spellEnd"/>
            <w:r w:rsidRPr="001421C4">
              <w:rPr>
                <w:rFonts w:ascii="Cambria" w:hAnsi="Cambria"/>
                <w:sz w:val="22"/>
                <w:szCs w:val="22"/>
              </w:rPr>
              <w:t xml:space="preserve"> </w:t>
            </w:r>
            <w:proofErr w:type="spellStart"/>
            <w:r w:rsidRPr="001421C4">
              <w:rPr>
                <w:rFonts w:ascii="Cambria" w:hAnsi="Cambria"/>
                <w:sz w:val="22"/>
                <w:szCs w:val="22"/>
              </w:rPr>
              <w:t>zborove</w:t>
            </w:r>
            <w:proofErr w:type="spellEnd"/>
            <w:r w:rsidRPr="001421C4">
              <w:rPr>
                <w:rFonts w:ascii="Cambria" w:hAnsi="Cambria"/>
                <w:sz w:val="22"/>
                <w:szCs w:val="22"/>
              </w:rPr>
              <w:t xml:space="preserve"> </w:t>
            </w:r>
            <w:proofErr w:type="spellStart"/>
            <w:r w:rsidRPr="001421C4">
              <w:rPr>
                <w:rFonts w:ascii="Cambria" w:hAnsi="Cambria"/>
                <w:sz w:val="22"/>
                <w:szCs w:val="22"/>
              </w:rPr>
              <w:t>predškolskog</w:t>
            </w:r>
            <w:proofErr w:type="spellEnd"/>
            <w:r w:rsidRPr="001421C4">
              <w:rPr>
                <w:rFonts w:ascii="Cambria" w:hAnsi="Cambria"/>
                <w:sz w:val="22"/>
                <w:szCs w:val="22"/>
              </w:rPr>
              <w:t xml:space="preserve"> </w:t>
            </w:r>
            <w:proofErr w:type="spellStart"/>
            <w:r w:rsidRPr="001421C4">
              <w:rPr>
                <w:rFonts w:ascii="Cambria" w:hAnsi="Cambria"/>
                <w:sz w:val="22"/>
                <w:szCs w:val="22"/>
              </w:rPr>
              <w:t>i</w:t>
            </w:r>
            <w:proofErr w:type="spellEnd"/>
            <w:r w:rsidRPr="001421C4">
              <w:rPr>
                <w:rFonts w:ascii="Cambria" w:hAnsi="Cambria"/>
                <w:sz w:val="22"/>
                <w:szCs w:val="22"/>
              </w:rPr>
              <w:t xml:space="preserve"> </w:t>
            </w:r>
            <w:proofErr w:type="spellStart"/>
            <w:r w:rsidRPr="001421C4">
              <w:rPr>
                <w:rFonts w:ascii="Cambria" w:hAnsi="Cambria"/>
                <w:sz w:val="22"/>
                <w:szCs w:val="22"/>
              </w:rPr>
              <w:t>školskog</w:t>
            </w:r>
            <w:proofErr w:type="spellEnd"/>
            <w:r w:rsidRPr="001421C4">
              <w:rPr>
                <w:rFonts w:ascii="Cambria" w:hAnsi="Cambria"/>
                <w:sz w:val="22"/>
                <w:szCs w:val="22"/>
              </w:rPr>
              <w:t xml:space="preserve"> </w:t>
            </w:r>
            <w:proofErr w:type="spellStart"/>
            <w:r w:rsidRPr="001421C4">
              <w:rPr>
                <w:rFonts w:ascii="Cambria" w:hAnsi="Cambria"/>
                <w:sz w:val="22"/>
                <w:szCs w:val="22"/>
              </w:rPr>
              <w:t>uzrasta</w:t>
            </w:r>
            <w:proofErr w:type="spellEnd"/>
          </w:p>
        </w:tc>
      </w:tr>
      <w:tr w:rsidR="001421C4" w:rsidRPr="00D0399C" w14:paraId="02C5C5CB" w14:textId="77777777" w:rsidTr="001421C4">
        <w:tc>
          <w:tcPr>
            <w:tcW w:w="2460" w:type="dxa"/>
            <w:tcBorders>
              <w:top w:val="single" w:sz="4" w:space="0" w:color="auto"/>
              <w:left w:val="single" w:sz="4" w:space="0" w:color="auto"/>
              <w:bottom w:val="single" w:sz="4" w:space="0" w:color="auto"/>
              <w:right w:val="single" w:sz="4" w:space="0" w:color="auto"/>
            </w:tcBorders>
            <w:shd w:val="clear" w:color="auto" w:fill="F3F3F3"/>
            <w:tcMar>
              <w:top w:w="15" w:type="dxa"/>
              <w:left w:w="15" w:type="dxa"/>
              <w:bottom w:w="15" w:type="dxa"/>
              <w:right w:w="15" w:type="dxa"/>
            </w:tcMar>
            <w:vAlign w:val="center"/>
            <w:hideMark/>
          </w:tcPr>
          <w:p w14:paraId="7FCC157E" w14:textId="77777777" w:rsidR="001421C4" w:rsidRPr="001421C4" w:rsidRDefault="001421C4">
            <w:pPr>
              <w:rPr>
                <w:rFonts w:ascii="Cambria" w:hAnsi="Cambria"/>
                <w:sz w:val="22"/>
                <w:szCs w:val="22"/>
              </w:rPr>
            </w:pPr>
            <w:proofErr w:type="spellStart"/>
            <w:r w:rsidRPr="001421C4">
              <w:rPr>
                <w:rFonts w:ascii="Cambria" w:hAnsi="Cambria"/>
                <w:sz w:val="22"/>
                <w:szCs w:val="22"/>
              </w:rPr>
              <w:t>Ishodi</w:t>
            </w:r>
            <w:proofErr w:type="spellEnd"/>
            <w:r w:rsidRPr="001421C4">
              <w:rPr>
                <w:rFonts w:ascii="Cambria" w:hAnsi="Cambria"/>
                <w:sz w:val="22"/>
                <w:szCs w:val="22"/>
              </w:rPr>
              <w:t xml:space="preserve"> </w:t>
            </w:r>
            <w:proofErr w:type="spellStart"/>
            <w:r w:rsidRPr="001421C4">
              <w:rPr>
                <w:rFonts w:ascii="Cambria" w:hAnsi="Cambria"/>
                <w:sz w:val="22"/>
                <w:szCs w:val="22"/>
              </w:rPr>
              <w:t>učenja</w:t>
            </w:r>
            <w:proofErr w:type="spellEnd"/>
          </w:p>
        </w:tc>
        <w:tc>
          <w:tcPr>
            <w:tcW w:w="7741"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361867F" w14:textId="77777777" w:rsidR="001421C4" w:rsidRPr="001421C4" w:rsidRDefault="001421C4">
            <w:pPr>
              <w:rPr>
                <w:rFonts w:ascii="Cambria" w:hAnsi="Cambria"/>
                <w:sz w:val="22"/>
                <w:szCs w:val="22"/>
              </w:rPr>
            </w:pPr>
            <w:r w:rsidRPr="001421C4">
              <w:rPr>
                <w:rFonts w:ascii="Cambria" w:hAnsi="Cambria"/>
                <w:sz w:val="22"/>
                <w:szCs w:val="22"/>
              </w:rPr>
              <w:t xml:space="preserve">1. </w:t>
            </w:r>
            <w:proofErr w:type="spellStart"/>
            <w:r w:rsidRPr="001421C4">
              <w:rPr>
                <w:rFonts w:ascii="Cambria" w:hAnsi="Cambria"/>
                <w:sz w:val="22"/>
                <w:szCs w:val="22"/>
              </w:rPr>
              <w:t>obraditi</w:t>
            </w:r>
            <w:proofErr w:type="spellEnd"/>
            <w:r w:rsidRPr="001421C4">
              <w:rPr>
                <w:rFonts w:ascii="Cambria" w:hAnsi="Cambria"/>
                <w:sz w:val="22"/>
                <w:szCs w:val="22"/>
              </w:rPr>
              <w:t xml:space="preserve"> </w:t>
            </w:r>
            <w:proofErr w:type="spellStart"/>
            <w:r w:rsidRPr="001421C4">
              <w:rPr>
                <w:rFonts w:ascii="Cambria" w:hAnsi="Cambria"/>
                <w:sz w:val="22"/>
                <w:szCs w:val="22"/>
              </w:rPr>
              <w:t>odabranu</w:t>
            </w:r>
            <w:proofErr w:type="spellEnd"/>
            <w:r w:rsidRPr="001421C4">
              <w:rPr>
                <w:rFonts w:ascii="Cambria" w:hAnsi="Cambria"/>
                <w:sz w:val="22"/>
                <w:szCs w:val="22"/>
              </w:rPr>
              <w:t xml:space="preserve"> </w:t>
            </w:r>
            <w:proofErr w:type="spellStart"/>
            <w:r w:rsidRPr="001421C4">
              <w:rPr>
                <w:rFonts w:ascii="Cambria" w:hAnsi="Cambria"/>
                <w:sz w:val="22"/>
                <w:szCs w:val="22"/>
              </w:rPr>
              <w:t>pjesmu</w:t>
            </w:r>
            <w:proofErr w:type="spellEnd"/>
            <w:r w:rsidRPr="001421C4">
              <w:rPr>
                <w:rFonts w:ascii="Cambria" w:hAnsi="Cambria"/>
                <w:sz w:val="22"/>
                <w:szCs w:val="22"/>
              </w:rPr>
              <w:t xml:space="preserve"> za </w:t>
            </w:r>
            <w:proofErr w:type="spellStart"/>
            <w:r w:rsidRPr="001421C4">
              <w:rPr>
                <w:rFonts w:ascii="Cambria" w:hAnsi="Cambria"/>
                <w:sz w:val="22"/>
                <w:szCs w:val="22"/>
              </w:rPr>
              <w:t>pjevanje</w:t>
            </w:r>
            <w:proofErr w:type="spellEnd"/>
          </w:p>
          <w:p w14:paraId="5F719C90" w14:textId="77777777" w:rsidR="001421C4" w:rsidRPr="001421C4" w:rsidRDefault="001421C4">
            <w:pPr>
              <w:rPr>
                <w:rFonts w:ascii="Cambria" w:hAnsi="Cambria"/>
                <w:sz w:val="22"/>
                <w:szCs w:val="22"/>
              </w:rPr>
            </w:pPr>
            <w:r w:rsidRPr="001421C4">
              <w:rPr>
                <w:rFonts w:ascii="Cambria" w:hAnsi="Cambria"/>
                <w:sz w:val="22"/>
                <w:szCs w:val="22"/>
              </w:rPr>
              <w:t xml:space="preserve">2. </w:t>
            </w:r>
            <w:proofErr w:type="spellStart"/>
            <w:r w:rsidRPr="001421C4">
              <w:rPr>
                <w:rFonts w:ascii="Cambria" w:hAnsi="Cambria"/>
                <w:sz w:val="22"/>
                <w:szCs w:val="22"/>
              </w:rPr>
              <w:t>definirati</w:t>
            </w:r>
            <w:proofErr w:type="spellEnd"/>
            <w:r w:rsidRPr="001421C4">
              <w:rPr>
                <w:rFonts w:ascii="Cambria" w:hAnsi="Cambria"/>
                <w:sz w:val="22"/>
                <w:szCs w:val="22"/>
              </w:rPr>
              <w:t xml:space="preserve"> </w:t>
            </w:r>
            <w:proofErr w:type="spellStart"/>
            <w:r w:rsidRPr="001421C4">
              <w:rPr>
                <w:rFonts w:ascii="Cambria" w:hAnsi="Cambria"/>
                <w:sz w:val="22"/>
                <w:szCs w:val="22"/>
              </w:rPr>
              <w:t>kriterije</w:t>
            </w:r>
            <w:proofErr w:type="spellEnd"/>
            <w:r w:rsidRPr="001421C4">
              <w:rPr>
                <w:rFonts w:ascii="Cambria" w:hAnsi="Cambria"/>
                <w:sz w:val="22"/>
                <w:szCs w:val="22"/>
              </w:rPr>
              <w:t xml:space="preserve"> </w:t>
            </w:r>
            <w:proofErr w:type="spellStart"/>
            <w:r w:rsidRPr="001421C4">
              <w:rPr>
                <w:rFonts w:ascii="Cambria" w:hAnsi="Cambria"/>
                <w:sz w:val="22"/>
                <w:szCs w:val="22"/>
              </w:rPr>
              <w:t>izbora</w:t>
            </w:r>
            <w:proofErr w:type="spellEnd"/>
            <w:r w:rsidRPr="001421C4">
              <w:rPr>
                <w:rFonts w:ascii="Cambria" w:hAnsi="Cambria"/>
                <w:sz w:val="22"/>
                <w:szCs w:val="22"/>
              </w:rPr>
              <w:t xml:space="preserve"> </w:t>
            </w:r>
            <w:proofErr w:type="spellStart"/>
            <w:r w:rsidRPr="001421C4">
              <w:rPr>
                <w:rFonts w:ascii="Cambria" w:hAnsi="Cambria"/>
                <w:sz w:val="22"/>
                <w:szCs w:val="22"/>
              </w:rPr>
              <w:t>kvalitetne</w:t>
            </w:r>
            <w:proofErr w:type="spellEnd"/>
            <w:r w:rsidRPr="001421C4">
              <w:rPr>
                <w:rFonts w:ascii="Cambria" w:hAnsi="Cambria"/>
                <w:sz w:val="22"/>
                <w:szCs w:val="22"/>
              </w:rPr>
              <w:t xml:space="preserve"> </w:t>
            </w:r>
            <w:proofErr w:type="spellStart"/>
            <w:r w:rsidRPr="001421C4">
              <w:rPr>
                <w:rFonts w:ascii="Cambria" w:hAnsi="Cambria"/>
                <w:sz w:val="22"/>
                <w:szCs w:val="22"/>
              </w:rPr>
              <w:t>i</w:t>
            </w:r>
            <w:proofErr w:type="spellEnd"/>
            <w:r w:rsidRPr="001421C4">
              <w:rPr>
                <w:rFonts w:ascii="Cambria" w:hAnsi="Cambria"/>
                <w:sz w:val="22"/>
                <w:szCs w:val="22"/>
              </w:rPr>
              <w:t xml:space="preserve"> </w:t>
            </w:r>
            <w:proofErr w:type="spellStart"/>
            <w:r w:rsidRPr="001421C4">
              <w:rPr>
                <w:rFonts w:ascii="Cambria" w:hAnsi="Cambria"/>
                <w:sz w:val="22"/>
                <w:szCs w:val="22"/>
              </w:rPr>
              <w:t>estetski</w:t>
            </w:r>
            <w:proofErr w:type="spellEnd"/>
            <w:r w:rsidRPr="001421C4">
              <w:rPr>
                <w:rFonts w:ascii="Cambria" w:hAnsi="Cambria"/>
                <w:sz w:val="22"/>
                <w:szCs w:val="22"/>
              </w:rPr>
              <w:t xml:space="preserve"> </w:t>
            </w:r>
            <w:proofErr w:type="spellStart"/>
            <w:r w:rsidRPr="001421C4">
              <w:rPr>
                <w:rFonts w:ascii="Cambria" w:hAnsi="Cambria"/>
                <w:sz w:val="22"/>
                <w:szCs w:val="22"/>
              </w:rPr>
              <w:t>vrijedne</w:t>
            </w:r>
            <w:proofErr w:type="spellEnd"/>
            <w:r w:rsidRPr="001421C4">
              <w:rPr>
                <w:rFonts w:ascii="Cambria" w:hAnsi="Cambria"/>
                <w:sz w:val="22"/>
                <w:szCs w:val="22"/>
              </w:rPr>
              <w:t xml:space="preserve"> </w:t>
            </w:r>
            <w:proofErr w:type="spellStart"/>
            <w:r w:rsidRPr="001421C4">
              <w:rPr>
                <w:rFonts w:ascii="Cambria" w:hAnsi="Cambria"/>
                <w:sz w:val="22"/>
                <w:szCs w:val="22"/>
              </w:rPr>
              <w:t>zborske</w:t>
            </w:r>
            <w:proofErr w:type="spellEnd"/>
            <w:r w:rsidRPr="001421C4">
              <w:rPr>
                <w:rFonts w:ascii="Cambria" w:hAnsi="Cambria"/>
                <w:sz w:val="22"/>
                <w:szCs w:val="22"/>
              </w:rPr>
              <w:t xml:space="preserve"> literature</w:t>
            </w:r>
          </w:p>
          <w:p w14:paraId="249025C4" w14:textId="77777777" w:rsidR="001421C4" w:rsidRPr="001421C4" w:rsidRDefault="001421C4">
            <w:pPr>
              <w:rPr>
                <w:rFonts w:ascii="Cambria" w:hAnsi="Cambria"/>
                <w:sz w:val="22"/>
                <w:szCs w:val="22"/>
                <w:lang w:val="it-IT"/>
              </w:rPr>
            </w:pPr>
            <w:r w:rsidRPr="001421C4">
              <w:rPr>
                <w:rFonts w:ascii="Cambria" w:hAnsi="Cambria"/>
                <w:sz w:val="22"/>
                <w:szCs w:val="22"/>
                <w:lang w:val="it-IT"/>
              </w:rPr>
              <w:t xml:space="preserve">3. </w:t>
            </w:r>
            <w:proofErr w:type="spellStart"/>
            <w:r w:rsidRPr="001421C4">
              <w:rPr>
                <w:rFonts w:ascii="Cambria" w:hAnsi="Cambria"/>
                <w:sz w:val="22"/>
                <w:szCs w:val="22"/>
                <w:lang w:val="it-IT"/>
              </w:rPr>
              <w:t>dirigirati</w:t>
            </w:r>
            <w:proofErr w:type="spellEnd"/>
            <w:r w:rsidRPr="001421C4">
              <w:rPr>
                <w:rFonts w:ascii="Cambria" w:hAnsi="Cambria"/>
                <w:sz w:val="22"/>
                <w:szCs w:val="22"/>
                <w:lang w:val="it-IT"/>
              </w:rPr>
              <w:t xml:space="preserve"> </w:t>
            </w:r>
            <w:proofErr w:type="spellStart"/>
            <w:r w:rsidRPr="001421C4">
              <w:rPr>
                <w:rFonts w:ascii="Cambria" w:hAnsi="Cambria"/>
                <w:sz w:val="22"/>
                <w:szCs w:val="22"/>
                <w:lang w:val="it-IT"/>
              </w:rPr>
              <w:t>primjenjujući</w:t>
            </w:r>
            <w:proofErr w:type="spellEnd"/>
            <w:r w:rsidRPr="001421C4">
              <w:rPr>
                <w:rFonts w:ascii="Cambria" w:hAnsi="Cambria"/>
                <w:sz w:val="22"/>
                <w:szCs w:val="22"/>
                <w:lang w:val="it-IT"/>
              </w:rPr>
              <w:t xml:space="preserve"> </w:t>
            </w:r>
            <w:proofErr w:type="spellStart"/>
            <w:r w:rsidRPr="001421C4">
              <w:rPr>
                <w:rFonts w:ascii="Cambria" w:hAnsi="Cambria"/>
                <w:sz w:val="22"/>
                <w:szCs w:val="22"/>
                <w:lang w:val="it-IT"/>
              </w:rPr>
              <w:t>temeljne</w:t>
            </w:r>
            <w:proofErr w:type="spellEnd"/>
            <w:r w:rsidRPr="001421C4">
              <w:rPr>
                <w:rFonts w:ascii="Cambria" w:hAnsi="Cambria"/>
                <w:sz w:val="22"/>
                <w:szCs w:val="22"/>
                <w:lang w:val="it-IT"/>
              </w:rPr>
              <w:t xml:space="preserve"> </w:t>
            </w:r>
            <w:proofErr w:type="spellStart"/>
            <w:r w:rsidRPr="001421C4">
              <w:rPr>
                <w:rFonts w:ascii="Cambria" w:hAnsi="Cambria"/>
                <w:sz w:val="22"/>
                <w:szCs w:val="22"/>
                <w:lang w:val="it-IT"/>
              </w:rPr>
              <w:t>tehnike</w:t>
            </w:r>
            <w:proofErr w:type="spellEnd"/>
            <w:r w:rsidRPr="001421C4">
              <w:rPr>
                <w:rFonts w:ascii="Cambria" w:hAnsi="Cambria"/>
                <w:sz w:val="22"/>
                <w:szCs w:val="22"/>
                <w:lang w:val="it-IT"/>
              </w:rPr>
              <w:t xml:space="preserve"> </w:t>
            </w:r>
            <w:proofErr w:type="spellStart"/>
            <w:r w:rsidRPr="001421C4">
              <w:rPr>
                <w:rFonts w:ascii="Cambria" w:hAnsi="Cambria"/>
                <w:sz w:val="22"/>
                <w:szCs w:val="22"/>
                <w:lang w:val="it-IT"/>
              </w:rPr>
              <w:t>zborskog</w:t>
            </w:r>
            <w:proofErr w:type="spellEnd"/>
            <w:r w:rsidRPr="001421C4">
              <w:rPr>
                <w:rFonts w:ascii="Cambria" w:hAnsi="Cambria"/>
                <w:sz w:val="22"/>
                <w:szCs w:val="22"/>
                <w:lang w:val="it-IT"/>
              </w:rPr>
              <w:t xml:space="preserve"> </w:t>
            </w:r>
            <w:proofErr w:type="spellStart"/>
            <w:r w:rsidRPr="001421C4">
              <w:rPr>
                <w:rFonts w:ascii="Cambria" w:hAnsi="Cambria"/>
                <w:sz w:val="22"/>
                <w:szCs w:val="22"/>
                <w:lang w:val="it-IT"/>
              </w:rPr>
              <w:t>dirigiranja</w:t>
            </w:r>
            <w:proofErr w:type="spellEnd"/>
          </w:p>
          <w:p w14:paraId="4905A7CB" w14:textId="77777777" w:rsidR="001421C4" w:rsidRPr="001421C4" w:rsidRDefault="001421C4">
            <w:pPr>
              <w:rPr>
                <w:rFonts w:ascii="Cambria" w:hAnsi="Cambria"/>
                <w:sz w:val="22"/>
                <w:szCs w:val="22"/>
                <w:lang w:val="it-IT"/>
              </w:rPr>
            </w:pPr>
            <w:r w:rsidRPr="001421C4">
              <w:rPr>
                <w:rFonts w:ascii="Cambria" w:hAnsi="Cambria"/>
                <w:sz w:val="22"/>
                <w:szCs w:val="22"/>
                <w:lang w:val="it-IT"/>
              </w:rPr>
              <w:t xml:space="preserve">4. </w:t>
            </w:r>
            <w:proofErr w:type="spellStart"/>
            <w:r w:rsidRPr="001421C4">
              <w:rPr>
                <w:rFonts w:ascii="Cambria" w:hAnsi="Cambria"/>
                <w:sz w:val="22"/>
                <w:szCs w:val="22"/>
                <w:lang w:val="it-IT"/>
              </w:rPr>
              <w:t>skupno</w:t>
            </w:r>
            <w:proofErr w:type="spellEnd"/>
            <w:r w:rsidRPr="001421C4">
              <w:rPr>
                <w:rFonts w:ascii="Cambria" w:hAnsi="Cambria"/>
                <w:sz w:val="22"/>
                <w:szCs w:val="22"/>
                <w:lang w:val="it-IT"/>
              </w:rPr>
              <w:t xml:space="preserve"> </w:t>
            </w:r>
            <w:proofErr w:type="spellStart"/>
            <w:r w:rsidRPr="001421C4">
              <w:rPr>
                <w:rFonts w:ascii="Cambria" w:hAnsi="Cambria"/>
                <w:sz w:val="22"/>
                <w:szCs w:val="22"/>
                <w:lang w:val="it-IT"/>
              </w:rPr>
              <w:t>muzicirati</w:t>
            </w:r>
            <w:proofErr w:type="spellEnd"/>
            <w:r w:rsidRPr="001421C4">
              <w:rPr>
                <w:rFonts w:ascii="Cambria" w:hAnsi="Cambria"/>
                <w:sz w:val="22"/>
                <w:szCs w:val="22"/>
                <w:lang w:val="it-IT"/>
              </w:rPr>
              <w:t xml:space="preserve"> u </w:t>
            </w:r>
            <w:proofErr w:type="spellStart"/>
            <w:r w:rsidRPr="001421C4">
              <w:rPr>
                <w:rFonts w:ascii="Cambria" w:hAnsi="Cambria"/>
                <w:sz w:val="22"/>
                <w:szCs w:val="22"/>
                <w:lang w:val="it-IT"/>
              </w:rPr>
              <w:t>izvedbi</w:t>
            </w:r>
            <w:proofErr w:type="spellEnd"/>
            <w:r w:rsidRPr="001421C4">
              <w:rPr>
                <w:rFonts w:ascii="Cambria" w:hAnsi="Cambria"/>
                <w:sz w:val="22"/>
                <w:szCs w:val="22"/>
                <w:lang w:val="it-IT"/>
              </w:rPr>
              <w:t xml:space="preserve"> </w:t>
            </w:r>
            <w:proofErr w:type="spellStart"/>
            <w:r w:rsidRPr="001421C4">
              <w:rPr>
                <w:rFonts w:ascii="Cambria" w:hAnsi="Cambria"/>
                <w:sz w:val="22"/>
                <w:szCs w:val="22"/>
                <w:lang w:val="it-IT"/>
              </w:rPr>
              <w:t>glazbenog</w:t>
            </w:r>
            <w:proofErr w:type="spellEnd"/>
            <w:r w:rsidRPr="001421C4">
              <w:rPr>
                <w:rFonts w:ascii="Cambria" w:hAnsi="Cambria"/>
                <w:sz w:val="22"/>
                <w:szCs w:val="22"/>
                <w:lang w:val="it-IT"/>
              </w:rPr>
              <w:t xml:space="preserve"> </w:t>
            </w:r>
            <w:proofErr w:type="spellStart"/>
            <w:r w:rsidRPr="001421C4">
              <w:rPr>
                <w:rFonts w:ascii="Cambria" w:hAnsi="Cambria"/>
                <w:sz w:val="22"/>
                <w:szCs w:val="22"/>
                <w:lang w:val="it-IT"/>
              </w:rPr>
              <w:t>djela</w:t>
            </w:r>
            <w:proofErr w:type="spellEnd"/>
          </w:p>
          <w:p w14:paraId="7902FD8B" w14:textId="77777777" w:rsidR="001421C4" w:rsidRPr="001421C4" w:rsidRDefault="001421C4">
            <w:pPr>
              <w:rPr>
                <w:rFonts w:ascii="Cambria" w:hAnsi="Cambria"/>
                <w:sz w:val="22"/>
                <w:szCs w:val="22"/>
                <w:lang w:val="it-IT"/>
              </w:rPr>
            </w:pPr>
            <w:r w:rsidRPr="001421C4">
              <w:rPr>
                <w:rFonts w:ascii="Cambria" w:hAnsi="Cambria"/>
                <w:sz w:val="22"/>
                <w:szCs w:val="22"/>
                <w:lang w:val="it-IT"/>
              </w:rPr>
              <w:t xml:space="preserve">5. </w:t>
            </w:r>
            <w:proofErr w:type="spellStart"/>
            <w:r w:rsidRPr="001421C4">
              <w:rPr>
                <w:rFonts w:ascii="Cambria" w:hAnsi="Cambria"/>
                <w:sz w:val="22"/>
                <w:szCs w:val="22"/>
                <w:lang w:val="it-IT"/>
              </w:rPr>
              <w:t>koristiti</w:t>
            </w:r>
            <w:proofErr w:type="spellEnd"/>
            <w:r w:rsidRPr="001421C4">
              <w:rPr>
                <w:rFonts w:ascii="Cambria" w:hAnsi="Cambria"/>
                <w:sz w:val="22"/>
                <w:szCs w:val="22"/>
                <w:lang w:val="it-IT"/>
              </w:rPr>
              <w:t xml:space="preserve"> </w:t>
            </w:r>
            <w:proofErr w:type="spellStart"/>
            <w:r w:rsidRPr="001421C4">
              <w:rPr>
                <w:rFonts w:ascii="Cambria" w:hAnsi="Cambria"/>
                <w:sz w:val="22"/>
                <w:szCs w:val="22"/>
                <w:lang w:val="it-IT"/>
              </w:rPr>
              <w:t>stečena</w:t>
            </w:r>
            <w:proofErr w:type="spellEnd"/>
            <w:r w:rsidRPr="001421C4">
              <w:rPr>
                <w:rFonts w:ascii="Cambria" w:hAnsi="Cambria"/>
                <w:sz w:val="22"/>
                <w:szCs w:val="22"/>
                <w:lang w:val="it-IT"/>
              </w:rPr>
              <w:t xml:space="preserve"> </w:t>
            </w:r>
            <w:proofErr w:type="spellStart"/>
            <w:r w:rsidRPr="001421C4">
              <w:rPr>
                <w:rFonts w:ascii="Cambria" w:hAnsi="Cambria"/>
                <w:sz w:val="22"/>
                <w:szCs w:val="22"/>
                <w:lang w:val="it-IT"/>
              </w:rPr>
              <w:t>interpretacijska</w:t>
            </w:r>
            <w:proofErr w:type="spellEnd"/>
            <w:r w:rsidRPr="001421C4">
              <w:rPr>
                <w:rFonts w:ascii="Cambria" w:hAnsi="Cambria"/>
                <w:sz w:val="22"/>
                <w:szCs w:val="22"/>
                <w:lang w:val="it-IT"/>
              </w:rPr>
              <w:t xml:space="preserve"> </w:t>
            </w:r>
            <w:proofErr w:type="spellStart"/>
            <w:r w:rsidRPr="001421C4">
              <w:rPr>
                <w:rFonts w:ascii="Cambria" w:hAnsi="Cambria"/>
                <w:sz w:val="22"/>
                <w:szCs w:val="22"/>
                <w:lang w:val="it-IT"/>
              </w:rPr>
              <w:t>znanja</w:t>
            </w:r>
            <w:proofErr w:type="spellEnd"/>
            <w:r w:rsidRPr="001421C4">
              <w:rPr>
                <w:rFonts w:ascii="Cambria" w:hAnsi="Cambria"/>
                <w:sz w:val="22"/>
                <w:szCs w:val="22"/>
                <w:lang w:val="it-IT"/>
              </w:rPr>
              <w:t xml:space="preserve"> i </w:t>
            </w:r>
            <w:proofErr w:type="spellStart"/>
            <w:r w:rsidRPr="001421C4">
              <w:rPr>
                <w:rFonts w:ascii="Cambria" w:hAnsi="Cambria"/>
                <w:sz w:val="22"/>
                <w:szCs w:val="22"/>
                <w:lang w:val="it-IT"/>
              </w:rPr>
              <w:t>vještina</w:t>
            </w:r>
            <w:proofErr w:type="spellEnd"/>
          </w:p>
        </w:tc>
      </w:tr>
      <w:tr w:rsidR="001421C4" w:rsidRPr="00D0399C" w14:paraId="2627C7DA" w14:textId="77777777" w:rsidTr="001421C4">
        <w:tc>
          <w:tcPr>
            <w:tcW w:w="2460" w:type="dxa"/>
            <w:tcBorders>
              <w:top w:val="single" w:sz="4" w:space="0" w:color="auto"/>
              <w:left w:val="single" w:sz="4" w:space="0" w:color="auto"/>
              <w:bottom w:val="single" w:sz="4" w:space="0" w:color="auto"/>
              <w:right w:val="single" w:sz="4" w:space="0" w:color="auto"/>
            </w:tcBorders>
            <w:shd w:val="clear" w:color="auto" w:fill="F3F3F3"/>
            <w:tcMar>
              <w:top w:w="15" w:type="dxa"/>
              <w:left w:w="15" w:type="dxa"/>
              <w:bottom w:w="15" w:type="dxa"/>
              <w:right w:w="15" w:type="dxa"/>
            </w:tcMar>
            <w:vAlign w:val="center"/>
            <w:hideMark/>
          </w:tcPr>
          <w:p w14:paraId="7841BFCE" w14:textId="77777777" w:rsidR="001421C4" w:rsidRPr="001421C4" w:rsidRDefault="001421C4">
            <w:pPr>
              <w:rPr>
                <w:rFonts w:ascii="Cambria" w:hAnsi="Cambria"/>
                <w:sz w:val="22"/>
                <w:szCs w:val="22"/>
              </w:rPr>
            </w:pPr>
            <w:proofErr w:type="spellStart"/>
            <w:r w:rsidRPr="001421C4">
              <w:rPr>
                <w:rFonts w:ascii="Cambria" w:hAnsi="Cambria"/>
                <w:sz w:val="22"/>
                <w:szCs w:val="22"/>
              </w:rPr>
              <w:t>Sadržaj</w:t>
            </w:r>
            <w:proofErr w:type="spellEnd"/>
            <w:r w:rsidRPr="001421C4">
              <w:rPr>
                <w:rFonts w:ascii="Cambria" w:hAnsi="Cambria"/>
                <w:sz w:val="22"/>
                <w:szCs w:val="22"/>
              </w:rPr>
              <w:t xml:space="preserve"> </w:t>
            </w:r>
            <w:proofErr w:type="spellStart"/>
            <w:r w:rsidRPr="001421C4">
              <w:rPr>
                <w:rFonts w:ascii="Cambria" w:hAnsi="Cambria"/>
                <w:sz w:val="22"/>
                <w:szCs w:val="22"/>
              </w:rPr>
              <w:t>kolegija</w:t>
            </w:r>
            <w:proofErr w:type="spellEnd"/>
          </w:p>
        </w:tc>
        <w:tc>
          <w:tcPr>
            <w:tcW w:w="7741"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D68317C" w14:textId="77777777" w:rsidR="001421C4" w:rsidRPr="001421C4" w:rsidRDefault="001421C4">
            <w:pPr>
              <w:rPr>
                <w:rFonts w:ascii="Cambria" w:hAnsi="Cambria"/>
                <w:sz w:val="22"/>
                <w:szCs w:val="22"/>
                <w:lang w:val="it-IT"/>
              </w:rPr>
            </w:pPr>
            <w:r w:rsidRPr="001421C4">
              <w:rPr>
                <w:rFonts w:ascii="Cambria" w:hAnsi="Cambria"/>
                <w:sz w:val="22"/>
                <w:szCs w:val="22"/>
                <w:lang w:val="it-IT"/>
              </w:rPr>
              <w:t xml:space="preserve">1. </w:t>
            </w:r>
            <w:proofErr w:type="spellStart"/>
            <w:r w:rsidRPr="001421C4">
              <w:rPr>
                <w:rFonts w:ascii="Cambria" w:hAnsi="Cambria"/>
                <w:sz w:val="22"/>
                <w:szCs w:val="22"/>
                <w:lang w:val="it-IT"/>
              </w:rPr>
              <w:t>Osnove</w:t>
            </w:r>
            <w:proofErr w:type="spellEnd"/>
            <w:r w:rsidRPr="001421C4">
              <w:rPr>
                <w:rFonts w:ascii="Cambria" w:hAnsi="Cambria"/>
                <w:sz w:val="22"/>
                <w:szCs w:val="22"/>
                <w:lang w:val="it-IT"/>
              </w:rPr>
              <w:t xml:space="preserve"> </w:t>
            </w:r>
            <w:proofErr w:type="spellStart"/>
            <w:r w:rsidRPr="001421C4">
              <w:rPr>
                <w:rFonts w:ascii="Cambria" w:hAnsi="Cambria"/>
                <w:sz w:val="22"/>
                <w:szCs w:val="22"/>
                <w:lang w:val="it-IT"/>
              </w:rPr>
              <w:t>glazbene</w:t>
            </w:r>
            <w:proofErr w:type="spellEnd"/>
            <w:r w:rsidRPr="001421C4">
              <w:rPr>
                <w:rFonts w:ascii="Cambria" w:hAnsi="Cambria"/>
                <w:sz w:val="22"/>
                <w:szCs w:val="22"/>
                <w:lang w:val="it-IT"/>
              </w:rPr>
              <w:t xml:space="preserve"> </w:t>
            </w:r>
            <w:proofErr w:type="spellStart"/>
            <w:r w:rsidRPr="001421C4">
              <w:rPr>
                <w:rFonts w:ascii="Cambria" w:hAnsi="Cambria"/>
                <w:sz w:val="22"/>
                <w:szCs w:val="22"/>
                <w:lang w:val="it-IT"/>
              </w:rPr>
              <w:t>teorije</w:t>
            </w:r>
            <w:proofErr w:type="spellEnd"/>
          </w:p>
          <w:p w14:paraId="713F1EF6" w14:textId="77777777" w:rsidR="001421C4" w:rsidRPr="001421C4" w:rsidRDefault="001421C4">
            <w:pPr>
              <w:rPr>
                <w:rFonts w:ascii="Cambria" w:hAnsi="Cambria"/>
                <w:sz w:val="22"/>
                <w:szCs w:val="22"/>
                <w:lang w:val="it-IT"/>
              </w:rPr>
            </w:pPr>
            <w:r w:rsidRPr="001421C4">
              <w:rPr>
                <w:rFonts w:ascii="Cambria" w:hAnsi="Cambria"/>
                <w:sz w:val="22"/>
                <w:szCs w:val="22"/>
                <w:lang w:val="it-IT"/>
              </w:rPr>
              <w:t xml:space="preserve">2. Elementi </w:t>
            </w:r>
            <w:proofErr w:type="spellStart"/>
            <w:r w:rsidRPr="001421C4">
              <w:rPr>
                <w:rFonts w:ascii="Cambria" w:hAnsi="Cambria"/>
                <w:sz w:val="22"/>
                <w:szCs w:val="22"/>
                <w:lang w:val="it-IT"/>
              </w:rPr>
              <w:t>glazbenog</w:t>
            </w:r>
            <w:proofErr w:type="spellEnd"/>
            <w:r w:rsidRPr="001421C4">
              <w:rPr>
                <w:rFonts w:ascii="Cambria" w:hAnsi="Cambria"/>
                <w:sz w:val="22"/>
                <w:szCs w:val="22"/>
                <w:lang w:val="it-IT"/>
              </w:rPr>
              <w:t xml:space="preserve"> </w:t>
            </w:r>
            <w:proofErr w:type="spellStart"/>
            <w:r w:rsidRPr="001421C4">
              <w:rPr>
                <w:rFonts w:ascii="Cambria" w:hAnsi="Cambria"/>
                <w:sz w:val="22"/>
                <w:szCs w:val="22"/>
                <w:lang w:val="it-IT"/>
              </w:rPr>
              <w:t>izražavanja</w:t>
            </w:r>
            <w:proofErr w:type="spellEnd"/>
          </w:p>
          <w:p w14:paraId="1D93B70F" w14:textId="77777777" w:rsidR="001421C4" w:rsidRPr="001421C4" w:rsidRDefault="001421C4">
            <w:pPr>
              <w:rPr>
                <w:rFonts w:ascii="Cambria" w:hAnsi="Cambria"/>
                <w:sz w:val="22"/>
                <w:szCs w:val="22"/>
                <w:lang w:val="it-IT"/>
              </w:rPr>
            </w:pPr>
            <w:r w:rsidRPr="001421C4">
              <w:rPr>
                <w:rFonts w:ascii="Cambria" w:hAnsi="Cambria"/>
                <w:sz w:val="22"/>
                <w:szCs w:val="22"/>
                <w:lang w:val="it-IT"/>
              </w:rPr>
              <w:t xml:space="preserve">3. </w:t>
            </w:r>
            <w:proofErr w:type="spellStart"/>
            <w:r w:rsidRPr="001421C4">
              <w:rPr>
                <w:rFonts w:ascii="Cambria" w:hAnsi="Cambria"/>
                <w:sz w:val="22"/>
                <w:szCs w:val="22"/>
                <w:lang w:val="it-IT"/>
              </w:rPr>
              <w:t>Osnove</w:t>
            </w:r>
            <w:proofErr w:type="spellEnd"/>
            <w:r w:rsidRPr="001421C4">
              <w:rPr>
                <w:rFonts w:ascii="Cambria" w:hAnsi="Cambria"/>
                <w:sz w:val="22"/>
                <w:szCs w:val="22"/>
                <w:lang w:val="it-IT"/>
              </w:rPr>
              <w:t xml:space="preserve"> </w:t>
            </w:r>
            <w:proofErr w:type="spellStart"/>
            <w:r w:rsidRPr="001421C4">
              <w:rPr>
                <w:rFonts w:ascii="Cambria" w:hAnsi="Cambria"/>
                <w:sz w:val="22"/>
                <w:szCs w:val="22"/>
                <w:lang w:val="it-IT"/>
              </w:rPr>
              <w:t>vokalne</w:t>
            </w:r>
            <w:proofErr w:type="spellEnd"/>
            <w:r w:rsidRPr="001421C4">
              <w:rPr>
                <w:rFonts w:ascii="Cambria" w:hAnsi="Cambria"/>
                <w:sz w:val="22"/>
                <w:szCs w:val="22"/>
                <w:lang w:val="it-IT"/>
              </w:rPr>
              <w:t xml:space="preserve"> </w:t>
            </w:r>
            <w:proofErr w:type="spellStart"/>
            <w:r w:rsidRPr="001421C4">
              <w:rPr>
                <w:rFonts w:ascii="Cambria" w:hAnsi="Cambria"/>
                <w:sz w:val="22"/>
                <w:szCs w:val="22"/>
                <w:lang w:val="it-IT"/>
              </w:rPr>
              <w:t>tehnike</w:t>
            </w:r>
            <w:proofErr w:type="spellEnd"/>
          </w:p>
          <w:p w14:paraId="46E27F4F" w14:textId="77777777" w:rsidR="001421C4" w:rsidRPr="001421C4" w:rsidRDefault="001421C4">
            <w:pPr>
              <w:rPr>
                <w:rFonts w:ascii="Cambria" w:hAnsi="Cambria"/>
                <w:sz w:val="22"/>
                <w:szCs w:val="22"/>
                <w:lang w:val="it-IT"/>
              </w:rPr>
            </w:pPr>
            <w:r w:rsidRPr="001421C4">
              <w:rPr>
                <w:rFonts w:ascii="Cambria" w:hAnsi="Cambria"/>
                <w:sz w:val="22"/>
                <w:szCs w:val="22"/>
                <w:lang w:val="it-IT"/>
              </w:rPr>
              <w:t xml:space="preserve">4. </w:t>
            </w:r>
            <w:proofErr w:type="spellStart"/>
            <w:r w:rsidRPr="001421C4">
              <w:rPr>
                <w:rFonts w:ascii="Cambria" w:hAnsi="Cambria"/>
                <w:sz w:val="22"/>
                <w:szCs w:val="22"/>
                <w:lang w:val="it-IT"/>
              </w:rPr>
              <w:t>Točno</w:t>
            </w:r>
            <w:proofErr w:type="spellEnd"/>
            <w:r w:rsidRPr="001421C4">
              <w:rPr>
                <w:rFonts w:ascii="Cambria" w:hAnsi="Cambria"/>
                <w:sz w:val="22"/>
                <w:szCs w:val="22"/>
                <w:lang w:val="it-IT"/>
              </w:rPr>
              <w:t xml:space="preserve"> </w:t>
            </w:r>
            <w:proofErr w:type="spellStart"/>
            <w:r w:rsidRPr="001421C4">
              <w:rPr>
                <w:rFonts w:ascii="Cambria" w:hAnsi="Cambria"/>
                <w:sz w:val="22"/>
                <w:szCs w:val="22"/>
                <w:lang w:val="it-IT"/>
              </w:rPr>
              <w:t>intoniranje</w:t>
            </w:r>
            <w:proofErr w:type="spellEnd"/>
            <w:r w:rsidRPr="001421C4">
              <w:rPr>
                <w:rFonts w:ascii="Cambria" w:hAnsi="Cambria"/>
                <w:sz w:val="22"/>
                <w:szCs w:val="22"/>
                <w:lang w:val="it-IT"/>
              </w:rPr>
              <w:t xml:space="preserve">, </w:t>
            </w:r>
            <w:proofErr w:type="spellStart"/>
            <w:r w:rsidRPr="001421C4">
              <w:rPr>
                <w:rFonts w:ascii="Cambria" w:hAnsi="Cambria"/>
                <w:sz w:val="22"/>
                <w:szCs w:val="22"/>
                <w:lang w:val="it-IT"/>
              </w:rPr>
              <w:t>fraziranje</w:t>
            </w:r>
            <w:proofErr w:type="spellEnd"/>
            <w:r w:rsidRPr="001421C4">
              <w:rPr>
                <w:rFonts w:ascii="Cambria" w:hAnsi="Cambria"/>
                <w:sz w:val="22"/>
                <w:szCs w:val="22"/>
                <w:lang w:val="it-IT"/>
              </w:rPr>
              <w:t xml:space="preserve">, </w:t>
            </w:r>
            <w:proofErr w:type="spellStart"/>
            <w:r w:rsidRPr="001421C4">
              <w:rPr>
                <w:rFonts w:ascii="Cambria" w:hAnsi="Cambria"/>
                <w:sz w:val="22"/>
                <w:szCs w:val="22"/>
                <w:lang w:val="it-IT"/>
              </w:rPr>
              <w:t>artikulacija</w:t>
            </w:r>
            <w:proofErr w:type="spellEnd"/>
            <w:r w:rsidRPr="001421C4">
              <w:rPr>
                <w:rFonts w:ascii="Cambria" w:hAnsi="Cambria"/>
                <w:sz w:val="22"/>
                <w:szCs w:val="22"/>
                <w:lang w:val="it-IT"/>
              </w:rPr>
              <w:t xml:space="preserve"> i </w:t>
            </w:r>
            <w:proofErr w:type="spellStart"/>
            <w:r w:rsidRPr="001421C4">
              <w:rPr>
                <w:rFonts w:ascii="Cambria" w:hAnsi="Cambria"/>
                <w:sz w:val="22"/>
                <w:szCs w:val="22"/>
                <w:lang w:val="it-IT"/>
              </w:rPr>
              <w:t>agogika</w:t>
            </w:r>
            <w:proofErr w:type="spellEnd"/>
            <w:r w:rsidRPr="001421C4">
              <w:rPr>
                <w:rFonts w:ascii="Cambria" w:hAnsi="Cambria"/>
                <w:sz w:val="22"/>
                <w:szCs w:val="22"/>
                <w:lang w:val="it-IT"/>
              </w:rPr>
              <w:t xml:space="preserve"> </w:t>
            </w:r>
            <w:proofErr w:type="spellStart"/>
            <w:r w:rsidRPr="001421C4">
              <w:rPr>
                <w:rFonts w:ascii="Cambria" w:hAnsi="Cambria"/>
                <w:sz w:val="22"/>
                <w:szCs w:val="22"/>
                <w:lang w:val="it-IT"/>
              </w:rPr>
              <w:t>prilikom</w:t>
            </w:r>
            <w:proofErr w:type="spellEnd"/>
            <w:r w:rsidRPr="001421C4">
              <w:rPr>
                <w:rFonts w:ascii="Cambria" w:hAnsi="Cambria"/>
                <w:sz w:val="22"/>
                <w:szCs w:val="22"/>
                <w:lang w:val="it-IT"/>
              </w:rPr>
              <w:t xml:space="preserve"> </w:t>
            </w:r>
            <w:proofErr w:type="spellStart"/>
            <w:r w:rsidRPr="001421C4">
              <w:rPr>
                <w:rFonts w:ascii="Cambria" w:hAnsi="Cambria"/>
                <w:sz w:val="22"/>
                <w:szCs w:val="22"/>
                <w:lang w:val="it-IT"/>
              </w:rPr>
              <w:t>pjevanja</w:t>
            </w:r>
            <w:proofErr w:type="spellEnd"/>
          </w:p>
          <w:p w14:paraId="7A3AD0C3" w14:textId="77777777" w:rsidR="001421C4" w:rsidRPr="001421C4" w:rsidRDefault="001421C4">
            <w:pPr>
              <w:rPr>
                <w:rFonts w:ascii="Cambria" w:hAnsi="Cambria"/>
                <w:sz w:val="22"/>
                <w:szCs w:val="22"/>
                <w:lang w:val="it-IT"/>
              </w:rPr>
            </w:pPr>
            <w:r w:rsidRPr="001421C4">
              <w:rPr>
                <w:rFonts w:ascii="Cambria" w:hAnsi="Cambria"/>
                <w:sz w:val="22"/>
                <w:szCs w:val="22"/>
                <w:lang w:val="it-IT"/>
              </w:rPr>
              <w:t xml:space="preserve">5. </w:t>
            </w:r>
            <w:proofErr w:type="spellStart"/>
            <w:r w:rsidRPr="001421C4">
              <w:rPr>
                <w:rFonts w:ascii="Cambria" w:hAnsi="Cambria"/>
                <w:sz w:val="22"/>
                <w:szCs w:val="22"/>
                <w:lang w:val="it-IT"/>
              </w:rPr>
              <w:t>Skupno</w:t>
            </w:r>
            <w:proofErr w:type="spellEnd"/>
            <w:r w:rsidRPr="001421C4">
              <w:rPr>
                <w:rFonts w:ascii="Cambria" w:hAnsi="Cambria"/>
                <w:sz w:val="22"/>
                <w:szCs w:val="22"/>
                <w:lang w:val="it-IT"/>
              </w:rPr>
              <w:t xml:space="preserve"> </w:t>
            </w:r>
            <w:proofErr w:type="spellStart"/>
            <w:r w:rsidRPr="001421C4">
              <w:rPr>
                <w:rFonts w:ascii="Cambria" w:hAnsi="Cambria"/>
                <w:sz w:val="22"/>
                <w:szCs w:val="22"/>
                <w:lang w:val="it-IT"/>
              </w:rPr>
              <w:t>muziciranje</w:t>
            </w:r>
            <w:proofErr w:type="spellEnd"/>
            <w:r w:rsidRPr="001421C4">
              <w:rPr>
                <w:rFonts w:ascii="Cambria" w:hAnsi="Cambria"/>
                <w:sz w:val="22"/>
                <w:szCs w:val="22"/>
                <w:lang w:val="it-IT"/>
              </w:rPr>
              <w:t xml:space="preserve"> </w:t>
            </w:r>
          </w:p>
          <w:p w14:paraId="3D67CB97" w14:textId="77777777" w:rsidR="001421C4" w:rsidRPr="001421C4" w:rsidRDefault="001421C4">
            <w:pPr>
              <w:rPr>
                <w:rFonts w:ascii="Cambria" w:hAnsi="Cambria"/>
                <w:sz w:val="22"/>
                <w:szCs w:val="22"/>
                <w:lang w:val="it-IT"/>
              </w:rPr>
            </w:pPr>
            <w:r w:rsidRPr="001421C4">
              <w:rPr>
                <w:rFonts w:ascii="Cambria" w:hAnsi="Cambria"/>
                <w:sz w:val="22"/>
                <w:szCs w:val="22"/>
                <w:lang w:val="it-IT"/>
              </w:rPr>
              <w:t xml:space="preserve">6. </w:t>
            </w:r>
            <w:proofErr w:type="spellStart"/>
            <w:r w:rsidRPr="001421C4">
              <w:rPr>
                <w:rFonts w:ascii="Cambria" w:hAnsi="Cambria"/>
                <w:sz w:val="22"/>
                <w:szCs w:val="22"/>
                <w:lang w:val="it-IT"/>
              </w:rPr>
              <w:t>Osnove</w:t>
            </w:r>
            <w:proofErr w:type="spellEnd"/>
            <w:r w:rsidRPr="001421C4">
              <w:rPr>
                <w:rFonts w:ascii="Cambria" w:hAnsi="Cambria"/>
                <w:sz w:val="22"/>
                <w:szCs w:val="22"/>
                <w:lang w:val="it-IT"/>
              </w:rPr>
              <w:t xml:space="preserve"> </w:t>
            </w:r>
            <w:proofErr w:type="spellStart"/>
            <w:r w:rsidRPr="001421C4">
              <w:rPr>
                <w:rFonts w:ascii="Cambria" w:hAnsi="Cambria"/>
                <w:sz w:val="22"/>
                <w:szCs w:val="22"/>
                <w:lang w:val="it-IT"/>
              </w:rPr>
              <w:t>dirigiranja</w:t>
            </w:r>
            <w:proofErr w:type="spellEnd"/>
            <w:r w:rsidRPr="001421C4">
              <w:rPr>
                <w:rFonts w:ascii="Cambria" w:hAnsi="Cambria"/>
                <w:sz w:val="22"/>
                <w:szCs w:val="22"/>
                <w:lang w:val="it-IT"/>
              </w:rPr>
              <w:t xml:space="preserve"> (</w:t>
            </w:r>
            <w:proofErr w:type="spellStart"/>
            <w:r w:rsidRPr="001421C4">
              <w:rPr>
                <w:rFonts w:ascii="Cambria" w:hAnsi="Cambria"/>
                <w:sz w:val="22"/>
                <w:szCs w:val="22"/>
                <w:lang w:val="it-IT"/>
              </w:rPr>
              <w:t>taktiranja</w:t>
            </w:r>
            <w:proofErr w:type="spellEnd"/>
            <w:r w:rsidRPr="001421C4">
              <w:rPr>
                <w:rFonts w:ascii="Cambria" w:hAnsi="Cambria"/>
                <w:sz w:val="22"/>
                <w:szCs w:val="22"/>
                <w:lang w:val="it-IT"/>
              </w:rPr>
              <w:t>)</w:t>
            </w:r>
          </w:p>
          <w:p w14:paraId="51FA3858" w14:textId="77777777" w:rsidR="001421C4" w:rsidRPr="001421C4" w:rsidRDefault="001421C4">
            <w:pPr>
              <w:rPr>
                <w:rFonts w:ascii="Cambria" w:hAnsi="Cambria"/>
                <w:sz w:val="22"/>
                <w:szCs w:val="22"/>
                <w:lang w:val="it-IT"/>
              </w:rPr>
            </w:pPr>
            <w:r w:rsidRPr="001421C4">
              <w:rPr>
                <w:rFonts w:ascii="Cambria" w:hAnsi="Cambria"/>
                <w:sz w:val="22"/>
                <w:szCs w:val="22"/>
                <w:lang w:val="it-IT"/>
              </w:rPr>
              <w:t xml:space="preserve">7. </w:t>
            </w:r>
            <w:proofErr w:type="spellStart"/>
            <w:r w:rsidRPr="001421C4">
              <w:rPr>
                <w:rFonts w:ascii="Cambria" w:hAnsi="Cambria"/>
                <w:sz w:val="22"/>
                <w:szCs w:val="22"/>
                <w:lang w:val="it-IT"/>
              </w:rPr>
              <w:t>Obrada</w:t>
            </w:r>
            <w:proofErr w:type="spellEnd"/>
            <w:r w:rsidRPr="001421C4">
              <w:rPr>
                <w:rFonts w:ascii="Cambria" w:hAnsi="Cambria"/>
                <w:sz w:val="22"/>
                <w:szCs w:val="22"/>
                <w:lang w:val="it-IT"/>
              </w:rPr>
              <w:t xml:space="preserve"> </w:t>
            </w:r>
            <w:proofErr w:type="spellStart"/>
            <w:r w:rsidRPr="001421C4">
              <w:rPr>
                <w:rFonts w:ascii="Cambria" w:hAnsi="Cambria"/>
                <w:sz w:val="22"/>
                <w:szCs w:val="22"/>
                <w:lang w:val="it-IT"/>
              </w:rPr>
              <w:t>skladbe</w:t>
            </w:r>
            <w:proofErr w:type="spellEnd"/>
          </w:p>
          <w:p w14:paraId="075075AB" w14:textId="77777777" w:rsidR="001421C4" w:rsidRPr="001421C4" w:rsidRDefault="001421C4">
            <w:pPr>
              <w:rPr>
                <w:rFonts w:ascii="Cambria" w:hAnsi="Cambria"/>
                <w:sz w:val="22"/>
                <w:szCs w:val="22"/>
                <w:lang w:val="it-IT"/>
              </w:rPr>
            </w:pPr>
            <w:r w:rsidRPr="001421C4">
              <w:rPr>
                <w:rFonts w:ascii="Cambria" w:hAnsi="Cambria"/>
                <w:sz w:val="22"/>
                <w:szCs w:val="22"/>
                <w:lang w:val="it-IT"/>
              </w:rPr>
              <w:t xml:space="preserve">8. </w:t>
            </w:r>
            <w:proofErr w:type="spellStart"/>
            <w:r w:rsidRPr="001421C4">
              <w:rPr>
                <w:rFonts w:ascii="Cambria" w:hAnsi="Cambria"/>
                <w:sz w:val="22"/>
                <w:szCs w:val="22"/>
                <w:lang w:val="it-IT"/>
              </w:rPr>
              <w:t>Memoriranje</w:t>
            </w:r>
            <w:proofErr w:type="spellEnd"/>
            <w:r w:rsidRPr="001421C4">
              <w:rPr>
                <w:rFonts w:ascii="Cambria" w:hAnsi="Cambria"/>
                <w:sz w:val="22"/>
                <w:szCs w:val="22"/>
                <w:lang w:val="it-IT"/>
              </w:rPr>
              <w:t xml:space="preserve"> </w:t>
            </w:r>
            <w:proofErr w:type="spellStart"/>
            <w:r w:rsidRPr="001421C4">
              <w:rPr>
                <w:rFonts w:ascii="Cambria" w:hAnsi="Cambria"/>
                <w:sz w:val="22"/>
                <w:szCs w:val="22"/>
                <w:lang w:val="it-IT"/>
              </w:rPr>
              <w:t>tekstualno</w:t>
            </w:r>
            <w:proofErr w:type="spellEnd"/>
            <w:r w:rsidRPr="001421C4">
              <w:rPr>
                <w:rFonts w:ascii="Cambria" w:hAnsi="Cambria"/>
                <w:sz w:val="22"/>
                <w:szCs w:val="22"/>
                <w:lang w:val="it-IT"/>
              </w:rPr>
              <w:t xml:space="preserve"> – </w:t>
            </w:r>
            <w:proofErr w:type="spellStart"/>
            <w:r w:rsidRPr="001421C4">
              <w:rPr>
                <w:rFonts w:ascii="Cambria" w:hAnsi="Cambria"/>
                <w:sz w:val="22"/>
                <w:szCs w:val="22"/>
                <w:lang w:val="it-IT"/>
              </w:rPr>
              <w:t>melodičkih</w:t>
            </w:r>
            <w:proofErr w:type="spellEnd"/>
            <w:r w:rsidRPr="001421C4">
              <w:rPr>
                <w:rFonts w:ascii="Cambria" w:hAnsi="Cambria"/>
                <w:sz w:val="22"/>
                <w:szCs w:val="22"/>
                <w:lang w:val="it-IT"/>
              </w:rPr>
              <w:t xml:space="preserve"> </w:t>
            </w:r>
            <w:proofErr w:type="spellStart"/>
            <w:r w:rsidRPr="001421C4">
              <w:rPr>
                <w:rFonts w:ascii="Cambria" w:hAnsi="Cambria"/>
                <w:sz w:val="22"/>
                <w:szCs w:val="22"/>
                <w:lang w:val="it-IT"/>
              </w:rPr>
              <w:t>cjelina</w:t>
            </w:r>
            <w:proofErr w:type="spellEnd"/>
          </w:p>
          <w:p w14:paraId="34BED19A" w14:textId="77777777" w:rsidR="001421C4" w:rsidRPr="001421C4" w:rsidRDefault="001421C4">
            <w:pPr>
              <w:rPr>
                <w:rFonts w:ascii="Cambria" w:hAnsi="Cambria"/>
                <w:sz w:val="22"/>
                <w:szCs w:val="22"/>
                <w:lang w:val="it-IT"/>
              </w:rPr>
            </w:pPr>
            <w:r w:rsidRPr="001421C4">
              <w:rPr>
                <w:rFonts w:ascii="Cambria" w:hAnsi="Cambria"/>
                <w:sz w:val="22"/>
                <w:szCs w:val="22"/>
                <w:lang w:val="it-IT"/>
              </w:rPr>
              <w:t xml:space="preserve">9. Rad sa </w:t>
            </w:r>
            <w:proofErr w:type="spellStart"/>
            <w:r w:rsidRPr="001421C4">
              <w:rPr>
                <w:rFonts w:ascii="Cambria" w:hAnsi="Cambria"/>
                <w:sz w:val="22"/>
                <w:szCs w:val="22"/>
                <w:lang w:val="it-IT"/>
              </w:rPr>
              <w:t>zborom</w:t>
            </w:r>
            <w:proofErr w:type="spellEnd"/>
            <w:r w:rsidRPr="001421C4">
              <w:rPr>
                <w:rFonts w:ascii="Cambria" w:hAnsi="Cambria"/>
                <w:sz w:val="22"/>
                <w:szCs w:val="22"/>
                <w:lang w:val="it-IT"/>
              </w:rPr>
              <w:t xml:space="preserve"> </w:t>
            </w:r>
          </w:p>
          <w:p w14:paraId="177BC86E" w14:textId="77777777" w:rsidR="001421C4" w:rsidRPr="001421C4" w:rsidRDefault="001421C4">
            <w:pPr>
              <w:rPr>
                <w:rFonts w:ascii="Cambria" w:hAnsi="Cambria"/>
                <w:sz w:val="22"/>
                <w:szCs w:val="22"/>
                <w:lang w:val="it-IT"/>
              </w:rPr>
            </w:pPr>
            <w:r w:rsidRPr="001421C4">
              <w:rPr>
                <w:rFonts w:ascii="Cambria" w:hAnsi="Cambria"/>
                <w:sz w:val="22"/>
                <w:szCs w:val="22"/>
                <w:lang w:val="it-IT"/>
              </w:rPr>
              <w:t xml:space="preserve">10. </w:t>
            </w:r>
            <w:proofErr w:type="spellStart"/>
            <w:r w:rsidRPr="001421C4">
              <w:rPr>
                <w:rFonts w:ascii="Cambria" w:hAnsi="Cambria"/>
                <w:sz w:val="22"/>
                <w:szCs w:val="22"/>
                <w:lang w:val="it-IT"/>
              </w:rPr>
              <w:t>Upoznavanje</w:t>
            </w:r>
            <w:proofErr w:type="spellEnd"/>
            <w:r w:rsidRPr="001421C4">
              <w:rPr>
                <w:rFonts w:ascii="Cambria" w:hAnsi="Cambria"/>
                <w:sz w:val="22"/>
                <w:szCs w:val="22"/>
                <w:lang w:val="it-IT"/>
              </w:rPr>
              <w:t xml:space="preserve"> </w:t>
            </w:r>
            <w:proofErr w:type="spellStart"/>
            <w:r w:rsidRPr="001421C4">
              <w:rPr>
                <w:rFonts w:ascii="Cambria" w:hAnsi="Cambria"/>
                <w:sz w:val="22"/>
                <w:szCs w:val="22"/>
                <w:lang w:val="it-IT"/>
              </w:rPr>
              <w:t>zborne</w:t>
            </w:r>
            <w:proofErr w:type="spellEnd"/>
            <w:r w:rsidRPr="001421C4">
              <w:rPr>
                <w:rFonts w:ascii="Cambria" w:hAnsi="Cambria"/>
                <w:sz w:val="22"/>
                <w:szCs w:val="22"/>
                <w:lang w:val="it-IT"/>
              </w:rPr>
              <w:t xml:space="preserve"> literature</w:t>
            </w:r>
          </w:p>
          <w:p w14:paraId="02C4E261" w14:textId="77777777" w:rsidR="001421C4" w:rsidRPr="001421C4" w:rsidRDefault="001421C4">
            <w:pPr>
              <w:rPr>
                <w:rFonts w:ascii="Cambria" w:hAnsi="Cambria"/>
                <w:sz w:val="22"/>
                <w:szCs w:val="22"/>
                <w:lang w:val="it-IT"/>
              </w:rPr>
            </w:pPr>
            <w:r w:rsidRPr="001421C4">
              <w:rPr>
                <w:rFonts w:ascii="Cambria" w:hAnsi="Cambria"/>
                <w:sz w:val="22"/>
                <w:szCs w:val="22"/>
                <w:lang w:val="it-IT"/>
              </w:rPr>
              <w:t xml:space="preserve">11. </w:t>
            </w:r>
            <w:proofErr w:type="spellStart"/>
            <w:r w:rsidRPr="001421C4">
              <w:rPr>
                <w:rFonts w:ascii="Cambria" w:hAnsi="Cambria"/>
                <w:sz w:val="22"/>
                <w:szCs w:val="22"/>
                <w:lang w:val="it-IT"/>
              </w:rPr>
              <w:t>Upoznavanje</w:t>
            </w:r>
            <w:proofErr w:type="spellEnd"/>
            <w:r w:rsidRPr="001421C4">
              <w:rPr>
                <w:rFonts w:ascii="Cambria" w:hAnsi="Cambria"/>
                <w:sz w:val="22"/>
                <w:szCs w:val="22"/>
                <w:lang w:val="it-IT"/>
              </w:rPr>
              <w:t xml:space="preserve"> </w:t>
            </w:r>
            <w:proofErr w:type="spellStart"/>
            <w:r w:rsidRPr="001421C4">
              <w:rPr>
                <w:rFonts w:ascii="Cambria" w:hAnsi="Cambria"/>
                <w:sz w:val="22"/>
                <w:szCs w:val="22"/>
                <w:lang w:val="it-IT"/>
              </w:rPr>
              <w:t>komunikacije</w:t>
            </w:r>
            <w:proofErr w:type="spellEnd"/>
            <w:r w:rsidRPr="001421C4">
              <w:rPr>
                <w:rFonts w:ascii="Cambria" w:hAnsi="Cambria"/>
                <w:sz w:val="22"/>
                <w:szCs w:val="22"/>
                <w:lang w:val="it-IT"/>
              </w:rPr>
              <w:t xml:space="preserve"> </w:t>
            </w:r>
            <w:proofErr w:type="spellStart"/>
            <w:r w:rsidRPr="001421C4">
              <w:rPr>
                <w:rFonts w:ascii="Cambria" w:hAnsi="Cambria"/>
                <w:sz w:val="22"/>
                <w:szCs w:val="22"/>
                <w:lang w:val="it-IT"/>
              </w:rPr>
              <w:t>na</w:t>
            </w:r>
            <w:proofErr w:type="spellEnd"/>
            <w:r w:rsidRPr="001421C4">
              <w:rPr>
                <w:rFonts w:ascii="Cambria" w:hAnsi="Cambria"/>
                <w:sz w:val="22"/>
                <w:szCs w:val="22"/>
                <w:lang w:val="it-IT"/>
              </w:rPr>
              <w:t xml:space="preserve"> </w:t>
            </w:r>
            <w:proofErr w:type="spellStart"/>
            <w:r w:rsidRPr="001421C4">
              <w:rPr>
                <w:rFonts w:ascii="Cambria" w:hAnsi="Cambria"/>
                <w:sz w:val="22"/>
                <w:szCs w:val="22"/>
                <w:lang w:val="it-IT"/>
              </w:rPr>
              <w:t>relaciji</w:t>
            </w:r>
            <w:proofErr w:type="spellEnd"/>
            <w:r w:rsidRPr="001421C4">
              <w:rPr>
                <w:rFonts w:ascii="Cambria" w:hAnsi="Cambria"/>
                <w:sz w:val="22"/>
                <w:szCs w:val="22"/>
                <w:lang w:val="it-IT"/>
              </w:rPr>
              <w:t xml:space="preserve"> </w:t>
            </w:r>
            <w:proofErr w:type="spellStart"/>
            <w:r w:rsidRPr="001421C4">
              <w:rPr>
                <w:rFonts w:ascii="Cambria" w:hAnsi="Cambria"/>
                <w:sz w:val="22"/>
                <w:szCs w:val="22"/>
                <w:lang w:val="it-IT"/>
              </w:rPr>
              <w:t>dirigent</w:t>
            </w:r>
            <w:proofErr w:type="spellEnd"/>
            <w:r w:rsidRPr="001421C4">
              <w:rPr>
                <w:rFonts w:ascii="Cambria" w:hAnsi="Cambria"/>
                <w:sz w:val="22"/>
                <w:szCs w:val="22"/>
                <w:lang w:val="it-IT"/>
              </w:rPr>
              <w:t xml:space="preserve"> – </w:t>
            </w:r>
            <w:proofErr w:type="spellStart"/>
            <w:r w:rsidRPr="001421C4">
              <w:rPr>
                <w:rFonts w:ascii="Cambria" w:hAnsi="Cambria"/>
                <w:sz w:val="22"/>
                <w:szCs w:val="22"/>
                <w:lang w:val="it-IT"/>
              </w:rPr>
              <w:t>zbor</w:t>
            </w:r>
            <w:proofErr w:type="spellEnd"/>
          </w:p>
          <w:p w14:paraId="562D627A" w14:textId="77777777" w:rsidR="001421C4" w:rsidRPr="001421C4" w:rsidRDefault="001421C4">
            <w:pPr>
              <w:rPr>
                <w:rFonts w:ascii="Cambria" w:hAnsi="Cambria"/>
                <w:sz w:val="22"/>
                <w:szCs w:val="22"/>
                <w:lang w:val="it-IT"/>
              </w:rPr>
            </w:pPr>
            <w:r w:rsidRPr="001421C4">
              <w:rPr>
                <w:rFonts w:ascii="Cambria" w:hAnsi="Cambria"/>
                <w:sz w:val="22"/>
                <w:szCs w:val="22"/>
                <w:lang w:val="it-IT"/>
              </w:rPr>
              <w:t xml:space="preserve">12. </w:t>
            </w:r>
            <w:proofErr w:type="spellStart"/>
            <w:r w:rsidRPr="001421C4">
              <w:rPr>
                <w:rFonts w:ascii="Cambria" w:hAnsi="Cambria"/>
                <w:sz w:val="22"/>
                <w:szCs w:val="22"/>
                <w:lang w:val="it-IT"/>
              </w:rPr>
              <w:t>Posjeti</w:t>
            </w:r>
            <w:proofErr w:type="spellEnd"/>
            <w:r w:rsidRPr="001421C4">
              <w:rPr>
                <w:rFonts w:ascii="Cambria" w:hAnsi="Cambria"/>
                <w:sz w:val="22"/>
                <w:szCs w:val="22"/>
                <w:lang w:val="it-IT"/>
              </w:rPr>
              <w:t xml:space="preserve"> </w:t>
            </w:r>
            <w:proofErr w:type="spellStart"/>
            <w:r w:rsidRPr="001421C4">
              <w:rPr>
                <w:rFonts w:ascii="Cambria" w:hAnsi="Cambria"/>
                <w:sz w:val="22"/>
                <w:szCs w:val="22"/>
                <w:lang w:val="it-IT"/>
              </w:rPr>
              <w:t>raznim</w:t>
            </w:r>
            <w:proofErr w:type="spellEnd"/>
            <w:r w:rsidRPr="001421C4">
              <w:rPr>
                <w:rFonts w:ascii="Cambria" w:hAnsi="Cambria"/>
                <w:sz w:val="22"/>
                <w:szCs w:val="22"/>
                <w:lang w:val="it-IT"/>
              </w:rPr>
              <w:t xml:space="preserve"> </w:t>
            </w:r>
            <w:proofErr w:type="spellStart"/>
            <w:r w:rsidRPr="001421C4">
              <w:rPr>
                <w:rFonts w:ascii="Cambria" w:hAnsi="Cambria"/>
                <w:sz w:val="22"/>
                <w:szCs w:val="22"/>
                <w:lang w:val="it-IT"/>
              </w:rPr>
              <w:t>zborovima</w:t>
            </w:r>
            <w:proofErr w:type="spellEnd"/>
            <w:r w:rsidRPr="001421C4">
              <w:rPr>
                <w:rFonts w:ascii="Cambria" w:hAnsi="Cambria"/>
                <w:sz w:val="22"/>
                <w:szCs w:val="22"/>
                <w:lang w:val="it-IT"/>
              </w:rPr>
              <w:t xml:space="preserve"> i </w:t>
            </w:r>
            <w:proofErr w:type="spellStart"/>
            <w:r w:rsidRPr="001421C4">
              <w:rPr>
                <w:rFonts w:ascii="Cambria" w:hAnsi="Cambria"/>
                <w:sz w:val="22"/>
                <w:szCs w:val="22"/>
                <w:lang w:val="it-IT"/>
              </w:rPr>
              <w:t>vokalnim</w:t>
            </w:r>
            <w:proofErr w:type="spellEnd"/>
            <w:r w:rsidRPr="001421C4">
              <w:rPr>
                <w:rFonts w:ascii="Cambria" w:hAnsi="Cambria"/>
                <w:sz w:val="22"/>
                <w:szCs w:val="22"/>
                <w:lang w:val="it-IT"/>
              </w:rPr>
              <w:t xml:space="preserve"> </w:t>
            </w:r>
            <w:proofErr w:type="spellStart"/>
            <w:r w:rsidRPr="001421C4">
              <w:rPr>
                <w:rFonts w:ascii="Cambria" w:hAnsi="Cambria"/>
                <w:sz w:val="22"/>
                <w:szCs w:val="22"/>
                <w:lang w:val="it-IT"/>
              </w:rPr>
              <w:t>ansamblima</w:t>
            </w:r>
            <w:proofErr w:type="spellEnd"/>
          </w:p>
        </w:tc>
      </w:tr>
      <w:tr w:rsidR="001421C4" w:rsidRPr="001421C4" w14:paraId="31741A24" w14:textId="77777777" w:rsidTr="001421C4">
        <w:tc>
          <w:tcPr>
            <w:tcW w:w="2460" w:type="dxa"/>
            <w:vMerge w:val="restart"/>
            <w:tcBorders>
              <w:top w:val="single" w:sz="4" w:space="0" w:color="auto"/>
              <w:left w:val="single" w:sz="4" w:space="0" w:color="auto"/>
              <w:bottom w:val="single" w:sz="4" w:space="0" w:color="auto"/>
              <w:right w:val="single" w:sz="4" w:space="0" w:color="auto"/>
            </w:tcBorders>
            <w:shd w:val="clear" w:color="auto" w:fill="F3F3F3"/>
            <w:tcMar>
              <w:top w:w="15" w:type="dxa"/>
              <w:left w:w="15" w:type="dxa"/>
              <w:bottom w:w="15" w:type="dxa"/>
              <w:right w:w="15" w:type="dxa"/>
            </w:tcMar>
            <w:vAlign w:val="center"/>
            <w:hideMark/>
          </w:tcPr>
          <w:p w14:paraId="5F2AC565" w14:textId="77777777" w:rsidR="001421C4" w:rsidRPr="001421C4" w:rsidRDefault="001421C4">
            <w:pPr>
              <w:rPr>
                <w:rFonts w:ascii="Cambria" w:hAnsi="Cambria"/>
                <w:sz w:val="22"/>
                <w:szCs w:val="22"/>
                <w:lang w:val="it-IT"/>
              </w:rPr>
            </w:pPr>
            <w:proofErr w:type="spellStart"/>
            <w:r w:rsidRPr="001421C4">
              <w:rPr>
                <w:rFonts w:ascii="Cambria" w:hAnsi="Cambria"/>
                <w:sz w:val="22"/>
                <w:szCs w:val="22"/>
                <w:lang w:val="it-IT"/>
              </w:rPr>
              <w:t>Planirane</w:t>
            </w:r>
            <w:proofErr w:type="spellEnd"/>
            <w:r w:rsidRPr="001421C4">
              <w:rPr>
                <w:rFonts w:ascii="Cambria" w:hAnsi="Cambria"/>
                <w:sz w:val="22"/>
                <w:szCs w:val="22"/>
                <w:lang w:val="it-IT"/>
              </w:rPr>
              <w:t xml:space="preserve"> </w:t>
            </w:r>
            <w:proofErr w:type="spellStart"/>
            <w:r w:rsidRPr="001421C4">
              <w:rPr>
                <w:rFonts w:ascii="Cambria" w:hAnsi="Cambria"/>
                <w:sz w:val="22"/>
                <w:szCs w:val="22"/>
                <w:lang w:val="it-IT"/>
              </w:rPr>
              <w:t>aktivnosti</w:t>
            </w:r>
            <w:proofErr w:type="spellEnd"/>
            <w:r w:rsidRPr="001421C4">
              <w:rPr>
                <w:rFonts w:ascii="Cambria" w:hAnsi="Cambria"/>
                <w:sz w:val="22"/>
                <w:szCs w:val="22"/>
                <w:lang w:val="it-IT"/>
              </w:rPr>
              <w:t>,</w:t>
            </w:r>
          </w:p>
          <w:p w14:paraId="06E38D4F" w14:textId="77777777" w:rsidR="001421C4" w:rsidRPr="001421C4" w:rsidRDefault="001421C4">
            <w:pPr>
              <w:rPr>
                <w:rFonts w:ascii="Cambria" w:hAnsi="Cambria"/>
                <w:sz w:val="22"/>
                <w:szCs w:val="22"/>
                <w:lang w:val="it-IT"/>
              </w:rPr>
            </w:pPr>
            <w:proofErr w:type="spellStart"/>
            <w:r w:rsidRPr="001421C4">
              <w:rPr>
                <w:rFonts w:ascii="Cambria" w:hAnsi="Cambria"/>
                <w:sz w:val="22"/>
                <w:szCs w:val="22"/>
                <w:lang w:val="it-IT"/>
              </w:rPr>
              <w:t>metode</w:t>
            </w:r>
            <w:proofErr w:type="spellEnd"/>
            <w:r w:rsidRPr="001421C4">
              <w:rPr>
                <w:rFonts w:ascii="Cambria" w:hAnsi="Cambria"/>
                <w:sz w:val="22"/>
                <w:szCs w:val="22"/>
                <w:lang w:val="it-IT"/>
              </w:rPr>
              <w:t xml:space="preserve"> </w:t>
            </w:r>
            <w:proofErr w:type="spellStart"/>
            <w:r w:rsidRPr="001421C4">
              <w:rPr>
                <w:rFonts w:ascii="Cambria" w:hAnsi="Cambria"/>
                <w:sz w:val="22"/>
                <w:szCs w:val="22"/>
                <w:lang w:val="it-IT"/>
              </w:rPr>
              <w:t>učenja</w:t>
            </w:r>
            <w:proofErr w:type="spellEnd"/>
            <w:r w:rsidRPr="001421C4">
              <w:rPr>
                <w:rFonts w:ascii="Cambria" w:hAnsi="Cambria"/>
                <w:sz w:val="22"/>
                <w:szCs w:val="22"/>
                <w:lang w:val="it-IT"/>
              </w:rPr>
              <w:t xml:space="preserve"> i </w:t>
            </w:r>
            <w:proofErr w:type="spellStart"/>
            <w:r w:rsidRPr="001421C4">
              <w:rPr>
                <w:rFonts w:ascii="Cambria" w:hAnsi="Cambria"/>
                <w:sz w:val="22"/>
                <w:szCs w:val="22"/>
                <w:lang w:val="it-IT"/>
              </w:rPr>
              <w:t>poučavanja</w:t>
            </w:r>
            <w:proofErr w:type="spellEnd"/>
            <w:r w:rsidRPr="001421C4">
              <w:rPr>
                <w:rFonts w:ascii="Cambria" w:hAnsi="Cambria"/>
                <w:sz w:val="22"/>
                <w:szCs w:val="22"/>
                <w:lang w:val="it-IT"/>
              </w:rPr>
              <w:t xml:space="preserve"> i </w:t>
            </w:r>
            <w:proofErr w:type="spellStart"/>
            <w:r w:rsidRPr="001421C4">
              <w:rPr>
                <w:rFonts w:ascii="Cambria" w:hAnsi="Cambria"/>
                <w:sz w:val="22"/>
                <w:szCs w:val="22"/>
                <w:lang w:val="it-IT"/>
              </w:rPr>
              <w:t>načini</w:t>
            </w:r>
            <w:proofErr w:type="spellEnd"/>
            <w:r w:rsidRPr="001421C4">
              <w:rPr>
                <w:rFonts w:ascii="Cambria" w:hAnsi="Cambria"/>
                <w:sz w:val="22"/>
                <w:szCs w:val="22"/>
                <w:lang w:val="it-IT"/>
              </w:rPr>
              <w:t xml:space="preserve"> </w:t>
            </w:r>
            <w:proofErr w:type="spellStart"/>
            <w:r w:rsidRPr="001421C4">
              <w:rPr>
                <w:rFonts w:ascii="Cambria" w:hAnsi="Cambria"/>
                <w:sz w:val="22"/>
                <w:szCs w:val="22"/>
                <w:lang w:val="it-IT"/>
              </w:rPr>
              <w:t>vrednovanja</w:t>
            </w:r>
            <w:proofErr w:type="spellEnd"/>
          </w:p>
        </w:tc>
        <w:tc>
          <w:tcPr>
            <w:tcW w:w="301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2B0CC77" w14:textId="77777777" w:rsidR="001421C4" w:rsidRPr="001421C4" w:rsidRDefault="001421C4">
            <w:pPr>
              <w:rPr>
                <w:rFonts w:ascii="Cambria" w:hAnsi="Cambria"/>
                <w:sz w:val="22"/>
                <w:szCs w:val="22"/>
              </w:rPr>
            </w:pPr>
            <w:proofErr w:type="spellStart"/>
            <w:r w:rsidRPr="001421C4">
              <w:rPr>
                <w:rFonts w:ascii="Cambria" w:hAnsi="Cambria"/>
                <w:bCs/>
                <w:sz w:val="22"/>
                <w:szCs w:val="22"/>
              </w:rPr>
              <w:t>Obveze</w:t>
            </w:r>
            <w:proofErr w:type="spellEnd"/>
          </w:p>
        </w:tc>
        <w:tc>
          <w:tcPr>
            <w:tcW w:w="9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3A0D6FC" w14:textId="77777777" w:rsidR="001421C4" w:rsidRPr="001421C4" w:rsidRDefault="001421C4">
            <w:pPr>
              <w:rPr>
                <w:rFonts w:ascii="Cambria" w:hAnsi="Cambria"/>
                <w:sz w:val="22"/>
                <w:szCs w:val="22"/>
              </w:rPr>
            </w:pPr>
            <w:proofErr w:type="spellStart"/>
            <w:r w:rsidRPr="001421C4">
              <w:rPr>
                <w:rFonts w:ascii="Cambria" w:hAnsi="Cambria"/>
                <w:bCs/>
                <w:sz w:val="22"/>
                <w:szCs w:val="22"/>
              </w:rPr>
              <w:t>Ishodi</w:t>
            </w:r>
            <w:proofErr w:type="spellEnd"/>
          </w:p>
        </w:tc>
        <w:tc>
          <w:tcPr>
            <w:tcW w:w="750"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C644EA6" w14:textId="77777777" w:rsidR="001421C4" w:rsidRPr="001421C4" w:rsidRDefault="001421C4">
            <w:pPr>
              <w:rPr>
                <w:rFonts w:ascii="Cambria" w:hAnsi="Cambria"/>
                <w:sz w:val="22"/>
                <w:szCs w:val="22"/>
              </w:rPr>
            </w:pPr>
            <w:r w:rsidRPr="001421C4">
              <w:rPr>
                <w:rFonts w:ascii="Cambria" w:hAnsi="Cambria"/>
                <w:bCs/>
                <w:sz w:val="22"/>
                <w:szCs w:val="22"/>
              </w:rPr>
              <w:t>Sati</w:t>
            </w:r>
          </w:p>
        </w:tc>
        <w:tc>
          <w:tcPr>
            <w:tcW w:w="8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F2A0C9F" w14:textId="77777777" w:rsidR="001421C4" w:rsidRPr="001421C4" w:rsidRDefault="001421C4">
            <w:pPr>
              <w:rPr>
                <w:rFonts w:ascii="Cambria" w:hAnsi="Cambria"/>
                <w:sz w:val="22"/>
                <w:szCs w:val="22"/>
              </w:rPr>
            </w:pPr>
            <w:r w:rsidRPr="001421C4">
              <w:rPr>
                <w:rFonts w:ascii="Cambria" w:hAnsi="Cambria"/>
                <w:bCs/>
                <w:sz w:val="22"/>
                <w:szCs w:val="22"/>
              </w:rPr>
              <w:t>ECTS</w:t>
            </w:r>
          </w:p>
        </w:tc>
        <w:tc>
          <w:tcPr>
            <w:tcW w:w="219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B331331" w14:textId="77777777" w:rsidR="001421C4" w:rsidRPr="001421C4" w:rsidRDefault="001421C4">
            <w:pPr>
              <w:rPr>
                <w:rFonts w:ascii="Cambria" w:hAnsi="Cambria"/>
                <w:sz w:val="22"/>
                <w:szCs w:val="22"/>
              </w:rPr>
            </w:pPr>
            <w:proofErr w:type="spellStart"/>
            <w:r w:rsidRPr="001421C4">
              <w:rPr>
                <w:rFonts w:ascii="Cambria" w:hAnsi="Cambria"/>
                <w:bCs/>
                <w:sz w:val="22"/>
                <w:szCs w:val="22"/>
              </w:rPr>
              <w:t>Maksimalni</w:t>
            </w:r>
            <w:proofErr w:type="spellEnd"/>
            <w:r w:rsidRPr="001421C4">
              <w:rPr>
                <w:rFonts w:ascii="Cambria" w:hAnsi="Cambria"/>
                <w:bCs/>
                <w:sz w:val="22"/>
                <w:szCs w:val="22"/>
              </w:rPr>
              <w:t xml:space="preserve"> </w:t>
            </w:r>
            <w:proofErr w:type="spellStart"/>
            <w:r w:rsidRPr="001421C4">
              <w:rPr>
                <w:rFonts w:ascii="Cambria" w:hAnsi="Cambria"/>
                <w:bCs/>
                <w:sz w:val="22"/>
                <w:szCs w:val="22"/>
              </w:rPr>
              <w:t>udio</w:t>
            </w:r>
            <w:proofErr w:type="spellEnd"/>
            <w:r w:rsidRPr="001421C4">
              <w:rPr>
                <w:rFonts w:ascii="Cambria" w:hAnsi="Cambria"/>
                <w:bCs/>
                <w:sz w:val="22"/>
                <w:szCs w:val="22"/>
              </w:rPr>
              <w:t xml:space="preserve"> u </w:t>
            </w:r>
            <w:proofErr w:type="spellStart"/>
            <w:r w:rsidRPr="001421C4">
              <w:rPr>
                <w:rFonts w:ascii="Cambria" w:hAnsi="Cambria"/>
                <w:bCs/>
                <w:sz w:val="22"/>
                <w:szCs w:val="22"/>
              </w:rPr>
              <w:t>ocjeni</w:t>
            </w:r>
            <w:proofErr w:type="spellEnd"/>
            <w:r w:rsidRPr="001421C4">
              <w:rPr>
                <w:rFonts w:ascii="Cambria" w:hAnsi="Cambria"/>
                <w:bCs/>
                <w:sz w:val="22"/>
                <w:szCs w:val="22"/>
              </w:rPr>
              <w:t xml:space="preserve"> (%)</w:t>
            </w:r>
          </w:p>
        </w:tc>
      </w:tr>
      <w:tr w:rsidR="001421C4" w:rsidRPr="001421C4" w14:paraId="2F4A5CF0" w14:textId="77777777" w:rsidTr="001421C4">
        <w:tc>
          <w:tcPr>
            <w:tcW w:w="2460" w:type="dxa"/>
            <w:vMerge/>
            <w:tcBorders>
              <w:top w:val="single" w:sz="4" w:space="0" w:color="auto"/>
              <w:left w:val="single" w:sz="4" w:space="0" w:color="auto"/>
              <w:bottom w:val="single" w:sz="4" w:space="0" w:color="auto"/>
              <w:right w:val="single" w:sz="4" w:space="0" w:color="auto"/>
            </w:tcBorders>
            <w:vAlign w:val="center"/>
            <w:hideMark/>
          </w:tcPr>
          <w:p w14:paraId="4E1B9AAA" w14:textId="77777777" w:rsidR="001421C4" w:rsidRPr="001421C4" w:rsidRDefault="001421C4">
            <w:pPr>
              <w:rPr>
                <w:rFonts w:ascii="Cambria" w:hAnsi="Cambria"/>
                <w:sz w:val="22"/>
                <w:szCs w:val="22"/>
              </w:rPr>
            </w:pPr>
          </w:p>
        </w:tc>
        <w:tc>
          <w:tcPr>
            <w:tcW w:w="301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4093F75" w14:textId="77777777" w:rsidR="001421C4" w:rsidRPr="001421C4" w:rsidRDefault="001421C4">
            <w:pPr>
              <w:rPr>
                <w:rFonts w:ascii="Cambria" w:hAnsi="Cambria"/>
                <w:sz w:val="22"/>
                <w:szCs w:val="22"/>
              </w:rPr>
            </w:pPr>
            <w:proofErr w:type="spellStart"/>
            <w:r w:rsidRPr="001421C4">
              <w:rPr>
                <w:rFonts w:ascii="Cambria" w:hAnsi="Cambria"/>
                <w:sz w:val="22"/>
                <w:szCs w:val="22"/>
              </w:rPr>
              <w:t>pohađanje</w:t>
            </w:r>
            <w:proofErr w:type="spellEnd"/>
            <w:r w:rsidRPr="001421C4">
              <w:rPr>
                <w:rFonts w:ascii="Cambria" w:hAnsi="Cambria"/>
                <w:sz w:val="22"/>
                <w:szCs w:val="22"/>
              </w:rPr>
              <w:t xml:space="preserve"> (P </w:t>
            </w:r>
            <w:proofErr w:type="spellStart"/>
            <w:r w:rsidRPr="001421C4">
              <w:rPr>
                <w:rFonts w:ascii="Cambria" w:hAnsi="Cambria"/>
                <w:sz w:val="22"/>
                <w:szCs w:val="22"/>
              </w:rPr>
              <w:t>i</w:t>
            </w:r>
            <w:proofErr w:type="spellEnd"/>
            <w:r w:rsidRPr="001421C4">
              <w:rPr>
                <w:rFonts w:ascii="Cambria" w:hAnsi="Cambria"/>
                <w:sz w:val="22"/>
                <w:szCs w:val="22"/>
              </w:rPr>
              <w:t xml:space="preserve"> V)</w:t>
            </w:r>
          </w:p>
        </w:tc>
        <w:tc>
          <w:tcPr>
            <w:tcW w:w="9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1D41ADC" w14:textId="77777777" w:rsidR="001421C4" w:rsidRPr="001421C4" w:rsidRDefault="001421C4">
            <w:pPr>
              <w:rPr>
                <w:rFonts w:ascii="Cambria" w:hAnsi="Cambria"/>
                <w:sz w:val="22"/>
                <w:szCs w:val="22"/>
              </w:rPr>
            </w:pPr>
            <w:r w:rsidRPr="001421C4">
              <w:rPr>
                <w:rFonts w:ascii="Cambria" w:hAnsi="Cambria"/>
                <w:sz w:val="22"/>
                <w:szCs w:val="22"/>
              </w:rPr>
              <w:t>1.-5.</w:t>
            </w:r>
          </w:p>
        </w:tc>
        <w:tc>
          <w:tcPr>
            <w:tcW w:w="750"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1173BF9" w14:textId="77777777" w:rsidR="001421C4" w:rsidRPr="001421C4" w:rsidRDefault="001421C4">
            <w:pPr>
              <w:rPr>
                <w:rFonts w:ascii="Cambria" w:hAnsi="Cambria"/>
                <w:sz w:val="22"/>
                <w:szCs w:val="22"/>
              </w:rPr>
            </w:pPr>
            <w:r w:rsidRPr="001421C4">
              <w:rPr>
                <w:rFonts w:ascii="Cambria" w:hAnsi="Cambria"/>
                <w:sz w:val="22"/>
                <w:szCs w:val="22"/>
              </w:rPr>
              <w:t>22,5</w:t>
            </w:r>
          </w:p>
        </w:tc>
        <w:tc>
          <w:tcPr>
            <w:tcW w:w="8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3646EF5" w14:textId="77777777" w:rsidR="001421C4" w:rsidRPr="001421C4" w:rsidRDefault="001421C4">
            <w:pPr>
              <w:rPr>
                <w:rFonts w:ascii="Cambria" w:hAnsi="Cambria"/>
                <w:sz w:val="22"/>
                <w:szCs w:val="22"/>
              </w:rPr>
            </w:pPr>
            <w:r w:rsidRPr="001421C4">
              <w:rPr>
                <w:rFonts w:ascii="Cambria" w:hAnsi="Cambria"/>
                <w:sz w:val="22"/>
                <w:szCs w:val="22"/>
              </w:rPr>
              <w:t>0,75</w:t>
            </w:r>
          </w:p>
        </w:tc>
        <w:tc>
          <w:tcPr>
            <w:tcW w:w="219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F01B359" w14:textId="77777777" w:rsidR="001421C4" w:rsidRPr="001421C4" w:rsidRDefault="001421C4">
            <w:pPr>
              <w:rPr>
                <w:rFonts w:ascii="Cambria" w:hAnsi="Cambria"/>
                <w:sz w:val="22"/>
                <w:szCs w:val="22"/>
              </w:rPr>
            </w:pPr>
            <w:r w:rsidRPr="001421C4">
              <w:rPr>
                <w:rFonts w:ascii="Cambria" w:hAnsi="Cambria"/>
                <w:sz w:val="22"/>
                <w:szCs w:val="22"/>
              </w:rPr>
              <w:t xml:space="preserve">  20 %</w:t>
            </w:r>
          </w:p>
        </w:tc>
      </w:tr>
      <w:tr w:rsidR="001421C4" w:rsidRPr="001421C4" w14:paraId="05FE796B" w14:textId="77777777" w:rsidTr="001421C4">
        <w:tc>
          <w:tcPr>
            <w:tcW w:w="2460" w:type="dxa"/>
            <w:vMerge/>
            <w:tcBorders>
              <w:top w:val="single" w:sz="4" w:space="0" w:color="auto"/>
              <w:left w:val="single" w:sz="4" w:space="0" w:color="auto"/>
              <w:bottom w:val="single" w:sz="4" w:space="0" w:color="auto"/>
              <w:right w:val="single" w:sz="4" w:space="0" w:color="auto"/>
            </w:tcBorders>
            <w:vAlign w:val="center"/>
            <w:hideMark/>
          </w:tcPr>
          <w:p w14:paraId="52DC238D" w14:textId="77777777" w:rsidR="001421C4" w:rsidRPr="001421C4" w:rsidRDefault="001421C4">
            <w:pPr>
              <w:rPr>
                <w:rFonts w:ascii="Cambria" w:hAnsi="Cambria"/>
                <w:sz w:val="22"/>
                <w:szCs w:val="22"/>
              </w:rPr>
            </w:pPr>
          </w:p>
        </w:tc>
        <w:tc>
          <w:tcPr>
            <w:tcW w:w="301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24CB32F" w14:textId="77777777" w:rsidR="001421C4" w:rsidRPr="001421C4" w:rsidRDefault="001421C4">
            <w:pPr>
              <w:rPr>
                <w:rFonts w:ascii="Cambria" w:hAnsi="Cambria"/>
                <w:sz w:val="22"/>
                <w:szCs w:val="22"/>
                <w:lang w:val="it-IT"/>
              </w:rPr>
            </w:pPr>
            <w:proofErr w:type="spellStart"/>
            <w:r w:rsidRPr="001421C4">
              <w:rPr>
                <w:rFonts w:ascii="Cambria" w:hAnsi="Cambria"/>
                <w:sz w:val="22"/>
                <w:szCs w:val="22"/>
                <w:lang w:val="it-IT"/>
              </w:rPr>
              <w:t>zadaće</w:t>
            </w:r>
            <w:proofErr w:type="spellEnd"/>
            <w:r w:rsidRPr="001421C4">
              <w:rPr>
                <w:rFonts w:ascii="Cambria" w:hAnsi="Cambria"/>
                <w:sz w:val="22"/>
                <w:szCs w:val="22"/>
                <w:lang w:val="it-IT"/>
              </w:rPr>
              <w:t xml:space="preserve"> za </w:t>
            </w:r>
            <w:proofErr w:type="spellStart"/>
            <w:r w:rsidRPr="001421C4">
              <w:rPr>
                <w:rFonts w:ascii="Cambria" w:hAnsi="Cambria"/>
                <w:sz w:val="22"/>
                <w:szCs w:val="22"/>
                <w:lang w:val="it-IT"/>
              </w:rPr>
              <w:t>aktivnost</w:t>
            </w:r>
            <w:proofErr w:type="spellEnd"/>
            <w:r w:rsidRPr="001421C4">
              <w:rPr>
                <w:rFonts w:ascii="Cambria" w:hAnsi="Cambria"/>
                <w:sz w:val="22"/>
                <w:szCs w:val="22"/>
                <w:lang w:val="it-IT"/>
              </w:rPr>
              <w:t xml:space="preserve"> </w:t>
            </w:r>
            <w:proofErr w:type="spellStart"/>
            <w:r w:rsidRPr="001421C4">
              <w:rPr>
                <w:rFonts w:ascii="Cambria" w:hAnsi="Cambria"/>
                <w:sz w:val="22"/>
                <w:szCs w:val="22"/>
                <w:lang w:val="it-IT"/>
              </w:rPr>
              <w:t>na</w:t>
            </w:r>
            <w:proofErr w:type="spellEnd"/>
            <w:r w:rsidRPr="001421C4">
              <w:rPr>
                <w:rFonts w:ascii="Cambria" w:hAnsi="Cambria"/>
                <w:sz w:val="22"/>
                <w:szCs w:val="22"/>
                <w:lang w:val="it-IT"/>
              </w:rPr>
              <w:t xml:space="preserve"> </w:t>
            </w:r>
            <w:proofErr w:type="spellStart"/>
            <w:r w:rsidRPr="001421C4">
              <w:rPr>
                <w:rFonts w:ascii="Cambria" w:hAnsi="Cambria"/>
                <w:sz w:val="22"/>
                <w:szCs w:val="22"/>
                <w:lang w:val="it-IT"/>
              </w:rPr>
              <w:t>nastavi</w:t>
            </w:r>
            <w:proofErr w:type="spellEnd"/>
          </w:p>
        </w:tc>
        <w:tc>
          <w:tcPr>
            <w:tcW w:w="9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382FF8C" w14:textId="77777777" w:rsidR="001421C4" w:rsidRPr="001421C4" w:rsidRDefault="001421C4">
            <w:pPr>
              <w:rPr>
                <w:rFonts w:ascii="Cambria" w:hAnsi="Cambria"/>
                <w:sz w:val="22"/>
                <w:szCs w:val="22"/>
              </w:rPr>
            </w:pPr>
            <w:r w:rsidRPr="001421C4">
              <w:rPr>
                <w:rFonts w:ascii="Cambria" w:hAnsi="Cambria"/>
                <w:sz w:val="22"/>
                <w:szCs w:val="22"/>
              </w:rPr>
              <w:t>1.-5.</w:t>
            </w:r>
          </w:p>
        </w:tc>
        <w:tc>
          <w:tcPr>
            <w:tcW w:w="750"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3925FCC" w14:textId="77777777" w:rsidR="001421C4" w:rsidRPr="001421C4" w:rsidRDefault="001421C4">
            <w:pPr>
              <w:rPr>
                <w:rFonts w:ascii="Cambria" w:hAnsi="Cambria"/>
                <w:sz w:val="22"/>
                <w:szCs w:val="22"/>
              </w:rPr>
            </w:pPr>
            <w:r w:rsidRPr="001421C4">
              <w:rPr>
                <w:rFonts w:ascii="Cambria" w:hAnsi="Cambria"/>
                <w:sz w:val="22"/>
                <w:szCs w:val="22"/>
              </w:rPr>
              <w:t>22,5</w:t>
            </w:r>
          </w:p>
        </w:tc>
        <w:tc>
          <w:tcPr>
            <w:tcW w:w="8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171E8F4" w14:textId="77777777" w:rsidR="001421C4" w:rsidRPr="001421C4" w:rsidRDefault="001421C4">
            <w:pPr>
              <w:rPr>
                <w:rFonts w:ascii="Cambria" w:hAnsi="Cambria"/>
                <w:sz w:val="22"/>
                <w:szCs w:val="22"/>
              </w:rPr>
            </w:pPr>
            <w:r w:rsidRPr="001421C4">
              <w:rPr>
                <w:rFonts w:ascii="Cambria" w:hAnsi="Cambria"/>
                <w:sz w:val="22"/>
                <w:szCs w:val="22"/>
              </w:rPr>
              <w:t>0,75</w:t>
            </w:r>
          </w:p>
        </w:tc>
        <w:tc>
          <w:tcPr>
            <w:tcW w:w="219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A02BC4B" w14:textId="77777777" w:rsidR="001421C4" w:rsidRPr="001421C4" w:rsidRDefault="001421C4">
            <w:pPr>
              <w:rPr>
                <w:rFonts w:ascii="Cambria" w:hAnsi="Cambria"/>
                <w:sz w:val="22"/>
                <w:szCs w:val="22"/>
              </w:rPr>
            </w:pPr>
            <w:r w:rsidRPr="001421C4">
              <w:rPr>
                <w:rFonts w:ascii="Cambria" w:hAnsi="Cambria"/>
                <w:sz w:val="22"/>
                <w:szCs w:val="22"/>
              </w:rPr>
              <w:t xml:space="preserve">  30 %</w:t>
            </w:r>
          </w:p>
        </w:tc>
      </w:tr>
      <w:tr w:rsidR="001421C4" w:rsidRPr="001421C4" w14:paraId="49A1635F" w14:textId="77777777" w:rsidTr="001421C4">
        <w:tc>
          <w:tcPr>
            <w:tcW w:w="2460" w:type="dxa"/>
            <w:vMerge/>
            <w:tcBorders>
              <w:top w:val="single" w:sz="4" w:space="0" w:color="auto"/>
              <w:left w:val="single" w:sz="4" w:space="0" w:color="auto"/>
              <w:bottom w:val="single" w:sz="4" w:space="0" w:color="auto"/>
              <w:right w:val="single" w:sz="4" w:space="0" w:color="auto"/>
            </w:tcBorders>
            <w:vAlign w:val="center"/>
            <w:hideMark/>
          </w:tcPr>
          <w:p w14:paraId="0E84AE21" w14:textId="77777777" w:rsidR="001421C4" w:rsidRPr="001421C4" w:rsidRDefault="001421C4">
            <w:pPr>
              <w:rPr>
                <w:rFonts w:ascii="Cambria" w:hAnsi="Cambria"/>
                <w:sz w:val="22"/>
                <w:szCs w:val="22"/>
              </w:rPr>
            </w:pPr>
          </w:p>
        </w:tc>
        <w:tc>
          <w:tcPr>
            <w:tcW w:w="301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318DA91" w14:textId="77777777" w:rsidR="001421C4" w:rsidRPr="001421C4" w:rsidRDefault="001421C4">
            <w:pPr>
              <w:rPr>
                <w:rFonts w:ascii="Cambria" w:hAnsi="Cambria"/>
                <w:sz w:val="22"/>
                <w:szCs w:val="22"/>
              </w:rPr>
            </w:pPr>
            <w:proofErr w:type="spellStart"/>
            <w:r w:rsidRPr="001421C4">
              <w:rPr>
                <w:rFonts w:ascii="Cambria" w:hAnsi="Cambria"/>
                <w:sz w:val="22"/>
                <w:szCs w:val="22"/>
              </w:rPr>
              <w:t>osvrt</w:t>
            </w:r>
            <w:proofErr w:type="spellEnd"/>
            <w:r w:rsidRPr="001421C4">
              <w:rPr>
                <w:rFonts w:ascii="Cambria" w:hAnsi="Cambria"/>
                <w:sz w:val="22"/>
                <w:szCs w:val="22"/>
              </w:rPr>
              <w:t xml:space="preserve"> s </w:t>
            </w:r>
            <w:proofErr w:type="spellStart"/>
            <w:r w:rsidRPr="001421C4">
              <w:rPr>
                <w:rFonts w:ascii="Cambria" w:hAnsi="Cambria"/>
                <w:sz w:val="22"/>
                <w:szCs w:val="22"/>
              </w:rPr>
              <w:t>posjeta</w:t>
            </w:r>
            <w:proofErr w:type="spellEnd"/>
            <w:r w:rsidRPr="001421C4">
              <w:rPr>
                <w:rFonts w:ascii="Cambria" w:hAnsi="Cambria"/>
                <w:sz w:val="22"/>
                <w:szCs w:val="22"/>
              </w:rPr>
              <w:t xml:space="preserve"> </w:t>
            </w:r>
            <w:proofErr w:type="spellStart"/>
            <w:r w:rsidRPr="001421C4">
              <w:rPr>
                <w:rFonts w:ascii="Cambria" w:hAnsi="Cambria"/>
                <w:sz w:val="22"/>
                <w:szCs w:val="22"/>
              </w:rPr>
              <w:t>zborovima</w:t>
            </w:r>
            <w:proofErr w:type="spellEnd"/>
          </w:p>
        </w:tc>
        <w:tc>
          <w:tcPr>
            <w:tcW w:w="9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B85B774" w14:textId="77777777" w:rsidR="001421C4" w:rsidRPr="001421C4" w:rsidRDefault="001421C4">
            <w:pPr>
              <w:rPr>
                <w:rFonts w:ascii="Cambria" w:hAnsi="Cambria"/>
                <w:sz w:val="22"/>
                <w:szCs w:val="22"/>
              </w:rPr>
            </w:pPr>
            <w:r w:rsidRPr="001421C4">
              <w:rPr>
                <w:rFonts w:ascii="Cambria" w:hAnsi="Cambria"/>
                <w:sz w:val="22"/>
                <w:szCs w:val="22"/>
              </w:rPr>
              <w:t>1.-5.</w:t>
            </w:r>
          </w:p>
        </w:tc>
        <w:tc>
          <w:tcPr>
            <w:tcW w:w="750"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3DBC19F" w14:textId="77777777" w:rsidR="001421C4" w:rsidRPr="001421C4" w:rsidRDefault="001421C4">
            <w:pPr>
              <w:rPr>
                <w:rFonts w:ascii="Cambria" w:hAnsi="Cambria"/>
                <w:sz w:val="22"/>
                <w:szCs w:val="22"/>
              </w:rPr>
            </w:pPr>
            <w:r w:rsidRPr="001421C4">
              <w:rPr>
                <w:rFonts w:ascii="Cambria" w:hAnsi="Cambria"/>
                <w:sz w:val="22"/>
                <w:szCs w:val="22"/>
              </w:rPr>
              <w:t>9</w:t>
            </w:r>
          </w:p>
        </w:tc>
        <w:tc>
          <w:tcPr>
            <w:tcW w:w="8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09FBA7D" w14:textId="77777777" w:rsidR="001421C4" w:rsidRPr="001421C4" w:rsidRDefault="001421C4">
            <w:pPr>
              <w:rPr>
                <w:rFonts w:ascii="Cambria" w:hAnsi="Cambria"/>
                <w:sz w:val="22"/>
                <w:szCs w:val="22"/>
              </w:rPr>
            </w:pPr>
            <w:r w:rsidRPr="001421C4">
              <w:rPr>
                <w:rFonts w:ascii="Cambria" w:hAnsi="Cambria"/>
                <w:sz w:val="22"/>
                <w:szCs w:val="22"/>
              </w:rPr>
              <w:t>0,3</w:t>
            </w:r>
          </w:p>
        </w:tc>
        <w:tc>
          <w:tcPr>
            <w:tcW w:w="219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AC2436C" w14:textId="77777777" w:rsidR="001421C4" w:rsidRPr="001421C4" w:rsidRDefault="001421C4">
            <w:pPr>
              <w:rPr>
                <w:rFonts w:ascii="Cambria" w:hAnsi="Cambria"/>
                <w:sz w:val="22"/>
                <w:szCs w:val="22"/>
              </w:rPr>
            </w:pPr>
            <w:r w:rsidRPr="001421C4">
              <w:rPr>
                <w:rFonts w:ascii="Cambria" w:hAnsi="Cambria"/>
                <w:sz w:val="22"/>
                <w:szCs w:val="22"/>
              </w:rPr>
              <w:t xml:space="preserve">  10 %</w:t>
            </w:r>
          </w:p>
        </w:tc>
      </w:tr>
      <w:tr w:rsidR="001421C4" w:rsidRPr="001421C4" w14:paraId="1A4B0E79" w14:textId="77777777" w:rsidTr="001421C4">
        <w:tc>
          <w:tcPr>
            <w:tcW w:w="2460" w:type="dxa"/>
            <w:vMerge/>
            <w:tcBorders>
              <w:top w:val="single" w:sz="4" w:space="0" w:color="auto"/>
              <w:left w:val="single" w:sz="4" w:space="0" w:color="auto"/>
              <w:bottom w:val="single" w:sz="4" w:space="0" w:color="auto"/>
              <w:right w:val="single" w:sz="4" w:space="0" w:color="auto"/>
            </w:tcBorders>
            <w:vAlign w:val="center"/>
            <w:hideMark/>
          </w:tcPr>
          <w:p w14:paraId="4F6E04E2" w14:textId="77777777" w:rsidR="001421C4" w:rsidRPr="001421C4" w:rsidRDefault="001421C4">
            <w:pPr>
              <w:rPr>
                <w:rFonts w:ascii="Cambria" w:hAnsi="Cambria"/>
                <w:sz w:val="22"/>
                <w:szCs w:val="22"/>
              </w:rPr>
            </w:pPr>
          </w:p>
        </w:tc>
        <w:tc>
          <w:tcPr>
            <w:tcW w:w="301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ABE35FB" w14:textId="77777777" w:rsidR="001421C4" w:rsidRPr="001421C4" w:rsidRDefault="001421C4">
            <w:pPr>
              <w:rPr>
                <w:rFonts w:ascii="Cambria" w:hAnsi="Cambria"/>
                <w:sz w:val="22"/>
                <w:szCs w:val="22"/>
              </w:rPr>
            </w:pPr>
            <w:proofErr w:type="spellStart"/>
            <w:r w:rsidRPr="001421C4">
              <w:rPr>
                <w:rFonts w:ascii="Cambria" w:hAnsi="Cambria"/>
                <w:sz w:val="22"/>
                <w:szCs w:val="22"/>
              </w:rPr>
              <w:t>osvrt</w:t>
            </w:r>
            <w:proofErr w:type="spellEnd"/>
            <w:r w:rsidRPr="001421C4">
              <w:rPr>
                <w:rFonts w:ascii="Cambria" w:hAnsi="Cambria"/>
                <w:sz w:val="22"/>
                <w:szCs w:val="22"/>
              </w:rPr>
              <w:t xml:space="preserve"> s </w:t>
            </w:r>
            <w:proofErr w:type="spellStart"/>
            <w:r w:rsidRPr="001421C4">
              <w:rPr>
                <w:rFonts w:ascii="Cambria" w:hAnsi="Cambria"/>
                <w:sz w:val="22"/>
                <w:szCs w:val="22"/>
              </w:rPr>
              <w:t>vokalnog</w:t>
            </w:r>
            <w:proofErr w:type="spellEnd"/>
            <w:r w:rsidRPr="001421C4">
              <w:rPr>
                <w:rFonts w:ascii="Cambria" w:hAnsi="Cambria"/>
                <w:sz w:val="22"/>
                <w:szCs w:val="22"/>
              </w:rPr>
              <w:t xml:space="preserve"> </w:t>
            </w:r>
            <w:proofErr w:type="spellStart"/>
            <w:r w:rsidRPr="001421C4">
              <w:rPr>
                <w:rFonts w:ascii="Cambria" w:hAnsi="Cambria"/>
                <w:sz w:val="22"/>
                <w:szCs w:val="22"/>
              </w:rPr>
              <w:t>koncerta</w:t>
            </w:r>
            <w:proofErr w:type="spellEnd"/>
          </w:p>
        </w:tc>
        <w:tc>
          <w:tcPr>
            <w:tcW w:w="9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E29BCE4" w14:textId="77777777" w:rsidR="001421C4" w:rsidRPr="001421C4" w:rsidRDefault="001421C4">
            <w:pPr>
              <w:rPr>
                <w:rFonts w:ascii="Cambria" w:hAnsi="Cambria"/>
                <w:sz w:val="22"/>
                <w:szCs w:val="22"/>
              </w:rPr>
            </w:pPr>
            <w:r w:rsidRPr="001421C4">
              <w:rPr>
                <w:rFonts w:ascii="Cambria" w:hAnsi="Cambria"/>
                <w:sz w:val="22"/>
                <w:szCs w:val="22"/>
              </w:rPr>
              <w:t>1.-5.</w:t>
            </w:r>
          </w:p>
        </w:tc>
        <w:tc>
          <w:tcPr>
            <w:tcW w:w="750"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2406773" w14:textId="77777777" w:rsidR="001421C4" w:rsidRPr="001421C4" w:rsidRDefault="001421C4">
            <w:pPr>
              <w:rPr>
                <w:rFonts w:ascii="Cambria" w:hAnsi="Cambria"/>
                <w:sz w:val="22"/>
                <w:szCs w:val="22"/>
              </w:rPr>
            </w:pPr>
            <w:r w:rsidRPr="001421C4">
              <w:rPr>
                <w:rFonts w:ascii="Cambria" w:hAnsi="Cambria"/>
                <w:sz w:val="22"/>
                <w:szCs w:val="22"/>
              </w:rPr>
              <w:t>9</w:t>
            </w:r>
          </w:p>
        </w:tc>
        <w:tc>
          <w:tcPr>
            <w:tcW w:w="8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BCD5A8E" w14:textId="77777777" w:rsidR="001421C4" w:rsidRPr="001421C4" w:rsidRDefault="001421C4">
            <w:pPr>
              <w:rPr>
                <w:rFonts w:ascii="Cambria" w:hAnsi="Cambria"/>
                <w:sz w:val="22"/>
                <w:szCs w:val="22"/>
              </w:rPr>
            </w:pPr>
            <w:r w:rsidRPr="001421C4">
              <w:rPr>
                <w:rFonts w:ascii="Cambria" w:hAnsi="Cambria"/>
                <w:sz w:val="22"/>
                <w:szCs w:val="22"/>
              </w:rPr>
              <w:t>0,3</w:t>
            </w:r>
          </w:p>
        </w:tc>
        <w:tc>
          <w:tcPr>
            <w:tcW w:w="219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017C0C5" w14:textId="77777777" w:rsidR="001421C4" w:rsidRPr="001421C4" w:rsidRDefault="001421C4">
            <w:pPr>
              <w:rPr>
                <w:rFonts w:ascii="Cambria" w:hAnsi="Cambria"/>
                <w:sz w:val="22"/>
                <w:szCs w:val="22"/>
              </w:rPr>
            </w:pPr>
            <w:r w:rsidRPr="001421C4">
              <w:rPr>
                <w:rFonts w:ascii="Cambria" w:hAnsi="Cambria"/>
                <w:sz w:val="22"/>
                <w:szCs w:val="22"/>
              </w:rPr>
              <w:t xml:space="preserve">  10 %</w:t>
            </w:r>
          </w:p>
        </w:tc>
      </w:tr>
      <w:tr w:rsidR="001421C4" w:rsidRPr="001421C4" w14:paraId="48F43051" w14:textId="77777777" w:rsidTr="001421C4">
        <w:tc>
          <w:tcPr>
            <w:tcW w:w="2460" w:type="dxa"/>
            <w:vMerge/>
            <w:tcBorders>
              <w:top w:val="single" w:sz="4" w:space="0" w:color="auto"/>
              <w:left w:val="single" w:sz="4" w:space="0" w:color="auto"/>
              <w:bottom w:val="single" w:sz="4" w:space="0" w:color="auto"/>
              <w:right w:val="single" w:sz="4" w:space="0" w:color="auto"/>
            </w:tcBorders>
            <w:vAlign w:val="center"/>
            <w:hideMark/>
          </w:tcPr>
          <w:p w14:paraId="4C7707AE" w14:textId="77777777" w:rsidR="001421C4" w:rsidRPr="001421C4" w:rsidRDefault="001421C4">
            <w:pPr>
              <w:rPr>
                <w:rFonts w:ascii="Cambria" w:hAnsi="Cambria"/>
                <w:sz w:val="22"/>
                <w:szCs w:val="22"/>
              </w:rPr>
            </w:pPr>
          </w:p>
        </w:tc>
        <w:tc>
          <w:tcPr>
            <w:tcW w:w="301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D6E823E" w14:textId="77777777" w:rsidR="001421C4" w:rsidRPr="001421C4" w:rsidRDefault="001421C4">
            <w:pPr>
              <w:rPr>
                <w:rFonts w:ascii="Cambria" w:hAnsi="Cambria"/>
                <w:sz w:val="22"/>
                <w:szCs w:val="22"/>
              </w:rPr>
            </w:pPr>
            <w:proofErr w:type="spellStart"/>
            <w:r w:rsidRPr="001421C4">
              <w:rPr>
                <w:rFonts w:ascii="Cambria" w:hAnsi="Cambria"/>
                <w:sz w:val="22"/>
                <w:szCs w:val="22"/>
              </w:rPr>
              <w:t>odlazak</w:t>
            </w:r>
            <w:proofErr w:type="spellEnd"/>
            <w:r w:rsidRPr="001421C4">
              <w:rPr>
                <w:rFonts w:ascii="Cambria" w:hAnsi="Cambria"/>
                <w:sz w:val="22"/>
                <w:szCs w:val="22"/>
              </w:rPr>
              <w:t xml:space="preserve"> </w:t>
            </w:r>
            <w:proofErr w:type="spellStart"/>
            <w:r w:rsidRPr="001421C4">
              <w:rPr>
                <w:rFonts w:ascii="Cambria" w:hAnsi="Cambria"/>
                <w:sz w:val="22"/>
                <w:szCs w:val="22"/>
              </w:rPr>
              <w:t>na</w:t>
            </w:r>
            <w:proofErr w:type="spellEnd"/>
            <w:r w:rsidRPr="001421C4">
              <w:rPr>
                <w:rFonts w:ascii="Cambria" w:hAnsi="Cambria"/>
                <w:sz w:val="22"/>
                <w:szCs w:val="22"/>
              </w:rPr>
              <w:t xml:space="preserve"> </w:t>
            </w:r>
            <w:proofErr w:type="spellStart"/>
            <w:r w:rsidRPr="001421C4">
              <w:rPr>
                <w:rFonts w:ascii="Cambria" w:hAnsi="Cambria"/>
                <w:sz w:val="22"/>
                <w:szCs w:val="22"/>
              </w:rPr>
              <w:t>koncert</w:t>
            </w:r>
            <w:proofErr w:type="spellEnd"/>
          </w:p>
        </w:tc>
        <w:tc>
          <w:tcPr>
            <w:tcW w:w="9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3874ACE" w14:textId="77777777" w:rsidR="001421C4" w:rsidRPr="001421C4" w:rsidRDefault="001421C4">
            <w:pPr>
              <w:rPr>
                <w:rFonts w:ascii="Cambria" w:hAnsi="Cambria"/>
                <w:sz w:val="22"/>
                <w:szCs w:val="22"/>
              </w:rPr>
            </w:pPr>
            <w:r w:rsidRPr="001421C4">
              <w:rPr>
                <w:rFonts w:ascii="Cambria" w:hAnsi="Cambria"/>
                <w:sz w:val="22"/>
                <w:szCs w:val="22"/>
              </w:rPr>
              <w:t>1.-5.</w:t>
            </w:r>
          </w:p>
        </w:tc>
        <w:tc>
          <w:tcPr>
            <w:tcW w:w="750"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84DA936" w14:textId="77777777" w:rsidR="001421C4" w:rsidRPr="001421C4" w:rsidRDefault="001421C4">
            <w:pPr>
              <w:rPr>
                <w:rFonts w:ascii="Cambria" w:hAnsi="Cambria"/>
                <w:sz w:val="22"/>
                <w:szCs w:val="22"/>
              </w:rPr>
            </w:pPr>
            <w:r w:rsidRPr="001421C4">
              <w:rPr>
                <w:rFonts w:ascii="Cambria" w:hAnsi="Cambria"/>
                <w:sz w:val="22"/>
                <w:szCs w:val="22"/>
              </w:rPr>
              <w:t>3</w:t>
            </w:r>
          </w:p>
        </w:tc>
        <w:tc>
          <w:tcPr>
            <w:tcW w:w="8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661576E" w14:textId="77777777" w:rsidR="001421C4" w:rsidRPr="001421C4" w:rsidRDefault="001421C4">
            <w:pPr>
              <w:rPr>
                <w:rFonts w:ascii="Cambria" w:hAnsi="Cambria"/>
                <w:sz w:val="22"/>
                <w:szCs w:val="22"/>
              </w:rPr>
            </w:pPr>
            <w:r w:rsidRPr="001421C4">
              <w:rPr>
                <w:rFonts w:ascii="Cambria" w:hAnsi="Cambria"/>
                <w:sz w:val="22"/>
                <w:szCs w:val="22"/>
              </w:rPr>
              <w:t>0,1</w:t>
            </w:r>
          </w:p>
        </w:tc>
        <w:tc>
          <w:tcPr>
            <w:tcW w:w="219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F63F67E" w14:textId="77777777" w:rsidR="001421C4" w:rsidRPr="001421C4" w:rsidRDefault="001421C4">
            <w:pPr>
              <w:rPr>
                <w:rFonts w:ascii="Cambria" w:hAnsi="Cambria"/>
                <w:sz w:val="22"/>
                <w:szCs w:val="22"/>
              </w:rPr>
            </w:pPr>
            <w:r w:rsidRPr="001421C4">
              <w:rPr>
                <w:rFonts w:ascii="Cambria" w:hAnsi="Cambria"/>
                <w:sz w:val="22"/>
                <w:szCs w:val="22"/>
              </w:rPr>
              <w:t xml:space="preserve">    0 %</w:t>
            </w:r>
          </w:p>
        </w:tc>
      </w:tr>
      <w:tr w:rsidR="001421C4" w:rsidRPr="001421C4" w14:paraId="74EE45DA" w14:textId="77777777" w:rsidTr="001421C4">
        <w:tc>
          <w:tcPr>
            <w:tcW w:w="2460" w:type="dxa"/>
            <w:vMerge/>
            <w:tcBorders>
              <w:top w:val="single" w:sz="4" w:space="0" w:color="auto"/>
              <w:left w:val="single" w:sz="4" w:space="0" w:color="auto"/>
              <w:bottom w:val="single" w:sz="4" w:space="0" w:color="auto"/>
              <w:right w:val="single" w:sz="4" w:space="0" w:color="auto"/>
            </w:tcBorders>
            <w:vAlign w:val="center"/>
            <w:hideMark/>
          </w:tcPr>
          <w:p w14:paraId="5AEE6685" w14:textId="77777777" w:rsidR="001421C4" w:rsidRPr="001421C4" w:rsidRDefault="001421C4">
            <w:pPr>
              <w:rPr>
                <w:rFonts w:ascii="Cambria" w:hAnsi="Cambria"/>
                <w:sz w:val="22"/>
                <w:szCs w:val="22"/>
              </w:rPr>
            </w:pPr>
          </w:p>
        </w:tc>
        <w:tc>
          <w:tcPr>
            <w:tcW w:w="301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6DFE705" w14:textId="77777777" w:rsidR="001421C4" w:rsidRPr="001421C4" w:rsidRDefault="001421C4">
            <w:pPr>
              <w:rPr>
                <w:rFonts w:ascii="Cambria" w:hAnsi="Cambria"/>
                <w:sz w:val="22"/>
                <w:szCs w:val="22"/>
              </w:rPr>
            </w:pPr>
            <w:proofErr w:type="spellStart"/>
            <w:r w:rsidRPr="001421C4">
              <w:rPr>
                <w:rFonts w:ascii="Cambria" w:hAnsi="Cambria"/>
                <w:sz w:val="22"/>
                <w:szCs w:val="22"/>
              </w:rPr>
              <w:t>ispit</w:t>
            </w:r>
            <w:proofErr w:type="spellEnd"/>
            <w:r w:rsidRPr="001421C4">
              <w:rPr>
                <w:rFonts w:ascii="Cambria" w:hAnsi="Cambria"/>
                <w:sz w:val="22"/>
                <w:szCs w:val="22"/>
              </w:rPr>
              <w:t xml:space="preserve"> (</w:t>
            </w:r>
            <w:proofErr w:type="spellStart"/>
            <w:r w:rsidRPr="001421C4">
              <w:rPr>
                <w:rFonts w:ascii="Cambria" w:hAnsi="Cambria"/>
                <w:sz w:val="22"/>
                <w:szCs w:val="22"/>
              </w:rPr>
              <w:t>pismeni</w:t>
            </w:r>
            <w:proofErr w:type="spellEnd"/>
            <w:r w:rsidRPr="001421C4">
              <w:rPr>
                <w:rFonts w:ascii="Cambria" w:hAnsi="Cambria"/>
                <w:sz w:val="22"/>
                <w:szCs w:val="22"/>
              </w:rPr>
              <w:t>)</w:t>
            </w:r>
          </w:p>
        </w:tc>
        <w:tc>
          <w:tcPr>
            <w:tcW w:w="9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6AE511B" w14:textId="77777777" w:rsidR="001421C4" w:rsidRPr="001421C4" w:rsidRDefault="001421C4">
            <w:pPr>
              <w:rPr>
                <w:rFonts w:ascii="Cambria" w:hAnsi="Cambria"/>
                <w:sz w:val="22"/>
                <w:szCs w:val="22"/>
              </w:rPr>
            </w:pPr>
            <w:r w:rsidRPr="001421C4">
              <w:rPr>
                <w:rFonts w:ascii="Cambria" w:hAnsi="Cambria"/>
                <w:sz w:val="22"/>
                <w:szCs w:val="22"/>
              </w:rPr>
              <w:t>1.-5.</w:t>
            </w:r>
          </w:p>
        </w:tc>
        <w:tc>
          <w:tcPr>
            <w:tcW w:w="750"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86A4BAD" w14:textId="77777777" w:rsidR="001421C4" w:rsidRPr="001421C4" w:rsidRDefault="001421C4">
            <w:pPr>
              <w:rPr>
                <w:rFonts w:ascii="Cambria" w:hAnsi="Cambria"/>
                <w:sz w:val="22"/>
                <w:szCs w:val="22"/>
              </w:rPr>
            </w:pPr>
            <w:r w:rsidRPr="001421C4">
              <w:rPr>
                <w:rFonts w:ascii="Cambria" w:hAnsi="Cambria"/>
                <w:sz w:val="22"/>
                <w:szCs w:val="22"/>
              </w:rPr>
              <w:t>24</w:t>
            </w:r>
          </w:p>
        </w:tc>
        <w:tc>
          <w:tcPr>
            <w:tcW w:w="8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0E62802" w14:textId="77777777" w:rsidR="001421C4" w:rsidRPr="001421C4" w:rsidRDefault="001421C4">
            <w:pPr>
              <w:rPr>
                <w:rFonts w:ascii="Cambria" w:hAnsi="Cambria"/>
                <w:sz w:val="22"/>
                <w:szCs w:val="22"/>
              </w:rPr>
            </w:pPr>
            <w:r w:rsidRPr="001421C4">
              <w:rPr>
                <w:rFonts w:ascii="Cambria" w:hAnsi="Cambria"/>
                <w:sz w:val="22"/>
                <w:szCs w:val="22"/>
              </w:rPr>
              <w:t>0,8</w:t>
            </w:r>
          </w:p>
        </w:tc>
        <w:tc>
          <w:tcPr>
            <w:tcW w:w="219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8998774" w14:textId="77777777" w:rsidR="001421C4" w:rsidRPr="001421C4" w:rsidRDefault="001421C4">
            <w:pPr>
              <w:rPr>
                <w:rFonts w:ascii="Cambria" w:hAnsi="Cambria"/>
                <w:sz w:val="22"/>
                <w:szCs w:val="22"/>
              </w:rPr>
            </w:pPr>
            <w:r w:rsidRPr="001421C4">
              <w:rPr>
                <w:rFonts w:ascii="Cambria" w:hAnsi="Cambria"/>
                <w:sz w:val="22"/>
                <w:szCs w:val="22"/>
              </w:rPr>
              <w:t xml:space="preserve">  30 %</w:t>
            </w:r>
          </w:p>
        </w:tc>
      </w:tr>
      <w:tr w:rsidR="001421C4" w:rsidRPr="001421C4" w14:paraId="572735E7" w14:textId="77777777" w:rsidTr="001421C4">
        <w:tc>
          <w:tcPr>
            <w:tcW w:w="2460" w:type="dxa"/>
            <w:vMerge/>
            <w:tcBorders>
              <w:top w:val="single" w:sz="4" w:space="0" w:color="auto"/>
              <w:left w:val="single" w:sz="4" w:space="0" w:color="auto"/>
              <w:bottom w:val="single" w:sz="4" w:space="0" w:color="auto"/>
              <w:right w:val="single" w:sz="4" w:space="0" w:color="auto"/>
            </w:tcBorders>
            <w:vAlign w:val="center"/>
            <w:hideMark/>
          </w:tcPr>
          <w:p w14:paraId="73FABECB" w14:textId="77777777" w:rsidR="001421C4" w:rsidRPr="001421C4" w:rsidRDefault="001421C4">
            <w:pPr>
              <w:rPr>
                <w:rFonts w:ascii="Cambria" w:hAnsi="Cambria"/>
                <w:sz w:val="22"/>
                <w:szCs w:val="22"/>
              </w:rPr>
            </w:pPr>
          </w:p>
        </w:tc>
        <w:tc>
          <w:tcPr>
            <w:tcW w:w="3990"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57662A9" w14:textId="77777777" w:rsidR="001421C4" w:rsidRPr="001421C4" w:rsidRDefault="001421C4">
            <w:pPr>
              <w:rPr>
                <w:rFonts w:ascii="Cambria" w:hAnsi="Cambria"/>
                <w:sz w:val="22"/>
                <w:szCs w:val="22"/>
              </w:rPr>
            </w:pPr>
            <w:proofErr w:type="spellStart"/>
            <w:r w:rsidRPr="001421C4">
              <w:rPr>
                <w:rFonts w:ascii="Cambria" w:hAnsi="Cambria"/>
                <w:sz w:val="22"/>
                <w:szCs w:val="22"/>
              </w:rPr>
              <w:t>ukupno</w:t>
            </w:r>
            <w:proofErr w:type="spellEnd"/>
          </w:p>
        </w:tc>
        <w:tc>
          <w:tcPr>
            <w:tcW w:w="750"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9B3E368" w14:textId="77777777" w:rsidR="001421C4" w:rsidRPr="001421C4" w:rsidRDefault="001421C4">
            <w:pPr>
              <w:rPr>
                <w:rFonts w:ascii="Cambria" w:hAnsi="Cambria"/>
                <w:sz w:val="22"/>
                <w:szCs w:val="22"/>
              </w:rPr>
            </w:pPr>
            <w:r w:rsidRPr="001421C4">
              <w:rPr>
                <w:rFonts w:ascii="Cambria" w:hAnsi="Cambria"/>
                <w:sz w:val="22"/>
                <w:szCs w:val="22"/>
              </w:rPr>
              <w:t>90</w:t>
            </w:r>
          </w:p>
        </w:tc>
        <w:tc>
          <w:tcPr>
            <w:tcW w:w="8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527E9EA" w14:textId="77777777" w:rsidR="001421C4" w:rsidRPr="001421C4" w:rsidRDefault="001421C4">
            <w:pPr>
              <w:rPr>
                <w:rFonts w:ascii="Cambria" w:hAnsi="Cambria"/>
                <w:sz w:val="22"/>
                <w:szCs w:val="22"/>
              </w:rPr>
            </w:pPr>
            <w:r w:rsidRPr="001421C4">
              <w:rPr>
                <w:rFonts w:ascii="Cambria" w:hAnsi="Cambria"/>
                <w:sz w:val="22"/>
                <w:szCs w:val="22"/>
              </w:rPr>
              <w:t>3</w:t>
            </w:r>
          </w:p>
        </w:tc>
        <w:tc>
          <w:tcPr>
            <w:tcW w:w="219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745ADBE" w14:textId="77777777" w:rsidR="001421C4" w:rsidRPr="001421C4" w:rsidRDefault="001421C4">
            <w:pPr>
              <w:rPr>
                <w:rFonts w:ascii="Cambria" w:hAnsi="Cambria"/>
                <w:sz w:val="22"/>
                <w:szCs w:val="22"/>
              </w:rPr>
            </w:pPr>
            <w:r w:rsidRPr="001421C4">
              <w:rPr>
                <w:rFonts w:ascii="Cambria" w:hAnsi="Cambria"/>
                <w:sz w:val="22"/>
                <w:szCs w:val="22"/>
              </w:rPr>
              <w:t>100 %</w:t>
            </w:r>
          </w:p>
        </w:tc>
      </w:tr>
      <w:tr w:rsidR="001421C4" w:rsidRPr="00D0399C" w14:paraId="7D9670C9" w14:textId="77777777" w:rsidTr="001421C4">
        <w:tc>
          <w:tcPr>
            <w:tcW w:w="2460" w:type="dxa"/>
            <w:vMerge/>
            <w:tcBorders>
              <w:top w:val="single" w:sz="4" w:space="0" w:color="auto"/>
              <w:left w:val="single" w:sz="4" w:space="0" w:color="auto"/>
              <w:bottom w:val="single" w:sz="4" w:space="0" w:color="auto"/>
              <w:right w:val="single" w:sz="4" w:space="0" w:color="auto"/>
            </w:tcBorders>
            <w:vAlign w:val="center"/>
            <w:hideMark/>
          </w:tcPr>
          <w:p w14:paraId="164BBDA1" w14:textId="77777777" w:rsidR="001421C4" w:rsidRPr="001421C4" w:rsidRDefault="001421C4">
            <w:pPr>
              <w:rPr>
                <w:rFonts w:ascii="Cambria" w:hAnsi="Cambria"/>
                <w:sz w:val="22"/>
                <w:szCs w:val="22"/>
              </w:rPr>
            </w:pPr>
          </w:p>
        </w:tc>
        <w:tc>
          <w:tcPr>
            <w:tcW w:w="7741"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2B693BD" w14:textId="77777777" w:rsidR="001421C4" w:rsidRPr="001421C4" w:rsidRDefault="001421C4">
            <w:pPr>
              <w:rPr>
                <w:rFonts w:ascii="Cambria" w:hAnsi="Cambria"/>
                <w:sz w:val="22"/>
                <w:szCs w:val="22"/>
              </w:rPr>
            </w:pPr>
            <w:proofErr w:type="spellStart"/>
            <w:r w:rsidRPr="001421C4">
              <w:rPr>
                <w:rFonts w:ascii="Cambria" w:hAnsi="Cambria"/>
                <w:sz w:val="22"/>
                <w:szCs w:val="22"/>
              </w:rPr>
              <w:t>Dodatna</w:t>
            </w:r>
            <w:proofErr w:type="spellEnd"/>
            <w:r w:rsidRPr="001421C4">
              <w:rPr>
                <w:rFonts w:ascii="Cambria" w:hAnsi="Cambria"/>
                <w:sz w:val="22"/>
                <w:szCs w:val="22"/>
              </w:rPr>
              <w:t xml:space="preserve"> </w:t>
            </w:r>
            <w:proofErr w:type="spellStart"/>
            <w:r w:rsidRPr="001421C4">
              <w:rPr>
                <w:rFonts w:ascii="Cambria" w:hAnsi="Cambria"/>
                <w:sz w:val="22"/>
                <w:szCs w:val="22"/>
              </w:rPr>
              <w:t>pojašnjenja</w:t>
            </w:r>
            <w:proofErr w:type="spellEnd"/>
            <w:r w:rsidRPr="001421C4">
              <w:rPr>
                <w:rFonts w:ascii="Cambria" w:hAnsi="Cambria"/>
                <w:sz w:val="22"/>
                <w:szCs w:val="22"/>
              </w:rPr>
              <w:t xml:space="preserve"> (</w:t>
            </w:r>
            <w:proofErr w:type="spellStart"/>
            <w:r w:rsidRPr="001421C4">
              <w:rPr>
                <w:rFonts w:ascii="Cambria" w:hAnsi="Cambria"/>
                <w:sz w:val="22"/>
                <w:szCs w:val="22"/>
              </w:rPr>
              <w:t>kriteriji</w:t>
            </w:r>
            <w:proofErr w:type="spellEnd"/>
            <w:r w:rsidRPr="001421C4">
              <w:rPr>
                <w:rFonts w:ascii="Cambria" w:hAnsi="Cambria"/>
                <w:sz w:val="22"/>
                <w:szCs w:val="22"/>
              </w:rPr>
              <w:t xml:space="preserve"> </w:t>
            </w:r>
            <w:proofErr w:type="spellStart"/>
            <w:r w:rsidRPr="001421C4">
              <w:rPr>
                <w:rFonts w:ascii="Cambria" w:hAnsi="Cambria"/>
                <w:sz w:val="22"/>
                <w:szCs w:val="22"/>
              </w:rPr>
              <w:t>ocjenjivanja</w:t>
            </w:r>
            <w:proofErr w:type="spellEnd"/>
            <w:r w:rsidRPr="001421C4">
              <w:rPr>
                <w:rFonts w:ascii="Cambria" w:hAnsi="Cambria"/>
                <w:sz w:val="22"/>
                <w:szCs w:val="22"/>
              </w:rPr>
              <w:t>):</w:t>
            </w:r>
          </w:p>
          <w:p w14:paraId="614EBA16" w14:textId="77777777" w:rsidR="001421C4" w:rsidRPr="001421C4" w:rsidRDefault="001421C4">
            <w:pPr>
              <w:rPr>
                <w:rFonts w:ascii="Cambria" w:hAnsi="Cambria"/>
                <w:sz w:val="22"/>
                <w:szCs w:val="22"/>
                <w:lang w:val="it-IT"/>
              </w:rPr>
            </w:pPr>
            <w:proofErr w:type="spellStart"/>
            <w:r w:rsidRPr="001421C4">
              <w:rPr>
                <w:rFonts w:ascii="Cambria" w:hAnsi="Cambria"/>
                <w:sz w:val="22"/>
                <w:szCs w:val="22"/>
              </w:rPr>
              <w:t>Pohađanje</w:t>
            </w:r>
            <w:proofErr w:type="spellEnd"/>
            <w:r w:rsidRPr="001421C4">
              <w:rPr>
                <w:rFonts w:ascii="Cambria" w:hAnsi="Cambria"/>
                <w:sz w:val="22"/>
                <w:szCs w:val="22"/>
              </w:rPr>
              <w:t xml:space="preserve"> je </w:t>
            </w:r>
            <w:proofErr w:type="spellStart"/>
            <w:r w:rsidRPr="001421C4">
              <w:rPr>
                <w:rFonts w:ascii="Cambria" w:hAnsi="Cambria"/>
                <w:sz w:val="22"/>
                <w:szCs w:val="22"/>
              </w:rPr>
              <w:t>nastave</w:t>
            </w:r>
            <w:proofErr w:type="spellEnd"/>
            <w:r w:rsidRPr="001421C4">
              <w:rPr>
                <w:rFonts w:ascii="Cambria" w:hAnsi="Cambria"/>
                <w:sz w:val="22"/>
                <w:szCs w:val="22"/>
              </w:rPr>
              <w:t xml:space="preserve"> </w:t>
            </w:r>
            <w:proofErr w:type="spellStart"/>
            <w:r w:rsidRPr="001421C4">
              <w:rPr>
                <w:rFonts w:ascii="Cambria" w:hAnsi="Cambria"/>
                <w:sz w:val="22"/>
                <w:szCs w:val="22"/>
              </w:rPr>
              <w:t>obvezno</w:t>
            </w:r>
            <w:proofErr w:type="spellEnd"/>
            <w:r w:rsidRPr="001421C4">
              <w:rPr>
                <w:rFonts w:ascii="Cambria" w:hAnsi="Cambria"/>
                <w:sz w:val="22"/>
                <w:szCs w:val="22"/>
              </w:rPr>
              <w:t xml:space="preserve">. </w:t>
            </w:r>
            <w:proofErr w:type="spellStart"/>
            <w:r w:rsidRPr="001421C4">
              <w:rPr>
                <w:rFonts w:ascii="Cambria" w:hAnsi="Cambria"/>
                <w:sz w:val="22"/>
                <w:szCs w:val="22"/>
                <w:lang w:val="it-IT"/>
              </w:rPr>
              <w:t>Tolerira</w:t>
            </w:r>
            <w:proofErr w:type="spellEnd"/>
            <w:r w:rsidRPr="001421C4">
              <w:rPr>
                <w:rFonts w:ascii="Cambria" w:hAnsi="Cambria"/>
                <w:sz w:val="22"/>
                <w:szCs w:val="22"/>
                <w:lang w:val="it-IT"/>
              </w:rPr>
              <w:t xml:space="preserve"> se 30 % </w:t>
            </w:r>
            <w:proofErr w:type="spellStart"/>
            <w:r w:rsidRPr="001421C4">
              <w:rPr>
                <w:rFonts w:ascii="Cambria" w:hAnsi="Cambria"/>
                <w:sz w:val="22"/>
                <w:szCs w:val="22"/>
                <w:lang w:val="it-IT"/>
              </w:rPr>
              <w:t>izostanaka</w:t>
            </w:r>
            <w:proofErr w:type="spellEnd"/>
            <w:r w:rsidRPr="001421C4">
              <w:rPr>
                <w:rFonts w:ascii="Cambria" w:hAnsi="Cambria"/>
                <w:sz w:val="22"/>
                <w:szCs w:val="22"/>
                <w:lang w:val="it-IT"/>
              </w:rPr>
              <w:t xml:space="preserve"> </w:t>
            </w:r>
            <w:proofErr w:type="spellStart"/>
            <w:r w:rsidRPr="001421C4">
              <w:rPr>
                <w:rFonts w:ascii="Cambria" w:hAnsi="Cambria"/>
                <w:sz w:val="22"/>
                <w:szCs w:val="22"/>
                <w:lang w:val="it-IT"/>
              </w:rPr>
              <w:t>koje</w:t>
            </w:r>
            <w:proofErr w:type="spellEnd"/>
            <w:r w:rsidRPr="001421C4">
              <w:rPr>
                <w:rFonts w:ascii="Cambria" w:hAnsi="Cambria"/>
                <w:sz w:val="22"/>
                <w:szCs w:val="22"/>
                <w:lang w:val="it-IT"/>
              </w:rPr>
              <w:t xml:space="preserve"> </w:t>
            </w:r>
            <w:proofErr w:type="spellStart"/>
            <w:r w:rsidRPr="001421C4">
              <w:rPr>
                <w:rFonts w:ascii="Cambria" w:hAnsi="Cambria"/>
                <w:sz w:val="22"/>
                <w:szCs w:val="22"/>
                <w:lang w:val="it-IT"/>
              </w:rPr>
              <w:t>nije</w:t>
            </w:r>
            <w:proofErr w:type="spellEnd"/>
            <w:r w:rsidRPr="001421C4">
              <w:rPr>
                <w:rFonts w:ascii="Cambria" w:hAnsi="Cambria"/>
                <w:sz w:val="22"/>
                <w:szCs w:val="22"/>
                <w:lang w:val="it-IT"/>
              </w:rPr>
              <w:t xml:space="preserve"> </w:t>
            </w:r>
            <w:proofErr w:type="spellStart"/>
            <w:r w:rsidRPr="001421C4">
              <w:rPr>
                <w:rFonts w:ascii="Cambria" w:hAnsi="Cambria"/>
                <w:sz w:val="22"/>
                <w:szCs w:val="22"/>
                <w:lang w:val="it-IT"/>
              </w:rPr>
              <w:t>potrebno</w:t>
            </w:r>
            <w:proofErr w:type="spellEnd"/>
            <w:r w:rsidRPr="001421C4">
              <w:rPr>
                <w:rFonts w:ascii="Cambria" w:hAnsi="Cambria"/>
                <w:sz w:val="22"/>
                <w:szCs w:val="22"/>
                <w:lang w:val="it-IT"/>
              </w:rPr>
              <w:t xml:space="preserve"> </w:t>
            </w:r>
            <w:proofErr w:type="spellStart"/>
            <w:r w:rsidRPr="001421C4">
              <w:rPr>
                <w:rFonts w:ascii="Cambria" w:hAnsi="Cambria"/>
                <w:sz w:val="22"/>
                <w:szCs w:val="22"/>
                <w:lang w:val="it-IT"/>
              </w:rPr>
              <w:t>opravdati</w:t>
            </w:r>
            <w:proofErr w:type="spellEnd"/>
            <w:r w:rsidRPr="001421C4">
              <w:rPr>
                <w:rFonts w:ascii="Cambria" w:hAnsi="Cambria"/>
                <w:sz w:val="22"/>
                <w:szCs w:val="22"/>
                <w:lang w:val="it-IT"/>
              </w:rPr>
              <w:t>.</w:t>
            </w:r>
          </w:p>
          <w:p w14:paraId="2445C4B9" w14:textId="77777777" w:rsidR="001421C4" w:rsidRPr="001421C4" w:rsidRDefault="001421C4">
            <w:pPr>
              <w:rPr>
                <w:rFonts w:ascii="Cambria" w:hAnsi="Cambria"/>
                <w:sz w:val="22"/>
                <w:szCs w:val="22"/>
                <w:lang w:val="it-IT"/>
              </w:rPr>
            </w:pPr>
            <w:proofErr w:type="spellStart"/>
            <w:r w:rsidRPr="001421C4">
              <w:rPr>
                <w:rFonts w:ascii="Cambria" w:hAnsi="Cambria"/>
                <w:sz w:val="22"/>
                <w:szCs w:val="22"/>
                <w:lang w:val="it-IT"/>
              </w:rPr>
              <w:t>Pohađanje</w:t>
            </w:r>
            <w:proofErr w:type="spellEnd"/>
            <w:r w:rsidRPr="001421C4">
              <w:rPr>
                <w:rFonts w:ascii="Cambria" w:hAnsi="Cambria"/>
                <w:sz w:val="22"/>
                <w:szCs w:val="22"/>
                <w:lang w:val="it-IT"/>
              </w:rPr>
              <w:t xml:space="preserve"> </w:t>
            </w:r>
            <w:proofErr w:type="spellStart"/>
            <w:r w:rsidRPr="001421C4">
              <w:rPr>
                <w:rFonts w:ascii="Cambria" w:hAnsi="Cambria"/>
                <w:sz w:val="22"/>
                <w:szCs w:val="22"/>
                <w:lang w:val="it-IT"/>
              </w:rPr>
              <w:t>nastave</w:t>
            </w:r>
            <w:proofErr w:type="spellEnd"/>
            <w:r w:rsidRPr="001421C4">
              <w:rPr>
                <w:rFonts w:ascii="Cambria" w:hAnsi="Cambria"/>
                <w:sz w:val="22"/>
                <w:szCs w:val="22"/>
                <w:lang w:val="it-IT"/>
              </w:rPr>
              <w:t xml:space="preserve"> </w:t>
            </w:r>
            <w:proofErr w:type="spellStart"/>
            <w:r w:rsidRPr="001421C4">
              <w:rPr>
                <w:rFonts w:ascii="Cambria" w:hAnsi="Cambria"/>
                <w:sz w:val="22"/>
                <w:szCs w:val="22"/>
                <w:lang w:val="it-IT"/>
              </w:rPr>
              <w:t>ocjenjuje</w:t>
            </w:r>
            <w:proofErr w:type="spellEnd"/>
            <w:r w:rsidRPr="001421C4">
              <w:rPr>
                <w:rFonts w:ascii="Cambria" w:hAnsi="Cambria"/>
                <w:sz w:val="22"/>
                <w:szCs w:val="22"/>
                <w:lang w:val="it-IT"/>
              </w:rPr>
              <w:t xml:space="preserve"> se </w:t>
            </w:r>
            <w:proofErr w:type="spellStart"/>
            <w:r w:rsidRPr="001421C4">
              <w:rPr>
                <w:rFonts w:ascii="Cambria" w:hAnsi="Cambria"/>
                <w:sz w:val="22"/>
                <w:szCs w:val="22"/>
                <w:lang w:val="it-IT"/>
              </w:rPr>
              <w:t>na</w:t>
            </w:r>
            <w:proofErr w:type="spellEnd"/>
            <w:r w:rsidRPr="001421C4">
              <w:rPr>
                <w:rFonts w:ascii="Cambria" w:hAnsi="Cambria"/>
                <w:sz w:val="22"/>
                <w:szCs w:val="22"/>
                <w:lang w:val="it-IT"/>
              </w:rPr>
              <w:t xml:space="preserve"> </w:t>
            </w:r>
            <w:proofErr w:type="spellStart"/>
            <w:r w:rsidRPr="001421C4">
              <w:rPr>
                <w:rFonts w:ascii="Cambria" w:hAnsi="Cambria"/>
                <w:sz w:val="22"/>
                <w:szCs w:val="22"/>
                <w:lang w:val="it-IT"/>
              </w:rPr>
              <w:t>sljedeći</w:t>
            </w:r>
            <w:proofErr w:type="spellEnd"/>
            <w:r w:rsidRPr="001421C4">
              <w:rPr>
                <w:rFonts w:ascii="Cambria" w:hAnsi="Cambria"/>
                <w:sz w:val="22"/>
                <w:szCs w:val="22"/>
                <w:lang w:val="it-IT"/>
              </w:rPr>
              <w:t xml:space="preserve"> </w:t>
            </w:r>
            <w:proofErr w:type="spellStart"/>
            <w:r w:rsidRPr="001421C4">
              <w:rPr>
                <w:rFonts w:ascii="Cambria" w:hAnsi="Cambria"/>
                <w:sz w:val="22"/>
                <w:szCs w:val="22"/>
                <w:lang w:val="it-IT"/>
              </w:rPr>
              <w:t>način</w:t>
            </w:r>
            <w:proofErr w:type="spellEnd"/>
            <w:r w:rsidRPr="001421C4">
              <w:rPr>
                <w:rFonts w:ascii="Cambria" w:hAnsi="Cambria"/>
                <w:sz w:val="22"/>
                <w:szCs w:val="22"/>
                <w:lang w:val="it-IT"/>
              </w:rPr>
              <w:t>:</w:t>
            </w:r>
          </w:p>
          <w:p w14:paraId="2398A1CF" w14:textId="77777777" w:rsidR="001421C4" w:rsidRPr="001421C4" w:rsidRDefault="001421C4">
            <w:pPr>
              <w:rPr>
                <w:rFonts w:ascii="Cambria" w:hAnsi="Cambria"/>
                <w:sz w:val="22"/>
                <w:szCs w:val="22"/>
                <w:lang w:val="it-IT"/>
              </w:rPr>
            </w:pPr>
            <w:r w:rsidRPr="001421C4">
              <w:rPr>
                <w:rFonts w:ascii="Cambria" w:hAnsi="Cambria"/>
                <w:sz w:val="22"/>
                <w:szCs w:val="22"/>
                <w:lang w:val="it-IT"/>
              </w:rPr>
              <w:lastRenderedPageBreak/>
              <w:t xml:space="preserve">0 %   = Ne </w:t>
            </w:r>
            <w:proofErr w:type="spellStart"/>
            <w:r w:rsidRPr="001421C4">
              <w:rPr>
                <w:rFonts w:ascii="Cambria" w:hAnsi="Cambria"/>
                <w:sz w:val="22"/>
                <w:szCs w:val="22"/>
                <w:lang w:val="it-IT"/>
              </w:rPr>
              <w:t>dolazi</w:t>
            </w:r>
            <w:proofErr w:type="spellEnd"/>
            <w:r w:rsidRPr="001421C4">
              <w:rPr>
                <w:rFonts w:ascii="Cambria" w:hAnsi="Cambria"/>
                <w:sz w:val="22"/>
                <w:szCs w:val="22"/>
                <w:lang w:val="it-IT"/>
              </w:rPr>
              <w:t xml:space="preserve"> </w:t>
            </w:r>
            <w:proofErr w:type="spellStart"/>
            <w:r w:rsidRPr="001421C4">
              <w:rPr>
                <w:rFonts w:ascii="Cambria" w:hAnsi="Cambria"/>
                <w:sz w:val="22"/>
                <w:szCs w:val="22"/>
                <w:lang w:val="it-IT"/>
              </w:rPr>
              <w:t>na</w:t>
            </w:r>
            <w:proofErr w:type="spellEnd"/>
            <w:r w:rsidRPr="001421C4">
              <w:rPr>
                <w:rFonts w:ascii="Cambria" w:hAnsi="Cambria"/>
                <w:sz w:val="22"/>
                <w:szCs w:val="22"/>
                <w:lang w:val="it-IT"/>
              </w:rPr>
              <w:t xml:space="preserve"> </w:t>
            </w:r>
            <w:proofErr w:type="spellStart"/>
            <w:r w:rsidRPr="001421C4">
              <w:rPr>
                <w:rFonts w:ascii="Cambria" w:hAnsi="Cambria"/>
                <w:sz w:val="22"/>
                <w:szCs w:val="22"/>
                <w:lang w:val="it-IT"/>
              </w:rPr>
              <w:t>predavanja</w:t>
            </w:r>
            <w:proofErr w:type="spellEnd"/>
            <w:r w:rsidRPr="001421C4">
              <w:rPr>
                <w:rFonts w:ascii="Cambria" w:hAnsi="Cambria"/>
                <w:sz w:val="22"/>
                <w:szCs w:val="22"/>
                <w:lang w:val="it-IT"/>
              </w:rPr>
              <w:t xml:space="preserve"> i </w:t>
            </w:r>
            <w:proofErr w:type="spellStart"/>
            <w:r w:rsidRPr="001421C4">
              <w:rPr>
                <w:rFonts w:ascii="Cambria" w:hAnsi="Cambria"/>
                <w:sz w:val="22"/>
                <w:szCs w:val="22"/>
                <w:lang w:val="it-IT"/>
              </w:rPr>
              <w:t>vježbe</w:t>
            </w:r>
            <w:proofErr w:type="spellEnd"/>
            <w:r w:rsidRPr="001421C4">
              <w:rPr>
                <w:rFonts w:ascii="Cambria" w:hAnsi="Cambria"/>
                <w:sz w:val="22"/>
                <w:szCs w:val="22"/>
                <w:lang w:val="it-IT"/>
              </w:rPr>
              <w:t xml:space="preserve"> (</w:t>
            </w:r>
            <w:proofErr w:type="gramStart"/>
            <w:r w:rsidRPr="001421C4">
              <w:rPr>
                <w:rFonts w:ascii="Cambria" w:hAnsi="Cambria"/>
                <w:sz w:val="22"/>
                <w:szCs w:val="22"/>
                <w:lang w:val="it-IT"/>
              </w:rPr>
              <w:t>od</w:t>
            </w:r>
            <w:proofErr w:type="gramEnd"/>
            <w:r w:rsidRPr="001421C4">
              <w:rPr>
                <w:rFonts w:ascii="Cambria" w:hAnsi="Cambria"/>
                <w:sz w:val="22"/>
                <w:szCs w:val="22"/>
                <w:lang w:val="it-IT"/>
              </w:rPr>
              <w:t xml:space="preserve"> 5 </w:t>
            </w:r>
            <w:proofErr w:type="spellStart"/>
            <w:r w:rsidRPr="001421C4">
              <w:rPr>
                <w:rFonts w:ascii="Cambria" w:hAnsi="Cambria"/>
                <w:sz w:val="22"/>
                <w:szCs w:val="22"/>
                <w:lang w:val="it-IT"/>
              </w:rPr>
              <w:t>izostanaka</w:t>
            </w:r>
            <w:proofErr w:type="spellEnd"/>
            <w:r w:rsidRPr="001421C4">
              <w:rPr>
                <w:rFonts w:ascii="Cambria" w:hAnsi="Cambria"/>
                <w:sz w:val="22"/>
                <w:szCs w:val="22"/>
                <w:lang w:val="it-IT"/>
              </w:rPr>
              <w:t xml:space="preserve"> </w:t>
            </w:r>
            <w:proofErr w:type="spellStart"/>
            <w:r w:rsidRPr="001421C4">
              <w:rPr>
                <w:rFonts w:ascii="Cambria" w:hAnsi="Cambria"/>
                <w:sz w:val="22"/>
                <w:szCs w:val="22"/>
                <w:lang w:val="it-IT"/>
              </w:rPr>
              <w:t>nadalje</w:t>
            </w:r>
            <w:proofErr w:type="spellEnd"/>
            <w:r w:rsidRPr="001421C4">
              <w:rPr>
                <w:rFonts w:ascii="Cambria" w:hAnsi="Cambria"/>
                <w:sz w:val="22"/>
                <w:szCs w:val="22"/>
                <w:lang w:val="it-IT"/>
              </w:rPr>
              <w:t>)</w:t>
            </w:r>
          </w:p>
          <w:p w14:paraId="3184494F" w14:textId="77777777" w:rsidR="001421C4" w:rsidRPr="001421C4" w:rsidRDefault="001421C4">
            <w:pPr>
              <w:rPr>
                <w:rFonts w:ascii="Cambria" w:hAnsi="Cambria"/>
                <w:sz w:val="22"/>
                <w:szCs w:val="22"/>
                <w:lang w:val="it-IT"/>
              </w:rPr>
            </w:pPr>
            <w:r w:rsidRPr="001421C4">
              <w:rPr>
                <w:rFonts w:ascii="Cambria" w:hAnsi="Cambria"/>
                <w:sz w:val="22"/>
                <w:szCs w:val="22"/>
                <w:lang w:val="it-IT"/>
              </w:rPr>
              <w:t xml:space="preserve">20 % = </w:t>
            </w:r>
            <w:proofErr w:type="spellStart"/>
            <w:r w:rsidRPr="001421C4">
              <w:rPr>
                <w:rFonts w:ascii="Cambria" w:hAnsi="Cambria"/>
                <w:sz w:val="22"/>
                <w:szCs w:val="22"/>
                <w:lang w:val="it-IT"/>
              </w:rPr>
              <w:t>Dolazi</w:t>
            </w:r>
            <w:proofErr w:type="spellEnd"/>
            <w:r w:rsidRPr="001421C4">
              <w:rPr>
                <w:rFonts w:ascii="Cambria" w:hAnsi="Cambria"/>
                <w:sz w:val="22"/>
                <w:szCs w:val="22"/>
                <w:lang w:val="it-IT"/>
              </w:rPr>
              <w:t xml:space="preserve"> </w:t>
            </w:r>
            <w:proofErr w:type="spellStart"/>
            <w:r w:rsidRPr="001421C4">
              <w:rPr>
                <w:rFonts w:ascii="Cambria" w:hAnsi="Cambria"/>
                <w:sz w:val="22"/>
                <w:szCs w:val="22"/>
                <w:lang w:val="it-IT"/>
              </w:rPr>
              <w:t>na</w:t>
            </w:r>
            <w:proofErr w:type="spellEnd"/>
            <w:r w:rsidRPr="001421C4">
              <w:rPr>
                <w:rFonts w:ascii="Cambria" w:hAnsi="Cambria"/>
                <w:sz w:val="22"/>
                <w:szCs w:val="22"/>
                <w:lang w:val="it-IT"/>
              </w:rPr>
              <w:t xml:space="preserve"> </w:t>
            </w:r>
            <w:proofErr w:type="spellStart"/>
            <w:r w:rsidRPr="001421C4">
              <w:rPr>
                <w:rFonts w:ascii="Cambria" w:hAnsi="Cambria"/>
                <w:sz w:val="22"/>
                <w:szCs w:val="22"/>
                <w:lang w:val="it-IT"/>
              </w:rPr>
              <w:t>predavanja</w:t>
            </w:r>
            <w:proofErr w:type="spellEnd"/>
          </w:p>
          <w:p w14:paraId="3AFD1DA3" w14:textId="77777777" w:rsidR="001421C4" w:rsidRPr="001421C4" w:rsidRDefault="001421C4">
            <w:pPr>
              <w:rPr>
                <w:rFonts w:ascii="Cambria" w:hAnsi="Cambria"/>
                <w:sz w:val="22"/>
                <w:szCs w:val="22"/>
                <w:lang w:val="it-IT"/>
              </w:rPr>
            </w:pPr>
            <w:proofErr w:type="spellStart"/>
            <w:r w:rsidRPr="001421C4">
              <w:rPr>
                <w:rFonts w:ascii="Cambria" w:hAnsi="Cambria"/>
                <w:sz w:val="22"/>
                <w:szCs w:val="22"/>
                <w:lang w:val="it-IT"/>
              </w:rPr>
              <w:t>Aktivnost</w:t>
            </w:r>
            <w:proofErr w:type="spellEnd"/>
            <w:r w:rsidRPr="001421C4">
              <w:rPr>
                <w:rFonts w:ascii="Cambria" w:hAnsi="Cambria"/>
                <w:sz w:val="22"/>
                <w:szCs w:val="22"/>
                <w:lang w:val="it-IT"/>
              </w:rPr>
              <w:t xml:space="preserve"> u </w:t>
            </w:r>
            <w:proofErr w:type="spellStart"/>
            <w:r w:rsidRPr="001421C4">
              <w:rPr>
                <w:rFonts w:ascii="Cambria" w:hAnsi="Cambria"/>
                <w:sz w:val="22"/>
                <w:szCs w:val="22"/>
                <w:lang w:val="it-IT"/>
              </w:rPr>
              <w:t>nastavi</w:t>
            </w:r>
            <w:proofErr w:type="spellEnd"/>
            <w:r w:rsidRPr="001421C4">
              <w:rPr>
                <w:rFonts w:ascii="Cambria" w:hAnsi="Cambria"/>
                <w:sz w:val="22"/>
                <w:szCs w:val="22"/>
                <w:lang w:val="it-IT"/>
              </w:rPr>
              <w:t xml:space="preserve"> (</w:t>
            </w:r>
            <w:proofErr w:type="spellStart"/>
            <w:r w:rsidRPr="001421C4">
              <w:rPr>
                <w:rFonts w:ascii="Cambria" w:hAnsi="Cambria"/>
                <w:sz w:val="22"/>
                <w:szCs w:val="22"/>
                <w:lang w:val="it-IT"/>
              </w:rPr>
              <w:t>pjevanje</w:t>
            </w:r>
            <w:proofErr w:type="spellEnd"/>
            <w:r w:rsidRPr="001421C4">
              <w:rPr>
                <w:rFonts w:ascii="Cambria" w:hAnsi="Cambria"/>
                <w:sz w:val="22"/>
                <w:szCs w:val="22"/>
                <w:lang w:val="it-IT"/>
              </w:rPr>
              <w:t xml:space="preserve"> i </w:t>
            </w:r>
            <w:proofErr w:type="spellStart"/>
            <w:r w:rsidRPr="001421C4">
              <w:rPr>
                <w:rFonts w:ascii="Cambria" w:hAnsi="Cambria"/>
                <w:sz w:val="22"/>
                <w:szCs w:val="22"/>
                <w:lang w:val="it-IT"/>
              </w:rPr>
              <w:t>dirigiranje</w:t>
            </w:r>
            <w:proofErr w:type="spellEnd"/>
            <w:r w:rsidRPr="001421C4">
              <w:rPr>
                <w:rFonts w:ascii="Cambria" w:hAnsi="Cambria"/>
                <w:sz w:val="22"/>
                <w:szCs w:val="22"/>
                <w:lang w:val="it-IT"/>
              </w:rPr>
              <w:t xml:space="preserve">) </w:t>
            </w:r>
            <w:proofErr w:type="spellStart"/>
            <w:r w:rsidRPr="001421C4">
              <w:rPr>
                <w:rFonts w:ascii="Cambria" w:hAnsi="Cambria"/>
                <w:sz w:val="22"/>
                <w:szCs w:val="22"/>
                <w:lang w:val="it-IT"/>
              </w:rPr>
              <w:t>ocjenjuje</w:t>
            </w:r>
            <w:proofErr w:type="spellEnd"/>
            <w:r w:rsidRPr="001421C4">
              <w:rPr>
                <w:rFonts w:ascii="Cambria" w:hAnsi="Cambria"/>
                <w:sz w:val="22"/>
                <w:szCs w:val="22"/>
                <w:lang w:val="it-IT"/>
              </w:rPr>
              <w:t xml:space="preserve"> se </w:t>
            </w:r>
            <w:proofErr w:type="spellStart"/>
            <w:r w:rsidRPr="001421C4">
              <w:rPr>
                <w:rFonts w:ascii="Cambria" w:hAnsi="Cambria"/>
                <w:sz w:val="22"/>
                <w:szCs w:val="22"/>
                <w:lang w:val="it-IT"/>
              </w:rPr>
              <w:t>na</w:t>
            </w:r>
            <w:proofErr w:type="spellEnd"/>
            <w:r w:rsidRPr="001421C4">
              <w:rPr>
                <w:rFonts w:ascii="Cambria" w:hAnsi="Cambria"/>
                <w:sz w:val="22"/>
                <w:szCs w:val="22"/>
                <w:lang w:val="it-IT"/>
              </w:rPr>
              <w:t xml:space="preserve"> </w:t>
            </w:r>
            <w:proofErr w:type="spellStart"/>
            <w:r w:rsidRPr="001421C4">
              <w:rPr>
                <w:rFonts w:ascii="Cambria" w:hAnsi="Cambria"/>
                <w:sz w:val="22"/>
                <w:szCs w:val="22"/>
                <w:lang w:val="it-IT"/>
              </w:rPr>
              <w:t>sljedeći</w:t>
            </w:r>
            <w:proofErr w:type="spellEnd"/>
            <w:r w:rsidRPr="001421C4">
              <w:rPr>
                <w:rFonts w:ascii="Cambria" w:hAnsi="Cambria"/>
                <w:sz w:val="22"/>
                <w:szCs w:val="22"/>
                <w:lang w:val="it-IT"/>
              </w:rPr>
              <w:t xml:space="preserve"> </w:t>
            </w:r>
            <w:proofErr w:type="spellStart"/>
            <w:r w:rsidRPr="001421C4">
              <w:rPr>
                <w:rFonts w:ascii="Cambria" w:hAnsi="Cambria"/>
                <w:sz w:val="22"/>
                <w:szCs w:val="22"/>
                <w:lang w:val="it-IT"/>
              </w:rPr>
              <w:t>način</w:t>
            </w:r>
            <w:proofErr w:type="spellEnd"/>
            <w:r w:rsidRPr="001421C4">
              <w:rPr>
                <w:rFonts w:ascii="Cambria" w:hAnsi="Cambria"/>
                <w:sz w:val="22"/>
                <w:szCs w:val="22"/>
                <w:lang w:val="it-IT"/>
              </w:rPr>
              <w:t>:</w:t>
            </w:r>
          </w:p>
          <w:p w14:paraId="1B66CA10" w14:textId="77777777" w:rsidR="001421C4" w:rsidRPr="001421C4" w:rsidRDefault="001421C4">
            <w:pPr>
              <w:rPr>
                <w:rFonts w:ascii="Cambria" w:hAnsi="Cambria"/>
                <w:sz w:val="22"/>
                <w:szCs w:val="22"/>
                <w:lang w:val="it-IT"/>
              </w:rPr>
            </w:pPr>
            <w:r w:rsidRPr="001421C4">
              <w:rPr>
                <w:rFonts w:ascii="Cambria" w:hAnsi="Cambria"/>
                <w:sz w:val="22"/>
                <w:szCs w:val="22"/>
                <w:lang w:val="it-IT"/>
              </w:rPr>
              <w:t xml:space="preserve">2,5 %   = </w:t>
            </w:r>
            <w:proofErr w:type="spellStart"/>
            <w:r w:rsidRPr="001421C4">
              <w:rPr>
                <w:rFonts w:ascii="Cambria" w:hAnsi="Cambria"/>
                <w:sz w:val="22"/>
                <w:szCs w:val="22"/>
                <w:lang w:val="it-IT"/>
              </w:rPr>
              <w:t>dirigira</w:t>
            </w:r>
            <w:proofErr w:type="spellEnd"/>
            <w:r w:rsidRPr="001421C4">
              <w:rPr>
                <w:rFonts w:ascii="Cambria" w:hAnsi="Cambria"/>
                <w:sz w:val="22"/>
                <w:szCs w:val="22"/>
                <w:lang w:val="it-IT"/>
              </w:rPr>
              <w:t xml:space="preserve"> s </w:t>
            </w:r>
            <w:proofErr w:type="spellStart"/>
            <w:r w:rsidRPr="001421C4">
              <w:rPr>
                <w:rFonts w:ascii="Cambria" w:hAnsi="Cambria"/>
                <w:sz w:val="22"/>
                <w:szCs w:val="22"/>
                <w:lang w:val="it-IT"/>
              </w:rPr>
              <w:t>poteškoćama</w:t>
            </w:r>
            <w:proofErr w:type="spellEnd"/>
            <w:r w:rsidRPr="001421C4">
              <w:rPr>
                <w:rFonts w:ascii="Cambria" w:hAnsi="Cambria"/>
                <w:sz w:val="22"/>
                <w:szCs w:val="22"/>
                <w:lang w:val="it-IT"/>
              </w:rPr>
              <w:t>.</w:t>
            </w:r>
          </w:p>
          <w:p w14:paraId="5162851A" w14:textId="77777777" w:rsidR="001421C4" w:rsidRPr="001421C4" w:rsidRDefault="001421C4">
            <w:pPr>
              <w:rPr>
                <w:rFonts w:ascii="Cambria" w:hAnsi="Cambria"/>
                <w:sz w:val="22"/>
                <w:szCs w:val="22"/>
                <w:lang w:val="it-IT"/>
              </w:rPr>
            </w:pPr>
            <w:r w:rsidRPr="001421C4">
              <w:rPr>
                <w:rFonts w:ascii="Cambria" w:hAnsi="Cambria"/>
                <w:sz w:val="22"/>
                <w:szCs w:val="22"/>
                <w:lang w:val="it-IT"/>
              </w:rPr>
              <w:t xml:space="preserve">5 % = </w:t>
            </w:r>
            <w:proofErr w:type="spellStart"/>
            <w:r w:rsidRPr="001421C4">
              <w:rPr>
                <w:rFonts w:ascii="Cambria" w:hAnsi="Cambria"/>
                <w:sz w:val="22"/>
                <w:szCs w:val="22"/>
                <w:lang w:val="it-IT"/>
              </w:rPr>
              <w:t>dirigira</w:t>
            </w:r>
            <w:proofErr w:type="spellEnd"/>
            <w:r w:rsidRPr="001421C4">
              <w:rPr>
                <w:rFonts w:ascii="Cambria" w:hAnsi="Cambria"/>
                <w:sz w:val="22"/>
                <w:szCs w:val="22"/>
                <w:lang w:val="it-IT"/>
              </w:rPr>
              <w:t xml:space="preserve"> </w:t>
            </w:r>
            <w:proofErr w:type="spellStart"/>
            <w:r w:rsidRPr="001421C4">
              <w:rPr>
                <w:rFonts w:ascii="Cambria" w:hAnsi="Cambria"/>
                <w:sz w:val="22"/>
                <w:szCs w:val="22"/>
                <w:lang w:val="it-IT"/>
              </w:rPr>
              <w:t>bez</w:t>
            </w:r>
            <w:proofErr w:type="spellEnd"/>
            <w:r w:rsidRPr="001421C4">
              <w:rPr>
                <w:rFonts w:ascii="Cambria" w:hAnsi="Cambria"/>
                <w:sz w:val="22"/>
                <w:szCs w:val="22"/>
                <w:lang w:val="it-IT"/>
              </w:rPr>
              <w:t xml:space="preserve"> </w:t>
            </w:r>
            <w:proofErr w:type="spellStart"/>
            <w:r w:rsidRPr="001421C4">
              <w:rPr>
                <w:rFonts w:ascii="Cambria" w:hAnsi="Cambria"/>
                <w:sz w:val="22"/>
                <w:szCs w:val="22"/>
                <w:lang w:val="it-IT"/>
              </w:rPr>
              <w:t>poteškoća</w:t>
            </w:r>
            <w:proofErr w:type="spellEnd"/>
          </w:p>
          <w:p w14:paraId="4B99269D" w14:textId="77777777" w:rsidR="001421C4" w:rsidRPr="004E3FDC" w:rsidRDefault="001421C4">
            <w:pPr>
              <w:rPr>
                <w:rFonts w:ascii="Cambria" w:hAnsi="Cambria"/>
                <w:sz w:val="22"/>
                <w:szCs w:val="22"/>
                <w:lang w:val="it-IT"/>
              </w:rPr>
            </w:pPr>
            <w:r w:rsidRPr="004E3FDC">
              <w:rPr>
                <w:rFonts w:ascii="Cambria" w:hAnsi="Cambria"/>
                <w:sz w:val="22"/>
                <w:szCs w:val="22"/>
                <w:lang w:val="it-IT"/>
              </w:rPr>
              <w:t>+</w:t>
            </w:r>
          </w:p>
          <w:p w14:paraId="4D6B2BA7" w14:textId="77777777" w:rsidR="001421C4" w:rsidRPr="004E3FDC" w:rsidRDefault="001421C4">
            <w:pPr>
              <w:rPr>
                <w:rFonts w:ascii="Cambria" w:hAnsi="Cambria"/>
                <w:sz w:val="22"/>
                <w:szCs w:val="22"/>
                <w:lang w:val="it-IT"/>
              </w:rPr>
            </w:pPr>
            <w:r w:rsidRPr="004E3FDC">
              <w:rPr>
                <w:rFonts w:ascii="Cambria" w:hAnsi="Cambria"/>
                <w:sz w:val="22"/>
                <w:szCs w:val="22"/>
                <w:lang w:val="it-IT"/>
              </w:rPr>
              <w:t xml:space="preserve">2,5 % = </w:t>
            </w:r>
            <w:proofErr w:type="spellStart"/>
            <w:r w:rsidRPr="004E3FDC">
              <w:rPr>
                <w:rFonts w:ascii="Cambria" w:hAnsi="Cambria"/>
                <w:sz w:val="22"/>
                <w:szCs w:val="22"/>
                <w:lang w:val="it-IT"/>
              </w:rPr>
              <w:t>pjeva</w:t>
            </w:r>
            <w:proofErr w:type="spellEnd"/>
            <w:r w:rsidRPr="004E3FDC">
              <w:rPr>
                <w:rFonts w:ascii="Cambria" w:hAnsi="Cambria"/>
                <w:sz w:val="22"/>
                <w:szCs w:val="22"/>
                <w:lang w:val="it-IT"/>
              </w:rPr>
              <w:t xml:space="preserve"> s </w:t>
            </w:r>
            <w:proofErr w:type="spellStart"/>
            <w:r w:rsidRPr="004E3FDC">
              <w:rPr>
                <w:rFonts w:ascii="Cambria" w:hAnsi="Cambria"/>
                <w:sz w:val="22"/>
                <w:szCs w:val="22"/>
                <w:lang w:val="it-IT"/>
              </w:rPr>
              <w:t>poteškoćama</w:t>
            </w:r>
            <w:proofErr w:type="spellEnd"/>
            <w:r w:rsidRPr="004E3FDC">
              <w:rPr>
                <w:rFonts w:ascii="Cambria" w:hAnsi="Cambria"/>
                <w:sz w:val="22"/>
                <w:szCs w:val="22"/>
                <w:lang w:val="it-IT"/>
              </w:rPr>
              <w:t>.</w:t>
            </w:r>
          </w:p>
          <w:p w14:paraId="23767E9C" w14:textId="77777777" w:rsidR="001421C4" w:rsidRPr="004E3FDC" w:rsidRDefault="001421C4">
            <w:pPr>
              <w:rPr>
                <w:rFonts w:ascii="Cambria" w:hAnsi="Cambria"/>
                <w:sz w:val="22"/>
                <w:szCs w:val="22"/>
                <w:lang w:val="it-IT"/>
              </w:rPr>
            </w:pPr>
            <w:r w:rsidRPr="004E3FDC">
              <w:rPr>
                <w:rFonts w:ascii="Cambria" w:hAnsi="Cambria"/>
                <w:sz w:val="22"/>
                <w:szCs w:val="22"/>
                <w:lang w:val="it-IT"/>
              </w:rPr>
              <w:t xml:space="preserve">5 % = </w:t>
            </w:r>
            <w:proofErr w:type="spellStart"/>
            <w:r w:rsidRPr="004E3FDC">
              <w:rPr>
                <w:rFonts w:ascii="Cambria" w:hAnsi="Cambria"/>
                <w:sz w:val="22"/>
                <w:szCs w:val="22"/>
                <w:lang w:val="it-IT"/>
              </w:rPr>
              <w:t>pjeva</w:t>
            </w:r>
            <w:proofErr w:type="spellEnd"/>
            <w:r w:rsidRPr="004E3FDC">
              <w:rPr>
                <w:rFonts w:ascii="Cambria" w:hAnsi="Cambria"/>
                <w:sz w:val="22"/>
                <w:szCs w:val="22"/>
                <w:lang w:val="it-IT"/>
              </w:rPr>
              <w:t xml:space="preserve"> </w:t>
            </w:r>
            <w:proofErr w:type="spellStart"/>
            <w:r w:rsidRPr="004E3FDC">
              <w:rPr>
                <w:rFonts w:ascii="Cambria" w:hAnsi="Cambria"/>
                <w:sz w:val="22"/>
                <w:szCs w:val="22"/>
                <w:lang w:val="it-IT"/>
              </w:rPr>
              <w:t>bez</w:t>
            </w:r>
            <w:proofErr w:type="spellEnd"/>
            <w:r w:rsidRPr="004E3FDC">
              <w:rPr>
                <w:rFonts w:ascii="Cambria" w:hAnsi="Cambria"/>
                <w:sz w:val="22"/>
                <w:szCs w:val="22"/>
                <w:lang w:val="it-IT"/>
              </w:rPr>
              <w:t xml:space="preserve"> </w:t>
            </w:r>
            <w:proofErr w:type="spellStart"/>
            <w:r w:rsidRPr="004E3FDC">
              <w:rPr>
                <w:rFonts w:ascii="Cambria" w:hAnsi="Cambria"/>
                <w:sz w:val="22"/>
                <w:szCs w:val="22"/>
                <w:lang w:val="it-IT"/>
              </w:rPr>
              <w:t>poteškoća</w:t>
            </w:r>
            <w:proofErr w:type="spellEnd"/>
            <w:r w:rsidRPr="004E3FDC">
              <w:rPr>
                <w:rFonts w:ascii="Cambria" w:hAnsi="Cambria"/>
                <w:sz w:val="22"/>
                <w:szCs w:val="22"/>
                <w:lang w:val="it-IT"/>
              </w:rPr>
              <w:t>.</w:t>
            </w:r>
          </w:p>
          <w:p w14:paraId="13E3F174" w14:textId="77777777" w:rsidR="001421C4" w:rsidRPr="004E3FDC" w:rsidRDefault="001421C4">
            <w:pPr>
              <w:rPr>
                <w:rFonts w:ascii="Cambria" w:hAnsi="Cambria"/>
                <w:sz w:val="22"/>
                <w:szCs w:val="22"/>
                <w:lang w:val="it-IT"/>
              </w:rPr>
            </w:pPr>
            <w:r w:rsidRPr="004E3FDC">
              <w:rPr>
                <w:rFonts w:ascii="Cambria" w:hAnsi="Cambria"/>
                <w:sz w:val="22"/>
                <w:szCs w:val="22"/>
                <w:lang w:val="it-IT"/>
              </w:rPr>
              <w:t xml:space="preserve">+ 10 % </w:t>
            </w:r>
            <w:proofErr w:type="spellStart"/>
            <w:r w:rsidRPr="004E3FDC">
              <w:rPr>
                <w:rFonts w:ascii="Cambria" w:hAnsi="Cambria"/>
                <w:sz w:val="22"/>
                <w:szCs w:val="22"/>
                <w:lang w:val="it-IT"/>
              </w:rPr>
              <w:t>pjeva</w:t>
            </w:r>
            <w:proofErr w:type="spellEnd"/>
            <w:r w:rsidRPr="004E3FDC">
              <w:rPr>
                <w:rFonts w:ascii="Cambria" w:hAnsi="Cambria"/>
                <w:sz w:val="22"/>
                <w:szCs w:val="22"/>
                <w:lang w:val="it-IT"/>
              </w:rPr>
              <w:t xml:space="preserve"> </w:t>
            </w:r>
            <w:proofErr w:type="spellStart"/>
            <w:r w:rsidRPr="004E3FDC">
              <w:rPr>
                <w:rFonts w:ascii="Cambria" w:hAnsi="Cambria"/>
                <w:sz w:val="22"/>
                <w:szCs w:val="22"/>
                <w:lang w:val="it-IT"/>
              </w:rPr>
              <w:t>pjesmu</w:t>
            </w:r>
            <w:proofErr w:type="spellEnd"/>
            <w:r w:rsidRPr="004E3FDC">
              <w:rPr>
                <w:rFonts w:ascii="Cambria" w:hAnsi="Cambria"/>
                <w:sz w:val="22"/>
                <w:szCs w:val="22"/>
                <w:lang w:val="it-IT"/>
              </w:rPr>
              <w:t xml:space="preserve"> </w:t>
            </w:r>
            <w:proofErr w:type="spellStart"/>
            <w:r w:rsidRPr="004E3FDC">
              <w:rPr>
                <w:rFonts w:ascii="Cambria" w:hAnsi="Cambria"/>
                <w:sz w:val="22"/>
                <w:szCs w:val="22"/>
                <w:lang w:val="it-IT"/>
              </w:rPr>
              <w:t>napamet</w:t>
            </w:r>
            <w:proofErr w:type="spellEnd"/>
            <w:r w:rsidRPr="004E3FDC">
              <w:rPr>
                <w:rFonts w:ascii="Cambria" w:hAnsi="Cambria"/>
                <w:sz w:val="22"/>
                <w:szCs w:val="22"/>
                <w:lang w:val="it-IT"/>
              </w:rPr>
              <w:t xml:space="preserve"> (</w:t>
            </w:r>
            <w:proofErr w:type="spellStart"/>
            <w:r w:rsidRPr="004E3FDC">
              <w:rPr>
                <w:rFonts w:ascii="Cambria" w:hAnsi="Cambria"/>
                <w:sz w:val="22"/>
                <w:szCs w:val="22"/>
                <w:lang w:val="it-IT"/>
              </w:rPr>
              <w:t>solistički</w:t>
            </w:r>
            <w:proofErr w:type="spellEnd"/>
            <w:r w:rsidRPr="004E3FDC">
              <w:rPr>
                <w:rFonts w:ascii="Cambria" w:hAnsi="Cambria"/>
                <w:sz w:val="22"/>
                <w:szCs w:val="22"/>
                <w:lang w:val="it-IT"/>
              </w:rPr>
              <w:t>)</w:t>
            </w:r>
          </w:p>
          <w:p w14:paraId="2AB2AD42" w14:textId="77777777" w:rsidR="001421C4" w:rsidRPr="004E3FDC" w:rsidRDefault="001421C4">
            <w:pPr>
              <w:rPr>
                <w:rFonts w:ascii="Cambria" w:hAnsi="Cambria"/>
                <w:sz w:val="22"/>
                <w:szCs w:val="22"/>
                <w:lang w:val="it-IT"/>
              </w:rPr>
            </w:pPr>
            <w:r w:rsidRPr="004E3FDC">
              <w:rPr>
                <w:rFonts w:ascii="Cambria" w:hAnsi="Cambria"/>
                <w:sz w:val="22"/>
                <w:szCs w:val="22"/>
                <w:lang w:val="it-IT"/>
              </w:rPr>
              <w:t xml:space="preserve">+ 10 % </w:t>
            </w:r>
            <w:proofErr w:type="spellStart"/>
            <w:r w:rsidRPr="004E3FDC">
              <w:rPr>
                <w:rFonts w:ascii="Cambria" w:hAnsi="Cambria"/>
                <w:sz w:val="22"/>
                <w:szCs w:val="22"/>
                <w:lang w:val="it-IT"/>
              </w:rPr>
              <w:t>pjeva</w:t>
            </w:r>
            <w:proofErr w:type="spellEnd"/>
            <w:r w:rsidRPr="004E3FDC">
              <w:rPr>
                <w:rFonts w:ascii="Cambria" w:hAnsi="Cambria"/>
                <w:sz w:val="22"/>
                <w:szCs w:val="22"/>
                <w:lang w:val="it-IT"/>
              </w:rPr>
              <w:t xml:space="preserve"> </w:t>
            </w:r>
            <w:proofErr w:type="spellStart"/>
            <w:r w:rsidRPr="004E3FDC">
              <w:rPr>
                <w:rFonts w:ascii="Cambria" w:hAnsi="Cambria"/>
                <w:sz w:val="22"/>
                <w:szCs w:val="22"/>
                <w:lang w:val="it-IT"/>
              </w:rPr>
              <w:t>pjesmu</w:t>
            </w:r>
            <w:proofErr w:type="spellEnd"/>
            <w:r w:rsidRPr="004E3FDC">
              <w:rPr>
                <w:rFonts w:ascii="Cambria" w:hAnsi="Cambria"/>
                <w:sz w:val="22"/>
                <w:szCs w:val="22"/>
                <w:lang w:val="it-IT"/>
              </w:rPr>
              <w:t xml:space="preserve"> </w:t>
            </w:r>
            <w:proofErr w:type="spellStart"/>
            <w:r w:rsidRPr="004E3FDC">
              <w:rPr>
                <w:rFonts w:ascii="Cambria" w:hAnsi="Cambria"/>
                <w:sz w:val="22"/>
                <w:szCs w:val="22"/>
                <w:lang w:val="it-IT"/>
              </w:rPr>
              <w:t>napamet</w:t>
            </w:r>
            <w:proofErr w:type="spellEnd"/>
            <w:r w:rsidRPr="004E3FDC">
              <w:rPr>
                <w:rFonts w:ascii="Cambria" w:hAnsi="Cambria"/>
                <w:sz w:val="22"/>
                <w:szCs w:val="22"/>
                <w:lang w:val="it-IT"/>
              </w:rPr>
              <w:t xml:space="preserve"> (u </w:t>
            </w:r>
            <w:proofErr w:type="spellStart"/>
            <w:r w:rsidRPr="004E3FDC">
              <w:rPr>
                <w:rFonts w:ascii="Cambria" w:hAnsi="Cambria"/>
                <w:sz w:val="22"/>
                <w:szCs w:val="22"/>
                <w:lang w:val="it-IT"/>
              </w:rPr>
              <w:t>skupini</w:t>
            </w:r>
            <w:proofErr w:type="spellEnd"/>
            <w:r w:rsidRPr="004E3FDC">
              <w:rPr>
                <w:rFonts w:ascii="Cambria" w:hAnsi="Cambria"/>
                <w:sz w:val="22"/>
                <w:szCs w:val="22"/>
                <w:lang w:val="it-IT"/>
              </w:rPr>
              <w:t xml:space="preserve"> ili </w:t>
            </w:r>
            <w:proofErr w:type="spellStart"/>
            <w:r w:rsidRPr="004E3FDC">
              <w:rPr>
                <w:rFonts w:ascii="Cambria" w:hAnsi="Cambria"/>
                <w:sz w:val="22"/>
                <w:szCs w:val="22"/>
                <w:lang w:val="it-IT"/>
              </w:rPr>
              <w:t>zboru</w:t>
            </w:r>
            <w:proofErr w:type="spellEnd"/>
            <w:r w:rsidRPr="004E3FDC">
              <w:rPr>
                <w:rFonts w:ascii="Cambria" w:hAnsi="Cambria"/>
                <w:sz w:val="22"/>
                <w:szCs w:val="22"/>
                <w:lang w:val="it-IT"/>
              </w:rPr>
              <w:t>)</w:t>
            </w:r>
          </w:p>
          <w:p w14:paraId="23AD86B5" w14:textId="77777777" w:rsidR="001421C4" w:rsidRPr="004E3FDC" w:rsidRDefault="001421C4">
            <w:pPr>
              <w:rPr>
                <w:rFonts w:ascii="Cambria" w:hAnsi="Cambria"/>
                <w:sz w:val="22"/>
                <w:szCs w:val="22"/>
                <w:lang w:val="it-IT"/>
              </w:rPr>
            </w:pPr>
            <w:proofErr w:type="spellStart"/>
            <w:r w:rsidRPr="004E3FDC">
              <w:rPr>
                <w:rFonts w:ascii="Cambria" w:hAnsi="Cambria"/>
                <w:sz w:val="22"/>
                <w:szCs w:val="22"/>
                <w:lang w:val="it-IT"/>
              </w:rPr>
              <w:t>Osvrti</w:t>
            </w:r>
            <w:proofErr w:type="spellEnd"/>
            <w:r w:rsidRPr="004E3FDC">
              <w:rPr>
                <w:rFonts w:ascii="Cambria" w:hAnsi="Cambria"/>
                <w:sz w:val="22"/>
                <w:szCs w:val="22"/>
                <w:lang w:val="it-IT"/>
              </w:rPr>
              <w:t xml:space="preserve"> s </w:t>
            </w:r>
            <w:proofErr w:type="spellStart"/>
            <w:r w:rsidRPr="004E3FDC">
              <w:rPr>
                <w:rFonts w:ascii="Cambria" w:hAnsi="Cambria"/>
                <w:sz w:val="22"/>
                <w:szCs w:val="22"/>
                <w:lang w:val="it-IT"/>
              </w:rPr>
              <w:t>izvanučionične</w:t>
            </w:r>
            <w:proofErr w:type="spellEnd"/>
            <w:r w:rsidRPr="004E3FDC">
              <w:rPr>
                <w:rFonts w:ascii="Cambria" w:hAnsi="Cambria"/>
                <w:sz w:val="22"/>
                <w:szCs w:val="22"/>
                <w:lang w:val="it-IT"/>
              </w:rPr>
              <w:t xml:space="preserve"> </w:t>
            </w:r>
            <w:proofErr w:type="spellStart"/>
            <w:r w:rsidRPr="004E3FDC">
              <w:rPr>
                <w:rFonts w:ascii="Cambria" w:hAnsi="Cambria"/>
                <w:sz w:val="22"/>
                <w:szCs w:val="22"/>
                <w:lang w:val="it-IT"/>
              </w:rPr>
              <w:t>nastave</w:t>
            </w:r>
            <w:proofErr w:type="spellEnd"/>
            <w:r w:rsidRPr="004E3FDC">
              <w:rPr>
                <w:rFonts w:ascii="Cambria" w:hAnsi="Cambria"/>
                <w:sz w:val="22"/>
                <w:szCs w:val="22"/>
                <w:lang w:val="it-IT"/>
              </w:rPr>
              <w:t xml:space="preserve"> se </w:t>
            </w:r>
            <w:proofErr w:type="spellStart"/>
            <w:r w:rsidRPr="004E3FDC">
              <w:rPr>
                <w:rFonts w:ascii="Cambria" w:hAnsi="Cambria"/>
                <w:sz w:val="22"/>
                <w:szCs w:val="22"/>
                <w:lang w:val="it-IT"/>
              </w:rPr>
              <w:t>ocjenjujuna</w:t>
            </w:r>
            <w:proofErr w:type="spellEnd"/>
            <w:r w:rsidRPr="004E3FDC">
              <w:rPr>
                <w:rFonts w:ascii="Cambria" w:hAnsi="Cambria"/>
                <w:sz w:val="22"/>
                <w:szCs w:val="22"/>
                <w:lang w:val="it-IT"/>
              </w:rPr>
              <w:t xml:space="preserve"> </w:t>
            </w:r>
            <w:proofErr w:type="spellStart"/>
            <w:r w:rsidRPr="004E3FDC">
              <w:rPr>
                <w:rFonts w:ascii="Cambria" w:hAnsi="Cambria"/>
                <w:sz w:val="22"/>
                <w:szCs w:val="22"/>
                <w:lang w:val="it-IT"/>
              </w:rPr>
              <w:t>sljedeći</w:t>
            </w:r>
            <w:proofErr w:type="spellEnd"/>
            <w:r w:rsidRPr="004E3FDC">
              <w:rPr>
                <w:rFonts w:ascii="Cambria" w:hAnsi="Cambria"/>
                <w:sz w:val="22"/>
                <w:szCs w:val="22"/>
                <w:lang w:val="it-IT"/>
              </w:rPr>
              <w:t xml:space="preserve"> </w:t>
            </w:r>
            <w:proofErr w:type="spellStart"/>
            <w:r w:rsidRPr="004E3FDC">
              <w:rPr>
                <w:rFonts w:ascii="Cambria" w:hAnsi="Cambria"/>
                <w:sz w:val="22"/>
                <w:szCs w:val="22"/>
                <w:lang w:val="it-IT"/>
              </w:rPr>
              <w:t>način</w:t>
            </w:r>
            <w:proofErr w:type="spellEnd"/>
            <w:r w:rsidRPr="004E3FDC">
              <w:rPr>
                <w:rFonts w:ascii="Cambria" w:hAnsi="Cambria"/>
                <w:sz w:val="22"/>
                <w:szCs w:val="22"/>
                <w:lang w:val="it-IT"/>
              </w:rPr>
              <w:t>:</w:t>
            </w:r>
          </w:p>
          <w:p w14:paraId="53159D67" w14:textId="77777777" w:rsidR="001421C4" w:rsidRPr="004E3FDC" w:rsidRDefault="001421C4">
            <w:pPr>
              <w:rPr>
                <w:rFonts w:ascii="Cambria" w:hAnsi="Cambria"/>
                <w:sz w:val="22"/>
                <w:szCs w:val="22"/>
                <w:lang w:val="it-IT"/>
              </w:rPr>
            </w:pPr>
            <w:r w:rsidRPr="004E3FDC">
              <w:rPr>
                <w:rFonts w:ascii="Cambria" w:hAnsi="Cambria"/>
                <w:sz w:val="22"/>
                <w:szCs w:val="22"/>
                <w:lang w:val="it-IT"/>
              </w:rPr>
              <w:t xml:space="preserve">0 % = </w:t>
            </w:r>
            <w:proofErr w:type="spellStart"/>
            <w:r w:rsidRPr="004E3FDC">
              <w:rPr>
                <w:rFonts w:ascii="Cambria" w:hAnsi="Cambria"/>
                <w:sz w:val="22"/>
                <w:szCs w:val="22"/>
                <w:lang w:val="it-IT"/>
              </w:rPr>
              <w:t>Osvrt</w:t>
            </w:r>
            <w:proofErr w:type="spellEnd"/>
            <w:r w:rsidRPr="004E3FDC">
              <w:rPr>
                <w:rFonts w:ascii="Cambria" w:hAnsi="Cambria"/>
                <w:sz w:val="22"/>
                <w:szCs w:val="22"/>
                <w:lang w:val="it-IT"/>
              </w:rPr>
              <w:t xml:space="preserve"> </w:t>
            </w:r>
            <w:proofErr w:type="spellStart"/>
            <w:r w:rsidRPr="004E3FDC">
              <w:rPr>
                <w:rFonts w:ascii="Cambria" w:hAnsi="Cambria"/>
                <w:sz w:val="22"/>
                <w:szCs w:val="22"/>
                <w:lang w:val="it-IT"/>
              </w:rPr>
              <w:t>nije</w:t>
            </w:r>
            <w:proofErr w:type="spellEnd"/>
            <w:r w:rsidRPr="004E3FDC">
              <w:rPr>
                <w:rFonts w:ascii="Cambria" w:hAnsi="Cambria"/>
                <w:sz w:val="22"/>
                <w:szCs w:val="22"/>
                <w:lang w:val="it-IT"/>
              </w:rPr>
              <w:t xml:space="preserve"> </w:t>
            </w:r>
            <w:proofErr w:type="spellStart"/>
            <w:r w:rsidRPr="004E3FDC">
              <w:rPr>
                <w:rFonts w:ascii="Cambria" w:hAnsi="Cambria"/>
                <w:sz w:val="22"/>
                <w:szCs w:val="22"/>
                <w:lang w:val="it-IT"/>
              </w:rPr>
              <w:t>napisan</w:t>
            </w:r>
            <w:proofErr w:type="spellEnd"/>
          </w:p>
          <w:p w14:paraId="7F44557A" w14:textId="77777777" w:rsidR="001421C4" w:rsidRPr="004E3FDC" w:rsidRDefault="001421C4">
            <w:pPr>
              <w:rPr>
                <w:rFonts w:ascii="Cambria" w:hAnsi="Cambria"/>
                <w:sz w:val="22"/>
                <w:szCs w:val="22"/>
                <w:lang w:val="it-IT"/>
              </w:rPr>
            </w:pPr>
            <w:r w:rsidRPr="004E3FDC">
              <w:rPr>
                <w:rFonts w:ascii="Cambria" w:hAnsi="Cambria"/>
                <w:sz w:val="22"/>
                <w:szCs w:val="22"/>
                <w:lang w:val="it-IT"/>
              </w:rPr>
              <w:t xml:space="preserve">10 % = </w:t>
            </w:r>
            <w:proofErr w:type="spellStart"/>
            <w:r w:rsidRPr="004E3FDC">
              <w:rPr>
                <w:rFonts w:ascii="Cambria" w:hAnsi="Cambria"/>
                <w:sz w:val="22"/>
                <w:szCs w:val="22"/>
                <w:lang w:val="it-IT"/>
              </w:rPr>
              <w:t>Napisan</w:t>
            </w:r>
            <w:proofErr w:type="spellEnd"/>
            <w:r w:rsidRPr="004E3FDC">
              <w:rPr>
                <w:rFonts w:ascii="Cambria" w:hAnsi="Cambria"/>
                <w:sz w:val="22"/>
                <w:szCs w:val="22"/>
                <w:lang w:val="it-IT"/>
              </w:rPr>
              <w:t xml:space="preserve"> je </w:t>
            </w:r>
            <w:proofErr w:type="spellStart"/>
            <w:r w:rsidRPr="004E3FDC">
              <w:rPr>
                <w:rFonts w:ascii="Cambria" w:hAnsi="Cambria"/>
                <w:sz w:val="22"/>
                <w:szCs w:val="22"/>
                <w:lang w:val="it-IT"/>
              </w:rPr>
              <w:t>osvrt</w:t>
            </w:r>
            <w:proofErr w:type="spellEnd"/>
            <w:r w:rsidRPr="004E3FDC">
              <w:rPr>
                <w:rFonts w:ascii="Cambria" w:hAnsi="Cambria"/>
                <w:sz w:val="22"/>
                <w:szCs w:val="22"/>
                <w:lang w:val="it-IT"/>
              </w:rPr>
              <w:t xml:space="preserve"> s </w:t>
            </w:r>
            <w:proofErr w:type="spellStart"/>
            <w:r w:rsidRPr="004E3FDC">
              <w:rPr>
                <w:rFonts w:ascii="Cambria" w:hAnsi="Cambria"/>
                <w:sz w:val="22"/>
                <w:szCs w:val="22"/>
                <w:lang w:val="it-IT"/>
              </w:rPr>
              <w:t>posjeta</w:t>
            </w:r>
            <w:proofErr w:type="spellEnd"/>
            <w:r w:rsidRPr="004E3FDC">
              <w:rPr>
                <w:rFonts w:ascii="Cambria" w:hAnsi="Cambria"/>
                <w:sz w:val="22"/>
                <w:szCs w:val="22"/>
                <w:lang w:val="it-IT"/>
              </w:rPr>
              <w:t xml:space="preserve"> </w:t>
            </w:r>
            <w:proofErr w:type="spellStart"/>
            <w:r w:rsidRPr="004E3FDC">
              <w:rPr>
                <w:rFonts w:ascii="Cambria" w:hAnsi="Cambria"/>
                <w:sz w:val="22"/>
                <w:szCs w:val="22"/>
                <w:lang w:val="it-IT"/>
              </w:rPr>
              <w:t>zborovima</w:t>
            </w:r>
            <w:proofErr w:type="spellEnd"/>
          </w:p>
          <w:p w14:paraId="7B901A16" w14:textId="77777777" w:rsidR="001421C4" w:rsidRPr="004E3FDC" w:rsidRDefault="001421C4">
            <w:pPr>
              <w:rPr>
                <w:rFonts w:ascii="Cambria" w:hAnsi="Cambria"/>
                <w:sz w:val="22"/>
                <w:szCs w:val="22"/>
                <w:lang w:val="it-IT"/>
              </w:rPr>
            </w:pPr>
            <w:r w:rsidRPr="004E3FDC">
              <w:rPr>
                <w:rFonts w:ascii="Cambria" w:hAnsi="Cambria"/>
                <w:sz w:val="22"/>
                <w:szCs w:val="22"/>
                <w:lang w:val="it-IT"/>
              </w:rPr>
              <w:t>+</w:t>
            </w:r>
          </w:p>
          <w:p w14:paraId="6245A611" w14:textId="77777777" w:rsidR="001421C4" w:rsidRPr="004E3FDC" w:rsidRDefault="001421C4">
            <w:pPr>
              <w:rPr>
                <w:rFonts w:ascii="Cambria" w:hAnsi="Cambria"/>
                <w:sz w:val="22"/>
                <w:szCs w:val="22"/>
                <w:lang w:val="it-IT"/>
              </w:rPr>
            </w:pPr>
            <w:r w:rsidRPr="004E3FDC">
              <w:rPr>
                <w:rFonts w:ascii="Cambria" w:hAnsi="Cambria"/>
                <w:sz w:val="22"/>
                <w:szCs w:val="22"/>
                <w:lang w:val="it-IT"/>
              </w:rPr>
              <w:t xml:space="preserve">10 % = </w:t>
            </w:r>
            <w:proofErr w:type="spellStart"/>
            <w:r w:rsidRPr="004E3FDC">
              <w:rPr>
                <w:rFonts w:ascii="Cambria" w:hAnsi="Cambria"/>
                <w:sz w:val="22"/>
                <w:szCs w:val="22"/>
                <w:lang w:val="it-IT"/>
              </w:rPr>
              <w:t>Napisan</w:t>
            </w:r>
            <w:proofErr w:type="spellEnd"/>
            <w:r w:rsidRPr="004E3FDC">
              <w:rPr>
                <w:rFonts w:ascii="Cambria" w:hAnsi="Cambria"/>
                <w:sz w:val="22"/>
                <w:szCs w:val="22"/>
                <w:lang w:val="it-IT"/>
              </w:rPr>
              <w:t xml:space="preserve"> </w:t>
            </w:r>
            <w:proofErr w:type="spellStart"/>
            <w:r w:rsidRPr="004E3FDC">
              <w:rPr>
                <w:rFonts w:ascii="Cambria" w:hAnsi="Cambria"/>
                <w:sz w:val="22"/>
                <w:szCs w:val="22"/>
                <w:lang w:val="it-IT"/>
              </w:rPr>
              <w:t>osvrt</w:t>
            </w:r>
            <w:proofErr w:type="spellEnd"/>
            <w:r w:rsidRPr="004E3FDC">
              <w:rPr>
                <w:rFonts w:ascii="Cambria" w:hAnsi="Cambria"/>
                <w:sz w:val="22"/>
                <w:szCs w:val="22"/>
                <w:lang w:val="it-IT"/>
              </w:rPr>
              <w:t xml:space="preserve"> s </w:t>
            </w:r>
            <w:proofErr w:type="spellStart"/>
            <w:r w:rsidRPr="004E3FDC">
              <w:rPr>
                <w:rFonts w:ascii="Cambria" w:hAnsi="Cambria"/>
                <w:sz w:val="22"/>
                <w:szCs w:val="22"/>
                <w:lang w:val="it-IT"/>
              </w:rPr>
              <w:t>posjećenog</w:t>
            </w:r>
            <w:proofErr w:type="spellEnd"/>
            <w:r w:rsidRPr="004E3FDC">
              <w:rPr>
                <w:rFonts w:ascii="Cambria" w:hAnsi="Cambria"/>
                <w:sz w:val="22"/>
                <w:szCs w:val="22"/>
                <w:lang w:val="it-IT"/>
              </w:rPr>
              <w:t xml:space="preserve"> </w:t>
            </w:r>
            <w:proofErr w:type="spellStart"/>
            <w:r w:rsidRPr="004E3FDC">
              <w:rPr>
                <w:rFonts w:ascii="Cambria" w:hAnsi="Cambria"/>
                <w:sz w:val="22"/>
                <w:szCs w:val="22"/>
                <w:lang w:val="it-IT"/>
              </w:rPr>
              <w:t>vokalnog</w:t>
            </w:r>
            <w:proofErr w:type="spellEnd"/>
            <w:r w:rsidRPr="004E3FDC">
              <w:rPr>
                <w:rFonts w:ascii="Cambria" w:hAnsi="Cambria"/>
                <w:sz w:val="22"/>
                <w:szCs w:val="22"/>
                <w:lang w:val="it-IT"/>
              </w:rPr>
              <w:t xml:space="preserve"> </w:t>
            </w:r>
            <w:proofErr w:type="spellStart"/>
            <w:r w:rsidRPr="004E3FDC">
              <w:rPr>
                <w:rFonts w:ascii="Cambria" w:hAnsi="Cambria"/>
                <w:sz w:val="22"/>
                <w:szCs w:val="22"/>
                <w:lang w:val="it-IT"/>
              </w:rPr>
              <w:t>koncerta</w:t>
            </w:r>
            <w:proofErr w:type="spellEnd"/>
            <w:r w:rsidRPr="004E3FDC">
              <w:rPr>
                <w:rFonts w:ascii="Cambria" w:hAnsi="Cambria"/>
                <w:sz w:val="22"/>
                <w:szCs w:val="22"/>
                <w:lang w:val="it-IT"/>
              </w:rPr>
              <w:t>.</w:t>
            </w:r>
          </w:p>
          <w:p w14:paraId="2500BF8E" w14:textId="77777777" w:rsidR="001421C4" w:rsidRPr="004E3FDC" w:rsidRDefault="001421C4">
            <w:pPr>
              <w:rPr>
                <w:rFonts w:ascii="Cambria" w:hAnsi="Cambria"/>
                <w:sz w:val="22"/>
                <w:szCs w:val="22"/>
                <w:lang w:val="it-IT"/>
              </w:rPr>
            </w:pPr>
            <w:proofErr w:type="spellStart"/>
            <w:r w:rsidRPr="004E3FDC">
              <w:rPr>
                <w:rFonts w:ascii="Cambria" w:hAnsi="Cambria"/>
                <w:sz w:val="22"/>
                <w:szCs w:val="22"/>
                <w:lang w:val="it-IT"/>
              </w:rPr>
              <w:t>Osvrt</w:t>
            </w:r>
            <w:proofErr w:type="spellEnd"/>
            <w:r w:rsidRPr="004E3FDC">
              <w:rPr>
                <w:rFonts w:ascii="Cambria" w:hAnsi="Cambria"/>
                <w:sz w:val="22"/>
                <w:szCs w:val="22"/>
                <w:lang w:val="it-IT"/>
              </w:rPr>
              <w:t xml:space="preserve"> se </w:t>
            </w:r>
            <w:proofErr w:type="spellStart"/>
            <w:r w:rsidRPr="004E3FDC">
              <w:rPr>
                <w:rFonts w:ascii="Cambria" w:hAnsi="Cambria"/>
                <w:sz w:val="22"/>
                <w:szCs w:val="22"/>
                <w:lang w:val="it-IT"/>
              </w:rPr>
              <w:t>predaje</w:t>
            </w:r>
            <w:proofErr w:type="spellEnd"/>
            <w:r w:rsidRPr="004E3FDC">
              <w:rPr>
                <w:rFonts w:ascii="Cambria" w:hAnsi="Cambria"/>
                <w:sz w:val="22"/>
                <w:szCs w:val="22"/>
                <w:lang w:val="it-IT"/>
              </w:rPr>
              <w:t xml:space="preserve"> u </w:t>
            </w:r>
            <w:proofErr w:type="spellStart"/>
            <w:r w:rsidRPr="004E3FDC">
              <w:rPr>
                <w:rFonts w:ascii="Cambria" w:hAnsi="Cambria"/>
                <w:sz w:val="22"/>
                <w:szCs w:val="22"/>
                <w:lang w:val="it-IT"/>
              </w:rPr>
              <w:t>elektroničkom</w:t>
            </w:r>
            <w:proofErr w:type="spellEnd"/>
            <w:r w:rsidRPr="004E3FDC">
              <w:rPr>
                <w:rFonts w:ascii="Cambria" w:hAnsi="Cambria"/>
                <w:sz w:val="22"/>
                <w:szCs w:val="22"/>
                <w:lang w:val="it-IT"/>
              </w:rPr>
              <w:t xml:space="preserve"> ili u </w:t>
            </w:r>
            <w:proofErr w:type="spellStart"/>
            <w:r w:rsidRPr="004E3FDC">
              <w:rPr>
                <w:rFonts w:ascii="Cambria" w:hAnsi="Cambria"/>
                <w:sz w:val="22"/>
                <w:szCs w:val="22"/>
                <w:lang w:val="it-IT"/>
              </w:rPr>
              <w:t>tiskanom</w:t>
            </w:r>
            <w:proofErr w:type="spellEnd"/>
            <w:r w:rsidRPr="004E3FDC">
              <w:rPr>
                <w:rFonts w:ascii="Cambria" w:hAnsi="Cambria"/>
                <w:sz w:val="22"/>
                <w:szCs w:val="22"/>
                <w:lang w:val="it-IT"/>
              </w:rPr>
              <w:t xml:space="preserve"> </w:t>
            </w:r>
            <w:proofErr w:type="spellStart"/>
            <w:r w:rsidRPr="004E3FDC">
              <w:rPr>
                <w:rFonts w:ascii="Cambria" w:hAnsi="Cambria"/>
                <w:sz w:val="22"/>
                <w:szCs w:val="22"/>
                <w:lang w:val="it-IT"/>
              </w:rPr>
              <w:t>obliku</w:t>
            </w:r>
            <w:proofErr w:type="spellEnd"/>
            <w:r w:rsidRPr="004E3FDC">
              <w:rPr>
                <w:rFonts w:ascii="Cambria" w:hAnsi="Cambria"/>
                <w:sz w:val="22"/>
                <w:szCs w:val="22"/>
                <w:lang w:val="it-IT"/>
              </w:rPr>
              <w:t xml:space="preserve"> 7 </w:t>
            </w:r>
            <w:proofErr w:type="spellStart"/>
            <w:r w:rsidRPr="004E3FDC">
              <w:rPr>
                <w:rFonts w:ascii="Cambria" w:hAnsi="Cambria"/>
                <w:sz w:val="22"/>
                <w:szCs w:val="22"/>
                <w:lang w:val="it-IT"/>
              </w:rPr>
              <w:t>dana</w:t>
            </w:r>
            <w:proofErr w:type="spellEnd"/>
            <w:r w:rsidRPr="004E3FDC">
              <w:rPr>
                <w:rFonts w:ascii="Cambria" w:hAnsi="Cambria"/>
                <w:sz w:val="22"/>
                <w:szCs w:val="22"/>
                <w:lang w:val="it-IT"/>
              </w:rPr>
              <w:t xml:space="preserve"> </w:t>
            </w:r>
            <w:proofErr w:type="spellStart"/>
            <w:r w:rsidRPr="004E3FDC">
              <w:rPr>
                <w:rFonts w:ascii="Cambria" w:hAnsi="Cambria"/>
                <w:sz w:val="22"/>
                <w:szCs w:val="22"/>
                <w:lang w:val="it-IT"/>
              </w:rPr>
              <w:t>nakon</w:t>
            </w:r>
            <w:proofErr w:type="spellEnd"/>
            <w:r w:rsidRPr="004E3FDC">
              <w:rPr>
                <w:rFonts w:ascii="Cambria" w:hAnsi="Cambria"/>
                <w:sz w:val="22"/>
                <w:szCs w:val="22"/>
                <w:lang w:val="it-IT"/>
              </w:rPr>
              <w:t xml:space="preserve"> </w:t>
            </w:r>
            <w:proofErr w:type="spellStart"/>
            <w:r w:rsidRPr="004E3FDC">
              <w:rPr>
                <w:rFonts w:ascii="Cambria" w:hAnsi="Cambria"/>
                <w:sz w:val="22"/>
                <w:szCs w:val="22"/>
                <w:lang w:val="it-IT"/>
              </w:rPr>
              <w:t>odslušanog</w:t>
            </w:r>
            <w:proofErr w:type="spellEnd"/>
            <w:r w:rsidRPr="004E3FDC">
              <w:rPr>
                <w:rFonts w:ascii="Cambria" w:hAnsi="Cambria"/>
                <w:sz w:val="22"/>
                <w:szCs w:val="22"/>
                <w:lang w:val="it-IT"/>
              </w:rPr>
              <w:t xml:space="preserve"> </w:t>
            </w:r>
            <w:proofErr w:type="spellStart"/>
            <w:r w:rsidRPr="004E3FDC">
              <w:rPr>
                <w:rFonts w:ascii="Cambria" w:hAnsi="Cambria"/>
                <w:sz w:val="22"/>
                <w:szCs w:val="22"/>
                <w:lang w:val="it-IT"/>
              </w:rPr>
              <w:t>glazbenog</w:t>
            </w:r>
            <w:proofErr w:type="spellEnd"/>
            <w:r w:rsidRPr="004E3FDC">
              <w:rPr>
                <w:rFonts w:ascii="Cambria" w:hAnsi="Cambria"/>
                <w:sz w:val="22"/>
                <w:szCs w:val="22"/>
                <w:lang w:val="it-IT"/>
              </w:rPr>
              <w:t xml:space="preserve"> </w:t>
            </w:r>
            <w:proofErr w:type="spellStart"/>
            <w:r w:rsidRPr="004E3FDC">
              <w:rPr>
                <w:rFonts w:ascii="Cambria" w:hAnsi="Cambria"/>
                <w:sz w:val="22"/>
                <w:szCs w:val="22"/>
                <w:lang w:val="it-IT"/>
              </w:rPr>
              <w:t>događaja</w:t>
            </w:r>
            <w:proofErr w:type="spellEnd"/>
            <w:r w:rsidRPr="004E3FDC">
              <w:rPr>
                <w:rFonts w:ascii="Cambria" w:hAnsi="Cambria"/>
                <w:sz w:val="22"/>
                <w:szCs w:val="22"/>
                <w:lang w:val="it-IT"/>
              </w:rPr>
              <w:t xml:space="preserve">. </w:t>
            </w:r>
            <w:proofErr w:type="spellStart"/>
            <w:r w:rsidRPr="004E3FDC">
              <w:rPr>
                <w:rFonts w:ascii="Cambria" w:hAnsi="Cambria"/>
                <w:sz w:val="22"/>
                <w:szCs w:val="22"/>
                <w:lang w:val="it-IT"/>
              </w:rPr>
              <w:t>Kašnjenje</w:t>
            </w:r>
            <w:proofErr w:type="spellEnd"/>
            <w:r w:rsidRPr="004E3FDC">
              <w:rPr>
                <w:rFonts w:ascii="Cambria" w:hAnsi="Cambria"/>
                <w:sz w:val="22"/>
                <w:szCs w:val="22"/>
                <w:lang w:val="it-IT"/>
              </w:rPr>
              <w:t xml:space="preserve"> </w:t>
            </w:r>
            <w:proofErr w:type="spellStart"/>
            <w:r w:rsidRPr="004E3FDC">
              <w:rPr>
                <w:rFonts w:ascii="Cambria" w:hAnsi="Cambria"/>
                <w:sz w:val="22"/>
                <w:szCs w:val="22"/>
                <w:lang w:val="it-IT"/>
              </w:rPr>
              <w:t>smanjuje</w:t>
            </w:r>
            <w:proofErr w:type="spellEnd"/>
            <w:r w:rsidRPr="004E3FDC">
              <w:rPr>
                <w:rFonts w:ascii="Cambria" w:hAnsi="Cambria"/>
                <w:sz w:val="22"/>
                <w:szCs w:val="22"/>
                <w:lang w:val="it-IT"/>
              </w:rPr>
              <w:t xml:space="preserve"> </w:t>
            </w:r>
            <w:proofErr w:type="spellStart"/>
            <w:r w:rsidRPr="004E3FDC">
              <w:rPr>
                <w:rFonts w:ascii="Cambria" w:hAnsi="Cambria"/>
                <w:sz w:val="22"/>
                <w:szCs w:val="22"/>
                <w:lang w:val="it-IT"/>
              </w:rPr>
              <w:t>bodove</w:t>
            </w:r>
            <w:proofErr w:type="spellEnd"/>
            <w:r w:rsidRPr="004E3FDC">
              <w:rPr>
                <w:rFonts w:ascii="Cambria" w:hAnsi="Cambria"/>
                <w:sz w:val="22"/>
                <w:szCs w:val="22"/>
                <w:lang w:val="it-IT"/>
              </w:rPr>
              <w:t xml:space="preserve"> za 25 % </w:t>
            </w:r>
            <w:proofErr w:type="gramStart"/>
            <w:r w:rsidRPr="004E3FDC">
              <w:rPr>
                <w:rFonts w:ascii="Cambria" w:hAnsi="Cambria"/>
                <w:sz w:val="22"/>
                <w:szCs w:val="22"/>
                <w:lang w:val="it-IT"/>
              </w:rPr>
              <w:t>od</w:t>
            </w:r>
            <w:proofErr w:type="gramEnd"/>
            <w:r w:rsidRPr="004E3FDC">
              <w:rPr>
                <w:rFonts w:ascii="Cambria" w:hAnsi="Cambria"/>
                <w:sz w:val="22"/>
                <w:szCs w:val="22"/>
                <w:lang w:val="it-IT"/>
              </w:rPr>
              <w:t xml:space="preserve"> </w:t>
            </w:r>
            <w:proofErr w:type="spellStart"/>
            <w:r w:rsidRPr="004E3FDC">
              <w:rPr>
                <w:rFonts w:ascii="Cambria" w:hAnsi="Cambria"/>
                <w:sz w:val="22"/>
                <w:szCs w:val="22"/>
                <w:lang w:val="it-IT"/>
              </w:rPr>
              <w:t>predviđenih</w:t>
            </w:r>
            <w:proofErr w:type="spellEnd"/>
            <w:r w:rsidRPr="004E3FDC">
              <w:rPr>
                <w:rFonts w:ascii="Cambria" w:hAnsi="Cambria"/>
                <w:sz w:val="22"/>
                <w:szCs w:val="22"/>
                <w:lang w:val="it-IT"/>
              </w:rPr>
              <w:t>.</w:t>
            </w:r>
          </w:p>
          <w:p w14:paraId="28C17B36" w14:textId="77777777" w:rsidR="001421C4" w:rsidRPr="004E3FDC" w:rsidRDefault="001421C4">
            <w:pPr>
              <w:rPr>
                <w:rFonts w:ascii="Cambria" w:hAnsi="Cambria"/>
                <w:sz w:val="22"/>
                <w:szCs w:val="22"/>
                <w:lang w:val="it-IT"/>
              </w:rPr>
            </w:pPr>
            <w:proofErr w:type="spellStart"/>
            <w:r w:rsidRPr="004E3FDC">
              <w:rPr>
                <w:rFonts w:ascii="Cambria" w:hAnsi="Cambria"/>
                <w:sz w:val="22"/>
                <w:szCs w:val="22"/>
                <w:lang w:val="it-IT"/>
              </w:rPr>
              <w:t>Pismeni</w:t>
            </w:r>
            <w:proofErr w:type="spellEnd"/>
            <w:r w:rsidRPr="004E3FDC">
              <w:rPr>
                <w:rFonts w:ascii="Cambria" w:hAnsi="Cambria"/>
                <w:sz w:val="22"/>
                <w:szCs w:val="22"/>
                <w:lang w:val="it-IT"/>
              </w:rPr>
              <w:t xml:space="preserve"> </w:t>
            </w:r>
            <w:proofErr w:type="spellStart"/>
            <w:r w:rsidRPr="004E3FDC">
              <w:rPr>
                <w:rFonts w:ascii="Cambria" w:hAnsi="Cambria"/>
                <w:sz w:val="22"/>
                <w:szCs w:val="22"/>
                <w:lang w:val="it-IT"/>
              </w:rPr>
              <w:t>ispit</w:t>
            </w:r>
            <w:proofErr w:type="spellEnd"/>
            <w:r w:rsidRPr="004E3FDC">
              <w:rPr>
                <w:rFonts w:ascii="Cambria" w:hAnsi="Cambria"/>
                <w:sz w:val="22"/>
                <w:szCs w:val="22"/>
                <w:lang w:val="it-IT"/>
              </w:rPr>
              <w:t xml:space="preserve"> </w:t>
            </w:r>
            <w:proofErr w:type="spellStart"/>
            <w:r w:rsidRPr="004E3FDC">
              <w:rPr>
                <w:rFonts w:ascii="Cambria" w:hAnsi="Cambria"/>
                <w:sz w:val="22"/>
                <w:szCs w:val="22"/>
                <w:lang w:val="it-IT"/>
              </w:rPr>
              <w:t>najviše</w:t>
            </w:r>
            <w:proofErr w:type="spellEnd"/>
            <w:r w:rsidRPr="004E3FDC">
              <w:rPr>
                <w:rFonts w:ascii="Cambria" w:hAnsi="Cambria"/>
                <w:sz w:val="22"/>
                <w:szCs w:val="22"/>
                <w:lang w:val="it-IT"/>
              </w:rPr>
              <w:t xml:space="preserve"> se </w:t>
            </w:r>
            <w:proofErr w:type="spellStart"/>
            <w:r w:rsidRPr="004E3FDC">
              <w:rPr>
                <w:rFonts w:ascii="Cambria" w:hAnsi="Cambria"/>
                <w:sz w:val="22"/>
                <w:szCs w:val="22"/>
                <w:lang w:val="it-IT"/>
              </w:rPr>
              <w:t>mogu</w:t>
            </w:r>
            <w:proofErr w:type="spellEnd"/>
            <w:r w:rsidRPr="004E3FDC">
              <w:rPr>
                <w:rFonts w:ascii="Cambria" w:hAnsi="Cambria"/>
                <w:sz w:val="22"/>
                <w:szCs w:val="22"/>
                <w:lang w:val="it-IT"/>
              </w:rPr>
              <w:t xml:space="preserve"> </w:t>
            </w:r>
            <w:proofErr w:type="spellStart"/>
            <w:r w:rsidRPr="004E3FDC">
              <w:rPr>
                <w:rFonts w:ascii="Cambria" w:hAnsi="Cambria"/>
                <w:sz w:val="22"/>
                <w:szCs w:val="22"/>
                <w:lang w:val="it-IT"/>
              </w:rPr>
              <w:t>dobiti</w:t>
            </w:r>
            <w:proofErr w:type="spellEnd"/>
            <w:r w:rsidRPr="004E3FDC">
              <w:rPr>
                <w:rFonts w:ascii="Cambria" w:hAnsi="Cambria"/>
                <w:sz w:val="22"/>
                <w:szCs w:val="22"/>
                <w:lang w:val="it-IT"/>
              </w:rPr>
              <w:t xml:space="preserve"> 30 % </w:t>
            </w:r>
            <w:proofErr w:type="spellStart"/>
            <w:r w:rsidRPr="004E3FDC">
              <w:rPr>
                <w:rFonts w:ascii="Cambria" w:hAnsi="Cambria"/>
                <w:sz w:val="22"/>
                <w:szCs w:val="22"/>
                <w:lang w:val="it-IT"/>
              </w:rPr>
              <w:t>udjela</w:t>
            </w:r>
            <w:proofErr w:type="spellEnd"/>
            <w:r w:rsidRPr="004E3FDC">
              <w:rPr>
                <w:rFonts w:ascii="Cambria" w:hAnsi="Cambria"/>
                <w:sz w:val="22"/>
                <w:szCs w:val="22"/>
                <w:lang w:val="it-IT"/>
              </w:rPr>
              <w:t xml:space="preserve"> u </w:t>
            </w:r>
            <w:proofErr w:type="spellStart"/>
            <w:r w:rsidRPr="004E3FDC">
              <w:rPr>
                <w:rFonts w:ascii="Cambria" w:hAnsi="Cambria"/>
                <w:sz w:val="22"/>
                <w:szCs w:val="22"/>
                <w:lang w:val="it-IT"/>
              </w:rPr>
              <w:t>ocjeni</w:t>
            </w:r>
            <w:proofErr w:type="spellEnd"/>
            <w:r w:rsidRPr="004E3FDC">
              <w:rPr>
                <w:rFonts w:ascii="Cambria" w:hAnsi="Cambria"/>
                <w:sz w:val="22"/>
                <w:szCs w:val="22"/>
                <w:lang w:val="it-IT"/>
              </w:rPr>
              <w:t>.</w:t>
            </w:r>
          </w:p>
          <w:p w14:paraId="21A08B2E" w14:textId="77777777" w:rsidR="001421C4" w:rsidRPr="004E3FDC" w:rsidRDefault="001421C4">
            <w:pPr>
              <w:rPr>
                <w:rFonts w:ascii="Cambria" w:hAnsi="Cambria"/>
                <w:sz w:val="22"/>
                <w:szCs w:val="22"/>
                <w:lang w:val="it-IT"/>
              </w:rPr>
            </w:pPr>
            <w:r w:rsidRPr="004E3FDC">
              <w:rPr>
                <w:rFonts w:ascii="Cambria" w:hAnsi="Cambria"/>
                <w:sz w:val="22"/>
                <w:szCs w:val="22"/>
                <w:lang w:val="it-IT"/>
              </w:rPr>
              <w:t xml:space="preserve">0 % = </w:t>
            </w:r>
            <w:proofErr w:type="spellStart"/>
            <w:r w:rsidRPr="004E3FDC">
              <w:rPr>
                <w:rFonts w:ascii="Cambria" w:hAnsi="Cambria"/>
                <w:sz w:val="22"/>
                <w:szCs w:val="22"/>
                <w:lang w:val="it-IT"/>
              </w:rPr>
              <w:t>manje</w:t>
            </w:r>
            <w:proofErr w:type="spellEnd"/>
            <w:r w:rsidRPr="004E3FDC">
              <w:rPr>
                <w:rFonts w:ascii="Cambria" w:hAnsi="Cambria"/>
                <w:sz w:val="22"/>
                <w:szCs w:val="22"/>
                <w:lang w:val="it-IT"/>
              </w:rPr>
              <w:t xml:space="preserve"> </w:t>
            </w:r>
            <w:proofErr w:type="gramStart"/>
            <w:r w:rsidRPr="004E3FDC">
              <w:rPr>
                <w:rFonts w:ascii="Cambria" w:hAnsi="Cambria"/>
                <w:sz w:val="22"/>
                <w:szCs w:val="22"/>
                <w:lang w:val="it-IT"/>
              </w:rPr>
              <w:t>od</w:t>
            </w:r>
            <w:proofErr w:type="gramEnd"/>
            <w:r w:rsidRPr="004E3FDC">
              <w:rPr>
                <w:rFonts w:ascii="Cambria" w:hAnsi="Cambria"/>
                <w:sz w:val="22"/>
                <w:szCs w:val="22"/>
                <w:lang w:val="it-IT"/>
              </w:rPr>
              <w:t xml:space="preserve"> 50% </w:t>
            </w:r>
            <w:proofErr w:type="spellStart"/>
            <w:r w:rsidRPr="004E3FDC">
              <w:rPr>
                <w:rFonts w:ascii="Cambria" w:hAnsi="Cambria"/>
                <w:sz w:val="22"/>
                <w:szCs w:val="22"/>
                <w:lang w:val="it-IT"/>
              </w:rPr>
              <w:t>točnih</w:t>
            </w:r>
            <w:proofErr w:type="spellEnd"/>
            <w:r w:rsidRPr="004E3FDC">
              <w:rPr>
                <w:rFonts w:ascii="Cambria" w:hAnsi="Cambria"/>
                <w:sz w:val="22"/>
                <w:szCs w:val="22"/>
                <w:lang w:val="it-IT"/>
              </w:rPr>
              <w:t xml:space="preserve"> </w:t>
            </w:r>
            <w:proofErr w:type="spellStart"/>
            <w:r w:rsidRPr="004E3FDC">
              <w:rPr>
                <w:rFonts w:ascii="Cambria" w:hAnsi="Cambria"/>
                <w:sz w:val="22"/>
                <w:szCs w:val="22"/>
                <w:lang w:val="it-IT"/>
              </w:rPr>
              <w:t>odgovora</w:t>
            </w:r>
            <w:proofErr w:type="spellEnd"/>
          </w:p>
          <w:p w14:paraId="27081EE8" w14:textId="77777777" w:rsidR="001421C4" w:rsidRPr="004E3FDC" w:rsidRDefault="001421C4">
            <w:pPr>
              <w:rPr>
                <w:rFonts w:ascii="Cambria" w:hAnsi="Cambria"/>
                <w:sz w:val="22"/>
                <w:szCs w:val="22"/>
                <w:lang w:val="it-IT"/>
              </w:rPr>
            </w:pPr>
            <w:proofErr w:type="spellStart"/>
            <w:r w:rsidRPr="004E3FDC">
              <w:rPr>
                <w:rFonts w:ascii="Cambria" w:hAnsi="Cambria"/>
                <w:sz w:val="22"/>
                <w:szCs w:val="22"/>
                <w:lang w:val="it-IT"/>
              </w:rPr>
              <w:t>Svaki</w:t>
            </w:r>
            <w:proofErr w:type="spellEnd"/>
            <w:r w:rsidRPr="004E3FDC">
              <w:rPr>
                <w:rFonts w:ascii="Cambria" w:hAnsi="Cambria"/>
                <w:sz w:val="22"/>
                <w:szCs w:val="22"/>
                <w:lang w:val="it-IT"/>
              </w:rPr>
              <w:t xml:space="preserve"> </w:t>
            </w:r>
            <w:proofErr w:type="spellStart"/>
            <w:proofErr w:type="gramStart"/>
            <w:r w:rsidRPr="004E3FDC">
              <w:rPr>
                <w:rFonts w:ascii="Cambria" w:hAnsi="Cambria"/>
                <w:sz w:val="22"/>
                <w:szCs w:val="22"/>
                <w:lang w:val="it-IT"/>
              </w:rPr>
              <w:t>slijedeći</w:t>
            </w:r>
            <w:proofErr w:type="spellEnd"/>
            <w:r w:rsidRPr="004E3FDC">
              <w:rPr>
                <w:rFonts w:ascii="Cambria" w:hAnsi="Cambria"/>
                <w:sz w:val="22"/>
                <w:szCs w:val="22"/>
                <w:lang w:val="it-IT"/>
              </w:rPr>
              <w:t xml:space="preserve">  %</w:t>
            </w:r>
            <w:proofErr w:type="gramEnd"/>
            <w:r w:rsidRPr="004E3FDC">
              <w:rPr>
                <w:rFonts w:ascii="Cambria" w:hAnsi="Cambria"/>
                <w:sz w:val="22"/>
                <w:szCs w:val="22"/>
                <w:lang w:val="it-IT"/>
              </w:rPr>
              <w:t xml:space="preserve"> </w:t>
            </w:r>
            <w:proofErr w:type="spellStart"/>
            <w:r w:rsidRPr="004E3FDC">
              <w:rPr>
                <w:rFonts w:ascii="Cambria" w:hAnsi="Cambria"/>
                <w:sz w:val="22"/>
                <w:szCs w:val="22"/>
                <w:lang w:val="it-IT"/>
              </w:rPr>
              <w:t>nosi</w:t>
            </w:r>
            <w:proofErr w:type="spellEnd"/>
            <w:r w:rsidRPr="004E3FDC">
              <w:rPr>
                <w:rFonts w:ascii="Cambria" w:hAnsi="Cambria"/>
                <w:sz w:val="22"/>
                <w:szCs w:val="22"/>
                <w:lang w:val="it-IT"/>
              </w:rPr>
              <w:t xml:space="preserve"> 0,6 </w:t>
            </w:r>
            <w:proofErr w:type="spellStart"/>
            <w:r w:rsidRPr="004E3FDC">
              <w:rPr>
                <w:rFonts w:ascii="Cambria" w:hAnsi="Cambria"/>
                <w:sz w:val="22"/>
                <w:szCs w:val="22"/>
                <w:lang w:val="it-IT"/>
              </w:rPr>
              <w:t>udjela</w:t>
            </w:r>
            <w:proofErr w:type="spellEnd"/>
            <w:r w:rsidRPr="004E3FDC">
              <w:rPr>
                <w:rFonts w:ascii="Cambria" w:hAnsi="Cambria"/>
                <w:sz w:val="22"/>
                <w:szCs w:val="22"/>
                <w:lang w:val="it-IT"/>
              </w:rPr>
              <w:t xml:space="preserve"> u </w:t>
            </w:r>
            <w:proofErr w:type="spellStart"/>
            <w:r w:rsidRPr="004E3FDC">
              <w:rPr>
                <w:rFonts w:ascii="Cambria" w:hAnsi="Cambria"/>
                <w:sz w:val="22"/>
                <w:szCs w:val="22"/>
                <w:lang w:val="it-IT"/>
              </w:rPr>
              <w:t>ocjeni</w:t>
            </w:r>
            <w:proofErr w:type="spellEnd"/>
            <w:r w:rsidRPr="004E3FDC">
              <w:rPr>
                <w:rFonts w:ascii="Cambria" w:hAnsi="Cambria"/>
                <w:sz w:val="22"/>
                <w:szCs w:val="22"/>
                <w:lang w:val="it-IT"/>
              </w:rPr>
              <w:t>.</w:t>
            </w:r>
          </w:p>
        </w:tc>
      </w:tr>
      <w:tr w:rsidR="001421C4" w:rsidRPr="00D0399C" w14:paraId="67202D3B" w14:textId="77777777" w:rsidTr="001421C4">
        <w:tc>
          <w:tcPr>
            <w:tcW w:w="2460" w:type="dxa"/>
            <w:tcBorders>
              <w:top w:val="single" w:sz="4" w:space="0" w:color="auto"/>
              <w:left w:val="single" w:sz="4" w:space="0" w:color="auto"/>
              <w:bottom w:val="single" w:sz="4" w:space="0" w:color="auto"/>
              <w:right w:val="single" w:sz="4" w:space="0" w:color="auto"/>
            </w:tcBorders>
            <w:shd w:val="clear" w:color="auto" w:fill="F3F3F3"/>
            <w:tcMar>
              <w:top w:w="15" w:type="dxa"/>
              <w:left w:w="15" w:type="dxa"/>
              <w:bottom w:w="15" w:type="dxa"/>
              <w:right w:w="15" w:type="dxa"/>
            </w:tcMar>
            <w:vAlign w:val="center"/>
            <w:hideMark/>
          </w:tcPr>
          <w:p w14:paraId="0F71CC4E" w14:textId="77777777" w:rsidR="001421C4" w:rsidRPr="001421C4" w:rsidRDefault="001421C4">
            <w:pPr>
              <w:rPr>
                <w:rFonts w:ascii="Cambria" w:hAnsi="Cambria"/>
                <w:sz w:val="22"/>
                <w:szCs w:val="22"/>
              </w:rPr>
            </w:pPr>
            <w:proofErr w:type="spellStart"/>
            <w:r w:rsidRPr="001421C4">
              <w:rPr>
                <w:rFonts w:ascii="Cambria" w:hAnsi="Cambria"/>
                <w:sz w:val="22"/>
                <w:szCs w:val="22"/>
              </w:rPr>
              <w:lastRenderedPageBreak/>
              <w:t>Studentske</w:t>
            </w:r>
            <w:proofErr w:type="spellEnd"/>
            <w:r w:rsidRPr="001421C4">
              <w:rPr>
                <w:rFonts w:ascii="Cambria" w:hAnsi="Cambria"/>
                <w:sz w:val="22"/>
                <w:szCs w:val="22"/>
              </w:rPr>
              <w:t xml:space="preserve"> </w:t>
            </w:r>
            <w:proofErr w:type="spellStart"/>
            <w:r w:rsidRPr="001421C4">
              <w:rPr>
                <w:rFonts w:ascii="Cambria" w:hAnsi="Cambria"/>
                <w:sz w:val="22"/>
                <w:szCs w:val="22"/>
              </w:rPr>
              <w:t>obveze</w:t>
            </w:r>
            <w:proofErr w:type="spellEnd"/>
          </w:p>
        </w:tc>
        <w:tc>
          <w:tcPr>
            <w:tcW w:w="7741"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BB7746D" w14:textId="77777777" w:rsidR="001421C4" w:rsidRPr="001421C4" w:rsidRDefault="001421C4">
            <w:pPr>
              <w:rPr>
                <w:rFonts w:ascii="Cambria" w:hAnsi="Cambria"/>
                <w:sz w:val="22"/>
                <w:szCs w:val="22"/>
                <w:lang w:val="it-IT"/>
              </w:rPr>
            </w:pPr>
            <w:r w:rsidRPr="001421C4">
              <w:rPr>
                <w:rFonts w:ascii="Cambria" w:hAnsi="Cambria"/>
                <w:sz w:val="22"/>
                <w:szCs w:val="22"/>
                <w:lang w:val="it-IT"/>
              </w:rPr>
              <w:t xml:space="preserve">Da </w:t>
            </w:r>
            <w:proofErr w:type="spellStart"/>
            <w:r w:rsidRPr="001421C4">
              <w:rPr>
                <w:rFonts w:ascii="Cambria" w:hAnsi="Cambria"/>
                <w:sz w:val="22"/>
                <w:szCs w:val="22"/>
                <w:lang w:val="it-IT"/>
              </w:rPr>
              <w:t>položi</w:t>
            </w:r>
            <w:proofErr w:type="spellEnd"/>
            <w:r w:rsidRPr="001421C4">
              <w:rPr>
                <w:rFonts w:ascii="Cambria" w:hAnsi="Cambria"/>
                <w:sz w:val="22"/>
                <w:szCs w:val="22"/>
                <w:lang w:val="it-IT"/>
              </w:rPr>
              <w:t xml:space="preserve"> </w:t>
            </w:r>
            <w:proofErr w:type="spellStart"/>
            <w:r w:rsidRPr="001421C4">
              <w:rPr>
                <w:rFonts w:ascii="Cambria" w:hAnsi="Cambria"/>
                <w:sz w:val="22"/>
                <w:szCs w:val="22"/>
                <w:lang w:val="it-IT"/>
              </w:rPr>
              <w:t>kolegij</w:t>
            </w:r>
            <w:proofErr w:type="spellEnd"/>
            <w:r w:rsidRPr="001421C4">
              <w:rPr>
                <w:rFonts w:ascii="Cambria" w:hAnsi="Cambria"/>
                <w:sz w:val="22"/>
                <w:szCs w:val="22"/>
                <w:lang w:val="it-IT"/>
              </w:rPr>
              <w:t xml:space="preserve">, </w:t>
            </w:r>
            <w:proofErr w:type="spellStart"/>
            <w:r w:rsidRPr="001421C4">
              <w:rPr>
                <w:rFonts w:ascii="Cambria" w:hAnsi="Cambria"/>
                <w:sz w:val="22"/>
                <w:szCs w:val="22"/>
                <w:lang w:val="it-IT"/>
              </w:rPr>
              <w:t>student</w:t>
            </w:r>
            <w:proofErr w:type="spellEnd"/>
            <w:r w:rsidRPr="001421C4">
              <w:rPr>
                <w:rFonts w:ascii="Cambria" w:hAnsi="Cambria"/>
                <w:sz w:val="22"/>
                <w:szCs w:val="22"/>
                <w:lang w:val="it-IT"/>
              </w:rPr>
              <w:t>/</w:t>
            </w:r>
            <w:proofErr w:type="spellStart"/>
            <w:r w:rsidRPr="001421C4">
              <w:rPr>
                <w:rFonts w:ascii="Cambria" w:hAnsi="Cambria"/>
                <w:sz w:val="22"/>
                <w:szCs w:val="22"/>
                <w:lang w:val="it-IT"/>
              </w:rPr>
              <w:t>studentica</w:t>
            </w:r>
            <w:proofErr w:type="spellEnd"/>
            <w:r w:rsidRPr="001421C4">
              <w:rPr>
                <w:rFonts w:ascii="Cambria" w:hAnsi="Cambria"/>
                <w:sz w:val="22"/>
                <w:szCs w:val="22"/>
                <w:lang w:val="it-IT"/>
              </w:rPr>
              <w:t xml:space="preserve"> mora:</w:t>
            </w:r>
          </w:p>
          <w:p w14:paraId="67FA33E4" w14:textId="77777777" w:rsidR="001421C4" w:rsidRPr="001421C4" w:rsidRDefault="001421C4" w:rsidP="00A034E3">
            <w:pPr>
              <w:numPr>
                <w:ilvl w:val="0"/>
                <w:numId w:val="104"/>
              </w:numPr>
              <w:spacing w:before="100" w:beforeAutospacing="1" w:after="100" w:afterAutospacing="1" w:line="254" w:lineRule="auto"/>
              <w:rPr>
                <w:rFonts w:ascii="Cambria" w:hAnsi="Cambria"/>
                <w:sz w:val="22"/>
                <w:szCs w:val="22"/>
              </w:rPr>
            </w:pPr>
            <w:proofErr w:type="spellStart"/>
            <w:r w:rsidRPr="001421C4">
              <w:rPr>
                <w:rFonts w:ascii="Cambria" w:hAnsi="Cambria"/>
                <w:sz w:val="22"/>
                <w:szCs w:val="22"/>
              </w:rPr>
              <w:t>pohađati</w:t>
            </w:r>
            <w:proofErr w:type="spellEnd"/>
            <w:r w:rsidRPr="001421C4">
              <w:rPr>
                <w:rFonts w:ascii="Cambria" w:hAnsi="Cambria"/>
                <w:sz w:val="22"/>
                <w:szCs w:val="22"/>
              </w:rPr>
              <w:t xml:space="preserve"> </w:t>
            </w:r>
            <w:proofErr w:type="spellStart"/>
            <w:r w:rsidRPr="001421C4">
              <w:rPr>
                <w:rFonts w:ascii="Cambria" w:hAnsi="Cambria"/>
                <w:sz w:val="22"/>
                <w:szCs w:val="22"/>
              </w:rPr>
              <w:t>nastavu</w:t>
            </w:r>
            <w:proofErr w:type="spellEnd"/>
          </w:p>
          <w:p w14:paraId="04A597CF" w14:textId="77777777" w:rsidR="001421C4" w:rsidRPr="001421C4" w:rsidRDefault="001421C4" w:rsidP="00A034E3">
            <w:pPr>
              <w:numPr>
                <w:ilvl w:val="0"/>
                <w:numId w:val="104"/>
              </w:numPr>
              <w:spacing w:before="100" w:beforeAutospacing="1" w:after="100" w:afterAutospacing="1" w:line="254" w:lineRule="auto"/>
              <w:rPr>
                <w:rFonts w:ascii="Cambria" w:hAnsi="Cambria"/>
                <w:sz w:val="22"/>
                <w:szCs w:val="22"/>
              </w:rPr>
            </w:pPr>
            <w:proofErr w:type="spellStart"/>
            <w:r w:rsidRPr="001421C4">
              <w:rPr>
                <w:rFonts w:ascii="Cambria" w:hAnsi="Cambria"/>
                <w:sz w:val="22"/>
                <w:szCs w:val="22"/>
              </w:rPr>
              <w:t>posjetiti</w:t>
            </w:r>
            <w:proofErr w:type="spellEnd"/>
            <w:r w:rsidRPr="001421C4">
              <w:rPr>
                <w:rFonts w:ascii="Cambria" w:hAnsi="Cambria"/>
                <w:sz w:val="22"/>
                <w:szCs w:val="22"/>
              </w:rPr>
              <w:t xml:space="preserve"> </w:t>
            </w:r>
            <w:proofErr w:type="spellStart"/>
            <w:r w:rsidRPr="001421C4">
              <w:rPr>
                <w:rFonts w:ascii="Cambria" w:hAnsi="Cambria"/>
                <w:sz w:val="22"/>
                <w:szCs w:val="22"/>
              </w:rPr>
              <w:t>zborsku</w:t>
            </w:r>
            <w:proofErr w:type="spellEnd"/>
            <w:r w:rsidRPr="001421C4">
              <w:rPr>
                <w:rFonts w:ascii="Cambria" w:hAnsi="Cambria"/>
                <w:sz w:val="22"/>
                <w:szCs w:val="22"/>
              </w:rPr>
              <w:t xml:space="preserve"> </w:t>
            </w:r>
            <w:proofErr w:type="spellStart"/>
            <w:r w:rsidRPr="001421C4">
              <w:rPr>
                <w:rFonts w:ascii="Cambria" w:hAnsi="Cambria"/>
                <w:sz w:val="22"/>
                <w:szCs w:val="22"/>
              </w:rPr>
              <w:t>probu</w:t>
            </w:r>
            <w:proofErr w:type="spellEnd"/>
          </w:p>
          <w:p w14:paraId="5FBD9BD7" w14:textId="77777777" w:rsidR="001421C4" w:rsidRPr="001421C4" w:rsidRDefault="001421C4" w:rsidP="00A034E3">
            <w:pPr>
              <w:numPr>
                <w:ilvl w:val="0"/>
                <w:numId w:val="104"/>
              </w:numPr>
              <w:spacing w:before="100" w:beforeAutospacing="1" w:after="100" w:afterAutospacing="1" w:line="254" w:lineRule="auto"/>
              <w:rPr>
                <w:rFonts w:ascii="Cambria" w:hAnsi="Cambria"/>
                <w:sz w:val="22"/>
                <w:szCs w:val="22"/>
              </w:rPr>
            </w:pPr>
            <w:proofErr w:type="spellStart"/>
            <w:r w:rsidRPr="001421C4">
              <w:rPr>
                <w:rFonts w:ascii="Cambria" w:hAnsi="Cambria"/>
                <w:sz w:val="22"/>
                <w:szCs w:val="22"/>
              </w:rPr>
              <w:t>otići</w:t>
            </w:r>
            <w:proofErr w:type="spellEnd"/>
            <w:r w:rsidRPr="001421C4">
              <w:rPr>
                <w:rFonts w:ascii="Cambria" w:hAnsi="Cambria"/>
                <w:sz w:val="22"/>
                <w:szCs w:val="22"/>
              </w:rPr>
              <w:t xml:space="preserve"> </w:t>
            </w:r>
            <w:proofErr w:type="spellStart"/>
            <w:r w:rsidRPr="001421C4">
              <w:rPr>
                <w:rFonts w:ascii="Cambria" w:hAnsi="Cambria"/>
                <w:sz w:val="22"/>
                <w:szCs w:val="22"/>
              </w:rPr>
              <w:t>na</w:t>
            </w:r>
            <w:proofErr w:type="spellEnd"/>
            <w:r w:rsidRPr="001421C4">
              <w:rPr>
                <w:rFonts w:ascii="Cambria" w:hAnsi="Cambria"/>
                <w:sz w:val="22"/>
                <w:szCs w:val="22"/>
              </w:rPr>
              <w:t xml:space="preserve"> </w:t>
            </w:r>
            <w:proofErr w:type="spellStart"/>
            <w:r w:rsidRPr="001421C4">
              <w:rPr>
                <w:rFonts w:ascii="Cambria" w:hAnsi="Cambria"/>
                <w:sz w:val="22"/>
                <w:szCs w:val="22"/>
              </w:rPr>
              <w:t>koncert</w:t>
            </w:r>
            <w:proofErr w:type="spellEnd"/>
            <w:r w:rsidRPr="001421C4">
              <w:rPr>
                <w:rFonts w:ascii="Cambria" w:hAnsi="Cambria"/>
                <w:sz w:val="22"/>
                <w:szCs w:val="22"/>
              </w:rPr>
              <w:t xml:space="preserve"> </w:t>
            </w:r>
            <w:proofErr w:type="spellStart"/>
            <w:r w:rsidRPr="001421C4">
              <w:rPr>
                <w:rFonts w:ascii="Cambria" w:hAnsi="Cambria"/>
                <w:sz w:val="22"/>
                <w:szCs w:val="22"/>
              </w:rPr>
              <w:t>vokalne</w:t>
            </w:r>
            <w:proofErr w:type="spellEnd"/>
            <w:r w:rsidRPr="001421C4">
              <w:rPr>
                <w:rFonts w:ascii="Cambria" w:hAnsi="Cambria"/>
                <w:sz w:val="22"/>
                <w:szCs w:val="22"/>
              </w:rPr>
              <w:t xml:space="preserve"> </w:t>
            </w:r>
            <w:proofErr w:type="spellStart"/>
            <w:r w:rsidRPr="001421C4">
              <w:rPr>
                <w:rFonts w:ascii="Cambria" w:hAnsi="Cambria"/>
                <w:sz w:val="22"/>
                <w:szCs w:val="22"/>
              </w:rPr>
              <w:t>glazbe</w:t>
            </w:r>
            <w:proofErr w:type="spellEnd"/>
          </w:p>
          <w:p w14:paraId="0810776D" w14:textId="77777777" w:rsidR="001421C4" w:rsidRPr="001421C4" w:rsidRDefault="001421C4" w:rsidP="00A034E3">
            <w:pPr>
              <w:numPr>
                <w:ilvl w:val="0"/>
                <w:numId w:val="104"/>
              </w:numPr>
              <w:spacing w:before="100" w:beforeAutospacing="1" w:after="100" w:afterAutospacing="1" w:line="254" w:lineRule="auto"/>
              <w:rPr>
                <w:rFonts w:ascii="Cambria" w:hAnsi="Cambria"/>
                <w:sz w:val="22"/>
                <w:szCs w:val="22"/>
                <w:lang w:val="it-IT"/>
              </w:rPr>
            </w:pPr>
            <w:proofErr w:type="spellStart"/>
            <w:r w:rsidRPr="001421C4">
              <w:rPr>
                <w:rFonts w:ascii="Cambria" w:hAnsi="Cambria"/>
                <w:sz w:val="22"/>
                <w:szCs w:val="22"/>
                <w:lang w:val="it-IT"/>
              </w:rPr>
              <w:t>napisati</w:t>
            </w:r>
            <w:proofErr w:type="spellEnd"/>
            <w:r w:rsidRPr="001421C4">
              <w:rPr>
                <w:rFonts w:ascii="Cambria" w:hAnsi="Cambria"/>
                <w:sz w:val="22"/>
                <w:szCs w:val="22"/>
                <w:lang w:val="it-IT"/>
              </w:rPr>
              <w:t xml:space="preserve"> 2 </w:t>
            </w:r>
            <w:proofErr w:type="spellStart"/>
            <w:r w:rsidRPr="001421C4">
              <w:rPr>
                <w:rFonts w:ascii="Cambria" w:hAnsi="Cambria"/>
                <w:sz w:val="22"/>
                <w:szCs w:val="22"/>
                <w:lang w:val="it-IT"/>
              </w:rPr>
              <w:t>osvrta</w:t>
            </w:r>
            <w:proofErr w:type="spellEnd"/>
            <w:r w:rsidRPr="001421C4">
              <w:rPr>
                <w:rFonts w:ascii="Cambria" w:hAnsi="Cambria"/>
                <w:sz w:val="22"/>
                <w:szCs w:val="22"/>
                <w:lang w:val="it-IT"/>
              </w:rPr>
              <w:t xml:space="preserve"> s probe i </w:t>
            </w:r>
            <w:proofErr w:type="spellStart"/>
            <w:r w:rsidRPr="001421C4">
              <w:rPr>
                <w:rFonts w:ascii="Cambria" w:hAnsi="Cambria"/>
                <w:sz w:val="22"/>
                <w:szCs w:val="22"/>
                <w:lang w:val="it-IT"/>
              </w:rPr>
              <w:t>koncerta</w:t>
            </w:r>
            <w:proofErr w:type="spellEnd"/>
          </w:p>
          <w:p w14:paraId="7AC24EC9" w14:textId="77777777" w:rsidR="001421C4" w:rsidRPr="001421C4" w:rsidRDefault="001421C4" w:rsidP="00A034E3">
            <w:pPr>
              <w:numPr>
                <w:ilvl w:val="0"/>
                <w:numId w:val="104"/>
              </w:numPr>
              <w:spacing w:before="100" w:beforeAutospacing="1" w:after="100" w:afterAutospacing="1" w:line="254" w:lineRule="auto"/>
              <w:rPr>
                <w:rFonts w:ascii="Cambria" w:hAnsi="Cambria"/>
                <w:sz w:val="22"/>
                <w:szCs w:val="22"/>
              </w:rPr>
            </w:pPr>
            <w:proofErr w:type="spellStart"/>
            <w:r w:rsidRPr="001421C4">
              <w:rPr>
                <w:rFonts w:ascii="Cambria" w:hAnsi="Cambria"/>
                <w:sz w:val="22"/>
                <w:szCs w:val="22"/>
              </w:rPr>
              <w:t>položiti</w:t>
            </w:r>
            <w:proofErr w:type="spellEnd"/>
            <w:r w:rsidRPr="001421C4">
              <w:rPr>
                <w:rFonts w:ascii="Cambria" w:hAnsi="Cambria"/>
                <w:sz w:val="22"/>
                <w:szCs w:val="22"/>
              </w:rPr>
              <w:t xml:space="preserve"> </w:t>
            </w:r>
            <w:proofErr w:type="spellStart"/>
            <w:r w:rsidRPr="001421C4">
              <w:rPr>
                <w:rFonts w:ascii="Cambria" w:hAnsi="Cambria"/>
                <w:sz w:val="22"/>
                <w:szCs w:val="22"/>
              </w:rPr>
              <w:t>pismeni</w:t>
            </w:r>
            <w:proofErr w:type="spellEnd"/>
            <w:r w:rsidRPr="001421C4">
              <w:rPr>
                <w:rFonts w:ascii="Cambria" w:hAnsi="Cambria"/>
                <w:sz w:val="22"/>
                <w:szCs w:val="22"/>
              </w:rPr>
              <w:t xml:space="preserve"> </w:t>
            </w:r>
            <w:proofErr w:type="spellStart"/>
            <w:r w:rsidRPr="001421C4">
              <w:rPr>
                <w:rFonts w:ascii="Cambria" w:hAnsi="Cambria"/>
                <w:sz w:val="22"/>
                <w:szCs w:val="22"/>
              </w:rPr>
              <w:t>ispit</w:t>
            </w:r>
            <w:proofErr w:type="spellEnd"/>
          </w:p>
          <w:p w14:paraId="0B556C16" w14:textId="77777777" w:rsidR="001421C4" w:rsidRPr="001421C4" w:rsidRDefault="001421C4">
            <w:pPr>
              <w:rPr>
                <w:rFonts w:ascii="Cambria" w:hAnsi="Cambria"/>
                <w:sz w:val="22"/>
                <w:szCs w:val="22"/>
                <w:lang w:val="it-IT"/>
              </w:rPr>
            </w:pPr>
            <w:r w:rsidRPr="001421C4">
              <w:rPr>
                <w:rFonts w:ascii="Cambria" w:hAnsi="Cambria"/>
                <w:sz w:val="22"/>
                <w:szCs w:val="22"/>
                <w:lang w:val="it-IT"/>
              </w:rPr>
              <w:t xml:space="preserve">Za </w:t>
            </w:r>
            <w:proofErr w:type="spellStart"/>
            <w:r w:rsidRPr="001421C4">
              <w:rPr>
                <w:rFonts w:ascii="Cambria" w:hAnsi="Cambria"/>
                <w:sz w:val="22"/>
                <w:szCs w:val="22"/>
                <w:lang w:val="it-IT"/>
              </w:rPr>
              <w:t>položiti</w:t>
            </w:r>
            <w:proofErr w:type="spellEnd"/>
            <w:r w:rsidRPr="001421C4">
              <w:rPr>
                <w:rFonts w:ascii="Cambria" w:hAnsi="Cambria"/>
                <w:sz w:val="22"/>
                <w:szCs w:val="22"/>
                <w:lang w:val="it-IT"/>
              </w:rPr>
              <w:t xml:space="preserve"> </w:t>
            </w:r>
            <w:proofErr w:type="spellStart"/>
            <w:r w:rsidRPr="001421C4">
              <w:rPr>
                <w:rFonts w:ascii="Cambria" w:hAnsi="Cambria"/>
                <w:sz w:val="22"/>
                <w:szCs w:val="22"/>
                <w:lang w:val="it-IT"/>
              </w:rPr>
              <w:t>kolegij</w:t>
            </w:r>
            <w:proofErr w:type="spellEnd"/>
            <w:r w:rsidRPr="001421C4">
              <w:rPr>
                <w:rFonts w:ascii="Cambria" w:hAnsi="Cambria"/>
                <w:sz w:val="22"/>
                <w:szCs w:val="22"/>
                <w:lang w:val="it-IT"/>
              </w:rPr>
              <w:t xml:space="preserve">, </w:t>
            </w:r>
            <w:proofErr w:type="spellStart"/>
            <w:r w:rsidRPr="001421C4">
              <w:rPr>
                <w:rFonts w:ascii="Cambria" w:hAnsi="Cambria"/>
                <w:sz w:val="22"/>
                <w:szCs w:val="22"/>
                <w:lang w:val="it-IT"/>
              </w:rPr>
              <w:t>student</w:t>
            </w:r>
            <w:proofErr w:type="spellEnd"/>
            <w:r w:rsidRPr="001421C4">
              <w:rPr>
                <w:rFonts w:ascii="Cambria" w:hAnsi="Cambria"/>
                <w:sz w:val="22"/>
                <w:szCs w:val="22"/>
                <w:lang w:val="it-IT"/>
              </w:rPr>
              <w:t>/</w:t>
            </w:r>
            <w:proofErr w:type="spellStart"/>
            <w:r w:rsidRPr="001421C4">
              <w:rPr>
                <w:rFonts w:ascii="Cambria" w:hAnsi="Cambria"/>
                <w:sz w:val="22"/>
                <w:szCs w:val="22"/>
                <w:lang w:val="it-IT"/>
              </w:rPr>
              <w:t>studentica</w:t>
            </w:r>
            <w:proofErr w:type="spellEnd"/>
            <w:r w:rsidRPr="001421C4">
              <w:rPr>
                <w:rFonts w:ascii="Cambria" w:hAnsi="Cambria"/>
                <w:sz w:val="22"/>
                <w:szCs w:val="22"/>
                <w:lang w:val="it-IT"/>
              </w:rPr>
              <w:t xml:space="preserve"> mora </w:t>
            </w:r>
            <w:proofErr w:type="spellStart"/>
            <w:proofErr w:type="gramStart"/>
            <w:r w:rsidRPr="001421C4">
              <w:rPr>
                <w:rFonts w:ascii="Cambria" w:hAnsi="Cambria"/>
                <w:sz w:val="22"/>
                <w:szCs w:val="22"/>
                <w:lang w:val="it-IT"/>
              </w:rPr>
              <w:t>ostvariti</w:t>
            </w:r>
            <w:proofErr w:type="spellEnd"/>
            <w:r w:rsidRPr="001421C4">
              <w:rPr>
                <w:rFonts w:ascii="Cambria" w:hAnsi="Cambria"/>
                <w:sz w:val="22"/>
                <w:szCs w:val="22"/>
                <w:lang w:val="it-IT"/>
              </w:rPr>
              <w:t xml:space="preserve">  </w:t>
            </w:r>
            <w:proofErr w:type="spellStart"/>
            <w:r w:rsidRPr="001421C4">
              <w:rPr>
                <w:rFonts w:ascii="Cambria" w:hAnsi="Cambria"/>
                <w:sz w:val="22"/>
                <w:szCs w:val="22"/>
                <w:lang w:val="it-IT"/>
              </w:rPr>
              <w:t>ukupno</w:t>
            </w:r>
            <w:proofErr w:type="spellEnd"/>
            <w:proofErr w:type="gramEnd"/>
            <w:r w:rsidRPr="001421C4">
              <w:rPr>
                <w:rFonts w:ascii="Cambria" w:hAnsi="Cambria"/>
                <w:sz w:val="22"/>
                <w:szCs w:val="22"/>
                <w:lang w:val="it-IT"/>
              </w:rPr>
              <w:t xml:space="preserve"> 50 % </w:t>
            </w:r>
            <w:proofErr w:type="spellStart"/>
            <w:r w:rsidRPr="001421C4">
              <w:rPr>
                <w:rFonts w:ascii="Cambria" w:hAnsi="Cambria"/>
                <w:sz w:val="22"/>
                <w:szCs w:val="22"/>
                <w:lang w:val="it-IT"/>
              </w:rPr>
              <w:t>bodova</w:t>
            </w:r>
            <w:proofErr w:type="spellEnd"/>
            <w:r w:rsidRPr="001421C4">
              <w:rPr>
                <w:rFonts w:ascii="Cambria" w:hAnsi="Cambria"/>
                <w:sz w:val="22"/>
                <w:szCs w:val="22"/>
                <w:lang w:val="it-IT"/>
              </w:rPr>
              <w:t xml:space="preserve"> </w:t>
            </w:r>
            <w:proofErr w:type="spellStart"/>
            <w:r w:rsidRPr="001421C4">
              <w:rPr>
                <w:rFonts w:ascii="Cambria" w:hAnsi="Cambria"/>
                <w:sz w:val="22"/>
                <w:szCs w:val="22"/>
                <w:lang w:val="it-IT"/>
              </w:rPr>
              <w:t>iz</w:t>
            </w:r>
            <w:proofErr w:type="spellEnd"/>
            <w:r w:rsidRPr="001421C4">
              <w:rPr>
                <w:rFonts w:ascii="Cambria" w:hAnsi="Cambria"/>
                <w:sz w:val="22"/>
                <w:szCs w:val="22"/>
                <w:lang w:val="it-IT"/>
              </w:rPr>
              <w:t xml:space="preserve"> </w:t>
            </w:r>
            <w:proofErr w:type="spellStart"/>
            <w:r w:rsidRPr="001421C4">
              <w:rPr>
                <w:rFonts w:ascii="Cambria" w:hAnsi="Cambria"/>
                <w:sz w:val="22"/>
                <w:szCs w:val="22"/>
                <w:lang w:val="it-IT"/>
              </w:rPr>
              <w:t>bilo</w:t>
            </w:r>
            <w:proofErr w:type="spellEnd"/>
            <w:r w:rsidRPr="001421C4">
              <w:rPr>
                <w:rFonts w:ascii="Cambria" w:hAnsi="Cambria"/>
                <w:sz w:val="22"/>
                <w:szCs w:val="22"/>
                <w:lang w:val="it-IT"/>
              </w:rPr>
              <w:t xml:space="preserve"> </w:t>
            </w:r>
            <w:proofErr w:type="spellStart"/>
            <w:r w:rsidRPr="001421C4">
              <w:rPr>
                <w:rFonts w:ascii="Cambria" w:hAnsi="Cambria"/>
                <w:sz w:val="22"/>
                <w:szCs w:val="22"/>
                <w:lang w:val="it-IT"/>
              </w:rPr>
              <w:t>kojeg</w:t>
            </w:r>
            <w:proofErr w:type="spellEnd"/>
            <w:r w:rsidRPr="001421C4">
              <w:rPr>
                <w:rFonts w:ascii="Cambria" w:hAnsi="Cambria"/>
                <w:sz w:val="22"/>
                <w:szCs w:val="22"/>
                <w:lang w:val="it-IT"/>
              </w:rPr>
              <w:t xml:space="preserve"> segmenta.</w:t>
            </w:r>
          </w:p>
        </w:tc>
      </w:tr>
      <w:tr w:rsidR="001421C4" w:rsidRPr="00D0399C" w14:paraId="39889E6B" w14:textId="77777777" w:rsidTr="001421C4">
        <w:tc>
          <w:tcPr>
            <w:tcW w:w="2460" w:type="dxa"/>
            <w:tcBorders>
              <w:top w:val="single" w:sz="4" w:space="0" w:color="auto"/>
              <w:left w:val="single" w:sz="4" w:space="0" w:color="auto"/>
              <w:bottom w:val="single" w:sz="4" w:space="0" w:color="auto"/>
              <w:right w:val="single" w:sz="4" w:space="0" w:color="auto"/>
            </w:tcBorders>
            <w:shd w:val="clear" w:color="auto" w:fill="F3F3F3"/>
            <w:tcMar>
              <w:top w:w="15" w:type="dxa"/>
              <w:left w:w="15" w:type="dxa"/>
              <w:bottom w:w="15" w:type="dxa"/>
              <w:right w:w="15" w:type="dxa"/>
            </w:tcMar>
            <w:vAlign w:val="center"/>
            <w:hideMark/>
          </w:tcPr>
          <w:p w14:paraId="587414D6" w14:textId="77777777" w:rsidR="001421C4" w:rsidRPr="001421C4" w:rsidRDefault="001421C4">
            <w:pPr>
              <w:rPr>
                <w:rFonts w:ascii="Cambria" w:hAnsi="Cambria"/>
                <w:sz w:val="22"/>
                <w:szCs w:val="22"/>
              </w:rPr>
            </w:pPr>
            <w:proofErr w:type="spellStart"/>
            <w:r w:rsidRPr="001421C4">
              <w:rPr>
                <w:rFonts w:ascii="Cambria" w:hAnsi="Cambria"/>
                <w:sz w:val="22"/>
                <w:szCs w:val="22"/>
              </w:rPr>
              <w:t>Rokovi</w:t>
            </w:r>
            <w:proofErr w:type="spellEnd"/>
            <w:r w:rsidRPr="001421C4">
              <w:rPr>
                <w:rFonts w:ascii="Cambria" w:hAnsi="Cambria"/>
                <w:sz w:val="22"/>
                <w:szCs w:val="22"/>
              </w:rPr>
              <w:t xml:space="preserve"> </w:t>
            </w:r>
            <w:proofErr w:type="spellStart"/>
            <w:r w:rsidRPr="001421C4">
              <w:rPr>
                <w:rFonts w:ascii="Cambria" w:hAnsi="Cambria"/>
                <w:sz w:val="22"/>
                <w:szCs w:val="22"/>
              </w:rPr>
              <w:t>ispita</w:t>
            </w:r>
            <w:proofErr w:type="spellEnd"/>
            <w:r w:rsidRPr="001421C4">
              <w:rPr>
                <w:rFonts w:ascii="Cambria" w:hAnsi="Cambria"/>
                <w:sz w:val="22"/>
                <w:szCs w:val="22"/>
              </w:rPr>
              <w:t xml:space="preserve"> I </w:t>
            </w:r>
            <w:proofErr w:type="spellStart"/>
            <w:r w:rsidRPr="001421C4">
              <w:rPr>
                <w:rFonts w:ascii="Cambria" w:hAnsi="Cambria"/>
                <w:sz w:val="22"/>
                <w:szCs w:val="22"/>
              </w:rPr>
              <w:t>kolokvija</w:t>
            </w:r>
            <w:proofErr w:type="spellEnd"/>
          </w:p>
        </w:tc>
        <w:tc>
          <w:tcPr>
            <w:tcW w:w="7741"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8503EDD" w14:textId="77777777" w:rsidR="001421C4" w:rsidRPr="001421C4" w:rsidRDefault="001421C4">
            <w:pPr>
              <w:rPr>
                <w:rFonts w:ascii="Cambria" w:hAnsi="Cambria"/>
                <w:sz w:val="22"/>
                <w:szCs w:val="22"/>
                <w:lang w:val="it-IT"/>
              </w:rPr>
            </w:pPr>
            <w:proofErr w:type="spellStart"/>
            <w:r w:rsidRPr="001421C4">
              <w:rPr>
                <w:rFonts w:ascii="Cambria" w:hAnsi="Cambria"/>
                <w:sz w:val="22"/>
                <w:szCs w:val="22"/>
                <w:lang w:val="it-IT"/>
              </w:rPr>
              <w:t>Rokovi</w:t>
            </w:r>
            <w:proofErr w:type="spellEnd"/>
            <w:r w:rsidRPr="001421C4">
              <w:rPr>
                <w:rFonts w:ascii="Cambria" w:hAnsi="Cambria"/>
                <w:sz w:val="22"/>
                <w:szCs w:val="22"/>
                <w:lang w:val="it-IT"/>
              </w:rPr>
              <w:t xml:space="preserve"> se </w:t>
            </w:r>
            <w:proofErr w:type="spellStart"/>
            <w:r w:rsidRPr="001421C4">
              <w:rPr>
                <w:rFonts w:ascii="Cambria" w:hAnsi="Cambria"/>
                <w:sz w:val="22"/>
                <w:szCs w:val="22"/>
                <w:lang w:val="it-IT"/>
              </w:rPr>
              <w:t>objavljuju</w:t>
            </w:r>
            <w:proofErr w:type="spellEnd"/>
            <w:r w:rsidRPr="001421C4">
              <w:rPr>
                <w:rFonts w:ascii="Cambria" w:hAnsi="Cambria"/>
                <w:sz w:val="22"/>
                <w:szCs w:val="22"/>
                <w:lang w:val="it-IT"/>
              </w:rPr>
              <w:t xml:space="preserve"> u ISVU </w:t>
            </w:r>
            <w:proofErr w:type="spellStart"/>
            <w:r w:rsidRPr="001421C4">
              <w:rPr>
                <w:rFonts w:ascii="Cambria" w:hAnsi="Cambria"/>
                <w:sz w:val="22"/>
                <w:szCs w:val="22"/>
                <w:lang w:val="it-IT"/>
              </w:rPr>
              <w:t>sustavu</w:t>
            </w:r>
            <w:proofErr w:type="spellEnd"/>
            <w:r w:rsidRPr="001421C4">
              <w:rPr>
                <w:rFonts w:ascii="Cambria" w:hAnsi="Cambria"/>
                <w:sz w:val="22"/>
                <w:szCs w:val="22"/>
                <w:lang w:val="it-IT"/>
              </w:rPr>
              <w:t xml:space="preserve"> </w:t>
            </w:r>
            <w:proofErr w:type="gramStart"/>
            <w:r w:rsidRPr="001421C4">
              <w:rPr>
                <w:rFonts w:ascii="Cambria" w:hAnsi="Cambria"/>
                <w:sz w:val="22"/>
                <w:szCs w:val="22"/>
                <w:lang w:val="it-IT"/>
              </w:rPr>
              <w:t>i u</w:t>
            </w:r>
            <w:proofErr w:type="gramEnd"/>
            <w:r w:rsidRPr="001421C4">
              <w:rPr>
                <w:rFonts w:ascii="Cambria" w:hAnsi="Cambria"/>
                <w:sz w:val="22"/>
                <w:szCs w:val="22"/>
                <w:lang w:val="it-IT"/>
              </w:rPr>
              <w:t xml:space="preserve"> </w:t>
            </w:r>
            <w:proofErr w:type="spellStart"/>
            <w:r w:rsidRPr="001421C4">
              <w:rPr>
                <w:rFonts w:ascii="Cambria" w:hAnsi="Cambria"/>
                <w:sz w:val="22"/>
                <w:szCs w:val="22"/>
                <w:lang w:val="it-IT"/>
              </w:rPr>
              <w:t>Studomatu</w:t>
            </w:r>
            <w:proofErr w:type="spellEnd"/>
            <w:r w:rsidRPr="001421C4">
              <w:rPr>
                <w:rFonts w:ascii="Cambria" w:hAnsi="Cambria"/>
                <w:sz w:val="22"/>
                <w:szCs w:val="22"/>
                <w:lang w:val="it-IT"/>
              </w:rPr>
              <w:t>.</w:t>
            </w:r>
          </w:p>
        </w:tc>
      </w:tr>
      <w:tr w:rsidR="001421C4" w:rsidRPr="001421C4" w14:paraId="76C88D65" w14:textId="77777777" w:rsidTr="001421C4">
        <w:tc>
          <w:tcPr>
            <w:tcW w:w="2460" w:type="dxa"/>
            <w:tcBorders>
              <w:top w:val="single" w:sz="4" w:space="0" w:color="auto"/>
              <w:left w:val="single" w:sz="4" w:space="0" w:color="auto"/>
              <w:bottom w:val="single" w:sz="4" w:space="0" w:color="auto"/>
              <w:right w:val="single" w:sz="4" w:space="0" w:color="auto"/>
            </w:tcBorders>
            <w:shd w:val="clear" w:color="auto" w:fill="F3F3F3"/>
            <w:tcMar>
              <w:top w:w="15" w:type="dxa"/>
              <w:left w:w="15" w:type="dxa"/>
              <w:bottom w:w="15" w:type="dxa"/>
              <w:right w:w="15" w:type="dxa"/>
            </w:tcMar>
            <w:vAlign w:val="center"/>
            <w:hideMark/>
          </w:tcPr>
          <w:p w14:paraId="49324BB5" w14:textId="77777777" w:rsidR="001421C4" w:rsidRPr="001421C4" w:rsidRDefault="001421C4">
            <w:pPr>
              <w:rPr>
                <w:rFonts w:ascii="Cambria" w:hAnsi="Cambria"/>
                <w:sz w:val="22"/>
                <w:szCs w:val="22"/>
                <w:lang w:val="it-IT"/>
              </w:rPr>
            </w:pPr>
            <w:r w:rsidRPr="001421C4">
              <w:rPr>
                <w:rFonts w:ascii="Cambria" w:hAnsi="Cambria"/>
                <w:sz w:val="22"/>
                <w:szCs w:val="22"/>
                <w:lang w:val="it-IT"/>
              </w:rPr>
              <w:t xml:space="preserve">Ostale </w:t>
            </w:r>
            <w:proofErr w:type="spellStart"/>
            <w:r w:rsidRPr="001421C4">
              <w:rPr>
                <w:rFonts w:ascii="Cambria" w:hAnsi="Cambria"/>
                <w:sz w:val="22"/>
                <w:szCs w:val="22"/>
                <w:lang w:val="it-IT"/>
              </w:rPr>
              <w:t>važne</w:t>
            </w:r>
            <w:proofErr w:type="spellEnd"/>
            <w:r w:rsidRPr="001421C4">
              <w:rPr>
                <w:rFonts w:ascii="Cambria" w:hAnsi="Cambria"/>
                <w:sz w:val="22"/>
                <w:szCs w:val="22"/>
                <w:lang w:val="it-IT"/>
              </w:rPr>
              <w:t xml:space="preserve"> </w:t>
            </w:r>
            <w:proofErr w:type="spellStart"/>
            <w:r w:rsidRPr="001421C4">
              <w:rPr>
                <w:rFonts w:ascii="Cambria" w:hAnsi="Cambria"/>
                <w:sz w:val="22"/>
                <w:szCs w:val="22"/>
                <w:lang w:val="it-IT"/>
              </w:rPr>
              <w:t>činjenice</w:t>
            </w:r>
            <w:proofErr w:type="spellEnd"/>
            <w:r w:rsidRPr="001421C4">
              <w:rPr>
                <w:rFonts w:ascii="Cambria" w:hAnsi="Cambria"/>
                <w:sz w:val="22"/>
                <w:szCs w:val="22"/>
                <w:lang w:val="it-IT"/>
              </w:rPr>
              <w:t xml:space="preserve"> </w:t>
            </w:r>
            <w:proofErr w:type="spellStart"/>
            <w:r w:rsidRPr="001421C4">
              <w:rPr>
                <w:rFonts w:ascii="Cambria" w:hAnsi="Cambria"/>
                <w:sz w:val="22"/>
                <w:szCs w:val="22"/>
                <w:lang w:val="it-IT"/>
              </w:rPr>
              <w:t>vezane</w:t>
            </w:r>
            <w:proofErr w:type="spellEnd"/>
            <w:r w:rsidRPr="001421C4">
              <w:rPr>
                <w:rFonts w:ascii="Cambria" w:hAnsi="Cambria"/>
                <w:sz w:val="22"/>
                <w:szCs w:val="22"/>
                <w:lang w:val="it-IT"/>
              </w:rPr>
              <w:t xml:space="preserve"> </w:t>
            </w:r>
            <w:proofErr w:type="spellStart"/>
            <w:r w:rsidRPr="001421C4">
              <w:rPr>
                <w:rFonts w:ascii="Cambria" w:hAnsi="Cambria"/>
                <w:sz w:val="22"/>
                <w:szCs w:val="22"/>
                <w:lang w:val="it-IT"/>
              </w:rPr>
              <w:t>uz</w:t>
            </w:r>
            <w:proofErr w:type="spellEnd"/>
            <w:r w:rsidRPr="001421C4">
              <w:rPr>
                <w:rFonts w:ascii="Cambria" w:hAnsi="Cambria"/>
                <w:sz w:val="22"/>
                <w:szCs w:val="22"/>
                <w:lang w:val="it-IT"/>
              </w:rPr>
              <w:t xml:space="preserve"> </w:t>
            </w:r>
            <w:proofErr w:type="spellStart"/>
            <w:r w:rsidRPr="001421C4">
              <w:rPr>
                <w:rFonts w:ascii="Cambria" w:hAnsi="Cambria"/>
                <w:sz w:val="22"/>
                <w:szCs w:val="22"/>
                <w:lang w:val="it-IT"/>
              </w:rPr>
              <w:t>kolegij</w:t>
            </w:r>
            <w:proofErr w:type="spellEnd"/>
          </w:p>
        </w:tc>
        <w:tc>
          <w:tcPr>
            <w:tcW w:w="7741"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98F3A9E" w14:textId="77777777" w:rsidR="001421C4" w:rsidRPr="001421C4" w:rsidRDefault="001421C4">
            <w:pPr>
              <w:rPr>
                <w:rFonts w:ascii="Cambria" w:hAnsi="Cambria"/>
                <w:sz w:val="22"/>
                <w:szCs w:val="22"/>
              </w:rPr>
            </w:pPr>
            <w:r w:rsidRPr="001421C4">
              <w:rPr>
                <w:rFonts w:ascii="Cambria" w:hAnsi="Cambria"/>
                <w:sz w:val="22"/>
                <w:szCs w:val="22"/>
                <w:lang w:val="it-IT"/>
              </w:rPr>
              <w:t xml:space="preserve">U </w:t>
            </w:r>
            <w:proofErr w:type="spellStart"/>
            <w:r w:rsidRPr="001421C4">
              <w:rPr>
                <w:rFonts w:ascii="Cambria" w:hAnsi="Cambria"/>
                <w:sz w:val="22"/>
                <w:szCs w:val="22"/>
                <w:lang w:val="it-IT"/>
              </w:rPr>
              <w:t>slučaju</w:t>
            </w:r>
            <w:proofErr w:type="spellEnd"/>
            <w:r w:rsidRPr="001421C4">
              <w:rPr>
                <w:rFonts w:ascii="Cambria" w:hAnsi="Cambria"/>
                <w:sz w:val="22"/>
                <w:szCs w:val="22"/>
                <w:lang w:val="it-IT"/>
              </w:rPr>
              <w:t xml:space="preserve"> </w:t>
            </w:r>
            <w:proofErr w:type="spellStart"/>
            <w:r w:rsidRPr="001421C4">
              <w:rPr>
                <w:rFonts w:ascii="Cambria" w:hAnsi="Cambria"/>
                <w:sz w:val="22"/>
                <w:szCs w:val="22"/>
                <w:lang w:val="it-IT"/>
              </w:rPr>
              <w:t>održavanja</w:t>
            </w:r>
            <w:proofErr w:type="spellEnd"/>
            <w:r w:rsidRPr="001421C4">
              <w:rPr>
                <w:rFonts w:ascii="Cambria" w:hAnsi="Cambria"/>
                <w:sz w:val="22"/>
                <w:szCs w:val="22"/>
                <w:lang w:val="it-IT"/>
              </w:rPr>
              <w:t xml:space="preserve"> </w:t>
            </w:r>
            <w:proofErr w:type="spellStart"/>
            <w:r w:rsidRPr="001421C4">
              <w:rPr>
                <w:rFonts w:ascii="Cambria" w:hAnsi="Cambria"/>
                <w:sz w:val="22"/>
                <w:szCs w:val="22"/>
                <w:lang w:val="it-IT"/>
              </w:rPr>
              <w:t>nastave</w:t>
            </w:r>
            <w:proofErr w:type="spellEnd"/>
            <w:r w:rsidRPr="001421C4">
              <w:rPr>
                <w:rFonts w:ascii="Cambria" w:hAnsi="Cambria"/>
                <w:sz w:val="22"/>
                <w:szCs w:val="22"/>
                <w:lang w:val="it-IT"/>
              </w:rPr>
              <w:t xml:space="preserve"> </w:t>
            </w:r>
            <w:proofErr w:type="spellStart"/>
            <w:r w:rsidRPr="001421C4">
              <w:rPr>
                <w:rFonts w:ascii="Cambria" w:hAnsi="Cambria"/>
                <w:sz w:val="22"/>
                <w:szCs w:val="22"/>
                <w:lang w:val="it-IT"/>
              </w:rPr>
              <w:t>na</w:t>
            </w:r>
            <w:proofErr w:type="spellEnd"/>
            <w:r w:rsidRPr="001421C4">
              <w:rPr>
                <w:rFonts w:ascii="Cambria" w:hAnsi="Cambria"/>
                <w:sz w:val="22"/>
                <w:szCs w:val="22"/>
                <w:lang w:val="it-IT"/>
              </w:rPr>
              <w:t xml:space="preserve"> </w:t>
            </w:r>
            <w:proofErr w:type="spellStart"/>
            <w:r w:rsidRPr="001421C4">
              <w:rPr>
                <w:rFonts w:ascii="Cambria" w:hAnsi="Cambria"/>
                <w:sz w:val="22"/>
                <w:szCs w:val="22"/>
                <w:lang w:val="it-IT"/>
              </w:rPr>
              <w:t>daljinu</w:t>
            </w:r>
            <w:proofErr w:type="spellEnd"/>
            <w:r w:rsidRPr="001421C4">
              <w:rPr>
                <w:rFonts w:ascii="Cambria" w:hAnsi="Cambria"/>
                <w:sz w:val="22"/>
                <w:szCs w:val="22"/>
                <w:lang w:val="it-IT"/>
              </w:rPr>
              <w:t xml:space="preserve">, </w:t>
            </w:r>
            <w:proofErr w:type="spellStart"/>
            <w:r w:rsidRPr="001421C4">
              <w:rPr>
                <w:rFonts w:ascii="Cambria" w:hAnsi="Cambria"/>
                <w:sz w:val="22"/>
                <w:szCs w:val="22"/>
                <w:lang w:val="it-IT"/>
              </w:rPr>
              <w:t>moguće</w:t>
            </w:r>
            <w:proofErr w:type="spellEnd"/>
            <w:r w:rsidRPr="001421C4">
              <w:rPr>
                <w:rFonts w:ascii="Cambria" w:hAnsi="Cambria"/>
                <w:sz w:val="22"/>
                <w:szCs w:val="22"/>
                <w:lang w:val="it-IT"/>
              </w:rPr>
              <w:t xml:space="preserve"> je </w:t>
            </w:r>
            <w:proofErr w:type="spellStart"/>
            <w:r w:rsidRPr="001421C4">
              <w:rPr>
                <w:rFonts w:ascii="Cambria" w:hAnsi="Cambria"/>
                <w:sz w:val="22"/>
                <w:szCs w:val="22"/>
                <w:lang w:val="it-IT"/>
              </w:rPr>
              <w:t>odstupanje</w:t>
            </w:r>
            <w:proofErr w:type="spellEnd"/>
            <w:r w:rsidRPr="001421C4">
              <w:rPr>
                <w:rFonts w:ascii="Cambria" w:hAnsi="Cambria"/>
                <w:sz w:val="22"/>
                <w:szCs w:val="22"/>
                <w:lang w:val="it-IT"/>
              </w:rPr>
              <w:t xml:space="preserve"> u: </w:t>
            </w:r>
            <w:proofErr w:type="spellStart"/>
            <w:r w:rsidRPr="001421C4">
              <w:rPr>
                <w:rFonts w:ascii="Cambria" w:hAnsi="Cambria"/>
                <w:sz w:val="22"/>
                <w:szCs w:val="22"/>
                <w:lang w:val="it-IT"/>
              </w:rPr>
              <w:t>mjestu</w:t>
            </w:r>
            <w:proofErr w:type="spellEnd"/>
            <w:r w:rsidRPr="001421C4">
              <w:rPr>
                <w:rFonts w:ascii="Cambria" w:hAnsi="Cambria"/>
                <w:sz w:val="22"/>
                <w:szCs w:val="22"/>
                <w:lang w:val="it-IT"/>
              </w:rPr>
              <w:t xml:space="preserve"> </w:t>
            </w:r>
            <w:proofErr w:type="spellStart"/>
            <w:r w:rsidRPr="001421C4">
              <w:rPr>
                <w:rFonts w:ascii="Cambria" w:hAnsi="Cambria"/>
                <w:sz w:val="22"/>
                <w:szCs w:val="22"/>
                <w:lang w:val="it-IT"/>
              </w:rPr>
              <w:t>izvođenja</w:t>
            </w:r>
            <w:proofErr w:type="spellEnd"/>
            <w:r w:rsidRPr="001421C4">
              <w:rPr>
                <w:rFonts w:ascii="Cambria" w:hAnsi="Cambria"/>
                <w:sz w:val="22"/>
                <w:szCs w:val="22"/>
                <w:lang w:val="it-IT"/>
              </w:rPr>
              <w:t xml:space="preserve"> </w:t>
            </w:r>
            <w:proofErr w:type="spellStart"/>
            <w:r w:rsidRPr="001421C4">
              <w:rPr>
                <w:rFonts w:ascii="Cambria" w:hAnsi="Cambria"/>
                <w:sz w:val="22"/>
                <w:szCs w:val="22"/>
                <w:lang w:val="it-IT"/>
              </w:rPr>
              <w:t>kolegija</w:t>
            </w:r>
            <w:proofErr w:type="spellEnd"/>
            <w:r w:rsidRPr="001421C4">
              <w:rPr>
                <w:rFonts w:ascii="Cambria" w:hAnsi="Cambria"/>
                <w:sz w:val="22"/>
                <w:szCs w:val="22"/>
                <w:lang w:val="it-IT"/>
              </w:rPr>
              <w:t xml:space="preserve">, </w:t>
            </w:r>
            <w:proofErr w:type="spellStart"/>
            <w:r w:rsidRPr="001421C4">
              <w:rPr>
                <w:rFonts w:ascii="Cambria" w:hAnsi="Cambria"/>
                <w:sz w:val="22"/>
                <w:szCs w:val="22"/>
                <w:lang w:val="it-IT"/>
              </w:rPr>
              <w:t>provedbi</w:t>
            </w:r>
            <w:proofErr w:type="spellEnd"/>
            <w:r w:rsidRPr="001421C4">
              <w:rPr>
                <w:rFonts w:ascii="Cambria" w:hAnsi="Cambria"/>
                <w:sz w:val="22"/>
                <w:szCs w:val="22"/>
                <w:lang w:val="it-IT"/>
              </w:rPr>
              <w:t xml:space="preserve"> </w:t>
            </w:r>
            <w:proofErr w:type="spellStart"/>
            <w:r w:rsidRPr="001421C4">
              <w:rPr>
                <w:rFonts w:ascii="Cambria" w:hAnsi="Cambria"/>
                <w:sz w:val="22"/>
                <w:szCs w:val="22"/>
                <w:lang w:val="it-IT"/>
              </w:rPr>
              <w:t>aktivnosti</w:t>
            </w:r>
            <w:proofErr w:type="spellEnd"/>
            <w:r w:rsidRPr="001421C4">
              <w:rPr>
                <w:rFonts w:ascii="Cambria" w:hAnsi="Cambria"/>
                <w:sz w:val="22"/>
                <w:szCs w:val="22"/>
                <w:lang w:val="it-IT"/>
              </w:rPr>
              <w:t xml:space="preserve">, </w:t>
            </w:r>
            <w:proofErr w:type="spellStart"/>
            <w:r w:rsidRPr="001421C4">
              <w:rPr>
                <w:rFonts w:ascii="Cambria" w:hAnsi="Cambria"/>
                <w:sz w:val="22"/>
                <w:szCs w:val="22"/>
                <w:lang w:val="it-IT"/>
              </w:rPr>
              <w:t>metoda</w:t>
            </w:r>
            <w:proofErr w:type="spellEnd"/>
            <w:r w:rsidRPr="001421C4">
              <w:rPr>
                <w:rFonts w:ascii="Cambria" w:hAnsi="Cambria"/>
                <w:sz w:val="22"/>
                <w:szCs w:val="22"/>
                <w:lang w:val="it-IT"/>
              </w:rPr>
              <w:t xml:space="preserve"> </w:t>
            </w:r>
            <w:proofErr w:type="spellStart"/>
            <w:r w:rsidRPr="001421C4">
              <w:rPr>
                <w:rFonts w:ascii="Cambria" w:hAnsi="Cambria"/>
                <w:sz w:val="22"/>
                <w:szCs w:val="22"/>
                <w:lang w:val="it-IT"/>
              </w:rPr>
              <w:t>tumačenja</w:t>
            </w:r>
            <w:proofErr w:type="spellEnd"/>
            <w:r w:rsidRPr="001421C4">
              <w:rPr>
                <w:rFonts w:ascii="Cambria" w:hAnsi="Cambria"/>
                <w:sz w:val="22"/>
                <w:szCs w:val="22"/>
                <w:lang w:val="it-IT"/>
              </w:rPr>
              <w:t xml:space="preserve"> i </w:t>
            </w:r>
            <w:proofErr w:type="spellStart"/>
            <w:r w:rsidRPr="001421C4">
              <w:rPr>
                <w:rFonts w:ascii="Cambria" w:hAnsi="Cambria"/>
                <w:sz w:val="22"/>
                <w:szCs w:val="22"/>
                <w:lang w:val="it-IT"/>
              </w:rPr>
              <w:t>poučavanja</w:t>
            </w:r>
            <w:proofErr w:type="spellEnd"/>
            <w:r w:rsidRPr="001421C4">
              <w:rPr>
                <w:rFonts w:ascii="Cambria" w:hAnsi="Cambria"/>
                <w:sz w:val="22"/>
                <w:szCs w:val="22"/>
                <w:lang w:val="it-IT"/>
              </w:rPr>
              <w:t xml:space="preserve"> i </w:t>
            </w:r>
            <w:proofErr w:type="spellStart"/>
            <w:r w:rsidRPr="001421C4">
              <w:rPr>
                <w:rFonts w:ascii="Cambria" w:hAnsi="Cambria"/>
                <w:sz w:val="22"/>
                <w:szCs w:val="22"/>
                <w:lang w:val="it-IT"/>
              </w:rPr>
              <w:t>načinima</w:t>
            </w:r>
            <w:proofErr w:type="spellEnd"/>
            <w:r w:rsidRPr="001421C4">
              <w:rPr>
                <w:rFonts w:ascii="Cambria" w:hAnsi="Cambria"/>
                <w:sz w:val="22"/>
                <w:szCs w:val="22"/>
                <w:lang w:val="it-IT"/>
              </w:rPr>
              <w:t xml:space="preserve"> </w:t>
            </w:r>
            <w:proofErr w:type="spellStart"/>
            <w:r w:rsidRPr="001421C4">
              <w:rPr>
                <w:rFonts w:ascii="Cambria" w:hAnsi="Cambria"/>
                <w:sz w:val="22"/>
                <w:szCs w:val="22"/>
                <w:lang w:val="it-IT"/>
              </w:rPr>
              <w:t>vrednovanja</w:t>
            </w:r>
            <w:proofErr w:type="spellEnd"/>
            <w:r w:rsidRPr="001421C4">
              <w:rPr>
                <w:rFonts w:ascii="Cambria" w:hAnsi="Cambria"/>
                <w:sz w:val="22"/>
                <w:szCs w:val="22"/>
                <w:lang w:val="it-IT"/>
              </w:rPr>
              <w:t xml:space="preserve">, </w:t>
            </w:r>
            <w:proofErr w:type="spellStart"/>
            <w:r w:rsidRPr="001421C4">
              <w:rPr>
                <w:rFonts w:ascii="Cambria" w:hAnsi="Cambria"/>
                <w:sz w:val="22"/>
                <w:szCs w:val="22"/>
                <w:lang w:val="it-IT"/>
              </w:rPr>
              <w:t>studentskim</w:t>
            </w:r>
            <w:proofErr w:type="spellEnd"/>
            <w:r w:rsidRPr="001421C4">
              <w:rPr>
                <w:rFonts w:ascii="Cambria" w:hAnsi="Cambria"/>
                <w:sz w:val="22"/>
                <w:szCs w:val="22"/>
                <w:lang w:val="it-IT"/>
              </w:rPr>
              <w:t xml:space="preserve"> </w:t>
            </w:r>
            <w:proofErr w:type="spellStart"/>
            <w:r w:rsidRPr="001421C4">
              <w:rPr>
                <w:rFonts w:ascii="Cambria" w:hAnsi="Cambria"/>
                <w:sz w:val="22"/>
                <w:szCs w:val="22"/>
                <w:lang w:val="it-IT"/>
              </w:rPr>
              <w:t>obvezama</w:t>
            </w:r>
            <w:proofErr w:type="spellEnd"/>
            <w:r w:rsidRPr="001421C4">
              <w:rPr>
                <w:rFonts w:ascii="Cambria" w:hAnsi="Cambria"/>
                <w:sz w:val="22"/>
                <w:szCs w:val="22"/>
                <w:lang w:val="it-IT"/>
              </w:rPr>
              <w:t xml:space="preserve"> i </w:t>
            </w:r>
            <w:proofErr w:type="spellStart"/>
            <w:r w:rsidRPr="001421C4">
              <w:rPr>
                <w:rFonts w:ascii="Cambria" w:hAnsi="Cambria"/>
                <w:sz w:val="22"/>
                <w:szCs w:val="22"/>
                <w:lang w:val="it-IT"/>
              </w:rPr>
              <w:t>dostupnoj</w:t>
            </w:r>
            <w:proofErr w:type="spellEnd"/>
            <w:r w:rsidRPr="001421C4">
              <w:rPr>
                <w:rFonts w:ascii="Cambria" w:hAnsi="Cambria"/>
                <w:sz w:val="22"/>
                <w:szCs w:val="22"/>
                <w:lang w:val="it-IT"/>
              </w:rPr>
              <w:t xml:space="preserve"> </w:t>
            </w:r>
            <w:proofErr w:type="spellStart"/>
            <w:r w:rsidRPr="001421C4">
              <w:rPr>
                <w:rFonts w:ascii="Cambria" w:hAnsi="Cambria"/>
                <w:sz w:val="22"/>
                <w:szCs w:val="22"/>
                <w:lang w:val="it-IT"/>
              </w:rPr>
              <w:t>literaturi</w:t>
            </w:r>
            <w:proofErr w:type="spellEnd"/>
            <w:r w:rsidRPr="001421C4">
              <w:rPr>
                <w:rFonts w:ascii="Cambria" w:hAnsi="Cambria"/>
                <w:sz w:val="22"/>
                <w:szCs w:val="22"/>
                <w:lang w:val="it-IT"/>
              </w:rPr>
              <w:t xml:space="preserve">. O tome </w:t>
            </w:r>
            <w:proofErr w:type="spellStart"/>
            <w:r w:rsidRPr="001421C4">
              <w:rPr>
                <w:rFonts w:ascii="Cambria" w:hAnsi="Cambria"/>
                <w:sz w:val="22"/>
                <w:szCs w:val="22"/>
                <w:lang w:val="it-IT"/>
              </w:rPr>
              <w:t>će</w:t>
            </w:r>
            <w:proofErr w:type="spellEnd"/>
            <w:r w:rsidRPr="001421C4">
              <w:rPr>
                <w:rFonts w:ascii="Cambria" w:hAnsi="Cambria"/>
                <w:sz w:val="22"/>
                <w:szCs w:val="22"/>
                <w:lang w:val="it-IT"/>
              </w:rPr>
              <w:t xml:space="preserve"> </w:t>
            </w:r>
            <w:proofErr w:type="spellStart"/>
            <w:r w:rsidRPr="001421C4">
              <w:rPr>
                <w:rFonts w:ascii="Cambria" w:hAnsi="Cambria"/>
                <w:sz w:val="22"/>
                <w:szCs w:val="22"/>
                <w:lang w:val="it-IT"/>
              </w:rPr>
              <w:t>nositeljica</w:t>
            </w:r>
            <w:proofErr w:type="spellEnd"/>
            <w:r w:rsidRPr="001421C4">
              <w:rPr>
                <w:rFonts w:ascii="Cambria" w:hAnsi="Cambria"/>
                <w:sz w:val="22"/>
                <w:szCs w:val="22"/>
                <w:lang w:val="it-IT"/>
              </w:rPr>
              <w:t xml:space="preserve"> i </w:t>
            </w:r>
            <w:proofErr w:type="spellStart"/>
            <w:r w:rsidRPr="001421C4">
              <w:rPr>
                <w:rFonts w:ascii="Cambria" w:hAnsi="Cambria"/>
                <w:sz w:val="22"/>
                <w:szCs w:val="22"/>
                <w:lang w:val="it-IT"/>
              </w:rPr>
              <w:t>asistent</w:t>
            </w:r>
            <w:proofErr w:type="spellEnd"/>
            <w:r w:rsidRPr="001421C4">
              <w:rPr>
                <w:rFonts w:ascii="Cambria" w:hAnsi="Cambria"/>
                <w:sz w:val="22"/>
                <w:szCs w:val="22"/>
                <w:lang w:val="it-IT"/>
              </w:rPr>
              <w:t xml:space="preserve"> </w:t>
            </w:r>
            <w:proofErr w:type="spellStart"/>
            <w:r w:rsidRPr="001421C4">
              <w:rPr>
                <w:rFonts w:ascii="Cambria" w:hAnsi="Cambria"/>
                <w:sz w:val="22"/>
                <w:szCs w:val="22"/>
                <w:lang w:val="it-IT"/>
              </w:rPr>
              <w:t>obavijestiti</w:t>
            </w:r>
            <w:proofErr w:type="spellEnd"/>
            <w:r w:rsidRPr="001421C4">
              <w:rPr>
                <w:rFonts w:ascii="Cambria" w:hAnsi="Cambria"/>
                <w:sz w:val="22"/>
                <w:szCs w:val="22"/>
                <w:lang w:val="it-IT"/>
              </w:rPr>
              <w:t xml:space="preserve"> studente i </w:t>
            </w:r>
            <w:proofErr w:type="spellStart"/>
            <w:r w:rsidRPr="001421C4">
              <w:rPr>
                <w:rFonts w:ascii="Cambria" w:hAnsi="Cambria"/>
                <w:sz w:val="22"/>
                <w:szCs w:val="22"/>
                <w:lang w:val="it-IT"/>
              </w:rPr>
              <w:t>studentice</w:t>
            </w:r>
            <w:proofErr w:type="spellEnd"/>
            <w:r w:rsidRPr="001421C4">
              <w:rPr>
                <w:rFonts w:ascii="Cambria" w:hAnsi="Cambria"/>
                <w:sz w:val="22"/>
                <w:szCs w:val="22"/>
                <w:lang w:val="it-IT"/>
              </w:rPr>
              <w:t xml:space="preserve"> </w:t>
            </w:r>
            <w:proofErr w:type="spellStart"/>
            <w:r w:rsidRPr="001421C4">
              <w:rPr>
                <w:rFonts w:ascii="Cambria" w:hAnsi="Cambria"/>
                <w:sz w:val="22"/>
                <w:szCs w:val="22"/>
                <w:lang w:val="it-IT"/>
              </w:rPr>
              <w:t>kad</w:t>
            </w:r>
            <w:proofErr w:type="spellEnd"/>
            <w:r w:rsidRPr="001421C4">
              <w:rPr>
                <w:rFonts w:ascii="Cambria" w:hAnsi="Cambria"/>
                <w:sz w:val="22"/>
                <w:szCs w:val="22"/>
                <w:lang w:val="it-IT"/>
              </w:rPr>
              <w:t xml:space="preserve"> se </w:t>
            </w:r>
            <w:proofErr w:type="spellStart"/>
            <w:r w:rsidRPr="001421C4">
              <w:rPr>
                <w:rFonts w:ascii="Cambria" w:hAnsi="Cambria"/>
                <w:sz w:val="22"/>
                <w:szCs w:val="22"/>
                <w:lang w:val="it-IT"/>
              </w:rPr>
              <w:t>nastava</w:t>
            </w:r>
            <w:proofErr w:type="spellEnd"/>
            <w:r w:rsidRPr="001421C4">
              <w:rPr>
                <w:rFonts w:ascii="Cambria" w:hAnsi="Cambria"/>
                <w:sz w:val="22"/>
                <w:szCs w:val="22"/>
                <w:lang w:val="it-IT"/>
              </w:rPr>
              <w:t xml:space="preserve"> </w:t>
            </w:r>
            <w:proofErr w:type="spellStart"/>
            <w:r w:rsidRPr="001421C4">
              <w:rPr>
                <w:rFonts w:ascii="Cambria" w:hAnsi="Cambria"/>
                <w:sz w:val="22"/>
                <w:szCs w:val="22"/>
                <w:lang w:val="it-IT"/>
              </w:rPr>
              <w:t>na</w:t>
            </w:r>
            <w:proofErr w:type="spellEnd"/>
            <w:r w:rsidRPr="001421C4">
              <w:rPr>
                <w:rFonts w:ascii="Cambria" w:hAnsi="Cambria"/>
                <w:sz w:val="22"/>
                <w:szCs w:val="22"/>
                <w:lang w:val="it-IT"/>
              </w:rPr>
              <w:t xml:space="preserve"> </w:t>
            </w:r>
            <w:proofErr w:type="spellStart"/>
            <w:r w:rsidRPr="001421C4">
              <w:rPr>
                <w:rFonts w:ascii="Cambria" w:hAnsi="Cambria"/>
                <w:sz w:val="22"/>
                <w:szCs w:val="22"/>
                <w:lang w:val="it-IT"/>
              </w:rPr>
              <w:t>daljinu</w:t>
            </w:r>
            <w:proofErr w:type="spellEnd"/>
            <w:r w:rsidRPr="001421C4">
              <w:rPr>
                <w:rFonts w:ascii="Cambria" w:hAnsi="Cambria"/>
                <w:sz w:val="22"/>
                <w:szCs w:val="22"/>
                <w:lang w:val="it-IT"/>
              </w:rPr>
              <w:t xml:space="preserve"> </w:t>
            </w:r>
            <w:proofErr w:type="spellStart"/>
            <w:r w:rsidRPr="001421C4">
              <w:rPr>
                <w:rFonts w:ascii="Cambria" w:hAnsi="Cambria"/>
                <w:sz w:val="22"/>
                <w:szCs w:val="22"/>
                <w:lang w:val="it-IT"/>
              </w:rPr>
              <w:t>počne</w:t>
            </w:r>
            <w:proofErr w:type="spellEnd"/>
            <w:r w:rsidRPr="001421C4">
              <w:rPr>
                <w:rFonts w:ascii="Cambria" w:hAnsi="Cambria"/>
                <w:sz w:val="22"/>
                <w:szCs w:val="22"/>
                <w:lang w:val="it-IT"/>
              </w:rPr>
              <w:t xml:space="preserve"> </w:t>
            </w:r>
            <w:proofErr w:type="spellStart"/>
            <w:r w:rsidRPr="001421C4">
              <w:rPr>
                <w:rFonts w:ascii="Cambria" w:hAnsi="Cambria"/>
                <w:sz w:val="22"/>
                <w:szCs w:val="22"/>
                <w:lang w:val="it-IT"/>
              </w:rPr>
              <w:t>održavati</w:t>
            </w:r>
            <w:proofErr w:type="spellEnd"/>
            <w:r w:rsidRPr="001421C4">
              <w:rPr>
                <w:rFonts w:ascii="Cambria" w:hAnsi="Cambria"/>
                <w:sz w:val="22"/>
                <w:szCs w:val="22"/>
                <w:lang w:val="it-IT"/>
              </w:rPr>
              <w:t xml:space="preserve">. </w:t>
            </w:r>
            <w:proofErr w:type="spellStart"/>
            <w:r w:rsidRPr="001421C4">
              <w:rPr>
                <w:rFonts w:ascii="Cambria" w:hAnsi="Cambria"/>
                <w:sz w:val="22"/>
                <w:szCs w:val="22"/>
              </w:rPr>
              <w:t>Ishodi</w:t>
            </w:r>
            <w:proofErr w:type="spellEnd"/>
            <w:r w:rsidRPr="001421C4">
              <w:rPr>
                <w:rFonts w:ascii="Cambria" w:hAnsi="Cambria"/>
                <w:sz w:val="22"/>
                <w:szCs w:val="22"/>
              </w:rPr>
              <w:t xml:space="preserve"> </w:t>
            </w:r>
            <w:proofErr w:type="spellStart"/>
            <w:r w:rsidRPr="001421C4">
              <w:rPr>
                <w:rFonts w:ascii="Cambria" w:hAnsi="Cambria"/>
                <w:sz w:val="22"/>
                <w:szCs w:val="22"/>
              </w:rPr>
              <w:t>učenja</w:t>
            </w:r>
            <w:proofErr w:type="spellEnd"/>
            <w:r w:rsidRPr="001421C4">
              <w:rPr>
                <w:rFonts w:ascii="Cambria" w:hAnsi="Cambria"/>
                <w:sz w:val="22"/>
                <w:szCs w:val="22"/>
              </w:rPr>
              <w:t xml:space="preserve"> </w:t>
            </w:r>
            <w:proofErr w:type="spellStart"/>
            <w:r w:rsidRPr="001421C4">
              <w:rPr>
                <w:rFonts w:ascii="Cambria" w:hAnsi="Cambria"/>
                <w:sz w:val="22"/>
                <w:szCs w:val="22"/>
              </w:rPr>
              <w:t>ostaju</w:t>
            </w:r>
            <w:proofErr w:type="spellEnd"/>
            <w:r w:rsidRPr="001421C4">
              <w:rPr>
                <w:rFonts w:ascii="Cambria" w:hAnsi="Cambria"/>
                <w:sz w:val="22"/>
                <w:szCs w:val="22"/>
              </w:rPr>
              <w:t xml:space="preserve"> </w:t>
            </w:r>
            <w:proofErr w:type="spellStart"/>
            <w:r w:rsidRPr="001421C4">
              <w:rPr>
                <w:rFonts w:ascii="Cambria" w:hAnsi="Cambria"/>
                <w:sz w:val="22"/>
                <w:szCs w:val="22"/>
              </w:rPr>
              <w:t>nepromijenjeni</w:t>
            </w:r>
            <w:proofErr w:type="spellEnd"/>
            <w:r w:rsidRPr="001421C4">
              <w:rPr>
                <w:rFonts w:ascii="Cambria" w:hAnsi="Cambria"/>
                <w:sz w:val="22"/>
                <w:szCs w:val="22"/>
              </w:rPr>
              <w:t>.</w:t>
            </w:r>
          </w:p>
        </w:tc>
      </w:tr>
      <w:tr w:rsidR="001421C4" w:rsidRPr="00D0399C" w14:paraId="659093F9" w14:textId="77777777" w:rsidTr="001421C4">
        <w:tc>
          <w:tcPr>
            <w:tcW w:w="2460" w:type="dxa"/>
            <w:tcBorders>
              <w:top w:val="single" w:sz="4" w:space="0" w:color="auto"/>
              <w:left w:val="single" w:sz="4" w:space="0" w:color="auto"/>
              <w:bottom w:val="single" w:sz="4" w:space="0" w:color="auto"/>
              <w:right w:val="single" w:sz="4" w:space="0" w:color="auto"/>
            </w:tcBorders>
            <w:shd w:val="clear" w:color="auto" w:fill="F3F3F3"/>
            <w:tcMar>
              <w:top w:w="15" w:type="dxa"/>
              <w:left w:w="15" w:type="dxa"/>
              <w:bottom w:w="15" w:type="dxa"/>
              <w:right w:w="15" w:type="dxa"/>
            </w:tcMar>
            <w:vAlign w:val="center"/>
            <w:hideMark/>
          </w:tcPr>
          <w:p w14:paraId="06E55F45" w14:textId="77777777" w:rsidR="001421C4" w:rsidRPr="001421C4" w:rsidRDefault="001421C4">
            <w:pPr>
              <w:rPr>
                <w:rFonts w:ascii="Cambria" w:hAnsi="Cambria"/>
                <w:sz w:val="22"/>
                <w:szCs w:val="22"/>
              </w:rPr>
            </w:pPr>
            <w:proofErr w:type="spellStart"/>
            <w:r w:rsidRPr="001421C4">
              <w:rPr>
                <w:rFonts w:ascii="Cambria" w:hAnsi="Cambria"/>
                <w:sz w:val="22"/>
                <w:szCs w:val="22"/>
              </w:rPr>
              <w:t>Literatura</w:t>
            </w:r>
            <w:proofErr w:type="spellEnd"/>
          </w:p>
        </w:tc>
        <w:tc>
          <w:tcPr>
            <w:tcW w:w="7741" w:type="dxa"/>
            <w:gridSpan w:val="6"/>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28848C0C" w14:textId="77777777" w:rsidR="001421C4" w:rsidRPr="001421C4" w:rsidRDefault="001421C4">
            <w:pPr>
              <w:rPr>
                <w:rFonts w:ascii="Cambria" w:hAnsi="Cambria"/>
                <w:sz w:val="22"/>
                <w:szCs w:val="22"/>
                <w:lang w:val="it-IT"/>
              </w:rPr>
            </w:pPr>
            <w:proofErr w:type="spellStart"/>
            <w:r w:rsidRPr="001421C4">
              <w:rPr>
                <w:rFonts w:ascii="Cambria" w:hAnsi="Cambria"/>
                <w:sz w:val="22"/>
                <w:szCs w:val="22"/>
                <w:lang w:val="it-IT"/>
              </w:rPr>
              <w:t>Obvezna</w:t>
            </w:r>
            <w:proofErr w:type="spellEnd"/>
            <w:r w:rsidRPr="001421C4">
              <w:rPr>
                <w:rFonts w:ascii="Cambria" w:hAnsi="Cambria"/>
                <w:sz w:val="22"/>
                <w:szCs w:val="22"/>
                <w:lang w:val="it-IT"/>
              </w:rPr>
              <w:t xml:space="preserve">: </w:t>
            </w:r>
          </w:p>
          <w:p w14:paraId="7FFD61C0" w14:textId="77777777" w:rsidR="001421C4" w:rsidRPr="001421C4" w:rsidRDefault="001421C4">
            <w:pPr>
              <w:rPr>
                <w:rFonts w:ascii="Cambria" w:hAnsi="Cambria"/>
                <w:sz w:val="22"/>
                <w:szCs w:val="22"/>
              </w:rPr>
            </w:pPr>
            <w:r w:rsidRPr="001421C4">
              <w:rPr>
                <w:rFonts w:ascii="Cambria" w:hAnsi="Cambria"/>
                <w:sz w:val="22"/>
                <w:szCs w:val="22"/>
                <w:lang w:val="it-IT"/>
              </w:rPr>
              <w:t xml:space="preserve">1. </w:t>
            </w:r>
            <w:proofErr w:type="spellStart"/>
            <w:r w:rsidRPr="001421C4">
              <w:rPr>
                <w:rFonts w:ascii="Cambria" w:hAnsi="Cambria"/>
                <w:sz w:val="22"/>
                <w:szCs w:val="22"/>
                <w:lang w:val="it-IT"/>
              </w:rPr>
              <w:t>Gjadrov</w:t>
            </w:r>
            <w:proofErr w:type="spellEnd"/>
            <w:r w:rsidRPr="001421C4">
              <w:rPr>
                <w:rFonts w:ascii="Cambria" w:hAnsi="Cambria"/>
                <w:sz w:val="22"/>
                <w:szCs w:val="22"/>
                <w:lang w:val="it-IT"/>
              </w:rPr>
              <w:t xml:space="preserve">, I. (2002). </w:t>
            </w:r>
            <w:proofErr w:type="spellStart"/>
            <w:r w:rsidRPr="001421C4">
              <w:rPr>
                <w:rFonts w:ascii="Cambria" w:hAnsi="Cambria"/>
                <w:sz w:val="22"/>
                <w:szCs w:val="22"/>
                <w:lang w:val="it-IT"/>
              </w:rPr>
              <w:t>Umijeće</w:t>
            </w:r>
            <w:proofErr w:type="spellEnd"/>
            <w:r w:rsidRPr="001421C4">
              <w:rPr>
                <w:rFonts w:ascii="Cambria" w:hAnsi="Cambria"/>
                <w:sz w:val="22"/>
                <w:szCs w:val="22"/>
                <w:lang w:val="it-IT"/>
              </w:rPr>
              <w:t xml:space="preserve"> </w:t>
            </w:r>
            <w:proofErr w:type="spellStart"/>
            <w:r w:rsidRPr="001421C4">
              <w:rPr>
                <w:rFonts w:ascii="Cambria" w:hAnsi="Cambria"/>
                <w:sz w:val="22"/>
                <w:szCs w:val="22"/>
                <w:lang w:val="it-IT"/>
              </w:rPr>
              <w:t>dirigiranja</w:t>
            </w:r>
            <w:proofErr w:type="spellEnd"/>
            <w:r w:rsidRPr="001421C4">
              <w:rPr>
                <w:rFonts w:ascii="Cambria" w:hAnsi="Cambria"/>
                <w:sz w:val="22"/>
                <w:szCs w:val="22"/>
                <w:lang w:val="it-IT"/>
              </w:rPr>
              <w:t xml:space="preserve">. </w:t>
            </w:r>
            <w:r w:rsidRPr="001421C4">
              <w:rPr>
                <w:rFonts w:ascii="Cambria" w:hAnsi="Cambria"/>
                <w:sz w:val="22"/>
                <w:szCs w:val="22"/>
              </w:rPr>
              <w:t>Zagreb: Music play.  (14-24, 72)</w:t>
            </w:r>
          </w:p>
          <w:p w14:paraId="369C0833" w14:textId="77777777" w:rsidR="001421C4" w:rsidRPr="001421C4" w:rsidRDefault="001421C4">
            <w:pPr>
              <w:rPr>
                <w:rFonts w:ascii="Cambria" w:hAnsi="Cambria"/>
                <w:sz w:val="22"/>
                <w:szCs w:val="22"/>
              </w:rPr>
            </w:pPr>
            <w:r w:rsidRPr="001421C4">
              <w:rPr>
                <w:rFonts w:ascii="Cambria" w:hAnsi="Cambria"/>
                <w:sz w:val="22"/>
                <w:szCs w:val="22"/>
              </w:rPr>
              <w:t xml:space="preserve">2. </w:t>
            </w:r>
            <w:proofErr w:type="spellStart"/>
            <w:r w:rsidRPr="001421C4">
              <w:rPr>
                <w:rFonts w:ascii="Cambria" w:hAnsi="Cambria"/>
                <w:sz w:val="22"/>
                <w:szCs w:val="22"/>
              </w:rPr>
              <w:t>Manasteriotti</w:t>
            </w:r>
            <w:proofErr w:type="spellEnd"/>
            <w:r w:rsidRPr="001421C4">
              <w:rPr>
                <w:rFonts w:ascii="Cambria" w:hAnsi="Cambria"/>
                <w:sz w:val="22"/>
                <w:szCs w:val="22"/>
              </w:rPr>
              <w:t xml:space="preserve">, V. </w:t>
            </w:r>
            <w:proofErr w:type="gramStart"/>
            <w:r w:rsidRPr="001421C4">
              <w:rPr>
                <w:rFonts w:ascii="Cambria" w:hAnsi="Cambria"/>
                <w:sz w:val="22"/>
                <w:szCs w:val="22"/>
              </w:rPr>
              <w:t>( 1987</w:t>
            </w:r>
            <w:proofErr w:type="gramEnd"/>
            <w:r w:rsidRPr="001421C4">
              <w:rPr>
                <w:rFonts w:ascii="Cambria" w:hAnsi="Cambria"/>
                <w:sz w:val="22"/>
                <w:szCs w:val="22"/>
              </w:rPr>
              <w:t xml:space="preserve">). </w:t>
            </w:r>
            <w:proofErr w:type="spellStart"/>
            <w:r w:rsidRPr="001421C4">
              <w:rPr>
                <w:rFonts w:ascii="Cambria" w:hAnsi="Cambria"/>
                <w:sz w:val="22"/>
                <w:szCs w:val="22"/>
              </w:rPr>
              <w:t>Muzički</w:t>
            </w:r>
            <w:proofErr w:type="spellEnd"/>
            <w:r w:rsidRPr="001421C4">
              <w:rPr>
                <w:rFonts w:ascii="Cambria" w:hAnsi="Cambria"/>
                <w:sz w:val="22"/>
                <w:szCs w:val="22"/>
              </w:rPr>
              <w:t xml:space="preserve"> </w:t>
            </w:r>
            <w:proofErr w:type="spellStart"/>
            <w:r w:rsidRPr="001421C4">
              <w:rPr>
                <w:rFonts w:ascii="Cambria" w:hAnsi="Cambria"/>
                <w:sz w:val="22"/>
                <w:szCs w:val="22"/>
              </w:rPr>
              <w:t>odgoj</w:t>
            </w:r>
            <w:proofErr w:type="spellEnd"/>
            <w:r w:rsidRPr="001421C4">
              <w:rPr>
                <w:rFonts w:ascii="Cambria" w:hAnsi="Cambria"/>
                <w:sz w:val="22"/>
                <w:szCs w:val="22"/>
              </w:rPr>
              <w:t xml:space="preserve"> </w:t>
            </w:r>
            <w:proofErr w:type="spellStart"/>
            <w:r w:rsidRPr="001421C4">
              <w:rPr>
                <w:rFonts w:ascii="Cambria" w:hAnsi="Cambria"/>
                <w:sz w:val="22"/>
                <w:szCs w:val="22"/>
              </w:rPr>
              <w:t>na</w:t>
            </w:r>
            <w:proofErr w:type="spellEnd"/>
            <w:r w:rsidRPr="001421C4">
              <w:rPr>
                <w:rFonts w:ascii="Cambria" w:hAnsi="Cambria"/>
                <w:sz w:val="22"/>
                <w:szCs w:val="22"/>
              </w:rPr>
              <w:t xml:space="preserve"> </w:t>
            </w:r>
            <w:proofErr w:type="spellStart"/>
            <w:r w:rsidRPr="001421C4">
              <w:rPr>
                <w:rFonts w:ascii="Cambria" w:hAnsi="Cambria"/>
                <w:sz w:val="22"/>
                <w:szCs w:val="22"/>
              </w:rPr>
              <w:t>početnom</w:t>
            </w:r>
            <w:proofErr w:type="spellEnd"/>
            <w:r w:rsidRPr="001421C4">
              <w:rPr>
                <w:rFonts w:ascii="Cambria" w:hAnsi="Cambria"/>
                <w:sz w:val="22"/>
                <w:szCs w:val="22"/>
              </w:rPr>
              <w:t xml:space="preserve"> </w:t>
            </w:r>
            <w:proofErr w:type="spellStart"/>
            <w:r w:rsidRPr="001421C4">
              <w:rPr>
                <w:rFonts w:ascii="Cambria" w:hAnsi="Cambria"/>
                <w:sz w:val="22"/>
                <w:szCs w:val="22"/>
              </w:rPr>
              <w:t>stupnju</w:t>
            </w:r>
            <w:proofErr w:type="spellEnd"/>
            <w:r w:rsidRPr="001421C4">
              <w:rPr>
                <w:rFonts w:ascii="Cambria" w:hAnsi="Cambria"/>
                <w:sz w:val="22"/>
                <w:szCs w:val="22"/>
              </w:rPr>
              <w:t xml:space="preserve">. Zagreb:  </w:t>
            </w:r>
            <w:proofErr w:type="spellStart"/>
            <w:r w:rsidRPr="001421C4">
              <w:rPr>
                <w:rFonts w:ascii="Cambria" w:hAnsi="Cambria"/>
                <w:sz w:val="22"/>
                <w:szCs w:val="22"/>
              </w:rPr>
              <w:t>Školska</w:t>
            </w:r>
            <w:proofErr w:type="spellEnd"/>
            <w:r w:rsidRPr="001421C4">
              <w:rPr>
                <w:rFonts w:ascii="Cambria" w:hAnsi="Cambria"/>
                <w:sz w:val="22"/>
                <w:szCs w:val="22"/>
              </w:rPr>
              <w:t xml:space="preserve"> </w:t>
            </w:r>
            <w:proofErr w:type="spellStart"/>
            <w:r w:rsidRPr="001421C4">
              <w:rPr>
                <w:rFonts w:ascii="Cambria" w:hAnsi="Cambria"/>
                <w:sz w:val="22"/>
                <w:szCs w:val="22"/>
              </w:rPr>
              <w:t>knjiga</w:t>
            </w:r>
            <w:proofErr w:type="spellEnd"/>
            <w:r w:rsidRPr="001421C4">
              <w:rPr>
                <w:rFonts w:ascii="Cambria" w:hAnsi="Cambria"/>
                <w:sz w:val="22"/>
                <w:szCs w:val="22"/>
              </w:rPr>
              <w:t>. (str. 82-124)</w:t>
            </w:r>
          </w:p>
          <w:p w14:paraId="1AF35356" w14:textId="77777777" w:rsidR="001421C4" w:rsidRPr="001421C4" w:rsidRDefault="001421C4">
            <w:pPr>
              <w:rPr>
                <w:rFonts w:ascii="Cambria" w:hAnsi="Cambria"/>
                <w:sz w:val="22"/>
                <w:szCs w:val="22"/>
                <w:lang w:val="it-IT"/>
              </w:rPr>
            </w:pPr>
            <w:r w:rsidRPr="001421C4">
              <w:rPr>
                <w:rFonts w:ascii="Cambria" w:hAnsi="Cambria"/>
                <w:sz w:val="22"/>
                <w:szCs w:val="22"/>
              </w:rPr>
              <w:t xml:space="preserve">3. Njirić, N. (2001). Put do </w:t>
            </w:r>
            <w:proofErr w:type="spellStart"/>
            <w:r w:rsidRPr="001421C4">
              <w:rPr>
                <w:rFonts w:ascii="Cambria" w:hAnsi="Cambria"/>
                <w:sz w:val="22"/>
                <w:szCs w:val="22"/>
              </w:rPr>
              <w:t>glazbe</w:t>
            </w:r>
            <w:proofErr w:type="spellEnd"/>
            <w:r w:rsidRPr="001421C4">
              <w:rPr>
                <w:rFonts w:ascii="Cambria" w:hAnsi="Cambria"/>
                <w:sz w:val="22"/>
                <w:szCs w:val="22"/>
              </w:rPr>
              <w:t xml:space="preserve">. Zagreb:  </w:t>
            </w:r>
            <w:proofErr w:type="spellStart"/>
            <w:r w:rsidRPr="001421C4">
              <w:rPr>
                <w:rFonts w:ascii="Cambria" w:hAnsi="Cambria"/>
                <w:sz w:val="22"/>
                <w:szCs w:val="22"/>
              </w:rPr>
              <w:t>Školska</w:t>
            </w:r>
            <w:proofErr w:type="spellEnd"/>
            <w:r w:rsidRPr="001421C4">
              <w:rPr>
                <w:rFonts w:ascii="Cambria" w:hAnsi="Cambria"/>
                <w:sz w:val="22"/>
                <w:szCs w:val="22"/>
              </w:rPr>
              <w:t xml:space="preserve"> </w:t>
            </w:r>
            <w:proofErr w:type="spellStart"/>
            <w:r w:rsidRPr="001421C4">
              <w:rPr>
                <w:rFonts w:ascii="Cambria" w:hAnsi="Cambria"/>
                <w:sz w:val="22"/>
                <w:szCs w:val="22"/>
              </w:rPr>
              <w:t>knjiga</w:t>
            </w:r>
            <w:proofErr w:type="spellEnd"/>
            <w:r w:rsidRPr="001421C4">
              <w:rPr>
                <w:rFonts w:ascii="Cambria" w:hAnsi="Cambria"/>
                <w:sz w:val="22"/>
                <w:szCs w:val="22"/>
              </w:rPr>
              <w:t xml:space="preserve">. </w:t>
            </w:r>
            <w:r w:rsidRPr="001421C4">
              <w:rPr>
                <w:rFonts w:ascii="Cambria" w:hAnsi="Cambria"/>
                <w:sz w:val="22"/>
                <w:szCs w:val="22"/>
                <w:lang w:val="it-IT"/>
              </w:rPr>
              <w:t>(</w:t>
            </w:r>
            <w:proofErr w:type="spellStart"/>
            <w:r w:rsidRPr="001421C4">
              <w:rPr>
                <w:rFonts w:ascii="Cambria" w:hAnsi="Cambria"/>
                <w:sz w:val="22"/>
                <w:szCs w:val="22"/>
                <w:lang w:val="it-IT"/>
              </w:rPr>
              <w:t>str</w:t>
            </w:r>
            <w:proofErr w:type="spellEnd"/>
            <w:r w:rsidRPr="001421C4">
              <w:rPr>
                <w:rFonts w:ascii="Cambria" w:hAnsi="Cambria"/>
                <w:sz w:val="22"/>
                <w:szCs w:val="22"/>
                <w:lang w:val="it-IT"/>
              </w:rPr>
              <w:t>. 9-46)</w:t>
            </w:r>
          </w:p>
          <w:p w14:paraId="03D0D6AC" w14:textId="77777777" w:rsidR="001421C4" w:rsidRPr="001421C4" w:rsidRDefault="001421C4">
            <w:pPr>
              <w:rPr>
                <w:rFonts w:ascii="Cambria" w:hAnsi="Cambria"/>
                <w:sz w:val="22"/>
                <w:szCs w:val="22"/>
                <w:lang w:val="it-IT"/>
              </w:rPr>
            </w:pPr>
            <w:proofErr w:type="spellStart"/>
            <w:r w:rsidRPr="001421C4">
              <w:rPr>
                <w:rFonts w:ascii="Cambria" w:hAnsi="Cambria"/>
                <w:sz w:val="22"/>
                <w:szCs w:val="22"/>
                <w:lang w:val="it-IT"/>
              </w:rPr>
              <w:t>Izborna</w:t>
            </w:r>
            <w:proofErr w:type="spellEnd"/>
            <w:r w:rsidRPr="001421C4">
              <w:rPr>
                <w:rFonts w:ascii="Cambria" w:hAnsi="Cambria"/>
                <w:sz w:val="22"/>
                <w:szCs w:val="22"/>
                <w:lang w:val="it-IT"/>
              </w:rPr>
              <w:t>:</w:t>
            </w:r>
          </w:p>
          <w:p w14:paraId="7DC84272" w14:textId="77777777" w:rsidR="001421C4" w:rsidRPr="001421C4" w:rsidRDefault="001421C4">
            <w:pPr>
              <w:rPr>
                <w:rFonts w:ascii="Cambria" w:hAnsi="Cambria"/>
                <w:sz w:val="22"/>
                <w:szCs w:val="22"/>
                <w:lang w:val="it-IT"/>
              </w:rPr>
            </w:pPr>
            <w:r w:rsidRPr="001421C4">
              <w:rPr>
                <w:rFonts w:ascii="Cambria" w:hAnsi="Cambria"/>
                <w:sz w:val="22"/>
                <w:szCs w:val="22"/>
                <w:lang w:val="it-IT"/>
              </w:rPr>
              <w:t xml:space="preserve">1. </w:t>
            </w:r>
            <w:proofErr w:type="spellStart"/>
            <w:r w:rsidRPr="001421C4">
              <w:rPr>
                <w:rFonts w:ascii="Cambria" w:hAnsi="Cambria"/>
                <w:sz w:val="22"/>
                <w:szCs w:val="22"/>
                <w:lang w:val="it-IT"/>
              </w:rPr>
              <w:t>Jerković</w:t>
            </w:r>
            <w:proofErr w:type="spellEnd"/>
            <w:r w:rsidRPr="001421C4">
              <w:rPr>
                <w:rFonts w:ascii="Cambria" w:hAnsi="Cambria"/>
                <w:sz w:val="22"/>
                <w:szCs w:val="22"/>
                <w:lang w:val="it-IT"/>
              </w:rPr>
              <w:t xml:space="preserve">, J. (2003). </w:t>
            </w:r>
            <w:proofErr w:type="spellStart"/>
            <w:r w:rsidRPr="001421C4">
              <w:rPr>
                <w:rFonts w:ascii="Cambria" w:hAnsi="Cambria"/>
                <w:sz w:val="22"/>
                <w:szCs w:val="22"/>
                <w:lang w:val="it-IT"/>
              </w:rPr>
              <w:t>Osnove</w:t>
            </w:r>
            <w:proofErr w:type="spellEnd"/>
            <w:r w:rsidRPr="001421C4">
              <w:rPr>
                <w:rFonts w:ascii="Cambria" w:hAnsi="Cambria"/>
                <w:sz w:val="22"/>
                <w:szCs w:val="22"/>
                <w:lang w:val="it-IT"/>
              </w:rPr>
              <w:t xml:space="preserve"> </w:t>
            </w:r>
            <w:proofErr w:type="spellStart"/>
            <w:r w:rsidRPr="001421C4">
              <w:rPr>
                <w:rFonts w:ascii="Cambria" w:hAnsi="Cambria"/>
                <w:sz w:val="22"/>
                <w:szCs w:val="22"/>
                <w:lang w:val="it-IT"/>
              </w:rPr>
              <w:t>dirigiranja</w:t>
            </w:r>
            <w:proofErr w:type="spellEnd"/>
            <w:r w:rsidRPr="001421C4">
              <w:rPr>
                <w:rFonts w:ascii="Cambria" w:hAnsi="Cambria"/>
                <w:sz w:val="22"/>
                <w:szCs w:val="22"/>
                <w:lang w:val="it-IT"/>
              </w:rPr>
              <w:t xml:space="preserve"> I: </w:t>
            </w:r>
            <w:proofErr w:type="spellStart"/>
            <w:r w:rsidRPr="001421C4">
              <w:rPr>
                <w:rFonts w:ascii="Cambria" w:hAnsi="Cambria"/>
                <w:sz w:val="22"/>
                <w:szCs w:val="22"/>
                <w:lang w:val="it-IT"/>
              </w:rPr>
              <w:t>taktiranje</w:t>
            </w:r>
            <w:proofErr w:type="spellEnd"/>
            <w:r w:rsidRPr="001421C4">
              <w:rPr>
                <w:rFonts w:ascii="Cambria" w:hAnsi="Cambria"/>
                <w:sz w:val="22"/>
                <w:szCs w:val="22"/>
                <w:lang w:val="it-IT"/>
              </w:rPr>
              <w:t xml:space="preserve">. Osijek: </w:t>
            </w:r>
            <w:proofErr w:type="spellStart"/>
            <w:r w:rsidRPr="001421C4">
              <w:rPr>
                <w:rFonts w:ascii="Cambria" w:hAnsi="Cambria"/>
                <w:sz w:val="22"/>
                <w:szCs w:val="22"/>
                <w:lang w:val="it-IT"/>
              </w:rPr>
              <w:t>Sveučilište</w:t>
            </w:r>
            <w:proofErr w:type="spellEnd"/>
            <w:r w:rsidRPr="001421C4">
              <w:rPr>
                <w:rFonts w:ascii="Cambria" w:hAnsi="Cambria"/>
                <w:sz w:val="22"/>
                <w:szCs w:val="22"/>
                <w:lang w:val="it-IT"/>
              </w:rPr>
              <w:t xml:space="preserve"> </w:t>
            </w:r>
            <w:proofErr w:type="spellStart"/>
            <w:r w:rsidRPr="001421C4">
              <w:rPr>
                <w:rFonts w:ascii="Cambria" w:hAnsi="Cambria"/>
                <w:sz w:val="22"/>
                <w:szCs w:val="22"/>
                <w:lang w:val="it-IT"/>
              </w:rPr>
              <w:t>Jurja</w:t>
            </w:r>
            <w:proofErr w:type="spellEnd"/>
            <w:r w:rsidRPr="001421C4">
              <w:rPr>
                <w:rFonts w:ascii="Cambria" w:hAnsi="Cambria"/>
                <w:sz w:val="22"/>
                <w:szCs w:val="22"/>
                <w:lang w:val="it-IT"/>
              </w:rPr>
              <w:t xml:space="preserve"> </w:t>
            </w:r>
            <w:proofErr w:type="spellStart"/>
            <w:r w:rsidRPr="001421C4">
              <w:rPr>
                <w:rFonts w:ascii="Cambria" w:hAnsi="Cambria"/>
                <w:sz w:val="22"/>
                <w:szCs w:val="22"/>
                <w:lang w:val="it-IT"/>
              </w:rPr>
              <w:t>Strossmayera</w:t>
            </w:r>
            <w:proofErr w:type="spellEnd"/>
            <w:r w:rsidRPr="001421C4">
              <w:rPr>
                <w:rFonts w:ascii="Cambria" w:hAnsi="Cambria"/>
                <w:sz w:val="22"/>
                <w:szCs w:val="22"/>
                <w:lang w:val="it-IT"/>
              </w:rPr>
              <w:t>.</w:t>
            </w:r>
          </w:p>
          <w:p w14:paraId="06AA17F0" w14:textId="77777777" w:rsidR="001421C4" w:rsidRPr="001421C4" w:rsidRDefault="001421C4">
            <w:pPr>
              <w:rPr>
                <w:rFonts w:ascii="Cambria" w:hAnsi="Cambria"/>
                <w:sz w:val="22"/>
                <w:szCs w:val="22"/>
                <w:lang w:val="it-IT"/>
              </w:rPr>
            </w:pPr>
            <w:r w:rsidRPr="001421C4">
              <w:rPr>
                <w:rFonts w:ascii="Cambria" w:hAnsi="Cambria"/>
                <w:sz w:val="22"/>
                <w:szCs w:val="22"/>
                <w:lang w:val="it-IT"/>
              </w:rPr>
              <w:t xml:space="preserve">2.  </w:t>
            </w:r>
            <w:proofErr w:type="spellStart"/>
            <w:r w:rsidRPr="001421C4">
              <w:rPr>
                <w:rFonts w:ascii="Cambria" w:hAnsi="Cambria"/>
                <w:sz w:val="22"/>
                <w:szCs w:val="22"/>
                <w:lang w:val="it-IT"/>
              </w:rPr>
              <w:t>Jerković</w:t>
            </w:r>
            <w:proofErr w:type="spellEnd"/>
            <w:r w:rsidRPr="001421C4">
              <w:rPr>
                <w:rFonts w:ascii="Cambria" w:hAnsi="Cambria"/>
                <w:sz w:val="22"/>
                <w:szCs w:val="22"/>
                <w:lang w:val="it-IT"/>
              </w:rPr>
              <w:t xml:space="preserve">, J. (2001). </w:t>
            </w:r>
            <w:proofErr w:type="spellStart"/>
            <w:r w:rsidRPr="001421C4">
              <w:rPr>
                <w:rFonts w:ascii="Cambria" w:hAnsi="Cambria"/>
                <w:sz w:val="22"/>
                <w:szCs w:val="22"/>
                <w:lang w:val="it-IT"/>
              </w:rPr>
              <w:t>Osnove</w:t>
            </w:r>
            <w:proofErr w:type="spellEnd"/>
            <w:r w:rsidRPr="001421C4">
              <w:rPr>
                <w:rFonts w:ascii="Cambria" w:hAnsi="Cambria"/>
                <w:sz w:val="22"/>
                <w:szCs w:val="22"/>
                <w:lang w:val="it-IT"/>
              </w:rPr>
              <w:t xml:space="preserve"> </w:t>
            </w:r>
            <w:proofErr w:type="spellStart"/>
            <w:r w:rsidRPr="001421C4">
              <w:rPr>
                <w:rFonts w:ascii="Cambria" w:hAnsi="Cambria"/>
                <w:sz w:val="22"/>
                <w:szCs w:val="22"/>
                <w:lang w:val="it-IT"/>
              </w:rPr>
              <w:t>dirigiranja</w:t>
            </w:r>
            <w:proofErr w:type="spellEnd"/>
            <w:r w:rsidRPr="001421C4">
              <w:rPr>
                <w:rFonts w:ascii="Cambria" w:hAnsi="Cambria"/>
                <w:sz w:val="22"/>
                <w:szCs w:val="22"/>
                <w:lang w:val="it-IT"/>
              </w:rPr>
              <w:t xml:space="preserve"> II: </w:t>
            </w:r>
            <w:proofErr w:type="spellStart"/>
            <w:r w:rsidRPr="001421C4">
              <w:rPr>
                <w:rFonts w:ascii="Cambria" w:hAnsi="Cambria"/>
                <w:sz w:val="22"/>
                <w:szCs w:val="22"/>
                <w:lang w:val="it-IT"/>
              </w:rPr>
              <w:t>interpretacija</w:t>
            </w:r>
            <w:proofErr w:type="spellEnd"/>
            <w:r w:rsidRPr="001421C4">
              <w:rPr>
                <w:rFonts w:ascii="Cambria" w:hAnsi="Cambria"/>
                <w:sz w:val="22"/>
                <w:szCs w:val="22"/>
                <w:lang w:val="it-IT"/>
              </w:rPr>
              <w:t xml:space="preserve">. Osijek: </w:t>
            </w:r>
            <w:proofErr w:type="spellStart"/>
            <w:r w:rsidRPr="001421C4">
              <w:rPr>
                <w:rFonts w:ascii="Cambria" w:hAnsi="Cambria"/>
                <w:sz w:val="22"/>
                <w:szCs w:val="22"/>
                <w:lang w:val="it-IT"/>
              </w:rPr>
              <w:t>Sveučilište</w:t>
            </w:r>
            <w:proofErr w:type="spellEnd"/>
            <w:r w:rsidRPr="001421C4">
              <w:rPr>
                <w:rFonts w:ascii="Cambria" w:hAnsi="Cambria"/>
                <w:sz w:val="22"/>
                <w:szCs w:val="22"/>
                <w:lang w:val="it-IT"/>
              </w:rPr>
              <w:t xml:space="preserve"> </w:t>
            </w:r>
            <w:proofErr w:type="spellStart"/>
            <w:r w:rsidRPr="001421C4">
              <w:rPr>
                <w:rFonts w:ascii="Cambria" w:hAnsi="Cambria"/>
                <w:sz w:val="22"/>
                <w:szCs w:val="22"/>
                <w:lang w:val="it-IT"/>
              </w:rPr>
              <w:t>Jurja</w:t>
            </w:r>
            <w:proofErr w:type="spellEnd"/>
            <w:r w:rsidRPr="001421C4">
              <w:rPr>
                <w:rFonts w:ascii="Cambria" w:hAnsi="Cambria"/>
                <w:sz w:val="22"/>
                <w:szCs w:val="22"/>
                <w:lang w:val="it-IT"/>
              </w:rPr>
              <w:t xml:space="preserve"> </w:t>
            </w:r>
            <w:proofErr w:type="spellStart"/>
            <w:r w:rsidRPr="001421C4">
              <w:rPr>
                <w:rFonts w:ascii="Cambria" w:hAnsi="Cambria"/>
                <w:sz w:val="22"/>
                <w:szCs w:val="22"/>
                <w:lang w:val="it-IT"/>
              </w:rPr>
              <w:t>Strossmayera</w:t>
            </w:r>
            <w:proofErr w:type="spellEnd"/>
            <w:r w:rsidRPr="001421C4">
              <w:rPr>
                <w:rFonts w:ascii="Cambria" w:hAnsi="Cambria"/>
                <w:sz w:val="22"/>
                <w:szCs w:val="22"/>
                <w:lang w:val="it-IT"/>
              </w:rPr>
              <w:t>.</w:t>
            </w:r>
          </w:p>
          <w:p w14:paraId="466503DD" w14:textId="77777777" w:rsidR="001421C4" w:rsidRPr="001421C4" w:rsidRDefault="001421C4">
            <w:pPr>
              <w:rPr>
                <w:rFonts w:ascii="Cambria" w:hAnsi="Cambria"/>
                <w:sz w:val="22"/>
                <w:szCs w:val="22"/>
                <w:lang w:val="it-IT"/>
              </w:rPr>
            </w:pPr>
            <w:proofErr w:type="spellStart"/>
            <w:r w:rsidRPr="001421C4">
              <w:rPr>
                <w:rFonts w:ascii="Cambria" w:hAnsi="Cambria"/>
                <w:sz w:val="22"/>
                <w:szCs w:val="22"/>
                <w:lang w:val="it-IT"/>
              </w:rPr>
              <w:t>Priručna</w:t>
            </w:r>
            <w:proofErr w:type="spellEnd"/>
            <w:r w:rsidRPr="001421C4">
              <w:rPr>
                <w:rFonts w:ascii="Cambria" w:hAnsi="Cambria"/>
                <w:sz w:val="22"/>
                <w:szCs w:val="22"/>
                <w:lang w:val="it-IT"/>
              </w:rPr>
              <w:t>:</w:t>
            </w:r>
          </w:p>
          <w:p w14:paraId="2C521F89" w14:textId="77777777" w:rsidR="001421C4" w:rsidRPr="001421C4" w:rsidRDefault="001421C4">
            <w:pPr>
              <w:rPr>
                <w:rFonts w:ascii="Cambria" w:hAnsi="Cambria"/>
                <w:sz w:val="22"/>
                <w:szCs w:val="22"/>
                <w:lang w:val="it-IT"/>
              </w:rPr>
            </w:pPr>
            <w:proofErr w:type="spellStart"/>
            <w:r w:rsidRPr="001421C4">
              <w:rPr>
                <w:rFonts w:ascii="Cambria" w:hAnsi="Cambria"/>
                <w:sz w:val="22"/>
                <w:szCs w:val="22"/>
                <w:lang w:val="it-IT"/>
              </w:rPr>
              <w:t>Pjesme</w:t>
            </w:r>
            <w:proofErr w:type="spellEnd"/>
            <w:r w:rsidRPr="001421C4">
              <w:rPr>
                <w:rFonts w:ascii="Cambria" w:hAnsi="Cambria"/>
                <w:sz w:val="22"/>
                <w:szCs w:val="22"/>
                <w:lang w:val="it-IT"/>
              </w:rPr>
              <w:t xml:space="preserve"> </w:t>
            </w:r>
            <w:proofErr w:type="spellStart"/>
            <w:r w:rsidRPr="001421C4">
              <w:rPr>
                <w:rFonts w:ascii="Cambria" w:hAnsi="Cambria"/>
                <w:sz w:val="22"/>
                <w:szCs w:val="22"/>
                <w:lang w:val="it-IT"/>
              </w:rPr>
              <w:t>iz</w:t>
            </w:r>
            <w:proofErr w:type="spellEnd"/>
            <w:r w:rsidRPr="001421C4">
              <w:rPr>
                <w:rFonts w:ascii="Cambria" w:hAnsi="Cambria"/>
                <w:sz w:val="22"/>
                <w:szCs w:val="22"/>
                <w:lang w:val="it-IT"/>
              </w:rPr>
              <w:t xml:space="preserve"> </w:t>
            </w:r>
            <w:proofErr w:type="spellStart"/>
            <w:r w:rsidRPr="001421C4">
              <w:rPr>
                <w:rFonts w:ascii="Cambria" w:hAnsi="Cambria"/>
                <w:sz w:val="22"/>
                <w:szCs w:val="22"/>
                <w:lang w:val="it-IT"/>
              </w:rPr>
              <w:t>raznih</w:t>
            </w:r>
            <w:proofErr w:type="spellEnd"/>
            <w:r w:rsidRPr="001421C4">
              <w:rPr>
                <w:rFonts w:ascii="Cambria" w:hAnsi="Cambria"/>
                <w:sz w:val="22"/>
                <w:szCs w:val="22"/>
                <w:lang w:val="it-IT"/>
              </w:rPr>
              <w:t xml:space="preserve"> </w:t>
            </w:r>
            <w:proofErr w:type="spellStart"/>
            <w:r w:rsidRPr="001421C4">
              <w:rPr>
                <w:rFonts w:ascii="Cambria" w:hAnsi="Cambria"/>
                <w:sz w:val="22"/>
                <w:szCs w:val="22"/>
                <w:lang w:val="it-IT"/>
              </w:rPr>
              <w:t>pjesmarica</w:t>
            </w:r>
            <w:proofErr w:type="spellEnd"/>
          </w:p>
        </w:tc>
      </w:tr>
    </w:tbl>
    <w:p w14:paraId="4D5D8B0A" w14:textId="1A4222D6" w:rsidR="001421C4" w:rsidRDefault="001421C4" w:rsidP="00830554">
      <w:pPr>
        <w:rPr>
          <w:rFonts w:ascii="Cambria" w:hAnsi="Cambria"/>
          <w:lang w:val="hr-HR"/>
        </w:rPr>
      </w:pPr>
    </w:p>
    <w:p w14:paraId="763F3DC9" w14:textId="77777777" w:rsidR="001421C4" w:rsidRDefault="001421C4">
      <w:pPr>
        <w:rPr>
          <w:rFonts w:ascii="Cambria" w:hAnsi="Cambria"/>
          <w:lang w:val="hr-HR"/>
        </w:rPr>
      </w:pPr>
      <w:r>
        <w:rPr>
          <w:rFonts w:ascii="Cambria" w:hAnsi="Cambria"/>
          <w:lang w:val="hr-HR"/>
        </w:rPr>
        <w:br w:type="page"/>
      </w:r>
    </w:p>
    <w:tbl>
      <w:tblPr>
        <w:tblStyle w:val="TableNormal"/>
        <w:tblW w:w="0" w:type="auto"/>
        <w:tblInd w:w="0" w:type="dxa"/>
        <w:tblLayout w:type="fixed"/>
        <w:tblCellMar>
          <w:top w:w="15" w:type="dxa"/>
          <w:left w:w="15" w:type="dxa"/>
          <w:bottom w:w="15" w:type="dxa"/>
          <w:right w:w="15" w:type="dxa"/>
        </w:tblCellMar>
        <w:tblLook w:val="04A0" w:firstRow="1" w:lastRow="0" w:firstColumn="1" w:lastColumn="0" w:noHBand="0" w:noVBand="1"/>
      </w:tblPr>
      <w:tblGrid>
        <w:gridCol w:w="2535"/>
        <w:gridCol w:w="2400"/>
        <w:gridCol w:w="90"/>
        <w:gridCol w:w="1065"/>
        <w:gridCol w:w="255"/>
        <w:gridCol w:w="435"/>
        <w:gridCol w:w="975"/>
        <w:gridCol w:w="2021"/>
      </w:tblGrid>
      <w:tr w:rsidR="001421C4" w:rsidRPr="003F7241" w14:paraId="4ABD5E20" w14:textId="77777777" w:rsidTr="00B36357">
        <w:tc>
          <w:tcPr>
            <w:tcW w:w="977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E83360D" w14:textId="77777777" w:rsidR="001421C4" w:rsidRPr="003F7241" w:rsidRDefault="001421C4" w:rsidP="00450B7A">
            <w:pPr>
              <w:jc w:val="right"/>
              <w:rPr>
                <w:rFonts w:ascii="Cambria" w:eastAsia="Calibri" w:hAnsi="Cambria"/>
                <w:b/>
                <w:sz w:val="22"/>
                <w:szCs w:val="22"/>
              </w:rPr>
            </w:pPr>
            <w:r w:rsidRPr="003F7241">
              <w:rPr>
                <w:rFonts w:ascii="Cambria" w:eastAsia="Calibri" w:hAnsi="Cambria"/>
                <w:b/>
                <w:sz w:val="22"/>
                <w:szCs w:val="22"/>
              </w:rPr>
              <w:lastRenderedPageBreak/>
              <w:t>IZVEDBENI PLAN NASTAVE KOLEGIJA</w:t>
            </w:r>
          </w:p>
        </w:tc>
      </w:tr>
      <w:tr w:rsidR="001421C4" w:rsidRPr="003F7241" w14:paraId="288C9702" w14:textId="77777777" w:rsidTr="00B36357">
        <w:tc>
          <w:tcPr>
            <w:tcW w:w="25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DD0BD73" w14:textId="77777777" w:rsidR="001421C4" w:rsidRPr="003F7241" w:rsidRDefault="001421C4" w:rsidP="00450B7A">
            <w:pPr>
              <w:rPr>
                <w:rFonts w:ascii="Cambria" w:eastAsia="Calibri" w:hAnsi="Cambria"/>
                <w:sz w:val="22"/>
                <w:szCs w:val="22"/>
              </w:rPr>
            </w:pPr>
            <w:proofErr w:type="spellStart"/>
            <w:r w:rsidRPr="003F7241">
              <w:rPr>
                <w:rFonts w:ascii="Cambria" w:eastAsia="Calibri" w:hAnsi="Cambria"/>
                <w:sz w:val="22"/>
                <w:szCs w:val="22"/>
              </w:rPr>
              <w:t>Kod</w:t>
            </w:r>
            <w:proofErr w:type="spellEnd"/>
            <w:r w:rsidRPr="003F7241">
              <w:rPr>
                <w:rFonts w:ascii="Cambria" w:eastAsia="Calibri" w:hAnsi="Cambria"/>
                <w:sz w:val="22"/>
                <w:szCs w:val="22"/>
              </w:rPr>
              <w:t xml:space="preserve"> </w:t>
            </w:r>
            <w:proofErr w:type="spellStart"/>
            <w:r w:rsidRPr="003F7241">
              <w:rPr>
                <w:rFonts w:ascii="Cambria" w:eastAsia="Calibri" w:hAnsi="Cambria"/>
                <w:sz w:val="22"/>
                <w:szCs w:val="22"/>
              </w:rPr>
              <w:t>i</w:t>
            </w:r>
            <w:proofErr w:type="spellEnd"/>
            <w:r w:rsidRPr="003F7241">
              <w:rPr>
                <w:rFonts w:ascii="Cambria" w:eastAsia="Calibri" w:hAnsi="Cambria"/>
                <w:sz w:val="22"/>
                <w:szCs w:val="22"/>
              </w:rPr>
              <w:t xml:space="preserve"> </w:t>
            </w:r>
            <w:proofErr w:type="spellStart"/>
            <w:r w:rsidRPr="003F7241">
              <w:rPr>
                <w:rFonts w:ascii="Cambria" w:eastAsia="Calibri" w:hAnsi="Cambria"/>
                <w:sz w:val="22"/>
                <w:szCs w:val="22"/>
              </w:rPr>
              <w:t>naziv</w:t>
            </w:r>
            <w:proofErr w:type="spellEnd"/>
            <w:r w:rsidRPr="003F7241">
              <w:rPr>
                <w:rFonts w:ascii="Cambria" w:eastAsia="Calibri" w:hAnsi="Cambria"/>
                <w:sz w:val="22"/>
                <w:szCs w:val="22"/>
              </w:rPr>
              <w:t xml:space="preserve"> </w:t>
            </w:r>
            <w:proofErr w:type="spellStart"/>
            <w:r w:rsidRPr="003F7241">
              <w:rPr>
                <w:rFonts w:ascii="Cambria" w:eastAsia="Calibri" w:hAnsi="Cambria"/>
                <w:sz w:val="22"/>
                <w:szCs w:val="22"/>
              </w:rPr>
              <w:t>kolegija</w:t>
            </w:r>
            <w:proofErr w:type="spellEnd"/>
          </w:p>
        </w:tc>
        <w:tc>
          <w:tcPr>
            <w:tcW w:w="7241"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54CEC1" w14:textId="77777777" w:rsidR="001421C4" w:rsidRPr="003F7241" w:rsidRDefault="001421C4" w:rsidP="00450B7A">
            <w:pPr>
              <w:rPr>
                <w:rFonts w:ascii="Cambria" w:eastAsia="Calibri" w:hAnsi="Cambria"/>
                <w:b/>
                <w:sz w:val="22"/>
                <w:szCs w:val="22"/>
              </w:rPr>
            </w:pPr>
            <w:proofErr w:type="spellStart"/>
            <w:r w:rsidRPr="003F7241">
              <w:rPr>
                <w:rFonts w:ascii="Cambria" w:eastAsia="Calibri" w:hAnsi="Cambria"/>
                <w:sz w:val="22"/>
                <w:szCs w:val="22"/>
              </w:rPr>
              <w:t>Motorički</w:t>
            </w:r>
            <w:proofErr w:type="spellEnd"/>
            <w:r w:rsidRPr="003F7241">
              <w:rPr>
                <w:rFonts w:ascii="Cambria" w:eastAsia="Calibri" w:hAnsi="Cambria"/>
                <w:sz w:val="22"/>
                <w:szCs w:val="22"/>
              </w:rPr>
              <w:t xml:space="preserve"> </w:t>
            </w:r>
            <w:proofErr w:type="spellStart"/>
            <w:r w:rsidRPr="003F7241">
              <w:rPr>
                <w:rFonts w:ascii="Cambria" w:eastAsia="Calibri" w:hAnsi="Cambria"/>
                <w:sz w:val="22"/>
                <w:szCs w:val="22"/>
              </w:rPr>
              <w:t>razvoj</w:t>
            </w:r>
            <w:proofErr w:type="spellEnd"/>
            <w:r w:rsidRPr="003F7241">
              <w:rPr>
                <w:rFonts w:ascii="Cambria" w:eastAsia="Calibri" w:hAnsi="Cambria"/>
                <w:sz w:val="22"/>
                <w:szCs w:val="22"/>
              </w:rPr>
              <w:t xml:space="preserve"> </w:t>
            </w:r>
            <w:proofErr w:type="spellStart"/>
            <w:r w:rsidRPr="003F7241">
              <w:rPr>
                <w:rFonts w:ascii="Cambria" w:eastAsia="Calibri" w:hAnsi="Cambria"/>
                <w:sz w:val="22"/>
                <w:szCs w:val="22"/>
              </w:rPr>
              <w:t>djece</w:t>
            </w:r>
            <w:proofErr w:type="spellEnd"/>
          </w:p>
        </w:tc>
      </w:tr>
      <w:tr w:rsidR="001421C4" w:rsidRPr="003F7241" w14:paraId="1B3239FC" w14:textId="77777777" w:rsidTr="00B36357">
        <w:tc>
          <w:tcPr>
            <w:tcW w:w="25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489F9D9" w14:textId="77777777" w:rsidR="001421C4" w:rsidRPr="003F7241" w:rsidRDefault="001421C4" w:rsidP="00450B7A">
            <w:pPr>
              <w:rPr>
                <w:rFonts w:ascii="Cambria" w:eastAsia="Calibri" w:hAnsi="Cambria"/>
                <w:sz w:val="22"/>
                <w:szCs w:val="22"/>
              </w:rPr>
            </w:pPr>
            <w:proofErr w:type="spellStart"/>
            <w:r w:rsidRPr="003F7241">
              <w:rPr>
                <w:rFonts w:ascii="Cambria" w:eastAsia="Calibri" w:hAnsi="Cambria"/>
                <w:sz w:val="22"/>
                <w:szCs w:val="22"/>
              </w:rPr>
              <w:t>Nastavnica</w:t>
            </w:r>
            <w:proofErr w:type="spellEnd"/>
          </w:p>
        </w:tc>
        <w:tc>
          <w:tcPr>
            <w:tcW w:w="7241"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42D6AB" w14:textId="77777777" w:rsidR="001421C4" w:rsidRPr="003F7241" w:rsidRDefault="001421C4" w:rsidP="00450B7A">
            <w:pPr>
              <w:rPr>
                <w:rFonts w:ascii="Cambria" w:hAnsi="Cambria" w:cs="Calibri"/>
                <w:color w:val="0000FF"/>
                <w:sz w:val="22"/>
                <w:szCs w:val="22"/>
                <w:u w:val="single"/>
              </w:rPr>
            </w:pPr>
            <w:r w:rsidRPr="003F7241">
              <w:rPr>
                <w:rFonts w:ascii="Cambria" w:hAnsi="Cambria" w:cs="Calibri"/>
                <w:color w:val="0000FF"/>
                <w:sz w:val="22"/>
                <w:szCs w:val="22"/>
                <w:u w:val="single"/>
              </w:rPr>
              <w:t>Prof. dr. sc. Iva Blažević</w:t>
            </w:r>
            <w:r w:rsidRPr="003F7241">
              <w:rPr>
                <w:rFonts w:ascii="Cambria" w:hAnsi="Cambria" w:cs="Calibri"/>
                <w:color w:val="0000FF"/>
                <w:sz w:val="22"/>
                <w:szCs w:val="22"/>
              </w:rPr>
              <w:t xml:space="preserve"> </w:t>
            </w:r>
            <w:r w:rsidRPr="003F7241">
              <w:rPr>
                <w:rFonts w:ascii="Cambria" w:hAnsi="Cambria" w:cs="Calibri"/>
                <w:sz w:val="22"/>
                <w:szCs w:val="22"/>
              </w:rPr>
              <w:t>(</w:t>
            </w:r>
            <w:proofErr w:type="spellStart"/>
            <w:r w:rsidRPr="003F7241">
              <w:rPr>
                <w:rFonts w:ascii="Cambria" w:hAnsi="Cambria" w:cs="Calibri"/>
                <w:sz w:val="22"/>
                <w:szCs w:val="22"/>
              </w:rPr>
              <w:t>nositeljica</w:t>
            </w:r>
            <w:proofErr w:type="spellEnd"/>
            <w:r w:rsidRPr="003F7241">
              <w:rPr>
                <w:rFonts w:ascii="Cambria" w:hAnsi="Cambria" w:cs="Calibri"/>
                <w:sz w:val="22"/>
                <w:szCs w:val="22"/>
              </w:rPr>
              <w:t>)</w:t>
            </w:r>
          </w:p>
        </w:tc>
      </w:tr>
      <w:tr w:rsidR="001421C4" w:rsidRPr="003F7241" w14:paraId="1AAEF8E2" w14:textId="77777777" w:rsidTr="00B36357">
        <w:tc>
          <w:tcPr>
            <w:tcW w:w="25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0E7468B" w14:textId="77777777" w:rsidR="001421C4" w:rsidRPr="003F7241" w:rsidRDefault="001421C4" w:rsidP="00450B7A">
            <w:pPr>
              <w:rPr>
                <w:rFonts w:ascii="Cambria" w:eastAsia="Calibri" w:hAnsi="Cambria"/>
                <w:sz w:val="22"/>
                <w:szCs w:val="22"/>
              </w:rPr>
            </w:pPr>
            <w:proofErr w:type="spellStart"/>
            <w:r w:rsidRPr="003F7241">
              <w:rPr>
                <w:rFonts w:ascii="Cambria" w:eastAsia="Calibri" w:hAnsi="Cambria"/>
                <w:sz w:val="22"/>
                <w:szCs w:val="22"/>
              </w:rPr>
              <w:t>Studijski</w:t>
            </w:r>
            <w:proofErr w:type="spellEnd"/>
            <w:r w:rsidRPr="003F7241">
              <w:rPr>
                <w:rFonts w:ascii="Cambria" w:eastAsia="Calibri" w:hAnsi="Cambria"/>
                <w:sz w:val="22"/>
                <w:szCs w:val="22"/>
              </w:rPr>
              <w:t xml:space="preserve"> program</w:t>
            </w:r>
          </w:p>
        </w:tc>
        <w:tc>
          <w:tcPr>
            <w:tcW w:w="7241"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38A4611" w14:textId="77777777" w:rsidR="001421C4" w:rsidRPr="003F7241" w:rsidRDefault="001421C4" w:rsidP="00450B7A">
            <w:pPr>
              <w:rPr>
                <w:rFonts w:ascii="Cambria" w:eastAsia="Calibri" w:hAnsi="Cambria" w:cs="Calibri"/>
                <w:sz w:val="22"/>
                <w:szCs w:val="22"/>
              </w:rPr>
            </w:pPr>
            <w:proofErr w:type="spellStart"/>
            <w:r w:rsidRPr="003F7241">
              <w:rPr>
                <w:rFonts w:ascii="Cambria" w:eastAsia="Calibri" w:hAnsi="Cambria" w:cs="Calibri"/>
                <w:sz w:val="22"/>
                <w:szCs w:val="22"/>
              </w:rPr>
              <w:t>Sveučilišni</w:t>
            </w:r>
            <w:proofErr w:type="spellEnd"/>
            <w:r w:rsidRPr="003F7241">
              <w:rPr>
                <w:rFonts w:ascii="Cambria" w:eastAsia="Calibri" w:hAnsi="Cambria" w:cs="Calibri"/>
                <w:sz w:val="22"/>
                <w:szCs w:val="22"/>
              </w:rPr>
              <w:t xml:space="preserve"> </w:t>
            </w:r>
            <w:proofErr w:type="spellStart"/>
            <w:r w:rsidRPr="003F7241">
              <w:rPr>
                <w:rFonts w:ascii="Cambria" w:eastAsia="Calibri" w:hAnsi="Cambria" w:cs="Calibri"/>
                <w:sz w:val="22"/>
                <w:szCs w:val="22"/>
              </w:rPr>
              <w:t>integrirani</w:t>
            </w:r>
            <w:proofErr w:type="spellEnd"/>
            <w:r w:rsidRPr="003F7241">
              <w:rPr>
                <w:rFonts w:ascii="Cambria" w:eastAsia="Calibri" w:hAnsi="Cambria" w:cs="Calibri"/>
                <w:sz w:val="22"/>
                <w:szCs w:val="22"/>
              </w:rPr>
              <w:t xml:space="preserve"> </w:t>
            </w:r>
            <w:proofErr w:type="spellStart"/>
            <w:r w:rsidRPr="003F7241">
              <w:rPr>
                <w:rFonts w:ascii="Cambria" w:eastAsia="Calibri" w:hAnsi="Cambria" w:cs="Calibri"/>
                <w:sz w:val="22"/>
                <w:szCs w:val="22"/>
              </w:rPr>
              <w:t>prijediplomski</w:t>
            </w:r>
            <w:proofErr w:type="spellEnd"/>
            <w:r w:rsidRPr="003F7241">
              <w:rPr>
                <w:rFonts w:ascii="Cambria" w:eastAsia="Calibri" w:hAnsi="Cambria" w:cs="Calibri"/>
                <w:sz w:val="22"/>
                <w:szCs w:val="22"/>
              </w:rPr>
              <w:t xml:space="preserve"> </w:t>
            </w:r>
            <w:proofErr w:type="spellStart"/>
            <w:r w:rsidRPr="003F7241">
              <w:rPr>
                <w:rFonts w:ascii="Cambria" w:eastAsia="Calibri" w:hAnsi="Cambria" w:cs="Calibri"/>
                <w:sz w:val="22"/>
                <w:szCs w:val="22"/>
              </w:rPr>
              <w:t>i</w:t>
            </w:r>
            <w:proofErr w:type="spellEnd"/>
            <w:r w:rsidRPr="003F7241">
              <w:rPr>
                <w:rFonts w:ascii="Cambria" w:eastAsia="Calibri" w:hAnsi="Cambria" w:cs="Calibri"/>
                <w:sz w:val="22"/>
                <w:szCs w:val="22"/>
              </w:rPr>
              <w:t xml:space="preserve"> </w:t>
            </w:r>
            <w:proofErr w:type="spellStart"/>
            <w:r w:rsidRPr="003F7241">
              <w:rPr>
                <w:rFonts w:ascii="Cambria" w:eastAsia="Calibri" w:hAnsi="Cambria" w:cs="Calibri"/>
                <w:sz w:val="22"/>
                <w:szCs w:val="22"/>
              </w:rPr>
              <w:t>diplomski</w:t>
            </w:r>
            <w:proofErr w:type="spellEnd"/>
            <w:r w:rsidRPr="003F7241">
              <w:rPr>
                <w:rFonts w:ascii="Cambria" w:eastAsia="Calibri" w:hAnsi="Cambria" w:cs="Calibri"/>
                <w:sz w:val="22"/>
                <w:szCs w:val="22"/>
              </w:rPr>
              <w:t xml:space="preserve"> </w:t>
            </w:r>
            <w:proofErr w:type="spellStart"/>
            <w:r w:rsidRPr="003F7241">
              <w:rPr>
                <w:rFonts w:ascii="Cambria" w:eastAsia="Calibri" w:hAnsi="Cambria" w:cs="Calibri"/>
                <w:sz w:val="22"/>
                <w:szCs w:val="22"/>
              </w:rPr>
              <w:t>Učiteljski</w:t>
            </w:r>
            <w:proofErr w:type="spellEnd"/>
            <w:r w:rsidRPr="003F7241">
              <w:rPr>
                <w:rFonts w:ascii="Cambria" w:eastAsia="Calibri" w:hAnsi="Cambria" w:cs="Calibri"/>
                <w:sz w:val="22"/>
                <w:szCs w:val="22"/>
              </w:rPr>
              <w:t xml:space="preserve"> </w:t>
            </w:r>
            <w:proofErr w:type="spellStart"/>
            <w:r w:rsidRPr="003F7241">
              <w:rPr>
                <w:rFonts w:ascii="Cambria" w:eastAsia="Calibri" w:hAnsi="Cambria" w:cs="Calibri"/>
                <w:sz w:val="22"/>
                <w:szCs w:val="22"/>
              </w:rPr>
              <w:t>studij</w:t>
            </w:r>
            <w:proofErr w:type="spellEnd"/>
            <w:r w:rsidRPr="003F7241">
              <w:rPr>
                <w:rFonts w:ascii="Cambria" w:eastAsia="Calibri" w:hAnsi="Cambria" w:cs="Calibri"/>
                <w:sz w:val="22"/>
                <w:szCs w:val="22"/>
              </w:rPr>
              <w:t xml:space="preserve"> </w:t>
            </w:r>
            <w:proofErr w:type="spellStart"/>
            <w:r w:rsidRPr="003F7241">
              <w:rPr>
                <w:rFonts w:ascii="Cambria" w:eastAsia="Calibri" w:hAnsi="Cambria" w:cs="Calibri"/>
                <w:sz w:val="22"/>
                <w:szCs w:val="22"/>
              </w:rPr>
              <w:t>na</w:t>
            </w:r>
            <w:proofErr w:type="spellEnd"/>
            <w:r w:rsidRPr="003F7241">
              <w:rPr>
                <w:rFonts w:ascii="Cambria" w:eastAsia="Calibri" w:hAnsi="Cambria" w:cs="Calibri"/>
                <w:sz w:val="22"/>
                <w:szCs w:val="22"/>
              </w:rPr>
              <w:t xml:space="preserve"> </w:t>
            </w:r>
            <w:proofErr w:type="spellStart"/>
            <w:r w:rsidRPr="003F7241">
              <w:rPr>
                <w:rFonts w:ascii="Cambria" w:eastAsia="Calibri" w:hAnsi="Cambria" w:cs="Calibri"/>
                <w:sz w:val="22"/>
                <w:szCs w:val="22"/>
              </w:rPr>
              <w:t>hrvatskom</w:t>
            </w:r>
            <w:proofErr w:type="spellEnd"/>
            <w:r w:rsidRPr="003F7241">
              <w:rPr>
                <w:rFonts w:ascii="Cambria" w:eastAsia="Calibri" w:hAnsi="Cambria" w:cs="Calibri"/>
                <w:sz w:val="22"/>
                <w:szCs w:val="22"/>
              </w:rPr>
              <w:t xml:space="preserve"> </w:t>
            </w:r>
            <w:proofErr w:type="spellStart"/>
            <w:r w:rsidRPr="003F7241">
              <w:rPr>
                <w:rFonts w:ascii="Cambria" w:eastAsia="Calibri" w:hAnsi="Cambria" w:cs="Calibri"/>
                <w:sz w:val="22"/>
                <w:szCs w:val="22"/>
              </w:rPr>
              <w:t>jeziku</w:t>
            </w:r>
            <w:proofErr w:type="spellEnd"/>
          </w:p>
        </w:tc>
      </w:tr>
      <w:tr w:rsidR="001421C4" w:rsidRPr="003F7241" w14:paraId="3ECA9A0C" w14:textId="77777777" w:rsidTr="00B36357">
        <w:tc>
          <w:tcPr>
            <w:tcW w:w="25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58EAF92" w14:textId="77777777" w:rsidR="001421C4" w:rsidRPr="003F7241" w:rsidRDefault="001421C4" w:rsidP="00450B7A">
            <w:pPr>
              <w:rPr>
                <w:rFonts w:ascii="Cambria" w:eastAsia="Calibri" w:hAnsi="Cambria"/>
                <w:sz w:val="22"/>
                <w:szCs w:val="22"/>
              </w:rPr>
            </w:pPr>
            <w:proofErr w:type="spellStart"/>
            <w:r w:rsidRPr="003F7241">
              <w:rPr>
                <w:rFonts w:ascii="Cambria" w:eastAsia="Calibri" w:hAnsi="Cambria"/>
                <w:sz w:val="22"/>
                <w:szCs w:val="22"/>
              </w:rPr>
              <w:t>Vrsta</w:t>
            </w:r>
            <w:proofErr w:type="spellEnd"/>
            <w:r w:rsidRPr="003F7241">
              <w:rPr>
                <w:rFonts w:ascii="Cambria" w:eastAsia="Calibri" w:hAnsi="Cambria"/>
                <w:sz w:val="22"/>
                <w:szCs w:val="22"/>
              </w:rPr>
              <w:t xml:space="preserve"> </w:t>
            </w:r>
            <w:proofErr w:type="spellStart"/>
            <w:r w:rsidRPr="003F7241">
              <w:rPr>
                <w:rFonts w:ascii="Cambria" w:eastAsia="Calibri" w:hAnsi="Cambria"/>
                <w:sz w:val="22"/>
                <w:szCs w:val="22"/>
              </w:rPr>
              <w:t>kolegija</w:t>
            </w:r>
            <w:proofErr w:type="spellEnd"/>
          </w:p>
        </w:tc>
        <w:tc>
          <w:tcPr>
            <w:tcW w:w="2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DF25A18" w14:textId="77777777" w:rsidR="001421C4" w:rsidRPr="003F7241" w:rsidRDefault="001421C4" w:rsidP="00450B7A">
            <w:pPr>
              <w:rPr>
                <w:rFonts w:ascii="Cambria" w:eastAsia="Calibri" w:hAnsi="Cambria"/>
                <w:sz w:val="22"/>
                <w:szCs w:val="22"/>
              </w:rPr>
            </w:pPr>
            <w:proofErr w:type="spellStart"/>
            <w:r w:rsidRPr="003F7241">
              <w:rPr>
                <w:rFonts w:ascii="Cambria" w:eastAsia="Calibri" w:hAnsi="Cambria"/>
                <w:sz w:val="22"/>
                <w:szCs w:val="22"/>
              </w:rPr>
              <w:t>izborni</w:t>
            </w:r>
            <w:proofErr w:type="spellEnd"/>
          </w:p>
        </w:tc>
        <w:tc>
          <w:tcPr>
            <w:tcW w:w="141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5770D55" w14:textId="77777777" w:rsidR="001421C4" w:rsidRPr="003F7241" w:rsidRDefault="001421C4" w:rsidP="00450B7A">
            <w:pPr>
              <w:rPr>
                <w:rFonts w:ascii="Cambria" w:eastAsia="Calibri" w:hAnsi="Cambria"/>
                <w:sz w:val="22"/>
                <w:szCs w:val="22"/>
              </w:rPr>
            </w:pPr>
            <w:r w:rsidRPr="003F7241">
              <w:rPr>
                <w:rFonts w:ascii="Cambria" w:eastAsia="Calibri" w:hAnsi="Cambria"/>
                <w:sz w:val="22"/>
                <w:szCs w:val="22"/>
              </w:rPr>
              <w:t xml:space="preserve">Razina </w:t>
            </w:r>
            <w:proofErr w:type="spellStart"/>
            <w:r w:rsidRPr="003F7241">
              <w:rPr>
                <w:rFonts w:ascii="Cambria" w:eastAsia="Calibri" w:hAnsi="Cambria"/>
                <w:sz w:val="22"/>
                <w:szCs w:val="22"/>
              </w:rPr>
              <w:t>kolegija</w:t>
            </w:r>
            <w:proofErr w:type="spellEnd"/>
          </w:p>
        </w:tc>
        <w:tc>
          <w:tcPr>
            <w:tcW w:w="343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3473BB6" w14:textId="77777777" w:rsidR="001421C4" w:rsidRPr="003F7241" w:rsidRDefault="001421C4" w:rsidP="00450B7A">
            <w:pPr>
              <w:rPr>
                <w:rFonts w:ascii="Cambria" w:eastAsia="Calibri" w:hAnsi="Cambria"/>
                <w:sz w:val="22"/>
                <w:szCs w:val="22"/>
              </w:rPr>
            </w:pPr>
            <w:proofErr w:type="spellStart"/>
            <w:r w:rsidRPr="003F7241">
              <w:rPr>
                <w:rFonts w:ascii="Cambria" w:eastAsia="Calibri" w:hAnsi="Cambria"/>
                <w:sz w:val="22"/>
                <w:szCs w:val="22"/>
              </w:rPr>
              <w:t>integrirani</w:t>
            </w:r>
            <w:proofErr w:type="spellEnd"/>
          </w:p>
        </w:tc>
      </w:tr>
      <w:tr w:rsidR="001421C4" w:rsidRPr="003F7241" w14:paraId="68C951DD" w14:textId="77777777" w:rsidTr="00B36357">
        <w:tc>
          <w:tcPr>
            <w:tcW w:w="25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D848B88" w14:textId="77777777" w:rsidR="001421C4" w:rsidRPr="003F7241" w:rsidRDefault="001421C4" w:rsidP="00450B7A">
            <w:pPr>
              <w:rPr>
                <w:rFonts w:ascii="Cambria" w:eastAsia="Calibri" w:hAnsi="Cambria"/>
                <w:sz w:val="22"/>
                <w:szCs w:val="22"/>
              </w:rPr>
            </w:pPr>
            <w:proofErr w:type="spellStart"/>
            <w:r w:rsidRPr="003F7241">
              <w:rPr>
                <w:rFonts w:ascii="Cambria" w:eastAsia="Calibri" w:hAnsi="Cambria"/>
                <w:sz w:val="22"/>
                <w:szCs w:val="22"/>
              </w:rPr>
              <w:t>Semestar</w:t>
            </w:r>
            <w:proofErr w:type="spellEnd"/>
          </w:p>
        </w:tc>
        <w:tc>
          <w:tcPr>
            <w:tcW w:w="2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E9E40E" w14:textId="77777777" w:rsidR="001421C4" w:rsidRPr="003F7241" w:rsidRDefault="001421C4" w:rsidP="00450B7A">
            <w:pPr>
              <w:rPr>
                <w:rFonts w:ascii="Cambria" w:eastAsia="Calibri" w:hAnsi="Cambria"/>
                <w:sz w:val="22"/>
                <w:szCs w:val="22"/>
              </w:rPr>
            </w:pPr>
            <w:proofErr w:type="spellStart"/>
            <w:r w:rsidRPr="003F7241">
              <w:rPr>
                <w:rFonts w:ascii="Cambria" w:eastAsia="Calibri" w:hAnsi="Cambria"/>
                <w:sz w:val="22"/>
                <w:szCs w:val="22"/>
              </w:rPr>
              <w:t>ljetni</w:t>
            </w:r>
            <w:proofErr w:type="spellEnd"/>
          </w:p>
        </w:tc>
        <w:tc>
          <w:tcPr>
            <w:tcW w:w="141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7DECC79" w14:textId="77777777" w:rsidR="001421C4" w:rsidRPr="003F7241" w:rsidRDefault="001421C4" w:rsidP="00450B7A">
            <w:pPr>
              <w:rPr>
                <w:rFonts w:ascii="Cambria" w:eastAsia="Calibri" w:hAnsi="Cambria"/>
                <w:sz w:val="22"/>
                <w:szCs w:val="22"/>
              </w:rPr>
            </w:pPr>
            <w:r w:rsidRPr="003F7241">
              <w:rPr>
                <w:rFonts w:ascii="Cambria" w:eastAsia="Calibri" w:hAnsi="Cambria"/>
                <w:sz w:val="22"/>
                <w:szCs w:val="22"/>
              </w:rPr>
              <w:t xml:space="preserve">Godina </w:t>
            </w:r>
            <w:proofErr w:type="spellStart"/>
            <w:r w:rsidRPr="003F7241">
              <w:rPr>
                <w:rFonts w:ascii="Cambria" w:eastAsia="Calibri" w:hAnsi="Cambria"/>
                <w:sz w:val="22"/>
                <w:szCs w:val="22"/>
              </w:rPr>
              <w:t>studija</w:t>
            </w:r>
            <w:proofErr w:type="spellEnd"/>
          </w:p>
        </w:tc>
        <w:tc>
          <w:tcPr>
            <w:tcW w:w="343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956FA34" w14:textId="77777777" w:rsidR="001421C4" w:rsidRPr="003F7241" w:rsidRDefault="001421C4" w:rsidP="00450B7A">
            <w:pPr>
              <w:rPr>
                <w:rFonts w:ascii="Cambria" w:eastAsia="Calibri" w:hAnsi="Cambria"/>
                <w:sz w:val="22"/>
                <w:szCs w:val="22"/>
              </w:rPr>
            </w:pPr>
            <w:r w:rsidRPr="003F7241">
              <w:rPr>
                <w:rFonts w:ascii="Cambria" w:eastAsia="Calibri" w:hAnsi="Cambria"/>
                <w:sz w:val="22"/>
                <w:szCs w:val="22"/>
              </w:rPr>
              <w:t>3.</w:t>
            </w:r>
          </w:p>
        </w:tc>
      </w:tr>
      <w:tr w:rsidR="001421C4" w:rsidRPr="003F7241" w14:paraId="5CA19E28" w14:textId="77777777" w:rsidTr="00B36357">
        <w:tc>
          <w:tcPr>
            <w:tcW w:w="25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E56753D" w14:textId="77777777" w:rsidR="001421C4" w:rsidRPr="003F7241" w:rsidRDefault="001421C4" w:rsidP="00450B7A">
            <w:pPr>
              <w:rPr>
                <w:rFonts w:ascii="Cambria" w:eastAsia="Calibri" w:hAnsi="Cambria"/>
                <w:sz w:val="22"/>
                <w:szCs w:val="22"/>
              </w:rPr>
            </w:pPr>
            <w:proofErr w:type="spellStart"/>
            <w:r w:rsidRPr="003F7241">
              <w:rPr>
                <w:rFonts w:ascii="Cambria" w:eastAsia="Calibri" w:hAnsi="Cambria"/>
                <w:sz w:val="22"/>
                <w:szCs w:val="22"/>
              </w:rPr>
              <w:t>Mjesto</w:t>
            </w:r>
            <w:proofErr w:type="spellEnd"/>
            <w:r w:rsidRPr="003F7241">
              <w:rPr>
                <w:rFonts w:ascii="Cambria" w:eastAsia="Calibri" w:hAnsi="Cambria"/>
                <w:sz w:val="22"/>
                <w:szCs w:val="22"/>
              </w:rPr>
              <w:t xml:space="preserve"> </w:t>
            </w:r>
            <w:proofErr w:type="spellStart"/>
            <w:r w:rsidRPr="003F7241">
              <w:rPr>
                <w:rFonts w:ascii="Cambria" w:eastAsia="Calibri" w:hAnsi="Cambria"/>
                <w:sz w:val="22"/>
                <w:szCs w:val="22"/>
              </w:rPr>
              <w:t>izvođenja</w:t>
            </w:r>
            <w:proofErr w:type="spellEnd"/>
          </w:p>
        </w:tc>
        <w:tc>
          <w:tcPr>
            <w:tcW w:w="2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DC527E" w14:textId="77777777" w:rsidR="001421C4" w:rsidRPr="003F7241" w:rsidRDefault="001421C4" w:rsidP="00450B7A">
            <w:pPr>
              <w:rPr>
                <w:rFonts w:ascii="Cambria" w:eastAsia="Calibri" w:hAnsi="Cambria"/>
                <w:sz w:val="22"/>
                <w:szCs w:val="22"/>
              </w:rPr>
            </w:pPr>
            <w:proofErr w:type="spellStart"/>
            <w:r w:rsidRPr="003F7241">
              <w:rPr>
                <w:rFonts w:ascii="Cambria" w:eastAsia="Calibri" w:hAnsi="Cambria"/>
                <w:sz w:val="22"/>
                <w:szCs w:val="22"/>
              </w:rPr>
              <w:t>dvorana</w:t>
            </w:r>
            <w:proofErr w:type="spellEnd"/>
            <w:r w:rsidRPr="003F7241">
              <w:rPr>
                <w:rFonts w:ascii="Cambria" w:eastAsia="Calibri" w:hAnsi="Cambria"/>
                <w:sz w:val="22"/>
                <w:szCs w:val="22"/>
              </w:rPr>
              <w:t xml:space="preserve"> (</w:t>
            </w:r>
            <w:proofErr w:type="spellStart"/>
            <w:r w:rsidRPr="003F7241">
              <w:rPr>
                <w:rFonts w:ascii="Cambria" w:eastAsia="Calibri" w:hAnsi="Cambria"/>
                <w:sz w:val="22"/>
                <w:szCs w:val="22"/>
              </w:rPr>
              <w:t>Ronjgova</w:t>
            </w:r>
            <w:proofErr w:type="spellEnd"/>
            <w:r w:rsidRPr="003F7241">
              <w:rPr>
                <w:rFonts w:ascii="Cambria" w:eastAsia="Calibri" w:hAnsi="Cambria"/>
                <w:sz w:val="22"/>
                <w:szCs w:val="22"/>
              </w:rPr>
              <w:t xml:space="preserve">) </w:t>
            </w:r>
            <w:proofErr w:type="spellStart"/>
            <w:r w:rsidRPr="003F7241">
              <w:rPr>
                <w:rFonts w:ascii="Cambria" w:eastAsia="Calibri" w:hAnsi="Cambria"/>
                <w:sz w:val="22"/>
                <w:szCs w:val="22"/>
              </w:rPr>
              <w:t>sportska</w:t>
            </w:r>
            <w:proofErr w:type="spellEnd"/>
            <w:r w:rsidRPr="003F7241">
              <w:rPr>
                <w:rFonts w:ascii="Cambria" w:eastAsia="Calibri" w:hAnsi="Cambria"/>
                <w:sz w:val="22"/>
                <w:szCs w:val="22"/>
              </w:rPr>
              <w:t xml:space="preserve"> </w:t>
            </w:r>
            <w:proofErr w:type="spellStart"/>
            <w:r w:rsidRPr="003F7241">
              <w:rPr>
                <w:rFonts w:ascii="Cambria" w:eastAsia="Calibri" w:hAnsi="Cambria"/>
                <w:sz w:val="22"/>
                <w:szCs w:val="22"/>
              </w:rPr>
              <w:t>dvorana</w:t>
            </w:r>
            <w:proofErr w:type="spellEnd"/>
          </w:p>
        </w:tc>
        <w:tc>
          <w:tcPr>
            <w:tcW w:w="141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055817F" w14:textId="77777777" w:rsidR="001421C4" w:rsidRPr="003F7241" w:rsidRDefault="001421C4" w:rsidP="00450B7A">
            <w:pPr>
              <w:rPr>
                <w:rFonts w:ascii="Cambria" w:eastAsia="Calibri" w:hAnsi="Cambria"/>
                <w:sz w:val="22"/>
                <w:szCs w:val="22"/>
              </w:rPr>
            </w:pPr>
            <w:r w:rsidRPr="003F7241">
              <w:rPr>
                <w:rFonts w:ascii="Cambria" w:eastAsia="Calibri" w:hAnsi="Cambria"/>
                <w:sz w:val="22"/>
                <w:szCs w:val="22"/>
              </w:rPr>
              <w:t xml:space="preserve">Jezik </w:t>
            </w:r>
            <w:proofErr w:type="spellStart"/>
            <w:r w:rsidRPr="003F7241">
              <w:rPr>
                <w:rFonts w:ascii="Cambria" w:eastAsia="Calibri" w:hAnsi="Cambria"/>
                <w:sz w:val="22"/>
                <w:szCs w:val="22"/>
              </w:rPr>
              <w:t>izvođenja</w:t>
            </w:r>
            <w:proofErr w:type="spellEnd"/>
            <w:r w:rsidRPr="003F7241">
              <w:rPr>
                <w:rFonts w:ascii="Cambria" w:eastAsia="Calibri" w:hAnsi="Cambria"/>
                <w:sz w:val="22"/>
                <w:szCs w:val="22"/>
              </w:rPr>
              <w:t xml:space="preserve"> </w:t>
            </w:r>
          </w:p>
        </w:tc>
        <w:tc>
          <w:tcPr>
            <w:tcW w:w="343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B5590D2" w14:textId="77777777" w:rsidR="001421C4" w:rsidRPr="003F7241" w:rsidRDefault="001421C4" w:rsidP="00450B7A">
            <w:pPr>
              <w:rPr>
                <w:rFonts w:ascii="Cambria" w:eastAsia="Calibri" w:hAnsi="Cambria"/>
                <w:sz w:val="22"/>
                <w:szCs w:val="22"/>
              </w:rPr>
            </w:pPr>
            <w:proofErr w:type="spellStart"/>
            <w:r w:rsidRPr="003F7241">
              <w:rPr>
                <w:rFonts w:ascii="Cambria" w:eastAsia="Calibri" w:hAnsi="Cambria"/>
                <w:sz w:val="22"/>
                <w:szCs w:val="22"/>
              </w:rPr>
              <w:t>hrvatski</w:t>
            </w:r>
            <w:proofErr w:type="spellEnd"/>
            <w:r w:rsidRPr="003F7241">
              <w:rPr>
                <w:rFonts w:ascii="Cambria" w:eastAsia="Calibri" w:hAnsi="Cambria"/>
                <w:sz w:val="22"/>
                <w:szCs w:val="22"/>
              </w:rPr>
              <w:t xml:space="preserve"> </w:t>
            </w:r>
          </w:p>
        </w:tc>
      </w:tr>
      <w:tr w:rsidR="001421C4" w:rsidRPr="003F7241" w14:paraId="68516F83" w14:textId="77777777" w:rsidTr="00B36357">
        <w:tc>
          <w:tcPr>
            <w:tcW w:w="25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F3D4484" w14:textId="77777777" w:rsidR="001421C4" w:rsidRPr="003F7241" w:rsidRDefault="001421C4" w:rsidP="00450B7A">
            <w:pPr>
              <w:rPr>
                <w:rFonts w:ascii="Cambria" w:eastAsia="Calibri" w:hAnsi="Cambria"/>
                <w:sz w:val="22"/>
                <w:szCs w:val="22"/>
              </w:rPr>
            </w:pPr>
            <w:proofErr w:type="spellStart"/>
            <w:r w:rsidRPr="003F7241">
              <w:rPr>
                <w:rFonts w:ascii="Cambria" w:eastAsia="Calibri" w:hAnsi="Cambria"/>
                <w:sz w:val="22"/>
                <w:szCs w:val="22"/>
              </w:rPr>
              <w:t>Broj</w:t>
            </w:r>
            <w:proofErr w:type="spellEnd"/>
            <w:r w:rsidRPr="003F7241">
              <w:rPr>
                <w:rFonts w:ascii="Cambria" w:eastAsia="Calibri" w:hAnsi="Cambria"/>
                <w:sz w:val="22"/>
                <w:szCs w:val="22"/>
              </w:rPr>
              <w:t xml:space="preserve"> ECTS </w:t>
            </w:r>
            <w:proofErr w:type="spellStart"/>
            <w:r w:rsidRPr="003F7241">
              <w:rPr>
                <w:rFonts w:ascii="Cambria" w:eastAsia="Calibri" w:hAnsi="Cambria"/>
                <w:sz w:val="22"/>
                <w:szCs w:val="22"/>
              </w:rPr>
              <w:t>bodova</w:t>
            </w:r>
            <w:proofErr w:type="spellEnd"/>
          </w:p>
        </w:tc>
        <w:tc>
          <w:tcPr>
            <w:tcW w:w="2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7A4995" w14:textId="77777777" w:rsidR="001421C4" w:rsidRPr="003F7241" w:rsidRDefault="001421C4" w:rsidP="00450B7A">
            <w:pPr>
              <w:rPr>
                <w:rFonts w:ascii="Cambria" w:eastAsia="Calibri" w:hAnsi="Cambria"/>
                <w:sz w:val="22"/>
                <w:szCs w:val="22"/>
              </w:rPr>
            </w:pPr>
            <w:r w:rsidRPr="003F7241">
              <w:rPr>
                <w:rFonts w:ascii="Cambria" w:eastAsia="Calibri" w:hAnsi="Cambria"/>
                <w:sz w:val="22"/>
                <w:szCs w:val="22"/>
              </w:rPr>
              <w:t>3</w:t>
            </w:r>
          </w:p>
        </w:tc>
        <w:tc>
          <w:tcPr>
            <w:tcW w:w="141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A65937F" w14:textId="77777777" w:rsidR="001421C4" w:rsidRPr="003F7241" w:rsidRDefault="001421C4" w:rsidP="00450B7A">
            <w:pPr>
              <w:rPr>
                <w:rFonts w:ascii="Cambria" w:eastAsia="Calibri" w:hAnsi="Cambria"/>
                <w:sz w:val="22"/>
                <w:szCs w:val="22"/>
              </w:rPr>
            </w:pPr>
            <w:proofErr w:type="spellStart"/>
            <w:r w:rsidRPr="003F7241">
              <w:rPr>
                <w:rFonts w:ascii="Cambria" w:eastAsia="Calibri" w:hAnsi="Cambria"/>
                <w:sz w:val="22"/>
                <w:szCs w:val="22"/>
              </w:rPr>
              <w:t>Broj</w:t>
            </w:r>
            <w:proofErr w:type="spellEnd"/>
            <w:r w:rsidRPr="003F7241">
              <w:rPr>
                <w:rFonts w:ascii="Cambria" w:eastAsia="Calibri" w:hAnsi="Cambria"/>
                <w:sz w:val="22"/>
                <w:szCs w:val="22"/>
              </w:rPr>
              <w:t xml:space="preserve"> sati u </w:t>
            </w:r>
            <w:proofErr w:type="spellStart"/>
            <w:r w:rsidRPr="003F7241">
              <w:rPr>
                <w:rFonts w:ascii="Cambria" w:eastAsia="Calibri" w:hAnsi="Cambria"/>
                <w:sz w:val="22"/>
                <w:szCs w:val="22"/>
              </w:rPr>
              <w:t>semestru</w:t>
            </w:r>
            <w:proofErr w:type="spellEnd"/>
          </w:p>
        </w:tc>
        <w:tc>
          <w:tcPr>
            <w:tcW w:w="343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5D85C15" w14:textId="77777777" w:rsidR="001421C4" w:rsidRPr="003F7241" w:rsidRDefault="001421C4" w:rsidP="00450B7A">
            <w:pPr>
              <w:rPr>
                <w:rFonts w:ascii="Cambria" w:eastAsia="Calibri" w:hAnsi="Cambria"/>
                <w:sz w:val="22"/>
                <w:szCs w:val="22"/>
              </w:rPr>
            </w:pPr>
            <w:r w:rsidRPr="003F7241">
              <w:rPr>
                <w:rFonts w:ascii="Cambria" w:eastAsia="Calibri" w:hAnsi="Cambria"/>
                <w:sz w:val="22"/>
                <w:szCs w:val="22"/>
              </w:rPr>
              <w:t>15P – 0S – 15V</w:t>
            </w:r>
          </w:p>
        </w:tc>
      </w:tr>
      <w:tr w:rsidR="001421C4" w:rsidRPr="003F7241" w14:paraId="61BAFFE4" w14:textId="77777777" w:rsidTr="00B36357">
        <w:tc>
          <w:tcPr>
            <w:tcW w:w="25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72FE549" w14:textId="77777777" w:rsidR="001421C4" w:rsidRPr="003F7241" w:rsidRDefault="001421C4" w:rsidP="00450B7A">
            <w:pPr>
              <w:rPr>
                <w:rFonts w:ascii="Cambria" w:eastAsia="Calibri" w:hAnsi="Cambria"/>
                <w:sz w:val="22"/>
                <w:szCs w:val="22"/>
                <w:lang w:val="it-IT"/>
              </w:rPr>
            </w:pPr>
            <w:proofErr w:type="spellStart"/>
            <w:r w:rsidRPr="003F7241">
              <w:rPr>
                <w:rFonts w:ascii="Cambria" w:eastAsia="Calibri" w:hAnsi="Cambria"/>
                <w:sz w:val="22"/>
                <w:szCs w:val="22"/>
                <w:lang w:val="it-IT"/>
              </w:rPr>
              <w:t>Preduvjeti</w:t>
            </w:r>
            <w:proofErr w:type="spellEnd"/>
            <w:r w:rsidRPr="003F7241">
              <w:rPr>
                <w:rFonts w:ascii="Cambria" w:eastAsia="Calibri" w:hAnsi="Cambria"/>
                <w:sz w:val="22"/>
                <w:szCs w:val="22"/>
                <w:lang w:val="it-IT"/>
              </w:rPr>
              <w:t xml:space="preserve"> za </w:t>
            </w:r>
            <w:proofErr w:type="spellStart"/>
            <w:r w:rsidRPr="003F7241">
              <w:rPr>
                <w:rFonts w:ascii="Cambria" w:eastAsia="Calibri" w:hAnsi="Cambria"/>
                <w:sz w:val="22"/>
                <w:szCs w:val="22"/>
                <w:lang w:val="it-IT"/>
              </w:rPr>
              <w:t>upis</w:t>
            </w:r>
            <w:proofErr w:type="spellEnd"/>
            <w:r w:rsidRPr="003F7241">
              <w:rPr>
                <w:rFonts w:ascii="Cambria" w:eastAsia="Calibri" w:hAnsi="Cambria"/>
                <w:sz w:val="22"/>
                <w:szCs w:val="22"/>
                <w:lang w:val="it-IT"/>
              </w:rPr>
              <w:t xml:space="preserve"> i za </w:t>
            </w:r>
            <w:proofErr w:type="spellStart"/>
            <w:r w:rsidRPr="003F7241">
              <w:rPr>
                <w:rFonts w:ascii="Cambria" w:eastAsia="Calibri" w:hAnsi="Cambria"/>
                <w:sz w:val="22"/>
                <w:szCs w:val="22"/>
                <w:lang w:val="it-IT"/>
              </w:rPr>
              <w:t>svladavanje</w:t>
            </w:r>
            <w:proofErr w:type="spellEnd"/>
          </w:p>
        </w:tc>
        <w:tc>
          <w:tcPr>
            <w:tcW w:w="7241"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37BDC31" w14:textId="77777777" w:rsidR="001421C4" w:rsidRPr="003F7241" w:rsidRDefault="001421C4" w:rsidP="00450B7A">
            <w:pPr>
              <w:rPr>
                <w:rFonts w:ascii="Cambria" w:eastAsia="Calibri" w:hAnsi="Cambria"/>
                <w:sz w:val="22"/>
                <w:szCs w:val="22"/>
              </w:rPr>
            </w:pPr>
            <w:r w:rsidRPr="003F7241">
              <w:rPr>
                <w:rFonts w:ascii="Cambria" w:eastAsia="Calibri" w:hAnsi="Cambria"/>
                <w:sz w:val="22"/>
                <w:szCs w:val="22"/>
              </w:rPr>
              <w:t xml:space="preserve">Nema </w:t>
            </w:r>
            <w:proofErr w:type="spellStart"/>
            <w:r w:rsidRPr="003F7241">
              <w:rPr>
                <w:rFonts w:ascii="Cambria" w:eastAsia="Calibri" w:hAnsi="Cambria"/>
                <w:sz w:val="22"/>
                <w:szCs w:val="22"/>
              </w:rPr>
              <w:t>preduvjeta</w:t>
            </w:r>
            <w:proofErr w:type="spellEnd"/>
            <w:r w:rsidRPr="003F7241">
              <w:rPr>
                <w:rFonts w:ascii="Cambria" w:eastAsia="Calibri" w:hAnsi="Cambria"/>
                <w:sz w:val="22"/>
                <w:szCs w:val="22"/>
              </w:rPr>
              <w:t>.</w:t>
            </w:r>
          </w:p>
        </w:tc>
      </w:tr>
      <w:tr w:rsidR="001421C4" w:rsidRPr="003F7241" w14:paraId="6ED08F4D" w14:textId="77777777" w:rsidTr="00B36357">
        <w:tc>
          <w:tcPr>
            <w:tcW w:w="25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DF7C197" w14:textId="77777777" w:rsidR="001421C4" w:rsidRPr="003F7241" w:rsidRDefault="001421C4" w:rsidP="00450B7A">
            <w:pPr>
              <w:rPr>
                <w:rFonts w:ascii="Cambria" w:eastAsia="Calibri" w:hAnsi="Cambria"/>
                <w:sz w:val="22"/>
                <w:szCs w:val="22"/>
              </w:rPr>
            </w:pPr>
            <w:proofErr w:type="spellStart"/>
            <w:r w:rsidRPr="003F7241">
              <w:rPr>
                <w:rFonts w:ascii="Cambria" w:eastAsia="Calibri" w:hAnsi="Cambria"/>
                <w:sz w:val="22"/>
                <w:szCs w:val="22"/>
              </w:rPr>
              <w:t>Korelativnost</w:t>
            </w:r>
            <w:proofErr w:type="spellEnd"/>
          </w:p>
        </w:tc>
        <w:tc>
          <w:tcPr>
            <w:tcW w:w="7241"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4CAB00D" w14:textId="77777777" w:rsidR="001421C4" w:rsidRPr="003F7241" w:rsidRDefault="001421C4" w:rsidP="00450B7A">
            <w:pPr>
              <w:jc w:val="both"/>
              <w:rPr>
                <w:rFonts w:ascii="Cambria" w:eastAsia="Calibri" w:hAnsi="Cambria"/>
                <w:sz w:val="22"/>
                <w:szCs w:val="22"/>
              </w:rPr>
            </w:pPr>
            <w:proofErr w:type="spellStart"/>
            <w:r w:rsidRPr="003F7241">
              <w:rPr>
                <w:rFonts w:ascii="Cambria" w:eastAsia="Calibri" w:hAnsi="Cambria"/>
                <w:sz w:val="22"/>
                <w:szCs w:val="22"/>
              </w:rPr>
              <w:t>Kineziološka</w:t>
            </w:r>
            <w:proofErr w:type="spellEnd"/>
            <w:r w:rsidRPr="003F7241">
              <w:rPr>
                <w:rFonts w:ascii="Cambria" w:eastAsia="Calibri" w:hAnsi="Cambria"/>
                <w:sz w:val="22"/>
                <w:szCs w:val="22"/>
              </w:rPr>
              <w:t xml:space="preserve"> </w:t>
            </w:r>
            <w:proofErr w:type="spellStart"/>
            <w:r w:rsidRPr="003F7241">
              <w:rPr>
                <w:rFonts w:ascii="Cambria" w:eastAsia="Calibri" w:hAnsi="Cambria"/>
                <w:sz w:val="22"/>
                <w:szCs w:val="22"/>
              </w:rPr>
              <w:t>kultura</w:t>
            </w:r>
            <w:proofErr w:type="spellEnd"/>
            <w:r w:rsidRPr="003F7241">
              <w:rPr>
                <w:rFonts w:ascii="Cambria" w:eastAsia="Calibri" w:hAnsi="Cambria"/>
                <w:sz w:val="22"/>
                <w:szCs w:val="22"/>
              </w:rPr>
              <w:t xml:space="preserve">, </w:t>
            </w:r>
            <w:proofErr w:type="spellStart"/>
            <w:r w:rsidRPr="003F7241">
              <w:rPr>
                <w:rFonts w:ascii="Cambria" w:eastAsia="Calibri" w:hAnsi="Cambria"/>
                <w:sz w:val="22"/>
                <w:szCs w:val="22"/>
              </w:rPr>
              <w:t>Kineziologija</w:t>
            </w:r>
            <w:proofErr w:type="spellEnd"/>
            <w:r w:rsidRPr="003F7241">
              <w:rPr>
                <w:rFonts w:ascii="Cambria" w:eastAsia="Calibri" w:hAnsi="Cambria"/>
                <w:sz w:val="22"/>
                <w:szCs w:val="22"/>
              </w:rPr>
              <w:t xml:space="preserve">, </w:t>
            </w:r>
            <w:proofErr w:type="spellStart"/>
            <w:r w:rsidRPr="003F7241">
              <w:rPr>
                <w:rFonts w:ascii="Cambria" w:eastAsia="Calibri" w:hAnsi="Cambria"/>
                <w:sz w:val="22"/>
                <w:szCs w:val="22"/>
              </w:rPr>
              <w:t>Kineziološka</w:t>
            </w:r>
            <w:proofErr w:type="spellEnd"/>
            <w:r w:rsidRPr="003F7241">
              <w:rPr>
                <w:rFonts w:ascii="Cambria" w:eastAsia="Calibri" w:hAnsi="Cambria"/>
                <w:sz w:val="22"/>
                <w:szCs w:val="22"/>
              </w:rPr>
              <w:t xml:space="preserve"> </w:t>
            </w:r>
            <w:proofErr w:type="spellStart"/>
            <w:r w:rsidRPr="003F7241">
              <w:rPr>
                <w:rFonts w:ascii="Cambria" w:eastAsia="Calibri" w:hAnsi="Cambria"/>
                <w:sz w:val="22"/>
                <w:szCs w:val="22"/>
              </w:rPr>
              <w:t>metodika</w:t>
            </w:r>
            <w:proofErr w:type="spellEnd"/>
            <w:r w:rsidRPr="003F7241">
              <w:rPr>
                <w:rFonts w:ascii="Cambria" w:eastAsia="Calibri" w:hAnsi="Cambria"/>
                <w:sz w:val="22"/>
                <w:szCs w:val="22"/>
              </w:rPr>
              <w:t xml:space="preserve"> I., </w:t>
            </w:r>
            <w:proofErr w:type="spellStart"/>
            <w:r w:rsidRPr="003F7241">
              <w:rPr>
                <w:rFonts w:ascii="Cambria" w:eastAsia="Calibri" w:hAnsi="Cambria"/>
                <w:sz w:val="22"/>
                <w:szCs w:val="22"/>
              </w:rPr>
              <w:t>Kineziološka</w:t>
            </w:r>
            <w:proofErr w:type="spellEnd"/>
            <w:r w:rsidRPr="003F7241">
              <w:rPr>
                <w:rFonts w:ascii="Cambria" w:eastAsia="Calibri" w:hAnsi="Cambria"/>
                <w:sz w:val="22"/>
                <w:szCs w:val="22"/>
              </w:rPr>
              <w:t xml:space="preserve"> </w:t>
            </w:r>
            <w:proofErr w:type="spellStart"/>
            <w:r w:rsidRPr="003F7241">
              <w:rPr>
                <w:rFonts w:ascii="Cambria" w:eastAsia="Calibri" w:hAnsi="Cambria"/>
                <w:sz w:val="22"/>
                <w:szCs w:val="22"/>
              </w:rPr>
              <w:t>metodika</w:t>
            </w:r>
            <w:proofErr w:type="spellEnd"/>
            <w:r w:rsidRPr="003F7241">
              <w:rPr>
                <w:rFonts w:ascii="Cambria" w:eastAsia="Calibri" w:hAnsi="Cambria"/>
                <w:sz w:val="22"/>
                <w:szCs w:val="22"/>
              </w:rPr>
              <w:t xml:space="preserve"> II., </w:t>
            </w:r>
            <w:proofErr w:type="spellStart"/>
            <w:r w:rsidRPr="003F7241">
              <w:rPr>
                <w:rFonts w:ascii="Cambria" w:eastAsia="Calibri" w:hAnsi="Cambria"/>
                <w:sz w:val="22"/>
                <w:szCs w:val="22"/>
              </w:rPr>
              <w:t>Kineziološka</w:t>
            </w:r>
            <w:proofErr w:type="spellEnd"/>
            <w:r w:rsidRPr="003F7241">
              <w:rPr>
                <w:rFonts w:ascii="Cambria" w:eastAsia="Calibri" w:hAnsi="Cambria"/>
                <w:sz w:val="22"/>
                <w:szCs w:val="22"/>
              </w:rPr>
              <w:t xml:space="preserve"> </w:t>
            </w:r>
            <w:proofErr w:type="spellStart"/>
            <w:r w:rsidRPr="003F7241">
              <w:rPr>
                <w:rFonts w:ascii="Cambria" w:eastAsia="Calibri" w:hAnsi="Cambria"/>
                <w:sz w:val="22"/>
                <w:szCs w:val="22"/>
              </w:rPr>
              <w:t>metodika</w:t>
            </w:r>
            <w:proofErr w:type="spellEnd"/>
            <w:r w:rsidRPr="003F7241">
              <w:rPr>
                <w:rFonts w:ascii="Cambria" w:eastAsia="Calibri" w:hAnsi="Cambria"/>
                <w:sz w:val="22"/>
                <w:szCs w:val="22"/>
              </w:rPr>
              <w:t xml:space="preserve"> III., </w:t>
            </w:r>
            <w:proofErr w:type="spellStart"/>
            <w:r w:rsidRPr="003F7241">
              <w:rPr>
                <w:rFonts w:ascii="Cambria" w:eastAsia="Calibri" w:hAnsi="Cambria"/>
                <w:sz w:val="22"/>
                <w:szCs w:val="22"/>
              </w:rPr>
              <w:t>Pedagogija</w:t>
            </w:r>
            <w:proofErr w:type="spellEnd"/>
            <w:r w:rsidRPr="003F7241">
              <w:rPr>
                <w:rFonts w:ascii="Cambria" w:eastAsia="Calibri" w:hAnsi="Cambria"/>
                <w:sz w:val="22"/>
                <w:szCs w:val="22"/>
              </w:rPr>
              <w:t xml:space="preserve">, </w:t>
            </w:r>
            <w:proofErr w:type="spellStart"/>
            <w:r w:rsidRPr="003F7241">
              <w:rPr>
                <w:rFonts w:ascii="Cambria" w:eastAsia="Calibri" w:hAnsi="Cambria"/>
                <w:sz w:val="22"/>
                <w:szCs w:val="22"/>
              </w:rPr>
              <w:t>Didaktika</w:t>
            </w:r>
            <w:proofErr w:type="spellEnd"/>
            <w:r w:rsidRPr="003F7241">
              <w:rPr>
                <w:rFonts w:ascii="Cambria" w:eastAsia="Calibri" w:hAnsi="Cambria"/>
                <w:sz w:val="22"/>
                <w:szCs w:val="22"/>
              </w:rPr>
              <w:t xml:space="preserve">, </w:t>
            </w:r>
            <w:proofErr w:type="spellStart"/>
            <w:r w:rsidRPr="003F7241">
              <w:rPr>
                <w:rFonts w:ascii="Cambria" w:eastAsia="Calibri" w:hAnsi="Cambria"/>
                <w:sz w:val="22"/>
                <w:szCs w:val="22"/>
              </w:rPr>
              <w:t>Sociologija</w:t>
            </w:r>
            <w:proofErr w:type="spellEnd"/>
            <w:r w:rsidRPr="003F7241">
              <w:rPr>
                <w:rFonts w:ascii="Cambria" w:eastAsia="Calibri" w:hAnsi="Cambria"/>
                <w:sz w:val="22"/>
                <w:szCs w:val="22"/>
              </w:rPr>
              <w:t xml:space="preserve"> </w:t>
            </w:r>
            <w:proofErr w:type="spellStart"/>
            <w:r w:rsidRPr="003F7241">
              <w:rPr>
                <w:rFonts w:ascii="Cambria" w:eastAsia="Calibri" w:hAnsi="Cambria"/>
                <w:sz w:val="22"/>
                <w:szCs w:val="22"/>
              </w:rPr>
              <w:t>odgoja</w:t>
            </w:r>
            <w:proofErr w:type="spellEnd"/>
            <w:r w:rsidRPr="003F7241">
              <w:rPr>
                <w:rFonts w:ascii="Cambria" w:eastAsia="Calibri" w:hAnsi="Cambria"/>
                <w:sz w:val="22"/>
                <w:szCs w:val="22"/>
              </w:rPr>
              <w:t xml:space="preserve"> </w:t>
            </w:r>
            <w:proofErr w:type="spellStart"/>
            <w:r w:rsidRPr="003F7241">
              <w:rPr>
                <w:rFonts w:ascii="Cambria" w:eastAsia="Calibri" w:hAnsi="Cambria"/>
                <w:sz w:val="22"/>
                <w:szCs w:val="22"/>
              </w:rPr>
              <w:t>i</w:t>
            </w:r>
            <w:proofErr w:type="spellEnd"/>
            <w:r w:rsidRPr="003F7241">
              <w:rPr>
                <w:rFonts w:ascii="Cambria" w:eastAsia="Calibri" w:hAnsi="Cambria"/>
                <w:sz w:val="22"/>
                <w:szCs w:val="22"/>
              </w:rPr>
              <w:t xml:space="preserve"> </w:t>
            </w:r>
            <w:proofErr w:type="spellStart"/>
            <w:r w:rsidRPr="003F7241">
              <w:rPr>
                <w:rFonts w:ascii="Cambria" w:eastAsia="Calibri" w:hAnsi="Cambria"/>
                <w:sz w:val="22"/>
                <w:szCs w:val="22"/>
              </w:rPr>
              <w:t>obrazovanja</w:t>
            </w:r>
            <w:proofErr w:type="spellEnd"/>
            <w:r w:rsidRPr="003F7241">
              <w:rPr>
                <w:rFonts w:ascii="Cambria" w:eastAsia="Calibri" w:hAnsi="Cambria"/>
                <w:sz w:val="22"/>
                <w:szCs w:val="22"/>
              </w:rPr>
              <w:t xml:space="preserve">, </w:t>
            </w:r>
            <w:proofErr w:type="spellStart"/>
            <w:r w:rsidRPr="003F7241">
              <w:rPr>
                <w:rFonts w:ascii="Cambria" w:eastAsia="Calibri" w:hAnsi="Cambria"/>
                <w:sz w:val="22"/>
                <w:szCs w:val="22"/>
              </w:rPr>
              <w:t>Razvojna</w:t>
            </w:r>
            <w:proofErr w:type="spellEnd"/>
            <w:r w:rsidRPr="003F7241">
              <w:rPr>
                <w:rFonts w:ascii="Cambria" w:eastAsia="Calibri" w:hAnsi="Cambria"/>
                <w:sz w:val="22"/>
                <w:szCs w:val="22"/>
              </w:rPr>
              <w:t xml:space="preserve"> </w:t>
            </w:r>
            <w:proofErr w:type="spellStart"/>
            <w:r w:rsidRPr="003F7241">
              <w:rPr>
                <w:rFonts w:ascii="Cambria" w:eastAsia="Calibri" w:hAnsi="Cambria"/>
                <w:sz w:val="22"/>
                <w:szCs w:val="22"/>
              </w:rPr>
              <w:t>psihologija</w:t>
            </w:r>
            <w:proofErr w:type="spellEnd"/>
            <w:r w:rsidRPr="003F7241">
              <w:rPr>
                <w:rFonts w:ascii="Cambria" w:eastAsia="Calibri" w:hAnsi="Cambria"/>
                <w:sz w:val="22"/>
                <w:szCs w:val="22"/>
              </w:rPr>
              <w:t xml:space="preserve">, </w:t>
            </w:r>
            <w:proofErr w:type="spellStart"/>
            <w:r w:rsidRPr="003F7241">
              <w:rPr>
                <w:rFonts w:ascii="Cambria" w:eastAsia="Calibri" w:hAnsi="Cambria"/>
                <w:sz w:val="22"/>
                <w:szCs w:val="22"/>
              </w:rPr>
              <w:t>Edukacijska</w:t>
            </w:r>
            <w:proofErr w:type="spellEnd"/>
            <w:r w:rsidRPr="003F7241">
              <w:rPr>
                <w:rFonts w:ascii="Cambria" w:eastAsia="Calibri" w:hAnsi="Cambria"/>
                <w:sz w:val="22"/>
                <w:szCs w:val="22"/>
              </w:rPr>
              <w:t xml:space="preserve"> </w:t>
            </w:r>
            <w:proofErr w:type="spellStart"/>
            <w:r w:rsidRPr="003F7241">
              <w:rPr>
                <w:rFonts w:ascii="Cambria" w:eastAsia="Calibri" w:hAnsi="Cambria"/>
                <w:sz w:val="22"/>
                <w:szCs w:val="22"/>
              </w:rPr>
              <w:t>psihologija</w:t>
            </w:r>
            <w:proofErr w:type="spellEnd"/>
            <w:r w:rsidRPr="003F7241">
              <w:rPr>
                <w:rFonts w:ascii="Cambria" w:eastAsia="Calibri" w:hAnsi="Cambria"/>
                <w:sz w:val="22"/>
                <w:szCs w:val="22"/>
              </w:rPr>
              <w:t xml:space="preserve">, </w:t>
            </w:r>
            <w:proofErr w:type="spellStart"/>
            <w:r w:rsidRPr="003F7241">
              <w:rPr>
                <w:rFonts w:ascii="Cambria" w:eastAsia="Calibri" w:hAnsi="Cambria"/>
                <w:sz w:val="22"/>
                <w:szCs w:val="22"/>
              </w:rPr>
              <w:t>Socijalna</w:t>
            </w:r>
            <w:proofErr w:type="spellEnd"/>
            <w:r w:rsidRPr="003F7241">
              <w:rPr>
                <w:rFonts w:ascii="Cambria" w:eastAsia="Calibri" w:hAnsi="Cambria"/>
                <w:sz w:val="22"/>
                <w:szCs w:val="22"/>
              </w:rPr>
              <w:t xml:space="preserve"> </w:t>
            </w:r>
            <w:proofErr w:type="spellStart"/>
            <w:r w:rsidRPr="003F7241">
              <w:rPr>
                <w:rFonts w:ascii="Cambria" w:eastAsia="Calibri" w:hAnsi="Cambria"/>
                <w:sz w:val="22"/>
                <w:szCs w:val="22"/>
              </w:rPr>
              <w:t>pedagogija</w:t>
            </w:r>
            <w:proofErr w:type="spellEnd"/>
          </w:p>
        </w:tc>
      </w:tr>
      <w:tr w:rsidR="001421C4" w:rsidRPr="003F7241" w14:paraId="7639EFAE" w14:textId="77777777" w:rsidTr="00B36357">
        <w:tc>
          <w:tcPr>
            <w:tcW w:w="25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2168019" w14:textId="77777777" w:rsidR="001421C4" w:rsidRPr="003F7241" w:rsidRDefault="001421C4" w:rsidP="00450B7A">
            <w:pPr>
              <w:rPr>
                <w:rFonts w:ascii="Cambria" w:eastAsia="Calibri" w:hAnsi="Cambria"/>
                <w:sz w:val="22"/>
                <w:szCs w:val="22"/>
              </w:rPr>
            </w:pPr>
            <w:proofErr w:type="spellStart"/>
            <w:r w:rsidRPr="003F7241">
              <w:rPr>
                <w:rFonts w:ascii="Cambria" w:eastAsia="Calibri" w:hAnsi="Cambria"/>
                <w:sz w:val="22"/>
                <w:szCs w:val="22"/>
              </w:rPr>
              <w:t>Cilj</w:t>
            </w:r>
            <w:proofErr w:type="spellEnd"/>
            <w:r w:rsidRPr="003F7241">
              <w:rPr>
                <w:rFonts w:ascii="Cambria" w:eastAsia="Calibri" w:hAnsi="Cambria"/>
                <w:sz w:val="22"/>
                <w:szCs w:val="22"/>
              </w:rPr>
              <w:t xml:space="preserve"> </w:t>
            </w:r>
            <w:proofErr w:type="spellStart"/>
            <w:r w:rsidRPr="003F7241">
              <w:rPr>
                <w:rFonts w:ascii="Cambria" w:eastAsia="Calibri" w:hAnsi="Cambria"/>
                <w:sz w:val="22"/>
                <w:szCs w:val="22"/>
              </w:rPr>
              <w:t>kolegija</w:t>
            </w:r>
            <w:proofErr w:type="spellEnd"/>
            <w:r w:rsidRPr="003F7241">
              <w:rPr>
                <w:rFonts w:ascii="Cambria" w:eastAsia="Calibri" w:hAnsi="Cambria"/>
                <w:sz w:val="22"/>
                <w:szCs w:val="22"/>
              </w:rPr>
              <w:t xml:space="preserve"> </w:t>
            </w:r>
          </w:p>
        </w:tc>
        <w:tc>
          <w:tcPr>
            <w:tcW w:w="7241"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43D1420" w14:textId="77777777" w:rsidR="001421C4" w:rsidRPr="003F7241" w:rsidRDefault="001421C4" w:rsidP="00450B7A">
            <w:pPr>
              <w:jc w:val="both"/>
              <w:rPr>
                <w:rFonts w:ascii="Cambria" w:eastAsia="Calibri" w:hAnsi="Cambria"/>
                <w:sz w:val="22"/>
                <w:szCs w:val="22"/>
              </w:rPr>
            </w:pPr>
            <w:proofErr w:type="spellStart"/>
            <w:r w:rsidRPr="003F7241">
              <w:rPr>
                <w:rFonts w:ascii="Cambria" w:eastAsia="Calibri" w:hAnsi="Cambria"/>
                <w:sz w:val="22"/>
                <w:szCs w:val="22"/>
              </w:rPr>
              <w:t>interpretirati</w:t>
            </w:r>
            <w:proofErr w:type="spellEnd"/>
            <w:r w:rsidRPr="003F7241">
              <w:rPr>
                <w:rFonts w:ascii="Cambria" w:eastAsia="Calibri" w:hAnsi="Cambria"/>
                <w:sz w:val="22"/>
                <w:szCs w:val="22"/>
              </w:rPr>
              <w:t xml:space="preserve"> </w:t>
            </w:r>
            <w:proofErr w:type="spellStart"/>
            <w:r w:rsidRPr="003F7241">
              <w:rPr>
                <w:rFonts w:ascii="Cambria" w:eastAsia="Calibri" w:hAnsi="Cambria"/>
                <w:sz w:val="22"/>
                <w:szCs w:val="22"/>
              </w:rPr>
              <w:t>i</w:t>
            </w:r>
            <w:proofErr w:type="spellEnd"/>
            <w:r w:rsidRPr="003F7241">
              <w:rPr>
                <w:rFonts w:ascii="Cambria" w:eastAsia="Calibri" w:hAnsi="Cambria"/>
                <w:sz w:val="22"/>
                <w:szCs w:val="22"/>
              </w:rPr>
              <w:t xml:space="preserve"> </w:t>
            </w:r>
            <w:proofErr w:type="spellStart"/>
            <w:r w:rsidRPr="003F7241">
              <w:rPr>
                <w:rFonts w:ascii="Cambria" w:eastAsia="Calibri" w:hAnsi="Cambria"/>
                <w:sz w:val="22"/>
                <w:szCs w:val="22"/>
              </w:rPr>
              <w:t>analizirati</w:t>
            </w:r>
            <w:proofErr w:type="spellEnd"/>
            <w:r w:rsidRPr="003F7241">
              <w:rPr>
                <w:rFonts w:ascii="Cambria" w:eastAsia="Calibri" w:hAnsi="Cambria"/>
                <w:sz w:val="22"/>
                <w:szCs w:val="22"/>
              </w:rPr>
              <w:t xml:space="preserve"> </w:t>
            </w:r>
            <w:proofErr w:type="spellStart"/>
            <w:r w:rsidRPr="003F7241">
              <w:rPr>
                <w:rFonts w:ascii="Cambria" w:eastAsia="Calibri" w:hAnsi="Cambria"/>
                <w:sz w:val="22"/>
                <w:szCs w:val="22"/>
              </w:rPr>
              <w:t>motorički</w:t>
            </w:r>
            <w:proofErr w:type="spellEnd"/>
            <w:r w:rsidRPr="003F7241">
              <w:rPr>
                <w:rFonts w:ascii="Cambria" w:eastAsia="Calibri" w:hAnsi="Cambria"/>
                <w:sz w:val="22"/>
                <w:szCs w:val="22"/>
              </w:rPr>
              <w:t xml:space="preserve"> </w:t>
            </w:r>
            <w:proofErr w:type="spellStart"/>
            <w:r w:rsidRPr="003F7241">
              <w:rPr>
                <w:rFonts w:ascii="Cambria" w:eastAsia="Calibri" w:hAnsi="Cambria"/>
                <w:sz w:val="22"/>
                <w:szCs w:val="22"/>
              </w:rPr>
              <w:t>razvoj</w:t>
            </w:r>
            <w:proofErr w:type="spellEnd"/>
            <w:r w:rsidRPr="003F7241">
              <w:rPr>
                <w:rFonts w:ascii="Cambria" w:eastAsia="Calibri" w:hAnsi="Cambria"/>
                <w:sz w:val="22"/>
                <w:szCs w:val="22"/>
              </w:rPr>
              <w:t xml:space="preserve"> </w:t>
            </w:r>
            <w:proofErr w:type="spellStart"/>
            <w:r w:rsidRPr="003F7241">
              <w:rPr>
                <w:rFonts w:ascii="Cambria" w:eastAsia="Calibri" w:hAnsi="Cambria"/>
                <w:sz w:val="22"/>
                <w:szCs w:val="22"/>
              </w:rPr>
              <w:t>djeteta</w:t>
            </w:r>
            <w:proofErr w:type="spellEnd"/>
            <w:r w:rsidRPr="003F7241">
              <w:rPr>
                <w:rFonts w:ascii="Cambria" w:eastAsia="Calibri" w:hAnsi="Cambria"/>
                <w:sz w:val="22"/>
                <w:szCs w:val="22"/>
              </w:rPr>
              <w:t xml:space="preserve"> </w:t>
            </w:r>
            <w:proofErr w:type="spellStart"/>
            <w:r w:rsidRPr="003F7241">
              <w:rPr>
                <w:rFonts w:ascii="Cambria" w:eastAsia="Calibri" w:hAnsi="Cambria"/>
                <w:sz w:val="22"/>
                <w:szCs w:val="22"/>
              </w:rPr>
              <w:t>sukladno</w:t>
            </w:r>
            <w:proofErr w:type="spellEnd"/>
            <w:r w:rsidRPr="003F7241">
              <w:rPr>
                <w:rFonts w:ascii="Cambria" w:eastAsia="Calibri" w:hAnsi="Cambria"/>
                <w:sz w:val="22"/>
                <w:szCs w:val="22"/>
              </w:rPr>
              <w:t xml:space="preserve"> </w:t>
            </w:r>
            <w:proofErr w:type="spellStart"/>
            <w:r w:rsidRPr="003F7241">
              <w:rPr>
                <w:rFonts w:ascii="Cambria" w:eastAsia="Calibri" w:hAnsi="Cambria"/>
                <w:sz w:val="22"/>
                <w:szCs w:val="22"/>
              </w:rPr>
              <w:t>razvojnim</w:t>
            </w:r>
            <w:proofErr w:type="spellEnd"/>
            <w:r w:rsidRPr="003F7241">
              <w:rPr>
                <w:rFonts w:ascii="Cambria" w:eastAsia="Calibri" w:hAnsi="Cambria"/>
                <w:sz w:val="22"/>
                <w:szCs w:val="22"/>
              </w:rPr>
              <w:t xml:space="preserve"> </w:t>
            </w:r>
            <w:proofErr w:type="spellStart"/>
            <w:r w:rsidRPr="003F7241">
              <w:rPr>
                <w:rFonts w:ascii="Cambria" w:eastAsia="Calibri" w:hAnsi="Cambria"/>
                <w:sz w:val="22"/>
                <w:szCs w:val="22"/>
              </w:rPr>
              <w:t>razdobljima</w:t>
            </w:r>
            <w:proofErr w:type="spellEnd"/>
            <w:r w:rsidRPr="003F7241">
              <w:rPr>
                <w:rFonts w:ascii="Cambria" w:eastAsia="Calibri" w:hAnsi="Cambria"/>
                <w:sz w:val="22"/>
                <w:szCs w:val="22"/>
              </w:rPr>
              <w:t xml:space="preserve"> </w:t>
            </w:r>
            <w:proofErr w:type="spellStart"/>
            <w:r w:rsidRPr="003F7241">
              <w:rPr>
                <w:rFonts w:ascii="Cambria" w:eastAsia="Calibri" w:hAnsi="Cambria"/>
                <w:sz w:val="22"/>
                <w:szCs w:val="22"/>
              </w:rPr>
              <w:t>te</w:t>
            </w:r>
            <w:proofErr w:type="spellEnd"/>
            <w:r w:rsidRPr="003F7241">
              <w:rPr>
                <w:rFonts w:ascii="Cambria" w:eastAsia="Calibri" w:hAnsi="Cambria"/>
                <w:sz w:val="22"/>
                <w:szCs w:val="22"/>
              </w:rPr>
              <w:t xml:space="preserve"> </w:t>
            </w:r>
            <w:proofErr w:type="spellStart"/>
            <w:r w:rsidRPr="003F7241">
              <w:rPr>
                <w:rFonts w:ascii="Cambria" w:eastAsia="Calibri" w:hAnsi="Cambria"/>
                <w:sz w:val="22"/>
                <w:szCs w:val="22"/>
              </w:rPr>
              <w:t>mogućnosti</w:t>
            </w:r>
            <w:proofErr w:type="spellEnd"/>
            <w:r w:rsidRPr="003F7241">
              <w:rPr>
                <w:rFonts w:ascii="Cambria" w:eastAsia="Calibri" w:hAnsi="Cambria"/>
                <w:sz w:val="22"/>
                <w:szCs w:val="22"/>
              </w:rPr>
              <w:t xml:space="preserve"> </w:t>
            </w:r>
            <w:proofErr w:type="spellStart"/>
            <w:r w:rsidRPr="003F7241">
              <w:rPr>
                <w:rFonts w:ascii="Cambria" w:eastAsia="Calibri" w:hAnsi="Cambria"/>
                <w:sz w:val="22"/>
                <w:szCs w:val="22"/>
              </w:rPr>
              <w:t>poticanja</w:t>
            </w:r>
            <w:proofErr w:type="spellEnd"/>
            <w:r w:rsidRPr="003F7241">
              <w:rPr>
                <w:rFonts w:ascii="Cambria" w:eastAsia="Calibri" w:hAnsi="Cambria"/>
                <w:sz w:val="22"/>
                <w:szCs w:val="22"/>
              </w:rPr>
              <w:t xml:space="preserve"> </w:t>
            </w:r>
            <w:proofErr w:type="spellStart"/>
            <w:r w:rsidRPr="003F7241">
              <w:rPr>
                <w:rFonts w:ascii="Cambria" w:eastAsia="Calibri" w:hAnsi="Cambria"/>
                <w:sz w:val="22"/>
                <w:szCs w:val="22"/>
              </w:rPr>
              <w:t>motoričkog</w:t>
            </w:r>
            <w:proofErr w:type="spellEnd"/>
            <w:r w:rsidRPr="003F7241">
              <w:rPr>
                <w:rFonts w:ascii="Cambria" w:eastAsia="Calibri" w:hAnsi="Cambria"/>
                <w:sz w:val="22"/>
                <w:szCs w:val="22"/>
              </w:rPr>
              <w:t xml:space="preserve"> </w:t>
            </w:r>
            <w:proofErr w:type="spellStart"/>
            <w:r w:rsidRPr="003F7241">
              <w:rPr>
                <w:rFonts w:ascii="Cambria" w:eastAsia="Calibri" w:hAnsi="Cambria"/>
                <w:sz w:val="22"/>
                <w:szCs w:val="22"/>
              </w:rPr>
              <w:t>razvoja</w:t>
            </w:r>
            <w:proofErr w:type="spellEnd"/>
            <w:r w:rsidRPr="003F7241">
              <w:rPr>
                <w:rFonts w:ascii="Cambria" w:eastAsia="Calibri" w:hAnsi="Cambria"/>
                <w:sz w:val="22"/>
                <w:szCs w:val="22"/>
              </w:rPr>
              <w:t xml:space="preserve"> </w:t>
            </w:r>
            <w:proofErr w:type="spellStart"/>
            <w:r w:rsidRPr="003F7241">
              <w:rPr>
                <w:rFonts w:ascii="Cambria" w:eastAsia="Calibri" w:hAnsi="Cambria"/>
                <w:sz w:val="22"/>
                <w:szCs w:val="22"/>
              </w:rPr>
              <w:t>kod</w:t>
            </w:r>
            <w:proofErr w:type="spellEnd"/>
            <w:r w:rsidRPr="003F7241">
              <w:rPr>
                <w:rFonts w:ascii="Cambria" w:eastAsia="Calibri" w:hAnsi="Cambria"/>
                <w:sz w:val="22"/>
                <w:szCs w:val="22"/>
              </w:rPr>
              <w:t xml:space="preserve"> </w:t>
            </w:r>
            <w:proofErr w:type="spellStart"/>
            <w:r w:rsidRPr="003F7241">
              <w:rPr>
                <w:rFonts w:ascii="Cambria" w:eastAsia="Calibri" w:hAnsi="Cambria"/>
                <w:sz w:val="22"/>
                <w:szCs w:val="22"/>
              </w:rPr>
              <w:t>djece</w:t>
            </w:r>
            <w:proofErr w:type="spellEnd"/>
          </w:p>
        </w:tc>
      </w:tr>
      <w:tr w:rsidR="001421C4" w:rsidRPr="00D0399C" w14:paraId="525C88ED" w14:textId="77777777" w:rsidTr="00B36357">
        <w:tc>
          <w:tcPr>
            <w:tcW w:w="25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7ACE12C" w14:textId="77777777" w:rsidR="001421C4" w:rsidRPr="003F7241" w:rsidRDefault="001421C4" w:rsidP="00450B7A">
            <w:pPr>
              <w:rPr>
                <w:rFonts w:ascii="Cambria" w:eastAsia="Calibri" w:hAnsi="Cambria"/>
                <w:sz w:val="22"/>
                <w:szCs w:val="22"/>
              </w:rPr>
            </w:pPr>
            <w:proofErr w:type="spellStart"/>
            <w:r w:rsidRPr="003F7241">
              <w:rPr>
                <w:rFonts w:ascii="Cambria" w:eastAsia="Calibri" w:hAnsi="Cambria"/>
                <w:sz w:val="22"/>
                <w:szCs w:val="22"/>
              </w:rPr>
              <w:t>Ishodi</w:t>
            </w:r>
            <w:proofErr w:type="spellEnd"/>
            <w:r w:rsidRPr="003F7241">
              <w:rPr>
                <w:rFonts w:ascii="Cambria" w:eastAsia="Calibri" w:hAnsi="Cambria"/>
                <w:sz w:val="22"/>
                <w:szCs w:val="22"/>
              </w:rPr>
              <w:t xml:space="preserve"> </w:t>
            </w:r>
            <w:proofErr w:type="spellStart"/>
            <w:r w:rsidRPr="003F7241">
              <w:rPr>
                <w:rFonts w:ascii="Cambria" w:eastAsia="Calibri" w:hAnsi="Cambria"/>
                <w:sz w:val="22"/>
                <w:szCs w:val="22"/>
              </w:rPr>
              <w:t>učenja</w:t>
            </w:r>
            <w:proofErr w:type="spellEnd"/>
          </w:p>
        </w:tc>
        <w:tc>
          <w:tcPr>
            <w:tcW w:w="7241"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E470B4F" w14:textId="77777777" w:rsidR="001421C4" w:rsidRPr="003F7241" w:rsidRDefault="001421C4" w:rsidP="00450B7A">
            <w:pPr>
              <w:tabs>
                <w:tab w:val="left" w:pos="210"/>
                <w:tab w:val="left" w:pos="31680"/>
              </w:tabs>
              <w:jc w:val="both"/>
              <w:rPr>
                <w:rFonts w:ascii="Cambria" w:eastAsia="Calibri" w:hAnsi="Cambria"/>
                <w:sz w:val="22"/>
                <w:szCs w:val="22"/>
                <w:lang w:val="it-IT"/>
              </w:rPr>
            </w:pPr>
            <w:r w:rsidRPr="003F7241">
              <w:rPr>
                <w:rFonts w:ascii="Cambria" w:eastAsia="Calibri" w:hAnsi="Cambria"/>
                <w:sz w:val="22"/>
                <w:szCs w:val="22"/>
                <w:lang w:val="it-IT"/>
              </w:rPr>
              <w:t xml:space="preserve">1. </w:t>
            </w:r>
            <w:proofErr w:type="spellStart"/>
            <w:r w:rsidRPr="003F7241">
              <w:rPr>
                <w:rFonts w:ascii="Cambria" w:eastAsia="Calibri" w:hAnsi="Cambria"/>
                <w:sz w:val="22"/>
                <w:szCs w:val="22"/>
                <w:lang w:val="it-IT"/>
              </w:rPr>
              <w:t>interpretirati</w:t>
            </w:r>
            <w:proofErr w:type="spellEnd"/>
            <w:r w:rsidRPr="003F7241">
              <w:rPr>
                <w:rFonts w:ascii="Cambria" w:eastAsia="Calibri" w:hAnsi="Cambria"/>
                <w:sz w:val="22"/>
                <w:szCs w:val="22"/>
                <w:lang w:val="it-IT"/>
              </w:rPr>
              <w:t xml:space="preserve"> </w:t>
            </w:r>
            <w:proofErr w:type="spellStart"/>
            <w:r w:rsidRPr="003F7241">
              <w:rPr>
                <w:rFonts w:ascii="Cambria" w:eastAsia="Calibri" w:hAnsi="Cambria"/>
                <w:sz w:val="22"/>
                <w:szCs w:val="22"/>
                <w:lang w:val="it-IT"/>
              </w:rPr>
              <w:t>biološke</w:t>
            </w:r>
            <w:proofErr w:type="spellEnd"/>
            <w:r w:rsidRPr="003F7241">
              <w:rPr>
                <w:rFonts w:ascii="Cambria" w:eastAsia="Calibri" w:hAnsi="Cambria"/>
                <w:sz w:val="22"/>
                <w:szCs w:val="22"/>
                <w:lang w:val="it-IT"/>
              </w:rPr>
              <w:t xml:space="preserve"> </w:t>
            </w:r>
            <w:proofErr w:type="spellStart"/>
            <w:r w:rsidRPr="003F7241">
              <w:rPr>
                <w:rFonts w:ascii="Cambria" w:eastAsia="Calibri" w:hAnsi="Cambria"/>
                <w:sz w:val="22"/>
                <w:szCs w:val="22"/>
                <w:lang w:val="it-IT"/>
              </w:rPr>
              <w:t>zakonitosti</w:t>
            </w:r>
            <w:proofErr w:type="spellEnd"/>
            <w:r w:rsidRPr="003F7241">
              <w:rPr>
                <w:rFonts w:ascii="Cambria" w:eastAsia="Calibri" w:hAnsi="Cambria"/>
                <w:sz w:val="22"/>
                <w:szCs w:val="22"/>
                <w:lang w:val="it-IT"/>
              </w:rPr>
              <w:t xml:space="preserve"> rasta i </w:t>
            </w:r>
            <w:proofErr w:type="spellStart"/>
            <w:r w:rsidRPr="003F7241">
              <w:rPr>
                <w:rFonts w:ascii="Cambria" w:eastAsia="Calibri" w:hAnsi="Cambria"/>
                <w:sz w:val="22"/>
                <w:szCs w:val="22"/>
                <w:lang w:val="it-IT"/>
              </w:rPr>
              <w:t>razvoja</w:t>
            </w:r>
            <w:proofErr w:type="spellEnd"/>
          </w:p>
          <w:p w14:paraId="7689A39F" w14:textId="77777777" w:rsidR="001421C4" w:rsidRPr="003F7241" w:rsidRDefault="001421C4" w:rsidP="00450B7A">
            <w:pPr>
              <w:tabs>
                <w:tab w:val="left" w:pos="210"/>
                <w:tab w:val="left" w:pos="31680"/>
              </w:tabs>
              <w:jc w:val="both"/>
              <w:rPr>
                <w:rFonts w:ascii="Cambria" w:eastAsia="Calibri" w:hAnsi="Cambria"/>
                <w:sz w:val="22"/>
                <w:szCs w:val="22"/>
                <w:lang w:val="it-IT"/>
              </w:rPr>
            </w:pPr>
            <w:r w:rsidRPr="003F7241">
              <w:rPr>
                <w:rFonts w:ascii="Cambria" w:eastAsia="Calibri" w:hAnsi="Cambria"/>
                <w:sz w:val="22"/>
                <w:szCs w:val="22"/>
                <w:lang w:val="it-IT"/>
              </w:rPr>
              <w:t xml:space="preserve">2. </w:t>
            </w:r>
            <w:proofErr w:type="spellStart"/>
            <w:r w:rsidRPr="003F7241">
              <w:rPr>
                <w:rFonts w:ascii="Cambria" w:eastAsia="Calibri" w:hAnsi="Cambria"/>
                <w:sz w:val="22"/>
                <w:szCs w:val="22"/>
                <w:lang w:val="it-IT"/>
              </w:rPr>
              <w:t>analizirati</w:t>
            </w:r>
            <w:proofErr w:type="spellEnd"/>
            <w:r w:rsidRPr="003F7241">
              <w:rPr>
                <w:rFonts w:ascii="Cambria" w:eastAsia="Calibri" w:hAnsi="Cambria"/>
                <w:sz w:val="22"/>
                <w:szCs w:val="22"/>
                <w:lang w:val="it-IT"/>
              </w:rPr>
              <w:t xml:space="preserve"> </w:t>
            </w:r>
            <w:proofErr w:type="spellStart"/>
            <w:r w:rsidRPr="003F7241">
              <w:rPr>
                <w:rFonts w:ascii="Cambria" w:eastAsia="Calibri" w:hAnsi="Cambria"/>
                <w:sz w:val="22"/>
                <w:szCs w:val="22"/>
                <w:lang w:val="it-IT"/>
              </w:rPr>
              <w:t>razvojne</w:t>
            </w:r>
            <w:proofErr w:type="spellEnd"/>
            <w:r w:rsidRPr="003F7241">
              <w:rPr>
                <w:rFonts w:ascii="Cambria" w:eastAsia="Calibri" w:hAnsi="Cambria"/>
                <w:sz w:val="22"/>
                <w:szCs w:val="22"/>
                <w:lang w:val="it-IT"/>
              </w:rPr>
              <w:t xml:space="preserve"> </w:t>
            </w:r>
            <w:proofErr w:type="spellStart"/>
            <w:r w:rsidRPr="003F7241">
              <w:rPr>
                <w:rFonts w:ascii="Cambria" w:eastAsia="Calibri" w:hAnsi="Cambria"/>
                <w:sz w:val="22"/>
                <w:szCs w:val="22"/>
                <w:lang w:val="it-IT"/>
              </w:rPr>
              <w:t>karakteristike</w:t>
            </w:r>
            <w:proofErr w:type="spellEnd"/>
            <w:r w:rsidRPr="003F7241">
              <w:rPr>
                <w:rFonts w:ascii="Cambria" w:eastAsia="Calibri" w:hAnsi="Cambria"/>
                <w:sz w:val="22"/>
                <w:szCs w:val="22"/>
                <w:lang w:val="it-IT"/>
              </w:rPr>
              <w:t xml:space="preserve">, </w:t>
            </w:r>
            <w:proofErr w:type="spellStart"/>
            <w:r w:rsidRPr="003F7241">
              <w:rPr>
                <w:rFonts w:ascii="Cambria" w:eastAsia="Calibri" w:hAnsi="Cambria"/>
                <w:sz w:val="22"/>
                <w:szCs w:val="22"/>
                <w:lang w:val="it-IT"/>
              </w:rPr>
              <w:t>faze</w:t>
            </w:r>
            <w:proofErr w:type="spellEnd"/>
            <w:r w:rsidRPr="003F7241">
              <w:rPr>
                <w:rFonts w:ascii="Cambria" w:eastAsia="Calibri" w:hAnsi="Cambria"/>
                <w:sz w:val="22"/>
                <w:szCs w:val="22"/>
                <w:lang w:val="it-IT"/>
              </w:rPr>
              <w:t xml:space="preserve"> rasta i </w:t>
            </w:r>
            <w:proofErr w:type="spellStart"/>
            <w:r w:rsidRPr="003F7241">
              <w:rPr>
                <w:rFonts w:ascii="Cambria" w:eastAsia="Calibri" w:hAnsi="Cambria"/>
                <w:sz w:val="22"/>
                <w:szCs w:val="22"/>
                <w:lang w:val="it-IT"/>
              </w:rPr>
              <w:t>razvoja</w:t>
            </w:r>
            <w:proofErr w:type="spellEnd"/>
            <w:r w:rsidRPr="003F7241">
              <w:rPr>
                <w:rFonts w:ascii="Cambria" w:eastAsia="Calibri" w:hAnsi="Cambria"/>
                <w:sz w:val="22"/>
                <w:szCs w:val="22"/>
                <w:lang w:val="it-IT"/>
              </w:rPr>
              <w:t xml:space="preserve"> te </w:t>
            </w:r>
            <w:proofErr w:type="spellStart"/>
            <w:r w:rsidRPr="003F7241">
              <w:rPr>
                <w:rFonts w:ascii="Cambria" w:eastAsia="Calibri" w:hAnsi="Cambria"/>
                <w:sz w:val="22"/>
                <w:szCs w:val="22"/>
                <w:lang w:val="it-IT"/>
              </w:rPr>
              <w:t>faktore</w:t>
            </w:r>
            <w:proofErr w:type="spellEnd"/>
            <w:r w:rsidRPr="003F7241">
              <w:rPr>
                <w:rFonts w:ascii="Cambria" w:eastAsia="Calibri" w:hAnsi="Cambria"/>
                <w:sz w:val="22"/>
                <w:szCs w:val="22"/>
                <w:lang w:val="it-IT"/>
              </w:rPr>
              <w:t xml:space="preserve"> o </w:t>
            </w:r>
            <w:proofErr w:type="spellStart"/>
            <w:r w:rsidRPr="003F7241">
              <w:rPr>
                <w:rFonts w:ascii="Cambria" w:eastAsia="Calibri" w:hAnsi="Cambria"/>
                <w:sz w:val="22"/>
                <w:szCs w:val="22"/>
                <w:lang w:val="it-IT"/>
              </w:rPr>
              <w:t>kojima</w:t>
            </w:r>
            <w:proofErr w:type="spellEnd"/>
            <w:r w:rsidRPr="003F7241">
              <w:rPr>
                <w:rFonts w:ascii="Cambria" w:eastAsia="Calibri" w:hAnsi="Cambria"/>
                <w:sz w:val="22"/>
                <w:szCs w:val="22"/>
                <w:lang w:val="it-IT"/>
              </w:rPr>
              <w:t xml:space="preserve"> </w:t>
            </w:r>
            <w:proofErr w:type="spellStart"/>
            <w:r w:rsidRPr="003F7241">
              <w:rPr>
                <w:rFonts w:ascii="Cambria" w:eastAsia="Calibri" w:hAnsi="Cambria"/>
                <w:sz w:val="22"/>
                <w:szCs w:val="22"/>
                <w:lang w:val="it-IT"/>
              </w:rPr>
              <w:t>ovisi</w:t>
            </w:r>
            <w:proofErr w:type="spellEnd"/>
            <w:r w:rsidRPr="003F7241">
              <w:rPr>
                <w:rFonts w:ascii="Cambria" w:eastAsia="Calibri" w:hAnsi="Cambria"/>
                <w:sz w:val="22"/>
                <w:szCs w:val="22"/>
                <w:lang w:val="it-IT"/>
              </w:rPr>
              <w:t xml:space="preserve"> </w:t>
            </w:r>
            <w:proofErr w:type="spellStart"/>
            <w:r w:rsidRPr="003F7241">
              <w:rPr>
                <w:rFonts w:ascii="Cambria" w:eastAsia="Calibri" w:hAnsi="Cambria"/>
                <w:sz w:val="22"/>
                <w:szCs w:val="22"/>
                <w:lang w:val="it-IT"/>
              </w:rPr>
              <w:t>motorički</w:t>
            </w:r>
            <w:proofErr w:type="spellEnd"/>
            <w:r w:rsidRPr="003F7241">
              <w:rPr>
                <w:rFonts w:ascii="Cambria" w:eastAsia="Calibri" w:hAnsi="Cambria"/>
                <w:sz w:val="22"/>
                <w:szCs w:val="22"/>
                <w:lang w:val="it-IT"/>
              </w:rPr>
              <w:t xml:space="preserve"> </w:t>
            </w:r>
            <w:proofErr w:type="spellStart"/>
            <w:r w:rsidRPr="003F7241">
              <w:rPr>
                <w:rFonts w:ascii="Cambria" w:eastAsia="Calibri" w:hAnsi="Cambria"/>
                <w:sz w:val="22"/>
                <w:szCs w:val="22"/>
                <w:lang w:val="it-IT"/>
              </w:rPr>
              <w:t>razvoj</w:t>
            </w:r>
            <w:proofErr w:type="spellEnd"/>
          </w:p>
          <w:p w14:paraId="1957075F" w14:textId="77777777" w:rsidR="001421C4" w:rsidRPr="003F7241" w:rsidRDefault="001421C4" w:rsidP="00450B7A">
            <w:pPr>
              <w:tabs>
                <w:tab w:val="left" w:pos="210"/>
                <w:tab w:val="left" w:pos="31680"/>
              </w:tabs>
              <w:jc w:val="both"/>
              <w:rPr>
                <w:rFonts w:ascii="Cambria" w:eastAsia="Calibri" w:hAnsi="Cambria"/>
                <w:sz w:val="22"/>
                <w:szCs w:val="22"/>
                <w:lang w:val="it-IT"/>
              </w:rPr>
            </w:pPr>
            <w:r w:rsidRPr="003F7241">
              <w:rPr>
                <w:rFonts w:ascii="Cambria" w:eastAsia="Calibri" w:hAnsi="Cambria"/>
                <w:sz w:val="22"/>
                <w:szCs w:val="22"/>
                <w:lang w:val="it-IT"/>
              </w:rPr>
              <w:t xml:space="preserve">3. </w:t>
            </w:r>
            <w:proofErr w:type="spellStart"/>
            <w:r w:rsidRPr="003F7241">
              <w:rPr>
                <w:rFonts w:ascii="Cambria" w:eastAsia="Calibri" w:hAnsi="Cambria"/>
                <w:sz w:val="22"/>
                <w:szCs w:val="22"/>
                <w:lang w:val="it-IT"/>
              </w:rPr>
              <w:t>analizirati</w:t>
            </w:r>
            <w:proofErr w:type="spellEnd"/>
            <w:r w:rsidRPr="003F7241">
              <w:rPr>
                <w:rFonts w:ascii="Cambria" w:eastAsia="Calibri" w:hAnsi="Cambria"/>
                <w:sz w:val="22"/>
                <w:szCs w:val="22"/>
                <w:lang w:val="it-IT"/>
              </w:rPr>
              <w:t xml:space="preserve"> </w:t>
            </w:r>
            <w:proofErr w:type="spellStart"/>
            <w:r w:rsidRPr="003F7241">
              <w:rPr>
                <w:rFonts w:ascii="Cambria" w:eastAsia="Calibri" w:hAnsi="Cambria"/>
                <w:sz w:val="22"/>
                <w:szCs w:val="22"/>
                <w:lang w:val="it-IT"/>
              </w:rPr>
              <w:t>razvojne</w:t>
            </w:r>
            <w:proofErr w:type="spellEnd"/>
            <w:r w:rsidRPr="003F7241">
              <w:rPr>
                <w:rFonts w:ascii="Cambria" w:eastAsia="Calibri" w:hAnsi="Cambria"/>
                <w:sz w:val="22"/>
                <w:szCs w:val="22"/>
                <w:lang w:val="it-IT"/>
              </w:rPr>
              <w:t xml:space="preserve"> </w:t>
            </w:r>
            <w:proofErr w:type="spellStart"/>
            <w:r w:rsidRPr="003F7241">
              <w:rPr>
                <w:rFonts w:ascii="Cambria" w:eastAsia="Calibri" w:hAnsi="Cambria"/>
                <w:sz w:val="22"/>
                <w:szCs w:val="22"/>
                <w:lang w:val="it-IT"/>
              </w:rPr>
              <w:t>motoričke</w:t>
            </w:r>
            <w:proofErr w:type="spellEnd"/>
            <w:r w:rsidRPr="003F7241">
              <w:rPr>
                <w:rFonts w:ascii="Cambria" w:eastAsia="Calibri" w:hAnsi="Cambria"/>
                <w:sz w:val="22"/>
                <w:szCs w:val="22"/>
                <w:lang w:val="it-IT"/>
              </w:rPr>
              <w:t xml:space="preserve"> </w:t>
            </w:r>
            <w:proofErr w:type="spellStart"/>
            <w:r w:rsidRPr="003F7241">
              <w:rPr>
                <w:rFonts w:ascii="Cambria" w:eastAsia="Calibri" w:hAnsi="Cambria"/>
                <w:sz w:val="22"/>
                <w:szCs w:val="22"/>
                <w:lang w:val="it-IT"/>
              </w:rPr>
              <w:t>poremećaje</w:t>
            </w:r>
            <w:proofErr w:type="spellEnd"/>
          </w:p>
          <w:p w14:paraId="3AC27DAF" w14:textId="77777777" w:rsidR="001421C4" w:rsidRPr="003F7241" w:rsidRDefault="001421C4" w:rsidP="00450B7A">
            <w:pPr>
              <w:tabs>
                <w:tab w:val="left" w:pos="210"/>
                <w:tab w:val="left" w:pos="31680"/>
              </w:tabs>
              <w:jc w:val="both"/>
              <w:rPr>
                <w:rFonts w:ascii="Cambria" w:eastAsia="Calibri" w:hAnsi="Cambria"/>
                <w:sz w:val="22"/>
                <w:szCs w:val="22"/>
                <w:lang w:val="it-IT"/>
              </w:rPr>
            </w:pPr>
            <w:r w:rsidRPr="003F7241">
              <w:rPr>
                <w:rFonts w:ascii="Cambria" w:eastAsia="Calibri" w:hAnsi="Cambria"/>
                <w:sz w:val="22"/>
                <w:szCs w:val="22"/>
                <w:lang w:val="it-IT"/>
              </w:rPr>
              <w:t xml:space="preserve">4. </w:t>
            </w:r>
            <w:proofErr w:type="spellStart"/>
            <w:r w:rsidRPr="003F7241">
              <w:rPr>
                <w:rFonts w:ascii="Cambria" w:eastAsia="Calibri" w:hAnsi="Cambria"/>
                <w:sz w:val="22"/>
                <w:szCs w:val="22"/>
                <w:lang w:val="it-IT"/>
              </w:rPr>
              <w:t>vrednovati</w:t>
            </w:r>
            <w:proofErr w:type="spellEnd"/>
            <w:r w:rsidRPr="003F7241">
              <w:rPr>
                <w:rFonts w:ascii="Cambria" w:eastAsia="Calibri" w:hAnsi="Cambria"/>
                <w:sz w:val="22"/>
                <w:szCs w:val="22"/>
                <w:lang w:val="it-IT"/>
              </w:rPr>
              <w:t xml:space="preserve"> </w:t>
            </w:r>
            <w:proofErr w:type="spellStart"/>
            <w:r w:rsidRPr="003F7241">
              <w:rPr>
                <w:rFonts w:ascii="Cambria" w:eastAsia="Calibri" w:hAnsi="Cambria"/>
                <w:sz w:val="22"/>
                <w:szCs w:val="22"/>
                <w:lang w:val="it-IT"/>
              </w:rPr>
              <w:t>mogućnosti</w:t>
            </w:r>
            <w:proofErr w:type="spellEnd"/>
            <w:r w:rsidRPr="003F7241">
              <w:rPr>
                <w:rFonts w:ascii="Cambria" w:eastAsia="Calibri" w:hAnsi="Cambria"/>
                <w:sz w:val="22"/>
                <w:szCs w:val="22"/>
                <w:lang w:val="it-IT"/>
              </w:rPr>
              <w:t xml:space="preserve"> </w:t>
            </w:r>
            <w:proofErr w:type="spellStart"/>
            <w:r w:rsidRPr="003F7241">
              <w:rPr>
                <w:rFonts w:ascii="Cambria" w:eastAsia="Calibri" w:hAnsi="Cambria"/>
                <w:sz w:val="22"/>
                <w:szCs w:val="22"/>
                <w:lang w:val="it-IT"/>
              </w:rPr>
              <w:t>poticanja</w:t>
            </w:r>
            <w:proofErr w:type="spellEnd"/>
            <w:r w:rsidRPr="003F7241">
              <w:rPr>
                <w:rFonts w:ascii="Cambria" w:eastAsia="Calibri" w:hAnsi="Cambria"/>
                <w:sz w:val="22"/>
                <w:szCs w:val="22"/>
                <w:lang w:val="it-IT"/>
              </w:rPr>
              <w:t xml:space="preserve"> </w:t>
            </w:r>
            <w:proofErr w:type="spellStart"/>
            <w:r w:rsidRPr="003F7241">
              <w:rPr>
                <w:rFonts w:ascii="Cambria" w:eastAsia="Calibri" w:hAnsi="Cambria"/>
                <w:sz w:val="22"/>
                <w:szCs w:val="22"/>
                <w:lang w:val="it-IT"/>
              </w:rPr>
              <w:t>motoričkog</w:t>
            </w:r>
            <w:proofErr w:type="spellEnd"/>
            <w:r w:rsidRPr="003F7241">
              <w:rPr>
                <w:rFonts w:ascii="Cambria" w:eastAsia="Calibri" w:hAnsi="Cambria"/>
                <w:sz w:val="22"/>
                <w:szCs w:val="22"/>
                <w:lang w:val="it-IT"/>
              </w:rPr>
              <w:t xml:space="preserve"> </w:t>
            </w:r>
            <w:proofErr w:type="spellStart"/>
            <w:r w:rsidRPr="003F7241">
              <w:rPr>
                <w:rFonts w:ascii="Cambria" w:eastAsia="Calibri" w:hAnsi="Cambria"/>
                <w:sz w:val="22"/>
                <w:szCs w:val="22"/>
                <w:lang w:val="it-IT"/>
              </w:rPr>
              <w:t>razvoja</w:t>
            </w:r>
            <w:proofErr w:type="spellEnd"/>
            <w:r w:rsidRPr="003F7241">
              <w:rPr>
                <w:rFonts w:ascii="Cambria" w:eastAsia="Calibri" w:hAnsi="Cambria"/>
                <w:sz w:val="22"/>
                <w:szCs w:val="22"/>
                <w:lang w:val="it-IT"/>
              </w:rPr>
              <w:t xml:space="preserve"> </w:t>
            </w:r>
            <w:proofErr w:type="spellStart"/>
            <w:r w:rsidRPr="003F7241">
              <w:rPr>
                <w:rFonts w:ascii="Cambria" w:eastAsia="Calibri" w:hAnsi="Cambria"/>
                <w:sz w:val="22"/>
                <w:szCs w:val="22"/>
                <w:lang w:val="it-IT"/>
              </w:rPr>
              <w:t>djece</w:t>
            </w:r>
            <w:proofErr w:type="spellEnd"/>
          </w:p>
        </w:tc>
      </w:tr>
      <w:tr w:rsidR="001421C4" w:rsidRPr="00D0399C" w14:paraId="261A0057" w14:textId="77777777" w:rsidTr="00B36357">
        <w:tc>
          <w:tcPr>
            <w:tcW w:w="25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2FDCA95" w14:textId="77777777" w:rsidR="001421C4" w:rsidRPr="003F7241" w:rsidRDefault="001421C4" w:rsidP="00450B7A">
            <w:pPr>
              <w:rPr>
                <w:rFonts w:ascii="Cambria" w:eastAsia="Calibri" w:hAnsi="Cambria"/>
                <w:sz w:val="22"/>
                <w:szCs w:val="22"/>
              </w:rPr>
            </w:pPr>
            <w:proofErr w:type="spellStart"/>
            <w:r w:rsidRPr="003F7241">
              <w:rPr>
                <w:rFonts w:ascii="Cambria" w:eastAsia="Calibri" w:hAnsi="Cambria"/>
                <w:sz w:val="22"/>
                <w:szCs w:val="22"/>
              </w:rPr>
              <w:t>Sadržaj</w:t>
            </w:r>
            <w:proofErr w:type="spellEnd"/>
            <w:r w:rsidRPr="003F7241">
              <w:rPr>
                <w:rFonts w:ascii="Cambria" w:eastAsia="Calibri" w:hAnsi="Cambria"/>
                <w:sz w:val="22"/>
                <w:szCs w:val="22"/>
              </w:rPr>
              <w:t xml:space="preserve"> </w:t>
            </w:r>
            <w:proofErr w:type="spellStart"/>
            <w:r w:rsidRPr="003F7241">
              <w:rPr>
                <w:rFonts w:ascii="Cambria" w:eastAsia="Calibri" w:hAnsi="Cambria"/>
                <w:sz w:val="22"/>
                <w:szCs w:val="22"/>
              </w:rPr>
              <w:t>kolegija</w:t>
            </w:r>
            <w:proofErr w:type="spellEnd"/>
          </w:p>
        </w:tc>
        <w:tc>
          <w:tcPr>
            <w:tcW w:w="7241"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D5191D8" w14:textId="77777777" w:rsidR="001421C4" w:rsidRPr="003F7241" w:rsidRDefault="001421C4" w:rsidP="00450B7A">
            <w:pPr>
              <w:jc w:val="both"/>
              <w:rPr>
                <w:rFonts w:ascii="Cambria" w:eastAsia="Calibri" w:hAnsi="Cambria"/>
                <w:sz w:val="22"/>
                <w:szCs w:val="22"/>
                <w:lang w:val="it-IT"/>
              </w:rPr>
            </w:pPr>
            <w:r w:rsidRPr="003F7241">
              <w:rPr>
                <w:rFonts w:ascii="Cambria" w:eastAsia="Calibri" w:hAnsi="Cambria"/>
                <w:sz w:val="22"/>
                <w:szCs w:val="22"/>
                <w:lang w:val="it-IT"/>
              </w:rPr>
              <w:t xml:space="preserve">1. </w:t>
            </w:r>
            <w:proofErr w:type="spellStart"/>
            <w:r w:rsidRPr="003F7241">
              <w:rPr>
                <w:rFonts w:ascii="Cambria" w:eastAsia="Calibri" w:hAnsi="Cambria"/>
                <w:sz w:val="22"/>
                <w:szCs w:val="22"/>
                <w:lang w:val="it-IT"/>
              </w:rPr>
              <w:t>Biološke</w:t>
            </w:r>
            <w:proofErr w:type="spellEnd"/>
            <w:r w:rsidRPr="003F7241">
              <w:rPr>
                <w:rFonts w:ascii="Cambria" w:eastAsia="Calibri" w:hAnsi="Cambria"/>
                <w:sz w:val="22"/>
                <w:szCs w:val="22"/>
                <w:lang w:val="it-IT"/>
              </w:rPr>
              <w:t xml:space="preserve"> </w:t>
            </w:r>
            <w:proofErr w:type="spellStart"/>
            <w:r w:rsidRPr="003F7241">
              <w:rPr>
                <w:rFonts w:ascii="Cambria" w:eastAsia="Calibri" w:hAnsi="Cambria"/>
                <w:sz w:val="22"/>
                <w:szCs w:val="22"/>
                <w:lang w:val="it-IT"/>
              </w:rPr>
              <w:t>zakonitosti</w:t>
            </w:r>
            <w:proofErr w:type="spellEnd"/>
            <w:r w:rsidRPr="003F7241">
              <w:rPr>
                <w:rFonts w:ascii="Cambria" w:eastAsia="Calibri" w:hAnsi="Cambria"/>
                <w:sz w:val="22"/>
                <w:szCs w:val="22"/>
                <w:lang w:val="it-IT"/>
              </w:rPr>
              <w:t xml:space="preserve"> rasta i </w:t>
            </w:r>
            <w:proofErr w:type="spellStart"/>
            <w:r w:rsidRPr="003F7241">
              <w:rPr>
                <w:rFonts w:ascii="Cambria" w:eastAsia="Calibri" w:hAnsi="Cambria"/>
                <w:sz w:val="22"/>
                <w:szCs w:val="22"/>
                <w:lang w:val="it-IT"/>
              </w:rPr>
              <w:t>razvoja</w:t>
            </w:r>
            <w:proofErr w:type="spellEnd"/>
          </w:p>
          <w:p w14:paraId="5D54CB88" w14:textId="77777777" w:rsidR="001421C4" w:rsidRPr="003F7241" w:rsidRDefault="001421C4" w:rsidP="00450B7A">
            <w:pPr>
              <w:jc w:val="both"/>
              <w:rPr>
                <w:rFonts w:ascii="Cambria" w:eastAsia="Calibri" w:hAnsi="Cambria"/>
                <w:sz w:val="22"/>
                <w:szCs w:val="22"/>
                <w:lang w:val="it-IT"/>
              </w:rPr>
            </w:pPr>
            <w:r w:rsidRPr="003F7241">
              <w:rPr>
                <w:rFonts w:ascii="Cambria" w:eastAsia="Calibri" w:hAnsi="Cambria"/>
                <w:sz w:val="22"/>
                <w:szCs w:val="22"/>
                <w:lang w:val="it-IT"/>
              </w:rPr>
              <w:t xml:space="preserve">2. </w:t>
            </w:r>
            <w:proofErr w:type="spellStart"/>
            <w:r w:rsidRPr="003F7241">
              <w:rPr>
                <w:rFonts w:ascii="Cambria" w:eastAsia="Calibri" w:hAnsi="Cambria"/>
                <w:sz w:val="22"/>
                <w:szCs w:val="22"/>
                <w:lang w:val="it-IT"/>
              </w:rPr>
              <w:t>Motorički</w:t>
            </w:r>
            <w:proofErr w:type="spellEnd"/>
            <w:r w:rsidRPr="003F7241">
              <w:rPr>
                <w:rFonts w:ascii="Cambria" w:eastAsia="Calibri" w:hAnsi="Cambria"/>
                <w:sz w:val="22"/>
                <w:szCs w:val="22"/>
                <w:lang w:val="it-IT"/>
              </w:rPr>
              <w:t xml:space="preserve"> </w:t>
            </w:r>
            <w:proofErr w:type="spellStart"/>
            <w:r w:rsidRPr="003F7241">
              <w:rPr>
                <w:rFonts w:ascii="Cambria" w:eastAsia="Calibri" w:hAnsi="Cambria"/>
                <w:sz w:val="22"/>
                <w:szCs w:val="22"/>
                <w:lang w:val="it-IT"/>
              </w:rPr>
              <w:t>razvoj</w:t>
            </w:r>
            <w:proofErr w:type="spellEnd"/>
          </w:p>
          <w:p w14:paraId="191105DD" w14:textId="77777777" w:rsidR="001421C4" w:rsidRPr="003F7241" w:rsidRDefault="001421C4" w:rsidP="00450B7A">
            <w:pPr>
              <w:jc w:val="both"/>
              <w:rPr>
                <w:rFonts w:ascii="Cambria" w:eastAsia="Calibri" w:hAnsi="Cambria"/>
                <w:sz w:val="22"/>
                <w:szCs w:val="22"/>
                <w:lang w:val="it-IT"/>
              </w:rPr>
            </w:pPr>
            <w:r w:rsidRPr="003F7241">
              <w:rPr>
                <w:rFonts w:ascii="Cambria" w:eastAsia="Calibri" w:hAnsi="Cambria"/>
                <w:sz w:val="22"/>
                <w:szCs w:val="22"/>
                <w:lang w:val="it-IT"/>
              </w:rPr>
              <w:t xml:space="preserve">3. </w:t>
            </w:r>
            <w:proofErr w:type="spellStart"/>
            <w:r w:rsidRPr="003F7241">
              <w:rPr>
                <w:rFonts w:ascii="Cambria" w:eastAsia="Calibri" w:hAnsi="Cambria"/>
                <w:sz w:val="22"/>
                <w:szCs w:val="22"/>
                <w:lang w:val="it-IT"/>
              </w:rPr>
              <w:t>Faktori</w:t>
            </w:r>
            <w:proofErr w:type="spellEnd"/>
            <w:r w:rsidRPr="003F7241">
              <w:rPr>
                <w:rFonts w:ascii="Cambria" w:eastAsia="Calibri" w:hAnsi="Cambria"/>
                <w:sz w:val="22"/>
                <w:szCs w:val="22"/>
                <w:lang w:val="it-IT"/>
              </w:rPr>
              <w:t xml:space="preserve"> </w:t>
            </w:r>
            <w:proofErr w:type="spellStart"/>
            <w:r w:rsidRPr="003F7241">
              <w:rPr>
                <w:rFonts w:ascii="Cambria" w:eastAsia="Calibri" w:hAnsi="Cambria"/>
                <w:sz w:val="22"/>
                <w:szCs w:val="22"/>
                <w:lang w:val="it-IT"/>
              </w:rPr>
              <w:t>motoričkog</w:t>
            </w:r>
            <w:proofErr w:type="spellEnd"/>
            <w:r w:rsidRPr="003F7241">
              <w:rPr>
                <w:rFonts w:ascii="Cambria" w:eastAsia="Calibri" w:hAnsi="Cambria"/>
                <w:sz w:val="22"/>
                <w:szCs w:val="22"/>
                <w:lang w:val="it-IT"/>
              </w:rPr>
              <w:t xml:space="preserve"> </w:t>
            </w:r>
            <w:proofErr w:type="spellStart"/>
            <w:r w:rsidRPr="003F7241">
              <w:rPr>
                <w:rFonts w:ascii="Cambria" w:eastAsia="Calibri" w:hAnsi="Cambria"/>
                <w:sz w:val="22"/>
                <w:szCs w:val="22"/>
                <w:lang w:val="it-IT"/>
              </w:rPr>
              <w:t>razvoja</w:t>
            </w:r>
            <w:proofErr w:type="spellEnd"/>
          </w:p>
          <w:p w14:paraId="3D1AA083" w14:textId="77777777" w:rsidR="001421C4" w:rsidRPr="003F7241" w:rsidRDefault="001421C4" w:rsidP="00450B7A">
            <w:pPr>
              <w:jc w:val="both"/>
              <w:rPr>
                <w:rFonts w:ascii="Cambria" w:eastAsia="Calibri" w:hAnsi="Cambria"/>
                <w:sz w:val="22"/>
                <w:szCs w:val="22"/>
                <w:lang w:val="it-IT"/>
              </w:rPr>
            </w:pPr>
            <w:r w:rsidRPr="003F7241">
              <w:rPr>
                <w:rFonts w:ascii="Cambria" w:eastAsia="Calibri" w:hAnsi="Cambria"/>
                <w:sz w:val="22"/>
                <w:szCs w:val="22"/>
                <w:lang w:val="it-IT"/>
              </w:rPr>
              <w:t xml:space="preserve">4. </w:t>
            </w:r>
            <w:proofErr w:type="spellStart"/>
            <w:r w:rsidRPr="003F7241">
              <w:rPr>
                <w:rFonts w:ascii="Cambria" w:eastAsia="Calibri" w:hAnsi="Cambria"/>
                <w:sz w:val="22"/>
                <w:szCs w:val="22"/>
                <w:lang w:val="it-IT"/>
              </w:rPr>
              <w:t>Povezanost</w:t>
            </w:r>
            <w:proofErr w:type="spellEnd"/>
            <w:r w:rsidRPr="003F7241">
              <w:rPr>
                <w:rFonts w:ascii="Cambria" w:eastAsia="Calibri" w:hAnsi="Cambria"/>
                <w:sz w:val="22"/>
                <w:szCs w:val="22"/>
                <w:lang w:val="it-IT"/>
              </w:rPr>
              <w:t xml:space="preserve"> </w:t>
            </w:r>
            <w:proofErr w:type="spellStart"/>
            <w:r w:rsidRPr="003F7241">
              <w:rPr>
                <w:rFonts w:ascii="Cambria" w:eastAsia="Calibri" w:hAnsi="Cambria"/>
                <w:sz w:val="22"/>
                <w:szCs w:val="22"/>
                <w:lang w:val="it-IT"/>
              </w:rPr>
              <w:t>motoričkog</w:t>
            </w:r>
            <w:proofErr w:type="spellEnd"/>
            <w:r w:rsidRPr="003F7241">
              <w:rPr>
                <w:rFonts w:ascii="Cambria" w:eastAsia="Calibri" w:hAnsi="Cambria"/>
                <w:sz w:val="22"/>
                <w:szCs w:val="22"/>
                <w:lang w:val="it-IT"/>
              </w:rPr>
              <w:t xml:space="preserve"> </w:t>
            </w:r>
            <w:proofErr w:type="spellStart"/>
            <w:r w:rsidRPr="003F7241">
              <w:rPr>
                <w:rFonts w:ascii="Cambria" w:eastAsia="Calibri" w:hAnsi="Cambria"/>
                <w:sz w:val="22"/>
                <w:szCs w:val="22"/>
                <w:lang w:val="it-IT"/>
              </w:rPr>
              <w:t>razvoja</w:t>
            </w:r>
            <w:proofErr w:type="spellEnd"/>
            <w:r w:rsidRPr="003F7241">
              <w:rPr>
                <w:rFonts w:ascii="Cambria" w:eastAsia="Calibri" w:hAnsi="Cambria"/>
                <w:sz w:val="22"/>
                <w:szCs w:val="22"/>
                <w:lang w:val="it-IT"/>
              </w:rPr>
              <w:t xml:space="preserve"> s </w:t>
            </w:r>
            <w:proofErr w:type="spellStart"/>
            <w:r w:rsidRPr="003F7241">
              <w:rPr>
                <w:rFonts w:ascii="Cambria" w:eastAsia="Calibri" w:hAnsi="Cambria"/>
                <w:sz w:val="22"/>
                <w:szCs w:val="22"/>
                <w:lang w:val="it-IT"/>
              </w:rPr>
              <w:t>emocionalnim</w:t>
            </w:r>
            <w:proofErr w:type="spellEnd"/>
            <w:r w:rsidRPr="003F7241">
              <w:rPr>
                <w:rFonts w:ascii="Cambria" w:eastAsia="Calibri" w:hAnsi="Cambria"/>
                <w:sz w:val="22"/>
                <w:szCs w:val="22"/>
                <w:lang w:val="it-IT"/>
              </w:rPr>
              <w:t xml:space="preserve">, </w:t>
            </w:r>
            <w:proofErr w:type="spellStart"/>
            <w:r w:rsidRPr="003F7241">
              <w:rPr>
                <w:rFonts w:ascii="Cambria" w:eastAsia="Calibri" w:hAnsi="Cambria"/>
                <w:sz w:val="22"/>
                <w:szCs w:val="22"/>
                <w:lang w:val="it-IT"/>
              </w:rPr>
              <w:t>socijalnim</w:t>
            </w:r>
            <w:proofErr w:type="spellEnd"/>
            <w:r w:rsidRPr="003F7241">
              <w:rPr>
                <w:rFonts w:ascii="Cambria" w:eastAsia="Calibri" w:hAnsi="Cambria"/>
                <w:sz w:val="22"/>
                <w:szCs w:val="22"/>
                <w:lang w:val="it-IT"/>
              </w:rPr>
              <w:t xml:space="preserve"> i </w:t>
            </w:r>
            <w:proofErr w:type="spellStart"/>
            <w:r w:rsidRPr="003F7241">
              <w:rPr>
                <w:rFonts w:ascii="Cambria" w:eastAsia="Calibri" w:hAnsi="Cambria"/>
                <w:sz w:val="22"/>
                <w:szCs w:val="22"/>
                <w:lang w:val="it-IT"/>
              </w:rPr>
              <w:t>kognitivnim</w:t>
            </w:r>
            <w:proofErr w:type="spellEnd"/>
            <w:r w:rsidRPr="003F7241">
              <w:rPr>
                <w:rFonts w:ascii="Cambria" w:eastAsia="Calibri" w:hAnsi="Cambria"/>
                <w:sz w:val="22"/>
                <w:szCs w:val="22"/>
                <w:lang w:val="it-IT"/>
              </w:rPr>
              <w:t xml:space="preserve"> </w:t>
            </w:r>
            <w:proofErr w:type="spellStart"/>
            <w:r w:rsidRPr="003F7241">
              <w:rPr>
                <w:rFonts w:ascii="Cambria" w:eastAsia="Calibri" w:hAnsi="Cambria"/>
                <w:sz w:val="22"/>
                <w:szCs w:val="22"/>
                <w:lang w:val="it-IT"/>
              </w:rPr>
              <w:t>razvojem</w:t>
            </w:r>
            <w:proofErr w:type="spellEnd"/>
          </w:p>
          <w:p w14:paraId="418CA864" w14:textId="77777777" w:rsidR="001421C4" w:rsidRPr="003F7241" w:rsidRDefault="001421C4" w:rsidP="00450B7A">
            <w:pPr>
              <w:jc w:val="both"/>
              <w:rPr>
                <w:rFonts w:ascii="Cambria" w:eastAsia="Calibri" w:hAnsi="Cambria"/>
                <w:sz w:val="22"/>
                <w:szCs w:val="22"/>
                <w:lang w:val="it-IT"/>
              </w:rPr>
            </w:pPr>
            <w:r w:rsidRPr="003F7241">
              <w:rPr>
                <w:rFonts w:ascii="Cambria" w:eastAsia="Calibri" w:hAnsi="Cambria"/>
                <w:sz w:val="22"/>
                <w:szCs w:val="22"/>
                <w:lang w:val="it-IT"/>
              </w:rPr>
              <w:t xml:space="preserve">5. </w:t>
            </w:r>
            <w:proofErr w:type="spellStart"/>
            <w:r w:rsidRPr="003F7241">
              <w:rPr>
                <w:rFonts w:ascii="Cambria" w:eastAsia="Calibri" w:hAnsi="Cambria"/>
                <w:sz w:val="22"/>
                <w:szCs w:val="22"/>
                <w:lang w:val="it-IT"/>
              </w:rPr>
              <w:t>Razvoj</w:t>
            </w:r>
            <w:proofErr w:type="spellEnd"/>
            <w:r w:rsidRPr="003F7241">
              <w:rPr>
                <w:rFonts w:ascii="Cambria" w:eastAsia="Calibri" w:hAnsi="Cambria"/>
                <w:sz w:val="22"/>
                <w:szCs w:val="22"/>
                <w:lang w:val="it-IT"/>
              </w:rPr>
              <w:t xml:space="preserve"> </w:t>
            </w:r>
            <w:proofErr w:type="spellStart"/>
            <w:r w:rsidRPr="003F7241">
              <w:rPr>
                <w:rFonts w:ascii="Cambria" w:eastAsia="Calibri" w:hAnsi="Cambria"/>
                <w:sz w:val="22"/>
                <w:szCs w:val="22"/>
                <w:lang w:val="it-IT"/>
              </w:rPr>
              <w:t>motoričkih</w:t>
            </w:r>
            <w:proofErr w:type="spellEnd"/>
            <w:r w:rsidRPr="003F7241">
              <w:rPr>
                <w:rFonts w:ascii="Cambria" w:eastAsia="Calibri" w:hAnsi="Cambria"/>
                <w:sz w:val="22"/>
                <w:szCs w:val="22"/>
                <w:lang w:val="it-IT"/>
              </w:rPr>
              <w:t xml:space="preserve"> i </w:t>
            </w:r>
            <w:proofErr w:type="spellStart"/>
            <w:r w:rsidRPr="003F7241">
              <w:rPr>
                <w:rFonts w:ascii="Cambria" w:eastAsia="Calibri" w:hAnsi="Cambria"/>
                <w:sz w:val="22"/>
                <w:szCs w:val="22"/>
                <w:lang w:val="it-IT"/>
              </w:rPr>
              <w:t>funkcionalnih</w:t>
            </w:r>
            <w:proofErr w:type="spellEnd"/>
            <w:r w:rsidRPr="003F7241">
              <w:rPr>
                <w:rFonts w:ascii="Cambria" w:eastAsia="Calibri" w:hAnsi="Cambria"/>
                <w:sz w:val="22"/>
                <w:szCs w:val="22"/>
                <w:lang w:val="it-IT"/>
              </w:rPr>
              <w:t xml:space="preserve"> </w:t>
            </w:r>
            <w:proofErr w:type="spellStart"/>
            <w:r w:rsidRPr="003F7241">
              <w:rPr>
                <w:rFonts w:ascii="Cambria" w:eastAsia="Calibri" w:hAnsi="Cambria"/>
                <w:sz w:val="22"/>
                <w:szCs w:val="22"/>
                <w:lang w:val="it-IT"/>
              </w:rPr>
              <w:t>sposobnosti</w:t>
            </w:r>
            <w:proofErr w:type="spellEnd"/>
          </w:p>
          <w:p w14:paraId="4C24E642" w14:textId="77777777" w:rsidR="001421C4" w:rsidRPr="003F7241" w:rsidRDefault="001421C4" w:rsidP="00450B7A">
            <w:pPr>
              <w:jc w:val="both"/>
              <w:rPr>
                <w:rFonts w:ascii="Cambria" w:eastAsia="Calibri" w:hAnsi="Cambria"/>
                <w:sz w:val="22"/>
                <w:szCs w:val="22"/>
                <w:lang w:val="it-IT"/>
              </w:rPr>
            </w:pPr>
            <w:r w:rsidRPr="003F7241">
              <w:rPr>
                <w:rFonts w:ascii="Cambria" w:eastAsia="Calibri" w:hAnsi="Cambria"/>
                <w:sz w:val="22"/>
                <w:szCs w:val="22"/>
                <w:lang w:val="it-IT"/>
              </w:rPr>
              <w:t xml:space="preserve">6. </w:t>
            </w:r>
            <w:proofErr w:type="spellStart"/>
            <w:r w:rsidRPr="003F7241">
              <w:rPr>
                <w:rFonts w:ascii="Cambria" w:eastAsia="Calibri" w:hAnsi="Cambria"/>
                <w:sz w:val="22"/>
                <w:szCs w:val="22"/>
                <w:lang w:val="it-IT"/>
              </w:rPr>
              <w:t>Razvojni</w:t>
            </w:r>
            <w:proofErr w:type="spellEnd"/>
            <w:r w:rsidRPr="003F7241">
              <w:rPr>
                <w:rFonts w:ascii="Cambria" w:eastAsia="Calibri" w:hAnsi="Cambria"/>
                <w:sz w:val="22"/>
                <w:szCs w:val="22"/>
                <w:lang w:val="it-IT"/>
              </w:rPr>
              <w:t xml:space="preserve"> </w:t>
            </w:r>
            <w:proofErr w:type="spellStart"/>
            <w:r w:rsidRPr="003F7241">
              <w:rPr>
                <w:rFonts w:ascii="Cambria" w:eastAsia="Calibri" w:hAnsi="Cambria"/>
                <w:sz w:val="22"/>
                <w:szCs w:val="22"/>
                <w:lang w:val="it-IT"/>
              </w:rPr>
              <w:t>motorički</w:t>
            </w:r>
            <w:proofErr w:type="spellEnd"/>
            <w:r w:rsidRPr="003F7241">
              <w:rPr>
                <w:rFonts w:ascii="Cambria" w:eastAsia="Calibri" w:hAnsi="Cambria"/>
                <w:sz w:val="22"/>
                <w:szCs w:val="22"/>
                <w:lang w:val="it-IT"/>
              </w:rPr>
              <w:t xml:space="preserve"> </w:t>
            </w:r>
            <w:proofErr w:type="spellStart"/>
            <w:r w:rsidRPr="003F7241">
              <w:rPr>
                <w:rFonts w:ascii="Cambria" w:eastAsia="Calibri" w:hAnsi="Cambria"/>
                <w:sz w:val="22"/>
                <w:szCs w:val="22"/>
                <w:lang w:val="it-IT"/>
              </w:rPr>
              <w:t>poremećaji</w:t>
            </w:r>
            <w:proofErr w:type="spellEnd"/>
          </w:p>
          <w:p w14:paraId="3EA25B53" w14:textId="77777777" w:rsidR="001421C4" w:rsidRPr="003F7241" w:rsidRDefault="001421C4" w:rsidP="00450B7A">
            <w:pPr>
              <w:jc w:val="both"/>
              <w:rPr>
                <w:rFonts w:ascii="Cambria" w:eastAsia="Calibri" w:hAnsi="Cambria"/>
                <w:sz w:val="22"/>
                <w:szCs w:val="22"/>
                <w:lang w:val="it-IT"/>
              </w:rPr>
            </w:pPr>
            <w:r w:rsidRPr="003F7241">
              <w:rPr>
                <w:rFonts w:ascii="Cambria" w:eastAsia="Calibri" w:hAnsi="Cambria"/>
                <w:sz w:val="22"/>
                <w:szCs w:val="22"/>
                <w:lang w:val="it-IT"/>
              </w:rPr>
              <w:t xml:space="preserve">7. </w:t>
            </w:r>
            <w:proofErr w:type="spellStart"/>
            <w:r w:rsidRPr="003F7241">
              <w:rPr>
                <w:rFonts w:ascii="Cambria" w:eastAsia="Calibri" w:hAnsi="Cambria"/>
                <w:sz w:val="22"/>
                <w:szCs w:val="22"/>
                <w:lang w:val="it-IT"/>
              </w:rPr>
              <w:t>Poticanje</w:t>
            </w:r>
            <w:proofErr w:type="spellEnd"/>
            <w:r w:rsidRPr="003F7241">
              <w:rPr>
                <w:rFonts w:ascii="Cambria" w:eastAsia="Calibri" w:hAnsi="Cambria"/>
                <w:sz w:val="22"/>
                <w:szCs w:val="22"/>
                <w:lang w:val="it-IT"/>
              </w:rPr>
              <w:t xml:space="preserve"> </w:t>
            </w:r>
            <w:proofErr w:type="spellStart"/>
            <w:r w:rsidRPr="003F7241">
              <w:rPr>
                <w:rFonts w:ascii="Cambria" w:eastAsia="Calibri" w:hAnsi="Cambria"/>
                <w:sz w:val="22"/>
                <w:szCs w:val="22"/>
                <w:lang w:val="it-IT"/>
              </w:rPr>
              <w:t>motoričkog</w:t>
            </w:r>
            <w:proofErr w:type="spellEnd"/>
            <w:r w:rsidRPr="003F7241">
              <w:rPr>
                <w:rFonts w:ascii="Cambria" w:eastAsia="Calibri" w:hAnsi="Cambria"/>
                <w:sz w:val="22"/>
                <w:szCs w:val="22"/>
                <w:lang w:val="it-IT"/>
              </w:rPr>
              <w:t xml:space="preserve"> </w:t>
            </w:r>
            <w:proofErr w:type="spellStart"/>
            <w:r w:rsidRPr="003F7241">
              <w:rPr>
                <w:rFonts w:ascii="Cambria" w:eastAsia="Calibri" w:hAnsi="Cambria"/>
                <w:sz w:val="22"/>
                <w:szCs w:val="22"/>
                <w:lang w:val="it-IT"/>
              </w:rPr>
              <w:t>razvoja</w:t>
            </w:r>
            <w:proofErr w:type="spellEnd"/>
            <w:r w:rsidRPr="003F7241">
              <w:rPr>
                <w:rFonts w:ascii="Cambria" w:eastAsia="Calibri" w:hAnsi="Cambria"/>
                <w:sz w:val="22"/>
                <w:szCs w:val="22"/>
                <w:lang w:val="it-IT"/>
              </w:rPr>
              <w:t xml:space="preserve"> </w:t>
            </w:r>
            <w:proofErr w:type="spellStart"/>
            <w:r w:rsidRPr="003F7241">
              <w:rPr>
                <w:rFonts w:ascii="Cambria" w:eastAsia="Calibri" w:hAnsi="Cambria"/>
                <w:sz w:val="22"/>
                <w:szCs w:val="22"/>
                <w:lang w:val="it-IT"/>
              </w:rPr>
              <w:t>kod</w:t>
            </w:r>
            <w:proofErr w:type="spellEnd"/>
            <w:r w:rsidRPr="003F7241">
              <w:rPr>
                <w:rFonts w:ascii="Cambria" w:eastAsia="Calibri" w:hAnsi="Cambria"/>
                <w:sz w:val="22"/>
                <w:szCs w:val="22"/>
                <w:lang w:val="it-IT"/>
              </w:rPr>
              <w:t xml:space="preserve"> </w:t>
            </w:r>
            <w:proofErr w:type="spellStart"/>
            <w:r w:rsidRPr="003F7241">
              <w:rPr>
                <w:rFonts w:ascii="Cambria" w:eastAsia="Calibri" w:hAnsi="Cambria"/>
                <w:sz w:val="22"/>
                <w:szCs w:val="22"/>
                <w:lang w:val="it-IT"/>
              </w:rPr>
              <w:t>djece</w:t>
            </w:r>
            <w:proofErr w:type="spellEnd"/>
          </w:p>
          <w:p w14:paraId="759667D3" w14:textId="77777777" w:rsidR="001421C4" w:rsidRPr="003F7241" w:rsidRDefault="001421C4" w:rsidP="00450B7A">
            <w:pPr>
              <w:jc w:val="both"/>
              <w:rPr>
                <w:rFonts w:ascii="Cambria" w:eastAsia="Calibri" w:hAnsi="Cambria"/>
                <w:sz w:val="22"/>
                <w:szCs w:val="22"/>
                <w:lang w:val="it-IT"/>
              </w:rPr>
            </w:pPr>
            <w:r w:rsidRPr="003F7241">
              <w:rPr>
                <w:rFonts w:ascii="Cambria" w:eastAsia="Calibri" w:hAnsi="Cambria"/>
                <w:sz w:val="22"/>
                <w:szCs w:val="22"/>
                <w:lang w:val="it-IT"/>
              </w:rPr>
              <w:t xml:space="preserve">8. </w:t>
            </w:r>
            <w:proofErr w:type="spellStart"/>
            <w:r w:rsidRPr="003F7241">
              <w:rPr>
                <w:rFonts w:ascii="Cambria" w:eastAsia="Calibri" w:hAnsi="Cambria"/>
                <w:sz w:val="22"/>
                <w:szCs w:val="22"/>
                <w:lang w:val="it-IT"/>
              </w:rPr>
              <w:t>Vrednovanje</w:t>
            </w:r>
            <w:proofErr w:type="spellEnd"/>
            <w:r w:rsidRPr="003F7241">
              <w:rPr>
                <w:rFonts w:ascii="Cambria" w:eastAsia="Calibri" w:hAnsi="Cambria"/>
                <w:sz w:val="22"/>
                <w:szCs w:val="22"/>
                <w:lang w:val="it-IT"/>
              </w:rPr>
              <w:t xml:space="preserve"> </w:t>
            </w:r>
            <w:proofErr w:type="spellStart"/>
            <w:r w:rsidRPr="003F7241">
              <w:rPr>
                <w:rFonts w:ascii="Cambria" w:eastAsia="Calibri" w:hAnsi="Cambria"/>
                <w:sz w:val="22"/>
                <w:szCs w:val="22"/>
                <w:lang w:val="it-IT"/>
              </w:rPr>
              <w:t>učinaka</w:t>
            </w:r>
            <w:proofErr w:type="spellEnd"/>
            <w:r w:rsidRPr="003F7241">
              <w:rPr>
                <w:rFonts w:ascii="Cambria" w:eastAsia="Calibri" w:hAnsi="Cambria"/>
                <w:sz w:val="22"/>
                <w:szCs w:val="22"/>
                <w:lang w:val="it-IT"/>
              </w:rPr>
              <w:t xml:space="preserve"> </w:t>
            </w:r>
            <w:proofErr w:type="spellStart"/>
            <w:r w:rsidRPr="003F7241">
              <w:rPr>
                <w:rFonts w:ascii="Cambria" w:eastAsia="Calibri" w:hAnsi="Cambria"/>
                <w:sz w:val="22"/>
                <w:szCs w:val="22"/>
                <w:lang w:val="it-IT"/>
              </w:rPr>
              <w:t>programa</w:t>
            </w:r>
            <w:proofErr w:type="spellEnd"/>
            <w:r w:rsidRPr="003F7241">
              <w:rPr>
                <w:rFonts w:ascii="Cambria" w:eastAsia="Calibri" w:hAnsi="Cambria"/>
                <w:sz w:val="22"/>
                <w:szCs w:val="22"/>
                <w:lang w:val="it-IT"/>
              </w:rPr>
              <w:t xml:space="preserve"> </w:t>
            </w:r>
            <w:proofErr w:type="spellStart"/>
            <w:r w:rsidRPr="003F7241">
              <w:rPr>
                <w:rFonts w:ascii="Cambria" w:eastAsia="Calibri" w:hAnsi="Cambria"/>
                <w:sz w:val="22"/>
                <w:szCs w:val="22"/>
                <w:lang w:val="it-IT"/>
              </w:rPr>
              <w:t>poticanja</w:t>
            </w:r>
            <w:proofErr w:type="spellEnd"/>
            <w:r w:rsidRPr="003F7241">
              <w:rPr>
                <w:rFonts w:ascii="Cambria" w:eastAsia="Calibri" w:hAnsi="Cambria"/>
                <w:sz w:val="22"/>
                <w:szCs w:val="22"/>
                <w:lang w:val="it-IT"/>
              </w:rPr>
              <w:t xml:space="preserve"> </w:t>
            </w:r>
            <w:proofErr w:type="spellStart"/>
            <w:r w:rsidRPr="003F7241">
              <w:rPr>
                <w:rFonts w:ascii="Cambria" w:eastAsia="Calibri" w:hAnsi="Cambria"/>
                <w:sz w:val="22"/>
                <w:szCs w:val="22"/>
                <w:lang w:val="it-IT"/>
              </w:rPr>
              <w:t>motoričkog</w:t>
            </w:r>
            <w:proofErr w:type="spellEnd"/>
            <w:r w:rsidRPr="003F7241">
              <w:rPr>
                <w:rFonts w:ascii="Cambria" w:eastAsia="Calibri" w:hAnsi="Cambria"/>
                <w:sz w:val="22"/>
                <w:szCs w:val="22"/>
                <w:lang w:val="it-IT"/>
              </w:rPr>
              <w:t xml:space="preserve"> </w:t>
            </w:r>
            <w:proofErr w:type="spellStart"/>
            <w:r w:rsidRPr="003F7241">
              <w:rPr>
                <w:rFonts w:ascii="Cambria" w:eastAsia="Calibri" w:hAnsi="Cambria"/>
                <w:sz w:val="22"/>
                <w:szCs w:val="22"/>
                <w:lang w:val="it-IT"/>
              </w:rPr>
              <w:t>razvoja</w:t>
            </w:r>
            <w:proofErr w:type="spellEnd"/>
            <w:r w:rsidRPr="003F7241">
              <w:rPr>
                <w:rFonts w:ascii="Cambria" w:eastAsia="Calibri" w:hAnsi="Cambria"/>
                <w:sz w:val="22"/>
                <w:szCs w:val="22"/>
                <w:lang w:val="it-IT"/>
              </w:rPr>
              <w:t>.</w:t>
            </w:r>
          </w:p>
        </w:tc>
      </w:tr>
      <w:tr w:rsidR="001421C4" w:rsidRPr="003F7241" w14:paraId="38C8BED5" w14:textId="77777777" w:rsidTr="00B36357">
        <w:tc>
          <w:tcPr>
            <w:tcW w:w="253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E8BD8A7" w14:textId="77777777" w:rsidR="001421C4" w:rsidRPr="003F7241" w:rsidRDefault="001421C4" w:rsidP="00450B7A">
            <w:pPr>
              <w:rPr>
                <w:rFonts w:ascii="Cambria" w:eastAsia="Calibri" w:hAnsi="Cambria"/>
                <w:sz w:val="22"/>
                <w:szCs w:val="22"/>
                <w:lang w:val="it-IT"/>
              </w:rPr>
            </w:pPr>
            <w:proofErr w:type="spellStart"/>
            <w:r w:rsidRPr="003F7241">
              <w:rPr>
                <w:rFonts w:ascii="Cambria" w:eastAsia="Calibri" w:hAnsi="Cambria"/>
                <w:sz w:val="22"/>
                <w:szCs w:val="22"/>
                <w:lang w:val="it-IT"/>
              </w:rPr>
              <w:t>Planirane</w:t>
            </w:r>
            <w:proofErr w:type="spellEnd"/>
            <w:r w:rsidRPr="003F7241">
              <w:rPr>
                <w:rFonts w:ascii="Cambria" w:eastAsia="Calibri" w:hAnsi="Cambria"/>
                <w:sz w:val="22"/>
                <w:szCs w:val="22"/>
                <w:lang w:val="it-IT"/>
              </w:rPr>
              <w:t xml:space="preserve"> </w:t>
            </w:r>
            <w:proofErr w:type="spellStart"/>
            <w:r w:rsidRPr="003F7241">
              <w:rPr>
                <w:rFonts w:ascii="Cambria" w:eastAsia="Calibri" w:hAnsi="Cambria"/>
                <w:sz w:val="22"/>
                <w:szCs w:val="22"/>
                <w:lang w:val="it-IT"/>
              </w:rPr>
              <w:t>aktivnosti</w:t>
            </w:r>
            <w:proofErr w:type="spellEnd"/>
            <w:r w:rsidRPr="003F7241">
              <w:rPr>
                <w:rFonts w:ascii="Cambria" w:eastAsia="Calibri" w:hAnsi="Cambria"/>
                <w:sz w:val="22"/>
                <w:szCs w:val="22"/>
                <w:lang w:val="it-IT"/>
              </w:rPr>
              <w:t>,</w:t>
            </w:r>
          </w:p>
          <w:p w14:paraId="660370B5" w14:textId="77777777" w:rsidR="001421C4" w:rsidRPr="003F7241" w:rsidRDefault="001421C4" w:rsidP="00450B7A">
            <w:pPr>
              <w:rPr>
                <w:rFonts w:ascii="Cambria" w:eastAsia="Calibri" w:hAnsi="Cambria"/>
                <w:sz w:val="22"/>
                <w:szCs w:val="22"/>
                <w:lang w:val="it-IT"/>
              </w:rPr>
            </w:pPr>
            <w:proofErr w:type="spellStart"/>
            <w:r w:rsidRPr="003F7241">
              <w:rPr>
                <w:rFonts w:ascii="Cambria" w:eastAsia="Calibri" w:hAnsi="Cambria"/>
                <w:sz w:val="22"/>
                <w:szCs w:val="22"/>
                <w:lang w:val="it-IT"/>
              </w:rPr>
              <w:t>metode</w:t>
            </w:r>
            <w:proofErr w:type="spellEnd"/>
            <w:r w:rsidRPr="003F7241">
              <w:rPr>
                <w:rFonts w:ascii="Cambria" w:eastAsia="Calibri" w:hAnsi="Cambria"/>
                <w:sz w:val="22"/>
                <w:szCs w:val="22"/>
                <w:lang w:val="it-IT"/>
              </w:rPr>
              <w:t xml:space="preserve"> </w:t>
            </w:r>
            <w:proofErr w:type="spellStart"/>
            <w:r w:rsidRPr="003F7241">
              <w:rPr>
                <w:rFonts w:ascii="Cambria" w:eastAsia="Calibri" w:hAnsi="Cambria"/>
                <w:sz w:val="22"/>
                <w:szCs w:val="22"/>
                <w:lang w:val="it-IT"/>
              </w:rPr>
              <w:t>učenja</w:t>
            </w:r>
            <w:proofErr w:type="spellEnd"/>
            <w:r w:rsidRPr="003F7241">
              <w:rPr>
                <w:rFonts w:ascii="Cambria" w:eastAsia="Calibri" w:hAnsi="Cambria"/>
                <w:sz w:val="22"/>
                <w:szCs w:val="22"/>
                <w:lang w:val="it-IT"/>
              </w:rPr>
              <w:t xml:space="preserve"> i </w:t>
            </w:r>
            <w:proofErr w:type="spellStart"/>
            <w:r w:rsidRPr="003F7241">
              <w:rPr>
                <w:rFonts w:ascii="Cambria" w:eastAsia="Calibri" w:hAnsi="Cambria"/>
                <w:sz w:val="22"/>
                <w:szCs w:val="22"/>
                <w:lang w:val="it-IT"/>
              </w:rPr>
              <w:t>poučavanja</w:t>
            </w:r>
            <w:proofErr w:type="spellEnd"/>
            <w:r w:rsidRPr="003F7241">
              <w:rPr>
                <w:rFonts w:ascii="Cambria" w:eastAsia="Calibri" w:hAnsi="Cambria"/>
                <w:sz w:val="22"/>
                <w:szCs w:val="22"/>
                <w:lang w:val="it-IT"/>
              </w:rPr>
              <w:t xml:space="preserve"> i </w:t>
            </w:r>
            <w:proofErr w:type="spellStart"/>
            <w:r w:rsidRPr="003F7241">
              <w:rPr>
                <w:rFonts w:ascii="Cambria" w:eastAsia="Calibri" w:hAnsi="Cambria"/>
                <w:sz w:val="22"/>
                <w:szCs w:val="22"/>
                <w:lang w:val="it-IT"/>
              </w:rPr>
              <w:t>načini</w:t>
            </w:r>
            <w:proofErr w:type="spellEnd"/>
            <w:r w:rsidRPr="003F7241">
              <w:rPr>
                <w:rFonts w:ascii="Cambria" w:eastAsia="Calibri" w:hAnsi="Cambria"/>
                <w:sz w:val="22"/>
                <w:szCs w:val="22"/>
                <w:lang w:val="it-IT"/>
              </w:rPr>
              <w:t xml:space="preserve"> </w:t>
            </w:r>
            <w:proofErr w:type="spellStart"/>
            <w:r w:rsidRPr="003F7241">
              <w:rPr>
                <w:rFonts w:ascii="Cambria" w:eastAsia="Calibri" w:hAnsi="Cambria"/>
                <w:sz w:val="22"/>
                <w:szCs w:val="22"/>
                <w:lang w:val="it-IT"/>
              </w:rPr>
              <w:t>vrednovanja</w:t>
            </w:r>
            <w:proofErr w:type="spellEnd"/>
          </w:p>
        </w:tc>
        <w:tc>
          <w:tcPr>
            <w:tcW w:w="249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D07BB21" w14:textId="77777777" w:rsidR="001421C4" w:rsidRPr="003F7241" w:rsidRDefault="001421C4" w:rsidP="00450B7A">
            <w:pPr>
              <w:rPr>
                <w:rFonts w:ascii="Cambria" w:eastAsia="Calibri" w:hAnsi="Cambria"/>
                <w:sz w:val="22"/>
                <w:szCs w:val="22"/>
              </w:rPr>
            </w:pPr>
            <w:proofErr w:type="spellStart"/>
            <w:r w:rsidRPr="003F7241">
              <w:rPr>
                <w:rFonts w:ascii="Cambria" w:eastAsia="Calibri" w:hAnsi="Cambria"/>
                <w:bCs/>
                <w:sz w:val="22"/>
                <w:szCs w:val="22"/>
              </w:rPr>
              <w:t>Obveze</w:t>
            </w:r>
            <w:proofErr w:type="spellEnd"/>
            <w:r w:rsidRPr="003F7241">
              <w:rPr>
                <w:rFonts w:ascii="Cambria" w:eastAsia="Calibri" w:hAnsi="Cambria"/>
                <w:bCs/>
                <w:sz w:val="22"/>
                <w:szCs w:val="22"/>
              </w:rPr>
              <w:t xml:space="preserve"> </w:t>
            </w:r>
          </w:p>
        </w:tc>
        <w:tc>
          <w:tcPr>
            <w:tcW w:w="10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CA29FA1" w14:textId="77777777" w:rsidR="001421C4" w:rsidRPr="003F7241" w:rsidRDefault="001421C4" w:rsidP="00450B7A">
            <w:pPr>
              <w:rPr>
                <w:rFonts w:ascii="Cambria" w:eastAsia="Calibri" w:hAnsi="Cambria"/>
                <w:sz w:val="22"/>
                <w:szCs w:val="22"/>
              </w:rPr>
            </w:pPr>
            <w:proofErr w:type="spellStart"/>
            <w:r w:rsidRPr="003F7241">
              <w:rPr>
                <w:rFonts w:ascii="Cambria" w:eastAsia="Calibri" w:hAnsi="Cambria"/>
                <w:bCs/>
                <w:sz w:val="22"/>
                <w:szCs w:val="22"/>
              </w:rPr>
              <w:t>Ishodi</w:t>
            </w:r>
            <w:proofErr w:type="spellEnd"/>
          </w:p>
        </w:tc>
        <w:tc>
          <w:tcPr>
            <w:tcW w:w="69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D2B7A2" w14:textId="77777777" w:rsidR="001421C4" w:rsidRPr="003F7241" w:rsidRDefault="001421C4" w:rsidP="00450B7A">
            <w:pPr>
              <w:rPr>
                <w:rFonts w:ascii="Cambria" w:eastAsia="Calibri" w:hAnsi="Cambria"/>
                <w:sz w:val="22"/>
                <w:szCs w:val="22"/>
              </w:rPr>
            </w:pPr>
            <w:r w:rsidRPr="003F7241">
              <w:rPr>
                <w:rFonts w:ascii="Cambria" w:eastAsia="Calibri" w:hAnsi="Cambria"/>
                <w:bCs/>
                <w:sz w:val="22"/>
                <w:szCs w:val="22"/>
              </w:rPr>
              <w:t>Sati</w:t>
            </w:r>
          </w:p>
        </w:tc>
        <w:tc>
          <w:tcPr>
            <w:tcW w:w="9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FDB9B05" w14:textId="77777777" w:rsidR="001421C4" w:rsidRPr="003F7241" w:rsidRDefault="001421C4" w:rsidP="00450B7A">
            <w:pPr>
              <w:jc w:val="center"/>
              <w:rPr>
                <w:rFonts w:ascii="Cambria" w:eastAsia="Calibri" w:hAnsi="Cambria"/>
                <w:sz w:val="22"/>
                <w:szCs w:val="22"/>
              </w:rPr>
            </w:pPr>
            <w:r w:rsidRPr="003F7241">
              <w:rPr>
                <w:rFonts w:ascii="Cambria" w:eastAsia="Calibri" w:hAnsi="Cambria"/>
                <w:bCs/>
                <w:sz w:val="22"/>
                <w:szCs w:val="22"/>
              </w:rPr>
              <w:t>ECTS</w:t>
            </w:r>
          </w:p>
        </w:tc>
        <w:tc>
          <w:tcPr>
            <w:tcW w:w="20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D6C823" w14:textId="77777777" w:rsidR="001421C4" w:rsidRPr="003F7241" w:rsidRDefault="001421C4" w:rsidP="00450B7A">
            <w:pPr>
              <w:rPr>
                <w:rFonts w:ascii="Cambria" w:eastAsia="Calibri" w:hAnsi="Cambria"/>
                <w:sz w:val="22"/>
                <w:szCs w:val="22"/>
              </w:rPr>
            </w:pPr>
            <w:proofErr w:type="spellStart"/>
            <w:r w:rsidRPr="003F7241">
              <w:rPr>
                <w:rFonts w:ascii="Cambria" w:eastAsia="Calibri" w:hAnsi="Cambria"/>
                <w:bCs/>
                <w:sz w:val="22"/>
                <w:szCs w:val="22"/>
              </w:rPr>
              <w:t>Maksimalni</w:t>
            </w:r>
            <w:proofErr w:type="spellEnd"/>
            <w:r w:rsidRPr="003F7241">
              <w:rPr>
                <w:rFonts w:ascii="Cambria" w:eastAsia="Calibri" w:hAnsi="Cambria"/>
                <w:bCs/>
                <w:sz w:val="22"/>
                <w:szCs w:val="22"/>
              </w:rPr>
              <w:t xml:space="preserve"> </w:t>
            </w:r>
            <w:proofErr w:type="spellStart"/>
            <w:r w:rsidRPr="003F7241">
              <w:rPr>
                <w:rFonts w:ascii="Cambria" w:eastAsia="Calibri" w:hAnsi="Cambria"/>
                <w:bCs/>
                <w:sz w:val="22"/>
                <w:szCs w:val="22"/>
              </w:rPr>
              <w:t>udio</w:t>
            </w:r>
            <w:proofErr w:type="spellEnd"/>
            <w:r w:rsidRPr="003F7241">
              <w:rPr>
                <w:rFonts w:ascii="Cambria" w:eastAsia="Calibri" w:hAnsi="Cambria"/>
                <w:bCs/>
                <w:sz w:val="22"/>
                <w:szCs w:val="22"/>
              </w:rPr>
              <w:t xml:space="preserve"> u </w:t>
            </w:r>
            <w:proofErr w:type="spellStart"/>
            <w:r w:rsidRPr="003F7241">
              <w:rPr>
                <w:rFonts w:ascii="Cambria" w:eastAsia="Calibri" w:hAnsi="Cambria"/>
                <w:bCs/>
                <w:sz w:val="22"/>
                <w:szCs w:val="22"/>
              </w:rPr>
              <w:t>ocjeni</w:t>
            </w:r>
            <w:proofErr w:type="spellEnd"/>
            <w:r w:rsidRPr="003F7241">
              <w:rPr>
                <w:rFonts w:ascii="Cambria" w:eastAsia="Calibri" w:hAnsi="Cambria"/>
                <w:bCs/>
                <w:sz w:val="22"/>
                <w:szCs w:val="22"/>
              </w:rPr>
              <w:t xml:space="preserve"> (%)</w:t>
            </w:r>
          </w:p>
        </w:tc>
      </w:tr>
      <w:tr w:rsidR="001421C4" w:rsidRPr="003F7241" w14:paraId="3C6B41D3" w14:textId="77777777" w:rsidTr="00B36357">
        <w:tc>
          <w:tcPr>
            <w:tcW w:w="2535"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84DBC3C" w14:textId="77777777" w:rsidR="001421C4" w:rsidRPr="003F7241" w:rsidRDefault="001421C4" w:rsidP="00450B7A">
            <w:pPr>
              <w:rPr>
                <w:rFonts w:ascii="Cambria" w:eastAsia="Calibri" w:hAnsi="Cambria"/>
                <w:sz w:val="22"/>
                <w:szCs w:val="22"/>
              </w:rPr>
            </w:pPr>
          </w:p>
        </w:tc>
        <w:tc>
          <w:tcPr>
            <w:tcW w:w="2490"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293B0EE2" w14:textId="77777777" w:rsidR="001421C4" w:rsidRPr="003F7241" w:rsidRDefault="001421C4" w:rsidP="00450B7A">
            <w:pPr>
              <w:rPr>
                <w:rFonts w:ascii="Cambria" w:eastAsia="Calibri" w:hAnsi="Cambria"/>
                <w:sz w:val="22"/>
                <w:szCs w:val="22"/>
              </w:rPr>
            </w:pPr>
            <w:proofErr w:type="spellStart"/>
            <w:r w:rsidRPr="003F7241">
              <w:rPr>
                <w:rFonts w:ascii="Cambria" w:eastAsia="Calibri" w:hAnsi="Cambria"/>
                <w:sz w:val="22"/>
                <w:szCs w:val="22"/>
              </w:rPr>
              <w:t>pohađanje</w:t>
            </w:r>
            <w:proofErr w:type="spellEnd"/>
            <w:r w:rsidRPr="003F7241">
              <w:rPr>
                <w:rFonts w:ascii="Cambria" w:eastAsia="Calibri" w:hAnsi="Cambria"/>
                <w:sz w:val="22"/>
                <w:szCs w:val="22"/>
              </w:rPr>
              <w:t xml:space="preserve"> P, V (</w:t>
            </w:r>
            <w:proofErr w:type="spellStart"/>
            <w:r w:rsidRPr="003F7241">
              <w:rPr>
                <w:rFonts w:ascii="Cambria" w:eastAsia="Calibri" w:hAnsi="Cambria"/>
                <w:sz w:val="22"/>
                <w:szCs w:val="22"/>
              </w:rPr>
              <w:t>dvorana</w:t>
            </w:r>
            <w:proofErr w:type="spellEnd"/>
            <w:r w:rsidRPr="003F7241">
              <w:rPr>
                <w:rFonts w:ascii="Cambria" w:eastAsia="Calibri" w:hAnsi="Cambria"/>
                <w:sz w:val="22"/>
                <w:szCs w:val="22"/>
              </w:rPr>
              <w:t>), S</w:t>
            </w:r>
          </w:p>
        </w:tc>
        <w:tc>
          <w:tcPr>
            <w:tcW w:w="10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9B6B9B5" w14:textId="77777777" w:rsidR="001421C4" w:rsidRPr="003F7241" w:rsidRDefault="001421C4" w:rsidP="00450B7A">
            <w:pPr>
              <w:jc w:val="center"/>
              <w:rPr>
                <w:rFonts w:ascii="Cambria" w:eastAsia="Calibri" w:hAnsi="Cambria"/>
                <w:sz w:val="22"/>
                <w:szCs w:val="22"/>
              </w:rPr>
            </w:pPr>
            <w:r w:rsidRPr="003F7241">
              <w:rPr>
                <w:rFonts w:ascii="Cambria" w:eastAsia="Calibri" w:hAnsi="Cambria"/>
                <w:sz w:val="22"/>
                <w:szCs w:val="22"/>
              </w:rPr>
              <w:t xml:space="preserve">1. – 4. </w:t>
            </w:r>
          </w:p>
        </w:tc>
        <w:tc>
          <w:tcPr>
            <w:tcW w:w="69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1FF4B24" w14:textId="77777777" w:rsidR="001421C4" w:rsidRPr="003F7241" w:rsidRDefault="001421C4" w:rsidP="00450B7A">
            <w:pPr>
              <w:jc w:val="center"/>
              <w:rPr>
                <w:rFonts w:ascii="Cambria" w:eastAsia="Calibri" w:hAnsi="Cambria"/>
                <w:sz w:val="22"/>
                <w:szCs w:val="22"/>
              </w:rPr>
            </w:pPr>
            <w:r w:rsidRPr="003F7241">
              <w:rPr>
                <w:rFonts w:ascii="Cambria" w:eastAsia="Calibri" w:hAnsi="Cambria"/>
                <w:sz w:val="22"/>
                <w:szCs w:val="22"/>
              </w:rPr>
              <w:t>17</w:t>
            </w:r>
          </w:p>
        </w:tc>
        <w:tc>
          <w:tcPr>
            <w:tcW w:w="9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9F27D9E" w14:textId="77777777" w:rsidR="001421C4" w:rsidRPr="003F7241" w:rsidRDefault="001421C4" w:rsidP="00450B7A">
            <w:pPr>
              <w:jc w:val="center"/>
              <w:rPr>
                <w:rFonts w:ascii="Cambria" w:eastAsia="Calibri" w:hAnsi="Cambria"/>
                <w:sz w:val="22"/>
                <w:szCs w:val="22"/>
              </w:rPr>
            </w:pPr>
            <w:r w:rsidRPr="003F7241">
              <w:rPr>
                <w:rFonts w:ascii="Cambria" w:eastAsia="Calibri" w:hAnsi="Cambria"/>
                <w:sz w:val="22"/>
                <w:szCs w:val="22"/>
              </w:rPr>
              <w:t>0,6</w:t>
            </w:r>
          </w:p>
        </w:tc>
        <w:tc>
          <w:tcPr>
            <w:tcW w:w="20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6C9F28F" w14:textId="77777777" w:rsidR="001421C4" w:rsidRPr="003F7241" w:rsidRDefault="001421C4" w:rsidP="00450B7A">
            <w:pPr>
              <w:jc w:val="center"/>
              <w:rPr>
                <w:rFonts w:ascii="Cambria" w:eastAsia="Calibri" w:hAnsi="Cambria"/>
                <w:sz w:val="22"/>
                <w:szCs w:val="22"/>
              </w:rPr>
            </w:pPr>
            <w:r w:rsidRPr="003F7241">
              <w:rPr>
                <w:rFonts w:ascii="Cambria" w:eastAsia="Calibri" w:hAnsi="Cambria"/>
                <w:sz w:val="22"/>
                <w:szCs w:val="22"/>
              </w:rPr>
              <w:t>10%</w:t>
            </w:r>
          </w:p>
        </w:tc>
      </w:tr>
      <w:tr w:rsidR="001421C4" w:rsidRPr="003F7241" w14:paraId="38D4BA75" w14:textId="77777777" w:rsidTr="00B36357">
        <w:tc>
          <w:tcPr>
            <w:tcW w:w="2535"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9C90873" w14:textId="77777777" w:rsidR="001421C4" w:rsidRPr="003F7241" w:rsidRDefault="001421C4" w:rsidP="00450B7A">
            <w:pPr>
              <w:rPr>
                <w:rFonts w:ascii="Cambria" w:eastAsia="Calibri" w:hAnsi="Cambria"/>
                <w:sz w:val="22"/>
                <w:szCs w:val="22"/>
              </w:rPr>
            </w:pPr>
          </w:p>
        </w:tc>
        <w:tc>
          <w:tcPr>
            <w:tcW w:w="2490"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30562AF3" w14:textId="77777777" w:rsidR="001421C4" w:rsidRPr="003F7241" w:rsidRDefault="001421C4" w:rsidP="00450B7A">
            <w:pPr>
              <w:rPr>
                <w:rFonts w:ascii="Cambria" w:eastAsia="Calibri" w:hAnsi="Cambria"/>
                <w:sz w:val="22"/>
                <w:szCs w:val="22"/>
              </w:rPr>
            </w:pPr>
            <w:proofErr w:type="spellStart"/>
            <w:r w:rsidRPr="003F7241">
              <w:rPr>
                <w:rFonts w:ascii="Cambria" w:eastAsia="Calibri" w:hAnsi="Cambria"/>
                <w:sz w:val="22"/>
                <w:szCs w:val="22"/>
              </w:rPr>
              <w:t>seminarski</w:t>
            </w:r>
            <w:proofErr w:type="spellEnd"/>
            <w:r w:rsidRPr="003F7241">
              <w:rPr>
                <w:rFonts w:ascii="Cambria" w:eastAsia="Calibri" w:hAnsi="Cambria"/>
                <w:sz w:val="22"/>
                <w:szCs w:val="22"/>
              </w:rPr>
              <w:t xml:space="preserve"> rad</w:t>
            </w:r>
          </w:p>
        </w:tc>
        <w:tc>
          <w:tcPr>
            <w:tcW w:w="106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4BA79D3" w14:textId="77777777" w:rsidR="001421C4" w:rsidRPr="003F7241" w:rsidRDefault="001421C4" w:rsidP="00450B7A">
            <w:pPr>
              <w:jc w:val="center"/>
              <w:rPr>
                <w:rFonts w:ascii="Cambria" w:eastAsia="Calibri" w:hAnsi="Cambria"/>
                <w:sz w:val="22"/>
                <w:szCs w:val="22"/>
              </w:rPr>
            </w:pPr>
            <w:r w:rsidRPr="003F7241">
              <w:rPr>
                <w:rFonts w:ascii="Cambria" w:eastAsia="Calibri" w:hAnsi="Cambria"/>
                <w:sz w:val="22"/>
                <w:szCs w:val="22"/>
              </w:rPr>
              <w:t>4.</w:t>
            </w:r>
          </w:p>
        </w:tc>
        <w:tc>
          <w:tcPr>
            <w:tcW w:w="69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0E093C8" w14:textId="77777777" w:rsidR="001421C4" w:rsidRPr="003F7241" w:rsidRDefault="001421C4" w:rsidP="00450B7A">
            <w:pPr>
              <w:jc w:val="center"/>
              <w:rPr>
                <w:rFonts w:ascii="Cambria" w:eastAsia="Calibri" w:hAnsi="Cambria"/>
                <w:sz w:val="22"/>
                <w:szCs w:val="22"/>
              </w:rPr>
            </w:pPr>
            <w:r w:rsidRPr="003F7241">
              <w:rPr>
                <w:rFonts w:ascii="Cambria" w:eastAsia="Calibri" w:hAnsi="Cambria"/>
                <w:sz w:val="22"/>
                <w:szCs w:val="22"/>
              </w:rPr>
              <w:t>28</w:t>
            </w:r>
          </w:p>
        </w:tc>
        <w:tc>
          <w:tcPr>
            <w:tcW w:w="9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2922A83" w14:textId="77777777" w:rsidR="001421C4" w:rsidRPr="003F7241" w:rsidRDefault="001421C4" w:rsidP="00450B7A">
            <w:pPr>
              <w:jc w:val="center"/>
              <w:rPr>
                <w:rFonts w:ascii="Cambria" w:eastAsia="Calibri" w:hAnsi="Cambria"/>
                <w:sz w:val="22"/>
                <w:szCs w:val="22"/>
              </w:rPr>
            </w:pPr>
            <w:r w:rsidRPr="003F7241">
              <w:rPr>
                <w:rFonts w:ascii="Cambria" w:eastAsia="Calibri" w:hAnsi="Cambria"/>
                <w:sz w:val="22"/>
                <w:szCs w:val="22"/>
              </w:rPr>
              <w:t>0,9</w:t>
            </w:r>
          </w:p>
        </w:tc>
        <w:tc>
          <w:tcPr>
            <w:tcW w:w="20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75A8AD" w14:textId="77777777" w:rsidR="001421C4" w:rsidRPr="003F7241" w:rsidRDefault="001421C4" w:rsidP="00450B7A">
            <w:pPr>
              <w:jc w:val="center"/>
              <w:rPr>
                <w:rFonts w:ascii="Cambria" w:eastAsia="Calibri" w:hAnsi="Cambria"/>
                <w:sz w:val="22"/>
                <w:szCs w:val="22"/>
              </w:rPr>
            </w:pPr>
            <w:r w:rsidRPr="003F7241">
              <w:rPr>
                <w:rFonts w:ascii="Cambria" w:eastAsia="Calibri" w:hAnsi="Cambria"/>
                <w:sz w:val="22"/>
                <w:szCs w:val="22"/>
              </w:rPr>
              <w:t>10%</w:t>
            </w:r>
          </w:p>
        </w:tc>
      </w:tr>
      <w:tr w:rsidR="001421C4" w:rsidRPr="003F7241" w14:paraId="0CA5109C" w14:textId="77777777" w:rsidTr="00B36357">
        <w:tc>
          <w:tcPr>
            <w:tcW w:w="2535"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401EA87" w14:textId="77777777" w:rsidR="001421C4" w:rsidRPr="003F7241" w:rsidRDefault="001421C4" w:rsidP="00450B7A">
            <w:pPr>
              <w:rPr>
                <w:rFonts w:ascii="Cambria" w:eastAsia="Calibri" w:hAnsi="Cambria"/>
                <w:sz w:val="22"/>
                <w:szCs w:val="22"/>
              </w:rPr>
            </w:pPr>
          </w:p>
        </w:tc>
        <w:tc>
          <w:tcPr>
            <w:tcW w:w="2490"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688F1695" w14:textId="77777777" w:rsidR="001421C4" w:rsidRPr="003F7241" w:rsidRDefault="001421C4" w:rsidP="00450B7A">
            <w:pPr>
              <w:rPr>
                <w:rFonts w:ascii="Cambria" w:eastAsia="Calibri" w:hAnsi="Cambria"/>
                <w:sz w:val="22"/>
                <w:szCs w:val="22"/>
              </w:rPr>
            </w:pPr>
            <w:proofErr w:type="spellStart"/>
            <w:r w:rsidRPr="003F7241">
              <w:rPr>
                <w:rFonts w:ascii="Cambria" w:eastAsia="Calibri" w:hAnsi="Cambria"/>
                <w:sz w:val="22"/>
                <w:szCs w:val="22"/>
              </w:rPr>
              <w:t>ispit</w:t>
            </w:r>
            <w:proofErr w:type="spellEnd"/>
            <w:r w:rsidRPr="003F7241">
              <w:rPr>
                <w:rFonts w:ascii="Cambria" w:eastAsia="Calibri" w:hAnsi="Cambria"/>
                <w:sz w:val="22"/>
                <w:szCs w:val="22"/>
              </w:rPr>
              <w:t xml:space="preserve"> (</w:t>
            </w:r>
            <w:proofErr w:type="spellStart"/>
            <w:r w:rsidRPr="003F7241">
              <w:rPr>
                <w:rFonts w:ascii="Cambria" w:eastAsia="Calibri" w:hAnsi="Cambria"/>
                <w:sz w:val="22"/>
                <w:szCs w:val="22"/>
              </w:rPr>
              <w:t>usmeni</w:t>
            </w:r>
            <w:proofErr w:type="spellEnd"/>
            <w:r w:rsidRPr="003F7241">
              <w:rPr>
                <w:rFonts w:ascii="Cambria" w:eastAsia="Calibri" w:hAnsi="Cambria"/>
                <w:sz w:val="22"/>
                <w:szCs w:val="22"/>
              </w:rPr>
              <w:t>)</w:t>
            </w:r>
          </w:p>
        </w:tc>
        <w:tc>
          <w:tcPr>
            <w:tcW w:w="106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4622E4A" w14:textId="77777777" w:rsidR="001421C4" w:rsidRPr="003F7241" w:rsidRDefault="001421C4" w:rsidP="00450B7A">
            <w:pPr>
              <w:jc w:val="center"/>
              <w:rPr>
                <w:rFonts w:ascii="Cambria" w:eastAsia="Calibri" w:hAnsi="Cambria"/>
                <w:sz w:val="22"/>
                <w:szCs w:val="22"/>
              </w:rPr>
            </w:pPr>
            <w:r w:rsidRPr="003F7241">
              <w:rPr>
                <w:rFonts w:ascii="Cambria" w:eastAsia="Calibri" w:hAnsi="Cambria"/>
                <w:sz w:val="22"/>
                <w:szCs w:val="22"/>
              </w:rPr>
              <w:t>1. – 4.</w:t>
            </w:r>
          </w:p>
        </w:tc>
        <w:tc>
          <w:tcPr>
            <w:tcW w:w="69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596B6C1" w14:textId="77777777" w:rsidR="001421C4" w:rsidRPr="003F7241" w:rsidRDefault="001421C4" w:rsidP="00450B7A">
            <w:pPr>
              <w:jc w:val="center"/>
              <w:rPr>
                <w:rFonts w:ascii="Cambria" w:eastAsia="Calibri" w:hAnsi="Cambria"/>
                <w:sz w:val="22"/>
                <w:szCs w:val="22"/>
              </w:rPr>
            </w:pPr>
            <w:r w:rsidRPr="003F7241">
              <w:rPr>
                <w:rFonts w:ascii="Cambria" w:eastAsia="Calibri" w:hAnsi="Cambria"/>
                <w:sz w:val="22"/>
                <w:szCs w:val="22"/>
              </w:rPr>
              <w:t>45</w:t>
            </w:r>
          </w:p>
        </w:tc>
        <w:tc>
          <w:tcPr>
            <w:tcW w:w="9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1EDFD35" w14:textId="77777777" w:rsidR="001421C4" w:rsidRPr="003F7241" w:rsidRDefault="001421C4" w:rsidP="00450B7A">
            <w:pPr>
              <w:jc w:val="center"/>
              <w:rPr>
                <w:rFonts w:ascii="Cambria" w:eastAsia="Calibri" w:hAnsi="Cambria"/>
                <w:sz w:val="22"/>
                <w:szCs w:val="22"/>
              </w:rPr>
            </w:pPr>
            <w:r w:rsidRPr="003F7241">
              <w:rPr>
                <w:rFonts w:ascii="Cambria" w:eastAsia="Calibri" w:hAnsi="Cambria"/>
                <w:sz w:val="22"/>
                <w:szCs w:val="22"/>
              </w:rPr>
              <w:t>1,5</w:t>
            </w:r>
          </w:p>
        </w:tc>
        <w:tc>
          <w:tcPr>
            <w:tcW w:w="20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2178DBA" w14:textId="77777777" w:rsidR="001421C4" w:rsidRPr="003F7241" w:rsidRDefault="001421C4" w:rsidP="00450B7A">
            <w:pPr>
              <w:jc w:val="center"/>
              <w:rPr>
                <w:rFonts w:ascii="Cambria" w:eastAsia="Calibri" w:hAnsi="Cambria"/>
                <w:sz w:val="22"/>
                <w:szCs w:val="22"/>
              </w:rPr>
            </w:pPr>
            <w:r w:rsidRPr="003F7241">
              <w:rPr>
                <w:rFonts w:ascii="Cambria" w:eastAsia="Calibri" w:hAnsi="Cambria"/>
                <w:sz w:val="22"/>
                <w:szCs w:val="22"/>
              </w:rPr>
              <w:t>80%</w:t>
            </w:r>
          </w:p>
        </w:tc>
      </w:tr>
      <w:tr w:rsidR="001421C4" w:rsidRPr="003F7241" w14:paraId="5BE8088F" w14:textId="77777777" w:rsidTr="00B36357">
        <w:tc>
          <w:tcPr>
            <w:tcW w:w="2535"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37AE3D9" w14:textId="77777777" w:rsidR="001421C4" w:rsidRPr="003F7241" w:rsidRDefault="001421C4" w:rsidP="00450B7A">
            <w:pPr>
              <w:rPr>
                <w:rFonts w:ascii="Cambria" w:eastAsia="Calibri" w:hAnsi="Cambria"/>
                <w:sz w:val="22"/>
                <w:szCs w:val="22"/>
              </w:rPr>
            </w:pPr>
          </w:p>
        </w:tc>
        <w:tc>
          <w:tcPr>
            <w:tcW w:w="3555"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0C83D7FF" w14:textId="77777777" w:rsidR="001421C4" w:rsidRPr="003F7241" w:rsidRDefault="001421C4" w:rsidP="00450B7A">
            <w:pPr>
              <w:rPr>
                <w:rFonts w:ascii="Cambria" w:eastAsia="Calibri" w:hAnsi="Cambria"/>
                <w:sz w:val="22"/>
                <w:szCs w:val="22"/>
              </w:rPr>
            </w:pPr>
            <w:proofErr w:type="spellStart"/>
            <w:r w:rsidRPr="003F7241">
              <w:rPr>
                <w:rFonts w:ascii="Cambria" w:eastAsia="Calibri" w:hAnsi="Cambria"/>
                <w:sz w:val="22"/>
                <w:szCs w:val="22"/>
              </w:rPr>
              <w:t>ukupno</w:t>
            </w:r>
            <w:proofErr w:type="spellEnd"/>
          </w:p>
        </w:tc>
        <w:tc>
          <w:tcPr>
            <w:tcW w:w="69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9021526" w14:textId="77777777" w:rsidR="001421C4" w:rsidRPr="003F7241" w:rsidRDefault="001421C4" w:rsidP="00450B7A">
            <w:pPr>
              <w:jc w:val="center"/>
              <w:rPr>
                <w:rFonts w:ascii="Cambria" w:eastAsia="Calibri" w:hAnsi="Cambria"/>
                <w:sz w:val="22"/>
                <w:szCs w:val="22"/>
              </w:rPr>
            </w:pPr>
            <w:r w:rsidRPr="003F7241">
              <w:rPr>
                <w:rFonts w:ascii="Cambria" w:eastAsia="Calibri" w:hAnsi="Cambria"/>
                <w:sz w:val="22"/>
                <w:szCs w:val="22"/>
              </w:rPr>
              <w:t>90</w:t>
            </w:r>
          </w:p>
        </w:tc>
        <w:tc>
          <w:tcPr>
            <w:tcW w:w="9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FF21F89" w14:textId="77777777" w:rsidR="001421C4" w:rsidRPr="003F7241" w:rsidRDefault="001421C4" w:rsidP="00450B7A">
            <w:pPr>
              <w:jc w:val="center"/>
              <w:rPr>
                <w:rFonts w:ascii="Cambria" w:eastAsia="Calibri" w:hAnsi="Cambria"/>
                <w:sz w:val="22"/>
                <w:szCs w:val="22"/>
              </w:rPr>
            </w:pPr>
            <w:r w:rsidRPr="003F7241">
              <w:rPr>
                <w:rFonts w:ascii="Cambria" w:eastAsia="Calibri" w:hAnsi="Cambria"/>
                <w:sz w:val="22"/>
                <w:szCs w:val="22"/>
              </w:rPr>
              <w:t>3</w:t>
            </w:r>
          </w:p>
        </w:tc>
        <w:tc>
          <w:tcPr>
            <w:tcW w:w="20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6B07E3F" w14:textId="77777777" w:rsidR="001421C4" w:rsidRPr="003F7241" w:rsidRDefault="001421C4" w:rsidP="00450B7A">
            <w:pPr>
              <w:jc w:val="center"/>
              <w:rPr>
                <w:rFonts w:ascii="Cambria" w:eastAsia="Calibri" w:hAnsi="Cambria"/>
                <w:sz w:val="22"/>
                <w:szCs w:val="22"/>
              </w:rPr>
            </w:pPr>
            <w:r w:rsidRPr="003F7241">
              <w:rPr>
                <w:rFonts w:ascii="Cambria" w:eastAsia="Calibri" w:hAnsi="Cambria"/>
                <w:sz w:val="22"/>
                <w:szCs w:val="22"/>
              </w:rPr>
              <w:t>100%</w:t>
            </w:r>
          </w:p>
        </w:tc>
      </w:tr>
      <w:tr w:rsidR="001421C4" w:rsidRPr="00D0399C" w14:paraId="7E443992" w14:textId="77777777" w:rsidTr="00B36357">
        <w:tc>
          <w:tcPr>
            <w:tcW w:w="2535"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F9D2F56" w14:textId="77777777" w:rsidR="001421C4" w:rsidRPr="003F7241" w:rsidRDefault="001421C4" w:rsidP="00450B7A">
            <w:pPr>
              <w:rPr>
                <w:rFonts w:ascii="Cambria" w:eastAsia="Calibri" w:hAnsi="Cambria"/>
                <w:sz w:val="22"/>
                <w:szCs w:val="22"/>
              </w:rPr>
            </w:pPr>
          </w:p>
        </w:tc>
        <w:tc>
          <w:tcPr>
            <w:tcW w:w="7241" w:type="dxa"/>
            <w:gridSpan w:val="7"/>
            <w:tcBorders>
              <w:top w:val="single" w:sz="4" w:space="0" w:color="auto"/>
              <w:left w:val="single" w:sz="4" w:space="0" w:color="auto"/>
              <w:bottom w:val="single" w:sz="4" w:space="0" w:color="auto"/>
              <w:right w:val="single" w:sz="4" w:space="0" w:color="auto"/>
            </w:tcBorders>
            <w:shd w:val="clear" w:color="auto" w:fill="FFFFFF" w:themeFill="background1"/>
            <w:hideMark/>
          </w:tcPr>
          <w:p w14:paraId="7C2DEAD4" w14:textId="77777777" w:rsidR="001421C4" w:rsidRPr="003F7241" w:rsidRDefault="001421C4" w:rsidP="00450B7A">
            <w:pPr>
              <w:jc w:val="both"/>
              <w:rPr>
                <w:rFonts w:ascii="Cambria" w:eastAsia="Calibri" w:hAnsi="Cambria"/>
                <w:sz w:val="22"/>
                <w:szCs w:val="22"/>
              </w:rPr>
            </w:pPr>
            <w:proofErr w:type="spellStart"/>
            <w:r w:rsidRPr="003F7241">
              <w:rPr>
                <w:rFonts w:ascii="Cambria" w:eastAsia="Calibri" w:hAnsi="Cambria"/>
                <w:sz w:val="22"/>
                <w:szCs w:val="22"/>
              </w:rPr>
              <w:t>Dodatna</w:t>
            </w:r>
            <w:proofErr w:type="spellEnd"/>
            <w:r w:rsidRPr="003F7241">
              <w:rPr>
                <w:rFonts w:ascii="Cambria" w:eastAsia="Calibri" w:hAnsi="Cambria"/>
                <w:sz w:val="22"/>
                <w:szCs w:val="22"/>
              </w:rPr>
              <w:t xml:space="preserve"> </w:t>
            </w:r>
            <w:proofErr w:type="spellStart"/>
            <w:r w:rsidRPr="003F7241">
              <w:rPr>
                <w:rFonts w:ascii="Cambria" w:eastAsia="Calibri" w:hAnsi="Cambria"/>
                <w:sz w:val="22"/>
                <w:szCs w:val="22"/>
              </w:rPr>
              <w:t>pojašnjenja</w:t>
            </w:r>
            <w:proofErr w:type="spellEnd"/>
            <w:r w:rsidRPr="003F7241">
              <w:rPr>
                <w:rFonts w:ascii="Cambria" w:eastAsia="Calibri" w:hAnsi="Cambria"/>
                <w:sz w:val="22"/>
                <w:szCs w:val="22"/>
              </w:rPr>
              <w:t xml:space="preserve"> (</w:t>
            </w:r>
            <w:proofErr w:type="spellStart"/>
            <w:r w:rsidRPr="003F7241">
              <w:rPr>
                <w:rFonts w:ascii="Cambria" w:eastAsia="Calibri" w:hAnsi="Cambria"/>
                <w:sz w:val="22"/>
                <w:szCs w:val="22"/>
              </w:rPr>
              <w:t>kriteriji</w:t>
            </w:r>
            <w:proofErr w:type="spellEnd"/>
            <w:r w:rsidRPr="003F7241">
              <w:rPr>
                <w:rFonts w:ascii="Cambria" w:eastAsia="Calibri" w:hAnsi="Cambria"/>
                <w:sz w:val="22"/>
                <w:szCs w:val="22"/>
              </w:rPr>
              <w:t xml:space="preserve"> </w:t>
            </w:r>
            <w:proofErr w:type="spellStart"/>
            <w:r w:rsidRPr="003F7241">
              <w:rPr>
                <w:rFonts w:ascii="Cambria" w:eastAsia="Calibri" w:hAnsi="Cambria"/>
                <w:sz w:val="22"/>
                <w:szCs w:val="22"/>
              </w:rPr>
              <w:t>ocjenjivanja</w:t>
            </w:r>
            <w:proofErr w:type="spellEnd"/>
            <w:r w:rsidRPr="003F7241">
              <w:rPr>
                <w:rFonts w:ascii="Cambria" w:eastAsia="Calibri" w:hAnsi="Cambria"/>
                <w:sz w:val="22"/>
                <w:szCs w:val="22"/>
              </w:rPr>
              <w:t>):</w:t>
            </w:r>
          </w:p>
          <w:p w14:paraId="0896B923" w14:textId="77777777" w:rsidR="001421C4" w:rsidRPr="003F7241" w:rsidRDefault="001421C4" w:rsidP="00450B7A">
            <w:pPr>
              <w:jc w:val="both"/>
              <w:rPr>
                <w:rFonts w:ascii="Cambria" w:hAnsi="Cambria" w:cs="Arial"/>
                <w:sz w:val="22"/>
                <w:szCs w:val="22"/>
              </w:rPr>
            </w:pPr>
            <w:proofErr w:type="spellStart"/>
            <w:r w:rsidRPr="003F7241">
              <w:rPr>
                <w:rFonts w:ascii="Cambria" w:hAnsi="Cambria" w:cs="Arial"/>
                <w:sz w:val="22"/>
                <w:szCs w:val="22"/>
              </w:rPr>
              <w:t>Seminarski</w:t>
            </w:r>
            <w:proofErr w:type="spellEnd"/>
            <w:r w:rsidRPr="003F7241">
              <w:rPr>
                <w:rFonts w:ascii="Cambria" w:hAnsi="Cambria" w:cs="Arial"/>
                <w:sz w:val="22"/>
                <w:szCs w:val="22"/>
              </w:rPr>
              <w:t xml:space="preserve"> rad </w:t>
            </w:r>
            <w:proofErr w:type="spellStart"/>
            <w:r w:rsidRPr="003F7241">
              <w:rPr>
                <w:rFonts w:ascii="Cambria" w:hAnsi="Cambria" w:cs="Arial"/>
                <w:sz w:val="22"/>
                <w:szCs w:val="22"/>
              </w:rPr>
              <w:t>ocjenjuje</w:t>
            </w:r>
            <w:proofErr w:type="spellEnd"/>
            <w:r w:rsidRPr="003F7241">
              <w:rPr>
                <w:rFonts w:ascii="Cambria" w:hAnsi="Cambria" w:cs="Arial"/>
                <w:sz w:val="22"/>
                <w:szCs w:val="22"/>
              </w:rPr>
              <w:t xml:space="preserve"> se </w:t>
            </w:r>
            <w:proofErr w:type="spellStart"/>
            <w:r w:rsidRPr="003F7241">
              <w:rPr>
                <w:rFonts w:ascii="Cambria" w:hAnsi="Cambria" w:cs="Arial"/>
                <w:sz w:val="22"/>
                <w:szCs w:val="22"/>
              </w:rPr>
              <w:t>na</w:t>
            </w:r>
            <w:proofErr w:type="spellEnd"/>
            <w:r w:rsidRPr="003F7241">
              <w:rPr>
                <w:rFonts w:ascii="Cambria" w:hAnsi="Cambria" w:cs="Arial"/>
                <w:sz w:val="22"/>
                <w:szCs w:val="22"/>
              </w:rPr>
              <w:t xml:space="preserve"> </w:t>
            </w:r>
            <w:proofErr w:type="spellStart"/>
            <w:r w:rsidRPr="003F7241">
              <w:rPr>
                <w:rFonts w:ascii="Cambria" w:hAnsi="Cambria" w:cs="Arial"/>
                <w:sz w:val="22"/>
                <w:szCs w:val="22"/>
              </w:rPr>
              <w:t>slijedeći</w:t>
            </w:r>
            <w:proofErr w:type="spellEnd"/>
            <w:r w:rsidRPr="003F7241">
              <w:rPr>
                <w:rFonts w:ascii="Cambria" w:hAnsi="Cambria" w:cs="Arial"/>
                <w:sz w:val="22"/>
                <w:szCs w:val="22"/>
              </w:rPr>
              <w:t xml:space="preserve"> </w:t>
            </w:r>
            <w:proofErr w:type="spellStart"/>
            <w:r w:rsidRPr="003F7241">
              <w:rPr>
                <w:rFonts w:ascii="Cambria" w:hAnsi="Cambria" w:cs="Arial"/>
                <w:sz w:val="22"/>
                <w:szCs w:val="22"/>
              </w:rPr>
              <w:t>način</w:t>
            </w:r>
            <w:proofErr w:type="spellEnd"/>
            <w:r w:rsidRPr="003F7241">
              <w:rPr>
                <w:rFonts w:ascii="Cambria" w:hAnsi="Cambria" w:cs="Arial"/>
                <w:sz w:val="22"/>
                <w:szCs w:val="22"/>
              </w:rPr>
              <w:t>:</w:t>
            </w:r>
          </w:p>
          <w:p w14:paraId="19491968" w14:textId="77777777" w:rsidR="001421C4" w:rsidRPr="003F7241" w:rsidRDefault="001421C4" w:rsidP="00450B7A">
            <w:pPr>
              <w:jc w:val="both"/>
              <w:rPr>
                <w:rFonts w:ascii="Cambria" w:hAnsi="Cambria" w:cs="Arial"/>
                <w:sz w:val="22"/>
                <w:szCs w:val="22"/>
                <w:lang w:val="it-IT"/>
              </w:rPr>
            </w:pPr>
            <w:r w:rsidRPr="003F7241">
              <w:rPr>
                <w:rFonts w:ascii="Cambria" w:hAnsi="Cambria" w:cs="Arial"/>
                <w:sz w:val="22"/>
                <w:szCs w:val="22"/>
                <w:lang w:val="it-IT"/>
              </w:rPr>
              <w:t xml:space="preserve">0% = </w:t>
            </w:r>
            <w:proofErr w:type="spellStart"/>
            <w:r w:rsidRPr="003F7241">
              <w:rPr>
                <w:rFonts w:ascii="Cambria" w:hAnsi="Cambria" w:cs="Arial"/>
                <w:sz w:val="22"/>
                <w:szCs w:val="22"/>
                <w:lang w:val="it-IT"/>
              </w:rPr>
              <w:t>Seminarski</w:t>
            </w:r>
            <w:proofErr w:type="spellEnd"/>
            <w:r w:rsidRPr="003F7241">
              <w:rPr>
                <w:rFonts w:ascii="Cambria" w:hAnsi="Cambria" w:cs="Arial"/>
                <w:sz w:val="22"/>
                <w:szCs w:val="22"/>
                <w:lang w:val="it-IT"/>
              </w:rPr>
              <w:t xml:space="preserve"> rad </w:t>
            </w:r>
            <w:proofErr w:type="spellStart"/>
            <w:r w:rsidRPr="003F7241">
              <w:rPr>
                <w:rFonts w:ascii="Cambria" w:hAnsi="Cambria" w:cs="Arial"/>
                <w:sz w:val="22"/>
                <w:szCs w:val="22"/>
                <w:lang w:val="it-IT"/>
              </w:rPr>
              <w:t>nije</w:t>
            </w:r>
            <w:proofErr w:type="spellEnd"/>
            <w:r w:rsidRPr="003F7241">
              <w:rPr>
                <w:rFonts w:ascii="Cambria" w:hAnsi="Cambria" w:cs="Arial"/>
                <w:sz w:val="22"/>
                <w:szCs w:val="22"/>
                <w:lang w:val="it-IT"/>
              </w:rPr>
              <w:t xml:space="preserve"> </w:t>
            </w:r>
            <w:proofErr w:type="spellStart"/>
            <w:r w:rsidRPr="003F7241">
              <w:rPr>
                <w:rFonts w:ascii="Cambria" w:hAnsi="Cambria" w:cs="Arial"/>
                <w:sz w:val="22"/>
                <w:szCs w:val="22"/>
                <w:lang w:val="it-IT"/>
              </w:rPr>
              <w:t>napisan</w:t>
            </w:r>
            <w:proofErr w:type="spellEnd"/>
            <w:r w:rsidRPr="003F7241">
              <w:rPr>
                <w:rFonts w:ascii="Cambria" w:hAnsi="Cambria" w:cs="Arial"/>
                <w:sz w:val="22"/>
                <w:szCs w:val="22"/>
                <w:lang w:val="it-IT"/>
              </w:rPr>
              <w:t xml:space="preserve"> i </w:t>
            </w:r>
            <w:proofErr w:type="spellStart"/>
            <w:r w:rsidRPr="003F7241">
              <w:rPr>
                <w:rFonts w:ascii="Cambria" w:hAnsi="Cambria" w:cs="Arial"/>
                <w:sz w:val="22"/>
                <w:szCs w:val="22"/>
                <w:lang w:val="it-IT"/>
              </w:rPr>
              <w:t>izložen</w:t>
            </w:r>
            <w:proofErr w:type="spellEnd"/>
            <w:r w:rsidRPr="003F7241">
              <w:rPr>
                <w:rFonts w:ascii="Cambria" w:hAnsi="Cambria" w:cs="Arial"/>
                <w:sz w:val="22"/>
                <w:szCs w:val="22"/>
                <w:lang w:val="it-IT"/>
              </w:rPr>
              <w:t>.</w:t>
            </w:r>
          </w:p>
          <w:p w14:paraId="24606C45" w14:textId="77777777" w:rsidR="001421C4" w:rsidRPr="003F7241" w:rsidRDefault="001421C4" w:rsidP="00450B7A">
            <w:pPr>
              <w:jc w:val="both"/>
              <w:rPr>
                <w:rFonts w:ascii="Cambria" w:hAnsi="Cambria" w:cs="Arial"/>
                <w:sz w:val="22"/>
                <w:szCs w:val="22"/>
                <w:lang w:val="it-IT"/>
              </w:rPr>
            </w:pPr>
            <w:r w:rsidRPr="003F7241">
              <w:rPr>
                <w:rFonts w:ascii="Cambria" w:hAnsi="Cambria" w:cs="Arial"/>
                <w:sz w:val="22"/>
                <w:szCs w:val="22"/>
                <w:lang w:val="it-IT"/>
              </w:rPr>
              <w:t xml:space="preserve">2% = </w:t>
            </w:r>
            <w:proofErr w:type="spellStart"/>
            <w:r w:rsidRPr="003F7241">
              <w:rPr>
                <w:rFonts w:ascii="Cambria" w:hAnsi="Cambria" w:cs="Arial"/>
                <w:sz w:val="22"/>
                <w:szCs w:val="22"/>
                <w:lang w:val="it-IT"/>
              </w:rPr>
              <w:t>Seminarski</w:t>
            </w:r>
            <w:proofErr w:type="spellEnd"/>
            <w:r w:rsidRPr="003F7241">
              <w:rPr>
                <w:rFonts w:ascii="Cambria" w:hAnsi="Cambria" w:cs="Arial"/>
                <w:sz w:val="22"/>
                <w:szCs w:val="22"/>
                <w:lang w:val="it-IT"/>
              </w:rPr>
              <w:t xml:space="preserve"> rad </w:t>
            </w:r>
            <w:proofErr w:type="spellStart"/>
            <w:r w:rsidRPr="003F7241">
              <w:rPr>
                <w:rFonts w:ascii="Cambria" w:hAnsi="Cambria" w:cs="Arial"/>
                <w:sz w:val="22"/>
                <w:szCs w:val="22"/>
                <w:lang w:val="it-IT"/>
              </w:rPr>
              <w:t>nije</w:t>
            </w:r>
            <w:proofErr w:type="spellEnd"/>
            <w:r w:rsidRPr="003F7241">
              <w:rPr>
                <w:rFonts w:ascii="Cambria" w:hAnsi="Cambria" w:cs="Arial"/>
                <w:sz w:val="22"/>
                <w:szCs w:val="22"/>
                <w:lang w:val="it-IT"/>
              </w:rPr>
              <w:t xml:space="preserve"> </w:t>
            </w:r>
            <w:proofErr w:type="spellStart"/>
            <w:r w:rsidRPr="003F7241">
              <w:rPr>
                <w:rFonts w:ascii="Cambria" w:hAnsi="Cambria" w:cs="Arial"/>
                <w:sz w:val="22"/>
                <w:szCs w:val="22"/>
                <w:lang w:val="it-IT"/>
              </w:rPr>
              <w:t>napisan</w:t>
            </w:r>
            <w:proofErr w:type="spellEnd"/>
            <w:r w:rsidRPr="003F7241">
              <w:rPr>
                <w:rFonts w:ascii="Cambria" w:hAnsi="Cambria" w:cs="Arial"/>
                <w:sz w:val="22"/>
                <w:szCs w:val="22"/>
                <w:lang w:val="it-IT"/>
              </w:rPr>
              <w:t xml:space="preserve">, ali je </w:t>
            </w:r>
            <w:proofErr w:type="spellStart"/>
            <w:r w:rsidRPr="003F7241">
              <w:rPr>
                <w:rFonts w:ascii="Cambria" w:hAnsi="Cambria" w:cs="Arial"/>
                <w:sz w:val="22"/>
                <w:szCs w:val="22"/>
                <w:lang w:val="it-IT"/>
              </w:rPr>
              <w:t>izložen</w:t>
            </w:r>
            <w:proofErr w:type="spellEnd"/>
            <w:r w:rsidRPr="003F7241">
              <w:rPr>
                <w:rFonts w:ascii="Cambria" w:hAnsi="Cambria" w:cs="Arial"/>
                <w:sz w:val="22"/>
                <w:szCs w:val="22"/>
                <w:lang w:val="it-IT"/>
              </w:rPr>
              <w:t xml:space="preserve"> </w:t>
            </w:r>
            <w:proofErr w:type="spellStart"/>
            <w:r w:rsidRPr="003F7241">
              <w:rPr>
                <w:rFonts w:ascii="Cambria" w:hAnsi="Cambria" w:cs="Arial"/>
                <w:sz w:val="22"/>
                <w:szCs w:val="22"/>
                <w:lang w:val="it-IT"/>
              </w:rPr>
              <w:t>uz</w:t>
            </w:r>
            <w:proofErr w:type="spellEnd"/>
            <w:r w:rsidRPr="003F7241">
              <w:rPr>
                <w:rFonts w:ascii="Cambria" w:hAnsi="Cambria" w:cs="Arial"/>
                <w:sz w:val="22"/>
                <w:szCs w:val="22"/>
                <w:lang w:val="it-IT"/>
              </w:rPr>
              <w:t xml:space="preserve"> </w:t>
            </w:r>
            <w:proofErr w:type="spellStart"/>
            <w:r w:rsidRPr="003F7241">
              <w:rPr>
                <w:rFonts w:ascii="Cambria" w:hAnsi="Cambria" w:cs="Arial"/>
                <w:sz w:val="22"/>
                <w:szCs w:val="22"/>
                <w:lang w:val="it-IT"/>
              </w:rPr>
              <w:t>veće</w:t>
            </w:r>
            <w:proofErr w:type="spellEnd"/>
            <w:r w:rsidRPr="003F7241">
              <w:rPr>
                <w:rFonts w:ascii="Cambria" w:hAnsi="Cambria" w:cs="Arial"/>
                <w:sz w:val="22"/>
                <w:szCs w:val="22"/>
                <w:lang w:val="it-IT"/>
              </w:rPr>
              <w:t xml:space="preserve"> </w:t>
            </w:r>
            <w:proofErr w:type="spellStart"/>
            <w:r w:rsidRPr="003F7241">
              <w:rPr>
                <w:rFonts w:ascii="Cambria" w:hAnsi="Cambria" w:cs="Arial"/>
                <w:sz w:val="22"/>
                <w:szCs w:val="22"/>
                <w:lang w:val="it-IT"/>
              </w:rPr>
              <w:t>nedostatke</w:t>
            </w:r>
            <w:proofErr w:type="spellEnd"/>
            <w:r w:rsidRPr="003F7241">
              <w:rPr>
                <w:rFonts w:ascii="Cambria" w:hAnsi="Cambria" w:cs="Arial"/>
                <w:sz w:val="22"/>
                <w:szCs w:val="22"/>
                <w:lang w:val="it-IT"/>
              </w:rPr>
              <w:t>.</w:t>
            </w:r>
          </w:p>
          <w:p w14:paraId="22266377" w14:textId="77777777" w:rsidR="001421C4" w:rsidRPr="003F7241" w:rsidRDefault="001421C4" w:rsidP="00450B7A">
            <w:pPr>
              <w:jc w:val="both"/>
              <w:rPr>
                <w:rFonts w:ascii="Cambria" w:hAnsi="Cambria" w:cs="Arial"/>
                <w:sz w:val="22"/>
                <w:szCs w:val="22"/>
                <w:lang w:val="it-IT"/>
              </w:rPr>
            </w:pPr>
            <w:r w:rsidRPr="003F7241">
              <w:rPr>
                <w:rFonts w:ascii="Cambria" w:hAnsi="Cambria" w:cs="Arial"/>
                <w:sz w:val="22"/>
                <w:szCs w:val="22"/>
                <w:lang w:val="it-IT"/>
              </w:rPr>
              <w:t xml:space="preserve">4% = </w:t>
            </w:r>
            <w:proofErr w:type="spellStart"/>
            <w:r w:rsidRPr="003F7241">
              <w:rPr>
                <w:rFonts w:ascii="Cambria" w:hAnsi="Cambria" w:cs="Arial"/>
                <w:sz w:val="22"/>
                <w:szCs w:val="22"/>
                <w:lang w:val="it-IT"/>
              </w:rPr>
              <w:t>Seminarski</w:t>
            </w:r>
            <w:proofErr w:type="spellEnd"/>
            <w:r w:rsidRPr="003F7241">
              <w:rPr>
                <w:rFonts w:ascii="Cambria" w:hAnsi="Cambria" w:cs="Arial"/>
                <w:sz w:val="22"/>
                <w:szCs w:val="22"/>
                <w:lang w:val="it-IT"/>
              </w:rPr>
              <w:t xml:space="preserve"> je rad </w:t>
            </w:r>
            <w:proofErr w:type="spellStart"/>
            <w:r w:rsidRPr="003F7241">
              <w:rPr>
                <w:rFonts w:ascii="Cambria" w:hAnsi="Cambria" w:cs="Arial"/>
                <w:sz w:val="22"/>
                <w:szCs w:val="22"/>
                <w:lang w:val="it-IT"/>
              </w:rPr>
              <w:t>napisan</w:t>
            </w:r>
            <w:proofErr w:type="spellEnd"/>
            <w:r w:rsidRPr="003F7241">
              <w:rPr>
                <w:rFonts w:ascii="Cambria" w:hAnsi="Cambria" w:cs="Arial"/>
                <w:sz w:val="22"/>
                <w:szCs w:val="22"/>
                <w:lang w:val="it-IT"/>
              </w:rPr>
              <w:t xml:space="preserve"> </w:t>
            </w:r>
            <w:proofErr w:type="spellStart"/>
            <w:r w:rsidRPr="003F7241">
              <w:rPr>
                <w:rFonts w:ascii="Cambria" w:hAnsi="Cambria" w:cs="Arial"/>
                <w:sz w:val="22"/>
                <w:szCs w:val="22"/>
                <w:lang w:val="it-IT"/>
              </w:rPr>
              <w:t>uz</w:t>
            </w:r>
            <w:proofErr w:type="spellEnd"/>
            <w:r w:rsidRPr="003F7241">
              <w:rPr>
                <w:rFonts w:ascii="Cambria" w:hAnsi="Cambria" w:cs="Arial"/>
                <w:sz w:val="22"/>
                <w:szCs w:val="22"/>
                <w:lang w:val="it-IT"/>
              </w:rPr>
              <w:t xml:space="preserve"> </w:t>
            </w:r>
            <w:proofErr w:type="spellStart"/>
            <w:r w:rsidRPr="003F7241">
              <w:rPr>
                <w:rFonts w:ascii="Cambria" w:hAnsi="Cambria" w:cs="Arial"/>
                <w:sz w:val="22"/>
                <w:szCs w:val="22"/>
                <w:lang w:val="it-IT"/>
              </w:rPr>
              <w:t>veće</w:t>
            </w:r>
            <w:proofErr w:type="spellEnd"/>
            <w:r w:rsidRPr="003F7241">
              <w:rPr>
                <w:rFonts w:ascii="Cambria" w:hAnsi="Cambria" w:cs="Arial"/>
                <w:sz w:val="22"/>
                <w:szCs w:val="22"/>
                <w:lang w:val="it-IT"/>
              </w:rPr>
              <w:t xml:space="preserve"> </w:t>
            </w:r>
            <w:proofErr w:type="spellStart"/>
            <w:r w:rsidRPr="003F7241">
              <w:rPr>
                <w:rFonts w:ascii="Cambria" w:hAnsi="Cambria" w:cs="Arial"/>
                <w:sz w:val="22"/>
                <w:szCs w:val="22"/>
                <w:lang w:val="it-IT"/>
              </w:rPr>
              <w:t>nedostatke</w:t>
            </w:r>
            <w:proofErr w:type="spellEnd"/>
            <w:r w:rsidRPr="003F7241">
              <w:rPr>
                <w:rFonts w:ascii="Cambria" w:hAnsi="Cambria" w:cs="Arial"/>
                <w:sz w:val="22"/>
                <w:szCs w:val="22"/>
                <w:lang w:val="it-IT"/>
              </w:rPr>
              <w:t xml:space="preserve"> i </w:t>
            </w:r>
            <w:proofErr w:type="spellStart"/>
            <w:r w:rsidRPr="003F7241">
              <w:rPr>
                <w:rFonts w:ascii="Cambria" w:hAnsi="Cambria" w:cs="Arial"/>
                <w:sz w:val="22"/>
                <w:szCs w:val="22"/>
                <w:lang w:val="it-IT"/>
              </w:rPr>
              <w:t>izložen</w:t>
            </w:r>
            <w:proofErr w:type="spellEnd"/>
            <w:r w:rsidRPr="003F7241">
              <w:rPr>
                <w:rFonts w:ascii="Cambria" w:hAnsi="Cambria" w:cs="Arial"/>
                <w:sz w:val="22"/>
                <w:szCs w:val="22"/>
                <w:lang w:val="it-IT"/>
              </w:rPr>
              <w:t xml:space="preserve"> </w:t>
            </w:r>
            <w:proofErr w:type="spellStart"/>
            <w:r w:rsidRPr="003F7241">
              <w:rPr>
                <w:rFonts w:ascii="Cambria" w:hAnsi="Cambria" w:cs="Arial"/>
                <w:sz w:val="22"/>
                <w:szCs w:val="22"/>
                <w:lang w:val="it-IT"/>
              </w:rPr>
              <w:t>uz</w:t>
            </w:r>
            <w:proofErr w:type="spellEnd"/>
            <w:r w:rsidRPr="003F7241">
              <w:rPr>
                <w:rFonts w:ascii="Cambria" w:hAnsi="Cambria" w:cs="Arial"/>
                <w:sz w:val="22"/>
                <w:szCs w:val="22"/>
                <w:lang w:val="it-IT"/>
              </w:rPr>
              <w:t xml:space="preserve"> </w:t>
            </w:r>
            <w:proofErr w:type="spellStart"/>
            <w:r w:rsidRPr="003F7241">
              <w:rPr>
                <w:rFonts w:ascii="Cambria" w:hAnsi="Cambria" w:cs="Arial"/>
                <w:sz w:val="22"/>
                <w:szCs w:val="22"/>
                <w:lang w:val="it-IT"/>
              </w:rPr>
              <w:t>veće</w:t>
            </w:r>
            <w:proofErr w:type="spellEnd"/>
            <w:r w:rsidRPr="003F7241">
              <w:rPr>
                <w:rFonts w:ascii="Cambria" w:hAnsi="Cambria" w:cs="Arial"/>
                <w:sz w:val="22"/>
                <w:szCs w:val="22"/>
                <w:lang w:val="it-IT"/>
              </w:rPr>
              <w:t xml:space="preserve"> </w:t>
            </w:r>
            <w:proofErr w:type="spellStart"/>
            <w:r w:rsidRPr="003F7241">
              <w:rPr>
                <w:rFonts w:ascii="Cambria" w:hAnsi="Cambria" w:cs="Arial"/>
                <w:sz w:val="22"/>
                <w:szCs w:val="22"/>
                <w:lang w:val="it-IT"/>
              </w:rPr>
              <w:t>nedostatke</w:t>
            </w:r>
            <w:proofErr w:type="spellEnd"/>
            <w:r w:rsidRPr="003F7241">
              <w:rPr>
                <w:rFonts w:ascii="Cambria" w:hAnsi="Cambria" w:cs="Arial"/>
                <w:sz w:val="22"/>
                <w:szCs w:val="22"/>
                <w:lang w:val="it-IT"/>
              </w:rPr>
              <w:t>.</w:t>
            </w:r>
          </w:p>
          <w:p w14:paraId="35C2A240" w14:textId="77777777" w:rsidR="001421C4" w:rsidRPr="003F7241" w:rsidRDefault="001421C4" w:rsidP="00450B7A">
            <w:pPr>
              <w:jc w:val="both"/>
              <w:rPr>
                <w:rFonts w:ascii="Cambria" w:hAnsi="Cambria" w:cs="Arial"/>
                <w:sz w:val="22"/>
                <w:szCs w:val="22"/>
                <w:lang w:val="it-IT"/>
              </w:rPr>
            </w:pPr>
            <w:r w:rsidRPr="003F7241">
              <w:rPr>
                <w:rFonts w:ascii="Cambria" w:hAnsi="Cambria" w:cs="Arial"/>
                <w:sz w:val="22"/>
                <w:szCs w:val="22"/>
                <w:lang w:val="it-IT"/>
              </w:rPr>
              <w:t xml:space="preserve">6% = </w:t>
            </w:r>
            <w:proofErr w:type="spellStart"/>
            <w:r w:rsidRPr="003F7241">
              <w:rPr>
                <w:rFonts w:ascii="Cambria" w:hAnsi="Cambria" w:cs="Arial"/>
                <w:sz w:val="22"/>
                <w:szCs w:val="22"/>
                <w:lang w:val="it-IT"/>
              </w:rPr>
              <w:t>Seminarski</w:t>
            </w:r>
            <w:proofErr w:type="spellEnd"/>
            <w:r w:rsidRPr="003F7241">
              <w:rPr>
                <w:rFonts w:ascii="Cambria" w:hAnsi="Cambria" w:cs="Arial"/>
                <w:sz w:val="22"/>
                <w:szCs w:val="22"/>
                <w:lang w:val="it-IT"/>
              </w:rPr>
              <w:t xml:space="preserve"> je rad </w:t>
            </w:r>
            <w:proofErr w:type="spellStart"/>
            <w:r w:rsidRPr="003F7241">
              <w:rPr>
                <w:rFonts w:ascii="Cambria" w:hAnsi="Cambria" w:cs="Arial"/>
                <w:sz w:val="22"/>
                <w:szCs w:val="22"/>
                <w:lang w:val="it-IT"/>
              </w:rPr>
              <w:t>izrađen</w:t>
            </w:r>
            <w:proofErr w:type="spellEnd"/>
            <w:r w:rsidRPr="003F7241">
              <w:rPr>
                <w:rFonts w:ascii="Cambria" w:hAnsi="Cambria" w:cs="Arial"/>
                <w:sz w:val="22"/>
                <w:szCs w:val="22"/>
                <w:lang w:val="it-IT"/>
              </w:rPr>
              <w:t xml:space="preserve"> </w:t>
            </w:r>
            <w:proofErr w:type="spellStart"/>
            <w:r w:rsidRPr="003F7241">
              <w:rPr>
                <w:rFonts w:ascii="Cambria" w:hAnsi="Cambria" w:cs="Arial"/>
                <w:sz w:val="22"/>
                <w:szCs w:val="22"/>
                <w:lang w:val="it-IT"/>
              </w:rPr>
              <w:t>uz</w:t>
            </w:r>
            <w:proofErr w:type="spellEnd"/>
            <w:r w:rsidRPr="003F7241">
              <w:rPr>
                <w:rFonts w:ascii="Cambria" w:hAnsi="Cambria" w:cs="Arial"/>
                <w:sz w:val="22"/>
                <w:szCs w:val="22"/>
                <w:lang w:val="it-IT"/>
              </w:rPr>
              <w:t xml:space="preserve"> </w:t>
            </w:r>
            <w:proofErr w:type="spellStart"/>
            <w:r w:rsidRPr="003F7241">
              <w:rPr>
                <w:rFonts w:ascii="Cambria" w:hAnsi="Cambria" w:cs="Arial"/>
                <w:sz w:val="22"/>
                <w:szCs w:val="22"/>
                <w:lang w:val="it-IT"/>
              </w:rPr>
              <w:t>veće</w:t>
            </w:r>
            <w:proofErr w:type="spellEnd"/>
            <w:r w:rsidRPr="003F7241">
              <w:rPr>
                <w:rFonts w:ascii="Cambria" w:hAnsi="Cambria" w:cs="Arial"/>
                <w:sz w:val="22"/>
                <w:szCs w:val="22"/>
                <w:lang w:val="it-IT"/>
              </w:rPr>
              <w:t xml:space="preserve"> </w:t>
            </w:r>
            <w:proofErr w:type="spellStart"/>
            <w:r w:rsidRPr="003F7241">
              <w:rPr>
                <w:rFonts w:ascii="Cambria" w:hAnsi="Cambria" w:cs="Arial"/>
                <w:sz w:val="22"/>
                <w:szCs w:val="22"/>
                <w:lang w:val="it-IT"/>
              </w:rPr>
              <w:t>nedostatke</w:t>
            </w:r>
            <w:proofErr w:type="spellEnd"/>
            <w:r w:rsidRPr="003F7241">
              <w:rPr>
                <w:rFonts w:ascii="Cambria" w:hAnsi="Cambria" w:cs="Arial"/>
                <w:sz w:val="22"/>
                <w:szCs w:val="22"/>
                <w:lang w:val="it-IT"/>
              </w:rPr>
              <w:t xml:space="preserve"> i </w:t>
            </w:r>
            <w:proofErr w:type="spellStart"/>
            <w:r w:rsidRPr="003F7241">
              <w:rPr>
                <w:rFonts w:ascii="Cambria" w:hAnsi="Cambria" w:cs="Arial"/>
                <w:sz w:val="22"/>
                <w:szCs w:val="22"/>
                <w:lang w:val="it-IT"/>
              </w:rPr>
              <w:t>izložen</w:t>
            </w:r>
            <w:proofErr w:type="spellEnd"/>
            <w:r w:rsidRPr="003F7241">
              <w:rPr>
                <w:rFonts w:ascii="Cambria" w:hAnsi="Cambria" w:cs="Arial"/>
                <w:sz w:val="22"/>
                <w:szCs w:val="22"/>
                <w:lang w:val="it-IT"/>
              </w:rPr>
              <w:t xml:space="preserve"> </w:t>
            </w:r>
            <w:proofErr w:type="spellStart"/>
            <w:r w:rsidRPr="003F7241">
              <w:rPr>
                <w:rFonts w:ascii="Cambria" w:hAnsi="Cambria" w:cs="Arial"/>
                <w:sz w:val="22"/>
                <w:szCs w:val="22"/>
                <w:lang w:val="it-IT"/>
              </w:rPr>
              <w:t>uz</w:t>
            </w:r>
            <w:proofErr w:type="spellEnd"/>
            <w:r w:rsidRPr="003F7241">
              <w:rPr>
                <w:rFonts w:ascii="Cambria" w:hAnsi="Cambria" w:cs="Arial"/>
                <w:sz w:val="22"/>
                <w:szCs w:val="22"/>
                <w:lang w:val="it-IT"/>
              </w:rPr>
              <w:t xml:space="preserve"> </w:t>
            </w:r>
            <w:proofErr w:type="spellStart"/>
            <w:r w:rsidRPr="003F7241">
              <w:rPr>
                <w:rFonts w:ascii="Cambria" w:hAnsi="Cambria" w:cs="Arial"/>
                <w:sz w:val="22"/>
                <w:szCs w:val="22"/>
                <w:lang w:val="it-IT"/>
              </w:rPr>
              <w:t>manje</w:t>
            </w:r>
            <w:proofErr w:type="spellEnd"/>
            <w:r w:rsidRPr="003F7241">
              <w:rPr>
                <w:rFonts w:ascii="Cambria" w:hAnsi="Cambria" w:cs="Arial"/>
                <w:sz w:val="22"/>
                <w:szCs w:val="22"/>
                <w:lang w:val="it-IT"/>
              </w:rPr>
              <w:t xml:space="preserve"> </w:t>
            </w:r>
            <w:proofErr w:type="spellStart"/>
            <w:r w:rsidRPr="003F7241">
              <w:rPr>
                <w:rFonts w:ascii="Cambria" w:hAnsi="Cambria" w:cs="Arial"/>
                <w:sz w:val="22"/>
                <w:szCs w:val="22"/>
                <w:lang w:val="it-IT"/>
              </w:rPr>
              <w:t>nedostatke</w:t>
            </w:r>
            <w:proofErr w:type="spellEnd"/>
            <w:r w:rsidRPr="003F7241">
              <w:rPr>
                <w:rFonts w:ascii="Cambria" w:hAnsi="Cambria" w:cs="Arial"/>
                <w:sz w:val="22"/>
                <w:szCs w:val="22"/>
                <w:lang w:val="it-IT"/>
              </w:rPr>
              <w:t>.</w:t>
            </w:r>
          </w:p>
          <w:p w14:paraId="06D738CF" w14:textId="77777777" w:rsidR="001421C4" w:rsidRPr="003F7241" w:rsidRDefault="001421C4" w:rsidP="00450B7A">
            <w:pPr>
              <w:jc w:val="both"/>
              <w:rPr>
                <w:rFonts w:ascii="Cambria" w:hAnsi="Cambria" w:cs="Arial"/>
                <w:sz w:val="22"/>
                <w:szCs w:val="22"/>
                <w:lang w:val="it-IT"/>
              </w:rPr>
            </w:pPr>
            <w:r w:rsidRPr="003F7241">
              <w:rPr>
                <w:rFonts w:ascii="Cambria" w:hAnsi="Cambria" w:cs="Arial"/>
                <w:sz w:val="22"/>
                <w:szCs w:val="22"/>
                <w:lang w:val="it-IT"/>
              </w:rPr>
              <w:t xml:space="preserve">8% = </w:t>
            </w:r>
            <w:proofErr w:type="spellStart"/>
            <w:r w:rsidRPr="003F7241">
              <w:rPr>
                <w:rFonts w:ascii="Cambria" w:hAnsi="Cambria" w:cs="Arial"/>
                <w:sz w:val="22"/>
                <w:szCs w:val="22"/>
                <w:lang w:val="it-IT"/>
              </w:rPr>
              <w:t>Seminarski</w:t>
            </w:r>
            <w:proofErr w:type="spellEnd"/>
            <w:r w:rsidRPr="003F7241">
              <w:rPr>
                <w:rFonts w:ascii="Cambria" w:hAnsi="Cambria" w:cs="Arial"/>
                <w:sz w:val="22"/>
                <w:szCs w:val="22"/>
                <w:lang w:val="it-IT"/>
              </w:rPr>
              <w:t xml:space="preserve"> je rad </w:t>
            </w:r>
            <w:proofErr w:type="spellStart"/>
            <w:r w:rsidRPr="003F7241">
              <w:rPr>
                <w:rFonts w:ascii="Cambria" w:hAnsi="Cambria" w:cs="Arial"/>
                <w:sz w:val="22"/>
                <w:szCs w:val="22"/>
                <w:lang w:val="it-IT"/>
              </w:rPr>
              <w:t>izrađen</w:t>
            </w:r>
            <w:proofErr w:type="spellEnd"/>
            <w:r w:rsidRPr="003F7241">
              <w:rPr>
                <w:rFonts w:ascii="Cambria" w:hAnsi="Cambria" w:cs="Arial"/>
                <w:sz w:val="22"/>
                <w:szCs w:val="22"/>
                <w:lang w:val="it-IT"/>
              </w:rPr>
              <w:t xml:space="preserve"> i </w:t>
            </w:r>
            <w:proofErr w:type="spellStart"/>
            <w:r w:rsidRPr="003F7241">
              <w:rPr>
                <w:rFonts w:ascii="Cambria" w:hAnsi="Cambria" w:cs="Arial"/>
                <w:sz w:val="22"/>
                <w:szCs w:val="22"/>
                <w:lang w:val="it-IT"/>
              </w:rPr>
              <w:t>izložen</w:t>
            </w:r>
            <w:proofErr w:type="spellEnd"/>
            <w:r w:rsidRPr="003F7241">
              <w:rPr>
                <w:rFonts w:ascii="Cambria" w:hAnsi="Cambria" w:cs="Arial"/>
                <w:sz w:val="22"/>
                <w:szCs w:val="22"/>
                <w:lang w:val="it-IT"/>
              </w:rPr>
              <w:t xml:space="preserve"> </w:t>
            </w:r>
            <w:proofErr w:type="spellStart"/>
            <w:r w:rsidRPr="003F7241">
              <w:rPr>
                <w:rFonts w:ascii="Cambria" w:hAnsi="Cambria" w:cs="Arial"/>
                <w:sz w:val="22"/>
                <w:szCs w:val="22"/>
                <w:lang w:val="it-IT"/>
              </w:rPr>
              <w:t>uz</w:t>
            </w:r>
            <w:proofErr w:type="spellEnd"/>
            <w:r w:rsidRPr="003F7241">
              <w:rPr>
                <w:rFonts w:ascii="Cambria" w:hAnsi="Cambria" w:cs="Arial"/>
                <w:sz w:val="22"/>
                <w:szCs w:val="22"/>
                <w:lang w:val="it-IT"/>
              </w:rPr>
              <w:t xml:space="preserve"> </w:t>
            </w:r>
            <w:proofErr w:type="spellStart"/>
            <w:r w:rsidRPr="003F7241">
              <w:rPr>
                <w:rFonts w:ascii="Cambria" w:hAnsi="Cambria" w:cs="Arial"/>
                <w:sz w:val="22"/>
                <w:szCs w:val="22"/>
                <w:lang w:val="it-IT"/>
              </w:rPr>
              <w:t>manje</w:t>
            </w:r>
            <w:proofErr w:type="spellEnd"/>
            <w:r w:rsidRPr="003F7241">
              <w:rPr>
                <w:rFonts w:ascii="Cambria" w:hAnsi="Cambria" w:cs="Arial"/>
                <w:sz w:val="22"/>
                <w:szCs w:val="22"/>
                <w:lang w:val="it-IT"/>
              </w:rPr>
              <w:t xml:space="preserve"> </w:t>
            </w:r>
            <w:proofErr w:type="spellStart"/>
            <w:r w:rsidRPr="003F7241">
              <w:rPr>
                <w:rFonts w:ascii="Cambria" w:hAnsi="Cambria" w:cs="Arial"/>
                <w:sz w:val="22"/>
                <w:szCs w:val="22"/>
                <w:lang w:val="it-IT"/>
              </w:rPr>
              <w:t>nedostatke</w:t>
            </w:r>
            <w:proofErr w:type="spellEnd"/>
            <w:r w:rsidRPr="003F7241">
              <w:rPr>
                <w:rFonts w:ascii="Cambria" w:hAnsi="Cambria" w:cs="Arial"/>
                <w:sz w:val="22"/>
                <w:szCs w:val="22"/>
                <w:lang w:val="it-IT"/>
              </w:rPr>
              <w:t>.</w:t>
            </w:r>
          </w:p>
          <w:p w14:paraId="09AB2296" w14:textId="77777777" w:rsidR="001421C4" w:rsidRPr="003F7241" w:rsidRDefault="001421C4" w:rsidP="00450B7A">
            <w:pPr>
              <w:jc w:val="both"/>
              <w:rPr>
                <w:rFonts w:ascii="Cambria" w:hAnsi="Cambria" w:cs="Arial"/>
                <w:sz w:val="22"/>
                <w:szCs w:val="22"/>
                <w:lang w:val="it-IT"/>
              </w:rPr>
            </w:pPr>
            <w:r w:rsidRPr="003F7241">
              <w:rPr>
                <w:rFonts w:ascii="Cambria" w:hAnsi="Cambria" w:cs="Arial"/>
                <w:sz w:val="22"/>
                <w:szCs w:val="22"/>
                <w:lang w:val="it-IT"/>
              </w:rPr>
              <w:t xml:space="preserve">10% = </w:t>
            </w:r>
            <w:proofErr w:type="spellStart"/>
            <w:r w:rsidRPr="003F7241">
              <w:rPr>
                <w:rFonts w:ascii="Cambria" w:hAnsi="Cambria" w:cs="Arial"/>
                <w:sz w:val="22"/>
                <w:szCs w:val="22"/>
                <w:lang w:val="it-IT"/>
              </w:rPr>
              <w:t>Vrlo</w:t>
            </w:r>
            <w:proofErr w:type="spellEnd"/>
            <w:r w:rsidRPr="003F7241">
              <w:rPr>
                <w:rFonts w:ascii="Cambria" w:hAnsi="Cambria" w:cs="Arial"/>
                <w:sz w:val="22"/>
                <w:szCs w:val="22"/>
                <w:lang w:val="it-IT"/>
              </w:rPr>
              <w:t xml:space="preserve"> </w:t>
            </w:r>
            <w:proofErr w:type="spellStart"/>
            <w:r w:rsidRPr="003F7241">
              <w:rPr>
                <w:rFonts w:ascii="Cambria" w:hAnsi="Cambria" w:cs="Arial"/>
                <w:sz w:val="22"/>
                <w:szCs w:val="22"/>
                <w:lang w:val="it-IT"/>
              </w:rPr>
              <w:t>kvalitetno</w:t>
            </w:r>
            <w:proofErr w:type="spellEnd"/>
            <w:r w:rsidRPr="003F7241">
              <w:rPr>
                <w:rFonts w:ascii="Cambria" w:hAnsi="Cambria" w:cs="Arial"/>
                <w:sz w:val="22"/>
                <w:szCs w:val="22"/>
                <w:lang w:val="it-IT"/>
              </w:rPr>
              <w:t xml:space="preserve"> </w:t>
            </w:r>
            <w:proofErr w:type="spellStart"/>
            <w:r w:rsidRPr="003F7241">
              <w:rPr>
                <w:rFonts w:ascii="Cambria" w:hAnsi="Cambria" w:cs="Arial"/>
                <w:sz w:val="22"/>
                <w:szCs w:val="22"/>
                <w:lang w:val="it-IT"/>
              </w:rPr>
              <w:t>izrađen</w:t>
            </w:r>
            <w:proofErr w:type="spellEnd"/>
            <w:r w:rsidRPr="003F7241">
              <w:rPr>
                <w:rFonts w:ascii="Cambria" w:hAnsi="Cambria" w:cs="Arial"/>
                <w:sz w:val="22"/>
                <w:szCs w:val="22"/>
                <w:lang w:val="it-IT"/>
              </w:rPr>
              <w:t xml:space="preserve"> i </w:t>
            </w:r>
            <w:proofErr w:type="spellStart"/>
            <w:r w:rsidRPr="003F7241">
              <w:rPr>
                <w:rFonts w:ascii="Cambria" w:hAnsi="Cambria" w:cs="Arial"/>
                <w:sz w:val="22"/>
                <w:szCs w:val="22"/>
                <w:lang w:val="it-IT"/>
              </w:rPr>
              <w:t>izložen</w:t>
            </w:r>
            <w:proofErr w:type="spellEnd"/>
            <w:r w:rsidRPr="003F7241">
              <w:rPr>
                <w:rFonts w:ascii="Cambria" w:hAnsi="Cambria" w:cs="Arial"/>
                <w:sz w:val="22"/>
                <w:szCs w:val="22"/>
                <w:lang w:val="it-IT"/>
              </w:rPr>
              <w:t xml:space="preserve"> </w:t>
            </w:r>
            <w:proofErr w:type="spellStart"/>
            <w:r w:rsidRPr="003F7241">
              <w:rPr>
                <w:rFonts w:ascii="Cambria" w:hAnsi="Cambria" w:cs="Arial"/>
                <w:sz w:val="22"/>
                <w:szCs w:val="22"/>
                <w:lang w:val="it-IT"/>
              </w:rPr>
              <w:t>seminarski</w:t>
            </w:r>
            <w:proofErr w:type="spellEnd"/>
            <w:r w:rsidRPr="003F7241">
              <w:rPr>
                <w:rFonts w:ascii="Cambria" w:hAnsi="Cambria" w:cs="Arial"/>
                <w:sz w:val="22"/>
                <w:szCs w:val="22"/>
                <w:lang w:val="it-IT"/>
              </w:rPr>
              <w:t xml:space="preserve"> rad.</w:t>
            </w:r>
          </w:p>
          <w:p w14:paraId="055A8F9D" w14:textId="77777777" w:rsidR="001421C4" w:rsidRPr="003F7241" w:rsidRDefault="001421C4" w:rsidP="00450B7A">
            <w:pPr>
              <w:jc w:val="both"/>
              <w:rPr>
                <w:rFonts w:ascii="Cambria" w:hAnsi="Cambria" w:cs="Arial"/>
                <w:sz w:val="22"/>
                <w:szCs w:val="22"/>
                <w:lang w:val="it-IT"/>
              </w:rPr>
            </w:pPr>
            <w:proofErr w:type="spellStart"/>
            <w:r w:rsidRPr="003F7241">
              <w:rPr>
                <w:rFonts w:ascii="Cambria" w:hAnsi="Cambria" w:cs="Arial"/>
                <w:sz w:val="22"/>
                <w:szCs w:val="22"/>
                <w:lang w:val="it-IT"/>
              </w:rPr>
              <w:lastRenderedPageBreak/>
              <w:t>Usmeni</w:t>
            </w:r>
            <w:proofErr w:type="spellEnd"/>
            <w:r w:rsidRPr="003F7241">
              <w:rPr>
                <w:rFonts w:ascii="Cambria" w:hAnsi="Cambria" w:cs="Arial"/>
                <w:sz w:val="22"/>
                <w:szCs w:val="22"/>
                <w:lang w:val="it-IT"/>
              </w:rPr>
              <w:t xml:space="preserve"> </w:t>
            </w:r>
            <w:proofErr w:type="spellStart"/>
            <w:r w:rsidRPr="003F7241">
              <w:rPr>
                <w:rFonts w:ascii="Cambria" w:hAnsi="Cambria" w:cs="Arial"/>
                <w:sz w:val="22"/>
                <w:szCs w:val="22"/>
                <w:lang w:val="it-IT"/>
              </w:rPr>
              <w:t>ispit</w:t>
            </w:r>
            <w:proofErr w:type="spellEnd"/>
            <w:r w:rsidRPr="003F7241">
              <w:rPr>
                <w:rFonts w:ascii="Cambria" w:hAnsi="Cambria" w:cs="Arial"/>
                <w:sz w:val="22"/>
                <w:szCs w:val="22"/>
                <w:lang w:val="it-IT"/>
              </w:rPr>
              <w:t xml:space="preserve"> je </w:t>
            </w:r>
            <w:proofErr w:type="spellStart"/>
            <w:r w:rsidRPr="003F7241">
              <w:rPr>
                <w:rFonts w:ascii="Cambria" w:hAnsi="Cambria" w:cs="Arial"/>
                <w:sz w:val="22"/>
                <w:szCs w:val="22"/>
                <w:lang w:val="it-IT"/>
              </w:rPr>
              <w:t>svojevrsna</w:t>
            </w:r>
            <w:proofErr w:type="spellEnd"/>
            <w:r w:rsidRPr="003F7241">
              <w:rPr>
                <w:rFonts w:ascii="Cambria" w:hAnsi="Cambria" w:cs="Arial"/>
                <w:sz w:val="22"/>
                <w:szCs w:val="22"/>
                <w:lang w:val="it-IT"/>
              </w:rPr>
              <w:t xml:space="preserve"> </w:t>
            </w:r>
            <w:proofErr w:type="spellStart"/>
            <w:r w:rsidRPr="003F7241">
              <w:rPr>
                <w:rFonts w:ascii="Cambria" w:hAnsi="Cambria" w:cs="Arial"/>
                <w:sz w:val="22"/>
                <w:szCs w:val="22"/>
                <w:lang w:val="it-IT"/>
              </w:rPr>
              <w:t>rekapitulacija</w:t>
            </w:r>
            <w:proofErr w:type="spellEnd"/>
            <w:r w:rsidRPr="003F7241">
              <w:rPr>
                <w:rFonts w:ascii="Cambria" w:hAnsi="Cambria" w:cs="Arial"/>
                <w:sz w:val="22"/>
                <w:szCs w:val="22"/>
                <w:lang w:val="it-IT"/>
              </w:rPr>
              <w:t xml:space="preserve"> </w:t>
            </w:r>
            <w:proofErr w:type="spellStart"/>
            <w:r w:rsidRPr="003F7241">
              <w:rPr>
                <w:rFonts w:ascii="Cambria" w:hAnsi="Cambria" w:cs="Arial"/>
                <w:sz w:val="22"/>
                <w:szCs w:val="22"/>
                <w:lang w:val="it-IT"/>
              </w:rPr>
              <w:t>svega</w:t>
            </w:r>
            <w:proofErr w:type="spellEnd"/>
            <w:r w:rsidRPr="003F7241">
              <w:rPr>
                <w:rFonts w:ascii="Cambria" w:hAnsi="Cambria" w:cs="Arial"/>
                <w:sz w:val="22"/>
                <w:szCs w:val="22"/>
                <w:lang w:val="it-IT"/>
              </w:rPr>
              <w:t xml:space="preserve"> </w:t>
            </w:r>
            <w:proofErr w:type="spellStart"/>
            <w:r w:rsidRPr="003F7241">
              <w:rPr>
                <w:rFonts w:ascii="Cambria" w:hAnsi="Cambria" w:cs="Arial"/>
                <w:sz w:val="22"/>
                <w:szCs w:val="22"/>
                <w:lang w:val="it-IT"/>
              </w:rPr>
              <w:t>naučenog</w:t>
            </w:r>
            <w:proofErr w:type="spellEnd"/>
            <w:r w:rsidRPr="003F7241">
              <w:rPr>
                <w:rFonts w:ascii="Cambria" w:hAnsi="Cambria" w:cs="Arial"/>
                <w:sz w:val="22"/>
                <w:szCs w:val="22"/>
                <w:lang w:val="it-IT"/>
              </w:rPr>
              <w:t xml:space="preserve"> </w:t>
            </w:r>
            <w:proofErr w:type="spellStart"/>
            <w:r w:rsidRPr="003F7241">
              <w:rPr>
                <w:rFonts w:ascii="Cambria" w:hAnsi="Cambria" w:cs="Arial"/>
                <w:sz w:val="22"/>
                <w:szCs w:val="22"/>
                <w:lang w:val="it-IT"/>
              </w:rPr>
              <w:t>tijekom</w:t>
            </w:r>
            <w:proofErr w:type="spellEnd"/>
            <w:r w:rsidRPr="003F7241">
              <w:rPr>
                <w:rFonts w:ascii="Cambria" w:hAnsi="Cambria" w:cs="Arial"/>
                <w:sz w:val="22"/>
                <w:szCs w:val="22"/>
                <w:lang w:val="it-IT"/>
              </w:rPr>
              <w:t xml:space="preserve"> </w:t>
            </w:r>
            <w:proofErr w:type="spellStart"/>
            <w:r w:rsidRPr="003F7241">
              <w:rPr>
                <w:rFonts w:ascii="Cambria" w:hAnsi="Cambria" w:cs="Arial"/>
                <w:sz w:val="22"/>
                <w:szCs w:val="22"/>
                <w:lang w:val="it-IT"/>
              </w:rPr>
              <w:t>semestra</w:t>
            </w:r>
            <w:proofErr w:type="spellEnd"/>
            <w:r w:rsidRPr="003F7241">
              <w:rPr>
                <w:rFonts w:ascii="Cambria" w:hAnsi="Cambria" w:cs="Arial"/>
                <w:sz w:val="22"/>
                <w:szCs w:val="22"/>
                <w:lang w:val="it-IT"/>
              </w:rPr>
              <w:t xml:space="preserve"> i </w:t>
            </w:r>
            <w:proofErr w:type="spellStart"/>
            <w:r w:rsidRPr="003F7241">
              <w:rPr>
                <w:rFonts w:ascii="Cambria" w:hAnsi="Cambria" w:cs="Arial"/>
                <w:sz w:val="22"/>
                <w:szCs w:val="22"/>
                <w:lang w:val="it-IT"/>
              </w:rPr>
              <w:t>odražava</w:t>
            </w:r>
            <w:proofErr w:type="spellEnd"/>
            <w:r w:rsidRPr="003F7241">
              <w:rPr>
                <w:rFonts w:ascii="Cambria" w:hAnsi="Cambria" w:cs="Arial"/>
                <w:sz w:val="22"/>
                <w:szCs w:val="22"/>
                <w:lang w:val="it-IT"/>
              </w:rPr>
              <w:t xml:space="preserve"> </w:t>
            </w:r>
            <w:proofErr w:type="spellStart"/>
            <w:r w:rsidRPr="003F7241">
              <w:rPr>
                <w:rFonts w:ascii="Cambria" w:hAnsi="Cambria" w:cs="Arial"/>
                <w:sz w:val="22"/>
                <w:szCs w:val="22"/>
                <w:lang w:val="it-IT"/>
              </w:rPr>
              <w:t>opću</w:t>
            </w:r>
            <w:proofErr w:type="spellEnd"/>
            <w:r w:rsidRPr="003F7241">
              <w:rPr>
                <w:rFonts w:ascii="Cambria" w:hAnsi="Cambria" w:cs="Arial"/>
                <w:sz w:val="22"/>
                <w:szCs w:val="22"/>
                <w:lang w:val="it-IT"/>
              </w:rPr>
              <w:t xml:space="preserve"> </w:t>
            </w:r>
            <w:proofErr w:type="spellStart"/>
            <w:r w:rsidRPr="003F7241">
              <w:rPr>
                <w:rFonts w:ascii="Cambria" w:hAnsi="Cambria" w:cs="Arial"/>
                <w:sz w:val="22"/>
                <w:szCs w:val="22"/>
                <w:lang w:val="it-IT"/>
              </w:rPr>
              <w:t>pripremljenost</w:t>
            </w:r>
            <w:proofErr w:type="spellEnd"/>
            <w:r w:rsidRPr="003F7241">
              <w:rPr>
                <w:rFonts w:ascii="Cambria" w:hAnsi="Cambria" w:cs="Arial"/>
                <w:sz w:val="22"/>
                <w:szCs w:val="22"/>
                <w:lang w:val="it-IT"/>
              </w:rPr>
              <w:t xml:space="preserve"> i </w:t>
            </w:r>
            <w:proofErr w:type="spellStart"/>
            <w:r w:rsidRPr="003F7241">
              <w:rPr>
                <w:rFonts w:ascii="Cambria" w:hAnsi="Cambria" w:cs="Arial"/>
                <w:sz w:val="22"/>
                <w:szCs w:val="22"/>
                <w:lang w:val="it-IT"/>
              </w:rPr>
              <w:t>spremnost</w:t>
            </w:r>
            <w:proofErr w:type="spellEnd"/>
            <w:r w:rsidRPr="003F7241">
              <w:rPr>
                <w:rFonts w:ascii="Cambria" w:hAnsi="Cambria" w:cs="Arial"/>
                <w:sz w:val="22"/>
                <w:szCs w:val="22"/>
                <w:lang w:val="it-IT"/>
              </w:rPr>
              <w:t xml:space="preserve"> za </w:t>
            </w:r>
            <w:proofErr w:type="spellStart"/>
            <w:r w:rsidRPr="003F7241">
              <w:rPr>
                <w:rFonts w:ascii="Cambria" w:hAnsi="Cambria" w:cs="Arial"/>
                <w:sz w:val="22"/>
                <w:szCs w:val="22"/>
                <w:lang w:val="it-IT"/>
              </w:rPr>
              <w:t>primjenu</w:t>
            </w:r>
            <w:proofErr w:type="spellEnd"/>
            <w:r w:rsidRPr="003F7241">
              <w:rPr>
                <w:rFonts w:ascii="Cambria" w:hAnsi="Cambria" w:cs="Arial"/>
                <w:sz w:val="22"/>
                <w:szCs w:val="22"/>
                <w:lang w:val="it-IT"/>
              </w:rPr>
              <w:t xml:space="preserve"> </w:t>
            </w:r>
            <w:proofErr w:type="spellStart"/>
            <w:r w:rsidRPr="003F7241">
              <w:rPr>
                <w:rFonts w:ascii="Cambria" w:hAnsi="Cambria" w:cs="Arial"/>
                <w:sz w:val="22"/>
                <w:szCs w:val="22"/>
                <w:lang w:val="it-IT"/>
              </w:rPr>
              <w:t>naučenih</w:t>
            </w:r>
            <w:proofErr w:type="spellEnd"/>
            <w:r w:rsidRPr="003F7241">
              <w:rPr>
                <w:rFonts w:ascii="Cambria" w:hAnsi="Cambria" w:cs="Arial"/>
                <w:sz w:val="22"/>
                <w:szCs w:val="22"/>
                <w:lang w:val="it-IT"/>
              </w:rPr>
              <w:t xml:space="preserve"> </w:t>
            </w:r>
            <w:proofErr w:type="spellStart"/>
            <w:r w:rsidRPr="003F7241">
              <w:rPr>
                <w:rFonts w:ascii="Cambria" w:hAnsi="Cambria" w:cs="Arial"/>
                <w:sz w:val="22"/>
                <w:szCs w:val="22"/>
                <w:lang w:val="it-IT"/>
              </w:rPr>
              <w:t>sadržaja</w:t>
            </w:r>
            <w:proofErr w:type="spellEnd"/>
            <w:r w:rsidRPr="003F7241">
              <w:rPr>
                <w:rFonts w:ascii="Cambria" w:hAnsi="Cambria" w:cs="Arial"/>
                <w:sz w:val="22"/>
                <w:szCs w:val="22"/>
                <w:lang w:val="it-IT"/>
              </w:rPr>
              <w:t xml:space="preserve"> </w:t>
            </w:r>
            <w:proofErr w:type="spellStart"/>
            <w:r w:rsidRPr="003F7241">
              <w:rPr>
                <w:rFonts w:ascii="Cambria" w:hAnsi="Cambria" w:cs="Arial"/>
                <w:sz w:val="22"/>
                <w:szCs w:val="22"/>
                <w:lang w:val="it-IT"/>
              </w:rPr>
              <w:t>kolegija</w:t>
            </w:r>
            <w:proofErr w:type="spellEnd"/>
            <w:r w:rsidRPr="003F7241">
              <w:rPr>
                <w:rFonts w:ascii="Cambria" w:hAnsi="Cambria" w:cs="Arial"/>
                <w:sz w:val="22"/>
                <w:szCs w:val="22"/>
                <w:lang w:val="it-IT"/>
              </w:rPr>
              <w:t xml:space="preserve">. </w:t>
            </w:r>
            <w:proofErr w:type="spellStart"/>
            <w:r w:rsidRPr="003F7241">
              <w:rPr>
                <w:rFonts w:ascii="Cambria" w:hAnsi="Cambria" w:cs="Arial"/>
                <w:sz w:val="22"/>
                <w:szCs w:val="22"/>
                <w:lang w:val="it-IT"/>
              </w:rPr>
              <w:t>Usmeni</w:t>
            </w:r>
            <w:proofErr w:type="spellEnd"/>
            <w:r w:rsidRPr="003F7241">
              <w:rPr>
                <w:rFonts w:ascii="Cambria" w:hAnsi="Cambria" w:cs="Arial"/>
                <w:sz w:val="22"/>
                <w:szCs w:val="22"/>
                <w:lang w:val="it-IT"/>
              </w:rPr>
              <w:t xml:space="preserve"> </w:t>
            </w:r>
            <w:proofErr w:type="spellStart"/>
            <w:r w:rsidRPr="003F7241">
              <w:rPr>
                <w:rFonts w:ascii="Cambria" w:hAnsi="Cambria" w:cs="Arial"/>
                <w:sz w:val="22"/>
                <w:szCs w:val="22"/>
                <w:lang w:val="it-IT"/>
              </w:rPr>
              <w:t>ispit</w:t>
            </w:r>
            <w:proofErr w:type="spellEnd"/>
            <w:r w:rsidRPr="003F7241">
              <w:rPr>
                <w:rFonts w:ascii="Cambria" w:hAnsi="Cambria" w:cs="Arial"/>
                <w:sz w:val="22"/>
                <w:szCs w:val="22"/>
                <w:lang w:val="it-IT"/>
              </w:rPr>
              <w:t xml:space="preserve"> </w:t>
            </w:r>
            <w:proofErr w:type="spellStart"/>
            <w:r w:rsidRPr="003F7241">
              <w:rPr>
                <w:rFonts w:ascii="Cambria" w:hAnsi="Cambria" w:cs="Arial"/>
                <w:sz w:val="22"/>
                <w:szCs w:val="22"/>
                <w:lang w:val="it-IT"/>
              </w:rPr>
              <w:t>sastoji</w:t>
            </w:r>
            <w:proofErr w:type="spellEnd"/>
            <w:r w:rsidRPr="003F7241">
              <w:rPr>
                <w:rFonts w:ascii="Cambria" w:hAnsi="Cambria" w:cs="Arial"/>
                <w:sz w:val="22"/>
                <w:szCs w:val="22"/>
                <w:lang w:val="it-IT"/>
              </w:rPr>
              <w:t xml:space="preserve"> se </w:t>
            </w:r>
            <w:proofErr w:type="gramStart"/>
            <w:r w:rsidRPr="003F7241">
              <w:rPr>
                <w:rFonts w:ascii="Cambria" w:hAnsi="Cambria" w:cs="Arial"/>
                <w:sz w:val="22"/>
                <w:szCs w:val="22"/>
                <w:lang w:val="it-IT"/>
              </w:rPr>
              <w:t>od</w:t>
            </w:r>
            <w:proofErr w:type="gramEnd"/>
            <w:r w:rsidRPr="003F7241">
              <w:rPr>
                <w:rFonts w:ascii="Cambria" w:hAnsi="Cambria" w:cs="Arial"/>
                <w:sz w:val="22"/>
                <w:szCs w:val="22"/>
                <w:lang w:val="it-IT"/>
              </w:rPr>
              <w:t xml:space="preserve"> tri </w:t>
            </w:r>
            <w:proofErr w:type="spellStart"/>
            <w:r w:rsidRPr="003F7241">
              <w:rPr>
                <w:rFonts w:ascii="Cambria" w:hAnsi="Cambria" w:cs="Arial"/>
                <w:sz w:val="22"/>
                <w:szCs w:val="22"/>
                <w:lang w:val="it-IT"/>
              </w:rPr>
              <w:t>pitanja</w:t>
            </w:r>
            <w:proofErr w:type="spellEnd"/>
            <w:r w:rsidRPr="003F7241">
              <w:rPr>
                <w:rFonts w:ascii="Cambria" w:hAnsi="Cambria" w:cs="Arial"/>
                <w:sz w:val="22"/>
                <w:szCs w:val="22"/>
                <w:lang w:val="it-IT"/>
              </w:rPr>
              <w:t xml:space="preserve"> </w:t>
            </w:r>
            <w:proofErr w:type="spellStart"/>
            <w:r w:rsidRPr="003F7241">
              <w:rPr>
                <w:rFonts w:ascii="Cambria" w:hAnsi="Cambria" w:cs="Arial"/>
                <w:sz w:val="22"/>
                <w:szCs w:val="22"/>
                <w:lang w:val="it-IT"/>
              </w:rPr>
              <w:t>na</w:t>
            </w:r>
            <w:proofErr w:type="spellEnd"/>
            <w:r w:rsidRPr="003F7241">
              <w:rPr>
                <w:rFonts w:ascii="Cambria" w:hAnsi="Cambria" w:cs="Arial"/>
                <w:sz w:val="22"/>
                <w:szCs w:val="22"/>
                <w:lang w:val="it-IT"/>
              </w:rPr>
              <w:t xml:space="preserve"> </w:t>
            </w:r>
            <w:proofErr w:type="spellStart"/>
            <w:r w:rsidRPr="003F7241">
              <w:rPr>
                <w:rFonts w:ascii="Cambria" w:hAnsi="Cambria" w:cs="Arial"/>
                <w:sz w:val="22"/>
                <w:szCs w:val="22"/>
                <w:lang w:val="it-IT"/>
              </w:rPr>
              <w:t>kojem</w:t>
            </w:r>
            <w:proofErr w:type="spellEnd"/>
            <w:r w:rsidRPr="003F7241">
              <w:rPr>
                <w:rFonts w:ascii="Cambria" w:hAnsi="Cambria" w:cs="Arial"/>
                <w:sz w:val="22"/>
                <w:szCs w:val="22"/>
                <w:lang w:val="it-IT"/>
              </w:rPr>
              <w:t xml:space="preserve"> se </w:t>
            </w:r>
            <w:proofErr w:type="spellStart"/>
            <w:r w:rsidRPr="003F7241">
              <w:rPr>
                <w:rFonts w:ascii="Cambria" w:hAnsi="Cambria" w:cs="Arial"/>
                <w:sz w:val="22"/>
                <w:szCs w:val="22"/>
                <w:lang w:val="it-IT"/>
              </w:rPr>
              <w:t>može</w:t>
            </w:r>
            <w:proofErr w:type="spellEnd"/>
            <w:r w:rsidRPr="003F7241">
              <w:rPr>
                <w:rFonts w:ascii="Cambria" w:hAnsi="Cambria" w:cs="Arial"/>
                <w:sz w:val="22"/>
                <w:szCs w:val="22"/>
                <w:lang w:val="it-IT"/>
              </w:rPr>
              <w:t xml:space="preserve"> </w:t>
            </w:r>
            <w:proofErr w:type="spellStart"/>
            <w:r w:rsidRPr="003F7241">
              <w:rPr>
                <w:rFonts w:ascii="Cambria" w:hAnsi="Cambria" w:cs="Arial"/>
                <w:sz w:val="22"/>
                <w:szCs w:val="22"/>
                <w:lang w:val="it-IT"/>
              </w:rPr>
              <w:t>postići</w:t>
            </w:r>
            <w:proofErr w:type="spellEnd"/>
            <w:r w:rsidRPr="003F7241">
              <w:rPr>
                <w:rFonts w:ascii="Cambria" w:hAnsi="Cambria" w:cs="Arial"/>
                <w:sz w:val="22"/>
                <w:szCs w:val="22"/>
                <w:lang w:val="it-IT"/>
              </w:rPr>
              <w:t xml:space="preserve"> </w:t>
            </w:r>
            <w:proofErr w:type="spellStart"/>
            <w:r w:rsidRPr="003F7241">
              <w:rPr>
                <w:rFonts w:ascii="Cambria" w:hAnsi="Cambria" w:cs="Arial"/>
                <w:sz w:val="22"/>
                <w:szCs w:val="22"/>
                <w:lang w:val="it-IT"/>
              </w:rPr>
              <w:t>maksimalno</w:t>
            </w:r>
            <w:proofErr w:type="spellEnd"/>
            <w:r w:rsidRPr="003F7241">
              <w:rPr>
                <w:rFonts w:ascii="Cambria" w:hAnsi="Cambria" w:cs="Arial"/>
                <w:sz w:val="22"/>
                <w:szCs w:val="22"/>
                <w:lang w:val="it-IT"/>
              </w:rPr>
              <w:t xml:space="preserve"> 80% </w:t>
            </w:r>
            <w:proofErr w:type="spellStart"/>
            <w:r w:rsidRPr="003F7241">
              <w:rPr>
                <w:rFonts w:ascii="Cambria" w:hAnsi="Cambria" w:cs="Arial"/>
                <w:sz w:val="22"/>
                <w:szCs w:val="22"/>
                <w:lang w:val="it-IT"/>
              </w:rPr>
              <w:t>ocjene</w:t>
            </w:r>
            <w:proofErr w:type="spellEnd"/>
            <w:r w:rsidRPr="003F7241">
              <w:rPr>
                <w:rFonts w:ascii="Cambria" w:hAnsi="Cambria" w:cs="Arial"/>
                <w:sz w:val="22"/>
                <w:szCs w:val="22"/>
                <w:lang w:val="it-IT"/>
              </w:rPr>
              <w:t xml:space="preserve">. </w:t>
            </w:r>
          </w:p>
        </w:tc>
      </w:tr>
      <w:tr w:rsidR="001421C4" w:rsidRPr="003F7241" w14:paraId="118CAF6D" w14:textId="77777777" w:rsidTr="00B36357">
        <w:tc>
          <w:tcPr>
            <w:tcW w:w="25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A619771" w14:textId="77777777" w:rsidR="001421C4" w:rsidRPr="003F7241" w:rsidRDefault="001421C4" w:rsidP="00450B7A">
            <w:pPr>
              <w:rPr>
                <w:rFonts w:ascii="Cambria" w:eastAsia="Calibri" w:hAnsi="Cambria"/>
                <w:sz w:val="22"/>
                <w:szCs w:val="22"/>
              </w:rPr>
            </w:pPr>
            <w:proofErr w:type="spellStart"/>
            <w:r w:rsidRPr="003F7241">
              <w:rPr>
                <w:rFonts w:ascii="Cambria" w:eastAsia="Calibri" w:hAnsi="Cambria"/>
                <w:sz w:val="22"/>
                <w:szCs w:val="22"/>
              </w:rPr>
              <w:lastRenderedPageBreak/>
              <w:t>Studentske</w:t>
            </w:r>
            <w:proofErr w:type="spellEnd"/>
            <w:r w:rsidRPr="003F7241">
              <w:rPr>
                <w:rFonts w:ascii="Cambria" w:eastAsia="Calibri" w:hAnsi="Cambria"/>
                <w:sz w:val="22"/>
                <w:szCs w:val="22"/>
              </w:rPr>
              <w:t xml:space="preserve"> </w:t>
            </w:r>
            <w:proofErr w:type="spellStart"/>
            <w:r w:rsidRPr="003F7241">
              <w:rPr>
                <w:rFonts w:ascii="Cambria" w:eastAsia="Calibri" w:hAnsi="Cambria"/>
                <w:sz w:val="22"/>
                <w:szCs w:val="22"/>
              </w:rPr>
              <w:t>obveze</w:t>
            </w:r>
            <w:proofErr w:type="spellEnd"/>
          </w:p>
        </w:tc>
        <w:tc>
          <w:tcPr>
            <w:tcW w:w="7241"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FB9834" w14:textId="77777777" w:rsidR="001421C4" w:rsidRPr="003F7241" w:rsidRDefault="001421C4" w:rsidP="00450B7A">
            <w:pPr>
              <w:jc w:val="both"/>
              <w:rPr>
                <w:rFonts w:ascii="Cambria" w:eastAsia="Calibri" w:hAnsi="Cambria"/>
                <w:sz w:val="22"/>
                <w:szCs w:val="22"/>
                <w:lang w:val="it-IT"/>
              </w:rPr>
            </w:pPr>
            <w:r w:rsidRPr="003F7241">
              <w:rPr>
                <w:rFonts w:ascii="Cambria" w:eastAsia="Calibri" w:hAnsi="Cambria"/>
                <w:sz w:val="22"/>
                <w:szCs w:val="22"/>
                <w:lang w:val="it-IT"/>
              </w:rPr>
              <w:t xml:space="preserve">Da </w:t>
            </w:r>
            <w:proofErr w:type="spellStart"/>
            <w:r w:rsidRPr="003F7241">
              <w:rPr>
                <w:rFonts w:ascii="Cambria" w:eastAsia="Calibri" w:hAnsi="Cambria"/>
                <w:sz w:val="22"/>
                <w:szCs w:val="22"/>
                <w:lang w:val="it-IT"/>
              </w:rPr>
              <w:t>položi</w:t>
            </w:r>
            <w:proofErr w:type="spellEnd"/>
            <w:r w:rsidRPr="003F7241">
              <w:rPr>
                <w:rFonts w:ascii="Cambria" w:eastAsia="Calibri" w:hAnsi="Cambria"/>
                <w:sz w:val="22"/>
                <w:szCs w:val="22"/>
                <w:lang w:val="it-IT"/>
              </w:rPr>
              <w:t xml:space="preserve"> </w:t>
            </w:r>
            <w:proofErr w:type="spellStart"/>
            <w:r w:rsidRPr="003F7241">
              <w:rPr>
                <w:rFonts w:ascii="Cambria" w:eastAsia="Calibri" w:hAnsi="Cambria"/>
                <w:sz w:val="22"/>
                <w:szCs w:val="22"/>
                <w:lang w:val="it-IT"/>
              </w:rPr>
              <w:t>kolegij</w:t>
            </w:r>
            <w:proofErr w:type="spellEnd"/>
            <w:r w:rsidRPr="003F7241">
              <w:rPr>
                <w:rFonts w:ascii="Cambria" w:eastAsia="Calibri" w:hAnsi="Cambria"/>
                <w:sz w:val="22"/>
                <w:szCs w:val="22"/>
                <w:lang w:val="it-IT"/>
              </w:rPr>
              <w:t xml:space="preserve">, </w:t>
            </w:r>
            <w:proofErr w:type="spellStart"/>
            <w:r w:rsidRPr="003F7241">
              <w:rPr>
                <w:rFonts w:ascii="Cambria" w:eastAsia="Calibri" w:hAnsi="Cambria"/>
                <w:sz w:val="22"/>
                <w:szCs w:val="22"/>
                <w:lang w:val="it-IT"/>
              </w:rPr>
              <w:t>student</w:t>
            </w:r>
            <w:proofErr w:type="spellEnd"/>
            <w:r w:rsidRPr="003F7241">
              <w:rPr>
                <w:rFonts w:ascii="Cambria" w:eastAsia="Calibri" w:hAnsi="Cambria"/>
                <w:sz w:val="22"/>
                <w:szCs w:val="22"/>
                <w:lang w:val="it-IT"/>
              </w:rPr>
              <w:t xml:space="preserve"> mora: </w:t>
            </w:r>
          </w:p>
          <w:p w14:paraId="4B0AC7AD" w14:textId="77777777" w:rsidR="001421C4" w:rsidRPr="003F7241" w:rsidRDefault="001421C4" w:rsidP="00450B7A">
            <w:pPr>
              <w:jc w:val="both"/>
              <w:rPr>
                <w:rFonts w:ascii="Cambria" w:eastAsia="Calibri" w:hAnsi="Cambria"/>
                <w:sz w:val="22"/>
                <w:szCs w:val="22"/>
                <w:lang w:val="it-IT"/>
              </w:rPr>
            </w:pPr>
            <w:r w:rsidRPr="003F7241">
              <w:rPr>
                <w:rFonts w:ascii="Cambria" w:eastAsia="Calibri" w:hAnsi="Cambria"/>
                <w:sz w:val="22"/>
                <w:szCs w:val="22"/>
                <w:lang w:val="it-IT"/>
              </w:rPr>
              <w:t xml:space="preserve">1. </w:t>
            </w:r>
            <w:proofErr w:type="spellStart"/>
            <w:r w:rsidRPr="003F7241">
              <w:rPr>
                <w:rFonts w:ascii="Cambria" w:eastAsia="Calibri" w:hAnsi="Cambria"/>
                <w:sz w:val="22"/>
                <w:szCs w:val="22"/>
                <w:lang w:val="it-IT"/>
              </w:rPr>
              <w:t>istražiti</w:t>
            </w:r>
            <w:proofErr w:type="spellEnd"/>
            <w:r w:rsidRPr="003F7241">
              <w:rPr>
                <w:rFonts w:ascii="Cambria" w:eastAsia="Calibri" w:hAnsi="Cambria"/>
                <w:sz w:val="22"/>
                <w:szCs w:val="22"/>
                <w:lang w:val="it-IT"/>
              </w:rPr>
              <w:t xml:space="preserve"> i </w:t>
            </w:r>
            <w:proofErr w:type="spellStart"/>
            <w:r w:rsidRPr="003F7241">
              <w:rPr>
                <w:rFonts w:ascii="Cambria" w:eastAsia="Calibri" w:hAnsi="Cambria"/>
                <w:sz w:val="22"/>
                <w:szCs w:val="22"/>
                <w:lang w:val="it-IT"/>
              </w:rPr>
              <w:t>predstaviti</w:t>
            </w:r>
            <w:proofErr w:type="spellEnd"/>
            <w:r w:rsidRPr="003F7241">
              <w:rPr>
                <w:rFonts w:ascii="Cambria" w:eastAsia="Calibri" w:hAnsi="Cambria"/>
                <w:sz w:val="22"/>
                <w:szCs w:val="22"/>
                <w:lang w:val="it-IT"/>
              </w:rPr>
              <w:t xml:space="preserve"> </w:t>
            </w:r>
            <w:proofErr w:type="spellStart"/>
            <w:r w:rsidRPr="003F7241">
              <w:rPr>
                <w:rFonts w:ascii="Cambria" w:eastAsia="Calibri" w:hAnsi="Cambria"/>
                <w:sz w:val="22"/>
                <w:szCs w:val="22"/>
                <w:lang w:val="it-IT"/>
              </w:rPr>
              <w:t>program</w:t>
            </w:r>
            <w:proofErr w:type="spellEnd"/>
            <w:r w:rsidRPr="003F7241">
              <w:rPr>
                <w:rFonts w:ascii="Cambria" w:eastAsia="Calibri" w:hAnsi="Cambria"/>
                <w:sz w:val="22"/>
                <w:szCs w:val="22"/>
                <w:lang w:val="it-IT"/>
              </w:rPr>
              <w:t xml:space="preserve"> </w:t>
            </w:r>
            <w:proofErr w:type="spellStart"/>
            <w:r w:rsidRPr="003F7241">
              <w:rPr>
                <w:rFonts w:ascii="Cambria" w:eastAsia="Calibri" w:hAnsi="Cambria"/>
                <w:sz w:val="22"/>
                <w:szCs w:val="22"/>
                <w:lang w:val="it-IT"/>
              </w:rPr>
              <w:t>poticanja</w:t>
            </w:r>
            <w:proofErr w:type="spellEnd"/>
            <w:r w:rsidRPr="003F7241">
              <w:rPr>
                <w:rFonts w:ascii="Cambria" w:eastAsia="Calibri" w:hAnsi="Cambria"/>
                <w:sz w:val="22"/>
                <w:szCs w:val="22"/>
                <w:lang w:val="it-IT"/>
              </w:rPr>
              <w:t xml:space="preserve"> </w:t>
            </w:r>
            <w:proofErr w:type="spellStart"/>
            <w:r w:rsidRPr="003F7241">
              <w:rPr>
                <w:rFonts w:ascii="Cambria" w:eastAsia="Calibri" w:hAnsi="Cambria"/>
                <w:sz w:val="22"/>
                <w:szCs w:val="22"/>
                <w:lang w:val="it-IT"/>
              </w:rPr>
              <w:t>motoričkog</w:t>
            </w:r>
            <w:proofErr w:type="spellEnd"/>
            <w:r w:rsidRPr="003F7241">
              <w:rPr>
                <w:rFonts w:ascii="Cambria" w:eastAsia="Calibri" w:hAnsi="Cambria"/>
                <w:sz w:val="22"/>
                <w:szCs w:val="22"/>
                <w:lang w:val="it-IT"/>
              </w:rPr>
              <w:t xml:space="preserve"> </w:t>
            </w:r>
            <w:proofErr w:type="spellStart"/>
            <w:r w:rsidRPr="003F7241">
              <w:rPr>
                <w:rFonts w:ascii="Cambria" w:eastAsia="Calibri" w:hAnsi="Cambria"/>
                <w:sz w:val="22"/>
                <w:szCs w:val="22"/>
                <w:lang w:val="it-IT"/>
              </w:rPr>
              <w:t>razvoja</w:t>
            </w:r>
            <w:proofErr w:type="spellEnd"/>
            <w:r w:rsidRPr="003F7241">
              <w:rPr>
                <w:rFonts w:ascii="Cambria" w:eastAsia="Calibri" w:hAnsi="Cambria"/>
                <w:sz w:val="22"/>
                <w:szCs w:val="22"/>
                <w:lang w:val="it-IT"/>
              </w:rPr>
              <w:t xml:space="preserve"> </w:t>
            </w:r>
            <w:proofErr w:type="spellStart"/>
            <w:r w:rsidRPr="003F7241">
              <w:rPr>
                <w:rFonts w:ascii="Cambria" w:eastAsia="Calibri" w:hAnsi="Cambria"/>
                <w:sz w:val="22"/>
                <w:szCs w:val="22"/>
                <w:lang w:val="it-IT"/>
              </w:rPr>
              <w:t>djece</w:t>
            </w:r>
            <w:proofErr w:type="spellEnd"/>
          </w:p>
          <w:p w14:paraId="779B07F1" w14:textId="77777777" w:rsidR="001421C4" w:rsidRPr="003F7241" w:rsidRDefault="001421C4" w:rsidP="00450B7A">
            <w:pPr>
              <w:jc w:val="both"/>
              <w:rPr>
                <w:rFonts w:ascii="Cambria" w:eastAsia="Calibri" w:hAnsi="Cambria"/>
                <w:sz w:val="22"/>
                <w:szCs w:val="22"/>
              </w:rPr>
            </w:pPr>
            <w:r w:rsidRPr="003F7241">
              <w:rPr>
                <w:rFonts w:ascii="Cambria" w:eastAsia="Calibri" w:hAnsi="Cambria"/>
                <w:sz w:val="22"/>
                <w:szCs w:val="22"/>
              </w:rPr>
              <w:t xml:space="preserve">2. </w:t>
            </w:r>
            <w:proofErr w:type="spellStart"/>
            <w:r w:rsidRPr="003F7241">
              <w:rPr>
                <w:rFonts w:ascii="Cambria" w:eastAsia="Calibri" w:hAnsi="Cambria"/>
                <w:sz w:val="22"/>
                <w:szCs w:val="22"/>
              </w:rPr>
              <w:t>položiti</w:t>
            </w:r>
            <w:proofErr w:type="spellEnd"/>
            <w:r w:rsidRPr="003F7241">
              <w:rPr>
                <w:rFonts w:ascii="Cambria" w:eastAsia="Calibri" w:hAnsi="Cambria"/>
                <w:sz w:val="22"/>
                <w:szCs w:val="22"/>
              </w:rPr>
              <w:t xml:space="preserve"> </w:t>
            </w:r>
            <w:proofErr w:type="spellStart"/>
            <w:r w:rsidRPr="003F7241">
              <w:rPr>
                <w:rFonts w:ascii="Cambria" w:eastAsia="Calibri" w:hAnsi="Cambria"/>
                <w:sz w:val="22"/>
                <w:szCs w:val="22"/>
              </w:rPr>
              <w:t>usmeni</w:t>
            </w:r>
            <w:proofErr w:type="spellEnd"/>
            <w:r w:rsidRPr="003F7241">
              <w:rPr>
                <w:rFonts w:ascii="Cambria" w:eastAsia="Calibri" w:hAnsi="Cambria"/>
                <w:sz w:val="22"/>
                <w:szCs w:val="22"/>
              </w:rPr>
              <w:t xml:space="preserve"> </w:t>
            </w:r>
            <w:proofErr w:type="spellStart"/>
            <w:r w:rsidRPr="003F7241">
              <w:rPr>
                <w:rFonts w:ascii="Cambria" w:eastAsia="Calibri" w:hAnsi="Cambria"/>
                <w:sz w:val="22"/>
                <w:szCs w:val="22"/>
              </w:rPr>
              <w:t>ispit</w:t>
            </w:r>
            <w:proofErr w:type="spellEnd"/>
          </w:p>
        </w:tc>
      </w:tr>
      <w:tr w:rsidR="001421C4" w:rsidRPr="00D0399C" w14:paraId="5A5E316A" w14:textId="77777777" w:rsidTr="00B36357">
        <w:tc>
          <w:tcPr>
            <w:tcW w:w="25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D329A46" w14:textId="77777777" w:rsidR="001421C4" w:rsidRPr="003F7241" w:rsidRDefault="001421C4" w:rsidP="00450B7A">
            <w:pPr>
              <w:rPr>
                <w:rFonts w:ascii="Cambria" w:eastAsia="Calibri" w:hAnsi="Cambria"/>
                <w:sz w:val="22"/>
                <w:szCs w:val="22"/>
              </w:rPr>
            </w:pPr>
            <w:proofErr w:type="spellStart"/>
            <w:r w:rsidRPr="003F7241">
              <w:rPr>
                <w:rFonts w:ascii="Cambria" w:eastAsia="Calibri" w:hAnsi="Cambria"/>
                <w:sz w:val="22"/>
                <w:szCs w:val="22"/>
              </w:rPr>
              <w:t>Rokovi</w:t>
            </w:r>
            <w:proofErr w:type="spellEnd"/>
            <w:r w:rsidRPr="003F7241">
              <w:rPr>
                <w:rFonts w:ascii="Cambria" w:eastAsia="Calibri" w:hAnsi="Cambria"/>
                <w:sz w:val="22"/>
                <w:szCs w:val="22"/>
              </w:rPr>
              <w:t xml:space="preserve"> </w:t>
            </w:r>
            <w:proofErr w:type="spellStart"/>
            <w:r w:rsidRPr="003F7241">
              <w:rPr>
                <w:rFonts w:ascii="Cambria" w:eastAsia="Calibri" w:hAnsi="Cambria"/>
                <w:sz w:val="22"/>
                <w:szCs w:val="22"/>
              </w:rPr>
              <w:t>ispita</w:t>
            </w:r>
            <w:proofErr w:type="spellEnd"/>
            <w:r w:rsidRPr="003F7241">
              <w:rPr>
                <w:rFonts w:ascii="Cambria" w:eastAsia="Calibri" w:hAnsi="Cambria"/>
                <w:sz w:val="22"/>
                <w:szCs w:val="22"/>
              </w:rPr>
              <w:t xml:space="preserve"> </w:t>
            </w:r>
            <w:proofErr w:type="spellStart"/>
            <w:r w:rsidRPr="003F7241">
              <w:rPr>
                <w:rFonts w:ascii="Cambria" w:eastAsia="Calibri" w:hAnsi="Cambria"/>
                <w:sz w:val="22"/>
                <w:szCs w:val="22"/>
              </w:rPr>
              <w:t>i</w:t>
            </w:r>
            <w:proofErr w:type="spellEnd"/>
            <w:r w:rsidRPr="003F7241">
              <w:rPr>
                <w:rFonts w:ascii="Cambria" w:eastAsia="Calibri" w:hAnsi="Cambria"/>
                <w:sz w:val="22"/>
                <w:szCs w:val="22"/>
              </w:rPr>
              <w:t xml:space="preserve"> </w:t>
            </w:r>
            <w:proofErr w:type="spellStart"/>
            <w:r w:rsidRPr="003F7241">
              <w:rPr>
                <w:rFonts w:ascii="Cambria" w:eastAsia="Calibri" w:hAnsi="Cambria"/>
                <w:sz w:val="22"/>
                <w:szCs w:val="22"/>
              </w:rPr>
              <w:t>kolokvija</w:t>
            </w:r>
            <w:proofErr w:type="spellEnd"/>
          </w:p>
        </w:tc>
        <w:tc>
          <w:tcPr>
            <w:tcW w:w="7241"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95559AD" w14:textId="77777777" w:rsidR="001421C4" w:rsidRPr="003F7241" w:rsidRDefault="001421C4" w:rsidP="00450B7A">
            <w:pPr>
              <w:jc w:val="both"/>
              <w:rPr>
                <w:rFonts w:ascii="Cambria" w:eastAsia="Calibri" w:hAnsi="Cambria"/>
                <w:sz w:val="22"/>
                <w:szCs w:val="22"/>
                <w:lang w:val="it-IT"/>
              </w:rPr>
            </w:pPr>
            <w:proofErr w:type="spellStart"/>
            <w:r w:rsidRPr="003F7241">
              <w:rPr>
                <w:rFonts w:ascii="Cambria" w:eastAsia="Calibri" w:hAnsi="Cambria"/>
                <w:sz w:val="22"/>
                <w:szCs w:val="22"/>
                <w:lang w:val="it-IT"/>
              </w:rPr>
              <w:t>Daju</w:t>
            </w:r>
            <w:proofErr w:type="spellEnd"/>
            <w:r w:rsidRPr="003F7241">
              <w:rPr>
                <w:rFonts w:ascii="Cambria" w:eastAsia="Calibri" w:hAnsi="Cambria"/>
                <w:sz w:val="22"/>
                <w:szCs w:val="22"/>
                <w:lang w:val="it-IT"/>
              </w:rPr>
              <w:t xml:space="preserve"> se </w:t>
            </w:r>
            <w:proofErr w:type="spellStart"/>
            <w:r w:rsidRPr="003F7241">
              <w:rPr>
                <w:rFonts w:ascii="Cambria" w:eastAsia="Calibri" w:hAnsi="Cambria"/>
                <w:sz w:val="22"/>
                <w:szCs w:val="22"/>
                <w:lang w:val="it-IT"/>
              </w:rPr>
              <w:t>na</w:t>
            </w:r>
            <w:proofErr w:type="spellEnd"/>
            <w:r w:rsidRPr="003F7241">
              <w:rPr>
                <w:rFonts w:ascii="Cambria" w:eastAsia="Calibri" w:hAnsi="Cambria"/>
                <w:sz w:val="22"/>
                <w:szCs w:val="22"/>
                <w:lang w:val="it-IT"/>
              </w:rPr>
              <w:t xml:space="preserve"> </w:t>
            </w:r>
            <w:proofErr w:type="spellStart"/>
            <w:r w:rsidRPr="003F7241">
              <w:rPr>
                <w:rFonts w:ascii="Cambria" w:eastAsia="Calibri" w:hAnsi="Cambria"/>
                <w:sz w:val="22"/>
                <w:szCs w:val="22"/>
                <w:lang w:val="it-IT"/>
              </w:rPr>
              <w:t>početku</w:t>
            </w:r>
            <w:proofErr w:type="spellEnd"/>
            <w:r w:rsidRPr="003F7241">
              <w:rPr>
                <w:rFonts w:ascii="Cambria" w:eastAsia="Calibri" w:hAnsi="Cambria"/>
                <w:sz w:val="22"/>
                <w:szCs w:val="22"/>
                <w:lang w:val="it-IT"/>
              </w:rPr>
              <w:t xml:space="preserve"> </w:t>
            </w:r>
            <w:proofErr w:type="spellStart"/>
            <w:r w:rsidRPr="003F7241">
              <w:rPr>
                <w:rFonts w:ascii="Cambria" w:eastAsia="Calibri" w:hAnsi="Cambria"/>
                <w:sz w:val="22"/>
                <w:szCs w:val="22"/>
                <w:lang w:val="it-IT"/>
              </w:rPr>
              <w:t>akademske</w:t>
            </w:r>
            <w:proofErr w:type="spellEnd"/>
            <w:r w:rsidRPr="003F7241">
              <w:rPr>
                <w:rFonts w:ascii="Cambria" w:eastAsia="Calibri" w:hAnsi="Cambria"/>
                <w:sz w:val="22"/>
                <w:szCs w:val="22"/>
                <w:lang w:val="it-IT"/>
              </w:rPr>
              <w:t xml:space="preserve"> godine i </w:t>
            </w:r>
            <w:proofErr w:type="spellStart"/>
            <w:r w:rsidRPr="003F7241">
              <w:rPr>
                <w:rFonts w:ascii="Cambria" w:eastAsia="Calibri" w:hAnsi="Cambria"/>
                <w:sz w:val="22"/>
                <w:szCs w:val="22"/>
                <w:lang w:val="it-IT"/>
              </w:rPr>
              <w:t>objavljuju</w:t>
            </w:r>
            <w:proofErr w:type="spellEnd"/>
            <w:r w:rsidRPr="003F7241">
              <w:rPr>
                <w:rFonts w:ascii="Cambria" w:eastAsia="Calibri" w:hAnsi="Cambria"/>
                <w:sz w:val="22"/>
                <w:szCs w:val="22"/>
                <w:lang w:val="it-IT"/>
              </w:rPr>
              <w:t xml:space="preserve"> se u ISVU. </w:t>
            </w:r>
          </w:p>
        </w:tc>
      </w:tr>
      <w:tr w:rsidR="001421C4" w:rsidRPr="003F7241" w14:paraId="17CD0299" w14:textId="77777777" w:rsidTr="00B36357">
        <w:tc>
          <w:tcPr>
            <w:tcW w:w="25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A9A9B2D" w14:textId="77777777" w:rsidR="001421C4" w:rsidRPr="003F7241" w:rsidRDefault="001421C4" w:rsidP="00450B7A">
            <w:pPr>
              <w:rPr>
                <w:rFonts w:ascii="Cambria" w:eastAsia="Calibri" w:hAnsi="Cambria"/>
                <w:sz w:val="22"/>
                <w:szCs w:val="22"/>
                <w:lang w:val="it-IT"/>
              </w:rPr>
            </w:pPr>
            <w:r w:rsidRPr="003F7241">
              <w:rPr>
                <w:rFonts w:ascii="Cambria" w:eastAsia="Calibri" w:hAnsi="Cambria"/>
                <w:sz w:val="22"/>
                <w:szCs w:val="22"/>
                <w:lang w:val="it-IT"/>
              </w:rPr>
              <w:t xml:space="preserve">Ostale </w:t>
            </w:r>
            <w:proofErr w:type="spellStart"/>
            <w:r w:rsidRPr="003F7241">
              <w:rPr>
                <w:rFonts w:ascii="Cambria" w:eastAsia="Calibri" w:hAnsi="Cambria"/>
                <w:sz w:val="22"/>
                <w:szCs w:val="22"/>
                <w:lang w:val="it-IT"/>
              </w:rPr>
              <w:t>važne</w:t>
            </w:r>
            <w:proofErr w:type="spellEnd"/>
            <w:r w:rsidRPr="003F7241">
              <w:rPr>
                <w:rFonts w:ascii="Cambria" w:eastAsia="Calibri" w:hAnsi="Cambria"/>
                <w:sz w:val="22"/>
                <w:szCs w:val="22"/>
                <w:lang w:val="it-IT"/>
              </w:rPr>
              <w:t xml:space="preserve"> </w:t>
            </w:r>
            <w:proofErr w:type="spellStart"/>
            <w:r w:rsidRPr="003F7241">
              <w:rPr>
                <w:rFonts w:ascii="Cambria" w:eastAsia="Calibri" w:hAnsi="Cambria"/>
                <w:sz w:val="22"/>
                <w:szCs w:val="22"/>
                <w:lang w:val="it-IT"/>
              </w:rPr>
              <w:t>činjenice</w:t>
            </w:r>
            <w:proofErr w:type="spellEnd"/>
            <w:r w:rsidRPr="003F7241">
              <w:rPr>
                <w:rFonts w:ascii="Cambria" w:eastAsia="Calibri" w:hAnsi="Cambria"/>
                <w:sz w:val="22"/>
                <w:szCs w:val="22"/>
                <w:lang w:val="it-IT"/>
              </w:rPr>
              <w:t xml:space="preserve"> </w:t>
            </w:r>
            <w:proofErr w:type="spellStart"/>
            <w:r w:rsidRPr="003F7241">
              <w:rPr>
                <w:rFonts w:ascii="Cambria" w:eastAsia="Calibri" w:hAnsi="Cambria"/>
                <w:sz w:val="22"/>
                <w:szCs w:val="22"/>
                <w:lang w:val="it-IT"/>
              </w:rPr>
              <w:t>vezane</w:t>
            </w:r>
            <w:proofErr w:type="spellEnd"/>
            <w:r w:rsidRPr="003F7241">
              <w:rPr>
                <w:rFonts w:ascii="Cambria" w:eastAsia="Calibri" w:hAnsi="Cambria"/>
                <w:sz w:val="22"/>
                <w:szCs w:val="22"/>
                <w:lang w:val="it-IT"/>
              </w:rPr>
              <w:t xml:space="preserve"> </w:t>
            </w:r>
            <w:proofErr w:type="spellStart"/>
            <w:r w:rsidRPr="003F7241">
              <w:rPr>
                <w:rFonts w:ascii="Cambria" w:eastAsia="Calibri" w:hAnsi="Cambria"/>
                <w:sz w:val="22"/>
                <w:szCs w:val="22"/>
                <w:lang w:val="it-IT"/>
              </w:rPr>
              <w:t>uz</w:t>
            </w:r>
            <w:proofErr w:type="spellEnd"/>
            <w:r w:rsidRPr="003F7241">
              <w:rPr>
                <w:rFonts w:ascii="Cambria" w:eastAsia="Calibri" w:hAnsi="Cambria"/>
                <w:sz w:val="22"/>
                <w:szCs w:val="22"/>
                <w:lang w:val="it-IT"/>
              </w:rPr>
              <w:t xml:space="preserve"> </w:t>
            </w:r>
            <w:proofErr w:type="spellStart"/>
            <w:r w:rsidRPr="003F7241">
              <w:rPr>
                <w:rFonts w:ascii="Cambria" w:eastAsia="Calibri" w:hAnsi="Cambria"/>
                <w:sz w:val="22"/>
                <w:szCs w:val="22"/>
                <w:lang w:val="it-IT"/>
              </w:rPr>
              <w:t>kolegij</w:t>
            </w:r>
            <w:proofErr w:type="spellEnd"/>
          </w:p>
        </w:tc>
        <w:tc>
          <w:tcPr>
            <w:tcW w:w="7241"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8400E39" w14:textId="77777777" w:rsidR="001421C4" w:rsidRPr="003F7241" w:rsidRDefault="001421C4" w:rsidP="00450B7A">
            <w:pPr>
              <w:jc w:val="both"/>
              <w:rPr>
                <w:rFonts w:ascii="Cambria" w:eastAsia="Calibri" w:hAnsi="Cambria" w:cs="Arial"/>
                <w:sz w:val="22"/>
                <w:szCs w:val="22"/>
                <w:lang w:val="it-IT"/>
              </w:rPr>
            </w:pPr>
            <w:proofErr w:type="spellStart"/>
            <w:r w:rsidRPr="003F7241">
              <w:rPr>
                <w:rFonts w:ascii="Cambria" w:eastAsia="Calibri" w:hAnsi="Cambria" w:cs="Arial"/>
                <w:sz w:val="22"/>
                <w:szCs w:val="22"/>
                <w:lang w:val="it-IT"/>
              </w:rPr>
              <w:t>Materijali</w:t>
            </w:r>
            <w:proofErr w:type="spellEnd"/>
            <w:r w:rsidRPr="003F7241">
              <w:rPr>
                <w:rFonts w:ascii="Cambria" w:eastAsia="Calibri" w:hAnsi="Cambria" w:cs="Arial"/>
                <w:sz w:val="22"/>
                <w:szCs w:val="22"/>
                <w:lang w:val="it-IT"/>
              </w:rPr>
              <w:t xml:space="preserve"> za </w:t>
            </w:r>
            <w:proofErr w:type="spellStart"/>
            <w:r w:rsidRPr="003F7241">
              <w:rPr>
                <w:rFonts w:ascii="Cambria" w:eastAsia="Calibri" w:hAnsi="Cambria" w:cs="Arial"/>
                <w:sz w:val="22"/>
                <w:szCs w:val="22"/>
                <w:lang w:val="it-IT"/>
              </w:rPr>
              <w:t>predavanja</w:t>
            </w:r>
            <w:proofErr w:type="spellEnd"/>
            <w:r w:rsidRPr="003F7241">
              <w:rPr>
                <w:rFonts w:ascii="Cambria" w:eastAsia="Calibri" w:hAnsi="Cambria" w:cs="Arial"/>
                <w:sz w:val="22"/>
                <w:szCs w:val="22"/>
                <w:lang w:val="it-IT"/>
              </w:rPr>
              <w:t xml:space="preserve"> </w:t>
            </w:r>
            <w:proofErr w:type="gramStart"/>
            <w:r w:rsidRPr="003F7241">
              <w:rPr>
                <w:rFonts w:ascii="Cambria" w:eastAsia="Calibri" w:hAnsi="Cambria" w:cs="Arial"/>
                <w:sz w:val="22"/>
                <w:szCs w:val="22"/>
                <w:lang w:val="it-IT"/>
              </w:rPr>
              <w:t>i seminare</w:t>
            </w:r>
            <w:proofErr w:type="gramEnd"/>
            <w:r w:rsidRPr="003F7241">
              <w:rPr>
                <w:rFonts w:ascii="Cambria" w:eastAsia="Calibri" w:hAnsi="Cambria" w:cs="Arial"/>
                <w:sz w:val="22"/>
                <w:szCs w:val="22"/>
                <w:lang w:val="it-IT"/>
              </w:rPr>
              <w:t xml:space="preserve"> </w:t>
            </w:r>
            <w:proofErr w:type="spellStart"/>
            <w:r w:rsidRPr="003F7241">
              <w:rPr>
                <w:rFonts w:ascii="Cambria" w:eastAsia="Calibri" w:hAnsi="Cambria" w:cs="Arial"/>
                <w:sz w:val="22"/>
                <w:szCs w:val="22"/>
                <w:lang w:val="it-IT"/>
              </w:rPr>
              <w:t>objavljuju</w:t>
            </w:r>
            <w:proofErr w:type="spellEnd"/>
            <w:r w:rsidRPr="003F7241">
              <w:rPr>
                <w:rFonts w:ascii="Cambria" w:eastAsia="Calibri" w:hAnsi="Cambria" w:cs="Arial"/>
                <w:sz w:val="22"/>
                <w:szCs w:val="22"/>
                <w:lang w:val="it-IT"/>
              </w:rPr>
              <w:t xml:space="preserve"> se </w:t>
            </w:r>
            <w:proofErr w:type="spellStart"/>
            <w:r w:rsidRPr="003F7241">
              <w:rPr>
                <w:rFonts w:ascii="Cambria" w:eastAsia="Calibri" w:hAnsi="Cambria" w:cs="Arial"/>
                <w:sz w:val="22"/>
                <w:szCs w:val="22"/>
                <w:lang w:val="it-IT"/>
              </w:rPr>
              <w:t>na</w:t>
            </w:r>
            <w:proofErr w:type="spellEnd"/>
            <w:r w:rsidRPr="003F7241">
              <w:rPr>
                <w:rFonts w:ascii="Cambria" w:eastAsia="Calibri" w:hAnsi="Cambria" w:cs="Arial"/>
                <w:sz w:val="22"/>
                <w:szCs w:val="22"/>
                <w:lang w:val="it-IT"/>
              </w:rPr>
              <w:t xml:space="preserve"> e-</w:t>
            </w:r>
            <w:proofErr w:type="spellStart"/>
            <w:r w:rsidRPr="003F7241">
              <w:rPr>
                <w:rFonts w:ascii="Cambria" w:eastAsia="Calibri" w:hAnsi="Cambria" w:cs="Arial"/>
                <w:sz w:val="22"/>
                <w:szCs w:val="22"/>
                <w:lang w:val="it-IT"/>
              </w:rPr>
              <w:t>učenju</w:t>
            </w:r>
            <w:proofErr w:type="spellEnd"/>
            <w:r w:rsidRPr="003F7241">
              <w:rPr>
                <w:rFonts w:ascii="Cambria" w:eastAsia="Calibri" w:hAnsi="Cambria" w:cs="Arial"/>
                <w:sz w:val="22"/>
                <w:szCs w:val="22"/>
                <w:lang w:val="it-IT"/>
              </w:rPr>
              <w:t>.</w:t>
            </w:r>
          </w:p>
          <w:p w14:paraId="5C6E8ABB" w14:textId="77777777" w:rsidR="001421C4" w:rsidRPr="003F7241" w:rsidRDefault="001421C4" w:rsidP="00450B7A">
            <w:pPr>
              <w:jc w:val="both"/>
              <w:rPr>
                <w:rFonts w:ascii="Cambria" w:eastAsia="Calibri" w:hAnsi="Cambria" w:cs="Arial"/>
                <w:sz w:val="22"/>
                <w:szCs w:val="22"/>
              </w:rPr>
            </w:pPr>
            <w:r w:rsidRPr="003F7241">
              <w:rPr>
                <w:rFonts w:ascii="Cambria" w:eastAsia="Calibri" w:hAnsi="Cambria" w:cs="Arial"/>
                <w:sz w:val="22"/>
                <w:szCs w:val="22"/>
                <w:lang w:val="it-IT"/>
              </w:rPr>
              <w:t xml:space="preserve">U </w:t>
            </w:r>
            <w:proofErr w:type="spellStart"/>
            <w:r w:rsidRPr="003F7241">
              <w:rPr>
                <w:rFonts w:ascii="Cambria" w:eastAsia="Calibri" w:hAnsi="Cambria" w:cs="Arial"/>
                <w:sz w:val="22"/>
                <w:szCs w:val="22"/>
                <w:lang w:val="it-IT"/>
              </w:rPr>
              <w:t>slučaju</w:t>
            </w:r>
            <w:proofErr w:type="spellEnd"/>
            <w:r w:rsidRPr="003F7241">
              <w:rPr>
                <w:rFonts w:ascii="Cambria" w:eastAsia="Calibri" w:hAnsi="Cambria" w:cs="Arial"/>
                <w:sz w:val="22"/>
                <w:szCs w:val="22"/>
                <w:lang w:val="it-IT"/>
              </w:rPr>
              <w:t xml:space="preserve"> </w:t>
            </w:r>
            <w:proofErr w:type="spellStart"/>
            <w:r w:rsidRPr="003F7241">
              <w:rPr>
                <w:rFonts w:ascii="Cambria" w:eastAsia="Calibri" w:hAnsi="Cambria" w:cs="Arial"/>
                <w:sz w:val="22"/>
                <w:szCs w:val="22"/>
                <w:lang w:val="it-IT"/>
              </w:rPr>
              <w:t>održavanja</w:t>
            </w:r>
            <w:proofErr w:type="spellEnd"/>
            <w:r w:rsidRPr="003F7241">
              <w:rPr>
                <w:rFonts w:ascii="Cambria" w:eastAsia="Calibri" w:hAnsi="Cambria" w:cs="Arial"/>
                <w:sz w:val="22"/>
                <w:szCs w:val="22"/>
                <w:lang w:val="it-IT"/>
              </w:rPr>
              <w:t xml:space="preserve"> </w:t>
            </w:r>
            <w:proofErr w:type="spellStart"/>
            <w:r w:rsidRPr="003F7241">
              <w:rPr>
                <w:rFonts w:ascii="Cambria" w:eastAsia="Calibri" w:hAnsi="Cambria" w:cs="Arial"/>
                <w:sz w:val="22"/>
                <w:szCs w:val="22"/>
                <w:lang w:val="it-IT"/>
              </w:rPr>
              <w:t>nastave</w:t>
            </w:r>
            <w:proofErr w:type="spellEnd"/>
            <w:r w:rsidRPr="003F7241">
              <w:rPr>
                <w:rFonts w:ascii="Cambria" w:eastAsia="Calibri" w:hAnsi="Cambria" w:cs="Arial"/>
                <w:sz w:val="22"/>
                <w:szCs w:val="22"/>
                <w:lang w:val="it-IT"/>
              </w:rPr>
              <w:t xml:space="preserve"> </w:t>
            </w:r>
            <w:proofErr w:type="spellStart"/>
            <w:r w:rsidRPr="003F7241">
              <w:rPr>
                <w:rFonts w:ascii="Cambria" w:eastAsia="Calibri" w:hAnsi="Cambria" w:cs="Arial"/>
                <w:sz w:val="22"/>
                <w:szCs w:val="22"/>
                <w:lang w:val="it-IT"/>
              </w:rPr>
              <w:t>na</w:t>
            </w:r>
            <w:proofErr w:type="spellEnd"/>
            <w:r w:rsidRPr="003F7241">
              <w:rPr>
                <w:rFonts w:ascii="Cambria" w:eastAsia="Calibri" w:hAnsi="Cambria" w:cs="Arial"/>
                <w:sz w:val="22"/>
                <w:szCs w:val="22"/>
                <w:lang w:val="it-IT"/>
              </w:rPr>
              <w:t xml:space="preserve"> </w:t>
            </w:r>
            <w:proofErr w:type="spellStart"/>
            <w:r w:rsidRPr="003F7241">
              <w:rPr>
                <w:rFonts w:ascii="Cambria" w:eastAsia="Calibri" w:hAnsi="Cambria" w:cs="Arial"/>
                <w:sz w:val="22"/>
                <w:szCs w:val="22"/>
                <w:lang w:val="it-IT"/>
              </w:rPr>
              <w:t>daljinu</w:t>
            </w:r>
            <w:proofErr w:type="spellEnd"/>
            <w:r w:rsidRPr="003F7241">
              <w:rPr>
                <w:rFonts w:ascii="Cambria" w:eastAsia="Calibri" w:hAnsi="Cambria" w:cs="Arial"/>
                <w:sz w:val="22"/>
                <w:szCs w:val="22"/>
                <w:lang w:val="it-IT"/>
              </w:rPr>
              <w:t xml:space="preserve">, </w:t>
            </w:r>
            <w:proofErr w:type="spellStart"/>
            <w:r w:rsidRPr="003F7241">
              <w:rPr>
                <w:rFonts w:ascii="Cambria" w:eastAsia="Calibri" w:hAnsi="Cambria" w:cs="Arial"/>
                <w:sz w:val="22"/>
                <w:szCs w:val="22"/>
                <w:lang w:val="it-IT"/>
              </w:rPr>
              <w:t>moguće</w:t>
            </w:r>
            <w:proofErr w:type="spellEnd"/>
            <w:r w:rsidRPr="003F7241">
              <w:rPr>
                <w:rFonts w:ascii="Cambria" w:eastAsia="Calibri" w:hAnsi="Cambria" w:cs="Arial"/>
                <w:sz w:val="22"/>
                <w:szCs w:val="22"/>
                <w:lang w:val="it-IT"/>
              </w:rPr>
              <w:t xml:space="preserve"> je </w:t>
            </w:r>
            <w:proofErr w:type="spellStart"/>
            <w:r w:rsidRPr="003F7241">
              <w:rPr>
                <w:rFonts w:ascii="Cambria" w:eastAsia="Calibri" w:hAnsi="Cambria" w:cs="Arial"/>
                <w:sz w:val="22"/>
                <w:szCs w:val="22"/>
                <w:lang w:val="it-IT"/>
              </w:rPr>
              <w:t>odstupanje</w:t>
            </w:r>
            <w:proofErr w:type="spellEnd"/>
            <w:r w:rsidRPr="003F7241">
              <w:rPr>
                <w:rFonts w:ascii="Cambria" w:eastAsia="Calibri" w:hAnsi="Cambria" w:cs="Arial"/>
                <w:sz w:val="22"/>
                <w:szCs w:val="22"/>
                <w:lang w:val="it-IT"/>
              </w:rPr>
              <w:t xml:space="preserve"> u: </w:t>
            </w:r>
            <w:proofErr w:type="spellStart"/>
            <w:r w:rsidRPr="003F7241">
              <w:rPr>
                <w:rFonts w:ascii="Cambria" w:eastAsia="Calibri" w:hAnsi="Cambria" w:cs="Arial"/>
                <w:sz w:val="22"/>
                <w:szCs w:val="22"/>
                <w:lang w:val="it-IT"/>
              </w:rPr>
              <w:t>mjestu</w:t>
            </w:r>
            <w:proofErr w:type="spellEnd"/>
            <w:r w:rsidRPr="003F7241">
              <w:rPr>
                <w:rFonts w:ascii="Cambria" w:eastAsia="Calibri" w:hAnsi="Cambria" w:cs="Arial"/>
                <w:sz w:val="22"/>
                <w:szCs w:val="22"/>
                <w:lang w:val="it-IT"/>
              </w:rPr>
              <w:t xml:space="preserve"> </w:t>
            </w:r>
            <w:proofErr w:type="spellStart"/>
            <w:r w:rsidRPr="003F7241">
              <w:rPr>
                <w:rFonts w:ascii="Cambria" w:eastAsia="Calibri" w:hAnsi="Cambria" w:cs="Arial"/>
                <w:sz w:val="22"/>
                <w:szCs w:val="22"/>
                <w:lang w:val="it-IT"/>
              </w:rPr>
              <w:t>izvođenja</w:t>
            </w:r>
            <w:proofErr w:type="spellEnd"/>
            <w:r w:rsidRPr="003F7241">
              <w:rPr>
                <w:rFonts w:ascii="Cambria" w:eastAsia="Calibri" w:hAnsi="Cambria" w:cs="Arial"/>
                <w:sz w:val="22"/>
                <w:szCs w:val="22"/>
                <w:lang w:val="it-IT"/>
              </w:rPr>
              <w:t xml:space="preserve"> </w:t>
            </w:r>
            <w:proofErr w:type="spellStart"/>
            <w:r w:rsidRPr="003F7241">
              <w:rPr>
                <w:rFonts w:ascii="Cambria" w:eastAsia="Calibri" w:hAnsi="Cambria" w:cs="Arial"/>
                <w:sz w:val="22"/>
                <w:szCs w:val="22"/>
                <w:lang w:val="it-IT"/>
              </w:rPr>
              <w:t>kolegija</w:t>
            </w:r>
            <w:proofErr w:type="spellEnd"/>
            <w:r w:rsidRPr="003F7241">
              <w:rPr>
                <w:rFonts w:ascii="Cambria" w:eastAsia="Calibri" w:hAnsi="Cambria" w:cs="Arial"/>
                <w:sz w:val="22"/>
                <w:szCs w:val="22"/>
                <w:lang w:val="it-IT"/>
              </w:rPr>
              <w:t xml:space="preserve">, </w:t>
            </w:r>
            <w:proofErr w:type="spellStart"/>
            <w:r w:rsidRPr="003F7241">
              <w:rPr>
                <w:rFonts w:ascii="Cambria" w:eastAsia="Calibri" w:hAnsi="Cambria" w:cs="Arial"/>
                <w:sz w:val="22"/>
                <w:szCs w:val="22"/>
                <w:lang w:val="it-IT"/>
              </w:rPr>
              <w:t>provedbi</w:t>
            </w:r>
            <w:proofErr w:type="spellEnd"/>
            <w:r w:rsidRPr="003F7241">
              <w:rPr>
                <w:rFonts w:ascii="Cambria" w:eastAsia="Calibri" w:hAnsi="Cambria" w:cs="Arial"/>
                <w:sz w:val="22"/>
                <w:szCs w:val="22"/>
                <w:lang w:val="it-IT"/>
              </w:rPr>
              <w:t xml:space="preserve"> </w:t>
            </w:r>
            <w:proofErr w:type="spellStart"/>
            <w:r w:rsidRPr="003F7241">
              <w:rPr>
                <w:rFonts w:ascii="Cambria" w:eastAsia="Calibri" w:hAnsi="Cambria" w:cs="Arial"/>
                <w:sz w:val="22"/>
                <w:szCs w:val="22"/>
                <w:lang w:val="it-IT"/>
              </w:rPr>
              <w:t>aktivnosti</w:t>
            </w:r>
            <w:proofErr w:type="spellEnd"/>
            <w:r w:rsidRPr="003F7241">
              <w:rPr>
                <w:rFonts w:ascii="Cambria" w:eastAsia="Calibri" w:hAnsi="Cambria" w:cs="Arial"/>
                <w:sz w:val="22"/>
                <w:szCs w:val="22"/>
                <w:lang w:val="it-IT"/>
              </w:rPr>
              <w:t xml:space="preserve">, </w:t>
            </w:r>
            <w:proofErr w:type="spellStart"/>
            <w:r w:rsidRPr="003F7241">
              <w:rPr>
                <w:rFonts w:ascii="Cambria" w:eastAsia="Calibri" w:hAnsi="Cambria" w:cs="Arial"/>
                <w:sz w:val="22"/>
                <w:szCs w:val="22"/>
                <w:lang w:val="it-IT"/>
              </w:rPr>
              <w:t>metoda</w:t>
            </w:r>
            <w:proofErr w:type="spellEnd"/>
            <w:r w:rsidRPr="003F7241">
              <w:rPr>
                <w:rFonts w:ascii="Cambria" w:eastAsia="Calibri" w:hAnsi="Cambria" w:cs="Arial"/>
                <w:sz w:val="22"/>
                <w:szCs w:val="22"/>
                <w:lang w:val="it-IT"/>
              </w:rPr>
              <w:t xml:space="preserve"> </w:t>
            </w:r>
            <w:proofErr w:type="spellStart"/>
            <w:r w:rsidRPr="003F7241">
              <w:rPr>
                <w:rFonts w:ascii="Cambria" w:eastAsia="Calibri" w:hAnsi="Cambria" w:cs="Arial"/>
                <w:sz w:val="22"/>
                <w:szCs w:val="22"/>
                <w:lang w:val="it-IT"/>
              </w:rPr>
              <w:t>tumačenja</w:t>
            </w:r>
            <w:proofErr w:type="spellEnd"/>
            <w:r w:rsidRPr="003F7241">
              <w:rPr>
                <w:rFonts w:ascii="Cambria" w:eastAsia="Calibri" w:hAnsi="Cambria" w:cs="Arial"/>
                <w:sz w:val="22"/>
                <w:szCs w:val="22"/>
                <w:lang w:val="it-IT"/>
              </w:rPr>
              <w:t xml:space="preserve"> i </w:t>
            </w:r>
            <w:proofErr w:type="spellStart"/>
            <w:r w:rsidRPr="003F7241">
              <w:rPr>
                <w:rFonts w:ascii="Cambria" w:eastAsia="Calibri" w:hAnsi="Cambria" w:cs="Arial"/>
                <w:sz w:val="22"/>
                <w:szCs w:val="22"/>
                <w:lang w:val="it-IT"/>
              </w:rPr>
              <w:t>poučavanja</w:t>
            </w:r>
            <w:proofErr w:type="spellEnd"/>
            <w:r w:rsidRPr="003F7241">
              <w:rPr>
                <w:rFonts w:ascii="Cambria" w:eastAsia="Calibri" w:hAnsi="Cambria" w:cs="Arial"/>
                <w:sz w:val="22"/>
                <w:szCs w:val="22"/>
                <w:lang w:val="it-IT"/>
              </w:rPr>
              <w:t xml:space="preserve"> i </w:t>
            </w:r>
            <w:proofErr w:type="spellStart"/>
            <w:r w:rsidRPr="003F7241">
              <w:rPr>
                <w:rFonts w:ascii="Cambria" w:eastAsia="Calibri" w:hAnsi="Cambria" w:cs="Arial"/>
                <w:sz w:val="22"/>
                <w:szCs w:val="22"/>
                <w:lang w:val="it-IT"/>
              </w:rPr>
              <w:t>načinima</w:t>
            </w:r>
            <w:proofErr w:type="spellEnd"/>
            <w:r w:rsidRPr="003F7241">
              <w:rPr>
                <w:rFonts w:ascii="Cambria" w:eastAsia="Calibri" w:hAnsi="Cambria" w:cs="Arial"/>
                <w:sz w:val="22"/>
                <w:szCs w:val="22"/>
                <w:lang w:val="it-IT"/>
              </w:rPr>
              <w:t xml:space="preserve"> </w:t>
            </w:r>
            <w:proofErr w:type="spellStart"/>
            <w:r w:rsidRPr="003F7241">
              <w:rPr>
                <w:rFonts w:ascii="Cambria" w:eastAsia="Calibri" w:hAnsi="Cambria" w:cs="Arial"/>
                <w:sz w:val="22"/>
                <w:szCs w:val="22"/>
                <w:lang w:val="it-IT"/>
              </w:rPr>
              <w:t>vrednovanja</w:t>
            </w:r>
            <w:proofErr w:type="spellEnd"/>
            <w:r w:rsidRPr="003F7241">
              <w:rPr>
                <w:rFonts w:ascii="Cambria" w:eastAsia="Calibri" w:hAnsi="Cambria" w:cs="Arial"/>
                <w:sz w:val="22"/>
                <w:szCs w:val="22"/>
                <w:lang w:val="it-IT"/>
              </w:rPr>
              <w:t xml:space="preserve">, </w:t>
            </w:r>
            <w:proofErr w:type="spellStart"/>
            <w:r w:rsidRPr="003F7241">
              <w:rPr>
                <w:rFonts w:ascii="Cambria" w:eastAsia="Calibri" w:hAnsi="Cambria" w:cs="Arial"/>
                <w:sz w:val="22"/>
                <w:szCs w:val="22"/>
                <w:lang w:val="it-IT"/>
              </w:rPr>
              <w:t>studentskim</w:t>
            </w:r>
            <w:proofErr w:type="spellEnd"/>
            <w:r w:rsidRPr="003F7241">
              <w:rPr>
                <w:rFonts w:ascii="Cambria" w:eastAsia="Calibri" w:hAnsi="Cambria" w:cs="Arial"/>
                <w:sz w:val="22"/>
                <w:szCs w:val="22"/>
                <w:lang w:val="it-IT"/>
              </w:rPr>
              <w:t xml:space="preserve"> </w:t>
            </w:r>
            <w:proofErr w:type="spellStart"/>
            <w:r w:rsidRPr="003F7241">
              <w:rPr>
                <w:rFonts w:ascii="Cambria" w:eastAsia="Calibri" w:hAnsi="Cambria" w:cs="Arial"/>
                <w:sz w:val="22"/>
                <w:szCs w:val="22"/>
                <w:lang w:val="it-IT"/>
              </w:rPr>
              <w:t>obvezama</w:t>
            </w:r>
            <w:proofErr w:type="spellEnd"/>
            <w:r w:rsidRPr="003F7241">
              <w:rPr>
                <w:rFonts w:ascii="Cambria" w:eastAsia="Calibri" w:hAnsi="Cambria" w:cs="Arial"/>
                <w:sz w:val="22"/>
                <w:szCs w:val="22"/>
                <w:lang w:val="it-IT"/>
              </w:rPr>
              <w:t xml:space="preserve"> i </w:t>
            </w:r>
            <w:proofErr w:type="spellStart"/>
            <w:r w:rsidRPr="003F7241">
              <w:rPr>
                <w:rFonts w:ascii="Cambria" w:eastAsia="Calibri" w:hAnsi="Cambria" w:cs="Arial"/>
                <w:sz w:val="22"/>
                <w:szCs w:val="22"/>
                <w:lang w:val="it-IT"/>
              </w:rPr>
              <w:t>dostupnoj</w:t>
            </w:r>
            <w:proofErr w:type="spellEnd"/>
            <w:r w:rsidRPr="003F7241">
              <w:rPr>
                <w:rFonts w:ascii="Cambria" w:eastAsia="Calibri" w:hAnsi="Cambria" w:cs="Arial"/>
                <w:sz w:val="22"/>
                <w:szCs w:val="22"/>
                <w:lang w:val="it-IT"/>
              </w:rPr>
              <w:t xml:space="preserve"> </w:t>
            </w:r>
            <w:proofErr w:type="spellStart"/>
            <w:r w:rsidRPr="003F7241">
              <w:rPr>
                <w:rFonts w:ascii="Cambria" w:eastAsia="Calibri" w:hAnsi="Cambria" w:cs="Arial"/>
                <w:sz w:val="22"/>
                <w:szCs w:val="22"/>
                <w:lang w:val="it-IT"/>
              </w:rPr>
              <w:t>literaturi</w:t>
            </w:r>
            <w:proofErr w:type="spellEnd"/>
            <w:r w:rsidRPr="003F7241">
              <w:rPr>
                <w:rFonts w:ascii="Cambria" w:eastAsia="Calibri" w:hAnsi="Cambria" w:cs="Arial"/>
                <w:sz w:val="22"/>
                <w:szCs w:val="22"/>
                <w:lang w:val="it-IT"/>
              </w:rPr>
              <w:t xml:space="preserve">. O tome </w:t>
            </w:r>
            <w:proofErr w:type="spellStart"/>
            <w:r w:rsidRPr="003F7241">
              <w:rPr>
                <w:rFonts w:ascii="Cambria" w:eastAsia="Calibri" w:hAnsi="Cambria" w:cs="Arial"/>
                <w:sz w:val="22"/>
                <w:szCs w:val="22"/>
                <w:lang w:val="it-IT"/>
              </w:rPr>
              <w:t>će</w:t>
            </w:r>
            <w:proofErr w:type="spellEnd"/>
            <w:r w:rsidRPr="003F7241">
              <w:rPr>
                <w:rFonts w:ascii="Cambria" w:eastAsia="Calibri" w:hAnsi="Cambria" w:cs="Arial"/>
                <w:sz w:val="22"/>
                <w:szCs w:val="22"/>
                <w:lang w:val="it-IT"/>
              </w:rPr>
              <w:t xml:space="preserve"> </w:t>
            </w:r>
            <w:proofErr w:type="spellStart"/>
            <w:r w:rsidRPr="003F7241">
              <w:rPr>
                <w:rFonts w:ascii="Cambria" w:eastAsia="Calibri" w:hAnsi="Cambria" w:cs="Arial"/>
                <w:sz w:val="22"/>
                <w:szCs w:val="22"/>
                <w:lang w:val="it-IT"/>
              </w:rPr>
              <w:t>nositeljica</w:t>
            </w:r>
            <w:proofErr w:type="spellEnd"/>
            <w:r w:rsidRPr="003F7241">
              <w:rPr>
                <w:rFonts w:ascii="Cambria" w:eastAsia="Calibri" w:hAnsi="Cambria" w:cs="Arial"/>
                <w:sz w:val="22"/>
                <w:szCs w:val="22"/>
                <w:lang w:val="it-IT"/>
              </w:rPr>
              <w:t xml:space="preserve"> </w:t>
            </w:r>
            <w:proofErr w:type="spellStart"/>
            <w:r w:rsidRPr="003F7241">
              <w:rPr>
                <w:rFonts w:ascii="Cambria" w:eastAsia="Calibri" w:hAnsi="Cambria" w:cs="Arial"/>
                <w:sz w:val="22"/>
                <w:szCs w:val="22"/>
                <w:lang w:val="it-IT"/>
              </w:rPr>
              <w:t>kolegija</w:t>
            </w:r>
            <w:proofErr w:type="spellEnd"/>
            <w:r w:rsidRPr="003F7241">
              <w:rPr>
                <w:rFonts w:ascii="Cambria" w:eastAsia="Calibri" w:hAnsi="Cambria" w:cs="Arial"/>
                <w:sz w:val="22"/>
                <w:szCs w:val="22"/>
                <w:lang w:val="it-IT"/>
              </w:rPr>
              <w:t xml:space="preserve"> </w:t>
            </w:r>
            <w:proofErr w:type="spellStart"/>
            <w:r w:rsidRPr="003F7241">
              <w:rPr>
                <w:rFonts w:ascii="Cambria" w:eastAsia="Calibri" w:hAnsi="Cambria" w:cs="Arial"/>
                <w:sz w:val="22"/>
                <w:szCs w:val="22"/>
                <w:lang w:val="it-IT"/>
              </w:rPr>
              <w:t>obavijestiti</w:t>
            </w:r>
            <w:proofErr w:type="spellEnd"/>
            <w:r w:rsidRPr="003F7241">
              <w:rPr>
                <w:rFonts w:ascii="Cambria" w:eastAsia="Calibri" w:hAnsi="Cambria" w:cs="Arial"/>
                <w:sz w:val="22"/>
                <w:szCs w:val="22"/>
                <w:lang w:val="it-IT"/>
              </w:rPr>
              <w:t xml:space="preserve"> studente i </w:t>
            </w:r>
            <w:proofErr w:type="spellStart"/>
            <w:r w:rsidRPr="003F7241">
              <w:rPr>
                <w:rFonts w:ascii="Cambria" w:eastAsia="Calibri" w:hAnsi="Cambria" w:cs="Arial"/>
                <w:sz w:val="22"/>
                <w:szCs w:val="22"/>
                <w:lang w:val="it-IT"/>
              </w:rPr>
              <w:t>studentice</w:t>
            </w:r>
            <w:proofErr w:type="spellEnd"/>
            <w:r w:rsidRPr="003F7241">
              <w:rPr>
                <w:rFonts w:ascii="Cambria" w:eastAsia="Calibri" w:hAnsi="Cambria" w:cs="Arial"/>
                <w:sz w:val="22"/>
                <w:szCs w:val="22"/>
                <w:lang w:val="it-IT"/>
              </w:rPr>
              <w:t xml:space="preserve"> </w:t>
            </w:r>
            <w:proofErr w:type="spellStart"/>
            <w:r w:rsidRPr="003F7241">
              <w:rPr>
                <w:rFonts w:ascii="Cambria" w:eastAsia="Calibri" w:hAnsi="Cambria" w:cs="Arial"/>
                <w:sz w:val="22"/>
                <w:szCs w:val="22"/>
                <w:lang w:val="it-IT"/>
              </w:rPr>
              <w:t>kad</w:t>
            </w:r>
            <w:proofErr w:type="spellEnd"/>
            <w:r w:rsidRPr="003F7241">
              <w:rPr>
                <w:rFonts w:ascii="Cambria" w:eastAsia="Calibri" w:hAnsi="Cambria" w:cs="Arial"/>
                <w:sz w:val="22"/>
                <w:szCs w:val="22"/>
                <w:lang w:val="it-IT"/>
              </w:rPr>
              <w:t xml:space="preserve"> se </w:t>
            </w:r>
            <w:proofErr w:type="spellStart"/>
            <w:r w:rsidRPr="003F7241">
              <w:rPr>
                <w:rFonts w:ascii="Cambria" w:eastAsia="Calibri" w:hAnsi="Cambria" w:cs="Arial"/>
                <w:sz w:val="22"/>
                <w:szCs w:val="22"/>
                <w:lang w:val="it-IT"/>
              </w:rPr>
              <w:t>nastava</w:t>
            </w:r>
            <w:proofErr w:type="spellEnd"/>
            <w:r w:rsidRPr="003F7241">
              <w:rPr>
                <w:rFonts w:ascii="Cambria" w:eastAsia="Calibri" w:hAnsi="Cambria" w:cs="Arial"/>
                <w:sz w:val="22"/>
                <w:szCs w:val="22"/>
                <w:lang w:val="it-IT"/>
              </w:rPr>
              <w:t xml:space="preserve"> </w:t>
            </w:r>
            <w:proofErr w:type="spellStart"/>
            <w:r w:rsidRPr="003F7241">
              <w:rPr>
                <w:rFonts w:ascii="Cambria" w:eastAsia="Calibri" w:hAnsi="Cambria" w:cs="Arial"/>
                <w:sz w:val="22"/>
                <w:szCs w:val="22"/>
                <w:lang w:val="it-IT"/>
              </w:rPr>
              <w:t>na</w:t>
            </w:r>
            <w:proofErr w:type="spellEnd"/>
            <w:r w:rsidRPr="003F7241">
              <w:rPr>
                <w:rFonts w:ascii="Cambria" w:eastAsia="Calibri" w:hAnsi="Cambria" w:cs="Arial"/>
                <w:sz w:val="22"/>
                <w:szCs w:val="22"/>
                <w:lang w:val="it-IT"/>
              </w:rPr>
              <w:t xml:space="preserve"> </w:t>
            </w:r>
            <w:proofErr w:type="spellStart"/>
            <w:r w:rsidRPr="003F7241">
              <w:rPr>
                <w:rFonts w:ascii="Cambria" w:eastAsia="Calibri" w:hAnsi="Cambria" w:cs="Arial"/>
                <w:sz w:val="22"/>
                <w:szCs w:val="22"/>
                <w:lang w:val="it-IT"/>
              </w:rPr>
              <w:t>daljinu</w:t>
            </w:r>
            <w:proofErr w:type="spellEnd"/>
            <w:r w:rsidRPr="003F7241">
              <w:rPr>
                <w:rFonts w:ascii="Cambria" w:eastAsia="Calibri" w:hAnsi="Cambria" w:cs="Arial"/>
                <w:sz w:val="22"/>
                <w:szCs w:val="22"/>
                <w:lang w:val="it-IT"/>
              </w:rPr>
              <w:t xml:space="preserve"> </w:t>
            </w:r>
            <w:proofErr w:type="spellStart"/>
            <w:r w:rsidRPr="003F7241">
              <w:rPr>
                <w:rFonts w:ascii="Cambria" w:eastAsia="Calibri" w:hAnsi="Cambria" w:cs="Arial"/>
                <w:sz w:val="22"/>
                <w:szCs w:val="22"/>
                <w:lang w:val="it-IT"/>
              </w:rPr>
              <w:t>počne</w:t>
            </w:r>
            <w:proofErr w:type="spellEnd"/>
            <w:r w:rsidRPr="003F7241">
              <w:rPr>
                <w:rFonts w:ascii="Cambria" w:eastAsia="Calibri" w:hAnsi="Cambria" w:cs="Arial"/>
                <w:sz w:val="22"/>
                <w:szCs w:val="22"/>
                <w:lang w:val="it-IT"/>
              </w:rPr>
              <w:t xml:space="preserve"> </w:t>
            </w:r>
            <w:proofErr w:type="spellStart"/>
            <w:r w:rsidRPr="003F7241">
              <w:rPr>
                <w:rFonts w:ascii="Cambria" w:eastAsia="Calibri" w:hAnsi="Cambria" w:cs="Arial"/>
                <w:sz w:val="22"/>
                <w:szCs w:val="22"/>
                <w:lang w:val="it-IT"/>
              </w:rPr>
              <w:t>održavati</w:t>
            </w:r>
            <w:proofErr w:type="spellEnd"/>
            <w:r w:rsidRPr="003F7241">
              <w:rPr>
                <w:rFonts w:ascii="Cambria" w:eastAsia="Calibri" w:hAnsi="Cambria" w:cs="Arial"/>
                <w:sz w:val="22"/>
                <w:szCs w:val="22"/>
                <w:lang w:val="it-IT"/>
              </w:rPr>
              <w:t xml:space="preserve">. </w:t>
            </w:r>
            <w:proofErr w:type="spellStart"/>
            <w:r w:rsidRPr="003F7241">
              <w:rPr>
                <w:rFonts w:ascii="Cambria" w:eastAsia="Calibri" w:hAnsi="Cambria" w:cs="Arial"/>
                <w:sz w:val="22"/>
                <w:szCs w:val="22"/>
              </w:rPr>
              <w:t>Ishodi</w:t>
            </w:r>
            <w:proofErr w:type="spellEnd"/>
            <w:r w:rsidRPr="003F7241">
              <w:rPr>
                <w:rFonts w:ascii="Cambria" w:eastAsia="Calibri" w:hAnsi="Cambria" w:cs="Arial"/>
                <w:sz w:val="22"/>
                <w:szCs w:val="22"/>
              </w:rPr>
              <w:t xml:space="preserve"> </w:t>
            </w:r>
            <w:proofErr w:type="spellStart"/>
            <w:r w:rsidRPr="003F7241">
              <w:rPr>
                <w:rFonts w:ascii="Cambria" w:eastAsia="Calibri" w:hAnsi="Cambria" w:cs="Arial"/>
                <w:sz w:val="22"/>
                <w:szCs w:val="22"/>
              </w:rPr>
              <w:t>učenja</w:t>
            </w:r>
            <w:proofErr w:type="spellEnd"/>
            <w:r w:rsidRPr="003F7241">
              <w:rPr>
                <w:rFonts w:ascii="Cambria" w:eastAsia="Calibri" w:hAnsi="Cambria" w:cs="Arial"/>
                <w:sz w:val="22"/>
                <w:szCs w:val="22"/>
              </w:rPr>
              <w:t xml:space="preserve"> </w:t>
            </w:r>
            <w:proofErr w:type="spellStart"/>
            <w:r w:rsidRPr="003F7241">
              <w:rPr>
                <w:rFonts w:ascii="Cambria" w:eastAsia="Calibri" w:hAnsi="Cambria" w:cs="Arial"/>
                <w:sz w:val="22"/>
                <w:szCs w:val="22"/>
              </w:rPr>
              <w:t>ostaju</w:t>
            </w:r>
            <w:proofErr w:type="spellEnd"/>
            <w:r w:rsidRPr="003F7241">
              <w:rPr>
                <w:rFonts w:ascii="Cambria" w:eastAsia="Calibri" w:hAnsi="Cambria" w:cs="Arial"/>
                <w:sz w:val="22"/>
                <w:szCs w:val="22"/>
              </w:rPr>
              <w:t xml:space="preserve"> </w:t>
            </w:r>
            <w:proofErr w:type="spellStart"/>
            <w:r w:rsidRPr="003F7241">
              <w:rPr>
                <w:rFonts w:ascii="Cambria" w:eastAsia="Calibri" w:hAnsi="Cambria" w:cs="Arial"/>
                <w:sz w:val="22"/>
                <w:szCs w:val="22"/>
              </w:rPr>
              <w:t>nepromijenjeni</w:t>
            </w:r>
            <w:proofErr w:type="spellEnd"/>
            <w:r w:rsidRPr="003F7241">
              <w:rPr>
                <w:rFonts w:ascii="Cambria" w:eastAsia="Calibri" w:hAnsi="Cambria" w:cs="Arial"/>
                <w:sz w:val="22"/>
                <w:szCs w:val="22"/>
              </w:rPr>
              <w:t>.</w:t>
            </w:r>
          </w:p>
        </w:tc>
      </w:tr>
      <w:tr w:rsidR="001421C4" w:rsidRPr="003F7241" w14:paraId="05CDA1A3" w14:textId="77777777" w:rsidTr="00B36357">
        <w:tc>
          <w:tcPr>
            <w:tcW w:w="25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EE9792E" w14:textId="77777777" w:rsidR="001421C4" w:rsidRPr="003F7241" w:rsidRDefault="001421C4" w:rsidP="00450B7A">
            <w:pPr>
              <w:rPr>
                <w:rFonts w:ascii="Cambria" w:eastAsia="Calibri" w:hAnsi="Cambria"/>
                <w:sz w:val="22"/>
                <w:szCs w:val="22"/>
              </w:rPr>
            </w:pPr>
            <w:proofErr w:type="spellStart"/>
            <w:r w:rsidRPr="003F7241">
              <w:rPr>
                <w:rFonts w:ascii="Cambria" w:eastAsia="Calibri" w:hAnsi="Cambria"/>
                <w:sz w:val="22"/>
                <w:szCs w:val="22"/>
              </w:rPr>
              <w:t>Literatura</w:t>
            </w:r>
            <w:proofErr w:type="spellEnd"/>
          </w:p>
        </w:tc>
        <w:tc>
          <w:tcPr>
            <w:tcW w:w="7241"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DDAAC22" w14:textId="77777777" w:rsidR="001421C4" w:rsidRPr="003F7241" w:rsidRDefault="001421C4" w:rsidP="00450B7A">
            <w:pPr>
              <w:jc w:val="both"/>
              <w:rPr>
                <w:rFonts w:ascii="Cambria" w:eastAsia="Calibri" w:hAnsi="Cambria" w:cs="Calibri"/>
                <w:sz w:val="22"/>
                <w:szCs w:val="22"/>
              </w:rPr>
            </w:pPr>
            <w:proofErr w:type="spellStart"/>
            <w:r w:rsidRPr="003F7241">
              <w:rPr>
                <w:rFonts w:ascii="Cambria" w:eastAsia="Calibri" w:hAnsi="Cambria" w:cs="Calibri"/>
                <w:sz w:val="22"/>
                <w:szCs w:val="22"/>
              </w:rPr>
              <w:t>Obvezna</w:t>
            </w:r>
            <w:proofErr w:type="spellEnd"/>
            <w:r w:rsidRPr="003F7241">
              <w:rPr>
                <w:rFonts w:ascii="Cambria" w:eastAsia="Calibri" w:hAnsi="Cambria" w:cs="Calibri"/>
                <w:sz w:val="22"/>
                <w:szCs w:val="22"/>
              </w:rPr>
              <w:t xml:space="preserve">: </w:t>
            </w:r>
          </w:p>
          <w:p w14:paraId="590A66B2" w14:textId="77777777" w:rsidR="001421C4" w:rsidRPr="003F7241" w:rsidRDefault="001421C4" w:rsidP="00450B7A">
            <w:pPr>
              <w:jc w:val="both"/>
              <w:rPr>
                <w:rFonts w:ascii="Cambria" w:hAnsi="Cambria" w:cs="Calibri"/>
                <w:sz w:val="22"/>
                <w:szCs w:val="22"/>
              </w:rPr>
            </w:pPr>
            <w:r w:rsidRPr="003F7241">
              <w:rPr>
                <w:rFonts w:ascii="Cambria" w:hAnsi="Cambria" w:cs="Calibri"/>
                <w:sz w:val="22"/>
                <w:szCs w:val="22"/>
              </w:rPr>
              <w:t>1. Gallahue, D., Ozmun, J. C., &amp; Goodway, J. D. (2012). Understanding Motor Development: Infants, Children, Adolescents, Adults (7th ed.). New York: McGraw-Hill Companies, Inc. (</w:t>
            </w:r>
            <w:proofErr w:type="spellStart"/>
            <w:r w:rsidRPr="003F7241">
              <w:rPr>
                <w:rFonts w:ascii="Cambria" w:hAnsi="Cambria" w:cs="Calibri"/>
                <w:sz w:val="22"/>
                <w:szCs w:val="22"/>
              </w:rPr>
              <w:t>odabrana</w:t>
            </w:r>
            <w:proofErr w:type="spellEnd"/>
            <w:r w:rsidRPr="003F7241">
              <w:rPr>
                <w:rFonts w:ascii="Cambria" w:hAnsi="Cambria" w:cs="Calibri"/>
                <w:sz w:val="22"/>
                <w:szCs w:val="22"/>
              </w:rPr>
              <w:t xml:space="preserve"> </w:t>
            </w:r>
            <w:proofErr w:type="spellStart"/>
            <w:r w:rsidRPr="003F7241">
              <w:rPr>
                <w:rFonts w:ascii="Cambria" w:hAnsi="Cambria" w:cs="Calibri"/>
                <w:sz w:val="22"/>
                <w:szCs w:val="22"/>
              </w:rPr>
              <w:t>poglavlja</w:t>
            </w:r>
            <w:proofErr w:type="spellEnd"/>
            <w:r w:rsidRPr="003F7241">
              <w:rPr>
                <w:rFonts w:ascii="Cambria" w:hAnsi="Cambria" w:cs="Calibri"/>
                <w:sz w:val="22"/>
                <w:szCs w:val="22"/>
              </w:rPr>
              <w:t>)</w:t>
            </w:r>
          </w:p>
          <w:p w14:paraId="7F12AC67" w14:textId="77777777" w:rsidR="001421C4" w:rsidRPr="003F7241" w:rsidRDefault="001421C4" w:rsidP="00450B7A">
            <w:pPr>
              <w:jc w:val="both"/>
              <w:rPr>
                <w:rFonts w:ascii="Cambria" w:hAnsi="Cambria" w:cs="Calibri"/>
                <w:sz w:val="22"/>
                <w:szCs w:val="22"/>
              </w:rPr>
            </w:pPr>
            <w:r w:rsidRPr="003F7241">
              <w:rPr>
                <w:rFonts w:ascii="Cambria" w:eastAsia="Calibri" w:hAnsi="Cambria" w:cs="Arial"/>
                <w:color w:val="000000"/>
                <w:sz w:val="22"/>
                <w:szCs w:val="22"/>
              </w:rPr>
              <w:t>2. Malina, R., Bouchard, C., Bar-</w:t>
            </w:r>
            <w:proofErr w:type="spellStart"/>
            <w:proofErr w:type="gramStart"/>
            <w:r w:rsidRPr="003F7241">
              <w:rPr>
                <w:rFonts w:ascii="Cambria" w:eastAsia="Calibri" w:hAnsi="Cambria" w:cs="Arial"/>
                <w:color w:val="000000"/>
                <w:sz w:val="22"/>
                <w:szCs w:val="22"/>
              </w:rPr>
              <w:t>Or,O</w:t>
            </w:r>
            <w:proofErr w:type="spellEnd"/>
            <w:r w:rsidRPr="003F7241">
              <w:rPr>
                <w:rFonts w:ascii="Cambria" w:eastAsia="Calibri" w:hAnsi="Cambria" w:cs="Arial"/>
                <w:color w:val="000000"/>
                <w:sz w:val="22"/>
                <w:szCs w:val="22"/>
              </w:rPr>
              <w:t>.</w:t>
            </w:r>
            <w:proofErr w:type="gramEnd"/>
            <w:r w:rsidRPr="003F7241">
              <w:rPr>
                <w:rFonts w:ascii="Cambria" w:eastAsia="Calibri" w:hAnsi="Cambria" w:cs="Arial"/>
                <w:color w:val="000000"/>
                <w:sz w:val="22"/>
                <w:szCs w:val="22"/>
              </w:rPr>
              <w:t xml:space="preserve"> (2004). Growth, Maturation and Physical Activity. 2nd ed. Champaign, IL: Human Kinetics. (</w:t>
            </w:r>
            <w:proofErr w:type="spellStart"/>
            <w:r w:rsidRPr="003F7241">
              <w:rPr>
                <w:rFonts w:ascii="Cambria" w:eastAsia="Calibri" w:hAnsi="Cambria" w:cs="Arial"/>
                <w:color w:val="000000"/>
                <w:sz w:val="22"/>
                <w:szCs w:val="22"/>
              </w:rPr>
              <w:t>odabrana</w:t>
            </w:r>
            <w:proofErr w:type="spellEnd"/>
            <w:r w:rsidRPr="003F7241">
              <w:rPr>
                <w:rFonts w:ascii="Cambria" w:eastAsia="Calibri" w:hAnsi="Cambria" w:cs="Arial"/>
                <w:color w:val="000000"/>
                <w:sz w:val="22"/>
                <w:szCs w:val="22"/>
              </w:rPr>
              <w:t xml:space="preserve"> </w:t>
            </w:r>
            <w:proofErr w:type="spellStart"/>
            <w:r w:rsidRPr="003F7241">
              <w:rPr>
                <w:rFonts w:ascii="Cambria" w:eastAsia="Calibri" w:hAnsi="Cambria" w:cs="Arial"/>
                <w:color w:val="000000"/>
                <w:sz w:val="22"/>
                <w:szCs w:val="22"/>
              </w:rPr>
              <w:t>poglavlja</w:t>
            </w:r>
            <w:proofErr w:type="spellEnd"/>
            <w:r w:rsidRPr="003F7241">
              <w:rPr>
                <w:rFonts w:ascii="Cambria" w:eastAsia="Calibri" w:hAnsi="Cambria" w:cs="Arial"/>
                <w:color w:val="000000"/>
                <w:sz w:val="22"/>
                <w:szCs w:val="22"/>
              </w:rPr>
              <w:t>).</w:t>
            </w:r>
          </w:p>
          <w:p w14:paraId="0A6CE149" w14:textId="77777777" w:rsidR="001421C4" w:rsidRPr="003F7241" w:rsidRDefault="001421C4" w:rsidP="00450B7A">
            <w:pPr>
              <w:jc w:val="both"/>
              <w:rPr>
                <w:rFonts w:ascii="Cambria" w:hAnsi="Cambria" w:cs="Calibri"/>
                <w:sz w:val="22"/>
                <w:szCs w:val="22"/>
              </w:rPr>
            </w:pPr>
            <w:r w:rsidRPr="003F7241">
              <w:rPr>
                <w:rFonts w:ascii="Cambria" w:hAnsi="Cambria" w:cs="Calibri"/>
                <w:sz w:val="22"/>
                <w:szCs w:val="22"/>
              </w:rPr>
              <w:t xml:space="preserve">3. </w:t>
            </w:r>
            <w:proofErr w:type="spellStart"/>
            <w:r w:rsidRPr="003F7241">
              <w:rPr>
                <w:rFonts w:ascii="Cambria" w:hAnsi="Cambria" w:cs="Calibri"/>
                <w:sz w:val="22"/>
                <w:szCs w:val="22"/>
              </w:rPr>
              <w:t>Mišigoj</w:t>
            </w:r>
            <w:proofErr w:type="spellEnd"/>
            <w:r w:rsidRPr="003F7241">
              <w:rPr>
                <w:rFonts w:ascii="Cambria" w:hAnsi="Cambria" w:cs="Calibri"/>
                <w:sz w:val="22"/>
                <w:szCs w:val="22"/>
              </w:rPr>
              <w:t xml:space="preserve">-Duraković, M. (2008). </w:t>
            </w:r>
            <w:proofErr w:type="spellStart"/>
            <w:r w:rsidRPr="003F7241">
              <w:rPr>
                <w:rFonts w:ascii="Cambria" w:hAnsi="Cambria" w:cs="Calibri"/>
                <w:sz w:val="22"/>
                <w:szCs w:val="22"/>
              </w:rPr>
              <w:t>Kinantropologija</w:t>
            </w:r>
            <w:proofErr w:type="spellEnd"/>
            <w:r w:rsidRPr="003F7241">
              <w:rPr>
                <w:rFonts w:ascii="Cambria" w:hAnsi="Cambria" w:cs="Calibri"/>
                <w:sz w:val="22"/>
                <w:szCs w:val="22"/>
              </w:rPr>
              <w:t xml:space="preserve">: </w:t>
            </w:r>
            <w:proofErr w:type="spellStart"/>
            <w:r w:rsidRPr="003F7241">
              <w:rPr>
                <w:rFonts w:ascii="Cambria" w:hAnsi="Cambria" w:cs="Calibri"/>
                <w:sz w:val="22"/>
                <w:szCs w:val="22"/>
              </w:rPr>
              <w:t>biološki</w:t>
            </w:r>
            <w:proofErr w:type="spellEnd"/>
            <w:r w:rsidRPr="003F7241">
              <w:rPr>
                <w:rFonts w:ascii="Cambria" w:hAnsi="Cambria" w:cs="Calibri"/>
                <w:sz w:val="22"/>
                <w:szCs w:val="22"/>
              </w:rPr>
              <w:t xml:space="preserve"> </w:t>
            </w:r>
            <w:proofErr w:type="spellStart"/>
            <w:r w:rsidRPr="003F7241">
              <w:rPr>
                <w:rFonts w:ascii="Cambria" w:hAnsi="Cambria" w:cs="Calibri"/>
                <w:sz w:val="22"/>
                <w:szCs w:val="22"/>
              </w:rPr>
              <w:t>aspekti</w:t>
            </w:r>
            <w:proofErr w:type="spellEnd"/>
            <w:r w:rsidRPr="003F7241">
              <w:rPr>
                <w:rFonts w:ascii="Cambria" w:hAnsi="Cambria" w:cs="Calibri"/>
                <w:sz w:val="22"/>
                <w:szCs w:val="22"/>
              </w:rPr>
              <w:t xml:space="preserve"> </w:t>
            </w:r>
            <w:proofErr w:type="spellStart"/>
            <w:r w:rsidRPr="003F7241">
              <w:rPr>
                <w:rFonts w:ascii="Cambria" w:hAnsi="Cambria" w:cs="Calibri"/>
                <w:sz w:val="22"/>
                <w:szCs w:val="22"/>
              </w:rPr>
              <w:t>tjelesnog</w:t>
            </w:r>
            <w:proofErr w:type="spellEnd"/>
            <w:r w:rsidRPr="003F7241">
              <w:rPr>
                <w:rFonts w:ascii="Cambria" w:hAnsi="Cambria" w:cs="Calibri"/>
                <w:sz w:val="22"/>
                <w:szCs w:val="22"/>
              </w:rPr>
              <w:t xml:space="preserve"> </w:t>
            </w:r>
            <w:proofErr w:type="spellStart"/>
            <w:r w:rsidRPr="003F7241">
              <w:rPr>
                <w:rFonts w:ascii="Cambria" w:hAnsi="Cambria" w:cs="Calibri"/>
                <w:sz w:val="22"/>
                <w:szCs w:val="22"/>
              </w:rPr>
              <w:t>vježbanja</w:t>
            </w:r>
            <w:proofErr w:type="spellEnd"/>
            <w:r w:rsidRPr="003F7241">
              <w:rPr>
                <w:rFonts w:ascii="Cambria" w:hAnsi="Cambria" w:cs="Calibri"/>
                <w:sz w:val="22"/>
                <w:szCs w:val="22"/>
              </w:rPr>
              <w:t xml:space="preserve">. Zagreb: </w:t>
            </w:r>
            <w:proofErr w:type="spellStart"/>
            <w:r w:rsidRPr="003F7241">
              <w:rPr>
                <w:rFonts w:ascii="Cambria" w:hAnsi="Cambria" w:cs="Calibri"/>
                <w:sz w:val="22"/>
                <w:szCs w:val="22"/>
              </w:rPr>
              <w:t>Kineziološki</w:t>
            </w:r>
            <w:proofErr w:type="spellEnd"/>
            <w:r w:rsidRPr="003F7241">
              <w:rPr>
                <w:rFonts w:ascii="Cambria" w:hAnsi="Cambria" w:cs="Calibri"/>
                <w:sz w:val="22"/>
                <w:szCs w:val="22"/>
              </w:rPr>
              <w:t xml:space="preserve"> </w:t>
            </w:r>
            <w:proofErr w:type="spellStart"/>
            <w:r w:rsidRPr="003F7241">
              <w:rPr>
                <w:rFonts w:ascii="Cambria" w:hAnsi="Cambria" w:cs="Calibri"/>
                <w:sz w:val="22"/>
                <w:szCs w:val="22"/>
              </w:rPr>
              <w:t>fakultet</w:t>
            </w:r>
            <w:proofErr w:type="spellEnd"/>
            <w:r w:rsidRPr="003F7241">
              <w:rPr>
                <w:rFonts w:ascii="Cambria" w:hAnsi="Cambria" w:cs="Calibri"/>
                <w:sz w:val="22"/>
                <w:szCs w:val="22"/>
              </w:rPr>
              <w:t xml:space="preserve"> </w:t>
            </w:r>
            <w:proofErr w:type="spellStart"/>
            <w:r w:rsidRPr="003F7241">
              <w:rPr>
                <w:rFonts w:ascii="Cambria" w:hAnsi="Cambria" w:cs="Calibri"/>
                <w:sz w:val="22"/>
                <w:szCs w:val="22"/>
              </w:rPr>
              <w:t>Sveučilišta</w:t>
            </w:r>
            <w:proofErr w:type="spellEnd"/>
            <w:r w:rsidRPr="003F7241">
              <w:rPr>
                <w:rFonts w:ascii="Cambria" w:hAnsi="Cambria" w:cs="Calibri"/>
                <w:sz w:val="22"/>
                <w:szCs w:val="22"/>
              </w:rPr>
              <w:t xml:space="preserve"> u </w:t>
            </w:r>
            <w:proofErr w:type="spellStart"/>
            <w:r w:rsidRPr="003F7241">
              <w:rPr>
                <w:rFonts w:ascii="Cambria" w:hAnsi="Cambria" w:cs="Calibri"/>
                <w:sz w:val="22"/>
                <w:szCs w:val="22"/>
              </w:rPr>
              <w:t>Zagrebu</w:t>
            </w:r>
            <w:proofErr w:type="spellEnd"/>
            <w:r w:rsidRPr="003F7241">
              <w:rPr>
                <w:rFonts w:ascii="Cambria" w:hAnsi="Cambria" w:cs="Calibri"/>
                <w:sz w:val="22"/>
                <w:szCs w:val="22"/>
              </w:rPr>
              <w:t>.</w:t>
            </w:r>
          </w:p>
          <w:p w14:paraId="0E0B565C" w14:textId="77777777" w:rsidR="001421C4" w:rsidRPr="003F7241" w:rsidRDefault="001421C4" w:rsidP="00450B7A">
            <w:pPr>
              <w:jc w:val="both"/>
              <w:rPr>
                <w:rFonts w:ascii="Cambria" w:eastAsia="Calibri" w:hAnsi="Cambria" w:cs="Calibri"/>
                <w:sz w:val="22"/>
                <w:szCs w:val="22"/>
              </w:rPr>
            </w:pPr>
            <w:r w:rsidRPr="003F7241">
              <w:rPr>
                <w:rFonts w:ascii="Cambria" w:eastAsia="Calibri" w:hAnsi="Cambria" w:cs="Calibri"/>
                <w:sz w:val="22"/>
                <w:szCs w:val="22"/>
              </w:rPr>
              <w:t>4. Haibach-Beach, P., Reid, G.</w:t>
            </w:r>
            <w:proofErr w:type="gramStart"/>
            <w:r w:rsidRPr="003F7241">
              <w:rPr>
                <w:rFonts w:ascii="Cambria" w:eastAsia="Calibri" w:hAnsi="Cambria" w:cs="Calibri"/>
                <w:sz w:val="22"/>
                <w:szCs w:val="22"/>
              </w:rPr>
              <w:t>,  Collier</w:t>
            </w:r>
            <w:proofErr w:type="gramEnd"/>
            <w:r w:rsidRPr="003F7241">
              <w:rPr>
                <w:rFonts w:ascii="Cambria" w:eastAsia="Calibri" w:hAnsi="Cambria" w:cs="Calibri"/>
                <w:sz w:val="22"/>
                <w:szCs w:val="22"/>
              </w:rPr>
              <w:t xml:space="preserve">, D. (2018). Motor learning and development. Champaign, </w:t>
            </w:r>
            <w:proofErr w:type="gramStart"/>
            <w:r w:rsidRPr="003F7241">
              <w:rPr>
                <w:rFonts w:ascii="Cambria" w:eastAsia="Calibri" w:hAnsi="Cambria" w:cs="Calibri"/>
                <w:sz w:val="22"/>
                <w:szCs w:val="22"/>
              </w:rPr>
              <w:t>IL :</w:t>
            </w:r>
            <w:proofErr w:type="gramEnd"/>
            <w:r w:rsidRPr="003F7241">
              <w:rPr>
                <w:rFonts w:ascii="Cambria" w:eastAsia="Calibri" w:hAnsi="Cambria" w:cs="Calibri"/>
                <w:sz w:val="22"/>
                <w:szCs w:val="22"/>
              </w:rPr>
              <w:t xml:space="preserve"> Human Kinetics.</w:t>
            </w:r>
          </w:p>
          <w:p w14:paraId="63FCBAAC" w14:textId="77777777" w:rsidR="001421C4" w:rsidRPr="003F7241" w:rsidRDefault="001421C4" w:rsidP="00450B7A">
            <w:pPr>
              <w:jc w:val="both"/>
              <w:rPr>
                <w:rFonts w:ascii="Cambria" w:eastAsia="Calibri" w:hAnsi="Cambria" w:cs="Calibri"/>
                <w:sz w:val="22"/>
                <w:szCs w:val="22"/>
              </w:rPr>
            </w:pPr>
            <w:proofErr w:type="spellStart"/>
            <w:r w:rsidRPr="003F7241">
              <w:rPr>
                <w:rFonts w:ascii="Cambria" w:eastAsia="Calibri" w:hAnsi="Cambria" w:cs="Calibri"/>
                <w:sz w:val="22"/>
                <w:szCs w:val="22"/>
              </w:rPr>
              <w:t>Izborna</w:t>
            </w:r>
            <w:proofErr w:type="spellEnd"/>
            <w:r w:rsidRPr="003F7241">
              <w:rPr>
                <w:rFonts w:ascii="Cambria" w:eastAsia="Calibri" w:hAnsi="Cambria" w:cs="Calibri"/>
                <w:sz w:val="22"/>
                <w:szCs w:val="22"/>
              </w:rPr>
              <w:t>:</w:t>
            </w:r>
          </w:p>
          <w:p w14:paraId="71923B9D" w14:textId="77777777" w:rsidR="001421C4" w:rsidRPr="003F7241" w:rsidRDefault="001421C4" w:rsidP="00450B7A">
            <w:pPr>
              <w:jc w:val="both"/>
              <w:rPr>
                <w:rFonts w:ascii="Cambria" w:hAnsi="Cambria" w:cs="Calibri"/>
                <w:sz w:val="22"/>
                <w:szCs w:val="22"/>
              </w:rPr>
            </w:pPr>
            <w:r w:rsidRPr="003F7241">
              <w:rPr>
                <w:rFonts w:ascii="Cambria" w:hAnsi="Cambria" w:cs="Calibri"/>
                <w:sz w:val="22"/>
                <w:szCs w:val="22"/>
              </w:rPr>
              <w:t xml:space="preserve">1. </w:t>
            </w:r>
            <w:proofErr w:type="spellStart"/>
            <w:r w:rsidRPr="003F7241">
              <w:rPr>
                <w:rFonts w:ascii="Cambria" w:hAnsi="Cambria" w:cs="Calibri"/>
                <w:sz w:val="22"/>
                <w:szCs w:val="22"/>
              </w:rPr>
              <w:t>Kosinac</w:t>
            </w:r>
            <w:proofErr w:type="spellEnd"/>
            <w:r w:rsidRPr="003F7241">
              <w:rPr>
                <w:rFonts w:ascii="Cambria" w:hAnsi="Cambria" w:cs="Calibri"/>
                <w:sz w:val="22"/>
                <w:szCs w:val="22"/>
              </w:rPr>
              <w:t xml:space="preserve">, Z. (2011). </w:t>
            </w:r>
            <w:proofErr w:type="spellStart"/>
            <w:r w:rsidRPr="003F7241">
              <w:rPr>
                <w:rFonts w:ascii="Cambria" w:hAnsi="Cambria" w:cs="Calibri"/>
                <w:sz w:val="22"/>
                <w:szCs w:val="22"/>
              </w:rPr>
              <w:t>Morfološko-motorički</w:t>
            </w:r>
            <w:proofErr w:type="spellEnd"/>
            <w:r w:rsidRPr="003F7241">
              <w:rPr>
                <w:rFonts w:ascii="Cambria" w:hAnsi="Cambria" w:cs="Calibri"/>
                <w:sz w:val="22"/>
                <w:szCs w:val="22"/>
              </w:rPr>
              <w:t xml:space="preserve"> </w:t>
            </w:r>
            <w:proofErr w:type="spellStart"/>
            <w:r w:rsidRPr="003F7241">
              <w:rPr>
                <w:rFonts w:ascii="Cambria" w:hAnsi="Cambria" w:cs="Calibri"/>
                <w:sz w:val="22"/>
                <w:szCs w:val="22"/>
              </w:rPr>
              <w:t>i</w:t>
            </w:r>
            <w:proofErr w:type="spellEnd"/>
            <w:r w:rsidRPr="003F7241">
              <w:rPr>
                <w:rFonts w:ascii="Cambria" w:hAnsi="Cambria" w:cs="Calibri"/>
                <w:sz w:val="22"/>
                <w:szCs w:val="22"/>
              </w:rPr>
              <w:t xml:space="preserve"> </w:t>
            </w:r>
            <w:proofErr w:type="spellStart"/>
            <w:r w:rsidRPr="003F7241">
              <w:rPr>
                <w:rFonts w:ascii="Cambria" w:hAnsi="Cambria" w:cs="Calibri"/>
                <w:sz w:val="22"/>
                <w:szCs w:val="22"/>
              </w:rPr>
              <w:t>funkcionalni</w:t>
            </w:r>
            <w:proofErr w:type="spellEnd"/>
            <w:r w:rsidRPr="003F7241">
              <w:rPr>
                <w:rFonts w:ascii="Cambria" w:hAnsi="Cambria" w:cs="Calibri"/>
                <w:sz w:val="22"/>
                <w:szCs w:val="22"/>
              </w:rPr>
              <w:t xml:space="preserve"> </w:t>
            </w:r>
            <w:proofErr w:type="spellStart"/>
            <w:r w:rsidRPr="003F7241">
              <w:rPr>
                <w:rFonts w:ascii="Cambria" w:hAnsi="Cambria" w:cs="Calibri"/>
                <w:sz w:val="22"/>
                <w:szCs w:val="22"/>
              </w:rPr>
              <w:t>razvoj</w:t>
            </w:r>
            <w:proofErr w:type="spellEnd"/>
            <w:r w:rsidRPr="003F7241">
              <w:rPr>
                <w:rFonts w:ascii="Cambria" w:hAnsi="Cambria" w:cs="Calibri"/>
                <w:sz w:val="22"/>
                <w:szCs w:val="22"/>
              </w:rPr>
              <w:t xml:space="preserve"> </w:t>
            </w:r>
            <w:proofErr w:type="spellStart"/>
            <w:r w:rsidRPr="003F7241">
              <w:rPr>
                <w:rFonts w:ascii="Cambria" w:hAnsi="Cambria" w:cs="Calibri"/>
                <w:sz w:val="22"/>
                <w:szCs w:val="22"/>
              </w:rPr>
              <w:t>djece</w:t>
            </w:r>
            <w:proofErr w:type="spellEnd"/>
            <w:r w:rsidRPr="003F7241">
              <w:rPr>
                <w:rFonts w:ascii="Cambria" w:hAnsi="Cambria" w:cs="Calibri"/>
                <w:sz w:val="22"/>
                <w:szCs w:val="22"/>
              </w:rPr>
              <w:t xml:space="preserve"> </w:t>
            </w:r>
            <w:proofErr w:type="spellStart"/>
            <w:r w:rsidRPr="003F7241">
              <w:rPr>
                <w:rFonts w:ascii="Cambria" w:hAnsi="Cambria" w:cs="Calibri"/>
                <w:sz w:val="22"/>
                <w:szCs w:val="22"/>
              </w:rPr>
              <w:t>uzrasne</w:t>
            </w:r>
            <w:proofErr w:type="spellEnd"/>
            <w:r w:rsidRPr="003F7241">
              <w:rPr>
                <w:rFonts w:ascii="Cambria" w:hAnsi="Cambria" w:cs="Calibri"/>
                <w:sz w:val="22"/>
                <w:szCs w:val="22"/>
              </w:rPr>
              <w:t xml:space="preserve"> </w:t>
            </w:r>
            <w:proofErr w:type="spellStart"/>
            <w:r w:rsidRPr="003F7241">
              <w:rPr>
                <w:rFonts w:ascii="Cambria" w:hAnsi="Cambria" w:cs="Calibri"/>
                <w:sz w:val="22"/>
                <w:szCs w:val="22"/>
              </w:rPr>
              <w:t>dobi</w:t>
            </w:r>
            <w:proofErr w:type="spellEnd"/>
            <w:r w:rsidRPr="003F7241">
              <w:rPr>
                <w:rFonts w:ascii="Cambria" w:hAnsi="Cambria" w:cs="Calibri"/>
                <w:sz w:val="22"/>
                <w:szCs w:val="22"/>
              </w:rPr>
              <w:t xml:space="preserve"> od 5. </w:t>
            </w:r>
            <w:proofErr w:type="spellStart"/>
            <w:r w:rsidRPr="003F7241">
              <w:rPr>
                <w:rFonts w:ascii="Cambria" w:hAnsi="Cambria" w:cs="Calibri"/>
                <w:sz w:val="22"/>
                <w:szCs w:val="22"/>
              </w:rPr>
              <w:t>do</w:t>
            </w:r>
            <w:proofErr w:type="spellEnd"/>
            <w:r w:rsidRPr="003F7241">
              <w:rPr>
                <w:rFonts w:ascii="Cambria" w:hAnsi="Cambria" w:cs="Calibri"/>
                <w:sz w:val="22"/>
                <w:szCs w:val="22"/>
              </w:rPr>
              <w:t xml:space="preserve"> 11. </w:t>
            </w:r>
            <w:proofErr w:type="spellStart"/>
            <w:r w:rsidRPr="003F7241">
              <w:rPr>
                <w:rFonts w:ascii="Cambria" w:hAnsi="Cambria" w:cs="Calibri"/>
                <w:sz w:val="22"/>
                <w:szCs w:val="22"/>
              </w:rPr>
              <w:t>godine</w:t>
            </w:r>
            <w:proofErr w:type="spellEnd"/>
            <w:r w:rsidRPr="003F7241">
              <w:rPr>
                <w:rFonts w:ascii="Cambria" w:hAnsi="Cambria" w:cs="Calibri"/>
                <w:sz w:val="22"/>
                <w:szCs w:val="22"/>
              </w:rPr>
              <w:t xml:space="preserve">. Split: </w:t>
            </w:r>
            <w:proofErr w:type="spellStart"/>
            <w:r w:rsidRPr="003F7241">
              <w:rPr>
                <w:rFonts w:ascii="Cambria" w:hAnsi="Cambria" w:cs="Calibri"/>
                <w:sz w:val="22"/>
                <w:szCs w:val="22"/>
              </w:rPr>
              <w:t>Savez</w:t>
            </w:r>
            <w:proofErr w:type="spellEnd"/>
            <w:r w:rsidRPr="003F7241">
              <w:rPr>
                <w:rFonts w:ascii="Cambria" w:hAnsi="Cambria" w:cs="Calibri"/>
                <w:sz w:val="22"/>
                <w:szCs w:val="22"/>
              </w:rPr>
              <w:t xml:space="preserve"> </w:t>
            </w:r>
            <w:proofErr w:type="spellStart"/>
            <w:r w:rsidRPr="003F7241">
              <w:rPr>
                <w:rFonts w:ascii="Cambria" w:hAnsi="Cambria" w:cs="Calibri"/>
                <w:sz w:val="22"/>
                <w:szCs w:val="22"/>
              </w:rPr>
              <w:t>školskih</w:t>
            </w:r>
            <w:proofErr w:type="spellEnd"/>
            <w:r w:rsidRPr="003F7241">
              <w:rPr>
                <w:rFonts w:ascii="Cambria" w:hAnsi="Cambria" w:cs="Calibri"/>
                <w:sz w:val="22"/>
                <w:szCs w:val="22"/>
              </w:rPr>
              <w:t xml:space="preserve"> </w:t>
            </w:r>
            <w:proofErr w:type="spellStart"/>
            <w:r w:rsidRPr="003F7241">
              <w:rPr>
                <w:rFonts w:ascii="Cambria" w:hAnsi="Cambria" w:cs="Calibri"/>
                <w:sz w:val="22"/>
                <w:szCs w:val="22"/>
              </w:rPr>
              <w:t>športskih</w:t>
            </w:r>
            <w:proofErr w:type="spellEnd"/>
            <w:r w:rsidRPr="003F7241">
              <w:rPr>
                <w:rFonts w:ascii="Cambria" w:hAnsi="Cambria" w:cs="Calibri"/>
                <w:sz w:val="22"/>
                <w:szCs w:val="22"/>
              </w:rPr>
              <w:t xml:space="preserve"> </w:t>
            </w:r>
            <w:proofErr w:type="spellStart"/>
            <w:r w:rsidRPr="003F7241">
              <w:rPr>
                <w:rFonts w:ascii="Cambria" w:hAnsi="Cambria" w:cs="Calibri"/>
                <w:sz w:val="22"/>
                <w:szCs w:val="22"/>
              </w:rPr>
              <w:t>društava</w:t>
            </w:r>
            <w:proofErr w:type="spellEnd"/>
            <w:r w:rsidRPr="003F7241">
              <w:rPr>
                <w:rFonts w:ascii="Cambria" w:hAnsi="Cambria" w:cs="Calibri"/>
                <w:sz w:val="22"/>
                <w:szCs w:val="22"/>
              </w:rPr>
              <w:t xml:space="preserve"> </w:t>
            </w:r>
            <w:proofErr w:type="spellStart"/>
            <w:r w:rsidRPr="003F7241">
              <w:rPr>
                <w:rFonts w:ascii="Cambria" w:hAnsi="Cambria" w:cs="Calibri"/>
                <w:sz w:val="22"/>
                <w:szCs w:val="22"/>
              </w:rPr>
              <w:t>grada</w:t>
            </w:r>
            <w:proofErr w:type="spellEnd"/>
            <w:r w:rsidRPr="003F7241">
              <w:rPr>
                <w:rFonts w:ascii="Cambria" w:hAnsi="Cambria" w:cs="Calibri"/>
                <w:sz w:val="22"/>
                <w:szCs w:val="22"/>
              </w:rPr>
              <w:t xml:space="preserve"> </w:t>
            </w:r>
            <w:proofErr w:type="spellStart"/>
            <w:r w:rsidRPr="003F7241">
              <w:rPr>
                <w:rFonts w:ascii="Cambria" w:hAnsi="Cambria" w:cs="Calibri"/>
                <w:sz w:val="22"/>
                <w:szCs w:val="22"/>
              </w:rPr>
              <w:t>Splita</w:t>
            </w:r>
            <w:proofErr w:type="spellEnd"/>
            <w:r w:rsidRPr="003F7241">
              <w:rPr>
                <w:rFonts w:ascii="Cambria" w:hAnsi="Cambria" w:cs="Calibri"/>
                <w:sz w:val="22"/>
                <w:szCs w:val="22"/>
              </w:rPr>
              <w:t>.</w:t>
            </w:r>
          </w:p>
          <w:p w14:paraId="1205DBCA" w14:textId="77777777" w:rsidR="001421C4" w:rsidRPr="003F7241" w:rsidRDefault="001421C4" w:rsidP="00450B7A">
            <w:pPr>
              <w:jc w:val="both"/>
              <w:rPr>
                <w:rFonts w:ascii="Cambria" w:hAnsi="Cambria" w:cs="Calibri"/>
                <w:sz w:val="22"/>
                <w:szCs w:val="22"/>
              </w:rPr>
            </w:pPr>
            <w:r w:rsidRPr="003F7241">
              <w:rPr>
                <w:rFonts w:ascii="Cambria" w:hAnsi="Cambria" w:cs="Calibri"/>
                <w:sz w:val="22"/>
                <w:szCs w:val="22"/>
              </w:rPr>
              <w:t xml:space="preserve">2. </w:t>
            </w:r>
            <w:proofErr w:type="spellStart"/>
            <w:r w:rsidRPr="003F7241">
              <w:rPr>
                <w:rFonts w:ascii="Cambria" w:hAnsi="Cambria" w:cs="Calibri"/>
                <w:sz w:val="22"/>
                <w:szCs w:val="22"/>
              </w:rPr>
              <w:t>Mardešić</w:t>
            </w:r>
            <w:proofErr w:type="spellEnd"/>
            <w:r w:rsidRPr="003F7241">
              <w:rPr>
                <w:rFonts w:ascii="Cambria" w:hAnsi="Cambria" w:cs="Calibri"/>
                <w:sz w:val="22"/>
                <w:szCs w:val="22"/>
              </w:rPr>
              <w:t xml:space="preserve">, D. </w:t>
            </w:r>
            <w:proofErr w:type="spellStart"/>
            <w:r w:rsidRPr="003F7241">
              <w:rPr>
                <w:rFonts w:ascii="Cambria" w:hAnsi="Cambria" w:cs="Calibri"/>
                <w:sz w:val="22"/>
                <w:szCs w:val="22"/>
              </w:rPr>
              <w:t>i</w:t>
            </w:r>
            <w:proofErr w:type="spellEnd"/>
            <w:r w:rsidRPr="003F7241">
              <w:rPr>
                <w:rFonts w:ascii="Cambria" w:hAnsi="Cambria" w:cs="Calibri"/>
                <w:sz w:val="22"/>
                <w:szCs w:val="22"/>
              </w:rPr>
              <w:t xml:space="preserve"> sur. (2016). </w:t>
            </w:r>
            <w:proofErr w:type="spellStart"/>
            <w:r w:rsidRPr="003F7241">
              <w:rPr>
                <w:rFonts w:ascii="Cambria" w:hAnsi="Cambria" w:cs="Calibri"/>
                <w:sz w:val="22"/>
                <w:szCs w:val="22"/>
              </w:rPr>
              <w:t>Pedijatrija</w:t>
            </w:r>
            <w:proofErr w:type="spellEnd"/>
            <w:r w:rsidRPr="003F7241">
              <w:rPr>
                <w:rFonts w:ascii="Cambria" w:hAnsi="Cambria" w:cs="Calibri"/>
                <w:sz w:val="22"/>
                <w:szCs w:val="22"/>
              </w:rPr>
              <w:t xml:space="preserve">. Zagreb: </w:t>
            </w:r>
            <w:proofErr w:type="spellStart"/>
            <w:r w:rsidRPr="003F7241">
              <w:rPr>
                <w:rFonts w:ascii="Cambria" w:hAnsi="Cambria" w:cs="Calibri"/>
                <w:sz w:val="22"/>
                <w:szCs w:val="22"/>
              </w:rPr>
              <w:t>Školska</w:t>
            </w:r>
            <w:proofErr w:type="spellEnd"/>
            <w:r w:rsidRPr="003F7241">
              <w:rPr>
                <w:rFonts w:ascii="Cambria" w:hAnsi="Cambria" w:cs="Calibri"/>
                <w:sz w:val="22"/>
                <w:szCs w:val="22"/>
              </w:rPr>
              <w:t xml:space="preserve"> </w:t>
            </w:r>
            <w:proofErr w:type="spellStart"/>
            <w:r w:rsidRPr="003F7241">
              <w:rPr>
                <w:rFonts w:ascii="Cambria" w:hAnsi="Cambria" w:cs="Calibri"/>
                <w:sz w:val="22"/>
                <w:szCs w:val="22"/>
              </w:rPr>
              <w:t>knjiga</w:t>
            </w:r>
            <w:proofErr w:type="spellEnd"/>
            <w:r w:rsidRPr="003F7241">
              <w:rPr>
                <w:rFonts w:ascii="Cambria" w:hAnsi="Cambria" w:cs="Calibri"/>
                <w:sz w:val="22"/>
                <w:szCs w:val="22"/>
              </w:rPr>
              <w:t>.</w:t>
            </w:r>
          </w:p>
        </w:tc>
      </w:tr>
    </w:tbl>
    <w:p w14:paraId="3CBEA81B" w14:textId="77777777" w:rsidR="001421C4" w:rsidRPr="003F7241" w:rsidRDefault="001421C4" w:rsidP="001421C4">
      <w:pPr>
        <w:spacing w:after="0" w:line="240" w:lineRule="auto"/>
      </w:pPr>
    </w:p>
    <w:p w14:paraId="42F3B3B6" w14:textId="4CF2F409" w:rsidR="00B36357" w:rsidRDefault="00B36357">
      <w:pPr>
        <w:rPr>
          <w:rFonts w:ascii="Cambria" w:hAnsi="Cambria"/>
          <w:lang w:val="hr-HR"/>
        </w:rPr>
      </w:pPr>
      <w:r>
        <w:rPr>
          <w:rFonts w:ascii="Cambria" w:hAnsi="Cambria"/>
          <w:lang w:val="hr-HR"/>
        </w:rPr>
        <w:br w:type="page"/>
      </w:r>
    </w:p>
    <w:p w14:paraId="1F88D217" w14:textId="2FF45642" w:rsidR="004A100E" w:rsidRPr="00B36357" w:rsidRDefault="00B36357" w:rsidP="00B36357">
      <w:pPr>
        <w:jc w:val="center"/>
        <w:rPr>
          <w:rFonts w:ascii="Cambria" w:hAnsi="Cambria"/>
          <w:b/>
          <w:lang w:val="hr-HR"/>
        </w:rPr>
      </w:pPr>
      <w:r w:rsidRPr="00B36357">
        <w:rPr>
          <w:rFonts w:ascii="Cambria" w:hAnsi="Cambria"/>
          <w:b/>
          <w:lang w:val="hr-HR"/>
        </w:rPr>
        <w:lastRenderedPageBreak/>
        <w:t>VII. semestar</w:t>
      </w:r>
    </w:p>
    <w:tbl>
      <w:tblPr>
        <w:tblW w:w="4876" w:type="pct"/>
        <w:tblLayout w:type="fixed"/>
        <w:tblCellMar>
          <w:left w:w="0" w:type="dxa"/>
          <w:right w:w="0" w:type="dxa"/>
        </w:tblCellMar>
        <w:tblLook w:val="0600" w:firstRow="0" w:lastRow="0" w:firstColumn="0" w:lastColumn="0" w:noHBand="1" w:noVBand="1"/>
      </w:tblPr>
      <w:tblGrid>
        <w:gridCol w:w="2808"/>
        <w:gridCol w:w="2662"/>
        <w:gridCol w:w="105"/>
        <w:gridCol w:w="1172"/>
        <w:gridCol w:w="300"/>
        <w:gridCol w:w="541"/>
        <w:gridCol w:w="1019"/>
        <w:gridCol w:w="1165"/>
      </w:tblGrid>
      <w:tr w:rsidR="00F92392" w:rsidRPr="00DF4CE5" w14:paraId="5E0BBC21" w14:textId="77777777" w:rsidTr="00B36357">
        <w:tc>
          <w:tcPr>
            <w:tcW w:w="9771"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0E78CA7" w14:textId="77777777" w:rsidR="00F92392" w:rsidRPr="00DF4CE5" w:rsidRDefault="00F92392" w:rsidP="00A12846">
            <w:pPr>
              <w:contextualSpacing/>
              <w:jc w:val="right"/>
              <w:rPr>
                <w:rFonts w:ascii="Cambria" w:eastAsia="Calibri" w:hAnsi="Cambria" w:cs="Calibri"/>
                <w:b/>
                <w:lang w:val="hr-HR"/>
              </w:rPr>
            </w:pPr>
            <w:r w:rsidRPr="00DF4CE5">
              <w:rPr>
                <w:rFonts w:ascii="Cambria" w:eastAsia="Calibri" w:hAnsi="Cambria" w:cs="Calibri"/>
                <w:b/>
                <w:lang w:val="hr-HR"/>
              </w:rPr>
              <w:t>IZVEDBENI PLAN NASTAVE KOLEGIJA</w:t>
            </w:r>
          </w:p>
        </w:tc>
      </w:tr>
      <w:tr w:rsidR="00F92392" w:rsidRPr="00D0399C" w14:paraId="00DD64FE" w14:textId="77777777" w:rsidTr="00B36357">
        <w:tc>
          <w:tcPr>
            <w:tcW w:w="280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33D398D" w14:textId="77777777" w:rsidR="00F92392" w:rsidRPr="00DF4CE5" w:rsidRDefault="00F92392" w:rsidP="008B34AF">
            <w:pPr>
              <w:contextualSpacing/>
              <w:jc w:val="both"/>
              <w:rPr>
                <w:rFonts w:ascii="Cambria" w:eastAsia="Calibri" w:hAnsi="Cambria" w:cs="Calibri"/>
                <w:lang w:val="hr-HR"/>
              </w:rPr>
            </w:pPr>
            <w:r w:rsidRPr="00DF4CE5">
              <w:rPr>
                <w:rFonts w:ascii="Cambria" w:eastAsia="Calibri" w:hAnsi="Cambria" w:cs="Calibri"/>
                <w:lang w:val="hr-HR"/>
              </w:rPr>
              <w:t>Kod i naziv kolegija</w:t>
            </w:r>
          </w:p>
        </w:tc>
        <w:tc>
          <w:tcPr>
            <w:tcW w:w="696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E55E921" w14:textId="4B9DF4FF" w:rsidR="00F92392" w:rsidRPr="00DF4CE5" w:rsidRDefault="00F92392" w:rsidP="008B34AF">
            <w:pPr>
              <w:contextualSpacing/>
              <w:jc w:val="both"/>
              <w:rPr>
                <w:rFonts w:ascii="Cambria" w:eastAsia="Calibri" w:hAnsi="Cambria" w:cs="Calibri"/>
                <w:b/>
                <w:lang w:val="hr-HR"/>
              </w:rPr>
            </w:pPr>
            <w:r w:rsidRPr="00DF4CE5">
              <w:rPr>
                <w:rFonts w:ascii="Cambria" w:eastAsia="Calibri" w:hAnsi="Cambria" w:cs="Calibri"/>
                <w:lang w:val="hr-HR"/>
              </w:rPr>
              <w:t>Metodika nastave hrvatskog jezika II</w:t>
            </w:r>
          </w:p>
        </w:tc>
      </w:tr>
      <w:tr w:rsidR="00F92392" w:rsidRPr="00D0399C" w14:paraId="40489B2B" w14:textId="77777777" w:rsidTr="00B36357">
        <w:tc>
          <w:tcPr>
            <w:tcW w:w="280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1A2F977" w14:textId="15202250" w:rsidR="00F92392" w:rsidRDefault="00F92392" w:rsidP="008B34AF">
            <w:pPr>
              <w:contextualSpacing/>
              <w:jc w:val="both"/>
              <w:rPr>
                <w:rFonts w:ascii="Cambria" w:eastAsia="Calibri" w:hAnsi="Cambria" w:cs="Calibri"/>
                <w:lang w:val="hr-HR"/>
              </w:rPr>
            </w:pPr>
            <w:r w:rsidRPr="00DF4CE5">
              <w:rPr>
                <w:rFonts w:ascii="Cambria" w:eastAsia="Calibri" w:hAnsi="Cambria" w:cs="Calibri"/>
                <w:lang w:val="hr-HR"/>
              </w:rPr>
              <w:t>Nastavni</w:t>
            </w:r>
            <w:r w:rsidR="00D0147D">
              <w:rPr>
                <w:rFonts w:ascii="Cambria" w:eastAsia="Calibri" w:hAnsi="Cambria" w:cs="Calibri"/>
                <w:lang w:val="hr-HR"/>
              </w:rPr>
              <w:t>ca</w:t>
            </w:r>
          </w:p>
          <w:p w14:paraId="48781B1F" w14:textId="23E7F3DB" w:rsidR="00A421F5" w:rsidRPr="00DF4CE5" w:rsidRDefault="00A421F5" w:rsidP="008B34AF">
            <w:pPr>
              <w:contextualSpacing/>
              <w:jc w:val="both"/>
              <w:rPr>
                <w:rFonts w:ascii="Cambria" w:eastAsia="Calibri" w:hAnsi="Cambria" w:cs="Calibri"/>
                <w:lang w:val="hr-HR"/>
              </w:rPr>
            </w:pPr>
            <w:r>
              <w:rPr>
                <w:rFonts w:ascii="Cambria" w:eastAsia="Calibri" w:hAnsi="Cambria" w:cs="Calibri"/>
                <w:lang w:val="hr-HR"/>
              </w:rPr>
              <w:t>Suradnica</w:t>
            </w:r>
          </w:p>
        </w:tc>
        <w:tc>
          <w:tcPr>
            <w:tcW w:w="696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1E970B3" w14:textId="3CEE14B6" w:rsidR="00F92392" w:rsidRPr="00DF4CE5" w:rsidRDefault="00D0147D" w:rsidP="008B34AF">
            <w:pPr>
              <w:contextualSpacing/>
              <w:jc w:val="both"/>
              <w:rPr>
                <w:rFonts w:ascii="Cambria" w:eastAsia="Calibri" w:hAnsi="Cambria" w:cs="Calibri"/>
                <w:lang w:val="hr-HR"/>
              </w:rPr>
            </w:pPr>
            <w:hyperlink r:id="rId121" w:history="1">
              <w:r w:rsidRPr="00D0147D">
                <w:rPr>
                  <w:rStyle w:val="Hiperveza"/>
                  <w:rFonts w:ascii="Cambria" w:eastAsia="Calibri" w:hAnsi="Cambria" w:cs="Calibri"/>
                  <w:lang w:val="hr-HR"/>
                </w:rPr>
                <w:t>Doc</w:t>
              </w:r>
              <w:r w:rsidR="00F92392" w:rsidRPr="00D0147D">
                <w:rPr>
                  <w:rStyle w:val="Hiperveza"/>
                  <w:rFonts w:ascii="Cambria" w:eastAsia="Calibri" w:hAnsi="Cambria" w:cs="Calibri"/>
                  <w:lang w:val="hr-HR"/>
                </w:rPr>
                <w:t xml:space="preserve">. dr. sc. </w:t>
              </w:r>
              <w:r w:rsidRPr="00D0147D">
                <w:rPr>
                  <w:rStyle w:val="Hiperveza"/>
                  <w:rFonts w:ascii="Cambria" w:eastAsia="Calibri" w:hAnsi="Cambria" w:cs="Calibri"/>
                  <w:lang w:val="hr-HR"/>
                </w:rPr>
                <w:t xml:space="preserve">Ivana </w:t>
              </w:r>
              <w:proofErr w:type="spellStart"/>
              <w:r w:rsidRPr="00D0147D">
                <w:rPr>
                  <w:rStyle w:val="Hiperveza"/>
                  <w:rFonts w:ascii="Cambria" w:eastAsia="Calibri" w:hAnsi="Cambria" w:cs="Calibri"/>
                  <w:lang w:val="hr-HR"/>
                </w:rPr>
                <w:t>Nežić</w:t>
              </w:r>
              <w:proofErr w:type="spellEnd"/>
            </w:hyperlink>
            <w:r w:rsidR="00A421F5">
              <w:rPr>
                <w:rFonts w:ascii="Cambria" w:eastAsia="Calibri" w:hAnsi="Cambria" w:cs="Calibri"/>
                <w:lang w:val="hr-HR"/>
              </w:rPr>
              <w:t xml:space="preserve"> (</w:t>
            </w:r>
            <w:r w:rsidR="00F92392" w:rsidRPr="00DF4CE5">
              <w:rPr>
                <w:rFonts w:ascii="Cambria" w:eastAsia="Calibri" w:hAnsi="Cambria" w:cs="Calibri"/>
                <w:lang w:val="hr-HR"/>
              </w:rPr>
              <w:t>nositelj</w:t>
            </w:r>
            <w:r>
              <w:rPr>
                <w:rFonts w:ascii="Cambria" w:eastAsia="Calibri" w:hAnsi="Cambria" w:cs="Calibri"/>
                <w:lang w:val="hr-HR"/>
              </w:rPr>
              <w:t>ica</w:t>
            </w:r>
            <w:r w:rsidR="00A421F5">
              <w:rPr>
                <w:rFonts w:ascii="Cambria" w:eastAsia="Calibri" w:hAnsi="Cambria" w:cs="Calibri"/>
                <w:lang w:val="hr-HR"/>
              </w:rPr>
              <w:t>)</w:t>
            </w:r>
          </w:p>
          <w:p w14:paraId="42B54C9A" w14:textId="31ABCA94" w:rsidR="001216EA" w:rsidRPr="00DF4CE5" w:rsidRDefault="00A421F5" w:rsidP="008B34AF">
            <w:pPr>
              <w:contextualSpacing/>
              <w:jc w:val="both"/>
              <w:rPr>
                <w:rFonts w:ascii="Cambria" w:eastAsia="Calibri" w:hAnsi="Cambria" w:cs="Calibri"/>
                <w:lang w:val="hr-HR"/>
              </w:rPr>
            </w:pPr>
            <w:hyperlink r:id="rId122" w:history="1">
              <w:r w:rsidRPr="00A421F5">
                <w:rPr>
                  <w:rStyle w:val="Hiperveza"/>
                  <w:rFonts w:ascii="Cambria" w:eastAsia="Times New Roman" w:hAnsi="Cambria" w:cs="Times New Roman"/>
                  <w:lang w:val="hr-HR"/>
                </w:rPr>
                <w:t>D</w:t>
              </w:r>
              <w:r w:rsidR="001216EA" w:rsidRPr="00A421F5">
                <w:rPr>
                  <w:rStyle w:val="Hiperveza"/>
                  <w:rFonts w:ascii="Cambria" w:eastAsia="Times New Roman" w:hAnsi="Cambria" w:cs="Times New Roman"/>
                  <w:lang w:val="hr-HR"/>
                </w:rPr>
                <w:t xml:space="preserve">r. sc. Samanta </w:t>
              </w:r>
              <w:proofErr w:type="spellStart"/>
              <w:r w:rsidR="001216EA" w:rsidRPr="00A421F5">
                <w:rPr>
                  <w:rStyle w:val="Hiperveza"/>
                  <w:rFonts w:ascii="Cambria" w:eastAsia="Times New Roman" w:hAnsi="Cambria" w:cs="Times New Roman"/>
                  <w:lang w:val="hr-HR"/>
                </w:rPr>
                <w:t>Paronić</w:t>
              </w:r>
              <w:proofErr w:type="spellEnd"/>
              <w:r w:rsidR="001216EA" w:rsidRPr="00A421F5">
                <w:rPr>
                  <w:rStyle w:val="Hiperveza"/>
                  <w:rFonts w:ascii="Cambria" w:eastAsia="Times New Roman" w:hAnsi="Cambria" w:cs="Times New Roman"/>
                  <w:lang w:val="hr-HR"/>
                </w:rPr>
                <w:t>, naslovna pred.</w:t>
              </w:r>
            </w:hyperlink>
          </w:p>
        </w:tc>
      </w:tr>
      <w:tr w:rsidR="00F92392" w:rsidRPr="00D0399C" w14:paraId="3D10A391" w14:textId="77777777" w:rsidTr="00B36357">
        <w:tc>
          <w:tcPr>
            <w:tcW w:w="280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C7597B0" w14:textId="77777777" w:rsidR="00F92392" w:rsidRPr="00DF4CE5" w:rsidRDefault="00F92392" w:rsidP="008B34AF">
            <w:pPr>
              <w:contextualSpacing/>
              <w:jc w:val="both"/>
              <w:rPr>
                <w:rFonts w:ascii="Cambria" w:eastAsia="Calibri" w:hAnsi="Cambria" w:cs="Calibri"/>
                <w:lang w:val="hr-HR"/>
              </w:rPr>
            </w:pPr>
            <w:r w:rsidRPr="00DF4CE5">
              <w:rPr>
                <w:rFonts w:ascii="Cambria" w:eastAsia="Calibri" w:hAnsi="Cambria" w:cs="Calibri"/>
                <w:lang w:val="hr-HR"/>
              </w:rPr>
              <w:t>Studijski program</w:t>
            </w:r>
          </w:p>
        </w:tc>
        <w:tc>
          <w:tcPr>
            <w:tcW w:w="696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6491754" w14:textId="77777777" w:rsidR="00F92392" w:rsidRPr="00DF4CE5" w:rsidRDefault="00F92392" w:rsidP="008B34AF">
            <w:pPr>
              <w:contextualSpacing/>
              <w:jc w:val="both"/>
              <w:rPr>
                <w:rFonts w:ascii="Cambria" w:eastAsia="Calibri" w:hAnsi="Cambria" w:cs="Calibri"/>
                <w:lang w:val="hr-HR"/>
              </w:rPr>
            </w:pPr>
            <w:r w:rsidRPr="00DF4CE5">
              <w:rPr>
                <w:rFonts w:ascii="Cambria" w:eastAsia="Calibri" w:hAnsi="Cambria" w:cs="Calibri"/>
                <w:lang w:val="hr-HR"/>
              </w:rPr>
              <w:t>Sveučilišni integrirani prijediplomski i diplomski Učiteljski studij na hrvatskom jeziku</w:t>
            </w:r>
          </w:p>
        </w:tc>
      </w:tr>
      <w:tr w:rsidR="00F92392" w:rsidRPr="00DF4CE5" w14:paraId="61FF24CD" w14:textId="77777777" w:rsidTr="00B36357">
        <w:tc>
          <w:tcPr>
            <w:tcW w:w="280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25FD867" w14:textId="77777777" w:rsidR="00F92392" w:rsidRPr="00DF4CE5" w:rsidRDefault="00F92392" w:rsidP="008B34AF">
            <w:pPr>
              <w:contextualSpacing/>
              <w:jc w:val="both"/>
              <w:rPr>
                <w:rFonts w:ascii="Cambria" w:eastAsia="Calibri" w:hAnsi="Cambria" w:cs="Calibri"/>
                <w:lang w:val="hr-HR"/>
              </w:rPr>
            </w:pPr>
            <w:r w:rsidRPr="00DF4CE5">
              <w:rPr>
                <w:rFonts w:ascii="Cambria" w:eastAsia="Calibri" w:hAnsi="Cambria" w:cs="Calibri"/>
                <w:lang w:val="hr-HR"/>
              </w:rPr>
              <w:t>Vrsta kolegija</w:t>
            </w:r>
          </w:p>
        </w:tc>
        <w:tc>
          <w:tcPr>
            <w:tcW w:w="266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1FDC261" w14:textId="77777777" w:rsidR="00F92392" w:rsidRPr="00DF4CE5" w:rsidRDefault="00F92392" w:rsidP="008B34AF">
            <w:pPr>
              <w:contextualSpacing/>
              <w:jc w:val="both"/>
              <w:rPr>
                <w:rFonts w:ascii="Cambria" w:eastAsia="Calibri" w:hAnsi="Cambria" w:cs="Calibri"/>
                <w:lang w:val="hr-HR"/>
              </w:rPr>
            </w:pPr>
            <w:r w:rsidRPr="00DF4CE5">
              <w:rPr>
                <w:rFonts w:ascii="Cambria" w:eastAsia="Calibri" w:hAnsi="Cambria" w:cs="Calibri"/>
                <w:lang w:val="hr-HR"/>
              </w:rPr>
              <w:t xml:space="preserve">obvezan </w:t>
            </w:r>
          </w:p>
        </w:tc>
        <w:tc>
          <w:tcPr>
            <w:tcW w:w="1577"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2F16F0B6" w14:textId="77777777" w:rsidR="00F92392" w:rsidRPr="00DF4CE5" w:rsidRDefault="00F92392" w:rsidP="008B34AF">
            <w:pPr>
              <w:contextualSpacing/>
              <w:jc w:val="both"/>
              <w:rPr>
                <w:rFonts w:ascii="Cambria" w:eastAsia="Calibri" w:hAnsi="Cambria" w:cs="Calibri"/>
                <w:lang w:val="hr-HR"/>
              </w:rPr>
            </w:pPr>
            <w:r w:rsidRPr="00DF4CE5">
              <w:rPr>
                <w:rFonts w:ascii="Cambria" w:eastAsia="Calibri" w:hAnsi="Cambria" w:cs="Calibri"/>
                <w:lang w:val="hr-HR"/>
              </w:rPr>
              <w:t>Razina kolegija</w:t>
            </w:r>
          </w:p>
        </w:tc>
        <w:tc>
          <w:tcPr>
            <w:tcW w:w="2725"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E1D3822" w14:textId="31560EBA" w:rsidR="00F92392" w:rsidRPr="00DF4CE5" w:rsidRDefault="00A421F5" w:rsidP="008B34AF">
            <w:pPr>
              <w:contextualSpacing/>
              <w:jc w:val="both"/>
              <w:rPr>
                <w:rFonts w:ascii="Cambria" w:eastAsia="Calibri" w:hAnsi="Cambria" w:cs="Calibri"/>
                <w:lang w:val="hr-HR"/>
              </w:rPr>
            </w:pPr>
            <w:proofErr w:type="spellStart"/>
            <w:r>
              <w:rPr>
                <w:rFonts w:ascii="Cambria" w:eastAsia="Calibri" w:hAnsi="Cambria" w:cs="Calibri"/>
              </w:rPr>
              <w:t>i</w:t>
            </w:r>
            <w:r w:rsidR="0036703C">
              <w:rPr>
                <w:rFonts w:ascii="Cambria" w:eastAsia="Calibri" w:hAnsi="Cambria" w:cs="Calibri"/>
              </w:rPr>
              <w:t>n</w:t>
            </w:r>
            <w:r w:rsidR="00F92392" w:rsidRPr="00DF4CE5">
              <w:rPr>
                <w:rFonts w:ascii="Cambria" w:eastAsia="Calibri" w:hAnsi="Cambria" w:cs="Calibri"/>
              </w:rPr>
              <w:t>tegrirani</w:t>
            </w:r>
            <w:proofErr w:type="spellEnd"/>
          </w:p>
        </w:tc>
      </w:tr>
      <w:tr w:rsidR="00F92392" w:rsidRPr="00DF4CE5" w14:paraId="5029360E" w14:textId="77777777" w:rsidTr="00B36357">
        <w:tc>
          <w:tcPr>
            <w:tcW w:w="280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433AC02" w14:textId="77777777" w:rsidR="00F92392" w:rsidRPr="00DF4CE5" w:rsidRDefault="00F92392" w:rsidP="008B34AF">
            <w:pPr>
              <w:contextualSpacing/>
              <w:jc w:val="both"/>
              <w:rPr>
                <w:rFonts w:ascii="Cambria" w:eastAsia="Calibri" w:hAnsi="Cambria" w:cs="Calibri"/>
                <w:lang w:val="hr-HR"/>
              </w:rPr>
            </w:pPr>
            <w:r w:rsidRPr="00DF4CE5">
              <w:rPr>
                <w:rFonts w:ascii="Cambria" w:eastAsia="Calibri" w:hAnsi="Cambria" w:cs="Calibri"/>
                <w:lang w:val="hr-HR"/>
              </w:rPr>
              <w:t>Semestar</w:t>
            </w:r>
          </w:p>
        </w:tc>
        <w:tc>
          <w:tcPr>
            <w:tcW w:w="266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D5A92E8" w14:textId="747DE645" w:rsidR="00F92392" w:rsidRPr="00DF4CE5" w:rsidRDefault="00D0147D" w:rsidP="008B34AF">
            <w:pPr>
              <w:contextualSpacing/>
              <w:jc w:val="both"/>
              <w:rPr>
                <w:rFonts w:ascii="Cambria" w:eastAsia="Calibri" w:hAnsi="Cambria" w:cs="Calibri"/>
                <w:lang w:val="hr-HR"/>
              </w:rPr>
            </w:pPr>
            <w:r>
              <w:rPr>
                <w:rFonts w:ascii="Cambria" w:eastAsia="Calibri" w:hAnsi="Cambria" w:cs="Calibri"/>
                <w:lang w:val="hr-HR"/>
              </w:rPr>
              <w:t>z</w:t>
            </w:r>
            <w:r w:rsidR="00F92392" w:rsidRPr="00DF4CE5">
              <w:rPr>
                <w:rFonts w:ascii="Cambria" w:eastAsia="Calibri" w:hAnsi="Cambria" w:cs="Calibri"/>
                <w:lang w:val="hr-HR"/>
              </w:rPr>
              <w:t>imski</w:t>
            </w:r>
          </w:p>
        </w:tc>
        <w:tc>
          <w:tcPr>
            <w:tcW w:w="1577"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36C2A161" w14:textId="77777777" w:rsidR="00F92392" w:rsidRPr="00DF4CE5" w:rsidRDefault="00F92392" w:rsidP="008B34AF">
            <w:pPr>
              <w:contextualSpacing/>
              <w:jc w:val="both"/>
              <w:rPr>
                <w:rFonts w:ascii="Cambria" w:eastAsia="Calibri" w:hAnsi="Cambria" w:cs="Calibri"/>
                <w:lang w:val="hr-HR"/>
              </w:rPr>
            </w:pPr>
            <w:r w:rsidRPr="00DF4CE5">
              <w:rPr>
                <w:rFonts w:ascii="Cambria" w:eastAsia="Calibri" w:hAnsi="Cambria" w:cs="Calibri"/>
                <w:lang w:val="hr-HR"/>
              </w:rPr>
              <w:t>Godina studija</w:t>
            </w:r>
          </w:p>
        </w:tc>
        <w:tc>
          <w:tcPr>
            <w:tcW w:w="2725"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3B5CA92" w14:textId="77777777" w:rsidR="00F92392" w:rsidRPr="00DF4CE5" w:rsidRDefault="00F92392" w:rsidP="008B34AF">
            <w:pPr>
              <w:contextualSpacing/>
              <w:jc w:val="both"/>
              <w:rPr>
                <w:rFonts w:ascii="Cambria" w:eastAsia="Calibri" w:hAnsi="Cambria" w:cs="Calibri"/>
                <w:lang w:val="hr-HR"/>
              </w:rPr>
            </w:pPr>
            <w:r w:rsidRPr="00DF4CE5">
              <w:rPr>
                <w:rFonts w:ascii="Cambria" w:eastAsia="Calibri" w:hAnsi="Cambria" w:cs="Calibri"/>
                <w:lang w:val="hr-HR"/>
              </w:rPr>
              <w:t>IV.</w:t>
            </w:r>
          </w:p>
        </w:tc>
      </w:tr>
      <w:tr w:rsidR="00F92392" w:rsidRPr="00DF4CE5" w14:paraId="0CC6BDDF" w14:textId="77777777" w:rsidTr="00B36357">
        <w:tc>
          <w:tcPr>
            <w:tcW w:w="280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80B89F5" w14:textId="77777777" w:rsidR="00F92392" w:rsidRPr="00DF4CE5" w:rsidRDefault="00F92392" w:rsidP="008B34AF">
            <w:pPr>
              <w:contextualSpacing/>
              <w:jc w:val="both"/>
              <w:rPr>
                <w:rFonts w:ascii="Cambria" w:eastAsia="Calibri" w:hAnsi="Cambria" w:cs="Calibri"/>
                <w:lang w:val="hr-HR"/>
              </w:rPr>
            </w:pPr>
            <w:proofErr w:type="spellStart"/>
            <w:r w:rsidRPr="00DF4CE5">
              <w:rPr>
                <w:rFonts w:ascii="Cambria" w:eastAsia="Calibri" w:hAnsi="Cambria" w:cs="Calibri"/>
              </w:rPr>
              <w:t>Mjesto</w:t>
            </w:r>
            <w:proofErr w:type="spellEnd"/>
            <w:r w:rsidRPr="00DF4CE5">
              <w:rPr>
                <w:rFonts w:ascii="Cambria" w:eastAsia="Calibri" w:hAnsi="Cambria" w:cs="Calibri"/>
              </w:rPr>
              <w:t xml:space="preserve"> </w:t>
            </w:r>
            <w:proofErr w:type="spellStart"/>
            <w:r w:rsidRPr="00DF4CE5">
              <w:rPr>
                <w:rFonts w:ascii="Cambria" w:eastAsia="Calibri" w:hAnsi="Cambria" w:cs="Calibri"/>
              </w:rPr>
              <w:t>izvođenja</w:t>
            </w:r>
            <w:proofErr w:type="spellEnd"/>
          </w:p>
        </w:tc>
        <w:tc>
          <w:tcPr>
            <w:tcW w:w="266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DB851CC" w14:textId="7C54A4DE" w:rsidR="00F92392" w:rsidRPr="00DF4CE5" w:rsidRDefault="00A421F5" w:rsidP="008B34AF">
            <w:pPr>
              <w:contextualSpacing/>
              <w:jc w:val="both"/>
              <w:rPr>
                <w:rFonts w:ascii="Cambria" w:eastAsia="Calibri" w:hAnsi="Cambria" w:cs="Calibri"/>
                <w:lang w:val="hr-HR"/>
              </w:rPr>
            </w:pPr>
            <w:r>
              <w:rPr>
                <w:rFonts w:ascii="Cambria" w:eastAsia="Calibri" w:hAnsi="Cambria" w:cs="Calibri"/>
                <w:lang w:val="hr-HR"/>
              </w:rPr>
              <w:t>učionica</w:t>
            </w:r>
          </w:p>
        </w:tc>
        <w:tc>
          <w:tcPr>
            <w:tcW w:w="1577"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3326D820" w14:textId="77777777" w:rsidR="00F92392" w:rsidRPr="00DF4CE5" w:rsidRDefault="00F92392" w:rsidP="008B34AF">
            <w:pPr>
              <w:contextualSpacing/>
              <w:jc w:val="both"/>
              <w:rPr>
                <w:rFonts w:ascii="Cambria" w:eastAsia="Calibri" w:hAnsi="Cambria" w:cs="Calibri"/>
                <w:lang w:val="hr-HR"/>
              </w:rPr>
            </w:pPr>
            <w:r w:rsidRPr="00DF4CE5">
              <w:rPr>
                <w:rFonts w:ascii="Cambria" w:eastAsia="Calibri" w:hAnsi="Cambria" w:cs="Calibri"/>
              </w:rPr>
              <w:t>Jezik</w:t>
            </w:r>
            <w:r w:rsidRPr="00DF4CE5">
              <w:rPr>
                <w:rFonts w:ascii="Cambria" w:eastAsia="Calibri" w:hAnsi="Cambria" w:cs="Calibri"/>
                <w:lang w:val="hr-HR"/>
              </w:rPr>
              <w:t xml:space="preserve"> izvođenja </w:t>
            </w:r>
          </w:p>
        </w:tc>
        <w:tc>
          <w:tcPr>
            <w:tcW w:w="2725"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43E155E" w14:textId="77777777" w:rsidR="00F92392" w:rsidRPr="00DF4CE5" w:rsidRDefault="00F92392" w:rsidP="008B34AF">
            <w:pPr>
              <w:contextualSpacing/>
              <w:jc w:val="both"/>
              <w:rPr>
                <w:rFonts w:ascii="Cambria" w:eastAsia="Calibri" w:hAnsi="Cambria" w:cs="Calibri"/>
                <w:lang w:val="hr-HR"/>
              </w:rPr>
            </w:pPr>
            <w:r w:rsidRPr="00DF4CE5">
              <w:rPr>
                <w:rFonts w:ascii="Cambria" w:eastAsia="Calibri" w:hAnsi="Cambria" w:cs="Calibri"/>
                <w:lang w:val="hr-HR"/>
              </w:rPr>
              <w:t xml:space="preserve">hrvatski </w:t>
            </w:r>
          </w:p>
        </w:tc>
      </w:tr>
      <w:tr w:rsidR="00F92392" w:rsidRPr="00DF4CE5" w14:paraId="412836EC" w14:textId="77777777" w:rsidTr="00B36357">
        <w:tc>
          <w:tcPr>
            <w:tcW w:w="280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F6EDE44" w14:textId="77777777" w:rsidR="00F92392" w:rsidRPr="00DF4CE5" w:rsidRDefault="00F92392" w:rsidP="008B34AF">
            <w:pPr>
              <w:contextualSpacing/>
              <w:jc w:val="both"/>
              <w:rPr>
                <w:rFonts w:ascii="Cambria" w:eastAsia="Calibri" w:hAnsi="Cambria" w:cs="Calibri"/>
                <w:lang w:val="hr-HR"/>
              </w:rPr>
            </w:pPr>
            <w:r w:rsidRPr="00DF4CE5">
              <w:rPr>
                <w:rFonts w:ascii="Cambria" w:eastAsia="Calibri" w:hAnsi="Cambria" w:cs="Calibri"/>
                <w:lang w:val="hr-HR"/>
              </w:rPr>
              <w:t>Broj ECTS bodova</w:t>
            </w:r>
          </w:p>
        </w:tc>
        <w:tc>
          <w:tcPr>
            <w:tcW w:w="266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B51B0C5" w14:textId="77777777" w:rsidR="00F92392" w:rsidRPr="00DF4CE5" w:rsidRDefault="00F92392" w:rsidP="008B34AF">
            <w:pPr>
              <w:contextualSpacing/>
              <w:jc w:val="both"/>
              <w:rPr>
                <w:rFonts w:ascii="Cambria" w:eastAsia="Calibri" w:hAnsi="Cambria" w:cs="Calibri"/>
                <w:lang w:val="hr-HR"/>
              </w:rPr>
            </w:pPr>
            <w:r w:rsidRPr="00DF4CE5">
              <w:rPr>
                <w:rFonts w:ascii="Cambria" w:eastAsia="Calibri" w:hAnsi="Cambria" w:cs="Calibri"/>
                <w:lang w:val="hr-HR"/>
              </w:rPr>
              <w:t>5</w:t>
            </w:r>
          </w:p>
        </w:tc>
        <w:tc>
          <w:tcPr>
            <w:tcW w:w="1577"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27F735C8" w14:textId="77777777" w:rsidR="00F92392" w:rsidRPr="00DF4CE5" w:rsidRDefault="00F92392" w:rsidP="008B34AF">
            <w:pPr>
              <w:contextualSpacing/>
              <w:jc w:val="both"/>
              <w:rPr>
                <w:rFonts w:ascii="Cambria" w:eastAsia="Calibri" w:hAnsi="Cambria" w:cs="Calibri"/>
                <w:lang w:val="hr-HR"/>
              </w:rPr>
            </w:pPr>
            <w:r w:rsidRPr="00DF4CE5">
              <w:rPr>
                <w:rFonts w:ascii="Cambria" w:eastAsia="Calibri" w:hAnsi="Cambria" w:cs="Calibri"/>
                <w:lang w:val="hr-HR"/>
              </w:rPr>
              <w:t>Broj sati u semestru</w:t>
            </w:r>
          </w:p>
        </w:tc>
        <w:tc>
          <w:tcPr>
            <w:tcW w:w="2725"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1D706AF" w14:textId="00893CA0" w:rsidR="00F92392" w:rsidRPr="00DF4CE5" w:rsidRDefault="00F92392" w:rsidP="008B34AF">
            <w:pPr>
              <w:contextualSpacing/>
              <w:jc w:val="both"/>
              <w:rPr>
                <w:rFonts w:ascii="Cambria" w:eastAsia="Calibri" w:hAnsi="Cambria" w:cs="Calibri"/>
                <w:lang w:val="hr-HR"/>
              </w:rPr>
            </w:pPr>
            <w:r w:rsidRPr="00DF4CE5">
              <w:rPr>
                <w:rFonts w:ascii="Cambria" w:eastAsia="Calibri" w:hAnsi="Cambria" w:cs="Calibri"/>
                <w:lang w:val="hr-HR"/>
              </w:rPr>
              <w:t xml:space="preserve">30P – </w:t>
            </w:r>
            <w:r w:rsidR="00F04088" w:rsidRPr="00DF4CE5">
              <w:rPr>
                <w:rFonts w:ascii="Cambria" w:eastAsia="Calibri" w:hAnsi="Cambria" w:cs="Calibri"/>
                <w:lang w:val="hr-HR"/>
              </w:rPr>
              <w:t>0S</w:t>
            </w:r>
            <w:r w:rsidRPr="00DF4CE5">
              <w:rPr>
                <w:rFonts w:ascii="Cambria" w:eastAsia="Calibri" w:hAnsi="Cambria" w:cs="Calibri"/>
                <w:lang w:val="hr-HR"/>
              </w:rPr>
              <w:t xml:space="preserve"> –</w:t>
            </w:r>
            <w:r w:rsidR="00F04088" w:rsidRPr="00DF4CE5">
              <w:rPr>
                <w:rFonts w:ascii="Cambria" w:eastAsia="Calibri" w:hAnsi="Cambria" w:cs="Calibri"/>
                <w:lang w:val="hr-HR"/>
              </w:rPr>
              <w:t>30V</w:t>
            </w:r>
            <w:r w:rsidRPr="00DF4CE5">
              <w:rPr>
                <w:rFonts w:ascii="Cambria" w:eastAsia="Calibri" w:hAnsi="Cambria" w:cs="Calibri"/>
                <w:lang w:val="hr-HR"/>
              </w:rPr>
              <w:t xml:space="preserve">   </w:t>
            </w:r>
          </w:p>
        </w:tc>
      </w:tr>
      <w:tr w:rsidR="00F92392" w:rsidRPr="00DF4CE5" w14:paraId="23B37649" w14:textId="77777777" w:rsidTr="00B36357">
        <w:tc>
          <w:tcPr>
            <w:tcW w:w="280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ECFE349" w14:textId="77777777" w:rsidR="00F92392" w:rsidRPr="00DF4CE5" w:rsidRDefault="00F92392" w:rsidP="008B34AF">
            <w:pPr>
              <w:contextualSpacing/>
              <w:jc w:val="both"/>
              <w:rPr>
                <w:rFonts w:ascii="Cambria" w:eastAsia="Calibri" w:hAnsi="Cambria" w:cs="Calibri"/>
                <w:lang w:val="hr-HR"/>
              </w:rPr>
            </w:pPr>
            <w:r w:rsidRPr="00DF4CE5">
              <w:rPr>
                <w:rFonts w:ascii="Cambria" w:eastAsia="Calibri" w:hAnsi="Cambria" w:cs="Calibri"/>
                <w:lang w:val="hr-HR"/>
              </w:rPr>
              <w:t>Preduvjeti za upis i za svladavanje</w:t>
            </w:r>
          </w:p>
        </w:tc>
        <w:tc>
          <w:tcPr>
            <w:tcW w:w="696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84F4268" w14:textId="77777777" w:rsidR="00F92392" w:rsidRPr="00DF4CE5" w:rsidRDefault="00F92392" w:rsidP="008B34AF">
            <w:pPr>
              <w:contextualSpacing/>
              <w:jc w:val="both"/>
              <w:rPr>
                <w:rFonts w:ascii="Cambria" w:eastAsia="Calibri" w:hAnsi="Cambria" w:cs="Calibri"/>
                <w:lang w:val="hr-HR"/>
              </w:rPr>
            </w:pPr>
            <w:r w:rsidRPr="00DF4CE5">
              <w:rPr>
                <w:rFonts w:ascii="Cambria" w:eastAsia="Calibri" w:hAnsi="Cambria" w:cs="Calibri"/>
                <w:lang w:val="hr-HR"/>
              </w:rPr>
              <w:t>Nema preduvjeta</w:t>
            </w:r>
          </w:p>
        </w:tc>
      </w:tr>
      <w:tr w:rsidR="00F92392" w:rsidRPr="00D0399C" w14:paraId="62A075F9" w14:textId="77777777" w:rsidTr="00B36357">
        <w:tc>
          <w:tcPr>
            <w:tcW w:w="280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6CD9494" w14:textId="77777777" w:rsidR="00F92392" w:rsidRPr="00DF4CE5" w:rsidRDefault="00F92392" w:rsidP="008B34AF">
            <w:pPr>
              <w:contextualSpacing/>
              <w:jc w:val="both"/>
              <w:rPr>
                <w:rFonts w:ascii="Cambria" w:eastAsia="Calibri" w:hAnsi="Cambria" w:cs="Calibri"/>
                <w:lang w:val="hr-HR"/>
              </w:rPr>
            </w:pPr>
            <w:proofErr w:type="spellStart"/>
            <w:r w:rsidRPr="00DF4CE5">
              <w:rPr>
                <w:rFonts w:ascii="Cambria" w:eastAsia="Calibri" w:hAnsi="Cambria" w:cs="Calibri"/>
              </w:rPr>
              <w:t>Korelativnost</w:t>
            </w:r>
            <w:proofErr w:type="spellEnd"/>
          </w:p>
        </w:tc>
        <w:tc>
          <w:tcPr>
            <w:tcW w:w="696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7C9C53D" w14:textId="77777777" w:rsidR="00F92392" w:rsidRPr="00DF4CE5" w:rsidRDefault="00F92392" w:rsidP="008B34AF">
            <w:pPr>
              <w:contextualSpacing/>
              <w:jc w:val="both"/>
              <w:rPr>
                <w:rFonts w:ascii="Cambria" w:eastAsia="Calibri" w:hAnsi="Cambria" w:cs="Calibri"/>
                <w:lang w:val="hr-HR"/>
              </w:rPr>
            </w:pPr>
            <w:r w:rsidRPr="00DF4CE5">
              <w:rPr>
                <w:rFonts w:ascii="Cambria" w:eastAsia="Calibri" w:hAnsi="Cambria" w:cs="Calibri"/>
                <w:lang w:val="hr-HR"/>
              </w:rPr>
              <w:t>Hrvatski jezik I, Hrvatski jezik II, Dječja književnost, Pismeno izražavanje, Metodika hrvatskog jezika I, Metodika hrvatskog jezika III, kao i s drugim kolegijima jezično-umjetničke usmjerenosti. Očekuju se predznanja iz pismenog izražavanja te poznavanje pravopisnih pravila.</w:t>
            </w:r>
          </w:p>
        </w:tc>
      </w:tr>
      <w:tr w:rsidR="00F92392" w:rsidRPr="00D0399C" w14:paraId="427762E0" w14:textId="77777777" w:rsidTr="00B36357">
        <w:tc>
          <w:tcPr>
            <w:tcW w:w="280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0DAAFDE" w14:textId="77777777" w:rsidR="00F92392" w:rsidRPr="00DF4CE5" w:rsidRDefault="00F92392" w:rsidP="008B34AF">
            <w:pPr>
              <w:contextualSpacing/>
              <w:jc w:val="both"/>
              <w:rPr>
                <w:rFonts w:ascii="Cambria" w:eastAsia="Calibri" w:hAnsi="Cambria" w:cs="Calibri"/>
                <w:lang w:val="hr-HR"/>
              </w:rPr>
            </w:pPr>
            <w:r w:rsidRPr="00DF4CE5">
              <w:rPr>
                <w:rFonts w:ascii="Cambria" w:eastAsia="Calibri" w:hAnsi="Cambria" w:cs="Calibri"/>
                <w:lang w:val="hr-HR"/>
              </w:rPr>
              <w:t xml:space="preserve">Cilj kolegija </w:t>
            </w:r>
          </w:p>
        </w:tc>
        <w:tc>
          <w:tcPr>
            <w:tcW w:w="696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099AC65" w14:textId="77777777" w:rsidR="00F92392" w:rsidRPr="00DF4CE5" w:rsidRDefault="00F92392" w:rsidP="008B34AF">
            <w:pPr>
              <w:contextualSpacing/>
              <w:jc w:val="both"/>
              <w:rPr>
                <w:rFonts w:ascii="Cambria" w:eastAsia="Calibri" w:hAnsi="Cambria" w:cs="Calibri"/>
                <w:lang w:val="hr-HR"/>
              </w:rPr>
            </w:pPr>
            <w:r w:rsidRPr="00DF4CE5">
              <w:rPr>
                <w:rFonts w:ascii="Cambria" w:eastAsia="Calibri" w:hAnsi="Cambria" w:cs="Calibri"/>
                <w:lang w:val="hr-HR"/>
              </w:rPr>
              <w:t>osposobiti za primjenu istih u radu s učenicima od 1. do 4. razreda osnovne škole, razviti vještine pismenog izražavanja, razvijat će vještine rada u timu i svakako sposobnost primjene znanja u praksi</w:t>
            </w:r>
          </w:p>
        </w:tc>
      </w:tr>
      <w:tr w:rsidR="00F92392" w:rsidRPr="00D0399C" w14:paraId="47AD20A1" w14:textId="77777777" w:rsidTr="00B36357">
        <w:tc>
          <w:tcPr>
            <w:tcW w:w="280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9191073" w14:textId="77777777" w:rsidR="00F92392" w:rsidRPr="00DF4CE5" w:rsidRDefault="00F92392" w:rsidP="008B34AF">
            <w:pPr>
              <w:contextualSpacing/>
              <w:jc w:val="both"/>
              <w:rPr>
                <w:rFonts w:ascii="Cambria" w:eastAsia="Calibri" w:hAnsi="Cambria" w:cs="Calibri"/>
                <w:lang w:val="hr-HR"/>
              </w:rPr>
            </w:pPr>
            <w:r w:rsidRPr="00DF4CE5">
              <w:rPr>
                <w:rFonts w:ascii="Cambria" w:eastAsia="Calibri" w:hAnsi="Cambria" w:cs="Calibri"/>
                <w:lang w:val="hr-HR"/>
              </w:rPr>
              <w:t>Ishodi učenja</w:t>
            </w:r>
          </w:p>
        </w:tc>
        <w:tc>
          <w:tcPr>
            <w:tcW w:w="696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1990D41" w14:textId="5BBA9898" w:rsidR="00F92392" w:rsidRPr="00DF4CE5" w:rsidRDefault="00A421F5" w:rsidP="00A421F5">
            <w:pPr>
              <w:spacing w:after="0" w:line="240" w:lineRule="auto"/>
              <w:contextualSpacing/>
              <w:jc w:val="both"/>
              <w:rPr>
                <w:rFonts w:ascii="Cambria" w:eastAsia="Calibri" w:hAnsi="Cambria" w:cs="Calibri"/>
                <w:lang w:val="hr-HR"/>
              </w:rPr>
            </w:pPr>
            <w:r>
              <w:rPr>
                <w:rFonts w:ascii="Cambria" w:eastAsia="Calibri" w:hAnsi="Cambria" w:cs="Calibri"/>
                <w:lang w:val="hr-HR"/>
              </w:rPr>
              <w:t xml:space="preserve">1. </w:t>
            </w:r>
            <w:r w:rsidR="00F92392" w:rsidRPr="00DF4CE5">
              <w:rPr>
                <w:rFonts w:ascii="Cambria" w:eastAsia="Calibri" w:hAnsi="Cambria" w:cs="Calibri"/>
                <w:lang w:val="hr-HR"/>
              </w:rPr>
              <w:t>pravilno tumačiti temeljne pojmove metodike hrvatskog jezika</w:t>
            </w:r>
          </w:p>
          <w:p w14:paraId="779E4BA7" w14:textId="15D8501A" w:rsidR="00F92392" w:rsidRPr="00DF4CE5" w:rsidRDefault="00A421F5" w:rsidP="00A421F5">
            <w:pPr>
              <w:spacing w:after="0" w:line="240" w:lineRule="auto"/>
              <w:contextualSpacing/>
              <w:jc w:val="both"/>
              <w:rPr>
                <w:rFonts w:ascii="Cambria" w:eastAsia="Calibri" w:hAnsi="Cambria" w:cs="Calibri"/>
                <w:lang w:val="hr-HR"/>
              </w:rPr>
            </w:pPr>
            <w:r>
              <w:rPr>
                <w:rFonts w:ascii="Cambria" w:eastAsia="Calibri" w:hAnsi="Cambria" w:cs="Calibri"/>
                <w:lang w:val="hr-HR"/>
              </w:rPr>
              <w:t xml:space="preserve">2. </w:t>
            </w:r>
            <w:r w:rsidR="00F92392" w:rsidRPr="00DF4CE5">
              <w:rPr>
                <w:rFonts w:ascii="Cambria" w:eastAsia="Calibri" w:hAnsi="Cambria" w:cs="Calibri"/>
                <w:lang w:val="hr-HR"/>
              </w:rPr>
              <w:t xml:space="preserve">analizirati stručnu metodičku literaturu kako bi se primijenile stečene spoznaje u nastavnoj praksi </w:t>
            </w:r>
          </w:p>
          <w:p w14:paraId="0EC94C18" w14:textId="2CBD40FE" w:rsidR="00F92392" w:rsidRPr="00DF4CE5" w:rsidRDefault="00A421F5" w:rsidP="00A421F5">
            <w:pPr>
              <w:spacing w:after="0" w:line="240" w:lineRule="auto"/>
              <w:contextualSpacing/>
              <w:jc w:val="both"/>
              <w:rPr>
                <w:rFonts w:ascii="Cambria" w:eastAsia="Calibri" w:hAnsi="Cambria" w:cs="Calibri"/>
                <w:lang w:val="hr-HR"/>
              </w:rPr>
            </w:pPr>
            <w:r>
              <w:rPr>
                <w:rFonts w:ascii="Cambria" w:eastAsia="Calibri" w:hAnsi="Cambria" w:cs="Calibri"/>
                <w:lang w:val="hr-HR"/>
              </w:rPr>
              <w:t xml:space="preserve">3. </w:t>
            </w:r>
            <w:r w:rsidR="00F92392" w:rsidRPr="00DF4CE5">
              <w:rPr>
                <w:rFonts w:ascii="Cambria" w:eastAsia="Calibri" w:hAnsi="Cambria" w:cs="Calibri"/>
                <w:lang w:val="hr-HR"/>
              </w:rPr>
              <w:t xml:space="preserve">pravilno pisati tiskana i pisana slova te usvojiti temeljna pravila kod početnog čitanja  </w:t>
            </w:r>
          </w:p>
          <w:p w14:paraId="5B78E319" w14:textId="4B16B35C" w:rsidR="00F92392" w:rsidRPr="00DF4CE5" w:rsidRDefault="00A421F5" w:rsidP="00A421F5">
            <w:pPr>
              <w:spacing w:after="0" w:line="240" w:lineRule="auto"/>
              <w:contextualSpacing/>
              <w:jc w:val="both"/>
              <w:rPr>
                <w:rFonts w:ascii="Cambria" w:eastAsia="Calibri" w:hAnsi="Cambria" w:cs="Calibri"/>
                <w:lang w:val="hr-HR"/>
              </w:rPr>
            </w:pPr>
            <w:r>
              <w:rPr>
                <w:rFonts w:ascii="Cambria" w:eastAsia="Calibri" w:hAnsi="Cambria" w:cs="Times New Roman"/>
                <w:lang w:val="hr-HR"/>
              </w:rPr>
              <w:t xml:space="preserve">4. </w:t>
            </w:r>
            <w:r w:rsidR="00F92392" w:rsidRPr="00DF4CE5">
              <w:rPr>
                <w:rFonts w:ascii="Cambria" w:eastAsia="Calibri" w:hAnsi="Cambria" w:cs="Times New Roman"/>
                <w:lang w:val="hr-HR"/>
              </w:rPr>
              <w:t>analizirati metode izvođenja nastave iz hrvatskog jezika</w:t>
            </w:r>
            <w:r w:rsidR="00F92392" w:rsidRPr="00DF4CE5">
              <w:rPr>
                <w:rFonts w:ascii="Cambria" w:eastAsia="Calibri" w:hAnsi="Cambria" w:cs="Calibri"/>
                <w:lang w:val="hr-HR"/>
              </w:rPr>
              <w:t>.</w:t>
            </w:r>
          </w:p>
        </w:tc>
      </w:tr>
      <w:tr w:rsidR="00F92392" w:rsidRPr="00A421F5" w14:paraId="3946ABB6" w14:textId="77777777" w:rsidTr="00B36357">
        <w:tc>
          <w:tcPr>
            <w:tcW w:w="2807"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57C9A591" w14:textId="77777777" w:rsidR="00F92392" w:rsidRPr="00DF4CE5" w:rsidRDefault="00F92392" w:rsidP="008B34AF">
            <w:pPr>
              <w:contextualSpacing/>
              <w:jc w:val="both"/>
              <w:rPr>
                <w:rFonts w:ascii="Cambria" w:eastAsia="Calibri" w:hAnsi="Cambria" w:cs="Calibri"/>
                <w:lang w:val="hr-HR"/>
              </w:rPr>
            </w:pPr>
            <w:r w:rsidRPr="00DF4CE5">
              <w:rPr>
                <w:rFonts w:ascii="Cambria" w:eastAsia="Calibri" w:hAnsi="Cambria" w:cs="Calibri"/>
                <w:lang w:val="hr-HR"/>
              </w:rPr>
              <w:t>Sadržaj kolegija</w:t>
            </w:r>
          </w:p>
        </w:tc>
        <w:tc>
          <w:tcPr>
            <w:tcW w:w="6964"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DE186C9" w14:textId="73AE978C" w:rsidR="00F92392" w:rsidRPr="00DF4CE5" w:rsidRDefault="00A421F5" w:rsidP="00A421F5">
            <w:pPr>
              <w:spacing w:after="0" w:line="240" w:lineRule="auto"/>
              <w:contextualSpacing/>
              <w:jc w:val="both"/>
              <w:rPr>
                <w:rFonts w:ascii="Cambria" w:eastAsia="Calibri" w:hAnsi="Cambria" w:cs="Calibri"/>
                <w:lang w:val="hr-HR"/>
              </w:rPr>
            </w:pPr>
            <w:r>
              <w:rPr>
                <w:rFonts w:ascii="Cambria" w:eastAsia="Calibri" w:hAnsi="Cambria" w:cs="Calibri"/>
                <w:lang w:val="hr-HR"/>
              </w:rPr>
              <w:t xml:space="preserve">1. </w:t>
            </w:r>
            <w:r w:rsidR="00F92392" w:rsidRPr="00DF4CE5">
              <w:rPr>
                <w:rFonts w:ascii="Cambria" w:eastAsia="Calibri" w:hAnsi="Cambria" w:cs="Calibri"/>
                <w:lang w:val="hr-HR"/>
              </w:rPr>
              <w:t xml:space="preserve">Metodika početnog čitanja i pisanja: preduvjeti za uspješno čitanje i pisanje, pregled aktualne metodičke literature </w:t>
            </w:r>
          </w:p>
          <w:p w14:paraId="7FFCC86C" w14:textId="44F28878" w:rsidR="00F92392" w:rsidRPr="00DF4CE5" w:rsidRDefault="00A421F5" w:rsidP="00A421F5">
            <w:pPr>
              <w:spacing w:after="0" w:line="240" w:lineRule="auto"/>
              <w:contextualSpacing/>
              <w:jc w:val="both"/>
              <w:rPr>
                <w:rFonts w:ascii="Cambria" w:eastAsia="Calibri" w:hAnsi="Cambria" w:cs="Calibri"/>
                <w:lang w:val="hr-HR"/>
              </w:rPr>
            </w:pPr>
            <w:r>
              <w:rPr>
                <w:rFonts w:ascii="Cambria" w:eastAsia="Calibri" w:hAnsi="Cambria" w:cs="Calibri"/>
                <w:lang w:val="hr-HR"/>
              </w:rPr>
              <w:t xml:space="preserve">2. </w:t>
            </w:r>
            <w:r w:rsidR="00F92392" w:rsidRPr="00DF4CE5">
              <w:rPr>
                <w:rFonts w:ascii="Cambria" w:eastAsia="Calibri" w:hAnsi="Cambria" w:cs="Calibri"/>
                <w:lang w:val="hr-HR"/>
              </w:rPr>
              <w:t xml:space="preserve">Metodika književnosti: pregled aktualne metodičke literature i zastupljenosti književnih sadržaja u nastavnim programima, obveznim udžbenicima i ostalom radnom materijalu u primarnom obrazovanju. Popisi obvezne učeničke lektire u primarnom obrazovanju. Primjeri nastavnih jedinica (različiti pristupi), mogućnosti međupodručne i </w:t>
            </w:r>
            <w:proofErr w:type="spellStart"/>
            <w:r w:rsidR="00F92392" w:rsidRPr="00DF4CE5">
              <w:rPr>
                <w:rFonts w:ascii="Cambria" w:eastAsia="Calibri" w:hAnsi="Cambria" w:cs="Calibri"/>
                <w:lang w:val="hr-HR"/>
              </w:rPr>
              <w:t>međupredmetne</w:t>
            </w:r>
            <w:proofErr w:type="spellEnd"/>
            <w:r w:rsidR="00F92392" w:rsidRPr="00DF4CE5">
              <w:rPr>
                <w:rFonts w:ascii="Cambria" w:eastAsia="Calibri" w:hAnsi="Cambria" w:cs="Calibri"/>
                <w:lang w:val="hr-HR"/>
              </w:rPr>
              <w:t xml:space="preserve"> korelacije. </w:t>
            </w:r>
          </w:p>
          <w:p w14:paraId="1FA1DDBC" w14:textId="75988A15" w:rsidR="00F92392" w:rsidRPr="00DF4CE5" w:rsidRDefault="00A421F5" w:rsidP="00A421F5">
            <w:pPr>
              <w:spacing w:after="0" w:line="240" w:lineRule="auto"/>
              <w:contextualSpacing/>
              <w:jc w:val="both"/>
              <w:rPr>
                <w:rFonts w:ascii="Cambria" w:eastAsia="Calibri" w:hAnsi="Cambria" w:cs="Calibri"/>
                <w:lang w:val="hr-HR"/>
              </w:rPr>
            </w:pPr>
            <w:r>
              <w:rPr>
                <w:rFonts w:ascii="Cambria" w:eastAsia="Calibri" w:hAnsi="Cambria" w:cs="Calibri"/>
                <w:lang w:val="hr-HR"/>
              </w:rPr>
              <w:t xml:space="preserve">3. </w:t>
            </w:r>
            <w:r w:rsidR="00F92392" w:rsidRPr="00DF4CE5">
              <w:rPr>
                <w:rFonts w:ascii="Cambria" w:eastAsia="Calibri" w:hAnsi="Cambria" w:cs="Calibri"/>
                <w:lang w:val="hr-HR"/>
              </w:rPr>
              <w:t xml:space="preserve">Metodika medijske kulture: pregled metodičke literature i zastupljenosti sadržaja u nastavnim programima, obveznim udžbenicima i ostalom radnom materijalu u primarnom obrazovanju. Popisi časopisa za učenike primarnog obrazovanja. Primjeri nastavnih jedinica (različiti pristupi), mogućnosti međupodručne i </w:t>
            </w:r>
            <w:proofErr w:type="spellStart"/>
            <w:r w:rsidR="00F92392" w:rsidRPr="00DF4CE5">
              <w:rPr>
                <w:rFonts w:ascii="Cambria" w:eastAsia="Calibri" w:hAnsi="Cambria" w:cs="Calibri"/>
                <w:lang w:val="hr-HR"/>
              </w:rPr>
              <w:t>međupredmetne</w:t>
            </w:r>
            <w:proofErr w:type="spellEnd"/>
            <w:r w:rsidR="00F92392" w:rsidRPr="00DF4CE5">
              <w:rPr>
                <w:rFonts w:ascii="Cambria" w:eastAsia="Calibri" w:hAnsi="Cambria" w:cs="Calibri"/>
                <w:lang w:val="hr-HR"/>
              </w:rPr>
              <w:t xml:space="preserve"> korelacije. </w:t>
            </w:r>
          </w:p>
          <w:p w14:paraId="1FC42A93" w14:textId="26BCB290" w:rsidR="00F92392" w:rsidRPr="00DF4CE5" w:rsidRDefault="00A421F5" w:rsidP="00A421F5">
            <w:pPr>
              <w:spacing w:after="0" w:line="240" w:lineRule="auto"/>
              <w:contextualSpacing/>
              <w:jc w:val="both"/>
              <w:rPr>
                <w:rFonts w:ascii="Cambria" w:eastAsia="Calibri" w:hAnsi="Cambria" w:cs="Calibri"/>
                <w:lang w:val="hr-HR"/>
              </w:rPr>
            </w:pPr>
            <w:r>
              <w:rPr>
                <w:rFonts w:ascii="Cambria" w:eastAsia="Calibri" w:hAnsi="Cambria" w:cs="Calibri"/>
                <w:lang w:val="hr-HR"/>
              </w:rPr>
              <w:lastRenderedPageBreak/>
              <w:t xml:space="preserve">4. </w:t>
            </w:r>
            <w:r w:rsidR="00F92392" w:rsidRPr="00DF4CE5">
              <w:rPr>
                <w:rFonts w:ascii="Cambria" w:eastAsia="Calibri" w:hAnsi="Cambria" w:cs="Calibri"/>
                <w:lang w:val="hr-HR"/>
              </w:rPr>
              <w:t xml:space="preserve">Metodika jezika: pregled metodičke literature i zastupljenosti sadržaja u nastavnim programima, obveznim udžbenicima i ostalom radnom materijalu u primarnom obrazovanju. Primjeri nastavnih jedinica i mogućnosti međupodručne korelacije.  </w:t>
            </w:r>
          </w:p>
          <w:p w14:paraId="43A2027F" w14:textId="2C46B50D" w:rsidR="00F92392" w:rsidRPr="00DF4CE5" w:rsidRDefault="00A421F5" w:rsidP="00A421F5">
            <w:pPr>
              <w:spacing w:after="0" w:line="240" w:lineRule="auto"/>
              <w:contextualSpacing/>
              <w:jc w:val="both"/>
              <w:rPr>
                <w:rFonts w:ascii="Cambria" w:eastAsia="Calibri" w:hAnsi="Cambria" w:cs="Calibri"/>
                <w:lang w:val="hr-HR"/>
              </w:rPr>
            </w:pPr>
            <w:r>
              <w:rPr>
                <w:rFonts w:ascii="Cambria" w:eastAsia="Calibri" w:hAnsi="Cambria" w:cs="Calibri"/>
                <w:lang w:val="hr-HR"/>
              </w:rPr>
              <w:t xml:space="preserve">5. </w:t>
            </w:r>
            <w:r w:rsidR="00F92392" w:rsidRPr="00DF4CE5">
              <w:rPr>
                <w:rFonts w:ascii="Cambria" w:eastAsia="Calibri" w:hAnsi="Cambria" w:cs="Calibri"/>
                <w:lang w:val="hr-HR"/>
              </w:rPr>
              <w:t xml:space="preserve">Metodika jezičnog i pismenog  izražavanja: pregled metodičke literature i zastupljenosti sadržaja u nastavnim programima, obveznim udžbenicima i ostalom radnom materijalu u primarnom obrazovanju. Primjeri nastavnih jedinica mogućnosti međupodručne i </w:t>
            </w:r>
            <w:proofErr w:type="spellStart"/>
            <w:r w:rsidR="00F92392" w:rsidRPr="00DF4CE5">
              <w:rPr>
                <w:rFonts w:ascii="Cambria" w:eastAsia="Calibri" w:hAnsi="Cambria" w:cs="Calibri"/>
                <w:lang w:val="hr-HR"/>
              </w:rPr>
              <w:t>međupredmetne</w:t>
            </w:r>
            <w:proofErr w:type="spellEnd"/>
            <w:r w:rsidR="00F92392" w:rsidRPr="00DF4CE5">
              <w:rPr>
                <w:rFonts w:ascii="Cambria" w:eastAsia="Calibri" w:hAnsi="Cambria" w:cs="Calibri"/>
                <w:lang w:val="hr-HR"/>
              </w:rPr>
              <w:t xml:space="preserve"> korelacije.</w:t>
            </w:r>
          </w:p>
        </w:tc>
      </w:tr>
      <w:tr w:rsidR="00F92392" w:rsidRPr="00DF4CE5" w14:paraId="032C4E33" w14:textId="77777777" w:rsidTr="00B36357">
        <w:tc>
          <w:tcPr>
            <w:tcW w:w="2807"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hideMark/>
          </w:tcPr>
          <w:p w14:paraId="67363C55" w14:textId="77777777" w:rsidR="00F92392" w:rsidRPr="00DF4CE5" w:rsidRDefault="00F92392" w:rsidP="008B34AF">
            <w:pPr>
              <w:contextualSpacing/>
              <w:jc w:val="both"/>
              <w:rPr>
                <w:rFonts w:ascii="Cambria" w:eastAsia="Calibri" w:hAnsi="Cambria" w:cs="Calibri"/>
                <w:lang w:val="hr-HR"/>
              </w:rPr>
            </w:pPr>
            <w:r w:rsidRPr="00DF4CE5">
              <w:rPr>
                <w:rFonts w:ascii="Cambria" w:eastAsia="Calibri" w:hAnsi="Cambria" w:cs="Calibri"/>
                <w:lang w:val="hr-HR"/>
              </w:rPr>
              <w:lastRenderedPageBreak/>
              <w:t>Planirane aktivnosti</w:t>
            </w:r>
            <w:r w:rsidRPr="00B30379">
              <w:rPr>
                <w:rFonts w:ascii="Cambria" w:eastAsia="Calibri" w:hAnsi="Cambria" w:cs="Calibri"/>
                <w:lang w:val="it-IT"/>
              </w:rPr>
              <w:t>,</w:t>
            </w:r>
          </w:p>
          <w:p w14:paraId="26B57334" w14:textId="77777777" w:rsidR="00F92392" w:rsidRPr="00DF4CE5" w:rsidRDefault="00F92392" w:rsidP="008B34AF">
            <w:pPr>
              <w:contextualSpacing/>
              <w:jc w:val="both"/>
              <w:rPr>
                <w:rFonts w:ascii="Cambria" w:eastAsia="Calibri" w:hAnsi="Cambria" w:cs="Calibri"/>
                <w:lang w:val="hr-HR"/>
              </w:rPr>
            </w:pPr>
            <w:r w:rsidRPr="00DF4CE5">
              <w:rPr>
                <w:rFonts w:ascii="Cambria" w:eastAsia="Calibri" w:hAnsi="Cambria" w:cs="Calibri"/>
                <w:lang w:val="hr-HR"/>
              </w:rPr>
              <w:t>metode učenja i poučavanja i načini vrednovanja</w:t>
            </w:r>
          </w:p>
        </w:tc>
        <w:tc>
          <w:tcPr>
            <w:tcW w:w="276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A116211" w14:textId="77777777" w:rsidR="00F92392" w:rsidRPr="00DF4CE5" w:rsidRDefault="00F92392" w:rsidP="008B34AF">
            <w:pPr>
              <w:contextualSpacing/>
              <w:jc w:val="both"/>
              <w:rPr>
                <w:rFonts w:ascii="Cambria" w:eastAsia="Calibri" w:hAnsi="Cambria" w:cs="Calibri"/>
                <w:lang w:val="hr-HR"/>
              </w:rPr>
            </w:pPr>
            <w:r w:rsidRPr="00DF4CE5">
              <w:rPr>
                <w:rFonts w:ascii="Cambria" w:eastAsia="Calibri" w:hAnsi="Cambria" w:cs="Calibri"/>
                <w:bCs/>
                <w:lang w:val="hr-HR"/>
              </w:rPr>
              <w:t>Obveze</w:t>
            </w:r>
          </w:p>
        </w:tc>
        <w:tc>
          <w:tcPr>
            <w:tcW w:w="11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7EBE74A" w14:textId="77777777" w:rsidR="00F92392" w:rsidRPr="00DF4CE5" w:rsidRDefault="00F92392" w:rsidP="008B34AF">
            <w:pPr>
              <w:contextualSpacing/>
              <w:jc w:val="both"/>
              <w:rPr>
                <w:rFonts w:ascii="Cambria" w:eastAsia="Calibri" w:hAnsi="Cambria" w:cs="Calibri"/>
                <w:lang w:val="hr-HR"/>
              </w:rPr>
            </w:pPr>
            <w:r w:rsidRPr="00DF4CE5">
              <w:rPr>
                <w:rFonts w:ascii="Cambria" w:eastAsia="Calibri" w:hAnsi="Cambria" w:cs="Calibri"/>
                <w:bCs/>
                <w:lang w:val="hr-HR"/>
              </w:rPr>
              <w:t>Ishodi</w:t>
            </w:r>
          </w:p>
        </w:tc>
        <w:tc>
          <w:tcPr>
            <w:tcW w:w="84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014D5CE" w14:textId="77777777" w:rsidR="00F92392" w:rsidRPr="00DF4CE5" w:rsidRDefault="00F92392" w:rsidP="008B34AF">
            <w:pPr>
              <w:contextualSpacing/>
              <w:jc w:val="both"/>
              <w:rPr>
                <w:rFonts w:ascii="Cambria" w:eastAsia="Calibri" w:hAnsi="Cambria" w:cs="Calibri"/>
                <w:lang w:val="hr-HR"/>
              </w:rPr>
            </w:pPr>
            <w:r w:rsidRPr="00DF4CE5">
              <w:rPr>
                <w:rFonts w:ascii="Cambria" w:eastAsia="Calibri" w:hAnsi="Cambria" w:cs="Calibri"/>
                <w:bCs/>
                <w:lang w:val="hr-HR"/>
              </w:rPr>
              <w:t>Sati</w:t>
            </w:r>
          </w:p>
        </w:tc>
        <w:tc>
          <w:tcPr>
            <w:tcW w:w="10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A5B0418" w14:textId="77777777" w:rsidR="00F92392" w:rsidRPr="00DF4CE5" w:rsidRDefault="00F92392" w:rsidP="008B34AF">
            <w:pPr>
              <w:contextualSpacing/>
              <w:jc w:val="both"/>
              <w:rPr>
                <w:rFonts w:ascii="Cambria" w:eastAsia="Calibri" w:hAnsi="Cambria" w:cs="Calibri"/>
                <w:lang w:val="hr-HR"/>
              </w:rPr>
            </w:pPr>
            <w:r w:rsidRPr="00DF4CE5">
              <w:rPr>
                <w:rFonts w:ascii="Cambria" w:eastAsia="Calibri" w:hAnsi="Cambria" w:cs="Calibri"/>
                <w:bCs/>
                <w:lang w:val="hr-HR"/>
              </w:rPr>
              <w:t>ECTS</w:t>
            </w:r>
          </w:p>
        </w:tc>
        <w:tc>
          <w:tcPr>
            <w:tcW w:w="11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0B8F8C3" w14:textId="77777777" w:rsidR="00F92392" w:rsidRPr="00DF4CE5" w:rsidRDefault="00F92392" w:rsidP="008B34AF">
            <w:pPr>
              <w:contextualSpacing/>
              <w:jc w:val="both"/>
              <w:rPr>
                <w:rFonts w:ascii="Cambria" w:eastAsia="Calibri" w:hAnsi="Cambria" w:cs="Calibri"/>
                <w:lang w:val="hr-HR"/>
              </w:rPr>
            </w:pPr>
            <w:r w:rsidRPr="00DF4CE5">
              <w:rPr>
                <w:rFonts w:ascii="Cambria" w:eastAsia="Calibri" w:hAnsi="Cambria" w:cs="Calibri"/>
                <w:bCs/>
                <w:lang w:val="hr-HR"/>
              </w:rPr>
              <w:t>Maksimalni udio u ocjeni</w:t>
            </w:r>
            <w:r w:rsidRPr="00DF4CE5">
              <w:rPr>
                <w:rFonts w:ascii="Cambria" w:eastAsia="Calibri" w:hAnsi="Cambria" w:cs="Calibri"/>
                <w:bCs/>
              </w:rPr>
              <w:t xml:space="preserve"> (%)</w:t>
            </w:r>
          </w:p>
        </w:tc>
      </w:tr>
      <w:tr w:rsidR="00E25231" w:rsidRPr="00DF4CE5" w14:paraId="5BB893AA" w14:textId="77777777" w:rsidTr="00B36357">
        <w:tc>
          <w:tcPr>
            <w:tcW w:w="2807" w:type="dxa"/>
            <w:vMerge/>
            <w:tcBorders>
              <w:left w:val="single" w:sz="8" w:space="0" w:color="000000"/>
              <w:right w:val="single" w:sz="8" w:space="0" w:color="000000"/>
            </w:tcBorders>
            <w:vAlign w:val="center"/>
            <w:hideMark/>
          </w:tcPr>
          <w:p w14:paraId="55C0A9A8" w14:textId="77777777" w:rsidR="00E25231" w:rsidRPr="00DF4CE5" w:rsidRDefault="00E25231" w:rsidP="00E25231">
            <w:pPr>
              <w:contextualSpacing/>
              <w:jc w:val="both"/>
              <w:rPr>
                <w:rFonts w:ascii="Cambria" w:eastAsia="Calibri" w:hAnsi="Cambria" w:cs="Calibri"/>
                <w:lang w:val="hr-HR"/>
              </w:rPr>
            </w:pPr>
          </w:p>
        </w:tc>
        <w:tc>
          <w:tcPr>
            <w:tcW w:w="276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B397589" w14:textId="28465F67" w:rsidR="00E25231" w:rsidRPr="00DF4CE5" w:rsidRDefault="00E25231" w:rsidP="00E25231">
            <w:pPr>
              <w:contextualSpacing/>
              <w:jc w:val="both"/>
              <w:rPr>
                <w:rFonts w:ascii="Cambria" w:eastAsia="Calibri" w:hAnsi="Cambria" w:cs="Calibri"/>
                <w:lang w:val="hr-HR"/>
              </w:rPr>
            </w:pPr>
            <w:proofErr w:type="spellStart"/>
            <w:r w:rsidRPr="00DF4CE5">
              <w:rPr>
                <w:rFonts w:ascii="Cambria" w:eastAsia="Times New Roman" w:hAnsi="Cambria" w:cs="Calibri"/>
              </w:rPr>
              <w:t>aktivnost</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na</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nastavi</w:t>
            </w:r>
            <w:proofErr w:type="spellEnd"/>
          </w:p>
        </w:tc>
        <w:tc>
          <w:tcPr>
            <w:tcW w:w="11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65F0201" w14:textId="55468292" w:rsidR="00E25231" w:rsidRPr="00DF4CE5" w:rsidRDefault="00E25231" w:rsidP="00A421F5">
            <w:pPr>
              <w:contextualSpacing/>
              <w:jc w:val="center"/>
              <w:rPr>
                <w:rFonts w:ascii="Cambria" w:eastAsia="Calibri" w:hAnsi="Cambria" w:cs="Calibri"/>
                <w:lang w:val="hr-HR"/>
              </w:rPr>
            </w:pPr>
            <w:r w:rsidRPr="00DF4CE5">
              <w:rPr>
                <w:rFonts w:ascii="Cambria" w:eastAsia="Calibri" w:hAnsi="Cambria" w:cs="Calibri"/>
                <w:lang w:val="hr-HR"/>
              </w:rPr>
              <w:t>1.</w:t>
            </w:r>
            <w:r w:rsidR="00A421F5">
              <w:rPr>
                <w:rFonts w:ascii="Cambria" w:eastAsia="Calibri" w:hAnsi="Cambria" w:cs="Calibri"/>
                <w:lang w:val="hr-HR"/>
              </w:rPr>
              <w:t xml:space="preserve"> – </w:t>
            </w:r>
            <w:r w:rsidRPr="00DF4CE5">
              <w:rPr>
                <w:rFonts w:ascii="Cambria" w:eastAsia="Calibri" w:hAnsi="Cambria" w:cs="Calibri"/>
                <w:lang w:val="hr-HR"/>
              </w:rPr>
              <w:t>4.</w:t>
            </w:r>
          </w:p>
        </w:tc>
        <w:tc>
          <w:tcPr>
            <w:tcW w:w="84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5DCB628" w14:textId="77777777" w:rsidR="00E25231" w:rsidRPr="00DF4CE5" w:rsidRDefault="00E25231" w:rsidP="00A421F5">
            <w:pPr>
              <w:contextualSpacing/>
              <w:jc w:val="center"/>
              <w:rPr>
                <w:rFonts w:ascii="Cambria" w:eastAsia="Calibri" w:hAnsi="Cambria" w:cs="Calibri"/>
                <w:lang w:val="hr-HR"/>
              </w:rPr>
            </w:pPr>
            <w:r w:rsidRPr="00DF4CE5">
              <w:rPr>
                <w:rFonts w:ascii="Cambria" w:eastAsia="Calibri" w:hAnsi="Cambria" w:cs="Calibri"/>
                <w:lang w:val="hr-HR"/>
              </w:rPr>
              <w:t>45</w:t>
            </w:r>
          </w:p>
        </w:tc>
        <w:tc>
          <w:tcPr>
            <w:tcW w:w="10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F44F58C" w14:textId="779DA15B" w:rsidR="00E25231" w:rsidRPr="00DF4CE5" w:rsidRDefault="00E25231" w:rsidP="00A421F5">
            <w:pPr>
              <w:contextualSpacing/>
              <w:jc w:val="center"/>
              <w:rPr>
                <w:rFonts w:ascii="Cambria" w:eastAsia="Calibri" w:hAnsi="Cambria" w:cs="Calibri"/>
                <w:lang w:val="hr-HR"/>
              </w:rPr>
            </w:pPr>
            <w:r w:rsidRPr="00DF4CE5">
              <w:rPr>
                <w:rFonts w:ascii="Cambria" w:eastAsia="Calibri" w:hAnsi="Cambria" w:cs="Calibri"/>
                <w:lang w:val="hr-HR"/>
              </w:rPr>
              <w:t>1,5</w:t>
            </w:r>
          </w:p>
        </w:tc>
        <w:tc>
          <w:tcPr>
            <w:tcW w:w="11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38CCD9B" w14:textId="0D0C079D" w:rsidR="00E25231" w:rsidRPr="00DF4CE5" w:rsidRDefault="00E25231" w:rsidP="00A421F5">
            <w:pPr>
              <w:contextualSpacing/>
              <w:jc w:val="center"/>
              <w:rPr>
                <w:rFonts w:ascii="Cambria" w:eastAsia="Calibri" w:hAnsi="Cambria" w:cs="Calibri"/>
                <w:lang w:val="hr-HR"/>
              </w:rPr>
            </w:pPr>
            <w:r w:rsidRPr="00DF4CE5">
              <w:rPr>
                <w:rFonts w:ascii="Cambria" w:eastAsia="Calibri" w:hAnsi="Cambria" w:cs="Calibri"/>
                <w:lang w:val="hr-HR"/>
              </w:rPr>
              <w:t>20%</w:t>
            </w:r>
          </w:p>
        </w:tc>
      </w:tr>
      <w:tr w:rsidR="00E25231" w:rsidRPr="00DF4CE5" w14:paraId="7EF63FD4" w14:textId="77777777" w:rsidTr="00B36357">
        <w:tc>
          <w:tcPr>
            <w:tcW w:w="2807" w:type="dxa"/>
            <w:vMerge/>
            <w:tcBorders>
              <w:left w:val="single" w:sz="8" w:space="0" w:color="000000"/>
              <w:right w:val="single" w:sz="8" w:space="0" w:color="000000"/>
            </w:tcBorders>
            <w:vAlign w:val="center"/>
            <w:hideMark/>
          </w:tcPr>
          <w:p w14:paraId="5305D139" w14:textId="77777777" w:rsidR="00E25231" w:rsidRPr="00DF4CE5" w:rsidRDefault="00E25231" w:rsidP="00E25231">
            <w:pPr>
              <w:contextualSpacing/>
              <w:jc w:val="both"/>
              <w:rPr>
                <w:rFonts w:ascii="Cambria" w:eastAsia="Calibri" w:hAnsi="Cambria" w:cs="Calibri"/>
                <w:lang w:val="hr-HR"/>
              </w:rPr>
            </w:pPr>
          </w:p>
        </w:tc>
        <w:tc>
          <w:tcPr>
            <w:tcW w:w="276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1386A33" w14:textId="77777777" w:rsidR="00E25231" w:rsidRPr="00DF4CE5" w:rsidRDefault="00E25231" w:rsidP="00E25231">
            <w:pPr>
              <w:contextualSpacing/>
              <w:jc w:val="both"/>
              <w:rPr>
                <w:rFonts w:ascii="Cambria" w:eastAsia="Calibri" w:hAnsi="Cambria" w:cs="Calibri"/>
                <w:lang w:val="hr-HR"/>
              </w:rPr>
            </w:pPr>
            <w:proofErr w:type="spellStart"/>
            <w:r w:rsidRPr="00DF4CE5">
              <w:rPr>
                <w:rFonts w:ascii="Cambria" w:eastAsia="Calibri" w:hAnsi="Cambria" w:cs="Calibri"/>
              </w:rPr>
              <w:t>seminarski</w:t>
            </w:r>
            <w:proofErr w:type="spellEnd"/>
            <w:r w:rsidRPr="00DF4CE5">
              <w:rPr>
                <w:rFonts w:ascii="Cambria" w:eastAsia="Calibri" w:hAnsi="Cambria" w:cs="Calibri"/>
              </w:rPr>
              <w:t xml:space="preserve"> rad, </w:t>
            </w:r>
            <w:proofErr w:type="spellStart"/>
            <w:r w:rsidRPr="00DF4CE5">
              <w:rPr>
                <w:rFonts w:ascii="Cambria" w:eastAsia="Calibri" w:hAnsi="Cambria" w:cs="Calibri"/>
              </w:rPr>
              <w:t>vježbe</w:t>
            </w:r>
            <w:proofErr w:type="spellEnd"/>
          </w:p>
        </w:tc>
        <w:tc>
          <w:tcPr>
            <w:tcW w:w="11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C4EEEFD" w14:textId="0E2788FB" w:rsidR="00E25231" w:rsidRPr="00DF4CE5" w:rsidRDefault="00A421F5" w:rsidP="00A421F5">
            <w:pPr>
              <w:contextualSpacing/>
              <w:jc w:val="center"/>
              <w:rPr>
                <w:rFonts w:ascii="Cambria" w:eastAsia="Calibri" w:hAnsi="Cambria" w:cs="Calibri"/>
                <w:lang w:val="hr-HR"/>
              </w:rPr>
            </w:pPr>
            <w:r w:rsidRPr="00DF4CE5">
              <w:rPr>
                <w:rFonts w:ascii="Cambria" w:eastAsia="Calibri" w:hAnsi="Cambria" w:cs="Calibri"/>
                <w:lang w:val="hr-HR"/>
              </w:rPr>
              <w:t>1.</w:t>
            </w:r>
            <w:r>
              <w:rPr>
                <w:rFonts w:ascii="Cambria" w:eastAsia="Calibri" w:hAnsi="Cambria" w:cs="Calibri"/>
                <w:lang w:val="hr-HR"/>
              </w:rPr>
              <w:t xml:space="preserve"> – </w:t>
            </w:r>
            <w:r w:rsidRPr="00DF4CE5">
              <w:rPr>
                <w:rFonts w:ascii="Cambria" w:eastAsia="Calibri" w:hAnsi="Cambria" w:cs="Calibri"/>
                <w:lang w:val="hr-HR"/>
              </w:rPr>
              <w:t>4.</w:t>
            </w:r>
          </w:p>
        </w:tc>
        <w:tc>
          <w:tcPr>
            <w:tcW w:w="84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B3305D3" w14:textId="4D7132A2" w:rsidR="00E25231" w:rsidRPr="00DF4CE5" w:rsidRDefault="00E25231" w:rsidP="00A421F5">
            <w:pPr>
              <w:contextualSpacing/>
              <w:jc w:val="center"/>
              <w:rPr>
                <w:rFonts w:ascii="Cambria" w:eastAsia="Calibri" w:hAnsi="Cambria" w:cs="Calibri"/>
                <w:lang w:val="hr-HR"/>
              </w:rPr>
            </w:pPr>
            <w:r w:rsidRPr="00DF4CE5">
              <w:rPr>
                <w:rFonts w:ascii="Cambria" w:eastAsia="Calibri" w:hAnsi="Cambria" w:cs="Calibri"/>
                <w:lang w:val="hr-HR"/>
              </w:rPr>
              <w:t>24</w:t>
            </w:r>
          </w:p>
        </w:tc>
        <w:tc>
          <w:tcPr>
            <w:tcW w:w="10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F73460B" w14:textId="77777777" w:rsidR="00E25231" w:rsidRPr="00DF4CE5" w:rsidRDefault="00E25231" w:rsidP="00A421F5">
            <w:pPr>
              <w:contextualSpacing/>
              <w:jc w:val="center"/>
              <w:rPr>
                <w:rFonts w:ascii="Cambria" w:eastAsia="Calibri" w:hAnsi="Cambria" w:cs="Calibri"/>
                <w:lang w:val="hr-HR"/>
              </w:rPr>
            </w:pPr>
            <w:r w:rsidRPr="00DF4CE5">
              <w:rPr>
                <w:rFonts w:ascii="Cambria" w:eastAsia="Calibri" w:hAnsi="Cambria" w:cs="Calibri"/>
                <w:lang w:val="hr-HR"/>
              </w:rPr>
              <w:t>0,8</w:t>
            </w:r>
          </w:p>
        </w:tc>
        <w:tc>
          <w:tcPr>
            <w:tcW w:w="11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452FE66" w14:textId="218CCD15" w:rsidR="00E25231" w:rsidRPr="00DF4CE5" w:rsidRDefault="00E25231" w:rsidP="00A421F5">
            <w:pPr>
              <w:contextualSpacing/>
              <w:jc w:val="center"/>
              <w:rPr>
                <w:rFonts w:ascii="Cambria" w:eastAsia="Calibri" w:hAnsi="Cambria" w:cs="Calibri"/>
                <w:lang w:val="hr-HR"/>
              </w:rPr>
            </w:pPr>
            <w:r w:rsidRPr="00DF4CE5">
              <w:rPr>
                <w:rFonts w:ascii="Cambria" w:eastAsia="Calibri" w:hAnsi="Cambria" w:cs="Calibri"/>
                <w:lang w:val="hr-HR"/>
              </w:rPr>
              <w:t>20%</w:t>
            </w:r>
          </w:p>
        </w:tc>
      </w:tr>
      <w:tr w:rsidR="00E25231" w:rsidRPr="00DF4CE5" w14:paraId="3F8A3909" w14:textId="77777777" w:rsidTr="00B36357">
        <w:tc>
          <w:tcPr>
            <w:tcW w:w="2807" w:type="dxa"/>
            <w:vMerge/>
            <w:tcBorders>
              <w:left w:val="single" w:sz="8" w:space="0" w:color="000000"/>
              <w:right w:val="single" w:sz="8" w:space="0" w:color="000000"/>
            </w:tcBorders>
            <w:vAlign w:val="center"/>
            <w:hideMark/>
          </w:tcPr>
          <w:p w14:paraId="47FBB1BC" w14:textId="77777777" w:rsidR="00E25231" w:rsidRPr="00DF4CE5" w:rsidRDefault="00E25231" w:rsidP="00E25231">
            <w:pPr>
              <w:contextualSpacing/>
              <w:jc w:val="both"/>
              <w:rPr>
                <w:rFonts w:ascii="Cambria" w:eastAsia="Calibri" w:hAnsi="Cambria" w:cs="Calibri"/>
                <w:lang w:val="hr-HR"/>
              </w:rPr>
            </w:pPr>
          </w:p>
        </w:tc>
        <w:tc>
          <w:tcPr>
            <w:tcW w:w="276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DDE4DBE" w14:textId="77777777" w:rsidR="00E25231" w:rsidRPr="00DF4CE5" w:rsidRDefault="00E25231" w:rsidP="00E25231">
            <w:pPr>
              <w:contextualSpacing/>
              <w:jc w:val="both"/>
              <w:rPr>
                <w:rFonts w:ascii="Cambria" w:eastAsia="Calibri" w:hAnsi="Cambria" w:cs="Calibri"/>
                <w:lang w:val="hr-HR"/>
              </w:rPr>
            </w:pPr>
            <w:r w:rsidRPr="00DF4CE5">
              <w:rPr>
                <w:rFonts w:ascii="Cambria" w:eastAsia="Calibri" w:hAnsi="Cambria" w:cs="Calibri"/>
                <w:lang w:val="hr-HR"/>
              </w:rPr>
              <w:t>kolokvij i priprema za kontinuiranu provjeru znanja</w:t>
            </w:r>
          </w:p>
        </w:tc>
        <w:tc>
          <w:tcPr>
            <w:tcW w:w="11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45940B2" w14:textId="3BF7F7F3" w:rsidR="00E25231" w:rsidRPr="00DF4CE5" w:rsidRDefault="00A421F5" w:rsidP="00A421F5">
            <w:pPr>
              <w:contextualSpacing/>
              <w:jc w:val="center"/>
              <w:rPr>
                <w:rFonts w:ascii="Cambria" w:eastAsia="Calibri" w:hAnsi="Cambria" w:cs="Calibri"/>
                <w:lang w:val="hr-HR"/>
              </w:rPr>
            </w:pPr>
            <w:r w:rsidRPr="00DF4CE5">
              <w:rPr>
                <w:rFonts w:ascii="Cambria" w:eastAsia="Calibri" w:hAnsi="Cambria" w:cs="Calibri"/>
                <w:lang w:val="hr-HR"/>
              </w:rPr>
              <w:t>1.</w:t>
            </w:r>
            <w:r>
              <w:rPr>
                <w:rFonts w:ascii="Cambria" w:eastAsia="Calibri" w:hAnsi="Cambria" w:cs="Calibri"/>
                <w:lang w:val="hr-HR"/>
              </w:rPr>
              <w:t xml:space="preserve"> – </w:t>
            </w:r>
            <w:r w:rsidRPr="00DF4CE5">
              <w:rPr>
                <w:rFonts w:ascii="Cambria" w:eastAsia="Calibri" w:hAnsi="Cambria" w:cs="Calibri"/>
                <w:lang w:val="hr-HR"/>
              </w:rPr>
              <w:t>4.</w:t>
            </w:r>
          </w:p>
        </w:tc>
        <w:tc>
          <w:tcPr>
            <w:tcW w:w="84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F13E23B" w14:textId="01ED473A" w:rsidR="00E25231" w:rsidRPr="00DF4CE5" w:rsidRDefault="00E25231" w:rsidP="00A421F5">
            <w:pPr>
              <w:contextualSpacing/>
              <w:jc w:val="center"/>
              <w:rPr>
                <w:rFonts w:ascii="Cambria" w:eastAsia="Calibri" w:hAnsi="Cambria" w:cs="Calibri"/>
                <w:lang w:val="hr-HR"/>
              </w:rPr>
            </w:pPr>
            <w:r w:rsidRPr="00DF4CE5">
              <w:rPr>
                <w:rFonts w:ascii="Cambria" w:eastAsia="Calibri" w:hAnsi="Cambria" w:cs="Calibri"/>
                <w:lang w:val="hr-HR"/>
              </w:rPr>
              <w:t>39</w:t>
            </w:r>
          </w:p>
        </w:tc>
        <w:tc>
          <w:tcPr>
            <w:tcW w:w="10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8DAA4C2" w14:textId="31A45733" w:rsidR="00E25231" w:rsidRPr="00DF4CE5" w:rsidRDefault="00E25231" w:rsidP="00A421F5">
            <w:pPr>
              <w:contextualSpacing/>
              <w:jc w:val="center"/>
              <w:rPr>
                <w:rFonts w:ascii="Cambria" w:eastAsia="Calibri" w:hAnsi="Cambria" w:cs="Calibri"/>
                <w:lang w:val="hr-HR"/>
              </w:rPr>
            </w:pPr>
            <w:r w:rsidRPr="00DF4CE5">
              <w:rPr>
                <w:rFonts w:ascii="Cambria" w:eastAsia="Calibri" w:hAnsi="Cambria" w:cs="Calibri"/>
                <w:lang w:val="hr-HR"/>
              </w:rPr>
              <w:t>1,3</w:t>
            </w:r>
          </w:p>
        </w:tc>
        <w:tc>
          <w:tcPr>
            <w:tcW w:w="11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6EF9093" w14:textId="08B21EB1" w:rsidR="00E25231" w:rsidRPr="00DF4CE5" w:rsidRDefault="00E25231" w:rsidP="00A421F5">
            <w:pPr>
              <w:contextualSpacing/>
              <w:jc w:val="center"/>
              <w:rPr>
                <w:rFonts w:ascii="Cambria" w:eastAsia="Calibri" w:hAnsi="Cambria" w:cs="Calibri"/>
                <w:lang w:val="hr-HR"/>
              </w:rPr>
            </w:pPr>
            <w:r w:rsidRPr="00DF4CE5">
              <w:rPr>
                <w:rFonts w:ascii="Cambria" w:eastAsia="Calibri" w:hAnsi="Cambria" w:cs="Calibri"/>
                <w:lang w:val="hr-HR"/>
              </w:rPr>
              <w:t>30%</w:t>
            </w:r>
          </w:p>
        </w:tc>
      </w:tr>
      <w:tr w:rsidR="00E25231" w:rsidRPr="00DF4CE5" w14:paraId="40D6997F" w14:textId="77777777" w:rsidTr="00B36357">
        <w:tc>
          <w:tcPr>
            <w:tcW w:w="2807" w:type="dxa"/>
            <w:vMerge/>
            <w:tcBorders>
              <w:left w:val="single" w:sz="8" w:space="0" w:color="000000"/>
              <w:right w:val="single" w:sz="8" w:space="0" w:color="000000"/>
            </w:tcBorders>
            <w:vAlign w:val="center"/>
            <w:hideMark/>
          </w:tcPr>
          <w:p w14:paraId="34BADBBF" w14:textId="77777777" w:rsidR="00E25231" w:rsidRPr="00DF4CE5" w:rsidRDefault="00E25231" w:rsidP="00E25231">
            <w:pPr>
              <w:contextualSpacing/>
              <w:jc w:val="both"/>
              <w:rPr>
                <w:rFonts w:ascii="Cambria" w:eastAsia="Calibri" w:hAnsi="Cambria" w:cs="Calibri"/>
                <w:lang w:val="hr-HR"/>
              </w:rPr>
            </w:pPr>
          </w:p>
        </w:tc>
        <w:tc>
          <w:tcPr>
            <w:tcW w:w="276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F8D012E" w14:textId="77777777" w:rsidR="00E25231" w:rsidRPr="00DF4CE5" w:rsidRDefault="00E25231" w:rsidP="00E25231">
            <w:pPr>
              <w:contextualSpacing/>
              <w:jc w:val="both"/>
              <w:rPr>
                <w:rFonts w:ascii="Cambria" w:eastAsia="Calibri" w:hAnsi="Cambria" w:cs="Calibri"/>
                <w:lang w:val="hr-HR"/>
              </w:rPr>
            </w:pPr>
            <w:r w:rsidRPr="00DF4CE5">
              <w:rPr>
                <w:rFonts w:ascii="Cambria" w:eastAsia="Calibri" w:hAnsi="Cambria" w:cs="Calibri"/>
                <w:lang w:val="hr-HR"/>
              </w:rPr>
              <w:t>priprema i polaganje ispita</w:t>
            </w:r>
          </w:p>
        </w:tc>
        <w:tc>
          <w:tcPr>
            <w:tcW w:w="11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F7336E6" w14:textId="3D03C918" w:rsidR="00E25231" w:rsidRPr="00DF4CE5" w:rsidRDefault="00A421F5" w:rsidP="00A421F5">
            <w:pPr>
              <w:contextualSpacing/>
              <w:jc w:val="center"/>
              <w:rPr>
                <w:rFonts w:ascii="Cambria" w:eastAsia="Calibri" w:hAnsi="Cambria" w:cs="Calibri"/>
                <w:lang w:val="hr-HR"/>
              </w:rPr>
            </w:pPr>
            <w:r w:rsidRPr="00DF4CE5">
              <w:rPr>
                <w:rFonts w:ascii="Cambria" w:eastAsia="Calibri" w:hAnsi="Cambria" w:cs="Calibri"/>
                <w:lang w:val="hr-HR"/>
              </w:rPr>
              <w:t>1.</w:t>
            </w:r>
            <w:r>
              <w:rPr>
                <w:rFonts w:ascii="Cambria" w:eastAsia="Calibri" w:hAnsi="Cambria" w:cs="Calibri"/>
                <w:lang w:val="hr-HR"/>
              </w:rPr>
              <w:t xml:space="preserve"> – </w:t>
            </w:r>
            <w:r w:rsidRPr="00DF4CE5">
              <w:rPr>
                <w:rFonts w:ascii="Cambria" w:eastAsia="Calibri" w:hAnsi="Cambria" w:cs="Calibri"/>
                <w:lang w:val="hr-HR"/>
              </w:rPr>
              <w:t>4.</w:t>
            </w:r>
          </w:p>
        </w:tc>
        <w:tc>
          <w:tcPr>
            <w:tcW w:w="84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20DF2B0" w14:textId="6E91F4CA" w:rsidR="00E25231" w:rsidRPr="00DF4CE5" w:rsidRDefault="00E25231" w:rsidP="00A421F5">
            <w:pPr>
              <w:contextualSpacing/>
              <w:jc w:val="center"/>
              <w:rPr>
                <w:rFonts w:ascii="Cambria" w:eastAsia="Calibri" w:hAnsi="Cambria" w:cs="Calibri"/>
                <w:lang w:val="hr-HR"/>
              </w:rPr>
            </w:pPr>
            <w:r w:rsidRPr="00DF4CE5">
              <w:rPr>
                <w:rFonts w:ascii="Cambria" w:eastAsia="Calibri" w:hAnsi="Cambria" w:cs="Calibri"/>
                <w:lang w:val="hr-HR"/>
              </w:rPr>
              <w:t>42</w:t>
            </w:r>
          </w:p>
        </w:tc>
        <w:tc>
          <w:tcPr>
            <w:tcW w:w="10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C2441AC" w14:textId="48C66E02" w:rsidR="00E25231" w:rsidRPr="00DF4CE5" w:rsidRDefault="00E25231" w:rsidP="00A421F5">
            <w:pPr>
              <w:contextualSpacing/>
              <w:jc w:val="center"/>
              <w:rPr>
                <w:rFonts w:ascii="Cambria" w:eastAsia="Calibri" w:hAnsi="Cambria" w:cs="Calibri"/>
                <w:lang w:val="hr-HR"/>
              </w:rPr>
            </w:pPr>
            <w:r w:rsidRPr="00DF4CE5">
              <w:rPr>
                <w:rFonts w:ascii="Cambria" w:eastAsia="Calibri" w:hAnsi="Cambria" w:cs="Calibri"/>
                <w:lang w:val="hr-HR"/>
              </w:rPr>
              <w:t>1,4</w:t>
            </w:r>
          </w:p>
        </w:tc>
        <w:tc>
          <w:tcPr>
            <w:tcW w:w="11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5F8475E" w14:textId="345013A4" w:rsidR="00E25231" w:rsidRPr="00DF4CE5" w:rsidRDefault="00E25231" w:rsidP="00A421F5">
            <w:pPr>
              <w:contextualSpacing/>
              <w:jc w:val="center"/>
              <w:rPr>
                <w:rFonts w:ascii="Cambria" w:eastAsia="Calibri" w:hAnsi="Cambria" w:cs="Calibri"/>
                <w:lang w:val="hr-HR"/>
              </w:rPr>
            </w:pPr>
            <w:r w:rsidRPr="00DF4CE5">
              <w:rPr>
                <w:rFonts w:ascii="Cambria" w:eastAsia="Calibri" w:hAnsi="Cambria" w:cs="Calibri"/>
                <w:lang w:val="hr-HR"/>
              </w:rPr>
              <w:t>30%</w:t>
            </w:r>
          </w:p>
        </w:tc>
      </w:tr>
      <w:tr w:rsidR="00E25231" w:rsidRPr="00DF4CE5" w14:paraId="50EE55FC" w14:textId="77777777" w:rsidTr="00B36357">
        <w:tc>
          <w:tcPr>
            <w:tcW w:w="2807" w:type="dxa"/>
            <w:vMerge/>
            <w:tcBorders>
              <w:left w:val="single" w:sz="8" w:space="0" w:color="000000"/>
              <w:right w:val="single" w:sz="8" w:space="0" w:color="000000"/>
            </w:tcBorders>
            <w:vAlign w:val="center"/>
            <w:hideMark/>
          </w:tcPr>
          <w:p w14:paraId="03CB6765" w14:textId="77777777" w:rsidR="00E25231" w:rsidRPr="00DF4CE5" w:rsidRDefault="00E25231" w:rsidP="00E25231">
            <w:pPr>
              <w:contextualSpacing/>
              <w:jc w:val="both"/>
              <w:rPr>
                <w:rFonts w:ascii="Cambria" w:eastAsia="Calibri" w:hAnsi="Cambria" w:cs="Calibri"/>
                <w:lang w:val="hr-HR"/>
              </w:rPr>
            </w:pPr>
          </w:p>
        </w:tc>
        <w:tc>
          <w:tcPr>
            <w:tcW w:w="3939"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D4A4165" w14:textId="601D68D5" w:rsidR="00E25231" w:rsidRPr="00DF4CE5" w:rsidRDefault="00A421F5" w:rsidP="00E25231">
            <w:pPr>
              <w:contextualSpacing/>
              <w:jc w:val="both"/>
              <w:rPr>
                <w:rFonts w:ascii="Cambria" w:eastAsia="Calibri" w:hAnsi="Cambria" w:cs="Calibri"/>
                <w:lang w:val="hr-HR"/>
              </w:rPr>
            </w:pPr>
            <w:proofErr w:type="spellStart"/>
            <w:r>
              <w:rPr>
                <w:rFonts w:ascii="Cambria" w:eastAsia="Calibri" w:hAnsi="Cambria" w:cs="Calibri"/>
              </w:rPr>
              <w:t>u</w:t>
            </w:r>
            <w:r w:rsidR="00E25231" w:rsidRPr="00DF4CE5">
              <w:rPr>
                <w:rFonts w:ascii="Cambria" w:eastAsia="Calibri" w:hAnsi="Cambria" w:cs="Calibri"/>
              </w:rPr>
              <w:t>kupno</w:t>
            </w:r>
            <w:proofErr w:type="spellEnd"/>
          </w:p>
        </w:tc>
        <w:tc>
          <w:tcPr>
            <w:tcW w:w="84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4BB7FE8" w14:textId="48CC571F" w:rsidR="00E25231" w:rsidRPr="00DF4CE5" w:rsidRDefault="00E25231" w:rsidP="00A421F5">
            <w:pPr>
              <w:contextualSpacing/>
              <w:jc w:val="center"/>
              <w:rPr>
                <w:rFonts w:ascii="Cambria" w:eastAsia="Calibri" w:hAnsi="Cambria" w:cs="Calibri"/>
                <w:lang w:val="hr-HR"/>
              </w:rPr>
            </w:pPr>
            <w:r w:rsidRPr="00DF4CE5">
              <w:rPr>
                <w:rFonts w:ascii="Cambria" w:eastAsia="Calibri" w:hAnsi="Cambria" w:cs="Calibri"/>
                <w:lang w:val="hr-HR"/>
              </w:rPr>
              <w:t>150</w:t>
            </w:r>
          </w:p>
        </w:tc>
        <w:tc>
          <w:tcPr>
            <w:tcW w:w="10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826B44E" w14:textId="77777777" w:rsidR="00E25231" w:rsidRPr="00DF4CE5" w:rsidRDefault="00E25231" w:rsidP="00A421F5">
            <w:pPr>
              <w:contextualSpacing/>
              <w:jc w:val="center"/>
              <w:rPr>
                <w:rFonts w:ascii="Cambria" w:eastAsia="Calibri" w:hAnsi="Cambria" w:cs="Calibri"/>
                <w:lang w:val="hr-HR"/>
              </w:rPr>
            </w:pPr>
            <w:r w:rsidRPr="00DF4CE5">
              <w:rPr>
                <w:rFonts w:ascii="Cambria" w:eastAsia="Calibri" w:hAnsi="Cambria" w:cs="Calibri"/>
                <w:lang w:val="hr-HR"/>
              </w:rPr>
              <w:t>5</w:t>
            </w:r>
          </w:p>
        </w:tc>
        <w:tc>
          <w:tcPr>
            <w:tcW w:w="11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FE00A0B" w14:textId="77777777" w:rsidR="00E25231" w:rsidRPr="00DF4CE5" w:rsidRDefault="00E25231" w:rsidP="00A421F5">
            <w:pPr>
              <w:contextualSpacing/>
              <w:jc w:val="center"/>
              <w:rPr>
                <w:rFonts w:ascii="Cambria" w:eastAsia="Calibri" w:hAnsi="Cambria" w:cs="Calibri"/>
                <w:lang w:val="hr-HR"/>
              </w:rPr>
            </w:pPr>
            <w:r w:rsidRPr="00DF4CE5">
              <w:rPr>
                <w:rFonts w:ascii="Cambria" w:eastAsia="Calibri" w:hAnsi="Cambria" w:cs="Calibri"/>
                <w:lang w:val="hr-HR"/>
              </w:rPr>
              <w:t>100%</w:t>
            </w:r>
          </w:p>
        </w:tc>
      </w:tr>
      <w:tr w:rsidR="00E25231" w:rsidRPr="00DF4CE5" w14:paraId="034D387D" w14:textId="77777777" w:rsidTr="00B36357">
        <w:tc>
          <w:tcPr>
            <w:tcW w:w="2807" w:type="dxa"/>
            <w:vMerge/>
            <w:tcBorders>
              <w:left w:val="single" w:sz="8" w:space="0" w:color="000000"/>
              <w:bottom w:val="single" w:sz="8" w:space="0" w:color="000000"/>
              <w:right w:val="single" w:sz="8" w:space="0" w:color="000000"/>
            </w:tcBorders>
            <w:vAlign w:val="center"/>
          </w:tcPr>
          <w:p w14:paraId="6265867A" w14:textId="77777777" w:rsidR="00E25231" w:rsidRPr="00DF4CE5" w:rsidRDefault="00E25231" w:rsidP="00E25231">
            <w:pPr>
              <w:contextualSpacing/>
              <w:jc w:val="both"/>
              <w:rPr>
                <w:rFonts w:ascii="Cambria" w:eastAsia="Calibri" w:hAnsi="Cambria" w:cs="Calibri"/>
                <w:lang w:val="hr-HR"/>
              </w:rPr>
            </w:pPr>
          </w:p>
        </w:tc>
        <w:tc>
          <w:tcPr>
            <w:tcW w:w="6964" w:type="dxa"/>
            <w:gridSpan w:val="7"/>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6BE4DFAB" w14:textId="77777777" w:rsidR="00E25231" w:rsidRPr="00DF4CE5" w:rsidRDefault="00E25231" w:rsidP="00E25231">
            <w:pPr>
              <w:contextualSpacing/>
              <w:jc w:val="both"/>
              <w:rPr>
                <w:rFonts w:ascii="Cambria" w:eastAsia="Calibri" w:hAnsi="Cambria" w:cs="Calibri"/>
                <w:lang w:val="hr-HR"/>
              </w:rPr>
            </w:pPr>
            <w:r w:rsidRPr="00DF4CE5">
              <w:rPr>
                <w:rFonts w:ascii="Cambria" w:eastAsia="Calibri" w:hAnsi="Cambria" w:cs="Calibri"/>
                <w:lang w:val="hr-HR"/>
              </w:rPr>
              <w:t>Dodatna pojašnjenja (kriteriji ocjenjivanja):</w:t>
            </w:r>
          </w:p>
          <w:p w14:paraId="40B0E182" w14:textId="51D6FD10" w:rsidR="00E25231" w:rsidRPr="00DF4CE5" w:rsidRDefault="00E25231" w:rsidP="00E25231">
            <w:pPr>
              <w:contextualSpacing/>
              <w:jc w:val="both"/>
              <w:rPr>
                <w:rFonts w:ascii="Cambria" w:eastAsia="Calibri" w:hAnsi="Cambria" w:cs="Calibri"/>
                <w:lang w:val="hr-HR"/>
              </w:rPr>
            </w:pPr>
            <w:r w:rsidRPr="00DF4CE5">
              <w:rPr>
                <w:rFonts w:ascii="Cambria" w:eastAsia="Calibri" w:hAnsi="Cambria" w:cs="Calibri"/>
                <w:lang w:val="hr-HR"/>
              </w:rPr>
              <w:t>Pohađanje nastave je obvezno. Tolerira se 30% izostanaka i njih nije potrebno opravdati. Studenti svakog tjedna su dužni izraditi samostalne zadatke te prezentirati ih na sljedećem susretu. U semestru se pišu dva kolokvija (poznavanje pravopisnih normi hrvatskog jezika i gramatika koja je sadržaj rada u primarnom obrazovanju)</w:t>
            </w:r>
            <w:r w:rsidR="00884B46">
              <w:rPr>
                <w:rFonts w:ascii="Cambria" w:eastAsia="Calibri" w:hAnsi="Cambria" w:cs="Calibri"/>
                <w:lang w:val="hr-HR"/>
              </w:rPr>
              <w:t>.</w:t>
            </w:r>
            <w:r w:rsidRPr="00DF4CE5">
              <w:rPr>
                <w:rFonts w:ascii="Cambria" w:eastAsia="Calibri" w:hAnsi="Cambria" w:cs="Calibri"/>
                <w:lang w:val="hr-HR"/>
              </w:rPr>
              <w:t xml:space="preserve"> Na kraju semestra pristupa se završnome ispitu (pismenome). U konačnu ocjenu ulaze ocjena seminarskoga rada, vježbi, kolokvija te aktivnost na nastavi koja uključuje analizu samostalnih zadataka. </w:t>
            </w:r>
          </w:p>
          <w:p w14:paraId="5CC80E3E" w14:textId="77777777" w:rsidR="00E25231" w:rsidRPr="00DF4CE5" w:rsidRDefault="00E25231" w:rsidP="00E25231">
            <w:pPr>
              <w:contextualSpacing/>
              <w:jc w:val="both"/>
              <w:rPr>
                <w:rFonts w:ascii="Cambria" w:eastAsia="Calibri" w:hAnsi="Cambria" w:cs="Calibri"/>
                <w:lang w:val="hr-HR"/>
              </w:rPr>
            </w:pPr>
            <w:r w:rsidRPr="00DF4CE5">
              <w:rPr>
                <w:rFonts w:ascii="Cambria" w:eastAsia="Calibri" w:hAnsi="Cambria" w:cs="Calibri"/>
                <w:lang w:val="hr-HR"/>
              </w:rPr>
              <w:t xml:space="preserve">Sudjelovanje u nastavi ocjenjuje se na sljedeći način: </w:t>
            </w:r>
          </w:p>
          <w:p w14:paraId="01D74E73" w14:textId="77777777" w:rsidR="00E25231" w:rsidRPr="00DF4CE5" w:rsidRDefault="00E25231" w:rsidP="00E25231">
            <w:pPr>
              <w:contextualSpacing/>
              <w:jc w:val="both"/>
              <w:rPr>
                <w:rFonts w:ascii="Cambria" w:eastAsia="Calibri" w:hAnsi="Cambria" w:cs="Calibri"/>
                <w:lang w:val="hr-HR"/>
              </w:rPr>
            </w:pPr>
            <w:r w:rsidRPr="00DF4CE5">
              <w:rPr>
                <w:rFonts w:ascii="Cambria" w:eastAsia="Calibri" w:hAnsi="Cambria" w:cs="Calibri"/>
                <w:lang w:val="hr-HR"/>
              </w:rPr>
              <w:t xml:space="preserve">0% = Ne dolazi na nastavu. </w:t>
            </w:r>
          </w:p>
          <w:p w14:paraId="3BE930CC" w14:textId="77777777" w:rsidR="00E25231" w:rsidRPr="00DF4CE5" w:rsidRDefault="00E25231" w:rsidP="00E25231">
            <w:pPr>
              <w:contextualSpacing/>
              <w:jc w:val="both"/>
              <w:rPr>
                <w:rFonts w:ascii="Cambria" w:eastAsia="Calibri" w:hAnsi="Cambria" w:cs="Calibri"/>
                <w:lang w:val="hr-HR"/>
              </w:rPr>
            </w:pPr>
            <w:r w:rsidRPr="00DF4CE5">
              <w:rPr>
                <w:rFonts w:ascii="Cambria" w:eastAsia="Calibri" w:hAnsi="Cambria" w:cs="Calibri"/>
                <w:lang w:val="hr-HR"/>
              </w:rPr>
              <w:t xml:space="preserve">4% = Prisustvuje nastavi, no ne sudjeluje u radu, tj. samostalni zadaci nisu napisane više od 3 puta. </w:t>
            </w:r>
          </w:p>
          <w:p w14:paraId="7C01E397" w14:textId="77777777" w:rsidR="00E25231" w:rsidRPr="00DF4CE5" w:rsidRDefault="00E25231" w:rsidP="00E25231">
            <w:pPr>
              <w:contextualSpacing/>
              <w:jc w:val="both"/>
              <w:rPr>
                <w:rFonts w:ascii="Cambria" w:eastAsia="Calibri" w:hAnsi="Cambria" w:cs="Calibri"/>
                <w:lang w:val="hr-HR"/>
              </w:rPr>
            </w:pPr>
            <w:r w:rsidRPr="00DF4CE5">
              <w:rPr>
                <w:rFonts w:ascii="Cambria" w:eastAsia="Calibri" w:hAnsi="Cambria" w:cs="Calibri"/>
                <w:lang w:val="hr-HR"/>
              </w:rPr>
              <w:t xml:space="preserve">8% = Pripremljen/-na je, no samostalni zadaci su nepotpuni − uz veće nedostatke (samostalni zadaci redovito s pogreškama, više od 3 puta).  12% = Pripremljen/-na je, no samostalni zadaci su nepotpuni − uz manje nedostatke (samostalni zadaci s tek ponekim pogreškama).  </w:t>
            </w:r>
          </w:p>
          <w:p w14:paraId="6F8514C2" w14:textId="77777777" w:rsidR="00E25231" w:rsidRPr="00DF4CE5" w:rsidRDefault="00E25231" w:rsidP="00E25231">
            <w:pPr>
              <w:contextualSpacing/>
              <w:jc w:val="both"/>
              <w:rPr>
                <w:rFonts w:ascii="Cambria" w:eastAsia="Calibri" w:hAnsi="Cambria" w:cs="Calibri"/>
                <w:lang w:val="hr-HR"/>
              </w:rPr>
            </w:pPr>
            <w:r w:rsidRPr="00DF4CE5">
              <w:rPr>
                <w:rFonts w:ascii="Cambria" w:eastAsia="Calibri" w:hAnsi="Cambria" w:cs="Calibri"/>
                <w:lang w:val="hr-HR"/>
              </w:rPr>
              <w:t xml:space="preserve">16% = Redovito je pripremljen/-na, samostalni zadaci su korektni, dobrovoljno sudjeluje u nastavnome procesu. </w:t>
            </w:r>
          </w:p>
          <w:p w14:paraId="72313068" w14:textId="6521E741" w:rsidR="00E25231" w:rsidRPr="00DF4CE5" w:rsidRDefault="00E25231" w:rsidP="00E25231">
            <w:pPr>
              <w:contextualSpacing/>
              <w:jc w:val="both"/>
              <w:rPr>
                <w:rFonts w:ascii="Cambria" w:eastAsia="Calibri" w:hAnsi="Cambria" w:cs="Calibri"/>
                <w:lang w:val="hr-HR"/>
              </w:rPr>
            </w:pPr>
            <w:r w:rsidRPr="00DF4CE5">
              <w:rPr>
                <w:rFonts w:ascii="Cambria" w:eastAsia="Calibri" w:hAnsi="Cambria" w:cs="Calibri"/>
                <w:lang w:val="hr-HR"/>
              </w:rPr>
              <w:t xml:space="preserve">20% = Student/studentica pokazuje visok stupanj zainteresiranosti za kolegij, uvijek je pripremljen/-na; postavlja pitanja i problematizira teme vezane i važne za kolegij, donosi dodatne materijale  koji su vezani uz temu koja se obrađuje.  </w:t>
            </w:r>
          </w:p>
          <w:p w14:paraId="77F8B1F3" w14:textId="60B19748" w:rsidR="00E25231" w:rsidRPr="00DF4CE5" w:rsidRDefault="00E25231" w:rsidP="00E25231">
            <w:pPr>
              <w:contextualSpacing/>
              <w:jc w:val="both"/>
              <w:rPr>
                <w:rFonts w:ascii="Cambria" w:eastAsia="Calibri" w:hAnsi="Cambria" w:cs="Calibri"/>
                <w:lang w:val="hr-HR"/>
              </w:rPr>
            </w:pPr>
            <w:r w:rsidRPr="00DF4CE5">
              <w:rPr>
                <w:rFonts w:ascii="Cambria" w:eastAsia="Calibri" w:hAnsi="Cambria" w:cs="Calibri"/>
                <w:lang w:val="hr-HR"/>
              </w:rPr>
              <w:t xml:space="preserve">Seminarski rad/vježbe ocjenjuje se ovako: </w:t>
            </w:r>
          </w:p>
          <w:p w14:paraId="1ACFA653" w14:textId="77777777" w:rsidR="00E25231" w:rsidRPr="00DF4CE5" w:rsidRDefault="00E25231" w:rsidP="00E25231">
            <w:pPr>
              <w:contextualSpacing/>
              <w:jc w:val="both"/>
              <w:rPr>
                <w:rFonts w:ascii="Cambria" w:eastAsia="Calibri" w:hAnsi="Cambria" w:cs="Calibri"/>
                <w:lang w:val="hr-HR"/>
              </w:rPr>
            </w:pPr>
            <w:r w:rsidRPr="00DF4CE5">
              <w:rPr>
                <w:rFonts w:ascii="Cambria" w:eastAsia="Calibri" w:hAnsi="Cambria" w:cs="Calibri"/>
                <w:lang w:val="hr-HR"/>
              </w:rPr>
              <w:t xml:space="preserve">0% = Seminar je napisan  ali  sadrži puno gramatičkih i pravopisnih pogrešaka, sadržaj seminara nije u vezi sa naslovom seminara. </w:t>
            </w:r>
          </w:p>
          <w:p w14:paraId="2B2C791F" w14:textId="77777777" w:rsidR="00E25231" w:rsidRPr="00DF4CE5" w:rsidRDefault="00E25231" w:rsidP="00E25231">
            <w:pPr>
              <w:contextualSpacing/>
              <w:jc w:val="both"/>
              <w:rPr>
                <w:rFonts w:ascii="Cambria" w:eastAsia="Calibri" w:hAnsi="Cambria" w:cs="Calibri"/>
                <w:lang w:val="hr-HR"/>
              </w:rPr>
            </w:pPr>
            <w:r w:rsidRPr="00DF4CE5">
              <w:rPr>
                <w:rFonts w:ascii="Cambria" w:eastAsia="Calibri" w:hAnsi="Cambria" w:cs="Calibri"/>
                <w:lang w:val="hr-HR"/>
              </w:rPr>
              <w:t xml:space="preserve">4% = Seminar je  nepotpun − uz veće sadržajne nedostatke. Korišteno je manje od tri izvora podataka (literature, Internet izvori).  </w:t>
            </w:r>
          </w:p>
          <w:p w14:paraId="642F723A" w14:textId="77777777" w:rsidR="00E25231" w:rsidRPr="00DF4CE5" w:rsidRDefault="00E25231" w:rsidP="00E25231">
            <w:pPr>
              <w:contextualSpacing/>
              <w:jc w:val="both"/>
              <w:rPr>
                <w:rFonts w:ascii="Cambria" w:eastAsia="Calibri" w:hAnsi="Cambria" w:cs="Calibri"/>
                <w:lang w:val="hr-HR"/>
              </w:rPr>
            </w:pPr>
            <w:r w:rsidRPr="00DF4CE5">
              <w:rPr>
                <w:rFonts w:ascii="Cambria" w:eastAsia="Calibri" w:hAnsi="Cambria" w:cs="Calibri"/>
                <w:lang w:val="hr-HR"/>
              </w:rPr>
              <w:t xml:space="preserve">8%= Seminar je nepotpun  - uz manje sadržajne nedostatke. Korišteno je manje od pet  izvora podataka (literatura, Internet izvori) </w:t>
            </w:r>
          </w:p>
          <w:p w14:paraId="0B3DFE5B" w14:textId="77777777" w:rsidR="00E25231" w:rsidRPr="00DF4CE5" w:rsidRDefault="00E25231" w:rsidP="00E25231">
            <w:pPr>
              <w:contextualSpacing/>
              <w:jc w:val="both"/>
              <w:rPr>
                <w:rFonts w:ascii="Cambria" w:eastAsia="Calibri" w:hAnsi="Cambria" w:cs="Calibri"/>
                <w:lang w:val="hr-HR"/>
              </w:rPr>
            </w:pPr>
            <w:r w:rsidRPr="00DF4CE5">
              <w:rPr>
                <w:rFonts w:ascii="Cambria" w:eastAsia="Calibri" w:hAnsi="Cambria" w:cs="Calibri"/>
                <w:lang w:val="hr-HR"/>
              </w:rPr>
              <w:lastRenderedPageBreak/>
              <w:t>12% = Seminar ima manje sadržajne nedostatke. Korišteno je manje od sedam izvora podataka (</w:t>
            </w:r>
            <w:proofErr w:type="spellStart"/>
            <w:r w:rsidRPr="00DF4CE5">
              <w:rPr>
                <w:rFonts w:ascii="Cambria" w:eastAsia="Calibri" w:hAnsi="Cambria" w:cs="Calibri"/>
                <w:lang w:val="hr-HR"/>
              </w:rPr>
              <w:t>literarura</w:t>
            </w:r>
            <w:proofErr w:type="spellEnd"/>
            <w:r w:rsidRPr="00DF4CE5">
              <w:rPr>
                <w:rFonts w:ascii="Cambria" w:eastAsia="Calibri" w:hAnsi="Cambria" w:cs="Calibri"/>
                <w:lang w:val="hr-HR"/>
              </w:rPr>
              <w:t xml:space="preserve">, Internet izvori). </w:t>
            </w:r>
          </w:p>
          <w:p w14:paraId="74C8FB09" w14:textId="3FB73923" w:rsidR="00E25231" w:rsidRPr="00DF4CE5" w:rsidRDefault="00E25231" w:rsidP="00E25231">
            <w:pPr>
              <w:contextualSpacing/>
              <w:jc w:val="both"/>
              <w:rPr>
                <w:rFonts w:ascii="Cambria" w:eastAsia="Calibri" w:hAnsi="Cambria" w:cs="Calibri"/>
                <w:lang w:val="hr-HR"/>
              </w:rPr>
            </w:pPr>
            <w:r w:rsidRPr="00DF4CE5">
              <w:rPr>
                <w:rFonts w:ascii="Cambria" w:eastAsia="Calibri" w:hAnsi="Cambria" w:cs="Calibri"/>
                <w:lang w:val="hr-HR"/>
              </w:rPr>
              <w:t xml:space="preserve">16% = Seminarski rad je  korektno napisan,  potkrijepljen podatcima iz domaće  literature (više od 10) i sve    zajedno čini  sadržajnu cjelinu. 20%  = Seminarski rad je  detaljno napisan,  potkrijepljen podatcima iz domaće i stane literature (više od 10) i  sve zajedno čini  sadržajnu cjelinu.  </w:t>
            </w:r>
          </w:p>
          <w:p w14:paraId="683D0090" w14:textId="7317C3E3" w:rsidR="00E25231" w:rsidRPr="00DF4CE5" w:rsidRDefault="00E25231" w:rsidP="00E25231">
            <w:pPr>
              <w:contextualSpacing/>
              <w:jc w:val="both"/>
              <w:rPr>
                <w:rFonts w:ascii="Cambria" w:eastAsia="Calibri" w:hAnsi="Cambria" w:cs="Calibri"/>
                <w:lang w:val="hr-HR"/>
              </w:rPr>
            </w:pPr>
            <w:r w:rsidRPr="00DF4CE5">
              <w:rPr>
                <w:rFonts w:ascii="Cambria" w:eastAsia="Calibri" w:hAnsi="Cambria" w:cs="Calibri"/>
                <w:lang w:val="hr-HR"/>
              </w:rPr>
              <w:t>Rad neće biti pozitivno ocijenjen ako se uoče dijelovi teksta koji su doslovno prepisani a nisu citirani, pravopisne i/ili gramatičke pogreške i nakon profesoričinih napomena.  Studenti će na prvome predavanju dobiti primjerak seminarskoga rada koji se smatra uzornim te će se uputiti na slične radove koji su objavljeni u periodici.</w:t>
            </w:r>
          </w:p>
          <w:p w14:paraId="074B7AAB" w14:textId="77777777" w:rsidR="00E25231" w:rsidRPr="00DF4CE5" w:rsidRDefault="00E25231" w:rsidP="00E25231">
            <w:pPr>
              <w:ind w:hanging="41"/>
              <w:contextualSpacing/>
              <w:jc w:val="both"/>
              <w:rPr>
                <w:rFonts w:ascii="Cambria" w:eastAsia="Calibri" w:hAnsi="Cambria" w:cs="Calibri"/>
                <w:lang w:val="hr-HR"/>
              </w:rPr>
            </w:pPr>
            <w:r w:rsidRPr="00DF4CE5">
              <w:rPr>
                <w:rFonts w:ascii="Cambria" w:eastAsia="Calibri" w:hAnsi="Cambria" w:cs="Calibri"/>
                <w:lang w:val="hr-HR"/>
              </w:rPr>
              <w:t xml:space="preserve"> Kolokviji   </w:t>
            </w:r>
          </w:p>
          <w:p w14:paraId="75ADAA3D" w14:textId="54C666C3" w:rsidR="00E25231" w:rsidRPr="00DF4CE5" w:rsidRDefault="00E25231" w:rsidP="00E25231">
            <w:pPr>
              <w:ind w:hanging="41"/>
              <w:contextualSpacing/>
              <w:jc w:val="both"/>
              <w:rPr>
                <w:rFonts w:ascii="Cambria" w:eastAsia="Calibri" w:hAnsi="Cambria" w:cs="Calibri"/>
                <w:lang w:val="hr-HR"/>
              </w:rPr>
            </w:pPr>
            <w:r w:rsidRPr="00DF4CE5">
              <w:rPr>
                <w:rFonts w:ascii="Cambria" w:eastAsia="Calibri" w:hAnsi="Cambria" w:cs="Calibri"/>
                <w:lang w:val="hr-HR"/>
              </w:rPr>
              <w:t xml:space="preserve"> Da bi student pristupio završnom pismenom ispitu, oba kolokvija moraju biti pozitivna. S obzirom da se u kolokvijima ispituju sadržaji koji se obrađuju u primarnom obrazovanju</w:t>
            </w:r>
            <w:r w:rsidR="00884B46">
              <w:rPr>
                <w:rFonts w:ascii="Cambria" w:eastAsia="Calibri" w:hAnsi="Cambria" w:cs="Calibri"/>
                <w:lang w:val="hr-HR"/>
              </w:rPr>
              <w:t xml:space="preserve">, </w:t>
            </w:r>
            <w:r w:rsidRPr="00DF4CE5">
              <w:rPr>
                <w:rFonts w:ascii="Cambria" w:eastAsia="Calibri" w:hAnsi="Cambria" w:cs="Calibri"/>
                <w:lang w:val="hr-HR"/>
              </w:rPr>
              <w:t xml:space="preserve">a učitelj (sadašnji studenti) te sadržaje mora prenijeti učenicima, kolokvij će biti pozitivan ako kandidat ostvari najmanje 70%.   </w:t>
            </w:r>
          </w:p>
          <w:p w14:paraId="2268E83D" w14:textId="77777777" w:rsidR="00E25231" w:rsidRPr="00DF4CE5" w:rsidRDefault="00E25231" w:rsidP="00E25231">
            <w:pPr>
              <w:ind w:hanging="41"/>
              <w:contextualSpacing/>
              <w:jc w:val="both"/>
              <w:rPr>
                <w:rFonts w:ascii="Cambria" w:eastAsia="Calibri" w:hAnsi="Cambria" w:cs="Calibri"/>
                <w:lang w:val="hr-HR"/>
              </w:rPr>
            </w:pPr>
            <w:r w:rsidRPr="00DF4CE5">
              <w:rPr>
                <w:rFonts w:ascii="Cambria" w:eastAsia="Calibri" w:hAnsi="Cambria" w:cs="Calibri"/>
                <w:lang w:val="hr-HR"/>
              </w:rPr>
              <w:t xml:space="preserve">od 70%  do 80%   dobar (3) – 10%  </w:t>
            </w:r>
          </w:p>
          <w:p w14:paraId="2DA22C3A" w14:textId="77777777" w:rsidR="00E25231" w:rsidRPr="00DF4CE5" w:rsidRDefault="00E25231" w:rsidP="00E25231">
            <w:pPr>
              <w:ind w:hanging="41"/>
              <w:contextualSpacing/>
              <w:jc w:val="both"/>
              <w:rPr>
                <w:rFonts w:ascii="Cambria" w:eastAsia="Calibri" w:hAnsi="Cambria" w:cs="Calibri"/>
                <w:lang w:val="hr-HR"/>
              </w:rPr>
            </w:pPr>
            <w:r w:rsidRPr="00DF4CE5">
              <w:rPr>
                <w:rFonts w:ascii="Cambria" w:eastAsia="Calibri" w:hAnsi="Cambria" w:cs="Calibri"/>
                <w:lang w:val="hr-HR"/>
              </w:rPr>
              <w:t xml:space="preserve">od 81% do 90%  vrlo dobar (4) – 20%  </w:t>
            </w:r>
          </w:p>
          <w:p w14:paraId="41876C29" w14:textId="3767CEC3" w:rsidR="00E25231" w:rsidRPr="00DF4CE5" w:rsidRDefault="00E25231" w:rsidP="00E25231">
            <w:pPr>
              <w:ind w:hanging="41"/>
              <w:contextualSpacing/>
              <w:jc w:val="both"/>
              <w:rPr>
                <w:rFonts w:ascii="Cambria" w:eastAsia="Calibri" w:hAnsi="Cambria" w:cs="Calibri"/>
                <w:lang w:val="hr-HR"/>
              </w:rPr>
            </w:pPr>
            <w:r w:rsidRPr="00DF4CE5">
              <w:rPr>
                <w:rFonts w:ascii="Cambria" w:eastAsia="Calibri" w:hAnsi="Cambria" w:cs="Calibri"/>
                <w:lang w:val="hr-HR"/>
              </w:rPr>
              <w:t xml:space="preserve">više od 91%  odličan (5) – 30%  </w:t>
            </w:r>
          </w:p>
        </w:tc>
      </w:tr>
      <w:tr w:rsidR="00E25231" w:rsidRPr="002B1E8D" w14:paraId="771C2168" w14:textId="77777777" w:rsidTr="00B36357">
        <w:tc>
          <w:tcPr>
            <w:tcW w:w="280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47CD3D9" w14:textId="77777777" w:rsidR="00E25231" w:rsidRPr="00DF4CE5" w:rsidRDefault="00E25231" w:rsidP="00E25231">
            <w:pPr>
              <w:contextualSpacing/>
              <w:jc w:val="both"/>
              <w:rPr>
                <w:rFonts w:ascii="Cambria" w:eastAsia="Calibri" w:hAnsi="Cambria" w:cs="Calibri"/>
                <w:lang w:val="hr-HR"/>
              </w:rPr>
            </w:pPr>
            <w:r w:rsidRPr="00DF4CE5">
              <w:rPr>
                <w:rFonts w:ascii="Cambria" w:eastAsia="Calibri" w:hAnsi="Cambria" w:cs="Calibri"/>
                <w:lang w:val="hr-HR"/>
              </w:rPr>
              <w:lastRenderedPageBreak/>
              <w:t>Studentske obveze</w:t>
            </w:r>
          </w:p>
        </w:tc>
        <w:tc>
          <w:tcPr>
            <w:tcW w:w="696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3D80DC5" w14:textId="77777777" w:rsidR="00E25231" w:rsidRPr="00DF4CE5" w:rsidRDefault="00E25231" w:rsidP="00E25231">
            <w:pPr>
              <w:contextualSpacing/>
              <w:jc w:val="both"/>
              <w:rPr>
                <w:rFonts w:ascii="Cambria" w:eastAsia="Calibri" w:hAnsi="Cambria" w:cs="Calibri"/>
                <w:lang w:val="hr-HR"/>
              </w:rPr>
            </w:pPr>
            <w:r w:rsidRPr="00DF4CE5">
              <w:rPr>
                <w:rFonts w:ascii="Cambria" w:eastAsia="Calibri" w:hAnsi="Cambria" w:cs="Calibri"/>
                <w:lang w:val="hr-HR"/>
              </w:rPr>
              <w:t>Da položi kolegij, student/studentica mora:</w:t>
            </w:r>
          </w:p>
          <w:p w14:paraId="7DCA3913" w14:textId="77777777" w:rsidR="00E25231" w:rsidRDefault="00884B46" w:rsidP="00E25231">
            <w:pPr>
              <w:spacing w:after="0" w:line="240" w:lineRule="auto"/>
              <w:jc w:val="both"/>
              <w:rPr>
                <w:rFonts w:ascii="Cambria" w:eastAsia="Calibri" w:hAnsi="Cambria" w:cs="Calibri"/>
                <w:lang w:val="hr-HR"/>
              </w:rPr>
            </w:pPr>
            <w:r>
              <w:rPr>
                <w:rFonts w:ascii="Cambria" w:eastAsia="Calibri" w:hAnsi="Cambria" w:cs="Calibri"/>
                <w:lang w:val="hr-HR"/>
              </w:rPr>
              <w:t xml:space="preserve">1. </w:t>
            </w:r>
            <w:r w:rsidR="00E25231" w:rsidRPr="00DF4CE5">
              <w:rPr>
                <w:rFonts w:ascii="Cambria" w:eastAsia="Calibri" w:hAnsi="Cambria" w:cs="Calibri"/>
                <w:lang w:val="hr-HR"/>
              </w:rPr>
              <w:t>prisustvovati i aktivno sudjelovati na predavanjima i vježbama (mogući izostanak iznosi 30 % ukupne satnice)</w:t>
            </w:r>
          </w:p>
          <w:p w14:paraId="13A2911E" w14:textId="77777777" w:rsidR="00884B46" w:rsidRDefault="00884B46" w:rsidP="00E25231">
            <w:pPr>
              <w:spacing w:after="0" w:line="240" w:lineRule="auto"/>
              <w:jc w:val="both"/>
              <w:rPr>
                <w:rFonts w:ascii="Cambria" w:eastAsia="Calibri" w:hAnsi="Cambria" w:cs="Calibri"/>
                <w:lang w:val="hr-HR"/>
              </w:rPr>
            </w:pPr>
            <w:r>
              <w:rPr>
                <w:rFonts w:ascii="Cambria" w:eastAsia="Calibri" w:hAnsi="Cambria" w:cs="Calibri"/>
                <w:lang w:val="hr-HR"/>
              </w:rPr>
              <w:t>2. izraditi i predati seminarski rad</w:t>
            </w:r>
          </w:p>
          <w:p w14:paraId="2ACF2AE1" w14:textId="77777777" w:rsidR="00884B46" w:rsidRDefault="00884B46" w:rsidP="00E25231">
            <w:pPr>
              <w:spacing w:after="0" w:line="240" w:lineRule="auto"/>
              <w:jc w:val="both"/>
              <w:rPr>
                <w:rFonts w:ascii="Cambria" w:eastAsia="Calibri" w:hAnsi="Cambria" w:cs="Calibri"/>
                <w:lang w:val="hr-HR"/>
              </w:rPr>
            </w:pPr>
            <w:r>
              <w:rPr>
                <w:rFonts w:ascii="Cambria" w:eastAsia="Calibri" w:hAnsi="Cambria" w:cs="Calibri"/>
                <w:lang w:val="hr-HR"/>
              </w:rPr>
              <w:t>3. položiti kolokvij</w:t>
            </w:r>
          </w:p>
          <w:p w14:paraId="1294F232" w14:textId="1344DF41" w:rsidR="00884B46" w:rsidRPr="00DF4CE5" w:rsidRDefault="00884B46" w:rsidP="00E25231">
            <w:pPr>
              <w:spacing w:after="0" w:line="240" w:lineRule="auto"/>
              <w:jc w:val="both"/>
              <w:rPr>
                <w:rFonts w:ascii="Cambria" w:eastAsia="Calibri" w:hAnsi="Cambria" w:cs="Calibri"/>
                <w:lang w:val="hr-HR"/>
              </w:rPr>
            </w:pPr>
            <w:r>
              <w:rPr>
                <w:rFonts w:ascii="Cambria" w:eastAsia="Calibri" w:hAnsi="Cambria" w:cs="Calibri"/>
                <w:lang w:val="hr-HR"/>
              </w:rPr>
              <w:t xml:space="preserve">4. položiti završni ispit. </w:t>
            </w:r>
          </w:p>
        </w:tc>
      </w:tr>
      <w:tr w:rsidR="00E25231" w:rsidRPr="00D0399C" w14:paraId="1574E54A" w14:textId="77777777" w:rsidTr="00B36357">
        <w:tc>
          <w:tcPr>
            <w:tcW w:w="280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D3A8A4C" w14:textId="77777777" w:rsidR="00E25231" w:rsidRPr="00DF4CE5" w:rsidRDefault="00E25231" w:rsidP="00E25231">
            <w:pPr>
              <w:contextualSpacing/>
              <w:jc w:val="both"/>
              <w:rPr>
                <w:rFonts w:ascii="Cambria" w:eastAsia="Calibri" w:hAnsi="Cambria" w:cs="Calibri"/>
                <w:lang w:val="hr-HR"/>
              </w:rPr>
            </w:pPr>
            <w:proofErr w:type="spellStart"/>
            <w:r w:rsidRPr="00DF4CE5">
              <w:rPr>
                <w:rFonts w:ascii="Cambria" w:eastAsia="Calibri" w:hAnsi="Cambria" w:cs="Calibri"/>
              </w:rPr>
              <w:t>Rokovi</w:t>
            </w:r>
            <w:proofErr w:type="spellEnd"/>
            <w:r w:rsidRPr="00DF4CE5">
              <w:rPr>
                <w:rFonts w:ascii="Cambria" w:eastAsia="Calibri" w:hAnsi="Cambria" w:cs="Calibri"/>
              </w:rPr>
              <w:t xml:space="preserve"> </w:t>
            </w:r>
            <w:proofErr w:type="spellStart"/>
            <w:r w:rsidRPr="00DF4CE5">
              <w:rPr>
                <w:rFonts w:ascii="Cambria" w:eastAsia="Calibri" w:hAnsi="Cambria" w:cs="Calibri"/>
              </w:rPr>
              <w:t>ispita</w:t>
            </w:r>
            <w:proofErr w:type="spellEnd"/>
            <w:r w:rsidRPr="00DF4CE5">
              <w:rPr>
                <w:rFonts w:ascii="Cambria" w:eastAsia="Calibri" w:hAnsi="Cambria" w:cs="Calibri"/>
              </w:rPr>
              <w:t xml:space="preserve"> </w:t>
            </w:r>
            <w:proofErr w:type="spellStart"/>
            <w:r w:rsidRPr="00DF4CE5">
              <w:rPr>
                <w:rFonts w:ascii="Cambria" w:eastAsia="Calibri" w:hAnsi="Cambria" w:cs="Calibri"/>
              </w:rPr>
              <w:t>i</w:t>
            </w:r>
            <w:proofErr w:type="spellEnd"/>
            <w:r w:rsidRPr="00DF4CE5">
              <w:rPr>
                <w:rFonts w:ascii="Cambria" w:eastAsia="Calibri" w:hAnsi="Cambria" w:cs="Calibri"/>
              </w:rPr>
              <w:t xml:space="preserve"> </w:t>
            </w:r>
            <w:proofErr w:type="spellStart"/>
            <w:r w:rsidRPr="00DF4CE5">
              <w:rPr>
                <w:rFonts w:ascii="Cambria" w:eastAsia="Calibri" w:hAnsi="Cambria" w:cs="Calibri"/>
              </w:rPr>
              <w:t>kolokvija</w:t>
            </w:r>
            <w:proofErr w:type="spellEnd"/>
          </w:p>
        </w:tc>
        <w:tc>
          <w:tcPr>
            <w:tcW w:w="696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9D82E4C" w14:textId="77777777" w:rsidR="00E25231" w:rsidRPr="00DF4CE5" w:rsidRDefault="00E25231" w:rsidP="00E25231">
            <w:pPr>
              <w:contextualSpacing/>
              <w:jc w:val="both"/>
              <w:rPr>
                <w:rFonts w:ascii="Cambria" w:eastAsia="Calibri" w:hAnsi="Cambria" w:cs="Calibri"/>
                <w:lang w:val="hr-HR"/>
              </w:rPr>
            </w:pPr>
            <w:r w:rsidRPr="00DF4CE5">
              <w:rPr>
                <w:rFonts w:ascii="Cambria" w:eastAsia="Calibri" w:hAnsi="Cambria" w:cs="Calibri"/>
                <w:lang w:val="hr-HR"/>
              </w:rPr>
              <w:t xml:space="preserve">Oglašeni su na mrežnim stranicama Fakulteta te na </w:t>
            </w:r>
            <w:proofErr w:type="spellStart"/>
            <w:r w:rsidRPr="00DF4CE5">
              <w:rPr>
                <w:rFonts w:ascii="Cambria" w:eastAsia="Calibri" w:hAnsi="Cambria" w:cs="Calibri"/>
                <w:lang w:val="hr-HR"/>
              </w:rPr>
              <w:t>Studomatu</w:t>
            </w:r>
            <w:proofErr w:type="spellEnd"/>
            <w:r w:rsidRPr="00DF4CE5">
              <w:rPr>
                <w:rFonts w:ascii="Cambria" w:eastAsia="Calibri" w:hAnsi="Cambria" w:cs="Calibri"/>
                <w:lang w:val="hr-HR"/>
              </w:rPr>
              <w:t>.</w:t>
            </w:r>
          </w:p>
        </w:tc>
      </w:tr>
      <w:tr w:rsidR="00E25231" w:rsidRPr="00884B46" w14:paraId="3C199E86" w14:textId="77777777" w:rsidTr="00B36357">
        <w:tc>
          <w:tcPr>
            <w:tcW w:w="280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08D0CE4" w14:textId="77777777" w:rsidR="00E25231" w:rsidRPr="00DF4CE5" w:rsidRDefault="00E25231" w:rsidP="00E25231">
            <w:pPr>
              <w:contextualSpacing/>
              <w:jc w:val="both"/>
              <w:rPr>
                <w:rFonts w:ascii="Cambria" w:eastAsia="Calibri" w:hAnsi="Cambria" w:cs="Calibri"/>
                <w:lang w:val="hr-HR"/>
              </w:rPr>
            </w:pPr>
            <w:r w:rsidRPr="00DF4CE5">
              <w:rPr>
                <w:rFonts w:ascii="Cambria" w:eastAsia="Calibri" w:hAnsi="Cambria" w:cs="Calibri"/>
                <w:lang w:val="hr-HR"/>
              </w:rPr>
              <w:t>Ostale važne činjenice vezane uz kolegij</w:t>
            </w:r>
          </w:p>
        </w:tc>
        <w:tc>
          <w:tcPr>
            <w:tcW w:w="696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E346BD4" w14:textId="1A891964" w:rsidR="00E25231" w:rsidRPr="00DF4CE5" w:rsidRDefault="00E25231" w:rsidP="00E25231">
            <w:pPr>
              <w:contextualSpacing/>
              <w:jc w:val="both"/>
              <w:rPr>
                <w:rFonts w:ascii="Cambria" w:eastAsia="Calibri" w:hAnsi="Cambria" w:cs="Calibri"/>
                <w:lang w:val="hr-HR"/>
              </w:rPr>
            </w:pPr>
            <w:r w:rsidRPr="00DF4CE5">
              <w:rPr>
                <w:rFonts w:ascii="Cambria" w:eastAsia="Calibri" w:hAnsi="Cambria" w:cs="Calibri"/>
                <w:lang w:val="hr-HR"/>
              </w:rPr>
              <w:t xml:space="preserve">U slučaju održavanja nastave na daljinu, moguće je odstupanje u: mjestu izvođenja kolegija, provedbi aktivnosti, metoda tumačenja i poučavanja i načinima vrednovanja, studentskim obvezama i dostupnoj literaturi. O tome će nositelj kolegija </w:t>
            </w:r>
            <w:r w:rsidR="00884B46">
              <w:rPr>
                <w:rFonts w:ascii="Cambria" w:eastAsia="Calibri" w:hAnsi="Cambria" w:cs="Calibri"/>
                <w:lang w:val="hr-HR"/>
              </w:rPr>
              <w:t xml:space="preserve">i suradnica </w:t>
            </w:r>
            <w:r w:rsidRPr="00DF4CE5">
              <w:rPr>
                <w:rFonts w:ascii="Cambria" w:eastAsia="Calibri" w:hAnsi="Cambria" w:cs="Calibri"/>
                <w:lang w:val="hr-HR"/>
              </w:rPr>
              <w:t>obavijestiti studente i studentice kad se nastava na daljinu počne održavati. Ishodi učenja ostaju nepromijenjeni.</w:t>
            </w:r>
          </w:p>
        </w:tc>
      </w:tr>
      <w:tr w:rsidR="00884B46" w:rsidRPr="00D0399C" w14:paraId="2791507A" w14:textId="77777777" w:rsidTr="00B36357">
        <w:tc>
          <w:tcPr>
            <w:tcW w:w="280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204A3E9" w14:textId="102E7261" w:rsidR="00884B46" w:rsidRPr="00DF4CE5" w:rsidRDefault="00884B46" w:rsidP="00E25231">
            <w:pPr>
              <w:contextualSpacing/>
              <w:jc w:val="both"/>
              <w:rPr>
                <w:rFonts w:ascii="Cambria" w:eastAsia="Calibri" w:hAnsi="Cambria" w:cs="Calibri"/>
                <w:lang w:val="hr-HR"/>
              </w:rPr>
            </w:pPr>
            <w:r>
              <w:rPr>
                <w:rFonts w:ascii="Cambria" w:eastAsia="Calibri" w:hAnsi="Cambria" w:cs="Calibri"/>
                <w:lang w:val="hr-HR"/>
              </w:rPr>
              <w:t>Literatura</w:t>
            </w:r>
          </w:p>
        </w:tc>
        <w:tc>
          <w:tcPr>
            <w:tcW w:w="696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3535802" w14:textId="77777777" w:rsidR="00884B46" w:rsidRPr="00884B46" w:rsidRDefault="00884B46" w:rsidP="00884B46">
            <w:pPr>
              <w:contextualSpacing/>
              <w:jc w:val="both"/>
              <w:rPr>
                <w:rFonts w:ascii="Cambria" w:eastAsia="Calibri" w:hAnsi="Cambria" w:cs="Calibri"/>
                <w:lang w:val="hr-HR"/>
              </w:rPr>
            </w:pPr>
            <w:r w:rsidRPr="00884B46">
              <w:rPr>
                <w:rFonts w:ascii="Cambria" w:eastAsia="Calibri" w:hAnsi="Cambria" w:cs="Calibri"/>
                <w:lang w:val="hr-HR"/>
              </w:rPr>
              <w:t xml:space="preserve">Obvezna: </w:t>
            </w:r>
          </w:p>
          <w:p w14:paraId="3F6436B1" w14:textId="77777777" w:rsidR="00884B46" w:rsidRPr="00884B46" w:rsidRDefault="00884B46" w:rsidP="00884B46">
            <w:pPr>
              <w:contextualSpacing/>
              <w:jc w:val="both"/>
              <w:rPr>
                <w:rFonts w:ascii="Cambria" w:eastAsia="Calibri" w:hAnsi="Cambria" w:cs="Calibri"/>
                <w:lang w:val="hr-HR"/>
              </w:rPr>
            </w:pPr>
            <w:r w:rsidRPr="00884B46">
              <w:rPr>
                <w:rFonts w:ascii="Cambria" w:eastAsia="Calibri" w:hAnsi="Cambria" w:cs="Calibri"/>
                <w:lang w:val="hr-HR"/>
              </w:rPr>
              <w:t xml:space="preserve">1. Bežen, A., (2008). Metodika - znanost o poučavanju nastavnog predmeta, Učiteljski fakultet - Profil, Zagreb </w:t>
            </w:r>
          </w:p>
          <w:p w14:paraId="029308B5" w14:textId="77777777" w:rsidR="00884B46" w:rsidRPr="00884B46" w:rsidRDefault="00884B46" w:rsidP="00884B46">
            <w:pPr>
              <w:contextualSpacing/>
              <w:jc w:val="both"/>
              <w:rPr>
                <w:rFonts w:ascii="Cambria" w:eastAsia="Calibri" w:hAnsi="Cambria" w:cs="Calibri"/>
                <w:lang w:val="hr-HR"/>
              </w:rPr>
            </w:pPr>
            <w:r w:rsidRPr="00884B46">
              <w:rPr>
                <w:rFonts w:ascii="Cambria" w:eastAsia="Calibri" w:hAnsi="Cambria" w:cs="Calibri"/>
                <w:lang w:val="hr-HR"/>
              </w:rPr>
              <w:t>2. Rosandić, D., (2005). Metodika književnog odgoja i obrazovanja, Zagreb, Školska knjiga</w:t>
            </w:r>
          </w:p>
          <w:p w14:paraId="5DC1CA83" w14:textId="77777777" w:rsidR="00884B46" w:rsidRPr="00884B46" w:rsidRDefault="00884B46" w:rsidP="00884B46">
            <w:pPr>
              <w:contextualSpacing/>
              <w:jc w:val="both"/>
              <w:rPr>
                <w:rFonts w:ascii="Cambria" w:eastAsia="Calibri" w:hAnsi="Cambria" w:cs="Calibri"/>
                <w:lang w:val="hr-HR"/>
              </w:rPr>
            </w:pPr>
            <w:r w:rsidRPr="00884B46">
              <w:rPr>
                <w:rFonts w:ascii="Cambria" w:eastAsia="Calibri" w:hAnsi="Cambria" w:cs="Calibri"/>
                <w:lang w:val="hr-HR"/>
              </w:rPr>
              <w:t>3. Rosandić, D., (1993). Novi metodički obzori: Prinosi metodici hrvatskog jezika i književnosti, Zagreb, Školske novine</w:t>
            </w:r>
          </w:p>
          <w:p w14:paraId="6E82FDB9" w14:textId="77777777" w:rsidR="00884B46" w:rsidRPr="00884B46" w:rsidRDefault="00884B46" w:rsidP="00884B46">
            <w:pPr>
              <w:contextualSpacing/>
              <w:jc w:val="both"/>
              <w:rPr>
                <w:rFonts w:ascii="Cambria" w:eastAsia="Calibri" w:hAnsi="Cambria" w:cs="Calibri"/>
                <w:lang w:val="hr-HR"/>
              </w:rPr>
            </w:pPr>
            <w:r w:rsidRPr="00884B46">
              <w:rPr>
                <w:rFonts w:ascii="Cambria" w:eastAsia="Calibri" w:hAnsi="Cambria" w:cs="Calibri"/>
                <w:lang w:val="hr-HR"/>
              </w:rPr>
              <w:t>5.  Težak, S., (1996). Teorija i praksa nastave hrvatskoga jezika 1 i 2, Školska knjiga, Zagreb</w:t>
            </w:r>
          </w:p>
          <w:p w14:paraId="324C95E6" w14:textId="77777777" w:rsidR="00884B46" w:rsidRPr="00884B46" w:rsidRDefault="00884B46" w:rsidP="00884B46">
            <w:pPr>
              <w:contextualSpacing/>
              <w:jc w:val="both"/>
              <w:rPr>
                <w:rFonts w:ascii="Cambria" w:eastAsia="Calibri" w:hAnsi="Cambria" w:cs="Calibri"/>
                <w:lang w:val="hr-HR"/>
              </w:rPr>
            </w:pPr>
            <w:r w:rsidRPr="00884B46">
              <w:rPr>
                <w:rFonts w:ascii="Cambria" w:eastAsia="Calibri" w:hAnsi="Cambria" w:cs="Calibri"/>
                <w:lang w:val="hr-HR"/>
              </w:rPr>
              <w:t>6. Udžbenička literatura i nastavni programi za više razrede osnovne škole i srednju školu. Popis na:  http://public.mzos.hr/Default.aspx?sec=3074 (popis odobrenih udžbenika za OŠ i SŠ)</w:t>
            </w:r>
          </w:p>
          <w:p w14:paraId="314F8293" w14:textId="0DC26770" w:rsidR="00884B46" w:rsidRPr="00884B46" w:rsidRDefault="00884B46" w:rsidP="00884B46">
            <w:pPr>
              <w:contextualSpacing/>
              <w:jc w:val="both"/>
              <w:rPr>
                <w:rFonts w:ascii="Cambria" w:eastAsia="Calibri" w:hAnsi="Cambria" w:cs="Calibri"/>
                <w:lang w:val="hr-HR"/>
              </w:rPr>
            </w:pPr>
            <w:r w:rsidRPr="00884B46">
              <w:rPr>
                <w:rFonts w:ascii="Cambria" w:eastAsia="Calibri" w:hAnsi="Cambria" w:cs="Calibri"/>
                <w:lang w:val="hr-HR"/>
              </w:rPr>
              <w:t>7. Časopisi: Metodički obzori, Metodički ogledi, Život i škola</w:t>
            </w:r>
          </w:p>
          <w:p w14:paraId="52511DCA" w14:textId="77777777" w:rsidR="00884B46" w:rsidRPr="00884B46" w:rsidRDefault="00884B46" w:rsidP="00884B46">
            <w:pPr>
              <w:contextualSpacing/>
              <w:jc w:val="both"/>
              <w:rPr>
                <w:rFonts w:ascii="Cambria" w:eastAsia="Calibri" w:hAnsi="Cambria" w:cs="Calibri"/>
                <w:lang w:val="hr-HR"/>
              </w:rPr>
            </w:pPr>
            <w:r w:rsidRPr="00884B46">
              <w:rPr>
                <w:rFonts w:ascii="Cambria" w:eastAsia="Calibri" w:hAnsi="Cambria" w:cs="Calibri"/>
                <w:lang w:val="hr-HR"/>
              </w:rPr>
              <w:t>Izborna:</w:t>
            </w:r>
          </w:p>
          <w:p w14:paraId="0CF0A6CD" w14:textId="77777777" w:rsidR="00884B46" w:rsidRPr="00884B46" w:rsidRDefault="00884B46" w:rsidP="00884B46">
            <w:pPr>
              <w:contextualSpacing/>
              <w:jc w:val="both"/>
              <w:rPr>
                <w:rFonts w:ascii="Cambria" w:eastAsia="Calibri" w:hAnsi="Cambria" w:cs="Calibri"/>
                <w:lang w:val="hr-HR"/>
              </w:rPr>
            </w:pPr>
            <w:r w:rsidRPr="00884B46">
              <w:rPr>
                <w:rFonts w:ascii="Cambria" w:eastAsia="Calibri" w:hAnsi="Cambria" w:cs="Calibri"/>
                <w:lang w:val="hr-HR"/>
              </w:rPr>
              <w:lastRenderedPageBreak/>
              <w:t xml:space="preserve">1. Biblioteka Ključ za književno djelo, Metodičke upute, Školska knjiga, Zagreb </w:t>
            </w:r>
          </w:p>
          <w:p w14:paraId="073BC6D7" w14:textId="77777777" w:rsidR="00884B46" w:rsidRPr="00884B46" w:rsidRDefault="00884B46" w:rsidP="00884B46">
            <w:pPr>
              <w:contextualSpacing/>
              <w:jc w:val="both"/>
              <w:rPr>
                <w:rFonts w:ascii="Cambria" w:eastAsia="Calibri" w:hAnsi="Cambria" w:cs="Calibri"/>
                <w:lang w:val="hr-HR"/>
              </w:rPr>
            </w:pPr>
            <w:r w:rsidRPr="00884B46">
              <w:rPr>
                <w:rFonts w:ascii="Cambria" w:eastAsia="Calibri" w:hAnsi="Cambria" w:cs="Calibri"/>
                <w:lang w:val="hr-HR"/>
              </w:rPr>
              <w:t xml:space="preserve">2. </w:t>
            </w:r>
            <w:proofErr w:type="spellStart"/>
            <w:r w:rsidRPr="00884B46">
              <w:rPr>
                <w:rFonts w:ascii="Cambria" w:eastAsia="Calibri" w:hAnsi="Cambria" w:cs="Calibri"/>
                <w:lang w:val="hr-HR"/>
              </w:rPr>
              <w:t>Benjak</w:t>
            </w:r>
            <w:proofErr w:type="spellEnd"/>
            <w:r w:rsidRPr="00884B46">
              <w:rPr>
                <w:rFonts w:ascii="Cambria" w:eastAsia="Calibri" w:hAnsi="Cambria" w:cs="Calibri"/>
                <w:lang w:val="hr-HR"/>
              </w:rPr>
              <w:t>, M., (2001). Književnost(i) u kontaktu, Izdavački centar Rijeka, Rijeka</w:t>
            </w:r>
          </w:p>
          <w:p w14:paraId="1B47DAB5" w14:textId="77777777" w:rsidR="00884B46" w:rsidRPr="00884B46" w:rsidRDefault="00884B46" w:rsidP="00884B46">
            <w:pPr>
              <w:contextualSpacing/>
              <w:jc w:val="both"/>
              <w:rPr>
                <w:rFonts w:ascii="Cambria" w:eastAsia="Calibri" w:hAnsi="Cambria" w:cs="Calibri"/>
                <w:lang w:val="hr-HR"/>
              </w:rPr>
            </w:pPr>
            <w:r w:rsidRPr="00884B46">
              <w:rPr>
                <w:rFonts w:ascii="Cambria" w:eastAsia="Calibri" w:hAnsi="Cambria" w:cs="Calibri"/>
                <w:lang w:val="hr-HR"/>
              </w:rPr>
              <w:t xml:space="preserve">3. </w:t>
            </w:r>
            <w:proofErr w:type="spellStart"/>
            <w:r w:rsidRPr="00884B46">
              <w:rPr>
                <w:rFonts w:ascii="Cambria" w:eastAsia="Calibri" w:hAnsi="Cambria" w:cs="Calibri"/>
                <w:lang w:val="hr-HR"/>
              </w:rPr>
              <w:t>Benjak</w:t>
            </w:r>
            <w:proofErr w:type="spellEnd"/>
            <w:r w:rsidRPr="00884B46">
              <w:rPr>
                <w:rFonts w:ascii="Cambria" w:eastAsia="Calibri" w:hAnsi="Cambria" w:cs="Calibri"/>
                <w:lang w:val="hr-HR"/>
              </w:rPr>
              <w:t>, M., (2005). Požgaj Hadži, V., Bez predrasuda i stereotipa, Izdavački centar Rijeka</w:t>
            </w:r>
          </w:p>
          <w:p w14:paraId="2E9E18DD" w14:textId="77777777" w:rsidR="00884B46" w:rsidRPr="00884B46" w:rsidRDefault="00884B46" w:rsidP="00884B46">
            <w:pPr>
              <w:contextualSpacing/>
              <w:jc w:val="both"/>
              <w:rPr>
                <w:rFonts w:ascii="Cambria" w:eastAsia="Calibri" w:hAnsi="Cambria" w:cs="Calibri"/>
                <w:lang w:val="hr-HR"/>
              </w:rPr>
            </w:pPr>
            <w:r w:rsidRPr="00884B46">
              <w:rPr>
                <w:rFonts w:ascii="Cambria" w:eastAsia="Calibri" w:hAnsi="Cambria" w:cs="Calibri"/>
                <w:lang w:val="hr-HR"/>
              </w:rPr>
              <w:t xml:space="preserve">4. </w:t>
            </w:r>
            <w:proofErr w:type="spellStart"/>
            <w:r w:rsidRPr="00884B46">
              <w:rPr>
                <w:rFonts w:ascii="Cambria" w:eastAsia="Calibri" w:hAnsi="Cambria" w:cs="Calibri"/>
                <w:lang w:val="hr-HR"/>
              </w:rPr>
              <w:t>Benjak</w:t>
            </w:r>
            <w:proofErr w:type="spellEnd"/>
            <w:r w:rsidRPr="00884B46">
              <w:rPr>
                <w:rFonts w:ascii="Cambria" w:eastAsia="Calibri" w:hAnsi="Cambria" w:cs="Calibri"/>
                <w:lang w:val="hr-HR"/>
              </w:rPr>
              <w:t xml:space="preserve">, M., (2006). </w:t>
            </w:r>
            <w:proofErr w:type="spellStart"/>
            <w:r w:rsidRPr="00884B46">
              <w:rPr>
                <w:rFonts w:ascii="Cambria" w:eastAsia="Calibri" w:hAnsi="Cambria" w:cs="Calibri"/>
                <w:lang w:val="hr-HR"/>
              </w:rPr>
              <w:t>Stendhalovi</w:t>
            </w:r>
            <w:proofErr w:type="spellEnd"/>
            <w:r w:rsidRPr="00884B46">
              <w:rPr>
                <w:rFonts w:ascii="Cambria" w:eastAsia="Calibri" w:hAnsi="Cambria" w:cs="Calibri"/>
                <w:lang w:val="hr-HR"/>
              </w:rPr>
              <w:t xml:space="preserve"> i </w:t>
            </w:r>
            <w:proofErr w:type="spellStart"/>
            <w:r w:rsidRPr="00884B46">
              <w:rPr>
                <w:rFonts w:ascii="Cambria" w:eastAsia="Calibri" w:hAnsi="Cambria" w:cs="Calibri"/>
                <w:lang w:val="hr-HR"/>
              </w:rPr>
              <w:t>Flaubertovi</w:t>
            </w:r>
            <w:proofErr w:type="spellEnd"/>
            <w:r w:rsidRPr="00884B46">
              <w:rPr>
                <w:rFonts w:ascii="Cambria" w:eastAsia="Calibri" w:hAnsi="Cambria" w:cs="Calibri"/>
                <w:lang w:val="hr-HR"/>
              </w:rPr>
              <w:t xml:space="preserve"> romani u metodičkom obzoru, Sveučilište u Rijeci, Pula</w:t>
            </w:r>
          </w:p>
          <w:p w14:paraId="022C983A" w14:textId="77777777" w:rsidR="00884B46" w:rsidRPr="00884B46" w:rsidRDefault="00884B46" w:rsidP="00884B46">
            <w:pPr>
              <w:contextualSpacing/>
              <w:jc w:val="both"/>
              <w:rPr>
                <w:rFonts w:ascii="Cambria" w:eastAsia="Calibri" w:hAnsi="Cambria" w:cs="Calibri"/>
                <w:lang w:val="hr-HR"/>
              </w:rPr>
            </w:pPr>
            <w:r w:rsidRPr="00884B46">
              <w:rPr>
                <w:rFonts w:ascii="Cambria" w:eastAsia="Calibri" w:hAnsi="Cambria" w:cs="Calibri"/>
                <w:lang w:val="hr-HR"/>
              </w:rPr>
              <w:t>5. Diklić - Rosandić - Šabić, (1990). Odzivi i dozivi lirske pjesme, PKZ, Zagreb.</w:t>
            </w:r>
          </w:p>
          <w:p w14:paraId="03D8968E" w14:textId="77777777" w:rsidR="00884B46" w:rsidRPr="00884B46" w:rsidRDefault="00884B46" w:rsidP="00884B46">
            <w:pPr>
              <w:contextualSpacing/>
              <w:jc w:val="both"/>
              <w:rPr>
                <w:rFonts w:ascii="Cambria" w:eastAsia="Calibri" w:hAnsi="Cambria" w:cs="Calibri"/>
                <w:lang w:val="hr-HR"/>
              </w:rPr>
            </w:pPr>
            <w:r w:rsidRPr="00884B46">
              <w:rPr>
                <w:rFonts w:ascii="Cambria" w:eastAsia="Calibri" w:hAnsi="Cambria" w:cs="Calibri"/>
                <w:lang w:val="hr-HR"/>
              </w:rPr>
              <w:t xml:space="preserve">6. Diklić, Z., (1989). Lik u književnoj, scenskoj i filmskoj umjetnosti, Školska knjiga, Zagreb, </w:t>
            </w:r>
          </w:p>
          <w:p w14:paraId="271482E2" w14:textId="77777777" w:rsidR="00884B46" w:rsidRPr="00884B46" w:rsidRDefault="00884B46" w:rsidP="00884B46">
            <w:pPr>
              <w:contextualSpacing/>
              <w:jc w:val="both"/>
              <w:rPr>
                <w:rFonts w:ascii="Cambria" w:eastAsia="Calibri" w:hAnsi="Cambria" w:cs="Calibri"/>
                <w:lang w:val="hr-HR"/>
              </w:rPr>
            </w:pPr>
            <w:r w:rsidRPr="00884B46">
              <w:rPr>
                <w:rFonts w:ascii="Cambria" w:eastAsia="Calibri" w:hAnsi="Cambria" w:cs="Calibri"/>
                <w:lang w:val="hr-HR"/>
              </w:rPr>
              <w:t xml:space="preserve">7. </w:t>
            </w:r>
            <w:proofErr w:type="spellStart"/>
            <w:r w:rsidRPr="00884B46">
              <w:rPr>
                <w:rFonts w:ascii="Cambria" w:eastAsia="Calibri" w:hAnsi="Cambria" w:cs="Calibri"/>
                <w:lang w:val="hr-HR"/>
              </w:rPr>
              <w:t>Kajić</w:t>
            </w:r>
            <w:proofErr w:type="spellEnd"/>
            <w:r w:rsidRPr="00884B46">
              <w:rPr>
                <w:rFonts w:ascii="Cambria" w:eastAsia="Calibri" w:hAnsi="Cambria" w:cs="Calibri"/>
                <w:lang w:val="hr-HR"/>
              </w:rPr>
              <w:t>, R., (1981). Roman u sustavu problemske nastave, Školska knjiga, Zagreb</w:t>
            </w:r>
          </w:p>
          <w:p w14:paraId="58EDD289" w14:textId="77777777" w:rsidR="00884B46" w:rsidRPr="00884B46" w:rsidRDefault="00884B46" w:rsidP="00884B46">
            <w:pPr>
              <w:contextualSpacing/>
              <w:jc w:val="both"/>
              <w:rPr>
                <w:rFonts w:ascii="Cambria" w:eastAsia="Calibri" w:hAnsi="Cambria" w:cs="Calibri"/>
                <w:lang w:val="hr-HR"/>
              </w:rPr>
            </w:pPr>
            <w:r w:rsidRPr="00884B46">
              <w:rPr>
                <w:rFonts w:ascii="Cambria" w:eastAsia="Calibri" w:hAnsi="Cambria" w:cs="Calibri"/>
                <w:lang w:val="hr-HR"/>
              </w:rPr>
              <w:t xml:space="preserve">8. </w:t>
            </w:r>
            <w:proofErr w:type="spellStart"/>
            <w:r w:rsidRPr="00884B46">
              <w:rPr>
                <w:rFonts w:ascii="Cambria" w:eastAsia="Calibri" w:hAnsi="Cambria" w:cs="Calibri"/>
                <w:lang w:val="hr-HR"/>
              </w:rPr>
              <w:t>Kermek-Sredanović</w:t>
            </w:r>
            <w:proofErr w:type="spellEnd"/>
            <w:r w:rsidRPr="00884B46">
              <w:rPr>
                <w:rFonts w:ascii="Cambria" w:eastAsia="Calibri" w:hAnsi="Cambria" w:cs="Calibri"/>
                <w:lang w:val="hr-HR"/>
              </w:rPr>
              <w:t>, M., (1991). Književni interesi djece i omladine, Zagreb, Školska knjiga</w:t>
            </w:r>
          </w:p>
          <w:p w14:paraId="36B2B670" w14:textId="77777777" w:rsidR="00884B46" w:rsidRPr="00884B46" w:rsidRDefault="00884B46" w:rsidP="00884B46">
            <w:pPr>
              <w:contextualSpacing/>
              <w:jc w:val="both"/>
              <w:rPr>
                <w:rFonts w:ascii="Cambria" w:eastAsia="Calibri" w:hAnsi="Cambria" w:cs="Calibri"/>
                <w:lang w:val="hr-HR"/>
              </w:rPr>
            </w:pPr>
            <w:r w:rsidRPr="00884B46">
              <w:rPr>
                <w:rFonts w:ascii="Cambria" w:eastAsia="Calibri" w:hAnsi="Cambria" w:cs="Calibri"/>
                <w:lang w:val="hr-HR"/>
              </w:rPr>
              <w:t>9. Kovačević, M., (1998). Književno-metodička motrišta, Zagreb, Školske novine</w:t>
            </w:r>
          </w:p>
          <w:p w14:paraId="010DAE9F" w14:textId="77777777" w:rsidR="00884B46" w:rsidRPr="00884B46" w:rsidRDefault="00884B46" w:rsidP="00884B46">
            <w:pPr>
              <w:contextualSpacing/>
              <w:jc w:val="both"/>
              <w:rPr>
                <w:rFonts w:ascii="Cambria" w:eastAsia="Calibri" w:hAnsi="Cambria" w:cs="Calibri"/>
                <w:lang w:val="hr-HR"/>
              </w:rPr>
            </w:pPr>
            <w:r w:rsidRPr="00884B46">
              <w:rPr>
                <w:rFonts w:ascii="Cambria" w:eastAsia="Calibri" w:hAnsi="Cambria" w:cs="Calibri"/>
                <w:lang w:val="hr-HR"/>
              </w:rPr>
              <w:t xml:space="preserve">10. Lagumdžija, N., (2000). Basna u osnovnoškolskoj nastavi književnosti, Hena </w:t>
            </w:r>
            <w:proofErr w:type="spellStart"/>
            <w:r w:rsidRPr="00884B46">
              <w:rPr>
                <w:rFonts w:ascii="Cambria" w:eastAsia="Calibri" w:hAnsi="Cambria" w:cs="Calibri"/>
                <w:lang w:val="hr-HR"/>
              </w:rPr>
              <w:t>Com</w:t>
            </w:r>
            <w:proofErr w:type="spellEnd"/>
            <w:r w:rsidRPr="00884B46">
              <w:rPr>
                <w:rFonts w:ascii="Cambria" w:eastAsia="Calibri" w:hAnsi="Cambria" w:cs="Calibri"/>
                <w:lang w:val="hr-HR"/>
              </w:rPr>
              <w:t>, Zagreb</w:t>
            </w:r>
          </w:p>
          <w:p w14:paraId="04F0CBA1" w14:textId="77777777" w:rsidR="00884B46" w:rsidRPr="00884B46" w:rsidRDefault="00884B46" w:rsidP="00884B46">
            <w:pPr>
              <w:contextualSpacing/>
              <w:jc w:val="both"/>
              <w:rPr>
                <w:rFonts w:ascii="Cambria" w:eastAsia="Calibri" w:hAnsi="Cambria" w:cs="Calibri"/>
                <w:lang w:val="hr-HR"/>
              </w:rPr>
            </w:pPr>
            <w:r w:rsidRPr="00884B46">
              <w:rPr>
                <w:rFonts w:ascii="Cambria" w:eastAsia="Calibri" w:hAnsi="Cambria" w:cs="Calibri"/>
                <w:lang w:val="hr-HR"/>
              </w:rPr>
              <w:t>11. Pavletić, V., (1995). Kako razumjeti poeziju, Školska knjiga, Zagreb, 1995.</w:t>
            </w:r>
          </w:p>
          <w:p w14:paraId="24C08601" w14:textId="77777777" w:rsidR="00884B46" w:rsidRPr="00884B46" w:rsidRDefault="00884B46" w:rsidP="00884B46">
            <w:pPr>
              <w:contextualSpacing/>
              <w:jc w:val="both"/>
              <w:rPr>
                <w:rFonts w:ascii="Cambria" w:eastAsia="Calibri" w:hAnsi="Cambria" w:cs="Calibri"/>
                <w:lang w:val="hr-HR"/>
              </w:rPr>
            </w:pPr>
            <w:r w:rsidRPr="00884B46">
              <w:rPr>
                <w:rFonts w:ascii="Cambria" w:eastAsia="Calibri" w:hAnsi="Cambria" w:cs="Calibri"/>
                <w:lang w:val="hr-HR"/>
              </w:rPr>
              <w:t xml:space="preserve">12. </w:t>
            </w:r>
            <w:proofErr w:type="spellStart"/>
            <w:r w:rsidRPr="00884B46">
              <w:rPr>
                <w:rFonts w:ascii="Cambria" w:eastAsia="Calibri" w:hAnsi="Cambria" w:cs="Calibri"/>
                <w:lang w:val="hr-HR"/>
              </w:rPr>
              <w:t>Perotti</w:t>
            </w:r>
            <w:proofErr w:type="spellEnd"/>
            <w:r w:rsidRPr="00884B46">
              <w:rPr>
                <w:rFonts w:ascii="Cambria" w:eastAsia="Calibri" w:hAnsi="Cambria" w:cs="Calibri"/>
                <w:lang w:val="hr-HR"/>
              </w:rPr>
              <w:t xml:space="preserve">, A., (1995). Pledoaje za interkulturalni odgoj i </w:t>
            </w:r>
            <w:proofErr w:type="spellStart"/>
            <w:r w:rsidRPr="00884B46">
              <w:rPr>
                <w:rFonts w:ascii="Cambria" w:eastAsia="Calibri" w:hAnsi="Cambria" w:cs="Calibri"/>
                <w:lang w:val="hr-HR"/>
              </w:rPr>
              <w:t>obrazovanje,Educa</w:t>
            </w:r>
            <w:proofErr w:type="spellEnd"/>
            <w:r w:rsidRPr="00884B46">
              <w:rPr>
                <w:rFonts w:ascii="Cambria" w:eastAsia="Calibri" w:hAnsi="Cambria" w:cs="Calibri"/>
                <w:lang w:val="hr-HR"/>
              </w:rPr>
              <w:t>, Zagreb</w:t>
            </w:r>
          </w:p>
          <w:p w14:paraId="08E1A147" w14:textId="77777777" w:rsidR="00884B46" w:rsidRPr="00884B46" w:rsidRDefault="00884B46" w:rsidP="00884B46">
            <w:pPr>
              <w:contextualSpacing/>
              <w:jc w:val="both"/>
              <w:rPr>
                <w:rFonts w:ascii="Cambria" w:eastAsia="Calibri" w:hAnsi="Cambria" w:cs="Calibri"/>
                <w:lang w:val="hr-HR"/>
              </w:rPr>
            </w:pPr>
            <w:r w:rsidRPr="00884B46">
              <w:rPr>
                <w:rFonts w:ascii="Cambria" w:eastAsia="Calibri" w:hAnsi="Cambria" w:cs="Calibri"/>
                <w:lang w:val="hr-HR"/>
              </w:rPr>
              <w:t xml:space="preserve">13. Rosandić, D., (2003). </w:t>
            </w:r>
            <w:proofErr w:type="spellStart"/>
            <w:r w:rsidRPr="00884B46">
              <w:rPr>
                <w:rFonts w:ascii="Cambria" w:eastAsia="Calibri" w:hAnsi="Cambria" w:cs="Calibri"/>
                <w:lang w:val="hr-HR"/>
              </w:rPr>
              <w:t>Kurikulski</w:t>
            </w:r>
            <w:proofErr w:type="spellEnd"/>
            <w:r w:rsidRPr="00884B46">
              <w:rPr>
                <w:rFonts w:ascii="Cambria" w:eastAsia="Calibri" w:hAnsi="Cambria" w:cs="Calibri"/>
                <w:lang w:val="hr-HR"/>
              </w:rPr>
              <w:t xml:space="preserve"> metodički obzori, Školske novine, Zagreb</w:t>
            </w:r>
          </w:p>
          <w:p w14:paraId="52F4CADD" w14:textId="77777777" w:rsidR="00884B46" w:rsidRPr="00884B46" w:rsidRDefault="00884B46" w:rsidP="00884B46">
            <w:pPr>
              <w:contextualSpacing/>
              <w:jc w:val="both"/>
              <w:rPr>
                <w:rFonts w:ascii="Cambria" w:eastAsia="Calibri" w:hAnsi="Cambria" w:cs="Calibri"/>
                <w:lang w:val="hr-HR"/>
              </w:rPr>
            </w:pPr>
            <w:r w:rsidRPr="00884B46">
              <w:rPr>
                <w:rFonts w:ascii="Cambria" w:eastAsia="Calibri" w:hAnsi="Cambria" w:cs="Calibri"/>
                <w:lang w:val="hr-HR"/>
              </w:rPr>
              <w:t>14. Šabić, A. G., (1983). Lirska poezija u razrednoj nastavi, Školska knjiga, Zagreb</w:t>
            </w:r>
          </w:p>
          <w:p w14:paraId="14176CF9" w14:textId="77777777" w:rsidR="00884B46" w:rsidRPr="00884B46" w:rsidRDefault="00884B46" w:rsidP="00884B46">
            <w:pPr>
              <w:contextualSpacing/>
              <w:jc w:val="both"/>
              <w:rPr>
                <w:rFonts w:ascii="Cambria" w:eastAsia="Calibri" w:hAnsi="Cambria" w:cs="Calibri"/>
                <w:lang w:val="hr-HR"/>
              </w:rPr>
            </w:pPr>
            <w:r w:rsidRPr="00884B46">
              <w:rPr>
                <w:rFonts w:ascii="Cambria" w:eastAsia="Calibri" w:hAnsi="Cambria" w:cs="Calibri"/>
                <w:lang w:val="hr-HR"/>
              </w:rPr>
              <w:t>15. Šabić, A. G., (1991).  Učenik i lirika, Školska knjiga, Zagreb</w:t>
            </w:r>
          </w:p>
          <w:p w14:paraId="371123A5" w14:textId="61BC3ECF" w:rsidR="00884B46" w:rsidRPr="00DF4CE5" w:rsidRDefault="00884B46" w:rsidP="00884B46">
            <w:pPr>
              <w:contextualSpacing/>
              <w:jc w:val="both"/>
              <w:rPr>
                <w:rFonts w:ascii="Cambria" w:eastAsia="Calibri" w:hAnsi="Cambria" w:cs="Calibri"/>
                <w:lang w:val="hr-HR"/>
              </w:rPr>
            </w:pPr>
            <w:r w:rsidRPr="00884B46">
              <w:rPr>
                <w:rFonts w:ascii="Cambria" w:eastAsia="Calibri" w:hAnsi="Cambria" w:cs="Calibri"/>
                <w:lang w:val="hr-HR"/>
              </w:rPr>
              <w:t>16. Težak, S., (1977). Prilozi interpretaciji lirske pjesme, PKZ, Zagreb</w:t>
            </w:r>
          </w:p>
        </w:tc>
      </w:tr>
    </w:tbl>
    <w:p w14:paraId="5683A199" w14:textId="77777777" w:rsidR="00BB447A" w:rsidRPr="00DF4CE5" w:rsidRDefault="00BB447A" w:rsidP="008B34AF">
      <w:pPr>
        <w:jc w:val="both"/>
        <w:rPr>
          <w:rFonts w:ascii="Cambria" w:hAnsi="Cambria"/>
          <w:lang w:val="hr-HR"/>
        </w:rPr>
      </w:pPr>
    </w:p>
    <w:p w14:paraId="4E1726B3" w14:textId="58730A8D" w:rsidR="00FC4004" w:rsidRDefault="00FC4004">
      <w:pPr>
        <w:rPr>
          <w:rFonts w:ascii="Cambria" w:hAnsi="Cambria"/>
          <w:lang w:val="hr-HR"/>
        </w:rPr>
      </w:pPr>
      <w:r>
        <w:rPr>
          <w:rFonts w:ascii="Cambria" w:hAnsi="Cambria"/>
          <w:lang w:val="hr-HR"/>
        </w:rPr>
        <w:br w:type="page"/>
      </w:r>
    </w:p>
    <w:tbl>
      <w:tblPr>
        <w:tblW w:w="5162" w:type="pct"/>
        <w:tblLayout w:type="fixed"/>
        <w:tblCellMar>
          <w:left w:w="0" w:type="dxa"/>
          <w:right w:w="0" w:type="dxa"/>
        </w:tblCellMar>
        <w:tblLook w:val="0600" w:firstRow="0" w:lastRow="0" w:firstColumn="0" w:lastColumn="0" w:noHBand="1" w:noVBand="1"/>
      </w:tblPr>
      <w:tblGrid>
        <w:gridCol w:w="2971"/>
        <w:gridCol w:w="2353"/>
        <w:gridCol w:w="300"/>
        <w:gridCol w:w="799"/>
        <w:gridCol w:w="915"/>
        <w:gridCol w:w="449"/>
        <w:gridCol w:w="403"/>
        <w:gridCol w:w="2155"/>
      </w:tblGrid>
      <w:tr w:rsidR="00FC4004" w:rsidRPr="00E45645" w14:paraId="2A866F8B" w14:textId="77777777" w:rsidTr="00FC4004">
        <w:tc>
          <w:tcPr>
            <w:tcW w:w="10345"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B2160AB" w14:textId="77777777" w:rsidR="00FC4004" w:rsidRPr="00A62FBD" w:rsidRDefault="00FC4004" w:rsidP="000F1A10">
            <w:pPr>
              <w:spacing w:after="0" w:line="240" w:lineRule="auto"/>
              <w:jc w:val="right"/>
              <w:rPr>
                <w:rFonts w:ascii="Cambria" w:hAnsi="Cambria" w:cs="Calibri"/>
                <w:b/>
              </w:rPr>
            </w:pPr>
            <w:r w:rsidRPr="00A62FBD">
              <w:rPr>
                <w:rFonts w:ascii="Cambria" w:hAnsi="Cambria" w:cs="Calibri"/>
                <w:b/>
              </w:rPr>
              <w:lastRenderedPageBreak/>
              <w:t>IZVEDBENI PLAN NASTAVE KOLEGIJA</w:t>
            </w:r>
          </w:p>
        </w:tc>
      </w:tr>
      <w:tr w:rsidR="00FC4004" w:rsidRPr="00E45645" w14:paraId="04B167CF" w14:textId="77777777" w:rsidTr="00FC4004">
        <w:tc>
          <w:tcPr>
            <w:tcW w:w="297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271DECC" w14:textId="77777777" w:rsidR="00FC4004" w:rsidRPr="00884B46" w:rsidRDefault="00FC4004" w:rsidP="000F1A10">
            <w:pPr>
              <w:spacing w:after="0" w:line="240" w:lineRule="auto"/>
              <w:rPr>
                <w:rFonts w:ascii="Cambria" w:hAnsi="Cambria" w:cs="Calibri"/>
              </w:rPr>
            </w:pPr>
            <w:proofErr w:type="spellStart"/>
            <w:r w:rsidRPr="00884B46">
              <w:rPr>
                <w:rFonts w:ascii="Cambria" w:hAnsi="Cambria" w:cs="Calibri"/>
              </w:rPr>
              <w:t>Kod</w:t>
            </w:r>
            <w:proofErr w:type="spellEnd"/>
            <w:r w:rsidRPr="00884B46">
              <w:rPr>
                <w:rFonts w:ascii="Cambria" w:hAnsi="Cambria" w:cs="Calibri"/>
              </w:rPr>
              <w:t xml:space="preserve"> </w:t>
            </w:r>
            <w:proofErr w:type="spellStart"/>
            <w:r w:rsidRPr="00884B46">
              <w:rPr>
                <w:rFonts w:ascii="Cambria" w:hAnsi="Cambria" w:cs="Calibri"/>
              </w:rPr>
              <w:t>i</w:t>
            </w:r>
            <w:proofErr w:type="spellEnd"/>
            <w:r w:rsidRPr="00884B46">
              <w:rPr>
                <w:rFonts w:ascii="Cambria" w:hAnsi="Cambria" w:cs="Calibri"/>
              </w:rPr>
              <w:t xml:space="preserve"> </w:t>
            </w:r>
            <w:proofErr w:type="spellStart"/>
            <w:r w:rsidRPr="00884B46">
              <w:rPr>
                <w:rFonts w:ascii="Cambria" w:hAnsi="Cambria" w:cs="Calibri"/>
              </w:rPr>
              <w:t>naziv</w:t>
            </w:r>
            <w:proofErr w:type="spellEnd"/>
            <w:r w:rsidRPr="00884B46">
              <w:rPr>
                <w:rFonts w:ascii="Cambria" w:hAnsi="Cambria" w:cs="Calibri"/>
              </w:rPr>
              <w:t xml:space="preserve"> </w:t>
            </w:r>
            <w:proofErr w:type="spellStart"/>
            <w:r w:rsidRPr="00884B46">
              <w:rPr>
                <w:rFonts w:ascii="Cambria" w:hAnsi="Cambria" w:cs="Calibri"/>
              </w:rPr>
              <w:t>kolegija</w:t>
            </w:r>
            <w:proofErr w:type="spellEnd"/>
          </w:p>
        </w:tc>
        <w:tc>
          <w:tcPr>
            <w:tcW w:w="737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3BBA124B" w14:textId="48D5689E" w:rsidR="00FC4004" w:rsidRDefault="00FC4004" w:rsidP="000F1A10">
            <w:pPr>
              <w:spacing w:after="0" w:line="240" w:lineRule="auto"/>
              <w:rPr>
                <w:rFonts w:ascii="Cambria" w:hAnsi="Cambria" w:cs="Calibri"/>
              </w:rPr>
            </w:pPr>
            <w:r>
              <w:rPr>
                <w:rFonts w:ascii="Cambria" w:hAnsi="Cambria" w:cs="Calibri"/>
              </w:rPr>
              <w:t>156756</w:t>
            </w:r>
          </w:p>
          <w:p w14:paraId="657CED88" w14:textId="4A01A23E" w:rsidR="00FC4004" w:rsidRPr="00D0147D" w:rsidRDefault="00FC4004" w:rsidP="000F1A10">
            <w:pPr>
              <w:spacing w:after="0" w:line="240" w:lineRule="auto"/>
              <w:rPr>
                <w:rFonts w:ascii="Cambria" w:hAnsi="Cambria" w:cs="Calibri"/>
              </w:rPr>
            </w:pPr>
            <w:proofErr w:type="spellStart"/>
            <w:r w:rsidRPr="00884B46">
              <w:rPr>
                <w:rFonts w:ascii="Cambria" w:hAnsi="Cambria" w:cs="Calibri"/>
              </w:rPr>
              <w:t>Metodika</w:t>
            </w:r>
            <w:proofErr w:type="spellEnd"/>
            <w:r w:rsidRPr="00884B46">
              <w:rPr>
                <w:rFonts w:ascii="Cambria" w:hAnsi="Cambria" w:cs="Calibri"/>
              </w:rPr>
              <w:t xml:space="preserve"> </w:t>
            </w:r>
            <w:proofErr w:type="spellStart"/>
            <w:r w:rsidRPr="00884B46">
              <w:rPr>
                <w:rFonts w:ascii="Cambria" w:hAnsi="Cambria" w:cs="Calibri"/>
              </w:rPr>
              <w:t>nastave</w:t>
            </w:r>
            <w:proofErr w:type="spellEnd"/>
            <w:r w:rsidRPr="00884B46">
              <w:rPr>
                <w:rFonts w:ascii="Cambria" w:hAnsi="Cambria" w:cs="Calibri"/>
              </w:rPr>
              <w:t xml:space="preserve"> </w:t>
            </w:r>
            <w:proofErr w:type="spellStart"/>
            <w:r w:rsidRPr="00884B46">
              <w:rPr>
                <w:rFonts w:ascii="Cambria" w:hAnsi="Cambria" w:cs="Calibri"/>
              </w:rPr>
              <w:t>matematike</w:t>
            </w:r>
            <w:proofErr w:type="spellEnd"/>
            <w:r w:rsidRPr="00884B46">
              <w:rPr>
                <w:rFonts w:ascii="Cambria" w:hAnsi="Cambria" w:cs="Calibri"/>
              </w:rPr>
              <w:t xml:space="preserve"> I</w:t>
            </w:r>
          </w:p>
        </w:tc>
      </w:tr>
      <w:tr w:rsidR="00FC4004" w:rsidRPr="00D0399C" w14:paraId="745BB443" w14:textId="77777777" w:rsidTr="00FC4004">
        <w:tc>
          <w:tcPr>
            <w:tcW w:w="297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77FA318" w14:textId="503CF7FD" w:rsidR="00FC4004" w:rsidRPr="00884B46" w:rsidRDefault="00FC4004" w:rsidP="000F1A10">
            <w:pPr>
              <w:spacing w:after="0" w:line="240" w:lineRule="auto"/>
              <w:rPr>
                <w:rFonts w:ascii="Cambria" w:hAnsi="Cambria" w:cs="Calibri"/>
              </w:rPr>
            </w:pPr>
            <w:proofErr w:type="spellStart"/>
            <w:r w:rsidRPr="00884B46">
              <w:rPr>
                <w:rFonts w:ascii="Cambria" w:hAnsi="Cambria" w:cs="Calibri"/>
              </w:rPr>
              <w:t>Nastavni</w:t>
            </w:r>
            <w:r>
              <w:rPr>
                <w:rFonts w:ascii="Cambria" w:hAnsi="Cambria" w:cs="Calibri"/>
              </w:rPr>
              <w:t>ca</w:t>
            </w:r>
            <w:proofErr w:type="spellEnd"/>
          </w:p>
        </w:tc>
        <w:tc>
          <w:tcPr>
            <w:tcW w:w="737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3DF30B1" w14:textId="198BADE5" w:rsidR="00FC4004" w:rsidRPr="00884B46" w:rsidRDefault="00FC4004" w:rsidP="00FC4004">
            <w:pPr>
              <w:widowControl w:val="0"/>
              <w:spacing w:after="0" w:line="240" w:lineRule="auto"/>
              <w:rPr>
                <w:rFonts w:ascii="Cambria" w:hAnsi="Cambria" w:cs="Calibri"/>
                <w:lang w:val="it-IT"/>
              </w:rPr>
            </w:pPr>
            <w:hyperlink r:id="rId123" w:history="1">
              <w:proofErr w:type="spellStart"/>
              <w:r w:rsidRPr="00FC4004">
                <w:rPr>
                  <w:rStyle w:val="Hiperveza"/>
                  <w:rFonts w:ascii="Cambria" w:hAnsi="Cambria" w:cs="Calibri"/>
                  <w:lang w:val="it-IT"/>
                </w:rPr>
                <w:t>Izv</w:t>
              </w:r>
              <w:proofErr w:type="spellEnd"/>
              <w:r w:rsidRPr="00FC4004">
                <w:rPr>
                  <w:rStyle w:val="Hiperveza"/>
                  <w:rFonts w:ascii="Cambria" w:hAnsi="Cambria" w:cs="Calibri"/>
                  <w:lang w:val="it-IT"/>
                </w:rPr>
                <w:t xml:space="preserve">. prof. dr. sc. Sandra </w:t>
              </w:r>
              <w:proofErr w:type="spellStart"/>
              <w:r w:rsidRPr="00FC4004">
                <w:rPr>
                  <w:rStyle w:val="Hiperveza"/>
                  <w:rFonts w:ascii="Cambria" w:hAnsi="Cambria" w:cs="Calibri"/>
                  <w:lang w:val="it-IT"/>
                </w:rPr>
                <w:t>Kadum</w:t>
              </w:r>
              <w:proofErr w:type="spellEnd"/>
            </w:hyperlink>
            <w:r w:rsidRPr="00FC4004">
              <w:rPr>
                <w:rFonts w:ascii="Cambria" w:hAnsi="Cambria" w:cs="Calibri"/>
                <w:lang w:val="it-IT"/>
              </w:rPr>
              <w:t xml:space="preserve"> (</w:t>
            </w:r>
            <w:proofErr w:type="spellStart"/>
            <w:r w:rsidRPr="00FC4004">
              <w:rPr>
                <w:rFonts w:ascii="Cambria" w:hAnsi="Cambria" w:cs="Calibri"/>
                <w:lang w:val="it-IT"/>
              </w:rPr>
              <w:t>nositelj</w:t>
            </w:r>
            <w:r>
              <w:rPr>
                <w:rFonts w:ascii="Cambria" w:hAnsi="Cambria" w:cs="Calibri"/>
                <w:lang w:val="it-IT"/>
              </w:rPr>
              <w:t>ica</w:t>
            </w:r>
            <w:proofErr w:type="spellEnd"/>
            <w:r w:rsidRPr="00FC4004">
              <w:rPr>
                <w:rFonts w:ascii="Cambria" w:hAnsi="Cambria" w:cs="Calibri"/>
                <w:lang w:val="it-IT"/>
              </w:rPr>
              <w:t>)</w:t>
            </w:r>
          </w:p>
        </w:tc>
      </w:tr>
      <w:tr w:rsidR="00FC4004" w:rsidRPr="00E45645" w14:paraId="4961A0B1" w14:textId="77777777" w:rsidTr="00FC4004">
        <w:trPr>
          <w:trHeight w:val="312"/>
        </w:trPr>
        <w:tc>
          <w:tcPr>
            <w:tcW w:w="297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D1F76DB" w14:textId="77777777" w:rsidR="00FC4004" w:rsidRPr="00884B46" w:rsidRDefault="00FC4004" w:rsidP="000F1A10">
            <w:pPr>
              <w:spacing w:after="0" w:line="240" w:lineRule="auto"/>
              <w:rPr>
                <w:rFonts w:ascii="Cambria" w:hAnsi="Cambria" w:cs="Calibri"/>
              </w:rPr>
            </w:pPr>
            <w:proofErr w:type="spellStart"/>
            <w:r w:rsidRPr="00884B46">
              <w:rPr>
                <w:rFonts w:ascii="Cambria" w:hAnsi="Cambria" w:cs="Calibri"/>
              </w:rPr>
              <w:t>Studijski</w:t>
            </w:r>
            <w:proofErr w:type="spellEnd"/>
            <w:r w:rsidRPr="00884B46">
              <w:rPr>
                <w:rFonts w:ascii="Cambria" w:hAnsi="Cambria" w:cs="Calibri"/>
              </w:rPr>
              <w:t xml:space="preserve"> program</w:t>
            </w:r>
          </w:p>
        </w:tc>
        <w:tc>
          <w:tcPr>
            <w:tcW w:w="737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3B1FADF7" w14:textId="77777777" w:rsidR="00FC4004" w:rsidRPr="00884B46" w:rsidRDefault="00FC4004" w:rsidP="000F1A10">
            <w:pPr>
              <w:spacing w:after="0" w:line="240" w:lineRule="auto"/>
              <w:rPr>
                <w:rFonts w:ascii="Cambria" w:hAnsi="Cambria" w:cs="Calibri"/>
                <w:b/>
                <w:bCs/>
              </w:rPr>
            </w:pPr>
            <w:proofErr w:type="spellStart"/>
            <w:r w:rsidRPr="00884B46">
              <w:rPr>
                <w:rFonts w:ascii="Cambria" w:hAnsi="Cambria" w:cs="Calibri"/>
              </w:rPr>
              <w:t>Sveučilišni</w:t>
            </w:r>
            <w:proofErr w:type="spellEnd"/>
            <w:r w:rsidRPr="00884B46">
              <w:rPr>
                <w:rFonts w:ascii="Cambria" w:hAnsi="Cambria" w:cs="Calibri"/>
              </w:rPr>
              <w:t xml:space="preserve"> </w:t>
            </w:r>
            <w:proofErr w:type="spellStart"/>
            <w:r w:rsidRPr="00884B46">
              <w:rPr>
                <w:rFonts w:ascii="Cambria" w:hAnsi="Cambria" w:cs="Calibri"/>
              </w:rPr>
              <w:t>integrirani</w:t>
            </w:r>
            <w:proofErr w:type="spellEnd"/>
            <w:r w:rsidRPr="00884B46">
              <w:rPr>
                <w:rFonts w:ascii="Cambria" w:hAnsi="Cambria" w:cs="Calibri"/>
              </w:rPr>
              <w:t xml:space="preserve"> </w:t>
            </w:r>
            <w:proofErr w:type="spellStart"/>
            <w:r w:rsidRPr="00884B46">
              <w:rPr>
                <w:rFonts w:ascii="Cambria" w:hAnsi="Cambria" w:cs="Calibri"/>
              </w:rPr>
              <w:t>prijediplomski</w:t>
            </w:r>
            <w:proofErr w:type="spellEnd"/>
            <w:r w:rsidRPr="00884B46">
              <w:rPr>
                <w:rFonts w:ascii="Cambria" w:hAnsi="Cambria" w:cs="Calibri"/>
              </w:rPr>
              <w:t xml:space="preserve"> </w:t>
            </w:r>
            <w:proofErr w:type="spellStart"/>
            <w:r w:rsidRPr="00884B46">
              <w:rPr>
                <w:rFonts w:ascii="Cambria" w:hAnsi="Cambria" w:cs="Calibri"/>
              </w:rPr>
              <w:t>i</w:t>
            </w:r>
            <w:proofErr w:type="spellEnd"/>
            <w:r w:rsidRPr="00884B46">
              <w:rPr>
                <w:rFonts w:ascii="Cambria" w:hAnsi="Cambria" w:cs="Calibri"/>
              </w:rPr>
              <w:t xml:space="preserve"> </w:t>
            </w:r>
            <w:proofErr w:type="spellStart"/>
            <w:r w:rsidRPr="00884B46">
              <w:rPr>
                <w:rFonts w:ascii="Cambria" w:hAnsi="Cambria" w:cs="Calibri"/>
              </w:rPr>
              <w:t>diplomski</w:t>
            </w:r>
            <w:proofErr w:type="spellEnd"/>
            <w:r w:rsidRPr="00884B46">
              <w:rPr>
                <w:rFonts w:ascii="Cambria" w:hAnsi="Cambria" w:cs="Calibri"/>
              </w:rPr>
              <w:t xml:space="preserve"> </w:t>
            </w:r>
            <w:proofErr w:type="spellStart"/>
            <w:r w:rsidRPr="00884B46">
              <w:rPr>
                <w:rFonts w:ascii="Cambria" w:hAnsi="Cambria" w:cs="Calibri"/>
              </w:rPr>
              <w:t>Učiteljski</w:t>
            </w:r>
            <w:proofErr w:type="spellEnd"/>
            <w:r w:rsidRPr="00884B46">
              <w:rPr>
                <w:rFonts w:ascii="Cambria" w:hAnsi="Cambria" w:cs="Calibri"/>
              </w:rPr>
              <w:t xml:space="preserve"> </w:t>
            </w:r>
            <w:proofErr w:type="spellStart"/>
            <w:r w:rsidRPr="00884B46">
              <w:rPr>
                <w:rFonts w:ascii="Cambria" w:hAnsi="Cambria" w:cs="Calibri"/>
              </w:rPr>
              <w:t>studij</w:t>
            </w:r>
            <w:proofErr w:type="spellEnd"/>
            <w:r w:rsidRPr="00884B46">
              <w:rPr>
                <w:rFonts w:ascii="Cambria" w:hAnsi="Cambria" w:cs="Calibri"/>
              </w:rPr>
              <w:t xml:space="preserve"> </w:t>
            </w:r>
            <w:proofErr w:type="spellStart"/>
            <w:r w:rsidRPr="00884B46">
              <w:rPr>
                <w:rFonts w:ascii="Cambria" w:hAnsi="Cambria" w:cs="Calibri"/>
              </w:rPr>
              <w:t>na</w:t>
            </w:r>
            <w:proofErr w:type="spellEnd"/>
            <w:r w:rsidRPr="00884B46">
              <w:rPr>
                <w:rFonts w:ascii="Cambria" w:hAnsi="Cambria" w:cs="Calibri"/>
              </w:rPr>
              <w:t xml:space="preserve"> </w:t>
            </w:r>
            <w:proofErr w:type="spellStart"/>
            <w:r w:rsidRPr="00884B46">
              <w:rPr>
                <w:rFonts w:ascii="Cambria" w:hAnsi="Cambria" w:cs="Calibri"/>
              </w:rPr>
              <w:t>hrvatskom</w:t>
            </w:r>
            <w:proofErr w:type="spellEnd"/>
            <w:r w:rsidRPr="00884B46">
              <w:rPr>
                <w:rFonts w:ascii="Cambria" w:hAnsi="Cambria" w:cs="Calibri"/>
              </w:rPr>
              <w:t xml:space="preserve"> </w:t>
            </w:r>
            <w:proofErr w:type="spellStart"/>
            <w:r w:rsidRPr="00884B46">
              <w:rPr>
                <w:rFonts w:ascii="Cambria" w:hAnsi="Cambria" w:cs="Calibri"/>
              </w:rPr>
              <w:t>jeziku</w:t>
            </w:r>
            <w:proofErr w:type="spellEnd"/>
          </w:p>
        </w:tc>
      </w:tr>
      <w:tr w:rsidR="00FC4004" w:rsidRPr="00E45645" w14:paraId="237CE17D" w14:textId="77777777" w:rsidTr="00FC4004">
        <w:tc>
          <w:tcPr>
            <w:tcW w:w="297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15E7679" w14:textId="77777777" w:rsidR="00FC4004" w:rsidRPr="00884B46" w:rsidRDefault="00FC4004" w:rsidP="000F1A10">
            <w:pPr>
              <w:spacing w:after="0" w:line="240" w:lineRule="auto"/>
              <w:rPr>
                <w:rFonts w:ascii="Cambria" w:hAnsi="Cambria" w:cs="Calibri"/>
              </w:rPr>
            </w:pPr>
            <w:proofErr w:type="spellStart"/>
            <w:r w:rsidRPr="00884B46">
              <w:rPr>
                <w:rFonts w:ascii="Cambria" w:hAnsi="Cambria" w:cs="Calibri"/>
              </w:rPr>
              <w:t>Vrsta</w:t>
            </w:r>
            <w:proofErr w:type="spellEnd"/>
            <w:r w:rsidRPr="00884B46">
              <w:rPr>
                <w:rFonts w:ascii="Cambria" w:hAnsi="Cambria" w:cs="Calibri"/>
              </w:rPr>
              <w:t xml:space="preserve"> </w:t>
            </w:r>
            <w:proofErr w:type="spellStart"/>
            <w:r w:rsidRPr="00884B46">
              <w:rPr>
                <w:rFonts w:ascii="Cambria" w:hAnsi="Cambria" w:cs="Calibri"/>
              </w:rPr>
              <w:t>kolegija</w:t>
            </w:r>
            <w:proofErr w:type="spellEnd"/>
          </w:p>
        </w:tc>
        <w:tc>
          <w:tcPr>
            <w:tcW w:w="2653"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FF3E76E" w14:textId="77777777" w:rsidR="00FC4004" w:rsidRPr="00884B46" w:rsidRDefault="00FC4004" w:rsidP="000F1A10">
            <w:pPr>
              <w:spacing w:after="0" w:line="240" w:lineRule="auto"/>
              <w:rPr>
                <w:rFonts w:ascii="Cambria" w:hAnsi="Cambria" w:cs="Calibri"/>
              </w:rPr>
            </w:pPr>
            <w:proofErr w:type="spellStart"/>
            <w:r w:rsidRPr="00884B46">
              <w:rPr>
                <w:rFonts w:ascii="Cambria" w:hAnsi="Cambria" w:cs="Calibri"/>
              </w:rPr>
              <w:t>obavezan</w:t>
            </w:r>
            <w:proofErr w:type="spellEnd"/>
            <w:r w:rsidRPr="00884B46">
              <w:rPr>
                <w:rFonts w:ascii="Cambria" w:hAnsi="Cambria" w:cs="Calibri"/>
              </w:rPr>
              <w:t xml:space="preserve"> </w:t>
            </w:r>
          </w:p>
        </w:tc>
        <w:tc>
          <w:tcPr>
            <w:tcW w:w="216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2B02613F" w14:textId="77777777" w:rsidR="00FC4004" w:rsidRPr="00884B46" w:rsidRDefault="00FC4004" w:rsidP="000F1A10">
            <w:pPr>
              <w:spacing w:after="0" w:line="240" w:lineRule="auto"/>
              <w:rPr>
                <w:rFonts w:ascii="Cambria" w:hAnsi="Cambria" w:cs="Calibri"/>
              </w:rPr>
            </w:pPr>
            <w:r w:rsidRPr="00884B46">
              <w:rPr>
                <w:rFonts w:ascii="Cambria" w:hAnsi="Cambria" w:cs="Calibri"/>
              </w:rPr>
              <w:t xml:space="preserve">Razina </w:t>
            </w:r>
            <w:proofErr w:type="spellStart"/>
            <w:r w:rsidRPr="00884B46">
              <w:rPr>
                <w:rFonts w:ascii="Cambria" w:hAnsi="Cambria" w:cs="Calibri"/>
              </w:rPr>
              <w:t>kolegija</w:t>
            </w:r>
            <w:proofErr w:type="spellEnd"/>
          </w:p>
        </w:tc>
        <w:tc>
          <w:tcPr>
            <w:tcW w:w="2558"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5597226" w14:textId="77777777" w:rsidR="00FC4004" w:rsidRPr="00A62FBD" w:rsidRDefault="00FC4004" w:rsidP="000F1A10">
            <w:pPr>
              <w:spacing w:after="0" w:line="240" w:lineRule="auto"/>
              <w:rPr>
                <w:rFonts w:ascii="Cambria" w:hAnsi="Cambria" w:cs="Calibri"/>
              </w:rPr>
            </w:pPr>
            <w:proofErr w:type="spellStart"/>
            <w:r>
              <w:rPr>
                <w:rFonts w:ascii="Cambria" w:hAnsi="Cambria" w:cs="Calibri"/>
              </w:rPr>
              <w:t>i</w:t>
            </w:r>
            <w:r w:rsidRPr="00A62FBD">
              <w:rPr>
                <w:rFonts w:ascii="Cambria" w:hAnsi="Cambria" w:cs="Calibri"/>
              </w:rPr>
              <w:t>ntegrirani</w:t>
            </w:r>
            <w:proofErr w:type="spellEnd"/>
          </w:p>
        </w:tc>
      </w:tr>
      <w:tr w:rsidR="00FC4004" w:rsidRPr="00E45645" w14:paraId="44223CED" w14:textId="77777777" w:rsidTr="00FC4004">
        <w:tc>
          <w:tcPr>
            <w:tcW w:w="297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8E34F68" w14:textId="77777777" w:rsidR="00FC4004" w:rsidRPr="00884B46" w:rsidRDefault="00FC4004" w:rsidP="000F1A10">
            <w:pPr>
              <w:spacing w:after="0" w:line="240" w:lineRule="auto"/>
              <w:rPr>
                <w:rFonts w:ascii="Cambria" w:hAnsi="Cambria" w:cs="Calibri"/>
              </w:rPr>
            </w:pPr>
            <w:proofErr w:type="spellStart"/>
            <w:r w:rsidRPr="00884B46">
              <w:rPr>
                <w:rFonts w:ascii="Cambria" w:hAnsi="Cambria" w:cs="Calibri"/>
              </w:rPr>
              <w:t>Semestar</w:t>
            </w:r>
            <w:proofErr w:type="spellEnd"/>
          </w:p>
        </w:tc>
        <w:tc>
          <w:tcPr>
            <w:tcW w:w="2653"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369F7D7" w14:textId="4CDA49B3" w:rsidR="00FC4004" w:rsidRPr="00884B46" w:rsidRDefault="00FC4004" w:rsidP="000F1A10">
            <w:pPr>
              <w:spacing w:after="0" w:line="240" w:lineRule="auto"/>
              <w:rPr>
                <w:rFonts w:ascii="Cambria" w:hAnsi="Cambria" w:cs="Calibri"/>
              </w:rPr>
            </w:pPr>
            <w:proofErr w:type="spellStart"/>
            <w:r>
              <w:rPr>
                <w:rFonts w:ascii="Cambria" w:hAnsi="Cambria" w:cs="Calibri"/>
              </w:rPr>
              <w:t>zimski</w:t>
            </w:r>
            <w:proofErr w:type="spellEnd"/>
          </w:p>
        </w:tc>
        <w:tc>
          <w:tcPr>
            <w:tcW w:w="216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6355A947" w14:textId="77777777" w:rsidR="00FC4004" w:rsidRPr="00884B46" w:rsidRDefault="00FC4004" w:rsidP="000F1A10">
            <w:pPr>
              <w:spacing w:after="0" w:line="240" w:lineRule="auto"/>
              <w:rPr>
                <w:rFonts w:ascii="Cambria" w:hAnsi="Cambria" w:cs="Calibri"/>
              </w:rPr>
            </w:pPr>
            <w:r w:rsidRPr="00884B46">
              <w:rPr>
                <w:rFonts w:ascii="Cambria" w:hAnsi="Cambria" w:cs="Calibri"/>
              </w:rPr>
              <w:t xml:space="preserve">Godina </w:t>
            </w:r>
            <w:proofErr w:type="spellStart"/>
            <w:r w:rsidRPr="00884B46">
              <w:rPr>
                <w:rFonts w:ascii="Cambria" w:hAnsi="Cambria" w:cs="Calibri"/>
              </w:rPr>
              <w:t>studija</w:t>
            </w:r>
            <w:proofErr w:type="spellEnd"/>
          </w:p>
        </w:tc>
        <w:tc>
          <w:tcPr>
            <w:tcW w:w="2558"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84BEF25" w14:textId="4B3BA3A4" w:rsidR="00FC4004" w:rsidRPr="00A62FBD" w:rsidRDefault="00FC4004" w:rsidP="000F1A10">
            <w:pPr>
              <w:spacing w:after="0" w:line="240" w:lineRule="auto"/>
              <w:rPr>
                <w:rFonts w:ascii="Cambria" w:hAnsi="Cambria" w:cs="Calibri"/>
              </w:rPr>
            </w:pPr>
            <w:r>
              <w:rPr>
                <w:rFonts w:ascii="Cambria" w:hAnsi="Cambria" w:cs="Calibri"/>
              </w:rPr>
              <w:t>IV.</w:t>
            </w:r>
          </w:p>
        </w:tc>
      </w:tr>
      <w:tr w:rsidR="00FC4004" w:rsidRPr="00E45645" w14:paraId="12598DE7" w14:textId="77777777" w:rsidTr="00FC4004">
        <w:tc>
          <w:tcPr>
            <w:tcW w:w="297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0882BCF" w14:textId="77777777" w:rsidR="00FC4004" w:rsidRPr="00884B46" w:rsidRDefault="00FC4004" w:rsidP="000F1A10">
            <w:pPr>
              <w:spacing w:after="0" w:line="240" w:lineRule="auto"/>
              <w:rPr>
                <w:rFonts w:ascii="Cambria" w:hAnsi="Cambria" w:cs="Calibri"/>
              </w:rPr>
            </w:pPr>
            <w:proofErr w:type="spellStart"/>
            <w:r w:rsidRPr="00884B46">
              <w:rPr>
                <w:rFonts w:ascii="Cambria" w:hAnsi="Cambria" w:cs="Calibri"/>
              </w:rPr>
              <w:t>Mjesto</w:t>
            </w:r>
            <w:proofErr w:type="spellEnd"/>
            <w:r w:rsidRPr="00884B46">
              <w:rPr>
                <w:rFonts w:ascii="Cambria" w:hAnsi="Cambria" w:cs="Calibri"/>
              </w:rPr>
              <w:t xml:space="preserve"> </w:t>
            </w:r>
            <w:proofErr w:type="spellStart"/>
            <w:r w:rsidRPr="00884B46">
              <w:rPr>
                <w:rFonts w:ascii="Cambria" w:hAnsi="Cambria" w:cs="Calibri"/>
              </w:rPr>
              <w:t>izvođenja</w:t>
            </w:r>
            <w:proofErr w:type="spellEnd"/>
          </w:p>
        </w:tc>
        <w:tc>
          <w:tcPr>
            <w:tcW w:w="2653"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3058AA1" w14:textId="77777777" w:rsidR="00FC4004" w:rsidRPr="00884B46" w:rsidRDefault="00FC4004" w:rsidP="000F1A10">
            <w:pPr>
              <w:spacing w:after="0" w:line="240" w:lineRule="auto"/>
              <w:rPr>
                <w:rFonts w:ascii="Cambria" w:hAnsi="Cambria" w:cs="Calibri"/>
              </w:rPr>
            </w:pPr>
            <w:proofErr w:type="spellStart"/>
            <w:r w:rsidRPr="00884B46">
              <w:rPr>
                <w:rFonts w:ascii="Cambria" w:hAnsi="Cambria" w:cs="Calibri"/>
              </w:rPr>
              <w:t>učionica</w:t>
            </w:r>
            <w:proofErr w:type="spellEnd"/>
          </w:p>
        </w:tc>
        <w:tc>
          <w:tcPr>
            <w:tcW w:w="216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76A401A6" w14:textId="77777777" w:rsidR="00FC4004" w:rsidRPr="00884B46" w:rsidRDefault="00FC4004" w:rsidP="000F1A10">
            <w:pPr>
              <w:spacing w:after="0" w:line="240" w:lineRule="auto"/>
              <w:rPr>
                <w:rFonts w:ascii="Cambria" w:hAnsi="Cambria" w:cs="Calibri"/>
              </w:rPr>
            </w:pPr>
            <w:r w:rsidRPr="00884B46">
              <w:rPr>
                <w:rFonts w:ascii="Cambria" w:hAnsi="Cambria" w:cs="Calibri"/>
              </w:rPr>
              <w:t xml:space="preserve">Jezik </w:t>
            </w:r>
            <w:proofErr w:type="spellStart"/>
            <w:r w:rsidRPr="00884B46">
              <w:rPr>
                <w:rFonts w:ascii="Cambria" w:hAnsi="Cambria" w:cs="Calibri"/>
              </w:rPr>
              <w:t>izvođenja</w:t>
            </w:r>
            <w:proofErr w:type="spellEnd"/>
            <w:r w:rsidRPr="00884B46">
              <w:rPr>
                <w:rFonts w:ascii="Cambria" w:hAnsi="Cambria" w:cs="Calibri"/>
              </w:rPr>
              <w:t xml:space="preserve"> (</w:t>
            </w:r>
            <w:proofErr w:type="spellStart"/>
            <w:r w:rsidRPr="00884B46">
              <w:rPr>
                <w:rFonts w:ascii="Cambria" w:hAnsi="Cambria" w:cs="Calibri"/>
              </w:rPr>
              <w:t>drugi</w:t>
            </w:r>
            <w:proofErr w:type="spellEnd"/>
            <w:r w:rsidRPr="00884B46">
              <w:rPr>
                <w:rFonts w:ascii="Cambria" w:hAnsi="Cambria" w:cs="Calibri"/>
              </w:rPr>
              <w:t xml:space="preserve"> </w:t>
            </w:r>
            <w:proofErr w:type="spellStart"/>
            <w:r w:rsidRPr="00884B46">
              <w:rPr>
                <w:rFonts w:ascii="Cambria" w:hAnsi="Cambria" w:cs="Calibri"/>
              </w:rPr>
              <w:t>jezici</w:t>
            </w:r>
            <w:proofErr w:type="spellEnd"/>
            <w:r w:rsidRPr="00884B46">
              <w:rPr>
                <w:rFonts w:ascii="Cambria" w:hAnsi="Cambria" w:cs="Calibri"/>
              </w:rPr>
              <w:t>)</w:t>
            </w:r>
          </w:p>
        </w:tc>
        <w:tc>
          <w:tcPr>
            <w:tcW w:w="2558"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CE0423B" w14:textId="77777777" w:rsidR="00FC4004" w:rsidRPr="00A62FBD" w:rsidRDefault="00FC4004" w:rsidP="000F1A10">
            <w:pPr>
              <w:spacing w:after="0" w:line="240" w:lineRule="auto"/>
              <w:rPr>
                <w:rFonts w:ascii="Cambria" w:hAnsi="Cambria" w:cs="Calibri"/>
              </w:rPr>
            </w:pPr>
            <w:proofErr w:type="spellStart"/>
            <w:r w:rsidRPr="00A62FBD">
              <w:rPr>
                <w:rFonts w:ascii="Cambria" w:hAnsi="Cambria" w:cs="Calibri"/>
              </w:rPr>
              <w:t>hrvatski</w:t>
            </w:r>
            <w:proofErr w:type="spellEnd"/>
          </w:p>
        </w:tc>
      </w:tr>
      <w:tr w:rsidR="00FC4004" w:rsidRPr="00E45645" w14:paraId="0724797D" w14:textId="77777777" w:rsidTr="00B36357">
        <w:trPr>
          <w:trHeight w:val="287"/>
        </w:trPr>
        <w:tc>
          <w:tcPr>
            <w:tcW w:w="297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0A5A0CD" w14:textId="77777777" w:rsidR="00FC4004" w:rsidRPr="00884B46" w:rsidRDefault="00FC4004" w:rsidP="000F1A10">
            <w:pPr>
              <w:spacing w:after="0" w:line="240" w:lineRule="auto"/>
              <w:rPr>
                <w:rFonts w:ascii="Cambria" w:hAnsi="Cambria" w:cs="Calibri"/>
              </w:rPr>
            </w:pPr>
            <w:proofErr w:type="spellStart"/>
            <w:r w:rsidRPr="00884B46">
              <w:rPr>
                <w:rFonts w:ascii="Cambria" w:hAnsi="Cambria" w:cs="Calibri"/>
              </w:rPr>
              <w:t>Broj</w:t>
            </w:r>
            <w:proofErr w:type="spellEnd"/>
            <w:r w:rsidRPr="00884B46">
              <w:rPr>
                <w:rFonts w:ascii="Cambria" w:hAnsi="Cambria" w:cs="Calibri"/>
              </w:rPr>
              <w:t xml:space="preserve"> ECTS </w:t>
            </w:r>
            <w:proofErr w:type="spellStart"/>
            <w:r w:rsidRPr="00884B46">
              <w:rPr>
                <w:rFonts w:ascii="Cambria" w:hAnsi="Cambria" w:cs="Calibri"/>
              </w:rPr>
              <w:t>bodova</w:t>
            </w:r>
            <w:proofErr w:type="spellEnd"/>
          </w:p>
        </w:tc>
        <w:tc>
          <w:tcPr>
            <w:tcW w:w="2653"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D168FB2" w14:textId="7ACFFC26" w:rsidR="00FC4004" w:rsidRPr="00884B46" w:rsidRDefault="00FC4004" w:rsidP="000F1A10">
            <w:pPr>
              <w:spacing w:after="0" w:line="240" w:lineRule="auto"/>
              <w:rPr>
                <w:rFonts w:ascii="Cambria" w:hAnsi="Cambria" w:cs="Calibri"/>
              </w:rPr>
            </w:pPr>
            <w:r>
              <w:rPr>
                <w:rFonts w:ascii="Cambria" w:hAnsi="Cambria" w:cs="Calibri"/>
              </w:rPr>
              <w:t>5</w:t>
            </w:r>
          </w:p>
        </w:tc>
        <w:tc>
          <w:tcPr>
            <w:tcW w:w="216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2593747C" w14:textId="77777777" w:rsidR="00FC4004" w:rsidRPr="00884B46" w:rsidRDefault="00FC4004" w:rsidP="000F1A10">
            <w:pPr>
              <w:spacing w:after="0" w:line="240" w:lineRule="auto"/>
              <w:rPr>
                <w:rFonts w:ascii="Cambria" w:hAnsi="Cambria" w:cs="Calibri"/>
              </w:rPr>
            </w:pPr>
            <w:proofErr w:type="spellStart"/>
            <w:r w:rsidRPr="00884B46">
              <w:rPr>
                <w:rFonts w:ascii="Cambria" w:hAnsi="Cambria" w:cs="Calibri"/>
              </w:rPr>
              <w:t>Broj</w:t>
            </w:r>
            <w:proofErr w:type="spellEnd"/>
            <w:r w:rsidRPr="00884B46">
              <w:rPr>
                <w:rFonts w:ascii="Cambria" w:hAnsi="Cambria" w:cs="Calibri"/>
              </w:rPr>
              <w:t xml:space="preserve"> sati u </w:t>
            </w:r>
            <w:proofErr w:type="spellStart"/>
            <w:r w:rsidRPr="00884B46">
              <w:rPr>
                <w:rFonts w:ascii="Cambria" w:hAnsi="Cambria" w:cs="Calibri"/>
              </w:rPr>
              <w:t>semestru</w:t>
            </w:r>
            <w:proofErr w:type="spellEnd"/>
          </w:p>
        </w:tc>
        <w:tc>
          <w:tcPr>
            <w:tcW w:w="2558"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4E88434" w14:textId="61C83FE5" w:rsidR="00FC4004" w:rsidRPr="00A62FBD" w:rsidRDefault="00FC4004" w:rsidP="000F1A10">
            <w:pPr>
              <w:spacing w:after="0" w:line="240" w:lineRule="auto"/>
              <w:rPr>
                <w:rFonts w:ascii="Cambria" w:hAnsi="Cambria" w:cs="Calibri"/>
              </w:rPr>
            </w:pPr>
            <w:r>
              <w:rPr>
                <w:rFonts w:ascii="Cambria" w:hAnsi="Cambria" w:cs="Calibri"/>
              </w:rPr>
              <w:t>30</w:t>
            </w:r>
            <w:r w:rsidRPr="00A62FBD">
              <w:rPr>
                <w:rFonts w:ascii="Cambria" w:hAnsi="Cambria" w:cs="Calibri"/>
              </w:rPr>
              <w:t xml:space="preserve">P – </w:t>
            </w:r>
            <w:r>
              <w:rPr>
                <w:rFonts w:ascii="Cambria" w:hAnsi="Cambria" w:cs="Calibri"/>
              </w:rPr>
              <w:t>0S – 15V</w:t>
            </w:r>
          </w:p>
        </w:tc>
      </w:tr>
      <w:tr w:rsidR="00FC4004" w:rsidRPr="00D0399C" w14:paraId="5F896B91" w14:textId="77777777" w:rsidTr="00FC4004">
        <w:trPr>
          <w:trHeight w:val="670"/>
        </w:trPr>
        <w:tc>
          <w:tcPr>
            <w:tcW w:w="297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D556589" w14:textId="77777777" w:rsidR="00FC4004" w:rsidRPr="00161325" w:rsidRDefault="00FC4004" w:rsidP="000F1A10">
            <w:pPr>
              <w:spacing w:after="0" w:line="240" w:lineRule="auto"/>
              <w:rPr>
                <w:rFonts w:ascii="Cambria" w:hAnsi="Cambria" w:cs="Calibri"/>
                <w:lang w:val="it-IT"/>
              </w:rPr>
            </w:pPr>
            <w:proofErr w:type="spellStart"/>
            <w:r w:rsidRPr="00161325">
              <w:rPr>
                <w:rFonts w:ascii="Cambria" w:hAnsi="Cambria" w:cs="Calibri"/>
                <w:lang w:val="it-IT"/>
              </w:rPr>
              <w:t>Preduvjeti</w:t>
            </w:r>
            <w:proofErr w:type="spellEnd"/>
            <w:r w:rsidRPr="00161325">
              <w:rPr>
                <w:rFonts w:ascii="Cambria" w:hAnsi="Cambria" w:cs="Calibri"/>
                <w:lang w:val="it-IT"/>
              </w:rPr>
              <w:t xml:space="preserve"> za </w:t>
            </w:r>
            <w:proofErr w:type="spellStart"/>
            <w:r w:rsidRPr="00161325">
              <w:rPr>
                <w:rFonts w:ascii="Cambria" w:hAnsi="Cambria" w:cs="Calibri"/>
                <w:lang w:val="it-IT"/>
              </w:rPr>
              <w:t>upis</w:t>
            </w:r>
            <w:proofErr w:type="spellEnd"/>
            <w:r w:rsidRPr="00161325">
              <w:rPr>
                <w:rFonts w:ascii="Cambria" w:hAnsi="Cambria" w:cs="Calibri"/>
                <w:lang w:val="it-IT"/>
              </w:rPr>
              <w:t xml:space="preserve"> i za </w:t>
            </w:r>
            <w:proofErr w:type="spellStart"/>
            <w:r w:rsidRPr="00161325">
              <w:rPr>
                <w:rFonts w:ascii="Cambria" w:hAnsi="Cambria" w:cs="Calibri"/>
                <w:lang w:val="it-IT"/>
              </w:rPr>
              <w:t>svladavanje</w:t>
            </w:r>
            <w:proofErr w:type="spellEnd"/>
          </w:p>
        </w:tc>
        <w:tc>
          <w:tcPr>
            <w:tcW w:w="737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0250A4A" w14:textId="77777777" w:rsidR="00FC4004" w:rsidRPr="00161325" w:rsidRDefault="00FC4004" w:rsidP="000F1A10">
            <w:pPr>
              <w:spacing w:after="0" w:line="240" w:lineRule="auto"/>
              <w:rPr>
                <w:rFonts w:ascii="Cambria" w:hAnsi="Cambria" w:cs="Calibri"/>
                <w:lang w:val="it-IT"/>
              </w:rPr>
            </w:pPr>
            <w:proofErr w:type="spellStart"/>
            <w:r w:rsidRPr="00161325">
              <w:rPr>
                <w:rFonts w:ascii="Cambria" w:hAnsi="Cambria" w:cs="Calibri"/>
                <w:lang w:val="it-IT"/>
              </w:rPr>
              <w:t>Temeljna</w:t>
            </w:r>
            <w:proofErr w:type="spellEnd"/>
            <w:r w:rsidRPr="00161325">
              <w:rPr>
                <w:rFonts w:ascii="Cambria" w:hAnsi="Cambria" w:cs="Calibri"/>
                <w:lang w:val="it-IT"/>
              </w:rPr>
              <w:t xml:space="preserve"> </w:t>
            </w:r>
            <w:proofErr w:type="spellStart"/>
            <w:r w:rsidRPr="00161325">
              <w:rPr>
                <w:rFonts w:ascii="Cambria" w:hAnsi="Cambria" w:cs="Calibri"/>
                <w:lang w:val="it-IT"/>
              </w:rPr>
              <w:t>znanja</w:t>
            </w:r>
            <w:proofErr w:type="spellEnd"/>
            <w:r w:rsidRPr="00161325">
              <w:rPr>
                <w:rFonts w:ascii="Cambria" w:hAnsi="Cambria" w:cs="Calibri"/>
                <w:lang w:val="it-IT"/>
              </w:rPr>
              <w:t xml:space="preserve"> </w:t>
            </w:r>
            <w:proofErr w:type="spellStart"/>
            <w:r w:rsidRPr="00161325">
              <w:rPr>
                <w:rFonts w:ascii="Cambria" w:hAnsi="Cambria" w:cs="Calibri"/>
                <w:lang w:val="it-IT"/>
              </w:rPr>
              <w:t>iz</w:t>
            </w:r>
            <w:proofErr w:type="spellEnd"/>
            <w:r w:rsidRPr="00161325">
              <w:rPr>
                <w:rFonts w:ascii="Cambria" w:hAnsi="Cambria" w:cs="Calibri"/>
                <w:lang w:val="it-IT"/>
              </w:rPr>
              <w:t xml:space="preserve"> </w:t>
            </w:r>
            <w:proofErr w:type="spellStart"/>
            <w:r w:rsidRPr="00161325">
              <w:rPr>
                <w:rFonts w:ascii="Cambria" w:hAnsi="Cambria" w:cs="Calibri"/>
                <w:lang w:val="it-IT"/>
              </w:rPr>
              <w:t>elementarne</w:t>
            </w:r>
            <w:proofErr w:type="spellEnd"/>
            <w:r w:rsidRPr="00161325">
              <w:rPr>
                <w:rFonts w:ascii="Cambria" w:hAnsi="Cambria" w:cs="Calibri"/>
                <w:lang w:val="it-IT"/>
              </w:rPr>
              <w:t xml:space="preserve"> </w:t>
            </w:r>
            <w:proofErr w:type="spellStart"/>
            <w:r w:rsidRPr="00161325">
              <w:rPr>
                <w:rFonts w:ascii="Cambria" w:hAnsi="Cambria" w:cs="Calibri"/>
                <w:lang w:val="it-IT"/>
              </w:rPr>
              <w:t>matematike</w:t>
            </w:r>
            <w:proofErr w:type="spellEnd"/>
            <w:r w:rsidRPr="00161325">
              <w:rPr>
                <w:rFonts w:ascii="Cambria" w:hAnsi="Cambria" w:cs="Calibri"/>
                <w:lang w:val="it-IT"/>
              </w:rPr>
              <w:t xml:space="preserve"> </w:t>
            </w:r>
            <w:proofErr w:type="spellStart"/>
            <w:r w:rsidRPr="00161325">
              <w:rPr>
                <w:rFonts w:ascii="Cambria" w:hAnsi="Cambria" w:cs="Calibri"/>
                <w:lang w:val="it-IT"/>
              </w:rPr>
              <w:t>usvojena</w:t>
            </w:r>
            <w:proofErr w:type="spellEnd"/>
            <w:r w:rsidRPr="00161325">
              <w:rPr>
                <w:rFonts w:ascii="Cambria" w:hAnsi="Cambria" w:cs="Calibri"/>
                <w:lang w:val="it-IT"/>
              </w:rPr>
              <w:t xml:space="preserve"> </w:t>
            </w:r>
            <w:proofErr w:type="spellStart"/>
            <w:r w:rsidRPr="00161325">
              <w:rPr>
                <w:rFonts w:ascii="Cambria" w:hAnsi="Cambria" w:cs="Calibri"/>
                <w:lang w:val="it-IT"/>
              </w:rPr>
              <w:t>tijekom</w:t>
            </w:r>
            <w:proofErr w:type="spellEnd"/>
            <w:r w:rsidRPr="00161325">
              <w:rPr>
                <w:rFonts w:ascii="Cambria" w:hAnsi="Cambria" w:cs="Calibri"/>
                <w:lang w:val="it-IT"/>
              </w:rPr>
              <w:t xml:space="preserve"> </w:t>
            </w:r>
            <w:proofErr w:type="spellStart"/>
            <w:r w:rsidRPr="00161325">
              <w:rPr>
                <w:rFonts w:ascii="Cambria" w:hAnsi="Cambria" w:cs="Calibri"/>
                <w:lang w:val="it-IT"/>
              </w:rPr>
              <w:t>osnovnog</w:t>
            </w:r>
            <w:proofErr w:type="spellEnd"/>
            <w:r w:rsidRPr="00161325">
              <w:rPr>
                <w:rFonts w:ascii="Cambria" w:hAnsi="Cambria" w:cs="Calibri"/>
                <w:lang w:val="it-IT"/>
              </w:rPr>
              <w:t xml:space="preserve"> i </w:t>
            </w:r>
            <w:proofErr w:type="spellStart"/>
            <w:r w:rsidRPr="00161325">
              <w:rPr>
                <w:rFonts w:ascii="Cambria" w:hAnsi="Cambria" w:cs="Calibri"/>
                <w:lang w:val="it-IT"/>
              </w:rPr>
              <w:t>srednjeg</w:t>
            </w:r>
            <w:proofErr w:type="spellEnd"/>
            <w:r w:rsidRPr="00161325">
              <w:rPr>
                <w:rFonts w:ascii="Cambria" w:hAnsi="Cambria" w:cs="Calibri"/>
                <w:lang w:val="it-IT"/>
              </w:rPr>
              <w:t xml:space="preserve"> </w:t>
            </w:r>
            <w:proofErr w:type="spellStart"/>
            <w:r w:rsidRPr="00161325">
              <w:rPr>
                <w:rFonts w:ascii="Cambria" w:hAnsi="Cambria" w:cs="Calibri"/>
                <w:lang w:val="it-IT"/>
              </w:rPr>
              <w:t>obrazovanja</w:t>
            </w:r>
            <w:proofErr w:type="spellEnd"/>
            <w:r w:rsidRPr="00161325">
              <w:rPr>
                <w:rFonts w:ascii="Cambria" w:hAnsi="Cambria" w:cs="Calibri"/>
                <w:lang w:val="it-IT"/>
              </w:rPr>
              <w:t xml:space="preserve">. </w:t>
            </w:r>
            <w:proofErr w:type="spellStart"/>
            <w:r w:rsidRPr="00161325">
              <w:rPr>
                <w:rFonts w:ascii="Cambria" w:hAnsi="Cambria" w:cs="Calibri"/>
                <w:lang w:val="it-IT"/>
              </w:rPr>
              <w:t>Temeljna</w:t>
            </w:r>
            <w:proofErr w:type="spellEnd"/>
            <w:r w:rsidRPr="00161325">
              <w:rPr>
                <w:rFonts w:ascii="Cambria" w:hAnsi="Cambria" w:cs="Calibri"/>
                <w:lang w:val="it-IT"/>
              </w:rPr>
              <w:t xml:space="preserve"> </w:t>
            </w:r>
            <w:proofErr w:type="spellStart"/>
            <w:r w:rsidRPr="00161325">
              <w:rPr>
                <w:rFonts w:ascii="Cambria" w:hAnsi="Cambria" w:cs="Calibri"/>
                <w:lang w:val="it-IT"/>
              </w:rPr>
              <w:t>znanja</w:t>
            </w:r>
            <w:proofErr w:type="spellEnd"/>
            <w:r w:rsidRPr="00161325">
              <w:rPr>
                <w:rFonts w:ascii="Cambria" w:hAnsi="Cambria" w:cs="Calibri"/>
                <w:lang w:val="it-IT"/>
              </w:rPr>
              <w:t xml:space="preserve"> </w:t>
            </w:r>
            <w:proofErr w:type="spellStart"/>
            <w:r w:rsidRPr="00161325">
              <w:rPr>
                <w:rFonts w:ascii="Cambria" w:hAnsi="Cambria" w:cs="Calibri"/>
                <w:lang w:val="it-IT"/>
              </w:rPr>
              <w:t>iz</w:t>
            </w:r>
            <w:proofErr w:type="spellEnd"/>
            <w:r w:rsidRPr="00161325">
              <w:rPr>
                <w:rFonts w:ascii="Cambria" w:hAnsi="Cambria" w:cs="Calibri"/>
                <w:lang w:val="it-IT"/>
              </w:rPr>
              <w:t xml:space="preserve"> </w:t>
            </w:r>
            <w:proofErr w:type="spellStart"/>
            <w:r w:rsidRPr="00161325">
              <w:rPr>
                <w:rFonts w:ascii="Cambria" w:hAnsi="Cambria" w:cs="Calibri"/>
                <w:lang w:val="it-IT"/>
              </w:rPr>
              <w:t>pedagogije</w:t>
            </w:r>
            <w:proofErr w:type="spellEnd"/>
            <w:r w:rsidRPr="00161325">
              <w:rPr>
                <w:rFonts w:ascii="Cambria" w:hAnsi="Cambria" w:cs="Calibri"/>
                <w:lang w:val="it-IT"/>
              </w:rPr>
              <w:t xml:space="preserve"> i </w:t>
            </w:r>
            <w:proofErr w:type="spellStart"/>
            <w:r w:rsidRPr="00161325">
              <w:rPr>
                <w:rFonts w:ascii="Cambria" w:hAnsi="Cambria" w:cs="Calibri"/>
                <w:lang w:val="it-IT"/>
              </w:rPr>
              <w:t>didaktike</w:t>
            </w:r>
            <w:proofErr w:type="spellEnd"/>
            <w:r w:rsidRPr="00161325">
              <w:rPr>
                <w:rFonts w:ascii="Cambria" w:hAnsi="Cambria" w:cs="Calibri"/>
                <w:lang w:val="it-IT"/>
              </w:rPr>
              <w:t xml:space="preserve">. </w:t>
            </w:r>
          </w:p>
          <w:p w14:paraId="5808AAB3" w14:textId="77777777" w:rsidR="00FC4004" w:rsidRPr="00161325" w:rsidRDefault="00FC4004" w:rsidP="000F1A10">
            <w:pPr>
              <w:spacing w:after="0" w:line="240" w:lineRule="auto"/>
              <w:rPr>
                <w:rFonts w:ascii="Cambria" w:hAnsi="Cambria" w:cs="Calibri"/>
                <w:lang w:val="it-IT"/>
              </w:rPr>
            </w:pPr>
            <w:proofErr w:type="spellStart"/>
            <w:r w:rsidRPr="00161325">
              <w:rPr>
                <w:rFonts w:ascii="Cambria" w:hAnsi="Cambria" w:cs="Calibri"/>
                <w:lang w:val="it-IT"/>
              </w:rPr>
              <w:t>Kako</w:t>
            </w:r>
            <w:proofErr w:type="spellEnd"/>
            <w:r w:rsidRPr="00161325">
              <w:rPr>
                <w:rFonts w:ascii="Cambria" w:hAnsi="Cambria" w:cs="Calibri"/>
                <w:lang w:val="it-IT"/>
              </w:rPr>
              <w:t xml:space="preserve"> bi se </w:t>
            </w:r>
            <w:proofErr w:type="spellStart"/>
            <w:r w:rsidRPr="00161325">
              <w:rPr>
                <w:rFonts w:ascii="Cambria" w:hAnsi="Cambria" w:cs="Calibri"/>
                <w:lang w:val="it-IT"/>
              </w:rPr>
              <w:t>pristupilo</w:t>
            </w:r>
            <w:proofErr w:type="spellEnd"/>
            <w:r w:rsidRPr="00161325">
              <w:rPr>
                <w:rFonts w:ascii="Cambria" w:hAnsi="Cambria" w:cs="Calibri"/>
                <w:lang w:val="it-IT"/>
              </w:rPr>
              <w:t xml:space="preserve"> </w:t>
            </w:r>
            <w:proofErr w:type="spellStart"/>
            <w:r w:rsidRPr="00161325">
              <w:rPr>
                <w:rFonts w:ascii="Cambria" w:hAnsi="Cambria" w:cs="Calibri"/>
                <w:lang w:val="it-IT"/>
              </w:rPr>
              <w:t>polaganju</w:t>
            </w:r>
            <w:proofErr w:type="spellEnd"/>
            <w:r w:rsidRPr="00161325">
              <w:rPr>
                <w:rFonts w:ascii="Cambria" w:hAnsi="Cambria" w:cs="Calibri"/>
                <w:lang w:val="it-IT"/>
              </w:rPr>
              <w:t xml:space="preserve"> </w:t>
            </w:r>
            <w:proofErr w:type="spellStart"/>
            <w:r w:rsidRPr="00161325">
              <w:rPr>
                <w:rFonts w:ascii="Cambria" w:hAnsi="Cambria" w:cs="Calibri"/>
                <w:lang w:val="it-IT"/>
              </w:rPr>
              <w:t>ispita</w:t>
            </w:r>
            <w:proofErr w:type="spellEnd"/>
            <w:r w:rsidRPr="00161325">
              <w:rPr>
                <w:rFonts w:ascii="Cambria" w:hAnsi="Cambria" w:cs="Calibri"/>
                <w:lang w:val="it-IT"/>
              </w:rPr>
              <w:t xml:space="preserve">, </w:t>
            </w:r>
            <w:proofErr w:type="spellStart"/>
            <w:r w:rsidRPr="00161325">
              <w:rPr>
                <w:rFonts w:ascii="Cambria" w:hAnsi="Cambria" w:cs="Calibri"/>
                <w:lang w:val="it-IT"/>
              </w:rPr>
              <w:t>potrebno</w:t>
            </w:r>
            <w:proofErr w:type="spellEnd"/>
            <w:r w:rsidRPr="00161325">
              <w:rPr>
                <w:rFonts w:ascii="Cambria" w:hAnsi="Cambria" w:cs="Calibri"/>
                <w:lang w:val="it-IT"/>
              </w:rPr>
              <w:t xml:space="preserve"> je imati </w:t>
            </w:r>
            <w:proofErr w:type="spellStart"/>
            <w:r w:rsidRPr="00161325">
              <w:rPr>
                <w:rFonts w:ascii="Cambria" w:hAnsi="Cambria" w:cs="Calibri"/>
                <w:lang w:val="it-IT"/>
              </w:rPr>
              <w:t>položene</w:t>
            </w:r>
            <w:proofErr w:type="spellEnd"/>
            <w:r w:rsidRPr="00161325">
              <w:rPr>
                <w:rFonts w:ascii="Cambria" w:hAnsi="Cambria" w:cs="Calibri"/>
                <w:lang w:val="it-IT"/>
              </w:rPr>
              <w:t xml:space="preserve"> </w:t>
            </w:r>
            <w:proofErr w:type="spellStart"/>
            <w:r w:rsidRPr="00161325">
              <w:rPr>
                <w:rFonts w:ascii="Cambria" w:hAnsi="Cambria" w:cs="Calibri"/>
                <w:lang w:val="it-IT"/>
              </w:rPr>
              <w:t>kolegije</w:t>
            </w:r>
            <w:proofErr w:type="spellEnd"/>
            <w:r w:rsidRPr="00161325">
              <w:rPr>
                <w:rFonts w:ascii="Cambria" w:hAnsi="Cambria" w:cs="Calibri"/>
                <w:lang w:val="it-IT"/>
              </w:rPr>
              <w:t xml:space="preserve"> </w:t>
            </w:r>
            <w:proofErr w:type="spellStart"/>
            <w:r w:rsidRPr="00161325">
              <w:rPr>
                <w:rFonts w:ascii="Cambria" w:hAnsi="Cambria" w:cs="Calibri"/>
                <w:lang w:val="it-IT"/>
              </w:rPr>
              <w:t>druge</w:t>
            </w:r>
            <w:proofErr w:type="spellEnd"/>
            <w:r w:rsidRPr="00161325">
              <w:rPr>
                <w:rFonts w:ascii="Cambria" w:hAnsi="Cambria" w:cs="Calibri"/>
                <w:lang w:val="it-IT"/>
              </w:rPr>
              <w:t xml:space="preserve"> godine </w:t>
            </w:r>
            <w:proofErr w:type="spellStart"/>
            <w:r w:rsidRPr="00161325">
              <w:rPr>
                <w:rFonts w:ascii="Cambria" w:hAnsi="Cambria" w:cs="Calibri"/>
                <w:lang w:val="it-IT"/>
              </w:rPr>
              <w:t>studija</w:t>
            </w:r>
            <w:proofErr w:type="spellEnd"/>
            <w:r w:rsidRPr="00161325">
              <w:rPr>
                <w:rFonts w:ascii="Cambria" w:hAnsi="Cambria" w:cs="Calibri"/>
                <w:lang w:val="it-IT"/>
              </w:rPr>
              <w:t xml:space="preserve">: </w:t>
            </w:r>
            <w:proofErr w:type="spellStart"/>
            <w:r w:rsidRPr="00161325">
              <w:rPr>
                <w:rFonts w:ascii="Cambria" w:hAnsi="Cambria" w:cs="Calibri"/>
                <w:lang w:val="it-IT"/>
              </w:rPr>
              <w:t>Osnove</w:t>
            </w:r>
            <w:proofErr w:type="spellEnd"/>
            <w:r w:rsidRPr="00161325">
              <w:rPr>
                <w:rFonts w:ascii="Cambria" w:hAnsi="Cambria" w:cs="Calibri"/>
                <w:lang w:val="it-IT"/>
              </w:rPr>
              <w:t xml:space="preserve"> </w:t>
            </w:r>
            <w:proofErr w:type="spellStart"/>
            <w:r w:rsidRPr="00161325">
              <w:rPr>
                <w:rFonts w:ascii="Cambria" w:hAnsi="Cambria" w:cs="Calibri"/>
                <w:lang w:val="it-IT"/>
              </w:rPr>
              <w:t>matematike</w:t>
            </w:r>
            <w:proofErr w:type="spellEnd"/>
            <w:r w:rsidRPr="00161325">
              <w:rPr>
                <w:rFonts w:ascii="Cambria" w:hAnsi="Cambria" w:cs="Calibri"/>
                <w:lang w:val="it-IT"/>
              </w:rPr>
              <w:t xml:space="preserve">, </w:t>
            </w:r>
            <w:proofErr w:type="spellStart"/>
            <w:r w:rsidRPr="00161325">
              <w:rPr>
                <w:rFonts w:ascii="Cambria" w:hAnsi="Cambria" w:cs="Calibri"/>
                <w:lang w:val="it-IT"/>
              </w:rPr>
              <w:t>Elementarna</w:t>
            </w:r>
            <w:proofErr w:type="spellEnd"/>
            <w:r w:rsidRPr="00161325">
              <w:rPr>
                <w:rFonts w:ascii="Cambria" w:hAnsi="Cambria" w:cs="Calibri"/>
                <w:lang w:val="it-IT"/>
              </w:rPr>
              <w:t xml:space="preserve"> </w:t>
            </w:r>
            <w:proofErr w:type="spellStart"/>
            <w:r w:rsidRPr="00161325">
              <w:rPr>
                <w:rFonts w:ascii="Cambria" w:hAnsi="Cambria" w:cs="Calibri"/>
                <w:lang w:val="it-IT"/>
              </w:rPr>
              <w:t>geometrija</w:t>
            </w:r>
            <w:proofErr w:type="spellEnd"/>
            <w:r w:rsidRPr="00161325">
              <w:rPr>
                <w:rFonts w:ascii="Cambria" w:hAnsi="Cambria" w:cs="Calibri"/>
                <w:lang w:val="it-IT"/>
              </w:rPr>
              <w:t xml:space="preserve"> i </w:t>
            </w:r>
            <w:proofErr w:type="spellStart"/>
            <w:r w:rsidRPr="00161325">
              <w:rPr>
                <w:rFonts w:ascii="Cambria" w:hAnsi="Cambria" w:cs="Calibri"/>
                <w:lang w:val="it-IT"/>
              </w:rPr>
              <w:t>Didaktika</w:t>
            </w:r>
            <w:proofErr w:type="spellEnd"/>
            <w:r w:rsidRPr="00161325">
              <w:rPr>
                <w:rFonts w:ascii="Cambria" w:hAnsi="Cambria" w:cs="Calibri"/>
                <w:lang w:val="it-IT"/>
              </w:rPr>
              <w:t xml:space="preserve">. </w:t>
            </w:r>
          </w:p>
        </w:tc>
      </w:tr>
      <w:tr w:rsidR="00FC4004" w:rsidRPr="00D0399C" w14:paraId="4A560D04" w14:textId="77777777" w:rsidTr="00FC4004">
        <w:tc>
          <w:tcPr>
            <w:tcW w:w="297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5F09203" w14:textId="77777777" w:rsidR="00FC4004" w:rsidRPr="00A62FBD" w:rsidRDefault="00FC4004" w:rsidP="000F1A10">
            <w:pPr>
              <w:spacing w:after="0" w:line="240" w:lineRule="auto"/>
              <w:rPr>
                <w:rFonts w:ascii="Cambria" w:hAnsi="Cambria" w:cs="Calibri"/>
              </w:rPr>
            </w:pPr>
            <w:proofErr w:type="spellStart"/>
            <w:r w:rsidRPr="00A62FBD">
              <w:rPr>
                <w:rFonts w:ascii="Cambria" w:hAnsi="Cambria" w:cs="Calibri"/>
              </w:rPr>
              <w:t>Korelativnost</w:t>
            </w:r>
            <w:proofErr w:type="spellEnd"/>
          </w:p>
        </w:tc>
        <w:tc>
          <w:tcPr>
            <w:tcW w:w="737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91E4BFD" w14:textId="77777777" w:rsidR="00FC4004" w:rsidRPr="00161325" w:rsidRDefault="00FC4004" w:rsidP="000F1A10">
            <w:pPr>
              <w:spacing w:after="0" w:line="240" w:lineRule="auto"/>
              <w:rPr>
                <w:rFonts w:ascii="Cambria" w:hAnsi="Cambria" w:cs="Calibri"/>
                <w:lang w:val="it-IT"/>
              </w:rPr>
            </w:pPr>
            <w:proofErr w:type="spellStart"/>
            <w:r w:rsidRPr="00161325">
              <w:rPr>
                <w:rFonts w:ascii="Cambria" w:hAnsi="Cambria" w:cs="Calibri"/>
                <w:lang w:val="it-IT"/>
              </w:rPr>
              <w:t>Metodika</w:t>
            </w:r>
            <w:proofErr w:type="spellEnd"/>
            <w:r w:rsidRPr="00161325">
              <w:rPr>
                <w:rFonts w:ascii="Cambria" w:hAnsi="Cambria" w:cs="Calibri"/>
                <w:lang w:val="it-IT"/>
              </w:rPr>
              <w:t xml:space="preserve"> </w:t>
            </w:r>
            <w:proofErr w:type="spellStart"/>
            <w:r w:rsidRPr="00161325">
              <w:rPr>
                <w:rFonts w:ascii="Cambria" w:hAnsi="Cambria" w:cs="Calibri"/>
                <w:lang w:val="it-IT"/>
              </w:rPr>
              <w:t>nastave</w:t>
            </w:r>
            <w:proofErr w:type="spellEnd"/>
            <w:r w:rsidRPr="00161325">
              <w:rPr>
                <w:rFonts w:ascii="Cambria" w:hAnsi="Cambria" w:cs="Calibri"/>
                <w:lang w:val="it-IT"/>
              </w:rPr>
              <w:t xml:space="preserve"> </w:t>
            </w:r>
            <w:proofErr w:type="spellStart"/>
            <w:r w:rsidRPr="00161325">
              <w:rPr>
                <w:rFonts w:ascii="Cambria" w:hAnsi="Cambria" w:cs="Calibri"/>
                <w:lang w:val="it-IT"/>
              </w:rPr>
              <w:t>matematike</w:t>
            </w:r>
            <w:proofErr w:type="spellEnd"/>
            <w:r w:rsidRPr="00161325">
              <w:rPr>
                <w:rFonts w:ascii="Cambria" w:hAnsi="Cambria" w:cs="Calibri"/>
                <w:lang w:val="it-IT"/>
              </w:rPr>
              <w:t xml:space="preserve"> II i </w:t>
            </w:r>
            <w:proofErr w:type="spellStart"/>
            <w:r w:rsidRPr="00161325">
              <w:rPr>
                <w:rFonts w:ascii="Cambria" w:hAnsi="Cambria" w:cs="Calibri"/>
                <w:lang w:val="it-IT"/>
              </w:rPr>
              <w:t>Metodika</w:t>
            </w:r>
            <w:proofErr w:type="spellEnd"/>
            <w:r w:rsidRPr="00161325">
              <w:rPr>
                <w:rFonts w:ascii="Cambria" w:hAnsi="Cambria" w:cs="Calibri"/>
                <w:lang w:val="it-IT"/>
              </w:rPr>
              <w:t xml:space="preserve"> </w:t>
            </w:r>
            <w:proofErr w:type="spellStart"/>
            <w:r w:rsidRPr="00161325">
              <w:rPr>
                <w:rFonts w:ascii="Cambria" w:hAnsi="Cambria" w:cs="Calibri"/>
                <w:lang w:val="it-IT"/>
              </w:rPr>
              <w:t>nastave</w:t>
            </w:r>
            <w:proofErr w:type="spellEnd"/>
            <w:r w:rsidRPr="00161325">
              <w:rPr>
                <w:rFonts w:ascii="Cambria" w:hAnsi="Cambria" w:cs="Calibri"/>
                <w:lang w:val="it-IT"/>
              </w:rPr>
              <w:t xml:space="preserve"> </w:t>
            </w:r>
            <w:proofErr w:type="spellStart"/>
            <w:r w:rsidRPr="00161325">
              <w:rPr>
                <w:rFonts w:ascii="Cambria" w:hAnsi="Cambria" w:cs="Calibri"/>
                <w:lang w:val="it-IT"/>
              </w:rPr>
              <w:t>matematike</w:t>
            </w:r>
            <w:proofErr w:type="spellEnd"/>
            <w:r w:rsidRPr="00161325">
              <w:rPr>
                <w:rFonts w:ascii="Cambria" w:hAnsi="Cambria" w:cs="Calibri"/>
                <w:lang w:val="it-IT"/>
              </w:rPr>
              <w:t xml:space="preserve"> III.</w:t>
            </w:r>
          </w:p>
        </w:tc>
      </w:tr>
      <w:tr w:rsidR="00FC4004" w:rsidRPr="00E45645" w14:paraId="04183522" w14:textId="77777777" w:rsidTr="00FC4004">
        <w:tc>
          <w:tcPr>
            <w:tcW w:w="297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23E1FB4" w14:textId="77777777" w:rsidR="00FC4004" w:rsidRPr="00A62FBD" w:rsidRDefault="00FC4004" w:rsidP="000F1A10">
            <w:pPr>
              <w:spacing w:after="0" w:line="240" w:lineRule="auto"/>
              <w:rPr>
                <w:rFonts w:ascii="Cambria" w:hAnsi="Cambria" w:cs="Calibri"/>
              </w:rPr>
            </w:pPr>
            <w:proofErr w:type="spellStart"/>
            <w:r w:rsidRPr="00A62FBD">
              <w:rPr>
                <w:rFonts w:ascii="Cambria" w:hAnsi="Cambria" w:cs="Calibri"/>
              </w:rPr>
              <w:t>Cilj</w:t>
            </w:r>
            <w:proofErr w:type="spellEnd"/>
            <w:r w:rsidRPr="00A62FBD">
              <w:rPr>
                <w:rFonts w:ascii="Cambria" w:hAnsi="Cambria" w:cs="Calibri"/>
              </w:rPr>
              <w:t xml:space="preserve"> </w:t>
            </w:r>
            <w:proofErr w:type="spellStart"/>
            <w:r w:rsidRPr="00A62FBD">
              <w:rPr>
                <w:rFonts w:ascii="Cambria" w:hAnsi="Cambria" w:cs="Calibri"/>
              </w:rPr>
              <w:t>kolegija</w:t>
            </w:r>
            <w:proofErr w:type="spellEnd"/>
            <w:r w:rsidRPr="00A62FBD">
              <w:rPr>
                <w:rFonts w:ascii="Cambria" w:hAnsi="Cambria" w:cs="Calibri"/>
              </w:rPr>
              <w:t xml:space="preserve"> </w:t>
            </w:r>
          </w:p>
        </w:tc>
        <w:tc>
          <w:tcPr>
            <w:tcW w:w="737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45320A6" w14:textId="77777777" w:rsidR="00FC4004" w:rsidRPr="00A62FBD" w:rsidRDefault="00FC4004" w:rsidP="000F1A10">
            <w:pPr>
              <w:autoSpaceDE w:val="0"/>
              <w:autoSpaceDN w:val="0"/>
              <w:adjustRightInd w:val="0"/>
              <w:spacing w:after="0" w:line="240" w:lineRule="auto"/>
              <w:rPr>
                <w:rFonts w:ascii="Cambria" w:hAnsi="Cambria" w:cs="Calibri"/>
              </w:rPr>
            </w:pPr>
            <w:proofErr w:type="spellStart"/>
            <w:r>
              <w:rPr>
                <w:rFonts w:ascii="Cambria" w:hAnsi="Cambria" w:cs="Calibri"/>
              </w:rPr>
              <w:t>u</w:t>
            </w:r>
            <w:r w:rsidRPr="00A62FBD">
              <w:rPr>
                <w:rFonts w:ascii="Cambria" w:hAnsi="Cambria" w:cs="Calibri"/>
              </w:rPr>
              <w:t>svojiti</w:t>
            </w:r>
            <w:proofErr w:type="spellEnd"/>
            <w:r w:rsidRPr="00A62FBD">
              <w:rPr>
                <w:rFonts w:ascii="Cambria" w:hAnsi="Cambria" w:cs="Calibri"/>
              </w:rPr>
              <w:t xml:space="preserve"> </w:t>
            </w:r>
            <w:proofErr w:type="spellStart"/>
            <w:r w:rsidRPr="00A62FBD">
              <w:rPr>
                <w:rFonts w:ascii="Cambria" w:hAnsi="Cambria" w:cs="Calibri"/>
              </w:rPr>
              <w:t>osnovna</w:t>
            </w:r>
            <w:proofErr w:type="spellEnd"/>
            <w:r w:rsidRPr="00A62FBD">
              <w:rPr>
                <w:rFonts w:ascii="Cambria" w:hAnsi="Cambria" w:cs="Calibri"/>
              </w:rPr>
              <w:t xml:space="preserve"> </w:t>
            </w:r>
            <w:proofErr w:type="spellStart"/>
            <w:r w:rsidRPr="00A62FBD">
              <w:rPr>
                <w:rFonts w:ascii="Cambria" w:hAnsi="Cambria" w:cs="Calibri"/>
              </w:rPr>
              <w:t>znanja</w:t>
            </w:r>
            <w:proofErr w:type="spellEnd"/>
            <w:r w:rsidRPr="00A62FBD">
              <w:rPr>
                <w:rFonts w:ascii="Cambria" w:hAnsi="Cambria" w:cs="Calibri"/>
              </w:rPr>
              <w:t xml:space="preserve"> </w:t>
            </w:r>
            <w:proofErr w:type="spellStart"/>
            <w:r w:rsidRPr="00A62FBD">
              <w:rPr>
                <w:rFonts w:ascii="Cambria" w:hAnsi="Cambria" w:cs="Calibri"/>
              </w:rPr>
              <w:t>i</w:t>
            </w:r>
            <w:proofErr w:type="spellEnd"/>
            <w:r w:rsidRPr="00A62FBD">
              <w:rPr>
                <w:rFonts w:ascii="Cambria" w:hAnsi="Cambria" w:cs="Calibri"/>
              </w:rPr>
              <w:t xml:space="preserve"> </w:t>
            </w:r>
            <w:proofErr w:type="spellStart"/>
            <w:r w:rsidRPr="00A62FBD">
              <w:rPr>
                <w:rFonts w:ascii="Cambria" w:hAnsi="Cambria" w:cs="Calibri"/>
              </w:rPr>
              <w:t>teorijske</w:t>
            </w:r>
            <w:proofErr w:type="spellEnd"/>
            <w:r w:rsidRPr="00A62FBD">
              <w:rPr>
                <w:rFonts w:ascii="Cambria" w:hAnsi="Cambria" w:cs="Calibri"/>
              </w:rPr>
              <w:t xml:space="preserve"> </w:t>
            </w:r>
            <w:proofErr w:type="spellStart"/>
            <w:r w:rsidRPr="00A62FBD">
              <w:rPr>
                <w:rFonts w:ascii="Cambria" w:hAnsi="Cambria" w:cs="Calibri"/>
              </w:rPr>
              <w:t>spoznaje</w:t>
            </w:r>
            <w:proofErr w:type="spellEnd"/>
            <w:r w:rsidRPr="00A62FBD">
              <w:rPr>
                <w:rFonts w:ascii="Cambria" w:hAnsi="Cambria" w:cs="Calibri"/>
              </w:rPr>
              <w:t xml:space="preserve"> </w:t>
            </w:r>
            <w:proofErr w:type="spellStart"/>
            <w:r w:rsidRPr="00A62FBD">
              <w:rPr>
                <w:rFonts w:ascii="Cambria" w:hAnsi="Cambria" w:cs="Calibri"/>
              </w:rPr>
              <w:t>iz</w:t>
            </w:r>
            <w:proofErr w:type="spellEnd"/>
            <w:r w:rsidRPr="00A62FBD">
              <w:rPr>
                <w:rFonts w:ascii="Cambria" w:hAnsi="Cambria" w:cs="Calibri"/>
              </w:rPr>
              <w:t xml:space="preserve"> </w:t>
            </w:r>
            <w:proofErr w:type="spellStart"/>
            <w:r w:rsidRPr="00A62FBD">
              <w:rPr>
                <w:rFonts w:ascii="Cambria" w:hAnsi="Cambria" w:cs="Calibri"/>
              </w:rPr>
              <w:t>područja</w:t>
            </w:r>
            <w:proofErr w:type="spellEnd"/>
            <w:r w:rsidRPr="00A62FBD">
              <w:rPr>
                <w:rFonts w:ascii="Cambria" w:hAnsi="Cambria" w:cs="Calibri"/>
              </w:rPr>
              <w:t xml:space="preserve"> </w:t>
            </w:r>
            <w:proofErr w:type="spellStart"/>
            <w:r w:rsidRPr="00A62FBD">
              <w:rPr>
                <w:rFonts w:ascii="Cambria" w:hAnsi="Cambria" w:cs="Calibri"/>
              </w:rPr>
              <w:t>metodike</w:t>
            </w:r>
            <w:proofErr w:type="spellEnd"/>
            <w:r w:rsidRPr="00A62FBD">
              <w:rPr>
                <w:rFonts w:ascii="Cambria" w:hAnsi="Cambria" w:cs="Calibri"/>
              </w:rPr>
              <w:t xml:space="preserve"> </w:t>
            </w:r>
            <w:proofErr w:type="spellStart"/>
            <w:r>
              <w:rPr>
                <w:rFonts w:ascii="Cambria" w:hAnsi="Cambria" w:cs="Calibri"/>
              </w:rPr>
              <w:t>nastave</w:t>
            </w:r>
            <w:proofErr w:type="spellEnd"/>
            <w:r>
              <w:rPr>
                <w:rFonts w:ascii="Cambria" w:hAnsi="Cambria" w:cs="Calibri"/>
              </w:rPr>
              <w:t xml:space="preserve"> </w:t>
            </w:r>
            <w:proofErr w:type="spellStart"/>
            <w:r w:rsidRPr="00A62FBD">
              <w:rPr>
                <w:rFonts w:ascii="Cambria" w:hAnsi="Cambria" w:cs="Calibri"/>
              </w:rPr>
              <w:t>matematike</w:t>
            </w:r>
            <w:proofErr w:type="spellEnd"/>
          </w:p>
        </w:tc>
      </w:tr>
      <w:tr w:rsidR="00FC4004" w:rsidRPr="00D0399C" w14:paraId="5C071D70" w14:textId="77777777" w:rsidTr="00FC4004">
        <w:tc>
          <w:tcPr>
            <w:tcW w:w="297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FBB0F00" w14:textId="77777777" w:rsidR="00FC4004" w:rsidRPr="00A62FBD" w:rsidRDefault="00FC4004" w:rsidP="000F1A10">
            <w:pPr>
              <w:spacing w:after="0" w:line="240" w:lineRule="auto"/>
              <w:rPr>
                <w:rFonts w:ascii="Cambria" w:hAnsi="Cambria" w:cs="Calibri"/>
              </w:rPr>
            </w:pPr>
            <w:proofErr w:type="spellStart"/>
            <w:r w:rsidRPr="00A62FBD">
              <w:rPr>
                <w:rFonts w:ascii="Cambria" w:hAnsi="Cambria" w:cs="Calibri"/>
              </w:rPr>
              <w:t>Ishodi</w:t>
            </w:r>
            <w:proofErr w:type="spellEnd"/>
            <w:r w:rsidRPr="00A62FBD">
              <w:rPr>
                <w:rFonts w:ascii="Cambria" w:hAnsi="Cambria" w:cs="Calibri"/>
              </w:rPr>
              <w:t xml:space="preserve"> </w:t>
            </w:r>
            <w:proofErr w:type="spellStart"/>
            <w:r w:rsidRPr="00A62FBD">
              <w:rPr>
                <w:rFonts w:ascii="Cambria" w:hAnsi="Cambria" w:cs="Calibri"/>
              </w:rPr>
              <w:t>učenja</w:t>
            </w:r>
            <w:proofErr w:type="spellEnd"/>
          </w:p>
        </w:tc>
        <w:tc>
          <w:tcPr>
            <w:tcW w:w="737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BA1C990" w14:textId="77777777" w:rsidR="00B36357" w:rsidRDefault="00B36357" w:rsidP="00B36357">
            <w:pPr>
              <w:spacing w:after="0" w:line="240" w:lineRule="auto"/>
              <w:rPr>
                <w:rFonts w:ascii="Cambria" w:eastAsia="SimSun" w:hAnsi="Cambria" w:cs="TTE297F630t00"/>
                <w:lang w:val="it-IT" w:eastAsia="hr-HR"/>
              </w:rPr>
            </w:pPr>
            <w:r w:rsidRPr="00B36357">
              <w:rPr>
                <w:rFonts w:ascii="Cambria" w:eastAsia="SimSun" w:hAnsi="Cambria" w:cs="TTE297F630t00"/>
                <w:lang w:val="it-IT" w:eastAsia="hr-HR"/>
              </w:rPr>
              <w:t xml:space="preserve">1. </w:t>
            </w:r>
            <w:proofErr w:type="spellStart"/>
            <w:r w:rsidR="00FC4004" w:rsidRPr="00B36357">
              <w:rPr>
                <w:rFonts w:ascii="Cambria" w:eastAsia="SimSun" w:hAnsi="Cambria" w:cs="TTE297F630t00"/>
                <w:lang w:val="it-IT" w:eastAsia="hr-HR"/>
              </w:rPr>
              <w:t>opisati</w:t>
            </w:r>
            <w:proofErr w:type="spellEnd"/>
            <w:r w:rsidR="00FC4004" w:rsidRPr="00B36357">
              <w:rPr>
                <w:rFonts w:ascii="Cambria" w:eastAsia="SimSun" w:hAnsi="Cambria" w:cs="TTE297F630t00"/>
                <w:lang w:val="it-IT" w:eastAsia="hr-HR"/>
              </w:rPr>
              <w:t xml:space="preserve"> </w:t>
            </w:r>
            <w:proofErr w:type="spellStart"/>
            <w:r w:rsidR="00FC4004" w:rsidRPr="00B36357">
              <w:rPr>
                <w:rFonts w:ascii="Cambria" w:eastAsia="SimSun" w:hAnsi="Cambria" w:cs="TTE297F630t00"/>
                <w:lang w:val="it-IT" w:eastAsia="hr-HR"/>
              </w:rPr>
              <w:t>spoznajne</w:t>
            </w:r>
            <w:proofErr w:type="spellEnd"/>
            <w:r w:rsidR="00FC4004" w:rsidRPr="00B36357">
              <w:rPr>
                <w:rFonts w:ascii="Cambria" w:eastAsia="SimSun" w:hAnsi="Cambria" w:cs="TTE297F630t00"/>
                <w:lang w:val="it-IT" w:eastAsia="hr-HR"/>
              </w:rPr>
              <w:t xml:space="preserve"> </w:t>
            </w:r>
            <w:proofErr w:type="spellStart"/>
            <w:r w:rsidR="00FC4004" w:rsidRPr="00B36357">
              <w:rPr>
                <w:rFonts w:ascii="Cambria" w:eastAsia="SimSun" w:hAnsi="Cambria" w:cs="TTE297F630t00"/>
                <w:lang w:val="it-IT" w:eastAsia="hr-HR"/>
              </w:rPr>
              <w:t>karakteristike</w:t>
            </w:r>
            <w:proofErr w:type="spellEnd"/>
            <w:r w:rsidR="00FC4004" w:rsidRPr="00B36357">
              <w:rPr>
                <w:rFonts w:ascii="Cambria" w:eastAsia="SimSun" w:hAnsi="Cambria" w:cs="TTE297F630t00"/>
                <w:lang w:val="it-IT" w:eastAsia="hr-HR"/>
              </w:rPr>
              <w:t xml:space="preserve"> </w:t>
            </w:r>
            <w:proofErr w:type="spellStart"/>
            <w:r w:rsidR="00FC4004" w:rsidRPr="00B36357">
              <w:rPr>
                <w:rFonts w:ascii="Cambria" w:eastAsia="SimSun" w:hAnsi="Cambria" w:cs="TTE297F630t00"/>
                <w:lang w:val="it-IT" w:eastAsia="hr-HR"/>
              </w:rPr>
              <w:t>procesa</w:t>
            </w:r>
            <w:proofErr w:type="spellEnd"/>
            <w:r w:rsidR="00FC4004" w:rsidRPr="00B36357">
              <w:rPr>
                <w:rFonts w:ascii="Cambria" w:eastAsia="SimSun" w:hAnsi="Cambria" w:cs="TTE297F630t00"/>
                <w:lang w:val="it-IT" w:eastAsia="hr-HR"/>
              </w:rPr>
              <w:t xml:space="preserve"> </w:t>
            </w:r>
            <w:proofErr w:type="spellStart"/>
            <w:r w:rsidR="00FC4004" w:rsidRPr="00B36357">
              <w:rPr>
                <w:rFonts w:ascii="Cambria" w:eastAsia="SimSun" w:hAnsi="Cambria" w:cs="TTE297F630t00"/>
                <w:lang w:val="it-IT" w:eastAsia="hr-HR"/>
              </w:rPr>
              <w:t>učenja</w:t>
            </w:r>
            <w:proofErr w:type="spellEnd"/>
            <w:r w:rsidR="00FC4004" w:rsidRPr="00B36357">
              <w:rPr>
                <w:rFonts w:ascii="Cambria" w:eastAsia="SimSun" w:hAnsi="Cambria" w:cs="TTE297F630t00"/>
                <w:lang w:val="it-IT" w:eastAsia="hr-HR"/>
              </w:rPr>
              <w:t xml:space="preserve"> </w:t>
            </w:r>
            <w:proofErr w:type="spellStart"/>
            <w:r w:rsidR="00FC4004" w:rsidRPr="00B36357">
              <w:rPr>
                <w:rFonts w:ascii="Cambria" w:eastAsia="SimSun" w:hAnsi="Cambria" w:cs="TTE297F630t00"/>
                <w:lang w:val="it-IT" w:eastAsia="hr-HR"/>
              </w:rPr>
              <w:t>matematike</w:t>
            </w:r>
            <w:proofErr w:type="spellEnd"/>
          </w:p>
          <w:p w14:paraId="4166D27A" w14:textId="77777777" w:rsidR="00B36357" w:rsidRDefault="00B36357" w:rsidP="00B36357">
            <w:pPr>
              <w:spacing w:after="0" w:line="240" w:lineRule="auto"/>
              <w:rPr>
                <w:rFonts w:ascii="Cambria" w:eastAsia="SimSun" w:hAnsi="Cambria" w:cs="TTE297F630t00"/>
                <w:lang w:val="it-IT" w:eastAsia="hr-HR"/>
              </w:rPr>
            </w:pPr>
            <w:r>
              <w:rPr>
                <w:rFonts w:ascii="Cambria" w:eastAsia="SimSun" w:hAnsi="Cambria" w:cs="TTE297F630t00"/>
                <w:lang w:val="it-IT" w:eastAsia="hr-HR"/>
              </w:rPr>
              <w:t xml:space="preserve">2. </w:t>
            </w:r>
            <w:proofErr w:type="spellStart"/>
            <w:r w:rsidR="00FC4004" w:rsidRPr="00B36357">
              <w:rPr>
                <w:rFonts w:ascii="Cambria" w:eastAsia="SimSun" w:hAnsi="Cambria" w:cs="TTE297F630t00"/>
                <w:lang w:val="it-IT" w:eastAsia="hr-HR"/>
              </w:rPr>
              <w:t>definirati</w:t>
            </w:r>
            <w:proofErr w:type="spellEnd"/>
            <w:r w:rsidR="00FC4004" w:rsidRPr="00B36357">
              <w:rPr>
                <w:rFonts w:ascii="Cambria" w:eastAsia="SimSun" w:hAnsi="Cambria" w:cs="TTE297F630t00"/>
                <w:lang w:val="it-IT" w:eastAsia="hr-HR"/>
              </w:rPr>
              <w:t xml:space="preserve"> </w:t>
            </w:r>
            <w:proofErr w:type="spellStart"/>
            <w:r w:rsidR="00FC4004" w:rsidRPr="00B36357">
              <w:rPr>
                <w:rFonts w:ascii="Cambria" w:eastAsia="SimSun" w:hAnsi="Cambria" w:cs="TTE297F630t00"/>
                <w:lang w:val="it-IT" w:eastAsia="hr-HR"/>
              </w:rPr>
              <w:t>suvremene</w:t>
            </w:r>
            <w:proofErr w:type="spellEnd"/>
            <w:r w:rsidR="00FC4004" w:rsidRPr="00B36357">
              <w:rPr>
                <w:rFonts w:ascii="Cambria" w:eastAsia="SimSun" w:hAnsi="Cambria" w:cs="TTE297F630t00"/>
                <w:lang w:val="it-IT" w:eastAsia="hr-HR"/>
              </w:rPr>
              <w:t xml:space="preserve"> </w:t>
            </w:r>
            <w:proofErr w:type="spellStart"/>
            <w:r w:rsidR="00FC4004" w:rsidRPr="00B36357">
              <w:rPr>
                <w:rFonts w:ascii="Cambria" w:eastAsia="SimSun" w:hAnsi="Cambria" w:cs="TTE297F630t00"/>
                <w:lang w:val="it-IT" w:eastAsia="hr-HR"/>
              </w:rPr>
              <w:t>standarde</w:t>
            </w:r>
            <w:proofErr w:type="spellEnd"/>
            <w:r w:rsidR="00FC4004" w:rsidRPr="00B36357">
              <w:rPr>
                <w:rFonts w:ascii="Cambria" w:eastAsia="SimSun" w:hAnsi="Cambria" w:cs="TTE297F630t00"/>
                <w:lang w:val="it-IT" w:eastAsia="hr-HR"/>
              </w:rPr>
              <w:t xml:space="preserve"> </w:t>
            </w:r>
            <w:proofErr w:type="spellStart"/>
            <w:r w:rsidR="00FC4004" w:rsidRPr="00B36357">
              <w:rPr>
                <w:rFonts w:ascii="Cambria" w:eastAsia="SimSun" w:hAnsi="Cambria" w:cs="TTE297F630t00"/>
                <w:lang w:val="it-IT" w:eastAsia="hr-HR"/>
              </w:rPr>
              <w:t>matematičkih</w:t>
            </w:r>
            <w:proofErr w:type="spellEnd"/>
            <w:r w:rsidR="00FC4004" w:rsidRPr="00B36357">
              <w:rPr>
                <w:rFonts w:ascii="Cambria" w:eastAsia="SimSun" w:hAnsi="Cambria" w:cs="TTE297F630t00"/>
                <w:lang w:val="it-IT" w:eastAsia="hr-HR"/>
              </w:rPr>
              <w:t xml:space="preserve"> </w:t>
            </w:r>
            <w:proofErr w:type="spellStart"/>
            <w:r w:rsidR="00FC4004" w:rsidRPr="00B36357">
              <w:rPr>
                <w:rFonts w:ascii="Cambria" w:eastAsia="SimSun" w:hAnsi="Cambria" w:cs="TTE297F630t00"/>
                <w:lang w:val="it-IT" w:eastAsia="hr-HR"/>
              </w:rPr>
              <w:t>kompetencija</w:t>
            </w:r>
            <w:proofErr w:type="spellEnd"/>
          </w:p>
          <w:p w14:paraId="6ADBE1FF" w14:textId="77777777" w:rsidR="00B36357" w:rsidRDefault="00B36357" w:rsidP="00B36357">
            <w:pPr>
              <w:spacing w:after="0" w:line="240" w:lineRule="auto"/>
              <w:rPr>
                <w:rFonts w:ascii="Cambria" w:eastAsia="SimSun" w:hAnsi="Cambria" w:cs="TTE297F630t00"/>
                <w:lang w:val="it-IT" w:eastAsia="hr-HR"/>
              </w:rPr>
            </w:pPr>
            <w:r>
              <w:rPr>
                <w:rFonts w:ascii="Cambria" w:eastAsia="SimSun" w:hAnsi="Cambria" w:cs="TTE297F630t00"/>
                <w:lang w:val="it-IT" w:eastAsia="hr-HR"/>
              </w:rPr>
              <w:t xml:space="preserve">3. </w:t>
            </w:r>
            <w:proofErr w:type="spellStart"/>
            <w:r w:rsidR="00FC4004" w:rsidRPr="00B36357">
              <w:rPr>
                <w:rFonts w:ascii="Cambria" w:eastAsia="SimSun" w:hAnsi="Cambria" w:cs="TTE297F630t00"/>
                <w:lang w:val="it-IT" w:eastAsia="hr-HR"/>
              </w:rPr>
              <w:t>povezati</w:t>
            </w:r>
            <w:proofErr w:type="spellEnd"/>
            <w:r w:rsidR="00FC4004" w:rsidRPr="00B36357">
              <w:rPr>
                <w:rFonts w:ascii="Cambria" w:eastAsia="SimSun" w:hAnsi="Cambria" w:cs="TTE297F630t00"/>
                <w:lang w:val="it-IT" w:eastAsia="hr-HR"/>
              </w:rPr>
              <w:t xml:space="preserve"> </w:t>
            </w:r>
            <w:proofErr w:type="spellStart"/>
            <w:r w:rsidR="00FC4004" w:rsidRPr="00B36357">
              <w:rPr>
                <w:rFonts w:ascii="Cambria" w:eastAsia="SimSun" w:hAnsi="Cambria" w:cs="TTE297F630t00"/>
                <w:lang w:val="it-IT" w:eastAsia="hr-HR"/>
              </w:rPr>
              <w:t>kognitivne</w:t>
            </w:r>
            <w:proofErr w:type="spellEnd"/>
            <w:r w:rsidR="00FC4004" w:rsidRPr="00B36357">
              <w:rPr>
                <w:rFonts w:ascii="Cambria" w:eastAsia="SimSun" w:hAnsi="Cambria" w:cs="TTE297F630t00"/>
                <w:lang w:val="it-IT" w:eastAsia="hr-HR"/>
              </w:rPr>
              <w:t xml:space="preserve"> </w:t>
            </w:r>
            <w:proofErr w:type="spellStart"/>
            <w:r w:rsidR="00FC4004" w:rsidRPr="00B36357">
              <w:rPr>
                <w:rFonts w:ascii="Cambria" w:eastAsia="SimSun" w:hAnsi="Cambria" w:cs="TTE297F630t00"/>
                <w:lang w:val="it-IT" w:eastAsia="hr-HR"/>
              </w:rPr>
              <w:t>sposobnosti</w:t>
            </w:r>
            <w:proofErr w:type="spellEnd"/>
            <w:r w:rsidR="00FC4004" w:rsidRPr="00B36357">
              <w:rPr>
                <w:rFonts w:ascii="Cambria" w:eastAsia="SimSun" w:hAnsi="Cambria" w:cs="TTE297F630t00"/>
                <w:lang w:val="it-IT" w:eastAsia="hr-HR"/>
              </w:rPr>
              <w:t xml:space="preserve"> </w:t>
            </w:r>
            <w:proofErr w:type="spellStart"/>
            <w:r w:rsidR="00FC4004" w:rsidRPr="00B36357">
              <w:rPr>
                <w:rFonts w:ascii="Cambria" w:eastAsia="SimSun" w:hAnsi="Cambria" w:cs="TTE297F630t00"/>
                <w:lang w:val="it-IT" w:eastAsia="hr-HR"/>
              </w:rPr>
              <w:t>djece</w:t>
            </w:r>
            <w:proofErr w:type="spellEnd"/>
            <w:r w:rsidR="00FC4004" w:rsidRPr="00B36357">
              <w:rPr>
                <w:rFonts w:ascii="Cambria" w:eastAsia="SimSun" w:hAnsi="Cambria" w:cs="TTE297F630t00"/>
                <w:lang w:val="it-IT" w:eastAsia="hr-HR"/>
              </w:rPr>
              <w:t xml:space="preserve"> s </w:t>
            </w:r>
            <w:proofErr w:type="spellStart"/>
            <w:r w:rsidR="00FC4004" w:rsidRPr="00B36357">
              <w:rPr>
                <w:rFonts w:ascii="Cambria" w:eastAsia="SimSun" w:hAnsi="Cambria" w:cs="TTE297F630t00"/>
                <w:lang w:val="it-IT" w:eastAsia="hr-HR"/>
              </w:rPr>
              <w:t>razinama</w:t>
            </w:r>
            <w:proofErr w:type="spellEnd"/>
            <w:r w:rsidR="00FC4004" w:rsidRPr="00B36357">
              <w:rPr>
                <w:rFonts w:ascii="Cambria" w:eastAsia="SimSun" w:hAnsi="Cambria" w:cs="TTE297F630t00"/>
                <w:lang w:val="it-IT" w:eastAsia="hr-HR"/>
              </w:rPr>
              <w:t xml:space="preserve"> </w:t>
            </w:r>
            <w:proofErr w:type="spellStart"/>
            <w:r w:rsidR="00FC4004" w:rsidRPr="00B36357">
              <w:rPr>
                <w:rFonts w:ascii="Cambria" w:eastAsia="SimSun" w:hAnsi="Cambria" w:cs="TTE297F630t00"/>
                <w:lang w:val="it-IT" w:eastAsia="hr-HR"/>
              </w:rPr>
              <w:t>usvajanja</w:t>
            </w:r>
            <w:proofErr w:type="spellEnd"/>
            <w:r w:rsidR="00FC4004" w:rsidRPr="00B36357">
              <w:rPr>
                <w:rFonts w:ascii="Cambria" w:eastAsia="SimSun" w:hAnsi="Cambria" w:cs="TTE297F630t00"/>
                <w:lang w:val="it-IT" w:eastAsia="hr-HR"/>
              </w:rPr>
              <w:t xml:space="preserve"> </w:t>
            </w:r>
            <w:proofErr w:type="spellStart"/>
            <w:r w:rsidR="00FC4004" w:rsidRPr="00B36357">
              <w:rPr>
                <w:rFonts w:ascii="Cambria" w:eastAsia="SimSun" w:hAnsi="Cambria" w:cs="TTE297F630t00"/>
                <w:lang w:val="it-IT" w:eastAsia="hr-HR"/>
              </w:rPr>
              <w:t>matematičkog</w:t>
            </w:r>
            <w:proofErr w:type="spellEnd"/>
            <w:r w:rsidR="00FC4004" w:rsidRPr="00B36357">
              <w:rPr>
                <w:rFonts w:ascii="Cambria" w:eastAsia="SimSun" w:hAnsi="Cambria" w:cs="TTE297F630t00"/>
                <w:lang w:val="it-IT" w:eastAsia="hr-HR"/>
              </w:rPr>
              <w:t xml:space="preserve"> gradiva te </w:t>
            </w:r>
            <w:proofErr w:type="spellStart"/>
            <w:r w:rsidR="00FC4004" w:rsidRPr="00B36357">
              <w:rPr>
                <w:rFonts w:ascii="Cambria" w:eastAsia="SimSun" w:hAnsi="Cambria" w:cs="TTE297F630t00"/>
                <w:lang w:val="it-IT" w:eastAsia="hr-HR"/>
              </w:rPr>
              <w:t>važećim</w:t>
            </w:r>
            <w:proofErr w:type="spellEnd"/>
            <w:r w:rsidR="00FC4004" w:rsidRPr="00B36357">
              <w:rPr>
                <w:rFonts w:ascii="Cambria" w:eastAsia="SimSun" w:hAnsi="Cambria" w:cs="TTE297F630t00"/>
                <w:lang w:val="it-IT" w:eastAsia="hr-HR"/>
              </w:rPr>
              <w:t xml:space="preserve"> </w:t>
            </w:r>
            <w:proofErr w:type="spellStart"/>
            <w:r w:rsidR="00FC4004" w:rsidRPr="00B36357">
              <w:rPr>
                <w:rFonts w:ascii="Cambria" w:eastAsia="SimSun" w:hAnsi="Cambria" w:cs="TTE297F630t00"/>
                <w:lang w:val="it-IT" w:eastAsia="hr-HR"/>
              </w:rPr>
              <w:t>kurikulumom</w:t>
            </w:r>
            <w:proofErr w:type="spellEnd"/>
            <w:r w:rsidR="00FC4004" w:rsidRPr="00B36357">
              <w:rPr>
                <w:rFonts w:ascii="Cambria" w:eastAsia="SimSun" w:hAnsi="Cambria" w:cs="TTE297F630t00"/>
                <w:lang w:val="it-IT" w:eastAsia="hr-HR"/>
              </w:rPr>
              <w:t xml:space="preserve"> </w:t>
            </w:r>
          </w:p>
          <w:p w14:paraId="57129DD3" w14:textId="77777777" w:rsidR="00B36357" w:rsidRDefault="00B36357" w:rsidP="00B36357">
            <w:pPr>
              <w:spacing w:after="0" w:line="240" w:lineRule="auto"/>
              <w:rPr>
                <w:rFonts w:ascii="Cambria" w:eastAsia="SimSun" w:hAnsi="Cambria" w:cs="TTE297F630t00"/>
                <w:lang w:val="it-IT" w:eastAsia="hr-HR"/>
              </w:rPr>
            </w:pPr>
            <w:r>
              <w:rPr>
                <w:rFonts w:ascii="Cambria" w:eastAsia="SimSun" w:hAnsi="Cambria" w:cs="TTE297F630t00"/>
                <w:lang w:val="it-IT" w:eastAsia="hr-HR"/>
              </w:rPr>
              <w:t xml:space="preserve">4. </w:t>
            </w:r>
            <w:proofErr w:type="spellStart"/>
            <w:r w:rsidR="00FC4004" w:rsidRPr="00B36357">
              <w:rPr>
                <w:rFonts w:ascii="Cambria" w:eastAsia="SimSun" w:hAnsi="Cambria" w:cs="TTE297F630t00"/>
                <w:lang w:val="it-IT" w:eastAsia="hr-HR"/>
              </w:rPr>
              <w:t>primjenjivati</w:t>
            </w:r>
            <w:proofErr w:type="spellEnd"/>
            <w:r w:rsidR="00FC4004" w:rsidRPr="00B36357">
              <w:rPr>
                <w:rFonts w:ascii="Cambria" w:eastAsia="SimSun" w:hAnsi="Cambria" w:cs="TTE297F630t00"/>
                <w:lang w:val="it-IT" w:eastAsia="hr-HR"/>
              </w:rPr>
              <w:t xml:space="preserve"> </w:t>
            </w:r>
            <w:proofErr w:type="spellStart"/>
            <w:r w:rsidR="00FC4004" w:rsidRPr="00B36357">
              <w:rPr>
                <w:rFonts w:ascii="Cambria" w:eastAsia="SimSun" w:hAnsi="Cambria" w:cs="TTE297F630t00"/>
                <w:lang w:val="it-IT" w:eastAsia="hr-HR"/>
              </w:rPr>
              <w:t>osnove</w:t>
            </w:r>
            <w:proofErr w:type="spellEnd"/>
            <w:r w:rsidR="00FC4004" w:rsidRPr="00B36357">
              <w:rPr>
                <w:rFonts w:ascii="Cambria" w:eastAsia="SimSun" w:hAnsi="Cambria" w:cs="TTE297F630t00"/>
                <w:lang w:val="it-IT" w:eastAsia="hr-HR"/>
              </w:rPr>
              <w:t xml:space="preserve"> </w:t>
            </w:r>
            <w:proofErr w:type="spellStart"/>
            <w:r w:rsidR="00FC4004" w:rsidRPr="00B36357">
              <w:rPr>
                <w:rFonts w:ascii="Cambria" w:eastAsia="SimSun" w:hAnsi="Cambria" w:cs="TTE297F630t00"/>
                <w:lang w:val="it-IT" w:eastAsia="hr-HR"/>
              </w:rPr>
              <w:t>metodičkog</w:t>
            </w:r>
            <w:proofErr w:type="spellEnd"/>
            <w:r w:rsidR="00FC4004" w:rsidRPr="00B36357">
              <w:rPr>
                <w:rFonts w:ascii="Cambria" w:eastAsia="SimSun" w:hAnsi="Cambria" w:cs="TTE297F630t00"/>
                <w:lang w:val="it-IT" w:eastAsia="hr-HR"/>
              </w:rPr>
              <w:t xml:space="preserve"> </w:t>
            </w:r>
            <w:proofErr w:type="spellStart"/>
            <w:r w:rsidR="00FC4004" w:rsidRPr="00B36357">
              <w:rPr>
                <w:rFonts w:ascii="Cambria" w:eastAsia="SimSun" w:hAnsi="Cambria" w:cs="TTE297F630t00"/>
                <w:lang w:val="it-IT" w:eastAsia="hr-HR"/>
              </w:rPr>
              <w:t>oblikovanja</w:t>
            </w:r>
            <w:proofErr w:type="spellEnd"/>
            <w:r w:rsidR="00FC4004" w:rsidRPr="00B36357">
              <w:rPr>
                <w:rFonts w:ascii="Cambria" w:eastAsia="SimSun" w:hAnsi="Cambria" w:cs="TTE297F630t00"/>
                <w:lang w:val="it-IT" w:eastAsia="hr-HR"/>
              </w:rPr>
              <w:t xml:space="preserve"> </w:t>
            </w:r>
            <w:proofErr w:type="spellStart"/>
            <w:r w:rsidR="00FC4004" w:rsidRPr="00B36357">
              <w:rPr>
                <w:rFonts w:ascii="Cambria" w:eastAsia="SimSun" w:hAnsi="Cambria" w:cs="TTE297F630t00"/>
                <w:lang w:val="it-IT" w:eastAsia="hr-HR"/>
              </w:rPr>
              <w:t>nastave</w:t>
            </w:r>
            <w:proofErr w:type="spellEnd"/>
            <w:r w:rsidR="00FC4004" w:rsidRPr="00B36357">
              <w:rPr>
                <w:rFonts w:ascii="Cambria" w:eastAsia="SimSun" w:hAnsi="Cambria" w:cs="TTE297F630t00"/>
                <w:lang w:val="it-IT" w:eastAsia="hr-HR"/>
              </w:rPr>
              <w:t xml:space="preserve"> </w:t>
            </w:r>
            <w:proofErr w:type="spellStart"/>
            <w:r w:rsidR="00FC4004" w:rsidRPr="00B36357">
              <w:rPr>
                <w:rFonts w:ascii="Cambria" w:eastAsia="SimSun" w:hAnsi="Cambria" w:cs="TTE297F630t00"/>
                <w:lang w:val="it-IT" w:eastAsia="hr-HR"/>
              </w:rPr>
              <w:t>kroz</w:t>
            </w:r>
            <w:proofErr w:type="spellEnd"/>
            <w:r w:rsidR="00FC4004" w:rsidRPr="00B36357">
              <w:rPr>
                <w:rFonts w:ascii="Cambria" w:eastAsia="SimSun" w:hAnsi="Cambria" w:cs="TTE297F630t00"/>
                <w:lang w:val="it-IT" w:eastAsia="hr-HR"/>
              </w:rPr>
              <w:t xml:space="preserve"> </w:t>
            </w:r>
            <w:proofErr w:type="spellStart"/>
            <w:r w:rsidR="00FC4004" w:rsidRPr="00B36357">
              <w:rPr>
                <w:rFonts w:ascii="Cambria" w:eastAsia="SimSun" w:hAnsi="Cambria" w:cs="TTE297F630t00"/>
                <w:lang w:val="it-IT" w:eastAsia="hr-HR"/>
              </w:rPr>
              <w:t>nastavne</w:t>
            </w:r>
            <w:proofErr w:type="spellEnd"/>
            <w:r w:rsidR="00FC4004" w:rsidRPr="00B36357">
              <w:rPr>
                <w:rFonts w:ascii="Cambria" w:eastAsia="SimSun" w:hAnsi="Cambria" w:cs="TTE297F630t00"/>
                <w:lang w:val="it-IT" w:eastAsia="hr-HR"/>
              </w:rPr>
              <w:t xml:space="preserve"> </w:t>
            </w:r>
            <w:proofErr w:type="spellStart"/>
            <w:r w:rsidR="00FC4004" w:rsidRPr="00B36357">
              <w:rPr>
                <w:rFonts w:ascii="Cambria" w:eastAsia="SimSun" w:hAnsi="Cambria" w:cs="TTE297F630t00"/>
                <w:lang w:val="it-IT" w:eastAsia="hr-HR"/>
              </w:rPr>
              <w:t>situacije</w:t>
            </w:r>
            <w:proofErr w:type="spellEnd"/>
            <w:r w:rsidR="00FC4004" w:rsidRPr="00B36357">
              <w:rPr>
                <w:rFonts w:ascii="Cambria" w:eastAsia="SimSun" w:hAnsi="Cambria" w:cs="TTE297F630t00"/>
                <w:lang w:val="it-IT" w:eastAsia="hr-HR"/>
              </w:rPr>
              <w:t xml:space="preserve"> u </w:t>
            </w:r>
            <w:proofErr w:type="spellStart"/>
            <w:r w:rsidR="00FC4004" w:rsidRPr="00B36357">
              <w:rPr>
                <w:rFonts w:ascii="Cambria" w:eastAsia="SimSun" w:hAnsi="Cambria" w:cs="TTE297F630t00"/>
                <w:lang w:val="it-IT" w:eastAsia="hr-HR"/>
              </w:rPr>
              <w:t>početnom</w:t>
            </w:r>
            <w:proofErr w:type="spellEnd"/>
            <w:r w:rsidR="00FC4004" w:rsidRPr="00B36357">
              <w:rPr>
                <w:rFonts w:ascii="Cambria" w:eastAsia="SimSun" w:hAnsi="Cambria" w:cs="TTE297F630t00"/>
                <w:lang w:val="it-IT" w:eastAsia="hr-HR"/>
              </w:rPr>
              <w:t xml:space="preserve"> </w:t>
            </w:r>
            <w:proofErr w:type="spellStart"/>
            <w:r w:rsidR="00FC4004" w:rsidRPr="00B36357">
              <w:rPr>
                <w:rFonts w:ascii="Cambria" w:eastAsia="SimSun" w:hAnsi="Cambria" w:cs="TTE297F630t00"/>
                <w:lang w:val="it-IT" w:eastAsia="hr-HR"/>
              </w:rPr>
              <w:t>učenju</w:t>
            </w:r>
            <w:proofErr w:type="spellEnd"/>
            <w:r w:rsidR="00FC4004" w:rsidRPr="00B36357">
              <w:rPr>
                <w:rFonts w:ascii="Cambria" w:eastAsia="SimSun" w:hAnsi="Cambria" w:cs="TTE297F630t00"/>
                <w:lang w:val="it-IT" w:eastAsia="hr-HR"/>
              </w:rPr>
              <w:t xml:space="preserve"> </w:t>
            </w:r>
            <w:proofErr w:type="spellStart"/>
            <w:r w:rsidR="00FC4004" w:rsidRPr="00B36357">
              <w:rPr>
                <w:rFonts w:ascii="Cambria" w:eastAsia="SimSun" w:hAnsi="Cambria" w:cs="TTE297F630t00"/>
                <w:lang w:val="it-IT" w:eastAsia="hr-HR"/>
              </w:rPr>
              <w:t>matematike</w:t>
            </w:r>
            <w:proofErr w:type="spellEnd"/>
            <w:r w:rsidR="00FC4004" w:rsidRPr="00B36357">
              <w:rPr>
                <w:rFonts w:ascii="Cambria" w:eastAsia="SimSun" w:hAnsi="Cambria" w:cs="TTE297F630t00"/>
                <w:lang w:val="it-IT" w:eastAsia="hr-HR"/>
              </w:rPr>
              <w:t xml:space="preserve"> </w:t>
            </w:r>
          </w:p>
          <w:p w14:paraId="3A3A586D" w14:textId="77777777" w:rsidR="00B36357" w:rsidRDefault="00B36357" w:rsidP="00B36357">
            <w:pPr>
              <w:spacing w:after="0" w:line="240" w:lineRule="auto"/>
              <w:rPr>
                <w:rFonts w:ascii="Cambria" w:eastAsia="SimSun" w:hAnsi="Cambria" w:cs="TTE297F630t00"/>
                <w:lang w:val="it-IT" w:eastAsia="hr-HR"/>
              </w:rPr>
            </w:pPr>
            <w:r>
              <w:rPr>
                <w:rFonts w:ascii="Cambria" w:eastAsia="SimSun" w:hAnsi="Cambria" w:cs="TTE297F630t00"/>
                <w:lang w:val="it-IT" w:eastAsia="hr-HR"/>
              </w:rPr>
              <w:t xml:space="preserve">5. </w:t>
            </w:r>
            <w:proofErr w:type="spellStart"/>
            <w:r w:rsidR="00FC4004" w:rsidRPr="00B36357">
              <w:rPr>
                <w:rFonts w:ascii="Cambria" w:eastAsia="SimSun" w:hAnsi="Cambria" w:cs="TTE297F630t00"/>
                <w:lang w:val="it-IT" w:eastAsia="hr-HR"/>
              </w:rPr>
              <w:t>izraditi</w:t>
            </w:r>
            <w:proofErr w:type="spellEnd"/>
            <w:r w:rsidR="00FC4004" w:rsidRPr="00B36357">
              <w:rPr>
                <w:rFonts w:ascii="Cambria" w:eastAsia="SimSun" w:hAnsi="Cambria" w:cs="TTE297F630t00"/>
                <w:lang w:val="it-IT" w:eastAsia="hr-HR"/>
              </w:rPr>
              <w:t xml:space="preserve"> </w:t>
            </w:r>
            <w:proofErr w:type="spellStart"/>
            <w:r w:rsidR="00FC4004" w:rsidRPr="00B36357">
              <w:rPr>
                <w:rFonts w:ascii="Cambria" w:eastAsia="SimSun" w:hAnsi="Cambria" w:cs="TTE297F630t00"/>
                <w:lang w:val="it-IT" w:eastAsia="hr-HR"/>
              </w:rPr>
              <w:t>godišnji</w:t>
            </w:r>
            <w:proofErr w:type="spellEnd"/>
            <w:r w:rsidR="00FC4004" w:rsidRPr="00B36357">
              <w:rPr>
                <w:rFonts w:ascii="Cambria" w:eastAsia="SimSun" w:hAnsi="Cambria" w:cs="TTE297F630t00"/>
                <w:lang w:val="it-IT" w:eastAsia="hr-HR"/>
              </w:rPr>
              <w:t>/</w:t>
            </w:r>
            <w:proofErr w:type="spellStart"/>
            <w:r w:rsidR="00FC4004" w:rsidRPr="00B36357">
              <w:rPr>
                <w:rFonts w:ascii="Cambria" w:eastAsia="SimSun" w:hAnsi="Cambria" w:cs="TTE297F630t00"/>
                <w:lang w:val="it-IT" w:eastAsia="hr-HR"/>
              </w:rPr>
              <w:t>mjesečni</w:t>
            </w:r>
            <w:proofErr w:type="spellEnd"/>
            <w:r w:rsidR="00FC4004" w:rsidRPr="00B36357">
              <w:rPr>
                <w:rFonts w:ascii="Cambria" w:eastAsia="SimSun" w:hAnsi="Cambria" w:cs="TTE297F630t00"/>
                <w:lang w:val="it-IT" w:eastAsia="hr-HR"/>
              </w:rPr>
              <w:t>/</w:t>
            </w:r>
            <w:proofErr w:type="spellStart"/>
            <w:r w:rsidR="00FC4004" w:rsidRPr="00B36357">
              <w:rPr>
                <w:rFonts w:ascii="Cambria" w:eastAsia="SimSun" w:hAnsi="Cambria" w:cs="TTE297F630t00"/>
                <w:lang w:val="it-IT" w:eastAsia="hr-HR"/>
              </w:rPr>
              <w:t>tematski</w:t>
            </w:r>
            <w:proofErr w:type="spellEnd"/>
            <w:r w:rsidR="00FC4004" w:rsidRPr="00B36357">
              <w:rPr>
                <w:rFonts w:ascii="Cambria" w:eastAsia="SimSun" w:hAnsi="Cambria" w:cs="TTE297F630t00"/>
                <w:lang w:val="it-IT" w:eastAsia="hr-HR"/>
              </w:rPr>
              <w:t xml:space="preserve"> </w:t>
            </w:r>
            <w:proofErr w:type="spellStart"/>
            <w:r w:rsidR="00FC4004" w:rsidRPr="00B36357">
              <w:rPr>
                <w:rFonts w:ascii="Cambria" w:eastAsia="SimSun" w:hAnsi="Cambria" w:cs="TTE297F630t00"/>
                <w:lang w:val="it-IT" w:eastAsia="hr-HR"/>
              </w:rPr>
              <w:t>kurikulum</w:t>
            </w:r>
            <w:proofErr w:type="spellEnd"/>
            <w:r w:rsidR="00FC4004" w:rsidRPr="00B36357">
              <w:rPr>
                <w:rFonts w:ascii="Cambria" w:eastAsia="SimSun" w:hAnsi="Cambria" w:cs="TTE297F630t00"/>
                <w:lang w:val="it-IT" w:eastAsia="hr-HR"/>
              </w:rPr>
              <w:t xml:space="preserve"> </w:t>
            </w:r>
          </w:p>
          <w:p w14:paraId="5B014D80" w14:textId="64BDEF3E" w:rsidR="00FC4004" w:rsidRPr="00B36357" w:rsidRDefault="00B36357" w:rsidP="00B36357">
            <w:pPr>
              <w:spacing w:after="0" w:line="240" w:lineRule="auto"/>
              <w:rPr>
                <w:rFonts w:ascii="Cambria" w:eastAsia="SimSun" w:hAnsi="Cambria" w:cs="TTE297F630t00"/>
                <w:lang w:val="it-IT" w:eastAsia="hr-HR"/>
              </w:rPr>
            </w:pPr>
            <w:r>
              <w:rPr>
                <w:rFonts w:ascii="Cambria" w:eastAsia="SimSun" w:hAnsi="Cambria" w:cs="TTE297F630t00"/>
                <w:lang w:val="it-IT" w:eastAsia="hr-HR"/>
              </w:rPr>
              <w:t xml:space="preserve">6. </w:t>
            </w:r>
            <w:proofErr w:type="spellStart"/>
            <w:r w:rsidR="00FC4004" w:rsidRPr="00B36357">
              <w:rPr>
                <w:rFonts w:ascii="Cambria" w:eastAsia="SimSun" w:hAnsi="Cambria" w:cs="TTE297F630t00"/>
                <w:lang w:val="it-IT" w:eastAsia="hr-HR"/>
              </w:rPr>
              <w:t>analizirati</w:t>
            </w:r>
            <w:proofErr w:type="spellEnd"/>
            <w:r w:rsidR="00FC4004" w:rsidRPr="00B36357">
              <w:rPr>
                <w:rFonts w:ascii="Cambria" w:eastAsia="SimSun" w:hAnsi="Cambria" w:cs="TTE297F630t00"/>
                <w:lang w:val="it-IT" w:eastAsia="hr-HR"/>
              </w:rPr>
              <w:t xml:space="preserve"> </w:t>
            </w:r>
            <w:proofErr w:type="spellStart"/>
            <w:r w:rsidR="00FC4004" w:rsidRPr="00B36357">
              <w:rPr>
                <w:rFonts w:ascii="Cambria" w:eastAsia="SimSun" w:hAnsi="Cambria" w:cs="TTE297F630t00"/>
                <w:lang w:val="it-IT" w:eastAsia="hr-HR"/>
              </w:rPr>
              <w:t>nastavne</w:t>
            </w:r>
            <w:proofErr w:type="spellEnd"/>
            <w:r w:rsidR="00FC4004" w:rsidRPr="00B36357">
              <w:rPr>
                <w:rFonts w:ascii="Cambria" w:eastAsia="SimSun" w:hAnsi="Cambria" w:cs="TTE297F630t00"/>
                <w:lang w:val="it-IT" w:eastAsia="hr-HR"/>
              </w:rPr>
              <w:t xml:space="preserve"> </w:t>
            </w:r>
            <w:proofErr w:type="spellStart"/>
            <w:r w:rsidR="00FC4004" w:rsidRPr="00B36357">
              <w:rPr>
                <w:rFonts w:ascii="Cambria" w:eastAsia="SimSun" w:hAnsi="Cambria" w:cs="TTE297F630t00"/>
                <w:lang w:val="it-IT" w:eastAsia="hr-HR"/>
              </w:rPr>
              <w:t>pripreme</w:t>
            </w:r>
            <w:proofErr w:type="spellEnd"/>
          </w:p>
        </w:tc>
      </w:tr>
      <w:tr w:rsidR="00FC4004" w:rsidRPr="00E45645" w14:paraId="7E009076" w14:textId="77777777" w:rsidTr="00FC4004">
        <w:tc>
          <w:tcPr>
            <w:tcW w:w="2971"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180127C8" w14:textId="77777777" w:rsidR="00FC4004" w:rsidRPr="00A62FBD" w:rsidRDefault="00FC4004" w:rsidP="000F1A10">
            <w:pPr>
              <w:spacing w:after="0" w:line="240" w:lineRule="auto"/>
              <w:rPr>
                <w:rFonts w:ascii="Cambria" w:hAnsi="Cambria" w:cs="Calibri"/>
              </w:rPr>
            </w:pPr>
            <w:proofErr w:type="spellStart"/>
            <w:r w:rsidRPr="00A62FBD">
              <w:rPr>
                <w:rFonts w:ascii="Cambria" w:hAnsi="Cambria" w:cs="Calibri"/>
              </w:rPr>
              <w:t>Sadržaj</w:t>
            </w:r>
            <w:proofErr w:type="spellEnd"/>
            <w:r w:rsidRPr="00A62FBD">
              <w:rPr>
                <w:rFonts w:ascii="Cambria" w:hAnsi="Cambria" w:cs="Calibri"/>
              </w:rPr>
              <w:t xml:space="preserve"> </w:t>
            </w:r>
            <w:proofErr w:type="spellStart"/>
            <w:r w:rsidRPr="00A62FBD">
              <w:rPr>
                <w:rFonts w:ascii="Cambria" w:hAnsi="Cambria" w:cs="Calibri"/>
              </w:rPr>
              <w:t>kolegija</w:t>
            </w:r>
            <w:proofErr w:type="spellEnd"/>
          </w:p>
        </w:tc>
        <w:tc>
          <w:tcPr>
            <w:tcW w:w="7374"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98879CE" w14:textId="77777777" w:rsidR="00B36357" w:rsidRDefault="00B36357" w:rsidP="00B36357">
            <w:pPr>
              <w:spacing w:after="0" w:line="240" w:lineRule="auto"/>
              <w:rPr>
                <w:rFonts w:ascii="Cambria" w:eastAsia="SimSun" w:hAnsi="Cambria" w:cs="TTE297F630t00"/>
                <w:lang w:eastAsia="hr-HR"/>
              </w:rPr>
            </w:pPr>
            <w:r>
              <w:rPr>
                <w:rFonts w:ascii="Cambria" w:eastAsia="SimSun" w:hAnsi="Cambria" w:cs="TTE297F630t00"/>
                <w:lang w:eastAsia="hr-HR"/>
              </w:rPr>
              <w:t xml:space="preserve">1. </w:t>
            </w:r>
            <w:proofErr w:type="spellStart"/>
            <w:r w:rsidR="00FC4004" w:rsidRPr="00B36357">
              <w:rPr>
                <w:rFonts w:ascii="Cambria" w:eastAsia="SimSun" w:hAnsi="Cambria" w:cs="TTE297F630t00"/>
                <w:lang w:eastAsia="hr-HR"/>
              </w:rPr>
              <w:t>Upoznavanje</w:t>
            </w:r>
            <w:proofErr w:type="spellEnd"/>
            <w:r w:rsidR="00FC4004" w:rsidRPr="00B36357">
              <w:rPr>
                <w:rFonts w:ascii="Cambria" w:eastAsia="SimSun" w:hAnsi="Cambria" w:cs="TTE297F630t00"/>
                <w:lang w:eastAsia="hr-HR"/>
              </w:rPr>
              <w:t xml:space="preserve"> s </w:t>
            </w:r>
            <w:proofErr w:type="spellStart"/>
            <w:r w:rsidR="00FC4004" w:rsidRPr="00B36357">
              <w:rPr>
                <w:rFonts w:ascii="Cambria" w:eastAsia="SimSun" w:hAnsi="Cambria" w:cs="TTE297F630t00"/>
                <w:lang w:eastAsia="hr-HR"/>
              </w:rPr>
              <w:t>metodikom</w:t>
            </w:r>
            <w:proofErr w:type="spellEnd"/>
            <w:r w:rsidR="00FC4004" w:rsidRPr="00B36357">
              <w:rPr>
                <w:rFonts w:ascii="Cambria" w:eastAsia="SimSun" w:hAnsi="Cambria" w:cs="TTE297F630t00"/>
                <w:lang w:eastAsia="hr-HR"/>
              </w:rPr>
              <w:t xml:space="preserve"> </w:t>
            </w:r>
            <w:proofErr w:type="spellStart"/>
            <w:r w:rsidR="00FC4004" w:rsidRPr="00B36357">
              <w:rPr>
                <w:rFonts w:ascii="Cambria" w:eastAsia="SimSun" w:hAnsi="Cambria" w:cs="TTE297F630t00"/>
                <w:lang w:eastAsia="hr-HR"/>
              </w:rPr>
              <w:t>matematike</w:t>
            </w:r>
            <w:proofErr w:type="spellEnd"/>
            <w:r w:rsidR="00FC4004" w:rsidRPr="00B36357">
              <w:rPr>
                <w:rFonts w:ascii="Cambria" w:eastAsia="SimSun" w:hAnsi="Cambria" w:cs="TTE297F630t00"/>
                <w:lang w:eastAsia="hr-HR"/>
              </w:rPr>
              <w:t xml:space="preserve"> </w:t>
            </w:r>
            <w:proofErr w:type="spellStart"/>
            <w:r w:rsidR="00FC4004" w:rsidRPr="00B36357">
              <w:rPr>
                <w:rFonts w:ascii="Cambria" w:eastAsia="SimSun" w:hAnsi="Cambria" w:cs="TTE297F630t00"/>
                <w:lang w:eastAsia="hr-HR"/>
              </w:rPr>
              <w:t>kao</w:t>
            </w:r>
            <w:proofErr w:type="spellEnd"/>
            <w:r w:rsidR="00FC4004" w:rsidRPr="00B36357">
              <w:rPr>
                <w:rFonts w:ascii="Cambria" w:eastAsia="SimSun" w:hAnsi="Cambria" w:cs="TTE297F630t00"/>
                <w:lang w:eastAsia="hr-HR"/>
              </w:rPr>
              <w:t xml:space="preserve"> </w:t>
            </w:r>
            <w:proofErr w:type="spellStart"/>
            <w:r w:rsidR="00FC4004" w:rsidRPr="00B36357">
              <w:rPr>
                <w:rFonts w:ascii="Cambria" w:eastAsia="SimSun" w:hAnsi="Cambria" w:cs="TTE297F630t00"/>
                <w:lang w:eastAsia="hr-HR"/>
              </w:rPr>
              <w:t>znanstvenom</w:t>
            </w:r>
            <w:proofErr w:type="spellEnd"/>
            <w:r w:rsidR="00FC4004" w:rsidRPr="00B36357">
              <w:rPr>
                <w:rFonts w:ascii="Cambria" w:eastAsia="SimSun" w:hAnsi="Cambria" w:cs="TTE297F630t00"/>
                <w:lang w:eastAsia="hr-HR"/>
              </w:rPr>
              <w:t xml:space="preserve"> </w:t>
            </w:r>
            <w:proofErr w:type="spellStart"/>
            <w:r w:rsidR="00FC4004" w:rsidRPr="00B36357">
              <w:rPr>
                <w:rFonts w:ascii="Cambria" w:eastAsia="SimSun" w:hAnsi="Cambria" w:cs="TTE297F630t00"/>
                <w:lang w:eastAsia="hr-HR"/>
              </w:rPr>
              <w:t>disciplinom</w:t>
            </w:r>
            <w:proofErr w:type="spellEnd"/>
            <w:r w:rsidR="00FC4004" w:rsidRPr="00B36357">
              <w:rPr>
                <w:rFonts w:ascii="Cambria" w:eastAsia="SimSun" w:hAnsi="Cambria" w:cs="TTE297F630t00"/>
                <w:lang w:eastAsia="hr-HR"/>
              </w:rPr>
              <w:t>.</w:t>
            </w:r>
          </w:p>
          <w:p w14:paraId="23B22438" w14:textId="77777777" w:rsidR="00B36357" w:rsidRPr="004E73E5" w:rsidRDefault="00B36357" w:rsidP="00B36357">
            <w:pPr>
              <w:spacing w:after="0" w:line="240" w:lineRule="auto"/>
              <w:rPr>
                <w:rFonts w:ascii="Cambria" w:eastAsia="SimSun" w:hAnsi="Cambria" w:cs="TTE297F630t00"/>
                <w:lang w:eastAsia="hr-HR"/>
              </w:rPr>
            </w:pPr>
            <w:r w:rsidRPr="004E73E5">
              <w:rPr>
                <w:rFonts w:ascii="Cambria" w:eastAsia="SimSun" w:hAnsi="Cambria" w:cs="TTE297F630t00"/>
                <w:lang w:eastAsia="hr-HR"/>
              </w:rPr>
              <w:t xml:space="preserve">2. </w:t>
            </w:r>
            <w:proofErr w:type="spellStart"/>
            <w:r w:rsidR="00FC4004" w:rsidRPr="004E73E5">
              <w:rPr>
                <w:rFonts w:ascii="Cambria" w:eastAsia="SimSun" w:hAnsi="Cambria" w:cs="TTE297F630t00"/>
                <w:lang w:eastAsia="hr-HR"/>
              </w:rPr>
              <w:t>Definiranje</w:t>
            </w:r>
            <w:proofErr w:type="spellEnd"/>
            <w:r w:rsidR="00FC4004" w:rsidRPr="004E73E5">
              <w:rPr>
                <w:rFonts w:ascii="Cambria" w:eastAsia="SimSun" w:hAnsi="Cambria" w:cs="TTE297F630t00"/>
                <w:lang w:eastAsia="hr-HR"/>
              </w:rPr>
              <w:t xml:space="preserve"> </w:t>
            </w:r>
            <w:proofErr w:type="spellStart"/>
            <w:r w:rsidR="00FC4004" w:rsidRPr="004E73E5">
              <w:rPr>
                <w:rFonts w:ascii="Cambria" w:eastAsia="SimSun" w:hAnsi="Cambria" w:cs="TTE297F630t00"/>
                <w:lang w:eastAsia="hr-HR"/>
              </w:rPr>
              <w:t>osnovnih</w:t>
            </w:r>
            <w:proofErr w:type="spellEnd"/>
            <w:r w:rsidR="00FC4004" w:rsidRPr="004E73E5">
              <w:rPr>
                <w:rFonts w:ascii="Cambria" w:eastAsia="SimSun" w:hAnsi="Cambria" w:cs="TTE297F630t00"/>
                <w:lang w:eastAsia="hr-HR"/>
              </w:rPr>
              <w:t xml:space="preserve"> </w:t>
            </w:r>
            <w:proofErr w:type="spellStart"/>
            <w:r w:rsidR="00FC4004" w:rsidRPr="004E73E5">
              <w:rPr>
                <w:rFonts w:ascii="Cambria" w:eastAsia="SimSun" w:hAnsi="Cambria" w:cs="TTE297F630t00"/>
                <w:lang w:eastAsia="hr-HR"/>
              </w:rPr>
              <w:t>pojmova</w:t>
            </w:r>
            <w:proofErr w:type="spellEnd"/>
            <w:r w:rsidR="00FC4004" w:rsidRPr="004E73E5">
              <w:rPr>
                <w:rFonts w:ascii="Cambria" w:eastAsia="SimSun" w:hAnsi="Cambria" w:cs="TTE297F630t00"/>
                <w:lang w:eastAsia="hr-HR"/>
              </w:rPr>
              <w:t xml:space="preserve">, </w:t>
            </w:r>
            <w:proofErr w:type="spellStart"/>
            <w:r w:rsidR="00FC4004" w:rsidRPr="004E73E5">
              <w:rPr>
                <w:rFonts w:ascii="Cambria" w:eastAsia="SimSun" w:hAnsi="Cambria" w:cs="TTE297F630t00"/>
                <w:lang w:eastAsia="hr-HR"/>
              </w:rPr>
              <w:t>ciljeva</w:t>
            </w:r>
            <w:proofErr w:type="spellEnd"/>
            <w:r w:rsidR="00FC4004" w:rsidRPr="004E73E5">
              <w:rPr>
                <w:rFonts w:ascii="Cambria" w:eastAsia="SimSun" w:hAnsi="Cambria" w:cs="TTE297F630t00"/>
                <w:lang w:eastAsia="hr-HR"/>
              </w:rPr>
              <w:t xml:space="preserve"> </w:t>
            </w:r>
            <w:proofErr w:type="spellStart"/>
            <w:r w:rsidR="00FC4004" w:rsidRPr="004E73E5">
              <w:rPr>
                <w:rFonts w:ascii="Cambria" w:eastAsia="SimSun" w:hAnsi="Cambria" w:cs="TTE297F630t00"/>
                <w:lang w:eastAsia="hr-HR"/>
              </w:rPr>
              <w:t>i</w:t>
            </w:r>
            <w:proofErr w:type="spellEnd"/>
            <w:r w:rsidR="00FC4004" w:rsidRPr="004E73E5">
              <w:rPr>
                <w:rFonts w:ascii="Cambria" w:eastAsia="SimSun" w:hAnsi="Cambria" w:cs="TTE297F630t00"/>
                <w:lang w:eastAsia="hr-HR"/>
              </w:rPr>
              <w:t xml:space="preserve"> </w:t>
            </w:r>
            <w:proofErr w:type="spellStart"/>
            <w:r w:rsidR="00FC4004" w:rsidRPr="004E73E5">
              <w:rPr>
                <w:rFonts w:ascii="Cambria" w:eastAsia="SimSun" w:hAnsi="Cambria" w:cs="TTE297F630t00"/>
                <w:lang w:eastAsia="hr-HR"/>
              </w:rPr>
              <w:t>zadaća</w:t>
            </w:r>
            <w:proofErr w:type="spellEnd"/>
            <w:r w:rsidR="00FC4004" w:rsidRPr="004E73E5">
              <w:rPr>
                <w:rFonts w:ascii="Cambria" w:eastAsia="SimSun" w:hAnsi="Cambria" w:cs="TTE297F630t00"/>
                <w:lang w:eastAsia="hr-HR"/>
              </w:rPr>
              <w:t xml:space="preserve"> u </w:t>
            </w:r>
            <w:proofErr w:type="spellStart"/>
            <w:r w:rsidR="00FC4004" w:rsidRPr="004E73E5">
              <w:rPr>
                <w:rFonts w:ascii="Cambria" w:eastAsia="SimSun" w:hAnsi="Cambria" w:cs="TTE297F630t00"/>
                <w:lang w:eastAsia="hr-HR"/>
              </w:rPr>
              <w:t>metodici</w:t>
            </w:r>
            <w:proofErr w:type="spellEnd"/>
            <w:r w:rsidR="00FC4004" w:rsidRPr="004E73E5">
              <w:rPr>
                <w:rFonts w:ascii="Cambria" w:eastAsia="SimSun" w:hAnsi="Cambria" w:cs="TTE297F630t00"/>
                <w:lang w:eastAsia="hr-HR"/>
              </w:rPr>
              <w:t xml:space="preserve"> </w:t>
            </w:r>
            <w:proofErr w:type="spellStart"/>
            <w:r w:rsidR="00FC4004" w:rsidRPr="004E73E5">
              <w:rPr>
                <w:rFonts w:ascii="Cambria" w:eastAsia="SimSun" w:hAnsi="Cambria" w:cs="TTE297F630t00"/>
                <w:lang w:eastAsia="hr-HR"/>
              </w:rPr>
              <w:t>matematike</w:t>
            </w:r>
            <w:proofErr w:type="spellEnd"/>
            <w:r w:rsidR="00FC4004" w:rsidRPr="004E73E5">
              <w:rPr>
                <w:rFonts w:ascii="Cambria" w:eastAsia="SimSun" w:hAnsi="Cambria" w:cs="TTE297F630t00"/>
                <w:lang w:eastAsia="hr-HR"/>
              </w:rPr>
              <w:t xml:space="preserve">. </w:t>
            </w:r>
          </w:p>
          <w:p w14:paraId="1EDAB657" w14:textId="38FB7C56" w:rsidR="00FC4004" w:rsidRPr="00B36357" w:rsidRDefault="00B36357" w:rsidP="00B36357">
            <w:pPr>
              <w:spacing w:after="0" w:line="240" w:lineRule="auto"/>
              <w:rPr>
                <w:rFonts w:ascii="Cambria" w:eastAsia="SimSun" w:hAnsi="Cambria" w:cs="TTE297F630t00"/>
                <w:lang w:eastAsia="hr-HR"/>
              </w:rPr>
            </w:pPr>
            <w:r>
              <w:rPr>
                <w:rFonts w:ascii="Cambria" w:eastAsia="SimSun" w:hAnsi="Cambria" w:cs="TTE297F630t00"/>
                <w:lang w:eastAsia="hr-HR"/>
              </w:rPr>
              <w:t xml:space="preserve">3. </w:t>
            </w:r>
            <w:proofErr w:type="spellStart"/>
            <w:r w:rsidR="00FC4004" w:rsidRPr="00B36357">
              <w:rPr>
                <w:rFonts w:ascii="Cambria" w:eastAsia="SimSun" w:hAnsi="Cambria" w:cs="TTE297F630t00"/>
                <w:lang w:eastAsia="hr-HR"/>
              </w:rPr>
              <w:t>Upoznavanje</w:t>
            </w:r>
            <w:proofErr w:type="spellEnd"/>
            <w:r w:rsidR="00FC4004" w:rsidRPr="00B36357">
              <w:rPr>
                <w:rFonts w:ascii="Cambria" w:eastAsia="SimSun" w:hAnsi="Cambria" w:cs="TTE297F630t00"/>
                <w:lang w:eastAsia="hr-HR"/>
              </w:rPr>
              <w:t xml:space="preserve"> s </w:t>
            </w:r>
            <w:proofErr w:type="spellStart"/>
            <w:r w:rsidR="00FC4004" w:rsidRPr="00B36357">
              <w:rPr>
                <w:rFonts w:ascii="Cambria" w:eastAsia="SimSun" w:hAnsi="Cambria" w:cs="TTE297F630t00"/>
                <w:lang w:eastAsia="hr-HR"/>
              </w:rPr>
              <w:t>kurikulumom</w:t>
            </w:r>
            <w:proofErr w:type="spellEnd"/>
            <w:r w:rsidR="00FC4004" w:rsidRPr="00B36357">
              <w:rPr>
                <w:rFonts w:ascii="Cambria" w:eastAsia="SimSun" w:hAnsi="Cambria" w:cs="TTE297F630t00"/>
                <w:lang w:eastAsia="hr-HR"/>
              </w:rPr>
              <w:t xml:space="preserve"> </w:t>
            </w:r>
            <w:proofErr w:type="spellStart"/>
            <w:r w:rsidR="00FC4004" w:rsidRPr="00B36357">
              <w:rPr>
                <w:rFonts w:ascii="Cambria" w:eastAsia="SimSun" w:hAnsi="Cambria" w:cs="TTE297F630t00"/>
                <w:lang w:eastAsia="hr-HR"/>
              </w:rPr>
              <w:t>nastavnog</w:t>
            </w:r>
            <w:proofErr w:type="spellEnd"/>
            <w:r w:rsidR="00FC4004" w:rsidRPr="00B36357">
              <w:rPr>
                <w:rFonts w:ascii="Cambria" w:eastAsia="SimSun" w:hAnsi="Cambria" w:cs="TTE297F630t00"/>
                <w:lang w:eastAsia="hr-HR"/>
              </w:rPr>
              <w:t xml:space="preserve"> </w:t>
            </w:r>
            <w:proofErr w:type="spellStart"/>
            <w:r w:rsidR="00FC4004" w:rsidRPr="00B36357">
              <w:rPr>
                <w:rFonts w:ascii="Cambria" w:eastAsia="SimSun" w:hAnsi="Cambria" w:cs="TTE297F630t00"/>
                <w:lang w:eastAsia="hr-HR"/>
              </w:rPr>
              <w:t>predmeta</w:t>
            </w:r>
            <w:proofErr w:type="spellEnd"/>
            <w:r w:rsidR="00FC4004" w:rsidRPr="00B36357">
              <w:rPr>
                <w:rFonts w:ascii="Cambria" w:eastAsia="SimSun" w:hAnsi="Cambria" w:cs="TTE297F630t00"/>
                <w:lang w:eastAsia="hr-HR"/>
              </w:rPr>
              <w:t xml:space="preserve"> </w:t>
            </w:r>
            <w:proofErr w:type="spellStart"/>
            <w:r w:rsidR="00FC4004" w:rsidRPr="00B36357">
              <w:rPr>
                <w:rFonts w:ascii="Cambria" w:eastAsia="SimSun" w:hAnsi="Cambria" w:cs="TTE297F630t00"/>
                <w:lang w:eastAsia="hr-HR"/>
              </w:rPr>
              <w:t>matematike</w:t>
            </w:r>
            <w:proofErr w:type="spellEnd"/>
          </w:p>
          <w:p w14:paraId="4791E32C" w14:textId="016CA37A" w:rsidR="00FC4004" w:rsidRPr="00B36357" w:rsidRDefault="00FC4004" w:rsidP="00B36357">
            <w:pPr>
              <w:pStyle w:val="Odlomakpopisa"/>
              <w:numPr>
                <w:ilvl w:val="0"/>
                <w:numId w:val="23"/>
              </w:numPr>
              <w:spacing w:after="0" w:line="240" w:lineRule="auto"/>
              <w:rPr>
                <w:rFonts w:ascii="Cambria" w:eastAsia="SimSun" w:hAnsi="Cambria" w:cs="TTE297F630t00"/>
                <w:lang w:eastAsia="hr-HR"/>
              </w:rPr>
            </w:pPr>
            <w:r w:rsidRPr="00B36357">
              <w:rPr>
                <w:rFonts w:ascii="Cambria" w:eastAsia="SimSun" w:hAnsi="Cambria" w:cs="TTE297F630t00"/>
                <w:lang w:eastAsia="hr-HR"/>
              </w:rPr>
              <w:t xml:space="preserve">Znanstvene metode u nastavi matematike. </w:t>
            </w:r>
          </w:p>
          <w:p w14:paraId="42C4F855" w14:textId="77777777" w:rsidR="00FC4004" w:rsidRDefault="00FC4004" w:rsidP="00B36357">
            <w:pPr>
              <w:pStyle w:val="Odlomakpopisa"/>
              <w:numPr>
                <w:ilvl w:val="0"/>
                <w:numId w:val="23"/>
              </w:numPr>
              <w:spacing w:after="0" w:line="240" w:lineRule="auto"/>
              <w:rPr>
                <w:rFonts w:ascii="Cambria" w:eastAsia="SimSun" w:hAnsi="Cambria" w:cs="TTE297F630t00"/>
                <w:lang w:eastAsia="hr-HR"/>
              </w:rPr>
            </w:pPr>
            <w:r w:rsidRPr="00CB38D0">
              <w:rPr>
                <w:rFonts w:ascii="Cambria" w:eastAsia="SimSun" w:hAnsi="Cambria" w:cs="TTE297F630t00"/>
                <w:lang w:eastAsia="hr-HR"/>
              </w:rPr>
              <w:t>Povezivanje matematike s drugim predmetima</w:t>
            </w:r>
            <w:r>
              <w:rPr>
                <w:rFonts w:ascii="Cambria" w:eastAsia="SimSun" w:hAnsi="Cambria" w:cs="TTE297F630t00"/>
                <w:lang w:eastAsia="hr-HR"/>
              </w:rPr>
              <w:t xml:space="preserve"> </w:t>
            </w:r>
            <w:r w:rsidRPr="00CB38D0">
              <w:rPr>
                <w:rFonts w:ascii="Cambria" w:eastAsia="SimSun" w:hAnsi="Cambria" w:cs="TTE297F630t00"/>
                <w:lang w:eastAsia="hr-HR"/>
              </w:rPr>
              <w:t xml:space="preserve">i </w:t>
            </w:r>
            <w:proofErr w:type="spellStart"/>
            <w:r w:rsidRPr="00CB38D0">
              <w:rPr>
                <w:rFonts w:ascii="Cambria" w:eastAsia="SimSun" w:hAnsi="Cambria" w:cs="TTE297F630t00"/>
                <w:lang w:eastAsia="hr-HR"/>
              </w:rPr>
              <w:t>međupredmetnim</w:t>
            </w:r>
            <w:proofErr w:type="spellEnd"/>
            <w:r w:rsidRPr="00CB38D0">
              <w:rPr>
                <w:rFonts w:ascii="Cambria" w:eastAsia="SimSun" w:hAnsi="Cambria" w:cs="TTE297F630t00"/>
                <w:lang w:eastAsia="hr-HR"/>
              </w:rPr>
              <w:t xml:space="preserve"> temama i svakodnevnim životom</w:t>
            </w:r>
          </w:p>
          <w:p w14:paraId="1977BD8E" w14:textId="77777777" w:rsidR="00FC4004" w:rsidRPr="00E2330C" w:rsidRDefault="00FC4004" w:rsidP="00B36357">
            <w:pPr>
              <w:pStyle w:val="Odlomakpopisa"/>
              <w:numPr>
                <w:ilvl w:val="0"/>
                <w:numId w:val="23"/>
              </w:numPr>
              <w:spacing w:after="0" w:line="240" w:lineRule="auto"/>
              <w:rPr>
                <w:rFonts w:ascii="Cambria" w:eastAsia="SimSun" w:hAnsi="Cambria" w:cs="TTE297F630t00"/>
                <w:lang w:eastAsia="hr-HR"/>
              </w:rPr>
            </w:pPr>
            <w:r w:rsidRPr="00E2330C">
              <w:rPr>
                <w:rFonts w:ascii="Cambria" w:eastAsia="SimSun" w:hAnsi="Cambria" w:cs="TTE297F630t00"/>
                <w:lang w:eastAsia="hr-HR"/>
              </w:rPr>
              <w:t xml:space="preserve">Psihološke osnove nastave matematike. Subjektivne pretpostavke za formiranje osnovnih matematičkih pojmova. </w:t>
            </w:r>
          </w:p>
          <w:p w14:paraId="21AFC0E9" w14:textId="77777777" w:rsidR="00FC4004" w:rsidRPr="00E2330C" w:rsidRDefault="00FC4004" w:rsidP="00B36357">
            <w:pPr>
              <w:pStyle w:val="Odlomakpopisa"/>
              <w:numPr>
                <w:ilvl w:val="0"/>
                <w:numId w:val="23"/>
              </w:numPr>
              <w:spacing w:after="0" w:line="240" w:lineRule="auto"/>
              <w:rPr>
                <w:rFonts w:ascii="Cambria" w:eastAsia="SimSun" w:hAnsi="Cambria" w:cs="TTE297F630t00"/>
                <w:lang w:eastAsia="hr-HR"/>
              </w:rPr>
            </w:pPr>
            <w:r w:rsidRPr="00E2330C">
              <w:rPr>
                <w:rFonts w:ascii="Cambria" w:eastAsia="SimSun" w:hAnsi="Cambria" w:cs="TTE297F630t00"/>
                <w:lang w:eastAsia="hr-HR"/>
              </w:rPr>
              <w:t xml:space="preserve">Spoznajne osnove početne nastave matematike. Matematički pojam. Metodički pristup formiranju osnovnih matematičkih pojmova. </w:t>
            </w:r>
          </w:p>
          <w:p w14:paraId="6E8879B1" w14:textId="77777777" w:rsidR="00FC4004" w:rsidRPr="00E2330C" w:rsidRDefault="00FC4004" w:rsidP="00B36357">
            <w:pPr>
              <w:pStyle w:val="Odlomakpopisa"/>
              <w:numPr>
                <w:ilvl w:val="0"/>
                <w:numId w:val="23"/>
              </w:numPr>
              <w:spacing w:after="0" w:line="240" w:lineRule="auto"/>
              <w:rPr>
                <w:rFonts w:ascii="Cambria" w:eastAsia="SimSun" w:hAnsi="Cambria" w:cs="TTE297F630t00"/>
                <w:lang w:eastAsia="hr-HR"/>
              </w:rPr>
            </w:pPr>
            <w:r w:rsidRPr="00E2330C">
              <w:rPr>
                <w:rFonts w:ascii="Cambria" w:eastAsia="SimSun" w:hAnsi="Cambria" w:cs="TTE297F630t00"/>
                <w:lang w:eastAsia="hr-HR"/>
              </w:rPr>
              <w:t>Načela u nastavi matematike</w:t>
            </w:r>
            <w:r>
              <w:rPr>
                <w:rFonts w:ascii="Cambria" w:eastAsia="SimSun" w:hAnsi="Cambria" w:cs="TTE297F630t00"/>
                <w:lang w:eastAsia="hr-HR"/>
              </w:rPr>
              <w:t>.</w:t>
            </w:r>
          </w:p>
          <w:p w14:paraId="04B16D58" w14:textId="77777777" w:rsidR="00FC4004" w:rsidRDefault="00FC4004" w:rsidP="00B36357">
            <w:pPr>
              <w:pStyle w:val="Odlomakpopisa"/>
              <w:numPr>
                <w:ilvl w:val="0"/>
                <w:numId w:val="23"/>
              </w:numPr>
              <w:spacing w:after="0" w:line="240" w:lineRule="auto"/>
              <w:rPr>
                <w:rFonts w:ascii="Cambria" w:eastAsia="SimSun" w:hAnsi="Cambria" w:cs="TTE297F630t00"/>
                <w:lang w:eastAsia="hr-HR"/>
              </w:rPr>
            </w:pPr>
            <w:r>
              <w:rPr>
                <w:rFonts w:ascii="Cambria" w:eastAsia="SimSun" w:hAnsi="Cambria" w:cs="TTE297F630t00"/>
                <w:lang w:eastAsia="hr-HR"/>
              </w:rPr>
              <w:t>Metode i oblici rada u nastavi matematike.</w:t>
            </w:r>
          </w:p>
          <w:p w14:paraId="25BC8E21" w14:textId="77777777" w:rsidR="00FC4004" w:rsidRPr="00E2330C" w:rsidRDefault="00FC4004" w:rsidP="00B36357">
            <w:pPr>
              <w:pStyle w:val="Odlomakpopisa"/>
              <w:numPr>
                <w:ilvl w:val="0"/>
                <w:numId w:val="23"/>
              </w:numPr>
              <w:spacing w:after="0" w:line="240" w:lineRule="auto"/>
              <w:rPr>
                <w:rFonts w:ascii="Cambria" w:eastAsia="SimSun" w:hAnsi="Cambria" w:cs="TTE297F630t00"/>
                <w:lang w:eastAsia="hr-HR"/>
              </w:rPr>
            </w:pPr>
            <w:r w:rsidRPr="00E2330C">
              <w:rPr>
                <w:rFonts w:ascii="Cambria" w:eastAsia="SimSun" w:hAnsi="Cambria" w:cs="TTE297F630t00"/>
                <w:lang w:eastAsia="hr-HR"/>
              </w:rPr>
              <w:t xml:space="preserve">Nastavna sredstva i pomagala u nastavi matematike. </w:t>
            </w:r>
          </w:p>
          <w:p w14:paraId="4DA55491" w14:textId="77777777" w:rsidR="00FC4004" w:rsidRPr="00E2330C" w:rsidRDefault="00FC4004" w:rsidP="00B36357">
            <w:pPr>
              <w:pStyle w:val="Odlomakpopisa"/>
              <w:numPr>
                <w:ilvl w:val="0"/>
                <w:numId w:val="23"/>
              </w:numPr>
              <w:spacing w:after="0" w:line="240" w:lineRule="auto"/>
              <w:rPr>
                <w:rFonts w:ascii="Cambria" w:eastAsia="SimSun" w:hAnsi="Cambria" w:cs="TTE297F630t00"/>
                <w:lang w:eastAsia="hr-HR"/>
              </w:rPr>
            </w:pPr>
            <w:r w:rsidRPr="00E2330C">
              <w:rPr>
                <w:rFonts w:ascii="Cambria" w:eastAsia="SimSun" w:hAnsi="Cambria" w:cs="TTE297F630t00"/>
                <w:lang w:eastAsia="hr-HR"/>
              </w:rPr>
              <w:t xml:space="preserve">Organizacija </w:t>
            </w:r>
            <w:r>
              <w:rPr>
                <w:rFonts w:ascii="Cambria" w:eastAsia="SimSun" w:hAnsi="Cambria" w:cs="TTE297F630t00"/>
                <w:lang w:eastAsia="hr-HR"/>
              </w:rPr>
              <w:t xml:space="preserve">nastavnog </w:t>
            </w:r>
            <w:r w:rsidRPr="00E2330C">
              <w:rPr>
                <w:rFonts w:ascii="Cambria" w:eastAsia="SimSun" w:hAnsi="Cambria" w:cs="TTE297F630t00"/>
                <w:lang w:eastAsia="hr-HR"/>
              </w:rPr>
              <w:t xml:space="preserve">sata </w:t>
            </w:r>
          </w:p>
          <w:p w14:paraId="5AAA0A94" w14:textId="77777777" w:rsidR="00FC4004" w:rsidRPr="000C67FD" w:rsidRDefault="00FC4004" w:rsidP="00B36357">
            <w:pPr>
              <w:pStyle w:val="Odlomakpopisa"/>
              <w:numPr>
                <w:ilvl w:val="0"/>
                <w:numId w:val="23"/>
              </w:numPr>
              <w:spacing w:after="0" w:line="240" w:lineRule="auto"/>
              <w:rPr>
                <w:rFonts w:ascii="Cambria" w:eastAsia="SimSun" w:hAnsi="Cambria" w:cs="Calibri"/>
                <w:lang w:eastAsia="hr-HR"/>
              </w:rPr>
            </w:pPr>
            <w:r w:rsidRPr="00E2330C">
              <w:rPr>
                <w:rFonts w:ascii="Cambria" w:eastAsia="SimSun" w:hAnsi="Cambria" w:cs="TTE297F630t00"/>
                <w:lang w:eastAsia="hr-HR"/>
              </w:rPr>
              <w:t xml:space="preserve">Planiranje, od kurikuluma do nastavne pripreme. </w:t>
            </w:r>
          </w:p>
          <w:p w14:paraId="4864A9AE" w14:textId="77777777" w:rsidR="00FC4004" w:rsidRPr="007A153C" w:rsidRDefault="00FC4004" w:rsidP="00B36357">
            <w:pPr>
              <w:pStyle w:val="Odlomakpopisa"/>
              <w:numPr>
                <w:ilvl w:val="0"/>
                <w:numId w:val="23"/>
              </w:numPr>
              <w:spacing w:after="0" w:line="240" w:lineRule="auto"/>
              <w:rPr>
                <w:rFonts w:ascii="Cambria" w:eastAsia="SimSun" w:hAnsi="Cambria" w:cs="Calibri"/>
                <w:lang w:eastAsia="hr-HR"/>
              </w:rPr>
            </w:pPr>
            <w:r w:rsidRPr="00E2330C">
              <w:rPr>
                <w:rFonts w:ascii="Cambria" w:eastAsia="SimSun" w:hAnsi="Cambria" w:cs="TTE297F630t00"/>
                <w:lang w:eastAsia="hr-HR"/>
              </w:rPr>
              <w:t>Vrednovanje matematičkih sadržaja</w:t>
            </w:r>
          </w:p>
          <w:p w14:paraId="58CE50DA" w14:textId="77777777" w:rsidR="00FC4004" w:rsidRPr="00E159B2" w:rsidRDefault="00FC4004" w:rsidP="00B36357">
            <w:pPr>
              <w:pStyle w:val="Odlomakpopisa"/>
              <w:numPr>
                <w:ilvl w:val="0"/>
                <w:numId w:val="23"/>
              </w:numPr>
              <w:spacing w:after="0" w:line="240" w:lineRule="auto"/>
              <w:rPr>
                <w:rFonts w:ascii="Cambria" w:eastAsia="SimSun" w:hAnsi="Cambria" w:cs="Calibri"/>
                <w:lang w:eastAsia="hr-HR"/>
              </w:rPr>
            </w:pPr>
            <w:r>
              <w:rPr>
                <w:rFonts w:ascii="Cambria" w:eastAsia="SimSun" w:hAnsi="Cambria" w:cs="TTE297F630t00"/>
                <w:lang w:eastAsia="hr-HR"/>
              </w:rPr>
              <w:t>Zanimljivosti iz svijeta matematike</w:t>
            </w:r>
          </w:p>
        </w:tc>
      </w:tr>
      <w:tr w:rsidR="00FC4004" w:rsidRPr="00E45645" w14:paraId="10E053E1" w14:textId="77777777" w:rsidTr="00FC4004">
        <w:tc>
          <w:tcPr>
            <w:tcW w:w="2971"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76B2F3D4" w14:textId="77777777" w:rsidR="00FC4004" w:rsidRPr="00A62FBD" w:rsidRDefault="00FC4004" w:rsidP="000F1A10">
            <w:pPr>
              <w:spacing w:after="0" w:line="240" w:lineRule="auto"/>
              <w:rPr>
                <w:rFonts w:ascii="Cambria" w:hAnsi="Cambria" w:cs="Calibri"/>
              </w:rPr>
            </w:pPr>
            <w:proofErr w:type="spellStart"/>
            <w:r w:rsidRPr="00A62FBD">
              <w:rPr>
                <w:rFonts w:ascii="Cambria" w:hAnsi="Cambria" w:cs="Calibri"/>
              </w:rPr>
              <w:t>Planirane</w:t>
            </w:r>
            <w:proofErr w:type="spellEnd"/>
            <w:r w:rsidRPr="00A62FBD">
              <w:rPr>
                <w:rFonts w:ascii="Cambria" w:hAnsi="Cambria" w:cs="Calibri"/>
              </w:rPr>
              <w:t xml:space="preserve"> </w:t>
            </w:r>
            <w:proofErr w:type="spellStart"/>
            <w:r w:rsidRPr="00A62FBD">
              <w:rPr>
                <w:rFonts w:ascii="Cambria" w:hAnsi="Cambria" w:cs="Calibri"/>
              </w:rPr>
              <w:t>aktivnosti</w:t>
            </w:r>
            <w:proofErr w:type="spellEnd"/>
            <w:r w:rsidRPr="00A62FBD">
              <w:rPr>
                <w:rFonts w:ascii="Cambria" w:hAnsi="Cambria" w:cs="Calibri"/>
                <w:lang w:val="it-IT"/>
              </w:rPr>
              <w:t>,</w:t>
            </w:r>
          </w:p>
          <w:p w14:paraId="4A40FAAF" w14:textId="77777777" w:rsidR="00FC4004" w:rsidRPr="00161325" w:rsidRDefault="00FC4004" w:rsidP="000F1A10">
            <w:pPr>
              <w:spacing w:after="0" w:line="240" w:lineRule="auto"/>
              <w:rPr>
                <w:rFonts w:ascii="Cambria" w:hAnsi="Cambria" w:cs="Calibri"/>
                <w:lang w:val="it-IT"/>
              </w:rPr>
            </w:pPr>
            <w:proofErr w:type="spellStart"/>
            <w:r w:rsidRPr="00A62FBD">
              <w:rPr>
                <w:rFonts w:ascii="Cambria" w:hAnsi="Cambria" w:cs="Calibri"/>
                <w:lang w:val="it-IT"/>
              </w:rPr>
              <w:lastRenderedPageBreak/>
              <w:t>metode</w:t>
            </w:r>
            <w:proofErr w:type="spellEnd"/>
            <w:r w:rsidRPr="00A62FBD">
              <w:rPr>
                <w:rFonts w:ascii="Cambria" w:hAnsi="Cambria" w:cs="Calibri"/>
                <w:lang w:val="it-IT"/>
              </w:rPr>
              <w:t xml:space="preserve"> </w:t>
            </w:r>
            <w:proofErr w:type="spellStart"/>
            <w:r w:rsidRPr="00161325">
              <w:rPr>
                <w:rFonts w:ascii="Cambria" w:hAnsi="Cambria" w:cs="Calibri"/>
                <w:lang w:val="it-IT"/>
              </w:rPr>
              <w:t>učenja</w:t>
            </w:r>
            <w:proofErr w:type="spellEnd"/>
            <w:r w:rsidRPr="00161325">
              <w:rPr>
                <w:rFonts w:ascii="Cambria" w:hAnsi="Cambria" w:cs="Calibri"/>
                <w:lang w:val="it-IT"/>
              </w:rPr>
              <w:t xml:space="preserve"> i </w:t>
            </w:r>
            <w:proofErr w:type="spellStart"/>
            <w:r w:rsidRPr="00161325">
              <w:rPr>
                <w:rFonts w:ascii="Cambria" w:hAnsi="Cambria" w:cs="Calibri"/>
                <w:lang w:val="it-IT"/>
              </w:rPr>
              <w:t>poučavanja</w:t>
            </w:r>
            <w:proofErr w:type="spellEnd"/>
            <w:r w:rsidRPr="00161325">
              <w:rPr>
                <w:rFonts w:ascii="Cambria" w:hAnsi="Cambria" w:cs="Calibri"/>
                <w:lang w:val="it-IT"/>
              </w:rPr>
              <w:t xml:space="preserve"> i </w:t>
            </w:r>
            <w:proofErr w:type="spellStart"/>
            <w:r w:rsidRPr="00161325">
              <w:rPr>
                <w:rFonts w:ascii="Cambria" w:hAnsi="Cambria" w:cs="Calibri"/>
                <w:lang w:val="it-IT"/>
              </w:rPr>
              <w:t>načini</w:t>
            </w:r>
            <w:proofErr w:type="spellEnd"/>
            <w:r w:rsidRPr="00161325">
              <w:rPr>
                <w:rFonts w:ascii="Cambria" w:hAnsi="Cambria" w:cs="Calibri"/>
                <w:lang w:val="it-IT"/>
              </w:rPr>
              <w:t xml:space="preserve"> </w:t>
            </w:r>
            <w:proofErr w:type="spellStart"/>
            <w:r w:rsidRPr="00161325">
              <w:rPr>
                <w:rFonts w:ascii="Cambria" w:hAnsi="Cambria" w:cs="Calibri"/>
                <w:lang w:val="it-IT"/>
              </w:rPr>
              <w:t>vrednovanja</w:t>
            </w:r>
            <w:proofErr w:type="spellEnd"/>
          </w:p>
          <w:p w14:paraId="39DDF05A" w14:textId="77777777" w:rsidR="00FC4004" w:rsidRPr="00161325" w:rsidRDefault="00FC4004" w:rsidP="000F1A10">
            <w:pPr>
              <w:spacing w:after="0" w:line="240" w:lineRule="auto"/>
              <w:rPr>
                <w:rFonts w:ascii="Cambria" w:hAnsi="Cambria" w:cs="Calibri"/>
                <w:lang w:val="it-IT"/>
              </w:rPr>
            </w:pPr>
          </w:p>
        </w:tc>
        <w:tc>
          <w:tcPr>
            <w:tcW w:w="235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25A924D" w14:textId="77777777" w:rsidR="00FC4004" w:rsidRPr="00A62FBD" w:rsidRDefault="00FC4004" w:rsidP="000F1A10">
            <w:pPr>
              <w:spacing w:after="0" w:line="240" w:lineRule="auto"/>
              <w:rPr>
                <w:rFonts w:ascii="Cambria" w:hAnsi="Cambria" w:cs="Calibri"/>
              </w:rPr>
            </w:pPr>
            <w:proofErr w:type="spellStart"/>
            <w:r w:rsidRPr="00E41472">
              <w:rPr>
                <w:rFonts w:ascii="Cambria" w:hAnsi="Cambria" w:cs="Calibri"/>
              </w:rPr>
              <w:lastRenderedPageBreak/>
              <w:t>Obaveze</w:t>
            </w:r>
            <w:proofErr w:type="spellEnd"/>
          </w:p>
        </w:tc>
        <w:tc>
          <w:tcPr>
            <w:tcW w:w="109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7AB5323" w14:textId="77777777" w:rsidR="00FC4004" w:rsidRPr="00A62FBD" w:rsidRDefault="00FC4004" w:rsidP="000F1A10">
            <w:pPr>
              <w:spacing w:after="0" w:line="240" w:lineRule="auto"/>
              <w:jc w:val="center"/>
              <w:rPr>
                <w:rFonts w:ascii="Cambria" w:hAnsi="Cambria" w:cs="Calibri"/>
              </w:rPr>
            </w:pPr>
            <w:proofErr w:type="spellStart"/>
            <w:r w:rsidRPr="00E41472">
              <w:rPr>
                <w:rFonts w:ascii="Cambria" w:hAnsi="Cambria" w:cs="Calibri"/>
              </w:rPr>
              <w:t>Ishodi</w:t>
            </w:r>
            <w:proofErr w:type="spellEnd"/>
          </w:p>
        </w:tc>
        <w:tc>
          <w:tcPr>
            <w:tcW w:w="91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2A14446" w14:textId="77777777" w:rsidR="00FC4004" w:rsidRPr="00A62FBD" w:rsidRDefault="00FC4004" w:rsidP="000F1A10">
            <w:pPr>
              <w:spacing w:after="0" w:line="240" w:lineRule="auto"/>
              <w:jc w:val="center"/>
              <w:rPr>
                <w:rFonts w:ascii="Cambria" w:hAnsi="Cambria" w:cs="Calibri"/>
              </w:rPr>
            </w:pPr>
            <w:r w:rsidRPr="00E41472">
              <w:rPr>
                <w:rFonts w:ascii="Cambria" w:hAnsi="Cambria" w:cs="Calibri"/>
              </w:rPr>
              <w:t>Sati</w:t>
            </w:r>
          </w:p>
        </w:tc>
        <w:tc>
          <w:tcPr>
            <w:tcW w:w="85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FC5141C" w14:textId="77777777" w:rsidR="00FC4004" w:rsidRPr="00A62FBD" w:rsidRDefault="00FC4004" w:rsidP="000F1A10">
            <w:pPr>
              <w:spacing w:after="0" w:line="240" w:lineRule="auto"/>
              <w:jc w:val="center"/>
              <w:rPr>
                <w:rFonts w:ascii="Cambria" w:hAnsi="Cambria" w:cs="Calibri"/>
              </w:rPr>
            </w:pPr>
            <w:r>
              <w:rPr>
                <w:rFonts w:ascii="Cambria" w:hAnsi="Cambria" w:cs="Calibri"/>
              </w:rPr>
              <w:t>ECTS</w:t>
            </w:r>
          </w:p>
        </w:tc>
        <w:tc>
          <w:tcPr>
            <w:tcW w:w="21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6A1587B" w14:textId="77777777" w:rsidR="00FC4004" w:rsidRPr="00E41472" w:rsidRDefault="00FC4004" w:rsidP="000F1A10">
            <w:pPr>
              <w:spacing w:after="0" w:line="240" w:lineRule="auto"/>
              <w:jc w:val="center"/>
              <w:rPr>
                <w:rFonts w:ascii="Cambria" w:hAnsi="Cambria" w:cs="Calibri"/>
              </w:rPr>
            </w:pPr>
            <w:proofErr w:type="spellStart"/>
            <w:r w:rsidRPr="00E41472">
              <w:rPr>
                <w:rFonts w:ascii="Cambria" w:hAnsi="Cambria" w:cs="Calibri"/>
              </w:rPr>
              <w:t>Maksimalni</w:t>
            </w:r>
            <w:proofErr w:type="spellEnd"/>
          </w:p>
          <w:p w14:paraId="76CC2625" w14:textId="77777777" w:rsidR="00FC4004" w:rsidRPr="00A62FBD" w:rsidRDefault="00FC4004" w:rsidP="000F1A10">
            <w:pPr>
              <w:spacing w:after="0" w:line="240" w:lineRule="auto"/>
              <w:jc w:val="center"/>
              <w:rPr>
                <w:rFonts w:ascii="Cambria" w:hAnsi="Cambria" w:cs="Calibri"/>
              </w:rPr>
            </w:pPr>
            <w:proofErr w:type="spellStart"/>
            <w:r w:rsidRPr="00E41472">
              <w:rPr>
                <w:rFonts w:ascii="Cambria" w:hAnsi="Cambria" w:cs="Calibri"/>
              </w:rPr>
              <w:lastRenderedPageBreak/>
              <w:t>udio</w:t>
            </w:r>
            <w:proofErr w:type="spellEnd"/>
            <w:r w:rsidRPr="00E41472">
              <w:rPr>
                <w:rFonts w:ascii="Cambria" w:hAnsi="Cambria" w:cs="Calibri"/>
              </w:rPr>
              <w:t xml:space="preserve"> u </w:t>
            </w:r>
            <w:proofErr w:type="spellStart"/>
            <w:r w:rsidRPr="00E41472">
              <w:rPr>
                <w:rFonts w:ascii="Cambria" w:hAnsi="Cambria" w:cs="Calibri"/>
              </w:rPr>
              <w:t>ocjeni</w:t>
            </w:r>
            <w:proofErr w:type="spellEnd"/>
            <w:r w:rsidRPr="00E41472">
              <w:rPr>
                <w:rFonts w:ascii="Cambria" w:hAnsi="Cambria" w:cs="Calibri"/>
              </w:rPr>
              <w:t xml:space="preserve"> (%)</w:t>
            </w:r>
          </w:p>
        </w:tc>
      </w:tr>
      <w:tr w:rsidR="00FC4004" w:rsidRPr="00E45645" w14:paraId="19F3F02C" w14:textId="77777777" w:rsidTr="00FC4004">
        <w:tc>
          <w:tcPr>
            <w:tcW w:w="2971" w:type="dxa"/>
            <w:vMerge/>
            <w:tcBorders>
              <w:left w:val="single" w:sz="8" w:space="0" w:color="000000"/>
              <w:right w:val="single" w:sz="8" w:space="0" w:color="000000"/>
            </w:tcBorders>
            <w:vAlign w:val="center"/>
          </w:tcPr>
          <w:p w14:paraId="08FE8ABA" w14:textId="77777777" w:rsidR="00FC4004" w:rsidRPr="00A62FBD" w:rsidRDefault="00FC4004" w:rsidP="000F1A10">
            <w:pPr>
              <w:spacing w:after="0" w:line="240" w:lineRule="auto"/>
              <w:rPr>
                <w:rFonts w:ascii="Cambria" w:hAnsi="Cambria" w:cs="Calibri"/>
              </w:rPr>
            </w:pPr>
          </w:p>
        </w:tc>
        <w:tc>
          <w:tcPr>
            <w:tcW w:w="235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81CA696" w14:textId="77777777" w:rsidR="00FC4004" w:rsidRPr="00A62FBD" w:rsidRDefault="00FC4004" w:rsidP="000F1A10">
            <w:pPr>
              <w:spacing w:after="0" w:line="240" w:lineRule="auto"/>
              <w:rPr>
                <w:rFonts w:ascii="Cambria" w:hAnsi="Cambria" w:cs="Calibri"/>
              </w:rPr>
            </w:pPr>
            <w:proofErr w:type="spellStart"/>
            <w:r w:rsidRPr="00E2330C">
              <w:rPr>
                <w:rFonts w:ascii="Cambria" w:hAnsi="Cambria"/>
              </w:rPr>
              <w:t>aktivnosti</w:t>
            </w:r>
            <w:proofErr w:type="spellEnd"/>
            <w:r w:rsidRPr="00E2330C">
              <w:rPr>
                <w:rFonts w:ascii="Cambria" w:hAnsi="Cambria"/>
              </w:rPr>
              <w:t xml:space="preserve"> u </w:t>
            </w:r>
            <w:proofErr w:type="spellStart"/>
            <w:r w:rsidRPr="00E2330C">
              <w:rPr>
                <w:rFonts w:ascii="Cambria" w:hAnsi="Cambria"/>
              </w:rPr>
              <w:t>nastavi</w:t>
            </w:r>
            <w:proofErr w:type="spellEnd"/>
          </w:p>
        </w:tc>
        <w:tc>
          <w:tcPr>
            <w:tcW w:w="109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E2F97FD" w14:textId="77777777" w:rsidR="00FC4004" w:rsidRPr="00A62FBD" w:rsidRDefault="00FC4004" w:rsidP="000F1A10">
            <w:pPr>
              <w:spacing w:after="0" w:line="240" w:lineRule="auto"/>
              <w:jc w:val="center"/>
              <w:rPr>
                <w:rFonts w:ascii="Cambria" w:hAnsi="Cambria" w:cs="Calibri"/>
              </w:rPr>
            </w:pPr>
            <w:r w:rsidRPr="00E2330C">
              <w:rPr>
                <w:rFonts w:ascii="Cambria" w:hAnsi="Cambria"/>
              </w:rPr>
              <w:t>1.</w:t>
            </w:r>
            <w:r>
              <w:rPr>
                <w:rFonts w:ascii="Cambria" w:hAnsi="Cambria"/>
              </w:rPr>
              <w:t xml:space="preserve"> – </w:t>
            </w:r>
            <w:r w:rsidRPr="00E2330C">
              <w:rPr>
                <w:rFonts w:ascii="Cambria" w:hAnsi="Cambria"/>
              </w:rPr>
              <w:t>6.</w:t>
            </w:r>
          </w:p>
        </w:tc>
        <w:tc>
          <w:tcPr>
            <w:tcW w:w="91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2E6BA66" w14:textId="77777777" w:rsidR="00FC4004" w:rsidRPr="00A62FBD" w:rsidRDefault="00FC4004" w:rsidP="000F1A10">
            <w:pPr>
              <w:spacing w:after="0" w:line="240" w:lineRule="auto"/>
              <w:jc w:val="center"/>
              <w:rPr>
                <w:rFonts w:ascii="Cambria" w:hAnsi="Cambria" w:cs="Calibri"/>
              </w:rPr>
            </w:pPr>
            <w:r>
              <w:rPr>
                <w:rFonts w:ascii="Cambria" w:hAnsi="Cambria"/>
              </w:rPr>
              <w:t>34</w:t>
            </w:r>
          </w:p>
        </w:tc>
        <w:tc>
          <w:tcPr>
            <w:tcW w:w="85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889ADB3" w14:textId="77777777" w:rsidR="00FC4004" w:rsidRPr="00A62FBD" w:rsidRDefault="00FC4004" w:rsidP="000F1A10">
            <w:pPr>
              <w:spacing w:after="0" w:line="240" w:lineRule="auto"/>
              <w:jc w:val="center"/>
              <w:rPr>
                <w:rFonts w:ascii="Cambria" w:hAnsi="Cambria" w:cs="Calibri"/>
              </w:rPr>
            </w:pPr>
            <w:r>
              <w:rPr>
                <w:rFonts w:ascii="Cambria" w:hAnsi="Cambria"/>
              </w:rPr>
              <w:t>1,1</w:t>
            </w:r>
          </w:p>
        </w:tc>
        <w:tc>
          <w:tcPr>
            <w:tcW w:w="21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4D99348" w14:textId="77777777" w:rsidR="00FC4004" w:rsidRPr="00A62FBD" w:rsidRDefault="00FC4004" w:rsidP="000F1A10">
            <w:pPr>
              <w:spacing w:after="0" w:line="240" w:lineRule="auto"/>
              <w:jc w:val="center"/>
              <w:rPr>
                <w:rFonts w:ascii="Cambria" w:hAnsi="Cambria" w:cs="Calibri"/>
              </w:rPr>
            </w:pPr>
            <w:r w:rsidRPr="00E2330C">
              <w:rPr>
                <w:rFonts w:ascii="Cambria" w:hAnsi="Cambria"/>
              </w:rPr>
              <w:t>3</w:t>
            </w:r>
            <w:r>
              <w:rPr>
                <w:rFonts w:ascii="Cambria" w:hAnsi="Cambria"/>
              </w:rPr>
              <w:t>5</w:t>
            </w:r>
            <w:r w:rsidRPr="00E2330C">
              <w:rPr>
                <w:rFonts w:ascii="Cambria" w:hAnsi="Cambria"/>
              </w:rPr>
              <w:t>%</w:t>
            </w:r>
          </w:p>
        </w:tc>
      </w:tr>
      <w:tr w:rsidR="00FC4004" w:rsidRPr="00E45645" w14:paraId="2C69663D" w14:textId="77777777" w:rsidTr="00FC4004">
        <w:tc>
          <w:tcPr>
            <w:tcW w:w="2971" w:type="dxa"/>
            <w:vMerge/>
            <w:tcBorders>
              <w:left w:val="single" w:sz="8" w:space="0" w:color="000000"/>
              <w:right w:val="single" w:sz="8" w:space="0" w:color="000000"/>
            </w:tcBorders>
            <w:vAlign w:val="center"/>
          </w:tcPr>
          <w:p w14:paraId="37F18D60" w14:textId="77777777" w:rsidR="00FC4004" w:rsidRPr="00A62FBD" w:rsidRDefault="00FC4004" w:rsidP="000F1A10">
            <w:pPr>
              <w:spacing w:after="0" w:line="240" w:lineRule="auto"/>
              <w:rPr>
                <w:rFonts w:ascii="Cambria" w:hAnsi="Cambria" w:cs="Calibri"/>
              </w:rPr>
            </w:pPr>
          </w:p>
        </w:tc>
        <w:tc>
          <w:tcPr>
            <w:tcW w:w="235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8C9702B" w14:textId="1B386CCA" w:rsidR="00FC4004" w:rsidRPr="00E2330C" w:rsidRDefault="00FC4004" w:rsidP="000F1A10">
            <w:pPr>
              <w:spacing w:after="0" w:line="240" w:lineRule="auto"/>
              <w:rPr>
                <w:rFonts w:ascii="Cambria" w:hAnsi="Cambria"/>
              </w:rPr>
            </w:pPr>
            <w:proofErr w:type="spellStart"/>
            <w:r>
              <w:rPr>
                <w:rFonts w:ascii="Cambria" w:hAnsi="Cambria"/>
              </w:rPr>
              <w:t>vježbe</w:t>
            </w:r>
            <w:proofErr w:type="spellEnd"/>
          </w:p>
        </w:tc>
        <w:tc>
          <w:tcPr>
            <w:tcW w:w="109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2E108B8" w14:textId="794BC36E" w:rsidR="00FC4004" w:rsidRPr="00E2330C" w:rsidRDefault="00FC4004" w:rsidP="000F1A10">
            <w:pPr>
              <w:spacing w:after="0" w:line="240" w:lineRule="auto"/>
              <w:jc w:val="center"/>
              <w:rPr>
                <w:rFonts w:ascii="Cambria" w:hAnsi="Cambria"/>
              </w:rPr>
            </w:pPr>
            <w:r w:rsidRPr="00E2330C">
              <w:rPr>
                <w:rFonts w:ascii="Cambria" w:hAnsi="Cambria"/>
              </w:rPr>
              <w:t>1.</w:t>
            </w:r>
            <w:r>
              <w:rPr>
                <w:rFonts w:ascii="Cambria" w:hAnsi="Cambria"/>
              </w:rPr>
              <w:t xml:space="preserve"> – </w:t>
            </w:r>
            <w:r w:rsidRPr="00E2330C">
              <w:rPr>
                <w:rFonts w:ascii="Cambria" w:hAnsi="Cambria"/>
              </w:rPr>
              <w:t>6.</w:t>
            </w:r>
          </w:p>
        </w:tc>
        <w:tc>
          <w:tcPr>
            <w:tcW w:w="91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E1878A6" w14:textId="7D764612" w:rsidR="00FC4004" w:rsidRDefault="00FC4004" w:rsidP="000F1A10">
            <w:pPr>
              <w:spacing w:after="0" w:line="240" w:lineRule="auto"/>
              <w:jc w:val="center"/>
              <w:rPr>
                <w:rFonts w:ascii="Cambria" w:hAnsi="Cambria"/>
              </w:rPr>
            </w:pPr>
            <w:r>
              <w:rPr>
                <w:rFonts w:ascii="Cambria" w:hAnsi="Cambria"/>
              </w:rPr>
              <w:t>30</w:t>
            </w:r>
          </w:p>
        </w:tc>
        <w:tc>
          <w:tcPr>
            <w:tcW w:w="85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BD9513F" w14:textId="3C37B407" w:rsidR="00FC4004" w:rsidRDefault="00FC4004" w:rsidP="000F1A10">
            <w:pPr>
              <w:spacing w:after="0" w:line="240" w:lineRule="auto"/>
              <w:jc w:val="center"/>
              <w:rPr>
                <w:rFonts w:ascii="Cambria" w:hAnsi="Cambria"/>
              </w:rPr>
            </w:pPr>
            <w:r>
              <w:rPr>
                <w:rFonts w:ascii="Cambria" w:hAnsi="Cambria"/>
              </w:rPr>
              <w:t>1</w:t>
            </w:r>
          </w:p>
        </w:tc>
        <w:tc>
          <w:tcPr>
            <w:tcW w:w="21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B0EA8AA" w14:textId="61BD037B" w:rsidR="00FC4004" w:rsidRPr="00E2330C" w:rsidRDefault="000F1A10" w:rsidP="000F1A10">
            <w:pPr>
              <w:spacing w:after="0" w:line="240" w:lineRule="auto"/>
              <w:jc w:val="center"/>
              <w:rPr>
                <w:rFonts w:ascii="Cambria" w:hAnsi="Cambria"/>
              </w:rPr>
            </w:pPr>
            <w:r>
              <w:rPr>
                <w:rFonts w:ascii="Cambria" w:hAnsi="Cambria"/>
              </w:rPr>
              <w:t>15%</w:t>
            </w:r>
          </w:p>
        </w:tc>
      </w:tr>
      <w:tr w:rsidR="00FC4004" w:rsidRPr="00E45645" w14:paraId="28EDF2DB" w14:textId="77777777" w:rsidTr="00FC4004">
        <w:tc>
          <w:tcPr>
            <w:tcW w:w="2971" w:type="dxa"/>
            <w:vMerge/>
            <w:tcBorders>
              <w:left w:val="single" w:sz="8" w:space="0" w:color="000000"/>
              <w:right w:val="single" w:sz="8" w:space="0" w:color="000000"/>
            </w:tcBorders>
            <w:vAlign w:val="center"/>
          </w:tcPr>
          <w:p w14:paraId="3E51989C" w14:textId="77777777" w:rsidR="00FC4004" w:rsidRPr="00A62FBD" w:rsidRDefault="00FC4004" w:rsidP="000F1A10">
            <w:pPr>
              <w:spacing w:after="0" w:line="240" w:lineRule="auto"/>
              <w:rPr>
                <w:rFonts w:ascii="Cambria" w:hAnsi="Cambria" w:cs="Calibri"/>
              </w:rPr>
            </w:pPr>
          </w:p>
        </w:tc>
        <w:tc>
          <w:tcPr>
            <w:tcW w:w="235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B585D3B" w14:textId="77777777" w:rsidR="00FC4004" w:rsidRPr="00A62FBD" w:rsidRDefault="00FC4004" w:rsidP="000F1A10">
            <w:pPr>
              <w:spacing w:after="0" w:line="240" w:lineRule="auto"/>
              <w:rPr>
                <w:rFonts w:ascii="Cambria" w:hAnsi="Cambria" w:cs="Calibri"/>
              </w:rPr>
            </w:pPr>
            <w:proofErr w:type="spellStart"/>
            <w:r w:rsidRPr="00E2330C">
              <w:rPr>
                <w:rFonts w:ascii="Cambria" w:hAnsi="Cambria"/>
              </w:rPr>
              <w:t>pismeni</w:t>
            </w:r>
            <w:proofErr w:type="spellEnd"/>
            <w:r w:rsidRPr="00E2330C">
              <w:rPr>
                <w:rFonts w:ascii="Cambria" w:hAnsi="Cambria"/>
              </w:rPr>
              <w:t xml:space="preserve"> </w:t>
            </w:r>
            <w:proofErr w:type="spellStart"/>
            <w:r w:rsidRPr="00E2330C">
              <w:rPr>
                <w:rFonts w:ascii="Cambria" w:hAnsi="Cambria"/>
              </w:rPr>
              <w:t>ispit</w:t>
            </w:r>
            <w:proofErr w:type="spellEnd"/>
            <w:r w:rsidRPr="00E2330C">
              <w:rPr>
                <w:rFonts w:ascii="Cambria" w:hAnsi="Cambria"/>
              </w:rPr>
              <w:t xml:space="preserve">  </w:t>
            </w:r>
          </w:p>
        </w:tc>
        <w:tc>
          <w:tcPr>
            <w:tcW w:w="109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7FD81FD" w14:textId="77777777" w:rsidR="00FC4004" w:rsidRPr="00A62FBD" w:rsidRDefault="00FC4004" w:rsidP="000F1A10">
            <w:pPr>
              <w:spacing w:after="0" w:line="240" w:lineRule="auto"/>
              <w:jc w:val="center"/>
              <w:rPr>
                <w:rFonts w:ascii="Cambria" w:hAnsi="Cambria" w:cs="Calibri"/>
              </w:rPr>
            </w:pPr>
            <w:r w:rsidRPr="00E2330C">
              <w:rPr>
                <w:rFonts w:ascii="Cambria" w:hAnsi="Cambria"/>
              </w:rPr>
              <w:t>1.</w:t>
            </w:r>
            <w:r>
              <w:rPr>
                <w:rFonts w:ascii="Cambria" w:hAnsi="Cambria"/>
              </w:rPr>
              <w:t xml:space="preserve"> – </w:t>
            </w:r>
            <w:r w:rsidRPr="00E2330C">
              <w:rPr>
                <w:rFonts w:ascii="Cambria" w:hAnsi="Cambria"/>
              </w:rPr>
              <w:t>6.</w:t>
            </w:r>
          </w:p>
        </w:tc>
        <w:tc>
          <w:tcPr>
            <w:tcW w:w="91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370B3C9" w14:textId="77777777" w:rsidR="00FC4004" w:rsidRPr="00A62FBD" w:rsidRDefault="00FC4004" w:rsidP="000F1A10">
            <w:pPr>
              <w:spacing w:after="0" w:line="240" w:lineRule="auto"/>
              <w:jc w:val="center"/>
              <w:rPr>
                <w:rFonts w:ascii="Cambria" w:hAnsi="Cambria" w:cs="Calibri"/>
              </w:rPr>
            </w:pPr>
            <w:r>
              <w:rPr>
                <w:rFonts w:ascii="Cambria" w:hAnsi="Cambria"/>
              </w:rPr>
              <w:t>45</w:t>
            </w:r>
          </w:p>
        </w:tc>
        <w:tc>
          <w:tcPr>
            <w:tcW w:w="85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5ADD693" w14:textId="51301237" w:rsidR="00FC4004" w:rsidRPr="00A62FBD" w:rsidRDefault="00FC4004" w:rsidP="000F1A10">
            <w:pPr>
              <w:spacing w:after="0" w:line="240" w:lineRule="auto"/>
              <w:jc w:val="center"/>
              <w:rPr>
                <w:rFonts w:ascii="Cambria" w:hAnsi="Cambria" w:cs="Calibri"/>
              </w:rPr>
            </w:pPr>
            <w:r>
              <w:rPr>
                <w:rFonts w:ascii="Cambria" w:hAnsi="Cambria"/>
              </w:rPr>
              <w:t>1,5</w:t>
            </w:r>
          </w:p>
        </w:tc>
        <w:tc>
          <w:tcPr>
            <w:tcW w:w="21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90D93DA" w14:textId="2244872A" w:rsidR="00FC4004" w:rsidRPr="00A62FBD" w:rsidRDefault="000F1A10" w:rsidP="000F1A10">
            <w:pPr>
              <w:spacing w:after="0" w:line="240" w:lineRule="auto"/>
              <w:jc w:val="center"/>
              <w:rPr>
                <w:rFonts w:ascii="Cambria" w:hAnsi="Cambria" w:cs="Calibri"/>
              </w:rPr>
            </w:pPr>
            <w:r>
              <w:rPr>
                <w:rFonts w:ascii="Cambria" w:hAnsi="Cambria"/>
              </w:rPr>
              <w:t>30</w:t>
            </w:r>
            <w:r w:rsidR="00FC4004" w:rsidRPr="00E2330C">
              <w:rPr>
                <w:rFonts w:ascii="Cambria" w:hAnsi="Cambria"/>
              </w:rPr>
              <w:t>%</w:t>
            </w:r>
          </w:p>
        </w:tc>
      </w:tr>
      <w:tr w:rsidR="00FC4004" w:rsidRPr="00E45645" w14:paraId="4560A918" w14:textId="77777777" w:rsidTr="00FC4004">
        <w:tc>
          <w:tcPr>
            <w:tcW w:w="2971" w:type="dxa"/>
            <w:vMerge/>
            <w:tcBorders>
              <w:left w:val="single" w:sz="8" w:space="0" w:color="000000"/>
              <w:right w:val="single" w:sz="8" w:space="0" w:color="000000"/>
            </w:tcBorders>
            <w:vAlign w:val="center"/>
          </w:tcPr>
          <w:p w14:paraId="4B8A7B2C" w14:textId="77777777" w:rsidR="00FC4004" w:rsidRPr="00A62FBD" w:rsidRDefault="00FC4004" w:rsidP="000F1A10">
            <w:pPr>
              <w:spacing w:after="0" w:line="240" w:lineRule="auto"/>
              <w:rPr>
                <w:rFonts w:ascii="Cambria" w:hAnsi="Cambria" w:cs="Calibri"/>
              </w:rPr>
            </w:pPr>
          </w:p>
        </w:tc>
        <w:tc>
          <w:tcPr>
            <w:tcW w:w="235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AA428FE" w14:textId="77777777" w:rsidR="00FC4004" w:rsidRPr="00A62FBD" w:rsidRDefault="00FC4004" w:rsidP="000F1A10">
            <w:pPr>
              <w:spacing w:after="0" w:line="240" w:lineRule="auto"/>
              <w:rPr>
                <w:rFonts w:ascii="Cambria" w:hAnsi="Cambria" w:cs="Calibri"/>
              </w:rPr>
            </w:pPr>
            <w:proofErr w:type="spellStart"/>
            <w:r w:rsidRPr="00E2330C">
              <w:rPr>
                <w:rFonts w:ascii="Cambria" w:hAnsi="Cambria"/>
              </w:rPr>
              <w:t>usmeni</w:t>
            </w:r>
            <w:proofErr w:type="spellEnd"/>
            <w:r w:rsidRPr="00E2330C">
              <w:rPr>
                <w:rFonts w:ascii="Cambria" w:hAnsi="Cambria"/>
              </w:rPr>
              <w:t xml:space="preserve"> </w:t>
            </w:r>
            <w:proofErr w:type="spellStart"/>
            <w:r w:rsidRPr="00E2330C">
              <w:rPr>
                <w:rFonts w:ascii="Cambria" w:hAnsi="Cambria"/>
              </w:rPr>
              <w:t>ispit</w:t>
            </w:r>
            <w:proofErr w:type="spellEnd"/>
          </w:p>
        </w:tc>
        <w:tc>
          <w:tcPr>
            <w:tcW w:w="109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6C5623B" w14:textId="77777777" w:rsidR="00FC4004" w:rsidRPr="00A62FBD" w:rsidRDefault="00FC4004" w:rsidP="000F1A10">
            <w:pPr>
              <w:spacing w:after="0" w:line="240" w:lineRule="auto"/>
              <w:jc w:val="center"/>
              <w:rPr>
                <w:rFonts w:ascii="Cambria" w:hAnsi="Cambria" w:cs="Calibri"/>
              </w:rPr>
            </w:pPr>
            <w:r w:rsidRPr="00E2330C">
              <w:rPr>
                <w:rFonts w:ascii="Cambria" w:hAnsi="Cambria"/>
              </w:rPr>
              <w:t>1.</w:t>
            </w:r>
            <w:r>
              <w:rPr>
                <w:rFonts w:ascii="Cambria" w:hAnsi="Cambria"/>
              </w:rPr>
              <w:t xml:space="preserve"> – </w:t>
            </w:r>
            <w:r w:rsidRPr="00E2330C">
              <w:rPr>
                <w:rFonts w:ascii="Cambria" w:hAnsi="Cambria"/>
              </w:rPr>
              <w:t>6.</w:t>
            </w:r>
          </w:p>
        </w:tc>
        <w:tc>
          <w:tcPr>
            <w:tcW w:w="91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D562F9F" w14:textId="327F2830" w:rsidR="00FC4004" w:rsidRPr="00A62FBD" w:rsidRDefault="00FC4004" w:rsidP="000F1A10">
            <w:pPr>
              <w:spacing w:after="0" w:line="240" w:lineRule="auto"/>
              <w:jc w:val="center"/>
              <w:rPr>
                <w:rFonts w:ascii="Cambria" w:hAnsi="Cambria" w:cs="Calibri"/>
              </w:rPr>
            </w:pPr>
            <w:r>
              <w:rPr>
                <w:rFonts w:ascii="Cambria" w:hAnsi="Cambria" w:cs="Calibri"/>
              </w:rPr>
              <w:t>41</w:t>
            </w:r>
          </w:p>
        </w:tc>
        <w:tc>
          <w:tcPr>
            <w:tcW w:w="85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E6DDDD2" w14:textId="405165F2" w:rsidR="00FC4004" w:rsidRPr="00EE0ED0" w:rsidRDefault="00FC4004" w:rsidP="000F1A10">
            <w:pPr>
              <w:spacing w:after="0" w:line="240" w:lineRule="auto"/>
              <w:jc w:val="center"/>
              <w:rPr>
                <w:rFonts w:ascii="Cambria" w:hAnsi="Cambria" w:cs="Calibri"/>
              </w:rPr>
            </w:pPr>
            <w:r>
              <w:rPr>
                <w:rFonts w:ascii="Cambria" w:hAnsi="Cambria" w:cs="Calibri"/>
              </w:rPr>
              <w:t>1,4</w:t>
            </w:r>
          </w:p>
        </w:tc>
        <w:tc>
          <w:tcPr>
            <w:tcW w:w="21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7E3B342" w14:textId="0DFA469E" w:rsidR="00FC4004" w:rsidRPr="00A62FBD" w:rsidRDefault="000F1A10" w:rsidP="000F1A10">
            <w:pPr>
              <w:spacing w:after="0" w:line="240" w:lineRule="auto"/>
              <w:jc w:val="center"/>
              <w:rPr>
                <w:rFonts w:ascii="Cambria" w:hAnsi="Cambria" w:cs="Calibri"/>
              </w:rPr>
            </w:pPr>
            <w:r>
              <w:rPr>
                <w:rFonts w:ascii="Cambria" w:hAnsi="Cambria"/>
              </w:rPr>
              <w:t>20</w:t>
            </w:r>
            <w:r w:rsidR="00FC4004" w:rsidRPr="00E2330C">
              <w:rPr>
                <w:rFonts w:ascii="Cambria" w:hAnsi="Cambria"/>
              </w:rPr>
              <w:t>%</w:t>
            </w:r>
          </w:p>
        </w:tc>
      </w:tr>
      <w:tr w:rsidR="00FC4004" w:rsidRPr="00E45645" w14:paraId="7AC75781" w14:textId="77777777" w:rsidTr="00FC4004">
        <w:tc>
          <w:tcPr>
            <w:tcW w:w="2971" w:type="dxa"/>
            <w:vMerge/>
            <w:tcBorders>
              <w:left w:val="single" w:sz="8" w:space="0" w:color="000000"/>
              <w:right w:val="single" w:sz="8" w:space="0" w:color="000000"/>
            </w:tcBorders>
            <w:vAlign w:val="center"/>
          </w:tcPr>
          <w:p w14:paraId="2843C773" w14:textId="77777777" w:rsidR="00FC4004" w:rsidRPr="00A62FBD" w:rsidRDefault="00FC4004" w:rsidP="000F1A10">
            <w:pPr>
              <w:spacing w:after="0" w:line="240" w:lineRule="auto"/>
              <w:rPr>
                <w:rFonts w:ascii="Cambria" w:hAnsi="Cambria" w:cs="Calibri"/>
              </w:rPr>
            </w:pPr>
          </w:p>
        </w:tc>
        <w:tc>
          <w:tcPr>
            <w:tcW w:w="3452"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B47566D" w14:textId="77777777" w:rsidR="00FC4004" w:rsidRPr="00A62FBD" w:rsidRDefault="00FC4004" w:rsidP="000F1A10">
            <w:pPr>
              <w:spacing w:after="0" w:line="240" w:lineRule="auto"/>
              <w:rPr>
                <w:rFonts w:ascii="Cambria" w:hAnsi="Cambria" w:cs="Calibri"/>
              </w:rPr>
            </w:pPr>
            <w:proofErr w:type="spellStart"/>
            <w:r w:rsidRPr="00E2330C">
              <w:rPr>
                <w:rFonts w:ascii="Cambria" w:hAnsi="Cambria"/>
              </w:rPr>
              <w:t>ukupno</w:t>
            </w:r>
            <w:proofErr w:type="spellEnd"/>
          </w:p>
        </w:tc>
        <w:tc>
          <w:tcPr>
            <w:tcW w:w="91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ACB70AA" w14:textId="4BB089A3" w:rsidR="00FC4004" w:rsidRPr="00A62FBD" w:rsidRDefault="00FC4004" w:rsidP="000F1A10">
            <w:pPr>
              <w:spacing w:after="0" w:line="240" w:lineRule="auto"/>
              <w:jc w:val="center"/>
              <w:rPr>
                <w:rFonts w:ascii="Cambria" w:hAnsi="Cambria" w:cs="Calibri"/>
              </w:rPr>
            </w:pPr>
            <w:r>
              <w:rPr>
                <w:rFonts w:ascii="Cambria" w:hAnsi="Cambria"/>
              </w:rPr>
              <w:t>150</w:t>
            </w:r>
          </w:p>
        </w:tc>
        <w:tc>
          <w:tcPr>
            <w:tcW w:w="85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9ADCDCD" w14:textId="403166A9" w:rsidR="00FC4004" w:rsidRPr="00A62FBD" w:rsidRDefault="00FC4004" w:rsidP="000F1A10">
            <w:pPr>
              <w:spacing w:after="0" w:line="240" w:lineRule="auto"/>
              <w:jc w:val="center"/>
              <w:rPr>
                <w:rFonts w:ascii="Cambria" w:hAnsi="Cambria" w:cs="Calibri"/>
              </w:rPr>
            </w:pPr>
            <w:r>
              <w:rPr>
                <w:rFonts w:ascii="Cambria" w:hAnsi="Cambria"/>
              </w:rPr>
              <w:t>5</w:t>
            </w:r>
          </w:p>
        </w:tc>
        <w:tc>
          <w:tcPr>
            <w:tcW w:w="21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BBCF31C" w14:textId="77777777" w:rsidR="00FC4004" w:rsidRPr="00A62FBD" w:rsidRDefault="00FC4004" w:rsidP="000F1A10">
            <w:pPr>
              <w:spacing w:after="0" w:line="240" w:lineRule="auto"/>
              <w:jc w:val="center"/>
              <w:rPr>
                <w:rFonts w:ascii="Cambria" w:hAnsi="Cambria" w:cs="Calibri"/>
              </w:rPr>
            </w:pPr>
            <w:r w:rsidRPr="00E2330C">
              <w:rPr>
                <w:rFonts w:ascii="Cambria" w:hAnsi="Cambria"/>
              </w:rPr>
              <w:t>100%</w:t>
            </w:r>
          </w:p>
        </w:tc>
      </w:tr>
      <w:tr w:rsidR="00FC4004" w:rsidRPr="00E45645" w14:paraId="386ADD7E" w14:textId="77777777" w:rsidTr="00FC4004">
        <w:tc>
          <w:tcPr>
            <w:tcW w:w="2971" w:type="dxa"/>
            <w:vMerge/>
            <w:tcBorders>
              <w:left w:val="single" w:sz="8" w:space="0" w:color="000000"/>
              <w:bottom w:val="single" w:sz="8" w:space="0" w:color="000000"/>
              <w:right w:val="single" w:sz="8" w:space="0" w:color="000000"/>
            </w:tcBorders>
            <w:vAlign w:val="center"/>
          </w:tcPr>
          <w:p w14:paraId="4C74E400" w14:textId="77777777" w:rsidR="00FC4004" w:rsidRPr="00A62FBD" w:rsidRDefault="00FC4004" w:rsidP="000F1A10">
            <w:pPr>
              <w:spacing w:after="0" w:line="240" w:lineRule="auto"/>
              <w:rPr>
                <w:rFonts w:ascii="Cambria" w:hAnsi="Cambria" w:cs="Calibri"/>
              </w:rPr>
            </w:pPr>
          </w:p>
        </w:tc>
        <w:tc>
          <w:tcPr>
            <w:tcW w:w="7374"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B5BC2D2" w14:textId="77777777" w:rsidR="00FC4004" w:rsidRPr="00A62FBD" w:rsidRDefault="00FC4004" w:rsidP="000F1A10">
            <w:pPr>
              <w:spacing w:after="0" w:line="240" w:lineRule="auto"/>
              <w:rPr>
                <w:rFonts w:ascii="Cambria" w:hAnsi="Cambria" w:cs="Calibri"/>
              </w:rPr>
            </w:pPr>
            <w:proofErr w:type="spellStart"/>
            <w:r w:rsidRPr="00A62FBD">
              <w:rPr>
                <w:rFonts w:ascii="Cambria" w:hAnsi="Cambria" w:cs="Calibri"/>
              </w:rPr>
              <w:t>Dodatna</w:t>
            </w:r>
            <w:proofErr w:type="spellEnd"/>
            <w:r w:rsidRPr="00A62FBD">
              <w:rPr>
                <w:rFonts w:ascii="Cambria" w:hAnsi="Cambria" w:cs="Calibri"/>
              </w:rPr>
              <w:t xml:space="preserve"> </w:t>
            </w:r>
            <w:proofErr w:type="spellStart"/>
            <w:r w:rsidRPr="00A62FBD">
              <w:rPr>
                <w:rFonts w:ascii="Cambria" w:hAnsi="Cambria" w:cs="Calibri"/>
              </w:rPr>
              <w:t>pojašnjenja</w:t>
            </w:r>
            <w:proofErr w:type="spellEnd"/>
            <w:r w:rsidRPr="00A62FBD">
              <w:rPr>
                <w:rFonts w:ascii="Cambria" w:hAnsi="Cambria" w:cs="Calibri"/>
              </w:rPr>
              <w:t xml:space="preserve"> (</w:t>
            </w:r>
            <w:proofErr w:type="spellStart"/>
            <w:r w:rsidRPr="00A62FBD">
              <w:rPr>
                <w:rFonts w:ascii="Cambria" w:hAnsi="Cambria" w:cs="Calibri"/>
              </w:rPr>
              <w:t>kriteriji</w:t>
            </w:r>
            <w:proofErr w:type="spellEnd"/>
            <w:r w:rsidRPr="00A62FBD">
              <w:rPr>
                <w:rFonts w:ascii="Cambria" w:hAnsi="Cambria" w:cs="Calibri"/>
              </w:rPr>
              <w:t xml:space="preserve"> </w:t>
            </w:r>
            <w:proofErr w:type="spellStart"/>
            <w:r w:rsidRPr="00A62FBD">
              <w:rPr>
                <w:rFonts w:ascii="Cambria" w:hAnsi="Cambria" w:cs="Calibri"/>
              </w:rPr>
              <w:t>ocjenjivanja</w:t>
            </w:r>
            <w:proofErr w:type="spellEnd"/>
            <w:r w:rsidRPr="00A62FBD">
              <w:rPr>
                <w:rFonts w:ascii="Cambria" w:hAnsi="Cambria" w:cs="Calibri"/>
              </w:rPr>
              <w:t>):</w:t>
            </w:r>
          </w:p>
          <w:p w14:paraId="4A4DBE91" w14:textId="77777777" w:rsidR="00FC4004" w:rsidRPr="00A62FBD" w:rsidRDefault="00FC4004" w:rsidP="000F1A10">
            <w:pPr>
              <w:spacing w:after="0" w:line="240" w:lineRule="auto"/>
              <w:rPr>
                <w:rFonts w:ascii="Cambria" w:hAnsi="Cambria" w:cs="Calibri"/>
              </w:rPr>
            </w:pPr>
            <w:proofErr w:type="spellStart"/>
            <w:r w:rsidRPr="00A62FBD">
              <w:rPr>
                <w:rFonts w:ascii="Cambria" w:hAnsi="Cambria" w:cs="Calibri"/>
              </w:rPr>
              <w:t>Pismeni</w:t>
            </w:r>
            <w:proofErr w:type="spellEnd"/>
            <w:r w:rsidRPr="00A62FBD">
              <w:rPr>
                <w:rFonts w:ascii="Cambria" w:hAnsi="Cambria" w:cs="Calibri"/>
              </w:rPr>
              <w:t xml:space="preserve"> </w:t>
            </w:r>
            <w:proofErr w:type="spellStart"/>
            <w:r w:rsidRPr="00A62FBD">
              <w:rPr>
                <w:rFonts w:ascii="Cambria" w:hAnsi="Cambria" w:cs="Calibri"/>
              </w:rPr>
              <w:t>ispiti</w:t>
            </w:r>
            <w:proofErr w:type="spellEnd"/>
            <w:r w:rsidRPr="00A62FBD">
              <w:rPr>
                <w:rFonts w:ascii="Cambria" w:hAnsi="Cambria" w:cs="Calibri"/>
              </w:rPr>
              <w:t xml:space="preserve"> </w:t>
            </w:r>
            <w:proofErr w:type="spellStart"/>
            <w:r w:rsidRPr="00A62FBD">
              <w:rPr>
                <w:rFonts w:ascii="Cambria" w:hAnsi="Cambria" w:cs="Calibri"/>
              </w:rPr>
              <w:t>ocjenjuju</w:t>
            </w:r>
            <w:proofErr w:type="spellEnd"/>
            <w:r w:rsidRPr="00A62FBD">
              <w:rPr>
                <w:rFonts w:ascii="Cambria" w:hAnsi="Cambria" w:cs="Calibri"/>
              </w:rPr>
              <w:t xml:space="preserve"> se </w:t>
            </w:r>
            <w:proofErr w:type="spellStart"/>
            <w:r w:rsidRPr="00A62FBD">
              <w:rPr>
                <w:rFonts w:ascii="Cambria" w:hAnsi="Cambria" w:cs="Calibri"/>
              </w:rPr>
              <w:t>na</w:t>
            </w:r>
            <w:proofErr w:type="spellEnd"/>
            <w:r w:rsidRPr="00A62FBD">
              <w:rPr>
                <w:rFonts w:ascii="Cambria" w:hAnsi="Cambria" w:cs="Calibri"/>
              </w:rPr>
              <w:t xml:space="preserve"> </w:t>
            </w:r>
            <w:proofErr w:type="spellStart"/>
            <w:r w:rsidRPr="00A62FBD">
              <w:rPr>
                <w:rFonts w:ascii="Cambria" w:hAnsi="Cambria" w:cs="Calibri"/>
              </w:rPr>
              <w:t>sljedeći</w:t>
            </w:r>
            <w:proofErr w:type="spellEnd"/>
            <w:r w:rsidRPr="00A62FBD">
              <w:rPr>
                <w:rFonts w:ascii="Cambria" w:hAnsi="Cambria" w:cs="Calibri"/>
              </w:rPr>
              <w:t xml:space="preserve"> </w:t>
            </w:r>
            <w:proofErr w:type="spellStart"/>
            <w:r w:rsidRPr="00A62FBD">
              <w:rPr>
                <w:rFonts w:ascii="Cambria" w:hAnsi="Cambria" w:cs="Calibri"/>
              </w:rPr>
              <w:t>način</w:t>
            </w:r>
            <w:proofErr w:type="spellEnd"/>
            <w:r w:rsidRPr="00A62FBD">
              <w:rPr>
                <w:rFonts w:ascii="Cambria" w:hAnsi="Cambria" w:cs="Calibri"/>
              </w:rPr>
              <w:t xml:space="preserve"> (</w:t>
            </w:r>
            <w:proofErr w:type="spellStart"/>
            <w:r w:rsidRPr="00A62FBD">
              <w:rPr>
                <w:rFonts w:ascii="Cambria" w:hAnsi="Cambria" w:cs="Calibri"/>
              </w:rPr>
              <w:t>ali</w:t>
            </w:r>
            <w:proofErr w:type="spellEnd"/>
            <w:r w:rsidRPr="00A62FBD">
              <w:rPr>
                <w:rFonts w:ascii="Cambria" w:hAnsi="Cambria" w:cs="Calibri"/>
              </w:rPr>
              <w:t xml:space="preserve"> </w:t>
            </w:r>
            <w:proofErr w:type="spellStart"/>
            <w:r w:rsidRPr="00A62FBD">
              <w:rPr>
                <w:rFonts w:ascii="Cambria" w:hAnsi="Cambria" w:cs="Calibri"/>
              </w:rPr>
              <w:t>i</w:t>
            </w:r>
            <w:proofErr w:type="spellEnd"/>
            <w:r w:rsidRPr="00A62FBD">
              <w:rPr>
                <w:rFonts w:ascii="Cambria" w:hAnsi="Cambria" w:cs="Calibri"/>
              </w:rPr>
              <w:t xml:space="preserve"> </w:t>
            </w:r>
            <w:proofErr w:type="spellStart"/>
            <w:r w:rsidRPr="00A62FBD">
              <w:rPr>
                <w:rFonts w:ascii="Cambria" w:hAnsi="Cambria" w:cs="Calibri"/>
              </w:rPr>
              <w:t>detaljnije</w:t>
            </w:r>
            <w:proofErr w:type="spellEnd"/>
            <w:r w:rsidRPr="00A62FBD">
              <w:rPr>
                <w:rFonts w:ascii="Cambria" w:hAnsi="Cambria" w:cs="Calibri"/>
              </w:rPr>
              <w:t xml:space="preserve"> u </w:t>
            </w:r>
            <w:proofErr w:type="spellStart"/>
            <w:r w:rsidRPr="00A62FBD">
              <w:rPr>
                <w:rFonts w:ascii="Cambria" w:hAnsi="Cambria" w:cs="Calibri"/>
              </w:rPr>
              <w:t>postotku</w:t>
            </w:r>
            <w:proofErr w:type="spellEnd"/>
            <w:r w:rsidRPr="00A62FBD">
              <w:rPr>
                <w:rFonts w:ascii="Cambria" w:hAnsi="Cambria" w:cs="Calibri"/>
              </w:rPr>
              <w:t xml:space="preserve">, </w:t>
            </w:r>
            <w:proofErr w:type="spellStart"/>
            <w:r w:rsidRPr="00A62FBD">
              <w:rPr>
                <w:rFonts w:ascii="Cambria" w:hAnsi="Cambria" w:cs="Calibri"/>
              </w:rPr>
              <w:t>pri</w:t>
            </w:r>
            <w:proofErr w:type="spellEnd"/>
            <w:r w:rsidRPr="00A62FBD">
              <w:rPr>
                <w:rFonts w:ascii="Cambria" w:hAnsi="Cambria" w:cs="Calibri"/>
              </w:rPr>
              <w:t xml:space="preserve"> </w:t>
            </w:r>
            <w:proofErr w:type="spellStart"/>
            <w:r w:rsidRPr="00A62FBD">
              <w:rPr>
                <w:rFonts w:ascii="Cambria" w:hAnsi="Cambria" w:cs="Calibri"/>
              </w:rPr>
              <w:t>čemu</w:t>
            </w:r>
            <w:proofErr w:type="spellEnd"/>
            <w:r w:rsidRPr="00A62FBD">
              <w:rPr>
                <w:rFonts w:ascii="Cambria" w:hAnsi="Cambria" w:cs="Calibri"/>
              </w:rPr>
              <w:t xml:space="preserve"> se </w:t>
            </w:r>
            <w:proofErr w:type="spellStart"/>
            <w:r w:rsidRPr="00A62FBD">
              <w:rPr>
                <w:rFonts w:ascii="Cambria" w:hAnsi="Cambria" w:cs="Calibri"/>
              </w:rPr>
              <w:t>uzima</w:t>
            </w:r>
            <w:proofErr w:type="spellEnd"/>
            <w:r w:rsidRPr="00A62FBD">
              <w:rPr>
                <w:rFonts w:ascii="Cambria" w:hAnsi="Cambria" w:cs="Calibri"/>
              </w:rPr>
              <w:t xml:space="preserve"> u </w:t>
            </w:r>
            <w:proofErr w:type="spellStart"/>
            <w:r w:rsidRPr="00A62FBD">
              <w:rPr>
                <w:rFonts w:ascii="Cambria" w:hAnsi="Cambria" w:cs="Calibri"/>
              </w:rPr>
              <w:t>obzir</w:t>
            </w:r>
            <w:proofErr w:type="spellEnd"/>
            <w:r w:rsidRPr="00A62FBD">
              <w:rPr>
                <w:rFonts w:ascii="Cambria" w:hAnsi="Cambria" w:cs="Calibri"/>
              </w:rPr>
              <w:t xml:space="preserve"> </w:t>
            </w:r>
            <w:proofErr w:type="spellStart"/>
            <w:r w:rsidRPr="00A62FBD">
              <w:rPr>
                <w:rFonts w:ascii="Cambria" w:hAnsi="Cambria" w:cs="Calibri"/>
              </w:rPr>
              <w:t>udio</w:t>
            </w:r>
            <w:proofErr w:type="spellEnd"/>
            <w:r w:rsidRPr="00A62FBD">
              <w:rPr>
                <w:rFonts w:ascii="Cambria" w:hAnsi="Cambria" w:cs="Calibri"/>
              </w:rPr>
              <w:t xml:space="preserve"> </w:t>
            </w:r>
            <w:proofErr w:type="spellStart"/>
            <w:r w:rsidRPr="00A62FBD">
              <w:rPr>
                <w:rFonts w:ascii="Cambria" w:hAnsi="Cambria" w:cs="Calibri"/>
              </w:rPr>
              <w:t>bodova</w:t>
            </w:r>
            <w:proofErr w:type="spellEnd"/>
            <w:r w:rsidRPr="00A62FBD">
              <w:rPr>
                <w:rFonts w:ascii="Cambria" w:hAnsi="Cambria" w:cs="Calibri"/>
              </w:rPr>
              <w:t xml:space="preserve"> u </w:t>
            </w:r>
            <w:proofErr w:type="spellStart"/>
            <w:r w:rsidRPr="00A62FBD">
              <w:rPr>
                <w:rFonts w:ascii="Cambria" w:hAnsi="Cambria" w:cs="Calibri"/>
              </w:rPr>
              <w:t>ukupnom</w:t>
            </w:r>
            <w:proofErr w:type="spellEnd"/>
            <w:r w:rsidRPr="00A62FBD">
              <w:rPr>
                <w:rFonts w:ascii="Cambria" w:hAnsi="Cambria" w:cs="Calibri"/>
              </w:rPr>
              <w:t xml:space="preserve"> </w:t>
            </w:r>
            <w:proofErr w:type="spellStart"/>
            <w:r w:rsidRPr="00A62FBD">
              <w:rPr>
                <w:rFonts w:ascii="Cambria" w:hAnsi="Cambria" w:cs="Calibri"/>
              </w:rPr>
              <w:t>broju</w:t>
            </w:r>
            <w:proofErr w:type="spellEnd"/>
            <w:r w:rsidRPr="00A62FBD">
              <w:rPr>
                <w:rFonts w:ascii="Cambria" w:hAnsi="Cambria" w:cs="Calibri"/>
              </w:rPr>
              <w:t xml:space="preserve"> </w:t>
            </w:r>
            <w:proofErr w:type="spellStart"/>
            <w:r w:rsidRPr="00A62FBD">
              <w:rPr>
                <w:rFonts w:ascii="Cambria" w:hAnsi="Cambria" w:cs="Calibri"/>
              </w:rPr>
              <w:t>bodova</w:t>
            </w:r>
            <w:proofErr w:type="spellEnd"/>
            <w:r w:rsidRPr="00A62FBD">
              <w:rPr>
                <w:rFonts w:ascii="Cambria" w:hAnsi="Cambria" w:cs="Calibri"/>
              </w:rPr>
              <w:t xml:space="preserve">, </w:t>
            </w:r>
            <w:proofErr w:type="spellStart"/>
            <w:r w:rsidRPr="00A62FBD">
              <w:rPr>
                <w:rFonts w:ascii="Cambria" w:hAnsi="Cambria" w:cs="Calibri"/>
              </w:rPr>
              <w:t>te</w:t>
            </w:r>
            <w:proofErr w:type="spellEnd"/>
            <w:r w:rsidRPr="00A62FBD">
              <w:rPr>
                <w:rFonts w:ascii="Cambria" w:hAnsi="Cambria" w:cs="Calibri"/>
              </w:rPr>
              <w:t xml:space="preserve"> </w:t>
            </w:r>
            <w:proofErr w:type="spellStart"/>
            <w:r w:rsidRPr="00A62FBD">
              <w:rPr>
                <w:rFonts w:ascii="Cambria" w:hAnsi="Cambria" w:cs="Calibri"/>
              </w:rPr>
              <w:t>onda</w:t>
            </w:r>
            <w:proofErr w:type="spellEnd"/>
            <w:r w:rsidRPr="00A62FBD">
              <w:rPr>
                <w:rFonts w:ascii="Cambria" w:hAnsi="Cambria" w:cs="Calibri"/>
              </w:rPr>
              <w:t xml:space="preserve"> </w:t>
            </w:r>
            <w:proofErr w:type="spellStart"/>
            <w:r w:rsidRPr="00A62FBD">
              <w:rPr>
                <w:rFonts w:ascii="Cambria" w:hAnsi="Cambria" w:cs="Calibri"/>
              </w:rPr>
              <w:t>udio</w:t>
            </w:r>
            <w:proofErr w:type="spellEnd"/>
            <w:r w:rsidRPr="00A62FBD">
              <w:rPr>
                <w:rFonts w:ascii="Cambria" w:hAnsi="Cambria" w:cs="Calibri"/>
              </w:rPr>
              <w:t xml:space="preserve"> u </w:t>
            </w:r>
            <w:proofErr w:type="spellStart"/>
            <w:r w:rsidRPr="00A62FBD">
              <w:rPr>
                <w:rFonts w:ascii="Cambria" w:hAnsi="Cambria" w:cs="Calibri"/>
              </w:rPr>
              <w:t>ukupnoj</w:t>
            </w:r>
            <w:proofErr w:type="spellEnd"/>
            <w:r w:rsidRPr="00A62FBD">
              <w:rPr>
                <w:rFonts w:ascii="Cambria" w:hAnsi="Cambria" w:cs="Calibri"/>
              </w:rPr>
              <w:t xml:space="preserve"> </w:t>
            </w:r>
            <w:proofErr w:type="spellStart"/>
            <w:r w:rsidRPr="00A62FBD">
              <w:rPr>
                <w:rFonts w:ascii="Cambria" w:hAnsi="Cambria" w:cs="Calibri"/>
              </w:rPr>
              <w:t>ocjeni</w:t>
            </w:r>
            <w:proofErr w:type="spellEnd"/>
            <w:proofErr w:type="gramStart"/>
            <w:r w:rsidRPr="00A62FBD">
              <w:rPr>
                <w:rFonts w:ascii="Cambria" w:hAnsi="Cambria" w:cs="Calibri"/>
              </w:rPr>
              <w:t>):</w:t>
            </w:r>
            <w:proofErr w:type="spellStart"/>
            <w:r w:rsidRPr="00A62FBD">
              <w:rPr>
                <w:rFonts w:ascii="Cambria" w:hAnsi="Cambria" w:cs="Calibri"/>
              </w:rPr>
              <w:t>manje</w:t>
            </w:r>
            <w:proofErr w:type="spellEnd"/>
            <w:proofErr w:type="gramEnd"/>
            <w:r w:rsidRPr="00A62FBD">
              <w:rPr>
                <w:rFonts w:ascii="Cambria" w:hAnsi="Cambria" w:cs="Calibri"/>
              </w:rPr>
              <w:t xml:space="preserve"> od 9 </w:t>
            </w:r>
            <w:proofErr w:type="spellStart"/>
            <w:r w:rsidRPr="00A62FBD">
              <w:rPr>
                <w:rFonts w:ascii="Cambria" w:hAnsi="Cambria" w:cs="Calibri"/>
              </w:rPr>
              <w:t>bodova</w:t>
            </w:r>
            <w:proofErr w:type="spellEnd"/>
            <w:r w:rsidRPr="00A62FBD">
              <w:rPr>
                <w:rFonts w:ascii="Cambria" w:hAnsi="Cambria" w:cs="Calibri"/>
              </w:rPr>
              <w:t xml:space="preserve"> </w:t>
            </w:r>
            <w:r w:rsidRPr="00A62FBD">
              <w:rPr>
                <w:rFonts w:ascii="Cambria" w:hAnsi="Cambria" w:cs="Calibri"/>
              </w:rPr>
              <w:tab/>
              <w:t xml:space="preserve">= </w:t>
            </w:r>
            <w:r w:rsidRPr="00A62FBD">
              <w:rPr>
                <w:rFonts w:ascii="Cambria" w:hAnsi="Cambria" w:cs="Calibri"/>
              </w:rPr>
              <w:tab/>
              <w:t xml:space="preserve">bez </w:t>
            </w:r>
            <w:proofErr w:type="spellStart"/>
            <w:r w:rsidRPr="00A62FBD">
              <w:rPr>
                <w:rFonts w:ascii="Cambria" w:hAnsi="Cambria" w:cs="Calibri"/>
              </w:rPr>
              <w:t>ocjene</w:t>
            </w:r>
            <w:proofErr w:type="spellEnd"/>
          </w:p>
          <w:p w14:paraId="23949712" w14:textId="77777777" w:rsidR="00FC4004" w:rsidRPr="00A62FBD" w:rsidRDefault="00FC4004" w:rsidP="000F1A10">
            <w:pPr>
              <w:spacing w:after="0" w:line="240" w:lineRule="auto"/>
              <w:rPr>
                <w:rFonts w:ascii="Cambria" w:hAnsi="Cambria" w:cs="Calibri"/>
              </w:rPr>
            </w:pPr>
            <w:r w:rsidRPr="00A62FBD">
              <w:rPr>
                <w:rFonts w:ascii="Cambria" w:hAnsi="Cambria" w:cs="Calibri"/>
              </w:rPr>
              <w:tab/>
              <w:t xml:space="preserve">od 9 do 10 </w:t>
            </w:r>
            <w:proofErr w:type="spellStart"/>
            <w:r w:rsidRPr="00A62FBD">
              <w:rPr>
                <w:rFonts w:ascii="Cambria" w:hAnsi="Cambria" w:cs="Calibri"/>
              </w:rPr>
              <w:t>bodova</w:t>
            </w:r>
            <w:proofErr w:type="spellEnd"/>
            <w:r w:rsidRPr="00A62FBD">
              <w:rPr>
                <w:rFonts w:ascii="Cambria" w:hAnsi="Cambria" w:cs="Calibri"/>
              </w:rPr>
              <w:tab/>
              <w:t>=</w:t>
            </w:r>
            <w:r w:rsidRPr="00A62FBD">
              <w:rPr>
                <w:rFonts w:ascii="Cambria" w:hAnsi="Cambria" w:cs="Calibri"/>
              </w:rPr>
              <w:tab/>
            </w:r>
            <w:proofErr w:type="spellStart"/>
            <w:r w:rsidRPr="00A62FBD">
              <w:rPr>
                <w:rFonts w:ascii="Cambria" w:hAnsi="Cambria" w:cs="Calibri"/>
              </w:rPr>
              <w:t>ocjena</w:t>
            </w:r>
            <w:proofErr w:type="spellEnd"/>
            <w:r w:rsidRPr="00A62FBD">
              <w:rPr>
                <w:rFonts w:ascii="Cambria" w:hAnsi="Cambria" w:cs="Calibri"/>
              </w:rPr>
              <w:t xml:space="preserve"> 2</w:t>
            </w:r>
          </w:p>
          <w:p w14:paraId="16745194" w14:textId="77777777" w:rsidR="00FC4004" w:rsidRPr="00A62FBD" w:rsidRDefault="00FC4004" w:rsidP="000F1A10">
            <w:pPr>
              <w:spacing w:after="0" w:line="240" w:lineRule="auto"/>
              <w:rPr>
                <w:rFonts w:ascii="Cambria" w:hAnsi="Cambria" w:cs="Calibri"/>
              </w:rPr>
            </w:pPr>
            <w:r w:rsidRPr="00A62FBD">
              <w:rPr>
                <w:rFonts w:ascii="Cambria" w:hAnsi="Cambria" w:cs="Calibri"/>
              </w:rPr>
              <w:tab/>
              <w:t xml:space="preserve">od 11 do 13 </w:t>
            </w:r>
            <w:proofErr w:type="spellStart"/>
            <w:r w:rsidRPr="00A62FBD">
              <w:rPr>
                <w:rFonts w:ascii="Cambria" w:hAnsi="Cambria" w:cs="Calibri"/>
              </w:rPr>
              <w:t>bodova</w:t>
            </w:r>
            <w:proofErr w:type="spellEnd"/>
            <w:r w:rsidRPr="00A62FBD">
              <w:rPr>
                <w:rFonts w:ascii="Cambria" w:hAnsi="Cambria" w:cs="Calibri"/>
              </w:rPr>
              <w:tab/>
              <w:t>=</w:t>
            </w:r>
            <w:r w:rsidRPr="00A62FBD">
              <w:rPr>
                <w:rFonts w:ascii="Cambria" w:hAnsi="Cambria" w:cs="Calibri"/>
              </w:rPr>
              <w:tab/>
            </w:r>
            <w:proofErr w:type="spellStart"/>
            <w:r w:rsidRPr="00A62FBD">
              <w:rPr>
                <w:rFonts w:ascii="Cambria" w:hAnsi="Cambria" w:cs="Calibri"/>
              </w:rPr>
              <w:t>ocjena</w:t>
            </w:r>
            <w:proofErr w:type="spellEnd"/>
            <w:r w:rsidRPr="00A62FBD">
              <w:rPr>
                <w:rFonts w:ascii="Cambria" w:hAnsi="Cambria" w:cs="Calibri"/>
              </w:rPr>
              <w:t xml:space="preserve"> 3</w:t>
            </w:r>
          </w:p>
          <w:p w14:paraId="076A4B8C" w14:textId="77777777" w:rsidR="00FC4004" w:rsidRPr="00A62FBD" w:rsidRDefault="00FC4004" w:rsidP="000F1A10">
            <w:pPr>
              <w:spacing w:after="0" w:line="240" w:lineRule="auto"/>
              <w:rPr>
                <w:rFonts w:ascii="Cambria" w:hAnsi="Cambria" w:cs="Calibri"/>
              </w:rPr>
            </w:pPr>
            <w:r w:rsidRPr="00A62FBD">
              <w:rPr>
                <w:rFonts w:ascii="Cambria" w:hAnsi="Cambria" w:cs="Calibri"/>
              </w:rPr>
              <w:tab/>
              <w:t xml:space="preserve">od 14 do </w:t>
            </w:r>
            <w:proofErr w:type="gramStart"/>
            <w:r w:rsidRPr="00A62FBD">
              <w:rPr>
                <w:rFonts w:ascii="Cambria" w:hAnsi="Cambria" w:cs="Calibri"/>
              </w:rPr>
              <w:t xml:space="preserve">15  </w:t>
            </w:r>
            <w:proofErr w:type="spellStart"/>
            <w:r w:rsidRPr="00A62FBD">
              <w:rPr>
                <w:rFonts w:ascii="Cambria" w:hAnsi="Cambria" w:cs="Calibri"/>
              </w:rPr>
              <w:t>bodova</w:t>
            </w:r>
            <w:proofErr w:type="spellEnd"/>
            <w:proofErr w:type="gramEnd"/>
            <w:r w:rsidRPr="00A62FBD">
              <w:rPr>
                <w:rFonts w:ascii="Cambria" w:hAnsi="Cambria" w:cs="Calibri"/>
              </w:rPr>
              <w:tab/>
              <w:t>=</w:t>
            </w:r>
            <w:r w:rsidRPr="00A62FBD">
              <w:rPr>
                <w:rFonts w:ascii="Cambria" w:hAnsi="Cambria" w:cs="Calibri"/>
              </w:rPr>
              <w:tab/>
            </w:r>
            <w:proofErr w:type="spellStart"/>
            <w:r w:rsidRPr="00A62FBD">
              <w:rPr>
                <w:rFonts w:ascii="Cambria" w:hAnsi="Cambria" w:cs="Calibri"/>
              </w:rPr>
              <w:t>ocjena</w:t>
            </w:r>
            <w:proofErr w:type="spellEnd"/>
            <w:r w:rsidRPr="00A62FBD">
              <w:rPr>
                <w:rFonts w:ascii="Cambria" w:hAnsi="Cambria" w:cs="Calibri"/>
              </w:rPr>
              <w:t xml:space="preserve"> 4</w:t>
            </w:r>
          </w:p>
          <w:p w14:paraId="13E0F6DB" w14:textId="77777777" w:rsidR="00FC4004" w:rsidRPr="00A62FBD" w:rsidRDefault="00FC4004" w:rsidP="000F1A10">
            <w:pPr>
              <w:spacing w:after="0" w:line="240" w:lineRule="auto"/>
              <w:rPr>
                <w:rFonts w:ascii="Cambria" w:hAnsi="Cambria" w:cs="Calibri"/>
              </w:rPr>
            </w:pPr>
            <w:r w:rsidRPr="00A62FBD">
              <w:rPr>
                <w:rFonts w:ascii="Cambria" w:hAnsi="Cambria" w:cs="Calibri"/>
              </w:rPr>
              <w:tab/>
              <w:t xml:space="preserve">od 16 do 18 </w:t>
            </w:r>
            <w:proofErr w:type="spellStart"/>
            <w:r w:rsidRPr="00A62FBD">
              <w:rPr>
                <w:rFonts w:ascii="Cambria" w:hAnsi="Cambria" w:cs="Calibri"/>
              </w:rPr>
              <w:t>bodova</w:t>
            </w:r>
            <w:proofErr w:type="spellEnd"/>
            <w:r w:rsidRPr="00A62FBD">
              <w:rPr>
                <w:rFonts w:ascii="Cambria" w:hAnsi="Cambria" w:cs="Calibri"/>
              </w:rPr>
              <w:tab/>
              <w:t>=</w:t>
            </w:r>
            <w:r w:rsidRPr="00A62FBD">
              <w:rPr>
                <w:rFonts w:ascii="Cambria" w:hAnsi="Cambria" w:cs="Calibri"/>
              </w:rPr>
              <w:tab/>
            </w:r>
            <w:proofErr w:type="spellStart"/>
            <w:r w:rsidRPr="00A62FBD">
              <w:rPr>
                <w:rFonts w:ascii="Cambria" w:hAnsi="Cambria" w:cs="Calibri"/>
              </w:rPr>
              <w:t>ocjena</w:t>
            </w:r>
            <w:proofErr w:type="spellEnd"/>
            <w:r w:rsidRPr="00A62FBD">
              <w:rPr>
                <w:rFonts w:ascii="Cambria" w:hAnsi="Cambria" w:cs="Calibri"/>
              </w:rPr>
              <w:t xml:space="preserve"> 5</w:t>
            </w:r>
          </w:p>
        </w:tc>
      </w:tr>
      <w:tr w:rsidR="00FC4004" w:rsidRPr="00D0399C" w14:paraId="405D6F34" w14:textId="77777777" w:rsidTr="00FC4004">
        <w:tc>
          <w:tcPr>
            <w:tcW w:w="297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6BFEB82" w14:textId="77777777" w:rsidR="00FC4004" w:rsidRPr="00A62FBD" w:rsidRDefault="00FC4004" w:rsidP="000F1A10">
            <w:pPr>
              <w:spacing w:after="0" w:line="240" w:lineRule="auto"/>
              <w:rPr>
                <w:rFonts w:ascii="Cambria" w:hAnsi="Cambria" w:cs="Calibri"/>
              </w:rPr>
            </w:pPr>
            <w:proofErr w:type="spellStart"/>
            <w:r w:rsidRPr="00A62FBD">
              <w:rPr>
                <w:rFonts w:ascii="Cambria" w:hAnsi="Cambria" w:cs="Calibri"/>
              </w:rPr>
              <w:t>Studentske</w:t>
            </w:r>
            <w:proofErr w:type="spellEnd"/>
            <w:r w:rsidRPr="00A62FBD">
              <w:rPr>
                <w:rFonts w:ascii="Cambria" w:hAnsi="Cambria" w:cs="Calibri"/>
              </w:rPr>
              <w:t xml:space="preserve"> </w:t>
            </w:r>
            <w:proofErr w:type="spellStart"/>
            <w:r w:rsidRPr="00A62FBD">
              <w:rPr>
                <w:rFonts w:ascii="Cambria" w:hAnsi="Cambria" w:cs="Calibri"/>
              </w:rPr>
              <w:t>obveze</w:t>
            </w:r>
            <w:proofErr w:type="spellEnd"/>
          </w:p>
        </w:tc>
        <w:tc>
          <w:tcPr>
            <w:tcW w:w="737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BBAD808" w14:textId="77777777" w:rsidR="00FC4004" w:rsidRPr="00161325" w:rsidRDefault="00FC4004" w:rsidP="000F1A10">
            <w:pPr>
              <w:spacing w:after="0" w:line="240" w:lineRule="auto"/>
              <w:rPr>
                <w:rFonts w:ascii="Cambria" w:hAnsi="Cambria" w:cs="Calibri"/>
                <w:lang w:val="it-IT"/>
              </w:rPr>
            </w:pPr>
            <w:r w:rsidRPr="00161325">
              <w:rPr>
                <w:rFonts w:ascii="Cambria" w:hAnsi="Cambria" w:cs="Calibri"/>
                <w:lang w:val="it-IT"/>
              </w:rPr>
              <w:t xml:space="preserve">Da </w:t>
            </w:r>
            <w:proofErr w:type="spellStart"/>
            <w:r w:rsidRPr="00161325">
              <w:rPr>
                <w:rFonts w:ascii="Cambria" w:hAnsi="Cambria" w:cs="Calibri"/>
                <w:lang w:val="it-IT"/>
              </w:rPr>
              <w:t>položi</w:t>
            </w:r>
            <w:proofErr w:type="spellEnd"/>
            <w:r w:rsidRPr="00161325">
              <w:rPr>
                <w:rFonts w:ascii="Cambria" w:hAnsi="Cambria" w:cs="Calibri"/>
                <w:lang w:val="it-IT"/>
              </w:rPr>
              <w:t xml:space="preserve"> </w:t>
            </w:r>
            <w:proofErr w:type="spellStart"/>
            <w:r w:rsidRPr="00161325">
              <w:rPr>
                <w:rFonts w:ascii="Cambria" w:hAnsi="Cambria" w:cs="Calibri"/>
                <w:lang w:val="it-IT"/>
              </w:rPr>
              <w:t>kolegij</w:t>
            </w:r>
            <w:proofErr w:type="spellEnd"/>
            <w:r w:rsidRPr="00161325">
              <w:rPr>
                <w:rFonts w:ascii="Cambria" w:hAnsi="Cambria" w:cs="Calibri"/>
                <w:lang w:val="it-IT"/>
              </w:rPr>
              <w:t xml:space="preserve">, </w:t>
            </w:r>
            <w:proofErr w:type="spellStart"/>
            <w:r w:rsidRPr="00161325">
              <w:rPr>
                <w:rFonts w:ascii="Cambria" w:hAnsi="Cambria" w:cs="Calibri"/>
                <w:lang w:val="it-IT"/>
              </w:rPr>
              <w:t>student</w:t>
            </w:r>
            <w:proofErr w:type="spellEnd"/>
            <w:r w:rsidRPr="00161325">
              <w:rPr>
                <w:rFonts w:ascii="Cambria" w:hAnsi="Cambria" w:cs="Calibri"/>
                <w:lang w:val="it-IT"/>
              </w:rPr>
              <w:t>/</w:t>
            </w:r>
            <w:proofErr w:type="spellStart"/>
            <w:r w:rsidRPr="00161325">
              <w:rPr>
                <w:rFonts w:ascii="Cambria" w:hAnsi="Cambria" w:cs="Calibri"/>
                <w:lang w:val="it-IT"/>
              </w:rPr>
              <w:t>studentica</w:t>
            </w:r>
            <w:proofErr w:type="spellEnd"/>
            <w:r w:rsidRPr="00161325">
              <w:rPr>
                <w:rFonts w:ascii="Cambria" w:hAnsi="Cambria" w:cs="Calibri"/>
                <w:lang w:val="it-IT"/>
              </w:rPr>
              <w:t xml:space="preserve"> mora:</w:t>
            </w:r>
          </w:p>
          <w:p w14:paraId="09FE83DA" w14:textId="3722DA04" w:rsidR="00FC4004" w:rsidRPr="00B36357" w:rsidRDefault="00B36357" w:rsidP="00B36357">
            <w:pPr>
              <w:spacing w:after="0" w:line="240" w:lineRule="auto"/>
              <w:rPr>
                <w:rFonts w:ascii="Cambria" w:hAnsi="Cambria"/>
                <w:lang w:val="it-IT"/>
              </w:rPr>
            </w:pPr>
            <w:r w:rsidRPr="00B36357">
              <w:rPr>
                <w:rFonts w:ascii="Cambria" w:hAnsi="Cambria"/>
                <w:lang w:val="it-IT"/>
              </w:rPr>
              <w:t>1.</w:t>
            </w:r>
            <w:r>
              <w:rPr>
                <w:rFonts w:ascii="Cambria" w:hAnsi="Cambria"/>
                <w:lang w:val="it-IT"/>
              </w:rPr>
              <w:t xml:space="preserve"> </w:t>
            </w:r>
            <w:proofErr w:type="spellStart"/>
            <w:r w:rsidR="00FC4004" w:rsidRPr="00B36357">
              <w:rPr>
                <w:rFonts w:ascii="Cambria" w:hAnsi="Cambria"/>
                <w:lang w:val="it-IT"/>
              </w:rPr>
              <w:t>redovito</w:t>
            </w:r>
            <w:proofErr w:type="spellEnd"/>
            <w:r w:rsidR="00FC4004" w:rsidRPr="00B36357">
              <w:rPr>
                <w:rFonts w:ascii="Cambria" w:hAnsi="Cambria"/>
                <w:lang w:val="it-IT"/>
              </w:rPr>
              <w:t xml:space="preserve"> </w:t>
            </w:r>
            <w:proofErr w:type="spellStart"/>
            <w:r w:rsidR="00FC4004" w:rsidRPr="00B36357">
              <w:rPr>
                <w:rFonts w:ascii="Cambria" w:hAnsi="Cambria"/>
                <w:lang w:val="it-IT"/>
              </w:rPr>
              <w:t>pohađati</w:t>
            </w:r>
            <w:proofErr w:type="spellEnd"/>
            <w:r w:rsidR="00FC4004" w:rsidRPr="00B36357">
              <w:rPr>
                <w:rFonts w:ascii="Cambria" w:hAnsi="Cambria"/>
                <w:lang w:val="it-IT"/>
              </w:rPr>
              <w:t xml:space="preserve"> </w:t>
            </w:r>
            <w:proofErr w:type="spellStart"/>
            <w:r w:rsidR="00FC4004" w:rsidRPr="00B36357">
              <w:rPr>
                <w:rFonts w:ascii="Cambria" w:hAnsi="Cambria"/>
                <w:lang w:val="it-IT"/>
              </w:rPr>
              <w:t>nastavu</w:t>
            </w:r>
            <w:proofErr w:type="spellEnd"/>
            <w:r w:rsidR="00FC4004" w:rsidRPr="00B36357">
              <w:rPr>
                <w:rFonts w:ascii="Cambria" w:hAnsi="Cambria"/>
                <w:lang w:val="it-IT"/>
              </w:rPr>
              <w:t xml:space="preserve"> i </w:t>
            </w:r>
            <w:proofErr w:type="spellStart"/>
            <w:r w:rsidR="00FC4004" w:rsidRPr="00B36357">
              <w:rPr>
                <w:rFonts w:ascii="Cambria" w:hAnsi="Cambria"/>
                <w:lang w:val="it-IT"/>
              </w:rPr>
              <w:t>aktivno</w:t>
            </w:r>
            <w:proofErr w:type="spellEnd"/>
            <w:r w:rsidR="00FC4004" w:rsidRPr="00B36357">
              <w:rPr>
                <w:rFonts w:ascii="Cambria" w:hAnsi="Cambria"/>
                <w:lang w:val="it-IT"/>
              </w:rPr>
              <w:t xml:space="preserve"> </w:t>
            </w:r>
            <w:proofErr w:type="spellStart"/>
            <w:r w:rsidR="00FC4004" w:rsidRPr="00B36357">
              <w:rPr>
                <w:rFonts w:ascii="Cambria" w:hAnsi="Cambria"/>
                <w:lang w:val="it-IT"/>
              </w:rPr>
              <w:t>sudjelovati</w:t>
            </w:r>
            <w:proofErr w:type="spellEnd"/>
            <w:r w:rsidR="00FC4004" w:rsidRPr="00B36357">
              <w:rPr>
                <w:rFonts w:ascii="Cambria" w:hAnsi="Cambria"/>
                <w:lang w:val="it-IT"/>
              </w:rPr>
              <w:t xml:space="preserve"> u </w:t>
            </w:r>
            <w:proofErr w:type="spellStart"/>
            <w:r w:rsidR="00FC4004" w:rsidRPr="00B36357">
              <w:rPr>
                <w:rFonts w:ascii="Cambria" w:hAnsi="Cambria"/>
                <w:lang w:val="it-IT"/>
              </w:rPr>
              <w:t>svim</w:t>
            </w:r>
            <w:proofErr w:type="spellEnd"/>
            <w:r w:rsidR="00FC4004" w:rsidRPr="00B36357">
              <w:rPr>
                <w:rFonts w:ascii="Cambria" w:hAnsi="Cambria"/>
                <w:lang w:val="it-IT"/>
              </w:rPr>
              <w:t xml:space="preserve"> </w:t>
            </w:r>
            <w:proofErr w:type="spellStart"/>
            <w:r w:rsidR="00FC4004" w:rsidRPr="00B36357">
              <w:rPr>
                <w:rFonts w:ascii="Cambria" w:hAnsi="Cambria"/>
                <w:lang w:val="it-IT"/>
              </w:rPr>
              <w:t>oblicima</w:t>
            </w:r>
            <w:proofErr w:type="spellEnd"/>
            <w:r w:rsidR="00FC4004" w:rsidRPr="00B36357">
              <w:rPr>
                <w:rFonts w:ascii="Cambria" w:hAnsi="Cambria"/>
                <w:lang w:val="it-IT"/>
              </w:rPr>
              <w:t xml:space="preserve"> </w:t>
            </w:r>
            <w:proofErr w:type="spellStart"/>
            <w:r w:rsidR="00FC4004" w:rsidRPr="00B36357">
              <w:rPr>
                <w:rFonts w:ascii="Cambria" w:hAnsi="Cambria"/>
                <w:lang w:val="it-IT"/>
              </w:rPr>
              <w:t>nastave</w:t>
            </w:r>
            <w:proofErr w:type="spellEnd"/>
            <w:r w:rsidR="00FC4004" w:rsidRPr="00B36357">
              <w:rPr>
                <w:rFonts w:ascii="Cambria" w:hAnsi="Cambria"/>
                <w:lang w:val="it-IT"/>
              </w:rPr>
              <w:t xml:space="preserve"> (</w:t>
            </w:r>
            <w:proofErr w:type="spellStart"/>
            <w:r w:rsidR="00FC4004" w:rsidRPr="00B36357">
              <w:rPr>
                <w:rFonts w:ascii="Cambria" w:hAnsi="Cambria"/>
                <w:lang w:val="it-IT"/>
              </w:rPr>
              <w:t>barem</w:t>
            </w:r>
            <w:proofErr w:type="spellEnd"/>
            <w:r w:rsidR="00FC4004" w:rsidRPr="00B36357">
              <w:rPr>
                <w:rFonts w:ascii="Cambria" w:hAnsi="Cambria"/>
                <w:lang w:val="it-IT"/>
              </w:rPr>
              <w:t xml:space="preserve"> 70% </w:t>
            </w:r>
            <w:proofErr w:type="spellStart"/>
            <w:r w:rsidR="00FC4004" w:rsidRPr="00B36357">
              <w:rPr>
                <w:rFonts w:ascii="Cambria" w:hAnsi="Cambria"/>
                <w:lang w:val="it-IT"/>
              </w:rPr>
              <w:t>prisustva</w:t>
            </w:r>
            <w:proofErr w:type="spellEnd"/>
            <w:r w:rsidR="00FC4004" w:rsidRPr="00B36357">
              <w:rPr>
                <w:rFonts w:ascii="Cambria" w:hAnsi="Cambria"/>
                <w:lang w:val="it-IT"/>
              </w:rPr>
              <w:t xml:space="preserve"> </w:t>
            </w:r>
            <w:proofErr w:type="spellStart"/>
            <w:r w:rsidR="00FC4004" w:rsidRPr="00B36357">
              <w:rPr>
                <w:rFonts w:ascii="Cambria" w:hAnsi="Cambria"/>
                <w:lang w:val="it-IT"/>
              </w:rPr>
              <w:t>na</w:t>
            </w:r>
            <w:proofErr w:type="spellEnd"/>
            <w:r w:rsidR="00FC4004" w:rsidRPr="00B36357">
              <w:rPr>
                <w:rFonts w:ascii="Cambria" w:hAnsi="Cambria"/>
                <w:lang w:val="it-IT"/>
              </w:rPr>
              <w:t xml:space="preserve"> </w:t>
            </w:r>
            <w:proofErr w:type="spellStart"/>
            <w:r w:rsidR="00FC4004" w:rsidRPr="00B36357">
              <w:rPr>
                <w:rFonts w:ascii="Cambria" w:hAnsi="Cambria"/>
                <w:lang w:val="it-IT"/>
              </w:rPr>
              <w:t>vježbama</w:t>
            </w:r>
            <w:proofErr w:type="spellEnd"/>
            <w:r w:rsidR="00FC4004" w:rsidRPr="00B36357">
              <w:rPr>
                <w:rFonts w:ascii="Cambria" w:hAnsi="Cambria"/>
                <w:lang w:val="it-IT"/>
              </w:rPr>
              <w:t xml:space="preserve"> te </w:t>
            </w:r>
            <w:proofErr w:type="spellStart"/>
            <w:r w:rsidR="00FC4004" w:rsidRPr="00B36357">
              <w:rPr>
                <w:rFonts w:ascii="Cambria" w:hAnsi="Cambria"/>
                <w:lang w:val="it-IT"/>
              </w:rPr>
              <w:t>barem</w:t>
            </w:r>
            <w:proofErr w:type="spellEnd"/>
            <w:r w:rsidR="00FC4004" w:rsidRPr="00B36357">
              <w:rPr>
                <w:rFonts w:ascii="Cambria" w:hAnsi="Cambria"/>
                <w:lang w:val="it-IT"/>
              </w:rPr>
              <w:t xml:space="preserve"> 70% </w:t>
            </w:r>
            <w:proofErr w:type="spellStart"/>
            <w:r w:rsidR="00FC4004" w:rsidRPr="00B36357">
              <w:rPr>
                <w:rFonts w:ascii="Cambria" w:hAnsi="Cambria"/>
                <w:lang w:val="it-IT"/>
              </w:rPr>
              <w:t>prisustva</w:t>
            </w:r>
            <w:proofErr w:type="spellEnd"/>
            <w:r w:rsidR="00FC4004" w:rsidRPr="00B36357">
              <w:rPr>
                <w:rFonts w:ascii="Cambria" w:hAnsi="Cambria"/>
                <w:lang w:val="it-IT"/>
              </w:rPr>
              <w:t xml:space="preserve"> </w:t>
            </w:r>
            <w:proofErr w:type="spellStart"/>
            <w:r w:rsidR="00FC4004" w:rsidRPr="00B36357">
              <w:rPr>
                <w:rFonts w:ascii="Cambria" w:hAnsi="Cambria"/>
                <w:lang w:val="it-IT"/>
              </w:rPr>
              <w:t>na</w:t>
            </w:r>
            <w:proofErr w:type="spellEnd"/>
            <w:r w:rsidR="00FC4004" w:rsidRPr="00B36357">
              <w:rPr>
                <w:rFonts w:ascii="Cambria" w:hAnsi="Cambria"/>
                <w:lang w:val="it-IT"/>
              </w:rPr>
              <w:t xml:space="preserve"> </w:t>
            </w:r>
            <w:proofErr w:type="spellStart"/>
            <w:r w:rsidR="00FC4004" w:rsidRPr="00B36357">
              <w:rPr>
                <w:rFonts w:ascii="Cambria" w:hAnsi="Cambria"/>
                <w:lang w:val="it-IT"/>
              </w:rPr>
              <w:t>predavanjima</w:t>
            </w:r>
            <w:proofErr w:type="spellEnd"/>
            <w:r w:rsidR="00FC4004" w:rsidRPr="00B36357">
              <w:rPr>
                <w:rFonts w:ascii="Cambria" w:hAnsi="Cambria"/>
                <w:lang w:val="it-IT"/>
              </w:rPr>
              <w:t>)</w:t>
            </w:r>
          </w:p>
          <w:p w14:paraId="0414E69D" w14:textId="7321CBB9" w:rsidR="00FC4004" w:rsidRPr="00B36357" w:rsidRDefault="00B36357" w:rsidP="00B36357">
            <w:pPr>
              <w:spacing w:after="0" w:line="240" w:lineRule="auto"/>
              <w:rPr>
                <w:rFonts w:ascii="Cambria" w:hAnsi="Cambria"/>
                <w:noProof/>
                <w:lang w:val="it-IT"/>
              </w:rPr>
            </w:pPr>
            <w:r w:rsidRPr="00B36357">
              <w:rPr>
                <w:rFonts w:ascii="Cambria" w:hAnsi="Cambria"/>
                <w:lang w:val="it-IT"/>
              </w:rPr>
              <w:t>2.</w:t>
            </w:r>
            <w:r>
              <w:rPr>
                <w:rFonts w:ascii="Cambria" w:hAnsi="Cambria"/>
                <w:lang w:val="it-IT"/>
              </w:rPr>
              <w:t xml:space="preserve"> </w:t>
            </w:r>
            <w:proofErr w:type="spellStart"/>
            <w:r w:rsidR="00FC4004" w:rsidRPr="00B36357">
              <w:rPr>
                <w:rFonts w:ascii="Cambria" w:hAnsi="Cambria"/>
                <w:lang w:val="it-IT"/>
              </w:rPr>
              <w:t>redovito</w:t>
            </w:r>
            <w:proofErr w:type="spellEnd"/>
            <w:r w:rsidR="00FC4004" w:rsidRPr="00B36357">
              <w:rPr>
                <w:rFonts w:ascii="Cambria" w:hAnsi="Cambria"/>
                <w:lang w:val="it-IT"/>
              </w:rPr>
              <w:t xml:space="preserve"> </w:t>
            </w:r>
            <w:proofErr w:type="spellStart"/>
            <w:r w:rsidR="00FC4004" w:rsidRPr="00B36357">
              <w:rPr>
                <w:rFonts w:ascii="Cambria" w:hAnsi="Cambria"/>
                <w:lang w:val="it-IT"/>
              </w:rPr>
              <w:t>izraditi</w:t>
            </w:r>
            <w:proofErr w:type="spellEnd"/>
            <w:r w:rsidR="00FC4004" w:rsidRPr="00B36357">
              <w:rPr>
                <w:rFonts w:ascii="Cambria" w:hAnsi="Cambria"/>
                <w:lang w:val="it-IT"/>
              </w:rPr>
              <w:t xml:space="preserve"> </w:t>
            </w:r>
            <w:proofErr w:type="spellStart"/>
            <w:r w:rsidR="00FC4004" w:rsidRPr="00B36357">
              <w:rPr>
                <w:rFonts w:ascii="Cambria" w:hAnsi="Cambria"/>
                <w:lang w:val="it-IT"/>
              </w:rPr>
              <w:t>samostalne</w:t>
            </w:r>
            <w:proofErr w:type="spellEnd"/>
            <w:r w:rsidR="00FC4004" w:rsidRPr="00B36357">
              <w:rPr>
                <w:rFonts w:ascii="Cambria" w:hAnsi="Cambria"/>
                <w:lang w:val="it-IT"/>
              </w:rPr>
              <w:t xml:space="preserve"> </w:t>
            </w:r>
            <w:proofErr w:type="spellStart"/>
            <w:r w:rsidR="00FC4004" w:rsidRPr="00B36357">
              <w:rPr>
                <w:rFonts w:ascii="Cambria" w:hAnsi="Cambria"/>
                <w:lang w:val="it-IT"/>
              </w:rPr>
              <w:t>zadatke</w:t>
            </w:r>
            <w:proofErr w:type="spellEnd"/>
            <w:r w:rsidR="00FC4004" w:rsidRPr="00B36357">
              <w:rPr>
                <w:rFonts w:ascii="Cambria" w:hAnsi="Cambria"/>
                <w:lang w:val="it-IT"/>
              </w:rPr>
              <w:t xml:space="preserve"> i </w:t>
            </w:r>
            <w:proofErr w:type="spellStart"/>
            <w:r w:rsidR="00FC4004" w:rsidRPr="00B36357">
              <w:rPr>
                <w:rFonts w:ascii="Cambria" w:hAnsi="Cambria"/>
                <w:lang w:val="it-IT"/>
              </w:rPr>
              <w:t>zadatke</w:t>
            </w:r>
            <w:proofErr w:type="spellEnd"/>
            <w:r w:rsidR="00FC4004" w:rsidRPr="00B36357">
              <w:rPr>
                <w:rFonts w:ascii="Cambria" w:hAnsi="Cambria"/>
                <w:lang w:val="it-IT"/>
              </w:rPr>
              <w:t xml:space="preserve"> u </w:t>
            </w:r>
            <w:proofErr w:type="spellStart"/>
            <w:r w:rsidR="00FC4004" w:rsidRPr="00B36357">
              <w:rPr>
                <w:rFonts w:ascii="Cambria" w:hAnsi="Cambria"/>
                <w:lang w:val="it-IT"/>
              </w:rPr>
              <w:t>grupi</w:t>
            </w:r>
            <w:proofErr w:type="spellEnd"/>
            <w:r w:rsidR="00FC4004" w:rsidRPr="00B36357">
              <w:rPr>
                <w:rFonts w:ascii="Cambria" w:hAnsi="Cambria"/>
                <w:lang w:val="it-IT"/>
              </w:rPr>
              <w:t xml:space="preserve"> (</w:t>
            </w:r>
            <w:proofErr w:type="spellStart"/>
            <w:r w:rsidR="00FC4004" w:rsidRPr="00B36357">
              <w:rPr>
                <w:rFonts w:ascii="Cambria" w:hAnsi="Cambria"/>
                <w:lang w:val="it-IT"/>
              </w:rPr>
              <w:t>barem</w:t>
            </w:r>
            <w:proofErr w:type="spellEnd"/>
            <w:r w:rsidR="00FC4004" w:rsidRPr="00B36357">
              <w:rPr>
                <w:rFonts w:ascii="Cambria" w:hAnsi="Cambria"/>
                <w:lang w:val="it-IT"/>
              </w:rPr>
              <w:t xml:space="preserve"> 50</w:t>
            </w:r>
            <w:r w:rsidR="00FC4004" w:rsidRPr="00B36357">
              <w:rPr>
                <w:rFonts w:ascii="Cambria" w:hAnsi="Cambria"/>
                <w:noProof/>
                <w:lang w:val="it-IT"/>
              </w:rPr>
              <w:t>% ocjenskih bodova)</w:t>
            </w:r>
          </w:p>
          <w:p w14:paraId="30DFD327" w14:textId="7A59A3C5" w:rsidR="00FC4004" w:rsidRPr="00B36357" w:rsidRDefault="00B36357" w:rsidP="00B36357">
            <w:pPr>
              <w:spacing w:after="0" w:line="240" w:lineRule="auto"/>
              <w:rPr>
                <w:rFonts w:ascii="Cambria" w:hAnsi="Cambria"/>
                <w:noProof/>
                <w:lang w:val="it-IT"/>
              </w:rPr>
            </w:pPr>
            <w:r w:rsidRPr="00B36357">
              <w:rPr>
                <w:rFonts w:ascii="Cambria" w:hAnsi="Cambria"/>
                <w:noProof/>
                <w:lang w:val="it-IT"/>
              </w:rPr>
              <w:t xml:space="preserve">3. </w:t>
            </w:r>
            <w:r w:rsidR="00FC4004" w:rsidRPr="00B36357">
              <w:rPr>
                <w:rFonts w:ascii="Cambria" w:hAnsi="Cambria"/>
                <w:noProof/>
                <w:lang w:val="it-IT"/>
              </w:rPr>
              <w:t>zadovoljiti na pismenom ispitu (barem 50% ocjenskih bodova)</w:t>
            </w:r>
          </w:p>
          <w:p w14:paraId="15B448E6" w14:textId="6E3667EC" w:rsidR="00FC4004" w:rsidRPr="00B36357" w:rsidRDefault="00B36357" w:rsidP="00B36357">
            <w:pPr>
              <w:spacing w:after="0" w:line="240" w:lineRule="auto"/>
              <w:rPr>
                <w:rFonts w:ascii="Cambria" w:hAnsi="Cambria" w:cs="Calibri"/>
                <w:lang w:val="it-IT"/>
              </w:rPr>
            </w:pPr>
            <w:r w:rsidRPr="00B36357">
              <w:rPr>
                <w:rFonts w:ascii="Cambria" w:hAnsi="Cambria"/>
                <w:noProof/>
                <w:lang w:val="it-IT"/>
              </w:rPr>
              <w:t xml:space="preserve">4. </w:t>
            </w:r>
            <w:r w:rsidR="00FC4004" w:rsidRPr="00B36357">
              <w:rPr>
                <w:rFonts w:ascii="Cambria" w:hAnsi="Cambria"/>
                <w:noProof/>
                <w:lang w:val="it-IT"/>
              </w:rPr>
              <w:t>zadovoljiti na usmenom ispitu (barem 50% ocjenskih</w:t>
            </w:r>
            <w:r w:rsidR="00FC4004" w:rsidRPr="00B36357">
              <w:rPr>
                <w:rFonts w:ascii="Cambria" w:hAnsi="Cambria"/>
                <w:lang w:val="it-IT"/>
              </w:rPr>
              <w:t xml:space="preserve"> </w:t>
            </w:r>
            <w:proofErr w:type="spellStart"/>
            <w:r w:rsidR="00FC4004" w:rsidRPr="00B36357">
              <w:rPr>
                <w:rFonts w:ascii="Cambria" w:hAnsi="Cambria"/>
                <w:lang w:val="it-IT"/>
              </w:rPr>
              <w:t>bodova</w:t>
            </w:r>
            <w:proofErr w:type="spellEnd"/>
            <w:r w:rsidR="00FC4004" w:rsidRPr="00B36357">
              <w:rPr>
                <w:rFonts w:ascii="Cambria" w:hAnsi="Cambria"/>
                <w:lang w:val="it-IT"/>
              </w:rPr>
              <w:t>).</w:t>
            </w:r>
          </w:p>
        </w:tc>
      </w:tr>
      <w:tr w:rsidR="00FC4004" w:rsidRPr="00D0399C" w14:paraId="288BE700" w14:textId="77777777" w:rsidTr="00FC4004">
        <w:trPr>
          <w:trHeight w:val="345"/>
        </w:trPr>
        <w:tc>
          <w:tcPr>
            <w:tcW w:w="297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B7FFAF3" w14:textId="77777777" w:rsidR="00FC4004" w:rsidRPr="00A62FBD" w:rsidRDefault="00FC4004" w:rsidP="000F1A10">
            <w:pPr>
              <w:spacing w:after="0" w:line="240" w:lineRule="auto"/>
              <w:rPr>
                <w:rFonts w:ascii="Cambria" w:hAnsi="Cambria" w:cs="Calibri"/>
              </w:rPr>
            </w:pPr>
            <w:proofErr w:type="spellStart"/>
            <w:r w:rsidRPr="00A62FBD">
              <w:rPr>
                <w:rFonts w:ascii="Cambria" w:hAnsi="Cambria" w:cs="Calibri"/>
              </w:rPr>
              <w:t>Rokovi</w:t>
            </w:r>
            <w:proofErr w:type="spellEnd"/>
            <w:r w:rsidRPr="00A62FBD">
              <w:rPr>
                <w:rFonts w:ascii="Cambria" w:hAnsi="Cambria" w:cs="Calibri"/>
              </w:rPr>
              <w:t xml:space="preserve"> </w:t>
            </w:r>
            <w:proofErr w:type="spellStart"/>
            <w:r w:rsidRPr="00A62FBD">
              <w:rPr>
                <w:rFonts w:ascii="Cambria" w:hAnsi="Cambria" w:cs="Calibri"/>
              </w:rPr>
              <w:t>ispita</w:t>
            </w:r>
            <w:proofErr w:type="spellEnd"/>
            <w:r w:rsidRPr="00A62FBD">
              <w:rPr>
                <w:rFonts w:ascii="Cambria" w:hAnsi="Cambria" w:cs="Calibri"/>
              </w:rPr>
              <w:t xml:space="preserve"> </w:t>
            </w:r>
          </w:p>
        </w:tc>
        <w:tc>
          <w:tcPr>
            <w:tcW w:w="737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7CB2D0B" w14:textId="77777777" w:rsidR="00FC4004" w:rsidRPr="00161325" w:rsidRDefault="00FC4004" w:rsidP="000F1A10">
            <w:pPr>
              <w:spacing w:after="0" w:line="240" w:lineRule="auto"/>
              <w:rPr>
                <w:rFonts w:ascii="Cambria" w:hAnsi="Cambria" w:cs="Calibri"/>
                <w:lang w:val="it-IT"/>
              </w:rPr>
            </w:pPr>
            <w:proofErr w:type="spellStart"/>
            <w:r w:rsidRPr="00161325">
              <w:rPr>
                <w:rFonts w:ascii="Cambria" w:hAnsi="Cambria" w:cs="Calibri"/>
                <w:lang w:val="it-IT"/>
              </w:rPr>
              <w:t>Datumi</w:t>
            </w:r>
            <w:proofErr w:type="spellEnd"/>
            <w:r w:rsidRPr="00161325">
              <w:rPr>
                <w:rFonts w:ascii="Cambria" w:hAnsi="Cambria" w:cs="Calibri"/>
                <w:lang w:val="it-IT"/>
              </w:rPr>
              <w:t xml:space="preserve"> </w:t>
            </w:r>
            <w:proofErr w:type="spellStart"/>
            <w:r w:rsidRPr="00161325">
              <w:rPr>
                <w:rFonts w:ascii="Cambria" w:hAnsi="Cambria" w:cs="Calibri"/>
                <w:lang w:val="it-IT"/>
              </w:rPr>
              <w:t>dostupni</w:t>
            </w:r>
            <w:proofErr w:type="spellEnd"/>
            <w:r w:rsidRPr="00161325">
              <w:rPr>
                <w:rFonts w:ascii="Cambria" w:hAnsi="Cambria" w:cs="Calibri"/>
                <w:lang w:val="it-IT"/>
              </w:rPr>
              <w:t xml:space="preserve"> </w:t>
            </w:r>
            <w:proofErr w:type="spellStart"/>
            <w:r w:rsidRPr="00161325">
              <w:rPr>
                <w:rFonts w:ascii="Cambria" w:hAnsi="Cambria" w:cs="Calibri"/>
                <w:lang w:val="it-IT"/>
              </w:rPr>
              <w:t>na</w:t>
            </w:r>
            <w:proofErr w:type="spellEnd"/>
            <w:r w:rsidRPr="00161325">
              <w:rPr>
                <w:rFonts w:ascii="Cambria" w:hAnsi="Cambria" w:cs="Calibri"/>
                <w:lang w:val="it-IT"/>
              </w:rPr>
              <w:t xml:space="preserve"> </w:t>
            </w:r>
            <w:proofErr w:type="spellStart"/>
            <w:r>
              <w:rPr>
                <w:rFonts w:ascii="Cambria" w:hAnsi="Cambria" w:cs="Calibri"/>
                <w:lang w:val="it-IT"/>
              </w:rPr>
              <w:t>mrežnim</w:t>
            </w:r>
            <w:proofErr w:type="spellEnd"/>
            <w:r w:rsidRPr="00161325">
              <w:rPr>
                <w:rFonts w:ascii="Cambria" w:hAnsi="Cambria" w:cs="Calibri"/>
                <w:lang w:val="it-IT"/>
              </w:rPr>
              <w:t xml:space="preserve"> </w:t>
            </w:r>
            <w:proofErr w:type="spellStart"/>
            <w:r w:rsidRPr="00161325">
              <w:rPr>
                <w:rFonts w:ascii="Cambria" w:hAnsi="Cambria" w:cs="Calibri"/>
                <w:lang w:val="it-IT"/>
              </w:rPr>
              <w:t>stranicama</w:t>
            </w:r>
            <w:proofErr w:type="spellEnd"/>
            <w:r w:rsidRPr="00161325">
              <w:rPr>
                <w:rFonts w:ascii="Cambria" w:hAnsi="Cambria" w:cs="Calibri"/>
                <w:lang w:val="it-IT"/>
              </w:rPr>
              <w:t xml:space="preserve"> </w:t>
            </w:r>
            <w:proofErr w:type="spellStart"/>
            <w:r w:rsidRPr="00161325">
              <w:rPr>
                <w:rFonts w:ascii="Cambria" w:hAnsi="Cambria" w:cs="Calibri"/>
                <w:lang w:val="it-IT"/>
              </w:rPr>
              <w:t>Odjela</w:t>
            </w:r>
            <w:proofErr w:type="spellEnd"/>
            <w:r w:rsidRPr="00161325">
              <w:rPr>
                <w:rFonts w:ascii="Cambria" w:hAnsi="Cambria" w:cs="Calibri"/>
                <w:lang w:val="it-IT"/>
              </w:rPr>
              <w:t xml:space="preserve"> i ISVU </w:t>
            </w:r>
            <w:proofErr w:type="spellStart"/>
            <w:r w:rsidRPr="00161325">
              <w:rPr>
                <w:rFonts w:ascii="Cambria" w:hAnsi="Cambria" w:cs="Calibri"/>
                <w:lang w:val="it-IT"/>
              </w:rPr>
              <w:t>bazi</w:t>
            </w:r>
            <w:proofErr w:type="spellEnd"/>
            <w:r w:rsidRPr="00161325">
              <w:rPr>
                <w:rFonts w:ascii="Cambria" w:hAnsi="Cambria" w:cs="Calibri"/>
                <w:lang w:val="it-IT"/>
              </w:rPr>
              <w:t>.</w:t>
            </w:r>
          </w:p>
        </w:tc>
      </w:tr>
      <w:tr w:rsidR="00FC4004" w:rsidRPr="00884B46" w14:paraId="793D7025" w14:textId="77777777" w:rsidTr="00FC4004">
        <w:tc>
          <w:tcPr>
            <w:tcW w:w="297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A29A2F9" w14:textId="77777777" w:rsidR="00FC4004" w:rsidRPr="00161325" w:rsidRDefault="00FC4004" w:rsidP="000F1A10">
            <w:pPr>
              <w:spacing w:after="0" w:line="240" w:lineRule="auto"/>
              <w:rPr>
                <w:rFonts w:ascii="Cambria" w:hAnsi="Cambria" w:cs="Calibri"/>
                <w:lang w:val="it-IT"/>
              </w:rPr>
            </w:pPr>
            <w:r w:rsidRPr="00161325">
              <w:rPr>
                <w:rFonts w:ascii="Cambria" w:hAnsi="Cambria" w:cs="Calibri"/>
                <w:lang w:val="it-IT"/>
              </w:rPr>
              <w:t xml:space="preserve">Ostale </w:t>
            </w:r>
            <w:proofErr w:type="spellStart"/>
            <w:r w:rsidRPr="00161325">
              <w:rPr>
                <w:rFonts w:ascii="Cambria" w:hAnsi="Cambria" w:cs="Calibri"/>
                <w:lang w:val="it-IT"/>
              </w:rPr>
              <w:t>važne</w:t>
            </w:r>
            <w:proofErr w:type="spellEnd"/>
            <w:r w:rsidRPr="00161325">
              <w:rPr>
                <w:rFonts w:ascii="Cambria" w:hAnsi="Cambria" w:cs="Calibri"/>
                <w:lang w:val="it-IT"/>
              </w:rPr>
              <w:t xml:space="preserve"> </w:t>
            </w:r>
            <w:proofErr w:type="spellStart"/>
            <w:r w:rsidRPr="00161325">
              <w:rPr>
                <w:rFonts w:ascii="Cambria" w:hAnsi="Cambria" w:cs="Calibri"/>
                <w:lang w:val="it-IT"/>
              </w:rPr>
              <w:t>činjenice</w:t>
            </w:r>
            <w:proofErr w:type="spellEnd"/>
            <w:r w:rsidRPr="00161325">
              <w:rPr>
                <w:rFonts w:ascii="Cambria" w:hAnsi="Cambria" w:cs="Calibri"/>
                <w:lang w:val="it-IT"/>
              </w:rPr>
              <w:t xml:space="preserve"> </w:t>
            </w:r>
            <w:proofErr w:type="spellStart"/>
            <w:r w:rsidRPr="00A62FBD">
              <w:rPr>
                <w:rFonts w:ascii="Cambria" w:hAnsi="Cambria" w:cs="Calibri"/>
                <w:lang w:val="it-IT"/>
              </w:rPr>
              <w:t>vezane</w:t>
            </w:r>
            <w:proofErr w:type="spellEnd"/>
            <w:r w:rsidRPr="00A62FBD">
              <w:rPr>
                <w:rFonts w:ascii="Cambria" w:hAnsi="Cambria" w:cs="Calibri"/>
                <w:lang w:val="it-IT"/>
              </w:rPr>
              <w:t xml:space="preserve"> </w:t>
            </w:r>
            <w:proofErr w:type="spellStart"/>
            <w:r w:rsidRPr="00A62FBD">
              <w:rPr>
                <w:rFonts w:ascii="Cambria" w:hAnsi="Cambria" w:cs="Calibri"/>
                <w:lang w:val="it-IT"/>
              </w:rPr>
              <w:t>uz</w:t>
            </w:r>
            <w:proofErr w:type="spellEnd"/>
            <w:r w:rsidRPr="00A62FBD">
              <w:rPr>
                <w:rFonts w:ascii="Cambria" w:hAnsi="Cambria" w:cs="Calibri"/>
                <w:lang w:val="it-IT"/>
              </w:rPr>
              <w:t xml:space="preserve"> </w:t>
            </w:r>
            <w:proofErr w:type="spellStart"/>
            <w:r w:rsidRPr="00A62FBD">
              <w:rPr>
                <w:rFonts w:ascii="Cambria" w:hAnsi="Cambria" w:cs="Calibri"/>
                <w:lang w:val="it-IT"/>
              </w:rPr>
              <w:t>kolegij</w:t>
            </w:r>
            <w:proofErr w:type="spellEnd"/>
          </w:p>
        </w:tc>
        <w:tc>
          <w:tcPr>
            <w:tcW w:w="737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A5DF83B" w14:textId="77777777" w:rsidR="00FC4004" w:rsidRPr="00161325" w:rsidRDefault="00FC4004" w:rsidP="000F1A10">
            <w:pPr>
              <w:spacing w:after="0" w:line="240" w:lineRule="auto"/>
              <w:rPr>
                <w:rFonts w:ascii="Cambria" w:hAnsi="Cambria" w:cs="Calibri"/>
                <w:lang w:val="it-IT"/>
              </w:rPr>
            </w:pPr>
            <w:proofErr w:type="spellStart"/>
            <w:r w:rsidRPr="00161325">
              <w:rPr>
                <w:rFonts w:ascii="Cambria" w:hAnsi="Cambria" w:cs="Calibri"/>
                <w:lang w:val="it-IT"/>
              </w:rPr>
              <w:t>Materijali</w:t>
            </w:r>
            <w:proofErr w:type="spellEnd"/>
            <w:r w:rsidRPr="00161325">
              <w:rPr>
                <w:rFonts w:ascii="Cambria" w:hAnsi="Cambria" w:cs="Calibri"/>
                <w:lang w:val="it-IT"/>
              </w:rPr>
              <w:t xml:space="preserve"> za </w:t>
            </w:r>
            <w:proofErr w:type="spellStart"/>
            <w:r w:rsidRPr="00161325">
              <w:rPr>
                <w:rFonts w:ascii="Cambria" w:hAnsi="Cambria" w:cs="Calibri"/>
                <w:lang w:val="it-IT"/>
              </w:rPr>
              <w:t>predavanja</w:t>
            </w:r>
            <w:proofErr w:type="spellEnd"/>
            <w:r w:rsidRPr="00161325">
              <w:rPr>
                <w:rFonts w:ascii="Cambria" w:hAnsi="Cambria" w:cs="Calibri"/>
                <w:lang w:val="it-IT"/>
              </w:rPr>
              <w:t xml:space="preserve"> i </w:t>
            </w:r>
            <w:proofErr w:type="spellStart"/>
            <w:r w:rsidRPr="00161325">
              <w:rPr>
                <w:rFonts w:ascii="Cambria" w:hAnsi="Cambria" w:cs="Calibri"/>
                <w:lang w:val="it-IT"/>
              </w:rPr>
              <w:t>vježbe</w:t>
            </w:r>
            <w:proofErr w:type="spellEnd"/>
            <w:r w:rsidRPr="00161325">
              <w:rPr>
                <w:rFonts w:ascii="Cambria" w:hAnsi="Cambria" w:cs="Calibri"/>
                <w:lang w:val="it-IT"/>
              </w:rPr>
              <w:t xml:space="preserve"> </w:t>
            </w:r>
            <w:proofErr w:type="spellStart"/>
            <w:r w:rsidRPr="00161325">
              <w:rPr>
                <w:rFonts w:ascii="Cambria" w:hAnsi="Cambria" w:cs="Calibri"/>
                <w:lang w:val="it-IT"/>
              </w:rPr>
              <w:t>objavljuju</w:t>
            </w:r>
            <w:proofErr w:type="spellEnd"/>
            <w:r w:rsidRPr="00161325">
              <w:rPr>
                <w:rFonts w:ascii="Cambria" w:hAnsi="Cambria" w:cs="Calibri"/>
                <w:lang w:val="it-IT"/>
              </w:rPr>
              <w:t xml:space="preserve"> se </w:t>
            </w:r>
            <w:proofErr w:type="spellStart"/>
            <w:r w:rsidRPr="00161325">
              <w:rPr>
                <w:rFonts w:ascii="Cambria" w:hAnsi="Cambria" w:cs="Calibri"/>
                <w:lang w:val="it-IT"/>
              </w:rPr>
              <w:t>na</w:t>
            </w:r>
            <w:proofErr w:type="spellEnd"/>
            <w:r w:rsidRPr="00161325">
              <w:rPr>
                <w:rFonts w:ascii="Cambria" w:hAnsi="Cambria" w:cs="Calibri"/>
                <w:lang w:val="it-IT"/>
              </w:rPr>
              <w:t xml:space="preserve"> e-</w:t>
            </w:r>
            <w:proofErr w:type="spellStart"/>
            <w:r w:rsidRPr="00161325">
              <w:rPr>
                <w:rFonts w:ascii="Cambria" w:hAnsi="Cambria" w:cs="Calibri"/>
                <w:lang w:val="it-IT"/>
              </w:rPr>
              <w:t>učenju</w:t>
            </w:r>
            <w:proofErr w:type="spellEnd"/>
            <w:r w:rsidRPr="00161325">
              <w:rPr>
                <w:rFonts w:ascii="Cambria" w:hAnsi="Cambria" w:cs="Calibri"/>
                <w:lang w:val="it-IT"/>
              </w:rPr>
              <w:t>.</w:t>
            </w:r>
          </w:p>
          <w:p w14:paraId="1208DE1B" w14:textId="77777777" w:rsidR="00FC4004" w:rsidRPr="00884B46" w:rsidRDefault="00FC4004" w:rsidP="000F1A10">
            <w:pPr>
              <w:spacing w:after="0" w:line="240" w:lineRule="auto"/>
              <w:rPr>
                <w:rFonts w:ascii="Cambria" w:hAnsi="Cambria" w:cs="Calibri"/>
                <w:lang w:val="it-IT"/>
              </w:rPr>
            </w:pPr>
            <w:r w:rsidRPr="00161325">
              <w:rPr>
                <w:rFonts w:ascii="Cambria" w:hAnsi="Cambria" w:cs="Calibri"/>
                <w:lang w:val="it-IT"/>
              </w:rPr>
              <w:t xml:space="preserve">U </w:t>
            </w:r>
            <w:proofErr w:type="spellStart"/>
            <w:r w:rsidRPr="00161325">
              <w:rPr>
                <w:rFonts w:ascii="Cambria" w:hAnsi="Cambria" w:cs="Calibri"/>
                <w:lang w:val="it-IT"/>
              </w:rPr>
              <w:t>slučaju</w:t>
            </w:r>
            <w:proofErr w:type="spellEnd"/>
            <w:r w:rsidRPr="00161325">
              <w:rPr>
                <w:rFonts w:ascii="Cambria" w:hAnsi="Cambria" w:cs="Calibri"/>
                <w:lang w:val="it-IT"/>
              </w:rPr>
              <w:t xml:space="preserve"> </w:t>
            </w:r>
            <w:proofErr w:type="spellStart"/>
            <w:r w:rsidRPr="00161325">
              <w:rPr>
                <w:rFonts w:ascii="Cambria" w:hAnsi="Cambria" w:cs="Calibri"/>
                <w:lang w:val="it-IT"/>
              </w:rPr>
              <w:t>održavanja</w:t>
            </w:r>
            <w:proofErr w:type="spellEnd"/>
            <w:r w:rsidRPr="00161325">
              <w:rPr>
                <w:rFonts w:ascii="Cambria" w:hAnsi="Cambria" w:cs="Calibri"/>
                <w:lang w:val="it-IT"/>
              </w:rPr>
              <w:t xml:space="preserve"> </w:t>
            </w:r>
            <w:proofErr w:type="spellStart"/>
            <w:r w:rsidRPr="00161325">
              <w:rPr>
                <w:rFonts w:ascii="Cambria" w:hAnsi="Cambria" w:cs="Calibri"/>
                <w:lang w:val="it-IT"/>
              </w:rPr>
              <w:t>nastave</w:t>
            </w:r>
            <w:proofErr w:type="spellEnd"/>
            <w:r w:rsidRPr="00161325">
              <w:rPr>
                <w:rFonts w:ascii="Cambria" w:hAnsi="Cambria" w:cs="Calibri"/>
                <w:lang w:val="it-IT"/>
              </w:rPr>
              <w:t xml:space="preserve"> </w:t>
            </w:r>
            <w:proofErr w:type="spellStart"/>
            <w:r w:rsidRPr="00161325">
              <w:rPr>
                <w:rFonts w:ascii="Cambria" w:hAnsi="Cambria" w:cs="Calibri"/>
                <w:lang w:val="it-IT"/>
              </w:rPr>
              <w:t>na</w:t>
            </w:r>
            <w:proofErr w:type="spellEnd"/>
            <w:r w:rsidRPr="00161325">
              <w:rPr>
                <w:rFonts w:ascii="Cambria" w:hAnsi="Cambria" w:cs="Calibri"/>
                <w:lang w:val="it-IT"/>
              </w:rPr>
              <w:t xml:space="preserve"> </w:t>
            </w:r>
            <w:proofErr w:type="spellStart"/>
            <w:r w:rsidRPr="00161325">
              <w:rPr>
                <w:rFonts w:ascii="Cambria" w:hAnsi="Cambria" w:cs="Calibri"/>
                <w:lang w:val="it-IT"/>
              </w:rPr>
              <w:t>daljinu</w:t>
            </w:r>
            <w:proofErr w:type="spellEnd"/>
            <w:r w:rsidRPr="00161325">
              <w:rPr>
                <w:rFonts w:ascii="Cambria" w:hAnsi="Cambria" w:cs="Calibri"/>
                <w:lang w:val="it-IT"/>
              </w:rPr>
              <w:t xml:space="preserve">, </w:t>
            </w:r>
            <w:proofErr w:type="spellStart"/>
            <w:r w:rsidRPr="00161325">
              <w:rPr>
                <w:rFonts w:ascii="Cambria" w:hAnsi="Cambria" w:cs="Calibri"/>
                <w:lang w:val="it-IT"/>
              </w:rPr>
              <w:t>moguće</w:t>
            </w:r>
            <w:proofErr w:type="spellEnd"/>
            <w:r w:rsidRPr="00161325">
              <w:rPr>
                <w:rFonts w:ascii="Cambria" w:hAnsi="Cambria" w:cs="Calibri"/>
                <w:lang w:val="it-IT"/>
              </w:rPr>
              <w:t xml:space="preserve"> je </w:t>
            </w:r>
            <w:proofErr w:type="spellStart"/>
            <w:r w:rsidRPr="00161325">
              <w:rPr>
                <w:rFonts w:ascii="Cambria" w:hAnsi="Cambria" w:cs="Calibri"/>
                <w:lang w:val="it-IT"/>
              </w:rPr>
              <w:t>odstupanje</w:t>
            </w:r>
            <w:proofErr w:type="spellEnd"/>
            <w:r w:rsidRPr="00161325">
              <w:rPr>
                <w:rFonts w:ascii="Cambria" w:hAnsi="Cambria" w:cs="Calibri"/>
                <w:lang w:val="it-IT"/>
              </w:rPr>
              <w:t xml:space="preserve"> u: </w:t>
            </w:r>
            <w:proofErr w:type="spellStart"/>
            <w:r w:rsidRPr="00161325">
              <w:rPr>
                <w:rFonts w:ascii="Cambria" w:hAnsi="Cambria" w:cs="Calibri"/>
                <w:lang w:val="it-IT"/>
              </w:rPr>
              <w:t>mjestu</w:t>
            </w:r>
            <w:proofErr w:type="spellEnd"/>
            <w:r w:rsidRPr="00161325">
              <w:rPr>
                <w:rFonts w:ascii="Cambria" w:hAnsi="Cambria" w:cs="Calibri"/>
                <w:lang w:val="it-IT"/>
              </w:rPr>
              <w:t xml:space="preserve"> </w:t>
            </w:r>
            <w:proofErr w:type="spellStart"/>
            <w:r w:rsidRPr="00161325">
              <w:rPr>
                <w:rFonts w:ascii="Cambria" w:hAnsi="Cambria" w:cs="Calibri"/>
                <w:lang w:val="it-IT"/>
              </w:rPr>
              <w:t>izvođenja</w:t>
            </w:r>
            <w:proofErr w:type="spellEnd"/>
            <w:r w:rsidRPr="00161325">
              <w:rPr>
                <w:rFonts w:ascii="Cambria" w:hAnsi="Cambria" w:cs="Calibri"/>
                <w:lang w:val="it-IT"/>
              </w:rPr>
              <w:t xml:space="preserve"> </w:t>
            </w:r>
            <w:proofErr w:type="spellStart"/>
            <w:r w:rsidRPr="00161325">
              <w:rPr>
                <w:rFonts w:ascii="Cambria" w:hAnsi="Cambria" w:cs="Calibri"/>
                <w:lang w:val="it-IT"/>
              </w:rPr>
              <w:t>kolegija</w:t>
            </w:r>
            <w:proofErr w:type="spellEnd"/>
            <w:r w:rsidRPr="00161325">
              <w:rPr>
                <w:rFonts w:ascii="Cambria" w:hAnsi="Cambria" w:cs="Calibri"/>
                <w:lang w:val="it-IT"/>
              </w:rPr>
              <w:t xml:space="preserve">, </w:t>
            </w:r>
            <w:proofErr w:type="spellStart"/>
            <w:r w:rsidRPr="00161325">
              <w:rPr>
                <w:rFonts w:ascii="Cambria" w:hAnsi="Cambria" w:cs="Calibri"/>
                <w:lang w:val="it-IT"/>
              </w:rPr>
              <w:t>provedbi</w:t>
            </w:r>
            <w:proofErr w:type="spellEnd"/>
            <w:r w:rsidRPr="00161325">
              <w:rPr>
                <w:rFonts w:ascii="Cambria" w:hAnsi="Cambria" w:cs="Calibri"/>
                <w:lang w:val="it-IT"/>
              </w:rPr>
              <w:t xml:space="preserve"> </w:t>
            </w:r>
            <w:proofErr w:type="spellStart"/>
            <w:r w:rsidRPr="00161325">
              <w:rPr>
                <w:rFonts w:ascii="Cambria" w:hAnsi="Cambria" w:cs="Calibri"/>
                <w:lang w:val="it-IT"/>
              </w:rPr>
              <w:t>aktivnosti</w:t>
            </w:r>
            <w:proofErr w:type="spellEnd"/>
            <w:r w:rsidRPr="00161325">
              <w:rPr>
                <w:rFonts w:ascii="Cambria" w:hAnsi="Cambria" w:cs="Calibri"/>
                <w:lang w:val="it-IT"/>
              </w:rPr>
              <w:t xml:space="preserve">, </w:t>
            </w:r>
            <w:proofErr w:type="spellStart"/>
            <w:r w:rsidRPr="00161325">
              <w:rPr>
                <w:rFonts w:ascii="Cambria" w:hAnsi="Cambria" w:cs="Calibri"/>
                <w:lang w:val="it-IT"/>
              </w:rPr>
              <w:t>metoda</w:t>
            </w:r>
            <w:proofErr w:type="spellEnd"/>
            <w:r w:rsidRPr="00161325">
              <w:rPr>
                <w:rFonts w:ascii="Cambria" w:hAnsi="Cambria" w:cs="Calibri"/>
                <w:lang w:val="it-IT"/>
              </w:rPr>
              <w:t xml:space="preserve"> </w:t>
            </w:r>
            <w:proofErr w:type="spellStart"/>
            <w:r w:rsidRPr="00161325">
              <w:rPr>
                <w:rFonts w:ascii="Cambria" w:hAnsi="Cambria" w:cs="Calibri"/>
                <w:lang w:val="it-IT"/>
              </w:rPr>
              <w:t>tumačenja</w:t>
            </w:r>
            <w:proofErr w:type="spellEnd"/>
            <w:r w:rsidRPr="00161325">
              <w:rPr>
                <w:rFonts w:ascii="Cambria" w:hAnsi="Cambria" w:cs="Calibri"/>
                <w:lang w:val="it-IT"/>
              </w:rPr>
              <w:t xml:space="preserve"> i </w:t>
            </w:r>
            <w:proofErr w:type="spellStart"/>
            <w:r w:rsidRPr="00161325">
              <w:rPr>
                <w:rFonts w:ascii="Cambria" w:hAnsi="Cambria" w:cs="Calibri"/>
                <w:lang w:val="it-IT"/>
              </w:rPr>
              <w:t>poučavanja</w:t>
            </w:r>
            <w:proofErr w:type="spellEnd"/>
            <w:r w:rsidRPr="00161325">
              <w:rPr>
                <w:rFonts w:ascii="Cambria" w:hAnsi="Cambria" w:cs="Calibri"/>
                <w:lang w:val="it-IT"/>
              </w:rPr>
              <w:t xml:space="preserve"> i </w:t>
            </w:r>
            <w:proofErr w:type="spellStart"/>
            <w:r w:rsidRPr="00161325">
              <w:rPr>
                <w:rFonts w:ascii="Cambria" w:hAnsi="Cambria" w:cs="Calibri"/>
                <w:lang w:val="it-IT"/>
              </w:rPr>
              <w:t>načinima</w:t>
            </w:r>
            <w:proofErr w:type="spellEnd"/>
            <w:r w:rsidRPr="00161325">
              <w:rPr>
                <w:rFonts w:ascii="Cambria" w:hAnsi="Cambria" w:cs="Calibri"/>
                <w:lang w:val="it-IT"/>
              </w:rPr>
              <w:t xml:space="preserve"> </w:t>
            </w:r>
            <w:proofErr w:type="spellStart"/>
            <w:r w:rsidRPr="00161325">
              <w:rPr>
                <w:rFonts w:ascii="Cambria" w:hAnsi="Cambria" w:cs="Calibri"/>
                <w:lang w:val="it-IT"/>
              </w:rPr>
              <w:t>vrednovanja</w:t>
            </w:r>
            <w:proofErr w:type="spellEnd"/>
            <w:r w:rsidRPr="00161325">
              <w:rPr>
                <w:rFonts w:ascii="Cambria" w:hAnsi="Cambria" w:cs="Calibri"/>
                <w:lang w:val="it-IT"/>
              </w:rPr>
              <w:t xml:space="preserve">, </w:t>
            </w:r>
            <w:proofErr w:type="spellStart"/>
            <w:r w:rsidRPr="00161325">
              <w:rPr>
                <w:rFonts w:ascii="Cambria" w:hAnsi="Cambria" w:cs="Calibri"/>
                <w:lang w:val="it-IT"/>
              </w:rPr>
              <w:t>studentskim</w:t>
            </w:r>
            <w:proofErr w:type="spellEnd"/>
            <w:r w:rsidRPr="00161325">
              <w:rPr>
                <w:rFonts w:ascii="Cambria" w:hAnsi="Cambria" w:cs="Calibri"/>
                <w:lang w:val="it-IT"/>
              </w:rPr>
              <w:t xml:space="preserve"> </w:t>
            </w:r>
            <w:proofErr w:type="spellStart"/>
            <w:r w:rsidRPr="00161325">
              <w:rPr>
                <w:rFonts w:ascii="Cambria" w:hAnsi="Cambria" w:cs="Calibri"/>
                <w:lang w:val="it-IT"/>
              </w:rPr>
              <w:t>obvezama</w:t>
            </w:r>
            <w:proofErr w:type="spellEnd"/>
            <w:r w:rsidRPr="00161325">
              <w:rPr>
                <w:rFonts w:ascii="Cambria" w:hAnsi="Cambria" w:cs="Calibri"/>
                <w:lang w:val="it-IT"/>
              </w:rPr>
              <w:t xml:space="preserve"> i </w:t>
            </w:r>
            <w:proofErr w:type="spellStart"/>
            <w:r w:rsidRPr="00161325">
              <w:rPr>
                <w:rFonts w:ascii="Cambria" w:hAnsi="Cambria" w:cs="Calibri"/>
                <w:lang w:val="it-IT"/>
              </w:rPr>
              <w:t>dostupnoj</w:t>
            </w:r>
            <w:proofErr w:type="spellEnd"/>
            <w:r w:rsidRPr="00161325">
              <w:rPr>
                <w:rFonts w:ascii="Cambria" w:hAnsi="Cambria" w:cs="Calibri"/>
                <w:lang w:val="it-IT"/>
              </w:rPr>
              <w:t xml:space="preserve"> </w:t>
            </w:r>
            <w:proofErr w:type="spellStart"/>
            <w:r w:rsidRPr="00161325">
              <w:rPr>
                <w:rFonts w:ascii="Cambria" w:hAnsi="Cambria" w:cs="Calibri"/>
                <w:lang w:val="it-IT"/>
              </w:rPr>
              <w:t>literaturi</w:t>
            </w:r>
            <w:proofErr w:type="spellEnd"/>
            <w:r w:rsidRPr="00161325">
              <w:rPr>
                <w:rFonts w:ascii="Cambria" w:hAnsi="Cambria" w:cs="Calibri"/>
                <w:lang w:val="it-IT"/>
              </w:rPr>
              <w:t xml:space="preserve">. O tome </w:t>
            </w:r>
            <w:proofErr w:type="spellStart"/>
            <w:r w:rsidRPr="00161325">
              <w:rPr>
                <w:rFonts w:ascii="Cambria" w:hAnsi="Cambria" w:cs="Calibri"/>
                <w:lang w:val="it-IT"/>
              </w:rPr>
              <w:t>nositelj</w:t>
            </w:r>
            <w:proofErr w:type="spellEnd"/>
            <w:r w:rsidRPr="00161325">
              <w:rPr>
                <w:rFonts w:ascii="Cambria" w:hAnsi="Cambria" w:cs="Calibri"/>
                <w:lang w:val="it-IT"/>
              </w:rPr>
              <w:t xml:space="preserve"> i </w:t>
            </w:r>
            <w:proofErr w:type="spellStart"/>
            <w:r>
              <w:rPr>
                <w:rFonts w:ascii="Cambria" w:hAnsi="Cambria" w:cs="Calibri"/>
                <w:lang w:val="it-IT"/>
              </w:rPr>
              <w:t>suradnica</w:t>
            </w:r>
            <w:proofErr w:type="spellEnd"/>
            <w:r w:rsidRPr="00161325">
              <w:rPr>
                <w:rFonts w:ascii="Cambria" w:hAnsi="Cambria" w:cs="Calibri"/>
                <w:lang w:val="it-IT"/>
              </w:rPr>
              <w:t xml:space="preserve"> </w:t>
            </w:r>
            <w:proofErr w:type="spellStart"/>
            <w:r w:rsidRPr="00161325">
              <w:rPr>
                <w:rFonts w:ascii="Cambria" w:hAnsi="Cambria" w:cs="Calibri"/>
                <w:lang w:val="it-IT"/>
              </w:rPr>
              <w:t>obavijestiti</w:t>
            </w:r>
            <w:proofErr w:type="spellEnd"/>
            <w:r w:rsidRPr="00161325">
              <w:rPr>
                <w:rFonts w:ascii="Cambria" w:hAnsi="Cambria" w:cs="Calibri"/>
                <w:lang w:val="it-IT"/>
              </w:rPr>
              <w:t xml:space="preserve"> studente i </w:t>
            </w:r>
            <w:proofErr w:type="spellStart"/>
            <w:r w:rsidRPr="00161325">
              <w:rPr>
                <w:rFonts w:ascii="Cambria" w:hAnsi="Cambria" w:cs="Calibri"/>
                <w:lang w:val="it-IT"/>
              </w:rPr>
              <w:t>studentice</w:t>
            </w:r>
            <w:proofErr w:type="spellEnd"/>
            <w:r w:rsidRPr="00161325">
              <w:rPr>
                <w:rFonts w:ascii="Cambria" w:hAnsi="Cambria" w:cs="Calibri"/>
                <w:lang w:val="it-IT"/>
              </w:rPr>
              <w:t xml:space="preserve"> </w:t>
            </w:r>
            <w:proofErr w:type="spellStart"/>
            <w:r w:rsidRPr="00161325">
              <w:rPr>
                <w:rFonts w:ascii="Cambria" w:hAnsi="Cambria" w:cs="Calibri"/>
                <w:lang w:val="it-IT"/>
              </w:rPr>
              <w:t>kad</w:t>
            </w:r>
            <w:proofErr w:type="spellEnd"/>
            <w:r w:rsidRPr="00161325">
              <w:rPr>
                <w:rFonts w:ascii="Cambria" w:hAnsi="Cambria" w:cs="Calibri"/>
                <w:lang w:val="it-IT"/>
              </w:rPr>
              <w:t xml:space="preserve"> se </w:t>
            </w:r>
            <w:proofErr w:type="spellStart"/>
            <w:r w:rsidRPr="00161325">
              <w:rPr>
                <w:rFonts w:ascii="Cambria" w:hAnsi="Cambria" w:cs="Calibri"/>
                <w:lang w:val="it-IT"/>
              </w:rPr>
              <w:t>nastava</w:t>
            </w:r>
            <w:proofErr w:type="spellEnd"/>
            <w:r w:rsidRPr="00161325">
              <w:rPr>
                <w:rFonts w:ascii="Cambria" w:hAnsi="Cambria" w:cs="Calibri"/>
                <w:lang w:val="it-IT"/>
              </w:rPr>
              <w:t xml:space="preserve"> </w:t>
            </w:r>
            <w:proofErr w:type="spellStart"/>
            <w:r w:rsidRPr="00161325">
              <w:rPr>
                <w:rFonts w:ascii="Cambria" w:hAnsi="Cambria" w:cs="Calibri"/>
                <w:lang w:val="it-IT"/>
              </w:rPr>
              <w:t>na</w:t>
            </w:r>
            <w:proofErr w:type="spellEnd"/>
            <w:r w:rsidRPr="00161325">
              <w:rPr>
                <w:rFonts w:ascii="Cambria" w:hAnsi="Cambria" w:cs="Calibri"/>
                <w:lang w:val="it-IT"/>
              </w:rPr>
              <w:t xml:space="preserve"> </w:t>
            </w:r>
            <w:proofErr w:type="spellStart"/>
            <w:r w:rsidRPr="00161325">
              <w:rPr>
                <w:rFonts w:ascii="Cambria" w:hAnsi="Cambria" w:cs="Calibri"/>
                <w:lang w:val="it-IT"/>
              </w:rPr>
              <w:t>daljinu</w:t>
            </w:r>
            <w:proofErr w:type="spellEnd"/>
            <w:r w:rsidRPr="00161325">
              <w:rPr>
                <w:rFonts w:ascii="Cambria" w:hAnsi="Cambria" w:cs="Calibri"/>
                <w:lang w:val="it-IT"/>
              </w:rPr>
              <w:t xml:space="preserve"> </w:t>
            </w:r>
            <w:proofErr w:type="spellStart"/>
            <w:r w:rsidRPr="00161325">
              <w:rPr>
                <w:rFonts w:ascii="Cambria" w:hAnsi="Cambria" w:cs="Calibri"/>
                <w:lang w:val="it-IT"/>
              </w:rPr>
              <w:t>počne</w:t>
            </w:r>
            <w:proofErr w:type="spellEnd"/>
            <w:r w:rsidRPr="00161325">
              <w:rPr>
                <w:rFonts w:ascii="Cambria" w:hAnsi="Cambria" w:cs="Calibri"/>
                <w:lang w:val="it-IT"/>
              </w:rPr>
              <w:t xml:space="preserve"> </w:t>
            </w:r>
            <w:proofErr w:type="spellStart"/>
            <w:r w:rsidRPr="00161325">
              <w:rPr>
                <w:rFonts w:ascii="Cambria" w:hAnsi="Cambria" w:cs="Calibri"/>
                <w:lang w:val="it-IT"/>
              </w:rPr>
              <w:t>održavati</w:t>
            </w:r>
            <w:proofErr w:type="spellEnd"/>
            <w:r w:rsidRPr="00161325">
              <w:rPr>
                <w:rFonts w:ascii="Cambria" w:hAnsi="Cambria" w:cs="Calibri"/>
                <w:lang w:val="it-IT"/>
              </w:rPr>
              <w:t xml:space="preserve">. </w:t>
            </w:r>
            <w:proofErr w:type="spellStart"/>
            <w:r w:rsidRPr="00884B46">
              <w:rPr>
                <w:rFonts w:ascii="Cambria" w:hAnsi="Cambria" w:cs="Calibri"/>
                <w:lang w:val="it-IT"/>
              </w:rPr>
              <w:t>Ishodi</w:t>
            </w:r>
            <w:proofErr w:type="spellEnd"/>
            <w:r w:rsidRPr="00884B46">
              <w:rPr>
                <w:rFonts w:ascii="Cambria" w:hAnsi="Cambria" w:cs="Calibri"/>
                <w:lang w:val="it-IT"/>
              </w:rPr>
              <w:t xml:space="preserve"> </w:t>
            </w:r>
            <w:proofErr w:type="spellStart"/>
            <w:r w:rsidRPr="00884B46">
              <w:rPr>
                <w:rFonts w:ascii="Cambria" w:hAnsi="Cambria" w:cs="Calibri"/>
                <w:lang w:val="it-IT"/>
              </w:rPr>
              <w:t>učenja</w:t>
            </w:r>
            <w:proofErr w:type="spellEnd"/>
            <w:r w:rsidRPr="00884B46">
              <w:rPr>
                <w:rFonts w:ascii="Cambria" w:hAnsi="Cambria" w:cs="Calibri"/>
                <w:lang w:val="it-IT"/>
              </w:rPr>
              <w:t xml:space="preserve"> </w:t>
            </w:r>
            <w:proofErr w:type="spellStart"/>
            <w:r w:rsidRPr="00884B46">
              <w:rPr>
                <w:rFonts w:ascii="Cambria" w:hAnsi="Cambria" w:cs="Calibri"/>
                <w:lang w:val="it-IT"/>
              </w:rPr>
              <w:t>ostaju</w:t>
            </w:r>
            <w:proofErr w:type="spellEnd"/>
            <w:r w:rsidRPr="00884B46">
              <w:rPr>
                <w:rFonts w:ascii="Cambria" w:hAnsi="Cambria" w:cs="Calibri"/>
                <w:lang w:val="it-IT"/>
              </w:rPr>
              <w:t xml:space="preserve"> </w:t>
            </w:r>
            <w:proofErr w:type="spellStart"/>
            <w:r w:rsidRPr="00884B46">
              <w:rPr>
                <w:rFonts w:ascii="Cambria" w:hAnsi="Cambria" w:cs="Calibri"/>
                <w:lang w:val="it-IT"/>
              </w:rPr>
              <w:t>nepromijenjeni</w:t>
            </w:r>
            <w:proofErr w:type="spellEnd"/>
            <w:r w:rsidRPr="00884B46">
              <w:rPr>
                <w:rFonts w:ascii="Cambria" w:hAnsi="Cambria" w:cs="Calibri"/>
                <w:lang w:val="it-IT"/>
              </w:rPr>
              <w:t>.</w:t>
            </w:r>
          </w:p>
        </w:tc>
      </w:tr>
      <w:tr w:rsidR="00FC4004" w:rsidRPr="00B36357" w14:paraId="36782CE1" w14:textId="77777777" w:rsidTr="00FC4004">
        <w:trPr>
          <w:trHeight w:val="329"/>
        </w:trPr>
        <w:tc>
          <w:tcPr>
            <w:tcW w:w="297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5044070" w14:textId="77777777" w:rsidR="00FC4004" w:rsidRPr="00A62FBD" w:rsidRDefault="00FC4004" w:rsidP="000F1A10">
            <w:pPr>
              <w:spacing w:after="0" w:line="240" w:lineRule="auto"/>
              <w:rPr>
                <w:rFonts w:ascii="Cambria" w:hAnsi="Cambria" w:cs="Calibri"/>
              </w:rPr>
            </w:pPr>
            <w:proofErr w:type="spellStart"/>
            <w:r w:rsidRPr="00A62FBD">
              <w:rPr>
                <w:rFonts w:ascii="Cambria" w:hAnsi="Cambria" w:cs="Calibri"/>
              </w:rPr>
              <w:t>Literatura</w:t>
            </w:r>
            <w:proofErr w:type="spellEnd"/>
          </w:p>
        </w:tc>
        <w:tc>
          <w:tcPr>
            <w:tcW w:w="7374"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4F28F269" w14:textId="77777777" w:rsidR="00FC4004" w:rsidRPr="004E73E5" w:rsidRDefault="00FC4004" w:rsidP="000F1A10">
            <w:pPr>
              <w:suppressAutoHyphens/>
              <w:spacing w:after="0" w:line="240" w:lineRule="auto"/>
              <w:rPr>
                <w:rFonts w:ascii="Cambria" w:hAnsi="Cambria"/>
                <w:bCs/>
                <w:lang w:val="it-IT" w:eastAsia="zh-CN"/>
              </w:rPr>
            </w:pPr>
            <w:proofErr w:type="spellStart"/>
            <w:r w:rsidRPr="004E73E5">
              <w:rPr>
                <w:rFonts w:ascii="Cambria" w:hAnsi="Cambria"/>
                <w:bCs/>
                <w:lang w:val="it-IT" w:eastAsia="zh-CN"/>
              </w:rPr>
              <w:t>Obvezna</w:t>
            </w:r>
            <w:proofErr w:type="spellEnd"/>
            <w:r w:rsidRPr="004E73E5">
              <w:rPr>
                <w:rFonts w:ascii="Cambria" w:hAnsi="Cambria"/>
                <w:bCs/>
                <w:lang w:val="it-IT" w:eastAsia="zh-CN"/>
              </w:rPr>
              <w:t xml:space="preserve">: </w:t>
            </w:r>
          </w:p>
          <w:p w14:paraId="70E88B4C" w14:textId="1D4701E6" w:rsidR="00FC4004" w:rsidRPr="004E73E5" w:rsidRDefault="00B36357" w:rsidP="00B36357">
            <w:pPr>
              <w:suppressAutoHyphens/>
              <w:spacing w:after="0" w:line="240" w:lineRule="auto"/>
              <w:rPr>
                <w:rFonts w:ascii="Cambria" w:hAnsi="Cambria"/>
                <w:bCs/>
                <w:noProof/>
                <w:lang w:val="it-IT" w:eastAsia="zh-CN"/>
              </w:rPr>
            </w:pPr>
            <w:r w:rsidRPr="004E73E5">
              <w:rPr>
                <w:rFonts w:ascii="Cambria" w:hAnsi="Cambria"/>
                <w:bCs/>
                <w:lang w:val="it-IT" w:eastAsia="zh-CN"/>
              </w:rPr>
              <w:t xml:space="preserve">1. </w:t>
            </w:r>
            <w:proofErr w:type="spellStart"/>
            <w:r w:rsidR="00FC4004" w:rsidRPr="004E73E5">
              <w:rPr>
                <w:rFonts w:ascii="Cambria" w:hAnsi="Cambria"/>
                <w:bCs/>
                <w:lang w:val="it-IT" w:eastAsia="zh-CN"/>
              </w:rPr>
              <w:t>Markovac</w:t>
            </w:r>
            <w:proofErr w:type="spellEnd"/>
            <w:r w:rsidR="00FC4004" w:rsidRPr="004E73E5">
              <w:rPr>
                <w:rFonts w:ascii="Cambria" w:hAnsi="Cambria"/>
                <w:bCs/>
                <w:lang w:val="it-IT" w:eastAsia="zh-CN"/>
              </w:rPr>
              <w:t xml:space="preserve">, J. (2001.) </w:t>
            </w:r>
            <w:proofErr w:type="spellStart"/>
            <w:r w:rsidR="00FC4004" w:rsidRPr="004E73E5">
              <w:rPr>
                <w:rFonts w:ascii="Cambria" w:hAnsi="Cambria"/>
                <w:bCs/>
                <w:i/>
                <w:lang w:val="it-IT" w:eastAsia="zh-CN"/>
              </w:rPr>
              <w:t>Metodika</w:t>
            </w:r>
            <w:proofErr w:type="spellEnd"/>
            <w:r w:rsidR="00FC4004" w:rsidRPr="004E73E5">
              <w:rPr>
                <w:rFonts w:ascii="Cambria" w:hAnsi="Cambria"/>
                <w:bCs/>
                <w:i/>
                <w:lang w:val="it-IT" w:eastAsia="zh-CN"/>
              </w:rPr>
              <w:t xml:space="preserve"> </w:t>
            </w:r>
            <w:proofErr w:type="spellStart"/>
            <w:r w:rsidR="00FC4004" w:rsidRPr="004E73E5">
              <w:rPr>
                <w:rFonts w:ascii="Cambria" w:hAnsi="Cambria"/>
                <w:bCs/>
                <w:i/>
                <w:lang w:val="it-IT" w:eastAsia="zh-CN"/>
              </w:rPr>
              <w:t>početne</w:t>
            </w:r>
            <w:proofErr w:type="spellEnd"/>
            <w:r w:rsidR="00FC4004" w:rsidRPr="004E73E5">
              <w:rPr>
                <w:rFonts w:ascii="Cambria" w:hAnsi="Cambria"/>
                <w:bCs/>
                <w:i/>
                <w:lang w:val="it-IT" w:eastAsia="zh-CN"/>
              </w:rPr>
              <w:t xml:space="preserve"> </w:t>
            </w:r>
            <w:proofErr w:type="spellStart"/>
            <w:r w:rsidR="00FC4004" w:rsidRPr="004E73E5">
              <w:rPr>
                <w:rFonts w:ascii="Cambria" w:hAnsi="Cambria"/>
                <w:bCs/>
                <w:i/>
                <w:lang w:val="it-IT" w:eastAsia="zh-CN"/>
              </w:rPr>
              <w:t>nastave</w:t>
            </w:r>
            <w:proofErr w:type="spellEnd"/>
            <w:r w:rsidR="00FC4004" w:rsidRPr="004E73E5">
              <w:rPr>
                <w:rFonts w:ascii="Cambria" w:hAnsi="Cambria"/>
                <w:bCs/>
                <w:i/>
                <w:lang w:val="it-IT" w:eastAsia="zh-CN"/>
              </w:rPr>
              <w:t xml:space="preserve"> </w:t>
            </w:r>
            <w:proofErr w:type="spellStart"/>
            <w:r w:rsidR="00FC4004" w:rsidRPr="004E73E5">
              <w:rPr>
                <w:rFonts w:ascii="Cambria" w:hAnsi="Cambria"/>
                <w:bCs/>
                <w:i/>
                <w:lang w:val="it-IT" w:eastAsia="zh-CN"/>
              </w:rPr>
              <w:t>matematike</w:t>
            </w:r>
            <w:proofErr w:type="spellEnd"/>
            <w:r w:rsidR="00FC4004" w:rsidRPr="004E73E5">
              <w:rPr>
                <w:rFonts w:ascii="Cambria" w:hAnsi="Cambria"/>
                <w:bCs/>
                <w:lang w:val="it-IT" w:eastAsia="zh-CN"/>
              </w:rPr>
              <w:t xml:space="preserve">. </w:t>
            </w:r>
            <w:proofErr w:type="spellStart"/>
            <w:r w:rsidR="00FC4004" w:rsidRPr="004E73E5">
              <w:rPr>
                <w:rFonts w:ascii="Cambria" w:hAnsi="Cambria"/>
                <w:bCs/>
                <w:lang w:val="it-IT" w:eastAsia="zh-CN"/>
              </w:rPr>
              <w:t>Školska</w:t>
            </w:r>
            <w:proofErr w:type="spellEnd"/>
            <w:r w:rsidR="00FC4004" w:rsidRPr="004E73E5">
              <w:rPr>
                <w:rFonts w:ascii="Cambria" w:hAnsi="Cambria"/>
                <w:bCs/>
                <w:lang w:val="it-IT" w:eastAsia="zh-CN"/>
              </w:rPr>
              <w:t xml:space="preserve"> </w:t>
            </w:r>
            <w:proofErr w:type="spellStart"/>
            <w:r w:rsidR="00FC4004" w:rsidRPr="004E73E5">
              <w:rPr>
                <w:rFonts w:ascii="Cambria" w:hAnsi="Cambria"/>
                <w:bCs/>
                <w:lang w:val="it-IT" w:eastAsia="zh-CN"/>
              </w:rPr>
              <w:t>knjiga</w:t>
            </w:r>
            <w:proofErr w:type="spellEnd"/>
            <w:r w:rsidR="00FC4004" w:rsidRPr="004E73E5">
              <w:rPr>
                <w:rFonts w:ascii="Cambria" w:hAnsi="Cambria"/>
                <w:bCs/>
                <w:lang w:val="it-IT" w:eastAsia="zh-CN"/>
              </w:rPr>
              <w:t>.</w:t>
            </w:r>
          </w:p>
          <w:p w14:paraId="2434C4B1" w14:textId="0CAE609F" w:rsidR="00FC4004" w:rsidRPr="00B36357" w:rsidRDefault="00B36357" w:rsidP="00B36357">
            <w:pPr>
              <w:suppressAutoHyphens/>
              <w:spacing w:after="0" w:line="240" w:lineRule="auto"/>
              <w:rPr>
                <w:rFonts w:ascii="Cambria" w:hAnsi="Cambria"/>
                <w:bCs/>
                <w:noProof/>
                <w:lang w:eastAsia="zh-CN"/>
              </w:rPr>
            </w:pPr>
            <w:r w:rsidRPr="004E73E5">
              <w:rPr>
                <w:rFonts w:ascii="Cambria" w:hAnsi="Cambria"/>
                <w:bCs/>
                <w:noProof/>
                <w:lang w:val="it-IT" w:eastAsia="zh-CN"/>
              </w:rPr>
              <w:t xml:space="preserve">2. </w:t>
            </w:r>
            <w:r w:rsidR="00FC4004" w:rsidRPr="004E73E5">
              <w:rPr>
                <w:rFonts w:ascii="Cambria" w:hAnsi="Cambria"/>
                <w:bCs/>
                <w:noProof/>
                <w:lang w:val="it-IT" w:eastAsia="zh-CN"/>
              </w:rPr>
              <w:t xml:space="preserve">Kurnik, Z. (2009.) </w:t>
            </w:r>
            <w:r w:rsidR="00FC4004" w:rsidRPr="004E73E5">
              <w:rPr>
                <w:rFonts w:ascii="Cambria" w:hAnsi="Cambria"/>
                <w:bCs/>
                <w:i/>
                <w:noProof/>
                <w:lang w:val="it-IT" w:eastAsia="zh-CN"/>
              </w:rPr>
              <w:t xml:space="preserve">Znanstveni okviri nastave matematike. </w:t>
            </w:r>
            <w:r w:rsidR="00FC4004" w:rsidRPr="00B36357">
              <w:rPr>
                <w:rFonts w:ascii="Cambria" w:hAnsi="Cambria"/>
                <w:bCs/>
                <w:noProof/>
                <w:lang w:eastAsia="zh-CN"/>
              </w:rPr>
              <w:t>Element.</w:t>
            </w:r>
          </w:p>
          <w:p w14:paraId="176A8B4D" w14:textId="75BC526E" w:rsidR="00FC4004" w:rsidRPr="00B36357" w:rsidRDefault="00B36357" w:rsidP="00B36357">
            <w:pPr>
              <w:spacing w:after="0" w:line="240" w:lineRule="auto"/>
              <w:rPr>
                <w:rFonts w:ascii="Cambria" w:hAnsi="Cambria"/>
                <w:bCs/>
                <w:lang w:val="it-IT" w:eastAsia="zh-CN"/>
              </w:rPr>
            </w:pPr>
            <w:r>
              <w:rPr>
                <w:rFonts w:ascii="Cambria" w:hAnsi="Cambria"/>
                <w:bCs/>
                <w:lang w:eastAsia="zh-CN"/>
              </w:rPr>
              <w:t xml:space="preserve">3. </w:t>
            </w:r>
            <w:r w:rsidR="00FC4004" w:rsidRPr="00B36357">
              <w:rPr>
                <w:rFonts w:ascii="Cambria" w:hAnsi="Cambria"/>
                <w:bCs/>
                <w:lang w:eastAsia="zh-CN"/>
              </w:rPr>
              <w:t xml:space="preserve">Liebeck, P. (1985). </w:t>
            </w:r>
            <w:r w:rsidR="00FC4004" w:rsidRPr="00B36357">
              <w:rPr>
                <w:rFonts w:ascii="Cambria" w:hAnsi="Cambria"/>
                <w:bCs/>
                <w:i/>
                <w:lang w:eastAsia="zh-CN"/>
              </w:rPr>
              <w:t xml:space="preserve">Kako </w:t>
            </w:r>
            <w:proofErr w:type="spellStart"/>
            <w:r w:rsidR="00FC4004" w:rsidRPr="00B36357">
              <w:rPr>
                <w:rFonts w:ascii="Cambria" w:hAnsi="Cambria"/>
                <w:bCs/>
                <w:i/>
                <w:lang w:eastAsia="zh-CN"/>
              </w:rPr>
              <w:t>djeca</w:t>
            </w:r>
            <w:proofErr w:type="spellEnd"/>
            <w:r w:rsidR="00FC4004" w:rsidRPr="00B36357">
              <w:rPr>
                <w:rFonts w:ascii="Cambria" w:hAnsi="Cambria"/>
                <w:bCs/>
                <w:i/>
                <w:lang w:eastAsia="zh-CN"/>
              </w:rPr>
              <w:t xml:space="preserve"> </w:t>
            </w:r>
            <w:proofErr w:type="spellStart"/>
            <w:r w:rsidR="00FC4004" w:rsidRPr="00B36357">
              <w:rPr>
                <w:rFonts w:ascii="Cambria" w:hAnsi="Cambria"/>
                <w:bCs/>
                <w:i/>
                <w:lang w:eastAsia="zh-CN"/>
              </w:rPr>
              <w:t>uče</w:t>
            </w:r>
            <w:proofErr w:type="spellEnd"/>
            <w:r w:rsidR="00FC4004" w:rsidRPr="00B36357">
              <w:rPr>
                <w:rFonts w:ascii="Cambria" w:hAnsi="Cambria"/>
                <w:bCs/>
                <w:i/>
                <w:lang w:eastAsia="zh-CN"/>
              </w:rPr>
              <w:t xml:space="preserve"> </w:t>
            </w:r>
            <w:proofErr w:type="spellStart"/>
            <w:r w:rsidR="00FC4004" w:rsidRPr="00B36357">
              <w:rPr>
                <w:rFonts w:ascii="Cambria" w:hAnsi="Cambria"/>
                <w:bCs/>
                <w:i/>
                <w:lang w:eastAsia="zh-CN"/>
              </w:rPr>
              <w:t>matematiku</w:t>
            </w:r>
            <w:proofErr w:type="spellEnd"/>
            <w:r w:rsidR="00FC4004" w:rsidRPr="00B36357">
              <w:rPr>
                <w:rFonts w:ascii="Cambria" w:hAnsi="Cambria"/>
                <w:bCs/>
                <w:lang w:eastAsia="zh-CN"/>
              </w:rPr>
              <w:t xml:space="preserve">. </w:t>
            </w:r>
            <w:r w:rsidR="00FC4004" w:rsidRPr="00B36357">
              <w:rPr>
                <w:rFonts w:ascii="Cambria" w:hAnsi="Cambria"/>
                <w:bCs/>
                <w:lang w:val="it-IT" w:eastAsia="zh-CN"/>
              </w:rPr>
              <w:t xml:space="preserve">EDUCA. </w:t>
            </w:r>
          </w:p>
          <w:p w14:paraId="6D6ECA02" w14:textId="77777777" w:rsidR="00FC4004" w:rsidRPr="00B36357" w:rsidRDefault="00FC4004" w:rsidP="000F1A10">
            <w:pPr>
              <w:suppressAutoHyphens/>
              <w:spacing w:after="0" w:line="240" w:lineRule="auto"/>
              <w:rPr>
                <w:rFonts w:ascii="Cambria" w:hAnsi="Cambria"/>
                <w:bCs/>
                <w:lang w:val="it-IT" w:eastAsia="zh-CN"/>
              </w:rPr>
            </w:pPr>
            <w:proofErr w:type="spellStart"/>
            <w:r w:rsidRPr="00B36357">
              <w:rPr>
                <w:rFonts w:ascii="Cambria" w:hAnsi="Cambria"/>
                <w:bCs/>
                <w:lang w:val="it-IT" w:eastAsia="zh-CN"/>
              </w:rPr>
              <w:t>Priručna</w:t>
            </w:r>
            <w:proofErr w:type="spellEnd"/>
            <w:r w:rsidRPr="00B36357">
              <w:rPr>
                <w:rFonts w:ascii="Cambria" w:hAnsi="Cambria"/>
                <w:bCs/>
                <w:lang w:val="it-IT" w:eastAsia="zh-CN"/>
              </w:rPr>
              <w:t>:</w:t>
            </w:r>
          </w:p>
          <w:p w14:paraId="4E48A20A" w14:textId="51118689" w:rsidR="00FC4004" w:rsidRPr="00B36357" w:rsidRDefault="00B36357" w:rsidP="00B36357">
            <w:pPr>
              <w:suppressAutoHyphens/>
              <w:spacing w:after="0" w:line="240" w:lineRule="auto"/>
              <w:rPr>
                <w:rFonts w:ascii="Cambria" w:hAnsi="Cambria"/>
                <w:bCs/>
                <w:lang w:val="it-IT" w:eastAsia="zh-CN"/>
              </w:rPr>
            </w:pPr>
            <w:r w:rsidRPr="00B36357">
              <w:rPr>
                <w:rFonts w:ascii="Cambria" w:hAnsi="Cambria"/>
                <w:bCs/>
                <w:lang w:val="it-IT" w:eastAsia="zh-CN"/>
              </w:rPr>
              <w:t>1.</w:t>
            </w:r>
            <w:r>
              <w:rPr>
                <w:rFonts w:ascii="Cambria" w:hAnsi="Cambria"/>
                <w:bCs/>
                <w:lang w:val="it-IT" w:eastAsia="zh-CN"/>
              </w:rPr>
              <w:t xml:space="preserve"> </w:t>
            </w:r>
            <w:proofErr w:type="spellStart"/>
            <w:r w:rsidR="00FC4004" w:rsidRPr="00B36357">
              <w:rPr>
                <w:rFonts w:ascii="Cambria" w:hAnsi="Cambria"/>
                <w:bCs/>
                <w:lang w:val="it-IT" w:eastAsia="zh-CN"/>
              </w:rPr>
              <w:t>Kurikulum</w:t>
            </w:r>
            <w:proofErr w:type="spellEnd"/>
            <w:r w:rsidR="00FC4004" w:rsidRPr="00B36357">
              <w:rPr>
                <w:rFonts w:ascii="Cambria" w:hAnsi="Cambria"/>
                <w:bCs/>
                <w:lang w:val="it-IT" w:eastAsia="zh-CN"/>
              </w:rPr>
              <w:t xml:space="preserve"> </w:t>
            </w:r>
            <w:proofErr w:type="spellStart"/>
            <w:r w:rsidR="00FC4004" w:rsidRPr="00B36357">
              <w:rPr>
                <w:rFonts w:ascii="Cambria" w:hAnsi="Cambria"/>
                <w:bCs/>
                <w:lang w:val="it-IT" w:eastAsia="zh-CN"/>
              </w:rPr>
              <w:t>nastavnog</w:t>
            </w:r>
            <w:proofErr w:type="spellEnd"/>
            <w:r w:rsidR="00FC4004" w:rsidRPr="00B36357">
              <w:rPr>
                <w:rFonts w:ascii="Cambria" w:hAnsi="Cambria"/>
                <w:bCs/>
                <w:lang w:val="it-IT" w:eastAsia="zh-CN"/>
              </w:rPr>
              <w:t xml:space="preserve"> </w:t>
            </w:r>
            <w:proofErr w:type="spellStart"/>
            <w:r w:rsidR="00FC4004" w:rsidRPr="00B36357">
              <w:rPr>
                <w:rFonts w:ascii="Cambria" w:hAnsi="Cambria"/>
                <w:bCs/>
                <w:lang w:val="it-IT" w:eastAsia="zh-CN"/>
              </w:rPr>
              <w:t>predmeta</w:t>
            </w:r>
            <w:proofErr w:type="spellEnd"/>
            <w:r w:rsidR="00FC4004" w:rsidRPr="00B36357">
              <w:rPr>
                <w:rFonts w:ascii="Cambria" w:hAnsi="Cambria"/>
                <w:bCs/>
                <w:lang w:val="it-IT" w:eastAsia="zh-CN"/>
              </w:rPr>
              <w:t xml:space="preserve"> </w:t>
            </w:r>
            <w:proofErr w:type="spellStart"/>
            <w:r w:rsidR="00FC4004" w:rsidRPr="00B36357">
              <w:rPr>
                <w:rFonts w:ascii="Cambria" w:hAnsi="Cambria"/>
                <w:bCs/>
                <w:lang w:val="it-IT" w:eastAsia="zh-CN"/>
              </w:rPr>
              <w:t>Matematika</w:t>
            </w:r>
            <w:proofErr w:type="spellEnd"/>
            <w:r w:rsidR="00FC4004" w:rsidRPr="00B36357">
              <w:rPr>
                <w:rFonts w:ascii="Cambria" w:hAnsi="Cambria"/>
                <w:bCs/>
                <w:lang w:val="it-IT" w:eastAsia="zh-CN"/>
              </w:rPr>
              <w:t xml:space="preserve"> </w:t>
            </w:r>
            <w:hyperlink r:id="rId124" w:history="1">
              <w:r w:rsidR="00FC4004" w:rsidRPr="00B36357">
                <w:rPr>
                  <w:rStyle w:val="Hiperveza"/>
                  <w:rFonts w:ascii="Cambria" w:hAnsi="Cambria"/>
                  <w:bCs/>
                  <w:lang w:val="it-IT"/>
                </w:rPr>
                <w:t>https://mzo.gov.hr/istaknute-teme/odgoj-i-obrazovanje/nacionalni-kurikulum/predmetni-kurikulumi/539</w:t>
              </w:r>
            </w:hyperlink>
            <w:r w:rsidR="00FC4004" w:rsidRPr="00B36357">
              <w:rPr>
                <w:rFonts w:ascii="Cambria" w:hAnsi="Cambria"/>
                <w:bCs/>
                <w:lang w:val="it-IT"/>
              </w:rPr>
              <w:t xml:space="preserve"> </w:t>
            </w:r>
          </w:p>
          <w:p w14:paraId="537D4873" w14:textId="34F31FEF" w:rsidR="00FC4004" w:rsidRPr="00B36357" w:rsidRDefault="00B36357" w:rsidP="00B36357">
            <w:pPr>
              <w:suppressAutoHyphens/>
              <w:spacing w:after="0" w:line="240" w:lineRule="auto"/>
              <w:rPr>
                <w:rFonts w:ascii="Cambria" w:hAnsi="Cambria"/>
                <w:bCs/>
                <w:lang w:val="it-IT" w:eastAsia="zh-CN"/>
              </w:rPr>
            </w:pPr>
            <w:r w:rsidRPr="00B36357">
              <w:rPr>
                <w:rFonts w:ascii="Cambria" w:hAnsi="Cambria"/>
                <w:bCs/>
                <w:lang w:val="it-IT" w:eastAsia="zh-CN"/>
              </w:rPr>
              <w:t>2.</w:t>
            </w:r>
            <w:r>
              <w:rPr>
                <w:rFonts w:ascii="Cambria" w:hAnsi="Cambria"/>
                <w:bCs/>
                <w:lang w:val="it-IT" w:eastAsia="zh-CN"/>
              </w:rPr>
              <w:t xml:space="preserve"> </w:t>
            </w:r>
            <w:proofErr w:type="spellStart"/>
            <w:r w:rsidR="00FC4004" w:rsidRPr="00B36357">
              <w:rPr>
                <w:rFonts w:ascii="Cambria" w:hAnsi="Cambria"/>
                <w:bCs/>
                <w:lang w:val="it-IT" w:eastAsia="zh-CN"/>
              </w:rPr>
              <w:t>Kurikulumi</w:t>
            </w:r>
            <w:proofErr w:type="spellEnd"/>
            <w:r w:rsidR="00FC4004" w:rsidRPr="00B36357">
              <w:rPr>
                <w:rFonts w:ascii="Cambria" w:hAnsi="Cambria"/>
                <w:bCs/>
                <w:lang w:val="it-IT" w:eastAsia="zh-CN"/>
              </w:rPr>
              <w:t xml:space="preserve"> </w:t>
            </w:r>
            <w:proofErr w:type="spellStart"/>
            <w:r w:rsidR="00FC4004" w:rsidRPr="00B36357">
              <w:rPr>
                <w:rFonts w:ascii="Cambria" w:hAnsi="Cambria"/>
                <w:bCs/>
                <w:lang w:val="it-IT" w:eastAsia="zh-CN"/>
              </w:rPr>
              <w:t>međupredmetnih</w:t>
            </w:r>
            <w:proofErr w:type="spellEnd"/>
            <w:r w:rsidR="00FC4004" w:rsidRPr="00B36357">
              <w:rPr>
                <w:rFonts w:ascii="Cambria" w:hAnsi="Cambria"/>
                <w:bCs/>
                <w:lang w:val="it-IT" w:eastAsia="zh-CN"/>
              </w:rPr>
              <w:t xml:space="preserve"> tema </w:t>
            </w:r>
            <w:hyperlink r:id="rId125" w:history="1">
              <w:r w:rsidR="00FC4004" w:rsidRPr="00B36357">
                <w:rPr>
                  <w:rStyle w:val="Hiperveza"/>
                  <w:rFonts w:ascii="Cambria" w:hAnsi="Cambria"/>
                  <w:bCs/>
                  <w:lang w:val="it-IT" w:eastAsia="zh-CN"/>
                </w:rPr>
                <w:t>https://mzo.gov.hr/istaknute-teme/odgoj-i-obrazovanje/nacionalni-kurikulum/medjupredmetne-teme/3852</w:t>
              </w:r>
            </w:hyperlink>
          </w:p>
          <w:p w14:paraId="0851566C" w14:textId="302BE782" w:rsidR="00FC4004" w:rsidRPr="00B36357" w:rsidRDefault="00B36357" w:rsidP="00B36357">
            <w:pPr>
              <w:suppressAutoHyphens/>
              <w:spacing w:after="0" w:line="240" w:lineRule="auto"/>
              <w:rPr>
                <w:rFonts w:ascii="Cambria" w:hAnsi="Cambria"/>
                <w:bCs/>
                <w:lang w:val="it-IT" w:eastAsia="zh-CN"/>
              </w:rPr>
            </w:pPr>
            <w:r w:rsidRPr="00B36357">
              <w:rPr>
                <w:rFonts w:ascii="Cambria" w:hAnsi="Cambria"/>
                <w:bCs/>
                <w:lang w:val="it-IT" w:eastAsia="zh-CN"/>
              </w:rPr>
              <w:t xml:space="preserve">3. </w:t>
            </w:r>
            <w:proofErr w:type="spellStart"/>
            <w:r w:rsidR="00FC4004" w:rsidRPr="00B36357">
              <w:rPr>
                <w:rFonts w:ascii="Cambria" w:hAnsi="Cambria"/>
                <w:bCs/>
                <w:lang w:val="it-IT" w:eastAsia="zh-CN"/>
              </w:rPr>
              <w:t>Aktualni</w:t>
            </w:r>
            <w:proofErr w:type="spellEnd"/>
            <w:r w:rsidR="00FC4004" w:rsidRPr="00B36357">
              <w:rPr>
                <w:rFonts w:ascii="Cambria" w:hAnsi="Cambria"/>
                <w:bCs/>
                <w:lang w:val="it-IT" w:eastAsia="zh-CN"/>
              </w:rPr>
              <w:t xml:space="preserve"> </w:t>
            </w:r>
            <w:proofErr w:type="spellStart"/>
            <w:r w:rsidR="00FC4004" w:rsidRPr="00B36357">
              <w:rPr>
                <w:rFonts w:ascii="Cambria" w:hAnsi="Cambria"/>
                <w:bCs/>
                <w:lang w:val="it-IT" w:eastAsia="zh-CN"/>
              </w:rPr>
              <w:t>udžbenici</w:t>
            </w:r>
            <w:proofErr w:type="spellEnd"/>
            <w:r w:rsidR="00FC4004" w:rsidRPr="00B36357">
              <w:rPr>
                <w:rFonts w:ascii="Cambria" w:hAnsi="Cambria"/>
                <w:bCs/>
                <w:lang w:val="it-IT" w:eastAsia="zh-CN"/>
              </w:rPr>
              <w:t xml:space="preserve"> za </w:t>
            </w:r>
            <w:proofErr w:type="spellStart"/>
            <w:r w:rsidR="00FC4004" w:rsidRPr="00B36357">
              <w:rPr>
                <w:rFonts w:ascii="Cambria" w:hAnsi="Cambria"/>
                <w:bCs/>
                <w:lang w:val="it-IT" w:eastAsia="zh-CN"/>
              </w:rPr>
              <w:t>matematiku</w:t>
            </w:r>
            <w:proofErr w:type="spellEnd"/>
            <w:r w:rsidR="00FC4004" w:rsidRPr="00B36357">
              <w:rPr>
                <w:rFonts w:ascii="Cambria" w:hAnsi="Cambria"/>
                <w:bCs/>
                <w:lang w:val="it-IT" w:eastAsia="zh-CN"/>
              </w:rPr>
              <w:t xml:space="preserve"> od 1. do 4. </w:t>
            </w:r>
            <w:proofErr w:type="spellStart"/>
            <w:r w:rsidR="00FC4004" w:rsidRPr="00B36357">
              <w:rPr>
                <w:rFonts w:ascii="Cambria" w:hAnsi="Cambria"/>
                <w:bCs/>
                <w:lang w:val="it-IT" w:eastAsia="zh-CN"/>
              </w:rPr>
              <w:t>razreda</w:t>
            </w:r>
            <w:proofErr w:type="spellEnd"/>
            <w:r w:rsidR="00FC4004" w:rsidRPr="00B36357">
              <w:rPr>
                <w:rFonts w:ascii="Cambria" w:hAnsi="Cambria"/>
                <w:bCs/>
                <w:lang w:val="it-IT" w:eastAsia="zh-CN"/>
              </w:rPr>
              <w:t xml:space="preserve"> </w:t>
            </w:r>
            <w:proofErr w:type="spellStart"/>
            <w:r w:rsidR="00FC4004" w:rsidRPr="00B36357">
              <w:rPr>
                <w:rFonts w:ascii="Cambria" w:hAnsi="Cambria"/>
                <w:bCs/>
                <w:lang w:val="it-IT" w:eastAsia="zh-CN"/>
              </w:rPr>
              <w:t>osnovne</w:t>
            </w:r>
            <w:proofErr w:type="spellEnd"/>
            <w:r w:rsidR="00FC4004" w:rsidRPr="00B36357">
              <w:rPr>
                <w:rFonts w:ascii="Cambria" w:hAnsi="Cambria"/>
                <w:bCs/>
                <w:lang w:val="it-IT" w:eastAsia="zh-CN"/>
              </w:rPr>
              <w:t xml:space="preserve"> </w:t>
            </w:r>
            <w:proofErr w:type="spellStart"/>
            <w:r w:rsidR="00FC4004" w:rsidRPr="00B36357">
              <w:rPr>
                <w:rFonts w:ascii="Cambria" w:hAnsi="Cambria"/>
                <w:bCs/>
                <w:lang w:val="it-IT" w:eastAsia="zh-CN"/>
              </w:rPr>
              <w:t>škole</w:t>
            </w:r>
            <w:proofErr w:type="spellEnd"/>
          </w:p>
          <w:p w14:paraId="336D1D44" w14:textId="77777777" w:rsidR="00FC4004" w:rsidRPr="00B36357" w:rsidRDefault="00FC4004" w:rsidP="000F1A10">
            <w:pPr>
              <w:suppressAutoHyphens/>
              <w:spacing w:after="0" w:line="240" w:lineRule="auto"/>
              <w:rPr>
                <w:rFonts w:ascii="Cambria" w:hAnsi="Cambria"/>
                <w:bCs/>
                <w:lang w:val="it-IT" w:eastAsia="zh-CN"/>
              </w:rPr>
            </w:pPr>
            <w:proofErr w:type="spellStart"/>
            <w:r w:rsidRPr="00B36357">
              <w:rPr>
                <w:rFonts w:ascii="Cambria" w:hAnsi="Cambria"/>
                <w:bCs/>
                <w:lang w:val="it-IT" w:eastAsia="zh-CN"/>
              </w:rPr>
              <w:t>Izborna</w:t>
            </w:r>
            <w:proofErr w:type="spellEnd"/>
            <w:r w:rsidRPr="00B36357">
              <w:rPr>
                <w:rFonts w:ascii="Cambria" w:hAnsi="Cambria"/>
                <w:bCs/>
                <w:lang w:val="it-IT" w:eastAsia="zh-CN"/>
              </w:rPr>
              <w:t xml:space="preserve">: </w:t>
            </w:r>
          </w:p>
          <w:p w14:paraId="7C087DBC" w14:textId="2FDCCA79" w:rsidR="00FC4004" w:rsidRPr="00161325" w:rsidRDefault="00B36357" w:rsidP="00B36357">
            <w:pPr>
              <w:suppressAutoHyphens/>
              <w:spacing w:after="0" w:line="240" w:lineRule="auto"/>
              <w:rPr>
                <w:lang w:val="it-IT" w:eastAsia="en-GB"/>
              </w:rPr>
            </w:pPr>
            <w:r>
              <w:rPr>
                <w:rFonts w:ascii="Cambria" w:hAnsi="Cambria"/>
                <w:bCs/>
                <w:noProof/>
                <w:lang w:val="it-IT" w:eastAsia="zh-CN"/>
              </w:rPr>
              <w:t xml:space="preserve">1. </w:t>
            </w:r>
            <w:r w:rsidR="00FC4004" w:rsidRPr="00161325">
              <w:rPr>
                <w:rFonts w:ascii="Cambria" w:hAnsi="Cambria"/>
                <w:bCs/>
                <w:noProof/>
                <w:lang w:val="it-IT" w:eastAsia="zh-CN"/>
              </w:rPr>
              <w:t xml:space="preserve">Jensen, E. (1998) </w:t>
            </w:r>
            <w:r w:rsidR="00FC4004" w:rsidRPr="00161325">
              <w:rPr>
                <w:rFonts w:ascii="Cambria" w:hAnsi="Cambria"/>
                <w:bCs/>
                <w:i/>
                <w:noProof/>
                <w:lang w:val="it-IT" w:eastAsia="zh-CN"/>
              </w:rPr>
              <w:t>Super nastava</w:t>
            </w:r>
            <w:r w:rsidR="00FC4004" w:rsidRPr="00161325">
              <w:rPr>
                <w:rFonts w:ascii="Cambria" w:hAnsi="Cambria"/>
                <w:bCs/>
                <w:noProof/>
                <w:lang w:val="it-IT" w:eastAsia="zh-CN"/>
              </w:rPr>
              <w:t>. Naklada Slap.</w:t>
            </w:r>
          </w:p>
          <w:p w14:paraId="6CCC92CD" w14:textId="5BECE71E" w:rsidR="00FC4004" w:rsidRPr="00161325" w:rsidRDefault="00B36357" w:rsidP="00B36357">
            <w:pPr>
              <w:suppressAutoHyphens/>
              <w:spacing w:after="0" w:line="240" w:lineRule="auto"/>
              <w:rPr>
                <w:rFonts w:ascii="Cambria" w:hAnsi="Cambria"/>
                <w:bCs/>
                <w:noProof/>
                <w:lang w:val="it-IT" w:eastAsia="zh-CN"/>
              </w:rPr>
            </w:pPr>
            <w:r>
              <w:rPr>
                <w:rFonts w:ascii="Cambria" w:hAnsi="Cambria"/>
                <w:bCs/>
                <w:noProof/>
                <w:lang w:val="it-IT" w:eastAsia="zh-CN"/>
              </w:rPr>
              <w:t xml:space="preserve">2. </w:t>
            </w:r>
            <w:r w:rsidR="00FC4004" w:rsidRPr="00161325">
              <w:rPr>
                <w:rFonts w:ascii="Cambria" w:hAnsi="Cambria"/>
                <w:bCs/>
                <w:noProof/>
                <w:lang w:val="it-IT" w:eastAsia="zh-CN"/>
              </w:rPr>
              <w:t>Jurjević Jovanović, I., Rukljač,I., Viher, J. (2020),</w:t>
            </w:r>
            <w:r w:rsidR="00FC4004" w:rsidRPr="00161325">
              <w:rPr>
                <w:lang w:val="it-IT"/>
              </w:rPr>
              <w:t xml:space="preserve"> </w:t>
            </w:r>
            <w:proofErr w:type="spellStart"/>
            <w:r w:rsidR="00FC4004" w:rsidRPr="00161325">
              <w:rPr>
                <w:rFonts w:ascii="Cambria" w:hAnsi="Cambria"/>
                <w:bCs/>
                <w:i/>
                <w:lang w:val="it-IT" w:eastAsia="zh-CN"/>
              </w:rPr>
              <w:t>Vrednovanje</w:t>
            </w:r>
            <w:proofErr w:type="spellEnd"/>
            <w:r w:rsidR="00FC4004" w:rsidRPr="00161325">
              <w:rPr>
                <w:rFonts w:ascii="Cambria" w:hAnsi="Cambria"/>
                <w:bCs/>
                <w:i/>
                <w:lang w:val="it-IT" w:eastAsia="zh-CN"/>
              </w:rPr>
              <w:t xml:space="preserve"> u </w:t>
            </w:r>
            <w:proofErr w:type="spellStart"/>
            <w:r w:rsidR="00FC4004" w:rsidRPr="00161325">
              <w:rPr>
                <w:rFonts w:ascii="Cambria" w:hAnsi="Cambria"/>
                <w:bCs/>
                <w:i/>
                <w:lang w:val="it-IT" w:eastAsia="zh-CN"/>
              </w:rPr>
              <w:t>razrednoj</w:t>
            </w:r>
            <w:proofErr w:type="spellEnd"/>
            <w:r w:rsidR="00FC4004" w:rsidRPr="00161325">
              <w:rPr>
                <w:rFonts w:ascii="Cambria" w:hAnsi="Cambria"/>
                <w:bCs/>
                <w:i/>
                <w:lang w:val="it-IT" w:eastAsia="zh-CN"/>
              </w:rPr>
              <w:t xml:space="preserve"> </w:t>
            </w:r>
            <w:proofErr w:type="spellStart"/>
            <w:r w:rsidR="00FC4004" w:rsidRPr="00161325">
              <w:rPr>
                <w:rFonts w:ascii="Cambria" w:hAnsi="Cambria"/>
                <w:bCs/>
                <w:i/>
                <w:lang w:val="it-IT" w:eastAsia="zh-CN"/>
              </w:rPr>
              <w:t>nastavi</w:t>
            </w:r>
            <w:proofErr w:type="spellEnd"/>
            <w:r w:rsidR="00FC4004" w:rsidRPr="00161325">
              <w:rPr>
                <w:lang w:val="it-IT"/>
              </w:rPr>
              <w:t xml:space="preserve">, </w:t>
            </w:r>
            <w:proofErr w:type="spellStart"/>
            <w:r w:rsidR="00FC4004" w:rsidRPr="00161325">
              <w:rPr>
                <w:lang w:val="it-IT"/>
              </w:rPr>
              <w:t>Školska</w:t>
            </w:r>
            <w:proofErr w:type="spellEnd"/>
            <w:r w:rsidR="00FC4004" w:rsidRPr="00161325">
              <w:rPr>
                <w:lang w:val="it-IT"/>
              </w:rPr>
              <w:t xml:space="preserve"> </w:t>
            </w:r>
            <w:proofErr w:type="spellStart"/>
            <w:r w:rsidR="00FC4004" w:rsidRPr="00161325">
              <w:rPr>
                <w:lang w:val="it-IT"/>
              </w:rPr>
              <w:t>knjiga</w:t>
            </w:r>
            <w:proofErr w:type="spellEnd"/>
            <w:r w:rsidR="00FC4004" w:rsidRPr="00161325">
              <w:rPr>
                <w:lang w:val="it-IT"/>
              </w:rPr>
              <w:t>.</w:t>
            </w:r>
          </w:p>
          <w:p w14:paraId="7F28A5E6" w14:textId="48760C63" w:rsidR="00FC4004" w:rsidRPr="00B36357" w:rsidRDefault="00B36357" w:rsidP="00B36357">
            <w:pPr>
              <w:suppressAutoHyphens/>
              <w:spacing w:after="0" w:line="240" w:lineRule="auto"/>
              <w:rPr>
                <w:rFonts w:ascii="Cambria" w:hAnsi="Cambria"/>
                <w:bCs/>
                <w:lang w:val="it-IT" w:eastAsia="zh-CN"/>
              </w:rPr>
            </w:pPr>
            <w:r>
              <w:rPr>
                <w:rFonts w:ascii="Cambria" w:hAnsi="Cambria"/>
                <w:bCs/>
                <w:noProof/>
                <w:lang w:val="it-IT" w:eastAsia="zh-CN"/>
              </w:rPr>
              <w:t xml:space="preserve">3. </w:t>
            </w:r>
            <w:r w:rsidR="00FC4004" w:rsidRPr="00161325">
              <w:rPr>
                <w:rFonts w:ascii="Cambria" w:hAnsi="Cambria"/>
                <w:bCs/>
                <w:noProof/>
                <w:lang w:val="it-IT" w:eastAsia="zh-CN"/>
              </w:rPr>
              <w:t xml:space="preserve">Matijević, M. i Radovanović, D. (2011) </w:t>
            </w:r>
            <w:r w:rsidR="00FC4004" w:rsidRPr="00161325">
              <w:rPr>
                <w:rFonts w:ascii="Cambria" w:hAnsi="Cambria"/>
                <w:bCs/>
                <w:i/>
                <w:noProof/>
                <w:lang w:val="it-IT" w:eastAsia="zh-CN"/>
              </w:rPr>
              <w:t>Nastava usmjerena na učenika</w:t>
            </w:r>
            <w:r w:rsidR="00FC4004" w:rsidRPr="00161325">
              <w:rPr>
                <w:rFonts w:ascii="Cambria" w:hAnsi="Cambria"/>
                <w:bCs/>
                <w:noProof/>
                <w:lang w:val="it-IT" w:eastAsia="zh-CN"/>
              </w:rPr>
              <w:t xml:space="preserve">. </w:t>
            </w:r>
            <w:r w:rsidR="00FC4004" w:rsidRPr="00B36357">
              <w:rPr>
                <w:rFonts w:ascii="Cambria" w:hAnsi="Cambria"/>
                <w:bCs/>
                <w:noProof/>
                <w:lang w:val="it-IT" w:eastAsia="zh-CN"/>
              </w:rPr>
              <w:t>Školske novine.</w:t>
            </w:r>
          </w:p>
          <w:p w14:paraId="55716A41" w14:textId="0FEFFE77" w:rsidR="00FC4004" w:rsidRPr="00161325" w:rsidRDefault="00B36357" w:rsidP="00B36357">
            <w:pPr>
              <w:suppressAutoHyphens/>
              <w:spacing w:after="0" w:line="240" w:lineRule="auto"/>
              <w:rPr>
                <w:rFonts w:ascii="Cambria" w:hAnsi="Cambria"/>
                <w:bCs/>
                <w:lang w:val="it-IT" w:eastAsia="zh-CN"/>
              </w:rPr>
            </w:pPr>
            <w:r>
              <w:rPr>
                <w:rFonts w:ascii="Cambria" w:hAnsi="Cambria"/>
                <w:bCs/>
                <w:noProof/>
                <w:lang w:val="it-IT" w:eastAsia="zh-CN"/>
              </w:rPr>
              <w:t xml:space="preserve">4. </w:t>
            </w:r>
            <w:r w:rsidR="00FC4004" w:rsidRPr="00161325">
              <w:rPr>
                <w:rFonts w:ascii="Cambria" w:hAnsi="Cambria"/>
                <w:bCs/>
                <w:noProof/>
                <w:lang w:val="it-IT" w:eastAsia="zh-CN"/>
              </w:rPr>
              <w:t>Mattes, W</w:t>
            </w:r>
            <w:r w:rsidR="00FC4004" w:rsidRPr="00161325">
              <w:rPr>
                <w:rFonts w:ascii="Cambria" w:hAnsi="Cambria"/>
                <w:bCs/>
                <w:lang w:val="it-IT" w:eastAsia="zh-CN"/>
              </w:rPr>
              <w:t xml:space="preserve">. (2007) </w:t>
            </w:r>
            <w:proofErr w:type="spellStart"/>
            <w:r w:rsidR="00FC4004" w:rsidRPr="00161325">
              <w:rPr>
                <w:rFonts w:ascii="Cambria" w:hAnsi="Cambria"/>
                <w:bCs/>
                <w:i/>
                <w:lang w:val="it-IT" w:eastAsia="zh-CN"/>
              </w:rPr>
              <w:t>Rutinski</w:t>
            </w:r>
            <w:proofErr w:type="spellEnd"/>
            <w:r w:rsidR="00FC4004" w:rsidRPr="00161325">
              <w:rPr>
                <w:rFonts w:ascii="Cambria" w:hAnsi="Cambria"/>
                <w:bCs/>
                <w:i/>
                <w:lang w:val="it-IT" w:eastAsia="zh-CN"/>
              </w:rPr>
              <w:t xml:space="preserve"> </w:t>
            </w:r>
            <w:proofErr w:type="spellStart"/>
            <w:r w:rsidR="00FC4004" w:rsidRPr="00161325">
              <w:rPr>
                <w:rFonts w:ascii="Cambria" w:hAnsi="Cambria"/>
                <w:bCs/>
                <w:i/>
                <w:lang w:val="it-IT" w:eastAsia="zh-CN"/>
              </w:rPr>
              <w:t>planirati</w:t>
            </w:r>
            <w:proofErr w:type="spellEnd"/>
            <w:r w:rsidR="00FC4004" w:rsidRPr="00161325">
              <w:rPr>
                <w:rFonts w:ascii="Cambria" w:hAnsi="Cambria"/>
                <w:bCs/>
                <w:i/>
                <w:lang w:val="it-IT" w:eastAsia="zh-CN"/>
              </w:rPr>
              <w:t xml:space="preserve"> - </w:t>
            </w:r>
            <w:proofErr w:type="spellStart"/>
            <w:r w:rsidR="00FC4004" w:rsidRPr="00161325">
              <w:rPr>
                <w:rFonts w:ascii="Cambria" w:hAnsi="Cambria"/>
                <w:bCs/>
                <w:i/>
                <w:lang w:val="it-IT" w:eastAsia="zh-CN"/>
              </w:rPr>
              <w:t>učinkovito</w:t>
            </w:r>
            <w:proofErr w:type="spellEnd"/>
            <w:r w:rsidR="00FC4004" w:rsidRPr="00161325">
              <w:rPr>
                <w:rFonts w:ascii="Cambria" w:hAnsi="Cambria"/>
                <w:bCs/>
                <w:i/>
                <w:lang w:val="it-IT" w:eastAsia="zh-CN"/>
              </w:rPr>
              <w:t xml:space="preserve"> </w:t>
            </w:r>
            <w:proofErr w:type="spellStart"/>
            <w:r w:rsidR="00FC4004" w:rsidRPr="00161325">
              <w:rPr>
                <w:rFonts w:ascii="Cambria" w:hAnsi="Cambria"/>
                <w:bCs/>
                <w:i/>
                <w:lang w:val="it-IT" w:eastAsia="zh-CN"/>
              </w:rPr>
              <w:t>poučavati</w:t>
            </w:r>
            <w:proofErr w:type="spellEnd"/>
            <w:r w:rsidR="00FC4004" w:rsidRPr="00161325">
              <w:rPr>
                <w:rFonts w:ascii="Cambria" w:hAnsi="Cambria"/>
                <w:bCs/>
                <w:lang w:val="it-IT" w:eastAsia="zh-CN"/>
              </w:rPr>
              <w:t xml:space="preserve">: </w:t>
            </w:r>
            <w:proofErr w:type="spellStart"/>
            <w:r w:rsidR="00FC4004" w:rsidRPr="00161325">
              <w:rPr>
                <w:rFonts w:ascii="Cambria" w:hAnsi="Cambria"/>
                <w:bCs/>
                <w:lang w:val="it-IT" w:eastAsia="zh-CN"/>
              </w:rPr>
              <w:t>Naklada</w:t>
            </w:r>
            <w:proofErr w:type="spellEnd"/>
            <w:r w:rsidR="00FC4004" w:rsidRPr="00161325">
              <w:rPr>
                <w:rFonts w:ascii="Cambria" w:hAnsi="Cambria"/>
                <w:bCs/>
                <w:lang w:val="it-IT" w:eastAsia="zh-CN"/>
              </w:rPr>
              <w:t xml:space="preserve"> </w:t>
            </w:r>
            <w:proofErr w:type="spellStart"/>
            <w:r w:rsidR="00FC4004" w:rsidRPr="00161325">
              <w:rPr>
                <w:rFonts w:ascii="Cambria" w:hAnsi="Cambria"/>
                <w:bCs/>
                <w:lang w:val="it-IT" w:eastAsia="zh-CN"/>
              </w:rPr>
              <w:t>Ljevak</w:t>
            </w:r>
            <w:proofErr w:type="spellEnd"/>
            <w:r w:rsidR="00FC4004" w:rsidRPr="00161325">
              <w:rPr>
                <w:rFonts w:ascii="Cambria" w:hAnsi="Cambria"/>
                <w:bCs/>
                <w:lang w:val="it-IT" w:eastAsia="zh-CN"/>
              </w:rPr>
              <w:t>.</w:t>
            </w:r>
          </w:p>
          <w:p w14:paraId="7B0629A2" w14:textId="6DE9E07A" w:rsidR="00FC4004" w:rsidRPr="00B36357" w:rsidRDefault="00B36357" w:rsidP="00B36357">
            <w:pPr>
              <w:suppressAutoHyphens/>
              <w:spacing w:after="0" w:line="240" w:lineRule="auto"/>
              <w:rPr>
                <w:rFonts w:ascii="Cambria" w:hAnsi="Cambria" w:cs="Calibri"/>
                <w:lang w:val="it-IT" w:eastAsia="zh-CN"/>
              </w:rPr>
            </w:pPr>
            <w:r>
              <w:rPr>
                <w:rFonts w:ascii="Cambria" w:hAnsi="Cambria"/>
                <w:bCs/>
                <w:lang w:val="it-IT" w:eastAsia="zh-CN"/>
              </w:rPr>
              <w:lastRenderedPageBreak/>
              <w:t xml:space="preserve">5. </w:t>
            </w:r>
            <w:r w:rsidR="00FC4004" w:rsidRPr="00161325">
              <w:rPr>
                <w:rFonts w:ascii="Cambria" w:hAnsi="Cambria"/>
                <w:bCs/>
                <w:lang w:val="it-IT" w:eastAsia="zh-CN"/>
              </w:rPr>
              <w:t xml:space="preserve">MIŠ – </w:t>
            </w:r>
            <w:proofErr w:type="spellStart"/>
            <w:r w:rsidR="00FC4004" w:rsidRPr="00161325">
              <w:rPr>
                <w:rFonts w:ascii="Cambria" w:hAnsi="Cambria"/>
                <w:bCs/>
                <w:lang w:val="it-IT" w:eastAsia="zh-CN"/>
              </w:rPr>
              <w:t>Časopis</w:t>
            </w:r>
            <w:proofErr w:type="spellEnd"/>
            <w:r w:rsidR="00FC4004" w:rsidRPr="00161325">
              <w:rPr>
                <w:rFonts w:ascii="Cambria" w:hAnsi="Cambria"/>
                <w:bCs/>
                <w:lang w:val="it-IT" w:eastAsia="zh-CN"/>
              </w:rPr>
              <w:t xml:space="preserve"> </w:t>
            </w:r>
            <w:proofErr w:type="spellStart"/>
            <w:r w:rsidR="00FC4004" w:rsidRPr="00161325">
              <w:rPr>
                <w:rFonts w:ascii="Cambria" w:hAnsi="Cambria"/>
                <w:bCs/>
                <w:i/>
                <w:lang w:val="it-IT" w:eastAsia="zh-CN"/>
              </w:rPr>
              <w:t>Matematika</w:t>
            </w:r>
            <w:proofErr w:type="spellEnd"/>
            <w:r w:rsidR="00FC4004" w:rsidRPr="00161325">
              <w:rPr>
                <w:rFonts w:ascii="Cambria" w:hAnsi="Cambria"/>
                <w:bCs/>
                <w:i/>
                <w:lang w:val="it-IT" w:eastAsia="zh-CN"/>
              </w:rPr>
              <w:t xml:space="preserve"> i </w:t>
            </w:r>
            <w:proofErr w:type="spellStart"/>
            <w:r w:rsidR="00FC4004" w:rsidRPr="00161325">
              <w:rPr>
                <w:rFonts w:ascii="Cambria" w:hAnsi="Cambria"/>
                <w:bCs/>
                <w:i/>
                <w:lang w:val="it-IT" w:eastAsia="zh-CN"/>
              </w:rPr>
              <w:t>škola</w:t>
            </w:r>
            <w:proofErr w:type="spellEnd"/>
            <w:r w:rsidR="00FC4004" w:rsidRPr="00161325">
              <w:rPr>
                <w:rFonts w:ascii="Cambria" w:hAnsi="Cambria"/>
                <w:bCs/>
                <w:lang w:val="it-IT" w:eastAsia="zh-CN"/>
              </w:rPr>
              <w:t xml:space="preserve">, </w:t>
            </w:r>
            <w:proofErr w:type="spellStart"/>
            <w:r w:rsidR="00FC4004" w:rsidRPr="00161325">
              <w:rPr>
                <w:rFonts w:ascii="Cambria" w:hAnsi="Cambria"/>
                <w:bCs/>
                <w:lang w:val="it-IT" w:eastAsia="zh-CN"/>
              </w:rPr>
              <w:t>Element</w:t>
            </w:r>
            <w:proofErr w:type="spellEnd"/>
            <w:r w:rsidR="00FC4004" w:rsidRPr="00161325">
              <w:rPr>
                <w:rFonts w:ascii="Cambria" w:hAnsi="Cambria"/>
                <w:bCs/>
                <w:lang w:val="it-IT" w:eastAsia="zh-CN"/>
              </w:rPr>
              <w:t xml:space="preserve">. </w:t>
            </w:r>
            <w:r w:rsidR="00FC4004" w:rsidRPr="00161325">
              <w:rPr>
                <w:rFonts w:ascii="Cambria" w:hAnsi="Cambria" w:cs="Calibri"/>
                <w:lang w:val="it-IT" w:eastAsia="zh-CN"/>
              </w:rPr>
              <w:t xml:space="preserve"> </w:t>
            </w:r>
            <w:hyperlink r:id="rId126" w:history="1">
              <w:r w:rsidR="00FC4004" w:rsidRPr="00B36357">
                <w:rPr>
                  <w:rStyle w:val="Hiperveza"/>
                  <w:lang w:val="it-IT"/>
                </w:rPr>
                <w:t>https://mis.element.hr/</w:t>
              </w:r>
            </w:hyperlink>
          </w:p>
        </w:tc>
      </w:tr>
    </w:tbl>
    <w:p w14:paraId="5068AF7E" w14:textId="77777777" w:rsidR="00F04088" w:rsidRPr="00DF4CE5" w:rsidRDefault="00F04088" w:rsidP="009568E0">
      <w:pPr>
        <w:rPr>
          <w:rFonts w:ascii="Cambria" w:hAnsi="Cambria"/>
          <w:lang w:val="hr-HR"/>
        </w:rPr>
      </w:pPr>
    </w:p>
    <w:p w14:paraId="29DBDB06" w14:textId="4D1EF030" w:rsidR="000F1A10" w:rsidRDefault="000F1A10">
      <w:pPr>
        <w:rPr>
          <w:rFonts w:ascii="Cambria" w:hAnsi="Cambria"/>
          <w:lang w:val="hr-HR"/>
        </w:rPr>
      </w:pPr>
      <w:r>
        <w:rPr>
          <w:rFonts w:ascii="Cambria" w:hAnsi="Cambria"/>
          <w:lang w:val="hr-HR"/>
        </w:rPr>
        <w:br w:type="page"/>
      </w:r>
    </w:p>
    <w:tbl>
      <w:tblPr>
        <w:tblW w:w="5000" w:type="pct"/>
        <w:tblLayout w:type="fixed"/>
        <w:tblCellMar>
          <w:left w:w="0" w:type="dxa"/>
          <w:right w:w="0" w:type="dxa"/>
        </w:tblCellMar>
        <w:tblLook w:val="0600" w:firstRow="0" w:lastRow="0" w:firstColumn="0" w:lastColumn="0" w:noHBand="1" w:noVBand="1"/>
      </w:tblPr>
      <w:tblGrid>
        <w:gridCol w:w="2806"/>
        <w:gridCol w:w="2663"/>
        <w:gridCol w:w="105"/>
        <w:gridCol w:w="1172"/>
        <w:gridCol w:w="300"/>
        <w:gridCol w:w="472"/>
        <w:gridCol w:w="1087"/>
        <w:gridCol w:w="1415"/>
      </w:tblGrid>
      <w:tr w:rsidR="000F1A10" w:rsidRPr="00DF4CE5" w14:paraId="3F60DB77" w14:textId="77777777" w:rsidTr="000F1A10">
        <w:tc>
          <w:tcPr>
            <w:tcW w:w="10020"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D4C3383" w14:textId="77777777" w:rsidR="000F1A10" w:rsidRPr="00DF4CE5" w:rsidRDefault="000F1A10" w:rsidP="000F1A10">
            <w:pPr>
              <w:spacing w:after="0" w:line="240" w:lineRule="auto"/>
              <w:jc w:val="right"/>
              <w:rPr>
                <w:rFonts w:ascii="Cambria" w:eastAsia="Times New Roman" w:hAnsi="Cambria" w:cs="Calibri"/>
                <w:b/>
                <w:lang w:val="hr-HR"/>
              </w:rPr>
            </w:pPr>
            <w:r w:rsidRPr="00DF4CE5">
              <w:rPr>
                <w:rFonts w:ascii="Cambria" w:eastAsia="Times New Roman" w:hAnsi="Cambria" w:cs="Calibri"/>
                <w:b/>
                <w:lang w:val="hr-HR"/>
              </w:rPr>
              <w:lastRenderedPageBreak/>
              <w:t>IZVEDBENI PLAN NASTAVE KOLEGIJA</w:t>
            </w:r>
          </w:p>
        </w:tc>
      </w:tr>
      <w:tr w:rsidR="000F1A10" w:rsidRPr="00DF4CE5" w14:paraId="529F4E50" w14:textId="77777777" w:rsidTr="000F1A10">
        <w:tc>
          <w:tcPr>
            <w:tcW w:w="280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1D04AE3" w14:textId="77777777" w:rsidR="000F1A10" w:rsidRPr="00DF4CE5" w:rsidRDefault="000F1A10"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Kod i naziv kolegija</w:t>
            </w:r>
          </w:p>
        </w:tc>
        <w:tc>
          <w:tcPr>
            <w:tcW w:w="721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F41C650" w14:textId="1F6248B0" w:rsidR="000F1A10" w:rsidRDefault="000F1A10" w:rsidP="000F1A10">
            <w:pPr>
              <w:spacing w:after="0" w:line="240" w:lineRule="auto"/>
              <w:jc w:val="both"/>
              <w:rPr>
                <w:rFonts w:ascii="Cambria" w:eastAsia="Times New Roman" w:hAnsi="Cambria" w:cs="Calibri"/>
                <w:lang w:val="hr-HR"/>
              </w:rPr>
            </w:pPr>
            <w:r>
              <w:rPr>
                <w:rFonts w:ascii="Cambria" w:eastAsia="Times New Roman" w:hAnsi="Cambria" w:cs="Calibri"/>
                <w:lang w:val="hr-HR"/>
              </w:rPr>
              <w:t>96502</w:t>
            </w:r>
          </w:p>
          <w:p w14:paraId="2ED59419" w14:textId="78E73245" w:rsidR="000F1A10" w:rsidRPr="00DF4CE5" w:rsidRDefault="000F1A10"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Metodika glazbene kulture II</w:t>
            </w:r>
          </w:p>
        </w:tc>
      </w:tr>
      <w:tr w:rsidR="000F1A10" w:rsidRPr="00DF4CE5" w14:paraId="44879B04" w14:textId="77777777" w:rsidTr="000F1A10">
        <w:tc>
          <w:tcPr>
            <w:tcW w:w="280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48C2BA1" w14:textId="77777777" w:rsidR="000F1A10" w:rsidRPr="00DF4CE5" w:rsidRDefault="000F1A10"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Nastavnica </w:t>
            </w:r>
          </w:p>
          <w:p w14:paraId="50728DCA" w14:textId="77777777" w:rsidR="000F1A10" w:rsidRPr="00DF4CE5" w:rsidRDefault="000F1A10"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Suradnik</w:t>
            </w:r>
          </w:p>
        </w:tc>
        <w:tc>
          <w:tcPr>
            <w:tcW w:w="721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5B6511A" w14:textId="77777777" w:rsidR="000F1A10" w:rsidRPr="00DF4CE5" w:rsidRDefault="000F1A10" w:rsidP="000F1A10">
            <w:pPr>
              <w:spacing w:after="0" w:line="240" w:lineRule="auto"/>
              <w:jc w:val="both"/>
              <w:rPr>
                <w:rFonts w:ascii="Cambria" w:eastAsia="Times New Roman" w:hAnsi="Cambria" w:cs="Times New Roman"/>
                <w:lang w:val="hr-HR"/>
              </w:rPr>
            </w:pPr>
            <w:hyperlink r:id="rId127" w:history="1">
              <w:proofErr w:type="spellStart"/>
              <w:r w:rsidRPr="009568E0">
                <w:rPr>
                  <w:rStyle w:val="Hiperveza"/>
                  <w:rFonts w:ascii="Cambria" w:hAnsi="Cambria"/>
                  <w:lang w:val="it-IT"/>
                </w:rPr>
                <w:t>Naslovna</w:t>
              </w:r>
              <w:proofErr w:type="spellEnd"/>
              <w:r w:rsidRPr="009568E0">
                <w:rPr>
                  <w:rStyle w:val="Hiperveza"/>
                  <w:rFonts w:ascii="Cambria" w:hAnsi="Cambria"/>
                  <w:lang w:val="it-IT"/>
                </w:rPr>
                <w:t xml:space="preserve"> doc. dr. sc. Anita </w:t>
              </w:r>
              <w:proofErr w:type="spellStart"/>
              <w:r w:rsidRPr="009568E0">
                <w:rPr>
                  <w:rStyle w:val="Hiperveza"/>
                  <w:rFonts w:ascii="Cambria" w:hAnsi="Cambria"/>
                  <w:lang w:val="it-IT"/>
                </w:rPr>
                <w:t>Gergorić</w:t>
              </w:r>
              <w:proofErr w:type="spellEnd"/>
            </w:hyperlink>
            <w:r w:rsidRPr="00DF4CE5">
              <w:rPr>
                <w:rFonts w:ascii="Cambria" w:hAnsi="Cambria"/>
                <w:lang w:val="it-IT"/>
              </w:rPr>
              <w:t xml:space="preserve"> </w:t>
            </w:r>
            <w:r w:rsidRPr="00DF4CE5">
              <w:rPr>
                <w:rFonts w:ascii="Cambria" w:eastAsia="Times New Roman" w:hAnsi="Cambria" w:cs="Times New Roman"/>
                <w:lang w:val="hr-HR"/>
              </w:rPr>
              <w:t>(nositeljica)</w:t>
            </w:r>
          </w:p>
          <w:p w14:paraId="4E5240AA" w14:textId="77777777" w:rsidR="000F1A10" w:rsidRPr="00DF4CE5" w:rsidRDefault="000F1A10" w:rsidP="000F1A10">
            <w:pPr>
              <w:spacing w:after="0" w:line="240" w:lineRule="auto"/>
              <w:jc w:val="both"/>
              <w:rPr>
                <w:rFonts w:ascii="Cambria" w:eastAsia="Times New Roman" w:hAnsi="Cambria" w:cs="Calibri"/>
                <w:lang w:val="hr-HR"/>
              </w:rPr>
            </w:pPr>
            <w:hyperlink r:id="rId128" w:history="1">
              <w:r>
                <w:rPr>
                  <w:rFonts w:ascii="Cambria" w:eastAsia="Times New Roman" w:hAnsi="Cambria" w:cs="Times New Roman"/>
                  <w:color w:val="0000FF"/>
                  <w:u w:val="single"/>
                  <w:lang w:val="hr-HR"/>
                </w:rPr>
                <w:t>M</w:t>
              </w:r>
              <w:r w:rsidRPr="00DF4CE5">
                <w:rPr>
                  <w:rFonts w:ascii="Cambria" w:eastAsia="Times New Roman" w:hAnsi="Cambria" w:cs="Times New Roman"/>
                  <w:color w:val="0000FF"/>
                  <w:u w:val="single"/>
                  <w:lang w:val="hr-HR"/>
                </w:rPr>
                <w:t>r. sc. Branko Radić, pred.</w:t>
              </w:r>
            </w:hyperlink>
          </w:p>
        </w:tc>
      </w:tr>
      <w:tr w:rsidR="000F1A10" w:rsidRPr="00D0399C" w14:paraId="31C0A9AA" w14:textId="77777777" w:rsidTr="000F1A10">
        <w:tc>
          <w:tcPr>
            <w:tcW w:w="280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152B974" w14:textId="77777777" w:rsidR="000F1A10" w:rsidRPr="00DF4CE5" w:rsidRDefault="000F1A10"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Studijski program</w:t>
            </w:r>
          </w:p>
        </w:tc>
        <w:tc>
          <w:tcPr>
            <w:tcW w:w="721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DA1582D" w14:textId="77777777" w:rsidR="000F1A10" w:rsidRPr="00DF4CE5" w:rsidRDefault="000F1A10"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Sveučilišni integrirani prijediplomski i diplomski Učiteljski studij na hrvatskom jeziku</w:t>
            </w:r>
          </w:p>
        </w:tc>
      </w:tr>
      <w:tr w:rsidR="000F1A10" w:rsidRPr="00DF4CE5" w14:paraId="35966500" w14:textId="77777777" w:rsidTr="000F1A10">
        <w:tc>
          <w:tcPr>
            <w:tcW w:w="280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739A737" w14:textId="77777777" w:rsidR="000F1A10" w:rsidRPr="00DF4CE5" w:rsidRDefault="000F1A10"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Vrsta kolegija</w:t>
            </w:r>
          </w:p>
        </w:tc>
        <w:tc>
          <w:tcPr>
            <w:tcW w:w="266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9D0B543" w14:textId="77777777" w:rsidR="000F1A10" w:rsidRPr="00DF4CE5" w:rsidRDefault="000F1A10"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obvezan </w:t>
            </w:r>
          </w:p>
        </w:tc>
        <w:tc>
          <w:tcPr>
            <w:tcW w:w="1577"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26C67B5F" w14:textId="77777777" w:rsidR="000F1A10" w:rsidRPr="00DF4CE5" w:rsidRDefault="000F1A10"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Razina kolegija</w:t>
            </w:r>
          </w:p>
        </w:tc>
        <w:tc>
          <w:tcPr>
            <w:tcW w:w="2974"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777AF8C" w14:textId="77777777" w:rsidR="000F1A10" w:rsidRPr="00DF4CE5" w:rsidRDefault="000F1A10" w:rsidP="000F1A10">
            <w:pPr>
              <w:spacing w:after="0" w:line="240" w:lineRule="auto"/>
              <w:jc w:val="both"/>
              <w:rPr>
                <w:rFonts w:ascii="Cambria" w:eastAsia="Times New Roman" w:hAnsi="Cambria" w:cs="Calibri"/>
                <w:lang w:val="hr-HR"/>
              </w:rPr>
            </w:pPr>
            <w:proofErr w:type="spellStart"/>
            <w:r w:rsidRPr="00DF4CE5">
              <w:rPr>
                <w:rFonts w:ascii="Cambria" w:eastAsia="Times New Roman" w:hAnsi="Cambria" w:cs="Calibri"/>
                <w:lang w:val="it-IT"/>
              </w:rPr>
              <w:t>integrirani</w:t>
            </w:r>
            <w:proofErr w:type="spellEnd"/>
          </w:p>
        </w:tc>
      </w:tr>
      <w:tr w:rsidR="000F1A10" w:rsidRPr="00DF4CE5" w14:paraId="2E0A0117" w14:textId="77777777" w:rsidTr="000F1A10">
        <w:tc>
          <w:tcPr>
            <w:tcW w:w="280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5AD945A" w14:textId="77777777" w:rsidR="000F1A10" w:rsidRPr="00DF4CE5" w:rsidRDefault="000F1A10"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Semestar</w:t>
            </w:r>
          </w:p>
        </w:tc>
        <w:tc>
          <w:tcPr>
            <w:tcW w:w="266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F213B5A" w14:textId="13DEC59A" w:rsidR="000F1A10" w:rsidRPr="00DF4CE5" w:rsidRDefault="000F1A10" w:rsidP="000F1A10">
            <w:pPr>
              <w:spacing w:after="0" w:line="240" w:lineRule="auto"/>
              <w:jc w:val="both"/>
              <w:rPr>
                <w:rFonts w:ascii="Cambria" w:eastAsia="Times New Roman" w:hAnsi="Cambria" w:cs="Calibri"/>
                <w:lang w:val="hr-HR"/>
              </w:rPr>
            </w:pPr>
            <w:r>
              <w:rPr>
                <w:rFonts w:ascii="Cambria" w:eastAsia="Times New Roman" w:hAnsi="Cambria" w:cs="Calibri"/>
                <w:lang w:val="hr-HR"/>
              </w:rPr>
              <w:t>zimski</w:t>
            </w:r>
          </w:p>
        </w:tc>
        <w:tc>
          <w:tcPr>
            <w:tcW w:w="1577"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48EED2CC" w14:textId="77777777" w:rsidR="000F1A10" w:rsidRPr="00DF4CE5" w:rsidRDefault="000F1A10"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Godina studija</w:t>
            </w:r>
          </w:p>
        </w:tc>
        <w:tc>
          <w:tcPr>
            <w:tcW w:w="2974"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D19B38E" w14:textId="01F027B5" w:rsidR="000F1A10" w:rsidRPr="00DF4CE5" w:rsidRDefault="000F1A10"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I</w:t>
            </w:r>
            <w:r>
              <w:rPr>
                <w:rFonts w:ascii="Cambria" w:eastAsia="Times New Roman" w:hAnsi="Cambria" w:cs="Calibri"/>
                <w:lang w:val="hr-HR"/>
              </w:rPr>
              <w:t>V</w:t>
            </w:r>
            <w:r w:rsidRPr="00DF4CE5">
              <w:rPr>
                <w:rFonts w:ascii="Cambria" w:eastAsia="Times New Roman" w:hAnsi="Cambria" w:cs="Calibri"/>
                <w:lang w:val="hr-HR"/>
              </w:rPr>
              <w:t>.</w:t>
            </w:r>
          </w:p>
        </w:tc>
      </w:tr>
      <w:tr w:rsidR="000F1A10" w:rsidRPr="00DF4CE5" w14:paraId="3EEBE51E" w14:textId="77777777" w:rsidTr="000F1A10">
        <w:tc>
          <w:tcPr>
            <w:tcW w:w="280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0D8932A" w14:textId="77777777" w:rsidR="000F1A10" w:rsidRPr="00DF4CE5" w:rsidRDefault="000F1A10" w:rsidP="000F1A10">
            <w:pPr>
              <w:spacing w:after="0" w:line="240" w:lineRule="auto"/>
              <w:jc w:val="both"/>
              <w:rPr>
                <w:rFonts w:ascii="Cambria" w:eastAsia="Times New Roman" w:hAnsi="Cambria" w:cs="Calibri"/>
                <w:lang w:val="hr-HR"/>
              </w:rPr>
            </w:pPr>
            <w:proofErr w:type="spellStart"/>
            <w:r w:rsidRPr="00DF4CE5">
              <w:rPr>
                <w:rFonts w:ascii="Cambria" w:eastAsia="Times New Roman" w:hAnsi="Cambria" w:cs="Calibri"/>
              </w:rPr>
              <w:t>Mjesto</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izvođenja</w:t>
            </w:r>
            <w:proofErr w:type="spellEnd"/>
          </w:p>
        </w:tc>
        <w:tc>
          <w:tcPr>
            <w:tcW w:w="266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F929ADC" w14:textId="77777777" w:rsidR="000F1A10" w:rsidRPr="00DF4CE5" w:rsidRDefault="000F1A10"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učionica,</w:t>
            </w:r>
          </w:p>
          <w:p w14:paraId="564BB347" w14:textId="77777777" w:rsidR="000F1A10" w:rsidRPr="00DF4CE5" w:rsidRDefault="000F1A10"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vježbaonica u osnovnoj školi,</w:t>
            </w:r>
          </w:p>
          <w:p w14:paraId="31297DF7" w14:textId="77777777" w:rsidR="000F1A10" w:rsidRPr="00DF4CE5" w:rsidRDefault="000F1A10"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prostorija za javni nastup</w:t>
            </w:r>
          </w:p>
        </w:tc>
        <w:tc>
          <w:tcPr>
            <w:tcW w:w="1577"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1FD23809" w14:textId="77777777" w:rsidR="000F1A10" w:rsidRPr="00DF4CE5" w:rsidRDefault="000F1A10" w:rsidP="000F1A10">
            <w:pPr>
              <w:spacing w:after="0" w:line="240" w:lineRule="auto"/>
              <w:jc w:val="both"/>
              <w:rPr>
                <w:rFonts w:ascii="Cambria" w:eastAsia="Times New Roman" w:hAnsi="Cambria" w:cs="Calibri"/>
                <w:lang w:val="hr-HR"/>
              </w:rPr>
            </w:pPr>
            <w:r w:rsidRPr="00DF4CE5">
              <w:rPr>
                <w:rFonts w:ascii="Cambria" w:eastAsia="Times New Roman" w:hAnsi="Cambria" w:cs="Calibri"/>
              </w:rPr>
              <w:t>Jezik</w:t>
            </w:r>
            <w:r w:rsidRPr="00DF4CE5">
              <w:rPr>
                <w:rFonts w:ascii="Cambria" w:eastAsia="Times New Roman" w:hAnsi="Cambria" w:cs="Calibri"/>
                <w:lang w:val="hr-HR"/>
              </w:rPr>
              <w:t xml:space="preserve"> izvođenja (drugi jezici)</w:t>
            </w:r>
          </w:p>
        </w:tc>
        <w:tc>
          <w:tcPr>
            <w:tcW w:w="2974"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EBC79CC" w14:textId="77777777" w:rsidR="000F1A10" w:rsidRPr="00DF4CE5" w:rsidRDefault="000F1A10"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hrvatski </w:t>
            </w:r>
          </w:p>
          <w:p w14:paraId="7F9980B7" w14:textId="77777777" w:rsidR="000F1A10" w:rsidRPr="00DF4CE5" w:rsidRDefault="000F1A10"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(talijanski, slovenski)</w:t>
            </w:r>
          </w:p>
        </w:tc>
      </w:tr>
      <w:tr w:rsidR="000F1A10" w:rsidRPr="00DF4CE5" w14:paraId="06FEB3FD" w14:textId="77777777" w:rsidTr="000F1A10">
        <w:tc>
          <w:tcPr>
            <w:tcW w:w="280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AC17474" w14:textId="77777777" w:rsidR="000F1A10" w:rsidRPr="00DF4CE5" w:rsidRDefault="000F1A10"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Broj ECTS bodova</w:t>
            </w:r>
          </w:p>
        </w:tc>
        <w:tc>
          <w:tcPr>
            <w:tcW w:w="266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A9D8E0F" w14:textId="4C7E1783" w:rsidR="000F1A10" w:rsidRPr="00DF4CE5" w:rsidRDefault="000F1A10" w:rsidP="000F1A10">
            <w:pPr>
              <w:spacing w:after="0" w:line="240" w:lineRule="auto"/>
              <w:jc w:val="both"/>
              <w:rPr>
                <w:rFonts w:ascii="Cambria" w:eastAsia="Times New Roman" w:hAnsi="Cambria" w:cs="Calibri"/>
                <w:lang w:val="hr-HR"/>
              </w:rPr>
            </w:pPr>
            <w:r>
              <w:rPr>
                <w:rFonts w:ascii="Cambria" w:eastAsia="Times New Roman" w:hAnsi="Cambria" w:cs="Calibri"/>
                <w:lang w:val="hr-HR"/>
              </w:rPr>
              <w:t>4</w:t>
            </w:r>
          </w:p>
        </w:tc>
        <w:tc>
          <w:tcPr>
            <w:tcW w:w="1577"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395FC278" w14:textId="77777777" w:rsidR="000F1A10" w:rsidRPr="00DF4CE5" w:rsidRDefault="000F1A10"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Broj sati u semestru</w:t>
            </w:r>
          </w:p>
        </w:tc>
        <w:tc>
          <w:tcPr>
            <w:tcW w:w="2974"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9B45A73" w14:textId="1A1EE95E" w:rsidR="000F1A10" w:rsidRPr="00DF4CE5" w:rsidRDefault="000F1A10"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30P – 0S – </w:t>
            </w:r>
            <w:r>
              <w:rPr>
                <w:rFonts w:ascii="Cambria" w:eastAsia="Times New Roman" w:hAnsi="Cambria" w:cs="Calibri"/>
                <w:lang w:val="hr-HR"/>
              </w:rPr>
              <w:t>15</w:t>
            </w:r>
            <w:r w:rsidRPr="00DF4CE5">
              <w:rPr>
                <w:rFonts w:ascii="Cambria" w:eastAsia="Times New Roman" w:hAnsi="Cambria" w:cs="Calibri"/>
                <w:lang w:val="hr-HR"/>
              </w:rPr>
              <w:t xml:space="preserve">V   </w:t>
            </w:r>
          </w:p>
        </w:tc>
      </w:tr>
      <w:tr w:rsidR="000F1A10" w:rsidRPr="00D0399C" w14:paraId="143A7CA4" w14:textId="77777777" w:rsidTr="000F1A10">
        <w:tc>
          <w:tcPr>
            <w:tcW w:w="280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44BABF3" w14:textId="77777777" w:rsidR="000F1A10" w:rsidRPr="00DF4CE5" w:rsidRDefault="000F1A10"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Preduvjeti za upis i za svladavanje</w:t>
            </w:r>
          </w:p>
        </w:tc>
        <w:tc>
          <w:tcPr>
            <w:tcW w:w="721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6108E94" w14:textId="77777777" w:rsidR="000F1A10" w:rsidRPr="00DF4CE5" w:rsidRDefault="000F1A10"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Položeni ispiti iz Glazbene kulture, Glazbenog pisma i sviranja, Sviranja 1, Sviranja 2, Metodike glazbene kulture I.</w:t>
            </w:r>
          </w:p>
        </w:tc>
      </w:tr>
      <w:tr w:rsidR="000F1A10" w:rsidRPr="00D0399C" w14:paraId="060A8E6A" w14:textId="77777777" w:rsidTr="000F1A10">
        <w:tc>
          <w:tcPr>
            <w:tcW w:w="280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2CC4DE3" w14:textId="77777777" w:rsidR="000F1A10" w:rsidRPr="00DF4CE5" w:rsidRDefault="000F1A10" w:rsidP="000F1A10">
            <w:pPr>
              <w:spacing w:after="0" w:line="240" w:lineRule="auto"/>
              <w:jc w:val="both"/>
              <w:rPr>
                <w:rFonts w:ascii="Cambria" w:eastAsia="Times New Roman" w:hAnsi="Cambria" w:cs="Calibri"/>
                <w:lang w:val="hr-HR"/>
              </w:rPr>
            </w:pPr>
            <w:proofErr w:type="spellStart"/>
            <w:r w:rsidRPr="00DF4CE5">
              <w:rPr>
                <w:rFonts w:ascii="Cambria" w:eastAsia="Times New Roman" w:hAnsi="Cambria" w:cs="Calibri"/>
              </w:rPr>
              <w:t>Korelativnost</w:t>
            </w:r>
            <w:proofErr w:type="spellEnd"/>
          </w:p>
        </w:tc>
        <w:tc>
          <w:tcPr>
            <w:tcW w:w="721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2D4BAAF" w14:textId="77777777" w:rsidR="000F1A10" w:rsidRPr="00DF4CE5" w:rsidRDefault="000F1A10"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Glazbena kultura, Glazbeno pismo i sviranje, Sviranje I., Sviranje II., Metodika glazbene kulture I., Metodika hrvatskog jezika, Metodika likovne kulture, Metodika kineziološke kulture, Rad s darovitom djecom, Rad s djecom s posebnim potrebama</w:t>
            </w:r>
          </w:p>
        </w:tc>
      </w:tr>
      <w:tr w:rsidR="000F1A10" w:rsidRPr="00D0399C" w14:paraId="1F77186C" w14:textId="77777777" w:rsidTr="000F1A10">
        <w:tc>
          <w:tcPr>
            <w:tcW w:w="280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E062CE2" w14:textId="77777777" w:rsidR="000F1A10" w:rsidRPr="00DF4CE5" w:rsidRDefault="000F1A10"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Cilj kolegija </w:t>
            </w:r>
          </w:p>
        </w:tc>
        <w:tc>
          <w:tcPr>
            <w:tcW w:w="721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DF4B2AB" w14:textId="77777777" w:rsidR="000F1A10" w:rsidRPr="00DF4CE5" w:rsidRDefault="000F1A10"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obraditi sve organizacijske oblike rada u području pjevanja i sviranja, koristeći se glazbenom terminologijom te predstaviti naučeno javnim nastupom.</w:t>
            </w:r>
          </w:p>
        </w:tc>
      </w:tr>
      <w:tr w:rsidR="000F1A10" w:rsidRPr="00D0399C" w14:paraId="6C61046D" w14:textId="77777777" w:rsidTr="000F1A10">
        <w:tc>
          <w:tcPr>
            <w:tcW w:w="280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6F0B9F5" w14:textId="77777777" w:rsidR="000F1A10" w:rsidRPr="00DF4CE5" w:rsidRDefault="000F1A10"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Ishodi učenja</w:t>
            </w:r>
          </w:p>
        </w:tc>
        <w:tc>
          <w:tcPr>
            <w:tcW w:w="721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C1AB3DC" w14:textId="77777777" w:rsidR="000F1A10" w:rsidRPr="00DF4CE5" w:rsidRDefault="000F1A10" w:rsidP="000F1A10">
            <w:pPr>
              <w:autoSpaceDE w:val="0"/>
              <w:autoSpaceDN w:val="0"/>
              <w:adjustRightInd w:val="0"/>
              <w:spacing w:after="0" w:line="240" w:lineRule="auto"/>
              <w:jc w:val="both"/>
              <w:rPr>
                <w:rFonts w:ascii="Cambria" w:eastAsia="Times New Roman" w:hAnsi="Cambria" w:cs="Calibri"/>
                <w:lang w:val="hr-HR"/>
              </w:rPr>
            </w:pPr>
            <w:r w:rsidRPr="00DF4CE5">
              <w:rPr>
                <w:rFonts w:ascii="Cambria" w:eastAsia="Times New Roman" w:hAnsi="Cambria" w:cs="Calibri"/>
                <w:lang w:val="hr-HR"/>
              </w:rPr>
              <w:t>1. navesti prednosti i nedostatke različitih nastavnih oblika i metoda rada u glazbenoj kulturi</w:t>
            </w:r>
          </w:p>
          <w:p w14:paraId="3772E02E" w14:textId="77777777" w:rsidR="000F1A10" w:rsidRPr="00DF4CE5" w:rsidRDefault="000F1A10" w:rsidP="000F1A10">
            <w:pPr>
              <w:autoSpaceDE w:val="0"/>
              <w:autoSpaceDN w:val="0"/>
              <w:adjustRightInd w:val="0"/>
              <w:spacing w:after="0" w:line="240" w:lineRule="auto"/>
              <w:jc w:val="both"/>
              <w:rPr>
                <w:rFonts w:ascii="Cambria" w:eastAsia="Times New Roman" w:hAnsi="Cambria" w:cs="Calibri"/>
                <w:lang w:val="hr-HR"/>
              </w:rPr>
            </w:pPr>
            <w:r w:rsidRPr="00DF4CE5">
              <w:rPr>
                <w:rFonts w:ascii="Cambria" w:eastAsia="Times New Roman" w:hAnsi="Cambria" w:cs="Calibri"/>
                <w:lang w:val="hr-HR"/>
              </w:rPr>
              <w:t>2. prepoznati glazbene sposobnosti učenika</w:t>
            </w:r>
          </w:p>
          <w:p w14:paraId="4D0F15B5" w14:textId="77777777" w:rsidR="000F1A10" w:rsidRPr="00DF4CE5" w:rsidRDefault="000F1A10" w:rsidP="000F1A10">
            <w:pPr>
              <w:autoSpaceDE w:val="0"/>
              <w:autoSpaceDN w:val="0"/>
              <w:adjustRightInd w:val="0"/>
              <w:spacing w:after="0" w:line="240" w:lineRule="auto"/>
              <w:jc w:val="both"/>
              <w:rPr>
                <w:rFonts w:ascii="Cambria" w:eastAsia="Times New Roman" w:hAnsi="Cambria" w:cs="Calibri"/>
                <w:lang w:val="hr-HR"/>
              </w:rPr>
            </w:pPr>
            <w:r w:rsidRPr="00DF4CE5">
              <w:rPr>
                <w:rFonts w:ascii="Cambria" w:eastAsia="Times New Roman" w:hAnsi="Cambria" w:cs="Calibri"/>
                <w:lang w:val="hr-HR"/>
              </w:rPr>
              <w:t>3. razlikovati hrvatsko folklorno glazbovanje</w:t>
            </w:r>
          </w:p>
          <w:p w14:paraId="56C0A827" w14:textId="77777777" w:rsidR="000F1A10" w:rsidRPr="00DF4CE5" w:rsidRDefault="000F1A10" w:rsidP="000F1A10">
            <w:pPr>
              <w:autoSpaceDE w:val="0"/>
              <w:autoSpaceDN w:val="0"/>
              <w:adjustRightInd w:val="0"/>
              <w:spacing w:after="0" w:line="240" w:lineRule="auto"/>
              <w:jc w:val="both"/>
              <w:rPr>
                <w:rFonts w:ascii="Cambria" w:eastAsia="Times New Roman" w:hAnsi="Cambria" w:cs="Calibri"/>
                <w:lang w:val="hr-HR"/>
              </w:rPr>
            </w:pPr>
            <w:r w:rsidRPr="00DF4CE5">
              <w:rPr>
                <w:rFonts w:ascii="Cambria" w:eastAsia="Times New Roman" w:hAnsi="Cambria" w:cs="Calibri"/>
                <w:lang w:val="hr-HR"/>
              </w:rPr>
              <w:t>4. prepoznati kod učenika glazbeni sluh, ritam i glazbenu memoriju pjevanjem, sviranjem i radom na brojalici</w:t>
            </w:r>
          </w:p>
          <w:p w14:paraId="37FFD37C" w14:textId="77777777" w:rsidR="000F1A10" w:rsidRPr="00DF4CE5" w:rsidRDefault="000F1A10" w:rsidP="000F1A10">
            <w:pPr>
              <w:autoSpaceDE w:val="0"/>
              <w:autoSpaceDN w:val="0"/>
              <w:adjustRightInd w:val="0"/>
              <w:spacing w:after="0" w:line="240" w:lineRule="auto"/>
              <w:jc w:val="both"/>
              <w:rPr>
                <w:rFonts w:ascii="Cambria" w:eastAsia="Times New Roman" w:hAnsi="Cambria" w:cs="Calibri"/>
                <w:lang w:val="hr-HR"/>
              </w:rPr>
            </w:pPr>
            <w:r w:rsidRPr="00DF4CE5">
              <w:rPr>
                <w:rFonts w:ascii="Cambria" w:eastAsia="Times New Roman" w:hAnsi="Cambria" w:cs="Calibri"/>
                <w:lang w:val="hr-HR"/>
              </w:rPr>
              <w:t>5. demonstrirati znanja iz teorije glazbe, glazbene umjetnosti, pjevanja i sviranja na teorijskoj i praktičnoj razini</w:t>
            </w:r>
          </w:p>
        </w:tc>
      </w:tr>
      <w:tr w:rsidR="000F1A10" w:rsidRPr="00D0399C" w14:paraId="0F049C39" w14:textId="77777777" w:rsidTr="000F1A10">
        <w:tc>
          <w:tcPr>
            <w:tcW w:w="2806"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60F3B545" w14:textId="77777777" w:rsidR="000F1A10" w:rsidRPr="00DF4CE5" w:rsidRDefault="000F1A10"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Sadržaj kolegija</w:t>
            </w:r>
          </w:p>
        </w:tc>
        <w:tc>
          <w:tcPr>
            <w:tcW w:w="7214"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07DF2A9" w14:textId="77777777" w:rsidR="000F1A10" w:rsidRPr="00DF4CE5" w:rsidRDefault="000F1A10"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1. različiti pristupi nastavi glazbene kulture</w:t>
            </w:r>
          </w:p>
          <w:p w14:paraId="7AD2E1A8" w14:textId="77777777" w:rsidR="000F1A10" w:rsidRPr="00DF4CE5" w:rsidRDefault="000F1A10"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2. glazbena kultura u nižim razredima osnovne škole</w:t>
            </w:r>
          </w:p>
          <w:p w14:paraId="0727E6F1" w14:textId="77777777" w:rsidR="000F1A10" w:rsidRPr="00DF4CE5" w:rsidRDefault="000F1A10"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3. ishodi u nastavi glazbene kultura u nižim razredima osnovne škole</w:t>
            </w:r>
          </w:p>
          <w:p w14:paraId="20D362C6" w14:textId="77777777" w:rsidR="000F1A10" w:rsidRPr="00DF4CE5" w:rsidRDefault="000F1A10"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4. glazbene sposobnosti</w:t>
            </w:r>
          </w:p>
          <w:p w14:paraId="68811ABF" w14:textId="77777777" w:rsidR="000F1A10" w:rsidRPr="00DF4CE5" w:rsidRDefault="000F1A10"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5. pjevanje kao područje glazbene kulture</w:t>
            </w:r>
          </w:p>
          <w:p w14:paraId="3BEC02E7" w14:textId="77777777" w:rsidR="000F1A10" w:rsidRPr="00DF4CE5" w:rsidRDefault="000F1A10"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6. postupak učenja pjevanja po sluhu</w:t>
            </w:r>
          </w:p>
          <w:p w14:paraId="683838E0" w14:textId="77777777" w:rsidR="000F1A10" w:rsidRPr="00DF4CE5" w:rsidRDefault="000F1A10"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7. glazbeni instrumenti</w:t>
            </w:r>
          </w:p>
          <w:p w14:paraId="4FEAC4DD" w14:textId="77777777" w:rsidR="000F1A10" w:rsidRPr="00DF4CE5" w:rsidRDefault="000F1A10"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8. sviranje kao područje glazbene kulture</w:t>
            </w:r>
          </w:p>
          <w:p w14:paraId="7C8F23CE" w14:textId="77777777" w:rsidR="000F1A10" w:rsidRPr="00DF4CE5" w:rsidRDefault="000F1A10"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9. brojalice</w:t>
            </w:r>
          </w:p>
          <w:p w14:paraId="1A5D87A8" w14:textId="77777777" w:rsidR="000F1A10" w:rsidRPr="00DF4CE5" w:rsidRDefault="000F1A10"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10.  zapažanje izražajnih elemenata</w:t>
            </w:r>
          </w:p>
          <w:p w14:paraId="1129E837" w14:textId="77777777" w:rsidR="000F1A10" w:rsidRPr="00DF4CE5" w:rsidRDefault="000F1A10"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11. hrvatska folklorna glazba</w:t>
            </w:r>
          </w:p>
          <w:p w14:paraId="0FBE3198" w14:textId="77777777" w:rsidR="000F1A10" w:rsidRPr="00DF4CE5" w:rsidRDefault="000F1A10"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12. priprema za nastup i javni nastup</w:t>
            </w:r>
          </w:p>
          <w:p w14:paraId="0E813CC2" w14:textId="77777777" w:rsidR="000F1A10" w:rsidRPr="00DF4CE5" w:rsidRDefault="000F1A10"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lastRenderedPageBreak/>
              <w:t>13. terenska nastava (kazalište, koncert, glazbena zavičajna nastava)</w:t>
            </w:r>
          </w:p>
        </w:tc>
      </w:tr>
      <w:tr w:rsidR="000F1A10" w:rsidRPr="00DF4CE5" w14:paraId="0E9B6942" w14:textId="77777777" w:rsidTr="000F1A10">
        <w:tc>
          <w:tcPr>
            <w:tcW w:w="2806"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hideMark/>
          </w:tcPr>
          <w:p w14:paraId="3EE9DD98" w14:textId="77777777" w:rsidR="000F1A10" w:rsidRPr="00DF4CE5" w:rsidRDefault="000F1A10"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lastRenderedPageBreak/>
              <w:t>Planirane aktivnosti,</w:t>
            </w:r>
          </w:p>
          <w:p w14:paraId="2CE6F479" w14:textId="77777777" w:rsidR="000F1A10" w:rsidRPr="00DF4CE5" w:rsidRDefault="000F1A10" w:rsidP="000F1A10">
            <w:pPr>
              <w:spacing w:after="0" w:line="240" w:lineRule="auto"/>
              <w:jc w:val="both"/>
              <w:rPr>
                <w:rFonts w:ascii="Cambria" w:eastAsia="Times New Roman" w:hAnsi="Cambria" w:cs="Calibri"/>
                <w:lang w:val="hr-HR"/>
              </w:rPr>
            </w:pPr>
            <w:proofErr w:type="spellStart"/>
            <w:r w:rsidRPr="00DF4CE5">
              <w:rPr>
                <w:rFonts w:ascii="Cambria" w:eastAsia="Times New Roman" w:hAnsi="Cambria" w:cs="Calibri"/>
                <w:lang w:val="it-IT"/>
              </w:rPr>
              <w:t>metode</w:t>
            </w:r>
            <w:proofErr w:type="spellEnd"/>
            <w:r w:rsidRPr="00DF4CE5">
              <w:rPr>
                <w:rFonts w:ascii="Cambria" w:eastAsia="Times New Roman" w:hAnsi="Cambria" w:cs="Calibri"/>
                <w:lang w:val="hr-HR"/>
              </w:rPr>
              <w:t xml:space="preserve"> učenja i poučavanja i načini vrednovanja</w:t>
            </w:r>
          </w:p>
        </w:tc>
        <w:tc>
          <w:tcPr>
            <w:tcW w:w="2768"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33DA125" w14:textId="77777777" w:rsidR="000F1A10" w:rsidRPr="00DF4CE5" w:rsidRDefault="000F1A10" w:rsidP="000F1A10">
            <w:pPr>
              <w:spacing w:after="0" w:line="240" w:lineRule="auto"/>
              <w:jc w:val="both"/>
              <w:rPr>
                <w:rFonts w:ascii="Cambria" w:eastAsia="Times New Roman" w:hAnsi="Cambria" w:cs="Calibri"/>
                <w:lang w:val="hr-HR"/>
              </w:rPr>
            </w:pPr>
            <w:r w:rsidRPr="00DF4CE5">
              <w:rPr>
                <w:rFonts w:ascii="Cambria" w:eastAsia="Times New Roman" w:hAnsi="Cambria" w:cs="Calibri"/>
                <w:bCs/>
                <w:lang w:val="hr-HR"/>
              </w:rPr>
              <w:t>Obveze</w:t>
            </w:r>
          </w:p>
        </w:tc>
        <w:tc>
          <w:tcPr>
            <w:tcW w:w="11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E5BE474" w14:textId="77777777" w:rsidR="000F1A10" w:rsidRPr="00DF4CE5" w:rsidRDefault="000F1A10" w:rsidP="000F1A10">
            <w:pPr>
              <w:spacing w:after="0" w:line="240" w:lineRule="auto"/>
              <w:jc w:val="both"/>
              <w:rPr>
                <w:rFonts w:ascii="Cambria" w:eastAsia="Times New Roman" w:hAnsi="Cambria" w:cs="Calibri"/>
                <w:lang w:val="hr-HR"/>
              </w:rPr>
            </w:pPr>
            <w:r w:rsidRPr="00DF4CE5">
              <w:rPr>
                <w:rFonts w:ascii="Cambria" w:eastAsia="Times New Roman" w:hAnsi="Cambria" w:cs="Calibri"/>
                <w:bCs/>
                <w:lang w:val="hr-HR"/>
              </w:rPr>
              <w:t>Ishodi</w:t>
            </w:r>
          </w:p>
        </w:tc>
        <w:tc>
          <w:tcPr>
            <w:tcW w:w="77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6581215" w14:textId="77777777" w:rsidR="000F1A10" w:rsidRPr="00DF4CE5" w:rsidRDefault="000F1A10" w:rsidP="000F1A10">
            <w:pPr>
              <w:spacing w:after="0" w:line="240" w:lineRule="auto"/>
              <w:jc w:val="both"/>
              <w:rPr>
                <w:rFonts w:ascii="Cambria" w:eastAsia="Times New Roman" w:hAnsi="Cambria" w:cs="Calibri"/>
                <w:lang w:val="hr-HR"/>
              </w:rPr>
            </w:pPr>
            <w:r w:rsidRPr="00DF4CE5">
              <w:rPr>
                <w:rFonts w:ascii="Cambria" w:eastAsia="Times New Roman" w:hAnsi="Cambria" w:cs="Calibri"/>
                <w:bCs/>
                <w:lang w:val="hr-HR"/>
              </w:rPr>
              <w:t>Sati</w:t>
            </w:r>
          </w:p>
        </w:tc>
        <w:tc>
          <w:tcPr>
            <w:tcW w:w="108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BBA5E3B" w14:textId="77777777" w:rsidR="000F1A10" w:rsidRPr="00DF4CE5" w:rsidRDefault="000F1A10" w:rsidP="000F1A10">
            <w:pPr>
              <w:spacing w:after="0" w:line="240" w:lineRule="auto"/>
              <w:jc w:val="both"/>
              <w:rPr>
                <w:rFonts w:ascii="Cambria" w:eastAsia="Times New Roman" w:hAnsi="Cambria" w:cs="Calibri"/>
                <w:lang w:val="hr-HR"/>
              </w:rPr>
            </w:pPr>
            <w:r w:rsidRPr="00DF4CE5">
              <w:rPr>
                <w:rFonts w:ascii="Cambria" w:eastAsia="Times New Roman" w:hAnsi="Cambria" w:cs="Calibri"/>
                <w:bCs/>
                <w:lang w:val="hr-HR"/>
              </w:rPr>
              <w:t>ECTS</w:t>
            </w:r>
          </w:p>
        </w:tc>
        <w:tc>
          <w:tcPr>
            <w:tcW w:w="141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7BDFCE3" w14:textId="77777777" w:rsidR="000F1A10" w:rsidRPr="00DF4CE5" w:rsidRDefault="000F1A10" w:rsidP="000F1A10">
            <w:pPr>
              <w:spacing w:after="0" w:line="240" w:lineRule="auto"/>
              <w:jc w:val="both"/>
              <w:rPr>
                <w:rFonts w:ascii="Cambria" w:eastAsia="Times New Roman" w:hAnsi="Cambria" w:cs="Calibri"/>
                <w:lang w:val="hr-HR"/>
              </w:rPr>
            </w:pPr>
            <w:r w:rsidRPr="00DF4CE5">
              <w:rPr>
                <w:rFonts w:ascii="Cambria" w:eastAsia="Times New Roman" w:hAnsi="Cambria" w:cs="Calibri"/>
                <w:bCs/>
                <w:lang w:val="hr-HR"/>
              </w:rPr>
              <w:t>Maksimalni udio u ocjeni</w:t>
            </w:r>
            <w:r w:rsidRPr="00DF4CE5">
              <w:rPr>
                <w:rFonts w:ascii="Cambria" w:eastAsia="Times New Roman" w:hAnsi="Cambria" w:cs="Calibri"/>
                <w:bCs/>
              </w:rPr>
              <w:t xml:space="preserve"> (%)</w:t>
            </w:r>
          </w:p>
        </w:tc>
      </w:tr>
      <w:tr w:rsidR="000F1A10" w:rsidRPr="00DF4CE5" w14:paraId="13463A20" w14:textId="77777777" w:rsidTr="000F1A10">
        <w:tc>
          <w:tcPr>
            <w:tcW w:w="2806" w:type="dxa"/>
            <w:vMerge/>
            <w:tcBorders>
              <w:left w:val="single" w:sz="8" w:space="0" w:color="000000"/>
              <w:right w:val="single" w:sz="8" w:space="0" w:color="000000"/>
            </w:tcBorders>
            <w:vAlign w:val="center"/>
            <w:hideMark/>
          </w:tcPr>
          <w:p w14:paraId="7B21C5D1" w14:textId="77777777" w:rsidR="000F1A10" w:rsidRPr="00DF4CE5" w:rsidRDefault="000F1A10" w:rsidP="000F1A10">
            <w:pPr>
              <w:spacing w:after="0" w:line="240" w:lineRule="auto"/>
              <w:jc w:val="both"/>
              <w:rPr>
                <w:rFonts w:ascii="Cambria" w:eastAsia="Times New Roman" w:hAnsi="Cambria" w:cs="Calibri"/>
                <w:lang w:val="hr-HR"/>
              </w:rPr>
            </w:pPr>
          </w:p>
        </w:tc>
        <w:tc>
          <w:tcPr>
            <w:tcW w:w="2768"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9AECFA5" w14:textId="77777777" w:rsidR="000F1A10" w:rsidRPr="00DF4CE5" w:rsidRDefault="000F1A10" w:rsidP="000F1A10">
            <w:pPr>
              <w:spacing w:after="0" w:line="240" w:lineRule="auto"/>
              <w:jc w:val="both"/>
              <w:rPr>
                <w:rFonts w:ascii="Cambria" w:eastAsia="Times New Roman" w:hAnsi="Cambria" w:cs="Calibri"/>
                <w:lang w:val="hr-HR"/>
              </w:rPr>
            </w:pPr>
            <w:proofErr w:type="spellStart"/>
            <w:r w:rsidRPr="00DF4CE5">
              <w:rPr>
                <w:rFonts w:ascii="Cambria" w:eastAsia="Times New Roman" w:hAnsi="Cambria" w:cs="Calibri"/>
              </w:rPr>
              <w:t>aktivnost</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na</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nastavi</w:t>
            </w:r>
            <w:proofErr w:type="spellEnd"/>
          </w:p>
        </w:tc>
        <w:tc>
          <w:tcPr>
            <w:tcW w:w="11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260DC5D" w14:textId="77777777" w:rsidR="000F1A10" w:rsidRPr="00DF4CE5" w:rsidRDefault="000F1A10"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1. </w:t>
            </w:r>
            <w:r>
              <w:rPr>
                <w:rFonts w:ascii="Cambria" w:eastAsia="Times New Roman" w:hAnsi="Cambria" w:cs="Calibri"/>
                <w:lang w:val="hr-HR"/>
              </w:rPr>
              <w:t>–</w:t>
            </w:r>
            <w:r w:rsidRPr="00DF4CE5">
              <w:rPr>
                <w:rFonts w:ascii="Cambria" w:eastAsia="Times New Roman" w:hAnsi="Cambria" w:cs="Calibri"/>
                <w:lang w:val="hr-HR"/>
              </w:rPr>
              <w:t xml:space="preserve"> 5.</w:t>
            </w:r>
          </w:p>
        </w:tc>
        <w:tc>
          <w:tcPr>
            <w:tcW w:w="77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8F29314" w14:textId="77777777" w:rsidR="000F1A10" w:rsidRPr="00DF4CE5" w:rsidRDefault="000F1A10" w:rsidP="000F1A10">
            <w:pPr>
              <w:spacing w:after="0" w:line="240" w:lineRule="auto"/>
              <w:jc w:val="center"/>
              <w:rPr>
                <w:rFonts w:ascii="Cambria" w:eastAsia="Times New Roman" w:hAnsi="Cambria" w:cs="Calibri"/>
                <w:lang w:val="hr-HR"/>
              </w:rPr>
            </w:pPr>
            <w:r>
              <w:rPr>
                <w:rFonts w:ascii="Cambria" w:eastAsia="Times New Roman" w:hAnsi="Cambria" w:cs="Calibri"/>
                <w:lang w:val="hr-HR"/>
              </w:rPr>
              <w:t>45</w:t>
            </w:r>
          </w:p>
        </w:tc>
        <w:tc>
          <w:tcPr>
            <w:tcW w:w="108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D01686B" w14:textId="77777777" w:rsidR="000F1A10" w:rsidRPr="00DF4CE5" w:rsidRDefault="000F1A10" w:rsidP="000F1A10">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1,</w:t>
            </w:r>
            <w:r>
              <w:rPr>
                <w:rFonts w:ascii="Cambria" w:eastAsia="Times New Roman" w:hAnsi="Cambria" w:cs="Calibri"/>
                <w:lang w:val="hr-HR"/>
              </w:rPr>
              <w:t>5</w:t>
            </w:r>
          </w:p>
        </w:tc>
        <w:tc>
          <w:tcPr>
            <w:tcW w:w="141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A0F97FB" w14:textId="77777777" w:rsidR="000F1A10" w:rsidRPr="00DF4CE5" w:rsidRDefault="000F1A10" w:rsidP="000F1A10">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10 %</w:t>
            </w:r>
          </w:p>
        </w:tc>
      </w:tr>
      <w:tr w:rsidR="000F1A10" w:rsidRPr="00DF4CE5" w14:paraId="127C476E" w14:textId="77777777" w:rsidTr="000F1A10">
        <w:tc>
          <w:tcPr>
            <w:tcW w:w="2806" w:type="dxa"/>
            <w:vMerge/>
            <w:tcBorders>
              <w:left w:val="single" w:sz="8" w:space="0" w:color="000000"/>
              <w:right w:val="single" w:sz="8" w:space="0" w:color="000000"/>
            </w:tcBorders>
            <w:vAlign w:val="center"/>
            <w:hideMark/>
          </w:tcPr>
          <w:p w14:paraId="08308B1C" w14:textId="77777777" w:rsidR="000F1A10" w:rsidRPr="00DF4CE5" w:rsidRDefault="000F1A10" w:rsidP="000F1A10">
            <w:pPr>
              <w:spacing w:after="0" w:line="240" w:lineRule="auto"/>
              <w:jc w:val="both"/>
              <w:rPr>
                <w:rFonts w:ascii="Cambria" w:eastAsia="Times New Roman" w:hAnsi="Cambria" w:cs="Calibri"/>
                <w:lang w:val="hr-HR"/>
              </w:rPr>
            </w:pPr>
          </w:p>
        </w:tc>
        <w:tc>
          <w:tcPr>
            <w:tcW w:w="2768"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9556E77" w14:textId="77777777" w:rsidR="000F1A10" w:rsidRPr="00DF4CE5" w:rsidRDefault="000F1A10"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izrada četiri priprave za nastup</w:t>
            </w:r>
          </w:p>
        </w:tc>
        <w:tc>
          <w:tcPr>
            <w:tcW w:w="11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D7B9508" w14:textId="77777777" w:rsidR="000F1A10" w:rsidRPr="00DF4CE5" w:rsidRDefault="000F1A10"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1. </w:t>
            </w:r>
            <w:r>
              <w:rPr>
                <w:rFonts w:ascii="Cambria" w:eastAsia="Times New Roman" w:hAnsi="Cambria" w:cs="Calibri"/>
                <w:lang w:val="hr-HR"/>
              </w:rPr>
              <w:t>–</w:t>
            </w:r>
            <w:r w:rsidRPr="00DF4CE5">
              <w:rPr>
                <w:rFonts w:ascii="Cambria" w:eastAsia="Times New Roman" w:hAnsi="Cambria" w:cs="Calibri"/>
                <w:lang w:val="hr-HR"/>
              </w:rPr>
              <w:t xml:space="preserve"> 5.</w:t>
            </w:r>
          </w:p>
        </w:tc>
        <w:tc>
          <w:tcPr>
            <w:tcW w:w="77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91150E3" w14:textId="77777777" w:rsidR="000F1A10" w:rsidRPr="00DF4CE5" w:rsidRDefault="000F1A10" w:rsidP="000F1A10">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30</w:t>
            </w:r>
          </w:p>
        </w:tc>
        <w:tc>
          <w:tcPr>
            <w:tcW w:w="108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858ED67" w14:textId="77777777" w:rsidR="000F1A10" w:rsidRPr="00DF4CE5" w:rsidRDefault="000F1A10" w:rsidP="000F1A10">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1</w:t>
            </w:r>
          </w:p>
        </w:tc>
        <w:tc>
          <w:tcPr>
            <w:tcW w:w="141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6987990" w14:textId="29ED2063" w:rsidR="000F1A10" w:rsidRPr="00DF4CE5" w:rsidRDefault="000F1A10" w:rsidP="000F1A10">
            <w:pPr>
              <w:spacing w:after="0" w:line="240" w:lineRule="auto"/>
              <w:jc w:val="center"/>
              <w:rPr>
                <w:rFonts w:ascii="Cambria" w:eastAsia="Times New Roman" w:hAnsi="Cambria" w:cs="Calibri"/>
                <w:lang w:val="hr-HR"/>
              </w:rPr>
            </w:pPr>
            <w:r>
              <w:rPr>
                <w:rFonts w:ascii="Cambria" w:eastAsia="Times New Roman" w:hAnsi="Cambria" w:cs="Calibri"/>
                <w:lang w:val="hr-HR"/>
              </w:rPr>
              <w:t>4</w:t>
            </w:r>
            <w:r w:rsidRPr="00DF4CE5">
              <w:rPr>
                <w:rFonts w:ascii="Cambria" w:eastAsia="Times New Roman" w:hAnsi="Cambria" w:cs="Calibri"/>
                <w:lang w:val="hr-HR"/>
              </w:rPr>
              <w:t>0 %</w:t>
            </w:r>
          </w:p>
        </w:tc>
      </w:tr>
      <w:tr w:rsidR="000F1A10" w:rsidRPr="00DF4CE5" w14:paraId="16956B22" w14:textId="77777777" w:rsidTr="000F1A10">
        <w:trPr>
          <w:trHeight w:val="307"/>
        </w:trPr>
        <w:tc>
          <w:tcPr>
            <w:tcW w:w="2806" w:type="dxa"/>
            <w:vMerge/>
            <w:tcBorders>
              <w:left w:val="single" w:sz="8" w:space="0" w:color="000000"/>
              <w:right w:val="single" w:sz="8" w:space="0" w:color="000000"/>
            </w:tcBorders>
            <w:vAlign w:val="center"/>
            <w:hideMark/>
          </w:tcPr>
          <w:p w14:paraId="44CD10B1" w14:textId="77777777" w:rsidR="000F1A10" w:rsidRPr="00DF4CE5" w:rsidRDefault="000F1A10" w:rsidP="000F1A10">
            <w:pPr>
              <w:spacing w:after="0" w:line="240" w:lineRule="auto"/>
              <w:jc w:val="both"/>
              <w:rPr>
                <w:rFonts w:ascii="Cambria" w:eastAsia="Times New Roman" w:hAnsi="Cambria" w:cs="Calibri"/>
                <w:lang w:val="hr-HR"/>
              </w:rPr>
            </w:pPr>
          </w:p>
        </w:tc>
        <w:tc>
          <w:tcPr>
            <w:tcW w:w="2768"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A0625F4" w14:textId="77777777" w:rsidR="000F1A10" w:rsidRPr="00DF4CE5" w:rsidRDefault="000F1A10"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generalna proba i nastup</w:t>
            </w:r>
          </w:p>
        </w:tc>
        <w:tc>
          <w:tcPr>
            <w:tcW w:w="11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8EAB857" w14:textId="77777777" w:rsidR="000F1A10" w:rsidRPr="00DF4CE5" w:rsidRDefault="000F1A10"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1. </w:t>
            </w:r>
            <w:r>
              <w:rPr>
                <w:rFonts w:ascii="Cambria" w:eastAsia="Times New Roman" w:hAnsi="Cambria" w:cs="Calibri"/>
                <w:lang w:val="hr-HR"/>
              </w:rPr>
              <w:t>–</w:t>
            </w:r>
            <w:r w:rsidRPr="00DF4CE5">
              <w:rPr>
                <w:rFonts w:ascii="Cambria" w:eastAsia="Times New Roman" w:hAnsi="Cambria" w:cs="Calibri"/>
                <w:lang w:val="hr-HR"/>
              </w:rPr>
              <w:t xml:space="preserve"> 5.</w:t>
            </w:r>
          </w:p>
        </w:tc>
        <w:tc>
          <w:tcPr>
            <w:tcW w:w="77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FAEAC02" w14:textId="77777777" w:rsidR="000F1A10" w:rsidRPr="00DF4CE5" w:rsidRDefault="000F1A10" w:rsidP="000F1A10">
            <w:pPr>
              <w:spacing w:after="0" w:line="240" w:lineRule="auto"/>
              <w:jc w:val="center"/>
              <w:rPr>
                <w:rFonts w:ascii="Cambria" w:eastAsia="Times New Roman" w:hAnsi="Cambria" w:cs="Calibri"/>
                <w:lang w:val="hr-HR"/>
              </w:rPr>
            </w:pPr>
            <w:r>
              <w:rPr>
                <w:rFonts w:ascii="Cambria" w:eastAsia="Times New Roman" w:hAnsi="Cambria" w:cs="Calibri"/>
                <w:lang w:val="hr-HR"/>
              </w:rPr>
              <w:t>30</w:t>
            </w:r>
          </w:p>
        </w:tc>
        <w:tc>
          <w:tcPr>
            <w:tcW w:w="108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B09B0B9" w14:textId="77777777" w:rsidR="000F1A10" w:rsidRPr="00DF4CE5" w:rsidRDefault="000F1A10" w:rsidP="000F1A10">
            <w:pPr>
              <w:spacing w:after="0" w:line="240" w:lineRule="auto"/>
              <w:jc w:val="center"/>
              <w:rPr>
                <w:rFonts w:ascii="Cambria" w:eastAsia="Times New Roman" w:hAnsi="Cambria" w:cs="Calibri"/>
                <w:lang w:val="hr-HR"/>
              </w:rPr>
            </w:pPr>
            <w:r>
              <w:rPr>
                <w:rFonts w:ascii="Cambria" w:eastAsia="Times New Roman" w:hAnsi="Cambria" w:cs="Calibri"/>
                <w:lang w:val="hr-HR"/>
              </w:rPr>
              <w:t>1</w:t>
            </w:r>
          </w:p>
        </w:tc>
        <w:tc>
          <w:tcPr>
            <w:tcW w:w="141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DCDADE8" w14:textId="5ABE78C5" w:rsidR="000F1A10" w:rsidRPr="00DF4CE5" w:rsidRDefault="000F1A10" w:rsidP="000F1A10">
            <w:pPr>
              <w:spacing w:after="0" w:line="240" w:lineRule="auto"/>
              <w:jc w:val="center"/>
              <w:rPr>
                <w:rFonts w:ascii="Cambria" w:eastAsia="Times New Roman" w:hAnsi="Cambria" w:cs="Calibri"/>
                <w:lang w:val="hr-HR"/>
              </w:rPr>
            </w:pPr>
            <w:r>
              <w:rPr>
                <w:rFonts w:ascii="Cambria" w:eastAsia="Times New Roman" w:hAnsi="Cambria" w:cs="Calibri"/>
                <w:lang w:val="hr-HR"/>
              </w:rPr>
              <w:t>3</w:t>
            </w:r>
            <w:r w:rsidRPr="00DF4CE5">
              <w:rPr>
                <w:rFonts w:ascii="Cambria" w:eastAsia="Times New Roman" w:hAnsi="Cambria" w:cs="Calibri"/>
                <w:lang w:val="hr-HR"/>
              </w:rPr>
              <w:t>0 %</w:t>
            </w:r>
          </w:p>
        </w:tc>
      </w:tr>
      <w:tr w:rsidR="000F1A10" w:rsidRPr="00DF4CE5" w14:paraId="7A9697D2" w14:textId="77777777" w:rsidTr="000F1A10">
        <w:trPr>
          <w:trHeight w:val="307"/>
        </w:trPr>
        <w:tc>
          <w:tcPr>
            <w:tcW w:w="2806" w:type="dxa"/>
            <w:vMerge/>
            <w:tcBorders>
              <w:left w:val="single" w:sz="8" w:space="0" w:color="000000"/>
              <w:right w:val="single" w:sz="8" w:space="0" w:color="000000"/>
            </w:tcBorders>
            <w:vAlign w:val="center"/>
          </w:tcPr>
          <w:p w14:paraId="7D3BC69F" w14:textId="77777777" w:rsidR="000F1A10" w:rsidRPr="00DF4CE5" w:rsidRDefault="000F1A10" w:rsidP="000F1A10">
            <w:pPr>
              <w:spacing w:after="0" w:line="240" w:lineRule="auto"/>
              <w:jc w:val="both"/>
              <w:rPr>
                <w:rFonts w:ascii="Cambria" w:eastAsia="Times New Roman" w:hAnsi="Cambria" w:cs="Calibri"/>
                <w:lang w:val="hr-HR"/>
              </w:rPr>
            </w:pPr>
          </w:p>
        </w:tc>
        <w:tc>
          <w:tcPr>
            <w:tcW w:w="2768"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93FC8B4" w14:textId="3AC91937" w:rsidR="000F1A10" w:rsidRPr="00DF4CE5" w:rsidRDefault="000F1A10"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pismeni ispit</w:t>
            </w:r>
            <w:r>
              <w:rPr>
                <w:rFonts w:ascii="Cambria" w:eastAsia="Times New Roman" w:hAnsi="Cambria" w:cs="Calibri"/>
                <w:lang w:val="hr-HR"/>
              </w:rPr>
              <w:t xml:space="preserve"> i usmeni ispit</w:t>
            </w:r>
          </w:p>
        </w:tc>
        <w:tc>
          <w:tcPr>
            <w:tcW w:w="11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F03A6D7" w14:textId="77777777" w:rsidR="000F1A10" w:rsidRPr="00DF4CE5" w:rsidRDefault="000F1A10"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1. </w:t>
            </w:r>
            <w:r>
              <w:rPr>
                <w:rFonts w:ascii="Cambria" w:eastAsia="Times New Roman" w:hAnsi="Cambria" w:cs="Calibri"/>
                <w:lang w:val="hr-HR"/>
              </w:rPr>
              <w:t>–</w:t>
            </w:r>
            <w:r w:rsidRPr="00DF4CE5">
              <w:rPr>
                <w:rFonts w:ascii="Cambria" w:eastAsia="Times New Roman" w:hAnsi="Cambria" w:cs="Calibri"/>
                <w:lang w:val="hr-HR"/>
              </w:rPr>
              <w:t xml:space="preserve"> 5.</w:t>
            </w:r>
          </w:p>
        </w:tc>
        <w:tc>
          <w:tcPr>
            <w:tcW w:w="77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A244CE9" w14:textId="77777777" w:rsidR="000F1A10" w:rsidRPr="00DF4CE5" w:rsidRDefault="000F1A10" w:rsidP="000F1A10">
            <w:pPr>
              <w:spacing w:after="0" w:line="240" w:lineRule="auto"/>
              <w:jc w:val="center"/>
              <w:rPr>
                <w:rFonts w:ascii="Cambria" w:eastAsia="Times New Roman" w:hAnsi="Cambria" w:cs="Calibri"/>
                <w:lang w:val="hr-HR"/>
              </w:rPr>
            </w:pPr>
            <w:r>
              <w:rPr>
                <w:rFonts w:ascii="Cambria" w:eastAsia="Times New Roman" w:hAnsi="Cambria" w:cs="Calibri"/>
                <w:lang w:val="hr-HR"/>
              </w:rPr>
              <w:t>15</w:t>
            </w:r>
          </w:p>
        </w:tc>
        <w:tc>
          <w:tcPr>
            <w:tcW w:w="108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DA77970" w14:textId="77777777" w:rsidR="000F1A10" w:rsidRPr="00DF4CE5" w:rsidRDefault="000F1A10" w:rsidP="000F1A10">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0,</w:t>
            </w:r>
            <w:r>
              <w:rPr>
                <w:rFonts w:ascii="Cambria" w:eastAsia="Times New Roman" w:hAnsi="Cambria" w:cs="Calibri"/>
                <w:lang w:val="hr-HR"/>
              </w:rPr>
              <w:t>5</w:t>
            </w:r>
          </w:p>
        </w:tc>
        <w:tc>
          <w:tcPr>
            <w:tcW w:w="141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CEA7BA7" w14:textId="77777777" w:rsidR="000F1A10" w:rsidRPr="00DF4CE5" w:rsidRDefault="000F1A10" w:rsidP="000F1A10">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20 %</w:t>
            </w:r>
          </w:p>
        </w:tc>
      </w:tr>
      <w:tr w:rsidR="000F1A10" w:rsidRPr="00DF4CE5" w14:paraId="7E80CD47" w14:textId="77777777" w:rsidTr="000F1A10">
        <w:tc>
          <w:tcPr>
            <w:tcW w:w="2806" w:type="dxa"/>
            <w:vMerge/>
            <w:tcBorders>
              <w:left w:val="single" w:sz="8" w:space="0" w:color="000000"/>
              <w:right w:val="single" w:sz="8" w:space="0" w:color="000000"/>
            </w:tcBorders>
            <w:vAlign w:val="center"/>
            <w:hideMark/>
          </w:tcPr>
          <w:p w14:paraId="0A2B1F8B" w14:textId="77777777" w:rsidR="000F1A10" w:rsidRPr="00DF4CE5" w:rsidRDefault="000F1A10" w:rsidP="000F1A10">
            <w:pPr>
              <w:spacing w:after="0" w:line="240" w:lineRule="auto"/>
              <w:jc w:val="both"/>
              <w:rPr>
                <w:rFonts w:ascii="Cambria" w:eastAsia="Times New Roman" w:hAnsi="Cambria" w:cs="Calibri"/>
                <w:lang w:val="hr-HR"/>
              </w:rPr>
            </w:pPr>
          </w:p>
        </w:tc>
        <w:tc>
          <w:tcPr>
            <w:tcW w:w="3940"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365C8CD" w14:textId="77777777" w:rsidR="000F1A10" w:rsidRPr="00DF4CE5" w:rsidRDefault="000F1A10" w:rsidP="000F1A10">
            <w:pPr>
              <w:spacing w:after="0" w:line="240" w:lineRule="auto"/>
              <w:jc w:val="both"/>
              <w:rPr>
                <w:rFonts w:ascii="Cambria" w:eastAsia="Times New Roman" w:hAnsi="Cambria" w:cs="Calibri"/>
                <w:lang w:val="hr-HR"/>
              </w:rPr>
            </w:pPr>
            <w:proofErr w:type="spellStart"/>
            <w:r>
              <w:rPr>
                <w:rFonts w:ascii="Cambria" w:eastAsia="Times New Roman" w:hAnsi="Cambria" w:cs="Calibri"/>
              </w:rPr>
              <w:t>u</w:t>
            </w:r>
            <w:r w:rsidRPr="00DF4CE5">
              <w:rPr>
                <w:rFonts w:ascii="Cambria" w:eastAsia="Times New Roman" w:hAnsi="Cambria" w:cs="Calibri"/>
              </w:rPr>
              <w:t>kupno</w:t>
            </w:r>
            <w:proofErr w:type="spellEnd"/>
          </w:p>
        </w:tc>
        <w:tc>
          <w:tcPr>
            <w:tcW w:w="77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2D527E1" w14:textId="1A7B9199" w:rsidR="000F1A10" w:rsidRPr="00DF4CE5" w:rsidRDefault="000F1A10" w:rsidP="000F1A10">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1</w:t>
            </w:r>
            <w:r>
              <w:rPr>
                <w:rFonts w:ascii="Cambria" w:eastAsia="Times New Roman" w:hAnsi="Cambria" w:cs="Calibri"/>
                <w:lang w:val="hr-HR"/>
              </w:rPr>
              <w:t>20</w:t>
            </w:r>
          </w:p>
        </w:tc>
        <w:tc>
          <w:tcPr>
            <w:tcW w:w="108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667C08D" w14:textId="1A6E65DF" w:rsidR="000F1A10" w:rsidRPr="00DF4CE5" w:rsidRDefault="000F1A10" w:rsidP="000F1A10">
            <w:pPr>
              <w:spacing w:after="0" w:line="240" w:lineRule="auto"/>
              <w:jc w:val="center"/>
              <w:rPr>
                <w:rFonts w:ascii="Cambria" w:eastAsia="Times New Roman" w:hAnsi="Cambria" w:cs="Calibri"/>
                <w:lang w:val="hr-HR"/>
              </w:rPr>
            </w:pPr>
            <w:r>
              <w:rPr>
                <w:rFonts w:ascii="Cambria" w:eastAsia="Times New Roman" w:hAnsi="Cambria" w:cs="Calibri"/>
                <w:lang w:val="hr-HR"/>
              </w:rPr>
              <w:t>4</w:t>
            </w:r>
          </w:p>
        </w:tc>
        <w:tc>
          <w:tcPr>
            <w:tcW w:w="141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552A495" w14:textId="77777777" w:rsidR="000F1A10" w:rsidRPr="00DF4CE5" w:rsidRDefault="000F1A10" w:rsidP="000F1A10">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100 %</w:t>
            </w:r>
          </w:p>
        </w:tc>
      </w:tr>
      <w:tr w:rsidR="000F1A10" w:rsidRPr="00D0399C" w14:paraId="007378DD" w14:textId="77777777" w:rsidTr="000F1A10">
        <w:tc>
          <w:tcPr>
            <w:tcW w:w="2806" w:type="dxa"/>
            <w:vMerge/>
            <w:tcBorders>
              <w:left w:val="single" w:sz="8" w:space="0" w:color="000000"/>
              <w:bottom w:val="single" w:sz="8" w:space="0" w:color="000000"/>
              <w:right w:val="single" w:sz="8" w:space="0" w:color="000000"/>
            </w:tcBorders>
            <w:vAlign w:val="center"/>
          </w:tcPr>
          <w:p w14:paraId="2E502563" w14:textId="77777777" w:rsidR="000F1A10" w:rsidRPr="00DF4CE5" w:rsidRDefault="000F1A10" w:rsidP="000F1A10">
            <w:pPr>
              <w:spacing w:after="0" w:line="240" w:lineRule="auto"/>
              <w:jc w:val="both"/>
              <w:rPr>
                <w:rFonts w:ascii="Cambria" w:eastAsia="Times New Roman" w:hAnsi="Cambria" w:cs="Calibri"/>
                <w:lang w:val="hr-HR"/>
              </w:rPr>
            </w:pPr>
          </w:p>
        </w:tc>
        <w:tc>
          <w:tcPr>
            <w:tcW w:w="7214"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3B725E6" w14:textId="77777777" w:rsidR="000F1A10" w:rsidRPr="00DF4CE5" w:rsidRDefault="000F1A10"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Dodatna pojašnjenja (kriteriji ocjenjivanja):</w:t>
            </w:r>
          </w:p>
          <w:p w14:paraId="3435C7B7" w14:textId="77777777" w:rsidR="000F1A10" w:rsidRPr="00DF4CE5" w:rsidRDefault="000F1A10"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Pohađanje nastave je obvezno. Tolerira se 30 % izostanaka (dakle, sveukupno 12 sati).</w:t>
            </w:r>
          </w:p>
          <w:p w14:paraId="0E3B852F" w14:textId="77777777" w:rsidR="000F1A10" w:rsidRPr="00DF4CE5" w:rsidRDefault="000F1A10"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Pohađanje nastave ocjenjuje se na sljedeći način:</w:t>
            </w:r>
          </w:p>
          <w:p w14:paraId="1C711D6A" w14:textId="77777777" w:rsidR="000F1A10" w:rsidRPr="00DF4CE5" w:rsidRDefault="000F1A10"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Izrada četiri priprave potrebne su za neposredni rad u osnovnoj školi nakon čega se priprema javni nastup (koncert). </w:t>
            </w:r>
          </w:p>
          <w:p w14:paraId="3A822DF8" w14:textId="77777777" w:rsidR="000F1A10" w:rsidRPr="00DF4CE5" w:rsidRDefault="000F1A10"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Pisanje priprave se ocjenjuje:</w:t>
            </w:r>
          </w:p>
          <w:p w14:paraId="2F2A615B" w14:textId="77777777" w:rsidR="000F1A10" w:rsidRPr="00DF4CE5" w:rsidRDefault="000F1A10"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0 % - nije napisana priprava.</w:t>
            </w:r>
          </w:p>
          <w:p w14:paraId="07E5A6DF" w14:textId="77777777" w:rsidR="000F1A10" w:rsidRPr="00DF4CE5" w:rsidRDefault="000F1A10"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Svaka priprava ocjenjuje se od 1 do 5. Ocjena je ujedno i udio u ocjeni.</w:t>
            </w:r>
          </w:p>
          <w:p w14:paraId="103F5F14" w14:textId="77777777" w:rsidR="000F1A10" w:rsidRPr="00DF4CE5" w:rsidRDefault="000F1A10"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1% - priprava nije napisana u roku, ali je odrađena na vrijeme.</w:t>
            </w:r>
          </w:p>
          <w:p w14:paraId="6A2F403B" w14:textId="77777777" w:rsidR="000F1A10" w:rsidRPr="00DF4CE5" w:rsidRDefault="000F1A10"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2% - priprava napisana i odrađena u roku te ocjenjena ocjenom dovoljan</w:t>
            </w:r>
          </w:p>
          <w:p w14:paraId="31BFF997" w14:textId="77777777" w:rsidR="000F1A10" w:rsidRPr="00DF4CE5" w:rsidRDefault="000F1A10"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3% - priprava napisana i odrađena u roku te ocjenjena ocjenom dobar</w:t>
            </w:r>
          </w:p>
          <w:p w14:paraId="2CD6EDBF" w14:textId="77777777" w:rsidR="000F1A10" w:rsidRPr="00DF4CE5" w:rsidRDefault="000F1A10"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4% - priprava napisana i odrađena u roku te ocjenjena ocjenom vrlo dobar</w:t>
            </w:r>
          </w:p>
          <w:p w14:paraId="4C6B94B3" w14:textId="77777777" w:rsidR="000F1A10" w:rsidRPr="00DF4CE5" w:rsidRDefault="000F1A10"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5 % - priprava napisana i odrađena u roku te ocjenjena ocjenom odličan</w:t>
            </w:r>
          </w:p>
          <w:p w14:paraId="56346879" w14:textId="77777777" w:rsidR="000F1A10" w:rsidRPr="00DF4CE5" w:rsidRDefault="000F1A10"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+10 % - prijenos znanja i vještina učenicima</w:t>
            </w:r>
          </w:p>
          <w:p w14:paraId="3398D4CE" w14:textId="77777777" w:rsidR="000F1A10" w:rsidRPr="00DF4CE5" w:rsidRDefault="000F1A10"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Generalna proba i nastup </w:t>
            </w:r>
          </w:p>
          <w:p w14:paraId="0928BD6E" w14:textId="77777777" w:rsidR="000F1A10" w:rsidRPr="00DF4CE5" w:rsidRDefault="000F1A10"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0 % = Na nastupu nisu zadovoljeni kriteriji postavljeni na predavanjima ili nije se pristupilo nastupu (ocjena nedovoljan)</w:t>
            </w:r>
          </w:p>
          <w:p w14:paraId="7AF7C939" w14:textId="77777777" w:rsidR="000F1A10" w:rsidRPr="00DF4CE5" w:rsidRDefault="000F1A10"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5 % = Na nastupu su djelomično zadovoljeni kriteriji postavljeni na predavanjima (ocjena dovoljan)</w:t>
            </w:r>
          </w:p>
          <w:p w14:paraId="0EEF8C9E" w14:textId="77777777" w:rsidR="000F1A10" w:rsidRPr="00DF4CE5" w:rsidRDefault="000F1A10"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10 % = Na nastupu su djelomično zadovoljeni kriteriji postavljeni na predavanjima (ocjena dobar)</w:t>
            </w:r>
          </w:p>
          <w:p w14:paraId="16F23516" w14:textId="77777777" w:rsidR="000F1A10" w:rsidRPr="00DF4CE5" w:rsidRDefault="000F1A10"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15 % = Na nastupu su zadovoljeni gotovo svi kriteriji postavljeni na predavanjima (ocjena </w:t>
            </w:r>
            <w:proofErr w:type="spellStart"/>
            <w:r w:rsidRPr="00DF4CE5">
              <w:rPr>
                <w:rFonts w:ascii="Cambria" w:eastAsia="Times New Roman" w:hAnsi="Cambria" w:cs="Calibri"/>
                <w:lang w:val="hr-HR"/>
              </w:rPr>
              <w:t>vrlodobar</w:t>
            </w:r>
            <w:proofErr w:type="spellEnd"/>
            <w:r w:rsidRPr="00DF4CE5">
              <w:rPr>
                <w:rFonts w:ascii="Cambria" w:eastAsia="Times New Roman" w:hAnsi="Cambria" w:cs="Calibri"/>
                <w:lang w:val="hr-HR"/>
              </w:rPr>
              <w:t>)</w:t>
            </w:r>
          </w:p>
          <w:p w14:paraId="64EB3C7F" w14:textId="77777777" w:rsidR="000F1A10" w:rsidRPr="00DF4CE5" w:rsidRDefault="000F1A10"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20 % = Na nastupu su zadovoljeni svi kriteriji postavljeni na predavanjima</w:t>
            </w:r>
          </w:p>
          <w:p w14:paraId="2F7CB41F" w14:textId="77777777" w:rsidR="000F1A10" w:rsidRPr="00DF4CE5" w:rsidRDefault="000F1A10"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Pismeni ispit</w:t>
            </w:r>
            <w:r w:rsidRPr="00DF4CE5">
              <w:rPr>
                <w:rFonts w:ascii="Cambria" w:eastAsia="Times New Roman" w:hAnsi="Cambria" w:cs="Calibri"/>
                <w:b/>
                <w:u w:val="single"/>
                <w:lang w:val="hr-HR"/>
              </w:rPr>
              <w:t xml:space="preserve"> </w:t>
            </w:r>
            <w:r w:rsidRPr="00DF4CE5">
              <w:rPr>
                <w:rFonts w:ascii="Cambria" w:eastAsia="Times New Roman" w:hAnsi="Cambria" w:cs="Calibri"/>
                <w:lang w:val="hr-HR"/>
              </w:rPr>
              <w:t xml:space="preserve">(gradivo iz kurikuluma) se ocjenjuje na sljedeći način, a </w:t>
            </w:r>
            <w:proofErr w:type="spellStart"/>
            <w:r w:rsidRPr="00DF4CE5">
              <w:rPr>
                <w:rFonts w:ascii="Cambria" w:eastAsia="Times New Roman" w:hAnsi="Cambria" w:cs="Calibri"/>
                <w:lang w:val="hr-HR"/>
              </w:rPr>
              <w:t>max</w:t>
            </w:r>
            <w:proofErr w:type="spellEnd"/>
            <w:r w:rsidRPr="00DF4CE5">
              <w:rPr>
                <w:rFonts w:ascii="Cambria" w:eastAsia="Times New Roman" w:hAnsi="Cambria" w:cs="Calibri"/>
                <w:lang w:val="hr-HR"/>
              </w:rPr>
              <w:t>. udio ocjene je: 20 %.</w:t>
            </w:r>
          </w:p>
          <w:p w14:paraId="5E16D6E3" w14:textId="77777777" w:rsidR="000F1A10" w:rsidRPr="00DF4CE5" w:rsidRDefault="000F1A10"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Manje od 50 % točnih odgovora = 0 %.</w:t>
            </w:r>
          </w:p>
          <w:p w14:paraId="2D3EA333" w14:textId="77777777" w:rsidR="000F1A10" w:rsidRPr="00DF4CE5" w:rsidRDefault="000F1A10"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Od 51 % do 100 % svaki slijedeći točni odgovor  nosi udio u                                 proporcionalnom postotku.</w:t>
            </w:r>
          </w:p>
          <w:p w14:paraId="5707A21C" w14:textId="77777777" w:rsidR="000F1A10" w:rsidRPr="00DF4CE5" w:rsidRDefault="000F1A10"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Usmeni: Ocjenjuje se vještina sviranja na melodijskom </w:t>
            </w:r>
            <w:proofErr w:type="spellStart"/>
            <w:r w:rsidRPr="00DF4CE5">
              <w:rPr>
                <w:rFonts w:ascii="Cambria" w:eastAsia="Times New Roman" w:hAnsi="Cambria" w:cs="Calibri"/>
                <w:lang w:val="hr-HR"/>
              </w:rPr>
              <w:t>Orffovom</w:t>
            </w:r>
            <w:proofErr w:type="spellEnd"/>
            <w:r w:rsidRPr="00DF4CE5">
              <w:rPr>
                <w:rFonts w:ascii="Cambria" w:eastAsia="Times New Roman" w:hAnsi="Cambria" w:cs="Calibri"/>
                <w:lang w:val="hr-HR"/>
              </w:rPr>
              <w:t xml:space="preserve"> instrumentariju</w:t>
            </w:r>
            <w:r w:rsidRPr="00DF4CE5">
              <w:rPr>
                <w:rFonts w:ascii="Cambria" w:eastAsia="Times New Roman" w:hAnsi="Cambria" w:cs="Calibri"/>
                <w:b/>
                <w:lang w:val="hr-HR"/>
              </w:rPr>
              <w:t xml:space="preserve"> </w:t>
            </w:r>
            <w:r w:rsidRPr="00DF4CE5">
              <w:rPr>
                <w:rFonts w:ascii="Cambria" w:eastAsia="Times New Roman" w:hAnsi="Cambria" w:cs="Calibri"/>
                <w:lang w:val="hr-HR"/>
              </w:rPr>
              <w:t xml:space="preserve">uz pjesmu i uz brojalicu. Pjesme se biraju iz udžbenika glazbene kulture 2. razreda osnovne škole. Udžbenik bira student. </w:t>
            </w:r>
          </w:p>
          <w:p w14:paraId="5AE2EA0E" w14:textId="77777777" w:rsidR="000F1A10" w:rsidRPr="00DF4CE5" w:rsidRDefault="000F1A10"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        0 %   = Student ne vlada sviranjem i pjevanjem</w:t>
            </w:r>
          </w:p>
          <w:p w14:paraId="4E3A0BC7" w14:textId="77777777" w:rsidR="000F1A10" w:rsidRPr="00DF4CE5" w:rsidRDefault="000F1A10"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        7,5 %   = Student vlada sviranjem i pjevanjem za dovoljan</w:t>
            </w:r>
          </w:p>
          <w:p w14:paraId="23E2B254" w14:textId="77777777" w:rsidR="000F1A10" w:rsidRPr="00DF4CE5" w:rsidRDefault="000F1A10"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      15 %   = Student vlada sviranjem i pjevanjem za dobar</w:t>
            </w:r>
          </w:p>
          <w:p w14:paraId="4ADFFC9C" w14:textId="77777777" w:rsidR="000F1A10" w:rsidRPr="00DF4CE5" w:rsidRDefault="000F1A10"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      22,5 %   = Student vlada sviranjem i pjevanjem za </w:t>
            </w:r>
            <w:proofErr w:type="spellStart"/>
            <w:r w:rsidRPr="00DF4CE5">
              <w:rPr>
                <w:rFonts w:ascii="Cambria" w:eastAsia="Times New Roman" w:hAnsi="Cambria" w:cs="Calibri"/>
                <w:lang w:val="hr-HR"/>
              </w:rPr>
              <w:t>vrlodobar</w:t>
            </w:r>
            <w:proofErr w:type="spellEnd"/>
          </w:p>
          <w:p w14:paraId="0DEABA14" w14:textId="77777777" w:rsidR="000F1A10" w:rsidRPr="00DF4CE5" w:rsidRDefault="000F1A10"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      30 %   = Student vlada sviranjem i pjevanjem.</w:t>
            </w:r>
          </w:p>
          <w:p w14:paraId="00F136BC" w14:textId="77777777" w:rsidR="000F1A10" w:rsidRPr="00DF4CE5" w:rsidRDefault="000F1A10"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Student može pristupiti ispitu ukoliko je tijekom nastave prikupio najmanje 20 % udjela u ocjeni.</w:t>
            </w:r>
          </w:p>
          <w:p w14:paraId="40CD76E1" w14:textId="77777777" w:rsidR="000F1A10" w:rsidRPr="00DF4CE5" w:rsidRDefault="000F1A10" w:rsidP="000F1A10">
            <w:pPr>
              <w:spacing w:after="0" w:line="240" w:lineRule="auto"/>
              <w:jc w:val="both"/>
              <w:rPr>
                <w:rFonts w:ascii="Cambria" w:eastAsia="Times New Roman" w:hAnsi="Cambria" w:cs="Calibri"/>
                <w:lang w:val="pl-PL"/>
              </w:rPr>
            </w:pPr>
            <w:r w:rsidRPr="00DF4CE5">
              <w:rPr>
                <w:rFonts w:ascii="Cambria" w:eastAsia="Times New Roman" w:hAnsi="Cambria" w:cs="Calibri"/>
                <w:lang w:val="hr-HR"/>
              </w:rPr>
              <w:t>Da položi kolegij, student/studentica mora pristupiti i pozitivno napisati pismeni ispit na ispitnom roku.</w:t>
            </w:r>
            <w:r w:rsidRPr="00DF4CE5">
              <w:rPr>
                <w:rFonts w:ascii="Cambria" w:eastAsia="Times New Roman" w:hAnsi="Cambria" w:cs="Calibri"/>
                <w:lang w:val="pl-PL"/>
              </w:rPr>
              <w:t xml:space="preserve"> </w:t>
            </w:r>
          </w:p>
          <w:p w14:paraId="25567281" w14:textId="77777777" w:rsidR="000F1A10" w:rsidRPr="00DF4CE5" w:rsidRDefault="000F1A10"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pl-PL"/>
              </w:rPr>
              <w:lastRenderedPageBreak/>
              <w:t>Ukoliko se dogovoreni termini ne poštuju, smanjuju se postavljeni bodovi za 25 %.</w:t>
            </w:r>
          </w:p>
        </w:tc>
      </w:tr>
      <w:tr w:rsidR="000F1A10" w:rsidRPr="00D0399C" w14:paraId="785A7A6F" w14:textId="77777777" w:rsidTr="000F1A10">
        <w:tc>
          <w:tcPr>
            <w:tcW w:w="280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8F05A06" w14:textId="77777777" w:rsidR="000F1A10" w:rsidRPr="00DF4CE5" w:rsidRDefault="000F1A10"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lastRenderedPageBreak/>
              <w:t>Studentske obveze</w:t>
            </w:r>
          </w:p>
        </w:tc>
        <w:tc>
          <w:tcPr>
            <w:tcW w:w="721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7BA8AAB" w14:textId="77777777" w:rsidR="000F1A10" w:rsidRPr="00DF4CE5" w:rsidRDefault="000F1A10"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Da položi kolegij, student/studentica mora:</w:t>
            </w:r>
          </w:p>
          <w:p w14:paraId="7A66BC67" w14:textId="77777777" w:rsidR="000F1A10" w:rsidRPr="00DF4CE5" w:rsidRDefault="000F1A10"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1. pohađati nastavu</w:t>
            </w:r>
          </w:p>
          <w:p w14:paraId="5256A60A" w14:textId="77777777" w:rsidR="000F1A10" w:rsidRPr="00DF4CE5" w:rsidRDefault="000F1A10"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2. izraditi četiri priprave za nastup</w:t>
            </w:r>
          </w:p>
          <w:p w14:paraId="612CB9C1" w14:textId="77777777" w:rsidR="000F1A10" w:rsidRPr="00DF4CE5" w:rsidRDefault="000F1A10"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3. pjevati, svirati i dirigirati na nastupu</w:t>
            </w:r>
          </w:p>
          <w:p w14:paraId="0BDEFF14" w14:textId="77777777" w:rsidR="000F1A10" w:rsidRPr="00DF4CE5" w:rsidRDefault="000F1A10"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4. položiti pismeni ispit</w:t>
            </w:r>
          </w:p>
          <w:p w14:paraId="04EC4D34" w14:textId="77777777" w:rsidR="000F1A10" w:rsidRPr="00DF4CE5" w:rsidRDefault="000F1A10"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5. položiti usmeni ispit</w:t>
            </w:r>
            <w:r>
              <w:rPr>
                <w:rFonts w:ascii="Cambria" w:eastAsia="Times New Roman" w:hAnsi="Cambria" w:cs="Calibri"/>
                <w:lang w:val="hr-HR"/>
              </w:rPr>
              <w:t>.</w:t>
            </w:r>
          </w:p>
        </w:tc>
      </w:tr>
      <w:tr w:rsidR="000F1A10" w:rsidRPr="00D0399C" w14:paraId="30FF7C76" w14:textId="77777777" w:rsidTr="000F1A10">
        <w:tc>
          <w:tcPr>
            <w:tcW w:w="280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217FD85" w14:textId="77777777" w:rsidR="000F1A10" w:rsidRPr="00DF4CE5" w:rsidRDefault="000F1A10" w:rsidP="000F1A10">
            <w:pPr>
              <w:spacing w:after="0" w:line="240" w:lineRule="auto"/>
              <w:jc w:val="both"/>
              <w:rPr>
                <w:rFonts w:ascii="Cambria" w:eastAsia="Times New Roman" w:hAnsi="Cambria" w:cs="Calibri"/>
                <w:lang w:val="hr-HR"/>
              </w:rPr>
            </w:pPr>
            <w:proofErr w:type="spellStart"/>
            <w:r w:rsidRPr="00DF4CE5">
              <w:rPr>
                <w:rFonts w:ascii="Cambria" w:eastAsia="Times New Roman" w:hAnsi="Cambria" w:cs="Calibri"/>
              </w:rPr>
              <w:t>Rokovi</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ispita</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i</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kolokvija</w:t>
            </w:r>
            <w:proofErr w:type="spellEnd"/>
          </w:p>
        </w:tc>
        <w:tc>
          <w:tcPr>
            <w:tcW w:w="721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D65A146" w14:textId="77777777" w:rsidR="000F1A10" w:rsidRPr="00DF4CE5" w:rsidRDefault="000F1A10"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Generalna proba i nastup održavaju se tijekom prosinca.</w:t>
            </w:r>
          </w:p>
          <w:p w14:paraId="2EE8B89F" w14:textId="77777777" w:rsidR="000F1A10" w:rsidRPr="00DF4CE5" w:rsidRDefault="000F1A10"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Rokovi se objavljuju na mrežnim stranicama Fakulteta za odgojne i obrazovne znanosti i putem ISVU.</w:t>
            </w:r>
          </w:p>
        </w:tc>
      </w:tr>
      <w:tr w:rsidR="000F1A10" w:rsidRPr="00DF4CE5" w14:paraId="374AB468" w14:textId="77777777" w:rsidTr="000F1A10">
        <w:tc>
          <w:tcPr>
            <w:tcW w:w="280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4568665" w14:textId="77777777" w:rsidR="000F1A10" w:rsidRPr="00DF4CE5" w:rsidRDefault="000F1A10"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Ostale važne činjenice </w:t>
            </w:r>
            <w:proofErr w:type="spellStart"/>
            <w:r w:rsidRPr="00DF4CE5">
              <w:rPr>
                <w:rFonts w:ascii="Cambria" w:eastAsia="Times New Roman" w:hAnsi="Cambria" w:cs="Calibri"/>
                <w:lang w:val="it-IT"/>
              </w:rPr>
              <w:t>vezaneuzkolegij</w:t>
            </w:r>
            <w:proofErr w:type="spellEnd"/>
          </w:p>
        </w:tc>
        <w:tc>
          <w:tcPr>
            <w:tcW w:w="721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66EAE21" w14:textId="77777777" w:rsidR="000F1A10" w:rsidRPr="00DF4CE5" w:rsidRDefault="000F1A10" w:rsidP="000F1A10">
            <w:pPr>
              <w:spacing w:after="0" w:line="240" w:lineRule="auto"/>
              <w:jc w:val="both"/>
              <w:rPr>
                <w:rFonts w:ascii="Cambria" w:eastAsia="Times New Roman" w:hAnsi="Cambria" w:cs="Calibri"/>
                <w:lang w:val="pl-PL"/>
              </w:rPr>
            </w:pPr>
            <w:r w:rsidRPr="00DF4CE5">
              <w:rPr>
                <w:rFonts w:ascii="Cambria" w:eastAsia="Times New Roman" w:hAnsi="Cambria" w:cs="Calibri"/>
                <w:lang w:val="pl-PL"/>
              </w:rPr>
              <w:t xml:space="preserve">Sve pisane priprave predaju se na nastavi ili mailom do dogovorenog termina. </w:t>
            </w:r>
          </w:p>
          <w:p w14:paraId="2F1AEEDF" w14:textId="77777777" w:rsidR="000F1A10" w:rsidRPr="00DF4CE5" w:rsidRDefault="000F1A10"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U slučaju održavanja nastave na daljinu, moguće je odstupanje u: mjestu izvođenja kolegija, provedbi aktivnosti, metoda tumačenja i poučavanja i načinima vrednovanja, studentskim obvezama i dostupnoj literaturi. O tome će nositeljica i </w:t>
            </w:r>
            <w:r>
              <w:rPr>
                <w:rFonts w:ascii="Cambria" w:eastAsia="Times New Roman" w:hAnsi="Cambria" w:cs="Calibri"/>
                <w:lang w:val="hr-HR"/>
              </w:rPr>
              <w:t>suradnik</w:t>
            </w:r>
            <w:r w:rsidRPr="00DF4CE5">
              <w:rPr>
                <w:rFonts w:ascii="Cambria" w:eastAsia="Times New Roman" w:hAnsi="Cambria" w:cs="Calibri"/>
                <w:lang w:val="hr-HR"/>
              </w:rPr>
              <w:t xml:space="preserve"> obavijestiti studente i studentice kad se nastava na daljinu počne održavati. Ishodi učenja ostaju nepromijenjeni.</w:t>
            </w:r>
          </w:p>
        </w:tc>
      </w:tr>
      <w:tr w:rsidR="000F1A10" w:rsidRPr="00D0399C" w14:paraId="7AF3559E" w14:textId="77777777" w:rsidTr="000F1A10">
        <w:trPr>
          <w:trHeight w:val="770"/>
        </w:trPr>
        <w:tc>
          <w:tcPr>
            <w:tcW w:w="280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7F7D9FD" w14:textId="77777777" w:rsidR="000F1A10" w:rsidRPr="00DF4CE5" w:rsidRDefault="000F1A10" w:rsidP="000F1A1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Literatura</w:t>
            </w:r>
          </w:p>
        </w:tc>
        <w:tc>
          <w:tcPr>
            <w:tcW w:w="7214"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0A72A172" w14:textId="77777777" w:rsidR="000F1A10" w:rsidRPr="00DF4CE5" w:rsidRDefault="000F1A10" w:rsidP="000F1A10">
            <w:pPr>
              <w:spacing w:after="0" w:line="240" w:lineRule="auto"/>
              <w:rPr>
                <w:rFonts w:ascii="Cambria" w:eastAsia="Times New Roman" w:hAnsi="Cambria" w:cs="Calibri"/>
                <w:lang w:val="hr-HR"/>
              </w:rPr>
            </w:pPr>
            <w:r w:rsidRPr="00DF4CE5">
              <w:rPr>
                <w:rFonts w:ascii="Cambria" w:eastAsia="Times New Roman" w:hAnsi="Cambria" w:cs="Calibri"/>
                <w:lang w:val="hr-HR"/>
              </w:rPr>
              <w:t xml:space="preserve">Obvezna: </w:t>
            </w:r>
          </w:p>
          <w:p w14:paraId="6AA8406B" w14:textId="77777777" w:rsidR="000F1A10" w:rsidRPr="00DF4CE5" w:rsidRDefault="000F1A10" w:rsidP="000F1A10">
            <w:pPr>
              <w:spacing w:after="0" w:line="240" w:lineRule="auto"/>
              <w:rPr>
                <w:rFonts w:ascii="Cambria" w:eastAsia="Times New Roman" w:hAnsi="Cambria" w:cs="Calibri"/>
                <w:color w:val="0000FF"/>
                <w:u w:val="single"/>
                <w:lang w:val="hr-HR"/>
              </w:rPr>
            </w:pPr>
            <w:r w:rsidRPr="00DF4CE5">
              <w:rPr>
                <w:rFonts w:ascii="Cambria" w:eastAsia="Times New Roman" w:hAnsi="Cambria" w:cs="Calibri"/>
                <w:lang w:val="hr-HR"/>
              </w:rPr>
              <w:t xml:space="preserve">1. </w:t>
            </w:r>
            <w:proofErr w:type="spellStart"/>
            <w:r w:rsidRPr="00DF4CE5">
              <w:rPr>
                <w:rFonts w:ascii="Cambria" w:eastAsia="Times New Roman" w:hAnsi="Cambria" w:cs="Calibri"/>
                <w:lang w:val="hr-HR"/>
              </w:rPr>
              <w:t>Rojko</w:t>
            </w:r>
            <w:proofErr w:type="spellEnd"/>
            <w:r w:rsidRPr="00DF4CE5">
              <w:rPr>
                <w:rFonts w:ascii="Cambria" w:eastAsia="Times New Roman" w:hAnsi="Cambria" w:cs="Calibri"/>
                <w:lang w:val="hr-HR"/>
              </w:rPr>
              <w:t xml:space="preserve">, P. (1996). Metodika nastave glazbe: teoretsko-tematski aspekti (Glazbena nastava u općeobrazovnoj školi). Osijek: Sveučilište Josipa Jurja Strossmayera, Pedagoški fakultet Osijek. (II. elektroničko izdanje. Zagreb, 2012.), str. 22 – 137. </w:t>
            </w:r>
            <w:r>
              <w:fldChar w:fldCharType="begin"/>
            </w:r>
            <w:r>
              <w:instrText>HYPERLINK "https://bib.irb.hr/datoteka/566005.ROJKO_Metodika_nastave_glazbe._Teorijsko_tematski_aspekti.pdf"</w:instrText>
            </w:r>
            <w:r>
              <w:fldChar w:fldCharType="separate"/>
            </w:r>
            <w:r w:rsidRPr="00DF4CE5">
              <w:rPr>
                <w:rFonts w:ascii="Cambria" w:eastAsia="Times New Roman" w:hAnsi="Cambria" w:cs="Calibri"/>
                <w:color w:val="0000FF"/>
                <w:u w:val="single"/>
                <w:lang w:val="hr-HR"/>
              </w:rPr>
              <w:t>https://bib.irb.hr/datoteka/566005.ROJKO_Metodika_nastave_glazbe._Teorijsko_tematski_aspekti.pdf</w:t>
            </w:r>
            <w:r>
              <w:fldChar w:fldCharType="end"/>
            </w:r>
          </w:p>
          <w:p w14:paraId="53BC36F1" w14:textId="77777777" w:rsidR="000F1A10" w:rsidRPr="00DF4CE5" w:rsidRDefault="000F1A10" w:rsidP="000F1A10">
            <w:pPr>
              <w:spacing w:after="0" w:line="240" w:lineRule="auto"/>
              <w:rPr>
                <w:rFonts w:ascii="Cambria" w:eastAsia="Times New Roman" w:hAnsi="Cambria" w:cs="Calibri"/>
                <w:lang w:val="hr-HR"/>
              </w:rPr>
            </w:pPr>
            <w:r w:rsidRPr="00DF4CE5">
              <w:rPr>
                <w:rFonts w:ascii="Cambria" w:eastAsia="Times New Roman" w:hAnsi="Cambria" w:cs="Calibri"/>
                <w:lang w:val="hr-HR"/>
              </w:rPr>
              <w:t xml:space="preserve">2. </w:t>
            </w:r>
            <w:proofErr w:type="spellStart"/>
            <w:r w:rsidRPr="00DF4CE5">
              <w:rPr>
                <w:rFonts w:ascii="Cambria" w:eastAsia="Times New Roman" w:hAnsi="Cambria" w:cs="Calibri"/>
                <w:lang w:val="hr-HR"/>
              </w:rPr>
              <w:t>Michels</w:t>
            </w:r>
            <w:proofErr w:type="spellEnd"/>
            <w:r w:rsidRPr="00DF4CE5">
              <w:rPr>
                <w:rFonts w:ascii="Cambria" w:eastAsia="Times New Roman" w:hAnsi="Cambria" w:cs="Calibri"/>
                <w:lang w:val="hr-HR"/>
              </w:rPr>
              <w:t>, U. (2004). Atlas glazbe. Zagreb: Golden marketing-Tehnička knjiga, sv. 1., str. 24-109.</w:t>
            </w:r>
          </w:p>
          <w:p w14:paraId="76948EDE" w14:textId="77777777" w:rsidR="000F1A10" w:rsidRPr="00DF4CE5" w:rsidRDefault="000F1A10" w:rsidP="000F1A10">
            <w:pPr>
              <w:spacing w:after="0" w:line="240" w:lineRule="auto"/>
              <w:rPr>
                <w:rFonts w:ascii="Cambria" w:eastAsia="Times New Roman" w:hAnsi="Cambria" w:cs="Calibri"/>
                <w:lang w:val="hr-HR"/>
              </w:rPr>
            </w:pPr>
            <w:r w:rsidRPr="00DF4CE5">
              <w:rPr>
                <w:rFonts w:ascii="Cambria" w:eastAsia="Times New Roman" w:hAnsi="Cambria" w:cs="Calibri"/>
                <w:lang w:val="hr-HR"/>
              </w:rPr>
              <w:t>3. Mihelić, I. (2009). Hrvatska folklorna glazba. Zagreb: Profil, str. 260.</w:t>
            </w:r>
          </w:p>
          <w:p w14:paraId="3C39DA40" w14:textId="77777777" w:rsidR="000F1A10" w:rsidRPr="00DF4CE5" w:rsidRDefault="000F1A10" w:rsidP="000F1A10">
            <w:pPr>
              <w:spacing w:after="0" w:line="240" w:lineRule="auto"/>
              <w:rPr>
                <w:rFonts w:ascii="Cambria" w:eastAsia="Times New Roman" w:hAnsi="Cambria" w:cs="Calibri"/>
                <w:lang w:val="hr-HR"/>
              </w:rPr>
            </w:pPr>
            <w:r w:rsidRPr="00DF4CE5">
              <w:rPr>
                <w:rFonts w:ascii="Cambria" w:eastAsia="Times New Roman" w:hAnsi="Cambria" w:cs="Calibri"/>
                <w:lang w:val="hr-HR"/>
              </w:rPr>
              <w:t>Izborna:</w:t>
            </w:r>
          </w:p>
          <w:p w14:paraId="1276AFFB" w14:textId="77777777" w:rsidR="000F1A10" w:rsidRPr="00DF4CE5" w:rsidRDefault="000F1A10" w:rsidP="000F1A10">
            <w:pPr>
              <w:spacing w:after="0" w:line="240" w:lineRule="auto"/>
              <w:rPr>
                <w:rFonts w:ascii="Cambria" w:eastAsia="Times New Roman" w:hAnsi="Cambria" w:cs="Calibri"/>
                <w:lang w:val="hr-HR"/>
              </w:rPr>
            </w:pPr>
            <w:r w:rsidRPr="00DF4CE5">
              <w:rPr>
                <w:rFonts w:ascii="Cambria" w:eastAsia="Times New Roman" w:hAnsi="Cambria" w:cs="Calibri"/>
                <w:lang w:val="hr-HR"/>
              </w:rPr>
              <w:t xml:space="preserve">1. Dobrota, S. (2012). Uvod u suvremenu glazbenu pedagogiju. Split: Filozofski fakultet u Splitu – Odsjek za učiteljski studij, </w:t>
            </w:r>
          </w:p>
          <w:p w14:paraId="6E49E4C8" w14:textId="77777777" w:rsidR="000F1A10" w:rsidRPr="00DF4CE5" w:rsidRDefault="000F1A10" w:rsidP="000F1A10">
            <w:pPr>
              <w:spacing w:after="0" w:line="240" w:lineRule="auto"/>
              <w:rPr>
                <w:rFonts w:ascii="Cambria" w:eastAsia="Times New Roman" w:hAnsi="Cambria" w:cs="Calibri"/>
                <w:lang w:val="hr-HR"/>
              </w:rPr>
            </w:pPr>
            <w:r w:rsidRPr="00DF4CE5">
              <w:rPr>
                <w:rFonts w:ascii="Cambria" w:eastAsia="Times New Roman" w:hAnsi="Cambria" w:cs="Calibri"/>
                <w:lang w:val="hr-HR"/>
              </w:rPr>
              <w:t xml:space="preserve">2. </w:t>
            </w:r>
            <w:proofErr w:type="spellStart"/>
            <w:r w:rsidRPr="00DF4CE5">
              <w:rPr>
                <w:rFonts w:ascii="Cambria" w:eastAsia="Times New Roman" w:hAnsi="Cambria" w:cs="Calibri"/>
                <w:lang w:val="hr-HR"/>
              </w:rPr>
              <w:t>Njirić</w:t>
            </w:r>
            <w:proofErr w:type="spellEnd"/>
            <w:r w:rsidRPr="00DF4CE5">
              <w:rPr>
                <w:rFonts w:ascii="Cambria" w:eastAsia="Times New Roman" w:hAnsi="Cambria" w:cs="Calibri"/>
                <w:lang w:val="hr-HR"/>
              </w:rPr>
              <w:t xml:space="preserve">, N. (1992). </w:t>
            </w:r>
            <w:proofErr w:type="spellStart"/>
            <w:r w:rsidRPr="00DF4CE5">
              <w:rPr>
                <w:rFonts w:ascii="Cambria" w:eastAsia="Times New Roman" w:hAnsi="Cambria" w:cs="Calibri"/>
                <w:lang w:val="hr-HR"/>
              </w:rPr>
              <w:t>Pjevanka</w:t>
            </w:r>
            <w:proofErr w:type="spellEnd"/>
            <w:r w:rsidRPr="00DF4CE5">
              <w:rPr>
                <w:rFonts w:ascii="Cambria" w:eastAsia="Times New Roman" w:hAnsi="Cambria" w:cs="Calibri"/>
                <w:lang w:val="hr-HR"/>
              </w:rPr>
              <w:t>. Zagreb: Školska knjiga.</w:t>
            </w:r>
          </w:p>
          <w:p w14:paraId="23DABA21" w14:textId="77777777" w:rsidR="000F1A10" w:rsidRPr="00DF4CE5" w:rsidRDefault="000F1A10" w:rsidP="000F1A10">
            <w:pPr>
              <w:spacing w:after="0" w:line="240" w:lineRule="auto"/>
              <w:rPr>
                <w:rFonts w:ascii="Cambria" w:eastAsia="Times New Roman" w:hAnsi="Cambria" w:cs="Calibri"/>
                <w:lang w:val="hr-HR"/>
              </w:rPr>
            </w:pPr>
            <w:r w:rsidRPr="00DF4CE5">
              <w:rPr>
                <w:rFonts w:ascii="Cambria" w:eastAsia="Times New Roman" w:hAnsi="Cambria" w:cs="Calibri"/>
                <w:lang w:val="hr-HR"/>
              </w:rPr>
              <w:t xml:space="preserve">3. </w:t>
            </w:r>
            <w:proofErr w:type="spellStart"/>
            <w:r w:rsidRPr="00DF4CE5">
              <w:rPr>
                <w:rFonts w:ascii="Cambria" w:eastAsia="Times New Roman" w:hAnsi="Cambria" w:cs="Calibri"/>
                <w:lang w:val="hr-HR"/>
              </w:rPr>
              <w:t>Lebič</w:t>
            </w:r>
            <w:proofErr w:type="spellEnd"/>
            <w:r w:rsidRPr="00DF4CE5">
              <w:rPr>
                <w:rFonts w:ascii="Cambria" w:eastAsia="Times New Roman" w:hAnsi="Cambria" w:cs="Calibri"/>
                <w:lang w:val="hr-HR"/>
              </w:rPr>
              <w:t xml:space="preserve">, L., </w:t>
            </w:r>
            <w:proofErr w:type="spellStart"/>
            <w:r w:rsidRPr="00DF4CE5">
              <w:rPr>
                <w:rFonts w:ascii="Cambria" w:eastAsia="Times New Roman" w:hAnsi="Cambria" w:cs="Calibri"/>
                <w:lang w:val="hr-HR"/>
              </w:rPr>
              <w:t>Loparnik</w:t>
            </w:r>
            <w:proofErr w:type="spellEnd"/>
            <w:r w:rsidRPr="00DF4CE5">
              <w:rPr>
                <w:rFonts w:ascii="Cambria" w:eastAsia="Times New Roman" w:hAnsi="Cambria" w:cs="Calibri"/>
                <w:lang w:val="hr-HR"/>
              </w:rPr>
              <w:t xml:space="preserve">, B. (1992). Osnove </w:t>
            </w:r>
            <w:proofErr w:type="spellStart"/>
            <w:r w:rsidRPr="00DF4CE5">
              <w:rPr>
                <w:rFonts w:ascii="Cambria" w:eastAsia="Times New Roman" w:hAnsi="Cambria" w:cs="Calibri"/>
                <w:lang w:val="hr-HR"/>
              </w:rPr>
              <w:t>glasbene</w:t>
            </w:r>
            <w:proofErr w:type="spellEnd"/>
            <w:r w:rsidRPr="00DF4CE5">
              <w:rPr>
                <w:rFonts w:ascii="Cambria" w:eastAsia="Times New Roman" w:hAnsi="Cambria" w:cs="Calibri"/>
                <w:lang w:val="hr-HR"/>
              </w:rPr>
              <w:t xml:space="preserve"> </w:t>
            </w:r>
            <w:proofErr w:type="spellStart"/>
            <w:r w:rsidRPr="00DF4CE5">
              <w:rPr>
                <w:rFonts w:ascii="Cambria" w:eastAsia="Times New Roman" w:hAnsi="Cambria" w:cs="Calibri"/>
                <w:lang w:val="hr-HR"/>
              </w:rPr>
              <w:t>umetnosti</w:t>
            </w:r>
            <w:proofErr w:type="spellEnd"/>
            <w:r w:rsidRPr="00DF4CE5">
              <w:rPr>
                <w:rFonts w:ascii="Cambria" w:eastAsia="Times New Roman" w:hAnsi="Cambria" w:cs="Calibri"/>
                <w:lang w:val="hr-HR"/>
              </w:rPr>
              <w:t xml:space="preserve">. Ljubljana: </w:t>
            </w:r>
            <w:proofErr w:type="spellStart"/>
            <w:r w:rsidRPr="00DF4CE5">
              <w:rPr>
                <w:rFonts w:ascii="Cambria" w:eastAsia="Times New Roman" w:hAnsi="Cambria" w:cs="Calibri"/>
                <w:lang w:val="hr-HR"/>
              </w:rPr>
              <w:t>Mladinska</w:t>
            </w:r>
            <w:proofErr w:type="spellEnd"/>
            <w:r w:rsidRPr="00DF4CE5">
              <w:rPr>
                <w:rFonts w:ascii="Cambria" w:eastAsia="Times New Roman" w:hAnsi="Cambria" w:cs="Calibri"/>
                <w:lang w:val="hr-HR"/>
              </w:rPr>
              <w:t xml:space="preserve"> knjiga.</w:t>
            </w:r>
          </w:p>
          <w:p w14:paraId="19234601" w14:textId="77777777" w:rsidR="000F1A10" w:rsidRPr="00DF4CE5" w:rsidRDefault="000F1A10" w:rsidP="000F1A10">
            <w:pPr>
              <w:spacing w:after="0" w:line="240" w:lineRule="auto"/>
              <w:rPr>
                <w:rFonts w:ascii="Cambria" w:eastAsia="Times New Roman" w:hAnsi="Cambria" w:cs="Calibri"/>
                <w:lang w:val="hr-HR"/>
              </w:rPr>
            </w:pPr>
            <w:r w:rsidRPr="00DF4CE5">
              <w:rPr>
                <w:rFonts w:ascii="Cambria" w:eastAsia="Times New Roman" w:hAnsi="Cambria" w:cs="Calibri"/>
                <w:lang w:val="hr-HR"/>
              </w:rPr>
              <w:t xml:space="preserve">4. </w:t>
            </w:r>
            <w:proofErr w:type="spellStart"/>
            <w:r w:rsidRPr="00DF4CE5">
              <w:rPr>
                <w:rFonts w:ascii="Cambria" w:eastAsia="Times New Roman" w:hAnsi="Cambria" w:cs="Calibri"/>
                <w:lang w:val="hr-HR"/>
              </w:rPr>
              <w:t>Pace</w:t>
            </w:r>
            <w:proofErr w:type="spellEnd"/>
            <w:r w:rsidRPr="00DF4CE5">
              <w:rPr>
                <w:rFonts w:ascii="Cambria" w:eastAsia="Times New Roman" w:hAnsi="Cambria" w:cs="Calibri"/>
                <w:lang w:val="hr-HR"/>
              </w:rPr>
              <w:t xml:space="preserve">, A. (2012). </w:t>
            </w:r>
            <w:proofErr w:type="spellStart"/>
            <w:r w:rsidRPr="00DF4CE5">
              <w:rPr>
                <w:rFonts w:ascii="Cambria" w:eastAsia="Times New Roman" w:hAnsi="Cambria" w:cs="Calibri"/>
                <w:lang w:val="hr-HR"/>
              </w:rPr>
              <w:t>Musica</w:t>
            </w:r>
            <w:proofErr w:type="spellEnd"/>
            <w:r w:rsidRPr="00DF4CE5">
              <w:rPr>
                <w:rFonts w:ascii="Cambria" w:eastAsia="Times New Roman" w:hAnsi="Cambria" w:cs="Calibri"/>
                <w:lang w:val="hr-HR"/>
              </w:rPr>
              <w:t xml:space="preserve"> e </w:t>
            </w:r>
            <w:proofErr w:type="spellStart"/>
            <w:r w:rsidRPr="00DF4CE5">
              <w:rPr>
                <w:rFonts w:ascii="Cambria" w:eastAsia="Times New Roman" w:hAnsi="Cambria" w:cs="Calibri"/>
                <w:lang w:val="hr-HR"/>
              </w:rPr>
              <w:t>formazione</w:t>
            </w:r>
            <w:proofErr w:type="spellEnd"/>
            <w:r w:rsidRPr="00DF4CE5">
              <w:rPr>
                <w:rFonts w:ascii="Cambria" w:eastAsia="Times New Roman" w:hAnsi="Cambria" w:cs="Calibri"/>
                <w:lang w:val="hr-HR"/>
              </w:rPr>
              <w:t xml:space="preserve"> </w:t>
            </w:r>
            <w:proofErr w:type="spellStart"/>
            <w:r w:rsidRPr="00DF4CE5">
              <w:rPr>
                <w:rFonts w:ascii="Cambria" w:eastAsia="Times New Roman" w:hAnsi="Cambria" w:cs="Calibri"/>
                <w:lang w:val="hr-HR"/>
              </w:rPr>
              <w:t>primaria</w:t>
            </w:r>
            <w:proofErr w:type="spellEnd"/>
            <w:r w:rsidRPr="00DF4CE5">
              <w:rPr>
                <w:rFonts w:ascii="Cambria" w:eastAsia="Times New Roman" w:hAnsi="Cambria" w:cs="Calibri"/>
                <w:lang w:val="hr-HR"/>
              </w:rPr>
              <w:t xml:space="preserve">. Padova: libreriauniversitaria.it </w:t>
            </w:r>
            <w:proofErr w:type="spellStart"/>
            <w:r w:rsidRPr="00DF4CE5">
              <w:rPr>
                <w:rFonts w:ascii="Cambria" w:eastAsia="Times New Roman" w:hAnsi="Cambria" w:cs="Calibri"/>
                <w:lang w:val="hr-HR"/>
              </w:rPr>
              <w:t>edizioni</w:t>
            </w:r>
            <w:proofErr w:type="spellEnd"/>
            <w:r w:rsidRPr="00DF4CE5">
              <w:rPr>
                <w:rFonts w:ascii="Cambria" w:eastAsia="Times New Roman" w:hAnsi="Cambria" w:cs="Calibri"/>
                <w:lang w:val="hr-HR"/>
              </w:rPr>
              <w:t>.</w:t>
            </w:r>
          </w:p>
          <w:p w14:paraId="794148CF" w14:textId="77777777" w:rsidR="000F1A10" w:rsidRPr="00DF4CE5" w:rsidRDefault="000F1A10" w:rsidP="000F1A10">
            <w:pPr>
              <w:spacing w:after="0" w:line="240" w:lineRule="auto"/>
              <w:rPr>
                <w:rFonts w:ascii="Cambria" w:eastAsia="Times New Roman" w:hAnsi="Cambria" w:cs="Calibri"/>
                <w:lang w:val="hr-HR"/>
              </w:rPr>
            </w:pPr>
            <w:r w:rsidRPr="00DF4CE5">
              <w:rPr>
                <w:rFonts w:ascii="Cambria" w:eastAsia="Times New Roman" w:hAnsi="Cambria" w:cs="Calibri"/>
                <w:lang w:val="hr-HR"/>
              </w:rPr>
              <w:t xml:space="preserve">5. </w:t>
            </w:r>
            <w:proofErr w:type="spellStart"/>
            <w:r w:rsidRPr="00DF4CE5">
              <w:rPr>
                <w:rFonts w:ascii="Cambria" w:eastAsia="Times New Roman" w:hAnsi="Cambria" w:cs="Calibri"/>
                <w:lang w:val="hr-HR"/>
              </w:rPr>
              <w:t>Pesek</w:t>
            </w:r>
            <w:proofErr w:type="spellEnd"/>
            <w:r w:rsidRPr="00DF4CE5">
              <w:rPr>
                <w:rFonts w:ascii="Cambria" w:eastAsia="Times New Roman" w:hAnsi="Cambria" w:cs="Calibri"/>
                <w:lang w:val="hr-HR"/>
              </w:rPr>
              <w:t xml:space="preserve">, A. (1997). </w:t>
            </w:r>
            <w:proofErr w:type="spellStart"/>
            <w:r w:rsidRPr="00DF4CE5">
              <w:rPr>
                <w:rFonts w:ascii="Cambria" w:eastAsia="Times New Roman" w:hAnsi="Cambria" w:cs="Calibri"/>
                <w:lang w:val="hr-HR"/>
              </w:rPr>
              <w:t>Otroci</w:t>
            </w:r>
            <w:proofErr w:type="spellEnd"/>
            <w:r w:rsidRPr="00DF4CE5">
              <w:rPr>
                <w:rFonts w:ascii="Cambria" w:eastAsia="Times New Roman" w:hAnsi="Cambria" w:cs="Calibri"/>
                <w:lang w:val="hr-HR"/>
              </w:rPr>
              <w:t xml:space="preserve"> v svetu </w:t>
            </w:r>
            <w:proofErr w:type="spellStart"/>
            <w:r w:rsidRPr="00DF4CE5">
              <w:rPr>
                <w:rFonts w:ascii="Cambria" w:eastAsia="Times New Roman" w:hAnsi="Cambria" w:cs="Calibri"/>
                <w:lang w:val="hr-HR"/>
              </w:rPr>
              <w:t>glasbe</w:t>
            </w:r>
            <w:proofErr w:type="spellEnd"/>
            <w:r w:rsidRPr="00DF4CE5">
              <w:rPr>
                <w:rFonts w:ascii="Cambria" w:eastAsia="Times New Roman" w:hAnsi="Cambria" w:cs="Calibri"/>
                <w:lang w:val="hr-HR"/>
              </w:rPr>
              <w:t xml:space="preserve">. Ljubljana: </w:t>
            </w:r>
            <w:proofErr w:type="spellStart"/>
            <w:r w:rsidRPr="00DF4CE5">
              <w:rPr>
                <w:rFonts w:ascii="Cambria" w:eastAsia="Times New Roman" w:hAnsi="Cambria" w:cs="Calibri"/>
                <w:lang w:val="hr-HR"/>
              </w:rPr>
              <w:t>Mladinska</w:t>
            </w:r>
            <w:proofErr w:type="spellEnd"/>
            <w:r w:rsidRPr="00DF4CE5">
              <w:rPr>
                <w:rFonts w:ascii="Cambria" w:eastAsia="Times New Roman" w:hAnsi="Cambria" w:cs="Calibri"/>
                <w:lang w:val="hr-HR"/>
              </w:rPr>
              <w:t xml:space="preserve"> knjiga.</w:t>
            </w:r>
          </w:p>
          <w:p w14:paraId="58933318" w14:textId="77777777" w:rsidR="000F1A10" w:rsidRPr="00DF4CE5" w:rsidRDefault="000F1A10" w:rsidP="000F1A10">
            <w:pPr>
              <w:spacing w:after="0" w:line="240" w:lineRule="auto"/>
              <w:rPr>
                <w:rFonts w:ascii="Cambria" w:eastAsia="Times New Roman" w:hAnsi="Cambria" w:cs="Calibri"/>
                <w:lang w:val="hr-HR"/>
              </w:rPr>
            </w:pPr>
            <w:r w:rsidRPr="00DF4CE5">
              <w:rPr>
                <w:rFonts w:ascii="Cambria" w:eastAsia="Times New Roman" w:hAnsi="Cambria" w:cs="Calibri"/>
                <w:lang w:val="hr-HR"/>
              </w:rPr>
              <w:t xml:space="preserve">6. </w:t>
            </w:r>
            <w:proofErr w:type="spellStart"/>
            <w:r w:rsidRPr="00DF4CE5">
              <w:rPr>
                <w:rFonts w:ascii="Cambria" w:eastAsia="Times New Roman" w:hAnsi="Cambria" w:cs="Calibri"/>
                <w:lang w:val="hr-HR"/>
              </w:rPr>
              <w:t>Vidulin</w:t>
            </w:r>
            <w:proofErr w:type="spellEnd"/>
            <w:r w:rsidRPr="00DF4CE5">
              <w:rPr>
                <w:rFonts w:ascii="Cambria" w:eastAsia="Times New Roman" w:hAnsi="Cambria" w:cs="Calibri"/>
                <w:lang w:val="hr-HR"/>
              </w:rPr>
              <w:t>-Orbanić, S. (</w:t>
            </w:r>
            <w:proofErr w:type="spellStart"/>
            <w:r w:rsidRPr="00DF4CE5">
              <w:rPr>
                <w:rFonts w:ascii="Cambria" w:eastAsia="Times New Roman" w:hAnsi="Cambria" w:cs="Calibri"/>
                <w:lang w:val="hr-HR"/>
              </w:rPr>
              <w:t>ur</w:t>
            </w:r>
            <w:proofErr w:type="spellEnd"/>
            <w:r w:rsidRPr="00DF4CE5">
              <w:rPr>
                <w:rFonts w:ascii="Cambria" w:eastAsia="Times New Roman" w:hAnsi="Cambria" w:cs="Calibri"/>
                <w:lang w:val="hr-HR"/>
              </w:rPr>
              <w:t>.) (2013). Zbornik radova s Trećeg međunarodnog simpozija glazbenih pedagoga. Glazbena pedagogija u svjetlu sadašnjih i budućih promjena 3. Pula: Sveučilište Jurja Dobrile u Puli.</w:t>
            </w:r>
          </w:p>
          <w:p w14:paraId="221C1057" w14:textId="77777777" w:rsidR="000F1A10" w:rsidRPr="00DF4CE5" w:rsidRDefault="000F1A10" w:rsidP="000F1A10">
            <w:pPr>
              <w:spacing w:after="0" w:line="240" w:lineRule="auto"/>
              <w:rPr>
                <w:rFonts w:ascii="Cambria" w:eastAsia="Times New Roman" w:hAnsi="Cambria" w:cs="Calibri"/>
                <w:lang w:val="hr-HR"/>
              </w:rPr>
            </w:pPr>
            <w:r w:rsidRPr="00DF4CE5">
              <w:rPr>
                <w:rFonts w:ascii="Cambria" w:eastAsia="Times New Roman" w:hAnsi="Cambria" w:cs="Calibri"/>
                <w:lang w:val="hr-HR"/>
              </w:rPr>
              <w:t xml:space="preserve">7. </w:t>
            </w:r>
            <w:proofErr w:type="spellStart"/>
            <w:r w:rsidRPr="00DF4CE5">
              <w:rPr>
                <w:rFonts w:ascii="Cambria" w:eastAsia="Times New Roman" w:hAnsi="Cambria" w:cs="Calibri"/>
                <w:lang w:val="hr-HR"/>
              </w:rPr>
              <w:t>Vidulin</w:t>
            </w:r>
            <w:proofErr w:type="spellEnd"/>
            <w:r w:rsidRPr="00DF4CE5">
              <w:rPr>
                <w:rFonts w:ascii="Cambria" w:eastAsia="Times New Roman" w:hAnsi="Cambria" w:cs="Calibri"/>
                <w:lang w:val="hr-HR"/>
              </w:rPr>
              <w:t>-Orbanić, S. (</w:t>
            </w:r>
            <w:proofErr w:type="spellStart"/>
            <w:r w:rsidRPr="00DF4CE5">
              <w:rPr>
                <w:rFonts w:ascii="Cambria" w:eastAsia="Times New Roman" w:hAnsi="Cambria" w:cs="Calibri"/>
                <w:lang w:val="hr-HR"/>
              </w:rPr>
              <w:t>ur</w:t>
            </w:r>
            <w:proofErr w:type="spellEnd"/>
            <w:r w:rsidRPr="00DF4CE5">
              <w:rPr>
                <w:rFonts w:ascii="Cambria" w:eastAsia="Times New Roman" w:hAnsi="Cambria" w:cs="Calibri"/>
                <w:lang w:val="hr-HR"/>
              </w:rPr>
              <w:t>.) (2011). Monografija radova s Drugog međunarodnog simpozija glazbenih pedagoga. Glazbena nastava i nastavna tehnologija: mogućnosti i ograničenja. Pula: Sveučilište Jurja Dobrile u Puli.</w:t>
            </w:r>
          </w:p>
          <w:p w14:paraId="29AB8D4F" w14:textId="77777777" w:rsidR="000F1A10" w:rsidRPr="00DF4CE5" w:rsidRDefault="000F1A10" w:rsidP="000F1A10">
            <w:pPr>
              <w:spacing w:after="0" w:line="240" w:lineRule="auto"/>
              <w:rPr>
                <w:rFonts w:ascii="Cambria" w:eastAsia="Times New Roman" w:hAnsi="Cambria" w:cs="Calibri"/>
                <w:lang w:val="hr-HR"/>
              </w:rPr>
            </w:pPr>
            <w:r w:rsidRPr="00DF4CE5">
              <w:rPr>
                <w:rFonts w:ascii="Cambria" w:eastAsia="Times New Roman" w:hAnsi="Cambria" w:cs="Calibri"/>
                <w:lang w:val="hr-HR"/>
              </w:rPr>
              <w:t xml:space="preserve">8. </w:t>
            </w:r>
            <w:proofErr w:type="spellStart"/>
            <w:r w:rsidRPr="00DF4CE5">
              <w:rPr>
                <w:rFonts w:ascii="Cambria" w:eastAsia="Times New Roman" w:hAnsi="Cambria" w:cs="Calibri"/>
                <w:lang w:val="hr-HR"/>
              </w:rPr>
              <w:t>Vidulin</w:t>
            </w:r>
            <w:proofErr w:type="spellEnd"/>
            <w:r w:rsidRPr="00DF4CE5">
              <w:rPr>
                <w:rFonts w:ascii="Cambria" w:eastAsia="Times New Roman" w:hAnsi="Cambria" w:cs="Calibri"/>
                <w:lang w:val="hr-HR"/>
              </w:rPr>
              <w:t>-Orbanić, S. (</w:t>
            </w:r>
            <w:proofErr w:type="spellStart"/>
            <w:r w:rsidRPr="00DF4CE5">
              <w:rPr>
                <w:rFonts w:ascii="Cambria" w:eastAsia="Times New Roman" w:hAnsi="Cambria" w:cs="Calibri"/>
                <w:lang w:val="hr-HR"/>
              </w:rPr>
              <w:t>ur</w:t>
            </w:r>
            <w:proofErr w:type="spellEnd"/>
            <w:r w:rsidRPr="00DF4CE5">
              <w:rPr>
                <w:rFonts w:ascii="Cambria" w:eastAsia="Times New Roman" w:hAnsi="Cambria" w:cs="Calibri"/>
                <w:lang w:val="hr-HR"/>
              </w:rPr>
              <w:t>.) (2009). Zbornik radova s Prvog međunarodnog simpozija glazbenih pedagoga. Glazbena pedagogija u svjetlu sadašnjih i budućih promjena. Pula: Sveučilište Jurja Dobrile u Puli.</w:t>
            </w:r>
          </w:p>
          <w:p w14:paraId="3558CFEA" w14:textId="77777777" w:rsidR="000F1A10" w:rsidRPr="00DF4CE5" w:rsidRDefault="000F1A10" w:rsidP="000F1A10">
            <w:pPr>
              <w:spacing w:after="0" w:line="240" w:lineRule="auto"/>
              <w:rPr>
                <w:rFonts w:ascii="Cambria" w:eastAsia="Times New Roman" w:hAnsi="Cambria" w:cs="Calibri"/>
                <w:lang w:val="hr-HR"/>
              </w:rPr>
            </w:pPr>
            <w:r w:rsidRPr="00DF4CE5">
              <w:rPr>
                <w:rFonts w:ascii="Cambria" w:eastAsia="Times New Roman" w:hAnsi="Cambria" w:cs="Calibri"/>
                <w:lang w:val="hr-HR"/>
              </w:rPr>
              <w:t>Priručna: razne pjesmarice.</w:t>
            </w:r>
          </w:p>
          <w:p w14:paraId="2B2D1109" w14:textId="77777777" w:rsidR="000F1A10" w:rsidRPr="00DF4CE5" w:rsidRDefault="000F1A10" w:rsidP="000F1A10">
            <w:pPr>
              <w:spacing w:after="0" w:line="240" w:lineRule="auto"/>
              <w:rPr>
                <w:rFonts w:ascii="Cambria" w:eastAsia="Times New Roman" w:hAnsi="Cambria" w:cs="Calibri"/>
                <w:lang w:val="hr-HR"/>
              </w:rPr>
            </w:pPr>
            <w:r w:rsidRPr="00DF4CE5">
              <w:rPr>
                <w:rFonts w:ascii="Cambria" w:eastAsia="Times New Roman" w:hAnsi="Cambria" w:cs="Calibri"/>
                <w:lang w:val="hr-HR"/>
              </w:rPr>
              <w:lastRenderedPageBreak/>
              <w:t>Kurikulum nastavnog predmeta Glazbena kultura za Osnovne škole i Glazbena umjetnost za Gimnazije (</w:t>
            </w:r>
            <w:hyperlink r:id="rId129" w:history="1">
              <w:r w:rsidRPr="00DF4CE5">
                <w:rPr>
                  <w:rFonts w:ascii="Cambria" w:eastAsia="Times New Roman" w:hAnsi="Cambria" w:cs="Times New Roman"/>
                  <w:lang w:val="hr-HR"/>
                </w:rPr>
                <w:t>https://narodne-novine.nn.hr/clanci/sluzbeni/2019_01_7_151.html</w:t>
              </w:r>
            </w:hyperlink>
            <w:r w:rsidRPr="00DF4CE5">
              <w:rPr>
                <w:rFonts w:ascii="Cambria" w:eastAsia="Times New Roman" w:hAnsi="Cambria" w:cs="Calibri"/>
                <w:lang w:val="hr-HR"/>
              </w:rPr>
              <w:t>)</w:t>
            </w:r>
          </w:p>
        </w:tc>
      </w:tr>
    </w:tbl>
    <w:p w14:paraId="36F143F8" w14:textId="77777777" w:rsidR="00BB447A" w:rsidRPr="00DF4CE5" w:rsidRDefault="00BB447A" w:rsidP="008B34AF">
      <w:pPr>
        <w:jc w:val="both"/>
        <w:rPr>
          <w:rFonts w:ascii="Cambria" w:hAnsi="Cambria"/>
          <w:lang w:val="hr-HR"/>
        </w:rPr>
      </w:pPr>
    </w:p>
    <w:p w14:paraId="71A0EBD6" w14:textId="45845F43" w:rsidR="00DC4673" w:rsidRPr="00DF4CE5" w:rsidRDefault="00DC4673" w:rsidP="008B34AF">
      <w:pPr>
        <w:jc w:val="both"/>
        <w:rPr>
          <w:rFonts w:ascii="Cambria" w:hAnsi="Cambria"/>
          <w:lang w:val="hr-HR"/>
        </w:rPr>
      </w:pPr>
    </w:p>
    <w:p w14:paraId="3B34573A" w14:textId="153F0900" w:rsidR="00DC4673" w:rsidRPr="00DF4CE5" w:rsidRDefault="0036703C" w:rsidP="00830554">
      <w:pPr>
        <w:rPr>
          <w:rFonts w:ascii="Cambria" w:hAnsi="Cambria"/>
          <w:lang w:val="hr-HR"/>
        </w:rPr>
      </w:pPr>
      <w:r>
        <w:rPr>
          <w:rFonts w:ascii="Cambria" w:hAnsi="Cambria"/>
          <w:lang w:val="hr-HR"/>
        </w:rPr>
        <w:br w:type="page"/>
      </w:r>
    </w:p>
    <w:tbl>
      <w:tblPr>
        <w:tblW w:w="5000" w:type="pct"/>
        <w:tblLayout w:type="fixed"/>
        <w:tblCellMar>
          <w:left w:w="0" w:type="dxa"/>
          <w:right w:w="0" w:type="dxa"/>
        </w:tblCellMar>
        <w:tblLook w:val="0000" w:firstRow="0" w:lastRow="0" w:firstColumn="0" w:lastColumn="0" w:noHBand="0" w:noVBand="0"/>
      </w:tblPr>
      <w:tblGrid>
        <w:gridCol w:w="2275"/>
        <w:gridCol w:w="3195"/>
        <w:gridCol w:w="105"/>
        <w:gridCol w:w="1171"/>
        <w:gridCol w:w="300"/>
        <w:gridCol w:w="472"/>
        <w:gridCol w:w="1087"/>
        <w:gridCol w:w="1415"/>
      </w:tblGrid>
      <w:tr w:rsidR="009568E0" w:rsidRPr="005C2363" w14:paraId="0846C749" w14:textId="77777777" w:rsidTr="009568E0">
        <w:tc>
          <w:tcPr>
            <w:tcW w:w="9052"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4DF5EDC" w14:textId="77777777" w:rsidR="009568E0" w:rsidRPr="005C2363" w:rsidRDefault="009568E0" w:rsidP="009568E0">
            <w:pPr>
              <w:spacing w:after="0" w:line="240" w:lineRule="auto"/>
              <w:jc w:val="right"/>
              <w:rPr>
                <w:rFonts w:ascii="Cambria" w:eastAsia="Times New Roman" w:hAnsi="Cambria" w:cs="Calibri"/>
                <w:b/>
                <w:lang w:val="hr-HR"/>
              </w:rPr>
            </w:pPr>
            <w:r w:rsidRPr="005C2363">
              <w:rPr>
                <w:rFonts w:ascii="Cambria" w:eastAsia="Times New Roman" w:hAnsi="Cambria" w:cs="Calibri"/>
                <w:b/>
                <w:lang w:val="hr-HR"/>
              </w:rPr>
              <w:lastRenderedPageBreak/>
              <w:t>IZVEDBENI PLAN NASTAVE KOLEGIJA</w:t>
            </w:r>
          </w:p>
        </w:tc>
      </w:tr>
      <w:tr w:rsidR="009568E0" w:rsidRPr="005C2363" w14:paraId="5153BA28" w14:textId="77777777" w:rsidTr="009568E0">
        <w:tc>
          <w:tcPr>
            <w:tcW w:w="205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E57F930" w14:textId="77777777" w:rsidR="009568E0" w:rsidRPr="005C2363" w:rsidRDefault="009568E0" w:rsidP="009568E0">
            <w:pPr>
              <w:spacing w:after="0" w:line="240" w:lineRule="auto"/>
              <w:rPr>
                <w:rFonts w:ascii="Cambria" w:eastAsia="Times New Roman" w:hAnsi="Cambria" w:cs="Calibri"/>
                <w:lang w:val="hr-HR"/>
              </w:rPr>
            </w:pPr>
            <w:r w:rsidRPr="005C2363">
              <w:rPr>
                <w:rFonts w:ascii="Cambria" w:eastAsia="Times New Roman" w:hAnsi="Cambria" w:cs="Calibri"/>
                <w:lang w:val="hr-HR"/>
              </w:rPr>
              <w:t>Kod i naziv kolegija</w:t>
            </w:r>
          </w:p>
        </w:tc>
        <w:tc>
          <w:tcPr>
            <w:tcW w:w="699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FFF6CB9" w14:textId="77777777" w:rsidR="009568E0" w:rsidRPr="00DF4CE5" w:rsidRDefault="009568E0" w:rsidP="009568E0">
            <w:pPr>
              <w:snapToGrid w:val="0"/>
              <w:spacing w:after="0" w:line="240" w:lineRule="auto"/>
              <w:jc w:val="both"/>
              <w:rPr>
                <w:rFonts w:ascii="Cambria" w:eastAsia="Times New Roman" w:hAnsi="Cambria" w:cs="Calibri"/>
                <w:lang w:val="hr-HR"/>
              </w:rPr>
            </w:pPr>
            <w:r w:rsidRPr="00DF4CE5">
              <w:rPr>
                <w:rFonts w:ascii="Cambria" w:eastAsia="Times New Roman" w:hAnsi="Cambria" w:cs="Calibri"/>
                <w:lang w:val="hr-HR"/>
              </w:rPr>
              <w:t>96503</w:t>
            </w:r>
          </w:p>
          <w:p w14:paraId="74FAB737" w14:textId="58806C5D" w:rsidR="009568E0" w:rsidRPr="00DF4CE5" w:rsidRDefault="009568E0" w:rsidP="009568E0">
            <w:pPr>
              <w:shd w:val="clear" w:color="auto" w:fill="FFFFFF"/>
              <w:suppressAutoHyphens/>
              <w:snapToGrid w:val="0"/>
              <w:spacing w:after="0" w:line="240" w:lineRule="auto"/>
              <w:jc w:val="both"/>
              <w:outlineLvl w:val="2"/>
              <w:rPr>
                <w:rFonts w:ascii="Cambria" w:eastAsia="Times New Roman" w:hAnsi="Cambria" w:cs="Calibri"/>
                <w:bCs/>
                <w:lang w:val="hr-HR" w:eastAsia="hr-HR"/>
              </w:rPr>
            </w:pPr>
            <w:r w:rsidRPr="00DF4CE5">
              <w:rPr>
                <w:rFonts w:ascii="Cambria" w:eastAsia="Times New Roman" w:hAnsi="Cambria" w:cs="Calibri"/>
                <w:lang w:val="hr-HR"/>
              </w:rPr>
              <w:t>Metodika likovne kulture I</w:t>
            </w:r>
          </w:p>
        </w:tc>
      </w:tr>
      <w:tr w:rsidR="009568E0" w:rsidRPr="007D6972" w14:paraId="5619A427" w14:textId="77777777" w:rsidTr="009568E0">
        <w:tc>
          <w:tcPr>
            <w:tcW w:w="205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4197011" w14:textId="77777777" w:rsidR="009568E0" w:rsidRPr="005C2363" w:rsidRDefault="009568E0" w:rsidP="009568E0">
            <w:pPr>
              <w:spacing w:after="0" w:line="240" w:lineRule="auto"/>
              <w:rPr>
                <w:rFonts w:ascii="Cambria" w:eastAsia="Times New Roman" w:hAnsi="Cambria" w:cs="Calibri"/>
                <w:lang w:val="hr-HR"/>
              </w:rPr>
            </w:pPr>
            <w:r w:rsidRPr="005C2363">
              <w:rPr>
                <w:rFonts w:ascii="Cambria" w:eastAsia="Times New Roman" w:hAnsi="Cambria" w:cs="Calibri"/>
                <w:lang w:val="hr-HR"/>
              </w:rPr>
              <w:t xml:space="preserve">Nastavnica </w:t>
            </w:r>
          </w:p>
        </w:tc>
        <w:tc>
          <w:tcPr>
            <w:tcW w:w="699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EED065B" w14:textId="77777777" w:rsidR="009568E0" w:rsidRPr="00DF4CE5" w:rsidRDefault="009568E0" w:rsidP="009568E0">
            <w:pPr>
              <w:snapToGrid w:val="0"/>
              <w:spacing w:after="0" w:line="240" w:lineRule="auto"/>
              <w:jc w:val="both"/>
              <w:rPr>
                <w:rFonts w:ascii="Cambria" w:eastAsia="Times New Roman" w:hAnsi="Cambria" w:cs="Calibri"/>
                <w:lang w:val="hr-HR"/>
              </w:rPr>
            </w:pPr>
            <w:hyperlink r:id="rId130" w:history="1">
              <w:proofErr w:type="spellStart"/>
              <w:r>
                <w:rPr>
                  <w:rStyle w:val="Hiperveza"/>
                  <w:rFonts w:ascii="Cambria" w:eastAsia="Times New Roman" w:hAnsi="Cambria" w:cs="Times New Roman"/>
                  <w:lang w:val="en-GB"/>
                </w:rPr>
                <w:t>I</w:t>
              </w:r>
              <w:r w:rsidRPr="00DF4CE5">
                <w:rPr>
                  <w:rStyle w:val="Hiperveza"/>
                  <w:rFonts w:ascii="Cambria" w:eastAsia="Times New Roman" w:hAnsi="Cambria" w:cs="Times New Roman"/>
                  <w:lang w:val="en-GB"/>
                </w:rPr>
                <w:t>zv</w:t>
              </w:r>
              <w:proofErr w:type="spellEnd"/>
              <w:r w:rsidRPr="00DF4CE5">
                <w:rPr>
                  <w:rStyle w:val="Hiperveza"/>
                  <w:rFonts w:ascii="Cambria" w:eastAsia="Times New Roman" w:hAnsi="Cambria" w:cs="Times New Roman"/>
                  <w:lang w:val="en-GB"/>
                </w:rPr>
                <w:t xml:space="preserve">. prof. art. </w:t>
              </w:r>
              <w:r w:rsidRPr="00DF4CE5">
                <w:rPr>
                  <w:rStyle w:val="Hiperveza"/>
                  <w:rFonts w:ascii="Cambria" w:eastAsia="Times New Roman" w:hAnsi="Cambria" w:cs="Times New Roman"/>
                  <w:lang w:val="it-IT"/>
                </w:rPr>
                <w:t>Aleksandra Rotar</w:t>
              </w:r>
            </w:hyperlink>
            <w:r w:rsidRPr="00DF4CE5">
              <w:rPr>
                <w:rFonts w:ascii="Cambria" w:eastAsia="Times New Roman" w:hAnsi="Cambria" w:cs="Calibri"/>
                <w:lang w:val="hr-HR"/>
              </w:rPr>
              <w:t xml:space="preserve"> (nositeljica)</w:t>
            </w:r>
          </w:p>
        </w:tc>
      </w:tr>
      <w:tr w:rsidR="009568E0" w:rsidRPr="00D0399C" w14:paraId="0CEF0FD9" w14:textId="77777777" w:rsidTr="009568E0">
        <w:tc>
          <w:tcPr>
            <w:tcW w:w="205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0BB56DE" w14:textId="77777777" w:rsidR="009568E0" w:rsidRPr="005C2363" w:rsidRDefault="009568E0" w:rsidP="009568E0">
            <w:pPr>
              <w:spacing w:after="0" w:line="240" w:lineRule="auto"/>
              <w:rPr>
                <w:rFonts w:ascii="Cambria" w:eastAsia="Times New Roman" w:hAnsi="Cambria" w:cs="Calibri"/>
                <w:lang w:val="hr-HR"/>
              </w:rPr>
            </w:pPr>
            <w:r w:rsidRPr="005C2363">
              <w:rPr>
                <w:rFonts w:ascii="Cambria" w:eastAsia="Times New Roman" w:hAnsi="Cambria" w:cs="Calibri"/>
                <w:lang w:val="hr-HR"/>
              </w:rPr>
              <w:t>Studijski program</w:t>
            </w:r>
          </w:p>
        </w:tc>
        <w:tc>
          <w:tcPr>
            <w:tcW w:w="699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E004F4D" w14:textId="77777777" w:rsidR="009568E0" w:rsidRPr="00DF4CE5" w:rsidRDefault="009568E0" w:rsidP="009568E0">
            <w:pPr>
              <w:spacing w:after="0" w:line="240" w:lineRule="auto"/>
              <w:jc w:val="both"/>
              <w:rPr>
                <w:rFonts w:ascii="Cambria" w:eastAsia="Times New Roman" w:hAnsi="Cambria" w:cs="Calibri"/>
                <w:lang w:val="hr-HR"/>
              </w:rPr>
            </w:pPr>
            <w:r w:rsidRPr="00DF4CE5">
              <w:rPr>
                <w:rFonts w:ascii="Cambria" w:hAnsi="Cambria"/>
                <w:lang w:val="hr-HR"/>
              </w:rPr>
              <w:t>Sveučilišni integrirani prijediplomski i diplomski Učiteljski studij na hrvatskom jeziku</w:t>
            </w:r>
          </w:p>
        </w:tc>
      </w:tr>
      <w:tr w:rsidR="009568E0" w:rsidRPr="005C2363" w14:paraId="6FAE8544" w14:textId="77777777" w:rsidTr="009568E0">
        <w:tc>
          <w:tcPr>
            <w:tcW w:w="205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A3FA743" w14:textId="77777777" w:rsidR="009568E0" w:rsidRPr="005C2363" w:rsidRDefault="009568E0" w:rsidP="009568E0">
            <w:pPr>
              <w:spacing w:after="0" w:line="240" w:lineRule="auto"/>
              <w:rPr>
                <w:rFonts w:ascii="Cambria" w:eastAsia="Times New Roman" w:hAnsi="Cambria" w:cs="Calibri"/>
                <w:lang w:val="hr-HR"/>
              </w:rPr>
            </w:pPr>
            <w:r w:rsidRPr="005C2363">
              <w:rPr>
                <w:rFonts w:ascii="Cambria" w:eastAsia="Times New Roman" w:hAnsi="Cambria" w:cs="Calibri"/>
                <w:lang w:val="hr-HR"/>
              </w:rPr>
              <w:t>Vrsta kolegija</w:t>
            </w:r>
          </w:p>
        </w:tc>
        <w:tc>
          <w:tcPr>
            <w:tcW w:w="2886" w:type="dxa"/>
            <w:tcBorders>
              <w:top w:val="single" w:sz="8" w:space="0" w:color="000000"/>
              <w:left w:val="single" w:sz="8" w:space="0" w:color="000000"/>
              <w:bottom w:val="single" w:sz="8" w:space="0" w:color="000000"/>
            </w:tcBorders>
            <w:tcMar>
              <w:top w:w="72" w:type="dxa"/>
              <w:left w:w="144" w:type="dxa"/>
              <w:bottom w:w="72" w:type="dxa"/>
              <w:right w:w="144" w:type="dxa"/>
            </w:tcMar>
            <w:vAlign w:val="center"/>
          </w:tcPr>
          <w:p w14:paraId="07008E5C" w14:textId="77777777" w:rsidR="009568E0" w:rsidRPr="00DF4CE5" w:rsidRDefault="009568E0" w:rsidP="009568E0">
            <w:pPr>
              <w:snapToGrid w:val="0"/>
              <w:spacing w:after="0" w:line="240" w:lineRule="auto"/>
              <w:jc w:val="both"/>
              <w:rPr>
                <w:rFonts w:ascii="Cambria" w:eastAsia="Times New Roman" w:hAnsi="Cambria" w:cs="Calibri"/>
                <w:lang w:val="hr-HR"/>
              </w:rPr>
            </w:pPr>
            <w:r w:rsidRPr="00DF4CE5">
              <w:rPr>
                <w:rFonts w:ascii="Cambria" w:eastAsia="Times New Roman" w:hAnsi="Cambria" w:cs="Calibri"/>
                <w:lang w:val="hr-HR"/>
              </w:rPr>
              <w:t>obvezatni</w:t>
            </w:r>
          </w:p>
        </w:tc>
        <w:tc>
          <w:tcPr>
            <w:tcW w:w="1424"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3B620ACE" w14:textId="77777777" w:rsidR="009568E0" w:rsidRPr="005C2363" w:rsidRDefault="009568E0" w:rsidP="009568E0">
            <w:pPr>
              <w:spacing w:after="0" w:line="240" w:lineRule="auto"/>
              <w:rPr>
                <w:rFonts w:ascii="Cambria" w:eastAsia="Times New Roman" w:hAnsi="Cambria" w:cs="Calibri"/>
                <w:lang w:val="hr-HR"/>
              </w:rPr>
            </w:pPr>
            <w:r w:rsidRPr="005C2363">
              <w:rPr>
                <w:rFonts w:ascii="Cambria" w:eastAsia="Times New Roman" w:hAnsi="Cambria" w:cs="Calibri"/>
                <w:lang w:val="hr-HR"/>
              </w:rPr>
              <w:t>Razina kolegija</w:t>
            </w:r>
          </w:p>
        </w:tc>
        <w:tc>
          <w:tcPr>
            <w:tcW w:w="2686"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B456132" w14:textId="77777777" w:rsidR="009568E0" w:rsidRPr="00DF4CE5" w:rsidRDefault="009568E0" w:rsidP="009568E0">
            <w:pPr>
              <w:snapToGrid w:val="0"/>
              <w:spacing w:after="0" w:line="240" w:lineRule="auto"/>
              <w:jc w:val="both"/>
              <w:rPr>
                <w:rFonts w:ascii="Cambria" w:eastAsia="Times New Roman" w:hAnsi="Cambria" w:cs="Calibri"/>
                <w:lang w:val="it-IT"/>
              </w:rPr>
            </w:pPr>
            <w:r w:rsidRPr="00DF4CE5">
              <w:rPr>
                <w:rFonts w:ascii="Cambria" w:eastAsia="Times New Roman" w:hAnsi="Cambria" w:cs="Calibri"/>
              </w:rPr>
              <w:t xml:space="preserve"> </w:t>
            </w:r>
            <w:proofErr w:type="spellStart"/>
            <w:r w:rsidRPr="00DF4CE5">
              <w:rPr>
                <w:rFonts w:ascii="Cambria" w:eastAsia="Times New Roman" w:hAnsi="Cambria" w:cs="Calibri"/>
              </w:rPr>
              <w:t>integrirani</w:t>
            </w:r>
            <w:proofErr w:type="spellEnd"/>
          </w:p>
        </w:tc>
      </w:tr>
      <w:tr w:rsidR="009568E0" w:rsidRPr="005C2363" w14:paraId="1B33C095" w14:textId="77777777" w:rsidTr="009568E0">
        <w:tc>
          <w:tcPr>
            <w:tcW w:w="205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53B7432" w14:textId="77777777" w:rsidR="009568E0" w:rsidRPr="005C2363" w:rsidRDefault="009568E0" w:rsidP="009568E0">
            <w:pPr>
              <w:spacing w:after="0" w:line="240" w:lineRule="auto"/>
              <w:rPr>
                <w:rFonts w:ascii="Cambria" w:eastAsia="Times New Roman" w:hAnsi="Cambria" w:cs="Calibri"/>
                <w:lang w:val="hr-HR"/>
              </w:rPr>
            </w:pPr>
            <w:r w:rsidRPr="005C2363">
              <w:rPr>
                <w:rFonts w:ascii="Cambria" w:eastAsia="Times New Roman" w:hAnsi="Cambria" w:cs="Calibri"/>
                <w:lang w:val="hr-HR"/>
              </w:rPr>
              <w:t>Semestar</w:t>
            </w:r>
          </w:p>
        </w:tc>
        <w:tc>
          <w:tcPr>
            <w:tcW w:w="2886" w:type="dxa"/>
            <w:tcBorders>
              <w:top w:val="single" w:sz="8" w:space="0" w:color="000000"/>
              <w:left w:val="single" w:sz="8" w:space="0" w:color="000000"/>
              <w:bottom w:val="single" w:sz="8" w:space="0" w:color="000000"/>
            </w:tcBorders>
            <w:tcMar>
              <w:top w:w="72" w:type="dxa"/>
              <w:left w:w="144" w:type="dxa"/>
              <w:bottom w:w="72" w:type="dxa"/>
              <w:right w:w="144" w:type="dxa"/>
            </w:tcMar>
            <w:vAlign w:val="center"/>
          </w:tcPr>
          <w:p w14:paraId="24E56A9F" w14:textId="77777777" w:rsidR="009568E0" w:rsidRPr="00DF4CE5" w:rsidRDefault="009568E0" w:rsidP="009568E0">
            <w:pPr>
              <w:snapToGrid w:val="0"/>
              <w:spacing w:after="0" w:line="240" w:lineRule="auto"/>
              <w:jc w:val="both"/>
              <w:rPr>
                <w:rFonts w:ascii="Cambria" w:eastAsia="Times New Roman" w:hAnsi="Cambria" w:cs="Calibri"/>
                <w:lang w:val="hr-HR"/>
              </w:rPr>
            </w:pPr>
            <w:r w:rsidRPr="00DF4CE5">
              <w:rPr>
                <w:rFonts w:ascii="Cambria" w:eastAsia="Times New Roman" w:hAnsi="Cambria" w:cs="Calibri"/>
                <w:lang w:val="hr-HR"/>
              </w:rPr>
              <w:t>zimski</w:t>
            </w:r>
          </w:p>
        </w:tc>
        <w:tc>
          <w:tcPr>
            <w:tcW w:w="1424"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1038220B" w14:textId="77777777" w:rsidR="009568E0" w:rsidRPr="005C2363" w:rsidRDefault="009568E0" w:rsidP="009568E0">
            <w:pPr>
              <w:spacing w:after="0" w:line="240" w:lineRule="auto"/>
              <w:rPr>
                <w:rFonts w:ascii="Cambria" w:eastAsia="Times New Roman" w:hAnsi="Cambria" w:cs="Calibri"/>
                <w:lang w:val="hr-HR"/>
              </w:rPr>
            </w:pPr>
            <w:r w:rsidRPr="005C2363">
              <w:rPr>
                <w:rFonts w:ascii="Cambria" w:eastAsia="Times New Roman" w:hAnsi="Cambria" w:cs="Calibri"/>
                <w:lang w:val="hr-HR"/>
              </w:rPr>
              <w:t>Godina studija</w:t>
            </w:r>
          </w:p>
        </w:tc>
        <w:tc>
          <w:tcPr>
            <w:tcW w:w="2686"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47EB006" w14:textId="77777777" w:rsidR="009568E0" w:rsidRPr="00DF4CE5" w:rsidRDefault="009568E0" w:rsidP="009568E0">
            <w:pPr>
              <w:snapToGrid w:val="0"/>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 IV.</w:t>
            </w:r>
          </w:p>
        </w:tc>
      </w:tr>
      <w:tr w:rsidR="009568E0" w:rsidRPr="005C2363" w14:paraId="70AC94C2" w14:textId="77777777" w:rsidTr="009568E0">
        <w:tc>
          <w:tcPr>
            <w:tcW w:w="205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B6FC4E9" w14:textId="77777777" w:rsidR="009568E0" w:rsidRPr="005C2363" w:rsidRDefault="009568E0" w:rsidP="009568E0">
            <w:pPr>
              <w:spacing w:after="0" w:line="240" w:lineRule="auto"/>
              <w:rPr>
                <w:rFonts w:ascii="Cambria" w:eastAsia="Times New Roman" w:hAnsi="Cambria" w:cs="Calibri"/>
                <w:lang w:val="hr-HR"/>
              </w:rPr>
            </w:pPr>
            <w:r w:rsidRPr="005C2363">
              <w:rPr>
                <w:rFonts w:ascii="Cambria" w:eastAsia="Times New Roman" w:hAnsi="Cambria" w:cs="Calibri"/>
                <w:lang w:val="hr-HR"/>
              </w:rPr>
              <w:t>Mjesto izvođenja</w:t>
            </w:r>
          </w:p>
        </w:tc>
        <w:tc>
          <w:tcPr>
            <w:tcW w:w="2886" w:type="dxa"/>
            <w:tcBorders>
              <w:top w:val="single" w:sz="8" w:space="0" w:color="000000"/>
              <w:left w:val="single" w:sz="8" w:space="0" w:color="000000"/>
              <w:bottom w:val="single" w:sz="8" w:space="0" w:color="000000"/>
            </w:tcBorders>
            <w:tcMar>
              <w:top w:w="72" w:type="dxa"/>
              <w:left w:w="144" w:type="dxa"/>
              <w:bottom w:w="72" w:type="dxa"/>
              <w:right w:w="144" w:type="dxa"/>
            </w:tcMar>
            <w:vAlign w:val="center"/>
          </w:tcPr>
          <w:p w14:paraId="79E1DBA2" w14:textId="4A7B7277" w:rsidR="009568E0" w:rsidRPr="00DF4CE5" w:rsidRDefault="009568E0" w:rsidP="009568E0">
            <w:pPr>
              <w:snapToGrid w:val="0"/>
              <w:spacing w:after="0" w:line="240" w:lineRule="auto"/>
              <w:jc w:val="both"/>
              <w:rPr>
                <w:rFonts w:ascii="Cambria" w:eastAsia="Times New Roman" w:hAnsi="Cambria" w:cs="Calibri"/>
                <w:lang w:val="hr-HR"/>
              </w:rPr>
            </w:pPr>
            <w:r>
              <w:rPr>
                <w:rFonts w:ascii="Cambria" w:eastAsia="Times New Roman" w:hAnsi="Cambria" w:cs="Calibri"/>
                <w:lang w:val="hr-HR"/>
              </w:rPr>
              <w:t>d</w:t>
            </w:r>
            <w:r w:rsidRPr="00DF4CE5">
              <w:rPr>
                <w:rFonts w:ascii="Cambria" w:eastAsia="Times New Roman" w:hAnsi="Cambria" w:cs="Calibri"/>
                <w:lang w:val="hr-HR"/>
              </w:rPr>
              <w:t>vorana</w:t>
            </w:r>
          </w:p>
        </w:tc>
        <w:tc>
          <w:tcPr>
            <w:tcW w:w="1424"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68B3D082" w14:textId="77777777" w:rsidR="009568E0" w:rsidRPr="005C2363" w:rsidRDefault="009568E0" w:rsidP="009568E0">
            <w:pPr>
              <w:spacing w:after="0" w:line="240" w:lineRule="auto"/>
              <w:rPr>
                <w:rFonts w:ascii="Cambria" w:eastAsia="Times New Roman" w:hAnsi="Cambria" w:cs="Calibri"/>
                <w:lang w:val="hr-HR"/>
              </w:rPr>
            </w:pPr>
            <w:r w:rsidRPr="005C2363">
              <w:rPr>
                <w:rFonts w:ascii="Cambria" w:eastAsia="Times New Roman" w:hAnsi="Cambria" w:cs="Calibri"/>
                <w:lang w:val="hr-HR"/>
              </w:rPr>
              <w:t xml:space="preserve">Jezik izvođenja </w:t>
            </w:r>
          </w:p>
        </w:tc>
        <w:tc>
          <w:tcPr>
            <w:tcW w:w="2686"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552F267" w14:textId="77777777" w:rsidR="009568E0" w:rsidRPr="00DF4CE5" w:rsidRDefault="009568E0" w:rsidP="009568E0">
            <w:pPr>
              <w:snapToGrid w:val="0"/>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 hrvatski </w:t>
            </w:r>
          </w:p>
          <w:p w14:paraId="6A2A37D3" w14:textId="77777777" w:rsidR="009568E0" w:rsidRPr="00DF4CE5" w:rsidRDefault="009568E0" w:rsidP="009568E0">
            <w:pPr>
              <w:spacing w:after="0" w:line="240" w:lineRule="auto"/>
              <w:jc w:val="both"/>
              <w:rPr>
                <w:rFonts w:ascii="Cambria" w:eastAsia="Times New Roman" w:hAnsi="Cambria" w:cs="Calibri"/>
                <w:lang w:val="hr-HR"/>
              </w:rPr>
            </w:pPr>
          </w:p>
        </w:tc>
      </w:tr>
      <w:tr w:rsidR="009568E0" w:rsidRPr="005C2363" w14:paraId="676C1F05" w14:textId="77777777" w:rsidTr="009568E0">
        <w:tc>
          <w:tcPr>
            <w:tcW w:w="205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7D3C107" w14:textId="77777777" w:rsidR="009568E0" w:rsidRPr="005C2363" w:rsidRDefault="009568E0" w:rsidP="009568E0">
            <w:pPr>
              <w:spacing w:after="0" w:line="240" w:lineRule="auto"/>
              <w:rPr>
                <w:rFonts w:ascii="Cambria" w:eastAsia="Times New Roman" w:hAnsi="Cambria" w:cs="Calibri"/>
                <w:lang w:val="hr-HR"/>
              </w:rPr>
            </w:pPr>
            <w:r w:rsidRPr="005C2363">
              <w:rPr>
                <w:rFonts w:ascii="Cambria" w:eastAsia="Times New Roman" w:hAnsi="Cambria" w:cs="Calibri"/>
                <w:lang w:val="hr-HR"/>
              </w:rPr>
              <w:t>Broj ECTS bodova</w:t>
            </w:r>
          </w:p>
        </w:tc>
        <w:tc>
          <w:tcPr>
            <w:tcW w:w="2886" w:type="dxa"/>
            <w:tcBorders>
              <w:top w:val="single" w:sz="8" w:space="0" w:color="000000"/>
              <w:left w:val="single" w:sz="8" w:space="0" w:color="000000"/>
              <w:bottom w:val="single" w:sz="8" w:space="0" w:color="000000"/>
            </w:tcBorders>
            <w:tcMar>
              <w:top w:w="72" w:type="dxa"/>
              <w:left w:w="144" w:type="dxa"/>
              <w:bottom w:w="72" w:type="dxa"/>
              <w:right w:w="144" w:type="dxa"/>
            </w:tcMar>
            <w:vAlign w:val="center"/>
          </w:tcPr>
          <w:p w14:paraId="01A0E869" w14:textId="77777777" w:rsidR="009568E0" w:rsidRPr="00DF4CE5" w:rsidRDefault="009568E0" w:rsidP="009568E0">
            <w:pPr>
              <w:snapToGrid w:val="0"/>
              <w:spacing w:after="0" w:line="240" w:lineRule="auto"/>
              <w:jc w:val="both"/>
              <w:rPr>
                <w:rFonts w:ascii="Cambria" w:eastAsia="Times New Roman" w:hAnsi="Cambria" w:cs="Calibri"/>
                <w:lang w:val="hr-HR"/>
              </w:rPr>
            </w:pPr>
            <w:r w:rsidRPr="00DF4CE5">
              <w:rPr>
                <w:rFonts w:ascii="Cambria" w:eastAsia="Times New Roman" w:hAnsi="Cambria" w:cs="Calibri"/>
                <w:lang w:val="hr-HR"/>
              </w:rPr>
              <w:t>4</w:t>
            </w:r>
          </w:p>
        </w:tc>
        <w:tc>
          <w:tcPr>
            <w:tcW w:w="1424"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1500C6D5" w14:textId="77777777" w:rsidR="009568E0" w:rsidRPr="005C2363" w:rsidRDefault="009568E0" w:rsidP="009568E0">
            <w:pPr>
              <w:spacing w:after="0" w:line="240" w:lineRule="auto"/>
              <w:rPr>
                <w:rFonts w:ascii="Cambria" w:eastAsia="Times New Roman" w:hAnsi="Cambria" w:cs="Calibri"/>
                <w:lang w:val="hr-HR"/>
              </w:rPr>
            </w:pPr>
            <w:r w:rsidRPr="005C2363">
              <w:rPr>
                <w:rFonts w:ascii="Cambria" w:eastAsia="Times New Roman" w:hAnsi="Cambria" w:cs="Calibri"/>
                <w:lang w:val="hr-HR"/>
              </w:rPr>
              <w:t>Broj sati u semestru</w:t>
            </w:r>
          </w:p>
        </w:tc>
        <w:tc>
          <w:tcPr>
            <w:tcW w:w="2686"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9D8A62E" w14:textId="77777777" w:rsidR="009568E0" w:rsidRPr="00DF4CE5" w:rsidRDefault="009568E0" w:rsidP="009568E0">
            <w:pPr>
              <w:snapToGrid w:val="0"/>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30P – 0S – 15V   </w:t>
            </w:r>
          </w:p>
        </w:tc>
      </w:tr>
      <w:tr w:rsidR="009568E0" w:rsidRPr="005C2363" w14:paraId="6F26A763" w14:textId="77777777" w:rsidTr="009568E0">
        <w:tc>
          <w:tcPr>
            <w:tcW w:w="205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9EEDEFB" w14:textId="77777777" w:rsidR="009568E0" w:rsidRPr="005C2363" w:rsidRDefault="009568E0" w:rsidP="009568E0">
            <w:pPr>
              <w:spacing w:after="0" w:line="240" w:lineRule="auto"/>
              <w:rPr>
                <w:rFonts w:ascii="Cambria" w:eastAsia="Times New Roman" w:hAnsi="Cambria" w:cs="Calibri"/>
                <w:lang w:val="hr-HR"/>
              </w:rPr>
            </w:pPr>
            <w:r w:rsidRPr="005C2363">
              <w:rPr>
                <w:rFonts w:ascii="Cambria" w:eastAsia="Times New Roman" w:hAnsi="Cambria" w:cs="Calibri"/>
                <w:lang w:val="hr-HR"/>
              </w:rPr>
              <w:t>Preduvjeti za upis i za svladavanje</w:t>
            </w:r>
          </w:p>
        </w:tc>
        <w:tc>
          <w:tcPr>
            <w:tcW w:w="699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BED06B2" w14:textId="77777777" w:rsidR="009568E0" w:rsidRPr="00DF4CE5" w:rsidRDefault="009568E0" w:rsidP="009568E0">
            <w:pPr>
              <w:snapToGrid w:val="0"/>
              <w:spacing w:after="0" w:line="240" w:lineRule="auto"/>
              <w:jc w:val="both"/>
              <w:rPr>
                <w:rFonts w:ascii="Cambria" w:eastAsia="Times New Roman" w:hAnsi="Cambria" w:cs="Calibri"/>
                <w:lang w:val="hr-HR"/>
              </w:rPr>
            </w:pPr>
            <w:r w:rsidRPr="00DF4CE5">
              <w:rPr>
                <w:rFonts w:ascii="Cambria" w:eastAsia="Times New Roman" w:hAnsi="Cambria" w:cs="Calibri"/>
                <w:lang w:val="hr-HR"/>
              </w:rPr>
              <w:t>Nema preduvjeta za upis</w:t>
            </w:r>
          </w:p>
        </w:tc>
      </w:tr>
      <w:tr w:rsidR="009568E0" w:rsidRPr="00D0399C" w14:paraId="501E9681" w14:textId="77777777" w:rsidTr="009568E0">
        <w:tc>
          <w:tcPr>
            <w:tcW w:w="205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8F0812B" w14:textId="77777777" w:rsidR="009568E0" w:rsidRPr="005C2363" w:rsidRDefault="009568E0" w:rsidP="009568E0">
            <w:pPr>
              <w:spacing w:after="0" w:line="240" w:lineRule="auto"/>
              <w:rPr>
                <w:rFonts w:ascii="Cambria" w:eastAsia="Times New Roman" w:hAnsi="Cambria" w:cs="Calibri"/>
                <w:lang w:val="hr-HR"/>
              </w:rPr>
            </w:pPr>
            <w:proofErr w:type="spellStart"/>
            <w:r w:rsidRPr="005C2363">
              <w:rPr>
                <w:rFonts w:ascii="Cambria" w:eastAsia="Times New Roman" w:hAnsi="Cambria" w:cs="Calibri"/>
                <w:lang w:val="hr-HR"/>
              </w:rPr>
              <w:t>Korelativnost</w:t>
            </w:r>
            <w:proofErr w:type="spellEnd"/>
          </w:p>
        </w:tc>
        <w:tc>
          <w:tcPr>
            <w:tcW w:w="699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D98205D" w14:textId="77777777" w:rsidR="009568E0" w:rsidRPr="00DF4CE5" w:rsidRDefault="009568E0" w:rsidP="009568E0">
            <w:pPr>
              <w:snapToGrid w:val="0"/>
              <w:spacing w:after="0" w:line="240" w:lineRule="auto"/>
              <w:jc w:val="both"/>
              <w:rPr>
                <w:rFonts w:ascii="Cambria" w:eastAsia="Times New Roman" w:hAnsi="Cambria" w:cs="Calibri"/>
                <w:lang w:val="hr-HR"/>
              </w:rPr>
            </w:pPr>
            <w:r w:rsidRPr="00DF4CE5">
              <w:rPr>
                <w:rFonts w:ascii="Cambria" w:eastAsia="Times New Roman" w:hAnsi="Cambria" w:cs="Calibri"/>
                <w:lang w:val="hr-HR"/>
              </w:rPr>
              <w:t>Likovna kultura, Metodika likovne kulture 2 i 3, Vizualne komunikacije i kulturna baština, Likovno stvaralaštvo - grafika, Glazbena kultura, Metodika glazbene kulture, Priroda i društvo, Hrvatski jezik i književnost, Dječja književnost…</w:t>
            </w:r>
          </w:p>
        </w:tc>
      </w:tr>
      <w:tr w:rsidR="009568E0" w:rsidRPr="00D0399C" w14:paraId="4C46C8F7" w14:textId="77777777" w:rsidTr="009568E0">
        <w:tc>
          <w:tcPr>
            <w:tcW w:w="205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080C37B" w14:textId="77777777" w:rsidR="009568E0" w:rsidRPr="005C2363" w:rsidRDefault="009568E0" w:rsidP="009568E0">
            <w:pPr>
              <w:spacing w:after="0" w:line="240" w:lineRule="auto"/>
              <w:rPr>
                <w:rFonts w:ascii="Cambria" w:eastAsia="Times New Roman" w:hAnsi="Cambria" w:cs="Calibri"/>
                <w:lang w:val="hr-HR"/>
              </w:rPr>
            </w:pPr>
            <w:r w:rsidRPr="005C2363">
              <w:rPr>
                <w:rFonts w:ascii="Cambria" w:eastAsia="Times New Roman" w:hAnsi="Cambria" w:cs="Calibri"/>
                <w:lang w:val="hr-HR"/>
              </w:rPr>
              <w:t xml:space="preserve">Cilj kolegija </w:t>
            </w:r>
          </w:p>
        </w:tc>
        <w:tc>
          <w:tcPr>
            <w:tcW w:w="699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6D81FC0" w14:textId="77777777" w:rsidR="009568E0" w:rsidRPr="00DF4CE5" w:rsidRDefault="009568E0" w:rsidP="009568E0">
            <w:pPr>
              <w:snapToGrid w:val="0"/>
              <w:spacing w:after="0" w:line="240" w:lineRule="auto"/>
              <w:jc w:val="both"/>
              <w:rPr>
                <w:rFonts w:ascii="Cambria" w:eastAsia="Times New Roman" w:hAnsi="Cambria" w:cs="Calibri"/>
                <w:lang w:val="hr-HR"/>
              </w:rPr>
            </w:pPr>
            <w:r w:rsidRPr="00DF4CE5">
              <w:rPr>
                <w:rFonts w:ascii="Cambria" w:eastAsia="Times New Roman" w:hAnsi="Cambria" w:cs="Calibri"/>
                <w:lang w:val="hr-HR"/>
              </w:rPr>
              <w:t>Razvijati stvaralačke, kreativne te motivacijske sposobnosti (varirati, eksperimentirati, analizirati, opisivati u svrhu priprema za kvalitetan rad u osnovnoj školi Republike Hrvatske.</w:t>
            </w:r>
          </w:p>
        </w:tc>
      </w:tr>
      <w:tr w:rsidR="009568E0" w:rsidRPr="00D0399C" w14:paraId="5594242B" w14:textId="77777777" w:rsidTr="009568E0">
        <w:tc>
          <w:tcPr>
            <w:tcW w:w="205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29878C2" w14:textId="77777777" w:rsidR="009568E0" w:rsidRPr="005C2363" w:rsidRDefault="009568E0" w:rsidP="009568E0">
            <w:pPr>
              <w:spacing w:after="0" w:line="240" w:lineRule="auto"/>
              <w:rPr>
                <w:rFonts w:ascii="Cambria" w:eastAsia="Times New Roman" w:hAnsi="Cambria" w:cs="Calibri"/>
                <w:lang w:val="hr-HR"/>
              </w:rPr>
            </w:pPr>
            <w:r w:rsidRPr="005C2363">
              <w:rPr>
                <w:rFonts w:ascii="Cambria" w:eastAsia="Times New Roman" w:hAnsi="Cambria" w:cs="Calibri"/>
                <w:lang w:val="hr-HR"/>
              </w:rPr>
              <w:t>Ishodi učenja</w:t>
            </w:r>
          </w:p>
        </w:tc>
        <w:tc>
          <w:tcPr>
            <w:tcW w:w="699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A8A7775" w14:textId="77777777" w:rsidR="009568E0" w:rsidRDefault="009568E0" w:rsidP="009568E0">
            <w:pPr>
              <w:suppressAutoHyphens/>
              <w:snapToGrid w:val="0"/>
              <w:spacing w:after="0" w:line="240" w:lineRule="auto"/>
              <w:jc w:val="both"/>
              <w:rPr>
                <w:rFonts w:ascii="Cambria" w:eastAsia="Times New Roman" w:hAnsi="Cambria" w:cs="Calibri"/>
                <w:lang w:val="hr-HR"/>
              </w:rPr>
            </w:pPr>
            <w:r>
              <w:rPr>
                <w:rFonts w:ascii="Cambria" w:eastAsia="Times New Roman" w:hAnsi="Cambria" w:cs="Calibri"/>
                <w:lang w:val="hr-HR"/>
              </w:rPr>
              <w:t>1. p</w:t>
            </w:r>
            <w:r w:rsidRPr="00DF4CE5">
              <w:rPr>
                <w:rFonts w:ascii="Cambria" w:eastAsia="Times New Roman" w:hAnsi="Cambria" w:cs="Calibri"/>
                <w:lang w:val="hr-HR"/>
              </w:rPr>
              <w:t>rimijeniti stečene sposobnosti i stečena znanja iz likovnog  područja (likovni jezik, povijesti umjetnosti, likovne tehnike, motivi) u svrhu likovnog izražavanja djece kroz razna likovna područja</w:t>
            </w:r>
          </w:p>
          <w:p w14:paraId="2A3FF053" w14:textId="77777777" w:rsidR="009568E0" w:rsidRDefault="009568E0" w:rsidP="009568E0">
            <w:pPr>
              <w:suppressAutoHyphens/>
              <w:snapToGrid w:val="0"/>
              <w:spacing w:after="0" w:line="240" w:lineRule="auto"/>
              <w:jc w:val="both"/>
              <w:rPr>
                <w:rFonts w:ascii="Cambria" w:eastAsia="Times New Roman" w:hAnsi="Cambria" w:cs="Calibri"/>
                <w:lang w:val="hr-HR"/>
              </w:rPr>
            </w:pPr>
            <w:r>
              <w:rPr>
                <w:rFonts w:ascii="Cambria" w:eastAsia="Times New Roman" w:hAnsi="Cambria" w:cs="Calibri"/>
                <w:lang w:val="hr-HR"/>
              </w:rPr>
              <w:t>2. a</w:t>
            </w:r>
            <w:r w:rsidRPr="00DF4CE5">
              <w:rPr>
                <w:rFonts w:ascii="Cambria" w:eastAsia="Times New Roman" w:hAnsi="Cambria" w:cs="Calibri"/>
                <w:lang w:val="hr-HR"/>
              </w:rPr>
              <w:t>nalizirati specifičnosti i odstupanja pri primjeni likovnih tehnika</w:t>
            </w:r>
          </w:p>
          <w:p w14:paraId="0955A30C" w14:textId="77777777" w:rsidR="009568E0" w:rsidRDefault="009568E0" w:rsidP="009568E0">
            <w:pPr>
              <w:suppressAutoHyphens/>
              <w:snapToGrid w:val="0"/>
              <w:spacing w:after="0" w:line="240" w:lineRule="auto"/>
              <w:jc w:val="both"/>
              <w:rPr>
                <w:rFonts w:ascii="Cambria" w:eastAsia="Times New Roman" w:hAnsi="Cambria" w:cs="Calibri"/>
                <w:lang w:val="hr-HR"/>
              </w:rPr>
            </w:pPr>
            <w:r>
              <w:rPr>
                <w:rFonts w:ascii="Cambria" w:eastAsia="Times New Roman" w:hAnsi="Cambria" w:cs="Calibri"/>
                <w:lang w:val="hr-HR"/>
              </w:rPr>
              <w:t>3. a</w:t>
            </w:r>
            <w:r w:rsidRPr="00DF4CE5">
              <w:rPr>
                <w:rFonts w:ascii="Cambria" w:eastAsia="Times New Roman" w:hAnsi="Cambria" w:cs="Calibri"/>
                <w:lang w:val="hr-HR"/>
              </w:rPr>
              <w:t>nalizirati originalna likovna djela djece (faze razvoja, tipovi metode, načela, oblici rada)</w:t>
            </w:r>
          </w:p>
          <w:p w14:paraId="2A673CCC" w14:textId="0F597A39" w:rsidR="009568E0" w:rsidRPr="00DF4CE5" w:rsidRDefault="009568E0" w:rsidP="009568E0">
            <w:pPr>
              <w:suppressAutoHyphens/>
              <w:snapToGrid w:val="0"/>
              <w:spacing w:after="0" w:line="240" w:lineRule="auto"/>
              <w:jc w:val="both"/>
              <w:rPr>
                <w:rFonts w:ascii="Cambria" w:eastAsia="Times New Roman" w:hAnsi="Cambria" w:cs="Calibri"/>
                <w:lang w:val="hr-HR"/>
              </w:rPr>
            </w:pPr>
            <w:r>
              <w:rPr>
                <w:rFonts w:ascii="Cambria" w:eastAsia="Times New Roman" w:hAnsi="Cambria" w:cs="Calibri"/>
                <w:lang w:val="hr-HR"/>
              </w:rPr>
              <w:t xml:space="preserve">4. </w:t>
            </w:r>
            <w:r w:rsidRPr="00DF4CE5">
              <w:rPr>
                <w:rFonts w:ascii="Cambria" w:eastAsia="Times New Roman" w:hAnsi="Cambria" w:cs="Calibri"/>
                <w:lang w:val="hr-HR"/>
              </w:rPr>
              <w:t>kreativno</w:t>
            </w:r>
            <w:r>
              <w:rPr>
                <w:rFonts w:ascii="Cambria" w:eastAsia="Times New Roman" w:hAnsi="Cambria" w:cs="Calibri"/>
                <w:lang w:val="hr-HR"/>
              </w:rPr>
              <w:t xml:space="preserve"> p</w:t>
            </w:r>
            <w:r w:rsidRPr="00DF4CE5">
              <w:rPr>
                <w:rFonts w:ascii="Cambria" w:eastAsia="Times New Roman" w:hAnsi="Cambria" w:cs="Calibri"/>
                <w:lang w:val="hr-HR"/>
              </w:rPr>
              <w:t xml:space="preserve">rimijeniti muzejsku pedagogiju u </w:t>
            </w:r>
            <w:r>
              <w:rPr>
                <w:rFonts w:ascii="Cambria" w:eastAsia="Times New Roman" w:hAnsi="Cambria" w:cs="Calibri"/>
                <w:lang w:val="hr-HR"/>
              </w:rPr>
              <w:t xml:space="preserve">vježbama za </w:t>
            </w:r>
            <w:r w:rsidRPr="00DF4CE5">
              <w:rPr>
                <w:rFonts w:ascii="Cambria" w:eastAsia="Times New Roman" w:hAnsi="Cambria" w:cs="Calibri"/>
                <w:lang w:val="hr-HR"/>
              </w:rPr>
              <w:t>nastav</w:t>
            </w:r>
            <w:r>
              <w:rPr>
                <w:rFonts w:ascii="Cambria" w:eastAsia="Times New Roman" w:hAnsi="Cambria" w:cs="Calibri"/>
                <w:lang w:val="hr-HR"/>
              </w:rPr>
              <w:t>u</w:t>
            </w:r>
            <w:r w:rsidRPr="00DF4CE5">
              <w:rPr>
                <w:rFonts w:ascii="Cambria" w:eastAsia="Times New Roman" w:hAnsi="Cambria" w:cs="Calibri"/>
                <w:lang w:val="hr-HR"/>
              </w:rPr>
              <w:t xml:space="preserve"> Likovne kulture</w:t>
            </w:r>
          </w:p>
        </w:tc>
      </w:tr>
      <w:tr w:rsidR="009568E0" w:rsidRPr="00882137" w14:paraId="07A2D5E4" w14:textId="77777777" w:rsidTr="009568E0">
        <w:tc>
          <w:tcPr>
            <w:tcW w:w="2056"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2F3C5918" w14:textId="77777777" w:rsidR="009568E0" w:rsidRPr="005C2363" w:rsidRDefault="009568E0" w:rsidP="009568E0">
            <w:pPr>
              <w:spacing w:after="0" w:line="240" w:lineRule="auto"/>
              <w:rPr>
                <w:rFonts w:ascii="Cambria" w:eastAsia="Times New Roman" w:hAnsi="Cambria" w:cs="Calibri"/>
                <w:lang w:val="hr-HR"/>
              </w:rPr>
            </w:pPr>
            <w:r w:rsidRPr="005C2363">
              <w:rPr>
                <w:rFonts w:ascii="Cambria" w:eastAsia="Times New Roman" w:hAnsi="Cambria" w:cs="Calibri"/>
                <w:lang w:val="hr-HR"/>
              </w:rPr>
              <w:t>Sadržaj kolegija</w:t>
            </w:r>
          </w:p>
        </w:tc>
        <w:tc>
          <w:tcPr>
            <w:tcW w:w="6996"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932AE88" w14:textId="27A2EDFC" w:rsidR="009568E0" w:rsidRPr="00DF4CE5" w:rsidRDefault="009568E0" w:rsidP="009568E0">
            <w:pPr>
              <w:suppressAutoHyphens/>
              <w:snapToGrid w:val="0"/>
              <w:spacing w:after="0" w:line="240" w:lineRule="auto"/>
              <w:jc w:val="both"/>
              <w:rPr>
                <w:rFonts w:ascii="Cambria" w:eastAsia="Times New Roman" w:hAnsi="Cambria" w:cs="Calibri"/>
                <w:lang w:val="hr-HR"/>
              </w:rPr>
            </w:pPr>
            <w:r>
              <w:rPr>
                <w:rFonts w:ascii="Cambria" w:eastAsia="Times New Roman" w:hAnsi="Cambria" w:cs="Calibri"/>
                <w:lang w:val="hr-HR"/>
              </w:rPr>
              <w:t xml:space="preserve">1. </w:t>
            </w:r>
            <w:r w:rsidRPr="00DF4CE5">
              <w:rPr>
                <w:rFonts w:ascii="Cambria" w:eastAsia="Times New Roman" w:hAnsi="Cambria" w:cs="Calibri"/>
                <w:lang w:val="hr-HR"/>
              </w:rPr>
              <w:t>Uvod u kolegij, literatura, ciljevi, obveze studenata i studentica</w:t>
            </w:r>
          </w:p>
          <w:p w14:paraId="685E75D0" w14:textId="1CF5F77A" w:rsidR="009568E0" w:rsidRPr="00DF4CE5" w:rsidRDefault="009568E0" w:rsidP="009568E0">
            <w:pPr>
              <w:suppressAutoHyphens/>
              <w:snapToGrid w:val="0"/>
              <w:spacing w:after="0" w:line="240" w:lineRule="auto"/>
              <w:jc w:val="both"/>
              <w:rPr>
                <w:rFonts w:ascii="Cambria" w:eastAsia="Times New Roman" w:hAnsi="Cambria" w:cs="Calibri"/>
                <w:lang w:val="hr-HR"/>
              </w:rPr>
            </w:pPr>
            <w:r>
              <w:rPr>
                <w:rFonts w:ascii="Cambria" w:eastAsia="Times New Roman" w:hAnsi="Cambria" w:cs="Calibri"/>
                <w:lang w:val="hr-HR"/>
              </w:rPr>
              <w:t xml:space="preserve">2. </w:t>
            </w:r>
            <w:r w:rsidRPr="00DF4CE5">
              <w:rPr>
                <w:rFonts w:ascii="Cambria" w:eastAsia="Times New Roman" w:hAnsi="Cambria" w:cs="Calibri"/>
                <w:lang w:val="hr-HR"/>
              </w:rPr>
              <w:t>Što je Metodika likovne kulture? Povijest MLK</w:t>
            </w:r>
          </w:p>
          <w:p w14:paraId="0ADAA7AC" w14:textId="08D40D93" w:rsidR="009568E0" w:rsidRPr="00DF4CE5" w:rsidRDefault="009568E0" w:rsidP="009568E0">
            <w:pPr>
              <w:suppressAutoHyphens/>
              <w:snapToGrid w:val="0"/>
              <w:spacing w:after="0" w:line="240" w:lineRule="auto"/>
              <w:jc w:val="both"/>
              <w:rPr>
                <w:rFonts w:ascii="Cambria" w:eastAsia="Times New Roman" w:hAnsi="Cambria" w:cs="Calibri"/>
                <w:lang w:val="hr-HR"/>
              </w:rPr>
            </w:pPr>
            <w:r>
              <w:rPr>
                <w:rFonts w:ascii="Cambria" w:eastAsia="Times New Roman" w:hAnsi="Cambria" w:cs="Calibri"/>
                <w:lang w:val="hr-HR"/>
              </w:rPr>
              <w:t xml:space="preserve">3. </w:t>
            </w:r>
            <w:r w:rsidRPr="00DF4CE5">
              <w:rPr>
                <w:rFonts w:ascii="Cambria" w:eastAsia="Times New Roman" w:hAnsi="Cambria" w:cs="Calibri"/>
                <w:lang w:val="hr-HR"/>
              </w:rPr>
              <w:t>Analizirati suvremeni pristup dječjem likovnom stvaralaštvu</w:t>
            </w:r>
          </w:p>
          <w:p w14:paraId="015F35AC" w14:textId="53F0D5DE" w:rsidR="009568E0" w:rsidRPr="00DF4CE5" w:rsidRDefault="009568E0" w:rsidP="009568E0">
            <w:pPr>
              <w:suppressAutoHyphens/>
              <w:snapToGrid w:val="0"/>
              <w:spacing w:after="0" w:line="240" w:lineRule="auto"/>
              <w:jc w:val="both"/>
              <w:rPr>
                <w:rFonts w:ascii="Cambria" w:eastAsia="Times New Roman" w:hAnsi="Cambria" w:cs="Calibri"/>
                <w:lang w:val="hr-HR"/>
              </w:rPr>
            </w:pPr>
            <w:r>
              <w:rPr>
                <w:rFonts w:ascii="Cambria" w:eastAsia="Times New Roman" w:hAnsi="Cambria" w:cs="Calibri"/>
                <w:lang w:val="hr-HR"/>
              </w:rPr>
              <w:t xml:space="preserve">4. </w:t>
            </w:r>
            <w:r w:rsidRPr="00DF4CE5">
              <w:rPr>
                <w:rFonts w:ascii="Cambria" w:eastAsia="Times New Roman" w:hAnsi="Cambria" w:cs="Calibri"/>
                <w:lang w:val="hr-HR"/>
              </w:rPr>
              <w:t xml:space="preserve">Korelirati s klasičnom glazbom i originalno izvođenom glazbom </w:t>
            </w:r>
            <w:proofErr w:type="spellStart"/>
            <w:r w:rsidRPr="00DF4CE5">
              <w:rPr>
                <w:rFonts w:ascii="Cambria" w:eastAsia="Times New Roman" w:hAnsi="Cambria" w:cs="Calibri"/>
                <w:lang w:val="hr-HR"/>
              </w:rPr>
              <w:t>in</w:t>
            </w:r>
            <w:proofErr w:type="spellEnd"/>
            <w:r w:rsidRPr="00DF4CE5">
              <w:rPr>
                <w:rFonts w:ascii="Cambria" w:eastAsia="Times New Roman" w:hAnsi="Cambria" w:cs="Calibri"/>
                <w:lang w:val="hr-HR"/>
              </w:rPr>
              <w:t xml:space="preserve"> situ te književnosti. Upotrijebiti e-medije u radu</w:t>
            </w:r>
          </w:p>
          <w:p w14:paraId="3C9AC633" w14:textId="10BAFC90" w:rsidR="009568E0" w:rsidRPr="00DF4CE5" w:rsidRDefault="009568E0" w:rsidP="009568E0">
            <w:pPr>
              <w:suppressAutoHyphens/>
              <w:snapToGrid w:val="0"/>
              <w:spacing w:after="0" w:line="240" w:lineRule="auto"/>
              <w:jc w:val="both"/>
              <w:rPr>
                <w:rFonts w:ascii="Cambria" w:eastAsia="Times New Roman" w:hAnsi="Cambria" w:cs="Calibri"/>
                <w:lang w:val="hr-HR"/>
              </w:rPr>
            </w:pPr>
            <w:r>
              <w:rPr>
                <w:rFonts w:ascii="Cambria" w:eastAsia="Times New Roman" w:hAnsi="Cambria" w:cs="Calibri"/>
                <w:lang w:val="hr-HR"/>
              </w:rPr>
              <w:t xml:space="preserve">5. </w:t>
            </w:r>
            <w:r w:rsidRPr="00DF4CE5">
              <w:rPr>
                <w:rFonts w:ascii="Cambria" w:eastAsia="Times New Roman" w:hAnsi="Cambria" w:cs="Calibri"/>
                <w:lang w:val="hr-HR"/>
              </w:rPr>
              <w:t>Analizirati originalne radove djece prema fazama razvoja</w:t>
            </w:r>
          </w:p>
          <w:p w14:paraId="18B26DA5" w14:textId="0AA4C81D" w:rsidR="009568E0" w:rsidRPr="00DF4CE5" w:rsidRDefault="009568E0" w:rsidP="009568E0">
            <w:pPr>
              <w:suppressAutoHyphens/>
              <w:snapToGrid w:val="0"/>
              <w:spacing w:after="0" w:line="240" w:lineRule="auto"/>
              <w:jc w:val="both"/>
              <w:rPr>
                <w:rFonts w:ascii="Cambria" w:eastAsia="Times New Roman" w:hAnsi="Cambria" w:cs="Calibri"/>
                <w:lang w:val="hr-HR"/>
              </w:rPr>
            </w:pPr>
            <w:r>
              <w:rPr>
                <w:rFonts w:ascii="Cambria" w:eastAsia="Times New Roman" w:hAnsi="Cambria" w:cs="Calibri"/>
                <w:lang w:val="hr-HR"/>
              </w:rPr>
              <w:t xml:space="preserve">6. </w:t>
            </w:r>
            <w:r w:rsidRPr="00DF4CE5">
              <w:rPr>
                <w:rFonts w:ascii="Cambria" w:eastAsia="Times New Roman" w:hAnsi="Cambria" w:cs="Calibri"/>
                <w:lang w:val="hr-HR"/>
              </w:rPr>
              <w:t>Slikovnice djece predškolskog uzrasta, razredne nastave i profesionalnih ilustratora i pisaca slikovnica za djecu</w:t>
            </w:r>
          </w:p>
          <w:p w14:paraId="10250D17" w14:textId="486E3959" w:rsidR="009568E0" w:rsidRPr="00DF4CE5" w:rsidRDefault="009568E0" w:rsidP="009568E0">
            <w:pPr>
              <w:suppressAutoHyphens/>
              <w:snapToGrid w:val="0"/>
              <w:spacing w:after="0" w:line="240" w:lineRule="auto"/>
              <w:jc w:val="both"/>
              <w:rPr>
                <w:rFonts w:ascii="Cambria" w:eastAsia="Times New Roman" w:hAnsi="Cambria" w:cs="Calibri"/>
                <w:lang w:val="hr-HR"/>
              </w:rPr>
            </w:pPr>
            <w:r>
              <w:rPr>
                <w:rFonts w:ascii="Cambria" w:eastAsia="Times New Roman" w:hAnsi="Cambria" w:cs="Calibri"/>
                <w:lang w:val="hr-HR"/>
              </w:rPr>
              <w:t xml:space="preserve">7. </w:t>
            </w:r>
            <w:r w:rsidRPr="00DF4CE5">
              <w:rPr>
                <w:rFonts w:ascii="Cambria" w:eastAsia="Times New Roman" w:hAnsi="Cambria" w:cs="Calibri"/>
                <w:lang w:val="hr-HR"/>
              </w:rPr>
              <w:t>Muzejska i galerijska pedagogija</w:t>
            </w:r>
          </w:p>
          <w:p w14:paraId="7873DD08" w14:textId="4499B202" w:rsidR="009568E0" w:rsidRPr="00DF4CE5" w:rsidRDefault="009568E0" w:rsidP="009568E0">
            <w:pPr>
              <w:suppressAutoHyphens/>
              <w:snapToGrid w:val="0"/>
              <w:spacing w:after="0" w:line="240" w:lineRule="auto"/>
              <w:jc w:val="both"/>
              <w:rPr>
                <w:rFonts w:ascii="Cambria" w:eastAsia="Times New Roman" w:hAnsi="Cambria" w:cs="Calibri"/>
                <w:lang w:val="hr-HR"/>
              </w:rPr>
            </w:pPr>
            <w:r>
              <w:rPr>
                <w:rFonts w:ascii="Cambria" w:eastAsia="Times New Roman" w:hAnsi="Cambria" w:cs="Calibri"/>
                <w:lang w:val="hr-HR"/>
              </w:rPr>
              <w:t xml:space="preserve">8. </w:t>
            </w:r>
            <w:r w:rsidRPr="00DF4CE5">
              <w:rPr>
                <w:rFonts w:ascii="Cambria" w:eastAsia="Times New Roman" w:hAnsi="Cambria" w:cs="Calibri"/>
                <w:lang w:val="hr-HR"/>
              </w:rPr>
              <w:t>Ostvarenje originalnih likovnih radova studenata u svim tehnikama</w:t>
            </w:r>
          </w:p>
          <w:p w14:paraId="0FF36628" w14:textId="5B29A1C8" w:rsidR="009568E0" w:rsidRPr="00DF4CE5" w:rsidRDefault="009568E0" w:rsidP="009568E0">
            <w:pPr>
              <w:suppressAutoHyphens/>
              <w:snapToGrid w:val="0"/>
              <w:spacing w:after="0" w:line="240" w:lineRule="auto"/>
              <w:jc w:val="both"/>
              <w:rPr>
                <w:rFonts w:ascii="Cambria" w:eastAsia="Times New Roman" w:hAnsi="Cambria" w:cs="Calibri"/>
                <w:lang w:val="hr-HR"/>
              </w:rPr>
            </w:pPr>
            <w:r>
              <w:rPr>
                <w:rFonts w:ascii="Cambria" w:eastAsia="Times New Roman" w:hAnsi="Cambria" w:cs="Calibri"/>
                <w:lang w:val="hr-HR"/>
              </w:rPr>
              <w:t xml:space="preserve">9. </w:t>
            </w:r>
            <w:r w:rsidRPr="00DF4CE5">
              <w:rPr>
                <w:rFonts w:ascii="Cambria" w:eastAsia="Times New Roman" w:hAnsi="Cambria" w:cs="Calibri"/>
                <w:lang w:val="hr-HR"/>
              </w:rPr>
              <w:t>Plakat za izložbu</w:t>
            </w:r>
          </w:p>
        </w:tc>
      </w:tr>
      <w:tr w:rsidR="009568E0" w:rsidRPr="005C2363" w14:paraId="3C5E5A48" w14:textId="77777777" w:rsidTr="009568E0">
        <w:tc>
          <w:tcPr>
            <w:tcW w:w="2056"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0CF438A4" w14:textId="77777777" w:rsidR="009568E0" w:rsidRPr="005C2363" w:rsidRDefault="009568E0" w:rsidP="009568E0">
            <w:pPr>
              <w:spacing w:after="0" w:line="240" w:lineRule="auto"/>
              <w:rPr>
                <w:rFonts w:ascii="Cambria" w:eastAsia="Times New Roman" w:hAnsi="Cambria" w:cs="Calibri"/>
                <w:lang w:val="hr-HR"/>
              </w:rPr>
            </w:pPr>
            <w:r w:rsidRPr="005C2363">
              <w:rPr>
                <w:rFonts w:ascii="Cambria" w:eastAsia="Times New Roman" w:hAnsi="Cambria" w:cs="Calibri"/>
                <w:lang w:val="hr-HR"/>
              </w:rPr>
              <w:t>Planirane aktivnosti,</w:t>
            </w:r>
          </w:p>
          <w:p w14:paraId="102D9085" w14:textId="77777777" w:rsidR="009568E0" w:rsidRPr="005C2363" w:rsidRDefault="009568E0" w:rsidP="009568E0">
            <w:pPr>
              <w:spacing w:after="0" w:line="240" w:lineRule="auto"/>
              <w:rPr>
                <w:rFonts w:ascii="Cambria" w:eastAsia="Times New Roman" w:hAnsi="Cambria" w:cs="Calibri"/>
                <w:lang w:val="hr-HR"/>
              </w:rPr>
            </w:pPr>
            <w:r w:rsidRPr="005C2363">
              <w:rPr>
                <w:rFonts w:ascii="Cambria" w:eastAsia="Times New Roman" w:hAnsi="Cambria" w:cs="Calibri"/>
                <w:lang w:val="hr-HR"/>
              </w:rPr>
              <w:t>metode učenja i poučavanja i načini vrednovanja</w:t>
            </w:r>
          </w:p>
          <w:p w14:paraId="3F0E06D9" w14:textId="77777777" w:rsidR="009568E0" w:rsidRPr="005C2363" w:rsidRDefault="009568E0" w:rsidP="009568E0">
            <w:pPr>
              <w:spacing w:after="0" w:line="240" w:lineRule="auto"/>
              <w:rPr>
                <w:rFonts w:ascii="Cambria" w:eastAsia="Times New Roman" w:hAnsi="Cambria" w:cs="Calibri"/>
                <w:lang w:val="hr-HR"/>
              </w:rPr>
            </w:pPr>
          </w:p>
        </w:tc>
        <w:tc>
          <w:tcPr>
            <w:tcW w:w="298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8298615" w14:textId="77777777" w:rsidR="009568E0" w:rsidRPr="005C2363" w:rsidRDefault="009568E0" w:rsidP="009568E0">
            <w:pPr>
              <w:spacing w:after="0" w:line="240" w:lineRule="auto"/>
              <w:jc w:val="center"/>
              <w:rPr>
                <w:rFonts w:ascii="Cambria" w:eastAsia="Times New Roman" w:hAnsi="Cambria" w:cs="Calibri"/>
                <w:lang w:val="hr-HR"/>
              </w:rPr>
            </w:pPr>
            <w:r w:rsidRPr="005C2363">
              <w:rPr>
                <w:rFonts w:ascii="Cambria" w:eastAsia="Times New Roman" w:hAnsi="Cambria" w:cs="Calibri"/>
                <w:bCs/>
                <w:lang w:val="hr-HR"/>
              </w:rPr>
              <w:lastRenderedPageBreak/>
              <w:t>Obveze</w:t>
            </w:r>
          </w:p>
        </w:tc>
        <w:tc>
          <w:tcPr>
            <w:tcW w:w="1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C097F8A" w14:textId="77777777" w:rsidR="009568E0" w:rsidRPr="005C2363" w:rsidRDefault="009568E0" w:rsidP="009568E0">
            <w:pPr>
              <w:spacing w:after="0" w:line="240" w:lineRule="auto"/>
              <w:jc w:val="center"/>
              <w:rPr>
                <w:rFonts w:ascii="Cambria" w:eastAsia="Times New Roman" w:hAnsi="Cambria" w:cs="Calibri"/>
                <w:bCs/>
                <w:lang w:val="hr-HR"/>
              </w:rPr>
            </w:pPr>
          </w:p>
          <w:p w14:paraId="636E958A" w14:textId="77777777" w:rsidR="009568E0" w:rsidRPr="005C2363" w:rsidRDefault="009568E0" w:rsidP="009568E0">
            <w:pPr>
              <w:spacing w:after="0" w:line="240" w:lineRule="auto"/>
              <w:jc w:val="center"/>
              <w:rPr>
                <w:rFonts w:ascii="Cambria" w:eastAsia="Times New Roman" w:hAnsi="Cambria" w:cs="Calibri"/>
                <w:lang w:val="hr-HR"/>
              </w:rPr>
            </w:pPr>
            <w:r w:rsidRPr="005C2363">
              <w:rPr>
                <w:rFonts w:ascii="Cambria" w:eastAsia="Times New Roman" w:hAnsi="Cambria" w:cs="Calibri"/>
                <w:bCs/>
                <w:lang w:val="hr-HR"/>
              </w:rPr>
              <w:t>Ishodi</w:t>
            </w:r>
          </w:p>
          <w:p w14:paraId="246BC91E" w14:textId="77777777" w:rsidR="009568E0" w:rsidRPr="005C2363" w:rsidRDefault="009568E0" w:rsidP="009568E0">
            <w:pPr>
              <w:spacing w:after="0" w:line="240" w:lineRule="auto"/>
              <w:jc w:val="center"/>
              <w:rPr>
                <w:rFonts w:ascii="Cambria" w:eastAsia="Times New Roman" w:hAnsi="Cambria" w:cs="Calibri"/>
                <w:lang w:val="hr-HR"/>
              </w:rPr>
            </w:pPr>
          </w:p>
        </w:tc>
        <w:tc>
          <w:tcPr>
            <w:tcW w:w="69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60F52A6" w14:textId="77777777" w:rsidR="009568E0" w:rsidRPr="005C2363" w:rsidRDefault="009568E0" w:rsidP="009568E0">
            <w:pPr>
              <w:spacing w:after="0" w:line="240" w:lineRule="auto"/>
              <w:jc w:val="center"/>
              <w:rPr>
                <w:rFonts w:ascii="Cambria" w:eastAsia="Times New Roman" w:hAnsi="Cambria" w:cs="Calibri"/>
                <w:vertAlign w:val="superscript"/>
                <w:lang w:val="hr-HR"/>
              </w:rPr>
            </w:pPr>
            <w:r w:rsidRPr="005C2363">
              <w:rPr>
                <w:rFonts w:ascii="Cambria" w:eastAsia="Times New Roman" w:hAnsi="Cambria" w:cs="Calibri"/>
                <w:bCs/>
                <w:lang w:val="hr-HR"/>
              </w:rPr>
              <w:t>Sati</w:t>
            </w:r>
          </w:p>
        </w:tc>
        <w:tc>
          <w:tcPr>
            <w:tcW w:w="9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4E28079" w14:textId="77777777" w:rsidR="009568E0" w:rsidRPr="005C2363" w:rsidRDefault="009568E0" w:rsidP="009568E0">
            <w:pPr>
              <w:spacing w:after="0" w:line="240" w:lineRule="auto"/>
              <w:jc w:val="center"/>
              <w:rPr>
                <w:rFonts w:ascii="Cambria" w:eastAsia="Times New Roman" w:hAnsi="Cambria" w:cs="Calibri"/>
                <w:lang w:val="hr-HR"/>
              </w:rPr>
            </w:pPr>
            <w:r w:rsidRPr="005C2363">
              <w:rPr>
                <w:rFonts w:ascii="Cambria" w:eastAsia="Times New Roman" w:hAnsi="Cambria" w:cs="Calibri"/>
                <w:bCs/>
                <w:lang w:val="hr-HR"/>
              </w:rPr>
              <w:t>ECTS</w:t>
            </w:r>
          </w:p>
        </w:tc>
        <w:tc>
          <w:tcPr>
            <w:tcW w:w="127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0677774" w14:textId="77777777" w:rsidR="009568E0" w:rsidRPr="005C2363" w:rsidRDefault="009568E0" w:rsidP="009568E0">
            <w:pPr>
              <w:spacing w:after="0" w:line="240" w:lineRule="auto"/>
              <w:jc w:val="center"/>
              <w:rPr>
                <w:rFonts w:ascii="Cambria" w:eastAsia="Times New Roman" w:hAnsi="Cambria" w:cs="Calibri"/>
                <w:lang w:val="hr-HR"/>
              </w:rPr>
            </w:pPr>
            <w:r w:rsidRPr="005C2363">
              <w:rPr>
                <w:rFonts w:ascii="Cambria" w:eastAsia="Times New Roman" w:hAnsi="Cambria" w:cs="Calibri"/>
                <w:bCs/>
                <w:lang w:val="hr-HR"/>
              </w:rPr>
              <w:t>Maksimalni udio u ocjeni (%)</w:t>
            </w:r>
          </w:p>
        </w:tc>
      </w:tr>
      <w:tr w:rsidR="009568E0" w:rsidRPr="005C2363" w14:paraId="5873AF72" w14:textId="77777777" w:rsidTr="009568E0">
        <w:tc>
          <w:tcPr>
            <w:tcW w:w="2056" w:type="dxa"/>
            <w:vMerge/>
            <w:tcBorders>
              <w:left w:val="single" w:sz="8" w:space="0" w:color="000000"/>
              <w:right w:val="single" w:sz="8" w:space="0" w:color="000000"/>
            </w:tcBorders>
            <w:vAlign w:val="center"/>
          </w:tcPr>
          <w:p w14:paraId="0ABA5E64" w14:textId="77777777" w:rsidR="009568E0" w:rsidRPr="005C2363" w:rsidRDefault="009568E0" w:rsidP="009568E0">
            <w:pPr>
              <w:spacing w:after="0" w:line="240" w:lineRule="auto"/>
              <w:rPr>
                <w:rFonts w:ascii="Cambria" w:eastAsia="Times New Roman" w:hAnsi="Cambria" w:cs="Calibri"/>
                <w:lang w:val="hr-HR"/>
              </w:rPr>
            </w:pPr>
          </w:p>
        </w:tc>
        <w:tc>
          <w:tcPr>
            <w:tcW w:w="298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AC3DAD3" w14:textId="77777777" w:rsidR="009568E0" w:rsidRPr="005C2363" w:rsidRDefault="009568E0" w:rsidP="009568E0">
            <w:pPr>
              <w:spacing w:after="0" w:line="240" w:lineRule="auto"/>
              <w:rPr>
                <w:rFonts w:ascii="Cambria" w:eastAsia="Times New Roman" w:hAnsi="Cambria" w:cs="Calibri"/>
                <w:lang w:val="hr-HR"/>
              </w:rPr>
            </w:pPr>
            <w:r w:rsidRPr="005C2363">
              <w:rPr>
                <w:rFonts w:ascii="Cambria" w:eastAsia="Times New Roman" w:hAnsi="Cambria" w:cs="Calibri"/>
                <w:lang w:val="hr-HR"/>
              </w:rPr>
              <w:t>aktivnosti na nastavi</w:t>
            </w:r>
            <w:r>
              <w:rPr>
                <w:rFonts w:ascii="Cambria" w:eastAsia="Times New Roman" w:hAnsi="Cambria" w:cs="Calibri"/>
                <w:lang w:val="hr-HR"/>
              </w:rPr>
              <w:t xml:space="preserve"> (P, V)</w:t>
            </w:r>
          </w:p>
        </w:tc>
        <w:tc>
          <w:tcPr>
            <w:tcW w:w="1058" w:type="dxa"/>
            <w:tcBorders>
              <w:top w:val="single" w:sz="8" w:space="0" w:color="000000"/>
              <w:left w:val="single" w:sz="8" w:space="0" w:color="000000"/>
              <w:bottom w:val="single" w:sz="8" w:space="0" w:color="000000"/>
            </w:tcBorders>
            <w:shd w:val="clear" w:color="auto" w:fill="FFFFFF"/>
            <w:tcMar>
              <w:top w:w="15" w:type="dxa"/>
              <w:left w:w="108" w:type="dxa"/>
              <w:bottom w:w="0" w:type="dxa"/>
              <w:right w:w="108" w:type="dxa"/>
            </w:tcMar>
            <w:vAlign w:val="center"/>
          </w:tcPr>
          <w:p w14:paraId="36AEA8D8" w14:textId="77777777" w:rsidR="009568E0" w:rsidRPr="00DF4CE5" w:rsidRDefault="009568E0" w:rsidP="009568E0">
            <w:pPr>
              <w:spacing w:after="0" w:line="100" w:lineRule="atLeast"/>
              <w:jc w:val="center"/>
              <w:rPr>
                <w:rFonts w:ascii="Cambria" w:eastAsia="Times New Roman" w:hAnsi="Cambria" w:cs="Calibri"/>
                <w:lang w:val="hr-HR"/>
              </w:rPr>
            </w:pPr>
            <w:r w:rsidRPr="00DF4CE5">
              <w:rPr>
                <w:rFonts w:ascii="Cambria" w:eastAsia="Times New Roman" w:hAnsi="Cambria" w:cs="Calibri"/>
                <w:lang w:val="hr-HR"/>
              </w:rPr>
              <w:t>1. – 4.</w:t>
            </w:r>
          </w:p>
        </w:tc>
        <w:tc>
          <w:tcPr>
            <w:tcW w:w="697" w:type="dxa"/>
            <w:gridSpan w:val="2"/>
            <w:tcBorders>
              <w:top w:val="single" w:sz="8" w:space="0" w:color="000000"/>
              <w:left w:val="single" w:sz="8" w:space="0" w:color="000000"/>
              <w:bottom w:val="single" w:sz="8" w:space="0" w:color="000000"/>
            </w:tcBorders>
            <w:tcMar>
              <w:top w:w="15" w:type="dxa"/>
              <w:left w:w="108" w:type="dxa"/>
              <w:bottom w:w="0" w:type="dxa"/>
              <w:right w:w="108" w:type="dxa"/>
            </w:tcMar>
            <w:vAlign w:val="center"/>
          </w:tcPr>
          <w:p w14:paraId="6590384A" w14:textId="77777777" w:rsidR="009568E0" w:rsidRPr="00DF4CE5" w:rsidRDefault="009568E0" w:rsidP="009568E0">
            <w:pPr>
              <w:snapToGrid w:val="0"/>
              <w:spacing w:after="0" w:line="240" w:lineRule="auto"/>
              <w:jc w:val="center"/>
              <w:rPr>
                <w:rFonts w:ascii="Cambria" w:eastAsia="Times New Roman" w:hAnsi="Cambria" w:cs="Calibri"/>
                <w:lang w:val="hr-HR"/>
              </w:rPr>
            </w:pPr>
            <w:r w:rsidRPr="00DF4CE5">
              <w:rPr>
                <w:rFonts w:ascii="Cambria" w:eastAsia="Times New Roman" w:hAnsi="Cambria" w:cs="Calibri"/>
                <w:lang w:val="hr-HR"/>
              </w:rPr>
              <w:t>34</w:t>
            </w:r>
          </w:p>
        </w:tc>
        <w:tc>
          <w:tcPr>
            <w:tcW w:w="982" w:type="dxa"/>
            <w:tcBorders>
              <w:top w:val="single" w:sz="8" w:space="0" w:color="000000"/>
              <w:left w:val="single" w:sz="8" w:space="0" w:color="000000"/>
              <w:bottom w:val="single" w:sz="8" w:space="0" w:color="000000"/>
            </w:tcBorders>
            <w:tcMar>
              <w:top w:w="15" w:type="dxa"/>
              <w:left w:w="108" w:type="dxa"/>
              <w:bottom w:w="0" w:type="dxa"/>
              <w:right w:w="108" w:type="dxa"/>
            </w:tcMar>
            <w:vAlign w:val="center"/>
          </w:tcPr>
          <w:p w14:paraId="68CC5635" w14:textId="77777777" w:rsidR="009568E0" w:rsidRPr="00DF4CE5" w:rsidRDefault="009568E0" w:rsidP="009568E0">
            <w:pPr>
              <w:snapToGrid w:val="0"/>
              <w:spacing w:after="0" w:line="240" w:lineRule="auto"/>
              <w:jc w:val="center"/>
              <w:rPr>
                <w:rFonts w:ascii="Cambria" w:eastAsia="Times New Roman" w:hAnsi="Cambria" w:cs="Calibri"/>
                <w:lang w:val="hr-HR"/>
              </w:rPr>
            </w:pPr>
            <w:r w:rsidRPr="00DF4CE5">
              <w:rPr>
                <w:rFonts w:ascii="Cambria" w:eastAsia="Times New Roman" w:hAnsi="Cambria" w:cs="Calibri"/>
                <w:lang w:val="hr-HR"/>
              </w:rPr>
              <w:t>1,1</w:t>
            </w:r>
          </w:p>
        </w:tc>
        <w:tc>
          <w:tcPr>
            <w:tcW w:w="127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2141B9B" w14:textId="77777777" w:rsidR="009568E0" w:rsidRPr="00DF4CE5" w:rsidRDefault="009568E0" w:rsidP="009568E0">
            <w:pPr>
              <w:snapToGrid w:val="0"/>
              <w:spacing w:after="0" w:line="240" w:lineRule="auto"/>
              <w:jc w:val="center"/>
              <w:rPr>
                <w:rFonts w:ascii="Cambria" w:eastAsia="Times New Roman" w:hAnsi="Cambria" w:cs="Calibri"/>
                <w:lang w:val="hr-HR"/>
              </w:rPr>
            </w:pPr>
            <w:r w:rsidRPr="00DF4CE5">
              <w:rPr>
                <w:rFonts w:ascii="Cambria" w:eastAsia="Times New Roman" w:hAnsi="Cambria" w:cs="Calibri"/>
                <w:lang w:val="hr-HR"/>
              </w:rPr>
              <w:t>20%</w:t>
            </w:r>
          </w:p>
        </w:tc>
      </w:tr>
      <w:tr w:rsidR="009568E0" w:rsidRPr="005C2363" w14:paraId="5849BE50" w14:textId="77777777" w:rsidTr="009568E0">
        <w:tc>
          <w:tcPr>
            <w:tcW w:w="2056" w:type="dxa"/>
            <w:vMerge/>
            <w:tcBorders>
              <w:left w:val="single" w:sz="8" w:space="0" w:color="000000"/>
              <w:right w:val="single" w:sz="8" w:space="0" w:color="000000"/>
            </w:tcBorders>
            <w:vAlign w:val="center"/>
          </w:tcPr>
          <w:p w14:paraId="691E93B6" w14:textId="77777777" w:rsidR="009568E0" w:rsidRPr="005C2363" w:rsidRDefault="009568E0" w:rsidP="009568E0">
            <w:pPr>
              <w:spacing w:after="0" w:line="240" w:lineRule="auto"/>
              <w:rPr>
                <w:rFonts w:ascii="Cambria" w:eastAsia="Times New Roman" w:hAnsi="Cambria" w:cs="Calibri"/>
                <w:lang w:val="hr-HR"/>
              </w:rPr>
            </w:pPr>
          </w:p>
        </w:tc>
        <w:tc>
          <w:tcPr>
            <w:tcW w:w="2981" w:type="dxa"/>
            <w:gridSpan w:val="2"/>
            <w:tcBorders>
              <w:top w:val="single" w:sz="8" w:space="0" w:color="000000"/>
              <w:left w:val="single" w:sz="8" w:space="0" w:color="000000"/>
              <w:bottom w:val="single" w:sz="8" w:space="0" w:color="000000"/>
            </w:tcBorders>
            <w:shd w:val="clear" w:color="auto" w:fill="FFFFFF"/>
            <w:tcMar>
              <w:top w:w="15" w:type="dxa"/>
              <w:left w:w="108" w:type="dxa"/>
              <w:bottom w:w="0" w:type="dxa"/>
              <w:right w:w="108" w:type="dxa"/>
            </w:tcMar>
          </w:tcPr>
          <w:p w14:paraId="5515A227" w14:textId="77777777" w:rsidR="009568E0" w:rsidRPr="00DF4CE5" w:rsidRDefault="009568E0" w:rsidP="009568E0">
            <w:pPr>
              <w:spacing w:after="0" w:line="100" w:lineRule="atLeast"/>
              <w:jc w:val="both"/>
              <w:rPr>
                <w:rFonts w:ascii="Cambria" w:eastAsia="Times New Roman" w:hAnsi="Cambria" w:cs="Calibri"/>
                <w:lang w:val="hr-HR"/>
              </w:rPr>
            </w:pPr>
            <w:r w:rsidRPr="00DF4CE5">
              <w:rPr>
                <w:rFonts w:ascii="Cambria" w:eastAsia="Times New Roman" w:hAnsi="Cambria" w:cs="Calibri"/>
                <w:lang w:val="hr-HR"/>
              </w:rPr>
              <w:t>praktični radovi</w:t>
            </w:r>
          </w:p>
        </w:tc>
        <w:tc>
          <w:tcPr>
            <w:tcW w:w="1058" w:type="dxa"/>
            <w:tcBorders>
              <w:top w:val="single" w:sz="8" w:space="0" w:color="000000"/>
              <w:left w:val="single" w:sz="8" w:space="0" w:color="000000"/>
              <w:bottom w:val="single" w:sz="8" w:space="0" w:color="000000"/>
            </w:tcBorders>
            <w:shd w:val="clear" w:color="auto" w:fill="FFFFFF"/>
            <w:tcMar>
              <w:top w:w="15" w:type="dxa"/>
              <w:left w:w="108" w:type="dxa"/>
              <w:bottom w:w="0" w:type="dxa"/>
              <w:right w:w="108" w:type="dxa"/>
            </w:tcMar>
            <w:vAlign w:val="center"/>
          </w:tcPr>
          <w:p w14:paraId="39FAA7BB" w14:textId="77777777" w:rsidR="009568E0" w:rsidRPr="00DF4CE5" w:rsidRDefault="009568E0" w:rsidP="009568E0">
            <w:pPr>
              <w:spacing w:after="0" w:line="100" w:lineRule="atLeast"/>
              <w:jc w:val="center"/>
              <w:rPr>
                <w:rFonts w:ascii="Cambria" w:eastAsia="Times New Roman" w:hAnsi="Cambria" w:cs="Calibri"/>
                <w:lang w:val="hr-HR"/>
              </w:rPr>
            </w:pPr>
            <w:r w:rsidRPr="00DF4CE5">
              <w:rPr>
                <w:rFonts w:ascii="Cambria" w:eastAsia="Times New Roman" w:hAnsi="Cambria" w:cs="Calibri"/>
                <w:lang w:val="hr-HR"/>
              </w:rPr>
              <w:t>1. – 4.</w:t>
            </w:r>
          </w:p>
        </w:tc>
        <w:tc>
          <w:tcPr>
            <w:tcW w:w="697" w:type="dxa"/>
            <w:gridSpan w:val="2"/>
            <w:tcBorders>
              <w:top w:val="single" w:sz="8" w:space="0" w:color="000000"/>
              <w:left w:val="single" w:sz="8" w:space="0" w:color="000000"/>
              <w:bottom w:val="single" w:sz="8" w:space="0" w:color="000000"/>
            </w:tcBorders>
            <w:tcMar>
              <w:top w:w="15" w:type="dxa"/>
              <w:left w:w="108" w:type="dxa"/>
              <w:bottom w:w="0" w:type="dxa"/>
              <w:right w:w="108" w:type="dxa"/>
            </w:tcMar>
            <w:vAlign w:val="center"/>
          </w:tcPr>
          <w:p w14:paraId="60018A8C" w14:textId="77777777" w:rsidR="009568E0" w:rsidRPr="00DF4CE5" w:rsidRDefault="009568E0" w:rsidP="009568E0">
            <w:pPr>
              <w:snapToGrid w:val="0"/>
              <w:spacing w:after="0" w:line="240" w:lineRule="auto"/>
              <w:jc w:val="center"/>
              <w:rPr>
                <w:rFonts w:ascii="Cambria" w:eastAsia="Times New Roman" w:hAnsi="Cambria" w:cs="Calibri"/>
                <w:lang w:val="hr-HR"/>
              </w:rPr>
            </w:pPr>
            <w:r w:rsidRPr="00DF4CE5">
              <w:rPr>
                <w:rFonts w:ascii="Cambria" w:eastAsia="Times New Roman" w:hAnsi="Cambria" w:cs="Calibri"/>
                <w:lang w:val="hr-HR"/>
              </w:rPr>
              <w:t>47</w:t>
            </w:r>
          </w:p>
        </w:tc>
        <w:tc>
          <w:tcPr>
            <w:tcW w:w="982" w:type="dxa"/>
            <w:tcBorders>
              <w:top w:val="single" w:sz="8" w:space="0" w:color="000000"/>
              <w:left w:val="single" w:sz="8" w:space="0" w:color="000000"/>
              <w:bottom w:val="single" w:sz="8" w:space="0" w:color="000000"/>
            </w:tcBorders>
            <w:tcMar>
              <w:top w:w="15" w:type="dxa"/>
              <w:left w:w="108" w:type="dxa"/>
              <w:bottom w:w="0" w:type="dxa"/>
              <w:right w:w="108" w:type="dxa"/>
            </w:tcMar>
            <w:vAlign w:val="center"/>
          </w:tcPr>
          <w:p w14:paraId="362CFFFE" w14:textId="77777777" w:rsidR="009568E0" w:rsidRPr="00DF4CE5" w:rsidRDefault="009568E0" w:rsidP="009568E0">
            <w:pPr>
              <w:snapToGrid w:val="0"/>
              <w:spacing w:after="0" w:line="240" w:lineRule="auto"/>
              <w:jc w:val="center"/>
              <w:rPr>
                <w:rFonts w:ascii="Cambria" w:eastAsia="Times New Roman" w:hAnsi="Cambria" w:cs="Calibri"/>
                <w:lang w:val="hr-HR"/>
              </w:rPr>
            </w:pPr>
            <w:r w:rsidRPr="00DF4CE5">
              <w:rPr>
                <w:rFonts w:ascii="Cambria" w:eastAsia="Times New Roman" w:hAnsi="Cambria" w:cs="Calibri"/>
                <w:lang w:val="hr-HR"/>
              </w:rPr>
              <w:t>1,6</w:t>
            </w:r>
          </w:p>
        </w:tc>
        <w:tc>
          <w:tcPr>
            <w:tcW w:w="127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76572A9" w14:textId="77777777" w:rsidR="009568E0" w:rsidRPr="00DF4CE5" w:rsidRDefault="009568E0" w:rsidP="009568E0">
            <w:pPr>
              <w:snapToGrid w:val="0"/>
              <w:spacing w:after="0" w:line="240" w:lineRule="auto"/>
              <w:jc w:val="center"/>
              <w:rPr>
                <w:rFonts w:ascii="Cambria" w:eastAsia="Times New Roman" w:hAnsi="Cambria" w:cs="Calibri"/>
                <w:lang w:val="hr-HR"/>
              </w:rPr>
            </w:pPr>
            <w:r w:rsidRPr="00DF4CE5">
              <w:rPr>
                <w:rFonts w:ascii="Cambria" w:eastAsia="Times New Roman" w:hAnsi="Cambria" w:cs="Calibri"/>
                <w:lang w:val="hr-HR"/>
              </w:rPr>
              <w:t>50 %</w:t>
            </w:r>
          </w:p>
          <w:p w14:paraId="09ECB0DD" w14:textId="77777777" w:rsidR="009568E0" w:rsidRPr="00DF4CE5" w:rsidRDefault="009568E0" w:rsidP="009568E0">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(5 x 10%)</w:t>
            </w:r>
          </w:p>
        </w:tc>
      </w:tr>
      <w:tr w:rsidR="009568E0" w:rsidRPr="005C2363" w14:paraId="68BD96D4" w14:textId="77777777" w:rsidTr="009568E0">
        <w:tc>
          <w:tcPr>
            <w:tcW w:w="2056" w:type="dxa"/>
            <w:vMerge/>
            <w:tcBorders>
              <w:left w:val="single" w:sz="8" w:space="0" w:color="000000"/>
              <w:right w:val="single" w:sz="8" w:space="0" w:color="000000"/>
            </w:tcBorders>
            <w:vAlign w:val="center"/>
          </w:tcPr>
          <w:p w14:paraId="2016ED77" w14:textId="77777777" w:rsidR="009568E0" w:rsidRPr="005C2363" w:rsidRDefault="009568E0" w:rsidP="009568E0">
            <w:pPr>
              <w:spacing w:after="0" w:line="240" w:lineRule="auto"/>
              <w:rPr>
                <w:rFonts w:ascii="Cambria" w:eastAsia="Times New Roman" w:hAnsi="Cambria" w:cs="Calibri"/>
                <w:lang w:val="hr-HR"/>
              </w:rPr>
            </w:pPr>
          </w:p>
        </w:tc>
        <w:tc>
          <w:tcPr>
            <w:tcW w:w="2981" w:type="dxa"/>
            <w:gridSpan w:val="2"/>
            <w:tcBorders>
              <w:left w:val="single" w:sz="8" w:space="0" w:color="000000"/>
              <w:bottom w:val="single" w:sz="8" w:space="0" w:color="000000"/>
            </w:tcBorders>
            <w:shd w:val="clear" w:color="auto" w:fill="FFFFFF"/>
            <w:tcMar>
              <w:top w:w="15" w:type="dxa"/>
              <w:left w:w="108" w:type="dxa"/>
              <w:bottom w:w="0" w:type="dxa"/>
              <w:right w:w="108" w:type="dxa"/>
            </w:tcMar>
          </w:tcPr>
          <w:p w14:paraId="2AA09F03" w14:textId="77777777" w:rsidR="009568E0" w:rsidRPr="00DF4CE5" w:rsidRDefault="009568E0" w:rsidP="009568E0">
            <w:pPr>
              <w:spacing w:after="0" w:line="100" w:lineRule="atLeast"/>
              <w:jc w:val="both"/>
              <w:rPr>
                <w:rFonts w:ascii="Cambria" w:eastAsia="Times New Roman" w:hAnsi="Cambria" w:cs="Calibri"/>
                <w:lang w:val="hr-HR"/>
              </w:rPr>
            </w:pPr>
            <w:r w:rsidRPr="00DF4CE5">
              <w:rPr>
                <w:rFonts w:ascii="Cambria" w:eastAsia="Times New Roman" w:hAnsi="Cambria" w:cs="Calibri"/>
                <w:lang w:val="hr-HR"/>
              </w:rPr>
              <w:t>usmeni ispit</w:t>
            </w:r>
          </w:p>
        </w:tc>
        <w:tc>
          <w:tcPr>
            <w:tcW w:w="1058" w:type="dxa"/>
            <w:tcBorders>
              <w:left w:val="single" w:sz="8" w:space="0" w:color="000000"/>
              <w:bottom w:val="single" w:sz="8" w:space="0" w:color="000000"/>
            </w:tcBorders>
            <w:shd w:val="clear" w:color="auto" w:fill="FFFFFF"/>
            <w:tcMar>
              <w:top w:w="15" w:type="dxa"/>
              <w:left w:w="108" w:type="dxa"/>
              <w:bottom w:w="0" w:type="dxa"/>
              <w:right w:w="108" w:type="dxa"/>
            </w:tcMar>
            <w:vAlign w:val="center"/>
          </w:tcPr>
          <w:p w14:paraId="6F00F314" w14:textId="77777777" w:rsidR="009568E0" w:rsidRPr="00DF4CE5" w:rsidRDefault="009568E0" w:rsidP="009568E0">
            <w:pPr>
              <w:spacing w:after="0" w:line="100" w:lineRule="atLeast"/>
              <w:jc w:val="center"/>
              <w:rPr>
                <w:rFonts w:ascii="Cambria" w:eastAsia="Times New Roman" w:hAnsi="Cambria" w:cs="Calibri"/>
                <w:lang w:val="hr-HR"/>
              </w:rPr>
            </w:pPr>
            <w:r w:rsidRPr="00DF4CE5">
              <w:rPr>
                <w:rFonts w:ascii="Cambria" w:eastAsia="Times New Roman" w:hAnsi="Cambria" w:cs="Calibri"/>
                <w:lang w:val="hr-HR"/>
              </w:rPr>
              <w:t>1. – 4.</w:t>
            </w:r>
          </w:p>
        </w:tc>
        <w:tc>
          <w:tcPr>
            <w:tcW w:w="697" w:type="dxa"/>
            <w:gridSpan w:val="2"/>
            <w:tcBorders>
              <w:top w:val="single" w:sz="8" w:space="0" w:color="000000"/>
              <w:left w:val="single" w:sz="8" w:space="0" w:color="000000"/>
              <w:bottom w:val="single" w:sz="8" w:space="0" w:color="000000"/>
            </w:tcBorders>
            <w:tcMar>
              <w:top w:w="15" w:type="dxa"/>
              <w:left w:w="108" w:type="dxa"/>
              <w:bottom w:w="0" w:type="dxa"/>
              <w:right w:w="108" w:type="dxa"/>
            </w:tcMar>
            <w:vAlign w:val="center"/>
          </w:tcPr>
          <w:p w14:paraId="127A40ED" w14:textId="77777777" w:rsidR="009568E0" w:rsidRPr="00DF4CE5" w:rsidRDefault="009568E0" w:rsidP="009568E0">
            <w:pPr>
              <w:snapToGrid w:val="0"/>
              <w:spacing w:after="0" w:line="240" w:lineRule="auto"/>
              <w:jc w:val="center"/>
              <w:rPr>
                <w:rFonts w:ascii="Cambria" w:eastAsia="Times New Roman" w:hAnsi="Cambria" w:cs="Calibri"/>
                <w:lang w:val="hr-HR"/>
              </w:rPr>
            </w:pPr>
            <w:r w:rsidRPr="00DF4CE5">
              <w:rPr>
                <w:rFonts w:ascii="Cambria" w:eastAsia="Times New Roman" w:hAnsi="Cambria" w:cs="Calibri"/>
                <w:lang w:val="hr-HR"/>
              </w:rPr>
              <w:t>39</w:t>
            </w:r>
          </w:p>
        </w:tc>
        <w:tc>
          <w:tcPr>
            <w:tcW w:w="982" w:type="dxa"/>
            <w:tcBorders>
              <w:top w:val="single" w:sz="8" w:space="0" w:color="000000"/>
              <w:left w:val="single" w:sz="8" w:space="0" w:color="000000"/>
              <w:bottom w:val="single" w:sz="8" w:space="0" w:color="000000"/>
            </w:tcBorders>
            <w:tcMar>
              <w:top w:w="15" w:type="dxa"/>
              <w:left w:w="108" w:type="dxa"/>
              <w:bottom w:w="0" w:type="dxa"/>
              <w:right w:w="108" w:type="dxa"/>
            </w:tcMar>
            <w:vAlign w:val="center"/>
          </w:tcPr>
          <w:p w14:paraId="771984E8" w14:textId="77777777" w:rsidR="009568E0" w:rsidRPr="00DF4CE5" w:rsidRDefault="009568E0" w:rsidP="009568E0">
            <w:pPr>
              <w:snapToGrid w:val="0"/>
              <w:spacing w:after="0" w:line="240" w:lineRule="auto"/>
              <w:jc w:val="center"/>
              <w:rPr>
                <w:rFonts w:ascii="Cambria" w:eastAsia="Times New Roman" w:hAnsi="Cambria" w:cs="Calibri"/>
                <w:lang w:val="hr-HR"/>
              </w:rPr>
            </w:pPr>
            <w:r w:rsidRPr="00DF4CE5">
              <w:rPr>
                <w:rFonts w:ascii="Cambria" w:eastAsia="Times New Roman" w:hAnsi="Cambria" w:cs="Calibri"/>
                <w:lang w:val="hr-HR"/>
              </w:rPr>
              <w:t>1,3</w:t>
            </w:r>
          </w:p>
        </w:tc>
        <w:tc>
          <w:tcPr>
            <w:tcW w:w="127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90CBD0E" w14:textId="77777777" w:rsidR="009568E0" w:rsidRPr="00DF4CE5" w:rsidRDefault="009568E0" w:rsidP="009568E0">
            <w:pPr>
              <w:snapToGrid w:val="0"/>
              <w:spacing w:after="0" w:line="240" w:lineRule="auto"/>
              <w:jc w:val="center"/>
              <w:rPr>
                <w:rFonts w:ascii="Cambria" w:eastAsia="Times New Roman" w:hAnsi="Cambria" w:cs="Calibri"/>
                <w:lang w:val="hr-HR"/>
              </w:rPr>
            </w:pPr>
            <w:r w:rsidRPr="00DF4CE5">
              <w:rPr>
                <w:rFonts w:ascii="Cambria" w:eastAsia="Times New Roman" w:hAnsi="Cambria" w:cs="Calibri"/>
                <w:lang w:val="hr-HR"/>
              </w:rPr>
              <w:t>30%</w:t>
            </w:r>
          </w:p>
        </w:tc>
      </w:tr>
      <w:tr w:rsidR="009568E0" w:rsidRPr="005C2363" w14:paraId="21A5C7E4" w14:textId="77777777" w:rsidTr="009568E0">
        <w:tc>
          <w:tcPr>
            <w:tcW w:w="2056" w:type="dxa"/>
            <w:vMerge/>
            <w:tcBorders>
              <w:left w:val="single" w:sz="8" w:space="0" w:color="000000"/>
              <w:right w:val="single" w:sz="8" w:space="0" w:color="000000"/>
            </w:tcBorders>
            <w:vAlign w:val="center"/>
          </w:tcPr>
          <w:p w14:paraId="4C502D90" w14:textId="77777777" w:rsidR="009568E0" w:rsidRPr="005C2363" w:rsidRDefault="009568E0" w:rsidP="009568E0">
            <w:pPr>
              <w:spacing w:after="0" w:line="240" w:lineRule="auto"/>
              <w:rPr>
                <w:rFonts w:ascii="Cambria" w:eastAsia="Times New Roman" w:hAnsi="Cambria" w:cs="Calibri"/>
                <w:lang w:val="hr-HR"/>
              </w:rPr>
            </w:pPr>
          </w:p>
        </w:tc>
        <w:tc>
          <w:tcPr>
            <w:tcW w:w="4039"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AF0D264" w14:textId="77777777" w:rsidR="009568E0" w:rsidRPr="005C2363" w:rsidRDefault="009568E0" w:rsidP="009568E0">
            <w:pPr>
              <w:spacing w:after="0" w:line="240" w:lineRule="auto"/>
              <w:rPr>
                <w:rFonts w:ascii="Cambria" w:eastAsia="Times New Roman" w:hAnsi="Cambria" w:cs="Calibri"/>
                <w:lang w:val="hr-HR"/>
              </w:rPr>
            </w:pPr>
            <w:r w:rsidRPr="005C2363">
              <w:rPr>
                <w:rFonts w:ascii="Cambria" w:eastAsia="Times New Roman" w:hAnsi="Cambria" w:cs="Calibri"/>
                <w:lang w:val="hr-HR"/>
              </w:rPr>
              <w:t>ukupno</w:t>
            </w:r>
          </w:p>
        </w:tc>
        <w:tc>
          <w:tcPr>
            <w:tcW w:w="69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3C42171" w14:textId="65E28DF3" w:rsidR="009568E0" w:rsidRPr="005C2363" w:rsidRDefault="00F73829" w:rsidP="009568E0">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120</w:t>
            </w:r>
          </w:p>
        </w:tc>
        <w:tc>
          <w:tcPr>
            <w:tcW w:w="982" w:type="dxa"/>
            <w:tcBorders>
              <w:top w:val="single" w:sz="8" w:space="0" w:color="000000"/>
              <w:left w:val="single" w:sz="8" w:space="0" w:color="000000"/>
              <w:bottom w:val="single" w:sz="8" w:space="0" w:color="000000"/>
            </w:tcBorders>
            <w:tcMar>
              <w:top w:w="15" w:type="dxa"/>
              <w:left w:w="108" w:type="dxa"/>
              <w:bottom w:w="0" w:type="dxa"/>
              <w:right w:w="108" w:type="dxa"/>
            </w:tcMar>
            <w:vAlign w:val="center"/>
          </w:tcPr>
          <w:p w14:paraId="5643C118" w14:textId="3F6C868F" w:rsidR="009568E0" w:rsidRPr="00DF4CE5" w:rsidRDefault="00F73829" w:rsidP="009568E0">
            <w:pPr>
              <w:snapToGrid w:val="0"/>
              <w:spacing w:after="0" w:line="240" w:lineRule="auto"/>
              <w:jc w:val="center"/>
              <w:rPr>
                <w:rFonts w:ascii="Cambria" w:eastAsia="Times New Roman" w:hAnsi="Cambria" w:cs="Calibri"/>
                <w:lang w:val="hr-HR"/>
              </w:rPr>
            </w:pPr>
            <w:r>
              <w:rPr>
                <w:rFonts w:ascii="Cambria" w:eastAsia="Times New Roman" w:hAnsi="Cambria" w:cs="Calibri"/>
                <w:lang w:val="hr-HR"/>
              </w:rPr>
              <w:t>4</w:t>
            </w:r>
          </w:p>
        </w:tc>
        <w:tc>
          <w:tcPr>
            <w:tcW w:w="1278" w:type="dxa"/>
            <w:tcBorders>
              <w:top w:val="single" w:sz="8" w:space="0" w:color="000000"/>
              <w:left w:val="single" w:sz="8" w:space="0" w:color="000000"/>
              <w:bottom w:val="single" w:sz="8" w:space="0" w:color="000000"/>
              <w:right w:val="single" w:sz="4" w:space="0" w:color="auto"/>
            </w:tcBorders>
            <w:tcMar>
              <w:top w:w="15" w:type="dxa"/>
              <w:left w:w="108" w:type="dxa"/>
              <w:bottom w:w="0" w:type="dxa"/>
              <w:right w:w="108" w:type="dxa"/>
            </w:tcMar>
            <w:vAlign w:val="center"/>
          </w:tcPr>
          <w:p w14:paraId="005395C8" w14:textId="0B6C7FCF" w:rsidR="009568E0" w:rsidRPr="00DF4CE5" w:rsidRDefault="00F73829" w:rsidP="009568E0">
            <w:pPr>
              <w:snapToGrid w:val="0"/>
              <w:spacing w:after="0" w:line="240" w:lineRule="auto"/>
              <w:jc w:val="center"/>
              <w:rPr>
                <w:rFonts w:ascii="Cambria" w:eastAsia="Times New Roman" w:hAnsi="Cambria" w:cs="Calibri"/>
                <w:lang w:val="hr-HR"/>
              </w:rPr>
            </w:pPr>
            <w:r>
              <w:rPr>
                <w:rFonts w:ascii="Cambria" w:eastAsia="Times New Roman" w:hAnsi="Cambria" w:cs="Calibri"/>
                <w:lang w:val="hr-HR"/>
              </w:rPr>
              <w:t>100%</w:t>
            </w:r>
          </w:p>
        </w:tc>
      </w:tr>
      <w:tr w:rsidR="009568E0" w:rsidRPr="00882137" w14:paraId="59C70185" w14:textId="77777777" w:rsidTr="009568E0">
        <w:tc>
          <w:tcPr>
            <w:tcW w:w="205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FF22C13" w14:textId="77777777" w:rsidR="009568E0" w:rsidRPr="005C2363" w:rsidRDefault="009568E0" w:rsidP="009568E0">
            <w:pPr>
              <w:spacing w:after="0" w:line="240" w:lineRule="auto"/>
              <w:rPr>
                <w:rFonts w:ascii="Cambria" w:eastAsia="Times New Roman" w:hAnsi="Cambria" w:cs="Calibri"/>
                <w:lang w:val="hr-HR"/>
              </w:rPr>
            </w:pPr>
            <w:r w:rsidRPr="005C2363">
              <w:rPr>
                <w:rFonts w:ascii="Cambria" w:eastAsia="Times New Roman" w:hAnsi="Cambria" w:cs="Calibri"/>
                <w:lang w:val="hr-HR"/>
              </w:rPr>
              <w:t>Studentske obveze</w:t>
            </w:r>
          </w:p>
        </w:tc>
        <w:tc>
          <w:tcPr>
            <w:tcW w:w="699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891D09C" w14:textId="77777777" w:rsidR="009568E0" w:rsidRPr="00DF4CE5" w:rsidRDefault="009568E0" w:rsidP="009568E0">
            <w:pPr>
              <w:snapToGrid w:val="0"/>
              <w:spacing w:after="0" w:line="240" w:lineRule="auto"/>
              <w:jc w:val="both"/>
              <w:rPr>
                <w:rFonts w:ascii="Cambria" w:eastAsia="Times New Roman" w:hAnsi="Cambria" w:cs="Calibri"/>
                <w:lang w:val="hr-HR"/>
              </w:rPr>
            </w:pPr>
            <w:r w:rsidRPr="00DF4CE5">
              <w:rPr>
                <w:rFonts w:ascii="Cambria" w:eastAsia="Times New Roman" w:hAnsi="Cambria" w:cs="Times New Roman"/>
                <w:lang w:val="hr-HR"/>
              </w:rPr>
              <w:t>Da položi kolegij, student/studentica mora</w:t>
            </w:r>
            <w:r w:rsidRPr="00DF4CE5">
              <w:rPr>
                <w:rFonts w:ascii="Cambria" w:eastAsia="Times New Roman" w:hAnsi="Cambria" w:cs="Calibri"/>
                <w:lang w:val="hr-HR"/>
              </w:rPr>
              <w:t>:</w:t>
            </w:r>
          </w:p>
          <w:p w14:paraId="4CFCC650" w14:textId="77777777" w:rsidR="009568E0" w:rsidRPr="00DF4CE5" w:rsidRDefault="009568E0" w:rsidP="009568E0">
            <w:pPr>
              <w:snapToGrid w:val="0"/>
              <w:spacing w:after="0" w:line="240" w:lineRule="auto"/>
              <w:jc w:val="both"/>
              <w:rPr>
                <w:rFonts w:ascii="Cambria" w:eastAsia="Times New Roman" w:hAnsi="Cambria" w:cs="Calibri"/>
                <w:lang w:val="hr-HR"/>
              </w:rPr>
            </w:pPr>
            <w:r w:rsidRPr="00DF4CE5">
              <w:rPr>
                <w:rFonts w:ascii="Cambria" w:eastAsia="Times New Roman" w:hAnsi="Cambria" w:cs="Calibri"/>
                <w:lang w:val="hr-HR"/>
              </w:rPr>
              <w:t>1. redovito pratiti nastavu i aktivno sudjelovati u svim oblicima nastave, posebno u vježbama</w:t>
            </w:r>
          </w:p>
          <w:p w14:paraId="1850DC82" w14:textId="77777777" w:rsidR="009568E0" w:rsidRPr="00DF4CE5" w:rsidRDefault="009568E0" w:rsidP="009568E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2. izraditi praktična originalna likovna djela</w:t>
            </w:r>
          </w:p>
          <w:p w14:paraId="71281AD9" w14:textId="77777777" w:rsidR="009568E0" w:rsidRPr="00DF4CE5" w:rsidRDefault="009568E0" w:rsidP="009568E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3. prisustvovati na barem pet različitih otvorenja izložbi profesionalnih likovnih umjetnika i/ili djece predškolskog uzrasta u galeriji ili muzeju.</w:t>
            </w:r>
          </w:p>
          <w:p w14:paraId="2A9AFCCE" w14:textId="690CE226" w:rsidR="009568E0" w:rsidRPr="00DF4CE5" w:rsidRDefault="009568E0" w:rsidP="009568E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3. položiti usmeni ispit</w:t>
            </w:r>
            <w:r>
              <w:rPr>
                <w:rFonts w:ascii="Cambria" w:eastAsia="Times New Roman" w:hAnsi="Cambria" w:cs="Calibri"/>
                <w:lang w:val="hr-HR"/>
              </w:rPr>
              <w:t>.</w:t>
            </w:r>
          </w:p>
          <w:p w14:paraId="16E13BFC" w14:textId="77777777" w:rsidR="009568E0" w:rsidRPr="00DF4CE5" w:rsidRDefault="009568E0" w:rsidP="009568E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Napomena: (vrijedi za obvezu 2.) Studenti i studentice su dužni izraditi praktične radove izvan ustanove i </w:t>
            </w:r>
            <w:proofErr w:type="spellStart"/>
            <w:r w:rsidRPr="00DF4CE5">
              <w:rPr>
                <w:rFonts w:ascii="Cambria" w:eastAsia="Times New Roman" w:hAnsi="Cambria" w:cs="Calibri"/>
                <w:lang w:val="hr-HR"/>
              </w:rPr>
              <w:t>in</w:t>
            </w:r>
            <w:proofErr w:type="spellEnd"/>
            <w:r w:rsidRPr="00DF4CE5">
              <w:rPr>
                <w:rFonts w:ascii="Cambria" w:eastAsia="Times New Roman" w:hAnsi="Cambria" w:cs="Calibri"/>
                <w:lang w:val="hr-HR"/>
              </w:rPr>
              <w:t xml:space="preserve"> situ, na nastavi, prema uputama metodičarke. Ako ne riješe obveze do zadanoga roka, gube pravo na ECTS-e iz kolegija u toj akademskoj godini. Rokovi se u ovome kolegiju u potpunosti poštuju</w:t>
            </w:r>
          </w:p>
        </w:tc>
      </w:tr>
      <w:tr w:rsidR="009568E0" w:rsidRPr="00D0399C" w14:paraId="141D6423" w14:textId="77777777" w:rsidTr="009568E0">
        <w:tc>
          <w:tcPr>
            <w:tcW w:w="205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2923664" w14:textId="77777777" w:rsidR="009568E0" w:rsidRPr="005C2363" w:rsidRDefault="009568E0" w:rsidP="009568E0">
            <w:pPr>
              <w:spacing w:after="0" w:line="240" w:lineRule="auto"/>
              <w:rPr>
                <w:rFonts w:ascii="Cambria" w:eastAsia="Times New Roman" w:hAnsi="Cambria" w:cs="Calibri"/>
                <w:lang w:val="hr-HR"/>
              </w:rPr>
            </w:pPr>
            <w:r w:rsidRPr="005C2363">
              <w:rPr>
                <w:rFonts w:ascii="Cambria" w:eastAsia="Times New Roman" w:hAnsi="Cambria" w:cs="Calibri"/>
                <w:lang w:val="hr-HR"/>
              </w:rPr>
              <w:t>Rokovi ispita i kolokvija</w:t>
            </w:r>
          </w:p>
        </w:tc>
        <w:tc>
          <w:tcPr>
            <w:tcW w:w="699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E3D6374" w14:textId="77777777" w:rsidR="009568E0" w:rsidRPr="00DF4CE5" w:rsidRDefault="009568E0" w:rsidP="009568E0">
            <w:pPr>
              <w:snapToGrid w:val="0"/>
              <w:spacing w:after="0" w:line="240" w:lineRule="auto"/>
              <w:jc w:val="both"/>
              <w:rPr>
                <w:rFonts w:ascii="Cambria" w:eastAsia="Times New Roman" w:hAnsi="Cambria" w:cs="Calibri"/>
                <w:lang w:val="hr-HR"/>
              </w:rPr>
            </w:pPr>
            <w:r w:rsidRPr="00DF4CE5">
              <w:rPr>
                <w:rFonts w:ascii="Cambria" w:eastAsia="Times New Roman" w:hAnsi="Cambria" w:cs="Calibri"/>
                <w:lang w:val="hr-HR"/>
              </w:rPr>
              <w:t>Daju se na početku semestra, objavljuju se na mrežnim stranicama Sveučilišta i u ISVU.</w:t>
            </w:r>
          </w:p>
        </w:tc>
      </w:tr>
      <w:tr w:rsidR="009568E0" w:rsidRPr="007D6972" w14:paraId="35484169" w14:textId="77777777" w:rsidTr="009568E0">
        <w:tc>
          <w:tcPr>
            <w:tcW w:w="205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6974418" w14:textId="77777777" w:rsidR="009568E0" w:rsidRPr="005C2363" w:rsidRDefault="009568E0" w:rsidP="009568E0">
            <w:pPr>
              <w:spacing w:after="0" w:line="240" w:lineRule="auto"/>
              <w:rPr>
                <w:rFonts w:ascii="Cambria" w:eastAsia="Times New Roman" w:hAnsi="Cambria" w:cs="Calibri"/>
                <w:lang w:val="hr-HR"/>
              </w:rPr>
            </w:pPr>
            <w:r w:rsidRPr="005C2363">
              <w:rPr>
                <w:rFonts w:ascii="Cambria" w:eastAsia="Times New Roman" w:hAnsi="Cambria" w:cs="Calibri"/>
                <w:lang w:val="hr-HR"/>
              </w:rPr>
              <w:t>Ostale važne činjenice vezane uz kolegij</w:t>
            </w:r>
          </w:p>
        </w:tc>
        <w:tc>
          <w:tcPr>
            <w:tcW w:w="699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41C1B18" w14:textId="77777777" w:rsidR="009568E0" w:rsidRPr="00DF4CE5" w:rsidRDefault="009568E0" w:rsidP="009568E0">
            <w:pPr>
              <w:snapToGrid w:val="0"/>
              <w:spacing w:after="0" w:line="240" w:lineRule="auto"/>
              <w:jc w:val="both"/>
              <w:rPr>
                <w:rFonts w:ascii="Cambria" w:eastAsia="Times New Roman" w:hAnsi="Cambria" w:cs="Calibri"/>
                <w:lang w:val="hr-HR"/>
              </w:rPr>
            </w:pPr>
            <w:r w:rsidRPr="00DF4CE5">
              <w:rPr>
                <w:rFonts w:ascii="Cambria" w:eastAsia="Times New Roman" w:hAnsi="Cambria" w:cs="Calibri"/>
                <w:lang w:val="hr-HR"/>
              </w:rPr>
              <w:t>U slučaju održavanja nastave na daljinu, moguće je odstupanje u: mjestu izvođenja kolegija, provedbi aktivnosti, metoda tumačenja i poučavanja i načinima vrednovanja, studentskim obvezama i dostupnoj literaturi. Ishodi učenja ostaju nepromijenjeni.</w:t>
            </w:r>
          </w:p>
        </w:tc>
      </w:tr>
      <w:tr w:rsidR="009568E0" w:rsidRPr="00882137" w14:paraId="2DB5211F" w14:textId="77777777" w:rsidTr="009568E0">
        <w:tc>
          <w:tcPr>
            <w:tcW w:w="205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0021CE2" w14:textId="77777777" w:rsidR="009568E0" w:rsidRPr="005C2363" w:rsidRDefault="009568E0" w:rsidP="009568E0">
            <w:pPr>
              <w:spacing w:after="0" w:line="240" w:lineRule="auto"/>
              <w:rPr>
                <w:rFonts w:ascii="Cambria" w:eastAsia="Times New Roman" w:hAnsi="Cambria" w:cs="Calibri"/>
                <w:lang w:val="hr-HR"/>
              </w:rPr>
            </w:pPr>
            <w:r>
              <w:rPr>
                <w:rFonts w:ascii="Cambria" w:eastAsia="Times New Roman" w:hAnsi="Cambria" w:cs="Calibri"/>
                <w:lang w:val="hr-HR"/>
              </w:rPr>
              <w:t>Literatura</w:t>
            </w:r>
          </w:p>
        </w:tc>
        <w:tc>
          <w:tcPr>
            <w:tcW w:w="6996"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5C1AC55E" w14:textId="77777777" w:rsidR="009568E0" w:rsidRPr="00DF4CE5" w:rsidRDefault="009568E0" w:rsidP="009568E0">
            <w:pPr>
              <w:snapToGrid w:val="0"/>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Obvezna: </w:t>
            </w:r>
          </w:p>
          <w:p w14:paraId="0A129AFE" w14:textId="2CF5CBD5" w:rsidR="009568E0" w:rsidRPr="00DF4CE5" w:rsidRDefault="009568E0" w:rsidP="009568E0">
            <w:pPr>
              <w:snapToGrid w:val="0"/>
              <w:spacing w:after="0" w:line="240" w:lineRule="auto"/>
              <w:jc w:val="both"/>
              <w:rPr>
                <w:rFonts w:ascii="Cambria" w:eastAsia="Times New Roman" w:hAnsi="Cambria" w:cs="Calibri"/>
                <w:lang w:val="hr-HR"/>
              </w:rPr>
            </w:pPr>
            <w:r>
              <w:rPr>
                <w:rFonts w:ascii="Cambria" w:eastAsia="Times New Roman" w:hAnsi="Cambria" w:cs="Calibri"/>
                <w:lang w:val="hr-HR"/>
              </w:rPr>
              <w:t xml:space="preserve">1. </w:t>
            </w:r>
            <w:r w:rsidRPr="00DF4CE5">
              <w:rPr>
                <w:rFonts w:ascii="Cambria" w:eastAsia="Times New Roman" w:hAnsi="Cambria" w:cs="Calibri"/>
                <w:lang w:val="hr-HR"/>
              </w:rPr>
              <w:t>Belamarić, D. (1986): „Dijete i oblik“. Zagreb: Školska knjiga.</w:t>
            </w:r>
          </w:p>
          <w:p w14:paraId="06D0AEB6" w14:textId="009204C4" w:rsidR="009568E0" w:rsidRPr="00DF4CE5" w:rsidRDefault="009568E0" w:rsidP="009568E0">
            <w:pPr>
              <w:snapToGrid w:val="0"/>
              <w:spacing w:after="0" w:line="240" w:lineRule="auto"/>
              <w:jc w:val="both"/>
              <w:rPr>
                <w:rFonts w:ascii="Cambria" w:eastAsia="Times New Roman" w:hAnsi="Cambria" w:cs="Calibri"/>
                <w:lang w:val="hr-HR"/>
              </w:rPr>
            </w:pPr>
            <w:r>
              <w:rPr>
                <w:rFonts w:ascii="Cambria" w:eastAsia="Times New Roman" w:hAnsi="Cambria" w:cs="Calibri"/>
                <w:lang w:val="hr-HR"/>
              </w:rPr>
              <w:t xml:space="preserve">2. </w:t>
            </w:r>
            <w:r w:rsidRPr="00DF4CE5">
              <w:rPr>
                <w:rFonts w:ascii="Cambria" w:eastAsia="Times New Roman" w:hAnsi="Cambria" w:cs="Calibri"/>
                <w:lang w:val="hr-HR"/>
              </w:rPr>
              <w:t>Grgurić, N.; Jakubin, M. (1996): „Vizualno-likovni odgoj i obrazovanje, metodički priručnik“. Zagreb: Educa.</w:t>
            </w:r>
          </w:p>
          <w:p w14:paraId="0ECB2495" w14:textId="4050FFC5" w:rsidR="009568E0" w:rsidRPr="00DF4CE5" w:rsidRDefault="009568E0" w:rsidP="009568E0">
            <w:pPr>
              <w:snapToGrid w:val="0"/>
              <w:spacing w:after="0" w:line="240" w:lineRule="auto"/>
              <w:jc w:val="both"/>
              <w:rPr>
                <w:rFonts w:ascii="Cambria" w:eastAsia="Times New Roman" w:hAnsi="Cambria" w:cs="Calibri"/>
                <w:lang w:val="hr-HR"/>
              </w:rPr>
            </w:pPr>
            <w:r>
              <w:rPr>
                <w:rFonts w:ascii="Cambria" w:eastAsia="Times New Roman" w:hAnsi="Cambria" w:cs="Calibri"/>
                <w:lang w:val="hr-HR"/>
              </w:rPr>
              <w:t xml:space="preserve">3. </w:t>
            </w:r>
            <w:r w:rsidRPr="00DF4CE5">
              <w:rPr>
                <w:rFonts w:ascii="Cambria" w:eastAsia="Times New Roman" w:hAnsi="Cambria" w:cs="Calibri"/>
                <w:lang w:val="hr-HR"/>
              </w:rPr>
              <w:t xml:space="preserve">Herceg, L.; Rončević, A.; </w:t>
            </w:r>
            <w:proofErr w:type="spellStart"/>
            <w:r w:rsidRPr="00DF4CE5">
              <w:rPr>
                <w:rFonts w:ascii="Cambria" w:eastAsia="Times New Roman" w:hAnsi="Cambria" w:cs="Calibri"/>
                <w:lang w:val="hr-HR"/>
              </w:rPr>
              <w:t>Karlavaris</w:t>
            </w:r>
            <w:proofErr w:type="spellEnd"/>
            <w:r w:rsidRPr="00DF4CE5">
              <w:rPr>
                <w:rFonts w:ascii="Cambria" w:eastAsia="Times New Roman" w:hAnsi="Cambria" w:cs="Calibri"/>
                <w:lang w:val="hr-HR"/>
              </w:rPr>
              <w:t>, B. (2010): „Metodika likovne kulture djece rane i predškolske dobi“. Zagreb: Alfa.</w:t>
            </w:r>
          </w:p>
          <w:p w14:paraId="22471EE7" w14:textId="77777777" w:rsidR="009568E0" w:rsidRPr="00DF4CE5" w:rsidRDefault="009568E0" w:rsidP="009568E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Izborna:</w:t>
            </w:r>
          </w:p>
          <w:p w14:paraId="1D79554B" w14:textId="2F356D6E" w:rsidR="009568E0" w:rsidRPr="00DF4CE5" w:rsidRDefault="009568E0" w:rsidP="009568E0">
            <w:pPr>
              <w:spacing w:after="0" w:line="240" w:lineRule="auto"/>
              <w:jc w:val="both"/>
              <w:rPr>
                <w:rFonts w:ascii="Cambria" w:eastAsia="Times New Roman" w:hAnsi="Cambria" w:cs="Calibri"/>
                <w:lang w:val="hr-HR"/>
              </w:rPr>
            </w:pPr>
            <w:r>
              <w:rPr>
                <w:rFonts w:ascii="Cambria" w:eastAsia="Times New Roman" w:hAnsi="Cambria" w:cs="Calibri"/>
                <w:lang w:val="hr-HR"/>
              </w:rPr>
              <w:t xml:space="preserve">1. </w:t>
            </w:r>
            <w:r w:rsidRPr="00DF4CE5">
              <w:rPr>
                <w:rFonts w:ascii="Cambria" w:eastAsia="Times New Roman" w:hAnsi="Cambria" w:cs="Calibri"/>
                <w:lang w:val="hr-HR"/>
              </w:rPr>
              <w:t>Babić, A. (1997): „Likovna kultura, pregled povijesti umjetnosti“. Osijek.</w:t>
            </w:r>
          </w:p>
          <w:p w14:paraId="52C9DBC3" w14:textId="4F41FFCF" w:rsidR="009568E0" w:rsidRPr="00DF4CE5" w:rsidRDefault="009568E0" w:rsidP="009568E0">
            <w:pPr>
              <w:spacing w:after="0" w:line="240" w:lineRule="auto"/>
              <w:jc w:val="both"/>
              <w:rPr>
                <w:rFonts w:ascii="Cambria" w:eastAsia="Times New Roman" w:hAnsi="Cambria" w:cs="Calibri"/>
                <w:lang w:val="hr-HR"/>
              </w:rPr>
            </w:pPr>
            <w:r>
              <w:rPr>
                <w:rFonts w:ascii="Cambria" w:eastAsia="Times New Roman" w:hAnsi="Cambria" w:cs="Calibri"/>
                <w:lang w:val="hr-HR"/>
              </w:rPr>
              <w:t xml:space="preserve">2. </w:t>
            </w:r>
            <w:r w:rsidRPr="00DF4CE5">
              <w:rPr>
                <w:rFonts w:ascii="Cambria" w:eastAsia="Times New Roman" w:hAnsi="Cambria" w:cs="Calibri"/>
                <w:lang w:val="hr-HR"/>
              </w:rPr>
              <w:t>Bačić, M. i Bačić J. (2004): „Likovno mišljenje“. Zagreb: Školska knjiga.</w:t>
            </w:r>
          </w:p>
          <w:p w14:paraId="2500A68D" w14:textId="7C361E9B" w:rsidR="009568E0" w:rsidRPr="00DF4CE5" w:rsidRDefault="009568E0" w:rsidP="009568E0">
            <w:pPr>
              <w:spacing w:after="0" w:line="240" w:lineRule="auto"/>
              <w:jc w:val="both"/>
              <w:rPr>
                <w:rFonts w:ascii="Cambria" w:eastAsia="Times New Roman" w:hAnsi="Cambria" w:cs="Calibri"/>
                <w:lang w:val="hr-HR"/>
              </w:rPr>
            </w:pPr>
            <w:r>
              <w:rPr>
                <w:rFonts w:ascii="Cambria" w:eastAsia="Times New Roman" w:hAnsi="Cambria" w:cs="Calibri"/>
                <w:lang w:val="hr-HR"/>
              </w:rPr>
              <w:t xml:space="preserve">3. </w:t>
            </w:r>
            <w:proofErr w:type="spellStart"/>
            <w:r w:rsidRPr="00DF4CE5">
              <w:rPr>
                <w:rFonts w:ascii="Cambria" w:eastAsia="Times New Roman" w:hAnsi="Cambria" w:cs="Calibri"/>
                <w:lang w:val="hr-HR"/>
              </w:rPr>
              <w:t>Damjanov</w:t>
            </w:r>
            <w:proofErr w:type="spellEnd"/>
            <w:r w:rsidRPr="00DF4CE5">
              <w:rPr>
                <w:rFonts w:ascii="Cambria" w:eastAsia="Times New Roman" w:hAnsi="Cambria" w:cs="Calibri"/>
                <w:lang w:val="hr-HR"/>
              </w:rPr>
              <w:t xml:space="preserve">, J. (2006): „Metafizika crteža“. Zagreb: </w:t>
            </w:r>
            <w:proofErr w:type="spellStart"/>
            <w:r w:rsidRPr="00DF4CE5">
              <w:rPr>
                <w:rFonts w:ascii="Cambria" w:eastAsia="Times New Roman" w:hAnsi="Cambria" w:cs="Calibri"/>
                <w:lang w:val="hr-HR"/>
              </w:rPr>
              <w:t>Sipar</w:t>
            </w:r>
            <w:proofErr w:type="spellEnd"/>
            <w:r w:rsidRPr="00DF4CE5">
              <w:rPr>
                <w:rFonts w:ascii="Cambria" w:eastAsia="Times New Roman" w:hAnsi="Cambria" w:cs="Calibri"/>
                <w:lang w:val="hr-HR"/>
              </w:rPr>
              <w:t>.</w:t>
            </w:r>
          </w:p>
          <w:p w14:paraId="2502397B" w14:textId="490B5B81" w:rsidR="009568E0" w:rsidRPr="00DF4CE5" w:rsidRDefault="009568E0" w:rsidP="009568E0">
            <w:pPr>
              <w:spacing w:after="0" w:line="240" w:lineRule="auto"/>
              <w:jc w:val="both"/>
              <w:rPr>
                <w:rFonts w:ascii="Cambria" w:eastAsia="Times New Roman" w:hAnsi="Cambria" w:cs="Calibri"/>
                <w:lang w:val="hr-HR"/>
              </w:rPr>
            </w:pPr>
            <w:r>
              <w:rPr>
                <w:rFonts w:ascii="Cambria" w:eastAsia="Times New Roman" w:hAnsi="Cambria" w:cs="Calibri"/>
                <w:lang w:val="hr-HR"/>
              </w:rPr>
              <w:t xml:space="preserve">4. </w:t>
            </w:r>
            <w:proofErr w:type="spellStart"/>
            <w:r w:rsidRPr="00DF4CE5">
              <w:rPr>
                <w:rFonts w:ascii="Cambria" w:eastAsia="Times New Roman" w:hAnsi="Cambria" w:cs="Calibri"/>
                <w:lang w:val="hr-HR"/>
              </w:rPr>
              <w:t>Dorfles</w:t>
            </w:r>
            <w:proofErr w:type="spellEnd"/>
            <w:r w:rsidRPr="00DF4CE5">
              <w:rPr>
                <w:rFonts w:ascii="Cambria" w:eastAsia="Times New Roman" w:hAnsi="Cambria" w:cs="Calibri"/>
                <w:lang w:val="hr-HR"/>
              </w:rPr>
              <w:t>, G. (1997): „Kič, antologija lošeg ukusa“. Zagreb: Golden marketing.</w:t>
            </w:r>
          </w:p>
          <w:p w14:paraId="6163D762" w14:textId="07B3A0AD" w:rsidR="009568E0" w:rsidRPr="00DF4CE5" w:rsidRDefault="009568E0" w:rsidP="009568E0">
            <w:pPr>
              <w:spacing w:after="0" w:line="240" w:lineRule="auto"/>
              <w:jc w:val="both"/>
              <w:rPr>
                <w:rFonts w:ascii="Cambria" w:eastAsia="Times New Roman" w:hAnsi="Cambria" w:cs="Calibri"/>
                <w:lang w:val="hr-HR"/>
              </w:rPr>
            </w:pPr>
            <w:r>
              <w:rPr>
                <w:rFonts w:ascii="Cambria" w:eastAsia="Times New Roman" w:hAnsi="Cambria" w:cs="Calibri"/>
                <w:lang w:val="hr-HR"/>
              </w:rPr>
              <w:t xml:space="preserve">5. </w:t>
            </w:r>
            <w:r w:rsidRPr="00DF4CE5">
              <w:rPr>
                <w:rFonts w:ascii="Cambria" w:eastAsia="Times New Roman" w:hAnsi="Cambria" w:cs="Calibri"/>
                <w:lang w:val="hr-HR"/>
              </w:rPr>
              <w:t>Finci, P. (2014): „Estetska terminologija“. Zagreb: Antibarbarus.</w:t>
            </w:r>
          </w:p>
          <w:p w14:paraId="4E4AB12E" w14:textId="644BF6FF" w:rsidR="009568E0" w:rsidRPr="00DF4CE5" w:rsidRDefault="009568E0" w:rsidP="009568E0">
            <w:pPr>
              <w:spacing w:after="0" w:line="240" w:lineRule="auto"/>
              <w:jc w:val="both"/>
              <w:rPr>
                <w:rFonts w:ascii="Cambria" w:eastAsia="Times New Roman" w:hAnsi="Cambria" w:cs="Calibri"/>
                <w:lang w:val="hr-HR"/>
              </w:rPr>
            </w:pPr>
            <w:r>
              <w:rPr>
                <w:rFonts w:ascii="Cambria" w:eastAsia="Times New Roman" w:hAnsi="Cambria" w:cs="Calibri"/>
                <w:lang w:val="hr-HR"/>
              </w:rPr>
              <w:t xml:space="preserve">6. </w:t>
            </w:r>
            <w:r w:rsidRPr="00DF4CE5">
              <w:rPr>
                <w:rFonts w:ascii="Cambria" w:eastAsia="Times New Roman" w:hAnsi="Cambria" w:cs="Calibri"/>
                <w:lang w:val="hr-HR"/>
              </w:rPr>
              <w:t>Fučić, B. (2007): „Iz istarske spomeničke baštine“. Zagreb: Matica hrvatska.</w:t>
            </w:r>
          </w:p>
          <w:p w14:paraId="227BFEBD" w14:textId="7D336899" w:rsidR="009568E0" w:rsidRPr="00DF4CE5" w:rsidRDefault="009568E0" w:rsidP="009568E0">
            <w:pPr>
              <w:spacing w:after="0" w:line="240" w:lineRule="auto"/>
              <w:jc w:val="both"/>
              <w:rPr>
                <w:rFonts w:ascii="Cambria" w:eastAsia="Times New Roman" w:hAnsi="Cambria" w:cs="Calibri"/>
                <w:lang w:val="hr-HR"/>
              </w:rPr>
            </w:pPr>
            <w:r>
              <w:rPr>
                <w:rFonts w:ascii="Cambria" w:eastAsia="Times New Roman" w:hAnsi="Cambria" w:cs="Calibri"/>
                <w:lang w:val="hr-HR"/>
              </w:rPr>
              <w:t xml:space="preserve">7. </w:t>
            </w:r>
            <w:r w:rsidRPr="00DF4CE5">
              <w:rPr>
                <w:rFonts w:ascii="Cambria" w:eastAsia="Times New Roman" w:hAnsi="Cambria" w:cs="Calibri"/>
                <w:lang w:val="hr-HR"/>
              </w:rPr>
              <w:t>Jakubin, M.: „Osnove likovnoga jezika i likovne tehnike“. Zagreb.</w:t>
            </w:r>
          </w:p>
          <w:p w14:paraId="09E86803" w14:textId="634C55ED" w:rsidR="009568E0" w:rsidRPr="00DF4CE5" w:rsidRDefault="009568E0" w:rsidP="009568E0">
            <w:pPr>
              <w:spacing w:after="0" w:line="240" w:lineRule="auto"/>
              <w:jc w:val="both"/>
              <w:rPr>
                <w:rFonts w:ascii="Cambria" w:eastAsia="Times New Roman" w:hAnsi="Cambria" w:cs="Calibri"/>
                <w:lang w:val="hr-HR"/>
              </w:rPr>
            </w:pPr>
            <w:r>
              <w:rPr>
                <w:rFonts w:ascii="Cambria" w:eastAsia="Times New Roman" w:hAnsi="Cambria" w:cs="Calibri"/>
                <w:lang w:val="hr-HR"/>
              </w:rPr>
              <w:t xml:space="preserve">8. </w:t>
            </w:r>
            <w:proofErr w:type="spellStart"/>
            <w:r w:rsidRPr="00DF4CE5">
              <w:rPr>
                <w:rFonts w:ascii="Cambria" w:eastAsia="Times New Roman" w:hAnsi="Cambria" w:cs="Calibri"/>
                <w:lang w:val="hr-HR"/>
              </w:rPr>
              <w:t>Miharija</w:t>
            </w:r>
            <w:proofErr w:type="spellEnd"/>
            <w:r w:rsidRPr="00DF4CE5">
              <w:rPr>
                <w:rFonts w:ascii="Cambria" w:eastAsia="Times New Roman" w:hAnsi="Cambria" w:cs="Calibri"/>
                <w:lang w:val="hr-HR"/>
              </w:rPr>
              <w:t xml:space="preserve">, Ž.; Leko </w:t>
            </w:r>
            <w:proofErr w:type="spellStart"/>
            <w:r w:rsidRPr="00DF4CE5">
              <w:rPr>
                <w:rFonts w:ascii="Cambria" w:eastAsia="Times New Roman" w:hAnsi="Cambria" w:cs="Calibri"/>
                <w:lang w:val="hr-HR"/>
              </w:rPr>
              <w:t>Kolbah</w:t>
            </w:r>
            <w:proofErr w:type="spellEnd"/>
            <w:r w:rsidRPr="00DF4CE5">
              <w:rPr>
                <w:rFonts w:ascii="Cambria" w:eastAsia="Times New Roman" w:hAnsi="Cambria" w:cs="Calibri"/>
                <w:lang w:val="hr-HR"/>
              </w:rPr>
              <w:t>, A. (</w:t>
            </w:r>
            <w:proofErr w:type="spellStart"/>
            <w:r w:rsidRPr="00DF4CE5">
              <w:rPr>
                <w:rFonts w:ascii="Cambria" w:eastAsia="Times New Roman" w:hAnsi="Cambria" w:cs="Calibri"/>
                <w:lang w:val="hr-HR"/>
              </w:rPr>
              <w:t>ur</w:t>
            </w:r>
            <w:proofErr w:type="spellEnd"/>
            <w:r w:rsidRPr="00DF4CE5">
              <w:rPr>
                <w:rFonts w:ascii="Cambria" w:eastAsia="Times New Roman" w:hAnsi="Cambria" w:cs="Calibri"/>
                <w:lang w:val="hr-HR"/>
              </w:rPr>
              <w:t>.) (1994): „Pomozimo djeci stradaloj u ratu“. Zagreb: Ministarstvo kulture i prosvjete Zavod za školstvo, Zagreb. Ured UNICEF-a u Zagrebu.</w:t>
            </w:r>
          </w:p>
          <w:p w14:paraId="33EAFC47" w14:textId="3DF8C5F0" w:rsidR="009568E0" w:rsidRPr="00DF4CE5" w:rsidRDefault="009568E0" w:rsidP="009568E0">
            <w:pPr>
              <w:spacing w:after="0" w:line="240" w:lineRule="auto"/>
              <w:jc w:val="both"/>
              <w:rPr>
                <w:rFonts w:ascii="Cambria" w:eastAsia="Times New Roman" w:hAnsi="Cambria" w:cs="Calibri"/>
                <w:lang w:val="hr-HR"/>
              </w:rPr>
            </w:pPr>
            <w:r>
              <w:rPr>
                <w:rFonts w:ascii="Cambria" w:eastAsia="Times New Roman" w:hAnsi="Cambria" w:cs="Calibri"/>
                <w:lang w:val="hr-HR"/>
              </w:rPr>
              <w:t xml:space="preserve">9. </w:t>
            </w:r>
            <w:r w:rsidRPr="00DF4CE5">
              <w:rPr>
                <w:rFonts w:ascii="Cambria" w:eastAsia="Times New Roman" w:hAnsi="Cambria" w:cs="Calibri"/>
                <w:lang w:val="hr-HR"/>
              </w:rPr>
              <w:t>Petrač, L. (2015): „Dijete i likovno umjetničko djelo. Metodički pristupi likovno-umjetničkom djelu s djecom vrtićke i školske dobi“. Zagreb: Alfa.</w:t>
            </w:r>
          </w:p>
          <w:p w14:paraId="58DD0AAE" w14:textId="0E7A0EA1" w:rsidR="009568E0" w:rsidRPr="00DF4CE5" w:rsidRDefault="009568E0" w:rsidP="009568E0">
            <w:pPr>
              <w:spacing w:after="0" w:line="240" w:lineRule="auto"/>
              <w:jc w:val="both"/>
              <w:rPr>
                <w:rFonts w:ascii="Cambria" w:eastAsia="Times New Roman" w:hAnsi="Cambria" w:cs="Calibri"/>
                <w:lang w:val="hr-HR"/>
              </w:rPr>
            </w:pPr>
            <w:r>
              <w:rPr>
                <w:rFonts w:ascii="Cambria" w:eastAsia="Times New Roman" w:hAnsi="Cambria" w:cs="Calibri"/>
                <w:lang w:val="hr-HR"/>
              </w:rPr>
              <w:t xml:space="preserve">10. </w:t>
            </w:r>
            <w:r w:rsidRPr="00DF4CE5">
              <w:rPr>
                <w:rFonts w:ascii="Cambria" w:eastAsia="Times New Roman" w:hAnsi="Cambria" w:cs="Calibri"/>
                <w:lang w:val="hr-HR"/>
              </w:rPr>
              <w:t xml:space="preserve">Škrbina, D. (2013): „Art terapija i kreativnost. </w:t>
            </w:r>
            <w:proofErr w:type="spellStart"/>
            <w:r w:rsidRPr="00DF4CE5">
              <w:rPr>
                <w:rFonts w:ascii="Cambria" w:eastAsia="Times New Roman" w:hAnsi="Cambria" w:cs="Calibri"/>
                <w:lang w:val="hr-HR"/>
              </w:rPr>
              <w:t>Multidimenzionalni</w:t>
            </w:r>
            <w:proofErr w:type="spellEnd"/>
            <w:r w:rsidRPr="00DF4CE5">
              <w:rPr>
                <w:rFonts w:ascii="Cambria" w:eastAsia="Times New Roman" w:hAnsi="Cambria" w:cs="Calibri"/>
                <w:lang w:val="hr-HR"/>
              </w:rPr>
              <w:t xml:space="preserve"> pristup u odgoju, obrazovanju, dijagnostici i terapiji“. Zagreb: </w:t>
            </w:r>
            <w:proofErr w:type="spellStart"/>
            <w:r w:rsidRPr="00DF4CE5">
              <w:rPr>
                <w:rFonts w:ascii="Cambria" w:eastAsia="Times New Roman" w:hAnsi="Cambria" w:cs="Calibri"/>
                <w:lang w:val="hr-HR"/>
              </w:rPr>
              <w:t>Veble</w:t>
            </w:r>
            <w:proofErr w:type="spellEnd"/>
            <w:r w:rsidRPr="00DF4CE5">
              <w:rPr>
                <w:rFonts w:ascii="Cambria" w:eastAsia="Times New Roman" w:hAnsi="Cambria" w:cs="Calibri"/>
                <w:lang w:val="hr-HR"/>
              </w:rPr>
              <w:t xml:space="preserve"> </w:t>
            </w:r>
            <w:proofErr w:type="spellStart"/>
            <w:r w:rsidRPr="00DF4CE5">
              <w:rPr>
                <w:rFonts w:ascii="Cambria" w:eastAsia="Times New Roman" w:hAnsi="Cambria" w:cs="Calibri"/>
                <w:lang w:val="hr-HR"/>
              </w:rPr>
              <w:t>commerce</w:t>
            </w:r>
            <w:proofErr w:type="spellEnd"/>
            <w:r w:rsidRPr="00DF4CE5">
              <w:rPr>
                <w:rFonts w:ascii="Cambria" w:eastAsia="Times New Roman" w:hAnsi="Cambria" w:cs="Calibri"/>
                <w:lang w:val="hr-HR"/>
              </w:rPr>
              <w:t>.</w:t>
            </w:r>
          </w:p>
          <w:p w14:paraId="32EF9BB7" w14:textId="5AE3B3D4" w:rsidR="009568E0" w:rsidRPr="00DF4CE5" w:rsidRDefault="009568E0" w:rsidP="009568E0">
            <w:pPr>
              <w:spacing w:after="0" w:line="240" w:lineRule="auto"/>
              <w:jc w:val="both"/>
              <w:rPr>
                <w:rFonts w:ascii="Cambria" w:eastAsia="Times New Roman" w:hAnsi="Cambria" w:cs="Calibri"/>
                <w:lang w:val="hr-HR"/>
              </w:rPr>
            </w:pPr>
            <w:r>
              <w:rPr>
                <w:rFonts w:ascii="Cambria" w:eastAsia="Times New Roman" w:hAnsi="Cambria" w:cs="Calibri"/>
                <w:lang w:val="hr-HR"/>
              </w:rPr>
              <w:t xml:space="preserve">11. </w:t>
            </w:r>
            <w:r w:rsidRPr="00DF4CE5">
              <w:rPr>
                <w:rFonts w:ascii="Cambria" w:eastAsia="Times New Roman" w:hAnsi="Cambria" w:cs="Calibri"/>
                <w:lang w:val="hr-HR"/>
              </w:rPr>
              <w:t>Wagner, M. (2000): „</w:t>
            </w:r>
            <w:proofErr w:type="spellStart"/>
            <w:r w:rsidRPr="00DF4CE5">
              <w:rPr>
                <w:rFonts w:ascii="Cambria" w:eastAsia="Times New Roman" w:hAnsi="Cambria" w:cs="Calibri"/>
                <w:lang w:val="hr-HR"/>
              </w:rPr>
              <w:t>Stoppt</w:t>
            </w:r>
            <w:proofErr w:type="spellEnd"/>
            <w:r w:rsidRPr="00DF4CE5">
              <w:rPr>
                <w:rFonts w:ascii="Cambria" w:eastAsia="Times New Roman" w:hAnsi="Cambria" w:cs="Calibri"/>
                <w:lang w:val="hr-HR"/>
              </w:rPr>
              <w:t xml:space="preserve"> </w:t>
            </w:r>
            <w:proofErr w:type="spellStart"/>
            <w:r w:rsidRPr="00DF4CE5">
              <w:rPr>
                <w:rFonts w:ascii="Cambria" w:eastAsia="Times New Roman" w:hAnsi="Cambria" w:cs="Calibri"/>
                <w:lang w:val="hr-HR"/>
              </w:rPr>
              <w:t>das</w:t>
            </w:r>
            <w:proofErr w:type="spellEnd"/>
            <w:r w:rsidRPr="00DF4CE5">
              <w:rPr>
                <w:rFonts w:ascii="Cambria" w:eastAsia="Times New Roman" w:hAnsi="Cambria" w:cs="Calibri"/>
                <w:lang w:val="hr-HR"/>
              </w:rPr>
              <w:t xml:space="preserve"> </w:t>
            </w:r>
            <w:proofErr w:type="spellStart"/>
            <w:r w:rsidRPr="00DF4CE5">
              <w:rPr>
                <w:rFonts w:ascii="Cambria" w:eastAsia="Times New Roman" w:hAnsi="Cambria" w:cs="Calibri"/>
                <w:lang w:val="hr-HR"/>
              </w:rPr>
              <w:t>Kulturgeschwätz</w:t>
            </w:r>
            <w:proofErr w:type="spellEnd"/>
            <w:r w:rsidRPr="00DF4CE5">
              <w:rPr>
                <w:rFonts w:ascii="Cambria" w:eastAsia="Times New Roman" w:hAnsi="Cambria" w:cs="Calibri"/>
                <w:lang w:val="hr-HR"/>
              </w:rPr>
              <w:t xml:space="preserve">, </w:t>
            </w:r>
            <w:proofErr w:type="spellStart"/>
            <w:r w:rsidRPr="00DF4CE5">
              <w:rPr>
                <w:rFonts w:ascii="Cambria" w:eastAsia="Times New Roman" w:hAnsi="Cambria" w:cs="Calibri"/>
                <w:lang w:val="hr-HR"/>
              </w:rPr>
              <w:t>Eine</w:t>
            </w:r>
            <w:proofErr w:type="spellEnd"/>
            <w:r w:rsidRPr="00DF4CE5">
              <w:rPr>
                <w:rFonts w:ascii="Cambria" w:eastAsia="Times New Roman" w:hAnsi="Cambria" w:cs="Calibri"/>
                <w:lang w:val="hr-HR"/>
              </w:rPr>
              <w:t xml:space="preserve"> </w:t>
            </w:r>
            <w:proofErr w:type="spellStart"/>
            <w:r w:rsidRPr="00DF4CE5">
              <w:rPr>
                <w:rFonts w:ascii="Cambria" w:eastAsia="Times New Roman" w:hAnsi="Cambria" w:cs="Calibri"/>
                <w:lang w:val="hr-HR"/>
              </w:rPr>
              <w:t>zeitgemäße</w:t>
            </w:r>
            <w:proofErr w:type="spellEnd"/>
            <w:r w:rsidRPr="00DF4CE5">
              <w:rPr>
                <w:rFonts w:ascii="Cambria" w:eastAsia="Times New Roman" w:hAnsi="Cambria" w:cs="Calibri"/>
                <w:lang w:val="hr-HR"/>
              </w:rPr>
              <w:t xml:space="preserve"> </w:t>
            </w:r>
            <w:proofErr w:type="spellStart"/>
            <w:r w:rsidRPr="00DF4CE5">
              <w:rPr>
                <w:rFonts w:ascii="Cambria" w:eastAsia="Times New Roman" w:hAnsi="Cambria" w:cs="Calibri"/>
                <w:lang w:val="hr-HR"/>
              </w:rPr>
              <w:t>Differenzierung</w:t>
            </w:r>
            <w:proofErr w:type="spellEnd"/>
            <w:r w:rsidRPr="00DF4CE5">
              <w:rPr>
                <w:rFonts w:ascii="Cambria" w:eastAsia="Times New Roman" w:hAnsi="Cambria" w:cs="Calibri"/>
                <w:lang w:val="hr-HR"/>
              </w:rPr>
              <w:t xml:space="preserve"> von </w:t>
            </w:r>
            <w:proofErr w:type="spellStart"/>
            <w:r w:rsidRPr="00DF4CE5">
              <w:rPr>
                <w:rFonts w:ascii="Cambria" w:eastAsia="Times New Roman" w:hAnsi="Cambria" w:cs="Calibri"/>
                <w:lang w:val="hr-HR"/>
              </w:rPr>
              <w:t>Kunst</w:t>
            </w:r>
            <w:proofErr w:type="spellEnd"/>
            <w:r w:rsidRPr="00DF4CE5">
              <w:rPr>
                <w:rFonts w:ascii="Cambria" w:eastAsia="Times New Roman" w:hAnsi="Cambria" w:cs="Calibri"/>
                <w:lang w:val="hr-HR"/>
              </w:rPr>
              <w:t xml:space="preserve"> </w:t>
            </w:r>
            <w:proofErr w:type="spellStart"/>
            <w:r w:rsidRPr="00DF4CE5">
              <w:rPr>
                <w:rFonts w:ascii="Cambria" w:eastAsia="Times New Roman" w:hAnsi="Cambria" w:cs="Calibri"/>
                <w:lang w:val="hr-HR"/>
              </w:rPr>
              <w:t>und</w:t>
            </w:r>
            <w:proofErr w:type="spellEnd"/>
            <w:r w:rsidRPr="00DF4CE5">
              <w:rPr>
                <w:rFonts w:ascii="Cambria" w:eastAsia="Times New Roman" w:hAnsi="Cambria" w:cs="Calibri"/>
                <w:lang w:val="hr-HR"/>
              </w:rPr>
              <w:t>/</w:t>
            </w:r>
            <w:proofErr w:type="spellStart"/>
            <w:r w:rsidRPr="00DF4CE5">
              <w:rPr>
                <w:rFonts w:ascii="Cambria" w:eastAsia="Times New Roman" w:hAnsi="Cambria" w:cs="Calibri"/>
                <w:lang w:val="hr-HR"/>
              </w:rPr>
              <w:t>oder</w:t>
            </w:r>
            <w:proofErr w:type="spellEnd"/>
            <w:r w:rsidRPr="00DF4CE5">
              <w:rPr>
                <w:rFonts w:ascii="Cambria" w:eastAsia="Times New Roman" w:hAnsi="Cambria" w:cs="Calibri"/>
                <w:lang w:val="hr-HR"/>
              </w:rPr>
              <w:t xml:space="preserve"> </w:t>
            </w:r>
            <w:proofErr w:type="spellStart"/>
            <w:r w:rsidRPr="00DF4CE5">
              <w:rPr>
                <w:rFonts w:ascii="Cambria" w:eastAsia="Times New Roman" w:hAnsi="Cambria" w:cs="Calibri"/>
                <w:lang w:val="hr-HR"/>
              </w:rPr>
              <w:t>Kultur</w:t>
            </w:r>
            <w:proofErr w:type="spellEnd"/>
            <w:r w:rsidRPr="00DF4CE5">
              <w:rPr>
                <w:rFonts w:ascii="Cambria" w:eastAsia="Times New Roman" w:hAnsi="Cambria" w:cs="Calibri"/>
                <w:lang w:val="hr-HR"/>
              </w:rPr>
              <w:t xml:space="preserve">“. </w:t>
            </w:r>
            <w:proofErr w:type="spellStart"/>
            <w:r w:rsidRPr="00DF4CE5">
              <w:rPr>
                <w:rFonts w:ascii="Cambria" w:eastAsia="Times New Roman" w:hAnsi="Cambria" w:cs="Calibri"/>
                <w:lang w:val="hr-HR"/>
              </w:rPr>
              <w:t>Wien</w:t>
            </w:r>
            <w:proofErr w:type="spellEnd"/>
            <w:r w:rsidRPr="00DF4CE5">
              <w:rPr>
                <w:rFonts w:ascii="Cambria" w:eastAsia="Times New Roman" w:hAnsi="Cambria" w:cs="Calibri"/>
                <w:lang w:val="hr-HR"/>
              </w:rPr>
              <w:t>-Köln-</w:t>
            </w:r>
            <w:proofErr w:type="spellStart"/>
            <w:r w:rsidRPr="00DF4CE5">
              <w:rPr>
                <w:rFonts w:ascii="Cambria" w:eastAsia="Times New Roman" w:hAnsi="Cambria" w:cs="Calibri"/>
                <w:lang w:val="hr-HR"/>
              </w:rPr>
              <w:t>Weimar</w:t>
            </w:r>
            <w:proofErr w:type="spellEnd"/>
            <w:r w:rsidRPr="00DF4CE5">
              <w:rPr>
                <w:rFonts w:ascii="Cambria" w:eastAsia="Times New Roman" w:hAnsi="Cambria" w:cs="Calibri"/>
                <w:lang w:val="hr-HR"/>
              </w:rPr>
              <w:t xml:space="preserve">: </w:t>
            </w:r>
            <w:proofErr w:type="spellStart"/>
            <w:r w:rsidRPr="00DF4CE5">
              <w:rPr>
                <w:rFonts w:ascii="Cambria" w:eastAsia="Times New Roman" w:hAnsi="Cambria" w:cs="Calibri"/>
                <w:lang w:val="hr-HR"/>
              </w:rPr>
              <w:t>Böhlau</w:t>
            </w:r>
            <w:proofErr w:type="spellEnd"/>
            <w:r w:rsidRPr="00DF4CE5">
              <w:rPr>
                <w:rFonts w:ascii="Cambria" w:eastAsia="Times New Roman" w:hAnsi="Cambria" w:cs="Calibri"/>
                <w:lang w:val="hr-HR"/>
              </w:rPr>
              <w:t xml:space="preserve">.  </w:t>
            </w:r>
          </w:p>
          <w:p w14:paraId="2D35818A" w14:textId="1DFFA5CA" w:rsidR="009568E0" w:rsidRPr="00DF4CE5" w:rsidRDefault="009568E0" w:rsidP="009568E0">
            <w:pPr>
              <w:spacing w:after="0" w:line="240" w:lineRule="auto"/>
              <w:jc w:val="both"/>
              <w:rPr>
                <w:rFonts w:ascii="Cambria" w:eastAsia="Times New Roman" w:hAnsi="Cambria" w:cs="Calibri"/>
                <w:lang w:val="hr-HR"/>
              </w:rPr>
            </w:pPr>
            <w:r>
              <w:rPr>
                <w:rFonts w:ascii="Cambria" w:eastAsia="Times New Roman" w:hAnsi="Cambria" w:cs="Calibri"/>
                <w:lang w:val="hr-HR"/>
              </w:rPr>
              <w:t xml:space="preserve">12. </w:t>
            </w:r>
            <w:proofErr w:type="spellStart"/>
            <w:r w:rsidRPr="00DF4CE5">
              <w:rPr>
                <w:rFonts w:ascii="Cambria" w:eastAsia="Times New Roman" w:hAnsi="Cambria" w:cs="Calibri"/>
                <w:lang w:val="hr-HR"/>
              </w:rPr>
              <w:t>Winner</w:t>
            </w:r>
            <w:proofErr w:type="spellEnd"/>
            <w:r w:rsidRPr="00DF4CE5">
              <w:rPr>
                <w:rFonts w:ascii="Cambria" w:eastAsia="Times New Roman" w:hAnsi="Cambria" w:cs="Calibri"/>
                <w:lang w:val="hr-HR"/>
              </w:rPr>
              <w:t>, E. (2005): „Darovita djeca – mitovi i stvarnost“. Lekenik: Ostvarenje.</w:t>
            </w:r>
          </w:p>
          <w:p w14:paraId="78B75E9A" w14:textId="1A77D2D4" w:rsidR="009568E0" w:rsidRPr="00DF4CE5" w:rsidRDefault="009568E0" w:rsidP="009568E0">
            <w:pPr>
              <w:spacing w:after="0" w:line="240" w:lineRule="auto"/>
              <w:jc w:val="both"/>
              <w:rPr>
                <w:rFonts w:ascii="Cambria" w:eastAsia="Times New Roman" w:hAnsi="Cambria" w:cs="Calibri"/>
                <w:lang w:val="hr-HR"/>
              </w:rPr>
            </w:pPr>
            <w:r>
              <w:rPr>
                <w:rFonts w:ascii="Cambria" w:eastAsia="Times New Roman" w:hAnsi="Cambria" w:cs="Calibri"/>
                <w:lang w:val="hr-HR"/>
              </w:rPr>
              <w:t xml:space="preserve">13. </w:t>
            </w:r>
            <w:r w:rsidRPr="00DF4CE5">
              <w:rPr>
                <w:rFonts w:ascii="Cambria" w:eastAsia="Times New Roman" w:hAnsi="Cambria" w:cs="Calibri"/>
                <w:lang w:val="hr-HR"/>
              </w:rPr>
              <w:t xml:space="preserve">Zeri, F. (1998): „Picasso, </w:t>
            </w:r>
            <w:proofErr w:type="spellStart"/>
            <w:r w:rsidRPr="00DF4CE5">
              <w:rPr>
                <w:rFonts w:ascii="Cambria" w:eastAsia="Times New Roman" w:hAnsi="Cambria" w:cs="Calibri"/>
                <w:lang w:val="hr-HR"/>
              </w:rPr>
              <w:t>Guernica</w:t>
            </w:r>
            <w:proofErr w:type="spellEnd"/>
            <w:r w:rsidRPr="00DF4CE5">
              <w:rPr>
                <w:rFonts w:ascii="Cambria" w:eastAsia="Times New Roman" w:hAnsi="Cambria" w:cs="Calibri"/>
                <w:lang w:val="hr-HR"/>
              </w:rPr>
              <w:t xml:space="preserve">“. Milano: </w:t>
            </w:r>
            <w:proofErr w:type="spellStart"/>
            <w:r w:rsidRPr="00DF4CE5">
              <w:rPr>
                <w:rFonts w:ascii="Cambria" w:eastAsia="Times New Roman" w:hAnsi="Cambria" w:cs="Calibri"/>
                <w:lang w:val="hr-HR"/>
              </w:rPr>
              <w:t>Rizzoli</w:t>
            </w:r>
            <w:proofErr w:type="spellEnd"/>
            <w:r w:rsidRPr="00DF4CE5">
              <w:rPr>
                <w:rFonts w:ascii="Cambria" w:eastAsia="Times New Roman" w:hAnsi="Cambria" w:cs="Calibri"/>
                <w:lang w:val="hr-HR"/>
              </w:rPr>
              <w:t>.</w:t>
            </w:r>
          </w:p>
        </w:tc>
      </w:tr>
    </w:tbl>
    <w:p w14:paraId="1EBC6401" w14:textId="076A53A1" w:rsidR="009568E0" w:rsidRDefault="009568E0" w:rsidP="009568E0">
      <w:pPr>
        <w:rPr>
          <w:lang w:val="hr-HR"/>
        </w:rPr>
      </w:pPr>
    </w:p>
    <w:p w14:paraId="1516FBDE" w14:textId="77777777" w:rsidR="009568E0" w:rsidRDefault="009568E0">
      <w:pPr>
        <w:rPr>
          <w:lang w:val="hr-HR"/>
        </w:rPr>
      </w:pPr>
      <w:r>
        <w:rPr>
          <w:lang w:val="hr-HR"/>
        </w:rPr>
        <w:br w:type="page"/>
      </w:r>
    </w:p>
    <w:p w14:paraId="3B13F352" w14:textId="77777777" w:rsidR="003A42BE" w:rsidRPr="00DF4CE5" w:rsidRDefault="003A42BE" w:rsidP="009568E0">
      <w:pPr>
        <w:rPr>
          <w:rFonts w:ascii="Cambria" w:hAnsi="Cambria"/>
          <w:lang w:val="hr-HR"/>
        </w:rPr>
      </w:pPr>
    </w:p>
    <w:tbl>
      <w:tblPr>
        <w:tblW w:w="5000" w:type="pct"/>
        <w:tblLayout w:type="fixed"/>
        <w:tblCellMar>
          <w:left w:w="0" w:type="dxa"/>
          <w:right w:w="0" w:type="dxa"/>
        </w:tblCellMar>
        <w:tblLook w:val="0600" w:firstRow="0" w:lastRow="0" w:firstColumn="0" w:lastColumn="0" w:noHBand="1" w:noVBand="1"/>
      </w:tblPr>
      <w:tblGrid>
        <w:gridCol w:w="2814"/>
        <w:gridCol w:w="2668"/>
        <w:gridCol w:w="105"/>
        <w:gridCol w:w="1167"/>
        <w:gridCol w:w="297"/>
        <w:gridCol w:w="470"/>
        <w:gridCol w:w="1085"/>
        <w:gridCol w:w="1414"/>
      </w:tblGrid>
      <w:tr w:rsidR="00340C27" w:rsidRPr="00DF4CE5" w14:paraId="4F88789B" w14:textId="77777777" w:rsidTr="005005C3">
        <w:tc>
          <w:tcPr>
            <w:tcW w:w="9340"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3EEE9B5" w14:textId="77777777" w:rsidR="00340C27" w:rsidRPr="00DF4CE5" w:rsidRDefault="00340C27" w:rsidP="00A12846">
            <w:pPr>
              <w:spacing w:after="0" w:line="240" w:lineRule="atLeast"/>
              <w:jc w:val="right"/>
              <w:rPr>
                <w:rFonts w:ascii="Cambria" w:eastAsia="Calibri" w:hAnsi="Cambria" w:cs="Times New Roman"/>
                <w:b/>
                <w:lang w:val="hr-HR"/>
              </w:rPr>
            </w:pPr>
            <w:r w:rsidRPr="00DF4CE5">
              <w:rPr>
                <w:rFonts w:ascii="Cambria" w:eastAsia="Calibri" w:hAnsi="Cambria" w:cs="Times New Roman"/>
                <w:b/>
                <w:lang w:val="hr-HR"/>
              </w:rPr>
              <w:t>IZVEDBENI PLAN NASTAVE KOLEGIJA</w:t>
            </w:r>
          </w:p>
        </w:tc>
      </w:tr>
      <w:tr w:rsidR="00340C27" w:rsidRPr="00DF4CE5" w14:paraId="452268B6" w14:textId="77777777" w:rsidTr="005005C3">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187A076" w14:textId="77777777" w:rsidR="00340C27" w:rsidRPr="00DF4CE5" w:rsidRDefault="00340C27" w:rsidP="008B34AF">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t>Kod i naziv kolegija</w:t>
            </w:r>
          </w:p>
        </w:tc>
        <w:tc>
          <w:tcPr>
            <w:tcW w:w="671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B2393A8" w14:textId="77777777" w:rsidR="00340C27" w:rsidRPr="00DF4CE5" w:rsidRDefault="00340C27" w:rsidP="008B34AF">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t>96504</w:t>
            </w:r>
          </w:p>
          <w:p w14:paraId="6EE43DC4" w14:textId="77777777" w:rsidR="00340C27" w:rsidRPr="00DF4CE5" w:rsidRDefault="00340C27" w:rsidP="008B34AF">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t>Programiranje rada razrednika</w:t>
            </w:r>
          </w:p>
        </w:tc>
      </w:tr>
      <w:tr w:rsidR="00340C27" w:rsidRPr="00D0399C" w14:paraId="050A9FDD" w14:textId="77777777" w:rsidTr="005005C3">
        <w:trPr>
          <w:trHeight w:val="264"/>
        </w:trPr>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417E628" w14:textId="77777777" w:rsidR="00340C27" w:rsidRPr="00DF4CE5" w:rsidRDefault="00340C27" w:rsidP="008B34AF">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t xml:space="preserve">Nastavnica </w:t>
            </w:r>
          </w:p>
        </w:tc>
        <w:tc>
          <w:tcPr>
            <w:tcW w:w="671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3E576C8" w14:textId="627BA735" w:rsidR="00340C27" w:rsidRPr="00DF4CE5" w:rsidRDefault="0036703C" w:rsidP="008B34AF">
            <w:pPr>
              <w:spacing w:after="0" w:line="240" w:lineRule="atLeast"/>
              <w:jc w:val="both"/>
              <w:rPr>
                <w:rFonts w:ascii="Cambria" w:eastAsia="Calibri" w:hAnsi="Cambria" w:cs="Times New Roman"/>
                <w:lang w:val="hr-HR"/>
              </w:rPr>
            </w:pPr>
            <w:hyperlink r:id="rId131" w:history="1">
              <w:r w:rsidRPr="009568E0">
                <w:rPr>
                  <w:rStyle w:val="Hiperveza"/>
                  <w:rFonts w:ascii="Cambria" w:hAnsi="Cambria"/>
                  <w:lang w:val="hr-HR"/>
                </w:rPr>
                <w:t>I</w:t>
              </w:r>
              <w:r w:rsidR="00541CA9" w:rsidRPr="009568E0">
                <w:rPr>
                  <w:rStyle w:val="Hiperveza"/>
                  <w:rFonts w:ascii="Cambria" w:hAnsi="Cambria"/>
                  <w:lang w:val="hr-HR"/>
                </w:rPr>
                <w:t>zv.</w:t>
              </w:r>
              <w:r w:rsidRPr="009568E0">
                <w:rPr>
                  <w:rStyle w:val="Hiperveza"/>
                  <w:rFonts w:ascii="Cambria" w:hAnsi="Cambria"/>
                  <w:lang w:val="hr-HR"/>
                </w:rPr>
                <w:t xml:space="preserve"> </w:t>
              </w:r>
              <w:r w:rsidR="00541CA9" w:rsidRPr="009568E0">
                <w:rPr>
                  <w:rStyle w:val="Hiperveza"/>
                  <w:rFonts w:ascii="Cambria" w:hAnsi="Cambria"/>
                  <w:lang w:val="hr-HR"/>
                </w:rPr>
                <w:t>prof.</w:t>
              </w:r>
              <w:r w:rsidRPr="009568E0">
                <w:rPr>
                  <w:rStyle w:val="Hiperveza"/>
                  <w:rFonts w:ascii="Cambria" w:hAnsi="Cambria"/>
                  <w:lang w:val="hr-HR"/>
                </w:rPr>
                <w:t xml:space="preserve"> </w:t>
              </w:r>
              <w:r w:rsidR="00541CA9" w:rsidRPr="009568E0">
                <w:rPr>
                  <w:rStyle w:val="Hiperveza"/>
                  <w:rFonts w:ascii="Cambria" w:hAnsi="Cambria"/>
                  <w:lang w:val="hr-HR"/>
                </w:rPr>
                <w:t>dr.</w:t>
              </w:r>
              <w:r w:rsidRPr="009568E0">
                <w:rPr>
                  <w:rStyle w:val="Hiperveza"/>
                  <w:rFonts w:ascii="Cambria" w:hAnsi="Cambria"/>
                  <w:lang w:val="hr-HR"/>
                </w:rPr>
                <w:t xml:space="preserve"> </w:t>
              </w:r>
              <w:r w:rsidR="00541CA9" w:rsidRPr="009568E0">
                <w:rPr>
                  <w:rStyle w:val="Hiperveza"/>
                  <w:rFonts w:ascii="Cambria" w:hAnsi="Cambria"/>
                  <w:lang w:val="hr-HR"/>
                </w:rPr>
                <w:t>sc.</w:t>
              </w:r>
              <w:r w:rsidRPr="009568E0">
                <w:rPr>
                  <w:rStyle w:val="Hiperveza"/>
                  <w:rFonts w:ascii="Cambria" w:hAnsi="Cambria"/>
                  <w:lang w:val="hr-HR"/>
                </w:rPr>
                <w:t xml:space="preserve"> </w:t>
              </w:r>
              <w:r w:rsidR="00541CA9" w:rsidRPr="009568E0">
                <w:rPr>
                  <w:rStyle w:val="Hiperveza"/>
                  <w:rFonts w:ascii="Cambria" w:hAnsi="Cambria"/>
                  <w:lang w:val="hr-HR"/>
                </w:rPr>
                <w:t xml:space="preserve">Sandra </w:t>
              </w:r>
              <w:proofErr w:type="spellStart"/>
              <w:r w:rsidR="00541CA9" w:rsidRPr="009568E0">
                <w:rPr>
                  <w:rStyle w:val="Hiperveza"/>
                  <w:rFonts w:ascii="Cambria" w:hAnsi="Cambria"/>
                  <w:lang w:val="hr-HR"/>
                </w:rPr>
                <w:t>Kadum</w:t>
              </w:r>
              <w:proofErr w:type="spellEnd"/>
            </w:hyperlink>
            <w:r>
              <w:rPr>
                <w:rFonts w:ascii="Cambria" w:hAnsi="Cambria"/>
                <w:lang w:val="hr-HR"/>
              </w:rPr>
              <w:t xml:space="preserve"> </w:t>
            </w:r>
            <w:r w:rsidR="00340C27" w:rsidRPr="00DF4CE5">
              <w:rPr>
                <w:rFonts w:ascii="Cambria" w:eastAsia="Calibri" w:hAnsi="Cambria" w:cs="Times New Roman"/>
                <w:lang w:val="hr-HR"/>
              </w:rPr>
              <w:t xml:space="preserve">(nositeljica) </w:t>
            </w:r>
          </w:p>
        </w:tc>
      </w:tr>
      <w:tr w:rsidR="00340C27" w:rsidRPr="00D0399C" w14:paraId="59C55911" w14:textId="77777777" w:rsidTr="005005C3">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3A3A686" w14:textId="77777777" w:rsidR="00340C27" w:rsidRPr="00DF4CE5" w:rsidRDefault="00340C27" w:rsidP="008B34AF">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t>Studijski program</w:t>
            </w:r>
          </w:p>
        </w:tc>
        <w:tc>
          <w:tcPr>
            <w:tcW w:w="671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8380FDD" w14:textId="77777777" w:rsidR="00340C27" w:rsidRPr="00DF4CE5" w:rsidRDefault="00340C27" w:rsidP="008B34AF">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t>Sveučilišni integrirani prijediplomski i diplomski Učiteljski studij na hrvatskom jeziku</w:t>
            </w:r>
          </w:p>
        </w:tc>
      </w:tr>
      <w:tr w:rsidR="00340C27" w:rsidRPr="00DF4CE5" w14:paraId="3EB91D7A" w14:textId="77777777" w:rsidTr="005005C3">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2F6BB78" w14:textId="77777777" w:rsidR="00340C27" w:rsidRPr="00DF4CE5" w:rsidRDefault="00340C27" w:rsidP="008B34AF">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t>Vrsta kolegija</w:t>
            </w:r>
          </w:p>
        </w:tc>
        <w:tc>
          <w:tcPr>
            <w:tcW w:w="248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E829959" w14:textId="77777777" w:rsidR="00340C27" w:rsidRPr="00DF4CE5" w:rsidRDefault="00340C27" w:rsidP="008B34AF">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t xml:space="preserve">obvezan </w:t>
            </w:r>
          </w:p>
        </w:tc>
        <w:tc>
          <w:tcPr>
            <w:tcW w:w="146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0341D25D" w14:textId="77777777" w:rsidR="00340C27" w:rsidRPr="00DF4CE5" w:rsidRDefault="00340C27" w:rsidP="008B34AF">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t>Razina kolegija</w:t>
            </w:r>
          </w:p>
        </w:tc>
        <w:tc>
          <w:tcPr>
            <w:tcW w:w="2767"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F2FFAE7" w14:textId="396B04AE" w:rsidR="00340C27" w:rsidRPr="00DF4CE5" w:rsidRDefault="00F04088" w:rsidP="008B34AF">
            <w:pPr>
              <w:spacing w:after="0" w:line="240" w:lineRule="atLeast"/>
              <w:jc w:val="both"/>
              <w:rPr>
                <w:rFonts w:ascii="Cambria" w:eastAsia="Calibri" w:hAnsi="Cambria" w:cs="Times New Roman"/>
                <w:lang w:val="hr-HR"/>
              </w:rPr>
            </w:pPr>
            <w:proofErr w:type="spellStart"/>
            <w:r w:rsidRPr="00DF4CE5">
              <w:rPr>
                <w:rFonts w:ascii="Cambria" w:eastAsia="Calibri" w:hAnsi="Cambria" w:cs="Times New Roman"/>
                <w:lang w:val="it-IT"/>
              </w:rPr>
              <w:t>I</w:t>
            </w:r>
            <w:r w:rsidR="00340C27" w:rsidRPr="00DF4CE5">
              <w:rPr>
                <w:rFonts w:ascii="Cambria" w:eastAsia="Calibri" w:hAnsi="Cambria" w:cs="Times New Roman"/>
                <w:lang w:val="it-IT"/>
              </w:rPr>
              <w:t>ntegrirani</w:t>
            </w:r>
            <w:proofErr w:type="spellEnd"/>
          </w:p>
        </w:tc>
      </w:tr>
      <w:tr w:rsidR="00340C27" w:rsidRPr="00DF4CE5" w14:paraId="33B9862F" w14:textId="77777777" w:rsidTr="005005C3">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EACAC95" w14:textId="77777777" w:rsidR="00340C27" w:rsidRPr="00DF4CE5" w:rsidRDefault="00340C27" w:rsidP="008B34AF">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t>Semestar</w:t>
            </w:r>
          </w:p>
        </w:tc>
        <w:tc>
          <w:tcPr>
            <w:tcW w:w="248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165B31D" w14:textId="77777777" w:rsidR="00340C27" w:rsidRPr="00DF4CE5" w:rsidRDefault="00340C27" w:rsidP="008B34AF">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t>zimski</w:t>
            </w:r>
          </w:p>
        </w:tc>
        <w:tc>
          <w:tcPr>
            <w:tcW w:w="146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559510FD" w14:textId="77777777" w:rsidR="00340C27" w:rsidRPr="00DF4CE5" w:rsidRDefault="00340C27" w:rsidP="008B34AF">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t>Godina studija</w:t>
            </w:r>
          </w:p>
        </w:tc>
        <w:tc>
          <w:tcPr>
            <w:tcW w:w="2767"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2B98F41" w14:textId="77777777" w:rsidR="00340C27" w:rsidRPr="00DF4CE5" w:rsidRDefault="00340C27" w:rsidP="008B34AF">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t>IV.</w:t>
            </w:r>
          </w:p>
        </w:tc>
      </w:tr>
      <w:tr w:rsidR="00340C27" w:rsidRPr="00DF4CE5" w14:paraId="5E5B6ECF" w14:textId="77777777" w:rsidTr="005005C3">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F5D7D2E" w14:textId="77777777" w:rsidR="00340C27" w:rsidRPr="00DF4CE5" w:rsidRDefault="00340C27" w:rsidP="008B34AF">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t>Mjesto izvođenja</w:t>
            </w:r>
          </w:p>
        </w:tc>
        <w:tc>
          <w:tcPr>
            <w:tcW w:w="248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098522E" w14:textId="0CF4640F" w:rsidR="00340C27" w:rsidRPr="00DF4CE5" w:rsidRDefault="00340C27" w:rsidP="008B34AF">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t>dvorana</w:t>
            </w:r>
          </w:p>
        </w:tc>
        <w:tc>
          <w:tcPr>
            <w:tcW w:w="146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1E95B44F" w14:textId="77777777" w:rsidR="00340C27" w:rsidRPr="00DF4CE5" w:rsidRDefault="00340C27" w:rsidP="008B34AF">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t>Jezik izvođenja (drugi jezici)</w:t>
            </w:r>
          </w:p>
        </w:tc>
        <w:tc>
          <w:tcPr>
            <w:tcW w:w="2767"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0330F71" w14:textId="77777777" w:rsidR="00340C27" w:rsidRPr="00DF4CE5" w:rsidRDefault="00340C27" w:rsidP="008B34AF">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t xml:space="preserve">hrvatski </w:t>
            </w:r>
          </w:p>
          <w:p w14:paraId="71E44C99" w14:textId="77777777" w:rsidR="00340C27" w:rsidRPr="00DF4CE5" w:rsidRDefault="00340C27" w:rsidP="008B34AF">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t>(talijanski)</w:t>
            </w:r>
          </w:p>
        </w:tc>
      </w:tr>
      <w:tr w:rsidR="00340C27" w:rsidRPr="00DF4CE5" w14:paraId="3447B512" w14:textId="77777777" w:rsidTr="005005C3">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4B6E452" w14:textId="77777777" w:rsidR="00340C27" w:rsidRPr="00DF4CE5" w:rsidRDefault="00340C27" w:rsidP="008B34AF">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t>Broj ECTS bodova</w:t>
            </w:r>
          </w:p>
        </w:tc>
        <w:tc>
          <w:tcPr>
            <w:tcW w:w="248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76217ED" w14:textId="77777777" w:rsidR="00340C27" w:rsidRPr="00DF4CE5" w:rsidRDefault="00340C27" w:rsidP="008B34AF">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t>2</w:t>
            </w:r>
          </w:p>
        </w:tc>
        <w:tc>
          <w:tcPr>
            <w:tcW w:w="146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793C9591" w14:textId="77777777" w:rsidR="00340C27" w:rsidRPr="00DF4CE5" w:rsidRDefault="00340C27" w:rsidP="008B34AF">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t>Broj sati u semestru</w:t>
            </w:r>
          </w:p>
        </w:tc>
        <w:tc>
          <w:tcPr>
            <w:tcW w:w="2767"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442DDE7" w14:textId="35C396CA" w:rsidR="00340C27" w:rsidRPr="00DF4CE5" w:rsidRDefault="00340C27" w:rsidP="008B34AF">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t xml:space="preserve">15P – </w:t>
            </w:r>
            <w:r w:rsidR="00F04088" w:rsidRPr="00DF4CE5">
              <w:rPr>
                <w:rFonts w:ascii="Cambria" w:eastAsia="Calibri" w:hAnsi="Cambria" w:cs="Times New Roman"/>
                <w:lang w:val="hr-HR"/>
              </w:rPr>
              <w:t>0S</w:t>
            </w:r>
            <w:r w:rsidRPr="00DF4CE5">
              <w:rPr>
                <w:rFonts w:ascii="Cambria" w:eastAsia="Calibri" w:hAnsi="Cambria" w:cs="Times New Roman"/>
                <w:lang w:val="hr-HR"/>
              </w:rPr>
              <w:t xml:space="preserve"> – </w:t>
            </w:r>
            <w:r w:rsidR="00F04088" w:rsidRPr="00DF4CE5">
              <w:rPr>
                <w:rFonts w:ascii="Cambria" w:eastAsia="Calibri" w:hAnsi="Cambria" w:cs="Times New Roman"/>
                <w:lang w:val="hr-HR"/>
              </w:rPr>
              <w:t>15V</w:t>
            </w:r>
            <w:r w:rsidRPr="00DF4CE5">
              <w:rPr>
                <w:rFonts w:ascii="Cambria" w:eastAsia="Calibri" w:hAnsi="Cambria" w:cs="Times New Roman"/>
                <w:lang w:val="hr-HR"/>
              </w:rPr>
              <w:t xml:space="preserve">   </w:t>
            </w:r>
          </w:p>
        </w:tc>
      </w:tr>
      <w:tr w:rsidR="00340C27" w:rsidRPr="00DF4CE5" w14:paraId="5F90AFC2" w14:textId="77777777" w:rsidTr="005005C3">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DFA3853" w14:textId="77777777" w:rsidR="00340C27" w:rsidRPr="00DF4CE5" w:rsidRDefault="00340C27" w:rsidP="008B34AF">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t>Preduvjeti za upis i za svladavanje</w:t>
            </w:r>
          </w:p>
        </w:tc>
        <w:tc>
          <w:tcPr>
            <w:tcW w:w="671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34F9840" w14:textId="77777777" w:rsidR="00340C27" w:rsidRPr="00DF4CE5" w:rsidRDefault="00340C27" w:rsidP="008B34AF">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t xml:space="preserve">Nema preduvjeta za upis. </w:t>
            </w:r>
          </w:p>
        </w:tc>
      </w:tr>
      <w:tr w:rsidR="00340C27" w:rsidRPr="00D0399C" w14:paraId="4F976318" w14:textId="77777777" w:rsidTr="005005C3">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CB37D84" w14:textId="77777777" w:rsidR="00340C27" w:rsidRPr="00DF4CE5" w:rsidRDefault="00340C27" w:rsidP="008B34AF">
            <w:pPr>
              <w:spacing w:after="0" w:line="240" w:lineRule="atLeast"/>
              <w:jc w:val="both"/>
              <w:rPr>
                <w:rFonts w:ascii="Cambria" w:eastAsia="Calibri" w:hAnsi="Cambria" w:cs="Times New Roman"/>
                <w:lang w:val="hr-HR"/>
              </w:rPr>
            </w:pPr>
            <w:proofErr w:type="spellStart"/>
            <w:r w:rsidRPr="00DF4CE5">
              <w:rPr>
                <w:rFonts w:ascii="Cambria" w:eastAsia="Calibri" w:hAnsi="Cambria" w:cs="Times New Roman"/>
                <w:lang w:val="hr-HR"/>
              </w:rPr>
              <w:t>Korelativnost</w:t>
            </w:r>
            <w:proofErr w:type="spellEnd"/>
          </w:p>
        </w:tc>
        <w:tc>
          <w:tcPr>
            <w:tcW w:w="671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CE31B34" w14:textId="77777777" w:rsidR="00340C27" w:rsidRPr="00DF4CE5" w:rsidRDefault="00340C27" w:rsidP="008B34AF">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t>Pedagogija, Didaktika, metodike nastave predmeta</w:t>
            </w:r>
          </w:p>
        </w:tc>
      </w:tr>
      <w:tr w:rsidR="00340C27" w:rsidRPr="00D0399C" w14:paraId="01800951" w14:textId="77777777" w:rsidTr="005005C3">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DC17B50" w14:textId="77777777" w:rsidR="00340C27" w:rsidRPr="00DF4CE5" w:rsidRDefault="00340C27" w:rsidP="008B34AF">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t xml:space="preserve">Cilj kolegija </w:t>
            </w:r>
          </w:p>
        </w:tc>
        <w:tc>
          <w:tcPr>
            <w:tcW w:w="671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2A4A5FA" w14:textId="77777777" w:rsidR="00340C27" w:rsidRPr="00DF4CE5" w:rsidRDefault="00340C27" w:rsidP="008B34AF">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t>razumjeti važnost rada razrednika u školi te njegovu ulogu i mogućnost djelovanja u procesima unapređivanja cjelokupne djelatnosti škole</w:t>
            </w:r>
          </w:p>
        </w:tc>
      </w:tr>
      <w:tr w:rsidR="00340C27" w:rsidRPr="00D0399C" w14:paraId="0E02EC82" w14:textId="77777777" w:rsidTr="005005C3">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7F22353" w14:textId="77777777" w:rsidR="00340C27" w:rsidRPr="00DF4CE5" w:rsidRDefault="00340C27" w:rsidP="008B34AF">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t>Ishodi učenja</w:t>
            </w:r>
          </w:p>
        </w:tc>
        <w:tc>
          <w:tcPr>
            <w:tcW w:w="671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F41E8C9" w14:textId="77777777" w:rsidR="00340C27" w:rsidRPr="00DF4CE5" w:rsidRDefault="00340C27" w:rsidP="008B34AF">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t xml:space="preserve">1. interpretirati ulogu razrednika u školskom kontekstu imajući u vidu složenost i </w:t>
            </w:r>
            <w:proofErr w:type="spellStart"/>
            <w:r w:rsidRPr="00DF4CE5">
              <w:rPr>
                <w:rFonts w:ascii="Cambria" w:eastAsia="Calibri" w:hAnsi="Cambria" w:cs="Times New Roman"/>
                <w:lang w:val="hr-HR"/>
              </w:rPr>
              <w:t>multidimenzionalnost</w:t>
            </w:r>
            <w:proofErr w:type="spellEnd"/>
            <w:r w:rsidRPr="00DF4CE5">
              <w:rPr>
                <w:rFonts w:ascii="Cambria" w:eastAsia="Calibri" w:hAnsi="Cambria" w:cs="Times New Roman"/>
                <w:lang w:val="hr-HR"/>
              </w:rPr>
              <w:t xml:space="preserve"> fenomena </w:t>
            </w:r>
          </w:p>
          <w:p w14:paraId="6E8C3235" w14:textId="77777777" w:rsidR="00340C27" w:rsidRPr="00DF4CE5" w:rsidRDefault="00340C27" w:rsidP="008B34AF">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t>2. osmisliti program rada razrednika argumentirajući odabrani pristup</w:t>
            </w:r>
          </w:p>
          <w:p w14:paraId="136F12E1" w14:textId="77777777" w:rsidR="00340C27" w:rsidRPr="00DF4CE5" w:rsidRDefault="00340C27" w:rsidP="008B34AF">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t>3. analizirati program usavršavanja rada razrednika</w:t>
            </w:r>
          </w:p>
          <w:p w14:paraId="27340819" w14:textId="77777777" w:rsidR="00340C27" w:rsidRPr="00DF4CE5" w:rsidRDefault="00340C27" w:rsidP="008B34AF">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t>4. utvrditi organizacijsku kulturu škole i njezin utjecaj na kvalitetu rada razrednika</w:t>
            </w:r>
          </w:p>
          <w:p w14:paraId="12277011" w14:textId="77777777" w:rsidR="00340C27" w:rsidRPr="00DF4CE5" w:rsidRDefault="00340C27" w:rsidP="008B34AF">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t>5. usporediti normativne akte iz odgoja i obrazovanja</w:t>
            </w:r>
          </w:p>
        </w:tc>
      </w:tr>
      <w:tr w:rsidR="00340C27" w:rsidRPr="00D0399C" w14:paraId="704CA1A8" w14:textId="77777777" w:rsidTr="005005C3">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2137F0C6" w14:textId="77777777" w:rsidR="00340C27" w:rsidRPr="00DF4CE5" w:rsidRDefault="00340C27" w:rsidP="008B34AF">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t>Sadržaj kolegija</w:t>
            </w:r>
          </w:p>
        </w:tc>
        <w:tc>
          <w:tcPr>
            <w:tcW w:w="6717"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A1CA295" w14:textId="77777777" w:rsidR="00340C27" w:rsidRPr="00DF4CE5" w:rsidRDefault="00340C27" w:rsidP="008B34AF">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t>1. Škola kao složena organizacija</w:t>
            </w:r>
          </w:p>
          <w:p w14:paraId="37963959" w14:textId="77777777" w:rsidR="00340C27" w:rsidRPr="00DF4CE5" w:rsidRDefault="00340C27" w:rsidP="008B34AF">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t xml:space="preserve">2. Tipologija razrednika </w:t>
            </w:r>
          </w:p>
          <w:p w14:paraId="1922D1B1" w14:textId="77777777" w:rsidR="00340C27" w:rsidRPr="00DF4CE5" w:rsidRDefault="00340C27" w:rsidP="008B34AF">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t>3. Uloga i značaj razrednika</w:t>
            </w:r>
          </w:p>
          <w:p w14:paraId="67D33C47" w14:textId="77777777" w:rsidR="00340C27" w:rsidRPr="00DF4CE5" w:rsidRDefault="00340C27" w:rsidP="008B34AF">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t xml:space="preserve">4. Područje rada razrednika </w:t>
            </w:r>
          </w:p>
          <w:p w14:paraId="2DBC6CDA" w14:textId="77777777" w:rsidR="00340C27" w:rsidRPr="00DF4CE5" w:rsidRDefault="00340C27" w:rsidP="008B34AF">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t>5. Planiranje i programiranje rada razrednika</w:t>
            </w:r>
          </w:p>
          <w:p w14:paraId="30A8A0BE" w14:textId="77777777" w:rsidR="00340C27" w:rsidRPr="00DF4CE5" w:rsidRDefault="00340C27" w:rsidP="008B34AF">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t>6. Suradnja škole s roditeljima</w:t>
            </w:r>
          </w:p>
          <w:p w14:paraId="502B5FAE" w14:textId="77777777" w:rsidR="00340C27" w:rsidRPr="00DF4CE5" w:rsidRDefault="00340C27" w:rsidP="008B34AF">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t xml:space="preserve">7. Suradnja s lokalnom zajednicom </w:t>
            </w:r>
          </w:p>
          <w:p w14:paraId="2B027B11" w14:textId="77777777" w:rsidR="00340C27" w:rsidRPr="00DF4CE5" w:rsidRDefault="00340C27" w:rsidP="008B34AF">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t>8. Organizacija i provođenje izleta</w:t>
            </w:r>
          </w:p>
          <w:p w14:paraId="19380163" w14:textId="77777777" w:rsidR="00340C27" w:rsidRPr="00DF4CE5" w:rsidRDefault="00340C27" w:rsidP="008B34AF">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t>9. Školska kultura</w:t>
            </w:r>
          </w:p>
          <w:p w14:paraId="1499EE03" w14:textId="77777777" w:rsidR="00340C27" w:rsidRPr="00DF4CE5" w:rsidRDefault="00340C27" w:rsidP="008B34AF">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t>10. Normativna osnova u odgoju i obrazovanja</w:t>
            </w:r>
          </w:p>
        </w:tc>
      </w:tr>
      <w:tr w:rsidR="00340C27" w:rsidRPr="00DF4CE5" w14:paraId="066AACD5" w14:textId="77777777" w:rsidTr="005005C3">
        <w:tc>
          <w:tcPr>
            <w:tcW w:w="2623"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hideMark/>
          </w:tcPr>
          <w:p w14:paraId="46E2AF8E" w14:textId="77777777" w:rsidR="00340C27" w:rsidRPr="00DF4CE5" w:rsidRDefault="00340C27" w:rsidP="008B34AF">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t>Planirane aktivnosti</w:t>
            </w:r>
            <w:r w:rsidRPr="00DF4CE5">
              <w:rPr>
                <w:rFonts w:ascii="Cambria" w:eastAsia="Calibri" w:hAnsi="Cambria" w:cs="Times New Roman"/>
                <w:lang w:val="it-IT"/>
              </w:rPr>
              <w:t>,</w:t>
            </w:r>
          </w:p>
          <w:p w14:paraId="0175A871" w14:textId="77777777" w:rsidR="00340C27" w:rsidRPr="00DF4CE5" w:rsidRDefault="00340C27" w:rsidP="008B34AF">
            <w:pPr>
              <w:spacing w:after="0" w:line="240" w:lineRule="atLeast"/>
              <w:jc w:val="both"/>
              <w:rPr>
                <w:rFonts w:ascii="Cambria" w:eastAsia="Calibri" w:hAnsi="Cambria" w:cs="Times New Roman"/>
                <w:lang w:val="hr-HR"/>
              </w:rPr>
            </w:pPr>
            <w:proofErr w:type="spellStart"/>
            <w:r w:rsidRPr="00DF4CE5">
              <w:rPr>
                <w:rFonts w:ascii="Cambria" w:eastAsia="Calibri" w:hAnsi="Cambria" w:cs="Times New Roman"/>
                <w:lang w:val="it-IT"/>
              </w:rPr>
              <w:t>metode</w:t>
            </w:r>
            <w:proofErr w:type="spellEnd"/>
            <w:r w:rsidRPr="00DF4CE5">
              <w:rPr>
                <w:rFonts w:ascii="Cambria" w:eastAsia="Calibri" w:hAnsi="Cambria" w:cs="Times New Roman"/>
                <w:lang w:val="it-IT"/>
              </w:rPr>
              <w:t xml:space="preserve"> </w:t>
            </w:r>
            <w:r w:rsidRPr="00DF4CE5">
              <w:rPr>
                <w:rFonts w:ascii="Cambria" w:eastAsia="Calibri" w:hAnsi="Cambria" w:cs="Times New Roman"/>
                <w:lang w:val="hr-HR"/>
              </w:rPr>
              <w:t>učenja i poučavanja i načini vrednovanja</w:t>
            </w:r>
          </w:p>
        </w:tc>
        <w:tc>
          <w:tcPr>
            <w:tcW w:w="258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9CB9FF7" w14:textId="77777777" w:rsidR="00340C27" w:rsidRPr="00DF4CE5" w:rsidRDefault="00340C27" w:rsidP="008B34AF">
            <w:pPr>
              <w:spacing w:after="0" w:line="240" w:lineRule="atLeast"/>
              <w:jc w:val="both"/>
              <w:rPr>
                <w:rFonts w:ascii="Cambria" w:eastAsia="Calibri" w:hAnsi="Cambria" w:cs="Times New Roman"/>
                <w:lang w:val="hr-HR"/>
              </w:rPr>
            </w:pPr>
            <w:r w:rsidRPr="00DF4CE5">
              <w:rPr>
                <w:rFonts w:ascii="Cambria" w:eastAsia="Calibri" w:hAnsi="Cambria" w:cs="Times New Roman"/>
                <w:bCs/>
                <w:lang w:val="hr-HR"/>
              </w:rPr>
              <w:t>Obveze</w:t>
            </w:r>
            <w:r w:rsidRPr="00DF4CE5">
              <w:rPr>
                <w:rFonts w:ascii="Cambria" w:eastAsia="Calibri" w:hAnsi="Cambria" w:cs="Times New Roman"/>
                <w:bCs/>
              </w:rPr>
              <w:t xml:space="preserve"> </w:t>
            </w:r>
          </w:p>
          <w:p w14:paraId="33C480F4" w14:textId="77777777" w:rsidR="00340C27" w:rsidRPr="00DF4CE5" w:rsidRDefault="00340C27" w:rsidP="008B34AF">
            <w:pPr>
              <w:spacing w:after="0" w:line="240" w:lineRule="atLeast"/>
              <w:jc w:val="both"/>
              <w:rPr>
                <w:rFonts w:ascii="Cambria" w:eastAsia="Calibri" w:hAnsi="Cambria" w:cs="Times New Roman"/>
                <w:lang w:val="hr-HR"/>
              </w:rPr>
            </w:pPr>
          </w:p>
        </w:tc>
        <w:tc>
          <w:tcPr>
            <w:tcW w:w="10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493D4CA" w14:textId="77777777" w:rsidR="00340C27" w:rsidRPr="00DF4CE5" w:rsidRDefault="00340C27" w:rsidP="008B34AF">
            <w:pPr>
              <w:spacing w:after="0" w:line="240" w:lineRule="atLeast"/>
              <w:jc w:val="both"/>
              <w:rPr>
                <w:rFonts w:ascii="Cambria" w:eastAsia="Calibri" w:hAnsi="Cambria" w:cs="Times New Roman"/>
                <w:lang w:val="hr-HR"/>
              </w:rPr>
            </w:pPr>
            <w:r w:rsidRPr="00DF4CE5">
              <w:rPr>
                <w:rFonts w:ascii="Cambria" w:eastAsia="Calibri" w:hAnsi="Cambria" w:cs="Times New Roman"/>
                <w:bCs/>
                <w:lang w:val="hr-HR"/>
              </w:rPr>
              <w:t>Ishodi</w:t>
            </w:r>
          </w:p>
        </w:tc>
        <w:tc>
          <w:tcPr>
            <w:tcW w:w="71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65717CD" w14:textId="77777777" w:rsidR="00340C27" w:rsidRPr="00DF4CE5" w:rsidRDefault="00340C27" w:rsidP="008B34AF">
            <w:pPr>
              <w:spacing w:after="0" w:line="240" w:lineRule="atLeast"/>
              <w:jc w:val="both"/>
              <w:rPr>
                <w:rFonts w:ascii="Cambria" w:eastAsia="Calibri" w:hAnsi="Cambria" w:cs="Times New Roman"/>
                <w:lang w:val="hr-HR"/>
              </w:rPr>
            </w:pPr>
            <w:r w:rsidRPr="00DF4CE5">
              <w:rPr>
                <w:rFonts w:ascii="Cambria" w:eastAsia="Calibri" w:hAnsi="Cambria" w:cs="Times New Roman"/>
                <w:bCs/>
                <w:lang w:val="hr-HR"/>
              </w:rPr>
              <w:t>Sati</w:t>
            </w:r>
          </w:p>
        </w:tc>
        <w:tc>
          <w:tcPr>
            <w:tcW w:w="101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638B71A" w14:textId="77777777" w:rsidR="00340C27" w:rsidRPr="00DF4CE5" w:rsidRDefault="00340C27" w:rsidP="008B34AF">
            <w:pPr>
              <w:spacing w:after="0" w:line="240" w:lineRule="atLeast"/>
              <w:jc w:val="both"/>
              <w:rPr>
                <w:rFonts w:ascii="Cambria" w:eastAsia="Calibri" w:hAnsi="Cambria" w:cs="Times New Roman"/>
                <w:lang w:val="hr-HR"/>
              </w:rPr>
            </w:pPr>
            <w:r w:rsidRPr="00DF4CE5">
              <w:rPr>
                <w:rFonts w:ascii="Cambria" w:eastAsia="Calibri" w:hAnsi="Cambria" w:cs="Times New Roman"/>
                <w:bCs/>
                <w:lang w:val="hr-HR"/>
              </w:rPr>
              <w:t>ECTS</w:t>
            </w:r>
          </w:p>
        </w:tc>
        <w:tc>
          <w:tcPr>
            <w:tcW w:w="131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8D5354D" w14:textId="77777777" w:rsidR="00340C27" w:rsidRPr="00DF4CE5" w:rsidRDefault="00340C27" w:rsidP="008B34AF">
            <w:pPr>
              <w:spacing w:after="0" w:line="240" w:lineRule="atLeast"/>
              <w:jc w:val="both"/>
              <w:rPr>
                <w:rFonts w:ascii="Cambria" w:eastAsia="Calibri" w:hAnsi="Cambria" w:cs="Times New Roman"/>
                <w:lang w:val="hr-HR"/>
              </w:rPr>
            </w:pPr>
            <w:r w:rsidRPr="00DF4CE5">
              <w:rPr>
                <w:rFonts w:ascii="Cambria" w:eastAsia="Calibri" w:hAnsi="Cambria" w:cs="Times New Roman"/>
                <w:bCs/>
                <w:lang w:val="hr-HR"/>
              </w:rPr>
              <w:t>Maksimalni udio u ocjeni</w:t>
            </w:r>
            <w:r w:rsidRPr="00DF4CE5">
              <w:rPr>
                <w:rFonts w:ascii="Cambria" w:eastAsia="Calibri" w:hAnsi="Cambria" w:cs="Times New Roman"/>
                <w:bCs/>
              </w:rPr>
              <w:t xml:space="preserve"> (%)</w:t>
            </w:r>
          </w:p>
        </w:tc>
      </w:tr>
      <w:tr w:rsidR="005005C3" w:rsidRPr="00DF4CE5" w14:paraId="6119293D" w14:textId="77777777" w:rsidTr="005005C3">
        <w:tc>
          <w:tcPr>
            <w:tcW w:w="2623" w:type="dxa"/>
            <w:vMerge/>
            <w:tcBorders>
              <w:left w:val="single" w:sz="8" w:space="0" w:color="000000"/>
              <w:right w:val="single" w:sz="8" w:space="0" w:color="000000"/>
            </w:tcBorders>
            <w:vAlign w:val="center"/>
            <w:hideMark/>
          </w:tcPr>
          <w:p w14:paraId="45752365" w14:textId="77777777" w:rsidR="005005C3" w:rsidRPr="00DF4CE5" w:rsidRDefault="005005C3" w:rsidP="005005C3">
            <w:pPr>
              <w:spacing w:after="0" w:line="240" w:lineRule="atLeast"/>
              <w:jc w:val="both"/>
              <w:rPr>
                <w:rFonts w:ascii="Cambria" w:eastAsia="Calibri" w:hAnsi="Cambria" w:cs="Times New Roman"/>
                <w:lang w:val="hr-HR"/>
              </w:rPr>
            </w:pPr>
          </w:p>
        </w:tc>
        <w:tc>
          <w:tcPr>
            <w:tcW w:w="258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9DBC67D" w14:textId="2B818196" w:rsidR="005005C3" w:rsidRPr="00DF4CE5" w:rsidRDefault="005005C3" w:rsidP="005005C3">
            <w:pPr>
              <w:spacing w:after="0" w:line="240" w:lineRule="atLeast"/>
              <w:jc w:val="both"/>
              <w:rPr>
                <w:rFonts w:ascii="Cambria" w:eastAsia="Calibri" w:hAnsi="Cambria" w:cs="Times New Roman"/>
                <w:lang w:val="hr-HR"/>
              </w:rPr>
            </w:pPr>
            <w:proofErr w:type="spellStart"/>
            <w:r w:rsidRPr="00DF4CE5">
              <w:rPr>
                <w:rFonts w:ascii="Cambria" w:eastAsia="Times New Roman" w:hAnsi="Cambria" w:cs="Calibri"/>
              </w:rPr>
              <w:t>aktivnost</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na</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nastavi</w:t>
            </w:r>
            <w:proofErr w:type="spellEnd"/>
          </w:p>
        </w:tc>
        <w:tc>
          <w:tcPr>
            <w:tcW w:w="10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F5A795C" w14:textId="77777777" w:rsidR="005005C3" w:rsidRPr="00DF4CE5" w:rsidRDefault="005005C3" w:rsidP="005005C3">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t xml:space="preserve">1. – 5. </w:t>
            </w:r>
          </w:p>
        </w:tc>
        <w:tc>
          <w:tcPr>
            <w:tcW w:w="71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CEE90FF" w14:textId="033D7273" w:rsidR="005005C3" w:rsidRPr="00DF4CE5" w:rsidRDefault="005005C3" w:rsidP="005005C3">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t>23</w:t>
            </w:r>
          </w:p>
        </w:tc>
        <w:tc>
          <w:tcPr>
            <w:tcW w:w="101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73D408F" w14:textId="77777777" w:rsidR="005005C3" w:rsidRPr="00DF4CE5" w:rsidRDefault="005005C3" w:rsidP="005005C3">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t>0,8</w:t>
            </w:r>
          </w:p>
        </w:tc>
        <w:tc>
          <w:tcPr>
            <w:tcW w:w="131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3E27116" w14:textId="77777777" w:rsidR="005005C3" w:rsidRPr="00DF4CE5" w:rsidRDefault="005005C3" w:rsidP="005005C3">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t>10 %</w:t>
            </w:r>
          </w:p>
        </w:tc>
      </w:tr>
      <w:tr w:rsidR="005005C3" w:rsidRPr="00DF4CE5" w14:paraId="66EE620A" w14:textId="77777777" w:rsidTr="005005C3">
        <w:tc>
          <w:tcPr>
            <w:tcW w:w="2623" w:type="dxa"/>
            <w:vMerge/>
            <w:tcBorders>
              <w:left w:val="single" w:sz="8" w:space="0" w:color="000000"/>
              <w:right w:val="single" w:sz="8" w:space="0" w:color="000000"/>
            </w:tcBorders>
            <w:vAlign w:val="center"/>
            <w:hideMark/>
          </w:tcPr>
          <w:p w14:paraId="1D4FF79B" w14:textId="77777777" w:rsidR="005005C3" w:rsidRPr="00DF4CE5" w:rsidRDefault="005005C3" w:rsidP="005005C3">
            <w:pPr>
              <w:spacing w:after="0" w:line="240" w:lineRule="atLeast"/>
              <w:jc w:val="both"/>
              <w:rPr>
                <w:rFonts w:ascii="Cambria" w:eastAsia="Calibri" w:hAnsi="Cambria" w:cs="Times New Roman"/>
                <w:lang w:val="hr-HR"/>
              </w:rPr>
            </w:pPr>
          </w:p>
        </w:tc>
        <w:tc>
          <w:tcPr>
            <w:tcW w:w="258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FDAC51C" w14:textId="77777777" w:rsidR="005005C3" w:rsidRPr="00DF4CE5" w:rsidRDefault="005005C3" w:rsidP="005005C3">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t>praktični radovi</w:t>
            </w:r>
          </w:p>
        </w:tc>
        <w:tc>
          <w:tcPr>
            <w:tcW w:w="10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6C887CF" w14:textId="77777777" w:rsidR="005005C3" w:rsidRPr="00DF4CE5" w:rsidRDefault="005005C3" w:rsidP="005005C3">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t xml:space="preserve">2. – 4. </w:t>
            </w:r>
          </w:p>
        </w:tc>
        <w:tc>
          <w:tcPr>
            <w:tcW w:w="71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60ED25C" w14:textId="48C841BD" w:rsidR="005005C3" w:rsidRPr="00DF4CE5" w:rsidRDefault="005005C3" w:rsidP="005005C3">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t>6</w:t>
            </w:r>
          </w:p>
        </w:tc>
        <w:tc>
          <w:tcPr>
            <w:tcW w:w="101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1A8FC2C" w14:textId="77777777" w:rsidR="005005C3" w:rsidRPr="00DF4CE5" w:rsidRDefault="005005C3" w:rsidP="005005C3">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t>0,2</w:t>
            </w:r>
          </w:p>
        </w:tc>
        <w:tc>
          <w:tcPr>
            <w:tcW w:w="131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ADEFB6D" w14:textId="77777777" w:rsidR="005005C3" w:rsidRPr="00DF4CE5" w:rsidRDefault="005005C3" w:rsidP="005005C3">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t>40 %</w:t>
            </w:r>
          </w:p>
          <w:p w14:paraId="17605D77" w14:textId="77777777" w:rsidR="005005C3" w:rsidRPr="00DF4CE5" w:rsidRDefault="005005C3" w:rsidP="005005C3">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t>(4 x 10 %)</w:t>
            </w:r>
          </w:p>
        </w:tc>
      </w:tr>
      <w:tr w:rsidR="005005C3" w:rsidRPr="00DF4CE5" w14:paraId="4E5C687F" w14:textId="77777777" w:rsidTr="005005C3">
        <w:tc>
          <w:tcPr>
            <w:tcW w:w="2623" w:type="dxa"/>
            <w:vMerge/>
            <w:tcBorders>
              <w:left w:val="single" w:sz="8" w:space="0" w:color="000000"/>
              <w:right w:val="single" w:sz="8" w:space="0" w:color="000000"/>
            </w:tcBorders>
            <w:vAlign w:val="center"/>
          </w:tcPr>
          <w:p w14:paraId="6234023B" w14:textId="77777777" w:rsidR="005005C3" w:rsidRPr="00DF4CE5" w:rsidRDefault="005005C3" w:rsidP="005005C3">
            <w:pPr>
              <w:spacing w:after="0" w:line="240" w:lineRule="atLeast"/>
              <w:jc w:val="both"/>
              <w:rPr>
                <w:rFonts w:ascii="Cambria" w:eastAsia="Calibri" w:hAnsi="Cambria" w:cs="Times New Roman"/>
                <w:lang w:val="hr-HR"/>
              </w:rPr>
            </w:pPr>
          </w:p>
        </w:tc>
        <w:tc>
          <w:tcPr>
            <w:tcW w:w="258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0468128" w14:textId="77777777" w:rsidR="005005C3" w:rsidRPr="00DF4CE5" w:rsidRDefault="005005C3" w:rsidP="005005C3">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t>pismeni ispit</w:t>
            </w:r>
          </w:p>
        </w:tc>
        <w:tc>
          <w:tcPr>
            <w:tcW w:w="10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BD58857" w14:textId="77777777" w:rsidR="005005C3" w:rsidRPr="00DF4CE5" w:rsidRDefault="005005C3" w:rsidP="005005C3">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t>1. – 5.</w:t>
            </w:r>
          </w:p>
        </w:tc>
        <w:tc>
          <w:tcPr>
            <w:tcW w:w="71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9DC3CE9" w14:textId="59F5C98A" w:rsidR="005005C3" w:rsidRPr="00DF4CE5" w:rsidRDefault="005005C3" w:rsidP="005005C3">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t>28</w:t>
            </w:r>
          </w:p>
        </w:tc>
        <w:tc>
          <w:tcPr>
            <w:tcW w:w="101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1198D90" w14:textId="77777777" w:rsidR="005005C3" w:rsidRPr="00DF4CE5" w:rsidRDefault="005005C3" w:rsidP="005005C3">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t>0,9</w:t>
            </w:r>
          </w:p>
        </w:tc>
        <w:tc>
          <w:tcPr>
            <w:tcW w:w="131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C589BC3" w14:textId="77777777" w:rsidR="005005C3" w:rsidRPr="00DF4CE5" w:rsidRDefault="005005C3" w:rsidP="005005C3">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t>40 %</w:t>
            </w:r>
          </w:p>
        </w:tc>
      </w:tr>
      <w:tr w:rsidR="005005C3" w:rsidRPr="00DF4CE5" w14:paraId="2D3E3A8E" w14:textId="77777777" w:rsidTr="005005C3">
        <w:tc>
          <w:tcPr>
            <w:tcW w:w="2623" w:type="dxa"/>
            <w:vMerge/>
            <w:tcBorders>
              <w:left w:val="single" w:sz="8" w:space="0" w:color="000000"/>
              <w:right w:val="single" w:sz="8" w:space="0" w:color="000000"/>
            </w:tcBorders>
            <w:vAlign w:val="center"/>
            <w:hideMark/>
          </w:tcPr>
          <w:p w14:paraId="4A21B61D" w14:textId="77777777" w:rsidR="005005C3" w:rsidRPr="00DF4CE5" w:rsidRDefault="005005C3" w:rsidP="005005C3">
            <w:pPr>
              <w:spacing w:after="0" w:line="240" w:lineRule="atLeast"/>
              <w:jc w:val="both"/>
              <w:rPr>
                <w:rFonts w:ascii="Cambria" w:eastAsia="Calibri" w:hAnsi="Cambria" w:cs="Times New Roman"/>
                <w:lang w:val="hr-HR"/>
              </w:rPr>
            </w:pPr>
          </w:p>
        </w:tc>
        <w:tc>
          <w:tcPr>
            <w:tcW w:w="258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A54588C" w14:textId="77777777" w:rsidR="005005C3" w:rsidRPr="00DF4CE5" w:rsidRDefault="005005C3" w:rsidP="005005C3">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t>usmeni ispit</w:t>
            </w:r>
          </w:p>
        </w:tc>
        <w:tc>
          <w:tcPr>
            <w:tcW w:w="10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0D59673" w14:textId="77777777" w:rsidR="005005C3" w:rsidRPr="00DF4CE5" w:rsidRDefault="005005C3" w:rsidP="005005C3">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t>1. – 5.</w:t>
            </w:r>
          </w:p>
        </w:tc>
        <w:tc>
          <w:tcPr>
            <w:tcW w:w="71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CF99E54" w14:textId="10709536" w:rsidR="005005C3" w:rsidRPr="00DF4CE5" w:rsidRDefault="005005C3" w:rsidP="005005C3">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t>3</w:t>
            </w:r>
          </w:p>
        </w:tc>
        <w:tc>
          <w:tcPr>
            <w:tcW w:w="101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F3BF394" w14:textId="77777777" w:rsidR="005005C3" w:rsidRPr="00DF4CE5" w:rsidRDefault="005005C3" w:rsidP="005005C3">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t>0,1</w:t>
            </w:r>
          </w:p>
        </w:tc>
        <w:tc>
          <w:tcPr>
            <w:tcW w:w="131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9FC405F" w14:textId="77777777" w:rsidR="005005C3" w:rsidRPr="00DF4CE5" w:rsidRDefault="005005C3" w:rsidP="005005C3">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t>10 %</w:t>
            </w:r>
          </w:p>
        </w:tc>
      </w:tr>
      <w:tr w:rsidR="005005C3" w:rsidRPr="00DF4CE5" w14:paraId="72C21DCE" w14:textId="77777777" w:rsidTr="005005C3">
        <w:tc>
          <w:tcPr>
            <w:tcW w:w="2623" w:type="dxa"/>
            <w:vMerge/>
            <w:tcBorders>
              <w:left w:val="single" w:sz="8" w:space="0" w:color="000000"/>
              <w:right w:val="single" w:sz="8" w:space="0" w:color="000000"/>
            </w:tcBorders>
            <w:vAlign w:val="center"/>
            <w:hideMark/>
          </w:tcPr>
          <w:p w14:paraId="47591C59" w14:textId="77777777" w:rsidR="005005C3" w:rsidRPr="00DF4CE5" w:rsidRDefault="005005C3" w:rsidP="005005C3">
            <w:pPr>
              <w:spacing w:after="0" w:line="240" w:lineRule="atLeast"/>
              <w:jc w:val="both"/>
              <w:rPr>
                <w:rFonts w:ascii="Cambria" w:eastAsia="Calibri" w:hAnsi="Cambria" w:cs="Times New Roman"/>
                <w:lang w:val="hr-HR"/>
              </w:rPr>
            </w:pPr>
          </w:p>
        </w:tc>
        <w:tc>
          <w:tcPr>
            <w:tcW w:w="3673"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0A1561A" w14:textId="6C90F952" w:rsidR="005005C3" w:rsidRPr="00DF4CE5" w:rsidRDefault="00541CA9" w:rsidP="005005C3">
            <w:pPr>
              <w:spacing w:after="0" w:line="240" w:lineRule="atLeast"/>
              <w:jc w:val="both"/>
              <w:rPr>
                <w:rFonts w:ascii="Cambria" w:eastAsia="Calibri" w:hAnsi="Cambria" w:cs="Times New Roman"/>
                <w:lang w:val="hr-HR"/>
              </w:rPr>
            </w:pPr>
            <w:proofErr w:type="spellStart"/>
            <w:r w:rsidRPr="00DF4CE5">
              <w:rPr>
                <w:rFonts w:ascii="Cambria" w:eastAsia="Calibri" w:hAnsi="Cambria" w:cs="Times New Roman"/>
                <w:lang w:val="it-IT"/>
              </w:rPr>
              <w:t>U</w:t>
            </w:r>
            <w:r w:rsidR="005005C3" w:rsidRPr="00DF4CE5">
              <w:rPr>
                <w:rFonts w:ascii="Cambria" w:eastAsia="Calibri" w:hAnsi="Cambria" w:cs="Times New Roman"/>
                <w:lang w:val="it-IT"/>
              </w:rPr>
              <w:t>kupno</w:t>
            </w:r>
            <w:proofErr w:type="spellEnd"/>
          </w:p>
        </w:tc>
        <w:tc>
          <w:tcPr>
            <w:tcW w:w="71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8710023" w14:textId="1D6C59C7" w:rsidR="005005C3" w:rsidRPr="00DF4CE5" w:rsidRDefault="005005C3" w:rsidP="005005C3">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t>60</w:t>
            </w:r>
          </w:p>
        </w:tc>
        <w:tc>
          <w:tcPr>
            <w:tcW w:w="101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21EE646" w14:textId="77777777" w:rsidR="005005C3" w:rsidRPr="00DF4CE5" w:rsidRDefault="005005C3" w:rsidP="005005C3">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t>2</w:t>
            </w:r>
          </w:p>
        </w:tc>
        <w:tc>
          <w:tcPr>
            <w:tcW w:w="131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675080A" w14:textId="77777777" w:rsidR="005005C3" w:rsidRPr="00DF4CE5" w:rsidRDefault="005005C3" w:rsidP="005005C3">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t>100 %</w:t>
            </w:r>
          </w:p>
        </w:tc>
      </w:tr>
      <w:tr w:rsidR="005005C3" w:rsidRPr="00DF4CE5" w14:paraId="533AE1BF" w14:textId="77777777" w:rsidTr="005005C3">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BFE4E31" w14:textId="77777777" w:rsidR="005005C3" w:rsidRPr="00DF4CE5" w:rsidRDefault="005005C3" w:rsidP="005005C3">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t>Studentske obveze</w:t>
            </w:r>
          </w:p>
        </w:tc>
        <w:tc>
          <w:tcPr>
            <w:tcW w:w="671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60A6613" w14:textId="77777777" w:rsidR="005005C3" w:rsidRPr="00DF4CE5" w:rsidRDefault="005005C3" w:rsidP="005005C3">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t xml:space="preserve">Da položi kolegij, student/studentica mora: </w:t>
            </w:r>
          </w:p>
          <w:p w14:paraId="1F0859A9" w14:textId="77777777" w:rsidR="00043BAC" w:rsidRPr="00DF4CE5" w:rsidRDefault="005005C3" w:rsidP="00043BAC">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t xml:space="preserve">1. </w:t>
            </w:r>
            <w:r w:rsidR="00043BAC" w:rsidRPr="00DF4CE5">
              <w:rPr>
                <w:rFonts w:ascii="Cambria" w:eastAsia="Calibri" w:hAnsi="Cambria" w:cs="Times New Roman"/>
                <w:lang w:val="hr-HR"/>
              </w:rPr>
              <w:t>aktivno sudjelovati u interaktivnim aktivnostima na nastavi</w:t>
            </w:r>
          </w:p>
          <w:p w14:paraId="57FAAA30" w14:textId="1E646B02" w:rsidR="005005C3" w:rsidRPr="00DF4CE5" w:rsidRDefault="00043BAC" w:rsidP="00043BAC">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t>(pedagoške radionice, vježbe, igre i sl.)</w:t>
            </w:r>
          </w:p>
          <w:p w14:paraId="465FD19F" w14:textId="77777777" w:rsidR="005005C3" w:rsidRPr="00DF4CE5" w:rsidRDefault="005005C3" w:rsidP="005005C3">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t>2. izraditi praktične radove (1. godišnji i mjesečni plan i program sata razrednog odjela, 2. nastavna priprema, 3. realizacija škole u prirodi, 4. pedagoška dokumentacija)</w:t>
            </w:r>
          </w:p>
          <w:p w14:paraId="64F9A6F6" w14:textId="77777777" w:rsidR="005005C3" w:rsidRPr="00DF4CE5" w:rsidRDefault="005005C3" w:rsidP="005005C3">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t>3. položiti pismeni i usmeni ispit.</w:t>
            </w:r>
          </w:p>
          <w:p w14:paraId="58872247" w14:textId="77777777" w:rsidR="005005C3" w:rsidRPr="00DF4CE5" w:rsidRDefault="005005C3" w:rsidP="005005C3">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t>Napomena: (vrijedi za obvezu 2.) Student/studentica treba napisati praktične radove u zadanome roku. Ako ne riješi obveze do zadanoga roka, tada gubi pravo na ECTS-e iz kolegija u toj akademskoj godini. Rokovi se u ovome kolegiju u potpunosti poštuju.</w:t>
            </w:r>
          </w:p>
        </w:tc>
      </w:tr>
      <w:tr w:rsidR="005005C3" w:rsidRPr="00D0399C" w14:paraId="7E8E4D22" w14:textId="77777777" w:rsidTr="005005C3">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4F34211" w14:textId="77777777" w:rsidR="005005C3" w:rsidRPr="00DF4CE5" w:rsidRDefault="005005C3" w:rsidP="005005C3">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t>Rokovi ispita</w:t>
            </w:r>
          </w:p>
        </w:tc>
        <w:tc>
          <w:tcPr>
            <w:tcW w:w="671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33A4C4F" w14:textId="77777777" w:rsidR="005005C3" w:rsidRPr="00DF4CE5" w:rsidRDefault="005005C3" w:rsidP="005005C3">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t>Daju se na početku akademske godine, objavljuju se na mrežnim stranicama Sveučilišta i u ISVU.</w:t>
            </w:r>
          </w:p>
        </w:tc>
      </w:tr>
      <w:tr w:rsidR="005005C3" w:rsidRPr="00DF4CE5" w14:paraId="04E38754" w14:textId="77777777" w:rsidTr="005005C3">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4321AC5" w14:textId="77777777" w:rsidR="005005C3" w:rsidRPr="00DF4CE5" w:rsidRDefault="005005C3" w:rsidP="005005C3">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t xml:space="preserve">Ostale važne činjenice </w:t>
            </w:r>
            <w:proofErr w:type="spellStart"/>
            <w:r w:rsidRPr="00DF4CE5">
              <w:rPr>
                <w:rFonts w:ascii="Cambria" w:eastAsia="Calibri" w:hAnsi="Cambria" w:cs="Times New Roman"/>
                <w:lang w:val="it-IT"/>
              </w:rPr>
              <w:t>vezane</w:t>
            </w:r>
            <w:proofErr w:type="spellEnd"/>
            <w:r w:rsidRPr="00DF4CE5">
              <w:rPr>
                <w:rFonts w:ascii="Cambria" w:eastAsia="Calibri" w:hAnsi="Cambria" w:cs="Times New Roman"/>
                <w:lang w:val="it-IT"/>
              </w:rPr>
              <w:t xml:space="preserve"> </w:t>
            </w:r>
            <w:proofErr w:type="spellStart"/>
            <w:r w:rsidRPr="00DF4CE5">
              <w:rPr>
                <w:rFonts w:ascii="Cambria" w:eastAsia="Calibri" w:hAnsi="Cambria" w:cs="Times New Roman"/>
                <w:lang w:val="it-IT"/>
              </w:rPr>
              <w:t>uz</w:t>
            </w:r>
            <w:proofErr w:type="spellEnd"/>
            <w:r w:rsidRPr="00DF4CE5">
              <w:rPr>
                <w:rFonts w:ascii="Cambria" w:eastAsia="Calibri" w:hAnsi="Cambria" w:cs="Times New Roman"/>
                <w:lang w:val="it-IT"/>
              </w:rPr>
              <w:t xml:space="preserve"> </w:t>
            </w:r>
            <w:proofErr w:type="spellStart"/>
            <w:r w:rsidRPr="00DF4CE5">
              <w:rPr>
                <w:rFonts w:ascii="Cambria" w:eastAsia="Calibri" w:hAnsi="Cambria" w:cs="Times New Roman"/>
                <w:lang w:val="it-IT"/>
              </w:rPr>
              <w:t>kolegij</w:t>
            </w:r>
            <w:proofErr w:type="spellEnd"/>
          </w:p>
        </w:tc>
        <w:tc>
          <w:tcPr>
            <w:tcW w:w="671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139D681" w14:textId="77777777" w:rsidR="005005C3" w:rsidRPr="00DF4CE5" w:rsidRDefault="005005C3" w:rsidP="005005C3">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t>Materijali za predavanja i seminare objavljuju se na e-učenju.</w:t>
            </w:r>
          </w:p>
          <w:p w14:paraId="22E6CBA9" w14:textId="77777777" w:rsidR="005005C3" w:rsidRPr="00DF4CE5" w:rsidRDefault="005005C3" w:rsidP="005005C3">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t>U slučaju održavanja nastave na daljinu, moguće je odstupanje u:</w:t>
            </w:r>
          </w:p>
          <w:p w14:paraId="0B1FE01A" w14:textId="77777777" w:rsidR="005005C3" w:rsidRPr="00DF4CE5" w:rsidRDefault="005005C3" w:rsidP="005005C3">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t>- mjestu izvođenja kolegija</w:t>
            </w:r>
          </w:p>
          <w:p w14:paraId="60E4EBEB" w14:textId="77777777" w:rsidR="005005C3" w:rsidRPr="00DF4CE5" w:rsidRDefault="005005C3" w:rsidP="005005C3">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t>- provedbi aktivnosti, metodama tumačenja i poučavanja i načinima vrednovanja</w:t>
            </w:r>
          </w:p>
          <w:p w14:paraId="493B8DD8" w14:textId="77777777" w:rsidR="005005C3" w:rsidRPr="00DF4CE5" w:rsidRDefault="005005C3" w:rsidP="005005C3">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t>- studentskim obvezama</w:t>
            </w:r>
          </w:p>
          <w:p w14:paraId="0CBD762E" w14:textId="77777777" w:rsidR="005005C3" w:rsidRPr="00DF4CE5" w:rsidRDefault="005005C3" w:rsidP="005005C3">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t>- dostupnoj literaturi.</w:t>
            </w:r>
          </w:p>
          <w:p w14:paraId="5B6B8CF7" w14:textId="77777777" w:rsidR="005005C3" w:rsidRPr="00DF4CE5" w:rsidRDefault="005005C3" w:rsidP="005005C3">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t>O tome će nositeljica kolegija obavijestiti studente i studentice kad se nastava na daljinu počne održavati.</w:t>
            </w:r>
          </w:p>
          <w:p w14:paraId="480BB9CB" w14:textId="77777777" w:rsidR="005005C3" w:rsidRPr="00DF4CE5" w:rsidRDefault="005005C3" w:rsidP="005005C3">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t>Ishodi učenja ostaju nepromijenjeni.</w:t>
            </w:r>
          </w:p>
        </w:tc>
      </w:tr>
      <w:tr w:rsidR="005005C3" w:rsidRPr="00D0399C" w14:paraId="0FB21364" w14:textId="77777777" w:rsidTr="005005C3">
        <w:trPr>
          <w:trHeight w:val="770"/>
        </w:trPr>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7CB482E" w14:textId="77777777" w:rsidR="005005C3" w:rsidRPr="00DF4CE5" w:rsidRDefault="005005C3" w:rsidP="005005C3">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t>Literatura</w:t>
            </w:r>
          </w:p>
        </w:tc>
        <w:tc>
          <w:tcPr>
            <w:tcW w:w="6717"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3C9CDC0F" w14:textId="77777777" w:rsidR="005005C3" w:rsidRPr="00DF4CE5" w:rsidRDefault="005005C3" w:rsidP="005005C3">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t xml:space="preserve">Obvezna: </w:t>
            </w:r>
          </w:p>
          <w:p w14:paraId="68B312FF" w14:textId="77777777" w:rsidR="005005C3" w:rsidRPr="00DF4CE5" w:rsidRDefault="005005C3" w:rsidP="005005C3">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t xml:space="preserve">1. Jakovac, T., </w:t>
            </w:r>
            <w:proofErr w:type="spellStart"/>
            <w:r w:rsidRPr="00DF4CE5">
              <w:rPr>
                <w:rFonts w:ascii="Cambria" w:eastAsia="Calibri" w:hAnsi="Cambria" w:cs="Times New Roman"/>
                <w:lang w:val="hr-HR"/>
              </w:rPr>
              <w:t>Petelin</w:t>
            </w:r>
            <w:proofErr w:type="spellEnd"/>
            <w:r w:rsidRPr="00DF4CE5">
              <w:rPr>
                <w:rFonts w:ascii="Cambria" w:eastAsia="Calibri" w:hAnsi="Cambria" w:cs="Times New Roman"/>
                <w:lang w:val="hr-HR"/>
              </w:rPr>
              <w:t xml:space="preserve">, K., </w:t>
            </w:r>
            <w:proofErr w:type="spellStart"/>
            <w:r w:rsidRPr="00DF4CE5">
              <w:rPr>
                <w:rFonts w:ascii="Cambria" w:eastAsia="Calibri" w:hAnsi="Cambria" w:cs="Times New Roman"/>
                <w:lang w:val="hr-HR"/>
              </w:rPr>
              <w:t>Možgon</w:t>
            </w:r>
            <w:proofErr w:type="spellEnd"/>
            <w:r w:rsidRPr="00DF4CE5">
              <w:rPr>
                <w:rFonts w:ascii="Cambria" w:eastAsia="Calibri" w:hAnsi="Cambria" w:cs="Times New Roman"/>
                <w:lang w:val="hr-HR"/>
              </w:rPr>
              <w:t xml:space="preserve"> </w:t>
            </w:r>
            <w:proofErr w:type="spellStart"/>
            <w:r w:rsidRPr="00DF4CE5">
              <w:rPr>
                <w:rFonts w:ascii="Cambria" w:eastAsia="Calibri" w:hAnsi="Cambria" w:cs="Times New Roman"/>
                <w:lang w:val="hr-HR"/>
              </w:rPr>
              <w:t>Kauzlarić</w:t>
            </w:r>
            <w:proofErr w:type="spellEnd"/>
            <w:r w:rsidRPr="00DF4CE5">
              <w:rPr>
                <w:rFonts w:ascii="Cambria" w:eastAsia="Calibri" w:hAnsi="Cambria" w:cs="Times New Roman"/>
                <w:lang w:val="hr-HR"/>
              </w:rPr>
              <w:t xml:space="preserve">, N., </w:t>
            </w:r>
            <w:proofErr w:type="spellStart"/>
            <w:r w:rsidRPr="00DF4CE5">
              <w:rPr>
                <w:rFonts w:ascii="Cambria" w:eastAsia="Calibri" w:hAnsi="Cambria" w:cs="Times New Roman"/>
                <w:lang w:val="hr-HR"/>
              </w:rPr>
              <w:t>Šimičić</w:t>
            </w:r>
            <w:proofErr w:type="spellEnd"/>
            <w:r w:rsidRPr="00DF4CE5">
              <w:rPr>
                <w:rFonts w:ascii="Cambria" w:eastAsia="Calibri" w:hAnsi="Cambria" w:cs="Times New Roman"/>
                <w:lang w:val="hr-HR"/>
              </w:rPr>
              <w:t xml:space="preserve">, I., Bajt </w:t>
            </w:r>
            <w:proofErr w:type="spellStart"/>
            <w:r w:rsidRPr="00DF4CE5">
              <w:rPr>
                <w:rFonts w:ascii="Cambria" w:eastAsia="Calibri" w:hAnsi="Cambria" w:cs="Times New Roman"/>
                <w:lang w:val="hr-HR"/>
              </w:rPr>
              <w:t>Stepić</w:t>
            </w:r>
            <w:proofErr w:type="spellEnd"/>
            <w:r w:rsidRPr="00DF4CE5">
              <w:rPr>
                <w:rFonts w:ascii="Cambria" w:eastAsia="Calibri" w:hAnsi="Cambria" w:cs="Times New Roman"/>
                <w:lang w:val="hr-HR"/>
              </w:rPr>
              <w:t>, M. (2014). Priručnik pedagoške dokumentacije: za učitelje i pedagoge. Zagreb: Naklada Ljevak.</w:t>
            </w:r>
          </w:p>
          <w:p w14:paraId="38ECC1E4" w14:textId="77777777" w:rsidR="005005C3" w:rsidRPr="00DF4CE5" w:rsidRDefault="005005C3" w:rsidP="005005C3">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t xml:space="preserve">2. Rađenović, A., Smiljanić, M. (2007). Priručnik za razrednike. Zagreb: </w:t>
            </w:r>
            <w:proofErr w:type="spellStart"/>
            <w:r w:rsidRPr="00DF4CE5">
              <w:rPr>
                <w:rFonts w:ascii="Cambria" w:eastAsia="Calibri" w:hAnsi="Cambria" w:cs="Times New Roman"/>
                <w:lang w:val="hr-HR"/>
              </w:rPr>
              <w:t>Alinea</w:t>
            </w:r>
            <w:proofErr w:type="spellEnd"/>
            <w:r w:rsidRPr="00DF4CE5">
              <w:rPr>
                <w:rFonts w:ascii="Cambria" w:eastAsia="Calibri" w:hAnsi="Cambria" w:cs="Times New Roman"/>
                <w:lang w:val="hr-HR"/>
              </w:rPr>
              <w:t xml:space="preserve">. </w:t>
            </w:r>
          </w:p>
          <w:p w14:paraId="6DD707F7" w14:textId="77777777" w:rsidR="005005C3" w:rsidRPr="00DF4CE5" w:rsidRDefault="005005C3" w:rsidP="005005C3">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t xml:space="preserve">3. </w:t>
            </w:r>
            <w:proofErr w:type="spellStart"/>
            <w:r w:rsidRPr="00DF4CE5">
              <w:rPr>
                <w:rFonts w:ascii="Cambria" w:eastAsia="Calibri" w:hAnsi="Cambria" w:cs="Times New Roman"/>
                <w:lang w:val="hr-HR"/>
              </w:rPr>
              <w:t>Vrgoč</w:t>
            </w:r>
            <w:proofErr w:type="spellEnd"/>
            <w:r w:rsidRPr="00DF4CE5">
              <w:rPr>
                <w:rFonts w:ascii="Cambria" w:eastAsia="Calibri" w:hAnsi="Cambria" w:cs="Times New Roman"/>
                <w:lang w:val="hr-HR"/>
              </w:rPr>
              <w:t>, H. (priredio) (2005). Strategija odgojnog rada razrednika. Zagreb: Hrvatski pedagoško-književni zbor.</w:t>
            </w:r>
          </w:p>
          <w:p w14:paraId="6D597B26" w14:textId="77777777" w:rsidR="005005C3" w:rsidRPr="00DF4CE5" w:rsidRDefault="005005C3" w:rsidP="005005C3">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t>Izborna:</w:t>
            </w:r>
          </w:p>
          <w:p w14:paraId="1CD65AB7" w14:textId="77777777" w:rsidR="005005C3" w:rsidRPr="00DF4CE5" w:rsidRDefault="005005C3" w:rsidP="005005C3">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t xml:space="preserve">1. </w:t>
            </w:r>
            <w:proofErr w:type="spellStart"/>
            <w:r w:rsidRPr="00DF4CE5">
              <w:rPr>
                <w:rFonts w:ascii="Cambria" w:eastAsia="Calibri" w:hAnsi="Cambria" w:cs="Times New Roman"/>
                <w:lang w:val="hr-HR"/>
              </w:rPr>
              <w:t>Bićanić</w:t>
            </w:r>
            <w:proofErr w:type="spellEnd"/>
            <w:r w:rsidRPr="00DF4CE5">
              <w:rPr>
                <w:rFonts w:ascii="Cambria" w:eastAsia="Calibri" w:hAnsi="Cambria" w:cs="Times New Roman"/>
                <w:lang w:val="hr-HR"/>
              </w:rPr>
              <w:t xml:space="preserve">, J. (2001).Vježbanje životnih vještina: priručnik za razrednike. Zagreb: </w:t>
            </w:r>
            <w:proofErr w:type="spellStart"/>
            <w:r w:rsidRPr="00DF4CE5">
              <w:rPr>
                <w:rFonts w:ascii="Cambria" w:eastAsia="Calibri" w:hAnsi="Cambria" w:cs="Times New Roman"/>
                <w:lang w:val="hr-HR"/>
              </w:rPr>
              <w:t>Alinea</w:t>
            </w:r>
            <w:proofErr w:type="spellEnd"/>
            <w:r w:rsidRPr="00DF4CE5">
              <w:rPr>
                <w:rFonts w:ascii="Cambria" w:eastAsia="Calibri" w:hAnsi="Cambria" w:cs="Times New Roman"/>
                <w:lang w:val="hr-HR"/>
              </w:rPr>
              <w:t>.</w:t>
            </w:r>
          </w:p>
          <w:p w14:paraId="6662E656" w14:textId="77777777" w:rsidR="005005C3" w:rsidRPr="00DF4CE5" w:rsidRDefault="005005C3" w:rsidP="005005C3">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t>2. Buljubašić-Kuzmanović, V. (2003). Dobar pristup sebi i drugima: priručnik za razrednike. Đakovo: Tempo.</w:t>
            </w:r>
          </w:p>
          <w:p w14:paraId="7B2B527F" w14:textId="77777777" w:rsidR="005005C3" w:rsidRPr="00DF4CE5" w:rsidRDefault="005005C3" w:rsidP="005005C3">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t xml:space="preserve">3. </w:t>
            </w:r>
            <w:proofErr w:type="spellStart"/>
            <w:r w:rsidRPr="00DF4CE5">
              <w:rPr>
                <w:rFonts w:ascii="Cambria" w:eastAsia="Calibri" w:hAnsi="Cambria" w:cs="Times New Roman"/>
                <w:lang w:val="hr-HR"/>
              </w:rPr>
              <w:t>Ivanek</w:t>
            </w:r>
            <w:proofErr w:type="spellEnd"/>
            <w:r w:rsidRPr="00DF4CE5">
              <w:rPr>
                <w:rFonts w:ascii="Cambria" w:eastAsia="Calibri" w:hAnsi="Cambria" w:cs="Times New Roman"/>
                <w:lang w:val="hr-HR"/>
              </w:rPr>
              <w:t xml:space="preserve">, A. (2004). Kreativni razrednik/razrednica: 40 primjera pedagoških radionica. Zagreb: Profil </w:t>
            </w:r>
            <w:proofErr w:type="spellStart"/>
            <w:r w:rsidRPr="00DF4CE5">
              <w:rPr>
                <w:rFonts w:ascii="Cambria" w:eastAsia="Calibri" w:hAnsi="Cambria" w:cs="Times New Roman"/>
                <w:lang w:val="hr-HR"/>
              </w:rPr>
              <w:t>international</w:t>
            </w:r>
            <w:proofErr w:type="spellEnd"/>
            <w:r w:rsidRPr="00DF4CE5">
              <w:rPr>
                <w:rFonts w:ascii="Cambria" w:eastAsia="Calibri" w:hAnsi="Cambria" w:cs="Times New Roman"/>
                <w:lang w:val="hr-HR"/>
              </w:rPr>
              <w:t xml:space="preserve">. </w:t>
            </w:r>
          </w:p>
          <w:p w14:paraId="4808C97F" w14:textId="77777777" w:rsidR="005005C3" w:rsidRPr="00DF4CE5" w:rsidRDefault="005005C3" w:rsidP="005005C3">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t xml:space="preserve">4. </w:t>
            </w:r>
            <w:proofErr w:type="spellStart"/>
            <w:r w:rsidRPr="00DF4CE5">
              <w:rPr>
                <w:rFonts w:ascii="Cambria" w:eastAsia="Calibri" w:hAnsi="Cambria" w:cs="Times New Roman"/>
                <w:lang w:val="hr-HR"/>
              </w:rPr>
              <w:t>Ivanek</w:t>
            </w:r>
            <w:proofErr w:type="spellEnd"/>
            <w:r w:rsidRPr="00DF4CE5">
              <w:rPr>
                <w:rFonts w:ascii="Cambria" w:eastAsia="Calibri" w:hAnsi="Cambria" w:cs="Times New Roman"/>
                <w:lang w:val="hr-HR"/>
              </w:rPr>
              <w:t>, A. (2005). Razrednik(-</w:t>
            </w:r>
            <w:proofErr w:type="spellStart"/>
            <w:r w:rsidRPr="00DF4CE5">
              <w:rPr>
                <w:rFonts w:ascii="Cambria" w:eastAsia="Calibri" w:hAnsi="Cambria" w:cs="Times New Roman"/>
                <w:lang w:val="hr-HR"/>
              </w:rPr>
              <w:t>ica</w:t>
            </w:r>
            <w:proofErr w:type="spellEnd"/>
            <w:r w:rsidRPr="00DF4CE5">
              <w:rPr>
                <w:rFonts w:ascii="Cambria" w:eastAsia="Calibri" w:hAnsi="Cambria" w:cs="Times New Roman"/>
                <w:lang w:val="hr-HR"/>
              </w:rPr>
              <w:t>), pedagoško-psihološki voditelj(-</w:t>
            </w:r>
            <w:proofErr w:type="spellStart"/>
            <w:r w:rsidRPr="00DF4CE5">
              <w:rPr>
                <w:rFonts w:ascii="Cambria" w:eastAsia="Calibri" w:hAnsi="Cambria" w:cs="Times New Roman"/>
                <w:lang w:val="hr-HR"/>
              </w:rPr>
              <w:t>ica</w:t>
            </w:r>
            <w:proofErr w:type="spellEnd"/>
            <w:r w:rsidRPr="00DF4CE5">
              <w:rPr>
                <w:rFonts w:ascii="Cambria" w:eastAsia="Calibri" w:hAnsi="Cambria" w:cs="Times New Roman"/>
                <w:lang w:val="hr-HR"/>
              </w:rPr>
              <w:t xml:space="preserve">) razrednog odjela (s primjerima vođenja radionice). Zagreb: Profil </w:t>
            </w:r>
            <w:proofErr w:type="spellStart"/>
            <w:r w:rsidRPr="00DF4CE5">
              <w:rPr>
                <w:rFonts w:ascii="Cambria" w:eastAsia="Calibri" w:hAnsi="Cambria" w:cs="Times New Roman"/>
                <w:lang w:val="hr-HR"/>
              </w:rPr>
              <w:t>international</w:t>
            </w:r>
            <w:proofErr w:type="spellEnd"/>
            <w:r w:rsidRPr="00DF4CE5">
              <w:rPr>
                <w:rFonts w:ascii="Cambria" w:eastAsia="Calibri" w:hAnsi="Cambria" w:cs="Times New Roman"/>
                <w:lang w:val="hr-HR"/>
              </w:rPr>
              <w:t>.</w:t>
            </w:r>
          </w:p>
          <w:p w14:paraId="1426F49E" w14:textId="77777777" w:rsidR="005005C3" w:rsidRPr="00DF4CE5" w:rsidRDefault="005005C3" w:rsidP="005005C3">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t>5. Živković, Ž. (2009). Susreti s učenicima: priče i radionice za sat razrednika 1. – 2. Đakovo: Tempo.</w:t>
            </w:r>
          </w:p>
          <w:p w14:paraId="3582FEF5" w14:textId="77777777" w:rsidR="005005C3" w:rsidRPr="00DF4CE5" w:rsidRDefault="005005C3" w:rsidP="005005C3">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t>Priručna:</w:t>
            </w:r>
          </w:p>
          <w:p w14:paraId="7D7BC143" w14:textId="5F83F94B" w:rsidR="005005C3" w:rsidRPr="00DF4CE5" w:rsidRDefault="00043BAC" w:rsidP="005005C3">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t>Normativna osnova iz područja odgoja i obrazovanja.</w:t>
            </w:r>
          </w:p>
        </w:tc>
      </w:tr>
    </w:tbl>
    <w:p w14:paraId="3D9E941B" w14:textId="77777777" w:rsidR="003A42BE" w:rsidRPr="00DF4CE5" w:rsidRDefault="003A42BE" w:rsidP="008B34AF">
      <w:pPr>
        <w:jc w:val="both"/>
        <w:rPr>
          <w:rFonts w:ascii="Cambria" w:hAnsi="Cambria"/>
          <w:lang w:val="hr-HR"/>
        </w:rPr>
      </w:pPr>
    </w:p>
    <w:p w14:paraId="07A4B32B" w14:textId="77777777" w:rsidR="003A42BE" w:rsidRPr="00DF4CE5" w:rsidRDefault="003A42BE" w:rsidP="008B34AF">
      <w:pPr>
        <w:jc w:val="both"/>
        <w:rPr>
          <w:rFonts w:ascii="Cambria" w:hAnsi="Cambria"/>
          <w:lang w:val="hr-HR"/>
        </w:rPr>
      </w:pPr>
    </w:p>
    <w:p w14:paraId="547A268D" w14:textId="4586CAFB" w:rsidR="00E473D6" w:rsidRPr="00DF4CE5" w:rsidRDefault="00E473D6">
      <w:pPr>
        <w:rPr>
          <w:rFonts w:ascii="Cambria" w:hAnsi="Cambria"/>
          <w:lang w:val="hr-HR"/>
        </w:rPr>
      </w:pPr>
      <w:r w:rsidRPr="00DF4CE5">
        <w:rPr>
          <w:rFonts w:ascii="Cambria" w:hAnsi="Cambria"/>
          <w:lang w:val="hr-HR"/>
        </w:rPr>
        <w:br w:type="page"/>
      </w:r>
    </w:p>
    <w:tbl>
      <w:tblPr>
        <w:tblW w:w="0" w:type="auto"/>
        <w:tblInd w:w="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54"/>
        <w:gridCol w:w="1812"/>
        <w:gridCol w:w="737"/>
        <w:gridCol w:w="300"/>
        <w:gridCol w:w="1022"/>
        <w:gridCol w:w="358"/>
        <w:gridCol w:w="813"/>
        <w:gridCol w:w="2044"/>
      </w:tblGrid>
      <w:tr w:rsidR="00E473D6" w:rsidRPr="00DF4CE5" w14:paraId="31A7DB7F" w14:textId="77777777" w:rsidTr="00DF4CE5">
        <w:trPr>
          <w:trHeight w:val="426"/>
        </w:trPr>
        <w:tc>
          <w:tcPr>
            <w:tcW w:w="9640" w:type="dxa"/>
            <w:gridSpan w:val="8"/>
            <w:shd w:val="clear" w:color="auto" w:fill="F3F3F3"/>
          </w:tcPr>
          <w:p w14:paraId="479170F9" w14:textId="77777777" w:rsidR="00E473D6" w:rsidRPr="00DF4CE5" w:rsidRDefault="00E473D6" w:rsidP="00E473D6">
            <w:pPr>
              <w:widowControl w:val="0"/>
              <w:autoSpaceDE w:val="0"/>
              <w:autoSpaceDN w:val="0"/>
              <w:spacing w:after="0" w:line="240" w:lineRule="auto"/>
              <w:ind w:left="5390"/>
              <w:rPr>
                <w:rFonts w:ascii="Cambria" w:eastAsia="Cambria" w:hAnsi="Cambria" w:cstheme="minorHAnsi"/>
                <w:b/>
                <w:lang w:val="hr-HR"/>
              </w:rPr>
            </w:pPr>
            <w:r w:rsidRPr="00DF4CE5">
              <w:rPr>
                <w:rFonts w:ascii="Cambria" w:eastAsia="Cambria" w:hAnsi="Cambria" w:cstheme="minorHAnsi"/>
                <w:b/>
                <w:lang w:val="hr-HR"/>
              </w:rPr>
              <w:lastRenderedPageBreak/>
              <w:t>IZVEDBENI</w:t>
            </w:r>
            <w:r w:rsidRPr="00DF4CE5">
              <w:rPr>
                <w:rFonts w:ascii="Cambria" w:eastAsia="Cambria" w:hAnsi="Cambria" w:cstheme="minorHAnsi"/>
                <w:b/>
                <w:spacing w:val="-2"/>
                <w:lang w:val="hr-HR"/>
              </w:rPr>
              <w:t xml:space="preserve"> </w:t>
            </w:r>
            <w:r w:rsidRPr="00DF4CE5">
              <w:rPr>
                <w:rFonts w:ascii="Cambria" w:eastAsia="Cambria" w:hAnsi="Cambria" w:cstheme="minorHAnsi"/>
                <w:b/>
                <w:lang w:val="hr-HR"/>
              </w:rPr>
              <w:t>PLAN</w:t>
            </w:r>
            <w:r w:rsidRPr="00DF4CE5">
              <w:rPr>
                <w:rFonts w:ascii="Cambria" w:eastAsia="Cambria" w:hAnsi="Cambria" w:cstheme="minorHAnsi"/>
                <w:b/>
                <w:spacing w:val="-3"/>
                <w:lang w:val="hr-HR"/>
              </w:rPr>
              <w:t xml:space="preserve"> </w:t>
            </w:r>
            <w:r w:rsidRPr="00DF4CE5">
              <w:rPr>
                <w:rFonts w:ascii="Cambria" w:eastAsia="Cambria" w:hAnsi="Cambria" w:cstheme="minorHAnsi"/>
                <w:b/>
                <w:lang w:val="hr-HR"/>
              </w:rPr>
              <w:t>NASTAVE</w:t>
            </w:r>
            <w:r w:rsidRPr="00DF4CE5">
              <w:rPr>
                <w:rFonts w:ascii="Cambria" w:eastAsia="Cambria" w:hAnsi="Cambria" w:cstheme="minorHAnsi"/>
                <w:b/>
                <w:spacing w:val="-3"/>
                <w:lang w:val="hr-HR"/>
              </w:rPr>
              <w:t xml:space="preserve"> </w:t>
            </w:r>
            <w:r w:rsidRPr="00DF4CE5">
              <w:rPr>
                <w:rFonts w:ascii="Cambria" w:eastAsia="Cambria" w:hAnsi="Cambria" w:cstheme="minorHAnsi"/>
                <w:b/>
                <w:lang w:val="hr-HR"/>
              </w:rPr>
              <w:t>KOLEGIJA</w:t>
            </w:r>
          </w:p>
        </w:tc>
      </w:tr>
      <w:tr w:rsidR="00E473D6" w:rsidRPr="00DF4CE5" w14:paraId="2CBF90A6" w14:textId="77777777" w:rsidTr="00DF4CE5">
        <w:trPr>
          <w:trHeight w:val="704"/>
        </w:trPr>
        <w:tc>
          <w:tcPr>
            <w:tcW w:w="2554" w:type="dxa"/>
            <w:shd w:val="clear" w:color="auto" w:fill="F3F3F3"/>
          </w:tcPr>
          <w:p w14:paraId="0F9C6537" w14:textId="77777777" w:rsidR="00E473D6" w:rsidRPr="00DF4CE5" w:rsidRDefault="00E473D6" w:rsidP="00E473D6">
            <w:pPr>
              <w:widowControl w:val="0"/>
              <w:autoSpaceDE w:val="0"/>
              <w:autoSpaceDN w:val="0"/>
              <w:spacing w:after="0" w:line="240" w:lineRule="auto"/>
              <w:ind w:left="143"/>
              <w:rPr>
                <w:rFonts w:ascii="Cambria" w:eastAsia="Cambria" w:hAnsi="Cambria" w:cstheme="minorHAnsi"/>
                <w:lang w:val="hr-HR"/>
              </w:rPr>
            </w:pPr>
            <w:r w:rsidRPr="00DF4CE5">
              <w:rPr>
                <w:rFonts w:ascii="Cambria" w:eastAsia="Cambria" w:hAnsi="Cambria" w:cstheme="minorHAnsi"/>
                <w:lang w:val="hr-HR"/>
              </w:rPr>
              <w:t>Kod</w:t>
            </w:r>
            <w:r w:rsidRPr="00DF4CE5">
              <w:rPr>
                <w:rFonts w:ascii="Cambria" w:eastAsia="Cambria" w:hAnsi="Cambria" w:cstheme="minorHAnsi"/>
                <w:spacing w:val="-3"/>
                <w:lang w:val="hr-HR"/>
              </w:rPr>
              <w:t xml:space="preserve"> </w:t>
            </w:r>
            <w:r w:rsidRPr="00DF4CE5">
              <w:rPr>
                <w:rFonts w:ascii="Cambria" w:eastAsia="Cambria" w:hAnsi="Cambria" w:cstheme="minorHAnsi"/>
                <w:lang w:val="hr-HR"/>
              </w:rPr>
              <w:t>i</w:t>
            </w:r>
            <w:r w:rsidRPr="00DF4CE5">
              <w:rPr>
                <w:rFonts w:ascii="Cambria" w:eastAsia="Cambria" w:hAnsi="Cambria" w:cstheme="minorHAnsi"/>
                <w:spacing w:val="-1"/>
                <w:lang w:val="hr-HR"/>
              </w:rPr>
              <w:t xml:space="preserve"> </w:t>
            </w:r>
            <w:r w:rsidRPr="00DF4CE5">
              <w:rPr>
                <w:rFonts w:ascii="Cambria" w:eastAsia="Cambria" w:hAnsi="Cambria" w:cstheme="minorHAnsi"/>
                <w:lang w:val="hr-HR"/>
              </w:rPr>
              <w:t>naziv</w:t>
            </w:r>
            <w:r w:rsidRPr="00DF4CE5">
              <w:rPr>
                <w:rFonts w:ascii="Cambria" w:eastAsia="Cambria" w:hAnsi="Cambria" w:cstheme="minorHAnsi"/>
                <w:spacing w:val="-1"/>
                <w:lang w:val="hr-HR"/>
              </w:rPr>
              <w:t xml:space="preserve"> </w:t>
            </w:r>
            <w:r w:rsidRPr="00DF4CE5">
              <w:rPr>
                <w:rFonts w:ascii="Cambria" w:eastAsia="Cambria" w:hAnsi="Cambria" w:cstheme="minorHAnsi"/>
                <w:lang w:val="hr-HR"/>
              </w:rPr>
              <w:t>kolegija</w:t>
            </w:r>
          </w:p>
        </w:tc>
        <w:tc>
          <w:tcPr>
            <w:tcW w:w="7086" w:type="dxa"/>
            <w:gridSpan w:val="7"/>
          </w:tcPr>
          <w:p w14:paraId="7DE3ACCB" w14:textId="77777777" w:rsidR="00E473D6" w:rsidRPr="00DF4CE5" w:rsidRDefault="00E473D6" w:rsidP="00E473D6">
            <w:pPr>
              <w:widowControl w:val="0"/>
              <w:autoSpaceDE w:val="0"/>
              <w:autoSpaceDN w:val="0"/>
              <w:spacing w:after="0" w:line="240" w:lineRule="auto"/>
              <w:ind w:left="143"/>
              <w:rPr>
                <w:rFonts w:ascii="Cambria" w:eastAsia="Cambria" w:hAnsi="Cambria" w:cstheme="minorHAnsi"/>
                <w:lang w:val="hr-HR"/>
              </w:rPr>
            </w:pPr>
            <w:r w:rsidRPr="00DF4CE5">
              <w:rPr>
                <w:rFonts w:ascii="Cambria" w:eastAsia="Cambria" w:hAnsi="Cambria" w:cstheme="minorHAnsi"/>
                <w:lang w:val="hr-HR"/>
              </w:rPr>
              <w:t>97830</w:t>
            </w:r>
          </w:p>
          <w:p w14:paraId="2268E255" w14:textId="51CA09D2" w:rsidR="00E473D6" w:rsidRPr="00DF4CE5" w:rsidRDefault="00E473D6" w:rsidP="00E473D6">
            <w:pPr>
              <w:widowControl w:val="0"/>
              <w:autoSpaceDE w:val="0"/>
              <w:autoSpaceDN w:val="0"/>
              <w:spacing w:after="0" w:line="240" w:lineRule="auto"/>
              <w:ind w:left="143"/>
              <w:rPr>
                <w:rFonts w:ascii="Cambria" w:eastAsia="Cambria" w:hAnsi="Cambria" w:cstheme="minorHAnsi"/>
                <w:lang w:val="hr-HR"/>
              </w:rPr>
            </w:pPr>
            <w:r w:rsidRPr="00DF4CE5">
              <w:rPr>
                <w:rFonts w:ascii="Cambria" w:eastAsia="Cambria" w:hAnsi="Cambria" w:cstheme="minorHAnsi"/>
                <w:lang w:val="hr-HR"/>
              </w:rPr>
              <w:t>Stručna</w:t>
            </w:r>
            <w:r w:rsidRPr="00DF4CE5">
              <w:rPr>
                <w:rFonts w:ascii="Cambria" w:eastAsia="Cambria" w:hAnsi="Cambria" w:cstheme="minorHAnsi"/>
                <w:spacing w:val="-4"/>
                <w:lang w:val="hr-HR"/>
              </w:rPr>
              <w:t xml:space="preserve"> </w:t>
            </w:r>
            <w:r w:rsidRPr="00DF4CE5">
              <w:rPr>
                <w:rFonts w:ascii="Cambria" w:eastAsia="Cambria" w:hAnsi="Cambria" w:cstheme="minorHAnsi"/>
                <w:lang w:val="hr-HR"/>
              </w:rPr>
              <w:t>praksa</w:t>
            </w:r>
            <w:r w:rsidRPr="00DF4CE5">
              <w:rPr>
                <w:rFonts w:ascii="Cambria" w:eastAsia="Cambria" w:hAnsi="Cambria" w:cstheme="minorHAnsi"/>
                <w:spacing w:val="-4"/>
                <w:lang w:val="hr-HR"/>
              </w:rPr>
              <w:t xml:space="preserve"> </w:t>
            </w:r>
            <w:r w:rsidRPr="00DF4CE5">
              <w:rPr>
                <w:rFonts w:ascii="Cambria" w:eastAsia="Cambria" w:hAnsi="Cambria" w:cstheme="minorHAnsi"/>
                <w:lang w:val="hr-HR"/>
              </w:rPr>
              <w:t>IV</w:t>
            </w:r>
          </w:p>
        </w:tc>
      </w:tr>
      <w:tr w:rsidR="00E473D6" w:rsidRPr="00DF4CE5" w14:paraId="3C0D5869" w14:textId="77777777" w:rsidTr="00DF4CE5">
        <w:trPr>
          <w:trHeight w:val="426"/>
        </w:trPr>
        <w:tc>
          <w:tcPr>
            <w:tcW w:w="2554" w:type="dxa"/>
            <w:shd w:val="clear" w:color="auto" w:fill="F3F3F3"/>
          </w:tcPr>
          <w:p w14:paraId="4C1D0BDE" w14:textId="77777777" w:rsidR="00E473D6" w:rsidRPr="00DF4CE5" w:rsidRDefault="00E473D6" w:rsidP="00E473D6">
            <w:pPr>
              <w:widowControl w:val="0"/>
              <w:autoSpaceDE w:val="0"/>
              <w:autoSpaceDN w:val="0"/>
              <w:spacing w:after="0" w:line="240" w:lineRule="auto"/>
              <w:ind w:left="143"/>
              <w:rPr>
                <w:rFonts w:ascii="Cambria" w:eastAsia="Cambria" w:hAnsi="Cambria" w:cstheme="minorHAnsi"/>
                <w:lang w:val="hr-HR"/>
              </w:rPr>
            </w:pPr>
            <w:r w:rsidRPr="00DF4CE5">
              <w:rPr>
                <w:rFonts w:ascii="Cambria" w:eastAsia="Cambria" w:hAnsi="Cambria" w:cstheme="minorHAnsi"/>
                <w:lang w:val="hr-HR"/>
              </w:rPr>
              <w:t>Nastavnica</w:t>
            </w:r>
          </w:p>
        </w:tc>
        <w:tc>
          <w:tcPr>
            <w:tcW w:w="7086" w:type="dxa"/>
            <w:gridSpan w:val="7"/>
          </w:tcPr>
          <w:p w14:paraId="115D1C24" w14:textId="3624A91F" w:rsidR="00E473D6" w:rsidRPr="00DF4CE5" w:rsidRDefault="00E473D6" w:rsidP="00E473D6">
            <w:pPr>
              <w:widowControl w:val="0"/>
              <w:autoSpaceDE w:val="0"/>
              <w:autoSpaceDN w:val="0"/>
              <w:spacing w:after="0" w:line="240" w:lineRule="auto"/>
              <w:rPr>
                <w:rFonts w:ascii="Cambria" w:eastAsia="Cambria" w:hAnsi="Cambria" w:cstheme="minorHAnsi"/>
                <w:lang w:val="hr-HR"/>
              </w:rPr>
            </w:pPr>
            <w:r w:rsidRPr="00DF4CE5">
              <w:rPr>
                <w:rFonts w:ascii="Cambria" w:eastAsia="Cambria" w:hAnsi="Cambria" w:cstheme="minorHAnsi"/>
                <w:lang w:val="hr-HR"/>
              </w:rPr>
              <w:t xml:space="preserve">  </w:t>
            </w:r>
            <w:hyperlink r:id="rId132" w:history="1">
              <w:r w:rsidRPr="009568E0">
                <w:rPr>
                  <w:rStyle w:val="Hiperveza"/>
                  <w:rFonts w:ascii="Cambria" w:eastAsia="Cambria" w:hAnsi="Cambria" w:cstheme="minorHAnsi"/>
                  <w:lang w:val="hr-HR"/>
                </w:rPr>
                <w:t>Doc.</w:t>
              </w:r>
              <w:r w:rsidRPr="009568E0">
                <w:rPr>
                  <w:rStyle w:val="Hiperveza"/>
                  <w:rFonts w:ascii="Cambria" w:eastAsia="Cambria" w:hAnsi="Cambria" w:cstheme="minorHAnsi"/>
                  <w:spacing w:val="-2"/>
                  <w:lang w:val="hr-HR"/>
                </w:rPr>
                <w:t xml:space="preserve"> </w:t>
              </w:r>
              <w:r w:rsidRPr="009568E0">
                <w:rPr>
                  <w:rStyle w:val="Hiperveza"/>
                  <w:rFonts w:ascii="Cambria" w:eastAsia="Cambria" w:hAnsi="Cambria" w:cstheme="minorHAnsi"/>
                  <w:lang w:val="hr-HR"/>
                </w:rPr>
                <w:t>dr.</w:t>
              </w:r>
              <w:r w:rsidRPr="009568E0">
                <w:rPr>
                  <w:rStyle w:val="Hiperveza"/>
                  <w:rFonts w:ascii="Cambria" w:eastAsia="Cambria" w:hAnsi="Cambria" w:cstheme="minorHAnsi"/>
                  <w:spacing w:val="-1"/>
                  <w:lang w:val="hr-HR"/>
                </w:rPr>
                <w:t xml:space="preserve"> </w:t>
              </w:r>
              <w:r w:rsidRPr="009568E0">
                <w:rPr>
                  <w:rStyle w:val="Hiperveza"/>
                  <w:rFonts w:ascii="Cambria" w:eastAsia="Cambria" w:hAnsi="Cambria" w:cstheme="minorHAnsi"/>
                  <w:lang w:val="hr-HR"/>
                </w:rPr>
                <w:t>sc.</w:t>
              </w:r>
              <w:r w:rsidRPr="009568E0">
                <w:rPr>
                  <w:rStyle w:val="Hiperveza"/>
                  <w:rFonts w:ascii="Cambria" w:eastAsia="Cambria" w:hAnsi="Cambria" w:cstheme="minorHAnsi"/>
                  <w:spacing w:val="-2"/>
                  <w:lang w:val="hr-HR"/>
                </w:rPr>
                <w:t xml:space="preserve"> </w:t>
              </w:r>
              <w:r w:rsidRPr="009568E0">
                <w:rPr>
                  <w:rStyle w:val="Hiperveza"/>
                  <w:rFonts w:ascii="Cambria" w:eastAsia="Cambria" w:hAnsi="Cambria" w:cstheme="minorHAnsi"/>
                  <w:lang w:val="hr-HR"/>
                </w:rPr>
                <w:t>Irena</w:t>
              </w:r>
              <w:r w:rsidRPr="009568E0">
                <w:rPr>
                  <w:rStyle w:val="Hiperveza"/>
                  <w:rFonts w:ascii="Cambria" w:eastAsia="Cambria" w:hAnsi="Cambria" w:cstheme="minorHAnsi"/>
                  <w:spacing w:val="-1"/>
                  <w:lang w:val="hr-HR"/>
                </w:rPr>
                <w:t xml:space="preserve"> </w:t>
              </w:r>
              <w:r w:rsidRPr="009568E0">
                <w:rPr>
                  <w:rStyle w:val="Hiperveza"/>
                  <w:rFonts w:ascii="Cambria" w:eastAsia="Cambria" w:hAnsi="Cambria" w:cstheme="minorHAnsi"/>
                  <w:lang w:val="hr-HR"/>
                </w:rPr>
                <w:t>Kiss</w:t>
              </w:r>
            </w:hyperlink>
            <w:r w:rsidRPr="009568E0">
              <w:rPr>
                <w:rFonts w:ascii="Cambria" w:eastAsia="Cambria" w:hAnsi="Cambria" w:cstheme="minorHAnsi"/>
                <w:spacing w:val="-1"/>
                <w:lang w:val="hr-HR"/>
              </w:rPr>
              <w:t xml:space="preserve"> </w:t>
            </w:r>
            <w:r w:rsidRPr="00DF4CE5">
              <w:rPr>
                <w:rFonts w:ascii="Cambria" w:eastAsia="Cambria" w:hAnsi="Cambria" w:cstheme="minorHAnsi"/>
                <w:lang w:val="hr-HR"/>
              </w:rPr>
              <w:t>(nositeljica)</w:t>
            </w:r>
          </w:p>
        </w:tc>
      </w:tr>
      <w:tr w:rsidR="00E473D6" w:rsidRPr="00DF4CE5" w14:paraId="02FD596A" w14:textId="77777777" w:rsidTr="00DF4CE5">
        <w:trPr>
          <w:trHeight w:val="707"/>
        </w:trPr>
        <w:tc>
          <w:tcPr>
            <w:tcW w:w="2554" w:type="dxa"/>
            <w:shd w:val="clear" w:color="auto" w:fill="F3F3F3"/>
          </w:tcPr>
          <w:p w14:paraId="67058AFC" w14:textId="77777777" w:rsidR="00E473D6" w:rsidRPr="00DF4CE5" w:rsidRDefault="00E473D6" w:rsidP="00E473D6">
            <w:pPr>
              <w:widowControl w:val="0"/>
              <w:autoSpaceDE w:val="0"/>
              <w:autoSpaceDN w:val="0"/>
              <w:spacing w:after="0" w:line="240" w:lineRule="auto"/>
              <w:ind w:left="143"/>
              <w:rPr>
                <w:rFonts w:ascii="Cambria" w:eastAsia="Cambria" w:hAnsi="Cambria" w:cstheme="minorHAnsi"/>
                <w:lang w:val="hr-HR"/>
              </w:rPr>
            </w:pPr>
            <w:r w:rsidRPr="00DF4CE5">
              <w:rPr>
                <w:rFonts w:ascii="Cambria" w:eastAsia="Cambria" w:hAnsi="Cambria" w:cstheme="minorHAnsi"/>
                <w:lang w:val="hr-HR"/>
              </w:rPr>
              <w:t>Studijski</w:t>
            </w:r>
            <w:r w:rsidRPr="00DF4CE5">
              <w:rPr>
                <w:rFonts w:ascii="Cambria" w:eastAsia="Cambria" w:hAnsi="Cambria" w:cstheme="minorHAnsi"/>
                <w:spacing w:val="-4"/>
                <w:lang w:val="hr-HR"/>
              </w:rPr>
              <w:t xml:space="preserve"> </w:t>
            </w:r>
            <w:r w:rsidRPr="00DF4CE5">
              <w:rPr>
                <w:rFonts w:ascii="Cambria" w:eastAsia="Cambria" w:hAnsi="Cambria" w:cstheme="minorHAnsi"/>
                <w:lang w:val="hr-HR"/>
              </w:rPr>
              <w:t>program</w:t>
            </w:r>
          </w:p>
        </w:tc>
        <w:tc>
          <w:tcPr>
            <w:tcW w:w="7086" w:type="dxa"/>
            <w:gridSpan w:val="7"/>
          </w:tcPr>
          <w:p w14:paraId="5AB1D364" w14:textId="77777777" w:rsidR="00E473D6" w:rsidRPr="00DF4CE5" w:rsidRDefault="00E473D6" w:rsidP="00E473D6">
            <w:pPr>
              <w:widowControl w:val="0"/>
              <w:autoSpaceDE w:val="0"/>
              <w:autoSpaceDN w:val="0"/>
              <w:spacing w:after="0" w:line="240" w:lineRule="auto"/>
              <w:ind w:left="143"/>
              <w:rPr>
                <w:rFonts w:ascii="Cambria" w:eastAsia="Cambria" w:hAnsi="Cambria" w:cstheme="minorHAnsi"/>
                <w:lang w:val="hr-HR"/>
              </w:rPr>
            </w:pPr>
            <w:r w:rsidRPr="00DF4CE5">
              <w:rPr>
                <w:rFonts w:ascii="Cambria" w:eastAsia="Cambria" w:hAnsi="Cambria" w:cstheme="minorHAnsi"/>
                <w:lang w:val="hr-HR"/>
              </w:rPr>
              <w:t>Sveučilišni</w:t>
            </w:r>
            <w:r w:rsidRPr="00DF4CE5">
              <w:rPr>
                <w:rFonts w:ascii="Cambria" w:eastAsia="Cambria" w:hAnsi="Cambria" w:cstheme="minorHAnsi"/>
                <w:spacing w:val="-4"/>
                <w:lang w:val="hr-HR"/>
              </w:rPr>
              <w:t xml:space="preserve"> </w:t>
            </w:r>
            <w:r w:rsidRPr="00DF4CE5">
              <w:rPr>
                <w:rFonts w:ascii="Cambria" w:eastAsia="Cambria" w:hAnsi="Cambria" w:cstheme="minorHAnsi"/>
                <w:lang w:val="hr-HR"/>
              </w:rPr>
              <w:t>integrirani</w:t>
            </w:r>
            <w:r w:rsidRPr="00DF4CE5">
              <w:rPr>
                <w:rFonts w:ascii="Cambria" w:eastAsia="Cambria" w:hAnsi="Cambria" w:cstheme="minorHAnsi"/>
                <w:spacing w:val="-3"/>
                <w:lang w:val="hr-HR"/>
              </w:rPr>
              <w:t xml:space="preserve"> </w:t>
            </w:r>
            <w:r w:rsidRPr="00DF4CE5">
              <w:rPr>
                <w:rFonts w:ascii="Cambria" w:eastAsia="Cambria" w:hAnsi="Cambria" w:cstheme="minorHAnsi"/>
                <w:lang w:val="hr-HR"/>
              </w:rPr>
              <w:t>prijediplomski</w:t>
            </w:r>
            <w:r w:rsidRPr="00DF4CE5">
              <w:rPr>
                <w:rFonts w:ascii="Cambria" w:eastAsia="Cambria" w:hAnsi="Cambria" w:cstheme="minorHAnsi"/>
                <w:spacing w:val="-3"/>
                <w:lang w:val="hr-HR"/>
              </w:rPr>
              <w:t xml:space="preserve"> </w:t>
            </w:r>
            <w:r w:rsidRPr="00DF4CE5">
              <w:rPr>
                <w:rFonts w:ascii="Cambria" w:eastAsia="Cambria" w:hAnsi="Cambria" w:cstheme="minorHAnsi"/>
                <w:lang w:val="hr-HR"/>
              </w:rPr>
              <w:t>i</w:t>
            </w:r>
            <w:r w:rsidRPr="00DF4CE5">
              <w:rPr>
                <w:rFonts w:ascii="Cambria" w:eastAsia="Cambria" w:hAnsi="Cambria" w:cstheme="minorHAnsi"/>
                <w:spacing w:val="-3"/>
                <w:lang w:val="hr-HR"/>
              </w:rPr>
              <w:t xml:space="preserve"> </w:t>
            </w:r>
            <w:r w:rsidRPr="00DF4CE5">
              <w:rPr>
                <w:rFonts w:ascii="Cambria" w:eastAsia="Cambria" w:hAnsi="Cambria" w:cstheme="minorHAnsi"/>
                <w:lang w:val="hr-HR"/>
              </w:rPr>
              <w:t>diplomski</w:t>
            </w:r>
            <w:r w:rsidRPr="00DF4CE5">
              <w:rPr>
                <w:rFonts w:ascii="Cambria" w:eastAsia="Cambria" w:hAnsi="Cambria" w:cstheme="minorHAnsi"/>
                <w:spacing w:val="-1"/>
                <w:lang w:val="hr-HR"/>
              </w:rPr>
              <w:t xml:space="preserve"> </w:t>
            </w:r>
            <w:r w:rsidRPr="00DF4CE5">
              <w:rPr>
                <w:rFonts w:ascii="Cambria" w:eastAsia="Cambria" w:hAnsi="Cambria" w:cstheme="minorHAnsi"/>
                <w:lang w:val="hr-HR"/>
              </w:rPr>
              <w:t>Učiteljski</w:t>
            </w:r>
            <w:r w:rsidRPr="00DF4CE5">
              <w:rPr>
                <w:rFonts w:ascii="Cambria" w:eastAsia="Cambria" w:hAnsi="Cambria" w:cstheme="minorHAnsi"/>
                <w:spacing w:val="-3"/>
                <w:lang w:val="hr-HR"/>
              </w:rPr>
              <w:t xml:space="preserve"> </w:t>
            </w:r>
            <w:r w:rsidRPr="00DF4CE5">
              <w:rPr>
                <w:rFonts w:ascii="Cambria" w:eastAsia="Cambria" w:hAnsi="Cambria" w:cstheme="minorHAnsi"/>
                <w:lang w:val="hr-HR"/>
              </w:rPr>
              <w:t>studij</w:t>
            </w:r>
          </w:p>
          <w:p w14:paraId="7307881B" w14:textId="77777777" w:rsidR="00E473D6" w:rsidRPr="00DF4CE5" w:rsidRDefault="00E473D6" w:rsidP="00E473D6">
            <w:pPr>
              <w:widowControl w:val="0"/>
              <w:autoSpaceDE w:val="0"/>
              <w:autoSpaceDN w:val="0"/>
              <w:spacing w:after="0" w:line="240" w:lineRule="auto"/>
              <w:ind w:left="143"/>
              <w:rPr>
                <w:rFonts w:ascii="Cambria" w:eastAsia="Cambria" w:hAnsi="Cambria" w:cstheme="minorHAnsi"/>
                <w:lang w:val="hr-HR"/>
              </w:rPr>
            </w:pPr>
            <w:r w:rsidRPr="00DF4CE5">
              <w:rPr>
                <w:rFonts w:ascii="Cambria" w:eastAsia="Cambria" w:hAnsi="Cambria" w:cstheme="minorHAnsi"/>
                <w:lang w:val="hr-HR"/>
              </w:rPr>
              <w:t>na</w:t>
            </w:r>
            <w:r w:rsidRPr="00DF4CE5">
              <w:rPr>
                <w:rFonts w:ascii="Cambria" w:eastAsia="Cambria" w:hAnsi="Cambria" w:cstheme="minorHAnsi"/>
                <w:spacing w:val="-2"/>
                <w:lang w:val="hr-HR"/>
              </w:rPr>
              <w:t xml:space="preserve"> </w:t>
            </w:r>
            <w:r w:rsidRPr="00DF4CE5">
              <w:rPr>
                <w:rFonts w:ascii="Cambria" w:eastAsia="Cambria" w:hAnsi="Cambria" w:cstheme="minorHAnsi"/>
                <w:lang w:val="hr-HR"/>
              </w:rPr>
              <w:t>hrvatskom</w:t>
            </w:r>
            <w:r w:rsidRPr="00DF4CE5">
              <w:rPr>
                <w:rFonts w:ascii="Cambria" w:eastAsia="Cambria" w:hAnsi="Cambria" w:cstheme="minorHAnsi"/>
                <w:spacing w:val="-3"/>
                <w:lang w:val="hr-HR"/>
              </w:rPr>
              <w:t xml:space="preserve"> </w:t>
            </w:r>
            <w:r w:rsidRPr="00DF4CE5">
              <w:rPr>
                <w:rFonts w:ascii="Cambria" w:eastAsia="Cambria" w:hAnsi="Cambria" w:cstheme="minorHAnsi"/>
                <w:lang w:val="hr-HR"/>
              </w:rPr>
              <w:t>jeziku</w:t>
            </w:r>
          </w:p>
        </w:tc>
      </w:tr>
      <w:tr w:rsidR="00E473D6" w:rsidRPr="00DF4CE5" w14:paraId="552283F4" w14:textId="77777777" w:rsidTr="00DF4CE5">
        <w:trPr>
          <w:trHeight w:val="707"/>
        </w:trPr>
        <w:tc>
          <w:tcPr>
            <w:tcW w:w="2554" w:type="dxa"/>
            <w:shd w:val="clear" w:color="auto" w:fill="F3F3F3"/>
          </w:tcPr>
          <w:p w14:paraId="4C5BF6AC" w14:textId="77777777" w:rsidR="00E473D6" w:rsidRPr="00DF4CE5" w:rsidRDefault="00E473D6" w:rsidP="00E473D6">
            <w:pPr>
              <w:widowControl w:val="0"/>
              <w:autoSpaceDE w:val="0"/>
              <w:autoSpaceDN w:val="0"/>
              <w:spacing w:after="0" w:line="240" w:lineRule="auto"/>
              <w:ind w:left="143"/>
              <w:rPr>
                <w:rFonts w:ascii="Cambria" w:eastAsia="Cambria" w:hAnsi="Cambria" w:cstheme="minorHAnsi"/>
                <w:lang w:val="hr-HR"/>
              </w:rPr>
            </w:pPr>
            <w:r w:rsidRPr="00DF4CE5">
              <w:rPr>
                <w:rFonts w:ascii="Cambria" w:eastAsia="Cambria" w:hAnsi="Cambria" w:cstheme="minorHAnsi"/>
                <w:lang w:val="hr-HR"/>
              </w:rPr>
              <w:t>Vrsta</w:t>
            </w:r>
            <w:r w:rsidRPr="00DF4CE5">
              <w:rPr>
                <w:rFonts w:ascii="Cambria" w:eastAsia="Cambria" w:hAnsi="Cambria" w:cstheme="minorHAnsi"/>
                <w:spacing w:val="-2"/>
                <w:lang w:val="hr-HR"/>
              </w:rPr>
              <w:t xml:space="preserve"> </w:t>
            </w:r>
            <w:r w:rsidRPr="00DF4CE5">
              <w:rPr>
                <w:rFonts w:ascii="Cambria" w:eastAsia="Cambria" w:hAnsi="Cambria" w:cstheme="minorHAnsi"/>
                <w:lang w:val="hr-HR"/>
              </w:rPr>
              <w:t>kolegija</w:t>
            </w:r>
          </w:p>
        </w:tc>
        <w:tc>
          <w:tcPr>
            <w:tcW w:w="2549" w:type="dxa"/>
            <w:gridSpan w:val="2"/>
          </w:tcPr>
          <w:p w14:paraId="7F13030B" w14:textId="77777777" w:rsidR="00E473D6" w:rsidRPr="00DF4CE5" w:rsidRDefault="00E473D6" w:rsidP="00E473D6">
            <w:pPr>
              <w:widowControl w:val="0"/>
              <w:autoSpaceDE w:val="0"/>
              <w:autoSpaceDN w:val="0"/>
              <w:spacing w:after="0" w:line="240" w:lineRule="auto"/>
              <w:ind w:left="143"/>
              <w:rPr>
                <w:rFonts w:ascii="Cambria" w:eastAsia="Cambria" w:hAnsi="Cambria" w:cstheme="minorHAnsi"/>
                <w:lang w:val="hr-HR"/>
              </w:rPr>
            </w:pPr>
            <w:r w:rsidRPr="00DF4CE5">
              <w:rPr>
                <w:rFonts w:ascii="Cambria" w:eastAsia="Cambria" w:hAnsi="Cambria" w:cstheme="minorHAnsi"/>
                <w:lang w:val="hr-HR"/>
              </w:rPr>
              <w:t>obvezni</w:t>
            </w:r>
          </w:p>
        </w:tc>
        <w:tc>
          <w:tcPr>
            <w:tcW w:w="1680" w:type="dxa"/>
            <w:gridSpan w:val="3"/>
            <w:shd w:val="clear" w:color="auto" w:fill="E6E6E6"/>
          </w:tcPr>
          <w:p w14:paraId="1768B6AF" w14:textId="77777777" w:rsidR="00E473D6" w:rsidRPr="00DF4CE5" w:rsidRDefault="00E473D6" w:rsidP="00E473D6">
            <w:pPr>
              <w:widowControl w:val="0"/>
              <w:autoSpaceDE w:val="0"/>
              <w:autoSpaceDN w:val="0"/>
              <w:spacing w:after="0" w:line="240" w:lineRule="auto"/>
              <w:ind w:left="143" w:right="695"/>
              <w:rPr>
                <w:rFonts w:ascii="Cambria" w:eastAsia="Cambria" w:hAnsi="Cambria" w:cstheme="minorHAnsi"/>
                <w:lang w:val="hr-HR"/>
              </w:rPr>
            </w:pPr>
            <w:r w:rsidRPr="00DF4CE5">
              <w:rPr>
                <w:rFonts w:ascii="Cambria" w:eastAsia="Cambria" w:hAnsi="Cambria" w:cstheme="minorHAnsi"/>
                <w:lang w:val="hr-HR"/>
              </w:rPr>
              <w:t>Razina</w:t>
            </w:r>
            <w:r w:rsidRPr="00DF4CE5">
              <w:rPr>
                <w:rFonts w:ascii="Cambria" w:eastAsia="Cambria" w:hAnsi="Cambria" w:cstheme="minorHAnsi"/>
                <w:spacing w:val="1"/>
                <w:lang w:val="hr-HR"/>
              </w:rPr>
              <w:t xml:space="preserve"> </w:t>
            </w:r>
            <w:r w:rsidRPr="00DF4CE5">
              <w:rPr>
                <w:rFonts w:ascii="Cambria" w:eastAsia="Cambria" w:hAnsi="Cambria" w:cstheme="minorHAnsi"/>
                <w:lang w:val="hr-HR"/>
              </w:rPr>
              <w:t>kolegija</w:t>
            </w:r>
          </w:p>
        </w:tc>
        <w:tc>
          <w:tcPr>
            <w:tcW w:w="2857" w:type="dxa"/>
            <w:gridSpan w:val="2"/>
          </w:tcPr>
          <w:p w14:paraId="27350A74" w14:textId="77777777" w:rsidR="00E473D6" w:rsidRPr="00DF4CE5" w:rsidRDefault="00E473D6" w:rsidP="00E473D6">
            <w:pPr>
              <w:widowControl w:val="0"/>
              <w:autoSpaceDE w:val="0"/>
              <w:autoSpaceDN w:val="0"/>
              <w:spacing w:after="0" w:line="240" w:lineRule="auto"/>
              <w:ind w:left="143"/>
              <w:rPr>
                <w:rFonts w:ascii="Cambria" w:eastAsia="Cambria" w:hAnsi="Cambria" w:cstheme="minorHAnsi"/>
                <w:lang w:val="hr-HR"/>
              </w:rPr>
            </w:pPr>
            <w:r w:rsidRPr="00DF4CE5">
              <w:rPr>
                <w:rFonts w:ascii="Cambria" w:eastAsia="Cambria" w:hAnsi="Cambria" w:cstheme="minorHAnsi"/>
                <w:lang w:val="hr-HR"/>
              </w:rPr>
              <w:t>sveučilišni</w:t>
            </w:r>
          </w:p>
          <w:p w14:paraId="38DEC46E" w14:textId="77777777" w:rsidR="00E473D6" w:rsidRPr="00DF4CE5" w:rsidRDefault="00E473D6" w:rsidP="00E473D6">
            <w:pPr>
              <w:widowControl w:val="0"/>
              <w:autoSpaceDE w:val="0"/>
              <w:autoSpaceDN w:val="0"/>
              <w:spacing w:after="0" w:line="240" w:lineRule="auto"/>
              <w:ind w:left="143"/>
              <w:rPr>
                <w:rFonts w:ascii="Cambria" w:eastAsia="Cambria" w:hAnsi="Cambria" w:cstheme="minorHAnsi"/>
                <w:lang w:val="hr-HR"/>
              </w:rPr>
            </w:pPr>
            <w:r w:rsidRPr="00DF4CE5">
              <w:rPr>
                <w:rFonts w:ascii="Cambria" w:eastAsia="Cambria" w:hAnsi="Cambria" w:cstheme="minorHAnsi"/>
                <w:lang w:val="hr-HR"/>
              </w:rPr>
              <w:t>integrirani</w:t>
            </w:r>
          </w:p>
        </w:tc>
      </w:tr>
      <w:tr w:rsidR="00E473D6" w:rsidRPr="00DF4CE5" w14:paraId="32B5B117" w14:textId="77777777" w:rsidTr="00DF4CE5">
        <w:trPr>
          <w:trHeight w:val="705"/>
        </w:trPr>
        <w:tc>
          <w:tcPr>
            <w:tcW w:w="2554" w:type="dxa"/>
            <w:shd w:val="clear" w:color="auto" w:fill="F3F3F3"/>
          </w:tcPr>
          <w:p w14:paraId="282D193C" w14:textId="77777777" w:rsidR="00E473D6" w:rsidRPr="00DF4CE5" w:rsidRDefault="00E473D6" w:rsidP="00E473D6">
            <w:pPr>
              <w:widowControl w:val="0"/>
              <w:autoSpaceDE w:val="0"/>
              <w:autoSpaceDN w:val="0"/>
              <w:spacing w:after="0" w:line="240" w:lineRule="auto"/>
              <w:ind w:left="143"/>
              <w:rPr>
                <w:rFonts w:ascii="Cambria" w:eastAsia="Cambria" w:hAnsi="Cambria" w:cstheme="minorHAnsi"/>
                <w:lang w:val="hr-HR"/>
              </w:rPr>
            </w:pPr>
            <w:r w:rsidRPr="00DF4CE5">
              <w:rPr>
                <w:rFonts w:ascii="Cambria" w:eastAsia="Cambria" w:hAnsi="Cambria" w:cstheme="minorHAnsi"/>
                <w:lang w:val="hr-HR"/>
              </w:rPr>
              <w:t>Semestar</w:t>
            </w:r>
          </w:p>
        </w:tc>
        <w:tc>
          <w:tcPr>
            <w:tcW w:w="2549" w:type="dxa"/>
            <w:gridSpan w:val="2"/>
          </w:tcPr>
          <w:p w14:paraId="652DD45B" w14:textId="77777777" w:rsidR="00E473D6" w:rsidRPr="00DF4CE5" w:rsidRDefault="00E473D6" w:rsidP="00E473D6">
            <w:pPr>
              <w:widowControl w:val="0"/>
              <w:autoSpaceDE w:val="0"/>
              <w:autoSpaceDN w:val="0"/>
              <w:spacing w:after="0" w:line="240" w:lineRule="auto"/>
              <w:ind w:left="143"/>
              <w:rPr>
                <w:rFonts w:ascii="Cambria" w:eastAsia="Cambria" w:hAnsi="Cambria" w:cstheme="minorHAnsi"/>
                <w:lang w:val="hr-HR"/>
              </w:rPr>
            </w:pPr>
            <w:r w:rsidRPr="00DF4CE5">
              <w:rPr>
                <w:rFonts w:ascii="Cambria" w:eastAsia="Cambria" w:hAnsi="Cambria" w:cstheme="minorHAnsi"/>
                <w:lang w:val="hr-HR"/>
              </w:rPr>
              <w:t>zimski</w:t>
            </w:r>
          </w:p>
        </w:tc>
        <w:tc>
          <w:tcPr>
            <w:tcW w:w="1680" w:type="dxa"/>
            <w:gridSpan w:val="3"/>
            <w:shd w:val="clear" w:color="auto" w:fill="E6E6E6"/>
          </w:tcPr>
          <w:p w14:paraId="2A38A4CA" w14:textId="77777777" w:rsidR="00E473D6" w:rsidRPr="00DF4CE5" w:rsidRDefault="00E473D6" w:rsidP="00E473D6">
            <w:pPr>
              <w:widowControl w:val="0"/>
              <w:autoSpaceDE w:val="0"/>
              <w:autoSpaceDN w:val="0"/>
              <w:spacing w:after="0" w:line="240" w:lineRule="auto"/>
              <w:ind w:left="143" w:right="772"/>
              <w:rPr>
                <w:rFonts w:ascii="Cambria" w:eastAsia="Cambria" w:hAnsi="Cambria" w:cstheme="minorHAnsi"/>
                <w:lang w:val="hr-HR"/>
              </w:rPr>
            </w:pPr>
            <w:r w:rsidRPr="00DF4CE5">
              <w:rPr>
                <w:rFonts w:ascii="Cambria" w:eastAsia="Cambria" w:hAnsi="Cambria" w:cstheme="minorHAnsi"/>
                <w:lang w:val="hr-HR"/>
              </w:rPr>
              <w:t>Godina</w:t>
            </w:r>
            <w:r w:rsidRPr="00DF4CE5">
              <w:rPr>
                <w:rFonts w:ascii="Cambria" w:eastAsia="Cambria" w:hAnsi="Cambria" w:cstheme="minorHAnsi"/>
                <w:spacing w:val="-50"/>
                <w:lang w:val="hr-HR"/>
              </w:rPr>
              <w:t xml:space="preserve"> </w:t>
            </w:r>
            <w:r w:rsidRPr="00DF4CE5">
              <w:rPr>
                <w:rFonts w:ascii="Cambria" w:eastAsia="Cambria" w:hAnsi="Cambria" w:cstheme="minorHAnsi"/>
                <w:lang w:val="hr-HR"/>
              </w:rPr>
              <w:t>studija</w:t>
            </w:r>
          </w:p>
        </w:tc>
        <w:tc>
          <w:tcPr>
            <w:tcW w:w="2857" w:type="dxa"/>
            <w:gridSpan w:val="2"/>
          </w:tcPr>
          <w:p w14:paraId="5A16AB47" w14:textId="77777777" w:rsidR="00E473D6" w:rsidRPr="00DF4CE5" w:rsidRDefault="00E473D6" w:rsidP="00E473D6">
            <w:pPr>
              <w:widowControl w:val="0"/>
              <w:autoSpaceDE w:val="0"/>
              <w:autoSpaceDN w:val="0"/>
              <w:spacing w:after="0" w:line="240" w:lineRule="auto"/>
              <w:ind w:left="143"/>
              <w:rPr>
                <w:rFonts w:ascii="Cambria" w:eastAsia="Cambria" w:hAnsi="Cambria" w:cstheme="minorHAnsi"/>
                <w:lang w:val="hr-HR"/>
              </w:rPr>
            </w:pPr>
            <w:r w:rsidRPr="00DF4CE5">
              <w:rPr>
                <w:rFonts w:ascii="Cambria" w:eastAsia="Cambria" w:hAnsi="Cambria" w:cstheme="minorHAnsi"/>
                <w:lang w:val="hr-HR"/>
              </w:rPr>
              <w:t>IV.</w:t>
            </w:r>
          </w:p>
        </w:tc>
      </w:tr>
      <w:tr w:rsidR="00E473D6" w:rsidRPr="00DF4CE5" w14:paraId="4D151C7B" w14:textId="77777777" w:rsidTr="00DF4CE5">
        <w:trPr>
          <w:trHeight w:val="1271"/>
        </w:trPr>
        <w:tc>
          <w:tcPr>
            <w:tcW w:w="2554" w:type="dxa"/>
            <w:shd w:val="clear" w:color="auto" w:fill="F3F3F3"/>
          </w:tcPr>
          <w:p w14:paraId="7F578137" w14:textId="77777777" w:rsidR="00E473D6" w:rsidRPr="00DF4CE5" w:rsidRDefault="00E473D6" w:rsidP="00E473D6">
            <w:pPr>
              <w:widowControl w:val="0"/>
              <w:autoSpaceDE w:val="0"/>
              <w:autoSpaceDN w:val="0"/>
              <w:spacing w:after="0" w:line="240" w:lineRule="auto"/>
              <w:rPr>
                <w:rFonts w:ascii="Cambria" w:eastAsia="Cambria" w:hAnsi="Cambria" w:cstheme="minorHAnsi"/>
                <w:lang w:val="hr-HR"/>
              </w:rPr>
            </w:pPr>
          </w:p>
          <w:p w14:paraId="5B050E38" w14:textId="77777777" w:rsidR="00E473D6" w:rsidRPr="00DF4CE5" w:rsidRDefault="00E473D6" w:rsidP="00E473D6">
            <w:pPr>
              <w:widowControl w:val="0"/>
              <w:autoSpaceDE w:val="0"/>
              <w:autoSpaceDN w:val="0"/>
              <w:spacing w:after="0" w:line="240" w:lineRule="auto"/>
              <w:ind w:left="143"/>
              <w:rPr>
                <w:rFonts w:ascii="Cambria" w:eastAsia="Cambria" w:hAnsi="Cambria" w:cstheme="minorHAnsi"/>
                <w:lang w:val="hr-HR"/>
              </w:rPr>
            </w:pPr>
            <w:r w:rsidRPr="00DF4CE5">
              <w:rPr>
                <w:rFonts w:ascii="Cambria" w:eastAsia="Cambria" w:hAnsi="Cambria" w:cstheme="minorHAnsi"/>
                <w:lang w:val="hr-HR"/>
              </w:rPr>
              <w:t>Mjesto</w:t>
            </w:r>
            <w:r w:rsidRPr="00DF4CE5">
              <w:rPr>
                <w:rFonts w:ascii="Cambria" w:eastAsia="Cambria" w:hAnsi="Cambria" w:cstheme="minorHAnsi"/>
                <w:spacing w:val="-2"/>
                <w:lang w:val="hr-HR"/>
              </w:rPr>
              <w:t xml:space="preserve"> </w:t>
            </w:r>
            <w:r w:rsidRPr="00DF4CE5">
              <w:rPr>
                <w:rFonts w:ascii="Cambria" w:eastAsia="Cambria" w:hAnsi="Cambria" w:cstheme="minorHAnsi"/>
                <w:lang w:val="hr-HR"/>
              </w:rPr>
              <w:t>izvođenja</w:t>
            </w:r>
          </w:p>
        </w:tc>
        <w:tc>
          <w:tcPr>
            <w:tcW w:w="2549" w:type="dxa"/>
            <w:gridSpan w:val="2"/>
          </w:tcPr>
          <w:p w14:paraId="6BFF6244" w14:textId="3207AB46" w:rsidR="00E473D6" w:rsidRPr="00DF4CE5" w:rsidRDefault="009568E0" w:rsidP="00E473D6">
            <w:pPr>
              <w:widowControl w:val="0"/>
              <w:autoSpaceDE w:val="0"/>
              <w:autoSpaceDN w:val="0"/>
              <w:spacing w:after="0" w:line="240" w:lineRule="auto"/>
              <w:ind w:left="143" w:right="274"/>
              <w:rPr>
                <w:rFonts w:ascii="Cambria" w:eastAsia="Cambria" w:hAnsi="Cambria" w:cstheme="minorHAnsi"/>
                <w:lang w:val="hr-HR"/>
              </w:rPr>
            </w:pPr>
            <w:r>
              <w:rPr>
                <w:rFonts w:ascii="Cambria" w:eastAsia="Cambria" w:hAnsi="Cambria" w:cstheme="minorHAnsi"/>
                <w:lang w:val="hr-HR"/>
              </w:rPr>
              <w:t>o</w:t>
            </w:r>
            <w:r w:rsidR="00E473D6" w:rsidRPr="00DF4CE5">
              <w:rPr>
                <w:rFonts w:ascii="Cambria" w:eastAsia="Cambria" w:hAnsi="Cambria" w:cstheme="minorHAnsi"/>
                <w:lang w:val="hr-HR"/>
              </w:rPr>
              <w:t>dgojno-obrazovna</w:t>
            </w:r>
            <w:r w:rsidR="00E473D6" w:rsidRPr="00DF4CE5">
              <w:rPr>
                <w:rFonts w:ascii="Cambria" w:eastAsia="Cambria" w:hAnsi="Cambria" w:cstheme="minorHAnsi"/>
                <w:spacing w:val="-50"/>
                <w:lang w:val="hr-HR"/>
              </w:rPr>
              <w:t xml:space="preserve"> </w:t>
            </w:r>
            <w:r w:rsidR="00E473D6" w:rsidRPr="00DF4CE5">
              <w:rPr>
                <w:rFonts w:ascii="Cambria" w:eastAsia="Cambria" w:hAnsi="Cambria" w:cstheme="minorHAnsi"/>
                <w:lang w:val="hr-HR"/>
              </w:rPr>
              <w:t>ustanova (osnovna</w:t>
            </w:r>
            <w:r w:rsidR="00E473D6" w:rsidRPr="00DF4CE5">
              <w:rPr>
                <w:rFonts w:ascii="Cambria" w:eastAsia="Cambria" w:hAnsi="Cambria" w:cstheme="minorHAnsi"/>
                <w:spacing w:val="-51"/>
                <w:lang w:val="hr-HR"/>
              </w:rPr>
              <w:t xml:space="preserve"> </w:t>
            </w:r>
            <w:r w:rsidR="00E473D6" w:rsidRPr="00DF4CE5">
              <w:rPr>
                <w:rFonts w:ascii="Cambria" w:eastAsia="Cambria" w:hAnsi="Cambria" w:cstheme="minorHAnsi"/>
                <w:lang w:val="hr-HR"/>
              </w:rPr>
              <w:t>škola ili srodna</w:t>
            </w:r>
            <w:r w:rsidR="00E473D6" w:rsidRPr="00DF4CE5">
              <w:rPr>
                <w:rFonts w:ascii="Cambria" w:eastAsia="Cambria" w:hAnsi="Cambria" w:cstheme="minorHAnsi"/>
                <w:spacing w:val="1"/>
                <w:lang w:val="hr-HR"/>
              </w:rPr>
              <w:t xml:space="preserve"> </w:t>
            </w:r>
            <w:r w:rsidR="00E473D6" w:rsidRPr="00DF4CE5">
              <w:rPr>
                <w:rFonts w:ascii="Cambria" w:eastAsia="Cambria" w:hAnsi="Cambria" w:cstheme="minorHAnsi"/>
                <w:lang w:val="hr-HR"/>
              </w:rPr>
              <w:t>institucija)</w:t>
            </w:r>
          </w:p>
        </w:tc>
        <w:tc>
          <w:tcPr>
            <w:tcW w:w="1680" w:type="dxa"/>
            <w:gridSpan w:val="3"/>
            <w:shd w:val="clear" w:color="auto" w:fill="E6E6E6"/>
          </w:tcPr>
          <w:p w14:paraId="3F69C86F" w14:textId="77777777" w:rsidR="00E473D6" w:rsidRPr="00DF4CE5" w:rsidRDefault="00E473D6" w:rsidP="00E473D6">
            <w:pPr>
              <w:widowControl w:val="0"/>
              <w:autoSpaceDE w:val="0"/>
              <w:autoSpaceDN w:val="0"/>
              <w:spacing w:after="0" w:line="240" w:lineRule="auto"/>
              <w:rPr>
                <w:rFonts w:ascii="Cambria" w:eastAsia="Cambria" w:hAnsi="Cambria" w:cstheme="minorHAnsi"/>
                <w:lang w:val="hr-HR"/>
              </w:rPr>
            </w:pPr>
          </w:p>
          <w:p w14:paraId="583B1C5F" w14:textId="77777777" w:rsidR="00E473D6" w:rsidRPr="00DF4CE5" w:rsidRDefault="00E473D6" w:rsidP="00E473D6">
            <w:pPr>
              <w:widowControl w:val="0"/>
              <w:autoSpaceDE w:val="0"/>
              <w:autoSpaceDN w:val="0"/>
              <w:spacing w:after="0" w:line="240" w:lineRule="auto"/>
              <w:ind w:left="143"/>
              <w:rPr>
                <w:rFonts w:ascii="Cambria" w:eastAsia="Cambria" w:hAnsi="Cambria" w:cstheme="minorHAnsi"/>
                <w:lang w:val="hr-HR"/>
              </w:rPr>
            </w:pPr>
            <w:r w:rsidRPr="00DF4CE5">
              <w:rPr>
                <w:rFonts w:ascii="Cambria" w:eastAsia="Cambria" w:hAnsi="Cambria" w:cstheme="minorHAnsi"/>
                <w:lang w:val="hr-HR"/>
              </w:rPr>
              <w:t>Jezik</w:t>
            </w:r>
          </w:p>
          <w:p w14:paraId="6EBC3E61" w14:textId="77777777" w:rsidR="00E473D6" w:rsidRPr="00DF4CE5" w:rsidRDefault="00E473D6" w:rsidP="00E473D6">
            <w:pPr>
              <w:widowControl w:val="0"/>
              <w:autoSpaceDE w:val="0"/>
              <w:autoSpaceDN w:val="0"/>
              <w:spacing w:after="0" w:line="240" w:lineRule="auto"/>
              <w:ind w:left="143"/>
              <w:rPr>
                <w:rFonts w:ascii="Cambria" w:eastAsia="Cambria" w:hAnsi="Cambria" w:cstheme="minorHAnsi"/>
                <w:lang w:val="hr-HR"/>
              </w:rPr>
            </w:pPr>
            <w:r w:rsidRPr="00DF4CE5">
              <w:rPr>
                <w:rFonts w:ascii="Cambria" w:eastAsia="Cambria" w:hAnsi="Cambria" w:cstheme="minorHAnsi"/>
                <w:lang w:val="hr-HR"/>
              </w:rPr>
              <w:t>izvođenja</w:t>
            </w:r>
          </w:p>
        </w:tc>
        <w:tc>
          <w:tcPr>
            <w:tcW w:w="2857" w:type="dxa"/>
            <w:gridSpan w:val="2"/>
          </w:tcPr>
          <w:p w14:paraId="46B1EF39" w14:textId="77777777" w:rsidR="00E473D6" w:rsidRPr="00DF4CE5" w:rsidRDefault="00E473D6" w:rsidP="00E473D6">
            <w:pPr>
              <w:widowControl w:val="0"/>
              <w:autoSpaceDE w:val="0"/>
              <w:autoSpaceDN w:val="0"/>
              <w:spacing w:after="0" w:line="240" w:lineRule="auto"/>
              <w:rPr>
                <w:rFonts w:ascii="Cambria" w:eastAsia="Cambria" w:hAnsi="Cambria" w:cstheme="minorHAnsi"/>
                <w:lang w:val="hr-HR"/>
              </w:rPr>
            </w:pPr>
          </w:p>
          <w:p w14:paraId="33332B69" w14:textId="77777777" w:rsidR="00E473D6" w:rsidRPr="00DF4CE5" w:rsidRDefault="00E473D6" w:rsidP="00E473D6">
            <w:pPr>
              <w:widowControl w:val="0"/>
              <w:autoSpaceDE w:val="0"/>
              <w:autoSpaceDN w:val="0"/>
              <w:spacing w:after="0" w:line="240" w:lineRule="auto"/>
              <w:ind w:left="143"/>
              <w:rPr>
                <w:rFonts w:ascii="Cambria" w:eastAsia="Cambria" w:hAnsi="Cambria" w:cstheme="minorHAnsi"/>
                <w:lang w:val="hr-HR"/>
              </w:rPr>
            </w:pPr>
            <w:r w:rsidRPr="00DF4CE5">
              <w:rPr>
                <w:rFonts w:ascii="Cambria" w:eastAsia="Cambria" w:hAnsi="Cambria" w:cstheme="minorHAnsi"/>
                <w:lang w:val="hr-HR"/>
              </w:rPr>
              <w:t>hrvatski</w:t>
            </w:r>
          </w:p>
        </w:tc>
      </w:tr>
      <w:tr w:rsidR="00E473D6" w:rsidRPr="00DF4CE5" w14:paraId="518F9BE5" w14:textId="77777777" w:rsidTr="00DF4CE5">
        <w:trPr>
          <w:trHeight w:val="704"/>
        </w:trPr>
        <w:tc>
          <w:tcPr>
            <w:tcW w:w="2554" w:type="dxa"/>
            <w:shd w:val="clear" w:color="auto" w:fill="F3F3F3"/>
          </w:tcPr>
          <w:p w14:paraId="3DF28382" w14:textId="77777777" w:rsidR="00E473D6" w:rsidRPr="00DF4CE5" w:rsidRDefault="00E473D6" w:rsidP="00E473D6">
            <w:pPr>
              <w:widowControl w:val="0"/>
              <w:autoSpaceDE w:val="0"/>
              <w:autoSpaceDN w:val="0"/>
              <w:spacing w:after="0" w:line="240" w:lineRule="auto"/>
              <w:ind w:left="143"/>
              <w:rPr>
                <w:rFonts w:ascii="Cambria" w:eastAsia="Cambria" w:hAnsi="Cambria" w:cstheme="minorHAnsi"/>
                <w:lang w:val="hr-HR"/>
              </w:rPr>
            </w:pPr>
            <w:r w:rsidRPr="00DF4CE5">
              <w:rPr>
                <w:rFonts w:ascii="Cambria" w:eastAsia="Cambria" w:hAnsi="Cambria" w:cstheme="minorHAnsi"/>
                <w:lang w:val="hr-HR"/>
              </w:rPr>
              <w:t>Broj</w:t>
            </w:r>
            <w:r w:rsidRPr="00DF4CE5">
              <w:rPr>
                <w:rFonts w:ascii="Cambria" w:eastAsia="Cambria" w:hAnsi="Cambria" w:cstheme="minorHAnsi"/>
                <w:spacing w:val="-3"/>
                <w:lang w:val="hr-HR"/>
              </w:rPr>
              <w:t xml:space="preserve"> </w:t>
            </w:r>
            <w:r w:rsidRPr="00DF4CE5">
              <w:rPr>
                <w:rFonts w:ascii="Cambria" w:eastAsia="Cambria" w:hAnsi="Cambria" w:cstheme="minorHAnsi"/>
                <w:lang w:val="hr-HR"/>
              </w:rPr>
              <w:t>ECTS</w:t>
            </w:r>
            <w:r w:rsidRPr="00DF4CE5">
              <w:rPr>
                <w:rFonts w:ascii="Cambria" w:eastAsia="Cambria" w:hAnsi="Cambria" w:cstheme="minorHAnsi"/>
                <w:spacing w:val="-2"/>
                <w:lang w:val="hr-HR"/>
              </w:rPr>
              <w:t xml:space="preserve"> </w:t>
            </w:r>
            <w:r w:rsidRPr="00DF4CE5">
              <w:rPr>
                <w:rFonts w:ascii="Cambria" w:eastAsia="Cambria" w:hAnsi="Cambria" w:cstheme="minorHAnsi"/>
                <w:lang w:val="hr-HR"/>
              </w:rPr>
              <w:t>bodova</w:t>
            </w:r>
          </w:p>
        </w:tc>
        <w:tc>
          <w:tcPr>
            <w:tcW w:w="2549" w:type="dxa"/>
            <w:gridSpan w:val="2"/>
          </w:tcPr>
          <w:p w14:paraId="1BABF07D" w14:textId="77777777" w:rsidR="00E473D6" w:rsidRPr="00DF4CE5" w:rsidRDefault="00E473D6" w:rsidP="00E473D6">
            <w:pPr>
              <w:widowControl w:val="0"/>
              <w:autoSpaceDE w:val="0"/>
              <w:autoSpaceDN w:val="0"/>
              <w:spacing w:after="0" w:line="240" w:lineRule="auto"/>
              <w:ind w:left="143"/>
              <w:rPr>
                <w:rFonts w:ascii="Cambria" w:eastAsia="Cambria" w:hAnsi="Cambria" w:cstheme="minorHAnsi"/>
                <w:lang w:val="hr-HR"/>
              </w:rPr>
            </w:pPr>
            <w:r w:rsidRPr="00DF4CE5">
              <w:rPr>
                <w:rFonts w:ascii="Cambria" w:eastAsia="Cambria" w:hAnsi="Cambria" w:cstheme="minorHAnsi"/>
                <w:lang w:val="hr-HR"/>
              </w:rPr>
              <w:t>3</w:t>
            </w:r>
          </w:p>
        </w:tc>
        <w:tc>
          <w:tcPr>
            <w:tcW w:w="1680" w:type="dxa"/>
            <w:gridSpan w:val="3"/>
            <w:shd w:val="clear" w:color="auto" w:fill="E6E6E6"/>
          </w:tcPr>
          <w:p w14:paraId="2E35B238" w14:textId="77777777" w:rsidR="00E473D6" w:rsidRPr="00DF4CE5" w:rsidRDefault="00E473D6" w:rsidP="00E473D6">
            <w:pPr>
              <w:widowControl w:val="0"/>
              <w:autoSpaceDE w:val="0"/>
              <w:autoSpaceDN w:val="0"/>
              <w:spacing w:after="0" w:line="240" w:lineRule="auto"/>
              <w:ind w:left="143" w:right="453"/>
              <w:rPr>
                <w:rFonts w:ascii="Cambria" w:eastAsia="Cambria" w:hAnsi="Cambria" w:cstheme="minorHAnsi"/>
                <w:lang w:val="hr-HR"/>
              </w:rPr>
            </w:pPr>
            <w:r w:rsidRPr="00DF4CE5">
              <w:rPr>
                <w:rFonts w:ascii="Cambria" w:eastAsia="Cambria" w:hAnsi="Cambria" w:cstheme="minorHAnsi"/>
                <w:lang w:val="hr-HR"/>
              </w:rPr>
              <w:t>Broj sati u</w:t>
            </w:r>
            <w:r w:rsidRPr="00DF4CE5">
              <w:rPr>
                <w:rFonts w:ascii="Cambria" w:eastAsia="Cambria" w:hAnsi="Cambria" w:cstheme="minorHAnsi"/>
                <w:spacing w:val="-51"/>
                <w:lang w:val="hr-HR"/>
              </w:rPr>
              <w:t xml:space="preserve"> </w:t>
            </w:r>
            <w:r w:rsidRPr="00DF4CE5">
              <w:rPr>
                <w:rFonts w:ascii="Cambria" w:eastAsia="Cambria" w:hAnsi="Cambria" w:cstheme="minorHAnsi"/>
                <w:lang w:val="hr-HR"/>
              </w:rPr>
              <w:t>semestru</w:t>
            </w:r>
          </w:p>
        </w:tc>
        <w:tc>
          <w:tcPr>
            <w:tcW w:w="2857" w:type="dxa"/>
            <w:gridSpan w:val="2"/>
          </w:tcPr>
          <w:p w14:paraId="5D02DAC5" w14:textId="148AE6BA" w:rsidR="00E473D6" w:rsidRPr="00DF4CE5" w:rsidRDefault="00E473D6" w:rsidP="00E473D6">
            <w:pPr>
              <w:widowControl w:val="0"/>
              <w:autoSpaceDE w:val="0"/>
              <w:autoSpaceDN w:val="0"/>
              <w:spacing w:after="0" w:line="240" w:lineRule="auto"/>
              <w:ind w:left="143"/>
              <w:rPr>
                <w:rFonts w:ascii="Cambria" w:eastAsia="Cambria" w:hAnsi="Cambria" w:cstheme="minorHAnsi"/>
                <w:lang w:val="hr-HR"/>
              </w:rPr>
            </w:pPr>
            <w:r w:rsidRPr="00DF4CE5">
              <w:rPr>
                <w:rFonts w:ascii="Cambria" w:eastAsia="Cambria" w:hAnsi="Cambria" w:cstheme="minorHAnsi"/>
                <w:lang w:val="hr-HR"/>
              </w:rPr>
              <w:t>0P</w:t>
            </w:r>
            <w:r w:rsidRPr="00DF4CE5">
              <w:rPr>
                <w:rFonts w:ascii="Cambria" w:eastAsia="Cambria" w:hAnsi="Cambria" w:cstheme="minorHAnsi"/>
                <w:spacing w:val="-1"/>
                <w:lang w:val="hr-HR"/>
              </w:rPr>
              <w:t xml:space="preserve"> </w:t>
            </w:r>
            <w:r w:rsidR="0036703C">
              <w:rPr>
                <w:rFonts w:ascii="Cambria" w:eastAsia="Cambria" w:hAnsi="Cambria" w:cstheme="minorHAnsi"/>
                <w:lang w:val="hr-HR"/>
              </w:rPr>
              <w:t>–</w:t>
            </w:r>
            <w:r w:rsidRPr="00DF4CE5">
              <w:rPr>
                <w:rFonts w:ascii="Cambria" w:eastAsia="Cambria" w:hAnsi="Cambria" w:cstheme="minorHAnsi"/>
                <w:lang w:val="hr-HR"/>
              </w:rPr>
              <w:t xml:space="preserve"> 0S </w:t>
            </w:r>
            <w:r w:rsidR="0036703C">
              <w:rPr>
                <w:rFonts w:ascii="Cambria" w:eastAsia="Cambria" w:hAnsi="Cambria" w:cstheme="minorHAnsi"/>
                <w:lang w:val="hr-HR"/>
              </w:rPr>
              <w:t>–</w:t>
            </w:r>
            <w:r w:rsidRPr="00DF4CE5">
              <w:rPr>
                <w:rFonts w:ascii="Cambria" w:eastAsia="Cambria" w:hAnsi="Cambria" w:cstheme="minorHAnsi"/>
                <w:lang w:val="hr-HR"/>
              </w:rPr>
              <w:t xml:space="preserve"> 100V</w:t>
            </w:r>
          </w:p>
        </w:tc>
      </w:tr>
      <w:tr w:rsidR="00E473D6" w:rsidRPr="00DF4CE5" w14:paraId="1E082F05" w14:textId="77777777" w:rsidTr="00DF4CE5">
        <w:trPr>
          <w:trHeight w:val="707"/>
        </w:trPr>
        <w:tc>
          <w:tcPr>
            <w:tcW w:w="2554" w:type="dxa"/>
            <w:shd w:val="clear" w:color="auto" w:fill="F3F3F3"/>
          </w:tcPr>
          <w:p w14:paraId="0D5C825A" w14:textId="77777777" w:rsidR="00E473D6" w:rsidRPr="00DF4CE5" w:rsidRDefault="00E473D6" w:rsidP="00E473D6">
            <w:pPr>
              <w:widowControl w:val="0"/>
              <w:autoSpaceDE w:val="0"/>
              <w:autoSpaceDN w:val="0"/>
              <w:spacing w:after="0" w:line="240" w:lineRule="auto"/>
              <w:ind w:left="143" w:right="154"/>
              <w:rPr>
                <w:rFonts w:ascii="Cambria" w:eastAsia="Cambria" w:hAnsi="Cambria" w:cstheme="minorHAnsi"/>
                <w:lang w:val="hr-HR"/>
              </w:rPr>
            </w:pPr>
            <w:r w:rsidRPr="00DF4CE5">
              <w:rPr>
                <w:rFonts w:ascii="Cambria" w:eastAsia="Cambria" w:hAnsi="Cambria" w:cstheme="minorHAnsi"/>
                <w:lang w:val="hr-HR"/>
              </w:rPr>
              <w:t>Preduvjeti</w:t>
            </w:r>
            <w:r w:rsidRPr="00DF4CE5">
              <w:rPr>
                <w:rFonts w:ascii="Cambria" w:eastAsia="Cambria" w:hAnsi="Cambria" w:cstheme="minorHAnsi"/>
                <w:spacing w:val="-5"/>
                <w:lang w:val="hr-HR"/>
              </w:rPr>
              <w:t xml:space="preserve"> </w:t>
            </w:r>
            <w:r w:rsidRPr="00DF4CE5">
              <w:rPr>
                <w:rFonts w:ascii="Cambria" w:eastAsia="Cambria" w:hAnsi="Cambria" w:cstheme="minorHAnsi"/>
                <w:lang w:val="hr-HR"/>
              </w:rPr>
              <w:t>za</w:t>
            </w:r>
            <w:r w:rsidRPr="00DF4CE5">
              <w:rPr>
                <w:rFonts w:ascii="Cambria" w:eastAsia="Cambria" w:hAnsi="Cambria" w:cstheme="minorHAnsi"/>
                <w:spacing w:val="-4"/>
                <w:lang w:val="hr-HR"/>
              </w:rPr>
              <w:t xml:space="preserve"> </w:t>
            </w:r>
            <w:r w:rsidRPr="00DF4CE5">
              <w:rPr>
                <w:rFonts w:ascii="Cambria" w:eastAsia="Cambria" w:hAnsi="Cambria" w:cstheme="minorHAnsi"/>
                <w:lang w:val="hr-HR"/>
              </w:rPr>
              <w:t>upis</w:t>
            </w:r>
            <w:r w:rsidRPr="00DF4CE5">
              <w:rPr>
                <w:rFonts w:ascii="Cambria" w:eastAsia="Cambria" w:hAnsi="Cambria" w:cstheme="minorHAnsi"/>
                <w:spacing w:val="-5"/>
                <w:lang w:val="hr-HR"/>
              </w:rPr>
              <w:t xml:space="preserve"> </w:t>
            </w:r>
            <w:r w:rsidRPr="00DF4CE5">
              <w:rPr>
                <w:rFonts w:ascii="Cambria" w:eastAsia="Cambria" w:hAnsi="Cambria" w:cstheme="minorHAnsi"/>
                <w:lang w:val="hr-HR"/>
              </w:rPr>
              <w:t>i</w:t>
            </w:r>
            <w:r w:rsidRPr="00DF4CE5">
              <w:rPr>
                <w:rFonts w:ascii="Cambria" w:eastAsia="Cambria" w:hAnsi="Cambria" w:cstheme="minorHAnsi"/>
                <w:spacing w:val="-4"/>
                <w:lang w:val="hr-HR"/>
              </w:rPr>
              <w:t xml:space="preserve"> </w:t>
            </w:r>
            <w:r w:rsidRPr="00DF4CE5">
              <w:rPr>
                <w:rFonts w:ascii="Cambria" w:eastAsia="Cambria" w:hAnsi="Cambria" w:cstheme="minorHAnsi"/>
                <w:lang w:val="hr-HR"/>
              </w:rPr>
              <w:t>za</w:t>
            </w:r>
            <w:r w:rsidRPr="00DF4CE5">
              <w:rPr>
                <w:rFonts w:ascii="Cambria" w:eastAsia="Cambria" w:hAnsi="Cambria" w:cstheme="minorHAnsi"/>
                <w:spacing w:val="-50"/>
                <w:lang w:val="hr-HR"/>
              </w:rPr>
              <w:t xml:space="preserve"> </w:t>
            </w:r>
            <w:r w:rsidRPr="00DF4CE5">
              <w:rPr>
                <w:rFonts w:ascii="Cambria" w:eastAsia="Cambria" w:hAnsi="Cambria" w:cstheme="minorHAnsi"/>
                <w:lang w:val="hr-HR"/>
              </w:rPr>
              <w:t>svladavanje</w:t>
            </w:r>
          </w:p>
        </w:tc>
        <w:tc>
          <w:tcPr>
            <w:tcW w:w="7086" w:type="dxa"/>
            <w:gridSpan w:val="7"/>
          </w:tcPr>
          <w:p w14:paraId="31016839" w14:textId="77777777" w:rsidR="00E473D6" w:rsidRPr="00DF4CE5" w:rsidRDefault="00E473D6" w:rsidP="00E473D6">
            <w:pPr>
              <w:widowControl w:val="0"/>
              <w:autoSpaceDE w:val="0"/>
              <w:autoSpaceDN w:val="0"/>
              <w:spacing w:after="0" w:line="240" w:lineRule="auto"/>
              <w:ind w:left="143"/>
              <w:rPr>
                <w:rFonts w:ascii="Cambria" w:eastAsia="Cambria" w:hAnsi="Cambria" w:cstheme="minorHAnsi"/>
                <w:lang w:val="hr-HR"/>
              </w:rPr>
            </w:pPr>
            <w:r w:rsidRPr="00DF4CE5">
              <w:rPr>
                <w:rFonts w:ascii="Cambria" w:eastAsia="Cambria" w:hAnsi="Cambria" w:cstheme="minorHAnsi"/>
                <w:lang w:val="hr-HR"/>
              </w:rPr>
              <w:t>Nema</w:t>
            </w:r>
            <w:r w:rsidRPr="00DF4CE5">
              <w:rPr>
                <w:rFonts w:ascii="Cambria" w:eastAsia="Cambria" w:hAnsi="Cambria" w:cstheme="minorHAnsi"/>
                <w:spacing w:val="-2"/>
                <w:lang w:val="hr-HR"/>
              </w:rPr>
              <w:t xml:space="preserve"> </w:t>
            </w:r>
            <w:r w:rsidRPr="00DF4CE5">
              <w:rPr>
                <w:rFonts w:ascii="Cambria" w:eastAsia="Cambria" w:hAnsi="Cambria" w:cstheme="minorHAnsi"/>
                <w:lang w:val="hr-HR"/>
              </w:rPr>
              <w:t>preduvjeta</w:t>
            </w:r>
          </w:p>
        </w:tc>
      </w:tr>
      <w:tr w:rsidR="00E473D6" w:rsidRPr="00D0399C" w14:paraId="035DD108" w14:textId="77777777" w:rsidTr="00DF4CE5">
        <w:trPr>
          <w:trHeight w:val="707"/>
        </w:trPr>
        <w:tc>
          <w:tcPr>
            <w:tcW w:w="2554" w:type="dxa"/>
            <w:shd w:val="clear" w:color="auto" w:fill="F3F3F3"/>
          </w:tcPr>
          <w:p w14:paraId="3B00A444" w14:textId="77777777" w:rsidR="00E473D6" w:rsidRPr="00DF4CE5" w:rsidRDefault="00E473D6" w:rsidP="00E473D6">
            <w:pPr>
              <w:widowControl w:val="0"/>
              <w:autoSpaceDE w:val="0"/>
              <w:autoSpaceDN w:val="0"/>
              <w:spacing w:after="0" w:line="240" w:lineRule="auto"/>
              <w:ind w:left="143"/>
              <w:rPr>
                <w:rFonts w:ascii="Cambria" w:eastAsia="Cambria" w:hAnsi="Cambria" w:cstheme="minorHAnsi"/>
                <w:lang w:val="hr-HR"/>
              </w:rPr>
            </w:pPr>
            <w:proofErr w:type="spellStart"/>
            <w:r w:rsidRPr="00DF4CE5">
              <w:rPr>
                <w:rFonts w:ascii="Cambria" w:eastAsia="Cambria" w:hAnsi="Cambria" w:cstheme="minorHAnsi"/>
                <w:lang w:val="hr-HR"/>
              </w:rPr>
              <w:t>Korelativnost</w:t>
            </w:r>
            <w:proofErr w:type="spellEnd"/>
          </w:p>
        </w:tc>
        <w:tc>
          <w:tcPr>
            <w:tcW w:w="7086" w:type="dxa"/>
            <w:gridSpan w:val="7"/>
          </w:tcPr>
          <w:p w14:paraId="22AA8931" w14:textId="77777777" w:rsidR="00E473D6" w:rsidRPr="00DF4CE5" w:rsidRDefault="00E473D6" w:rsidP="00E473D6">
            <w:pPr>
              <w:widowControl w:val="0"/>
              <w:autoSpaceDE w:val="0"/>
              <w:autoSpaceDN w:val="0"/>
              <w:spacing w:after="0" w:line="240" w:lineRule="auto"/>
              <w:ind w:left="143" w:right="198"/>
              <w:rPr>
                <w:rFonts w:ascii="Cambria" w:eastAsia="Cambria" w:hAnsi="Cambria" w:cstheme="minorHAnsi"/>
                <w:lang w:val="hr-HR"/>
              </w:rPr>
            </w:pPr>
            <w:r w:rsidRPr="00DF4CE5">
              <w:rPr>
                <w:rFonts w:ascii="Cambria" w:eastAsia="Cambria" w:hAnsi="Cambria" w:cstheme="minorHAnsi"/>
                <w:lang w:val="hr-HR"/>
              </w:rPr>
              <w:t>Kolegij Stručna praksa korelira sa stručno-metodičkim kolegijima</w:t>
            </w:r>
            <w:r w:rsidRPr="00DF4CE5">
              <w:rPr>
                <w:rFonts w:ascii="Cambria" w:eastAsia="Cambria" w:hAnsi="Cambria" w:cstheme="minorHAnsi"/>
                <w:spacing w:val="-50"/>
                <w:lang w:val="hr-HR"/>
              </w:rPr>
              <w:t xml:space="preserve"> </w:t>
            </w:r>
            <w:r w:rsidRPr="00DF4CE5">
              <w:rPr>
                <w:rFonts w:ascii="Cambria" w:eastAsia="Cambria" w:hAnsi="Cambria" w:cstheme="minorHAnsi"/>
                <w:lang w:val="hr-HR"/>
              </w:rPr>
              <w:t>koji</w:t>
            </w:r>
            <w:r w:rsidRPr="00DF4CE5">
              <w:rPr>
                <w:rFonts w:ascii="Cambria" w:eastAsia="Cambria" w:hAnsi="Cambria" w:cstheme="minorHAnsi"/>
                <w:spacing w:val="-1"/>
                <w:lang w:val="hr-HR"/>
              </w:rPr>
              <w:t xml:space="preserve"> </w:t>
            </w:r>
            <w:r w:rsidRPr="00DF4CE5">
              <w:rPr>
                <w:rFonts w:ascii="Cambria" w:eastAsia="Cambria" w:hAnsi="Cambria" w:cstheme="minorHAnsi"/>
                <w:lang w:val="hr-HR"/>
              </w:rPr>
              <w:t>čine programsku</w:t>
            </w:r>
            <w:r w:rsidRPr="00DF4CE5">
              <w:rPr>
                <w:rFonts w:ascii="Cambria" w:eastAsia="Cambria" w:hAnsi="Cambria" w:cstheme="minorHAnsi"/>
                <w:spacing w:val="-2"/>
                <w:lang w:val="hr-HR"/>
              </w:rPr>
              <w:t xml:space="preserve"> </w:t>
            </w:r>
            <w:r w:rsidRPr="00DF4CE5">
              <w:rPr>
                <w:rFonts w:ascii="Cambria" w:eastAsia="Cambria" w:hAnsi="Cambria" w:cstheme="minorHAnsi"/>
                <w:lang w:val="hr-HR"/>
              </w:rPr>
              <w:t>cjelinu</w:t>
            </w:r>
            <w:r w:rsidRPr="00DF4CE5">
              <w:rPr>
                <w:rFonts w:ascii="Cambria" w:eastAsia="Cambria" w:hAnsi="Cambria" w:cstheme="minorHAnsi"/>
                <w:spacing w:val="-1"/>
                <w:lang w:val="hr-HR"/>
              </w:rPr>
              <w:t xml:space="preserve"> </w:t>
            </w:r>
            <w:r w:rsidRPr="00DF4CE5">
              <w:rPr>
                <w:rFonts w:ascii="Cambria" w:eastAsia="Cambria" w:hAnsi="Cambria" w:cstheme="minorHAnsi"/>
                <w:lang w:val="hr-HR"/>
              </w:rPr>
              <w:t>učiteljskog</w:t>
            </w:r>
            <w:r w:rsidRPr="00DF4CE5">
              <w:rPr>
                <w:rFonts w:ascii="Cambria" w:eastAsia="Cambria" w:hAnsi="Cambria" w:cstheme="minorHAnsi"/>
                <w:spacing w:val="-3"/>
                <w:lang w:val="hr-HR"/>
              </w:rPr>
              <w:t xml:space="preserve"> </w:t>
            </w:r>
            <w:r w:rsidRPr="00DF4CE5">
              <w:rPr>
                <w:rFonts w:ascii="Cambria" w:eastAsia="Cambria" w:hAnsi="Cambria" w:cstheme="minorHAnsi"/>
                <w:lang w:val="hr-HR"/>
              </w:rPr>
              <w:t>studija.</w:t>
            </w:r>
          </w:p>
        </w:tc>
      </w:tr>
      <w:tr w:rsidR="00E473D6" w:rsidRPr="00D0399C" w14:paraId="5139E704" w14:textId="77777777" w:rsidTr="00DF4CE5">
        <w:trPr>
          <w:trHeight w:val="707"/>
        </w:trPr>
        <w:tc>
          <w:tcPr>
            <w:tcW w:w="2554" w:type="dxa"/>
            <w:shd w:val="clear" w:color="auto" w:fill="F3F3F3"/>
          </w:tcPr>
          <w:p w14:paraId="4128C42C" w14:textId="77777777" w:rsidR="00E473D6" w:rsidRPr="00DF4CE5" w:rsidRDefault="00E473D6" w:rsidP="00E473D6">
            <w:pPr>
              <w:widowControl w:val="0"/>
              <w:autoSpaceDE w:val="0"/>
              <w:autoSpaceDN w:val="0"/>
              <w:spacing w:after="0" w:line="240" w:lineRule="auto"/>
              <w:ind w:left="143"/>
              <w:rPr>
                <w:rFonts w:ascii="Cambria" w:eastAsia="Cambria" w:hAnsi="Cambria" w:cstheme="minorHAnsi"/>
                <w:lang w:val="hr-HR"/>
              </w:rPr>
            </w:pPr>
            <w:r w:rsidRPr="00DF4CE5">
              <w:rPr>
                <w:rFonts w:ascii="Cambria" w:eastAsia="Cambria" w:hAnsi="Cambria" w:cstheme="minorHAnsi"/>
                <w:lang w:val="hr-HR"/>
              </w:rPr>
              <w:t>Cilj</w:t>
            </w:r>
            <w:r w:rsidRPr="00DF4CE5">
              <w:rPr>
                <w:rFonts w:ascii="Cambria" w:eastAsia="Cambria" w:hAnsi="Cambria" w:cstheme="minorHAnsi"/>
                <w:spacing w:val="-2"/>
                <w:lang w:val="hr-HR"/>
              </w:rPr>
              <w:t xml:space="preserve"> </w:t>
            </w:r>
            <w:r w:rsidRPr="00DF4CE5">
              <w:rPr>
                <w:rFonts w:ascii="Cambria" w:eastAsia="Cambria" w:hAnsi="Cambria" w:cstheme="minorHAnsi"/>
                <w:lang w:val="hr-HR"/>
              </w:rPr>
              <w:t>kolegija</w:t>
            </w:r>
          </w:p>
        </w:tc>
        <w:tc>
          <w:tcPr>
            <w:tcW w:w="7086" w:type="dxa"/>
            <w:gridSpan w:val="7"/>
          </w:tcPr>
          <w:p w14:paraId="53FAA287" w14:textId="77777777" w:rsidR="00E473D6" w:rsidRPr="00DF4CE5" w:rsidRDefault="00E473D6" w:rsidP="00E473D6">
            <w:pPr>
              <w:widowControl w:val="0"/>
              <w:autoSpaceDE w:val="0"/>
              <w:autoSpaceDN w:val="0"/>
              <w:spacing w:after="0" w:line="240" w:lineRule="auto"/>
              <w:ind w:left="143" w:right="524"/>
              <w:rPr>
                <w:rFonts w:ascii="Cambria" w:eastAsia="Cambria" w:hAnsi="Cambria" w:cstheme="minorHAnsi"/>
                <w:lang w:val="hr-HR"/>
              </w:rPr>
            </w:pPr>
            <w:r w:rsidRPr="00DF4CE5">
              <w:rPr>
                <w:rFonts w:ascii="Cambria" w:eastAsia="Cambria" w:hAnsi="Cambria" w:cstheme="minorHAnsi"/>
                <w:lang w:val="hr-HR"/>
              </w:rPr>
              <w:t>razvijati opće i specifične kompetencije studenata i studentica</w:t>
            </w:r>
            <w:r w:rsidRPr="00DF4CE5">
              <w:rPr>
                <w:rFonts w:ascii="Cambria" w:eastAsia="Cambria" w:hAnsi="Cambria" w:cstheme="minorHAnsi"/>
                <w:spacing w:val="-50"/>
                <w:lang w:val="hr-HR"/>
              </w:rPr>
              <w:t xml:space="preserve"> </w:t>
            </w:r>
            <w:r w:rsidRPr="00DF4CE5">
              <w:rPr>
                <w:rFonts w:ascii="Cambria" w:eastAsia="Cambria" w:hAnsi="Cambria" w:cstheme="minorHAnsi"/>
                <w:lang w:val="hr-HR"/>
              </w:rPr>
              <w:t>značajnih</w:t>
            </w:r>
            <w:r w:rsidRPr="00DF4CE5">
              <w:rPr>
                <w:rFonts w:ascii="Cambria" w:eastAsia="Cambria" w:hAnsi="Cambria" w:cstheme="minorHAnsi"/>
                <w:spacing w:val="-1"/>
                <w:lang w:val="hr-HR"/>
              </w:rPr>
              <w:t xml:space="preserve"> </w:t>
            </w:r>
            <w:r w:rsidRPr="00DF4CE5">
              <w:rPr>
                <w:rFonts w:ascii="Cambria" w:eastAsia="Cambria" w:hAnsi="Cambria" w:cstheme="minorHAnsi"/>
                <w:lang w:val="hr-HR"/>
              </w:rPr>
              <w:t>za</w:t>
            </w:r>
            <w:r w:rsidRPr="00DF4CE5">
              <w:rPr>
                <w:rFonts w:ascii="Cambria" w:eastAsia="Cambria" w:hAnsi="Cambria" w:cstheme="minorHAnsi"/>
                <w:spacing w:val="-1"/>
                <w:lang w:val="hr-HR"/>
              </w:rPr>
              <w:t xml:space="preserve"> </w:t>
            </w:r>
            <w:r w:rsidRPr="00DF4CE5">
              <w:rPr>
                <w:rFonts w:ascii="Cambria" w:eastAsia="Cambria" w:hAnsi="Cambria" w:cstheme="minorHAnsi"/>
                <w:lang w:val="hr-HR"/>
              </w:rPr>
              <w:t>njihov</w:t>
            </w:r>
            <w:r w:rsidRPr="00DF4CE5">
              <w:rPr>
                <w:rFonts w:ascii="Cambria" w:eastAsia="Cambria" w:hAnsi="Cambria" w:cstheme="minorHAnsi"/>
                <w:spacing w:val="-3"/>
                <w:lang w:val="hr-HR"/>
              </w:rPr>
              <w:t xml:space="preserve"> </w:t>
            </w:r>
            <w:r w:rsidRPr="00DF4CE5">
              <w:rPr>
                <w:rFonts w:ascii="Cambria" w:eastAsia="Cambria" w:hAnsi="Cambria" w:cstheme="minorHAnsi"/>
                <w:lang w:val="hr-HR"/>
              </w:rPr>
              <w:t>profesionalni i osobni</w:t>
            </w:r>
            <w:r w:rsidRPr="00DF4CE5">
              <w:rPr>
                <w:rFonts w:ascii="Cambria" w:eastAsia="Cambria" w:hAnsi="Cambria" w:cstheme="minorHAnsi"/>
                <w:spacing w:val="-1"/>
                <w:lang w:val="hr-HR"/>
              </w:rPr>
              <w:t xml:space="preserve"> </w:t>
            </w:r>
            <w:r w:rsidRPr="00DF4CE5">
              <w:rPr>
                <w:rFonts w:ascii="Cambria" w:eastAsia="Cambria" w:hAnsi="Cambria" w:cstheme="minorHAnsi"/>
                <w:lang w:val="hr-HR"/>
              </w:rPr>
              <w:t>razvoj</w:t>
            </w:r>
          </w:p>
        </w:tc>
      </w:tr>
      <w:tr w:rsidR="00E473D6" w:rsidRPr="00D0399C" w14:paraId="372F3790" w14:textId="77777777" w:rsidTr="00DF4CE5">
        <w:trPr>
          <w:trHeight w:val="2675"/>
        </w:trPr>
        <w:tc>
          <w:tcPr>
            <w:tcW w:w="2554" w:type="dxa"/>
            <w:shd w:val="clear" w:color="auto" w:fill="F3F3F3"/>
          </w:tcPr>
          <w:p w14:paraId="3560535B" w14:textId="77777777" w:rsidR="00E473D6" w:rsidRPr="00DF4CE5" w:rsidRDefault="00E473D6" w:rsidP="00E473D6">
            <w:pPr>
              <w:widowControl w:val="0"/>
              <w:autoSpaceDE w:val="0"/>
              <w:autoSpaceDN w:val="0"/>
              <w:spacing w:after="0" w:line="240" w:lineRule="auto"/>
              <w:rPr>
                <w:rFonts w:ascii="Cambria" w:eastAsia="Cambria" w:hAnsi="Cambria" w:cstheme="minorHAnsi"/>
                <w:lang w:val="hr-HR"/>
              </w:rPr>
            </w:pPr>
          </w:p>
          <w:p w14:paraId="4B6A87CD" w14:textId="77777777" w:rsidR="00E473D6" w:rsidRPr="00DF4CE5" w:rsidRDefault="00E473D6" w:rsidP="00E473D6">
            <w:pPr>
              <w:widowControl w:val="0"/>
              <w:autoSpaceDE w:val="0"/>
              <w:autoSpaceDN w:val="0"/>
              <w:spacing w:after="0" w:line="240" w:lineRule="auto"/>
              <w:rPr>
                <w:rFonts w:ascii="Cambria" w:eastAsia="Cambria" w:hAnsi="Cambria" w:cstheme="minorHAnsi"/>
                <w:lang w:val="hr-HR"/>
              </w:rPr>
            </w:pPr>
          </w:p>
          <w:p w14:paraId="50E890B9" w14:textId="77777777" w:rsidR="00E473D6" w:rsidRPr="00DF4CE5" w:rsidRDefault="00E473D6" w:rsidP="00E473D6">
            <w:pPr>
              <w:widowControl w:val="0"/>
              <w:autoSpaceDE w:val="0"/>
              <w:autoSpaceDN w:val="0"/>
              <w:spacing w:after="0" w:line="240" w:lineRule="auto"/>
              <w:rPr>
                <w:rFonts w:ascii="Cambria" w:eastAsia="Cambria" w:hAnsi="Cambria" w:cstheme="minorHAnsi"/>
                <w:lang w:val="hr-HR"/>
              </w:rPr>
            </w:pPr>
          </w:p>
          <w:p w14:paraId="0504ED77" w14:textId="77777777" w:rsidR="00E473D6" w:rsidRPr="00DF4CE5" w:rsidRDefault="00E473D6" w:rsidP="00E473D6">
            <w:pPr>
              <w:widowControl w:val="0"/>
              <w:autoSpaceDE w:val="0"/>
              <w:autoSpaceDN w:val="0"/>
              <w:spacing w:after="0" w:line="240" w:lineRule="auto"/>
              <w:ind w:left="143"/>
              <w:rPr>
                <w:rFonts w:ascii="Cambria" w:eastAsia="Cambria" w:hAnsi="Cambria" w:cstheme="minorHAnsi"/>
                <w:lang w:val="hr-HR"/>
              </w:rPr>
            </w:pPr>
            <w:r w:rsidRPr="00DF4CE5">
              <w:rPr>
                <w:rFonts w:ascii="Cambria" w:eastAsia="Cambria" w:hAnsi="Cambria" w:cstheme="minorHAnsi"/>
                <w:lang w:val="hr-HR"/>
              </w:rPr>
              <w:t>Ishodi</w:t>
            </w:r>
            <w:r w:rsidRPr="00DF4CE5">
              <w:rPr>
                <w:rFonts w:ascii="Cambria" w:eastAsia="Cambria" w:hAnsi="Cambria" w:cstheme="minorHAnsi"/>
                <w:spacing w:val="-4"/>
                <w:lang w:val="hr-HR"/>
              </w:rPr>
              <w:t xml:space="preserve"> </w:t>
            </w:r>
            <w:r w:rsidRPr="00DF4CE5">
              <w:rPr>
                <w:rFonts w:ascii="Cambria" w:eastAsia="Cambria" w:hAnsi="Cambria" w:cstheme="minorHAnsi"/>
                <w:lang w:val="hr-HR"/>
              </w:rPr>
              <w:t>učenja</w:t>
            </w:r>
          </w:p>
        </w:tc>
        <w:tc>
          <w:tcPr>
            <w:tcW w:w="7086" w:type="dxa"/>
            <w:gridSpan w:val="7"/>
          </w:tcPr>
          <w:p w14:paraId="2916A30F" w14:textId="77777777" w:rsidR="00E473D6" w:rsidRPr="00DF4CE5" w:rsidRDefault="00E473D6" w:rsidP="00A034E3">
            <w:pPr>
              <w:widowControl w:val="0"/>
              <w:numPr>
                <w:ilvl w:val="0"/>
                <w:numId w:val="92"/>
              </w:numPr>
              <w:tabs>
                <w:tab w:val="left" w:pos="432"/>
              </w:tabs>
              <w:autoSpaceDE w:val="0"/>
              <w:autoSpaceDN w:val="0"/>
              <w:spacing w:after="0" w:line="240" w:lineRule="auto"/>
              <w:ind w:hanging="289"/>
              <w:rPr>
                <w:rFonts w:ascii="Cambria" w:eastAsia="Cambria" w:hAnsi="Cambria" w:cstheme="minorHAnsi"/>
                <w:lang w:val="hr-HR"/>
              </w:rPr>
            </w:pPr>
            <w:r w:rsidRPr="00DF4CE5">
              <w:rPr>
                <w:rFonts w:ascii="Cambria" w:eastAsia="Cambria" w:hAnsi="Cambria" w:cstheme="minorHAnsi"/>
                <w:lang w:val="hr-HR"/>
              </w:rPr>
              <w:t>opisati</w:t>
            </w:r>
            <w:r w:rsidRPr="00DF4CE5">
              <w:rPr>
                <w:rFonts w:ascii="Cambria" w:eastAsia="Cambria" w:hAnsi="Cambria" w:cstheme="minorHAnsi"/>
                <w:spacing w:val="-5"/>
                <w:lang w:val="hr-HR"/>
              </w:rPr>
              <w:t xml:space="preserve"> </w:t>
            </w:r>
            <w:r w:rsidRPr="00DF4CE5">
              <w:rPr>
                <w:rFonts w:ascii="Cambria" w:eastAsia="Cambria" w:hAnsi="Cambria" w:cstheme="minorHAnsi"/>
                <w:lang w:val="hr-HR"/>
              </w:rPr>
              <w:t>proces</w:t>
            </w:r>
            <w:r w:rsidRPr="00DF4CE5">
              <w:rPr>
                <w:rFonts w:ascii="Cambria" w:eastAsia="Cambria" w:hAnsi="Cambria" w:cstheme="minorHAnsi"/>
                <w:spacing w:val="-3"/>
                <w:lang w:val="hr-HR"/>
              </w:rPr>
              <w:t xml:space="preserve"> </w:t>
            </w:r>
            <w:r w:rsidRPr="00DF4CE5">
              <w:rPr>
                <w:rFonts w:ascii="Cambria" w:eastAsia="Cambria" w:hAnsi="Cambria" w:cstheme="minorHAnsi"/>
                <w:lang w:val="hr-HR"/>
              </w:rPr>
              <w:t>vođenja</w:t>
            </w:r>
            <w:r w:rsidRPr="00DF4CE5">
              <w:rPr>
                <w:rFonts w:ascii="Cambria" w:eastAsia="Cambria" w:hAnsi="Cambria" w:cstheme="minorHAnsi"/>
                <w:spacing w:val="-4"/>
                <w:lang w:val="hr-HR"/>
              </w:rPr>
              <w:t xml:space="preserve"> </w:t>
            </w:r>
            <w:r w:rsidRPr="00DF4CE5">
              <w:rPr>
                <w:rFonts w:ascii="Cambria" w:eastAsia="Cambria" w:hAnsi="Cambria" w:cstheme="minorHAnsi"/>
                <w:lang w:val="hr-HR"/>
              </w:rPr>
              <w:t>i</w:t>
            </w:r>
            <w:r w:rsidRPr="00DF4CE5">
              <w:rPr>
                <w:rFonts w:ascii="Cambria" w:eastAsia="Cambria" w:hAnsi="Cambria" w:cstheme="minorHAnsi"/>
                <w:spacing w:val="-3"/>
                <w:lang w:val="hr-HR"/>
              </w:rPr>
              <w:t xml:space="preserve"> </w:t>
            </w:r>
            <w:r w:rsidRPr="00DF4CE5">
              <w:rPr>
                <w:rFonts w:ascii="Cambria" w:eastAsia="Cambria" w:hAnsi="Cambria" w:cstheme="minorHAnsi"/>
                <w:lang w:val="hr-HR"/>
              </w:rPr>
              <w:t>upravljanja</w:t>
            </w:r>
            <w:r w:rsidRPr="00DF4CE5">
              <w:rPr>
                <w:rFonts w:ascii="Cambria" w:eastAsia="Cambria" w:hAnsi="Cambria" w:cstheme="minorHAnsi"/>
                <w:spacing w:val="-3"/>
                <w:lang w:val="hr-HR"/>
              </w:rPr>
              <w:t xml:space="preserve"> </w:t>
            </w:r>
            <w:r w:rsidRPr="00DF4CE5">
              <w:rPr>
                <w:rFonts w:ascii="Cambria" w:eastAsia="Cambria" w:hAnsi="Cambria" w:cstheme="minorHAnsi"/>
                <w:lang w:val="hr-HR"/>
              </w:rPr>
              <w:t>školom</w:t>
            </w:r>
          </w:p>
          <w:p w14:paraId="647A2C19" w14:textId="77777777" w:rsidR="00E473D6" w:rsidRPr="00DF4CE5" w:rsidRDefault="00E473D6" w:rsidP="00A034E3">
            <w:pPr>
              <w:widowControl w:val="0"/>
              <w:numPr>
                <w:ilvl w:val="0"/>
                <w:numId w:val="92"/>
              </w:numPr>
              <w:tabs>
                <w:tab w:val="left" w:pos="432"/>
              </w:tabs>
              <w:autoSpaceDE w:val="0"/>
              <w:autoSpaceDN w:val="0"/>
              <w:spacing w:after="0" w:line="240" w:lineRule="auto"/>
              <w:ind w:hanging="289"/>
              <w:rPr>
                <w:rFonts w:ascii="Cambria" w:eastAsia="Cambria" w:hAnsi="Cambria" w:cstheme="minorHAnsi"/>
                <w:lang w:val="hr-HR"/>
              </w:rPr>
            </w:pPr>
            <w:r w:rsidRPr="00DF4CE5">
              <w:rPr>
                <w:rFonts w:ascii="Cambria" w:eastAsia="Cambria" w:hAnsi="Cambria" w:cstheme="minorHAnsi"/>
                <w:color w:val="333333"/>
                <w:lang w:val="hr-HR"/>
              </w:rPr>
              <w:t>koristiti</w:t>
            </w:r>
            <w:r w:rsidRPr="00DF4CE5">
              <w:rPr>
                <w:rFonts w:ascii="Cambria" w:eastAsia="Cambria" w:hAnsi="Cambria" w:cstheme="minorHAnsi"/>
                <w:color w:val="333333"/>
                <w:spacing w:val="-4"/>
                <w:lang w:val="hr-HR"/>
              </w:rPr>
              <w:t xml:space="preserve"> </w:t>
            </w:r>
            <w:r w:rsidRPr="00DF4CE5">
              <w:rPr>
                <w:rFonts w:ascii="Cambria" w:eastAsia="Cambria" w:hAnsi="Cambria" w:cstheme="minorHAnsi"/>
                <w:color w:val="333333"/>
                <w:lang w:val="hr-HR"/>
              </w:rPr>
              <w:t>školsku</w:t>
            </w:r>
            <w:r w:rsidRPr="00DF4CE5">
              <w:rPr>
                <w:rFonts w:ascii="Cambria" w:eastAsia="Cambria" w:hAnsi="Cambria" w:cstheme="minorHAnsi"/>
                <w:color w:val="333333"/>
                <w:spacing w:val="-4"/>
                <w:lang w:val="hr-HR"/>
              </w:rPr>
              <w:t xml:space="preserve"> </w:t>
            </w:r>
            <w:r w:rsidRPr="00DF4CE5">
              <w:rPr>
                <w:rFonts w:ascii="Cambria" w:eastAsia="Cambria" w:hAnsi="Cambria" w:cstheme="minorHAnsi"/>
                <w:color w:val="333333"/>
                <w:lang w:val="hr-HR"/>
              </w:rPr>
              <w:t>dokumentaciju</w:t>
            </w:r>
            <w:r w:rsidRPr="00DF4CE5">
              <w:rPr>
                <w:rFonts w:ascii="Cambria" w:eastAsia="Cambria" w:hAnsi="Cambria" w:cstheme="minorHAnsi"/>
                <w:color w:val="333333"/>
                <w:spacing w:val="-4"/>
                <w:lang w:val="hr-HR"/>
              </w:rPr>
              <w:t xml:space="preserve"> </w:t>
            </w:r>
            <w:r w:rsidRPr="00DF4CE5">
              <w:rPr>
                <w:rFonts w:ascii="Cambria" w:eastAsia="Cambria" w:hAnsi="Cambria" w:cstheme="minorHAnsi"/>
                <w:color w:val="333333"/>
                <w:lang w:val="hr-HR"/>
              </w:rPr>
              <w:t>i</w:t>
            </w:r>
            <w:r w:rsidRPr="00DF4CE5">
              <w:rPr>
                <w:rFonts w:ascii="Cambria" w:eastAsia="Cambria" w:hAnsi="Cambria" w:cstheme="minorHAnsi"/>
                <w:color w:val="333333"/>
                <w:spacing w:val="-4"/>
                <w:lang w:val="hr-HR"/>
              </w:rPr>
              <w:t xml:space="preserve"> </w:t>
            </w:r>
            <w:r w:rsidRPr="00DF4CE5">
              <w:rPr>
                <w:rFonts w:ascii="Cambria" w:eastAsia="Cambria" w:hAnsi="Cambria" w:cstheme="minorHAnsi"/>
                <w:color w:val="333333"/>
                <w:lang w:val="hr-HR"/>
              </w:rPr>
              <w:t>evidenciju</w:t>
            </w:r>
          </w:p>
          <w:p w14:paraId="3DFA9705" w14:textId="77777777" w:rsidR="00E473D6" w:rsidRPr="00DF4CE5" w:rsidRDefault="00E473D6" w:rsidP="00A034E3">
            <w:pPr>
              <w:widowControl w:val="0"/>
              <w:numPr>
                <w:ilvl w:val="0"/>
                <w:numId w:val="92"/>
              </w:numPr>
              <w:tabs>
                <w:tab w:val="left" w:pos="432"/>
              </w:tabs>
              <w:autoSpaceDE w:val="0"/>
              <w:autoSpaceDN w:val="0"/>
              <w:spacing w:after="0" w:line="240" w:lineRule="auto"/>
              <w:ind w:hanging="289"/>
              <w:rPr>
                <w:rFonts w:ascii="Cambria" w:eastAsia="Cambria" w:hAnsi="Cambria" w:cstheme="minorHAnsi"/>
                <w:lang w:val="hr-HR"/>
              </w:rPr>
            </w:pPr>
            <w:r w:rsidRPr="00DF4CE5">
              <w:rPr>
                <w:rFonts w:ascii="Cambria" w:eastAsia="Cambria" w:hAnsi="Cambria" w:cstheme="minorHAnsi"/>
                <w:lang w:val="hr-HR"/>
              </w:rPr>
              <w:t>povezati</w:t>
            </w:r>
            <w:r w:rsidRPr="00DF4CE5">
              <w:rPr>
                <w:rFonts w:ascii="Cambria" w:eastAsia="Cambria" w:hAnsi="Cambria" w:cstheme="minorHAnsi"/>
                <w:spacing w:val="-4"/>
                <w:lang w:val="hr-HR"/>
              </w:rPr>
              <w:t xml:space="preserve"> </w:t>
            </w:r>
            <w:r w:rsidRPr="00DF4CE5">
              <w:rPr>
                <w:rFonts w:ascii="Cambria" w:eastAsia="Cambria" w:hAnsi="Cambria" w:cstheme="minorHAnsi"/>
                <w:lang w:val="hr-HR"/>
              </w:rPr>
              <w:t>principe</w:t>
            </w:r>
            <w:r w:rsidRPr="00DF4CE5">
              <w:rPr>
                <w:rFonts w:ascii="Cambria" w:eastAsia="Cambria" w:hAnsi="Cambria" w:cstheme="minorHAnsi"/>
                <w:spacing w:val="-5"/>
                <w:lang w:val="hr-HR"/>
              </w:rPr>
              <w:t xml:space="preserve"> </w:t>
            </w:r>
            <w:r w:rsidRPr="00DF4CE5">
              <w:rPr>
                <w:rFonts w:ascii="Cambria" w:eastAsia="Cambria" w:hAnsi="Cambria" w:cstheme="minorHAnsi"/>
                <w:lang w:val="hr-HR"/>
              </w:rPr>
              <w:t>izrade</w:t>
            </w:r>
            <w:r w:rsidRPr="00DF4CE5">
              <w:rPr>
                <w:rFonts w:ascii="Cambria" w:eastAsia="Cambria" w:hAnsi="Cambria" w:cstheme="minorHAnsi"/>
                <w:spacing w:val="-1"/>
                <w:lang w:val="hr-HR"/>
              </w:rPr>
              <w:t xml:space="preserve"> </w:t>
            </w:r>
            <w:r w:rsidRPr="00DF4CE5">
              <w:rPr>
                <w:rFonts w:ascii="Cambria" w:eastAsia="Cambria" w:hAnsi="Cambria" w:cstheme="minorHAnsi"/>
                <w:lang w:val="hr-HR"/>
              </w:rPr>
              <w:t>posebnih</w:t>
            </w:r>
            <w:r w:rsidRPr="00DF4CE5">
              <w:rPr>
                <w:rFonts w:ascii="Cambria" w:eastAsia="Cambria" w:hAnsi="Cambria" w:cstheme="minorHAnsi"/>
                <w:spacing w:val="-3"/>
                <w:lang w:val="hr-HR"/>
              </w:rPr>
              <w:t xml:space="preserve"> </w:t>
            </w:r>
            <w:r w:rsidRPr="00DF4CE5">
              <w:rPr>
                <w:rFonts w:ascii="Cambria" w:eastAsia="Cambria" w:hAnsi="Cambria" w:cstheme="minorHAnsi"/>
                <w:lang w:val="hr-HR"/>
              </w:rPr>
              <w:t>programa</w:t>
            </w:r>
          </w:p>
          <w:p w14:paraId="51806FC9" w14:textId="77777777" w:rsidR="00E473D6" w:rsidRPr="00DF4CE5" w:rsidRDefault="00E473D6" w:rsidP="00A034E3">
            <w:pPr>
              <w:widowControl w:val="0"/>
              <w:numPr>
                <w:ilvl w:val="0"/>
                <w:numId w:val="92"/>
              </w:numPr>
              <w:tabs>
                <w:tab w:val="left" w:pos="432"/>
              </w:tabs>
              <w:autoSpaceDE w:val="0"/>
              <w:autoSpaceDN w:val="0"/>
              <w:spacing w:after="0" w:line="240" w:lineRule="auto"/>
              <w:ind w:hanging="289"/>
              <w:rPr>
                <w:rFonts w:ascii="Cambria" w:eastAsia="Cambria" w:hAnsi="Cambria" w:cstheme="minorHAnsi"/>
                <w:lang w:val="hr-HR"/>
              </w:rPr>
            </w:pPr>
            <w:r w:rsidRPr="00DF4CE5">
              <w:rPr>
                <w:rFonts w:ascii="Cambria" w:eastAsia="Cambria" w:hAnsi="Cambria" w:cstheme="minorHAnsi"/>
                <w:lang w:val="hr-HR"/>
              </w:rPr>
              <w:t>identificirati</w:t>
            </w:r>
            <w:r w:rsidRPr="00DF4CE5">
              <w:rPr>
                <w:rFonts w:ascii="Cambria" w:eastAsia="Cambria" w:hAnsi="Cambria" w:cstheme="minorHAnsi"/>
                <w:spacing w:val="-3"/>
                <w:lang w:val="hr-HR"/>
              </w:rPr>
              <w:t xml:space="preserve"> </w:t>
            </w:r>
            <w:r w:rsidRPr="00DF4CE5">
              <w:rPr>
                <w:rFonts w:ascii="Cambria" w:eastAsia="Cambria" w:hAnsi="Cambria" w:cstheme="minorHAnsi"/>
                <w:lang w:val="hr-HR"/>
              </w:rPr>
              <w:t>praktična</w:t>
            </w:r>
            <w:r w:rsidRPr="00DF4CE5">
              <w:rPr>
                <w:rFonts w:ascii="Cambria" w:eastAsia="Cambria" w:hAnsi="Cambria" w:cstheme="minorHAnsi"/>
                <w:spacing w:val="-2"/>
                <w:lang w:val="hr-HR"/>
              </w:rPr>
              <w:t xml:space="preserve"> </w:t>
            </w:r>
            <w:r w:rsidRPr="00DF4CE5">
              <w:rPr>
                <w:rFonts w:ascii="Cambria" w:eastAsia="Cambria" w:hAnsi="Cambria" w:cstheme="minorHAnsi"/>
                <w:lang w:val="hr-HR"/>
              </w:rPr>
              <w:t>znanja</w:t>
            </w:r>
            <w:r w:rsidRPr="00DF4CE5">
              <w:rPr>
                <w:rFonts w:ascii="Cambria" w:eastAsia="Cambria" w:hAnsi="Cambria" w:cstheme="minorHAnsi"/>
                <w:spacing w:val="-3"/>
                <w:lang w:val="hr-HR"/>
              </w:rPr>
              <w:t xml:space="preserve"> </w:t>
            </w:r>
            <w:r w:rsidRPr="00DF4CE5">
              <w:rPr>
                <w:rFonts w:ascii="Cambria" w:eastAsia="Cambria" w:hAnsi="Cambria" w:cstheme="minorHAnsi"/>
                <w:lang w:val="hr-HR"/>
              </w:rPr>
              <w:t>potrebna</w:t>
            </w:r>
            <w:r w:rsidRPr="00DF4CE5">
              <w:rPr>
                <w:rFonts w:ascii="Cambria" w:eastAsia="Cambria" w:hAnsi="Cambria" w:cstheme="minorHAnsi"/>
                <w:spacing w:val="-3"/>
                <w:lang w:val="hr-HR"/>
              </w:rPr>
              <w:t xml:space="preserve"> </w:t>
            </w:r>
            <w:r w:rsidRPr="00DF4CE5">
              <w:rPr>
                <w:rFonts w:ascii="Cambria" w:eastAsia="Cambria" w:hAnsi="Cambria" w:cstheme="minorHAnsi"/>
                <w:lang w:val="hr-HR"/>
              </w:rPr>
              <w:t>za</w:t>
            </w:r>
            <w:r w:rsidRPr="00DF4CE5">
              <w:rPr>
                <w:rFonts w:ascii="Cambria" w:eastAsia="Cambria" w:hAnsi="Cambria" w:cstheme="minorHAnsi"/>
                <w:spacing w:val="-3"/>
                <w:lang w:val="hr-HR"/>
              </w:rPr>
              <w:t xml:space="preserve"> </w:t>
            </w:r>
            <w:r w:rsidRPr="00DF4CE5">
              <w:rPr>
                <w:rFonts w:ascii="Cambria" w:eastAsia="Cambria" w:hAnsi="Cambria" w:cstheme="minorHAnsi"/>
                <w:lang w:val="hr-HR"/>
              </w:rPr>
              <w:t>rad</w:t>
            </w:r>
            <w:r w:rsidRPr="00DF4CE5">
              <w:rPr>
                <w:rFonts w:ascii="Cambria" w:eastAsia="Cambria" w:hAnsi="Cambria" w:cstheme="minorHAnsi"/>
                <w:spacing w:val="-4"/>
                <w:lang w:val="hr-HR"/>
              </w:rPr>
              <w:t xml:space="preserve"> </w:t>
            </w:r>
            <w:r w:rsidRPr="00DF4CE5">
              <w:rPr>
                <w:rFonts w:ascii="Cambria" w:eastAsia="Cambria" w:hAnsi="Cambria" w:cstheme="minorHAnsi"/>
                <w:lang w:val="hr-HR"/>
              </w:rPr>
              <w:t>s</w:t>
            </w:r>
            <w:r w:rsidRPr="00DF4CE5">
              <w:rPr>
                <w:rFonts w:ascii="Cambria" w:eastAsia="Cambria" w:hAnsi="Cambria" w:cstheme="minorHAnsi"/>
                <w:spacing w:val="-3"/>
                <w:lang w:val="hr-HR"/>
              </w:rPr>
              <w:t xml:space="preserve"> </w:t>
            </w:r>
            <w:r w:rsidRPr="00DF4CE5">
              <w:rPr>
                <w:rFonts w:ascii="Cambria" w:eastAsia="Cambria" w:hAnsi="Cambria" w:cstheme="minorHAnsi"/>
                <w:lang w:val="hr-HR"/>
              </w:rPr>
              <w:t>djecom</w:t>
            </w:r>
            <w:r w:rsidRPr="00DF4CE5">
              <w:rPr>
                <w:rFonts w:ascii="Cambria" w:eastAsia="Cambria" w:hAnsi="Cambria" w:cstheme="minorHAnsi"/>
                <w:spacing w:val="-2"/>
                <w:lang w:val="hr-HR"/>
              </w:rPr>
              <w:t xml:space="preserve"> </w:t>
            </w:r>
            <w:r w:rsidRPr="00DF4CE5">
              <w:rPr>
                <w:rFonts w:ascii="Cambria" w:eastAsia="Cambria" w:hAnsi="Cambria" w:cstheme="minorHAnsi"/>
                <w:lang w:val="hr-HR"/>
              </w:rPr>
              <w:t>s</w:t>
            </w:r>
          </w:p>
          <w:p w14:paraId="474D4B1C" w14:textId="77777777" w:rsidR="00E473D6" w:rsidRPr="00DF4CE5" w:rsidRDefault="00E473D6" w:rsidP="00E473D6">
            <w:pPr>
              <w:widowControl w:val="0"/>
              <w:autoSpaceDE w:val="0"/>
              <w:autoSpaceDN w:val="0"/>
              <w:spacing w:after="0" w:line="240" w:lineRule="auto"/>
              <w:ind w:left="429"/>
              <w:rPr>
                <w:rFonts w:ascii="Cambria" w:eastAsia="Cambria" w:hAnsi="Cambria" w:cstheme="minorHAnsi"/>
                <w:lang w:val="hr-HR"/>
              </w:rPr>
            </w:pPr>
            <w:r w:rsidRPr="00DF4CE5">
              <w:rPr>
                <w:rFonts w:ascii="Cambria" w:eastAsia="Cambria" w:hAnsi="Cambria" w:cstheme="minorHAnsi"/>
                <w:lang w:val="hr-HR"/>
              </w:rPr>
              <w:t>posebnim</w:t>
            </w:r>
            <w:r w:rsidRPr="00DF4CE5">
              <w:rPr>
                <w:rFonts w:ascii="Cambria" w:eastAsia="Cambria" w:hAnsi="Cambria" w:cstheme="minorHAnsi"/>
                <w:spacing w:val="-6"/>
                <w:lang w:val="hr-HR"/>
              </w:rPr>
              <w:t xml:space="preserve"> </w:t>
            </w:r>
            <w:r w:rsidRPr="00DF4CE5">
              <w:rPr>
                <w:rFonts w:ascii="Cambria" w:eastAsia="Cambria" w:hAnsi="Cambria" w:cstheme="minorHAnsi"/>
                <w:lang w:val="hr-HR"/>
              </w:rPr>
              <w:t>potrebama</w:t>
            </w:r>
          </w:p>
          <w:p w14:paraId="7B4749E2" w14:textId="77777777" w:rsidR="00E473D6" w:rsidRPr="00DF4CE5" w:rsidRDefault="00E473D6" w:rsidP="00A034E3">
            <w:pPr>
              <w:widowControl w:val="0"/>
              <w:numPr>
                <w:ilvl w:val="0"/>
                <w:numId w:val="92"/>
              </w:numPr>
              <w:tabs>
                <w:tab w:val="left" w:pos="432"/>
              </w:tabs>
              <w:autoSpaceDE w:val="0"/>
              <w:autoSpaceDN w:val="0"/>
              <w:spacing w:after="0" w:line="240" w:lineRule="auto"/>
              <w:ind w:hanging="289"/>
              <w:rPr>
                <w:rFonts w:ascii="Cambria" w:eastAsia="Cambria" w:hAnsi="Cambria" w:cstheme="minorHAnsi"/>
                <w:lang w:val="hr-HR"/>
              </w:rPr>
            </w:pPr>
            <w:r w:rsidRPr="00DF4CE5">
              <w:rPr>
                <w:rFonts w:ascii="Cambria" w:eastAsia="Cambria" w:hAnsi="Cambria" w:cstheme="minorHAnsi"/>
                <w:lang w:val="hr-HR"/>
              </w:rPr>
              <w:t>analizirati</w:t>
            </w:r>
            <w:r w:rsidRPr="00DF4CE5">
              <w:rPr>
                <w:rFonts w:ascii="Cambria" w:eastAsia="Cambria" w:hAnsi="Cambria" w:cstheme="minorHAnsi"/>
                <w:spacing w:val="-4"/>
                <w:lang w:val="hr-HR"/>
              </w:rPr>
              <w:t xml:space="preserve"> </w:t>
            </w:r>
            <w:r w:rsidRPr="00DF4CE5">
              <w:rPr>
                <w:rFonts w:ascii="Cambria" w:eastAsia="Cambria" w:hAnsi="Cambria" w:cstheme="minorHAnsi"/>
                <w:lang w:val="hr-HR"/>
              </w:rPr>
              <w:t>aktivnosti</w:t>
            </w:r>
            <w:r w:rsidRPr="00DF4CE5">
              <w:rPr>
                <w:rFonts w:ascii="Cambria" w:eastAsia="Cambria" w:hAnsi="Cambria" w:cstheme="minorHAnsi"/>
                <w:spacing w:val="-6"/>
                <w:lang w:val="hr-HR"/>
              </w:rPr>
              <w:t xml:space="preserve"> </w:t>
            </w:r>
            <w:r w:rsidRPr="00DF4CE5">
              <w:rPr>
                <w:rFonts w:ascii="Cambria" w:eastAsia="Cambria" w:hAnsi="Cambria" w:cstheme="minorHAnsi"/>
                <w:lang w:val="hr-HR"/>
              </w:rPr>
              <w:t>povezane</w:t>
            </w:r>
            <w:r w:rsidRPr="00DF4CE5">
              <w:rPr>
                <w:rFonts w:ascii="Cambria" w:eastAsia="Cambria" w:hAnsi="Cambria" w:cstheme="minorHAnsi"/>
                <w:spacing w:val="-3"/>
                <w:lang w:val="hr-HR"/>
              </w:rPr>
              <w:t xml:space="preserve"> </w:t>
            </w:r>
            <w:r w:rsidRPr="00DF4CE5">
              <w:rPr>
                <w:rFonts w:ascii="Cambria" w:eastAsia="Cambria" w:hAnsi="Cambria" w:cstheme="minorHAnsi"/>
                <w:lang w:val="hr-HR"/>
              </w:rPr>
              <w:t>s</w:t>
            </w:r>
            <w:r w:rsidRPr="00DF4CE5">
              <w:rPr>
                <w:rFonts w:ascii="Cambria" w:eastAsia="Cambria" w:hAnsi="Cambria" w:cstheme="minorHAnsi"/>
                <w:spacing w:val="-4"/>
                <w:lang w:val="hr-HR"/>
              </w:rPr>
              <w:t xml:space="preserve"> </w:t>
            </w:r>
            <w:r w:rsidRPr="00DF4CE5">
              <w:rPr>
                <w:rFonts w:ascii="Cambria" w:eastAsia="Cambria" w:hAnsi="Cambria" w:cstheme="minorHAnsi"/>
                <w:lang w:val="hr-HR"/>
              </w:rPr>
              <w:t>neposrednim</w:t>
            </w:r>
            <w:r w:rsidRPr="00DF4CE5">
              <w:rPr>
                <w:rFonts w:ascii="Cambria" w:eastAsia="Cambria" w:hAnsi="Cambria" w:cstheme="minorHAnsi"/>
                <w:spacing w:val="-4"/>
                <w:lang w:val="hr-HR"/>
              </w:rPr>
              <w:t xml:space="preserve"> </w:t>
            </w:r>
            <w:r w:rsidRPr="00DF4CE5">
              <w:rPr>
                <w:rFonts w:ascii="Cambria" w:eastAsia="Cambria" w:hAnsi="Cambria" w:cstheme="minorHAnsi"/>
                <w:lang w:val="hr-HR"/>
              </w:rPr>
              <w:t>radom</w:t>
            </w:r>
            <w:r w:rsidRPr="00DF4CE5">
              <w:rPr>
                <w:rFonts w:ascii="Cambria" w:eastAsia="Cambria" w:hAnsi="Cambria" w:cstheme="minorHAnsi"/>
                <w:spacing w:val="-5"/>
                <w:lang w:val="hr-HR"/>
              </w:rPr>
              <w:t xml:space="preserve"> </w:t>
            </w:r>
            <w:r w:rsidRPr="00DF4CE5">
              <w:rPr>
                <w:rFonts w:ascii="Cambria" w:eastAsia="Cambria" w:hAnsi="Cambria" w:cstheme="minorHAnsi"/>
                <w:lang w:val="hr-HR"/>
              </w:rPr>
              <w:t>s</w:t>
            </w:r>
          </w:p>
          <w:p w14:paraId="78EA65B3" w14:textId="77777777" w:rsidR="00E473D6" w:rsidRPr="00DF4CE5" w:rsidRDefault="00E473D6" w:rsidP="00E473D6">
            <w:pPr>
              <w:widowControl w:val="0"/>
              <w:autoSpaceDE w:val="0"/>
              <w:autoSpaceDN w:val="0"/>
              <w:spacing w:after="0" w:line="240" w:lineRule="auto"/>
              <w:ind w:left="429"/>
              <w:rPr>
                <w:rFonts w:ascii="Cambria" w:eastAsia="Cambria" w:hAnsi="Cambria" w:cstheme="minorHAnsi"/>
                <w:lang w:val="hr-HR"/>
              </w:rPr>
            </w:pPr>
            <w:r w:rsidRPr="00DF4CE5">
              <w:rPr>
                <w:rFonts w:ascii="Cambria" w:eastAsia="Cambria" w:hAnsi="Cambria" w:cstheme="minorHAnsi"/>
                <w:lang w:val="hr-HR"/>
              </w:rPr>
              <w:t>učenicima,</w:t>
            </w:r>
            <w:r w:rsidRPr="00DF4CE5">
              <w:rPr>
                <w:rFonts w:ascii="Cambria" w:eastAsia="Cambria" w:hAnsi="Cambria" w:cstheme="minorHAnsi"/>
                <w:spacing w:val="-2"/>
                <w:lang w:val="hr-HR"/>
              </w:rPr>
              <w:t xml:space="preserve"> </w:t>
            </w:r>
            <w:r w:rsidRPr="00DF4CE5">
              <w:rPr>
                <w:rFonts w:ascii="Cambria" w:eastAsia="Cambria" w:hAnsi="Cambria" w:cstheme="minorHAnsi"/>
                <w:lang w:val="hr-HR"/>
              </w:rPr>
              <w:t>učiteljima</w:t>
            </w:r>
            <w:r w:rsidRPr="00DF4CE5">
              <w:rPr>
                <w:rFonts w:ascii="Cambria" w:eastAsia="Cambria" w:hAnsi="Cambria" w:cstheme="minorHAnsi"/>
                <w:spacing w:val="-2"/>
                <w:lang w:val="hr-HR"/>
              </w:rPr>
              <w:t xml:space="preserve"> </w:t>
            </w:r>
            <w:r w:rsidRPr="00DF4CE5">
              <w:rPr>
                <w:rFonts w:ascii="Cambria" w:eastAsia="Cambria" w:hAnsi="Cambria" w:cstheme="minorHAnsi"/>
                <w:lang w:val="hr-HR"/>
              </w:rPr>
              <w:t>i</w:t>
            </w:r>
            <w:r w:rsidRPr="00DF4CE5">
              <w:rPr>
                <w:rFonts w:ascii="Cambria" w:eastAsia="Cambria" w:hAnsi="Cambria" w:cstheme="minorHAnsi"/>
                <w:spacing w:val="-2"/>
                <w:lang w:val="hr-HR"/>
              </w:rPr>
              <w:t xml:space="preserve"> </w:t>
            </w:r>
            <w:r w:rsidRPr="00DF4CE5">
              <w:rPr>
                <w:rFonts w:ascii="Cambria" w:eastAsia="Cambria" w:hAnsi="Cambria" w:cstheme="minorHAnsi"/>
                <w:lang w:val="hr-HR"/>
              </w:rPr>
              <w:t>roditeljima</w:t>
            </w:r>
          </w:p>
          <w:p w14:paraId="534C74F2" w14:textId="77777777" w:rsidR="00E473D6" w:rsidRPr="00DF4CE5" w:rsidRDefault="00E473D6" w:rsidP="00A034E3">
            <w:pPr>
              <w:widowControl w:val="0"/>
              <w:numPr>
                <w:ilvl w:val="0"/>
                <w:numId w:val="92"/>
              </w:numPr>
              <w:tabs>
                <w:tab w:val="left" w:pos="415"/>
              </w:tabs>
              <w:autoSpaceDE w:val="0"/>
              <w:autoSpaceDN w:val="0"/>
              <w:spacing w:after="0" w:line="240" w:lineRule="auto"/>
              <w:ind w:left="347" w:right="387" w:hanging="204"/>
              <w:rPr>
                <w:rFonts w:ascii="Cambria" w:eastAsia="Cambria" w:hAnsi="Cambria" w:cstheme="minorHAnsi"/>
                <w:lang w:val="hr-HR"/>
              </w:rPr>
            </w:pPr>
            <w:r w:rsidRPr="00DF4CE5">
              <w:rPr>
                <w:rFonts w:ascii="Cambria" w:eastAsia="Cambria" w:hAnsi="Cambria" w:cstheme="minorHAnsi"/>
                <w:lang w:val="hr-HR"/>
              </w:rPr>
              <w:t xml:space="preserve"> realizirati po dva nastavna sata iz Hrvatskog jezika i    Glazbene</w:t>
            </w:r>
            <w:r w:rsidRPr="00DF4CE5">
              <w:rPr>
                <w:rFonts w:ascii="Cambria" w:eastAsia="Cambria" w:hAnsi="Cambria" w:cstheme="minorHAnsi"/>
                <w:spacing w:val="-50"/>
                <w:lang w:val="hr-HR"/>
              </w:rPr>
              <w:t xml:space="preserve"> </w:t>
            </w:r>
            <w:r w:rsidRPr="00DF4CE5">
              <w:rPr>
                <w:rFonts w:ascii="Cambria" w:eastAsia="Cambria" w:hAnsi="Cambria" w:cstheme="minorHAnsi"/>
                <w:lang w:val="hr-HR"/>
              </w:rPr>
              <w:t>kulture</w:t>
            </w:r>
          </w:p>
        </w:tc>
      </w:tr>
      <w:tr w:rsidR="00E473D6" w:rsidRPr="00D0399C" w14:paraId="4B095D9D" w14:textId="77777777" w:rsidTr="0036703C">
        <w:trPr>
          <w:trHeight w:val="4517"/>
        </w:trPr>
        <w:tc>
          <w:tcPr>
            <w:tcW w:w="2554" w:type="dxa"/>
            <w:shd w:val="clear" w:color="auto" w:fill="F3F3F3"/>
          </w:tcPr>
          <w:p w14:paraId="29736C60" w14:textId="77777777" w:rsidR="00E473D6" w:rsidRPr="00DF4CE5" w:rsidRDefault="00E473D6" w:rsidP="00E473D6">
            <w:pPr>
              <w:widowControl w:val="0"/>
              <w:autoSpaceDE w:val="0"/>
              <w:autoSpaceDN w:val="0"/>
              <w:spacing w:after="0" w:line="240" w:lineRule="auto"/>
              <w:rPr>
                <w:rFonts w:ascii="Cambria" w:eastAsia="Cambria" w:hAnsi="Cambria" w:cstheme="minorHAnsi"/>
                <w:lang w:val="hr-HR"/>
              </w:rPr>
            </w:pPr>
          </w:p>
          <w:p w14:paraId="4C116947" w14:textId="77777777" w:rsidR="00E473D6" w:rsidRPr="00DF4CE5" w:rsidRDefault="00E473D6" w:rsidP="00E473D6">
            <w:pPr>
              <w:widowControl w:val="0"/>
              <w:autoSpaceDE w:val="0"/>
              <w:autoSpaceDN w:val="0"/>
              <w:spacing w:after="0" w:line="240" w:lineRule="auto"/>
              <w:rPr>
                <w:rFonts w:ascii="Cambria" w:eastAsia="Cambria" w:hAnsi="Cambria" w:cstheme="minorHAnsi"/>
                <w:lang w:val="hr-HR"/>
              </w:rPr>
            </w:pPr>
          </w:p>
          <w:p w14:paraId="5300B0CB" w14:textId="77777777" w:rsidR="00E473D6" w:rsidRPr="00DF4CE5" w:rsidRDefault="00E473D6" w:rsidP="00E473D6">
            <w:pPr>
              <w:widowControl w:val="0"/>
              <w:autoSpaceDE w:val="0"/>
              <w:autoSpaceDN w:val="0"/>
              <w:spacing w:after="0" w:line="240" w:lineRule="auto"/>
              <w:ind w:left="107"/>
              <w:rPr>
                <w:rFonts w:ascii="Cambria" w:eastAsia="Cambria" w:hAnsi="Cambria" w:cstheme="minorHAnsi"/>
                <w:lang w:val="hr-HR"/>
              </w:rPr>
            </w:pPr>
            <w:r w:rsidRPr="00DF4CE5">
              <w:rPr>
                <w:rFonts w:ascii="Cambria" w:eastAsia="Cambria" w:hAnsi="Cambria" w:cstheme="minorHAnsi"/>
                <w:lang w:val="hr-HR"/>
              </w:rPr>
              <w:t>Sadržaj</w:t>
            </w:r>
            <w:r w:rsidRPr="00DF4CE5">
              <w:rPr>
                <w:rFonts w:ascii="Cambria" w:eastAsia="Cambria" w:hAnsi="Cambria" w:cstheme="minorHAnsi"/>
                <w:spacing w:val="-3"/>
                <w:lang w:val="hr-HR"/>
              </w:rPr>
              <w:t xml:space="preserve"> </w:t>
            </w:r>
            <w:r w:rsidRPr="00DF4CE5">
              <w:rPr>
                <w:rFonts w:ascii="Cambria" w:eastAsia="Cambria" w:hAnsi="Cambria" w:cstheme="minorHAnsi"/>
                <w:lang w:val="hr-HR"/>
              </w:rPr>
              <w:t>kolegija</w:t>
            </w:r>
          </w:p>
        </w:tc>
        <w:tc>
          <w:tcPr>
            <w:tcW w:w="7086" w:type="dxa"/>
            <w:gridSpan w:val="7"/>
          </w:tcPr>
          <w:p w14:paraId="5C8B3A14" w14:textId="77777777" w:rsidR="00E473D6" w:rsidRPr="00DF4CE5" w:rsidRDefault="00E473D6" w:rsidP="00E473D6">
            <w:pPr>
              <w:widowControl w:val="0"/>
              <w:autoSpaceDE w:val="0"/>
              <w:autoSpaceDN w:val="0"/>
              <w:spacing w:after="0" w:line="240" w:lineRule="auto"/>
              <w:ind w:left="107" w:right="442"/>
              <w:rPr>
                <w:rFonts w:ascii="Cambria" w:eastAsia="Cambria" w:hAnsi="Cambria" w:cstheme="minorHAnsi"/>
                <w:lang w:val="hr-HR"/>
              </w:rPr>
            </w:pPr>
            <w:r w:rsidRPr="00DF4CE5">
              <w:rPr>
                <w:rFonts w:ascii="Cambria" w:eastAsia="Cambria" w:hAnsi="Cambria" w:cstheme="minorHAnsi"/>
                <w:lang w:val="hr-HR"/>
              </w:rPr>
              <w:t>Studenti stručno-pedagošku praksu ostvaruju u odabranoj školi</w:t>
            </w:r>
            <w:r w:rsidRPr="00DF4CE5">
              <w:rPr>
                <w:rFonts w:ascii="Cambria" w:eastAsia="Cambria" w:hAnsi="Cambria" w:cstheme="minorHAnsi"/>
                <w:spacing w:val="-51"/>
                <w:lang w:val="hr-HR"/>
              </w:rPr>
              <w:t xml:space="preserve"> </w:t>
            </w:r>
            <w:r w:rsidRPr="00DF4CE5">
              <w:rPr>
                <w:rFonts w:ascii="Cambria" w:eastAsia="Cambria" w:hAnsi="Cambria" w:cstheme="minorHAnsi"/>
                <w:lang w:val="hr-HR"/>
              </w:rPr>
              <w:t>tijekom zimskog semestra i u veljači (100 sati), pod vodstvom</w:t>
            </w:r>
            <w:r w:rsidRPr="00DF4CE5">
              <w:rPr>
                <w:rFonts w:ascii="Cambria" w:eastAsia="Cambria" w:hAnsi="Cambria" w:cstheme="minorHAnsi"/>
                <w:spacing w:val="1"/>
                <w:lang w:val="hr-HR"/>
              </w:rPr>
              <w:t xml:space="preserve"> </w:t>
            </w:r>
            <w:r w:rsidRPr="00DF4CE5">
              <w:rPr>
                <w:rFonts w:ascii="Cambria" w:eastAsia="Cambria" w:hAnsi="Cambria" w:cstheme="minorHAnsi"/>
                <w:lang w:val="hr-HR"/>
              </w:rPr>
              <w:t>učitelja-mentora.</w:t>
            </w:r>
          </w:p>
          <w:p w14:paraId="64400567" w14:textId="77777777" w:rsidR="00E473D6" w:rsidRPr="00DF4CE5" w:rsidRDefault="00E473D6" w:rsidP="00E473D6">
            <w:pPr>
              <w:widowControl w:val="0"/>
              <w:autoSpaceDE w:val="0"/>
              <w:autoSpaceDN w:val="0"/>
              <w:spacing w:after="0" w:line="240" w:lineRule="auto"/>
              <w:ind w:left="107"/>
              <w:rPr>
                <w:rFonts w:ascii="Cambria" w:eastAsia="Cambria" w:hAnsi="Cambria" w:cstheme="minorHAnsi"/>
                <w:lang w:val="hr-HR"/>
              </w:rPr>
            </w:pPr>
            <w:r w:rsidRPr="00DF4CE5">
              <w:rPr>
                <w:rFonts w:ascii="Cambria" w:eastAsia="Cambria" w:hAnsi="Cambria" w:cstheme="minorHAnsi"/>
                <w:lang w:val="hr-HR"/>
              </w:rPr>
              <w:t>Nastavni</w:t>
            </w:r>
            <w:r w:rsidRPr="00DF4CE5">
              <w:rPr>
                <w:rFonts w:ascii="Cambria" w:eastAsia="Cambria" w:hAnsi="Cambria" w:cstheme="minorHAnsi"/>
                <w:spacing w:val="-4"/>
                <w:lang w:val="hr-HR"/>
              </w:rPr>
              <w:t xml:space="preserve"> </w:t>
            </w:r>
            <w:r w:rsidRPr="00DF4CE5">
              <w:rPr>
                <w:rFonts w:ascii="Cambria" w:eastAsia="Cambria" w:hAnsi="Cambria" w:cstheme="minorHAnsi"/>
                <w:lang w:val="hr-HR"/>
              </w:rPr>
              <w:t>program</w:t>
            </w:r>
            <w:r w:rsidRPr="00DF4CE5">
              <w:rPr>
                <w:rFonts w:ascii="Cambria" w:eastAsia="Cambria" w:hAnsi="Cambria" w:cstheme="minorHAnsi"/>
                <w:spacing w:val="-4"/>
                <w:lang w:val="hr-HR"/>
              </w:rPr>
              <w:t xml:space="preserve"> </w:t>
            </w:r>
            <w:r w:rsidRPr="00DF4CE5">
              <w:rPr>
                <w:rFonts w:ascii="Cambria" w:eastAsia="Cambria" w:hAnsi="Cambria" w:cstheme="minorHAnsi"/>
                <w:lang w:val="hr-HR"/>
              </w:rPr>
              <w:t>Stručne</w:t>
            </w:r>
            <w:r w:rsidRPr="00DF4CE5">
              <w:rPr>
                <w:rFonts w:ascii="Cambria" w:eastAsia="Cambria" w:hAnsi="Cambria" w:cstheme="minorHAnsi"/>
                <w:spacing w:val="-3"/>
                <w:lang w:val="hr-HR"/>
              </w:rPr>
              <w:t xml:space="preserve"> </w:t>
            </w:r>
            <w:r w:rsidRPr="00DF4CE5">
              <w:rPr>
                <w:rFonts w:ascii="Cambria" w:eastAsia="Cambria" w:hAnsi="Cambria" w:cstheme="minorHAnsi"/>
                <w:lang w:val="hr-HR"/>
              </w:rPr>
              <w:t>prakse</w:t>
            </w:r>
            <w:r w:rsidRPr="00DF4CE5">
              <w:rPr>
                <w:rFonts w:ascii="Cambria" w:eastAsia="Cambria" w:hAnsi="Cambria" w:cstheme="minorHAnsi"/>
                <w:spacing w:val="-4"/>
                <w:lang w:val="hr-HR"/>
              </w:rPr>
              <w:t xml:space="preserve"> </w:t>
            </w:r>
            <w:r w:rsidRPr="00DF4CE5">
              <w:rPr>
                <w:rFonts w:ascii="Cambria" w:eastAsia="Cambria" w:hAnsi="Cambria" w:cstheme="minorHAnsi"/>
                <w:lang w:val="hr-HR"/>
              </w:rPr>
              <w:t>IV.</w:t>
            </w:r>
            <w:r w:rsidRPr="00DF4CE5">
              <w:rPr>
                <w:rFonts w:ascii="Cambria" w:eastAsia="Cambria" w:hAnsi="Cambria" w:cstheme="minorHAnsi"/>
                <w:spacing w:val="-3"/>
                <w:lang w:val="hr-HR"/>
              </w:rPr>
              <w:t xml:space="preserve"> </w:t>
            </w:r>
            <w:r w:rsidRPr="00DF4CE5">
              <w:rPr>
                <w:rFonts w:ascii="Cambria" w:eastAsia="Cambria" w:hAnsi="Cambria" w:cstheme="minorHAnsi"/>
                <w:lang w:val="hr-HR"/>
              </w:rPr>
              <w:t>predviđa:</w:t>
            </w:r>
          </w:p>
          <w:p w14:paraId="071C2F17" w14:textId="77777777" w:rsidR="00E473D6" w:rsidRPr="00DF4CE5" w:rsidRDefault="00E473D6" w:rsidP="00A034E3">
            <w:pPr>
              <w:widowControl w:val="0"/>
              <w:numPr>
                <w:ilvl w:val="0"/>
                <w:numId w:val="95"/>
              </w:numPr>
              <w:autoSpaceDE w:val="0"/>
              <w:autoSpaceDN w:val="0"/>
              <w:spacing w:after="0" w:line="240" w:lineRule="auto"/>
              <w:ind w:right="91"/>
              <w:rPr>
                <w:rFonts w:ascii="Cambria" w:eastAsia="Cambria" w:hAnsi="Cambria" w:cstheme="minorHAnsi"/>
                <w:lang w:val="hr-HR"/>
              </w:rPr>
            </w:pPr>
            <w:r w:rsidRPr="00DF4CE5">
              <w:rPr>
                <w:rFonts w:ascii="Cambria" w:eastAsia="Cambria" w:hAnsi="Cambria" w:cstheme="minorHAnsi"/>
                <w:lang w:val="hr-HR"/>
              </w:rPr>
              <w:t>Upoznavanje</w:t>
            </w:r>
            <w:r w:rsidRPr="00DF4CE5">
              <w:rPr>
                <w:rFonts w:ascii="Cambria" w:eastAsia="Cambria" w:hAnsi="Cambria" w:cstheme="minorHAnsi"/>
                <w:spacing w:val="51"/>
                <w:lang w:val="hr-HR"/>
              </w:rPr>
              <w:t xml:space="preserve"> </w:t>
            </w:r>
            <w:r w:rsidRPr="00DF4CE5">
              <w:rPr>
                <w:rFonts w:ascii="Cambria" w:eastAsia="Cambria" w:hAnsi="Cambria" w:cstheme="minorHAnsi"/>
                <w:lang w:val="hr-HR"/>
              </w:rPr>
              <w:t>s</w:t>
            </w:r>
            <w:r w:rsidRPr="00DF4CE5">
              <w:rPr>
                <w:rFonts w:ascii="Cambria" w:eastAsia="Cambria" w:hAnsi="Cambria" w:cstheme="minorHAnsi"/>
                <w:spacing w:val="49"/>
                <w:lang w:val="hr-HR"/>
              </w:rPr>
              <w:t xml:space="preserve"> </w:t>
            </w:r>
            <w:r w:rsidRPr="00DF4CE5">
              <w:rPr>
                <w:rFonts w:ascii="Cambria" w:eastAsia="Cambria" w:hAnsi="Cambria" w:cstheme="minorHAnsi"/>
                <w:lang w:val="hr-HR"/>
              </w:rPr>
              <w:t>planiranjem,</w:t>
            </w:r>
            <w:r w:rsidRPr="00DF4CE5">
              <w:rPr>
                <w:rFonts w:ascii="Cambria" w:eastAsia="Cambria" w:hAnsi="Cambria" w:cstheme="minorHAnsi"/>
                <w:spacing w:val="49"/>
                <w:lang w:val="hr-HR"/>
              </w:rPr>
              <w:t xml:space="preserve"> </w:t>
            </w:r>
            <w:r w:rsidRPr="00DF4CE5">
              <w:rPr>
                <w:rFonts w:ascii="Cambria" w:eastAsia="Cambria" w:hAnsi="Cambria" w:cstheme="minorHAnsi"/>
                <w:lang w:val="hr-HR"/>
              </w:rPr>
              <w:t>programiranjem</w:t>
            </w:r>
            <w:r w:rsidRPr="00DF4CE5">
              <w:rPr>
                <w:rFonts w:ascii="Cambria" w:eastAsia="Cambria" w:hAnsi="Cambria" w:cstheme="minorHAnsi"/>
                <w:spacing w:val="52"/>
                <w:lang w:val="hr-HR"/>
              </w:rPr>
              <w:t xml:space="preserve"> </w:t>
            </w:r>
            <w:r w:rsidRPr="00DF4CE5">
              <w:rPr>
                <w:rFonts w:ascii="Cambria" w:eastAsia="Cambria" w:hAnsi="Cambria" w:cstheme="minorHAnsi"/>
                <w:lang w:val="hr-HR"/>
              </w:rPr>
              <w:t>i</w:t>
            </w:r>
            <w:r w:rsidRPr="00DF4CE5">
              <w:rPr>
                <w:rFonts w:ascii="Cambria" w:eastAsia="Cambria" w:hAnsi="Cambria" w:cstheme="minorHAnsi"/>
                <w:spacing w:val="51"/>
                <w:lang w:val="hr-HR"/>
              </w:rPr>
              <w:t xml:space="preserve"> </w:t>
            </w:r>
            <w:r w:rsidRPr="00DF4CE5">
              <w:rPr>
                <w:rFonts w:ascii="Cambria" w:eastAsia="Cambria" w:hAnsi="Cambria" w:cstheme="minorHAnsi"/>
                <w:lang w:val="hr-HR"/>
              </w:rPr>
              <w:t>pripremanjem</w:t>
            </w:r>
            <w:r w:rsidRPr="00DF4CE5">
              <w:rPr>
                <w:rFonts w:ascii="Cambria" w:eastAsia="Cambria" w:hAnsi="Cambria" w:cstheme="minorHAnsi"/>
                <w:spacing w:val="-50"/>
                <w:lang w:val="hr-HR"/>
              </w:rPr>
              <w:t xml:space="preserve"> </w:t>
            </w:r>
            <w:r w:rsidRPr="00DF4CE5">
              <w:rPr>
                <w:rFonts w:ascii="Cambria" w:eastAsia="Cambria" w:hAnsi="Cambria" w:cstheme="minorHAnsi"/>
                <w:lang w:val="hr-HR"/>
              </w:rPr>
              <w:t>odgojno-obrazovnog</w:t>
            </w:r>
            <w:r w:rsidRPr="00DF4CE5">
              <w:rPr>
                <w:rFonts w:ascii="Cambria" w:eastAsia="Cambria" w:hAnsi="Cambria" w:cstheme="minorHAnsi"/>
                <w:spacing w:val="-2"/>
                <w:lang w:val="hr-HR"/>
              </w:rPr>
              <w:t xml:space="preserve"> </w:t>
            </w:r>
            <w:r w:rsidRPr="00DF4CE5">
              <w:rPr>
                <w:rFonts w:ascii="Cambria" w:eastAsia="Cambria" w:hAnsi="Cambria" w:cstheme="minorHAnsi"/>
                <w:lang w:val="hr-HR"/>
              </w:rPr>
              <w:t>rada</w:t>
            </w:r>
            <w:r w:rsidRPr="00DF4CE5">
              <w:rPr>
                <w:rFonts w:ascii="Cambria" w:eastAsia="Cambria" w:hAnsi="Cambria" w:cstheme="minorHAnsi"/>
                <w:spacing w:val="-1"/>
                <w:lang w:val="hr-HR"/>
              </w:rPr>
              <w:t xml:space="preserve"> </w:t>
            </w:r>
            <w:r w:rsidRPr="00DF4CE5">
              <w:rPr>
                <w:rFonts w:ascii="Cambria" w:eastAsia="Cambria" w:hAnsi="Cambria" w:cstheme="minorHAnsi"/>
                <w:lang w:val="hr-HR"/>
              </w:rPr>
              <w:t>u</w:t>
            </w:r>
            <w:r w:rsidRPr="00DF4CE5">
              <w:rPr>
                <w:rFonts w:ascii="Cambria" w:eastAsia="Cambria" w:hAnsi="Cambria" w:cstheme="minorHAnsi"/>
                <w:spacing w:val="-1"/>
                <w:lang w:val="hr-HR"/>
              </w:rPr>
              <w:t xml:space="preserve"> </w:t>
            </w:r>
            <w:r w:rsidRPr="00DF4CE5">
              <w:rPr>
                <w:rFonts w:ascii="Cambria" w:eastAsia="Cambria" w:hAnsi="Cambria" w:cstheme="minorHAnsi"/>
                <w:lang w:val="hr-HR"/>
              </w:rPr>
              <w:t>nastavi</w:t>
            </w:r>
          </w:p>
          <w:p w14:paraId="5F4743B2" w14:textId="77777777" w:rsidR="00E473D6" w:rsidRPr="00DF4CE5" w:rsidRDefault="00E473D6" w:rsidP="00A034E3">
            <w:pPr>
              <w:widowControl w:val="0"/>
              <w:numPr>
                <w:ilvl w:val="0"/>
                <w:numId w:val="95"/>
              </w:numPr>
              <w:tabs>
                <w:tab w:val="left" w:pos="468"/>
              </w:tabs>
              <w:autoSpaceDE w:val="0"/>
              <w:autoSpaceDN w:val="0"/>
              <w:spacing w:after="0" w:line="240" w:lineRule="auto"/>
              <w:ind w:right="93"/>
              <w:rPr>
                <w:rFonts w:ascii="Cambria" w:eastAsia="Cambria" w:hAnsi="Cambria" w:cstheme="minorHAnsi"/>
                <w:lang w:val="hr-HR"/>
              </w:rPr>
            </w:pPr>
            <w:r w:rsidRPr="00DF4CE5">
              <w:rPr>
                <w:rFonts w:ascii="Cambria" w:eastAsia="Cambria" w:hAnsi="Cambria" w:cstheme="minorHAnsi"/>
                <w:lang w:val="hr-HR"/>
              </w:rPr>
              <w:t>Upoznavanje</w:t>
            </w:r>
            <w:r w:rsidRPr="00DF4CE5">
              <w:rPr>
                <w:rFonts w:ascii="Cambria" w:eastAsia="Cambria" w:hAnsi="Cambria" w:cstheme="minorHAnsi"/>
                <w:spacing w:val="14"/>
                <w:lang w:val="hr-HR"/>
              </w:rPr>
              <w:t xml:space="preserve"> </w:t>
            </w:r>
            <w:r w:rsidRPr="00DF4CE5">
              <w:rPr>
                <w:rFonts w:ascii="Cambria" w:eastAsia="Cambria" w:hAnsi="Cambria" w:cstheme="minorHAnsi"/>
                <w:lang w:val="hr-HR"/>
              </w:rPr>
              <w:t>sa</w:t>
            </w:r>
            <w:r w:rsidRPr="00DF4CE5">
              <w:rPr>
                <w:rFonts w:ascii="Cambria" w:eastAsia="Cambria" w:hAnsi="Cambria" w:cstheme="minorHAnsi"/>
                <w:spacing w:val="14"/>
                <w:lang w:val="hr-HR"/>
              </w:rPr>
              <w:t xml:space="preserve"> </w:t>
            </w:r>
            <w:r w:rsidRPr="00DF4CE5">
              <w:rPr>
                <w:rFonts w:ascii="Cambria" w:eastAsia="Cambria" w:hAnsi="Cambria" w:cstheme="minorHAnsi"/>
                <w:lang w:val="hr-HR"/>
              </w:rPr>
              <w:t>zdravstvenom,</w:t>
            </w:r>
            <w:r w:rsidRPr="00DF4CE5">
              <w:rPr>
                <w:rFonts w:ascii="Cambria" w:eastAsia="Cambria" w:hAnsi="Cambria" w:cstheme="minorHAnsi"/>
                <w:spacing w:val="15"/>
                <w:lang w:val="hr-HR"/>
              </w:rPr>
              <w:t xml:space="preserve"> </w:t>
            </w:r>
            <w:r w:rsidRPr="00DF4CE5">
              <w:rPr>
                <w:rFonts w:ascii="Cambria" w:eastAsia="Cambria" w:hAnsi="Cambria" w:cstheme="minorHAnsi"/>
                <w:lang w:val="hr-HR"/>
              </w:rPr>
              <w:t>socijalnom</w:t>
            </w:r>
            <w:r w:rsidRPr="00DF4CE5">
              <w:rPr>
                <w:rFonts w:ascii="Cambria" w:eastAsia="Cambria" w:hAnsi="Cambria" w:cstheme="minorHAnsi"/>
                <w:spacing w:val="13"/>
                <w:lang w:val="hr-HR"/>
              </w:rPr>
              <w:t xml:space="preserve"> </w:t>
            </w:r>
            <w:r w:rsidRPr="00DF4CE5">
              <w:rPr>
                <w:rFonts w:ascii="Cambria" w:eastAsia="Cambria" w:hAnsi="Cambria" w:cstheme="minorHAnsi"/>
                <w:lang w:val="hr-HR"/>
              </w:rPr>
              <w:t>i</w:t>
            </w:r>
            <w:r w:rsidRPr="00DF4CE5">
              <w:rPr>
                <w:rFonts w:ascii="Cambria" w:eastAsia="Cambria" w:hAnsi="Cambria" w:cstheme="minorHAnsi"/>
                <w:spacing w:val="15"/>
                <w:lang w:val="hr-HR"/>
              </w:rPr>
              <w:t xml:space="preserve"> </w:t>
            </w:r>
            <w:r w:rsidRPr="00DF4CE5">
              <w:rPr>
                <w:rFonts w:ascii="Cambria" w:eastAsia="Cambria" w:hAnsi="Cambria" w:cstheme="minorHAnsi"/>
                <w:lang w:val="hr-HR"/>
              </w:rPr>
              <w:t>ekološkom</w:t>
            </w:r>
            <w:r w:rsidRPr="00DF4CE5">
              <w:rPr>
                <w:rFonts w:ascii="Cambria" w:eastAsia="Cambria" w:hAnsi="Cambria" w:cstheme="minorHAnsi"/>
                <w:spacing w:val="15"/>
                <w:lang w:val="hr-HR"/>
              </w:rPr>
              <w:t xml:space="preserve"> </w:t>
            </w:r>
            <w:r w:rsidRPr="00DF4CE5">
              <w:rPr>
                <w:rFonts w:ascii="Cambria" w:eastAsia="Cambria" w:hAnsi="Cambria" w:cstheme="minorHAnsi"/>
                <w:lang w:val="hr-HR"/>
              </w:rPr>
              <w:t>skrbi</w:t>
            </w:r>
            <w:r w:rsidRPr="00DF4CE5">
              <w:rPr>
                <w:rFonts w:ascii="Cambria" w:eastAsia="Cambria" w:hAnsi="Cambria" w:cstheme="minorHAnsi"/>
                <w:spacing w:val="14"/>
                <w:lang w:val="hr-HR"/>
              </w:rPr>
              <w:t xml:space="preserve"> </w:t>
            </w:r>
            <w:r w:rsidRPr="00DF4CE5">
              <w:rPr>
                <w:rFonts w:ascii="Cambria" w:eastAsia="Cambria" w:hAnsi="Cambria" w:cstheme="minorHAnsi"/>
                <w:lang w:val="hr-HR"/>
              </w:rPr>
              <w:t>o</w:t>
            </w:r>
            <w:r w:rsidRPr="00DF4CE5">
              <w:rPr>
                <w:rFonts w:ascii="Cambria" w:eastAsia="Cambria" w:hAnsi="Cambria" w:cstheme="minorHAnsi"/>
                <w:spacing w:val="-50"/>
                <w:lang w:val="hr-HR"/>
              </w:rPr>
              <w:t xml:space="preserve"> </w:t>
            </w:r>
            <w:r w:rsidRPr="00DF4CE5">
              <w:rPr>
                <w:rFonts w:ascii="Cambria" w:eastAsia="Cambria" w:hAnsi="Cambria" w:cstheme="minorHAnsi"/>
                <w:lang w:val="hr-HR"/>
              </w:rPr>
              <w:t>učenicima</w:t>
            </w:r>
          </w:p>
          <w:p w14:paraId="4BFCE24C" w14:textId="77777777" w:rsidR="00E473D6" w:rsidRPr="00DF4CE5" w:rsidRDefault="00E473D6" w:rsidP="00A034E3">
            <w:pPr>
              <w:widowControl w:val="0"/>
              <w:numPr>
                <w:ilvl w:val="0"/>
                <w:numId w:val="95"/>
              </w:numPr>
              <w:tabs>
                <w:tab w:val="left" w:pos="468"/>
              </w:tabs>
              <w:autoSpaceDE w:val="0"/>
              <w:autoSpaceDN w:val="0"/>
              <w:spacing w:after="0" w:line="240" w:lineRule="auto"/>
              <w:rPr>
                <w:rFonts w:ascii="Cambria" w:eastAsia="Cambria" w:hAnsi="Cambria" w:cstheme="minorHAnsi"/>
                <w:lang w:val="hr-HR"/>
              </w:rPr>
            </w:pPr>
            <w:r w:rsidRPr="00DF4CE5">
              <w:rPr>
                <w:rFonts w:ascii="Cambria" w:eastAsia="Cambria" w:hAnsi="Cambria" w:cstheme="minorHAnsi"/>
                <w:lang w:val="hr-HR"/>
              </w:rPr>
              <w:t>Upoznavanje</w:t>
            </w:r>
            <w:r w:rsidRPr="00DF4CE5">
              <w:rPr>
                <w:rFonts w:ascii="Cambria" w:eastAsia="Cambria" w:hAnsi="Cambria" w:cstheme="minorHAnsi"/>
                <w:spacing w:val="51"/>
                <w:lang w:val="hr-HR"/>
              </w:rPr>
              <w:t xml:space="preserve"> </w:t>
            </w:r>
            <w:r w:rsidRPr="00DF4CE5">
              <w:rPr>
                <w:rFonts w:ascii="Cambria" w:eastAsia="Cambria" w:hAnsi="Cambria" w:cstheme="minorHAnsi"/>
                <w:lang w:val="hr-HR"/>
              </w:rPr>
              <w:t>sa</w:t>
            </w:r>
            <w:r w:rsidRPr="00DF4CE5">
              <w:rPr>
                <w:rFonts w:ascii="Cambria" w:eastAsia="Cambria" w:hAnsi="Cambria" w:cstheme="minorHAnsi"/>
                <w:spacing w:val="52"/>
                <w:lang w:val="hr-HR"/>
              </w:rPr>
              <w:t xml:space="preserve"> </w:t>
            </w:r>
            <w:r w:rsidRPr="00DF4CE5">
              <w:rPr>
                <w:rFonts w:ascii="Cambria" w:eastAsia="Cambria" w:hAnsi="Cambria" w:cstheme="minorHAnsi"/>
                <w:lang w:val="hr-HR"/>
              </w:rPr>
              <w:t>suradnjom</w:t>
            </w:r>
            <w:r w:rsidRPr="00DF4CE5">
              <w:rPr>
                <w:rFonts w:ascii="Cambria" w:eastAsia="Cambria" w:hAnsi="Cambria" w:cstheme="minorHAnsi"/>
                <w:spacing w:val="51"/>
                <w:lang w:val="hr-HR"/>
              </w:rPr>
              <w:t xml:space="preserve"> </w:t>
            </w:r>
            <w:r w:rsidRPr="00DF4CE5">
              <w:rPr>
                <w:rFonts w:ascii="Cambria" w:eastAsia="Cambria" w:hAnsi="Cambria" w:cstheme="minorHAnsi"/>
                <w:lang w:val="hr-HR"/>
              </w:rPr>
              <w:t>škole</w:t>
            </w:r>
            <w:r w:rsidRPr="00DF4CE5">
              <w:rPr>
                <w:rFonts w:ascii="Cambria" w:eastAsia="Cambria" w:hAnsi="Cambria" w:cstheme="minorHAnsi"/>
                <w:spacing w:val="51"/>
                <w:lang w:val="hr-HR"/>
              </w:rPr>
              <w:t xml:space="preserve"> </w:t>
            </w:r>
            <w:r w:rsidRPr="00DF4CE5">
              <w:rPr>
                <w:rFonts w:ascii="Cambria" w:eastAsia="Cambria" w:hAnsi="Cambria" w:cstheme="minorHAnsi"/>
                <w:lang w:val="hr-HR"/>
              </w:rPr>
              <w:t>s</w:t>
            </w:r>
            <w:r w:rsidRPr="00DF4CE5">
              <w:rPr>
                <w:rFonts w:ascii="Cambria" w:eastAsia="Cambria" w:hAnsi="Cambria" w:cstheme="minorHAnsi"/>
                <w:spacing w:val="53"/>
                <w:lang w:val="hr-HR"/>
              </w:rPr>
              <w:t xml:space="preserve"> </w:t>
            </w:r>
            <w:r w:rsidRPr="00DF4CE5">
              <w:rPr>
                <w:rFonts w:ascii="Cambria" w:eastAsia="Cambria" w:hAnsi="Cambria" w:cstheme="minorHAnsi"/>
                <w:lang w:val="hr-HR"/>
              </w:rPr>
              <w:t>relevantnim</w:t>
            </w:r>
            <w:r w:rsidRPr="00DF4CE5">
              <w:rPr>
                <w:rFonts w:ascii="Cambria" w:eastAsia="Cambria" w:hAnsi="Cambria" w:cstheme="minorHAnsi"/>
                <w:spacing w:val="50"/>
                <w:lang w:val="hr-HR"/>
              </w:rPr>
              <w:t xml:space="preserve"> </w:t>
            </w:r>
            <w:r w:rsidRPr="00DF4CE5">
              <w:rPr>
                <w:rFonts w:ascii="Cambria" w:eastAsia="Cambria" w:hAnsi="Cambria" w:cstheme="minorHAnsi"/>
                <w:lang w:val="hr-HR"/>
              </w:rPr>
              <w:t>subjektima</w:t>
            </w:r>
            <w:r w:rsidRPr="00DF4CE5">
              <w:rPr>
                <w:rFonts w:ascii="Cambria" w:eastAsia="Cambria" w:hAnsi="Cambria" w:cstheme="minorHAnsi"/>
                <w:spacing w:val="52"/>
                <w:lang w:val="hr-HR"/>
              </w:rPr>
              <w:t xml:space="preserve"> </w:t>
            </w:r>
            <w:r w:rsidRPr="00DF4CE5">
              <w:rPr>
                <w:rFonts w:ascii="Cambria" w:eastAsia="Cambria" w:hAnsi="Cambria" w:cstheme="minorHAnsi"/>
                <w:lang w:val="hr-HR"/>
              </w:rPr>
              <w:t>i</w:t>
            </w:r>
          </w:p>
          <w:p w14:paraId="3F826742" w14:textId="77777777" w:rsidR="00E473D6" w:rsidRPr="00DF4CE5" w:rsidRDefault="00E473D6" w:rsidP="00E473D6">
            <w:pPr>
              <w:widowControl w:val="0"/>
              <w:autoSpaceDE w:val="0"/>
              <w:autoSpaceDN w:val="0"/>
              <w:spacing w:after="0" w:line="240" w:lineRule="auto"/>
              <w:ind w:left="467"/>
              <w:rPr>
                <w:rFonts w:ascii="Cambria" w:eastAsia="Cambria" w:hAnsi="Cambria" w:cstheme="minorHAnsi"/>
                <w:lang w:val="hr-HR"/>
              </w:rPr>
            </w:pPr>
            <w:r w:rsidRPr="00DF4CE5">
              <w:rPr>
                <w:rFonts w:ascii="Cambria" w:eastAsia="Cambria" w:hAnsi="Cambria" w:cstheme="minorHAnsi"/>
                <w:lang w:val="hr-HR"/>
              </w:rPr>
              <w:t>institucijama</w:t>
            </w:r>
            <w:r w:rsidRPr="00DF4CE5">
              <w:rPr>
                <w:rFonts w:ascii="Cambria" w:eastAsia="Cambria" w:hAnsi="Cambria" w:cstheme="minorHAnsi"/>
                <w:spacing w:val="-5"/>
                <w:lang w:val="hr-HR"/>
              </w:rPr>
              <w:t xml:space="preserve"> </w:t>
            </w:r>
            <w:r w:rsidRPr="00DF4CE5">
              <w:rPr>
                <w:rFonts w:ascii="Cambria" w:eastAsia="Cambria" w:hAnsi="Cambria" w:cstheme="minorHAnsi"/>
                <w:lang w:val="hr-HR"/>
              </w:rPr>
              <w:t>za</w:t>
            </w:r>
            <w:r w:rsidRPr="00DF4CE5">
              <w:rPr>
                <w:rFonts w:ascii="Cambria" w:eastAsia="Cambria" w:hAnsi="Cambria" w:cstheme="minorHAnsi"/>
                <w:spacing w:val="-4"/>
                <w:lang w:val="hr-HR"/>
              </w:rPr>
              <w:t xml:space="preserve"> </w:t>
            </w:r>
            <w:r w:rsidRPr="00DF4CE5">
              <w:rPr>
                <w:rFonts w:ascii="Cambria" w:eastAsia="Cambria" w:hAnsi="Cambria" w:cstheme="minorHAnsi"/>
                <w:lang w:val="hr-HR"/>
              </w:rPr>
              <w:t>odgojno-obrazovni</w:t>
            </w:r>
            <w:r w:rsidRPr="00DF4CE5">
              <w:rPr>
                <w:rFonts w:ascii="Cambria" w:eastAsia="Cambria" w:hAnsi="Cambria" w:cstheme="minorHAnsi"/>
                <w:spacing w:val="-3"/>
                <w:lang w:val="hr-HR"/>
              </w:rPr>
              <w:t xml:space="preserve"> </w:t>
            </w:r>
            <w:r w:rsidRPr="00DF4CE5">
              <w:rPr>
                <w:rFonts w:ascii="Cambria" w:eastAsia="Cambria" w:hAnsi="Cambria" w:cstheme="minorHAnsi"/>
                <w:lang w:val="hr-HR"/>
              </w:rPr>
              <w:t>rad</w:t>
            </w:r>
          </w:p>
          <w:p w14:paraId="08C02D2A" w14:textId="77777777" w:rsidR="00E473D6" w:rsidRPr="00DF4CE5" w:rsidRDefault="00E473D6" w:rsidP="00A034E3">
            <w:pPr>
              <w:widowControl w:val="0"/>
              <w:numPr>
                <w:ilvl w:val="0"/>
                <w:numId w:val="95"/>
              </w:numPr>
              <w:tabs>
                <w:tab w:val="left" w:pos="468"/>
              </w:tabs>
              <w:autoSpaceDE w:val="0"/>
              <w:autoSpaceDN w:val="0"/>
              <w:spacing w:after="0" w:line="240" w:lineRule="auto"/>
              <w:rPr>
                <w:rFonts w:ascii="Cambria" w:eastAsia="Cambria" w:hAnsi="Cambria" w:cstheme="minorHAnsi"/>
                <w:lang w:val="hr-HR"/>
              </w:rPr>
            </w:pPr>
            <w:r w:rsidRPr="00DF4CE5">
              <w:rPr>
                <w:rFonts w:ascii="Cambria" w:eastAsia="Cambria" w:hAnsi="Cambria" w:cstheme="minorHAnsi"/>
                <w:lang w:val="hr-HR"/>
              </w:rPr>
              <w:t>Prisustvovanje</w:t>
            </w:r>
            <w:r w:rsidRPr="00DF4CE5">
              <w:rPr>
                <w:rFonts w:ascii="Cambria" w:eastAsia="Cambria" w:hAnsi="Cambria" w:cstheme="minorHAnsi"/>
                <w:spacing w:val="-3"/>
                <w:lang w:val="hr-HR"/>
              </w:rPr>
              <w:t xml:space="preserve"> </w:t>
            </w:r>
            <w:r w:rsidRPr="00DF4CE5">
              <w:rPr>
                <w:rFonts w:ascii="Cambria" w:eastAsia="Cambria" w:hAnsi="Cambria" w:cstheme="minorHAnsi"/>
                <w:lang w:val="hr-HR"/>
              </w:rPr>
              <w:t>radu</w:t>
            </w:r>
            <w:r w:rsidRPr="00DF4CE5">
              <w:rPr>
                <w:rFonts w:ascii="Cambria" w:eastAsia="Cambria" w:hAnsi="Cambria" w:cstheme="minorHAnsi"/>
                <w:spacing w:val="-3"/>
                <w:lang w:val="hr-HR"/>
              </w:rPr>
              <w:t xml:space="preserve"> </w:t>
            </w:r>
            <w:r w:rsidRPr="00DF4CE5">
              <w:rPr>
                <w:rFonts w:ascii="Cambria" w:eastAsia="Cambria" w:hAnsi="Cambria" w:cstheme="minorHAnsi"/>
                <w:lang w:val="hr-HR"/>
              </w:rPr>
              <w:t>stručnih</w:t>
            </w:r>
            <w:r w:rsidRPr="00DF4CE5">
              <w:rPr>
                <w:rFonts w:ascii="Cambria" w:eastAsia="Cambria" w:hAnsi="Cambria" w:cstheme="minorHAnsi"/>
                <w:spacing w:val="-2"/>
                <w:lang w:val="hr-HR"/>
              </w:rPr>
              <w:t xml:space="preserve"> </w:t>
            </w:r>
            <w:r w:rsidRPr="00DF4CE5">
              <w:rPr>
                <w:rFonts w:ascii="Cambria" w:eastAsia="Cambria" w:hAnsi="Cambria" w:cstheme="minorHAnsi"/>
                <w:lang w:val="hr-HR"/>
              </w:rPr>
              <w:t>i</w:t>
            </w:r>
            <w:r w:rsidRPr="00DF4CE5">
              <w:rPr>
                <w:rFonts w:ascii="Cambria" w:eastAsia="Cambria" w:hAnsi="Cambria" w:cstheme="minorHAnsi"/>
                <w:spacing w:val="-3"/>
                <w:lang w:val="hr-HR"/>
              </w:rPr>
              <w:t xml:space="preserve"> </w:t>
            </w:r>
            <w:r w:rsidRPr="00DF4CE5">
              <w:rPr>
                <w:rFonts w:ascii="Cambria" w:eastAsia="Cambria" w:hAnsi="Cambria" w:cstheme="minorHAnsi"/>
                <w:lang w:val="hr-HR"/>
              </w:rPr>
              <w:t>drugih</w:t>
            </w:r>
            <w:r w:rsidRPr="00DF4CE5">
              <w:rPr>
                <w:rFonts w:ascii="Cambria" w:eastAsia="Cambria" w:hAnsi="Cambria" w:cstheme="minorHAnsi"/>
                <w:spacing w:val="-2"/>
                <w:lang w:val="hr-HR"/>
              </w:rPr>
              <w:t xml:space="preserve"> </w:t>
            </w:r>
            <w:r w:rsidRPr="00DF4CE5">
              <w:rPr>
                <w:rFonts w:ascii="Cambria" w:eastAsia="Cambria" w:hAnsi="Cambria" w:cstheme="minorHAnsi"/>
                <w:lang w:val="hr-HR"/>
              </w:rPr>
              <w:t>tijela</w:t>
            </w:r>
            <w:r w:rsidRPr="00DF4CE5">
              <w:rPr>
                <w:rFonts w:ascii="Cambria" w:eastAsia="Cambria" w:hAnsi="Cambria" w:cstheme="minorHAnsi"/>
                <w:spacing w:val="-2"/>
                <w:lang w:val="hr-HR"/>
              </w:rPr>
              <w:t xml:space="preserve"> </w:t>
            </w:r>
            <w:r w:rsidRPr="00DF4CE5">
              <w:rPr>
                <w:rFonts w:ascii="Cambria" w:eastAsia="Cambria" w:hAnsi="Cambria" w:cstheme="minorHAnsi"/>
                <w:lang w:val="hr-HR"/>
              </w:rPr>
              <w:t>škole</w:t>
            </w:r>
          </w:p>
          <w:p w14:paraId="4F916419" w14:textId="77777777" w:rsidR="00E473D6" w:rsidRPr="00DF4CE5" w:rsidRDefault="00E473D6" w:rsidP="00A034E3">
            <w:pPr>
              <w:widowControl w:val="0"/>
              <w:numPr>
                <w:ilvl w:val="0"/>
                <w:numId w:val="95"/>
              </w:numPr>
              <w:tabs>
                <w:tab w:val="left" w:pos="468"/>
              </w:tabs>
              <w:autoSpaceDE w:val="0"/>
              <w:autoSpaceDN w:val="0"/>
              <w:spacing w:after="0" w:line="240" w:lineRule="auto"/>
              <w:rPr>
                <w:rFonts w:ascii="Cambria" w:eastAsia="Cambria" w:hAnsi="Cambria" w:cstheme="minorHAnsi"/>
                <w:lang w:val="hr-HR"/>
              </w:rPr>
            </w:pPr>
            <w:r w:rsidRPr="00DF4CE5">
              <w:rPr>
                <w:rFonts w:ascii="Cambria" w:eastAsia="Cambria" w:hAnsi="Cambria" w:cstheme="minorHAnsi"/>
                <w:lang w:val="hr-HR"/>
              </w:rPr>
              <w:t>Prisustvovanje</w:t>
            </w:r>
            <w:r w:rsidRPr="00DF4CE5">
              <w:rPr>
                <w:rFonts w:ascii="Cambria" w:eastAsia="Cambria" w:hAnsi="Cambria" w:cstheme="minorHAnsi"/>
                <w:spacing w:val="57"/>
                <w:lang w:val="hr-HR"/>
              </w:rPr>
              <w:t xml:space="preserve"> </w:t>
            </w:r>
            <w:r w:rsidRPr="00DF4CE5">
              <w:rPr>
                <w:rFonts w:ascii="Cambria" w:eastAsia="Cambria" w:hAnsi="Cambria" w:cstheme="minorHAnsi"/>
                <w:lang w:val="hr-HR"/>
              </w:rPr>
              <w:t>stručnim</w:t>
            </w:r>
            <w:r w:rsidRPr="00DF4CE5">
              <w:rPr>
                <w:rFonts w:ascii="Cambria" w:eastAsia="Cambria" w:hAnsi="Cambria" w:cstheme="minorHAnsi"/>
                <w:spacing w:val="58"/>
                <w:lang w:val="hr-HR"/>
              </w:rPr>
              <w:t xml:space="preserve"> </w:t>
            </w:r>
            <w:r w:rsidRPr="00DF4CE5">
              <w:rPr>
                <w:rFonts w:ascii="Cambria" w:eastAsia="Cambria" w:hAnsi="Cambria" w:cstheme="minorHAnsi"/>
                <w:lang w:val="hr-HR"/>
              </w:rPr>
              <w:t>predavanjima</w:t>
            </w:r>
            <w:r w:rsidRPr="00DF4CE5">
              <w:rPr>
                <w:rFonts w:ascii="Cambria" w:eastAsia="Cambria" w:hAnsi="Cambria" w:cstheme="minorHAnsi"/>
                <w:spacing w:val="57"/>
                <w:lang w:val="hr-HR"/>
              </w:rPr>
              <w:t xml:space="preserve"> </w:t>
            </w:r>
            <w:r w:rsidRPr="00DF4CE5">
              <w:rPr>
                <w:rFonts w:ascii="Cambria" w:eastAsia="Cambria" w:hAnsi="Cambria" w:cstheme="minorHAnsi"/>
                <w:lang w:val="hr-HR"/>
              </w:rPr>
              <w:t>za</w:t>
            </w:r>
            <w:r w:rsidRPr="00DF4CE5">
              <w:rPr>
                <w:rFonts w:ascii="Cambria" w:eastAsia="Cambria" w:hAnsi="Cambria" w:cstheme="minorHAnsi"/>
                <w:spacing w:val="58"/>
                <w:lang w:val="hr-HR"/>
              </w:rPr>
              <w:t xml:space="preserve"> </w:t>
            </w:r>
            <w:r w:rsidRPr="00DF4CE5">
              <w:rPr>
                <w:rFonts w:ascii="Cambria" w:eastAsia="Cambria" w:hAnsi="Cambria" w:cstheme="minorHAnsi"/>
                <w:lang w:val="hr-HR"/>
              </w:rPr>
              <w:t>učitelje</w:t>
            </w:r>
            <w:r w:rsidRPr="00DF4CE5">
              <w:rPr>
                <w:rFonts w:ascii="Cambria" w:eastAsia="Cambria" w:hAnsi="Cambria" w:cstheme="minorHAnsi"/>
                <w:spacing w:val="57"/>
                <w:lang w:val="hr-HR"/>
              </w:rPr>
              <w:t xml:space="preserve"> </w:t>
            </w:r>
            <w:r w:rsidRPr="00DF4CE5">
              <w:rPr>
                <w:rFonts w:ascii="Cambria" w:eastAsia="Cambria" w:hAnsi="Cambria" w:cstheme="minorHAnsi"/>
                <w:lang w:val="hr-HR"/>
              </w:rPr>
              <w:t>i</w:t>
            </w:r>
            <w:r w:rsidRPr="00DF4CE5">
              <w:rPr>
                <w:rFonts w:ascii="Cambria" w:eastAsia="Cambria" w:hAnsi="Cambria" w:cstheme="minorHAnsi"/>
                <w:spacing w:val="58"/>
                <w:lang w:val="hr-HR"/>
              </w:rPr>
              <w:t xml:space="preserve"> </w:t>
            </w:r>
            <w:r w:rsidRPr="00DF4CE5">
              <w:rPr>
                <w:rFonts w:ascii="Cambria" w:eastAsia="Cambria" w:hAnsi="Cambria" w:cstheme="minorHAnsi"/>
                <w:lang w:val="hr-HR"/>
              </w:rPr>
              <w:t>stručnim</w:t>
            </w:r>
          </w:p>
          <w:p w14:paraId="17B9E3A2" w14:textId="77777777" w:rsidR="00E473D6" w:rsidRPr="00DF4CE5" w:rsidRDefault="00E473D6" w:rsidP="00E473D6">
            <w:pPr>
              <w:widowControl w:val="0"/>
              <w:autoSpaceDE w:val="0"/>
              <w:autoSpaceDN w:val="0"/>
              <w:spacing w:after="0" w:line="240" w:lineRule="auto"/>
              <w:ind w:left="467"/>
              <w:rPr>
                <w:rFonts w:ascii="Cambria" w:eastAsia="Cambria" w:hAnsi="Cambria" w:cstheme="minorHAnsi"/>
                <w:lang w:val="hr-HR"/>
              </w:rPr>
            </w:pPr>
            <w:r w:rsidRPr="00DF4CE5">
              <w:rPr>
                <w:rFonts w:ascii="Cambria" w:eastAsia="Cambria" w:hAnsi="Cambria" w:cstheme="minorHAnsi"/>
                <w:lang w:val="hr-HR"/>
              </w:rPr>
              <w:t>aktivima</w:t>
            </w:r>
          </w:p>
          <w:p w14:paraId="515E7B71" w14:textId="77777777" w:rsidR="00E473D6" w:rsidRPr="00DF4CE5" w:rsidRDefault="00E473D6" w:rsidP="00A034E3">
            <w:pPr>
              <w:widowControl w:val="0"/>
              <w:numPr>
                <w:ilvl w:val="0"/>
                <w:numId w:val="95"/>
              </w:numPr>
              <w:tabs>
                <w:tab w:val="left" w:pos="468"/>
              </w:tabs>
              <w:autoSpaceDE w:val="0"/>
              <w:autoSpaceDN w:val="0"/>
              <w:spacing w:after="0" w:line="240" w:lineRule="auto"/>
              <w:ind w:right="88"/>
              <w:rPr>
                <w:rFonts w:ascii="Cambria" w:eastAsia="Cambria" w:hAnsi="Cambria" w:cstheme="minorHAnsi"/>
                <w:lang w:val="hr-HR"/>
              </w:rPr>
            </w:pPr>
            <w:r w:rsidRPr="00DF4CE5">
              <w:rPr>
                <w:rFonts w:ascii="Cambria" w:eastAsia="Cambria" w:hAnsi="Cambria" w:cstheme="minorHAnsi"/>
                <w:lang w:val="hr-HR"/>
              </w:rPr>
              <w:t>Sudjelovanje</w:t>
            </w:r>
            <w:r w:rsidRPr="00DF4CE5">
              <w:rPr>
                <w:rFonts w:ascii="Cambria" w:eastAsia="Cambria" w:hAnsi="Cambria" w:cstheme="minorHAnsi"/>
                <w:spacing w:val="-9"/>
                <w:lang w:val="hr-HR"/>
              </w:rPr>
              <w:t xml:space="preserve"> </w:t>
            </w:r>
            <w:r w:rsidRPr="00DF4CE5">
              <w:rPr>
                <w:rFonts w:ascii="Cambria" w:eastAsia="Cambria" w:hAnsi="Cambria" w:cstheme="minorHAnsi"/>
                <w:lang w:val="hr-HR"/>
              </w:rPr>
              <w:t>u</w:t>
            </w:r>
            <w:r w:rsidRPr="00DF4CE5">
              <w:rPr>
                <w:rFonts w:ascii="Cambria" w:eastAsia="Cambria" w:hAnsi="Cambria" w:cstheme="minorHAnsi"/>
                <w:spacing w:val="-9"/>
                <w:lang w:val="hr-HR"/>
              </w:rPr>
              <w:t xml:space="preserve"> </w:t>
            </w:r>
            <w:r w:rsidRPr="00DF4CE5">
              <w:rPr>
                <w:rFonts w:ascii="Cambria" w:eastAsia="Cambria" w:hAnsi="Cambria" w:cstheme="minorHAnsi"/>
                <w:lang w:val="hr-HR"/>
              </w:rPr>
              <w:t>redovnom</w:t>
            </w:r>
            <w:r w:rsidRPr="00DF4CE5">
              <w:rPr>
                <w:rFonts w:ascii="Cambria" w:eastAsia="Cambria" w:hAnsi="Cambria" w:cstheme="minorHAnsi"/>
                <w:spacing w:val="-10"/>
                <w:lang w:val="hr-HR"/>
              </w:rPr>
              <w:t xml:space="preserve"> </w:t>
            </w:r>
            <w:r w:rsidRPr="00DF4CE5">
              <w:rPr>
                <w:rFonts w:ascii="Cambria" w:eastAsia="Cambria" w:hAnsi="Cambria" w:cstheme="minorHAnsi"/>
                <w:lang w:val="hr-HR"/>
              </w:rPr>
              <w:t>nastavnom</w:t>
            </w:r>
            <w:r w:rsidRPr="00DF4CE5">
              <w:rPr>
                <w:rFonts w:ascii="Cambria" w:eastAsia="Cambria" w:hAnsi="Cambria" w:cstheme="minorHAnsi"/>
                <w:spacing w:val="-9"/>
                <w:lang w:val="hr-HR"/>
              </w:rPr>
              <w:t xml:space="preserve"> </w:t>
            </w:r>
            <w:r w:rsidRPr="00DF4CE5">
              <w:rPr>
                <w:rFonts w:ascii="Cambria" w:eastAsia="Cambria" w:hAnsi="Cambria" w:cstheme="minorHAnsi"/>
                <w:lang w:val="hr-HR"/>
              </w:rPr>
              <w:t>radu,</w:t>
            </w:r>
            <w:r w:rsidRPr="00DF4CE5">
              <w:rPr>
                <w:rFonts w:ascii="Cambria" w:eastAsia="Cambria" w:hAnsi="Cambria" w:cstheme="minorHAnsi"/>
                <w:spacing w:val="-7"/>
                <w:lang w:val="hr-HR"/>
              </w:rPr>
              <w:t xml:space="preserve"> </w:t>
            </w:r>
            <w:r w:rsidRPr="00DF4CE5">
              <w:rPr>
                <w:rFonts w:ascii="Cambria" w:eastAsia="Cambria" w:hAnsi="Cambria" w:cstheme="minorHAnsi"/>
                <w:lang w:val="hr-HR"/>
              </w:rPr>
              <w:t>dodatnoj,</w:t>
            </w:r>
            <w:r w:rsidRPr="00DF4CE5">
              <w:rPr>
                <w:rFonts w:ascii="Cambria" w:eastAsia="Cambria" w:hAnsi="Cambria" w:cstheme="minorHAnsi"/>
                <w:spacing w:val="-7"/>
                <w:lang w:val="hr-HR"/>
              </w:rPr>
              <w:t xml:space="preserve"> </w:t>
            </w:r>
            <w:r w:rsidRPr="00DF4CE5">
              <w:rPr>
                <w:rFonts w:ascii="Cambria" w:eastAsia="Cambria" w:hAnsi="Cambria" w:cstheme="minorHAnsi"/>
                <w:lang w:val="hr-HR"/>
              </w:rPr>
              <w:t>dopunskoj</w:t>
            </w:r>
            <w:r w:rsidRPr="00DF4CE5">
              <w:rPr>
                <w:rFonts w:ascii="Cambria" w:eastAsia="Cambria" w:hAnsi="Cambria" w:cstheme="minorHAnsi"/>
                <w:spacing w:val="-51"/>
                <w:lang w:val="hr-HR"/>
              </w:rPr>
              <w:t xml:space="preserve"> </w:t>
            </w:r>
            <w:r w:rsidRPr="00DF4CE5">
              <w:rPr>
                <w:rFonts w:ascii="Cambria" w:eastAsia="Cambria" w:hAnsi="Cambria" w:cstheme="minorHAnsi"/>
                <w:lang w:val="hr-HR"/>
              </w:rPr>
              <w:t>i</w:t>
            </w:r>
            <w:r w:rsidRPr="00DF4CE5">
              <w:rPr>
                <w:rFonts w:ascii="Cambria" w:eastAsia="Cambria" w:hAnsi="Cambria" w:cstheme="minorHAnsi"/>
                <w:spacing w:val="1"/>
                <w:lang w:val="hr-HR"/>
              </w:rPr>
              <w:t xml:space="preserve"> </w:t>
            </w:r>
            <w:r w:rsidRPr="00DF4CE5">
              <w:rPr>
                <w:rFonts w:ascii="Cambria" w:eastAsia="Cambria" w:hAnsi="Cambria" w:cstheme="minorHAnsi"/>
                <w:lang w:val="hr-HR"/>
              </w:rPr>
              <w:t>izbornoj</w:t>
            </w:r>
            <w:r w:rsidRPr="00DF4CE5">
              <w:rPr>
                <w:rFonts w:ascii="Cambria" w:eastAsia="Cambria" w:hAnsi="Cambria" w:cstheme="minorHAnsi"/>
                <w:spacing w:val="1"/>
                <w:lang w:val="hr-HR"/>
              </w:rPr>
              <w:t xml:space="preserve"> </w:t>
            </w:r>
            <w:r w:rsidRPr="00DF4CE5">
              <w:rPr>
                <w:rFonts w:ascii="Cambria" w:eastAsia="Cambria" w:hAnsi="Cambria" w:cstheme="minorHAnsi"/>
                <w:lang w:val="hr-HR"/>
              </w:rPr>
              <w:t>nastavi</w:t>
            </w:r>
            <w:r w:rsidRPr="00DF4CE5">
              <w:rPr>
                <w:rFonts w:ascii="Cambria" w:eastAsia="Cambria" w:hAnsi="Cambria" w:cstheme="minorHAnsi"/>
                <w:spacing w:val="1"/>
                <w:lang w:val="hr-HR"/>
              </w:rPr>
              <w:t xml:space="preserve"> </w:t>
            </w:r>
            <w:r w:rsidRPr="00DF4CE5">
              <w:rPr>
                <w:rFonts w:ascii="Cambria" w:eastAsia="Cambria" w:hAnsi="Cambria" w:cstheme="minorHAnsi"/>
                <w:lang w:val="hr-HR"/>
              </w:rPr>
              <w:t>te</w:t>
            </w:r>
            <w:r w:rsidRPr="00DF4CE5">
              <w:rPr>
                <w:rFonts w:ascii="Cambria" w:eastAsia="Cambria" w:hAnsi="Cambria" w:cstheme="minorHAnsi"/>
                <w:spacing w:val="1"/>
                <w:lang w:val="hr-HR"/>
              </w:rPr>
              <w:t xml:space="preserve"> </w:t>
            </w:r>
            <w:r w:rsidRPr="00DF4CE5">
              <w:rPr>
                <w:rFonts w:ascii="Cambria" w:eastAsia="Cambria" w:hAnsi="Cambria" w:cstheme="minorHAnsi"/>
                <w:lang w:val="hr-HR"/>
              </w:rPr>
              <w:t>izvannastavnim</w:t>
            </w:r>
            <w:r w:rsidRPr="00DF4CE5">
              <w:rPr>
                <w:rFonts w:ascii="Cambria" w:eastAsia="Cambria" w:hAnsi="Cambria" w:cstheme="minorHAnsi"/>
                <w:spacing w:val="1"/>
                <w:lang w:val="hr-HR"/>
              </w:rPr>
              <w:t xml:space="preserve"> </w:t>
            </w:r>
            <w:r w:rsidRPr="00DF4CE5">
              <w:rPr>
                <w:rFonts w:ascii="Cambria" w:eastAsia="Cambria" w:hAnsi="Cambria" w:cstheme="minorHAnsi"/>
                <w:lang w:val="hr-HR"/>
              </w:rPr>
              <w:t>i</w:t>
            </w:r>
            <w:r w:rsidRPr="00DF4CE5">
              <w:rPr>
                <w:rFonts w:ascii="Cambria" w:eastAsia="Cambria" w:hAnsi="Cambria" w:cstheme="minorHAnsi"/>
                <w:spacing w:val="1"/>
                <w:lang w:val="hr-HR"/>
              </w:rPr>
              <w:t xml:space="preserve"> </w:t>
            </w:r>
            <w:r w:rsidRPr="00DF4CE5">
              <w:rPr>
                <w:rFonts w:ascii="Cambria" w:eastAsia="Cambria" w:hAnsi="Cambria" w:cstheme="minorHAnsi"/>
                <w:lang w:val="hr-HR"/>
              </w:rPr>
              <w:t>izvanškolskim</w:t>
            </w:r>
            <w:r w:rsidRPr="00DF4CE5">
              <w:rPr>
                <w:rFonts w:ascii="Cambria" w:eastAsia="Cambria" w:hAnsi="Cambria" w:cstheme="minorHAnsi"/>
                <w:spacing w:val="1"/>
                <w:lang w:val="hr-HR"/>
              </w:rPr>
              <w:t xml:space="preserve"> </w:t>
            </w:r>
            <w:r w:rsidRPr="00DF4CE5">
              <w:rPr>
                <w:rFonts w:ascii="Cambria" w:eastAsia="Cambria" w:hAnsi="Cambria" w:cstheme="minorHAnsi"/>
                <w:lang w:val="hr-HR"/>
              </w:rPr>
              <w:t>aktivnostima</w:t>
            </w:r>
          </w:p>
          <w:p w14:paraId="30B283BB" w14:textId="77777777" w:rsidR="00E473D6" w:rsidRPr="00DF4CE5" w:rsidRDefault="00E473D6" w:rsidP="00A034E3">
            <w:pPr>
              <w:widowControl w:val="0"/>
              <w:numPr>
                <w:ilvl w:val="0"/>
                <w:numId w:val="95"/>
              </w:numPr>
              <w:tabs>
                <w:tab w:val="left" w:pos="468"/>
              </w:tabs>
              <w:autoSpaceDE w:val="0"/>
              <w:autoSpaceDN w:val="0"/>
              <w:spacing w:after="0" w:line="240" w:lineRule="auto"/>
              <w:jc w:val="both"/>
              <w:rPr>
                <w:rFonts w:ascii="Cambria" w:eastAsia="Cambria" w:hAnsi="Cambria" w:cstheme="minorHAnsi"/>
                <w:lang w:val="hr-HR"/>
              </w:rPr>
            </w:pPr>
            <w:r w:rsidRPr="00DF4CE5">
              <w:rPr>
                <w:rFonts w:ascii="Cambria" w:eastAsia="Cambria" w:hAnsi="Cambria" w:cstheme="minorHAnsi"/>
                <w:lang w:val="hr-HR"/>
              </w:rPr>
              <w:t>Realizaciju</w:t>
            </w:r>
            <w:r w:rsidRPr="00DF4CE5">
              <w:rPr>
                <w:rFonts w:ascii="Cambria" w:eastAsia="Cambria" w:hAnsi="Cambria" w:cstheme="minorHAnsi"/>
                <w:spacing w:val="31"/>
                <w:lang w:val="hr-HR"/>
              </w:rPr>
              <w:t xml:space="preserve"> </w:t>
            </w:r>
            <w:r w:rsidRPr="00DF4CE5">
              <w:rPr>
                <w:rFonts w:ascii="Cambria" w:eastAsia="Cambria" w:hAnsi="Cambria" w:cstheme="minorHAnsi"/>
                <w:lang w:val="hr-HR"/>
              </w:rPr>
              <w:t>najmanje</w:t>
            </w:r>
            <w:r w:rsidRPr="00DF4CE5">
              <w:rPr>
                <w:rFonts w:ascii="Cambria" w:eastAsia="Cambria" w:hAnsi="Cambria" w:cstheme="minorHAnsi"/>
                <w:spacing w:val="33"/>
                <w:lang w:val="hr-HR"/>
              </w:rPr>
              <w:t xml:space="preserve"> </w:t>
            </w:r>
            <w:r w:rsidRPr="00DF4CE5">
              <w:rPr>
                <w:rFonts w:ascii="Cambria" w:eastAsia="Cambria" w:hAnsi="Cambria" w:cstheme="minorHAnsi"/>
                <w:lang w:val="hr-HR"/>
              </w:rPr>
              <w:t>dva</w:t>
            </w:r>
            <w:r w:rsidRPr="00DF4CE5">
              <w:rPr>
                <w:rFonts w:ascii="Cambria" w:eastAsia="Cambria" w:hAnsi="Cambria" w:cstheme="minorHAnsi"/>
                <w:spacing w:val="33"/>
                <w:lang w:val="hr-HR"/>
              </w:rPr>
              <w:t xml:space="preserve"> </w:t>
            </w:r>
            <w:r w:rsidRPr="00DF4CE5">
              <w:rPr>
                <w:rFonts w:ascii="Cambria" w:eastAsia="Cambria" w:hAnsi="Cambria" w:cstheme="minorHAnsi"/>
                <w:lang w:val="hr-HR"/>
              </w:rPr>
              <w:t>nastavna</w:t>
            </w:r>
            <w:r w:rsidRPr="00DF4CE5">
              <w:rPr>
                <w:rFonts w:ascii="Cambria" w:eastAsia="Cambria" w:hAnsi="Cambria" w:cstheme="minorHAnsi"/>
                <w:spacing w:val="33"/>
                <w:lang w:val="hr-HR"/>
              </w:rPr>
              <w:t xml:space="preserve"> </w:t>
            </w:r>
            <w:r w:rsidRPr="00DF4CE5">
              <w:rPr>
                <w:rFonts w:ascii="Cambria" w:eastAsia="Cambria" w:hAnsi="Cambria" w:cstheme="minorHAnsi"/>
                <w:lang w:val="hr-HR"/>
              </w:rPr>
              <w:t>sata</w:t>
            </w:r>
            <w:r w:rsidRPr="00DF4CE5">
              <w:rPr>
                <w:rFonts w:ascii="Cambria" w:eastAsia="Cambria" w:hAnsi="Cambria" w:cstheme="minorHAnsi"/>
                <w:spacing w:val="30"/>
                <w:lang w:val="hr-HR"/>
              </w:rPr>
              <w:t xml:space="preserve"> </w:t>
            </w:r>
            <w:r w:rsidRPr="00DF4CE5">
              <w:rPr>
                <w:rFonts w:ascii="Cambria" w:eastAsia="Cambria" w:hAnsi="Cambria" w:cstheme="minorHAnsi"/>
                <w:lang w:val="hr-HR"/>
              </w:rPr>
              <w:t>iz</w:t>
            </w:r>
            <w:r w:rsidRPr="00DF4CE5">
              <w:rPr>
                <w:rFonts w:ascii="Cambria" w:eastAsia="Cambria" w:hAnsi="Cambria" w:cstheme="minorHAnsi"/>
                <w:spacing w:val="31"/>
                <w:lang w:val="hr-HR"/>
              </w:rPr>
              <w:t xml:space="preserve"> </w:t>
            </w:r>
            <w:r w:rsidRPr="00DF4CE5">
              <w:rPr>
                <w:rFonts w:ascii="Cambria" w:eastAsia="Cambria" w:hAnsi="Cambria" w:cstheme="minorHAnsi"/>
                <w:lang w:val="hr-HR"/>
              </w:rPr>
              <w:t>predmeta:</w:t>
            </w:r>
            <w:r w:rsidRPr="00DF4CE5">
              <w:rPr>
                <w:rFonts w:ascii="Cambria" w:eastAsia="Cambria" w:hAnsi="Cambria" w:cstheme="minorHAnsi"/>
                <w:spacing w:val="31"/>
                <w:lang w:val="hr-HR"/>
              </w:rPr>
              <w:t xml:space="preserve"> </w:t>
            </w:r>
            <w:r w:rsidRPr="00DF4CE5">
              <w:rPr>
                <w:rFonts w:ascii="Cambria" w:eastAsia="Cambria" w:hAnsi="Cambria" w:cstheme="minorHAnsi"/>
                <w:lang w:val="hr-HR"/>
              </w:rPr>
              <w:t>Hrvatski</w:t>
            </w:r>
          </w:p>
          <w:p w14:paraId="4B746311" w14:textId="77777777" w:rsidR="00E473D6" w:rsidRPr="00DF4CE5" w:rsidRDefault="00E473D6" w:rsidP="00AA15D3">
            <w:pPr>
              <w:widowControl w:val="0"/>
              <w:autoSpaceDE w:val="0"/>
              <w:autoSpaceDN w:val="0"/>
              <w:spacing w:after="0" w:line="240" w:lineRule="auto"/>
              <w:ind w:left="497" w:right="91"/>
              <w:rPr>
                <w:rFonts w:ascii="Cambria" w:eastAsia="Cambria" w:hAnsi="Cambria" w:cstheme="minorHAnsi"/>
                <w:lang w:val="hr-HR"/>
              </w:rPr>
            </w:pPr>
            <w:r w:rsidRPr="00DF4CE5">
              <w:rPr>
                <w:rFonts w:ascii="Cambria" w:eastAsia="Cambria" w:hAnsi="Cambria" w:cstheme="minorHAnsi"/>
                <w:lang w:val="hr-HR"/>
              </w:rPr>
              <w:t>jezik</w:t>
            </w:r>
            <w:r w:rsidRPr="00DF4CE5">
              <w:rPr>
                <w:rFonts w:ascii="Cambria" w:eastAsia="Cambria" w:hAnsi="Cambria" w:cstheme="minorHAnsi"/>
                <w:spacing w:val="-2"/>
                <w:lang w:val="hr-HR"/>
              </w:rPr>
              <w:t xml:space="preserve"> </w:t>
            </w:r>
            <w:r w:rsidRPr="00DF4CE5">
              <w:rPr>
                <w:rFonts w:ascii="Cambria" w:eastAsia="Cambria" w:hAnsi="Cambria" w:cstheme="minorHAnsi"/>
                <w:lang w:val="hr-HR"/>
              </w:rPr>
              <w:t>i</w:t>
            </w:r>
            <w:r w:rsidRPr="00DF4CE5">
              <w:rPr>
                <w:rFonts w:ascii="Cambria" w:eastAsia="Cambria" w:hAnsi="Cambria" w:cstheme="minorHAnsi"/>
                <w:spacing w:val="-3"/>
                <w:lang w:val="hr-HR"/>
              </w:rPr>
              <w:t xml:space="preserve"> </w:t>
            </w:r>
            <w:r w:rsidRPr="00DF4CE5">
              <w:rPr>
                <w:rFonts w:ascii="Cambria" w:eastAsia="Cambria" w:hAnsi="Cambria" w:cstheme="minorHAnsi"/>
                <w:lang w:val="hr-HR"/>
              </w:rPr>
              <w:t>Glazbena</w:t>
            </w:r>
            <w:r w:rsidRPr="00DF4CE5">
              <w:rPr>
                <w:rFonts w:ascii="Cambria" w:eastAsia="Cambria" w:hAnsi="Cambria" w:cstheme="minorHAnsi"/>
                <w:spacing w:val="-2"/>
                <w:lang w:val="hr-HR"/>
              </w:rPr>
              <w:t xml:space="preserve"> </w:t>
            </w:r>
            <w:r w:rsidRPr="00DF4CE5">
              <w:rPr>
                <w:rFonts w:ascii="Cambria" w:eastAsia="Cambria" w:hAnsi="Cambria" w:cstheme="minorHAnsi"/>
                <w:lang w:val="hr-HR"/>
              </w:rPr>
              <w:t>kultura</w:t>
            </w:r>
            <w:r w:rsidRPr="00DF4CE5">
              <w:rPr>
                <w:rFonts w:ascii="Cambria" w:eastAsia="Cambria" w:hAnsi="Cambria" w:cstheme="minorHAnsi"/>
                <w:spacing w:val="-1"/>
                <w:lang w:val="hr-HR"/>
              </w:rPr>
              <w:t xml:space="preserve"> </w:t>
            </w:r>
            <w:r w:rsidRPr="00DF4CE5">
              <w:rPr>
                <w:rFonts w:ascii="Cambria" w:eastAsia="Cambria" w:hAnsi="Cambria" w:cstheme="minorHAnsi"/>
                <w:lang w:val="hr-HR"/>
              </w:rPr>
              <w:t>pod</w:t>
            </w:r>
            <w:r w:rsidRPr="00DF4CE5">
              <w:rPr>
                <w:rFonts w:ascii="Cambria" w:eastAsia="Cambria" w:hAnsi="Cambria" w:cstheme="minorHAnsi"/>
                <w:spacing w:val="-3"/>
                <w:lang w:val="hr-HR"/>
              </w:rPr>
              <w:t xml:space="preserve"> </w:t>
            </w:r>
            <w:r w:rsidRPr="00DF4CE5">
              <w:rPr>
                <w:rFonts w:ascii="Cambria" w:eastAsia="Cambria" w:hAnsi="Cambria" w:cstheme="minorHAnsi"/>
                <w:lang w:val="hr-HR"/>
              </w:rPr>
              <w:t>vodstvom</w:t>
            </w:r>
            <w:r w:rsidRPr="00DF4CE5">
              <w:rPr>
                <w:rFonts w:ascii="Cambria" w:eastAsia="Cambria" w:hAnsi="Cambria" w:cstheme="minorHAnsi"/>
                <w:spacing w:val="-3"/>
                <w:lang w:val="hr-HR"/>
              </w:rPr>
              <w:t xml:space="preserve"> </w:t>
            </w:r>
            <w:r w:rsidRPr="00DF4CE5">
              <w:rPr>
                <w:rFonts w:ascii="Cambria" w:eastAsia="Cambria" w:hAnsi="Cambria" w:cstheme="minorHAnsi"/>
                <w:lang w:val="hr-HR"/>
              </w:rPr>
              <w:t>učitelja-mentora</w:t>
            </w:r>
          </w:p>
        </w:tc>
      </w:tr>
      <w:tr w:rsidR="00E473D6" w:rsidRPr="00DF4CE5" w14:paraId="25F5836F" w14:textId="77777777" w:rsidTr="00DF4CE5">
        <w:trPr>
          <w:trHeight w:val="578"/>
        </w:trPr>
        <w:tc>
          <w:tcPr>
            <w:tcW w:w="2554" w:type="dxa"/>
            <w:vMerge w:val="restart"/>
            <w:shd w:val="clear" w:color="auto" w:fill="F3F3F3"/>
          </w:tcPr>
          <w:p w14:paraId="41593317" w14:textId="77777777" w:rsidR="00E473D6" w:rsidRPr="00DF4CE5" w:rsidRDefault="00E473D6" w:rsidP="00E473D6">
            <w:pPr>
              <w:widowControl w:val="0"/>
              <w:autoSpaceDE w:val="0"/>
              <w:autoSpaceDN w:val="0"/>
              <w:spacing w:after="0" w:line="240" w:lineRule="auto"/>
              <w:rPr>
                <w:rFonts w:ascii="Cambria" w:eastAsia="Cambria" w:hAnsi="Cambria" w:cstheme="minorHAnsi"/>
                <w:lang w:val="hr-HR"/>
              </w:rPr>
            </w:pPr>
          </w:p>
          <w:p w14:paraId="1609D825" w14:textId="77777777" w:rsidR="00E473D6" w:rsidRPr="00DF4CE5" w:rsidRDefault="00E473D6" w:rsidP="00E473D6">
            <w:pPr>
              <w:widowControl w:val="0"/>
              <w:autoSpaceDE w:val="0"/>
              <w:autoSpaceDN w:val="0"/>
              <w:spacing w:after="0" w:line="240" w:lineRule="auto"/>
              <w:rPr>
                <w:rFonts w:ascii="Cambria" w:eastAsia="Cambria" w:hAnsi="Cambria" w:cstheme="minorHAnsi"/>
                <w:lang w:val="hr-HR"/>
              </w:rPr>
            </w:pPr>
          </w:p>
          <w:p w14:paraId="12B5AE4E" w14:textId="77777777" w:rsidR="00E473D6" w:rsidRPr="00DF4CE5" w:rsidRDefault="00E473D6" w:rsidP="00E473D6">
            <w:pPr>
              <w:widowControl w:val="0"/>
              <w:autoSpaceDE w:val="0"/>
              <w:autoSpaceDN w:val="0"/>
              <w:spacing w:after="0" w:line="240" w:lineRule="auto"/>
              <w:ind w:left="107" w:right="275"/>
              <w:rPr>
                <w:rFonts w:ascii="Cambria" w:eastAsia="Cambria" w:hAnsi="Cambria" w:cstheme="minorHAnsi"/>
                <w:lang w:val="hr-HR"/>
              </w:rPr>
            </w:pPr>
            <w:r w:rsidRPr="00DF4CE5">
              <w:rPr>
                <w:rFonts w:ascii="Cambria" w:eastAsia="Cambria" w:hAnsi="Cambria" w:cstheme="minorHAnsi"/>
                <w:lang w:val="hr-HR"/>
              </w:rPr>
              <w:t>Planirane</w:t>
            </w:r>
            <w:r w:rsidRPr="00DF4CE5">
              <w:rPr>
                <w:rFonts w:ascii="Cambria" w:eastAsia="Cambria" w:hAnsi="Cambria" w:cstheme="minorHAnsi"/>
                <w:spacing w:val="1"/>
                <w:lang w:val="hr-HR"/>
              </w:rPr>
              <w:t xml:space="preserve"> </w:t>
            </w:r>
            <w:r w:rsidRPr="00DF4CE5">
              <w:rPr>
                <w:rFonts w:ascii="Cambria" w:eastAsia="Cambria" w:hAnsi="Cambria" w:cstheme="minorHAnsi"/>
                <w:lang w:val="hr-HR"/>
              </w:rPr>
              <w:t>aktivnosti, metode</w:t>
            </w:r>
            <w:r w:rsidRPr="00DF4CE5">
              <w:rPr>
                <w:rFonts w:ascii="Cambria" w:eastAsia="Cambria" w:hAnsi="Cambria" w:cstheme="minorHAnsi"/>
                <w:spacing w:val="1"/>
                <w:lang w:val="hr-HR"/>
              </w:rPr>
              <w:t xml:space="preserve"> </w:t>
            </w:r>
            <w:r w:rsidRPr="00DF4CE5">
              <w:rPr>
                <w:rFonts w:ascii="Cambria" w:eastAsia="Cambria" w:hAnsi="Cambria" w:cstheme="minorHAnsi"/>
                <w:lang w:val="hr-HR"/>
              </w:rPr>
              <w:t>učenja i poučavanja i</w:t>
            </w:r>
            <w:r w:rsidRPr="00DF4CE5">
              <w:rPr>
                <w:rFonts w:ascii="Cambria" w:eastAsia="Cambria" w:hAnsi="Cambria" w:cstheme="minorHAnsi"/>
                <w:spacing w:val="-50"/>
                <w:lang w:val="hr-HR"/>
              </w:rPr>
              <w:t xml:space="preserve"> </w:t>
            </w:r>
            <w:r w:rsidRPr="00DF4CE5">
              <w:rPr>
                <w:rFonts w:ascii="Cambria" w:eastAsia="Cambria" w:hAnsi="Cambria" w:cstheme="minorHAnsi"/>
                <w:lang w:val="hr-HR"/>
              </w:rPr>
              <w:t>načini</w:t>
            </w:r>
            <w:r w:rsidRPr="00DF4CE5">
              <w:rPr>
                <w:rFonts w:ascii="Cambria" w:eastAsia="Cambria" w:hAnsi="Cambria" w:cstheme="minorHAnsi"/>
                <w:spacing w:val="-2"/>
                <w:lang w:val="hr-HR"/>
              </w:rPr>
              <w:t xml:space="preserve"> </w:t>
            </w:r>
            <w:r w:rsidRPr="00DF4CE5">
              <w:rPr>
                <w:rFonts w:ascii="Cambria" w:eastAsia="Cambria" w:hAnsi="Cambria" w:cstheme="minorHAnsi"/>
                <w:lang w:val="hr-HR"/>
              </w:rPr>
              <w:t>vrednovanja</w:t>
            </w:r>
          </w:p>
        </w:tc>
        <w:tc>
          <w:tcPr>
            <w:tcW w:w="1812" w:type="dxa"/>
          </w:tcPr>
          <w:p w14:paraId="5EEC95EA" w14:textId="77777777" w:rsidR="00E473D6" w:rsidRPr="00DF4CE5" w:rsidRDefault="00E473D6" w:rsidP="00E473D6">
            <w:pPr>
              <w:widowControl w:val="0"/>
              <w:autoSpaceDE w:val="0"/>
              <w:autoSpaceDN w:val="0"/>
              <w:spacing w:after="0" w:line="240" w:lineRule="auto"/>
              <w:ind w:left="107"/>
              <w:rPr>
                <w:rFonts w:ascii="Cambria" w:eastAsia="Cambria" w:hAnsi="Cambria" w:cstheme="minorHAnsi"/>
                <w:lang w:val="hr-HR"/>
              </w:rPr>
            </w:pPr>
            <w:r w:rsidRPr="00DF4CE5">
              <w:rPr>
                <w:rFonts w:ascii="Cambria" w:eastAsia="Cambria" w:hAnsi="Cambria" w:cstheme="minorHAnsi"/>
                <w:lang w:val="hr-HR"/>
              </w:rPr>
              <w:t>Obveze</w:t>
            </w:r>
          </w:p>
        </w:tc>
        <w:tc>
          <w:tcPr>
            <w:tcW w:w="1037" w:type="dxa"/>
            <w:gridSpan w:val="2"/>
          </w:tcPr>
          <w:p w14:paraId="354018F6" w14:textId="77777777" w:rsidR="00E473D6" w:rsidRPr="00DF4CE5" w:rsidRDefault="00E473D6" w:rsidP="00E473D6">
            <w:pPr>
              <w:widowControl w:val="0"/>
              <w:autoSpaceDE w:val="0"/>
              <w:autoSpaceDN w:val="0"/>
              <w:spacing w:after="0" w:line="240" w:lineRule="auto"/>
              <w:ind w:left="174" w:right="161"/>
              <w:jc w:val="center"/>
              <w:rPr>
                <w:rFonts w:ascii="Cambria" w:eastAsia="Cambria" w:hAnsi="Cambria" w:cstheme="minorHAnsi"/>
                <w:lang w:val="hr-HR"/>
              </w:rPr>
            </w:pPr>
            <w:r w:rsidRPr="00DF4CE5">
              <w:rPr>
                <w:rFonts w:ascii="Cambria" w:eastAsia="Cambria" w:hAnsi="Cambria" w:cstheme="minorHAnsi"/>
                <w:lang w:val="hr-HR"/>
              </w:rPr>
              <w:t>Ishodi</w:t>
            </w:r>
          </w:p>
        </w:tc>
        <w:tc>
          <w:tcPr>
            <w:tcW w:w="1022" w:type="dxa"/>
          </w:tcPr>
          <w:p w14:paraId="770A5EDE" w14:textId="77777777" w:rsidR="00E473D6" w:rsidRPr="00DF4CE5" w:rsidRDefault="00E473D6" w:rsidP="00E473D6">
            <w:pPr>
              <w:widowControl w:val="0"/>
              <w:autoSpaceDE w:val="0"/>
              <w:autoSpaceDN w:val="0"/>
              <w:spacing w:after="0" w:line="240" w:lineRule="auto"/>
              <w:ind w:left="299" w:right="278"/>
              <w:jc w:val="center"/>
              <w:rPr>
                <w:rFonts w:ascii="Cambria" w:eastAsia="Cambria" w:hAnsi="Cambria" w:cstheme="minorHAnsi"/>
                <w:lang w:val="hr-HR"/>
              </w:rPr>
            </w:pPr>
            <w:r w:rsidRPr="00DF4CE5">
              <w:rPr>
                <w:rFonts w:ascii="Cambria" w:eastAsia="Cambria" w:hAnsi="Cambria" w:cstheme="minorHAnsi"/>
                <w:lang w:val="hr-HR"/>
              </w:rPr>
              <w:t>Sati</w:t>
            </w:r>
          </w:p>
        </w:tc>
        <w:tc>
          <w:tcPr>
            <w:tcW w:w="1171" w:type="dxa"/>
            <w:gridSpan w:val="2"/>
          </w:tcPr>
          <w:p w14:paraId="63E6721E" w14:textId="77777777" w:rsidR="00E473D6" w:rsidRPr="00DF4CE5" w:rsidRDefault="00E473D6" w:rsidP="00E473D6">
            <w:pPr>
              <w:widowControl w:val="0"/>
              <w:autoSpaceDE w:val="0"/>
              <w:autoSpaceDN w:val="0"/>
              <w:spacing w:after="0" w:line="240" w:lineRule="auto"/>
              <w:ind w:left="297" w:right="279"/>
              <w:jc w:val="center"/>
              <w:rPr>
                <w:rFonts w:ascii="Cambria" w:eastAsia="Cambria" w:hAnsi="Cambria" w:cstheme="minorHAnsi"/>
                <w:lang w:val="hr-HR"/>
              </w:rPr>
            </w:pPr>
            <w:r w:rsidRPr="00DF4CE5">
              <w:rPr>
                <w:rFonts w:ascii="Cambria" w:eastAsia="Cambria" w:hAnsi="Cambria" w:cstheme="minorHAnsi"/>
                <w:lang w:val="hr-HR"/>
              </w:rPr>
              <w:t>ECTS</w:t>
            </w:r>
          </w:p>
        </w:tc>
        <w:tc>
          <w:tcPr>
            <w:tcW w:w="2044" w:type="dxa"/>
          </w:tcPr>
          <w:p w14:paraId="1AB4D253" w14:textId="77777777" w:rsidR="00E473D6" w:rsidRPr="00DF4CE5" w:rsidRDefault="00E473D6" w:rsidP="00E473D6">
            <w:pPr>
              <w:widowControl w:val="0"/>
              <w:autoSpaceDE w:val="0"/>
              <w:autoSpaceDN w:val="0"/>
              <w:spacing w:after="0" w:line="240" w:lineRule="auto"/>
              <w:ind w:left="397" w:right="138" w:hanging="228"/>
              <w:rPr>
                <w:rFonts w:ascii="Cambria" w:eastAsia="Cambria" w:hAnsi="Cambria" w:cstheme="minorHAnsi"/>
                <w:lang w:val="hr-HR"/>
              </w:rPr>
            </w:pPr>
            <w:r w:rsidRPr="00DF4CE5">
              <w:rPr>
                <w:rFonts w:ascii="Cambria" w:eastAsia="Cambria" w:hAnsi="Cambria" w:cstheme="minorHAnsi"/>
                <w:lang w:val="hr-HR"/>
              </w:rPr>
              <w:t>Maksimalni</w:t>
            </w:r>
            <w:r w:rsidRPr="00DF4CE5">
              <w:rPr>
                <w:rFonts w:ascii="Cambria" w:eastAsia="Cambria" w:hAnsi="Cambria" w:cstheme="minorHAnsi"/>
                <w:spacing w:val="-9"/>
                <w:lang w:val="hr-HR"/>
              </w:rPr>
              <w:t xml:space="preserve"> </w:t>
            </w:r>
            <w:r w:rsidRPr="00DF4CE5">
              <w:rPr>
                <w:rFonts w:ascii="Cambria" w:eastAsia="Cambria" w:hAnsi="Cambria" w:cstheme="minorHAnsi"/>
                <w:lang w:val="hr-HR"/>
              </w:rPr>
              <w:t>udio</w:t>
            </w:r>
            <w:r w:rsidRPr="00DF4CE5">
              <w:rPr>
                <w:rFonts w:ascii="Cambria" w:eastAsia="Cambria" w:hAnsi="Cambria" w:cstheme="minorHAnsi"/>
                <w:spacing w:val="-50"/>
                <w:lang w:val="hr-HR"/>
              </w:rPr>
              <w:t xml:space="preserve"> </w:t>
            </w:r>
            <w:r w:rsidRPr="00DF4CE5">
              <w:rPr>
                <w:rFonts w:ascii="Cambria" w:eastAsia="Cambria" w:hAnsi="Cambria" w:cstheme="minorHAnsi"/>
                <w:lang w:val="hr-HR"/>
              </w:rPr>
              <w:t>u</w:t>
            </w:r>
            <w:r w:rsidRPr="00DF4CE5">
              <w:rPr>
                <w:rFonts w:ascii="Cambria" w:eastAsia="Cambria" w:hAnsi="Cambria" w:cstheme="minorHAnsi"/>
                <w:spacing w:val="-2"/>
                <w:lang w:val="hr-HR"/>
              </w:rPr>
              <w:t xml:space="preserve"> </w:t>
            </w:r>
            <w:r w:rsidRPr="00DF4CE5">
              <w:rPr>
                <w:rFonts w:ascii="Cambria" w:eastAsia="Cambria" w:hAnsi="Cambria" w:cstheme="minorHAnsi"/>
                <w:lang w:val="hr-HR"/>
              </w:rPr>
              <w:t>ocjeni (%)</w:t>
            </w:r>
          </w:p>
        </w:tc>
      </w:tr>
      <w:tr w:rsidR="00E473D6" w:rsidRPr="00DF4CE5" w14:paraId="7CC55617" w14:textId="77777777" w:rsidTr="00DF4CE5">
        <w:trPr>
          <w:trHeight w:val="580"/>
        </w:trPr>
        <w:tc>
          <w:tcPr>
            <w:tcW w:w="2554" w:type="dxa"/>
            <w:vMerge/>
            <w:tcBorders>
              <w:top w:val="nil"/>
            </w:tcBorders>
            <w:shd w:val="clear" w:color="auto" w:fill="F3F3F3"/>
          </w:tcPr>
          <w:p w14:paraId="56C00586" w14:textId="77777777" w:rsidR="00E473D6" w:rsidRPr="00DF4CE5" w:rsidRDefault="00E473D6" w:rsidP="00E473D6">
            <w:pPr>
              <w:widowControl w:val="0"/>
              <w:autoSpaceDE w:val="0"/>
              <w:autoSpaceDN w:val="0"/>
              <w:spacing w:after="0" w:line="240" w:lineRule="auto"/>
              <w:rPr>
                <w:rFonts w:ascii="Cambria" w:eastAsia="Cambria" w:hAnsi="Cambria" w:cstheme="minorHAnsi"/>
                <w:lang w:val="hr-HR"/>
              </w:rPr>
            </w:pPr>
          </w:p>
        </w:tc>
        <w:tc>
          <w:tcPr>
            <w:tcW w:w="1812" w:type="dxa"/>
          </w:tcPr>
          <w:p w14:paraId="1FA0DB78" w14:textId="77777777" w:rsidR="00E473D6" w:rsidRPr="00DF4CE5" w:rsidRDefault="00E473D6" w:rsidP="00E473D6">
            <w:pPr>
              <w:widowControl w:val="0"/>
              <w:autoSpaceDE w:val="0"/>
              <w:autoSpaceDN w:val="0"/>
              <w:spacing w:after="0" w:line="240" w:lineRule="auto"/>
              <w:ind w:left="107"/>
              <w:rPr>
                <w:rFonts w:ascii="Cambria" w:eastAsia="Cambria" w:hAnsi="Cambria" w:cstheme="minorHAnsi"/>
                <w:lang w:val="hr-HR"/>
              </w:rPr>
            </w:pPr>
            <w:r w:rsidRPr="00DF4CE5">
              <w:rPr>
                <w:rFonts w:ascii="Cambria" w:eastAsia="Cambria" w:hAnsi="Cambria" w:cstheme="minorHAnsi"/>
                <w:lang w:val="hr-HR"/>
              </w:rPr>
              <w:t>hospitiranje na nastavi (V)</w:t>
            </w:r>
          </w:p>
        </w:tc>
        <w:tc>
          <w:tcPr>
            <w:tcW w:w="1037" w:type="dxa"/>
            <w:gridSpan w:val="2"/>
          </w:tcPr>
          <w:p w14:paraId="791052BF" w14:textId="35995C7E" w:rsidR="00E473D6" w:rsidRPr="00DF4CE5" w:rsidRDefault="00E473D6" w:rsidP="00E473D6">
            <w:pPr>
              <w:widowControl w:val="0"/>
              <w:autoSpaceDE w:val="0"/>
              <w:autoSpaceDN w:val="0"/>
              <w:spacing w:after="0" w:line="240" w:lineRule="auto"/>
              <w:ind w:left="174" w:right="159"/>
              <w:jc w:val="center"/>
              <w:rPr>
                <w:rFonts w:ascii="Cambria" w:eastAsia="Cambria" w:hAnsi="Cambria" w:cstheme="minorHAnsi"/>
                <w:lang w:val="hr-HR"/>
              </w:rPr>
            </w:pPr>
            <w:r w:rsidRPr="00DF4CE5">
              <w:rPr>
                <w:rFonts w:ascii="Cambria" w:eastAsia="Cambria" w:hAnsi="Cambria" w:cstheme="minorHAnsi"/>
                <w:lang w:val="hr-HR"/>
              </w:rPr>
              <w:t>1.</w:t>
            </w:r>
            <w:r w:rsidR="009568E0">
              <w:rPr>
                <w:rFonts w:ascii="Cambria" w:eastAsia="Cambria" w:hAnsi="Cambria" w:cstheme="minorHAnsi"/>
                <w:lang w:val="hr-HR"/>
              </w:rPr>
              <w:t xml:space="preserve"> –</w:t>
            </w:r>
            <w:r w:rsidRPr="00DF4CE5">
              <w:rPr>
                <w:rFonts w:ascii="Cambria" w:eastAsia="Cambria" w:hAnsi="Cambria" w:cstheme="minorHAnsi"/>
                <w:spacing w:val="-2"/>
                <w:lang w:val="hr-HR"/>
              </w:rPr>
              <w:t xml:space="preserve"> </w:t>
            </w:r>
            <w:r w:rsidRPr="00DF4CE5">
              <w:rPr>
                <w:rFonts w:ascii="Cambria" w:eastAsia="Cambria" w:hAnsi="Cambria" w:cstheme="minorHAnsi"/>
                <w:lang w:val="hr-HR"/>
              </w:rPr>
              <w:t>6.</w:t>
            </w:r>
          </w:p>
        </w:tc>
        <w:tc>
          <w:tcPr>
            <w:tcW w:w="1022" w:type="dxa"/>
          </w:tcPr>
          <w:p w14:paraId="02436685" w14:textId="77777777" w:rsidR="00E473D6" w:rsidRPr="00DF4CE5" w:rsidRDefault="00E473D6" w:rsidP="00E473D6">
            <w:pPr>
              <w:widowControl w:val="0"/>
              <w:autoSpaceDE w:val="0"/>
              <w:autoSpaceDN w:val="0"/>
              <w:spacing w:after="0" w:line="240" w:lineRule="auto"/>
              <w:ind w:left="298" w:right="278"/>
              <w:jc w:val="center"/>
              <w:rPr>
                <w:rFonts w:ascii="Cambria" w:eastAsia="Cambria" w:hAnsi="Cambria" w:cstheme="minorHAnsi"/>
                <w:lang w:val="hr-HR"/>
              </w:rPr>
            </w:pPr>
            <w:r w:rsidRPr="00DF4CE5">
              <w:rPr>
                <w:rFonts w:ascii="Cambria" w:eastAsia="Cambria" w:hAnsi="Cambria" w:cstheme="minorHAnsi"/>
                <w:lang w:val="hr-HR"/>
              </w:rPr>
              <w:t>75</w:t>
            </w:r>
          </w:p>
        </w:tc>
        <w:tc>
          <w:tcPr>
            <w:tcW w:w="1171" w:type="dxa"/>
            <w:gridSpan w:val="2"/>
          </w:tcPr>
          <w:p w14:paraId="6EC0BCFA" w14:textId="77777777" w:rsidR="00E473D6" w:rsidRPr="00DF4CE5" w:rsidRDefault="00E473D6" w:rsidP="00E473D6">
            <w:pPr>
              <w:widowControl w:val="0"/>
              <w:autoSpaceDE w:val="0"/>
              <w:autoSpaceDN w:val="0"/>
              <w:spacing w:after="0" w:line="240" w:lineRule="auto"/>
              <w:ind w:left="297" w:right="278"/>
              <w:jc w:val="center"/>
              <w:rPr>
                <w:rFonts w:ascii="Cambria" w:eastAsia="Cambria" w:hAnsi="Cambria" w:cstheme="minorHAnsi"/>
                <w:lang w:val="hr-HR"/>
              </w:rPr>
            </w:pPr>
            <w:r w:rsidRPr="00DF4CE5">
              <w:rPr>
                <w:rFonts w:ascii="Cambria" w:eastAsia="Cambria" w:hAnsi="Cambria" w:cstheme="minorHAnsi"/>
                <w:lang w:val="hr-HR"/>
              </w:rPr>
              <w:t>2,5</w:t>
            </w:r>
          </w:p>
        </w:tc>
        <w:tc>
          <w:tcPr>
            <w:tcW w:w="2044" w:type="dxa"/>
          </w:tcPr>
          <w:p w14:paraId="731EB9A8" w14:textId="77777777" w:rsidR="00E473D6" w:rsidRPr="00DF4CE5" w:rsidRDefault="00E473D6" w:rsidP="00E473D6">
            <w:pPr>
              <w:widowControl w:val="0"/>
              <w:autoSpaceDE w:val="0"/>
              <w:autoSpaceDN w:val="0"/>
              <w:spacing w:after="0" w:line="240" w:lineRule="auto"/>
              <w:ind w:left="691" w:right="675"/>
              <w:jc w:val="center"/>
              <w:rPr>
                <w:rFonts w:ascii="Cambria" w:eastAsia="Cambria" w:hAnsi="Cambria" w:cstheme="minorHAnsi"/>
                <w:lang w:val="hr-HR"/>
              </w:rPr>
            </w:pPr>
            <w:r w:rsidRPr="00DF4CE5">
              <w:rPr>
                <w:rFonts w:ascii="Cambria" w:eastAsia="Cambria" w:hAnsi="Cambria" w:cstheme="minorHAnsi"/>
                <w:lang w:val="hr-HR"/>
              </w:rPr>
              <w:t>60%</w:t>
            </w:r>
          </w:p>
        </w:tc>
      </w:tr>
      <w:tr w:rsidR="00E473D6" w:rsidRPr="00DF4CE5" w14:paraId="3EA3433D" w14:textId="77777777" w:rsidTr="00DF4CE5">
        <w:trPr>
          <w:trHeight w:val="858"/>
        </w:trPr>
        <w:tc>
          <w:tcPr>
            <w:tcW w:w="2554" w:type="dxa"/>
            <w:vMerge/>
            <w:tcBorders>
              <w:top w:val="nil"/>
            </w:tcBorders>
            <w:shd w:val="clear" w:color="auto" w:fill="F3F3F3"/>
          </w:tcPr>
          <w:p w14:paraId="3984BE7F" w14:textId="77777777" w:rsidR="00E473D6" w:rsidRPr="00DF4CE5" w:rsidRDefault="00E473D6" w:rsidP="00E473D6">
            <w:pPr>
              <w:widowControl w:val="0"/>
              <w:autoSpaceDE w:val="0"/>
              <w:autoSpaceDN w:val="0"/>
              <w:spacing w:after="0" w:line="240" w:lineRule="auto"/>
              <w:rPr>
                <w:rFonts w:ascii="Cambria" w:eastAsia="Cambria" w:hAnsi="Cambria" w:cstheme="minorHAnsi"/>
                <w:lang w:val="hr-HR"/>
              </w:rPr>
            </w:pPr>
          </w:p>
        </w:tc>
        <w:tc>
          <w:tcPr>
            <w:tcW w:w="1812" w:type="dxa"/>
          </w:tcPr>
          <w:p w14:paraId="348CD7A4" w14:textId="77777777" w:rsidR="00E473D6" w:rsidRPr="00DF4CE5" w:rsidRDefault="00E473D6" w:rsidP="00E473D6">
            <w:pPr>
              <w:widowControl w:val="0"/>
              <w:autoSpaceDE w:val="0"/>
              <w:autoSpaceDN w:val="0"/>
              <w:spacing w:after="0" w:line="240" w:lineRule="auto"/>
              <w:ind w:left="107" w:right="674"/>
              <w:rPr>
                <w:rFonts w:ascii="Cambria" w:eastAsia="Cambria" w:hAnsi="Cambria" w:cstheme="minorHAnsi"/>
                <w:lang w:val="hr-HR"/>
              </w:rPr>
            </w:pPr>
            <w:r w:rsidRPr="00DF4CE5">
              <w:rPr>
                <w:rFonts w:ascii="Cambria" w:eastAsia="Cambria" w:hAnsi="Cambria" w:cstheme="minorHAnsi"/>
                <w:spacing w:val="-1"/>
                <w:lang w:val="hr-HR"/>
              </w:rPr>
              <w:t>Dnevnik</w:t>
            </w:r>
          </w:p>
          <w:p w14:paraId="1A398FB0" w14:textId="77777777" w:rsidR="00E473D6" w:rsidRPr="00DF4CE5" w:rsidRDefault="00E473D6" w:rsidP="00E473D6">
            <w:pPr>
              <w:widowControl w:val="0"/>
              <w:autoSpaceDE w:val="0"/>
              <w:autoSpaceDN w:val="0"/>
              <w:spacing w:after="0" w:line="240" w:lineRule="auto"/>
              <w:ind w:left="107"/>
              <w:rPr>
                <w:rFonts w:ascii="Cambria" w:eastAsia="Cambria" w:hAnsi="Cambria" w:cstheme="minorHAnsi"/>
                <w:lang w:val="hr-HR"/>
              </w:rPr>
            </w:pPr>
            <w:r w:rsidRPr="00DF4CE5">
              <w:rPr>
                <w:rFonts w:ascii="Cambria" w:eastAsia="Cambria" w:hAnsi="Cambria" w:cstheme="minorHAnsi"/>
                <w:lang w:val="hr-HR"/>
              </w:rPr>
              <w:t>stručne</w:t>
            </w:r>
            <w:r w:rsidRPr="00DF4CE5">
              <w:rPr>
                <w:rFonts w:ascii="Cambria" w:eastAsia="Cambria" w:hAnsi="Cambria" w:cstheme="minorHAnsi"/>
                <w:spacing w:val="-3"/>
                <w:lang w:val="hr-HR"/>
              </w:rPr>
              <w:t xml:space="preserve"> </w:t>
            </w:r>
            <w:r w:rsidRPr="00DF4CE5">
              <w:rPr>
                <w:rFonts w:ascii="Cambria" w:eastAsia="Cambria" w:hAnsi="Cambria" w:cstheme="minorHAnsi"/>
                <w:lang w:val="hr-HR"/>
              </w:rPr>
              <w:t>prakse</w:t>
            </w:r>
          </w:p>
        </w:tc>
        <w:tc>
          <w:tcPr>
            <w:tcW w:w="1037" w:type="dxa"/>
            <w:gridSpan w:val="2"/>
          </w:tcPr>
          <w:p w14:paraId="2D4A1600" w14:textId="77777777" w:rsidR="00E473D6" w:rsidRPr="00DF4CE5" w:rsidRDefault="00E473D6" w:rsidP="00E473D6">
            <w:pPr>
              <w:widowControl w:val="0"/>
              <w:autoSpaceDE w:val="0"/>
              <w:autoSpaceDN w:val="0"/>
              <w:spacing w:after="0" w:line="240" w:lineRule="auto"/>
              <w:rPr>
                <w:rFonts w:ascii="Cambria" w:eastAsia="Cambria" w:hAnsi="Cambria" w:cstheme="minorHAnsi"/>
                <w:lang w:val="hr-HR"/>
              </w:rPr>
            </w:pPr>
          </w:p>
          <w:p w14:paraId="0E3AC749" w14:textId="0087769F" w:rsidR="00E473D6" w:rsidRPr="00DF4CE5" w:rsidRDefault="009568E0" w:rsidP="00E473D6">
            <w:pPr>
              <w:widowControl w:val="0"/>
              <w:autoSpaceDE w:val="0"/>
              <w:autoSpaceDN w:val="0"/>
              <w:spacing w:after="0" w:line="240" w:lineRule="auto"/>
              <w:ind w:left="174" w:right="159"/>
              <w:jc w:val="center"/>
              <w:rPr>
                <w:rFonts w:ascii="Cambria" w:eastAsia="Cambria" w:hAnsi="Cambria" w:cstheme="minorHAnsi"/>
                <w:lang w:val="hr-HR"/>
              </w:rPr>
            </w:pPr>
            <w:r w:rsidRPr="009568E0">
              <w:rPr>
                <w:rFonts w:ascii="Cambria" w:eastAsia="Cambria" w:hAnsi="Cambria" w:cstheme="minorHAnsi"/>
                <w:lang w:val="hr-HR"/>
              </w:rPr>
              <w:t>1. – 6.</w:t>
            </w:r>
          </w:p>
        </w:tc>
        <w:tc>
          <w:tcPr>
            <w:tcW w:w="1022" w:type="dxa"/>
          </w:tcPr>
          <w:p w14:paraId="7FFBE15B" w14:textId="77777777" w:rsidR="00E473D6" w:rsidRPr="00DF4CE5" w:rsidRDefault="00E473D6" w:rsidP="00E473D6">
            <w:pPr>
              <w:widowControl w:val="0"/>
              <w:autoSpaceDE w:val="0"/>
              <w:autoSpaceDN w:val="0"/>
              <w:spacing w:after="0" w:line="240" w:lineRule="auto"/>
              <w:rPr>
                <w:rFonts w:ascii="Cambria" w:eastAsia="Cambria" w:hAnsi="Cambria" w:cstheme="minorHAnsi"/>
                <w:lang w:val="hr-HR"/>
              </w:rPr>
            </w:pPr>
          </w:p>
          <w:p w14:paraId="7D0155D8" w14:textId="77777777" w:rsidR="00E473D6" w:rsidRPr="00DF4CE5" w:rsidRDefault="00E473D6" w:rsidP="00E473D6">
            <w:pPr>
              <w:widowControl w:val="0"/>
              <w:autoSpaceDE w:val="0"/>
              <w:autoSpaceDN w:val="0"/>
              <w:spacing w:after="0" w:line="240" w:lineRule="auto"/>
              <w:ind w:left="298" w:right="278"/>
              <w:jc w:val="center"/>
              <w:rPr>
                <w:rFonts w:ascii="Cambria" w:eastAsia="Cambria" w:hAnsi="Cambria" w:cstheme="minorHAnsi"/>
                <w:lang w:val="hr-HR"/>
              </w:rPr>
            </w:pPr>
            <w:r w:rsidRPr="00DF4CE5">
              <w:rPr>
                <w:rFonts w:ascii="Cambria" w:eastAsia="Cambria" w:hAnsi="Cambria" w:cstheme="minorHAnsi"/>
                <w:lang w:val="hr-HR"/>
              </w:rPr>
              <w:t>15</w:t>
            </w:r>
          </w:p>
        </w:tc>
        <w:tc>
          <w:tcPr>
            <w:tcW w:w="1171" w:type="dxa"/>
            <w:gridSpan w:val="2"/>
          </w:tcPr>
          <w:p w14:paraId="37472DFD" w14:textId="77777777" w:rsidR="00E473D6" w:rsidRPr="00DF4CE5" w:rsidRDefault="00E473D6" w:rsidP="00E473D6">
            <w:pPr>
              <w:widowControl w:val="0"/>
              <w:autoSpaceDE w:val="0"/>
              <w:autoSpaceDN w:val="0"/>
              <w:spacing w:after="0" w:line="240" w:lineRule="auto"/>
              <w:rPr>
                <w:rFonts w:ascii="Cambria" w:eastAsia="Cambria" w:hAnsi="Cambria" w:cstheme="minorHAnsi"/>
                <w:lang w:val="hr-HR"/>
              </w:rPr>
            </w:pPr>
          </w:p>
          <w:p w14:paraId="40BC19C1" w14:textId="77777777" w:rsidR="00E473D6" w:rsidRPr="00DF4CE5" w:rsidRDefault="00E473D6" w:rsidP="00E473D6">
            <w:pPr>
              <w:widowControl w:val="0"/>
              <w:autoSpaceDE w:val="0"/>
              <w:autoSpaceDN w:val="0"/>
              <w:spacing w:after="0" w:line="240" w:lineRule="auto"/>
              <w:ind w:left="297" w:right="278"/>
              <w:jc w:val="center"/>
              <w:rPr>
                <w:rFonts w:ascii="Cambria" w:eastAsia="Cambria" w:hAnsi="Cambria" w:cstheme="minorHAnsi"/>
                <w:lang w:val="hr-HR"/>
              </w:rPr>
            </w:pPr>
            <w:r w:rsidRPr="00DF4CE5">
              <w:rPr>
                <w:rFonts w:ascii="Cambria" w:eastAsia="Cambria" w:hAnsi="Cambria" w:cstheme="minorHAnsi"/>
                <w:lang w:val="hr-HR"/>
              </w:rPr>
              <w:t>0,5</w:t>
            </w:r>
          </w:p>
        </w:tc>
        <w:tc>
          <w:tcPr>
            <w:tcW w:w="2044" w:type="dxa"/>
          </w:tcPr>
          <w:p w14:paraId="0B34C899" w14:textId="77777777" w:rsidR="00E473D6" w:rsidRPr="00DF4CE5" w:rsidRDefault="00E473D6" w:rsidP="00E473D6">
            <w:pPr>
              <w:widowControl w:val="0"/>
              <w:autoSpaceDE w:val="0"/>
              <w:autoSpaceDN w:val="0"/>
              <w:spacing w:after="0" w:line="240" w:lineRule="auto"/>
              <w:rPr>
                <w:rFonts w:ascii="Cambria" w:eastAsia="Cambria" w:hAnsi="Cambria" w:cstheme="minorHAnsi"/>
                <w:lang w:val="hr-HR"/>
              </w:rPr>
            </w:pPr>
          </w:p>
          <w:p w14:paraId="03005400" w14:textId="77777777" w:rsidR="00E473D6" w:rsidRPr="00DF4CE5" w:rsidRDefault="00E473D6" w:rsidP="00E473D6">
            <w:pPr>
              <w:widowControl w:val="0"/>
              <w:autoSpaceDE w:val="0"/>
              <w:autoSpaceDN w:val="0"/>
              <w:spacing w:after="0" w:line="240" w:lineRule="auto"/>
              <w:ind w:left="691" w:right="675"/>
              <w:jc w:val="center"/>
              <w:rPr>
                <w:rFonts w:ascii="Cambria" w:eastAsia="Cambria" w:hAnsi="Cambria" w:cstheme="minorHAnsi"/>
                <w:lang w:val="hr-HR"/>
              </w:rPr>
            </w:pPr>
            <w:r w:rsidRPr="00DF4CE5">
              <w:rPr>
                <w:rFonts w:ascii="Cambria" w:eastAsia="Cambria" w:hAnsi="Cambria" w:cstheme="minorHAnsi"/>
                <w:lang w:val="hr-HR"/>
              </w:rPr>
              <w:t>40%</w:t>
            </w:r>
          </w:p>
        </w:tc>
      </w:tr>
      <w:tr w:rsidR="00E473D6" w:rsidRPr="00DF4CE5" w14:paraId="5FD4B1B0" w14:textId="77777777" w:rsidTr="00DF4CE5">
        <w:trPr>
          <w:trHeight w:val="296"/>
        </w:trPr>
        <w:tc>
          <w:tcPr>
            <w:tcW w:w="2554" w:type="dxa"/>
            <w:vMerge/>
            <w:tcBorders>
              <w:top w:val="nil"/>
            </w:tcBorders>
            <w:shd w:val="clear" w:color="auto" w:fill="F3F3F3"/>
          </w:tcPr>
          <w:p w14:paraId="185760B1" w14:textId="77777777" w:rsidR="00E473D6" w:rsidRPr="00DF4CE5" w:rsidRDefault="00E473D6" w:rsidP="00E473D6">
            <w:pPr>
              <w:widowControl w:val="0"/>
              <w:autoSpaceDE w:val="0"/>
              <w:autoSpaceDN w:val="0"/>
              <w:spacing w:after="0" w:line="240" w:lineRule="auto"/>
              <w:rPr>
                <w:rFonts w:ascii="Cambria" w:eastAsia="Cambria" w:hAnsi="Cambria" w:cstheme="minorHAnsi"/>
                <w:lang w:val="hr-HR"/>
              </w:rPr>
            </w:pPr>
          </w:p>
        </w:tc>
        <w:tc>
          <w:tcPr>
            <w:tcW w:w="2849" w:type="dxa"/>
            <w:gridSpan w:val="3"/>
          </w:tcPr>
          <w:p w14:paraId="6B25357F" w14:textId="77777777" w:rsidR="00E473D6" w:rsidRPr="00DF4CE5" w:rsidRDefault="00E473D6" w:rsidP="00E473D6">
            <w:pPr>
              <w:widowControl w:val="0"/>
              <w:autoSpaceDE w:val="0"/>
              <w:autoSpaceDN w:val="0"/>
              <w:spacing w:after="0" w:line="240" w:lineRule="auto"/>
              <w:ind w:left="107"/>
              <w:rPr>
                <w:rFonts w:ascii="Cambria" w:eastAsia="Cambria" w:hAnsi="Cambria" w:cstheme="minorHAnsi"/>
                <w:lang w:val="hr-HR"/>
              </w:rPr>
            </w:pPr>
            <w:r w:rsidRPr="00DF4CE5">
              <w:rPr>
                <w:rFonts w:ascii="Cambria" w:eastAsia="Cambria" w:hAnsi="Cambria" w:cstheme="minorHAnsi"/>
                <w:lang w:val="hr-HR"/>
              </w:rPr>
              <w:t>Ukupno</w:t>
            </w:r>
          </w:p>
        </w:tc>
        <w:tc>
          <w:tcPr>
            <w:tcW w:w="1022" w:type="dxa"/>
          </w:tcPr>
          <w:p w14:paraId="0D82491E" w14:textId="77777777" w:rsidR="00E473D6" w:rsidRPr="00DF4CE5" w:rsidRDefault="00E473D6" w:rsidP="00E473D6">
            <w:pPr>
              <w:widowControl w:val="0"/>
              <w:autoSpaceDE w:val="0"/>
              <w:autoSpaceDN w:val="0"/>
              <w:spacing w:after="0" w:line="240" w:lineRule="auto"/>
              <w:ind w:left="298" w:right="278"/>
              <w:jc w:val="center"/>
              <w:rPr>
                <w:rFonts w:ascii="Cambria" w:eastAsia="Cambria" w:hAnsi="Cambria" w:cstheme="minorHAnsi"/>
                <w:lang w:val="hr-HR"/>
              </w:rPr>
            </w:pPr>
            <w:r w:rsidRPr="00DF4CE5">
              <w:rPr>
                <w:rFonts w:ascii="Cambria" w:eastAsia="Cambria" w:hAnsi="Cambria" w:cstheme="minorHAnsi"/>
                <w:lang w:val="hr-HR"/>
              </w:rPr>
              <w:t>90</w:t>
            </w:r>
          </w:p>
        </w:tc>
        <w:tc>
          <w:tcPr>
            <w:tcW w:w="1171" w:type="dxa"/>
            <w:gridSpan w:val="2"/>
          </w:tcPr>
          <w:p w14:paraId="5A3BC0AA" w14:textId="77777777" w:rsidR="00E473D6" w:rsidRPr="00DF4CE5" w:rsidRDefault="00E473D6" w:rsidP="00E473D6">
            <w:pPr>
              <w:widowControl w:val="0"/>
              <w:autoSpaceDE w:val="0"/>
              <w:autoSpaceDN w:val="0"/>
              <w:spacing w:after="0" w:line="240" w:lineRule="auto"/>
              <w:ind w:left="19"/>
              <w:jc w:val="center"/>
              <w:rPr>
                <w:rFonts w:ascii="Cambria" w:eastAsia="Cambria" w:hAnsi="Cambria" w:cstheme="minorHAnsi"/>
                <w:lang w:val="hr-HR"/>
              </w:rPr>
            </w:pPr>
            <w:r w:rsidRPr="00DF4CE5">
              <w:rPr>
                <w:rFonts w:ascii="Cambria" w:eastAsia="Cambria" w:hAnsi="Cambria" w:cstheme="minorHAnsi"/>
                <w:lang w:val="hr-HR"/>
              </w:rPr>
              <w:t>3</w:t>
            </w:r>
          </w:p>
        </w:tc>
        <w:tc>
          <w:tcPr>
            <w:tcW w:w="2044" w:type="dxa"/>
          </w:tcPr>
          <w:p w14:paraId="415B1F83" w14:textId="77777777" w:rsidR="00E473D6" w:rsidRPr="00DF4CE5" w:rsidRDefault="00E473D6" w:rsidP="00E473D6">
            <w:pPr>
              <w:widowControl w:val="0"/>
              <w:autoSpaceDE w:val="0"/>
              <w:autoSpaceDN w:val="0"/>
              <w:spacing w:after="0" w:line="240" w:lineRule="auto"/>
              <w:ind w:left="694" w:right="675"/>
              <w:jc w:val="center"/>
              <w:rPr>
                <w:rFonts w:ascii="Cambria" w:eastAsia="Cambria" w:hAnsi="Cambria" w:cstheme="minorHAnsi"/>
                <w:lang w:val="hr-HR"/>
              </w:rPr>
            </w:pPr>
            <w:r w:rsidRPr="00DF4CE5">
              <w:rPr>
                <w:rFonts w:ascii="Cambria" w:eastAsia="Cambria" w:hAnsi="Cambria" w:cstheme="minorHAnsi"/>
                <w:lang w:val="hr-HR"/>
              </w:rPr>
              <w:t>100%</w:t>
            </w:r>
          </w:p>
        </w:tc>
      </w:tr>
      <w:tr w:rsidR="00E473D6" w:rsidRPr="00D0399C" w14:paraId="62D44346" w14:textId="77777777" w:rsidTr="009568E0">
        <w:trPr>
          <w:trHeight w:val="6102"/>
        </w:trPr>
        <w:tc>
          <w:tcPr>
            <w:tcW w:w="2554" w:type="dxa"/>
            <w:shd w:val="clear" w:color="auto" w:fill="F3F3F3"/>
          </w:tcPr>
          <w:p w14:paraId="7DB1A99D" w14:textId="77777777" w:rsidR="00E473D6" w:rsidRPr="00DF4CE5" w:rsidRDefault="00E473D6" w:rsidP="00E473D6">
            <w:pPr>
              <w:widowControl w:val="0"/>
              <w:autoSpaceDE w:val="0"/>
              <w:autoSpaceDN w:val="0"/>
              <w:spacing w:after="0" w:line="240" w:lineRule="auto"/>
              <w:rPr>
                <w:rFonts w:ascii="Cambria" w:eastAsia="Cambria" w:hAnsi="Cambria" w:cstheme="minorHAnsi"/>
                <w:lang w:val="hr-HR"/>
              </w:rPr>
            </w:pPr>
          </w:p>
          <w:p w14:paraId="23C4F5D5" w14:textId="77777777" w:rsidR="00E473D6" w:rsidRPr="00DF4CE5" w:rsidRDefault="00E473D6" w:rsidP="00E473D6">
            <w:pPr>
              <w:widowControl w:val="0"/>
              <w:autoSpaceDE w:val="0"/>
              <w:autoSpaceDN w:val="0"/>
              <w:spacing w:after="0" w:line="240" w:lineRule="auto"/>
              <w:rPr>
                <w:rFonts w:ascii="Cambria" w:eastAsia="Cambria" w:hAnsi="Cambria" w:cstheme="minorHAnsi"/>
                <w:lang w:val="hr-HR"/>
              </w:rPr>
            </w:pPr>
          </w:p>
          <w:p w14:paraId="5617A15A" w14:textId="77777777" w:rsidR="00E473D6" w:rsidRPr="00DF4CE5" w:rsidRDefault="00E473D6" w:rsidP="00E473D6">
            <w:pPr>
              <w:widowControl w:val="0"/>
              <w:autoSpaceDE w:val="0"/>
              <w:autoSpaceDN w:val="0"/>
              <w:spacing w:after="0" w:line="240" w:lineRule="auto"/>
              <w:rPr>
                <w:rFonts w:ascii="Cambria" w:eastAsia="Cambria" w:hAnsi="Cambria" w:cstheme="minorHAnsi"/>
                <w:lang w:val="hr-HR"/>
              </w:rPr>
            </w:pPr>
          </w:p>
          <w:p w14:paraId="6395E3A4" w14:textId="77777777" w:rsidR="00E473D6" w:rsidRPr="00DF4CE5" w:rsidRDefault="00E473D6" w:rsidP="00E473D6">
            <w:pPr>
              <w:widowControl w:val="0"/>
              <w:autoSpaceDE w:val="0"/>
              <w:autoSpaceDN w:val="0"/>
              <w:spacing w:after="0" w:line="240" w:lineRule="auto"/>
              <w:rPr>
                <w:rFonts w:ascii="Cambria" w:eastAsia="Cambria" w:hAnsi="Cambria" w:cstheme="minorHAnsi"/>
                <w:lang w:val="hr-HR"/>
              </w:rPr>
            </w:pPr>
          </w:p>
          <w:p w14:paraId="084B04A4" w14:textId="77777777" w:rsidR="00E473D6" w:rsidRPr="00DF4CE5" w:rsidRDefault="00E473D6" w:rsidP="00E473D6">
            <w:pPr>
              <w:widowControl w:val="0"/>
              <w:autoSpaceDE w:val="0"/>
              <w:autoSpaceDN w:val="0"/>
              <w:spacing w:after="0" w:line="240" w:lineRule="auto"/>
              <w:rPr>
                <w:rFonts w:ascii="Cambria" w:eastAsia="Cambria" w:hAnsi="Cambria" w:cstheme="minorHAnsi"/>
                <w:lang w:val="hr-HR"/>
              </w:rPr>
            </w:pPr>
          </w:p>
          <w:p w14:paraId="40FDB6EF" w14:textId="77777777" w:rsidR="00E473D6" w:rsidRPr="00DF4CE5" w:rsidRDefault="00E473D6" w:rsidP="00E473D6">
            <w:pPr>
              <w:widowControl w:val="0"/>
              <w:autoSpaceDE w:val="0"/>
              <w:autoSpaceDN w:val="0"/>
              <w:spacing w:after="0" w:line="240" w:lineRule="auto"/>
              <w:rPr>
                <w:rFonts w:ascii="Cambria" w:eastAsia="Cambria" w:hAnsi="Cambria" w:cstheme="minorHAnsi"/>
                <w:lang w:val="hr-HR"/>
              </w:rPr>
            </w:pPr>
          </w:p>
          <w:p w14:paraId="605FC0DE" w14:textId="77777777" w:rsidR="00E473D6" w:rsidRPr="00DF4CE5" w:rsidRDefault="00E473D6" w:rsidP="00E473D6">
            <w:pPr>
              <w:widowControl w:val="0"/>
              <w:autoSpaceDE w:val="0"/>
              <w:autoSpaceDN w:val="0"/>
              <w:spacing w:after="0" w:line="240" w:lineRule="auto"/>
              <w:rPr>
                <w:rFonts w:ascii="Cambria" w:eastAsia="Cambria" w:hAnsi="Cambria" w:cstheme="minorHAnsi"/>
                <w:lang w:val="hr-HR"/>
              </w:rPr>
            </w:pPr>
          </w:p>
          <w:p w14:paraId="547700E1" w14:textId="77777777" w:rsidR="00E473D6" w:rsidRPr="00DF4CE5" w:rsidRDefault="00E473D6" w:rsidP="00E473D6">
            <w:pPr>
              <w:widowControl w:val="0"/>
              <w:autoSpaceDE w:val="0"/>
              <w:autoSpaceDN w:val="0"/>
              <w:spacing w:after="0" w:line="240" w:lineRule="auto"/>
              <w:rPr>
                <w:rFonts w:ascii="Cambria" w:eastAsia="Cambria" w:hAnsi="Cambria" w:cstheme="minorHAnsi"/>
                <w:lang w:val="hr-HR"/>
              </w:rPr>
            </w:pPr>
          </w:p>
          <w:p w14:paraId="746997B8" w14:textId="77777777" w:rsidR="00E473D6" w:rsidRPr="00DF4CE5" w:rsidRDefault="00E473D6" w:rsidP="00E473D6">
            <w:pPr>
              <w:widowControl w:val="0"/>
              <w:autoSpaceDE w:val="0"/>
              <w:autoSpaceDN w:val="0"/>
              <w:spacing w:after="0" w:line="240" w:lineRule="auto"/>
              <w:rPr>
                <w:rFonts w:ascii="Cambria" w:eastAsia="Cambria" w:hAnsi="Cambria" w:cstheme="minorHAnsi"/>
                <w:lang w:val="hr-HR"/>
              </w:rPr>
            </w:pPr>
          </w:p>
          <w:p w14:paraId="11EE61D6" w14:textId="77777777" w:rsidR="00E473D6" w:rsidRPr="00DF4CE5" w:rsidRDefault="00E473D6" w:rsidP="00E473D6">
            <w:pPr>
              <w:widowControl w:val="0"/>
              <w:autoSpaceDE w:val="0"/>
              <w:autoSpaceDN w:val="0"/>
              <w:spacing w:after="0" w:line="240" w:lineRule="auto"/>
              <w:ind w:left="143"/>
              <w:rPr>
                <w:rFonts w:ascii="Cambria" w:eastAsia="Cambria" w:hAnsi="Cambria" w:cstheme="minorHAnsi"/>
                <w:lang w:val="hr-HR"/>
              </w:rPr>
            </w:pPr>
            <w:r w:rsidRPr="00DF4CE5">
              <w:rPr>
                <w:rFonts w:ascii="Cambria" w:eastAsia="Cambria" w:hAnsi="Cambria" w:cstheme="minorHAnsi"/>
                <w:lang w:val="hr-HR"/>
              </w:rPr>
              <w:t>Studentske</w:t>
            </w:r>
            <w:r w:rsidRPr="00DF4CE5">
              <w:rPr>
                <w:rFonts w:ascii="Cambria" w:eastAsia="Cambria" w:hAnsi="Cambria" w:cstheme="minorHAnsi"/>
                <w:spacing w:val="-5"/>
                <w:lang w:val="hr-HR"/>
              </w:rPr>
              <w:t xml:space="preserve"> </w:t>
            </w:r>
            <w:r w:rsidRPr="00DF4CE5">
              <w:rPr>
                <w:rFonts w:ascii="Cambria" w:eastAsia="Cambria" w:hAnsi="Cambria" w:cstheme="minorHAnsi"/>
                <w:lang w:val="hr-HR"/>
              </w:rPr>
              <w:t>obveze</w:t>
            </w:r>
          </w:p>
        </w:tc>
        <w:tc>
          <w:tcPr>
            <w:tcW w:w="7086" w:type="dxa"/>
            <w:gridSpan w:val="7"/>
          </w:tcPr>
          <w:p w14:paraId="012C091E" w14:textId="77777777" w:rsidR="00E473D6" w:rsidRPr="00DF4CE5" w:rsidRDefault="00E473D6" w:rsidP="00E473D6">
            <w:pPr>
              <w:widowControl w:val="0"/>
              <w:autoSpaceDE w:val="0"/>
              <w:autoSpaceDN w:val="0"/>
              <w:spacing w:after="0" w:line="240" w:lineRule="auto"/>
              <w:ind w:left="143"/>
              <w:rPr>
                <w:rFonts w:ascii="Cambria" w:eastAsia="Cambria" w:hAnsi="Cambria" w:cstheme="minorHAnsi"/>
                <w:lang w:val="hr-HR"/>
              </w:rPr>
            </w:pPr>
            <w:r w:rsidRPr="00DF4CE5">
              <w:rPr>
                <w:rFonts w:ascii="Cambria" w:eastAsia="Cambria" w:hAnsi="Cambria" w:cstheme="minorHAnsi"/>
                <w:lang w:val="hr-HR"/>
              </w:rPr>
              <w:t>Da</w:t>
            </w:r>
            <w:r w:rsidRPr="00DF4CE5">
              <w:rPr>
                <w:rFonts w:ascii="Cambria" w:eastAsia="Cambria" w:hAnsi="Cambria" w:cstheme="minorHAnsi"/>
                <w:spacing w:val="-4"/>
                <w:lang w:val="hr-HR"/>
              </w:rPr>
              <w:t xml:space="preserve"> </w:t>
            </w:r>
            <w:r w:rsidRPr="00DF4CE5">
              <w:rPr>
                <w:rFonts w:ascii="Cambria" w:eastAsia="Cambria" w:hAnsi="Cambria" w:cstheme="minorHAnsi"/>
                <w:lang w:val="hr-HR"/>
              </w:rPr>
              <w:t>položi</w:t>
            </w:r>
            <w:r w:rsidRPr="00DF4CE5">
              <w:rPr>
                <w:rFonts w:ascii="Cambria" w:eastAsia="Cambria" w:hAnsi="Cambria" w:cstheme="minorHAnsi"/>
                <w:spacing w:val="-4"/>
                <w:lang w:val="hr-HR"/>
              </w:rPr>
              <w:t xml:space="preserve"> </w:t>
            </w:r>
            <w:r w:rsidRPr="00DF4CE5">
              <w:rPr>
                <w:rFonts w:ascii="Cambria" w:eastAsia="Cambria" w:hAnsi="Cambria" w:cstheme="minorHAnsi"/>
                <w:lang w:val="hr-HR"/>
              </w:rPr>
              <w:t>kolegij,</w:t>
            </w:r>
            <w:r w:rsidRPr="00DF4CE5">
              <w:rPr>
                <w:rFonts w:ascii="Cambria" w:eastAsia="Cambria" w:hAnsi="Cambria" w:cstheme="minorHAnsi"/>
                <w:spacing w:val="-3"/>
                <w:lang w:val="hr-HR"/>
              </w:rPr>
              <w:t xml:space="preserve"> </w:t>
            </w:r>
            <w:r w:rsidRPr="00DF4CE5">
              <w:rPr>
                <w:rFonts w:ascii="Cambria" w:eastAsia="Cambria" w:hAnsi="Cambria" w:cstheme="minorHAnsi"/>
                <w:lang w:val="hr-HR"/>
              </w:rPr>
              <w:t>student/studentica</w:t>
            </w:r>
            <w:r w:rsidRPr="00DF4CE5">
              <w:rPr>
                <w:rFonts w:ascii="Cambria" w:eastAsia="Cambria" w:hAnsi="Cambria" w:cstheme="minorHAnsi"/>
                <w:spacing w:val="-5"/>
                <w:lang w:val="hr-HR"/>
              </w:rPr>
              <w:t xml:space="preserve"> </w:t>
            </w:r>
            <w:r w:rsidRPr="00DF4CE5">
              <w:rPr>
                <w:rFonts w:ascii="Cambria" w:eastAsia="Cambria" w:hAnsi="Cambria" w:cstheme="minorHAnsi"/>
                <w:lang w:val="hr-HR"/>
              </w:rPr>
              <w:t>mora:</w:t>
            </w:r>
          </w:p>
          <w:p w14:paraId="1166641F" w14:textId="77777777" w:rsidR="00E473D6" w:rsidRPr="00DF4CE5" w:rsidRDefault="00E473D6" w:rsidP="00A034E3">
            <w:pPr>
              <w:widowControl w:val="0"/>
              <w:numPr>
                <w:ilvl w:val="0"/>
                <w:numId w:val="91"/>
              </w:numPr>
              <w:tabs>
                <w:tab w:val="left" w:pos="504"/>
              </w:tabs>
              <w:autoSpaceDE w:val="0"/>
              <w:autoSpaceDN w:val="0"/>
              <w:spacing w:after="0" w:line="240" w:lineRule="auto"/>
              <w:ind w:right="419"/>
              <w:rPr>
                <w:rFonts w:ascii="Cambria" w:eastAsia="Cambria" w:hAnsi="Cambria" w:cstheme="minorHAnsi"/>
                <w:lang w:val="hr-HR"/>
              </w:rPr>
            </w:pPr>
            <w:r w:rsidRPr="00DF4CE5">
              <w:rPr>
                <w:rFonts w:ascii="Cambria" w:eastAsia="Cambria" w:hAnsi="Cambria" w:cstheme="minorHAnsi"/>
                <w:lang w:val="hr-HR"/>
              </w:rPr>
              <w:t>predati</w:t>
            </w:r>
            <w:r w:rsidRPr="00DF4CE5">
              <w:rPr>
                <w:rFonts w:ascii="Cambria" w:eastAsia="Cambria" w:hAnsi="Cambria" w:cstheme="minorHAnsi"/>
                <w:spacing w:val="-3"/>
                <w:lang w:val="hr-HR"/>
              </w:rPr>
              <w:t xml:space="preserve"> </w:t>
            </w:r>
            <w:r w:rsidRPr="00DF4CE5">
              <w:rPr>
                <w:rFonts w:ascii="Cambria" w:eastAsia="Cambria" w:hAnsi="Cambria" w:cstheme="minorHAnsi"/>
                <w:lang w:val="hr-HR"/>
              </w:rPr>
              <w:t>voditeljici</w:t>
            </w:r>
            <w:r w:rsidRPr="00DF4CE5">
              <w:rPr>
                <w:rFonts w:ascii="Cambria" w:eastAsia="Cambria" w:hAnsi="Cambria" w:cstheme="minorHAnsi"/>
                <w:spacing w:val="-3"/>
                <w:lang w:val="hr-HR"/>
              </w:rPr>
              <w:t xml:space="preserve"> </w:t>
            </w:r>
            <w:r w:rsidRPr="00DF4CE5">
              <w:rPr>
                <w:rFonts w:ascii="Cambria" w:eastAsia="Cambria" w:hAnsi="Cambria" w:cstheme="minorHAnsi"/>
                <w:lang w:val="hr-HR"/>
              </w:rPr>
              <w:t>stručne</w:t>
            </w:r>
            <w:r w:rsidRPr="00DF4CE5">
              <w:rPr>
                <w:rFonts w:ascii="Cambria" w:eastAsia="Cambria" w:hAnsi="Cambria" w:cstheme="minorHAnsi"/>
                <w:spacing w:val="-3"/>
                <w:lang w:val="hr-HR"/>
              </w:rPr>
              <w:t xml:space="preserve"> </w:t>
            </w:r>
            <w:r w:rsidRPr="00DF4CE5">
              <w:rPr>
                <w:rFonts w:ascii="Cambria" w:eastAsia="Cambria" w:hAnsi="Cambria" w:cstheme="minorHAnsi"/>
                <w:lang w:val="hr-HR"/>
              </w:rPr>
              <w:t>prakse</w:t>
            </w:r>
            <w:r w:rsidRPr="00DF4CE5">
              <w:rPr>
                <w:rFonts w:ascii="Cambria" w:eastAsia="Cambria" w:hAnsi="Cambria" w:cstheme="minorHAnsi"/>
                <w:spacing w:val="-4"/>
                <w:lang w:val="hr-HR"/>
              </w:rPr>
              <w:t xml:space="preserve"> </w:t>
            </w:r>
            <w:r w:rsidRPr="00DF4CE5">
              <w:rPr>
                <w:rFonts w:ascii="Cambria" w:eastAsia="Cambria" w:hAnsi="Cambria" w:cstheme="minorHAnsi"/>
                <w:lang w:val="hr-HR"/>
              </w:rPr>
              <w:t>ispunjen</w:t>
            </w:r>
            <w:r w:rsidRPr="00DF4CE5">
              <w:rPr>
                <w:rFonts w:ascii="Cambria" w:eastAsia="Cambria" w:hAnsi="Cambria" w:cstheme="minorHAnsi"/>
                <w:spacing w:val="-2"/>
                <w:lang w:val="hr-HR"/>
              </w:rPr>
              <w:t xml:space="preserve"> </w:t>
            </w:r>
            <w:r w:rsidRPr="00DF4CE5">
              <w:rPr>
                <w:rFonts w:ascii="Cambria" w:eastAsia="Cambria" w:hAnsi="Cambria" w:cstheme="minorHAnsi"/>
                <w:lang w:val="hr-HR"/>
              </w:rPr>
              <w:t>i</w:t>
            </w:r>
            <w:r w:rsidRPr="00DF4CE5">
              <w:rPr>
                <w:rFonts w:ascii="Cambria" w:eastAsia="Cambria" w:hAnsi="Cambria" w:cstheme="minorHAnsi"/>
                <w:spacing w:val="-3"/>
                <w:lang w:val="hr-HR"/>
              </w:rPr>
              <w:t xml:space="preserve"> </w:t>
            </w:r>
            <w:r w:rsidRPr="00DF4CE5">
              <w:rPr>
                <w:rFonts w:ascii="Cambria" w:eastAsia="Cambria" w:hAnsi="Cambria" w:cstheme="minorHAnsi"/>
                <w:lang w:val="hr-HR"/>
              </w:rPr>
              <w:t>ovjeren</w:t>
            </w:r>
            <w:r w:rsidRPr="00DF4CE5">
              <w:rPr>
                <w:rFonts w:ascii="Cambria" w:eastAsia="Cambria" w:hAnsi="Cambria" w:cstheme="minorHAnsi"/>
                <w:spacing w:val="-2"/>
                <w:lang w:val="hr-HR"/>
              </w:rPr>
              <w:t xml:space="preserve"> </w:t>
            </w:r>
            <w:r w:rsidRPr="00DF4CE5">
              <w:rPr>
                <w:rFonts w:ascii="Cambria" w:eastAsia="Cambria" w:hAnsi="Cambria" w:cstheme="minorHAnsi"/>
                <w:lang w:val="hr-HR"/>
              </w:rPr>
              <w:t>Prijavni</w:t>
            </w:r>
            <w:r w:rsidRPr="00DF4CE5">
              <w:rPr>
                <w:rFonts w:ascii="Cambria" w:eastAsia="Cambria" w:hAnsi="Cambria" w:cstheme="minorHAnsi"/>
                <w:spacing w:val="-50"/>
                <w:lang w:val="hr-HR"/>
              </w:rPr>
              <w:t xml:space="preserve"> </w:t>
            </w:r>
            <w:r w:rsidRPr="00DF4CE5">
              <w:rPr>
                <w:rFonts w:ascii="Cambria" w:eastAsia="Cambria" w:hAnsi="Cambria" w:cstheme="minorHAnsi"/>
                <w:lang w:val="hr-HR"/>
              </w:rPr>
              <w:t>list kojim potvrđuje odabir osnovne škole (prije pohađanja</w:t>
            </w:r>
            <w:r w:rsidRPr="00DF4CE5">
              <w:rPr>
                <w:rFonts w:ascii="Cambria" w:eastAsia="Cambria" w:hAnsi="Cambria" w:cstheme="minorHAnsi"/>
                <w:spacing w:val="1"/>
                <w:lang w:val="hr-HR"/>
              </w:rPr>
              <w:t xml:space="preserve"> </w:t>
            </w:r>
            <w:r w:rsidRPr="00DF4CE5">
              <w:rPr>
                <w:rFonts w:ascii="Cambria" w:eastAsia="Cambria" w:hAnsi="Cambria" w:cstheme="minorHAnsi"/>
                <w:lang w:val="hr-HR"/>
              </w:rPr>
              <w:t>stručne</w:t>
            </w:r>
            <w:r w:rsidRPr="00DF4CE5">
              <w:rPr>
                <w:rFonts w:ascii="Cambria" w:eastAsia="Cambria" w:hAnsi="Cambria" w:cstheme="minorHAnsi"/>
                <w:spacing w:val="-2"/>
                <w:lang w:val="hr-HR"/>
              </w:rPr>
              <w:t xml:space="preserve"> </w:t>
            </w:r>
            <w:r w:rsidRPr="00DF4CE5">
              <w:rPr>
                <w:rFonts w:ascii="Cambria" w:eastAsia="Cambria" w:hAnsi="Cambria" w:cstheme="minorHAnsi"/>
                <w:lang w:val="hr-HR"/>
              </w:rPr>
              <w:t>prakse)</w:t>
            </w:r>
          </w:p>
          <w:p w14:paraId="201BB0C9" w14:textId="77777777" w:rsidR="00E473D6" w:rsidRPr="00DF4CE5" w:rsidRDefault="00E473D6" w:rsidP="00A034E3">
            <w:pPr>
              <w:widowControl w:val="0"/>
              <w:numPr>
                <w:ilvl w:val="0"/>
                <w:numId w:val="91"/>
              </w:numPr>
              <w:tabs>
                <w:tab w:val="left" w:pos="504"/>
              </w:tabs>
              <w:autoSpaceDE w:val="0"/>
              <w:autoSpaceDN w:val="0"/>
              <w:spacing w:after="0" w:line="240" w:lineRule="auto"/>
              <w:rPr>
                <w:rFonts w:ascii="Cambria" w:eastAsia="Cambria" w:hAnsi="Cambria" w:cstheme="minorHAnsi"/>
                <w:lang w:val="hr-HR"/>
              </w:rPr>
            </w:pPr>
            <w:r w:rsidRPr="00DF4CE5">
              <w:rPr>
                <w:rFonts w:ascii="Cambria" w:eastAsia="Cambria" w:hAnsi="Cambria" w:cstheme="minorHAnsi"/>
                <w:lang w:val="hr-HR"/>
              </w:rPr>
              <w:t>pohađati</w:t>
            </w:r>
            <w:r w:rsidRPr="00DF4CE5">
              <w:rPr>
                <w:rFonts w:ascii="Cambria" w:eastAsia="Cambria" w:hAnsi="Cambria" w:cstheme="minorHAnsi"/>
                <w:spacing w:val="-3"/>
                <w:lang w:val="hr-HR"/>
              </w:rPr>
              <w:t xml:space="preserve"> </w:t>
            </w:r>
            <w:r w:rsidRPr="00DF4CE5">
              <w:rPr>
                <w:rFonts w:ascii="Cambria" w:eastAsia="Cambria" w:hAnsi="Cambria" w:cstheme="minorHAnsi"/>
                <w:lang w:val="hr-HR"/>
              </w:rPr>
              <w:t>redovnu,</w:t>
            </w:r>
            <w:r w:rsidRPr="00DF4CE5">
              <w:rPr>
                <w:rFonts w:ascii="Cambria" w:eastAsia="Cambria" w:hAnsi="Cambria" w:cstheme="minorHAnsi"/>
                <w:spacing w:val="-3"/>
                <w:lang w:val="hr-HR"/>
              </w:rPr>
              <w:t xml:space="preserve"> </w:t>
            </w:r>
            <w:r w:rsidRPr="00DF4CE5">
              <w:rPr>
                <w:rFonts w:ascii="Cambria" w:eastAsia="Cambria" w:hAnsi="Cambria" w:cstheme="minorHAnsi"/>
                <w:lang w:val="hr-HR"/>
              </w:rPr>
              <w:t>dodatnu,</w:t>
            </w:r>
            <w:r w:rsidRPr="00DF4CE5">
              <w:rPr>
                <w:rFonts w:ascii="Cambria" w:eastAsia="Cambria" w:hAnsi="Cambria" w:cstheme="minorHAnsi"/>
                <w:spacing w:val="-3"/>
                <w:lang w:val="hr-HR"/>
              </w:rPr>
              <w:t xml:space="preserve"> </w:t>
            </w:r>
            <w:r w:rsidRPr="00DF4CE5">
              <w:rPr>
                <w:rFonts w:ascii="Cambria" w:eastAsia="Cambria" w:hAnsi="Cambria" w:cstheme="minorHAnsi"/>
                <w:lang w:val="hr-HR"/>
              </w:rPr>
              <w:t>dopunsku</w:t>
            </w:r>
            <w:r w:rsidRPr="00DF4CE5">
              <w:rPr>
                <w:rFonts w:ascii="Cambria" w:eastAsia="Cambria" w:hAnsi="Cambria" w:cstheme="minorHAnsi"/>
                <w:spacing w:val="-4"/>
                <w:lang w:val="hr-HR"/>
              </w:rPr>
              <w:t xml:space="preserve"> </w:t>
            </w:r>
            <w:r w:rsidRPr="00DF4CE5">
              <w:rPr>
                <w:rFonts w:ascii="Cambria" w:eastAsia="Cambria" w:hAnsi="Cambria" w:cstheme="minorHAnsi"/>
                <w:lang w:val="hr-HR"/>
              </w:rPr>
              <w:t>i</w:t>
            </w:r>
            <w:r w:rsidRPr="00DF4CE5">
              <w:rPr>
                <w:rFonts w:ascii="Cambria" w:eastAsia="Cambria" w:hAnsi="Cambria" w:cstheme="minorHAnsi"/>
                <w:spacing w:val="-3"/>
                <w:lang w:val="hr-HR"/>
              </w:rPr>
              <w:t xml:space="preserve"> </w:t>
            </w:r>
            <w:r w:rsidRPr="00DF4CE5">
              <w:rPr>
                <w:rFonts w:ascii="Cambria" w:eastAsia="Cambria" w:hAnsi="Cambria" w:cstheme="minorHAnsi"/>
                <w:lang w:val="hr-HR"/>
              </w:rPr>
              <w:t>izbornu</w:t>
            </w:r>
            <w:r w:rsidRPr="00DF4CE5">
              <w:rPr>
                <w:rFonts w:ascii="Cambria" w:eastAsia="Cambria" w:hAnsi="Cambria" w:cstheme="minorHAnsi"/>
                <w:spacing w:val="-1"/>
                <w:lang w:val="hr-HR"/>
              </w:rPr>
              <w:t xml:space="preserve"> </w:t>
            </w:r>
            <w:r w:rsidRPr="00DF4CE5">
              <w:rPr>
                <w:rFonts w:ascii="Cambria" w:eastAsia="Cambria" w:hAnsi="Cambria" w:cstheme="minorHAnsi"/>
                <w:lang w:val="hr-HR"/>
              </w:rPr>
              <w:t>nastavu</w:t>
            </w:r>
            <w:r w:rsidRPr="00DF4CE5">
              <w:rPr>
                <w:rFonts w:ascii="Cambria" w:eastAsia="Cambria" w:hAnsi="Cambria" w:cstheme="minorHAnsi"/>
                <w:spacing w:val="-4"/>
                <w:lang w:val="hr-HR"/>
              </w:rPr>
              <w:t xml:space="preserve"> </w:t>
            </w:r>
            <w:r w:rsidRPr="00DF4CE5">
              <w:rPr>
                <w:rFonts w:ascii="Cambria" w:eastAsia="Cambria" w:hAnsi="Cambria" w:cstheme="minorHAnsi"/>
                <w:lang w:val="hr-HR"/>
              </w:rPr>
              <w:t>te</w:t>
            </w:r>
          </w:p>
          <w:p w14:paraId="6159E4D9" w14:textId="77777777" w:rsidR="00E473D6" w:rsidRPr="00DF4CE5" w:rsidRDefault="00E473D6" w:rsidP="00E473D6">
            <w:pPr>
              <w:widowControl w:val="0"/>
              <w:autoSpaceDE w:val="0"/>
              <w:autoSpaceDN w:val="0"/>
              <w:spacing w:after="0" w:line="240" w:lineRule="auto"/>
              <w:ind w:left="503"/>
              <w:rPr>
                <w:rFonts w:ascii="Cambria" w:eastAsia="Cambria" w:hAnsi="Cambria" w:cstheme="minorHAnsi"/>
                <w:lang w:val="hr-HR"/>
              </w:rPr>
            </w:pPr>
            <w:r w:rsidRPr="00DF4CE5">
              <w:rPr>
                <w:rFonts w:ascii="Cambria" w:eastAsia="Cambria" w:hAnsi="Cambria" w:cstheme="minorHAnsi"/>
                <w:lang w:val="hr-HR"/>
              </w:rPr>
              <w:t>izvannastavne</w:t>
            </w:r>
            <w:r w:rsidRPr="00DF4CE5">
              <w:rPr>
                <w:rFonts w:ascii="Cambria" w:eastAsia="Cambria" w:hAnsi="Cambria" w:cstheme="minorHAnsi"/>
                <w:spacing w:val="-7"/>
                <w:lang w:val="hr-HR"/>
              </w:rPr>
              <w:t xml:space="preserve"> </w:t>
            </w:r>
            <w:r w:rsidRPr="00DF4CE5">
              <w:rPr>
                <w:rFonts w:ascii="Cambria" w:eastAsia="Cambria" w:hAnsi="Cambria" w:cstheme="minorHAnsi"/>
                <w:lang w:val="hr-HR"/>
              </w:rPr>
              <w:t>aktivnosti</w:t>
            </w:r>
          </w:p>
          <w:p w14:paraId="50AD4883" w14:textId="77777777" w:rsidR="00E473D6" w:rsidRPr="00DF4CE5" w:rsidRDefault="00E473D6" w:rsidP="00A034E3">
            <w:pPr>
              <w:widowControl w:val="0"/>
              <w:numPr>
                <w:ilvl w:val="0"/>
                <w:numId w:val="91"/>
              </w:numPr>
              <w:tabs>
                <w:tab w:val="left" w:pos="504"/>
              </w:tabs>
              <w:autoSpaceDE w:val="0"/>
              <w:autoSpaceDN w:val="0"/>
              <w:spacing w:after="0" w:line="240" w:lineRule="auto"/>
              <w:rPr>
                <w:rFonts w:ascii="Cambria" w:eastAsia="Cambria" w:hAnsi="Cambria" w:cstheme="minorHAnsi"/>
                <w:lang w:val="hr-HR"/>
              </w:rPr>
            </w:pPr>
            <w:r w:rsidRPr="00DF4CE5">
              <w:rPr>
                <w:rFonts w:ascii="Cambria" w:eastAsia="Cambria" w:hAnsi="Cambria" w:cstheme="minorHAnsi"/>
                <w:lang w:val="hr-HR"/>
              </w:rPr>
              <w:t>sudjelovati</w:t>
            </w:r>
            <w:r w:rsidRPr="00DF4CE5">
              <w:rPr>
                <w:rFonts w:ascii="Cambria" w:eastAsia="Cambria" w:hAnsi="Cambria" w:cstheme="minorHAnsi"/>
                <w:spacing w:val="-3"/>
                <w:lang w:val="hr-HR"/>
              </w:rPr>
              <w:t xml:space="preserve"> </w:t>
            </w:r>
            <w:r w:rsidRPr="00DF4CE5">
              <w:rPr>
                <w:rFonts w:ascii="Cambria" w:eastAsia="Cambria" w:hAnsi="Cambria" w:cstheme="minorHAnsi"/>
                <w:lang w:val="hr-HR"/>
              </w:rPr>
              <w:t>u</w:t>
            </w:r>
            <w:r w:rsidRPr="00DF4CE5">
              <w:rPr>
                <w:rFonts w:ascii="Cambria" w:eastAsia="Cambria" w:hAnsi="Cambria" w:cstheme="minorHAnsi"/>
                <w:spacing w:val="-4"/>
                <w:lang w:val="hr-HR"/>
              </w:rPr>
              <w:t xml:space="preserve"> </w:t>
            </w:r>
            <w:r w:rsidRPr="00DF4CE5">
              <w:rPr>
                <w:rFonts w:ascii="Cambria" w:eastAsia="Cambria" w:hAnsi="Cambria" w:cstheme="minorHAnsi"/>
                <w:lang w:val="hr-HR"/>
              </w:rPr>
              <w:t>različitim</w:t>
            </w:r>
            <w:r w:rsidRPr="00DF4CE5">
              <w:rPr>
                <w:rFonts w:ascii="Cambria" w:eastAsia="Cambria" w:hAnsi="Cambria" w:cstheme="minorHAnsi"/>
                <w:spacing w:val="-2"/>
                <w:lang w:val="hr-HR"/>
              </w:rPr>
              <w:t xml:space="preserve"> </w:t>
            </w:r>
            <w:r w:rsidRPr="00DF4CE5">
              <w:rPr>
                <w:rFonts w:ascii="Cambria" w:eastAsia="Cambria" w:hAnsi="Cambria" w:cstheme="minorHAnsi"/>
                <w:lang w:val="hr-HR"/>
              </w:rPr>
              <w:t>oblicima</w:t>
            </w:r>
            <w:r w:rsidRPr="00DF4CE5">
              <w:rPr>
                <w:rFonts w:ascii="Cambria" w:eastAsia="Cambria" w:hAnsi="Cambria" w:cstheme="minorHAnsi"/>
                <w:spacing w:val="-4"/>
                <w:lang w:val="hr-HR"/>
              </w:rPr>
              <w:t xml:space="preserve"> </w:t>
            </w:r>
            <w:r w:rsidRPr="00DF4CE5">
              <w:rPr>
                <w:rFonts w:ascii="Cambria" w:eastAsia="Cambria" w:hAnsi="Cambria" w:cstheme="minorHAnsi"/>
                <w:lang w:val="hr-HR"/>
              </w:rPr>
              <w:t>odgojno-obrazovnog</w:t>
            </w:r>
            <w:r w:rsidRPr="00DF4CE5">
              <w:rPr>
                <w:rFonts w:ascii="Cambria" w:eastAsia="Cambria" w:hAnsi="Cambria" w:cstheme="minorHAnsi"/>
                <w:spacing w:val="-3"/>
                <w:lang w:val="hr-HR"/>
              </w:rPr>
              <w:t xml:space="preserve"> </w:t>
            </w:r>
            <w:r w:rsidRPr="00DF4CE5">
              <w:rPr>
                <w:rFonts w:ascii="Cambria" w:eastAsia="Cambria" w:hAnsi="Cambria" w:cstheme="minorHAnsi"/>
                <w:lang w:val="hr-HR"/>
              </w:rPr>
              <w:t>rada</w:t>
            </w:r>
            <w:r w:rsidRPr="00DF4CE5">
              <w:rPr>
                <w:rFonts w:ascii="Cambria" w:eastAsia="Cambria" w:hAnsi="Cambria" w:cstheme="minorHAnsi"/>
                <w:spacing w:val="-1"/>
                <w:lang w:val="hr-HR"/>
              </w:rPr>
              <w:t xml:space="preserve"> </w:t>
            </w:r>
            <w:r w:rsidRPr="00DF4CE5">
              <w:rPr>
                <w:rFonts w:ascii="Cambria" w:eastAsia="Cambria" w:hAnsi="Cambria" w:cstheme="minorHAnsi"/>
                <w:lang w:val="hr-HR"/>
              </w:rPr>
              <w:t>u</w:t>
            </w:r>
          </w:p>
          <w:p w14:paraId="22C3AC7F" w14:textId="77777777" w:rsidR="00E473D6" w:rsidRPr="00DF4CE5" w:rsidRDefault="00E473D6" w:rsidP="00E473D6">
            <w:pPr>
              <w:widowControl w:val="0"/>
              <w:autoSpaceDE w:val="0"/>
              <w:autoSpaceDN w:val="0"/>
              <w:spacing w:after="0" w:line="240" w:lineRule="auto"/>
              <w:ind w:left="503"/>
              <w:rPr>
                <w:rFonts w:ascii="Cambria" w:eastAsia="Cambria" w:hAnsi="Cambria" w:cstheme="minorHAnsi"/>
                <w:lang w:val="hr-HR"/>
              </w:rPr>
            </w:pPr>
            <w:r w:rsidRPr="00DF4CE5">
              <w:rPr>
                <w:rFonts w:ascii="Cambria" w:eastAsia="Cambria" w:hAnsi="Cambria" w:cstheme="minorHAnsi"/>
                <w:lang w:val="hr-HR"/>
              </w:rPr>
              <w:t>školi</w:t>
            </w:r>
          </w:p>
          <w:p w14:paraId="47BD54FC" w14:textId="77777777" w:rsidR="00E473D6" w:rsidRPr="00DF4CE5" w:rsidRDefault="00E473D6" w:rsidP="00A034E3">
            <w:pPr>
              <w:widowControl w:val="0"/>
              <w:numPr>
                <w:ilvl w:val="0"/>
                <w:numId w:val="91"/>
              </w:numPr>
              <w:tabs>
                <w:tab w:val="left" w:pos="504"/>
              </w:tabs>
              <w:autoSpaceDE w:val="0"/>
              <w:autoSpaceDN w:val="0"/>
              <w:spacing w:after="0" w:line="240" w:lineRule="auto"/>
              <w:ind w:right="145"/>
              <w:rPr>
                <w:rFonts w:ascii="Cambria" w:eastAsia="Cambria" w:hAnsi="Cambria" w:cstheme="minorHAnsi"/>
                <w:lang w:val="hr-HR"/>
              </w:rPr>
            </w:pPr>
            <w:r w:rsidRPr="00DF4CE5">
              <w:rPr>
                <w:rFonts w:ascii="Cambria" w:eastAsia="Cambria" w:hAnsi="Cambria" w:cstheme="minorHAnsi"/>
                <w:lang w:val="hr-HR"/>
              </w:rPr>
              <w:t>realizirati po dva nastavna sata iz predmeta glazbene kulture</w:t>
            </w:r>
            <w:r w:rsidRPr="00DF4CE5">
              <w:rPr>
                <w:rFonts w:ascii="Cambria" w:eastAsia="Cambria" w:hAnsi="Cambria" w:cstheme="minorHAnsi"/>
                <w:spacing w:val="1"/>
                <w:lang w:val="hr-HR"/>
              </w:rPr>
              <w:t xml:space="preserve"> </w:t>
            </w:r>
            <w:r w:rsidRPr="00DF4CE5">
              <w:rPr>
                <w:rFonts w:ascii="Cambria" w:eastAsia="Cambria" w:hAnsi="Cambria" w:cstheme="minorHAnsi"/>
                <w:lang w:val="hr-HR"/>
              </w:rPr>
              <w:t>ili hrvatskog jezika pod vodstvom učitelja-mentora u školi, koji</w:t>
            </w:r>
            <w:r w:rsidRPr="00DF4CE5">
              <w:rPr>
                <w:rFonts w:ascii="Cambria" w:eastAsia="Cambria" w:hAnsi="Cambria" w:cstheme="minorHAnsi"/>
                <w:spacing w:val="-51"/>
                <w:lang w:val="hr-HR"/>
              </w:rPr>
              <w:t xml:space="preserve"> </w:t>
            </w:r>
            <w:r w:rsidRPr="00DF4CE5">
              <w:rPr>
                <w:rFonts w:ascii="Cambria" w:eastAsia="Cambria" w:hAnsi="Cambria" w:cstheme="minorHAnsi"/>
                <w:lang w:val="hr-HR"/>
              </w:rPr>
              <w:t>potpisuje</w:t>
            </w:r>
            <w:r w:rsidRPr="00DF4CE5">
              <w:rPr>
                <w:rFonts w:ascii="Cambria" w:eastAsia="Cambria" w:hAnsi="Cambria" w:cstheme="minorHAnsi"/>
                <w:spacing w:val="-3"/>
                <w:lang w:val="hr-HR"/>
              </w:rPr>
              <w:t xml:space="preserve"> </w:t>
            </w:r>
            <w:r w:rsidRPr="00DF4CE5">
              <w:rPr>
                <w:rFonts w:ascii="Cambria" w:eastAsia="Cambria" w:hAnsi="Cambria" w:cstheme="minorHAnsi"/>
                <w:lang w:val="hr-HR"/>
              </w:rPr>
              <w:t>priprave</w:t>
            </w:r>
            <w:r w:rsidRPr="00DF4CE5">
              <w:rPr>
                <w:rFonts w:ascii="Cambria" w:eastAsia="Cambria" w:hAnsi="Cambria" w:cstheme="minorHAnsi"/>
                <w:spacing w:val="-2"/>
                <w:lang w:val="hr-HR"/>
              </w:rPr>
              <w:t xml:space="preserve"> </w:t>
            </w:r>
            <w:r w:rsidRPr="00DF4CE5">
              <w:rPr>
                <w:rFonts w:ascii="Cambria" w:eastAsia="Cambria" w:hAnsi="Cambria" w:cstheme="minorHAnsi"/>
                <w:lang w:val="hr-HR"/>
              </w:rPr>
              <w:t>i</w:t>
            </w:r>
            <w:r w:rsidRPr="00DF4CE5">
              <w:rPr>
                <w:rFonts w:ascii="Cambria" w:eastAsia="Cambria" w:hAnsi="Cambria" w:cstheme="minorHAnsi"/>
                <w:spacing w:val="-1"/>
                <w:lang w:val="hr-HR"/>
              </w:rPr>
              <w:t xml:space="preserve"> </w:t>
            </w:r>
            <w:r w:rsidRPr="00DF4CE5">
              <w:rPr>
                <w:rFonts w:ascii="Cambria" w:eastAsia="Cambria" w:hAnsi="Cambria" w:cstheme="minorHAnsi"/>
                <w:lang w:val="hr-HR"/>
              </w:rPr>
              <w:t>daje osvrt</w:t>
            </w:r>
            <w:r w:rsidRPr="00DF4CE5">
              <w:rPr>
                <w:rFonts w:ascii="Cambria" w:eastAsia="Cambria" w:hAnsi="Cambria" w:cstheme="minorHAnsi"/>
                <w:spacing w:val="-2"/>
                <w:lang w:val="hr-HR"/>
              </w:rPr>
              <w:t xml:space="preserve"> </w:t>
            </w:r>
            <w:r w:rsidRPr="00DF4CE5">
              <w:rPr>
                <w:rFonts w:ascii="Cambria" w:eastAsia="Cambria" w:hAnsi="Cambria" w:cstheme="minorHAnsi"/>
                <w:lang w:val="hr-HR"/>
              </w:rPr>
              <w:t>na</w:t>
            </w:r>
            <w:r w:rsidRPr="00DF4CE5">
              <w:rPr>
                <w:rFonts w:ascii="Cambria" w:eastAsia="Cambria" w:hAnsi="Cambria" w:cstheme="minorHAnsi"/>
                <w:spacing w:val="-2"/>
                <w:lang w:val="hr-HR"/>
              </w:rPr>
              <w:t xml:space="preserve"> </w:t>
            </w:r>
            <w:r w:rsidRPr="00DF4CE5">
              <w:rPr>
                <w:rFonts w:ascii="Cambria" w:eastAsia="Cambria" w:hAnsi="Cambria" w:cstheme="minorHAnsi"/>
                <w:lang w:val="hr-HR"/>
              </w:rPr>
              <w:t>provedene</w:t>
            </w:r>
            <w:r w:rsidRPr="00DF4CE5">
              <w:rPr>
                <w:rFonts w:ascii="Cambria" w:eastAsia="Cambria" w:hAnsi="Cambria" w:cstheme="minorHAnsi"/>
                <w:spacing w:val="-1"/>
                <w:lang w:val="hr-HR"/>
              </w:rPr>
              <w:t xml:space="preserve"> </w:t>
            </w:r>
            <w:r w:rsidRPr="00DF4CE5">
              <w:rPr>
                <w:rFonts w:ascii="Cambria" w:eastAsia="Cambria" w:hAnsi="Cambria" w:cstheme="minorHAnsi"/>
                <w:lang w:val="hr-HR"/>
              </w:rPr>
              <w:t>aktivnosti</w:t>
            </w:r>
          </w:p>
          <w:p w14:paraId="45722103" w14:textId="77777777" w:rsidR="00E473D6" w:rsidRPr="00DF4CE5" w:rsidRDefault="00E473D6" w:rsidP="00A034E3">
            <w:pPr>
              <w:widowControl w:val="0"/>
              <w:numPr>
                <w:ilvl w:val="0"/>
                <w:numId w:val="91"/>
              </w:numPr>
              <w:tabs>
                <w:tab w:val="left" w:pos="504"/>
              </w:tabs>
              <w:autoSpaceDE w:val="0"/>
              <w:autoSpaceDN w:val="0"/>
              <w:spacing w:after="0" w:line="240" w:lineRule="auto"/>
              <w:rPr>
                <w:rFonts w:ascii="Cambria" w:eastAsia="Cambria" w:hAnsi="Cambria" w:cstheme="minorHAnsi"/>
                <w:lang w:val="hr-HR"/>
              </w:rPr>
            </w:pPr>
            <w:r w:rsidRPr="00DF4CE5">
              <w:rPr>
                <w:rFonts w:ascii="Cambria" w:eastAsia="Cambria" w:hAnsi="Cambria" w:cstheme="minorHAnsi"/>
                <w:lang w:val="hr-HR"/>
              </w:rPr>
              <w:t>pratiti</w:t>
            </w:r>
            <w:r w:rsidRPr="00DF4CE5">
              <w:rPr>
                <w:rFonts w:ascii="Cambria" w:eastAsia="Cambria" w:hAnsi="Cambria" w:cstheme="minorHAnsi"/>
                <w:spacing w:val="-5"/>
                <w:lang w:val="hr-HR"/>
              </w:rPr>
              <w:t xml:space="preserve"> </w:t>
            </w:r>
            <w:r w:rsidRPr="00DF4CE5">
              <w:rPr>
                <w:rFonts w:ascii="Cambria" w:eastAsia="Cambria" w:hAnsi="Cambria" w:cstheme="minorHAnsi"/>
                <w:lang w:val="hr-HR"/>
              </w:rPr>
              <w:t>e-savjetovanja</w:t>
            </w:r>
            <w:r w:rsidRPr="00DF4CE5">
              <w:rPr>
                <w:rFonts w:ascii="Cambria" w:eastAsia="Cambria" w:hAnsi="Cambria" w:cstheme="minorHAnsi"/>
                <w:spacing w:val="-6"/>
                <w:lang w:val="hr-HR"/>
              </w:rPr>
              <w:t xml:space="preserve"> </w:t>
            </w:r>
            <w:r w:rsidRPr="00DF4CE5">
              <w:rPr>
                <w:rFonts w:ascii="Cambria" w:eastAsia="Cambria" w:hAnsi="Cambria" w:cstheme="minorHAnsi"/>
                <w:lang w:val="hr-HR"/>
              </w:rPr>
              <w:t>Ministarstva</w:t>
            </w:r>
            <w:r w:rsidRPr="00DF4CE5">
              <w:rPr>
                <w:rFonts w:ascii="Cambria" w:eastAsia="Cambria" w:hAnsi="Cambria" w:cstheme="minorHAnsi"/>
                <w:spacing w:val="-5"/>
                <w:lang w:val="hr-HR"/>
              </w:rPr>
              <w:t xml:space="preserve"> </w:t>
            </w:r>
            <w:r w:rsidRPr="00DF4CE5">
              <w:rPr>
                <w:rFonts w:ascii="Cambria" w:eastAsia="Cambria" w:hAnsi="Cambria" w:cstheme="minorHAnsi"/>
                <w:lang w:val="hr-HR"/>
              </w:rPr>
              <w:t>znanosti</w:t>
            </w:r>
            <w:r w:rsidRPr="00DF4CE5">
              <w:rPr>
                <w:rFonts w:ascii="Cambria" w:eastAsia="Cambria" w:hAnsi="Cambria" w:cstheme="minorHAnsi"/>
                <w:spacing w:val="-5"/>
                <w:lang w:val="hr-HR"/>
              </w:rPr>
              <w:t xml:space="preserve">, </w:t>
            </w:r>
            <w:r w:rsidRPr="00DF4CE5">
              <w:rPr>
                <w:rFonts w:ascii="Cambria" w:eastAsia="Cambria" w:hAnsi="Cambria" w:cstheme="minorHAnsi"/>
                <w:lang w:val="hr-HR"/>
              </w:rPr>
              <w:t>obrazovanja i mladih, povezanih</w:t>
            </w:r>
            <w:r w:rsidRPr="00DF4CE5">
              <w:rPr>
                <w:rFonts w:ascii="Cambria" w:eastAsia="Cambria" w:hAnsi="Cambria" w:cstheme="minorHAnsi"/>
                <w:spacing w:val="-3"/>
                <w:lang w:val="hr-HR"/>
              </w:rPr>
              <w:t xml:space="preserve"> </w:t>
            </w:r>
            <w:r w:rsidRPr="00DF4CE5">
              <w:rPr>
                <w:rFonts w:ascii="Cambria" w:eastAsia="Cambria" w:hAnsi="Cambria" w:cstheme="minorHAnsi"/>
                <w:lang w:val="hr-HR"/>
              </w:rPr>
              <w:t>s</w:t>
            </w:r>
            <w:r w:rsidRPr="00DF4CE5">
              <w:rPr>
                <w:rFonts w:ascii="Cambria" w:eastAsia="Cambria" w:hAnsi="Cambria" w:cstheme="minorHAnsi"/>
                <w:spacing w:val="-3"/>
                <w:lang w:val="hr-HR"/>
              </w:rPr>
              <w:t xml:space="preserve"> </w:t>
            </w:r>
            <w:r w:rsidRPr="00DF4CE5">
              <w:rPr>
                <w:rFonts w:ascii="Cambria" w:eastAsia="Cambria" w:hAnsi="Cambria" w:cstheme="minorHAnsi"/>
                <w:lang w:val="hr-HR"/>
              </w:rPr>
              <w:t>osnovnoškolskim</w:t>
            </w:r>
            <w:r w:rsidRPr="00DF4CE5">
              <w:rPr>
                <w:rFonts w:ascii="Cambria" w:eastAsia="Cambria" w:hAnsi="Cambria" w:cstheme="minorHAnsi"/>
                <w:spacing w:val="-2"/>
                <w:lang w:val="hr-HR"/>
              </w:rPr>
              <w:t xml:space="preserve"> </w:t>
            </w:r>
            <w:r w:rsidRPr="00DF4CE5">
              <w:rPr>
                <w:rFonts w:ascii="Cambria" w:eastAsia="Cambria" w:hAnsi="Cambria" w:cstheme="minorHAnsi"/>
                <w:lang w:val="hr-HR"/>
              </w:rPr>
              <w:t>obrazovanjem</w:t>
            </w:r>
          </w:p>
          <w:p w14:paraId="46694549" w14:textId="77777777" w:rsidR="00E473D6" w:rsidRPr="00DF4CE5" w:rsidRDefault="00E473D6" w:rsidP="00A034E3">
            <w:pPr>
              <w:widowControl w:val="0"/>
              <w:numPr>
                <w:ilvl w:val="0"/>
                <w:numId w:val="91"/>
              </w:numPr>
              <w:tabs>
                <w:tab w:val="left" w:pos="504"/>
              </w:tabs>
              <w:autoSpaceDE w:val="0"/>
              <w:autoSpaceDN w:val="0"/>
              <w:spacing w:after="0" w:line="240" w:lineRule="auto"/>
              <w:rPr>
                <w:rFonts w:ascii="Cambria" w:eastAsia="Cambria" w:hAnsi="Cambria" w:cstheme="minorHAnsi"/>
                <w:lang w:val="hr-HR"/>
              </w:rPr>
            </w:pPr>
            <w:r w:rsidRPr="00DF4CE5">
              <w:rPr>
                <w:rFonts w:ascii="Cambria" w:eastAsia="Cambria" w:hAnsi="Cambria" w:cstheme="minorHAnsi"/>
                <w:lang w:val="hr-HR"/>
              </w:rPr>
              <w:t>voditi</w:t>
            </w:r>
            <w:r w:rsidRPr="00DF4CE5">
              <w:rPr>
                <w:rFonts w:ascii="Cambria" w:eastAsia="Cambria" w:hAnsi="Cambria" w:cstheme="minorHAnsi"/>
                <w:spacing w:val="-2"/>
                <w:lang w:val="hr-HR"/>
              </w:rPr>
              <w:t xml:space="preserve"> </w:t>
            </w:r>
            <w:r w:rsidRPr="00DF4CE5">
              <w:rPr>
                <w:rFonts w:ascii="Cambria" w:eastAsia="Cambria" w:hAnsi="Cambria" w:cstheme="minorHAnsi"/>
                <w:lang w:val="hr-HR"/>
              </w:rPr>
              <w:t>Dnevnik</w:t>
            </w:r>
            <w:r w:rsidRPr="00DF4CE5">
              <w:rPr>
                <w:rFonts w:ascii="Cambria" w:eastAsia="Cambria" w:hAnsi="Cambria" w:cstheme="minorHAnsi"/>
                <w:spacing w:val="-4"/>
                <w:lang w:val="hr-HR"/>
              </w:rPr>
              <w:t xml:space="preserve"> </w:t>
            </w:r>
            <w:r w:rsidRPr="00DF4CE5">
              <w:rPr>
                <w:rFonts w:ascii="Cambria" w:eastAsia="Cambria" w:hAnsi="Cambria" w:cstheme="minorHAnsi"/>
                <w:lang w:val="hr-HR"/>
              </w:rPr>
              <w:t>stručne prakse</w:t>
            </w:r>
            <w:r w:rsidRPr="00DF4CE5">
              <w:rPr>
                <w:rFonts w:ascii="Cambria" w:eastAsia="Cambria" w:hAnsi="Cambria" w:cstheme="minorHAnsi"/>
                <w:spacing w:val="-3"/>
                <w:lang w:val="hr-HR"/>
              </w:rPr>
              <w:t xml:space="preserve"> </w:t>
            </w:r>
            <w:r w:rsidRPr="00DF4CE5">
              <w:rPr>
                <w:rFonts w:ascii="Cambria" w:eastAsia="Cambria" w:hAnsi="Cambria" w:cstheme="minorHAnsi"/>
                <w:lang w:val="hr-HR"/>
              </w:rPr>
              <w:t>(u</w:t>
            </w:r>
            <w:r w:rsidRPr="00DF4CE5">
              <w:rPr>
                <w:rFonts w:ascii="Cambria" w:eastAsia="Cambria" w:hAnsi="Cambria" w:cstheme="minorHAnsi"/>
                <w:spacing w:val="-2"/>
                <w:lang w:val="hr-HR"/>
              </w:rPr>
              <w:t xml:space="preserve"> </w:t>
            </w:r>
            <w:r w:rsidRPr="00DF4CE5">
              <w:rPr>
                <w:rFonts w:ascii="Cambria" w:eastAsia="Cambria" w:hAnsi="Cambria" w:cstheme="minorHAnsi"/>
                <w:lang w:val="hr-HR"/>
              </w:rPr>
              <w:t>skladu</w:t>
            </w:r>
            <w:r w:rsidRPr="00DF4CE5">
              <w:rPr>
                <w:rFonts w:ascii="Cambria" w:eastAsia="Cambria" w:hAnsi="Cambria" w:cstheme="minorHAnsi"/>
                <w:spacing w:val="-1"/>
                <w:lang w:val="hr-HR"/>
              </w:rPr>
              <w:t xml:space="preserve"> </w:t>
            </w:r>
            <w:r w:rsidRPr="00DF4CE5">
              <w:rPr>
                <w:rFonts w:ascii="Cambria" w:eastAsia="Cambria" w:hAnsi="Cambria" w:cstheme="minorHAnsi"/>
                <w:lang w:val="hr-HR"/>
              </w:rPr>
              <w:t>s</w:t>
            </w:r>
            <w:r w:rsidRPr="00DF4CE5">
              <w:rPr>
                <w:rFonts w:ascii="Cambria" w:eastAsia="Cambria" w:hAnsi="Cambria" w:cstheme="minorHAnsi"/>
                <w:spacing w:val="-2"/>
                <w:lang w:val="hr-HR"/>
              </w:rPr>
              <w:t xml:space="preserve"> </w:t>
            </w:r>
            <w:r w:rsidRPr="00DF4CE5">
              <w:rPr>
                <w:rFonts w:ascii="Cambria" w:eastAsia="Cambria" w:hAnsi="Cambria" w:cstheme="minorHAnsi"/>
                <w:lang w:val="hr-HR"/>
              </w:rPr>
              <w:t>Uputama</w:t>
            </w:r>
            <w:r w:rsidRPr="00DF4CE5">
              <w:rPr>
                <w:rFonts w:ascii="Cambria" w:eastAsia="Cambria" w:hAnsi="Cambria" w:cstheme="minorHAnsi"/>
                <w:spacing w:val="-3"/>
                <w:lang w:val="hr-HR"/>
              </w:rPr>
              <w:t xml:space="preserve"> </w:t>
            </w:r>
            <w:r w:rsidRPr="00DF4CE5">
              <w:rPr>
                <w:rFonts w:ascii="Cambria" w:eastAsia="Cambria" w:hAnsi="Cambria" w:cstheme="minorHAnsi"/>
                <w:lang w:val="hr-HR"/>
              </w:rPr>
              <w:t>za</w:t>
            </w:r>
            <w:r w:rsidRPr="00DF4CE5">
              <w:rPr>
                <w:rFonts w:ascii="Cambria" w:eastAsia="Cambria" w:hAnsi="Cambria" w:cstheme="minorHAnsi"/>
                <w:spacing w:val="-2"/>
                <w:lang w:val="hr-HR"/>
              </w:rPr>
              <w:t xml:space="preserve"> </w:t>
            </w:r>
            <w:r w:rsidRPr="00DF4CE5">
              <w:rPr>
                <w:rFonts w:ascii="Cambria" w:eastAsia="Cambria" w:hAnsi="Cambria" w:cstheme="minorHAnsi"/>
                <w:lang w:val="hr-HR"/>
              </w:rPr>
              <w:t>vođenje</w:t>
            </w:r>
          </w:p>
          <w:p w14:paraId="4F93C926" w14:textId="77777777" w:rsidR="00E473D6" w:rsidRPr="00DF4CE5" w:rsidRDefault="00E473D6" w:rsidP="00E473D6">
            <w:pPr>
              <w:widowControl w:val="0"/>
              <w:autoSpaceDE w:val="0"/>
              <w:autoSpaceDN w:val="0"/>
              <w:spacing w:after="0" w:line="240" w:lineRule="auto"/>
              <w:ind w:left="503"/>
              <w:rPr>
                <w:rFonts w:ascii="Cambria" w:eastAsia="Cambria" w:hAnsi="Cambria" w:cstheme="minorHAnsi"/>
                <w:lang w:val="hr-HR"/>
              </w:rPr>
            </w:pPr>
            <w:r w:rsidRPr="00DF4CE5">
              <w:rPr>
                <w:rFonts w:ascii="Cambria" w:eastAsia="Cambria" w:hAnsi="Cambria" w:cstheme="minorHAnsi"/>
                <w:lang w:val="hr-HR"/>
              </w:rPr>
              <w:t>Dnevnika)</w:t>
            </w:r>
          </w:p>
          <w:p w14:paraId="7398A984" w14:textId="77777777" w:rsidR="00E473D6" w:rsidRPr="00DF4CE5" w:rsidRDefault="00E473D6" w:rsidP="00A034E3">
            <w:pPr>
              <w:widowControl w:val="0"/>
              <w:numPr>
                <w:ilvl w:val="0"/>
                <w:numId w:val="91"/>
              </w:numPr>
              <w:autoSpaceDE w:val="0"/>
              <w:autoSpaceDN w:val="0"/>
              <w:spacing w:after="0" w:line="240" w:lineRule="auto"/>
              <w:rPr>
                <w:rFonts w:ascii="Cambria" w:eastAsia="Cambria" w:hAnsi="Cambria" w:cstheme="minorHAnsi"/>
                <w:lang w:val="hr-HR"/>
              </w:rPr>
            </w:pPr>
            <w:r w:rsidRPr="00DF4CE5">
              <w:rPr>
                <w:rFonts w:ascii="Cambria" w:eastAsia="Cambria" w:hAnsi="Cambria" w:cstheme="minorHAnsi"/>
                <w:lang w:val="hr-HR"/>
              </w:rPr>
              <w:t>predati Dnevnik stručne prakse, Potvrdnicu o obavljenoj</w:t>
            </w:r>
            <w:r w:rsidRPr="00DF4CE5">
              <w:rPr>
                <w:rFonts w:ascii="Cambria" w:eastAsia="Cambria" w:hAnsi="Cambria" w:cstheme="minorHAnsi"/>
                <w:spacing w:val="1"/>
                <w:lang w:val="hr-HR"/>
              </w:rPr>
              <w:t xml:space="preserve"> </w:t>
            </w:r>
            <w:r w:rsidRPr="00DF4CE5">
              <w:rPr>
                <w:rFonts w:ascii="Cambria" w:eastAsia="Cambria" w:hAnsi="Cambria" w:cstheme="minorHAnsi"/>
                <w:lang w:val="hr-HR"/>
              </w:rPr>
              <w:t xml:space="preserve">stručnoj praksi i </w:t>
            </w:r>
            <w:r w:rsidRPr="00DF4CE5">
              <w:rPr>
                <w:rFonts w:ascii="Cambria" w:eastAsia="Cambria" w:hAnsi="Cambria" w:cstheme="minorHAnsi"/>
                <w:color w:val="000000"/>
                <w:lang w:val="hr-HR"/>
              </w:rPr>
              <w:t xml:space="preserve">Mišljenje mentora o radu studenta/studentice na stručno pedagoškoj praksi </w:t>
            </w:r>
            <w:r w:rsidRPr="00DF4CE5">
              <w:rPr>
                <w:rFonts w:ascii="Cambria" w:eastAsia="Cambria" w:hAnsi="Cambria" w:cstheme="minorHAnsi"/>
                <w:lang w:val="hr-HR"/>
              </w:rPr>
              <w:t>na potpis i ovjeru ravnatelju/ravnateljici škole i</w:t>
            </w:r>
            <w:r w:rsidRPr="00DF4CE5">
              <w:rPr>
                <w:rFonts w:ascii="Cambria" w:eastAsia="Cambria" w:hAnsi="Cambria" w:cstheme="minorHAnsi"/>
                <w:spacing w:val="-46"/>
                <w:lang w:val="hr-HR"/>
              </w:rPr>
              <w:t xml:space="preserve">     </w:t>
            </w:r>
            <w:r w:rsidRPr="00DF4CE5">
              <w:rPr>
                <w:rFonts w:ascii="Cambria" w:eastAsia="Cambria" w:hAnsi="Cambria" w:cstheme="minorHAnsi"/>
                <w:lang w:val="hr-HR"/>
              </w:rPr>
              <w:t>mentoru/mentorici, koji/koja daje stručno mišljenje o</w:t>
            </w:r>
            <w:r w:rsidRPr="00DF4CE5">
              <w:rPr>
                <w:rFonts w:ascii="Cambria" w:eastAsia="Cambria" w:hAnsi="Cambria" w:cstheme="minorHAnsi"/>
                <w:spacing w:val="1"/>
                <w:lang w:val="hr-HR"/>
              </w:rPr>
              <w:t xml:space="preserve"> </w:t>
            </w:r>
            <w:r w:rsidRPr="00DF4CE5">
              <w:rPr>
                <w:rFonts w:ascii="Cambria" w:eastAsia="Cambria" w:hAnsi="Cambria" w:cstheme="minorHAnsi"/>
                <w:lang w:val="hr-HR"/>
              </w:rPr>
              <w:t>provedenim aktivnostima</w:t>
            </w:r>
          </w:p>
          <w:p w14:paraId="42AC30AD" w14:textId="77777777" w:rsidR="00E473D6" w:rsidRPr="00DF4CE5" w:rsidRDefault="00E473D6" w:rsidP="00A034E3">
            <w:pPr>
              <w:widowControl w:val="0"/>
              <w:numPr>
                <w:ilvl w:val="0"/>
                <w:numId w:val="91"/>
              </w:numPr>
              <w:tabs>
                <w:tab w:val="left" w:pos="504"/>
              </w:tabs>
              <w:autoSpaceDE w:val="0"/>
              <w:autoSpaceDN w:val="0"/>
              <w:spacing w:after="0" w:line="240" w:lineRule="auto"/>
              <w:ind w:right="249"/>
              <w:rPr>
                <w:rFonts w:ascii="Cambria" w:eastAsia="Cambria" w:hAnsi="Cambria" w:cstheme="minorHAnsi"/>
                <w:lang w:val="hr-HR"/>
              </w:rPr>
            </w:pPr>
            <w:r w:rsidRPr="00DF4CE5">
              <w:rPr>
                <w:rFonts w:ascii="Cambria" w:eastAsia="Cambria" w:hAnsi="Cambria" w:cstheme="minorHAnsi"/>
                <w:lang w:val="hr-HR"/>
              </w:rPr>
              <w:t>predati</w:t>
            </w:r>
            <w:r w:rsidRPr="00DF4CE5">
              <w:rPr>
                <w:rFonts w:ascii="Cambria" w:eastAsia="Cambria" w:hAnsi="Cambria" w:cstheme="minorHAnsi"/>
                <w:spacing w:val="-4"/>
                <w:lang w:val="hr-HR"/>
              </w:rPr>
              <w:t xml:space="preserve"> </w:t>
            </w:r>
            <w:r w:rsidRPr="00DF4CE5">
              <w:rPr>
                <w:rFonts w:ascii="Cambria" w:eastAsia="Cambria" w:hAnsi="Cambria" w:cstheme="minorHAnsi"/>
                <w:lang w:val="hr-HR"/>
              </w:rPr>
              <w:t>ovjerene</w:t>
            </w:r>
            <w:r w:rsidRPr="00DF4CE5">
              <w:rPr>
                <w:rFonts w:ascii="Cambria" w:eastAsia="Cambria" w:hAnsi="Cambria" w:cstheme="minorHAnsi"/>
                <w:spacing w:val="-3"/>
                <w:lang w:val="hr-HR"/>
              </w:rPr>
              <w:t xml:space="preserve"> </w:t>
            </w:r>
            <w:r w:rsidRPr="00DF4CE5">
              <w:rPr>
                <w:rFonts w:ascii="Cambria" w:eastAsia="Cambria" w:hAnsi="Cambria" w:cstheme="minorHAnsi"/>
                <w:lang w:val="hr-HR"/>
              </w:rPr>
              <w:t>i</w:t>
            </w:r>
            <w:r w:rsidRPr="00DF4CE5">
              <w:rPr>
                <w:rFonts w:ascii="Cambria" w:eastAsia="Cambria" w:hAnsi="Cambria" w:cstheme="minorHAnsi"/>
                <w:spacing w:val="-3"/>
                <w:lang w:val="hr-HR"/>
              </w:rPr>
              <w:t xml:space="preserve"> </w:t>
            </w:r>
            <w:r w:rsidRPr="00DF4CE5">
              <w:rPr>
                <w:rFonts w:ascii="Cambria" w:eastAsia="Cambria" w:hAnsi="Cambria" w:cstheme="minorHAnsi"/>
                <w:lang w:val="hr-HR"/>
              </w:rPr>
              <w:t>potpisane</w:t>
            </w:r>
            <w:r w:rsidRPr="00DF4CE5">
              <w:rPr>
                <w:rFonts w:ascii="Cambria" w:eastAsia="Cambria" w:hAnsi="Cambria" w:cstheme="minorHAnsi"/>
                <w:spacing w:val="-3"/>
                <w:lang w:val="hr-HR"/>
              </w:rPr>
              <w:t xml:space="preserve"> </w:t>
            </w:r>
            <w:r w:rsidRPr="00DF4CE5">
              <w:rPr>
                <w:rFonts w:ascii="Cambria" w:eastAsia="Cambria" w:hAnsi="Cambria" w:cstheme="minorHAnsi"/>
                <w:lang w:val="hr-HR"/>
              </w:rPr>
              <w:t>dokumente</w:t>
            </w:r>
            <w:r w:rsidRPr="00DF4CE5">
              <w:rPr>
                <w:rFonts w:ascii="Cambria" w:eastAsia="Cambria" w:hAnsi="Cambria" w:cstheme="minorHAnsi"/>
                <w:spacing w:val="-4"/>
                <w:lang w:val="hr-HR"/>
              </w:rPr>
              <w:t xml:space="preserve"> </w:t>
            </w:r>
            <w:r w:rsidRPr="00DF4CE5">
              <w:rPr>
                <w:rFonts w:ascii="Cambria" w:eastAsia="Cambria" w:hAnsi="Cambria" w:cstheme="minorHAnsi"/>
                <w:lang w:val="hr-HR"/>
              </w:rPr>
              <w:t>iz</w:t>
            </w:r>
            <w:r w:rsidRPr="00DF4CE5">
              <w:rPr>
                <w:rFonts w:ascii="Cambria" w:eastAsia="Cambria" w:hAnsi="Cambria" w:cstheme="minorHAnsi"/>
                <w:spacing w:val="-3"/>
                <w:lang w:val="hr-HR"/>
              </w:rPr>
              <w:t xml:space="preserve"> </w:t>
            </w:r>
            <w:r w:rsidRPr="00DF4CE5">
              <w:rPr>
                <w:rFonts w:ascii="Cambria" w:eastAsia="Cambria" w:hAnsi="Cambria" w:cstheme="minorHAnsi"/>
                <w:lang w:val="hr-HR"/>
              </w:rPr>
              <w:t>prethodnog</w:t>
            </w:r>
            <w:r w:rsidRPr="00DF4CE5">
              <w:rPr>
                <w:rFonts w:ascii="Cambria" w:eastAsia="Cambria" w:hAnsi="Cambria" w:cstheme="minorHAnsi"/>
                <w:spacing w:val="-4"/>
                <w:lang w:val="hr-HR"/>
              </w:rPr>
              <w:t xml:space="preserve"> </w:t>
            </w:r>
            <w:r w:rsidRPr="00DF4CE5">
              <w:rPr>
                <w:rFonts w:ascii="Cambria" w:eastAsia="Cambria" w:hAnsi="Cambria" w:cstheme="minorHAnsi"/>
                <w:lang w:val="hr-HR"/>
              </w:rPr>
              <w:t>stavka</w:t>
            </w:r>
            <w:r w:rsidRPr="00DF4CE5">
              <w:rPr>
                <w:rFonts w:ascii="Cambria" w:eastAsia="Cambria" w:hAnsi="Cambria" w:cstheme="minorHAnsi"/>
                <w:spacing w:val="-50"/>
                <w:lang w:val="hr-HR"/>
              </w:rPr>
              <w:t xml:space="preserve"> </w:t>
            </w:r>
            <w:r w:rsidRPr="00DF4CE5">
              <w:rPr>
                <w:rFonts w:ascii="Cambria" w:eastAsia="Cambria" w:hAnsi="Cambria" w:cstheme="minorHAnsi"/>
                <w:lang w:val="hr-HR"/>
              </w:rPr>
              <w:t>voditeljici stručne prakse na Fakultetu, najkasnije 15 dana</w:t>
            </w:r>
            <w:r w:rsidRPr="00DF4CE5">
              <w:rPr>
                <w:rFonts w:ascii="Cambria" w:eastAsia="Cambria" w:hAnsi="Cambria" w:cstheme="minorHAnsi"/>
                <w:spacing w:val="1"/>
                <w:lang w:val="hr-HR"/>
              </w:rPr>
              <w:t xml:space="preserve"> </w:t>
            </w:r>
            <w:r w:rsidRPr="00DF4CE5">
              <w:rPr>
                <w:rFonts w:ascii="Cambria" w:eastAsia="Cambria" w:hAnsi="Cambria" w:cstheme="minorHAnsi"/>
                <w:lang w:val="hr-HR"/>
              </w:rPr>
              <w:t>prije</w:t>
            </w:r>
            <w:r w:rsidRPr="00DF4CE5">
              <w:rPr>
                <w:rFonts w:ascii="Cambria" w:eastAsia="Cambria" w:hAnsi="Cambria" w:cstheme="minorHAnsi"/>
                <w:spacing w:val="-1"/>
                <w:lang w:val="hr-HR"/>
              </w:rPr>
              <w:t xml:space="preserve"> </w:t>
            </w:r>
            <w:r w:rsidRPr="00DF4CE5">
              <w:rPr>
                <w:rFonts w:ascii="Cambria" w:eastAsia="Cambria" w:hAnsi="Cambria" w:cstheme="minorHAnsi"/>
                <w:lang w:val="hr-HR"/>
              </w:rPr>
              <w:t>ispitnog</w:t>
            </w:r>
            <w:r w:rsidRPr="00DF4CE5">
              <w:rPr>
                <w:rFonts w:ascii="Cambria" w:eastAsia="Cambria" w:hAnsi="Cambria" w:cstheme="minorHAnsi"/>
                <w:spacing w:val="-1"/>
                <w:lang w:val="hr-HR"/>
              </w:rPr>
              <w:t xml:space="preserve"> </w:t>
            </w:r>
            <w:r w:rsidRPr="00DF4CE5">
              <w:rPr>
                <w:rFonts w:ascii="Cambria" w:eastAsia="Cambria" w:hAnsi="Cambria" w:cstheme="minorHAnsi"/>
                <w:lang w:val="hr-HR"/>
              </w:rPr>
              <w:t>roka.</w:t>
            </w:r>
          </w:p>
        </w:tc>
      </w:tr>
      <w:tr w:rsidR="00E473D6" w:rsidRPr="00D0399C" w14:paraId="0C306F1B" w14:textId="77777777" w:rsidTr="00DF4CE5">
        <w:trPr>
          <w:trHeight w:val="707"/>
        </w:trPr>
        <w:tc>
          <w:tcPr>
            <w:tcW w:w="2554" w:type="dxa"/>
            <w:shd w:val="clear" w:color="auto" w:fill="F3F3F3"/>
          </w:tcPr>
          <w:p w14:paraId="0425B9E3" w14:textId="77777777" w:rsidR="00E473D6" w:rsidRPr="00DF4CE5" w:rsidRDefault="00E473D6" w:rsidP="00E473D6">
            <w:pPr>
              <w:widowControl w:val="0"/>
              <w:autoSpaceDE w:val="0"/>
              <w:autoSpaceDN w:val="0"/>
              <w:spacing w:after="0" w:line="240" w:lineRule="auto"/>
              <w:ind w:left="143"/>
              <w:rPr>
                <w:rFonts w:ascii="Cambria" w:eastAsia="Cambria" w:hAnsi="Cambria" w:cstheme="minorHAnsi"/>
                <w:lang w:val="hr-HR"/>
              </w:rPr>
            </w:pPr>
            <w:r w:rsidRPr="00DF4CE5">
              <w:rPr>
                <w:rFonts w:ascii="Cambria" w:eastAsia="Cambria" w:hAnsi="Cambria" w:cstheme="minorHAnsi"/>
                <w:lang w:val="hr-HR"/>
              </w:rPr>
              <w:t>Rokovi</w:t>
            </w:r>
            <w:r w:rsidRPr="00DF4CE5">
              <w:rPr>
                <w:rFonts w:ascii="Cambria" w:eastAsia="Cambria" w:hAnsi="Cambria" w:cstheme="minorHAnsi"/>
                <w:spacing w:val="-3"/>
                <w:lang w:val="hr-HR"/>
              </w:rPr>
              <w:t xml:space="preserve"> </w:t>
            </w:r>
            <w:r w:rsidRPr="00DF4CE5">
              <w:rPr>
                <w:rFonts w:ascii="Cambria" w:eastAsia="Cambria" w:hAnsi="Cambria" w:cstheme="minorHAnsi"/>
                <w:lang w:val="hr-HR"/>
              </w:rPr>
              <w:t>ispita</w:t>
            </w:r>
          </w:p>
        </w:tc>
        <w:tc>
          <w:tcPr>
            <w:tcW w:w="7086" w:type="dxa"/>
            <w:gridSpan w:val="7"/>
          </w:tcPr>
          <w:p w14:paraId="3658EAB2" w14:textId="77777777" w:rsidR="00E473D6" w:rsidRPr="00DF4CE5" w:rsidRDefault="00E473D6" w:rsidP="00E473D6">
            <w:pPr>
              <w:widowControl w:val="0"/>
              <w:autoSpaceDE w:val="0"/>
              <w:autoSpaceDN w:val="0"/>
              <w:spacing w:after="0" w:line="240" w:lineRule="auto"/>
              <w:ind w:left="143"/>
              <w:rPr>
                <w:rFonts w:ascii="Cambria" w:eastAsia="Cambria" w:hAnsi="Cambria" w:cstheme="minorHAnsi"/>
                <w:lang w:val="hr-HR"/>
              </w:rPr>
            </w:pPr>
            <w:r w:rsidRPr="00DF4CE5">
              <w:rPr>
                <w:rFonts w:ascii="Cambria" w:eastAsia="Cambria" w:hAnsi="Cambria" w:cstheme="minorHAnsi"/>
                <w:lang w:val="hr-HR"/>
              </w:rPr>
              <w:t>Rokovi</w:t>
            </w:r>
            <w:r w:rsidRPr="00DF4CE5">
              <w:rPr>
                <w:rFonts w:ascii="Cambria" w:eastAsia="Cambria" w:hAnsi="Cambria" w:cstheme="minorHAnsi"/>
                <w:spacing w:val="-3"/>
                <w:lang w:val="hr-HR"/>
              </w:rPr>
              <w:t xml:space="preserve"> </w:t>
            </w:r>
            <w:r w:rsidRPr="00DF4CE5">
              <w:rPr>
                <w:rFonts w:ascii="Cambria" w:eastAsia="Cambria" w:hAnsi="Cambria" w:cstheme="minorHAnsi"/>
                <w:lang w:val="hr-HR"/>
              </w:rPr>
              <w:t>ispita</w:t>
            </w:r>
            <w:r w:rsidRPr="00DF4CE5">
              <w:rPr>
                <w:rFonts w:ascii="Cambria" w:eastAsia="Cambria" w:hAnsi="Cambria" w:cstheme="minorHAnsi"/>
                <w:spacing w:val="-4"/>
                <w:lang w:val="hr-HR"/>
              </w:rPr>
              <w:t xml:space="preserve"> </w:t>
            </w:r>
            <w:r w:rsidRPr="00DF4CE5">
              <w:rPr>
                <w:rFonts w:ascii="Cambria" w:eastAsia="Cambria" w:hAnsi="Cambria" w:cstheme="minorHAnsi"/>
                <w:lang w:val="hr-HR"/>
              </w:rPr>
              <w:t>se</w:t>
            </w:r>
            <w:r w:rsidRPr="00DF4CE5">
              <w:rPr>
                <w:rFonts w:ascii="Cambria" w:eastAsia="Cambria" w:hAnsi="Cambria" w:cstheme="minorHAnsi"/>
                <w:spacing w:val="-3"/>
                <w:lang w:val="hr-HR"/>
              </w:rPr>
              <w:t xml:space="preserve"> </w:t>
            </w:r>
            <w:r w:rsidRPr="00DF4CE5">
              <w:rPr>
                <w:rFonts w:ascii="Cambria" w:eastAsia="Cambria" w:hAnsi="Cambria" w:cstheme="minorHAnsi"/>
                <w:lang w:val="hr-HR"/>
              </w:rPr>
              <w:t>objavljuju</w:t>
            </w:r>
            <w:r w:rsidRPr="00DF4CE5">
              <w:rPr>
                <w:rFonts w:ascii="Cambria" w:eastAsia="Cambria" w:hAnsi="Cambria" w:cstheme="minorHAnsi"/>
                <w:spacing w:val="-3"/>
                <w:lang w:val="hr-HR"/>
              </w:rPr>
              <w:t xml:space="preserve"> </w:t>
            </w:r>
            <w:r w:rsidRPr="00DF4CE5">
              <w:rPr>
                <w:rFonts w:ascii="Cambria" w:eastAsia="Cambria" w:hAnsi="Cambria" w:cstheme="minorHAnsi"/>
                <w:lang w:val="hr-HR"/>
              </w:rPr>
              <w:t>na</w:t>
            </w:r>
            <w:r w:rsidRPr="00DF4CE5">
              <w:rPr>
                <w:rFonts w:ascii="Cambria" w:eastAsia="Cambria" w:hAnsi="Cambria" w:cstheme="minorHAnsi"/>
                <w:spacing w:val="-3"/>
                <w:lang w:val="hr-HR"/>
              </w:rPr>
              <w:t xml:space="preserve"> </w:t>
            </w:r>
            <w:r w:rsidRPr="00DF4CE5">
              <w:rPr>
                <w:rFonts w:ascii="Cambria" w:eastAsia="Cambria" w:hAnsi="Cambria" w:cstheme="minorHAnsi"/>
                <w:lang w:val="hr-HR"/>
              </w:rPr>
              <w:t>početku</w:t>
            </w:r>
            <w:r w:rsidRPr="00DF4CE5">
              <w:rPr>
                <w:rFonts w:ascii="Cambria" w:eastAsia="Cambria" w:hAnsi="Cambria" w:cstheme="minorHAnsi"/>
                <w:spacing w:val="-4"/>
                <w:lang w:val="hr-HR"/>
              </w:rPr>
              <w:t xml:space="preserve"> </w:t>
            </w:r>
            <w:r w:rsidRPr="00DF4CE5">
              <w:rPr>
                <w:rFonts w:ascii="Cambria" w:eastAsia="Cambria" w:hAnsi="Cambria" w:cstheme="minorHAnsi"/>
                <w:lang w:val="hr-HR"/>
              </w:rPr>
              <w:t>akademske</w:t>
            </w:r>
            <w:r w:rsidRPr="00DF4CE5">
              <w:rPr>
                <w:rFonts w:ascii="Cambria" w:eastAsia="Cambria" w:hAnsi="Cambria" w:cstheme="minorHAnsi"/>
                <w:spacing w:val="-2"/>
                <w:lang w:val="hr-HR"/>
              </w:rPr>
              <w:t xml:space="preserve"> </w:t>
            </w:r>
            <w:r w:rsidRPr="00DF4CE5">
              <w:rPr>
                <w:rFonts w:ascii="Cambria" w:eastAsia="Cambria" w:hAnsi="Cambria" w:cstheme="minorHAnsi"/>
                <w:lang w:val="hr-HR"/>
              </w:rPr>
              <w:t>godine</w:t>
            </w:r>
            <w:r w:rsidRPr="00DF4CE5">
              <w:rPr>
                <w:rFonts w:ascii="Cambria" w:eastAsia="Cambria" w:hAnsi="Cambria" w:cstheme="minorHAnsi"/>
                <w:spacing w:val="-3"/>
                <w:lang w:val="hr-HR"/>
              </w:rPr>
              <w:t xml:space="preserve"> </w:t>
            </w:r>
            <w:r w:rsidRPr="00DF4CE5">
              <w:rPr>
                <w:rFonts w:ascii="Cambria" w:eastAsia="Cambria" w:hAnsi="Cambria" w:cstheme="minorHAnsi"/>
                <w:lang w:val="hr-HR"/>
              </w:rPr>
              <w:t>na</w:t>
            </w:r>
            <w:r w:rsidRPr="00DF4CE5">
              <w:rPr>
                <w:rFonts w:ascii="Cambria" w:eastAsia="Cambria" w:hAnsi="Cambria" w:cstheme="minorHAnsi"/>
                <w:spacing w:val="-50"/>
                <w:lang w:val="hr-HR"/>
              </w:rPr>
              <w:t xml:space="preserve"> </w:t>
            </w:r>
            <w:r w:rsidRPr="00DF4CE5">
              <w:rPr>
                <w:rFonts w:ascii="Cambria" w:eastAsia="Cambria" w:hAnsi="Cambria" w:cstheme="minorHAnsi"/>
                <w:lang w:val="hr-HR"/>
              </w:rPr>
              <w:t>mrežnim</w:t>
            </w:r>
            <w:r w:rsidRPr="00DF4CE5">
              <w:rPr>
                <w:rFonts w:ascii="Cambria" w:eastAsia="Cambria" w:hAnsi="Cambria" w:cstheme="minorHAnsi"/>
                <w:spacing w:val="-2"/>
                <w:lang w:val="hr-HR"/>
              </w:rPr>
              <w:t xml:space="preserve"> </w:t>
            </w:r>
            <w:r w:rsidRPr="00DF4CE5">
              <w:rPr>
                <w:rFonts w:ascii="Cambria" w:eastAsia="Cambria" w:hAnsi="Cambria" w:cstheme="minorHAnsi"/>
                <w:lang w:val="hr-HR"/>
              </w:rPr>
              <w:t>stranicama Sveučilišta</w:t>
            </w:r>
            <w:r w:rsidRPr="00DF4CE5">
              <w:rPr>
                <w:rFonts w:ascii="Cambria" w:eastAsia="Cambria" w:hAnsi="Cambria" w:cstheme="minorHAnsi"/>
                <w:spacing w:val="-2"/>
                <w:lang w:val="hr-HR"/>
              </w:rPr>
              <w:t xml:space="preserve"> </w:t>
            </w:r>
            <w:r w:rsidRPr="00DF4CE5">
              <w:rPr>
                <w:rFonts w:ascii="Cambria" w:eastAsia="Cambria" w:hAnsi="Cambria" w:cstheme="minorHAnsi"/>
                <w:lang w:val="hr-HR"/>
              </w:rPr>
              <w:t>i u</w:t>
            </w:r>
            <w:r w:rsidRPr="00DF4CE5">
              <w:rPr>
                <w:rFonts w:ascii="Cambria" w:eastAsia="Cambria" w:hAnsi="Cambria" w:cstheme="minorHAnsi"/>
                <w:spacing w:val="-2"/>
                <w:lang w:val="hr-HR"/>
              </w:rPr>
              <w:t xml:space="preserve"> </w:t>
            </w:r>
            <w:r w:rsidRPr="00DF4CE5">
              <w:rPr>
                <w:rFonts w:ascii="Cambria" w:eastAsia="Cambria" w:hAnsi="Cambria" w:cstheme="minorHAnsi"/>
                <w:lang w:val="hr-HR"/>
              </w:rPr>
              <w:t>ISVU</w:t>
            </w:r>
            <w:r w:rsidRPr="00DF4CE5">
              <w:rPr>
                <w:rFonts w:ascii="Cambria" w:eastAsia="Cambria" w:hAnsi="Cambria" w:cstheme="minorHAnsi"/>
                <w:spacing w:val="-1"/>
                <w:lang w:val="hr-HR"/>
              </w:rPr>
              <w:t xml:space="preserve"> </w:t>
            </w:r>
            <w:r w:rsidRPr="00DF4CE5">
              <w:rPr>
                <w:rFonts w:ascii="Cambria" w:eastAsia="Cambria" w:hAnsi="Cambria" w:cstheme="minorHAnsi"/>
                <w:lang w:val="hr-HR"/>
              </w:rPr>
              <w:t>sustavu.</w:t>
            </w:r>
          </w:p>
        </w:tc>
      </w:tr>
      <w:tr w:rsidR="00E473D6" w:rsidRPr="00DF4CE5" w14:paraId="09EC9C41" w14:textId="77777777" w:rsidTr="00DF4CE5">
        <w:trPr>
          <w:trHeight w:val="2958"/>
        </w:trPr>
        <w:tc>
          <w:tcPr>
            <w:tcW w:w="2554" w:type="dxa"/>
            <w:shd w:val="clear" w:color="auto" w:fill="F3F3F3"/>
          </w:tcPr>
          <w:p w14:paraId="39231A61" w14:textId="77777777" w:rsidR="00E473D6" w:rsidRPr="00DF4CE5" w:rsidRDefault="00E473D6" w:rsidP="00E473D6">
            <w:pPr>
              <w:widowControl w:val="0"/>
              <w:autoSpaceDE w:val="0"/>
              <w:autoSpaceDN w:val="0"/>
              <w:spacing w:after="0" w:line="240" w:lineRule="auto"/>
              <w:rPr>
                <w:rFonts w:ascii="Cambria" w:eastAsia="Cambria" w:hAnsi="Cambria" w:cstheme="minorHAnsi"/>
                <w:lang w:val="hr-HR"/>
              </w:rPr>
            </w:pPr>
          </w:p>
          <w:p w14:paraId="12B7BE3A" w14:textId="77777777" w:rsidR="00E473D6" w:rsidRPr="00DF4CE5" w:rsidRDefault="00E473D6" w:rsidP="00E473D6">
            <w:pPr>
              <w:widowControl w:val="0"/>
              <w:autoSpaceDE w:val="0"/>
              <w:autoSpaceDN w:val="0"/>
              <w:spacing w:after="0" w:line="240" w:lineRule="auto"/>
              <w:rPr>
                <w:rFonts w:ascii="Cambria" w:eastAsia="Cambria" w:hAnsi="Cambria" w:cstheme="minorHAnsi"/>
                <w:lang w:val="hr-HR"/>
              </w:rPr>
            </w:pPr>
          </w:p>
          <w:p w14:paraId="2E097962" w14:textId="77777777" w:rsidR="00E473D6" w:rsidRPr="00DF4CE5" w:rsidRDefault="00E473D6" w:rsidP="00E473D6">
            <w:pPr>
              <w:widowControl w:val="0"/>
              <w:autoSpaceDE w:val="0"/>
              <w:autoSpaceDN w:val="0"/>
              <w:spacing w:after="0" w:line="240" w:lineRule="auto"/>
              <w:rPr>
                <w:rFonts w:ascii="Cambria" w:eastAsia="Cambria" w:hAnsi="Cambria" w:cstheme="minorHAnsi"/>
                <w:lang w:val="hr-HR"/>
              </w:rPr>
            </w:pPr>
          </w:p>
          <w:p w14:paraId="3C8274ED" w14:textId="77777777" w:rsidR="00E473D6" w:rsidRPr="00DF4CE5" w:rsidRDefault="00E473D6" w:rsidP="00E473D6">
            <w:pPr>
              <w:widowControl w:val="0"/>
              <w:autoSpaceDE w:val="0"/>
              <w:autoSpaceDN w:val="0"/>
              <w:spacing w:after="0" w:line="240" w:lineRule="auto"/>
              <w:ind w:left="143"/>
              <w:rPr>
                <w:rFonts w:ascii="Cambria" w:eastAsia="Cambria" w:hAnsi="Cambria" w:cstheme="minorHAnsi"/>
                <w:lang w:val="hr-HR"/>
              </w:rPr>
            </w:pPr>
            <w:r w:rsidRPr="00DF4CE5">
              <w:rPr>
                <w:rFonts w:ascii="Cambria" w:eastAsia="Cambria" w:hAnsi="Cambria" w:cstheme="minorHAnsi"/>
                <w:lang w:val="hr-HR"/>
              </w:rPr>
              <w:t>Ostale</w:t>
            </w:r>
            <w:r w:rsidRPr="00DF4CE5">
              <w:rPr>
                <w:rFonts w:ascii="Cambria" w:eastAsia="Cambria" w:hAnsi="Cambria" w:cstheme="minorHAnsi"/>
                <w:spacing w:val="-4"/>
                <w:lang w:val="hr-HR"/>
              </w:rPr>
              <w:t xml:space="preserve"> </w:t>
            </w:r>
            <w:r w:rsidRPr="00DF4CE5">
              <w:rPr>
                <w:rFonts w:ascii="Cambria" w:eastAsia="Cambria" w:hAnsi="Cambria" w:cstheme="minorHAnsi"/>
                <w:lang w:val="hr-HR"/>
              </w:rPr>
              <w:t>važne</w:t>
            </w:r>
            <w:r w:rsidRPr="00DF4CE5">
              <w:rPr>
                <w:rFonts w:ascii="Cambria" w:eastAsia="Cambria" w:hAnsi="Cambria" w:cstheme="minorHAnsi"/>
                <w:spacing w:val="-1"/>
                <w:lang w:val="hr-HR"/>
              </w:rPr>
              <w:t xml:space="preserve"> </w:t>
            </w:r>
            <w:r w:rsidRPr="00DF4CE5">
              <w:rPr>
                <w:rFonts w:ascii="Cambria" w:eastAsia="Cambria" w:hAnsi="Cambria" w:cstheme="minorHAnsi"/>
                <w:lang w:val="hr-HR"/>
              </w:rPr>
              <w:t>činjenice</w:t>
            </w:r>
          </w:p>
          <w:p w14:paraId="73CC7725" w14:textId="77777777" w:rsidR="00E473D6" w:rsidRPr="00DF4CE5" w:rsidRDefault="00E473D6" w:rsidP="00E473D6">
            <w:pPr>
              <w:widowControl w:val="0"/>
              <w:autoSpaceDE w:val="0"/>
              <w:autoSpaceDN w:val="0"/>
              <w:spacing w:after="0" w:line="240" w:lineRule="auto"/>
              <w:ind w:left="143"/>
              <w:rPr>
                <w:rFonts w:ascii="Cambria" w:eastAsia="Cambria" w:hAnsi="Cambria" w:cstheme="minorHAnsi"/>
                <w:lang w:val="hr-HR"/>
              </w:rPr>
            </w:pPr>
            <w:r w:rsidRPr="00DF4CE5">
              <w:rPr>
                <w:rFonts w:ascii="Cambria" w:eastAsia="Cambria" w:hAnsi="Cambria" w:cstheme="minorHAnsi"/>
                <w:lang w:val="hr-HR"/>
              </w:rPr>
              <w:t>vezane</w:t>
            </w:r>
            <w:r w:rsidRPr="00DF4CE5">
              <w:rPr>
                <w:rFonts w:ascii="Cambria" w:eastAsia="Cambria" w:hAnsi="Cambria" w:cstheme="minorHAnsi"/>
                <w:spacing w:val="-2"/>
                <w:lang w:val="hr-HR"/>
              </w:rPr>
              <w:t xml:space="preserve"> </w:t>
            </w:r>
            <w:r w:rsidRPr="00DF4CE5">
              <w:rPr>
                <w:rFonts w:ascii="Cambria" w:eastAsia="Cambria" w:hAnsi="Cambria" w:cstheme="minorHAnsi"/>
                <w:lang w:val="hr-HR"/>
              </w:rPr>
              <w:t>uz</w:t>
            </w:r>
            <w:r w:rsidRPr="00DF4CE5">
              <w:rPr>
                <w:rFonts w:ascii="Cambria" w:eastAsia="Cambria" w:hAnsi="Cambria" w:cstheme="minorHAnsi"/>
                <w:spacing w:val="-3"/>
                <w:lang w:val="hr-HR"/>
              </w:rPr>
              <w:t xml:space="preserve"> </w:t>
            </w:r>
            <w:r w:rsidRPr="00DF4CE5">
              <w:rPr>
                <w:rFonts w:ascii="Cambria" w:eastAsia="Cambria" w:hAnsi="Cambria" w:cstheme="minorHAnsi"/>
                <w:lang w:val="hr-HR"/>
              </w:rPr>
              <w:t>kolegij</w:t>
            </w:r>
          </w:p>
        </w:tc>
        <w:tc>
          <w:tcPr>
            <w:tcW w:w="7086" w:type="dxa"/>
            <w:gridSpan w:val="7"/>
          </w:tcPr>
          <w:p w14:paraId="0603B87C" w14:textId="77777777" w:rsidR="00E473D6" w:rsidRPr="00DF4CE5" w:rsidRDefault="00E473D6" w:rsidP="00E473D6">
            <w:pPr>
              <w:widowControl w:val="0"/>
              <w:autoSpaceDE w:val="0"/>
              <w:autoSpaceDN w:val="0"/>
              <w:spacing w:after="0" w:line="240" w:lineRule="auto"/>
              <w:ind w:left="206" w:right="116"/>
              <w:rPr>
                <w:rFonts w:ascii="Cambria" w:eastAsia="Cambria" w:hAnsi="Cambria" w:cstheme="minorHAnsi"/>
                <w:lang w:val="hr-HR"/>
              </w:rPr>
            </w:pPr>
            <w:r w:rsidRPr="00DF4CE5">
              <w:rPr>
                <w:rFonts w:ascii="Cambria" w:eastAsia="Cambria" w:hAnsi="Cambria" w:cstheme="minorHAnsi"/>
                <w:lang w:val="hr-HR"/>
              </w:rPr>
              <w:t>Materijali i upute potrebne za stručnu praksu objavljuju se na</w:t>
            </w:r>
            <w:r w:rsidRPr="00DF4CE5">
              <w:rPr>
                <w:rFonts w:ascii="Cambria" w:eastAsia="Cambria" w:hAnsi="Cambria" w:cstheme="minorHAnsi"/>
                <w:spacing w:val="1"/>
                <w:lang w:val="hr-HR"/>
              </w:rPr>
              <w:t xml:space="preserve"> </w:t>
            </w:r>
            <w:r w:rsidRPr="00DF4CE5">
              <w:rPr>
                <w:rFonts w:ascii="Cambria" w:eastAsia="Cambria" w:hAnsi="Cambria" w:cstheme="minorHAnsi"/>
                <w:lang w:val="hr-HR"/>
              </w:rPr>
              <w:t>portalu za e-učenje istoimenoga kolegija. Studenti/</w:t>
            </w:r>
            <w:proofErr w:type="spellStart"/>
            <w:r w:rsidRPr="00DF4CE5">
              <w:rPr>
                <w:rFonts w:ascii="Cambria" w:eastAsia="Cambria" w:hAnsi="Cambria" w:cstheme="minorHAnsi"/>
                <w:lang w:val="hr-HR"/>
              </w:rPr>
              <w:t>ce</w:t>
            </w:r>
            <w:proofErr w:type="spellEnd"/>
            <w:r w:rsidRPr="00DF4CE5">
              <w:rPr>
                <w:rFonts w:ascii="Cambria" w:eastAsia="Cambria" w:hAnsi="Cambria" w:cstheme="minorHAnsi"/>
                <w:lang w:val="hr-HR"/>
              </w:rPr>
              <w:t xml:space="preserve"> su dužni</w:t>
            </w:r>
            <w:r w:rsidRPr="00DF4CE5">
              <w:rPr>
                <w:rFonts w:ascii="Cambria" w:eastAsia="Cambria" w:hAnsi="Cambria" w:cstheme="minorHAnsi"/>
                <w:spacing w:val="1"/>
                <w:lang w:val="hr-HR"/>
              </w:rPr>
              <w:t xml:space="preserve"> </w:t>
            </w:r>
            <w:r w:rsidRPr="00DF4CE5">
              <w:rPr>
                <w:rFonts w:ascii="Cambria" w:eastAsia="Cambria" w:hAnsi="Cambria" w:cstheme="minorHAnsi"/>
                <w:lang w:val="hr-HR"/>
              </w:rPr>
              <w:t>pratiti</w:t>
            </w:r>
            <w:r w:rsidRPr="00DF4CE5">
              <w:rPr>
                <w:rFonts w:ascii="Cambria" w:eastAsia="Cambria" w:hAnsi="Cambria" w:cstheme="minorHAnsi"/>
                <w:spacing w:val="-4"/>
                <w:lang w:val="hr-HR"/>
              </w:rPr>
              <w:t xml:space="preserve"> </w:t>
            </w:r>
            <w:r w:rsidRPr="00DF4CE5">
              <w:rPr>
                <w:rFonts w:ascii="Cambria" w:eastAsia="Cambria" w:hAnsi="Cambria" w:cstheme="minorHAnsi"/>
                <w:lang w:val="hr-HR"/>
              </w:rPr>
              <w:t>obavijesti</w:t>
            </w:r>
            <w:r w:rsidRPr="00DF4CE5">
              <w:rPr>
                <w:rFonts w:ascii="Cambria" w:eastAsia="Cambria" w:hAnsi="Cambria" w:cstheme="minorHAnsi"/>
                <w:spacing w:val="-7"/>
                <w:lang w:val="hr-HR"/>
              </w:rPr>
              <w:t xml:space="preserve"> </w:t>
            </w:r>
            <w:r w:rsidRPr="00DF4CE5">
              <w:rPr>
                <w:rFonts w:ascii="Cambria" w:eastAsia="Cambria" w:hAnsi="Cambria" w:cstheme="minorHAnsi"/>
                <w:lang w:val="hr-HR"/>
              </w:rPr>
              <w:t>koje</w:t>
            </w:r>
            <w:r w:rsidRPr="00DF4CE5">
              <w:rPr>
                <w:rFonts w:ascii="Cambria" w:eastAsia="Cambria" w:hAnsi="Cambria" w:cstheme="minorHAnsi"/>
                <w:spacing w:val="-4"/>
                <w:lang w:val="hr-HR"/>
              </w:rPr>
              <w:t xml:space="preserve"> </w:t>
            </w:r>
            <w:r w:rsidRPr="00DF4CE5">
              <w:rPr>
                <w:rFonts w:ascii="Cambria" w:eastAsia="Cambria" w:hAnsi="Cambria" w:cstheme="minorHAnsi"/>
                <w:lang w:val="hr-HR"/>
              </w:rPr>
              <w:t>će</w:t>
            </w:r>
            <w:r w:rsidRPr="00DF4CE5">
              <w:rPr>
                <w:rFonts w:ascii="Cambria" w:eastAsia="Cambria" w:hAnsi="Cambria" w:cstheme="minorHAnsi"/>
                <w:spacing w:val="-7"/>
                <w:lang w:val="hr-HR"/>
              </w:rPr>
              <w:t xml:space="preserve"> </w:t>
            </w:r>
            <w:r w:rsidRPr="00DF4CE5">
              <w:rPr>
                <w:rFonts w:ascii="Cambria" w:eastAsia="Cambria" w:hAnsi="Cambria" w:cstheme="minorHAnsi"/>
                <w:lang w:val="hr-HR"/>
              </w:rPr>
              <w:t>voditelj</w:t>
            </w:r>
            <w:r w:rsidRPr="00DF4CE5">
              <w:rPr>
                <w:rFonts w:ascii="Cambria" w:eastAsia="Cambria" w:hAnsi="Cambria" w:cstheme="minorHAnsi"/>
                <w:spacing w:val="-4"/>
                <w:lang w:val="hr-HR"/>
              </w:rPr>
              <w:t xml:space="preserve"> </w:t>
            </w:r>
            <w:r w:rsidRPr="00DF4CE5">
              <w:rPr>
                <w:rFonts w:ascii="Cambria" w:eastAsia="Cambria" w:hAnsi="Cambria" w:cstheme="minorHAnsi"/>
                <w:lang w:val="hr-HR"/>
              </w:rPr>
              <w:t>stručne</w:t>
            </w:r>
            <w:r w:rsidRPr="00DF4CE5">
              <w:rPr>
                <w:rFonts w:ascii="Cambria" w:eastAsia="Cambria" w:hAnsi="Cambria" w:cstheme="minorHAnsi"/>
                <w:spacing w:val="-4"/>
                <w:lang w:val="hr-HR"/>
              </w:rPr>
              <w:t xml:space="preserve"> </w:t>
            </w:r>
            <w:r w:rsidRPr="00DF4CE5">
              <w:rPr>
                <w:rFonts w:ascii="Cambria" w:eastAsia="Cambria" w:hAnsi="Cambria" w:cstheme="minorHAnsi"/>
                <w:lang w:val="hr-HR"/>
              </w:rPr>
              <w:t>prakse</w:t>
            </w:r>
            <w:r w:rsidRPr="00DF4CE5">
              <w:rPr>
                <w:rFonts w:ascii="Cambria" w:eastAsia="Cambria" w:hAnsi="Cambria" w:cstheme="minorHAnsi"/>
                <w:spacing w:val="-7"/>
                <w:lang w:val="hr-HR"/>
              </w:rPr>
              <w:t xml:space="preserve"> </w:t>
            </w:r>
            <w:r w:rsidRPr="00DF4CE5">
              <w:rPr>
                <w:rFonts w:ascii="Cambria" w:eastAsia="Cambria" w:hAnsi="Cambria" w:cstheme="minorHAnsi"/>
                <w:lang w:val="hr-HR"/>
              </w:rPr>
              <w:t>objavljivati</w:t>
            </w:r>
            <w:r w:rsidRPr="00DF4CE5">
              <w:rPr>
                <w:rFonts w:ascii="Cambria" w:eastAsia="Cambria" w:hAnsi="Cambria" w:cstheme="minorHAnsi"/>
                <w:spacing w:val="-4"/>
                <w:lang w:val="hr-HR"/>
              </w:rPr>
              <w:t xml:space="preserve"> </w:t>
            </w:r>
            <w:r w:rsidRPr="00DF4CE5">
              <w:rPr>
                <w:rFonts w:ascii="Cambria" w:eastAsia="Cambria" w:hAnsi="Cambria" w:cstheme="minorHAnsi"/>
                <w:lang w:val="hr-HR"/>
              </w:rPr>
              <w:t>na</w:t>
            </w:r>
            <w:r w:rsidRPr="00DF4CE5">
              <w:rPr>
                <w:rFonts w:ascii="Cambria" w:eastAsia="Cambria" w:hAnsi="Cambria" w:cstheme="minorHAnsi"/>
                <w:spacing w:val="-5"/>
                <w:lang w:val="hr-HR"/>
              </w:rPr>
              <w:t xml:space="preserve"> </w:t>
            </w:r>
            <w:r w:rsidRPr="00DF4CE5">
              <w:rPr>
                <w:rFonts w:ascii="Cambria" w:eastAsia="Cambria" w:hAnsi="Cambria" w:cstheme="minorHAnsi"/>
                <w:lang w:val="hr-HR"/>
              </w:rPr>
              <w:t>e-</w:t>
            </w:r>
            <w:r w:rsidRPr="00DF4CE5">
              <w:rPr>
                <w:rFonts w:ascii="Cambria" w:eastAsia="Cambria" w:hAnsi="Cambria" w:cstheme="minorHAnsi"/>
                <w:spacing w:val="-50"/>
                <w:lang w:val="hr-HR"/>
              </w:rPr>
              <w:t xml:space="preserve"> </w:t>
            </w:r>
            <w:r w:rsidRPr="00DF4CE5">
              <w:rPr>
                <w:rFonts w:ascii="Cambria" w:eastAsia="Cambria" w:hAnsi="Cambria" w:cstheme="minorHAnsi"/>
                <w:lang w:val="hr-HR"/>
              </w:rPr>
              <w:t>kolegiju.</w:t>
            </w:r>
          </w:p>
          <w:p w14:paraId="57C93234" w14:textId="77777777" w:rsidR="00E473D6" w:rsidRPr="00DF4CE5" w:rsidRDefault="00E473D6" w:rsidP="00E473D6">
            <w:pPr>
              <w:widowControl w:val="0"/>
              <w:autoSpaceDE w:val="0"/>
              <w:autoSpaceDN w:val="0"/>
              <w:spacing w:after="0" w:line="240" w:lineRule="auto"/>
              <w:ind w:left="273"/>
              <w:rPr>
                <w:rFonts w:ascii="Cambria" w:eastAsia="Cambria" w:hAnsi="Cambria" w:cstheme="minorHAnsi"/>
                <w:lang w:val="hr-HR"/>
              </w:rPr>
            </w:pPr>
            <w:r w:rsidRPr="00DF4CE5">
              <w:rPr>
                <w:rFonts w:ascii="Cambria" w:eastAsia="Cambria" w:hAnsi="Cambria" w:cstheme="minorHAnsi"/>
                <w:lang w:val="hr-HR"/>
              </w:rPr>
              <w:t>U slučaju održavanja nastave na daljinu, moguće je odstupanje u:</w:t>
            </w:r>
          </w:p>
          <w:p w14:paraId="5C97E7D4" w14:textId="77777777" w:rsidR="00E473D6" w:rsidRPr="00DF4CE5" w:rsidRDefault="00E473D6" w:rsidP="00E473D6">
            <w:pPr>
              <w:widowControl w:val="0"/>
              <w:autoSpaceDE w:val="0"/>
              <w:autoSpaceDN w:val="0"/>
              <w:spacing w:after="0" w:line="240" w:lineRule="auto"/>
              <w:ind w:left="273"/>
              <w:rPr>
                <w:rFonts w:ascii="Cambria" w:eastAsia="Cambria" w:hAnsi="Cambria" w:cstheme="minorHAnsi"/>
                <w:lang w:val="hr-HR"/>
              </w:rPr>
            </w:pPr>
            <w:r w:rsidRPr="00DF4CE5">
              <w:rPr>
                <w:rFonts w:ascii="Cambria" w:eastAsia="Cambria" w:hAnsi="Cambria" w:cstheme="minorHAnsi"/>
                <w:lang w:val="hr-HR"/>
              </w:rPr>
              <w:t>- mjestu izvođenja kolegija</w:t>
            </w:r>
          </w:p>
          <w:p w14:paraId="4AA5A248" w14:textId="77777777" w:rsidR="00E473D6" w:rsidRPr="00DF4CE5" w:rsidRDefault="00E473D6" w:rsidP="00E473D6">
            <w:pPr>
              <w:widowControl w:val="0"/>
              <w:autoSpaceDE w:val="0"/>
              <w:autoSpaceDN w:val="0"/>
              <w:spacing w:after="0" w:line="240" w:lineRule="auto"/>
              <w:ind w:left="273"/>
              <w:rPr>
                <w:rFonts w:ascii="Cambria" w:eastAsia="Cambria" w:hAnsi="Cambria" w:cstheme="minorHAnsi"/>
                <w:lang w:val="hr-HR"/>
              </w:rPr>
            </w:pPr>
            <w:r w:rsidRPr="00DF4CE5">
              <w:rPr>
                <w:rFonts w:ascii="Cambria" w:eastAsia="Cambria" w:hAnsi="Cambria" w:cstheme="minorHAnsi"/>
                <w:lang w:val="hr-HR"/>
              </w:rPr>
              <w:t>- provedbi aktivnosti, metodama tumačenja i poučavanja i načinima vrednovanja</w:t>
            </w:r>
          </w:p>
          <w:p w14:paraId="4F4F7E12" w14:textId="77777777" w:rsidR="00E473D6" w:rsidRPr="00DF4CE5" w:rsidRDefault="00E473D6" w:rsidP="00E473D6">
            <w:pPr>
              <w:widowControl w:val="0"/>
              <w:autoSpaceDE w:val="0"/>
              <w:autoSpaceDN w:val="0"/>
              <w:spacing w:after="0" w:line="240" w:lineRule="auto"/>
              <w:ind w:left="273"/>
              <w:rPr>
                <w:rFonts w:ascii="Cambria" w:eastAsia="Cambria" w:hAnsi="Cambria" w:cstheme="minorHAnsi"/>
                <w:lang w:val="it-IT"/>
              </w:rPr>
            </w:pPr>
            <w:r w:rsidRPr="00DF4CE5">
              <w:rPr>
                <w:rFonts w:ascii="Cambria" w:eastAsia="Cambria" w:hAnsi="Cambria" w:cstheme="minorHAnsi"/>
                <w:lang w:val="it-IT"/>
              </w:rPr>
              <w:t xml:space="preserve">- </w:t>
            </w:r>
            <w:proofErr w:type="spellStart"/>
            <w:r w:rsidRPr="00DF4CE5">
              <w:rPr>
                <w:rFonts w:ascii="Cambria" w:eastAsia="Cambria" w:hAnsi="Cambria" w:cstheme="minorHAnsi"/>
                <w:lang w:val="it-IT"/>
              </w:rPr>
              <w:t>studentskim</w:t>
            </w:r>
            <w:proofErr w:type="spellEnd"/>
            <w:r w:rsidRPr="00DF4CE5">
              <w:rPr>
                <w:rFonts w:ascii="Cambria" w:eastAsia="Cambria" w:hAnsi="Cambria" w:cstheme="minorHAnsi"/>
                <w:lang w:val="it-IT"/>
              </w:rPr>
              <w:t xml:space="preserve"> </w:t>
            </w:r>
            <w:proofErr w:type="spellStart"/>
            <w:r w:rsidRPr="00DF4CE5">
              <w:rPr>
                <w:rFonts w:ascii="Cambria" w:eastAsia="Cambria" w:hAnsi="Cambria" w:cstheme="minorHAnsi"/>
                <w:lang w:val="it-IT"/>
              </w:rPr>
              <w:t>obvezama</w:t>
            </w:r>
            <w:proofErr w:type="spellEnd"/>
          </w:p>
          <w:p w14:paraId="37A4512E" w14:textId="77777777" w:rsidR="00E473D6" w:rsidRPr="00DF4CE5" w:rsidRDefault="00E473D6" w:rsidP="00E473D6">
            <w:pPr>
              <w:widowControl w:val="0"/>
              <w:autoSpaceDE w:val="0"/>
              <w:autoSpaceDN w:val="0"/>
              <w:spacing w:after="0" w:line="240" w:lineRule="auto"/>
              <w:ind w:left="273"/>
              <w:rPr>
                <w:rFonts w:ascii="Cambria" w:eastAsia="Cambria" w:hAnsi="Cambria" w:cstheme="minorHAnsi"/>
                <w:lang w:val="it-IT"/>
              </w:rPr>
            </w:pPr>
            <w:r w:rsidRPr="00DF4CE5">
              <w:rPr>
                <w:rFonts w:ascii="Cambria" w:eastAsia="Cambria" w:hAnsi="Cambria" w:cstheme="minorHAnsi"/>
                <w:lang w:val="it-IT"/>
              </w:rPr>
              <w:t xml:space="preserve">- </w:t>
            </w:r>
            <w:proofErr w:type="spellStart"/>
            <w:r w:rsidRPr="00DF4CE5">
              <w:rPr>
                <w:rFonts w:ascii="Cambria" w:eastAsia="Cambria" w:hAnsi="Cambria" w:cstheme="minorHAnsi"/>
                <w:lang w:val="it-IT"/>
              </w:rPr>
              <w:t>dostupnoj</w:t>
            </w:r>
            <w:proofErr w:type="spellEnd"/>
            <w:r w:rsidRPr="00DF4CE5">
              <w:rPr>
                <w:rFonts w:ascii="Cambria" w:eastAsia="Cambria" w:hAnsi="Cambria" w:cstheme="minorHAnsi"/>
                <w:lang w:val="it-IT"/>
              </w:rPr>
              <w:t xml:space="preserve"> </w:t>
            </w:r>
            <w:proofErr w:type="spellStart"/>
            <w:r w:rsidRPr="00DF4CE5">
              <w:rPr>
                <w:rFonts w:ascii="Cambria" w:eastAsia="Cambria" w:hAnsi="Cambria" w:cstheme="minorHAnsi"/>
                <w:lang w:val="it-IT"/>
              </w:rPr>
              <w:t>literaturi</w:t>
            </w:r>
            <w:proofErr w:type="spellEnd"/>
            <w:r w:rsidRPr="00DF4CE5">
              <w:rPr>
                <w:rFonts w:ascii="Cambria" w:eastAsia="Cambria" w:hAnsi="Cambria" w:cstheme="minorHAnsi"/>
                <w:lang w:val="it-IT"/>
              </w:rPr>
              <w:t>.</w:t>
            </w:r>
          </w:p>
          <w:p w14:paraId="35CB26FB" w14:textId="592DB965" w:rsidR="00E473D6" w:rsidRPr="00DF4CE5" w:rsidRDefault="00E473D6" w:rsidP="00E473D6">
            <w:pPr>
              <w:widowControl w:val="0"/>
              <w:autoSpaceDE w:val="0"/>
              <w:autoSpaceDN w:val="0"/>
              <w:spacing w:after="0" w:line="240" w:lineRule="auto"/>
              <w:ind w:left="273"/>
              <w:rPr>
                <w:rFonts w:ascii="Cambria" w:eastAsia="Cambria" w:hAnsi="Cambria" w:cstheme="minorHAnsi"/>
                <w:lang w:val="it-IT"/>
              </w:rPr>
            </w:pPr>
            <w:r w:rsidRPr="00DF4CE5">
              <w:rPr>
                <w:rFonts w:ascii="Cambria" w:eastAsia="Cambria" w:hAnsi="Cambria" w:cstheme="minorHAnsi"/>
                <w:lang w:val="it-IT"/>
              </w:rPr>
              <w:t xml:space="preserve">O tome </w:t>
            </w:r>
            <w:proofErr w:type="spellStart"/>
            <w:r w:rsidRPr="00DF4CE5">
              <w:rPr>
                <w:rFonts w:ascii="Cambria" w:eastAsia="Cambria" w:hAnsi="Cambria" w:cstheme="minorHAnsi"/>
                <w:lang w:val="it-IT"/>
              </w:rPr>
              <w:t>će</w:t>
            </w:r>
            <w:proofErr w:type="spellEnd"/>
            <w:r w:rsidRPr="00DF4CE5">
              <w:rPr>
                <w:rFonts w:ascii="Cambria" w:eastAsia="Cambria" w:hAnsi="Cambria" w:cstheme="minorHAnsi"/>
                <w:lang w:val="it-IT"/>
              </w:rPr>
              <w:t xml:space="preserve"> </w:t>
            </w:r>
            <w:proofErr w:type="spellStart"/>
            <w:r w:rsidRPr="00DF4CE5">
              <w:rPr>
                <w:rFonts w:ascii="Cambria" w:eastAsia="Cambria" w:hAnsi="Cambria" w:cstheme="minorHAnsi"/>
                <w:lang w:val="it-IT"/>
              </w:rPr>
              <w:t>nositeljica</w:t>
            </w:r>
            <w:proofErr w:type="spellEnd"/>
            <w:r w:rsidRPr="00DF4CE5">
              <w:rPr>
                <w:rFonts w:ascii="Cambria" w:eastAsia="Cambria" w:hAnsi="Cambria" w:cstheme="minorHAnsi"/>
                <w:lang w:val="it-IT"/>
              </w:rPr>
              <w:t xml:space="preserve"> </w:t>
            </w:r>
            <w:proofErr w:type="spellStart"/>
            <w:r w:rsidRPr="00DF4CE5">
              <w:rPr>
                <w:rFonts w:ascii="Cambria" w:eastAsia="Cambria" w:hAnsi="Cambria" w:cstheme="minorHAnsi"/>
                <w:lang w:val="it-IT"/>
              </w:rPr>
              <w:t>kolegija</w:t>
            </w:r>
            <w:proofErr w:type="spellEnd"/>
            <w:r w:rsidRPr="00DF4CE5">
              <w:rPr>
                <w:rFonts w:ascii="Cambria" w:eastAsia="Cambria" w:hAnsi="Cambria" w:cstheme="minorHAnsi"/>
                <w:lang w:val="it-IT"/>
              </w:rPr>
              <w:t xml:space="preserve"> </w:t>
            </w:r>
            <w:proofErr w:type="spellStart"/>
            <w:r w:rsidRPr="00DF4CE5">
              <w:rPr>
                <w:rFonts w:ascii="Cambria" w:eastAsia="Cambria" w:hAnsi="Cambria" w:cstheme="minorHAnsi"/>
                <w:lang w:val="it-IT"/>
              </w:rPr>
              <w:t>obavijestiti</w:t>
            </w:r>
            <w:proofErr w:type="spellEnd"/>
            <w:r w:rsidRPr="00DF4CE5">
              <w:rPr>
                <w:rFonts w:ascii="Cambria" w:eastAsia="Cambria" w:hAnsi="Cambria" w:cstheme="minorHAnsi"/>
                <w:lang w:val="it-IT"/>
              </w:rPr>
              <w:t xml:space="preserve"> studente i </w:t>
            </w:r>
            <w:proofErr w:type="spellStart"/>
            <w:r w:rsidRPr="00DF4CE5">
              <w:rPr>
                <w:rFonts w:ascii="Cambria" w:eastAsia="Cambria" w:hAnsi="Cambria" w:cstheme="minorHAnsi"/>
                <w:lang w:val="it-IT"/>
              </w:rPr>
              <w:t>studentice</w:t>
            </w:r>
            <w:proofErr w:type="spellEnd"/>
            <w:r w:rsidRPr="00DF4CE5">
              <w:rPr>
                <w:rFonts w:ascii="Cambria" w:eastAsia="Cambria" w:hAnsi="Cambria" w:cstheme="minorHAnsi"/>
                <w:lang w:val="it-IT"/>
              </w:rPr>
              <w:t xml:space="preserve"> </w:t>
            </w:r>
            <w:proofErr w:type="spellStart"/>
            <w:r w:rsidRPr="00DF4CE5">
              <w:rPr>
                <w:rFonts w:ascii="Cambria" w:eastAsia="Cambria" w:hAnsi="Cambria" w:cstheme="minorHAnsi"/>
                <w:lang w:val="it-IT"/>
              </w:rPr>
              <w:t>kad</w:t>
            </w:r>
            <w:proofErr w:type="spellEnd"/>
            <w:r w:rsidRPr="00DF4CE5">
              <w:rPr>
                <w:rFonts w:ascii="Cambria" w:eastAsia="Cambria" w:hAnsi="Cambria" w:cstheme="minorHAnsi"/>
                <w:lang w:val="it-IT"/>
              </w:rPr>
              <w:t xml:space="preserve"> se </w:t>
            </w:r>
            <w:proofErr w:type="spellStart"/>
            <w:r w:rsidRPr="00DF4CE5">
              <w:rPr>
                <w:rFonts w:ascii="Cambria" w:eastAsia="Cambria" w:hAnsi="Cambria" w:cstheme="minorHAnsi"/>
                <w:lang w:val="it-IT"/>
              </w:rPr>
              <w:t>nastava</w:t>
            </w:r>
            <w:proofErr w:type="spellEnd"/>
            <w:r w:rsidRPr="00DF4CE5">
              <w:rPr>
                <w:rFonts w:ascii="Cambria" w:eastAsia="Cambria" w:hAnsi="Cambria" w:cstheme="minorHAnsi"/>
                <w:lang w:val="it-IT"/>
              </w:rPr>
              <w:t xml:space="preserve"> </w:t>
            </w:r>
            <w:proofErr w:type="spellStart"/>
            <w:r w:rsidRPr="00DF4CE5">
              <w:rPr>
                <w:rFonts w:ascii="Cambria" w:eastAsia="Cambria" w:hAnsi="Cambria" w:cstheme="minorHAnsi"/>
                <w:lang w:val="it-IT"/>
              </w:rPr>
              <w:t>na</w:t>
            </w:r>
            <w:proofErr w:type="spellEnd"/>
            <w:r w:rsidRPr="00DF4CE5">
              <w:rPr>
                <w:rFonts w:ascii="Cambria" w:eastAsia="Cambria" w:hAnsi="Cambria" w:cstheme="minorHAnsi"/>
                <w:lang w:val="it-IT"/>
              </w:rPr>
              <w:t xml:space="preserve"> </w:t>
            </w:r>
            <w:proofErr w:type="spellStart"/>
            <w:r w:rsidRPr="00DF4CE5">
              <w:rPr>
                <w:rFonts w:ascii="Cambria" w:eastAsia="Cambria" w:hAnsi="Cambria" w:cstheme="minorHAnsi"/>
                <w:lang w:val="it-IT"/>
              </w:rPr>
              <w:t>daljinu</w:t>
            </w:r>
            <w:proofErr w:type="spellEnd"/>
            <w:r w:rsidRPr="00DF4CE5">
              <w:rPr>
                <w:rFonts w:ascii="Cambria" w:eastAsia="Cambria" w:hAnsi="Cambria" w:cstheme="minorHAnsi"/>
                <w:lang w:val="it-IT"/>
              </w:rPr>
              <w:t xml:space="preserve"> </w:t>
            </w:r>
            <w:proofErr w:type="spellStart"/>
            <w:r w:rsidRPr="00DF4CE5">
              <w:rPr>
                <w:rFonts w:ascii="Cambria" w:eastAsia="Cambria" w:hAnsi="Cambria" w:cstheme="minorHAnsi"/>
                <w:lang w:val="it-IT"/>
              </w:rPr>
              <w:t>počne</w:t>
            </w:r>
            <w:proofErr w:type="spellEnd"/>
            <w:r w:rsidRPr="00DF4CE5">
              <w:rPr>
                <w:rFonts w:ascii="Cambria" w:eastAsia="Cambria" w:hAnsi="Cambria" w:cstheme="minorHAnsi"/>
                <w:lang w:val="it-IT"/>
              </w:rPr>
              <w:t xml:space="preserve"> </w:t>
            </w:r>
            <w:proofErr w:type="spellStart"/>
            <w:r w:rsidRPr="00DF4CE5">
              <w:rPr>
                <w:rFonts w:ascii="Cambria" w:eastAsia="Cambria" w:hAnsi="Cambria" w:cstheme="minorHAnsi"/>
                <w:lang w:val="it-IT"/>
              </w:rPr>
              <w:t>održavati</w:t>
            </w:r>
            <w:proofErr w:type="spellEnd"/>
            <w:r w:rsidRPr="00DF4CE5">
              <w:rPr>
                <w:rFonts w:ascii="Cambria" w:eastAsia="Cambria" w:hAnsi="Cambria" w:cstheme="minorHAnsi"/>
                <w:lang w:val="it-IT"/>
              </w:rPr>
              <w:t>.</w:t>
            </w:r>
          </w:p>
          <w:p w14:paraId="4DA339C8" w14:textId="77777777" w:rsidR="00E473D6" w:rsidRPr="00DF4CE5" w:rsidRDefault="00E473D6" w:rsidP="00E473D6">
            <w:pPr>
              <w:widowControl w:val="0"/>
              <w:autoSpaceDE w:val="0"/>
              <w:autoSpaceDN w:val="0"/>
              <w:spacing w:after="0" w:line="240" w:lineRule="auto"/>
              <w:ind w:left="273" w:right="219"/>
              <w:rPr>
                <w:rFonts w:ascii="Cambria" w:eastAsia="Cambria" w:hAnsi="Cambria" w:cstheme="minorHAnsi"/>
                <w:lang w:val="hr-HR"/>
              </w:rPr>
            </w:pPr>
            <w:r w:rsidRPr="00DF4CE5">
              <w:rPr>
                <w:rFonts w:ascii="Cambria" w:eastAsia="Cambria" w:hAnsi="Cambria" w:cstheme="minorHAnsi"/>
                <w:lang w:val="hr-HR"/>
              </w:rPr>
              <w:t>Ishodi učenja ostaju nepromijenjeni.</w:t>
            </w:r>
          </w:p>
        </w:tc>
      </w:tr>
      <w:tr w:rsidR="00E473D6" w:rsidRPr="00DF4CE5" w14:paraId="352C2B45" w14:textId="77777777" w:rsidTr="00DF4CE5">
        <w:trPr>
          <w:trHeight w:val="5208"/>
        </w:trPr>
        <w:tc>
          <w:tcPr>
            <w:tcW w:w="2554" w:type="dxa"/>
            <w:shd w:val="clear" w:color="auto" w:fill="F3F3F3"/>
          </w:tcPr>
          <w:p w14:paraId="553320FC" w14:textId="77777777" w:rsidR="00E473D6" w:rsidRPr="00DF4CE5" w:rsidRDefault="00E473D6" w:rsidP="00E473D6">
            <w:pPr>
              <w:widowControl w:val="0"/>
              <w:autoSpaceDE w:val="0"/>
              <w:autoSpaceDN w:val="0"/>
              <w:spacing w:after="0" w:line="240" w:lineRule="auto"/>
              <w:rPr>
                <w:rFonts w:ascii="Cambria" w:eastAsia="Cambria" w:hAnsi="Cambria" w:cstheme="minorHAnsi"/>
                <w:lang w:val="hr-HR"/>
              </w:rPr>
            </w:pPr>
          </w:p>
          <w:p w14:paraId="2585464E" w14:textId="77777777" w:rsidR="00E473D6" w:rsidRPr="00DF4CE5" w:rsidRDefault="00E473D6" w:rsidP="00E473D6">
            <w:pPr>
              <w:widowControl w:val="0"/>
              <w:autoSpaceDE w:val="0"/>
              <w:autoSpaceDN w:val="0"/>
              <w:spacing w:after="0" w:line="240" w:lineRule="auto"/>
              <w:rPr>
                <w:rFonts w:ascii="Cambria" w:eastAsia="Cambria" w:hAnsi="Cambria" w:cstheme="minorHAnsi"/>
                <w:lang w:val="hr-HR"/>
              </w:rPr>
            </w:pPr>
          </w:p>
          <w:p w14:paraId="04E6E140" w14:textId="77777777" w:rsidR="00E473D6" w:rsidRPr="00DF4CE5" w:rsidRDefault="00E473D6" w:rsidP="00E473D6">
            <w:pPr>
              <w:widowControl w:val="0"/>
              <w:autoSpaceDE w:val="0"/>
              <w:autoSpaceDN w:val="0"/>
              <w:spacing w:after="0" w:line="240" w:lineRule="auto"/>
              <w:rPr>
                <w:rFonts w:ascii="Cambria" w:eastAsia="Cambria" w:hAnsi="Cambria" w:cstheme="minorHAnsi"/>
                <w:lang w:val="hr-HR"/>
              </w:rPr>
            </w:pPr>
          </w:p>
          <w:p w14:paraId="285C0F98" w14:textId="77777777" w:rsidR="00E473D6" w:rsidRPr="00DF4CE5" w:rsidRDefault="00E473D6" w:rsidP="00E473D6">
            <w:pPr>
              <w:widowControl w:val="0"/>
              <w:autoSpaceDE w:val="0"/>
              <w:autoSpaceDN w:val="0"/>
              <w:spacing w:after="0" w:line="240" w:lineRule="auto"/>
              <w:rPr>
                <w:rFonts w:ascii="Cambria" w:eastAsia="Cambria" w:hAnsi="Cambria" w:cstheme="minorHAnsi"/>
                <w:lang w:val="hr-HR"/>
              </w:rPr>
            </w:pPr>
          </w:p>
          <w:p w14:paraId="6ECF0EA9" w14:textId="77777777" w:rsidR="00E473D6" w:rsidRPr="00DF4CE5" w:rsidRDefault="00E473D6" w:rsidP="00E473D6">
            <w:pPr>
              <w:widowControl w:val="0"/>
              <w:autoSpaceDE w:val="0"/>
              <w:autoSpaceDN w:val="0"/>
              <w:spacing w:after="0" w:line="240" w:lineRule="auto"/>
              <w:rPr>
                <w:rFonts w:ascii="Cambria" w:eastAsia="Cambria" w:hAnsi="Cambria" w:cstheme="minorHAnsi"/>
                <w:lang w:val="hr-HR"/>
              </w:rPr>
            </w:pPr>
          </w:p>
          <w:p w14:paraId="18725E6F" w14:textId="77777777" w:rsidR="00E473D6" w:rsidRPr="00DF4CE5" w:rsidRDefault="00E473D6" w:rsidP="00E473D6">
            <w:pPr>
              <w:widowControl w:val="0"/>
              <w:autoSpaceDE w:val="0"/>
              <w:autoSpaceDN w:val="0"/>
              <w:spacing w:after="0" w:line="240" w:lineRule="auto"/>
              <w:rPr>
                <w:rFonts w:ascii="Cambria" w:eastAsia="Cambria" w:hAnsi="Cambria" w:cstheme="minorHAnsi"/>
                <w:lang w:val="hr-HR"/>
              </w:rPr>
            </w:pPr>
          </w:p>
          <w:p w14:paraId="769D97AC" w14:textId="77777777" w:rsidR="00E473D6" w:rsidRPr="00DF4CE5" w:rsidRDefault="00E473D6" w:rsidP="00E473D6">
            <w:pPr>
              <w:widowControl w:val="0"/>
              <w:autoSpaceDE w:val="0"/>
              <w:autoSpaceDN w:val="0"/>
              <w:spacing w:after="0" w:line="240" w:lineRule="auto"/>
              <w:rPr>
                <w:rFonts w:ascii="Cambria" w:eastAsia="Cambria" w:hAnsi="Cambria" w:cstheme="minorHAnsi"/>
                <w:lang w:val="hr-HR"/>
              </w:rPr>
            </w:pPr>
          </w:p>
          <w:p w14:paraId="16D0890A" w14:textId="77777777" w:rsidR="00E473D6" w:rsidRPr="00DF4CE5" w:rsidRDefault="00E473D6" w:rsidP="00E473D6">
            <w:pPr>
              <w:widowControl w:val="0"/>
              <w:autoSpaceDE w:val="0"/>
              <w:autoSpaceDN w:val="0"/>
              <w:spacing w:after="0" w:line="240" w:lineRule="auto"/>
              <w:ind w:left="143"/>
              <w:rPr>
                <w:rFonts w:ascii="Cambria" w:eastAsia="Cambria" w:hAnsi="Cambria" w:cstheme="minorHAnsi"/>
                <w:lang w:val="hr-HR"/>
              </w:rPr>
            </w:pPr>
            <w:r w:rsidRPr="00DF4CE5">
              <w:rPr>
                <w:rFonts w:ascii="Cambria" w:eastAsia="Cambria" w:hAnsi="Cambria" w:cstheme="minorHAnsi"/>
                <w:lang w:val="hr-HR"/>
              </w:rPr>
              <w:t>Literatura</w:t>
            </w:r>
          </w:p>
        </w:tc>
        <w:tc>
          <w:tcPr>
            <w:tcW w:w="7086" w:type="dxa"/>
            <w:gridSpan w:val="7"/>
          </w:tcPr>
          <w:p w14:paraId="5925F94E" w14:textId="77777777" w:rsidR="00E473D6" w:rsidRPr="00DF4CE5" w:rsidRDefault="00E473D6" w:rsidP="00E473D6">
            <w:pPr>
              <w:widowControl w:val="0"/>
              <w:autoSpaceDE w:val="0"/>
              <w:autoSpaceDN w:val="0"/>
              <w:spacing w:after="0" w:line="240" w:lineRule="auto"/>
              <w:ind w:left="143"/>
              <w:rPr>
                <w:rFonts w:ascii="Cambria" w:eastAsia="Cambria" w:hAnsi="Cambria" w:cstheme="minorHAnsi"/>
                <w:lang w:val="hr-HR"/>
              </w:rPr>
            </w:pPr>
            <w:r w:rsidRPr="00DF4CE5">
              <w:rPr>
                <w:rFonts w:ascii="Cambria" w:eastAsia="Cambria" w:hAnsi="Cambria" w:cstheme="minorHAnsi"/>
                <w:lang w:val="hr-HR"/>
              </w:rPr>
              <w:t>Obvezna:</w:t>
            </w:r>
          </w:p>
          <w:p w14:paraId="20DA19C7" w14:textId="77777777" w:rsidR="00E473D6" w:rsidRPr="00DF4CE5" w:rsidRDefault="00E473D6" w:rsidP="00A034E3">
            <w:pPr>
              <w:widowControl w:val="0"/>
              <w:numPr>
                <w:ilvl w:val="0"/>
                <w:numId w:val="90"/>
              </w:numPr>
              <w:tabs>
                <w:tab w:val="left" w:pos="504"/>
              </w:tabs>
              <w:autoSpaceDE w:val="0"/>
              <w:autoSpaceDN w:val="0"/>
              <w:spacing w:after="0" w:line="240" w:lineRule="auto"/>
              <w:rPr>
                <w:rFonts w:ascii="Cambria" w:eastAsia="Cambria" w:hAnsi="Cambria" w:cstheme="minorHAnsi"/>
                <w:lang w:val="hr-HR"/>
              </w:rPr>
            </w:pPr>
            <w:proofErr w:type="spellStart"/>
            <w:r w:rsidRPr="00DF4CE5">
              <w:rPr>
                <w:rFonts w:ascii="Cambria" w:eastAsia="Cambria" w:hAnsi="Cambria" w:cstheme="minorHAnsi"/>
                <w:color w:val="333333"/>
                <w:lang w:val="hr-HR"/>
              </w:rPr>
              <w:t>Bruner</w:t>
            </w:r>
            <w:proofErr w:type="spellEnd"/>
            <w:r w:rsidRPr="00DF4CE5">
              <w:rPr>
                <w:rFonts w:ascii="Cambria" w:eastAsia="Cambria" w:hAnsi="Cambria" w:cstheme="minorHAnsi"/>
                <w:color w:val="333333"/>
                <w:lang w:val="hr-HR"/>
              </w:rPr>
              <w:t>,</w:t>
            </w:r>
            <w:r w:rsidRPr="00DF4CE5">
              <w:rPr>
                <w:rFonts w:ascii="Cambria" w:eastAsia="Cambria" w:hAnsi="Cambria" w:cstheme="minorHAnsi"/>
                <w:color w:val="333333"/>
                <w:spacing w:val="-4"/>
                <w:lang w:val="hr-HR"/>
              </w:rPr>
              <w:t xml:space="preserve"> </w:t>
            </w:r>
            <w:r w:rsidRPr="00DF4CE5">
              <w:rPr>
                <w:rFonts w:ascii="Cambria" w:eastAsia="Cambria" w:hAnsi="Cambria" w:cstheme="minorHAnsi"/>
                <w:color w:val="333333"/>
                <w:lang w:val="hr-HR"/>
              </w:rPr>
              <w:t>J.</w:t>
            </w:r>
            <w:r w:rsidRPr="00DF4CE5">
              <w:rPr>
                <w:rFonts w:ascii="Cambria" w:eastAsia="Cambria" w:hAnsi="Cambria" w:cstheme="minorHAnsi"/>
                <w:color w:val="333333"/>
                <w:spacing w:val="-3"/>
                <w:lang w:val="hr-HR"/>
              </w:rPr>
              <w:t xml:space="preserve"> </w:t>
            </w:r>
            <w:r w:rsidRPr="00DF4CE5">
              <w:rPr>
                <w:rFonts w:ascii="Cambria" w:eastAsia="Cambria" w:hAnsi="Cambria" w:cstheme="minorHAnsi"/>
                <w:color w:val="333333"/>
                <w:lang w:val="hr-HR"/>
              </w:rPr>
              <w:t>(2000).</w:t>
            </w:r>
            <w:r w:rsidRPr="00DF4CE5">
              <w:rPr>
                <w:rFonts w:ascii="Cambria" w:eastAsia="Cambria" w:hAnsi="Cambria" w:cstheme="minorHAnsi"/>
                <w:color w:val="333333"/>
                <w:spacing w:val="-4"/>
                <w:lang w:val="hr-HR"/>
              </w:rPr>
              <w:t xml:space="preserve"> </w:t>
            </w:r>
            <w:r w:rsidRPr="00DF4CE5">
              <w:rPr>
                <w:rFonts w:ascii="Cambria" w:eastAsia="Cambria" w:hAnsi="Cambria" w:cstheme="minorHAnsi"/>
                <w:color w:val="333333"/>
                <w:lang w:val="hr-HR"/>
              </w:rPr>
              <w:t>Kultura</w:t>
            </w:r>
            <w:r w:rsidRPr="00DF4CE5">
              <w:rPr>
                <w:rFonts w:ascii="Cambria" w:eastAsia="Cambria" w:hAnsi="Cambria" w:cstheme="minorHAnsi"/>
                <w:color w:val="333333"/>
                <w:spacing w:val="-5"/>
                <w:lang w:val="hr-HR"/>
              </w:rPr>
              <w:t xml:space="preserve"> </w:t>
            </w:r>
            <w:r w:rsidRPr="00DF4CE5">
              <w:rPr>
                <w:rFonts w:ascii="Cambria" w:eastAsia="Cambria" w:hAnsi="Cambria" w:cstheme="minorHAnsi"/>
                <w:color w:val="333333"/>
                <w:lang w:val="hr-HR"/>
              </w:rPr>
              <w:t>obrazovanja.</w:t>
            </w:r>
            <w:r w:rsidRPr="00DF4CE5">
              <w:rPr>
                <w:rFonts w:ascii="Cambria" w:eastAsia="Cambria" w:hAnsi="Cambria" w:cstheme="minorHAnsi"/>
                <w:color w:val="333333"/>
                <w:spacing w:val="-3"/>
                <w:lang w:val="hr-HR"/>
              </w:rPr>
              <w:t xml:space="preserve"> </w:t>
            </w:r>
            <w:r w:rsidRPr="00DF4CE5">
              <w:rPr>
                <w:rFonts w:ascii="Cambria" w:eastAsia="Cambria" w:hAnsi="Cambria" w:cstheme="minorHAnsi"/>
                <w:color w:val="333333"/>
                <w:lang w:val="hr-HR"/>
              </w:rPr>
              <w:t>Zagreb:</w:t>
            </w:r>
            <w:r w:rsidRPr="00DF4CE5">
              <w:rPr>
                <w:rFonts w:ascii="Cambria" w:eastAsia="Cambria" w:hAnsi="Cambria" w:cstheme="minorHAnsi"/>
                <w:color w:val="333333"/>
                <w:spacing w:val="-5"/>
                <w:lang w:val="hr-HR"/>
              </w:rPr>
              <w:t xml:space="preserve"> </w:t>
            </w:r>
            <w:r w:rsidRPr="00DF4CE5">
              <w:rPr>
                <w:rFonts w:ascii="Cambria" w:eastAsia="Cambria" w:hAnsi="Cambria" w:cstheme="minorHAnsi"/>
                <w:color w:val="333333"/>
                <w:lang w:val="hr-HR"/>
              </w:rPr>
              <w:t>Educa.</w:t>
            </w:r>
          </w:p>
          <w:p w14:paraId="6A1BA51B" w14:textId="77777777" w:rsidR="00E473D6" w:rsidRPr="00DF4CE5" w:rsidRDefault="00E473D6" w:rsidP="00A034E3">
            <w:pPr>
              <w:widowControl w:val="0"/>
              <w:numPr>
                <w:ilvl w:val="0"/>
                <w:numId w:val="90"/>
              </w:numPr>
              <w:tabs>
                <w:tab w:val="left" w:pos="504"/>
              </w:tabs>
              <w:autoSpaceDE w:val="0"/>
              <w:autoSpaceDN w:val="0"/>
              <w:spacing w:after="0" w:line="240" w:lineRule="auto"/>
              <w:ind w:right="669"/>
              <w:rPr>
                <w:rFonts w:ascii="Cambria" w:eastAsia="Cambria" w:hAnsi="Cambria" w:cstheme="minorHAnsi"/>
                <w:lang w:val="hr-HR"/>
              </w:rPr>
            </w:pPr>
            <w:proofErr w:type="spellStart"/>
            <w:r w:rsidRPr="00DF4CE5">
              <w:rPr>
                <w:rFonts w:ascii="Cambria" w:eastAsia="Cambria" w:hAnsi="Cambria" w:cstheme="minorHAnsi"/>
                <w:color w:val="333333"/>
                <w:lang w:val="hr-HR"/>
              </w:rPr>
              <w:t>Hollins</w:t>
            </w:r>
            <w:proofErr w:type="spellEnd"/>
            <w:r w:rsidRPr="00DF4CE5">
              <w:rPr>
                <w:rFonts w:ascii="Cambria" w:eastAsia="Cambria" w:hAnsi="Cambria" w:cstheme="minorHAnsi"/>
                <w:color w:val="333333"/>
                <w:lang w:val="hr-HR"/>
              </w:rPr>
              <w:t>,</w:t>
            </w:r>
            <w:r w:rsidRPr="00DF4CE5">
              <w:rPr>
                <w:rFonts w:ascii="Cambria" w:eastAsia="Cambria" w:hAnsi="Cambria" w:cstheme="minorHAnsi"/>
                <w:color w:val="333333"/>
                <w:spacing w:val="-3"/>
                <w:lang w:val="hr-HR"/>
              </w:rPr>
              <w:t xml:space="preserve"> </w:t>
            </w:r>
            <w:r w:rsidRPr="00DF4CE5">
              <w:rPr>
                <w:rFonts w:ascii="Cambria" w:eastAsia="Cambria" w:hAnsi="Cambria" w:cstheme="minorHAnsi"/>
                <w:color w:val="333333"/>
                <w:lang w:val="hr-HR"/>
              </w:rPr>
              <w:t>E.R.</w:t>
            </w:r>
            <w:r w:rsidRPr="00DF4CE5">
              <w:rPr>
                <w:rFonts w:ascii="Cambria" w:eastAsia="Cambria" w:hAnsi="Cambria" w:cstheme="minorHAnsi"/>
                <w:color w:val="333333"/>
                <w:spacing w:val="-3"/>
                <w:lang w:val="hr-HR"/>
              </w:rPr>
              <w:t xml:space="preserve"> </w:t>
            </w:r>
            <w:r w:rsidRPr="00DF4CE5">
              <w:rPr>
                <w:rFonts w:ascii="Cambria" w:eastAsia="Cambria" w:hAnsi="Cambria" w:cstheme="minorHAnsi"/>
                <w:color w:val="333333"/>
                <w:lang w:val="hr-HR"/>
              </w:rPr>
              <w:t>(2009).</w:t>
            </w:r>
            <w:r w:rsidRPr="00DF4CE5">
              <w:rPr>
                <w:rFonts w:ascii="Cambria" w:eastAsia="Cambria" w:hAnsi="Cambria" w:cstheme="minorHAnsi"/>
                <w:color w:val="333333"/>
                <w:spacing w:val="-3"/>
                <w:lang w:val="hr-HR"/>
              </w:rPr>
              <w:t xml:space="preserve"> </w:t>
            </w:r>
            <w:proofErr w:type="spellStart"/>
            <w:r w:rsidRPr="00DF4CE5">
              <w:rPr>
                <w:rFonts w:ascii="Cambria" w:eastAsia="Cambria" w:hAnsi="Cambria" w:cstheme="minorHAnsi"/>
                <w:color w:val="333333"/>
                <w:lang w:val="hr-HR"/>
              </w:rPr>
              <w:t>Culture</w:t>
            </w:r>
            <w:proofErr w:type="spellEnd"/>
            <w:r w:rsidRPr="00DF4CE5">
              <w:rPr>
                <w:rFonts w:ascii="Cambria" w:eastAsia="Cambria" w:hAnsi="Cambria" w:cstheme="minorHAnsi"/>
                <w:color w:val="333333"/>
                <w:spacing w:val="-2"/>
                <w:lang w:val="hr-HR"/>
              </w:rPr>
              <w:t xml:space="preserve"> </w:t>
            </w:r>
            <w:proofErr w:type="spellStart"/>
            <w:r w:rsidRPr="00DF4CE5">
              <w:rPr>
                <w:rFonts w:ascii="Cambria" w:eastAsia="Cambria" w:hAnsi="Cambria" w:cstheme="minorHAnsi"/>
                <w:color w:val="333333"/>
                <w:lang w:val="hr-HR"/>
              </w:rPr>
              <w:t>in</w:t>
            </w:r>
            <w:proofErr w:type="spellEnd"/>
            <w:r w:rsidRPr="00DF4CE5">
              <w:rPr>
                <w:rFonts w:ascii="Cambria" w:eastAsia="Cambria" w:hAnsi="Cambria" w:cstheme="minorHAnsi"/>
                <w:color w:val="333333"/>
                <w:spacing w:val="-4"/>
                <w:lang w:val="hr-HR"/>
              </w:rPr>
              <w:t xml:space="preserve"> </w:t>
            </w:r>
            <w:proofErr w:type="spellStart"/>
            <w:r w:rsidRPr="00DF4CE5">
              <w:rPr>
                <w:rFonts w:ascii="Cambria" w:eastAsia="Cambria" w:hAnsi="Cambria" w:cstheme="minorHAnsi"/>
                <w:color w:val="333333"/>
                <w:lang w:val="hr-HR"/>
              </w:rPr>
              <w:t>school</w:t>
            </w:r>
            <w:proofErr w:type="spellEnd"/>
            <w:r w:rsidRPr="00DF4CE5">
              <w:rPr>
                <w:rFonts w:ascii="Cambria" w:eastAsia="Cambria" w:hAnsi="Cambria" w:cstheme="minorHAnsi"/>
                <w:color w:val="333333"/>
                <w:spacing w:val="-4"/>
                <w:lang w:val="hr-HR"/>
              </w:rPr>
              <w:t xml:space="preserve"> </w:t>
            </w:r>
            <w:proofErr w:type="spellStart"/>
            <w:r w:rsidRPr="00DF4CE5">
              <w:rPr>
                <w:rFonts w:ascii="Cambria" w:eastAsia="Cambria" w:hAnsi="Cambria" w:cstheme="minorHAnsi"/>
                <w:color w:val="333333"/>
                <w:lang w:val="hr-HR"/>
              </w:rPr>
              <w:t>learning</w:t>
            </w:r>
            <w:proofErr w:type="spellEnd"/>
            <w:r w:rsidRPr="00DF4CE5">
              <w:rPr>
                <w:rFonts w:ascii="Cambria" w:eastAsia="Cambria" w:hAnsi="Cambria" w:cstheme="minorHAnsi"/>
                <w:color w:val="333333"/>
                <w:lang w:val="hr-HR"/>
              </w:rPr>
              <w:t>.</w:t>
            </w:r>
            <w:r w:rsidRPr="00DF4CE5">
              <w:rPr>
                <w:rFonts w:ascii="Cambria" w:eastAsia="Cambria" w:hAnsi="Cambria" w:cstheme="minorHAnsi"/>
                <w:color w:val="333333"/>
                <w:spacing w:val="-2"/>
                <w:lang w:val="hr-HR"/>
              </w:rPr>
              <w:t xml:space="preserve"> </w:t>
            </w:r>
            <w:r w:rsidRPr="00DF4CE5">
              <w:rPr>
                <w:rFonts w:ascii="Cambria" w:eastAsia="Cambria" w:hAnsi="Cambria" w:cstheme="minorHAnsi"/>
                <w:color w:val="333333"/>
                <w:lang w:val="hr-HR"/>
              </w:rPr>
              <w:t>New</w:t>
            </w:r>
            <w:r w:rsidRPr="00DF4CE5">
              <w:rPr>
                <w:rFonts w:ascii="Cambria" w:eastAsia="Cambria" w:hAnsi="Cambria" w:cstheme="minorHAnsi"/>
                <w:color w:val="333333"/>
                <w:spacing w:val="-4"/>
                <w:lang w:val="hr-HR"/>
              </w:rPr>
              <w:t xml:space="preserve"> </w:t>
            </w:r>
            <w:r w:rsidRPr="00DF4CE5">
              <w:rPr>
                <w:rFonts w:ascii="Cambria" w:eastAsia="Cambria" w:hAnsi="Cambria" w:cstheme="minorHAnsi"/>
                <w:color w:val="333333"/>
                <w:lang w:val="hr-HR"/>
              </w:rPr>
              <w:t>York:</w:t>
            </w:r>
            <w:r w:rsidRPr="00DF4CE5">
              <w:rPr>
                <w:rFonts w:ascii="Cambria" w:eastAsia="Cambria" w:hAnsi="Cambria" w:cstheme="minorHAnsi"/>
                <w:color w:val="333333"/>
                <w:spacing w:val="-50"/>
                <w:lang w:val="hr-HR"/>
              </w:rPr>
              <w:t xml:space="preserve"> </w:t>
            </w:r>
            <w:proofErr w:type="spellStart"/>
            <w:r w:rsidRPr="00DF4CE5">
              <w:rPr>
                <w:rFonts w:ascii="Cambria" w:eastAsia="Cambria" w:hAnsi="Cambria" w:cstheme="minorHAnsi"/>
                <w:color w:val="333333"/>
                <w:lang w:val="hr-HR"/>
              </w:rPr>
              <w:t>Routledge</w:t>
            </w:r>
            <w:proofErr w:type="spellEnd"/>
            <w:r w:rsidRPr="00DF4CE5">
              <w:rPr>
                <w:rFonts w:ascii="Cambria" w:eastAsia="Cambria" w:hAnsi="Cambria" w:cstheme="minorHAnsi"/>
                <w:color w:val="333333"/>
                <w:lang w:val="hr-HR"/>
              </w:rPr>
              <w:t>.</w:t>
            </w:r>
          </w:p>
          <w:p w14:paraId="4199F764" w14:textId="77777777" w:rsidR="00E473D6" w:rsidRPr="00DF4CE5" w:rsidRDefault="00E473D6" w:rsidP="00A034E3">
            <w:pPr>
              <w:widowControl w:val="0"/>
              <w:numPr>
                <w:ilvl w:val="0"/>
                <w:numId w:val="90"/>
              </w:numPr>
              <w:tabs>
                <w:tab w:val="left" w:pos="425"/>
              </w:tabs>
              <w:autoSpaceDE w:val="0"/>
              <w:autoSpaceDN w:val="0"/>
              <w:spacing w:after="0" w:line="240" w:lineRule="auto"/>
              <w:ind w:right="132"/>
              <w:jc w:val="both"/>
              <w:rPr>
                <w:rFonts w:ascii="Cambria" w:eastAsia="Cambria" w:hAnsi="Cambria" w:cstheme="minorHAnsi"/>
                <w:lang w:val="hr-HR"/>
              </w:rPr>
            </w:pPr>
            <w:r w:rsidRPr="00DF4CE5">
              <w:rPr>
                <w:rFonts w:ascii="Cambria" w:eastAsia="Cambria" w:hAnsi="Cambria" w:cstheme="minorHAnsi"/>
                <w:lang w:val="hr-HR"/>
              </w:rPr>
              <w:t xml:space="preserve">  Jakovac, T., </w:t>
            </w:r>
            <w:proofErr w:type="spellStart"/>
            <w:r w:rsidRPr="00DF4CE5">
              <w:rPr>
                <w:rFonts w:ascii="Cambria" w:eastAsia="Cambria" w:hAnsi="Cambria" w:cstheme="minorHAnsi"/>
                <w:lang w:val="hr-HR"/>
              </w:rPr>
              <w:t>Petelin</w:t>
            </w:r>
            <w:proofErr w:type="spellEnd"/>
            <w:r w:rsidRPr="00DF4CE5">
              <w:rPr>
                <w:rFonts w:ascii="Cambria" w:eastAsia="Cambria" w:hAnsi="Cambria" w:cstheme="minorHAnsi"/>
                <w:lang w:val="hr-HR"/>
              </w:rPr>
              <w:t xml:space="preserve">, K., </w:t>
            </w:r>
            <w:proofErr w:type="spellStart"/>
            <w:r w:rsidRPr="00DF4CE5">
              <w:rPr>
                <w:rFonts w:ascii="Cambria" w:eastAsia="Cambria" w:hAnsi="Cambria" w:cstheme="minorHAnsi"/>
                <w:lang w:val="hr-HR"/>
              </w:rPr>
              <w:t>Možgon</w:t>
            </w:r>
            <w:proofErr w:type="spellEnd"/>
            <w:r w:rsidRPr="00DF4CE5">
              <w:rPr>
                <w:rFonts w:ascii="Cambria" w:eastAsia="Cambria" w:hAnsi="Cambria" w:cstheme="minorHAnsi"/>
                <w:lang w:val="hr-HR"/>
              </w:rPr>
              <w:t xml:space="preserve"> </w:t>
            </w:r>
            <w:proofErr w:type="spellStart"/>
            <w:r w:rsidRPr="00DF4CE5">
              <w:rPr>
                <w:rFonts w:ascii="Cambria" w:eastAsia="Cambria" w:hAnsi="Cambria" w:cstheme="minorHAnsi"/>
                <w:lang w:val="hr-HR"/>
              </w:rPr>
              <w:t>Kauzlarić</w:t>
            </w:r>
            <w:proofErr w:type="spellEnd"/>
            <w:r w:rsidRPr="00DF4CE5">
              <w:rPr>
                <w:rFonts w:ascii="Cambria" w:eastAsia="Cambria" w:hAnsi="Cambria" w:cstheme="minorHAnsi"/>
                <w:lang w:val="hr-HR"/>
              </w:rPr>
              <w:t xml:space="preserve">, N., </w:t>
            </w:r>
            <w:proofErr w:type="spellStart"/>
            <w:r w:rsidRPr="00DF4CE5">
              <w:rPr>
                <w:rFonts w:ascii="Cambria" w:eastAsia="Cambria" w:hAnsi="Cambria" w:cstheme="minorHAnsi"/>
                <w:lang w:val="hr-HR"/>
              </w:rPr>
              <w:t>Šimičić</w:t>
            </w:r>
            <w:proofErr w:type="spellEnd"/>
            <w:r w:rsidRPr="00DF4CE5">
              <w:rPr>
                <w:rFonts w:ascii="Cambria" w:eastAsia="Cambria" w:hAnsi="Cambria" w:cstheme="minorHAnsi"/>
                <w:lang w:val="hr-HR"/>
              </w:rPr>
              <w:t>, I., Bajt</w:t>
            </w:r>
            <w:r w:rsidRPr="00DF4CE5">
              <w:rPr>
                <w:rFonts w:ascii="Cambria" w:eastAsia="Cambria" w:hAnsi="Cambria" w:cstheme="minorHAnsi"/>
                <w:spacing w:val="1"/>
                <w:lang w:val="hr-HR"/>
              </w:rPr>
              <w:t xml:space="preserve"> </w:t>
            </w:r>
            <w:proofErr w:type="spellStart"/>
            <w:r w:rsidRPr="00DF4CE5">
              <w:rPr>
                <w:rFonts w:ascii="Cambria" w:eastAsia="Cambria" w:hAnsi="Cambria" w:cstheme="minorHAnsi"/>
                <w:lang w:val="hr-HR"/>
              </w:rPr>
              <w:t>Stepić</w:t>
            </w:r>
            <w:proofErr w:type="spellEnd"/>
            <w:r w:rsidRPr="00DF4CE5">
              <w:rPr>
                <w:rFonts w:ascii="Cambria" w:eastAsia="Cambria" w:hAnsi="Cambria" w:cstheme="minorHAnsi"/>
                <w:lang w:val="hr-HR"/>
              </w:rPr>
              <w:t>,</w:t>
            </w:r>
            <w:r w:rsidRPr="00DF4CE5">
              <w:rPr>
                <w:rFonts w:ascii="Cambria" w:eastAsia="Cambria" w:hAnsi="Cambria" w:cstheme="minorHAnsi"/>
                <w:spacing w:val="7"/>
                <w:lang w:val="hr-HR"/>
              </w:rPr>
              <w:t xml:space="preserve"> </w:t>
            </w:r>
            <w:r w:rsidRPr="00DF4CE5">
              <w:rPr>
                <w:rFonts w:ascii="Cambria" w:eastAsia="Cambria" w:hAnsi="Cambria" w:cstheme="minorHAnsi"/>
                <w:lang w:val="hr-HR"/>
              </w:rPr>
              <w:t>M.</w:t>
            </w:r>
            <w:r w:rsidRPr="00DF4CE5">
              <w:rPr>
                <w:rFonts w:ascii="Cambria" w:eastAsia="Cambria" w:hAnsi="Cambria" w:cstheme="minorHAnsi"/>
                <w:spacing w:val="7"/>
                <w:lang w:val="hr-HR"/>
              </w:rPr>
              <w:t xml:space="preserve"> </w:t>
            </w:r>
            <w:r w:rsidRPr="00DF4CE5">
              <w:rPr>
                <w:rFonts w:ascii="Cambria" w:eastAsia="Cambria" w:hAnsi="Cambria" w:cstheme="minorHAnsi"/>
                <w:lang w:val="hr-HR"/>
              </w:rPr>
              <w:t>(2014).</w:t>
            </w:r>
            <w:r w:rsidRPr="00DF4CE5">
              <w:rPr>
                <w:rFonts w:ascii="Cambria" w:eastAsia="Cambria" w:hAnsi="Cambria" w:cstheme="minorHAnsi"/>
                <w:spacing w:val="7"/>
                <w:lang w:val="hr-HR"/>
              </w:rPr>
              <w:t xml:space="preserve"> </w:t>
            </w:r>
            <w:r w:rsidRPr="00DF4CE5">
              <w:rPr>
                <w:rFonts w:ascii="Cambria" w:eastAsia="Cambria" w:hAnsi="Cambria" w:cstheme="minorHAnsi"/>
                <w:lang w:val="hr-HR"/>
              </w:rPr>
              <w:t>Priručnik</w:t>
            </w:r>
            <w:r w:rsidRPr="00DF4CE5">
              <w:rPr>
                <w:rFonts w:ascii="Cambria" w:eastAsia="Cambria" w:hAnsi="Cambria" w:cstheme="minorHAnsi"/>
                <w:spacing w:val="7"/>
                <w:lang w:val="hr-HR"/>
              </w:rPr>
              <w:t xml:space="preserve"> </w:t>
            </w:r>
            <w:r w:rsidRPr="00DF4CE5">
              <w:rPr>
                <w:rFonts w:ascii="Cambria" w:eastAsia="Cambria" w:hAnsi="Cambria" w:cstheme="minorHAnsi"/>
                <w:lang w:val="hr-HR"/>
              </w:rPr>
              <w:t>pedagoške</w:t>
            </w:r>
            <w:r w:rsidRPr="00DF4CE5">
              <w:rPr>
                <w:rFonts w:ascii="Cambria" w:eastAsia="Cambria" w:hAnsi="Cambria" w:cstheme="minorHAnsi"/>
                <w:spacing w:val="9"/>
                <w:lang w:val="hr-HR"/>
              </w:rPr>
              <w:t xml:space="preserve"> </w:t>
            </w:r>
            <w:r w:rsidRPr="00DF4CE5">
              <w:rPr>
                <w:rFonts w:ascii="Cambria" w:eastAsia="Cambria" w:hAnsi="Cambria" w:cstheme="minorHAnsi"/>
                <w:lang w:val="hr-HR"/>
              </w:rPr>
              <w:t>dokumentacije:</w:t>
            </w:r>
            <w:r w:rsidRPr="00DF4CE5">
              <w:rPr>
                <w:rFonts w:ascii="Cambria" w:eastAsia="Cambria" w:hAnsi="Cambria" w:cstheme="minorHAnsi"/>
                <w:spacing w:val="5"/>
                <w:lang w:val="hr-HR"/>
              </w:rPr>
              <w:t xml:space="preserve"> </w:t>
            </w:r>
            <w:r w:rsidRPr="00DF4CE5">
              <w:rPr>
                <w:rFonts w:ascii="Cambria" w:eastAsia="Cambria" w:hAnsi="Cambria" w:cstheme="minorHAnsi"/>
                <w:lang w:val="hr-HR"/>
              </w:rPr>
              <w:t>za</w:t>
            </w:r>
            <w:r w:rsidRPr="00DF4CE5">
              <w:rPr>
                <w:rFonts w:ascii="Cambria" w:eastAsia="Cambria" w:hAnsi="Cambria" w:cstheme="minorHAnsi"/>
                <w:spacing w:val="7"/>
                <w:lang w:val="hr-HR"/>
              </w:rPr>
              <w:t xml:space="preserve"> </w:t>
            </w:r>
            <w:r w:rsidRPr="00DF4CE5">
              <w:rPr>
                <w:rFonts w:ascii="Cambria" w:eastAsia="Cambria" w:hAnsi="Cambria" w:cstheme="minorHAnsi"/>
                <w:lang w:val="hr-HR"/>
              </w:rPr>
              <w:t>učitelje</w:t>
            </w:r>
            <w:r w:rsidRPr="00DF4CE5">
              <w:rPr>
                <w:rFonts w:ascii="Cambria" w:eastAsia="Cambria" w:hAnsi="Cambria" w:cstheme="minorHAnsi"/>
                <w:spacing w:val="-51"/>
                <w:lang w:val="hr-HR"/>
              </w:rPr>
              <w:t xml:space="preserve"> </w:t>
            </w:r>
            <w:r w:rsidRPr="00DF4CE5">
              <w:rPr>
                <w:rFonts w:ascii="Cambria" w:eastAsia="Cambria" w:hAnsi="Cambria" w:cstheme="minorHAnsi"/>
                <w:lang w:val="hr-HR"/>
              </w:rPr>
              <w:t>i</w:t>
            </w:r>
            <w:r w:rsidRPr="00DF4CE5">
              <w:rPr>
                <w:rFonts w:ascii="Cambria" w:eastAsia="Cambria" w:hAnsi="Cambria" w:cstheme="minorHAnsi"/>
                <w:spacing w:val="-9"/>
                <w:lang w:val="hr-HR"/>
              </w:rPr>
              <w:t xml:space="preserve"> </w:t>
            </w:r>
            <w:r w:rsidRPr="00DF4CE5">
              <w:rPr>
                <w:rFonts w:ascii="Cambria" w:eastAsia="Cambria" w:hAnsi="Cambria" w:cstheme="minorHAnsi"/>
                <w:lang w:val="hr-HR"/>
              </w:rPr>
              <w:t>pedagoge</w:t>
            </w:r>
            <w:r w:rsidRPr="00DF4CE5">
              <w:rPr>
                <w:rFonts w:ascii="Cambria" w:eastAsia="Cambria" w:hAnsi="Cambria" w:cstheme="minorHAnsi"/>
                <w:spacing w:val="-7"/>
                <w:lang w:val="hr-HR"/>
              </w:rPr>
              <w:t xml:space="preserve"> </w:t>
            </w:r>
            <w:r w:rsidRPr="00DF4CE5">
              <w:rPr>
                <w:rFonts w:ascii="Cambria" w:eastAsia="Cambria" w:hAnsi="Cambria" w:cstheme="minorHAnsi"/>
                <w:lang w:val="hr-HR"/>
              </w:rPr>
              <w:t>[</w:t>
            </w:r>
            <w:proofErr w:type="spellStart"/>
            <w:r w:rsidRPr="00DF4CE5">
              <w:rPr>
                <w:rFonts w:ascii="Cambria" w:eastAsia="Cambria" w:hAnsi="Cambria" w:cstheme="minorHAnsi"/>
                <w:lang w:val="hr-HR"/>
              </w:rPr>
              <w:t>Handbook</w:t>
            </w:r>
            <w:proofErr w:type="spellEnd"/>
            <w:r w:rsidRPr="00DF4CE5">
              <w:rPr>
                <w:rFonts w:ascii="Cambria" w:eastAsia="Cambria" w:hAnsi="Cambria" w:cstheme="minorHAnsi"/>
                <w:spacing w:val="-11"/>
                <w:lang w:val="hr-HR"/>
              </w:rPr>
              <w:t xml:space="preserve"> </w:t>
            </w:r>
            <w:proofErr w:type="spellStart"/>
            <w:r w:rsidRPr="00DF4CE5">
              <w:rPr>
                <w:rFonts w:ascii="Cambria" w:eastAsia="Cambria" w:hAnsi="Cambria" w:cstheme="minorHAnsi"/>
                <w:lang w:val="hr-HR"/>
              </w:rPr>
              <w:t>of</w:t>
            </w:r>
            <w:proofErr w:type="spellEnd"/>
            <w:r w:rsidRPr="00DF4CE5">
              <w:rPr>
                <w:rFonts w:ascii="Cambria" w:eastAsia="Cambria" w:hAnsi="Cambria" w:cstheme="minorHAnsi"/>
                <w:spacing w:val="-9"/>
                <w:lang w:val="hr-HR"/>
              </w:rPr>
              <w:t xml:space="preserve"> </w:t>
            </w:r>
            <w:proofErr w:type="spellStart"/>
            <w:r w:rsidRPr="00DF4CE5">
              <w:rPr>
                <w:rFonts w:ascii="Cambria" w:eastAsia="Cambria" w:hAnsi="Cambria" w:cstheme="minorHAnsi"/>
                <w:lang w:val="hr-HR"/>
              </w:rPr>
              <w:t>pedagogical</w:t>
            </w:r>
            <w:proofErr w:type="spellEnd"/>
            <w:r w:rsidRPr="00DF4CE5">
              <w:rPr>
                <w:rFonts w:ascii="Cambria" w:eastAsia="Cambria" w:hAnsi="Cambria" w:cstheme="minorHAnsi"/>
                <w:spacing w:val="-8"/>
                <w:lang w:val="hr-HR"/>
              </w:rPr>
              <w:t xml:space="preserve"> </w:t>
            </w:r>
            <w:proofErr w:type="spellStart"/>
            <w:r w:rsidRPr="00DF4CE5">
              <w:rPr>
                <w:rFonts w:ascii="Cambria" w:eastAsia="Cambria" w:hAnsi="Cambria" w:cstheme="minorHAnsi"/>
                <w:lang w:val="hr-HR"/>
              </w:rPr>
              <w:t>documentation</w:t>
            </w:r>
            <w:proofErr w:type="spellEnd"/>
            <w:r w:rsidRPr="00DF4CE5">
              <w:rPr>
                <w:rFonts w:ascii="Cambria" w:eastAsia="Cambria" w:hAnsi="Cambria" w:cstheme="minorHAnsi"/>
                <w:lang w:val="hr-HR"/>
              </w:rPr>
              <w:t>:</w:t>
            </w:r>
            <w:r w:rsidRPr="00DF4CE5">
              <w:rPr>
                <w:rFonts w:ascii="Cambria" w:eastAsia="Cambria" w:hAnsi="Cambria" w:cstheme="minorHAnsi"/>
                <w:spacing w:val="-10"/>
                <w:lang w:val="hr-HR"/>
              </w:rPr>
              <w:t xml:space="preserve"> </w:t>
            </w:r>
            <w:r w:rsidRPr="00DF4CE5">
              <w:rPr>
                <w:rFonts w:ascii="Cambria" w:eastAsia="Cambria" w:hAnsi="Cambria" w:cstheme="minorHAnsi"/>
                <w:lang w:val="hr-HR"/>
              </w:rPr>
              <w:t>for</w:t>
            </w:r>
            <w:r w:rsidRPr="00DF4CE5">
              <w:rPr>
                <w:rFonts w:ascii="Cambria" w:eastAsia="Cambria" w:hAnsi="Cambria" w:cstheme="minorHAnsi"/>
                <w:spacing w:val="-7"/>
                <w:lang w:val="hr-HR"/>
              </w:rPr>
              <w:t xml:space="preserve"> </w:t>
            </w:r>
            <w:proofErr w:type="spellStart"/>
            <w:r w:rsidRPr="00DF4CE5">
              <w:rPr>
                <w:rFonts w:ascii="Cambria" w:eastAsia="Cambria" w:hAnsi="Cambria" w:cstheme="minorHAnsi"/>
                <w:lang w:val="hr-HR"/>
              </w:rPr>
              <w:t>teachers</w:t>
            </w:r>
            <w:proofErr w:type="spellEnd"/>
            <w:r w:rsidRPr="00DF4CE5">
              <w:rPr>
                <w:rFonts w:ascii="Cambria" w:eastAsia="Cambria" w:hAnsi="Cambria" w:cstheme="minorHAnsi"/>
                <w:spacing w:val="-51"/>
                <w:lang w:val="hr-HR"/>
              </w:rPr>
              <w:t xml:space="preserve"> </w:t>
            </w:r>
            <w:proofErr w:type="spellStart"/>
            <w:r w:rsidRPr="00DF4CE5">
              <w:rPr>
                <w:rFonts w:ascii="Cambria" w:eastAsia="Cambria" w:hAnsi="Cambria" w:cstheme="minorHAnsi"/>
                <w:lang w:val="hr-HR"/>
              </w:rPr>
              <w:t>and</w:t>
            </w:r>
            <w:proofErr w:type="spellEnd"/>
            <w:r w:rsidRPr="00DF4CE5">
              <w:rPr>
                <w:rFonts w:ascii="Cambria" w:eastAsia="Cambria" w:hAnsi="Cambria" w:cstheme="minorHAnsi"/>
                <w:spacing w:val="-3"/>
                <w:lang w:val="hr-HR"/>
              </w:rPr>
              <w:t xml:space="preserve"> </w:t>
            </w:r>
            <w:proofErr w:type="spellStart"/>
            <w:r w:rsidRPr="00DF4CE5">
              <w:rPr>
                <w:rFonts w:ascii="Cambria" w:eastAsia="Cambria" w:hAnsi="Cambria" w:cstheme="minorHAnsi"/>
                <w:lang w:val="hr-HR"/>
              </w:rPr>
              <w:t>pedagogues</w:t>
            </w:r>
            <w:proofErr w:type="spellEnd"/>
            <w:r w:rsidRPr="00DF4CE5">
              <w:rPr>
                <w:rFonts w:ascii="Cambria" w:eastAsia="Cambria" w:hAnsi="Cambria" w:cstheme="minorHAnsi"/>
                <w:lang w:val="hr-HR"/>
              </w:rPr>
              <w:t>]. Zagreb:</w:t>
            </w:r>
            <w:r w:rsidRPr="00DF4CE5">
              <w:rPr>
                <w:rFonts w:ascii="Cambria" w:eastAsia="Cambria" w:hAnsi="Cambria" w:cstheme="minorHAnsi"/>
                <w:spacing w:val="-1"/>
                <w:lang w:val="hr-HR"/>
              </w:rPr>
              <w:t xml:space="preserve"> </w:t>
            </w:r>
            <w:r w:rsidRPr="00DF4CE5">
              <w:rPr>
                <w:rFonts w:ascii="Cambria" w:eastAsia="Cambria" w:hAnsi="Cambria" w:cstheme="minorHAnsi"/>
                <w:lang w:val="hr-HR"/>
              </w:rPr>
              <w:t>Naklada</w:t>
            </w:r>
            <w:r w:rsidRPr="00DF4CE5">
              <w:rPr>
                <w:rFonts w:ascii="Cambria" w:eastAsia="Cambria" w:hAnsi="Cambria" w:cstheme="minorHAnsi"/>
                <w:spacing w:val="-2"/>
                <w:lang w:val="hr-HR"/>
              </w:rPr>
              <w:t xml:space="preserve"> </w:t>
            </w:r>
            <w:r w:rsidRPr="00DF4CE5">
              <w:rPr>
                <w:rFonts w:ascii="Cambria" w:eastAsia="Cambria" w:hAnsi="Cambria" w:cstheme="minorHAnsi"/>
                <w:lang w:val="hr-HR"/>
              </w:rPr>
              <w:t>Ljevak.</w:t>
            </w:r>
          </w:p>
          <w:p w14:paraId="4AB49776" w14:textId="77777777" w:rsidR="00E473D6" w:rsidRPr="00DF4CE5" w:rsidRDefault="00E473D6" w:rsidP="00A034E3">
            <w:pPr>
              <w:widowControl w:val="0"/>
              <w:numPr>
                <w:ilvl w:val="0"/>
                <w:numId w:val="90"/>
              </w:numPr>
              <w:tabs>
                <w:tab w:val="left" w:pos="504"/>
              </w:tabs>
              <w:autoSpaceDE w:val="0"/>
              <w:autoSpaceDN w:val="0"/>
              <w:spacing w:after="0" w:line="240" w:lineRule="auto"/>
              <w:ind w:right="897"/>
              <w:rPr>
                <w:rFonts w:ascii="Cambria" w:eastAsia="Cambria" w:hAnsi="Cambria" w:cstheme="minorHAnsi"/>
                <w:lang w:val="hr-HR"/>
              </w:rPr>
            </w:pPr>
            <w:r w:rsidRPr="00DF4CE5">
              <w:rPr>
                <w:rFonts w:ascii="Cambria" w:eastAsia="Cambria" w:hAnsi="Cambria" w:cstheme="minorHAnsi"/>
                <w:color w:val="333333"/>
                <w:lang w:val="hr-HR"/>
              </w:rPr>
              <w:t>Jurčić, M. (2012). Pedagoške kompetencije suvremenog</w:t>
            </w:r>
            <w:r w:rsidRPr="00DF4CE5">
              <w:rPr>
                <w:rFonts w:ascii="Cambria" w:eastAsia="Cambria" w:hAnsi="Cambria" w:cstheme="minorHAnsi"/>
                <w:color w:val="333333"/>
                <w:spacing w:val="-50"/>
                <w:lang w:val="hr-HR"/>
              </w:rPr>
              <w:t xml:space="preserve"> </w:t>
            </w:r>
            <w:r w:rsidRPr="00DF4CE5">
              <w:rPr>
                <w:rFonts w:ascii="Cambria" w:eastAsia="Cambria" w:hAnsi="Cambria" w:cstheme="minorHAnsi"/>
                <w:color w:val="333333"/>
                <w:lang w:val="hr-HR"/>
              </w:rPr>
              <w:t>učitelja. Zagreb:</w:t>
            </w:r>
            <w:r w:rsidRPr="00DF4CE5">
              <w:rPr>
                <w:rFonts w:ascii="Cambria" w:eastAsia="Cambria" w:hAnsi="Cambria" w:cstheme="minorHAnsi"/>
                <w:color w:val="333333"/>
                <w:spacing w:val="-1"/>
                <w:lang w:val="hr-HR"/>
              </w:rPr>
              <w:t xml:space="preserve"> </w:t>
            </w:r>
            <w:proofErr w:type="spellStart"/>
            <w:r w:rsidRPr="00DF4CE5">
              <w:rPr>
                <w:rFonts w:ascii="Cambria" w:eastAsia="Cambria" w:hAnsi="Cambria" w:cstheme="minorHAnsi"/>
                <w:color w:val="333333"/>
                <w:lang w:val="hr-HR"/>
              </w:rPr>
              <w:t>Alinea</w:t>
            </w:r>
            <w:proofErr w:type="spellEnd"/>
            <w:r w:rsidRPr="00DF4CE5">
              <w:rPr>
                <w:rFonts w:ascii="Cambria" w:eastAsia="Cambria" w:hAnsi="Cambria" w:cstheme="minorHAnsi"/>
                <w:color w:val="333333"/>
                <w:lang w:val="hr-HR"/>
              </w:rPr>
              <w:t>.</w:t>
            </w:r>
          </w:p>
          <w:p w14:paraId="0D23656F" w14:textId="77777777" w:rsidR="00E473D6" w:rsidRPr="00DF4CE5" w:rsidRDefault="00E473D6" w:rsidP="00A034E3">
            <w:pPr>
              <w:widowControl w:val="0"/>
              <w:numPr>
                <w:ilvl w:val="0"/>
                <w:numId w:val="90"/>
              </w:numPr>
              <w:tabs>
                <w:tab w:val="left" w:pos="432"/>
              </w:tabs>
              <w:autoSpaceDE w:val="0"/>
              <w:autoSpaceDN w:val="0"/>
              <w:spacing w:after="0" w:line="240" w:lineRule="auto"/>
              <w:ind w:right="132"/>
              <w:jc w:val="both"/>
              <w:rPr>
                <w:rFonts w:ascii="Cambria" w:eastAsia="Cambria" w:hAnsi="Cambria" w:cstheme="minorHAnsi"/>
                <w:lang w:val="hr-HR"/>
              </w:rPr>
            </w:pPr>
            <w:proofErr w:type="spellStart"/>
            <w:r w:rsidRPr="00DF4CE5">
              <w:rPr>
                <w:rFonts w:ascii="Cambria" w:eastAsia="Cambria" w:hAnsi="Cambria" w:cstheme="minorHAnsi"/>
                <w:lang w:val="hr-HR"/>
              </w:rPr>
              <w:t>Kadum</w:t>
            </w:r>
            <w:proofErr w:type="spellEnd"/>
            <w:r w:rsidRPr="00DF4CE5">
              <w:rPr>
                <w:rFonts w:ascii="Cambria" w:eastAsia="Cambria" w:hAnsi="Cambria" w:cstheme="minorHAnsi"/>
                <w:lang w:val="hr-HR"/>
              </w:rPr>
              <w:t>, S., Šuvar, V., Tomić, R. (2020). Školska pedagogija. Pula: Sveučilište Jurja Dobrile, Fakultet za odgojne o obrazovne znanosti.</w:t>
            </w:r>
          </w:p>
          <w:p w14:paraId="21F70574" w14:textId="77777777" w:rsidR="00E473D6" w:rsidRPr="00DF4CE5" w:rsidRDefault="00E473D6" w:rsidP="00E473D6">
            <w:pPr>
              <w:widowControl w:val="0"/>
              <w:autoSpaceDE w:val="0"/>
              <w:autoSpaceDN w:val="0"/>
              <w:spacing w:after="0" w:line="240" w:lineRule="auto"/>
              <w:ind w:left="143"/>
              <w:rPr>
                <w:rFonts w:ascii="Cambria" w:eastAsia="Cambria" w:hAnsi="Cambria" w:cstheme="minorHAnsi"/>
                <w:lang w:val="hr-HR"/>
              </w:rPr>
            </w:pPr>
            <w:r w:rsidRPr="00DF4CE5">
              <w:rPr>
                <w:rFonts w:ascii="Cambria" w:eastAsia="Cambria" w:hAnsi="Cambria" w:cstheme="minorHAnsi"/>
                <w:color w:val="333333"/>
                <w:lang w:val="hr-HR"/>
              </w:rPr>
              <w:t>Izborna:</w:t>
            </w:r>
          </w:p>
          <w:p w14:paraId="1C98FA7A" w14:textId="77777777" w:rsidR="00E473D6" w:rsidRPr="00DF4CE5" w:rsidRDefault="00E473D6" w:rsidP="00A034E3">
            <w:pPr>
              <w:widowControl w:val="0"/>
              <w:numPr>
                <w:ilvl w:val="0"/>
                <w:numId w:val="90"/>
              </w:numPr>
              <w:tabs>
                <w:tab w:val="left" w:pos="504"/>
              </w:tabs>
              <w:autoSpaceDE w:val="0"/>
              <w:autoSpaceDN w:val="0"/>
              <w:spacing w:after="0" w:line="240" w:lineRule="auto"/>
              <w:rPr>
                <w:rFonts w:ascii="Cambria" w:eastAsia="Cambria" w:hAnsi="Cambria" w:cstheme="minorHAnsi"/>
                <w:color w:val="333333"/>
                <w:lang w:val="hr-HR"/>
              </w:rPr>
            </w:pPr>
            <w:proofErr w:type="spellStart"/>
            <w:r w:rsidRPr="00DF4CE5">
              <w:rPr>
                <w:rFonts w:ascii="Cambria" w:eastAsia="Cambria" w:hAnsi="Cambria" w:cstheme="minorHAnsi"/>
                <w:color w:val="333333"/>
                <w:lang w:val="hr-HR"/>
              </w:rPr>
              <w:t>Glasser</w:t>
            </w:r>
            <w:proofErr w:type="spellEnd"/>
            <w:r w:rsidRPr="00DF4CE5">
              <w:rPr>
                <w:rFonts w:ascii="Cambria" w:eastAsia="Cambria" w:hAnsi="Cambria" w:cstheme="minorHAnsi"/>
                <w:color w:val="333333"/>
                <w:lang w:val="hr-HR"/>
              </w:rPr>
              <w:t>,</w:t>
            </w:r>
            <w:r w:rsidRPr="00DF4CE5">
              <w:rPr>
                <w:rFonts w:ascii="Cambria" w:eastAsia="Cambria" w:hAnsi="Cambria" w:cstheme="minorHAnsi"/>
                <w:color w:val="333333"/>
                <w:spacing w:val="-3"/>
                <w:lang w:val="hr-HR"/>
              </w:rPr>
              <w:t xml:space="preserve"> </w:t>
            </w:r>
            <w:r w:rsidRPr="00DF4CE5">
              <w:rPr>
                <w:rFonts w:ascii="Cambria" w:eastAsia="Cambria" w:hAnsi="Cambria" w:cstheme="minorHAnsi"/>
                <w:color w:val="333333"/>
                <w:lang w:val="hr-HR"/>
              </w:rPr>
              <w:t>W.</w:t>
            </w:r>
            <w:r w:rsidRPr="00DF4CE5">
              <w:rPr>
                <w:rFonts w:ascii="Cambria" w:eastAsia="Cambria" w:hAnsi="Cambria" w:cstheme="minorHAnsi"/>
                <w:color w:val="333333"/>
                <w:spacing w:val="-3"/>
                <w:lang w:val="hr-HR"/>
              </w:rPr>
              <w:t xml:space="preserve"> </w:t>
            </w:r>
            <w:r w:rsidRPr="00DF4CE5">
              <w:rPr>
                <w:rFonts w:ascii="Cambria" w:eastAsia="Cambria" w:hAnsi="Cambria" w:cstheme="minorHAnsi"/>
                <w:color w:val="333333"/>
                <w:lang w:val="hr-HR"/>
              </w:rPr>
              <w:t>(1994).</w:t>
            </w:r>
            <w:r w:rsidRPr="00DF4CE5">
              <w:rPr>
                <w:rFonts w:ascii="Cambria" w:eastAsia="Cambria" w:hAnsi="Cambria" w:cstheme="minorHAnsi"/>
                <w:color w:val="333333"/>
                <w:spacing w:val="-3"/>
                <w:lang w:val="hr-HR"/>
              </w:rPr>
              <w:t xml:space="preserve"> </w:t>
            </w:r>
            <w:r w:rsidRPr="00DF4CE5">
              <w:rPr>
                <w:rFonts w:ascii="Cambria" w:eastAsia="Cambria" w:hAnsi="Cambria" w:cstheme="minorHAnsi"/>
                <w:color w:val="333333"/>
                <w:lang w:val="hr-HR"/>
              </w:rPr>
              <w:t>Kvalitetna</w:t>
            </w:r>
            <w:r w:rsidRPr="00DF4CE5">
              <w:rPr>
                <w:rFonts w:ascii="Cambria" w:eastAsia="Cambria" w:hAnsi="Cambria" w:cstheme="minorHAnsi"/>
                <w:color w:val="333333"/>
                <w:spacing w:val="-4"/>
                <w:lang w:val="hr-HR"/>
              </w:rPr>
              <w:t xml:space="preserve"> </w:t>
            </w:r>
            <w:r w:rsidRPr="00DF4CE5">
              <w:rPr>
                <w:rFonts w:ascii="Cambria" w:eastAsia="Cambria" w:hAnsi="Cambria" w:cstheme="minorHAnsi"/>
                <w:color w:val="333333"/>
                <w:lang w:val="hr-HR"/>
              </w:rPr>
              <w:t>škola.</w:t>
            </w:r>
            <w:r w:rsidRPr="00DF4CE5">
              <w:rPr>
                <w:rFonts w:ascii="Cambria" w:eastAsia="Cambria" w:hAnsi="Cambria" w:cstheme="minorHAnsi"/>
                <w:color w:val="333333"/>
                <w:spacing w:val="-2"/>
                <w:lang w:val="hr-HR"/>
              </w:rPr>
              <w:t xml:space="preserve"> </w:t>
            </w:r>
            <w:r w:rsidRPr="00DF4CE5">
              <w:rPr>
                <w:rFonts w:ascii="Cambria" w:eastAsia="Cambria" w:hAnsi="Cambria" w:cstheme="minorHAnsi"/>
                <w:color w:val="333333"/>
                <w:lang w:val="hr-HR"/>
              </w:rPr>
              <w:t>Zagreb:</w:t>
            </w:r>
            <w:r w:rsidRPr="00DF4CE5">
              <w:rPr>
                <w:rFonts w:ascii="Cambria" w:eastAsia="Cambria" w:hAnsi="Cambria" w:cstheme="minorHAnsi"/>
                <w:color w:val="333333"/>
                <w:spacing w:val="-4"/>
                <w:lang w:val="hr-HR"/>
              </w:rPr>
              <w:t xml:space="preserve"> </w:t>
            </w:r>
            <w:r w:rsidRPr="00DF4CE5">
              <w:rPr>
                <w:rFonts w:ascii="Cambria" w:eastAsia="Cambria" w:hAnsi="Cambria" w:cstheme="minorHAnsi"/>
                <w:color w:val="333333"/>
                <w:lang w:val="hr-HR"/>
              </w:rPr>
              <w:t>Educa.</w:t>
            </w:r>
          </w:p>
          <w:p w14:paraId="33CDCACD" w14:textId="77777777" w:rsidR="00E473D6" w:rsidRPr="00DF4CE5" w:rsidRDefault="00E473D6" w:rsidP="00A034E3">
            <w:pPr>
              <w:widowControl w:val="0"/>
              <w:numPr>
                <w:ilvl w:val="0"/>
                <w:numId w:val="90"/>
              </w:numPr>
              <w:tabs>
                <w:tab w:val="left" w:pos="504"/>
              </w:tabs>
              <w:autoSpaceDE w:val="0"/>
              <w:autoSpaceDN w:val="0"/>
              <w:spacing w:after="0" w:line="240" w:lineRule="auto"/>
              <w:rPr>
                <w:rFonts w:ascii="Cambria" w:eastAsia="Cambria" w:hAnsi="Cambria" w:cstheme="minorHAnsi"/>
                <w:color w:val="333333"/>
                <w:lang w:val="hr-HR"/>
              </w:rPr>
            </w:pPr>
            <w:r w:rsidRPr="00DF4CE5">
              <w:rPr>
                <w:rFonts w:ascii="Cambria" w:eastAsia="Cambria" w:hAnsi="Cambria" w:cstheme="minorHAnsi"/>
                <w:color w:val="333333"/>
                <w:lang w:val="hr-HR"/>
              </w:rPr>
              <w:t>Koren,</w:t>
            </w:r>
            <w:r w:rsidRPr="00DF4CE5">
              <w:rPr>
                <w:rFonts w:ascii="Cambria" w:eastAsia="Cambria" w:hAnsi="Cambria" w:cstheme="minorHAnsi"/>
                <w:color w:val="333333"/>
                <w:spacing w:val="-4"/>
                <w:lang w:val="hr-HR"/>
              </w:rPr>
              <w:t xml:space="preserve"> </w:t>
            </w:r>
            <w:r w:rsidRPr="00DF4CE5">
              <w:rPr>
                <w:rFonts w:ascii="Cambria" w:eastAsia="Cambria" w:hAnsi="Cambria" w:cstheme="minorHAnsi"/>
                <w:color w:val="333333"/>
                <w:lang w:val="hr-HR"/>
              </w:rPr>
              <w:t>I.</w:t>
            </w:r>
            <w:r w:rsidRPr="00DF4CE5">
              <w:rPr>
                <w:rFonts w:ascii="Cambria" w:eastAsia="Cambria" w:hAnsi="Cambria" w:cstheme="minorHAnsi"/>
                <w:color w:val="333333"/>
                <w:spacing w:val="-3"/>
                <w:lang w:val="hr-HR"/>
              </w:rPr>
              <w:t xml:space="preserve"> </w:t>
            </w:r>
            <w:r w:rsidRPr="00DF4CE5">
              <w:rPr>
                <w:rFonts w:ascii="Cambria" w:eastAsia="Cambria" w:hAnsi="Cambria" w:cstheme="minorHAnsi"/>
                <w:color w:val="333333"/>
                <w:lang w:val="hr-HR"/>
              </w:rPr>
              <w:t>(1989).</w:t>
            </w:r>
            <w:r w:rsidRPr="00DF4CE5">
              <w:rPr>
                <w:rFonts w:ascii="Cambria" w:eastAsia="Cambria" w:hAnsi="Cambria" w:cstheme="minorHAnsi"/>
                <w:color w:val="333333"/>
                <w:spacing w:val="-3"/>
                <w:lang w:val="hr-HR"/>
              </w:rPr>
              <w:t xml:space="preserve"> </w:t>
            </w:r>
            <w:r w:rsidRPr="00DF4CE5">
              <w:rPr>
                <w:rFonts w:ascii="Cambria" w:eastAsia="Cambria" w:hAnsi="Cambria" w:cstheme="minorHAnsi"/>
                <w:color w:val="333333"/>
                <w:lang w:val="hr-HR"/>
              </w:rPr>
              <w:t>Kako</w:t>
            </w:r>
            <w:r w:rsidRPr="00DF4CE5">
              <w:rPr>
                <w:rFonts w:ascii="Cambria" w:eastAsia="Cambria" w:hAnsi="Cambria" w:cstheme="minorHAnsi"/>
                <w:color w:val="333333"/>
                <w:spacing w:val="-5"/>
                <w:lang w:val="hr-HR"/>
              </w:rPr>
              <w:t xml:space="preserve"> </w:t>
            </w:r>
            <w:r w:rsidRPr="00DF4CE5">
              <w:rPr>
                <w:rFonts w:ascii="Cambria" w:eastAsia="Cambria" w:hAnsi="Cambria" w:cstheme="minorHAnsi"/>
                <w:color w:val="333333"/>
                <w:lang w:val="hr-HR"/>
              </w:rPr>
              <w:t>prepoznati</w:t>
            </w:r>
            <w:r w:rsidRPr="00DF4CE5">
              <w:rPr>
                <w:rFonts w:ascii="Cambria" w:eastAsia="Cambria" w:hAnsi="Cambria" w:cstheme="minorHAnsi"/>
                <w:color w:val="333333"/>
                <w:spacing w:val="-3"/>
                <w:lang w:val="hr-HR"/>
              </w:rPr>
              <w:t xml:space="preserve"> </w:t>
            </w:r>
            <w:r w:rsidRPr="00DF4CE5">
              <w:rPr>
                <w:rFonts w:ascii="Cambria" w:eastAsia="Cambria" w:hAnsi="Cambria" w:cstheme="minorHAnsi"/>
                <w:color w:val="333333"/>
                <w:lang w:val="hr-HR"/>
              </w:rPr>
              <w:t>i</w:t>
            </w:r>
            <w:r w:rsidRPr="00DF4CE5">
              <w:rPr>
                <w:rFonts w:ascii="Cambria" w:eastAsia="Cambria" w:hAnsi="Cambria" w:cstheme="minorHAnsi"/>
                <w:color w:val="333333"/>
                <w:spacing w:val="-3"/>
                <w:lang w:val="hr-HR"/>
              </w:rPr>
              <w:t xml:space="preserve"> </w:t>
            </w:r>
            <w:r w:rsidRPr="00DF4CE5">
              <w:rPr>
                <w:rFonts w:ascii="Cambria" w:eastAsia="Cambria" w:hAnsi="Cambria" w:cstheme="minorHAnsi"/>
                <w:color w:val="333333"/>
                <w:lang w:val="hr-HR"/>
              </w:rPr>
              <w:t>identificirati</w:t>
            </w:r>
            <w:r w:rsidRPr="00DF4CE5">
              <w:rPr>
                <w:rFonts w:ascii="Cambria" w:eastAsia="Cambria" w:hAnsi="Cambria" w:cstheme="minorHAnsi"/>
                <w:color w:val="333333"/>
                <w:spacing w:val="-5"/>
                <w:lang w:val="hr-HR"/>
              </w:rPr>
              <w:t xml:space="preserve"> </w:t>
            </w:r>
            <w:r w:rsidRPr="00DF4CE5">
              <w:rPr>
                <w:rFonts w:ascii="Cambria" w:eastAsia="Cambria" w:hAnsi="Cambria" w:cstheme="minorHAnsi"/>
                <w:color w:val="333333"/>
                <w:lang w:val="hr-HR"/>
              </w:rPr>
              <w:t>nadarenog</w:t>
            </w:r>
          </w:p>
          <w:p w14:paraId="78E9E1F3" w14:textId="77777777" w:rsidR="00E473D6" w:rsidRPr="00DF4CE5" w:rsidRDefault="00E473D6" w:rsidP="00E473D6">
            <w:pPr>
              <w:widowControl w:val="0"/>
              <w:autoSpaceDE w:val="0"/>
              <w:autoSpaceDN w:val="0"/>
              <w:spacing w:after="0" w:line="240" w:lineRule="auto"/>
              <w:ind w:left="503"/>
              <w:rPr>
                <w:rFonts w:ascii="Cambria" w:eastAsia="Cambria" w:hAnsi="Cambria" w:cstheme="minorHAnsi"/>
                <w:color w:val="333333"/>
                <w:lang w:val="hr-HR"/>
              </w:rPr>
            </w:pPr>
            <w:r w:rsidRPr="00DF4CE5">
              <w:rPr>
                <w:rFonts w:ascii="Cambria" w:eastAsia="Cambria" w:hAnsi="Cambria" w:cstheme="minorHAnsi"/>
                <w:color w:val="333333"/>
                <w:lang w:val="hr-HR"/>
              </w:rPr>
              <w:t>učenika.</w:t>
            </w:r>
            <w:r w:rsidRPr="00DF4CE5">
              <w:rPr>
                <w:rFonts w:ascii="Cambria" w:eastAsia="Cambria" w:hAnsi="Cambria" w:cstheme="minorHAnsi"/>
                <w:color w:val="333333"/>
                <w:spacing w:val="-1"/>
                <w:lang w:val="hr-HR"/>
              </w:rPr>
              <w:t xml:space="preserve"> </w:t>
            </w:r>
            <w:r w:rsidRPr="00DF4CE5">
              <w:rPr>
                <w:rFonts w:ascii="Cambria" w:eastAsia="Cambria" w:hAnsi="Cambria" w:cstheme="minorHAnsi"/>
                <w:color w:val="333333"/>
                <w:lang w:val="hr-HR"/>
              </w:rPr>
              <w:t>Zagreb:</w:t>
            </w:r>
            <w:r w:rsidRPr="00DF4CE5">
              <w:rPr>
                <w:rFonts w:ascii="Cambria" w:eastAsia="Cambria" w:hAnsi="Cambria" w:cstheme="minorHAnsi"/>
                <w:color w:val="333333"/>
                <w:spacing w:val="-3"/>
                <w:lang w:val="hr-HR"/>
              </w:rPr>
              <w:t xml:space="preserve"> </w:t>
            </w:r>
            <w:r w:rsidRPr="00DF4CE5">
              <w:rPr>
                <w:rFonts w:ascii="Cambria" w:eastAsia="Cambria" w:hAnsi="Cambria" w:cstheme="minorHAnsi"/>
                <w:color w:val="333333"/>
                <w:lang w:val="hr-HR"/>
              </w:rPr>
              <w:t>Školske</w:t>
            </w:r>
            <w:r w:rsidRPr="00DF4CE5">
              <w:rPr>
                <w:rFonts w:ascii="Cambria" w:eastAsia="Cambria" w:hAnsi="Cambria" w:cstheme="minorHAnsi"/>
                <w:color w:val="333333"/>
                <w:spacing w:val="-1"/>
                <w:lang w:val="hr-HR"/>
              </w:rPr>
              <w:t xml:space="preserve"> </w:t>
            </w:r>
            <w:r w:rsidRPr="00DF4CE5">
              <w:rPr>
                <w:rFonts w:ascii="Cambria" w:eastAsia="Cambria" w:hAnsi="Cambria" w:cstheme="minorHAnsi"/>
                <w:color w:val="333333"/>
                <w:lang w:val="hr-HR"/>
              </w:rPr>
              <w:t>novine.</w:t>
            </w:r>
          </w:p>
          <w:p w14:paraId="3F8E326B" w14:textId="77777777" w:rsidR="00E473D6" w:rsidRPr="00DF4CE5" w:rsidRDefault="00E473D6" w:rsidP="00A034E3">
            <w:pPr>
              <w:widowControl w:val="0"/>
              <w:numPr>
                <w:ilvl w:val="0"/>
                <w:numId w:val="90"/>
              </w:numPr>
              <w:autoSpaceDE w:val="0"/>
              <w:autoSpaceDN w:val="0"/>
              <w:spacing w:after="0" w:line="240" w:lineRule="auto"/>
              <w:rPr>
                <w:rFonts w:ascii="Cambria" w:eastAsia="Cambria" w:hAnsi="Cambria" w:cstheme="minorHAnsi"/>
                <w:lang w:val="hr-HR"/>
              </w:rPr>
            </w:pPr>
            <w:r w:rsidRPr="00DF4CE5">
              <w:rPr>
                <w:rFonts w:ascii="Cambria" w:eastAsia="Cambria" w:hAnsi="Cambria" w:cstheme="minorHAnsi"/>
                <w:color w:val="333333"/>
                <w:lang w:val="hr-HR"/>
              </w:rPr>
              <w:t>Sekulić-Majurec,</w:t>
            </w:r>
            <w:r w:rsidRPr="00DF4CE5">
              <w:rPr>
                <w:rFonts w:ascii="Cambria" w:eastAsia="Cambria" w:hAnsi="Cambria" w:cstheme="minorHAnsi"/>
                <w:color w:val="333333"/>
                <w:spacing w:val="-2"/>
                <w:lang w:val="hr-HR"/>
              </w:rPr>
              <w:t xml:space="preserve"> </w:t>
            </w:r>
            <w:r w:rsidRPr="00DF4CE5">
              <w:rPr>
                <w:rFonts w:ascii="Cambria" w:eastAsia="Cambria" w:hAnsi="Cambria" w:cstheme="minorHAnsi"/>
                <w:color w:val="333333"/>
                <w:lang w:val="hr-HR"/>
              </w:rPr>
              <w:t>A.</w:t>
            </w:r>
            <w:r w:rsidRPr="00DF4CE5">
              <w:rPr>
                <w:rFonts w:ascii="Cambria" w:eastAsia="Cambria" w:hAnsi="Cambria" w:cstheme="minorHAnsi"/>
                <w:color w:val="333333"/>
                <w:spacing w:val="-2"/>
                <w:lang w:val="hr-HR"/>
              </w:rPr>
              <w:t xml:space="preserve"> </w:t>
            </w:r>
            <w:r w:rsidRPr="00DF4CE5">
              <w:rPr>
                <w:rFonts w:ascii="Cambria" w:eastAsia="Cambria" w:hAnsi="Cambria" w:cstheme="minorHAnsi"/>
                <w:color w:val="333333"/>
                <w:lang w:val="hr-HR"/>
              </w:rPr>
              <w:t>(1988).</w:t>
            </w:r>
            <w:r w:rsidRPr="00DF4CE5">
              <w:rPr>
                <w:rFonts w:ascii="Cambria" w:eastAsia="Cambria" w:hAnsi="Cambria" w:cstheme="minorHAnsi"/>
                <w:color w:val="333333"/>
                <w:spacing w:val="-2"/>
                <w:lang w:val="hr-HR"/>
              </w:rPr>
              <w:t xml:space="preserve"> </w:t>
            </w:r>
            <w:r w:rsidRPr="00DF4CE5">
              <w:rPr>
                <w:rFonts w:ascii="Cambria" w:eastAsia="Cambria" w:hAnsi="Cambria" w:cstheme="minorHAnsi"/>
                <w:color w:val="333333"/>
                <w:lang w:val="hr-HR"/>
              </w:rPr>
              <w:t>Djeca</w:t>
            </w:r>
            <w:r w:rsidRPr="00DF4CE5">
              <w:rPr>
                <w:rFonts w:ascii="Cambria" w:eastAsia="Cambria" w:hAnsi="Cambria" w:cstheme="minorHAnsi"/>
                <w:color w:val="333333"/>
                <w:spacing w:val="-3"/>
                <w:lang w:val="hr-HR"/>
              </w:rPr>
              <w:t xml:space="preserve"> </w:t>
            </w:r>
            <w:r w:rsidRPr="00DF4CE5">
              <w:rPr>
                <w:rFonts w:ascii="Cambria" w:eastAsia="Cambria" w:hAnsi="Cambria" w:cstheme="minorHAnsi"/>
                <w:color w:val="333333"/>
                <w:lang w:val="hr-HR"/>
              </w:rPr>
              <w:t>s</w:t>
            </w:r>
            <w:r w:rsidRPr="00DF4CE5">
              <w:rPr>
                <w:rFonts w:ascii="Cambria" w:eastAsia="Cambria" w:hAnsi="Cambria" w:cstheme="minorHAnsi"/>
                <w:color w:val="333333"/>
                <w:spacing w:val="-1"/>
                <w:lang w:val="hr-HR"/>
              </w:rPr>
              <w:t xml:space="preserve"> </w:t>
            </w:r>
            <w:r w:rsidRPr="00DF4CE5">
              <w:rPr>
                <w:rFonts w:ascii="Cambria" w:eastAsia="Cambria" w:hAnsi="Cambria" w:cstheme="minorHAnsi"/>
                <w:color w:val="333333"/>
                <w:lang w:val="hr-HR"/>
              </w:rPr>
              <w:t>teškoćama</w:t>
            </w:r>
            <w:r w:rsidRPr="00DF4CE5">
              <w:rPr>
                <w:rFonts w:ascii="Cambria" w:eastAsia="Cambria" w:hAnsi="Cambria" w:cstheme="minorHAnsi"/>
                <w:color w:val="333333"/>
                <w:spacing w:val="-2"/>
                <w:lang w:val="hr-HR"/>
              </w:rPr>
              <w:t xml:space="preserve"> </w:t>
            </w:r>
            <w:r w:rsidRPr="00DF4CE5">
              <w:rPr>
                <w:rFonts w:ascii="Cambria" w:eastAsia="Cambria" w:hAnsi="Cambria" w:cstheme="minorHAnsi"/>
                <w:color w:val="333333"/>
                <w:lang w:val="hr-HR"/>
              </w:rPr>
              <w:t>u</w:t>
            </w:r>
            <w:r w:rsidRPr="00DF4CE5">
              <w:rPr>
                <w:rFonts w:ascii="Cambria" w:eastAsia="Cambria" w:hAnsi="Cambria" w:cstheme="minorHAnsi"/>
                <w:color w:val="333333"/>
                <w:spacing w:val="-3"/>
                <w:lang w:val="hr-HR"/>
              </w:rPr>
              <w:t xml:space="preserve"> </w:t>
            </w:r>
            <w:r w:rsidRPr="00DF4CE5">
              <w:rPr>
                <w:rFonts w:ascii="Cambria" w:eastAsia="Cambria" w:hAnsi="Cambria" w:cstheme="minorHAnsi"/>
                <w:color w:val="333333"/>
                <w:lang w:val="hr-HR"/>
              </w:rPr>
              <w:t>razvoju</w:t>
            </w:r>
            <w:r w:rsidRPr="00DF4CE5">
              <w:rPr>
                <w:rFonts w:ascii="Cambria" w:eastAsia="Cambria" w:hAnsi="Cambria" w:cstheme="minorHAnsi"/>
                <w:color w:val="333333"/>
                <w:spacing w:val="-3"/>
                <w:lang w:val="hr-HR"/>
              </w:rPr>
              <w:t xml:space="preserve"> </w:t>
            </w:r>
            <w:r w:rsidRPr="00DF4CE5">
              <w:rPr>
                <w:rFonts w:ascii="Cambria" w:eastAsia="Cambria" w:hAnsi="Cambria" w:cstheme="minorHAnsi"/>
                <w:color w:val="333333"/>
                <w:lang w:val="hr-HR"/>
              </w:rPr>
              <w:t>u</w:t>
            </w:r>
            <w:r w:rsidRPr="00DF4CE5">
              <w:rPr>
                <w:rFonts w:ascii="Cambria" w:eastAsia="Cambria" w:hAnsi="Cambria" w:cstheme="minorHAnsi"/>
                <w:color w:val="333333"/>
                <w:spacing w:val="-50"/>
                <w:lang w:val="hr-HR"/>
              </w:rPr>
              <w:t xml:space="preserve"> </w:t>
            </w:r>
            <w:r w:rsidRPr="00DF4CE5">
              <w:rPr>
                <w:rFonts w:ascii="Cambria" w:eastAsia="Cambria" w:hAnsi="Cambria" w:cstheme="minorHAnsi"/>
                <w:color w:val="333333"/>
                <w:lang w:val="hr-HR"/>
              </w:rPr>
              <w:t>vrtiću</w:t>
            </w:r>
            <w:r w:rsidRPr="00DF4CE5">
              <w:rPr>
                <w:rFonts w:ascii="Cambria" w:eastAsia="Cambria" w:hAnsi="Cambria" w:cstheme="minorHAnsi"/>
                <w:color w:val="333333"/>
                <w:spacing w:val="-2"/>
                <w:lang w:val="hr-HR"/>
              </w:rPr>
              <w:t xml:space="preserve"> </w:t>
            </w:r>
            <w:r w:rsidRPr="00DF4CE5">
              <w:rPr>
                <w:rFonts w:ascii="Cambria" w:eastAsia="Cambria" w:hAnsi="Cambria" w:cstheme="minorHAnsi"/>
                <w:color w:val="333333"/>
                <w:lang w:val="hr-HR"/>
              </w:rPr>
              <w:t>i školi.</w:t>
            </w:r>
            <w:r w:rsidRPr="00DF4CE5">
              <w:rPr>
                <w:rFonts w:ascii="Cambria" w:eastAsia="Cambria" w:hAnsi="Cambria" w:cstheme="minorHAnsi"/>
                <w:color w:val="333333"/>
                <w:spacing w:val="1"/>
                <w:lang w:val="hr-HR"/>
              </w:rPr>
              <w:t xml:space="preserve"> </w:t>
            </w:r>
            <w:r w:rsidRPr="00DF4CE5">
              <w:rPr>
                <w:rFonts w:ascii="Cambria" w:eastAsia="Cambria" w:hAnsi="Cambria" w:cstheme="minorHAnsi"/>
                <w:color w:val="333333"/>
                <w:lang w:val="hr-HR"/>
              </w:rPr>
              <w:t>Zagreb:</w:t>
            </w:r>
            <w:r w:rsidRPr="00DF4CE5">
              <w:rPr>
                <w:rFonts w:ascii="Cambria" w:eastAsia="Cambria" w:hAnsi="Cambria" w:cstheme="minorHAnsi"/>
                <w:color w:val="333333"/>
                <w:spacing w:val="-1"/>
                <w:lang w:val="hr-HR"/>
              </w:rPr>
              <w:t xml:space="preserve"> </w:t>
            </w:r>
            <w:r w:rsidRPr="00DF4CE5">
              <w:rPr>
                <w:rFonts w:ascii="Cambria" w:eastAsia="Cambria" w:hAnsi="Cambria" w:cstheme="minorHAnsi"/>
                <w:color w:val="333333"/>
                <w:lang w:val="hr-HR"/>
              </w:rPr>
              <w:t>Školska</w:t>
            </w:r>
            <w:r w:rsidRPr="00DF4CE5">
              <w:rPr>
                <w:rFonts w:ascii="Cambria" w:eastAsia="Cambria" w:hAnsi="Cambria" w:cstheme="minorHAnsi"/>
                <w:color w:val="333333"/>
                <w:spacing w:val="-2"/>
                <w:lang w:val="hr-HR"/>
              </w:rPr>
              <w:t xml:space="preserve"> </w:t>
            </w:r>
            <w:r w:rsidRPr="00DF4CE5">
              <w:rPr>
                <w:rFonts w:ascii="Cambria" w:eastAsia="Cambria" w:hAnsi="Cambria" w:cstheme="minorHAnsi"/>
                <w:color w:val="333333"/>
                <w:lang w:val="hr-HR"/>
              </w:rPr>
              <w:t>knjiga.</w:t>
            </w:r>
          </w:p>
          <w:p w14:paraId="4D31188C" w14:textId="77777777" w:rsidR="00E473D6" w:rsidRPr="00DF4CE5" w:rsidRDefault="00E473D6" w:rsidP="00E473D6">
            <w:pPr>
              <w:widowControl w:val="0"/>
              <w:autoSpaceDE w:val="0"/>
              <w:autoSpaceDN w:val="0"/>
              <w:spacing w:after="0" w:line="240" w:lineRule="auto"/>
              <w:ind w:left="143"/>
              <w:rPr>
                <w:rFonts w:ascii="Cambria" w:eastAsia="Cambria" w:hAnsi="Cambria" w:cstheme="minorHAnsi"/>
                <w:lang w:val="hr-HR"/>
              </w:rPr>
            </w:pPr>
            <w:r w:rsidRPr="00DF4CE5">
              <w:rPr>
                <w:rFonts w:ascii="Cambria" w:eastAsia="Cambria" w:hAnsi="Cambria" w:cstheme="minorHAnsi"/>
                <w:lang w:val="hr-HR"/>
              </w:rPr>
              <w:t>Priručna:</w:t>
            </w:r>
          </w:p>
          <w:p w14:paraId="6F879F5A" w14:textId="77777777" w:rsidR="00E473D6" w:rsidRPr="00DF4CE5" w:rsidRDefault="00E473D6" w:rsidP="00E473D6">
            <w:pPr>
              <w:widowControl w:val="0"/>
              <w:autoSpaceDE w:val="0"/>
              <w:autoSpaceDN w:val="0"/>
              <w:spacing w:after="0" w:line="240" w:lineRule="auto"/>
              <w:ind w:left="143"/>
              <w:rPr>
                <w:rFonts w:ascii="Cambria" w:eastAsia="Cambria" w:hAnsi="Cambria" w:cstheme="minorHAnsi"/>
                <w:lang w:val="hr-HR"/>
              </w:rPr>
            </w:pPr>
            <w:r w:rsidRPr="00DF4CE5">
              <w:rPr>
                <w:rFonts w:ascii="Cambria" w:eastAsia="Cambria" w:hAnsi="Cambria" w:cstheme="minorHAnsi"/>
                <w:lang w:val="hr-HR"/>
              </w:rPr>
              <w:t>1.</w:t>
            </w:r>
            <w:r w:rsidRPr="00DF4CE5">
              <w:rPr>
                <w:rFonts w:ascii="Cambria" w:eastAsia="Cambria" w:hAnsi="Cambria" w:cstheme="minorHAnsi"/>
                <w:spacing w:val="66"/>
                <w:lang w:val="hr-HR"/>
              </w:rPr>
              <w:t xml:space="preserve"> </w:t>
            </w:r>
            <w:proofErr w:type="spellStart"/>
            <w:r w:rsidRPr="00DF4CE5">
              <w:rPr>
                <w:rFonts w:ascii="Cambria" w:eastAsia="Cambria" w:hAnsi="Cambria" w:cstheme="minorHAnsi"/>
                <w:lang w:val="hr-HR"/>
              </w:rPr>
              <w:t>Kurikulumi</w:t>
            </w:r>
            <w:proofErr w:type="spellEnd"/>
            <w:r w:rsidRPr="00DF4CE5">
              <w:rPr>
                <w:rFonts w:ascii="Cambria" w:eastAsia="Cambria" w:hAnsi="Cambria" w:cstheme="minorHAnsi"/>
                <w:spacing w:val="-4"/>
                <w:lang w:val="hr-HR"/>
              </w:rPr>
              <w:t xml:space="preserve"> </w:t>
            </w:r>
            <w:r w:rsidRPr="00DF4CE5">
              <w:rPr>
                <w:rFonts w:ascii="Cambria" w:eastAsia="Cambria" w:hAnsi="Cambria" w:cstheme="minorHAnsi"/>
                <w:lang w:val="hr-HR"/>
              </w:rPr>
              <w:t>nastavnih</w:t>
            </w:r>
            <w:r w:rsidRPr="00DF4CE5">
              <w:rPr>
                <w:rFonts w:ascii="Cambria" w:eastAsia="Cambria" w:hAnsi="Cambria" w:cstheme="minorHAnsi"/>
                <w:spacing w:val="-2"/>
                <w:lang w:val="hr-HR"/>
              </w:rPr>
              <w:t xml:space="preserve"> </w:t>
            </w:r>
            <w:r w:rsidRPr="00DF4CE5">
              <w:rPr>
                <w:rFonts w:ascii="Cambria" w:eastAsia="Cambria" w:hAnsi="Cambria" w:cstheme="minorHAnsi"/>
                <w:lang w:val="hr-HR"/>
              </w:rPr>
              <w:t>predmeta</w:t>
            </w:r>
            <w:r w:rsidRPr="00DF4CE5">
              <w:rPr>
                <w:rFonts w:ascii="Cambria" w:eastAsia="Cambria" w:hAnsi="Cambria" w:cstheme="minorHAnsi"/>
                <w:spacing w:val="-3"/>
                <w:lang w:val="hr-HR"/>
              </w:rPr>
              <w:t xml:space="preserve"> </w:t>
            </w:r>
            <w:r w:rsidRPr="00DF4CE5">
              <w:rPr>
                <w:rFonts w:ascii="Cambria" w:eastAsia="Cambria" w:hAnsi="Cambria" w:cstheme="minorHAnsi"/>
                <w:lang w:val="hr-HR"/>
              </w:rPr>
              <w:t>i</w:t>
            </w:r>
            <w:r w:rsidRPr="00DF4CE5">
              <w:rPr>
                <w:rFonts w:ascii="Cambria" w:eastAsia="Cambria" w:hAnsi="Cambria" w:cstheme="minorHAnsi"/>
                <w:spacing w:val="-2"/>
                <w:lang w:val="hr-HR"/>
              </w:rPr>
              <w:t xml:space="preserve"> </w:t>
            </w:r>
            <w:proofErr w:type="spellStart"/>
            <w:r w:rsidRPr="00DF4CE5">
              <w:rPr>
                <w:rFonts w:ascii="Cambria" w:eastAsia="Cambria" w:hAnsi="Cambria" w:cstheme="minorHAnsi"/>
                <w:lang w:val="hr-HR"/>
              </w:rPr>
              <w:t>međupredmetnih</w:t>
            </w:r>
            <w:proofErr w:type="spellEnd"/>
            <w:r w:rsidRPr="00DF4CE5">
              <w:rPr>
                <w:rFonts w:ascii="Cambria" w:eastAsia="Cambria" w:hAnsi="Cambria" w:cstheme="minorHAnsi"/>
                <w:spacing w:val="-3"/>
                <w:lang w:val="hr-HR"/>
              </w:rPr>
              <w:t xml:space="preserve"> </w:t>
            </w:r>
            <w:r w:rsidRPr="00DF4CE5">
              <w:rPr>
                <w:rFonts w:ascii="Cambria" w:eastAsia="Cambria" w:hAnsi="Cambria" w:cstheme="minorHAnsi"/>
                <w:lang w:val="hr-HR"/>
              </w:rPr>
              <w:t>tema</w:t>
            </w:r>
          </w:p>
          <w:p w14:paraId="40F9407F" w14:textId="77777777" w:rsidR="00E473D6" w:rsidRPr="00DF4CE5" w:rsidRDefault="00E473D6" w:rsidP="00E473D6">
            <w:pPr>
              <w:widowControl w:val="0"/>
              <w:autoSpaceDE w:val="0"/>
              <w:autoSpaceDN w:val="0"/>
              <w:spacing w:after="0" w:line="240" w:lineRule="auto"/>
              <w:ind w:left="503"/>
              <w:rPr>
                <w:rFonts w:ascii="Cambria" w:eastAsia="Cambria" w:hAnsi="Cambria" w:cstheme="minorHAnsi"/>
                <w:lang w:val="hr-HR"/>
              </w:rPr>
            </w:pPr>
            <w:r w:rsidRPr="00DF4CE5">
              <w:rPr>
                <w:rFonts w:ascii="Cambria" w:eastAsia="Cambria" w:hAnsi="Cambria" w:cstheme="minorHAnsi"/>
                <w:lang w:val="hr-HR"/>
              </w:rPr>
              <w:t>(2019).</w:t>
            </w:r>
            <w:r w:rsidRPr="00DF4CE5">
              <w:rPr>
                <w:rFonts w:ascii="Cambria" w:eastAsia="Cambria" w:hAnsi="Cambria" w:cstheme="minorHAnsi"/>
                <w:spacing w:val="-2"/>
                <w:lang w:val="hr-HR"/>
              </w:rPr>
              <w:t xml:space="preserve"> </w:t>
            </w:r>
            <w:r w:rsidRPr="00DF4CE5">
              <w:rPr>
                <w:rFonts w:ascii="Cambria" w:eastAsia="Cambria" w:hAnsi="Cambria" w:cstheme="minorHAnsi"/>
                <w:lang w:val="hr-HR"/>
              </w:rPr>
              <w:t>Zagreb:</w:t>
            </w:r>
            <w:r w:rsidRPr="00DF4CE5">
              <w:rPr>
                <w:rFonts w:ascii="Cambria" w:eastAsia="Cambria" w:hAnsi="Cambria" w:cstheme="minorHAnsi"/>
                <w:spacing w:val="-2"/>
                <w:lang w:val="hr-HR"/>
              </w:rPr>
              <w:t xml:space="preserve"> </w:t>
            </w:r>
            <w:r w:rsidRPr="00DF4CE5">
              <w:rPr>
                <w:rFonts w:ascii="Cambria" w:eastAsia="Cambria" w:hAnsi="Cambria" w:cstheme="minorHAnsi"/>
                <w:lang w:val="hr-HR"/>
              </w:rPr>
              <w:t>Ministarstvo znanosti i obrazovanja Republike Hrvatske</w:t>
            </w:r>
          </w:p>
        </w:tc>
      </w:tr>
    </w:tbl>
    <w:p w14:paraId="5F25E9CE" w14:textId="77777777" w:rsidR="003A42BE" w:rsidRPr="00DF4CE5" w:rsidRDefault="003A42BE" w:rsidP="008B34AF">
      <w:pPr>
        <w:jc w:val="both"/>
        <w:rPr>
          <w:rFonts w:ascii="Cambria" w:hAnsi="Cambria"/>
          <w:lang w:val="hr-HR"/>
        </w:rPr>
      </w:pPr>
    </w:p>
    <w:p w14:paraId="6D25D652" w14:textId="77777777" w:rsidR="003A42BE" w:rsidRPr="00DF4CE5" w:rsidRDefault="003A42BE" w:rsidP="008B34AF">
      <w:pPr>
        <w:jc w:val="both"/>
        <w:rPr>
          <w:rFonts w:ascii="Cambria" w:hAnsi="Cambria"/>
          <w:lang w:val="hr-HR"/>
        </w:rPr>
      </w:pPr>
    </w:p>
    <w:p w14:paraId="5F9C0598" w14:textId="77777777" w:rsidR="003A42BE" w:rsidRPr="00DF4CE5" w:rsidRDefault="003A42BE" w:rsidP="008B34AF">
      <w:pPr>
        <w:jc w:val="both"/>
        <w:rPr>
          <w:rFonts w:ascii="Cambria" w:hAnsi="Cambria"/>
          <w:lang w:val="hr-HR"/>
        </w:rPr>
      </w:pPr>
    </w:p>
    <w:p w14:paraId="7F8F7128" w14:textId="77777777" w:rsidR="003A42BE" w:rsidRPr="00DF4CE5" w:rsidRDefault="003A42BE" w:rsidP="008B34AF">
      <w:pPr>
        <w:jc w:val="both"/>
        <w:rPr>
          <w:rFonts w:ascii="Cambria" w:hAnsi="Cambria"/>
          <w:lang w:val="hr-HR"/>
        </w:rPr>
      </w:pPr>
    </w:p>
    <w:p w14:paraId="3CF4FCAC" w14:textId="77777777" w:rsidR="003A42BE" w:rsidRPr="00DF4CE5" w:rsidRDefault="003A42BE" w:rsidP="008B34AF">
      <w:pPr>
        <w:jc w:val="both"/>
        <w:rPr>
          <w:rFonts w:ascii="Cambria" w:hAnsi="Cambria"/>
          <w:lang w:val="hr-HR"/>
        </w:rPr>
      </w:pPr>
    </w:p>
    <w:p w14:paraId="1D8E371E" w14:textId="77777777" w:rsidR="00CA3203" w:rsidRPr="00DF4CE5" w:rsidRDefault="00CA3203" w:rsidP="008B34AF">
      <w:pPr>
        <w:jc w:val="both"/>
        <w:rPr>
          <w:rFonts w:ascii="Cambria" w:hAnsi="Cambria"/>
          <w:lang w:val="hr-HR"/>
        </w:rPr>
      </w:pPr>
    </w:p>
    <w:p w14:paraId="73E52B33" w14:textId="77777777" w:rsidR="00CA3203" w:rsidRPr="00DF4CE5" w:rsidRDefault="00CA3203" w:rsidP="008B34AF">
      <w:pPr>
        <w:jc w:val="both"/>
        <w:rPr>
          <w:rFonts w:ascii="Cambria" w:hAnsi="Cambria"/>
          <w:lang w:val="hr-HR"/>
        </w:rPr>
      </w:pPr>
    </w:p>
    <w:p w14:paraId="39B7314C" w14:textId="77777777" w:rsidR="00CA3203" w:rsidRPr="00DF4CE5" w:rsidRDefault="00CA3203" w:rsidP="008B34AF">
      <w:pPr>
        <w:jc w:val="both"/>
        <w:rPr>
          <w:rFonts w:ascii="Cambria" w:hAnsi="Cambria"/>
          <w:lang w:val="hr-HR"/>
        </w:rPr>
      </w:pPr>
    </w:p>
    <w:p w14:paraId="43EB0E7F" w14:textId="77777777" w:rsidR="00CA3203" w:rsidRPr="00DF4CE5" w:rsidRDefault="00CA3203" w:rsidP="008B34AF">
      <w:pPr>
        <w:jc w:val="both"/>
        <w:rPr>
          <w:rFonts w:ascii="Cambria" w:hAnsi="Cambria"/>
          <w:lang w:val="hr-HR"/>
        </w:rPr>
      </w:pPr>
    </w:p>
    <w:p w14:paraId="2B97E878" w14:textId="77777777" w:rsidR="00CA3203" w:rsidRPr="00DF4CE5" w:rsidRDefault="00CA3203" w:rsidP="008B34AF">
      <w:pPr>
        <w:jc w:val="both"/>
        <w:rPr>
          <w:rFonts w:ascii="Cambria" w:hAnsi="Cambria"/>
          <w:lang w:val="hr-HR"/>
        </w:rPr>
      </w:pPr>
    </w:p>
    <w:p w14:paraId="7DBDFE42" w14:textId="77777777" w:rsidR="00CA3203" w:rsidRPr="00DF4CE5" w:rsidRDefault="00CA3203" w:rsidP="008B34AF">
      <w:pPr>
        <w:jc w:val="both"/>
        <w:rPr>
          <w:rFonts w:ascii="Cambria" w:hAnsi="Cambria"/>
          <w:lang w:val="hr-HR"/>
        </w:rPr>
      </w:pPr>
    </w:p>
    <w:p w14:paraId="7CD032CB" w14:textId="77777777" w:rsidR="00CA3203" w:rsidRPr="00DF4CE5" w:rsidRDefault="00CA3203" w:rsidP="008B34AF">
      <w:pPr>
        <w:jc w:val="both"/>
        <w:rPr>
          <w:rFonts w:ascii="Cambria" w:hAnsi="Cambria"/>
          <w:lang w:val="hr-HR"/>
        </w:rPr>
      </w:pPr>
    </w:p>
    <w:p w14:paraId="74C34A35" w14:textId="77777777" w:rsidR="004A100E" w:rsidRPr="00DF4CE5" w:rsidRDefault="004A100E" w:rsidP="008B34AF">
      <w:pPr>
        <w:jc w:val="both"/>
        <w:rPr>
          <w:rFonts w:ascii="Cambria" w:hAnsi="Cambria"/>
          <w:lang w:val="hr-HR"/>
        </w:rPr>
      </w:pPr>
    </w:p>
    <w:tbl>
      <w:tblPr>
        <w:tblW w:w="5000" w:type="pct"/>
        <w:tblLayout w:type="fixed"/>
        <w:tblCellMar>
          <w:left w:w="0" w:type="dxa"/>
          <w:right w:w="0" w:type="dxa"/>
        </w:tblCellMar>
        <w:tblLook w:val="0600" w:firstRow="0" w:lastRow="0" w:firstColumn="0" w:lastColumn="0" w:noHBand="1" w:noVBand="1"/>
      </w:tblPr>
      <w:tblGrid>
        <w:gridCol w:w="2806"/>
        <w:gridCol w:w="2663"/>
        <w:gridCol w:w="105"/>
        <w:gridCol w:w="1171"/>
        <w:gridCol w:w="300"/>
        <w:gridCol w:w="472"/>
        <w:gridCol w:w="1087"/>
        <w:gridCol w:w="1416"/>
      </w:tblGrid>
      <w:tr w:rsidR="00CA3203" w:rsidRPr="00DF4CE5" w14:paraId="1F23797E" w14:textId="77777777" w:rsidTr="005323D1">
        <w:tc>
          <w:tcPr>
            <w:tcW w:w="9052"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302D7F5" w14:textId="77777777" w:rsidR="00CA3203" w:rsidRPr="00DF4CE5" w:rsidRDefault="00CA3203" w:rsidP="00A12846">
            <w:pPr>
              <w:spacing w:after="0" w:line="240" w:lineRule="auto"/>
              <w:jc w:val="right"/>
              <w:rPr>
                <w:rFonts w:ascii="Cambria" w:eastAsia="Calibri" w:hAnsi="Cambria" w:cs="Calibri"/>
                <w:b/>
                <w:lang w:val="hr-HR"/>
              </w:rPr>
            </w:pPr>
            <w:r w:rsidRPr="00DF4CE5">
              <w:rPr>
                <w:rFonts w:ascii="Cambria" w:eastAsia="Calibri" w:hAnsi="Cambria" w:cs="Calibri"/>
                <w:b/>
                <w:lang w:val="hr-HR"/>
              </w:rPr>
              <w:t>IZVEDBENI PLAN NASTAVE KOLEGIJA</w:t>
            </w:r>
          </w:p>
        </w:tc>
      </w:tr>
      <w:tr w:rsidR="00CA3203" w:rsidRPr="00DF4CE5" w14:paraId="65D32682" w14:textId="77777777" w:rsidTr="005323D1">
        <w:tc>
          <w:tcPr>
            <w:tcW w:w="253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EF8A60D" w14:textId="77777777" w:rsidR="00CA3203" w:rsidRPr="00DF4CE5" w:rsidRDefault="00CA3203" w:rsidP="008B34AF">
            <w:pPr>
              <w:spacing w:after="0" w:line="240" w:lineRule="auto"/>
              <w:jc w:val="both"/>
              <w:rPr>
                <w:rFonts w:ascii="Cambria" w:eastAsia="Calibri" w:hAnsi="Cambria" w:cs="Calibri"/>
                <w:lang w:val="hr-HR"/>
              </w:rPr>
            </w:pPr>
            <w:r w:rsidRPr="00DF4CE5">
              <w:rPr>
                <w:rFonts w:ascii="Cambria" w:eastAsia="Calibri" w:hAnsi="Cambria" w:cs="Calibri"/>
                <w:lang w:val="hr-HR"/>
              </w:rPr>
              <w:t>Kod i naziv kolegija</w:t>
            </w:r>
          </w:p>
        </w:tc>
        <w:tc>
          <w:tcPr>
            <w:tcW w:w="651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40711F3" w14:textId="77777777" w:rsidR="00CA3203" w:rsidRPr="00DF4CE5" w:rsidRDefault="00CA3203" w:rsidP="008B34AF">
            <w:pPr>
              <w:spacing w:after="0" w:line="240" w:lineRule="auto"/>
              <w:jc w:val="both"/>
              <w:rPr>
                <w:rFonts w:ascii="Cambria" w:eastAsia="Calibri" w:hAnsi="Cambria" w:cs="Calibri"/>
                <w:lang w:val="hr-HR"/>
              </w:rPr>
            </w:pPr>
            <w:r w:rsidRPr="00DF4CE5">
              <w:rPr>
                <w:rFonts w:ascii="Cambria" w:eastAsia="Calibri" w:hAnsi="Cambria" w:cs="Calibri"/>
                <w:lang w:val="hr-HR"/>
              </w:rPr>
              <w:t>169171</w:t>
            </w:r>
          </w:p>
          <w:p w14:paraId="6E4846DB" w14:textId="77777777" w:rsidR="00CA3203" w:rsidRPr="00DF4CE5" w:rsidRDefault="00CA3203" w:rsidP="008B34AF">
            <w:pPr>
              <w:spacing w:after="0" w:line="240" w:lineRule="auto"/>
              <w:jc w:val="both"/>
              <w:rPr>
                <w:rFonts w:ascii="Cambria" w:eastAsia="Calibri" w:hAnsi="Cambria" w:cs="Calibri"/>
                <w:lang w:val="hr-HR"/>
              </w:rPr>
            </w:pPr>
            <w:r w:rsidRPr="00DF4CE5">
              <w:rPr>
                <w:rFonts w:ascii="Cambria" w:eastAsia="Calibri" w:hAnsi="Cambria" w:cs="Calibri"/>
                <w:lang w:val="hr-HR"/>
              </w:rPr>
              <w:t>Suvremeni engleski jezik 4</w:t>
            </w:r>
          </w:p>
        </w:tc>
      </w:tr>
      <w:tr w:rsidR="00CA3203" w:rsidRPr="004E3FDC" w14:paraId="397E7F74" w14:textId="77777777" w:rsidTr="005323D1">
        <w:tc>
          <w:tcPr>
            <w:tcW w:w="253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079393E" w14:textId="77777777" w:rsidR="00CA3203" w:rsidRPr="00DF4CE5" w:rsidRDefault="00CA3203" w:rsidP="008B34AF">
            <w:pPr>
              <w:spacing w:after="0" w:line="240" w:lineRule="auto"/>
              <w:jc w:val="both"/>
              <w:rPr>
                <w:rFonts w:ascii="Cambria" w:eastAsia="Calibri" w:hAnsi="Cambria" w:cs="Calibri"/>
                <w:lang w:val="hr-HR"/>
              </w:rPr>
            </w:pPr>
            <w:r w:rsidRPr="00DF4CE5">
              <w:rPr>
                <w:rFonts w:ascii="Cambria" w:eastAsia="Calibri" w:hAnsi="Cambria" w:cs="Calibri"/>
                <w:lang w:val="hr-HR"/>
              </w:rPr>
              <w:t>Nastavnica</w:t>
            </w:r>
          </w:p>
          <w:p w14:paraId="7595EE90" w14:textId="66AD2342" w:rsidR="00CA3203" w:rsidRPr="00DF4CE5" w:rsidRDefault="00CA3203" w:rsidP="008B34AF">
            <w:pPr>
              <w:spacing w:after="0" w:line="240" w:lineRule="auto"/>
              <w:jc w:val="both"/>
              <w:rPr>
                <w:rFonts w:ascii="Cambria" w:eastAsia="Calibri" w:hAnsi="Cambria" w:cs="Calibri"/>
                <w:lang w:val="hr-HR"/>
              </w:rPr>
            </w:pPr>
            <w:r w:rsidRPr="00DF4CE5">
              <w:rPr>
                <w:rFonts w:ascii="Cambria" w:eastAsia="Calibri" w:hAnsi="Cambria" w:cs="Calibri"/>
                <w:lang w:val="hr-HR"/>
              </w:rPr>
              <w:t>Suradni</w:t>
            </w:r>
            <w:r w:rsidR="00B36357">
              <w:rPr>
                <w:rFonts w:ascii="Cambria" w:eastAsia="Calibri" w:hAnsi="Cambria" w:cs="Calibri"/>
                <w:lang w:val="hr-HR"/>
              </w:rPr>
              <w:t>k</w:t>
            </w:r>
          </w:p>
        </w:tc>
        <w:tc>
          <w:tcPr>
            <w:tcW w:w="651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5B562FD" w14:textId="77777777" w:rsidR="00CA3203" w:rsidRDefault="009568E0" w:rsidP="008B34AF">
            <w:pPr>
              <w:spacing w:after="0" w:line="240" w:lineRule="auto"/>
              <w:jc w:val="both"/>
              <w:rPr>
                <w:rFonts w:ascii="Cambria" w:eastAsia="Calibri" w:hAnsi="Cambria" w:cs="Calibri"/>
                <w:lang w:val="hr-HR"/>
              </w:rPr>
            </w:pPr>
            <w:hyperlink r:id="rId133" w:history="1">
              <w:r w:rsidRPr="009568E0">
                <w:rPr>
                  <w:rStyle w:val="Hiperveza"/>
                  <w:rFonts w:ascii="Cambria" w:eastAsia="Calibri" w:hAnsi="Cambria" w:cs="Calibri"/>
                  <w:lang w:val="hr-HR"/>
                </w:rPr>
                <w:t>N</w:t>
              </w:r>
              <w:r w:rsidR="006B3E95" w:rsidRPr="009568E0">
                <w:rPr>
                  <w:rStyle w:val="Hiperveza"/>
                  <w:rFonts w:ascii="Cambria" w:eastAsia="Calibri" w:hAnsi="Cambria" w:cs="Calibri"/>
                  <w:lang w:val="hr-HR"/>
                </w:rPr>
                <w:t xml:space="preserve">aslovna </w:t>
              </w:r>
              <w:r w:rsidR="00CA3203" w:rsidRPr="009568E0">
                <w:rPr>
                  <w:rStyle w:val="Hiperveza"/>
                  <w:rFonts w:ascii="Cambria" w:eastAsia="Calibri" w:hAnsi="Cambria" w:cs="Calibri"/>
                  <w:lang w:val="hr-HR"/>
                </w:rPr>
                <w:t>prof. dr.</w:t>
              </w:r>
              <w:r w:rsidR="0036703C" w:rsidRPr="009568E0">
                <w:rPr>
                  <w:rStyle w:val="Hiperveza"/>
                  <w:rFonts w:ascii="Cambria" w:eastAsia="Calibri" w:hAnsi="Cambria" w:cs="Calibri"/>
                  <w:lang w:val="hr-HR"/>
                </w:rPr>
                <w:t xml:space="preserve"> </w:t>
              </w:r>
              <w:r w:rsidR="00CA3203" w:rsidRPr="009568E0">
                <w:rPr>
                  <w:rStyle w:val="Hiperveza"/>
                  <w:rFonts w:ascii="Cambria" w:eastAsia="Calibri" w:hAnsi="Cambria" w:cs="Calibri"/>
                  <w:lang w:val="hr-HR"/>
                </w:rPr>
                <w:t xml:space="preserve">sc. Silva </w:t>
              </w:r>
              <w:proofErr w:type="spellStart"/>
              <w:r w:rsidR="00CA3203" w:rsidRPr="009568E0">
                <w:rPr>
                  <w:rStyle w:val="Hiperveza"/>
                  <w:rFonts w:ascii="Cambria" w:eastAsia="Calibri" w:hAnsi="Cambria" w:cs="Calibri"/>
                  <w:lang w:val="hr-HR"/>
                </w:rPr>
                <w:t>Bratož</w:t>
              </w:r>
              <w:proofErr w:type="spellEnd"/>
            </w:hyperlink>
            <w:r w:rsidR="00CA3203" w:rsidRPr="00DF4CE5">
              <w:rPr>
                <w:rFonts w:ascii="Cambria" w:eastAsia="Calibri" w:hAnsi="Cambria" w:cs="Calibri"/>
                <w:lang w:val="hr-HR"/>
              </w:rPr>
              <w:t xml:space="preserve"> (nositeljica)</w:t>
            </w:r>
          </w:p>
          <w:p w14:paraId="2F35AEC5" w14:textId="75A9F2B7" w:rsidR="00B36357" w:rsidRPr="00DF4CE5" w:rsidRDefault="00B36357" w:rsidP="008B34AF">
            <w:pPr>
              <w:spacing w:after="0" w:line="240" w:lineRule="auto"/>
              <w:jc w:val="both"/>
              <w:rPr>
                <w:rFonts w:ascii="Cambria" w:eastAsia="Calibri" w:hAnsi="Cambria" w:cs="Calibri"/>
                <w:lang w:val="hr-HR"/>
              </w:rPr>
            </w:pPr>
            <w:hyperlink r:id="rId134" w:history="1">
              <w:r w:rsidRPr="00B36357">
                <w:rPr>
                  <w:rStyle w:val="Hiperveza"/>
                  <w:rFonts w:ascii="Cambria" w:eastAsia="Calibri" w:hAnsi="Cambria" w:cs="Calibri"/>
                  <w:lang w:val="hr-HR"/>
                </w:rPr>
                <w:t xml:space="preserve">Ivan </w:t>
              </w:r>
              <w:proofErr w:type="spellStart"/>
              <w:r w:rsidRPr="00B36357">
                <w:rPr>
                  <w:rStyle w:val="Hiperveza"/>
                  <w:rFonts w:ascii="Cambria" w:eastAsia="Calibri" w:hAnsi="Cambria" w:cs="Calibri"/>
                  <w:lang w:val="hr-HR"/>
                </w:rPr>
                <w:t>Žufić</w:t>
              </w:r>
              <w:proofErr w:type="spellEnd"/>
              <w:r w:rsidRPr="00B36357">
                <w:rPr>
                  <w:rStyle w:val="Hiperveza"/>
                  <w:rFonts w:ascii="Cambria" w:eastAsia="Calibri" w:hAnsi="Cambria" w:cs="Calibri"/>
                  <w:lang w:val="hr-HR"/>
                </w:rPr>
                <w:t>, naslovni pred.</w:t>
              </w:r>
            </w:hyperlink>
            <w:r>
              <w:rPr>
                <w:rFonts w:ascii="Cambria" w:eastAsia="Calibri" w:hAnsi="Cambria" w:cs="Calibri"/>
                <w:lang w:val="hr-HR"/>
              </w:rPr>
              <w:t xml:space="preserve"> </w:t>
            </w:r>
          </w:p>
        </w:tc>
      </w:tr>
      <w:tr w:rsidR="00CA3203" w:rsidRPr="00D0399C" w14:paraId="18BF9B39" w14:textId="77777777" w:rsidTr="005323D1">
        <w:tc>
          <w:tcPr>
            <w:tcW w:w="253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4EC4E58" w14:textId="77777777" w:rsidR="00CA3203" w:rsidRPr="00DF4CE5" w:rsidRDefault="00CA3203" w:rsidP="008B34AF">
            <w:pPr>
              <w:spacing w:after="0" w:line="240" w:lineRule="auto"/>
              <w:jc w:val="both"/>
              <w:rPr>
                <w:rFonts w:ascii="Cambria" w:eastAsia="Calibri" w:hAnsi="Cambria" w:cs="Calibri"/>
                <w:lang w:val="hr-HR"/>
              </w:rPr>
            </w:pPr>
            <w:r w:rsidRPr="00DF4CE5">
              <w:rPr>
                <w:rFonts w:ascii="Cambria" w:eastAsia="Calibri" w:hAnsi="Cambria" w:cs="Calibri"/>
                <w:lang w:val="hr-HR"/>
              </w:rPr>
              <w:t>Studijski program</w:t>
            </w:r>
          </w:p>
        </w:tc>
        <w:tc>
          <w:tcPr>
            <w:tcW w:w="651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8867191" w14:textId="77777777" w:rsidR="00CA3203" w:rsidRPr="00DF4CE5" w:rsidRDefault="00CA3203" w:rsidP="008B34AF">
            <w:pPr>
              <w:spacing w:after="0" w:line="240" w:lineRule="auto"/>
              <w:jc w:val="both"/>
              <w:rPr>
                <w:rFonts w:ascii="Cambria" w:eastAsia="Calibri" w:hAnsi="Cambria" w:cs="Calibri"/>
                <w:lang w:val="hr-HR"/>
              </w:rPr>
            </w:pPr>
            <w:r w:rsidRPr="00DF4CE5">
              <w:rPr>
                <w:rFonts w:ascii="Cambria" w:eastAsia="Calibri" w:hAnsi="Cambria" w:cs="Calibri"/>
                <w:lang w:val="hr-HR"/>
              </w:rPr>
              <w:t>Sveučilišni integrirani prijediplomski i diplomski Učiteljski studij na hrvatskom jeziku</w:t>
            </w:r>
          </w:p>
        </w:tc>
      </w:tr>
      <w:tr w:rsidR="00CA3203" w:rsidRPr="00DF4CE5" w14:paraId="008A012A" w14:textId="77777777" w:rsidTr="005323D1">
        <w:tc>
          <w:tcPr>
            <w:tcW w:w="253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9B2A17E" w14:textId="77777777" w:rsidR="00CA3203" w:rsidRPr="00DF4CE5" w:rsidRDefault="00CA3203" w:rsidP="008B34AF">
            <w:pPr>
              <w:spacing w:after="0" w:line="240" w:lineRule="auto"/>
              <w:jc w:val="both"/>
              <w:rPr>
                <w:rFonts w:ascii="Cambria" w:eastAsia="Calibri" w:hAnsi="Cambria" w:cs="Calibri"/>
                <w:lang w:val="hr-HR"/>
              </w:rPr>
            </w:pPr>
            <w:r w:rsidRPr="00DF4CE5">
              <w:rPr>
                <w:rFonts w:ascii="Cambria" w:eastAsia="Calibri" w:hAnsi="Cambria" w:cs="Calibri"/>
                <w:lang w:val="hr-HR"/>
              </w:rPr>
              <w:t>Vrsta kolegija</w:t>
            </w:r>
          </w:p>
        </w:tc>
        <w:tc>
          <w:tcPr>
            <w:tcW w:w="240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4EA12B3" w14:textId="77777777" w:rsidR="00CA3203" w:rsidRPr="00DF4CE5" w:rsidRDefault="00CA3203" w:rsidP="008B34AF">
            <w:pPr>
              <w:spacing w:after="0" w:line="240" w:lineRule="auto"/>
              <w:jc w:val="both"/>
              <w:rPr>
                <w:rFonts w:ascii="Cambria" w:eastAsia="Calibri" w:hAnsi="Cambria" w:cs="Calibri"/>
                <w:lang w:val="hr-HR"/>
              </w:rPr>
            </w:pPr>
            <w:r w:rsidRPr="00DF4CE5">
              <w:rPr>
                <w:rFonts w:ascii="Cambria" w:eastAsia="Calibri" w:hAnsi="Cambria" w:cs="Calibri"/>
                <w:lang w:val="hr-HR"/>
              </w:rPr>
              <w:t xml:space="preserve">obvezan </w:t>
            </w:r>
          </w:p>
          <w:p w14:paraId="42DC3225" w14:textId="77777777" w:rsidR="00CA3203" w:rsidRPr="00DF4CE5" w:rsidRDefault="00CA3203" w:rsidP="008B34AF">
            <w:pPr>
              <w:spacing w:after="0" w:line="240" w:lineRule="auto"/>
              <w:jc w:val="both"/>
              <w:rPr>
                <w:rFonts w:ascii="Cambria" w:eastAsia="Calibri" w:hAnsi="Cambria" w:cs="Calibri"/>
                <w:lang w:val="hr-HR"/>
              </w:rPr>
            </w:pPr>
          </w:p>
        </w:tc>
        <w:tc>
          <w:tcPr>
            <w:tcW w:w="1424"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147C9C79" w14:textId="77777777" w:rsidR="00CA3203" w:rsidRPr="00DF4CE5" w:rsidRDefault="00CA3203" w:rsidP="008B34AF">
            <w:pPr>
              <w:spacing w:after="0" w:line="240" w:lineRule="auto"/>
              <w:jc w:val="both"/>
              <w:rPr>
                <w:rFonts w:ascii="Cambria" w:eastAsia="Calibri" w:hAnsi="Cambria" w:cs="Calibri"/>
                <w:lang w:val="hr-HR"/>
              </w:rPr>
            </w:pPr>
            <w:r w:rsidRPr="00DF4CE5">
              <w:rPr>
                <w:rFonts w:ascii="Cambria" w:eastAsia="Calibri" w:hAnsi="Cambria" w:cs="Calibri"/>
                <w:lang w:val="hr-HR"/>
              </w:rPr>
              <w:t>Razina kolegija</w:t>
            </w:r>
          </w:p>
        </w:tc>
        <w:tc>
          <w:tcPr>
            <w:tcW w:w="2687"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B8B7812" w14:textId="5A7C2C3D" w:rsidR="00CA3203" w:rsidRPr="00DF4CE5" w:rsidRDefault="009568E0" w:rsidP="008B34AF">
            <w:pPr>
              <w:spacing w:after="0" w:line="240" w:lineRule="auto"/>
              <w:jc w:val="both"/>
              <w:rPr>
                <w:rFonts w:ascii="Cambria" w:eastAsia="Calibri" w:hAnsi="Cambria" w:cs="Calibri"/>
                <w:lang w:val="hr-HR"/>
              </w:rPr>
            </w:pPr>
            <w:r>
              <w:rPr>
                <w:rFonts w:ascii="Cambria" w:eastAsia="Calibri" w:hAnsi="Cambria" w:cs="Calibri"/>
                <w:lang w:val="hr-HR"/>
              </w:rPr>
              <w:t>i</w:t>
            </w:r>
            <w:r w:rsidR="00CA3203" w:rsidRPr="00DF4CE5">
              <w:rPr>
                <w:rFonts w:ascii="Cambria" w:eastAsia="Calibri" w:hAnsi="Cambria" w:cs="Calibri"/>
                <w:lang w:val="hr-HR"/>
              </w:rPr>
              <w:t>ntegrirani</w:t>
            </w:r>
          </w:p>
        </w:tc>
      </w:tr>
      <w:tr w:rsidR="00CA3203" w:rsidRPr="00DF4CE5" w14:paraId="29C78C26" w14:textId="77777777" w:rsidTr="005323D1">
        <w:tc>
          <w:tcPr>
            <w:tcW w:w="253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95B6BB1" w14:textId="77777777" w:rsidR="00CA3203" w:rsidRPr="00DF4CE5" w:rsidRDefault="00CA3203" w:rsidP="008B34AF">
            <w:pPr>
              <w:spacing w:after="0" w:line="240" w:lineRule="auto"/>
              <w:jc w:val="both"/>
              <w:rPr>
                <w:rFonts w:ascii="Cambria" w:eastAsia="Calibri" w:hAnsi="Cambria" w:cs="Calibri"/>
                <w:lang w:val="hr-HR"/>
              </w:rPr>
            </w:pPr>
            <w:r w:rsidRPr="00DF4CE5">
              <w:rPr>
                <w:rFonts w:ascii="Cambria" w:eastAsia="Calibri" w:hAnsi="Cambria" w:cs="Calibri"/>
                <w:lang w:val="hr-HR"/>
              </w:rPr>
              <w:t>Semestar</w:t>
            </w:r>
          </w:p>
        </w:tc>
        <w:tc>
          <w:tcPr>
            <w:tcW w:w="240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33F516C" w14:textId="77777777" w:rsidR="00CA3203" w:rsidRPr="00DF4CE5" w:rsidRDefault="00CA3203" w:rsidP="008B34AF">
            <w:pPr>
              <w:spacing w:after="0" w:line="240" w:lineRule="auto"/>
              <w:jc w:val="both"/>
              <w:rPr>
                <w:rFonts w:ascii="Cambria" w:eastAsia="Calibri" w:hAnsi="Cambria" w:cs="Calibri"/>
                <w:lang w:val="hr-HR"/>
              </w:rPr>
            </w:pPr>
            <w:r w:rsidRPr="00DF4CE5">
              <w:rPr>
                <w:rFonts w:ascii="Cambria" w:eastAsia="Calibri" w:hAnsi="Cambria" w:cs="Calibri"/>
                <w:lang w:val="hr-HR"/>
              </w:rPr>
              <w:t>zimski</w:t>
            </w:r>
          </w:p>
          <w:p w14:paraId="3F2385A9" w14:textId="77777777" w:rsidR="00CA3203" w:rsidRPr="00DF4CE5" w:rsidRDefault="00CA3203" w:rsidP="008B34AF">
            <w:pPr>
              <w:spacing w:after="0" w:line="240" w:lineRule="auto"/>
              <w:jc w:val="both"/>
              <w:rPr>
                <w:rFonts w:ascii="Cambria" w:eastAsia="Calibri" w:hAnsi="Cambria" w:cs="Calibri"/>
                <w:lang w:val="hr-HR"/>
              </w:rPr>
            </w:pPr>
          </w:p>
        </w:tc>
        <w:tc>
          <w:tcPr>
            <w:tcW w:w="1424"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50CB6DAC" w14:textId="77777777" w:rsidR="00CA3203" w:rsidRPr="00DF4CE5" w:rsidRDefault="00CA3203" w:rsidP="008B34AF">
            <w:pPr>
              <w:spacing w:after="0" w:line="240" w:lineRule="auto"/>
              <w:jc w:val="both"/>
              <w:rPr>
                <w:rFonts w:ascii="Cambria" w:eastAsia="Calibri" w:hAnsi="Cambria" w:cs="Calibri"/>
                <w:lang w:val="hr-HR"/>
              </w:rPr>
            </w:pPr>
            <w:r w:rsidRPr="00DF4CE5">
              <w:rPr>
                <w:rFonts w:ascii="Cambria" w:eastAsia="Calibri" w:hAnsi="Cambria" w:cs="Calibri"/>
                <w:lang w:val="hr-HR"/>
              </w:rPr>
              <w:t>Godina studija</w:t>
            </w:r>
          </w:p>
        </w:tc>
        <w:tc>
          <w:tcPr>
            <w:tcW w:w="2687"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73B520D" w14:textId="77777777" w:rsidR="00CA3203" w:rsidRPr="00DF4CE5" w:rsidRDefault="00CA3203" w:rsidP="008B34AF">
            <w:pPr>
              <w:spacing w:after="0" w:line="240" w:lineRule="auto"/>
              <w:jc w:val="both"/>
              <w:rPr>
                <w:rFonts w:ascii="Cambria" w:eastAsia="Calibri" w:hAnsi="Cambria" w:cs="Calibri"/>
                <w:lang w:val="hr-HR"/>
              </w:rPr>
            </w:pPr>
            <w:r w:rsidRPr="00DF4CE5">
              <w:rPr>
                <w:rFonts w:ascii="Cambria" w:eastAsia="Calibri" w:hAnsi="Cambria" w:cs="Calibri"/>
                <w:lang w:val="hr-HR"/>
              </w:rPr>
              <w:t>IV.</w:t>
            </w:r>
          </w:p>
        </w:tc>
      </w:tr>
      <w:tr w:rsidR="00CA3203" w:rsidRPr="00DF4CE5" w14:paraId="340DC453" w14:textId="77777777" w:rsidTr="005323D1">
        <w:tc>
          <w:tcPr>
            <w:tcW w:w="253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75855F5" w14:textId="77777777" w:rsidR="00CA3203" w:rsidRPr="00DF4CE5" w:rsidRDefault="00CA3203" w:rsidP="008B34AF">
            <w:pPr>
              <w:spacing w:after="0" w:line="240" w:lineRule="auto"/>
              <w:jc w:val="both"/>
              <w:rPr>
                <w:rFonts w:ascii="Cambria" w:eastAsia="Calibri" w:hAnsi="Cambria" w:cs="Calibri"/>
                <w:lang w:val="hr-HR"/>
              </w:rPr>
            </w:pPr>
            <w:proofErr w:type="spellStart"/>
            <w:r w:rsidRPr="00DF4CE5">
              <w:rPr>
                <w:rFonts w:ascii="Cambria" w:eastAsia="Calibri" w:hAnsi="Cambria" w:cs="Calibri"/>
              </w:rPr>
              <w:t>Mjesto</w:t>
            </w:r>
            <w:proofErr w:type="spellEnd"/>
            <w:r w:rsidRPr="00DF4CE5">
              <w:rPr>
                <w:rFonts w:ascii="Cambria" w:eastAsia="Calibri" w:hAnsi="Cambria" w:cs="Calibri"/>
              </w:rPr>
              <w:t xml:space="preserve"> </w:t>
            </w:r>
            <w:proofErr w:type="spellStart"/>
            <w:r w:rsidRPr="00DF4CE5">
              <w:rPr>
                <w:rFonts w:ascii="Cambria" w:eastAsia="Calibri" w:hAnsi="Cambria" w:cs="Calibri"/>
              </w:rPr>
              <w:t>izvođenja</w:t>
            </w:r>
            <w:proofErr w:type="spellEnd"/>
          </w:p>
        </w:tc>
        <w:tc>
          <w:tcPr>
            <w:tcW w:w="240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2E69522" w14:textId="3E7D3322" w:rsidR="00CA3203" w:rsidRPr="00DF4CE5" w:rsidRDefault="00CA3203" w:rsidP="008B34AF">
            <w:pPr>
              <w:spacing w:after="0" w:line="240" w:lineRule="auto"/>
              <w:jc w:val="both"/>
              <w:rPr>
                <w:rFonts w:ascii="Cambria" w:eastAsia="Calibri" w:hAnsi="Cambria" w:cs="Calibri"/>
                <w:lang w:val="hr-HR"/>
              </w:rPr>
            </w:pPr>
            <w:r w:rsidRPr="00DF4CE5">
              <w:rPr>
                <w:rFonts w:ascii="Cambria" w:eastAsia="Calibri" w:hAnsi="Cambria" w:cs="Calibri"/>
                <w:lang w:val="hr-HR"/>
              </w:rPr>
              <w:t>dvorana, knjižnica</w:t>
            </w:r>
          </w:p>
        </w:tc>
        <w:tc>
          <w:tcPr>
            <w:tcW w:w="1424"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22F4203B" w14:textId="77777777" w:rsidR="00CA3203" w:rsidRPr="00DF4CE5" w:rsidRDefault="00CA3203" w:rsidP="008B34AF">
            <w:pPr>
              <w:spacing w:after="0" w:line="240" w:lineRule="auto"/>
              <w:jc w:val="both"/>
              <w:rPr>
                <w:rFonts w:ascii="Cambria" w:eastAsia="Calibri" w:hAnsi="Cambria" w:cs="Calibri"/>
                <w:lang w:val="hr-HR"/>
              </w:rPr>
            </w:pPr>
            <w:r w:rsidRPr="00DF4CE5">
              <w:rPr>
                <w:rFonts w:ascii="Cambria" w:eastAsia="Calibri" w:hAnsi="Cambria" w:cs="Calibri"/>
              </w:rPr>
              <w:t>Jezik</w:t>
            </w:r>
            <w:r w:rsidRPr="00DF4CE5">
              <w:rPr>
                <w:rFonts w:ascii="Cambria" w:eastAsia="Calibri" w:hAnsi="Cambria" w:cs="Calibri"/>
                <w:lang w:val="hr-HR"/>
              </w:rPr>
              <w:t xml:space="preserve"> izvođenja (drugi jezici)</w:t>
            </w:r>
          </w:p>
        </w:tc>
        <w:tc>
          <w:tcPr>
            <w:tcW w:w="2687"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A8539F9" w14:textId="432E52DC" w:rsidR="00CA3203" w:rsidRPr="00DF4CE5" w:rsidRDefault="009568E0" w:rsidP="008B34AF">
            <w:pPr>
              <w:spacing w:after="0" w:line="240" w:lineRule="auto"/>
              <w:jc w:val="both"/>
              <w:rPr>
                <w:rFonts w:ascii="Cambria" w:eastAsia="Calibri" w:hAnsi="Cambria" w:cs="Calibri"/>
                <w:lang w:val="hr-HR"/>
              </w:rPr>
            </w:pPr>
            <w:r>
              <w:rPr>
                <w:rFonts w:ascii="Cambria" w:eastAsia="Times New Roman" w:hAnsi="Cambria" w:cs="Calibri"/>
                <w:lang w:val="hr-HR"/>
              </w:rPr>
              <w:t>e</w:t>
            </w:r>
            <w:r w:rsidR="00CA3203" w:rsidRPr="00DF4CE5">
              <w:rPr>
                <w:rFonts w:ascii="Cambria" w:eastAsia="Times New Roman" w:hAnsi="Cambria" w:cs="Calibri"/>
                <w:lang w:val="hr-HR"/>
              </w:rPr>
              <w:t>ngleski</w:t>
            </w:r>
          </w:p>
        </w:tc>
      </w:tr>
      <w:tr w:rsidR="00CA3203" w:rsidRPr="00DF4CE5" w14:paraId="0009680D" w14:textId="77777777" w:rsidTr="005323D1">
        <w:tc>
          <w:tcPr>
            <w:tcW w:w="253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F3166D8" w14:textId="77777777" w:rsidR="00CA3203" w:rsidRPr="00DF4CE5" w:rsidRDefault="00CA3203" w:rsidP="008B34AF">
            <w:pPr>
              <w:spacing w:after="0" w:line="240" w:lineRule="auto"/>
              <w:jc w:val="both"/>
              <w:rPr>
                <w:rFonts w:ascii="Cambria" w:eastAsia="Calibri" w:hAnsi="Cambria" w:cs="Calibri"/>
                <w:lang w:val="hr-HR"/>
              </w:rPr>
            </w:pPr>
            <w:r w:rsidRPr="00DF4CE5">
              <w:rPr>
                <w:rFonts w:ascii="Cambria" w:eastAsia="Calibri" w:hAnsi="Cambria" w:cs="Calibri"/>
                <w:lang w:val="hr-HR"/>
              </w:rPr>
              <w:t>Broj ECTS bodova</w:t>
            </w:r>
          </w:p>
        </w:tc>
        <w:tc>
          <w:tcPr>
            <w:tcW w:w="240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54312E7" w14:textId="77777777" w:rsidR="00CA3203" w:rsidRPr="00DF4CE5" w:rsidRDefault="00CA3203" w:rsidP="008B34AF">
            <w:pPr>
              <w:spacing w:after="0" w:line="240" w:lineRule="auto"/>
              <w:jc w:val="both"/>
              <w:rPr>
                <w:rFonts w:ascii="Cambria" w:eastAsia="Calibri" w:hAnsi="Cambria" w:cs="Calibri"/>
                <w:lang w:val="hr-HR"/>
              </w:rPr>
            </w:pPr>
            <w:r w:rsidRPr="00DF4CE5">
              <w:rPr>
                <w:rFonts w:ascii="Cambria" w:eastAsia="Calibri" w:hAnsi="Cambria" w:cs="Calibri"/>
                <w:lang w:val="hr-HR"/>
              </w:rPr>
              <w:t>2</w:t>
            </w:r>
          </w:p>
        </w:tc>
        <w:tc>
          <w:tcPr>
            <w:tcW w:w="1424"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29392F17" w14:textId="77777777" w:rsidR="00CA3203" w:rsidRPr="00DF4CE5" w:rsidRDefault="00CA3203" w:rsidP="008B34AF">
            <w:pPr>
              <w:spacing w:after="0" w:line="240" w:lineRule="auto"/>
              <w:jc w:val="both"/>
              <w:rPr>
                <w:rFonts w:ascii="Cambria" w:eastAsia="Calibri" w:hAnsi="Cambria" w:cs="Calibri"/>
                <w:lang w:val="hr-HR"/>
              </w:rPr>
            </w:pPr>
            <w:r w:rsidRPr="00DF4CE5">
              <w:rPr>
                <w:rFonts w:ascii="Cambria" w:eastAsia="Calibri" w:hAnsi="Cambria" w:cs="Calibri"/>
                <w:lang w:val="hr-HR"/>
              </w:rPr>
              <w:t>Broj sati u semestru</w:t>
            </w:r>
          </w:p>
        </w:tc>
        <w:tc>
          <w:tcPr>
            <w:tcW w:w="2687"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1D052E9" w14:textId="3D04F650" w:rsidR="00CA3203" w:rsidRPr="00DF4CE5" w:rsidRDefault="00CA3203" w:rsidP="008B34AF">
            <w:pPr>
              <w:spacing w:after="0" w:line="240" w:lineRule="auto"/>
              <w:jc w:val="both"/>
              <w:rPr>
                <w:rFonts w:ascii="Cambria" w:eastAsia="Calibri" w:hAnsi="Cambria" w:cs="Calibri"/>
                <w:lang w:val="hr-HR"/>
              </w:rPr>
            </w:pPr>
            <w:r w:rsidRPr="00DF4CE5">
              <w:rPr>
                <w:rFonts w:ascii="Cambria" w:eastAsia="Calibri" w:hAnsi="Cambria" w:cs="Calibri"/>
                <w:lang w:val="hr-HR"/>
              </w:rPr>
              <w:t xml:space="preserve">15P – </w:t>
            </w:r>
            <w:r w:rsidR="00F04088" w:rsidRPr="00DF4CE5">
              <w:rPr>
                <w:rFonts w:ascii="Cambria" w:eastAsia="Calibri" w:hAnsi="Cambria" w:cs="Calibri"/>
                <w:lang w:val="hr-HR"/>
              </w:rPr>
              <w:t>0S</w:t>
            </w:r>
            <w:r w:rsidRPr="00DF4CE5">
              <w:rPr>
                <w:rFonts w:ascii="Cambria" w:eastAsia="Calibri" w:hAnsi="Cambria" w:cs="Calibri"/>
                <w:lang w:val="hr-HR"/>
              </w:rPr>
              <w:t xml:space="preserve"> –</w:t>
            </w:r>
            <w:r w:rsidR="0036703C">
              <w:rPr>
                <w:rFonts w:ascii="Cambria" w:eastAsia="Calibri" w:hAnsi="Cambria" w:cs="Calibri"/>
                <w:lang w:val="hr-HR"/>
              </w:rPr>
              <w:t>30</w:t>
            </w:r>
            <w:r w:rsidR="00F04088" w:rsidRPr="00DF4CE5">
              <w:rPr>
                <w:rFonts w:ascii="Cambria" w:eastAsia="Calibri" w:hAnsi="Cambria" w:cs="Calibri"/>
                <w:lang w:val="hr-HR"/>
              </w:rPr>
              <w:t>V</w:t>
            </w:r>
            <w:r w:rsidRPr="00DF4CE5">
              <w:rPr>
                <w:rFonts w:ascii="Cambria" w:eastAsia="Calibri" w:hAnsi="Cambria" w:cs="Calibri"/>
                <w:lang w:val="hr-HR"/>
              </w:rPr>
              <w:t xml:space="preserve">   </w:t>
            </w:r>
          </w:p>
        </w:tc>
      </w:tr>
      <w:tr w:rsidR="00CA3203" w:rsidRPr="00D0399C" w14:paraId="71F539A8" w14:textId="77777777" w:rsidTr="005323D1">
        <w:tc>
          <w:tcPr>
            <w:tcW w:w="253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3E95F11" w14:textId="77777777" w:rsidR="00CA3203" w:rsidRPr="00DF4CE5" w:rsidRDefault="00CA3203" w:rsidP="008B34AF">
            <w:pPr>
              <w:spacing w:after="0" w:line="240" w:lineRule="auto"/>
              <w:jc w:val="both"/>
              <w:rPr>
                <w:rFonts w:ascii="Cambria" w:eastAsia="Calibri" w:hAnsi="Cambria" w:cs="Calibri"/>
                <w:lang w:val="hr-HR"/>
              </w:rPr>
            </w:pPr>
            <w:r w:rsidRPr="00DF4CE5">
              <w:rPr>
                <w:rFonts w:ascii="Cambria" w:eastAsia="Calibri" w:hAnsi="Cambria" w:cs="Calibri"/>
                <w:lang w:val="hr-HR"/>
              </w:rPr>
              <w:t>Preduvjeti za upis i za svladavanje</w:t>
            </w:r>
          </w:p>
        </w:tc>
        <w:tc>
          <w:tcPr>
            <w:tcW w:w="651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AF0C653" w14:textId="77777777" w:rsidR="00CA3203" w:rsidRPr="00DF4CE5" w:rsidRDefault="00CA3203" w:rsidP="008B34AF">
            <w:pPr>
              <w:spacing w:after="0" w:line="240" w:lineRule="auto"/>
              <w:jc w:val="both"/>
              <w:rPr>
                <w:rFonts w:ascii="Cambria" w:eastAsia="Calibri" w:hAnsi="Cambria" w:cs="Calibri"/>
                <w:lang w:val="hr-HR"/>
              </w:rPr>
            </w:pPr>
            <w:r w:rsidRPr="00DF4CE5">
              <w:rPr>
                <w:rFonts w:ascii="Cambria" w:eastAsia="Calibri" w:hAnsi="Cambria" w:cs="Calibri"/>
                <w:lang w:val="hr-HR"/>
              </w:rPr>
              <w:t>Nema preduvjeta za upis kolegija. Za izlazak na ispit potrebno je prethodno položiti kolegije: Suvremeni engleski jezik I., Suvremeni engleski jezik 2, Suvremeni engleski jezik 3</w:t>
            </w:r>
          </w:p>
        </w:tc>
      </w:tr>
      <w:tr w:rsidR="00CA3203" w:rsidRPr="00D0399C" w14:paraId="7FE30178" w14:textId="77777777" w:rsidTr="005323D1">
        <w:tc>
          <w:tcPr>
            <w:tcW w:w="253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7B1D20C" w14:textId="77777777" w:rsidR="00CA3203" w:rsidRPr="00DF4CE5" w:rsidRDefault="00CA3203" w:rsidP="008B34AF">
            <w:pPr>
              <w:spacing w:after="0" w:line="240" w:lineRule="auto"/>
              <w:jc w:val="both"/>
              <w:rPr>
                <w:rFonts w:ascii="Cambria" w:eastAsia="Calibri" w:hAnsi="Cambria" w:cs="Calibri"/>
                <w:lang w:val="hr-HR"/>
              </w:rPr>
            </w:pPr>
            <w:proofErr w:type="spellStart"/>
            <w:r w:rsidRPr="00DF4CE5">
              <w:rPr>
                <w:rFonts w:ascii="Cambria" w:eastAsia="Calibri" w:hAnsi="Cambria" w:cs="Calibri"/>
              </w:rPr>
              <w:t>Korelativnost</w:t>
            </w:r>
            <w:proofErr w:type="spellEnd"/>
          </w:p>
        </w:tc>
        <w:tc>
          <w:tcPr>
            <w:tcW w:w="651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BD4057B" w14:textId="77777777" w:rsidR="00CA3203" w:rsidRPr="00DF4CE5" w:rsidRDefault="00CA3203" w:rsidP="008B34AF">
            <w:pPr>
              <w:spacing w:after="0" w:line="240" w:lineRule="auto"/>
              <w:jc w:val="both"/>
              <w:rPr>
                <w:rFonts w:ascii="Cambria" w:eastAsia="Calibri" w:hAnsi="Cambria" w:cs="Calibri"/>
                <w:lang w:val="hr-HR"/>
              </w:rPr>
            </w:pPr>
            <w:r w:rsidRPr="00DF4CE5">
              <w:rPr>
                <w:rFonts w:ascii="Cambria" w:eastAsia="Calibri" w:hAnsi="Cambria" w:cs="Calibri"/>
                <w:lang w:val="hr-HR"/>
              </w:rPr>
              <w:t>Engleski jezik I., Engleski jezik II. Govorne vježbe I./1, Govorne vježbe I./2.,Govorne vježbe II./1, Govorne vježbe II./2,  Suvremeni engleski jezik I., Suvremeni engleski jezik 2, Suvremeni engleski jezik 3, Metodika nastave engleskog jezika, Uvod u gramatiku engleskog jezika, Fonetika i fonologija engleskog jezika, Čitanje stručne literature na engleskom jeziku</w:t>
            </w:r>
          </w:p>
        </w:tc>
      </w:tr>
      <w:tr w:rsidR="00CA3203" w:rsidRPr="00D0399C" w14:paraId="7051B9FF" w14:textId="77777777" w:rsidTr="005323D1">
        <w:tc>
          <w:tcPr>
            <w:tcW w:w="253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2BC44DE" w14:textId="77777777" w:rsidR="00CA3203" w:rsidRPr="00DF4CE5" w:rsidRDefault="00CA3203" w:rsidP="008B34AF">
            <w:pPr>
              <w:spacing w:after="0" w:line="240" w:lineRule="auto"/>
              <w:jc w:val="both"/>
              <w:rPr>
                <w:rFonts w:ascii="Cambria" w:eastAsia="Calibri" w:hAnsi="Cambria" w:cs="Calibri"/>
                <w:lang w:val="hr-HR"/>
              </w:rPr>
            </w:pPr>
            <w:r w:rsidRPr="00DF4CE5">
              <w:rPr>
                <w:rFonts w:ascii="Cambria" w:eastAsia="Calibri" w:hAnsi="Cambria" w:cs="Calibri"/>
                <w:lang w:val="hr-HR"/>
              </w:rPr>
              <w:t xml:space="preserve">Cilj kolegija </w:t>
            </w:r>
          </w:p>
        </w:tc>
        <w:tc>
          <w:tcPr>
            <w:tcW w:w="651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BAABE42" w14:textId="77777777" w:rsidR="00CA3203" w:rsidRPr="00DF4CE5" w:rsidRDefault="00CA3203" w:rsidP="008B34AF">
            <w:pPr>
              <w:spacing w:after="0" w:line="240" w:lineRule="auto"/>
              <w:jc w:val="both"/>
              <w:rPr>
                <w:rFonts w:ascii="Cambria" w:eastAsia="Calibri" w:hAnsi="Cambria" w:cs="Calibri"/>
                <w:lang w:val="hr-HR"/>
              </w:rPr>
            </w:pPr>
            <w:r w:rsidRPr="00DF4CE5">
              <w:rPr>
                <w:rFonts w:ascii="Cambria" w:eastAsia="Times New Roman" w:hAnsi="Cambria" w:cs="Calibri"/>
                <w:lang w:val="hr-HR"/>
              </w:rPr>
              <w:t xml:space="preserve">Uvježbati  sve </w:t>
            </w:r>
            <w:r w:rsidRPr="00DF4CE5">
              <w:rPr>
                <w:rFonts w:ascii="Cambria" w:eastAsia="Calibri" w:hAnsi="Cambria" w:cs="Calibri"/>
                <w:lang w:val="hr-HR"/>
              </w:rPr>
              <w:t>četiri jezične vještine (slušanje, govorenje, čitanje i pisanje) na naprednoj razini (C1 prema Zajedničkom europskom referentnom okviru za jezike) koristeći suvremene teme</w:t>
            </w:r>
          </w:p>
        </w:tc>
      </w:tr>
      <w:tr w:rsidR="00CA3203" w:rsidRPr="00D0399C" w14:paraId="0CF38289" w14:textId="77777777" w:rsidTr="005323D1">
        <w:tc>
          <w:tcPr>
            <w:tcW w:w="253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A596B8B" w14:textId="77777777" w:rsidR="00CA3203" w:rsidRPr="00DF4CE5" w:rsidRDefault="00CA3203" w:rsidP="008B34AF">
            <w:pPr>
              <w:spacing w:after="0" w:line="240" w:lineRule="auto"/>
              <w:jc w:val="both"/>
              <w:rPr>
                <w:rFonts w:ascii="Cambria" w:eastAsia="Calibri" w:hAnsi="Cambria" w:cs="Calibri"/>
                <w:lang w:val="hr-HR"/>
              </w:rPr>
            </w:pPr>
            <w:r w:rsidRPr="00DF4CE5">
              <w:rPr>
                <w:rFonts w:ascii="Cambria" w:eastAsia="Calibri" w:hAnsi="Cambria" w:cs="Calibri"/>
                <w:lang w:val="hr-HR"/>
              </w:rPr>
              <w:t>Ishodi učenja</w:t>
            </w:r>
          </w:p>
        </w:tc>
        <w:tc>
          <w:tcPr>
            <w:tcW w:w="651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37F695F" w14:textId="77777777" w:rsidR="00CA3203" w:rsidRPr="00DF4CE5" w:rsidRDefault="00CA3203" w:rsidP="008B34AF">
            <w:pPr>
              <w:spacing w:after="0" w:line="240" w:lineRule="auto"/>
              <w:jc w:val="both"/>
              <w:rPr>
                <w:rFonts w:ascii="Cambria" w:eastAsia="Calibri" w:hAnsi="Cambria" w:cs="Calibri"/>
                <w:lang w:val="hr-HR"/>
              </w:rPr>
            </w:pPr>
            <w:r w:rsidRPr="00DF4CE5">
              <w:rPr>
                <w:rFonts w:ascii="Cambria" w:eastAsia="Calibri" w:hAnsi="Cambria" w:cs="Calibri"/>
                <w:lang w:val="hr-HR"/>
              </w:rPr>
              <w:t>1. služiti se suvremenim rječnikom engleskog jezika na naprednoj razini kako bi mogli raspravljati o suvremenim temama</w:t>
            </w:r>
          </w:p>
          <w:p w14:paraId="69FA2BFD" w14:textId="77777777" w:rsidR="00CA3203" w:rsidRPr="00DF4CE5" w:rsidRDefault="00CA3203" w:rsidP="008B34AF">
            <w:pPr>
              <w:spacing w:after="0" w:line="240" w:lineRule="auto"/>
              <w:jc w:val="both"/>
              <w:rPr>
                <w:rFonts w:ascii="Cambria" w:eastAsia="Calibri" w:hAnsi="Cambria" w:cs="Calibri"/>
                <w:lang w:val="hr-HR"/>
              </w:rPr>
            </w:pPr>
            <w:r w:rsidRPr="00DF4CE5">
              <w:rPr>
                <w:rFonts w:ascii="Cambria" w:eastAsia="Calibri" w:hAnsi="Cambria" w:cs="Calibri"/>
                <w:lang w:val="hr-HR"/>
              </w:rPr>
              <w:t>2. koristiti napredne govorničke vještine</w:t>
            </w:r>
          </w:p>
          <w:p w14:paraId="3D7677E1" w14:textId="77777777" w:rsidR="00CA3203" w:rsidRPr="00DF4CE5" w:rsidRDefault="00CA3203" w:rsidP="008B34AF">
            <w:pPr>
              <w:spacing w:after="0" w:line="240" w:lineRule="auto"/>
              <w:jc w:val="both"/>
              <w:rPr>
                <w:rFonts w:ascii="Cambria" w:eastAsia="Calibri" w:hAnsi="Cambria" w:cs="Calibri"/>
                <w:lang w:val="hr-HR"/>
              </w:rPr>
            </w:pPr>
            <w:r w:rsidRPr="00DF4CE5">
              <w:rPr>
                <w:rFonts w:ascii="Cambria" w:eastAsia="Calibri" w:hAnsi="Cambria" w:cs="Calibri"/>
                <w:lang w:val="hr-HR"/>
              </w:rPr>
              <w:t>3. izraditi funkcionalnih pismenih uradaka</w:t>
            </w:r>
          </w:p>
          <w:p w14:paraId="04E1CCF5" w14:textId="77777777" w:rsidR="00CA3203" w:rsidRPr="00DF4CE5" w:rsidRDefault="00CA3203" w:rsidP="008B34AF">
            <w:pPr>
              <w:spacing w:after="0" w:line="240" w:lineRule="auto"/>
              <w:jc w:val="both"/>
              <w:rPr>
                <w:rFonts w:ascii="Cambria" w:eastAsia="Calibri" w:hAnsi="Cambria" w:cs="Calibri"/>
                <w:lang w:val="hr-HR"/>
              </w:rPr>
            </w:pPr>
            <w:r w:rsidRPr="00DF4CE5">
              <w:rPr>
                <w:rFonts w:ascii="Cambria" w:eastAsia="Calibri" w:hAnsi="Cambria" w:cs="Calibri"/>
                <w:lang w:val="hr-HR"/>
              </w:rPr>
              <w:t>4. koristiti tehnike kritičkog razmišljanja pri evaluaciji  ideja</w:t>
            </w:r>
          </w:p>
          <w:p w14:paraId="65807ACA" w14:textId="77777777" w:rsidR="00CA3203" w:rsidRPr="00DF4CE5" w:rsidRDefault="00CA3203" w:rsidP="008B34AF">
            <w:pPr>
              <w:spacing w:after="0" w:line="240" w:lineRule="auto"/>
              <w:jc w:val="both"/>
              <w:rPr>
                <w:rFonts w:ascii="Cambria" w:eastAsia="Times New Roman" w:hAnsi="Cambria" w:cs="Calibri"/>
                <w:lang w:val="hr-HR"/>
              </w:rPr>
            </w:pPr>
            <w:r w:rsidRPr="00DF4CE5">
              <w:rPr>
                <w:rFonts w:ascii="Cambria" w:eastAsia="Calibri" w:hAnsi="Cambria" w:cs="Calibri"/>
                <w:lang w:val="hr-HR"/>
              </w:rPr>
              <w:t>5. izraditi formalne prezentacije na kvalitetan način</w:t>
            </w:r>
          </w:p>
        </w:tc>
      </w:tr>
      <w:tr w:rsidR="00CA3203" w:rsidRPr="00DF4CE5" w14:paraId="3A516C92" w14:textId="77777777" w:rsidTr="005323D1">
        <w:tc>
          <w:tcPr>
            <w:tcW w:w="2535"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74E36B80" w14:textId="77777777" w:rsidR="00CA3203" w:rsidRPr="00DF4CE5" w:rsidRDefault="00CA3203" w:rsidP="008B34AF">
            <w:pPr>
              <w:spacing w:after="0" w:line="240" w:lineRule="auto"/>
              <w:jc w:val="both"/>
              <w:rPr>
                <w:rFonts w:ascii="Cambria" w:eastAsia="Calibri" w:hAnsi="Cambria" w:cs="Calibri"/>
                <w:lang w:val="hr-HR"/>
              </w:rPr>
            </w:pPr>
            <w:r w:rsidRPr="00DF4CE5">
              <w:rPr>
                <w:rFonts w:ascii="Cambria" w:eastAsia="Calibri" w:hAnsi="Cambria" w:cs="Calibri"/>
                <w:lang w:val="hr-HR"/>
              </w:rPr>
              <w:t>Sadržaj kolegija</w:t>
            </w:r>
          </w:p>
        </w:tc>
        <w:tc>
          <w:tcPr>
            <w:tcW w:w="6517"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3A0145F" w14:textId="77777777" w:rsidR="00CA3203" w:rsidRPr="00DF4CE5" w:rsidRDefault="00CA3203" w:rsidP="008B34AF">
            <w:pPr>
              <w:spacing w:after="0" w:line="240" w:lineRule="atLeast"/>
              <w:contextualSpacing/>
              <w:jc w:val="both"/>
              <w:rPr>
                <w:rFonts w:ascii="Cambria" w:eastAsia="Calibri" w:hAnsi="Cambria" w:cs="Calibri"/>
                <w:lang w:val="hr-HR"/>
              </w:rPr>
            </w:pPr>
            <w:r w:rsidRPr="00DF4CE5">
              <w:rPr>
                <w:rFonts w:ascii="Cambria" w:eastAsia="Calibri" w:hAnsi="Cambria" w:cs="Calibri"/>
                <w:lang w:val="hr-HR"/>
              </w:rPr>
              <w:t xml:space="preserve">1. Same but </w:t>
            </w:r>
            <w:proofErr w:type="spellStart"/>
            <w:r w:rsidRPr="00DF4CE5">
              <w:rPr>
                <w:rFonts w:ascii="Cambria" w:eastAsia="Calibri" w:hAnsi="Cambria" w:cs="Calibri"/>
                <w:lang w:val="hr-HR"/>
              </w:rPr>
              <w:t>different</w:t>
            </w:r>
            <w:proofErr w:type="spellEnd"/>
          </w:p>
          <w:p w14:paraId="3F3A588E" w14:textId="77777777" w:rsidR="00CA3203" w:rsidRPr="00DF4CE5" w:rsidRDefault="00CA3203" w:rsidP="008B34AF">
            <w:pPr>
              <w:spacing w:after="0" w:line="240" w:lineRule="atLeast"/>
              <w:contextualSpacing/>
              <w:jc w:val="both"/>
              <w:rPr>
                <w:rFonts w:ascii="Cambria" w:eastAsia="Calibri" w:hAnsi="Cambria" w:cs="Calibri"/>
                <w:lang w:val="hr-HR"/>
              </w:rPr>
            </w:pPr>
            <w:r w:rsidRPr="00DF4CE5">
              <w:rPr>
                <w:rFonts w:ascii="Cambria" w:eastAsia="Calibri" w:hAnsi="Cambria" w:cs="Calibri"/>
                <w:lang w:val="hr-HR"/>
              </w:rPr>
              <w:t xml:space="preserve">2. </w:t>
            </w:r>
            <w:proofErr w:type="spellStart"/>
            <w:r w:rsidRPr="00DF4CE5">
              <w:rPr>
                <w:rFonts w:ascii="Cambria" w:eastAsia="Calibri" w:hAnsi="Cambria" w:cs="Calibri"/>
                <w:lang w:val="hr-HR"/>
              </w:rPr>
              <w:t>Food</w:t>
            </w:r>
            <w:proofErr w:type="spellEnd"/>
            <w:r w:rsidRPr="00DF4CE5">
              <w:rPr>
                <w:rFonts w:ascii="Cambria" w:eastAsia="Calibri" w:hAnsi="Cambria" w:cs="Calibri"/>
                <w:lang w:val="hr-HR"/>
              </w:rPr>
              <w:t xml:space="preserve"> </w:t>
            </w:r>
            <w:proofErr w:type="spellStart"/>
            <w:r w:rsidRPr="00DF4CE5">
              <w:rPr>
                <w:rFonts w:ascii="Cambria" w:eastAsia="Calibri" w:hAnsi="Cambria" w:cs="Calibri"/>
                <w:lang w:val="hr-HR"/>
              </w:rPr>
              <w:t>and</w:t>
            </w:r>
            <w:proofErr w:type="spellEnd"/>
            <w:r w:rsidRPr="00DF4CE5">
              <w:rPr>
                <w:rFonts w:ascii="Cambria" w:eastAsia="Calibri" w:hAnsi="Cambria" w:cs="Calibri"/>
                <w:lang w:val="hr-HR"/>
              </w:rPr>
              <w:t xml:space="preserve"> </w:t>
            </w:r>
            <w:proofErr w:type="spellStart"/>
            <w:r w:rsidRPr="00DF4CE5">
              <w:rPr>
                <w:rFonts w:ascii="Cambria" w:eastAsia="Calibri" w:hAnsi="Cambria" w:cs="Calibri"/>
                <w:lang w:val="hr-HR"/>
              </w:rPr>
              <w:t>sustainability</w:t>
            </w:r>
            <w:proofErr w:type="spellEnd"/>
          </w:p>
          <w:p w14:paraId="3C640379" w14:textId="77777777" w:rsidR="00CA3203" w:rsidRPr="00DF4CE5" w:rsidRDefault="00CA3203" w:rsidP="008B34AF">
            <w:pPr>
              <w:spacing w:after="0" w:line="240" w:lineRule="atLeast"/>
              <w:contextualSpacing/>
              <w:jc w:val="both"/>
              <w:rPr>
                <w:rFonts w:ascii="Cambria" w:eastAsia="Calibri" w:hAnsi="Cambria" w:cs="Calibri"/>
                <w:lang w:val="hr-HR"/>
              </w:rPr>
            </w:pPr>
            <w:r w:rsidRPr="00DF4CE5">
              <w:rPr>
                <w:rFonts w:ascii="Cambria" w:eastAsia="Calibri" w:hAnsi="Cambria" w:cs="Calibri"/>
                <w:lang w:val="hr-HR"/>
              </w:rPr>
              <w:t xml:space="preserve">3. Internet </w:t>
            </w:r>
            <w:proofErr w:type="spellStart"/>
            <w:r w:rsidRPr="00DF4CE5">
              <w:rPr>
                <w:rFonts w:ascii="Cambria" w:eastAsia="Calibri" w:hAnsi="Cambria" w:cs="Calibri"/>
                <w:lang w:val="hr-HR"/>
              </w:rPr>
              <w:t>sensation</w:t>
            </w:r>
            <w:proofErr w:type="spellEnd"/>
          </w:p>
          <w:p w14:paraId="63E60229" w14:textId="77777777" w:rsidR="00CA3203" w:rsidRPr="00DF4CE5" w:rsidRDefault="00CA3203" w:rsidP="008B34AF">
            <w:pPr>
              <w:spacing w:after="0" w:line="240" w:lineRule="atLeast"/>
              <w:contextualSpacing/>
              <w:jc w:val="both"/>
              <w:rPr>
                <w:rFonts w:ascii="Cambria" w:eastAsia="Calibri" w:hAnsi="Cambria" w:cs="Calibri"/>
                <w:lang w:val="hr-HR"/>
              </w:rPr>
            </w:pPr>
            <w:r w:rsidRPr="00DF4CE5">
              <w:rPr>
                <w:rFonts w:ascii="Cambria" w:eastAsia="Calibri" w:hAnsi="Cambria" w:cs="Calibri"/>
                <w:lang w:val="hr-HR"/>
              </w:rPr>
              <w:t xml:space="preserve">4. </w:t>
            </w:r>
            <w:proofErr w:type="spellStart"/>
            <w:r w:rsidRPr="00DF4CE5">
              <w:rPr>
                <w:rFonts w:ascii="Cambria" w:eastAsia="Calibri" w:hAnsi="Cambria" w:cs="Calibri"/>
                <w:lang w:val="hr-HR"/>
              </w:rPr>
              <w:t>The</w:t>
            </w:r>
            <w:proofErr w:type="spellEnd"/>
            <w:r w:rsidRPr="00DF4CE5">
              <w:rPr>
                <w:rFonts w:ascii="Cambria" w:eastAsia="Calibri" w:hAnsi="Cambria" w:cs="Calibri"/>
                <w:lang w:val="hr-HR"/>
              </w:rPr>
              <w:t xml:space="preserve"> </w:t>
            </w:r>
            <w:proofErr w:type="spellStart"/>
            <w:r w:rsidRPr="00DF4CE5">
              <w:rPr>
                <w:rFonts w:ascii="Cambria" w:eastAsia="Calibri" w:hAnsi="Cambria" w:cs="Calibri"/>
                <w:lang w:val="hr-HR"/>
              </w:rPr>
              <w:t>meaning</w:t>
            </w:r>
            <w:proofErr w:type="spellEnd"/>
            <w:r w:rsidRPr="00DF4CE5">
              <w:rPr>
                <w:rFonts w:ascii="Cambria" w:eastAsia="Calibri" w:hAnsi="Cambria" w:cs="Calibri"/>
                <w:lang w:val="hr-HR"/>
              </w:rPr>
              <w:t xml:space="preserve"> </w:t>
            </w:r>
            <w:proofErr w:type="spellStart"/>
            <w:r w:rsidRPr="00DF4CE5">
              <w:rPr>
                <w:rFonts w:ascii="Cambria" w:eastAsia="Calibri" w:hAnsi="Cambria" w:cs="Calibri"/>
                <w:lang w:val="hr-HR"/>
              </w:rPr>
              <w:t>of</w:t>
            </w:r>
            <w:proofErr w:type="spellEnd"/>
            <w:r w:rsidRPr="00DF4CE5">
              <w:rPr>
                <w:rFonts w:ascii="Cambria" w:eastAsia="Calibri" w:hAnsi="Cambria" w:cs="Calibri"/>
                <w:lang w:val="hr-HR"/>
              </w:rPr>
              <w:t xml:space="preserve"> </w:t>
            </w:r>
            <w:proofErr w:type="spellStart"/>
            <w:r w:rsidRPr="00DF4CE5">
              <w:rPr>
                <w:rFonts w:ascii="Cambria" w:eastAsia="Calibri" w:hAnsi="Cambria" w:cs="Calibri"/>
                <w:lang w:val="hr-HR"/>
              </w:rPr>
              <w:t>success</w:t>
            </w:r>
            <w:proofErr w:type="spellEnd"/>
          </w:p>
          <w:p w14:paraId="09EDCA7F" w14:textId="77777777" w:rsidR="00CA3203" w:rsidRPr="00DF4CE5" w:rsidRDefault="00CA3203" w:rsidP="008B34AF">
            <w:pPr>
              <w:spacing w:after="0" w:line="240" w:lineRule="atLeast"/>
              <w:contextualSpacing/>
              <w:jc w:val="both"/>
              <w:rPr>
                <w:rFonts w:ascii="Cambria" w:eastAsia="Calibri" w:hAnsi="Cambria" w:cs="Calibri"/>
                <w:lang w:val="hr-HR"/>
              </w:rPr>
            </w:pPr>
            <w:r w:rsidRPr="00DF4CE5">
              <w:rPr>
                <w:rFonts w:ascii="Cambria" w:eastAsia="Calibri" w:hAnsi="Cambria" w:cs="Calibri"/>
                <w:lang w:val="hr-HR"/>
              </w:rPr>
              <w:t xml:space="preserve">5. </w:t>
            </w:r>
            <w:proofErr w:type="spellStart"/>
            <w:r w:rsidRPr="00DF4CE5">
              <w:rPr>
                <w:rFonts w:ascii="Cambria" w:eastAsia="Calibri" w:hAnsi="Cambria" w:cs="Calibri"/>
                <w:lang w:val="hr-HR"/>
              </w:rPr>
              <w:t>Learning</w:t>
            </w:r>
            <w:proofErr w:type="spellEnd"/>
            <w:r w:rsidRPr="00DF4CE5">
              <w:rPr>
                <w:rFonts w:ascii="Cambria" w:eastAsia="Calibri" w:hAnsi="Cambria" w:cs="Calibri"/>
                <w:lang w:val="hr-HR"/>
              </w:rPr>
              <w:t xml:space="preserve"> </w:t>
            </w:r>
            <w:proofErr w:type="spellStart"/>
            <w:r w:rsidRPr="00DF4CE5">
              <w:rPr>
                <w:rFonts w:ascii="Cambria" w:eastAsia="Calibri" w:hAnsi="Cambria" w:cs="Calibri"/>
                <w:lang w:val="hr-HR"/>
              </w:rPr>
              <w:t>and</w:t>
            </w:r>
            <w:proofErr w:type="spellEnd"/>
            <w:r w:rsidRPr="00DF4CE5">
              <w:rPr>
                <w:rFonts w:ascii="Cambria" w:eastAsia="Calibri" w:hAnsi="Cambria" w:cs="Calibri"/>
                <w:lang w:val="hr-HR"/>
              </w:rPr>
              <w:t xml:space="preserve"> </w:t>
            </w:r>
            <w:proofErr w:type="spellStart"/>
            <w:r w:rsidRPr="00DF4CE5">
              <w:rPr>
                <w:rFonts w:ascii="Cambria" w:eastAsia="Calibri" w:hAnsi="Cambria" w:cs="Calibri"/>
                <w:lang w:val="hr-HR"/>
              </w:rPr>
              <w:t>memory</w:t>
            </w:r>
            <w:proofErr w:type="spellEnd"/>
          </w:p>
          <w:p w14:paraId="027E1753" w14:textId="77777777" w:rsidR="00CA3203" w:rsidRPr="00DF4CE5" w:rsidRDefault="00CA3203" w:rsidP="008B34AF">
            <w:pPr>
              <w:spacing w:after="0" w:line="240" w:lineRule="atLeast"/>
              <w:contextualSpacing/>
              <w:jc w:val="both"/>
              <w:rPr>
                <w:rFonts w:ascii="Cambria" w:eastAsia="Calibri" w:hAnsi="Cambria" w:cs="Calibri"/>
                <w:lang w:val="hr-HR"/>
              </w:rPr>
            </w:pPr>
            <w:r w:rsidRPr="00DF4CE5">
              <w:rPr>
                <w:rFonts w:ascii="Cambria" w:eastAsia="Calibri" w:hAnsi="Cambria" w:cs="Calibri"/>
                <w:lang w:val="hr-HR"/>
              </w:rPr>
              <w:t xml:space="preserve">6. </w:t>
            </w:r>
            <w:proofErr w:type="spellStart"/>
            <w:r w:rsidRPr="00DF4CE5">
              <w:rPr>
                <w:rFonts w:ascii="Cambria" w:eastAsia="Calibri" w:hAnsi="Cambria" w:cs="Calibri"/>
                <w:lang w:val="hr-HR"/>
              </w:rPr>
              <w:t>Invention</w:t>
            </w:r>
            <w:proofErr w:type="spellEnd"/>
            <w:r w:rsidRPr="00DF4CE5">
              <w:rPr>
                <w:rFonts w:ascii="Cambria" w:eastAsia="Calibri" w:hAnsi="Cambria" w:cs="Calibri"/>
                <w:lang w:val="hr-HR"/>
              </w:rPr>
              <w:t xml:space="preserve"> </w:t>
            </w:r>
            <w:proofErr w:type="spellStart"/>
            <w:r w:rsidRPr="00DF4CE5">
              <w:rPr>
                <w:rFonts w:ascii="Cambria" w:eastAsia="Calibri" w:hAnsi="Cambria" w:cs="Calibri"/>
                <w:lang w:val="hr-HR"/>
              </w:rPr>
              <w:t>or</w:t>
            </w:r>
            <w:proofErr w:type="spellEnd"/>
            <w:r w:rsidRPr="00DF4CE5">
              <w:rPr>
                <w:rFonts w:ascii="Cambria" w:eastAsia="Calibri" w:hAnsi="Cambria" w:cs="Calibri"/>
                <w:lang w:val="hr-HR"/>
              </w:rPr>
              <w:t xml:space="preserve"> </w:t>
            </w:r>
            <w:proofErr w:type="spellStart"/>
            <w:r w:rsidRPr="00DF4CE5">
              <w:rPr>
                <w:rFonts w:ascii="Cambria" w:eastAsia="Calibri" w:hAnsi="Cambria" w:cs="Calibri"/>
                <w:lang w:val="hr-HR"/>
              </w:rPr>
              <w:t>innovation</w:t>
            </w:r>
            <w:proofErr w:type="spellEnd"/>
          </w:p>
        </w:tc>
      </w:tr>
      <w:tr w:rsidR="00CA3203" w:rsidRPr="00DF4CE5" w14:paraId="7F52000B" w14:textId="77777777" w:rsidTr="005323D1">
        <w:tc>
          <w:tcPr>
            <w:tcW w:w="2535"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hideMark/>
          </w:tcPr>
          <w:p w14:paraId="60BEF754" w14:textId="77777777" w:rsidR="00CA3203" w:rsidRPr="00DF4CE5" w:rsidRDefault="00CA3203" w:rsidP="008B34AF">
            <w:pPr>
              <w:spacing w:after="0" w:line="240" w:lineRule="auto"/>
              <w:jc w:val="both"/>
              <w:rPr>
                <w:rFonts w:ascii="Cambria" w:eastAsia="Calibri" w:hAnsi="Cambria" w:cs="Calibri"/>
                <w:lang w:val="hr-HR"/>
              </w:rPr>
            </w:pPr>
            <w:r w:rsidRPr="00DF4CE5">
              <w:rPr>
                <w:rFonts w:ascii="Cambria" w:eastAsia="Calibri" w:hAnsi="Cambria" w:cs="Calibri"/>
                <w:lang w:val="hr-HR"/>
              </w:rPr>
              <w:t>Planirane aktivnosti,</w:t>
            </w:r>
          </w:p>
          <w:p w14:paraId="19233DA4" w14:textId="77777777" w:rsidR="00CA3203" w:rsidRPr="00DF4CE5" w:rsidRDefault="00CA3203" w:rsidP="008B34AF">
            <w:pPr>
              <w:spacing w:after="0" w:line="240" w:lineRule="auto"/>
              <w:jc w:val="both"/>
              <w:rPr>
                <w:rFonts w:ascii="Cambria" w:eastAsia="Calibri" w:hAnsi="Cambria" w:cs="Calibri"/>
                <w:lang w:val="hr-HR"/>
              </w:rPr>
            </w:pPr>
            <w:proofErr w:type="spellStart"/>
            <w:r w:rsidRPr="00DF4CE5">
              <w:rPr>
                <w:rFonts w:ascii="Cambria" w:eastAsia="Calibri" w:hAnsi="Cambria" w:cs="Calibri"/>
                <w:lang w:val="it-IT"/>
              </w:rPr>
              <w:t>metode</w:t>
            </w:r>
            <w:proofErr w:type="spellEnd"/>
            <w:r w:rsidRPr="00DF4CE5">
              <w:rPr>
                <w:rFonts w:ascii="Cambria" w:eastAsia="Calibri" w:hAnsi="Cambria" w:cs="Calibri"/>
                <w:lang w:val="it-IT"/>
              </w:rPr>
              <w:t xml:space="preserve"> </w:t>
            </w:r>
            <w:r w:rsidRPr="00DF4CE5">
              <w:rPr>
                <w:rFonts w:ascii="Cambria" w:eastAsia="Calibri" w:hAnsi="Cambria" w:cs="Calibri"/>
                <w:lang w:val="hr-HR"/>
              </w:rPr>
              <w:t>učenja i poučavanja i načini vrednovanja</w:t>
            </w:r>
          </w:p>
          <w:p w14:paraId="7800742C" w14:textId="77777777" w:rsidR="00CA3203" w:rsidRPr="00DF4CE5" w:rsidRDefault="00CA3203" w:rsidP="008B34AF">
            <w:pPr>
              <w:spacing w:after="0" w:line="240" w:lineRule="auto"/>
              <w:jc w:val="both"/>
              <w:rPr>
                <w:rFonts w:ascii="Cambria" w:eastAsia="Calibri" w:hAnsi="Cambria" w:cs="Calibri"/>
                <w:lang w:val="hr-HR"/>
              </w:rPr>
            </w:pPr>
          </w:p>
        </w:tc>
        <w:tc>
          <w:tcPr>
            <w:tcW w:w="250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475B3A5" w14:textId="77777777" w:rsidR="00CA3203" w:rsidRPr="00DF4CE5" w:rsidRDefault="00CA3203" w:rsidP="008B34AF">
            <w:pPr>
              <w:spacing w:after="0" w:line="240" w:lineRule="atLeast"/>
              <w:jc w:val="both"/>
              <w:rPr>
                <w:rFonts w:ascii="Cambria" w:eastAsia="Times New Roman" w:hAnsi="Cambria" w:cs="Calibri"/>
                <w:bCs/>
                <w:lang w:val="hr-HR"/>
              </w:rPr>
            </w:pPr>
          </w:p>
          <w:p w14:paraId="72799DED" w14:textId="77777777" w:rsidR="00CA3203" w:rsidRPr="00DF4CE5" w:rsidRDefault="00CA3203" w:rsidP="008B34AF">
            <w:pPr>
              <w:spacing w:after="0" w:line="240" w:lineRule="atLeast"/>
              <w:jc w:val="both"/>
              <w:rPr>
                <w:rFonts w:ascii="Cambria" w:eastAsia="Times New Roman" w:hAnsi="Cambria" w:cs="Calibri"/>
                <w:lang w:val="hr-HR"/>
              </w:rPr>
            </w:pPr>
            <w:r w:rsidRPr="00DF4CE5">
              <w:rPr>
                <w:rFonts w:ascii="Cambria" w:eastAsia="Times New Roman" w:hAnsi="Cambria" w:cs="Calibri"/>
                <w:bCs/>
                <w:lang w:val="hr-HR"/>
              </w:rPr>
              <w:t>Obveze</w:t>
            </w:r>
          </w:p>
          <w:p w14:paraId="3EAC76E6" w14:textId="77777777" w:rsidR="00CA3203" w:rsidRPr="00DF4CE5" w:rsidRDefault="00CA3203" w:rsidP="008B34AF">
            <w:pPr>
              <w:spacing w:after="0" w:line="240" w:lineRule="auto"/>
              <w:jc w:val="both"/>
              <w:rPr>
                <w:rFonts w:ascii="Cambria" w:eastAsia="Calibri" w:hAnsi="Cambria" w:cs="Calibri"/>
                <w:lang w:val="hr-HR"/>
              </w:rPr>
            </w:pPr>
          </w:p>
        </w:tc>
        <w:tc>
          <w:tcPr>
            <w:tcW w:w="1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95A1B4F" w14:textId="77777777" w:rsidR="00CA3203" w:rsidRPr="00DF4CE5" w:rsidRDefault="00CA3203" w:rsidP="008B34AF">
            <w:pPr>
              <w:spacing w:after="0" w:line="240" w:lineRule="auto"/>
              <w:jc w:val="both"/>
              <w:rPr>
                <w:rFonts w:ascii="Cambria" w:eastAsia="Calibri" w:hAnsi="Cambria" w:cs="Calibri"/>
                <w:lang w:val="hr-HR"/>
              </w:rPr>
            </w:pPr>
            <w:r w:rsidRPr="00DF4CE5">
              <w:rPr>
                <w:rFonts w:ascii="Cambria" w:eastAsia="Times New Roman" w:hAnsi="Cambria" w:cs="Calibri"/>
                <w:bCs/>
                <w:lang w:val="hr-HR"/>
              </w:rPr>
              <w:t>Ishodi</w:t>
            </w:r>
          </w:p>
        </w:tc>
        <w:tc>
          <w:tcPr>
            <w:tcW w:w="69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0D6AA07" w14:textId="77777777" w:rsidR="00CA3203" w:rsidRPr="00DF4CE5" w:rsidRDefault="00CA3203" w:rsidP="008B34AF">
            <w:pPr>
              <w:spacing w:after="0" w:line="240" w:lineRule="auto"/>
              <w:jc w:val="both"/>
              <w:rPr>
                <w:rFonts w:ascii="Cambria" w:eastAsia="Calibri" w:hAnsi="Cambria" w:cs="Calibri"/>
                <w:lang w:val="hr-HR"/>
              </w:rPr>
            </w:pPr>
            <w:r w:rsidRPr="00DF4CE5">
              <w:rPr>
                <w:rFonts w:ascii="Cambria" w:eastAsia="Times New Roman" w:hAnsi="Cambria" w:cs="Calibri"/>
                <w:bCs/>
                <w:lang w:val="hr-HR"/>
              </w:rPr>
              <w:t>Sati</w:t>
            </w:r>
          </w:p>
        </w:tc>
        <w:tc>
          <w:tcPr>
            <w:tcW w:w="9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64579A1" w14:textId="7DF52CFB" w:rsidR="00CA3203" w:rsidRPr="00DF4CE5" w:rsidRDefault="006C150E" w:rsidP="008B34AF">
            <w:pPr>
              <w:spacing w:after="0" w:line="240" w:lineRule="auto"/>
              <w:jc w:val="both"/>
              <w:rPr>
                <w:rFonts w:ascii="Cambria" w:eastAsia="Calibri" w:hAnsi="Cambria" w:cs="Calibri"/>
                <w:lang w:val="hr-HR"/>
              </w:rPr>
            </w:pPr>
            <w:r>
              <w:rPr>
                <w:rFonts w:ascii="Cambria" w:eastAsia="Times New Roman" w:hAnsi="Cambria" w:cs="Calibri"/>
                <w:bCs/>
                <w:lang w:val="hr-HR"/>
              </w:rPr>
              <w:t>ECTS</w:t>
            </w:r>
          </w:p>
        </w:tc>
        <w:tc>
          <w:tcPr>
            <w:tcW w:w="127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257D9FA" w14:textId="77777777" w:rsidR="00CA3203" w:rsidRPr="00DF4CE5" w:rsidRDefault="00CA3203" w:rsidP="008B34AF">
            <w:pPr>
              <w:spacing w:after="0" w:line="240" w:lineRule="auto"/>
              <w:jc w:val="both"/>
              <w:rPr>
                <w:rFonts w:ascii="Cambria" w:eastAsia="Calibri" w:hAnsi="Cambria" w:cs="Calibri"/>
                <w:lang w:val="hr-HR"/>
              </w:rPr>
            </w:pPr>
            <w:r w:rsidRPr="00DF4CE5">
              <w:rPr>
                <w:rFonts w:ascii="Cambria" w:eastAsia="Times New Roman" w:hAnsi="Cambria" w:cs="Calibri"/>
                <w:bCs/>
                <w:lang w:val="hr-HR"/>
              </w:rPr>
              <w:t>Maksimalni udio u ocjeni</w:t>
            </w:r>
            <w:r w:rsidRPr="00DF4CE5">
              <w:rPr>
                <w:rFonts w:ascii="Cambria" w:eastAsia="Times New Roman" w:hAnsi="Cambria" w:cs="Calibri"/>
                <w:bCs/>
              </w:rPr>
              <w:t xml:space="preserve"> (%)</w:t>
            </w:r>
          </w:p>
        </w:tc>
      </w:tr>
      <w:tr w:rsidR="00CA3203" w:rsidRPr="00DF4CE5" w14:paraId="788A4B59" w14:textId="77777777" w:rsidTr="005323D1">
        <w:tc>
          <w:tcPr>
            <w:tcW w:w="2535" w:type="dxa"/>
            <w:vMerge/>
            <w:tcBorders>
              <w:left w:val="single" w:sz="8" w:space="0" w:color="000000"/>
              <w:right w:val="single" w:sz="8" w:space="0" w:color="000000"/>
            </w:tcBorders>
            <w:vAlign w:val="center"/>
            <w:hideMark/>
          </w:tcPr>
          <w:p w14:paraId="07D896FE" w14:textId="77777777" w:rsidR="00CA3203" w:rsidRPr="00DF4CE5" w:rsidRDefault="00CA3203" w:rsidP="008B34AF">
            <w:pPr>
              <w:spacing w:after="0" w:line="240" w:lineRule="auto"/>
              <w:jc w:val="both"/>
              <w:rPr>
                <w:rFonts w:ascii="Cambria" w:eastAsia="Calibri" w:hAnsi="Cambria" w:cs="Calibri"/>
                <w:lang w:val="hr-HR"/>
              </w:rPr>
            </w:pPr>
          </w:p>
        </w:tc>
        <w:tc>
          <w:tcPr>
            <w:tcW w:w="250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B255588" w14:textId="293D2B00" w:rsidR="00CA3203" w:rsidRPr="00DF4CE5" w:rsidRDefault="00541CA9" w:rsidP="006C150E">
            <w:pPr>
              <w:spacing w:after="0" w:line="240" w:lineRule="auto"/>
              <w:rPr>
                <w:rFonts w:ascii="Cambria" w:eastAsia="Calibri" w:hAnsi="Cambria" w:cs="Calibri"/>
                <w:lang w:val="hr-HR"/>
              </w:rPr>
            </w:pPr>
            <w:proofErr w:type="spellStart"/>
            <w:r w:rsidRPr="00DF4CE5">
              <w:rPr>
                <w:rFonts w:ascii="Cambria" w:eastAsia="Calibri" w:hAnsi="Cambria" w:cs="Calibri"/>
                <w:lang w:val="it-IT"/>
              </w:rPr>
              <w:t>aktivnost</w:t>
            </w:r>
            <w:proofErr w:type="spellEnd"/>
            <w:r w:rsidRPr="00DF4CE5">
              <w:rPr>
                <w:rFonts w:ascii="Cambria" w:eastAsia="Calibri" w:hAnsi="Cambria" w:cs="Calibri"/>
                <w:lang w:val="it-IT"/>
              </w:rPr>
              <w:t xml:space="preserve"> </w:t>
            </w:r>
            <w:proofErr w:type="spellStart"/>
            <w:r w:rsidRPr="00DF4CE5">
              <w:rPr>
                <w:rFonts w:ascii="Cambria" w:eastAsia="Calibri" w:hAnsi="Cambria" w:cs="Calibri"/>
                <w:lang w:val="it-IT"/>
              </w:rPr>
              <w:t>na</w:t>
            </w:r>
            <w:proofErr w:type="spellEnd"/>
            <w:r w:rsidRPr="00DF4CE5">
              <w:rPr>
                <w:rFonts w:ascii="Cambria" w:eastAsia="Calibri" w:hAnsi="Cambria" w:cs="Calibri"/>
                <w:lang w:val="it-IT"/>
              </w:rPr>
              <w:t xml:space="preserve"> </w:t>
            </w:r>
            <w:proofErr w:type="spellStart"/>
            <w:r w:rsidRPr="00DF4CE5">
              <w:rPr>
                <w:rFonts w:ascii="Cambria" w:eastAsia="Calibri" w:hAnsi="Cambria" w:cs="Calibri"/>
                <w:lang w:val="it-IT"/>
              </w:rPr>
              <w:t>nastavi</w:t>
            </w:r>
            <w:proofErr w:type="spellEnd"/>
            <w:r w:rsidR="00CA3203" w:rsidRPr="00DF4CE5">
              <w:rPr>
                <w:rFonts w:ascii="Cambria" w:eastAsia="Calibri" w:hAnsi="Cambria" w:cs="Calibri"/>
                <w:lang w:val="hr-HR"/>
              </w:rPr>
              <w:t xml:space="preserve"> P, V</w:t>
            </w:r>
          </w:p>
        </w:tc>
        <w:tc>
          <w:tcPr>
            <w:tcW w:w="1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24F1249" w14:textId="6B79B2B7" w:rsidR="00CA3203" w:rsidRPr="00DF4CE5" w:rsidRDefault="00CA3203" w:rsidP="006C150E">
            <w:pPr>
              <w:spacing w:after="0" w:line="240" w:lineRule="auto"/>
              <w:jc w:val="center"/>
              <w:rPr>
                <w:rFonts w:ascii="Cambria" w:eastAsia="Calibri" w:hAnsi="Cambria" w:cs="Calibri"/>
                <w:lang w:val="hr-HR"/>
              </w:rPr>
            </w:pPr>
            <w:r w:rsidRPr="00DF4CE5">
              <w:rPr>
                <w:rFonts w:ascii="Cambria" w:eastAsia="Calibri" w:hAnsi="Cambria" w:cs="Calibri"/>
                <w:lang w:val="hr-HR"/>
              </w:rPr>
              <w:t xml:space="preserve">1. </w:t>
            </w:r>
            <w:r w:rsidR="006C150E">
              <w:rPr>
                <w:rFonts w:ascii="Cambria" w:eastAsia="Calibri" w:hAnsi="Cambria" w:cs="Calibri"/>
                <w:lang w:val="hr-HR"/>
              </w:rPr>
              <w:t>–</w:t>
            </w:r>
            <w:r w:rsidRPr="00DF4CE5">
              <w:rPr>
                <w:rFonts w:ascii="Cambria" w:eastAsia="Calibri" w:hAnsi="Cambria" w:cs="Calibri"/>
                <w:lang w:val="hr-HR"/>
              </w:rPr>
              <w:t xml:space="preserve"> 4.</w:t>
            </w:r>
          </w:p>
        </w:tc>
        <w:tc>
          <w:tcPr>
            <w:tcW w:w="69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E7D1FC3" w14:textId="77777777" w:rsidR="00CA3203" w:rsidRPr="00DF4CE5" w:rsidRDefault="00CA3203" w:rsidP="006C150E">
            <w:pPr>
              <w:spacing w:after="0" w:line="240" w:lineRule="auto"/>
              <w:jc w:val="center"/>
              <w:rPr>
                <w:rFonts w:ascii="Cambria" w:eastAsia="Calibri" w:hAnsi="Cambria" w:cs="Calibri"/>
                <w:lang w:val="hr-HR"/>
              </w:rPr>
            </w:pPr>
            <w:r w:rsidRPr="00DF4CE5">
              <w:rPr>
                <w:rFonts w:ascii="Cambria" w:eastAsia="Calibri" w:hAnsi="Cambria" w:cs="Calibri"/>
                <w:lang w:val="hr-HR"/>
              </w:rPr>
              <w:t>34</w:t>
            </w:r>
          </w:p>
        </w:tc>
        <w:tc>
          <w:tcPr>
            <w:tcW w:w="9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13839E3" w14:textId="2DE81DD7" w:rsidR="00CA3203" w:rsidRPr="00DF4CE5" w:rsidRDefault="00CA3203" w:rsidP="006C150E">
            <w:pPr>
              <w:spacing w:after="0" w:line="240" w:lineRule="auto"/>
              <w:jc w:val="center"/>
              <w:rPr>
                <w:rFonts w:ascii="Cambria" w:eastAsia="Calibri" w:hAnsi="Cambria" w:cs="Calibri"/>
                <w:lang w:val="hr-HR"/>
              </w:rPr>
            </w:pPr>
            <w:r w:rsidRPr="00DF4CE5">
              <w:rPr>
                <w:rFonts w:ascii="Cambria" w:eastAsia="Calibri" w:hAnsi="Cambria" w:cs="Calibri"/>
                <w:lang w:val="hr-HR"/>
              </w:rPr>
              <w:t>1,</w:t>
            </w:r>
            <w:r w:rsidR="002B6923" w:rsidRPr="00DF4CE5">
              <w:rPr>
                <w:rFonts w:ascii="Cambria" w:eastAsia="Calibri" w:hAnsi="Cambria" w:cs="Calibri"/>
                <w:lang w:val="hr-HR"/>
              </w:rPr>
              <w:t>1</w:t>
            </w:r>
          </w:p>
        </w:tc>
        <w:tc>
          <w:tcPr>
            <w:tcW w:w="127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5116CDE" w14:textId="77777777" w:rsidR="00CA3203" w:rsidRPr="00DF4CE5" w:rsidRDefault="00CA3203" w:rsidP="006C150E">
            <w:pPr>
              <w:spacing w:after="0" w:line="240" w:lineRule="auto"/>
              <w:jc w:val="center"/>
              <w:rPr>
                <w:rFonts w:ascii="Cambria" w:eastAsia="Calibri" w:hAnsi="Cambria" w:cs="Calibri"/>
                <w:lang w:val="hr-HR"/>
              </w:rPr>
            </w:pPr>
            <w:r w:rsidRPr="00DF4CE5">
              <w:rPr>
                <w:rFonts w:ascii="Cambria" w:eastAsia="Calibri" w:hAnsi="Cambria" w:cs="Calibri"/>
                <w:lang w:val="hr-HR"/>
              </w:rPr>
              <w:t>0%</w:t>
            </w:r>
          </w:p>
        </w:tc>
      </w:tr>
      <w:tr w:rsidR="00CA3203" w:rsidRPr="00DF4CE5" w14:paraId="7EF8918F" w14:textId="77777777" w:rsidTr="005323D1">
        <w:tc>
          <w:tcPr>
            <w:tcW w:w="2535" w:type="dxa"/>
            <w:vMerge/>
            <w:tcBorders>
              <w:left w:val="single" w:sz="8" w:space="0" w:color="000000"/>
              <w:right w:val="single" w:sz="8" w:space="0" w:color="000000"/>
            </w:tcBorders>
            <w:vAlign w:val="center"/>
            <w:hideMark/>
          </w:tcPr>
          <w:p w14:paraId="6C799934" w14:textId="77777777" w:rsidR="00CA3203" w:rsidRPr="00DF4CE5" w:rsidRDefault="00CA3203" w:rsidP="008B34AF">
            <w:pPr>
              <w:spacing w:after="0" w:line="240" w:lineRule="auto"/>
              <w:jc w:val="both"/>
              <w:rPr>
                <w:rFonts w:ascii="Cambria" w:eastAsia="Calibri" w:hAnsi="Cambria" w:cs="Calibri"/>
                <w:lang w:val="hr-HR"/>
              </w:rPr>
            </w:pPr>
          </w:p>
        </w:tc>
        <w:tc>
          <w:tcPr>
            <w:tcW w:w="250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FF7541C" w14:textId="77777777" w:rsidR="00CA3203" w:rsidRPr="00DF4CE5" w:rsidRDefault="00CA3203" w:rsidP="006C150E">
            <w:pPr>
              <w:spacing w:after="0" w:line="240" w:lineRule="auto"/>
              <w:rPr>
                <w:rFonts w:ascii="Cambria" w:eastAsia="Calibri" w:hAnsi="Cambria" w:cs="Calibri"/>
                <w:lang w:val="hr-HR"/>
              </w:rPr>
            </w:pPr>
            <w:r w:rsidRPr="00DF4CE5">
              <w:rPr>
                <w:rFonts w:ascii="Cambria" w:eastAsia="Calibri" w:hAnsi="Cambria" w:cs="Calibri"/>
                <w:lang w:val="hr-HR"/>
              </w:rPr>
              <w:t>vježbe, domaća zadaća, prezentacija</w:t>
            </w:r>
          </w:p>
        </w:tc>
        <w:tc>
          <w:tcPr>
            <w:tcW w:w="1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E625F29" w14:textId="6CE9D593" w:rsidR="00CA3203" w:rsidRPr="00DF4CE5" w:rsidRDefault="00CA3203" w:rsidP="006C150E">
            <w:pPr>
              <w:spacing w:after="0" w:line="240" w:lineRule="auto"/>
              <w:jc w:val="center"/>
              <w:rPr>
                <w:rFonts w:ascii="Cambria" w:eastAsia="Calibri" w:hAnsi="Cambria" w:cs="Calibri"/>
                <w:lang w:val="hr-HR"/>
              </w:rPr>
            </w:pPr>
            <w:r w:rsidRPr="00DF4CE5">
              <w:rPr>
                <w:rFonts w:ascii="Cambria" w:eastAsia="Calibri" w:hAnsi="Cambria" w:cs="Calibri"/>
                <w:lang w:val="hr-HR"/>
              </w:rPr>
              <w:t xml:space="preserve">1. </w:t>
            </w:r>
            <w:r w:rsidR="006C150E">
              <w:rPr>
                <w:rFonts w:ascii="Cambria" w:eastAsia="Calibri" w:hAnsi="Cambria" w:cs="Calibri"/>
                <w:lang w:val="hr-HR"/>
              </w:rPr>
              <w:t>–</w:t>
            </w:r>
            <w:r w:rsidRPr="00DF4CE5">
              <w:rPr>
                <w:rFonts w:ascii="Cambria" w:eastAsia="Calibri" w:hAnsi="Cambria" w:cs="Calibri"/>
                <w:lang w:val="hr-HR"/>
              </w:rPr>
              <w:t xml:space="preserve"> 3.</w:t>
            </w:r>
          </w:p>
        </w:tc>
        <w:tc>
          <w:tcPr>
            <w:tcW w:w="69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EE96915" w14:textId="6835EECB" w:rsidR="00CA3203" w:rsidRPr="00DF4CE5" w:rsidRDefault="002B6923" w:rsidP="006C150E">
            <w:pPr>
              <w:spacing w:after="0" w:line="240" w:lineRule="auto"/>
              <w:jc w:val="center"/>
              <w:rPr>
                <w:rFonts w:ascii="Cambria" w:eastAsia="Calibri" w:hAnsi="Cambria" w:cs="Calibri"/>
                <w:lang w:val="hr-HR"/>
              </w:rPr>
            </w:pPr>
            <w:r w:rsidRPr="00DF4CE5">
              <w:rPr>
                <w:rFonts w:ascii="Cambria" w:eastAsia="Calibri" w:hAnsi="Cambria" w:cs="Calibri"/>
                <w:lang w:val="hr-HR"/>
              </w:rPr>
              <w:t>6</w:t>
            </w:r>
          </w:p>
        </w:tc>
        <w:tc>
          <w:tcPr>
            <w:tcW w:w="9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B712585" w14:textId="473DC3BA" w:rsidR="00CA3203" w:rsidRPr="00DF4CE5" w:rsidRDefault="00CA3203" w:rsidP="006C150E">
            <w:pPr>
              <w:spacing w:after="0" w:line="240" w:lineRule="auto"/>
              <w:jc w:val="center"/>
              <w:rPr>
                <w:rFonts w:ascii="Cambria" w:eastAsia="Calibri" w:hAnsi="Cambria" w:cs="Calibri"/>
                <w:lang w:val="hr-HR"/>
              </w:rPr>
            </w:pPr>
            <w:r w:rsidRPr="00DF4CE5">
              <w:rPr>
                <w:rFonts w:ascii="Cambria" w:eastAsia="Calibri" w:hAnsi="Cambria" w:cs="Calibri"/>
                <w:lang w:val="hr-HR"/>
              </w:rPr>
              <w:t>0,</w:t>
            </w:r>
            <w:r w:rsidR="002B6923" w:rsidRPr="00DF4CE5">
              <w:rPr>
                <w:rFonts w:ascii="Cambria" w:eastAsia="Calibri" w:hAnsi="Cambria" w:cs="Calibri"/>
                <w:lang w:val="hr-HR"/>
              </w:rPr>
              <w:t>2</w:t>
            </w:r>
          </w:p>
        </w:tc>
        <w:tc>
          <w:tcPr>
            <w:tcW w:w="127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EB91F74" w14:textId="77777777" w:rsidR="00CA3203" w:rsidRPr="00DF4CE5" w:rsidRDefault="00CA3203" w:rsidP="006C150E">
            <w:pPr>
              <w:spacing w:after="0" w:line="240" w:lineRule="auto"/>
              <w:jc w:val="center"/>
              <w:rPr>
                <w:rFonts w:ascii="Cambria" w:eastAsia="Calibri" w:hAnsi="Cambria" w:cs="Calibri"/>
                <w:lang w:val="hr-HR"/>
              </w:rPr>
            </w:pPr>
            <w:r w:rsidRPr="00DF4CE5">
              <w:rPr>
                <w:rFonts w:ascii="Cambria" w:eastAsia="Calibri" w:hAnsi="Cambria" w:cs="Calibri"/>
                <w:lang w:val="hr-HR"/>
              </w:rPr>
              <w:t>30%</w:t>
            </w:r>
          </w:p>
        </w:tc>
      </w:tr>
      <w:tr w:rsidR="00CA3203" w:rsidRPr="00DF4CE5" w14:paraId="729C77E2" w14:textId="77777777" w:rsidTr="005323D1">
        <w:tc>
          <w:tcPr>
            <w:tcW w:w="2535" w:type="dxa"/>
            <w:vMerge/>
            <w:tcBorders>
              <w:left w:val="single" w:sz="8" w:space="0" w:color="000000"/>
              <w:right w:val="single" w:sz="8" w:space="0" w:color="000000"/>
            </w:tcBorders>
            <w:vAlign w:val="center"/>
            <w:hideMark/>
          </w:tcPr>
          <w:p w14:paraId="20F514C9" w14:textId="77777777" w:rsidR="00CA3203" w:rsidRPr="00DF4CE5" w:rsidRDefault="00CA3203" w:rsidP="008B34AF">
            <w:pPr>
              <w:spacing w:after="0" w:line="240" w:lineRule="auto"/>
              <w:jc w:val="both"/>
              <w:rPr>
                <w:rFonts w:ascii="Cambria" w:eastAsia="Calibri" w:hAnsi="Cambria" w:cs="Calibri"/>
                <w:lang w:val="hr-HR"/>
              </w:rPr>
            </w:pPr>
          </w:p>
        </w:tc>
        <w:tc>
          <w:tcPr>
            <w:tcW w:w="250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52B23FB" w14:textId="77777777" w:rsidR="00CA3203" w:rsidRPr="00DF4CE5" w:rsidRDefault="00CA3203" w:rsidP="006C150E">
            <w:pPr>
              <w:spacing w:after="0" w:line="240" w:lineRule="auto"/>
              <w:rPr>
                <w:rFonts w:ascii="Cambria" w:eastAsia="Calibri" w:hAnsi="Cambria" w:cs="Calibri"/>
                <w:lang w:val="hr-HR"/>
              </w:rPr>
            </w:pPr>
            <w:proofErr w:type="spellStart"/>
            <w:r w:rsidRPr="00DF4CE5">
              <w:rPr>
                <w:rFonts w:ascii="Cambria" w:eastAsia="Calibri" w:hAnsi="Cambria" w:cs="Calibri"/>
                <w:lang w:val="it-IT"/>
              </w:rPr>
              <w:t>dva</w:t>
            </w:r>
            <w:proofErr w:type="spellEnd"/>
            <w:r w:rsidRPr="00DF4CE5">
              <w:rPr>
                <w:rFonts w:ascii="Cambria" w:eastAsia="Calibri" w:hAnsi="Cambria" w:cs="Calibri"/>
                <w:lang w:val="it-IT"/>
              </w:rPr>
              <w:t xml:space="preserve"> pisana k</w:t>
            </w:r>
            <w:proofErr w:type="spellStart"/>
            <w:r w:rsidRPr="00DF4CE5">
              <w:rPr>
                <w:rFonts w:ascii="Cambria" w:eastAsia="Calibri" w:hAnsi="Cambria" w:cs="Calibri"/>
                <w:lang w:val="hr-HR"/>
              </w:rPr>
              <w:t>olokvija</w:t>
            </w:r>
            <w:proofErr w:type="spellEnd"/>
            <w:r w:rsidRPr="00DF4CE5">
              <w:rPr>
                <w:rFonts w:ascii="Cambria" w:eastAsia="Calibri" w:hAnsi="Cambria" w:cs="Calibri"/>
                <w:lang w:val="it-IT"/>
              </w:rPr>
              <w:t xml:space="preserve"> ili </w:t>
            </w:r>
            <w:proofErr w:type="spellStart"/>
            <w:r w:rsidRPr="00DF4CE5">
              <w:rPr>
                <w:rFonts w:ascii="Cambria" w:eastAsia="Calibri" w:hAnsi="Cambria" w:cs="Calibri"/>
                <w:lang w:val="it-IT"/>
              </w:rPr>
              <w:t>završni</w:t>
            </w:r>
            <w:proofErr w:type="spellEnd"/>
            <w:r w:rsidRPr="00DF4CE5">
              <w:rPr>
                <w:rFonts w:ascii="Cambria" w:eastAsia="Calibri" w:hAnsi="Cambria" w:cs="Calibri"/>
                <w:lang w:val="it-IT"/>
              </w:rPr>
              <w:t xml:space="preserve"> pisani </w:t>
            </w:r>
            <w:proofErr w:type="spellStart"/>
            <w:r w:rsidRPr="00DF4CE5">
              <w:rPr>
                <w:rFonts w:ascii="Cambria" w:eastAsia="Calibri" w:hAnsi="Cambria" w:cs="Calibri"/>
                <w:lang w:val="it-IT"/>
              </w:rPr>
              <w:t>ispit</w:t>
            </w:r>
            <w:proofErr w:type="spellEnd"/>
            <w:r w:rsidRPr="00DF4CE5">
              <w:rPr>
                <w:rFonts w:ascii="Cambria" w:eastAsia="Calibri" w:hAnsi="Cambria" w:cs="Calibri"/>
                <w:lang w:val="it-IT"/>
              </w:rPr>
              <w:t xml:space="preserve"> </w:t>
            </w:r>
          </w:p>
        </w:tc>
        <w:tc>
          <w:tcPr>
            <w:tcW w:w="1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3104088" w14:textId="0CB73505" w:rsidR="00CA3203" w:rsidRPr="00DF4CE5" w:rsidRDefault="00CA3203" w:rsidP="006C150E">
            <w:pPr>
              <w:spacing w:after="0" w:line="240" w:lineRule="auto"/>
              <w:jc w:val="center"/>
              <w:rPr>
                <w:rFonts w:ascii="Cambria" w:eastAsia="Calibri" w:hAnsi="Cambria" w:cs="Calibri"/>
                <w:lang w:val="hr-HR"/>
              </w:rPr>
            </w:pPr>
            <w:r w:rsidRPr="00DF4CE5">
              <w:rPr>
                <w:rFonts w:ascii="Cambria" w:eastAsia="Calibri" w:hAnsi="Cambria" w:cs="Calibri"/>
                <w:lang w:val="hr-HR"/>
              </w:rPr>
              <w:t xml:space="preserve">1. </w:t>
            </w:r>
            <w:r w:rsidR="006C150E">
              <w:rPr>
                <w:rFonts w:ascii="Cambria" w:eastAsia="Calibri" w:hAnsi="Cambria" w:cs="Calibri"/>
                <w:lang w:val="hr-HR"/>
              </w:rPr>
              <w:t>–</w:t>
            </w:r>
            <w:r w:rsidRPr="00DF4CE5">
              <w:rPr>
                <w:rFonts w:ascii="Cambria" w:eastAsia="Calibri" w:hAnsi="Cambria" w:cs="Calibri"/>
                <w:lang w:val="hr-HR"/>
              </w:rPr>
              <w:t xml:space="preserve"> 4.</w:t>
            </w:r>
          </w:p>
        </w:tc>
        <w:tc>
          <w:tcPr>
            <w:tcW w:w="69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1886E0E" w14:textId="3BFBEF3A" w:rsidR="00CA3203" w:rsidRPr="00DF4CE5" w:rsidRDefault="002B6923" w:rsidP="006C150E">
            <w:pPr>
              <w:spacing w:after="0" w:line="240" w:lineRule="auto"/>
              <w:jc w:val="center"/>
              <w:rPr>
                <w:rFonts w:ascii="Cambria" w:eastAsia="Calibri" w:hAnsi="Cambria" w:cs="Calibri"/>
                <w:lang w:val="hr-HR"/>
              </w:rPr>
            </w:pPr>
            <w:r w:rsidRPr="00DF4CE5">
              <w:rPr>
                <w:rFonts w:ascii="Cambria" w:eastAsia="Calibri" w:hAnsi="Cambria" w:cs="Calibri"/>
                <w:lang w:val="hr-HR"/>
              </w:rPr>
              <w:t>20</w:t>
            </w:r>
          </w:p>
        </w:tc>
        <w:tc>
          <w:tcPr>
            <w:tcW w:w="9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9F30853" w14:textId="0B374DC9" w:rsidR="00CA3203" w:rsidRPr="00DF4CE5" w:rsidRDefault="00CA3203" w:rsidP="006C150E">
            <w:pPr>
              <w:spacing w:after="0" w:line="240" w:lineRule="auto"/>
              <w:jc w:val="center"/>
              <w:rPr>
                <w:rFonts w:ascii="Cambria" w:eastAsia="Calibri" w:hAnsi="Cambria" w:cs="Calibri"/>
                <w:lang w:val="hr-HR"/>
              </w:rPr>
            </w:pPr>
            <w:r w:rsidRPr="00DF4CE5">
              <w:rPr>
                <w:rFonts w:ascii="Cambria" w:eastAsia="Calibri" w:hAnsi="Cambria" w:cs="Calibri"/>
                <w:lang w:val="hr-HR"/>
              </w:rPr>
              <w:t>0,</w:t>
            </w:r>
            <w:r w:rsidR="002B6923" w:rsidRPr="00DF4CE5">
              <w:rPr>
                <w:rFonts w:ascii="Cambria" w:eastAsia="Calibri" w:hAnsi="Cambria" w:cs="Calibri"/>
                <w:lang w:val="hr-HR"/>
              </w:rPr>
              <w:t>7</w:t>
            </w:r>
          </w:p>
        </w:tc>
        <w:tc>
          <w:tcPr>
            <w:tcW w:w="127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B9307BC" w14:textId="77777777" w:rsidR="00CA3203" w:rsidRPr="00DF4CE5" w:rsidRDefault="00CA3203" w:rsidP="006C150E">
            <w:pPr>
              <w:spacing w:after="0" w:line="240" w:lineRule="auto"/>
              <w:jc w:val="center"/>
              <w:rPr>
                <w:rFonts w:ascii="Cambria" w:eastAsia="Calibri" w:hAnsi="Cambria" w:cs="Calibri"/>
                <w:lang w:val="hr-HR"/>
              </w:rPr>
            </w:pPr>
            <w:r w:rsidRPr="00DF4CE5">
              <w:rPr>
                <w:rFonts w:ascii="Cambria" w:eastAsia="Calibri" w:hAnsi="Cambria" w:cs="Calibri"/>
                <w:lang w:val="hr-HR"/>
              </w:rPr>
              <w:t>2 x 35 %</w:t>
            </w:r>
          </w:p>
        </w:tc>
      </w:tr>
      <w:tr w:rsidR="00CA3203" w:rsidRPr="00DF4CE5" w14:paraId="61D4D82E" w14:textId="77777777" w:rsidTr="005323D1">
        <w:tc>
          <w:tcPr>
            <w:tcW w:w="2535" w:type="dxa"/>
            <w:vMerge/>
            <w:tcBorders>
              <w:left w:val="single" w:sz="8" w:space="0" w:color="000000"/>
              <w:right w:val="single" w:sz="8" w:space="0" w:color="000000"/>
            </w:tcBorders>
            <w:vAlign w:val="center"/>
            <w:hideMark/>
          </w:tcPr>
          <w:p w14:paraId="77B008F7" w14:textId="77777777" w:rsidR="00CA3203" w:rsidRPr="00DF4CE5" w:rsidRDefault="00CA3203" w:rsidP="008B34AF">
            <w:pPr>
              <w:spacing w:after="0" w:line="240" w:lineRule="auto"/>
              <w:jc w:val="both"/>
              <w:rPr>
                <w:rFonts w:ascii="Cambria" w:eastAsia="Calibri" w:hAnsi="Cambria" w:cs="Calibri"/>
                <w:lang w:val="hr-HR"/>
              </w:rPr>
            </w:pPr>
          </w:p>
        </w:tc>
        <w:tc>
          <w:tcPr>
            <w:tcW w:w="3559"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754F347" w14:textId="77777777" w:rsidR="00CA3203" w:rsidRPr="00DF4CE5" w:rsidRDefault="00CA3203" w:rsidP="008B34AF">
            <w:pPr>
              <w:spacing w:after="0" w:line="240" w:lineRule="auto"/>
              <w:jc w:val="both"/>
              <w:rPr>
                <w:rFonts w:ascii="Cambria" w:eastAsia="Calibri" w:hAnsi="Cambria" w:cs="Calibri"/>
                <w:lang w:val="hr-HR"/>
              </w:rPr>
            </w:pPr>
            <w:proofErr w:type="spellStart"/>
            <w:r w:rsidRPr="00DF4CE5">
              <w:rPr>
                <w:rFonts w:ascii="Cambria" w:eastAsia="Calibri" w:hAnsi="Cambria" w:cs="Calibri"/>
              </w:rPr>
              <w:t>ukupno</w:t>
            </w:r>
            <w:proofErr w:type="spellEnd"/>
          </w:p>
        </w:tc>
        <w:tc>
          <w:tcPr>
            <w:tcW w:w="69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105B4E5" w14:textId="4D401614" w:rsidR="00CA3203" w:rsidRPr="00DF4CE5" w:rsidRDefault="002B6923" w:rsidP="006C150E">
            <w:pPr>
              <w:spacing w:after="0" w:line="240" w:lineRule="auto"/>
              <w:jc w:val="center"/>
              <w:rPr>
                <w:rFonts w:ascii="Cambria" w:eastAsia="Calibri" w:hAnsi="Cambria" w:cs="Calibri"/>
                <w:lang w:val="hr-HR"/>
              </w:rPr>
            </w:pPr>
            <w:r w:rsidRPr="00DF4CE5">
              <w:rPr>
                <w:rFonts w:ascii="Cambria" w:eastAsia="Calibri" w:hAnsi="Cambria" w:cs="Calibri"/>
                <w:lang w:val="hr-HR"/>
              </w:rPr>
              <w:t>60</w:t>
            </w:r>
          </w:p>
        </w:tc>
        <w:tc>
          <w:tcPr>
            <w:tcW w:w="9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2F9A7AE" w14:textId="77777777" w:rsidR="00CA3203" w:rsidRPr="00DF4CE5" w:rsidRDefault="00CA3203" w:rsidP="006C150E">
            <w:pPr>
              <w:spacing w:after="0" w:line="240" w:lineRule="auto"/>
              <w:jc w:val="center"/>
              <w:rPr>
                <w:rFonts w:ascii="Cambria" w:eastAsia="Calibri" w:hAnsi="Cambria" w:cs="Calibri"/>
                <w:lang w:val="hr-HR"/>
              </w:rPr>
            </w:pPr>
            <w:r w:rsidRPr="00DF4CE5">
              <w:rPr>
                <w:rFonts w:ascii="Cambria" w:eastAsia="Calibri" w:hAnsi="Cambria" w:cs="Calibri"/>
                <w:lang w:val="hr-HR"/>
              </w:rPr>
              <w:t>2</w:t>
            </w:r>
          </w:p>
        </w:tc>
        <w:tc>
          <w:tcPr>
            <w:tcW w:w="127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EA2AD08" w14:textId="77777777" w:rsidR="00CA3203" w:rsidRPr="00DF4CE5" w:rsidRDefault="00CA3203" w:rsidP="006C150E">
            <w:pPr>
              <w:spacing w:after="0" w:line="240" w:lineRule="auto"/>
              <w:jc w:val="center"/>
              <w:rPr>
                <w:rFonts w:ascii="Cambria" w:eastAsia="Calibri" w:hAnsi="Cambria" w:cs="Calibri"/>
                <w:lang w:val="hr-HR"/>
              </w:rPr>
            </w:pPr>
            <w:r w:rsidRPr="00DF4CE5">
              <w:rPr>
                <w:rFonts w:ascii="Cambria" w:eastAsia="Calibri" w:hAnsi="Cambria" w:cs="Calibri"/>
                <w:lang w:val="hr-HR"/>
              </w:rPr>
              <w:t>100 %</w:t>
            </w:r>
          </w:p>
        </w:tc>
      </w:tr>
      <w:tr w:rsidR="00CA3203" w:rsidRPr="00D0399C" w14:paraId="3EB1AB22" w14:textId="77777777" w:rsidTr="005323D1">
        <w:tc>
          <w:tcPr>
            <w:tcW w:w="2535" w:type="dxa"/>
            <w:vMerge/>
            <w:tcBorders>
              <w:left w:val="single" w:sz="8" w:space="0" w:color="000000"/>
              <w:bottom w:val="single" w:sz="8" w:space="0" w:color="000000"/>
              <w:right w:val="single" w:sz="8" w:space="0" w:color="000000"/>
            </w:tcBorders>
            <w:vAlign w:val="center"/>
          </w:tcPr>
          <w:p w14:paraId="3D765978" w14:textId="77777777" w:rsidR="00CA3203" w:rsidRPr="00DF4CE5" w:rsidRDefault="00CA3203" w:rsidP="008B34AF">
            <w:pPr>
              <w:spacing w:after="0" w:line="240" w:lineRule="auto"/>
              <w:jc w:val="both"/>
              <w:rPr>
                <w:rFonts w:ascii="Cambria" w:eastAsia="Calibri" w:hAnsi="Cambria" w:cs="Calibri"/>
                <w:lang w:val="hr-HR"/>
              </w:rPr>
            </w:pPr>
          </w:p>
        </w:tc>
        <w:tc>
          <w:tcPr>
            <w:tcW w:w="6517"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05314A2" w14:textId="77777777" w:rsidR="00CA3203" w:rsidRPr="00DF4CE5" w:rsidRDefault="00CA3203" w:rsidP="008B34AF">
            <w:pPr>
              <w:spacing w:after="0" w:line="240" w:lineRule="auto"/>
              <w:jc w:val="both"/>
              <w:rPr>
                <w:rFonts w:ascii="Cambria" w:eastAsia="Calibri" w:hAnsi="Cambria" w:cs="Calibri"/>
                <w:lang w:val="hr-HR"/>
              </w:rPr>
            </w:pPr>
            <w:r w:rsidRPr="00DF4CE5">
              <w:rPr>
                <w:rFonts w:ascii="Cambria" w:eastAsia="Calibri" w:hAnsi="Cambria" w:cs="Calibri"/>
                <w:lang w:val="hr-HR"/>
              </w:rPr>
              <w:t>Dodatna pojašnjenja (kriteriji ocjenjivanja):</w:t>
            </w:r>
          </w:p>
          <w:p w14:paraId="0E4B3BA2" w14:textId="77777777" w:rsidR="00CA3203" w:rsidRPr="00DF4CE5" w:rsidRDefault="00CA3203" w:rsidP="008B34AF">
            <w:pPr>
              <w:spacing w:after="0" w:line="240" w:lineRule="auto"/>
              <w:jc w:val="both"/>
              <w:rPr>
                <w:rFonts w:ascii="Cambria" w:eastAsia="Calibri" w:hAnsi="Cambria" w:cs="Calibri"/>
                <w:lang w:val="hr-HR"/>
              </w:rPr>
            </w:pPr>
            <w:r w:rsidRPr="00DF4CE5">
              <w:rPr>
                <w:rFonts w:ascii="Cambria" w:eastAsia="Calibri" w:hAnsi="Cambria" w:cs="Calibri"/>
                <w:lang w:val="hr-HR"/>
              </w:rPr>
              <w:t xml:space="preserve">Ukoliko student/studentica ne položi pisane kolokvije, polaže završni pisani i usmeni ispit tijekom ispitnih rokova. </w:t>
            </w:r>
          </w:p>
          <w:p w14:paraId="773B72D7" w14:textId="77777777" w:rsidR="00CA3203" w:rsidRPr="00DF4CE5" w:rsidRDefault="00CA3203" w:rsidP="008B34AF">
            <w:pPr>
              <w:spacing w:after="0" w:line="240" w:lineRule="auto"/>
              <w:jc w:val="both"/>
              <w:rPr>
                <w:rFonts w:ascii="Cambria" w:eastAsia="Calibri" w:hAnsi="Cambria" w:cs="Calibri"/>
                <w:lang w:val="hr-HR"/>
              </w:rPr>
            </w:pPr>
            <w:r w:rsidRPr="00DF4CE5">
              <w:rPr>
                <w:rFonts w:ascii="Cambria" w:eastAsia="Calibri" w:hAnsi="Cambria" w:cs="Calibri"/>
                <w:lang w:val="hr-HR"/>
              </w:rPr>
              <w:t>Položeni kolokviji i vježbe vrijede tijekom akademske godine u kojem je kolegij odslušan. Ukoliko tijekom te akademske godine student/studentica ne položi kolegij, prilikom izlaska na ispit tijekom sljedeće akademske godine mora pristupiti i pisanom i usmenom dijelu ispita.</w:t>
            </w:r>
          </w:p>
        </w:tc>
      </w:tr>
      <w:tr w:rsidR="00CA3203" w:rsidRPr="00D0399C" w14:paraId="54FC04E0" w14:textId="77777777" w:rsidTr="005323D1">
        <w:tc>
          <w:tcPr>
            <w:tcW w:w="253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0FEFB29" w14:textId="77777777" w:rsidR="00CA3203" w:rsidRPr="00DF4CE5" w:rsidRDefault="00CA3203" w:rsidP="008B34AF">
            <w:pPr>
              <w:spacing w:after="0" w:line="240" w:lineRule="auto"/>
              <w:jc w:val="both"/>
              <w:rPr>
                <w:rFonts w:ascii="Cambria" w:eastAsia="Calibri" w:hAnsi="Cambria" w:cs="Calibri"/>
                <w:lang w:val="hr-HR"/>
              </w:rPr>
            </w:pPr>
            <w:r w:rsidRPr="00DF4CE5">
              <w:rPr>
                <w:rFonts w:ascii="Cambria" w:eastAsia="Calibri" w:hAnsi="Cambria" w:cs="Calibri"/>
                <w:lang w:val="hr-HR"/>
              </w:rPr>
              <w:t>Studentske obveze</w:t>
            </w:r>
          </w:p>
        </w:tc>
        <w:tc>
          <w:tcPr>
            <w:tcW w:w="651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0F63C7F" w14:textId="77777777" w:rsidR="00CA3203" w:rsidRPr="00DF4CE5" w:rsidRDefault="00CA3203" w:rsidP="008B34AF">
            <w:pPr>
              <w:spacing w:after="0" w:line="240" w:lineRule="auto"/>
              <w:jc w:val="both"/>
              <w:rPr>
                <w:rFonts w:ascii="Cambria" w:eastAsia="Calibri" w:hAnsi="Cambria" w:cs="Calibri"/>
                <w:lang w:val="hr-HR"/>
              </w:rPr>
            </w:pPr>
            <w:r w:rsidRPr="00DF4CE5">
              <w:rPr>
                <w:rFonts w:ascii="Cambria" w:eastAsia="Calibri" w:hAnsi="Cambria" w:cs="Calibri"/>
                <w:lang w:val="hr-HR"/>
              </w:rPr>
              <w:t>Da položi kolegij, student/studentica mora:</w:t>
            </w:r>
          </w:p>
          <w:p w14:paraId="517B9D7E" w14:textId="39949F8D" w:rsidR="00CA3203" w:rsidRPr="00DF4CE5" w:rsidRDefault="006C150E" w:rsidP="006C150E">
            <w:pPr>
              <w:spacing w:after="0" w:line="240" w:lineRule="atLeast"/>
              <w:contextualSpacing/>
              <w:jc w:val="both"/>
              <w:rPr>
                <w:rFonts w:ascii="Cambria" w:eastAsia="Calibri" w:hAnsi="Cambria" w:cs="Calibri"/>
                <w:lang w:val="hr-HR"/>
              </w:rPr>
            </w:pPr>
            <w:r>
              <w:rPr>
                <w:rFonts w:ascii="Cambria" w:eastAsia="Calibri" w:hAnsi="Cambria" w:cs="Calibri"/>
                <w:lang w:val="hr-HR"/>
              </w:rPr>
              <w:t>1. p</w:t>
            </w:r>
            <w:r w:rsidR="00CA3203" w:rsidRPr="00DF4CE5">
              <w:rPr>
                <w:rFonts w:ascii="Cambria" w:eastAsia="Calibri" w:hAnsi="Cambria" w:cs="Calibri"/>
                <w:lang w:val="hr-HR"/>
              </w:rPr>
              <w:t>ohađati više od 70% nastave</w:t>
            </w:r>
            <w:r>
              <w:rPr>
                <w:rFonts w:ascii="Cambria" w:eastAsia="Calibri" w:hAnsi="Cambria" w:cs="Calibri"/>
                <w:lang w:val="hr-HR"/>
              </w:rPr>
              <w:t xml:space="preserve"> (u</w:t>
            </w:r>
            <w:r w:rsidR="00CA3203" w:rsidRPr="00DF4CE5">
              <w:rPr>
                <w:rFonts w:ascii="Cambria" w:eastAsia="Calibri" w:hAnsi="Cambria" w:cs="Calibri"/>
                <w:lang w:val="hr-HR"/>
              </w:rPr>
              <w:t>koliko student/studentica izostane između 30% i 50% nastave, dodijelit će mu/joj se dodatni zadaci</w:t>
            </w:r>
            <w:r>
              <w:rPr>
                <w:rFonts w:ascii="Cambria" w:eastAsia="Calibri" w:hAnsi="Cambria" w:cs="Calibri"/>
                <w:lang w:val="hr-HR"/>
              </w:rPr>
              <w:t>; u</w:t>
            </w:r>
            <w:r w:rsidR="00CA3203" w:rsidRPr="00DF4CE5">
              <w:rPr>
                <w:rFonts w:ascii="Cambria" w:eastAsia="Calibri" w:hAnsi="Cambria" w:cs="Calibri"/>
                <w:lang w:val="hr-HR"/>
              </w:rPr>
              <w:t xml:space="preserve"> slučaju da student/studentica izostane s više od 50% nastave, uskratit će mu/joj se pravo na izlazak na ispit i upis ECTS bodova</w:t>
            </w:r>
            <w:r>
              <w:rPr>
                <w:rFonts w:ascii="Cambria" w:eastAsia="Calibri" w:hAnsi="Cambria" w:cs="Calibri"/>
                <w:lang w:val="hr-HR"/>
              </w:rPr>
              <w:t>)</w:t>
            </w:r>
          </w:p>
          <w:p w14:paraId="0E55BDF2" w14:textId="48B1F048" w:rsidR="00CA3203" w:rsidRPr="00DF4CE5" w:rsidRDefault="006C150E" w:rsidP="006C150E">
            <w:pPr>
              <w:spacing w:after="0" w:line="240" w:lineRule="atLeast"/>
              <w:contextualSpacing/>
              <w:jc w:val="both"/>
              <w:rPr>
                <w:rFonts w:ascii="Cambria" w:eastAsia="Calibri" w:hAnsi="Cambria" w:cs="Calibri"/>
                <w:lang w:val="hr-HR"/>
              </w:rPr>
            </w:pPr>
            <w:r>
              <w:rPr>
                <w:rFonts w:ascii="Cambria" w:eastAsia="Calibri" w:hAnsi="Cambria" w:cs="Calibri"/>
                <w:lang w:val="hr-HR"/>
              </w:rPr>
              <w:t>2. o</w:t>
            </w:r>
            <w:r w:rsidR="00CA3203" w:rsidRPr="00DF4CE5">
              <w:rPr>
                <w:rFonts w:ascii="Cambria" w:eastAsia="Calibri" w:hAnsi="Cambria" w:cs="Calibri"/>
                <w:lang w:val="hr-HR"/>
              </w:rPr>
              <w:t>draditi zadane vježbe i domaću zadaću</w:t>
            </w:r>
            <w:r>
              <w:rPr>
                <w:rFonts w:ascii="Cambria" w:eastAsia="Calibri" w:hAnsi="Cambria" w:cs="Calibri"/>
                <w:lang w:val="hr-HR"/>
              </w:rPr>
              <w:t xml:space="preserve"> (u</w:t>
            </w:r>
            <w:r w:rsidR="00CA3203" w:rsidRPr="00DF4CE5">
              <w:rPr>
                <w:rFonts w:ascii="Cambria" w:eastAsia="Calibri" w:hAnsi="Cambria" w:cs="Calibri"/>
                <w:lang w:val="hr-HR"/>
              </w:rPr>
              <w:t>koliko je student/studentica neuspješan/neuspješna pri izvršavanju ove obveze, pristupa usmenom ispitu</w:t>
            </w:r>
            <w:r>
              <w:rPr>
                <w:rFonts w:ascii="Cambria" w:eastAsia="Calibri" w:hAnsi="Cambria" w:cs="Calibri"/>
                <w:lang w:val="hr-HR"/>
              </w:rPr>
              <w:t>)</w:t>
            </w:r>
          </w:p>
          <w:p w14:paraId="0A64B838" w14:textId="636DB642" w:rsidR="00CA3203" w:rsidRPr="00DF4CE5" w:rsidRDefault="006C150E" w:rsidP="006C150E">
            <w:pPr>
              <w:spacing w:after="0" w:line="240" w:lineRule="atLeast"/>
              <w:contextualSpacing/>
              <w:jc w:val="both"/>
              <w:rPr>
                <w:rFonts w:ascii="Cambria" w:eastAsia="Calibri" w:hAnsi="Cambria" w:cs="Calibri"/>
                <w:lang w:val="hr-HR"/>
              </w:rPr>
            </w:pPr>
            <w:r>
              <w:rPr>
                <w:rFonts w:ascii="Cambria" w:eastAsia="Calibri" w:hAnsi="Cambria" w:cs="Calibri"/>
                <w:lang w:val="hr-HR"/>
              </w:rPr>
              <w:t>3. p</w:t>
            </w:r>
            <w:r w:rsidR="00CA3203" w:rsidRPr="00DF4CE5">
              <w:rPr>
                <w:rFonts w:ascii="Cambria" w:eastAsia="Calibri" w:hAnsi="Cambria" w:cs="Calibri"/>
                <w:lang w:val="hr-HR"/>
              </w:rPr>
              <w:t>oložiti dva pisana kolokvija</w:t>
            </w:r>
            <w:r>
              <w:rPr>
                <w:rFonts w:ascii="Cambria" w:eastAsia="Calibri" w:hAnsi="Cambria" w:cs="Calibri"/>
                <w:lang w:val="hr-HR"/>
              </w:rPr>
              <w:t xml:space="preserve"> (u</w:t>
            </w:r>
            <w:r w:rsidR="00CA3203" w:rsidRPr="00DF4CE5">
              <w:rPr>
                <w:rFonts w:ascii="Cambria" w:eastAsia="Calibri" w:hAnsi="Cambria" w:cs="Calibri"/>
                <w:lang w:val="hr-HR"/>
              </w:rPr>
              <w:t>koliko je student/studentica neuspješan/neuspješna u izvršavanju ove obveze, mora položiti završni pisani ispit te pristupiti usmenom ispitu</w:t>
            </w:r>
            <w:r>
              <w:rPr>
                <w:rFonts w:ascii="Cambria" w:eastAsia="Calibri" w:hAnsi="Cambria" w:cs="Calibri"/>
                <w:lang w:val="hr-HR"/>
              </w:rPr>
              <w:t>; u</w:t>
            </w:r>
            <w:r w:rsidR="00CA3203" w:rsidRPr="00DF4CE5">
              <w:rPr>
                <w:rFonts w:ascii="Cambria" w:eastAsia="Calibri" w:hAnsi="Cambria" w:cs="Calibri"/>
                <w:lang w:val="hr-HR"/>
              </w:rPr>
              <w:t xml:space="preserve"> tom slučaju pisani ispit i usmeni ispit svaki nose 50% ocjene</w:t>
            </w:r>
            <w:r>
              <w:rPr>
                <w:rFonts w:ascii="Cambria" w:eastAsia="Calibri" w:hAnsi="Cambria" w:cs="Calibri"/>
                <w:lang w:val="hr-HR"/>
              </w:rPr>
              <w:t>)</w:t>
            </w:r>
            <w:r w:rsidR="00CA3203" w:rsidRPr="00DF4CE5">
              <w:rPr>
                <w:rFonts w:ascii="Cambria" w:eastAsia="Calibri" w:hAnsi="Cambria" w:cs="Calibri"/>
                <w:lang w:val="hr-HR"/>
              </w:rPr>
              <w:t>.</w:t>
            </w:r>
          </w:p>
        </w:tc>
      </w:tr>
      <w:tr w:rsidR="00CA3203" w:rsidRPr="00D0399C" w14:paraId="734F03AD" w14:textId="77777777" w:rsidTr="005323D1">
        <w:tc>
          <w:tcPr>
            <w:tcW w:w="253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353D89E" w14:textId="77777777" w:rsidR="00CA3203" w:rsidRPr="00DF4CE5" w:rsidRDefault="00CA3203" w:rsidP="008B34AF">
            <w:pPr>
              <w:spacing w:after="0" w:line="240" w:lineRule="auto"/>
              <w:jc w:val="both"/>
              <w:rPr>
                <w:rFonts w:ascii="Cambria" w:eastAsia="Calibri" w:hAnsi="Cambria" w:cs="Calibri"/>
                <w:lang w:val="hr-HR"/>
              </w:rPr>
            </w:pPr>
            <w:proofErr w:type="spellStart"/>
            <w:r w:rsidRPr="00DF4CE5">
              <w:rPr>
                <w:rFonts w:ascii="Cambria" w:eastAsia="Calibri" w:hAnsi="Cambria" w:cs="Calibri"/>
              </w:rPr>
              <w:t>Rokovi</w:t>
            </w:r>
            <w:proofErr w:type="spellEnd"/>
            <w:r w:rsidRPr="00DF4CE5">
              <w:rPr>
                <w:rFonts w:ascii="Cambria" w:eastAsia="Calibri" w:hAnsi="Cambria" w:cs="Calibri"/>
              </w:rPr>
              <w:t xml:space="preserve"> </w:t>
            </w:r>
            <w:proofErr w:type="spellStart"/>
            <w:r w:rsidRPr="00DF4CE5">
              <w:rPr>
                <w:rFonts w:ascii="Cambria" w:eastAsia="Calibri" w:hAnsi="Cambria" w:cs="Calibri"/>
              </w:rPr>
              <w:t>ispita</w:t>
            </w:r>
            <w:proofErr w:type="spellEnd"/>
            <w:r w:rsidRPr="00DF4CE5">
              <w:rPr>
                <w:rFonts w:ascii="Cambria" w:eastAsia="Calibri" w:hAnsi="Cambria" w:cs="Calibri"/>
              </w:rPr>
              <w:t xml:space="preserve"> </w:t>
            </w:r>
            <w:proofErr w:type="spellStart"/>
            <w:r w:rsidRPr="00DF4CE5">
              <w:rPr>
                <w:rFonts w:ascii="Cambria" w:eastAsia="Calibri" w:hAnsi="Cambria" w:cs="Calibri"/>
              </w:rPr>
              <w:t>i</w:t>
            </w:r>
            <w:proofErr w:type="spellEnd"/>
            <w:r w:rsidRPr="00DF4CE5">
              <w:rPr>
                <w:rFonts w:ascii="Cambria" w:eastAsia="Calibri" w:hAnsi="Cambria" w:cs="Calibri"/>
              </w:rPr>
              <w:t xml:space="preserve"> </w:t>
            </w:r>
            <w:proofErr w:type="spellStart"/>
            <w:r w:rsidRPr="00DF4CE5">
              <w:rPr>
                <w:rFonts w:ascii="Cambria" w:eastAsia="Calibri" w:hAnsi="Cambria" w:cs="Calibri"/>
              </w:rPr>
              <w:t>kolokvija</w:t>
            </w:r>
            <w:proofErr w:type="spellEnd"/>
          </w:p>
        </w:tc>
        <w:tc>
          <w:tcPr>
            <w:tcW w:w="651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2AA1E09" w14:textId="77777777" w:rsidR="00CA3203" w:rsidRPr="00DF4CE5" w:rsidRDefault="00CA3203" w:rsidP="008B34AF">
            <w:pPr>
              <w:spacing w:after="0" w:line="240" w:lineRule="auto"/>
              <w:jc w:val="both"/>
              <w:rPr>
                <w:rFonts w:ascii="Cambria" w:eastAsia="Calibri" w:hAnsi="Cambria" w:cs="Calibri"/>
                <w:lang w:val="hr-HR"/>
              </w:rPr>
            </w:pPr>
            <w:r w:rsidRPr="00DF4CE5">
              <w:rPr>
                <w:rFonts w:ascii="Cambria" w:eastAsia="Calibri" w:hAnsi="Cambria" w:cs="Calibri"/>
                <w:lang w:val="hr-HR"/>
              </w:rPr>
              <w:t xml:space="preserve">Objavljuju se početkom akademske godine na mrežnim stranicama Sveučilišta i u ISVU sustavu. </w:t>
            </w:r>
          </w:p>
        </w:tc>
      </w:tr>
      <w:tr w:rsidR="00CA3203" w:rsidRPr="006C150E" w14:paraId="00D17707" w14:textId="77777777" w:rsidTr="005323D1">
        <w:tc>
          <w:tcPr>
            <w:tcW w:w="253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94CFDD5" w14:textId="77777777" w:rsidR="00CA3203" w:rsidRPr="00DF4CE5" w:rsidRDefault="00CA3203" w:rsidP="008B34AF">
            <w:pPr>
              <w:spacing w:after="0" w:line="240" w:lineRule="auto"/>
              <w:jc w:val="both"/>
              <w:rPr>
                <w:rFonts w:ascii="Cambria" w:eastAsia="Calibri" w:hAnsi="Cambria" w:cs="Calibri"/>
                <w:lang w:val="hr-HR"/>
              </w:rPr>
            </w:pPr>
            <w:r w:rsidRPr="00DF4CE5">
              <w:rPr>
                <w:rFonts w:ascii="Cambria" w:eastAsia="Calibri" w:hAnsi="Cambria" w:cs="Calibri"/>
                <w:lang w:val="hr-HR"/>
              </w:rPr>
              <w:t xml:space="preserve">Ostale važne činjenice </w:t>
            </w:r>
            <w:proofErr w:type="spellStart"/>
            <w:r w:rsidRPr="00DF4CE5">
              <w:rPr>
                <w:rFonts w:ascii="Cambria" w:eastAsia="Calibri" w:hAnsi="Cambria" w:cs="Calibri"/>
                <w:lang w:val="it-IT"/>
              </w:rPr>
              <w:t>vezane</w:t>
            </w:r>
            <w:proofErr w:type="spellEnd"/>
            <w:r w:rsidRPr="00DF4CE5">
              <w:rPr>
                <w:rFonts w:ascii="Cambria" w:eastAsia="Calibri" w:hAnsi="Cambria" w:cs="Calibri"/>
                <w:lang w:val="it-IT"/>
              </w:rPr>
              <w:t xml:space="preserve"> </w:t>
            </w:r>
            <w:proofErr w:type="spellStart"/>
            <w:r w:rsidRPr="00DF4CE5">
              <w:rPr>
                <w:rFonts w:ascii="Cambria" w:eastAsia="Calibri" w:hAnsi="Cambria" w:cs="Calibri"/>
                <w:lang w:val="it-IT"/>
              </w:rPr>
              <w:t>uz</w:t>
            </w:r>
            <w:proofErr w:type="spellEnd"/>
            <w:r w:rsidRPr="00DF4CE5">
              <w:rPr>
                <w:rFonts w:ascii="Cambria" w:eastAsia="Calibri" w:hAnsi="Cambria" w:cs="Calibri"/>
                <w:lang w:val="it-IT"/>
              </w:rPr>
              <w:t xml:space="preserve"> </w:t>
            </w:r>
            <w:proofErr w:type="spellStart"/>
            <w:r w:rsidRPr="00DF4CE5">
              <w:rPr>
                <w:rFonts w:ascii="Cambria" w:eastAsia="Calibri" w:hAnsi="Cambria" w:cs="Calibri"/>
                <w:lang w:val="it-IT"/>
              </w:rPr>
              <w:t>kolegij</w:t>
            </w:r>
            <w:proofErr w:type="spellEnd"/>
          </w:p>
        </w:tc>
        <w:tc>
          <w:tcPr>
            <w:tcW w:w="651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9B2A321" w14:textId="77777777" w:rsidR="00CA3203" w:rsidRPr="00DF4CE5" w:rsidRDefault="00CA3203" w:rsidP="008B34AF">
            <w:pPr>
              <w:spacing w:after="0" w:line="240" w:lineRule="auto"/>
              <w:jc w:val="both"/>
              <w:rPr>
                <w:rFonts w:ascii="Cambria" w:eastAsia="Calibri" w:hAnsi="Cambria" w:cs="Calibri"/>
                <w:lang w:val="hr-HR"/>
              </w:rPr>
            </w:pPr>
            <w:r w:rsidRPr="00DF4CE5">
              <w:rPr>
                <w:rFonts w:ascii="Cambria" w:eastAsia="Calibri" w:hAnsi="Cambria" w:cs="Calibri"/>
                <w:lang w:val="hr-HR"/>
              </w:rPr>
              <w:t>Materijali za predavanja i seminare objavljuju se na e-učenju.</w:t>
            </w:r>
          </w:p>
          <w:p w14:paraId="3528FF28" w14:textId="1D9A2276" w:rsidR="00CA3203" w:rsidRPr="00DF4CE5" w:rsidRDefault="00CA3203" w:rsidP="008B34AF">
            <w:pPr>
              <w:spacing w:after="0" w:line="240" w:lineRule="auto"/>
              <w:jc w:val="both"/>
              <w:rPr>
                <w:rFonts w:ascii="Cambria" w:eastAsia="Calibri" w:hAnsi="Cambria" w:cs="Calibri"/>
                <w:lang w:val="hr-HR"/>
              </w:rPr>
            </w:pPr>
            <w:r w:rsidRPr="00DF4CE5">
              <w:rPr>
                <w:rFonts w:ascii="Cambria" w:eastAsia="Times New Roman" w:hAnsi="Cambria" w:cs="Calibri"/>
                <w:lang w:val="hr-HR"/>
              </w:rPr>
              <w:t xml:space="preserve">U slučaju održavanja nastave na daljinu, moguće je odstupanje u: mjestu izvođenja kolegija, provedbi aktivnosti, metoda tumačenja i poučavanja i načinima vrednovanja, studentskim obvezama i dostupnoj literaturi. O tome će nositeljica kolegija i </w:t>
            </w:r>
            <w:r w:rsidR="006C150E">
              <w:rPr>
                <w:rFonts w:ascii="Cambria" w:eastAsia="Times New Roman" w:hAnsi="Cambria" w:cs="Calibri"/>
                <w:lang w:val="hr-HR"/>
              </w:rPr>
              <w:t>suradnica</w:t>
            </w:r>
            <w:r w:rsidRPr="00DF4CE5">
              <w:rPr>
                <w:rFonts w:ascii="Cambria" w:eastAsia="Times New Roman" w:hAnsi="Cambria" w:cs="Calibri"/>
                <w:lang w:val="hr-HR"/>
              </w:rPr>
              <w:t xml:space="preserve"> obavijestiti studente i studentice kad se nastava na daljinu počne održavati. Ishodi učenja ostaju nepromijenjeni.</w:t>
            </w:r>
          </w:p>
        </w:tc>
      </w:tr>
      <w:tr w:rsidR="00CA3203" w:rsidRPr="00DF4CE5" w14:paraId="1E6F1B29" w14:textId="77777777" w:rsidTr="005323D1">
        <w:trPr>
          <w:trHeight w:val="770"/>
        </w:trPr>
        <w:tc>
          <w:tcPr>
            <w:tcW w:w="253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ED004AE" w14:textId="77777777" w:rsidR="00CA3203" w:rsidRPr="00DF4CE5" w:rsidRDefault="00CA3203" w:rsidP="008B34AF">
            <w:pPr>
              <w:spacing w:after="0" w:line="240" w:lineRule="auto"/>
              <w:jc w:val="both"/>
              <w:rPr>
                <w:rFonts w:ascii="Cambria" w:eastAsia="Calibri" w:hAnsi="Cambria" w:cs="Calibri"/>
                <w:lang w:val="hr-HR"/>
              </w:rPr>
            </w:pPr>
            <w:r w:rsidRPr="00DF4CE5">
              <w:rPr>
                <w:rFonts w:ascii="Cambria" w:eastAsia="Calibri" w:hAnsi="Cambria" w:cs="Calibri"/>
                <w:lang w:val="hr-HR"/>
              </w:rPr>
              <w:t>Literatura</w:t>
            </w:r>
          </w:p>
        </w:tc>
        <w:tc>
          <w:tcPr>
            <w:tcW w:w="6517"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0D508FCF" w14:textId="77777777" w:rsidR="00CA3203" w:rsidRPr="00DF4CE5" w:rsidRDefault="00CA3203" w:rsidP="008B34AF">
            <w:pPr>
              <w:spacing w:after="0" w:line="240" w:lineRule="auto"/>
              <w:jc w:val="both"/>
              <w:rPr>
                <w:rFonts w:ascii="Cambria" w:eastAsia="Calibri" w:hAnsi="Cambria" w:cs="Calibri"/>
                <w:lang w:val="hr-HR"/>
              </w:rPr>
            </w:pPr>
            <w:r w:rsidRPr="00DF4CE5">
              <w:rPr>
                <w:rFonts w:ascii="Cambria" w:eastAsia="Calibri" w:hAnsi="Cambria" w:cs="Calibri"/>
                <w:lang w:val="hr-HR"/>
              </w:rPr>
              <w:t xml:space="preserve">Obvezna: </w:t>
            </w:r>
          </w:p>
          <w:p w14:paraId="66A9BC4F" w14:textId="77777777" w:rsidR="00CA3203" w:rsidRPr="00DF4CE5" w:rsidRDefault="00CA3203" w:rsidP="008B34AF">
            <w:pPr>
              <w:spacing w:after="0" w:line="240" w:lineRule="auto"/>
              <w:jc w:val="both"/>
              <w:rPr>
                <w:rFonts w:ascii="Cambria" w:eastAsia="Calibri" w:hAnsi="Cambria" w:cs="Calibri"/>
                <w:lang w:val="hr-HR"/>
              </w:rPr>
            </w:pPr>
            <w:r w:rsidRPr="00DF4CE5">
              <w:rPr>
                <w:rFonts w:ascii="Cambria" w:eastAsia="Calibri" w:hAnsi="Cambria" w:cs="Calibri"/>
                <w:lang w:val="hr-HR"/>
              </w:rPr>
              <w:t xml:space="preserve">1. H. </w:t>
            </w:r>
            <w:proofErr w:type="spellStart"/>
            <w:r w:rsidRPr="00DF4CE5">
              <w:rPr>
                <w:rFonts w:ascii="Cambria" w:eastAsia="Calibri" w:hAnsi="Cambria" w:cs="Calibri"/>
                <w:lang w:val="hr-HR"/>
              </w:rPr>
              <w:t>Stephenson</w:t>
            </w:r>
            <w:proofErr w:type="spellEnd"/>
            <w:r w:rsidRPr="00DF4CE5">
              <w:rPr>
                <w:rFonts w:ascii="Cambria" w:eastAsia="Calibri" w:hAnsi="Cambria" w:cs="Calibri"/>
                <w:lang w:val="hr-HR"/>
              </w:rPr>
              <w:t xml:space="preserve">, L. </w:t>
            </w:r>
            <w:proofErr w:type="spellStart"/>
            <w:r w:rsidRPr="00DF4CE5">
              <w:rPr>
                <w:rFonts w:ascii="Cambria" w:eastAsia="Calibri" w:hAnsi="Cambria" w:cs="Calibri"/>
                <w:lang w:val="hr-HR"/>
              </w:rPr>
              <w:t>Lansford</w:t>
            </w:r>
            <w:proofErr w:type="spellEnd"/>
            <w:r w:rsidRPr="00DF4CE5">
              <w:rPr>
                <w:rFonts w:ascii="Cambria" w:eastAsia="Calibri" w:hAnsi="Cambria" w:cs="Calibri"/>
                <w:lang w:val="hr-HR"/>
              </w:rPr>
              <w:t xml:space="preserve">, P. </w:t>
            </w:r>
            <w:proofErr w:type="spellStart"/>
            <w:r w:rsidRPr="00DF4CE5">
              <w:rPr>
                <w:rFonts w:ascii="Cambria" w:eastAsia="Calibri" w:hAnsi="Cambria" w:cs="Calibri"/>
                <w:lang w:val="hr-HR"/>
              </w:rPr>
              <w:t>Dummett</w:t>
            </w:r>
            <w:proofErr w:type="spellEnd"/>
            <w:r w:rsidRPr="00DF4CE5">
              <w:rPr>
                <w:rFonts w:ascii="Cambria" w:eastAsia="Calibri" w:hAnsi="Cambria" w:cs="Calibri"/>
                <w:lang w:val="hr-HR"/>
              </w:rPr>
              <w:t xml:space="preserve"> (2016), </w:t>
            </w:r>
            <w:proofErr w:type="spellStart"/>
            <w:r w:rsidRPr="00DF4CE5">
              <w:rPr>
                <w:rFonts w:ascii="Cambria" w:eastAsia="Calibri" w:hAnsi="Cambria" w:cs="Calibri"/>
                <w:lang w:val="hr-HR"/>
              </w:rPr>
              <w:t>Keynote</w:t>
            </w:r>
            <w:proofErr w:type="spellEnd"/>
            <w:r w:rsidRPr="00DF4CE5">
              <w:rPr>
                <w:rFonts w:ascii="Cambria" w:eastAsia="Calibri" w:hAnsi="Cambria" w:cs="Calibri"/>
                <w:lang w:val="hr-HR"/>
              </w:rPr>
              <w:t xml:space="preserve">,  Advanced , National Geographic   </w:t>
            </w:r>
            <w:proofErr w:type="spellStart"/>
            <w:r w:rsidRPr="00DF4CE5">
              <w:rPr>
                <w:rFonts w:ascii="Cambria" w:eastAsia="Calibri" w:hAnsi="Cambria" w:cs="Calibri"/>
                <w:lang w:val="hr-HR"/>
              </w:rPr>
              <w:t>Learning</w:t>
            </w:r>
            <w:proofErr w:type="spellEnd"/>
          </w:p>
          <w:p w14:paraId="18AA00D0" w14:textId="77777777" w:rsidR="00CA3203" w:rsidRPr="00DF4CE5" w:rsidRDefault="00CA3203" w:rsidP="008B34AF">
            <w:pPr>
              <w:spacing w:after="0" w:line="240" w:lineRule="auto"/>
              <w:jc w:val="both"/>
              <w:rPr>
                <w:rFonts w:ascii="Cambria" w:eastAsia="Calibri" w:hAnsi="Cambria" w:cs="Calibri"/>
                <w:lang w:val="hr-HR"/>
              </w:rPr>
            </w:pPr>
            <w:r w:rsidRPr="00DF4CE5">
              <w:rPr>
                <w:rFonts w:ascii="Cambria" w:eastAsia="Calibri" w:hAnsi="Cambria" w:cs="Calibri"/>
                <w:lang w:val="hr-HR"/>
              </w:rPr>
              <w:t xml:space="preserve">2. R. </w:t>
            </w:r>
            <w:proofErr w:type="spellStart"/>
            <w:r w:rsidRPr="00DF4CE5">
              <w:rPr>
                <w:rFonts w:ascii="Cambria" w:eastAsia="Calibri" w:hAnsi="Cambria" w:cs="Calibri"/>
                <w:lang w:val="hr-HR"/>
              </w:rPr>
              <w:t>Reppen</w:t>
            </w:r>
            <w:proofErr w:type="spellEnd"/>
            <w:r w:rsidRPr="00DF4CE5">
              <w:rPr>
                <w:rFonts w:ascii="Cambria" w:eastAsia="Calibri" w:hAnsi="Cambria" w:cs="Calibri"/>
                <w:lang w:val="hr-HR"/>
              </w:rPr>
              <w:t xml:space="preserve"> (2011), </w:t>
            </w:r>
            <w:proofErr w:type="spellStart"/>
            <w:r w:rsidRPr="00DF4CE5">
              <w:rPr>
                <w:rFonts w:ascii="Cambria" w:eastAsia="Calibri" w:hAnsi="Cambria" w:cs="Calibri"/>
                <w:lang w:val="hr-HR"/>
              </w:rPr>
              <w:t>Grammar</w:t>
            </w:r>
            <w:proofErr w:type="spellEnd"/>
            <w:r w:rsidRPr="00DF4CE5">
              <w:rPr>
                <w:rFonts w:ascii="Cambria" w:eastAsia="Calibri" w:hAnsi="Cambria" w:cs="Calibri"/>
                <w:lang w:val="hr-HR"/>
              </w:rPr>
              <w:t xml:space="preserve"> </w:t>
            </w:r>
            <w:proofErr w:type="spellStart"/>
            <w:r w:rsidRPr="00DF4CE5">
              <w:rPr>
                <w:rFonts w:ascii="Cambria" w:eastAsia="Calibri" w:hAnsi="Cambria" w:cs="Calibri"/>
                <w:lang w:val="hr-HR"/>
              </w:rPr>
              <w:t>And</w:t>
            </w:r>
            <w:proofErr w:type="spellEnd"/>
            <w:r w:rsidRPr="00DF4CE5">
              <w:rPr>
                <w:rFonts w:ascii="Cambria" w:eastAsia="Calibri" w:hAnsi="Cambria" w:cs="Calibri"/>
                <w:lang w:val="hr-HR"/>
              </w:rPr>
              <w:t xml:space="preserve"> </w:t>
            </w:r>
            <w:proofErr w:type="spellStart"/>
            <w:r w:rsidRPr="00DF4CE5">
              <w:rPr>
                <w:rFonts w:ascii="Cambria" w:eastAsia="Calibri" w:hAnsi="Cambria" w:cs="Calibri"/>
                <w:lang w:val="hr-HR"/>
              </w:rPr>
              <w:t>Beyond</w:t>
            </w:r>
            <w:proofErr w:type="spellEnd"/>
            <w:r w:rsidRPr="00DF4CE5">
              <w:rPr>
                <w:rFonts w:ascii="Cambria" w:eastAsia="Calibri" w:hAnsi="Cambria" w:cs="Calibri"/>
                <w:lang w:val="hr-HR"/>
              </w:rPr>
              <w:t xml:space="preserve">  3, 4 , Cambridge UP</w:t>
            </w:r>
          </w:p>
          <w:p w14:paraId="4CEDE46F" w14:textId="77777777" w:rsidR="00CA3203" w:rsidRPr="00DF4CE5" w:rsidRDefault="00CA3203" w:rsidP="008B34AF">
            <w:pPr>
              <w:spacing w:after="0" w:line="240" w:lineRule="auto"/>
              <w:jc w:val="both"/>
              <w:rPr>
                <w:rFonts w:ascii="Cambria" w:eastAsia="Calibri" w:hAnsi="Cambria" w:cs="Calibri"/>
                <w:lang w:val="hr-HR"/>
              </w:rPr>
            </w:pPr>
            <w:r w:rsidRPr="00DF4CE5">
              <w:rPr>
                <w:rFonts w:ascii="Cambria" w:eastAsia="Calibri" w:hAnsi="Cambria" w:cs="Calibri"/>
                <w:lang w:val="hr-HR"/>
              </w:rPr>
              <w:t xml:space="preserve">Izborna: </w:t>
            </w:r>
          </w:p>
          <w:p w14:paraId="5D614AFE" w14:textId="77777777" w:rsidR="00CA3203" w:rsidRPr="00DF4CE5" w:rsidRDefault="00CA3203" w:rsidP="008B34AF">
            <w:pPr>
              <w:spacing w:after="0" w:line="240" w:lineRule="auto"/>
              <w:jc w:val="both"/>
              <w:rPr>
                <w:rFonts w:ascii="Cambria" w:eastAsia="Calibri" w:hAnsi="Cambria" w:cs="Calibri"/>
                <w:lang w:val="hr-HR"/>
              </w:rPr>
            </w:pPr>
            <w:r w:rsidRPr="00DF4CE5">
              <w:rPr>
                <w:rFonts w:ascii="Cambria" w:eastAsia="Calibri" w:hAnsi="Cambria" w:cs="Calibri"/>
                <w:lang w:val="hr-HR"/>
              </w:rPr>
              <w:t xml:space="preserve">3. </w:t>
            </w:r>
            <w:proofErr w:type="spellStart"/>
            <w:r w:rsidRPr="00DF4CE5">
              <w:rPr>
                <w:rFonts w:ascii="Cambria" w:eastAsia="Calibri" w:hAnsi="Cambria" w:cs="Calibri"/>
                <w:lang w:val="hr-HR"/>
              </w:rPr>
              <w:t>Cory</w:t>
            </w:r>
            <w:proofErr w:type="spellEnd"/>
            <w:r w:rsidRPr="00DF4CE5">
              <w:rPr>
                <w:rFonts w:ascii="Cambria" w:eastAsia="Calibri" w:hAnsi="Cambria" w:cs="Calibri"/>
                <w:lang w:val="hr-HR"/>
              </w:rPr>
              <w:t xml:space="preserve"> , H. Advanced </w:t>
            </w:r>
            <w:proofErr w:type="spellStart"/>
            <w:r w:rsidRPr="00DF4CE5">
              <w:rPr>
                <w:rFonts w:ascii="Cambria" w:eastAsia="Calibri" w:hAnsi="Cambria" w:cs="Calibri"/>
                <w:lang w:val="hr-HR"/>
              </w:rPr>
              <w:t>Writing</w:t>
            </w:r>
            <w:proofErr w:type="spellEnd"/>
            <w:r w:rsidRPr="00DF4CE5">
              <w:rPr>
                <w:rFonts w:ascii="Cambria" w:eastAsia="Calibri" w:hAnsi="Cambria" w:cs="Calibri"/>
                <w:lang w:val="hr-HR"/>
              </w:rPr>
              <w:t xml:space="preserve">, </w:t>
            </w:r>
            <w:proofErr w:type="spellStart"/>
            <w:r w:rsidRPr="00DF4CE5">
              <w:rPr>
                <w:rFonts w:ascii="Cambria" w:eastAsia="Calibri" w:hAnsi="Cambria" w:cs="Calibri"/>
                <w:lang w:val="hr-HR"/>
              </w:rPr>
              <w:t>With</w:t>
            </w:r>
            <w:proofErr w:type="spellEnd"/>
            <w:r w:rsidRPr="00DF4CE5">
              <w:rPr>
                <w:rFonts w:ascii="Cambria" w:eastAsia="Calibri" w:hAnsi="Cambria" w:cs="Calibri"/>
                <w:lang w:val="hr-HR"/>
              </w:rPr>
              <w:t xml:space="preserve"> English </w:t>
            </w:r>
            <w:proofErr w:type="spellStart"/>
            <w:r w:rsidRPr="00DF4CE5">
              <w:rPr>
                <w:rFonts w:ascii="Cambria" w:eastAsia="Calibri" w:hAnsi="Cambria" w:cs="Calibri"/>
                <w:lang w:val="hr-HR"/>
              </w:rPr>
              <w:t>in</w:t>
            </w:r>
            <w:proofErr w:type="spellEnd"/>
            <w:r w:rsidRPr="00DF4CE5">
              <w:rPr>
                <w:rFonts w:ascii="Cambria" w:eastAsia="Calibri" w:hAnsi="Cambria" w:cs="Calibri"/>
                <w:lang w:val="hr-HR"/>
              </w:rPr>
              <w:t xml:space="preserve"> Use. Oxford: Oxford University Press, 1997.  (odabrana poglavlja)</w:t>
            </w:r>
          </w:p>
          <w:p w14:paraId="7886D5DA" w14:textId="77777777" w:rsidR="00CA3203" w:rsidRPr="00DF4CE5" w:rsidRDefault="00CA3203" w:rsidP="008B34AF">
            <w:pPr>
              <w:spacing w:after="0" w:line="240" w:lineRule="auto"/>
              <w:jc w:val="both"/>
              <w:rPr>
                <w:rFonts w:ascii="Cambria" w:eastAsia="Calibri" w:hAnsi="Cambria" w:cs="Calibri"/>
                <w:lang w:val="hr-HR"/>
              </w:rPr>
            </w:pPr>
            <w:r w:rsidRPr="00DF4CE5">
              <w:rPr>
                <w:rFonts w:ascii="Cambria" w:eastAsia="Calibri" w:hAnsi="Cambria" w:cs="Calibri"/>
                <w:lang w:val="hr-HR"/>
              </w:rPr>
              <w:t>Izborna:</w:t>
            </w:r>
          </w:p>
          <w:p w14:paraId="67C6F564" w14:textId="77777777" w:rsidR="00CA3203" w:rsidRPr="00DF4CE5" w:rsidRDefault="00CA3203" w:rsidP="008B34AF">
            <w:pPr>
              <w:spacing w:after="0" w:line="240" w:lineRule="auto"/>
              <w:jc w:val="both"/>
              <w:rPr>
                <w:rFonts w:ascii="Cambria" w:eastAsia="Calibri" w:hAnsi="Cambria" w:cs="Calibri"/>
                <w:lang w:val="hr-HR"/>
              </w:rPr>
            </w:pPr>
            <w:r w:rsidRPr="00DF4CE5">
              <w:rPr>
                <w:rFonts w:ascii="Cambria" w:eastAsia="Calibri" w:hAnsi="Cambria" w:cs="Calibri"/>
                <w:lang w:val="hr-HR"/>
              </w:rPr>
              <w:t xml:space="preserve">1. Gude, K. Advanced </w:t>
            </w:r>
            <w:proofErr w:type="spellStart"/>
            <w:r w:rsidRPr="00DF4CE5">
              <w:rPr>
                <w:rFonts w:ascii="Cambria" w:eastAsia="Calibri" w:hAnsi="Cambria" w:cs="Calibri"/>
                <w:lang w:val="hr-HR"/>
              </w:rPr>
              <w:t>Listening</w:t>
            </w:r>
            <w:proofErr w:type="spellEnd"/>
            <w:r w:rsidRPr="00DF4CE5">
              <w:rPr>
                <w:rFonts w:ascii="Cambria" w:eastAsia="Calibri" w:hAnsi="Cambria" w:cs="Calibri"/>
                <w:lang w:val="hr-HR"/>
              </w:rPr>
              <w:t xml:space="preserve"> </w:t>
            </w:r>
            <w:proofErr w:type="spellStart"/>
            <w:r w:rsidRPr="00DF4CE5">
              <w:rPr>
                <w:rFonts w:ascii="Cambria" w:eastAsia="Calibri" w:hAnsi="Cambria" w:cs="Calibri"/>
                <w:lang w:val="hr-HR"/>
              </w:rPr>
              <w:t>and</w:t>
            </w:r>
            <w:proofErr w:type="spellEnd"/>
            <w:r w:rsidRPr="00DF4CE5">
              <w:rPr>
                <w:rFonts w:ascii="Cambria" w:eastAsia="Calibri" w:hAnsi="Cambria" w:cs="Calibri"/>
                <w:lang w:val="hr-HR"/>
              </w:rPr>
              <w:t xml:space="preserve"> </w:t>
            </w:r>
            <w:proofErr w:type="spellStart"/>
            <w:r w:rsidRPr="00DF4CE5">
              <w:rPr>
                <w:rFonts w:ascii="Cambria" w:eastAsia="Calibri" w:hAnsi="Cambria" w:cs="Calibri"/>
                <w:lang w:val="hr-HR"/>
              </w:rPr>
              <w:t>Speaking</w:t>
            </w:r>
            <w:proofErr w:type="spellEnd"/>
            <w:r w:rsidRPr="00DF4CE5">
              <w:rPr>
                <w:rFonts w:ascii="Cambria" w:eastAsia="Calibri" w:hAnsi="Cambria" w:cs="Calibri"/>
                <w:lang w:val="hr-HR"/>
              </w:rPr>
              <w:t>. Oxford: Oxford University Press, 1997. (odabrana poglavlja)</w:t>
            </w:r>
          </w:p>
          <w:p w14:paraId="56C0FE6E" w14:textId="77777777" w:rsidR="00CA3203" w:rsidRPr="00DF4CE5" w:rsidRDefault="00CA3203" w:rsidP="008B34AF">
            <w:pPr>
              <w:spacing w:after="0" w:line="240" w:lineRule="auto"/>
              <w:jc w:val="both"/>
              <w:rPr>
                <w:rFonts w:ascii="Cambria" w:eastAsia="Calibri" w:hAnsi="Cambria" w:cs="Calibri"/>
                <w:lang w:val="hr-HR"/>
              </w:rPr>
            </w:pPr>
            <w:r w:rsidRPr="00DF4CE5">
              <w:rPr>
                <w:rFonts w:ascii="Cambria" w:eastAsia="Calibri" w:hAnsi="Cambria" w:cs="Calibri"/>
                <w:lang w:val="hr-HR"/>
              </w:rPr>
              <w:t xml:space="preserve">2. </w:t>
            </w:r>
            <w:proofErr w:type="spellStart"/>
            <w:r w:rsidRPr="00DF4CE5">
              <w:rPr>
                <w:rFonts w:ascii="Cambria" w:eastAsia="Calibri" w:hAnsi="Cambria" w:cs="Calibri"/>
                <w:lang w:val="hr-HR"/>
              </w:rPr>
              <w:t>Gramley</w:t>
            </w:r>
            <w:proofErr w:type="spellEnd"/>
            <w:r w:rsidRPr="00DF4CE5">
              <w:rPr>
                <w:rFonts w:ascii="Cambria" w:eastAsia="Calibri" w:hAnsi="Cambria" w:cs="Calibri"/>
                <w:lang w:val="hr-HR"/>
              </w:rPr>
              <w:t xml:space="preserve">, S., </w:t>
            </w:r>
            <w:proofErr w:type="spellStart"/>
            <w:r w:rsidRPr="00DF4CE5">
              <w:rPr>
                <w:rFonts w:ascii="Cambria" w:eastAsia="Calibri" w:hAnsi="Cambria" w:cs="Calibri"/>
                <w:lang w:val="hr-HR"/>
              </w:rPr>
              <w:t>Pätzold</w:t>
            </w:r>
            <w:proofErr w:type="spellEnd"/>
            <w:r w:rsidRPr="00DF4CE5">
              <w:rPr>
                <w:rFonts w:ascii="Cambria" w:eastAsia="Calibri" w:hAnsi="Cambria" w:cs="Calibri"/>
                <w:lang w:val="hr-HR"/>
              </w:rPr>
              <w:t xml:space="preserve">, K. A </w:t>
            </w:r>
            <w:proofErr w:type="spellStart"/>
            <w:r w:rsidRPr="00DF4CE5">
              <w:rPr>
                <w:rFonts w:ascii="Cambria" w:eastAsia="Calibri" w:hAnsi="Cambria" w:cs="Calibri"/>
                <w:lang w:val="hr-HR"/>
              </w:rPr>
              <w:t>Survey</w:t>
            </w:r>
            <w:proofErr w:type="spellEnd"/>
            <w:r w:rsidRPr="00DF4CE5">
              <w:rPr>
                <w:rFonts w:ascii="Cambria" w:eastAsia="Calibri" w:hAnsi="Cambria" w:cs="Calibri"/>
                <w:lang w:val="hr-HR"/>
              </w:rPr>
              <w:t xml:space="preserve"> </w:t>
            </w:r>
            <w:proofErr w:type="spellStart"/>
            <w:r w:rsidRPr="00DF4CE5">
              <w:rPr>
                <w:rFonts w:ascii="Cambria" w:eastAsia="Calibri" w:hAnsi="Cambria" w:cs="Calibri"/>
                <w:lang w:val="hr-HR"/>
              </w:rPr>
              <w:t>of</w:t>
            </w:r>
            <w:proofErr w:type="spellEnd"/>
            <w:r w:rsidRPr="00DF4CE5">
              <w:rPr>
                <w:rFonts w:ascii="Cambria" w:eastAsia="Calibri" w:hAnsi="Cambria" w:cs="Calibri"/>
                <w:lang w:val="hr-HR"/>
              </w:rPr>
              <w:t xml:space="preserve"> </w:t>
            </w:r>
            <w:proofErr w:type="spellStart"/>
            <w:r w:rsidRPr="00DF4CE5">
              <w:rPr>
                <w:rFonts w:ascii="Cambria" w:eastAsia="Calibri" w:hAnsi="Cambria" w:cs="Calibri"/>
                <w:lang w:val="hr-HR"/>
              </w:rPr>
              <w:t>Modern</w:t>
            </w:r>
            <w:proofErr w:type="spellEnd"/>
            <w:r w:rsidRPr="00DF4CE5">
              <w:rPr>
                <w:rFonts w:ascii="Cambria" w:eastAsia="Calibri" w:hAnsi="Cambria" w:cs="Calibri"/>
                <w:lang w:val="hr-HR"/>
              </w:rPr>
              <w:t xml:space="preserve"> English, </w:t>
            </w:r>
            <w:proofErr w:type="spellStart"/>
            <w:r w:rsidRPr="00DF4CE5">
              <w:rPr>
                <w:rFonts w:ascii="Cambria" w:eastAsia="Calibri" w:hAnsi="Cambria" w:cs="Calibri"/>
                <w:lang w:val="hr-HR"/>
              </w:rPr>
              <w:t>Second</w:t>
            </w:r>
            <w:proofErr w:type="spellEnd"/>
            <w:r w:rsidRPr="00DF4CE5">
              <w:rPr>
                <w:rFonts w:ascii="Cambria" w:eastAsia="Calibri" w:hAnsi="Cambria" w:cs="Calibri"/>
                <w:lang w:val="hr-HR"/>
              </w:rPr>
              <w:t xml:space="preserve"> </w:t>
            </w:r>
            <w:proofErr w:type="spellStart"/>
            <w:r w:rsidRPr="00DF4CE5">
              <w:rPr>
                <w:rFonts w:ascii="Cambria" w:eastAsia="Calibri" w:hAnsi="Cambria" w:cs="Calibri"/>
                <w:lang w:val="hr-HR"/>
              </w:rPr>
              <w:t>Edition</w:t>
            </w:r>
            <w:proofErr w:type="spellEnd"/>
            <w:r w:rsidRPr="00DF4CE5">
              <w:rPr>
                <w:rFonts w:ascii="Cambria" w:eastAsia="Calibri" w:hAnsi="Cambria" w:cs="Calibri"/>
                <w:lang w:val="hr-HR"/>
              </w:rPr>
              <w:t>. Taylor &amp; Francis e-</w:t>
            </w:r>
            <w:proofErr w:type="spellStart"/>
            <w:r w:rsidRPr="00DF4CE5">
              <w:rPr>
                <w:rFonts w:ascii="Cambria" w:eastAsia="Calibri" w:hAnsi="Cambria" w:cs="Calibri"/>
                <w:lang w:val="hr-HR"/>
              </w:rPr>
              <w:t>Library</w:t>
            </w:r>
            <w:proofErr w:type="spellEnd"/>
            <w:r w:rsidRPr="00DF4CE5">
              <w:rPr>
                <w:rFonts w:ascii="Cambria" w:eastAsia="Calibri" w:hAnsi="Cambria" w:cs="Calibri"/>
                <w:lang w:val="hr-HR"/>
              </w:rPr>
              <w:t>, 2004. str. 1- 21, 48 – 66, 189 – 194 (43 str.)</w:t>
            </w:r>
          </w:p>
          <w:p w14:paraId="44ED9A87" w14:textId="77777777" w:rsidR="00CA3203" w:rsidRPr="00DF4CE5" w:rsidRDefault="00CA3203" w:rsidP="008B34AF">
            <w:pPr>
              <w:spacing w:after="0" w:line="240" w:lineRule="auto"/>
              <w:jc w:val="both"/>
              <w:rPr>
                <w:rFonts w:ascii="Cambria" w:eastAsia="Calibri" w:hAnsi="Cambria" w:cs="Calibri"/>
                <w:lang w:val="hr-HR"/>
              </w:rPr>
            </w:pPr>
            <w:r w:rsidRPr="00DF4CE5">
              <w:rPr>
                <w:rFonts w:ascii="Cambria" w:eastAsia="Calibri" w:hAnsi="Cambria" w:cs="Calibri"/>
                <w:lang w:val="hr-HR"/>
              </w:rPr>
              <w:t xml:space="preserve">3. </w:t>
            </w:r>
            <w:proofErr w:type="spellStart"/>
            <w:r w:rsidRPr="00DF4CE5">
              <w:rPr>
                <w:rFonts w:ascii="Cambria" w:eastAsia="Calibri" w:hAnsi="Cambria" w:cs="Calibri"/>
                <w:lang w:val="hr-HR"/>
              </w:rPr>
              <w:t>Soars</w:t>
            </w:r>
            <w:proofErr w:type="spellEnd"/>
            <w:r w:rsidRPr="00DF4CE5">
              <w:rPr>
                <w:rFonts w:ascii="Cambria" w:eastAsia="Calibri" w:hAnsi="Cambria" w:cs="Calibri"/>
                <w:lang w:val="hr-HR"/>
              </w:rPr>
              <w:t xml:space="preserve">, J., </w:t>
            </w:r>
            <w:proofErr w:type="spellStart"/>
            <w:r w:rsidRPr="00DF4CE5">
              <w:rPr>
                <w:rFonts w:ascii="Cambria" w:eastAsia="Calibri" w:hAnsi="Cambria" w:cs="Calibri"/>
                <w:lang w:val="hr-HR"/>
              </w:rPr>
              <w:t>Soars</w:t>
            </w:r>
            <w:proofErr w:type="spellEnd"/>
            <w:r w:rsidRPr="00DF4CE5">
              <w:rPr>
                <w:rFonts w:ascii="Cambria" w:eastAsia="Calibri" w:hAnsi="Cambria" w:cs="Calibri"/>
                <w:lang w:val="hr-HR"/>
              </w:rPr>
              <w:t xml:space="preserve">, L. </w:t>
            </w:r>
            <w:proofErr w:type="spellStart"/>
            <w:r w:rsidRPr="00DF4CE5">
              <w:rPr>
                <w:rFonts w:ascii="Cambria" w:eastAsia="Calibri" w:hAnsi="Cambria" w:cs="Calibri"/>
                <w:lang w:val="hr-HR"/>
              </w:rPr>
              <w:t>Headway</w:t>
            </w:r>
            <w:proofErr w:type="spellEnd"/>
            <w:r w:rsidRPr="00DF4CE5">
              <w:rPr>
                <w:rFonts w:ascii="Cambria" w:eastAsia="Calibri" w:hAnsi="Cambria" w:cs="Calibri"/>
                <w:lang w:val="hr-HR"/>
              </w:rPr>
              <w:t xml:space="preserve"> Advanced, New </w:t>
            </w:r>
            <w:proofErr w:type="spellStart"/>
            <w:r w:rsidRPr="00DF4CE5">
              <w:rPr>
                <w:rFonts w:ascii="Cambria" w:eastAsia="Calibri" w:hAnsi="Cambria" w:cs="Calibri"/>
                <w:lang w:val="hr-HR"/>
              </w:rPr>
              <w:t>Edition</w:t>
            </w:r>
            <w:proofErr w:type="spellEnd"/>
            <w:r w:rsidRPr="00DF4CE5">
              <w:rPr>
                <w:rFonts w:ascii="Cambria" w:eastAsia="Calibri" w:hAnsi="Cambria" w:cs="Calibri"/>
                <w:lang w:val="hr-HR"/>
              </w:rPr>
              <w:t>. Oxford: Oxford University Press, 2004. str. 43 – 50, 84 – 95, 116 – 119, 132 – 133, (25 str.)</w:t>
            </w:r>
          </w:p>
          <w:p w14:paraId="6A4DFB57" w14:textId="77777777" w:rsidR="00CA3203" w:rsidRPr="00DF4CE5" w:rsidRDefault="00CA3203" w:rsidP="008B34AF">
            <w:pPr>
              <w:spacing w:after="0" w:line="240" w:lineRule="auto"/>
              <w:jc w:val="both"/>
              <w:rPr>
                <w:rFonts w:ascii="Cambria" w:eastAsia="Calibri" w:hAnsi="Cambria" w:cs="Calibri"/>
                <w:lang w:val="hr-HR"/>
              </w:rPr>
            </w:pPr>
            <w:r w:rsidRPr="00DF4CE5">
              <w:rPr>
                <w:rFonts w:ascii="Cambria" w:eastAsia="Calibri" w:hAnsi="Cambria" w:cs="Calibri"/>
                <w:lang w:val="hr-HR"/>
              </w:rPr>
              <w:t xml:space="preserve">4. </w:t>
            </w:r>
            <w:proofErr w:type="spellStart"/>
            <w:r w:rsidRPr="00DF4CE5">
              <w:rPr>
                <w:rFonts w:ascii="Cambria" w:eastAsia="Calibri" w:hAnsi="Cambria" w:cs="Calibri"/>
                <w:lang w:val="hr-HR"/>
              </w:rPr>
              <w:t>Hewings</w:t>
            </w:r>
            <w:proofErr w:type="spellEnd"/>
            <w:r w:rsidRPr="00DF4CE5">
              <w:rPr>
                <w:rFonts w:ascii="Cambria" w:eastAsia="Calibri" w:hAnsi="Cambria" w:cs="Calibri"/>
                <w:lang w:val="hr-HR"/>
              </w:rPr>
              <w:t xml:space="preserve">, M. Advanced </w:t>
            </w:r>
            <w:proofErr w:type="spellStart"/>
            <w:r w:rsidRPr="00DF4CE5">
              <w:rPr>
                <w:rFonts w:ascii="Cambria" w:eastAsia="Calibri" w:hAnsi="Cambria" w:cs="Calibri"/>
                <w:lang w:val="hr-HR"/>
              </w:rPr>
              <w:t>Grammar</w:t>
            </w:r>
            <w:proofErr w:type="spellEnd"/>
            <w:r w:rsidRPr="00DF4CE5">
              <w:rPr>
                <w:rFonts w:ascii="Cambria" w:eastAsia="Calibri" w:hAnsi="Cambria" w:cs="Calibri"/>
                <w:lang w:val="hr-HR"/>
              </w:rPr>
              <w:t xml:space="preserve"> </w:t>
            </w:r>
            <w:proofErr w:type="spellStart"/>
            <w:r w:rsidRPr="00DF4CE5">
              <w:rPr>
                <w:rFonts w:ascii="Cambria" w:eastAsia="Calibri" w:hAnsi="Cambria" w:cs="Calibri"/>
                <w:lang w:val="hr-HR"/>
              </w:rPr>
              <w:t>in</w:t>
            </w:r>
            <w:proofErr w:type="spellEnd"/>
            <w:r w:rsidRPr="00DF4CE5">
              <w:rPr>
                <w:rFonts w:ascii="Cambria" w:eastAsia="Calibri" w:hAnsi="Cambria" w:cs="Calibri"/>
                <w:lang w:val="hr-HR"/>
              </w:rPr>
              <w:t xml:space="preserve"> Use. Cambridge: Cambridge University Press, 2000.</w:t>
            </w:r>
          </w:p>
          <w:p w14:paraId="4CB031B0" w14:textId="77777777" w:rsidR="00CA3203" w:rsidRPr="00DF4CE5" w:rsidRDefault="00CA3203" w:rsidP="008B34AF">
            <w:pPr>
              <w:spacing w:after="0" w:line="240" w:lineRule="auto"/>
              <w:jc w:val="both"/>
              <w:rPr>
                <w:rFonts w:ascii="Cambria" w:eastAsia="Calibri" w:hAnsi="Cambria" w:cs="Calibri"/>
                <w:lang w:val="hr-HR"/>
              </w:rPr>
            </w:pPr>
            <w:r w:rsidRPr="00DF4CE5">
              <w:rPr>
                <w:rFonts w:ascii="Cambria" w:eastAsia="Calibri" w:hAnsi="Cambria" w:cs="Calibri"/>
                <w:lang w:val="hr-HR"/>
              </w:rPr>
              <w:t xml:space="preserve">5. Murphy, R. English </w:t>
            </w:r>
            <w:proofErr w:type="spellStart"/>
            <w:r w:rsidRPr="00DF4CE5">
              <w:rPr>
                <w:rFonts w:ascii="Cambria" w:eastAsia="Calibri" w:hAnsi="Cambria" w:cs="Calibri"/>
                <w:lang w:val="hr-HR"/>
              </w:rPr>
              <w:t>Grammar</w:t>
            </w:r>
            <w:proofErr w:type="spellEnd"/>
            <w:r w:rsidRPr="00DF4CE5">
              <w:rPr>
                <w:rFonts w:ascii="Cambria" w:eastAsia="Calibri" w:hAnsi="Cambria" w:cs="Calibri"/>
                <w:lang w:val="hr-HR"/>
              </w:rPr>
              <w:t xml:space="preserve"> </w:t>
            </w:r>
            <w:proofErr w:type="spellStart"/>
            <w:r w:rsidRPr="00DF4CE5">
              <w:rPr>
                <w:rFonts w:ascii="Cambria" w:eastAsia="Calibri" w:hAnsi="Cambria" w:cs="Calibri"/>
                <w:lang w:val="hr-HR"/>
              </w:rPr>
              <w:t>in</w:t>
            </w:r>
            <w:proofErr w:type="spellEnd"/>
            <w:r w:rsidRPr="00DF4CE5">
              <w:rPr>
                <w:rFonts w:ascii="Cambria" w:eastAsia="Calibri" w:hAnsi="Cambria" w:cs="Calibri"/>
                <w:lang w:val="hr-HR"/>
              </w:rPr>
              <w:t xml:space="preserve"> Use. Cambridge: Cambridge University Press, 2004.</w:t>
            </w:r>
          </w:p>
        </w:tc>
      </w:tr>
    </w:tbl>
    <w:p w14:paraId="38ECC74A" w14:textId="3D28C87B" w:rsidR="00720AED" w:rsidRPr="00DF4CE5" w:rsidRDefault="00720AED" w:rsidP="00DB0462">
      <w:pPr>
        <w:rPr>
          <w:rFonts w:ascii="Cambria" w:hAnsi="Cambria"/>
          <w:lang w:val="hr-HR"/>
        </w:rPr>
      </w:pPr>
    </w:p>
    <w:tbl>
      <w:tblPr>
        <w:tblW w:w="5000" w:type="pct"/>
        <w:tblLayout w:type="fixed"/>
        <w:tblCellMar>
          <w:left w:w="0" w:type="dxa"/>
          <w:right w:w="0" w:type="dxa"/>
        </w:tblCellMar>
        <w:tblLook w:val="0600" w:firstRow="0" w:lastRow="0" w:firstColumn="0" w:lastColumn="0" w:noHBand="1" w:noVBand="1"/>
      </w:tblPr>
      <w:tblGrid>
        <w:gridCol w:w="2814"/>
        <w:gridCol w:w="2668"/>
        <w:gridCol w:w="105"/>
        <w:gridCol w:w="1167"/>
        <w:gridCol w:w="297"/>
        <w:gridCol w:w="470"/>
        <w:gridCol w:w="1085"/>
        <w:gridCol w:w="1414"/>
      </w:tblGrid>
      <w:tr w:rsidR="00CB297F" w:rsidRPr="00DF4CE5" w14:paraId="132F8E40" w14:textId="77777777" w:rsidTr="004A100E">
        <w:tc>
          <w:tcPr>
            <w:tcW w:w="9340"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F7DABAA" w14:textId="77777777" w:rsidR="00CB297F" w:rsidRPr="00DF4CE5" w:rsidRDefault="00CB297F" w:rsidP="00A12846">
            <w:pPr>
              <w:spacing w:after="0" w:line="240" w:lineRule="atLeast"/>
              <w:jc w:val="right"/>
              <w:rPr>
                <w:rFonts w:ascii="Cambria" w:eastAsia="Calibri" w:hAnsi="Cambria" w:cs="Calibri"/>
                <w:b/>
                <w:lang w:val="hr-HR"/>
              </w:rPr>
            </w:pPr>
            <w:r w:rsidRPr="00DF4CE5">
              <w:rPr>
                <w:rFonts w:ascii="Cambria" w:eastAsia="Calibri" w:hAnsi="Cambria" w:cs="Calibri"/>
                <w:b/>
                <w:lang w:val="hr-HR"/>
              </w:rPr>
              <w:t>IZVEDBENI PLAN NASTAVE KOLEGIJA</w:t>
            </w:r>
          </w:p>
        </w:tc>
      </w:tr>
      <w:tr w:rsidR="00CB297F" w:rsidRPr="00DF4CE5" w14:paraId="628B1AFE" w14:textId="77777777" w:rsidTr="004A100E">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270E513" w14:textId="77777777" w:rsidR="00CB297F" w:rsidRPr="00DF4CE5" w:rsidRDefault="00CB297F" w:rsidP="008B34AF">
            <w:pPr>
              <w:spacing w:after="0" w:line="240" w:lineRule="atLeast"/>
              <w:jc w:val="both"/>
              <w:rPr>
                <w:rFonts w:ascii="Cambria" w:eastAsia="Calibri" w:hAnsi="Cambria" w:cs="Calibri"/>
                <w:lang w:val="hr-HR"/>
              </w:rPr>
            </w:pPr>
            <w:r w:rsidRPr="00DF4CE5">
              <w:rPr>
                <w:rFonts w:ascii="Cambria" w:eastAsia="Calibri" w:hAnsi="Cambria" w:cs="Calibri"/>
                <w:lang w:val="hr-HR"/>
              </w:rPr>
              <w:t>Kod i naziv kolegija</w:t>
            </w:r>
          </w:p>
        </w:tc>
        <w:tc>
          <w:tcPr>
            <w:tcW w:w="671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010C9BD" w14:textId="77777777" w:rsidR="00CB297F" w:rsidRPr="00DF4CE5" w:rsidRDefault="00CB297F" w:rsidP="008B34AF">
            <w:pPr>
              <w:spacing w:after="0" w:line="240" w:lineRule="atLeast"/>
              <w:jc w:val="both"/>
              <w:rPr>
                <w:rFonts w:ascii="Cambria" w:eastAsia="Calibri" w:hAnsi="Cambria" w:cs="Calibri"/>
                <w:lang w:val="hr-HR"/>
              </w:rPr>
            </w:pPr>
            <w:r w:rsidRPr="00DF4CE5">
              <w:rPr>
                <w:rFonts w:ascii="Cambria" w:eastAsia="Calibri" w:hAnsi="Cambria" w:cs="Calibri"/>
                <w:lang w:val="hr-HR"/>
              </w:rPr>
              <w:t>96505</w:t>
            </w:r>
          </w:p>
          <w:p w14:paraId="7F184E91" w14:textId="77777777" w:rsidR="00CB297F" w:rsidRPr="00DF4CE5" w:rsidRDefault="00CB297F" w:rsidP="008B34AF">
            <w:pPr>
              <w:spacing w:after="0" w:line="240" w:lineRule="atLeast"/>
              <w:jc w:val="both"/>
              <w:rPr>
                <w:rFonts w:ascii="Cambria" w:eastAsia="Calibri" w:hAnsi="Cambria" w:cs="Calibri"/>
                <w:lang w:val="hr-HR"/>
              </w:rPr>
            </w:pPr>
            <w:r w:rsidRPr="00DF4CE5">
              <w:rPr>
                <w:rFonts w:ascii="Cambria" w:eastAsia="Calibri" w:hAnsi="Cambria" w:cs="Calibri"/>
                <w:lang w:val="hr-HR"/>
              </w:rPr>
              <w:t xml:space="preserve">Dječja književnost na engleskom jeziku I </w:t>
            </w:r>
          </w:p>
        </w:tc>
      </w:tr>
      <w:tr w:rsidR="00CB297F" w:rsidRPr="00D0399C" w14:paraId="0D9CC86B" w14:textId="77777777" w:rsidTr="004A100E">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4818185" w14:textId="2148C33B" w:rsidR="00CB297F" w:rsidRPr="00DF4CE5" w:rsidRDefault="00CB297F" w:rsidP="008B34AF">
            <w:pPr>
              <w:spacing w:after="0" w:line="240" w:lineRule="atLeast"/>
              <w:jc w:val="both"/>
              <w:rPr>
                <w:rFonts w:ascii="Cambria" w:eastAsia="Calibri" w:hAnsi="Cambria" w:cs="Calibri"/>
                <w:lang w:val="hr-HR"/>
              </w:rPr>
            </w:pPr>
            <w:r w:rsidRPr="00DF4CE5">
              <w:rPr>
                <w:rFonts w:ascii="Cambria" w:eastAsia="Calibri" w:hAnsi="Cambria" w:cs="Calibri"/>
                <w:lang w:val="hr-HR"/>
              </w:rPr>
              <w:t xml:space="preserve">Nastavnica </w:t>
            </w:r>
          </w:p>
        </w:tc>
        <w:tc>
          <w:tcPr>
            <w:tcW w:w="671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1B1D09C" w14:textId="67CF53E0" w:rsidR="00CB297F" w:rsidRPr="00DF4CE5" w:rsidRDefault="006C150E" w:rsidP="008B34AF">
            <w:pPr>
              <w:spacing w:after="0" w:line="240" w:lineRule="atLeast"/>
              <w:jc w:val="both"/>
              <w:rPr>
                <w:rFonts w:ascii="Cambria" w:eastAsia="Calibri" w:hAnsi="Cambria" w:cs="Calibri"/>
                <w:lang w:val="hr-HR"/>
              </w:rPr>
            </w:pPr>
            <w:hyperlink r:id="rId135" w:history="1">
              <w:r w:rsidRPr="006C150E">
                <w:rPr>
                  <w:rStyle w:val="Hiperveza"/>
                  <w:rFonts w:ascii="Cambria" w:eastAsia="Calibri" w:hAnsi="Cambria" w:cs="Calibri"/>
                  <w:lang w:val="hr-HR"/>
                </w:rPr>
                <w:t>N</w:t>
              </w:r>
              <w:r w:rsidR="006B3E95" w:rsidRPr="006C150E">
                <w:rPr>
                  <w:rStyle w:val="Hiperveza"/>
                  <w:rFonts w:ascii="Cambria" w:eastAsia="Calibri" w:hAnsi="Cambria" w:cs="Calibri"/>
                  <w:lang w:val="hr-HR"/>
                </w:rPr>
                <w:t>aslovna d</w:t>
              </w:r>
              <w:r w:rsidR="00CB297F" w:rsidRPr="006C150E">
                <w:rPr>
                  <w:rStyle w:val="Hiperveza"/>
                  <w:rFonts w:ascii="Cambria" w:eastAsia="Calibri" w:hAnsi="Cambria" w:cs="Calibri"/>
                  <w:lang w:val="hr-HR"/>
                </w:rPr>
                <w:t>oc. dr. sc. Ester Vidović</w:t>
              </w:r>
            </w:hyperlink>
          </w:p>
        </w:tc>
      </w:tr>
      <w:tr w:rsidR="00CB297F" w:rsidRPr="00D0399C" w14:paraId="4A13C27B" w14:textId="77777777" w:rsidTr="004A100E">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2C158E2" w14:textId="77777777" w:rsidR="00CB297F" w:rsidRPr="00DF4CE5" w:rsidRDefault="00CB297F" w:rsidP="008B34AF">
            <w:pPr>
              <w:spacing w:after="0" w:line="240" w:lineRule="atLeast"/>
              <w:jc w:val="both"/>
              <w:rPr>
                <w:rFonts w:ascii="Cambria" w:eastAsia="Calibri" w:hAnsi="Cambria" w:cs="Calibri"/>
                <w:lang w:val="hr-HR"/>
              </w:rPr>
            </w:pPr>
            <w:r w:rsidRPr="00DF4CE5">
              <w:rPr>
                <w:rFonts w:ascii="Cambria" w:eastAsia="Calibri" w:hAnsi="Cambria" w:cs="Calibri"/>
                <w:lang w:val="hr-HR"/>
              </w:rPr>
              <w:t>Studijski program</w:t>
            </w:r>
          </w:p>
        </w:tc>
        <w:tc>
          <w:tcPr>
            <w:tcW w:w="671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E7BAFCA" w14:textId="77777777" w:rsidR="00CB297F" w:rsidRPr="00DF4CE5" w:rsidRDefault="00BE4D96" w:rsidP="008B34AF">
            <w:pPr>
              <w:spacing w:after="0" w:line="240" w:lineRule="atLeast"/>
              <w:jc w:val="both"/>
              <w:rPr>
                <w:rFonts w:ascii="Cambria" w:eastAsia="Calibri" w:hAnsi="Cambria" w:cs="Calibri"/>
                <w:lang w:val="hr-HR"/>
              </w:rPr>
            </w:pPr>
            <w:r w:rsidRPr="00DF4CE5">
              <w:rPr>
                <w:rFonts w:ascii="Cambria" w:hAnsi="Cambria"/>
                <w:lang w:val="hr-HR"/>
              </w:rPr>
              <w:t>Sveučilišni integrirani prijediplomski i diplomski Učiteljski studij na hrvatskom jeziku</w:t>
            </w:r>
          </w:p>
        </w:tc>
      </w:tr>
      <w:tr w:rsidR="00CB297F" w:rsidRPr="00DF4CE5" w14:paraId="3F735A41" w14:textId="77777777" w:rsidTr="004A100E">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318CA50" w14:textId="77777777" w:rsidR="00CB297F" w:rsidRPr="00DF4CE5" w:rsidRDefault="00CB297F" w:rsidP="008B34AF">
            <w:pPr>
              <w:spacing w:after="0" w:line="240" w:lineRule="atLeast"/>
              <w:jc w:val="both"/>
              <w:rPr>
                <w:rFonts w:ascii="Cambria" w:eastAsia="Calibri" w:hAnsi="Cambria" w:cs="Calibri"/>
                <w:lang w:val="hr-HR"/>
              </w:rPr>
            </w:pPr>
            <w:r w:rsidRPr="00DF4CE5">
              <w:rPr>
                <w:rFonts w:ascii="Cambria" w:eastAsia="Calibri" w:hAnsi="Cambria" w:cs="Calibri"/>
                <w:lang w:val="hr-HR"/>
              </w:rPr>
              <w:t>Vrsta kolegija</w:t>
            </w:r>
          </w:p>
        </w:tc>
        <w:tc>
          <w:tcPr>
            <w:tcW w:w="248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91652E8" w14:textId="77777777" w:rsidR="00CB297F" w:rsidRPr="00DF4CE5" w:rsidRDefault="00CB297F" w:rsidP="008B34AF">
            <w:pPr>
              <w:spacing w:after="0" w:line="240" w:lineRule="atLeast"/>
              <w:jc w:val="both"/>
              <w:rPr>
                <w:rFonts w:ascii="Cambria" w:eastAsia="Calibri" w:hAnsi="Cambria" w:cs="Calibri"/>
                <w:lang w:val="hr-HR"/>
              </w:rPr>
            </w:pPr>
            <w:r w:rsidRPr="00DF4CE5">
              <w:rPr>
                <w:rFonts w:ascii="Cambria" w:eastAsia="Calibri" w:hAnsi="Cambria" w:cs="Calibri"/>
                <w:lang w:val="hr-HR"/>
              </w:rPr>
              <w:t xml:space="preserve">obvezan </w:t>
            </w:r>
          </w:p>
        </w:tc>
        <w:tc>
          <w:tcPr>
            <w:tcW w:w="146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08773ADE" w14:textId="77777777" w:rsidR="00CB297F" w:rsidRPr="00DF4CE5" w:rsidRDefault="00CB297F" w:rsidP="008B34AF">
            <w:pPr>
              <w:spacing w:after="0" w:line="240" w:lineRule="atLeast"/>
              <w:jc w:val="both"/>
              <w:rPr>
                <w:rFonts w:ascii="Cambria" w:eastAsia="Calibri" w:hAnsi="Cambria" w:cs="Calibri"/>
                <w:lang w:val="hr-HR"/>
              </w:rPr>
            </w:pPr>
            <w:r w:rsidRPr="00DF4CE5">
              <w:rPr>
                <w:rFonts w:ascii="Cambria" w:eastAsia="Calibri" w:hAnsi="Cambria" w:cs="Calibri"/>
                <w:lang w:val="hr-HR"/>
              </w:rPr>
              <w:t>Razina kolegija</w:t>
            </w:r>
          </w:p>
        </w:tc>
        <w:tc>
          <w:tcPr>
            <w:tcW w:w="2767"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11A0D0B" w14:textId="55E586D2" w:rsidR="00CB297F" w:rsidRPr="00DF4CE5" w:rsidRDefault="006C150E" w:rsidP="008B34AF">
            <w:pPr>
              <w:spacing w:after="0" w:line="240" w:lineRule="atLeast"/>
              <w:jc w:val="both"/>
              <w:rPr>
                <w:rFonts w:ascii="Cambria" w:eastAsia="Calibri" w:hAnsi="Cambria" w:cs="Calibri"/>
                <w:lang w:val="hr-HR"/>
              </w:rPr>
            </w:pPr>
            <w:proofErr w:type="spellStart"/>
            <w:r>
              <w:rPr>
                <w:rFonts w:ascii="Cambria" w:eastAsia="Calibri" w:hAnsi="Cambria" w:cs="Calibri"/>
              </w:rPr>
              <w:t>i</w:t>
            </w:r>
            <w:r w:rsidR="00CB297F" w:rsidRPr="00DF4CE5">
              <w:rPr>
                <w:rFonts w:ascii="Cambria" w:eastAsia="Calibri" w:hAnsi="Cambria" w:cs="Calibri"/>
              </w:rPr>
              <w:t>ntegrirani</w:t>
            </w:r>
            <w:proofErr w:type="spellEnd"/>
          </w:p>
        </w:tc>
      </w:tr>
      <w:tr w:rsidR="00CB297F" w:rsidRPr="00DF4CE5" w14:paraId="52670B23" w14:textId="77777777" w:rsidTr="004A100E">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75A41BC" w14:textId="77777777" w:rsidR="00CB297F" w:rsidRPr="00DF4CE5" w:rsidRDefault="00CB297F" w:rsidP="008B34AF">
            <w:pPr>
              <w:spacing w:after="0" w:line="240" w:lineRule="atLeast"/>
              <w:jc w:val="both"/>
              <w:rPr>
                <w:rFonts w:ascii="Cambria" w:eastAsia="Calibri" w:hAnsi="Cambria" w:cs="Calibri"/>
                <w:lang w:val="hr-HR"/>
              </w:rPr>
            </w:pPr>
            <w:r w:rsidRPr="00DF4CE5">
              <w:rPr>
                <w:rFonts w:ascii="Cambria" w:eastAsia="Calibri" w:hAnsi="Cambria" w:cs="Calibri"/>
                <w:lang w:val="hr-HR"/>
              </w:rPr>
              <w:t>Semestar</w:t>
            </w:r>
          </w:p>
        </w:tc>
        <w:tc>
          <w:tcPr>
            <w:tcW w:w="248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C98A621" w14:textId="77777777" w:rsidR="00CB297F" w:rsidRPr="00DF4CE5" w:rsidRDefault="00CB297F" w:rsidP="008B34AF">
            <w:pPr>
              <w:spacing w:after="0" w:line="240" w:lineRule="atLeast"/>
              <w:jc w:val="both"/>
              <w:rPr>
                <w:rFonts w:ascii="Cambria" w:eastAsia="Calibri" w:hAnsi="Cambria" w:cs="Calibri"/>
                <w:lang w:val="hr-HR"/>
              </w:rPr>
            </w:pPr>
            <w:r w:rsidRPr="00DF4CE5">
              <w:rPr>
                <w:rFonts w:ascii="Cambria" w:eastAsia="Calibri" w:hAnsi="Cambria" w:cs="Calibri"/>
                <w:lang w:val="hr-HR"/>
              </w:rPr>
              <w:t>zimski</w:t>
            </w:r>
          </w:p>
        </w:tc>
        <w:tc>
          <w:tcPr>
            <w:tcW w:w="146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372A4237" w14:textId="77777777" w:rsidR="00CB297F" w:rsidRPr="00DF4CE5" w:rsidRDefault="00CB297F" w:rsidP="008B34AF">
            <w:pPr>
              <w:spacing w:after="0" w:line="240" w:lineRule="atLeast"/>
              <w:jc w:val="both"/>
              <w:rPr>
                <w:rFonts w:ascii="Cambria" w:eastAsia="Calibri" w:hAnsi="Cambria" w:cs="Calibri"/>
                <w:lang w:val="hr-HR"/>
              </w:rPr>
            </w:pPr>
            <w:r w:rsidRPr="00DF4CE5">
              <w:rPr>
                <w:rFonts w:ascii="Cambria" w:eastAsia="Calibri" w:hAnsi="Cambria" w:cs="Calibri"/>
                <w:lang w:val="hr-HR"/>
              </w:rPr>
              <w:t>Godina studija</w:t>
            </w:r>
          </w:p>
        </w:tc>
        <w:tc>
          <w:tcPr>
            <w:tcW w:w="2767"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B3B0621" w14:textId="77777777" w:rsidR="00CB297F" w:rsidRPr="00DF4CE5" w:rsidRDefault="00CB297F" w:rsidP="008B34AF">
            <w:pPr>
              <w:spacing w:after="0" w:line="240" w:lineRule="atLeast"/>
              <w:jc w:val="both"/>
              <w:rPr>
                <w:rFonts w:ascii="Cambria" w:eastAsia="Calibri" w:hAnsi="Cambria" w:cs="Calibri"/>
                <w:lang w:val="hr-HR"/>
              </w:rPr>
            </w:pPr>
            <w:r w:rsidRPr="00DF4CE5">
              <w:rPr>
                <w:rFonts w:ascii="Cambria" w:eastAsia="Calibri" w:hAnsi="Cambria" w:cs="Calibri"/>
                <w:lang w:val="hr-HR"/>
              </w:rPr>
              <w:t>IV.</w:t>
            </w:r>
          </w:p>
        </w:tc>
      </w:tr>
      <w:tr w:rsidR="00CB297F" w:rsidRPr="00DF4CE5" w14:paraId="49C8FC65" w14:textId="77777777" w:rsidTr="004A100E">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6230DF6" w14:textId="77777777" w:rsidR="00CB297F" w:rsidRPr="00DF4CE5" w:rsidRDefault="00CB297F" w:rsidP="008B34AF">
            <w:pPr>
              <w:spacing w:after="0" w:line="240" w:lineRule="atLeast"/>
              <w:jc w:val="both"/>
              <w:rPr>
                <w:rFonts w:ascii="Cambria" w:eastAsia="Calibri" w:hAnsi="Cambria" w:cs="Calibri"/>
                <w:lang w:val="hr-HR"/>
              </w:rPr>
            </w:pPr>
            <w:proofErr w:type="spellStart"/>
            <w:r w:rsidRPr="00DF4CE5">
              <w:rPr>
                <w:rFonts w:ascii="Cambria" w:eastAsia="Calibri" w:hAnsi="Cambria" w:cs="Calibri"/>
              </w:rPr>
              <w:t>Mjesto</w:t>
            </w:r>
            <w:proofErr w:type="spellEnd"/>
            <w:r w:rsidRPr="00DF4CE5">
              <w:rPr>
                <w:rFonts w:ascii="Cambria" w:eastAsia="Calibri" w:hAnsi="Cambria" w:cs="Calibri"/>
              </w:rPr>
              <w:t xml:space="preserve"> </w:t>
            </w:r>
            <w:proofErr w:type="spellStart"/>
            <w:r w:rsidRPr="00DF4CE5">
              <w:rPr>
                <w:rFonts w:ascii="Cambria" w:eastAsia="Calibri" w:hAnsi="Cambria" w:cs="Calibri"/>
              </w:rPr>
              <w:t>izvođenja</w:t>
            </w:r>
            <w:proofErr w:type="spellEnd"/>
          </w:p>
        </w:tc>
        <w:tc>
          <w:tcPr>
            <w:tcW w:w="248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9DB84D0" w14:textId="7E212126" w:rsidR="00CB297F" w:rsidRPr="00DF4CE5" w:rsidRDefault="006C150E" w:rsidP="006C150E">
            <w:pPr>
              <w:spacing w:after="0" w:line="240" w:lineRule="atLeast"/>
              <w:rPr>
                <w:rFonts w:ascii="Cambria" w:eastAsia="Calibri" w:hAnsi="Cambria" w:cs="Calibri"/>
                <w:lang w:val="hr-HR"/>
              </w:rPr>
            </w:pPr>
            <w:r>
              <w:rPr>
                <w:rFonts w:ascii="Cambria" w:eastAsia="Calibri" w:hAnsi="Cambria" w:cs="Calibri"/>
                <w:lang w:val="hr-HR"/>
              </w:rPr>
              <w:t>d</w:t>
            </w:r>
            <w:r w:rsidR="00CB297F" w:rsidRPr="00DF4CE5">
              <w:rPr>
                <w:rFonts w:ascii="Cambria" w:eastAsia="Calibri" w:hAnsi="Cambria" w:cs="Calibri"/>
                <w:lang w:val="hr-HR"/>
              </w:rPr>
              <w:t>vorana</w:t>
            </w:r>
            <w:r>
              <w:rPr>
                <w:rFonts w:ascii="Cambria" w:eastAsia="Calibri" w:hAnsi="Cambria" w:cs="Calibri"/>
                <w:lang w:val="hr-HR"/>
              </w:rPr>
              <w:t>, k</w:t>
            </w:r>
            <w:r w:rsidR="00CB297F" w:rsidRPr="00DF4CE5">
              <w:rPr>
                <w:rFonts w:ascii="Cambria" w:eastAsia="Calibri" w:hAnsi="Cambria" w:cs="Calibri"/>
                <w:lang w:val="hr-HR"/>
              </w:rPr>
              <w:t>njižnice, Sajam knjiga u Puli</w:t>
            </w:r>
          </w:p>
        </w:tc>
        <w:tc>
          <w:tcPr>
            <w:tcW w:w="146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1582EF5D" w14:textId="77777777" w:rsidR="00CB297F" w:rsidRPr="00DF4CE5" w:rsidRDefault="00CB297F" w:rsidP="008B34AF">
            <w:pPr>
              <w:spacing w:after="0" w:line="240" w:lineRule="atLeast"/>
              <w:jc w:val="both"/>
              <w:rPr>
                <w:rFonts w:ascii="Cambria" w:eastAsia="Calibri" w:hAnsi="Cambria" w:cs="Calibri"/>
                <w:lang w:val="hr-HR"/>
              </w:rPr>
            </w:pPr>
            <w:r w:rsidRPr="00DF4CE5">
              <w:rPr>
                <w:rFonts w:ascii="Cambria" w:eastAsia="Calibri" w:hAnsi="Cambria" w:cs="Calibri"/>
              </w:rPr>
              <w:t>Jezik</w:t>
            </w:r>
            <w:r w:rsidRPr="00DF4CE5">
              <w:rPr>
                <w:rFonts w:ascii="Cambria" w:eastAsia="Calibri" w:hAnsi="Cambria" w:cs="Calibri"/>
                <w:lang w:val="hr-HR"/>
              </w:rPr>
              <w:t xml:space="preserve"> izvođenja (drugi jezici)</w:t>
            </w:r>
          </w:p>
        </w:tc>
        <w:tc>
          <w:tcPr>
            <w:tcW w:w="2767"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B25876B" w14:textId="77777777" w:rsidR="00CB297F" w:rsidRPr="00DF4CE5" w:rsidRDefault="00CB297F" w:rsidP="008B34AF">
            <w:pPr>
              <w:spacing w:after="0" w:line="240" w:lineRule="atLeast"/>
              <w:jc w:val="both"/>
              <w:rPr>
                <w:rFonts w:ascii="Cambria" w:eastAsia="Calibri" w:hAnsi="Cambria" w:cs="Calibri"/>
                <w:lang w:val="hr-HR"/>
              </w:rPr>
            </w:pPr>
            <w:r w:rsidRPr="00DF4CE5">
              <w:rPr>
                <w:rFonts w:ascii="Cambria" w:eastAsia="Calibri" w:hAnsi="Cambria" w:cs="Calibri"/>
                <w:lang w:val="hr-HR"/>
              </w:rPr>
              <w:t xml:space="preserve">engleski  </w:t>
            </w:r>
          </w:p>
        </w:tc>
      </w:tr>
      <w:tr w:rsidR="00CB297F" w:rsidRPr="00DF4CE5" w14:paraId="70F0E828" w14:textId="77777777" w:rsidTr="004A100E">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E879771" w14:textId="77777777" w:rsidR="00CB297F" w:rsidRPr="00DF4CE5" w:rsidRDefault="00CB297F" w:rsidP="008B34AF">
            <w:pPr>
              <w:spacing w:after="0" w:line="240" w:lineRule="atLeast"/>
              <w:jc w:val="both"/>
              <w:rPr>
                <w:rFonts w:ascii="Cambria" w:eastAsia="Calibri" w:hAnsi="Cambria" w:cs="Calibri"/>
                <w:lang w:val="hr-HR"/>
              </w:rPr>
            </w:pPr>
            <w:r w:rsidRPr="00DF4CE5">
              <w:rPr>
                <w:rFonts w:ascii="Cambria" w:eastAsia="Calibri" w:hAnsi="Cambria" w:cs="Calibri"/>
                <w:lang w:val="hr-HR"/>
              </w:rPr>
              <w:t>Broj ECTS bodova</w:t>
            </w:r>
          </w:p>
        </w:tc>
        <w:tc>
          <w:tcPr>
            <w:tcW w:w="248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2C9A157" w14:textId="77777777" w:rsidR="00CB297F" w:rsidRPr="00DF4CE5" w:rsidRDefault="00CB297F" w:rsidP="008B34AF">
            <w:pPr>
              <w:spacing w:after="0" w:line="240" w:lineRule="atLeast"/>
              <w:jc w:val="both"/>
              <w:rPr>
                <w:rFonts w:ascii="Cambria" w:eastAsia="Calibri" w:hAnsi="Cambria" w:cs="Calibri"/>
                <w:lang w:val="hr-HR"/>
              </w:rPr>
            </w:pPr>
            <w:r w:rsidRPr="00DF4CE5">
              <w:rPr>
                <w:rFonts w:ascii="Cambria" w:eastAsia="Calibri" w:hAnsi="Cambria" w:cs="Calibri"/>
                <w:lang w:val="hr-HR"/>
              </w:rPr>
              <w:t>3</w:t>
            </w:r>
          </w:p>
        </w:tc>
        <w:tc>
          <w:tcPr>
            <w:tcW w:w="146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3C3F77E6" w14:textId="77777777" w:rsidR="00CB297F" w:rsidRPr="00DF4CE5" w:rsidRDefault="00CB297F" w:rsidP="008B34AF">
            <w:pPr>
              <w:spacing w:after="0" w:line="240" w:lineRule="atLeast"/>
              <w:jc w:val="both"/>
              <w:rPr>
                <w:rFonts w:ascii="Cambria" w:eastAsia="Calibri" w:hAnsi="Cambria" w:cs="Calibri"/>
                <w:lang w:val="hr-HR"/>
              </w:rPr>
            </w:pPr>
            <w:r w:rsidRPr="00DF4CE5">
              <w:rPr>
                <w:rFonts w:ascii="Cambria" w:eastAsia="Calibri" w:hAnsi="Cambria" w:cs="Calibri"/>
                <w:lang w:val="hr-HR"/>
              </w:rPr>
              <w:t>Broj sati u semestru</w:t>
            </w:r>
          </w:p>
        </w:tc>
        <w:tc>
          <w:tcPr>
            <w:tcW w:w="2767"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9E77E9B" w14:textId="26D43766" w:rsidR="00CB297F" w:rsidRPr="00DF4CE5" w:rsidRDefault="00CB297F" w:rsidP="008B34AF">
            <w:pPr>
              <w:spacing w:after="0" w:line="240" w:lineRule="atLeast"/>
              <w:jc w:val="both"/>
              <w:rPr>
                <w:rFonts w:ascii="Cambria" w:eastAsia="Calibri" w:hAnsi="Cambria" w:cs="Calibri"/>
                <w:lang w:val="hr-HR"/>
              </w:rPr>
            </w:pPr>
            <w:r w:rsidRPr="00DF4CE5">
              <w:rPr>
                <w:rFonts w:ascii="Cambria" w:eastAsia="Calibri" w:hAnsi="Cambria" w:cs="Calibri"/>
                <w:lang w:val="hr-HR"/>
              </w:rPr>
              <w:t xml:space="preserve">45P – </w:t>
            </w:r>
            <w:r w:rsidR="00F04088" w:rsidRPr="00DF4CE5">
              <w:rPr>
                <w:rFonts w:ascii="Cambria" w:eastAsia="Calibri" w:hAnsi="Cambria" w:cs="Calibri"/>
                <w:lang w:val="hr-HR"/>
              </w:rPr>
              <w:t>30S</w:t>
            </w:r>
            <w:r w:rsidRPr="00DF4CE5">
              <w:rPr>
                <w:rFonts w:ascii="Cambria" w:eastAsia="Calibri" w:hAnsi="Cambria" w:cs="Calibri"/>
                <w:lang w:val="hr-HR"/>
              </w:rPr>
              <w:t xml:space="preserve"> – </w:t>
            </w:r>
            <w:r w:rsidR="00F04088" w:rsidRPr="00DF4CE5">
              <w:rPr>
                <w:rFonts w:ascii="Cambria" w:eastAsia="Calibri" w:hAnsi="Cambria" w:cs="Calibri"/>
                <w:lang w:val="hr-HR"/>
              </w:rPr>
              <w:t>0V</w:t>
            </w:r>
            <w:r w:rsidRPr="00DF4CE5">
              <w:rPr>
                <w:rFonts w:ascii="Cambria" w:eastAsia="Calibri" w:hAnsi="Cambria" w:cs="Calibri"/>
                <w:lang w:val="hr-HR"/>
              </w:rPr>
              <w:t xml:space="preserve">   </w:t>
            </w:r>
          </w:p>
        </w:tc>
      </w:tr>
      <w:tr w:rsidR="00CB297F" w:rsidRPr="00D0399C" w14:paraId="3362A422" w14:textId="77777777" w:rsidTr="004A100E">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5073D4A" w14:textId="77777777" w:rsidR="00CB297F" w:rsidRPr="00DF4CE5" w:rsidRDefault="00CB297F" w:rsidP="008B34AF">
            <w:pPr>
              <w:spacing w:after="0" w:line="240" w:lineRule="atLeast"/>
              <w:jc w:val="both"/>
              <w:rPr>
                <w:rFonts w:ascii="Cambria" w:eastAsia="Calibri" w:hAnsi="Cambria" w:cs="Calibri"/>
                <w:lang w:val="hr-HR"/>
              </w:rPr>
            </w:pPr>
            <w:r w:rsidRPr="00DF4CE5">
              <w:rPr>
                <w:rFonts w:ascii="Cambria" w:eastAsia="Calibri" w:hAnsi="Cambria" w:cs="Calibri"/>
                <w:lang w:val="hr-HR"/>
              </w:rPr>
              <w:t>Preduvjeti za upis i za svladavanje</w:t>
            </w:r>
          </w:p>
        </w:tc>
        <w:tc>
          <w:tcPr>
            <w:tcW w:w="671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1C73C56" w14:textId="77777777" w:rsidR="00CB297F" w:rsidRPr="00DF4CE5" w:rsidRDefault="00CB297F" w:rsidP="008B34AF">
            <w:pPr>
              <w:spacing w:after="0" w:line="240" w:lineRule="atLeast"/>
              <w:jc w:val="both"/>
              <w:rPr>
                <w:rFonts w:ascii="Cambria" w:eastAsia="Calibri" w:hAnsi="Cambria" w:cs="Calibri"/>
                <w:lang w:val="hr-HR"/>
              </w:rPr>
            </w:pPr>
            <w:r w:rsidRPr="00DF4CE5">
              <w:rPr>
                <w:rFonts w:ascii="Cambria" w:eastAsia="Calibri" w:hAnsi="Cambria" w:cs="Calibri"/>
                <w:lang w:val="hr-HR"/>
              </w:rPr>
              <w:t>Nema preduvjeta za upis. Za svladavanje kolegija je preduvjet mogućnost praćenja literature na engleskom jeziku.</w:t>
            </w:r>
          </w:p>
        </w:tc>
      </w:tr>
      <w:tr w:rsidR="00CB297F" w:rsidRPr="00D0399C" w14:paraId="711E6A35" w14:textId="77777777" w:rsidTr="004A100E">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A3F6D9D" w14:textId="77777777" w:rsidR="00CB297F" w:rsidRPr="00DF4CE5" w:rsidRDefault="00CB297F" w:rsidP="008B34AF">
            <w:pPr>
              <w:spacing w:after="0" w:line="240" w:lineRule="atLeast"/>
              <w:jc w:val="both"/>
              <w:rPr>
                <w:rFonts w:ascii="Cambria" w:eastAsia="Calibri" w:hAnsi="Cambria" w:cs="Calibri"/>
                <w:lang w:val="hr-HR"/>
              </w:rPr>
            </w:pPr>
            <w:proofErr w:type="spellStart"/>
            <w:r w:rsidRPr="00DF4CE5">
              <w:rPr>
                <w:rFonts w:ascii="Cambria" w:eastAsia="Calibri" w:hAnsi="Cambria" w:cs="Calibri"/>
              </w:rPr>
              <w:t>Korelativnost</w:t>
            </w:r>
            <w:proofErr w:type="spellEnd"/>
          </w:p>
        </w:tc>
        <w:tc>
          <w:tcPr>
            <w:tcW w:w="671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E5D01E5" w14:textId="77777777" w:rsidR="00CB297F" w:rsidRPr="00DF4CE5" w:rsidRDefault="00CB297F" w:rsidP="008B34AF">
            <w:pPr>
              <w:spacing w:after="0" w:line="240" w:lineRule="atLeast"/>
              <w:jc w:val="both"/>
              <w:rPr>
                <w:rFonts w:ascii="Cambria" w:eastAsia="Calibri" w:hAnsi="Cambria" w:cs="Calibri"/>
                <w:lang w:val="hr-HR"/>
              </w:rPr>
            </w:pPr>
            <w:r w:rsidRPr="00DF4CE5">
              <w:rPr>
                <w:rFonts w:ascii="Cambria" w:eastAsia="Calibri" w:hAnsi="Cambria" w:cs="Calibri"/>
                <w:lang w:val="hr-HR"/>
              </w:rPr>
              <w:t>Engleski jezik I., Engleski jezik II., Dječja književnost, Metodika nastave engleskog jezika, Govorne vježbe I./1, Govorne vježbe I./2, Govorne vježbe II./1, Uvod u gramatiku engleskog jezika</w:t>
            </w:r>
          </w:p>
        </w:tc>
      </w:tr>
      <w:tr w:rsidR="00CB297F" w:rsidRPr="00D0399C" w14:paraId="43FF730E" w14:textId="77777777" w:rsidTr="004A100E">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6DD600D" w14:textId="77777777" w:rsidR="00CB297F" w:rsidRPr="00DF4CE5" w:rsidRDefault="00CB297F" w:rsidP="008B34AF">
            <w:pPr>
              <w:spacing w:after="0" w:line="240" w:lineRule="atLeast"/>
              <w:jc w:val="both"/>
              <w:rPr>
                <w:rFonts w:ascii="Cambria" w:eastAsia="Calibri" w:hAnsi="Cambria" w:cs="Calibri"/>
                <w:lang w:val="hr-HR"/>
              </w:rPr>
            </w:pPr>
            <w:r w:rsidRPr="00DF4CE5">
              <w:rPr>
                <w:rFonts w:ascii="Cambria" w:eastAsia="Calibri" w:hAnsi="Cambria" w:cs="Calibri"/>
                <w:lang w:val="hr-HR"/>
              </w:rPr>
              <w:t xml:space="preserve">Cilj kolegija </w:t>
            </w:r>
          </w:p>
        </w:tc>
        <w:tc>
          <w:tcPr>
            <w:tcW w:w="671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5BAA2AB" w14:textId="77777777" w:rsidR="00CB297F" w:rsidRPr="00DF4CE5" w:rsidRDefault="00CB297F" w:rsidP="008B34AF">
            <w:pPr>
              <w:spacing w:line="240" w:lineRule="atLeast"/>
              <w:jc w:val="both"/>
              <w:rPr>
                <w:rFonts w:ascii="Cambria" w:eastAsia="Calibri" w:hAnsi="Cambria" w:cs="Calibri"/>
                <w:lang w:val="hr-HR"/>
              </w:rPr>
            </w:pPr>
            <w:r w:rsidRPr="00DF4CE5">
              <w:rPr>
                <w:rFonts w:ascii="Cambria" w:eastAsia="Calibri" w:hAnsi="Cambria" w:cs="Calibri"/>
                <w:lang w:val="hr-HR"/>
              </w:rPr>
              <w:t>steći kompetencije za klasificiranje, interpretaciju i analizu dječje književnosti na engleskom jeziku</w:t>
            </w:r>
          </w:p>
        </w:tc>
      </w:tr>
      <w:tr w:rsidR="00CB297F" w:rsidRPr="00D0399C" w14:paraId="4B809DE0" w14:textId="77777777" w:rsidTr="004A100E">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9EDC05F" w14:textId="77777777" w:rsidR="00CB297F" w:rsidRPr="00DF4CE5" w:rsidRDefault="00CB297F" w:rsidP="008B34AF">
            <w:pPr>
              <w:spacing w:after="0" w:line="240" w:lineRule="atLeast"/>
              <w:jc w:val="both"/>
              <w:rPr>
                <w:rFonts w:ascii="Cambria" w:eastAsia="Calibri" w:hAnsi="Cambria" w:cs="Calibri"/>
                <w:lang w:val="hr-HR"/>
              </w:rPr>
            </w:pPr>
            <w:r w:rsidRPr="00DF4CE5">
              <w:rPr>
                <w:rFonts w:ascii="Cambria" w:eastAsia="Calibri" w:hAnsi="Cambria" w:cs="Calibri"/>
                <w:lang w:val="hr-HR"/>
              </w:rPr>
              <w:t>Ishodi učenja</w:t>
            </w:r>
          </w:p>
        </w:tc>
        <w:tc>
          <w:tcPr>
            <w:tcW w:w="671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0F9BFA5" w14:textId="77777777" w:rsidR="00CB297F" w:rsidRPr="00DF4CE5" w:rsidRDefault="00CB297F" w:rsidP="00A034E3">
            <w:pPr>
              <w:numPr>
                <w:ilvl w:val="0"/>
                <w:numId w:val="46"/>
              </w:numPr>
              <w:tabs>
                <w:tab w:val="num" w:pos="632"/>
              </w:tabs>
              <w:spacing w:after="0" w:line="240" w:lineRule="atLeast"/>
              <w:ind w:left="357" w:hanging="357"/>
              <w:contextualSpacing/>
              <w:jc w:val="both"/>
              <w:rPr>
                <w:rFonts w:ascii="Cambria" w:eastAsia="Calibri" w:hAnsi="Cambria" w:cs="Calibri"/>
                <w:lang w:val="hr-HR"/>
              </w:rPr>
            </w:pPr>
            <w:r w:rsidRPr="00DF4CE5">
              <w:rPr>
                <w:rFonts w:ascii="Cambria" w:eastAsia="Calibri" w:hAnsi="Cambria" w:cs="Calibri"/>
                <w:lang w:val="hr-HR"/>
              </w:rPr>
              <w:t>upotrijebiti temeljne pojmove iz područja teorije književnosti</w:t>
            </w:r>
          </w:p>
          <w:p w14:paraId="383A138E" w14:textId="77777777" w:rsidR="00CB297F" w:rsidRPr="00DF4CE5" w:rsidRDefault="00CB297F" w:rsidP="00A034E3">
            <w:pPr>
              <w:numPr>
                <w:ilvl w:val="0"/>
                <w:numId w:val="46"/>
              </w:numPr>
              <w:tabs>
                <w:tab w:val="num" w:pos="632"/>
              </w:tabs>
              <w:spacing w:after="0" w:line="240" w:lineRule="atLeast"/>
              <w:ind w:left="357" w:hanging="357"/>
              <w:contextualSpacing/>
              <w:jc w:val="both"/>
              <w:rPr>
                <w:rFonts w:ascii="Cambria" w:eastAsia="Calibri" w:hAnsi="Cambria" w:cs="Calibri"/>
                <w:lang w:val="hr-HR"/>
              </w:rPr>
            </w:pPr>
            <w:r w:rsidRPr="00DF4CE5">
              <w:rPr>
                <w:rFonts w:ascii="Cambria" w:eastAsia="Calibri" w:hAnsi="Cambria" w:cs="Calibri"/>
                <w:lang w:val="hr-HR"/>
              </w:rPr>
              <w:t>usporediti stavove, raspoloženje i atmosferu pojedinih književnih epoha, djela i autora dječje književnosti na engleskom jeziku</w:t>
            </w:r>
          </w:p>
          <w:p w14:paraId="270CF6BE" w14:textId="77777777" w:rsidR="00CB297F" w:rsidRPr="00DF4CE5" w:rsidRDefault="00CB297F" w:rsidP="00A034E3">
            <w:pPr>
              <w:numPr>
                <w:ilvl w:val="0"/>
                <w:numId w:val="46"/>
              </w:numPr>
              <w:tabs>
                <w:tab w:val="num" w:pos="632"/>
              </w:tabs>
              <w:spacing w:after="0" w:line="240" w:lineRule="atLeast"/>
              <w:ind w:left="357" w:hanging="357"/>
              <w:contextualSpacing/>
              <w:jc w:val="both"/>
              <w:rPr>
                <w:rFonts w:ascii="Cambria" w:eastAsia="Calibri" w:hAnsi="Cambria" w:cs="Calibri"/>
                <w:lang w:val="hr-HR"/>
              </w:rPr>
            </w:pPr>
            <w:r w:rsidRPr="00DF4CE5">
              <w:rPr>
                <w:rFonts w:ascii="Cambria" w:eastAsia="Calibri" w:hAnsi="Cambria" w:cs="Calibri"/>
                <w:lang w:val="hr-HR"/>
              </w:rPr>
              <w:t>kritički razmatrati odabrane teorijske teme</w:t>
            </w:r>
          </w:p>
          <w:p w14:paraId="3762ADCB" w14:textId="77777777" w:rsidR="00CB297F" w:rsidRPr="00DF4CE5" w:rsidRDefault="00CB297F" w:rsidP="00A034E3">
            <w:pPr>
              <w:numPr>
                <w:ilvl w:val="0"/>
                <w:numId w:val="46"/>
              </w:numPr>
              <w:tabs>
                <w:tab w:val="num" w:pos="632"/>
              </w:tabs>
              <w:spacing w:after="0" w:line="240" w:lineRule="atLeast"/>
              <w:ind w:left="357" w:hanging="357"/>
              <w:contextualSpacing/>
              <w:jc w:val="both"/>
              <w:rPr>
                <w:rFonts w:ascii="Cambria" w:eastAsia="Calibri" w:hAnsi="Cambria" w:cs="Calibri"/>
                <w:lang w:val="hr-HR"/>
              </w:rPr>
            </w:pPr>
            <w:r w:rsidRPr="00DF4CE5">
              <w:rPr>
                <w:rFonts w:ascii="Cambria" w:eastAsia="Calibri" w:hAnsi="Cambria" w:cs="Calibri"/>
                <w:lang w:val="hr-HR"/>
              </w:rPr>
              <w:t>temeljito analizirati odabrane tekstove</w:t>
            </w:r>
          </w:p>
          <w:p w14:paraId="5FB20542" w14:textId="77777777" w:rsidR="00CB297F" w:rsidRPr="00DF4CE5" w:rsidRDefault="00CB297F" w:rsidP="00A034E3">
            <w:pPr>
              <w:numPr>
                <w:ilvl w:val="0"/>
                <w:numId w:val="46"/>
              </w:numPr>
              <w:tabs>
                <w:tab w:val="num" w:pos="632"/>
              </w:tabs>
              <w:spacing w:after="0" w:line="240" w:lineRule="atLeast"/>
              <w:ind w:left="357" w:hanging="357"/>
              <w:contextualSpacing/>
              <w:jc w:val="both"/>
              <w:rPr>
                <w:rFonts w:ascii="Cambria" w:eastAsia="Calibri" w:hAnsi="Cambria" w:cs="Calibri"/>
                <w:lang w:val="hr-HR"/>
              </w:rPr>
            </w:pPr>
            <w:r w:rsidRPr="00DF4CE5">
              <w:rPr>
                <w:rFonts w:ascii="Cambria" w:eastAsia="Calibri" w:hAnsi="Cambria" w:cs="Calibri"/>
                <w:lang w:val="hr-HR"/>
              </w:rPr>
              <w:t>argumentirati mogućnosti što češće i kvalitetnije primjene dječje književnosti u nastavi engleskog jezika.</w:t>
            </w:r>
          </w:p>
        </w:tc>
      </w:tr>
      <w:tr w:rsidR="00CB297F" w:rsidRPr="00D0399C" w14:paraId="18B8D947" w14:textId="77777777" w:rsidTr="006C150E">
        <w:trPr>
          <w:trHeight w:val="958"/>
        </w:trPr>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20357F9B" w14:textId="77777777" w:rsidR="00CB297F" w:rsidRPr="00DF4CE5" w:rsidRDefault="00CB297F" w:rsidP="008B34AF">
            <w:pPr>
              <w:spacing w:after="0" w:line="240" w:lineRule="atLeast"/>
              <w:jc w:val="both"/>
              <w:rPr>
                <w:rFonts w:ascii="Cambria" w:eastAsia="Calibri" w:hAnsi="Cambria" w:cs="Calibri"/>
                <w:lang w:val="hr-HR"/>
              </w:rPr>
            </w:pPr>
            <w:r w:rsidRPr="00DF4CE5">
              <w:rPr>
                <w:rFonts w:ascii="Cambria" w:eastAsia="Calibri" w:hAnsi="Cambria" w:cs="Calibri"/>
                <w:lang w:val="hr-HR"/>
              </w:rPr>
              <w:t>Sadržaj kolegija</w:t>
            </w:r>
          </w:p>
        </w:tc>
        <w:tc>
          <w:tcPr>
            <w:tcW w:w="6717"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F6D1FFF" w14:textId="03343118" w:rsidR="00CB297F" w:rsidRPr="00DF4CE5" w:rsidRDefault="006C150E" w:rsidP="006C150E">
            <w:pPr>
              <w:spacing w:after="0" w:line="240" w:lineRule="atLeast"/>
              <w:contextualSpacing/>
              <w:jc w:val="both"/>
              <w:rPr>
                <w:rFonts w:ascii="Cambria" w:eastAsia="Calibri" w:hAnsi="Cambria" w:cs="Calibri"/>
                <w:lang w:val="hr-HR"/>
              </w:rPr>
            </w:pPr>
            <w:r>
              <w:rPr>
                <w:rFonts w:ascii="Cambria" w:eastAsia="Calibri" w:hAnsi="Cambria" w:cs="Calibri"/>
                <w:lang w:val="hr-HR"/>
              </w:rPr>
              <w:t xml:space="preserve">1. </w:t>
            </w:r>
            <w:r w:rsidR="00CB297F" w:rsidRPr="00DF4CE5">
              <w:rPr>
                <w:rFonts w:ascii="Cambria" w:eastAsia="Calibri" w:hAnsi="Cambria" w:cs="Calibri"/>
                <w:lang w:val="hr-HR"/>
              </w:rPr>
              <w:t xml:space="preserve">Pojam dječje književnosti i mjesto i uloga izvorne dječje književnosti u nastavi engleskog kao stranog jezika </w:t>
            </w:r>
          </w:p>
          <w:p w14:paraId="0DA7D4E0" w14:textId="77777777" w:rsidR="006C150E" w:rsidRDefault="006C150E" w:rsidP="006C150E">
            <w:pPr>
              <w:spacing w:after="0" w:line="240" w:lineRule="atLeast"/>
              <w:contextualSpacing/>
              <w:jc w:val="both"/>
              <w:rPr>
                <w:rFonts w:ascii="Cambria" w:eastAsia="Calibri" w:hAnsi="Cambria" w:cs="Calibri"/>
                <w:lang w:val="hr-HR"/>
              </w:rPr>
            </w:pPr>
            <w:r>
              <w:rPr>
                <w:rFonts w:ascii="Cambria" w:eastAsia="Calibri" w:hAnsi="Cambria" w:cs="Calibri"/>
                <w:lang w:val="hr-HR"/>
              </w:rPr>
              <w:t xml:space="preserve">2. </w:t>
            </w:r>
            <w:r w:rsidR="00CB297F" w:rsidRPr="00DF4CE5">
              <w:rPr>
                <w:rFonts w:ascii="Cambria" w:eastAsia="Calibri" w:hAnsi="Cambria" w:cs="Calibri"/>
                <w:lang w:val="hr-HR"/>
              </w:rPr>
              <w:t>Dječja književnost u kontekstu svjetske književnosti: pregled povijesti dječje književnosti na engleskom jeziku</w:t>
            </w:r>
          </w:p>
          <w:p w14:paraId="312B1D2B" w14:textId="77777777" w:rsidR="006C150E" w:rsidRDefault="006C150E" w:rsidP="006C150E">
            <w:pPr>
              <w:spacing w:after="0" w:line="240" w:lineRule="atLeast"/>
              <w:contextualSpacing/>
              <w:jc w:val="both"/>
              <w:rPr>
                <w:rFonts w:ascii="Cambria" w:eastAsia="Calibri" w:hAnsi="Cambria" w:cs="Calibri"/>
                <w:lang w:val="hr-HR"/>
              </w:rPr>
            </w:pPr>
            <w:r>
              <w:rPr>
                <w:rFonts w:ascii="Cambria" w:eastAsia="Calibri" w:hAnsi="Cambria" w:cs="Calibri"/>
                <w:lang w:val="hr-HR"/>
              </w:rPr>
              <w:t xml:space="preserve">3. </w:t>
            </w:r>
            <w:r w:rsidR="00CB297F" w:rsidRPr="00DF4CE5">
              <w:rPr>
                <w:rFonts w:ascii="Cambria" w:eastAsia="Calibri" w:hAnsi="Cambria" w:cs="Calibri"/>
                <w:lang w:val="hr-HR"/>
              </w:rPr>
              <w:t>Temeljni pojmovi teorije književnosti</w:t>
            </w:r>
          </w:p>
          <w:p w14:paraId="19797F29" w14:textId="77777777" w:rsidR="006C150E" w:rsidRDefault="006C150E" w:rsidP="006C150E">
            <w:pPr>
              <w:spacing w:after="0" w:line="240" w:lineRule="atLeast"/>
              <w:contextualSpacing/>
              <w:jc w:val="both"/>
              <w:rPr>
                <w:rFonts w:ascii="Cambria" w:eastAsia="Calibri" w:hAnsi="Cambria" w:cs="Calibri"/>
                <w:lang w:val="hr-HR"/>
              </w:rPr>
            </w:pPr>
            <w:r>
              <w:rPr>
                <w:rFonts w:ascii="Cambria" w:eastAsia="Calibri" w:hAnsi="Cambria" w:cs="Calibri"/>
                <w:lang w:val="hr-HR"/>
              </w:rPr>
              <w:t xml:space="preserve">4. </w:t>
            </w:r>
            <w:r w:rsidR="00CB297F" w:rsidRPr="00DF4CE5">
              <w:rPr>
                <w:rFonts w:ascii="Cambria" w:eastAsia="Calibri" w:hAnsi="Cambria" w:cs="Calibri"/>
                <w:lang w:val="hr-HR"/>
              </w:rPr>
              <w:t>Pristupi analizi djela dječje književnosti: interpretacija djela u sklopu nastave engleskog jezika</w:t>
            </w:r>
          </w:p>
          <w:p w14:paraId="76220A2B" w14:textId="77777777" w:rsidR="006C150E" w:rsidRDefault="006C150E" w:rsidP="006C150E">
            <w:pPr>
              <w:spacing w:after="0" w:line="240" w:lineRule="atLeast"/>
              <w:contextualSpacing/>
              <w:jc w:val="both"/>
              <w:rPr>
                <w:rFonts w:ascii="Cambria" w:eastAsia="Calibri" w:hAnsi="Cambria" w:cs="Calibri"/>
                <w:lang w:val="hr-HR"/>
              </w:rPr>
            </w:pPr>
            <w:r>
              <w:rPr>
                <w:rFonts w:ascii="Cambria" w:eastAsia="Calibri" w:hAnsi="Cambria" w:cs="Calibri"/>
                <w:lang w:val="hr-HR"/>
              </w:rPr>
              <w:t xml:space="preserve">5. </w:t>
            </w:r>
            <w:r w:rsidR="00CB297F" w:rsidRPr="00DF4CE5">
              <w:rPr>
                <w:rFonts w:ascii="Cambria" w:eastAsia="Calibri" w:hAnsi="Cambria" w:cs="Calibri"/>
                <w:lang w:val="hr-HR"/>
              </w:rPr>
              <w:t xml:space="preserve">Žanrovi i tipovi dječje književnosti: problemi klasifikacije. </w:t>
            </w:r>
          </w:p>
          <w:p w14:paraId="3589E3F5" w14:textId="77777777" w:rsidR="006C150E" w:rsidRDefault="006C150E" w:rsidP="006C150E">
            <w:pPr>
              <w:spacing w:after="0" w:line="240" w:lineRule="atLeast"/>
              <w:contextualSpacing/>
              <w:jc w:val="both"/>
              <w:rPr>
                <w:rFonts w:ascii="Cambria" w:eastAsia="Calibri" w:hAnsi="Cambria" w:cs="Calibri"/>
                <w:lang w:val="hr-HR"/>
              </w:rPr>
            </w:pPr>
            <w:r>
              <w:rPr>
                <w:rFonts w:ascii="Cambria" w:eastAsia="Calibri" w:hAnsi="Cambria" w:cs="Calibri"/>
                <w:lang w:val="hr-HR"/>
              </w:rPr>
              <w:t xml:space="preserve">6. </w:t>
            </w:r>
            <w:r w:rsidR="00CB297F" w:rsidRPr="00DF4CE5">
              <w:rPr>
                <w:rFonts w:ascii="Cambria" w:eastAsia="Calibri" w:hAnsi="Cambria" w:cs="Calibri"/>
                <w:lang w:val="hr-HR"/>
              </w:rPr>
              <w:t>Knjige ranog djetinjstva: početnice i slikovnice</w:t>
            </w:r>
          </w:p>
          <w:p w14:paraId="11C20990" w14:textId="77777777" w:rsidR="006C150E" w:rsidRDefault="006C150E" w:rsidP="006C150E">
            <w:pPr>
              <w:spacing w:after="0" w:line="240" w:lineRule="atLeast"/>
              <w:contextualSpacing/>
              <w:jc w:val="both"/>
              <w:rPr>
                <w:rFonts w:ascii="Cambria" w:eastAsia="Calibri" w:hAnsi="Cambria" w:cs="Calibri"/>
                <w:lang w:val="hr-HR"/>
              </w:rPr>
            </w:pPr>
            <w:r>
              <w:rPr>
                <w:rFonts w:ascii="Cambria" w:eastAsia="Calibri" w:hAnsi="Cambria" w:cs="Calibri"/>
                <w:lang w:val="hr-HR"/>
              </w:rPr>
              <w:t xml:space="preserve">7. </w:t>
            </w:r>
            <w:r w:rsidR="00CB297F" w:rsidRPr="00DF4CE5">
              <w:rPr>
                <w:rFonts w:ascii="Cambria" w:eastAsia="Calibri" w:hAnsi="Cambria" w:cs="Calibri"/>
                <w:lang w:val="hr-HR"/>
              </w:rPr>
              <w:t>Žanrovi tradicionalne (usmene) književnosti. Prijevodi poznatih djela dječje književnosti na engleski jezik</w:t>
            </w:r>
          </w:p>
          <w:p w14:paraId="682E80CD" w14:textId="77777777" w:rsidR="006C150E" w:rsidRDefault="006C150E" w:rsidP="006C150E">
            <w:pPr>
              <w:spacing w:after="0" w:line="240" w:lineRule="atLeast"/>
              <w:contextualSpacing/>
              <w:jc w:val="both"/>
              <w:rPr>
                <w:rFonts w:ascii="Cambria" w:eastAsia="Calibri" w:hAnsi="Cambria" w:cs="Calibri"/>
                <w:lang w:val="hr-HR"/>
              </w:rPr>
            </w:pPr>
            <w:r>
              <w:rPr>
                <w:rFonts w:ascii="Cambria" w:eastAsia="Calibri" w:hAnsi="Cambria" w:cs="Calibri"/>
                <w:lang w:val="hr-HR"/>
              </w:rPr>
              <w:t xml:space="preserve">8. </w:t>
            </w:r>
            <w:r w:rsidR="00CB297F" w:rsidRPr="00DF4CE5">
              <w:rPr>
                <w:rFonts w:ascii="Cambria" w:eastAsia="Calibri" w:hAnsi="Cambria" w:cs="Calibri"/>
                <w:lang w:val="hr-HR"/>
              </w:rPr>
              <w:t>Poezija za djecu: rani pisci poezije za djecu</w:t>
            </w:r>
          </w:p>
          <w:p w14:paraId="6B309931" w14:textId="77777777" w:rsidR="006C150E" w:rsidRDefault="006C150E" w:rsidP="006C150E">
            <w:pPr>
              <w:spacing w:after="0" w:line="240" w:lineRule="atLeast"/>
              <w:contextualSpacing/>
              <w:jc w:val="both"/>
              <w:rPr>
                <w:rFonts w:ascii="Cambria" w:eastAsia="Calibri" w:hAnsi="Cambria" w:cs="Calibri"/>
                <w:lang w:val="hr-HR"/>
              </w:rPr>
            </w:pPr>
            <w:r>
              <w:rPr>
                <w:rFonts w:ascii="Cambria" w:eastAsia="Calibri" w:hAnsi="Cambria" w:cs="Calibri"/>
                <w:lang w:val="hr-HR"/>
              </w:rPr>
              <w:t xml:space="preserve">9. </w:t>
            </w:r>
            <w:r w:rsidR="00CB297F" w:rsidRPr="00DF4CE5">
              <w:rPr>
                <w:rFonts w:ascii="Cambria" w:eastAsia="Calibri" w:hAnsi="Cambria" w:cs="Calibri"/>
                <w:lang w:val="hr-HR"/>
              </w:rPr>
              <w:t>Fikcionalna književnost: uspon romana kao žanra</w:t>
            </w:r>
          </w:p>
          <w:p w14:paraId="3F1461DD" w14:textId="77777777" w:rsidR="006C150E" w:rsidRDefault="006C150E" w:rsidP="006C150E">
            <w:pPr>
              <w:spacing w:after="0" w:line="240" w:lineRule="atLeast"/>
              <w:contextualSpacing/>
              <w:jc w:val="both"/>
              <w:rPr>
                <w:rFonts w:ascii="Cambria" w:eastAsia="Calibri" w:hAnsi="Cambria" w:cs="Calibri"/>
                <w:lang w:val="hr-HR"/>
              </w:rPr>
            </w:pPr>
            <w:r>
              <w:rPr>
                <w:rFonts w:ascii="Cambria" w:eastAsia="Calibri" w:hAnsi="Cambria" w:cs="Calibri"/>
                <w:lang w:val="hr-HR"/>
              </w:rPr>
              <w:t xml:space="preserve">10. </w:t>
            </w:r>
            <w:r w:rsidR="00CB297F" w:rsidRPr="00DF4CE5">
              <w:rPr>
                <w:rFonts w:ascii="Cambria" w:eastAsia="Calibri" w:hAnsi="Cambria" w:cs="Calibri"/>
                <w:lang w:val="hr-HR"/>
              </w:rPr>
              <w:t>Viktorijansko razdoblje: zlatno doba dječje književnosti na engleskom jeziku</w:t>
            </w:r>
          </w:p>
          <w:p w14:paraId="4B1FD238" w14:textId="77777777" w:rsidR="006C150E" w:rsidRDefault="006C150E" w:rsidP="006C150E">
            <w:pPr>
              <w:spacing w:after="0" w:line="240" w:lineRule="atLeast"/>
              <w:contextualSpacing/>
              <w:jc w:val="both"/>
              <w:rPr>
                <w:rFonts w:ascii="Cambria" w:eastAsia="Calibri" w:hAnsi="Cambria" w:cs="Calibri"/>
                <w:lang w:val="hr-HR"/>
              </w:rPr>
            </w:pPr>
            <w:r>
              <w:rPr>
                <w:rFonts w:ascii="Cambria" w:eastAsia="Calibri" w:hAnsi="Cambria" w:cs="Calibri"/>
                <w:lang w:val="hr-HR"/>
              </w:rPr>
              <w:lastRenderedPageBreak/>
              <w:t xml:space="preserve">11. </w:t>
            </w:r>
            <w:r w:rsidR="00CB297F" w:rsidRPr="00DF4CE5">
              <w:rPr>
                <w:rFonts w:ascii="Cambria" w:eastAsia="Calibri" w:hAnsi="Cambria" w:cs="Calibri"/>
                <w:lang w:val="hr-HR"/>
              </w:rPr>
              <w:t>Multikulturalna književnost za djecu</w:t>
            </w:r>
          </w:p>
          <w:p w14:paraId="2AB26426" w14:textId="6C1D1933" w:rsidR="00CB297F" w:rsidRPr="00DF4CE5" w:rsidRDefault="006C150E" w:rsidP="006C150E">
            <w:pPr>
              <w:spacing w:after="0" w:line="240" w:lineRule="atLeast"/>
              <w:contextualSpacing/>
              <w:jc w:val="both"/>
              <w:rPr>
                <w:rFonts w:ascii="Cambria" w:eastAsia="Calibri" w:hAnsi="Cambria" w:cs="Calibri"/>
                <w:lang w:val="hr-HR"/>
              </w:rPr>
            </w:pPr>
            <w:r>
              <w:rPr>
                <w:rFonts w:ascii="Cambria" w:eastAsia="Calibri" w:hAnsi="Cambria" w:cs="Calibri"/>
                <w:lang w:val="hr-HR"/>
              </w:rPr>
              <w:t xml:space="preserve">12. </w:t>
            </w:r>
            <w:r w:rsidR="00CB297F" w:rsidRPr="00DF4CE5">
              <w:rPr>
                <w:rFonts w:ascii="Cambria" w:eastAsia="Calibri" w:hAnsi="Cambria" w:cs="Calibri"/>
                <w:lang w:val="hr-HR"/>
              </w:rPr>
              <w:t>Cenzura u dječjoj književnosti</w:t>
            </w:r>
          </w:p>
        </w:tc>
      </w:tr>
      <w:tr w:rsidR="00CB297F" w:rsidRPr="00DF4CE5" w14:paraId="32099BD5" w14:textId="77777777" w:rsidTr="004A100E">
        <w:tc>
          <w:tcPr>
            <w:tcW w:w="2623"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hideMark/>
          </w:tcPr>
          <w:p w14:paraId="0674399C" w14:textId="77777777" w:rsidR="00CB297F" w:rsidRPr="00DF4CE5" w:rsidRDefault="00CB297F" w:rsidP="008B34AF">
            <w:pPr>
              <w:spacing w:after="0" w:line="240" w:lineRule="atLeast"/>
              <w:jc w:val="both"/>
              <w:rPr>
                <w:rFonts w:ascii="Cambria" w:eastAsia="Calibri" w:hAnsi="Cambria" w:cs="Calibri"/>
                <w:lang w:val="hr-HR"/>
              </w:rPr>
            </w:pPr>
            <w:r w:rsidRPr="00DF4CE5">
              <w:rPr>
                <w:rFonts w:ascii="Cambria" w:eastAsia="Calibri" w:hAnsi="Cambria" w:cs="Calibri"/>
                <w:lang w:val="hr-HR"/>
              </w:rPr>
              <w:lastRenderedPageBreak/>
              <w:t>Planirane aktivnosti</w:t>
            </w:r>
            <w:r w:rsidRPr="00B30379">
              <w:rPr>
                <w:rFonts w:ascii="Cambria" w:eastAsia="Calibri" w:hAnsi="Cambria" w:cs="Calibri"/>
                <w:lang w:val="it-IT"/>
              </w:rPr>
              <w:t>,</w:t>
            </w:r>
          </w:p>
          <w:p w14:paraId="33D2CDB8" w14:textId="77777777" w:rsidR="00CB297F" w:rsidRPr="00DF4CE5" w:rsidRDefault="00CB297F" w:rsidP="008B34AF">
            <w:pPr>
              <w:spacing w:after="0" w:line="240" w:lineRule="atLeast"/>
              <w:jc w:val="both"/>
              <w:rPr>
                <w:rFonts w:ascii="Cambria" w:eastAsia="Calibri" w:hAnsi="Cambria" w:cs="Calibri"/>
                <w:lang w:val="hr-HR"/>
              </w:rPr>
            </w:pPr>
            <w:proofErr w:type="spellStart"/>
            <w:r w:rsidRPr="00DF4CE5">
              <w:rPr>
                <w:rFonts w:ascii="Cambria" w:eastAsia="Calibri" w:hAnsi="Cambria" w:cs="Calibri"/>
                <w:lang w:val="it-IT"/>
              </w:rPr>
              <w:t>metode</w:t>
            </w:r>
            <w:proofErr w:type="spellEnd"/>
            <w:r w:rsidRPr="00DF4CE5">
              <w:rPr>
                <w:rFonts w:ascii="Cambria" w:eastAsia="Calibri" w:hAnsi="Cambria" w:cs="Calibri"/>
                <w:lang w:val="it-IT"/>
              </w:rPr>
              <w:t xml:space="preserve"> </w:t>
            </w:r>
            <w:r w:rsidRPr="00DF4CE5">
              <w:rPr>
                <w:rFonts w:ascii="Cambria" w:eastAsia="Calibri" w:hAnsi="Cambria" w:cs="Calibri"/>
                <w:lang w:val="hr-HR"/>
              </w:rPr>
              <w:t>učenja i poučavanja i načini vrednovanja</w:t>
            </w:r>
          </w:p>
          <w:p w14:paraId="392AE097" w14:textId="77777777" w:rsidR="00CB297F" w:rsidRPr="00DF4CE5" w:rsidRDefault="00CB297F" w:rsidP="008B34AF">
            <w:pPr>
              <w:spacing w:after="0" w:line="240" w:lineRule="atLeast"/>
              <w:jc w:val="both"/>
              <w:rPr>
                <w:rFonts w:ascii="Cambria" w:eastAsia="Calibri" w:hAnsi="Cambria" w:cs="Calibri"/>
                <w:lang w:val="hr-HR"/>
              </w:rPr>
            </w:pPr>
          </w:p>
        </w:tc>
        <w:tc>
          <w:tcPr>
            <w:tcW w:w="258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CF6C50A" w14:textId="77777777" w:rsidR="00CB297F" w:rsidRPr="00DF4CE5" w:rsidRDefault="00CB297F" w:rsidP="008B34AF">
            <w:pPr>
              <w:spacing w:after="0" w:line="240" w:lineRule="atLeast"/>
              <w:jc w:val="both"/>
              <w:rPr>
                <w:rFonts w:ascii="Cambria" w:eastAsia="Calibri" w:hAnsi="Cambria" w:cs="Calibri"/>
                <w:lang w:val="hr-HR"/>
              </w:rPr>
            </w:pPr>
            <w:r w:rsidRPr="00DF4CE5">
              <w:rPr>
                <w:rFonts w:ascii="Cambria" w:eastAsia="Calibri" w:hAnsi="Cambria" w:cs="Calibri"/>
                <w:bCs/>
                <w:lang w:val="hr-HR"/>
              </w:rPr>
              <w:t>Obveze</w:t>
            </w:r>
          </w:p>
        </w:tc>
        <w:tc>
          <w:tcPr>
            <w:tcW w:w="10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1F1F5B6" w14:textId="77777777" w:rsidR="00CB297F" w:rsidRPr="00DF4CE5" w:rsidRDefault="00CB297F" w:rsidP="008B34AF">
            <w:pPr>
              <w:spacing w:after="0" w:line="240" w:lineRule="atLeast"/>
              <w:jc w:val="both"/>
              <w:rPr>
                <w:rFonts w:ascii="Cambria" w:eastAsia="Calibri" w:hAnsi="Cambria" w:cs="Calibri"/>
                <w:lang w:val="hr-HR"/>
              </w:rPr>
            </w:pPr>
            <w:r w:rsidRPr="00DF4CE5">
              <w:rPr>
                <w:rFonts w:ascii="Cambria" w:eastAsia="Calibri" w:hAnsi="Cambria" w:cs="Calibri"/>
                <w:bCs/>
                <w:lang w:val="hr-HR"/>
              </w:rPr>
              <w:t>Ishodi</w:t>
            </w:r>
          </w:p>
        </w:tc>
        <w:tc>
          <w:tcPr>
            <w:tcW w:w="71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A6C223C" w14:textId="77777777" w:rsidR="00CB297F" w:rsidRPr="00DF4CE5" w:rsidRDefault="00CB297F" w:rsidP="008B34AF">
            <w:pPr>
              <w:spacing w:after="0" w:line="240" w:lineRule="atLeast"/>
              <w:jc w:val="both"/>
              <w:rPr>
                <w:rFonts w:ascii="Cambria" w:eastAsia="Calibri" w:hAnsi="Cambria" w:cs="Calibri"/>
                <w:lang w:val="hr-HR"/>
              </w:rPr>
            </w:pPr>
            <w:r w:rsidRPr="00DF4CE5">
              <w:rPr>
                <w:rFonts w:ascii="Cambria" w:eastAsia="Calibri" w:hAnsi="Cambria" w:cs="Calibri"/>
                <w:bCs/>
                <w:lang w:val="hr-HR"/>
              </w:rPr>
              <w:t>Sati</w:t>
            </w:r>
          </w:p>
        </w:tc>
        <w:tc>
          <w:tcPr>
            <w:tcW w:w="101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16A067A" w14:textId="77777777" w:rsidR="00CB297F" w:rsidRPr="00DF4CE5" w:rsidRDefault="00CB297F" w:rsidP="008B34AF">
            <w:pPr>
              <w:spacing w:after="0" w:line="240" w:lineRule="atLeast"/>
              <w:jc w:val="both"/>
              <w:rPr>
                <w:rFonts w:ascii="Cambria" w:eastAsia="Calibri" w:hAnsi="Cambria" w:cs="Calibri"/>
                <w:lang w:val="hr-HR"/>
              </w:rPr>
            </w:pPr>
            <w:r w:rsidRPr="00DF4CE5">
              <w:rPr>
                <w:rFonts w:ascii="Cambria" w:eastAsia="Calibri" w:hAnsi="Cambria" w:cs="Calibri"/>
                <w:bCs/>
                <w:lang w:val="hr-HR"/>
              </w:rPr>
              <w:t>ECTS</w:t>
            </w:r>
          </w:p>
        </w:tc>
        <w:tc>
          <w:tcPr>
            <w:tcW w:w="131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B875662" w14:textId="77777777" w:rsidR="00CB297F" w:rsidRPr="00DF4CE5" w:rsidRDefault="00CB297F" w:rsidP="008B34AF">
            <w:pPr>
              <w:spacing w:after="0" w:line="240" w:lineRule="atLeast"/>
              <w:jc w:val="both"/>
              <w:rPr>
                <w:rFonts w:ascii="Cambria" w:eastAsia="Calibri" w:hAnsi="Cambria" w:cs="Calibri"/>
                <w:lang w:val="hr-HR"/>
              </w:rPr>
            </w:pPr>
            <w:r w:rsidRPr="00DF4CE5">
              <w:rPr>
                <w:rFonts w:ascii="Cambria" w:eastAsia="Calibri" w:hAnsi="Cambria" w:cs="Calibri"/>
                <w:bCs/>
                <w:lang w:val="hr-HR"/>
              </w:rPr>
              <w:t>Maksimalni udio u ocjeni</w:t>
            </w:r>
            <w:r w:rsidRPr="00DF4CE5">
              <w:rPr>
                <w:rFonts w:ascii="Cambria" w:eastAsia="Calibri" w:hAnsi="Cambria" w:cs="Calibri"/>
                <w:bCs/>
              </w:rPr>
              <w:t xml:space="preserve"> (%)</w:t>
            </w:r>
          </w:p>
        </w:tc>
      </w:tr>
      <w:tr w:rsidR="005005C3" w:rsidRPr="00DF4CE5" w14:paraId="2526476E" w14:textId="77777777" w:rsidTr="004A100E">
        <w:tc>
          <w:tcPr>
            <w:tcW w:w="2623" w:type="dxa"/>
            <w:vMerge/>
            <w:tcBorders>
              <w:left w:val="single" w:sz="8" w:space="0" w:color="000000"/>
              <w:right w:val="single" w:sz="8" w:space="0" w:color="000000"/>
            </w:tcBorders>
            <w:vAlign w:val="center"/>
            <w:hideMark/>
          </w:tcPr>
          <w:p w14:paraId="35AC16FE" w14:textId="77777777" w:rsidR="005005C3" w:rsidRPr="00DF4CE5" w:rsidRDefault="005005C3" w:rsidP="005005C3">
            <w:pPr>
              <w:spacing w:after="0" w:line="240" w:lineRule="atLeast"/>
              <w:jc w:val="both"/>
              <w:rPr>
                <w:rFonts w:ascii="Cambria" w:eastAsia="Calibri" w:hAnsi="Cambria" w:cs="Calibri"/>
                <w:lang w:val="hr-HR"/>
              </w:rPr>
            </w:pPr>
          </w:p>
        </w:tc>
        <w:tc>
          <w:tcPr>
            <w:tcW w:w="258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5FAD53C" w14:textId="2A216795" w:rsidR="005005C3" w:rsidRPr="00DF4CE5" w:rsidRDefault="005005C3" w:rsidP="005005C3">
            <w:pPr>
              <w:spacing w:after="0" w:line="240" w:lineRule="atLeast"/>
              <w:jc w:val="both"/>
              <w:rPr>
                <w:rFonts w:ascii="Cambria" w:eastAsia="Calibri" w:hAnsi="Cambria" w:cs="Calibri"/>
                <w:lang w:val="hr-HR"/>
              </w:rPr>
            </w:pPr>
            <w:proofErr w:type="spellStart"/>
            <w:r w:rsidRPr="00DF4CE5">
              <w:rPr>
                <w:rFonts w:ascii="Cambria" w:eastAsia="Times New Roman" w:hAnsi="Cambria" w:cs="Calibri"/>
              </w:rPr>
              <w:t>aktivnost</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na</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nastavi</w:t>
            </w:r>
            <w:proofErr w:type="spellEnd"/>
          </w:p>
        </w:tc>
        <w:tc>
          <w:tcPr>
            <w:tcW w:w="10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2D312CD" w14:textId="30A9238E" w:rsidR="005005C3" w:rsidRPr="00DF4CE5" w:rsidRDefault="005005C3" w:rsidP="006C150E">
            <w:pPr>
              <w:spacing w:after="0" w:line="240" w:lineRule="atLeast"/>
              <w:jc w:val="center"/>
              <w:rPr>
                <w:rFonts w:ascii="Cambria" w:eastAsia="Calibri" w:hAnsi="Cambria" w:cs="Calibri"/>
                <w:lang w:val="hr-HR"/>
              </w:rPr>
            </w:pPr>
            <w:r w:rsidRPr="00DF4CE5">
              <w:rPr>
                <w:rFonts w:ascii="Cambria" w:eastAsia="Calibri" w:hAnsi="Cambria" w:cs="Calibri"/>
                <w:lang w:val="hr-HR"/>
              </w:rPr>
              <w:t xml:space="preserve">1. </w:t>
            </w:r>
            <w:r w:rsidR="006C150E">
              <w:rPr>
                <w:rFonts w:ascii="Cambria" w:eastAsia="Calibri" w:hAnsi="Cambria" w:cs="Calibri"/>
                <w:lang w:val="hr-HR"/>
              </w:rPr>
              <w:t>–</w:t>
            </w:r>
            <w:r w:rsidRPr="00DF4CE5">
              <w:rPr>
                <w:rFonts w:ascii="Cambria" w:eastAsia="Calibri" w:hAnsi="Cambria" w:cs="Calibri"/>
                <w:lang w:val="hr-HR"/>
              </w:rPr>
              <w:t xml:space="preserve"> 5.</w:t>
            </w:r>
          </w:p>
        </w:tc>
        <w:tc>
          <w:tcPr>
            <w:tcW w:w="71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684F833" w14:textId="77777777" w:rsidR="005005C3" w:rsidRPr="00DF4CE5" w:rsidRDefault="005005C3" w:rsidP="006C150E">
            <w:pPr>
              <w:spacing w:after="0" w:line="240" w:lineRule="atLeast"/>
              <w:jc w:val="center"/>
              <w:rPr>
                <w:rFonts w:ascii="Cambria" w:eastAsia="Calibri" w:hAnsi="Cambria" w:cs="Calibri"/>
                <w:lang w:val="hr-HR"/>
              </w:rPr>
            </w:pPr>
            <w:r w:rsidRPr="00DF4CE5">
              <w:rPr>
                <w:rFonts w:ascii="Cambria" w:eastAsia="Calibri" w:hAnsi="Cambria" w:cs="Calibri"/>
                <w:lang w:val="hr-HR"/>
              </w:rPr>
              <w:t>56</w:t>
            </w:r>
          </w:p>
        </w:tc>
        <w:tc>
          <w:tcPr>
            <w:tcW w:w="101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6327913" w14:textId="7D4AF682" w:rsidR="005005C3" w:rsidRPr="00DF4CE5" w:rsidRDefault="005005C3" w:rsidP="006C150E">
            <w:pPr>
              <w:spacing w:after="0" w:line="240" w:lineRule="atLeast"/>
              <w:jc w:val="center"/>
              <w:rPr>
                <w:rFonts w:ascii="Cambria" w:eastAsia="Calibri" w:hAnsi="Cambria" w:cs="Calibri"/>
                <w:lang w:val="hr-HR"/>
              </w:rPr>
            </w:pPr>
            <w:r w:rsidRPr="00DF4CE5">
              <w:rPr>
                <w:rFonts w:ascii="Cambria" w:eastAsia="Calibri" w:hAnsi="Cambria" w:cs="Calibri"/>
                <w:lang w:val="hr-HR"/>
              </w:rPr>
              <w:t>1,8</w:t>
            </w:r>
          </w:p>
        </w:tc>
        <w:tc>
          <w:tcPr>
            <w:tcW w:w="131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95B7863" w14:textId="77777777" w:rsidR="005005C3" w:rsidRPr="00DF4CE5" w:rsidRDefault="005005C3" w:rsidP="006C150E">
            <w:pPr>
              <w:spacing w:after="0" w:line="240" w:lineRule="atLeast"/>
              <w:jc w:val="center"/>
              <w:rPr>
                <w:rFonts w:ascii="Cambria" w:eastAsia="Calibri" w:hAnsi="Cambria" w:cs="Calibri"/>
                <w:lang w:val="hr-HR"/>
              </w:rPr>
            </w:pPr>
            <w:r w:rsidRPr="00DF4CE5">
              <w:rPr>
                <w:rFonts w:ascii="Cambria" w:eastAsia="Calibri" w:hAnsi="Cambria" w:cs="Calibri"/>
                <w:lang w:val="hr-HR"/>
              </w:rPr>
              <w:t>10 %</w:t>
            </w:r>
          </w:p>
        </w:tc>
      </w:tr>
      <w:tr w:rsidR="005005C3" w:rsidRPr="00DF4CE5" w14:paraId="23F12290" w14:textId="77777777" w:rsidTr="004A100E">
        <w:tc>
          <w:tcPr>
            <w:tcW w:w="2623" w:type="dxa"/>
            <w:vMerge/>
            <w:tcBorders>
              <w:left w:val="single" w:sz="8" w:space="0" w:color="000000"/>
              <w:right w:val="single" w:sz="8" w:space="0" w:color="000000"/>
            </w:tcBorders>
            <w:vAlign w:val="center"/>
            <w:hideMark/>
          </w:tcPr>
          <w:p w14:paraId="488F1C27" w14:textId="77777777" w:rsidR="005005C3" w:rsidRPr="00DF4CE5" w:rsidRDefault="005005C3" w:rsidP="005005C3">
            <w:pPr>
              <w:spacing w:after="0" w:line="240" w:lineRule="atLeast"/>
              <w:jc w:val="both"/>
              <w:rPr>
                <w:rFonts w:ascii="Cambria" w:eastAsia="Calibri" w:hAnsi="Cambria" w:cs="Calibri"/>
                <w:lang w:val="hr-HR"/>
              </w:rPr>
            </w:pPr>
          </w:p>
        </w:tc>
        <w:tc>
          <w:tcPr>
            <w:tcW w:w="258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537F22A" w14:textId="77777777" w:rsidR="005005C3" w:rsidRPr="00DF4CE5" w:rsidRDefault="005005C3" w:rsidP="006C150E">
            <w:pPr>
              <w:spacing w:after="0" w:line="240" w:lineRule="atLeast"/>
              <w:rPr>
                <w:rFonts w:ascii="Cambria" w:eastAsia="Calibri" w:hAnsi="Cambria" w:cs="Calibri"/>
                <w:lang w:val="hr-HR"/>
              </w:rPr>
            </w:pPr>
            <w:r w:rsidRPr="00DF4CE5">
              <w:rPr>
                <w:rFonts w:ascii="Cambria" w:eastAsia="Calibri" w:hAnsi="Cambria" w:cs="Calibri"/>
                <w:lang w:val="hr-HR"/>
              </w:rPr>
              <w:t xml:space="preserve">usmeno i pisano prepričavanje  </w:t>
            </w:r>
          </w:p>
        </w:tc>
        <w:tc>
          <w:tcPr>
            <w:tcW w:w="10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E52019C" w14:textId="575665D2" w:rsidR="005005C3" w:rsidRPr="00DF4CE5" w:rsidRDefault="005005C3" w:rsidP="006C150E">
            <w:pPr>
              <w:spacing w:after="0" w:line="240" w:lineRule="atLeast"/>
              <w:jc w:val="center"/>
              <w:rPr>
                <w:rFonts w:ascii="Cambria" w:eastAsia="Calibri" w:hAnsi="Cambria" w:cs="Calibri"/>
                <w:lang w:val="hr-HR"/>
              </w:rPr>
            </w:pPr>
            <w:r w:rsidRPr="00DF4CE5">
              <w:rPr>
                <w:rFonts w:ascii="Cambria" w:eastAsia="Calibri" w:hAnsi="Cambria" w:cs="Calibri"/>
                <w:lang w:val="hr-HR"/>
              </w:rPr>
              <w:t xml:space="preserve">4. </w:t>
            </w:r>
            <w:r w:rsidR="006C150E">
              <w:rPr>
                <w:rFonts w:ascii="Cambria" w:eastAsia="Calibri" w:hAnsi="Cambria" w:cs="Calibri"/>
                <w:lang w:val="hr-HR"/>
              </w:rPr>
              <w:t>–</w:t>
            </w:r>
            <w:r w:rsidRPr="00DF4CE5">
              <w:rPr>
                <w:rFonts w:ascii="Cambria" w:eastAsia="Calibri" w:hAnsi="Cambria" w:cs="Calibri"/>
                <w:lang w:val="hr-HR"/>
              </w:rPr>
              <w:t xml:space="preserve"> 5.</w:t>
            </w:r>
          </w:p>
        </w:tc>
        <w:tc>
          <w:tcPr>
            <w:tcW w:w="71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B149B08" w14:textId="3FD203BE" w:rsidR="005005C3" w:rsidRPr="00DF4CE5" w:rsidRDefault="005005C3" w:rsidP="006C150E">
            <w:pPr>
              <w:spacing w:after="0" w:line="240" w:lineRule="atLeast"/>
              <w:jc w:val="center"/>
              <w:rPr>
                <w:rFonts w:ascii="Cambria" w:eastAsia="Calibri" w:hAnsi="Cambria" w:cs="Calibri"/>
                <w:lang w:val="hr-HR"/>
              </w:rPr>
            </w:pPr>
            <w:r w:rsidRPr="00DF4CE5">
              <w:rPr>
                <w:rFonts w:ascii="Cambria" w:eastAsia="Calibri" w:hAnsi="Cambria" w:cs="Calibri"/>
                <w:lang w:val="hr-HR"/>
              </w:rPr>
              <w:t>11</w:t>
            </w:r>
          </w:p>
        </w:tc>
        <w:tc>
          <w:tcPr>
            <w:tcW w:w="101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08C6830" w14:textId="06E20287" w:rsidR="005005C3" w:rsidRPr="00DF4CE5" w:rsidRDefault="005005C3" w:rsidP="006C150E">
            <w:pPr>
              <w:spacing w:after="0" w:line="240" w:lineRule="atLeast"/>
              <w:jc w:val="center"/>
              <w:rPr>
                <w:rFonts w:ascii="Cambria" w:eastAsia="Calibri" w:hAnsi="Cambria" w:cs="Calibri"/>
                <w:lang w:val="hr-HR"/>
              </w:rPr>
            </w:pPr>
            <w:r w:rsidRPr="00DF4CE5">
              <w:rPr>
                <w:rFonts w:ascii="Cambria" w:eastAsia="Calibri" w:hAnsi="Cambria" w:cs="Calibri"/>
                <w:lang w:val="hr-HR"/>
              </w:rPr>
              <w:t>0,4</w:t>
            </w:r>
          </w:p>
        </w:tc>
        <w:tc>
          <w:tcPr>
            <w:tcW w:w="131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585AAAA" w14:textId="77777777" w:rsidR="005005C3" w:rsidRPr="00DF4CE5" w:rsidRDefault="005005C3" w:rsidP="006C150E">
            <w:pPr>
              <w:spacing w:after="0" w:line="240" w:lineRule="atLeast"/>
              <w:jc w:val="center"/>
              <w:rPr>
                <w:rFonts w:ascii="Cambria" w:eastAsia="Calibri" w:hAnsi="Cambria" w:cs="Calibri"/>
                <w:lang w:val="hr-HR"/>
              </w:rPr>
            </w:pPr>
            <w:r w:rsidRPr="00DF4CE5">
              <w:rPr>
                <w:rFonts w:ascii="Cambria" w:eastAsia="Calibri" w:hAnsi="Cambria" w:cs="Calibri"/>
                <w:lang w:val="hr-HR"/>
              </w:rPr>
              <w:t>30 %</w:t>
            </w:r>
          </w:p>
        </w:tc>
      </w:tr>
      <w:tr w:rsidR="005005C3" w:rsidRPr="00DF4CE5" w14:paraId="46BAB465" w14:textId="77777777" w:rsidTr="004A100E">
        <w:tc>
          <w:tcPr>
            <w:tcW w:w="2623" w:type="dxa"/>
            <w:vMerge/>
            <w:tcBorders>
              <w:left w:val="single" w:sz="8" w:space="0" w:color="000000"/>
              <w:right w:val="single" w:sz="8" w:space="0" w:color="000000"/>
            </w:tcBorders>
            <w:vAlign w:val="center"/>
            <w:hideMark/>
          </w:tcPr>
          <w:p w14:paraId="74C7A9E1" w14:textId="77777777" w:rsidR="005005C3" w:rsidRPr="00DF4CE5" w:rsidRDefault="005005C3" w:rsidP="005005C3">
            <w:pPr>
              <w:spacing w:after="0" w:line="240" w:lineRule="atLeast"/>
              <w:jc w:val="both"/>
              <w:rPr>
                <w:rFonts w:ascii="Cambria" w:eastAsia="Calibri" w:hAnsi="Cambria" w:cs="Calibri"/>
                <w:lang w:val="hr-HR"/>
              </w:rPr>
            </w:pPr>
          </w:p>
        </w:tc>
        <w:tc>
          <w:tcPr>
            <w:tcW w:w="258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ACD0617" w14:textId="77777777" w:rsidR="005005C3" w:rsidRPr="00DF4CE5" w:rsidRDefault="005005C3" w:rsidP="005005C3">
            <w:pPr>
              <w:spacing w:after="0" w:line="240" w:lineRule="atLeast"/>
              <w:jc w:val="both"/>
              <w:rPr>
                <w:rFonts w:ascii="Cambria" w:eastAsia="Calibri" w:hAnsi="Cambria" w:cs="Calibri"/>
                <w:lang w:val="hr-HR"/>
              </w:rPr>
            </w:pPr>
            <w:r w:rsidRPr="00DF4CE5">
              <w:rPr>
                <w:rFonts w:ascii="Cambria" w:eastAsia="Calibri" w:hAnsi="Cambria" w:cs="Calibri"/>
              </w:rPr>
              <w:t xml:space="preserve">2 </w:t>
            </w:r>
            <w:proofErr w:type="spellStart"/>
            <w:r w:rsidRPr="00DF4CE5">
              <w:rPr>
                <w:rFonts w:ascii="Cambria" w:eastAsia="Calibri" w:hAnsi="Cambria" w:cs="Calibri"/>
              </w:rPr>
              <w:t>pisana</w:t>
            </w:r>
            <w:proofErr w:type="spellEnd"/>
            <w:r w:rsidRPr="00DF4CE5">
              <w:rPr>
                <w:rFonts w:ascii="Cambria" w:eastAsia="Calibri" w:hAnsi="Cambria" w:cs="Calibri"/>
              </w:rPr>
              <w:t xml:space="preserve"> k</w:t>
            </w:r>
            <w:proofErr w:type="spellStart"/>
            <w:r w:rsidRPr="00DF4CE5">
              <w:rPr>
                <w:rFonts w:ascii="Cambria" w:eastAsia="Calibri" w:hAnsi="Cambria" w:cs="Calibri"/>
                <w:lang w:val="hr-HR"/>
              </w:rPr>
              <w:t>olokvija</w:t>
            </w:r>
            <w:proofErr w:type="spellEnd"/>
          </w:p>
        </w:tc>
        <w:tc>
          <w:tcPr>
            <w:tcW w:w="10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66F62D2" w14:textId="53113958" w:rsidR="005005C3" w:rsidRPr="00DF4CE5" w:rsidRDefault="005005C3" w:rsidP="006C150E">
            <w:pPr>
              <w:spacing w:after="0" w:line="240" w:lineRule="atLeast"/>
              <w:jc w:val="center"/>
              <w:rPr>
                <w:rFonts w:ascii="Cambria" w:eastAsia="Calibri" w:hAnsi="Cambria" w:cs="Calibri"/>
                <w:lang w:val="hr-HR"/>
              </w:rPr>
            </w:pPr>
            <w:r w:rsidRPr="00DF4CE5">
              <w:rPr>
                <w:rFonts w:ascii="Cambria" w:eastAsia="Calibri" w:hAnsi="Cambria" w:cs="Calibri"/>
                <w:lang w:val="hr-HR"/>
              </w:rPr>
              <w:t xml:space="preserve">1. </w:t>
            </w:r>
            <w:r w:rsidR="006C150E">
              <w:rPr>
                <w:rFonts w:ascii="Cambria" w:eastAsia="Calibri" w:hAnsi="Cambria" w:cs="Calibri"/>
                <w:lang w:val="hr-HR"/>
              </w:rPr>
              <w:t>–</w:t>
            </w:r>
            <w:r w:rsidRPr="00DF4CE5">
              <w:rPr>
                <w:rFonts w:ascii="Cambria" w:eastAsia="Calibri" w:hAnsi="Cambria" w:cs="Calibri"/>
                <w:lang w:val="hr-HR"/>
              </w:rPr>
              <w:t xml:space="preserve"> 5.</w:t>
            </w:r>
          </w:p>
        </w:tc>
        <w:tc>
          <w:tcPr>
            <w:tcW w:w="71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A2ECA2F" w14:textId="7EE2C730" w:rsidR="005005C3" w:rsidRPr="00DF4CE5" w:rsidRDefault="005005C3" w:rsidP="006C150E">
            <w:pPr>
              <w:spacing w:after="0" w:line="240" w:lineRule="atLeast"/>
              <w:jc w:val="center"/>
              <w:rPr>
                <w:rFonts w:ascii="Cambria" w:eastAsia="Calibri" w:hAnsi="Cambria" w:cs="Calibri"/>
                <w:lang w:val="hr-HR"/>
              </w:rPr>
            </w:pPr>
            <w:r w:rsidRPr="00DF4CE5">
              <w:rPr>
                <w:rFonts w:ascii="Cambria" w:eastAsia="Calibri" w:hAnsi="Cambria" w:cs="Calibri"/>
                <w:lang w:val="hr-HR"/>
              </w:rPr>
              <w:t>23</w:t>
            </w:r>
          </w:p>
        </w:tc>
        <w:tc>
          <w:tcPr>
            <w:tcW w:w="101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00F5A40" w14:textId="057727F4" w:rsidR="005005C3" w:rsidRPr="00DF4CE5" w:rsidRDefault="005005C3" w:rsidP="006C150E">
            <w:pPr>
              <w:spacing w:after="0" w:line="240" w:lineRule="atLeast"/>
              <w:jc w:val="center"/>
              <w:rPr>
                <w:rFonts w:ascii="Cambria" w:eastAsia="Calibri" w:hAnsi="Cambria" w:cs="Calibri"/>
                <w:lang w:val="hr-HR"/>
              </w:rPr>
            </w:pPr>
            <w:r w:rsidRPr="00DF4CE5">
              <w:rPr>
                <w:rFonts w:ascii="Cambria" w:eastAsia="Calibri" w:hAnsi="Cambria" w:cs="Calibri"/>
                <w:lang w:val="hr-HR"/>
              </w:rPr>
              <w:t>0,8</w:t>
            </w:r>
          </w:p>
        </w:tc>
        <w:tc>
          <w:tcPr>
            <w:tcW w:w="131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805EF50" w14:textId="77777777" w:rsidR="005005C3" w:rsidRPr="00DF4CE5" w:rsidRDefault="005005C3" w:rsidP="006C150E">
            <w:pPr>
              <w:spacing w:after="0" w:line="240" w:lineRule="atLeast"/>
              <w:jc w:val="center"/>
              <w:rPr>
                <w:rFonts w:ascii="Cambria" w:eastAsia="Calibri" w:hAnsi="Cambria" w:cs="Calibri"/>
                <w:lang w:val="hr-HR"/>
              </w:rPr>
            </w:pPr>
            <w:r w:rsidRPr="00DF4CE5">
              <w:rPr>
                <w:rFonts w:ascii="Cambria" w:eastAsia="Calibri" w:hAnsi="Cambria" w:cs="Calibri"/>
                <w:lang w:val="hr-HR"/>
              </w:rPr>
              <w:t>2 x 30 %</w:t>
            </w:r>
          </w:p>
        </w:tc>
      </w:tr>
      <w:tr w:rsidR="005005C3" w:rsidRPr="00DF4CE5" w14:paraId="5F28F666" w14:textId="77777777" w:rsidTr="004A100E">
        <w:tc>
          <w:tcPr>
            <w:tcW w:w="2623" w:type="dxa"/>
            <w:vMerge/>
            <w:tcBorders>
              <w:left w:val="single" w:sz="8" w:space="0" w:color="000000"/>
              <w:right w:val="single" w:sz="8" w:space="0" w:color="000000"/>
            </w:tcBorders>
            <w:vAlign w:val="center"/>
            <w:hideMark/>
          </w:tcPr>
          <w:p w14:paraId="03A75020" w14:textId="77777777" w:rsidR="005005C3" w:rsidRPr="00DF4CE5" w:rsidRDefault="005005C3" w:rsidP="005005C3">
            <w:pPr>
              <w:spacing w:after="0" w:line="240" w:lineRule="atLeast"/>
              <w:jc w:val="both"/>
              <w:rPr>
                <w:rFonts w:ascii="Cambria" w:eastAsia="Calibri" w:hAnsi="Cambria" w:cs="Calibri"/>
                <w:lang w:val="hr-HR"/>
              </w:rPr>
            </w:pPr>
          </w:p>
        </w:tc>
        <w:tc>
          <w:tcPr>
            <w:tcW w:w="3673"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4B98F67" w14:textId="77777777" w:rsidR="005005C3" w:rsidRPr="00DF4CE5" w:rsidRDefault="005005C3" w:rsidP="005005C3">
            <w:pPr>
              <w:spacing w:after="0" w:line="240" w:lineRule="atLeast"/>
              <w:jc w:val="both"/>
              <w:rPr>
                <w:rFonts w:ascii="Cambria" w:eastAsia="Calibri" w:hAnsi="Cambria" w:cs="Calibri"/>
                <w:lang w:val="hr-HR"/>
              </w:rPr>
            </w:pPr>
            <w:proofErr w:type="spellStart"/>
            <w:r w:rsidRPr="00DF4CE5">
              <w:rPr>
                <w:rFonts w:ascii="Cambria" w:eastAsia="Calibri" w:hAnsi="Cambria" w:cs="Calibri"/>
              </w:rPr>
              <w:t>ukupno</w:t>
            </w:r>
            <w:proofErr w:type="spellEnd"/>
          </w:p>
        </w:tc>
        <w:tc>
          <w:tcPr>
            <w:tcW w:w="71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DBF299A" w14:textId="717284B8" w:rsidR="005005C3" w:rsidRPr="00DF4CE5" w:rsidRDefault="005005C3" w:rsidP="006C150E">
            <w:pPr>
              <w:spacing w:after="0" w:line="240" w:lineRule="atLeast"/>
              <w:jc w:val="center"/>
              <w:rPr>
                <w:rFonts w:ascii="Cambria" w:eastAsia="Calibri" w:hAnsi="Cambria" w:cs="Calibri"/>
                <w:lang w:val="hr-HR"/>
              </w:rPr>
            </w:pPr>
            <w:r w:rsidRPr="00DF4CE5">
              <w:rPr>
                <w:rFonts w:ascii="Cambria" w:eastAsia="Calibri" w:hAnsi="Cambria" w:cs="Calibri"/>
                <w:lang w:val="hr-HR"/>
              </w:rPr>
              <w:t>90</w:t>
            </w:r>
          </w:p>
        </w:tc>
        <w:tc>
          <w:tcPr>
            <w:tcW w:w="101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9ABC1DA" w14:textId="77777777" w:rsidR="005005C3" w:rsidRPr="00DF4CE5" w:rsidRDefault="005005C3" w:rsidP="006C150E">
            <w:pPr>
              <w:spacing w:after="0" w:line="240" w:lineRule="atLeast"/>
              <w:jc w:val="center"/>
              <w:rPr>
                <w:rFonts w:ascii="Cambria" w:eastAsia="Calibri" w:hAnsi="Cambria" w:cs="Calibri"/>
                <w:lang w:val="hr-HR"/>
              </w:rPr>
            </w:pPr>
            <w:r w:rsidRPr="00DF4CE5">
              <w:rPr>
                <w:rFonts w:ascii="Cambria" w:eastAsia="Calibri" w:hAnsi="Cambria" w:cs="Calibri"/>
                <w:lang w:val="hr-HR"/>
              </w:rPr>
              <w:t>3</w:t>
            </w:r>
          </w:p>
        </w:tc>
        <w:tc>
          <w:tcPr>
            <w:tcW w:w="131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D3897EB" w14:textId="77777777" w:rsidR="005005C3" w:rsidRPr="00DF4CE5" w:rsidRDefault="005005C3" w:rsidP="006C150E">
            <w:pPr>
              <w:spacing w:after="0" w:line="240" w:lineRule="atLeast"/>
              <w:jc w:val="center"/>
              <w:rPr>
                <w:rFonts w:ascii="Cambria" w:eastAsia="Calibri" w:hAnsi="Cambria" w:cs="Calibri"/>
                <w:lang w:val="hr-HR"/>
              </w:rPr>
            </w:pPr>
            <w:r w:rsidRPr="00DF4CE5">
              <w:rPr>
                <w:rFonts w:ascii="Cambria" w:eastAsia="Calibri" w:hAnsi="Cambria" w:cs="Calibri"/>
                <w:lang w:val="hr-HR"/>
              </w:rPr>
              <w:t>100 %</w:t>
            </w:r>
          </w:p>
        </w:tc>
      </w:tr>
      <w:tr w:rsidR="005005C3" w:rsidRPr="00D0399C" w14:paraId="2390A43C" w14:textId="77777777" w:rsidTr="004A100E">
        <w:tc>
          <w:tcPr>
            <w:tcW w:w="2623" w:type="dxa"/>
            <w:vMerge/>
            <w:tcBorders>
              <w:left w:val="single" w:sz="8" w:space="0" w:color="000000"/>
              <w:bottom w:val="single" w:sz="8" w:space="0" w:color="000000"/>
              <w:right w:val="single" w:sz="8" w:space="0" w:color="000000"/>
            </w:tcBorders>
            <w:vAlign w:val="center"/>
          </w:tcPr>
          <w:p w14:paraId="418193B3" w14:textId="77777777" w:rsidR="005005C3" w:rsidRPr="00DF4CE5" w:rsidRDefault="005005C3" w:rsidP="005005C3">
            <w:pPr>
              <w:spacing w:after="0" w:line="240" w:lineRule="atLeast"/>
              <w:jc w:val="both"/>
              <w:rPr>
                <w:rFonts w:ascii="Cambria" w:eastAsia="Calibri" w:hAnsi="Cambria" w:cs="Calibri"/>
                <w:lang w:val="hr-HR"/>
              </w:rPr>
            </w:pPr>
          </w:p>
        </w:tc>
        <w:tc>
          <w:tcPr>
            <w:tcW w:w="6717"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B5CB760" w14:textId="56D1D6DC" w:rsidR="005005C3" w:rsidRPr="00DF4CE5" w:rsidRDefault="005005C3" w:rsidP="005005C3">
            <w:pPr>
              <w:spacing w:after="0" w:line="240" w:lineRule="atLeast"/>
              <w:jc w:val="both"/>
              <w:rPr>
                <w:rFonts w:ascii="Cambria" w:eastAsia="Calibri" w:hAnsi="Cambria" w:cs="Calibri"/>
                <w:lang w:val="hr-HR"/>
              </w:rPr>
            </w:pPr>
            <w:r w:rsidRPr="00DF4CE5">
              <w:rPr>
                <w:rFonts w:ascii="Cambria" w:eastAsia="Calibri" w:hAnsi="Cambria" w:cs="Calibri"/>
                <w:lang w:val="hr-HR"/>
              </w:rPr>
              <w:t>Dodatna pojašnjenja(kriteriji ocjenjivanja):</w:t>
            </w:r>
          </w:p>
          <w:p w14:paraId="4EF3952C" w14:textId="77777777" w:rsidR="005005C3" w:rsidRPr="00DF4CE5" w:rsidRDefault="005005C3" w:rsidP="005005C3">
            <w:pPr>
              <w:spacing w:after="0" w:line="240" w:lineRule="atLeast"/>
              <w:jc w:val="both"/>
              <w:rPr>
                <w:rFonts w:ascii="Cambria" w:eastAsia="Calibri" w:hAnsi="Cambria" w:cs="Calibri"/>
                <w:lang w:val="hr-HR"/>
              </w:rPr>
            </w:pPr>
            <w:r w:rsidRPr="00DF4CE5">
              <w:rPr>
                <w:rFonts w:ascii="Cambria" w:eastAsia="Calibri" w:hAnsi="Cambria" w:cs="Calibri"/>
                <w:lang w:val="hr-HR"/>
              </w:rPr>
              <w:t xml:space="preserve">Student/studentica može tijekom nastave putem održavanja prezentacije i polaganja pisanih kolokvija ostvariti 100%udjela u </w:t>
            </w:r>
            <w:proofErr w:type="spellStart"/>
            <w:r w:rsidRPr="00DF4CE5">
              <w:rPr>
                <w:rFonts w:ascii="Cambria" w:eastAsia="Calibri" w:hAnsi="Cambria" w:cs="Calibri"/>
                <w:lang w:val="hr-HR"/>
              </w:rPr>
              <w:t>ocjeni.Ukoliko</w:t>
            </w:r>
            <w:proofErr w:type="spellEnd"/>
            <w:r w:rsidRPr="00DF4CE5">
              <w:rPr>
                <w:rFonts w:ascii="Cambria" w:eastAsia="Calibri" w:hAnsi="Cambria" w:cs="Calibri"/>
                <w:lang w:val="hr-HR"/>
              </w:rPr>
              <w:t xml:space="preserve"> ne odradi </w:t>
            </w:r>
            <w:proofErr w:type="spellStart"/>
            <w:r w:rsidRPr="00DF4CE5">
              <w:rPr>
                <w:rFonts w:ascii="Cambria" w:eastAsia="Calibri" w:hAnsi="Cambria" w:cs="Calibri"/>
                <w:lang w:val="hr-HR"/>
              </w:rPr>
              <w:t>prezentaciju,izlazi</w:t>
            </w:r>
            <w:proofErr w:type="spellEnd"/>
            <w:r w:rsidRPr="00DF4CE5">
              <w:rPr>
                <w:rFonts w:ascii="Cambria" w:eastAsia="Calibri" w:hAnsi="Cambria" w:cs="Calibri"/>
                <w:lang w:val="hr-HR"/>
              </w:rPr>
              <w:t xml:space="preserve"> na usmeni </w:t>
            </w:r>
            <w:proofErr w:type="spellStart"/>
            <w:r w:rsidRPr="00DF4CE5">
              <w:rPr>
                <w:rFonts w:ascii="Cambria" w:eastAsia="Calibri" w:hAnsi="Cambria" w:cs="Calibri"/>
                <w:lang w:val="hr-HR"/>
              </w:rPr>
              <w:t>ispit.Ukoliko</w:t>
            </w:r>
            <w:proofErr w:type="spellEnd"/>
            <w:r w:rsidRPr="00DF4CE5">
              <w:rPr>
                <w:rFonts w:ascii="Cambria" w:eastAsia="Calibri" w:hAnsi="Cambria" w:cs="Calibri"/>
                <w:lang w:val="hr-HR"/>
              </w:rPr>
              <w:t xml:space="preserve"> ne položi pisane </w:t>
            </w:r>
            <w:proofErr w:type="spellStart"/>
            <w:r w:rsidRPr="00DF4CE5">
              <w:rPr>
                <w:rFonts w:ascii="Cambria" w:eastAsia="Calibri" w:hAnsi="Cambria" w:cs="Calibri"/>
                <w:lang w:val="hr-HR"/>
              </w:rPr>
              <w:t>kolokvije,polaže</w:t>
            </w:r>
            <w:proofErr w:type="spellEnd"/>
            <w:r w:rsidRPr="00DF4CE5">
              <w:rPr>
                <w:rFonts w:ascii="Cambria" w:eastAsia="Calibri" w:hAnsi="Cambria" w:cs="Calibri"/>
                <w:lang w:val="hr-HR"/>
              </w:rPr>
              <w:t xml:space="preserve"> završni pisani ispit tijekom ispitnih rokova.</w:t>
            </w:r>
          </w:p>
          <w:p w14:paraId="518E36F6" w14:textId="4B2C935B" w:rsidR="005005C3" w:rsidRPr="00DF4CE5" w:rsidRDefault="005005C3" w:rsidP="005005C3">
            <w:pPr>
              <w:spacing w:after="0" w:line="240" w:lineRule="atLeast"/>
              <w:jc w:val="both"/>
              <w:rPr>
                <w:rFonts w:ascii="Cambria" w:eastAsia="Calibri" w:hAnsi="Cambria" w:cs="Calibri"/>
                <w:lang w:val="hr-HR"/>
              </w:rPr>
            </w:pPr>
            <w:r w:rsidRPr="00DF4CE5">
              <w:rPr>
                <w:rFonts w:ascii="Cambria" w:eastAsia="Calibri" w:hAnsi="Cambria" w:cs="Calibri"/>
                <w:lang w:val="hr-HR"/>
              </w:rPr>
              <w:t xml:space="preserve">Studenti imaju pravo izlaska na popravni kolokvij koji se održava krajem </w:t>
            </w:r>
            <w:proofErr w:type="spellStart"/>
            <w:r w:rsidRPr="00DF4CE5">
              <w:rPr>
                <w:rFonts w:ascii="Cambria" w:eastAsia="Calibri" w:hAnsi="Cambria" w:cs="Calibri"/>
                <w:lang w:val="hr-HR"/>
              </w:rPr>
              <w:t>semestra.Putem</w:t>
            </w:r>
            <w:proofErr w:type="spellEnd"/>
            <w:r w:rsidRPr="00DF4CE5">
              <w:rPr>
                <w:rFonts w:ascii="Cambria" w:eastAsia="Calibri" w:hAnsi="Cambria" w:cs="Calibri"/>
                <w:lang w:val="hr-HR"/>
              </w:rPr>
              <w:t xml:space="preserve"> njega mogu ispraviti nedovoljnu ocjenu iz jednog kolokvija.</w:t>
            </w:r>
          </w:p>
          <w:p w14:paraId="2EF416FF" w14:textId="081DF74F" w:rsidR="005005C3" w:rsidRPr="00DF4CE5" w:rsidRDefault="005005C3" w:rsidP="005005C3">
            <w:pPr>
              <w:spacing w:after="0" w:line="240" w:lineRule="atLeast"/>
              <w:jc w:val="both"/>
              <w:rPr>
                <w:rFonts w:ascii="Cambria" w:eastAsia="Calibri" w:hAnsi="Cambria" w:cs="Calibri"/>
                <w:lang w:val="hr-HR"/>
              </w:rPr>
            </w:pPr>
            <w:r w:rsidRPr="00DF4CE5">
              <w:rPr>
                <w:rFonts w:ascii="Cambria" w:eastAsia="Calibri" w:hAnsi="Cambria" w:cs="Calibri"/>
                <w:lang w:val="hr-HR"/>
              </w:rPr>
              <w:t xml:space="preserve">Ukoliko student/studentica ne odradi prezentaciju i ne položi pisane </w:t>
            </w:r>
            <w:proofErr w:type="spellStart"/>
            <w:r w:rsidRPr="00DF4CE5">
              <w:rPr>
                <w:rFonts w:ascii="Cambria" w:eastAsia="Calibri" w:hAnsi="Cambria" w:cs="Calibri"/>
                <w:lang w:val="hr-HR"/>
              </w:rPr>
              <w:t>kolokvije,izlazi</w:t>
            </w:r>
            <w:proofErr w:type="spellEnd"/>
            <w:r w:rsidRPr="00DF4CE5">
              <w:rPr>
                <w:rFonts w:ascii="Cambria" w:eastAsia="Calibri" w:hAnsi="Cambria" w:cs="Calibri"/>
                <w:lang w:val="hr-HR"/>
              </w:rPr>
              <w:t xml:space="preserve"> i na pisani i na usmeni završni </w:t>
            </w:r>
            <w:proofErr w:type="spellStart"/>
            <w:r w:rsidRPr="00DF4CE5">
              <w:rPr>
                <w:rFonts w:ascii="Cambria" w:eastAsia="Calibri" w:hAnsi="Cambria" w:cs="Calibri"/>
                <w:lang w:val="hr-HR"/>
              </w:rPr>
              <w:t>ispit.U</w:t>
            </w:r>
            <w:proofErr w:type="spellEnd"/>
            <w:r w:rsidRPr="00DF4CE5">
              <w:rPr>
                <w:rFonts w:ascii="Cambria" w:eastAsia="Calibri" w:hAnsi="Cambria" w:cs="Calibri"/>
                <w:lang w:val="hr-HR"/>
              </w:rPr>
              <w:t xml:space="preserve"> tom slučaju je pisani dio završnog ispita eliminacijskog </w:t>
            </w:r>
            <w:proofErr w:type="spellStart"/>
            <w:r w:rsidRPr="00DF4CE5">
              <w:rPr>
                <w:rFonts w:ascii="Cambria" w:eastAsia="Calibri" w:hAnsi="Cambria" w:cs="Calibri"/>
                <w:lang w:val="hr-HR"/>
              </w:rPr>
              <w:t>karaktera,tj.student</w:t>
            </w:r>
            <w:proofErr w:type="spellEnd"/>
            <w:r w:rsidRPr="00DF4CE5">
              <w:rPr>
                <w:rFonts w:ascii="Cambria" w:eastAsia="Calibri" w:hAnsi="Cambria" w:cs="Calibri"/>
                <w:lang w:val="hr-HR"/>
              </w:rPr>
              <w:t>/studentica ne može pristupiti usmenom ispitu ukoliko ne položi pisani dio ispita.</w:t>
            </w:r>
          </w:p>
          <w:p w14:paraId="6522F18D" w14:textId="77777777" w:rsidR="005005C3" w:rsidRPr="00DF4CE5" w:rsidRDefault="005005C3" w:rsidP="005005C3">
            <w:pPr>
              <w:spacing w:after="0" w:line="240" w:lineRule="atLeast"/>
              <w:jc w:val="both"/>
              <w:rPr>
                <w:rFonts w:ascii="Cambria" w:eastAsia="Calibri" w:hAnsi="Cambria" w:cs="Calibri"/>
                <w:lang w:val="hr-HR"/>
              </w:rPr>
            </w:pPr>
            <w:r w:rsidRPr="00DF4CE5">
              <w:rPr>
                <w:rFonts w:ascii="Cambria" w:eastAsia="Calibri" w:hAnsi="Cambria" w:cs="Calibri"/>
                <w:lang w:val="hr-HR"/>
              </w:rPr>
              <w:t xml:space="preserve">Položeni kolokvij i odrađena prezentacija vrijede tijekom akademske godine u kojem je kolegij </w:t>
            </w:r>
            <w:proofErr w:type="spellStart"/>
            <w:r w:rsidRPr="00DF4CE5">
              <w:rPr>
                <w:rFonts w:ascii="Cambria" w:eastAsia="Calibri" w:hAnsi="Cambria" w:cs="Calibri"/>
                <w:lang w:val="hr-HR"/>
              </w:rPr>
              <w:t>odslušan.Ukoliko</w:t>
            </w:r>
            <w:proofErr w:type="spellEnd"/>
            <w:r w:rsidRPr="00DF4CE5">
              <w:rPr>
                <w:rFonts w:ascii="Cambria" w:eastAsia="Calibri" w:hAnsi="Cambria" w:cs="Calibri"/>
                <w:lang w:val="hr-HR"/>
              </w:rPr>
              <w:t xml:space="preserve"> tijekom te akademske godine student/studentica ne položi </w:t>
            </w:r>
            <w:proofErr w:type="spellStart"/>
            <w:r w:rsidRPr="00DF4CE5">
              <w:rPr>
                <w:rFonts w:ascii="Cambria" w:eastAsia="Calibri" w:hAnsi="Cambria" w:cs="Calibri"/>
                <w:lang w:val="hr-HR"/>
              </w:rPr>
              <w:t>kolegij,prilikom</w:t>
            </w:r>
            <w:proofErr w:type="spellEnd"/>
            <w:r w:rsidRPr="00DF4CE5">
              <w:rPr>
                <w:rFonts w:ascii="Cambria" w:eastAsia="Calibri" w:hAnsi="Cambria" w:cs="Calibri"/>
                <w:lang w:val="hr-HR"/>
              </w:rPr>
              <w:t xml:space="preserve"> izlaska na ispit</w:t>
            </w:r>
          </w:p>
          <w:p w14:paraId="230C2268" w14:textId="301AD68A" w:rsidR="005005C3" w:rsidRPr="00DF4CE5" w:rsidRDefault="005005C3" w:rsidP="005005C3">
            <w:pPr>
              <w:spacing w:after="0" w:line="240" w:lineRule="atLeast"/>
              <w:jc w:val="both"/>
              <w:rPr>
                <w:rFonts w:ascii="Cambria" w:eastAsia="Calibri" w:hAnsi="Cambria" w:cs="Calibri"/>
                <w:lang w:val="hr-HR"/>
              </w:rPr>
            </w:pPr>
            <w:r w:rsidRPr="00DF4CE5">
              <w:rPr>
                <w:rFonts w:ascii="Cambria" w:eastAsia="Calibri" w:hAnsi="Cambria" w:cs="Calibri"/>
                <w:lang w:val="hr-HR"/>
              </w:rPr>
              <w:t>Tijekom sljedeće akademske godine mora pristupiti i pisanom i usmenom dijelu ispita.</w:t>
            </w:r>
          </w:p>
        </w:tc>
      </w:tr>
      <w:tr w:rsidR="005005C3" w:rsidRPr="00D0399C" w14:paraId="773C668E" w14:textId="77777777" w:rsidTr="004A100E">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EF94AF7" w14:textId="77777777" w:rsidR="005005C3" w:rsidRPr="00DF4CE5" w:rsidRDefault="005005C3" w:rsidP="005005C3">
            <w:pPr>
              <w:spacing w:after="0" w:line="240" w:lineRule="atLeast"/>
              <w:jc w:val="both"/>
              <w:rPr>
                <w:rFonts w:ascii="Cambria" w:eastAsia="Calibri" w:hAnsi="Cambria" w:cs="Calibri"/>
                <w:lang w:val="hr-HR"/>
              </w:rPr>
            </w:pPr>
            <w:r w:rsidRPr="00DF4CE5">
              <w:rPr>
                <w:rFonts w:ascii="Cambria" w:eastAsia="Calibri" w:hAnsi="Cambria" w:cs="Calibri"/>
                <w:lang w:val="hr-HR"/>
              </w:rPr>
              <w:t>Studentske obveze</w:t>
            </w:r>
          </w:p>
        </w:tc>
        <w:tc>
          <w:tcPr>
            <w:tcW w:w="671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CBDD646" w14:textId="77777777" w:rsidR="005005C3" w:rsidRPr="00DF4CE5" w:rsidRDefault="005005C3" w:rsidP="005005C3">
            <w:pPr>
              <w:spacing w:after="0" w:line="240" w:lineRule="atLeast"/>
              <w:jc w:val="both"/>
              <w:rPr>
                <w:rFonts w:ascii="Cambria" w:eastAsia="Calibri" w:hAnsi="Cambria" w:cs="Calibri"/>
                <w:lang w:val="hr-HR"/>
              </w:rPr>
            </w:pPr>
            <w:r w:rsidRPr="00DF4CE5">
              <w:rPr>
                <w:rFonts w:ascii="Cambria" w:eastAsia="Calibri" w:hAnsi="Cambria" w:cs="Calibri"/>
                <w:lang w:val="hr-HR"/>
              </w:rPr>
              <w:t>Da položi kolegij, student/studentica mora:</w:t>
            </w:r>
          </w:p>
          <w:p w14:paraId="59D20EAC" w14:textId="1988D877" w:rsidR="005005C3" w:rsidRPr="00DF4CE5" w:rsidRDefault="005005C3" w:rsidP="005005C3">
            <w:pPr>
              <w:spacing w:after="0" w:line="240" w:lineRule="atLeast"/>
              <w:jc w:val="both"/>
              <w:rPr>
                <w:rFonts w:ascii="Cambria" w:eastAsia="Calibri" w:hAnsi="Cambria" w:cs="Calibri"/>
                <w:lang w:val="hr-HR"/>
              </w:rPr>
            </w:pPr>
            <w:r w:rsidRPr="00DF4CE5">
              <w:rPr>
                <w:rFonts w:ascii="Cambria" w:eastAsia="Calibri" w:hAnsi="Cambria" w:cs="Calibri"/>
                <w:lang w:val="hr-HR"/>
              </w:rPr>
              <w:t xml:space="preserve">1. </w:t>
            </w:r>
            <w:r w:rsidR="00F710EA">
              <w:rPr>
                <w:rFonts w:ascii="Cambria" w:eastAsia="Calibri" w:hAnsi="Cambria" w:cs="Calibri"/>
                <w:lang w:val="hr-HR"/>
              </w:rPr>
              <w:t>p</w:t>
            </w:r>
            <w:r w:rsidRPr="00DF4CE5">
              <w:rPr>
                <w:rFonts w:ascii="Cambria" w:eastAsia="Calibri" w:hAnsi="Cambria" w:cs="Calibri"/>
                <w:lang w:val="hr-HR"/>
              </w:rPr>
              <w:t>ohađati više od 70% nastave</w:t>
            </w:r>
            <w:r w:rsidR="00F710EA">
              <w:rPr>
                <w:rFonts w:ascii="Cambria" w:eastAsia="Calibri" w:hAnsi="Cambria" w:cs="Calibri"/>
                <w:lang w:val="hr-HR"/>
              </w:rPr>
              <w:t xml:space="preserve"> (z</w:t>
            </w:r>
            <w:r w:rsidRPr="00DF4CE5">
              <w:rPr>
                <w:rFonts w:ascii="Cambria" w:eastAsia="Calibri" w:hAnsi="Cambria" w:cs="Calibri"/>
                <w:lang w:val="hr-HR"/>
              </w:rPr>
              <w:t>a svaki izostanak s nastave predavanja oduzima se jedan postotni bod, a za svaki izostanak s vježbi oduzima se 0,5% u segmentu pohađanje nastave</w:t>
            </w:r>
            <w:r w:rsidR="00F710EA">
              <w:rPr>
                <w:rFonts w:ascii="Cambria" w:eastAsia="Calibri" w:hAnsi="Cambria" w:cs="Calibri"/>
                <w:lang w:val="hr-HR"/>
              </w:rPr>
              <w:t>; u</w:t>
            </w:r>
            <w:r w:rsidRPr="00DF4CE5">
              <w:rPr>
                <w:rFonts w:ascii="Cambria" w:eastAsia="Calibri" w:hAnsi="Cambria" w:cs="Calibri"/>
                <w:lang w:val="hr-HR"/>
              </w:rPr>
              <w:t>koliko student/studentica izostane između 30% i 50% nastave, dodijelit će mu/joj se dodatni zadaci</w:t>
            </w:r>
            <w:r w:rsidR="00F710EA">
              <w:rPr>
                <w:rFonts w:ascii="Cambria" w:eastAsia="Calibri" w:hAnsi="Cambria" w:cs="Calibri"/>
                <w:lang w:val="hr-HR"/>
              </w:rPr>
              <w:t>; u</w:t>
            </w:r>
            <w:r w:rsidRPr="00DF4CE5">
              <w:rPr>
                <w:rFonts w:ascii="Cambria" w:eastAsia="Calibri" w:hAnsi="Cambria" w:cs="Calibri"/>
                <w:lang w:val="hr-HR"/>
              </w:rPr>
              <w:t xml:space="preserve"> slučaju da student/studentica izostane s više od 50% nastave, uskratit će mu/joj se pravo na potpis, izlazak na ispit i upis ECTS bodova</w:t>
            </w:r>
            <w:r w:rsidR="00F710EA">
              <w:rPr>
                <w:rFonts w:ascii="Cambria" w:eastAsia="Calibri" w:hAnsi="Cambria" w:cs="Calibri"/>
                <w:lang w:val="hr-HR"/>
              </w:rPr>
              <w:t>)</w:t>
            </w:r>
          </w:p>
          <w:p w14:paraId="6A89D51E" w14:textId="25B56D75" w:rsidR="005005C3" w:rsidRPr="00DF4CE5" w:rsidRDefault="005005C3" w:rsidP="005005C3">
            <w:pPr>
              <w:spacing w:after="0" w:line="240" w:lineRule="atLeast"/>
              <w:jc w:val="both"/>
              <w:rPr>
                <w:rFonts w:ascii="Cambria" w:eastAsia="Calibri" w:hAnsi="Cambria" w:cs="Calibri"/>
                <w:lang w:val="hr-HR"/>
              </w:rPr>
            </w:pPr>
            <w:r w:rsidRPr="00DF4CE5">
              <w:rPr>
                <w:rFonts w:ascii="Cambria" w:eastAsia="Calibri" w:hAnsi="Cambria" w:cs="Calibri"/>
                <w:lang w:val="hr-HR"/>
              </w:rPr>
              <w:t xml:space="preserve">2. </w:t>
            </w:r>
            <w:r w:rsidR="00F710EA">
              <w:rPr>
                <w:rFonts w:ascii="Cambria" w:eastAsia="Calibri" w:hAnsi="Cambria" w:cs="Calibri"/>
                <w:lang w:val="hr-HR"/>
              </w:rPr>
              <w:t>u</w:t>
            </w:r>
            <w:r w:rsidRPr="00DF4CE5">
              <w:rPr>
                <w:rFonts w:ascii="Cambria" w:eastAsia="Calibri" w:hAnsi="Cambria" w:cs="Calibri"/>
                <w:lang w:val="hr-HR"/>
              </w:rPr>
              <w:t xml:space="preserve"> pisanom obliku prepričati dvije zadane bajke i osmisliti zadatke vezane uz njih prikladne za implementaciju u nižim razredima osnovne škole te ih u usmenom obliku izložiti kolegama</w:t>
            </w:r>
            <w:r w:rsidR="00F710EA">
              <w:rPr>
                <w:rFonts w:ascii="Cambria" w:eastAsia="Calibri" w:hAnsi="Cambria" w:cs="Calibri"/>
                <w:lang w:val="hr-HR"/>
              </w:rPr>
              <w:t xml:space="preserve"> (u</w:t>
            </w:r>
            <w:r w:rsidRPr="00DF4CE5">
              <w:rPr>
                <w:rFonts w:ascii="Cambria" w:eastAsia="Calibri" w:hAnsi="Cambria" w:cs="Calibri"/>
                <w:lang w:val="hr-HR"/>
              </w:rPr>
              <w:t>koliko je student/studentica neuspješan/neuspješna pri izvršavanju ove obveze, pristupa usmenom ispitu</w:t>
            </w:r>
            <w:r w:rsidR="00F710EA">
              <w:rPr>
                <w:rFonts w:ascii="Cambria" w:eastAsia="Calibri" w:hAnsi="Cambria" w:cs="Calibri"/>
                <w:lang w:val="hr-HR"/>
              </w:rPr>
              <w:t>)</w:t>
            </w:r>
          </w:p>
          <w:p w14:paraId="44C1CAAC" w14:textId="7DBB19CC" w:rsidR="005005C3" w:rsidRPr="00DF4CE5" w:rsidRDefault="005005C3" w:rsidP="005005C3">
            <w:pPr>
              <w:spacing w:after="0" w:line="240" w:lineRule="atLeast"/>
              <w:jc w:val="both"/>
              <w:rPr>
                <w:rFonts w:ascii="Cambria" w:eastAsia="Calibri" w:hAnsi="Cambria" w:cs="Calibri"/>
                <w:lang w:val="hr-HR"/>
              </w:rPr>
            </w:pPr>
            <w:r w:rsidRPr="00DF4CE5">
              <w:rPr>
                <w:rFonts w:ascii="Cambria" w:eastAsia="Calibri" w:hAnsi="Cambria" w:cs="Calibri"/>
                <w:lang w:val="hr-HR"/>
              </w:rPr>
              <w:t xml:space="preserve">3. </w:t>
            </w:r>
            <w:r w:rsidR="00F710EA">
              <w:rPr>
                <w:rFonts w:ascii="Cambria" w:eastAsia="Calibri" w:hAnsi="Cambria" w:cs="Calibri"/>
                <w:lang w:val="hr-HR"/>
              </w:rPr>
              <w:t>p</w:t>
            </w:r>
            <w:r w:rsidRPr="00DF4CE5">
              <w:rPr>
                <w:rFonts w:ascii="Cambria" w:eastAsia="Calibri" w:hAnsi="Cambria" w:cs="Calibri"/>
                <w:lang w:val="hr-HR"/>
              </w:rPr>
              <w:t>oložiti dva pisana kolokvija</w:t>
            </w:r>
            <w:r w:rsidR="00F710EA">
              <w:rPr>
                <w:rFonts w:ascii="Cambria" w:eastAsia="Calibri" w:hAnsi="Cambria" w:cs="Calibri"/>
                <w:lang w:val="hr-HR"/>
              </w:rPr>
              <w:t xml:space="preserve"> (u</w:t>
            </w:r>
            <w:r w:rsidRPr="00DF4CE5">
              <w:rPr>
                <w:rFonts w:ascii="Cambria" w:eastAsia="Calibri" w:hAnsi="Cambria" w:cs="Calibri"/>
                <w:lang w:val="hr-HR"/>
              </w:rPr>
              <w:t>koliko je student/studentica neuspješan/neuspješna u provođenje ove obveze, mora položiti završni pisani i usmeni ispit, koji u tom slučaju nose 50% ocjene svaki</w:t>
            </w:r>
            <w:r w:rsidR="00F710EA">
              <w:rPr>
                <w:rFonts w:ascii="Cambria" w:eastAsia="Calibri" w:hAnsi="Cambria" w:cs="Calibri"/>
                <w:lang w:val="hr-HR"/>
              </w:rPr>
              <w:t xml:space="preserve">). </w:t>
            </w:r>
            <w:r w:rsidRPr="00DF4CE5">
              <w:rPr>
                <w:rFonts w:ascii="Cambria" w:eastAsia="Calibri" w:hAnsi="Cambria" w:cs="Calibri"/>
                <w:lang w:val="hr-HR"/>
              </w:rPr>
              <w:t xml:space="preserve"> </w:t>
            </w:r>
          </w:p>
          <w:p w14:paraId="5988FC1A" w14:textId="77777777" w:rsidR="005005C3" w:rsidRPr="00DF4CE5" w:rsidRDefault="005005C3" w:rsidP="005005C3">
            <w:pPr>
              <w:spacing w:after="0" w:line="240" w:lineRule="atLeast"/>
              <w:jc w:val="both"/>
              <w:rPr>
                <w:rFonts w:ascii="Cambria" w:eastAsia="Calibri" w:hAnsi="Cambria" w:cs="Calibri"/>
                <w:lang w:val="hr-HR"/>
              </w:rPr>
            </w:pPr>
          </w:p>
        </w:tc>
      </w:tr>
      <w:tr w:rsidR="005005C3" w:rsidRPr="00D0399C" w14:paraId="6EDE8592" w14:textId="77777777" w:rsidTr="004A100E">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337521D" w14:textId="77777777" w:rsidR="005005C3" w:rsidRPr="00DF4CE5" w:rsidRDefault="005005C3" w:rsidP="005005C3">
            <w:pPr>
              <w:spacing w:after="0" w:line="240" w:lineRule="atLeast"/>
              <w:jc w:val="both"/>
              <w:rPr>
                <w:rFonts w:ascii="Cambria" w:eastAsia="Calibri" w:hAnsi="Cambria" w:cs="Calibri"/>
                <w:lang w:val="hr-HR"/>
              </w:rPr>
            </w:pPr>
            <w:proofErr w:type="spellStart"/>
            <w:r w:rsidRPr="00DF4CE5">
              <w:rPr>
                <w:rFonts w:ascii="Cambria" w:eastAsia="Calibri" w:hAnsi="Cambria" w:cs="Calibri"/>
              </w:rPr>
              <w:t>Rokovi</w:t>
            </w:r>
            <w:proofErr w:type="spellEnd"/>
            <w:r w:rsidRPr="00DF4CE5">
              <w:rPr>
                <w:rFonts w:ascii="Cambria" w:eastAsia="Calibri" w:hAnsi="Cambria" w:cs="Calibri"/>
              </w:rPr>
              <w:t xml:space="preserve"> </w:t>
            </w:r>
            <w:proofErr w:type="spellStart"/>
            <w:r w:rsidRPr="00DF4CE5">
              <w:rPr>
                <w:rFonts w:ascii="Cambria" w:eastAsia="Calibri" w:hAnsi="Cambria" w:cs="Calibri"/>
              </w:rPr>
              <w:t>ispita</w:t>
            </w:r>
            <w:proofErr w:type="spellEnd"/>
            <w:r w:rsidRPr="00DF4CE5">
              <w:rPr>
                <w:rFonts w:ascii="Cambria" w:eastAsia="Calibri" w:hAnsi="Cambria" w:cs="Calibri"/>
              </w:rPr>
              <w:t xml:space="preserve"> </w:t>
            </w:r>
            <w:proofErr w:type="spellStart"/>
            <w:r w:rsidRPr="00DF4CE5">
              <w:rPr>
                <w:rFonts w:ascii="Cambria" w:eastAsia="Calibri" w:hAnsi="Cambria" w:cs="Calibri"/>
              </w:rPr>
              <w:t>i</w:t>
            </w:r>
            <w:proofErr w:type="spellEnd"/>
            <w:r w:rsidRPr="00DF4CE5">
              <w:rPr>
                <w:rFonts w:ascii="Cambria" w:eastAsia="Calibri" w:hAnsi="Cambria" w:cs="Calibri"/>
              </w:rPr>
              <w:t xml:space="preserve"> </w:t>
            </w:r>
            <w:proofErr w:type="spellStart"/>
            <w:r w:rsidRPr="00DF4CE5">
              <w:rPr>
                <w:rFonts w:ascii="Cambria" w:eastAsia="Calibri" w:hAnsi="Cambria" w:cs="Calibri"/>
              </w:rPr>
              <w:t>kolokvija</w:t>
            </w:r>
            <w:proofErr w:type="spellEnd"/>
          </w:p>
        </w:tc>
        <w:tc>
          <w:tcPr>
            <w:tcW w:w="671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C561E8A" w14:textId="77777777" w:rsidR="005005C3" w:rsidRPr="00DF4CE5" w:rsidRDefault="005005C3" w:rsidP="005005C3">
            <w:pPr>
              <w:spacing w:after="0" w:line="240" w:lineRule="atLeast"/>
              <w:jc w:val="both"/>
              <w:rPr>
                <w:rFonts w:ascii="Cambria" w:eastAsia="Calibri" w:hAnsi="Cambria" w:cs="Calibri"/>
                <w:lang w:val="hr-HR"/>
              </w:rPr>
            </w:pPr>
            <w:r w:rsidRPr="00DF4CE5">
              <w:rPr>
                <w:rFonts w:ascii="Cambria" w:eastAsia="Calibri" w:hAnsi="Cambria" w:cs="Calibri"/>
                <w:lang w:val="hr-HR"/>
              </w:rPr>
              <w:t>Objavljuju se početkom akademske godine na mrežnim stranicama Sveučilišta i u ISVU sustavu.</w:t>
            </w:r>
          </w:p>
        </w:tc>
      </w:tr>
      <w:tr w:rsidR="005005C3" w:rsidRPr="00F710EA" w14:paraId="4BFAB11B" w14:textId="77777777" w:rsidTr="004A100E">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9B73264" w14:textId="77777777" w:rsidR="005005C3" w:rsidRPr="00DF4CE5" w:rsidRDefault="005005C3" w:rsidP="005005C3">
            <w:pPr>
              <w:spacing w:after="0" w:line="240" w:lineRule="atLeast"/>
              <w:jc w:val="both"/>
              <w:rPr>
                <w:rFonts w:ascii="Cambria" w:eastAsia="Calibri" w:hAnsi="Cambria" w:cs="Calibri"/>
                <w:lang w:val="hr-HR"/>
              </w:rPr>
            </w:pPr>
            <w:r w:rsidRPr="00DF4CE5">
              <w:rPr>
                <w:rFonts w:ascii="Cambria" w:eastAsia="Calibri" w:hAnsi="Cambria" w:cs="Calibri"/>
                <w:lang w:val="hr-HR"/>
              </w:rPr>
              <w:t xml:space="preserve">Ostale važne činjenice </w:t>
            </w:r>
            <w:proofErr w:type="spellStart"/>
            <w:r w:rsidRPr="00DF4CE5">
              <w:rPr>
                <w:rFonts w:ascii="Cambria" w:eastAsia="Calibri" w:hAnsi="Cambria" w:cs="Calibri"/>
                <w:lang w:val="it-IT"/>
              </w:rPr>
              <w:t>vezane</w:t>
            </w:r>
            <w:proofErr w:type="spellEnd"/>
            <w:r w:rsidRPr="00DF4CE5">
              <w:rPr>
                <w:rFonts w:ascii="Cambria" w:eastAsia="Calibri" w:hAnsi="Cambria" w:cs="Calibri"/>
                <w:lang w:val="it-IT"/>
              </w:rPr>
              <w:t xml:space="preserve"> </w:t>
            </w:r>
            <w:proofErr w:type="spellStart"/>
            <w:r w:rsidRPr="00DF4CE5">
              <w:rPr>
                <w:rFonts w:ascii="Cambria" w:eastAsia="Calibri" w:hAnsi="Cambria" w:cs="Calibri"/>
                <w:lang w:val="it-IT"/>
              </w:rPr>
              <w:t>uz</w:t>
            </w:r>
            <w:proofErr w:type="spellEnd"/>
            <w:r w:rsidRPr="00DF4CE5">
              <w:rPr>
                <w:rFonts w:ascii="Cambria" w:eastAsia="Calibri" w:hAnsi="Cambria" w:cs="Calibri"/>
                <w:lang w:val="it-IT"/>
              </w:rPr>
              <w:t xml:space="preserve"> </w:t>
            </w:r>
            <w:proofErr w:type="spellStart"/>
            <w:r w:rsidRPr="00DF4CE5">
              <w:rPr>
                <w:rFonts w:ascii="Cambria" w:eastAsia="Calibri" w:hAnsi="Cambria" w:cs="Calibri"/>
                <w:lang w:val="it-IT"/>
              </w:rPr>
              <w:t>kolegij</w:t>
            </w:r>
            <w:proofErr w:type="spellEnd"/>
          </w:p>
        </w:tc>
        <w:tc>
          <w:tcPr>
            <w:tcW w:w="671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4150603" w14:textId="77777777" w:rsidR="005005C3" w:rsidRPr="00DF4CE5" w:rsidRDefault="005005C3" w:rsidP="005005C3">
            <w:pPr>
              <w:spacing w:after="0" w:line="240" w:lineRule="atLeast"/>
              <w:jc w:val="both"/>
              <w:rPr>
                <w:rFonts w:ascii="Cambria" w:eastAsia="Calibri" w:hAnsi="Cambria" w:cs="Calibri"/>
                <w:lang w:val="hr-HR"/>
              </w:rPr>
            </w:pPr>
            <w:r w:rsidRPr="00DF4CE5">
              <w:rPr>
                <w:rFonts w:ascii="Cambria" w:eastAsia="Calibri" w:hAnsi="Cambria" w:cs="Calibri"/>
                <w:lang w:val="hr-HR"/>
              </w:rPr>
              <w:t xml:space="preserve">Materijali za predavanja i seminare objavljuju se na e-učenju. </w:t>
            </w:r>
          </w:p>
          <w:p w14:paraId="25947935" w14:textId="48FDFE4A" w:rsidR="005005C3" w:rsidRPr="00DF4CE5" w:rsidRDefault="005005C3" w:rsidP="005005C3">
            <w:pPr>
              <w:spacing w:after="0" w:line="240" w:lineRule="atLeast"/>
              <w:jc w:val="both"/>
              <w:rPr>
                <w:rFonts w:ascii="Cambria" w:eastAsia="Calibri" w:hAnsi="Cambria" w:cs="Calibri"/>
                <w:lang w:val="hr-HR"/>
              </w:rPr>
            </w:pPr>
            <w:r w:rsidRPr="00DF4CE5">
              <w:rPr>
                <w:rFonts w:ascii="Cambria" w:eastAsia="Times New Roman" w:hAnsi="Cambria" w:cs="Calibri"/>
                <w:lang w:val="hr-HR"/>
              </w:rPr>
              <w:t xml:space="preserve">U slučaju održavanja nastave na daljinu, moguće je odstupanje u: mjestu izvođenja kolegija, provedbi aktivnosti, metoda tumačenja i poučavanja i načinima vrednovanja, studentskim obvezama i dostupnoj literaturi. O tome će nositeljica kolegija i </w:t>
            </w:r>
            <w:r w:rsidR="00F710EA">
              <w:rPr>
                <w:rFonts w:ascii="Cambria" w:eastAsia="Times New Roman" w:hAnsi="Cambria" w:cs="Calibri"/>
                <w:lang w:val="hr-HR"/>
              </w:rPr>
              <w:t>suradnica</w:t>
            </w:r>
            <w:r w:rsidRPr="00DF4CE5">
              <w:rPr>
                <w:rFonts w:ascii="Cambria" w:eastAsia="Times New Roman" w:hAnsi="Cambria" w:cs="Calibri"/>
                <w:lang w:val="hr-HR"/>
              </w:rPr>
              <w:t xml:space="preserve"> obavijestiti studente i studentice </w:t>
            </w:r>
            <w:r w:rsidRPr="00DF4CE5">
              <w:rPr>
                <w:rFonts w:ascii="Cambria" w:eastAsia="Times New Roman" w:hAnsi="Cambria" w:cs="Calibri"/>
                <w:lang w:val="hr-HR"/>
              </w:rPr>
              <w:lastRenderedPageBreak/>
              <w:t>kad se nastava na daljinu počne održavati. Ishodi učenja ostaju nepromijenjeni.</w:t>
            </w:r>
          </w:p>
        </w:tc>
      </w:tr>
      <w:tr w:rsidR="005005C3" w:rsidRPr="00DF4CE5" w14:paraId="33679037" w14:textId="77777777" w:rsidTr="004A100E">
        <w:trPr>
          <w:trHeight w:val="770"/>
        </w:trPr>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B694441" w14:textId="77777777" w:rsidR="005005C3" w:rsidRPr="00DF4CE5" w:rsidRDefault="005005C3" w:rsidP="005005C3">
            <w:pPr>
              <w:spacing w:after="0" w:line="240" w:lineRule="atLeast"/>
              <w:jc w:val="both"/>
              <w:rPr>
                <w:rFonts w:ascii="Cambria" w:eastAsia="Calibri" w:hAnsi="Cambria" w:cs="Calibri"/>
                <w:lang w:val="hr-HR"/>
              </w:rPr>
            </w:pPr>
            <w:r w:rsidRPr="00DF4CE5">
              <w:rPr>
                <w:rFonts w:ascii="Cambria" w:eastAsia="Calibri" w:hAnsi="Cambria" w:cs="Calibri"/>
                <w:lang w:val="hr-HR"/>
              </w:rPr>
              <w:lastRenderedPageBreak/>
              <w:t>Literatura</w:t>
            </w:r>
          </w:p>
        </w:tc>
        <w:tc>
          <w:tcPr>
            <w:tcW w:w="6717"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184F1398" w14:textId="77777777" w:rsidR="005005C3" w:rsidRPr="00DF4CE5" w:rsidRDefault="005005C3" w:rsidP="005005C3">
            <w:pPr>
              <w:spacing w:after="0" w:line="240" w:lineRule="atLeast"/>
              <w:jc w:val="both"/>
              <w:rPr>
                <w:rFonts w:ascii="Cambria" w:eastAsia="Calibri" w:hAnsi="Cambria" w:cs="Calibri"/>
                <w:lang w:val="hr-HR"/>
              </w:rPr>
            </w:pPr>
            <w:r w:rsidRPr="00DF4CE5">
              <w:rPr>
                <w:rFonts w:ascii="Cambria" w:eastAsia="Calibri" w:hAnsi="Cambria" w:cs="Calibri"/>
                <w:lang w:val="hr-HR"/>
              </w:rPr>
              <w:t xml:space="preserve">Obvezna: </w:t>
            </w:r>
          </w:p>
          <w:p w14:paraId="2CAF685D" w14:textId="77777777" w:rsidR="005005C3" w:rsidRPr="00DF4CE5" w:rsidRDefault="005005C3" w:rsidP="005005C3">
            <w:pPr>
              <w:spacing w:after="0" w:line="240" w:lineRule="atLeast"/>
              <w:jc w:val="both"/>
              <w:rPr>
                <w:rFonts w:ascii="Cambria" w:eastAsia="Calibri" w:hAnsi="Cambria" w:cs="Calibri"/>
                <w:lang w:val="hr-HR"/>
              </w:rPr>
            </w:pPr>
            <w:r w:rsidRPr="00DF4CE5">
              <w:rPr>
                <w:rFonts w:ascii="Cambria" w:eastAsia="Calibri" w:hAnsi="Cambria" w:cs="Calibri"/>
                <w:lang w:val="hr-HR"/>
              </w:rPr>
              <w:t xml:space="preserve">1. Anderson, N.A. (2006). </w:t>
            </w:r>
            <w:proofErr w:type="spellStart"/>
            <w:r w:rsidRPr="00DF4CE5">
              <w:rPr>
                <w:rFonts w:ascii="Cambria" w:eastAsia="Calibri" w:hAnsi="Cambria" w:cs="Calibri"/>
                <w:lang w:val="hr-HR"/>
              </w:rPr>
              <w:t>Elementary</w:t>
            </w:r>
            <w:proofErr w:type="spellEnd"/>
            <w:r w:rsidRPr="00DF4CE5">
              <w:rPr>
                <w:rFonts w:ascii="Cambria" w:eastAsia="Calibri" w:hAnsi="Cambria" w:cs="Calibri"/>
                <w:lang w:val="hr-HR"/>
              </w:rPr>
              <w:t xml:space="preserve"> </w:t>
            </w:r>
            <w:proofErr w:type="spellStart"/>
            <w:r w:rsidRPr="00DF4CE5">
              <w:rPr>
                <w:rFonts w:ascii="Cambria" w:eastAsia="Calibri" w:hAnsi="Cambria" w:cs="Calibri"/>
                <w:lang w:val="hr-HR"/>
              </w:rPr>
              <w:t>children's</w:t>
            </w:r>
            <w:proofErr w:type="spellEnd"/>
            <w:r w:rsidRPr="00DF4CE5">
              <w:rPr>
                <w:rFonts w:ascii="Cambria" w:eastAsia="Calibri" w:hAnsi="Cambria" w:cs="Calibri"/>
                <w:lang w:val="hr-HR"/>
              </w:rPr>
              <w:t xml:space="preserve"> literature – </w:t>
            </w:r>
            <w:proofErr w:type="spellStart"/>
            <w:r w:rsidRPr="00DF4CE5">
              <w:rPr>
                <w:rFonts w:ascii="Cambria" w:eastAsia="Calibri" w:hAnsi="Cambria" w:cs="Calibri"/>
                <w:lang w:val="hr-HR"/>
              </w:rPr>
              <w:t>the</w:t>
            </w:r>
            <w:proofErr w:type="spellEnd"/>
            <w:r w:rsidRPr="00DF4CE5">
              <w:rPr>
                <w:rFonts w:ascii="Cambria" w:eastAsia="Calibri" w:hAnsi="Cambria" w:cs="Calibri"/>
                <w:lang w:val="hr-HR"/>
              </w:rPr>
              <w:t xml:space="preserve"> </w:t>
            </w:r>
            <w:proofErr w:type="spellStart"/>
            <w:r w:rsidRPr="00DF4CE5">
              <w:rPr>
                <w:rFonts w:ascii="Cambria" w:eastAsia="Calibri" w:hAnsi="Cambria" w:cs="Calibri"/>
                <w:lang w:val="hr-HR"/>
              </w:rPr>
              <w:t>basics</w:t>
            </w:r>
            <w:proofErr w:type="spellEnd"/>
            <w:r w:rsidRPr="00DF4CE5">
              <w:rPr>
                <w:rFonts w:ascii="Cambria" w:eastAsia="Calibri" w:hAnsi="Cambria" w:cs="Calibri"/>
                <w:lang w:val="hr-HR"/>
              </w:rPr>
              <w:t xml:space="preserve"> for </w:t>
            </w:r>
            <w:proofErr w:type="spellStart"/>
            <w:r w:rsidRPr="00DF4CE5">
              <w:rPr>
                <w:rFonts w:ascii="Cambria" w:eastAsia="Calibri" w:hAnsi="Cambria" w:cs="Calibri"/>
                <w:lang w:val="hr-HR"/>
              </w:rPr>
              <w:t>teachers</w:t>
            </w:r>
            <w:proofErr w:type="spellEnd"/>
            <w:r w:rsidRPr="00DF4CE5">
              <w:rPr>
                <w:rFonts w:ascii="Cambria" w:eastAsia="Calibri" w:hAnsi="Cambria" w:cs="Calibri"/>
                <w:lang w:val="hr-HR"/>
              </w:rPr>
              <w:t xml:space="preserve"> </w:t>
            </w:r>
            <w:proofErr w:type="spellStart"/>
            <w:r w:rsidRPr="00DF4CE5">
              <w:rPr>
                <w:rFonts w:ascii="Cambria" w:eastAsia="Calibri" w:hAnsi="Cambria" w:cs="Calibri"/>
                <w:lang w:val="hr-HR"/>
              </w:rPr>
              <w:t>and</w:t>
            </w:r>
            <w:proofErr w:type="spellEnd"/>
            <w:r w:rsidRPr="00DF4CE5">
              <w:rPr>
                <w:rFonts w:ascii="Cambria" w:eastAsia="Calibri" w:hAnsi="Cambria" w:cs="Calibri"/>
                <w:lang w:val="hr-HR"/>
              </w:rPr>
              <w:t xml:space="preserve"> </w:t>
            </w:r>
            <w:proofErr w:type="spellStart"/>
            <w:r w:rsidRPr="00DF4CE5">
              <w:rPr>
                <w:rFonts w:ascii="Cambria" w:eastAsia="Calibri" w:hAnsi="Cambria" w:cs="Calibri"/>
                <w:lang w:val="hr-HR"/>
              </w:rPr>
              <w:t>parents</w:t>
            </w:r>
            <w:proofErr w:type="spellEnd"/>
            <w:r w:rsidRPr="00DF4CE5">
              <w:rPr>
                <w:rFonts w:ascii="Cambria" w:eastAsia="Calibri" w:hAnsi="Cambria" w:cs="Calibri"/>
                <w:lang w:val="hr-HR"/>
              </w:rPr>
              <w:t xml:space="preserve">. Boston: Pearson </w:t>
            </w:r>
            <w:proofErr w:type="spellStart"/>
            <w:r w:rsidRPr="00DF4CE5">
              <w:rPr>
                <w:rFonts w:ascii="Cambria" w:eastAsia="Calibri" w:hAnsi="Cambria" w:cs="Calibri"/>
                <w:lang w:val="hr-HR"/>
              </w:rPr>
              <w:t>Education</w:t>
            </w:r>
            <w:proofErr w:type="spellEnd"/>
            <w:r w:rsidRPr="00DF4CE5">
              <w:rPr>
                <w:rFonts w:ascii="Cambria" w:eastAsia="Calibri" w:hAnsi="Cambria" w:cs="Calibri"/>
                <w:lang w:val="hr-HR"/>
              </w:rPr>
              <w:t>, 170-201, 205-207. (33 str.)</w:t>
            </w:r>
          </w:p>
          <w:p w14:paraId="60438FD3" w14:textId="77777777" w:rsidR="005005C3" w:rsidRPr="00DF4CE5" w:rsidRDefault="005005C3" w:rsidP="005005C3">
            <w:pPr>
              <w:spacing w:after="0" w:line="240" w:lineRule="atLeast"/>
              <w:jc w:val="both"/>
              <w:rPr>
                <w:rFonts w:ascii="Cambria" w:eastAsia="Calibri" w:hAnsi="Cambria" w:cs="Calibri"/>
                <w:lang w:val="hr-HR"/>
              </w:rPr>
            </w:pPr>
            <w:r w:rsidRPr="00DF4CE5">
              <w:rPr>
                <w:rFonts w:ascii="Cambria" w:eastAsia="Calibri" w:hAnsi="Cambria" w:cs="Calibri"/>
                <w:lang w:val="hr-HR"/>
              </w:rPr>
              <w:t xml:space="preserve">2. Dujmović, M., </w:t>
            </w:r>
            <w:proofErr w:type="spellStart"/>
            <w:r w:rsidRPr="00DF4CE5">
              <w:rPr>
                <w:rFonts w:ascii="Cambria" w:eastAsia="Calibri" w:hAnsi="Cambria" w:cs="Calibri"/>
                <w:lang w:val="hr-HR"/>
              </w:rPr>
              <w:t>Bančić</w:t>
            </w:r>
            <w:proofErr w:type="spellEnd"/>
            <w:r w:rsidRPr="00DF4CE5">
              <w:rPr>
                <w:rFonts w:ascii="Cambria" w:eastAsia="Calibri" w:hAnsi="Cambria" w:cs="Calibri"/>
                <w:lang w:val="hr-HR"/>
              </w:rPr>
              <w:t xml:space="preserve">, I. (2014). A </w:t>
            </w:r>
            <w:proofErr w:type="spellStart"/>
            <w:r w:rsidRPr="00DF4CE5">
              <w:rPr>
                <w:rFonts w:ascii="Cambria" w:eastAsia="Calibri" w:hAnsi="Cambria" w:cs="Calibri"/>
                <w:lang w:val="hr-HR"/>
              </w:rPr>
              <w:t>handbook</w:t>
            </w:r>
            <w:proofErr w:type="spellEnd"/>
            <w:r w:rsidRPr="00DF4CE5">
              <w:rPr>
                <w:rFonts w:ascii="Cambria" w:eastAsia="Calibri" w:hAnsi="Cambria" w:cs="Calibri"/>
                <w:lang w:val="hr-HR"/>
              </w:rPr>
              <w:t xml:space="preserve"> </w:t>
            </w:r>
            <w:proofErr w:type="spellStart"/>
            <w:r w:rsidRPr="00DF4CE5">
              <w:rPr>
                <w:rFonts w:ascii="Cambria" w:eastAsia="Calibri" w:hAnsi="Cambria" w:cs="Calibri"/>
                <w:lang w:val="hr-HR"/>
              </w:rPr>
              <w:t>in</w:t>
            </w:r>
            <w:proofErr w:type="spellEnd"/>
            <w:r w:rsidRPr="00DF4CE5">
              <w:rPr>
                <w:rFonts w:ascii="Cambria" w:eastAsia="Calibri" w:hAnsi="Cambria" w:cs="Calibri"/>
                <w:lang w:val="hr-HR"/>
              </w:rPr>
              <w:t xml:space="preserve"> </w:t>
            </w:r>
            <w:proofErr w:type="spellStart"/>
            <w:r w:rsidRPr="00DF4CE5">
              <w:rPr>
                <w:rFonts w:ascii="Cambria" w:eastAsia="Calibri" w:hAnsi="Cambria" w:cs="Calibri"/>
                <w:lang w:val="hr-HR"/>
              </w:rPr>
              <w:t>children's</w:t>
            </w:r>
            <w:proofErr w:type="spellEnd"/>
            <w:r w:rsidRPr="00DF4CE5">
              <w:rPr>
                <w:rFonts w:ascii="Cambria" w:eastAsia="Calibri" w:hAnsi="Cambria" w:cs="Calibri"/>
                <w:lang w:val="hr-HR"/>
              </w:rPr>
              <w:t xml:space="preserve"> literature. Pula: Sveučilište Jurja Dobrile u Puli, 2014. 11-15, 39-44, 15-25, 31- 33, 45-63, 63-77, 79-90, 91-94, 99-105. (55 str.)</w:t>
            </w:r>
          </w:p>
          <w:p w14:paraId="3D2B1620" w14:textId="5311299C" w:rsidR="005005C3" w:rsidRPr="00DF4CE5" w:rsidRDefault="005005C3" w:rsidP="005005C3">
            <w:pPr>
              <w:spacing w:after="0" w:line="240" w:lineRule="atLeast"/>
              <w:jc w:val="both"/>
              <w:rPr>
                <w:rFonts w:ascii="Cambria" w:eastAsia="Calibri" w:hAnsi="Cambria" w:cs="Calibri"/>
                <w:lang w:val="hr-HR"/>
              </w:rPr>
            </w:pPr>
            <w:r w:rsidRPr="00DF4CE5">
              <w:rPr>
                <w:rFonts w:ascii="Cambria" w:eastAsia="Calibri" w:hAnsi="Cambria" w:cs="Calibri"/>
                <w:lang w:val="hr-HR"/>
              </w:rPr>
              <w:t xml:space="preserve">3. Russell, D.L (2005). Literature for </w:t>
            </w:r>
            <w:proofErr w:type="spellStart"/>
            <w:r w:rsidRPr="00DF4CE5">
              <w:rPr>
                <w:rFonts w:ascii="Cambria" w:eastAsia="Calibri" w:hAnsi="Cambria" w:cs="Calibri"/>
                <w:lang w:val="hr-HR"/>
              </w:rPr>
              <w:t>children</w:t>
            </w:r>
            <w:proofErr w:type="spellEnd"/>
            <w:r w:rsidRPr="00DF4CE5">
              <w:rPr>
                <w:rFonts w:ascii="Cambria" w:eastAsia="Calibri" w:hAnsi="Cambria" w:cs="Calibri"/>
                <w:lang w:val="hr-HR"/>
              </w:rPr>
              <w:t xml:space="preserve"> – a short </w:t>
            </w:r>
            <w:proofErr w:type="spellStart"/>
            <w:r w:rsidRPr="00DF4CE5">
              <w:rPr>
                <w:rFonts w:ascii="Cambria" w:eastAsia="Calibri" w:hAnsi="Cambria" w:cs="Calibri"/>
                <w:lang w:val="hr-HR"/>
              </w:rPr>
              <w:t>introduction</w:t>
            </w:r>
            <w:proofErr w:type="spellEnd"/>
            <w:r w:rsidRPr="00DF4CE5">
              <w:rPr>
                <w:rFonts w:ascii="Cambria" w:eastAsia="Calibri" w:hAnsi="Cambria" w:cs="Calibri"/>
                <w:lang w:val="hr-HR"/>
              </w:rPr>
              <w:t xml:space="preserve">. Boston: Pearson </w:t>
            </w:r>
            <w:proofErr w:type="spellStart"/>
            <w:r w:rsidRPr="00DF4CE5">
              <w:rPr>
                <w:rFonts w:ascii="Cambria" w:eastAsia="Calibri" w:hAnsi="Cambria" w:cs="Calibri"/>
                <w:lang w:val="hr-HR"/>
              </w:rPr>
              <w:t>Education</w:t>
            </w:r>
            <w:proofErr w:type="spellEnd"/>
            <w:r w:rsidRPr="00DF4CE5">
              <w:rPr>
                <w:rFonts w:ascii="Cambria" w:eastAsia="Calibri" w:hAnsi="Cambria" w:cs="Calibri"/>
                <w:lang w:val="hr-HR"/>
              </w:rPr>
              <w:t xml:space="preserve">, 70-73, 75-88. (16 str.) </w:t>
            </w:r>
          </w:p>
          <w:p w14:paraId="38FC8EDC" w14:textId="77777777" w:rsidR="005005C3" w:rsidRPr="00DF4CE5" w:rsidRDefault="005005C3" w:rsidP="005005C3">
            <w:pPr>
              <w:spacing w:after="0" w:line="240" w:lineRule="atLeast"/>
              <w:jc w:val="both"/>
              <w:rPr>
                <w:rFonts w:ascii="Cambria" w:eastAsia="Calibri" w:hAnsi="Cambria" w:cs="Calibri"/>
                <w:lang w:val="hr-HR"/>
              </w:rPr>
            </w:pPr>
            <w:r w:rsidRPr="00DF4CE5">
              <w:rPr>
                <w:rFonts w:ascii="Cambria" w:eastAsia="Calibri" w:hAnsi="Cambria" w:cs="Calibri"/>
                <w:lang w:val="hr-HR"/>
              </w:rPr>
              <w:t>Izborna:</w:t>
            </w:r>
          </w:p>
          <w:p w14:paraId="4C016177" w14:textId="77777777" w:rsidR="005005C3" w:rsidRPr="00DF4CE5" w:rsidRDefault="005005C3" w:rsidP="005005C3">
            <w:pPr>
              <w:spacing w:after="0" w:line="240" w:lineRule="atLeast"/>
              <w:jc w:val="both"/>
              <w:rPr>
                <w:rFonts w:ascii="Cambria" w:eastAsia="Calibri" w:hAnsi="Cambria" w:cs="Calibri"/>
                <w:lang w:val="hr-HR"/>
              </w:rPr>
            </w:pPr>
            <w:r w:rsidRPr="00DF4CE5">
              <w:rPr>
                <w:rFonts w:ascii="Cambria" w:eastAsia="Calibri" w:hAnsi="Cambria" w:cs="Calibri"/>
                <w:lang w:val="hr-HR"/>
              </w:rPr>
              <w:t xml:space="preserve">1. Henderson, D. L., May, Jill P. </w:t>
            </w:r>
            <w:proofErr w:type="spellStart"/>
            <w:r w:rsidRPr="00DF4CE5">
              <w:rPr>
                <w:rFonts w:ascii="Cambria" w:eastAsia="Calibri" w:hAnsi="Cambria" w:cs="Calibri"/>
                <w:lang w:val="hr-HR"/>
              </w:rPr>
              <w:t>Exploring</w:t>
            </w:r>
            <w:proofErr w:type="spellEnd"/>
            <w:r w:rsidRPr="00DF4CE5">
              <w:rPr>
                <w:rFonts w:ascii="Cambria" w:eastAsia="Calibri" w:hAnsi="Cambria" w:cs="Calibri"/>
                <w:lang w:val="hr-HR"/>
              </w:rPr>
              <w:t xml:space="preserve"> </w:t>
            </w:r>
            <w:proofErr w:type="spellStart"/>
            <w:r w:rsidRPr="00DF4CE5">
              <w:rPr>
                <w:rFonts w:ascii="Cambria" w:eastAsia="Calibri" w:hAnsi="Cambria" w:cs="Calibri"/>
                <w:lang w:val="hr-HR"/>
              </w:rPr>
              <w:t>Culturally</w:t>
            </w:r>
            <w:proofErr w:type="spellEnd"/>
            <w:r w:rsidRPr="00DF4CE5">
              <w:rPr>
                <w:rFonts w:ascii="Cambria" w:eastAsia="Calibri" w:hAnsi="Cambria" w:cs="Calibri"/>
                <w:lang w:val="hr-HR"/>
              </w:rPr>
              <w:t xml:space="preserve"> </w:t>
            </w:r>
            <w:proofErr w:type="spellStart"/>
            <w:r w:rsidRPr="00DF4CE5">
              <w:rPr>
                <w:rFonts w:ascii="Cambria" w:eastAsia="Calibri" w:hAnsi="Cambria" w:cs="Calibri"/>
                <w:lang w:val="hr-HR"/>
              </w:rPr>
              <w:t>Diverse</w:t>
            </w:r>
            <w:proofErr w:type="spellEnd"/>
            <w:r w:rsidRPr="00DF4CE5">
              <w:rPr>
                <w:rFonts w:ascii="Cambria" w:eastAsia="Calibri" w:hAnsi="Cambria" w:cs="Calibri"/>
                <w:lang w:val="hr-HR"/>
              </w:rPr>
              <w:t xml:space="preserve"> Literature for </w:t>
            </w:r>
            <w:proofErr w:type="spellStart"/>
            <w:r w:rsidRPr="00DF4CE5">
              <w:rPr>
                <w:rFonts w:ascii="Cambria" w:eastAsia="Calibri" w:hAnsi="Cambria" w:cs="Calibri"/>
                <w:lang w:val="hr-HR"/>
              </w:rPr>
              <w:t>Children</w:t>
            </w:r>
            <w:proofErr w:type="spellEnd"/>
            <w:r w:rsidRPr="00DF4CE5">
              <w:rPr>
                <w:rFonts w:ascii="Cambria" w:eastAsia="Calibri" w:hAnsi="Cambria" w:cs="Calibri"/>
                <w:lang w:val="hr-HR"/>
              </w:rPr>
              <w:t xml:space="preserve"> </w:t>
            </w:r>
            <w:proofErr w:type="spellStart"/>
            <w:r w:rsidRPr="00DF4CE5">
              <w:rPr>
                <w:rFonts w:ascii="Cambria" w:eastAsia="Calibri" w:hAnsi="Cambria" w:cs="Calibri"/>
                <w:lang w:val="hr-HR"/>
              </w:rPr>
              <w:t>and</w:t>
            </w:r>
            <w:proofErr w:type="spellEnd"/>
            <w:r w:rsidRPr="00DF4CE5">
              <w:rPr>
                <w:rFonts w:ascii="Cambria" w:eastAsia="Calibri" w:hAnsi="Cambria" w:cs="Calibri"/>
                <w:lang w:val="hr-HR"/>
              </w:rPr>
              <w:t xml:space="preserve"> </w:t>
            </w:r>
            <w:proofErr w:type="spellStart"/>
            <w:r w:rsidRPr="00DF4CE5">
              <w:rPr>
                <w:rFonts w:ascii="Cambria" w:eastAsia="Calibri" w:hAnsi="Cambria" w:cs="Calibri"/>
                <w:lang w:val="hr-HR"/>
              </w:rPr>
              <w:t>Adolescents</w:t>
            </w:r>
            <w:proofErr w:type="spellEnd"/>
            <w:r w:rsidRPr="00DF4CE5">
              <w:rPr>
                <w:rFonts w:ascii="Cambria" w:eastAsia="Calibri" w:hAnsi="Cambria" w:cs="Calibri"/>
                <w:lang w:val="hr-HR"/>
              </w:rPr>
              <w:t xml:space="preserve">. Boston: Pearson </w:t>
            </w:r>
            <w:proofErr w:type="spellStart"/>
            <w:r w:rsidRPr="00DF4CE5">
              <w:rPr>
                <w:rFonts w:ascii="Cambria" w:eastAsia="Calibri" w:hAnsi="Cambria" w:cs="Calibri"/>
                <w:lang w:val="hr-HR"/>
              </w:rPr>
              <w:t>Education</w:t>
            </w:r>
            <w:proofErr w:type="spellEnd"/>
            <w:r w:rsidRPr="00DF4CE5">
              <w:rPr>
                <w:rFonts w:ascii="Cambria" w:eastAsia="Calibri" w:hAnsi="Cambria" w:cs="Calibri"/>
                <w:lang w:val="hr-HR"/>
              </w:rPr>
              <w:t>.  2005.</w:t>
            </w:r>
          </w:p>
          <w:p w14:paraId="6C05005F" w14:textId="77777777" w:rsidR="005005C3" w:rsidRPr="00DF4CE5" w:rsidRDefault="005005C3" w:rsidP="005005C3">
            <w:pPr>
              <w:spacing w:after="0" w:line="240" w:lineRule="atLeast"/>
              <w:jc w:val="both"/>
              <w:rPr>
                <w:rFonts w:ascii="Cambria" w:eastAsia="Calibri" w:hAnsi="Cambria" w:cs="Calibri"/>
                <w:lang w:val="hr-HR"/>
              </w:rPr>
            </w:pPr>
            <w:r w:rsidRPr="00DF4CE5">
              <w:rPr>
                <w:rFonts w:ascii="Cambria" w:eastAsia="Calibri" w:hAnsi="Cambria" w:cs="Calibri"/>
                <w:lang w:val="hr-HR"/>
              </w:rPr>
              <w:t xml:space="preserve">2. Hunt, P. </w:t>
            </w:r>
            <w:proofErr w:type="spellStart"/>
            <w:r w:rsidRPr="00DF4CE5">
              <w:rPr>
                <w:rFonts w:ascii="Cambria" w:eastAsia="Calibri" w:hAnsi="Cambria" w:cs="Calibri"/>
                <w:lang w:val="hr-HR"/>
              </w:rPr>
              <w:t>Children's</w:t>
            </w:r>
            <w:proofErr w:type="spellEnd"/>
            <w:r w:rsidRPr="00DF4CE5">
              <w:rPr>
                <w:rFonts w:ascii="Cambria" w:eastAsia="Calibri" w:hAnsi="Cambria" w:cs="Calibri"/>
                <w:lang w:val="hr-HR"/>
              </w:rPr>
              <w:t xml:space="preserve"> literature – </w:t>
            </w:r>
            <w:proofErr w:type="spellStart"/>
            <w:r w:rsidRPr="00DF4CE5">
              <w:rPr>
                <w:rFonts w:ascii="Cambria" w:eastAsia="Calibri" w:hAnsi="Cambria" w:cs="Calibri"/>
                <w:lang w:val="hr-HR"/>
              </w:rPr>
              <w:t>an</w:t>
            </w:r>
            <w:proofErr w:type="spellEnd"/>
            <w:r w:rsidRPr="00DF4CE5">
              <w:rPr>
                <w:rFonts w:ascii="Cambria" w:eastAsia="Calibri" w:hAnsi="Cambria" w:cs="Calibri"/>
                <w:lang w:val="hr-HR"/>
              </w:rPr>
              <w:t xml:space="preserve"> </w:t>
            </w:r>
            <w:proofErr w:type="spellStart"/>
            <w:r w:rsidRPr="00DF4CE5">
              <w:rPr>
                <w:rFonts w:ascii="Cambria" w:eastAsia="Calibri" w:hAnsi="Cambria" w:cs="Calibri"/>
                <w:lang w:val="hr-HR"/>
              </w:rPr>
              <w:t>illustrated</w:t>
            </w:r>
            <w:proofErr w:type="spellEnd"/>
            <w:r w:rsidRPr="00DF4CE5">
              <w:rPr>
                <w:rFonts w:ascii="Cambria" w:eastAsia="Calibri" w:hAnsi="Cambria" w:cs="Calibri"/>
                <w:lang w:val="hr-HR"/>
              </w:rPr>
              <w:t xml:space="preserve"> </w:t>
            </w:r>
            <w:proofErr w:type="spellStart"/>
            <w:r w:rsidRPr="00DF4CE5">
              <w:rPr>
                <w:rFonts w:ascii="Cambria" w:eastAsia="Calibri" w:hAnsi="Cambria" w:cs="Calibri"/>
                <w:lang w:val="hr-HR"/>
              </w:rPr>
              <w:t>history</w:t>
            </w:r>
            <w:proofErr w:type="spellEnd"/>
            <w:r w:rsidRPr="00DF4CE5">
              <w:rPr>
                <w:rFonts w:ascii="Cambria" w:eastAsia="Calibri" w:hAnsi="Cambria" w:cs="Calibri"/>
                <w:lang w:val="hr-HR"/>
              </w:rPr>
              <w:t xml:space="preserve">. Oxford </w:t>
            </w:r>
            <w:proofErr w:type="spellStart"/>
            <w:r w:rsidRPr="00DF4CE5">
              <w:rPr>
                <w:rFonts w:ascii="Cambria" w:eastAsia="Calibri" w:hAnsi="Cambria" w:cs="Calibri"/>
                <w:lang w:val="hr-HR"/>
              </w:rPr>
              <w:t>and</w:t>
            </w:r>
            <w:proofErr w:type="spellEnd"/>
            <w:r w:rsidRPr="00DF4CE5">
              <w:rPr>
                <w:rFonts w:ascii="Cambria" w:eastAsia="Calibri" w:hAnsi="Cambria" w:cs="Calibri"/>
                <w:lang w:val="hr-HR"/>
              </w:rPr>
              <w:t xml:space="preserve"> New York: Oxford </w:t>
            </w:r>
            <w:proofErr w:type="spellStart"/>
            <w:r w:rsidRPr="00DF4CE5">
              <w:rPr>
                <w:rFonts w:ascii="Cambria" w:eastAsia="Calibri" w:hAnsi="Cambria" w:cs="Calibri"/>
                <w:lang w:val="hr-HR"/>
              </w:rPr>
              <w:t>Unitversity</w:t>
            </w:r>
            <w:proofErr w:type="spellEnd"/>
            <w:r w:rsidRPr="00DF4CE5">
              <w:rPr>
                <w:rFonts w:ascii="Cambria" w:eastAsia="Calibri" w:hAnsi="Cambria" w:cs="Calibri"/>
                <w:lang w:val="hr-HR"/>
              </w:rPr>
              <w:t xml:space="preserve"> Press, 1995. (odabrana poglavlja) </w:t>
            </w:r>
          </w:p>
          <w:p w14:paraId="16EC3D2B" w14:textId="77777777" w:rsidR="005005C3" w:rsidRPr="00DF4CE5" w:rsidRDefault="005005C3" w:rsidP="005005C3">
            <w:pPr>
              <w:spacing w:after="0" w:line="240" w:lineRule="atLeast"/>
              <w:jc w:val="both"/>
              <w:rPr>
                <w:rFonts w:ascii="Cambria" w:eastAsia="Calibri" w:hAnsi="Cambria" w:cs="Calibri"/>
                <w:lang w:val="hr-HR"/>
              </w:rPr>
            </w:pPr>
            <w:r w:rsidRPr="00DF4CE5">
              <w:rPr>
                <w:rFonts w:ascii="Cambria" w:eastAsia="Calibri" w:hAnsi="Cambria" w:cs="Calibri"/>
                <w:lang w:val="hr-HR"/>
              </w:rPr>
              <w:t xml:space="preserve">3. Hunt, P. International </w:t>
            </w:r>
            <w:proofErr w:type="spellStart"/>
            <w:r w:rsidRPr="00DF4CE5">
              <w:rPr>
                <w:rFonts w:ascii="Cambria" w:eastAsia="Calibri" w:hAnsi="Cambria" w:cs="Calibri"/>
                <w:lang w:val="hr-HR"/>
              </w:rPr>
              <w:t>companion</w:t>
            </w:r>
            <w:proofErr w:type="spellEnd"/>
            <w:r w:rsidRPr="00DF4CE5">
              <w:rPr>
                <w:rFonts w:ascii="Cambria" w:eastAsia="Calibri" w:hAnsi="Cambria" w:cs="Calibri"/>
                <w:lang w:val="hr-HR"/>
              </w:rPr>
              <w:t xml:space="preserve">. Encyclopedia </w:t>
            </w:r>
            <w:proofErr w:type="spellStart"/>
            <w:r w:rsidRPr="00DF4CE5">
              <w:rPr>
                <w:rFonts w:ascii="Cambria" w:eastAsia="Calibri" w:hAnsi="Cambria" w:cs="Calibri"/>
                <w:lang w:val="hr-HR"/>
              </w:rPr>
              <w:t>of</w:t>
            </w:r>
            <w:proofErr w:type="spellEnd"/>
            <w:r w:rsidRPr="00DF4CE5">
              <w:rPr>
                <w:rFonts w:ascii="Cambria" w:eastAsia="Calibri" w:hAnsi="Cambria" w:cs="Calibri"/>
                <w:lang w:val="hr-HR"/>
              </w:rPr>
              <w:t xml:space="preserve"> </w:t>
            </w:r>
            <w:proofErr w:type="spellStart"/>
            <w:r w:rsidRPr="00DF4CE5">
              <w:rPr>
                <w:rFonts w:ascii="Cambria" w:eastAsia="Calibri" w:hAnsi="Cambria" w:cs="Calibri"/>
                <w:lang w:val="hr-HR"/>
              </w:rPr>
              <w:t>children's</w:t>
            </w:r>
            <w:proofErr w:type="spellEnd"/>
            <w:r w:rsidRPr="00DF4CE5">
              <w:rPr>
                <w:rFonts w:ascii="Cambria" w:eastAsia="Calibri" w:hAnsi="Cambria" w:cs="Calibri"/>
                <w:lang w:val="hr-HR"/>
              </w:rPr>
              <w:t xml:space="preserve"> literature. London i New York: </w:t>
            </w:r>
            <w:proofErr w:type="spellStart"/>
            <w:r w:rsidRPr="00DF4CE5">
              <w:rPr>
                <w:rFonts w:ascii="Cambria" w:eastAsia="Calibri" w:hAnsi="Cambria" w:cs="Calibri"/>
                <w:lang w:val="hr-HR"/>
              </w:rPr>
              <w:t>Routledge</w:t>
            </w:r>
            <w:proofErr w:type="spellEnd"/>
            <w:r w:rsidRPr="00DF4CE5">
              <w:rPr>
                <w:rFonts w:ascii="Cambria" w:eastAsia="Calibri" w:hAnsi="Cambria" w:cs="Calibri"/>
                <w:lang w:val="hr-HR"/>
              </w:rPr>
              <w:t>, 2004.</w:t>
            </w:r>
          </w:p>
          <w:p w14:paraId="7FF34973" w14:textId="77777777" w:rsidR="005005C3" w:rsidRPr="00DF4CE5" w:rsidRDefault="005005C3" w:rsidP="005005C3">
            <w:pPr>
              <w:spacing w:after="0" w:line="240" w:lineRule="atLeast"/>
              <w:jc w:val="both"/>
              <w:rPr>
                <w:rFonts w:ascii="Cambria" w:eastAsia="Calibri" w:hAnsi="Cambria" w:cs="Calibri"/>
                <w:lang w:val="hr-HR"/>
              </w:rPr>
            </w:pPr>
            <w:r w:rsidRPr="00DF4CE5">
              <w:rPr>
                <w:rFonts w:ascii="Cambria" w:eastAsia="Calibri" w:hAnsi="Cambria" w:cs="Calibri"/>
                <w:lang w:val="hr-HR"/>
              </w:rPr>
              <w:t xml:space="preserve">4. Hunt, P. </w:t>
            </w:r>
            <w:proofErr w:type="spellStart"/>
            <w:r w:rsidRPr="00DF4CE5">
              <w:rPr>
                <w:rFonts w:ascii="Cambria" w:eastAsia="Calibri" w:hAnsi="Cambria" w:cs="Calibri"/>
                <w:lang w:val="hr-HR"/>
              </w:rPr>
              <w:t>Understanding</w:t>
            </w:r>
            <w:proofErr w:type="spellEnd"/>
            <w:r w:rsidRPr="00DF4CE5">
              <w:rPr>
                <w:rFonts w:ascii="Cambria" w:eastAsia="Calibri" w:hAnsi="Cambria" w:cs="Calibri"/>
                <w:lang w:val="hr-HR"/>
              </w:rPr>
              <w:t xml:space="preserve"> </w:t>
            </w:r>
            <w:proofErr w:type="spellStart"/>
            <w:r w:rsidRPr="00DF4CE5">
              <w:rPr>
                <w:rFonts w:ascii="Cambria" w:eastAsia="Calibri" w:hAnsi="Cambria" w:cs="Calibri"/>
                <w:lang w:val="hr-HR"/>
              </w:rPr>
              <w:t>children's</w:t>
            </w:r>
            <w:proofErr w:type="spellEnd"/>
            <w:r w:rsidRPr="00DF4CE5">
              <w:rPr>
                <w:rFonts w:ascii="Cambria" w:eastAsia="Calibri" w:hAnsi="Cambria" w:cs="Calibri"/>
                <w:lang w:val="hr-HR"/>
              </w:rPr>
              <w:t xml:space="preserve"> literature. London i New York: </w:t>
            </w:r>
            <w:proofErr w:type="spellStart"/>
            <w:r w:rsidRPr="00DF4CE5">
              <w:rPr>
                <w:rFonts w:ascii="Cambria" w:eastAsia="Calibri" w:hAnsi="Cambria" w:cs="Calibri"/>
                <w:lang w:val="hr-HR"/>
              </w:rPr>
              <w:t>Routledge</w:t>
            </w:r>
            <w:proofErr w:type="spellEnd"/>
            <w:r w:rsidRPr="00DF4CE5">
              <w:rPr>
                <w:rFonts w:ascii="Cambria" w:eastAsia="Calibri" w:hAnsi="Cambria" w:cs="Calibri"/>
                <w:lang w:val="hr-HR"/>
              </w:rPr>
              <w:t>, 2005.</w:t>
            </w:r>
          </w:p>
          <w:p w14:paraId="3355AEC6" w14:textId="77777777" w:rsidR="005005C3" w:rsidRPr="00DF4CE5" w:rsidRDefault="005005C3" w:rsidP="005005C3">
            <w:pPr>
              <w:autoSpaceDE w:val="0"/>
              <w:autoSpaceDN w:val="0"/>
              <w:adjustRightInd w:val="0"/>
              <w:spacing w:after="0" w:line="240" w:lineRule="atLeast"/>
              <w:jc w:val="both"/>
              <w:rPr>
                <w:rFonts w:ascii="Cambria" w:eastAsia="Calibri" w:hAnsi="Cambria" w:cs="Calibri"/>
                <w:lang w:val="hr-HR"/>
              </w:rPr>
            </w:pPr>
            <w:r w:rsidRPr="00DF4CE5">
              <w:rPr>
                <w:rFonts w:ascii="Cambria" w:eastAsia="Calibri" w:hAnsi="Cambria" w:cs="Calibri"/>
                <w:lang w:val="hr-HR"/>
              </w:rPr>
              <w:t xml:space="preserve">5. </w:t>
            </w:r>
            <w:proofErr w:type="spellStart"/>
            <w:r w:rsidRPr="00DF4CE5">
              <w:rPr>
                <w:rFonts w:ascii="Cambria" w:eastAsia="Calibri" w:hAnsi="Cambria" w:cs="Calibri"/>
                <w:lang w:val="hr-HR"/>
              </w:rPr>
              <w:t>Nikolajeva</w:t>
            </w:r>
            <w:proofErr w:type="spellEnd"/>
            <w:r w:rsidRPr="00DF4CE5">
              <w:rPr>
                <w:rFonts w:ascii="Cambria" w:eastAsia="Calibri" w:hAnsi="Cambria" w:cs="Calibri"/>
                <w:lang w:val="hr-HR"/>
              </w:rPr>
              <w:t xml:space="preserve">, M. </w:t>
            </w:r>
            <w:proofErr w:type="spellStart"/>
            <w:r w:rsidRPr="00DF4CE5">
              <w:rPr>
                <w:rFonts w:ascii="Cambria" w:eastAsia="Calibri" w:hAnsi="Cambria" w:cs="Calibri"/>
                <w:lang w:val="hr-HR"/>
              </w:rPr>
              <w:t>Aspects</w:t>
            </w:r>
            <w:proofErr w:type="spellEnd"/>
            <w:r w:rsidRPr="00DF4CE5">
              <w:rPr>
                <w:rFonts w:ascii="Cambria" w:eastAsia="Calibri" w:hAnsi="Cambria" w:cs="Calibri"/>
                <w:lang w:val="hr-HR"/>
              </w:rPr>
              <w:t xml:space="preserve"> </w:t>
            </w:r>
            <w:proofErr w:type="spellStart"/>
            <w:r w:rsidRPr="00DF4CE5">
              <w:rPr>
                <w:rFonts w:ascii="Cambria" w:eastAsia="Calibri" w:hAnsi="Cambria" w:cs="Calibri"/>
                <w:lang w:val="hr-HR"/>
              </w:rPr>
              <w:t>and</w:t>
            </w:r>
            <w:proofErr w:type="spellEnd"/>
            <w:r w:rsidRPr="00DF4CE5">
              <w:rPr>
                <w:rFonts w:ascii="Cambria" w:eastAsia="Calibri" w:hAnsi="Cambria" w:cs="Calibri"/>
                <w:lang w:val="hr-HR"/>
              </w:rPr>
              <w:t xml:space="preserve"> </w:t>
            </w:r>
            <w:proofErr w:type="spellStart"/>
            <w:r w:rsidRPr="00DF4CE5">
              <w:rPr>
                <w:rFonts w:ascii="Cambria" w:eastAsia="Calibri" w:hAnsi="Cambria" w:cs="Calibri"/>
                <w:lang w:val="hr-HR"/>
              </w:rPr>
              <w:t>issues</w:t>
            </w:r>
            <w:proofErr w:type="spellEnd"/>
            <w:r w:rsidRPr="00DF4CE5">
              <w:rPr>
                <w:rFonts w:ascii="Cambria" w:eastAsia="Calibri" w:hAnsi="Cambria" w:cs="Calibri"/>
                <w:lang w:val="hr-HR"/>
              </w:rPr>
              <w:t xml:space="preserve"> </w:t>
            </w:r>
            <w:proofErr w:type="spellStart"/>
            <w:r w:rsidRPr="00DF4CE5">
              <w:rPr>
                <w:rFonts w:ascii="Cambria" w:eastAsia="Calibri" w:hAnsi="Cambria" w:cs="Calibri"/>
                <w:lang w:val="hr-HR"/>
              </w:rPr>
              <w:t>in</w:t>
            </w:r>
            <w:proofErr w:type="spellEnd"/>
            <w:r w:rsidRPr="00DF4CE5">
              <w:rPr>
                <w:rFonts w:ascii="Cambria" w:eastAsia="Calibri" w:hAnsi="Cambria" w:cs="Calibri"/>
                <w:lang w:val="hr-HR"/>
              </w:rPr>
              <w:t xml:space="preserve"> </w:t>
            </w:r>
            <w:proofErr w:type="spellStart"/>
            <w:r w:rsidRPr="00DF4CE5">
              <w:rPr>
                <w:rFonts w:ascii="Cambria" w:eastAsia="Calibri" w:hAnsi="Cambria" w:cs="Calibri"/>
                <w:lang w:val="hr-HR"/>
              </w:rPr>
              <w:t>the</w:t>
            </w:r>
            <w:proofErr w:type="spellEnd"/>
            <w:r w:rsidRPr="00DF4CE5">
              <w:rPr>
                <w:rFonts w:ascii="Cambria" w:eastAsia="Calibri" w:hAnsi="Cambria" w:cs="Calibri"/>
                <w:lang w:val="hr-HR"/>
              </w:rPr>
              <w:t xml:space="preserve"> </w:t>
            </w:r>
            <w:proofErr w:type="spellStart"/>
            <w:r w:rsidRPr="00DF4CE5">
              <w:rPr>
                <w:rFonts w:ascii="Cambria" w:eastAsia="Calibri" w:hAnsi="Cambria" w:cs="Calibri"/>
                <w:lang w:val="hr-HR"/>
              </w:rPr>
              <w:t>history</w:t>
            </w:r>
            <w:proofErr w:type="spellEnd"/>
            <w:r w:rsidRPr="00DF4CE5">
              <w:rPr>
                <w:rFonts w:ascii="Cambria" w:eastAsia="Calibri" w:hAnsi="Cambria" w:cs="Calibri"/>
                <w:lang w:val="hr-HR"/>
              </w:rPr>
              <w:t xml:space="preserve"> </w:t>
            </w:r>
            <w:proofErr w:type="spellStart"/>
            <w:r w:rsidRPr="00DF4CE5">
              <w:rPr>
                <w:rFonts w:ascii="Cambria" w:eastAsia="Calibri" w:hAnsi="Cambria" w:cs="Calibri"/>
                <w:lang w:val="hr-HR"/>
              </w:rPr>
              <w:t>of</w:t>
            </w:r>
            <w:proofErr w:type="spellEnd"/>
            <w:r w:rsidRPr="00DF4CE5">
              <w:rPr>
                <w:rFonts w:ascii="Cambria" w:eastAsia="Calibri" w:hAnsi="Cambria" w:cs="Calibri"/>
                <w:lang w:val="hr-HR"/>
              </w:rPr>
              <w:t xml:space="preserve"> </w:t>
            </w:r>
            <w:proofErr w:type="spellStart"/>
            <w:r w:rsidRPr="00DF4CE5">
              <w:rPr>
                <w:rFonts w:ascii="Cambria" w:eastAsia="Calibri" w:hAnsi="Cambria" w:cs="Calibri"/>
                <w:lang w:val="hr-HR"/>
              </w:rPr>
              <w:t>children's</w:t>
            </w:r>
            <w:proofErr w:type="spellEnd"/>
            <w:r w:rsidRPr="00DF4CE5">
              <w:rPr>
                <w:rFonts w:ascii="Cambria" w:eastAsia="Calibri" w:hAnsi="Cambria" w:cs="Calibri"/>
                <w:lang w:val="hr-HR"/>
              </w:rPr>
              <w:t xml:space="preserve"> </w:t>
            </w:r>
            <w:proofErr w:type="spellStart"/>
            <w:r w:rsidRPr="00DF4CE5">
              <w:rPr>
                <w:rFonts w:ascii="Cambria" w:eastAsia="Calibri" w:hAnsi="Cambria" w:cs="Calibri"/>
                <w:lang w:val="hr-HR"/>
              </w:rPr>
              <w:t>literature.Westport</w:t>
            </w:r>
            <w:proofErr w:type="spellEnd"/>
            <w:r w:rsidRPr="00DF4CE5">
              <w:rPr>
                <w:rFonts w:ascii="Cambria" w:eastAsia="Calibri" w:hAnsi="Cambria" w:cs="Calibri"/>
                <w:lang w:val="hr-HR"/>
              </w:rPr>
              <w:t xml:space="preserve">: </w:t>
            </w:r>
            <w:proofErr w:type="spellStart"/>
            <w:r w:rsidRPr="00DF4CE5">
              <w:rPr>
                <w:rFonts w:ascii="Cambria" w:eastAsia="Calibri" w:hAnsi="Cambria" w:cs="Calibri"/>
                <w:lang w:val="hr-HR"/>
              </w:rPr>
              <w:t>Greenwood</w:t>
            </w:r>
            <w:proofErr w:type="spellEnd"/>
            <w:r w:rsidRPr="00DF4CE5">
              <w:rPr>
                <w:rFonts w:ascii="Cambria" w:eastAsia="Calibri" w:hAnsi="Cambria" w:cs="Calibri"/>
                <w:lang w:val="hr-HR"/>
              </w:rPr>
              <w:t xml:space="preserve"> </w:t>
            </w:r>
            <w:proofErr w:type="spellStart"/>
            <w:r w:rsidRPr="00DF4CE5">
              <w:rPr>
                <w:rFonts w:ascii="Cambria" w:eastAsia="Calibri" w:hAnsi="Cambria" w:cs="Calibri"/>
                <w:lang w:val="hr-HR"/>
              </w:rPr>
              <w:t>publishing</w:t>
            </w:r>
            <w:proofErr w:type="spellEnd"/>
            <w:r w:rsidRPr="00DF4CE5">
              <w:rPr>
                <w:rFonts w:ascii="Cambria" w:eastAsia="Calibri" w:hAnsi="Cambria" w:cs="Calibri"/>
                <w:lang w:val="hr-HR"/>
              </w:rPr>
              <w:t xml:space="preserve"> </w:t>
            </w:r>
            <w:proofErr w:type="spellStart"/>
            <w:r w:rsidRPr="00DF4CE5">
              <w:rPr>
                <w:rFonts w:ascii="Cambria" w:eastAsia="Calibri" w:hAnsi="Cambria" w:cs="Calibri"/>
                <w:lang w:val="hr-HR"/>
              </w:rPr>
              <w:t>group</w:t>
            </w:r>
            <w:proofErr w:type="spellEnd"/>
            <w:r w:rsidRPr="00DF4CE5">
              <w:rPr>
                <w:rFonts w:ascii="Cambria" w:eastAsia="Calibri" w:hAnsi="Cambria" w:cs="Calibri"/>
                <w:lang w:val="hr-HR"/>
              </w:rPr>
              <w:t>, 1995.</w:t>
            </w:r>
          </w:p>
          <w:p w14:paraId="791EAE47" w14:textId="77777777" w:rsidR="005005C3" w:rsidRPr="00DF4CE5" w:rsidRDefault="005005C3" w:rsidP="005005C3">
            <w:pPr>
              <w:spacing w:after="0" w:line="240" w:lineRule="atLeast"/>
              <w:jc w:val="both"/>
              <w:rPr>
                <w:rFonts w:ascii="Cambria" w:eastAsia="Calibri" w:hAnsi="Cambria" w:cs="Calibri"/>
                <w:lang w:val="hr-HR"/>
              </w:rPr>
            </w:pPr>
            <w:r w:rsidRPr="00DF4CE5">
              <w:rPr>
                <w:rFonts w:ascii="Cambria" w:eastAsia="Calibri" w:hAnsi="Cambria" w:cs="Calibri"/>
                <w:lang w:val="hr-HR"/>
              </w:rPr>
              <w:t xml:space="preserve">6. Tatar, M. </w:t>
            </w:r>
            <w:proofErr w:type="spellStart"/>
            <w:r w:rsidRPr="00DF4CE5">
              <w:rPr>
                <w:rFonts w:ascii="Cambria" w:eastAsia="Calibri" w:hAnsi="Cambria" w:cs="Calibri"/>
                <w:lang w:val="hr-HR"/>
              </w:rPr>
              <w:t>The</w:t>
            </w:r>
            <w:proofErr w:type="spellEnd"/>
            <w:r w:rsidRPr="00DF4CE5">
              <w:rPr>
                <w:rFonts w:ascii="Cambria" w:eastAsia="Calibri" w:hAnsi="Cambria" w:cs="Calibri"/>
                <w:lang w:val="hr-HR"/>
              </w:rPr>
              <w:t xml:space="preserve"> </w:t>
            </w:r>
            <w:proofErr w:type="spellStart"/>
            <w:r w:rsidRPr="00DF4CE5">
              <w:rPr>
                <w:rFonts w:ascii="Cambria" w:eastAsia="Calibri" w:hAnsi="Cambria" w:cs="Calibri"/>
                <w:lang w:val="hr-HR"/>
              </w:rPr>
              <w:t>classic</w:t>
            </w:r>
            <w:proofErr w:type="spellEnd"/>
            <w:r w:rsidRPr="00DF4CE5">
              <w:rPr>
                <w:rFonts w:ascii="Cambria" w:eastAsia="Calibri" w:hAnsi="Cambria" w:cs="Calibri"/>
                <w:lang w:val="hr-HR"/>
              </w:rPr>
              <w:t xml:space="preserve"> </w:t>
            </w:r>
            <w:proofErr w:type="spellStart"/>
            <w:r w:rsidRPr="00DF4CE5">
              <w:rPr>
                <w:rFonts w:ascii="Cambria" w:eastAsia="Calibri" w:hAnsi="Cambria" w:cs="Calibri"/>
                <w:lang w:val="hr-HR"/>
              </w:rPr>
              <w:t>fairy</w:t>
            </w:r>
            <w:proofErr w:type="spellEnd"/>
            <w:r w:rsidRPr="00DF4CE5">
              <w:rPr>
                <w:rFonts w:ascii="Cambria" w:eastAsia="Calibri" w:hAnsi="Cambria" w:cs="Calibri"/>
                <w:lang w:val="hr-HR"/>
              </w:rPr>
              <w:t xml:space="preserve"> </w:t>
            </w:r>
            <w:proofErr w:type="spellStart"/>
            <w:r w:rsidRPr="00DF4CE5">
              <w:rPr>
                <w:rFonts w:ascii="Cambria" w:eastAsia="Calibri" w:hAnsi="Cambria" w:cs="Calibri"/>
                <w:lang w:val="hr-HR"/>
              </w:rPr>
              <w:t>fales</w:t>
            </w:r>
            <w:proofErr w:type="spellEnd"/>
            <w:r w:rsidRPr="00DF4CE5">
              <w:rPr>
                <w:rFonts w:ascii="Cambria" w:eastAsia="Calibri" w:hAnsi="Cambria" w:cs="Calibri"/>
                <w:lang w:val="hr-HR"/>
              </w:rPr>
              <w:t>. New York i London: W. W. Norton &amp; Company, Inc., 1999.</w:t>
            </w:r>
          </w:p>
          <w:p w14:paraId="2910DD85" w14:textId="77777777" w:rsidR="005005C3" w:rsidRPr="00DF4CE5" w:rsidRDefault="005005C3" w:rsidP="005005C3">
            <w:pPr>
              <w:spacing w:after="0" w:line="240" w:lineRule="atLeast"/>
              <w:jc w:val="both"/>
              <w:rPr>
                <w:rFonts w:ascii="Cambria" w:eastAsia="Calibri" w:hAnsi="Cambria" w:cs="Calibri"/>
                <w:lang w:val="hr-HR"/>
              </w:rPr>
            </w:pPr>
            <w:r w:rsidRPr="00DF4CE5">
              <w:rPr>
                <w:rFonts w:ascii="Cambria" w:eastAsia="Calibri" w:hAnsi="Cambria" w:cs="Calibri"/>
                <w:lang w:val="hr-HR"/>
              </w:rPr>
              <w:t xml:space="preserve">7. </w:t>
            </w:r>
            <w:proofErr w:type="spellStart"/>
            <w:r w:rsidRPr="00DF4CE5">
              <w:rPr>
                <w:rFonts w:ascii="Cambria" w:eastAsia="Calibri" w:hAnsi="Cambria" w:cs="Calibri"/>
                <w:lang w:val="hr-HR"/>
              </w:rPr>
              <w:t>Thorough</w:t>
            </w:r>
            <w:proofErr w:type="spellEnd"/>
            <w:r w:rsidRPr="00DF4CE5">
              <w:rPr>
                <w:rFonts w:ascii="Cambria" w:eastAsia="Calibri" w:hAnsi="Cambria" w:cs="Calibri"/>
                <w:lang w:val="hr-HR"/>
              </w:rPr>
              <w:t xml:space="preserve">, D.R. </w:t>
            </w:r>
            <w:proofErr w:type="spellStart"/>
            <w:r w:rsidRPr="00DF4CE5">
              <w:rPr>
                <w:rFonts w:ascii="Cambria" w:eastAsia="Calibri" w:hAnsi="Cambria" w:cs="Calibri"/>
                <w:lang w:val="hr-HR"/>
              </w:rPr>
              <w:t>The</w:t>
            </w:r>
            <w:proofErr w:type="spellEnd"/>
            <w:r w:rsidRPr="00DF4CE5">
              <w:rPr>
                <w:rFonts w:ascii="Cambria" w:eastAsia="Calibri" w:hAnsi="Cambria" w:cs="Calibri"/>
                <w:lang w:val="hr-HR"/>
              </w:rPr>
              <w:t xml:space="preserve"> </w:t>
            </w:r>
            <w:proofErr w:type="spellStart"/>
            <w:r w:rsidRPr="00DF4CE5">
              <w:rPr>
                <w:rFonts w:ascii="Cambria" w:eastAsia="Calibri" w:hAnsi="Cambria" w:cs="Calibri"/>
                <w:lang w:val="hr-HR"/>
              </w:rPr>
              <w:t>nursery</w:t>
            </w:r>
            <w:proofErr w:type="spellEnd"/>
            <w:r w:rsidRPr="00DF4CE5">
              <w:rPr>
                <w:rFonts w:ascii="Cambria" w:eastAsia="Calibri" w:hAnsi="Cambria" w:cs="Calibri"/>
                <w:lang w:val="hr-HR"/>
              </w:rPr>
              <w:t xml:space="preserve"> </w:t>
            </w:r>
            <w:proofErr w:type="spellStart"/>
            <w:r w:rsidRPr="00DF4CE5">
              <w:rPr>
                <w:rFonts w:ascii="Cambria" w:eastAsia="Calibri" w:hAnsi="Cambria" w:cs="Calibri"/>
                <w:lang w:val="hr-HR"/>
              </w:rPr>
              <w:t>rhymes</w:t>
            </w:r>
            <w:proofErr w:type="spellEnd"/>
            <w:r w:rsidRPr="00DF4CE5">
              <w:rPr>
                <w:rFonts w:ascii="Cambria" w:eastAsia="Calibri" w:hAnsi="Cambria" w:cs="Calibri"/>
                <w:lang w:val="hr-HR"/>
              </w:rPr>
              <w:t xml:space="preserve"> </w:t>
            </w:r>
            <w:proofErr w:type="spellStart"/>
            <w:r w:rsidRPr="00DF4CE5">
              <w:rPr>
                <w:rFonts w:ascii="Cambria" w:eastAsia="Calibri" w:hAnsi="Cambria" w:cs="Calibri"/>
                <w:lang w:val="hr-HR"/>
              </w:rPr>
              <w:t>of</w:t>
            </w:r>
            <w:proofErr w:type="spellEnd"/>
            <w:r w:rsidRPr="00DF4CE5">
              <w:rPr>
                <w:rFonts w:ascii="Cambria" w:eastAsia="Calibri" w:hAnsi="Cambria" w:cs="Calibri"/>
                <w:lang w:val="hr-HR"/>
              </w:rPr>
              <w:t xml:space="preserve"> </w:t>
            </w:r>
            <w:proofErr w:type="spellStart"/>
            <w:r w:rsidRPr="00DF4CE5">
              <w:rPr>
                <w:rFonts w:ascii="Cambria" w:eastAsia="Calibri" w:hAnsi="Cambria" w:cs="Calibri"/>
                <w:lang w:val="hr-HR"/>
              </w:rPr>
              <w:t>dreamland</w:t>
            </w:r>
            <w:proofErr w:type="spellEnd"/>
            <w:r w:rsidRPr="00DF4CE5">
              <w:rPr>
                <w:rFonts w:ascii="Cambria" w:eastAsia="Calibri" w:hAnsi="Cambria" w:cs="Calibri"/>
                <w:lang w:val="hr-HR"/>
              </w:rPr>
              <w:t xml:space="preserve">. Devon: </w:t>
            </w:r>
            <w:proofErr w:type="spellStart"/>
            <w:r w:rsidRPr="00DF4CE5">
              <w:rPr>
                <w:rFonts w:ascii="Cambria" w:eastAsia="Calibri" w:hAnsi="Cambria" w:cs="Calibri"/>
                <w:lang w:val="hr-HR"/>
              </w:rPr>
              <w:t>Bluebell</w:t>
            </w:r>
            <w:proofErr w:type="spellEnd"/>
            <w:r w:rsidRPr="00DF4CE5">
              <w:rPr>
                <w:rFonts w:ascii="Cambria" w:eastAsia="Calibri" w:hAnsi="Cambria" w:cs="Calibri"/>
                <w:lang w:val="hr-HR"/>
              </w:rPr>
              <w:t xml:space="preserve"> Lane, 1995.</w:t>
            </w:r>
          </w:p>
          <w:p w14:paraId="643529B0" w14:textId="54761F83" w:rsidR="005005C3" w:rsidRPr="00DF4CE5" w:rsidRDefault="005005C3" w:rsidP="005005C3">
            <w:pPr>
              <w:spacing w:after="0" w:line="240" w:lineRule="atLeast"/>
              <w:jc w:val="both"/>
              <w:rPr>
                <w:rFonts w:ascii="Cambria" w:eastAsia="Calibri" w:hAnsi="Cambria" w:cs="Calibri"/>
                <w:lang w:val="hr-HR"/>
              </w:rPr>
            </w:pPr>
            <w:r w:rsidRPr="00DF4CE5">
              <w:rPr>
                <w:rFonts w:ascii="Cambria" w:eastAsia="Calibri" w:hAnsi="Cambria" w:cs="Calibri"/>
                <w:lang w:val="hr-HR"/>
              </w:rPr>
              <w:t xml:space="preserve">8. </w:t>
            </w:r>
            <w:proofErr w:type="spellStart"/>
            <w:r w:rsidRPr="00DF4CE5">
              <w:rPr>
                <w:rFonts w:ascii="Cambria" w:eastAsia="Calibri" w:hAnsi="Cambria" w:cs="Calibri"/>
                <w:lang w:val="hr-HR"/>
              </w:rPr>
              <w:t>Zipes</w:t>
            </w:r>
            <w:proofErr w:type="spellEnd"/>
            <w:r w:rsidRPr="00DF4CE5">
              <w:rPr>
                <w:rFonts w:ascii="Cambria" w:eastAsia="Calibri" w:hAnsi="Cambria" w:cs="Calibri"/>
                <w:lang w:val="hr-HR"/>
              </w:rPr>
              <w:t xml:space="preserve">, J. </w:t>
            </w:r>
            <w:proofErr w:type="spellStart"/>
            <w:r w:rsidRPr="00DF4CE5">
              <w:rPr>
                <w:rFonts w:ascii="Cambria" w:eastAsia="Calibri" w:hAnsi="Cambria" w:cs="Calibri"/>
                <w:lang w:val="hr-HR"/>
              </w:rPr>
              <w:t>When</w:t>
            </w:r>
            <w:proofErr w:type="spellEnd"/>
            <w:r w:rsidRPr="00DF4CE5">
              <w:rPr>
                <w:rFonts w:ascii="Cambria" w:eastAsia="Calibri" w:hAnsi="Cambria" w:cs="Calibri"/>
                <w:lang w:val="hr-HR"/>
              </w:rPr>
              <w:t xml:space="preserve"> </w:t>
            </w:r>
            <w:proofErr w:type="spellStart"/>
            <w:r w:rsidRPr="00DF4CE5">
              <w:rPr>
                <w:rFonts w:ascii="Cambria" w:eastAsia="Calibri" w:hAnsi="Cambria" w:cs="Calibri"/>
                <w:lang w:val="hr-HR"/>
              </w:rPr>
              <w:t>dreams</w:t>
            </w:r>
            <w:proofErr w:type="spellEnd"/>
            <w:r w:rsidRPr="00DF4CE5">
              <w:rPr>
                <w:rFonts w:ascii="Cambria" w:eastAsia="Calibri" w:hAnsi="Cambria" w:cs="Calibri"/>
                <w:lang w:val="hr-HR"/>
              </w:rPr>
              <w:t xml:space="preserve"> </w:t>
            </w:r>
            <w:proofErr w:type="spellStart"/>
            <w:r w:rsidRPr="00DF4CE5">
              <w:rPr>
                <w:rFonts w:ascii="Cambria" w:eastAsia="Calibri" w:hAnsi="Cambria" w:cs="Calibri"/>
                <w:lang w:val="hr-HR"/>
              </w:rPr>
              <w:t>came</w:t>
            </w:r>
            <w:proofErr w:type="spellEnd"/>
            <w:r w:rsidRPr="00DF4CE5">
              <w:rPr>
                <w:rFonts w:ascii="Cambria" w:eastAsia="Calibri" w:hAnsi="Cambria" w:cs="Calibri"/>
                <w:lang w:val="hr-HR"/>
              </w:rPr>
              <w:t xml:space="preserve"> </w:t>
            </w:r>
            <w:proofErr w:type="spellStart"/>
            <w:r w:rsidRPr="00DF4CE5">
              <w:rPr>
                <w:rFonts w:ascii="Cambria" w:eastAsia="Calibri" w:hAnsi="Cambria" w:cs="Calibri"/>
                <w:lang w:val="hr-HR"/>
              </w:rPr>
              <w:t>true</w:t>
            </w:r>
            <w:proofErr w:type="spellEnd"/>
            <w:r w:rsidRPr="00DF4CE5">
              <w:rPr>
                <w:rFonts w:ascii="Cambria" w:eastAsia="Calibri" w:hAnsi="Cambria" w:cs="Calibri"/>
                <w:lang w:val="hr-HR"/>
              </w:rPr>
              <w:t xml:space="preserve"> – </w:t>
            </w:r>
            <w:proofErr w:type="spellStart"/>
            <w:r w:rsidRPr="00DF4CE5">
              <w:rPr>
                <w:rFonts w:ascii="Cambria" w:eastAsia="Calibri" w:hAnsi="Cambria" w:cs="Calibri"/>
                <w:lang w:val="hr-HR"/>
              </w:rPr>
              <w:t>classical</w:t>
            </w:r>
            <w:proofErr w:type="spellEnd"/>
            <w:r w:rsidRPr="00DF4CE5">
              <w:rPr>
                <w:rFonts w:ascii="Cambria" w:eastAsia="Calibri" w:hAnsi="Cambria" w:cs="Calibri"/>
                <w:lang w:val="hr-HR"/>
              </w:rPr>
              <w:t xml:space="preserve"> </w:t>
            </w:r>
            <w:proofErr w:type="spellStart"/>
            <w:r w:rsidRPr="00DF4CE5">
              <w:rPr>
                <w:rFonts w:ascii="Cambria" w:eastAsia="Calibri" w:hAnsi="Cambria" w:cs="Calibri"/>
                <w:lang w:val="hr-HR"/>
              </w:rPr>
              <w:t>fairy</w:t>
            </w:r>
            <w:proofErr w:type="spellEnd"/>
            <w:r w:rsidRPr="00DF4CE5">
              <w:rPr>
                <w:rFonts w:ascii="Cambria" w:eastAsia="Calibri" w:hAnsi="Cambria" w:cs="Calibri"/>
                <w:lang w:val="hr-HR"/>
              </w:rPr>
              <w:t xml:space="preserve"> </w:t>
            </w:r>
            <w:proofErr w:type="spellStart"/>
            <w:r w:rsidRPr="00DF4CE5">
              <w:rPr>
                <w:rFonts w:ascii="Cambria" w:eastAsia="Calibri" w:hAnsi="Cambria" w:cs="Calibri"/>
                <w:lang w:val="hr-HR"/>
              </w:rPr>
              <w:t>tales</w:t>
            </w:r>
            <w:proofErr w:type="spellEnd"/>
            <w:r w:rsidRPr="00DF4CE5">
              <w:rPr>
                <w:rFonts w:ascii="Cambria" w:eastAsia="Calibri" w:hAnsi="Cambria" w:cs="Calibri"/>
                <w:lang w:val="hr-HR"/>
              </w:rPr>
              <w:t xml:space="preserve"> </w:t>
            </w:r>
            <w:proofErr w:type="spellStart"/>
            <w:r w:rsidRPr="00DF4CE5">
              <w:rPr>
                <w:rFonts w:ascii="Cambria" w:eastAsia="Calibri" w:hAnsi="Cambria" w:cs="Calibri"/>
                <w:lang w:val="hr-HR"/>
              </w:rPr>
              <w:t>and</w:t>
            </w:r>
            <w:proofErr w:type="spellEnd"/>
            <w:r w:rsidRPr="00DF4CE5">
              <w:rPr>
                <w:rFonts w:ascii="Cambria" w:eastAsia="Calibri" w:hAnsi="Cambria" w:cs="Calibri"/>
                <w:lang w:val="hr-HR"/>
              </w:rPr>
              <w:t xml:space="preserve"> </w:t>
            </w:r>
            <w:proofErr w:type="spellStart"/>
            <w:r w:rsidRPr="00DF4CE5">
              <w:rPr>
                <w:rFonts w:ascii="Cambria" w:eastAsia="Calibri" w:hAnsi="Cambria" w:cs="Calibri"/>
                <w:lang w:val="hr-HR"/>
              </w:rPr>
              <w:t>their</w:t>
            </w:r>
            <w:proofErr w:type="spellEnd"/>
            <w:r w:rsidRPr="00DF4CE5">
              <w:rPr>
                <w:rFonts w:ascii="Cambria" w:eastAsia="Calibri" w:hAnsi="Cambria" w:cs="Calibri"/>
                <w:lang w:val="hr-HR"/>
              </w:rPr>
              <w:t xml:space="preserve"> </w:t>
            </w:r>
            <w:proofErr w:type="spellStart"/>
            <w:r w:rsidRPr="00DF4CE5">
              <w:rPr>
                <w:rFonts w:ascii="Cambria" w:eastAsia="Calibri" w:hAnsi="Cambria" w:cs="Calibri"/>
                <w:lang w:val="hr-HR"/>
              </w:rPr>
              <w:t>tradition</w:t>
            </w:r>
            <w:proofErr w:type="spellEnd"/>
            <w:r w:rsidRPr="00DF4CE5">
              <w:rPr>
                <w:rFonts w:ascii="Cambria" w:eastAsia="Calibri" w:hAnsi="Cambria" w:cs="Calibri"/>
                <w:lang w:val="hr-HR"/>
              </w:rPr>
              <w:t xml:space="preserve">. London i New York: </w:t>
            </w:r>
            <w:proofErr w:type="spellStart"/>
            <w:r w:rsidRPr="00DF4CE5">
              <w:rPr>
                <w:rFonts w:ascii="Cambria" w:eastAsia="Calibri" w:hAnsi="Cambria" w:cs="Calibri"/>
                <w:lang w:val="hr-HR"/>
              </w:rPr>
              <w:t>Routledge</w:t>
            </w:r>
            <w:proofErr w:type="spellEnd"/>
            <w:r w:rsidRPr="00DF4CE5">
              <w:rPr>
                <w:rFonts w:ascii="Cambria" w:eastAsia="Calibri" w:hAnsi="Cambria" w:cs="Calibri"/>
                <w:lang w:val="hr-HR"/>
              </w:rPr>
              <w:t>, 2007.</w:t>
            </w:r>
          </w:p>
          <w:p w14:paraId="668D42E4" w14:textId="77777777" w:rsidR="005005C3" w:rsidRPr="00DF4CE5" w:rsidRDefault="005005C3" w:rsidP="005005C3">
            <w:pPr>
              <w:spacing w:after="0" w:line="240" w:lineRule="atLeast"/>
              <w:jc w:val="both"/>
              <w:rPr>
                <w:rFonts w:ascii="Cambria" w:eastAsia="Calibri" w:hAnsi="Cambria" w:cs="Calibri"/>
                <w:lang w:val="hr-HR"/>
              </w:rPr>
            </w:pPr>
            <w:r w:rsidRPr="00DF4CE5">
              <w:rPr>
                <w:rFonts w:ascii="Cambria" w:eastAsia="Calibri" w:hAnsi="Cambria" w:cs="Calibri"/>
                <w:lang w:val="hr-HR"/>
              </w:rPr>
              <w:t>Priručna:</w:t>
            </w:r>
          </w:p>
          <w:p w14:paraId="00220006" w14:textId="5C4336DA" w:rsidR="005005C3" w:rsidRPr="00DF4CE5" w:rsidRDefault="005005C3" w:rsidP="005005C3">
            <w:pPr>
              <w:spacing w:after="0" w:line="240" w:lineRule="atLeast"/>
              <w:jc w:val="both"/>
              <w:rPr>
                <w:rFonts w:ascii="Cambria" w:eastAsia="Calibri" w:hAnsi="Cambria" w:cs="Calibri"/>
                <w:lang w:val="hr-HR"/>
              </w:rPr>
            </w:pPr>
            <w:r w:rsidRPr="00DF4CE5">
              <w:rPr>
                <w:rFonts w:ascii="Cambria" w:eastAsia="Calibri" w:hAnsi="Cambria" w:cs="Calibri"/>
                <w:lang w:val="hr-HR"/>
              </w:rPr>
              <w:t xml:space="preserve">1. Carpenter, H., </w:t>
            </w:r>
            <w:proofErr w:type="spellStart"/>
            <w:r w:rsidRPr="00DF4CE5">
              <w:rPr>
                <w:rFonts w:ascii="Cambria" w:eastAsia="Calibri" w:hAnsi="Cambria" w:cs="Calibri"/>
                <w:lang w:val="hr-HR"/>
              </w:rPr>
              <w:t>Prichard</w:t>
            </w:r>
            <w:proofErr w:type="spellEnd"/>
            <w:r w:rsidRPr="00DF4CE5">
              <w:rPr>
                <w:rFonts w:ascii="Cambria" w:eastAsia="Calibri" w:hAnsi="Cambria" w:cs="Calibri"/>
                <w:lang w:val="hr-HR"/>
              </w:rPr>
              <w:t xml:space="preserve">, M. </w:t>
            </w:r>
            <w:proofErr w:type="spellStart"/>
            <w:r w:rsidRPr="00DF4CE5">
              <w:rPr>
                <w:rFonts w:ascii="Cambria" w:eastAsia="Calibri" w:hAnsi="Cambria" w:cs="Calibri"/>
                <w:lang w:val="hr-HR"/>
              </w:rPr>
              <w:t>The</w:t>
            </w:r>
            <w:proofErr w:type="spellEnd"/>
            <w:r w:rsidRPr="00DF4CE5">
              <w:rPr>
                <w:rFonts w:ascii="Cambria" w:eastAsia="Calibri" w:hAnsi="Cambria" w:cs="Calibri"/>
                <w:lang w:val="hr-HR"/>
              </w:rPr>
              <w:t xml:space="preserve"> Oxford </w:t>
            </w:r>
            <w:proofErr w:type="spellStart"/>
            <w:r w:rsidRPr="00DF4CE5">
              <w:rPr>
                <w:rFonts w:ascii="Cambria" w:eastAsia="Calibri" w:hAnsi="Cambria" w:cs="Calibri"/>
                <w:lang w:val="hr-HR"/>
              </w:rPr>
              <w:t>Companion</w:t>
            </w:r>
            <w:proofErr w:type="spellEnd"/>
            <w:r w:rsidRPr="00DF4CE5">
              <w:rPr>
                <w:rFonts w:ascii="Cambria" w:eastAsia="Calibri" w:hAnsi="Cambria" w:cs="Calibri"/>
                <w:lang w:val="hr-HR"/>
              </w:rPr>
              <w:t xml:space="preserve"> to </w:t>
            </w:r>
            <w:proofErr w:type="spellStart"/>
            <w:r w:rsidRPr="00DF4CE5">
              <w:rPr>
                <w:rFonts w:ascii="Cambria" w:eastAsia="Calibri" w:hAnsi="Cambria" w:cs="Calibri"/>
                <w:lang w:val="hr-HR"/>
              </w:rPr>
              <w:t>Children's</w:t>
            </w:r>
            <w:proofErr w:type="spellEnd"/>
            <w:r w:rsidRPr="00DF4CE5">
              <w:rPr>
                <w:rFonts w:ascii="Cambria" w:eastAsia="Calibri" w:hAnsi="Cambria" w:cs="Calibri"/>
                <w:lang w:val="hr-HR"/>
              </w:rPr>
              <w:t xml:space="preserve"> Literature. Oxford i New York: Oxford University Press, 1999.</w:t>
            </w:r>
          </w:p>
        </w:tc>
      </w:tr>
    </w:tbl>
    <w:p w14:paraId="49E3C2D6" w14:textId="77777777" w:rsidR="00EB75E1" w:rsidRPr="00DF4CE5" w:rsidRDefault="00EB75E1" w:rsidP="008B34AF">
      <w:pPr>
        <w:jc w:val="both"/>
        <w:rPr>
          <w:rFonts w:ascii="Cambria" w:hAnsi="Cambria"/>
          <w:lang w:val="hr-HR"/>
        </w:rPr>
      </w:pPr>
    </w:p>
    <w:p w14:paraId="41B67072" w14:textId="77777777" w:rsidR="004A100E" w:rsidRPr="00DF4CE5" w:rsidRDefault="004A100E" w:rsidP="008B34AF">
      <w:pPr>
        <w:jc w:val="both"/>
        <w:rPr>
          <w:rFonts w:ascii="Cambria" w:hAnsi="Cambria"/>
          <w:lang w:val="hr-HR"/>
        </w:rPr>
      </w:pPr>
    </w:p>
    <w:p w14:paraId="0F04A40D" w14:textId="77777777" w:rsidR="004A100E" w:rsidRPr="00DF4CE5" w:rsidRDefault="004A100E" w:rsidP="008B34AF">
      <w:pPr>
        <w:jc w:val="both"/>
        <w:rPr>
          <w:rFonts w:ascii="Cambria" w:hAnsi="Cambria"/>
          <w:lang w:val="hr-HR"/>
        </w:rPr>
      </w:pPr>
    </w:p>
    <w:p w14:paraId="40164A02" w14:textId="77777777" w:rsidR="004A100E" w:rsidRPr="00DF4CE5" w:rsidRDefault="004A100E" w:rsidP="008B34AF">
      <w:pPr>
        <w:jc w:val="both"/>
        <w:rPr>
          <w:rFonts w:ascii="Cambria" w:hAnsi="Cambria"/>
          <w:lang w:val="hr-HR"/>
        </w:rPr>
      </w:pPr>
    </w:p>
    <w:p w14:paraId="32220CEA" w14:textId="77777777" w:rsidR="004A100E" w:rsidRPr="00DF4CE5" w:rsidRDefault="004A100E" w:rsidP="008B34AF">
      <w:pPr>
        <w:jc w:val="both"/>
        <w:rPr>
          <w:rFonts w:ascii="Cambria" w:hAnsi="Cambria"/>
          <w:lang w:val="hr-HR"/>
        </w:rPr>
      </w:pPr>
    </w:p>
    <w:p w14:paraId="5F562CD8" w14:textId="77777777" w:rsidR="004A100E" w:rsidRPr="00DF4CE5" w:rsidRDefault="004A100E" w:rsidP="008B34AF">
      <w:pPr>
        <w:jc w:val="both"/>
        <w:rPr>
          <w:rFonts w:ascii="Cambria" w:hAnsi="Cambria"/>
          <w:lang w:val="hr-HR"/>
        </w:rPr>
      </w:pPr>
    </w:p>
    <w:p w14:paraId="08035162" w14:textId="77777777" w:rsidR="004A100E" w:rsidRPr="00DF4CE5" w:rsidRDefault="004A100E" w:rsidP="008B34AF">
      <w:pPr>
        <w:jc w:val="both"/>
        <w:rPr>
          <w:rFonts w:ascii="Cambria" w:hAnsi="Cambria"/>
          <w:lang w:val="hr-HR"/>
        </w:rPr>
      </w:pPr>
    </w:p>
    <w:p w14:paraId="0255DA32" w14:textId="77777777" w:rsidR="004A100E" w:rsidRPr="00DF4CE5" w:rsidRDefault="004A100E" w:rsidP="008B34AF">
      <w:pPr>
        <w:jc w:val="both"/>
        <w:rPr>
          <w:rFonts w:ascii="Cambria" w:hAnsi="Cambria"/>
          <w:lang w:val="hr-HR"/>
        </w:rPr>
      </w:pPr>
    </w:p>
    <w:p w14:paraId="32A06F7B" w14:textId="77777777" w:rsidR="004A100E" w:rsidRPr="00DF4CE5" w:rsidRDefault="004A100E" w:rsidP="008B34AF">
      <w:pPr>
        <w:jc w:val="both"/>
        <w:rPr>
          <w:rFonts w:ascii="Cambria" w:hAnsi="Cambria"/>
          <w:lang w:val="hr-HR"/>
        </w:rPr>
      </w:pPr>
    </w:p>
    <w:p w14:paraId="4FE187D1" w14:textId="77777777" w:rsidR="004A100E" w:rsidRPr="00DF4CE5" w:rsidRDefault="004A100E" w:rsidP="008B34AF">
      <w:pPr>
        <w:jc w:val="both"/>
        <w:rPr>
          <w:rFonts w:ascii="Cambria" w:hAnsi="Cambria"/>
          <w:lang w:val="hr-HR"/>
        </w:rPr>
      </w:pPr>
    </w:p>
    <w:p w14:paraId="061E1D4E" w14:textId="77777777" w:rsidR="004A100E" w:rsidRPr="00DF4CE5" w:rsidRDefault="004A100E" w:rsidP="008B34AF">
      <w:pPr>
        <w:jc w:val="both"/>
        <w:rPr>
          <w:rFonts w:ascii="Cambria" w:hAnsi="Cambria"/>
          <w:lang w:val="hr-HR"/>
        </w:rPr>
      </w:pPr>
    </w:p>
    <w:p w14:paraId="6D9401BA" w14:textId="4259E782" w:rsidR="004A100E" w:rsidRPr="00DF4CE5" w:rsidRDefault="00F710EA" w:rsidP="00830554">
      <w:pPr>
        <w:rPr>
          <w:rFonts w:ascii="Cambria" w:hAnsi="Cambria"/>
          <w:lang w:val="hr-HR"/>
        </w:rPr>
      </w:pPr>
      <w:r>
        <w:rPr>
          <w:rFonts w:ascii="Cambria" w:hAnsi="Cambria"/>
          <w:lang w:val="hr-HR"/>
        </w:rPr>
        <w:br w:type="page"/>
      </w:r>
    </w:p>
    <w:tbl>
      <w:tblPr>
        <w:tblW w:w="5000" w:type="pct"/>
        <w:tblLayout w:type="fixed"/>
        <w:tblCellMar>
          <w:left w:w="0" w:type="dxa"/>
          <w:right w:w="0" w:type="dxa"/>
        </w:tblCellMar>
        <w:tblLook w:val="0600" w:firstRow="0" w:lastRow="0" w:firstColumn="0" w:lastColumn="0" w:noHBand="1" w:noVBand="1"/>
      </w:tblPr>
      <w:tblGrid>
        <w:gridCol w:w="2814"/>
        <w:gridCol w:w="2668"/>
        <w:gridCol w:w="105"/>
        <w:gridCol w:w="1167"/>
        <w:gridCol w:w="297"/>
        <w:gridCol w:w="470"/>
        <w:gridCol w:w="1085"/>
        <w:gridCol w:w="1414"/>
      </w:tblGrid>
      <w:tr w:rsidR="00491856" w:rsidRPr="00DF4CE5" w14:paraId="0A28067B" w14:textId="77777777" w:rsidTr="00491856">
        <w:tc>
          <w:tcPr>
            <w:tcW w:w="9340"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0842FBC" w14:textId="77777777" w:rsidR="00491856" w:rsidRPr="00DF4CE5" w:rsidRDefault="00491856" w:rsidP="00491856">
            <w:pPr>
              <w:spacing w:after="0" w:line="240" w:lineRule="auto"/>
              <w:jc w:val="right"/>
              <w:rPr>
                <w:rFonts w:ascii="Cambria" w:eastAsia="Times New Roman" w:hAnsi="Cambria" w:cs="Calibri"/>
                <w:b/>
                <w:lang w:val="hr-HR"/>
              </w:rPr>
            </w:pPr>
            <w:r w:rsidRPr="00DF4CE5">
              <w:rPr>
                <w:rFonts w:ascii="Cambria" w:eastAsia="Times New Roman" w:hAnsi="Cambria" w:cs="Calibri"/>
                <w:b/>
                <w:lang w:val="hr-HR"/>
              </w:rPr>
              <w:lastRenderedPageBreak/>
              <w:t>IZVEDBENI PLAN NASTAVE KOLEGIJA</w:t>
            </w:r>
          </w:p>
        </w:tc>
      </w:tr>
      <w:tr w:rsidR="00491856" w:rsidRPr="00DF4CE5" w14:paraId="189C6E65" w14:textId="77777777" w:rsidTr="00491856">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C8D6597" w14:textId="77777777" w:rsidR="00491856" w:rsidRPr="00DF4CE5" w:rsidRDefault="00491856" w:rsidP="00491856">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Kod i naziv kolegija</w:t>
            </w:r>
          </w:p>
        </w:tc>
        <w:tc>
          <w:tcPr>
            <w:tcW w:w="671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77F2195" w14:textId="77777777" w:rsidR="00491856" w:rsidRPr="00DF4CE5" w:rsidRDefault="00491856" w:rsidP="00491856">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169181 </w:t>
            </w:r>
          </w:p>
          <w:p w14:paraId="03380ECD" w14:textId="77777777" w:rsidR="00491856" w:rsidRPr="00DF4CE5" w:rsidRDefault="00491856" w:rsidP="00491856">
            <w:pPr>
              <w:spacing w:after="0" w:line="240" w:lineRule="auto"/>
              <w:jc w:val="both"/>
              <w:rPr>
                <w:rFonts w:ascii="Cambria" w:eastAsia="Times New Roman" w:hAnsi="Cambria" w:cs="Calibri"/>
                <w:b/>
                <w:lang w:val="hr-HR"/>
              </w:rPr>
            </w:pPr>
            <w:r w:rsidRPr="00DF4CE5">
              <w:rPr>
                <w:rFonts w:ascii="Cambria" w:eastAsia="Times New Roman" w:hAnsi="Cambria" w:cs="Calibri"/>
                <w:lang w:val="hr-HR"/>
              </w:rPr>
              <w:t>Govorne vježbe</w:t>
            </w:r>
            <w:r w:rsidRPr="00DF4CE5">
              <w:rPr>
                <w:rFonts w:ascii="Cambria" w:eastAsia="Times New Roman" w:hAnsi="Cambria" w:cs="Calibri"/>
                <w:b/>
                <w:lang w:val="hr-HR"/>
              </w:rPr>
              <w:t xml:space="preserve">  </w:t>
            </w:r>
            <w:r w:rsidRPr="00DF4CE5">
              <w:rPr>
                <w:rFonts w:ascii="Cambria" w:eastAsia="Times New Roman" w:hAnsi="Cambria" w:cs="Calibri"/>
                <w:lang w:val="hr-HR"/>
              </w:rPr>
              <w:t>IV</w:t>
            </w:r>
            <w:r w:rsidRPr="00DF4CE5">
              <w:rPr>
                <w:rFonts w:ascii="Cambria" w:eastAsia="Times New Roman" w:hAnsi="Cambria" w:cs="Calibri"/>
                <w:b/>
                <w:lang w:val="hr-HR"/>
              </w:rPr>
              <w:t xml:space="preserve"> </w:t>
            </w:r>
          </w:p>
        </w:tc>
      </w:tr>
      <w:tr w:rsidR="00491856" w:rsidRPr="00F710EA" w14:paraId="40206E61" w14:textId="77777777" w:rsidTr="00491856">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443DAB5" w14:textId="77777777" w:rsidR="00491856" w:rsidRPr="00DF4CE5" w:rsidRDefault="00491856" w:rsidP="00491856">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Nastavnica </w:t>
            </w:r>
          </w:p>
          <w:p w14:paraId="7A2A1D34" w14:textId="56EC06A6" w:rsidR="00491856" w:rsidRPr="00DF4CE5" w:rsidRDefault="00491856" w:rsidP="00491856">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Suradni</w:t>
            </w:r>
            <w:r w:rsidR="00F710EA">
              <w:rPr>
                <w:rFonts w:ascii="Cambria" w:eastAsia="Times New Roman" w:hAnsi="Cambria" w:cs="Calibri"/>
                <w:lang w:val="hr-HR"/>
              </w:rPr>
              <w:t>k</w:t>
            </w:r>
          </w:p>
        </w:tc>
        <w:tc>
          <w:tcPr>
            <w:tcW w:w="671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CAF50B9" w14:textId="24A8E989" w:rsidR="00491856" w:rsidRPr="00DF4CE5" w:rsidRDefault="00F710EA" w:rsidP="00491856">
            <w:pPr>
              <w:spacing w:after="0" w:line="240" w:lineRule="auto"/>
              <w:jc w:val="both"/>
              <w:rPr>
                <w:rFonts w:ascii="Cambria" w:eastAsia="Times New Roman" w:hAnsi="Cambria" w:cs="Calibri"/>
                <w:lang w:val="hr-HR"/>
              </w:rPr>
            </w:pPr>
            <w:hyperlink r:id="rId136" w:history="1">
              <w:r>
                <w:rPr>
                  <w:rFonts w:ascii="Cambria" w:eastAsia="Times New Roman" w:hAnsi="Cambria" w:cs="Calibri"/>
                  <w:color w:val="0000FF"/>
                  <w:u w:val="single"/>
                  <w:lang w:val="hr-HR"/>
                </w:rPr>
                <w:t>P</w:t>
              </w:r>
              <w:r w:rsidR="00491856" w:rsidRPr="00DF4CE5">
                <w:rPr>
                  <w:rFonts w:ascii="Cambria" w:eastAsia="Times New Roman" w:hAnsi="Cambria" w:cs="Calibri"/>
                  <w:color w:val="0000FF"/>
                  <w:u w:val="single"/>
                  <w:lang w:val="hr-HR"/>
                </w:rPr>
                <w:t xml:space="preserve">rof. dr. sc. </w:t>
              </w:r>
              <w:proofErr w:type="spellStart"/>
              <w:r w:rsidR="00491856" w:rsidRPr="00DF4CE5">
                <w:rPr>
                  <w:rFonts w:ascii="Cambria" w:eastAsia="Times New Roman" w:hAnsi="Cambria" w:cs="Calibri"/>
                  <w:color w:val="0000FF"/>
                  <w:u w:val="single"/>
                  <w:lang w:val="hr-HR"/>
                </w:rPr>
                <w:t>Moira</w:t>
              </w:r>
              <w:proofErr w:type="spellEnd"/>
              <w:r w:rsidR="00491856" w:rsidRPr="00DF4CE5">
                <w:rPr>
                  <w:rFonts w:ascii="Cambria" w:eastAsia="Times New Roman" w:hAnsi="Cambria" w:cs="Calibri"/>
                  <w:color w:val="0000FF"/>
                  <w:u w:val="single"/>
                  <w:lang w:val="hr-HR"/>
                </w:rPr>
                <w:t xml:space="preserve"> Kostić </w:t>
              </w:r>
              <w:proofErr w:type="spellStart"/>
              <w:r w:rsidR="00491856" w:rsidRPr="00DF4CE5">
                <w:rPr>
                  <w:rFonts w:ascii="Cambria" w:eastAsia="Times New Roman" w:hAnsi="Cambria" w:cs="Calibri"/>
                  <w:color w:val="0000FF"/>
                  <w:u w:val="single"/>
                  <w:lang w:val="hr-HR"/>
                </w:rPr>
                <w:t>Bobanović</w:t>
              </w:r>
              <w:proofErr w:type="spellEnd"/>
            </w:hyperlink>
            <w:r>
              <w:rPr>
                <w:rFonts w:ascii="Cambria" w:eastAsia="Times New Roman" w:hAnsi="Cambria" w:cs="Calibri"/>
                <w:lang w:val="hr-HR"/>
              </w:rPr>
              <w:t xml:space="preserve"> (</w:t>
            </w:r>
            <w:r w:rsidR="00491856" w:rsidRPr="00DF4CE5">
              <w:rPr>
                <w:rFonts w:ascii="Cambria" w:eastAsia="Times New Roman" w:hAnsi="Cambria" w:cs="Calibri"/>
                <w:lang w:val="hr-HR"/>
              </w:rPr>
              <w:t>nositeljica</w:t>
            </w:r>
            <w:r>
              <w:rPr>
                <w:rFonts w:ascii="Cambria" w:eastAsia="Times New Roman" w:hAnsi="Cambria" w:cs="Calibri"/>
                <w:lang w:val="hr-HR"/>
              </w:rPr>
              <w:t>)</w:t>
            </w:r>
            <w:r w:rsidR="00491856" w:rsidRPr="00DF4CE5">
              <w:rPr>
                <w:rFonts w:ascii="Cambria" w:eastAsia="Times New Roman" w:hAnsi="Cambria" w:cs="Calibri"/>
                <w:lang w:val="hr-HR"/>
              </w:rPr>
              <w:t xml:space="preserve"> </w:t>
            </w:r>
          </w:p>
          <w:p w14:paraId="2CB8945D" w14:textId="05C29701" w:rsidR="00491856" w:rsidRPr="00DF4CE5" w:rsidRDefault="005817D8" w:rsidP="00491856">
            <w:pPr>
              <w:spacing w:after="0" w:line="240" w:lineRule="auto"/>
              <w:jc w:val="both"/>
              <w:rPr>
                <w:rFonts w:ascii="Cambria" w:eastAsia="Times New Roman" w:hAnsi="Cambria" w:cs="Calibri"/>
                <w:lang w:val="hr-HR"/>
              </w:rPr>
            </w:pPr>
            <w:hyperlink r:id="rId137" w:history="1">
              <w:r w:rsidRPr="00F710EA">
                <w:rPr>
                  <w:rStyle w:val="Hiperveza"/>
                  <w:rFonts w:ascii="Cambria" w:eastAsia="Times New Roman" w:hAnsi="Cambria" w:cs="Times New Roman"/>
                  <w:lang w:val="hr-HR"/>
                </w:rPr>
                <w:t xml:space="preserve">Ivan </w:t>
              </w:r>
              <w:proofErr w:type="spellStart"/>
              <w:r w:rsidRPr="00F710EA">
                <w:rPr>
                  <w:rStyle w:val="Hiperveza"/>
                  <w:rFonts w:ascii="Cambria" w:eastAsia="Times New Roman" w:hAnsi="Cambria" w:cs="Times New Roman"/>
                  <w:lang w:val="hr-HR"/>
                </w:rPr>
                <w:t>Žufić</w:t>
              </w:r>
              <w:proofErr w:type="spellEnd"/>
              <w:r w:rsidR="00491856" w:rsidRPr="00F710EA">
                <w:rPr>
                  <w:rStyle w:val="Hiperveza"/>
                  <w:rFonts w:ascii="Cambria" w:eastAsia="Times New Roman" w:hAnsi="Cambria" w:cs="Calibri"/>
                  <w:lang w:val="hr-HR"/>
                </w:rPr>
                <w:t xml:space="preserve">, </w:t>
              </w:r>
              <w:r w:rsidRPr="00F710EA">
                <w:rPr>
                  <w:rStyle w:val="Hiperveza"/>
                  <w:rFonts w:ascii="Cambria" w:eastAsia="Times New Roman" w:hAnsi="Cambria" w:cs="Calibri"/>
                  <w:lang w:val="hr-HR"/>
                </w:rPr>
                <w:t>naslovni</w:t>
              </w:r>
              <w:r w:rsidR="00F710EA" w:rsidRPr="00F710EA">
                <w:rPr>
                  <w:rStyle w:val="Hiperveza"/>
                  <w:rFonts w:ascii="Cambria" w:eastAsia="Times New Roman" w:hAnsi="Cambria" w:cs="Calibri"/>
                  <w:lang w:val="hr-HR"/>
                </w:rPr>
                <w:t xml:space="preserve"> pred.</w:t>
              </w:r>
            </w:hyperlink>
            <w:r w:rsidR="00F710EA">
              <w:rPr>
                <w:rFonts w:ascii="Cambria" w:eastAsia="Times New Roman" w:hAnsi="Cambria" w:cs="Calibri"/>
                <w:lang w:val="hr-HR"/>
              </w:rPr>
              <w:t xml:space="preserve"> </w:t>
            </w:r>
          </w:p>
        </w:tc>
      </w:tr>
      <w:tr w:rsidR="00491856" w:rsidRPr="00D0399C" w14:paraId="61065B2B" w14:textId="77777777" w:rsidTr="00491856">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7375ABA" w14:textId="77777777" w:rsidR="00491856" w:rsidRPr="00DF4CE5" w:rsidRDefault="00491856" w:rsidP="00491856">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Studijski program</w:t>
            </w:r>
          </w:p>
        </w:tc>
        <w:tc>
          <w:tcPr>
            <w:tcW w:w="671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1A06317" w14:textId="77777777" w:rsidR="00491856" w:rsidRPr="00DF4CE5" w:rsidRDefault="00491856" w:rsidP="00491856">
            <w:pPr>
              <w:spacing w:after="0" w:line="240" w:lineRule="auto"/>
              <w:jc w:val="both"/>
              <w:rPr>
                <w:rFonts w:ascii="Cambria" w:eastAsia="Times New Roman" w:hAnsi="Cambria" w:cs="Calibri"/>
                <w:lang w:val="hr-HR"/>
              </w:rPr>
            </w:pPr>
            <w:r w:rsidRPr="00DF4CE5">
              <w:rPr>
                <w:rFonts w:ascii="Cambria" w:eastAsia="Calibri" w:hAnsi="Cambria" w:cs="Times New Roman"/>
                <w:lang w:val="hr-HR"/>
              </w:rPr>
              <w:t>Sveučilišni integrirani prijediplomski i diplomski Učiteljski studij na hrvatskom jeziku</w:t>
            </w:r>
          </w:p>
        </w:tc>
      </w:tr>
      <w:tr w:rsidR="00491856" w:rsidRPr="00DF4CE5" w14:paraId="1D7AC661" w14:textId="77777777" w:rsidTr="00491856">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BE47D74" w14:textId="77777777" w:rsidR="00491856" w:rsidRPr="00DF4CE5" w:rsidRDefault="00491856" w:rsidP="00491856">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Vrsta kolegija</w:t>
            </w:r>
          </w:p>
        </w:tc>
        <w:tc>
          <w:tcPr>
            <w:tcW w:w="248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7AD9626" w14:textId="77777777" w:rsidR="00491856" w:rsidRPr="00DF4CE5" w:rsidRDefault="00491856" w:rsidP="00491856">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izborni </w:t>
            </w:r>
          </w:p>
          <w:p w14:paraId="7965DC75" w14:textId="77777777" w:rsidR="00491856" w:rsidRPr="00DF4CE5" w:rsidRDefault="00491856" w:rsidP="00491856">
            <w:pPr>
              <w:spacing w:after="0" w:line="240" w:lineRule="auto"/>
              <w:jc w:val="both"/>
              <w:rPr>
                <w:rFonts w:ascii="Cambria" w:eastAsia="Times New Roman" w:hAnsi="Cambria" w:cs="Calibri"/>
                <w:lang w:val="hr-HR"/>
              </w:rPr>
            </w:pPr>
          </w:p>
        </w:tc>
        <w:tc>
          <w:tcPr>
            <w:tcW w:w="146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53C77E99" w14:textId="77777777" w:rsidR="00491856" w:rsidRPr="00DF4CE5" w:rsidRDefault="00491856" w:rsidP="00491856">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Razina kolegija</w:t>
            </w:r>
          </w:p>
        </w:tc>
        <w:tc>
          <w:tcPr>
            <w:tcW w:w="2767"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750846E" w14:textId="77777777" w:rsidR="00491856" w:rsidRPr="00DF4CE5" w:rsidRDefault="00491856" w:rsidP="00491856">
            <w:pPr>
              <w:spacing w:after="0" w:line="240" w:lineRule="auto"/>
              <w:jc w:val="both"/>
              <w:rPr>
                <w:rFonts w:ascii="Cambria" w:eastAsia="Times New Roman" w:hAnsi="Cambria" w:cs="Calibri"/>
                <w:lang w:val="hr-HR"/>
              </w:rPr>
            </w:pPr>
          </w:p>
          <w:p w14:paraId="56F5496D" w14:textId="77777777" w:rsidR="00491856" w:rsidRPr="00DF4CE5" w:rsidRDefault="00491856" w:rsidP="00491856">
            <w:pPr>
              <w:spacing w:after="0" w:line="240" w:lineRule="auto"/>
              <w:jc w:val="both"/>
              <w:rPr>
                <w:rFonts w:ascii="Cambria" w:eastAsia="Times New Roman" w:hAnsi="Cambria" w:cs="Calibri"/>
                <w:lang w:val="hr-HR"/>
              </w:rPr>
            </w:pPr>
            <w:proofErr w:type="spellStart"/>
            <w:r w:rsidRPr="00DF4CE5">
              <w:rPr>
                <w:rFonts w:ascii="Cambria" w:eastAsia="Times New Roman" w:hAnsi="Cambria" w:cs="Calibri"/>
                <w:lang w:val="it-IT"/>
              </w:rPr>
              <w:t>integrirani</w:t>
            </w:r>
            <w:proofErr w:type="spellEnd"/>
          </w:p>
          <w:p w14:paraId="1B0EAFCB" w14:textId="77777777" w:rsidR="00491856" w:rsidRPr="00DF4CE5" w:rsidRDefault="00491856" w:rsidP="00491856">
            <w:pPr>
              <w:spacing w:after="0" w:line="240" w:lineRule="auto"/>
              <w:jc w:val="both"/>
              <w:rPr>
                <w:rFonts w:ascii="Cambria" w:eastAsia="Times New Roman" w:hAnsi="Cambria" w:cs="Calibri"/>
                <w:lang w:val="hr-HR"/>
              </w:rPr>
            </w:pPr>
          </w:p>
        </w:tc>
      </w:tr>
      <w:tr w:rsidR="00491856" w:rsidRPr="00DF4CE5" w14:paraId="1607A95D" w14:textId="77777777" w:rsidTr="00491856">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A194398" w14:textId="77777777" w:rsidR="00491856" w:rsidRPr="00DF4CE5" w:rsidRDefault="00491856" w:rsidP="00491856">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Semestar</w:t>
            </w:r>
          </w:p>
        </w:tc>
        <w:tc>
          <w:tcPr>
            <w:tcW w:w="248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642D538" w14:textId="2E181BE0" w:rsidR="00491856" w:rsidRPr="00DF4CE5" w:rsidRDefault="00F710EA" w:rsidP="00491856">
            <w:pPr>
              <w:spacing w:after="0" w:line="240" w:lineRule="auto"/>
              <w:jc w:val="both"/>
              <w:rPr>
                <w:rFonts w:ascii="Cambria" w:eastAsia="Times New Roman" w:hAnsi="Cambria" w:cs="Calibri"/>
                <w:lang w:val="hr-HR"/>
              </w:rPr>
            </w:pPr>
            <w:r>
              <w:rPr>
                <w:rFonts w:ascii="Cambria" w:eastAsia="Times New Roman" w:hAnsi="Cambria" w:cs="Calibri"/>
                <w:lang w:val="hr-HR"/>
              </w:rPr>
              <w:t>z</w:t>
            </w:r>
            <w:r w:rsidR="00491856" w:rsidRPr="00DF4CE5">
              <w:rPr>
                <w:rFonts w:ascii="Cambria" w:eastAsia="Times New Roman" w:hAnsi="Cambria" w:cs="Calibri"/>
                <w:lang w:val="hr-HR"/>
              </w:rPr>
              <w:t>imski</w:t>
            </w:r>
          </w:p>
          <w:p w14:paraId="4CFA8542" w14:textId="77777777" w:rsidR="00491856" w:rsidRPr="00DF4CE5" w:rsidRDefault="00491856" w:rsidP="00491856">
            <w:pPr>
              <w:spacing w:after="0" w:line="240" w:lineRule="auto"/>
              <w:jc w:val="both"/>
              <w:rPr>
                <w:rFonts w:ascii="Cambria" w:eastAsia="Times New Roman" w:hAnsi="Cambria" w:cs="Calibri"/>
                <w:lang w:val="hr-HR"/>
              </w:rPr>
            </w:pPr>
          </w:p>
        </w:tc>
        <w:tc>
          <w:tcPr>
            <w:tcW w:w="146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41D70C7E" w14:textId="77777777" w:rsidR="00491856" w:rsidRPr="00DF4CE5" w:rsidRDefault="00491856" w:rsidP="00491856">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Godina studija</w:t>
            </w:r>
          </w:p>
        </w:tc>
        <w:tc>
          <w:tcPr>
            <w:tcW w:w="2767"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2071D9B" w14:textId="77777777" w:rsidR="00491856" w:rsidRPr="00DF4CE5" w:rsidRDefault="00491856" w:rsidP="00491856">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IV.</w:t>
            </w:r>
          </w:p>
        </w:tc>
      </w:tr>
      <w:tr w:rsidR="00491856" w:rsidRPr="00DF4CE5" w14:paraId="7605819D" w14:textId="77777777" w:rsidTr="00491856">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EF9178C" w14:textId="77777777" w:rsidR="00491856" w:rsidRPr="00DF4CE5" w:rsidRDefault="00491856" w:rsidP="00491856">
            <w:pPr>
              <w:spacing w:after="0" w:line="240" w:lineRule="auto"/>
              <w:jc w:val="both"/>
              <w:rPr>
                <w:rFonts w:ascii="Cambria" w:eastAsia="Times New Roman" w:hAnsi="Cambria" w:cs="Calibri"/>
                <w:lang w:val="hr-HR"/>
              </w:rPr>
            </w:pPr>
            <w:proofErr w:type="spellStart"/>
            <w:r w:rsidRPr="00DF4CE5">
              <w:rPr>
                <w:rFonts w:ascii="Cambria" w:eastAsia="Times New Roman" w:hAnsi="Cambria" w:cs="Calibri"/>
              </w:rPr>
              <w:t>Mjesto</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izvođenja</w:t>
            </w:r>
            <w:proofErr w:type="spellEnd"/>
          </w:p>
        </w:tc>
        <w:tc>
          <w:tcPr>
            <w:tcW w:w="248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50929A0" w14:textId="7EF295B2" w:rsidR="00491856" w:rsidRPr="00DF4CE5" w:rsidRDefault="00F710EA" w:rsidP="00491856">
            <w:pPr>
              <w:spacing w:after="0" w:line="240" w:lineRule="auto"/>
              <w:jc w:val="both"/>
              <w:rPr>
                <w:rFonts w:ascii="Cambria" w:eastAsia="Times New Roman" w:hAnsi="Cambria" w:cs="Calibri"/>
                <w:lang w:val="hr-HR"/>
              </w:rPr>
            </w:pPr>
            <w:r>
              <w:rPr>
                <w:rFonts w:ascii="Cambria" w:eastAsia="Times New Roman" w:hAnsi="Cambria" w:cs="Calibri"/>
                <w:lang w:val="hr-HR"/>
              </w:rPr>
              <w:t>u</w:t>
            </w:r>
            <w:r w:rsidR="00491856" w:rsidRPr="00DF4CE5">
              <w:rPr>
                <w:rFonts w:ascii="Cambria" w:eastAsia="Times New Roman" w:hAnsi="Cambria" w:cs="Calibri"/>
                <w:lang w:val="hr-HR"/>
              </w:rPr>
              <w:t>čionica</w:t>
            </w:r>
          </w:p>
        </w:tc>
        <w:tc>
          <w:tcPr>
            <w:tcW w:w="146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7B8EE22C" w14:textId="77777777" w:rsidR="00491856" w:rsidRPr="00DF4CE5" w:rsidRDefault="00491856" w:rsidP="00491856">
            <w:pPr>
              <w:spacing w:after="0" w:line="240" w:lineRule="auto"/>
              <w:jc w:val="both"/>
              <w:rPr>
                <w:rFonts w:ascii="Cambria" w:eastAsia="Times New Roman" w:hAnsi="Cambria" w:cs="Calibri"/>
                <w:lang w:val="hr-HR"/>
              </w:rPr>
            </w:pPr>
            <w:r w:rsidRPr="00DF4CE5">
              <w:rPr>
                <w:rFonts w:ascii="Cambria" w:eastAsia="Times New Roman" w:hAnsi="Cambria" w:cs="Calibri"/>
              </w:rPr>
              <w:t>Jezik</w:t>
            </w:r>
            <w:r w:rsidRPr="00DF4CE5">
              <w:rPr>
                <w:rFonts w:ascii="Cambria" w:eastAsia="Times New Roman" w:hAnsi="Cambria" w:cs="Calibri"/>
                <w:lang w:val="hr-HR"/>
              </w:rPr>
              <w:t xml:space="preserve"> izvođenja (drugi jezici)</w:t>
            </w:r>
          </w:p>
        </w:tc>
        <w:tc>
          <w:tcPr>
            <w:tcW w:w="2767"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387A659" w14:textId="77777777" w:rsidR="00491856" w:rsidRPr="00DF4CE5" w:rsidRDefault="00491856" w:rsidP="00491856">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engleski</w:t>
            </w:r>
          </w:p>
        </w:tc>
      </w:tr>
      <w:tr w:rsidR="00491856" w:rsidRPr="00DF4CE5" w14:paraId="19621970" w14:textId="77777777" w:rsidTr="00491856">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C4A69B5" w14:textId="77777777" w:rsidR="00491856" w:rsidRPr="00DF4CE5" w:rsidRDefault="00491856" w:rsidP="00491856">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Broj ECTS bodova</w:t>
            </w:r>
          </w:p>
        </w:tc>
        <w:tc>
          <w:tcPr>
            <w:tcW w:w="248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DC62064" w14:textId="77777777" w:rsidR="00491856" w:rsidRPr="00DF4CE5" w:rsidRDefault="00491856" w:rsidP="00491856">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2</w:t>
            </w:r>
          </w:p>
        </w:tc>
        <w:tc>
          <w:tcPr>
            <w:tcW w:w="146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14D57BCA" w14:textId="77777777" w:rsidR="00491856" w:rsidRPr="00DF4CE5" w:rsidRDefault="00491856" w:rsidP="00491856">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Broj sati u semestru</w:t>
            </w:r>
          </w:p>
        </w:tc>
        <w:tc>
          <w:tcPr>
            <w:tcW w:w="2767"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CFAB798" w14:textId="2DF8234B" w:rsidR="00491856" w:rsidRPr="00DF4CE5" w:rsidRDefault="00491856" w:rsidP="00491856">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0P – </w:t>
            </w:r>
            <w:r w:rsidR="00F04088" w:rsidRPr="00DF4CE5">
              <w:rPr>
                <w:rFonts w:ascii="Cambria" w:eastAsia="Times New Roman" w:hAnsi="Cambria" w:cs="Calibri"/>
                <w:lang w:val="hr-HR"/>
              </w:rPr>
              <w:t>0S</w:t>
            </w:r>
            <w:r w:rsidRPr="00DF4CE5">
              <w:rPr>
                <w:rFonts w:ascii="Cambria" w:eastAsia="Times New Roman" w:hAnsi="Cambria" w:cs="Calibri"/>
                <w:lang w:val="hr-HR"/>
              </w:rPr>
              <w:t xml:space="preserve"> –</w:t>
            </w:r>
            <w:r w:rsidR="00F04088" w:rsidRPr="00DF4CE5">
              <w:rPr>
                <w:rFonts w:ascii="Cambria" w:eastAsia="Times New Roman" w:hAnsi="Cambria" w:cs="Calibri"/>
                <w:lang w:val="hr-HR"/>
              </w:rPr>
              <w:t>30V</w:t>
            </w:r>
            <w:r w:rsidRPr="00DF4CE5">
              <w:rPr>
                <w:rFonts w:ascii="Cambria" w:eastAsia="Times New Roman" w:hAnsi="Cambria" w:cs="Calibri"/>
                <w:lang w:val="hr-HR"/>
              </w:rPr>
              <w:t xml:space="preserve">  </w:t>
            </w:r>
          </w:p>
        </w:tc>
      </w:tr>
      <w:tr w:rsidR="00491856" w:rsidRPr="00DF4CE5" w14:paraId="5BF188CB" w14:textId="77777777" w:rsidTr="00491856">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376A1A5" w14:textId="77777777" w:rsidR="00491856" w:rsidRPr="00DF4CE5" w:rsidRDefault="00491856" w:rsidP="00491856">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Preduvjeti za upis i za svladavanje</w:t>
            </w:r>
          </w:p>
        </w:tc>
        <w:tc>
          <w:tcPr>
            <w:tcW w:w="671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9242D7A" w14:textId="77777777" w:rsidR="00491856" w:rsidRPr="00DF4CE5" w:rsidRDefault="00491856" w:rsidP="00491856">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Nema preduvjeta za upis.</w:t>
            </w:r>
          </w:p>
        </w:tc>
      </w:tr>
      <w:tr w:rsidR="00491856" w:rsidRPr="00D0399C" w14:paraId="69EEA6EF" w14:textId="77777777" w:rsidTr="00491856">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C19CE07" w14:textId="77777777" w:rsidR="00491856" w:rsidRPr="00DF4CE5" w:rsidRDefault="00491856" w:rsidP="00491856">
            <w:pPr>
              <w:spacing w:after="0" w:line="240" w:lineRule="auto"/>
              <w:jc w:val="both"/>
              <w:rPr>
                <w:rFonts w:ascii="Cambria" w:eastAsia="Times New Roman" w:hAnsi="Cambria" w:cs="Calibri"/>
                <w:lang w:val="hr-HR"/>
              </w:rPr>
            </w:pPr>
            <w:proofErr w:type="spellStart"/>
            <w:r w:rsidRPr="00DF4CE5">
              <w:rPr>
                <w:rFonts w:ascii="Cambria" w:eastAsia="Times New Roman" w:hAnsi="Cambria" w:cs="Calibri"/>
              </w:rPr>
              <w:t>Korelativnost</w:t>
            </w:r>
            <w:proofErr w:type="spellEnd"/>
          </w:p>
        </w:tc>
        <w:tc>
          <w:tcPr>
            <w:tcW w:w="671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61007753" w14:textId="65CF541C" w:rsidR="00491856" w:rsidRPr="00DF4CE5" w:rsidRDefault="00491856" w:rsidP="00491856">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Govorne vježbe I</w:t>
            </w:r>
            <w:r w:rsidR="00F710EA">
              <w:rPr>
                <w:rFonts w:ascii="Cambria" w:eastAsia="Times New Roman" w:hAnsi="Cambria" w:cs="Calibri"/>
                <w:lang w:val="hr-HR"/>
              </w:rPr>
              <w:t xml:space="preserve">, </w:t>
            </w:r>
            <w:r w:rsidRPr="00DF4CE5">
              <w:rPr>
                <w:rFonts w:ascii="Cambria" w:eastAsia="Times New Roman" w:hAnsi="Cambria" w:cs="Calibri"/>
                <w:lang w:val="hr-HR"/>
              </w:rPr>
              <w:t>Govorne vježbe II</w:t>
            </w:r>
            <w:r w:rsidR="00F710EA">
              <w:rPr>
                <w:rFonts w:ascii="Cambria" w:eastAsia="Times New Roman" w:hAnsi="Cambria" w:cs="Calibri"/>
                <w:lang w:val="hr-HR"/>
              </w:rPr>
              <w:t xml:space="preserve">, </w:t>
            </w:r>
            <w:r w:rsidRPr="00DF4CE5">
              <w:rPr>
                <w:rFonts w:ascii="Cambria" w:eastAsia="Times New Roman" w:hAnsi="Cambria" w:cs="Calibri"/>
                <w:lang w:val="hr-HR"/>
              </w:rPr>
              <w:t>Govorne vježbe III</w:t>
            </w:r>
          </w:p>
        </w:tc>
      </w:tr>
      <w:tr w:rsidR="00491856" w:rsidRPr="00D0399C" w14:paraId="1B20306B" w14:textId="77777777" w:rsidTr="00491856">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386FB5D" w14:textId="77777777" w:rsidR="00491856" w:rsidRPr="00DF4CE5" w:rsidRDefault="00491856" w:rsidP="00491856">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Cilj kolegija </w:t>
            </w:r>
          </w:p>
        </w:tc>
        <w:tc>
          <w:tcPr>
            <w:tcW w:w="671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6C65DEC6" w14:textId="77777777" w:rsidR="00491856" w:rsidRPr="00DF4CE5" w:rsidRDefault="00491856" w:rsidP="00491856">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čuti te pravilno izgovoriti glasove engleskog jezika, ukazati na razlike između pojedinih fonema i alofonskih realizacija te osvijestiti važnost pravilnog izgovora glasova</w:t>
            </w:r>
          </w:p>
        </w:tc>
      </w:tr>
      <w:tr w:rsidR="00491856" w:rsidRPr="00D0399C" w14:paraId="464D2AF7" w14:textId="77777777" w:rsidTr="00491856">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CEE2E4C" w14:textId="77777777" w:rsidR="00491856" w:rsidRPr="00DF4CE5" w:rsidRDefault="00491856" w:rsidP="00491856">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Ishodi učenja</w:t>
            </w:r>
          </w:p>
        </w:tc>
        <w:tc>
          <w:tcPr>
            <w:tcW w:w="671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872E0A5" w14:textId="77777777" w:rsidR="00491856" w:rsidRPr="00DF4CE5" w:rsidRDefault="00491856" w:rsidP="00491856">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1. prepoznati specifične glasove engleskog jezika</w:t>
            </w:r>
          </w:p>
          <w:p w14:paraId="0A20D4EA" w14:textId="77777777" w:rsidR="00491856" w:rsidRPr="00DF4CE5" w:rsidRDefault="00491856" w:rsidP="00491856">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2. razlikovati glasove hrvatskog i engleskog jezika</w:t>
            </w:r>
          </w:p>
          <w:p w14:paraId="2894C69D" w14:textId="41658895" w:rsidR="00491856" w:rsidRPr="00DF4CE5" w:rsidRDefault="00491856" w:rsidP="00491856">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3. </w:t>
            </w:r>
            <w:r w:rsidR="00F710EA" w:rsidRPr="00DF4CE5">
              <w:rPr>
                <w:rFonts w:ascii="Cambria" w:eastAsia="Times New Roman" w:hAnsi="Cambria" w:cs="Calibri"/>
                <w:lang w:val="hr-HR"/>
              </w:rPr>
              <w:t xml:space="preserve">primijeniti </w:t>
            </w:r>
            <w:r w:rsidRPr="00DF4CE5">
              <w:rPr>
                <w:rFonts w:ascii="Cambria" w:eastAsia="Times New Roman" w:hAnsi="Cambria" w:cs="Calibri"/>
                <w:lang w:val="hr-HR"/>
              </w:rPr>
              <w:t>stečeno znanje o principima izgovora na vlastiti izgovor</w:t>
            </w:r>
          </w:p>
          <w:p w14:paraId="6E9431F3" w14:textId="6C63BB67" w:rsidR="00491856" w:rsidRPr="00DF4CE5" w:rsidRDefault="00491856" w:rsidP="00491856">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4. </w:t>
            </w:r>
            <w:r w:rsidR="00F710EA" w:rsidRPr="00DF4CE5">
              <w:rPr>
                <w:rFonts w:ascii="Cambria" w:eastAsia="Times New Roman" w:hAnsi="Cambria" w:cs="Calibri"/>
                <w:lang w:val="hr-HR"/>
              </w:rPr>
              <w:t xml:space="preserve">primijeniti </w:t>
            </w:r>
            <w:r w:rsidRPr="00DF4CE5">
              <w:rPr>
                <w:rFonts w:ascii="Cambria" w:eastAsia="Times New Roman" w:hAnsi="Cambria" w:cs="Calibri"/>
                <w:lang w:val="hr-HR"/>
              </w:rPr>
              <w:t>stečeno znanje o principima izgovora u govorenju priče</w:t>
            </w:r>
          </w:p>
        </w:tc>
      </w:tr>
      <w:tr w:rsidR="00491856" w:rsidRPr="00DF4CE5" w14:paraId="6EBC0ACF" w14:textId="77777777" w:rsidTr="00491856">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197630F5" w14:textId="77777777" w:rsidR="00491856" w:rsidRPr="00DF4CE5" w:rsidRDefault="00491856" w:rsidP="00491856">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Sadržaj kolegija</w:t>
            </w:r>
          </w:p>
        </w:tc>
        <w:tc>
          <w:tcPr>
            <w:tcW w:w="6717"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640D7B5" w14:textId="77777777" w:rsidR="00491856" w:rsidRPr="00DF4CE5" w:rsidRDefault="00491856" w:rsidP="00491856">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1. Cilj govorenja</w:t>
            </w:r>
          </w:p>
          <w:p w14:paraId="60A01724" w14:textId="77777777" w:rsidR="00491856" w:rsidRPr="00DF4CE5" w:rsidRDefault="00491856" w:rsidP="00491856">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2. Izgovor tipičnih suglasnika engleskog jezika</w:t>
            </w:r>
          </w:p>
          <w:p w14:paraId="78A4987E" w14:textId="77777777" w:rsidR="00491856" w:rsidRPr="00DF4CE5" w:rsidRDefault="00491856" w:rsidP="00491856">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3. Izgovor tipičnih samoglasnika engleskog jezika</w:t>
            </w:r>
          </w:p>
          <w:p w14:paraId="5D7B0080" w14:textId="77777777" w:rsidR="00491856" w:rsidRPr="00DF4CE5" w:rsidRDefault="00491856" w:rsidP="00491856">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4. Diftonzi i triftonzi engleskog jezika</w:t>
            </w:r>
          </w:p>
          <w:p w14:paraId="52CF0989" w14:textId="77777777" w:rsidR="00491856" w:rsidRPr="00DF4CE5" w:rsidRDefault="00491856" w:rsidP="00491856">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5. Priprema za govor – zagrijavanje</w:t>
            </w:r>
          </w:p>
          <w:p w14:paraId="6BADC135" w14:textId="77777777" w:rsidR="00491856" w:rsidRPr="00DF4CE5" w:rsidRDefault="00491856" w:rsidP="00491856">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6. Slušanje i prepričavanje</w:t>
            </w:r>
          </w:p>
          <w:p w14:paraId="03D9F270" w14:textId="77777777" w:rsidR="00491856" w:rsidRPr="00DF4CE5" w:rsidRDefault="00491856" w:rsidP="00491856">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7. Rad s glasom</w:t>
            </w:r>
          </w:p>
          <w:p w14:paraId="5B36609E" w14:textId="77777777" w:rsidR="00491856" w:rsidRPr="00DF4CE5" w:rsidRDefault="00491856" w:rsidP="00491856">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8. Predmeti, slike i mašta kao poticaji za govorenje</w:t>
            </w:r>
          </w:p>
          <w:p w14:paraId="50257480" w14:textId="77777777" w:rsidR="00491856" w:rsidRPr="00DF4CE5" w:rsidRDefault="00491856" w:rsidP="00491856">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9. Rad s riječima, frazama i rečenicama</w:t>
            </w:r>
          </w:p>
          <w:p w14:paraId="47F329F1" w14:textId="77777777" w:rsidR="00491856" w:rsidRPr="00DF4CE5" w:rsidRDefault="00491856" w:rsidP="00491856">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10. Rad na tekstu</w:t>
            </w:r>
          </w:p>
          <w:p w14:paraId="569CDB6A" w14:textId="77777777" w:rsidR="00491856" w:rsidRPr="00DF4CE5" w:rsidRDefault="00491856" w:rsidP="00491856">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11. Rad na scenarijima ili skriptama</w:t>
            </w:r>
          </w:p>
          <w:p w14:paraId="5A9A5BAE" w14:textId="77777777" w:rsidR="00491856" w:rsidRPr="00DF4CE5" w:rsidRDefault="00491856" w:rsidP="00491856">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12. Interpretativno čitanje</w:t>
            </w:r>
          </w:p>
        </w:tc>
      </w:tr>
      <w:tr w:rsidR="00491856" w:rsidRPr="00DF4CE5" w14:paraId="3E010835" w14:textId="77777777" w:rsidTr="00B36357">
        <w:tc>
          <w:tcPr>
            <w:tcW w:w="2623" w:type="dxa"/>
            <w:vMerge w:val="restart"/>
            <w:tcBorders>
              <w:top w:val="single" w:sz="8" w:space="0" w:color="000000"/>
              <w:left w:val="single" w:sz="8" w:space="0" w:color="000000"/>
              <w:right w:val="single" w:sz="8" w:space="0" w:color="000000"/>
            </w:tcBorders>
            <w:shd w:val="clear" w:color="auto" w:fill="F2F2F2" w:themeFill="background1" w:themeFillShade="F2"/>
            <w:tcMar>
              <w:top w:w="15" w:type="dxa"/>
              <w:left w:w="108" w:type="dxa"/>
              <w:bottom w:w="0" w:type="dxa"/>
              <w:right w:w="108" w:type="dxa"/>
            </w:tcMar>
            <w:vAlign w:val="center"/>
          </w:tcPr>
          <w:p w14:paraId="3EF796EB" w14:textId="77777777" w:rsidR="00491856" w:rsidRPr="00DF4CE5" w:rsidRDefault="00491856" w:rsidP="00491856">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Planirane aktivnosti,</w:t>
            </w:r>
          </w:p>
          <w:p w14:paraId="3B65889E" w14:textId="77777777" w:rsidR="00491856" w:rsidRPr="00DF4CE5" w:rsidRDefault="00491856" w:rsidP="00491856">
            <w:pPr>
              <w:spacing w:after="0" w:line="240" w:lineRule="auto"/>
              <w:jc w:val="both"/>
              <w:rPr>
                <w:rFonts w:ascii="Cambria" w:eastAsia="Times New Roman" w:hAnsi="Cambria" w:cs="Calibri"/>
                <w:lang w:val="hr-HR"/>
              </w:rPr>
            </w:pPr>
            <w:proofErr w:type="spellStart"/>
            <w:r w:rsidRPr="00DF4CE5">
              <w:rPr>
                <w:rFonts w:ascii="Cambria" w:eastAsia="Times New Roman" w:hAnsi="Cambria" w:cs="Calibri"/>
                <w:lang w:val="it-IT"/>
              </w:rPr>
              <w:t>metode</w:t>
            </w:r>
            <w:proofErr w:type="spellEnd"/>
            <w:r w:rsidRPr="00DF4CE5">
              <w:rPr>
                <w:rFonts w:ascii="Cambria" w:eastAsia="Times New Roman" w:hAnsi="Cambria" w:cs="Calibri"/>
                <w:lang w:val="hr-HR"/>
              </w:rPr>
              <w:t xml:space="preserve"> učenja i poučavanja i načini vrednovanja</w:t>
            </w:r>
          </w:p>
          <w:p w14:paraId="4136E7AC" w14:textId="77777777" w:rsidR="00491856" w:rsidRPr="00DF4CE5" w:rsidRDefault="00491856" w:rsidP="00491856">
            <w:pPr>
              <w:spacing w:after="0" w:line="240" w:lineRule="auto"/>
              <w:jc w:val="both"/>
              <w:rPr>
                <w:rFonts w:ascii="Cambria" w:eastAsia="Times New Roman" w:hAnsi="Cambria" w:cs="Calibri"/>
                <w:lang w:val="hr-HR"/>
              </w:rPr>
            </w:pPr>
          </w:p>
        </w:tc>
        <w:tc>
          <w:tcPr>
            <w:tcW w:w="258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26275E4" w14:textId="77777777" w:rsidR="00491856" w:rsidRPr="00DF4CE5" w:rsidRDefault="00491856" w:rsidP="00491856">
            <w:pPr>
              <w:spacing w:after="0" w:line="240" w:lineRule="auto"/>
              <w:jc w:val="both"/>
              <w:rPr>
                <w:rFonts w:ascii="Cambria" w:eastAsia="Times New Roman" w:hAnsi="Cambria" w:cs="Calibri"/>
                <w:lang w:val="hr-HR"/>
              </w:rPr>
            </w:pPr>
            <w:r w:rsidRPr="00DF4CE5">
              <w:rPr>
                <w:rFonts w:ascii="Cambria" w:eastAsia="Times New Roman" w:hAnsi="Cambria" w:cs="Calibri"/>
                <w:bCs/>
                <w:lang w:val="hr-HR"/>
              </w:rPr>
              <w:t xml:space="preserve">Obveze </w:t>
            </w:r>
          </w:p>
          <w:p w14:paraId="4651A5D0" w14:textId="77777777" w:rsidR="00491856" w:rsidRPr="00DF4CE5" w:rsidRDefault="00491856" w:rsidP="00491856">
            <w:pPr>
              <w:spacing w:after="0" w:line="240" w:lineRule="auto"/>
              <w:jc w:val="both"/>
              <w:rPr>
                <w:rFonts w:ascii="Cambria" w:eastAsia="Times New Roman" w:hAnsi="Cambria" w:cs="Calibri"/>
                <w:lang w:val="hr-HR"/>
              </w:rPr>
            </w:pPr>
          </w:p>
        </w:tc>
        <w:tc>
          <w:tcPr>
            <w:tcW w:w="10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552EB50" w14:textId="77777777" w:rsidR="00491856" w:rsidRPr="00DF4CE5" w:rsidRDefault="00491856" w:rsidP="00491856">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Ishodi</w:t>
            </w:r>
          </w:p>
          <w:p w14:paraId="191A323C" w14:textId="77777777" w:rsidR="00491856" w:rsidRPr="00DF4CE5" w:rsidRDefault="00491856" w:rsidP="00491856">
            <w:pPr>
              <w:spacing w:after="0" w:line="240" w:lineRule="auto"/>
              <w:jc w:val="both"/>
              <w:rPr>
                <w:rFonts w:ascii="Cambria" w:eastAsia="Times New Roman" w:hAnsi="Cambria" w:cs="Calibri"/>
                <w:lang w:val="hr-HR"/>
              </w:rPr>
            </w:pPr>
          </w:p>
        </w:tc>
        <w:tc>
          <w:tcPr>
            <w:tcW w:w="71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D05D6EE" w14:textId="77777777" w:rsidR="00491856" w:rsidRPr="00DF4CE5" w:rsidRDefault="00491856" w:rsidP="00491856">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Sati</w:t>
            </w:r>
          </w:p>
        </w:tc>
        <w:tc>
          <w:tcPr>
            <w:tcW w:w="101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413259B" w14:textId="77777777" w:rsidR="00491856" w:rsidRPr="00DF4CE5" w:rsidRDefault="00491856" w:rsidP="00491856">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Udio u ECTS</w:t>
            </w:r>
          </w:p>
        </w:tc>
        <w:tc>
          <w:tcPr>
            <w:tcW w:w="131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D96672D" w14:textId="77777777" w:rsidR="00491856" w:rsidRPr="00DF4CE5" w:rsidRDefault="00491856" w:rsidP="00491856">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Maksimalni udio u ocjeni</w:t>
            </w:r>
            <w:r w:rsidRPr="00DF4CE5">
              <w:rPr>
                <w:rFonts w:ascii="Cambria" w:eastAsia="Times New Roman" w:hAnsi="Cambria" w:cs="Calibri"/>
              </w:rPr>
              <w:t xml:space="preserve"> (%)</w:t>
            </w:r>
          </w:p>
        </w:tc>
      </w:tr>
      <w:tr w:rsidR="005005C3" w:rsidRPr="00DF4CE5" w14:paraId="14D7BC99" w14:textId="77777777" w:rsidTr="00B36357">
        <w:tc>
          <w:tcPr>
            <w:tcW w:w="2623" w:type="dxa"/>
            <w:vMerge/>
            <w:tcBorders>
              <w:left w:val="single" w:sz="8" w:space="0" w:color="000000"/>
              <w:right w:val="single" w:sz="8" w:space="0" w:color="000000"/>
            </w:tcBorders>
            <w:shd w:val="clear" w:color="auto" w:fill="F2F2F2" w:themeFill="background1" w:themeFillShade="F2"/>
            <w:vAlign w:val="center"/>
          </w:tcPr>
          <w:p w14:paraId="48A4B198" w14:textId="77777777" w:rsidR="005005C3" w:rsidRPr="00DF4CE5" w:rsidRDefault="005005C3" w:rsidP="005005C3">
            <w:pPr>
              <w:spacing w:after="0" w:line="240" w:lineRule="auto"/>
              <w:jc w:val="both"/>
              <w:rPr>
                <w:rFonts w:ascii="Cambria" w:eastAsia="Times New Roman" w:hAnsi="Cambria" w:cs="Calibri"/>
                <w:lang w:val="hr-HR"/>
              </w:rPr>
            </w:pPr>
          </w:p>
        </w:tc>
        <w:tc>
          <w:tcPr>
            <w:tcW w:w="258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3DF3F9" w14:textId="360F506C" w:rsidR="005005C3" w:rsidRPr="00DF4CE5" w:rsidRDefault="005005C3" w:rsidP="005005C3">
            <w:pPr>
              <w:spacing w:after="0" w:line="240" w:lineRule="auto"/>
              <w:jc w:val="both"/>
              <w:rPr>
                <w:rFonts w:ascii="Cambria" w:eastAsia="Times New Roman" w:hAnsi="Cambria" w:cs="Calibri"/>
                <w:lang w:val="hr-HR"/>
              </w:rPr>
            </w:pPr>
            <w:proofErr w:type="spellStart"/>
            <w:r w:rsidRPr="00DF4CE5">
              <w:rPr>
                <w:rFonts w:ascii="Cambria" w:eastAsia="Times New Roman" w:hAnsi="Cambria" w:cs="Calibri"/>
              </w:rPr>
              <w:t>aktivnost</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na</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nastavi</w:t>
            </w:r>
            <w:proofErr w:type="spellEnd"/>
            <w:r w:rsidR="00F710EA">
              <w:rPr>
                <w:rFonts w:ascii="Cambria" w:eastAsia="Times New Roman" w:hAnsi="Cambria" w:cs="Calibri"/>
              </w:rPr>
              <w:t xml:space="preserve"> (V)</w:t>
            </w:r>
          </w:p>
        </w:tc>
        <w:tc>
          <w:tcPr>
            <w:tcW w:w="10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0C59CE7" w14:textId="0927C7A1" w:rsidR="005005C3" w:rsidRPr="00DF4CE5" w:rsidRDefault="005005C3" w:rsidP="00F710EA">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1.</w:t>
            </w:r>
            <w:r w:rsidR="00F710EA">
              <w:rPr>
                <w:rFonts w:ascii="Cambria" w:eastAsia="Times New Roman" w:hAnsi="Cambria" w:cs="Calibri"/>
                <w:lang w:val="hr-HR"/>
              </w:rPr>
              <w:t xml:space="preserve"> – </w:t>
            </w:r>
            <w:r w:rsidRPr="00DF4CE5">
              <w:rPr>
                <w:rFonts w:ascii="Cambria" w:eastAsia="Times New Roman" w:hAnsi="Cambria" w:cs="Calibri"/>
                <w:lang w:val="hr-HR"/>
              </w:rPr>
              <w:t>4.</w:t>
            </w:r>
          </w:p>
        </w:tc>
        <w:tc>
          <w:tcPr>
            <w:tcW w:w="71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8213716" w14:textId="04688A32" w:rsidR="005005C3" w:rsidRPr="00DF4CE5" w:rsidRDefault="005005C3" w:rsidP="00F710EA">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2</w:t>
            </w:r>
            <w:r w:rsidR="00F710EA">
              <w:rPr>
                <w:rFonts w:ascii="Cambria" w:eastAsia="Times New Roman" w:hAnsi="Cambria" w:cs="Calibri"/>
                <w:lang w:val="hr-HR"/>
              </w:rPr>
              <w:t>3</w:t>
            </w:r>
          </w:p>
        </w:tc>
        <w:tc>
          <w:tcPr>
            <w:tcW w:w="101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D4B39DB" w14:textId="77777777" w:rsidR="005005C3" w:rsidRPr="00DF4CE5" w:rsidRDefault="005005C3" w:rsidP="00F710EA">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0,8</w:t>
            </w:r>
          </w:p>
        </w:tc>
        <w:tc>
          <w:tcPr>
            <w:tcW w:w="131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9F771DC" w14:textId="77777777" w:rsidR="005005C3" w:rsidRPr="00DF4CE5" w:rsidRDefault="005005C3" w:rsidP="00F710EA">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25%</w:t>
            </w:r>
          </w:p>
        </w:tc>
      </w:tr>
      <w:tr w:rsidR="005005C3" w:rsidRPr="00DF4CE5" w14:paraId="15F79B78" w14:textId="77777777" w:rsidTr="00B36357">
        <w:tc>
          <w:tcPr>
            <w:tcW w:w="2623" w:type="dxa"/>
            <w:vMerge/>
            <w:tcBorders>
              <w:left w:val="single" w:sz="8" w:space="0" w:color="000000"/>
              <w:right w:val="single" w:sz="8" w:space="0" w:color="000000"/>
            </w:tcBorders>
            <w:shd w:val="clear" w:color="auto" w:fill="F2F2F2" w:themeFill="background1" w:themeFillShade="F2"/>
            <w:vAlign w:val="center"/>
          </w:tcPr>
          <w:p w14:paraId="336AEB7C" w14:textId="77777777" w:rsidR="005005C3" w:rsidRPr="00DF4CE5" w:rsidRDefault="005005C3" w:rsidP="005005C3">
            <w:pPr>
              <w:spacing w:after="0" w:line="240" w:lineRule="auto"/>
              <w:jc w:val="both"/>
              <w:rPr>
                <w:rFonts w:ascii="Cambria" w:eastAsia="Times New Roman" w:hAnsi="Cambria" w:cs="Calibri"/>
                <w:lang w:val="hr-HR"/>
              </w:rPr>
            </w:pPr>
          </w:p>
        </w:tc>
        <w:tc>
          <w:tcPr>
            <w:tcW w:w="258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7D8CCD7" w14:textId="1E5F1890" w:rsidR="005005C3" w:rsidRPr="00DF4CE5" w:rsidRDefault="00F710EA" w:rsidP="005005C3">
            <w:pPr>
              <w:spacing w:after="0" w:line="240" w:lineRule="auto"/>
              <w:jc w:val="both"/>
              <w:rPr>
                <w:rFonts w:ascii="Cambria" w:eastAsia="Times New Roman" w:hAnsi="Cambria" w:cs="Calibri"/>
                <w:lang w:val="hr-HR"/>
              </w:rPr>
            </w:pPr>
            <w:r>
              <w:rPr>
                <w:rFonts w:ascii="Cambria" w:eastAsia="Times New Roman" w:hAnsi="Cambria" w:cs="Calibri"/>
                <w:lang w:val="hr-HR"/>
              </w:rPr>
              <w:t>vježbe</w:t>
            </w:r>
          </w:p>
        </w:tc>
        <w:tc>
          <w:tcPr>
            <w:tcW w:w="10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33710F3" w14:textId="56221A18" w:rsidR="005005C3" w:rsidRPr="00DF4CE5" w:rsidRDefault="005005C3" w:rsidP="00F710EA">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1.</w:t>
            </w:r>
            <w:r w:rsidR="00F710EA">
              <w:rPr>
                <w:rFonts w:ascii="Cambria" w:eastAsia="Times New Roman" w:hAnsi="Cambria" w:cs="Calibri"/>
                <w:lang w:val="hr-HR"/>
              </w:rPr>
              <w:t xml:space="preserve"> – </w:t>
            </w:r>
            <w:r w:rsidRPr="00DF4CE5">
              <w:rPr>
                <w:rFonts w:ascii="Cambria" w:eastAsia="Times New Roman" w:hAnsi="Cambria" w:cs="Calibri"/>
                <w:lang w:val="hr-HR"/>
              </w:rPr>
              <w:t>4.</w:t>
            </w:r>
          </w:p>
        </w:tc>
        <w:tc>
          <w:tcPr>
            <w:tcW w:w="71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29200A3" w14:textId="02095FE1" w:rsidR="005005C3" w:rsidRPr="00DF4CE5" w:rsidRDefault="00F710EA" w:rsidP="00F710EA">
            <w:pPr>
              <w:spacing w:after="0" w:line="240" w:lineRule="auto"/>
              <w:jc w:val="center"/>
              <w:rPr>
                <w:rFonts w:ascii="Cambria" w:eastAsia="Times New Roman" w:hAnsi="Cambria" w:cs="Calibri"/>
                <w:lang w:val="hr-HR"/>
              </w:rPr>
            </w:pPr>
            <w:r>
              <w:rPr>
                <w:rFonts w:ascii="Cambria" w:eastAsia="Times New Roman" w:hAnsi="Cambria" w:cs="Calibri"/>
                <w:lang w:val="hr-HR"/>
              </w:rPr>
              <w:t>15</w:t>
            </w:r>
          </w:p>
        </w:tc>
        <w:tc>
          <w:tcPr>
            <w:tcW w:w="101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62F3632" w14:textId="434CF16C" w:rsidR="005005C3" w:rsidRPr="00DF4CE5" w:rsidRDefault="005005C3" w:rsidP="00F710EA">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0,</w:t>
            </w:r>
            <w:r w:rsidR="00F710EA">
              <w:rPr>
                <w:rFonts w:ascii="Cambria" w:eastAsia="Times New Roman" w:hAnsi="Cambria" w:cs="Calibri"/>
                <w:lang w:val="hr-HR"/>
              </w:rPr>
              <w:t>5</w:t>
            </w:r>
          </w:p>
        </w:tc>
        <w:tc>
          <w:tcPr>
            <w:tcW w:w="131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C3EF2DA" w14:textId="77777777" w:rsidR="005005C3" w:rsidRPr="00DF4CE5" w:rsidRDefault="005005C3" w:rsidP="00F710EA">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25%</w:t>
            </w:r>
          </w:p>
        </w:tc>
      </w:tr>
      <w:tr w:rsidR="005005C3" w:rsidRPr="00DF4CE5" w14:paraId="574F9F8B" w14:textId="77777777" w:rsidTr="00B36357">
        <w:tc>
          <w:tcPr>
            <w:tcW w:w="2623" w:type="dxa"/>
            <w:vMerge/>
            <w:tcBorders>
              <w:left w:val="single" w:sz="8" w:space="0" w:color="000000"/>
              <w:right w:val="single" w:sz="8" w:space="0" w:color="000000"/>
            </w:tcBorders>
            <w:shd w:val="clear" w:color="auto" w:fill="F2F2F2" w:themeFill="background1" w:themeFillShade="F2"/>
            <w:vAlign w:val="center"/>
          </w:tcPr>
          <w:p w14:paraId="57141140" w14:textId="77777777" w:rsidR="005005C3" w:rsidRPr="00DF4CE5" w:rsidRDefault="005005C3" w:rsidP="005005C3">
            <w:pPr>
              <w:spacing w:after="0" w:line="240" w:lineRule="auto"/>
              <w:jc w:val="both"/>
              <w:rPr>
                <w:rFonts w:ascii="Cambria" w:eastAsia="Times New Roman" w:hAnsi="Cambria" w:cs="Calibri"/>
                <w:lang w:val="hr-HR"/>
              </w:rPr>
            </w:pPr>
          </w:p>
        </w:tc>
        <w:tc>
          <w:tcPr>
            <w:tcW w:w="258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7E6A91B" w14:textId="0A9B06E8" w:rsidR="005005C3" w:rsidRPr="00DF4CE5" w:rsidRDefault="00F710EA" w:rsidP="005005C3">
            <w:pPr>
              <w:spacing w:after="0" w:line="240" w:lineRule="auto"/>
              <w:jc w:val="both"/>
              <w:rPr>
                <w:rFonts w:ascii="Cambria" w:eastAsia="Times New Roman" w:hAnsi="Cambria" w:cs="Calibri"/>
                <w:lang w:val="hr-HR"/>
              </w:rPr>
            </w:pPr>
            <w:proofErr w:type="spellStart"/>
            <w:r>
              <w:rPr>
                <w:rFonts w:ascii="Cambria" w:eastAsia="Times New Roman" w:hAnsi="Cambria" w:cs="Calibri"/>
              </w:rPr>
              <w:t>u</w:t>
            </w:r>
            <w:r w:rsidR="005005C3" w:rsidRPr="00DF4CE5">
              <w:rPr>
                <w:rFonts w:ascii="Cambria" w:eastAsia="Times New Roman" w:hAnsi="Cambria" w:cs="Calibri"/>
              </w:rPr>
              <w:t>smeni</w:t>
            </w:r>
            <w:proofErr w:type="spellEnd"/>
            <w:r w:rsidR="005005C3" w:rsidRPr="00DF4CE5">
              <w:rPr>
                <w:rFonts w:ascii="Cambria" w:eastAsia="Times New Roman" w:hAnsi="Cambria" w:cs="Calibri"/>
              </w:rPr>
              <w:t xml:space="preserve"> </w:t>
            </w:r>
            <w:proofErr w:type="spellStart"/>
            <w:r w:rsidR="005005C3" w:rsidRPr="00DF4CE5">
              <w:rPr>
                <w:rFonts w:ascii="Cambria" w:eastAsia="Times New Roman" w:hAnsi="Cambria" w:cs="Calibri"/>
              </w:rPr>
              <w:t>ispit</w:t>
            </w:r>
            <w:proofErr w:type="spellEnd"/>
          </w:p>
        </w:tc>
        <w:tc>
          <w:tcPr>
            <w:tcW w:w="10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6F23705" w14:textId="2916D960" w:rsidR="005005C3" w:rsidRPr="00DF4CE5" w:rsidRDefault="00F710EA" w:rsidP="00F710EA">
            <w:pPr>
              <w:spacing w:after="0" w:line="240" w:lineRule="auto"/>
              <w:jc w:val="center"/>
              <w:rPr>
                <w:rFonts w:ascii="Cambria" w:eastAsia="Times New Roman" w:hAnsi="Cambria" w:cs="Calibri"/>
                <w:lang w:val="hr-HR"/>
              </w:rPr>
            </w:pPr>
            <w:r w:rsidRPr="00F710EA">
              <w:rPr>
                <w:rFonts w:ascii="Cambria" w:eastAsia="Times New Roman" w:hAnsi="Cambria" w:cs="Calibri"/>
                <w:lang w:val="hr-HR"/>
              </w:rPr>
              <w:t>1. – 4.</w:t>
            </w:r>
          </w:p>
        </w:tc>
        <w:tc>
          <w:tcPr>
            <w:tcW w:w="71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53575DC" w14:textId="57B847AF" w:rsidR="005005C3" w:rsidRPr="00DF4CE5" w:rsidRDefault="00F710EA" w:rsidP="00F710EA">
            <w:pPr>
              <w:spacing w:after="0" w:line="240" w:lineRule="auto"/>
              <w:jc w:val="center"/>
              <w:rPr>
                <w:rFonts w:ascii="Cambria" w:eastAsia="Times New Roman" w:hAnsi="Cambria" w:cs="Calibri"/>
                <w:lang w:val="hr-HR"/>
              </w:rPr>
            </w:pPr>
            <w:r>
              <w:rPr>
                <w:rFonts w:ascii="Cambria" w:eastAsia="Times New Roman" w:hAnsi="Cambria" w:cs="Calibri"/>
                <w:lang w:val="hr-HR"/>
              </w:rPr>
              <w:t>22</w:t>
            </w:r>
          </w:p>
        </w:tc>
        <w:tc>
          <w:tcPr>
            <w:tcW w:w="101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EF757DB" w14:textId="2D717532" w:rsidR="005005C3" w:rsidRPr="00DF4CE5" w:rsidRDefault="005005C3" w:rsidP="00F710EA">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0,</w:t>
            </w:r>
            <w:r w:rsidR="00F710EA">
              <w:rPr>
                <w:rFonts w:ascii="Cambria" w:eastAsia="Times New Roman" w:hAnsi="Cambria" w:cs="Calibri"/>
                <w:lang w:val="hr-HR"/>
              </w:rPr>
              <w:t>7</w:t>
            </w:r>
          </w:p>
        </w:tc>
        <w:tc>
          <w:tcPr>
            <w:tcW w:w="131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1F24BB7" w14:textId="77777777" w:rsidR="005005C3" w:rsidRPr="00DF4CE5" w:rsidRDefault="005005C3" w:rsidP="00F710EA">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50%</w:t>
            </w:r>
          </w:p>
        </w:tc>
      </w:tr>
      <w:tr w:rsidR="005005C3" w:rsidRPr="00DF4CE5" w14:paraId="0D6F373F" w14:textId="77777777" w:rsidTr="00B36357">
        <w:tc>
          <w:tcPr>
            <w:tcW w:w="2623" w:type="dxa"/>
            <w:vMerge/>
            <w:tcBorders>
              <w:left w:val="single" w:sz="8" w:space="0" w:color="000000"/>
              <w:right w:val="single" w:sz="8" w:space="0" w:color="000000"/>
            </w:tcBorders>
            <w:shd w:val="clear" w:color="auto" w:fill="F2F2F2" w:themeFill="background1" w:themeFillShade="F2"/>
            <w:vAlign w:val="center"/>
          </w:tcPr>
          <w:p w14:paraId="24A87F33" w14:textId="77777777" w:rsidR="005005C3" w:rsidRPr="00DF4CE5" w:rsidRDefault="005005C3" w:rsidP="005005C3">
            <w:pPr>
              <w:spacing w:after="0" w:line="240" w:lineRule="auto"/>
              <w:jc w:val="both"/>
              <w:rPr>
                <w:rFonts w:ascii="Cambria" w:eastAsia="Times New Roman" w:hAnsi="Cambria" w:cs="Calibri"/>
                <w:lang w:val="hr-HR"/>
              </w:rPr>
            </w:pPr>
          </w:p>
        </w:tc>
        <w:tc>
          <w:tcPr>
            <w:tcW w:w="3673"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F2489FC" w14:textId="4A5CEAD3" w:rsidR="005005C3" w:rsidRPr="00DF4CE5" w:rsidRDefault="00F710EA" w:rsidP="005005C3">
            <w:pPr>
              <w:spacing w:after="0" w:line="240" w:lineRule="auto"/>
              <w:jc w:val="both"/>
              <w:rPr>
                <w:rFonts w:ascii="Cambria" w:eastAsia="Times New Roman" w:hAnsi="Cambria" w:cs="Calibri"/>
                <w:lang w:val="hr-HR"/>
              </w:rPr>
            </w:pPr>
            <w:proofErr w:type="spellStart"/>
            <w:r>
              <w:rPr>
                <w:rFonts w:ascii="Cambria" w:eastAsia="Times New Roman" w:hAnsi="Cambria" w:cs="Calibri"/>
              </w:rPr>
              <w:t>u</w:t>
            </w:r>
            <w:r w:rsidR="005005C3" w:rsidRPr="00DF4CE5">
              <w:rPr>
                <w:rFonts w:ascii="Cambria" w:eastAsia="Times New Roman" w:hAnsi="Cambria" w:cs="Calibri"/>
              </w:rPr>
              <w:t>kupno</w:t>
            </w:r>
            <w:proofErr w:type="spellEnd"/>
          </w:p>
        </w:tc>
        <w:tc>
          <w:tcPr>
            <w:tcW w:w="71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7CE8D2B" w14:textId="77777777" w:rsidR="005005C3" w:rsidRPr="00DF4CE5" w:rsidRDefault="005005C3" w:rsidP="00F710EA">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60</w:t>
            </w:r>
          </w:p>
        </w:tc>
        <w:tc>
          <w:tcPr>
            <w:tcW w:w="101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A0A97F0" w14:textId="77777777" w:rsidR="005005C3" w:rsidRPr="00DF4CE5" w:rsidRDefault="005005C3" w:rsidP="00F710EA">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2</w:t>
            </w:r>
          </w:p>
        </w:tc>
        <w:tc>
          <w:tcPr>
            <w:tcW w:w="131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373D2EB" w14:textId="77777777" w:rsidR="005005C3" w:rsidRPr="00DF4CE5" w:rsidRDefault="005005C3" w:rsidP="00F710EA">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100%</w:t>
            </w:r>
          </w:p>
        </w:tc>
      </w:tr>
      <w:tr w:rsidR="005005C3" w:rsidRPr="00D0399C" w14:paraId="0B87407A" w14:textId="77777777" w:rsidTr="00B36357">
        <w:tc>
          <w:tcPr>
            <w:tcW w:w="2623" w:type="dxa"/>
            <w:tcBorders>
              <w:left w:val="single" w:sz="8" w:space="0" w:color="000000"/>
              <w:right w:val="single" w:sz="8" w:space="0" w:color="000000"/>
            </w:tcBorders>
            <w:shd w:val="clear" w:color="auto" w:fill="F2F2F2" w:themeFill="background1" w:themeFillShade="F2"/>
            <w:vAlign w:val="center"/>
          </w:tcPr>
          <w:p w14:paraId="7EA7365D" w14:textId="77777777" w:rsidR="005005C3" w:rsidRPr="00DF4CE5" w:rsidRDefault="005005C3" w:rsidP="005005C3">
            <w:pPr>
              <w:spacing w:after="0" w:line="240" w:lineRule="auto"/>
              <w:jc w:val="both"/>
              <w:rPr>
                <w:rFonts w:ascii="Cambria" w:eastAsia="Times New Roman" w:hAnsi="Cambria" w:cs="Calibri"/>
                <w:lang w:val="hr-HR"/>
              </w:rPr>
            </w:pPr>
          </w:p>
        </w:tc>
        <w:tc>
          <w:tcPr>
            <w:tcW w:w="6717"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FDD7CC0" w14:textId="77777777" w:rsidR="005005C3" w:rsidRPr="00DF4CE5" w:rsidRDefault="005005C3" w:rsidP="005005C3">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Dodatna pojašnjenja (kriteriji ocjenjivanja):</w:t>
            </w:r>
          </w:p>
          <w:p w14:paraId="77AEE4AA" w14:textId="080D5126" w:rsidR="005005C3" w:rsidRPr="00DF4CE5" w:rsidRDefault="005005C3" w:rsidP="005005C3">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Studenti su nakon odslušanog kolegija dužni položiti usmeni ispit na kojem će im zadatak biti interpretativno pročitati dvije kartice teksta na engleskom jeziku tematike bliske dječjem uzrastu. Svaka pogrešno pročitana riječ umanjuje ukupni postotak za jedan postotni bod (1%).</w:t>
            </w:r>
          </w:p>
        </w:tc>
      </w:tr>
      <w:tr w:rsidR="005005C3" w:rsidRPr="00D0399C" w14:paraId="01FEAC61" w14:textId="77777777" w:rsidTr="00491856">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EC13F64" w14:textId="77777777" w:rsidR="005005C3" w:rsidRPr="00DF4CE5" w:rsidRDefault="005005C3" w:rsidP="005005C3">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Studentske obveze</w:t>
            </w:r>
          </w:p>
        </w:tc>
        <w:tc>
          <w:tcPr>
            <w:tcW w:w="671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36A9CC93" w14:textId="77777777" w:rsidR="005005C3" w:rsidRPr="00DF4CE5" w:rsidRDefault="005005C3" w:rsidP="005005C3">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Da položi kolegij, student/studentica mora:</w:t>
            </w:r>
          </w:p>
          <w:p w14:paraId="2B19F6CD" w14:textId="77777777" w:rsidR="005005C3" w:rsidRPr="00DF4CE5" w:rsidRDefault="005005C3" w:rsidP="005005C3">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1. redovito pohađati nastavu (tolerira se do 30% izostanaka od ukupnog broja sati)</w:t>
            </w:r>
          </w:p>
          <w:p w14:paraId="1E1DD052" w14:textId="77777777" w:rsidR="005005C3" w:rsidRPr="00DF4CE5" w:rsidRDefault="005005C3" w:rsidP="005005C3">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2. aktivno sudjelovati u nastavnom procesu</w:t>
            </w:r>
          </w:p>
          <w:p w14:paraId="78CD95F4" w14:textId="77777777" w:rsidR="005005C3" w:rsidRPr="00DF4CE5" w:rsidRDefault="005005C3" w:rsidP="005005C3">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3. položiti usmeni ispit.</w:t>
            </w:r>
          </w:p>
        </w:tc>
      </w:tr>
      <w:tr w:rsidR="005005C3" w:rsidRPr="00D0399C" w14:paraId="7BE980CC" w14:textId="77777777" w:rsidTr="00491856">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227A6BC" w14:textId="77777777" w:rsidR="005005C3" w:rsidRPr="00DF4CE5" w:rsidRDefault="005005C3" w:rsidP="005005C3">
            <w:pPr>
              <w:spacing w:after="0" w:line="240" w:lineRule="auto"/>
              <w:jc w:val="both"/>
              <w:rPr>
                <w:rFonts w:ascii="Cambria" w:eastAsia="Times New Roman" w:hAnsi="Cambria" w:cs="Calibri"/>
                <w:lang w:val="hr-HR"/>
              </w:rPr>
            </w:pPr>
            <w:proofErr w:type="spellStart"/>
            <w:r w:rsidRPr="00DF4CE5">
              <w:rPr>
                <w:rFonts w:ascii="Cambria" w:eastAsia="Times New Roman" w:hAnsi="Cambria" w:cs="Calibri"/>
              </w:rPr>
              <w:t>Rokovi</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ispita</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i</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kolokvija</w:t>
            </w:r>
            <w:proofErr w:type="spellEnd"/>
          </w:p>
        </w:tc>
        <w:tc>
          <w:tcPr>
            <w:tcW w:w="671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6343531" w14:textId="77777777" w:rsidR="005005C3" w:rsidRPr="00DF4CE5" w:rsidRDefault="005005C3" w:rsidP="005005C3">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Definiraju se na početku akademske godine, te se objavljuju na ISVU sustavu.</w:t>
            </w:r>
          </w:p>
        </w:tc>
      </w:tr>
      <w:tr w:rsidR="005005C3" w:rsidRPr="007571A6" w14:paraId="3FD2AEFF" w14:textId="77777777" w:rsidTr="00491856">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7FF16CF" w14:textId="77777777" w:rsidR="005005C3" w:rsidRPr="00DF4CE5" w:rsidRDefault="005005C3" w:rsidP="005005C3">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Ostale važne činjenice </w:t>
            </w:r>
            <w:proofErr w:type="spellStart"/>
            <w:r w:rsidRPr="00DF4CE5">
              <w:rPr>
                <w:rFonts w:ascii="Cambria" w:eastAsia="Times New Roman" w:hAnsi="Cambria" w:cs="Calibri"/>
                <w:lang w:val="it-IT"/>
              </w:rPr>
              <w:t>vezane</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uz</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kolegij</w:t>
            </w:r>
            <w:proofErr w:type="spellEnd"/>
          </w:p>
        </w:tc>
        <w:tc>
          <w:tcPr>
            <w:tcW w:w="671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01AD10D" w14:textId="335033E8" w:rsidR="005005C3" w:rsidRPr="00DF4CE5" w:rsidRDefault="005005C3" w:rsidP="005005C3">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U slučaju održavanja nastave na daljinu, moguće je odstupanje u: mjestu izvođenja kolegija, provedbi aktivnosti, metodama tumačenja i poučavanja i načinima vrednovanja, studentskim obvezama i dostupnoj literaturi. O tome će nositeljica kolegija i </w:t>
            </w:r>
            <w:r w:rsidR="007571A6">
              <w:rPr>
                <w:rFonts w:ascii="Cambria" w:eastAsia="Times New Roman" w:hAnsi="Cambria" w:cs="Calibri"/>
                <w:lang w:val="hr-HR"/>
              </w:rPr>
              <w:t>suradnik</w:t>
            </w:r>
            <w:r w:rsidRPr="00DF4CE5">
              <w:rPr>
                <w:rFonts w:ascii="Cambria" w:eastAsia="Times New Roman" w:hAnsi="Cambria" w:cs="Calibri"/>
                <w:lang w:val="hr-HR"/>
              </w:rPr>
              <w:t xml:space="preserve"> obavijestiti studente i studentice kad se nastava na daljinu počne održavati. Ishodi učenja ostaju nepromijenjeni.</w:t>
            </w:r>
          </w:p>
        </w:tc>
      </w:tr>
      <w:tr w:rsidR="005005C3" w:rsidRPr="00DF4CE5" w14:paraId="66087D7E" w14:textId="77777777" w:rsidTr="00491856">
        <w:trPr>
          <w:trHeight w:val="770"/>
        </w:trPr>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0904D39" w14:textId="77777777" w:rsidR="005005C3" w:rsidRPr="00DF4CE5" w:rsidRDefault="005005C3" w:rsidP="005005C3">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Literatura</w:t>
            </w:r>
          </w:p>
        </w:tc>
        <w:tc>
          <w:tcPr>
            <w:tcW w:w="6717"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14:paraId="0AEF3C5B" w14:textId="77777777" w:rsidR="005005C3" w:rsidRPr="00DF4CE5" w:rsidRDefault="005005C3" w:rsidP="005005C3">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Literatura nije obvezna!</w:t>
            </w:r>
          </w:p>
          <w:p w14:paraId="16EB2ED3" w14:textId="77777777" w:rsidR="005005C3" w:rsidRPr="00DF4CE5" w:rsidRDefault="005005C3" w:rsidP="005005C3">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Izborna literatura:</w:t>
            </w:r>
          </w:p>
          <w:p w14:paraId="57701E3B" w14:textId="77777777" w:rsidR="005005C3" w:rsidRPr="00DF4CE5" w:rsidRDefault="005005C3" w:rsidP="005005C3">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1. Ellis, G. &amp; </w:t>
            </w:r>
            <w:proofErr w:type="spellStart"/>
            <w:r w:rsidRPr="00DF4CE5">
              <w:rPr>
                <w:rFonts w:ascii="Cambria" w:eastAsia="Times New Roman" w:hAnsi="Cambria" w:cs="Calibri"/>
                <w:lang w:val="hr-HR"/>
              </w:rPr>
              <w:t>Brewster</w:t>
            </w:r>
            <w:proofErr w:type="spellEnd"/>
            <w:r w:rsidRPr="00DF4CE5">
              <w:rPr>
                <w:rFonts w:ascii="Cambria" w:eastAsia="Times New Roman" w:hAnsi="Cambria" w:cs="Calibri"/>
                <w:lang w:val="hr-HR"/>
              </w:rPr>
              <w:t xml:space="preserve">, J. (1991). </w:t>
            </w:r>
            <w:proofErr w:type="spellStart"/>
            <w:r w:rsidRPr="00DF4CE5">
              <w:rPr>
                <w:rFonts w:ascii="Cambria" w:eastAsia="Times New Roman" w:hAnsi="Cambria" w:cs="Calibri"/>
                <w:lang w:val="hr-HR"/>
              </w:rPr>
              <w:t>The</w:t>
            </w:r>
            <w:proofErr w:type="spellEnd"/>
            <w:r w:rsidRPr="00DF4CE5">
              <w:rPr>
                <w:rFonts w:ascii="Cambria" w:eastAsia="Times New Roman" w:hAnsi="Cambria" w:cs="Calibri"/>
                <w:lang w:val="hr-HR"/>
              </w:rPr>
              <w:t xml:space="preserve"> </w:t>
            </w:r>
            <w:proofErr w:type="spellStart"/>
            <w:r w:rsidRPr="00DF4CE5">
              <w:rPr>
                <w:rFonts w:ascii="Cambria" w:eastAsia="Times New Roman" w:hAnsi="Cambria" w:cs="Calibri"/>
                <w:lang w:val="hr-HR"/>
              </w:rPr>
              <w:t>Storytelling</w:t>
            </w:r>
            <w:proofErr w:type="spellEnd"/>
            <w:r w:rsidRPr="00DF4CE5">
              <w:rPr>
                <w:rFonts w:ascii="Cambria" w:eastAsia="Times New Roman" w:hAnsi="Cambria" w:cs="Calibri"/>
                <w:lang w:val="hr-HR"/>
              </w:rPr>
              <w:t xml:space="preserve"> </w:t>
            </w:r>
            <w:proofErr w:type="spellStart"/>
            <w:r w:rsidRPr="00DF4CE5">
              <w:rPr>
                <w:rFonts w:ascii="Cambria" w:eastAsia="Times New Roman" w:hAnsi="Cambria" w:cs="Calibri"/>
                <w:lang w:val="hr-HR"/>
              </w:rPr>
              <w:t>Handbook</w:t>
            </w:r>
            <w:proofErr w:type="spellEnd"/>
            <w:r w:rsidRPr="00DF4CE5">
              <w:rPr>
                <w:rFonts w:ascii="Cambria" w:eastAsia="Times New Roman" w:hAnsi="Cambria" w:cs="Calibri"/>
                <w:lang w:val="hr-HR"/>
              </w:rPr>
              <w:t xml:space="preserve"> for </w:t>
            </w:r>
            <w:proofErr w:type="spellStart"/>
            <w:r w:rsidRPr="00DF4CE5">
              <w:rPr>
                <w:rFonts w:ascii="Cambria" w:eastAsia="Times New Roman" w:hAnsi="Cambria" w:cs="Calibri"/>
                <w:lang w:val="hr-HR"/>
              </w:rPr>
              <w:t>Primary</w:t>
            </w:r>
            <w:proofErr w:type="spellEnd"/>
            <w:r w:rsidRPr="00DF4CE5">
              <w:rPr>
                <w:rFonts w:ascii="Cambria" w:eastAsia="Times New Roman" w:hAnsi="Cambria" w:cs="Calibri"/>
                <w:lang w:val="hr-HR"/>
              </w:rPr>
              <w:t xml:space="preserve"> </w:t>
            </w:r>
            <w:proofErr w:type="spellStart"/>
            <w:r w:rsidRPr="00DF4CE5">
              <w:rPr>
                <w:rFonts w:ascii="Cambria" w:eastAsia="Times New Roman" w:hAnsi="Cambria" w:cs="Calibri"/>
                <w:lang w:val="hr-HR"/>
              </w:rPr>
              <w:t>Teachers</w:t>
            </w:r>
            <w:proofErr w:type="spellEnd"/>
            <w:r w:rsidRPr="00DF4CE5">
              <w:rPr>
                <w:rFonts w:ascii="Cambria" w:eastAsia="Times New Roman" w:hAnsi="Cambria" w:cs="Calibri"/>
                <w:lang w:val="hr-HR"/>
              </w:rPr>
              <w:t xml:space="preserve">. London: </w:t>
            </w:r>
            <w:proofErr w:type="spellStart"/>
            <w:r w:rsidRPr="00DF4CE5">
              <w:rPr>
                <w:rFonts w:ascii="Cambria" w:eastAsia="Times New Roman" w:hAnsi="Cambria" w:cs="Calibri"/>
                <w:lang w:val="hr-HR"/>
              </w:rPr>
              <w:t>Penguin</w:t>
            </w:r>
            <w:proofErr w:type="spellEnd"/>
            <w:r w:rsidRPr="00DF4CE5">
              <w:rPr>
                <w:rFonts w:ascii="Cambria" w:eastAsia="Times New Roman" w:hAnsi="Cambria" w:cs="Calibri"/>
                <w:lang w:val="hr-HR"/>
              </w:rPr>
              <w:t xml:space="preserve"> </w:t>
            </w:r>
            <w:proofErr w:type="spellStart"/>
            <w:r w:rsidRPr="00DF4CE5">
              <w:rPr>
                <w:rFonts w:ascii="Cambria" w:eastAsia="Times New Roman" w:hAnsi="Cambria" w:cs="Calibri"/>
                <w:lang w:val="hr-HR"/>
              </w:rPr>
              <w:t>books</w:t>
            </w:r>
            <w:proofErr w:type="spellEnd"/>
          </w:p>
          <w:p w14:paraId="0344A583" w14:textId="77777777" w:rsidR="005005C3" w:rsidRPr="00DF4CE5" w:rsidRDefault="005005C3" w:rsidP="005005C3">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2. </w:t>
            </w:r>
            <w:proofErr w:type="spellStart"/>
            <w:r w:rsidRPr="00DF4CE5">
              <w:rPr>
                <w:rFonts w:ascii="Cambria" w:eastAsia="Times New Roman" w:hAnsi="Cambria" w:cs="Calibri"/>
                <w:lang w:val="hr-HR"/>
              </w:rPr>
              <w:t>Maley</w:t>
            </w:r>
            <w:proofErr w:type="spellEnd"/>
            <w:r w:rsidRPr="00DF4CE5">
              <w:rPr>
                <w:rFonts w:ascii="Cambria" w:eastAsia="Times New Roman" w:hAnsi="Cambria" w:cs="Calibri"/>
                <w:lang w:val="hr-HR"/>
              </w:rPr>
              <w:t xml:space="preserve">, A. &amp; </w:t>
            </w:r>
            <w:proofErr w:type="spellStart"/>
            <w:r w:rsidRPr="00DF4CE5">
              <w:rPr>
                <w:rFonts w:ascii="Cambria" w:eastAsia="Times New Roman" w:hAnsi="Cambria" w:cs="Calibri"/>
                <w:lang w:val="hr-HR"/>
              </w:rPr>
              <w:t>Duff</w:t>
            </w:r>
            <w:proofErr w:type="spellEnd"/>
            <w:r w:rsidRPr="00DF4CE5">
              <w:rPr>
                <w:rFonts w:ascii="Cambria" w:eastAsia="Times New Roman" w:hAnsi="Cambria" w:cs="Calibri"/>
                <w:lang w:val="hr-HR"/>
              </w:rPr>
              <w:t xml:space="preserve">, A. (2005). Drama </w:t>
            </w:r>
            <w:proofErr w:type="spellStart"/>
            <w:r w:rsidRPr="00DF4CE5">
              <w:rPr>
                <w:rFonts w:ascii="Cambria" w:eastAsia="Times New Roman" w:hAnsi="Cambria" w:cs="Calibri"/>
                <w:lang w:val="hr-HR"/>
              </w:rPr>
              <w:t>Techniques</w:t>
            </w:r>
            <w:proofErr w:type="spellEnd"/>
            <w:r w:rsidRPr="00DF4CE5">
              <w:rPr>
                <w:rFonts w:ascii="Cambria" w:eastAsia="Times New Roman" w:hAnsi="Cambria" w:cs="Calibri"/>
                <w:lang w:val="hr-HR"/>
              </w:rPr>
              <w:t>. Cambridge: Cambridge University Press</w:t>
            </w:r>
          </w:p>
          <w:p w14:paraId="7B8E5187" w14:textId="77777777" w:rsidR="005005C3" w:rsidRPr="00DF4CE5" w:rsidRDefault="005005C3" w:rsidP="005005C3">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3. Morrison, M. (2001). Clear </w:t>
            </w:r>
            <w:proofErr w:type="spellStart"/>
            <w:r w:rsidRPr="00DF4CE5">
              <w:rPr>
                <w:rFonts w:ascii="Cambria" w:eastAsia="Times New Roman" w:hAnsi="Cambria" w:cs="Calibri"/>
                <w:lang w:val="hr-HR"/>
              </w:rPr>
              <w:t>Speech</w:t>
            </w:r>
            <w:proofErr w:type="spellEnd"/>
            <w:r w:rsidRPr="00DF4CE5">
              <w:rPr>
                <w:rFonts w:ascii="Cambria" w:eastAsia="Times New Roman" w:hAnsi="Cambria" w:cs="Calibri"/>
                <w:lang w:val="hr-HR"/>
              </w:rPr>
              <w:t>. London: A &amp; C Black</w:t>
            </w:r>
          </w:p>
          <w:p w14:paraId="1DDA9811" w14:textId="77777777" w:rsidR="005005C3" w:rsidRPr="00DF4CE5" w:rsidRDefault="005005C3" w:rsidP="005005C3">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4. </w:t>
            </w:r>
            <w:proofErr w:type="spellStart"/>
            <w:r w:rsidRPr="00DF4CE5">
              <w:rPr>
                <w:rFonts w:ascii="Cambria" w:eastAsia="Times New Roman" w:hAnsi="Cambria" w:cs="Calibri"/>
                <w:lang w:val="hr-HR"/>
              </w:rPr>
              <w:t>Rodenburg</w:t>
            </w:r>
            <w:proofErr w:type="spellEnd"/>
            <w:r w:rsidRPr="00DF4CE5">
              <w:rPr>
                <w:rFonts w:ascii="Cambria" w:eastAsia="Times New Roman" w:hAnsi="Cambria" w:cs="Calibri"/>
                <w:lang w:val="hr-HR"/>
              </w:rPr>
              <w:t xml:space="preserve">, P. (1992). </w:t>
            </w:r>
            <w:proofErr w:type="spellStart"/>
            <w:r w:rsidRPr="00DF4CE5">
              <w:rPr>
                <w:rFonts w:ascii="Cambria" w:eastAsia="Times New Roman" w:hAnsi="Cambria" w:cs="Calibri"/>
                <w:lang w:val="hr-HR"/>
              </w:rPr>
              <w:t>The</w:t>
            </w:r>
            <w:proofErr w:type="spellEnd"/>
            <w:r w:rsidRPr="00DF4CE5">
              <w:rPr>
                <w:rFonts w:ascii="Cambria" w:eastAsia="Times New Roman" w:hAnsi="Cambria" w:cs="Calibri"/>
                <w:lang w:val="hr-HR"/>
              </w:rPr>
              <w:t xml:space="preserve"> </w:t>
            </w:r>
            <w:proofErr w:type="spellStart"/>
            <w:r w:rsidRPr="00DF4CE5">
              <w:rPr>
                <w:rFonts w:ascii="Cambria" w:eastAsia="Times New Roman" w:hAnsi="Cambria" w:cs="Calibri"/>
                <w:lang w:val="hr-HR"/>
              </w:rPr>
              <w:t>Right</w:t>
            </w:r>
            <w:proofErr w:type="spellEnd"/>
            <w:r w:rsidRPr="00DF4CE5">
              <w:rPr>
                <w:rFonts w:ascii="Cambria" w:eastAsia="Times New Roman" w:hAnsi="Cambria" w:cs="Calibri"/>
                <w:lang w:val="hr-HR"/>
              </w:rPr>
              <w:t xml:space="preserve"> to </w:t>
            </w:r>
            <w:proofErr w:type="spellStart"/>
            <w:r w:rsidRPr="00DF4CE5">
              <w:rPr>
                <w:rFonts w:ascii="Cambria" w:eastAsia="Times New Roman" w:hAnsi="Cambria" w:cs="Calibri"/>
                <w:lang w:val="hr-HR"/>
              </w:rPr>
              <w:t>Speak</w:t>
            </w:r>
            <w:proofErr w:type="spellEnd"/>
            <w:r w:rsidRPr="00DF4CE5">
              <w:rPr>
                <w:rFonts w:ascii="Cambria" w:eastAsia="Times New Roman" w:hAnsi="Cambria" w:cs="Calibri"/>
                <w:lang w:val="hr-HR"/>
              </w:rPr>
              <w:t xml:space="preserve">. </w:t>
            </w:r>
            <w:proofErr w:type="spellStart"/>
            <w:r w:rsidRPr="00DF4CE5">
              <w:rPr>
                <w:rFonts w:ascii="Cambria" w:eastAsia="Times New Roman" w:hAnsi="Cambria" w:cs="Calibri"/>
                <w:lang w:val="hr-HR"/>
              </w:rPr>
              <w:t>Working</w:t>
            </w:r>
            <w:proofErr w:type="spellEnd"/>
            <w:r w:rsidRPr="00DF4CE5">
              <w:rPr>
                <w:rFonts w:ascii="Cambria" w:eastAsia="Times New Roman" w:hAnsi="Cambria" w:cs="Calibri"/>
                <w:lang w:val="hr-HR"/>
              </w:rPr>
              <w:t xml:space="preserve"> </w:t>
            </w:r>
            <w:proofErr w:type="spellStart"/>
            <w:r w:rsidRPr="00DF4CE5">
              <w:rPr>
                <w:rFonts w:ascii="Cambria" w:eastAsia="Times New Roman" w:hAnsi="Cambria" w:cs="Calibri"/>
                <w:lang w:val="hr-HR"/>
              </w:rPr>
              <w:t>with</w:t>
            </w:r>
            <w:proofErr w:type="spellEnd"/>
            <w:r w:rsidRPr="00DF4CE5">
              <w:rPr>
                <w:rFonts w:ascii="Cambria" w:eastAsia="Times New Roman" w:hAnsi="Cambria" w:cs="Calibri"/>
                <w:lang w:val="hr-HR"/>
              </w:rPr>
              <w:t xml:space="preserve"> </w:t>
            </w:r>
            <w:proofErr w:type="spellStart"/>
            <w:r w:rsidRPr="00DF4CE5">
              <w:rPr>
                <w:rFonts w:ascii="Cambria" w:eastAsia="Times New Roman" w:hAnsi="Cambria" w:cs="Calibri"/>
                <w:lang w:val="hr-HR"/>
              </w:rPr>
              <w:t>the</w:t>
            </w:r>
            <w:proofErr w:type="spellEnd"/>
            <w:r w:rsidRPr="00DF4CE5">
              <w:rPr>
                <w:rFonts w:ascii="Cambria" w:eastAsia="Times New Roman" w:hAnsi="Cambria" w:cs="Calibri"/>
                <w:lang w:val="hr-HR"/>
              </w:rPr>
              <w:t xml:space="preserve"> </w:t>
            </w:r>
            <w:proofErr w:type="spellStart"/>
            <w:r w:rsidRPr="00DF4CE5">
              <w:rPr>
                <w:rFonts w:ascii="Cambria" w:eastAsia="Times New Roman" w:hAnsi="Cambria" w:cs="Calibri"/>
                <w:lang w:val="hr-HR"/>
              </w:rPr>
              <w:t>Voice</w:t>
            </w:r>
            <w:proofErr w:type="spellEnd"/>
            <w:r w:rsidRPr="00DF4CE5">
              <w:rPr>
                <w:rFonts w:ascii="Cambria" w:eastAsia="Times New Roman" w:hAnsi="Cambria" w:cs="Calibri"/>
                <w:lang w:val="hr-HR"/>
              </w:rPr>
              <w:t xml:space="preserve">. Kent: </w:t>
            </w:r>
            <w:proofErr w:type="spellStart"/>
            <w:r w:rsidRPr="00DF4CE5">
              <w:rPr>
                <w:rFonts w:ascii="Cambria" w:eastAsia="Times New Roman" w:hAnsi="Cambria" w:cs="Calibri"/>
                <w:lang w:val="hr-HR"/>
              </w:rPr>
              <w:t>Mackays</w:t>
            </w:r>
            <w:proofErr w:type="spellEnd"/>
            <w:r w:rsidRPr="00DF4CE5">
              <w:rPr>
                <w:rFonts w:ascii="Cambria" w:eastAsia="Times New Roman" w:hAnsi="Cambria" w:cs="Calibri"/>
                <w:lang w:val="hr-HR"/>
              </w:rPr>
              <w:t xml:space="preserve"> </w:t>
            </w:r>
            <w:proofErr w:type="spellStart"/>
            <w:r w:rsidRPr="00DF4CE5">
              <w:rPr>
                <w:rFonts w:ascii="Cambria" w:eastAsia="Times New Roman" w:hAnsi="Cambria" w:cs="Calibri"/>
                <w:lang w:val="hr-HR"/>
              </w:rPr>
              <w:t>of</w:t>
            </w:r>
            <w:proofErr w:type="spellEnd"/>
            <w:r w:rsidRPr="00DF4CE5">
              <w:rPr>
                <w:rFonts w:ascii="Cambria" w:eastAsia="Times New Roman" w:hAnsi="Cambria" w:cs="Calibri"/>
                <w:lang w:val="hr-HR"/>
              </w:rPr>
              <w:t xml:space="preserve"> </w:t>
            </w:r>
            <w:proofErr w:type="spellStart"/>
            <w:r w:rsidRPr="00DF4CE5">
              <w:rPr>
                <w:rFonts w:ascii="Cambria" w:eastAsia="Times New Roman" w:hAnsi="Cambria" w:cs="Calibri"/>
                <w:lang w:val="hr-HR"/>
              </w:rPr>
              <w:t>Chatham</w:t>
            </w:r>
            <w:proofErr w:type="spellEnd"/>
            <w:r w:rsidRPr="00DF4CE5">
              <w:rPr>
                <w:rFonts w:ascii="Cambria" w:eastAsia="Times New Roman" w:hAnsi="Cambria" w:cs="Calibri"/>
                <w:lang w:val="hr-HR"/>
              </w:rPr>
              <w:t xml:space="preserve"> PLC</w:t>
            </w:r>
          </w:p>
        </w:tc>
      </w:tr>
    </w:tbl>
    <w:p w14:paraId="3C29CBDC" w14:textId="406862BE" w:rsidR="00DB0462" w:rsidRDefault="00DB0462" w:rsidP="008B34AF">
      <w:pPr>
        <w:jc w:val="both"/>
        <w:rPr>
          <w:rFonts w:ascii="Cambria" w:hAnsi="Cambria"/>
        </w:rPr>
      </w:pPr>
    </w:p>
    <w:p w14:paraId="56958050" w14:textId="2E490537" w:rsidR="004A100E" w:rsidRPr="00DF4CE5" w:rsidRDefault="00DB0462" w:rsidP="00830554">
      <w:pPr>
        <w:rPr>
          <w:rFonts w:ascii="Cambria" w:hAnsi="Cambria"/>
        </w:rPr>
      </w:pPr>
      <w:r>
        <w:rPr>
          <w:rFonts w:ascii="Cambria" w:hAnsi="Cambria"/>
        </w:rPr>
        <w:br w:type="page"/>
      </w:r>
    </w:p>
    <w:tbl>
      <w:tblPr>
        <w:tblW w:w="5000" w:type="pct"/>
        <w:tblLayout w:type="fixed"/>
        <w:tblCellMar>
          <w:left w:w="0" w:type="dxa"/>
          <w:right w:w="0" w:type="dxa"/>
        </w:tblCellMar>
        <w:tblLook w:val="0600" w:firstRow="0" w:lastRow="0" w:firstColumn="0" w:lastColumn="0" w:noHBand="1" w:noVBand="1"/>
      </w:tblPr>
      <w:tblGrid>
        <w:gridCol w:w="2806"/>
        <w:gridCol w:w="2663"/>
        <w:gridCol w:w="105"/>
        <w:gridCol w:w="1172"/>
        <w:gridCol w:w="300"/>
        <w:gridCol w:w="472"/>
        <w:gridCol w:w="1087"/>
        <w:gridCol w:w="1415"/>
      </w:tblGrid>
      <w:tr w:rsidR="00A44D99" w:rsidRPr="00DF4CE5" w14:paraId="483D066E" w14:textId="77777777" w:rsidTr="00B36357">
        <w:trPr>
          <w:trHeight w:val="476"/>
        </w:trPr>
        <w:tc>
          <w:tcPr>
            <w:tcW w:w="10020"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F9091FA" w14:textId="77777777" w:rsidR="00A44D99" w:rsidRPr="00DF4CE5" w:rsidRDefault="00A44D99" w:rsidP="00891E8C">
            <w:pPr>
              <w:jc w:val="right"/>
              <w:rPr>
                <w:rFonts w:ascii="Cambria" w:hAnsi="Cambria" w:cs="Calibri"/>
                <w:b/>
              </w:rPr>
            </w:pPr>
            <w:r w:rsidRPr="00DF4CE5">
              <w:rPr>
                <w:rFonts w:ascii="Cambria" w:hAnsi="Cambria" w:cs="Calibri"/>
                <w:b/>
              </w:rPr>
              <w:lastRenderedPageBreak/>
              <w:t>IZVEDBENI PLAN NASTAVE KOLEGIJA</w:t>
            </w:r>
          </w:p>
        </w:tc>
      </w:tr>
      <w:tr w:rsidR="00A44D99" w:rsidRPr="00DF4CE5" w14:paraId="01D50119" w14:textId="77777777" w:rsidTr="00F710EA">
        <w:trPr>
          <w:trHeight w:val="292"/>
        </w:trPr>
        <w:tc>
          <w:tcPr>
            <w:tcW w:w="280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82C75F0" w14:textId="77777777" w:rsidR="00A44D99" w:rsidRPr="00DF4CE5" w:rsidRDefault="00A44D99" w:rsidP="00F710EA">
            <w:pPr>
              <w:spacing w:after="0" w:line="240" w:lineRule="auto"/>
              <w:rPr>
                <w:rFonts w:ascii="Cambria" w:hAnsi="Cambria" w:cs="Calibri"/>
              </w:rPr>
            </w:pPr>
            <w:proofErr w:type="spellStart"/>
            <w:r w:rsidRPr="00DF4CE5">
              <w:rPr>
                <w:rFonts w:ascii="Cambria" w:hAnsi="Cambria" w:cs="Calibri"/>
              </w:rPr>
              <w:t>Kod</w:t>
            </w:r>
            <w:proofErr w:type="spellEnd"/>
            <w:r w:rsidRPr="00DF4CE5">
              <w:rPr>
                <w:rFonts w:ascii="Cambria" w:hAnsi="Cambria" w:cs="Calibri"/>
              </w:rPr>
              <w:t xml:space="preserve"> </w:t>
            </w:r>
            <w:proofErr w:type="spellStart"/>
            <w:r w:rsidRPr="00DF4CE5">
              <w:rPr>
                <w:rFonts w:ascii="Cambria" w:hAnsi="Cambria" w:cs="Calibri"/>
              </w:rPr>
              <w:t>i</w:t>
            </w:r>
            <w:proofErr w:type="spellEnd"/>
            <w:r w:rsidRPr="00DF4CE5">
              <w:rPr>
                <w:rFonts w:ascii="Cambria" w:hAnsi="Cambria" w:cs="Calibri"/>
              </w:rPr>
              <w:t xml:space="preserve"> </w:t>
            </w:r>
            <w:proofErr w:type="spellStart"/>
            <w:r w:rsidRPr="00DF4CE5">
              <w:rPr>
                <w:rFonts w:ascii="Cambria" w:hAnsi="Cambria" w:cs="Calibri"/>
              </w:rPr>
              <w:t>naziv</w:t>
            </w:r>
            <w:proofErr w:type="spellEnd"/>
            <w:r w:rsidRPr="00DF4CE5">
              <w:rPr>
                <w:rFonts w:ascii="Cambria" w:hAnsi="Cambria" w:cs="Calibri"/>
              </w:rPr>
              <w:t xml:space="preserve"> </w:t>
            </w:r>
            <w:proofErr w:type="spellStart"/>
            <w:r w:rsidRPr="00DF4CE5">
              <w:rPr>
                <w:rFonts w:ascii="Cambria" w:hAnsi="Cambria" w:cs="Calibri"/>
              </w:rPr>
              <w:t>kolegija</w:t>
            </w:r>
            <w:proofErr w:type="spellEnd"/>
          </w:p>
        </w:tc>
        <w:tc>
          <w:tcPr>
            <w:tcW w:w="721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CB55913" w14:textId="77777777" w:rsidR="00A44D99" w:rsidRPr="00DF4CE5" w:rsidRDefault="00A44D99" w:rsidP="00F710EA">
            <w:pPr>
              <w:pStyle w:val="Default"/>
              <w:rPr>
                <w:rFonts w:ascii="Cambria" w:hAnsi="Cambria"/>
                <w:sz w:val="22"/>
                <w:szCs w:val="22"/>
              </w:rPr>
            </w:pPr>
            <w:r w:rsidRPr="00DF4CE5">
              <w:rPr>
                <w:rFonts w:ascii="Cambria" w:hAnsi="Cambria"/>
                <w:sz w:val="22"/>
                <w:szCs w:val="22"/>
              </w:rPr>
              <w:t xml:space="preserve">149206 </w:t>
            </w:r>
          </w:p>
          <w:p w14:paraId="2426DC0F" w14:textId="0566D235" w:rsidR="00A44D99" w:rsidRPr="00DB0462" w:rsidRDefault="00A44D99" w:rsidP="00F710EA">
            <w:pPr>
              <w:spacing w:after="0" w:line="240" w:lineRule="auto"/>
              <w:rPr>
                <w:rFonts w:ascii="Cambria" w:hAnsi="Cambria" w:cs="Calibri"/>
                <w:bCs/>
              </w:rPr>
            </w:pPr>
            <w:proofErr w:type="spellStart"/>
            <w:r w:rsidRPr="00DB0462">
              <w:rPr>
                <w:rFonts w:ascii="Cambria" w:hAnsi="Cambria"/>
                <w:bCs/>
              </w:rPr>
              <w:t>Izrada</w:t>
            </w:r>
            <w:proofErr w:type="spellEnd"/>
            <w:r w:rsidRPr="00DB0462">
              <w:rPr>
                <w:rFonts w:ascii="Cambria" w:hAnsi="Cambria"/>
                <w:bCs/>
              </w:rPr>
              <w:t xml:space="preserve"> web </w:t>
            </w:r>
            <w:proofErr w:type="spellStart"/>
            <w:r w:rsidRPr="00DB0462">
              <w:rPr>
                <w:rFonts w:ascii="Cambria" w:hAnsi="Cambria"/>
                <w:bCs/>
              </w:rPr>
              <w:t>stranica</w:t>
            </w:r>
            <w:proofErr w:type="spellEnd"/>
            <w:r w:rsidRPr="00DB0462">
              <w:rPr>
                <w:rFonts w:ascii="Cambria" w:hAnsi="Cambria"/>
                <w:bCs/>
              </w:rPr>
              <w:t xml:space="preserve"> </w:t>
            </w:r>
          </w:p>
        </w:tc>
      </w:tr>
      <w:tr w:rsidR="00A44D99" w:rsidRPr="00D0399C" w14:paraId="22E1C1BF" w14:textId="77777777" w:rsidTr="00F710EA">
        <w:tc>
          <w:tcPr>
            <w:tcW w:w="280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397C0CC" w14:textId="77777777" w:rsidR="00A44D99" w:rsidRPr="00DF4CE5" w:rsidRDefault="00A44D99" w:rsidP="00F04088">
            <w:pPr>
              <w:spacing w:after="0"/>
              <w:rPr>
                <w:rFonts w:ascii="Cambria" w:hAnsi="Cambria" w:cs="Calibri"/>
              </w:rPr>
            </w:pPr>
            <w:proofErr w:type="spellStart"/>
            <w:r w:rsidRPr="00DF4CE5">
              <w:rPr>
                <w:rFonts w:ascii="Cambria" w:hAnsi="Cambria" w:cs="Calibri"/>
              </w:rPr>
              <w:t>Nastavnica</w:t>
            </w:r>
            <w:proofErr w:type="spellEnd"/>
            <w:r w:rsidRPr="00DF4CE5">
              <w:rPr>
                <w:rFonts w:ascii="Cambria" w:hAnsi="Cambria" w:cs="Calibri"/>
              </w:rPr>
              <w:t xml:space="preserve"> </w:t>
            </w:r>
          </w:p>
          <w:p w14:paraId="4FCC2C1A" w14:textId="77777777" w:rsidR="00A44D99" w:rsidRPr="00DF4CE5" w:rsidRDefault="00A44D99" w:rsidP="00F04088">
            <w:pPr>
              <w:spacing w:after="0"/>
              <w:rPr>
                <w:rFonts w:ascii="Cambria" w:hAnsi="Cambria" w:cs="Calibri"/>
              </w:rPr>
            </w:pPr>
            <w:proofErr w:type="spellStart"/>
            <w:r w:rsidRPr="00DF4CE5">
              <w:rPr>
                <w:rFonts w:ascii="Cambria" w:hAnsi="Cambria" w:cs="Calibri"/>
              </w:rPr>
              <w:t>Suradnik</w:t>
            </w:r>
            <w:proofErr w:type="spellEnd"/>
          </w:p>
        </w:tc>
        <w:tc>
          <w:tcPr>
            <w:tcW w:w="721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3EF91BB" w14:textId="6811DAEE" w:rsidR="00A44D99" w:rsidRPr="00DF4CE5" w:rsidRDefault="00F710EA" w:rsidP="00F04088">
            <w:pPr>
              <w:spacing w:after="0" w:line="240" w:lineRule="auto"/>
              <w:jc w:val="both"/>
              <w:rPr>
                <w:rFonts w:ascii="Cambria" w:eastAsia="Times New Roman" w:hAnsi="Cambria" w:cs="Calibri"/>
                <w:lang w:val="hr-HR"/>
              </w:rPr>
            </w:pPr>
            <w:r>
              <w:rPr>
                <w:rFonts w:ascii="Cambria" w:eastAsia="Times New Roman" w:hAnsi="Cambria" w:cs="Times New Roman"/>
                <w:color w:val="0000FF"/>
                <w:u w:val="single"/>
                <w:lang w:val="hr-HR"/>
              </w:rPr>
              <w:t>N</w:t>
            </w:r>
            <w:r w:rsidR="00A44D99" w:rsidRPr="00DF4CE5">
              <w:rPr>
                <w:rFonts w:ascii="Cambria" w:eastAsia="Times New Roman" w:hAnsi="Cambria" w:cs="Times New Roman"/>
                <w:color w:val="0000FF"/>
                <w:u w:val="single"/>
                <w:lang w:val="hr-HR"/>
              </w:rPr>
              <w:t xml:space="preserve">aslovna </w:t>
            </w:r>
            <w:hyperlink r:id="rId138" w:history="1">
              <w:r w:rsidR="00A44D99" w:rsidRPr="00DF4CE5">
                <w:rPr>
                  <w:rFonts w:ascii="Cambria" w:eastAsia="Times New Roman" w:hAnsi="Cambria" w:cs="Times New Roman"/>
                  <w:color w:val="0000FF"/>
                  <w:u w:val="single"/>
                  <w:lang w:val="hr-HR"/>
                </w:rPr>
                <w:t>d</w:t>
              </w:r>
              <w:r w:rsidR="00A44D99" w:rsidRPr="00DF4CE5">
                <w:rPr>
                  <w:rFonts w:ascii="Cambria" w:eastAsia="Times New Roman" w:hAnsi="Cambria" w:cs="Calibri"/>
                  <w:color w:val="0000FF"/>
                  <w:u w:val="single"/>
                  <w:lang w:val="hr-HR"/>
                </w:rPr>
                <w:t xml:space="preserve">oc. dr. sc. Elena </w:t>
              </w:r>
              <w:proofErr w:type="spellStart"/>
              <w:r w:rsidR="00A44D99" w:rsidRPr="00DF4CE5">
                <w:rPr>
                  <w:rFonts w:ascii="Cambria" w:eastAsia="Times New Roman" w:hAnsi="Cambria" w:cs="Calibri"/>
                  <w:color w:val="0000FF"/>
                  <w:u w:val="single"/>
                  <w:lang w:val="hr-HR"/>
                </w:rPr>
                <w:t>Krelja</w:t>
              </w:r>
              <w:proofErr w:type="spellEnd"/>
              <w:r w:rsidR="00A44D99" w:rsidRPr="00DF4CE5">
                <w:rPr>
                  <w:rFonts w:ascii="Cambria" w:eastAsia="Times New Roman" w:hAnsi="Cambria" w:cs="Calibri"/>
                  <w:color w:val="0000FF"/>
                  <w:u w:val="single"/>
                  <w:lang w:val="hr-HR"/>
                </w:rPr>
                <w:t xml:space="preserve"> </w:t>
              </w:r>
              <w:proofErr w:type="spellStart"/>
              <w:r w:rsidR="00A44D99" w:rsidRPr="00DF4CE5">
                <w:rPr>
                  <w:rFonts w:ascii="Cambria" w:eastAsia="Times New Roman" w:hAnsi="Cambria" w:cs="Calibri"/>
                  <w:color w:val="0000FF"/>
                  <w:u w:val="single"/>
                  <w:lang w:val="hr-HR"/>
                </w:rPr>
                <w:t>Kurelović</w:t>
              </w:r>
              <w:proofErr w:type="spellEnd"/>
            </w:hyperlink>
            <w:r>
              <w:rPr>
                <w:rFonts w:ascii="Cambria" w:eastAsia="Times New Roman" w:hAnsi="Cambria" w:cs="Calibri"/>
                <w:color w:val="0000FF"/>
                <w:u w:val="single"/>
                <w:lang w:val="hr-HR"/>
              </w:rPr>
              <w:t xml:space="preserve"> </w:t>
            </w:r>
            <w:r>
              <w:rPr>
                <w:rFonts w:ascii="Cambria" w:hAnsi="Cambria"/>
                <w:bCs/>
              </w:rPr>
              <w:t>(</w:t>
            </w:r>
            <w:proofErr w:type="spellStart"/>
            <w:r>
              <w:rPr>
                <w:rFonts w:ascii="Cambria" w:hAnsi="Cambria"/>
                <w:bCs/>
              </w:rPr>
              <w:t>nositeljica</w:t>
            </w:r>
            <w:proofErr w:type="spellEnd"/>
            <w:r>
              <w:rPr>
                <w:rFonts w:ascii="Cambria" w:hAnsi="Cambria"/>
                <w:bCs/>
              </w:rPr>
              <w:t>)</w:t>
            </w:r>
          </w:p>
          <w:p w14:paraId="66C4B1B1" w14:textId="05DB93EA" w:rsidR="00A44D99" w:rsidRPr="000F1A10" w:rsidRDefault="000F1A10" w:rsidP="00F04088">
            <w:pPr>
              <w:spacing w:after="0"/>
              <w:rPr>
                <w:rFonts w:ascii="Cambria" w:hAnsi="Cambria" w:cs="Calibri"/>
                <w:lang w:val="hr-HR"/>
              </w:rPr>
            </w:pPr>
            <w:hyperlink r:id="rId139" w:history="1">
              <w:r w:rsidRPr="00B36357">
                <w:rPr>
                  <w:rStyle w:val="Hiperveza"/>
                  <w:rFonts w:ascii="Cambria" w:hAnsi="Cambria"/>
                  <w:lang w:val="hr-HR"/>
                </w:rPr>
                <w:t xml:space="preserve">Igor </w:t>
              </w:r>
              <w:proofErr w:type="spellStart"/>
              <w:r w:rsidRPr="00B36357">
                <w:rPr>
                  <w:rStyle w:val="Hiperveza"/>
                  <w:rFonts w:ascii="Cambria" w:hAnsi="Cambria"/>
                  <w:lang w:val="hr-HR"/>
                </w:rPr>
                <w:t>Dobrača</w:t>
              </w:r>
              <w:proofErr w:type="spellEnd"/>
              <w:r w:rsidRPr="00B36357">
                <w:rPr>
                  <w:rStyle w:val="Hiperveza"/>
                  <w:rFonts w:ascii="Cambria" w:hAnsi="Cambria"/>
                  <w:lang w:val="hr-HR"/>
                </w:rPr>
                <w:t xml:space="preserve">, </w:t>
              </w:r>
              <w:r w:rsidR="00B36357" w:rsidRPr="00B36357">
                <w:rPr>
                  <w:rStyle w:val="Hiperveza"/>
                  <w:rFonts w:ascii="Cambria" w:hAnsi="Cambria"/>
                  <w:lang w:val="hr-HR"/>
                </w:rPr>
                <w:t xml:space="preserve">naslovni </w:t>
              </w:r>
              <w:r w:rsidRPr="00B36357">
                <w:rPr>
                  <w:rStyle w:val="Hiperveza"/>
                  <w:rFonts w:ascii="Cambria" w:hAnsi="Cambria"/>
                  <w:lang w:val="hr-HR"/>
                </w:rPr>
                <w:t>v. pred.</w:t>
              </w:r>
            </w:hyperlink>
            <w:r w:rsidRPr="000F1A10">
              <w:rPr>
                <w:rFonts w:ascii="Cambria" w:hAnsi="Cambria"/>
                <w:lang w:val="hr-HR"/>
              </w:rPr>
              <w:t xml:space="preserve"> </w:t>
            </w:r>
          </w:p>
        </w:tc>
      </w:tr>
      <w:tr w:rsidR="00A44D99" w:rsidRPr="00D0399C" w14:paraId="437FE510" w14:textId="77777777" w:rsidTr="00F710EA">
        <w:tc>
          <w:tcPr>
            <w:tcW w:w="280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9D28C2F" w14:textId="77777777" w:rsidR="00A44D99" w:rsidRPr="00DF4CE5" w:rsidRDefault="00A44D99" w:rsidP="00F04088">
            <w:pPr>
              <w:spacing w:after="0"/>
              <w:rPr>
                <w:rFonts w:ascii="Cambria" w:hAnsi="Cambria" w:cs="Calibri"/>
              </w:rPr>
            </w:pPr>
            <w:proofErr w:type="spellStart"/>
            <w:r w:rsidRPr="00DF4CE5">
              <w:rPr>
                <w:rFonts w:ascii="Cambria" w:hAnsi="Cambria" w:cs="Calibri"/>
              </w:rPr>
              <w:t>Studijski</w:t>
            </w:r>
            <w:proofErr w:type="spellEnd"/>
            <w:r w:rsidRPr="00DF4CE5">
              <w:rPr>
                <w:rFonts w:ascii="Cambria" w:hAnsi="Cambria" w:cs="Calibri"/>
              </w:rPr>
              <w:t xml:space="preserve"> program</w:t>
            </w:r>
          </w:p>
        </w:tc>
        <w:tc>
          <w:tcPr>
            <w:tcW w:w="721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D58D213" w14:textId="77777777" w:rsidR="00A44D99" w:rsidRPr="00DF4CE5" w:rsidRDefault="00A44D99" w:rsidP="00F04088">
            <w:pPr>
              <w:spacing w:after="0"/>
              <w:rPr>
                <w:rFonts w:ascii="Cambria" w:hAnsi="Cambria" w:cs="Calibri"/>
                <w:lang w:val="it-IT"/>
              </w:rPr>
            </w:pPr>
            <w:proofErr w:type="spellStart"/>
            <w:r w:rsidRPr="00DF4CE5">
              <w:rPr>
                <w:rFonts w:ascii="Cambria" w:hAnsi="Cambria" w:cs="Calibri"/>
                <w:lang w:val="it-IT"/>
              </w:rPr>
              <w:t>Integrirani</w:t>
            </w:r>
            <w:proofErr w:type="spellEnd"/>
            <w:r w:rsidRPr="00DF4CE5">
              <w:rPr>
                <w:rFonts w:ascii="Cambria" w:hAnsi="Cambria" w:cs="Calibri"/>
                <w:lang w:val="it-IT"/>
              </w:rPr>
              <w:t xml:space="preserve"> </w:t>
            </w:r>
            <w:proofErr w:type="spellStart"/>
            <w:r w:rsidRPr="00DF4CE5">
              <w:rPr>
                <w:rFonts w:ascii="Cambria" w:hAnsi="Cambria" w:cs="Calibri"/>
                <w:lang w:val="it-IT"/>
              </w:rPr>
              <w:t>preddiplomski</w:t>
            </w:r>
            <w:proofErr w:type="spellEnd"/>
            <w:r w:rsidRPr="00DF4CE5">
              <w:rPr>
                <w:rFonts w:ascii="Cambria" w:hAnsi="Cambria" w:cs="Calibri"/>
                <w:lang w:val="it-IT"/>
              </w:rPr>
              <w:t xml:space="preserve"> i </w:t>
            </w:r>
            <w:proofErr w:type="spellStart"/>
            <w:r w:rsidRPr="00DF4CE5">
              <w:rPr>
                <w:rFonts w:ascii="Cambria" w:hAnsi="Cambria" w:cs="Calibri"/>
                <w:lang w:val="it-IT"/>
              </w:rPr>
              <w:t>diplomski</w:t>
            </w:r>
            <w:proofErr w:type="spellEnd"/>
            <w:r w:rsidRPr="00DF4CE5">
              <w:rPr>
                <w:rFonts w:ascii="Cambria" w:hAnsi="Cambria" w:cs="Calibri"/>
                <w:lang w:val="it-IT"/>
              </w:rPr>
              <w:t xml:space="preserve"> </w:t>
            </w:r>
            <w:proofErr w:type="spellStart"/>
            <w:r w:rsidRPr="00DF4CE5">
              <w:rPr>
                <w:rFonts w:ascii="Cambria" w:hAnsi="Cambria" w:cs="Calibri"/>
                <w:lang w:val="it-IT"/>
              </w:rPr>
              <w:t>sveučilišni</w:t>
            </w:r>
            <w:proofErr w:type="spellEnd"/>
            <w:r w:rsidRPr="00DF4CE5">
              <w:rPr>
                <w:rFonts w:ascii="Cambria" w:hAnsi="Cambria" w:cs="Calibri"/>
                <w:lang w:val="it-IT"/>
              </w:rPr>
              <w:t xml:space="preserve"> </w:t>
            </w:r>
            <w:proofErr w:type="spellStart"/>
            <w:r w:rsidRPr="00DF4CE5">
              <w:rPr>
                <w:rFonts w:ascii="Cambria" w:hAnsi="Cambria" w:cs="Calibri"/>
                <w:lang w:val="it-IT"/>
              </w:rPr>
              <w:t>učiteljski</w:t>
            </w:r>
            <w:proofErr w:type="spellEnd"/>
            <w:r w:rsidRPr="00DF4CE5">
              <w:rPr>
                <w:rFonts w:ascii="Cambria" w:hAnsi="Cambria" w:cs="Calibri"/>
                <w:lang w:val="it-IT"/>
              </w:rPr>
              <w:t xml:space="preserve"> </w:t>
            </w:r>
            <w:proofErr w:type="spellStart"/>
            <w:r w:rsidRPr="00DF4CE5">
              <w:rPr>
                <w:rFonts w:ascii="Cambria" w:hAnsi="Cambria" w:cs="Calibri"/>
                <w:lang w:val="it-IT"/>
              </w:rPr>
              <w:t>studij</w:t>
            </w:r>
            <w:proofErr w:type="spellEnd"/>
          </w:p>
        </w:tc>
      </w:tr>
      <w:tr w:rsidR="00A44D99" w:rsidRPr="00DF4CE5" w14:paraId="015DE279" w14:textId="77777777" w:rsidTr="00F710EA">
        <w:tc>
          <w:tcPr>
            <w:tcW w:w="280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C837F91" w14:textId="77777777" w:rsidR="00A44D99" w:rsidRPr="00DF4CE5" w:rsidRDefault="00A44D99" w:rsidP="00F04088">
            <w:pPr>
              <w:spacing w:after="0"/>
              <w:rPr>
                <w:rFonts w:ascii="Cambria" w:hAnsi="Cambria" w:cs="Calibri"/>
              </w:rPr>
            </w:pPr>
            <w:proofErr w:type="spellStart"/>
            <w:r w:rsidRPr="00DF4CE5">
              <w:rPr>
                <w:rFonts w:ascii="Cambria" w:hAnsi="Cambria" w:cs="Calibri"/>
              </w:rPr>
              <w:t>Vrsta</w:t>
            </w:r>
            <w:proofErr w:type="spellEnd"/>
            <w:r w:rsidRPr="00DF4CE5">
              <w:rPr>
                <w:rFonts w:ascii="Cambria" w:hAnsi="Cambria" w:cs="Calibri"/>
              </w:rPr>
              <w:t xml:space="preserve"> </w:t>
            </w:r>
            <w:proofErr w:type="spellStart"/>
            <w:r w:rsidRPr="00DF4CE5">
              <w:rPr>
                <w:rFonts w:ascii="Cambria" w:hAnsi="Cambria" w:cs="Calibri"/>
              </w:rPr>
              <w:t>kolegija</w:t>
            </w:r>
            <w:proofErr w:type="spellEnd"/>
          </w:p>
        </w:tc>
        <w:tc>
          <w:tcPr>
            <w:tcW w:w="266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BC18E9A" w14:textId="0632C8D5" w:rsidR="00A44D99" w:rsidRPr="00DF4CE5" w:rsidRDefault="00F710EA" w:rsidP="00F04088">
            <w:pPr>
              <w:spacing w:after="0"/>
              <w:rPr>
                <w:rFonts w:ascii="Cambria" w:hAnsi="Cambria" w:cs="Calibri"/>
              </w:rPr>
            </w:pPr>
            <w:proofErr w:type="spellStart"/>
            <w:r>
              <w:rPr>
                <w:rFonts w:ascii="Cambria" w:hAnsi="Cambria" w:cs="Calibri"/>
              </w:rPr>
              <w:t>o</w:t>
            </w:r>
            <w:r w:rsidR="00A44D99" w:rsidRPr="00DF4CE5">
              <w:rPr>
                <w:rFonts w:ascii="Cambria" w:hAnsi="Cambria" w:cs="Calibri"/>
              </w:rPr>
              <w:t>bvezan</w:t>
            </w:r>
            <w:proofErr w:type="spellEnd"/>
          </w:p>
        </w:tc>
        <w:tc>
          <w:tcPr>
            <w:tcW w:w="1577"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4B889B3D" w14:textId="77777777" w:rsidR="00A44D99" w:rsidRPr="00DF4CE5" w:rsidRDefault="00A44D99" w:rsidP="00F04088">
            <w:pPr>
              <w:spacing w:after="0"/>
              <w:rPr>
                <w:rFonts w:ascii="Cambria" w:hAnsi="Cambria" w:cs="Calibri"/>
              </w:rPr>
            </w:pPr>
            <w:r w:rsidRPr="00DF4CE5">
              <w:rPr>
                <w:rFonts w:ascii="Cambria" w:hAnsi="Cambria" w:cs="Calibri"/>
              </w:rPr>
              <w:t xml:space="preserve">Razina </w:t>
            </w:r>
            <w:proofErr w:type="spellStart"/>
            <w:r w:rsidRPr="00DF4CE5">
              <w:rPr>
                <w:rFonts w:ascii="Cambria" w:hAnsi="Cambria" w:cs="Calibri"/>
              </w:rPr>
              <w:t>kolegija</w:t>
            </w:r>
            <w:proofErr w:type="spellEnd"/>
          </w:p>
        </w:tc>
        <w:tc>
          <w:tcPr>
            <w:tcW w:w="2974"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2B83F36" w14:textId="77777777" w:rsidR="00A44D99" w:rsidRPr="00DF4CE5" w:rsidRDefault="00A44D99" w:rsidP="00F04088">
            <w:pPr>
              <w:spacing w:after="0"/>
              <w:rPr>
                <w:rFonts w:ascii="Cambria" w:hAnsi="Cambria" w:cs="Calibri"/>
              </w:rPr>
            </w:pPr>
            <w:proofErr w:type="spellStart"/>
            <w:r w:rsidRPr="00DF4CE5">
              <w:rPr>
                <w:rFonts w:ascii="Cambria" w:hAnsi="Cambria" w:cs="Calibri"/>
                <w:lang w:val="de-DE"/>
              </w:rPr>
              <w:t>integrirani</w:t>
            </w:r>
            <w:proofErr w:type="spellEnd"/>
          </w:p>
        </w:tc>
      </w:tr>
      <w:tr w:rsidR="00A44D99" w:rsidRPr="00DF4CE5" w14:paraId="27B0EF0B" w14:textId="77777777" w:rsidTr="00F710EA">
        <w:tc>
          <w:tcPr>
            <w:tcW w:w="280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9C5E5FF" w14:textId="77777777" w:rsidR="00A44D99" w:rsidRPr="00DF4CE5" w:rsidRDefault="00A44D99" w:rsidP="00F04088">
            <w:pPr>
              <w:spacing w:after="0"/>
              <w:rPr>
                <w:rFonts w:ascii="Cambria" w:hAnsi="Cambria" w:cs="Calibri"/>
              </w:rPr>
            </w:pPr>
            <w:proofErr w:type="spellStart"/>
            <w:r w:rsidRPr="00DF4CE5">
              <w:rPr>
                <w:rFonts w:ascii="Cambria" w:hAnsi="Cambria" w:cs="Calibri"/>
              </w:rPr>
              <w:t>Semestar</w:t>
            </w:r>
            <w:proofErr w:type="spellEnd"/>
          </w:p>
        </w:tc>
        <w:tc>
          <w:tcPr>
            <w:tcW w:w="266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815174C" w14:textId="2B7B26F5" w:rsidR="00A44D99" w:rsidRPr="00DF4CE5" w:rsidRDefault="00F710EA" w:rsidP="00F04088">
            <w:pPr>
              <w:spacing w:after="0"/>
              <w:rPr>
                <w:rFonts w:ascii="Cambria" w:hAnsi="Cambria" w:cs="Calibri"/>
              </w:rPr>
            </w:pPr>
            <w:proofErr w:type="spellStart"/>
            <w:r>
              <w:rPr>
                <w:rFonts w:ascii="Cambria" w:hAnsi="Cambria" w:cs="Calibri"/>
              </w:rPr>
              <w:t>z</w:t>
            </w:r>
            <w:r w:rsidR="00A44D99" w:rsidRPr="00DF4CE5">
              <w:rPr>
                <w:rFonts w:ascii="Cambria" w:hAnsi="Cambria" w:cs="Calibri"/>
              </w:rPr>
              <w:t>imski</w:t>
            </w:r>
            <w:proofErr w:type="spellEnd"/>
          </w:p>
        </w:tc>
        <w:tc>
          <w:tcPr>
            <w:tcW w:w="1577"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2C2B6B4E" w14:textId="77777777" w:rsidR="00A44D99" w:rsidRPr="00DF4CE5" w:rsidRDefault="00A44D99" w:rsidP="00F04088">
            <w:pPr>
              <w:spacing w:after="0"/>
              <w:rPr>
                <w:rFonts w:ascii="Cambria" w:hAnsi="Cambria" w:cs="Calibri"/>
              </w:rPr>
            </w:pPr>
            <w:r w:rsidRPr="00DF4CE5">
              <w:rPr>
                <w:rFonts w:ascii="Cambria" w:hAnsi="Cambria" w:cs="Calibri"/>
              </w:rPr>
              <w:t xml:space="preserve">Godina </w:t>
            </w:r>
            <w:proofErr w:type="spellStart"/>
            <w:r w:rsidRPr="00DF4CE5">
              <w:rPr>
                <w:rFonts w:ascii="Cambria" w:hAnsi="Cambria" w:cs="Calibri"/>
              </w:rPr>
              <w:t>studija</w:t>
            </w:r>
            <w:proofErr w:type="spellEnd"/>
          </w:p>
        </w:tc>
        <w:tc>
          <w:tcPr>
            <w:tcW w:w="2974"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8C0635F" w14:textId="77777777" w:rsidR="00A44D99" w:rsidRPr="00DF4CE5" w:rsidRDefault="00A44D99" w:rsidP="00F04088">
            <w:pPr>
              <w:spacing w:after="0"/>
              <w:rPr>
                <w:rFonts w:ascii="Cambria" w:hAnsi="Cambria" w:cs="Calibri"/>
              </w:rPr>
            </w:pPr>
            <w:r w:rsidRPr="00DF4CE5">
              <w:rPr>
                <w:rFonts w:ascii="Cambria" w:hAnsi="Cambria" w:cs="Calibri"/>
              </w:rPr>
              <w:t>IV.</w:t>
            </w:r>
          </w:p>
        </w:tc>
      </w:tr>
      <w:tr w:rsidR="00A44D99" w:rsidRPr="00DF4CE5" w14:paraId="60CDE69D" w14:textId="77777777" w:rsidTr="00F710EA">
        <w:tc>
          <w:tcPr>
            <w:tcW w:w="280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9CF4BAE" w14:textId="77777777" w:rsidR="00A44D99" w:rsidRPr="00DF4CE5" w:rsidRDefault="00A44D99" w:rsidP="00F04088">
            <w:pPr>
              <w:spacing w:after="0"/>
              <w:rPr>
                <w:rFonts w:ascii="Cambria" w:hAnsi="Cambria" w:cs="Calibri"/>
              </w:rPr>
            </w:pPr>
            <w:proofErr w:type="spellStart"/>
            <w:r w:rsidRPr="00DF4CE5">
              <w:rPr>
                <w:rFonts w:ascii="Cambria" w:hAnsi="Cambria" w:cs="Calibri"/>
              </w:rPr>
              <w:t>Mjesto</w:t>
            </w:r>
            <w:proofErr w:type="spellEnd"/>
            <w:r w:rsidRPr="00DF4CE5">
              <w:rPr>
                <w:rFonts w:ascii="Cambria" w:hAnsi="Cambria" w:cs="Calibri"/>
              </w:rPr>
              <w:t xml:space="preserve"> </w:t>
            </w:r>
            <w:proofErr w:type="spellStart"/>
            <w:r w:rsidRPr="00DF4CE5">
              <w:rPr>
                <w:rFonts w:ascii="Cambria" w:hAnsi="Cambria" w:cs="Calibri"/>
              </w:rPr>
              <w:t>izvođenja</w:t>
            </w:r>
            <w:proofErr w:type="spellEnd"/>
          </w:p>
        </w:tc>
        <w:tc>
          <w:tcPr>
            <w:tcW w:w="266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09729C4" w14:textId="77777777" w:rsidR="00A44D99" w:rsidRPr="00DF4CE5" w:rsidRDefault="00A44D99" w:rsidP="00F04088">
            <w:pPr>
              <w:spacing w:after="0"/>
              <w:rPr>
                <w:rFonts w:ascii="Cambria" w:hAnsi="Cambria" w:cs="Calibri"/>
              </w:rPr>
            </w:pPr>
            <w:proofErr w:type="spellStart"/>
            <w:r w:rsidRPr="00DF4CE5">
              <w:rPr>
                <w:rFonts w:ascii="Cambria" w:hAnsi="Cambria" w:cs="Calibri"/>
              </w:rPr>
              <w:t>dvorana</w:t>
            </w:r>
            <w:proofErr w:type="spellEnd"/>
            <w:r w:rsidRPr="00DF4CE5">
              <w:rPr>
                <w:rFonts w:ascii="Cambria" w:hAnsi="Cambria" w:cs="Calibri"/>
              </w:rPr>
              <w:t xml:space="preserve">, </w:t>
            </w:r>
            <w:proofErr w:type="spellStart"/>
            <w:r w:rsidRPr="00DF4CE5">
              <w:rPr>
                <w:rFonts w:ascii="Cambria" w:hAnsi="Cambria" w:cs="Calibri"/>
              </w:rPr>
              <w:t>računalna</w:t>
            </w:r>
            <w:proofErr w:type="spellEnd"/>
            <w:r w:rsidRPr="00DF4CE5">
              <w:rPr>
                <w:rFonts w:ascii="Cambria" w:hAnsi="Cambria" w:cs="Calibri"/>
              </w:rPr>
              <w:t xml:space="preserve"> </w:t>
            </w:r>
            <w:proofErr w:type="spellStart"/>
            <w:r w:rsidRPr="00DF4CE5">
              <w:rPr>
                <w:rFonts w:ascii="Cambria" w:hAnsi="Cambria" w:cs="Calibri"/>
              </w:rPr>
              <w:t>učionica</w:t>
            </w:r>
            <w:proofErr w:type="spellEnd"/>
          </w:p>
        </w:tc>
        <w:tc>
          <w:tcPr>
            <w:tcW w:w="1577"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322A1461" w14:textId="77777777" w:rsidR="00A44D99" w:rsidRPr="00DF4CE5" w:rsidRDefault="00A44D99" w:rsidP="00F04088">
            <w:pPr>
              <w:spacing w:after="0"/>
              <w:rPr>
                <w:rFonts w:ascii="Cambria" w:hAnsi="Cambria" w:cs="Calibri"/>
              </w:rPr>
            </w:pPr>
            <w:r w:rsidRPr="00DF4CE5">
              <w:rPr>
                <w:rFonts w:ascii="Cambria" w:hAnsi="Cambria" w:cs="Calibri"/>
              </w:rPr>
              <w:t xml:space="preserve">Jezik </w:t>
            </w:r>
            <w:proofErr w:type="spellStart"/>
            <w:r w:rsidRPr="00DF4CE5">
              <w:rPr>
                <w:rFonts w:ascii="Cambria" w:hAnsi="Cambria" w:cs="Calibri"/>
              </w:rPr>
              <w:t>izvođenja</w:t>
            </w:r>
            <w:proofErr w:type="spellEnd"/>
            <w:r w:rsidRPr="00DF4CE5">
              <w:rPr>
                <w:rFonts w:ascii="Cambria" w:hAnsi="Cambria" w:cs="Calibri"/>
              </w:rPr>
              <w:t xml:space="preserve"> (</w:t>
            </w:r>
            <w:proofErr w:type="spellStart"/>
            <w:r w:rsidRPr="00DF4CE5">
              <w:rPr>
                <w:rFonts w:ascii="Cambria" w:hAnsi="Cambria" w:cs="Calibri"/>
              </w:rPr>
              <w:t>drugi</w:t>
            </w:r>
            <w:proofErr w:type="spellEnd"/>
            <w:r w:rsidRPr="00DF4CE5">
              <w:rPr>
                <w:rFonts w:ascii="Cambria" w:hAnsi="Cambria" w:cs="Calibri"/>
              </w:rPr>
              <w:t xml:space="preserve"> </w:t>
            </w:r>
            <w:proofErr w:type="spellStart"/>
            <w:r w:rsidRPr="00DF4CE5">
              <w:rPr>
                <w:rFonts w:ascii="Cambria" w:hAnsi="Cambria" w:cs="Calibri"/>
              </w:rPr>
              <w:t>jezici</w:t>
            </w:r>
            <w:proofErr w:type="spellEnd"/>
            <w:r w:rsidRPr="00DF4CE5">
              <w:rPr>
                <w:rFonts w:ascii="Cambria" w:hAnsi="Cambria" w:cs="Calibri"/>
              </w:rPr>
              <w:t>)</w:t>
            </w:r>
          </w:p>
        </w:tc>
        <w:tc>
          <w:tcPr>
            <w:tcW w:w="2974"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35C8E5B" w14:textId="77777777" w:rsidR="00A44D99" w:rsidRPr="00DF4CE5" w:rsidRDefault="00A44D99" w:rsidP="00F04088">
            <w:pPr>
              <w:spacing w:after="0"/>
              <w:rPr>
                <w:rFonts w:ascii="Cambria" w:hAnsi="Cambria" w:cs="Calibri"/>
              </w:rPr>
            </w:pPr>
            <w:proofErr w:type="spellStart"/>
            <w:r w:rsidRPr="00DF4CE5">
              <w:rPr>
                <w:rFonts w:ascii="Cambria" w:hAnsi="Cambria" w:cs="Calibri"/>
              </w:rPr>
              <w:t>hrvatski</w:t>
            </w:r>
            <w:proofErr w:type="spellEnd"/>
          </w:p>
        </w:tc>
      </w:tr>
      <w:tr w:rsidR="00A44D99" w:rsidRPr="00DF4CE5" w14:paraId="6C46C62C" w14:textId="77777777" w:rsidTr="00F710EA">
        <w:tc>
          <w:tcPr>
            <w:tcW w:w="280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614FFA8" w14:textId="77777777" w:rsidR="00A44D99" w:rsidRPr="00DF4CE5" w:rsidRDefault="00A44D99" w:rsidP="00F04088">
            <w:pPr>
              <w:spacing w:after="0"/>
              <w:rPr>
                <w:rFonts w:ascii="Cambria" w:hAnsi="Cambria" w:cs="Calibri"/>
              </w:rPr>
            </w:pPr>
            <w:proofErr w:type="spellStart"/>
            <w:r w:rsidRPr="00DF4CE5">
              <w:rPr>
                <w:rFonts w:ascii="Cambria" w:hAnsi="Cambria" w:cs="Calibri"/>
              </w:rPr>
              <w:t>Broj</w:t>
            </w:r>
            <w:proofErr w:type="spellEnd"/>
            <w:r w:rsidRPr="00DF4CE5">
              <w:rPr>
                <w:rFonts w:ascii="Cambria" w:hAnsi="Cambria" w:cs="Calibri"/>
              </w:rPr>
              <w:t xml:space="preserve"> ECTS </w:t>
            </w:r>
            <w:proofErr w:type="spellStart"/>
            <w:r w:rsidRPr="00DF4CE5">
              <w:rPr>
                <w:rFonts w:ascii="Cambria" w:hAnsi="Cambria" w:cs="Calibri"/>
              </w:rPr>
              <w:t>bodova</w:t>
            </w:r>
            <w:proofErr w:type="spellEnd"/>
          </w:p>
        </w:tc>
        <w:tc>
          <w:tcPr>
            <w:tcW w:w="266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EA0BC13" w14:textId="77777777" w:rsidR="00A44D99" w:rsidRPr="00DF4CE5" w:rsidRDefault="00A44D99" w:rsidP="00F04088">
            <w:pPr>
              <w:spacing w:after="0"/>
              <w:rPr>
                <w:rFonts w:ascii="Cambria" w:hAnsi="Cambria" w:cs="Calibri"/>
              </w:rPr>
            </w:pPr>
            <w:r w:rsidRPr="00DF4CE5">
              <w:rPr>
                <w:rFonts w:ascii="Cambria" w:hAnsi="Cambria" w:cs="Calibri"/>
              </w:rPr>
              <w:t>7</w:t>
            </w:r>
          </w:p>
        </w:tc>
        <w:tc>
          <w:tcPr>
            <w:tcW w:w="1577"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775C2241" w14:textId="77777777" w:rsidR="00A44D99" w:rsidRPr="00DF4CE5" w:rsidRDefault="00A44D99" w:rsidP="00F04088">
            <w:pPr>
              <w:spacing w:after="0"/>
              <w:rPr>
                <w:rFonts w:ascii="Cambria" w:hAnsi="Cambria" w:cs="Calibri"/>
              </w:rPr>
            </w:pPr>
            <w:proofErr w:type="spellStart"/>
            <w:r w:rsidRPr="00DF4CE5">
              <w:rPr>
                <w:rFonts w:ascii="Cambria" w:hAnsi="Cambria" w:cs="Calibri"/>
              </w:rPr>
              <w:t>Broj</w:t>
            </w:r>
            <w:proofErr w:type="spellEnd"/>
            <w:r w:rsidRPr="00DF4CE5">
              <w:rPr>
                <w:rFonts w:ascii="Cambria" w:hAnsi="Cambria" w:cs="Calibri"/>
              </w:rPr>
              <w:t xml:space="preserve"> sati u </w:t>
            </w:r>
            <w:proofErr w:type="spellStart"/>
            <w:r w:rsidRPr="00DF4CE5">
              <w:rPr>
                <w:rFonts w:ascii="Cambria" w:hAnsi="Cambria" w:cs="Calibri"/>
              </w:rPr>
              <w:t>semestru</w:t>
            </w:r>
            <w:proofErr w:type="spellEnd"/>
          </w:p>
        </w:tc>
        <w:tc>
          <w:tcPr>
            <w:tcW w:w="2974"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49B1379" w14:textId="6F0BB49F" w:rsidR="00A44D99" w:rsidRPr="00DF4CE5" w:rsidRDefault="00A44D99" w:rsidP="00F04088">
            <w:pPr>
              <w:spacing w:after="0"/>
              <w:rPr>
                <w:rFonts w:ascii="Cambria" w:hAnsi="Cambria" w:cs="Calibri"/>
              </w:rPr>
            </w:pPr>
            <w:r w:rsidRPr="00DF4CE5">
              <w:rPr>
                <w:rFonts w:ascii="Cambria" w:hAnsi="Cambria" w:cs="Calibri"/>
              </w:rPr>
              <w:t xml:space="preserve">15P – </w:t>
            </w:r>
            <w:r w:rsidR="00F04088" w:rsidRPr="00DF4CE5">
              <w:rPr>
                <w:rFonts w:ascii="Cambria" w:hAnsi="Cambria" w:cs="Calibri"/>
              </w:rPr>
              <w:t>0S</w:t>
            </w:r>
            <w:r w:rsidRPr="00DF4CE5">
              <w:rPr>
                <w:rFonts w:ascii="Cambria" w:hAnsi="Cambria" w:cs="Calibri"/>
              </w:rPr>
              <w:t xml:space="preserve"> – </w:t>
            </w:r>
            <w:r w:rsidR="00F04088" w:rsidRPr="00DF4CE5">
              <w:rPr>
                <w:rFonts w:ascii="Cambria" w:hAnsi="Cambria" w:cs="Calibri"/>
              </w:rPr>
              <w:t>60V</w:t>
            </w:r>
          </w:p>
        </w:tc>
      </w:tr>
      <w:tr w:rsidR="00A44D99" w:rsidRPr="00D0399C" w14:paraId="67035C33" w14:textId="77777777" w:rsidTr="00F710EA">
        <w:tc>
          <w:tcPr>
            <w:tcW w:w="280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22D6F2E" w14:textId="77777777" w:rsidR="00A44D99" w:rsidRPr="00DF4CE5" w:rsidRDefault="00A44D99" w:rsidP="00F04088">
            <w:pPr>
              <w:spacing w:after="0"/>
              <w:rPr>
                <w:rFonts w:ascii="Cambria" w:hAnsi="Cambria" w:cs="Calibri"/>
                <w:lang w:val="it-IT"/>
              </w:rPr>
            </w:pPr>
            <w:proofErr w:type="spellStart"/>
            <w:r w:rsidRPr="00DF4CE5">
              <w:rPr>
                <w:rFonts w:ascii="Cambria" w:hAnsi="Cambria" w:cs="Calibri"/>
                <w:lang w:val="it-IT"/>
              </w:rPr>
              <w:t>Preduvjeti</w:t>
            </w:r>
            <w:proofErr w:type="spellEnd"/>
            <w:r w:rsidRPr="00DF4CE5">
              <w:rPr>
                <w:rFonts w:ascii="Cambria" w:hAnsi="Cambria" w:cs="Calibri"/>
                <w:lang w:val="it-IT"/>
              </w:rPr>
              <w:t xml:space="preserve"> za </w:t>
            </w:r>
            <w:proofErr w:type="spellStart"/>
            <w:r w:rsidRPr="00DF4CE5">
              <w:rPr>
                <w:rFonts w:ascii="Cambria" w:hAnsi="Cambria" w:cs="Calibri"/>
                <w:lang w:val="it-IT"/>
              </w:rPr>
              <w:t>upis</w:t>
            </w:r>
            <w:proofErr w:type="spellEnd"/>
            <w:r w:rsidRPr="00DF4CE5">
              <w:rPr>
                <w:rFonts w:ascii="Cambria" w:hAnsi="Cambria" w:cs="Calibri"/>
                <w:lang w:val="it-IT"/>
              </w:rPr>
              <w:t xml:space="preserve"> i za </w:t>
            </w:r>
            <w:proofErr w:type="spellStart"/>
            <w:r w:rsidRPr="00DF4CE5">
              <w:rPr>
                <w:rFonts w:ascii="Cambria" w:hAnsi="Cambria" w:cs="Calibri"/>
                <w:lang w:val="it-IT"/>
              </w:rPr>
              <w:t>svladavanje</w:t>
            </w:r>
            <w:proofErr w:type="spellEnd"/>
          </w:p>
        </w:tc>
        <w:tc>
          <w:tcPr>
            <w:tcW w:w="721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40F38D0" w14:textId="77777777" w:rsidR="00A44D99" w:rsidRPr="00DF4CE5" w:rsidRDefault="00A44D99" w:rsidP="00F04088">
            <w:pPr>
              <w:spacing w:after="0"/>
              <w:rPr>
                <w:rFonts w:ascii="Cambria" w:hAnsi="Cambria" w:cs="Cambria"/>
                <w:lang w:val="it-IT"/>
              </w:rPr>
            </w:pPr>
            <w:proofErr w:type="spellStart"/>
            <w:r w:rsidRPr="00DF4CE5">
              <w:rPr>
                <w:rFonts w:ascii="Cambria" w:hAnsi="Cambria" w:cs="Calibri"/>
                <w:lang w:val="it-IT"/>
              </w:rPr>
              <w:t>Odslušani</w:t>
            </w:r>
            <w:proofErr w:type="spellEnd"/>
            <w:r w:rsidRPr="00DF4CE5">
              <w:rPr>
                <w:rFonts w:ascii="Cambria" w:hAnsi="Cambria" w:cs="Calibri"/>
                <w:lang w:val="it-IT"/>
              </w:rPr>
              <w:t xml:space="preserve"> </w:t>
            </w:r>
            <w:proofErr w:type="spellStart"/>
            <w:r w:rsidRPr="00DF4CE5">
              <w:rPr>
                <w:rFonts w:ascii="Cambria" w:hAnsi="Cambria" w:cs="Calibri"/>
                <w:lang w:val="it-IT"/>
              </w:rPr>
              <w:t>kolegij</w:t>
            </w:r>
            <w:proofErr w:type="spellEnd"/>
            <w:r w:rsidRPr="00DF4CE5">
              <w:rPr>
                <w:rFonts w:ascii="Cambria" w:hAnsi="Cambria" w:cs="Calibri"/>
                <w:lang w:val="it-IT"/>
              </w:rPr>
              <w:t xml:space="preserve"> </w:t>
            </w:r>
            <w:proofErr w:type="spellStart"/>
            <w:r w:rsidRPr="00DF4CE5">
              <w:rPr>
                <w:rFonts w:ascii="Cambria" w:hAnsi="Cambria" w:cs="Calibri"/>
                <w:lang w:val="it-IT"/>
              </w:rPr>
              <w:t>Informatika</w:t>
            </w:r>
            <w:proofErr w:type="spellEnd"/>
            <w:r w:rsidRPr="00DF4CE5">
              <w:rPr>
                <w:rFonts w:ascii="Cambria" w:hAnsi="Cambria" w:cs="Calibri"/>
                <w:lang w:val="it-IT"/>
              </w:rPr>
              <w:t xml:space="preserve"> i </w:t>
            </w:r>
            <w:proofErr w:type="spellStart"/>
            <w:r w:rsidRPr="00DF4CE5">
              <w:rPr>
                <w:rFonts w:ascii="Cambria" w:hAnsi="Cambria" w:cs="Calibri"/>
                <w:lang w:val="it-IT"/>
              </w:rPr>
              <w:t>Obrada</w:t>
            </w:r>
            <w:proofErr w:type="spellEnd"/>
            <w:r w:rsidRPr="00DF4CE5">
              <w:rPr>
                <w:rFonts w:ascii="Cambria" w:hAnsi="Cambria" w:cs="Calibri"/>
                <w:lang w:val="it-IT"/>
              </w:rPr>
              <w:t xml:space="preserve"> </w:t>
            </w:r>
            <w:proofErr w:type="spellStart"/>
            <w:r w:rsidRPr="00DF4CE5">
              <w:rPr>
                <w:rFonts w:ascii="Cambria" w:hAnsi="Cambria" w:cs="Calibri"/>
                <w:lang w:val="it-IT"/>
              </w:rPr>
              <w:t>slike</w:t>
            </w:r>
            <w:proofErr w:type="spellEnd"/>
            <w:r w:rsidRPr="00DF4CE5">
              <w:rPr>
                <w:rFonts w:ascii="Cambria" w:hAnsi="Cambria" w:cs="Calibri"/>
                <w:lang w:val="it-IT"/>
              </w:rPr>
              <w:t xml:space="preserve"> i </w:t>
            </w:r>
            <w:proofErr w:type="spellStart"/>
            <w:r w:rsidRPr="00DF4CE5">
              <w:rPr>
                <w:rFonts w:ascii="Cambria" w:hAnsi="Cambria" w:cs="Calibri"/>
                <w:lang w:val="it-IT"/>
              </w:rPr>
              <w:t>Stolno</w:t>
            </w:r>
            <w:proofErr w:type="spellEnd"/>
            <w:r w:rsidRPr="00DF4CE5">
              <w:rPr>
                <w:rFonts w:ascii="Cambria" w:hAnsi="Cambria" w:cs="Calibri"/>
                <w:lang w:val="it-IT"/>
              </w:rPr>
              <w:t xml:space="preserve"> </w:t>
            </w:r>
            <w:proofErr w:type="spellStart"/>
            <w:r w:rsidRPr="00DF4CE5">
              <w:rPr>
                <w:rFonts w:ascii="Cambria" w:hAnsi="Cambria" w:cs="Calibri"/>
                <w:lang w:val="it-IT"/>
              </w:rPr>
              <w:t>izdavaštvo</w:t>
            </w:r>
            <w:proofErr w:type="spellEnd"/>
            <w:r w:rsidRPr="00DF4CE5">
              <w:rPr>
                <w:rFonts w:ascii="Cambria" w:hAnsi="Cambria"/>
                <w:lang w:val="it-IT"/>
              </w:rPr>
              <w:t xml:space="preserve"> </w:t>
            </w:r>
          </w:p>
        </w:tc>
      </w:tr>
      <w:tr w:rsidR="00A44D99" w:rsidRPr="00D0399C" w14:paraId="1556835F" w14:textId="77777777" w:rsidTr="00F710EA">
        <w:tc>
          <w:tcPr>
            <w:tcW w:w="280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6F50C2A" w14:textId="77777777" w:rsidR="00A44D99" w:rsidRPr="00DF4CE5" w:rsidRDefault="00A44D99" w:rsidP="00F04088">
            <w:pPr>
              <w:spacing w:after="0"/>
              <w:rPr>
                <w:rFonts w:ascii="Cambria" w:hAnsi="Cambria" w:cs="Calibri"/>
              </w:rPr>
            </w:pPr>
            <w:proofErr w:type="spellStart"/>
            <w:r w:rsidRPr="00DF4CE5">
              <w:rPr>
                <w:rFonts w:ascii="Cambria" w:hAnsi="Cambria" w:cs="Calibri"/>
              </w:rPr>
              <w:t>Korelativnost</w:t>
            </w:r>
            <w:proofErr w:type="spellEnd"/>
          </w:p>
        </w:tc>
        <w:tc>
          <w:tcPr>
            <w:tcW w:w="721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1E04F80" w14:textId="77777777" w:rsidR="00A44D99" w:rsidRPr="00DF4CE5" w:rsidRDefault="00A44D99" w:rsidP="00F04088">
            <w:pPr>
              <w:spacing w:after="0"/>
              <w:rPr>
                <w:rFonts w:ascii="Cambria" w:hAnsi="Cambria" w:cs="Calibri"/>
                <w:lang w:val="it-IT"/>
              </w:rPr>
            </w:pPr>
            <w:proofErr w:type="spellStart"/>
            <w:r w:rsidRPr="00DF4CE5">
              <w:rPr>
                <w:rFonts w:ascii="Cambria" w:hAnsi="Cambria" w:cs="Calibri"/>
                <w:lang w:val="it-IT"/>
              </w:rPr>
              <w:t>Osnove</w:t>
            </w:r>
            <w:proofErr w:type="spellEnd"/>
            <w:r w:rsidRPr="00DF4CE5">
              <w:rPr>
                <w:rFonts w:ascii="Cambria" w:hAnsi="Cambria" w:cs="Calibri"/>
                <w:lang w:val="it-IT"/>
              </w:rPr>
              <w:t xml:space="preserve"> </w:t>
            </w:r>
            <w:proofErr w:type="spellStart"/>
            <w:r w:rsidRPr="00DF4CE5">
              <w:rPr>
                <w:rFonts w:ascii="Cambria" w:hAnsi="Cambria" w:cs="Calibri"/>
                <w:lang w:val="it-IT"/>
              </w:rPr>
              <w:t>informatike</w:t>
            </w:r>
            <w:proofErr w:type="spellEnd"/>
            <w:r w:rsidRPr="00DF4CE5">
              <w:rPr>
                <w:rFonts w:ascii="Cambria" w:hAnsi="Cambria" w:cs="Calibri"/>
                <w:lang w:val="it-IT"/>
              </w:rPr>
              <w:t xml:space="preserve"> i </w:t>
            </w:r>
            <w:proofErr w:type="spellStart"/>
            <w:r w:rsidRPr="00DF4CE5">
              <w:rPr>
                <w:rFonts w:ascii="Cambria" w:hAnsi="Cambria" w:cs="Calibri"/>
                <w:lang w:val="it-IT"/>
              </w:rPr>
              <w:t>Obrada</w:t>
            </w:r>
            <w:proofErr w:type="spellEnd"/>
            <w:r w:rsidRPr="00DF4CE5">
              <w:rPr>
                <w:rFonts w:ascii="Cambria" w:hAnsi="Cambria" w:cs="Calibri"/>
                <w:lang w:val="it-IT"/>
              </w:rPr>
              <w:t xml:space="preserve"> </w:t>
            </w:r>
            <w:proofErr w:type="spellStart"/>
            <w:r w:rsidRPr="00DF4CE5">
              <w:rPr>
                <w:rFonts w:ascii="Cambria" w:hAnsi="Cambria" w:cs="Calibri"/>
                <w:lang w:val="it-IT"/>
              </w:rPr>
              <w:t>slike</w:t>
            </w:r>
            <w:proofErr w:type="spellEnd"/>
            <w:r w:rsidRPr="00DF4CE5">
              <w:rPr>
                <w:rFonts w:ascii="Cambria" w:hAnsi="Cambria" w:cs="Calibri"/>
                <w:lang w:val="it-IT"/>
              </w:rPr>
              <w:t xml:space="preserve"> i </w:t>
            </w:r>
            <w:proofErr w:type="spellStart"/>
            <w:r w:rsidRPr="00DF4CE5">
              <w:rPr>
                <w:rFonts w:ascii="Cambria" w:hAnsi="Cambria" w:cs="Calibri"/>
                <w:lang w:val="it-IT"/>
              </w:rPr>
              <w:t>Stolno</w:t>
            </w:r>
            <w:proofErr w:type="spellEnd"/>
            <w:r w:rsidRPr="00DF4CE5">
              <w:rPr>
                <w:rFonts w:ascii="Cambria" w:hAnsi="Cambria" w:cs="Calibri"/>
                <w:lang w:val="it-IT"/>
              </w:rPr>
              <w:t xml:space="preserve"> </w:t>
            </w:r>
            <w:proofErr w:type="spellStart"/>
            <w:r w:rsidRPr="00DF4CE5">
              <w:rPr>
                <w:rFonts w:ascii="Cambria" w:hAnsi="Cambria" w:cs="Calibri"/>
                <w:lang w:val="it-IT"/>
              </w:rPr>
              <w:t>izdavaštvo</w:t>
            </w:r>
            <w:proofErr w:type="spellEnd"/>
          </w:p>
        </w:tc>
      </w:tr>
      <w:tr w:rsidR="00A44D99" w:rsidRPr="00DF4CE5" w14:paraId="63B44D21" w14:textId="77777777" w:rsidTr="00F710EA">
        <w:tc>
          <w:tcPr>
            <w:tcW w:w="280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2FA8AE3" w14:textId="77777777" w:rsidR="00A44D99" w:rsidRPr="00DF4CE5" w:rsidRDefault="00A44D99" w:rsidP="00F04088">
            <w:pPr>
              <w:spacing w:after="0"/>
              <w:rPr>
                <w:rFonts w:ascii="Cambria" w:hAnsi="Cambria" w:cs="Calibri"/>
              </w:rPr>
            </w:pPr>
            <w:proofErr w:type="spellStart"/>
            <w:r w:rsidRPr="00DF4CE5">
              <w:rPr>
                <w:rFonts w:ascii="Cambria" w:hAnsi="Cambria" w:cs="Calibri"/>
              </w:rPr>
              <w:t>Cilj</w:t>
            </w:r>
            <w:proofErr w:type="spellEnd"/>
            <w:r w:rsidRPr="00DF4CE5">
              <w:rPr>
                <w:rFonts w:ascii="Cambria" w:hAnsi="Cambria" w:cs="Calibri"/>
              </w:rPr>
              <w:t xml:space="preserve"> </w:t>
            </w:r>
            <w:proofErr w:type="spellStart"/>
            <w:r w:rsidRPr="00DF4CE5">
              <w:rPr>
                <w:rFonts w:ascii="Cambria" w:hAnsi="Cambria" w:cs="Calibri"/>
              </w:rPr>
              <w:t>kolegija</w:t>
            </w:r>
            <w:proofErr w:type="spellEnd"/>
            <w:r w:rsidRPr="00DF4CE5">
              <w:rPr>
                <w:rFonts w:ascii="Cambria" w:hAnsi="Cambria" w:cs="Calibri"/>
              </w:rPr>
              <w:t xml:space="preserve"> </w:t>
            </w:r>
          </w:p>
        </w:tc>
        <w:tc>
          <w:tcPr>
            <w:tcW w:w="721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0AEF9DC" w14:textId="20877979" w:rsidR="00A44D99" w:rsidRPr="00DF4CE5" w:rsidRDefault="00F710EA" w:rsidP="00F04088">
            <w:pPr>
              <w:pStyle w:val="Default"/>
              <w:rPr>
                <w:rFonts w:ascii="Cambria" w:hAnsi="Cambria"/>
                <w:sz w:val="22"/>
                <w:szCs w:val="22"/>
              </w:rPr>
            </w:pPr>
            <w:proofErr w:type="spellStart"/>
            <w:r>
              <w:rPr>
                <w:rFonts w:ascii="Cambria" w:hAnsi="Cambria"/>
                <w:sz w:val="22"/>
                <w:szCs w:val="22"/>
              </w:rPr>
              <w:t>u</w:t>
            </w:r>
            <w:r w:rsidR="00A44D99" w:rsidRPr="00DF4CE5">
              <w:rPr>
                <w:rFonts w:ascii="Cambria" w:hAnsi="Cambria"/>
                <w:sz w:val="22"/>
                <w:szCs w:val="22"/>
              </w:rPr>
              <w:t>svojiti</w:t>
            </w:r>
            <w:proofErr w:type="spellEnd"/>
            <w:r w:rsidR="00A44D99" w:rsidRPr="00DF4CE5">
              <w:rPr>
                <w:rFonts w:ascii="Cambria" w:hAnsi="Cambria"/>
                <w:sz w:val="22"/>
                <w:szCs w:val="22"/>
              </w:rPr>
              <w:t xml:space="preserve"> </w:t>
            </w:r>
            <w:proofErr w:type="spellStart"/>
            <w:r w:rsidR="00A44D99" w:rsidRPr="00DF4CE5">
              <w:rPr>
                <w:rFonts w:ascii="Cambria" w:hAnsi="Cambria"/>
                <w:sz w:val="22"/>
                <w:szCs w:val="22"/>
              </w:rPr>
              <w:t>kompetencije</w:t>
            </w:r>
            <w:proofErr w:type="spellEnd"/>
            <w:r w:rsidR="00A44D99" w:rsidRPr="00DF4CE5">
              <w:rPr>
                <w:rFonts w:ascii="Cambria" w:hAnsi="Cambria"/>
                <w:sz w:val="22"/>
                <w:szCs w:val="22"/>
              </w:rPr>
              <w:t xml:space="preserve"> za </w:t>
            </w:r>
            <w:proofErr w:type="spellStart"/>
            <w:r w:rsidR="00A44D99" w:rsidRPr="00DF4CE5">
              <w:rPr>
                <w:rFonts w:ascii="Cambria" w:hAnsi="Cambria"/>
                <w:sz w:val="22"/>
                <w:szCs w:val="22"/>
              </w:rPr>
              <w:t>primjenu</w:t>
            </w:r>
            <w:proofErr w:type="spellEnd"/>
            <w:r w:rsidR="00A44D99" w:rsidRPr="00DF4CE5">
              <w:rPr>
                <w:rFonts w:ascii="Cambria" w:hAnsi="Cambria"/>
                <w:sz w:val="22"/>
                <w:szCs w:val="22"/>
              </w:rPr>
              <w:t xml:space="preserve"> </w:t>
            </w:r>
            <w:proofErr w:type="spellStart"/>
            <w:r w:rsidR="00A44D99" w:rsidRPr="00DF4CE5">
              <w:rPr>
                <w:rFonts w:ascii="Cambria" w:hAnsi="Cambria"/>
                <w:sz w:val="22"/>
                <w:szCs w:val="22"/>
              </w:rPr>
              <w:t>računala</w:t>
            </w:r>
            <w:proofErr w:type="spellEnd"/>
            <w:r w:rsidR="00A44D99" w:rsidRPr="00DF4CE5">
              <w:rPr>
                <w:rFonts w:ascii="Cambria" w:hAnsi="Cambria"/>
                <w:sz w:val="22"/>
                <w:szCs w:val="22"/>
              </w:rPr>
              <w:t xml:space="preserve"> u </w:t>
            </w:r>
            <w:proofErr w:type="spellStart"/>
            <w:r w:rsidR="00A44D99" w:rsidRPr="00DF4CE5">
              <w:rPr>
                <w:rFonts w:ascii="Cambria" w:hAnsi="Cambria"/>
                <w:sz w:val="22"/>
                <w:szCs w:val="22"/>
              </w:rPr>
              <w:t>izradi</w:t>
            </w:r>
            <w:proofErr w:type="spellEnd"/>
            <w:r w:rsidR="00A44D99" w:rsidRPr="00DF4CE5">
              <w:rPr>
                <w:rFonts w:ascii="Cambria" w:hAnsi="Cambria"/>
                <w:sz w:val="22"/>
                <w:szCs w:val="22"/>
              </w:rPr>
              <w:t xml:space="preserve"> web </w:t>
            </w:r>
            <w:proofErr w:type="spellStart"/>
            <w:r w:rsidR="00A44D99" w:rsidRPr="00DF4CE5">
              <w:rPr>
                <w:rFonts w:ascii="Cambria" w:hAnsi="Cambria"/>
                <w:sz w:val="22"/>
                <w:szCs w:val="22"/>
              </w:rPr>
              <w:t>stranica</w:t>
            </w:r>
            <w:proofErr w:type="spellEnd"/>
          </w:p>
        </w:tc>
      </w:tr>
      <w:tr w:rsidR="00A44D99" w:rsidRPr="00D0399C" w14:paraId="3590E312" w14:textId="77777777" w:rsidTr="00F710EA">
        <w:tc>
          <w:tcPr>
            <w:tcW w:w="280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6FFCD86" w14:textId="77777777" w:rsidR="00A44D99" w:rsidRPr="00DF4CE5" w:rsidRDefault="00A44D99" w:rsidP="00A44D99">
            <w:pPr>
              <w:rPr>
                <w:rFonts w:ascii="Cambria" w:hAnsi="Cambria" w:cs="Calibri"/>
              </w:rPr>
            </w:pPr>
            <w:proofErr w:type="spellStart"/>
            <w:r w:rsidRPr="00DF4CE5">
              <w:rPr>
                <w:rFonts w:ascii="Cambria" w:hAnsi="Cambria" w:cs="Calibri"/>
              </w:rPr>
              <w:t>Ishodi</w:t>
            </w:r>
            <w:proofErr w:type="spellEnd"/>
            <w:r w:rsidRPr="00DF4CE5">
              <w:rPr>
                <w:rFonts w:ascii="Cambria" w:hAnsi="Cambria" w:cs="Calibri"/>
              </w:rPr>
              <w:t xml:space="preserve"> </w:t>
            </w:r>
            <w:proofErr w:type="spellStart"/>
            <w:r w:rsidRPr="00DF4CE5">
              <w:rPr>
                <w:rFonts w:ascii="Cambria" w:hAnsi="Cambria" w:cs="Calibri"/>
              </w:rPr>
              <w:t>učenja</w:t>
            </w:r>
            <w:proofErr w:type="spellEnd"/>
          </w:p>
        </w:tc>
        <w:tc>
          <w:tcPr>
            <w:tcW w:w="721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E7C3BAF" w14:textId="77777777" w:rsidR="00A44D99" w:rsidRPr="00DF4CE5" w:rsidRDefault="00A44D99" w:rsidP="00A44D99">
            <w:pPr>
              <w:pStyle w:val="Default"/>
              <w:rPr>
                <w:rFonts w:ascii="Cambria" w:hAnsi="Cambria"/>
                <w:sz w:val="22"/>
                <w:szCs w:val="22"/>
                <w:lang w:val="it-IT"/>
              </w:rPr>
            </w:pPr>
            <w:r w:rsidRPr="00DF4CE5">
              <w:rPr>
                <w:rFonts w:ascii="Cambria" w:hAnsi="Cambria"/>
                <w:sz w:val="22"/>
                <w:szCs w:val="22"/>
                <w:lang w:val="it-IT"/>
              </w:rPr>
              <w:t xml:space="preserve">1. </w:t>
            </w:r>
            <w:proofErr w:type="spellStart"/>
            <w:r w:rsidRPr="00DF4CE5">
              <w:rPr>
                <w:rFonts w:ascii="Cambria" w:hAnsi="Cambria"/>
                <w:sz w:val="22"/>
                <w:szCs w:val="22"/>
                <w:lang w:val="it-IT"/>
              </w:rPr>
              <w:t>koristiti</w:t>
            </w:r>
            <w:proofErr w:type="spellEnd"/>
            <w:r w:rsidRPr="00DF4CE5">
              <w:rPr>
                <w:rFonts w:ascii="Cambria" w:hAnsi="Cambria"/>
                <w:sz w:val="22"/>
                <w:szCs w:val="22"/>
                <w:lang w:val="it-IT"/>
              </w:rPr>
              <w:t xml:space="preserve"> </w:t>
            </w:r>
            <w:proofErr w:type="spellStart"/>
            <w:r w:rsidRPr="00DF4CE5">
              <w:rPr>
                <w:rFonts w:ascii="Cambria" w:hAnsi="Cambria"/>
                <w:sz w:val="22"/>
                <w:szCs w:val="22"/>
                <w:lang w:val="it-IT"/>
              </w:rPr>
              <w:t>temeljne</w:t>
            </w:r>
            <w:proofErr w:type="spellEnd"/>
            <w:r w:rsidRPr="00DF4CE5">
              <w:rPr>
                <w:rFonts w:ascii="Cambria" w:hAnsi="Cambria"/>
                <w:sz w:val="22"/>
                <w:szCs w:val="22"/>
                <w:lang w:val="it-IT"/>
              </w:rPr>
              <w:t xml:space="preserve"> </w:t>
            </w:r>
            <w:proofErr w:type="spellStart"/>
            <w:r w:rsidRPr="00DF4CE5">
              <w:rPr>
                <w:rFonts w:ascii="Cambria" w:hAnsi="Cambria"/>
                <w:sz w:val="22"/>
                <w:szCs w:val="22"/>
                <w:lang w:val="it-IT"/>
              </w:rPr>
              <w:t>pojmove</w:t>
            </w:r>
            <w:proofErr w:type="spellEnd"/>
            <w:r w:rsidRPr="00DF4CE5">
              <w:rPr>
                <w:rFonts w:ascii="Cambria" w:hAnsi="Cambria"/>
                <w:sz w:val="22"/>
                <w:szCs w:val="22"/>
                <w:lang w:val="it-IT"/>
              </w:rPr>
              <w:t xml:space="preserve"> </w:t>
            </w:r>
            <w:proofErr w:type="spellStart"/>
            <w:r w:rsidRPr="00DF4CE5">
              <w:rPr>
                <w:rFonts w:ascii="Cambria" w:hAnsi="Cambria"/>
                <w:sz w:val="22"/>
                <w:szCs w:val="22"/>
                <w:lang w:val="it-IT"/>
              </w:rPr>
              <w:t>iz</w:t>
            </w:r>
            <w:proofErr w:type="spellEnd"/>
            <w:r w:rsidRPr="00DF4CE5">
              <w:rPr>
                <w:rFonts w:ascii="Cambria" w:hAnsi="Cambria"/>
                <w:sz w:val="22"/>
                <w:szCs w:val="22"/>
                <w:lang w:val="it-IT"/>
              </w:rPr>
              <w:t xml:space="preserve"> </w:t>
            </w:r>
            <w:proofErr w:type="spellStart"/>
            <w:r w:rsidRPr="00DF4CE5">
              <w:rPr>
                <w:rFonts w:ascii="Cambria" w:hAnsi="Cambria"/>
                <w:sz w:val="22"/>
                <w:szCs w:val="22"/>
                <w:lang w:val="it-IT"/>
              </w:rPr>
              <w:t>područja</w:t>
            </w:r>
            <w:proofErr w:type="spellEnd"/>
            <w:r w:rsidRPr="00DF4CE5">
              <w:rPr>
                <w:rFonts w:ascii="Cambria" w:hAnsi="Cambria"/>
                <w:sz w:val="22"/>
                <w:szCs w:val="22"/>
                <w:lang w:val="it-IT"/>
              </w:rPr>
              <w:t xml:space="preserve"> </w:t>
            </w:r>
            <w:proofErr w:type="spellStart"/>
            <w:r w:rsidRPr="00DF4CE5">
              <w:rPr>
                <w:rFonts w:ascii="Cambria" w:hAnsi="Cambria"/>
                <w:sz w:val="22"/>
                <w:szCs w:val="22"/>
                <w:lang w:val="it-IT"/>
              </w:rPr>
              <w:t>izrade</w:t>
            </w:r>
            <w:proofErr w:type="spellEnd"/>
            <w:r w:rsidRPr="00DF4CE5">
              <w:rPr>
                <w:rFonts w:ascii="Cambria" w:hAnsi="Cambria"/>
                <w:sz w:val="22"/>
                <w:szCs w:val="22"/>
                <w:lang w:val="it-IT"/>
              </w:rPr>
              <w:t xml:space="preserve"> web </w:t>
            </w:r>
            <w:proofErr w:type="spellStart"/>
            <w:r w:rsidRPr="00DF4CE5">
              <w:rPr>
                <w:rFonts w:ascii="Cambria" w:hAnsi="Cambria"/>
                <w:sz w:val="22"/>
                <w:szCs w:val="22"/>
                <w:lang w:val="it-IT"/>
              </w:rPr>
              <w:t>stranica</w:t>
            </w:r>
            <w:proofErr w:type="spellEnd"/>
          </w:p>
          <w:p w14:paraId="2F0A96A5" w14:textId="77777777" w:rsidR="00A44D99" w:rsidRPr="00DF4CE5" w:rsidRDefault="00A44D99" w:rsidP="00A44D99">
            <w:pPr>
              <w:pStyle w:val="Default"/>
              <w:rPr>
                <w:rFonts w:ascii="Cambria" w:hAnsi="Cambria"/>
                <w:sz w:val="22"/>
                <w:szCs w:val="22"/>
                <w:lang w:val="it-IT"/>
              </w:rPr>
            </w:pPr>
            <w:r w:rsidRPr="00DF4CE5">
              <w:rPr>
                <w:rFonts w:ascii="Cambria" w:hAnsi="Cambria"/>
                <w:sz w:val="22"/>
                <w:szCs w:val="22"/>
                <w:lang w:val="it-IT"/>
              </w:rPr>
              <w:t xml:space="preserve">2. </w:t>
            </w:r>
            <w:proofErr w:type="spellStart"/>
            <w:r w:rsidRPr="00DF4CE5">
              <w:rPr>
                <w:rFonts w:ascii="Cambria" w:hAnsi="Cambria"/>
                <w:sz w:val="22"/>
                <w:szCs w:val="22"/>
                <w:lang w:val="it-IT"/>
              </w:rPr>
              <w:t>koristiti</w:t>
            </w:r>
            <w:proofErr w:type="spellEnd"/>
            <w:r w:rsidRPr="00DF4CE5">
              <w:rPr>
                <w:rFonts w:ascii="Cambria" w:hAnsi="Cambria"/>
                <w:sz w:val="22"/>
                <w:szCs w:val="22"/>
                <w:lang w:val="it-IT"/>
              </w:rPr>
              <w:t xml:space="preserve"> HTML za </w:t>
            </w:r>
            <w:proofErr w:type="spellStart"/>
            <w:r w:rsidRPr="00DF4CE5">
              <w:rPr>
                <w:rFonts w:ascii="Cambria" w:hAnsi="Cambria"/>
                <w:sz w:val="22"/>
                <w:szCs w:val="22"/>
                <w:lang w:val="it-IT"/>
              </w:rPr>
              <w:t>izradu</w:t>
            </w:r>
            <w:proofErr w:type="spellEnd"/>
            <w:r w:rsidRPr="00DF4CE5">
              <w:rPr>
                <w:rFonts w:ascii="Cambria" w:hAnsi="Cambria"/>
                <w:sz w:val="22"/>
                <w:szCs w:val="22"/>
                <w:lang w:val="it-IT"/>
              </w:rPr>
              <w:t xml:space="preserve"> web </w:t>
            </w:r>
            <w:proofErr w:type="spellStart"/>
            <w:r w:rsidRPr="00DF4CE5">
              <w:rPr>
                <w:rFonts w:ascii="Cambria" w:hAnsi="Cambria"/>
                <w:sz w:val="22"/>
                <w:szCs w:val="22"/>
                <w:lang w:val="it-IT"/>
              </w:rPr>
              <w:t>stranica</w:t>
            </w:r>
            <w:proofErr w:type="spellEnd"/>
          </w:p>
          <w:p w14:paraId="44420B56" w14:textId="77777777" w:rsidR="00A44D99" w:rsidRPr="00DF4CE5" w:rsidRDefault="00A44D99" w:rsidP="00A44D99">
            <w:pPr>
              <w:pStyle w:val="Default"/>
              <w:rPr>
                <w:rFonts w:ascii="Cambria" w:hAnsi="Cambria"/>
                <w:sz w:val="22"/>
                <w:szCs w:val="22"/>
                <w:lang w:val="it-IT"/>
              </w:rPr>
            </w:pPr>
            <w:r w:rsidRPr="00DF4CE5">
              <w:rPr>
                <w:rFonts w:ascii="Cambria" w:hAnsi="Cambria"/>
                <w:sz w:val="22"/>
                <w:szCs w:val="22"/>
                <w:lang w:val="it-IT"/>
              </w:rPr>
              <w:t xml:space="preserve">3. </w:t>
            </w:r>
            <w:proofErr w:type="spellStart"/>
            <w:r w:rsidRPr="00DF4CE5">
              <w:rPr>
                <w:rFonts w:ascii="Cambria" w:hAnsi="Cambria"/>
                <w:sz w:val="22"/>
                <w:szCs w:val="22"/>
                <w:lang w:val="it-IT"/>
              </w:rPr>
              <w:t>koristit</w:t>
            </w:r>
            <w:proofErr w:type="spellEnd"/>
            <w:r w:rsidRPr="00DF4CE5">
              <w:rPr>
                <w:rFonts w:ascii="Cambria" w:hAnsi="Cambria"/>
                <w:sz w:val="22"/>
                <w:szCs w:val="22"/>
                <w:lang w:val="it-IT"/>
              </w:rPr>
              <w:t xml:space="preserve"> </w:t>
            </w:r>
            <w:proofErr w:type="spellStart"/>
            <w:r w:rsidRPr="00DF4CE5">
              <w:rPr>
                <w:rFonts w:ascii="Cambria" w:hAnsi="Cambria"/>
                <w:sz w:val="22"/>
                <w:szCs w:val="22"/>
                <w:lang w:val="it-IT"/>
              </w:rPr>
              <w:t>aplikaciju</w:t>
            </w:r>
            <w:proofErr w:type="spellEnd"/>
            <w:r w:rsidRPr="00DF4CE5">
              <w:rPr>
                <w:rFonts w:ascii="Cambria" w:hAnsi="Cambria"/>
                <w:sz w:val="22"/>
                <w:szCs w:val="22"/>
                <w:lang w:val="it-IT"/>
              </w:rPr>
              <w:t xml:space="preserve"> za </w:t>
            </w:r>
            <w:proofErr w:type="spellStart"/>
            <w:r w:rsidRPr="00DF4CE5">
              <w:rPr>
                <w:rFonts w:ascii="Cambria" w:hAnsi="Cambria"/>
                <w:sz w:val="22"/>
                <w:szCs w:val="22"/>
                <w:lang w:val="it-IT"/>
              </w:rPr>
              <w:t>izradu</w:t>
            </w:r>
            <w:proofErr w:type="spellEnd"/>
            <w:r w:rsidRPr="00DF4CE5">
              <w:rPr>
                <w:rFonts w:ascii="Cambria" w:hAnsi="Cambria"/>
                <w:sz w:val="22"/>
                <w:szCs w:val="22"/>
                <w:lang w:val="it-IT"/>
              </w:rPr>
              <w:t xml:space="preserve"> web </w:t>
            </w:r>
            <w:proofErr w:type="spellStart"/>
            <w:r w:rsidRPr="00DF4CE5">
              <w:rPr>
                <w:rFonts w:ascii="Cambria" w:hAnsi="Cambria"/>
                <w:sz w:val="22"/>
                <w:szCs w:val="22"/>
                <w:lang w:val="it-IT"/>
              </w:rPr>
              <w:t>stranica</w:t>
            </w:r>
            <w:proofErr w:type="spellEnd"/>
          </w:p>
          <w:p w14:paraId="34B9C273" w14:textId="77777777" w:rsidR="00A44D99" w:rsidRPr="00DF4CE5" w:rsidRDefault="00A44D99" w:rsidP="00A44D99">
            <w:pPr>
              <w:pStyle w:val="Default"/>
              <w:rPr>
                <w:rFonts w:ascii="Cambria" w:hAnsi="Cambria"/>
                <w:sz w:val="22"/>
                <w:szCs w:val="22"/>
                <w:lang w:val="it-IT"/>
              </w:rPr>
            </w:pPr>
            <w:r w:rsidRPr="00DF4CE5">
              <w:rPr>
                <w:rFonts w:ascii="Cambria" w:hAnsi="Cambria"/>
                <w:sz w:val="22"/>
                <w:szCs w:val="22"/>
                <w:lang w:val="it-IT"/>
              </w:rPr>
              <w:t xml:space="preserve">4. </w:t>
            </w:r>
            <w:proofErr w:type="spellStart"/>
            <w:r w:rsidRPr="00DF4CE5">
              <w:rPr>
                <w:rFonts w:ascii="Cambria" w:hAnsi="Cambria"/>
                <w:sz w:val="22"/>
                <w:szCs w:val="22"/>
                <w:lang w:val="it-IT"/>
              </w:rPr>
              <w:t>koristiti</w:t>
            </w:r>
            <w:proofErr w:type="spellEnd"/>
            <w:r w:rsidRPr="00DF4CE5">
              <w:rPr>
                <w:rFonts w:ascii="Cambria" w:hAnsi="Cambria"/>
                <w:sz w:val="22"/>
                <w:szCs w:val="22"/>
                <w:lang w:val="it-IT"/>
              </w:rPr>
              <w:t xml:space="preserve"> CSS u </w:t>
            </w:r>
            <w:proofErr w:type="spellStart"/>
            <w:r w:rsidRPr="00DF4CE5">
              <w:rPr>
                <w:rFonts w:ascii="Cambria" w:hAnsi="Cambria"/>
                <w:sz w:val="22"/>
                <w:szCs w:val="22"/>
                <w:lang w:val="it-IT"/>
              </w:rPr>
              <w:t>izradi</w:t>
            </w:r>
            <w:proofErr w:type="spellEnd"/>
            <w:r w:rsidRPr="00DF4CE5">
              <w:rPr>
                <w:rFonts w:ascii="Cambria" w:hAnsi="Cambria"/>
                <w:sz w:val="22"/>
                <w:szCs w:val="22"/>
                <w:lang w:val="it-IT"/>
              </w:rPr>
              <w:t xml:space="preserve"> web </w:t>
            </w:r>
            <w:proofErr w:type="spellStart"/>
            <w:r w:rsidRPr="00DF4CE5">
              <w:rPr>
                <w:rFonts w:ascii="Cambria" w:hAnsi="Cambria"/>
                <w:sz w:val="22"/>
                <w:szCs w:val="22"/>
                <w:lang w:val="it-IT"/>
              </w:rPr>
              <w:t>stranica</w:t>
            </w:r>
            <w:proofErr w:type="spellEnd"/>
          </w:p>
          <w:p w14:paraId="5565984F" w14:textId="77777777" w:rsidR="00A44D99" w:rsidRPr="00DF4CE5" w:rsidRDefault="00A44D99" w:rsidP="00A44D99">
            <w:pPr>
              <w:pStyle w:val="Default"/>
              <w:rPr>
                <w:rFonts w:ascii="Cambria" w:hAnsi="Cambria"/>
                <w:sz w:val="22"/>
                <w:szCs w:val="22"/>
                <w:lang w:val="it-IT"/>
              </w:rPr>
            </w:pPr>
            <w:r w:rsidRPr="00DF4CE5">
              <w:rPr>
                <w:rFonts w:ascii="Cambria" w:hAnsi="Cambria"/>
                <w:sz w:val="22"/>
                <w:szCs w:val="22"/>
                <w:lang w:val="it-IT"/>
              </w:rPr>
              <w:t xml:space="preserve">5. </w:t>
            </w:r>
            <w:proofErr w:type="spellStart"/>
            <w:r w:rsidRPr="00DF4CE5">
              <w:rPr>
                <w:rFonts w:ascii="Cambria" w:hAnsi="Cambria"/>
                <w:sz w:val="22"/>
                <w:szCs w:val="22"/>
                <w:lang w:val="it-IT"/>
              </w:rPr>
              <w:t>koristiti</w:t>
            </w:r>
            <w:proofErr w:type="spellEnd"/>
            <w:r w:rsidRPr="00DF4CE5">
              <w:rPr>
                <w:rFonts w:ascii="Cambria" w:hAnsi="Cambria"/>
                <w:sz w:val="22"/>
                <w:szCs w:val="22"/>
                <w:lang w:val="it-IT"/>
              </w:rPr>
              <w:t xml:space="preserve"> JavaScript u </w:t>
            </w:r>
            <w:proofErr w:type="spellStart"/>
            <w:r w:rsidRPr="00DF4CE5">
              <w:rPr>
                <w:rFonts w:ascii="Cambria" w:hAnsi="Cambria"/>
                <w:sz w:val="22"/>
                <w:szCs w:val="22"/>
                <w:lang w:val="it-IT"/>
              </w:rPr>
              <w:t>izradi</w:t>
            </w:r>
            <w:proofErr w:type="spellEnd"/>
            <w:r w:rsidRPr="00DF4CE5">
              <w:rPr>
                <w:rFonts w:ascii="Cambria" w:hAnsi="Cambria"/>
                <w:sz w:val="22"/>
                <w:szCs w:val="22"/>
                <w:lang w:val="it-IT"/>
              </w:rPr>
              <w:t xml:space="preserve"> web </w:t>
            </w:r>
            <w:proofErr w:type="spellStart"/>
            <w:r w:rsidRPr="00DF4CE5">
              <w:rPr>
                <w:rFonts w:ascii="Cambria" w:hAnsi="Cambria"/>
                <w:sz w:val="22"/>
                <w:szCs w:val="22"/>
                <w:lang w:val="it-IT"/>
              </w:rPr>
              <w:t>stranica</w:t>
            </w:r>
            <w:proofErr w:type="spellEnd"/>
          </w:p>
        </w:tc>
      </w:tr>
      <w:tr w:rsidR="00A44D99" w:rsidRPr="00DF4CE5" w14:paraId="6E1D8756" w14:textId="77777777" w:rsidTr="00F710EA">
        <w:tc>
          <w:tcPr>
            <w:tcW w:w="2806"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1263F140" w14:textId="77777777" w:rsidR="00A44D99" w:rsidRPr="00DF4CE5" w:rsidRDefault="00A44D99" w:rsidP="00A44D99">
            <w:pPr>
              <w:pStyle w:val="Default"/>
              <w:rPr>
                <w:rFonts w:ascii="Cambria" w:hAnsi="Cambria"/>
                <w:sz w:val="22"/>
                <w:szCs w:val="22"/>
              </w:rPr>
            </w:pPr>
            <w:proofErr w:type="spellStart"/>
            <w:r w:rsidRPr="00DF4CE5">
              <w:rPr>
                <w:rFonts w:ascii="Cambria" w:hAnsi="Cambria"/>
                <w:sz w:val="22"/>
                <w:szCs w:val="22"/>
              </w:rPr>
              <w:t>Sadržaj</w:t>
            </w:r>
            <w:proofErr w:type="spellEnd"/>
            <w:r w:rsidRPr="00DF4CE5">
              <w:rPr>
                <w:rFonts w:ascii="Cambria" w:hAnsi="Cambria"/>
                <w:sz w:val="22"/>
                <w:szCs w:val="22"/>
              </w:rPr>
              <w:t xml:space="preserve"> </w:t>
            </w:r>
            <w:proofErr w:type="spellStart"/>
            <w:r w:rsidRPr="00DF4CE5">
              <w:rPr>
                <w:rFonts w:ascii="Cambria" w:hAnsi="Cambria"/>
                <w:sz w:val="22"/>
                <w:szCs w:val="22"/>
              </w:rPr>
              <w:t>kolegija</w:t>
            </w:r>
            <w:proofErr w:type="spellEnd"/>
          </w:p>
        </w:tc>
        <w:tc>
          <w:tcPr>
            <w:tcW w:w="7214"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F2AD136" w14:textId="77777777" w:rsidR="00A44D99" w:rsidRPr="00DF4CE5" w:rsidRDefault="00A44D99" w:rsidP="00A44D99">
            <w:pPr>
              <w:pStyle w:val="Default"/>
              <w:rPr>
                <w:rFonts w:ascii="Cambria" w:hAnsi="Cambria"/>
                <w:sz w:val="22"/>
                <w:szCs w:val="22"/>
              </w:rPr>
            </w:pPr>
            <w:r w:rsidRPr="00DF4CE5">
              <w:rPr>
                <w:rFonts w:ascii="Cambria" w:hAnsi="Cambria"/>
                <w:sz w:val="22"/>
                <w:szCs w:val="22"/>
              </w:rPr>
              <w:t xml:space="preserve">1. World Wide Web. </w:t>
            </w:r>
            <w:proofErr w:type="spellStart"/>
            <w:r w:rsidRPr="00DF4CE5">
              <w:rPr>
                <w:rFonts w:ascii="Cambria" w:hAnsi="Cambria"/>
                <w:sz w:val="22"/>
                <w:szCs w:val="22"/>
              </w:rPr>
              <w:t>Klijent</w:t>
            </w:r>
            <w:proofErr w:type="spellEnd"/>
            <w:r w:rsidRPr="00DF4CE5">
              <w:rPr>
                <w:rFonts w:ascii="Cambria" w:hAnsi="Cambria"/>
                <w:sz w:val="22"/>
                <w:szCs w:val="22"/>
              </w:rPr>
              <w:t xml:space="preserve">-server </w:t>
            </w:r>
            <w:proofErr w:type="spellStart"/>
            <w:r w:rsidRPr="00DF4CE5">
              <w:rPr>
                <w:rFonts w:ascii="Cambria" w:hAnsi="Cambria"/>
                <w:sz w:val="22"/>
                <w:szCs w:val="22"/>
              </w:rPr>
              <w:t>tehnologija</w:t>
            </w:r>
            <w:proofErr w:type="spellEnd"/>
            <w:r w:rsidRPr="00DF4CE5">
              <w:rPr>
                <w:rFonts w:ascii="Cambria" w:hAnsi="Cambria"/>
                <w:sz w:val="22"/>
                <w:szCs w:val="22"/>
              </w:rPr>
              <w:t xml:space="preserve">. </w:t>
            </w:r>
            <w:proofErr w:type="spellStart"/>
            <w:r w:rsidRPr="00DF4CE5">
              <w:rPr>
                <w:rFonts w:ascii="Cambria" w:hAnsi="Cambria"/>
                <w:sz w:val="22"/>
                <w:szCs w:val="22"/>
              </w:rPr>
              <w:t>Osnovni</w:t>
            </w:r>
            <w:proofErr w:type="spellEnd"/>
            <w:r w:rsidRPr="00DF4CE5">
              <w:rPr>
                <w:rFonts w:ascii="Cambria" w:hAnsi="Cambria"/>
                <w:sz w:val="22"/>
                <w:szCs w:val="22"/>
              </w:rPr>
              <w:t xml:space="preserve"> </w:t>
            </w:r>
            <w:proofErr w:type="spellStart"/>
            <w:r w:rsidRPr="00DF4CE5">
              <w:rPr>
                <w:rFonts w:ascii="Cambria" w:hAnsi="Cambria"/>
                <w:sz w:val="22"/>
                <w:szCs w:val="22"/>
              </w:rPr>
              <w:t>pojmovi</w:t>
            </w:r>
            <w:proofErr w:type="spellEnd"/>
            <w:r w:rsidRPr="00DF4CE5">
              <w:rPr>
                <w:rFonts w:ascii="Cambria" w:hAnsi="Cambria"/>
                <w:sz w:val="22"/>
                <w:szCs w:val="22"/>
              </w:rPr>
              <w:t xml:space="preserve"> </w:t>
            </w:r>
            <w:proofErr w:type="spellStart"/>
            <w:r w:rsidRPr="00DF4CE5">
              <w:rPr>
                <w:rFonts w:ascii="Cambria" w:hAnsi="Cambria"/>
                <w:sz w:val="22"/>
                <w:szCs w:val="22"/>
              </w:rPr>
              <w:t>weba</w:t>
            </w:r>
            <w:proofErr w:type="spellEnd"/>
            <w:r w:rsidRPr="00DF4CE5">
              <w:rPr>
                <w:rFonts w:ascii="Cambria" w:hAnsi="Cambria"/>
                <w:sz w:val="22"/>
                <w:szCs w:val="22"/>
              </w:rPr>
              <w:t xml:space="preserve">: HTML, URL, </w:t>
            </w:r>
            <w:proofErr w:type="spellStart"/>
            <w:r w:rsidRPr="00DF4CE5">
              <w:rPr>
                <w:rFonts w:ascii="Cambria" w:hAnsi="Cambria"/>
                <w:sz w:val="22"/>
                <w:szCs w:val="22"/>
              </w:rPr>
              <w:t>domena</w:t>
            </w:r>
            <w:proofErr w:type="spellEnd"/>
            <w:r w:rsidRPr="00DF4CE5">
              <w:rPr>
                <w:rFonts w:ascii="Cambria" w:hAnsi="Cambria"/>
                <w:sz w:val="22"/>
                <w:szCs w:val="22"/>
              </w:rPr>
              <w:t xml:space="preserve">, IP, DNS, WEB hosting. </w:t>
            </w:r>
            <w:proofErr w:type="spellStart"/>
            <w:r w:rsidRPr="00DF4CE5">
              <w:rPr>
                <w:rFonts w:ascii="Cambria" w:hAnsi="Cambria"/>
                <w:sz w:val="22"/>
                <w:szCs w:val="22"/>
              </w:rPr>
              <w:t>Statičke</w:t>
            </w:r>
            <w:proofErr w:type="spellEnd"/>
            <w:r w:rsidRPr="00DF4CE5">
              <w:rPr>
                <w:rFonts w:ascii="Cambria" w:hAnsi="Cambria"/>
                <w:sz w:val="22"/>
                <w:szCs w:val="22"/>
              </w:rPr>
              <w:t xml:space="preserve"> </w:t>
            </w:r>
            <w:proofErr w:type="spellStart"/>
            <w:r w:rsidRPr="00DF4CE5">
              <w:rPr>
                <w:rFonts w:ascii="Cambria" w:hAnsi="Cambria"/>
                <w:sz w:val="22"/>
                <w:szCs w:val="22"/>
              </w:rPr>
              <w:t>i</w:t>
            </w:r>
            <w:proofErr w:type="spellEnd"/>
            <w:r w:rsidRPr="00DF4CE5">
              <w:rPr>
                <w:rFonts w:ascii="Cambria" w:hAnsi="Cambria"/>
                <w:sz w:val="22"/>
                <w:szCs w:val="22"/>
              </w:rPr>
              <w:t xml:space="preserve"> </w:t>
            </w:r>
            <w:proofErr w:type="spellStart"/>
            <w:r w:rsidRPr="00DF4CE5">
              <w:rPr>
                <w:rFonts w:ascii="Cambria" w:hAnsi="Cambria"/>
                <w:sz w:val="22"/>
                <w:szCs w:val="22"/>
              </w:rPr>
              <w:t>dinamičke</w:t>
            </w:r>
            <w:proofErr w:type="spellEnd"/>
            <w:r w:rsidRPr="00DF4CE5">
              <w:rPr>
                <w:rFonts w:ascii="Cambria" w:hAnsi="Cambria"/>
                <w:sz w:val="22"/>
                <w:szCs w:val="22"/>
              </w:rPr>
              <w:t xml:space="preserve"> WEB </w:t>
            </w:r>
            <w:proofErr w:type="spellStart"/>
            <w:r w:rsidRPr="00DF4CE5">
              <w:rPr>
                <w:rFonts w:ascii="Cambria" w:hAnsi="Cambria"/>
                <w:sz w:val="22"/>
                <w:szCs w:val="22"/>
              </w:rPr>
              <w:t>stranice</w:t>
            </w:r>
            <w:proofErr w:type="spellEnd"/>
            <w:r w:rsidRPr="00DF4CE5">
              <w:rPr>
                <w:rFonts w:ascii="Cambria" w:hAnsi="Cambria"/>
                <w:sz w:val="22"/>
                <w:szCs w:val="22"/>
              </w:rPr>
              <w:t xml:space="preserve">. Web </w:t>
            </w:r>
            <w:proofErr w:type="spellStart"/>
            <w:r w:rsidRPr="00DF4CE5">
              <w:rPr>
                <w:rFonts w:ascii="Cambria" w:hAnsi="Cambria"/>
                <w:sz w:val="22"/>
                <w:szCs w:val="22"/>
              </w:rPr>
              <w:t>dizajn</w:t>
            </w:r>
            <w:proofErr w:type="spellEnd"/>
            <w:r w:rsidRPr="00DF4CE5">
              <w:rPr>
                <w:rFonts w:ascii="Cambria" w:hAnsi="Cambria"/>
                <w:sz w:val="22"/>
                <w:szCs w:val="22"/>
              </w:rPr>
              <w:t xml:space="preserve">. </w:t>
            </w:r>
            <w:proofErr w:type="spellStart"/>
            <w:r w:rsidRPr="00DF4CE5">
              <w:rPr>
                <w:rFonts w:ascii="Cambria" w:hAnsi="Cambria"/>
                <w:sz w:val="22"/>
                <w:szCs w:val="22"/>
              </w:rPr>
              <w:t>Koraci</w:t>
            </w:r>
            <w:proofErr w:type="spellEnd"/>
            <w:r w:rsidRPr="00DF4CE5">
              <w:rPr>
                <w:rFonts w:ascii="Cambria" w:hAnsi="Cambria"/>
                <w:sz w:val="22"/>
                <w:szCs w:val="22"/>
              </w:rPr>
              <w:t xml:space="preserve"> u </w:t>
            </w:r>
            <w:proofErr w:type="spellStart"/>
            <w:r w:rsidRPr="00DF4CE5">
              <w:rPr>
                <w:rFonts w:ascii="Cambria" w:hAnsi="Cambria"/>
                <w:sz w:val="22"/>
                <w:szCs w:val="22"/>
              </w:rPr>
              <w:t>izradi</w:t>
            </w:r>
            <w:proofErr w:type="spellEnd"/>
            <w:r w:rsidRPr="00DF4CE5">
              <w:rPr>
                <w:rFonts w:ascii="Cambria" w:hAnsi="Cambria"/>
                <w:sz w:val="22"/>
                <w:szCs w:val="22"/>
              </w:rPr>
              <w:t xml:space="preserve"> web </w:t>
            </w:r>
            <w:proofErr w:type="spellStart"/>
            <w:r w:rsidRPr="00DF4CE5">
              <w:rPr>
                <w:rFonts w:ascii="Cambria" w:hAnsi="Cambria"/>
                <w:sz w:val="22"/>
                <w:szCs w:val="22"/>
              </w:rPr>
              <w:t>stranica</w:t>
            </w:r>
            <w:proofErr w:type="spellEnd"/>
            <w:r w:rsidRPr="00DF4CE5">
              <w:rPr>
                <w:rFonts w:ascii="Cambria" w:hAnsi="Cambria"/>
                <w:sz w:val="22"/>
                <w:szCs w:val="22"/>
              </w:rPr>
              <w:t>.</w:t>
            </w:r>
          </w:p>
          <w:p w14:paraId="48A8B77E" w14:textId="77777777" w:rsidR="00A44D99" w:rsidRPr="00DF4CE5" w:rsidRDefault="00A44D99" w:rsidP="00A44D99">
            <w:pPr>
              <w:pStyle w:val="Default"/>
              <w:rPr>
                <w:rFonts w:ascii="Cambria" w:hAnsi="Cambria"/>
                <w:sz w:val="22"/>
                <w:szCs w:val="22"/>
              </w:rPr>
            </w:pPr>
            <w:r w:rsidRPr="00DF4CE5">
              <w:rPr>
                <w:rFonts w:ascii="Cambria" w:hAnsi="Cambria"/>
                <w:sz w:val="22"/>
                <w:szCs w:val="22"/>
              </w:rPr>
              <w:t xml:space="preserve">2. </w:t>
            </w:r>
            <w:proofErr w:type="spellStart"/>
            <w:r w:rsidRPr="00DF4CE5">
              <w:rPr>
                <w:rFonts w:ascii="Cambria" w:hAnsi="Cambria"/>
                <w:sz w:val="22"/>
                <w:szCs w:val="22"/>
              </w:rPr>
              <w:t>Struktura</w:t>
            </w:r>
            <w:proofErr w:type="spellEnd"/>
            <w:r w:rsidRPr="00DF4CE5">
              <w:rPr>
                <w:rFonts w:ascii="Cambria" w:hAnsi="Cambria"/>
                <w:sz w:val="22"/>
                <w:szCs w:val="22"/>
              </w:rPr>
              <w:t xml:space="preserve"> HTML </w:t>
            </w:r>
            <w:proofErr w:type="spellStart"/>
            <w:r w:rsidRPr="00DF4CE5">
              <w:rPr>
                <w:rFonts w:ascii="Cambria" w:hAnsi="Cambria"/>
                <w:sz w:val="22"/>
                <w:szCs w:val="22"/>
              </w:rPr>
              <w:t>dokumenta</w:t>
            </w:r>
            <w:proofErr w:type="spellEnd"/>
            <w:r w:rsidRPr="00DF4CE5">
              <w:rPr>
                <w:rFonts w:ascii="Cambria" w:hAnsi="Cambria"/>
                <w:sz w:val="22"/>
                <w:szCs w:val="22"/>
              </w:rPr>
              <w:t xml:space="preserve">. HTML </w:t>
            </w:r>
            <w:proofErr w:type="spellStart"/>
            <w:r w:rsidRPr="00DF4CE5">
              <w:rPr>
                <w:rFonts w:ascii="Cambria" w:hAnsi="Cambria"/>
                <w:sz w:val="22"/>
                <w:szCs w:val="22"/>
              </w:rPr>
              <w:t>tagovi</w:t>
            </w:r>
            <w:proofErr w:type="spellEnd"/>
            <w:r w:rsidRPr="00DF4CE5">
              <w:rPr>
                <w:rFonts w:ascii="Cambria" w:hAnsi="Cambria"/>
                <w:sz w:val="22"/>
                <w:szCs w:val="22"/>
              </w:rPr>
              <w:t xml:space="preserve"> – </w:t>
            </w:r>
            <w:proofErr w:type="spellStart"/>
            <w:r w:rsidRPr="00DF4CE5">
              <w:rPr>
                <w:rFonts w:ascii="Cambria" w:hAnsi="Cambria"/>
                <w:sz w:val="22"/>
                <w:szCs w:val="22"/>
              </w:rPr>
              <w:t>Oblikovanje</w:t>
            </w:r>
            <w:proofErr w:type="spellEnd"/>
            <w:r w:rsidRPr="00DF4CE5">
              <w:rPr>
                <w:rFonts w:ascii="Cambria" w:hAnsi="Cambria"/>
                <w:sz w:val="22"/>
                <w:szCs w:val="22"/>
              </w:rPr>
              <w:t xml:space="preserve"> </w:t>
            </w:r>
            <w:proofErr w:type="spellStart"/>
            <w:r w:rsidRPr="00DF4CE5">
              <w:rPr>
                <w:rFonts w:ascii="Cambria" w:hAnsi="Cambria"/>
                <w:sz w:val="22"/>
                <w:szCs w:val="22"/>
              </w:rPr>
              <w:t>teksta</w:t>
            </w:r>
            <w:proofErr w:type="spellEnd"/>
            <w:r w:rsidRPr="00DF4CE5">
              <w:rPr>
                <w:rFonts w:ascii="Cambria" w:hAnsi="Cambria"/>
                <w:sz w:val="22"/>
                <w:szCs w:val="22"/>
              </w:rPr>
              <w:t xml:space="preserve"> (Text, Paragraph, Lists). HTML – Slike </w:t>
            </w:r>
            <w:proofErr w:type="spellStart"/>
            <w:r w:rsidRPr="00DF4CE5">
              <w:rPr>
                <w:rFonts w:ascii="Cambria" w:hAnsi="Cambria"/>
                <w:sz w:val="22"/>
                <w:szCs w:val="22"/>
              </w:rPr>
              <w:t>i</w:t>
            </w:r>
            <w:proofErr w:type="spellEnd"/>
            <w:r w:rsidRPr="00DF4CE5">
              <w:rPr>
                <w:rFonts w:ascii="Cambria" w:hAnsi="Cambria"/>
                <w:sz w:val="22"/>
                <w:szCs w:val="22"/>
              </w:rPr>
              <w:t xml:space="preserve"> </w:t>
            </w:r>
            <w:proofErr w:type="spellStart"/>
            <w:r w:rsidRPr="00DF4CE5">
              <w:rPr>
                <w:rFonts w:ascii="Cambria" w:hAnsi="Cambria"/>
                <w:sz w:val="22"/>
                <w:szCs w:val="22"/>
              </w:rPr>
              <w:t>linkovi</w:t>
            </w:r>
            <w:proofErr w:type="spellEnd"/>
            <w:r w:rsidRPr="00DF4CE5">
              <w:rPr>
                <w:rFonts w:ascii="Cambria" w:hAnsi="Cambria"/>
                <w:sz w:val="22"/>
                <w:szCs w:val="22"/>
              </w:rPr>
              <w:t>.</w:t>
            </w:r>
          </w:p>
          <w:p w14:paraId="0B94436E" w14:textId="77777777" w:rsidR="00A44D99" w:rsidRPr="00DF4CE5" w:rsidRDefault="00A44D99" w:rsidP="00A44D99">
            <w:pPr>
              <w:pStyle w:val="Default"/>
              <w:rPr>
                <w:rFonts w:ascii="Cambria" w:hAnsi="Cambria"/>
                <w:sz w:val="22"/>
                <w:szCs w:val="22"/>
              </w:rPr>
            </w:pPr>
            <w:r w:rsidRPr="00DF4CE5">
              <w:rPr>
                <w:rFonts w:ascii="Cambria" w:hAnsi="Cambria"/>
                <w:sz w:val="22"/>
                <w:szCs w:val="22"/>
              </w:rPr>
              <w:t xml:space="preserve">3. HTML – </w:t>
            </w:r>
            <w:proofErr w:type="spellStart"/>
            <w:r w:rsidRPr="00DF4CE5">
              <w:rPr>
                <w:rFonts w:ascii="Cambria" w:hAnsi="Cambria"/>
                <w:sz w:val="22"/>
                <w:szCs w:val="22"/>
              </w:rPr>
              <w:t>Tablice</w:t>
            </w:r>
            <w:proofErr w:type="spellEnd"/>
            <w:r w:rsidRPr="00DF4CE5">
              <w:rPr>
                <w:rFonts w:ascii="Cambria" w:hAnsi="Cambria"/>
                <w:sz w:val="22"/>
                <w:szCs w:val="22"/>
              </w:rPr>
              <w:t xml:space="preserve">. HTML – </w:t>
            </w:r>
            <w:proofErr w:type="spellStart"/>
            <w:r w:rsidRPr="00DF4CE5">
              <w:rPr>
                <w:rFonts w:ascii="Cambria" w:hAnsi="Cambria"/>
                <w:sz w:val="22"/>
                <w:szCs w:val="22"/>
              </w:rPr>
              <w:t>Okviri</w:t>
            </w:r>
            <w:proofErr w:type="spellEnd"/>
            <w:r w:rsidRPr="00DF4CE5">
              <w:rPr>
                <w:rFonts w:ascii="Cambria" w:hAnsi="Cambria"/>
                <w:sz w:val="22"/>
                <w:szCs w:val="22"/>
              </w:rPr>
              <w:t xml:space="preserve">. HTML – </w:t>
            </w:r>
            <w:proofErr w:type="spellStart"/>
            <w:r w:rsidRPr="00DF4CE5">
              <w:rPr>
                <w:rFonts w:ascii="Cambria" w:hAnsi="Cambria"/>
                <w:sz w:val="22"/>
                <w:szCs w:val="22"/>
              </w:rPr>
              <w:t>Obrasci</w:t>
            </w:r>
            <w:proofErr w:type="spellEnd"/>
            <w:r w:rsidRPr="00DF4CE5">
              <w:rPr>
                <w:rFonts w:ascii="Cambria" w:hAnsi="Cambria"/>
                <w:sz w:val="22"/>
                <w:szCs w:val="22"/>
              </w:rPr>
              <w:t>.</w:t>
            </w:r>
          </w:p>
          <w:p w14:paraId="51EB8097" w14:textId="77777777" w:rsidR="00A44D99" w:rsidRPr="00DF4CE5" w:rsidRDefault="00A44D99" w:rsidP="00A44D99">
            <w:pPr>
              <w:pStyle w:val="Default"/>
              <w:rPr>
                <w:rFonts w:ascii="Cambria" w:hAnsi="Cambria"/>
                <w:sz w:val="22"/>
                <w:szCs w:val="22"/>
              </w:rPr>
            </w:pPr>
            <w:r w:rsidRPr="00DF4CE5">
              <w:rPr>
                <w:rFonts w:ascii="Cambria" w:hAnsi="Cambria"/>
                <w:sz w:val="22"/>
                <w:szCs w:val="22"/>
              </w:rPr>
              <w:t xml:space="preserve">4. CSS </w:t>
            </w:r>
            <w:proofErr w:type="spellStart"/>
            <w:r w:rsidRPr="00DF4CE5">
              <w:rPr>
                <w:rFonts w:ascii="Cambria" w:hAnsi="Cambria"/>
                <w:sz w:val="22"/>
                <w:szCs w:val="22"/>
              </w:rPr>
              <w:t>unutar</w:t>
            </w:r>
            <w:proofErr w:type="spellEnd"/>
            <w:r w:rsidRPr="00DF4CE5">
              <w:rPr>
                <w:rFonts w:ascii="Cambria" w:hAnsi="Cambria"/>
                <w:sz w:val="22"/>
                <w:szCs w:val="22"/>
              </w:rPr>
              <w:t xml:space="preserve"> HTML </w:t>
            </w:r>
            <w:proofErr w:type="spellStart"/>
            <w:r w:rsidRPr="00DF4CE5">
              <w:rPr>
                <w:rFonts w:ascii="Cambria" w:hAnsi="Cambria"/>
                <w:sz w:val="22"/>
                <w:szCs w:val="22"/>
              </w:rPr>
              <w:t>dokumenta</w:t>
            </w:r>
            <w:proofErr w:type="spellEnd"/>
            <w:r w:rsidRPr="00DF4CE5">
              <w:rPr>
                <w:rFonts w:ascii="Cambria" w:hAnsi="Cambria"/>
                <w:sz w:val="22"/>
                <w:szCs w:val="22"/>
              </w:rPr>
              <w:t>.</w:t>
            </w:r>
          </w:p>
          <w:p w14:paraId="52B11272" w14:textId="77777777" w:rsidR="00A44D99" w:rsidRPr="00DF4CE5" w:rsidRDefault="00A44D99" w:rsidP="00A44D99">
            <w:pPr>
              <w:pStyle w:val="Default"/>
              <w:rPr>
                <w:rFonts w:ascii="Cambria" w:hAnsi="Cambria"/>
                <w:sz w:val="22"/>
                <w:szCs w:val="22"/>
              </w:rPr>
            </w:pPr>
            <w:r w:rsidRPr="00DF4CE5">
              <w:rPr>
                <w:rFonts w:ascii="Cambria" w:hAnsi="Cambria"/>
                <w:sz w:val="22"/>
                <w:szCs w:val="22"/>
              </w:rPr>
              <w:t xml:space="preserve">5. JavaScript </w:t>
            </w:r>
            <w:proofErr w:type="spellStart"/>
            <w:r w:rsidRPr="00DF4CE5">
              <w:rPr>
                <w:rFonts w:ascii="Cambria" w:hAnsi="Cambria"/>
                <w:sz w:val="22"/>
                <w:szCs w:val="22"/>
              </w:rPr>
              <w:t>unutar</w:t>
            </w:r>
            <w:proofErr w:type="spellEnd"/>
            <w:r w:rsidRPr="00DF4CE5">
              <w:rPr>
                <w:rFonts w:ascii="Cambria" w:hAnsi="Cambria"/>
                <w:sz w:val="22"/>
                <w:szCs w:val="22"/>
              </w:rPr>
              <w:t xml:space="preserve"> HTML </w:t>
            </w:r>
            <w:proofErr w:type="spellStart"/>
            <w:r w:rsidRPr="00DF4CE5">
              <w:rPr>
                <w:rFonts w:ascii="Cambria" w:hAnsi="Cambria"/>
                <w:sz w:val="22"/>
                <w:szCs w:val="22"/>
              </w:rPr>
              <w:t>dokumenta</w:t>
            </w:r>
            <w:proofErr w:type="spellEnd"/>
          </w:p>
        </w:tc>
      </w:tr>
      <w:tr w:rsidR="00A44D99" w:rsidRPr="00DF4CE5" w14:paraId="2B264DAE" w14:textId="77777777" w:rsidTr="00F710EA">
        <w:tc>
          <w:tcPr>
            <w:tcW w:w="2806"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hideMark/>
          </w:tcPr>
          <w:p w14:paraId="7DDDEBF8" w14:textId="77777777" w:rsidR="00A44D99" w:rsidRPr="00DF4CE5" w:rsidRDefault="00A44D99" w:rsidP="00F04088">
            <w:pPr>
              <w:spacing w:after="0"/>
              <w:rPr>
                <w:rFonts w:ascii="Cambria" w:hAnsi="Cambria" w:cs="Calibri"/>
                <w:lang w:val="it-IT"/>
              </w:rPr>
            </w:pPr>
            <w:proofErr w:type="spellStart"/>
            <w:r w:rsidRPr="00DF4CE5">
              <w:rPr>
                <w:rFonts w:ascii="Cambria" w:hAnsi="Cambria" w:cs="Calibri"/>
                <w:lang w:val="it-IT"/>
              </w:rPr>
              <w:t>Planirane</w:t>
            </w:r>
            <w:proofErr w:type="spellEnd"/>
            <w:r w:rsidRPr="00DF4CE5">
              <w:rPr>
                <w:rFonts w:ascii="Cambria" w:hAnsi="Cambria" w:cs="Calibri"/>
                <w:lang w:val="it-IT"/>
              </w:rPr>
              <w:t xml:space="preserve"> </w:t>
            </w:r>
            <w:proofErr w:type="spellStart"/>
            <w:r w:rsidRPr="00DF4CE5">
              <w:rPr>
                <w:rFonts w:ascii="Cambria" w:hAnsi="Cambria" w:cs="Calibri"/>
                <w:lang w:val="it-IT"/>
              </w:rPr>
              <w:t>aktivnosti</w:t>
            </w:r>
            <w:proofErr w:type="spellEnd"/>
            <w:r w:rsidRPr="00DF4CE5">
              <w:rPr>
                <w:rFonts w:ascii="Cambria" w:hAnsi="Cambria" w:cs="Calibri"/>
                <w:lang w:val="it-IT"/>
              </w:rPr>
              <w:t>,</w:t>
            </w:r>
          </w:p>
          <w:p w14:paraId="45B28181" w14:textId="77777777" w:rsidR="00A44D99" w:rsidRPr="00DF4CE5" w:rsidRDefault="00A44D99" w:rsidP="00F04088">
            <w:pPr>
              <w:spacing w:after="0"/>
              <w:rPr>
                <w:rFonts w:ascii="Cambria" w:hAnsi="Cambria" w:cs="Calibri"/>
                <w:lang w:val="it-IT"/>
              </w:rPr>
            </w:pPr>
            <w:proofErr w:type="spellStart"/>
            <w:r w:rsidRPr="00DF4CE5">
              <w:rPr>
                <w:rFonts w:ascii="Cambria" w:hAnsi="Cambria" w:cs="Calibri"/>
                <w:lang w:val="it-IT"/>
              </w:rPr>
              <w:t>metode</w:t>
            </w:r>
            <w:proofErr w:type="spellEnd"/>
            <w:r w:rsidRPr="00DF4CE5">
              <w:rPr>
                <w:rFonts w:ascii="Cambria" w:hAnsi="Cambria" w:cs="Calibri"/>
                <w:lang w:val="it-IT"/>
              </w:rPr>
              <w:t xml:space="preserve"> </w:t>
            </w:r>
            <w:proofErr w:type="spellStart"/>
            <w:r w:rsidRPr="00DF4CE5">
              <w:rPr>
                <w:rFonts w:ascii="Cambria" w:hAnsi="Cambria" w:cs="Calibri"/>
                <w:lang w:val="it-IT"/>
              </w:rPr>
              <w:t>učenja</w:t>
            </w:r>
            <w:proofErr w:type="spellEnd"/>
            <w:r w:rsidRPr="00DF4CE5">
              <w:rPr>
                <w:rFonts w:ascii="Cambria" w:hAnsi="Cambria" w:cs="Calibri"/>
                <w:lang w:val="it-IT"/>
              </w:rPr>
              <w:t xml:space="preserve"> i </w:t>
            </w:r>
            <w:proofErr w:type="spellStart"/>
            <w:r w:rsidRPr="00DF4CE5">
              <w:rPr>
                <w:rFonts w:ascii="Cambria" w:hAnsi="Cambria" w:cs="Calibri"/>
                <w:lang w:val="it-IT"/>
              </w:rPr>
              <w:t>poučavanja</w:t>
            </w:r>
            <w:proofErr w:type="spellEnd"/>
            <w:r w:rsidRPr="00DF4CE5">
              <w:rPr>
                <w:rFonts w:ascii="Cambria" w:hAnsi="Cambria" w:cs="Calibri"/>
                <w:lang w:val="it-IT"/>
              </w:rPr>
              <w:t xml:space="preserve"> i </w:t>
            </w:r>
            <w:proofErr w:type="spellStart"/>
            <w:r w:rsidRPr="00DF4CE5">
              <w:rPr>
                <w:rFonts w:ascii="Cambria" w:hAnsi="Cambria" w:cs="Calibri"/>
                <w:lang w:val="it-IT"/>
              </w:rPr>
              <w:t>načini</w:t>
            </w:r>
            <w:proofErr w:type="spellEnd"/>
            <w:r w:rsidRPr="00DF4CE5">
              <w:rPr>
                <w:rFonts w:ascii="Cambria" w:hAnsi="Cambria" w:cs="Calibri"/>
                <w:lang w:val="it-IT"/>
              </w:rPr>
              <w:t xml:space="preserve"> </w:t>
            </w:r>
            <w:proofErr w:type="spellStart"/>
            <w:r w:rsidRPr="00DF4CE5">
              <w:rPr>
                <w:rFonts w:ascii="Cambria" w:hAnsi="Cambria" w:cs="Calibri"/>
                <w:lang w:val="it-IT"/>
              </w:rPr>
              <w:t>vrednovanja</w:t>
            </w:r>
            <w:proofErr w:type="spellEnd"/>
          </w:p>
        </w:tc>
        <w:tc>
          <w:tcPr>
            <w:tcW w:w="2768"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C1F07CE" w14:textId="77777777" w:rsidR="00A44D99" w:rsidRPr="00DF4CE5" w:rsidRDefault="00A44D99" w:rsidP="00F04088">
            <w:pPr>
              <w:pStyle w:val="Default"/>
              <w:rPr>
                <w:rFonts w:ascii="Cambria" w:hAnsi="Cambria"/>
                <w:sz w:val="22"/>
                <w:szCs w:val="22"/>
              </w:rPr>
            </w:pPr>
            <w:proofErr w:type="spellStart"/>
            <w:r w:rsidRPr="00DF4CE5">
              <w:rPr>
                <w:rFonts w:ascii="Cambria" w:hAnsi="Cambria"/>
                <w:sz w:val="22"/>
                <w:szCs w:val="22"/>
              </w:rPr>
              <w:t>Obveze</w:t>
            </w:r>
            <w:proofErr w:type="spellEnd"/>
          </w:p>
        </w:tc>
        <w:tc>
          <w:tcPr>
            <w:tcW w:w="11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D7B50C9" w14:textId="77777777" w:rsidR="00A44D99" w:rsidRPr="00DF4CE5" w:rsidRDefault="00A44D99" w:rsidP="00F04088">
            <w:pPr>
              <w:pStyle w:val="Default"/>
              <w:rPr>
                <w:rFonts w:ascii="Cambria" w:hAnsi="Cambria"/>
                <w:sz w:val="22"/>
                <w:szCs w:val="22"/>
              </w:rPr>
            </w:pPr>
            <w:proofErr w:type="spellStart"/>
            <w:r w:rsidRPr="00DF4CE5">
              <w:rPr>
                <w:rFonts w:ascii="Cambria" w:hAnsi="Cambria"/>
                <w:sz w:val="22"/>
                <w:szCs w:val="22"/>
              </w:rPr>
              <w:t>Ishodi</w:t>
            </w:r>
            <w:proofErr w:type="spellEnd"/>
          </w:p>
        </w:tc>
        <w:tc>
          <w:tcPr>
            <w:tcW w:w="77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ED71F09" w14:textId="77777777" w:rsidR="00A44D99" w:rsidRPr="00DF4CE5" w:rsidRDefault="00A44D99" w:rsidP="00F04088">
            <w:pPr>
              <w:pStyle w:val="Default"/>
              <w:rPr>
                <w:rFonts w:ascii="Cambria" w:hAnsi="Cambria"/>
                <w:sz w:val="22"/>
                <w:szCs w:val="22"/>
              </w:rPr>
            </w:pPr>
            <w:r w:rsidRPr="00DF4CE5">
              <w:rPr>
                <w:rFonts w:ascii="Cambria" w:hAnsi="Cambria"/>
                <w:sz w:val="22"/>
                <w:szCs w:val="22"/>
              </w:rPr>
              <w:t>Sati</w:t>
            </w:r>
          </w:p>
        </w:tc>
        <w:tc>
          <w:tcPr>
            <w:tcW w:w="108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DCE8B64" w14:textId="084BC9B0" w:rsidR="00A44D99" w:rsidRPr="00DF4CE5" w:rsidRDefault="00A44D99" w:rsidP="00F04088">
            <w:pPr>
              <w:pStyle w:val="Default"/>
              <w:rPr>
                <w:rFonts w:ascii="Cambria" w:hAnsi="Cambria"/>
                <w:sz w:val="22"/>
                <w:szCs w:val="22"/>
              </w:rPr>
            </w:pPr>
            <w:r w:rsidRPr="00DF4CE5">
              <w:rPr>
                <w:rFonts w:ascii="Cambria" w:hAnsi="Cambria"/>
                <w:sz w:val="22"/>
                <w:szCs w:val="22"/>
              </w:rPr>
              <w:t>ECTS</w:t>
            </w:r>
          </w:p>
        </w:tc>
        <w:tc>
          <w:tcPr>
            <w:tcW w:w="141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7C63D31" w14:textId="77777777" w:rsidR="00A44D99" w:rsidRPr="00DF4CE5" w:rsidRDefault="00A44D99" w:rsidP="00F04088">
            <w:pPr>
              <w:pStyle w:val="Default"/>
              <w:jc w:val="center"/>
              <w:rPr>
                <w:rFonts w:ascii="Cambria" w:hAnsi="Cambria"/>
                <w:sz w:val="22"/>
                <w:szCs w:val="22"/>
              </w:rPr>
            </w:pPr>
            <w:proofErr w:type="spellStart"/>
            <w:r w:rsidRPr="00DF4CE5">
              <w:rPr>
                <w:rFonts w:ascii="Cambria" w:hAnsi="Cambria"/>
                <w:sz w:val="22"/>
                <w:szCs w:val="22"/>
              </w:rPr>
              <w:t>Maksimalni</w:t>
            </w:r>
            <w:proofErr w:type="spellEnd"/>
            <w:r w:rsidRPr="00DF4CE5">
              <w:rPr>
                <w:rFonts w:ascii="Cambria" w:hAnsi="Cambria"/>
                <w:sz w:val="22"/>
                <w:szCs w:val="22"/>
              </w:rPr>
              <w:t xml:space="preserve"> </w:t>
            </w:r>
            <w:proofErr w:type="spellStart"/>
            <w:r w:rsidRPr="00DF4CE5">
              <w:rPr>
                <w:rFonts w:ascii="Cambria" w:hAnsi="Cambria"/>
                <w:sz w:val="22"/>
                <w:szCs w:val="22"/>
              </w:rPr>
              <w:t>udio</w:t>
            </w:r>
            <w:proofErr w:type="spellEnd"/>
            <w:r w:rsidRPr="00DF4CE5">
              <w:rPr>
                <w:rFonts w:ascii="Cambria" w:hAnsi="Cambria"/>
                <w:sz w:val="22"/>
                <w:szCs w:val="22"/>
              </w:rPr>
              <w:t xml:space="preserve"> u </w:t>
            </w:r>
            <w:proofErr w:type="spellStart"/>
            <w:r w:rsidRPr="00DF4CE5">
              <w:rPr>
                <w:rFonts w:ascii="Cambria" w:hAnsi="Cambria"/>
                <w:sz w:val="22"/>
                <w:szCs w:val="22"/>
              </w:rPr>
              <w:t>ocjeni</w:t>
            </w:r>
            <w:proofErr w:type="spellEnd"/>
            <w:r w:rsidRPr="00DF4CE5">
              <w:rPr>
                <w:rFonts w:ascii="Cambria" w:hAnsi="Cambria"/>
                <w:sz w:val="22"/>
                <w:szCs w:val="22"/>
              </w:rPr>
              <w:t xml:space="preserve"> (%)</w:t>
            </w:r>
          </w:p>
        </w:tc>
      </w:tr>
      <w:tr w:rsidR="00A44D99" w:rsidRPr="00DF4CE5" w14:paraId="16765D2A" w14:textId="77777777" w:rsidTr="00F710EA">
        <w:tc>
          <w:tcPr>
            <w:tcW w:w="2806" w:type="dxa"/>
            <w:vMerge/>
            <w:tcBorders>
              <w:left w:val="single" w:sz="8" w:space="0" w:color="000000"/>
              <w:right w:val="single" w:sz="8" w:space="0" w:color="000000"/>
            </w:tcBorders>
            <w:vAlign w:val="center"/>
            <w:hideMark/>
          </w:tcPr>
          <w:p w14:paraId="777ECD9F" w14:textId="77777777" w:rsidR="00A44D99" w:rsidRPr="00DF4CE5" w:rsidRDefault="00A44D99" w:rsidP="00F04088">
            <w:pPr>
              <w:spacing w:after="0"/>
              <w:rPr>
                <w:rFonts w:ascii="Cambria" w:hAnsi="Cambria" w:cs="Calibri"/>
              </w:rPr>
            </w:pPr>
          </w:p>
        </w:tc>
        <w:tc>
          <w:tcPr>
            <w:tcW w:w="2768"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6A33C8E" w14:textId="4F057B41" w:rsidR="00A44D99" w:rsidRPr="00F710EA" w:rsidRDefault="00F710EA" w:rsidP="00F04088">
            <w:pPr>
              <w:pStyle w:val="Default"/>
              <w:rPr>
                <w:rFonts w:ascii="Cambria" w:hAnsi="Cambria"/>
                <w:sz w:val="22"/>
                <w:szCs w:val="22"/>
                <w:lang w:val="it-IT"/>
              </w:rPr>
            </w:pPr>
            <w:proofErr w:type="spellStart"/>
            <w:r w:rsidRPr="00F710EA">
              <w:rPr>
                <w:rFonts w:ascii="Cambria" w:hAnsi="Cambria"/>
                <w:sz w:val="22"/>
                <w:szCs w:val="22"/>
                <w:lang w:val="it-IT"/>
              </w:rPr>
              <w:t>Aktivnosti</w:t>
            </w:r>
            <w:proofErr w:type="spellEnd"/>
            <w:r w:rsidRPr="00F710EA">
              <w:rPr>
                <w:rFonts w:ascii="Cambria" w:hAnsi="Cambria"/>
                <w:sz w:val="22"/>
                <w:szCs w:val="22"/>
                <w:lang w:val="it-IT"/>
              </w:rPr>
              <w:t xml:space="preserve"> </w:t>
            </w:r>
            <w:proofErr w:type="spellStart"/>
            <w:r w:rsidRPr="00F710EA">
              <w:rPr>
                <w:rFonts w:ascii="Cambria" w:hAnsi="Cambria"/>
                <w:sz w:val="22"/>
                <w:szCs w:val="22"/>
                <w:lang w:val="it-IT"/>
              </w:rPr>
              <w:t>na</w:t>
            </w:r>
            <w:proofErr w:type="spellEnd"/>
            <w:r w:rsidRPr="00F710EA">
              <w:rPr>
                <w:rFonts w:ascii="Cambria" w:hAnsi="Cambria"/>
                <w:sz w:val="22"/>
                <w:szCs w:val="22"/>
                <w:lang w:val="it-IT"/>
              </w:rPr>
              <w:t xml:space="preserve"> </w:t>
            </w:r>
            <w:proofErr w:type="spellStart"/>
            <w:r w:rsidRPr="00F710EA">
              <w:rPr>
                <w:rFonts w:ascii="Cambria" w:hAnsi="Cambria"/>
                <w:sz w:val="22"/>
                <w:szCs w:val="22"/>
                <w:lang w:val="it-IT"/>
              </w:rPr>
              <w:t>nastavi</w:t>
            </w:r>
            <w:proofErr w:type="spellEnd"/>
            <w:r w:rsidRPr="00F710EA">
              <w:rPr>
                <w:rFonts w:ascii="Cambria" w:hAnsi="Cambria"/>
                <w:sz w:val="22"/>
                <w:szCs w:val="22"/>
                <w:lang w:val="it-IT"/>
              </w:rPr>
              <w:t xml:space="preserve"> (P, V)</w:t>
            </w:r>
            <w:r w:rsidR="00A44D99" w:rsidRPr="00F710EA">
              <w:rPr>
                <w:rFonts w:ascii="Cambria" w:hAnsi="Cambria"/>
                <w:sz w:val="22"/>
                <w:szCs w:val="22"/>
                <w:lang w:val="it-IT"/>
              </w:rPr>
              <w:t xml:space="preserve"> </w:t>
            </w:r>
          </w:p>
        </w:tc>
        <w:tc>
          <w:tcPr>
            <w:tcW w:w="11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F56EDB9" w14:textId="21A0D935" w:rsidR="00A44D99" w:rsidRPr="00DF4CE5" w:rsidRDefault="00A44D99" w:rsidP="00F04088">
            <w:pPr>
              <w:spacing w:after="0"/>
              <w:rPr>
                <w:rFonts w:ascii="Cambria" w:hAnsi="Cambria" w:cs="Cambria"/>
                <w:color w:val="000000"/>
              </w:rPr>
            </w:pPr>
            <w:r w:rsidRPr="00DF4CE5">
              <w:rPr>
                <w:rFonts w:ascii="Cambria" w:hAnsi="Cambria"/>
              </w:rPr>
              <w:t>1.</w:t>
            </w:r>
            <w:r w:rsidR="00F710EA">
              <w:rPr>
                <w:rFonts w:ascii="Cambria" w:hAnsi="Cambria"/>
              </w:rPr>
              <w:t xml:space="preserve"> – </w:t>
            </w:r>
            <w:r w:rsidRPr="00DF4CE5">
              <w:rPr>
                <w:rFonts w:ascii="Cambria" w:hAnsi="Cambria"/>
              </w:rPr>
              <w:t xml:space="preserve">5. </w:t>
            </w:r>
          </w:p>
        </w:tc>
        <w:tc>
          <w:tcPr>
            <w:tcW w:w="77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4EABFC0" w14:textId="0FBED2A2" w:rsidR="00A44D99" w:rsidRPr="00DF4CE5" w:rsidRDefault="00F710EA" w:rsidP="00F04088">
            <w:pPr>
              <w:spacing w:after="0"/>
              <w:rPr>
                <w:rFonts w:ascii="Cambria" w:hAnsi="Cambria" w:cs="Cambria"/>
                <w:color w:val="000000"/>
              </w:rPr>
            </w:pPr>
            <w:r>
              <w:rPr>
                <w:rFonts w:ascii="Cambria" w:hAnsi="Cambria"/>
              </w:rPr>
              <w:t>56</w:t>
            </w:r>
          </w:p>
        </w:tc>
        <w:tc>
          <w:tcPr>
            <w:tcW w:w="108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CCB1805" w14:textId="5E9DFEFB" w:rsidR="00A44D99" w:rsidRPr="00DF4CE5" w:rsidRDefault="00F710EA" w:rsidP="00F04088">
            <w:pPr>
              <w:spacing w:after="0"/>
              <w:rPr>
                <w:rFonts w:ascii="Cambria" w:hAnsi="Cambria" w:cs="Cambria"/>
                <w:color w:val="000000"/>
              </w:rPr>
            </w:pPr>
            <w:r>
              <w:rPr>
                <w:rFonts w:ascii="Cambria" w:hAnsi="Cambria"/>
              </w:rPr>
              <w:t>1,9</w:t>
            </w:r>
          </w:p>
        </w:tc>
        <w:tc>
          <w:tcPr>
            <w:tcW w:w="141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665478B" w14:textId="77777777" w:rsidR="00A44D99" w:rsidRPr="00DF4CE5" w:rsidRDefault="00A44D99" w:rsidP="00F04088">
            <w:pPr>
              <w:pStyle w:val="Default"/>
              <w:jc w:val="center"/>
              <w:rPr>
                <w:rFonts w:ascii="Cambria" w:hAnsi="Cambria"/>
                <w:sz w:val="22"/>
                <w:szCs w:val="22"/>
              </w:rPr>
            </w:pPr>
            <w:r w:rsidRPr="00DF4CE5">
              <w:rPr>
                <w:rFonts w:ascii="Cambria" w:hAnsi="Cambria"/>
                <w:sz w:val="22"/>
                <w:szCs w:val="22"/>
              </w:rPr>
              <w:t xml:space="preserve">0% </w:t>
            </w:r>
          </w:p>
        </w:tc>
      </w:tr>
      <w:tr w:rsidR="00A44D99" w:rsidRPr="00DF4CE5" w14:paraId="7313B05F" w14:textId="77777777" w:rsidTr="00F710EA">
        <w:trPr>
          <w:trHeight w:val="247"/>
        </w:trPr>
        <w:tc>
          <w:tcPr>
            <w:tcW w:w="2806" w:type="dxa"/>
            <w:vMerge/>
            <w:tcBorders>
              <w:left w:val="single" w:sz="8" w:space="0" w:color="000000"/>
              <w:right w:val="single" w:sz="8" w:space="0" w:color="000000"/>
            </w:tcBorders>
            <w:vAlign w:val="center"/>
            <w:hideMark/>
          </w:tcPr>
          <w:p w14:paraId="55E0DA8A" w14:textId="77777777" w:rsidR="00A44D99" w:rsidRPr="00DF4CE5" w:rsidRDefault="00A44D99" w:rsidP="00F04088">
            <w:pPr>
              <w:spacing w:after="0"/>
              <w:rPr>
                <w:rFonts w:ascii="Cambria" w:hAnsi="Cambria" w:cs="Calibri"/>
              </w:rPr>
            </w:pPr>
          </w:p>
        </w:tc>
        <w:tc>
          <w:tcPr>
            <w:tcW w:w="2768"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2CC882" w14:textId="77777777" w:rsidR="00A44D99" w:rsidRPr="00DF4CE5" w:rsidRDefault="00A44D99" w:rsidP="00F04088">
            <w:pPr>
              <w:pStyle w:val="Default"/>
              <w:rPr>
                <w:rFonts w:ascii="Cambria" w:hAnsi="Cambria"/>
                <w:sz w:val="22"/>
                <w:szCs w:val="22"/>
              </w:rPr>
            </w:pPr>
            <w:proofErr w:type="spellStart"/>
            <w:r w:rsidRPr="00DF4CE5">
              <w:rPr>
                <w:rFonts w:ascii="Cambria" w:hAnsi="Cambria"/>
                <w:sz w:val="22"/>
                <w:szCs w:val="22"/>
              </w:rPr>
              <w:t>izrada</w:t>
            </w:r>
            <w:proofErr w:type="spellEnd"/>
            <w:r w:rsidRPr="00DF4CE5">
              <w:rPr>
                <w:rFonts w:ascii="Cambria" w:hAnsi="Cambria"/>
                <w:sz w:val="22"/>
                <w:szCs w:val="22"/>
              </w:rPr>
              <w:t xml:space="preserve"> </w:t>
            </w:r>
            <w:proofErr w:type="spellStart"/>
            <w:r w:rsidRPr="00DF4CE5">
              <w:rPr>
                <w:rFonts w:ascii="Cambria" w:hAnsi="Cambria"/>
                <w:sz w:val="22"/>
                <w:szCs w:val="22"/>
              </w:rPr>
              <w:t>projektnog</w:t>
            </w:r>
            <w:proofErr w:type="spellEnd"/>
            <w:r w:rsidRPr="00DF4CE5">
              <w:rPr>
                <w:rFonts w:ascii="Cambria" w:hAnsi="Cambria"/>
                <w:sz w:val="22"/>
                <w:szCs w:val="22"/>
              </w:rPr>
              <w:t xml:space="preserve"> </w:t>
            </w:r>
            <w:proofErr w:type="spellStart"/>
            <w:r w:rsidRPr="00DF4CE5">
              <w:rPr>
                <w:rFonts w:ascii="Cambria" w:hAnsi="Cambria"/>
                <w:sz w:val="22"/>
                <w:szCs w:val="22"/>
              </w:rPr>
              <w:t>zadatka</w:t>
            </w:r>
            <w:proofErr w:type="spellEnd"/>
            <w:r w:rsidRPr="00DF4CE5">
              <w:rPr>
                <w:rFonts w:ascii="Cambria" w:hAnsi="Cambria"/>
                <w:sz w:val="22"/>
                <w:szCs w:val="22"/>
              </w:rPr>
              <w:t xml:space="preserve"> s </w:t>
            </w:r>
            <w:proofErr w:type="spellStart"/>
            <w:r w:rsidRPr="00DF4CE5">
              <w:rPr>
                <w:rFonts w:ascii="Cambria" w:hAnsi="Cambria"/>
                <w:sz w:val="22"/>
                <w:szCs w:val="22"/>
              </w:rPr>
              <w:t>prezentacijom</w:t>
            </w:r>
            <w:proofErr w:type="spellEnd"/>
            <w:r w:rsidRPr="00DF4CE5">
              <w:rPr>
                <w:rFonts w:ascii="Cambria" w:hAnsi="Cambria"/>
                <w:sz w:val="22"/>
                <w:szCs w:val="22"/>
              </w:rPr>
              <w:t xml:space="preserve"> </w:t>
            </w:r>
            <w:proofErr w:type="spellStart"/>
            <w:r w:rsidRPr="00DF4CE5">
              <w:rPr>
                <w:rFonts w:ascii="Cambria" w:hAnsi="Cambria"/>
                <w:sz w:val="22"/>
                <w:szCs w:val="22"/>
              </w:rPr>
              <w:t>i</w:t>
            </w:r>
            <w:proofErr w:type="spellEnd"/>
            <w:r w:rsidRPr="00DF4CE5">
              <w:rPr>
                <w:rFonts w:ascii="Cambria" w:hAnsi="Cambria"/>
                <w:sz w:val="22"/>
                <w:szCs w:val="22"/>
              </w:rPr>
              <w:t xml:space="preserve"> </w:t>
            </w:r>
            <w:proofErr w:type="spellStart"/>
            <w:r w:rsidRPr="00DF4CE5">
              <w:rPr>
                <w:rFonts w:ascii="Cambria" w:hAnsi="Cambria"/>
                <w:sz w:val="22"/>
                <w:szCs w:val="22"/>
              </w:rPr>
              <w:t>obranom</w:t>
            </w:r>
            <w:proofErr w:type="spellEnd"/>
            <w:r w:rsidRPr="00DF4CE5">
              <w:rPr>
                <w:rFonts w:ascii="Cambria" w:hAnsi="Cambria"/>
                <w:sz w:val="22"/>
                <w:szCs w:val="22"/>
              </w:rPr>
              <w:t xml:space="preserve"> </w:t>
            </w:r>
          </w:p>
        </w:tc>
        <w:tc>
          <w:tcPr>
            <w:tcW w:w="11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714FE0B" w14:textId="77777777" w:rsidR="00A44D99" w:rsidRPr="00DF4CE5" w:rsidRDefault="00A44D99" w:rsidP="00F04088">
            <w:pPr>
              <w:pStyle w:val="Default"/>
              <w:rPr>
                <w:rFonts w:ascii="Cambria" w:hAnsi="Cambria"/>
                <w:sz w:val="22"/>
                <w:szCs w:val="22"/>
              </w:rPr>
            </w:pPr>
            <w:r w:rsidRPr="00DF4CE5">
              <w:rPr>
                <w:rFonts w:ascii="Cambria" w:hAnsi="Cambria"/>
                <w:sz w:val="22"/>
                <w:szCs w:val="22"/>
              </w:rPr>
              <w:t xml:space="preserve">2. – 5. </w:t>
            </w:r>
          </w:p>
        </w:tc>
        <w:tc>
          <w:tcPr>
            <w:tcW w:w="77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B62A52A" w14:textId="664DFECB" w:rsidR="00A44D99" w:rsidRPr="00DF4CE5" w:rsidRDefault="00A44D99" w:rsidP="00F04088">
            <w:pPr>
              <w:pStyle w:val="Default"/>
              <w:rPr>
                <w:rFonts w:ascii="Cambria" w:hAnsi="Cambria"/>
                <w:sz w:val="22"/>
                <w:szCs w:val="22"/>
              </w:rPr>
            </w:pPr>
            <w:r w:rsidRPr="00DF4CE5">
              <w:rPr>
                <w:rFonts w:ascii="Cambria" w:hAnsi="Cambria"/>
                <w:sz w:val="22"/>
                <w:szCs w:val="22"/>
              </w:rPr>
              <w:t>15</w:t>
            </w:r>
            <w:r w:rsidR="00F710EA">
              <w:rPr>
                <w:rFonts w:ascii="Cambria" w:hAnsi="Cambria"/>
                <w:sz w:val="22"/>
                <w:szCs w:val="22"/>
              </w:rPr>
              <w:t>4</w:t>
            </w:r>
          </w:p>
        </w:tc>
        <w:tc>
          <w:tcPr>
            <w:tcW w:w="108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2672CCD" w14:textId="0B002B1C" w:rsidR="00A44D99" w:rsidRPr="00DF4CE5" w:rsidRDefault="00A44D99" w:rsidP="00F04088">
            <w:pPr>
              <w:pStyle w:val="Default"/>
              <w:rPr>
                <w:rFonts w:ascii="Cambria" w:hAnsi="Cambria"/>
                <w:sz w:val="22"/>
                <w:szCs w:val="22"/>
              </w:rPr>
            </w:pPr>
            <w:r w:rsidRPr="00DF4CE5">
              <w:rPr>
                <w:rFonts w:ascii="Cambria" w:hAnsi="Cambria"/>
                <w:sz w:val="22"/>
                <w:szCs w:val="22"/>
              </w:rPr>
              <w:t>5</w:t>
            </w:r>
            <w:r w:rsidR="00F710EA">
              <w:rPr>
                <w:rFonts w:ascii="Cambria" w:hAnsi="Cambria"/>
                <w:sz w:val="22"/>
                <w:szCs w:val="22"/>
              </w:rPr>
              <w:t>,1</w:t>
            </w:r>
          </w:p>
        </w:tc>
        <w:tc>
          <w:tcPr>
            <w:tcW w:w="141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B2E8791" w14:textId="77777777" w:rsidR="00A44D99" w:rsidRPr="00DF4CE5" w:rsidRDefault="00A44D99" w:rsidP="00F04088">
            <w:pPr>
              <w:pStyle w:val="Default"/>
              <w:jc w:val="center"/>
              <w:rPr>
                <w:rFonts w:ascii="Cambria" w:hAnsi="Cambria"/>
                <w:sz w:val="22"/>
                <w:szCs w:val="22"/>
              </w:rPr>
            </w:pPr>
            <w:r w:rsidRPr="00DF4CE5">
              <w:rPr>
                <w:rFonts w:ascii="Cambria" w:hAnsi="Cambria"/>
                <w:sz w:val="22"/>
                <w:szCs w:val="22"/>
              </w:rPr>
              <w:t xml:space="preserve">100% </w:t>
            </w:r>
          </w:p>
        </w:tc>
      </w:tr>
      <w:tr w:rsidR="00A44D99" w:rsidRPr="00DF4CE5" w14:paraId="0B91885E" w14:textId="77777777" w:rsidTr="00F710EA">
        <w:tc>
          <w:tcPr>
            <w:tcW w:w="2806" w:type="dxa"/>
            <w:vMerge/>
            <w:tcBorders>
              <w:left w:val="single" w:sz="8" w:space="0" w:color="000000"/>
              <w:right w:val="single" w:sz="8" w:space="0" w:color="000000"/>
            </w:tcBorders>
            <w:vAlign w:val="center"/>
            <w:hideMark/>
          </w:tcPr>
          <w:p w14:paraId="34E47F4F" w14:textId="77777777" w:rsidR="00A44D99" w:rsidRPr="00DF4CE5" w:rsidRDefault="00A44D99" w:rsidP="00F04088">
            <w:pPr>
              <w:spacing w:after="0"/>
              <w:rPr>
                <w:rFonts w:ascii="Cambria" w:hAnsi="Cambria" w:cs="Calibri"/>
              </w:rPr>
            </w:pPr>
          </w:p>
        </w:tc>
        <w:tc>
          <w:tcPr>
            <w:tcW w:w="3940"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CF4D38A" w14:textId="282769D5" w:rsidR="00A44D99" w:rsidRPr="00DF4CE5" w:rsidRDefault="00F710EA" w:rsidP="00F04088">
            <w:pPr>
              <w:pStyle w:val="Default"/>
              <w:rPr>
                <w:rFonts w:ascii="Cambria" w:hAnsi="Cambria"/>
                <w:sz w:val="22"/>
                <w:szCs w:val="22"/>
              </w:rPr>
            </w:pPr>
            <w:proofErr w:type="spellStart"/>
            <w:r>
              <w:rPr>
                <w:rFonts w:ascii="Cambria" w:hAnsi="Cambria"/>
                <w:sz w:val="22"/>
                <w:szCs w:val="22"/>
              </w:rPr>
              <w:t>u</w:t>
            </w:r>
            <w:r w:rsidR="00A44D99" w:rsidRPr="00DF4CE5">
              <w:rPr>
                <w:rFonts w:ascii="Cambria" w:hAnsi="Cambria"/>
                <w:sz w:val="22"/>
                <w:szCs w:val="22"/>
              </w:rPr>
              <w:t>kupno</w:t>
            </w:r>
            <w:proofErr w:type="spellEnd"/>
          </w:p>
        </w:tc>
        <w:tc>
          <w:tcPr>
            <w:tcW w:w="77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76426CF" w14:textId="77777777" w:rsidR="00A44D99" w:rsidRPr="00DF4CE5" w:rsidRDefault="00A44D99" w:rsidP="00F04088">
            <w:pPr>
              <w:pStyle w:val="Default"/>
              <w:rPr>
                <w:rFonts w:ascii="Cambria" w:hAnsi="Cambria"/>
                <w:sz w:val="22"/>
                <w:szCs w:val="22"/>
              </w:rPr>
            </w:pPr>
            <w:r w:rsidRPr="00DF4CE5">
              <w:rPr>
                <w:rFonts w:ascii="Cambria" w:hAnsi="Cambria"/>
                <w:sz w:val="22"/>
                <w:szCs w:val="22"/>
              </w:rPr>
              <w:t>210</w:t>
            </w:r>
          </w:p>
        </w:tc>
        <w:tc>
          <w:tcPr>
            <w:tcW w:w="108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8318639" w14:textId="77777777" w:rsidR="00A44D99" w:rsidRPr="00DF4CE5" w:rsidRDefault="00A44D99" w:rsidP="00F04088">
            <w:pPr>
              <w:pStyle w:val="Default"/>
              <w:rPr>
                <w:rFonts w:ascii="Cambria" w:hAnsi="Cambria"/>
                <w:sz w:val="22"/>
                <w:szCs w:val="22"/>
              </w:rPr>
            </w:pPr>
            <w:r w:rsidRPr="00DF4CE5">
              <w:rPr>
                <w:rFonts w:ascii="Cambria" w:hAnsi="Cambria"/>
                <w:sz w:val="22"/>
                <w:szCs w:val="22"/>
              </w:rPr>
              <w:t>7</w:t>
            </w:r>
          </w:p>
        </w:tc>
        <w:tc>
          <w:tcPr>
            <w:tcW w:w="141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EF72D4C" w14:textId="77777777" w:rsidR="00A44D99" w:rsidRPr="00DF4CE5" w:rsidRDefault="00A44D99" w:rsidP="00F04088">
            <w:pPr>
              <w:pStyle w:val="Default"/>
              <w:jc w:val="center"/>
              <w:rPr>
                <w:rFonts w:ascii="Cambria" w:hAnsi="Cambria"/>
                <w:sz w:val="22"/>
                <w:szCs w:val="22"/>
              </w:rPr>
            </w:pPr>
            <w:r w:rsidRPr="00DF4CE5">
              <w:rPr>
                <w:rFonts w:ascii="Cambria" w:hAnsi="Cambria"/>
                <w:sz w:val="22"/>
                <w:szCs w:val="22"/>
              </w:rPr>
              <w:t>100%</w:t>
            </w:r>
          </w:p>
        </w:tc>
      </w:tr>
      <w:tr w:rsidR="00A44D99" w:rsidRPr="00D0399C" w14:paraId="177A3E37" w14:textId="77777777" w:rsidTr="00F710EA">
        <w:trPr>
          <w:trHeight w:val="329"/>
        </w:trPr>
        <w:tc>
          <w:tcPr>
            <w:tcW w:w="280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92923C3" w14:textId="77777777" w:rsidR="00A44D99" w:rsidRPr="00DF4CE5" w:rsidRDefault="00A44D99" w:rsidP="00F04088">
            <w:pPr>
              <w:spacing w:after="0"/>
              <w:rPr>
                <w:rFonts w:ascii="Cambria" w:hAnsi="Cambria" w:cs="Calibri"/>
              </w:rPr>
            </w:pPr>
            <w:proofErr w:type="spellStart"/>
            <w:r w:rsidRPr="00DF4CE5">
              <w:rPr>
                <w:rFonts w:ascii="Cambria" w:hAnsi="Cambria" w:cs="Calibri"/>
              </w:rPr>
              <w:t>Studentske</w:t>
            </w:r>
            <w:proofErr w:type="spellEnd"/>
            <w:r w:rsidRPr="00DF4CE5">
              <w:rPr>
                <w:rFonts w:ascii="Cambria" w:hAnsi="Cambria" w:cs="Calibri"/>
              </w:rPr>
              <w:t xml:space="preserve"> </w:t>
            </w:r>
            <w:proofErr w:type="spellStart"/>
            <w:r w:rsidRPr="00DF4CE5">
              <w:rPr>
                <w:rFonts w:ascii="Cambria" w:hAnsi="Cambria" w:cs="Calibri"/>
              </w:rPr>
              <w:t>obveze</w:t>
            </w:r>
            <w:proofErr w:type="spellEnd"/>
          </w:p>
        </w:tc>
        <w:tc>
          <w:tcPr>
            <w:tcW w:w="721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A4DD0B8" w14:textId="77777777" w:rsidR="00A44D99" w:rsidRPr="00DF4CE5" w:rsidRDefault="00A44D99" w:rsidP="00F04088">
            <w:pPr>
              <w:spacing w:after="0"/>
              <w:rPr>
                <w:rFonts w:ascii="Cambria" w:hAnsi="Cambria" w:cs="Calibri"/>
                <w:lang w:val="it-IT"/>
              </w:rPr>
            </w:pPr>
            <w:r w:rsidRPr="00DF4CE5">
              <w:rPr>
                <w:rFonts w:ascii="Cambria" w:hAnsi="Cambria" w:cs="Calibri"/>
                <w:lang w:val="it-IT"/>
              </w:rPr>
              <w:t xml:space="preserve">Da </w:t>
            </w:r>
            <w:proofErr w:type="spellStart"/>
            <w:r w:rsidRPr="00DF4CE5">
              <w:rPr>
                <w:rFonts w:ascii="Cambria" w:hAnsi="Cambria" w:cs="Calibri"/>
                <w:lang w:val="it-IT"/>
              </w:rPr>
              <w:t>položi</w:t>
            </w:r>
            <w:proofErr w:type="spellEnd"/>
            <w:r w:rsidRPr="00DF4CE5">
              <w:rPr>
                <w:rFonts w:ascii="Cambria" w:hAnsi="Cambria" w:cs="Calibri"/>
                <w:lang w:val="it-IT"/>
              </w:rPr>
              <w:t xml:space="preserve"> </w:t>
            </w:r>
            <w:proofErr w:type="spellStart"/>
            <w:r w:rsidRPr="00DF4CE5">
              <w:rPr>
                <w:rFonts w:ascii="Cambria" w:hAnsi="Cambria" w:cs="Calibri"/>
                <w:lang w:val="it-IT"/>
              </w:rPr>
              <w:t>kolegij</w:t>
            </w:r>
            <w:proofErr w:type="spellEnd"/>
            <w:r w:rsidRPr="00DF4CE5">
              <w:rPr>
                <w:rFonts w:ascii="Cambria" w:hAnsi="Cambria" w:cs="Calibri"/>
                <w:lang w:val="it-IT"/>
              </w:rPr>
              <w:t xml:space="preserve">, </w:t>
            </w:r>
            <w:proofErr w:type="spellStart"/>
            <w:r w:rsidRPr="00DF4CE5">
              <w:rPr>
                <w:rFonts w:ascii="Cambria" w:hAnsi="Cambria" w:cs="Calibri"/>
                <w:lang w:val="it-IT"/>
              </w:rPr>
              <w:t>student</w:t>
            </w:r>
            <w:proofErr w:type="spellEnd"/>
            <w:r w:rsidRPr="00DF4CE5">
              <w:rPr>
                <w:rFonts w:ascii="Cambria" w:hAnsi="Cambria" w:cs="Calibri"/>
                <w:lang w:val="it-IT"/>
              </w:rPr>
              <w:t>/</w:t>
            </w:r>
            <w:proofErr w:type="spellStart"/>
            <w:r w:rsidRPr="00DF4CE5">
              <w:rPr>
                <w:rFonts w:ascii="Cambria" w:hAnsi="Cambria" w:cs="Calibri"/>
                <w:lang w:val="it-IT"/>
              </w:rPr>
              <w:t>studentica</w:t>
            </w:r>
            <w:proofErr w:type="spellEnd"/>
            <w:r w:rsidRPr="00DF4CE5">
              <w:rPr>
                <w:rFonts w:ascii="Cambria" w:hAnsi="Cambria" w:cs="Calibri"/>
                <w:lang w:val="it-IT"/>
              </w:rPr>
              <w:t xml:space="preserve"> mora:</w:t>
            </w:r>
          </w:p>
          <w:p w14:paraId="464D1DBA" w14:textId="654BFFC5" w:rsidR="00A44D99" w:rsidRPr="00F710EA" w:rsidRDefault="00F710EA" w:rsidP="00F710EA">
            <w:pPr>
              <w:spacing w:after="0"/>
              <w:rPr>
                <w:rFonts w:ascii="Cambria" w:hAnsi="Cambria" w:cs="Calibri"/>
                <w:lang w:val="it-IT"/>
              </w:rPr>
            </w:pPr>
            <w:r w:rsidRPr="00F710EA">
              <w:rPr>
                <w:rFonts w:ascii="Cambria" w:hAnsi="Cambria" w:cs="Calibri"/>
                <w:lang w:val="it-IT"/>
              </w:rPr>
              <w:t>1</w:t>
            </w:r>
            <w:r>
              <w:rPr>
                <w:rFonts w:ascii="Cambria" w:hAnsi="Cambria" w:cs="Calibri"/>
                <w:lang w:val="it-IT"/>
              </w:rPr>
              <w:t xml:space="preserve">. </w:t>
            </w:r>
            <w:proofErr w:type="spellStart"/>
            <w:r>
              <w:rPr>
                <w:rFonts w:ascii="Cambria" w:hAnsi="Cambria" w:cs="Calibri"/>
                <w:lang w:val="it-IT"/>
              </w:rPr>
              <w:t>p</w:t>
            </w:r>
            <w:r w:rsidR="00A44D99" w:rsidRPr="00F710EA">
              <w:rPr>
                <w:rFonts w:ascii="Cambria" w:hAnsi="Cambria" w:cs="Calibri"/>
                <w:lang w:val="it-IT"/>
              </w:rPr>
              <w:t>rezentirati</w:t>
            </w:r>
            <w:proofErr w:type="spellEnd"/>
            <w:r w:rsidR="00A44D99" w:rsidRPr="00F710EA">
              <w:rPr>
                <w:rFonts w:ascii="Cambria" w:hAnsi="Cambria" w:cs="Calibri"/>
                <w:lang w:val="it-IT"/>
              </w:rPr>
              <w:t xml:space="preserve"> </w:t>
            </w:r>
            <w:proofErr w:type="spellStart"/>
            <w:r w:rsidR="00A44D99" w:rsidRPr="00F710EA">
              <w:rPr>
                <w:rFonts w:ascii="Cambria" w:hAnsi="Cambria" w:cs="Calibri"/>
                <w:lang w:val="it-IT"/>
              </w:rPr>
              <w:t>projekt</w:t>
            </w:r>
            <w:proofErr w:type="spellEnd"/>
            <w:r w:rsidR="00A44D99" w:rsidRPr="00F710EA">
              <w:rPr>
                <w:rFonts w:ascii="Cambria" w:hAnsi="Cambria" w:cs="Calibri"/>
                <w:lang w:val="it-IT"/>
              </w:rPr>
              <w:t xml:space="preserve"> za </w:t>
            </w:r>
            <w:proofErr w:type="spellStart"/>
            <w:r w:rsidR="00A44D99" w:rsidRPr="00F710EA">
              <w:rPr>
                <w:rFonts w:ascii="Cambria" w:hAnsi="Cambria" w:cs="Calibri"/>
                <w:lang w:val="it-IT"/>
              </w:rPr>
              <w:t>vrijeme</w:t>
            </w:r>
            <w:proofErr w:type="spellEnd"/>
            <w:r w:rsidR="00A44D99" w:rsidRPr="00F710EA">
              <w:rPr>
                <w:rFonts w:ascii="Cambria" w:hAnsi="Cambria" w:cs="Calibri"/>
                <w:lang w:val="it-IT"/>
              </w:rPr>
              <w:t xml:space="preserve"> </w:t>
            </w:r>
            <w:proofErr w:type="spellStart"/>
            <w:r w:rsidR="00A44D99" w:rsidRPr="00F710EA">
              <w:rPr>
                <w:rFonts w:ascii="Cambria" w:hAnsi="Cambria" w:cs="Calibri"/>
                <w:lang w:val="it-IT"/>
              </w:rPr>
              <w:t>nastave</w:t>
            </w:r>
            <w:proofErr w:type="spellEnd"/>
            <w:r w:rsidR="00A44D99" w:rsidRPr="00F710EA">
              <w:rPr>
                <w:rFonts w:ascii="Cambria" w:hAnsi="Cambria" w:cs="Calibri"/>
                <w:lang w:val="it-IT"/>
              </w:rPr>
              <w:t xml:space="preserve"> i </w:t>
            </w:r>
            <w:proofErr w:type="spellStart"/>
            <w:r w:rsidR="00A44D99" w:rsidRPr="00F710EA">
              <w:rPr>
                <w:rFonts w:ascii="Cambria" w:hAnsi="Cambria" w:cs="Calibri"/>
                <w:lang w:val="it-IT"/>
              </w:rPr>
              <w:t>obraniti</w:t>
            </w:r>
            <w:proofErr w:type="spellEnd"/>
            <w:r w:rsidR="00A44D99" w:rsidRPr="00F710EA">
              <w:rPr>
                <w:rFonts w:ascii="Cambria" w:hAnsi="Cambria" w:cs="Calibri"/>
                <w:lang w:val="it-IT"/>
              </w:rPr>
              <w:t xml:space="preserve"> </w:t>
            </w:r>
            <w:proofErr w:type="spellStart"/>
            <w:r w:rsidR="00A44D99" w:rsidRPr="00F710EA">
              <w:rPr>
                <w:rFonts w:ascii="Cambria" w:hAnsi="Cambria" w:cs="Calibri"/>
                <w:lang w:val="it-IT"/>
              </w:rPr>
              <w:t>ga</w:t>
            </w:r>
            <w:proofErr w:type="spellEnd"/>
            <w:r w:rsidR="00A44D99" w:rsidRPr="00F710EA">
              <w:rPr>
                <w:rFonts w:ascii="Cambria" w:hAnsi="Cambria" w:cs="Calibri"/>
                <w:lang w:val="it-IT"/>
              </w:rPr>
              <w:t xml:space="preserve"> </w:t>
            </w:r>
            <w:proofErr w:type="spellStart"/>
            <w:r w:rsidR="00A44D99" w:rsidRPr="00F710EA">
              <w:rPr>
                <w:rFonts w:ascii="Cambria" w:hAnsi="Cambria" w:cs="Calibri"/>
                <w:lang w:val="it-IT"/>
              </w:rPr>
              <w:t>pred</w:t>
            </w:r>
            <w:proofErr w:type="spellEnd"/>
            <w:r w:rsidR="00A44D99" w:rsidRPr="00F710EA">
              <w:rPr>
                <w:rFonts w:ascii="Cambria" w:hAnsi="Cambria" w:cs="Calibri"/>
                <w:lang w:val="it-IT"/>
              </w:rPr>
              <w:t xml:space="preserve"> </w:t>
            </w:r>
            <w:proofErr w:type="spellStart"/>
            <w:r w:rsidR="00A44D99" w:rsidRPr="00F710EA">
              <w:rPr>
                <w:rFonts w:ascii="Cambria" w:hAnsi="Cambria" w:cs="Calibri"/>
                <w:lang w:val="it-IT"/>
              </w:rPr>
              <w:t>nastavnikom</w:t>
            </w:r>
            <w:proofErr w:type="spellEnd"/>
            <w:r w:rsidR="00A44D99" w:rsidRPr="00F710EA">
              <w:rPr>
                <w:rFonts w:ascii="Cambria" w:hAnsi="Cambria" w:cs="Calibri"/>
                <w:lang w:val="it-IT"/>
              </w:rPr>
              <w:t xml:space="preserve"> </w:t>
            </w:r>
            <w:proofErr w:type="spellStart"/>
            <w:r w:rsidR="00A44D99" w:rsidRPr="00F710EA">
              <w:rPr>
                <w:rFonts w:ascii="Cambria" w:hAnsi="Cambria" w:cs="Calibri"/>
                <w:lang w:val="it-IT"/>
              </w:rPr>
              <w:t>sve</w:t>
            </w:r>
            <w:proofErr w:type="spellEnd"/>
            <w:r w:rsidR="00A44D99" w:rsidRPr="00F710EA">
              <w:rPr>
                <w:rFonts w:ascii="Cambria" w:hAnsi="Cambria" w:cs="Calibri"/>
                <w:lang w:val="it-IT"/>
              </w:rPr>
              <w:t xml:space="preserve"> </w:t>
            </w:r>
            <w:proofErr w:type="spellStart"/>
            <w:r w:rsidR="00A44D99" w:rsidRPr="00F710EA">
              <w:rPr>
                <w:rFonts w:ascii="Cambria" w:hAnsi="Cambria" w:cs="Calibri"/>
                <w:lang w:val="it-IT"/>
              </w:rPr>
              <w:t>četiri</w:t>
            </w:r>
            <w:proofErr w:type="spellEnd"/>
            <w:r w:rsidR="00A44D99" w:rsidRPr="00F710EA">
              <w:rPr>
                <w:rFonts w:ascii="Cambria" w:hAnsi="Cambria" w:cs="Calibri"/>
                <w:lang w:val="it-IT"/>
              </w:rPr>
              <w:t xml:space="preserve"> </w:t>
            </w:r>
            <w:proofErr w:type="spellStart"/>
            <w:r w:rsidR="00A44D99" w:rsidRPr="00F710EA">
              <w:rPr>
                <w:rFonts w:ascii="Cambria" w:hAnsi="Cambria" w:cs="Calibri"/>
                <w:lang w:val="it-IT"/>
              </w:rPr>
              <w:t>komponente</w:t>
            </w:r>
            <w:proofErr w:type="spellEnd"/>
            <w:r w:rsidR="00A44D99" w:rsidRPr="00F710EA">
              <w:rPr>
                <w:rFonts w:ascii="Cambria" w:hAnsi="Cambria" w:cs="Calibri"/>
                <w:lang w:val="it-IT"/>
              </w:rPr>
              <w:t xml:space="preserve">: HTML, CSS, JavaScript, </w:t>
            </w:r>
            <w:proofErr w:type="spellStart"/>
            <w:r w:rsidR="00A44D99" w:rsidRPr="00F710EA">
              <w:rPr>
                <w:rFonts w:ascii="Cambria" w:hAnsi="Cambria" w:cs="Calibri"/>
                <w:lang w:val="it-IT"/>
              </w:rPr>
              <w:t>aplikacija</w:t>
            </w:r>
            <w:proofErr w:type="spellEnd"/>
            <w:r>
              <w:rPr>
                <w:rFonts w:ascii="Cambria" w:hAnsi="Cambria" w:cs="Calibri"/>
                <w:lang w:val="it-IT"/>
              </w:rPr>
              <w:t>.</w:t>
            </w:r>
          </w:p>
        </w:tc>
      </w:tr>
      <w:tr w:rsidR="00A44D99" w:rsidRPr="00DF4CE5" w14:paraId="3F4C044C" w14:textId="77777777" w:rsidTr="00F710EA">
        <w:tc>
          <w:tcPr>
            <w:tcW w:w="280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7B18F0F" w14:textId="77777777" w:rsidR="00A44D99" w:rsidRPr="00DF4CE5" w:rsidRDefault="00A44D99" w:rsidP="00F04088">
            <w:pPr>
              <w:spacing w:after="0"/>
              <w:rPr>
                <w:rFonts w:ascii="Cambria" w:hAnsi="Cambria" w:cs="Calibri"/>
              </w:rPr>
            </w:pPr>
            <w:proofErr w:type="spellStart"/>
            <w:r w:rsidRPr="00DF4CE5">
              <w:rPr>
                <w:rFonts w:ascii="Cambria" w:hAnsi="Cambria" w:cs="Calibri"/>
              </w:rPr>
              <w:lastRenderedPageBreak/>
              <w:t>Rokovi</w:t>
            </w:r>
            <w:proofErr w:type="spellEnd"/>
            <w:r w:rsidRPr="00DF4CE5">
              <w:rPr>
                <w:rFonts w:ascii="Cambria" w:hAnsi="Cambria" w:cs="Calibri"/>
              </w:rPr>
              <w:t xml:space="preserve"> </w:t>
            </w:r>
            <w:proofErr w:type="spellStart"/>
            <w:r w:rsidRPr="00DF4CE5">
              <w:rPr>
                <w:rFonts w:ascii="Cambria" w:hAnsi="Cambria" w:cs="Calibri"/>
              </w:rPr>
              <w:t>ispita</w:t>
            </w:r>
            <w:proofErr w:type="spellEnd"/>
            <w:r w:rsidRPr="00DF4CE5">
              <w:rPr>
                <w:rFonts w:ascii="Cambria" w:hAnsi="Cambria" w:cs="Calibri"/>
              </w:rPr>
              <w:t xml:space="preserve"> </w:t>
            </w:r>
            <w:proofErr w:type="spellStart"/>
            <w:r w:rsidRPr="00DF4CE5">
              <w:rPr>
                <w:rFonts w:ascii="Cambria" w:hAnsi="Cambria" w:cs="Calibri"/>
              </w:rPr>
              <w:t>i</w:t>
            </w:r>
            <w:proofErr w:type="spellEnd"/>
            <w:r w:rsidRPr="00DF4CE5">
              <w:rPr>
                <w:rFonts w:ascii="Cambria" w:hAnsi="Cambria" w:cs="Calibri"/>
              </w:rPr>
              <w:t xml:space="preserve"> </w:t>
            </w:r>
            <w:proofErr w:type="spellStart"/>
            <w:r w:rsidRPr="00DF4CE5">
              <w:rPr>
                <w:rFonts w:ascii="Cambria" w:hAnsi="Cambria" w:cs="Calibri"/>
              </w:rPr>
              <w:t>kolokvija</w:t>
            </w:r>
            <w:proofErr w:type="spellEnd"/>
          </w:p>
        </w:tc>
        <w:tc>
          <w:tcPr>
            <w:tcW w:w="721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1CA0C71" w14:textId="77777777" w:rsidR="00A44D99" w:rsidRPr="00DF4CE5" w:rsidRDefault="00A44D99" w:rsidP="00F04088">
            <w:pPr>
              <w:spacing w:after="0"/>
              <w:rPr>
                <w:rFonts w:ascii="Cambria" w:hAnsi="Cambria" w:cs="Calibri"/>
              </w:rPr>
            </w:pPr>
            <w:r w:rsidRPr="00DF4CE5">
              <w:rPr>
                <w:rFonts w:ascii="Cambria" w:hAnsi="Cambria" w:cs="Calibri"/>
              </w:rPr>
              <w:t xml:space="preserve">Daju se </w:t>
            </w:r>
            <w:proofErr w:type="spellStart"/>
            <w:r w:rsidRPr="00DF4CE5">
              <w:rPr>
                <w:rFonts w:ascii="Cambria" w:hAnsi="Cambria" w:cs="Calibri"/>
              </w:rPr>
              <w:t>na</w:t>
            </w:r>
            <w:proofErr w:type="spellEnd"/>
            <w:r w:rsidRPr="00DF4CE5">
              <w:rPr>
                <w:rFonts w:ascii="Cambria" w:hAnsi="Cambria" w:cs="Calibri"/>
              </w:rPr>
              <w:t xml:space="preserve"> </w:t>
            </w:r>
            <w:proofErr w:type="spellStart"/>
            <w:r w:rsidRPr="00DF4CE5">
              <w:rPr>
                <w:rFonts w:ascii="Cambria" w:hAnsi="Cambria" w:cs="Calibri"/>
              </w:rPr>
              <w:t>početku</w:t>
            </w:r>
            <w:proofErr w:type="spellEnd"/>
            <w:r w:rsidRPr="00DF4CE5">
              <w:rPr>
                <w:rFonts w:ascii="Cambria" w:hAnsi="Cambria" w:cs="Calibri"/>
              </w:rPr>
              <w:t xml:space="preserve"> </w:t>
            </w:r>
            <w:proofErr w:type="spellStart"/>
            <w:r w:rsidRPr="00DF4CE5">
              <w:rPr>
                <w:rFonts w:ascii="Cambria" w:hAnsi="Cambria" w:cs="Calibri"/>
              </w:rPr>
              <w:t>akademske</w:t>
            </w:r>
            <w:proofErr w:type="spellEnd"/>
            <w:r w:rsidRPr="00DF4CE5">
              <w:rPr>
                <w:rFonts w:ascii="Cambria" w:hAnsi="Cambria" w:cs="Calibri"/>
              </w:rPr>
              <w:t xml:space="preserve"> </w:t>
            </w:r>
            <w:proofErr w:type="spellStart"/>
            <w:r w:rsidRPr="00DF4CE5">
              <w:rPr>
                <w:rFonts w:ascii="Cambria" w:hAnsi="Cambria" w:cs="Calibri"/>
              </w:rPr>
              <w:t>godine</w:t>
            </w:r>
            <w:proofErr w:type="spellEnd"/>
            <w:r w:rsidRPr="00DF4CE5">
              <w:rPr>
                <w:rFonts w:ascii="Cambria" w:hAnsi="Cambria" w:cs="Calibri"/>
              </w:rPr>
              <w:t xml:space="preserve">, </w:t>
            </w:r>
            <w:proofErr w:type="spellStart"/>
            <w:r w:rsidRPr="00DF4CE5">
              <w:rPr>
                <w:rFonts w:ascii="Cambria" w:hAnsi="Cambria" w:cs="Calibri"/>
              </w:rPr>
              <w:t>objavljuju</w:t>
            </w:r>
            <w:proofErr w:type="spellEnd"/>
            <w:r w:rsidRPr="00DF4CE5">
              <w:rPr>
                <w:rFonts w:ascii="Cambria" w:hAnsi="Cambria" w:cs="Calibri"/>
              </w:rPr>
              <w:t xml:space="preserve"> se </w:t>
            </w:r>
            <w:proofErr w:type="spellStart"/>
            <w:r w:rsidRPr="00DF4CE5">
              <w:rPr>
                <w:rFonts w:ascii="Cambria" w:hAnsi="Cambria" w:cs="Calibri"/>
              </w:rPr>
              <w:t>na</w:t>
            </w:r>
            <w:proofErr w:type="spellEnd"/>
            <w:r w:rsidRPr="00DF4CE5">
              <w:rPr>
                <w:rFonts w:ascii="Cambria" w:hAnsi="Cambria" w:cs="Calibri"/>
              </w:rPr>
              <w:t xml:space="preserve"> </w:t>
            </w:r>
            <w:proofErr w:type="spellStart"/>
            <w:r w:rsidRPr="00DF4CE5">
              <w:rPr>
                <w:rFonts w:ascii="Cambria" w:hAnsi="Cambria" w:cs="Calibri"/>
              </w:rPr>
              <w:t>mrežnim</w:t>
            </w:r>
            <w:proofErr w:type="spellEnd"/>
            <w:r w:rsidRPr="00DF4CE5">
              <w:rPr>
                <w:rFonts w:ascii="Cambria" w:hAnsi="Cambria" w:cs="Calibri"/>
              </w:rPr>
              <w:t xml:space="preserve"> </w:t>
            </w:r>
            <w:proofErr w:type="spellStart"/>
            <w:r w:rsidRPr="00DF4CE5">
              <w:rPr>
                <w:rFonts w:ascii="Cambria" w:hAnsi="Cambria" w:cs="Calibri"/>
              </w:rPr>
              <w:t>stranicama</w:t>
            </w:r>
            <w:proofErr w:type="spellEnd"/>
            <w:r w:rsidRPr="00DF4CE5">
              <w:rPr>
                <w:rFonts w:ascii="Cambria" w:hAnsi="Cambria" w:cs="Calibri"/>
              </w:rPr>
              <w:t xml:space="preserve"> </w:t>
            </w:r>
            <w:proofErr w:type="spellStart"/>
            <w:r w:rsidRPr="00DF4CE5">
              <w:rPr>
                <w:rFonts w:ascii="Cambria" w:hAnsi="Cambria" w:cs="Calibri"/>
              </w:rPr>
              <w:t>Sveučilišta</w:t>
            </w:r>
            <w:proofErr w:type="spellEnd"/>
            <w:r w:rsidRPr="00DF4CE5">
              <w:rPr>
                <w:rFonts w:ascii="Cambria" w:hAnsi="Cambria" w:cs="Calibri"/>
              </w:rPr>
              <w:t xml:space="preserve"> </w:t>
            </w:r>
            <w:proofErr w:type="spellStart"/>
            <w:r w:rsidRPr="00DF4CE5">
              <w:rPr>
                <w:rFonts w:ascii="Cambria" w:hAnsi="Cambria" w:cs="Calibri"/>
              </w:rPr>
              <w:t>i</w:t>
            </w:r>
            <w:proofErr w:type="spellEnd"/>
            <w:r w:rsidRPr="00DF4CE5">
              <w:rPr>
                <w:rFonts w:ascii="Cambria" w:hAnsi="Cambria" w:cs="Calibri"/>
              </w:rPr>
              <w:t xml:space="preserve"> u ISVU. </w:t>
            </w:r>
          </w:p>
        </w:tc>
      </w:tr>
      <w:tr w:rsidR="00A44D99" w:rsidRPr="002B1E8D" w14:paraId="59F92FC2" w14:textId="77777777" w:rsidTr="00F710EA">
        <w:tc>
          <w:tcPr>
            <w:tcW w:w="280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24DA8C2" w14:textId="77777777" w:rsidR="00A44D99" w:rsidRPr="00DF4CE5" w:rsidRDefault="00A44D99" w:rsidP="00F04088">
            <w:pPr>
              <w:spacing w:after="0"/>
              <w:rPr>
                <w:rFonts w:ascii="Cambria" w:hAnsi="Cambria" w:cs="Calibri"/>
                <w:lang w:val="it-IT"/>
              </w:rPr>
            </w:pPr>
            <w:r w:rsidRPr="00DF4CE5">
              <w:rPr>
                <w:rFonts w:ascii="Cambria" w:hAnsi="Cambria" w:cs="Calibri"/>
                <w:lang w:val="it-IT"/>
              </w:rPr>
              <w:t xml:space="preserve">Ostale </w:t>
            </w:r>
            <w:proofErr w:type="spellStart"/>
            <w:r w:rsidRPr="00DF4CE5">
              <w:rPr>
                <w:rFonts w:ascii="Cambria" w:hAnsi="Cambria" w:cs="Calibri"/>
                <w:lang w:val="it-IT"/>
              </w:rPr>
              <w:t>važne</w:t>
            </w:r>
            <w:proofErr w:type="spellEnd"/>
            <w:r w:rsidRPr="00DF4CE5">
              <w:rPr>
                <w:rFonts w:ascii="Cambria" w:hAnsi="Cambria" w:cs="Calibri"/>
                <w:lang w:val="it-IT"/>
              </w:rPr>
              <w:t xml:space="preserve"> </w:t>
            </w:r>
            <w:proofErr w:type="spellStart"/>
            <w:r w:rsidRPr="00DF4CE5">
              <w:rPr>
                <w:rFonts w:ascii="Cambria" w:hAnsi="Cambria" w:cs="Calibri"/>
                <w:lang w:val="it-IT"/>
              </w:rPr>
              <w:t>činjenice</w:t>
            </w:r>
            <w:proofErr w:type="spellEnd"/>
            <w:r w:rsidRPr="00DF4CE5">
              <w:rPr>
                <w:rFonts w:ascii="Cambria" w:hAnsi="Cambria" w:cs="Calibri"/>
                <w:lang w:val="it-IT"/>
              </w:rPr>
              <w:t xml:space="preserve"> </w:t>
            </w:r>
            <w:proofErr w:type="spellStart"/>
            <w:r w:rsidRPr="00DF4CE5">
              <w:rPr>
                <w:rFonts w:ascii="Cambria" w:hAnsi="Cambria" w:cs="Calibri"/>
                <w:lang w:val="it-IT"/>
              </w:rPr>
              <w:t>vezane</w:t>
            </w:r>
            <w:proofErr w:type="spellEnd"/>
            <w:r w:rsidRPr="00DF4CE5">
              <w:rPr>
                <w:rFonts w:ascii="Cambria" w:hAnsi="Cambria" w:cs="Calibri"/>
                <w:lang w:val="it-IT"/>
              </w:rPr>
              <w:t xml:space="preserve"> </w:t>
            </w:r>
            <w:proofErr w:type="spellStart"/>
            <w:r w:rsidRPr="00DF4CE5">
              <w:rPr>
                <w:rFonts w:ascii="Cambria" w:hAnsi="Cambria" w:cs="Calibri"/>
                <w:lang w:val="it-IT"/>
              </w:rPr>
              <w:t>uz</w:t>
            </w:r>
            <w:proofErr w:type="spellEnd"/>
            <w:r w:rsidRPr="00DF4CE5">
              <w:rPr>
                <w:rFonts w:ascii="Cambria" w:hAnsi="Cambria" w:cs="Calibri"/>
                <w:lang w:val="it-IT"/>
              </w:rPr>
              <w:t xml:space="preserve"> </w:t>
            </w:r>
            <w:proofErr w:type="spellStart"/>
            <w:r w:rsidRPr="00DF4CE5">
              <w:rPr>
                <w:rFonts w:ascii="Cambria" w:hAnsi="Cambria" w:cs="Calibri"/>
                <w:lang w:val="it-IT"/>
              </w:rPr>
              <w:t>kolegij</w:t>
            </w:r>
            <w:proofErr w:type="spellEnd"/>
          </w:p>
        </w:tc>
        <w:tc>
          <w:tcPr>
            <w:tcW w:w="721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8500074" w14:textId="77777777" w:rsidR="00A44D99" w:rsidRPr="00DF4CE5" w:rsidRDefault="00A44D99" w:rsidP="00F04088">
            <w:pPr>
              <w:spacing w:after="0"/>
              <w:rPr>
                <w:rFonts w:ascii="Cambria" w:hAnsi="Cambria" w:cs="Calibri"/>
                <w:lang w:val="it-IT"/>
              </w:rPr>
            </w:pPr>
            <w:proofErr w:type="spellStart"/>
            <w:r w:rsidRPr="00DF4CE5">
              <w:rPr>
                <w:rFonts w:ascii="Cambria" w:hAnsi="Cambria" w:cs="Calibri"/>
                <w:lang w:val="it-IT"/>
              </w:rPr>
              <w:t>Bodovi</w:t>
            </w:r>
            <w:proofErr w:type="spellEnd"/>
            <w:r w:rsidRPr="00DF4CE5">
              <w:rPr>
                <w:rFonts w:ascii="Cambria" w:hAnsi="Cambria" w:cs="Calibri"/>
                <w:lang w:val="it-IT"/>
              </w:rPr>
              <w:t xml:space="preserve"> se </w:t>
            </w:r>
            <w:proofErr w:type="spellStart"/>
            <w:r w:rsidRPr="00DF4CE5">
              <w:rPr>
                <w:rFonts w:ascii="Cambria" w:hAnsi="Cambria" w:cs="Calibri"/>
                <w:lang w:val="it-IT"/>
              </w:rPr>
              <w:t>prikupljaju</w:t>
            </w:r>
            <w:proofErr w:type="spellEnd"/>
            <w:r w:rsidRPr="00DF4CE5">
              <w:rPr>
                <w:rFonts w:ascii="Cambria" w:hAnsi="Cambria" w:cs="Calibri"/>
                <w:lang w:val="it-IT"/>
              </w:rPr>
              <w:t xml:space="preserve"> </w:t>
            </w:r>
            <w:proofErr w:type="spellStart"/>
            <w:r w:rsidRPr="00DF4CE5">
              <w:rPr>
                <w:rFonts w:ascii="Cambria" w:hAnsi="Cambria" w:cs="Calibri"/>
                <w:lang w:val="it-IT"/>
              </w:rPr>
              <w:t>tijekom</w:t>
            </w:r>
            <w:proofErr w:type="spellEnd"/>
            <w:r w:rsidRPr="00DF4CE5">
              <w:rPr>
                <w:rFonts w:ascii="Cambria" w:hAnsi="Cambria" w:cs="Calibri"/>
                <w:lang w:val="it-IT"/>
              </w:rPr>
              <w:t xml:space="preserve"> </w:t>
            </w:r>
            <w:proofErr w:type="spellStart"/>
            <w:r w:rsidRPr="00DF4CE5">
              <w:rPr>
                <w:rFonts w:ascii="Cambria" w:hAnsi="Cambria" w:cs="Calibri"/>
                <w:lang w:val="it-IT"/>
              </w:rPr>
              <w:t>nastave</w:t>
            </w:r>
            <w:proofErr w:type="spellEnd"/>
            <w:r w:rsidRPr="00DF4CE5">
              <w:rPr>
                <w:rFonts w:ascii="Cambria" w:hAnsi="Cambria" w:cs="Calibri"/>
                <w:lang w:val="it-IT"/>
              </w:rPr>
              <w:t xml:space="preserve">, </w:t>
            </w:r>
            <w:proofErr w:type="spellStart"/>
            <w:r w:rsidRPr="00DF4CE5">
              <w:rPr>
                <w:rFonts w:ascii="Cambria" w:hAnsi="Cambria" w:cs="Calibri"/>
                <w:lang w:val="it-IT"/>
              </w:rPr>
              <w:t>na</w:t>
            </w:r>
            <w:proofErr w:type="spellEnd"/>
            <w:r w:rsidRPr="00DF4CE5">
              <w:rPr>
                <w:rFonts w:ascii="Cambria" w:hAnsi="Cambria" w:cs="Calibri"/>
                <w:lang w:val="it-IT"/>
              </w:rPr>
              <w:t xml:space="preserve"> </w:t>
            </w:r>
            <w:proofErr w:type="spellStart"/>
            <w:r w:rsidRPr="00DF4CE5">
              <w:rPr>
                <w:rFonts w:ascii="Cambria" w:hAnsi="Cambria" w:cs="Calibri"/>
                <w:lang w:val="it-IT"/>
              </w:rPr>
              <w:t>projektima</w:t>
            </w:r>
            <w:proofErr w:type="spellEnd"/>
            <w:r w:rsidRPr="00DF4CE5">
              <w:rPr>
                <w:rFonts w:ascii="Cambria" w:hAnsi="Cambria" w:cs="Calibri"/>
                <w:lang w:val="it-IT"/>
              </w:rPr>
              <w:t xml:space="preserve"> i </w:t>
            </w:r>
            <w:proofErr w:type="spellStart"/>
            <w:r w:rsidRPr="00DF4CE5">
              <w:rPr>
                <w:rFonts w:ascii="Cambria" w:hAnsi="Cambria" w:cs="Calibri"/>
                <w:lang w:val="it-IT"/>
              </w:rPr>
              <w:t>kolokviju</w:t>
            </w:r>
            <w:proofErr w:type="spellEnd"/>
            <w:r w:rsidRPr="00DF4CE5">
              <w:rPr>
                <w:rFonts w:ascii="Cambria" w:hAnsi="Cambria" w:cs="Calibri"/>
                <w:lang w:val="it-IT"/>
              </w:rPr>
              <w:t>.</w:t>
            </w:r>
          </w:p>
          <w:p w14:paraId="3001C6EF" w14:textId="77777777" w:rsidR="00A44D99" w:rsidRDefault="00A44D99" w:rsidP="00F04088">
            <w:pPr>
              <w:spacing w:after="0"/>
              <w:rPr>
                <w:rFonts w:ascii="Cambria" w:hAnsi="Cambria" w:cs="Calibri"/>
                <w:lang w:val="it-IT"/>
              </w:rPr>
            </w:pPr>
            <w:proofErr w:type="spellStart"/>
            <w:r w:rsidRPr="00DF4CE5">
              <w:rPr>
                <w:rFonts w:ascii="Cambria" w:hAnsi="Cambria" w:cs="Calibri"/>
                <w:lang w:val="it-IT"/>
              </w:rPr>
              <w:t>Završnom</w:t>
            </w:r>
            <w:proofErr w:type="spellEnd"/>
            <w:r w:rsidRPr="00DF4CE5">
              <w:rPr>
                <w:rFonts w:ascii="Cambria" w:hAnsi="Cambria" w:cs="Calibri"/>
                <w:lang w:val="it-IT"/>
              </w:rPr>
              <w:t xml:space="preserve"> </w:t>
            </w:r>
            <w:proofErr w:type="spellStart"/>
            <w:r w:rsidRPr="00DF4CE5">
              <w:rPr>
                <w:rFonts w:ascii="Cambria" w:hAnsi="Cambria" w:cs="Calibri"/>
                <w:lang w:val="it-IT"/>
              </w:rPr>
              <w:t>ispitu</w:t>
            </w:r>
            <w:proofErr w:type="spellEnd"/>
            <w:r w:rsidRPr="00DF4CE5">
              <w:rPr>
                <w:rFonts w:ascii="Cambria" w:hAnsi="Cambria" w:cs="Calibri"/>
                <w:lang w:val="it-IT"/>
              </w:rPr>
              <w:t xml:space="preserve"> ili </w:t>
            </w:r>
            <w:proofErr w:type="spellStart"/>
            <w:r w:rsidRPr="00DF4CE5">
              <w:rPr>
                <w:rFonts w:ascii="Cambria" w:hAnsi="Cambria" w:cs="Calibri"/>
                <w:lang w:val="it-IT"/>
              </w:rPr>
              <w:t>ispitu</w:t>
            </w:r>
            <w:proofErr w:type="spellEnd"/>
            <w:r w:rsidRPr="00DF4CE5">
              <w:rPr>
                <w:rFonts w:ascii="Cambria" w:hAnsi="Cambria" w:cs="Calibri"/>
                <w:lang w:val="it-IT"/>
              </w:rPr>
              <w:t xml:space="preserve"> se </w:t>
            </w:r>
            <w:proofErr w:type="spellStart"/>
            <w:r w:rsidRPr="00DF4CE5">
              <w:rPr>
                <w:rFonts w:ascii="Cambria" w:hAnsi="Cambria" w:cs="Calibri"/>
                <w:lang w:val="it-IT"/>
              </w:rPr>
              <w:t>pristupa</w:t>
            </w:r>
            <w:proofErr w:type="spellEnd"/>
            <w:r w:rsidRPr="00DF4CE5">
              <w:rPr>
                <w:rFonts w:ascii="Cambria" w:hAnsi="Cambria" w:cs="Calibri"/>
                <w:lang w:val="it-IT"/>
              </w:rPr>
              <w:t xml:space="preserve"> </w:t>
            </w:r>
            <w:proofErr w:type="spellStart"/>
            <w:r w:rsidRPr="00DF4CE5">
              <w:rPr>
                <w:rFonts w:ascii="Cambria" w:hAnsi="Cambria" w:cs="Calibri"/>
                <w:lang w:val="it-IT"/>
              </w:rPr>
              <w:t>isključivo</w:t>
            </w:r>
            <w:proofErr w:type="spellEnd"/>
            <w:r w:rsidRPr="00DF4CE5">
              <w:rPr>
                <w:rFonts w:ascii="Cambria" w:hAnsi="Cambria" w:cs="Calibri"/>
                <w:lang w:val="it-IT"/>
              </w:rPr>
              <w:t xml:space="preserve"> </w:t>
            </w:r>
            <w:proofErr w:type="spellStart"/>
            <w:r w:rsidRPr="00DF4CE5">
              <w:rPr>
                <w:rFonts w:ascii="Cambria" w:hAnsi="Cambria" w:cs="Calibri"/>
                <w:lang w:val="it-IT"/>
              </w:rPr>
              <w:t>ukoliko</w:t>
            </w:r>
            <w:proofErr w:type="spellEnd"/>
            <w:r w:rsidRPr="00DF4CE5">
              <w:rPr>
                <w:rFonts w:ascii="Cambria" w:hAnsi="Cambria" w:cs="Calibri"/>
                <w:lang w:val="it-IT"/>
              </w:rPr>
              <w:t xml:space="preserve"> </w:t>
            </w:r>
            <w:proofErr w:type="spellStart"/>
            <w:r w:rsidRPr="00DF4CE5">
              <w:rPr>
                <w:rFonts w:ascii="Cambria" w:hAnsi="Cambria" w:cs="Calibri"/>
                <w:lang w:val="it-IT"/>
              </w:rPr>
              <w:t>student</w:t>
            </w:r>
            <w:proofErr w:type="spellEnd"/>
            <w:r w:rsidRPr="00DF4CE5">
              <w:rPr>
                <w:rFonts w:ascii="Cambria" w:hAnsi="Cambria" w:cs="Calibri"/>
                <w:lang w:val="it-IT"/>
              </w:rPr>
              <w:t xml:space="preserve"> </w:t>
            </w:r>
            <w:proofErr w:type="spellStart"/>
            <w:r w:rsidRPr="00DF4CE5">
              <w:rPr>
                <w:rFonts w:ascii="Cambria" w:hAnsi="Cambria" w:cs="Calibri"/>
                <w:lang w:val="it-IT"/>
              </w:rPr>
              <w:t>nije</w:t>
            </w:r>
            <w:proofErr w:type="spellEnd"/>
            <w:r w:rsidRPr="00DF4CE5">
              <w:rPr>
                <w:rFonts w:ascii="Cambria" w:hAnsi="Cambria" w:cs="Calibri"/>
                <w:lang w:val="it-IT"/>
              </w:rPr>
              <w:t xml:space="preserve"> </w:t>
            </w:r>
            <w:proofErr w:type="spellStart"/>
            <w:r w:rsidRPr="00DF4CE5">
              <w:rPr>
                <w:rFonts w:ascii="Cambria" w:hAnsi="Cambria" w:cs="Calibri"/>
                <w:lang w:val="it-IT"/>
              </w:rPr>
              <w:t>uspješno</w:t>
            </w:r>
            <w:proofErr w:type="spellEnd"/>
            <w:r w:rsidRPr="00DF4CE5">
              <w:rPr>
                <w:rFonts w:ascii="Cambria" w:hAnsi="Cambria" w:cs="Calibri"/>
                <w:lang w:val="it-IT"/>
              </w:rPr>
              <w:t xml:space="preserve"> </w:t>
            </w:r>
            <w:proofErr w:type="spellStart"/>
            <w:r w:rsidRPr="00DF4CE5">
              <w:rPr>
                <w:rFonts w:ascii="Cambria" w:hAnsi="Cambria" w:cs="Calibri"/>
                <w:lang w:val="it-IT"/>
              </w:rPr>
              <w:t>obranio</w:t>
            </w:r>
            <w:proofErr w:type="spellEnd"/>
            <w:r w:rsidRPr="00DF4CE5">
              <w:rPr>
                <w:rFonts w:ascii="Cambria" w:hAnsi="Cambria" w:cs="Calibri"/>
                <w:lang w:val="it-IT"/>
              </w:rPr>
              <w:t xml:space="preserve"> </w:t>
            </w:r>
            <w:proofErr w:type="spellStart"/>
            <w:r w:rsidRPr="00DF4CE5">
              <w:rPr>
                <w:rFonts w:ascii="Cambria" w:hAnsi="Cambria" w:cs="Calibri"/>
                <w:lang w:val="it-IT"/>
              </w:rPr>
              <w:t>projekte</w:t>
            </w:r>
            <w:proofErr w:type="spellEnd"/>
            <w:r w:rsidRPr="00DF4CE5">
              <w:rPr>
                <w:rFonts w:ascii="Cambria" w:hAnsi="Cambria" w:cs="Calibri"/>
                <w:lang w:val="it-IT"/>
              </w:rPr>
              <w:t xml:space="preserve"> ili </w:t>
            </w:r>
            <w:proofErr w:type="spellStart"/>
            <w:r w:rsidRPr="00DF4CE5">
              <w:rPr>
                <w:rFonts w:ascii="Cambria" w:hAnsi="Cambria" w:cs="Calibri"/>
                <w:lang w:val="it-IT"/>
              </w:rPr>
              <w:t>nije</w:t>
            </w:r>
            <w:proofErr w:type="spellEnd"/>
            <w:r w:rsidRPr="00DF4CE5">
              <w:rPr>
                <w:rFonts w:ascii="Cambria" w:hAnsi="Cambria" w:cs="Calibri"/>
                <w:lang w:val="it-IT"/>
              </w:rPr>
              <w:t xml:space="preserve"> </w:t>
            </w:r>
            <w:proofErr w:type="spellStart"/>
            <w:r w:rsidRPr="00DF4CE5">
              <w:rPr>
                <w:rFonts w:ascii="Cambria" w:hAnsi="Cambria" w:cs="Calibri"/>
                <w:lang w:val="it-IT"/>
              </w:rPr>
              <w:t>uspješno</w:t>
            </w:r>
            <w:proofErr w:type="spellEnd"/>
            <w:r w:rsidRPr="00DF4CE5">
              <w:rPr>
                <w:rFonts w:ascii="Cambria" w:hAnsi="Cambria" w:cs="Calibri"/>
                <w:lang w:val="it-IT"/>
              </w:rPr>
              <w:t xml:space="preserve"> </w:t>
            </w:r>
            <w:proofErr w:type="spellStart"/>
            <w:r w:rsidRPr="00DF4CE5">
              <w:rPr>
                <w:rFonts w:ascii="Cambria" w:hAnsi="Cambria" w:cs="Calibri"/>
                <w:lang w:val="it-IT"/>
              </w:rPr>
              <w:t>položio</w:t>
            </w:r>
            <w:proofErr w:type="spellEnd"/>
            <w:r w:rsidRPr="00DF4CE5">
              <w:rPr>
                <w:rFonts w:ascii="Cambria" w:hAnsi="Cambria" w:cs="Calibri"/>
                <w:lang w:val="it-IT"/>
              </w:rPr>
              <w:t xml:space="preserve"> </w:t>
            </w:r>
            <w:proofErr w:type="spellStart"/>
            <w:r w:rsidRPr="00DF4CE5">
              <w:rPr>
                <w:rFonts w:ascii="Cambria" w:hAnsi="Cambria" w:cs="Calibri"/>
                <w:lang w:val="it-IT"/>
              </w:rPr>
              <w:t>kolokvij</w:t>
            </w:r>
            <w:proofErr w:type="spellEnd"/>
            <w:r w:rsidRPr="00DF4CE5">
              <w:rPr>
                <w:rFonts w:ascii="Cambria" w:hAnsi="Cambria" w:cs="Calibri"/>
                <w:lang w:val="it-IT"/>
              </w:rPr>
              <w:t>.</w:t>
            </w:r>
          </w:p>
          <w:p w14:paraId="102E4426" w14:textId="304254FE" w:rsidR="00F710EA" w:rsidRPr="00DF4CE5" w:rsidRDefault="00F710EA" w:rsidP="00F04088">
            <w:pPr>
              <w:spacing w:after="0"/>
              <w:rPr>
                <w:rFonts w:ascii="Cambria" w:hAnsi="Cambria" w:cs="Calibri"/>
                <w:lang w:val="it-IT"/>
              </w:rPr>
            </w:pPr>
            <w:r w:rsidRPr="00F710EA">
              <w:rPr>
                <w:rFonts w:ascii="Cambria" w:hAnsi="Cambria" w:cs="Calibri"/>
                <w:lang w:val="it-IT"/>
              </w:rPr>
              <w:t xml:space="preserve">U </w:t>
            </w:r>
            <w:proofErr w:type="spellStart"/>
            <w:r w:rsidRPr="00F710EA">
              <w:rPr>
                <w:rFonts w:ascii="Cambria" w:hAnsi="Cambria" w:cs="Calibri"/>
                <w:lang w:val="it-IT"/>
              </w:rPr>
              <w:t>slučaju</w:t>
            </w:r>
            <w:proofErr w:type="spellEnd"/>
            <w:r w:rsidRPr="00F710EA">
              <w:rPr>
                <w:rFonts w:ascii="Cambria" w:hAnsi="Cambria" w:cs="Calibri"/>
                <w:lang w:val="it-IT"/>
              </w:rPr>
              <w:t xml:space="preserve"> </w:t>
            </w:r>
            <w:proofErr w:type="spellStart"/>
            <w:r w:rsidRPr="00F710EA">
              <w:rPr>
                <w:rFonts w:ascii="Cambria" w:hAnsi="Cambria" w:cs="Calibri"/>
                <w:lang w:val="it-IT"/>
              </w:rPr>
              <w:t>održavanja</w:t>
            </w:r>
            <w:proofErr w:type="spellEnd"/>
            <w:r w:rsidRPr="00F710EA">
              <w:rPr>
                <w:rFonts w:ascii="Cambria" w:hAnsi="Cambria" w:cs="Calibri"/>
                <w:lang w:val="it-IT"/>
              </w:rPr>
              <w:t xml:space="preserve"> </w:t>
            </w:r>
            <w:proofErr w:type="spellStart"/>
            <w:r w:rsidRPr="00F710EA">
              <w:rPr>
                <w:rFonts w:ascii="Cambria" w:hAnsi="Cambria" w:cs="Calibri"/>
                <w:lang w:val="it-IT"/>
              </w:rPr>
              <w:t>nastave</w:t>
            </w:r>
            <w:proofErr w:type="spellEnd"/>
            <w:r w:rsidRPr="00F710EA">
              <w:rPr>
                <w:rFonts w:ascii="Cambria" w:hAnsi="Cambria" w:cs="Calibri"/>
                <w:lang w:val="it-IT"/>
              </w:rPr>
              <w:t xml:space="preserve"> </w:t>
            </w:r>
            <w:proofErr w:type="spellStart"/>
            <w:r w:rsidRPr="00F710EA">
              <w:rPr>
                <w:rFonts w:ascii="Cambria" w:hAnsi="Cambria" w:cs="Calibri"/>
                <w:lang w:val="it-IT"/>
              </w:rPr>
              <w:t>na</w:t>
            </w:r>
            <w:proofErr w:type="spellEnd"/>
            <w:r w:rsidRPr="00F710EA">
              <w:rPr>
                <w:rFonts w:ascii="Cambria" w:hAnsi="Cambria" w:cs="Calibri"/>
                <w:lang w:val="it-IT"/>
              </w:rPr>
              <w:t xml:space="preserve"> </w:t>
            </w:r>
            <w:proofErr w:type="spellStart"/>
            <w:r w:rsidRPr="00F710EA">
              <w:rPr>
                <w:rFonts w:ascii="Cambria" w:hAnsi="Cambria" w:cs="Calibri"/>
                <w:lang w:val="it-IT"/>
              </w:rPr>
              <w:t>daljinu</w:t>
            </w:r>
            <w:proofErr w:type="spellEnd"/>
            <w:r w:rsidRPr="00F710EA">
              <w:rPr>
                <w:rFonts w:ascii="Cambria" w:hAnsi="Cambria" w:cs="Calibri"/>
                <w:lang w:val="it-IT"/>
              </w:rPr>
              <w:t xml:space="preserve">, </w:t>
            </w:r>
            <w:proofErr w:type="spellStart"/>
            <w:r w:rsidRPr="00F710EA">
              <w:rPr>
                <w:rFonts w:ascii="Cambria" w:hAnsi="Cambria" w:cs="Calibri"/>
                <w:lang w:val="it-IT"/>
              </w:rPr>
              <w:t>moguće</w:t>
            </w:r>
            <w:proofErr w:type="spellEnd"/>
            <w:r w:rsidRPr="00F710EA">
              <w:rPr>
                <w:rFonts w:ascii="Cambria" w:hAnsi="Cambria" w:cs="Calibri"/>
                <w:lang w:val="it-IT"/>
              </w:rPr>
              <w:t xml:space="preserve"> je </w:t>
            </w:r>
            <w:proofErr w:type="spellStart"/>
            <w:r w:rsidRPr="00F710EA">
              <w:rPr>
                <w:rFonts w:ascii="Cambria" w:hAnsi="Cambria" w:cs="Calibri"/>
                <w:lang w:val="it-IT"/>
              </w:rPr>
              <w:t>odstupanje</w:t>
            </w:r>
            <w:proofErr w:type="spellEnd"/>
            <w:r w:rsidRPr="00F710EA">
              <w:rPr>
                <w:rFonts w:ascii="Cambria" w:hAnsi="Cambria" w:cs="Calibri"/>
                <w:lang w:val="it-IT"/>
              </w:rPr>
              <w:t xml:space="preserve"> u: </w:t>
            </w:r>
            <w:proofErr w:type="spellStart"/>
            <w:r w:rsidRPr="00F710EA">
              <w:rPr>
                <w:rFonts w:ascii="Cambria" w:hAnsi="Cambria" w:cs="Calibri"/>
                <w:lang w:val="it-IT"/>
              </w:rPr>
              <w:t>mjestu</w:t>
            </w:r>
            <w:proofErr w:type="spellEnd"/>
            <w:r w:rsidRPr="00F710EA">
              <w:rPr>
                <w:rFonts w:ascii="Cambria" w:hAnsi="Cambria" w:cs="Calibri"/>
                <w:lang w:val="it-IT"/>
              </w:rPr>
              <w:t xml:space="preserve"> </w:t>
            </w:r>
            <w:proofErr w:type="spellStart"/>
            <w:r w:rsidRPr="00F710EA">
              <w:rPr>
                <w:rFonts w:ascii="Cambria" w:hAnsi="Cambria" w:cs="Calibri"/>
                <w:lang w:val="it-IT"/>
              </w:rPr>
              <w:t>izvođenja</w:t>
            </w:r>
            <w:proofErr w:type="spellEnd"/>
            <w:r w:rsidRPr="00F710EA">
              <w:rPr>
                <w:rFonts w:ascii="Cambria" w:hAnsi="Cambria" w:cs="Calibri"/>
                <w:lang w:val="it-IT"/>
              </w:rPr>
              <w:t xml:space="preserve"> </w:t>
            </w:r>
            <w:proofErr w:type="spellStart"/>
            <w:r w:rsidRPr="00F710EA">
              <w:rPr>
                <w:rFonts w:ascii="Cambria" w:hAnsi="Cambria" w:cs="Calibri"/>
                <w:lang w:val="it-IT"/>
              </w:rPr>
              <w:t>kolegija</w:t>
            </w:r>
            <w:proofErr w:type="spellEnd"/>
            <w:r w:rsidRPr="00F710EA">
              <w:rPr>
                <w:rFonts w:ascii="Cambria" w:hAnsi="Cambria" w:cs="Calibri"/>
                <w:lang w:val="it-IT"/>
              </w:rPr>
              <w:t xml:space="preserve">, </w:t>
            </w:r>
            <w:proofErr w:type="spellStart"/>
            <w:r w:rsidRPr="00F710EA">
              <w:rPr>
                <w:rFonts w:ascii="Cambria" w:hAnsi="Cambria" w:cs="Calibri"/>
                <w:lang w:val="it-IT"/>
              </w:rPr>
              <w:t>provedbi</w:t>
            </w:r>
            <w:proofErr w:type="spellEnd"/>
            <w:r w:rsidRPr="00F710EA">
              <w:rPr>
                <w:rFonts w:ascii="Cambria" w:hAnsi="Cambria" w:cs="Calibri"/>
                <w:lang w:val="it-IT"/>
              </w:rPr>
              <w:t xml:space="preserve"> </w:t>
            </w:r>
            <w:proofErr w:type="spellStart"/>
            <w:r w:rsidRPr="00F710EA">
              <w:rPr>
                <w:rFonts w:ascii="Cambria" w:hAnsi="Cambria" w:cs="Calibri"/>
                <w:lang w:val="it-IT"/>
              </w:rPr>
              <w:t>aktivnosti</w:t>
            </w:r>
            <w:proofErr w:type="spellEnd"/>
            <w:r w:rsidRPr="00F710EA">
              <w:rPr>
                <w:rFonts w:ascii="Cambria" w:hAnsi="Cambria" w:cs="Calibri"/>
                <w:lang w:val="it-IT"/>
              </w:rPr>
              <w:t xml:space="preserve">, </w:t>
            </w:r>
            <w:proofErr w:type="spellStart"/>
            <w:r w:rsidRPr="00F710EA">
              <w:rPr>
                <w:rFonts w:ascii="Cambria" w:hAnsi="Cambria" w:cs="Calibri"/>
                <w:lang w:val="it-IT"/>
              </w:rPr>
              <w:t>metodama</w:t>
            </w:r>
            <w:proofErr w:type="spellEnd"/>
            <w:r w:rsidRPr="00F710EA">
              <w:rPr>
                <w:rFonts w:ascii="Cambria" w:hAnsi="Cambria" w:cs="Calibri"/>
                <w:lang w:val="it-IT"/>
              </w:rPr>
              <w:t xml:space="preserve"> </w:t>
            </w:r>
            <w:proofErr w:type="spellStart"/>
            <w:r w:rsidRPr="00F710EA">
              <w:rPr>
                <w:rFonts w:ascii="Cambria" w:hAnsi="Cambria" w:cs="Calibri"/>
                <w:lang w:val="it-IT"/>
              </w:rPr>
              <w:t>tumačenja</w:t>
            </w:r>
            <w:proofErr w:type="spellEnd"/>
            <w:r w:rsidRPr="00F710EA">
              <w:rPr>
                <w:rFonts w:ascii="Cambria" w:hAnsi="Cambria" w:cs="Calibri"/>
                <w:lang w:val="it-IT"/>
              </w:rPr>
              <w:t xml:space="preserve"> i </w:t>
            </w:r>
            <w:proofErr w:type="spellStart"/>
            <w:r w:rsidRPr="00F710EA">
              <w:rPr>
                <w:rFonts w:ascii="Cambria" w:hAnsi="Cambria" w:cs="Calibri"/>
                <w:lang w:val="it-IT"/>
              </w:rPr>
              <w:t>poučavanja</w:t>
            </w:r>
            <w:proofErr w:type="spellEnd"/>
            <w:r w:rsidRPr="00F710EA">
              <w:rPr>
                <w:rFonts w:ascii="Cambria" w:hAnsi="Cambria" w:cs="Calibri"/>
                <w:lang w:val="it-IT"/>
              </w:rPr>
              <w:t xml:space="preserve"> i </w:t>
            </w:r>
            <w:proofErr w:type="spellStart"/>
            <w:r w:rsidRPr="00F710EA">
              <w:rPr>
                <w:rFonts w:ascii="Cambria" w:hAnsi="Cambria" w:cs="Calibri"/>
                <w:lang w:val="it-IT"/>
              </w:rPr>
              <w:t>načinima</w:t>
            </w:r>
            <w:proofErr w:type="spellEnd"/>
            <w:r w:rsidRPr="00F710EA">
              <w:rPr>
                <w:rFonts w:ascii="Cambria" w:hAnsi="Cambria" w:cs="Calibri"/>
                <w:lang w:val="it-IT"/>
              </w:rPr>
              <w:t xml:space="preserve"> </w:t>
            </w:r>
            <w:proofErr w:type="spellStart"/>
            <w:r w:rsidRPr="00F710EA">
              <w:rPr>
                <w:rFonts w:ascii="Cambria" w:hAnsi="Cambria" w:cs="Calibri"/>
                <w:lang w:val="it-IT"/>
              </w:rPr>
              <w:t>vrednovanja</w:t>
            </w:r>
            <w:proofErr w:type="spellEnd"/>
            <w:r w:rsidRPr="00F710EA">
              <w:rPr>
                <w:rFonts w:ascii="Cambria" w:hAnsi="Cambria" w:cs="Calibri"/>
                <w:lang w:val="it-IT"/>
              </w:rPr>
              <w:t xml:space="preserve">, </w:t>
            </w:r>
            <w:proofErr w:type="spellStart"/>
            <w:r w:rsidRPr="00F710EA">
              <w:rPr>
                <w:rFonts w:ascii="Cambria" w:hAnsi="Cambria" w:cs="Calibri"/>
                <w:lang w:val="it-IT"/>
              </w:rPr>
              <w:t>studentskim</w:t>
            </w:r>
            <w:proofErr w:type="spellEnd"/>
            <w:r w:rsidRPr="00F710EA">
              <w:rPr>
                <w:rFonts w:ascii="Cambria" w:hAnsi="Cambria" w:cs="Calibri"/>
                <w:lang w:val="it-IT"/>
              </w:rPr>
              <w:t xml:space="preserve"> </w:t>
            </w:r>
            <w:proofErr w:type="spellStart"/>
            <w:r w:rsidRPr="00F710EA">
              <w:rPr>
                <w:rFonts w:ascii="Cambria" w:hAnsi="Cambria" w:cs="Calibri"/>
                <w:lang w:val="it-IT"/>
              </w:rPr>
              <w:t>obvezama</w:t>
            </w:r>
            <w:proofErr w:type="spellEnd"/>
            <w:r w:rsidRPr="00F710EA">
              <w:rPr>
                <w:rFonts w:ascii="Cambria" w:hAnsi="Cambria" w:cs="Calibri"/>
                <w:lang w:val="it-IT"/>
              </w:rPr>
              <w:t xml:space="preserve"> i </w:t>
            </w:r>
            <w:proofErr w:type="spellStart"/>
            <w:r w:rsidRPr="00F710EA">
              <w:rPr>
                <w:rFonts w:ascii="Cambria" w:hAnsi="Cambria" w:cs="Calibri"/>
                <w:lang w:val="it-IT"/>
              </w:rPr>
              <w:t>dostupnoj</w:t>
            </w:r>
            <w:proofErr w:type="spellEnd"/>
            <w:r w:rsidRPr="00F710EA">
              <w:rPr>
                <w:rFonts w:ascii="Cambria" w:hAnsi="Cambria" w:cs="Calibri"/>
                <w:lang w:val="it-IT"/>
              </w:rPr>
              <w:t xml:space="preserve"> </w:t>
            </w:r>
            <w:proofErr w:type="spellStart"/>
            <w:r w:rsidRPr="00F710EA">
              <w:rPr>
                <w:rFonts w:ascii="Cambria" w:hAnsi="Cambria" w:cs="Calibri"/>
                <w:lang w:val="it-IT"/>
              </w:rPr>
              <w:t>literaturi</w:t>
            </w:r>
            <w:proofErr w:type="spellEnd"/>
            <w:r w:rsidRPr="00F710EA">
              <w:rPr>
                <w:rFonts w:ascii="Cambria" w:hAnsi="Cambria" w:cs="Calibri"/>
                <w:lang w:val="it-IT"/>
              </w:rPr>
              <w:t xml:space="preserve">. O tome </w:t>
            </w:r>
            <w:proofErr w:type="spellStart"/>
            <w:r w:rsidRPr="00F710EA">
              <w:rPr>
                <w:rFonts w:ascii="Cambria" w:hAnsi="Cambria" w:cs="Calibri"/>
                <w:lang w:val="it-IT"/>
              </w:rPr>
              <w:t>će</w:t>
            </w:r>
            <w:proofErr w:type="spellEnd"/>
            <w:r w:rsidRPr="00F710EA">
              <w:rPr>
                <w:rFonts w:ascii="Cambria" w:hAnsi="Cambria" w:cs="Calibri"/>
                <w:lang w:val="it-IT"/>
              </w:rPr>
              <w:t xml:space="preserve"> </w:t>
            </w:r>
            <w:proofErr w:type="spellStart"/>
            <w:r w:rsidRPr="00F710EA">
              <w:rPr>
                <w:rFonts w:ascii="Cambria" w:hAnsi="Cambria" w:cs="Calibri"/>
                <w:lang w:val="it-IT"/>
              </w:rPr>
              <w:t>nositeljica</w:t>
            </w:r>
            <w:proofErr w:type="spellEnd"/>
            <w:r w:rsidRPr="00F710EA">
              <w:rPr>
                <w:rFonts w:ascii="Cambria" w:hAnsi="Cambria" w:cs="Calibri"/>
                <w:lang w:val="it-IT"/>
              </w:rPr>
              <w:t xml:space="preserve"> </w:t>
            </w:r>
            <w:proofErr w:type="spellStart"/>
            <w:r w:rsidRPr="00F710EA">
              <w:rPr>
                <w:rFonts w:ascii="Cambria" w:hAnsi="Cambria" w:cs="Calibri"/>
                <w:lang w:val="it-IT"/>
              </w:rPr>
              <w:t>kolegija</w:t>
            </w:r>
            <w:proofErr w:type="spellEnd"/>
            <w:r w:rsidRPr="00F710EA">
              <w:rPr>
                <w:rFonts w:ascii="Cambria" w:hAnsi="Cambria" w:cs="Calibri"/>
                <w:lang w:val="it-IT"/>
              </w:rPr>
              <w:t xml:space="preserve"> i </w:t>
            </w:r>
            <w:proofErr w:type="spellStart"/>
            <w:r w:rsidR="007571A6">
              <w:rPr>
                <w:rFonts w:ascii="Cambria" w:hAnsi="Cambria" w:cs="Calibri"/>
                <w:lang w:val="it-IT"/>
              </w:rPr>
              <w:t>suradnik</w:t>
            </w:r>
            <w:proofErr w:type="spellEnd"/>
            <w:r w:rsidRPr="00F710EA">
              <w:rPr>
                <w:rFonts w:ascii="Cambria" w:hAnsi="Cambria" w:cs="Calibri"/>
                <w:lang w:val="it-IT"/>
              </w:rPr>
              <w:t xml:space="preserve"> </w:t>
            </w:r>
            <w:proofErr w:type="spellStart"/>
            <w:r w:rsidRPr="00F710EA">
              <w:rPr>
                <w:rFonts w:ascii="Cambria" w:hAnsi="Cambria" w:cs="Calibri"/>
                <w:lang w:val="it-IT"/>
              </w:rPr>
              <w:t>obavijestiti</w:t>
            </w:r>
            <w:proofErr w:type="spellEnd"/>
            <w:r w:rsidRPr="00F710EA">
              <w:rPr>
                <w:rFonts w:ascii="Cambria" w:hAnsi="Cambria" w:cs="Calibri"/>
                <w:lang w:val="it-IT"/>
              </w:rPr>
              <w:t xml:space="preserve"> studente i </w:t>
            </w:r>
            <w:proofErr w:type="spellStart"/>
            <w:r w:rsidRPr="00F710EA">
              <w:rPr>
                <w:rFonts w:ascii="Cambria" w:hAnsi="Cambria" w:cs="Calibri"/>
                <w:lang w:val="it-IT"/>
              </w:rPr>
              <w:t>studentice</w:t>
            </w:r>
            <w:proofErr w:type="spellEnd"/>
            <w:r w:rsidRPr="00F710EA">
              <w:rPr>
                <w:rFonts w:ascii="Cambria" w:hAnsi="Cambria" w:cs="Calibri"/>
                <w:lang w:val="it-IT"/>
              </w:rPr>
              <w:t xml:space="preserve"> </w:t>
            </w:r>
            <w:proofErr w:type="spellStart"/>
            <w:r w:rsidRPr="00F710EA">
              <w:rPr>
                <w:rFonts w:ascii="Cambria" w:hAnsi="Cambria" w:cs="Calibri"/>
                <w:lang w:val="it-IT"/>
              </w:rPr>
              <w:t>kad</w:t>
            </w:r>
            <w:proofErr w:type="spellEnd"/>
            <w:r w:rsidRPr="00F710EA">
              <w:rPr>
                <w:rFonts w:ascii="Cambria" w:hAnsi="Cambria" w:cs="Calibri"/>
                <w:lang w:val="it-IT"/>
              </w:rPr>
              <w:t xml:space="preserve"> se </w:t>
            </w:r>
            <w:proofErr w:type="spellStart"/>
            <w:r w:rsidRPr="00F710EA">
              <w:rPr>
                <w:rFonts w:ascii="Cambria" w:hAnsi="Cambria" w:cs="Calibri"/>
                <w:lang w:val="it-IT"/>
              </w:rPr>
              <w:t>nastava</w:t>
            </w:r>
            <w:proofErr w:type="spellEnd"/>
            <w:r w:rsidRPr="00F710EA">
              <w:rPr>
                <w:rFonts w:ascii="Cambria" w:hAnsi="Cambria" w:cs="Calibri"/>
                <w:lang w:val="it-IT"/>
              </w:rPr>
              <w:t xml:space="preserve"> </w:t>
            </w:r>
            <w:proofErr w:type="spellStart"/>
            <w:r w:rsidRPr="00F710EA">
              <w:rPr>
                <w:rFonts w:ascii="Cambria" w:hAnsi="Cambria" w:cs="Calibri"/>
                <w:lang w:val="it-IT"/>
              </w:rPr>
              <w:t>na</w:t>
            </w:r>
            <w:proofErr w:type="spellEnd"/>
            <w:r w:rsidRPr="00F710EA">
              <w:rPr>
                <w:rFonts w:ascii="Cambria" w:hAnsi="Cambria" w:cs="Calibri"/>
                <w:lang w:val="it-IT"/>
              </w:rPr>
              <w:t xml:space="preserve"> </w:t>
            </w:r>
            <w:proofErr w:type="spellStart"/>
            <w:r w:rsidRPr="00F710EA">
              <w:rPr>
                <w:rFonts w:ascii="Cambria" w:hAnsi="Cambria" w:cs="Calibri"/>
                <w:lang w:val="it-IT"/>
              </w:rPr>
              <w:t>daljinu</w:t>
            </w:r>
            <w:proofErr w:type="spellEnd"/>
            <w:r w:rsidRPr="00F710EA">
              <w:rPr>
                <w:rFonts w:ascii="Cambria" w:hAnsi="Cambria" w:cs="Calibri"/>
                <w:lang w:val="it-IT"/>
              </w:rPr>
              <w:t xml:space="preserve"> </w:t>
            </w:r>
            <w:proofErr w:type="spellStart"/>
            <w:r w:rsidRPr="00F710EA">
              <w:rPr>
                <w:rFonts w:ascii="Cambria" w:hAnsi="Cambria" w:cs="Calibri"/>
                <w:lang w:val="it-IT"/>
              </w:rPr>
              <w:t>počne</w:t>
            </w:r>
            <w:proofErr w:type="spellEnd"/>
            <w:r w:rsidRPr="00F710EA">
              <w:rPr>
                <w:rFonts w:ascii="Cambria" w:hAnsi="Cambria" w:cs="Calibri"/>
                <w:lang w:val="it-IT"/>
              </w:rPr>
              <w:t xml:space="preserve"> </w:t>
            </w:r>
            <w:proofErr w:type="spellStart"/>
            <w:r w:rsidRPr="00F710EA">
              <w:rPr>
                <w:rFonts w:ascii="Cambria" w:hAnsi="Cambria" w:cs="Calibri"/>
                <w:lang w:val="it-IT"/>
              </w:rPr>
              <w:t>održavati</w:t>
            </w:r>
            <w:proofErr w:type="spellEnd"/>
            <w:r w:rsidRPr="00F710EA">
              <w:rPr>
                <w:rFonts w:ascii="Cambria" w:hAnsi="Cambria" w:cs="Calibri"/>
                <w:lang w:val="it-IT"/>
              </w:rPr>
              <w:t xml:space="preserve">. </w:t>
            </w:r>
            <w:proofErr w:type="spellStart"/>
            <w:r w:rsidRPr="00F710EA">
              <w:rPr>
                <w:rFonts w:ascii="Cambria" w:hAnsi="Cambria" w:cs="Calibri"/>
                <w:lang w:val="it-IT"/>
              </w:rPr>
              <w:t>Ishodi</w:t>
            </w:r>
            <w:proofErr w:type="spellEnd"/>
            <w:r w:rsidRPr="00F710EA">
              <w:rPr>
                <w:rFonts w:ascii="Cambria" w:hAnsi="Cambria" w:cs="Calibri"/>
                <w:lang w:val="it-IT"/>
              </w:rPr>
              <w:t xml:space="preserve"> </w:t>
            </w:r>
            <w:proofErr w:type="spellStart"/>
            <w:r w:rsidRPr="00F710EA">
              <w:rPr>
                <w:rFonts w:ascii="Cambria" w:hAnsi="Cambria" w:cs="Calibri"/>
                <w:lang w:val="it-IT"/>
              </w:rPr>
              <w:t>učenja</w:t>
            </w:r>
            <w:proofErr w:type="spellEnd"/>
            <w:r w:rsidRPr="00F710EA">
              <w:rPr>
                <w:rFonts w:ascii="Cambria" w:hAnsi="Cambria" w:cs="Calibri"/>
                <w:lang w:val="it-IT"/>
              </w:rPr>
              <w:t xml:space="preserve"> </w:t>
            </w:r>
            <w:proofErr w:type="spellStart"/>
            <w:r w:rsidRPr="00F710EA">
              <w:rPr>
                <w:rFonts w:ascii="Cambria" w:hAnsi="Cambria" w:cs="Calibri"/>
                <w:lang w:val="it-IT"/>
              </w:rPr>
              <w:t>ostaju</w:t>
            </w:r>
            <w:proofErr w:type="spellEnd"/>
            <w:r w:rsidRPr="00F710EA">
              <w:rPr>
                <w:rFonts w:ascii="Cambria" w:hAnsi="Cambria" w:cs="Calibri"/>
                <w:lang w:val="it-IT"/>
              </w:rPr>
              <w:t xml:space="preserve"> </w:t>
            </w:r>
            <w:proofErr w:type="spellStart"/>
            <w:r w:rsidRPr="00F710EA">
              <w:rPr>
                <w:rFonts w:ascii="Cambria" w:hAnsi="Cambria" w:cs="Calibri"/>
                <w:lang w:val="it-IT"/>
              </w:rPr>
              <w:t>nepromijenjeni</w:t>
            </w:r>
            <w:proofErr w:type="spellEnd"/>
            <w:r w:rsidRPr="00F710EA">
              <w:rPr>
                <w:rFonts w:ascii="Cambria" w:hAnsi="Cambria" w:cs="Calibri"/>
                <w:lang w:val="it-IT"/>
              </w:rPr>
              <w:t>.</w:t>
            </w:r>
          </w:p>
        </w:tc>
      </w:tr>
      <w:tr w:rsidR="00A44D99" w:rsidRPr="00D0399C" w14:paraId="3C8B1D3E" w14:textId="77777777" w:rsidTr="00F710EA">
        <w:trPr>
          <w:trHeight w:val="273"/>
        </w:trPr>
        <w:tc>
          <w:tcPr>
            <w:tcW w:w="280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7AA0A08" w14:textId="77777777" w:rsidR="00A44D99" w:rsidRPr="00DF4CE5" w:rsidRDefault="00A44D99" w:rsidP="00F04088">
            <w:pPr>
              <w:spacing w:after="0"/>
              <w:rPr>
                <w:rFonts w:ascii="Cambria" w:hAnsi="Cambria" w:cs="Calibri"/>
              </w:rPr>
            </w:pPr>
            <w:proofErr w:type="spellStart"/>
            <w:r w:rsidRPr="00DF4CE5">
              <w:rPr>
                <w:rFonts w:ascii="Cambria" w:hAnsi="Cambria" w:cs="Calibri"/>
              </w:rPr>
              <w:t>Literatura</w:t>
            </w:r>
            <w:proofErr w:type="spellEnd"/>
          </w:p>
        </w:tc>
        <w:tc>
          <w:tcPr>
            <w:tcW w:w="7214"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614FA59A" w14:textId="77777777" w:rsidR="00A44D99" w:rsidRPr="00DF4CE5" w:rsidRDefault="00A44D99" w:rsidP="00F04088">
            <w:pPr>
              <w:spacing w:after="0"/>
              <w:rPr>
                <w:rFonts w:ascii="Cambria" w:hAnsi="Cambria" w:cs="Calibri"/>
              </w:rPr>
            </w:pPr>
            <w:proofErr w:type="spellStart"/>
            <w:r w:rsidRPr="00DF4CE5">
              <w:rPr>
                <w:rFonts w:ascii="Cambria" w:hAnsi="Cambria" w:cs="Calibri"/>
              </w:rPr>
              <w:t>Obavezna</w:t>
            </w:r>
            <w:proofErr w:type="spellEnd"/>
            <w:r w:rsidRPr="00DF4CE5">
              <w:rPr>
                <w:rFonts w:ascii="Cambria" w:hAnsi="Cambria" w:cs="Calibri"/>
              </w:rPr>
              <w:t>:</w:t>
            </w:r>
          </w:p>
          <w:p w14:paraId="4790F6D6" w14:textId="77777777" w:rsidR="00A44D99" w:rsidRPr="00DF4CE5" w:rsidRDefault="00A44D99" w:rsidP="00F04088">
            <w:pPr>
              <w:spacing w:after="0"/>
              <w:rPr>
                <w:rFonts w:ascii="Cambria" w:hAnsi="Cambria" w:cs="Calibri"/>
              </w:rPr>
            </w:pPr>
            <w:proofErr w:type="spellStart"/>
            <w:r w:rsidRPr="00DF4CE5">
              <w:rPr>
                <w:rFonts w:ascii="Cambria" w:hAnsi="Cambria" w:cs="Calibri"/>
              </w:rPr>
              <w:t>Blagus</w:t>
            </w:r>
            <w:proofErr w:type="spellEnd"/>
            <w:r w:rsidRPr="00DF4CE5">
              <w:rPr>
                <w:rFonts w:ascii="Cambria" w:hAnsi="Cambria" w:cs="Calibri"/>
              </w:rPr>
              <w:t>, J. Sokol, G. (2020</w:t>
            </w:r>
            <w:proofErr w:type="gramStart"/>
            <w:r w:rsidRPr="00DF4CE5">
              <w:rPr>
                <w:rFonts w:ascii="Cambria" w:hAnsi="Cambria" w:cs="Calibri"/>
              </w:rPr>
              <w:t>.)Minecraft</w:t>
            </w:r>
            <w:proofErr w:type="gramEnd"/>
            <w:r w:rsidRPr="00DF4CE5">
              <w:rPr>
                <w:rFonts w:ascii="Cambria" w:hAnsi="Cambria" w:cs="Calibri"/>
              </w:rPr>
              <w:t xml:space="preserve"> – </w:t>
            </w:r>
            <w:proofErr w:type="spellStart"/>
            <w:r w:rsidRPr="00DF4CE5">
              <w:rPr>
                <w:rFonts w:ascii="Cambria" w:hAnsi="Cambria" w:cs="Calibri"/>
              </w:rPr>
              <w:t>priručnik</w:t>
            </w:r>
            <w:proofErr w:type="spellEnd"/>
            <w:r w:rsidRPr="00DF4CE5">
              <w:rPr>
                <w:rFonts w:ascii="Cambria" w:hAnsi="Cambria" w:cs="Calibri"/>
              </w:rPr>
              <w:t xml:space="preserve"> za </w:t>
            </w:r>
            <w:proofErr w:type="spellStart"/>
            <w:r w:rsidRPr="00DF4CE5">
              <w:rPr>
                <w:rFonts w:ascii="Cambria" w:hAnsi="Cambria" w:cs="Calibri"/>
              </w:rPr>
              <w:t>ućenje</w:t>
            </w:r>
            <w:proofErr w:type="spellEnd"/>
            <w:r w:rsidRPr="00DF4CE5">
              <w:rPr>
                <w:rFonts w:ascii="Cambria" w:hAnsi="Cambria" w:cs="Calibri"/>
              </w:rPr>
              <w:t xml:space="preserve"> </w:t>
            </w:r>
            <w:proofErr w:type="spellStart"/>
            <w:r w:rsidRPr="00DF4CE5">
              <w:rPr>
                <w:rFonts w:ascii="Cambria" w:hAnsi="Cambria" w:cs="Calibri"/>
              </w:rPr>
              <w:t>programiranja</w:t>
            </w:r>
            <w:proofErr w:type="spellEnd"/>
            <w:r w:rsidRPr="00DF4CE5">
              <w:rPr>
                <w:rFonts w:ascii="Cambria" w:hAnsi="Cambria" w:cs="Calibri"/>
              </w:rPr>
              <w:t xml:space="preserve">, </w:t>
            </w:r>
            <w:proofErr w:type="spellStart"/>
            <w:r w:rsidRPr="00DF4CE5">
              <w:rPr>
                <w:rFonts w:ascii="Cambria" w:hAnsi="Cambria" w:cs="Calibri"/>
              </w:rPr>
              <w:t>Školska</w:t>
            </w:r>
            <w:proofErr w:type="spellEnd"/>
            <w:r w:rsidRPr="00DF4CE5">
              <w:rPr>
                <w:rFonts w:ascii="Cambria" w:hAnsi="Cambria" w:cs="Calibri"/>
              </w:rPr>
              <w:t xml:space="preserve"> </w:t>
            </w:r>
            <w:proofErr w:type="spellStart"/>
            <w:r w:rsidRPr="00DF4CE5">
              <w:rPr>
                <w:rFonts w:ascii="Cambria" w:hAnsi="Cambria" w:cs="Calibri"/>
              </w:rPr>
              <w:t>knjiga</w:t>
            </w:r>
            <w:proofErr w:type="spellEnd"/>
          </w:p>
          <w:p w14:paraId="1F5A4D2E" w14:textId="77777777" w:rsidR="00A44D99" w:rsidRPr="00DF4CE5" w:rsidRDefault="00A44D99" w:rsidP="00F04088">
            <w:pPr>
              <w:spacing w:after="0"/>
              <w:rPr>
                <w:rFonts w:ascii="Cambria" w:hAnsi="Cambria" w:cs="Calibri"/>
                <w:lang w:val="it-IT"/>
              </w:rPr>
            </w:pPr>
            <w:r w:rsidRPr="00DF4CE5">
              <w:rPr>
                <w:rFonts w:ascii="Cambria" w:hAnsi="Cambria" w:cs="Calibri"/>
                <w:lang w:val="it-IT"/>
              </w:rPr>
              <w:t xml:space="preserve">Milanović, T. (2020.) </w:t>
            </w:r>
            <w:proofErr w:type="spellStart"/>
            <w:r w:rsidRPr="00DF4CE5">
              <w:rPr>
                <w:rFonts w:ascii="Cambria" w:hAnsi="Cambria" w:cs="Calibri"/>
                <w:lang w:val="it-IT"/>
              </w:rPr>
              <w:t>Programiranje</w:t>
            </w:r>
            <w:proofErr w:type="spellEnd"/>
            <w:r w:rsidRPr="00DF4CE5">
              <w:rPr>
                <w:rFonts w:ascii="Cambria" w:hAnsi="Cambria" w:cs="Calibri"/>
                <w:lang w:val="it-IT"/>
              </w:rPr>
              <w:t xml:space="preserve"> </w:t>
            </w:r>
            <w:proofErr w:type="spellStart"/>
            <w:r w:rsidRPr="00DF4CE5">
              <w:rPr>
                <w:rFonts w:ascii="Cambria" w:hAnsi="Cambria" w:cs="Calibri"/>
                <w:lang w:val="it-IT"/>
              </w:rPr>
              <w:t>mbota</w:t>
            </w:r>
            <w:proofErr w:type="spellEnd"/>
            <w:r w:rsidRPr="00DF4CE5">
              <w:rPr>
                <w:rFonts w:ascii="Cambria" w:hAnsi="Cambria" w:cs="Calibri"/>
                <w:lang w:val="it-IT"/>
              </w:rPr>
              <w:t xml:space="preserve"> – </w:t>
            </w:r>
            <w:proofErr w:type="spellStart"/>
            <w:r w:rsidRPr="00DF4CE5">
              <w:rPr>
                <w:rFonts w:ascii="Cambria" w:hAnsi="Cambria" w:cs="Calibri"/>
                <w:lang w:val="it-IT"/>
              </w:rPr>
              <w:t>priručnik</w:t>
            </w:r>
            <w:proofErr w:type="spellEnd"/>
            <w:r w:rsidRPr="00DF4CE5">
              <w:rPr>
                <w:rFonts w:ascii="Cambria" w:hAnsi="Cambria" w:cs="Calibri"/>
                <w:lang w:val="it-IT"/>
              </w:rPr>
              <w:t xml:space="preserve"> za </w:t>
            </w:r>
            <w:proofErr w:type="spellStart"/>
            <w:r w:rsidRPr="00DF4CE5">
              <w:rPr>
                <w:rFonts w:ascii="Cambria" w:hAnsi="Cambria" w:cs="Calibri"/>
                <w:lang w:val="it-IT"/>
              </w:rPr>
              <w:t>učenje</w:t>
            </w:r>
            <w:proofErr w:type="spellEnd"/>
            <w:r w:rsidRPr="00DF4CE5">
              <w:rPr>
                <w:rFonts w:ascii="Cambria" w:hAnsi="Cambria" w:cs="Calibri"/>
                <w:lang w:val="it-IT"/>
              </w:rPr>
              <w:t xml:space="preserve"> </w:t>
            </w:r>
            <w:proofErr w:type="spellStart"/>
            <w:r w:rsidRPr="00DF4CE5">
              <w:rPr>
                <w:rFonts w:ascii="Cambria" w:hAnsi="Cambria" w:cs="Calibri"/>
                <w:lang w:val="it-IT"/>
              </w:rPr>
              <w:t>programiranja</w:t>
            </w:r>
            <w:proofErr w:type="spellEnd"/>
          </w:p>
          <w:p w14:paraId="664FA497" w14:textId="77777777" w:rsidR="00A44D99" w:rsidRPr="00DF4CE5" w:rsidRDefault="00A44D99" w:rsidP="00F04088">
            <w:pPr>
              <w:spacing w:after="0"/>
              <w:rPr>
                <w:rFonts w:ascii="Cambria" w:hAnsi="Cambria" w:cs="Calibri"/>
                <w:lang w:val="it-IT"/>
              </w:rPr>
            </w:pPr>
            <w:proofErr w:type="spellStart"/>
            <w:r w:rsidRPr="00DF4CE5">
              <w:rPr>
                <w:rFonts w:ascii="Cambria" w:hAnsi="Cambria" w:cs="Calibri"/>
                <w:lang w:val="it-IT"/>
              </w:rPr>
              <w:t>Izborna</w:t>
            </w:r>
            <w:proofErr w:type="spellEnd"/>
            <w:r w:rsidRPr="00DF4CE5">
              <w:rPr>
                <w:rFonts w:ascii="Cambria" w:hAnsi="Cambria" w:cs="Calibri"/>
                <w:lang w:val="it-IT"/>
              </w:rPr>
              <w:t xml:space="preserve">: </w:t>
            </w:r>
          </w:p>
          <w:p w14:paraId="186A2E9E" w14:textId="1D11B44D" w:rsidR="00A44D99" w:rsidRPr="00DF4CE5" w:rsidRDefault="00A44D99" w:rsidP="00F04088">
            <w:pPr>
              <w:spacing w:after="0"/>
              <w:rPr>
                <w:rFonts w:ascii="Cambria" w:hAnsi="Cambria" w:cs="Cambria"/>
                <w:lang w:val="it-IT"/>
              </w:rPr>
            </w:pPr>
            <w:proofErr w:type="spellStart"/>
            <w:r w:rsidRPr="00DF4CE5">
              <w:rPr>
                <w:rFonts w:ascii="Cambria" w:hAnsi="Cambria" w:cs="Calibri"/>
                <w:lang w:val="it-IT"/>
              </w:rPr>
              <w:t>Litera</w:t>
            </w:r>
            <w:r w:rsidR="00F04088" w:rsidRPr="00DF4CE5">
              <w:rPr>
                <w:rFonts w:ascii="Cambria" w:hAnsi="Cambria" w:cs="Calibri"/>
                <w:lang w:val="it-IT"/>
              </w:rPr>
              <w:t>t</w:t>
            </w:r>
            <w:r w:rsidRPr="00DF4CE5">
              <w:rPr>
                <w:rFonts w:ascii="Cambria" w:hAnsi="Cambria" w:cs="Calibri"/>
                <w:lang w:val="it-IT"/>
              </w:rPr>
              <w:t>ura</w:t>
            </w:r>
            <w:proofErr w:type="spellEnd"/>
            <w:r w:rsidRPr="00DF4CE5">
              <w:rPr>
                <w:rFonts w:ascii="Cambria" w:hAnsi="Cambria" w:cs="Calibri"/>
                <w:lang w:val="it-IT"/>
              </w:rPr>
              <w:t xml:space="preserve"> o </w:t>
            </w:r>
            <w:proofErr w:type="spellStart"/>
            <w:r w:rsidRPr="00DF4CE5">
              <w:rPr>
                <w:rFonts w:ascii="Cambria" w:hAnsi="Cambria" w:cs="Calibri"/>
                <w:lang w:val="it-IT"/>
              </w:rPr>
              <w:t>novim</w:t>
            </w:r>
            <w:proofErr w:type="spellEnd"/>
            <w:r w:rsidRPr="00DF4CE5">
              <w:rPr>
                <w:rFonts w:ascii="Cambria" w:hAnsi="Cambria" w:cs="Calibri"/>
                <w:lang w:val="it-IT"/>
              </w:rPr>
              <w:t xml:space="preserve"> </w:t>
            </w:r>
            <w:proofErr w:type="spellStart"/>
            <w:r w:rsidRPr="00DF4CE5">
              <w:rPr>
                <w:rFonts w:ascii="Cambria" w:hAnsi="Cambria" w:cs="Calibri"/>
                <w:lang w:val="it-IT"/>
              </w:rPr>
              <w:t>programima</w:t>
            </w:r>
            <w:proofErr w:type="spellEnd"/>
          </w:p>
        </w:tc>
      </w:tr>
    </w:tbl>
    <w:p w14:paraId="09C2D89D" w14:textId="77777777" w:rsidR="00A44D99" w:rsidRPr="00DF4CE5" w:rsidRDefault="00A44D99" w:rsidP="008B34AF">
      <w:pPr>
        <w:jc w:val="both"/>
        <w:rPr>
          <w:rFonts w:ascii="Cambria" w:hAnsi="Cambria"/>
          <w:lang w:val="it-IT"/>
        </w:rPr>
      </w:pPr>
    </w:p>
    <w:p w14:paraId="5F095B81" w14:textId="77777777" w:rsidR="004A100E" w:rsidRPr="00DF4CE5" w:rsidRDefault="004A100E" w:rsidP="008B34AF">
      <w:pPr>
        <w:jc w:val="both"/>
        <w:rPr>
          <w:rFonts w:ascii="Cambria" w:hAnsi="Cambria"/>
          <w:lang w:val="hr-HR"/>
        </w:rPr>
      </w:pPr>
    </w:p>
    <w:p w14:paraId="05084BCB" w14:textId="77777777" w:rsidR="004A100E" w:rsidRPr="00DF4CE5" w:rsidRDefault="004A100E" w:rsidP="008B34AF">
      <w:pPr>
        <w:jc w:val="both"/>
        <w:rPr>
          <w:rFonts w:ascii="Cambria" w:hAnsi="Cambria"/>
          <w:lang w:val="hr-HR"/>
        </w:rPr>
      </w:pPr>
    </w:p>
    <w:p w14:paraId="2A505BC0" w14:textId="77777777" w:rsidR="004A100E" w:rsidRPr="00DF4CE5" w:rsidRDefault="004A100E" w:rsidP="008B34AF">
      <w:pPr>
        <w:jc w:val="both"/>
        <w:rPr>
          <w:rFonts w:ascii="Cambria" w:hAnsi="Cambria"/>
          <w:lang w:val="hr-HR"/>
        </w:rPr>
      </w:pPr>
    </w:p>
    <w:p w14:paraId="67DCA6A5" w14:textId="77777777" w:rsidR="004A100E" w:rsidRPr="00DF4CE5" w:rsidRDefault="004A100E" w:rsidP="008B34AF">
      <w:pPr>
        <w:jc w:val="both"/>
        <w:rPr>
          <w:rFonts w:ascii="Cambria" w:hAnsi="Cambria"/>
          <w:lang w:val="hr-HR"/>
        </w:rPr>
      </w:pPr>
    </w:p>
    <w:p w14:paraId="16F1F63D" w14:textId="77777777" w:rsidR="004A100E" w:rsidRPr="00DF4CE5" w:rsidRDefault="004A100E" w:rsidP="008B34AF">
      <w:pPr>
        <w:jc w:val="both"/>
        <w:rPr>
          <w:rFonts w:ascii="Cambria" w:hAnsi="Cambria"/>
          <w:lang w:val="hr-HR"/>
        </w:rPr>
      </w:pPr>
    </w:p>
    <w:p w14:paraId="5B804405" w14:textId="77777777" w:rsidR="004A100E" w:rsidRPr="00DF4CE5" w:rsidRDefault="004A100E" w:rsidP="008B34AF">
      <w:pPr>
        <w:jc w:val="both"/>
        <w:rPr>
          <w:rFonts w:ascii="Cambria" w:hAnsi="Cambria"/>
          <w:lang w:val="hr-HR"/>
        </w:rPr>
      </w:pPr>
    </w:p>
    <w:p w14:paraId="62BE670E" w14:textId="77777777" w:rsidR="004A100E" w:rsidRPr="00DF4CE5" w:rsidRDefault="004A100E" w:rsidP="008B34AF">
      <w:pPr>
        <w:jc w:val="both"/>
        <w:rPr>
          <w:rFonts w:ascii="Cambria" w:hAnsi="Cambria"/>
          <w:lang w:val="hr-HR"/>
        </w:rPr>
      </w:pPr>
    </w:p>
    <w:p w14:paraId="3D846BDD" w14:textId="77777777" w:rsidR="004A100E" w:rsidRPr="00DF4CE5" w:rsidRDefault="004A100E" w:rsidP="008B34AF">
      <w:pPr>
        <w:jc w:val="both"/>
        <w:rPr>
          <w:rFonts w:ascii="Cambria" w:hAnsi="Cambria"/>
          <w:lang w:val="hr-HR"/>
        </w:rPr>
      </w:pPr>
    </w:p>
    <w:p w14:paraId="1999E63A" w14:textId="678613E7" w:rsidR="00B36357" w:rsidRDefault="00DB0462">
      <w:pPr>
        <w:rPr>
          <w:rFonts w:ascii="Cambria" w:hAnsi="Cambria"/>
          <w:lang w:val="hr-HR"/>
        </w:rPr>
      </w:pPr>
      <w:r>
        <w:rPr>
          <w:rFonts w:ascii="Cambria" w:hAnsi="Cambria"/>
          <w:lang w:val="hr-HR"/>
        </w:rPr>
        <w:br w:type="page"/>
      </w:r>
      <w:r w:rsidR="00B36357">
        <w:rPr>
          <w:rFonts w:ascii="Cambria" w:hAnsi="Cambria"/>
          <w:lang w:val="hr-HR"/>
        </w:rPr>
        <w:lastRenderedPageBreak/>
        <w:br w:type="page"/>
      </w:r>
    </w:p>
    <w:p w14:paraId="1DB66CFF" w14:textId="11763411" w:rsidR="004A100E" w:rsidRPr="00B36357" w:rsidRDefault="00B36357" w:rsidP="00B36357">
      <w:pPr>
        <w:jc w:val="center"/>
        <w:rPr>
          <w:rFonts w:ascii="Cambria" w:hAnsi="Cambria"/>
          <w:b/>
          <w:lang w:val="hr-HR"/>
        </w:rPr>
      </w:pPr>
      <w:r w:rsidRPr="00B36357">
        <w:rPr>
          <w:rFonts w:ascii="Cambria" w:hAnsi="Cambria"/>
          <w:b/>
          <w:lang w:val="hr-HR"/>
        </w:rPr>
        <w:lastRenderedPageBreak/>
        <w:t>VIII. semestar</w:t>
      </w:r>
    </w:p>
    <w:tbl>
      <w:tblPr>
        <w:tblW w:w="5000" w:type="pct"/>
        <w:tblLayout w:type="fixed"/>
        <w:tblCellMar>
          <w:left w:w="0" w:type="dxa"/>
          <w:right w:w="0" w:type="dxa"/>
        </w:tblCellMar>
        <w:tblLook w:val="0600" w:firstRow="0" w:lastRow="0" w:firstColumn="0" w:lastColumn="0" w:noHBand="1" w:noVBand="1"/>
      </w:tblPr>
      <w:tblGrid>
        <w:gridCol w:w="2806"/>
        <w:gridCol w:w="2662"/>
        <w:gridCol w:w="105"/>
        <w:gridCol w:w="1172"/>
        <w:gridCol w:w="300"/>
        <w:gridCol w:w="541"/>
        <w:gridCol w:w="1019"/>
        <w:gridCol w:w="1415"/>
      </w:tblGrid>
      <w:tr w:rsidR="00F92392" w:rsidRPr="00DF4CE5" w14:paraId="35C79E79" w14:textId="77777777" w:rsidTr="007571A6">
        <w:tc>
          <w:tcPr>
            <w:tcW w:w="10020"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4E5FA7E" w14:textId="77777777" w:rsidR="00F92392" w:rsidRPr="00DF4CE5" w:rsidRDefault="00F92392" w:rsidP="00A12846">
            <w:pPr>
              <w:contextualSpacing/>
              <w:jc w:val="right"/>
              <w:rPr>
                <w:rFonts w:ascii="Cambria" w:eastAsia="Calibri" w:hAnsi="Cambria" w:cs="Calibri"/>
                <w:b/>
                <w:lang w:val="hr-HR"/>
              </w:rPr>
            </w:pPr>
            <w:r w:rsidRPr="00DF4CE5">
              <w:rPr>
                <w:rFonts w:ascii="Cambria" w:eastAsia="Calibri" w:hAnsi="Cambria" w:cs="Calibri"/>
                <w:b/>
                <w:lang w:val="hr-HR"/>
              </w:rPr>
              <w:t>IZVEDBENI PLAN NASTAVE KOLEGIJA</w:t>
            </w:r>
          </w:p>
        </w:tc>
      </w:tr>
      <w:tr w:rsidR="00F92392" w:rsidRPr="00D0399C" w14:paraId="5FB660E5" w14:textId="77777777" w:rsidTr="007571A6">
        <w:tc>
          <w:tcPr>
            <w:tcW w:w="280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617549C" w14:textId="77777777" w:rsidR="00F92392" w:rsidRPr="00DF4CE5" w:rsidRDefault="00F92392" w:rsidP="008B34AF">
            <w:pPr>
              <w:contextualSpacing/>
              <w:jc w:val="both"/>
              <w:rPr>
                <w:rFonts w:ascii="Cambria" w:eastAsia="Calibri" w:hAnsi="Cambria" w:cs="Calibri"/>
                <w:lang w:val="hr-HR"/>
              </w:rPr>
            </w:pPr>
            <w:r w:rsidRPr="00DF4CE5">
              <w:rPr>
                <w:rFonts w:ascii="Cambria" w:eastAsia="Calibri" w:hAnsi="Cambria" w:cs="Calibri"/>
                <w:lang w:val="hr-HR"/>
              </w:rPr>
              <w:t>Kod i naziv kolegija</w:t>
            </w:r>
          </w:p>
        </w:tc>
        <w:tc>
          <w:tcPr>
            <w:tcW w:w="721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815B78C" w14:textId="21FCD89D" w:rsidR="00F92392" w:rsidRPr="00DF4CE5" w:rsidRDefault="00AE39D3" w:rsidP="00AE39D3">
            <w:pPr>
              <w:contextualSpacing/>
              <w:rPr>
                <w:rFonts w:ascii="Cambria" w:hAnsi="Cambria" w:cs="Calibri"/>
                <w:lang w:val="it-IT"/>
              </w:rPr>
            </w:pPr>
            <w:r w:rsidRPr="00DF4CE5">
              <w:rPr>
                <w:rFonts w:ascii="Cambria" w:hAnsi="Cambria" w:cs="Calibri"/>
                <w:lang w:val="it-IT"/>
              </w:rPr>
              <w:t>96509</w:t>
            </w:r>
          </w:p>
          <w:p w14:paraId="442F254A" w14:textId="77777777" w:rsidR="00F92392" w:rsidRPr="00DF4CE5" w:rsidRDefault="00F92392" w:rsidP="008B34AF">
            <w:pPr>
              <w:contextualSpacing/>
              <w:jc w:val="both"/>
              <w:rPr>
                <w:rFonts w:ascii="Cambria" w:eastAsia="Calibri" w:hAnsi="Cambria" w:cs="Calibri"/>
                <w:lang w:val="hr-HR"/>
              </w:rPr>
            </w:pPr>
            <w:r w:rsidRPr="00DF4CE5">
              <w:rPr>
                <w:rFonts w:ascii="Cambria" w:eastAsia="Calibri" w:hAnsi="Cambria" w:cs="Calibri"/>
                <w:lang w:val="hr-HR"/>
              </w:rPr>
              <w:t>Metodika nastave hrvatskoga jezika III.</w:t>
            </w:r>
          </w:p>
        </w:tc>
      </w:tr>
      <w:tr w:rsidR="00F92392" w:rsidRPr="00D0399C" w14:paraId="44493A22" w14:textId="77777777" w:rsidTr="007571A6">
        <w:tc>
          <w:tcPr>
            <w:tcW w:w="280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E8621F0" w14:textId="31C4C4ED" w:rsidR="00F92392" w:rsidRDefault="00F92392" w:rsidP="008B34AF">
            <w:pPr>
              <w:contextualSpacing/>
              <w:jc w:val="both"/>
              <w:rPr>
                <w:rFonts w:ascii="Cambria" w:eastAsia="Calibri" w:hAnsi="Cambria" w:cs="Calibri"/>
                <w:lang w:val="hr-HR"/>
              </w:rPr>
            </w:pPr>
            <w:r w:rsidRPr="00DF4CE5">
              <w:rPr>
                <w:rFonts w:ascii="Cambria" w:eastAsia="Calibri" w:hAnsi="Cambria" w:cs="Calibri"/>
                <w:lang w:val="hr-HR"/>
              </w:rPr>
              <w:t>Nastavni</w:t>
            </w:r>
            <w:r w:rsidR="000F1A10">
              <w:rPr>
                <w:rFonts w:ascii="Cambria" w:eastAsia="Calibri" w:hAnsi="Cambria" w:cs="Calibri"/>
                <w:lang w:val="hr-HR"/>
              </w:rPr>
              <w:t>ca</w:t>
            </w:r>
          </w:p>
          <w:p w14:paraId="72B0294C" w14:textId="4041AF4B" w:rsidR="007571A6" w:rsidRPr="00DF4CE5" w:rsidRDefault="007571A6" w:rsidP="008B34AF">
            <w:pPr>
              <w:contextualSpacing/>
              <w:jc w:val="both"/>
              <w:rPr>
                <w:rFonts w:ascii="Cambria" w:eastAsia="Calibri" w:hAnsi="Cambria" w:cs="Calibri"/>
                <w:lang w:val="hr-HR"/>
              </w:rPr>
            </w:pPr>
            <w:r>
              <w:rPr>
                <w:rFonts w:ascii="Cambria" w:eastAsia="Calibri" w:hAnsi="Cambria" w:cs="Calibri"/>
                <w:lang w:val="hr-HR"/>
              </w:rPr>
              <w:t>Suradnica</w:t>
            </w:r>
          </w:p>
        </w:tc>
        <w:tc>
          <w:tcPr>
            <w:tcW w:w="721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408EBE6" w14:textId="1F43F8B5" w:rsidR="007571A6" w:rsidRPr="00DF4CE5" w:rsidRDefault="000F1A10" w:rsidP="007571A6">
            <w:pPr>
              <w:contextualSpacing/>
              <w:jc w:val="both"/>
              <w:rPr>
                <w:rFonts w:ascii="Cambria" w:eastAsia="Calibri" w:hAnsi="Cambria" w:cs="Calibri"/>
                <w:lang w:val="hr-HR"/>
              </w:rPr>
            </w:pPr>
            <w:hyperlink r:id="rId140" w:history="1">
              <w:r w:rsidRPr="000F1A10">
                <w:rPr>
                  <w:rStyle w:val="Hiperveza"/>
                  <w:rFonts w:ascii="Cambria" w:eastAsia="Calibri" w:hAnsi="Cambria" w:cs="Calibri"/>
                  <w:lang w:val="hr-HR"/>
                </w:rPr>
                <w:t>P</w:t>
              </w:r>
              <w:r w:rsidR="007571A6" w:rsidRPr="000F1A10">
                <w:rPr>
                  <w:rStyle w:val="Hiperveza"/>
                  <w:rFonts w:ascii="Cambria" w:eastAsia="Calibri" w:hAnsi="Cambria" w:cs="Calibri"/>
                  <w:lang w:val="hr-HR"/>
                </w:rPr>
                <w:t xml:space="preserve">rof. dr. sc. </w:t>
              </w:r>
              <w:r w:rsidRPr="000F1A10">
                <w:rPr>
                  <w:rStyle w:val="Hiperveza"/>
                  <w:rFonts w:ascii="Cambria" w:eastAsia="Calibri" w:hAnsi="Cambria" w:cs="Calibri"/>
                  <w:lang w:val="hr-HR"/>
                </w:rPr>
                <w:t>Vjekoslava Jurdana</w:t>
              </w:r>
            </w:hyperlink>
            <w:r w:rsidR="007571A6">
              <w:rPr>
                <w:rFonts w:ascii="Cambria" w:eastAsia="Calibri" w:hAnsi="Cambria" w:cs="Calibri"/>
                <w:lang w:val="hr-HR"/>
              </w:rPr>
              <w:t xml:space="preserve"> (</w:t>
            </w:r>
            <w:r w:rsidR="007571A6" w:rsidRPr="00DF4CE5">
              <w:rPr>
                <w:rFonts w:ascii="Cambria" w:eastAsia="Calibri" w:hAnsi="Cambria" w:cs="Calibri"/>
                <w:lang w:val="hr-HR"/>
              </w:rPr>
              <w:t>nositelj</w:t>
            </w:r>
            <w:r>
              <w:rPr>
                <w:rFonts w:ascii="Cambria" w:eastAsia="Calibri" w:hAnsi="Cambria" w:cs="Calibri"/>
                <w:lang w:val="hr-HR"/>
              </w:rPr>
              <w:t>ica</w:t>
            </w:r>
            <w:r w:rsidR="007571A6">
              <w:rPr>
                <w:rFonts w:ascii="Cambria" w:eastAsia="Calibri" w:hAnsi="Cambria" w:cs="Calibri"/>
                <w:lang w:val="hr-HR"/>
              </w:rPr>
              <w:t>)</w:t>
            </w:r>
          </w:p>
          <w:p w14:paraId="6B2D4F54" w14:textId="654E8EF9" w:rsidR="00AE39D3" w:rsidRPr="00DF4CE5" w:rsidRDefault="007571A6" w:rsidP="007571A6">
            <w:pPr>
              <w:contextualSpacing/>
              <w:jc w:val="both"/>
              <w:rPr>
                <w:rFonts w:ascii="Cambria" w:eastAsia="Calibri" w:hAnsi="Cambria" w:cs="Calibri"/>
                <w:lang w:val="hr-HR"/>
              </w:rPr>
            </w:pPr>
            <w:hyperlink r:id="rId141" w:history="1">
              <w:r w:rsidRPr="00A421F5">
                <w:rPr>
                  <w:rStyle w:val="Hiperveza"/>
                  <w:rFonts w:ascii="Cambria" w:eastAsia="Times New Roman" w:hAnsi="Cambria" w:cs="Times New Roman"/>
                  <w:lang w:val="hr-HR"/>
                </w:rPr>
                <w:t xml:space="preserve">Dr. sc. Samanta </w:t>
              </w:r>
              <w:proofErr w:type="spellStart"/>
              <w:r w:rsidRPr="00A421F5">
                <w:rPr>
                  <w:rStyle w:val="Hiperveza"/>
                  <w:rFonts w:ascii="Cambria" w:eastAsia="Times New Roman" w:hAnsi="Cambria" w:cs="Times New Roman"/>
                  <w:lang w:val="hr-HR"/>
                </w:rPr>
                <w:t>Paronić</w:t>
              </w:r>
              <w:proofErr w:type="spellEnd"/>
              <w:r w:rsidRPr="00A421F5">
                <w:rPr>
                  <w:rStyle w:val="Hiperveza"/>
                  <w:rFonts w:ascii="Cambria" w:eastAsia="Times New Roman" w:hAnsi="Cambria" w:cs="Times New Roman"/>
                  <w:lang w:val="hr-HR"/>
                </w:rPr>
                <w:t>, naslovna pred.</w:t>
              </w:r>
            </w:hyperlink>
          </w:p>
        </w:tc>
      </w:tr>
      <w:tr w:rsidR="00F92392" w:rsidRPr="00D0399C" w14:paraId="1020ABEA" w14:textId="77777777" w:rsidTr="007571A6">
        <w:tc>
          <w:tcPr>
            <w:tcW w:w="280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848047D" w14:textId="77777777" w:rsidR="00F92392" w:rsidRPr="00DF4CE5" w:rsidRDefault="00F92392" w:rsidP="008B34AF">
            <w:pPr>
              <w:contextualSpacing/>
              <w:jc w:val="both"/>
              <w:rPr>
                <w:rFonts w:ascii="Cambria" w:eastAsia="Calibri" w:hAnsi="Cambria" w:cs="Calibri"/>
                <w:lang w:val="hr-HR"/>
              </w:rPr>
            </w:pPr>
            <w:r w:rsidRPr="00DF4CE5">
              <w:rPr>
                <w:rFonts w:ascii="Cambria" w:eastAsia="Calibri" w:hAnsi="Cambria" w:cs="Calibri"/>
                <w:lang w:val="hr-HR"/>
              </w:rPr>
              <w:t>Studijski program</w:t>
            </w:r>
          </w:p>
        </w:tc>
        <w:tc>
          <w:tcPr>
            <w:tcW w:w="721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DE11CF5" w14:textId="77777777" w:rsidR="00F92392" w:rsidRPr="00DF4CE5" w:rsidRDefault="00F92392" w:rsidP="008B34AF">
            <w:pPr>
              <w:contextualSpacing/>
              <w:jc w:val="both"/>
              <w:rPr>
                <w:rFonts w:ascii="Cambria" w:eastAsia="Calibri" w:hAnsi="Cambria" w:cs="Calibri"/>
                <w:lang w:val="hr-HR"/>
              </w:rPr>
            </w:pPr>
            <w:r w:rsidRPr="00DF4CE5">
              <w:rPr>
                <w:rFonts w:ascii="Cambria" w:eastAsia="Calibri" w:hAnsi="Cambria" w:cs="Calibri"/>
                <w:lang w:val="hr-HR"/>
              </w:rPr>
              <w:t>Sveučilišni integrirani prijediplomski i diplomski Učiteljski studij na hrvatskom jeziku</w:t>
            </w:r>
          </w:p>
        </w:tc>
      </w:tr>
      <w:tr w:rsidR="00F92392" w:rsidRPr="00DF4CE5" w14:paraId="1EE817DD" w14:textId="77777777" w:rsidTr="007571A6">
        <w:tc>
          <w:tcPr>
            <w:tcW w:w="280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06FD95E" w14:textId="77777777" w:rsidR="00F92392" w:rsidRPr="00DF4CE5" w:rsidRDefault="00F92392" w:rsidP="008B34AF">
            <w:pPr>
              <w:contextualSpacing/>
              <w:jc w:val="both"/>
              <w:rPr>
                <w:rFonts w:ascii="Cambria" w:eastAsia="Calibri" w:hAnsi="Cambria" w:cs="Calibri"/>
                <w:lang w:val="hr-HR"/>
              </w:rPr>
            </w:pPr>
            <w:r w:rsidRPr="00DF4CE5">
              <w:rPr>
                <w:rFonts w:ascii="Cambria" w:eastAsia="Calibri" w:hAnsi="Cambria" w:cs="Calibri"/>
                <w:lang w:val="hr-HR"/>
              </w:rPr>
              <w:t>Vrsta kolegija</w:t>
            </w:r>
          </w:p>
        </w:tc>
        <w:tc>
          <w:tcPr>
            <w:tcW w:w="266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DF2CF2D" w14:textId="77777777" w:rsidR="00F92392" w:rsidRPr="00DF4CE5" w:rsidRDefault="00F92392" w:rsidP="008B34AF">
            <w:pPr>
              <w:contextualSpacing/>
              <w:jc w:val="both"/>
              <w:rPr>
                <w:rFonts w:ascii="Cambria" w:eastAsia="Calibri" w:hAnsi="Cambria" w:cs="Calibri"/>
                <w:lang w:val="hr-HR"/>
              </w:rPr>
            </w:pPr>
            <w:r w:rsidRPr="00DF4CE5">
              <w:rPr>
                <w:rFonts w:ascii="Cambria" w:eastAsia="Calibri" w:hAnsi="Cambria" w:cs="Calibri"/>
                <w:lang w:val="hr-HR"/>
              </w:rPr>
              <w:t xml:space="preserve">obvezan </w:t>
            </w:r>
          </w:p>
        </w:tc>
        <w:tc>
          <w:tcPr>
            <w:tcW w:w="1577"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1702DDFF" w14:textId="77777777" w:rsidR="00F92392" w:rsidRPr="00DF4CE5" w:rsidRDefault="00F92392" w:rsidP="008B34AF">
            <w:pPr>
              <w:contextualSpacing/>
              <w:jc w:val="both"/>
              <w:rPr>
                <w:rFonts w:ascii="Cambria" w:eastAsia="Calibri" w:hAnsi="Cambria" w:cs="Calibri"/>
                <w:lang w:val="hr-HR"/>
              </w:rPr>
            </w:pPr>
            <w:r w:rsidRPr="00DF4CE5">
              <w:rPr>
                <w:rFonts w:ascii="Cambria" w:eastAsia="Calibri" w:hAnsi="Cambria" w:cs="Calibri"/>
                <w:lang w:val="hr-HR"/>
              </w:rPr>
              <w:t>Razina kolegija</w:t>
            </w:r>
          </w:p>
        </w:tc>
        <w:tc>
          <w:tcPr>
            <w:tcW w:w="2975"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40B41CC" w14:textId="0DA8EBFB" w:rsidR="00F92392" w:rsidRPr="00DF4CE5" w:rsidRDefault="00F92392" w:rsidP="008B34AF">
            <w:pPr>
              <w:contextualSpacing/>
              <w:jc w:val="both"/>
              <w:rPr>
                <w:rFonts w:ascii="Cambria" w:eastAsia="Calibri" w:hAnsi="Cambria" w:cs="Calibri"/>
                <w:lang w:val="hr-HR"/>
              </w:rPr>
            </w:pPr>
            <w:proofErr w:type="spellStart"/>
            <w:r w:rsidRPr="00DF4CE5">
              <w:rPr>
                <w:rFonts w:ascii="Cambria" w:eastAsia="Calibri" w:hAnsi="Cambria" w:cs="Calibri"/>
              </w:rPr>
              <w:t>i</w:t>
            </w:r>
            <w:r w:rsidR="000F1A10">
              <w:rPr>
                <w:rFonts w:ascii="Cambria" w:eastAsia="Calibri" w:hAnsi="Cambria" w:cs="Calibri"/>
              </w:rPr>
              <w:t>n</w:t>
            </w:r>
            <w:r w:rsidRPr="00DF4CE5">
              <w:rPr>
                <w:rFonts w:ascii="Cambria" w:eastAsia="Calibri" w:hAnsi="Cambria" w:cs="Calibri"/>
              </w:rPr>
              <w:t>tegrirani</w:t>
            </w:r>
            <w:proofErr w:type="spellEnd"/>
          </w:p>
        </w:tc>
      </w:tr>
      <w:tr w:rsidR="00F92392" w:rsidRPr="00DF4CE5" w14:paraId="7066B459" w14:textId="77777777" w:rsidTr="007571A6">
        <w:tc>
          <w:tcPr>
            <w:tcW w:w="280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8E82A37" w14:textId="77777777" w:rsidR="00F92392" w:rsidRPr="00DF4CE5" w:rsidRDefault="00F92392" w:rsidP="008B34AF">
            <w:pPr>
              <w:contextualSpacing/>
              <w:jc w:val="both"/>
              <w:rPr>
                <w:rFonts w:ascii="Cambria" w:eastAsia="Calibri" w:hAnsi="Cambria" w:cs="Calibri"/>
                <w:lang w:val="hr-HR"/>
              </w:rPr>
            </w:pPr>
            <w:r w:rsidRPr="00DF4CE5">
              <w:rPr>
                <w:rFonts w:ascii="Cambria" w:eastAsia="Calibri" w:hAnsi="Cambria" w:cs="Calibri"/>
                <w:lang w:val="hr-HR"/>
              </w:rPr>
              <w:t>Semestar</w:t>
            </w:r>
          </w:p>
        </w:tc>
        <w:tc>
          <w:tcPr>
            <w:tcW w:w="266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DA84AEA" w14:textId="77777777" w:rsidR="00F92392" w:rsidRPr="00DF4CE5" w:rsidRDefault="00F92392" w:rsidP="008B34AF">
            <w:pPr>
              <w:contextualSpacing/>
              <w:jc w:val="both"/>
              <w:rPr>
                <w:rFonts w:ascii="Cambria" w:eastAsia="Calibri" w:hAnsi="Cambria" w:cs="Calibri"/>
                <w:lang w:val="hr-HR"/>
              </w:rPr>
            </w:pPr>
            <w:r w:rsidRPr="00DF4CE5">
              <w:rPr>
                <w:rFonts w:ascii="Cambria" w:eastAsia="Calibri" w:hAnsi="Cambria" w:cs="Calibri"/>
                <w:lang w:val="hr-HR"/>
              </w:rPr>
              <w:t>ljetni</w:t>
            </w:r>
          </w:p>
        </w:tc>
        <w:tc>
          <w:tcPr>
            <w:tcW w:w="1577"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0C4E98B3" w14:textId="77777777" w:rsidR="00F92392" w:rsidRPr="00DF4CE5" w:rsidRDefault="00F92392" w:rsidP="008B34AF">
            <w:pPr>
              <w:contextualSpacing/>
              <w:jc w:val="both"/>
              <w:rPr>
                <w:rFonts w:ascii="Cambria" w:eastAsia="Calibri" w:hAnsi="Cambria" w:cs="Calibri"/>
                <w:lang w:val="hr-HR"/>
              </w:rPr>
            </w:pPr>
            <w:r w:rsidRPr="00DF4CE5">
              <w:rPr>
                <w:rFonts w:ascii="Cambria" w:eastAsia="Calibri" w:hAnsi="Cambria" w:cs="Calibri"/>
                <w:lang w:val="hr-HR"/>
              </w:rPr>
              <w:t>Godina studija</w:t>
            </w:r>
          </w:p>
        </w:tc>
        <w:tc>
          <w:tcPr>
            <w:tcW w:w="2975"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E44CC84" w14:textId="77777777" w:rsidR="00F92392" w:rsidRPr="00DF4CE5" w:rsidRDefault="00F92392" w:rsidP="008B34AF">
            <w:pPr>
              <w:contextualSpacing/>
              <w:jc w:val="both"/>
              <w:rPr>
                <w:rFonts w:ascii="Cambria" w:eastAsia="Calibri" w:hAnsi="Cambria" w:cs="Calibri"/>
                <w:lang w:val="hr-HR"/>
              </w:rPr>
            </w:pPr>
            <w:r w:rsidRPr="00DF4CE5">
              <w:rPr>
                <w:rFonts w:ascii="Cambria" w:eastAsia="Calibri" w:hAnsi="Cambria" w:cs="Calibri"/>
                <w:lang w:val="hr-HR"/>
              </w:rPr>
              <w:t>IV.</w:t>
            </w:r>
          </w:p>
        </w:tc>
      </w:tr>
      <w:tr w:rsidR="00F92392" w:rsidRPr="00DF4CE5" w14:paraId="487FCFBA" w14:textId="77777777" w:rsidTr="007571A6">
        <w:tc>
          <w:tcPr>
            <w:tcW w:w="280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F21B6B7" w14:textId="77777777" w:rsidR="00F92392" w:rsidRPr="00DF4CE5" w:rsidRDefault="00F92392" w:rsidP="008B34AF">
            <w:pPr>
              <w:contextualSpacing/>
              <w:jc w:val="both"/>
              <w:rPr>
                <w:rFonts w:ascii="Cambria" w:eastAsia="Calibri" w:hAnsi="Cambria" w:cs="Calibri"/>
                <w:lang w:val="hr-HR"/>
              </w:rPr>
            </w:pPr>
            <w:proofErr w:type="spellStart"/>
            <w:r w:rsidRPr="00DF4CE5">
              <w:rPr>
                <w:rFonts w:ascii="Cambria" w:eastAsia="Calibri" w:hAnsi="Cambria" w:cs="Calibri"/>
              </w:rPr>
              <w:t>Mjesto</w:t>
            </w:r>
            <w:proofErr w:type="spellEnd"/>
            <w:r w:rsidRPr="00DF4CE5">
              <w:rPr>
                <w:rFonts w:ascii="Cambria" w:eastAsia="Calibri" w:hAnsi="Cambria" w:cs="Calibri"/>
              </w:rPr>
              <w:t xml:space="preserve"> </w:t>
            </w:r>
            <w:proofErr w:type="spellStart"/>
            <w:r w:rsidRPr="00DF4CE5">
              <w:rPr>
                <w:rFonts w:ascii="Cambria" w:eastAsia="Calibri" w:hAnsi="Cambria" w:cs="Calibri"/>
              </w:rPr>
              <w:t>izvođenja</w:t>
            </w:r>
            <w:proofErr w:type="spellEnd"/>
          </w:p>
        </w:tc>
        <w:tc>
          <w:tcPr>
            <w:tcW w:w="266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B6B520A" w14:textId="3C9523C6" w:rsidR="00F92392" w:rsidRPr="00DF4CE5" w:rsidRDefault="00E62F3F" w:rsidP="008B34AF">
            <w:pPr>
              <w:contextualSpacing/>
              <w:jc w:val="both"/>
              <w:rPr>
                <w:rFonts w:ascii="Cambria" w:eastAsia="Calibri" w:hAnsi="Cambria" w:cs="Calibri"/>
                <w:lang w:val="hr-HR"/>
              </w:rPr>
            </w:pPr>
            <w:r>
              <w:rPr>
                <w:rFonts w:ascii="Cambria" w:eastAsia="Calibri" w:hAnsi="Cambria" w:cs="Calibri"/>
                <w:lang w:val="hr-HR"/>
              </w:rPr>
              <w:t>učionica</w:t>
            </w:r>
          </w:p>
        </w:tc>
        <w:tc>
          <w:tcPr>
            <w:tcW w:w="1577"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1F370F05" w14:textId="77777777" w:rsidR="00F92392" w:rsidRPr="00DF4CE5" w:rsidRDefault="00F92392" w:rsidP="008B34AF">
            <w:pPr>
              <w:contextualSpacing/>
              <w:jc w:val="both"/>
              <w:rPr>
                <w:rFonts w:ascii="Cambria" w:eastAsia="Calibri" w:hAnsi="Cambria" w:cs="Calibri"/>
                <w:lang w:val="hr-HR"/>
              </w:rPr>
            </w:pPr>
            <w:r w:rsidRPr="00DF4CE5">
              <w:rPr>
                <w:rFonts w:ascii="Cambria" w:eastAsia="Calibri" w:hAnsi="Cambria" w:cs="Calibri"/>
              </w:rPr>
              <w:t>Jezik</w:t>
            </w:r>
            <w:r w:rsidRPr="00DF4CE5">
              <w:rPr>
                <w:rFonts w:ascii="Cambria" w:eastAsia="Calibri" w:hAnsi="Cambria" w:cs="Calibri"/>
                <w:lang w:val="hr-HR"/>
              </w:rPr>
              <w:t xml:space="preserve"> izvođenja (drugi jezici)</w:t>
            </w:r>
          </w:p>
        </w:tc>
        <w:tc>
          <w:tcPr>
            <w:tcW w:w="2975"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E47EDF0" w14:textId="77777777" w:rsidR="00F92392" w:rsidRPr="00DF4CE5" w:rsidRDefault="00F92392" w:rsidP="008B34AF">
            <w:pPr>
              <w:contextualSpacing/>
              <w:jc w:val="both"/>
              <w:rPr>
                <w:rFonts w:ascii="Cambria" w:eastAsia="Calibri" w:hAnsi="Cambria" w:cs="Calibri"/>
                <w:lang w:val="hr-HR"/>
              </w:rPr>
            </w:pPr>
            <w:r w:rsidRPr="00DF4CE5">
              <w:rPr>
                <w:rFonts w:ascii="Cambria" w:eastAsia="Calibri" w:hAnsi="Cambria" w:cs="Calibri"/>
                <w:lang w:val="hr-HR"/>
              </w:rPr>
              <w:t>hrvatski jezik</w:t>
            </w:r>
          </w:p>
        </w:tc>
      </w:tr>
      <w:tr w:rsidR="00F92392" w:rsidRPr="00DF4CE5" w14:paraId="7F310552" w14:textId="77777777" w:rsidTr="007571A6">
        <w:tc>
          <w:tcPr>
            <w:tcW w:w="280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A50ED9B" w14:textId="77777777" w:rsidR="00F92392" w:rsidRPr="00DF4CE5" w:rsidRDefault="00F92392" w:rsidP="008B34AF">
            <w:pPr>
              <w:contextualSpacing/>
              <w:jc w:val="both"/>
              <w:rPr>
                <w:rFonts w:ascii="Cambria" w:eastAsia="Calibri" w:hAnsi="Cambria" w:cs="Calibri"/>
                <w:lang w:val="hr-HR"/>
              </w:rPr>
            </w:pPr>
            <w:r w:rsidRPr="00DF4CE5">
              <w:rPr>
                <w:rFonts w:ascii="Cambria" w:eastAsia="Calibri" w:hAnsi="Cambria" w:cs="Calibri"/>
                <w:lang w:val="hr-HR"/>
              </w:rPr>
              <w:t>Broj ECTS bodova</w:t>
            </w:r>
          </w:p>
        </w:tc>
        <w:tc>
          <w:tcPr>
            <w:tcW w:w="266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DB847BF" w14:textId="77777777" w:rsidR="00F92392" w:rsidRPr="00DF4CE5" w:rsidRDefault="00F92392" w:rsidP="008B34AF">
            <w:pPr>
              <w:contextualSpacing/>
              <w:jc w:val="both"/>
              <w:rPr>
                <w:rFonts w:ascii="Cambria" w:eastAsia="Calibri" w:hAnsi="Cambria" w:cs="Calibri"/>
                <w:lang w:val="hr-HR"/>
              </w:rPr>
            </w:pPr>
            <w:r w:rsidRPr="00DF4CE5">
              <w:rPr>
                <w:rFonts w:ascii="Cambria" w:eastAsia="Calibri" w:hAnsi="Cambria" w:cs="Calibri"/>
                <w:lang w:val="hr-HR"/>
              </w:rPr>
              <w:t>5</w:t>
            </w:r>
          </w:p>
        </w:tc>
        <w:tc>
          <w:tcPr>
            <w:tcW w:w="1577"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61A54E90" w14:textId="77777777" w:rsidR="00F92392" w:rsidRPr="00DF4CE5" w:rsidRDefault="00F92392" w:rsidP="008B34AF">
            <w:pPr>
              <w:contextualSpacing/>
              <w:jc w:val="both"/>
              <w:rPr>
                <w:rFonts w:ascii="Cambria" w:eastAsia="Calibri" w:hAnsi="Cambria" w:cs="Calibri"/>
                <w:lang w:val="hr-HR"/>
              </w:rPr>
            </w:pPr>
            <w:r w:rsidRPr="00DF4CE5">
              <w:rPr>
                <w:rFonts w:ascii="Cambria" w:eastAsia="Calibri" w:hAnsi="Cambria" w:cs="Calibri"/>
                <w:lang w:val="hr-HR"/>
              </w:rPr>
              <w:t>Broj sati u semestru</w:t>
            </w:r>
          </w:p>
        </w:tc>
        <w:tc>
          <w:tcPr>
            <w:tcW w:w="2975"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DC3E4E6" w14:textId="32EEA8E3" w:rsidR="00F92392" w:rsidRPr="00DF4CE5" w:rsidRDefault="00F92392" w:rsidP="008B34AF">
            <w:pPr>
              <w:contextualSpacing/>
              <w:jc w:val="both"/>
              <w:rPr>
                <w:rFonts w:ascii="Cambria" w:eastAsia="Calibri" w:hAnsi="Cambria" w:cs="Calibri"/>
                <w:lang w:val="hr-HR"/>
              </w:rPr>
            </w:pPr>
            <w:r w:rsidRPr="00DF4CE5">
              <w:rPr>
                <w:rFonts w:ascii="Cambria" w:eastAsia="Calibri" w:hAnsi="Cambria" w:cs="Calibri"/>
                <w:lang w:val="hr-HR"/>
              </w:rPr>
              <w:t xml:space="preserve">15P – </w:t>
            </w:r>
            <w:r w:rsidR="00573C31" w:rsidRPr="00DF4CE5">
              <w:rPr>
                <w:rFonts w:ascii="Cambria" w:eastAsia="Calibri" w:hAnsi="Cambria" w:cs="Calibri"/>
                <w:lang w:val="hr-HR"/>
              </w:rPr>
              <w:t>0S</w:t>
            </w:r>
            <w:r w:rsidRPr="00DF4CE5">
              <w:rPr>
                <w:rFonts w:ascii="Cambria" w:eastAsia="Calibri" w:hAnsi="Cambria" w:cs="Calibri"/>
                <w:lang w:val="hr-HR"/>
              </w:rPr>
              <w:t xml:space="preserve"> –</w:t>
            </w:r>
            <w:r w:rsidR="007571A6">
              <w:rPr>
                <w:rFonts w:ascii="Cambria" w:eastAsia="Calibri" w:hAnsi="Cambria" w:cs="Calibri"/>
                <w:lang w:val="hr-HR"/>
              </w:rPr>
              <w:t xml:space="preserve"> </w:t>
            </w:r>
            <w:r w:rsidR="00573C31" w:rsidRPr="00DF4CE5">
              <w:rPr>
                <w:rFonts w:ascii="Cambria" w:eastAsia="Calibri" w:hAnsi="Cambria" w:cs="Calibri"/>
                <w:lang w:val="hr-HR"/>
              </w:rPr>
              <w:t>45V</w:t>
            </w:r>
            <w:r w:rsidRPr="00DF4CE5">
              <w:rPr>
                <w:rFonts w:ascii="Cambria" w:eastAsia="Calibri" w:hAnsi="Cambria" w:cs="Calibri"/>
                <w:lang w:val="hr-HR"/>
              </w:rPr>
              <w:t xml:space="preserve">   </w:t>
            </w:r>
          </w:p>
        </w:tc>
      </w:tr>
      <w:tr w:rsidR="00F92392" w:rsidRPr="00DF4CE5" w14:paraId="42088788" w14:textId="77777777" w:rsidTr="007571A6">
        <w:tc>
          <w:tcPr>
            <w:tcW w:w="280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6A61CB8" w14:textId="77777777" w:rsidR="00F92392" w:rsidRPr="00DF4CE5" w:rsidRDefault="00F92392" w:rsidP="008B34AF">
            <w:pPr>
              <w:contextualSpacing/>
              <w:jc w:val="both"/>
              <w:rPr>
                <w:rFonts w:ascii="Cambria" w:eastAsia="Calibri" w:hAnsi="Cambria" w:cs="Calibri"/>
                <w:lang w:val="hr-HR"/>
              </w:rPr>
            </w:pPr>
            <w:r w:rsidRPr="00DF4CE5">
              <w:rPr>
                <w:rFonts w:ascii="Cambria" w:eastAsia="Calibri" w:hAnsi="Cambria" w:cs="Calibri"/>
                <w:lang w:val="hr-HR"/>
              </w:rPr>
              <w:t>Preduvjeti za upis i za svladavanje</w:t>
            </w:r>
          </w:p>
        </w:tc>
        <w:tc>
          <w:tcPr>
            <w:tcW w:w="721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DA8711E" w14:textId="77777777" w:rsidR="00F92392" w:rsidRPr="00DF4CE5" w:rsidRDefault="00F92392" w:rsidP="008B34AF">
            <w:pPr>
              <w:contextualSpacing/>
              <w:jc w:val="both"/>
              <w:rPr>
                <w:rFonts w:ascii="Cambria" w:eastAsia="Calibri" w:hAnsi="Cambria" w:cs="Calibri"/>
                <w:lang w:val="hr-HR"/>
              </w:rPr>
            </w:pPr>
            <w:r w:rsidRPr="00DF4CE5">
              <w:rPr>
                <w:rFonts w:ascii="Cambria" w:eastAsia="Calibri" w:hAnsi="Cambria" w:cs="Calibri"/>
                <w:lang w:val="hr-HR"/>
              </w:rPr>
              <w:t>Nema preduvjeta.</w:t>
            </w:r>
          </w:p>
        </w:tc>
      </w:tr>
      <w:tr w:rsidR="00F92392" w:rsidRPr="00D0399C" w14:paraId="1297FF86" w14:textId="77777777" w:rsidTr="007571A6">
        <w:tc>
          <w:tcPr>
            <w:tcW w:w="280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C443B28" w14:textId="77777777" w:rsidR="00F92392" w:rsidRPr="00DF4CE5" w:rsidRDefault="00F92392" w:rsidP="008B34AF">
            <w:pPr>
              <w:contextualSpacing/>
              <w:jc w:val="both"/>
              <w:rPr>
                <w:rFonts w:ascii="Cambria" w:eastAsia="Calibri" w:hAnsi="Cambria" w:cs="Calibri"/>
                <w:lang w:val="hr-HR"/>
              </w:rPr>
            </w:pPr>
            <w:proofErr w:type="spellStart"/>
            <w:r w:rsidRPr="00DF4CE5">
              <w:rPr>
                <w:rFonts w:ascii="Cambria" w:eastAsia="Calibri" w:hAnsi="Cambria" w:cs="Calibri"/>
              </w:rPr>
              <w:t>Korelativnost</w:t>
            </w:r>
            <w:proofErr w:type="spellEnd"/>
          </w:p>
        </w:tc>
        <w:tc>
          <w:tcPr>
            <w:tcW w:w="721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09E43B3" w14:textId="77777777" w:rsidR="00F92392" w:rsidRPr="00DF4CE5" w:rsidRDefault="00F92392" w:rsidP="008B34AF">
            <w:pPr>
              <w:contextualSpacing/>
              <w:jc w:val="both"/>
              <w:rPr>
                <w:rFonts w:ascii="Cambria" w:eastAsia="Calibri" w:hAnsi="Cambria" w:cs="Calibri"/>
                <w:lang w:val="hr-HR"/>
              </w:rPr>
            </w:pPr>
            <w:r w:rsidRPr="00DF4CE5">
              <w:rPr>
                <w:rFonts w:ascii="Cambria" w:eastAsia="Calibri" w:hAnsi="Cambria" w:cs="Calibri"/>
                <w:lang w:val="hr-HR"/>
              </w:rPr>
              <w:t xml:space="preserve">Hrvatski jezik I, Hrvatski jezik II, Dječja književnost, Pismeno izražavanje, Metodika hrvatskog jezika I, Metodika hrvatskog jezika II, kao i s drugim kolegijima jezično-umjetničke usmjerenosti. </w:t>
            </w:r>
          </w:p>
        </w:tc>
      </w:tr>
      <w:tr w:rsidR="00F92392" w:rsidRPr="00D0399C" w14:paraId="4EDA9340" w14:textId="77777777" w:rsidTr="007571A6">
        <w:tc>
          <w:tcPr>
            <w:tcW w:w="280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C3274D2" w14:textId="77777777" w:rsidR="00F92392" w:rsidRPr="00DF4CE5" w:rsidRDefault="00F92392" w:rsidP="008B34AF">
            <w:pPr>
              <w:contextualSpacing/>
              <w:jc w:val="both"/>
              <w:rPr>
                <w:rFonts w:ascii="Cambria" w:eastAsia="Calibri" w:hAnsi="Cambria" w:cs="Calibri"/>
                <w:lang w:val="hr-HR"/>
              </w:rPr>
            </w:pPr>
            <w:r w:rsidRPr="00DF4CE5">
              <w:rPr>
                <w:rFonts w:ascii="Cambria" w:eastAsia="Calibri" w:hAnsi="Cambria" w:cs="Calibri"/>
                <w:lang w:val="hr-HR"/>
              </w:rPr>
              <w:t xml:space="preserve">Cilj kolegija </w:t>
            </w:r>
          </w:p>
        </w:tc>
        <w:tc>
          <w:tcPr>
            <w:tcW w:w="721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6B87E85" w14:textId="77777777" w:rsidR="00F92392" w:rsidRPr="00DF4CE5" w:rsidRDefault="00F92392" w:rsidP="007571A6">
            <w:pPr>
              <w:contextualSpacing/>
              <w:rPr>
                <w:rFonts w:ascii="Cambria" w:eastAsia="Calibri" w:hAnsi="Cambria" w:cs="Calibri"/>
                <w:lang w:val="hr-HR"/>
              </w:rPr>
            </w:pPr>
            <w:r w:rsidRPr="00DF4CE5">
              <w:rPr>
                <w:rFonts w:ascii="Cambria" w:eastAsia="Calibri" w:hAnsi="Cambria" w:cs="Calibri"/>
                <w:lang w:val="hr-HR"/>
              </w:rPr>
              <w:t xml:space="preserve">analizirati dostignuća suvremene metodike hrvatskog jezika, s naglaskom na  metodičke </w:t>
            </w:r>
            <w:proofErr w:type="spellStart"/>
            <w:r w:rsidRPr="00DF4CE5">
              <w:rPr>
                <w:rFonts w:ascii="Cambria" w:eastAsia="Calibri" w:hAnsi="Cambria" w:cs="Calibri"/>
                <w:lang w:val="hr-HR"/>
              </w:rPr>
              <w:t>poddiscipline</w:t>
            </w:r>
            <w:proofErr w:type="spellEnd"/>
            <w:r w:rsidRPr="00DF4CE5">
              <w:rPr>
                <w:rFonts w:ascii="Cambria" w:eastAsia="Calibri" w:hAnsi="Cambria" w:cs="Calibri"/>
                <w:lang w:val="hr-HR"/>
              </w:rPr>
              <w:t xml:space="preserve"> početnog čitanja i pisanja te jezika i književnosti</w:t>
            </w:r>
          </w:p>
        </w:tc>
      </w:tr>
      <w:tr w:rsidR="00F92392" w:rsidRPr="00D0399C" w14:paraId="2FE61D76" w14:textId="77777777" w:rsidTr="007571A6">
        <w:tc>
          <w:tcPr>
            <w:tcW w:w="280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24FDD69" w14:textId="77777777" w:rsidR="00F92392" w:rsidRPr="00DF4CE5" w:rsidRDefault="00F92392" w:rsidP="008B34AF">
            <w:pPr>
              <w:contextualSpacing/>
              <w:jc w:val="both"/>
              <w:rPr>
                <w:rFonts w:ascii="Cambria" w:eastAsia="Calibri" w:hAnsi="Cambria" w:cs="Calibri"/>
                <w:lang w:val="hr-HR"/>
              </w:rPr>
            </w:pPr>
            <w:r w:rsidRPr="00DF4CE5">
              <w:rPr>
                <w:rFonts w:ascii="Cambria" w:eastAsia="Calibri" w:hAnsi="Cambria" w:cs="Calibri"/>
                <w:lang w:val="hr-HR"/>
              </w:rPr>
              <w:t>Ishodi učenja</w:t>
            </w:r>
          </w:p>
        </w:tc>
        <w:tc>
          <w:tcPr>
            <w:tcW w:w="721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CEDD2D8" w14:textId="4D14BAC9" w:rsidR="00F92392" w:rsidRPr="00DF4CE5" w:rsidRDefault="007571A6" w:rsidP="007571A6">
            <w:pPr>
              <w:spacing w:after="0" w:line="240" w:lineRule="auto"/>
              <w:contextualSpacing/>
              <w:jc w:val="both"/>
              <w:rPr>
                <w:rFonts w:ascii="Cambria" w:eastAsia="Calibri" w:hAnsi="Cambria" w:cs="Calibri"/>
                <w:lang w:val="hr-HR"/>
              </w:rPr>
            </w:pPr>
            <w:r>
              <w:rPr>
                <w:rFonts w:ascii="Cambria" w:eastAsia="Calibri" w:hAnsi="Cambria" w:cs="Calibri"/>
                <w:lang w:val="hr-HR"/>
              </w:rPr>
              <w:t xml:space="preserve">1. </w:t>
            </w:r>
            <w:r w:rsidR="00F92392" w:rsidRPr="00DF4CE5">
              <w:rPr>
                <w:rFonts w:ascii="Cambria" w:eastAsia="Calibri" w:hAnsi="Cambria" w:cs="Calibri"/>
                <w:lang w:val="hr-HR"/>
              </w:rPr>
              <w:t xml:space="preserve">pravilno tumačiti temeljne pojmove metodike hrvatskog jezika </w:t>
            </w:r>
          </w:p>
          <w:p w14:paraId="0ABE902C" w14:textId="5D5324E7" w:rsidR="00F92392" w:rsidRPr="00DF4CE5" w:rsidRDefault="007571A6" w:rsidP="007571A6">
            <w:pPr>
              <w:spacing w:after="0" w:line="240" w:lineRule="auto"/>
              <w:contextualSpacing/>
              <w:jc w:val="both"/>
              <w:rPr>
                <w:rFonts w:ascii="Cambria" w:eastAsia="Calibri" w:hAnsi="Cambria" w:cs="Calibri"/>
                <w:lang w:val="hr-HR"/>
              </w:rPr>
            </w:pPr>
            <w:r>
              <w:rPr>
                <w:rFonts w:ascii="Cambria" w:eastAsia="Calibri" w:hAnsi="Cambria" w:cs="Calibri"/>
                <w:lang w:val="hr-HR"/>
              </w:rPr>
              <w:t xml:space="preserve">2. </w:t>
            </w:r>
            <w:r w:rsidR="00F92392" w:rsidRPr="00DF4CE5">
              <w:rPr>
                <w:rFonts w:ascii="Cambria" w:eastAsia="Calibri" w:hAnsi="Cambria" w:cs="Calibri"/>
                <w:lang w:val="hr-HR"/>
              </w:rPr>
              <w:t xml:space="preserve">analizirati stručnu metodičku literaturu kako bi se mogle primijeniti stečene spoznaje u nastavnoj praksi </w:t>
            </w:r>
          </w:p>
          <w:p w14:paraId="4BADAA72" w14:textId="29EDC4DA" w:rsidR="00F92392" w:rsidRPr="00DF4CE5" w:rsidRDefault="007571A6" w:rsidP="007571A6">
            <w:pPr>
              <w:spacing w:after="0" w:line="240" w:lineRule="auto"/>
              <w:contextualSpacing/>
              <w:jc w:val="both"/>
              <w:rPr>
                <w:rFonts w:ascii="Cambria" w:eastAsia="Calibri" w:hAnsi="Cambria" w:cs="Calibri"/>
                <w:lang w:val="hr-HR"/>
              </w:rPr>
            </w:pPr>
            <w:r>
              <w:rPr>
                <w:rFonts w:ascii="Cambria" w:eastAsia="Calibri" w:hAnsi="Cambria" w:cs="Calibri"/>
                <w:lang w:val="hr-HR"/>
              </w:rPr>
              <w:t xml:space="preserve">3. </w:t>
            </w:r>
            <w:r w:rsidR="00F92392" w:rsidRPr="00DF4CE5">
              <w:rPr>
                <w:rFonts w:ascii="Cambria" w:eastAsia="Calibri" w:hAnsi="Cambria" w:cs="Calibri"/>
                <w:lang w:val="hr-HR"/>
              </w:rPr>
              <w:t xml:space="preserve">objasniti sadržaje utvrđenih nastavnim programom </w:t>
            </w:r>
          </w:p>
          <w:p w14:paraId="6070B5AC" w14:textId="1BCA7D98" w:rsidR="00F92392" w:rsidRPr="00DF4CE5" w:rsidRDefault="007571A6" w:rsidP="007571A6">
            <w:pPr>
              <w:spacing w:after="0" w:line="240" w:lineRule="auto"/>
              <w:contextualSpacing/>
              <w:jc w:val="both"/>
              <w:rPr>
                <w:rFonts w:ascii="Cambria" w:eastAsia="Calibri" w:hAnsi="Cambria" w:cs="Calibri"/>
                <w:lang w:val="hr-HR"/>
              </w:rPr>
            </w:pPr>
            <w:r>
              <w:rPr>
                <w:rFonts w:ascii="Cambria" w:eastAsia="Calibri" w:hAnsi="Cambria" w:cs="Calibri"/>
                <w:lang w:val="hr-HR"/>
              </w:rPr>
              <w:t xml:space="preserve">4. </w:t>
            </w:r>
            <w:r w:rsidR="00F92392" w:rsidRPr="00DF4CE5">
              <w:rPr>
                <w:rFonts w:ascii="Cambria" w:eastAsia="Calibri" w:hAnsi="Cambria" w:cs="Calibri"/>
                <w:lang w:val="hr-HR"/>
              </w:rPr>
              <w:t>organizirati sate nastave hrvatskog jezika (struktura nastavnog sata)</w:t>
            </w:r>
          </w:p>
          <w:p w14:paraId="5EF674A7" w14:textId="6CF495AA" w:rsidR="00F92392" w:rsidRPr="00DF4CE5" w:rsidRDefault="007571A6" w:rsidP="007571A6">
            <w:pPr>
              <w:spacing w:after="0" w:line="240" w:lineRule="auto"/>
              <w:contextualSpacing/>
              <w:jc w:val="both"/>
              <w:rPr>
                <w:rFonts w:ascii="Cambria" w:eastAsia="Calibri" w:hAnsi="Cambria" w:cs="Calibri"/>
                <w:lang w:val="hr-HR"/>
              </w:rPr>
            </w:pPr>
            <w:r>
              <w:rPr>
                <w:rFonts w:ascii="Cambria" w:eastAsia="Calibri" w:hAnsi="Cambria" w:cs="Calibri"/>
                <w:lang w:val="hr-HR"/>
              </w:rPr>
              <w:t xml:space="preserve">5. </w:t>
            </w:r>
            <w:r w:rsidR="00F92392" w:rsidRPr="00DF4CE5">
              <w:rPr>
                <w:rFonts w:ascii="Cambria" w:eastAsia="Calibri" w:hAnsi="Cambria" w:cs="Calibri"/>
                <w:lang w:val="hr-HR"/>
              </w:rPr>
              <w:t xml:space="preserve">izvoditi </w:t>
            </w:r>
            <w:r>
              <w:rPr>
                <w:rFonts w:ascii="Cambria" w:eastAsia="Calibri" w:hAnsi="Cambria" w:cs="Calibri"/>
                <w:lang w:val="hr-HR"/>
              </w:rPr>
              <w:t xml:space="preserve">simulaciju </w:t>
            </w:r>
            <w:r w:rsidR="00F92392" w:rsidRPr="00DF4CE5">
              <w:rPr>
                <w:rFonts w:ascii="Cambria" w:eastAsia="Calibri" w:hAnsi="Cambria" w:cs="Calibri"/>
                <w:lang w:val="hr-HR"/>
              </w:rPr>
              <w:t>nastav</w:t>
            </w:r>
            <w:r>
              <w:rPr>
                <w:rFonts w:ascii="Cambria" w:eastAsia="Calibri" w:hAnsi="Cambria" w:cs="Calibri"/>
                <w:lang w:val="hr-HR"/>
              </w:rPr>
              <w:t>e</w:t>
            </w:r>
            <w:r w:rsidR="00F92392" w:rsidRPr="00DF4CE5">
              <w:rPr>
                <w:rFonts w:ascii="Cambria" w:eastAsia="Calibri" w:hAnsi="Cambria" w:cs="Calibri"/>
                <w:lang w:val="hr-HR"/>
              </w:rPr>
              <w:t xml:space="preserve"> hrvatskog jezika u primarnom obrazovanju</w:t>
            </w:r>
          </w:p>
        </w:tc>
      </w:tr>
      <w:tr w:rsidR="00F92392" w:rsidRPr="00D0399C" w14:paraId="79969976" w14:textId="77777777" w:rsidTr="007571A6">
        <w:tc>
          <w:tcPr>
            <w:tcW w:w="2806"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2A04F5D6" w14:textId="77777777" w:rsidR="00F92392" w:rsidRPr="00DF4CE5" w:rsidRDefault="00F92392" w:rsidP="008B34AF">
            <w:pPr>
              <w:contextualSpacing/>
              <w:jc w:val="both"/>
              <w:rPr>
                <w:rFonts w:ascii="Cambria" w:eastAsia="Calibri" w:hAnsi="Cambria" w:cs="Calibri"/>
                <w:lang w:val="hr-HR"/>
              </w:rPr>
            </w:pPr>
            <w:r w:rsidRPr="00DF4CE5">
              <w:rPr>
                <w:rFonts w:ascii="Cambria" w:eastAsia="Calibri" w:hAnsi="Cambria" w:cs="Calibri"/>
                <w:lang w:val="hr-HR"/>
              </w:rPr>
              <w:t>Sadržaj kolegija</w:t>
            </w:r>
          </w:p>
        </w:tc>
        <w:tc>
          <w:tcPr>
            <w:tcW w:w="7214"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6EA320B" w14:textId="77777777" w:rsidR="007571A6" w:rsidRDefault="007571A6" w:rsidP="007571A6">
            <w:pPr>
              <w:spacing w:after="0" w:line="240" w:lineRule="auto"/>
              <w:jc w:val="both"/>
              <w:rPr>
                <w:rFonts w:ascii="Cambria" w:hAnsi="Cambria" w:cs="Calibri"/>
                <w:lang w:val="hr-HR"/>
              </w:rPr>
            </w:pPr>
            <w:r w:rsidRPr="007571A6">
              <w:rPr>
                <w:rFonts w:ascii="Cambria" w:hAnsi="Cambria" w:cs="Calibri"/>
                <w:lang w:val="hr-HR"/>
              </w:rPr>
              <w:t>1.</w:t>
            </w:r>
            <w:r>
              <w:rPr>
                <w:rFonts w:ascii="Cambria" w:hAnsi="Cambria" w:cs="Calibri"/>
                <w:lang w:val="hr-HR"/>
              </w:rPr>
              <w:t xml:space="preserve"> </w:t>
            </w:r>
            <w:r w:rsidR="00F92392" w:rsidRPr="007571A6">
              <w:rPr>
                <w:rFonts w:ascii="Cambria" w:hAnsi="Cambria" w:cs="Calibri"/>
                <w:lang w:val="hr-HR"/>
              </w:rPr>
              <w:t xml:space="preserve">Primjeri nastavnih jedinica (različiti pristupi), mogućnosti međupodručne i </w:t>
            </w:r>
            <w:proofErr w:type="spellStart"/>
            <w:r w:rsidR="00F92392" w:rsidRPr="007571A6">
              <w:rPr>
                <w:rFonts w:ascii="Cambria" w:hAnsi="Cambria" w:cs="Calibri"/>
                <w:lang w:val="hr-HR"/>
              </w:rPr>
              <w:t>međupredmetne</w:t>
            </w:r>
            <w:proofErr w:type="spellEnd"/>
            <w:r w:rsidR="00F92392" w:rsidRPr="007571A6">
              <w:rPr>
                <w:rFonts w:ascii="Cambria" w:hAnsi="Cambria" w:cs="Calibri"/>
                <w:lang w:val="hr-HR"/>
              </w:rPr>
              <w:t xml:space="preserve"> korelacije</w:t>
            </w:r>
          </w:p>
          <w:p w14:paraId="42E9DA4B" w14:textId="77777777" w:rsidR="007571A6" w:rsidRDefault="007571A6" w:rsidP="007571A6">
            <w:pPr>
              <w:spacing w:after="0" w:line="240" w:lineRule="auto"/>
              <w:jc w:val="both"/>
              <w:rPr>
                <w:rFonts w:ascii="Cambria" w:hAnsi="Cambria" w:cs="Calibri"/>
                <w:lang w:val="hr-HR"/>
              </w:rPr>
            </w:pPr>
            <w:r>
              <w:rPr>
                <w:rFonts w:ascii="Cambria" w:hAnsi="Cambria" w:cs="Calibri"/>
                <w:lang w:val="hr-HR"/>
              </w:rPr>
              <w:t xml:space="preserve">2. </w:t>
            </w:r>
            <w:r w:rsidR="00F92392" w:rsidRPr="007571A6">
              <w:rPr>
                <w:rFonts w:ascii="Cambria" w:hAnsi="Cambria" w:cs="Calibri"/>
                <w:lang w:val="hr-HR"/>
              </w:rPr>
              <w:t>Pravilno i kvalitetno razumijevanje sadržaja utvrđenih nastavnim programom</w:t>
            </w:r>
          </w:p>
          <w:p w14:paraId="4758C231" w14:textId="77777777" w:rsidR="007571A6" w:rsidRDefault="007571A6" w:rsidP="007571A6">
            <w:pPr>
              <w:spacing w:after="0" w:line="240" w:lineRule="auto"/>
              <w:jc w:val="both"/>
              <w:rPr>
                <w:rFonts w:ascii="Cambria" w:hAnsi="Cambria" w:cs="Calibri"/>
                <w:lang w:val="hr-HR"/>
              </w:rPr>
            </w:pPr>
            <w:r>
              <w:rPr>
                <w:rFonts w:ascii="Cambria" w:hAnsi="Cambria" w:cs="Calibri"/>
                <w:lang w:val="hr-HR"/>
              </w:rPr>
              <w:t xml:space="preserve">3. </w:t>
            </w:r>
            <w:proofErr w:type="spellStart"/>
            <w:r w:rsidR="00F92392" w:rsidRPr="007571A6">
              <w:rPr>
                <w:rFonts w:ascii="Cambria" w:hAnsi="Cambria" w:cs="Calibri"/>
                <w:lang w:val="it-IT"/>
              </w:rPr>
              <w:t>Analiza</w:t>
            </w:r>
            <w:proofErr w:type="spellEnd"/>
            <w:r w:rsidR="00F92392" w:rsidRPr="007571A6">
              <w:rPr>
                <w:rFonts w:ascii="Cambria" w:hAnsi="Cambria" w:cs="Calibri"/>
                <w:lang w:val="it-IT"/>
              </w:rPr>
              <w:t xml:space="preserve"> </w:t>
            </w:r>
            <w:proofErr w:type="spellStart"/>
            <w:r w:rsidR="00F92392" w:rsidRPr="007571A6">
              <w:rPr>
                <w:rFonts w:ascii="Cambria" w:hAnsi="Cambria" w:cs="Calibri"/>
                <w:lang w:val="it-IT"/>
              </w:rPr>
              <w:t>suvremene</w:t>
            </w:r>
            <w:proofErr w:type="spellEnd"/>
            <w:r w:rsidR="00F92392" w:rsidRPr="007571A6">
              <w:rPr>
                <w:rFonts w:ascii="Cambria" w:hAnsi="Cambria" w:cs="Calibri"/>
                <w:lang w:val="it-IT"/>
              </w:rPr>
              <w:t xml:space="preserve"> </w:t>
            </w:r>
            <w:proofErr w:type="spellStart"/>
            <w:r w:rsidR="00F92392" w:rsidRPr="007571A6">
              <w:rPr>
                <w:rFonts w:ascii="Cambria" w:hAnsi="Cambria" w:cs="Calibri"/>
                <w:lang w:val="it-IT"/>
              </w:rPr>
              <w:t>stručne</w:t>
            </w:r>
            <w:proofErr w:type="spellEnd"/>
            <w:r w:rsidR="00F92392" w:rsidRPr="007571A6">
              <w:rPr>
                <w:rFonts w:ascii="Cambria" w:hAnsi="Cambria" w:cs="Calibri"/>
                <w:lang w:val="it-IT"/>
              </w:rPr>
              <w:t xml:space="preserve"> </w:t>
            </w:r>
            <w:proofErr w:type="spellStart"/>
            <w:r w:rsidR="00F92392" w:rsidRPr="007571A6">
              <w:rPr>
                <w:rFonts w:ascii="Cambria" w:hAnsi="Cambria" w:cs="Calibri"/>
                <w:lang w:val="it-IT"/>
              </w:rPr>
              <w:t>metodičke</w:t>
            </w:r>
            <w:proofErr w:type="spellEnd"/>
            <w:r w:rsidR="00F92392" w:rsidRPr="007571A6">
              <w:rPr>
                <w:rFonts w:ascii="Cambria" w:hAnsi="Cambria" w:cs="Calibri"/>
                <w:lang w:val="it-IT"/>
              </w:rPr>
              <w:t xml:space="preserve"> literature i </w:t>
            </w:r>
            <w:proofErr w:type="spellStart"/>
            <w:r w:rsidR="00F92392" w:rsidRPr="007571A6">
              <w:rPr>
                <w:rFonts w:ascii="Cambria" w:hAnsi="Cambria" w:cs="Calibri"/>
                <w:lang w:val="it-IT"/>
              </w:rPr>
              <w:t>adekvatna</w:t>
            </w:r>
            <w:proofErr w:type="spellEnd"/>
            <w:r w:rsidR="00F92392" w:rsidRPr="007571A6">
              <w:rPr>
                <w:rFonts w:ascii="Cambria" w:hAnsi="Cambria" w:cs="Calibri"/>
                <w:lang w:val="it-IT"/>
              </w:rPr>
              <w:t xml:space="preserve"> </w:t>
            </w:r>
            <w:proofErr w:type="spellStart"/>
            <w:r w:rsidR="00F92392" w:rsidRPr="007571A6">
              <w:rPr>
                <w:rFonts w:ascii="Cambria" w:hAnsi="Cambria" w:cs="Calibri"/>
                <w:lang w:val="it-IT"/>
              </w:rPr>
              <w:t>primjena</w:t>
            </w:r>
            <w:proofErr w:type="spellEnd"/>
            <w:r w:rsidR="00F92392" w:rsidRPr="007571A6">
              <w:rPr>
                <w:rFonts w:ascii="Cambria" w:hAnsi="Cambria" w:cs="Calibri"/>
                <w:lang w:val="it-IT"/>
              </w:rPr>
              <w:t xml:space="preserve"> </w:t>
            </w:r>
            <w:proofErr w:type="spellStart"/>
            <w:r w:rsidR="00F92392" w:rsidRPr="007571A6">
              <w:rPr>
                <w:rFonts w:ascii="Cambria" w:hAnsi="Cambria" w:cs="Calibri"/>
                <w:lang w:val="it-IT"/>
              </w:rPr>
              <w:t>stečenih</w:t>
            </w:r>
            <w:proofErr w:type="spellEnd"/>
            <w:r w:rsidR="00F92392" w:rsidRPr="007571A6">
              <w:rPr>
                <w:rFonts w:ascii="Cambria" w:hAnsi="Cambria" w:cs="Calibri"/>
                <w:lang w:val="it-IT"/>
              </w:rPr>
              <w:t xml:space="preserve"> </w:t>
            </w:r>
            <w:proofErr w:type="spellStart"/>
            <w:r w:rsidR="00F92392" w:rsidRPr="007571A6">
              <w:rPr>
                <w:rFonts w:ascii="Cambria" w:hAnsi="Cambria" w:cs="Calibri"/>
                <w:lang w:val="it-IT"/>
              </w:rPr>
              <w:t>spoznaja</w:t>
            </w:r>
            <w:proofErr w:type="spellEnd"/>
            <w:r w:rsidR="00F92392" w:rsidRPr="007571A6">
              <w:rPr>
                <w:rFonts w:ascii="Cambria" w:hAnsi="Cambria" w:cs="Calibri"/>
                <w:lang w:val="it-IT"/>
              </w:rPr>
              <w:t xml:space="preserve"> u </w:t>
            </w:r>
            <w:proofErr w:type="spellStart"/>
            <w:r w:rsidR="00F92392" w:rsidRPr="007571A6">
              <w:rPr>
                <w:rFonts w:ascii="Cambria" w:hAnsi="Cambria" w:cs="Calibri"/>
                <w:lang w:val="it-IT"/>
              </w:rPr>
              <w:t>nastavnoj</w:t>
            </w:r>
            <w:proofErr w:type="spellEnd"/>
            <w:r w:rsidR="00F92392" w:rsidRPr="007571A6">
              <w:rPr>
                <w:rFonts w:ascii="Cambria" w:hAnsi="Cambria" w:cs="Calibri"/>
                <w:lang w:val="it-IT"/>
              </w:rPr>
              <w:t xml:space="preserve"> </w:t>
            </w:r>
            <w:proofErr w:type="spellStart"/>
            <w:r w:rsidR="00F92392" w:rsidRPr="007571A6">
              <w:rPr>
                <w:rFonts w:ascii="Cambria" w:hAnsi="Cambria" w:cs="Calibri"/>
                <w:lang w:val="it-IT"/>
              </w:rPr>
              <w:t>praksi</w:t>
            </w:r>
            <w:proofErr w:type="spellEnd"/>
          </w:p>
          <w:p w14:paraId="4808590B" w14:textId="77777777" w:rsidR="007571A6" w:rsidRDefault="007571A6" w:rsidP="007571A6">
            <w:pPr>
              <w:spacing w:after="0" w:line="240" w:lineRule="auto"/>
              <w:jc w:val="both"/>
              <w:rPr>
                <w:rFonts w:ascii="Cambria" w:hAnsi="Cambria" w:cs="Calibri"/>
                <w:lang w:val="hr-HR"/>
              </w:rPr>
            </w:pPr>
            <w:r>
              <w:rPr>
                <w:rFonts w:ascii="Cambria" w:hAnsi="Cambria" w:cs="Calibri"/>
                <w:lang w:val="hr-HR"/>
              </w:rPr>
              <w:t xml:space="preserve">4. </w:t>
            </w:r>
            <w:proofErr w:type="spellStart"/>
            <w:r w:rsidR="00F92392" w:rsidRPr="007571A6">
              <w:rPr>
                <w:rFonts w:ascii="Cambria" w:hAnsi="Cambria" w:cs="Calibri"/>
                <w:lang w:val="it-IT"/>
              </w:rPr>
              <w:t>Metodičko</w:t>
            </w:r>
            <w:proofErr w:type="spellEnd"/>
            <w:r w:rsidR="00F92392" w:rsidRPr="007571A6">
              <w:rPr>
                <w:rFonts w:ascii="Cambria" w:hAnsi="Cambria" w:cs="Calibri"/>
                <w:lang w:val="it-IT"/>
              </w:rPr>
              <w:t xml:space="preserve"> </w:t>
            </w:r>
            <w:proofErr w:type="spellStart"/>
            <w:r w:rsidR="00F92392" w:rsidRPr="007571A6">
              <w:rPr>
                <w:rFonts w:ascii="Cambria" w:hAnsi="Cambria" w:cs="Calibri"/>
                <w:lang w:val="it-IT"/>
              </w:rPr>
              <w:t>oblikovanje</w:t>
            </w:r>
            <w:proofErr w:type="spellEnd"/>
            <w:r w:rsidR="00F92392" w:rsidRPr="007571A6">
              <w:rPr>
                <w:rFonts w:ascii="Cambria" w:hAnsi="Cambria" w:cs="Calibri"/>
                <w:lang w:val="it-IT"/>
              </w:rPr>
              <w:t xml:space="preserve"> i </w:t>
            </w:r>
            <w:proofErr w:type="spellStart"/>
            <w:r w:rsidR="00F92392" w:rsidRPr="007571A6">
              <w:rPr>
                <w:rFonts w:ascii="Cambria" w:hAnsi="Cambria" w:cs="Calibri"/>
                <w:lang w:val="it-IT"/>
              </w:rPr>
              <w:t>organizacija</w:t>
            </w:r>
            <w:proofErr w:type="spellEnd"/>
            <w:r w:rsidR="00F92392" w:rsidRPr="007571A6">
              <w:rPr>
                <w:rFonts w:ascii="Cambria" w:hAnsi="Cambria" w:cs="Calibri"/>
                <w:lang w:val="it-IT"/>
              </w:rPr>
              <w:t xml:space="preserve"> </w:t>
            </w:r>
            <w:proofErr w:type="spellStart"/>
            <w:r w:rsidR="00F92392" w:rsidRPr="007571A6">
              <w:rPr>
                <w:rFonts w:ascii="Cambria" w:hAnsi="Cambria" w:cs="Calibri"/>
                <w:lang w:val="it-IT"/>
              </w:rPr>
              <w:t>sata</w:t>
            </w:r>
            <w:proofErr w:type="spellEnd"/>
            <w:r w:rsidR="00F92392" w:rsidRPr="007571A6">
              <w:rPr>
                <w:rFonts w:ascii="Cambria" w:hAnsi="Cambria" w:cs="Calibri"/>
                <w:lang w:val="it-IT"/>
              </w:rPr>
              <w:t xml:space="preserve"> </w:t>
            </w:r>
            <w:proofErr w:type="spellStart"/>
            <w:r w:rsidR="00F92392" w:rsidRPr="007571A6">
              <w:rPr>
                <w:rFonts w:ascii="Cambria" w:hAnsi="Cambria" w:cs="Calibri"/>
                <w:lang w:val="it-IT"/>
              </w:rPr>
              <w:t>nastave</w:t>
            </w:r>
            <w:proofErr w:type="spellEnd"/>
            <w:r w:rsidR="00F92392" w:rsidRPr="007571A6">
              <w:rPr>
                <w:rFonts w:ascii="Cambria" w:hAnsi="Cambria" w:cs="Calibri"/>
                <w:lang w:val="it-IT"/>
              </w:rPr>
              <w:t xml:space="preserve"> </w:t>
            </w:r>
            <w:proofErr w:type="spellStart"/>
            <w:r w:rsidR="00F92392" w:rsidRPr="007571A6">
              <w:rPr>
                <w:rFonts w:ascii="Cambria" w:hAnsi="Cambria" w:cs="Calibri"/>
                <w:lang w:val="it-IT"/>
              </w:rPr>
              <w:t>hrvatskog</w:t>
            </w:r>
            <w:proofErr w:type="spellEnd"/>
            <w:r w:rsidR="00F92392" w:rsidRPr="007571A6">
              <w:rPr>
                <w:rFonts w:ascii="Cambria" w:hAnsi="Cambria" w:cs="Calibri"/>
                <w:lang w:val="it-IT"/>
              </w:rPr>
              <w:t xml:space="preserve"> </w:t>
            </w:r>
            <w:proofErr w:type="spellStart"/>
            <w:r w:rsidR="00F92392" w:rsidRPr="007571A6">
              <w:rPr>
                <w:rFonts w:ascii="Cambria" w:hAnsi="Cambria" w:cs="Calibri"/>
                <w:lang w:val="it-IT"/>
              </w:rPr>
              <w:t>jezika</w:t>
            </w:r>
            <w:proofErr w:type="spellEnd"/>
            <w:r w:rsidR="00F92392" w:rsidRPr="007571A6">
              <w:rPr>
                <w:rFonts w:ascii="Cambria" w:hAnsi="Cambria" w:cs="Calibri"/>
                <w:lang w:val="it-IT"/>
              </w:rPr>
              <w:t xml:space="preserve"> (</w:t>
            </w:r>
            <w:proofErr w:type="spellStart"/>
            <w:r w:rsidR="00F92392" w:rsidRPr="007571A6">
              <w:rPr>
                <w:rFonts w:ascii="Cambria" w:hAnsi="Cambria" w:cs="Calibri"/>
                <w:lang w:val="it-IT"/>
              </w:rPr>
              <w:t>struktura</w:t>
            </w:r>
            <w:proofErr w:type="spellEnd"/>
            <w:r w:rsidR="00F92392" w:rsidRPr="007571A6">
              <w:rPr>
                <w:rFonts w:ascii="Cambria" w:hAnsi="Cambria" w:cs="Calibri"/>
                <w:lang w:val="it-IT"/>
              </w:rPr>
              <w:t xml:space="preserve"> </w:t>
            </w:r>
            <w:proofErr w:type="spellStart"/>
            <w:r w:rsidR="00F92392" w:rsidRPr="007571A6">
              <w:rPr>
                <w:rFonts w:ascii="Cambria" w:hAnsi="Cambria" w:cs="Calibri"/>
                <w:lang w:val="it-IT"/>
              </w:rPr>
              <w:t>nastavnog</w:t>
            </w:r>
            <w:proofErr w:type="spellEnd"/>
            <w:r w:rsidR="00F92392" w:rsidRPr="007571A6">
              <w:rPr>
                <w:rFonts w:ascii="Cambria" w:hAnsi="Cambria" w:cs="Calibri"/>
                <w:lang w:val="it-IT"/>
              </w:rPr>
              <w:t xml:space="preserve"> </w:t>
            </w:r>
            <w:proofErr w:type="spellStart"/>
            <w:r w:rsidR="00F92392" w:rsidRPr="007571A6">
              <w:rPr>
                <w:rFonts w:ascii="Cambria" w:hAnsi="Cambria" w:cs="Calibri"/>
                <w:lang w:val="it-IT"/>
              </w:rPr>
              <w:t>sata</w:t>
            </w:r>
            <w:proofErr w:type="spellEnd"/>
            <w:r w:rsidR="00F92392" w:rsidRPr="007571A6">
              <w:rPr>
                <w:rFonts w:ascii="Cambria" w:hAnsi="Cambria" w:cs="Calibri"/>
                <w:lang w:val="it-IT"/>
              </w:rPr>
              <w:t>)</w:t>
            </w:r>
          </w:p>
          <w:p w14:paraId="467B0C60" w14:textId="7E0A076C" w:rsidR="00F92392" w:rsidRPr="007571A6" w:rsidRDefault="007571A6" w:rsidP="007571A6">
            <w:pPr>
              <w:spacing w:after="0" w:line="240" w:lineRule="auto"/>
              <w:jc w:val="both"/>
              <w:rPr>
                <w:rFonts w:ascii="Cambria" w:hAnsi="Cambria" w:cs="Calibri"/>
                <w:lang w:val="hr-HR"/>
              </w:rPr>
            </w:pPr>
            <w:r>
              <w:rPr>
                <w:rFonts w:ascii="Cambria" w:hAnsi="Cambria" w:cs="Calibri"/>
                <w:lang w:val="hr-HR"/>
              </w:rPr>
              <w:t xml:space="preserve">5. </w:t>
            </w:r>
            <w:r w:rsidR="00F92392" w:rsidRPr="007571A6">
              <w:rPr>
                <w:rFonts w:ascii="Cambria" w:hAnsi="Cambria" w:cs="Calibri"/>
                <w:lang w:val="hr-HR"/>
              </w:rPr>
              <w:t>Samostalno izvođenje nastave hrva</w:t>
            </w:r>
            <w:r w:rsidRPr="007571A6">
              <w:rPr>
                <w:rFonts w:ascii="Cambria" w:hAnsi="Cambria" w:cs="Calibri"/>
                <w:lang w:val="hr-HR"/>
              </w:rPr>
              <w:t>t</w:t>
            </w:r>
            <w:r w:rsidR="00F92392" w:rsidRPr="007571A6">
              <w:rPr>
                <w:rFonts w:ascii="Cambria" w:hAnsi="Cambria" w:cs="Calibri"/>
                <w:lang w:val="hr-HR"/>
              </w:rPr>
              <w:t>skog jezika u primarnom obrazovanju</w:t>
            </w:r>
          </w:p>
        </w:tc>
      </w:tr>
      <w:tr w:rsidR="00F92392" w:rsidRPr="00DF4CE5" w14:paraId="2E2781B2" w14:textId="77777777" w:rsidTr="007571A6">
        <w:tc>
          <w:tcPr>
            <w:tcW w:w="2806"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hideMark/>
          </w:tcPr>
          <w:p w14:paraId="218A34DC" w14:textId="77777777" w:rsidR="00F92392" w:rsidRPr="00DF4CE5" w:rsidRDefault="00F92392" w:rsidP="008B34AF">
            <w:pPr>
              <w:contextualSpacing/>
              <w:jc w:val="both"/>
              <w:rPr>
                <w:rFonts w:ascii="Cambria" w:eastAsia="Calibri" w:hAnsi="Cambria" w:cs="Calibri"/>
                <w:lang w:val="hr-HR"/>
              </w:rPr>
            </w:pPr>
            <w:r w:rsidRPr="00DF4CE5">
              <w:rPr>
                <w:rFonts w:ascii="Cambria" w:eastAsia="Calibri" w:hAnsi="Cambria" w:cs="Calibri"/>
                <w:lang w:val="hr-HR"/>
              </w:rPr>
              <w:lastRenderedPageBreak/>
              <w:t>Planirane aktivnosti,</w:t>
            </w:r>
          </w:p>
          <w:p w14:paraId="4E1AB277" w14:textId="77777777" w:rsidR="00F92392" w:rsidRPr="00DF4CE5" w:rsidRDefault="00F92392" w:rsidP="008B34AF">
            <w:pPr>
              <w:contextualSpacing/>
              <w:jc w:val="both"/>
              <w:rPr>
                <w:rFonts w:ascii="Cambria" w:eastAsia="Calibri" w:hAnsi="Cambria" w:cs="Calibri"/>
                <w:lang w:val="hr-HR"/>
              </w:rPr>
            </w:pPr>
            <w:r w:rsidRPr="00DF4CE5">
              <w:rPr>
                <w:rFonts w:ascii="Cambria" w:eastAsia="Calibri" w:hAnsi="Cambria" w:cs="Calibri"/>
                <w:lang w:val="hr-HR"/>
              </w:rPr>
              <w:t>metode učenja i poučavanja i načini vrednovanja</w:t>
            </w:r>
          </w:p>
        </w:tc>
        <w:tc>
          <w:tcPr>
            <w:tcW w:w="276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13D5133" w14:textId="77777777" w:rsidR="00F92392" w:rsidRPr="00DF4CE5" w:rsidRDefault="00F92392" w:rsidP="008B34AF">
            <w:pPr>
              <w:contextualSpacing/>
              <w:jc w:val="both"/>
              <w:rPr>
                <w:rFonts w:ascii="Cambria" w:eastAsia="Calibri" w:hAnsi="Cambria" w:cs="Calibri"/>
                <w:lang w:val="hr-HR"/>
              </w:rPr>
            </w:pPr>
            <w:r w:rsidRPr="00DF4CE5">
              <w:rPr>
                <w:rFonts w:ascii="Cambria" w:eastAsia="Calibri" w:hAnsi="Cambria" w:cs="Calibri"/>
                <w:bCs/>
                <w:lang w:val="hr-HR"/>
              </w:rPr>
              <w:t>Obveze</w:t>
            </w:r>
          </w:p>
        </w:tc>
        <w:tc>
          <w:tcPr>
            <w:tcW w:w="11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86106CA" w14:textId="77777777" w:rsidR="00F92392" w:rsidRPr="00DF4CE5" w:rsidRDefault="00F92392" w:rsidP="008B34AF">
            <w:pPr>
              <w:contextualSpacing/>
              <w:jc w:val="both"/>
              <w:rPr>
                <w:rFonts w:ascii="Cambria" w:eastAsia="Calibri" w:hAnsi="Cambria" w:cs="Calibri"/>
                <w:lang w:val="hr-HR"/>
              </w:rPr>
            </w:pPr>
            <w:r w:rsidRPr="00DF4CE5">
              <w:rPr>
                <w:rFonts w:ascii="Cambria" w:eastAsia="Calibri" w:hAnsi="Cambria" w:cs="Calibri"/>
                <w:bCs/>
                <w:lang w:val="hr-HR"/>
              </w:rPr>
              <w:t>Ishodi</w:t>
            </w:r>
          </w:p>
        </w:tc>
        <w:tc>
          <w:tcPr>
            <w:tcW w:w="84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D4E5790" w14:textId="77777777" w:rsidR="00F92392" w:rsidRPr="00DF4CE5" w:rsidRDefault="00F92392" w:rsidP="008B34AF">
            <w:pPr>
              <w:contextualSpacing/>
              <w:jc w:val="both"/>
              <w:rPr>
                <w:rFonts w:ascii="Cambria" w:eastAsia="Calibri" w:hAnsi="Cambria" w:cs="Calibri"/>
                <w:lang w:val="hr-HR"/>
              </w:rPr>
            </w:pPr>
            <w:r w:rsidRPr="00DF4CE5">
              <w:rPr>
                <w:rFonts w:ascii="Cambria" w:eastAsia="Calibri" w:hAnsi="Cambria" w:cs="Calibri"/>
                <w:bCs/>
                <w:lang w:val="hr-HR"/>
              </w:rPr>
              <w:t>Sati</w:t>
            </w:r>
          </w:p>
        </w:tc>
        <w:tc>
          <w:tcPr>
            <w:tcW w:w="10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1820388" w14:textId="77777777" w:rsidR="00F92392" w:rsidRPr="00DF4CE5" w:rsidRDefault="00F92392" w:rsidP="008B34AF">
            <w:pPr>
              <w:contextualSpacing/>
              <w:jc w:val="both"/>
              <w:rPr>
                <w:rFonts w:ascii="Cambria" w:eastAsia="Calibri" w:hAnsi="Cambria" w:cs="Calibri"/>
                <w:lang w:val="hr-HR"/>
              </w:rPr>
            </w:pPr>
            <w:r w:rsidRPr="00DF4CE5">
              <w:rPr>
                <w:rFonts w:ascii="Cambria" w:eastAsia="Calibri" w:hAnsi="Cambria" w:cs="Calibri"/>
                <w:bCs/>
                <w:lang w:val="hr-HR"/>
              </w:rPr>
              <w:t>ECTS</w:t>
            </w:r>
          </w:p>
        </w:tc>
        <w:tc>
          <w:tcPr>
            <w:tcW w:w="141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3CE588A" w14:textId="77777777" w:rsidR="00F92392" w:rsidRPr="00DF4CE5" w:rsidRDefault="00F92392" w:rsidP="008B34AF">
            <w:pPr>
              <w:contextualSpacing/>
              <w:jc w:val="both"/>
              <w:rPr>
                <w:rFonts w:ascii="Cambria" w:eastAsia="Calibri" w:hAnsi="Cambria" w:cs="Calibri"/>
                <w:lang w:val="hr-HR"/>
              </w:rPr>
            </w:pPr>
            <w:r w:rsidRPr="00DF4CE5">
              <w:rPr>
                <w:rFonts w:ascii="Cambria" w:eastAsia="Calibri" w:hAnsi="Cambria" w:cs="Calibri"/>
                <w:bCs/>
                <w:lang w:val="hr-HR"/>
              </w:rPr>
              <w:t>Maksimalni udio u ocjeni</w:t>
            </w:r>
            <w:r w:rsidRPr="00DF4CE5">
              <w:rPr>
                <w:rFonts w:ascii="Cambria" w:eastAsia="Calibri" w:hAnsi="Cambria" w:cs="Calibri"/>
                <w:bCs/>
              </w:rPr>
              <w:t xml:space="preserve"> (%)</w:t>
            </w:r>
          </w:p>
        </w:tc>
      </w:tr>
      <w:tr w:rsidR="00772FCB" w:rsidRPr="00DF4CE5" w14:paraId="72E05D43" w14:textId="77777777" w:rsidTr="007571A6">
        <w:tc>
          <w:tcPr>
            <w:tcW w:w="2806" w:type="dxa"/>
            <w:vMerge/>
            <w:tcBorders>
              <w:left w:val="single" w:sz="8" w:space="0" w:color="000000"/>
              <w:right w:val="single" w:sz="8" w:space="0" w:color="000000"/>
            </w:tcBorders>
            <w:vAlign w:val="center"/>
            <w:hideMark/>
          </w:tcPr>
          <w:p w14:paraId="3CA76228" w14:textId="77777777" w:rsidR="00772FCB" w:rsidRPr="00DF4CE5" w:rsidRDefault="00772FCB" w:rsidP="00772FCB">
            <w:pPr>
              <w:contextualSpacing/>
              <w:jc w:val="both"/>
              <w:rPr>
                <w:rFonts w:ascii="Cambria" w:eastAsia="Calibri" w:hAnsi="Cambria" w:cs="Calibri"/>
                <w:lang w:val="hr-HR"/>
              </w:rPr>
            </w:pPr>
          </w:p>
        </w:tc>
        <w:tc>
          <w:tcPr>
            <w:tcW w:w="276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C6D5FDC" w14:textId="39528451" w:rsidR="00772FCB" w:rsidRPr="00DF4CE5" w:rsidRDefault="00772FCB" w:rsidP="00772FCB">
            <w:pPr>
              <w:contextualSpacing/>
              <w:jc w:val="both"/>
              <w:rPr>
                <w:rFonts w:ascii="Cambria" w:eastAsia="Calibri" w:hAnsi="Cambria" w:cs="Calibri"/>
                <w:lang w:val="hr-HR"/>
              </w:rPr>
            </w:pPr>
            <w:proofErr w:type="spellStart"/>
            <w:r w:rsidRPr="00DF4CE5">
              <w:rPr>
                <w:rFonts w:ascii="Cambria" w:eastAsia="Times New Roman" w:hAnsi="Cambria" w:cs="Calibri"/>
              </w:rPr>
              <w:t>aktivnost</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na</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nastavi</w:t>
            </w:r>
            <w:proofErr w:type="spellEnd"/>
          </w:p>
        </w:tc>
        <w:tc>
          <w:tcPr>
            <w:tcW w:w="11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B037821" w14:textId="4A49CD32" w:rsidR="00772FCB" w:rsidRPr="00DF4CE5" w:rsidRDefault="00772FCB" w:rsidP="007571A6">
            <w:pPr>
              <w:contextualSpacing/>
              <w:jc w:val="center"/>
              <w:rPr>
                <w:rFonts w:ascii="Cambria" w:eastAsia="Calibri" w:hAnsi="Cambria" w:cs="Calibri"/>
                <w:lang w:val="hr-HR"/>
              </w:rPr>
            </w:pPr>
            <w:r w:rsidRPr="00DF4CE5">
              <w:rPr>
                <w:rFonts w:ascii="Cambria" w:eastAsia="Calibri" w:hAnsi="Cambria" w:cs="Calibri"/>
                <w:lang w:val="hr-HR"/>
              </w:rPr>
              <w:t>1.</w:t>
            </w:r>
            <w:r w:rsidR="007571A6">
              <w:rPr>
                <w:rFonts w:ascii="Cambria" w:eastAsia="Calibri" w:hAnsi="Cambria" w:cs="Calibri"/>
                <w:lang w:val="hr-HR"/>
              </w:rPr>
              <w:t xml:space="preserve"> – 5</w:t>
            </w:r>
            <w:r w:rsidRPr="00DF4CE5">
              <w:rPr>
                <w:rFonts w:ascii="Cambria" w:eastAsia="Calibri" w:hAnsi="Cambria" w:cs="Calibri"/>
                <w:lang w:val="hr-HR"/>
              </w:rPr>
              <w:t>.</w:t>
            </w:r>
          </w:p>
        </w:tc>
        <w:tc>
          <w:tcPr>
            <w:tcW w:w="84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F24518C" w14:textId="77777777" w:rsidR="00772FCB" w:rsidRPr="00DF4CE5" w:rsidRDefault="00772FCB" w:rsidP="007571A6">
            <w:pPr>
              <w:contextualSpacing/>
              <w:jc w:val="center"/>
              <w:rPr>
                <w:rFonts w:ascii="Cambria" w:eastAsia="Calibri" w:hAnsi="Cambria" w:cs="Calibri"/>
                <w:lang w:val="hr-HR"/>
              </w:rPr>
            </w:pPr>
            <w:r w:rsidRPr="00DF4CE5">
              <w:rPr>
                <w:rFonts w:ascii="Cambria" w:eastAsia="Calibri" w:hAnsi="Cambria" w:cs="Calibri"/>
                <w:lang w:val="hr-HR"/>
              </w:rPr>
              <w:t>45</w:t>
            </w:r>
          </w:p>
        </w:tc>
        <w:tc>
          <w:tcPr>
            <w:tcW w:w="10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F592D3E" w14:textId="55AB947C" w:rsidR="00772FCB" w:rsidRPr="00DF4CE5" w:rsidRDefault="00772FCB" w:rsidP="007571A6">
            <w:pPr>
              <w:contextualSpacing/>
              <w:jc w:val="center"/>
              <w:rPr>
                <w:rFonts w:ascii="Cambria" w:eastAsia="Calibri" w:hAnsi="Cambria" w:cs="Calibri"/>
                <w:lang w:val="hr-HR"/>
              </w:rPr>
            </w:pPr>
            <w:r w:rsidRPr="00DF4CE5">
              <w:rPr>
                <w:rFonts w:ascii="Cambria" w:eastAsia="Calibri" w:hAnsi="Cambria" w:cs="Calibri"/>
                <w:lang w:val="hr-HR"/>
              </w:rPr>
              <w:t>1,5</w:t>
            </w:r>
          </w:p>
        </w:tc>
        <w:tc>
          <w:tcPr>
            <w:tcW w:w="141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B298502" w14:textId="0C51D74D" w:rsidR="00772FCB" w:rsidRPr="00DF4CE5" w:rsidRDefault="00772FCB" w:rsidP="007571A6">
            <w:pPr>
              <w:contextualSpacing/>
              <w:jc w:val="center"/>
              <w:rPr>
                <w:rFonts w:ascii="Cambria" w:eastAsia="Calibri" w:hAnsi="Cambria" w:cs="Calibri"/>
                <w:lang w:val="hr-HR"/>
              </w:rPr>
            </w:pPr>
            <w:r w:rsidRPr="00DF4CE5">
              <w:rPr>
                <w:rFonts w:ascii="Cambria" w:eastAsia="Calibri" w:hAnsi="Cambria" w:cs="Calibri"/>
                <w:lang w:val="hr-HR"/>
              </w:rPr>
              <w:t>20%</w:t>
            </w:r>
          </w:p>
        </w:tc>
      </w:tr>
      <w:tr w:rsidR="00772FCB" w:rsidRPr="00DF4CE5" w14:paraId="6AA7E632" w14:textId="77777777" w:rsidTr="007571A6">
        <w:tc>
          <w:tcPr>
            <w:tcW w:w="2806" w:type="dxa"/>
            <w:vMerge/>
            <w:tcBorders>
              <w:left w:val="single" w:sz="8" w:space="0" w:color="000000"/>
              <w:right w:val="single" w:sz="8" w:space="0" w:color="000000"/>
            </w:tcBorders>
            <w:vAlign w:val="center"/>
            <w:hideMark/>
          </w:tcPr>
          <w:p w14:paraId="2466D4BE" w14:textId="77777777" w:rsidR="00772FCB" w:rsidRPr="00DF4CE5" w:rsidRDefault="00772FCB" w:rsidP="00772FCB">
            <w:pPr>
              <w:contextualSpacing/>
              <w:jc w:val="both"/>
              <w:rPr>
                <w:rFonts w:ascii="Cambria" w:eastAsia="Calibri" w:hAnsi="Cambria" w:cs="Calibri"/>
                <w:lang w:val="hr-HR"/>
              </w:rPr>
            </w:pPr>
          </w:p>
        </w:tc>
        <w:tc>
          <w:tcPr>
            <w:tcW w:w="276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7FC4B2D" w14:textId="77777777" w:rsidR="00772FCB" w:rsidRPr="00DF4CE5" w:rsidRDefault="00772FCB" w:rsidP="00772FCB">
            <w:pPr>
              <w:contextualSpacing/>
              <w:jc w:val="both"/>
              <w:rPr>
                <w:rFonts w:ascii="Cambria" w:eastAsia="Calibri" w:hAnsi="Cambria" w:cs="Calibri"/>
                <w:lang w:val="hr-HR"/>
              </w:rPr>
            </w:pPr>
            <w:proofErr w:type="spellStart"/>
            <w:r w:rsidRPr="00DF4CE5">
              <w:rPr>
                <w:rFonts w:ascii="Cambria" w:eastAsia="Calibri" w:hAnsi="Cambria" w:cs="Calibri"/>
              </w:rPr>
              <w:t>seminarski</w:t>
            </w:r>
            <w:proofErr w:type="spellEnd"/>
            <w:r w:rsidRPr="00DF4CE5">
              <w:rPr>
                <w:rFonts w:ascii="Cambria" w:eastAsia="Calibri" w:hAnsi="Cambria" w:cs="Calibri"/>
              </w:rPr>
              <w:t xml:space="preserve"> rad, </w:t>
            </w:r>
            <w:proofErr w:type="spellStart"/>
            <w:r w:rsidRPr="00DF4CE5">
              <w:rPr>
                <w:rFonts w:ascii="Cambria" w:eastAsia="Calibri" w:hAnsi="Cambria" w:cs="Calibri"/>
              </w:rPr>
              <w:t>vježbe</w:t>
            </w:r>
            <w:proofErr w:type="spellEnd"/>
          </w:p>
        </w:tc>
        <w:tc>
          <w:tcPr>
            <w:tcW w:w="11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4DCC222" w14:textId="3ABD5A2C" w:rsidR="00772FCB" w:rsidRPr="00DF4CE5" w:rsidRDefault="007571A6" w:rsidP="007571A6">
            <w:pPr>
              <w:contextualSpacing/>
              <w:jc w:val="center"/>
              <w:rPr>
                <w:rFonts w:ascii="Cambria" w:eastAsia="Calibri" w:hAnsi="Cambria" w:cs="Calibri"/>
                <w:lang w:val="hr-HR"/>
              </w:rPr>
            </w:pPr>
            <w:r w:rsidRPr="00DF4CE5">
              <w:rPr>
                <w:rFonts w:ascii="Cambria" w:eastAsia="Calibri" w:hAnsi="Cambria" w:cs="Calibri"/>
                <w:lang w:val="hr-HR"/>
              </w:rPr>
              <w:t>1.</w:t>
            </w:r>
            <w:r>
              <w:rPr>
                <w:rFonts w:ascii="Cambria" w:eastAsia="Calibri" w:hAnsi="Cambria" w:cs="Calibri"/>
                <w:lang w:val="hr-HR"/>
              </w:rPr>
              <w:t xml:space="preserve"> – 5</w:t>
            </w:r>
            <w:r w:rsidRPr="00DF4CE5">
              <w:rPr>
                <w:rFonts w:ascii="Cambria" w:eastAsia="Calibri" w:hAnsi="Cambria" w:cs="Calibri"/>
                <w:lang w:val="hr-HR"/>
              </w:rPr>
              <w:t>.</w:t>
            </w:r>
          </w:p>
        </w:tc>
        <w:tc>
          <w:tcPr>
            <w:tcW w:w="84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4106273" w14:textId="4ECF4611" w:rsidR="00772FCB" w:rsidRPr="00DF4CE5" w:rsidRDefault="00772FCB" w:rsidP="007571A6">
            <w:pPr>
              <w:contextualSpacing/>
              <w:jc w:val="center"/>
              <w:rPr>
                <w:rFonts w:ascii="Cambria" w:eastAsia="Calibri" w:hAnsi="Cambria" w:cs="Calibri"/>
                <w:lang w:val="hr-HR"/>
              </w:rPr>
            </w:pPr>
            <w:r w:rsidRPr="00DF4CE5">
              <w:rPr>
                <w:rFonts w:ascii="Cambria" w:eastAsia="Calibri" w:hAnsi="Cambria" w:cs="Calibri"/>
                <w:lang w:val="hr-HR"/>
              </w:rPr>
              <w:t>45</w:t>
            </w:r>
          </w:p>
        </w:tc>
        <w:tc>
          <w:tcPr>
            <w:tcW w:w="10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39DB648" w14:textId="7CFCF3B8" w:rsidR="00772FCB" w:rsidRPr="00DF4CE5" w:rsidRDefault="00772FCB" w:rsidP="007571A6">
            <w:pPr>
              <w:contextualSpacing/>
              <w:jc w:val="center"/>
              <w:rPr>
                <w:rFonts w:ascii="Cambria" w:eastAsia="Calibri" w:hAnsi="Cambria" w:cs="Calibri"/>
                <w:lang w:val="hr-HR"/>
              </w:rPr>
            </w:pPr>
            <w:r w:rsidRPr="00DF4CE5">
              <w:rPr>
                <w:rFonts w:ascii="Cambria" w:eastAsia="Calibri" w:hAnsi="Cambria" w:cs="Calibri"/>
                <w:lang w:val="hr-HR"/>
              </w:rPr>
              <w:t>1,5</w:t>
            </w:r>
          </w:p>
        </w:tc>
        <w:tc>
          <w:tcPr>
            <w:tcW w:w="141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466E690" w14:textId="0D39227A" w:rsidR="00772FCB" w:rsidRPr="00DF4CE5" w:rsidRDefault="00772FCB" w:rsidP="007571A6">
            <w:pPr>
              <w:contextualSpacing/>
              <w:jc w:val="center"/>
              <w:rPr>
                <w:rFonts w:ascii="Cambria" w:eastAsia="Calibri" w:hAnsi="Cambria" w:cs="Calibri"/>
                <w:lang w:val="hr-HR"/>
              </w:rPr>
            </w:pPr>
            <w:r w:rsidRPr="00DF4CE5">
              <w:rPr>
                <w:rFonts w:ascii="Cambria" w:eastAsia="Calibri" w:hAnsi="Cambria" w:cs="Calibri"/>
                <w:lang w:val="hr-HR"/>
              </w:rPr>
              <w:t>20%</w:t>
            </w:r>
          </w:p>
        </w:tc>
      </w:tr>
      <w:tr w:rsidR="00772FCB" w:rsidRPr="00DF4CE5" w14:paraId="5A19DB01" w14:textId="77777777" w:rsidTr="007571A6">
        <w:tc>
          <w:tcPr>
            <w:tcW w:w="2806" w:type="dxa"/>
            <w:vMerge/>
            <w:tcBorders>
              <w:left w:val="single" w:sz="8" w:space="0" w:color="000000"/>
              <w:right w:val="single" w:sz="8" w:space="0" w:color="000000"/>
            </w:tcBorders>
            <w:vAlign w:val="center"/>
            <w:hideMark/>
          </w:tcPr>
          <w:p w14:paraId="4636FBBB" w14:textId="77777777" w:rsidR="00772FCB" w:rsidRPr="00DF4CE5" w:rsidRDefault="00772FCB" w:rsidP="00772FCB">
            <w:pPr>
              <w:contextualSpacing/>
              <w:jc w:val="both"/>
              <w:rPr>
                <w:rFonts w:ascii="Cambria" w:eastAsia="Calibri" w:hAnsi="Cambria" w:cs="Calibri"/>
                <w:lang w:val="hr-HR"/>
              </w:rPr>
            </w:pPr>
          </w:p>
        </w:tc>
        <w:tc>
          <w:tcPr>
            <w:tcW w:w="276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6642088" w14:textId="77777777" w:rsidR="00772FCB" w:rsidRPr="00DF4CE5" w:rsidRDefault="00772FCB" w:rsidP="00772FCB">
            <w:pPr>
              <w:contextualSpacing/>
              <w:jc w:val="both"/>
              <w:rPr>
                <w:rFonts w:ascii="Cambria" w:eastAsia="Calibri" w:hAnsi="Cambria" w:cs="Calibri"/>
                <w:lang w:val="hr-HR"/>
              </w:rPr>
            </w:pPr>
            <w:r w:rsidRPr="00DF4CE5">
              <w:rPr>
                <w:rFonts w:ascii="Cambria" w:eastAsia="Calibri" w:hAnsi="Cambria" w:cs="Calibri"/>
                <w:lang w:val="hr-HR"/>
              </w:rPr>
              <w:t>praktični rad</w:t>
            </w:r>
          </w:p>
        </w:tc>
        <w:tc>
          <w:tcPr>
            <w:tcW w:w="11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A40D4F4" w14:textId="63EC69A6" w:rsidR="00772FCB" w:rsidRPr="00DF4CE5" w:rsidRDefault="007571A6" w:rsidP="007571A6">
            <w:pPr>
              <w:contextualSpacing/>
              <w:jc w:val="center"/>
              <w:rPr>
                <w:rFonts w:ascii="Cambria" w:eastAsia="Calibri" w:hAnsi="Cambria" w:cs="Calibri"/>
                <w:lang w:val="hr-HR"/>
              </w:rPr>
            </w:pPr>
            <w:r w:rsidRPr="00DF4CE5">
              <w:rPr>
                <w:rFonts w:ascii="Cambria" w:eastAsia="Calibri" w:hAnsi="Cambria" w:cs="Calibri"/>
                <w:lang w:val="hr-HR"/>
              </w:rPr>
              <w:t>1.</w:t>
            </w:r>
            <w:r>
              <w:rPr>
                <w:rFonts w:ascii="Cambria" w:eastAsia="Calibri" w:hAnsi="Cambria" w:cs="Calibri"/>
                <w:lang w:val="hr-HR"/>
              </w:rPr>
              <w:t xml:space="preserve"> – 5</w:t>
            </w:r>
            <w:r w:rsidRPr="00DF4CE5">
              <w:rPr>
                <w:rFonts w:ascii="Cambria" w:eastAsia="Calibri" w:hAnsi="Cambria" w:cs="Calibri"/>
                <w:lang w:val="hr-HR"/>
              </w:rPr>
              <w:t>.</w:t>
            </w:r>
          </w:p>
        </w:tc>
        <w:tc>
          <w:tcPr>
            <w:tcW w:w="84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4365C6B" w14:textId="3B227CAB" w:rsidR="00772FCB" w:rsidRPr="00DF4CE5" w:rsidRDefault="00772FCB" w:rsidP="007571A6">
            <w:pPr>
              <w:contextualSpacing/>
              <w:jc w:val="center"/>
              <w:rPr>
                <w:rFonts w:ascii="Cambria" w:eastAsia="Calibri" w:hAnsi="Cambria" w:cs="Calibri"/>
                <w:lang w:val="hr-HR"/>
              </w:rPr>
            </w:pPr>
            <w:r w:rsidRPr="00DF4CE5">
              <w:rPr>
                <w:rFonts w:ascii="Cambria" w:eastAsia="Calibri" w:hAnsi="Cambria" w:cs="Calibri"/>
                <w:lang w:val="hr-HR"/>
              </w:rPr>
              <w:t>30</w:t>
            </w:r>
          </w:p>
        </w:tc>
        <w:tc>
          <w:tcPr>
            <w:tcW w:w="10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4847585" w14:textId="7F9E0282" w:rsidR="00772FCB" w:rsidRPr="00DF4CE5" w:rsidRDefault="00772FCB" w:rsidP="007571A6">
            <w:pPr>
              <w:contextualSpacing/>
              <w:jc w:val="center"/>
              <w:rPr>
                <w:rFonts w:ascii="Cambria" w:eastAsia="Calibri" w:hAnsi="Cambria" w:cs="Calibri"/>
                <w:lang w:val="hr-HR"/>
              </w:rPr>
            </w:pPr>
            <w:r w:rsidRPr="00DF4CE5">
              <w:rPr>
                <w:rFonts w:ascii="Cambria" w:eastAsia="Calibri" w:hAnsi="Cambria" w:cs="Calibri"/>
                <w:lang w:val="hr-HR"/>
              </w:rPr>
              <w:t>1</w:t>
            </w:r>
          </w:p>
        </w:tc>
        <w:tc>
          <w:tcPr>
            <w:tcW w:w="141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89D6ADF" w14:textId="6BD32312" w:rsidR="00772FCB" w:rsidRPr="00DF4CE5" w:rsidRDefault="00772FCB" w:rsidP="007571A6">
            <w:pPr>
              <w:contextualSpacing/>
              <w:jc w:val="center"/>
              <w:rPr>
                <w:rFonts w:ascii="Cambria" w:eastAsia="Calibri" w:hAnsi="Cambria" w:cs="Calibri"/>
                <w:lang w:val="hr-HR"/>
              </w:rPr>
            </w:pPr>
            <w:r w:rsidRPr="00DF4CE5">
              <w:rPr>
                <w:rFonts w:ascii="Cambria" w:eastAsia="Calibri" w:hAnsi="Cambria" w:cs="Calibri"/>
                <w:lang w:val="hr-HR"/>
              </w:rPr>
              <w:t>30%</w:t>
            </w:r>
          </w:p>
        </w:tc>
      </w:tr>
      <w:tr w:rsidR="00772FCB" w:rsidRPr="00DF4CE5" w14:paraId="68E3779A" w14:textId="77777777" w:rsidTr="007571A6">
        <w:tc>
          <w:tcPr>
            <w:tcW w:w="2806" w:type="dxa"/>
            <w:vMerge/>
            <w:tcBorders>
              <w:left w:val="single" w:sz="8" w:space="0" w:color="000000"/>
              <w:right w:val="single" w:sz="8" w:space="0" w:color="000000"/>
            </w:tcBorders>
            <w:vAlign w:val="center"/>
            <w:hideMark/>
          </w:tcPr>
          <w:p w14:paraId="2CF3A814" w14:textId="77777777" w:rsidR="00772FCB" w:rsidRPr="00DF4CE5" w:rsidRDefault="00772FCB" w:rsidP="00772FCB">
            <w:pPr>
              <w:contextualSpacing/>
              <w:jc w:val="both"/>
              <w:rPr>
                <w:rFonts w:ascii="Cambria" w:eastAsia="Calibri" w:hAnsi="Cambria" w:cs="Calibri"/>
                <w:lang w:val="hr-HR"/>
              </w:rPr>
            </w:pPr>
          </w:p>
        </w:tc>
        <w:tc>
          <w:tcPr>
            <w:tcW w:w="276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A83E4A1" w14:textId="77777777" w:rsidR="00772FCB" w:rsidRPr="00DF4CE5" w:rsidRDefault="00772FCB" w:rsidP="00772FCB">
            <w:pPr>
              <w:contextualSpacing/>
              <w:jc w:val="both"/>
              <w:rPr>
                <w:rFonts w:ascii="Cambria" w:eastAsia="Calibri" w:hAnsi="Cambria" w:cs="Calibri"/>
                <w:lang w:val="hr-HR"/>
              </w:rPr>
            </w:pPr>
            <w:r w:rsidRPr="00DF4CE5">
              <w:rPr>
                <w:rFonts w:ascii="Cambria" w:eastAsia="Calibri" w:hAnsi="Cambria" w:cs="Calibri"/>
                <w:lang w:val="hr-HR"/>
              </w:rPr>
              <w:t>priprema i polaganje ispita</w:t>
            </w:r>
          </w:p>
        </w:tc>
        <w:tc>
          <w:tcPr>
            <w:tcW w:w="11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0E6B467" w14:textId="1DF54E78" w:rsidR="00772FCB" w:rsidRPr="00DF4CE5" w:rsidRDefault="007571A6" w:rsidP="007571A6">
            <w:pPr>
              <w:contextualSpacing/>
              <w:jc w:val="center"/>
              <w:rPr>
                <w:rFonts w:ascii="Cambria" w:eastAsia="Calibri" w:hAnsi="Cambria" w:cs="Calibri"/>
                <w:lang w:val="hr-HR"/>
              </w:rPr>
            </w:pPr>
            <w:r w:rsidRPr="00DF4CE5">
              <w:rPr>
                <w:rFonts w:ascii="Cambria" w:eastAsia="Calibri" w:hAnsi="Cambria" w:cs="Calibri"/>
                <w:lang w:val="hr-HR"/>
              </w:rPr>
              <w:t>1.</w:t>
            </w:r>
            <w:r>
              <w:rPr>
                <w:rFonts w:ascii="Cambria" w:eastAsia="Calibri" w:hAnsi="Cambria" w:cs="Calibri"/>
                <w:lang w:val="hr-HR"/>
              </w:rPr>
              <w:t xml:space="preserve"> – 5</w:t>
            </w:r>
            <w:r w:rsidRPr="00DF4CE5">
              <w:rPr>
                <w:rFonts w:ascii="Cambria" w:eastAsia="Calibri" w:hAnsi="Cambria" w:cs="Calibri"/>
                <w:lang w:val="hr-HR"/>
              </w:rPr>
              <w:t>.</w:t>
            </w:r>
          </w:p>
        </w:tc>
        <w:tc>
          <w:tcPr>
            <w:tcW w:w="84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DA3AAEF" w14:textId="69F1B5F5" w:rsidR="00772FCB" w:rsidRPr="00DF4CE5" w:rsidRDefault="00772FCB" w:rsidP="007571A6">
            <w:pPr>
              <w:contextualSpacing/>
              <w:jc w:val="center"/>
              <w:rPr>
                <w:rFonts w:ascii="Cambria" w:eastAsia="Calibri" w:hAnsi="Cambria" w:cs="Calibri"/>
                <w:lang w:val="hr-HR"/>
              </w:rPr>
            </w:pPr>
            <w:r w:rsidRPr="00DF4CE5">
              <w:rPr>
                <w:rFonts w:ascii="Cambria" w:eastAsia="Calibri" w:hAnsi="Cambria" w:cs="Calibri"/>
                <w:lang w:val="hr-HR"/>
              </w:rPr>
              <w:t>30</w:t>
            </w:r>
          </w:p>
        </w:tc>
        <w:tc>
          <w:tcPr>
            <w:tcW w:w="10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AE172A8" w14:textId="66D01ED8" w:rsidR="00772FCB" w:rsidRPr="00DF4CE5" w:rsidRDefault="00772FCB" w:rsidP="007571A6">
            <w:pPr>
              <w:contextualSpacing/>
              <w:jc w:val="center"/>
              <w:rPr>
                <w:rFonts w:ascii="Cambria" w:eastAsia="Calibri" w:hAnsi="Cambria" w:cs="Calibri"/>
                <w:lang w:val="hr-HR"/>
              </w:rPr>
            </w:pPr>
            <w:r w:rsidRPr="00DF4CE5">
              <w:rPr>
                <w:rFonts w:ascii="Cambria" w:eastAsia="Calibri" w:hAnsi="Cambria" w:cs="Calibri"/>
                <w:lang w:val="hr-HR"/>
              </w:rPr>
              <w:t>1</w:t>
            </w:r>
          </w:p>
        </w:tc>
        <w:tc>
          <w:tcPr>
            <w:tcW w:w="141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5F87D15" w14:textId="593C28B9" w:rsidR="00772FCB" w:rsidRPr="00DF4CE5" w:rsidRDefault="00772FCB" w:rsidP="007571A6">
            <w:pPr>
              <w:contextualSpacing/>
              <w:jc w:val="center"/>
              <w:rPr>
                <w:rFonts w:ascii="Cambria" w:eastAsia="Calibri" w:hAnsi="Cambria" w:cs="Calibri"/>
                <w:lang w:val="hr-HR"/>
              </w:rPr>
            </w:pPr>
            <w:r w:rsidRPr="00DF4CE5">
              <w:rPr>
                <w:rFonts w:ascii="Cambria" w:eastAsia="Calibri" w:hAnsi="Cambria" w:cs="Calibri"/>
                <w:lang w:val="hr-HR"/>
              </w:rPr>
              <w:t>30%</w:t>
            </w:r>
          </w:p>
        </w:tc>
      </w:tr>
      <w:tr w:rsidR="00772FCB" w:rsidRPr="00DF4CE5" w14:paraId="36EDAB5E" w14:textId="77777777" w:rsidTr="007571A6">
        <w:tc>
          <w:tcPr>
            <w:tcW w:w="2806" w:type="dxa"/>
            <w:vMerge/>
            <w:tcBorders>
              <w:left w:val="single" w:sz="8" w:space="0" w:color="000000"/>
              <w:right w:val="single" w:sz="8" w:space="0" w:color="000000"/>
            </w:tcBorders>
            <w:vAlign w:val="center"/>
            <w:hideMark/>
          </w:tcPr>
          <w:p w14:paraId="79703B23" w14:textId="77777777" w:rsidR="00772FCB" w:rsidRPr="00DF4CE5" w:rsidRDefault="00772FCB" w:rsidP="00772FCB">
            <w:pPr>
              <w:contextualSpacing/>
              <w:jc w:val="both"/>
              <w:rPr>
                <w:rFonts w:ascii="Cambria" w:eastAsia="Calibri" w:hAnsi="Cambria" w:cs="Calibri"/>
                <w:lang w:val="hr-HR"/>
              </w:rPr>
            </w:pPr>
          </w:p>
        </w:tc>
        <w:tc>
          <w:tcPr>
            <w:tcW w:w="3939"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199B901" w14:textId="77777777" w:rsidR="00772FCB" w:rsidRPr="00DF4CE5" w:rsidRDefault="00772FCB" w:rsidP="00772FCB">
            <w:pPr>
              <w:contextualSpacing/>
              <w:jc w:val="both"/>
              <w:rPr>
                <w:rFonts w:ascii="Cambria" w:eastAsia="Calibri" w:hAnsi="Cambria" w:cs="Calibri"/>
                <w:lang w:val="hr-HR"/>
              </w:rPr>
            </w:pPr>
            <w:proofErr w:type="spellStart"/>
            <w:r w:rsidRPr="00DF4CE5">
              <w:rPr>
                <w:rFonts w:ascii="Cambria" w:eastAsia="Calibri" w:hAnsi="Cambria" w:cs="Calibri"/>
              </w:rPr>
              <w:t>ukupno</w:t>
            </w:r>
            <w:proofErr w:type="spellEnd"/>
          </w:p>
        </w:tc>
        <w:tc>
          <w:tcPr>
            <w:tcW w:w="84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15B4EFA" w14:textId="77777777" w:rsidR="00772FCB" w:rsidRPr="00DF4CE5" w:rsidRDefault="00772FCB" w:rsidP="007571A6">
            <w:pPr>
              <w:contextualSpacing/>
              <w:jc w:val="center"/>
              <w:rPr>
                <w:rFonts w:ascii="Cambria" w:eastAsia="Calibri" w:hAnsi="Cambria" w:cs="Calibri"/>
                <w:lang w:val="hr-HR"/>
              </w:rPr>
            </w:pPr>
            <w:r w:rsidRPr="00DF4CE5">
              <w:rPr>
                <w:rFonts w:ascii="Cambria" w:eastAsia="Calibri" w:hAnsi="Cambria" w:cs="Calibri"/>
                <w:lang w:val="hr-HR"/>
              </w:rPr>
              <w:t>150</w:t>
            </w:r>
          </w:p>
        </w:tc>
        <w:tc>
          <w:tcPr>
            <w:tcW w:w="10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6F1B114" w14:textId="1B1A1BAA" w:rsidR="00772FCB" w:rsidRPr="00DF4CE5" w:rsidRDefault="00772FCB" w:rsidP="007571A6">
            <w:pPr>
              <w:contextualSpacing/>
              <w:jc w:val="center"/>
              <w:rPr>
                <w:rFonts w:ascii="Cambria" w:eastAsia="Calibri" w:hAnsi="Cambria" w:cs="Calibri"/>
                <w:lang w:val="hr-HR"/>
              </w:rPr>
            </w:pPr>
            <w:r w:rsidRPr="00DF4CE5">
              <w:rPr>
                <w:rFonts w:ascii="Cambria" w:eastAsia="Calibri" w:hAnsi="Cambria" w:cs="Calibri"/>
                <w:lang w:val="hr-HR"/>
              </w:rPr>
              <w:t>5</w:t>
            </w:r>
          </w:p>
        </w:tc>
        <w:tc>
          <w:tcPr>
            <w:tcW w:w="141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1230118" w14:textId="73F31C64" w:rsidR="00772FCB" w:rsidRPr="00DF4CE5" w:rsidRDefault="00772FCB" w:rsidP="007571A6">
            <w:pPr>
              <w:contextualSpacing/>
              <w:jc w:val="center"/>
              <w:rPr>
                <w:rFonts w:ascii="Cambria" w:eastAsia="Calibri" w:hAnsi="Cambria" w:cs="Calibri"/>
                <w:lang w:val="hr-HR"/>
              </w:rPr>
            </w:pPr>
            <w:r w:rsidRPr="00DF4CE5">
              <w:rPr>
                <w:rFonts w:ascii="Cambria" w:eastAsia="Calibri" w:hAnsi="Cambria" w:cs="Calibri"/>
                <w:lang w:val="hr-HR"/>
              </w:rPr>
              <w:t>100</w:t>
            </w:r>
            <w:r w:rsidR="007571A6">
              <w:rPr>
                <w:rFonts w:ascii="Cambria" w:eastAsia="Calibri" w:hAnsi="Cambria" w:cs="Calibri"/>
                <w:lang w:val="hr-HR"/>
              </w:rPr>
              <w:t>%</w:t>
            </w:r>
          </w:p>
        </w:tc>
      </w:tr>
      <w:tr w:rsidR="00772FCB" w:rsidRPr="00D0399C" w14:paraId="0E441252" w14:textId="77777777" w:rsidTr="007571A6">
        <w:tc>
          <w:tcPr>
            <w:tcW w:w="2806" w:type="dxa"/>
            <w:vMerge/>
            <w:tcBorders>
              <w:left w:val="single" w:sz="8" w:space="0" w:color="000000"/>
              <w:bottom w:val="single" w:sz="8" w:space="0" w:color="000000"/>
              <w:right w:val="single" w:sz="8" w:space="0" w:color="000000"/>
            </w:tcBorders>
            <w:vAlign w:val="center"/>
          </w:tcPr>
          <w:p w14:paraId="56D41116" w14:textId="77777777" w:rsidR="00772FCB" w:rsidRPr="00DF4CE5" w:rsidRDefault="00772FCB" w:rsidP="00772FCB">
            <w:pPr>
              <w:contextualSpacing/>
              <w:jc w:val="both"/>
              <w:rPr>
                <w:rFonts w:ascii="Cambria" w:eastAsia="Calibri" w:hAnsi="Cambria" w:cs="Calibri"/>
                <w:lang w:val="hr-HR"/>
              </w:rPr>
            </w:pPr>
          </w:p>
        </w:tc>
        <w:tc>
          <w:tcPr>
            <w:tcW w:w="7214" w:type="dxa"/>
            <w:gridSpan w:val="7"/>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2EFC3D7E" w14:textId="50952AB4" w:rsidR="00772FCB" w:rsidRPr="00DF4CE5" w:rsidRDefault="00772FCB" w:rsidP="00772FCB">
            <w:pPr>
              <w:contextualSpacing/>
              <w:jc w:val="both"/>
              <w:rPr>
                <w:rFonts w:ascii="Cambria" w:eastAsia="Calibri" w:hAnsi="Cambria" w:cs="Calibri"/>
                <w:lang w:val="hr-HR"/>
              </w:rPr>
            </w:pPr>
            <w:r w:rsidRPr="00DF4CE5">
              <w:rPr>
                <w:rFonts w:ascii="Cambria" w:eastAsia="Calibri" w:hAnsi="Cambria" w:cs="Calibri"/>
                <w:lang w:val="hr-HR"/>
              </w:rPr>
              <w:t>Dodatna pojašnjenja (kriteriji ocjenjivanja):</w:t>
            </w:r>
          </w:p>
          <w:p w14:paraId="48F5AA10" w14:textId="05941755" w:rsidR="00772FCB" w:rsidRPr="00DF4CE5" w:rsidRDefault="00772FCB" w:rsidP="00772FCB">
            <w:pPr>
              <w:contextualSpacing/>
              <w:jc w:val="both"/>
              <w:rPr>
                <w:rFonts w:ascii="Cambria" w:eastAsia="Calibri" w:hAnsi="Cambria" w:cs="Calibri"/>
                <w:lang w:val="hr-HR"/>
              </w:rPr>
            </w:pPr>
            <w:r w:rsidRPr="00DF4CE5">
              <w:rPr>
                <w:rFonts w:ascii="Cambria" w:eastAsia="Calibri" w:hAnsi="Cambria" w:cs="Calibri"/>
                <w:lang w:val="hr-HR"/>
              </w:rPr>
              <w:t xml:space="preserve">Pohađanje nastave je obvezno. Tolerira se 30% izostanaka i njih nije potrebno opravdati. Studenti su svakog tjedna dužni izraditi samostalne zadatke te prezentirati ih na sljedećem susretu. U semestru se pišu dva kolokvija (poznavanje pravopisnih normi hrvatskog jezika i gramatika koja je sadržaj rada u primarnom obrazovanju)  Na kraju semestra pristupa se završnome ispitu (pismenome). U konačnu ocjenu ulaze ocjena seminarskoga rada, vježbi, kolokvija  te aktivnost na nastavi koja uključuje analizu samostalnih zadataka. </w:t>
            </w:r>
          </w:p>
          <w:p w14:paraId="32933CA4" w14:textId="1D4FC67D" w:rsidR="00772FCB" w:rsidRPr="00DF4CE5" w:rsidRDefault="00772FCB" w:rsidP="00772FCB">
            <w:pPr>
              <w:contextualSpacing/>
              <w:jc w:val="both"/>
              <w:rPr>
                <w:rFonts w:ascii="Cambria" w:eastAsia="Calibri" w:hAnsi="Cambria" w:cs="Calibri"/>
                <w:lang w:val="hr-HR"/>
              </w:rPr>
            </w:pPr>
            <w:r w:rsidRPr="00DF4CE5">
              <w:rPr>
                <w:rFonts w:ascii="Cambria" w:eastAsia="Calibri" w:hAnsi="Cambria" w:cs="Calibri"/>
                <w:lang w:val="hr-HR"/>
              </w:rPr>
              <w:t xml:space="preserve">Aktivnosti u nastavi ocjenjuju se na sljedeći način: </w:t>
            </w:r>
          </w:p>
          <w:p w14:paraId="558A251C" w14:textId="77777777" w:rsidR="00772FCB" w:rsidRPr="00DF4CE5" w:rsidRDefault="00772FCB" w:rsidP="00772FCB">
            <w:pPr>
              <w:contextualSpacing/>
              <w:jc w:val="both"/>
              <w:rPr>
                <w:rFonts w:ascii="Cambria" w:eastAsia="Calibri" w:hAnsi="Cambria" w:cs="Calibri"/>
                <w:lang w:val="hr-HR"/>
              </w:rPr>
            </w:pPr>
            <w:r w:rsidRPr="00DF4CE5">
              <w:rPr>
                <w:rFonts w:ascii="Cambria" w:eastAsia="Calibri" w:hAnsi="Cambria" w:cs="Calibri"/>
                <w:lang w:val="hr-HR"/>
              </w:rPr>
              <w:t xml:space="preserve">0% = Ne dolazi na nastavu. </w:t>
            </w:r>
          </w:p>
          <w:p w14:paraId="2FBE9297" w14:textId="77777777" w:rsidR="00772FCB" w:rsidRPr="00DF4CE5" w:rsidRDefault="00772FCB" w:rsidP="00772FCB">
            <w:pPr>
              <w:contextualSpacing/>
              <w:jc w:val="both"/>
              <w:rPr>
                <w:rFonts w:ascii="Cambria" w:eastAsia="Calibri" w:hAnsi="Cambria" w:cs="Calibri"/>
                <w:lang w:val="hr-HR"/>
              </w:rPr>
            </w:pPr>
            <w:r w:rsidRPr="00DF4CE5">
              <w:rPr>
                <w:rFonts w:ascii="Cambria" w:eastAsia="Calibri" w:hAnsi="Cambria" w:cs="Calibri"/>
                <w:lang w:val="hr-HR"/>
              </w:rPr>
              <w:t xml:space="preserve">4% = Prisustvuje nastavi, no ne sudjeluje u radu, tj. samostalni zadaci nisu napisane više od 3 puta. </w:t>
            </w:r>
          </w:p>
          <w:p w14:paraId="3D0A8884" w14:textId="77777777" w:rsidR="00772FCB" w:rsidRPr="00DF4CE5" w:rsidRDefault="00772FCB" w:rsidP="00772FCB">
            <w:pPr>
              <w:contextualSpacing/>
              <w:jc w:val="both"/>
              <w:rPr>
                <w:rFonts w:ascii="Cambria" w:eastAsia="Calibri" w:hAnsi="Cambria" w:cs="Calibri"/>
                <w:lang w:val="hr-HR"/>
              </w:rPr>
            </w:pPr>
            <w:r w:rsidRPr="00DF4CE5">
              <w:rPr>
                <w:rFonts w:ascii="Cambria" w:eastAsia="Calibri" w:hAnsi="Cambria" w:cs="Calibri"/>
                <w:lang w:val="hr-HR"/>
              </w:rPr>
              <w:t xml:space="preserve">8% = Pripremljen/-na je, no samostalni zadaci su nepotpuni − uz veće nedostatke (samostalni zadaci redovito s pogreškama, više od 3 puta).  12% = Pripremljen/-na je, no samostalni zadaci su nepotpuni − uz manje nedostatke (samostalni zadaci s tek ponekim pogreškama).  </w:t>
            </w:r>
          </w:p>
          <w:p w14:paraId="58240BBD" w14:textId="77777777" w:rsidR="00772FCB" w:rsidRPr="00DF4CE5" w:rsidRDefault="00772FCB" w:rsidP="00772FCB">
            <w:pPr>
              <w:contextualSpacing/>
              <w:jc w:val="both"/>
              <w:rPr>
                <w:rFonts w:ascii="Cambria" w:eastAsia="Calibri" w:hAnsi="Cambria" w:cs="Calibri"/>
                <w:lang w:val="hr-HR"/>
              </w:rPr>
            </w:pPr>
            <w:r w:rsidRPr="00DF4CE5">
              <w:rPr>
                <w:rFonts w:ascii="Cambria" w:eastAsia="Calibri" w:hAnsi="Cambria" w:cs="Calibri"/>
                <w:lang w:val="hr-HR"/>
              </w:rPr>
              <w:t xml:space="preserve">16% = Redovito je pripremljen/-na, samostalni zadaci su korektni, dobrovoljno sudjeluje u nastavnome procesu. </w:t>
            </w:r>
          </w:p>
          <w:p w14:paraId="1DF6DD6C" w14:textId="42A1836E" w:rsidR="00772FCB" w:rsidRPr="00DF4CE5" w:rsidRDefault="00772FCB" w:rsidP="00772FCB">
            <w:pPr>
              <w:contextualSpacing/>
              <w:jc w:val="both"/>
              <w:rPr>
                <w:rFonts w:ascii="Cambria" w:eastAsia="Calibri" w:hAnsi="Cambria" w:cs="Calibri"/>
                <w:lang w:val="hr-HR"/>
              </w:rPr>
            </w:pPr>
            <w:r w:rsidRPr="00DF4CE5">
              <w:rPr>
                <w:rFonts w:ascii="Cambria" w:eastAsia="Calibri" w:hAnsi="Cambria" w:cs="Calibri"/>
                <w:lang w:val="hr-HR"/>
              </w:rPr>
              <w:t xml:space="preserve">20% = Student/studentica pokazuje visok stupanj zainteresiranosti za kolegij, uvijek je pripremljen/-na; postavlja pitanja i problematizira teme vezane i važne za kolegij, donosi dodatne materijale  koji su vezani uz temu koja se obrađuje.  </w:t>
            </w:r>
          </w:p>
          <w:p w14:paraId="68E9B9E4" w14:textId="187E5C24" w:rsidR="00772FCB" w:rsidRPr="00DF4CE5" w:rsidRDefault="00772FCB" w:rsidP="00772FCB">
            <w:pPr>
              <w:contextualSpacing/>
              <w:jc w:val="both"/>
              <w:rPr>
                <w:rFonts w:ascii="Cambria" w:eastAsia="Calibri" w:hAnsi="Cambria" w:cs="Calibri"/>
                <w:lang w:val="hr-HR"/>
              </w:rPr>
            </w:pPr>
            <w:r w:rsidRPr="00DF4CE5">
              <w:rPr>
                <w:rFonts w:ascii="Cambria" w:eastAsia="Calibri" w:hAnsi="Cambria" w:cs="Calibri"/>
                <w:lang w:val="hr-HR"/>
              </w:rPr>
              <w:t xml:space="preserve">Seminarski rad/vježbe ocjenjuje se ovako: </w:t>
            </w:r>
          </w:p>
          <w:p w14:paraId="698D4F65" w14:textId="77777777" w:rsidR="00772FCB" w:rsidRPr="00DF4CE5" w:rsidRDefault="00772FCB" w:rsidP="00772FCB">
            <w:pPr>
              <w:contextualSpacing/>
              <w:jc w:val="both"/>
              <w:rPr>
                <w:rFonts w:ascii="Cambria" w:eastAsia="Calibri" w:hAnsi="Cambria" w:cs="Calibri"/>
                <w:lang w:val="hr-HR"/>
              </w:rPr>
            </w:pPr>
            <w:r w:rsidRPr="00DF4CE5">
              <w:rPr>
                <w:rFonts w:ascii="Cambria" w:eastAsia="Calibri" w:hAnsi="Cambria" w:cs="Calibri"/>
                <w:lang w:val="hr-HR"/>
              </w:rPr>
              <w:t xml:space="preserve">0% = Seminar je napisan  ali  sadrži puno gramatičkih i pravopisnih pogrešaka, sadržaj seminara nije u vezi sa naslovom seminara. </w:t>
            </w:r>
          </w:p>
          <w:p w14:paraId="6D2BC149" w14:textId="77777777" w:rsidR="00772FCB" w:rsidRPr="00DF4CE5" w:rsidRDefault="00772FCB" w:rsidP="00772FCB">
            <w:pPr>
              <w:contextualSpacing/>
              <w:jc w:val="both"/>
              <w:rPr>
                <w:rFonts w:ascii="Cambria" w:eastAsia="Calibri" w:hAnsi="Cambria" w:cs="Calibri"/>
                <w:lang w:val="hr-HR"/>
              </w:rPr>
            </w:pPr>
            <w:r w:rsidRPr="00DF4CE5">
              <w:rPr>
                <w:rFonts w:ascii="Cambria" w:eastAsia="Calibri" w:hAnsi="Cambria" w:cs="Calibri"/>
                <w:lang w:val="hr-HR"/>
              </w:rPr>
              <w:t xml:space="preserve">4% = Seminar je  nepotpun − uz veće sadržajne nedostatke. Korišteno je manje od tri izvora podataka (literature, Internet izvori).  </w:t>
            </w:r>
          </w:p>
          <w:p w14:paraId="42A3076E" w14:textId="77777777" w:rsidR="00772FCB" w:rsidRPr="00DF4CE5" w:rsidRDefault="00772FCB" w:rsidP="00772FCB">
            <w:pPr>
              <w:contextualSpacing/>
              <w:jc w:val="both"/>
              <w:rPr>
                <w:rFonts w:ascii="Cambria" w:eastAsia="Calibri" w:hAnsi="Cambria" w:cs="Calibri"/>
                <w:lang w:val="hr-HR"/>
              </w:rPr>
            </w:pPr>
            <w:r w:rsidRPr="00DF4CE5">
              <w:rPr>
                <w:rFonts w:ascii="Cambria" w:eastAsia="Calibri" w:hAnsi="Cambria" w:cs="Calibri"/>
                <w:lang w:val="hr-HR"/>
              </w:rPr>
              <w:t xml:space="preserve">8%= Seminar je nepotpun  - uz manje sadržajne nedostatke. Korišteno je manje od pet  izvora podataka (literatura, Internet izvori) </w:t>
            </w:r>
          </w:p>
          <w:p w14:paraId="0360CED2" w14:textId="77777777" w:rsidR="00772FCB" w:rsidRPr="00DF4CE5" w:rsidRDefault="00772FCB" w:rsidP="00772FCB">
            <w:pPr>
              <w:contextualSpacing/>
              <w:jc w:val="both"/>
              <w:rPr>
                <w:rFonts w:ascii="Cambria" w:eastAsia="Calibri" w:hAnsi="Cambria" w:cs="Calibri"/>
                <w:lang w:val="hr-HR"/>
              </w:rPr>
            </w:pPr>
            <w:r w:rsidRPr="00DF4CE5">
              <w:rPr>
                <w:rFonts w:ascii="Cambria" w:eastAsia="Calibri" w:hAnsi="Cambria" w:cs="Calibri"/>
                <w:lang w:val="hr-HR"/>
              </w:rPr>
              <w:t>12% = Seminar ima manje sadržajne nedostatke. Korišteno je manje od sedam izvora podataka (</w:t>
            </w:r>
            <w:proofErr w:type="spellStart"/>
            <w:r w:rsidRPr="00DF4CE5">
              <w:rPr>
                <w:rFonts w:ascii="Cambria" w:eastAsia="Calibri" w:hAnsi="Cambria" w:cs="Calibri"/>
                <w:lang w:val="hr-HR"/>
              </w:rPr>
              <w:t>literarura</w:t>
            </w:r>
            <w:proofErr w:type="spellEnd"/>
            <w:r w:rsidRPr="00DF4CE5">
              <w:rPr>
                <w:rFonts w:ascii="Cambria" w:eastAsia="Calibri" w:hAnsi="Cambria" w:cs="Calibri"/>
                <w:lang w:val="hr-HR"/>
              </w:rPr>
              <w:t xml:space="preserve">, Internet izvori). </w:t>
            </w:r>
          </w:p>
          <w:p w14:paraId="5ACC2112" w14:textId="493BEF33" w:rsidR="00772FCB" w:rsidRPr="00DF4CE5" w:rsidRDefault="00772FCB" w:rsidP="00772FCB">
            <w:pPr>
              <w:contextualSpacing/>
              <w:jc w:val="both"/>
              <w:rPr>
                <w:rFonts w:ascii="Cambria" w:eastAsia="Calibri" w:hAnsi="Cambria" w:cs="Calibri"/>
                <w:lang w:val="hr-HR"/>
              </w:rPr>
            </w:pPr>
            <w:r w:rsidRPr="00DF4CE5">
              <w:rPr>
                <w:rFonts w:ascii="Cambria" w:eastAsia="Calibri" w:hAnsi="Cambria" w:cs="Calibri"/>
                <w:lang w:val="hr-HR"/>
              </w:rPr>
              <w:t xml:space="preserve">16% = Seminarski rad je  korektno napisan,  potkrijepljen podatcima iz domaće  literature (više od 10) i sve    zajedno čini  sadržajnu cjelinu. 20%  = Seminarski rad je  detaljno napisan,  potkrijepljen podatcima iz domaće i stane literature (više od 10) i  sve zajedno čini  sadržajnu cjelinu.  </w:t>
            </w:r>
          </w:p>
          <w:p w14:paraId="5E346880" w14:textId="0A750F56" w:rsidR="00772FCB" w:rsidRPr="00DF4CE5" w:rsidRDefault="00772FCB" w:rsidP="00772FCB">
            <w:pPr>
              <w:contextualSpacing/>
              <w:jc w:val="both"/>
              <w:rPr>
                <w:rFonts w:ascii="Cambria" w:eastAsia="Calibri" w:hAnsi="Cambria" w:cs="Calibri"/>
                <w:lang w:val="hr-HR"/>
              </w:rPr>
            </w:pPr>
            <w:r w:rsidRPr="00DF4CE5">
              <w:rPr>
                <w:rFonts w:ascii="Cambria" w:eastAsia="Calibri" w:hAnsi="Cambria" w:cs="Calibri"/>
                <w:lang w:val="hr-HR"/>
              </w:rPr>
              <w:t>Rad neće biti pozitivno ocijenjen ako se uoče dijelovi teksta koji su doslovno prepisani a nisu citirani, pravopisne i/ili gramatičke pogreške i nakon profesoričinih napomena. Studenti će na prvome predavanju dobiti primjerak seminarskoga rada koji se smatra uzornim te će se uputiti na slične radove koji su objavljeni u periodici.</w:t>
            </w:r>
          </w:p>
          <w:p w14:paraId="79FC6731" w14:textId="12C208DF" w:rsidR="00772FCB" w:rsidRPr="00DF4CE5" w:rsidRDefault="00772FCB" w:rsidP="007571A6">
            <w:pPr>
              <w:ind w:hanging="41"/>
              <w:contextualSpacing/>
              <w:jc w:val="both"/>
              <w:rPr>
                <w:rFonts w:ascii="Cambria" w:eastAsia="Calibri" w:hAnsi="Cambria" w:cs="Calibri"/>
                <w:lang w:val="hr-HR"/>
              </w:rPr>
            </w:pPr>
            <w:r w:rsidRPr="00DF4CE5">
              <w:rPr>
                <w:rFonts w:ascii="Cambria" w:eastAsia="Calibri" w:hAnsi="Cambria" w:cs="Calibri"/>
                <w:lang w:val="hr-HR"/>
              </w:rPr>
              <w:lastRenderedPageBreak/>
              <w:t>Praktičan rad (</w:t>
            </w:r>
            <w:proofErr w:type="spellStart"/>
            <w:r w:rsidRPr="00DF4CE5">
              <w:rPr>
                <w:rFonts w:ascii="Cambria" w:eastAsia="Calibri" w:hAnsi="Cambria" w:cs="Calibri"/>
                <w:lang w:val="hr-HR"/>
              </w:rPr>
              <w:t>ocjenski</w:t>
            </w:r>
            <w:proofErr w:type="spellEnd"/>
            <w:r w:rsidRPr="00DF4CE5">
              <w:rPr>
                <w:rFonts w:ascii="Cambria" w:eastAsia="Calibri" w:hAnsi="Cambria" w:cs="Calibri"/>
                <w:lang w:val="hr-HR"/>
              </w:rPr>
              <w:t xml:space="preserve"> sat) ocjenjuje se ovako:</w:t>
            </w:r>
          </w:p>
          <w:p w14:paraId="630FC3AD" w14:textId="77777777" w:rsidR="00772FCB" w:rsidRPr="00DF4CE5" w:rsidRDefault="00772FCB" w:rsidP="00772FCB">
            <w:pPr>
              <w:ind w:hanging="41"/>
              <w:contextualSpacing/>
              <w:jc w:val="both"/>
              <w:rPr>
                <w:rFonts w:ascii="Cambria" w:eastAsia="Calibri" w:hAnsi="Cambria" w:cs="Calibri"/>
                <w:lang w:val="hr-HR"/>
              </w:rPr>
            </w:pPr>
            <w:r w:rsidRPr="00DF4CE5">
              <w:rPr>
                <w:rFonts w:ascii="Cambria" w:eastAsia="Calibri" w:hAnsi="Cambria" w:cs="Calibri"/>
                <w:lang w:val="hr-HR"/>
              </w:rPr>
              <w:t xml:space="preserve">0% = Priprema u redu, didaktički materijal nije primijenjen učenicima. Student je  neuspješno održao </w:t>
            </w:r>
            <w:proofErr w:type="spellStart"/>
            <w:r w:rsidRPr="00DF4CE5">
              <w:rPr>
                <w:rFonts w:ascii="Cambria" w:eastAsia="Calibri" w:hAnsi="Cambria" w:cs="Calibri"/>
                <w:lang w:val="hr-HR"/>
              </w:rPr>
              <w:t>ocjensko</w:t>
            </w:r>
            <w:proofErr w:type="spellEnd"/>
            <w:r w:rsidRPr="00DF4CE5">
              <w:rPr>
                <w:rFonts w:ascii="Cambria" w:eastAsia="Calibri" w:hAnsi="Cambria" w:cs="Calibri"/>
                <w:lang w:val="hr-HR"/>
              </w:rPr>
              <w:t xml:space="preserve"> predavanje (ne uspijeva uspostaviti disciplinu u razredu, sadržaje koje interpretira su neutemeljeni). Student se upućuje na ponavljanje </w:t>
            </w:r>
            <w:proofErr w:type="spellStart"/>
            <w:r w:rsidRPr="00DF4CE5">
              <w:rPr>
                <w:rFonts w:ascii="Cambria" w:eastAsia="Calibri" w:hAnsi="Cambria" w:cs="Calibri"/>
                <w:lang w:val="hr-HR"/>
              </w:rPr>
              <w:t>ocjenskog</w:t>
            </w:r>
            <w:proofErr w:type="spellEnd"/>
            <w:r w:rsidRPr="00DF4CE5">
              <w:rPr>
                <w:rFonts w:ascii="Cambria" w:eastAsia="Calibri" w:hAnsi="Cambria" w:cs="Calibri"/>
                <w:lang w:val="hr-HR"/>
              </w:rPr>
              <w:t xml:space="preserve"> predavanja. Dva negativno ocjenjena predavanja upućuje se na ponovno upisivanje kolegija. </w:t>
            </w:r>
          </w:p>
          <w:p w14:paraId="6ED2ADDE" w14:textId="77777777" w:rsidR="00772FCB" w:rsidRPr="00DF4CE5" w:rsidRDefault="00772FCB" w:rsidP="00772FCB">
            <w:pPr>
              <w:ind w:hanging="41"/>
              <w:contextualSpacing/>
              <w:jc w:val="both"/>
              <w:rPr>
                <w:rFonts w:ascii="Cambria" w:eastAsia="Calibri" w:hAnsi="Cambria" w:cs="Calibri"/>
                <w:lang w:val="hr-HR"/>
              </w:rPr>
            </w:pPr>
            <w:r w:rsidRPr="00DF4CE5">
              <w:rPr>
                <w:rFonts w:ascii="Cambria" w:eastAsia="Calibri" w:hAnsi="Cambria" w:cs="Calibri"/>
                <w:lang w:val="hr-HR"/>
              </w:rPr>
              <w:t xml:space="preserve">5% = Priprema u redu, ali bez didaktičkog materijala. </w:t>
            </w:r>
          </w:p>
          <w:p w14:paraId="23651EAD" w14:textId="77777777" w:rsidR="00772FCB" w:rsidRPr="00DF4CE5" w:rsidRDefault="00772FCB" w:rsidP="00772FCB">
            <w:pPr>
              <w:ind w:hanging="41"/>
              <w:contextualSpacing/>
              <w:jc w:val="both"/>
              <w:rPr>
                <w:rFonts w:ascii="Cambria" w:eastAsia="Calibri" w:hAnsi="Cambria" w:cs="Calibri"/>
                <w:lang w:val="hr-HR"/>
              </w:rPr>
            </w:pPr>
            <w:r w:rsidRPr="00DF4CE5">
              <w:rPr>
                <w:rFonts w:ascii="Cambria" w:eastAsia="Calibri" w:hAnsi="Cambria" w:cs="Calibri"/>
                <w:lang w:val="hr-HR"/>
              </w:rPr>
              <w:t xml:space="preserve">10% = Priprema u redu sa nekvalitetnim didaktičkim materijalom. </w:t>
            </w:r>
          </w:p>
          <w:p w14:paraId="7956A497" w14:textId="77777777" w:rsidR="00772FCB" w:rsidRPr="00DF4CE5" w:rsidRDefault="00772FCB" w:rsidP="00772FCB">
            <w:pPr>
              <w:ind w:hanging="41"/>
              <w:contextualSpacing/>
              <w:jc w:val="both"/>
              <w:rPr>
                <w:rFonts w:ascii="Cambria" w:eastAsia="Calibri" w:hAnsi="Cambria" w:cs="Calibri"/>
                <w:lang w:val="hr-HR"/>
              </w:rPr>
            </w:pPr>
            <w:r w:rsidRPr="00DF4CE5">
              <w:rPr>
                <w:rFonts w:ascii="Cambria" w:eastAsia="Calibri" w:hAnsi="Cambria" w:cs="Calibri"/>
                <w:lang w:val="hr-HR"/>
              </w:rPr>
              <w:t xml:space="preserve">15% = Priprema u redu, didaktički materijal u redu ali neuspješno održan sat (student nespreman) </w:t>
            </w:r>
          </w:p>
          <w:p w14:paraId="0BF53B94" w14:textId="77777777" w:rsidR="00772FCB" w:rsidRPr="00DF4CE5" w:rsidRDefault="00772FCB" w:rsidP="00772FCB">
            <w:pPr>
              <w:ind w:hanging="41"/>
              <w:contextualSpacing/>
              <w:jc w:val="both"/>
              <w:rPr>
                <w:rFonts w:ascii="Cambria" w:eastAsia="Calibri" w:hAnsi="Cambria" w:cs="Calibri"/>
                <w:lang w:val="hr-HR"/>
              </w:rPr>
            </w:pPr>
            <w:r w:rsidRPr="00DF4CE5">
              <w:rPr>
                <w:rFonts w:ascii="Cambria" w:eastAsia="Calibri" w:hAnsi="Cambria" w:cs="Calibri"/>
                <w:lang w:val="hr-HR"/>
              </w:rPr>
              <w:t xml:space="preserve">20% = Priprema u redu, didaktički materijal u redu ali neprimjeren učenicima sa posebnim potrebama. </w:t>
            </w:r>
          </w:p>
          <w:p w14:paraId="59FB6705" w14:textId="77777777" w:rsidR="00772FCB" w:rsidRPr="00DF4CE5" w:rsidRDefault="00772FCB" w:rsidP="00772FCB">
            <w:pPr>
              <w:ind w:hanging="41"/>
              <w:contextualSpacing/>
              <w:jc w:val="both"/>
              <w:rPr>
                <w:rFonts w:ascii="Cambria" w:eastAsia="Calibri" w:hAnsi="Cambria" w:cs="Calibri"/>
                <w:lang w:val="hr-HR"/>
              </w:rPr>
            </w:pPr>
            <w:r w:rsidRPr="00DF4CE5">
              <w:rPr>
                <w:rFonts w:ascii="Cambria" w:eastAsia="Calibri" w:hAnsi="Cambria" w:cs="Calibri"/>
                <w:lang w:val="hr-HR"/>
              </w:rPr>
              <w:t xml:space="preserve">25% = Priprema u redu, didaktički materijal u redu, nije uključio sve učenike u rad. </w:t>
            </w:r>
          </w:p>
          <w:p w14:paraId="1CAC04E2" w14:textId="77777777" w:rsidR="00772FCB" w:rsidRPr="00DF4CE5" w:rsidRDefault="00772FCB" w:rsidP="00772FCB">
            <w:pPr>
              <w:ind w:hanging="41"/>
              <w:contextualSpacing/>
              <w:jc w:val="both"/>
              <w:rPr>
                <w:rFonts w:ascii="Cambria" w:eastAsia="Calibri" w:hAnsi="Cambria" w:cs="Calibri"/>
                <w:lang w:val="hr-HR"/>
              </w:rPr>
            </w:pPr>
            <w:r w:rsidRPr="00DF4CE5">
              <w:rPr>
                <w:rFonts w:ascii="Cambria" w:eastAsia="Calibri" w:hAnsi="Cambria" w:cs="Calibri"/>
                <w:lang w:val="hr-HR"/>
              </w:rPr>
              <w:t xml:space="preserve">30% = Priprema u redu, didaktički materijal u redu, u učionici je uspješna radna disciplina, uključio je sve učenike u rad. </w:t>
            </w:r>
          </w:p>
        </w:tc>
      </w:tr>
      <w:tr w:rsidR="00772FCB" w:rsidRPr="00D0399C" w14:paraId="676A6D41" w14:textId="77777777" w:rsidTr="007571A6">
        <w:tc>
          <w:tcPr>
            <w:tcW w:w="280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47F7A73" w14:textId="77777777" w:rsidR="00772FCB" w:rsidRPr="00DF4CE5" w:rsidRDefault="00772FCB" w:rsidP="00772FCB">
            <w:pPr>
              <w:contextualSpacing/>
              <w:jc w:val="both"/>
              <w:rPr>
                <w:rFonts w:ascii="Cambria" w:eastAsia="Calibri" w:hAnsi="Cambria" w:cs="Calibri"/>
                <w:lang w:val="hr-HR"/>
              </w:rPr>
            </w:pPr>
            <w:r w:rsidRPr="00DF4CE5">
              <w:rPr>
                <w:rFonts w:ascii="Cambria" w:eastAsia="Calibri" w:hAnsi="Cambria" w:cs="Calibri"/>
                <w:lang w:val="hr-HR"/>
              </w:rPr>
              <w:lastRenderedPageBreak/>
              <w:t>Studentske obveze</w:t>
            </w:r>
          </w:p>
        </w:tc>
        <w:tc>
          <w:tcPr>
            <w:tcW w:w="721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989837E" w14:textId="77777777" w:rsidR="00772FCB" w:rsidRPr="00DF4CE5" w:rsidRDefault="00772FCB" w:rsidP="00772FCB">
            <w:pPr>
              <w:contextualSpacing/>
              <w:jc w:val="both"/>
              <w:rPr>
                <w:rFonts w:ascii="Cambria" w:eastAsia="Calibri" w:hAnsi="Cambria" w:cs="Calibri"/>
                <w:lang w:val="hr-HR"/>
              </w:rPr>
            </w:pPr>
            <w:r w:rsidRPr="00DF4CE5">
              <w:rPr>
                <w:rFonts w:ascii="Cambria" w:eastAsia="Calibri" w:hAnsi="Cambria" w:cs="Calibri"/>
                <w:lang w:val="hr-HR"/>
              </w:rPr>
              <w:t>Da položi kolegij, student/studentica mora:</w:t>
            </w:r>
          </w:p>
          <w:p w14:paraId="7B8639F5" w14:textId="77777777" w:rsidR="00772FCB" w:rsidRPr="00DF4CE5" w:rsidRDefault="00772FCB" w:rsidP="00772FCB">
            <w:pPr>
              <w:spacing w:after="0" w:line="240" w:lineRule="auto"/>
              <w:jc w:val="both"/>
              <w:rPr>
                <w:rFonts w:ascii="Cambria" w:eastAsia="Calibri" w:hAnsi="Cambria" w:cs="Calibri"/>
                <w:lang w:val="hr-HR"/>
              </w:rPr>
            </w:pPr>
            <w:r w:rsidRPr="00DF4CE5">
              <w:rPr>
                <w:rFonts w:ascii="Cambria" w:eastAsia="Calibri" w:hAnsi="Cambria" w:cs="Calibri"/>
                <w:lang w:val="hr-HR"/>
              </w:rPr>
              <w:t>prisustvovati i aktivno sudjelovati na predavanjima i vježbama (mogući izostanak iznosi 30 % ukupne satnice)</w:t>
            </w:r>
          </w:p>
        </w:tc>
      </w:tr>
      <w:tr w:rsidR="00772FCB" w:rsidRPr="00D0399C" w14:paraId="47EC8D5D" w14:textId="77777777" w:rsidTr="007571A6">
        <w:tc>
          <w:tcPr>
            <w:tcW w:w="280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8EE3D30" w14:textId="77777777" w:rsidR="00772FCB" w:rsidRPr="00DF4CE5" w:rsidRDefault="00772FCB" w:rsidP="00772FCB">
            <w:pPr>
              <w:contextualSpacing/>
              <w:jc w:val="both"/>
              <w:rPr>
                <w:rFonts w:ascii="Cambria" w:eastAsia="Calibri" w:hAnsi="Cambria" w:cs="Calibri"/>
                <w:lang w:val="hr-HR"/>
              </w:rPr>
            </w:pPr>
            <w:proofErr w:type="spellStart"/>
            <w:r w:rsidRPr="00DF4CE5">
              <w:rPr>
                <w:rFonts w:ascii="Cambria" w:eastAsia="Calibri" w:hAnsi="Cambria" w:cs="Calibri"/>
              </w:rPr>
              <w:t>Rokovi</w:t>
            </w:r>
            <w:proofErr w:type="spellEnd"/>
            <w:r w:rsidRPr="00DF4CE5">
              <w:rPr>
                <w:rFonts w:ascii="Cambria" w:eastAsia="Calibri" w:hAnsi="Cambria" w:cs="Calibri"/>
              </w:rPr>
              <w:t xml:space="preserve"> </w:t>
            </w:r>
            <w:proofErr w:type="spellStart"/>
            <w:r w:rsidRPr="00DF4CE5">
              <w:rPr>
                <w:rFonts w:ascii="Cambria" w:eastAsia="Calibri" w:hAnsi="Cambria" w:cs="Calibri"/>
              </w:rPr>
              <w:t>ispita</w:t>
            </w:r>
            <w:proofErr w:type="spellEnd"/>
            <w:r w:rsidRPr="00DF4CE5">
              <w:rPr>
                <w:rFonts w:ascii="Cambria" w:eastAsia="Calibri" w:hAnsi="Cambria" w:cs="Calibri"/>
              </w:rPr>
              <w:t xml:space="preserve"> </w:t>
            </w:r>
            <w:proofErr w:type="spellStart"/>
            <w:r w:rsidRPr="00DF4CE5">
              <w:rPr>
                <w:rFonts w:ascii="Cambria" w:eastAsia="Calibri" w:hAnsi="Cambria" w:cs="Calibri"/>
              </w:rPr>
              <w:t>i</w:t>
            </w:r>
            <w:proofErr w:type="spellEnd"/>
            <w:r w:rsidRPr="00DF4CE5">
              <w:rPr>
                <w:rFonts w:ascii="Cambria" w:eastAsia="Calibri" w:hAnsi="Cambria" w:cs="Calibri"/>
              </w:rPr>
              <w:t xml:space="preserve"> </w:t>
            </w:r>
            <w:proofErr w:type="spellStart"/>
            <w:r w:rsidRPr="00DF4CE5">
              <w:rPr>
                <w:rFonts w:ascii="Cambria" w:eastAsia="Calibri" w:hAnsi="Cambria" w:cs="Calibri"/>
              </w:rPr>
              <w:t>kolokvija</w:t>
            </w:r>
            <w:proofErr w:type="spellEnd"/>
          </w:p>
        </w:tc>
        <w:tc>
          <w:tcPr>
            <w:tcW w:w="721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6AE4DD3" w14:textId="77777777" w:rsidR="00772FCB" w:rsidRPr="00DF4CE5" w:rsidRDefault="00772FCB" w:rsidP="00772FCB">
            <w:pPr>
              <w:contextualSpacing/>
              <w:jc w:val="both"/>
              <w:rPr>
                <w:rFonts w:ascii="Cambria" w:eastAsia="Calibri" w:hAnsi="Cambria" w:cs="Calibri"/>
                <w:lang w:val="hr-HR"/>
              </w:rPr>
            </w:pPr>
            <w:r w:rsidRPr="00DF4CE5">
              <w:rPr>
                <w:rFonts w:ascii="Cambria" w:eastAsia="Calibri" w:hAnsi="Cambria" w:cs="Calibri"/>
                <w:lang w:val="hr-HR"/>
              </w:rPr>
              <w:t xml:space="preserve">Oglašeni su na mrežnim stranicama Fakulteta te na </w:t>
            </w:r>
            <w:proofErr w:type="spellStart"/>
            <w:r w:rsidRPr="00DF4CE5">
              <w:rPr>
                <w:rFonts w:ascii="Cambria" w:eastAsia="Calibri" w:hAnsi="Cambria" w:cs="Calibri"/>
                <w:lang w:val="hr-HR"/>
              </w:rPr>
              <w:t>Studomatu</w:t>
            </w:r>
            <w:proofErr w:type="spellEnd"/>
            <w:r w:rsidRPr="00DF4CE5">
              <w:rPr>
                <w:rFonts w:ascii="Cambria" w:eastAsia="Calibri" w:hAnsi="Cambria" w:cs="Calibri"/>
                <w:lang w:val="hr-HR"/>
              </w:rPr>
              <w:t>.</w:t>
            </w:r>
          </w:p>
        </w:tc>
      </w:tr>
      <w:tr w:rsidR="00772FCB" w:rsidRPr="007571A6" w14:paraId="34346E7E" w14:textId="77777777" w:rsidTr="007571A6">
        <w:tc>
          <w:tcPr>
            <w:tcW w:w="280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8F81056" w14:textId="77777777" w:rsidR="00772FCB" w:rsidRPr="00DF4CE5" w:rsidRDefault="00772FCB" w:rsidP="00772FCB">
            <w:pPr>
              <w:contextualSpacing/>
              <w:jc w:val="both"/>
              <w:rPr>
                <w:rFonts w:ascii="Cambria" w:eastAsia="Calibri" w:hAnsi="Cambria" w:cs="Calibri"/>
                <w:lang w:val="hr-HR"/>
              </w:rPr>
            </w:pPr>
            <w:r w:rsidRPr="00DF4CE5">
              <w:rPr>
                <w:rFonts w:ascii="Cambria" w:eastAsia="Calibri" w:hAnsi="Cambria" w:cs="Calibri"/>
                <w:lang w:val="hr-HR"/>
              </w:rPr>
              <w:t>Ostale važne činjenice vezane uz kolegij</w:t>
            </w:r>
          </w:p>
        </w:tc>
        <w:tc>
          <w:tcPr>
            <w:tcW w:w="721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F978E21" w14:textId="40EA8D71" w:rsidR="00772FCB" w:rsidRPr="00DF4CE5" w:rsidRDefault="00772FCB" w:rsidP="00772FCB">
            <w:pPr>
              <w:contextualSpacing/>
              <w:jc w:val="both"/>
              <w:rPr>
                <w:rFonts w:ascii="Cambria" w:eastAsia="Calibri" w:hAnsi="Cambria" w:cs="Calibri"/>
                <w:lang w:val="hr-HR"/>
              </w:rPr>
            </w:pPr>
            <w:r w:rsidRPr="00DF4CE5">
              <w:rPr>
                <w:rFonts w:ascii="Cambria" w:eastAsia="Calibri" w:hAnsi="Cambria" w:cs="Calibri"/>
                <w:lang w:val="hr-HR"/>
              </w:rPr>
              <w:t xml:space="preserve">U slučaju održavanja nastave na daljinu, moguće je odstupanje u: mjestu izvođenja kolegija, provedbi aktivnosti, metoda tumačenja i poučavanja i načinima vrednovanja, studentskim obvezama i dostupnoj literaturi. O tome će nositelj kolegija </w:t>
            </w:r>
            <w:r w:rsidR="007571A6">
              <w:rPr>
                <w:rFonts w:ascii="Cambria" w:eastAsia="Calibri" w:hAnsi="Cambria" w:cs="Calibri"/>
                <w:lang w:val="hr-HR"/>
              </w:rPr>
              <w:t xml:space="preserve">i suradnica </w:t>
            </w:r>
            <w:r w:rsidRPr="00DF4CE5">
              <w:rPr>
                <w:rFonts w:ascii="Cambria" w:eastAsia="Calibri" w:hAnsi="Cambria" w:cs="Calibri"/>
                <w:lang w:val="hr-HR"/>
              </w:rPr>
              <w:t>obavijestiti studente i studentice kad se nastava na daljinu počne održavati. Ishodi učenja ostaju nepromijenjeni.</w:t>
            </w:r>
          </w:p>
        </w:tc>
      </w:tr>
      <w:tr w:rsidR="007571A6" w:rsidRPr="00D0399C" w14:paraId="29726924" w14:textId="77777777" w:rsidTr="007571A6">
        <w:tc>
          <w:tcPr>
            <w:tcW w:w="280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B5C4847" w14:textId="771F6668" w:rsidR="007571A6" w:rsidRPr="00DF4CE5" w:rsidRDefault="007571A6" w:rsidP="00772FCB">
            <w:pPr>
              <w:contextualSpacing/>
              <w:jc w:val="both"/>
              <w:rPr>
                <w:rFonts w:ascii="Cambria" w:eastAsia="Calibri" w:hAnsi="Cambria" w:cs="Calibri"/>
                <w:lang w:val="hr-HR"/>
              </w:rPr>
            </w:pPr>
            <w:r>
              <w:rPr>
                <w:rFonts w:ascii="Cambria" w:eastAsia="Calibri" w:hAnsi="Cambria" w:cs="Calibri"/>
                <w:lang w:val="hr-HR"/>
              </w:rPr>
              <w:t>Literatura</w:t>
            </w:r>
          </w:p>
        </w:tc>
        <w:tc>
          <w:tcPr>
            <w:tcW w:w="721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C9FEBD9" w14:textId="77777777" w:rsidR="007571A6" w:rsidRPr="007571A6" w:rsidRDefault="007571A6" w:rsidP="007571A6">
            <w:pPr>
              <w:contextualSpacing/>
              <w:jc w:val="both"/>
              <w:rPr>
                <w:rFonts w:ascii="Cambria" w:eastAsia="Calibri" w:hAnsi="Cambria" w:cs="Calibri"/>
                <w:lang w:val="hr-HR"/>
              </w:rPr>
            </w:pPr>
            <w:r w:rsidRPr="007571A6">
              <w:rPr>
                <w:rFonts w:ascii="Cambria" w:eastAsia="Calibri" w:hAnsi="Cambria" w:cs="Calibri"/>
                <w:lang w:val="hr-HR"/>
              </w:rPr>
              <w:t xml:space="preserve">Obvezna: </w:t>
            </w:r>
          </w:p>
          <w:p w14:paraId="3E2797AF" w14:textId="77777777" w:rsidR="007571A6" w:rsidRPr="007571A6" w:rsidRDefault="007571A6" w:rsidP="007571A6">
            <w:pPr>
              <w:contextualSpacing/>
              <w:jc w:val="both"/>
              <w:rPr>
                <w:rFonts w:ascii="Cambria" w:eastAsia="Calibri" w:hAnsi="Cambria" w:cs="Calibri"/>
                <w:lang w:val="hr-HR"/>
              </w:rPr>
            </w:pPr>
            <w:r w:rsidRPr="007571A6">
              <w:rPr>
                <w:rFonts w:ascii="Cambria" w:eastAsia="Calibri" w:hAnsi="Cambria" w:cs="Calibri"/>
                <w:lang w:val="hr-HR"/>
              </w:rPr>
              <w:t xml:space="preserve">1. Bežen, A., (2008). Metodika - znanost o poučavanju nastavnog predmeta, Učiteljski fakultet - Profil, Zagreb </w:t>
            </w:r>
          </w:p>
          <w:p w14:paraId="0FF2E2BA" w14:textId="01297D93" w:rsidR="007571A6" w:rsidRPr="007571A6" w:rsidRDefault="007571A6" w:rsidP="007571A6">
            <w:pPr>
              <w:contextualSpacing/>
              <w:jc w:val="both"/>
              <w:rPr>
                <w:rFonts w:ascii="Cambria" w:eastAsia="Calibri" w:hAnsi="Cambria" w:cs="Calibri"/>
                <w:lang w:val="hr-HR"/>
              </w:rPr>
            </w:pPr>
            <w:r w:rsidRPr="007571A6">
              <w:rPr>
                <w:rFonts w:ascii="Cambria" w:eastAsia="Calibri" w:hAnsi="Cambria" w:cs="Calibri"/>
                <w:lang w:val="hr-HR"/>
              </w:rPr>
              <w:t>2. Rosandić, D. (2005). Metodika književnog odgoja i obrazovanja, Zagreb, Školska knjiga</w:t>
            </w:r>
          </w:p>
          <w:p w14:paraId="73F0BE5A" w14:textId="2FC31605" w:rsidR="007571A6" w:rsidRPr="007571A6" w:rsidRDefault="007571A6" w:rsidP="007571A6">
            <w:pPr>
              <w:contextualSpacing/>
              <w:jc w:val="both"/>
              <w:rPr>
                <w:rFonts w:ascii="Cambria" w:eastAsia="Calibri" w:hAnsi="Cambria" w:cs="Calibri"/>
                <w:lang w:val="hr-HR"/>
              </w:rPr>
            </w:pPr>
            <w:r w:rsidRPr="007571A6">
              <w:rPr>
                <w:rFonts w:ascii="Cambria" w:eastAsia="Calibri" w:hAnsi="Cambria" w:cs="Calibri"/>
                <w:lang w:val="hr-HR"/>
              </w:rPr>
              <w:t>3. Rosandić, D. (1993). Novi metodički obzori: Prinosi metodici hrvatskog jezika i književnosti, Zagreb, Školske novine</w:t>
            </w:r>
          </w:p>
          <w:p w14:paraId="75C37927" w14:textId="6A307856" w:rsidR="007571A6" w:rsidRPr="007571A6" w:rsidRDefault="007571A6" w:rsidP="007571A6">
            <w:pPr>
              <w:contextualSpacing/>
              <w:jc w:val="both"/>
              <w:rPr>
                <w:rFonts w:ascii="Cambria" w:eastAsia="Calibri" w:hAnsi="Cambria" w:cs="Calibri"/>
                <w:lang w:val="hr-HR"/>
              </w:rPr>
            </w:pPr>
            <w:r w:rsidRPr="007571A6">
              <w:rPr>
                <w:rFonts w:ascii="Cambria" w:eastAsia="Calibri" w:hAnsi="Cambria" w:cs="Calibri"/>
                <w:lang w:val="hr-HR"/>
              </w:rPr>
              <w:t>5.  Težak, S. (1996). Teorija i praksa nastave hrvatskoga jezika 1 i 2, Školska knjiga, Zagreb</w:t>
            </w:r>
          </w:p>
          <w:p w14:paraId="670BD41D" w14:textId="77777777" w:rsidR="007571A6" w:rsidRPr="007571A6" w:rsidRDefault="007571A6" w:rsidP="007571A6">
            <w:pPr>
              <w:contextualSpacing/>
              <w:jc w:val="both"/>
              <w:rPr>
                <w:rFonts w:ascii="Cambria" w:eastAsia="Calibri" w:hAnsi="Cambria" w:cs="Calibri"/>
                <w:lang w:val="hr-HR"/>
              </w:rPr>
            </w:pPr>
            <w:r w:rsidRPr="007571A6">
              <w:rPr>
                <w:rFonts w:ascii="Cambria" w:eastAsia="Calibri" w:hAnsi="Cambria" w:cs="Calibri"/>
                <w:lang w:val="hr-HR"/>
              </w:rPr>
              <w:t>6. Udžbenička literatura i nastavni programi za više razrede osnovne škole i srednju školu. Popis na:  http://public.mzos.hr/Default.aspx?sec=3074 (popis odobrenih udžbenika za OŠ i SŠ)</w:t>
            </w:r>
          </w:p>
          <w:p w14:paraId="4E5D097E" w14:textId="0AA89A06" w:rsidR="007571A6" w:rsidRPr="007571A6" w:rsidRDefault="007571A6" w:rsidP="007571A6">
            <w:pPr>
              <w:contextualSpacing/>
              <w:jc w:val="both"/>
              <w:rPr>
                <w:rFonts w:ascii="Cambria" w:eastAsia="Calibri" w:hAnsi="Cambria" w:cs="Calibri"/>
                <w:lang w:val="hr-HR"/>
              </w:rPr>
            </w:pPr>
            <w:r w:rsidRPr="007571A6">
              <w:rPr>
                <w:rFonts w:ascii="Cambria" w:eastAsia="Calibri" w:hAnsi="Cambria" w:cs="Calibri"/>
                <w:lang w:val="hr-HR"/>
              </w:rPr>
              <w:t>7. Časopisi: Metodički obzori, Metodički ogledi, Život i škola</w:t>
            </w:r>
          </w:p>
          <w:p w14:paraId="62421298" w14:textId="77777777" w:rsidR="007571A6" w:rsidRPr="007571A6" w:rsidRDefault="007571A6" w:rsidP="007571A6">
            <w:pPr>
              <w:contextualSpacing/>
              <w:jc w:val="both"/>
              <w:rPr>
                <w:rFonts w:ascii="Cambria" w:eastAsia="Calibri" w:hAnsi="Cambria" w:cs="Calibri"/>
                <w:lang w:val="hr-HR"/>
              </w:rPr>
            </w:pPr>
            <w:r w:rsidRPr="007571A6">
              <w:rPr>
                <w:rFonts w:ascii="Cambria" w:eastAsia="Calibri" w:hAnsi="Cambria" w:cs="Calibri"/>
                <w:lang w:val="hr-HR"/>
              </w:rPr>
              <w:t>Izborna:</w:t>
            </w:r>
          </w:p>
          <w:p w14:paraId="1BD039AC" w14:textId="77777777" w:rsidR="007571A6" w:rsidRPr="007571A6" w:rsidRDefault="007571A6" w:rsidP="007571A6">
            <w:pPr>
              <w:contextualSpacing/>
              <w:jc w:val="both"/>
              <w:rPr>
                <w:rFonts w:ascii="Cambria" w:eastAsia="Calibri" w:hAnsi="Cambria" w:cs="Calibri"/>
                <w:lang w:val="hr-HR"/>
              </w:rPr>
            </w:pPr>
            <w:r w:rsidRPr="007571A6">
              <w:rPr>
                <w:rFonts w:ascii="Cambria" w:eastAsia="Calibri" w:hAnsi="Cambria" w:cs="Calibri"/>
                <w:lang w:val="hr-HR"/>
              </w:rPr>
              <w:t xml:space="preserve">1. Biblioteka Ključ za književno djelo, Metodičke upute, Školska knjiga, Zagreb </w:t>
            </w:r>
          </w:p>
          <w:p w14:paraId="1E4136E8" w14:textId="77777777" w:rsidR="007571A6" w:rsidRPr="007571A6" w:rsidRDefault="007571A6" w:rsidP="007571A6">
            <w:pPr>
              <w:contextualSpacing/>
              <w:jc w:val="both"/>
              <w:rPr>
                <w:rFonts w:ascii="Cambria" w:eastAsia="Calibri" w:hAnsi="Cambria" w:cs="Calibri"/>
                <w:lang w:val="hr-HR"/>
              </w:rPr>
            </w:pPr>
            <w:r w:rsidRPr="007571A6">
              <w:rPr>
                <w:rFonts w:ascii="Cambria" w:eastAsia="Calibri" w:hAnsi="Cambria" w:cs="Calibri"/>
                <w:lang w:val="hr-HR"/>
              </w:rPr>
              <w:t xml:space="preserve">2. </w:t>
            </w:r>
            <w:proofErr w:type="spellStart"/>
            <w:r w:rsidRPr="007571A6">
              <w:rPr>
                <w:rFonts w:ascii="Cambria" w:eastAsia="Calibri" w:hAnsi="Cambria" w:cs="Calibri"/>
                <w:lang w:val="hr-HR"/>
              </w:rPr>
              <w:t>Benjak</w:t>
            </w:r>
            <w:proofErr w:type="spellEnd"/>
            <w:r w:rsidRPr="007571A6">
              <w:rPr>
                <w:rFonts w:ascii="Cambria" w:eastAsia="Calibri" w:hAnsi="Cambria" w:cs="Calibri"/>
                <w:lang w:val="hr-HR"/>
              </w:rPr>
              <w:t>, M., (2001). Književnost(i) u kontaktu, Izdavački centar Rijeka, Rijeka</w:t>
            </w:r>
          </w:p>
          <w:p w14:paraId="46E41755" w14:textId="77777777" w:rsidR="007571A6" w:rsidRPr="007571A6" w:rsidRDefault="007571A6" w:rsidP="007571A6">
            <w:pPr>
              <w:contextualSpacing/>
              <w:jc w:val="both"/>
              <w:rPr>
                <w:rFonts w:ascii="Cambria" w:eastAsia="Calibri" w:hAnsi="Cambria" w:cs="Calibri"/>
                <w:lang w:val="hr-HR"/>
              </w:rPr>
            </w:pPr>
            <w:r w:rsidRPr="007571A6">
              <w:rPr>
                <w:rFonts w:ascii="Cambria" w:eastAsia="Calibri" w:hAnsi="Cambria" w:cs="Calibri"/>
                <w:lang w:val="hr-HR"/>
              </w:rPr>
              <w:t xml:space="preserve">3. </w:t>
            </w:r>
            <w:proofErr w:type="spellStart"/>
            <w:r w:rsidRPr="007571A6">
              <w:rPr>
                <w:rFonts w:ascii="Cambria" w:eastAsia="Calibri" w:hAnsi="Cambria" w:cs="Calibri"/>
                <w:lang w:val="hr-HR"/>
              </w:rPr>
              <w:t>Benjak</w:t>
            </w:r>
            <w:proofErr w:type="spellEnd"/>
            <w:r w:rsidRPr="007571A6">
              <w:rPr>
                <w:rFonts w:ascii="Cambria" w:eastAsia="Calibri" w:hAnsi="Cambria" w:cs="Calibri"/>
                <w:lang w:val="hr-HR"/>
              </w:rPr>
              <w:t>, M., (2005). Požgaj Hadži, V., Bez predrasuda i stereotipa, Izdavački centar Rijeka</w:t>
            </w:r>
          </w:p>
          <w:p w14:paraId="375FE26F" w14:textId="77777777" w:rsidR="007571A6" w:rsidRPr="007571A6" w:rsidRDefault="007571A6" w:rsidP="007571A6">
            <w:pPr>
              <w:contextualSpacing/>
              <w:jc w:val="both"/>
              <w:rPr>
                <w:rFonts w:ascii="Cambria" w:eastAsia="Calibri" w:hAnsi="Cambria" w:cs="Calibri"/>
                <w:lang w:val="hr-HR"/>
              </w:rPr>
            </w:pPr>
            <w:r w:rsidRPr="007571A6">
              <w:rPr>
                <w:rFonts w:ascii="Cambria" w:eastAsia="Calibri" w:hAnsi="Cambria" w:cs="Calibri"/>
                <w:lang w:val="hr-HR"/>
              </w:rPr>
              <w:t xml:space="preserve">4. </w:t>
            </w:r>
            <w:proofErr w:type="spellStart"/>
            <w:r w:rsidRPr="007571A6">
              <w:rPr>
                <w:rFonts w:ascii="Cambria" w:eastAsia="Calibri" w:hAnsi="Cambria" w:cs="Calibri"/>
                <w:lang w:val="hr-HR"/>
              </w:rPr>
              <w:t>Benjak</w:t>
            </w:r>
            <w:proofErr w:type="spellEnd"/>
            <w:r w:rsidRPr="007571A6">
              <w:rPr>
                <w:rFonts w:ascii="Cambria" w:eastAsia="Calibri" w:hAnsi="Cambria" w:cs="Calibri"/>
                <w:lang w:val="hr-HR"/>
              </w:rPr>
              <w:t xml:space="preserve">, M., (2006). </w:t>
            </w:r>
            <w:proofErr w:type="spellStart"/>
            <w:r w:rsidRPr="007571A6">
              <w:rPr>
                <w:rFonts w:ascii="Cambria" w:eastAsia="Calibri" w:hAnsi="Cambria" w:cs="Calibri"/>
                <w:lang w:val="hr-HR"/>
              </w:rPr>
              <w:t>Stendhalovi</w:t>
            </w:r>
            <w:proofErr w:type="spellEnd"/>
            <w:r w:rsidRPr="007571A6">
              <w:rPr>
                <w:rFonts w:ascii="Cambria" w:eastAsia="Calibri" w:hAnsi="Cambria" w:cs="Calibri"/>
                <w:lang w:val="hr-HR"/>
              </w:rPr>
              <w:t xml:space="preserve"> i </w:t>
            </w:r>
            <w:proofErr w:type="spellStart"/>
            <w:r w:rsidRPr="007571A6">
              <w:rPr>
                <w:rFonts w:ascii="Cambria" w:eastAsia="Calibri" w:hAnsi="Cambria" w:cs="Calibri"/>
                <w:lang w:val="hr-HR"/>
              </w:rPr>
              <w:t>Flaubertovi</w:t>
            </w:r>
            <w:proofErr w:type="spellEnd"/>
            <w:r w:rsidRPr="007571A6">
              <w:rPr>
                <w:rFonts w:ascii="Cambria" w:eastAsia="Calibri" w:hAnsi="Cambria" w:cs="Calibri"/>
                <w:lang w:val="hr-HR"/>
              </w:rPr>
              <w:t xml:space="preserve"> romani u metodičkom obzoru, Sveučilište u Rijeci, Pula</w:t>
            </w:r>
          </w:p>
          <w:p w14:paraId="747E8BE5" w14:textId="77777777" w:rsidR="007571A6" w:rsidRPr="007571A6" w:rsidRDefault="007571A6" w:rsidP="007571A6">
            <w:pPr>
              <w:contextualSpacing/>
              <w:jc w:val="both"/>
              <w:rPr>
                <w:rFonts w:ascii="Cambria" w:eastAsia="Calibri" w:hAnsi="Cambria" w:cs="Calibri"/>
                <w:lang w:val="hr-HR"/>
              </w:rPr>
            </w:pPr>
            <w:r w:rsidRPr="007571A6">
              <w:rPr>
                <w:rFonts w:ascii="Cambria" w:eastAsia="Calibri" w:hAnsi="Cambria" w:cs="Calibri"/>
                <w:lang w:val="hr-HR"/>
              </w:rPr>
              <w:lastRenderedPageBreak/>
              <w:t>5. Diklić - Rosandić - Šabić, (1990). Odzivi i dozivi lirske pjesme, PKZ, Zagreb.</w:t>
            </w:r>
          </w:p>
          <w:p w14:paraId="35C9CCA6" w14:textId="77777777" w:rsidR="007571A6" w:rsidRPr="007571A6" w:rsidRDefault="007571A6" w:rsidP="007571A6">
            <w:pPr>
              <w:contextualSpacing/>
              <w:jc w:val="both"/>
              <w:rPr>
                <w:rFonts w:ascii="Cambria" w:eastAsia="Calibri" w:hAnsi="Cambria" w:cs="Calibri"/>
                <w:lang w:val="hr-HR"/>
              </w:rPr>
            </w:pPr>
            <w:r w:rsidRPr="007571A6">
              <w:rPr>
                <w:rFonts w:ascii="Cambria" w:eastAsia="Calibri" w:hAnsi="Cambria" w:cs="Calibri"/>
                <w:lang w:val="hr-HR"/>
              </w:rPr>
              <w:t xml:space="preserve">6. Diklić, Z., (1989). Lik u književnoj, scenskoj i filmskoj umjetnosti, Školska knjiga, Zagreb, </w:t>
            </w:r>
          </w:p>
          <w:p w14:paraId="19BCCAE8" w14:textId="77777777" w:rsidR="007571A6" w:rsidRPr="007571A6" w:rsidRDefault="007571A6" w:rsidP="007571A6">
            <w:pPr>
              <w:contextualSpacing/>
              <w:jc w:val="both"/>
              <w:rPr>
                <w:rFonts w:ascii="Cambria" w:eastAsia="Calibri" w:hAnsi="Cambria" w:cs="Calibri"/>
                <w:lang w:val="hr-HR"/>
              </w:rPr>
            </w:pPr>
            <w:r w:rsidRPr="007571A6">
              <w:rPr>
                <w:rFonts w:ascii="Cambria" w:eastAsia="Calibri" w:hAnsi="Cambria" w:cs="Calibri"/>
                <w:lang w:val="hr-HR"/>
              </w:rPr>
              <w:t xml:space="preserve">7. </w:t>
            </w:r>
            <w:proofErr w:type="spellStart"/>
            <w:r w:rsidRPr="007571A6">
              <w:rPr>
                <w:rFonts w:ascii="Cambria" w:eastAsia="Calibri" w:hAnsi="Cambria" w:cs="Calibri"/>
                <w:lang w:val="hr-HR"/>
              </w:rPr>
              <w:t>Kajić</w:t>
            </w:r>
            <w:proofErr w:type="spellEnd"/>
            <w:r w:rsidRPr="007571A6">
              <w:rPr>
                <w:rFonts w:ascii="Cambria" w:eastAsia="Calibri" w:hAnsi="Cambria" w:cs="Calibri"/>
                <w:lang w:val="hr-HR"/>
              </w:rPr>
              <w:t>, R., (1981). Roman u sustavu problemske nastave, Školska knjiga, Zagreb</w:t>
            </w:r>
          </w:p>
          <w:p w14:paraId="7AC0EE82" w14:textId="77777777" w:rsidR="007571A6" w:rsidRPr="007571A6" w:rsidRDefault="007571A6" w:rsidP="007571A6">
            <w:pPr>
              <w:contextualSpacing/>
              <w:jc w:val="both"/>
              <w:rPr>
                <w:rFonts w:ascii="Cambria" w:eastAsia="Calibri" w:hAnsi="Cambria" w:cs="Calibri"/>
                <w:lang w:val="hr-HR"/>
              </w:rPr>
            </w:pPr>
            <w:r w:rsidRPr="007571A6">
              <w:rPr>
                <w:rFonts w:ascii="Cambria" w:eastAsia="Calibri" w:hAnsi="Cambria" w:cs="Calibri"/>
                <w:lang w:val="hr-HR"/>
              </w:rPr>
              <w:t xml:space="preserve">8. </w:t>
            </w:r>
            <w:proofErr w:type="spellStart"/>
            <w:r w:rsidRPr="007571A6">
              <w:rPr>
                <w:rFonts w:ascii="Cambria" w:eastAsia="Calibri" w:hAnsi="Cambria" w:cs="Calibri"/>
                <w:lang w:val="hr-HR"/>
              </w:rPr>
              <w:t>Kermek-Sredanović</w:t>
            </w:r>
            <w:proofErr w:type="spellEnd"/>
            <w:r w:rsidRPr="007571A6">
              <w:rPr>
                <w:rFonts w:ascii="Cambria" w:eastAsia="Calibri" w:hAnsi="Cambria" w:cs="Calibri"/>
                <w:lang w:val="hr-HR"/>
              </w:rPr>
              <w:t>, M., (1991). Književni interesi djece i omladine, Zagreb, Školska knjiga</w:t>
            </w:r>
          </w:p>
          <w:p w14:paraId="568AF553" w14:textId="77777777" w:rsidR="007571A6" w:rsidRPr="007571A6" w:rsidRDefault="007571A6" w:rsidP="007571A6">
            <w:pPr>
              <w:contextualSpacing/>
              <w:jc w:val="both"/>
              <w:rPr>
                <w:rFonts w:ascii="Cambria" w:eastAsia="Calibri" w:hAnsi="Cambria" w:cs="Calibri"/>
                <w:lang w:val="hr-HR"/>
              </w:rPr>
            </w:pPr>
            <w:r w:rsidRPr="007571A6">
              <w:rPr>
                <w:rFonts w:ascii="Cambria" w:eastAsia="Calibri" w:hAnsi="Cambria" w:cs="Calibri"/>
                <w:lang w:val="hr-HR"/>
              </w:rPr>
              <w:t>9. Kovačević, M., (1998). Književno-metodička motrišta, Zagreb, Školske novine</w:t>
            </w:r>
          </w:p>
          <w:p w14:paraId="2BF253FC" w14:textId="77777777" w:rsidR="007571A6" w:rsidRPr="007571A6" w:rsidRDefault="007571A6" w:rsidP="007571A6">
            <w:pPr>
              <w:contextualSpacing/>
              <w:jc w:val="both"/>
              <w:rPr>
                <w:rFonts w:ascii="Cambria" w:eastAsia="Calibri" w:hAnsi="Cambria" w:cs="Calibri"/>
                <w:lang w:val="hr-HR"/>
              </w:rPr>
            </w:pPr>
            <w:r w:rsidRPr="007571A6">
              <w:rPr>
                <w:rFonts w:ascii="Cambria" w:eastAsia="Calibri" w:hAnsi="Cambria" w:cs="Calibri"/>
                <w:lang w:val="hr-HR"/>
              </w:rPr>
              <w:t xml:space="preserve">10. Lagumdžija, N., (2000). Basna u osnovnoškolskoj nastavi književnosti, Hena </w:t>
            </w:r>
            <w:proofErr w:type="spellStart"/>
            <w:r w:rsidRPr="007571A6">
              <w:rPr>
                <w:rFonts w:ascii="Cambria" w:eastAsia="Calibri" w:hAnsi="Cambria" w:cs="Calibri"/>
                <w:lang w:val="hr-HR"/>
              </w:rPr>
              <w:t>Com</w:t>
            </w:r>
            <w:proofErr w:type="spellEnd"/>
            <w:r w:rsidRPr="007571A6">
              <w:rPr>
                <w:rFonts w:ascii="Cambria" w:eastAsia="Calibri" w:hAnsi="Cambria" w:cs="Calibri"/>
                <w:lang w:val="hr-HR"/>
              </w:rPr>
              <w:t>, Zagreb</w:t>
            </w:r>
          </w:p>
          <w:p w14:paraId="0A8CB46E" w14:textId="77777777" w:rsidR="007571A6" w:rsidRPr="007571A6" w:rsidRDefault="007571A6" w:rsidP="007571A6">
            <w:pPr>
              <w:contextualSpacing/>
              <w:jc w:val="both"/>
              <w:rPr>
                <w:rFonts w:ascii="Cambria" w:eastAsia="Calibri" w:hAnsi="Cambria" w:cs="Calibri"/>
                <w:lang w:val="hr-HR"/>
              </w:rPr>
            </w:pPr>
            <w:r w:rsidRPr="007571A6">
              <w:rPr>
                <w:rFonts w:ascii="Cambria" w:eastAsia="Calibri" w:hAnsi="Cambria" w:cs="Calibri"/>
                <w:lang w:val="hr-HR"/>
              </w:rPr>
              <w:t>11. Pavletić, V., (1995). Kako razumjeti poeziju, Školska knjiga, Zagreb, 1995.</w:t>
            </w:r>
          </w:p>
          <w:p w14:paraId="52F2972F" w14:textId="77777777" w:rsidR="007571A6" w:rsidRPr="007571A6" w:rsidRDefault="007571A6" w:rsidP="007571A6">
            <w:pPr>
              <w:contextualSpacing/>
              <w:jc w:val="both"/>
              <w:rPr>
                <w:rFonts w:ascii="Cambria" w:eastAsia="Calibri" w:hAnsi="Cambria" w:cs="Calibri"/>
                <w:lang w:val="hr-HR"/>
              </w:rPr>
            </w:pPr>
            <w:r w:rsidRPr="007571A6">
              <w:rPr>
                <w:rFonts w:ascii="Cambria" w:eastAsia="Calibri" w:hAnsi="Cambria" w:cs="Calibri"/>
                <w:lang w:val="hr-HR"/>
              </w:rPr>
              <w:t xml:space="preserve">12. </w:t>
            </w:r>
            <w:proofErr w:type="spellStart"/>
            <w:r w:rsidRPr="007571A6">
              <w:rPr>
                <w:rFonts w:ascii="Cambria" w:eastAsia="Calibri" w:hAnsi="Cambria" w:cs="Calibri"/>
                <w:lang w:val="hr-HR"/>
              </w:rPr>
              <w:t>Perotti</w:t>
            </w:r>
            <w:proofErr w:type="spellEnd"/>
            <w:r w:rsidRPr="007571A6">
              <w:rPr>
                <w:rFonts w:ascii="Cambria" w:eastAsia="Calibri" w:hAnsi="Cambria" w:cs="Calibri"/>
                <w:lang w:val="hr-HR"/>
              </w:rPr>
              <w:t xml:space="preserve">, A., (1995). Pledoaje za interkulturalni odgoj i </w:t>
            </w:r>
            <w:proofErr w:type="spellStart"/>
            <w:r w:rsidRPr="007571A6">
              <w:rPr>
                <w:rFonts w:ascii="Cambria" w:eastAsia="Calibri" w:hAnsi="Cambria" w:cs="Calibri"/>
                <w:lang w:val="hr-HR"/>
              </w:rPr>
              <w:t>obrazovanje,Educa</w:t>
            </w:r>
            <w:proofErr w:type="spellEnd"/>
            <w:r w:rsidRPr="007571A6">
              <w:rPr>
                <w:rFonts w:ascii="Cambria" w:eastAsia="Calibri" w:hAnsi="Cambria" w:cs="Calibri"/>
                <w:lang w:val="hr-HR"/>
              </w:rPr>
              <w:t>, Zagreb</w:t>
            </w:r>
          </w:p>
          <w:p w14:paraId="3F9EBAE5" w14:textId="77777777" w:rsidR="007571A6" w:rsidRPr="007571A6" w:rsidRDefault="007571A6" w:rsidP="007571A6">
            <w:pPr>
              <w:contextualSpacing/>
              <w:jc w:val="both"/>
              <w:rPr>
                <w:rFonts w:ascii="Cambria" w:eastAsia="Calibri" w:hAnsi="Cambria" w:cs="Calibri"/>
                <w:lang w:val="hr-HR"/>
              </w:rPr>
            </w:pPr>
            <w:r w:rsidRPr="007571A6">
              <w:rPr>
                <w:rFonts w:ascii="Cambria" w:eastAsia="Calibri" w:hAnsi="Cambria" w:cs="Calibri"/>
                <w:lang w:val="hr-HR"/>
              </w:rPr>
              <w:t xml:space="preserve">13. Rosandić, D., (2003). </w:t>
            </w:r>
            <w:proofErr w:type="spellStart"/>
            <w:r w:rsidRPr="007571A6">
              <w:rPr>
                <w:rFonts w:ascii="Cambria" w:eastAsia="Calibri" w:hAnsi="Cambria" w:cs="Calibri"/>
                <w:lang w:val="hr-HR"/>
              </w:rPr>
              <w:t>Kurikulski</w:t>
            </w:r>
            <w:proofErr w:type="spellEnd"/>
            <w:r w:rsidRPr="007571A6">
              <w:rPr>
                <w:rFonts w:ascii="Cambria" w:eastAsia="Calibri" w:hAnsi="Cambria" w:cs="Calibri"/>
                <w:lang w:val="hr-HR"/>
              </w:rPr>
              <w:t xml:space="preserve"> metodički obzori, Školske novine, Zagreb</w:t>
            </w:r>
          </w:p>
          <w:p w14:paraId="4774AE58" w14:textId="77777777" w:rsidR="007571A6" w:rsidRPr="007571A6" w:rsidRDefault="007571A6" w:rsidP="007571A6">
            <w:pPr>
              <w:contextualSpacing/>
              <w:jc w:val="both"/>
              <w:rPr>
                <w:rFonts w:ascii="Cambria" w:eastAsia="Calibri" w:hAnsi="Cambria" w:cs="Calibri"/>
                <w:lang w:val="hr-HR"/>
              </w:rPr>
            </w:pPr>
            <w:r w:rsidRPr="007571A6">
              <w:rPr>
                <w:rFonts w:ascii="Cambria" w:eastAsia="Calibri" w:hAnsi="Cambria" w:cs="Calibri"/>
                <w:lang w:val="hr-HR"/>
              </w:rPr>
              <w:t>14. Šabić, A. G., (1983). Lirska poezija u razrednoj nastavi, Školska knjiga, Zagreb</w:t>
            </w:r>
          </w:p>
          <w:p w14:paraId="625146ED" w14:textId="77777777" w:rsidR="007571A6" w:rsidRPr="007571A6" w:rsidRDefault="007571A6" w:rsidP="007571A6">
            <w:pPr>
              <w:contextualSpacing/>
              <w:jc w:val="both"/>
              <w:rPr>
                <w:rFonts w:ascii="Cambria" w:eastAsia="Calibri" w:hAnsi="Cambria" w:cs="Calibri"/>
                <w:lang w:val="hr-HR"/>
              </w:rPr>
            </w:pPr>
            <w:r w:rsidRPr="007571A6">
              <w:rPr>
                <w:rFonts w:ascii="Cambria" w:eastAsia="Calibri" w:hAnsi="Cambria" w:cs="Calibri"/>
                <w:lang w:val="hr-HR"/>
              </w:rPr>
              <w:t>15. Šabić, A. G., (1991).  Učenik i lirika, Školska knjiga, Zagreb</w:t>
            </w:r>
          </w:p>
          <w:p w14:paraId="1E4DCB06" w14:textId="631ACD95" w:rsidR="007571A6" w:rsidRPr="00DF4CE5" w:rsidRDefault="007571A6" w:rsidP="007571A6">
            <w:pPr>
              <w:contextualSpacing/>
              <w:jc w:val="both"/>
              <w:rPr>
                <w:rFonts w:ascii="Cambria" w:eastAsia="Calibri" w:hAnsi="Cambria" w:cs="Calibri"/>
                <w:lang w:val="hr-HR"/>
              </w:rPr>
            </w:pPr>
            <w:r w:rsidRPr="007571A6">
              <w:rPr>
                <w:rFonts w:ascii="Cambria" w:eastAsia="Calibri" w:hAnsi="Cambria" w:cs="Calibri"/>
                <w:lang w:val="hr-HR"/>
              </w:rPr>
              <w:t>16. Težak, S., (1977). Prilozi interpretaciji lirske pjesme, PKZ, Zagreb</w:t>
            </w:r>
          </w:p>
        </w:tc>
      </w:tr>
    </w:tbl>
    <w:p w14:paraId="74EAEB86" w14:textId="77777777" w:rsidR="00F92392" w:rsidRPr="00DF4CE5" w:rsidRDefault="00F92392" w:rsidP="008B34AF">
      <w:pPr>
        <w:jc w:val="both"/>
        <w:rPr>
          <w:rFonts w:ascii="Cambria" w:hAnsi="Cambria"/>
          <w:lang w:val="hr-HR"/>
        </w:rPr>
      </w:pPr>
    </w:p>
    <w:p w14:paraId="735A7B5F" w14:textId="77777777" w:rsidR="003A42BE" w:rsidRPr="00DF4CE5" w:rsidRDefault="003A42BE" w:rsidP="008B34AF">
      <w:pPr>
        <w:jc w:val="both"/>
        <w:rPr>
          <w:rFonts w:ascii="Cambria" w:hAnsi="Cambria"/>
          <w:lang w:val="hr-HR"/>
        </w:rPr>
      </w:pPr>
    </w:p>
    <w:p w14:paraId="732BC1F7" w14:textId="142D26B6" w:rsidR="004A100E" w:rsidRPr="00DF4CE5" w:rsidRDefault="00DB0462" w:rsidP="00830554">
      <w:pPr>
        <w:rPr>
          <w:rFonts w:ascii="Cambria" w:hAnsi="Cambria"/>
          <w:lang w:val="hr-HR"/>
        </w:rPr>
      </w:pPr>
      <w:r>
        <w:rPr>
          <w:rFonts w:ascii="Cambria" w:hAnsi="Cambria"/>
          <w:lang w:val="hr-HR"/>
        </w:rPr>
        <w:br w:type="page"/>
      </w:r>
    </w:p>
    <w:tbl>
      <w:tblPr>
        <w:tblW w:w="5000" w:type="pct"/>
        <w:tblLayout w:type="fixed"/>
        <w:tblCellMar>
          <w:left w:w="0" w:type="dxa"/>
          <w:right w:w="0" w:type="dxa"/>
        </w:tblCellMar>
        <w:tblLook w:val="0600" w:firstRow="0" w:lastRow="0" w:firstColumn="0" w:lastColumn="0" w:noHBand="1" w:noVBand="1"/>
      </w:tblPr>
      <w:tblGrid>
        <w:gridCol w:w="2384"/>
        <w:gridCol w:w="2310"/>
        <w:gridCol w:w="1366"/>
        <w:gridCol w:w="961"/>
        <w:gridCol w:w="712"/>
        <w:gridCol w:w="250"/>
        <w:gridCol w:w="2037"/>
      </w:tblGrid>
      <w:tr w:rsidR="001E7B89" w:rsidRPr="00A62FBD" w14:paraId="3062A5E7" w14:textId="77777777" w:rsidTr="008345F3">
        <w:tc>
          <w:tcPr>
            <w:tcW w:w="9052" w:type="dxa"/>
            <w:gridSpan w:val="7"/>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F76ECAF" w14:textId="77777777" w:rsidR="001E7B89" w:rsidRPr="00A62FBD" w:rsidRDefault="001E7B89" w:rsidP="001E3DFB">
            <w:pPr>
              <w:spacing w:after="0" w:line="240" w:lineRule="auto"/>
              <w:jc w:val="right"/>
              <w:rPr>
                <w:rFonts w:ascii="Cambria" w:hAnsi="Cambria" w:cs="Calibri"/>
                <w:b/>
              </w:rPr>
            </w:pPr>
            <w:r w:rsidRPr="00A62FBD">
              <w:rPr>
                <w:rFonts w:ascii="Cambria" w:hAnsi="Cambria" w:cs="Calibri"/>
                <w:b/>
              </w:rPr>
              <w:lastRenderedPageBreak/>
              <w:t>IZVEDBENI PLAN NASTAVE KOLEGIJA</w:t>
            </w:r>
          </w:p>
        </w:tc>
      </w:tr>
      <w:tr w:rsidR="001E7B89" w:rsidRPr="00A62FBD" w14:paraId="1CA137F7" w14:textId="77777777" w:rsidTr="008345F3">
        <w:tc>
          <w:tcPr>
            <w:tcW w:w="215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3836ED3" w14:textId="77777777" w:rsidR="001E7B89" w:rsidRPr="00A62FBD" w:rsidRDefault="001E7B89" w:rsidP="001E3DFB">
            <w:pPr>
              <w:spacing w:after="0" w:line="240" w:lineRule="auto"/>
              <w:rPr>
                <w:rFonts w:ascii="Cambria" w:hAnsi="Cambria" w:cs="Calibri"/>
              </w:rPr>
            </w:pPr>
            <w:proofErr w:type="spellStart"/>
            <w:r w:rsidRPr="00A62FBD">
              <w:rPr>
                <w:rFonts w:ascii="Cambria" w:hAnsi="Cambria" w:cs="Calibri"/>
              </w:rPr>
              <w:t>Kod</w:t>
            </w:r>
            <w:proofErr w:type="spellEnd"/>
            <w:r w:rsidRPr="00A62FBD">
              <w:rPr>
                <w:rFonts w:ascii="Cambria" w:hAnsi="Cambria" w:cs="Calibri"/>
              </w:rPr>
              <w:t xml:space="preserve"> </w:t>
            </w:r>
            <w:proofErr w:type="spellStart"/>
            <w:r w:rsidRPr="00A62FBD">
              <w:rPr>
                <w:rFonts w:ascii="Cambria" w:hAnsi="Cambria" w:cs="Calibri"/>
              </w:rPr>
              <w:t>i</w:t>
            </w:r>
            <w:proofErr w:type="spellEnd"/>
            <w:r w:rsidRPr="00A62FBD">
              <w:rPr>
                <w:rFonts w:ascii="Cambria" w:hAnsi="Cambria" w:cs="Calibri"/>
              </w:rPr>
              <w:t xml:space="preserve"> </w:t>
            </w:r>
            <w:proofErr w:type="spellStart"/>
            <w:r w:rsidRPr="00A62FBD">
              <w:rPr>
                <w:rFonts w:ascii="Cambria" w:hAnsi="Cambria" w:cs="Calibri"/>
              </w:rPr>
              <w:t>naziv</w:t>
            </w:r>
            <w:proofErr w:type="spellEnd"/>
            <w:r w:rsidRPr="00A62FBD">
              <w:rPr>
                <w:rFonts w:ascii="Cambria" w:hAnsi="Cambria" w:cs="Calibri"/>
              </w:rPr>
              <w:t xml:space="preserve"> </w:t>
            </w:r>
            <w:proofErr w:type="spellStart"/>
            <w:r w:rsidRPr="00A62FBD">
              <w:rPr>
                <w:rFonts w:ascii="Cambria" w:hAnsi="Cambria" w:cs="Calibri"/>
              </w:rPr>
              <w:t>kolegija</w:t>
            </w:r>
            <w:proofErr w:type="spellEnd"/>
          </w:p>
        </w:tc>
        <w:tc>
          <w:tcPr>
            <w:tcW w:w="6898"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743F81AC" w14:textId="77777777" w:rsidR="001E7B89" w:rsidRPr="0060175B" w:rsidRDefault="001E7B89" w:rsidP="001E3DFB">
            <w:pPr>
              <w:autoSpaceDE w:val="0"/>
              <w:autoSpaceDN w:val="0"/>
              <w:adjustRightInd w:val="0"/>
              <w:spacing w:after="0" w:line="240" w:lineRule="auto"/>
              <w:rPr>
                <w:rFonts w:ascii="Cambria" w:hAnsi="Cambria" w:cs="Calibri"/>
                <w:bCs/>
              </w:rPr>
            </w:pPr>
            <w:r w:rsidRPr="0060175B">
              <w:rPr>
                <w:rFonts w:ascii="Cambria" w:hAnsi="Cambria" w:cs="Calibri"/>
                <w:bCs/>
              </w:rPr>
              <w:t>156757</w:t>
            </w:r>
          </w:p>
          <w:p w14:paraId="435E8857" w14:textId="77777777" w:rsidR="001E7B89" w:rsidRPr="00A62FBD" w:rsidRDefault="001E7B89" w:rsidP="001E3DFB">
            <w:pPr>
              <w:autoSpaceDE w:val="0"/>
              <w:autoSpaceDN w:val="0"/>
              <w:adjustRightInd w:val="0"/>
              <w:spacing w:after="0" w:line="240" w:lineRule="auto"/>
              <w:rPr>
                <w:rFonts w:ascii="Cambria" w:hAnsi="Cambria" w:cs="Calibri"/>
                <w:b/>
                <w:bCs/>
              </w:rPr>
            </w:pPr>
            <w:proofErr w:type="spellStart"/>
            <w:r w:rsidRPr="0060175B">
              <w:rPr>
                <w:rFonts w:ascii="Cambria" w:hAnsi="Cambria" w:cs="Calibri"/>
                <w:bCs/>
              </w:rPr>
              <w:t>Metodika</w:t>
            </w:r>
            <w:proofErr w:type="spellEnd"/>
            <w:r w:rsidRPr="0060175B">
              <w:rPr>
                <w:rFonts w:ascii="Cambria" w:hAnsi="Cambria" w:cs="Calibri"/>
                <w:bCs/>
              </w:rPr>
              <w:t xml:space="preserve"> </w:t>
            </w:r>
            <w:proofErr w:type="spellStart"/>
            <w:r w:rsidRPr="0060175B">
              <w:rPr>
                <w:rFonts w:ascii="Cambria" w:hAnsi="Cambria" w:cs="Calibri"/>
                <w:bCs/>
              </w:rPr>
              <w:t>nastave</w:t>
            </w:r>
            <w:proofErr w:type="spellEnd"/>
            <w:r w:rsidRPr="0060175B">
              <w:rPr>
                <w:rFonts w:ascii="Cambria" w:hAnsi="Cambria" w:cs="Calibri"/>
                <w:bCs/>
              </w:rPr>
              <w:t xml:space="preserve"> </w:t>
            </w:r>
            <w:proofErr w:type="spellStart"/>
            <w:r w:rsidRPr="0060175B">
              <w:rPr>
                <w:rFonts w:ascii="Cambria" w:hAnsi="Cambria" w:cs="Calibri"/>
                <w:bCs/>
              </w:rPr>
              <w:t>matematike</w:t>
            </w:r>
            <w:proofErr w:type="spellEnd"/>
            <w:r w:rsidRPr="0060175B">
              <w:rPr>
                <w:rFonts w:ascii="Cambria" w:hAnsi="Cambria" w:cs="Calibri"/>
                <w:bCs/>
              </w:rPr>
              <w:t xml:space="preserve"> II</w:t>
            </w:r>
          </w:p>
        </w:tc>
      </w:tr>
      <w:tr w:rsidR="001E7B89" w:rsidRPr="00D0399C" w14:paraId="71FCFBC2" w14:textId="77777777" w:rsidTr="008345F3">
        <w:tc>
          <w:tcPr>
            <w:tcW w:w="215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FECC7B5" w14:textId="77777777" w:rsidR="001E7B89" w:rsidRPr="001E3DFB" w:rsidRDefault="001E7B89" w:rsidP="001E3DFB">
            <w:pPr>
              <w:spacing w:after="0" w:line="240" w:lineRule="auto"/>
              <w:rPr>
                <w:rFonts w:ascii="Cambria" w:hAnsi="Cambria" w:cs="Calibri"/>
              </w:rPr>
            </w:pPr>
            <w:proofErr w:type="spellStart"/>
            <w:r w:rsidRPr="001E3DFB">
              <w:rPr>
                <w:rFonts w:ascii="Cambria" w:hAnsi="Cambria" w:cs="Calibri"/>
              </w:rPr>
              <w:t>Nastavnik</w:t>
            </w:r>
            <w:proofErr w:type="spellEnd"/>
          </w:p>
          <w:p w14:paraId="69B667CF" w14:textId="0958804E" w:rsidR="001E7B89" w:rsidRPr="001E3DFB" w:rsidRDefault="001E7B89" w:rsidP="001E3DFB">
            <w:pPr>
              <w:spacing w:after="0" w:line="240" w:lineRule="auto"/>
              <w:rPr>
                <w:rFonts w:ascii="Cambria" w:hAnsi="Cambria" w:cs="Calibri"/>
              </w:rPr>
            </w:pPr>
            <w:proofErr w:type="spellStart"/>
            <w:r w:rsidRPr="001E3DFB">
              <w:rPr>
                <w:rFonts w:ascii="Cambria" w:hAnsi="Cambria" w:cs="Calibri"/>
              </w:rPr>
              <w:t>Suradnic</w:t>
            </w:r>
            <w:r w:rsidR="001E3DFB">
              <w:rPr>
                <w:rFonts w:ascii="Cambria" w:hAnsi="Cambria" w:cs="Calibri"/>
              </w:rPr>
              <w:t>a</w:t>
            </w:r>
            <w:proofErr w:type="spellEnd"/>
          </w:p>
        </w:tc>
        <w:tc>
          <w:tcPr>
            <w:tcW w:w="6898"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5B9502F" w14:textId="47346825" w:rsidR="001E7B89" w:rsidRPr="001E3DFB" w:rsidRDefault="001E7B89" w:rsidP="001E3DFB">
            <w:pPr>
              <w:widowControl w:val="0"/>
              <w:spacing w:after="0" w:line="240" w:lineRule="auto"/>
              <w:rPr>
                <w:rFonts w:ascii="Cambria" w:hAnsi="Cambria" w:cs="Calibri"/>
              </w:rPr>
            </w:pPr>
            <w:hyperlink r:id="rId142" w:history="1">
              <w:r w:rsidRPr="001E3DFB">
                <w:rPr>
                  <w:rStyle w:val="Hiperveza"/>
                  <w:rFonts w:ascii="Cambria" w:hAnsi="Cambria" w:cs="Calibri"/>
                </w:rPr>
                <w:t xml:space="preserve">Doc. dr. sc. Siniša </w:t>
              </w:r>
              <w:proofErr w:type="spellStart"/>
              <w:r w:rsidRPr="001E3DFB">
                <w:rPr>
                  <w:rStyle w:val="Hiperveza"/>
                  <w:rFonts w:ascii="Cambria" w:hAnsi="Cambria" w:cs="Calibri"/>
                </w:rPr>
                <w:t>Miličić</w:t>
              </w:r>
              <w:proofErr w:type="spellEnd"/>
            </w:hyperlink>
            <w:r w:rsidRPr="001E3DFB">
              <w:rPr>
                <w:rFonts w:ascii="Cambria" w:hAnsi="Cambria" w:cs="Calibri"/>
              </w:rPr>
              <w:t xml:space="preserve"> (</w:t>
            </w:r>
            <w:proofErr w:type="spellStart"/>
            <w:r w:rsidRPr="001E3DFB">
              <w:rPr>
                <w:rFonts w:ascii="Cambria" w:hAnsi="Cambria" w:cs="Calibri"/>
              </w:rPr>
              <w:t>nositelj</w:t>
            </w:r>
            <w:proofErr w:type="spellEnd"/>
            <w:r w:rsidRPr="001E3DFB">
              <w:rPr>
                <w:rFonts w:ascii="Cambria" w:hAnsi="Cambria" w:cs="Calibri"/>
              </w:rPr>
              <w:t xml:space="preserve"> </w:t>
            </w:r>
            <w:proofErr w:type="spellStart"/>
            <w:r w:rsidRPr="001E3DFB">
              <w:rPr>
                <w:rFonts w:ascii="Cambria" w:hAnsi="Cambria" w:cs="Calibri"/>
              </w:rPr>
              <w:t>kolegija</w:t>
            </w:r>
            <w:proofErr w:type="spellEnd"/>
            <w:r w:rsidRPr="001E3DFB">
              <w:rPr>
                <w:rFonts w:ascii="Cambria" w:hAnsi="Cambria" w:cs="Calibri"/>
              </w:rPr>
              <w:t>)</w:t>
            </w:r>
          </w:p>
          <w:p w14:paraId="0145E8B4" w14:textId="5B743D72" w:rsidR="001E7B89" w:rsidRPr="001E3DFB" w:rsidRDefault="001E7B89" w:rsidP="001E3DFB">
            <w:pPr>
              <w:widowControl w:val="0"/>
              <w:spacing w:after="0" w:line="240" w:lineRule="auto"/>
              <w:rPr>
                <w:rFonts w:ascii="Cambria" w:hAnsi="Cambria" w:cs="Calibri"/>
                <w:lang w:val="it-IT"/>
              </w:rPr>
            </w:pPr>
            <w:hyperlink r:id="rId143" w:history="1">
              <w:r w:rsidRPr="001E3DFB">
                <w:rPr>
                  <w:rStyle w:val="Hiperveza"/>
                  <w:rFonts w:ascii="Cambria" w:hAnsi="Cambria"/>
                  <w:lang w:val="it-IT"/>
                </w:rPr>
                <w:t>Dr.</w:t>
              </w:r>
              <w:r w:rsidR="001E3DFB" w:rsidRPr="001E3DFB">
                <w:rPr>
                  <w:rStyle w:val="Hiperveza"/>
                  <w:rFonts w:ascii="Cambria" w:hAnsi="Cambria"/>
                  <w:lang w:val="it-IT"/>
                </w:rPr>
                <w:t xml:space="preserve"> </w:t>
              </w:r>
              <w:r w:rsidRPr="001E3DFB">
                <w:rPr>
                  <w:rStyle w:val="Hiperveza"/>
                  <w:rFonts w:ascii="Cambria" w:hAnsi="Cambria"/>
                  <w:lang w:val="it-IT"/>
                </w:rPr>
                <w:t xml:space="preserve">sc. </w:t>
              </w:r>
              <w:proofErr w:type="spellStart"/>
              <w:r w:rsidRPr="001E3DFB">
                <w:rPr>
                  <w:rStyle w:val="Hiperveza"/>
                  <w:rFonts w:ascii="Cambria" w:hAnsi="Cambria" w:cs="Calibri"/>
                  <w:lang w:val="it-IT"/>
                </w:rPr>
                <w:t>Branka</w:t>
              </w:r>
              <w:proofErr w:type="spellEnd"/>
              <w:r w:rsidRPr="001E3DFB">
                <w:rPr>
                  <w:rStyle w:val="Hiperveza"/>
                  <w:rFonts w:ascii="Cambria" w:hAnsi="Cambria" w:cs="Calibri"/>
                  <w:lang w:val="it-IT"/>
                </w:rPr>
                <w:t xml:space="preserve"> </w:t>
              </w:r>
              <w:proofErr w:type="spellStart"/>
              <w:r w:rsidRPr="001E3DFB">
                <w:rPr>
                  <w:rStyle w:val="Hiperveza"/>
                  <w:rFonts w:ascii="Cambria" w:hAnsi="Cambria" w:cs="Calibri"/>
                  <w:lang w:val="it-IT"/>
                </w:rPr>
                <w:t>Antunović</w:t>
              </w:r>
              <w:proofErr w:type="spellEnd"/>
              <w:r w:rsidRPr="001E3DFB">
                <w:rPr>
                  <w:rStyle w:val="Hiperveza"/>
                  <w:rFonts w:ascii="Cambria" w:hAnsi="Cambria" w:cs="Calibri"/>
                  <w:lang w:val="it-IT"/>
                </w:rPr>
                <w:t xml:space="preserve">, </w:t>
              </w:r>
              <w:proofErr w:type="spellStart"/>
              <w:r w:rsidRPr="001E3DFB">
                <w:rPr>
                  <w:rStyle w:val="Hiperveza"/>
                  <w:rFonts w:ascii="Cambria" w:hAnsi="Cambria" w:cs="Calibri"/>
                  <w:lang w:val="it-IT"/>
                </w:rPr>
                <w:t>viša</w:t>
              </w:r>
              <w:proofErr w:type="spellEnd"/>
              <w:r w:rsidRPr="001E3DFB">
                <w:rPr>
                  <w:rStyle w:val="Hiperveza"/>
                  <w:rFonts w:ascii="Cambria" w:hAnsi="Cambria" w:cs="Calibri"/>
                  <w:lang w:val="it-IT"/>
                </w:rPr>
                <w:t xml:space="preserve"> </w:t>
              </w:r>
              <w:proofErr w:type="spellStart"/>
              <w:r w:rsidRPr="001E3DFB">
                <w:rPr>
                  <w:rStyle w:val="Hiperveza"/>
                  <w:rFonts w:ascii="Cambria" w:hAnsi="Cambria" w:cs="Calibri"/>
                  <w:lang w:val="it-IT"/>
                </w:rPr>
                <w:t>asistentica</w:t>
              </w:r>
              <w:proofErr w:type="spellEnd"/>
            </w:hyperlink>
          </w:p>
        </w:tc>
      </w:tr>
      <w:tr w:rsidR="001E7B89" w:rsidRPr="00A62FBD" w14:paraId="1B8CF2AD" w14:textId="77777777" w:rsidTr="008345F3">
        <w:trPr>
          <w:trHeight w:val="312"/>
        </w:trPr>
        <w:tc>
          <w:tcPr>
            <w:tcW w:w="215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1532E6D" w14:textId="77777777" w:rsidR="001E7B89" w:rsidRPr="001E3DFB" w:rsidRDefault="001E7B89" w:rsidP="001E3DFB">
            <w:pPr>
              <w:spacing w:after="0" w:line="240" w:lineRule="auto"/>
              <w:rPr>
                <w:rFonts w:ascii="Cambria" w:hAnsi="Cambria" w:cs="Calibri"/>
              </w:rPr>
            </w:pPr>
            <w:proofErr w:type="spellStart"/>
            <w:r w:rsidRPr="001E3DFB">
              <w:rPr>
                <w:rFonts w:ascii="Cambria" w:hAnsi="Cambria" w:cs="Calibri"/>
              </w:rPr>
              <w:t>Studijski</w:t>
            </w:r>
            <w:proofErr w:type="spellEnd"/>
            <w:r w:rsidRPr="001E3DFB">
              <w:rPr>
                <w:rFonts w:ascii="Cambria" w:hAnsi="Cambria" w:cs="Calibri"/>
              </w:rPr>
              <w:t xml:space="preserve"> program</w:t>
            </w:r>
          </w:p>
        </w:tc>
        <w:tc>
          <w:tcPr>
            <w:tcW w:w="6898"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3F28CEA9" w14:textId="77777777" w:rsidR="001E7B89" w:rsidRPr="001E3DFB" w:rsidRDefault="001E7B89" w:rsidP="001E3DFB">
            <w:pPr>
              <w:spacing w:after="0" w:line="240" w:lineRule="auto"/>
              <w:rPr>
                <w:rFonts w:ascii="Cambria" w:hAnsi="Cambria" w:cs="Calibri"/>
                <w:b/>
                <w:bCs/>
              </w:rPr>
            </w:pPr>
            <w:proofErr w:type="spellStart"/>
            <w:r w:rsidRPr="001E3DFB">
              <w:rPr>
                <w:rFonts w:ascii="Cambria" w:hAnsi="Cambria" w:cs="Calibri"/>
              </w:rPr>
              <w:t>Sveučilišni</w:t>
            </w:r>
            <w:proofErr w:type="spellEnd"/>
            <w:r w:rsidRPr="001E3DFB">
              <w:rPr>
                <w:rFonts w:ascii="Cambria" w:hAnsi="Cambria" w:cs="Calibri"/>
              </w:rPr>
              <w:t xml:space="preserve"> </w:t>
            </w:r>
            <w:proofErr w:type="spellStart"/>
            <w:r w:rsidRPr="001E3DFB">
              <w:rPr>
                <w:rFonts w:ascii="Cambria" w:hAnsi="Cambria" w:cs="Calibri"/>
              </w:rPr>
              <w:t>integrirani</w:t>
            </w:r>
            <w:proofErr w:type="spellEnd"/>
            <w:r w:rsidRPr="001E3DFB">
              <w:rPr>
                <w:rFonts w:ascii="Cambria" w:hAnsi="Cambria" w:cs="Calibri"/>
              </w:rPr>
              <w:t xml:space="preserve"> </w:t>
            </w:r>
            <w:proofErr w:type="spellStart"/>
            <w:r w:rsidRPr="001E3DFB">
              <w:rPr>
                <w:rFonts w:ascii="Cambria" w:hAnsi="Cambria" w:cs="Calibri"/>
              </w:rPr>
              <w:t>prijediplomski</w:t>
            </w:r>
            <w:proofErr w:type="spellEnd"/>
            <w:r w:rsidRPr="001E3DFB">
              <w:rPr>
                <w:rFonts w:ascii="Cambria" w:hAnsi="Cambria" w:cs="Calibri"/>
              </w:rPr>
              <w:t xml:space="preserve"> </w:t>
            </w:r>
            <w:proofErr w:type="spellStart"/>
            <w:r w:rsidRPr="001E3DFB">
              <w:rPr>
                <w:rFonts w:ascii="Cambria" w:hAnsi="Cambria" w:cs="Calibri"/>
              </w:rPr>
              <w:t>i</w:t>
            </w:r>
            <w:proofErr w:type="spellEnd"/>
            <w:r w:rsidRPr="001E3DFB">
              <w:rPr>
                <w:rFonts w:ascii="Cambria" w:hAnsi="Cambria" w:cs="Calibri"/>
              </w:rPr>
              <w:t xml:space="preserve"> </w:t>
            </w:r>
            <w:proofErr w:type="spellStart"/>
            <w:r w:rsidRPr="001E3DFB">
              <w:rPr>
                <w:rFonts w:ascii="Cambria" w:hAnsi="Cambria" w:cs="Calibri"/>
              </w:rPr>
              <w:t>diplomski</w:t>
            </w:r>
            <w:proofErr w:type="spellEnd"/>
            <w:r w:rsidRPr="001E3DFB">
              <w:rPr>
                <w:rFonts w:ascii="Cambria" w:hAnsi="Cambria" w:cs="Calibri"/>
              </w:rPr>
              <w:t xml:space="preserve"> </w:t>
            </w:r>
            <w:proofErr w:type="spellStart"/>
            <w:r w:rsidRPr="001E3DFB">
              <w:rPr>
                <w:rFonts w:ascii="Cambria" w:hAnsi="Cambria" w:cs="Calibri"/>
              </w:rPr>
              <w:t>Učiteljski</w:t>
            </w:r>
            <w:proofErr w:type="spellEnd"/>
            <w:r w:rsidRPr="001E3DFB">
              <w:rPr>
                <w:rFonts w:ascii="Cambria" w:hAnsi="Cambria" w:cs="Calibri"/>
              </w:rPr>
              <w:t xml:space="preserve"> </w:t>
            </w:r>
            <w:proofErr w:type="spellStart"/>
            <w:r w:rsidRPr="001E3DFB">
              <w:rPr>
                <w:rFonts w:ascii="Cambria" w:hAnsi="Cambria" w:cs="Calibri"/>
              </w:rPr>
              <w:t>studij</w:t>
            </w:r>
            <w:proofErr w:type="spellEnd"/>
            <w:r w:rsidRPr="001E3DFB">
              <w:rPr>
                <w:rFonts w:ascii="Cambria" w:hAnsi="Cambria" w:cs="Calibri"/>
              </w:rPr>
              <w:t xml:space="preserve"> </w:t>
            </w:r>
            <w:proofErr w:type="spellStart"/>
            <w:r w:rsidRPr="001E3DFB">
              <w:rPr>
                <w:rFonts w:ascii="Cambria" w:hAnsi="Cambria" w:cs="Calibri"/>
              </w:rPr>
              <w:t>na</w:t>
            </w:r>
            <w:proofErr w:type="spellEnd"/>
            <w:r w:rsidRPr="001E3DFB">
              <w:rPr>
                <w:rFonts w:ascii="Cambria" w:hAnsi="Cambria" w:cs="Calibri"/>
              </w:rPr>
              <w:t xml:space="preserve"> </w:t>
            </w:r>
            <w:proofErr w:type="spellStart"/>
            <w:r w:rsidRPr="001E3DFB">
              <w:rPr>
                <w:rFonts w:ascii="Cambria" w:hAnsi="Cambria" w:cs="Calibri"/>
              </w:rPr>
              <w:t>hrvatskom</w:t>
            </w:r>
            <w:proofErr w:type="spellEnd"/>
            <w:r w:rsidRPr="001E3DFB">
              <w:rPr>
                <w:rFonts w:ascii="Cambria" w:hAnsi="Cambria" w:cs="Calibri"/>
              </w:rPr>
              <w:t xml:space="preserve"> </w:t>
            </w:r>
            <w:proofErr w:type="spellStart"/>
            <w:r w:rsidRPr="001E3DFB">
              <w:rPr>
                <w:rFonts w:ascii="Cambria" w:hAnsi="Cambria" w:cs="Calibri"/>
              </w:rPr>
              <w:t>jeziku</w:t>
            </w:r>
            <w:proofErr w:type="spellEnd"/>
          </w:p>
        </w:tc>
      </w:tr>
      <w:tr w:rsidR="001E7B89" w:rsidRPr="00A62FBD" w14:paraId="5BCB2119" w14:textId="77777777" w:rsidTr="008345F3">
        <w:tc>
          <w:tcPr>
            <w:tcW w:w="215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946A30E" w14:textId="77777777" w:rsidR="001E7B89" w:rsidRPr="001E3DFB" w:rsidRDefault="001E7B89" w:rsidP="001E3DFB">
            <w:pPr>
              <w:spacing w:after="0" w:line="240" w:lineRule="auto"/>
              <w:rPr>
                <w:rFonts w:ascii="Cambria" w:hAnsi="Cambria" w:cs="Calibri"/>
              </w:rPr>
            </w:pPr>
            <w:proofErr w:type="spellStart"/>
            <w:r w:rsidRPr="001E3DFB">
              <w:rPr>
                <w:rFonts w:ascii="Cambria" w:hAnsi="Cambria" w:cs="Calibri"/>
              </w:rPr>
              <w:t>Vrsta</w:t>
            </w:r>
            <w:proofErr w:type="spellEnd"/>
            <w:r w:rsidRPr="001E3DFB">
              <w:rPr>
                <w:rFonts w:ascii="Cambria" w:hAnsi="Cambria" w:cs="Calibri"/>
              </w:rPr>
              <w:t xml:space="preserve"> </w:t>
            </w:r>
            <w:proofErr w:type="spellStart"/>
            <w:r w:rsidRPr="001E3DFB">
              <w:rPr>
                <w:rFonts w:ascii="Cambria" w:hAnsi="Cambria" w:cs="Calibri"/>
              </w:rPr>
              <w:t>kolegija</w:t>
            </w:r>
            <w:proofErr w:type="spellEnd"/>
          </w:p>
        </w:tc>
        <w:tc>
          <w:tcPr>
            <w:tcW w:w="208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5E9F925" w14:textId="77777777" w:rsidR="001E7B89" w:rsidRPr="001E3DFB" w:rsidRDefault="001E7B89" w:rsidP="001E3DFB">
            <w:pPr>
              <w:spacing w:after="0" w:line="240" w:lineRule="auto"/>
              <w:rPr>
                <w:rFonts w:ascii="Cambria" w:hAnsi="Cambria" w:cs="Calibri"/>
              </w:rPr>
            </w:pPr>
            <w:proofErr w:type="spellStart"/>
            <w:r w:rsidRPr="001E3DFB">
              <w:rPr>
                <w:rFonts w:ascii="Cambria" w:hAnsi="Cambria" w:cs="Calibri"/>
              </w:rPr>
              <w:t>obavezan</w:t>
            </w:r>
            <w:proofErr w:type="spellEnd"/>
            <w:r w:rsidRPr="001E3DFB">
              <w:rPr>
                <w:rFonts w:ascii="Cambria" w:hAnsi="Cambria" w:cs="Calibri"/>
              </w:rPr>
              <w:t xml:space="preserve"> </w:t>
            </w:r>
          </w:p>
        </w:tc>
        <w:tc>
          <w:tcPr>
            <w:tcW w:w="2745"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2C07EEF6" w14:textId="77777777" w:rsidR="001E7B89" w:rsidRPr="001E3DFB" w:rsidRDefault="001E7B89" w:rsidP="001E3DFB">
            <w:pPr>
              <w:spacing w:after="0" w:line="240" w:lineRule="auto"/>
              <w:rPr>
                <w:rFonts w:ascii="Cambria" w:hAnsi="Cambria" w:cs="Calibri"/>
              </w:rPr>
            </w:pPr>
            <w:r w:rsidRPr="001E3DFB">
              <w:rPr>
                <w:rFonts w:ascii="Cambria" w:hAnsi="Cambria" w:cs="Calibri"/>
              </w:rPr>
              <w:t xml:space="preserve">Razina </w:t>
            </w:r>
            <w:proofErr w:type="spellStart"/>
            <w:r w:rsidRPr="001E3DFB">
              <w:rPr>
                <w:rFonts w:ascii="Cambria" w:hAnsi="Cambria" w:cs="Calibri"/>
              </w:rPr>
              <w:t>kolegija</w:t>
            </w:r>
            <w:proofErr w:type="spellEnd"/>
          </w:p>
        </w:tc>
        <w:tc>
          <w:tcPr>
            <w:tcW w:w="2066"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7672A35" w14:textId="77777777" w:rsidR="001E7B89" w:rsidRPr="00A62FBD" w:rsidRDefault="001E7B89" w:rsidP="001E3DFB">
            <w:pPr>
              <w:spacing w:after="0" w:line="240" w:lineRule="auto"/>
              <w:rPr>
                <w:rFonts w:ascii="Cambria" w:hAnsi="Cambria" w:cs="Calibri"/>
              </w:rPr>
            </w:pPr>
            <w:proofErr w:type="spellStart"/>
            <w:r>
              <w:rPr>
                <w:rFonts w:ascii="Cambria" w:hAnsi="Cambria" w:cs="Calibri"/>
              </w:rPr>
              <w:t>inte</w:t>
            </w:r>
            <w:r w:rsidRPr="00A62FBD">
              <w:rPr>
                <w:rFonts w:ascii="Cambria" w:hAnsi="Cambria" w:cs="Calibri"/>
              </w:rPr>
              <w:t>grirani</w:t>
            </w:r>
            <w:proofErr w:type="spellEnd"/>
          </w:p>
        </w:tc>
      </w:tr>
      <w:tr w:rsidR="001E7B89" w:rsidRPr="00A62FBD" w14:paraId="76EC7C3D" w14:textId="77777777" w:rsidTr="008345F3">
        <w:tc>
          <w:tcPr>
            <w:tcW w:w="215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AC1A0DD" w14:textId="77777777" w:rsidR="001E7B89" w:rsidRPr="001E3DFB" w:rsidRDefault="001E7B89" w:rsidP="001E3DFB">
            <w:pPr>
              <w:spacing w:after="0" w:line="240" w:lineRule="auto"/>
              <w:rPr>
                <w:rFonts w:ascii="Cambria" w:hAnsi="Cambria" w:cs="Calibri"/>
              </w:rPr>
            </w:pPr>
            <w:proofErr w:type="spellStart"/>
            <w:r w:rsidRPr="001E3DFB">
              <w:rPr>
                <w:rFonts w:ascii="Cambria" w:hAnsi="Cambria" w:cs="Calibri"/>
              </w:rPr>
              <w:t>Semestar</w:t>
            </w:r>
            <w:proofErr w:type="spellEnd"/>
          </w:p>
        </w:tc>
        <w:tc>
          <w:tcPr>
            <w:tcW w:w="208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144FD87" w14:textId="77777777" w:rsidR="001E7B89" w:rsidRPr="001E3DFB" w:rsidRDefault="001E7B89" w:rsidP="001E3DFB">
            <w:pPr>
              <w:spacing w:after="0" w:line="240" w:lineRule="auto"/>
              <w:rPr>
                <w:rFonts w:ascii="Cambria" w:hAnsi="Cambria" w:cs="Calibri"/>
              </w:rPr>
            </w:pPr>
            <w:proofErr w:type="spellStart"/>
            <w:r w:rsidRPr="001E3DFB">
              <w:rPr>
                <w:rFonts w:ascii="Cambria" w:hAnsi="Cambria" w:cs="Calibri"/>
              </w:rPr>
              <w:t>ljetni</w:t>
            </w:r>
            <w:proofErr w:type="spellEnd"/>
          </w:p>
        </w:tc>
        <w:tc>
          <w:tcPr>
            <w:tcW w:w="2745"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1EBEE336" w14:textId="77777777" w:rsidR="001E7B89" w:rsidRPr="001E3DFB" w:rsidRDefault="001E7B89" w:rsidP="001E3DFB">
            <w:pPr>
              <w:spacing w:after="0" w:line="240" w:lineRule="auto"/>
              <w:rPr>
                <w:rFonts w:ascii="Cambria" w:hAnsi="Cambria" w:cs="Calibri"/>
              </w:rPr>
            </w:pPr>
            <w:r w:rsidRPr="001E3DFB">
              <w:rPr>
                <w:rFonts w:ascii="Cambria" w:hAnsi="Cambria" w:cs="Calibri"/>
              </w:rPr>
              <w:t xml:space="preserve">Godina </w:t>
            </w:r>
            <w:proofErr w:type="spellStart"/>
            <w:r w:rsidRPr="001E3DFB">
              <w:rPr>
                <w:rFonts w:ascii="Cambria" w:hAnsi="Cambria" w:cs="Calibri"/>
              </w:rPr>
              <w:t>studija</w:t>
            </w:r>
            <w:proofErr w:type="spellEnd"/>
          </w:p>
        </w:tc>
        <w:tc>
          <w:tcPr>
            <w:tcW w:w="2066"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C1F46D1" w14:textId="77777777" w:rsidR="001E7B89" w:rsidRPr="00A62FBD" w:rsidRDefault="001E7B89" w:rsidP="001E3DFB">
            <w:pPr>
              <w:spacing w:after="0" w:line="240" w:lineRule="auto"/>
              <w:rPr>
                <w:rFonts w:ascii="Cambria" w:hAnsi="Cambria" w:cs="Calibri"/>
              </w:rPr>
            </w:pPr>
            <w:r>
              <w:rPr>
                <w:rFonts w:ascii="Cambria" w:hAnsi="Cambria" w:cs="Calibri"/>
              </w:rPr>
              <w:t>IV.</w:t>
            </w:r>
          </w:p>
        </w:tc>
      </w:tr>
      <w:tr w:rsidR="001E7B89" w:rsidRPr="00A62FBD" w14:paraId="11274653" w14:textId="77777777" w:rsidTr="008345F3">
        <w:tc>
          <w:tcPr>
            <w:tcW w:w="215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96738D4" w14:textId="77777777" w:rsidR="001E7B89" w:rsidRPr="001E3DFB" w:rsidRDefault="001E7B89" w:rsidP="001E3DFB">
            <w:pPr>
              <w:spacing w:after="0" w:line="240" w:lineRule="auto"/>
              <w:rPr>
                <w:rFonts w:ascii="Cambria" w:hAnsi="Cambria" w:cs="Calibri"/>
              </w:rPr>
            </w:pPr>
            <w:proofErr w:type="spellStart"/>
            <w:r w:rsidRPr="001E3DFB">
              <w:rPr>
                <w:rFonts w:ascii="Cambria" w:hAnsi="Cambria" w:cs="Calibri"/>
              </w:rPr>
              <w:t>Mjesto</w:t>
            </w:r>
            <w:proofErr w:type="spellEnd"/>
            <w:r w:rsidRPr="001E3DFB">
              <w:rPr>
                <w:rFonts w:ascii="Cambria" w:hAnsi="Cambria" w:cs="Calibri"/>
              </w:rPr>
              <w:t xml:space="preserve"> </w:t>
            </w:r>
            <w:proofErr w:type="spellStart"/>
            <w:r w:rsidRPr="001E3DFB">
              <w:rPr>
                <w:rFonts w:ascii="Cambria" w:hAnsi="Cambria" w:cs="Calibri"/>
              </w:rPr>
              <w:t>izvođenja</w:t>
            </w:r>
            <w:proofErr w:type="spellEnd"/>
          </w:p>
        </w:tc>
        <w:tc>
          <w:tcPr>
            <w:tcW w:w="208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7FC02D8" w14:textId="77777777" w:rsidR="001E7B89" w:rsidRPr="001E3DFB" w:rsidRDefault="001E7B89" w:rsidP="001E3DFB">
            <w:pPr>
              <w:spacing w:after="0" w:line="240" w:lineRule="auto"/>
              <w:rPr>
                <w:rFonts w:ascii="Cambria" w:hAnsi="Cambria" w:cs="Calibri"/>
              </w:rPr>
            </w:pPr>
            <w:proofErr w:type="spellStart"/>
            <w:r w:rsidRPr="001E3DFB">
              <w:rPr>
                <w:rFonts w:ascii="Cambria" w:hAnsi="Cambria" w:cs="Calibri"/>
              </w:rPr>
              <w:t>učionica</w:t>
            </w:r>
            <w:proofErr w:type="spellEnd"/>
            <w:r w:rsidRPr="001E3DFB">
              <w:rPr>
                <w:rFonts w:ascii="Cambria" w:hAnsi="Cambria" w:cs="Calibri"/>
              </w:rPr>
              <w:t xml:space="preserve"> (</w:t>
            </w:r>
            <w:proofErr w:type="spellStart"/>
            <w:r w:rsidRPr="001E3DFB">
              <w:rPr>
                <w:rFonts w:ascii="Cambria" w:hAnsi="Cambria" w:cs="Calibri"/>
              </w:rPr>
              <w:t>dvorana</w:t>
            </w:r>
            <w:proofErr w:type="spellEnd"/>
            <w:r w:rsidRPr="001E3DFB">
              <w:rPr>
                <w:rFonts w:ascii="Cambria" w:hAnsi="Cambria" w:cs="Calibri"/>
              </w:rPr>
              <w:t xml:space="preserve">) </w:t>
            </w:r>
          </w:p>
        </w:tc>
        <w:tc>
          <w:tcPr>
            <w:tcW w:w="2745"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5A05EC89" w14:textId="77777777" w:rsidR="001E7B89" w:rsidRPr="001E3DFB" w:rsidRDefault="001E7B89" w:rsidP="001E3DFB">
            <w:pPr>
              <w:spacing w:after="0" w:line="240" w:lineRule="auto"/>
              <w:rPr>
                <w:rFonts w:ascii="Cambria" w:hAnsi="Cambria" w:cs="Calibri"/>
              </w:rPr>
            </w:pPr>
            <w:r w:rsidRPr="001E3DFB">
              <w:rPr>
                <w:rFonts w:ascii="Cambria" w:hAnsi="Cambria" w:cs="Calibri"/>
              </w:rPr>
              <w:t xml:space="preserve">Jezik </w:t>
            </w:r>
            <w:proofErr w:type="spellStart"/>
            <w:r w:rsidRPr="001E3DFB">
              <w:rPr>
                <w:rFonts w:ascii="Cambria" w:hAnsi="Cambria" w:cs="Calibri"/>
              </w:rPr>
              <w:t>izvođenja</w:t>
            </w:r>
            <w:proofErr w:type="spellEnd"/>
            <w:r w:rsidRPr="001E3DFB">
              <w:rPr>
                <w:rFonts w:ascii="Cambria" w:hAnsi="Cambria" w:cs="Calibri"/>
              </w:rPr>
              <w:t xml:space="preserve"> (</w:t>
            </w:r>
            <w:proofErr w:type="spellStart"/>
            <w:r w:rsidRPr="001E3DFB">
              <w:rPr>
                <w:rFonts w:ascii="Cambria" w:hAnsi="Cambria" w:cs="Calibri"/>
              </w:rPr>
              <w:t>drugi</w:t>
            </w:r>
            <w:proofErr w:type="spellEnd"/>
            <w:r w:rsidRPr="001E3DFB">
              <w:rPr>
                <w:rFonts w:ascii="Cambria" w:hAnsi="Cambria" w:cs="Calibri"/>
              </w:rPr>
              <w:t xml:space="preserve"> </w:t>
            </w:r>
            <w:proofErr w:type="spellStart"/>
            <w:r w:rsidRPr="001E3DFB">
              <w:rPr>
                <w:rFonts w:ascii="Cambria" w:hAnsi="Cambria" w:cs="Calibri"/>
              </w:rPr>
              <w:t>jezici</w:t>
            </w:r>
            <w:proofErr w:type="spellEnd"/>
            <w:r w:rsidRPr="001E3DFB">
              <w:rPr>
                <w:rFonts w:ascii="Cambria" w:hAnsi="Cambria" w:cs="Calibri"/>
              </w:rPr>
              <w:t>)</w:t>
            </w:r>
          </w:p>
        </w:tc>
        <w:tc>
          <w:tcPr>
            <w:tcW w:w="2066"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0503C55" w14:textId="77777777" w:rsidR="001E7B89" w:rsidRPr="00A62FBD" w:rsidRDefault="001E7B89" w:rsidP="001E3DFB">
            <w:pPr>
              <w:spacing w:after="0" w:line="240" w:lineRule="auto"/>
              <w:rPr>
                <w:rFonts w:ascii="Cambria" w:hAnsi="Cambria" w:cs="Calibri"/>
              </w:rPr>
            </w:pPr>
            <w:proofErr w:type="spellStart"/>
            <w:r w:rsidRPr="00A62FBD">
              <w:rPr>
                <w:rFonts w:ascii="Cambria" w:hAnsi="Cambria" w:cs="Calibri"/>
              </w:rPr>
              <w:t>hrvatski</w:t>
            </w:r>
            <w:proofErr w:type="spellEnd"/>
          </w:p>
        </w:tc>
      </w:tr>
      <w:tr w:rsidR="001E7B89" w:rsidRPr="00A62FBD" w14:paraId="4CFC6BCF" w14:textId="77777777" w:rsidTr="008345F3">
        <w:tc>
          <w:tcPr>
            <w:tcW w:w="215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AC18F88" w14:textId="77777777" w:rsidR="001E7B89" w:rsidRPr="001E3DFB" w:rsidRDefault="001E7B89" w:rsidP="001E3DFB">
            <w:pPr>
              <w:spacing w:after="0" w:line="240" w:lineRule="auto"/>
              <w:rPr>
                <w:rFonts w:ascii="Cambria" w:hAnsi="Cambria" w:cs="Calibri"/>
              </w:rPr>
            </w:pPr>
            <w:proofErr w:type="spellStart"/>
            <w:r w:rsidRPr="001E3DFB">
              <w:rPr>
                <w:rFonts w:ascii="Cambria" w:hAnsi="Cambria" w:cs="Calibri"/>
              </w:rPr>
              <w:t>Broj</w:t>
            </w:r>
            <w:proofErr w:type="spellEnd"/>
            <w:r w:rsidRPr="001E3DFB">
              <w:rPr>
                <w:rFonts w:ascii="Cambria" w:hAnsi="Cambria" w:cs="Calibri"/>
              </w:rPr>
              <w:t xml:space="preserve"> ECTS </w:t>
            </w:r>
            <w:proofErr w:type="spellStart"/>
            <w:r w:rsidRPr="001E3DFB">
              <w:rPr>
                <w:rFonts w:ascii="Cambria" w:hAnsi="Cambria" w:cs="Calibri"/>
              </w:rPr>
              <w:t>bodova</w:t>
            </w:r>
            <w:proofErr w:type="spellEnd"/>
          </w:p>
        </w:tc>
        <w:tc>
          <w:tcPr>
            <w:tcW w:w="208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EAC22C8" w14:textId="77777777" w:rsidR="001E7B89" w:rsidRPr="001E3DFB" w:rsidRDefault="001E7B89" w:rsidP="001E3DFB">
            <w:pPr>
              <w:spacing w:after="0" w:line="240" w:lineRule="auto"/>
              <w:rPr>
                <w:rFonts w:ascii="Cambria" w:hAnsi="Cambria" w:cs="Calibri"/>
              </w:rPr>
            </w:pPr>
            <w:r w:rsidRPr="001E3DFB">
              <w:rPr>
                <w:rFonts w:ascii="Cambria" w:hAnsi="Cambria" w:cs="Calibri"/>
              </w:rPr>
              <w:t>5</w:t>
            </w:r>
          </w:p>
        </w:tc>
        <w:tc>
          <w:tcPr>
            <w:tcW w:w="2745"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0CBF2C59" w14:textId="77777777" w:rsidR="001E7B89" w:rsidRPr="001E3DFB" w:rsidRDefault="001E7B89" w:rsidP="001E3DFB">
            <w:pPr>
              <w:spacing w:after="0" w:line="240" w:lineRule="auto"/>
              <w:rPr>
                <w:rFonts w:ascii="Cambria" w:hAnsi="Cambria" w:cs="Calibri"/>
              </w:rPr>
            </w:pPr>
            <w:proofErr w:type="spellStart"/>
            <w:r w:rsidRPr="001E3DFB">
              <w:rPr>
                <w:rFonts w:ascii="Cambria" w:hAnsi="Cambria" w:cs="Calibri"/>
              </w:rPr>
              <w:t>Broj</w:t>
            </w:r>
            <w:proofErr w:type="spellEnd"/>
            <w:r w:rsidRPr="001E3DFB">
              <w:rPr>
                <w:rFonts w:ascii="Cambria" w:hAnsi="Cambria" w:cs="Calibri"/>
              </w:rPr>
              <w:t xml:space="preserve"> sati u </w:t>
            </w:r>
            <w:proofErr w:type="spellStart"/>
            <w:r w:rsidRPr="001E3DFB">
              <w:rPr>
                <w:rFonts w:ascii="Cambria" w:hAnsi="Cambria" w:cs="Calibri"/>
              </w:rPr>
              <w:t>semestru</w:t>
            </w:r>
            <w:proofErr w:type="spellEnd"/>
          </w:p>
        </w:tc>
        <w:tc>
          <w:tcPr>
            <w:tcW w:w="2066"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D151612" w14:textId="41E59D7F" w:rsidR="001E7B89" w:rsidRPr="00A62FBD" w:rsidRDefault="001E7B89" w:rsidP="001E3DFB">
            <w:pPr>
              <w:spacing w:after="0" w:line="240" w:lineRule="auto"/>
              <w:rPr>
                <w:rFonts w:ascii="Cambria" w:hAnsi="Cambria" w:cs="Calibri"/>
              </w:rPr>
            </w:pPr>
            <w:r>
              <w:rPr>
                <w:rFonts w:ascii="Cambria" w:hAnsi="Cambria" w:cs="Calibri"/>
              </w:rPr>
              <w:t>30</w:t>
            </w:r>
            <w:r w:rsidRPr="00A62FBD">
              <w:rPr>
                <w:rFonts w:ascii="Cambria" w:hAnsi="Cambria" w:cs="Calibri"/>
              </w:rPr>
              <w:t xml:space="preserve">P – </w:t>
            </w:r>
            <w:r w:rsidR="006F12A5" w:rsidRPr="00A62FBD">
              <w:rPr>
                <w:rFonts w:ascii="Cambria" w:hAnsi="Cambria" w:cs="Calibri"/>
              </w:rPr>
              <w:t>0S</w:t>
            </w:r>
            <w:r w:rsidR="006F12A5">
              <w:rPr>
                <w:rFonts w:ascii="Cambria" w:hAnsi="Cambria" w:cs="Calibri"/>
              </w:rPr>
              <w:t xml:space="preserve"> – </w:t>
            </w:r>
            <w:r w:rsidRPr="00A62FBD">
              <w:rPr>
                <w:rFonts w:ascii="Cambria" w:hAnsi="Cambria" w:cs="Calibri"/>
              </w:rPr>
              <w:t xml:space="preserve">30V        </w:t>
            </w:r>
          </w:p>
        </w:tc>
      </w:tr>
      <w:tr w:rsidR="001E7B89" w:rsidRPr="00D0399C" w14:paraId="7B8AE4C3" w14:textId="77777777" w:rsidTr="008345F3">
        <w:trPr>
          <w:trHeight w:val="670"/>
        </w:trPr>
        <w:tc>
          <w:tcPr>
            <w:tcW w:w="215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AC0B1AE" w14:textId="77777777" w:rsidR="001E7B89" w:rsidRPr="001E7B89" w:rsidRDefault="001E7B89" w:rsidP="001E3DFB">
            <w:pPr>
              <w:spacing w:after="0" w:line="240" w:lineRule="auto"/>
              <w:rPr>
                <w:rFonts w:ascii="Cambria" w:hAnsi="Cambria" w:cs="Calibri"/>
                <w:lang w:val="it-IT"/>
              </w:rPr>
            </w:pPr>
            <w:proofErr w:type="spellStart"/>
            <w:r w:rsidRPr="001E7B89">
              <w:rPr>
                <w:rFonts w:ascii="Cambria" w:hAnsi="Cambria" w:cs="Calibri"/>
                <w:lang w:val="it-IT"/>
              </w:rPr>
              <w:t>Preduvjeti</w:t>
            </w:r>
            <w:proofErr w:type="spellEnd"/>
            <w:r w:rsidRPr="001E7B89">
              <w:rPr>
                <w:rFonts w:ascii="Cambria" w:hAnsi="Cambria" w:cs="Calibri"/>
                <w:lang w:val="it-IT"/>
              </w:rPr>
              <w:t xml:space="preserve"> za </w:t>
            </w:r>
            <w:proofErr w:type="spellStart"/>
            <w:r w:rsidRPr="001E7B89">
              <w:rPr>
                <w:rFonts w:ascii="Cambria" w:hAnsi="Cambria" w:cs="Calibri"/>
                <w:lang w:val="it-IT"/>
              </w:rPr>
              <w:t>upis</w:t>
            </w:r>
            <w:proofErr w:type="spellEnd"/>
            <w:r w:rsidRPr="001E7B89">
              <w:rPr>
                <w:rFonts w:ascii="Cambria" w:hAnsi="Cambria" w:cs="Calibri"/>
                <w:lang w:val="it-IT"/>
              </w:rPr>
              <w:t xml:space="preserve"> i za </w:t>
            </w:r>
            <w:proofErr w:type="spellStart"/>
            <w:r w:rsidRPr="001E7B89">
              <w:rPr>
                <w:rFonts w:ascii="Cambria" w:hAnsi="Cambria" w:cs="Calibri"/>
                <w:lang w:val="it-IT"/>
              </w:rPr>
              <w:t>svladavanje</w:t>
            </w:r>
            <w:proofErr w:type="spellEnd"/>
          </w:p>
        </w:tc>
        <w:tc>
          <w:tcPr>
            <w:tcW w:w="6898"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D6D0CA5" w14:textId="77777777" w:rsidR="001E7B89" w:rsidRPr="001E7B89" w:rsidRDefault="001E7B89" w:rsidP="001E3DFB">
            <w:pPr>
              <w:autoSpaceDE w:val="0"/>
              <w:autoSpaceDN w:val="0"/>
              <w:adjustRightInd w:val="0"/>
              <w:spacing w:after="0" w:line="240" w:lineRule="auto"/>
              <w:rPr>
                <w:rFonts w:ascii="Cambria" w:hAnsi="Cambria" w:cs="Calibri"/>
                <w:lang w:val="it-IT"/>
              </w:rPr>
            </w:pPr>
            <w:r w:rsidRPr="001E7B89">
              <w:rPr>
                <w:rFonts w:ascii="Cambria" w:hAnsi="Cambria" w:cs="Calibri"/>
                <w:lang w:val="it-IT"/>
              </w:rPr>
              <w:t xml:space="preserve">Za </w:t>
            </w:r>
            <w:proofErr w:type="spellStart"/>
            <w:r w:rsidRPr="001E7B89">
              <w:rPr>
                <w:rFonts w:ascii="Cambria" w:hAnsi="Cambria" w:cs="Calibri"/>
                <w:lang w:val="it-IT"/>
              </w:rPr>
              <w:t>upis</w:t>
            </w:r>
            <w:proofErr w:type="spellEnd"/>
            <w:r w:rsidRPr="001E7B89">
              <w:rPr>
                <w:rFonts w:ascii="Cambria" w:hAnsi="Cambria" w:cs="Calibri"/>
                <w:lang w:val="it-IT"/>
              </w:rPr>
              <w:t xml:space="preserve"> </w:t>
            </w:r>
            <w:proofErr w:type="spellStart"/>
            <w:r w:rsidRPr="001E7B89">
              <w:rPr>
                <w:rFonts w:ascii="Cambria" w:hAnsi="Cambria" w:cs="Calibri"/>
                <w:lang w:val="it-IT"/>
              </w:rPr>
              <w:t>kolegija</w:t>
            </w:r>
            <w:proofErr w:type="spellEnd"/>
            <w:r w:rsidRPr="001E7B89">
              <w:rPr>
                <w:rFonts w:ascii="Cambria" w:hAnsi="Cambria" w:cs="Calibri"/>
                <w:lang w:val="it-IT"/>
              </w:rPr>
              <w:t xml:space="preserve"> </w:t>
            </w:r>
            <w:proofErr w:type="spellStart"/>
            <w:r w:rsidRPr="001E7B89">
              <w:rPr>
                <w:rFonts w:ascii="Cambria" w:hAnsi="Cambria" w:cs="Calibri"/>
                <w:lang w:val="it-IT"/>
              </w:rPr>
              <w:t>Metodika</w:t>
            </w:r>
            <w:proofErr w:type="spellEnd"/>
            <w:r w:rsidRPr="001E7B89">
              <w:rPr>
                <w:rFonts w:ascii="Cambria" w:hAnsi="Cambria" w:cs="Calibri"/>
                <w:lang w:val="it-IT"/>
              </w:rPr>
              <w:t xml:space="preserve"> </w:t>
            </w:r>
            <w:proofErr w:type="spellStart"/>
            <w:r w:rsidRPr="001E7B89">
              <w:rPr>
                <w:rFonts w:ascii="Cambria" w:hAnsi="Cambria" w:cs="Calibri"/>
                <w:lang w:val="it-IT"/>
              </w:rPr>
              <w:t>nastave</w:t>
            </w:r>
            <w:proofErr w:type="spellEnd"/>
            <w:r w:rsidRPr="001E7B89">
              <w:rPr>
                <w:rFonts w:ascii="Cambria" w:hAnsi="Cambria" w:cs="Calibri"/>
                <w:lang w:val="it-IT"/>
              </w:rPr>
              <w:t xml:space="preserve"> </w:t>
            </w:r>
            <w:proofErr w:type="spellStart"/>
            <w:r w:rsidRPr="001E7B89">
              <w:rPr>
                <w:rFonts w:ascii="Cambria" w:hAnsi="Cambria" w:cs="Calibri"/>
                <w:lang w:val="it-IT"/>
              </w:rPr>
              <w:t>matematike</w:t>
            </w:r>
            <w:proofErr w:type="spellEnd"/>
            <w:r w:rsidRPr="001E7B89">
              <w:rPr>
                <w:rFonts w:ascii="Cambria" w:hAnsi="Cambria" w:cs="Calibri"/>
                <w:lang w:val="it-IT"/>
              </w:rPr>
              <w:t xml:space="preserve"> II </w:t>
            </w:r>
            <w:proofErr w:type="spellStart"/>
            <w:r w:rsidRPr="001E7B89">
              <w:rPr>
                <w:rFonts w:ascii="Cambria" w:hAnsi="Cambria" w:cs="Calibri"/>
                <w:lang w:val="it-IT"/>
              </w:rPr>
              <w:t>student</w:t>
            </w:r>
            <w:proofErr w:type="spellEnd"/>
            <w:r w:rsidRPr="001E7B89">
              <w:rPr>
                <w:rFonts w:ascii="Cambria" w:hAnsi="Cambria" w:cs="Calibri"/>
                <w:lang w:val="it-IT"/>
              </w:rPr>
              <w:t xml:space="preserve"> </w:t>
            </w:r>
            <w:proofErr w:type="spellStart"/>
            <w:r w:rsidRPr="001E7B89">
              <w:rPr>
                <w:rFonts w:ascii="Cambria" w:hAnsi="Cambria" w:cs="Calibri"/>
                <w:lang w:val="it-IT"/>
              </w:rPr>
              <w:t>treba</w:t>
            </w:r>
            <w:proofErr w:type="spellEnd"/>
            <w:r w:rsidRPr="001E7B89">
              <w:rPr>
                <w:rFonts w:ascii="Cambria" w:hAnsi="Cambria" w:cs="Calibri"/>
                <w:lang w:val="it-IT"/>
              </w:rPr>
              <w:t xml:space="preserve"> imati </w:t>
            </w:r>
            <w:proofErr w:type="spellStart"/>
            <w:r w:rsidRPr="001E7B89">
              <w:rPr>
                <w:rFonts w:ascii="Cambria" w:hAnsi="Cambria" w:cs="Calibri"/>
                <w:lang w:val="it-IT"/>
              </w:rPr>
              <w:t>odslušan</w:t>
            </w:r>
            <w:proofErr w:type="spellEnd"/>
            <w:r w:rsidRPr="001E7B89">
              <w:rPr>
                <w:rFonts w:ascii="Cambria" w:hAnsi="Cambria" w:cs="Calibri"/>
                <w:lang w:val="it-IT"/>
              </w:rPr>
              <w:t xml:space="preserve"> </w:t>
            </w:r>
            <w:proofErr w:type="spellStart"/>
            <w:r w:rsidRPr="001E7B89">
              <w:rPr>
                <w:rFonts w:ascii="Cambria" w:hAnsi="Cambria" w:cs="Calibri"/>
                <w:lang w:val="it-IT"/>
              </w:rPr>
              <w:t>kolegij</w:t>
            </w:r>
            <w:proofErr w:type="spellEnd"/>
            <w:r w:rsidRPr="001E7B89">
              <w:rPr>
                <w:rFonts w:ascii="Cambria" w:hAnsi="Cambria" w:cs="Calibri"/>
                <w:lang w:val="it-IT"/>
              </w:rPr>
              <w:t xml:space="preserve"> </w:t>
            </w:r>
            <w:proofErr w:type="spellStart"/>
            <w:r w:rsidRPr="001E7B89">
              <w:rPr>
                <w:rFonts w:ascii="Cambria" w:hAnsi="Cambria" w:cs="Calibri"/>
                <w:lang w:val="it-IT"/>
              </w:rPr>
              <w:t>Metodika</w:t>
            </w:r>
            <w:proofErr w:type="spellEnd"/>
            <w:r w:rsidRPr="001E7B89">
              <w:rPr>
                <w:rFonts w:ascii="Cambria" w:hAnsi="Cambria" w:cs="Calibri"/>
                <w:lang w:val="it-IT"/>
              </w:rPr>
              <w:t xml:space="preserve"> </w:t>
            </w:r>
            <w:proofErr w:type="spellStart"/>
            <w:r w:rsidRPr="001E7B89">
              <w:rPr>
                <w:rFonts w:ascii="Cambria" w:hAnsi="Cambria" w:cs="Calibri"/>
                <w:lang w:val="it-IT"/>
              </w:rPr>
              <w:t>nastave</w:t>
            </w:r>
            <w:proofErr w:type="spellEnd"/>
            <w:r w:rsidRPr="001E7B89">
              <w:rPr>
                <w:rFonts w:ascii="Cambria" w:hAnsi="Cambria" w:cs="Calibri"/>
                <w:lang w:val="it-IT"/>
              </w:rPr>
              <w:t xml:space="preserve"> </w:t>
            </w:r>
            <w:proofErr w:type="spellStart"/>
            <w:r w:rsidRPr="001E7B89">
              <w:rPr>
                <w:rFonts w:ascii="Cambria" w:hAnsi="Cambria" w:cs="Calibri"/>
                <w:lang w:val="it-IT"/>
              </w:rPr>
              <w:t>matematike</w:t>
            </w:r>
            <w:proofErr w:type="spellEnd"/>
            <w:r w:rsidRPr="001E7B89">
              <w:rPr>
                <w:rFonts w:ascii="Cambria" w:hAnsi="Cambria" w:cs="Calibri"/>
                <w:lang w:val="it-IT"/>
              </w:rPr>
              <w:t xml:space="preserve"> I. Za </w:t>
            </w:r>
            <w:proofErr w:type="spellStart"/>
            <w:r w:rsidRPr="001E7B89">
              <w:rPr>
                <w:rFonts w:ascii="Cambria" w:hAnsi="Cambria" w:cs="Calibri"/>
                <w:lang w:val="it-IT"/>
              </w:rPr>
              <w:t>pristup</w:t>
            </w:r>
            <w:proofErr w:type="spellEnd"/>
            <w:r w:rsidRPr="001E7B89">
              <w:rPr>
                <w:rFonts w:ascii="Cambria" w:hAnsi="Cambria" w:cs="Calibri"/>
                <w:lang w:val="it-IT"/>
              </w:rPr>
              <w:t xml:space="preserve"> </w:t>
            </w:r>
            <w:proofErr w:type="spellStart"/>
            <w:r w:rsidRPr="001E7B89">
              <w:rPr>
                <w:rFonts w:ascii="Cambria" w:hAnsi="Cambria" w:cs="Calibri"/>
                <w:lang w:val="it-IT"/>
              </w:rPr>
              <w:t>ispitu</w:t>
            </w:r>
            <w:proofErr w:type="spellEnd"/>
            <w:r w:rsidRPr="001E7B89">
              <w:rPr>
                <w:rFonts w:ascii="Cambria" w:hAnsi="Cambria" w:cs="Calibri"/>
                <w:lang w:val="it-IT"/>
              </w:rPr>
              <w:t xml:space="preserve"> </w:t>
            </w:r>
            <w:proofErr w:type="spellStart"/>
            <w:r w:rsidRPr="001E7B89">
              <w:rPr>
                <w:rFonts w:ascii="Cambria" w:hAnsi="Cambria" w:cs="Calibri"/>
                <w:lang w:val="it-IT"/>
              </w:rPr>
              <w:t>iz</w:t>
            </w:r>
            <w:proofErr w:type="spellEnd"/>
            <w:r w:rsidRPr="001E7B89">
              <w:rPr>
                <w:rFonts w:ascii="Cambria" w:hAnsi="Cambria" w:cs="Calibri"/>
                <w:lang w:val="it-IT"/>
              </w:rPr>
              <w:t xml:space="preserve"> </w:t>
            </w:r>
            <w:proofErr w:type="spellStart"/>
            <w:r w:rsidRPr="001E7B89">
              <w:rPr>
                <w:rFonts w:ascii="Cambria" w:hAnsi="Cambria" w:cs="Calibri"/>
                <w:lang w:val="it-IT"/>
              </w:rPr>
              <w:t>kolegija</w:t>
            </w:r>
            <w:proofErr w:type="spellEnd"/>
            <w:r w:rsidRPr="001E7B89">
              <w:rPr>
                <w:rFonts w:ascii="Cambria" w:hAnsi="Cambria" w:cs="Calibri"/>
                <w:lang w:val="it-IT"/>
              </w:rPr>
              <w:t xml:space="preserve"> </w:t>
            </w:r>
            <w:proofErr w:type="spellStart"/>
            <w:r w:rsidRPr="001E7B89">
              <w:rPr>
                <w:rFonts w:ascii="Cambria" w:hAnsi="Cambria" w:cs="Calibri"/>
                <w:lang w:val="it-IT"/>
              </w:rPr>
              <w:t>Metodika</w:t>
            </w:r>
            <w:proofErr w:type="spellEnd"/>
            <w:r w:rsidRPr="001E7B89">
              <w:rPr>
                <w:rFonts w:ascii="Cambria" w:hAnsi="Cambria" w:cs="Calibri"/>
                <w:lang w:val="it-IT"/>
              </w:rPr>
              <w:t xml:space="preserve"> </w:t>
            </w:r>
            <w:proofErr w:type="spellStart"/>
            <w:proofErr w:type="gramStart"/>
            <w:r w:rsidRPr="001E7B89">
              <w:rPr>
                <w:rFonts w:ascii="Cambria" w:hAnsi="Cambria" w:cs="Calibri"/>
                <w:lang w:val="it-IT"/>
              </w:rPr>
              <w:t>nastave</w:t>
            </w:r>
            <w:proofErr w:type="spellEnd"/>
            <w:r w:rsidRPr="001E7B89">
              <w:rPr>
                <w:rFonts w:ascii="Cambria" w:hAnsi="Cambria" w:cs="Calibri"/>
                <w:lang w:val="it-IT"/>
              </w:rPr>
              <w:t xml:space="preserve">  </w:t>
            </w:r>
            <w:proofErr w:type="spellStart"/>
            <w:r w:rsidRPr="001E7B89">
              <w:rPr>
                <w:rFonts w:ascii="Cambria" w:hAnsi="Cambria" w:cs="Calibri"/>
                <w:lang w:val="it-IT"/>
              </w:rPr>
              <w:t>matematike</w:t>
            </w:r>
            <w:proofErr w:type="spellEnd"/>
            <w:proofErr w:type="gramEnd"/>
            <w:r w:rsidRPr="001E7B89">
              <w:rPr>
                <w:rFonts w:ascii="Cambria" w:hAnsi="Cambria" w:cs="Calibri"/>
                <w:lang w:val="it-IT"/>
              </w:rPr>
              <w:t xml:space="preserve"> II </w:t>
            </w:r>
            <w:proofErr w:type="spellStart"/>
            <w:r w:rsidRPr="001E7B89">
              <w:rPr>
                <w:rFonts w:ascii="Cambria" w:hAnsi="Cambria" w:cs="Calibri"/>
                <w:lang w:val="it-IT"/>
              </w:rPr>
              <w:t>student</w:t>
            </w:r>
            <w:proofErr w:type="spellEnd"/>
            <w:r w:rsidRPr="001E7B89">
              <w:rPr>
                <w:rFonts w:ascii="Cambria" w:hAnsi="Cambria" w:cs="Calibri"/>
                <w:lang w:val="it-IT"/>
              </w:rPr>
              <w:t xml:space="preserve"> </w:t>
            </w:r>
            <w:proofErr w:type="spellStart"/>
            <w:r w:rsidRPr="001E7B89">
              <w:rPr>
                <w:rFonts w:ascii="Cambria" w:hAnsi="Cambria" w:cs="Calibri"/>
                <w:lang w:val="it-IT"/>
              </w:rPr>
              <w:t>treba</w:t>
            </w:r>
            <w:proofErr w:type="spellEnd"/>
            <w:r w:rsidRPr="001E7B89">
              <w:rPr>
                <w:rFonts w:ascii="Cambria" w:hAnsi="Cambria" w:cs="Calibri"/>
                <w:lang w:val="it-IT"/>
              </w:rPr>
              <w:t xml:space="preserve"> </w:t>
            </w:r>
            <w:proofErr w:type="spellStart"/>
            <w:r w:rsidRPr="001E7B89">
              <w:rPr>
                <w:rFonts w:ascii="Cambria" w:hAnsi="Cambria" w:cs="Calibri"/>
                <w:lang w:val="it-IT"/>
              </w:rPr>
              <w:t>položiti</w:t>
            </w:r>
            <w:proofErr w:type="spellEnd"/>
            <w:r w:rsidRPr="001E7B89">
              <w:rPr>
                <w:rFonts w:ascii="Cambria" w:hAnsi="Cambria" w:cs="Calibri"/>
                <w:lang w:val="it-IT"/>
              </w:rPr>
              <w:t xml:space="preserve"> </w:t>
            </w:r>
            <w:proofErr w:type="spellStart"/>
            <w:r w:rsidRPr="001E7B89">
              <w:rPr>
                <w:rFonts w:ascii="Cambria" w:hAnsi="Cambria" w:cs="Calibri"/>
                <w:lang w:val="it-IT"/>
              </w:rPr>
              <w:t>kolegij</w:t>
            </w:r>
            <w:proofErr w:type="spellEnd"/>
            <w:r w:rsidRPr="001E7B89">
              <w:rPr>
                <w:rFonts w:ascii="Cambria" w:hAnsi="Cambria" w:cs="Calibri"/>
                <w:lang w:val="it-IT"/>
              </w:rPr>
              <w:t xml:space="preserve"> </w:t>
            </w:r>
            <w:proofErr w:type="spellStart"/>
            <w:r w:rsidRPr="001E7B89">
              <w:rPr>
                <w:rFonts w:ascii="Cambria" w:hAnsi="Cambria" w:cs="Calibri"/>
                <w:lang w:val="it-IT"/>
              </w:rPr>
              <w:t>Metodika</w:t>
            </w:r>
            <w:proofErr w:type="spellEnd"/>
            <w:r w:rsidRPr="001E7B89">
              <w:rPr>
                <w:rFonts w:ascii="Cambria" w:hAnsi="Cambria" w:cs="Calibri"/>
                <w:lang w:val="it-IT"/>
              </w:rPr>
              <w:t xml:space="preserve"> </w:t>
            </w:r>
            <w:proofErr w:type="spellStart"/>
            <w:r w:rsidRPr="001E7B89">
              <w:rPr>
                <w:rFonts w:ascii="Cambria" w:hAnsi="Cambria" w:cs="Calibri"/>
                <w:lang w:val="it-IT"/>
              </w:rPr>
              <w:t>nastave</w:t>
            </w:r>
            <w:proofErr w:type="spellEnd"/>
            <w:r w:rsidRPr="001E7B89">
              <w:rPr>
                <w:rFonts w:ascii="Cambria" w:hAnsi="Cambria" w:cs="Calibri"/>
                <w:lang w:val="it-IT"/>
              </w:rPr>
              <w:t xml:space="preserve"> </w:t>
            </w:r>
            <w:proofErr w:type="spellStart"/>
            <w:r w:rsidRPr="001E7B89">
              <w:rPr>
                <w:rFonts w:ascii="Cambria" w:hAnsi="Cambria" w:cs="Calibri"/>
                <w:lang w:val="it-IT"/>
              </w:rPr>
              <w:t>matematike</w:t>
            </w:r>
            <w:proofErr w:type="spellEnd"/>
            <w:r w:rsidRPr="001E7B89">
              <w:rPr>
                <w:rFonts w:ascii="Cambria" w:hAnsi="Cambria" w:cs="Calibri"/>
                <w:lang w:val="it-IT"/>
              </w:rPr>
              <w:t xml:space="preserve"> I (</w:t>
            </w:r>
            <w:proofErr w:type="spellStart"/>
            <w:proofErr w:type="gramStart"/>
            <w:r w:rsidRPr="001E7B89">
              <w:rPr>
                <w:rFonts w:ascii="Cambria" w:hAnsi="Cambria" w:cs="Calibri"/>
                <w:lang w:val="it-IT"/>
              </w:rPr>
              <w:t>vezani</w:t>
            </w:r>
            <w:proofErr w:type="spellEnd"/>
            <w:r w:rsidRPr="001E7B89">
              <w:rPr>
                <w:rFonts w:ascii="Cambria" w:hAnsi="Cambria" w:cs="Calibri"/>
                <w:lang w:val="it-IT"/>
              </w:rPr>
              <w:t xml:space="preserve">  </w:t>
            </w:r>
            <w:proofErr w:type="spellStart"/>
            <w:r w:rsidRPr="001E7B89">
              <w:rPr>
                <w:rFonts w:ascii="Cambria" w:hAnsi="Cambria" w:cs="Calibri"/>
                <w:lang w:val="it-IT"/>
              </w:rPr>
              <w:t>kolegiji</w:t>
            </w:r>
            <w:proofErr w:type="spellEnd"/>
            <w:proofErr w:type="gramEnd"/>
            <w:r w:rsidRPr="001E7B89">
              <w:rPr>
                <w:rFonts w:ascii="Cambria" w:hAnsi="Cambria" w:cs="Calibri"/>
                <w:lang w:val="it-IT"/>
              </w:rPr>
              <w:t>).</w:t>
            </w:r>
          </w:p>
        </w:tc>
      </w:tr>
      <w:tr w:rsidR="001E7B89" w:rsidRPr="00D0399C" w14:paraId="6840FC91" w14:textId="77777777" w:rsidTr="008345F3">
        <w:tc>
          <w:tcPr>
            <w:tcW w:w="215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A771057" w14:textId="77777777" w:rsidR="001E7B89" w:rsidRPr="00A62FBD" w:rsidRDefault="001E7B89" w:rsidP="001E3DFB">
            <w:pPr>
              <w:spacing w:after="0" w:line="240" w:lineRule="auto"/>
              <w:rPr>
                <w:rFonts w:ascii="Cambria" w:hAnsi="Cambria" w:cs="Calibri"/>
              </w:rPr>
            </w:pPr>
            <w:proofErr w:type="spellStart"/>
            <w:r w:rsidRPr="00A62FBD">
              <w:rPr>
                <w:rFonts w:ascii="Cambria" w:hAnsi="Cambria" w:cs="Calibri"/>
              </w:rPr>
              <w:t>Korelativnost</w:t>
            </w:r>
            <w:proofErr w:type="spellEnd"/>
          </w:p>
        </w:tc>
        <w:tc>
          <w:tcPr>
            <w:tcW w:w="6898"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4BAAB0D" w14:textId="77777777" w:rsidR="001E7B89" w:rsidRPr="001E7B89" w:rsidRDefault="001E7B89" w:rsidP="001E3DFB">
            <w:pPr>
              <w:spacing w:after="0" w:line="240" w:lineRule="auto"/>
              <w:rPr>
                <w:rFonts w:ascii="Cambria" w:hAnsi="Cambria" w:cs="Calibri"/>
                <w:lang w:val="it-IT"/>
              </w:rPr>
            </w:pPr>
            <w:proofErr w:type="spellStart"/>
            <w:r w:rsidRPr="001E7B89">
              <w:rPr>
                <w:rFonts w:ascii="Cambria" w:hAnsi="Cambria" w:cs="Calibri"/>
                <w:lang w:val="it-IT"/>
              </w:rPr>
              <w:t>Metodika</w:t>
            </w:r>
            <w:proofErr w:type="spellEnd"/>
            <w:r w:rsidRPr="001E7B89">
              <w:rPr>
                <w:rFonts w:ascii="Cambria" w:hAnsi="Cambria" w:cs="Calibri"/>
                <w:lang w:val="it-IT"/>
              </w:rPr>
              <w:t xml:space="preserve"> </w:t>
            </w:r>
            <w:proofErr w:type="spellStart"/>
            <w:r w:rsidRPr="001E7B89">
              <w:rPr>
                <w:rFonts w:ascii="Cambria" w:hAnsi="Cambria" w:cs="Calibri"/>
                <w:lang w:val="it-IT"/>
              </w:rPr>
              <w:t>nastave</w:t>
            </w:r>
            <w:proofErr w:type="spellEnd"/>
            <w:r w:rsidRPr="001E7B89">
              <w:rPr>
                <w:rFonts w:ascii="Cambria" w:hAnsi="Cambria" w:cs="Calibri"/>
                <w:lang w:val="it-IT"/>
              </w:rPr>
              <w:t xml:space="preserve"> </w:t>
            </w:r>
            <w:proofErr w:type="spellStart"/>
            <w:r w:rsidRPr="001E7B89">
              <w:rPr>
                <w:rFonts w:ascii="Cambria" w:hAnsi="Cambria" w:cs="Calibri"/>
                <w:lang w:val="it-IT"/>
              </w:rPr>
              <w:t>matematike</w:t>
            </w:r>
            <w:proofErr w:type="spellEnd"/>
            <w:r w:rsidRPr="001E7B89">
              <w:rPr>
                <w:rFonts w:ascii="Cambria" w:hAnsi="Cambria" w:cs="Calibri"/>
                <w:lang w:val="it-IT"/>
              </w:rPr>
              <w:t xml:space="preserve"> I, </w:t>
            </w:r>
            <w:proofErr w:type="spellStart"/>
            <w:r w:rsidRPr="001E7B89">
              <w:rPr>
                <w:rFonts w:ascii="Cambria" w:hAnsi="Cambria" w:cs="Calibri"/>
                <w:lang w:val="it-IT"/>
              </w:rPr>
              <w:t>Metodika</w:t>
            </w:r>
            <w:proofErr w:type="spellEnd"/>
            <w:r w:rsidRPr="001E7B89">
              <w:rPr>
                <w:rFonts w:ascii="Cambria" w:hAnsi="Cambria" w:cs="Calibri"/>
                <w:lang w:val="it-IT"/>
              </w:rPr>
              <w:t xml:space="preserve"> </w:t>
            </w:r>
            <w:proofErr w:type="spellStart"/>
            <w:r w:rsidRPr="001E7B89">
              <w:rPr>
                <w:rFonts w:ascii="Cambria" w:hAnsi="Cambria" w:cs="Calibri"/>
                <w:lang w:val="it-IT"/>
              </w:rPr>
              <w:t>nastave</w:t>
            </w:r>
            <w:proofErr w:type="spellEnd"/>
            <w:r w:rsidRPr="001E7B89">
              <w:rPr>
                <w:rFonts w:ascii="Cambria" w:hAnsi="Cambria" w:cs="Calibri"/>
                <w:lang w:val="it-IT"/>
              </w:rPr>
              <w:t xml:space="preserve"> </w:t>
            </w:r>
            <w:proofErr w:type="spellStart"/>
            <w:r w:rsidRPr="001E7B89">
              <w:rPr>
                <w:rFonts w:ascii="Cambria" w:hAnsi="Cambria" w:cs="Calibri"/>
                <w:lang w:val="it-IT"/>
              </w:rPr>
              <w:t>matematike</w:t>
            </w:r>
            <w:proofErr w:type="spellEnd"/>
            <w:r w:rsidRPr="001E7B89">
              <w:rPr>
                <w:rFonts w:ascii="Cambria" w:hAnsi="Cambria" w:cs="Calibri"/>
                <w:lang w:val="it-IT"/>
              </w:rPr>
              <w:t xml:space="preserve"> III</w:t>
            </w:r>
          </w:p>
        </w:tc>
      </w:tr>
      <w:tr w:rsidR="001E7B89" w:rsidRPr="00A62FBD" w14:paraId="6BD57370" w14:textId="77777777" w:rsidTr="008345F3">
        <w:tc>
          <w:tcPr>
            <w:tcW w:w="215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02647A1" w14:textId="77777777" w:rsidR="001E7B89" w:rsidRPr="00A62FBD" w:rsidRDefault="001E7B89" w:rsidP="001E3DFB">
            <w:pPr>
              <w:spacing w:after="0" w:line="240" w:lineRule="auto"/>
              <w:rPr>
                <w:rFonts w:ascii="Cambria" w:hAnsi="Cambria" w:cs="Calibri"/>
              </w:rPr>
            </w:pPr>
            <w:proofErr w:type="spellStart"/>
            <w:r w:rsidRPr="00A62FBD">
              <w:rPr>
                <w:rFonts w:ascii="Cambria" w:hAnsi="Cambria" w:cs="Calibri"/>
              </w:rPr>
              <w:t>Cilj</w:t>
            </w:r>
            <w:proofErr w:type="spellEnd"/>
            <w:r w:rsidRPr="00A62FBD">
              <w:rPr>
                <w:rFonts w:ascii="Cambria" w:hAnsi="Cambria" w:cs="Calibri"/>
              </w:rPr>
              <w:t xml:space="preserve"> </w:t>
            </w:r>
            <w:proofErr w:type="spellStart"/>
            <w:r w:rsidRPr="00A62FBD">
              <w:rPr>
                <w:rFonts w:ascii="Cambria" w:hAnsi="Cambria" w:cs="Calibri"/>
              </w:rPr>
              <w:t>kolegija</w:t>
            </w:r>
            <w:proofErr w:type="spellEnd"/>
            <w:r w:rsidRPr="00A62FBD">
              <w:rPr>
                <w:rFonts w:ascii="Cambria" w:hAnsi="Cambria" w:cs="Calibri"/>
              </w:rPr>
              <w:t xml:space="preserve"> </w:t>
            </w:r>
          </w:p>
        </w:tc>
        <w:tc>
          <w:tcPr>
            <w:tcW w:w="6898"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796B61D" w14:textId="77777777" w:rsidR="001E7B89" w:rsidRPr="00A62FBD" w:rsidRDefault="001E7B89" w:rsidP="001E3DFB">
            <w:pPr>
              <w:autoSpaceDE w:val="0"/>
              <w:autoSpaceDN w:val="0"/>
              <w:adjustRightInd w:val="0"/>
              <w:spacing w:after="0" w:line="240" w:lineRule="auto"/>
              <w:rPr>
                <w:rFonts w:ascii="Cambria" w:hAnsi="Cambria" w:cs="Calibri"/>
              </w:rPr>
            </w:pPr>
            <w:proofErr w:type="spellStart"/>
            <w:r>
              <w:rPr>
                <w:rFonts w:ascii="Cambria" w:hAnsi="Cambria" w:cs="Calibri"/>
              </w:rPr>
              <w:t>st</w:t>
            </w:r>
            <w:r w:rsidRPr="00A62FBD">
              <w:rPr>
                <w:rFonts w:ascii="Cambria" w:hAnsi="Cambria" w:cs="Calibri"/>
              </w:rPr>
              <w:t>eći</w:t>
            </w:r>
            <w:proofErr w:type="spellEnd"/>
            <w:r w:rsidRPr="00A62FBD">
              <w:rPr>
                <w:rFonts w:ascii="Cambria" w:hAnsi="Cambria" w:cs="Calibri"/>
              </w:rPr>
              <w:t xml:space="preserve"> </w:t>
            </w:r>
            <w:proofErr w:type="spellStart"/>
            <w:r w:rsidRPr="00A62FBD">
              <w:rPr>
                <w:rFonts w:ascii="Cambria" w:hAnsi="Cambria" w:cs="Calibri"/>
              </w:rPr>
              <w:t>osnovna</w:t>
            </w:r>
            <w:proofErr w:type="spellEnd"/>
            <w:r w:rsidRPr="00A62FBD">
              <w:rPr>
                <w:rFonts w:ascii="Cambria" w:hAnsi="Cambria" w:cs="Calibri"/>
              </w:rPr>
              <w:t xml:space="preserve"> </w:t>
            </w:r>
            <w:proofErr w:type="spellStart"/>
            <w:r w:rsidRPr="00A62FBD">
              <w:rPr>
                <w:rFonts w:ascii="Cambria" w:hAnsi="Cambria" w:cs="Calibri"/>
              </w:rPr>
              <w:t>znanja</w:t>
            </w:r>
            <w:proofErr w:type="spellEnd"/>
            <w:r w:rsidRPr="00A62FBD">
              <w:rPr>
                <w:rFonts w:ascii="Cambria" w:hAnsi="Cambria" w:cs="Calibri"/>
              </w:rPr>
              <w:t xml:space="preserve"> </w:t>
            </w:r>
            <w:proofErr w:type="spellStart"/>
            <w:r w:rsidRPr="00A62FBD">
              <w:rPr>
                <w:rFonts w:ascii="Cambria" w:hAnsi="Cambria" w:cs="Calibri"/>
              </w:rPr>
              <w:t>i</w:t>
            </w:r>
            <w:proofErr w:type="spellEnd"/>
            <w:r w:rsidRPr="00A62FBD">
              <w:rPr>
                <w:rFonts w:ascii="Cambria" w:hAnsi="Cambria" w:cs="Calibri"/>
              </w:rPr>
              <w:t xml:space="preserve"> </w:t>
            </w:r>
            <w:proofErr w:type="spellStart"/>
            <w:r w:rsidRPr="00A62FBD">
              <w:rPr>
                <w:rFonts w:ascii="Cambria" w:hAnsi="Cambria" w:cs="Calibri"/>
              </w:rPr>
              <w:t>vještina</w:t>
            </w:r>
            <w:proofErr w:type="spellEnd"/>
            <w:r w:rsidRPr="00A62FBD">
              <w:rPr>
                <w:rFonts w:ascii="Cambria" w:hAnsi="Cambria" w:cs="Calibri"/>
              </w:rPr>
              <w:t xml:space="preserve"> s </w:t>
            </w:r>
            <w:proofErr w:type="spellStart"/>
            <w:r w:rsidRPr="00A62FBD">
              <w:rPr>
                <w:rFonts w:ascii="Cambria" w:hAnsi="Cambria" w:cs="Calibri"/>
              </w:rPr>
              <w:t>područja</w:t>
            </w:r>
            <w:proofErr w:type="spellEnd"/>
            <w:r w:rsidRPr="00A62FBD">
              <w:rPr>
                <w:rFonts w:ascii="Cambria" w:hAnsi="Cambria" w:cs="Calibri"/>
              </w:rPr>
              <w:t xml:space="preserve"> </w:t>
            </w:r>
            <w:proofErr w:type="spellStart"/>
            <w:r w:rsidRPr="00A62FBD">
              <w:rPr>
                <w:rFonts w:ascii="Cambria" w:hAnsi="Cambria" w:cs="Calibri"/>
              </w:rPr>
              <w:t>metodičke</w:t>
            </w:r>
            <w:proofErr w:type="spellEnd"/>
            <w:r w:rsidRPr="00A62FBD">
              <w:rPr>
                <w:rFonts w:ascii="Cambria" w:hAnsi="Cambria" w:cs="Calibri"/>
              </w:rPr>
              <w:t xml:space="preserve"> </w:t>
            </w:r>
            <w:proofErr w:type="spellStart"/>
            <w:r w:rsidRPr="00A62FBD">
              <w:rPr>
                <w:rFonts w:ascii="Cambria" w:hAnsi="Cambria" w:cs="Calibri"/>
              </w:rPr>
              <w:t>interpretacije</w:t>
            </w:r>
            <w:proofErr w:type="spellEnd"/>
            <w:r w:rsidRPr="00A62FBD">
              <w:rPr>
                <w:rFonts w:ascii="Cambria" w:hAnsi="Cambria" w:cs="Calibri"/>
              </w:rPr>
              <w:t xml:space="preserve"> </w:t>
            </w:r>
            <w:proofErr w:type="spellStart"/>
            <w:r w:rsidRPr="00A62FBD">
              <w:rPr>
                <w:rFonts w:ascii="Cambria" w:hAnsi="Cambria" w:cs="Calibri"/>
              </w:rPr>
              <w:t>matematičkih</w:t>
            </w:r>
            <w:proofErr w:type="spellEnd"/>
            <w:r w:rsidRPr="00A62FBD">
              <w:rPr>
                <w:rFonts w:ascii="Cambria" w:hAnsi="Cambria" w:cs="Calibri"/>
              </w:rPr>
              <w:t xml:space="preserve"> </w:t>
            </w:r>
            <w:proofErr w:type="spellStart"/>
            <w:r w:rsidRPr="00A62FBD">
              <w:rPr>
                <w:rFonts w:ascii="Cambria" w:hAnsi="Cambria" w:cs="Calibri"/>
              </w:rPr>
              <w:t>sadržaja</w:t>
            </w:r>
            <w:proofErr w:type="spellEnd"/>
            <w:r w:rsidRPr="00A62FBD">
              <w:rPr>
                <w:rFonts w:ascii="Cambria" w:hAnsi="Cambria" w:cs="Calibri"/>
              </w:rPr>
              <w:t xml:space="preserve"> u </w:t>
            </w:r>
            <w:proofErr w:type="spellStart"/>
            <w:r w:rsidRPr="00A62FBD">
              <w:rPr>
                <w:rFonts w:ascii="Cambria" w:hAnsi="Cambria" w:cs="Calibri"/>
              </w:rPr>
              <w:t>razrednoj</w:t>
            </w:r>
            <w:proofErr w:type="spellEnd"/>
            <w:r w:rsidRPr="00A62FBD">
              <w:rPr>
                <w:rFonts w:ascii="Cambria" w:hAnsi="Cambria" w:cs="Calibri"/>
              </w:rPr>
              <w:t xml:space="preserve"> </w:t>
            </w:r>
            <w:proofErr w:type="spellStart"/>
            <w:r w:rsidRPr="00A62FBD">
              <w:rPr>
                <w:rFonts w:ascii="Cambria" w:hAnsi="Cambria" w:cs="Calibri"/>
              </w:rPr>
              <w:t>nastavi</w:t>
            </w:r>
            <w:proofErr w:type="spellEnd"/>
            <w:r w:rsidRPr="00A62FBD">
              <w:rPr>
                <w:rFonts w:ascii="Cambria" w:hAnsi="Cambria" w:cs="Calibri"/>
              </w:rPr>
              <w:t xml:space="preserve"> </w:t>
            </w:r>
            <w:proofErr w:type="spellStart"/>
            <w:r w:rsidRPr="00A62FBD">
              <w:rPr>
                <w:rFonts w:ascii="Cambria" w:hAnsi="Cambria" w:cs="Calibri"/>
              </w:rPr>
              <w:t>matematike</w:t>
            </w:r>
            <w:proofErr w:type="spellEnd"/>
            <w:r w:rsidRPr="00A62FBD">
              <w:rPr>
                <w:rFonts w:ascii="Cambria" w:hAnsi="Cambria" w:cs="Calibri"/>
              </w:rPr>
              <w:t xml:space="preserve"> s </w:t>
            </w:r>
            <w:proofErr w:type="spellStart"/>
            <w:r w:rsidRPr="00A62FBD">
              <w:rPr>
                <w:rFonts w:ascii="Cambria" w:hAnsi="Cambria" w:cs="Calibri"/>
              </w:rPr>
              <w:t>posebnim</w:t>
            </w:r>
            <w:proofErr w:type="spellEnd"/>
            <w:r w:rsidRPr="00A62FBD">
              <w:rPr>
                <w:rFonts w:ascii="Cambria" w:hAnsi="Cambria" w:cs="Calibri"/>
              </w:rPr>
              <w:t xml:space="preserve"> </w:t>
            </w:r>
            <w:proofErr w:type="spellStart"/>
            <w:r w:rsidRPr="00A62FBD">
              <w:rPr>
                <w:rFonts w:ascii="Cambria" w:hAnsi="Cambria" w:cs="Calibri"/>
              </w:rPr>
              <w:t>naglaskom</w:t>
            </w:r>
            <w:proofErr w:type="spellEnd"/>
            <w:r w:rsidRPr="00A62FBD">
              <w:rPr>
                <w:rFonts w:ascii="Cambria" w:hAnsi="Cambria" w:cs="Calibri"/>
              </w:rPr>
              <w:t xml:space="preserve"> </w:t>
            </w:r>
            <w:proofErr w:type="spellStart"/>
            <w:r w:rsidRPr="00A62FBD">
              <w:rPr>
                <w:rFonts w:ascii="Cambria" w:hAnsi="Cambria" w:cs="Calibri"/>
              </w:rPr>
              <w:t>na</w:t>
            </w:r>
            <w:proofErr w:type="spellEnd"/>
            <w:r w:rsidRPr="00A62FBD">
              <w:rPr>
                <w:rFonts w:ascii="Cambria" w:hAnsi="Cambria" w:cs="Calibri"/>
              </w:rPr>
              <w:t xml:space="preserve"> </w:t>
            </w:r>
            <w:proofErr w:type="spellStart"/>
            <w:r w:rsidRPr="00A62FBD">
              <w:rPr>
                <w:rFonts w:ascii="Cambria" w:hAnsi="Cambria" w:cs="Calibri"/>
              </w:rPr>
              <w:t>metodičku</w:t>
            </w:r>
            <w:proofErr w:type="spellEnd"/>
            <w:r w:rsidRPr="00A62FBD">
              <w:rPr>
                <w:rFonts w:ascii="Cambria" w:hAnsi="Cambria" w:cs="Calibri"/>
              </w:rPr>
              <w:t xml:space="preserve"> </w:t>
            </w:r>
            <w:proofErr w:type="spellStart"/>
            <w:r w:rsidRPr="00A62FBD">
              <w:rPr>
                <w:rFonts w:ascii="Cambria" w:hAnsi="Cambria" w:cs="Calibri"/>
              </w:rPr>
              <w:t>interpretaciju</w:t>
            </w:r>
            <w:proofErr w:type="spellEnd"/>
            <w:r w:rsidRPr="00A62FBD">
              <w:rPr>
                <w:rFonts w:ascii="Cambria" w:hAnsi="Cambria" w:cs="Calibri"/>
              </w:rPr>
              <w:t xml:space="preserve"> </w:t>
            </w:r>
            <w:proofErr w:type="spellStart"/>
            <w:r w:rsidRPr="00A62FBD">
              <w:rPr>
                <w:rFonts w:ascii="Cambria" w:hAnsi="Cambria" w:cs="Calibri"/>
              </w:rPr>
              <w:t>aritmetičkih</w:t>
            </w:r>
            <w:proofErr w:type="spellEnd"/>
            <w:r w:rsidRPr="00A62FBD">
              <w:rPr>
                <w:rFonts w:ascii="Cambria" w:hAnsi="Cambria" w:cs="Calibri"/>
              </w:rPr>
              <w:t xml:space="preserve"> </w:t>
            </w:r>
            <w:proofErr w:type="spellStart"/>
            <w:r w:rsidRPr="00A62FBD">
              <w:rPr>
                <w:rFonts w:ascii="Cambria" w:hAnsi="Cambria" w:cs="Calibri"/>
              </w:rPr>
              <w:t>i</w:t>
            </w:r>
            <w:proofErr w:type="spellEnd"/>
            <w:r w:rsidRPr="00A62FBD">
              <w:rPr>
                <w:rFonts w:ascii="Cambria" w:hAnsi="Cambria" w:cs="Calibri"/>
              </w:rPr>
              <w:t xml:space="preserve"> </w:t>
            </w:r>
            <w:proofErr w:type="spellStart"/>
            <w:r w:rsidRPr="00A62FBD">
              <w:rPr>
                <w:rFonts w:ascii="Cambria" w:hAnsi="Cambria" w:cs="Calibri"/>
              </w:rPr>
              <w:t>geometrijskih</w:t>
            </w:r>
            <w:proofErr w:type="spellEnd"/>
            <w:r w:rsidRPr="00A62FBD">
              <w:rPr>
                <w:rFonts w:ascii="Cambria" w:hAnsi="Cambria" w:cs="Calibri"/>
              </w:rPr>
              <w:t xml:space="preserve"> </w:t>
            </w:r>
            <w:proofErr w:type="spellStart"/>
            <w:r w:rsidRPr="00A62FBD">
              <w:rPr>
                <w:rFonts w:ascii="Cambria" w:hAnsi="Cambria" w:cs="Calibri"/>
              </w:rPr>
              <w:t>sadržaja</w:t>
            </w:r>
            <w:proofErr w:type="spellEnd"/>
          </w:p>
        </w:tc>
      </w:tr>
      <w:tr w:rsidR="001E7B89" w:rsidRPr="00D0399C" w14:paraId="6B62F189" w14:textId="77777777" w:rsidTr="008345F3">
        <w:tc>
          <w:tcPr>
            <w:tcW w:w="215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6BA8818" w14:textId="77777777" w:rsidR="001E7B89" w:rsidRPr="00A62FBD" w:rsidRDefault="001E7B89" w:rsidP="001E3DFB">
            <w:pPr>
              <w:spacing w:after="0" w:line="240" w:lineRule="auto"/>
              <w:rPr>
                <w:rFonts w:ascii="Cambria" w:hAnsi="Cambria" w:cs="Calibri"/>
              </w:rPr>
            </w:pPr>
            <w:proofErr w:type="spellStart"/>
            <w:r w:rsidRPr="00A62FBD">
              <w:rPr>
                <w:rFonts w:ascii="Cambria" w:hAnsi="Cambria" w:cs="Calibri"/>
              </w:rPr>
              <w:t>Ishodi</w:t>
            </w:r>
            <w:proofErr w:type="spellEnd"/>
            <w:r w:rsidRPr="00A62FBD">
              <w:rPr>
                <w:rFonts w:ascii="Cambria" w:hAnsi="Cambria" w:cs="Calibri"/>
              </w:rPr>
              <w:t xml:space="preserve"> </w:t>
            </w:r>
            <w:proofErr w:type="spellStart"/>
            <w:r w:rsidRPr="00A62FBD">
              <w:rPr>
                <w:rFonts w:ascii="Cambria" w:hAnsi="Cambria" w:cs="Calibri"/>
              </w:rPr>
              <w:t>učenja</w:t>
            </w:r>
            <w:proofErr w:type="spellEnd"/>
          </w:p>
        </w:tc>
        <w:tc>
          <w:tcPr>
            <w:tcW w:w="6898"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D03FD06" w14:textId="77777777" w:rsidR="001E7B89" w:rsidRPr="0060175B" w:rsidRDefault="001E7B89" w:rsidP="00A034E3">
            <w:pPr>
              <w:pStyle w:val="Odlomakpopisa"/>
              <w:numPr>
                <w:ilvl w:val="0"/>
                <w:numId w:val="25"/>
              </w:numPr>
              <w:autoSpaceDE w:val="0"/>
              <w:autoSpaceDN w:val="0"/>
              <w:adjustRightInd w:val="0"/>
              <w:spacing w:after="0" w:line="240" w:lineRule="auto"/>
              <w:rPr>
                <w:rFonts w:ascii="Cambria" w:eastAsia="Times New Roman" w:hAnsi="Cambria" w:cs="Calibri"/>
                <w:bCs/>
              </w:rPr>
            </w:pPr>
            <w:r w:rsidRPr="0060175B">
              <w:rPr>
                <w:rFonts w:ascii="Cambria" w:eastAsia="Times New Roman" w:hAnsi="Cambria" w:cs="Calibri"/>
                <w:bCs/>
              </w:rPr>
              <w:t xml:space="preserve">navesti osnovne matematičke sadržaje i ishode učenja te njihov metodički raspored prema </w:t>
            </w:r>
            <w:r>
              <w:rPr>
                <w:rFonts w:ascii="Cambria" w:eastAsia="Times New Roman" w:hAnsi="Cambria" w:cs="Calibri"/>
                <w:bCs/>
              </w:rPr>
              <w:t xml:space="preserve">aktualnom </w:t>
            </w:r>
            <w:r w:rsidRPr="0060175B">
              <w:rPr>
                <w:rFonts w:ascii="Cambria" w:eastAsia="Times New Roman" w:hAnsi="Cambria" w:cs="Calibri"/>
                <w:bCs/>
              </w:rPr>
              <w:t>kurikulum</w:t>
            </w:r>
            <w:r>
              <w:rPr>
                <w:rFonts w:ascii="Cambria" w:eastAsia="Times New Roman" w:hAnsi="Cambria" w:cs="Calibri"/>
                <w:bCs/>
              </w:rPr>
              <w:t>u</w:t>
            </w:r>
            <w:r w:rsidRPr="0060175B">
              <w:rPr>
                <w:rFonts w:ascii="Cambria" w:eastAsia="Times New Roman" w:hAnsi="Cambria" w:cs="Calibri"/>
                <w:bCs/>
              </w:rPr>
              <w:t xml:space="preserve"> iz matematike</w:t>
            </w:r>
          </w:p>
          <w:p w14:paraId="4D0EB635" w14:textId="77777777" w:rsidR="001E7B89" w:rsidRPr="0060175B" w:rsidRDefault="001E7B89" w:rsidP="00A034E3">
            <w:pPr>
              <w:pStyle w:val="Odlomakpopisa"/>
              <w:numPr>
                <w:ilvl w:val="0"/>
                <w:numId w:val="25"/>
              </w:numPr>
              <w:spacing w:after="0" w:line="240" w:lineRule="auto"/>
              <w:rPr>
                <w:rFonts w:ascii="Cambria" w:eastAsia="Times New Roman" w:hAnsi="Cambria" w:cs="Calibri"/>
                <w:bCs/>
              </w:rPr>
            </w:pPr>
            <w:r w:rsidRPr="0060175B">
              <w:rPr>
                <w:rFonts w:ascii="Cambria" w:eastAsia="Times New Roman" w:hAnsi="Cambria" w:cs="Calibri"/>
                <w:bCs/>
              </w:rPr>
              <w:t xml:space="preserve">metodički oblikovati nastavne situacije prema </w:t>
            </w:r>
            <w:r>
              <w:rPr>
                <w:rFonts w:ascii="Cambria" w:eastAsia="Times New Roman" w:hAnsi="Cambria" w:cs="Calibri"/>
                <w:bCs/>
              </w:rPr>
              <w:t>aktualnom</w:t>
            </w:r>
            <w:r w:rsidRPr="0060175B">
              <w:rPr>
                <w:rFonts w:ascii="Cambria" w:eastAsia="Times New Roman" w:hAnsi="Cambria" w:cs="Calibri"/>
                <w:bCs/>
              </w:rPr>
              <w:t xml:space="preserve"> kurikulu</w:t>
            </w:r>
            <w:r>
              <w:rPr>
                <w:rFonts w:ascii="Cambria" w:eastAsia="Times New Roman" w:hAnsi="Cambria" w:cs="Calibri"/>
                <w:bCs/>
              </w:rPr>
              <w:t>mu</w:t>
            </w:r>
            <w:r w:rsidRPr="0060175B">
              <w:rPr>
                <w:rFonts w:ascii="Cambria" w:eastAsia="Times New Roman" w:hAnsi="Cambria" w:cs="Calibri"/>
                <w:bCs/>
              </w:rPr>
              <w:t xml:space="preserve"> za satove obrade te vježbi</w:t>
            </w:r>
          </w:p>
          <w:p w14:paraId="4870DFCD" w14:textId="77777777" w:rsidR="001E7B89" w:rsidRPr="0060175B" w:rsidRDefault="001E7B89" w:rsidP="00A034E3">
            <w:pPr>
              <w:pStyle w:val="Odlomakpopisa"/>
              <w:numPr>
                <w:ilvl w:val="0"/>
                <w:numId w:val="25"/>
              </w:numPr>
              <w:spacing w:after="0" w:line="240" w:lineRule="auto"/>
              <w:rPr>
                <w:rFonts w:ascii="Cambria" w:eastAsia="Times New Roman" w:hAnsi="Cambria" w:cs="Calibri"/>
                <w:bCs/>
              </w:rPr>
            </w:pPr>
            <w:r>
              <w:rPr>
                <w:rFonts w:ascii="Cambria" w:eastAsia="Times New Roman" w:hAnsi="Cambria" w:cs="Calibri"/>
                <w:bCs/>
              </w:rPr>
              <w:t>postavljati</w:t>
            </w:r>
            <w:r w:rsidRPr="0060175B">
              <w:rPr>
                <w:rFonts w:ascii="Cambria" w:eastAsia="Times New Roman" w:hAnsi="Cambria" w:cs="Calibri"/>
                <w:bCs/>
              </w:rPr>
              <w:t xml:space="preserve"> različite tipove zadataka </w:t>
            </w:r>
            <w:r>
              <w:rPr>
                <w:rFonts w:ascii="Cambria" w:eastAsia="Times New Roman" w:hAnsi="Cambria" w:cs="Calibri"/>
                <w:bCs/>
              </w:rPr>
              <w:t xml:space="preserve">i metode rješavanja </w:t>
            </w:r>
            <w:r w:rsidRPr="0060175B">
              <w:rPr>
                <w:rFonts w:ascii="Cambria" w:eastAsia="Times New Roman" w:hAnsi="Cambria" w:cs="Calibri"/>
                <w:bCs/>
              </w:rPr>
              <w:t xml:space="preserve">u skladu s pojedinom etapom nastave i postavljenim ishodima </w:t>
            </w:r>
          </w:p>
          <w:p w14:paraId="2D469F6E" w14:textId="77777777" w:rsidR="001E7B89" w:rsidRPr="0060175B" w:rsidRDefault="001E7B89" w:rsidP="00A034E3">
            <w:pPr>
              <w:pStyle w:val="Odlomakpopisa"/>
              <w:numPr>
                <w:ilvl w:val="0"/>
                <w:numId w:val="25"/>
              </w:numPr>
              <w:autoSpaceDE w:val="0"/>
              <w:spacing w:after="0" w:line="240" w:lineRule="auto"/>
              <w:rPr>
                <w:rFonts w:ascii="Cambria" w:eastAsia="Times New Roman" w:hAnsi="Cambria" w:cs="Calibri"/>
                <w:bCs/>
              </w:rPr>
            </w:pPr>
            <w:r w:rsidRPr="0060175B">
              <w:rPr>
                <w:rFonts w:ascii="Cambria" w:eastAsia="Times New Roman" w:hAnsi="Cambria" w:cs="Calibri"/>
                <w:bCs/>
              </w:rPr>
              <w:t>pisati nastavnu pripremu primjenjujući načela u nastavi matematike kao temeljne principe na kojima počiva nastava matematike i razne strategije učenja i poučavanja</w:t>
            </w:r>
          </w:p>
          <w:p w14:paraId="095EFE47" w14:textId="77777777" w:rsidR="001E7B89" w:rsidRPr="0060175B" w:rsidRDefault="001E7B89" w:rsidP="00A034E3">
            <w:pPr>
              <w:pStyle w:val="Odlomakpopisa"/>
              <w:numPr>
                <w:ilvl w:val="0"/>
                <w:numId w:val="25"/>
              </w:numPr>
              <w:spacing w:after="0" w:line="240" w:lineRule="auto"/>
              <w:rPr>
                <w:rFonts w:ascii="Cambria" w:eastAsia="Times New Roman" w:hAnsi="Cambria" w:cs="Calibri"/>
                <w:bCs/>
              </w:rPr>
            </w:pPr>
            <w:r w:rsidRPr="0060175B">
              <w:rPr>
                <w:rFonts w:ascii="Cambria" w:eastAsia="Times New Roman" w:hAnsi="Cambria" w:cs="Calibri"/>
                <w:bCs/>
              </w:rPr>
              <w:t>metodički oblikovati nastavne sadržaje iz matematike prilagođavajući se razlikama u matematičkim sposobnostima djece</w:t>
            </w:r>
          </w:p>
          <w:p w14:paraId="1C4DAFEE" w14:textId="77777777" w:rsidR="001E7B89" w:rsidRPr="00A62FBD" w:rsidRDefault="001E7B89" w:rsidP="00A034E3">
            <w:pPr>
              <w:pStyle w:val="Odlomakpopisa"/>
              <w:numPr>
                <w:ilvl w:val="0"/>
                <w:numId w:val="25"/>
              </w:numPr>
              <w:spacing w:after="0" w:line="240" w:lineRule="auto"/>
              <w:rPr>
                <w:rFonts w:ascii="Cambria" w:hAnsi="Cambria" w:cs="Calibri"/>
              </w:rPr>
            </w:pPr>
            <w:r w:rsidRPr="0060175B">
              <w:rPr>
                <w:rFonts w:ascii="Cambria" w:eastAsia="Times New Roman" w:hAnsi="Cambria" w:cs="Calibri"/>
                <w:bCs/>
              </w:rPr>
              <w:t xml:space="preserve">argumentirano prosuđivati o udžbenicima </w:t>
            </w:r>
            <w:r>
              <w:rPr>
                <w:rFonts w:ascii="Cambria" w:eastAsia="Times New Roman" w:hAnsi="Cambria" w:cs="Calibri"/>
                <w:bCs/>
              </w:rPr>
              <w:t>i analizirati prijedloge obrade nastavnih tema i jedinica</w:t>
            </w:r>
          </w:p>
        </w:tc>
      </w:tr>
      <w:tr w:rsidR="001E7B89" w:rsidRPr="00D0399C" w14:paraId="36628D7A" w14:textId="77777777" w:rsidTr="008345F3">
        <w:tc>
          <w:tcPr>
            <w:tcW w:w="2154"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4DD8F7D3" w14:textId="77777777" w:rsidR="001E7B89" w:rsidRPr="00A62FBD" w:rsidRDefault="001E7B89" w:rsidP="001E3DFB">
            <w:pPr>
              <w:spacing w:after="0" w:line="240" w:lineRule="auto"/>
              <w:rPr>
                <w:rFonts w:ascii="Cambria" w:hAnsi="Cambria" w:cs="Calibri"/>
              </w:rPr>
            </w:pPr>
            <w:proofErr w:type="spellStart"/>
            <w:r w:rsidRPr="00A62FBD">
              <w:rPr>
                <w:rFonts w:ascii="Cambria" w:hAnsi="Cambria" w:cs="Calibri"/>
              </w:rPr>
              <w:t>Sadržaj</w:t>
            </w:r>
            <w:proofErr w:type="spellEnd"/>
            <w:r w:rsidRPr="00A62FBD">
              <w:rPr>
                <w:rFonts w:ascii="Cambria" w:hAnsi="Cambria" w:cs="Calibri"/>
              </w:rPr>
              <w:t xml:space="preserve"> </w:t>
            </w:r>
            <w:proofErr w:type="spellStart"/>
            <w:r w:rsidRPr="00A62FBD">
              <w:rPr>
                <w:rFonts w:ascii="Cambria" w:hAnsi="Cambria" w:cs="Calibri"/>
              </w:rPr>
              <w:t>kolegija</w:t>
            </w:r>
            <w:proofErr w:type="spellEnd"/>
          </w:p>
        </w:tc>
        <w:tc>
          <w:tcPr>
            <w:tcW w:w="6898" w:type="dxa"/>
            <w:gridSpan w:val="6"/>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7A83897" w14:textId="77777777" w:rsidR="001E7B89" w:rsidRDefault="001E7B89" w:rsidP="00A034E3">
            <w:pPr>
              <w:numPr>
                <w:ilvl w:val="0"/>
                <w:numId w:val="68"/>
              </w:numPr>
              <w:spacing w:after="0" w:line="240" w:lineRule="auto"/>
              <w:rPr>
                <w:rFonts w:ascii="Cambria" w:hAnsi="Cambria"/>
                <w:bCs/>
              </w:rPr>
            </w:pPr>
            <w:proofErr w:type="spellStart"/>
            <w:r>
              <w:rPr>
                <w:rFonts w:ascii="Cambria" w:hAnsi="Cambria"/>
                <w:bCs/>
              </w:rPr>
              <w:t>Priprema</w:t>
            </w:r>
            <w:proofErr w:type="spellEnd"/>
            <w:r>
              <w:rPr>
                <w:rFonts w:ascii="Cambria" w:hAnsi="Cambria"/>
                <w:bCs/>
              </w:rPr>
              <w:t xml:space="preserve"> za sat </w:t>
            </w:r>
            <w:proofErr w:type="spellStart"/>
            <w:r>
              <w:rPr>
                <w:rFonts w:ascii="Cambria" w:hAnsi="Cambria"/>
                <w:bCs/>
              </w:rPr>
              <w:t>matematike</w:t>
            </w:r>
            <w:proofErr w:type="spellEnd"/>
          </w:p>
          <w:p w14:paraId="2B8FB1A7" w14:textId="77777777" w:rsidR="001E7B89" w:rsidRPr="00DA3740" w:rsidRDefault="001E7B89" w:rsidP="00A034E3">
            <w:pPr>
              <w:numPr>
                <w:ilvl w:val="0"/>
                <w:numId w:val="68"/>
              </w:numPr>
              <w:spacing w:after="0" w:line="240" w:lineRule="auto"/>
              <w:rPr>
                <w:rFonts w:ascii="Cambria" w:hAnsi="Cambria"/>
                <w:bCs/>
              </w:rPr>
            </w:pPr>
            <w:proofErr w:type="spellStart"/>
            <w:r w:rsidRPr="00DA3740">
              <w:rPr>
                <w:rFonts w:ascii="Cambria" w:hAnsi="Cambria"/>
                <w:bCs/>
              </w:rPr>
              <w:t>Matematički</w:t>
            </w:r>
            <w:proofErr w:type="spellEnd"/>
            <w:r w:rsidRPr="00DA3740">
              <w:rPr>
                <w:rFonts w:ascii="Cambria" w:hAnsi="Cambria"/>
                <w:bCs/>
              </w:rPr>
              <w:t xml:space="preserve"> </w:t>
            </w:r>
            <w:proofErr w:type="spellStart"/>
            <w:r w:rsidRPr="00DA3740">
              <w:rPr>
                <w:rFonts w:ascii="Cambria" w:hAnsi="Cambria"/>
                <w:bCs/>
              </w:rPr>
              <w:t>zadatak-uloga</w:t>
            </w:r>
            <w:proofErr w:type="spellEnd"/>
            <w:r w:rsidRPr="00DA3740">
              <w:rPr>
                <w:rFonts w:ascii="Cambria" w:hAnsi="Cambria"/>
                <w:bCs/>
              </w:rPr>
              <w:t xml:space="preserve"> </w:t>
            </w:r>
            <w:proofErr w:type="spellStart"/>
            <w:r w:rsidRPr="00DA3740">
              <w:rPr>
                <w:rFonts w:ascii="Cambria" w:hAnsi="Cambria"/>
                <w:bCs/>
              </w:rPr>
              <w:t>i</w:t>
            </w:r>
            <w:proofErr w:type="spellEnd"/>
            <w:r w:rsidRPr="00DA3740">
              <w:rPr>
                <w:rFonts w:ascii="Cambria" w:hAnsi="Cambria"/>
                <w:bCs/>
              </w:rPr>
              <w:t xml:space="preserve"> </w:t>
            </w:r>
            <w:proofErr w:type="spellStart"/>
            <w:r w:rsidRPr="00DA3740">
              <w:rPr>
                <w:rFonts w:ascii="Cambria" w:hAnsi="Cambria"/>
                <w:bCs/>
              </w:rPr>
              <w:t>vrste</w:t>
            </w:r>
            <w:proofErr w:type="spellEnd"/>
          </w:p>
          <w:p w14:paraId="429F215E" w14:textId="77777777" w:rsidR="001E7B89" w:rsidRPr="00DA3740" w:rsidRDefault="001E7B89" w:rsidP="00A034E3">
            <w:pPr>
              <w:numPr>
                <w:ilvl w:val="0"/>
                <w:numId w:val="68"/>
              </w:numPr>
              <w:spacing w:after="0" w:line="240" w:lineRule="auto"/>
              <w:rPr>
                <w:rFonts w:ascii="Cambria" w:hAnsi="Cambria"/>
                <w:bCs/>
              </w:rPr>
            </w:pPr>
            <w:r w:rsidRPr="00DA3740">
              <w:rPr>
                <w:rFonts w:ascii="Cambria" w:hAnsi="Cambria"/>
                <w:bCs/>
              </w:rPr>
              <w:t xml:space="preserve">Metode </w:t>
            </w:r>
            <w:proofErr w:type="spellStart"/>
            <w:r w:rsidRPr="00DA3740">
              <w:rPr>
                <w:rFonts w:ascii="Cambria" w:hAnsi="Cambria"/>
                <w:bCs/>
              </w:rPr>
              <w:t>rješavanja</w:t>
            </w:r>
            <w:proofErr w:type="spellEnd"/>
            <w:r w:rsidRPr="00DA3740">
              <w:rPr>
                <w:rFonts w:ascii="Cambria" w:hAnsi="Cambria"/>
                <w:bCs/>
              </w:rPr>
              <w:t xml:space="preserve"> </w:t>
            </w:r>
            <w:proofErr w:type="spellStart"/>
            <w:r w:rsidRPr="00DA3740">
              <w:rPr>
                <w:rFonts w:ascii="Cambria" w:hAnsi="Cambria"/>
                <w:bCs/>
              </w:rPr>
              <w:t>problemskih</w:t>
            </w:r>
            <w:proofErr w:type="spellEnd"/>
            <w:r w:rsidRPr="00DA3740">
              <w:rPr>
                <w:rFonts w:ascii="Cambria" w:hAnsi="Cambria"/>
                <w:bCs/>
              </w:rPr>
              <w:t xml:space="preserve"> </w:t>
            </w:r>
            <w:proofErr w:type="spellStart"/>
            <w:r w:rsidRPr="00DA3740">
              <w:rPr>
                <w:rFonts w:ascii="Cambria" w:hAnsi="Cambria"/>
                <w:bCs/>
              </w:rPr>
              <w:t>zadataka</w:t>
            </w:r>
            <w:proofErr w:type="spellEnd"/>
            <w:r w:rsidRPr="00DA3740">
              <w:rPr>
                <w:rFonts w:ascii="Cambria" w:hAnsi="Cambria"/>
                <w:bCs/>
              </w:rPr>
              <w:t xml:space="preserve"> </w:t>
            </w:r>
          </w:p>
          <w:p w14:paraId="6DCFFAD9" w14:textId="77777777" w:rsidR="001E7B89" w:rsidRPr="001E7B89" w:rsidRDefault="001E7B89" w:rsidP="00A034E3">
            <w:pPr>
              <w:numPr>
                <w:ilvl w:val="0"/>
                <w:numId w:val="68"/>
              </w:numPr>
              <w:spacing w:after="0" w:line="240" w:lineRule="auto"/>
              <w:rPr>
                <w:rFonts w:ascii="Cambria" w:hAnsi="Cambria"/>
                <w:bCs/>
                <w:lang w:val="it-IT"/>
              </w:rPr>
            </w:pPr>
            <w:proofErr w:type="spellStart"/>
            <w:r w:rsidRPr="001E7B89">
              <w:rPr>
                <w:rFonts w:ascii="Cambria" w:hAnsi="Cambria"/>
                <w:bCs/>
                <w:lang w:val="it-IT"/>
              </w:rPr>
              <w:t>Metodička</w:t>
            </w:r>
            <w:proofErr w:type="spellEnd"/>
            <w:r w:rsidRPr="001E7B89">
              <w:rPr>
                <w:rFonts w:ascii="Cambria" w:hAnsi="Cambria"/>
                <w:bCs/>
                <w:lang w:val="it-IT"/>
              </w:rPr>
              <w:t xml:space="preserve"> </w:t>
            </w:r>
            <w:proofErr w:type="spellStart"/>
            <w:r w:rsidRPr="001E7B89">
              <w:rPr>
                <w:rFonts w:ascii="Cambria" w:hAnsi="Cambria"/>
                <w:bCs/>
                <w:lang w:val="it-IT"/>
              </w:rPr>
              <w:t>interpretacija</w:t>
            </w:r>
            <w:proofErr w:type="spellEnd"/>
            <w:r w:rsidRPr="001E7B89">
              <w:rPr>
                <w:rFonts w:ascii="Cambria" w:hAnsi="Cambria"/>
                <w:bCs/>
                <w:lang w:val="it-IT"/>
              </w:rPr>
              <w:t xml:space="preserve"> </w:t>
            </w:r>
            <w:proofErr w:type="spellStart"/>
            <w:r w:rsidRPr="001E7B89">
              <w:rPr>
                <w:rFonts w:ascii="Cambria" w:hAnsi="Cambria"/>
                <w:bCs/>
                <w:lang w:val="it-IT"/>
              </w:rPr>
              <w:t>matematičkih</w:t>
            </w:r>
            <w:proofErr w:type="spellEnd"/>
            <w:r w:rsidRPr="001E7B89">
              <w:rPr>
                <w:rFonts w:ascii="Cambria" w:hAnsi="Cambria"/>
                <w:bCs/>
                <w:lang w:val="it-IT"/>
              </w:rPr>
              <w:t xml:space="preserve"> </w:t>
            </w:r>
            <w:proofErr w:type="spellStart"/>
            <w:r w:rsidRPr="001E7B89">
              <w:rPr>
                <w:rFonts w:ascii="Cambria" w:hAnsi="Cambria"/>
                <w:bCs/>
                <w:lang w:val="it-IT"/>
              </w:rPr>
              <w:t>sadržaja</w:t>
            </w:r>
            <w:proofErr w:type="spellEnd"/>
            <w:r w:rsidRPr="001E7B89">
              <w:rPr>
                <w:rFonts w:ascii="Cambria" w:hAnsi="Cambria"/>
                <w:bCs/>
                <w:lang w:val="it-IT"/>
              </w:rPr>
              <w:t xml:space="preserve"> u </w:t>
            </w:r>
            <w:proofErr w:type="spellStart"/>
            <w:r w:rsidRPr="001E7B89">
              <w:rPr>
                <w:rFonts w:ascii="Cambria" w:hAnsi="Cambria"/>
                <w:bCs/>
                <w:lang w:val="it-IT"/>
              </w:rPr>
              <w:t>razrednoj</w:t>
            </w:r>
            <w:proofErr w:type="spellEnd"/>
            <w:r w:rsidRPr="001E7B89">
              <w:rPr>
                <w:rFonts w:ascii="Cambria" w:hAnsi="Cambria"/>
                <w:bCs/>
                <w:lang w:val="it-IT"/>
              </w:rPr>
              <w:t xml:space="preserve"> </w:t>
            </w:r>
            <w:proofErr w:type="spellStart"/>
            <w:r w:rsidRPr="001E7B89">
              <w:rPr>
                <w:rFonts w:ascii="Cambria" w:hAnsi="Cambria"/>
                <w:bCs/>
                <w:lang w:val="it-IT"/>
              </w:rPr>
              <w:t>nastavi</w:t>
            </w:r>
            <w:proofErr w:type="spellEnd"/>
            <w:r w:rsidRPr="001E7B89">
              <w:rPr>
                <w:rFonts w:ascii="Cambria" w:hAnsi="Cambria"/>
                <w:bCs/>
                <w:lang w:val="it-IT"/>
              </w:rPr>
              <w:t xml:space="preserve"> – </w:t>
            </w:r>
            <w:proofErr w:type="spellStart"/>
            <w:r w:rsidRPr="001E7B89">
              <w:rPr>
                <w:rFonts w:ascii="Cambria" w:hAnsi="Cambria"/>
                <w:bCs/>
                <w:lang w:val="it-IT"/>
              </w:rPr>
              <w:t>domena</w:t>
            </w:r>
            <w:proofErr w:type="spellEnd"/>
            <w:r w:rsidRPr="001E7B89">
              <w:rPr>
                <w:rFonts w:ascii="Cambria" w:hAnsi="Cambria"/>
                <w:bCs/>
                <w:lang w:val="it-IT"/>
              </w:rPr>
              <w:t xml:space="preserve"> </w:t>
            </w:r>
            <w:proofErr w:type="spellStart"/>
            <w:r w:rsidRPr="001E7B89">
              <w:rPr>
                <w:rFonts w:ascii="Cambria" w:hAnsi="Cambria"/>
                <w:bCs/>
                <w:lang w:val="it-IT"/>
              </w:rPr>
              <w:t>Brojevi</w:t>
            </w:r>
            <w:proofErr w:type="spellEnd"/>
            <w:r w:rsidRPr="001E7B89">
              <w:rPr>
                <w:rFonts w:ascii="Cambria" w:hAnsi="Cambria"/>
                <w:bCs/>
                <w:lang w:val="it-IT"/>
              </w:rPr>
              <w:t xml:space="preserve">. </w:t>
            </w:r>
          </w:p>
          <w:p w14:paraId="5ED73FA8" w14:textId="77777777" w:rsidR="001E7B89" w:rsidRPr="00DA3740" w:rsidRDefault="001E7B89" w:rsidP="00A034E3">
            <w:pPr>
              <w:numPr>
                <w:ilvl w:val="1"/>
                <w:numId w:val="68"/>
              </w:numPr>
              <w:spacing w:after="0" w:line="240" w:lineRule="auto"/>
              <w:rPr>
                <w:rFonts w:ascii="Cambria" w:hAnsi="Cambria"/>
                <w:bCs/>
              </w:rPr>
            </w:pPr>
            <w:proofErr w:type="spellStart"/>
            <w:r w:rsidRPr="00DA3740">
              <w:rPr>
                <w:rFonts w:ascii="Cambria" w:hAnsi="Cambria"/>
                <w:bCs/>
              </w:rPr>
              <w:t>Formiranje</w:t>
            </w:r>
            <w:proofErr w:type="spellEnd"/>
            <w:r w:rsidRPr="00DA3740">
              <w:rPr>
                <w:rFonts w:ascii="Cambria" w:hAnsi="Cambria"/>
                <w:bCs/>
              </w:rPr>
              <w:t xml:space="preserve"> </w:t>
            </w:r>
            <w:proofErr w:type="spellStart"/>
            <w:r w:rsidRPr="00DA3740">
              <w:rPr>
                <w:rFonts w:ascii="Cambria" w:hAnsi="Cambria"/>
                <w:bCs/>
              </w:rPr>
              <w:t>pojma</w:t>
            </w:r>
            <w:proofErr w:type="spellEnd"/>
            <w:r w:rsidRPr="00DA3740">
              <w:rPr>
                <w:rFonts w:ascii="Cambria" w:hAnsi="Cambria"/>
                <w:bCs/>
              </w:rPr>
              <w:t xml:space="preserve"> </w:t>
            </w:r>
            <w:proofErr w:type="spellStart"/>
            <w:r w:rsidRPr="00DA3740">
              <w:rPr>
                <w:rFonts w:ascii="Cambria" w:hAnsi="Cambria"/>
                <w:bCs/>
              </w:rPr>
              <w:t>broj</w:t>
            </w:r>
            <w:proofErr w:type="spellEnd"/>
            <w:r w:rsidRPr="00DA3740">
              <w:rPr>
                <w:rFonts w:ascii="Cambria" w:hAnsi="Cambria"/>
                <w:bCs/>
              </w:rPr>
              <w:t xml:space="preserve">. Kako </w:t>
            </w:r>
            <w:proofErr w:type="spellStart"/>
            <w:r w:rsidRPr="00DA3740">
              <w:rPr>
                <w:rFonts w:ascii="Cambria" w:hAnsi="Cambria"/>
                <w:bCs/>
              </w:rPr>
              <w:t>djeca</w:t>
            </w:r>
            <w:proofErr w:type="spellEnd"/>
            <w:r w:rsidRPr="00DA3740">
              <w:rPr>
                <w:rFonts w:ascii="Cambria" w:hAnsi="Cambria"/>
                <w:bCs/>
              </w:rPr>
              <w:t xml:space="preserve"> </w:t>
            </w:r>
            <w:proofErr w:type="spellStart"/>
            <w:r w:rsidRPr="00DA3740">
              <w:rPr>
                <w:rFonts w:ascii="Cambria" w:hAnsi="Cambria"/>
                <w:bCs/>
              </w:rPr>
              <w:t>broje</w:t>
            </w:r>
            <w:proofErr w:type="spellEnd"/>
            <w:r w:rsidRPr="00DA3740">
              <w:rPr>
                <w:rFonts w:ascii="Cambria" w:hAnsi="Cambria"/>
                <w:bCs/>
              </w:rPr>
              <w:t xml:space="preserve">? </w:t>
            </w:r>
            <w:proofErr w:type="spellStart"/>
            <w:r w:rsidRPr="00DA3740">
              <w:rPr>
                <w:rFonts w:ascii="Cambria" w:hAnsi="Cambria"/>
                <w:bCs/>
              </w:rPr>
              <w:t>Brojevi</w:t>
            </w:r>
            <w:proofErr w:type="spellEnd"/>
            <w:r w:rsidRPr="00DA3740">
              <w:rPr>
                <w:rFonts w:ascii="Cambria" w:hAnsi="Cambria"/>
                <w:bCs/>
              </w:rPr>
              <w:t xml:space="preserve"> do10. </w:t>
            </w:r>
            <w:proofErr w:type="spellStart"/>
            <w:r w:rsidRPr="00DA3740">
              <w:rPr>
                <w:rFonts w:ascii="Cambria" w:hAnsi="Cambria"/>
                <w:bCs/>
              </w:rPr>
              <w:t>Brojevi</w:t>
            </w:r>
            <w:proofErr w:type="spellEnd"/>
            <w:r w:rsidRPr="00DA3740">
              <w:rPr>
                <w:rFonts w:ascii="Cambria" w:hAnsi="Cambria"/>
                <w:bCs/>
              </w:rPr>
              <w:t xml:space="preserve"> </w:t>
            </w:r>
            <w:proofErr w:type="gramStart"/>
            <w:r w:rsidRPr="00DA3740">
              <w:rPr>
                <w:rFonts w:ascii="Cambria" w:hAnsi="Cambria"/>
                <w:bCs/>
              </w:rPr>
              <w:t>do</w:t>
            </w:r>
            <w:proofErr w:type="gramEnd"/>
            <w:r w:rsidRPr="00DA3740">
              <w:rPr>
                <w:rFonts w:ascii="Cambria" w:hAnsi="Cambria"/>
                <w:bCs/>
              </w:rPr>
              <w:t xml:space="preserve"> 20. </w:t>
            </w:r>
          </w:p>
          <w:p w14:paraId="02B1EE5F" w14:textId="77777777" w:rsidR="001E7B89" w:rsidRPr="00DA3740" w:rsidRDefault="001E7B89" w:rsidP="00A034E3">
            <w:pPr>
              <w:numPr>
                <w:ilvl w:val="1"/>
                <w:numId w:val="68"/>
              </w:numPr>
              <w:spacing w:after="0" w:line="240" w:lineRule="auto"/>
              <w:rPr>
                <w:rFonts w:ascii="Cambria" w:hAnsi="Cambria"/>
                <w:bCs/>
              </w:rPr>
            </w:pPr>
            <w:proofErr w:type="spellStart"/>
            <w:r w:rsidRPr="00DA3740">
              <w:rPr>
                <w:rFonts w:ascii="Cambria" w:hAnsi="Cambria"/>
                <w:bCs/>
              </w:rPr>
              <w:t>Uspoređivanje</w:t>
            </w:r>
            <w:proofErr w:type="spellEnd"/>
            <w:r w:rsidRPr="00DA3740">
              <w:rPr>
                <w:rFonts w:ascii="Cambria" w:hAnsi="Cambria"/>
                <w:bCs/>
              </w:rPr>
              <w:t xml:space="preserve"> </w:t>
            </w:r>
            <w:proofErr w:type="spellStart"/>
            <w:r w:rsidRPr="00DA3740">
              <w:rPr>
                <w:rFonts w:ascii="Cambria" w:hAnsi="Cambria"/>
                <w:bCs/>
              </w:rPr>
              <w:t>brojeva</w:t>
            </w:r>
            <w:proofErr w:type="spellEnd"/>
            <w:r w:rsidRPr="00DA3740">
              <w:rPr>
                <w:rFonts w:ascii="Cambria" w:hAnsi="Cambria"/>
                <w:bCs/>
              </w:rPr>
              <w:t xml:space="preserve">. </w:t>
            </w:r>
            <w:proofErr w:type="spellStart"/>
            <w:r>
              <w:rPr>
                <w:rFonts w:ascii="Cambria" w:hAnsi="Cambria"/>
                <w:bCs/>
              </w:rPr>
              <w:t>Brojevi</w:t>
            </w:r>
            <w:proofErr w:type="spellEnd"/>
            <w:r w:rsidRPr="00DA3740">
              <w:rPr>
                <w:rFonts w:ascii="Cambria" w:hAnsi="Cambria"/>
                <w:bCs/>
              </w:rPr>
              <w:t xml:space="preserve"> do100, 1000, 1 000 </w:t>
            </w:r>
            <w:r>
              <w:rPr>
                <w:rFonts w:ascii="Cambria" w:hAnsi="Cambria"/>
                <w:bCs/>
              </w:rPr>
              <w:t>0</w:t>
            </w:r>
            <w:r w:rsidRPr="00DA3740">
              <w:rPr>
                <w:rFonts w:ascii="Cambria" w:hAnsi="Cambria"/>
                <w:bCs/>
              </w:rPr>
              <w:t xml:space="preserve">00. </w:t>
            </w:r>
            <w:proofErr w:type="spellStart"/>
            <w:r w:rsidRPr="00DA3740">
              <w:rPr>
                <w:rFonts w:ascii="Cambria" w:hAnsi="Cambria"/>
                <w:bCs/>
              </w:rPr>
              <w:t>Brojevni</w:t>
            </w:r>
            <w:proofErr w:type="spellEnd"/>
            <w:r w:rsidRPr="00DA3740">
              <w:rPr>
                <w:rFonts w:ascii="Cambria" w:hAnsi="Cambria"/>
                <w:bCs/>
              </w:rPr>
              <w:t xml:space="preserve"> </w:t>
            </w:r>
            <w:proofErr w:type="spellStart"/>
            <w:r w:rsidRPr="00DA3740">
              <w:rPr>
                <w:rFonts w:ascii="Cambria" w:hAnsi="Cambria"/>
                <w:bCs/>
              </w:rPr>
              <w:t>sustavi</w:t>
            </w:r>
            <w:proofErr w:type="spellEnd"/>
            <w:r w:rsidRPr="00DA3740">
              <w:rPr>
                <w:rFonts w:ascii="Cambria" w:hAnsi="Cambria"/>
                <w:bCs/>
              </w:rPr>
              <w:t xml:space="preserve"> </w:t>
            </w:r>
            <w:proofErr w:type="spellStart"/>
            <w:r w:rsidRPr="00DA3740">
              <w:rPr>
                <w:rFonts w:ascii="Cambria" w:hAnsi="Cambria"/>
                <w:bCs/>
              </w:rPr>
              <w:t>kroz</w:t>
            </w:r>
            <w:proofErr w:type="spellEnd"/>
            <w:r w:rsidRPr="00DA3740">
              <w:rPr>
                <w:rFonts w:ascii="Cambria" w:hAnsi="Cambria"/>
                <w:bCs/>
              </w:rPr>
              <w:t xml:space="preserve"> </w:t>
            </w:r>
            <w:proofErr w:type="spellStart"/>
            <w:r w:rsidRPr="00DA3740">
              <w:rPr>
                <w:rFonts w:ascii="Cambria" w:hAnsi="Cambria"/>
                <w:bCs/>
              </w:rPr>
              <w:t>povijest</w:t>
            </w:r>
            <w:proofErr w:type="spellEnd"/>
            <w:r w:rsidRPr="00DA3740">
              <w:rPr>
                <w:rFonts w:ascii="Cambria" w:hAnsi="Cambria"/>
                <w:bCs/>
              </w:rPr>
              <w:t>.</w:t>
            </w:r>
          </w:p>
          <w:p w14:paraId="7F1259EC" w14:textId="77777777" w:rsidR="001E7B89" w:rsidRPr="00DA3740" w:rsidRDefault="001E7B89" w:rsidP="00A034E3">
            <w:pPr>
              <w:numPr>
                <w:ilvl w:val="1"/>
                <w:numId w:val="68"/>
              </w:numPr>
              <w:spacing w:after="0" w:line="240" w:lineRule="auto"/>
              <w:rPr>
                <w:rFonts w:ascii="Cambria" w:hAnsi="Cambria"/>
                <w:bCs/>
              </w:rPr>
            </w:pPr>
            <w:proofErr w:type="gramStart"/>
            <w:r w:rsidRPr="00DA3740">
              <w:rPr>
                <w:rFonts w:ascii="Cambria" w:hAnsi="Cambria"/>
                <w:bCs/>
              </w:rPr>
              <w:t xml:space="preserve">Zbrajanje </w:t>
            </w:r>
            <w:proofErr w:type="spellStart"/>
            <w:r w:rsidRPr="00DA3740">
              <w:rPr>
                <w:rFonts w:ascii="Cambria" w:hAnsi="Cambria"/>
                <w:bCs/>
              </w:rPr>
              <w:t>i</w:t>
            </w:r>
            <w:proofErr w:type="spellEnd"/>
            <w:r w:rsidRPr="00DA3740">
              <w:rPr>
                <w:rFonts w:ascii="Cambria" w:hAnsi="Cambria"/>
                <w:bCs/>
              </w:rPr>
              <w:t xml:space="preserve"> </w:t>
            </w:r>
            <w:proofErr w:type="spellStart"/>
            <w:r w:rsidRPr="00DA3740">
              <w:rPr>
                <w:rFonts w:ascii="Cambria" w:hAnsi="Cambria"/>
                <w:bCs/>
              </w:rPr>
              <w:t>oduzimanje</w:t>
            </w:r>
            <w:proofErr w:type="spellEnd"/>
            <w:proofErr w:type="gramEnd"/>
            <w:r w:rsidRPr="00DA3740">
              <w:rPr>
                <w:rFonts w:ascii="Cambria" w:hAnsi="Cambria"/>
                <w:bCs/>
              </w:rPr>
              <w:t xml:space="preserve"> </w:t>
            </w:r>
            <w:proofErr w:type="gramStart"/>
            <w:r w:rsidRPr="00DA3740">
              <w:rPr>
                <w:rFonts w:ascii="Cambria" w:hAnsi="Cambria"/>
                <w:bCs/>
              </w:rPr>
              <w:t>do</w:t>
            </w:r>
            <w:proofErr w:type="gramEnd"/>
            <w:r w:rsidRPr="00DA3740">
              <w:rPr>
                <w:rFonts w:ascii="Cambria" w:hAnsi="Cambria"/>
                <w:bCs/>
              </w:rPr>
              <w:t xml:space="preserve"> 20</w:t>
            </w:r>
          </w:p>
          <w:p w14:paraId="7E10A167" w14:textId="77777777" w:rsidR="001E7B89" w:rsidRPr="001E7B89" w:rsidRDefault="001E7B89" w:rsidP="00A034E3">
            <w:pPr>
              <w:numPr>
                <w:ilvl w:val="1"/>
                <w:numId w:val="68"/>
              </w:numPr>
              <w:spacing w:after="0" w:line="240" w:lineRule="auto"/>
              <w:rPr>
                <w:rFonts w:ascii="Cambria" w:hAnsi="Cambria"/>
                <w:bCs/>
                <w:lang w:val="it-IT"/>
              </w:rPr>
            </w:pPr>
            <w:proofErr w:type="spellStart"/>
            <w:r w:rsidRPr="001E7B89">
              <w:rPr>
                <w:rFonts w:ascii="Cambria" w:hAnsi="Cambria"/>
                <w:bCs/>
                <w:lang w:val="it-IT"/>
              </w:rPr>
              <w:t>Brojevna</w:t>
            </w:r>
            <w:proofErr w:type="spellEnd"/>
            <w:r w:rsidRPr="001E7B89">
              <w:rPr>
                <w:rFonts w:ascii="Cambria" w:hAnsi="Cambria"/>
                <w:bCs/>
                <w:lang w:val="it-IT"/>
              </w:rPr>
              <w:t xml:space="preserve"> </w:t>
            </w:r>
            <w:proofErr w:type="spellStart"/>
            <w:r w:rsidRPr="001E7B89">
              <w:rPr>
                <w:rFonts w:ascii="Cambria" w:hAnsi="Cambria"/>
                <w:bCs/>
                <w:lang w:val="it-IT"/>
              </w:rPr>
              <w:t>crta</w:t>
            </w:r>
            <w:proofErr w:type="spellEnd"/>
            <w:r w:rsidRPr="001E7B89">
              <w:rPr>
                <w:rFonts w:ascii="Cambria" w:hAnsi="Cambria"/>
                <w:bCs/>
                <w:lang w:val="it-IT"/>
              </w:rPr>
              <w:t xml:space="preserve">. Algoritmi </w:t>
            </w:r>
            <w:proofErr w:type="spellStart"/>
            <w:r w:rsidRPr="001E7B89">
              <w:rPr>
                <w:rFonts w:ascii="Cambria" w:hAnsi="Cambria"/>
                <w:bCs/>
                <w:lang w:val="it-IT"/>
              </w:rPr>
              <w:t>zbrajanja</w:t>
            </w:r>
            <w:proofErr w:type="spellEnd"/>
            <w:r w:rsidRPr="001E7B89">
              <w:rPr>
                <w:rFonts w:ascii="Cambria" w:hAnsi="Cambria"/>
                <w:bCs/>
                <w:lang w:val="it-IT"/>
              </w:rPr>
              <w:t xml:space="preserve"> i </w:t>
            </w:r>
            <w:proofErr w:type="spellStart"/>
            <w:r w:rsidRPr="001E7B89">
              <w:rPr>
                <w:rFonts w:ascii="Cambria" w:hAnsi="Cambria"/>
                <w:bCs/>
                <w:lang w:val="it-IT"/>
              </w:rPr>
              <w:t>oduzimanja</w:t>
            </w:r>
            <w:proofErr w:type="spellEnd"/>
          </w:p>
          <w:p w14:paraId="5F0CE81F" w14:textId="77777777" w:rsidR="001E7B89" w:rsidRPr="00DA3740" w:rsidRDefault="001E7B89" w:rsidP="00A034E3">
            <w:pPr>
              <w:numPr>
                <w:ilvl w:val="1"/>
                <w:numId w:val="68"/>
              </w:numPr>
              <w:spacing w:after="0" w:line="240" w:lineRule="auto"/>
              <w:rPr>
                <w:rFonts w:ascii="Cambria" w:hAnsi="Cambria"/>
                <w:bCs/>
              </w:rPr>
            </w:pPr>
            <w:proofErr w:type="spellStart"/>
            <w:r w:rsidRPr="00DA3740">
              <w:rPr>
                <w:rFonts w:ascii="Cambria" w:hAnsi="Cambria"/>
                <w:bCs/>
              </w:rPr>
              <w:t>Množenje</w:t>
            </w:r>
            <w:proofErr w:type="spellEnd"/>
            <w:r w:rsidRPr="00DA3740">
              <w:rPr>
                <w:rFonts w:ascii="Cambria" w:hAnsi="Cambria"/>
                <w:bCs/>
              </w:rPr>
              <w:t xml:space="preserve"> </w:t>
            </w:r>
            <w:proofErr w:type="spellStart"/>
            <w:r w:rsidRPr="00DA3740">
              <w:rPr>
                <w:rFonts w:ascii="Cambria" w:hAnsi="Cambria"/>
                <w:bCs/>
              </w:rPr>
              <w:t>i</w:t>
            </w:r>
            <w:proofErr w:type="spellEnd"/>
            <w:r w:rsidRPr="00DA3740">
              <w:rPr>
                <w:rFonts w:ascii="Cambria" w:hAnsi="Cambria"/>
                <w:bCs/>
              </w:rPr>
              <w:t xml:space="preserve"> </w:t>
            </w:r>
            <w:proofErr w:type="spellStart"/>
            <w:r w:rsidRPr="00DA3740">
              <w:rPr>
                <w:rFonts w:ascii="Cambria" w:hAnsi="Cambria"/>
                <w:bCs/>
              </w:rPr>
              <w:t>dijeljenje</w:t>
            </w:r>
            <w:proofErr w:type="spellEnd"/>
          </w:p>
          <w:p w14:paraId="0D31E945" w14:textId="77777777" w:rsidR="001E7B89" w:rsidRPr="001E7B89" w:rsidRDefault="001E7B89" w:rsidP="00A034E3">
            <w:pPr>
              <w:numPr>
                <w:ilvl w:val="1"/>
                <w:numId w:val="68"/>
              </w:numPr>
              <w:spacing w:after="0" w:line="240" w:lineRule="auto"/>
              <w:rPr>
                <w:rFonts w:ascii="Cambria" w:hAnsi="Cambria"/>
                <w:bCs/>
                <w:lang w:val="it-IT"/>
              </w:rPr>
            </w:pPr>
            <w:proofErr w:type="spellStart"/>
            <w:r w:rsidRPr="001E7B89">
              <w:rPr>
                <w:rFonts w:ascii="Cambria" w:hAnsi="Cambria"/>
                <w:bCs/>
                <w:lang w:val="it-IT"/>
              </w:rPr>
              <w:t>Množenje</w:t>
            </w:r>
            <w:proofErr w:type="spellEnd"/>
            <w:r w:rsidRPr="001E7B89">
              <w:rPr>
                <w:rFonts w:ascii="Cambria" w:hAnsi="Cambria"/>
                <w:bCs/>
                <w:lang w:val="it-IT"/>
              </w:rPr>
              <w:t xml:space="preserve"> i </w:t>
            </w:r>
            <w:proofErr w:type="spellStart"/>
            <w:r w:rsidRPr="001E7B89">
              <w:rPr>
                <w:rFonts w:ascii="Cambria" w:hAnsi="Cambria"/>
                <w:bCs/>
                <w:lang w:val="it-IT"/>
              </w:rPr>
              <w:t>dijeljenje</w:t>
            </w:r>
            <w:proofErr w:type="spellEnd"/>
            <w:r w:rsidRPr="001E7B89">
              <w:rPr>
                <w:rFonts w:ascii="Cambria" w:hAnsi="Cambria"/>
                <w:bCs/>
                <w:lang w:val="it-IT"/>
              </w:rPr>
              <w:t xml:space="preserve"> do 1000: </w:t>
            </w:r>
            <w:proofErr w:type="spellStart"/>
            <w:r w:rsidRPr="001E7B89">
              <w:rPr>
                <w:rFonts w:ascii="Cambria" w:hAnsi="Cambria"/>
                <w:bCs/>
                <w:lang w:val="it-IT"/>
              </w:rPr>
              <w:t>pismeno</w:t>
            </w:r>
            <w:proofErr w:type="spellEnd"/>
            <w:r w:rsidRPr="001E7B89">
              <w:rPr>
                <w:rFonts w:ascii="Cambria" w:hAnsi="Cambria"/>
                <w:bCs/>
                <w:lang w:val="it-IT"/>
              </w:rPr>
              <w:t xml:space="preserve"> </w:t>
            </w:r>
            <w:proofErr w:type="spellStart"/>
            <w:r w:rsidRPr="001E7B89">
              <w:rPr>
                <w:rFonts w:ascii="Cambria" w:hAnsi="Cambria"/>
                <w:bCs/>
                <w:lang w:val="it-IT"/>
              </w:rPr>
              <w:t>množenje</w:t>
            </w:r>
            <w:proofErr w:type="spellEnd"/>
            <w:r w:rsidRPr="001E7B89">
              <w:rPr>
                <w:rFonts w:ascii="Cambria" w:hAnsi="Cambria"/>
                <w:bCs/>
                <w:lang w:val="it-IT"/>
              </w:rPr>
              <w:t xml:space="preserve">, </w:t>
            </w:r>
            <w:proofErr w:type="spellStart"/>
            <w:r w:rsidRPr="001E7B89">
              <w:rPr>
                <w:rFonts w:ascii="Cambria" w:hAnsi="Cambria"/>
                <w:bCs/>
                <w:lang w:val="it-IT"/>
              </w:rPr>
              <w:t>usmeno</w:t>
            </w:r>
            <w:proofErr w:type="spellEnd"/>
            <w:r w:rsidRPr="001E7B89">
              <w:rPr>
                <w:rFonts w:ascii="Cambria" w:hAnsi="Cambria"/>
                <w:bCs/>
                <w:lang w:val="it-IT"/>
              </w:rPr>
              <w:t xml:space="preserve"> i </w:t>
            </w:r>
            <w:proofErr w:type="spellStart"/>
            <w:r w:rsidRPr="001E7B89">
              <w:rPr>
                <w:rFonts w:ascii="Cambria" w:hAnsi="Cambria"/>
                <w:bCs/>
                <w:lang w:val="it-IT"/>
              </w:rPr>
              <w:t>pismeno</w:t>
            </w:r>
            <w:proofErr w:type="spellEnd"/>
            <w:r w:rsidRPr="001E7B89">
              <w:rPr>
                <w:rFonts w:ascii="Cambria" w:hAnsi="Cambria"/>
                <w:bCs/>
                <w:lang w:val="it-IT"/>
              </w:rPr>
              <w:t xml:space="preserve"> </w:t>
            </w:r>
            <w:proofErr w:type="spellStart"/>
            <w:r w:rsidRPr="001E7B89">
              <w:rPr>
                <w:rFonts w:ascii="Cambria" w:hAnsi="Cambria"/>
                <w:bCs/>
                <w:lang w:val="it-IT"/>
              </w:rPr>
              <w:t>dijeljenje</w:t>
            </w:r>
            <w:proofErr w:type="spellEnd"/>
          </w:p>
          <w:p w14:paraId="4ECEC725" w14:textId="77777777" w:rsidR="001E7B89" w:rsidRPr="001E7B89" w:rsidRDefault="001E7B89" w:rsidP="00A034E3">
            <w:pPr>
              <w:numPr>
                <w:ilvl w:val="0"/>
                <w:numId w:val="68"/>
              </w:numPr>
              <w:spacing w:after="0" w:line="240" w:lineRule="auto"/>
              <w:rPr>
                <w:rFonts w:ascii="Cambria" w:hAnsi="Cambria"/>
                <w:bCs/>
                <w:lang w:val="it-IT"/>
              </w:rPr>
            </w:pPr>
            <w:proofErr w:type="spellStart"/>
            <w:r w:rsidRPr="001E7B89">
              <w:rPr>
                <w:rFonts w:ascii="Cambria" w:hAnsi="Cambria"/>
                <w:bCs/>
                <w:lang w:val="it-IT"/>
              </w:rPr>
              <w:lastRenderedPageBreak/>
              <w:t>Metodička</w:t>
            </w:r>
            <w:proofErr w:type="spellEnd"/>
            <w:r w:rsidRPr="001E7B89">
              <w:rPr>
                <w:rFonts w:ascii="Cambria" w:hAnsi="Cambria"/>
                <w:bCs/>
                <w:lang w:val="it-IT"/>
              </w:rPr>
              <w:t xml:space="preserve"> </w:t>
            </w:r>
            <w:proofErr w:type="spellStart"/>
            <w:r w:rsidRPr="001E7B89">
              <w:rPr>
                <w:rFonts w:ascii="Cambria" w:hAnsi="Cambria"/>
                <w:bCs/>
                <w:lang w:val="it-IT"/>
              </w:rPr>
              <w:t>interpretacija</w:t>
            </w:r>
            <w:proofErr w:type="spellEnd"/>
            <w:r w:rsidRPr="001E7B89">
              <w:rPr>
                <w:rFonts w:ascii="Cambria" w:hAnsi="Cambria"/>
                <w:bCs/>
                <w:lang w:val="it-IT"/>
              </w:rPr>
              <w:t xml:space="preserve"> </w:t>
            </w:r>
            <w:proofErr w:type="spellStart"/>
            <w:r w:rsidRPr="001E7B89">
              <w:rPr>
                <w:rFonts w:ascii="Cambria" w:hAnsi="Cambria"/>
                <w:bCs/>
                <w:lang w:val="it-IT"/>
              </w:rPr>
              <w:t>geometrijskih</w:t>
            </w:r>
            <w:proofErr w:type="spellEnd"/>
            <w:r w:rsidRPr="001E7B89">
              <w:rPr>
                <w:rFonts w:ascii="Cambria" w:hAnsi="Cambria"/>
                <w:bCs/>
                <w:lang w:val="it-IT"/>
              </w:rPr>
              <w:t xml:space="preserve"> </w:t>
            </w:r>
            <w:proofErr w:type="spellStart"/>
            <w:r w:rsidRPr="001E7B89">
              <w:rPr>
                <w:rFonts w:ascii="Cambria" w:hAnsi="Cambria"/>
                <w:bCs/>
                <w:lang w:val="it-IT"/>
              </w:rPr>
              <w:t>sadržaja</w:t>
            </w:r>
            <w:proofErr w:type="spellEnd"/>
            <w:r w:rsidRPr="001E7B89">
              <w:rPr>
                <w:rFonts w:ascii="Cambria" w:hAnsi="Cambria"/>
                <w:bCs/>
                <w:lang w:val="it-IT"/>
              </w:rPr>
              <w:t xml:space="preserve"> u </w:t>
            </w:r>
            <w:proofErr w:type="spellStart"/>
            <w:r w:rsidRPr="001E7B89">
              <w:rPr>
                <w:rFonts w:ascii="Cambria" w:hAnsi="Cambria"/>
                <w:bCs/>
                <w:lang w:val="it-IT"/>
              </w:rPr>
              <w:t>razrednoj</w:t>
            </w:r>
            <w:proofErr w:type="spellEnd"/>
            <w:r w:rsidRPr="001E7B89">
              <w:rPr>
                <w:rFonts w:ascii="Cambria" w:hAnsi="Cambria"/>
                <w:bCs/>
                <w:lang w:val="it-IT"/>
              </w:rPr>
              <w:t xml:space="preserve"> </w:t>
            </w:r>
            <w:proofErr w:type="spellStart"/>
            <w:r w:rsidRPr="001E7B89">
              <w:rPr>
                <w:rFonts w:ascii="Cambria" w:hAnsi="Cambria"/>
                <w:bCs/>
                <w:lang w:val="it-IT"/>
              </w:rPr>
              <w:t>nastavi</w:t>
            </w:r>
            <w:proofErr w:type="spellEnd"/>
            <w:r w:rsidRPr="001E7B89">
              <w:rPr>
                <w:rFonts w:ascii="Cambria" w:hAnsi="Cambria"/>
                <w:bCs/>
                <w:lang w:val="it-IT"/>
              </w:rPr>
              <w:t xml:space="preserve"> </w:t>
            </w:r>
          </w:p>
          <w:p w14:paraId="6DBAB06E" w14:textId="77777777" w:rsidR="001E7B89" w:rsidRDefault="001E7B89" w:rsidP="00A034E3">
            <w:pPr>
              <w:numPr>
                <w:ilvl w:val="1"/>
                <w:numId w:val="68"/>
              </w:numPr>
              <w:spacing w:after="0" w:line="240" w:lineRule="auto"/>
              <w:rPr>
                <w:rFonts w:ascii="Cambria" w:hAnsi="Cambria"/>
                <w:bCs/>
              </w:rPr>
            </w:pPr>
            <w:proofErr w:type="spellStart"/>
            <w:r>
              <w:rPr>
                <w:rFonts w:ascii="Cambria" w:hAnsi="Cambria"/>
                <w:bCs/>
              </w:rPr>
              <w:t>Razvoj</w:t>
            </w:r>
            <w:proofErr w:type="spellEnd"/>
            <w:r>
              <w:rPr>
                <w:rFonts w:ascii="Cambria" w:hAnsi="Cambria"/>
                <w:bCs/>
              </w:rPr>
              <w:t xml:space="preserve"> </w:t>
            </w:r>
            <w:proofErr w:type="spellStart"/>
            <w:r>
              <w:rPr>
                <w:rFonts w:ascii="Cambria" w:hAnsi="Cambria"/>
                <w:bCs/>
              </w:rPr>
              <w:t>geometrijskog</w:t>
            </w:r>
            <w:proofErr w:type="spellEnd"/>
            <w:r>
              <w:rPr>
                <w:rFonts w:ascii="Cambria" w:hAnsi="Cambria"/>
                <w:bCs/>
              </w:rPr>
              <w:t xml:space="preserve"> </w:t>
            </w:r>
            <w:proofErr w:type="spellStart"/>
            <w:r>
              <w:rPr>
                <w:rFonts w:ascii="Cambria" w:hAnsi="Cambria"/>
                <w:bCs/>
              </w:rPr>
              <w:t>mišljenja</w:t>
            </w:r>
            <w:proofErr w:type="spellEnd"/>
            <w:r>
              <w:rPr>
                <w:rFonts w:ascii="Cambria" w:hAnsi="Cambria"/>
                <w:bCs/>
              </w:rPr>
              <w:t xml:space="preserve">. </w:t>
            </w:r>
            <w:proofErr w:type="spellStart"/>
            <w:r>
              <w:rPr>
                <w:rFonts w:ascii="Cambria" w:hAnsi="Cambria"/>
                <w:bCs/>
              </w:rPr>
              <w:t>Vizualizacija</w:t>
            </w:r>
            <w:proofErr w:type="spellEnd"/>
          </w:p>
          <w:p w14:paraId="2E0F4B92" w14:textId="77777777" w:rsidR="001E7B89" w:rsidRDefault="001E7B89" w:rsidP="00A034E3">
            <w:pPr>
              <w:numPr>
                <w:ilvl w:val="1"/>
                <w:numId w:val="68"/>
              </w:numPr>
              <w:spacing w:after="0" w:line="240" w:lineRule="auto"/>
              <w:rPr>
                <w:rFonts w:ascii="Cambria" w:hAnsi="Cambria"/>
                <w:bCs/>
              </w:rPr>
            </w:pPr>
            <w:proofErr w:type="spellStart"/>
            <w:r w:rsidRPr="00DA3740">
              <w:rPr>
                <w:rFonts w:ascii="Cambria" w:hAnsi="Cambria"/>
                <w:bCs/>
              </w:rPr>
              <w:t>Metodička</w:t>
            </w:r>
            <w:proofErr w:type="spellEnd"/>
            <w:r w:rsidRPr="00DA3740">
              <w:rPr>
                <w:rFonts w:ascii="Cambria" w:hAnsi="Cambria"/>
                <w:bCs/>
              </w:rPr>
              <w:t xml:space="preserve"> </w:t>
            </w:r>
            <w:proofErr w:type="spellStart"/>
            <w:r w:rsidRPr="00DA3740">
              <w:rPr>
                <w:rFonts w:ascii="Cambria" w:hAnsi="Cambria"/>
                <w:bCs/>
              </w:rPr>
              <w:t>interpretacija</w:t>
            </w:r>
            <w:proofErr w:type="spellEnd"/>
            <w:r w:rsidRPr="00DA3740">
              <w:rPr>
                <w:rFonts w:ascii="Cambria" w:hAnsi="Cambria"/>
                <w:bCs/>
              </w:rPr>
              <w:t xml:space="preserve"> </w:t>
            </w:r>
            <w:proofErr w:type="spellStart"/>
            <w:r w:rsidRPr="00DA3740">
              <w:rPr>
                <w:rFonts w:ascii="Cambria" w:hAnsi="Cambria"/>
                <w:bCs/>
              </w:rPr>
              <w:t>matematičkih</w:t>
            </w:r>
            <w:proofErr w:type="spellEnd"/>
            <w:r w:rsidRPr="00DA3740">
              <w:rPr>
                <w:rFonts w:ascii="Cambria" w:hAnsi="Cambria"/>
                <w:bCs/>
              </w:rPr>
              <w:t xml:space="preserve"> </w:t>
            </w:r>
            <w:proofErr w:type="spellStart"/>
            <w:r w:rsidRPr="00DA3740">
              <w:rPr>
                <w:rFonts w:ascii="Cambria" w:hAnsi="Cambria"/>
                <w:bCs/>
              </w:rPr>
              <w:t>sadržaja</w:t>
            </w:r>
            <w:proofErr w:type="spellEnd"/>
            <w:r w:rsidRPr="00DA3740">
              <w:rPr>
                <w:rFonts w:ascii="Cambria" w:hAnsi="Cambria"/>
                <w:bCs/>
              </w:rPr>
              <w:t xml:space="preserve"> u </w:t>
            </w:r>
            <w:proofErr w:type="spellStart"/>
            <w:r w:rsidRPr="00DA3740">
              <w:rPr>
                <w:rFonts w:ascii="Cambria" w:hAnsi="Cambria"/>
                <w:bCs/>
              </w:rPr>
              <w:t>razrednoj</w:t>
            </w:r>
            <w:proofErr w:type="spellEnd"/>
            <w:r w:rsidRPr="00DA3740">
              <w:rPr>
                <w:rFonts w:ascii="Cambria" w:hAnsi="Cambria"/>
                <w:bCs/>
              </w:rPr>
              <w:t xml:space="preserve"> </w:t>
            </w:r>
            <w:proofErr w:type="spellStart"/>
            <w:proofErr w:type="gramStart"/>
            <w:r w:rsidRPr="00DA3740">
              <w:rPr>
                <w:rFonts w:ascii="Cambria" w:hAnsi="Cambria"/>
                <w:bCs/>
              </w:rPr>
              <w:t>nastavi</w:t>
            </w:r>
            <w:proofErr w:type="spellEnd"/>
            <w:r w:rsidRPr="00DA3740">
              <w:rPr>
                <w:rFonts w:ascii="Cambria" w:hAnsi="Cambria"/>
                <w:bCs/>
              </w:rPr>
              <w:t xml:space="preserve"> </w:t>
            </w:r>
            <w:r>
              <w:rPr>
                <w:rFonts w:ascii="Cambria" w:hAnsi="Cambria"/>
                <w:bCs/>
              </w:rPr>
              <w:t>,</w:t>
            </w:r>
            <w:proofErr w:type="gramEnd"/>
            <w:r>
              <w:rPr>
                <w:rFonts w:ascii="Cambria" w:hAnsi="Cambria"/>
                <w:bCs/>
              </w:rPr>
              <w:t xml:space="preserve"> </w:t>
            </w:r>
            <w:proofErr w:type="spellStart"/>
            <w:r>
              <w:rPr>
                <w:rFonts w:ascii="Cambria" w:hAnsi="Cambria"/>
                <w:bCs/>
              </w:rPr>
              <w:t>izgradnja</w:t>
            </w:r>
            <w:proofErr w:type="spellEnd"/>
            <w:r>
              <w:rPr>
                <w:rFonts w:ascii="Cambria" w:hAnsi="Cambria"/>
                <w:bCs/>
              </w:rPr>
              <w:t xml:space="preserve"> </w:t>
            </w:r>
            <w:proofErr w:type="spellStart"/>
            <w:r>
              <w:rPr>
                <w:rFonts w:ascii="Cambria" w:hAnsi="Cambria"/>
                <w:bCs/>
              </w:rPr>
              <w:t>pojmova</w:t>
            </w:r>
            <w:proofErr w:type="spellEnd"/>
            <w:r>
              <w:rPr>
                <w:rFonts w:ascii="Cambria" w:hAnsi="Cambria"/>
                <w:bCs/>
              </w:rPr>
              <w:t xml:space="preserve"> </w:t>
            </w:r>
            <w:proofErr w:type="spellStart"/>
            <w:r>
              <w:rPr>
                <w:rFonts w:ascii="Cambria" w:hAnsi="Cambria"/>
                <w:bCs/>
              </w:rPr>
              <w:t>iz</w:t>
            </w:r>
            <w:proofErr w:type="spellEnd"/>
            <w:r>
              <w:rPr>
                <w:rFonts w:ascii="Cambria" w:hAnsi="Cambria"/>
                <w:bCs/>
              </w:rPr>
              <w:t xml:space="preserve"> </w:t>
            </w:r>
            <w:proofErr w:type="spellStart"/>
            <w:r w:rsidRPr="00DA3740">
              <w:rPr>
                <w:rFonts w:ascii="Cambria" w:hAnsi="Cambria"/>
                <w:bCs/>
              </w:rPr>
              <w:t>domen</w:t>
            </w:r>
            <w:r>
              <w:rPr>
                <w:rFonts w:ascii="Cambria" w:hAnsi="Cambria"/>
                <w:bCs/>
              </w:rPr>
              <w:t>e</w:t>
            </w:r>
            <w:proofErr w:type="spellEnd"/>
            <w:r w:rsidRPr="00DA3740">
              <w:rPr>
                <w:rFonts w:ascii="Cambria" w:hAnsi="Cambria"/>
                <w:bCs/>
              </w:rPr>
              <w:t xml:space="preserve"> </w:t>
            </w:r>
            <w:proofErr w:type="spellStart"/>
            <w:r>
              <w:rPr>
                <w:rFonts w:ascii="Cambria" w:hAnsi="Cambria"/>
                <w:bCs/>
              </w:rPr>
              <w:t>Oblik</w:t>
            </w:r>
            <w:proofErr w:type="spellEnd"/>
            <w:r>
              <w:rPr>
                <w:rFonts w:ascii="Cambria" w:hAnsi="Cambria"/>
                <w:bCs/>
              </w:rPr>
              <w:t xml:space="preserve"> </w:t>
            </w:r>
            <w:proofErr w:type="spellStart"/>
            <w:r>
              <w:rPr>
                <w:rFonts w:ascii="Cambria" w:hAnsi="Cambria"/>
                <w:bCs/>
              </w:rPr>
              <w:t>i</w:t>
            </w:r>
            <w:proofErr w:type="spellEnd"/>
            <w:r>
              <w:rPr>
                <w:rFonts w:ascii="Cambria" w:hAnsi="Cambria"/>
                <w:bCs/>
              </w:rPr>
              <w:t xml:space="preserve"> </w:t>
            </w:r>
            <w:proofErr w:type="spellStart"/>
            <w:r>
              <w:rPr>
                <w:rFonts w:ascii="Cambria" w:hAnsi="Cambria"/>
                <w:bCs/>
              </w:rPr>
              <w:t>prostor-ponavljanje</w:t>
            </w:r>
            <w:proofErr w:type="spellEnd"/>
          </w:p>
          <w:p w14:paraId="1BD2F130" w14:textId="77777777" w:rsidR="001E7B89" w:rsidRPr="00DA3740" w:rsidRDefault="001E7B89" w:rsidP="00A034E3">
            <w:pPr>
              <w:numPr>
                <w:ilvl w:val="1"/>
                <w:numId w:val="68"/>
              </w:numPr>
              <w:spacing w:after="0" w:line="240" w:lineRule="auto"/>
              <w:rPr>
                <w:rFonts w:ascii="Cambria" w:hAnsi="Cambria"/>
                <w:bCs/>
              </w:rPr>
            </w:pPr>
            <w:proofErr w:type="spellStart"/>
            <w:r w:rsidRPr="00DA3740">
              <w:rPr>
                <w:rFonts w:ascii="Cambria" w:hAnsi="Cambria"/>
                <w:bCs/>
              </w:rPr>
              <w:t>Metodička</w:t>
            </w:r>
            <w:proofErr w:type="spellEnd"/>
            <w:r w:rsidRPr="00DA3740">
              <w:rPr>
                <w:rFonts w:ascii="Cambria" w:hAnsi="Cambria"/>
                <w:bCs/>
              </w:rPr>
              <w:t xml:space="preserve"> </w:t>
            </w:r>
            <w:proofErr w:type="spellStart"/>
            <w:r w:rsidRPr="00DA3740">
              <w:rPr>
                <w:rFonts w:ascii="Cambria" w:hAnsi="Cambria"/>
                <w:bCs/>
              </w:rPr>
              <w:t>interpretacija</w:t>
            </w:r>
            <w:proofErr w:type="spellEnd"/>
            <w:r w:rsidRPr="00DA3740">
              <w:rPr>
                <w:rFonts w:ascii="Cambria" w:hAnsi="Cambria"/>
                <w:bCs/>
              </w:rPr>
              <w:t xml:space="preserve"> </w:t>
            </w:r>
            <w:proofErr w:type="spellStart"/>
            <w:r w:rsidRPr="00DA3740">
              <w:rPr>
                <w:rFonts w:ascii="Cambria" w:hAnsi="Cambria"/>
                <w:bCs/>
              </w:rPr>
              <w:t>matematičkih</w:t>
            </w:r>
            <w:proofErr w:type="spellEnd"/>
            <w:r w:rsidRPr="00DA3740">
              <w:rPr>
                <w:rFonts w:ascii="Cambria" w:hAnsi="Cambria"/>
                <w:bCs/>
              </w:rPr>
              <w:t xml:space="preserve"> </w:t>
            </w:r>
            <w:proofErr w:type="spellStart"/>
            <w:r w:rsidRPr="00DA3740">
              <w:rPr>
                <w:rFonts w:ascii="Cambria" w:hAnsi="Cambria"/>
                <w:bCs/>
              </w:rPr>
              <w:t>sadržaja</w:t>
            </w:r>
            <w:proofErr w:type="spellEnd"/>
            <w:r w:rsidRPr="00DA3740">
              <w:rPr>
                <w:rFonts w:ascii="Cambria" w:hAnsi="Cambria"/>
                <w:bCs/>
              </w:rPr>
              <w:t xml:space="preserve"> u </w:t>
            </w:r>
            <w:proofErr w:type="spellStart"/>
            <w:r w:rsidRPr="00DA3740">
              <w:rPr>
                <w:rFonts w:ascii="Cambria" w:hAnsi="Cambria"/>
                <w:bCs/>
              </w:rPr>
              <w:t>razrednoj</w:t>
            </w:r>
            <w:proofErr w:type="spellEnd"/>
            <w:r w:rsidRPr="00DA3740">
              <w:rPr>
                <w:rFonts w:ascii="Cambria" w:hAnsi="Cambria"/>
                <w:bCs/>
              </w:rPr>
              <w:t xml:space="preserve"> </w:t>
            </w:r>
            <w:proofErr w:type="spellStart"/>
            <w:proofErr w:type="gramStart"/>
            <w:r w:rsidRPr="00DA3740">
              <w:rPr>
                <w:rFonts w:ascii="Cambria" w:hAnsi="Cambria"/>
                <w:bCs/>
              </w:rPr>
              <w:t>nastavi</w:t>
            </w:r>
            <w:proofErr w:type="spellEnd"/>
            <w:r w:rsidRPr="00DA3740">
              <w:rPr>
                <w:rFonts w:ascii="Cambria" w:hAnsi="Cambria"/>
                <w:bCs/>
              </w:rPr>
              <w:t xml:space="preserve"> </w:t>
            </w:r>
            <w:r>
              <w:rPr>
                <w:rFonts w:ascii="Cambria" w:hAnsi="Cambria"/>
                <w:bCs/>
              </w:rPr>
              <w:t>,</w:t>
            </w:r>
            <w:proofErr w:type="gramEnd"/>
            <w:r>
              <w:rPr>
                <w:rFonts w:ascii="Cambria" w:hAnsi="Cambria"/>
                <w:bCs/>
              </w:rPr>
              <w:t xml:space="preserve"> </w:t>
            </w:r>
            <w:proofErr w:type="spellStart"/>
            <w:r>
              <w:rPr>
                <w:rFonts w:ascii="Cambria" w:hAnsi="Cambria"/>
                <w:bCs/>
              </w:rPr>
              <w:t>izgradnja</w:t>
            </w:r>
            <w:proofErr w:type="spellEnd"/>
            <w:r>
              <w:rPr>
                <w:rFonts w:ascii="Cambria" w:hAnsi="Cambria"/>
                <w:bCs/>
              </w:rPr>
              <w:t xml:space="preserve"> </w:t>
            </w:r>
            <w:proofErr w:type="spellStart"/>
            <w:r>
              <w:rPr>
                <w:rFonts w:ascii="Cambria" w:hAnsi="Cambria"/>
                <w:bCs/>
              </w:rPr>
              <w:t>pojmova</w:t>
            </w:r>
            <w:proofErr w:type="spellEnd"/>
            <w:r>
              <w:rPr>
                <w:rFonts w:ascii="Cambria" w:hAnsi="Cambria"/>
                <w:bCs/>
              </w:rPr>
              <w:t xml:space="preserve"> </w:t>
            </w:r>
            <w:proofErr w:type="spellStart"/>
            <w:r>
              <w:rPr>
                <w:rFonts w:ascii="Cambria" w:hAnsi="Cambria"/>
                <w:bCs/>
              </w:rPr>
              <w:t>iz</w:t>
            </w:r>
            <w:proofErr w:type="spellEnd"/>
            <w:r>
              <w:rPr>
                <w:rFonts w:ascii="Cambria" w:hAnsi="Cambria"/>
                <w:bCs/>
              </w:rPr>
              <w:t xml:space="preserve"> </w:t>
            </w:r>
            <w:proofErr w:type="spellStart"/>
            <w:r w:rsidRPr="00DA3740">
              <w:rPr>
                <w:rFonts w:ascii="Cambria" w:hAnsi="Cambria"/>
                <w:bCs/>
              </w:rPr>
              <w:t>domen</w:t>
            </w:r>
            <w:r>
              <w:rPr>
                <w:rFonts w:ascii="Cambria" w:hAnsi="Cambria"/>
                <w:bCs/>
              </w:rPr>
              <w:t>e</w:t>
            </w:r>
            <w:proofErr w:type="spellEnd"/>
            <w:r w:rsidRPr="00DA3740">
              <w:rPr>
                <w:rFonts w:ascii="Cambria" w:hAnsi="Cambria"/>
                <w:bCs/>
              </w:rPr>
              <w:t xml:space="preserve"> </w:t>
            </w:r>
            <w:proofErr w:type="spellStart"/>
            <w:r>
              <w:rPr>
                <w:rFonts w:ascii="Cambria" w:hAnsi="Cambria"/>
                <w:bCs/>
              </w:rPr>
              <w:t>Mjerenja</w:t>
            </w:r>
            <w:proofErr w:type="spellEnd"/>
          </w:p>
          <w:p w14:paraId="067B8D6A" w14:textId="77777777" w:rsidR="001E7B89" w:rsidRPr="001E7B89" w:rsidRDefault="001E7B89" w:rsidP="00A034E3">
            <w:pPr>
              <w:numPr>
                <w:ilvl w:val="0"/>
                <w:numId w:val="68"/>
              </w:numPr>
              <w:spacing w:after="0" w:line="240" w:lineRule="auto"/>
              <w:rPr>
                <w:rFonts w:ascii="Cambria" w:hAnsi="Cambria"/>
                <w:bCs/>
                <w:lang w:val="it-IT"/>
              </w:rPr>
            </w:pPr>
            <w:proofErr w:type="spellStart"/>
            <w:r w:rsidRPr="001E7B89">
              <w:rPr>
                <w:rFonts w:ascii="Cambria" w:hAnsi="Cambria"/>
                <w:bCs/>
                <w:lang w:val="it-IT"/>
              </w:rPr>
              <w:t>Metodička</w:t>
            </w:r>
            <w:proofErr w:type="spellEnd"/>
            <w:r w:rsidRPr="001E7B89">
              <w:rPr>
                <w:rFonts w:ascii="Cambria" w:hAnsi="Cambria"/>
                <w:bCs/>
                <w:lang w:val="it-IT"/>
              </w:rPr>
              <w:t xml:space="preserve"> </w:t>
            </w:r>
            <w:proofErr w:type="spellStart"/>
            <w:r w:rsidRPr="001E7B89">
              <w:rPr>
                <w:rFonts w:ascii="Cambria" w:hAnsi="Cambria"/>
                <w:bCs/>
                <w:lang w:val="it-IT"/>
              </w:rPr>
              <w:t>interpretacija</w:t>
            </w:r>
            <w:proofErr w:type="spellEnd"/>
            <w:r w:rsidRPr="001E7B89">
              <w:rPr>
                <w:rFonts w:ascii="Cambria" w:hAnsi="Cambria"/>
                <w:bCs/>
                <w:lang w:val="it-IT"/>
              </w:rPr>
              <w:t xml:space="preserve"> </w:t>
            </w:r>
            <w:proofErr w:type="spellStart"/>
            <w:r w:rsidRPr="001E7B89">
              <w:rPr>
                <w:rFonts w:ascii="Cambria" w:hAnsi="Cambria"/>
                <w:bCs/>
                <w:lang w:val="it-IT"/>
              </w:rPr>
              <w:t>matematičkih</w:t>
            </w:r>
            <w:proofErr w:type="spellEnd"/>
            <w:r w:rsidRPr="001E7B89">
              <w:rPr>
                <w:rFonts w:ascii="Cambria" w:hAnsi="Cambria"/>
                <w:bCs/>
                <w:lang w:val="it-IT"/>
              </w:rPr>
              <w:t xml:space="preserve"> </w:t>
            </w:r>
            <w:proofErr w:type="spellStart"/>
            <w:r w:rsidRPr="001E7B89">
              <w:rPr>
                <w:rFonts w:ascii="Cambria" w:hAnsi="Cambria"/>
                <w:bCs/>
                <w:lang w:val="it-IT"/>
              </w:rPr>
              <w:t>sadržaja</w:t>
            </w:r>
            <w:proofErr w:type="spellEnd"/>
            <w:r w:rsidRPr="001E7B89">
              <w:rPr>
                <w:rFonts w:ascii="Cambria" w:hAnsi="Cambria"/>
                <w:bCs/>
                <w:lang w:val="it-IT"/>
              </w:rPr>
              <w:t xml:space="preserve"> u </w:t>
            </w:r>
            <w:proofErr w:type="spellStart"/>
            <w:r w:rsidRPr="001E7B89">
              <w:rPr>
                <w:rFonts w:ascii="Cambria" w:hAnsi="Cambria"/>
                <w:bCs/>
                <w:lang w:val="it-IT"/>
              </w:rPr>
              <w:t>razrednoj</w:t>
            </w:r>
            <w:proofErr w:type="spellEnd"/>
            <w:r w:rsidRPr="001E7B89">
              <w:rPr>
                <w:rFonts w:ascii="Cambria" w:hAnsi="Cambria"/>
                <w:bCs/>
                <w:lang w:val="it-IT"/>
              </w:rPr>
              <w:t xml:space="preserve"> </w:t>
            </w:r>
            <w:proofErr w:type="spellStart"/>
            <w:r w:rsidRPr="001E7B89">
              <w:rPr>
                <w:rFonts w:ascii="Cambria" w:hAnsi="Cambria"/>
                <w:bCs/>
                <w:lang w:val="it-IT"/>
              </w:rPr>
              <w:t>nastavi</w:t>
            </w:r>
            <w:proofErr w:type="spellEnd"/>
            <w:r w:rsidRPr="001E7B89">
              <w:rPr>
                <w:rFonts w:ascii="Cambria" w:hAnsi="Cambria"/>
                <w:bCs/>
                <w:lang w:val="it-IT"/>
              </w:rPr>
              <w:t xml:space="preserve"> – </w:t>
            </w:r>
            <w:proofErr w:type="spellStart"/>
            <w:r w:rsidRPr="001E7B89">
              <w:rPr>
                <w:rFonts w:ascii="Cambria" w:hAnsi="Cambria"/>
                <w:bCs/>
                <w:lang w:val="it-IT"/>
              </w:rPr>
              <w:t>domena</w:t>
            </w:r>
            <w:proofErr w:type="spellEnd"/>
            <w:r w:rsidRPr="001E7B89">
              <w:rPr>
                <w:rFonts w:ascii="Cambria" w:hAnsi="Cambria"/>
                <w:bCs/>
                <w:lang w:val="it-IT"/>
              </w:rPr>
              <w:t xml:space="preserve"> </w:t>
            </w:r>
            <w:proofErr w:type="spellStart"/>
            <w:r w:rsidRPr="001E7B89">
              <w:rPr>
                <w:rFonts w:ascii="Cambria" w:hAnsi="Cambria"/>
                <w:bCs/>
                <w:lang w:val="it-IT"/>
              </w:rPr>
              <w:t>Podaci</w:t>
            </w:r>
            <w:proofErr w:type="spellEnd"/>
            <w:r w:rsidRPr="001E7B89">
              <w:rPr>
                <w:rFonts w:ascii="Cambria" w:hAnsi="Cambria"/>
                <w:bCs/>
                <w:lang w:val="it-IT"/>
              </w:rPr>
              <w:t xml:space="preserve">, </w:t>
            </w:r>
            <w:proofErr w:type="spellStart"/>
            <w:r w:rsidRPr="001E7B89">
              <w:rPr>
                <w:rFonts w:ascii="Cambria" w:hAnsi="Cambria"/>
                <w:bCs/>
                <w:lang w:val="it-IT"/>
              </w:rPr>
              <w:t>statistika</w:t>
            </w:r>
            <w:proofErr w:type="spellEnd"/>
            <w:r w:rsidRPr="001E7B89">
              <w:rPr>
                <w:rFonts w:ascii="Cambria" w:hAnsi="Cambria"/>
                <w:bCs/>
                <w:lang w:val="it-IT"/>
              </w:rPr>
              <w:t xml:space="preserve"> i </w:t>
            </w:r>
            <w:proofErr w:type="spellStart"/>
            <w:r w:rsidRPr="001E7B89">
              <w:rPr>
                <w:rFonts w:ascii="Cambria" w:hAnsi="Cambria"/>
                <w:bCs/>
                <w:lang w:val="it-IT"/>
              </w:rPr>
              <w:t>vjerojatnost</w:t>
            </w:r>
            <w:proofErr w:type="spellEnd"/>
          </w:p>
          <w:p w14:paraId="4CECE037" w14:textId="77777777" w:rsidR="001E7B89" w:rsidRPr="001E7B89" w:rsidRDefault="001E7B89" w:rsidP="00A034E3">
            <w:pPr>
              <w:numPr>
                <w:ilvl w:val="0"/>
                <w:numId w:val="68"/>
              </w:numPr>
              <w:spacing w:after="0" w:line="240" w:lineRule="auto"/>
              <w:rPr>
                <w:rFonts w:ascii="Cambria" w:hAnsi="Cambria" w:cs="Calibri"/>
                <w:bCs/>
                <w:lang w:val="it-IT"/>
              </w:rPr>
            </w:pPr>
            <w:proofErr w:type="spellStart"/>
            <w:r w:rsidRPr="001E7B89">
              <w:rPr>
                <w:rFonts w:ascii="Cambria" w:hAnsi="Cambria"/>
                <w:bCs/>
                <w:lang w:val="it-IT"/>
              </w:rPr>
              <w:t>Dodatna</w:t>
            </w:r>
            <w:proofErr w:type="spellEnd"/>
            <w:r w:rsidRPr="001E7B89">
              <w:rPr>
                <w:rFonts w:ascii="Cambria" w:hAnsi="Cambria"/>
                <w:bCs/>
                <w:lang w:val="it-IT"/>
              </w:rPr>
              <w:t xml:space="preserve"> i </w:t>
            </w:r>
            <w:proofErr w:type="spellStart"/>
            <w:r w:rsidRPr="001E7B89">
              <w:rPr>
                <w:rFonts w:ascii="Cambria" w:hAnsi="Cambria"/>
                <w:bCs/>
                <w:lang w:val="it-IT"/>
              </w:rPr>
              <w:t>dopunska</w:t>
            </w:r>
            <w:proofErr w:type="spellEnd"/>
            <w:r w:rsidRPr="001E7B89">
              <w:rPr>
                <w:rFonts w:ascii="Cambria" w:hAnsi="Cambria"/>
                <w:bCs/>
                <w:lang w:val="it-IT"/>
              </w:rPr>
              <w:t xml:space="preserve"> </w:t>
            </w:r>
            <w:proofErr w:type="spellStart"/>
            <w:r w:rsidRPr="001E7B89">
              <w:rPr>
                <w:rFonts w:ascii="Cambria" w:hAnsi="Cambria"/>
                <w:bCs/>
                <w:lang w:val="it-IT"/>
              </w:rPr>
              <w:t>nastava</w:t>
            </w:r>
            <w:proofErr w:type="spellEnd"/>
            <w:r w:rsidRPr="001E7B89">
              <w:rPr>
                <w:rFonts w:ascii="Cambria" w:hAnsi="Cambria"/>
                <w:bCs/>
                <w:lang w:val="it-IT"/>
              </w:rPr>
              <w:t xml:space="preserve"> </w:t>
            </w:r>
            <w:proofErr w:type="spellStart"/>
            <w:r w:rsidRPr="001E7B89">
              <w:rPr>
                <w:rFonts w:ascii="Cambria" w:hAnsi="Cambria"/>
                <w:bCs/>
                <w:lang w:val="it-IT"/>
              </w:rPr>
              <w:t>matematike</w:t>
            </w:r>
            <w:proofErr w:type="spellEnd"/>
          </w:p>
        </w:tc>
      </w:tr>
      <w:tr w:rsidR="001E7B89" w:rsidRPr="00A62FBD" w14:paraId="3C899A97" w14:textId="77777777" w:rsidTr="008345F3">
        <w:tc>
          <w:tcPr>
            <w:tcW w:w="2154"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7DDA3F95" w14:textId="77777777" w:rsidR="001E7B89" w:rsidRPr="001E7B89" w:rsidRDefault="001E7B89" w:rsidP="001E3DFB">
            <w:pPr>
              <w:spacing w:after="0" w:line="240" w:lineRule="auto"/>
              <w:rPr>
                <w:rFonts w:ascii="Cambria" w:hAnsi="Cambria" w:cs="Calibri"/>
                <w:lang w:val="it-IT"/>
              </w:rPr>
            </w:pPr>
            <w:proofErr w:type="spellStart"/>
            <w:r w:rsidRPr="001E7B89">
              <w:rPr>
                <w:rFonts w:ascii="Cambria" w:hAnsi="Cambria" w:cs="Calibri"/>
                <w:lang w:val="it-IT"/>
              </w:rPr>
              <w:lastRenderedPageBreak/>
              <w:t>Planirane</w:t>
            </w:r>
            <w:proofErr w:type="spellEnd"/>
            <w:r w:rsidRPr="001E7B89">
              <w:rPr>
                <w:rFonts w:ascii="Cambria" w:hAnsi="Cambria" w:cs="Calibri"/>
                <w:lang w:val="it-IT"/>
              </w:rPr>
              <w:t xml:space="preserve"> </w:t>
            </w:r>
            <w:proofErr w:type="spellStart"/>
            <w:r w:rsidRPr="001E7B89">
              <w:rPr>
                <w:rFonts w:ascii="Cambria" w:hAnsi="Cambria" w:cs="Calibri"/>
                <w:lang w:val="it-IT"/>
              </w:rPr>
              <w:t>aktivnosti</w:t>
            </w:r>
            <w:proofErr w:type="spellEnd"/>
            <w:r w:rsidRPr="00A62FBD">
              <w:rPr>
                <w:rFonts w:ascii="Cambria" w:hAnsi="Cambria" w:cs="Calibri"/>
                <w:lang w:val="it-IT"/>
              </w:rPr>
              <w:t>,</w:t>
            </w:r>
          </w:p>
          <w:p w14:paraId="38C63529" w14:textId="77777777" w:rsidR="001E7B89" w:rsidRPr="001E7B89" w:rsidRDefault="001E7B89" w:rsidP="001E3DFB">
            <w:pPr>
              <w:spacing w:after="0" w:line="240" w:lineRule="auto"/>
              <w:rPr>
                <w:rFonts w:ascii="Cambria" w:hAnsi="Cambria" w:cs="Calibri"/>
                <w:lang w:val="it-IT"/>
              </w:rPr>
            </w:pPr>
            <w:proofErr w:type="spellStart"/>
            <w:r w:rsidRPr="00A62FBD">
              <w:rPr>
                <w:rFonts w:ascii="Cambria" w:hAnsi="Cambria" w:cs="Calibri"/>
                <w:lang w:val="it-IT"/>
              </w:rPr>
              <w:t>metode</w:t>
            </w:r>
            <w:proofErr w:type="spellEnd"/>
            <w:r w:rsidRPr="00A62FBD">
              <w:rPr>
                <w:rFonts w:ascii="Cambria" w:hAnsi="Cambria" w:cs="Calibri"/>
                <w:lang w:val="it-IT"/>
              </w:rPr>
              <w:t xml:space="preserve"> </w:t>
            </w:r>
            <w:proofErr w:type="spellStart"/>
            <w:r w:rsidRPr="001E7B89">
              <w:rPr>
                <w:rFonts w:ascii="Cambria" w:hAnsi="Cambria" w:cs="Calibri"/>
                <w:lang w:val="it-IT"/>
              </w:rPr>
              <w:t>učenja</w:t>
            </w:r>
            <w:proofErr w:type="spellEnd"/>
            <w:r w:rsidRPr="001E7B89">
              <w:rPr>
                <w:rFonts w:ascii="Cambria" w:hAnsi="Cambria" w:cs="Calibri"/>
                <w:lang w:val="it-IT"/>
              </w:rPr>
              <w:t xml:space="preserve"> i </w:t>
            </w:r>
            <w:proofErr w:type="spellStart"/>
            <w:r w:rsidRPr="001E7B89">
              <w:rPr>
                <w:rFonts w:ascii="Cambria" w:hAnsi="Cambria" w:cs="Calibri"/>
                <w:lang w:val="it-IT"/>
              </w:rPr>
              <w:t>poučavanja</w:t>
            </w:r>
            <w:proofErr w:type="spellEnd"/>
            <w:r w:rsidRPr="001E7B89">
              <w:rPr>
                <w:rFonts w:ascii="Cambria" w:hAnsi="Cambria" w:cs="Calibri"/>
                <w:lang w:val="it-IT"/>
              </w:rPr>
              <w:t xml:space="preserve"> i </w:t>
            </w:r>
            <w:proofErr w:type="spellStart"/>
            <w:r w:rsidRPr="001E7B89">
              <w:rPr>
                <w:rFonts w:ascii="Cambria" w:hAnsi="Cambria" w:cs="Calibri"/>
                <w:lang w:val="it-IT"/>
              </w:rPr>
              <w:t>načini</w:t>
            </w:r>
            <w:proofErr w:type="spellEnd"/>
            <w:r w:rsidRPr="001E7B89">
              <w:rPr>
                <w:rFonts w:ascii="Cambria" w:hAnsi="Cambria" w:cs="Calibri"/>
                <w:lang w:val="it-IT"/>
              </w:rPr>
              <w:t xml:space="preserve"> </w:t>
            </w:r>
            <w:proofErr w:type="spellStart"/>
            <w:r w:rsidRPr="001E7B89">
              <w:rPr>
                <w:rFonts w:ascii="Cambria" w:hAnsi="Cambria" w:cs="Calibri"/>
                <w:lang w:val="it-IT"/>
              </w:rPr>
              <w:t>vrednovanja</w:t>
            </w:r>
            <w:proofErr w:type="spellEnd"/>
          </w:p>
          <w:p w14:paraId="26F22D74" w14:textId="77777777" w:rsidR="001E7B89" w:rsidRPr="001E7B89" w:rsidRDefault="001E7B89" w:rsidP="001E3DFB">
            <w:pPr>
              <w:spacing w:after="0" w:line="240" w:lineRule="auto"/>
              <w:rPr>
                <w:rFonts w:ascii="Cambria" w:hAnsi="Cambria" w:cs="Calibri"/>
                <w:lang w:val="it-IT"/>
              </w:rPr>
            </w:pPr>
          </w:p>
        </w:tc>
        <w:tc>
          <w:tcPr>
            <w:tcW w:w="208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3C68086" w14:textId="77777777" w:rsidR="001E7B89" w:rsidRPr="00A62FBD" w:rsidRDefault="001E7B89" w:rsidP="001E3DFB">
            <w:pPr>
              <w:spacing w:after="0" w:line="240" w:lineRule="auto"/>
              <w:rPr>
                <w:rFonts w:ascii="Cambria" w:hAnsi="Cambria" w:cs="Calibri"/>
              </w:rPr>
            </w:pPr>
            <w:proofErr w:type="spellStart"/>
            <w:r w:rsidRPr="00E41472">
              <w:rPr>
                <w:rFonts w:ascii="Cambria" w:hAnsi="Cambria" w:cs="Calibri"/>
              </w:rPr>
              <w:t>Obaveze</w:t>
            </w:r>
            <w:proofErr w:type="spellEnd"/>
          </w:p>
        </w:tc>
        <w:tc>
          <w:tcPr>
            <w:tcW w:w="12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13D7629" w14:textId="77777777" w:rsidR="001E7B89" w:rsidRPr="00A62FBD" w:rsidRDefault="001E7B89" w:rsidP="001E3DFB">
            <w:pPr>
              <w:spacing w:after="0" w:line="240" w:lineRule="auto"/>
              <w:jc w:val="center"/>
              <w:rPr>
                <w:rFonts w:ascii="Cambria" w:hAnsi="Cambria" w:cs="Calibri"/>
              </w:rPr>
            </w:pPr>
            <w:proofErr w:type="spellStart"/>
            <w:r w:rsidRPr="00E41472">
              <w:rPr>
                <w:rFonts w:ascii="Cambria" w:hAnsi="Cambria" w:cs="Calibri"/>
              </w:rPr>
              <w:t>Ishodi</w:t>
            </w:r>
            <w:proofErr w:type="spellEnd"/>
          </w:p>
        </w:tc>
        <w:tc>
          <w:tcPr>
            <w:tcW w:w="8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DEAE8CD" w14:textId="77777777" w:rsidR="001E7B89" w:rsidRPr="00A62FBD" w:rsidRDefault="001E7B89" w:rsidP="001E3DFB">
            <w:pPr>
              <w:spacing w:after="0" w:line="240" w:lineRule="auto"/>
              <w:jc w:val="center"/>
              <w:rPr>
                <w:rFonts w:ascii="Cambria" w:hAnsi="Cambria" w:cs="Calibri"/>
              </w:rPr>
            </w:pPr>
            <w:r w:rsidRPr="00E41472">
              <w:rPr>
                <w:rFonts w:ascii="Cambria" w:hAnsi="Cambria" w:cs="Calibri"/>
              </w:rPr>
              <w:t>Sati</w:t>
            </w:r>
          </w:p>
        </w:tc>
        <w:tc>
          <w:tcPr>
            <w:tcW w:w="86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7F1B527" w14:textId="77777777" w:rsidR="001E7B89" w:rsidRPr="00A62FBD" w:rsidRDefault="001E7B89" w:rsidP="001E3DFB">
            <w:pPr>
              <w:spacing w:after="0" w:line="240" w:lineRule="auto"/>
              <w:jc w:val="center"/>
              <w:rPr>
                <w:rFonts w:ascii="Cambria" w:hAnsi="Cambria" w:cs="Calibri"/>
              </w:rPr>
            </w:pPr>
            <w:r>
              <w:rPr>
                <w:rFonts w:ascii="Cambria" w:hAnsi="Cambria" w:cs="Calibri"/>
              </w:rPr>
              <w:t>ECTS</w:t>
            </w:r>
          </w:p>
        </w:tc>
        <w:tc>
          <w:tcPr>
            <w:tcW w:w="184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EBF40E1" w14:textId="77777777" w:rsidR="001E7B89" w:rsidRPr="00E41472" w:rsidRDefault="001E7B89" w:rsidP="001E3DFB">
            <w:pPr>
              <w:spacing w:after="0" w:line="240" w:lineRule="auto"/>
              <w:jc w:val="center"/>
              <w:rPr>
                <w:rFonts w:ascii="Cambria" w:hAnsi="Cambria" w:cs="Calibri"/>
              </w:rPr>
            </w:pPr>
            <w:proofErr w:type="spellStart"/>
            <w:r w:rsidRPr="00E41472">
              <w:rPr>
                <w:rFonts w:ascii="Cambria" w:hAnsi="Cambria" w:cs="Calibri"/>
              </w:rPr>
              <w:t>Maksimalni</w:t>
            </w:r>
            <w:proofErr w:type="spellEnd"/>
          </w:p>
          <w:p w14:paraId="6A28DBEA" w14:textId="77777777" w:rsidR="001E7B89" w:rsidRPr="00A62FBD" w:rsidRDefault="001E7B89" w:rsidP="001E3DFB">
            <w:pPr>
              <w:spacing w:after="0" w:line="240" w:lineRule="auto"/>
              <w:jc w:val="center"/>
              <w:rPr>
                <w:rFonts w:ascii="Cambria" w:hAnsi="Cambria" w:cs="Calibri"/>
              </w:rPr>
            </w:pPr>
            <w:proofErr w:type="spellStart"/>
            <w:r w:rsidRPr="00E41472">
              <w:rPr>
                <w:rFonts w:ascii="Cambria" w:hAnsi="Cambria" w:cs="Calibri"/>
              </w:rPr>
              <w:t>udio</w:t>
            </w:r>
            <w:proofErr w:type="spellEnd"/>
            <w:r w:rsidRPr="00E41472">
              <w:rPr>
                <w:rFonts w:ascii="Cambria" w:hAnsi="Cambria" w:cs="Calibri"/>
              </w:rPr>
              <w:t xml:space="preserve"> u </w:t>
            </w:r>
            <w:proofErr w:type="spellStart"/>
            <w:r w:rsidRPr="00E41472">
              <w:rPr>
                <w:rFonts w:ascii="Cambria" w:hAnsi="Cambria" w:cs="Calibri"/>
              </w:rPr>
              <w:t>ocjeni</w:t>
            </w:r>
            <w:proofErr w:type="spellEnd"/>
            <w:r w:rsidRPr="00E41472">
              <w:rPr>
                <w:rFonts w:ascii="Cambria" w:hAnsi="Cambria" w:cs="Calibri"/>
              </w:rPr>
              <w:t xml:space="preserve"> (%)</w:t>
            </w:r>
          </w:p>
        </w:tc>
      </w:tr>
      <w:tr w:rsidR="001E7B89" w:rsidRPr="00A62FBD" w14:paraId="0D13529B" w14:textId="77777777" w:rsidTr="008345F3">
        <w:tc>
          <w:tcPr>
            <w:tcW w:w="2154" w:type="dxa"/>
            <w:vMerge/>
            <w:tcBorders>
              <w:left w:val="single" w:sz="8" w:space="0" w:color="000000"/>
              <w:right w:val="single" w:sz="8" w:space="0" w:color="000000"/>
            </w:tcBorders>
            <w:vAlign w:val="center"/>
          </w:tcPr>
          <w:p w14:paraId="05FC72FE" w14:textId="77777777" w:rsidR="001E7B89" w:rsidRPr="00A62FBD" w:rsidRDefault="001E7B89" w:rsidP="001E3DFB">
            <w:pPr>
              <w:spacing w:after="0" w:line="240" w:lineRule="auto"/>
              <w:rPr>
                <w:rFonts w:ascii="Cambria" w:hAnsi="Cambria" w:cs="Calibri"/>
              </w:rPr>
            </w:pPr>
          </w:p>
        </w:tc>
        <w:tc>
          <w:tcPr>
            <w:tcW w:w="208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0D42F79" w14:textId="5629443E" w:rsidR="001E7B89" w:rsidRPr="006F12A5" w:rsidRDefault="001E7B89" w:rsidP="001E3DFB">
            <w:pPr>
              <w:spacing w:after="0" w:line="240" w:lineRule="auto"/>
              <w:rPr>
                <w:rFonts w:ascii="Cambria" w:hAnsi="Cambria" w:cs="Calibri"/>
                <w:lang w:val="it-IT"/>
              </w:rPr>
            </w:pPr>
            <w:proofErr w:type="spellStart"/>
            <w:r w:rsidRPr="006F12A5">
              <w:rPr>
                <w:rFonts w:ascii="Cambria" w:hAnsi="Cambria"/>
                <w:lang w:val="it-IT"/>
              </w:rPr>
              <w:t>aktivnosti</w:t>
            </w:r>
            <w:proofErr w:type="spellEnd"/>
            <w:r w:rsidRPr="006F12A5">
              <w:rPr>
                <w:rFonts w:ascii="Cambria" w:hAnsi="Cambria"/>
                <w:lang w:val="it-IT"/>
              </w:rPr>
              <w:t xml:space="preserve"> u </w:t>
            </w:r>
            <w:proofErr w:type="spellStart"/>
            <w:r w:rsidRPr="006F12A5">
              <w:rPr>
                <w:rFonts w:ascii="Cambria" w:hAnsi="Cambria"/>
                <w:lang w:val="it-IT"/>
              </w:rPr>
              <w:t>nastavi</w:t>
            </w:r>
            <w:proofErr w:type="spellEnd"/>
            <w:r w:rsidR="006F12A5" w:rsidRPr="006F12A5">
              <w:rPr>
                <w:rFonts w:ascii="Cambria" w:hAnsi="Cambria"/>
                <w:lang w:val="it-IT"/>
              </w:rPr>
              <w:t xml:space="preserve"> (P, V</w:t>
            </w:r>
            <w:r w:rsidR="006F12A5">
              <w:rPr>
                <w:rFonts w:ascii="Cambria" w:hAnsi="Cambria"/>
                <w:lang w:val="it-IT"/>
              </w:rPr>
              <w:t>)</w:t>
            </w:r>
          </w:p>
        </w:tc>
        <w:tc>
          <w:tcPr>
            <w:tcW w:w="12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72E0D73" w14:textId="420517C9" w:rsidR="001E7B89" w:rsidRPr="00DA3740" w:rsidRDefault="001E7B89" w:rsidP="001E3DFB">
            <w:pPr>
              <w:spacing w:after="0" w:line="240" w:lineRule="auto"/>
              <w:jc w:val="center"/>
              <w:rPr>
                <w:rFonts w:ascii="Cambria" w:hAnsi="Cambria" w:cs="Calibri"/>
              </w:rPr>
            </w:pPr>
            <w:r>
              <w:rPr>
                <w:rFonts w:ascii="Cambria" w:hAnsi="Cambria"/>
              </w:rPr>
              <w:t>1</w:t>
            </w:r>
            <w:r w:rsidRPr="00DA3740">
              <w:rPr>
                <w:rFonts w:ascii="Cambria" w:hAnsi="Cambria"/>
              </w:rPr>
              <w:t>.</w:t>
            </w:r>
            <w:r w:rsidR="006F12A5">
              <w:rPr>
                <w:rFonts w:ascii="Cambria" w:hAnsi="Cambria"/>
              </w:rPr>
              <w:t xml:space="preserve"> – </w:t>
            </w:r>
            <w:r w:rsidRPr="00DA3740">
              <w:rPr>
                <w:rFonts w:ascii="Cambria" w:hAnsi="Cambria"/>
              </w:rPr>
              <w:t>6.</w:t>
            </w:r>
          </w:p>
        </w:tc>
        <w:tc>
          <w:tcPr>
            <w:tcW w:w="8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CC6BC1C" w14:textId="6AD07072" w:rsidR="001E7B89" w:rsidRPr="00DA3740" w:rsidRDefault="006F12A5" w:rsidP="001E3DFB">
            <w:pPr>
              <w:spacing w:after="0" w:line="240" w:lineRule="auto"/>
              <w:jc w:val="center"/>
              <w:rPr>
                <w:rFonts w:ascii="Cambria" w:hAnsi="Cambria" w:cs="Calibri"/>
              </w:rPr>
            </w:pPr>
            <w:r>
              <w:rPr>
                <w:rFonts w:ascii="Cambria" w:hAnsi="Cambria"/>
              </w:rPr>
              <w:t>45</w:t>
            </w:r>
          </w:p>
        </w:tc>
        <w:tc>
          <w:tcPr>
            <w:tcW w:w="86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F2B5503" w14:textId="72A68019" w:rsidR="001E7B89" w:rsidRPr="00DA3740" w:rsidRDefault="006F12A5" w:rsidP="001E3DFB">
            <w:pPr>
              <w:spacing w:after="0" w:line="240" w:lineRule="auto"/>
              <w:jc w:val="center"/>
              <w:rPr>
                <w:rFonts w:ascii="Cambria" w:hAnsi="Cambria" w:cs="Calibri"/>
              </w:rPr>
            </w:pPr>
            <w:r>
              <w:rPr>
                <w:rFonts w:ascii="Cambria" w:hAnsi="Cambria"/>
              </w:rPr>
              <w:t>1,5</w:t>
            </w:r>
          </w:p>
        </w:tc>
        <w:tc>
          <w:tcPr>
            <w:tcW w:w="184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C6941F0" w14:textId="77777777" w:rsidR="001E7B89" w:rsidRPr="00DA3740" w:rsidRDefault="001E7B89" w:rsidP="001E3DFB">
            <w:pPr>
              <w:spacing w:after="0" w:line="240" w:lineRule="auto"/>
              <w:jc w:val="center"/>
              <w:rPr>
                <w:rFonts w:ascii="Cambria" w:hAnsi="Cambria" w:cs="Calibri"/>
              </w:rPr>
            </w:pPr>
            <w:r>
              <w:rPr>
                <w:rFonts w:ascii="Cambria" w:hAnsi="Cambria"/>
              </w:rPr>
              <w:t>40</w:t>
            </w:r>
            <w:r w:rsidRPr="00DA3740">
              <w:rPr>
                <w:rFonts w:ascii="Cambria" w:hAnsi="Cambria"/>
              </w:rPr>
              <w:t>%</w:t>
            </w:r>
          </w:p>
        </w:tc>
      </w:tr>
      <w:tr w:rsidR="001E7B89" w:rsidRPr="00A62FBD" w14:paraId="3D932320" w14:textId="77777777" w:rsidTr="008345F3">
        <w:tc>
          <w:tcPr>
            <w:tcW w:w="2154" w:type="dxa"/>
            <w:vMerge/>
            <w:tcBorders>
              <w:left w:val="single" w:sz="8" w:space="0" w:color="000000"/>
              <w:right w:val="single" w:sz="8" w:space="0" w:color="000000"/>
            </w:tcBorders>
            <w:vAlign w:val="center"/>
          </w:tcPr>
          <w:p w14:paraId="3954C38C" w14:textId="77777777" w:rsidR="001E7B89" w:rsidRPr="00A62FBD" w:rsidRDefault="001E7B89" w:rsidP="001E3DFB">
            <w:pPr>
              <w:spacing w:after="0" w:line="240" w:lineRule="auto"/>
              <w:rPr>
                <w:rFonts w:ascii="Cambria" w:hAnsi="Cambria" w:cs="Calibri"/>
              </w:rPr>
            </w:pPr>
          </w:p>
        </w:tc>
        <w:tc>
          <w:tcPr>
            <w:tcW w:w="208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3DEB764" w14:textId="77777777" w:rsidR="001E7B89" w:rsidRPr="00DA3740" w:rsidRDefault="001E7B89" w:rsidP="001E3DFB">
            <w:pPr>
              <w:spacing w:after="0" w:line="240" w:lineRule="auto"/>
              <w:rPr>
                <w:rFonts w:ascii="Cambria" w:hAnsi="Cambria" w:cs="Calibri"/>
              </w:rPr>
            </w:pPr>
            <w:proofErr w:type="spellStart"/>
            <w:r w:rsidRPr="00DA3740">
              <w:rPr>
                <w:rFonts w:ascii="Cambria" w:hAnsi="Cambria"/>
              </w:rPr>
              <w:t>pismeni</w:t>
            </w:r>
            <w:proofErr w:type="spellEnd"/>
            <w:r w:rsidRPr="00DA3740">
              <w:rPr>
                <w:rFonts w:ascii="Cambria" w:hAnsi="Cambria"/>
              </w:rPr>
              <w:t xml:space="preserve"> </w:t>
            </w:r>
            <w:proofErr w:type="spellStart"/>
            <w:r w:rsidRPr="00DA3740">
              <w:rPr>
                <w:rFonts w:ascii="Cambria" w:hAnsi="Cambria"/>
              </w:rPr>
              <w:t>ispit</w:t>
            </w:r>
            <w:proofErr w:type="spellEnd"/>
            <w:r w:rsidRPr="00DA3740">
              <w:rPr>
                <w:rFonts w:ascii="Cambria" w:hAnsi="Cambria"/>
              </w:rPr>
              <w:t xml:space="preserve">  </w:t>
            </w:r>
          </w:p>
        </w:tc>
        <w:tc>
          <w:tcPr>
            <w:tcW w:w="12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22E2F87" w14:textId="4B28A730" w:rsidR="001E7B89" w:rsidRPr="00DA3740" w:rsidRDefault="006F12A5" w:rsidP="001E3DFB">
            <w:pPr>
              <w:spacing w:after="0" w:line="240" w:lineRule="auto"/>
              <w:jc w:val="center"/>
              <w:rPr>
                <w:rFonts w:ascii="Cambria" w:hAnsi="Cambria" w:cs="Calibri"/>
              </w:rPr>
            </w:pPr>
            <w:r w:rsidRPr="006F12A5">
              <w:rPr>
                <w:rFonts w:ascii="Cambria" w:hAnsi="Cambria"/>
              </w:rPr>
              <w:t>1. – 6.</w:t>
            </w:r>
          </w:p>
        </w:tc>
        <w:tc>
          <w:tcPr>
            <w:tcW w:w="8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0E20A5D" w14:textId="32ECB491" w:rsidR="001E7B89" w:rsidRPr="00DA3740" w:rsidRDefault="001E7B89" w:rsidP="001E3DFB">
            <w:pPr>
              <w:spacing w:after="0" w:line="240" w:lineRule="auto"/>
              <w:jc w:val="center"/>
              <w:rPr>
                <w:rFonts w:ascii="Cambria" w:hAnsi="Cambria" w:cs="Calibri"/>
              </w:rPr>
            </w:pPr>
            <w:r>
              <w:rPr>
                <w:rFonts w:ascii="Cambria" w:hAnsi="Cambria"/>
              </w:rPr>
              <w:t>4</w:t>
            </w:r>
            <w:r w:rsidR="006F12A5">
              <w:rPr>
                <w:rFonts w:ascii="Cambria" w:hAnsi="Cambria"/>
              </w:rPr>
              <w:t>5</w:t>
            </w:r>
          </w:p>
        </w:tc>
        <w:tc>
          <w:tcPr>
            <w:tcW w:w="86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AB44DBA" w14:textId="5DFE0279" w:rsidR="001E7B89" w:rsidRPr="00DA3740" w:rsidRDefault="001E7B89" w:rsidP="001E3DFB">
            <w:pPr>
              <w:spacing w:after="0" w:line="240" w:lineRule="auto"/>
              <w:jc w:val="center"/>
              <w:rPr>
                <w:rFonts w:ascii="Cambria" w:hAnsi="Cambria" w:cs="Calibri"/>
              </w:rPr>
            </w:pPr>
            <w:r>
              <w:rPr>
                <w:rFonts w:ascii="Cambria" w:hAnsi="Cambria"/>
              </w:rPr>
              <w:t>1</w:t>
            </w:r>
            <w:r w:rsidR="006F12A5">
              <w:rPr>
                <w:rFonts w:ascii="Cambria" w:hAnsi="Cambria"/>
              </w:rPr>
              <w:t>,</w:t>
            </w:r>
            <w:r>
              <w:rPr>
                <w:rFonts w:ascii="Cambria" w:hAnsi="Cambria"/>
              </w:rPr>
              <w:t>5</w:t>
            </w:r>
          </w:p>
        </w:tc>
        <w:tc>
          <w:tcPr>
            <w:tcW w:w="184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216BE67" w14:textId="77777777" w:rsidR="001E7B89" w:rsidRPr="00DA3740" w:rsidRDefault="001E7B89" w:rsidP="001E3DFB">
            <w:pPr>
              <w:spacing w:after="0" w:line="240" w:lineRule="auto"/>
              <w:jc w:val="center"/>
              <w:rPr>
                <w:rFonts w:ascii="Cambria" w:hAnsi="Cambria" w:cs="Calibri"/>
              </w:rPr>
            </w:pPr>
            <w:r w:rsidRPr="00DA3740">
              <w:rPr>
                <w:rFonts w:ascii="Cambria" w:hAnsi="Cambria"/>
              </w:rPr>
              <w:t>30%</w:t>
            </w:r>
          </w:p>
        </w:tc>
      </w:tr>
      <w:tr w:rsidR="001E7B89" w:rsidRPr="00A62FBD" w14:paraId="1D52D648" w14:textId="77777777" w:rsidTr="008345F3">
        <w:tc>
          <w:tcPr>
            <w:tcW w:w="2154" w:type="dxa"/>
            <w:vMerge/>
            <w:tcBorders>
              <w:left w:val="single" w:sz="8" w:space="0" w:color="000000"/>
              <w:right w:val="single" w:sz="8" w:space="0" w:color="000000"/>
            </w:tcBorders>
            <w:vAlign w:val="center"/>
          </w:tcPr>
          <w:p w14:paraId="50B754D3" w14:textId="77777777" w:rsidR="001E7B89" w:rsidRPr="00A62FBD" w:rsidRDefault="001E7B89" w:rsidP="001E3DFB">
            <w:pPr>
              <w:spacing w:after="0" w:line="240" w:lineRule="auto"/>
              <w:rPr>
                <w:rFonts w:ascii="Cambria" w:hAnsi="Cambria" w:cs="Calibri"/>
              </w:rPr>
            </w:pPr>
          </w:p>
        </w:tc>
        <w:tc>
          <w:tcPr>
            <w:tcW w:w="208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43DF719" w14:textId="77777777" w:rsidR="001E7B89" w:rsidRPr="00DA3740" w:rsidRDefault="001E7B89" w:rsidP="001E3DFB">
            <w:pPr>
              <w:spacing w:after="0" w:line="240" w:lineRule="auto"/>
              <w:rPr>
                <w:rFonts w:ascii="Cambria" w:hAnsi="Cambria" w:cs="Calibri"/>
              </w:rPr>
            </w:pPr>
            <w:proofErr w:type="spellStart"/>
            <w:r w:rsidRPr="00DA3740">
              <w:rPr>
                <w:rFonts w:ascii="Cambria" w:hAnsi="Cambria"/>
              </w:rPr>
              <w:t>usmeni</w:t>
            </w:r>
            <w:proofErr w:type="spellEnd"/>
            <w:r w:rsidRPr="00DA3740">
              <w:rPr>
                <w:rFonts w:ascii="Cambria" w:hAnsi="Cambria"/>
              </w:rPr>
              <w:t xml:space="preserve"> </w:t>
            </w:r>
            <w:proofErr w:type="spellStart"/>
            <w:r w:rsidRPr="00DA3740">
              <w:rPr>
                <w:rFonts w:ascii="Cambria" w:hAnsi="Cambria"/>
              </w:rPr>
              <w:t>ispit</w:t>
            </w:r>
            <w:proofErr w:type="spellEnd"/>
          </w:p>
        </w:tc>
        <w:tc>
          <w:tcPr>
            <w:tcW w:w="12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83D48C1" w14:textId="77777777" w:rsidR="001E7B89" w:rsidRPr="00DA3740" w:rsidRDefault="001E7B89" w:rsidP="001E3DFB">
            <w:pPr>
              <w:spacing w:after="0" w:line="240" w:lineRule="auto"/>
              <w:jc w:val="center"/>
              <w:rPr>
                <w:rFonts w:ascii="Cambria" w:hAnsi="Cambria" w:cs="Calibri"/>
              </w:rPr>
            </w:pPr>
            <w:r w:rsidRPr="00DA3740">
              <w:rPr>
                <w:rFonts w:ascii="Cambria" w:hAnsi="Cambria"/>
              </w:rPr>
              <w:t>1, 2, 5</w:t>
            </w:r>
          </w:p>
        </w:tc>
        <w:tc>
          <w:tcPr>
            <w:tcW w:w="8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21D09AD" w14:textId="25708C0B" w:rsidR="001E7B89" w:rsidRPr="00DA3740" w:rsidRDefault="006F12A5" w:rsidP="001E3DFB">
            <w:pPr>
              <w:spacing w:after="0" w:line="240" w:lineRule="auto"/>
              <w:jc w:val="center"/>
              <w:rPr>
                <w:rFonts w:ascii="Cambria" w:hAnsi="Cambria" w:cs="Calibri"/>
              </w:rPr>
            </w:pPr>
            <w:r>
              <w:rPr>
                <w:rFonts w:ascii="Cambria" w:hAnsi="Cambria"/>
              </w:rPr>
              <w:t>60</w:t>
            </w:r>
          </w:p>
        </w:tc>
        <w:tc>
          <w:tcPr>
            <w:tcW w:w="86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F090B8A" w14:textId="4F488615" w:rsidR="001E7B89" w:rsidRPr="00DA3740" w:rsidRDefault="006F12A5" w:rsidP="006F12A5">
            <w:pPr>
              <w:spacing w:after="0" w:line="240" w:lineRule="auto"/>
              <w:jc w:val="center"/>
              <w:rPr>
                <w:rFonts w:ascii="Cambria" w:hAnsi="Cambria" w:cs="Calibri"/>
              </w:rPr>
            </w:pPr>
            <w:r>
              <w:rPr>
                <w:rFonts w:ascii="Cambria" w:hAnsi="Cambria"/>
              </w:rPr>
              <w:t>2</w:t>
            </w:r>
          </w:p>
        </w:tc>
        <w:tc>
          <w:tcPr>
            <w:tcW w:w="184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90C70DE" w14:textId="77777777" w:rsidR="001E7B89" w:rsidRPr="00DA3740" w:rsidRDefault="001E7B89" w:rsidP="001E3DFB">
            <w:pPr>
              <w:spacing w:after="0" w:line="240" w:lineRule="auto"/>
              <w:jc w:val="center"/>
              <w:rPr>
                <w:rFonts w:ascii="Cambria" w:hAnsi="Cambria" w:cs="Calibri"/>
              </w:rPr>
            </w:pPr>
            <w:r w:rsidRPr="00DA3740">
              <w:rPr>
                <w:rFonts w:ascii="Cambria" w:hAnsi="Cambria"/>
              </w:rPr>
              <w:t>30%</w:t>
            </w:r>
          </w:p>
        </w:tc>
      </w:tr>
      <w:tr w:rsidR="001E7B89" w:rsidRPr="00A62FBD" w14:paraId="3410B263" w14:textId="77777777" w:rsidTr="008345F3">
        <w:tc>
          <w:tcPr>
            <w:tcW w:w="2154" w:type="dxa"/>
            <w:vMerge/>
            <w:tcBorders>
              <w:left w:val="single" w:sz="8" w:space="0" w:color="000000"/>
              <w:right w:val="single" w:sz="8" w:space="0" w:color="000000"/>
            </w:tcBorders>
            <w:vAlign w:val="center"/>
          </w:tcPr>
          <w:p w14:paraId="0DF355A3" w14:textId="77777777" w:rsidR="001E7B89" w:rsidRPr="00A62FBD" w:rsidRDefault="001E7B89" w:rsidP="001E3DFB">
            <w:pPr>
              <w:spacing w:after="0" w:line="240" w:lineRule="auto"/>
              <w:rPr>
                <w:rFonts w:ascii="Cambria" w:hAnsi="Cambria" w:cs="Calibri"/>
              </w:rPr>
            </w:pPr>
          </w:p>
        </w:tc>
        <w:tc>
          <w:tcPr>
            <w:tcW w:w="332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B28FAA6" w14:textId="77777777" w:rsidR="001E7B89" w:rsidRPr="00DA3740" w:rsidRDefault="001E7B89" w:rsidP="006F12A5">
            <w:pPr>
              <w:spacing w:after="0" w:line="240" w:lineRule="auto"/>
              <w:rPr>
                <w:rFonts w:ascii="Cambria" w:hAnsi="Cambria" w:cs="Calibri"/>
              </w:rPr>
            </w:pPr>
            <w:r w:rsidRPr="00DA3740">
              <w:rPr>
                <w:rFonts w:ascii="Cambria" w:hAnsi="Cambria"/>
                <w:noProof/>
              </w:rPr>
              <w:t>ukupno</w:t>
            </w:r>
          </w:p>
        </w:tc>
        <w:tc>
          <w:tcPr>
            <w:tcW w:w="8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E248120" w14:textId="77777777" w:rsidR="001E7B89" w:rsidRPr="00DA3740" w:rsidRDefault="001E7B89" w:rsidP="001E3DFB">
            <w:pPr>
              <w:spacing w:after="0" w:line="240" w:lineRule="auto"/>
              <w:jc w:val="center"/>
              <w:rPr>
                <w:rFonts w:ascii="Cambria" w:hAnsi="Cambria" w:cs="Calibri"/>
              </w:rPr>
            </w:pPr>
            <w:r>
              <w:rPr>
                <w:rFonts w:ascii="Cambria" w:hAnsi="Cambria"/>
              </w:rPr>
              <w:t>150</w:t>
            </w:r>
          </w:p>
        </w:tc>
        <w:tc>
          <w:tcPr>
            <w:tcW w:w="86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97AAC1F" w14:textId="77777777" w:rsidR="001E7B89" w:rsidRPr="00DA3740" w:rsidRDefault="001E7B89" w:rsidP="001E3DFB">
            <w:pPr>
              <w:spacing w:after="0" w:line="240" w:lineRule="auto"/>
              <w:jc w:val="center"/>
              <w:rPr>
                <w:rFonts w:ascii="Cambria" w:hAnsi="Cambria" w:cs="Calibri"/>
              </w:rPr>
            </w:pPr>
            <w:r>
              <w:rPr>
                <w:rFonts w:ascii="Cambria" w:hAnsi="Cambria"/>
              </w:rPr>
              <w:t>5</w:t>
            </w:r>
          </w:p>
        </w:tc>
        <w:tc>
          <w:tcPr>
            <w:tcW w:w="184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22A1912" w14:textId="77777777" w:rsidR="001E7B89" w:rsidRPr="00DA3740" w:rsidRDefault="001E7B89" w:rsidP="001E3DFB">
            <w:pPr>
              <w:spacing w:after="0" w:line="240" w:lineRule="auto"/>
              <w:jc w:val="center"/>
              <w:rPr>
                <w:rFonts w:ascii="Cambria" w:hAnsi="Cambria" w:cs="Calibri"/>
              </w:rPr>
            </w:pPr>
            <w:r w:rsidRPr="00DA3740">
              <w:rPr>
                <w:rFonts w:ascii="Cambria" w:hAnsi="Cambria"/>
              </w:rPr>
              <w:t>100%</w:t>
            </w:r>
          </w:p>
        </w:tc>
      </w:tr>
      <w:tr w:rsidR="001E7B89" w:rsidRPr="00A62FBD" w14:paraId="56E008F5" w14:textId="77777777" w:rsidTr="008345F3">
        <w:tc>
          <w:tcPr>
            <w:tcW w:w="2154" w:type="dxa"/>
            <w:vMerge/>
            <w:tcBorders>
              <w:left w:val="single" w:sz="8" w:space="0" w:color="000000"/>
              <w:bottom w:val="single" w:sz="8" w:space="0" w:color="000000"/>
              <w:right w:val="single" w:sz="8" w:space="0" w:color="000000"/>
            </w:tcBorders>
            <w:vAlign w:val="center"/>
          </w:tcPr>
          <w:p w14:paraId="7F985A8D" w14:textId="77777777" w:rsidR="001E7B89" w:rsidRPr="00A62FBD" w:rsidRDefault="001E7B89" w:rsidP="001E3DFB">
            <w:pPr>
              <w:spacing w:after="0" w:line="240" w:lineRule="auto"/>
              <w:rPr>
                <w:rFonts w:ascii="Cambria" w:hAnsi="Cambria" w:cs="Calibri"/>
              </w:rPr>
            </w:pPr>
          </w:p>
        </w:tc>
        <w:tc>
          <w:tcPr>
            <w:tcW w:w="6898" w:type="dxa"/>
            <w:gridSpan w:val="6"/>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2D6C438" w14:textId="77777777" w:rsidR="001E7B89" w:rsidRPr="00A62FBD" w:rsidRDefault="001E7B89" w:rsidP="001E3DFB">
            <w:pPr>
              <w:spacing w:after="0" w:line="240" w:lineRule="auto"/>
              <w:rPr>
                <w:rFonts w:ascii="Cambria" w:hAnsi="Cambria" w:cs="Calibri"/>
              </w:rPr>
            </w:pPr>
            <w:proofErr w:type="spellStart"/>
            <w:r w:rsidRPr="00A62FBD">
              <w:rPr>
                <w:rFonts w:ascii="Cambria" w:hAnsi="Cambria" w:cs="Calibri"/>
              </w:rPr>
              <w:t>Dodatna</w:t>
            </w:r>
            <w:proofErr w:type="spellEnd"/>
            <w:r w:rsidRPr="00A62FBD">
              <w:rPr>
                <w:rFonts w:ascii="Cambria" w:hAnsi="Cambria" w:cs="Calibri"/>
              </w:rPr>
              <w:t xml:space="preserve"> </w:t>
            </w:r>
            <w:proofErr w:type="spellStart"/>
            <w:r w:rsidRPr="00A62FBD">
              <w:rPr>
                <w:rFonts w:ascii="Cambria" w:hAnsi="Cambria" w:cs="Calibri"/>
              </w:rPr>
              <w:t>pojašnjenja</w:t>
            </w:r>
            <w:proofErr w:type="spellEnd"/>
            <w:r w:rsidRPr="00A62FBD">
              <w:rPr>
                <w:rFonts w:ascii="Cambria" w:hAnsi="Cambria" w:cs="Calibri"/>
              </w:rPr>
              <w:t xml:space="preserve"> (</w:t>
            </w:r>
            <w:proofErr w:type="spellStart"/>
            <w:r w:rsidRPr="00A62FBD">
              <w:rPr>
                <w:rFonts w:ascii="Cambria" w:hAnsi="Cambria" w:cs="Calibri"/>
              </w:rPr>
              <w:t>kriteriji</w:t>
            </w:r>
            <w:proofErr w:type="spellEnd"/>
            <w:r w:rsidRPr="00A62FBD">
              <w:rPr>
                <w:rFonts w:ascii="Cambria" w:hAnsi="Cambria" w:cs="Calibri"/>
              </w:rPr>
              <w:t xml:space="preserve"> </w:t>
            </w:r>
            <w:proofErr w:type="spellStart"/>
            <w:r w:rsidRPr="00A62FBD">
              <w:rPr>
                <w:rFonts w:ascii="Cambria" w:hAnsi="Cambria" w:cs="Calibri"/>
              </w:rPr>
              <w:t>ocjenjivanja</w:t>
            </w:r>
            <w:proofErr w:type="spellEnd"/>
            <w:r w:rsidRPr="00A62FBD">
              <w:rPr>
                <w:rFonts w:ascii="Cambria" w:hAnsi="Cambria" w:cs="Calibri"/>
              </w:rPr>
              <w:t>):</w:t>
            </w:r>
          </w:p>
          <w:p w14:paraId="54324886" w14:textId="77777777" w:rsidR="001E7B89" w:rsidRPr="00A62FBD" w:rsidRDefault="001E7B89" w:rsidP="001E3DFB">
            <w:pPr>
              <w:spacing w:after="0" w:line="240" w:lineRule="auto"/>
              <w:rPr>
                <w:rFonts w:ascii="Cambria" w:hAnsi="Cambria" w:cs="Calibri"/>
              </w:rPr>
            </w:pPr>
            <w:proofErr w:type="spellStart"/>
            <w:r w:rsidRPr="00A62FBD">
              <w:rPr>
                <w:rFonts w:ascii="Cambria" w:hAnsi="Cambria" w:cs="Calibri"/>
              </w:rPr>
              <w:t>Pismeni</w:t>
            </w:r>
            <w:proofErr w:type="spellEnd"/>
            <w:r w:rsidRPr="00A62FBD">
              <w:rPr>
                <w:rFonts w:ascii="Cambria" w:hAnsi="Cambria" w:cs="Calibri"/>
              </w:rPr>
              <w:t xml:space="preserve"> </w:t>
            </w:r>
            <w:proofErr w:type="spellStart"/>
            <w:r w:rsidRPr="00A62FBD">
              <w:rPr>
                <w:rFonts w:ascii="Cambria" w:hAnsi="Cambria" w:cs="Calibri"/>
              </w:rPr>
              <w:t>ispiti</w:t>
            </w:r>
            <w:proofErr w:type="spellEnd"/>
            <w:r w:rsidRPr="00A62FBD">
              <w:rPr>
                <w:rFonts w:ascii="Cambria" w:hAnsi="Cambria" w:cs="Calibri"/>
              </w:rPr>
              <w:t xml:space="preserve"> </w:t>
            </w:r>
            <w:proofErr w:type="spellStart"/>
            <w:r w:rsidRPr="00A62FBD">
              <w:rPr>
                <w:rFonts w:ascii="Cambria" w:hAnsi="Cambria" w:cs="Calibri"/>
              </w:rPr>
              <w:t>ocjenjuju</w:t>
            </w:r>
            <w:proofErr w:type="spellEnd"/>
            <w:r w:rsidRPr="00A62FBD">
              <w:rPr>
                <w:rFonts w:ascii="Cambria" w:hAnsi="Cambria" w:cs="Calibri"/>
              </w:rPr>
              <w:t xml:space="preserve"> se </w:t>
            </w:r>
            <w:proofErr w:type="spellStart"/>
            <w:r w:rsidRPr="00A62FBD">
              <w:rPr>
                <w:rFonts w:ascii="Cambria" w:hAnsi="Cambria" w:cs="Calibri"/>
              </w:rPr>
              <w:t>na</w:t>
            </w:r>
            <w:proofErr w:type="spellEnd"/>
            <w:r w:rsidRPr="00A62FBD">
              <w:rPr>
                <w:rFonts w:ascii="Cambria" w:hAnsi="Cambria" w:cs="Calibri"/>
              </w:rPr>
              <w:t xml:space="preserve"> </w:t>
            </w:r>
            <w:proofErr w:type="spellStart"/>
            <w:r w:rsidRPr="00A62FBD">
              <w:rPr>
                <w:rFonts w:ascii="Cambria" w:hAnsi="Cambria" w:cs="Calibri"/>
              </w:rPr>
              <w:t>sljedeći</w:t>
            </w:r>
            <w:proofErr w:type="spellEnd"/>
            <w:r w:rsidRPr="00A62FBD">
              <w:rPr>
                <w:rFonts w:ascii="Cambria" w:hAnsi="Cambria" w:cs="Calibri"/>
              </w:rPr>
              <w:t xml:space="preserve"> </w:t>
            </w:r>
            <w:proofErr w:type="spellStart"/>
            <w:r w:rsidRPr="00A62FBD">
              <w:rPr>
                <w:rFonts w:ascii="Cambria" w:hAnsi="Cambria" w:cs="Calibri"/>
              </w:rPr>
              <w:t>način</w:t>
            </w:r>
            <w:proofErr w:type="spellEnd"/>
            <w:r w:rsidRPr="00A62FBD">
              <w:rPr>
                <w:rFonts w:ascii="Cambria" w:hAnsi="Cambria" w:cs="Calibri"/>
              </w:rPr>
              <w:t xml:space="preserve"> (</w:t>
            </w:r>
            <w:proofErr w:type="spellStart"/>
            <w:r w:rsidRPr="00A62FBD">
              <w:rPr>
                <w:rFonts w:ascii="Cambria" w:hAnsi="Cambria" w:cs="Calibri"/>
              </w:rPr>
              <w:t>ali</w:t>
            </w:r>
            <w:proofErr w:type="spellEnd"/>
            <w:r w:rsidRPr="00A62FBD">
              <w:rPr>
                <w:rFonts w:ascii="Cambria" w:hAnsi="Cambria" w:cs="Calibri"/>
              </w:rPr>
              <w:t xml:space="preserve"> </w:t>
            </w:r>
            <w:proofErr w:type="spellStart"/>
            <w:r w:rsidRPr="00A62FBD">
              <w:rPr>
                <w:rFonts w:ascii="Cambria" w:hAnsi="Cambria" w:cs="Calibri"/>
              </w:rPr>
              <w:t>i</w:t>
            </w:r>
            <w:proofErr w:type="spellEnd"/>
            <w:r w:rsidRPr="00A62FBD">
              <w:rPr>
                <w:rFonts w:ascii="Cambria" w:hAnsi="Cambria" w:cs="Calibri"/>
              </w:rPr>
              <w:t xml:space="preserve"> </w:t>
            </w:r>
            <w:proofErr w:type="spellStart"/>
            <w:r w:rsidRPr="00A62FBD">
              <w:rPr>
                <w:rFonts w:ascii="Cambria" w:hAnsi="Cambria" w:cs="Calibri"/>
              </w:rPr>
              <w:t>detaljnije</w:t>
            </w:r>
            <w:proofErr w:type="spellEnd"/>
            <w:r w:rsidRPr="00A62FBD">
              <w:rPr>
                <w:rFonts w:ascii="Cambria" w:hAnsi="Cambria" w:cs="Calibri"/>
              </w:rPr>
              <w:t xml:space="preserve"> u </w:t>
            </w:r>
            <w:proofErr w:type="spellStart"/>
            <w:r w:rsidRPr="00A62FBD">
              <w:rPr>
                <w:rFonts w:ascii="Cambria" w:hAnsi="Cambria" w:cs="Calibri"/>
              </w:rPr>
              <w:t>postotku</w:t>
            </w:r>
            <w:proofErr w:type="spellEnd"/>
            <w:r w:rsidRPr="00A62FBD">
              <w:rPr>
                <w:rFonts w:ascii="Cambria" w:hAnsi="Cambria" w:cs="Calibri"/>
              </w:rPr>
              <w:t xml:space="preserve">, </w:t>
            </w:r>
            <w:proofErr w:type="spellStart"/>
            <w:r w:rsidRPr="00A62FBD">
              <w:rPr>
                <w:rFonts w:ascii="Cambria" w:hAnsi="Cambria" w:cs="Calibri"/>
              </w:rPr>
              <w:t>pri</w:t>
            </w:r>
            <w:proofErr w:type="spellEnd"/>
            <w:r w:rsidRPr="00A62FBD">
              <w:rPr>
                <w:rFonts w:ascii="Cambria" w:hAnsi="Cambria" w:cs="Calibri"/>
              </w:rPr>
              <w:t xml:space="preserve"> </w:t>
            </w:r>
            <w:proofErr w:type="spellStart"/>
            <w:r w:rsidRPr="00A62FBD">
              <w:rPr>
                <w:rFonts w:ascii="Cambria" w:hAnsi="Cambria" w:cs="Calibri"/>
              </w:rPr>
              <w:t>čemu</w:t>
            </w:r>
            <w:proofErr w:type="spellEnd"/>
            <w:r w:rsidRPr="00A62FBD">
              <w:rPr>
                <w:rFonts w:ascii="Cambria" w:hAnsi="Cambria" w:cs="Calibri"/>
              </w:rPr>
              <w:t xml:space="preserve"> se </w:t>
            </w:r>
            <w:proofErr w:type="spellStart"/>
            <w:r w:rsidRPr="00A62FBD">
              <w:rPr>
                <w:rFonts w:ascii="Cambria" w:hAnsi="Cambria" w:cs="Calibri"/>
              </w:rPr>
              <w:t>uzima</w:t>
            </w:r>
            <w:proofErr w:type="spellEnd"/>
            <w:r w:rsidRPr="00A62FBD">
              <w:rPr>
                <w:rFonts w:ascii="Cambria" w:hAnsi="Cambria" w:cs="Calibri"/>
              </w:rPr>
              <w:t xml:space="preserve"> u </w:t>
            </w:r>
            <w:proofErr w:type="spellStart"/>
            <w:r w:rsidRPr="00A62FBD">
              <w:rPr>
                <w:rFonts w:ascii="Cambria" w:hAnsi="Cambria" w:cs="Calibri"/>
              </w:rPr>
              <w:t>obzir</w:t>
            </w:r>
            <w:proofErr w:type="spellEnd"/>
            <w:r w:rsidRPr="00A62FBD">
              <w:rPr>
                <w:rFonts w:ascii="Cambria" w:hAnsi="Cambria" w:cs="Calibri"/>
              </w:rPr>
              <w:t xml:space="preserve"> </w:t>
            </w:r>
            <w:proofErr w:type="spellStart"/>
            <w:r w:rsidRPr="00A62FBD">
              <w:rPr>
                <w:rFonts w:ascii="Cambria" w:hAnsi="Cambria" w:cs="Calibri"/>
              </w:rPr>
              <w:t>udio</w:t>
            </w:r>
            <w:proofErr w:type="spellEnd"/>
            <w:r w:rsidRPr="00A62FBD">
              <w:rPr>
                <w:rFonts w:ascii="Cambria" w:hAnsi="Cambria" w:cs="Calibri"/>
              </w:rPr>
              <w:t xml:space="preserve"> </w:t>
            </w:r>
            <w:proofErr w:type="spellStart"/>
            <w:r w:rsidRPr="00A62FBD">
              <w:rPr>
                <w:rFonts w:ascii="Cambria" w:hAnsi="Cambria" w:cs="Calibri"/>
              </w:rPr>
              <w:t>bodova</w:t>
            </w:r>
            <w:proofErr w:type="spellEnd"/>
            <w:r w:rsidRPr="00A62FBD">
              <w:rPr>
                <w:rFonts w:ascii="Cambria" w:hAnsi="Cambria" w:cs="Calibri"/>
              </w:rPr>
              <w:t xml:space="preserve"> u </w:t>
            </w:r>
            <w:proofErr w:type="spellStart"/>
            <w:r w:rsidRPr="00A62FBD">
              <w:rPr>
                <w:rFonts w:ascii="Cambria" w:hAnsi="Cambria" w:cs="Calibri"/>
              </w:rPr>
              <w:t>ukupnom</w:t>
            </w:r>
            <w:proofErr w:type="spellEnd"/>
            <w:r w:rsidRPr="00A62FBD">
              <w:rPr>
                <w:rFonts w:ascii="Cambria" w:hAnsi="Cambria" w:cs="Calibri"/>
              </w:rPr>
              <w:t xml:space="preserve"> </w:t>
            </w:r>
            <w:proofErr w:type="spellStart"/>
            <w:r w:rsidRPr="00A62FBD">
              <w:rPr>
                <w:rFonts w:ascii="Cambria" w:hAnsi="Cambria" w:cs="Calibri"/>
              </w:rPr>
              <w:t>broju</w:t>
            </w:r>
            <w:proofErr w:type="spellEnd"/>
            <w:r w:rsidRPr="00A62FBD">
              <w:rPr>
                <w:rFonts w:ascii="Cambria" w:hAnsi="Cambria" w:cs="Calibri"/>
              </w:rPr>
              <w:t xml:space="preserve"> </w:t>
            </w:r>
            <w:proofErr w:type="spellStart"/>
            <w:r w:rsidRPr="00A62FBD">
              <w:rPr>
                <w:rFonts w:ascii="Cambria" w:hAnsi="Cambria" w:cs="Calibri"/>
              </w:rPr>
              <w:t>bodova</w:t>
            </w:r>
            <w:proofErr w:type="spellEnd"/>
            <w:r w:rsidRPr="00A62FBD">
              <w:rPr>
                <w:rFonts w:ascii="Cambria" w:hAnsi="Cambria" w:cs="Calibri"/>
              </w:rPr>
              <w:t xml:space="preserve">, </w:t>
            </w:r>
            <w:proofErr w:type="spellStart"/>
            <w:r w:rsidRPr="00A62FBD">
              <w:rPr>
                <w:rFonts w:ascii="Cambria" w:hAnsi="Cambria" w:cs="Calibri"/>
              </w:rPr>
              <w:t>te</w:t>
            </w:r>
            <w:proofErr w:type="spellEnd"/>
            <w:r w:rsidRPr="00A62FBD">
              <w:rPr>
                <w:rFonts w:ascii="Cambria" w:hAnsi="Cambria" w:cs="Calibri"/>
              </w:rPr>
              <w:t xml:space="preserve"> </w:t>
            </w:r>
            <w:proofErr w:type="spellStart"/>
            <w:r w:rsidRPr="00A62FBD">
              <w:rPr>
                <w:rFonts w:ascii="Cambria" w:hAnsi="Cambria" w:cs="Calibri"/>
              </w:rPr>
              <w:t>onda</w:t>
            </w:r>
            <w:proofErr w:type="spellEnd"/>
            <w:r w:rsidRPr="00A62FBD">
              <w:rPr>
                <w:rFonts w:ascii="Cambria" w:hAnsi="Cambria" w:cs="Calibri"/>
              </w:rPr>
              <w:t xml:space="preserve"> </w:t>
            </w:r>
            <w:proofErr w:type="spellStart"/>
            <w:r w:rsidRPr="00A62FBD">
              <w:rPr>
                <w:rFonts w:ascii="Cambria" w:hAnsi="Cambria" w:cs="Calibri"/>
              </w:rPr>
              <w:t>udio</w:t>
            </w:r>
            <w:proofErr w:type="spellEnd"/>
            <w:r w:rsidRPr="00A62FBD">
              <w:rPr>
                <w:rFonts w:ascii="Cambria" w:hAnsi="Cambria" w:cs="Calibri"/>
              </w:rPr>
              <w:t xml:space="preserve"> u </w:t>
            </w:r>
            <w:proofErr w:type="spellStart"/>
            <w:r w:rsidRPr="00A62FBD">
              <w:rPr>
                <w:rFonts w:ascii="Cambria" w:hAnsi="Cambria" w:cs="Calibri"/>
              </w:rPr>
              <w:t>ukupnoj</w:t>
            </w:r>
            <w:proofErr w:type="spellEnd"/>
            <w:r w:rsidRPr="00A62FBD">
              <w:rPr>
                <w:rFonts w:ascii="Cambria" w:hAnsi="Cambria" w:cs="Calibri"/>
              </w:rPr>
              <w:t xml:space="preserve"> </w:t>
            </w:r>
            <w:proofErr w:type="spellStart"/>
            <w:r w:rsidRPr="00A62FBD">
              <w:rPr>
                <w:rFonts w:ascii="Cambria" w:hAnsi="Cambria" w:cs="Calibri"/>
              </w:rPr>
              <w:t>ocjeni</w:t>
            </w:r>
            <w:proofErr w:type="spellEnd"/>
            <w:r w:rsidRPr="00A62FBD">
              <w:rPr>
                <w:rFonts w:ascii="Cambria" w:hAnsi="Cambria" w:cs="Calibri"/>
              </w:rPr>
              <w:t>):</w:t>
            </w:r>
          </w:p>
          <w:p w14:paraId="28150EA7" w14:textId="77777777" w:rsidR="001E7B89" w:rsidRPr="00A62FBD" w:rsidRDefault="001E7B89" w:rsidP="001E3DFB">
            <w:pPr>
              <w:spacing w:after="0" w:line="240" w:lineRule="auto"/>
              <w:rPr>
                <w:rFonts w:ascii="Cambria" w:hAnsi="Cambria" w:cs="Calibri"/>
              </w:rPr>
            </w:pPr>
            <w:r w:rsidRPr="00A62FBD">
              <w:rPr>
                <w:rFonts w:ascii="Cambria" w:hAnsi="Cambria" w:cs="Calibri"/>
              </w:rPr>
              <w:tab/>
            </w:r>
            <w:proofErr w:type="spellStart"/>
            <w:r w:rsidRPr="00A62FBD">
              <w:rPr>
                <w:rFonts w:ascii="Cambria" w:hAnsi="Cambria" w:cs="Calibri"/>
              </w:rPr>
              <w:t>manje</w:t>
            </w:r>
            <w:proofErr w:type="spellEnd"/>
            <w:r w:rsidRPr="00A62FBD">
              <w:rPr>
                <w:rFonts w:ascii="Cambria" w:hAnsi="Cambria" w:cs="Calibri"/>
              </w:rPr>
              <w:t xml:space="preserve"> od 9 </w:t>
            </w:r>
            <w:proofErr w:type="spellStart"/>
            <w:r w:rsidRPr="00A62FBD">
              <w:rPr>
                <w:rFonts w:ascii="Cambria" w:hAnsi="Cambria" w:cs="Calibri"/>
              </w:rPr>
              <w:t>bodova</w:t>
            </w:r>
            <w:proofErr w:type="spellEnd"/>
            <w:r w:rsidRPr="00A62FBD">
              <w:rPr>
                <w:rFonts w:ascii="Cambria" w:hAnsi="Cambria" w:cs="Calibri"/>
              </w:rPr>
              <w:t xml:space="preserve"> </w:t>
            </w:r>
            <w:r w:rsidRPr="00A62FBD">
              <w:rPr>
                <w:rFonts w:ascii="Cambria" w:hAnsi="Cambria" w:cs="Calibri"/>
              </w:rPr>
              <w:tab/>
              <w:t xml:space="preserve">= </w:t>
            </w:r>
            <w:r w:rsidRPr="00A62FBD">
              <w:rPr>
                <w:rFonts w:ascii="Cambria" w:hAnsi="Cambria" w:cs="Calibri"/>
              </w:rPr>
              <w:tab/>
              <w:t xml:space="preserve">bez </w:t>
            </w:r>
            <w:proofErr w:type="spellStart"/>
            <w:r w:rsidRPr="00A62FBD">
              <w:rPr>
                <w:rFonts w:ascii="Cambria" w:hAnsi="Cambria" w:cs="Calibri"/>
              </w:rPr>
              <w:t>ocjene</w:t>
            </w:r>
            <w:proofErr w:type="spellEnd"/>
          </w:p>
          <w:p w14:paraId="4ADFEB91" w14:textId="77777777" w:rsidR="001E7B89" w:rsidRPr="00A62FBD" w:rsidRDefault="001E7B89" w:rsidP="001E3DFB">
            <w:pPr>
              <w:spacing w:after="0" w:line="240" w:lineRule="auto"/>
              <w:rPr>
                <w:rFonts w:ascii="Cambria" w:hAnsi="Cambria" w:cs="Calibri"/>
              </w:rPr>
            </w:pPr>
            <w:r w:rsidRPr="00A62FBD">
              <w:rPr>
                <w:rFonts w:ascii="Cambria" w:hAnsi="Cambria" w:cs="Calibri"/>
              </w:rPr>
              <w:tab/>
              <w:t xml:space="preserve">od 9 do 10 </w:t>
            </w:r>
            <w:proofErr w:type="spellStart"/>
            <w:r w:rsidRPr="00A62FBD">
              <w:rPr>
                <w:rFonts w:ascii="Cambria" w:hAnsi="Cambria" w:cs="Calibri"/>
              </w:rPr>
              <w:t>bodova</w:t>
            </w:r>
            <w:proofErr w:type="spellEnd"/>
            <w:r w:rsidRPr="00A62FBD">
              <w:rPr>
                <w:rFonts w:ascii="Cambria" w:hAnsi="Cambria" w:cs="Calibri"/>
              </w:rPr>
              <w:tab/>
              <w:t>=</w:t>
            </w:r>
            <w:r w:rsidRPr="00A62FBD">
              <w:rPr>
                <w:rFonts w:ascii="Cambria" w:hAnsi="Cambria" w:cs="Calibri"/>
              </w:rPr>
              <w:tab/>
            </w:r>
            <w:proofErr w:type="spellStart"/>
            <w:r w:rsidRPr="00A62FBD">
              <w:rPr>
                <w:rFonts w:ascii="Cambria" w:hAnsi="Cambria" w:cs="Calibri"/>
              </w:rPr>
              <w:t>ocjena</w:t>
            </w:r>
            <w:proofErr w:type="spellEnd"/>
            <w:r w:rsidRPr="00A62FBD">
              <w:rPr>
                <w:rFonts w:ascii="Cambria" w:hAnsi="Cambria" w:cs="Calibri"/>
              </w:rPr>
              <w:t xml:space="preserve"> 2</w:t>
            </w:r>
          </w:p>
          <w:p w14:paraId="0B5CFDC9" w14:textId="77777777" w:rsidR="001E7B89" w:rsidRPr="00A62FBD" w:rsidRDefault="001E7B89" w:rsidP="001E3DFB">
            <w:pPr>
              <w:spacing w:after="0" w:line="240" w:lineRule="auto"/>
              <w:rPr>
                <w:rFonts w:ascii="Cambria" w:hAnsi="Cambria" w:cs="Calibri"/>
              </w:rPr>
            </w:pPr>
            <w:r w:rsidRPr="00A62FBD">
              <w:rPr>
                <w:rFonts w:ascii="Cambria" w:hAnsi="Cambria" w:cs="Calibri"/>
              </w:rPr>
              <w:tab/>
              <w:t xml:space="preserve">od 11 do 13 </w:t>
            </w:r>
            <w:proofErr w:type="spellStart"/>
            <w:r w:rsidRPr="00A62FBD">
              <w:rPr>
                <w:rFonts w:ascii="Cambria" w:hAnsi="Cambria" w:cs="Calibri"/>
              </w:rPr>
              <w:t>bodova</w:t>
            </w:r>
            <w:proofErr w:type="spellEnd"/>
            <w:r w:rsidRPr="00A62FBD">
              <w:rPr>
                <w:rFonts w:ascii="Cambria" w:hAnsi="Cambria" w:cs="Calibri"/>
              </w:rPr>
              <w:tab/>
              <w:t>=</w:t>
            </w:r>
            <w:r w:rsidRPr="00A62FBD">
              <w:rPr>
                <w:rFonts w:ascii="Cambria" w:hAnsi="Cambria" w:cs="Calibri"/>
              </w:rPr>
              <w:tab/>
            </w:r>
            <w:proofErr w:type="spellStart"/>
            <w:r w:rsidRPr="00A62FBD">
              <w:rPr>
                <w:rFonts w:ascii="Cambria" w:hAnsi="Cambria" w:cs="Calibri"/>
              </w:rPr>
              <w:t>ocjena</w:t>
            </w:r>
            <w:proofErr w:type="spellEnd"/>
            <w:r w:rsidRPr="00A62FBD">
              <w:rPr>
                <w:rFonts w:ascii="Cambria" w:hAnsi="Cambria" w:cs="Calibri"/>
              </w:rPr>
              <w:t xml:space="preserve"> 3</w:t>
            </w:r>
          </w:p>
          <w:p w14:paraId="0980AEE9" w14:textId="77777777" w:rsidR="001E7B89" w:rsidRPr="00A62FBD" w:rsidRDefault="001E7B89" w:rsidP="001E3DFB">
            <w:pPr>
              <w:spacing w:after="0" w:line="240" w:lineRule="auto"/>
              <w:rPr>
                <w:rFonts w:ascii="Cambria" w:hAnsi="Cambria" w:cs="Calibri"/>
              </w:rPr>
            </w:pPr>
            <w:r w:rsidRPr="00A62FBD">
              <w:rPr>
                <w:rFonts w:ascii="Cambria" w:hAnsi="Cambria" w:cs="Calibri"/>
              </w:rPr>
              <w:tab/>
              <w:t xml:space="preserve">od 14 do </w:t>
            </w:r>
            <w:proofErr w:type="gramStart"/>
            <w:r w:rsidRPr="00A62FBD">
              <w:rPr>
                <w:rFonts w:ascii="Cambria" w:hAnsi="Cambria" w:cs="Calibri"/>
              </w:rPr>
              <w:t xml:space="preserve">15  </w:t>
            </w:r>
            <w:proofErr w:type="spellStart"/>
            <w:r w:rsidRPr="00A62FBD">
              <w:rPr>
                <w:rFonts w:ascii="Cambria" w:hAnsi="Cambria" w:cs="Calibri"/>
              </w:rPr>
              <w:t>bodova</w:t>
            </w:r>
            <w:proofErr w:type="spellEnd"/>
            <w:proofErr w:type="gramEnd"/>
            <w:r w:rsidRPr="00A62FBD">
              <w:rPr>
                <w:rFonts w:ascii="Cambria" w:hAnsi="Cambria" w:cs="Calibri"/>
              </w:rPr>
              <w:tab/>
              <w:t>=</w:t>
            </w:r>
            <w:r w:rsidRPr="00A62FBD">
              <w:rPr>
                <w:rFonts w:ascii="Cambria" w:hAnsi="Cambria" w:cs="Calibri"/>
              </w:rPr>
              <w:tab/>
            </w:r>
            <w:proofErr w:type="spellStart"/>
            <w:r w:rsidRPr="00A62FBD">
              <w:rPr>
                <w:rFonts w:ascii="Cambria" w:hAnsi="Cambria" w:cs="Calibri"/>
              </w:rPr>
              <w:t>ocjena</w:t>
            </w:r>
            <w:proofErr w:type="spellEnd"/>
            <w:r w:rsidRPr="00A62FBD">
              <w:rPr>
                <w:rFonts w:ascii="Cambria" w:hAnsi="Cambria" w:cs="Calibri"/>
              </w:rPr>
              <w:t xml:space="preserve"> 4</w:t>
            </w:r>
          </w:p>
          <w:p w14:paraId="28C2DE89" w14:textId="77777777" w:rsidR="001E7B89" w:rsidRPr="00A62FBD" w:rsidRDefault="001E7B89" w:rsidP="001E3DFB">
            <w:pPr>
              <w:spacing w:after="0" w:line="240" w:lineRule="auto"/>
              <w:rPr>
                <w:rFonts w:ascii="Cambria" w:hAnsi="Cambria" w:cs="Calibri"/>
              </w:rPr>
            </w:pPr>
            <w:r w:rsidRPr="00A62FBD">
              <w:rPr>
                <w:rFonts w:ascii="Cambria" w:hAnsi="Cambria" w:cs="Calibri"/>
              </w:rPr>
              <w:tab/>
              <w:t xml:space="preserve">od 16 do 18 </w:t>
            </w:r>
            <w:proofErr w:type="spellStart"/>
            <w:r w:rsidRPr="00A62FBD">
              <w:rPr>
                <w:rFonts w:ascii="Cambria" w:hAnsi="Cambria" w:cs="Calibri"/>
              </w:rPr>
              <w:t>bodova</w:t>
            </w:r>
            <w:proofErr w:type="spellEnd"/>
            <w:r w:rsidRPr="00A62FBD">
              <w:rPr>
                <w:rFonts w:ascii="Cambria" w:hAnsi="Cambria" w:cs="Calibri"/>
              </w:rPr>
              <w:tab/>
              <w:t>=</w:t>
            </w:r>
            <w:r w:rsidRPr="00A62FBD">
              <w:rPr>
                <w:rFonts w:ascii="Cambria" w:hAnsi="Cambria" w:cs="Calibri"/>
              </w:rPr>
              <w:tab/>
            </w:r>
            <w:proofErr w:type="spellStart"/>
            <w:r w:rsidRPr="00A62FBD">
              <w:rPr>
                <w:rFonts w:ascii="Cambria" w:hAnsi="Cambria" w:cs="Calibri"/>
              </w:rPr>
              <w:t>ocjena</w:t>
            </w:r>
            <w:proofErr w:type="spellEnd"/>
            <w:r w:rsidRPr="00A62FBD">
              <w:rPr>
                <w:rFonts w:ascii="Cambria" w:hAnsi="Cambria" w:cs="Calibri"/>
              </w:rPr>
              <w:t xml:space="preserve"> 5</w:t>
            </w:r>
          </w:p>
        </w:tc>
      </w:tr>
      <w:tr w:rsidR="001E7B89" w:rsidRPr="00D0399C" w14:paraId="0AF6C35B" w14:textId="77777777" w:rsidTr="008345F3">
        <w:tc>
          <w:tcPr>
            <w:tcW w:w="215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BC47B03" w14:textId="77777777" w:rsidR="001E7B89" w:rsidRPr="00A62FBD" w:rsidRDefault="001E7B89" w:rsidP="001E3DFB">
            <w:pPr>
              <w:spacing w:after="0" w:line="240" w:lineRule="auto"/>
              <w:rPr>
                <w:rFonts w:ascii="Cambria" w:hAnsi="Cambria" w:cs="Calibri"/>
              </w:rPr>
            </w:pPr>
            <w:proofErr w:type="spellStart"/>
            <w:r w:rsidRPr="00A62FBD">
              <w:rPr>
                <w:rFonts w:ascii="Cambria" w:hAnsi="Cambria" w:cs="Calibri"/>
              </w:rPr>
              <w:t>Studentske</w:t>
            </w:r>
            <w:proofErr w:type="spellEnd"/>
            <w:r w:rsidRPr="00A62FBD">
              <w:rPr>
                <w:rFonts w:ascii="Cambria" w:hAnsi="Cambria" w:cs="Calibri"/>
              </w:rPr>
              <w:t xml:space="preserve"> </w:t>
            </w:r>
            <w:proofErr w:type="spellStart"/>
            <w:r w:rsidRPr="00A62FBD">
              <w:rPr>
                <w:rFonts w:ascii="Cambria" w:hAnsi="Cambria" w:cs="Calibri"/>
              </w:rPr>
              <w:t>obveze</w:t>
            </w:r>
            <w:proofErr w:type="spellEnd"/>
          </w:p>
        </w:tc>
        <w:tc>
          <w:tcPr>
            <w:tcW w:w="6898"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BB02463" w14:textId="2C4CA4A1" w:rsidR="001E7B89" w:rsidRPr="001E7B89" w:rsidRDefault="001E7B89" w:rsidP="001E3DFB">
            <w:pPr>
              <w:spacing w:after="0" w:line="240" w:lineRule="auto"/>
              <w:rPr>
                <w:rFonts w:ascii="Cambria" w:hAnsi="Cambria" w:cs="Calibri"/>
                <w:lang w:val="it-IT"/>
              </w:rPr>
            </w:pPr>
            <w:r w:rsidRPr="001E7B89">
              <w:rPr>
                <w:rFonts w:ascii="Cambria" w:hAnsi="Cambria" w:cs="Calibri"/>
                <w:lang w:val="it-IT"/>
              </w:rPr>
              <w:t xml:space="preserve">Da </w:t>
            </w:r>
            <w:proofErr w:type="spellStart"/>
            <w:r w:rsidRPr="001E7B89">
              <w:rPr>
                <w:rFonts w:ascii="Cambria" w:hAnsi="Cambria" w:cs="Calibri"/>
                <w:lang w:val="it-IT"/>
              </w:rPr>
              <w:t>položi</w:t>
            </w:r>
            <w:proofErr w:type="spellEnd"/>
            <w:r w:rsidRPr="001E7B89">
              <w:rPr>
                <w:rFonts w:ascii="Cambria" w:hAnsi="Cambria" w:cs="Calibri"/>
                <w:lang w:val="it-IT"/>
              </w:rPr>
              <w:t xml:space="preserve"> </w:t>
            </w:r>
            <w:proofErr w:type="spellStart"/>
            <w:r w:rsidRPr="001E7B89">
              <w:rPr>
                <w:rFonts w:ascii="Cambria" w:hAnsi="Cambria" w:cs="Calibri"/>
                <w:lang w:val="it-IT"/>
              </w:rPr>
              <w:t>kolegij</w:t>
            </w:r>
            <w:proofErr w:type="spellEnd"/>
            <w:r w:rsidRPr="001E7B89">
              <w:rPr>
                <w:rFonts w:ascii="Cambria" w:hAnsi="Cambria" w:cs="Calibri"/>
                <w:lang w:val="it-IT"/>
              </w:rPr>
              <w:t xml:space="preserve">, </w:t>
            </w:r>
            <w:proofErr w:type="spellStart"/>
            <w:r w:rsidRPr="001E7B89">
              <w:rPr>
                <w:rFonts w:ascii="Cambria" w:hAnsi="Cambria" w:cs="Calibri"/>
                <w:lang w:val="it-IT"/>
              </w:rPr>
              <w:t>student</w:t>
            </w:r>
            <w:proofErr w:type="spellEnd"/>
            <w:r w:rsidRPr="001E7B89">
              <w:rPr>
                <w:rFonts w:ascii="Cambria" w:hAnsi="Cambria" w:cs="Calibri"/>
                <w:lang w:val="it-IT"/>
              </w:rPr>
              <w:t>/</w:t>
            </w:r>
            <w:proofErr w:type="spellStart"/>
            <w:r w:rsidRPr="001E7B89">
              <w:rPr>
                <w:rFonts w:ascii="Cambria" w:hAnsi="Cambria" w:cs="Calibri"/>
                <w:lang w:val="it-IT"/>
              </w:rPr>
              <w:t>studentica</w:t>
            </w:r>
            <w:proofErr w:type="spellEnd"/>
            <w:r w:rsidRPr="001E7B89">
              <w:rPr>
                <w:rFonts w:ascii="Cambria" w:hAnsi="Cambria" w:cs="Calibri"/>
                <w:lang w:val="it-IT"/>
              </w:rPr>
              <w:t xml:space="preserve"> mora</w:t>
            </w:r>
            <w:r w:rsidR="006F12A5">
              <w:rPr>
                <w:rFonts w:ascii="Cambria" w:hAnsi="Cambria" w:cs="Calibri"/>
                <w:lang w:val="it-IT"/>
              </w:rPr>
              <w:t>:</w:t>
            </w:r>
          </w:p>
          <w:p w14:paraId="5F70E55F" w14:textId="77777777" w:rsidR="001E7B89" w:rsidRPr="00747D3D" w:rsidRDefault="001E7B89" w:rsidP="00A034E3">
            <w:pPr>
              <w:pStyle w:val="Odlomakpopisa"/>
              <w:numPr>
                <w:ilvl w:val="0"/>
                <w:numId w:val="27"/>
              </w:numPr>
              <w:spacing w:after="0" w:line="240" w:lineRule="auto"/>
              <w:rPr>
                <w:rFonts w:ascii="Cambria" w:hAnsi="Cambria" w:cs="Calibri"/>
              </w:rPr>
            </w:pPr>
            <w:r w:rsidRPr="00747D3D">
              <w:rPr>
                <w:rFonts w:ascii="Cambria" w:hAnsi="Cambria" w:cs="Calibri"/>
              </w:rPr>
              <w:t>redovito pohađati nastavu i aktivno sudjelovati u svim oblicima nastave (barem 70% prisustva) te izraditi samostalne zadatke i zadatke u grupi (barem 50% bodova)</w:t>
            </w:r>
          </w:p>
          <w:p w14:paraId="091C4DA6" w14:textId="77777777" w:rsidR="001E7B89" w:rsidRPr="00BE601E" w:rsidRDefault="001E7B89" w:rsidP="00A034E3">
            <w:pPr>
              <w:pStyle w:val="Odlomakpopisa"/>
              <w:numPr>
                <w:ilvl w:val="0"/>
                <w:numId w:val="27"/>
              </w:numPr>
              <w:spacing w:after="0" w:line="240" w:lineRule="auto"/>
              <w:rPr>
                <w:rFonts w:ascii="Cambria" w:hAnsi="Cambria" w:cs="Calibri"/>
              </w:rPr>
            </w:pPr>
            <w:r w:rsidRPr="00BE601E">
              <w:rPr>
                <w:rFonts w:ascii="Cambria" w:hAnsi="Cambria" w:cs="Calibri"/>
              </w:rPr>
              <w:t>zadovoljiti na pismenom ispitu (barem 50% bodova)</w:t>
            </w:r>
          </w:p>
          <w:p w14:paraId="1DDB8E82" w14:textId="77777777" w:rsidR="001E7B89" w:rsidRPr="00BE601E" w:rsidRDefault="001E7B89" w:rsidP="00A034E3">
            <w:pPr>
              <w:pStyle w:val="Odlomakpopisa"/>
              <w:numPr>
                <w:ilvl w:val="0"/>
                <w:numId w:val="27"/>
              </w:numPr>
              <w:spacing w:after="0" w:line="240" w:lineRule="auto"/>
              <w:rPr>
                <w:rFonts w:ascii="Cambria" w:hAnsi="Cambria" w:cs="Calibri"/>
              </w:rPr>
            </w:pPr>
            <w:r w:rsidRPr="00BE601E">
              <w:rPr>
                <w:rFonts w:ascii="Cambria" w:hAnsi="Cambria" w:cs="Calibri"/>
              </w:rPr>
              <w:t xml:space="preserve">zadovoljiti na usmenom ispitu </w:t>
            </w:r>
            <w:r>
              <w:rPr>
                <w:rFonts w:ascii="Cambria" w:hAnsi="Cambria" w:cs="Calibri"/>
              </w:rPr>
              <w:t>(</w:t>
            </w:r>
            <w:r w:rsidRPr="00BE601E">
              <w:rPr>
                <w:rFonts w:ascii="Cambria" w:hAnsi="Cambria" w:cs="Calibri"/>
              </w:rPr>
              <w:t>barem 50% bodova)</w:t>
            </w:r>
          </w:p>
        </w:tc>
      </w:tr>
      <w:tr w:rsidR="001E7B89" w:rsidRPr="00D0399C" w14:paraId="2BAA0F78" w14:textId="77777777" w:rsidTr="008345F3">
        <w:trPr>
          <w:trHeight w:val="645"/>
        </w:trPr>
        <w:tc>
          <w:tcPr>
            <w:tcW w:w="215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7B14164" w14:textId="77777777" w:rsidR="001E7B89" w:rsidRPr="00A62FBD" w:rsidRDefault="001E7B89" w:rsidP="001E3DFB">
            <w:pPr>
              <w:spacing w:after="0" w:line="240" w:lineRule="auto"/>
              <w:rPr>
                <w:rFonts w:ascii="Cambria" w:hAnsi="Cambria" w:cs="Calibri"/>
              </w:rPr>
            </w:pPr>
            <w:proofErr w:type="spellStart"/>
            <w:r w:rsidRPr="00A62FBD">
              <w:rPr>
                <w:rFonts w:ascii="Cambria" w:hAnsi="Cambria" w:cs="Calibri"/>
              </w:rPr>
              <w:t>Rokovi</w:t>
            </w:r>
            <w:proofErr w:type="spellEnd"/>
            <w:r w:rsidRPr="00A62FBD">
              <w:rPr>
                <w:rFonts w:ascii="Cambria" w:hAnsi="Cambria" w:cs="Calibri"/>
              </w:rPr>
              <w:t xml:space="preserve"> </w:t>
            </w:r>
            <w:proofErr w:type="spellStart"/>
            <w:r w:rsidRPr="00A62FBD">
              <w:rPr>
                <w:rFonts w:ascii="Cambria" w:hAnsi="Cambria" w:cs="Calibri"/>
              </w:rPr>
              <w:t>ispita</w:t>
            </w:r>
            <w:proofErr w:type="spellEnd"/>
            <w:r w:rsidRPr="00A62FBD">
              <w:rPr>
                <w:rFonts w:ascii="Cambria" w:hAnsi="Cambria" w:cs="Calibri"/>
              </w:rPr>
              <w:t xml:space="preserve"> </w:t>
            </w:r>
          </w:p>
        </w:tc>
        <w:tc>
          <w:tcPr>
            <w:tcW w:w="6898"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626702C" w14:textId="06545DD6" w:rsidR="001E7B89" w:rsidRPr="001E7B89" w:rsidRDefault="001E7B89" w:rsidP="001E3DFB">
            <w:pPr>
              <w:spacing w:after="0" w:line="240" w:lineRule="auto"/>
              <w:rPr>
                <w:rFonts w:ascii="Cambria" w:hAnsi="Cambria" w:cs="Calibri"/>
                <w:lang w:val="it-IT"/>
              </w:rPr>
            </w:pPr>
            <w:proofErr w:type="spellStart"/>
            <w:r w:rsidRPr="001E7B89">
              <w:rPr>
                <w:rFonts w:ascii="Cambria" w:hAnsi="Cambria" w:cs="Calibri"/>
                <w:lang w:val="it-IT"/>
              </w:rPr>
              <w:t>Datumi</w:t>
            </w:r>
            <w:proofErr w:type="spellEnd"/>
            <w:r w:rsidRPr="001E7B89">
              <w:rPr>
                <w:rFonts w:ascii="Cambria" w:hAnsi="Cambria" w:cs="Calibri"/>
                <w:lang w:val="it-IT"/>
              </w:rPr>
              <w:t xml:space="preserve"> </w:t>
            </w:r>
            <w:proofErr w:type="spellStart"/>
            <w:r w:rsidRPr="001E7B89">
              <w:rPr>
                <w:rFonts w:ascii="Cambria" w:hAnsi="Cambria" w:cs="Calibri"/>
                <w:lang w:val="it-IT"/>
              </w:rPr>
              <w:t>dostupni</w:t>
            </w:r>
            <w:proofErr w:type="spellEnd"/>
            <w:r w:rsidRPr="001E7B89">
              <w:rPr>
                <w:rFonts w:ascii="Cambria" w:hAnsi="Cambria" w:cs="Calibri"/>
                <w:lang w:val="it-IT"/>
              </w:rPr>
              <w:t xml:space="preserve"> </w:t>
            </w:r>
            <w:proofErr w:type="spellStart"/>
            <w:r w:rsidRPr="001E7B89">
              <w:rPr>
                <w:rFonts w:ascii="Cambria" w:hAnsi="Cambria" w:cs="Calibri"/>
                <w:lang w:val="it-IT"/>
              </w:rPr>
              <w:t>na</w:t>
            </w:r>
            <w:proofErr w:type="spellEnd"/>
            <w:r w:rsidRPr="001E7B89">
              <w:rPr>
                <w:rFonts w:ascii="Cambria" w:hAnsi="Cambria" w:cs="Calibri"/>
                <w:lang w:val="it-IT"/>
              </w:rPr>
              <w:t xml:space="preserve"> </w:t>
            </w:r>
            <w:proofErr w:type="spellStart"/>
            <w:r w:rsidR="006F12A5">
              <w:rPr>
                <w:rFonts w:ascii="Cambria" w:hAnsi="Cambria" w:cs="Calibri"/>
                <w:lang w:val="it-IT"/>
              </w:rPr>
              <w:t>mrežnim</w:t>
            </w:r>
            <w:proofErr w:type="spellEnd"/>
            <w:r w:rsidRPr="001E7B89">
              <w:rPr>
                <w:rFonts w:ascii="Cambria" w:hAnsi="Cambria" w:cs="Calibri"/>
                <w:lang w:val="it-IT"/>
              </w:rPr>
              <w:t xml:space="preserve"> </w:t>
            </w:r>
            <w:proofErr w:type="spellStart"/>
            <w:r w:rsidRPr="001E7B89">
              <w:rPr>
                <w:rFonts w:ascii="Cambria" w:hAnsi="Cambria" w:cs="Calibri"/>
                <w:lang w:val="it-IT"/>
              </w:rPr>
              <w:t>stranicama</w:t>
            </w:r>
            <w:proofErr w:type="spellEnd"/>
            <w:r w:rsidRPr="001E7B89">
              <w:rPr>
                <w:rFonts w:ascii="Cambria" w:hAnsi="Cambria" w:cs="Calibri"/>
                <w:lang w:val="it-IT"/>
              </w:rPr>
              <w:t xml:space="preserve"> </w:t>
            </w:r>
            <w:proofErr w:type="spellStart"/>
            <w:r w:rsidRPr="001E7B89">
              <w:rPr>
                <w:rFonts w:ascii="Cambria" w:hAnsi="Cambria" w:cs="Calibri"/>
                <w:lang w:val="it-IT"/>
              </w:rPr>
              <w:t>Odjela</w:t>
            </w:r>
            <w:proofErr w:type="spellEnd"/>
            <w:r w:rsidRPr="001E7B89">
              <w:rPr>
                <w:rFonts w:ascii="Cambria" w:hAnsi="Cambria" w:cs="Calibri"/>
                <w:lang w:val="it-IT"/>
              </w:rPr>
              <w:t xml:space="preserve"> i ISVU </w:t>
            </w:r>
            <w:proofErr w:type="spellStart"/>
            <w:r w:rsidRPr="001E7B89">
              <w:rPr>
                <w:rFonts w:ascii="Cambria" w:hAnsi="Cambria" w:cs="Calibri"/>
                <w:lang w:val="it-IT"/>
              </w:rPr>
              <w:t>bazi</w:t>
            </w:r>
            <w:proofErr w:type="spellEnd"/>
            <w:r w:rsidRPr="001E7B89">
              <w:rPr>
                <w:rFonts w:ascii="Cambria" w:hAnsi="Cambria" w:cs="Calibri"/>
                <w:lang w:val="it-IT"/>
              </w:rPr>
              <w:t>.</w:t>
            </w:r>
          </w:p>
        </w:tc>
      </w:tr>
      <w:tr w:rsidR="001E7B89" w:rsidRPr="00A62FBD" w14:paraId="4DC7B38E" w14:textId="77777777" w:rsidTr="008345F3">
        <w:tc>
          <w:tcPr>
            <w:tcW w:w="215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6202D03" w14:textId="77777777" w:rsidR="001E7B89" w:rsidRPr="001E7B89" w:rsidRDefault="001E7B89" w:rsidP="001E3DFB">
            <w:pPr>
              <w:spacing w:after="0" w:line="240" w:lineRule="auto"/>
              <w:rPr>
                <w:rFonts w:ascii="Cambria" w:hAnsi="Cambria" w:cs="Calibri"/>
                <w:lang w:val="it-IT"/>
              </w:rPr>
            </w:pPr>
            <w:r w:rsidRPr="001E7B89">
              <w:rPr>
                <w:rFonts w:ascii="Cambria" w:hAnsi="Cambria" w:cs="Calibri"/>
                <w:lang w:val="it-IT"/>
              </w:rPr>
              <w:t xml:space="preserve">Ostale </w:t>
            </w:r>
            <w:proofErr w:type="spellStart"/>
            <w:r w:rsidRPr="001E7B89">
              <w:rPr>
                <w:rFonts w:ascii="Cambria" w:hAnsi="Cambria" w:cs="Calibri"/>
                <w:lang w:val="it-IT"/>
              </w:rPr>
              <w:t>važne</w:t>
            </w:r>
            <w:proofErr w:type="spellEnd"/>
            <w:r w:rsidRPr="001E7B89">
              <w:rPr>
                <w:rFonts w:ascii="Cambria" w:hAnsi="Cambria" w:cs="Calibri"/>
                <w:lang w:val="it-IT"/>
              </w:rPr>
              <w:t xml:space="preserve"> </w:t>
            </w:r>
            <w:proofErr w:type="spellStart"/>
            <w:r w:rsidRPr="001E7B89">
              <w:rPr>
                <w:rFonts w:ascii="Cambria" w:hAnsi="Cambria" w:cs="Calibri"/>
                <w:lang w:val="it-IT"/>
              </w:rPr>
              <w:t>činjenice</w:t>
            </w:r>
            <w:proofErr w:type="spellEnd"/>
            <w:r w:rsidRPr="001E7B89">
              <w:rPr>
                <w:rFonts w:ascii="Cambria" w:hAnsi="Cambria" w:cs="Calibri"/>
                <w:lang w:val="it-IT"/>
              </w:rPr>
              <w:t xml:space="preserve"> </w:t>
            </w:r>
            <w:proofErr w:type="spellStart"/>
            <w:r w:rsidRPr="00A62FBD">
              <w:rPr>
                <w:rFonts w:ascii="Cambria" w:hAnsi="Cambria" w:cs="Calibri"/>
                <w:lang w:val="it-IT"/>
              </w:rPr>
              <w:t>vezane</w:t>
            </w:r>
            <w:proofErr w:type="spellEnd"/>
            <w:r w:rsidRPr="00A62FBD">
              <w:rPr>
                <w:rFonts w:ascii="Cambria" w:hAnsi="Cambria" w:cs="Calibri"/>
                <w:lang w:val="it-IT"/>
              </w:rPr>
              <w:t xml:space="preserve"> </w:t>
            </w:r>
            <w:proofErr w:type="spellStart"/>
            <w:r w:rsidRPr="00A62FBD">
              <w:rPr>
                <w:rFonts w:ascii="Cambria" w:hAnsi="Cambria" w:cs="Calibri"/>
                <w:lang w:val="it-IT"/>
              </w:rPr>
              <w:t>uz</w:t>
            </w:r>
            <w:proofErr w:type="spellEnd"/>
            <w:r w:rsidRPr="00A62FBD">
              <w:rPr>
                <w:rFonts w:ascii="Cambria" w:hAnsi="Cambria" w:cs="Calibri"/>
                <w:lang w:val="it-IT"/>
              </w:rPr>
              <w:t xml:space="preserve"> </w:t>
            </w:r>
            <w:proofErr w:type="spellStart"/>
            <w:r w:rsidRPr="00A62FBD">
              <w:rPr>
                <w:rFonts w:ascii="Cambria" w:hAnsi="Cambria" w:cs="Calibri"/>
                <w:lang w:val="it-IT"/>
              </w:rPr>
              <w:t>kolegij</w:t>
            </w:r>
            <w:proofErr w:type="spellEnd"/>
          </w:p>
        </w:tc>
        <w:tc>
          <w:tcPr>
            <w:tcW w:w="6898"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B6B8B55" w14:textId="77777777" w:rsidR="001E7B89" w:rsidRPr="001E7B89" w:rsidRDefault="001E7B89" w:rsidP="001E3DFB">
            <w:pPr>
              <w:spacing w:after="0" w:line="240" w:lineRule="auto"/>
              <w:rPr>
                <w:rFonts w:ascii="Cambria" w:hAnsi="Cambria" w:cs="Calibri"/>
                <w:lang w:val="it-IT"/>
              </w:rPr>
            </w:pPr>
            <w:proofErr w:type="spellStart"/>
            <w:r w:rsidRPr="001E7B89">
              <w:rPr>
                <w:rFonts w:ascii="Cambria" w:hAnsi="Cambria" w:cs="Calibri"/>
                <w:lang w:val="it-IT"/>
              </w:rPr>
              <w:t>Materijali</w:t>
            </w:r>
            <w:proofErr w:type="spellEnd"/>
            <w:r w:rsidRPr="001E7B89">
              <w:rPr>
                <w:rFonts w:ascii="Cambria" w:hAnsi="Cambria" w:cs="Calibri"/>
                <w:lang w:val="it-IT"/>
              </w:rPr>
              <w:t xml:space="preserve"> za </w:t>
            </w:r>
            <w:proofErr w:type="spellStart"/>
            <w:r w:rsidRPr="001E7B89">
              <w:rPr>
                <w:rFonts w:ascii="Cambria" w:hAnsi="Cambria" w:cs="Calibri"/>
                <w:lang w:val="it-IT"/>
              </w:rPr>
              <w:t>predavanja</w:t>
            </w:r>
            <w:proofErr w:type="spellEnd"/>
            <w:r w:rsidRPr="001E7B89">
              <w:rPr>
                <w:rFonts w:ascii="Cambria" w:hAnsi="Cambria" w:cs="Calibri"/>
                <w:lang w:val="it-IT"/>
              </w:rPr>
              <w:t xml:space="preserve"> i </w:t>
            </w:r>
            <w:proofErr w:type="spellStart"/>
            <w:r w:rsidRPr="001E7B89">
              <w:rPr>
                <w:rFonts w:ascii="Cambria" w:hAnsi="Cambria" w:cs="Calibri"/>
                <w:lang w:val="it-IT"/>
              </w:rPr>
              <w:t>vježbe</w:t>
            </w:r>
            <w:proofErr w:type="spellEnd"/>
            <w:r w:rsidRPr="001E7B89">
              <w:rPr>
                <w:rFonts w:ascii="Cambria" w:hAnsi="Cambria" w:cs="Calibri"/>
                <w:lang w:val="it-IT"/>
              </w:rPr>
              <w:t xml:space="preserve"> </w:t>
            </w:r>
            <w:proofErr w:type="spellStart"/>
            <w:r w:rsidRPr="001E7B89">
              <w:rPr>
                <w:rFonts w:ascii="Cambria" w:hAnsi="Cambria" w:cs="Calibri"/>
                <w:lang w:val="it-IT"/>
              </w:rPr>
              <w:t>objavljuju</w:t>
            </w:r>
            <w:proofErr w:type="spellEnd"/>
            <w:r w:rsidRPr="001E7B89">
              <w:rPr>
                <w:rFonts w:ascii="Cambria" w:hAnsi="Cambria" w:cs="Calibri"/>
                <w:lang w:val="it-IT"/>
              </w:rPr>
              <w:t xml:space="preserve"> se </w:t>
            </w:r>
            <w:proofErr w:type="spellStart"/>
            <w:r w:rsidRPr="001E7B89">
              <w:rPr>
                <w:rFonts w:ascii="Cambria" w:hAnsi="Cambria" w:cs="Calibri"/>
                <w:lang w:val="it-IT"/>
              </w:rPr>
              <w:t>na</w:t>
            </w:r>
            <w:proofErr w:type="spellEnd"/>
            <w:r w:rsidRPr="001E7B89">
              <w:rPr>
                <w:rFonts w:ascii="Cambria" w:hAnsi="Cambria" w:cs="Calibri"/>
                <w:lang w:val="it-IT"/>
              </w:rPr>
              <w:t xml:space="preserve"> e-</w:t>
            </w:r>
            <w:proofErr w:type="spellStart"/>
            <w:r w:rsidRPr="001E7B89">
              <w:rPr>
                <w:rFonts w:ascii="Cambria" w:hAnsi="Cambria" w:cs="Calibri"/>
                <w:lang w:val="it-IT"/>
              </w:rPr>
              <w:t>učenju</w:t>
            </w:r>
            <w:proofErr w:type="spellEnd"/>
            <w:r w:rsidRPr="001E7B89">
              <w:rPr>
                <w:rFonts w:ascii="Cambria" w:hAnsi="Cambria" w:cs="Calibri"/>
                <w:lang w:val="it-IT"/>
              </w:rPr>
              <w:t>.</w:t>
            </w:r>
          </w:p>
          <w:p w14:paraId="37CCFB0B" w14:textId="77777777" w:rsidR="001E7B89" w:rsidRPr="00A62FBD" w:rsidRDefault="001E7B89" w:rsidP="001E3DFB">
            <w:pPr>
              <w:spacing w:after="0" w:line="240" w:lineRule="auto"/>
              <w:rPr>
                <w:rFonts w:ascii="Cambria" w:hAnsi="Cambria" w:cs="Calibri"/>
              </w:rPr>
            </w:pPr>
            <w:r w:rsidRPr="001E7B89">
              <w:rPr>
                <w:rFonts w:ascii="Cambria" w:hAnsi="Cambria" w:cs="Calibri"/>
                <w:lang w:val="it-IT"/>
              </w:rPr>
              <w:t xml:space="preserve">U </w:t>
            </w:r>
            <w:proofErr w:type="spellStart"/>
            <w:r w:rsidRPr="001E7B89">
              <w:rPr>
                <w:rFonts w:ascii="Cambria" w:hAnsi="Cambria" w:cs="Calibri"/>
                <w:lang w:val="it-IT"/>
              </w:rPr>
              <w:t>slučaju</w:t>
            </w:r>
            <w:proofErr w:type="spellEnd"/>
            <w:r w:rsidRPr="001E7B89">
              <w:rPr>
                <w:rFonts w:ascii="Cambria" w:hAnsi="Cambria" w:cs="Calibri"/>
                <w:lang w:val="it-IT"/>
              </w:rPr>
              <w:t xml:space="preserve"> </w:t>
            </w:r>
            <w:proofErr w:type="spellStart"/>
            <w:r w:rsidRPr="001E7B89">
              <w:rPr>
                <w:rFonts w:ascii="Cambria" w:hAnsi="Cambria" w:cs="Calibri"/>
                <w:lang w:val="it-IT"/>
              </w:rPr>
              <w:t>održavanja</w:t>
            </w:r>
            <w:proofErr w:type="spellEnd"/>
            <w:r w:rsidRPr="001E7B89">
              <w:rPr>
                <w:rFonts w:ascii="Cambria" w:hAnsi="Cambria" w:cs="Calibri"/>
                <w:lang w:val="it-IT"/>
              </w:rPr>
              <w:t xml:space="preserve"> </w:t>
            </w:r>
            <w:proofErr w:type="spellStart"/>
            <w:r w:rsidRPr="001E7B89">
              <w:rPr>
                <w:rFonts w:ascii="Cambria" w:hAnsi="Cambria" w:cs="Calibri"/>
                <w:lang w:val="it-IT"/>
              </w:rPr>
              <w:t>nastave</w:t>
            </w:r>
            <w:proofErr w:type="spellEnd"/>
            <w:r w:rsidRPr="001E7B89">
              <w:rPr>
                <w:rFonts w:ascii="Cambria" w:hAnsi="Cambria" w:cs="Calibri"/>
                <w:lang w:val="it-IT"/>
              </w:rPr>
              <w:t xml:space="preserve"> </w:t>
            </w:r>
            <w:proofErr w:type="spellStart"/>
            <w:r w:rsidRPr="001E7B89">
              <w:rPr>
                <w:rFonts w:ascii="Cambria" w:hAnsi="Cambria" w:cs="Calibri"/>
                <w:lang w:val="it-IT"/>
              </w:rPr>
              <w:t>na</w:t>
            </w:r>
            <w:proofErr w:type="spellEnd"/>
            <w:r w:rsidRPr="001E7B89">
              <w:rPr>
                <w:rFonts w:ascii="Cambria" w:hAnsi="Cambria" w:cs="Calibri"/>
                <w:lang w:val="it-IT"/>
              </w:rPr>
              <w:t xml:space="preserve"> </w:t>
            </w:r>
            <w:proofErr w:type="spellStart"/>
            <w:r w:rsidRPr="001E7B89">
              <w:rPr>
                <w:rFonts w:ascii="Cambria" w:hAnsi="Cambria" w:cs="Calibri"/>
                <w:lang w:val="it-IT"/>
              </w:rPr>
              <w:t>daljinu</w:t>
            </w:r>
            <w:proofErr w:type="spellEnd"/>
            <w:r w:rsidRPr="001E7B89">
              <w:rPr>
                <w:rFonts w:ascii="Cambria" w:hAnsi="Cambria" w:cs="Calibri"/>
                <w:lang w:val="it-IT"/>
              </w:rPr>
              <w:t xml:space="preserve">, </w:t>
            </w:r>
            <w:proofErr w:type="spellStart"/>
            <w:r w:rsidRPr="001E7B89">
              <w:rPr>
                <w:rFonts w:ascii="Cambria" w:hAnsi="Cambria" w:cs="Calibri"/>
                <w:lang w:val="it-IT"/>
              </w:rPr>
              <w:t>moguće</w:t>
            </w:r>
            <w:proofErr w:type="spellEnd"/>
            <w:r w:rsidRPr="001E7B89">
              <w:rPr>
                <w:rFonts w:ascii="Cambria" w:hAnsi="Cambria" w:cs="Calibri"/>
                <w:lang w:val="it-IT"/>
              </w:rPr>
              <w:t xml:space="preserve"> je </w:t>
            </w:r>
            <w:proofErr w:type="spellStart"/>
            <w:r w:rsidRPr="001E7B89">
              <w:rPr>
                <w:rFonts w:ascii="Cambria" w:hAnsi="Cambria" w:cs="Calibri"/>
                <w:lang w:val="it-IT"/>
              </w:rPr>
              <w:t>odstupanje</w:t>
            </w:r>
            <w:proofErr w:type="spellEnd"/>
            <w:r w:rsidRPr="001E7B89">
              <w:rPr>
                <w:rFonts w:ascii="Cambria" w:hAnsi="Cambria" w:cs="Calibri"/>
                <w:lang w:val="it-IT"/>
              </w:rPr>
              <w:t xml:space="preserve"> u: </w:t>
            </w:r>
            <w:proofErr w:type="spellStart"/>
            <w:r w:rsidRPr="001E7B89">
              <w:rPr>
                <w:rFonts w:ascii="Cambria" w:hAnsi="Cambria" w:cs="Calibri"/>
                <w:lang w:val="it-IT"/>
              </w:rPr>
              <w:t>mjestu</w:t>
            </w:r>
            <w:proofErr w:type="spellEnd"/>
            <w:r w:rsidRPr="001E7B89">
              <w:rPr>
                <w:rFonts w:ascii="Cambria" w:hAnsi="Cambria" w:cs="Calibri"/>
                <w:lang w:val="it-IT"/>
              </w:rPr>
              <w:t xml:space="preserve"> </w:t>
            </w:r>
            <w:proofErr w:type="spellStart"/>
            <w:r w:rsidRPr="001E7B89">
              <w:rPr>
                <w:rFonts w:ascii="Cambria" w:hAnsi="Cambria" w:cs="Calibri"/>
                <w:lang w:val="it-IT"/>
              </w:rPr>
              <w:t>izvođenja</w:t>
            </w:r>
            <w:proofErr w:type="spellEnd"/>
            <w:r w:rsidRPr="001E7B89">
              <w:rPr>
                <w:rFonts w:ascii="Cambria" w:hAnsi="Cambria" w:cs="Calibri"/>
                <w:lang w:val="it-IT"/>
              </w:rPr>
              <w:t xml:space="preserve"> </w:t>
            </w:r>
            <w:proofErr w:type="spellStart"/>
            <w:r w:rsidRPr="001E7B89">
              <w:rPr>
                <w:rFonts w:ascii="Cambria" w:hAnsi="Cambria" w:cs="Calibri"/>
                <w:lang w:val="it-IT"/>
              </w:rPr>
              <w:t>kolegija</w:t>
            </w:r>
            <w:proofErr w:type="spellEnd"/>
            <w:r w:rsidRPr="001E7B89">
              <w:rPr>
                <w:rFonts w:ascii="Cambria" w:hAnsi="Cambria" w:cs="Calibri"/>
                <w:lang w:val="it-IT"/>
              </w:rPr>
              <w:t xml:space="preserve">, </w:t>
            </w:r>
            <w:proofErr w:type="spellStart"/>
            <w:r w:rsidRPr="001E7B89">
              <w:rPr>
                <w:rFonts w:ascii="Cambria" w:hAnsi="Cambria" w:cs="Calibri"/>
                <w:lang w:val="it-IT"/>
              </w:rPr>
              <w:t>provedbi</w:t>
            </w:r>
            <w:proofErr w:type="spellEnd"/>
            <w:r w:rsidRPr="001E7B89">
              <w:rPr>
                <w:rFonts w:ascii="Cambria" w:hAnsi="Cambria" w:cs="Calibri"/>
                <w:lang w:val="it-IT"/>
              </w:rPr>
              <w:t xml:space="preserve"> </w:t>
            </w:r>
            <w:proofErr w:type="spellStart"/>
            <w:r w:rsidRPr="001E7B89">
              <w:rPr>
                <w:rFonts w:ascii="Cambria" w:hAnsi="Cambria" w:cs="Calibri"/>
                <w:lang w:val="it-IT"/>
              </w:rPr>
              <w:t>aktivnosti</w:t>
            </w:r>
            <w:proofErr w:type="spellEnd"/>
            <w:r w:rsidRPr="001E7B89">
              <w:rPr>
                <w:rFonts w:ascii="Cambria" w:hAnsi="Cambria" w:cs="Calibri"/>
                <w:lang w:val="it-IT"/>
              </w:rPr>
              <w:t xml:space="preserve">, </w:t>
            </w:r>
            <w:proofErr w:type="spellStart"/>
            <w:r w:rsidRPr="001E7B89">
              <w:rPr>
                <w:rFonts w:ascii="Cambria" w:hAnsi="Cambria" w:cs="Calibri"/>
                <w:lang w:val="it-IT"/>
              </w:rPr>
              <w:t>metoda</w:t>
            </w:r>
            <w:proofErr w:type="spellEnd"/>
            <w:r w:rsidRPr="001E7B89">
              <w:rPr>
                <w:rFonts w:ascii="Cambria" w:hAnsi="Cambria" w:cs="Calibri"/>
                <w:lang w:val="it-IT"/>
              </w:rPr>
              <w:t xml:space="preserve"> </w:t>
            </w:r>
            <w:proofErr w:type="spellStart"/>
            <w:r w:rsidRPr="001E7B89">
              <w:rPr>
                <w:rFonts w:ascii="Cambria" w:hAnsi="Cambria" w:cs="Calibri"/>
                <w:lang w:val="it-IT"/>
              </w:rPr>
              <w:t>tumačenja</w:t>
            </w:r>
            <w:proofErr w:type="spellEnd"/>
            <w:r w:rsidRPr="001E7B89">
              <w:rPr>
                <w:rFonts w:ascii="Cambria" w:hAnsi="Cambria" w:cs="Calibri"/>
                <w:lang w:val="it-IT"/>
              </w:rPr>
              <w:t xml:space="preserve"> i </w:t>
            </w:r>
            <w:proofErr w:type="spellStart"/>
            <w:r w:rsidRPr="001E7B89">
              <w:rPr>
                <w:rFonts w:ascii="Cambria" w:hAnsi="Cambria" w:cs="Calibri"/>
                <w:lang w:val="it-IT"/>
              </w:rPr>
              <w:t>poučavanja</w:t>
            </w:r>
            <w:proofErr w:type="spellEnd"/>
            <w:r w:rsidRPr="001E7B89">
              <w:rPr>
                <w:rFonts w:ascii="Cambria" w:hAnsi="Cambria" w:cs="Calibri"/>
                <w:lang w:val="it-IT"/>
              </w:rPr>
              <w:t xml:space="preserve"> i </w:t>
            </w:r>
            <w:proofErr w:type="spellStart"/>
            <w:r w:rsidRPr="001E7B89">
              <w:rPr>
                <w:rFonts w:ascii="Cambria" w:hAnsi="Cambria" w:cs="Calibri"/>
                <w:lang w:val="it-IT"/>
              </w:rPr>
              <w:t>načinima</w:t>
            </w:r>
            <w:proofErr w:type="spellEnd"/>
            <w:r w:rsidRPr="001E7B89">
              <w:rPr>
                <w:rFonts w:ascii="Cambria" w:hAnsi="Cambria" w:cs="Calibri"/>
                <w:lang w:val="it-IT"/>
              </w:rPr>
              <w:t xml:space="preserve"> </w:t>
            </w:r>
            <w:proofErr w:type="spellStart"/>
            <w:r w:rsidRPr="001E7B89">
              <w:rPr>
                <w:rFonts w:ascii="Cambria" w:hAnsi="Cambria" w:cs="Calibri"/>
                <w:lang w:val="it-IT"/>
              </w:rPr>
              <w:t>vrednovanja</w:t>
            </w:r>
            <w:proofErr w:type="spellEnd"/>
            <w:r w:rsidRPr="001E7B89">
              <w:rPr>
                <w:rFonts w:ascii="Cambria" w:hAnsi="Cambria" w:cs="Calibri"/>
                <w:lang w:val="it-IT"/>
              </w:rPr>
              <w:t xml:space="preserve">, </w:t>
            </w:r>
            <w:proofErr w:type="spellStart"/>
            <w:r w:rsidRPr="001E7B89">
              <w:rPr>
                <w:rFonts w:ascii="Cambria" w:hAnsi="Cambria" w:cs="Calibri"/>
                <w:lang w:val="it-IT"/>
              </w:rPr>
              <w:t>studentskim</w:t>
            </w:r>
            <w:proofErr w:type="spellEnd"/>
            <w:r w:rsidRPr="001E7B89">
              <w:rPr>
                <w:rFonts w:ascii="Cambria" w:hAnsi="Cambria" w:cs="Calibri"/>
                <w:lang w:val="it-IT"/>
              </w:rPr>
              <w:t xml:space="preserve"> </w:t>
            </w:r>
            <w:proofErr w:type="spellStart"/>
            <w:r w:rsidRPr="001E7B89">
              <w:rPr>
                <w:rFonts w:ascii="Cambria" w:hAnsi="Cambria" w:cs="Calibri"/>
                <w:lang w:val="it-IT"/>
              </w:rPr>
              <w:t>obvezama</w:t>
            </w:r>
            <w:proofErr w:type="spellEnd"/>
            <w:r w:rsidRPr="001E7B89">
              <w:rPr>
                <w:rFonts w:ascii="Cambria" w:hAnsi="Cambria" w:cs="Calibri"/>
                <w:lang w:val="it-IT"/>
              </w:rPr>
              <w:t xml:space="preserve"> i </w:t>
            </w:r>
            <w:proofErr w:type="spellStart"/>
            <w:r w:rsidRPr="001E7B89">
              <w:rPr>
                <w:rFonts w:ascii="Cambria" w:hAnsi="Cambria" w:cs="Calibri"/>
                <w:lang w:val="it-IT"/>
              </w:rPr>
              <w:t>dostupnoj</w:t>
            </w:r>
            <w:proofErr w:type="spellEnd"/>
            <w:r w:rsidRPr="001E7B89">
              <w:rPr>
                <w:rFonts w:ascii="Cambria" w:hAnsi="Cambria" w:cs="Calibri"/>
                <w:lang w:val="it-IT"/>
              </w:rPr>
              <w:t xml:space="preserve"> </w:t>
            </w:r>
            <w:proofErr w:type="spellStart"/>
            <w:r w:rsidRPr="001E7B89">
              <w:rPr>
                <w:rFonts w:ascii="Cambria" w:hAnsi="Cambria" w:cs="Calibri"/>
                <w:lang w:val="it-IT"/>
              </w:rPr>
              <w:t>literaturi</w:t>
            </w:r>
            <w:proofErr w:type="spellEnd"/>
            <w:r w:rsidRPr="001E7B89">
              <w:rPr>
                <w:rFonts w:ascii="Cambria" w:hAnsi="Cambria" w:cs="Calibri"/>
                <w:lang w:val="it-IT"/>
              </w:rPr>
              <w:t xml:space="preserve">. O tome </w:t>
            </w:r>
            <w:proofErr w:type="spellStart"/>
            <w:r w:rsidRPr="001E7B89">
              <w:rPr>
                <w:rFonts w:ascii="Cambria" w:hAnsi="Cambria" w:cs="Calibri"/>
                <w:lang w:val="it-IT"/>
              </w:rPr>
              <w:t>će</w:t>
            </w:r>
            <w:proofErr w:type="spellEnd"/>
            <w:r w:rsidRPr="001E7B89">
              <w:rPr>
                <w:rFonts w:ascii="Cambria" w:hAnsi="Cambria" w:cs="Calibri"/>
                <w:lang w:val="it-IT"/>
              </w:rPr>
              <w:t xml:space="preserve"> </w:t>
            </w:r>
            <w:proofErr w:type="spellStart"/>
            <w:r w:rsidRPr="001E7B89">
              <w:rPr>
                <w:rFonts w:ascii="Cambria" w:hAnsi="Cambria" w:cs="Calibri"/>
                <w:lang w:val="it-IT"/>
              </w:rPr>
              <w:t>nositelj</w:t>
            </w:r>
            <w:proofErr w:type="spellEnd"/>
            <w:r w:rsidRPr="001E7B89">
              <w:rPr>
                <w:rFonts w:ascii="Cambria" w:hAnsi="Cambria" w:cs="Calibri"/>
                <w:lang w:val="it-IT"/>
              </w:rPr>
              <w:t xml:space="preserve"> i </w:t>
            </w:r>
            <w:proofErr w:type="spellStart"/>
            <w:r w:rsidRPr="001E7B89">
              <w:rPr>
                <w:rFonts w:ascii="Cambria" w:hAnsi="Cambria" w:cs="Calibri"/>
                <w:lang w:val="it-IT"/>
              </w:rPr>
              <w:t>asistentica</w:t>
            </w:r>
            <w:proofErr w:type="spellEnd"/>
            <w:r w:rsidRPr="001E7B89">
              <w:rPr>
                <w:rFonts w:ascii="Cambria" w:hAnsi="Cambria" w:cs="Calibri"/>
                <w:lang w:val="it-IT"/>
              </w:rPr>
              <w:t xml:space="preserve"> </w:t>
            </w:r>
            <w:proofErr w:type="spellStart"/>
            <w:r w:rsidRPr="001E7B89">
              <w:rPr>
                <w:rFonts w:ascii="Cambria" w:hAnsi="Cambria" w:cs="Calibri"/>
                <w:lang w:val="it-IT"/>
              </w:rPr>
              <w:t>obavijestiti</w:t>
            </w:r>
            <w:proofErr w:type="spellEnd"/>
            <w:r w:rsidRPr="001E7B89">
              <w:rPr>
                <w:rFonts w:ascii="Cambria" w:hAnsi="Cambria" w:cs="Calibri"/>
                <w:lang w:val="it-IT"/>
              </w:rPr>
              <w:t xml:space="preserve"> studente i </w:t>
            </w:r>
            <w:proofErr w:type="spellStart"/>
            <w:r w:rsidRPr="001E7B89">
              <w:rPr>
                <w:rFonts w:ascii="Cambria" w:hAnsi="Cambria" w:cs="Calibri"/>
                <w:lang w:val="it-IT"/>
              </w:rPr>
              <w:t>studentice</w:t>
            </w:r>
            <w:proofErr w:type="spellEnd"/>
            <w:r w:rsidRPr="001E7B89">
              <w:rPr>
                <w:rFonts w:ascii="Cambria" w:hAnsi="Cambria" w:cs="Calibri"/>
                <w:lang w:val="it-IT"/>
              </w:rPr>
              <w:t xml:space="preserve"> </w:t>
            </w:r>
            <w:proofErr w:type="spellStart"/>
            <w:r w:rsidRPr="001E7B89">
              <w:rPr>
                <w:rFonts w:ascii="Cambria" w:hAnsi="Cambria" w:cs="Calibri"/>
                <w:lang w:val="it-IT"/>
              </w:rPr>
              <w:t>kad</w:t>
            </w:r>
            <w:proofErr w:type="spellEnd"/>
            <w:r w:rsidRPr="001E7B89">
              <w:rPr>
                <w:rFonts w:ascii="Cambria" w:hAnsi="Cambria" w:cs="Calibri"/>
                <w:lang w:val="it-IT"/>
              </w:rPr>
              <w:t xml:space="preserve"> se </w:t>
            </w:r>
            <w:proofErr w:type="spellStart"/>
            <w:r w:rsidRPr="001E7B89">
              <w:rPr>
                <w:rFonts w:ascii="Cambria" w:hAnsi="Cambria" w:cs="Calibri"/>
                <w:lang w:val="it-IT"/>
              </w:rPr>
              <w:t>nastava</w:t>
            </w:r>
            <w:proofErr w:type="spellEnd"/>
            <w:r w:rsidRPr="001E7B89">
              <w:rPr>
                <w:rFonts w:ascii="Cambria" w:hAnsi="Cambria" w:cs="Calibri"/>
                <w:lang w:val="it-IT"/>
              </w:rPr>
              <w:t xml:space="preserve"> </w:t>
            </w:r>
            <w:proofErr w:type="spellStart"/>
            <w:r w:rsidRPr="001E7B89">
              <w:rPr>
                <w:rFonts w:ascii="Cambria" w:hAnsi="Cambria" w:cs="Calibri"/>
                <w:lang w:val="it-IT"/>
              </w:rPr>
              <w:t>na</w:t>
            </w:r>
            <w:proofErr w:type="spellEnd"/>
            <w:r w:rsidRPr="001E7B89">
              <w:rPr>
                <w:rFonts w:ascii="Cambria" w:hAnsi="Cambria" w:cs="Calibri"/>
                <w:lang w:val="it-IT"/>
              </w:rPr>
              <w:t xml:space="preserve"> </w:t>
            </w:r>
            <w:proofErr w:type="spellStart"/>
            <w:r w:rsidRPr="001E7B89">
              <w:rPr>
                <w:rFonts w:ascii="Cambria" w:hAnsi="Cambria" w:cs="Calibri"/>
                <w:lang w:val="it-IT"/>
              </w:rPr>
              <w:t>daljinu</w:t>
            </w:r>
            <w:proofErr w:type="spellEnd"/>
            <w:r w:rsidRPr="001E7B89">
              <w:rPr>
                <w:rFonts w:ascii="Cambria" w:hAnsi="Cambria" w:cs="Calibri"/>
                <w:lang w:val="it-IT"/>
              </w:rPr>
              <w:t xml:space="preserve"> </w:t>
            </w:r>
            <w:proofErr w:type="spellStart"/>
            <w:r w:rsidRPr="001E7B89">
              <w:rPr>
                <w:rFonts w:ascii="Cambria" w:hAnsi="Cambria" w:cs="Calibri"/>
                <w:lang w:val="it-IT"/>
              </w:rPr>
              <w:t>počne</w:t>
            </w:r>
            <w:proofErr w:type="spellEnd"/>
            <w:r w:rsidRPr="001E7B89">
              <w:rPr>
                <w:rFonts w:ascii="Cambria" w:hAnsi="Cambria" w:cs="Calibri"/>
                <w:lang w:val="it-IT"/>
              </w:rPr>
              <w:t xml:space="preserve"> </w:t>
            </w:r>
            <w:proofErr w:type="spellStart"/>
            <w:r w:rsidRPr="001E7B89">
              <w:rPr>
                <w:rFonts w:ascii="Cambria" w:hAnsi="Cambria" w:cs="Calibri"/>
                <w:lang w:val="it-IT"/>
              </w:rPr>
              <w:t>održavati</w:t>
            </w:r>
            <w:proofErr w:type="spellEnd"/>
            <w:r w:rsidRPr="001E7B89">
              <w:rPr>
                <w:rFonts w:ascii="Cambria" w:hAnsi="Cambria" w:cs="Calibri"/>
                <w:lang w:val="it-IT"/>
              </w:rPr>
              <w:t xml:space="preserve">. </w:t>
            </w:r>
            <w:proofErr w:type="spellStart"/>
            <w:r w:rsidRPr="00A62FBD">
              <w:rPr>
                <w:rFonts w:ascii="Cambria" w:hAnsi="Cambria" w:cs="Calibri"/>
              </w:rPr>
              <w:t>Ishodi</w:t>
            </w:r>
            <w:proofErr w:type="spellEnd"/>
            <w:r w:rsidRPr="00A62FBD">
              <w:rPr>
                <w:rFonts w:ascii="Cambria" w:hAnsi="Cambria" w:cs="Calibri"/>
              </w:rPr>
              <w:t xml:space="preserve"> </w:t>
            </w:r>
            <w:proofErr w:type="spellStart"/>
            <w:r w:rsidRPr="00A62FBD">
              <w:rPr>
                <w:rFonts w:ascii="Cambria" w:hAnsi="Cambria" w:cs="Calibri"/>
              </w:rPr>
              <w:t>učenja</w:t>
            </w:r>
            <w:proofErr w:type="spellEnd"/>
            <w:r w:rsidRPr="00A62FBD">
              <w:rPr>
                <w:rFonts w:ascii="Cambria" w:hAnsi="Cambria" w:cs="Calibri"/>
              </w:rPr>
              <w:t xml:space="preserve"> </w:t>
            </w:r>
            <w:proofErr w:type="spellStart"/>
            <w:r w:rsidRPr="00A62FBD">
              <w:rPr>
                <w:rFonts w:ascii="Cambria" w:hAnsi="Cambria" w:cs="Calibri"/>
              </w:rPr>
              <w:t>ostaju</w:t>
            </w:r>
            <w:proofErr w:type="spellEnd"/>
            <w:r w:rsidRPr="00A62FBD">
              <w:rPr>
                <w:rFonts w:ascii="Cambria" w:hAnsi="Cambria" w:cs="Calibri"/>
              </w:rPr>
              <w:t xml:space="preserve"> </w:t>
            </w:r>
            <w:proofErr w:type="spellStart"/>
            <w:r w:rsidRPr="00A62FBD">
              <w:rPr>
                <w:rFonts w:ascii="Cambria" w:hAnsi="Cambria" w:cs="Calibri"/>
              </w:rPr>
              <w:t>nepromijenjeni</w:t>
            </w:r>
            <w:proofErr w:type="spellEnd"/>
            <w:r w:rsidRPr="00A62FBD">
              <w:rPr>
                <w:rFonts w:ascii="Cambria" w:hAnsi="Cambria" w:cs="Calibri"/>
              </w:rPr>
              <w:t>.</w:t>
            </w:r>
          </w:p>
        </w:tc>
      </w:tr>
      <w:tr w:rsidR="001E7B89" w:rsidRPr="00D0399C" w14:paraId="53F624C4" w14:textId="77777777" w:rsidTr="008345F3">
        <w:trPr>
          <w:trHeight w:val="770"/>
        </w:trPr>
        <w:tc>
          <w:tcPr>
            <w:tcW w:w="215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1403145" w14:textId="77777777" w:rsidR="001E7B89" w:rsidRPr="00A62FBD" w:rsidRDefault="001E7B89" w:rsidP="001E3DFB">
            <w:pPr>
              <w:spacing w:after="0" w:line="240" w:lineRule="auto"/>
              <w:rPr>
                <w:rFonts w:ascii="Cambria" w:hAnsi="Cambria" w:cs="Calibri"/>
              </w:rPr>
            </w:pPr>
            <w:proofErr w:type="spellStart"/>
            <w:r w:rsidRPr="00A62FBD">
              <w:rPr>
                <w:rFonts w:ascii="Cambria" w:hAnsi="Cambria" w:cs="Calibri"/>
              </w:rPr>
              <w:t>Literatura</w:t>
            </w:r>
            <w:proofErr w:type="spellEnd"/>
          </w:p>
        </w:tc>
        <w:tc>
          <w:tcPr>
            <w:tcW w:w="6898" w:type="dxa"/>
            <w:gridSpan w:val="6"/>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16AEE003" w14:textId="77777777" w:rsidR="001E7B89" w:rsidRPr="00BE601E" w:rsidRDefault="001E7B89" w:rsidP="001E3DFB">
            <w:pPr>
              <w:spacing w:after="0" w:line="240" w:lineRule="auto"/>
              <w:rPr>
                <w:rFonts w:ascii="Cambria" w:hAnsi="Cambria"/>
                <w:bCs/>
                <w:lang w:eastAsia="zh-CN"/>
              </w:rPr>
            </w:pPr>
            <w:proofErr w:type="spellStart"/>
            <w:r w:rsidRPr="00BE601E">
              <w:rPr>
                <w:rFonts w:ascii="Cambria" w:hAnsi="Cambria"/>
                <w:bCs/>
                <w:lang w:eastAsia="zh-CN"/>
              </w:rPr>
              <w:t>Obvezna</w:t>
            </w:r>
            <w:proofErr w:type="spellEnd"/>
            <w:r w:rsidRPr="00BE601E">
              <w:rPr>
                <w:rFonts w:ascii="Cambria" w:hAnsi="Cambria"/>
                <w:bCs/>
                <w:lang w:eastAsia="zh-CN"/>
              </w:rPr>
              <w:t xml:space="preserve">: </w:t>
            </w:r>
          </w:p>
          <w:p w14:paraId="4DD4928E" w14:textId="77777777" w:rsidR="001E7B89" w:rsidRPr="00BE601E" w:rsidRDefault="001E7B89" w:rsidP="00A034E3">
            <w:pPr>
              <w:pStyle w:val="Odlomakpopisa"/>
              <w:numPr>
                <w:ilvl w:val="0"/>
                <w:numId w:val="26"/>
              </w:numPr>
              <w:spacing w:after="0" w:line="240" w:lineRule="auto"/>
              <w:rPr>
                <w:rFonts w:ascii="Cambria" w:hAnsi="Cambria"/>
                <w:bCs/>
                <w:lang w:eastAsia="zh-CN"/>
              </w:rPr>
            </w:pPr>
            <w:proofErr w:type="spellStart"/>
            <w:r w:rsidRPr="00BE601E">
              <w:rPr>
                <w:rFonts w:ascii="Cambria" w:hAnsi="Cambria"/>
                <w:bCs/>
                <w:lang w:eastAsia="zh-CN"/>
              </w:rPr>
              <w:t>Liebeck</w:t>
            </w:r>
            <w:proofErr w:type="spellEnd"/>
            <w:r w:rsidRPr="00BE601E">
              <w:rPr>
                <w:rFonts w:ascii="Cambria" w:hAnsi="Cambria"/>
                <w:bCs/>
                <w:lang w:eastAsia="zh-CN"/>
              </w:rPr>
              <w:t xml:space="preserve">, P. (1985). </w:t>
            </w:r>
            <w:r w:rsidRPr="00BE601E">
              <w:rPr>
                <w:rFonts w:ascii="Cambria" w:hAnsi="Cambria"/>
                <w:bCs/>
                <w:i/>
                <w:lang w:eastAsia="zh-CN"/>
              </w:rPr>
              <w:t xml:space="preserve">Kako djeca uče </w:t>
            </w:r>
            <w:proofErr w:type="spellStart"/>
            <w:r w:rsidRPr="00BE601E">
              <w:rPr>
                <w:rFonts w:ascii="Cambria" w:hAnsi="Cambria"/>
                <w:bCs/>
                <w:i/>
                <w:lang w:eastAsia="zh-CN"/>
              </w:rPr>
              <w:t>matematiku</w:t>
            </w:r>
            <w:r w:rsidRPr="00BE601E">
              <w:rPr>
                <w:rFonts w:ascii="Cambria" w:hAnsi="Cambria"/>
                <w:bCs/>
                <w:lang w:eastAsia="zh-CN"/>
              </w:rPr>
              <w:t>.EDUCA</w:t>
            </w:r>
            <w:proofErr w:type="spellEnd"/>
            <w:r w:rsidRPr="00BE601E">
              <w:rPr>
                <w:rFonts w:ascii="Cambria" w:hAnsi="Cambria"/>
                <w:bCs/>
                <w:lang w:eastAsia="zh-CN"/>
              </w:rPr>
              <w:t xml:space="preserve">. </w:t>
            </w:r>
          </w:p>
          <w:p w14:paraId="6F073128" w14:textId="77777777" w:rsidR="001E7B89" w:rsidRPr="00BE601E" w:rsidRDefault="001E7B89" w:rsidP="00A034E3">
            <w:pPr>
              <w:pStyle w:val="Odlomakpopisa"/>
              <w:numPr>
                <w:ilvl w:val="0"/>
                <w:numId w:val="26"/>
              </w:numPr>
              <w:spacing w:after="0" w:line="240" w:lineRule="auto"/>
              <w:rPr>
                <w:rFonts w:ascii="Cambria" w:hAnsi="Cambria"/>
                <w:bCs/>
                <w:lang w:eastAsia="zh-CN"/>
              </w:rPr>
            </w:pPr>
            <w:r w:rsidRPr="00BE601E">
              <w:rPr>
                <w:rFonts w:ascii="Cambria" w:hAnsi="Cambria"/>
                <w:bCs/>
                <w:lang w:eastAsia="zh-CN"/>
              </w:rPr>
              <w:t xml:space="preserve">Markovac, J. (2001.) </w:t>
            </w:r>
            <w:r w:rsidRPr="00BE601E">
              <w:rPr>
                <w:rFonts w:ascii="Cambria" w:hAnsi="Cambria"/>
                <w:bCs/>
                <w:i/>
                <w:lang w:eastAsia="zh-CN"/>
              </w:rPr>
              <w:t>Metodika početne nastave matematike.</w:t>
            </w:r>
            <w:r w:rsidRPr="00BE601E">
              <w:rPr>
                <w:rFonts w:ascii="Cambria" w:hAnsi="Cambria"/>
                <w:bCs/>
                <w:lang w:eastAsia="zh-CN"/>
              </w:rPr>
              <w:t xml:space="preserve"> Školska knjiga</w:t>
            </w:r>
          </w:p>
          <w:p w14:paraId="48E15328" w14:textId="1F72DE6C" w:rsidR="001E7B89" w:rsidRPr="006F12A5" w:rsidRDefault="001E7B89" w:rsidP="00A034E3">
            <w:pPr>
              <w:pStyle w:val="Odlomakpopisa"/>
              <w:numPr>
                <w:ilvl w:val="0"/>
                <w:numId w:val="26"/>
              </w:numPr>
              <w:spacing w:after="0" w:line="240" w:lineRule="auto"/>
              <w:rPr>
                <w:rFonts w:ascii="Cambria" w:hAnsi="Cambria"/>
                <w:bCs/>
                <w:lang w:eastAsia="zh-CN"/>
              </w:rPr>
            </w:pPr>
            <w:proofErr w:type="spellStart"/>
            <w:r w:rsidRPr="00BE601E">
              <w:rPr>
                <w:rFonts w:ascii="Cambria" w:hAnsi="Cambria"/>
                <w:bCs/>
                <w:lang w:eastAsia="zh-CN"/>
              </w:rPr>
              <w:t>Polya</w:t>
            </w:r>
            <w:proofErr w:type="spellEnd"/>
            <w:r w:rsidRPr="00BE601E">
              <w:rPr>
                <w:rFonts w:ascii="Cambria" w:hAnsi="Cambria"/>
                <w:bCs/>
                <w:lang w:eastAsia="zh-CN"/>
              </w:rPr>
              <w:t xml:space="preserve">, G. (1984.) </w:t>
            </w:r>
            <w:r w:rsidRPr="00BE601E">
              <w:rPr>
                <w:rFonts w:ascii="Cambria" w:hAnsi="Cambria"/>
                <w:bCs/>
                <w:i/>
                <w:lang w:eastAsia="zh-CN"/>
              </w:rPr>
              <w:t>Kako ću riješiti matematički zadatak.</w:t>
            </w:r>
            <w:r w:rsidRPr="00BE601E">
              <w:rPr>
                <w:rFonts w:ascii="Cambria" w:hAnsi="Cambria"/>
                <w:bCs/>
                <w:lang w:eastAsia="zh-CN"/>
              </w:rPr>
              <w:t xml:space="preserve"> Školska knjiga.</w:t>
            </w:r>
          </w:p>
          <w:p w14:paraId="073FFF4D" w14:textId="77777777" w:rsidR="001E7B89" w:rsidRPr="00BE601E" w:rsidRDefault="001E7B89" w:rsidP="001E3DFB">
            <w:pPr>
              <w:spacing w:after="0" w:line="240" w:lineRule="auto"/>
              <w:rPr>
                <w:rFonts w:ascii="Cambria" w:hAnsi="Cambria"/>
                <w:bCs/>
                <w:lang w:eastAsia="zh-CN"/>
              </w:rPr>
            </w:pPr>
            <w:proofErr w:type="spellStart"/>
            <w:r w:rsidRPr="00BE601E">
              <w:rPr>
                <w:rFonts w:ascii="Cambria" w:hAnsi="Cambria"/>
                <w:bCs/>
                <w:lang w:eastAsia="zh-CN"/>
              </w:rPr>
              <w:t>Priručna</w:t>
            </w:r>
            <w:proofErr w:type="spellEnd"/>
            <w:r w:rsidRPr="00BE601E">
              <w:rPr>
                <w:rFonts w:ascii="Cambria" w:hAnsi="Cambria"/>
                <w:bCs/>
                <w:lang w:eastAsia="zh-CN"/>
              </w:rPr>
              <w:t>:</w:t>
            </w:r>
          </w:p>
          <w:p w14:paraId="3D31E851" w14:textId="14F26574" w:rsidR="001E7B89" w:rsidRPr="00BE601E" w:rsidRDefault="001E7B89" w:rsidP="00A034E3">
            <w:pPr>
              <w:pStyle w:val="Odlomakpopisa"/>
              <w:numPr>
                <w:ilvl w:val="0"/>
                <w:numId w:val="28"/>
              </w:numPr>
              <w:spacing w:after="0" w:line="240" w:lineRule="auto"/>
              <w:rPr>
                <w:rFonts w:ascii="Cambria" w:hAnsi="Cambria"/>
                <w:bCs/>
                <w:lang w:eastAsia="zh-CN"/>
              </w:rPr>
            </w:pPr>
            <w:r w:rsidRPr="00BE601E">
              <w:rPr>
                <w:rFonts w:ascii="Cambria" w:hAnsi="Cambria"/>
                <w:bCs/>
                <w:lang w:eastAsia="zh-CN"/>
              </w:rPr>
              <w:t xml:space="preserve">Kurikulum nastavnog predmeta Matematika </w:t>
            </w:r>
            <w:hyperlink r:id="rId144" w:history="1">
              <w:r w:rsidR="001E3DFB" w:rsidRPr="00965A9F">
                <w:rPr>
                  <w:rStyle w:val="Hiperveza"/>
                  <w:rFonts w:ascii="Cambria" w:hAnsi="Cambria"/>
                  <w:bCs/>
                </w:rPr>
                <w:t>https://mzo.gov.hr/istaknute-teme/odgoj-i-obrazovanje/nacionalni-kurikulum/predmetni-kurikulumi/539</w:t>
              </w:r>
            </w:hyperlink>
          </w:p>
          <w:p w14:paraId="3EAA3FDF" w14:textId="77777777" w:rsidR="001E7B89" w:rsidRDefault="001E7B89" w:rsidP="00A034E3">
            <w:pPr>
              <w:pStyle w:val="Odlomakpopisa"/>
              <w:numPr>
                <w:ilvl w:val="0"/>
                <w:numId w:val="28"/>
              </w:numPr>
              <w:spacing w:after="0" w:line="240" w:lineRule="auto"/>
              <w:rPr>
                <w:rFonts w:ascii="Cambria" w:hAnsi="Cambria"/>
                <w:bCs/>
                <w:lang w:eastAsia="zh-CN"/>
              </w:rPr>
            </w:pPr>
            <w:r w:rsidRPr="00BE601E">
              <w:rPr>
                <w:rFonts w:ascii="Cambria" w:hAnsi="Cambria"/>
                <w:bCs/>
                <w:lang w:eastAsia="zh-CN"/>
              </w:rPr>
              <w:t xml:space="preserve">Aktualni udžbenici iz matematike i pripadajući radni materijal za učenike od 1.do 4.razreda osnovne škole </w:t>
            </w:r>
          </w:p>
          <w:p w14:paraId="3C965B23" w14:textId="64BFD9F1" w:rsidR="001E7B89" w:rsidRPr="006F12A5" w:rsidRDefault="001E7B89" w:rsidP="00A034E3">
            <w:pPr>
              <w:pStyle w:val="Odlomakpopisa"/>
              <w:numPr>
                <w:ilvl w:val="0"/>
                <w:numId w:val="28"/>
              </w:numPr>
              <w:suppressAutoHyphens/>
              <w:spacing w:after="0" w:line="240" w:lineRule="auto"/>
              <w:rPr>
                <w:rFonts w:ascii="Cambria" w:hAnsi="Cambria"/>
                <w:bCs/>
                <w:lang w:eastAsia="zh-CN"/>
              </w:rPr>
            </w:pPr>
            <w:proofErr w:type="spellStart"/>
            <w:r>
              <w:rPr>
                <w:rFonts w:ascii="Cambria" w:hAnsi="Cambria"/>
                <w:bCs/>
                <w:lang w:eastAsia="zh-CN"/>
              </w:rPr>
              <w:lastRenderedPageBreak/>
              <w:t>Kurikulumi</w:t>
            </w:r>
            <w:proofErr w:type="spellEnd"/>
            <w:r>
              <w:rPr>
                <w:rFonts w:ascii="Cambria" w:hAnsi="Cambria"/>
                <w:bCs/>
                <w:lang w:eastAsia="zh-CN"/>
              </w:rPr>
              <w:t xml:space="preserve"> </w:t>
            </w:r>
            <w:proofErr w:type="spellStart"/>
            <w:r>
              <w:rPr>
                <w:rFonts w:ascii="Cambria" w:hAnsi="Cambria"/>
                <w:bCs/>
                <w:lang w:eastAsia="zh-CN"/>
              </w:rPr>
              <w:t>međupredmetnih</w:t>
            </w:r>
            <w:proofErr w:type="spellEnd"/>
            <w:r>
              <w:rPr>
                <w:rFonts w:ascii="Cambria" w:hAnsi="Cambria"/>
                <w:bCs/>
                <w:lang w:eastAsia="zh-CN"/>
              </w:rPr>
              <w:t xml:space="preserve"> tema </w:t>
            </w:r>
            <w:hyperlink r:id="rId145" w:history="1">
              <w:r w:rsidRPr="00D85BC0">
                <w:rPr>
                  <w:rStyle w:val="Hiperveza"/>
                  <w:rFonts w:ascii="Cambria" w:hAnsi="Cambria"/>
                  <w:bCs/>
                  <w:lang w:eastAsia="zh-CN"/>
                </w:rPr>
                <w:t>https://mzo.gov.hr/istaknute-teme/odgoj-i-obrazovanje/nacionalni-kurikulum/medjupredmetne-teme/3852</w:t>
              </w:r>
            </w:hyperlink>
          </w:p>
          <w:p w14:paraId="6F332754" w14:textId="77777777" w:rsidR="001E7B89" w:rsidRPr="00BE601E" w:rsidRDefault="001E7B89" w:rsidP="001E3DFB">
            <w:pPr>
              <w:spacing w:after="0" w:line="240" w:lineRule="auto"/>
              <w:rPr>
                <w:rFonts w:ascii="Cambria" w:hAnsi="Cambria"/>
                <w:bCs/>
                <w:lang w:eastAsia="zh-CN"/>
              </w:rPr>
            </w:pPr>
            <w:proofErr w:type="spellStart"/>
            <w:r w:rsidRPr="00BE601E">
              <w:rPr>
                <w:rFonts w:ascii="Cambria" w:hAnsi="Cambria"/>
                <w:bCs/>
                <w:lang w:eastAsia="zh-CN"/>
              </w:rPr>
              <w:t>Izborna</w:t>
            </w:r>
            <w:proofErr w:type="spellEnd"/>
            <w:r w:rsidRPr="00BE601E">
              <w:rPr>
                <w:rFonts w:ascii="Cambria" w:hAnsi="Cambria"/>
                <w:bCs/>
                <w:lang w:eastAsia="zh-CN"/>
              </w:rPr>
              <w:t>:</w:t>
            </w:r>
          </w:p>
          <w:p w14:paraId="1878A4A6" w14:textId="77777777" w:rsidR="001E7B89" w:rsidRPr="00373FA7" w:rsidRDefault="001E7B89" w:rsidP="00A034E3">
            <w:pPr>
              <w:pStyle w:val="Odlomakpopisa"/>
              <w:numPr>
                <w:ilvl w:val="0"/>
                <w:numId w:val="69"/>
              </w:numPr>
              <w:suppressAutoHyphens/>
              <w:spacing w:after="0" w:line="240" w:lineRule="auto"/>
              <w:rPr>
                <w:rFonts w:ascii="Cambria" w:hAnsi="Cambria"/>
                <w:bCs/>
                <w:noProof/>
                <w:lang w:eastAsia="zh-CN"/>
              </w:rPr>
            </w:pPr>
            <w:proofErr w:type="spellStart"/>
            <w:r w:rsidRPr="00373FA7">
              <w:rPr>
                <w:rFonts w:ascii="Cambria" w:hAnsi="Cambria"/>
                <w:bCs/>
                <w:lang w:eastAsia="zh-CN"/>
              </w:rPr>
              <w:t>Cotič</w:t>
            </w:r>
            <w:proofErr w:type="spellEnd"/>
            <w:r w:rsidRPr="00373FA7">
              <w:rPr>
                <w:rFonts w:ascii="Cambria" w:hAnsi="Cambria"/>
                <w:bCs/>
                <w:lang w:eastAsia="zh-CN"/>
              </w:rPr>
              <w:t xml:space="preserve">, M. i </w:t>
            </w:r>
            <w:proofErr w:type="spellStart"/>
            <w:r w:rsidRPr="00373FA7">
              <w:rPr>
                <w:rFonts w:ascii="Cambria" w:hAnsi="Cambria"/>
                <w:bCs/>
                <w:lang w:eastAsia="zh-CN"/>
              </w:rPr>
              <w:t>Felda</w:t>
            </w:r>
            <w:proofErr w:type="spellEnd"/>
            <w:r w:rsidRPr="00373FA7">
              <w:rPr>
                <w:rFonts w:ascii="Cambria" w:hAnsi="Cambria"/>
                <w:bCs/>
                <w:lang w:eastAsia="zh-CN"/>
              </w:rPr>
              <w:t>, D. (2011).</w:t>
            </w:r>
            <w:r>
              <w:t xml:space="preserve"> </w:t>
            </w:r>
            <w:r w:rsidRPr="00373FA7">
              <w:rPr>
                <w:rFonts w:ascii="Cambria" w:hAnsi="Cambria"/>
                <w:bCs/>
                <w:i/>
                <w:lang w:eastAsia="zh-CN"/>
              </w:rPr>
              <w:t>Rješavanje realističkih problema kod početne nastave matematike.</w:t>
            </w:r>
            <w:r>
              <w:t xml:space="preserve"> </w:t>
            </w:r>
            <w:r w:rsidRPr="00373FA7">
              <w:rPr>
                <w:i/>
                <w:iCs/>
              </w:rPr>
              <w:t>Metodički obzori, 6(2011)1</w:t>
            </w:r>
            <w:r>
              <w:t xml:space="preserve"> (11), 49-61. </w:t>
            </w:r>
          </w:p>
          <w:p w14:paraId="675133C4" w14:textId="77777777" w:rsidR="001E7B89" w:rsidRPr="00373FA7" w:rsidRDefault="001E7B89" w:rsidP="00A034E3">
            <w:pPr>
              <w:pStyle w:val="Odlomakpopisa"/>
              <w:numPr>
                <w:ilvl w:val="0"/>
                <w:numId w:val="69"/>
              </w:numPr>
              <w:suppressAutoHyphens/>
              <w:spacing w:after="0" w:line="240" w:lineRule="auto"/>
              <w:rPr>
                <w:rFonts w:ascii="Cambria" w:hAnsi="Cambria"/>
                <w:bCs/>
                <w:noProof/>
                <w:lang w:eastAsia="zh-CN"/>
              </w:rPr>
            </w:pPr>
            <w:r w:rsidRPr="00373FA7">
              <w:rPr>
                <w:rFonts w:ascii="Cambria" w:hAnsi="Cambria"/>
                <w:bCs/>
                <w:lang w:eastAsia="zh-CN"/>
              </w:rPr>
              <w:t xml:space="preserve">Kurnik, Z. (2004). </w:t>
            </w:r>
            <w:r w:rsidRPr="00373FA7">
              <w:rPr>
                <w:rFonts w:ascii="Cambria" w:hAnsi="Cambria"/>
                <w:bCs/>
                <w:i/>
                <w:lang w:eastAsia="zh-CN"/>
              </w:rPr>
              <w:t>Zadatci s više načina rješavanja</w:t>
            </w:r>
            <w:r w:rsidRPr="00373FA7">
              <w:rPr>
                <w:rFonts w:ascii="Cambria" w:hAnsi="Cambria"/>
                <w:bCs/>
                <w:lang w:eastAsia="zh-CN"/>
              </w:rPr>
              <w:t>. Hrvatsko matematičko društvo.</w:t>
            </w:r>
          </w:p>
          <w:p w14:paraId="313BE0A3" w14:textId="77777777" w:rsidR="001E7B89" w:rsidRPr="00373FA7" w:rsidRDefault="001E7B89" w:rsidP="00A034E3">
            <w:pPr>
              <w:pStyle w:val="Odlomakpopisa"/>
              <w:numPr>
                <w:ilvl w:val="0"/>
                <w:numId w:val="69"/>
              </w:numPr>
              <w:suppressAutoHyphens/>
              <w:spacing w:after="0" w:line="240" w:lineRule="auto"/>
              <w:rPr>
                <w:rFonts w:ascii="Cambria" w:hAnsi="Cambria"/>
                <w:bCs/>
                <w:noProof/>
                <w:lang w:eastAsia="zh-CN"/>
              </w:rPr>
            </w:pPr>
            <w:r w:rsidRPr="00373FA7">
              <w:rPr>
                <w:rFonts w:ascii="Cambria" w:hAnsi="Cambria"/>
                <w:bCs/>
                <w:lang w:eastAsia="zh-CN"/>
              </w:rPr>
              <w:t xml:space="preserve">Kurnik, Z. (2010.) </w:t>
            </w:r>
            <w:r w:rsidRPr="00373FA7">
              <w:rPr>
                <w:rFonts w:ascii="Cambria" w:hAnsi="Cambria"/>
                <w:bCs/>
                <w:i/>
                <w:lang w:eastAsia="zh-CN"/>
              </w:rPr>
              <w:t>Posebne metode rješavanja matematičkih problema</w:t>
            </w:r>
            <w:r w:rsidRPr="00373FA7">
              <w:rPr>
                <w:rFonts w:ascii="Cambria" w:hAnsi="Cambria"/>
                <w:bCs/>
                <w:lang w:eastAsia="zh-CN"/>
              </w:rPr>
              <w:t>. Element.</w:t>
            </w:r>
          </w:p>
          <w:p w14:paraId="61259F69" w14:textId="77777777" w:rsidR="001E7B89" w:rsidRPr="00373FA7" w:rsidRDefault="001E7B89" w:rsidP="00A034E3">
            <w:pPr>
              <w:pStyle w:val="Odlomakpopisa"/>
              <w:numPr>
                <w:ilvl w:val="0"/>
                <w:numId w:val="69"/>
              </w:numPr>
              <w:suppressAutoHyphens/>
              <w:spacing w:after="0" w:line="240" w:lineRule="auto"/>
              <w:rPr>
                <w:rFonts w:ascii="Cambria" w:hAnsi="Cambria"/>
                <w:bCs/>
                <w:noProof/>
                <w:lang w:eastAsia="zh-CN"/>
              </w:rPr>
            </w:pPr>
            <w:r w:rsidRPr="00373FA7">
              <w:rPr>
                <w:rFonts w:ascii="Cambria" w:hAnsi="Cambria"/>
                <w:bCs/>
                <w:noProof/>
                <w:lang w:eastAsia="zh-CN"/>
              </w:rPr>
              <w:t>Jurjević Jovanović, I., Rukljač,I., Viher, J. (2020),</w:t>
            </w:r>
            <w:r>
              <w:t xml:space="preserve"> </w:t>
            </w:r>
            <w:r w:rsidRPr="00373FA7">
              <w:rPr>
                <w:rFonts w:ascii="Cambria" w:hAnsi="Cambria"/>
                <w:bCs/>
                <w:i/>
                <w:lang w:eastAsia="zh-CN"/>
              </w:rPr>
              <w:t>Vrednovanje u razrednoj nastavi</w:t>
            </w:r>
            <w:r>
              <w:t xml:space="preserve">, </w:t>
            </w:r>
            <w:r w:rsidRPr="00373FA7">
              <w:rPr>
                <w:rFonts w:ascii="Cambria" w:hAnsi="Cambria"/>
                <w:bCs/>
                <w:noProof/>
                <w:lang w:eastAsia="zh-CN"/>
              </w:rPr>
              <w:t>Školska knjiga.</w:t>
            </w:r>
          </w:p>
          <w:p w14:paraId="7B6162F2" w14:textId="77777777" w:rsidR="001E7B89" w:rsidRPr="00373FA7" w:rsidRDefault="001E7B89" w:rsidP="00A034E3">
            <w:pPr>
              <w:pStyle w:val="Odlomakpopisa"/>
              <w:numPr>
                <w:ilvl w:val="0"/>
                <w:numId w:val="69"/>
              </w:numPr>
              <w:suppressAutoHyphens/>
              <w:spacing w:after="0" w:line="240" w:lineRule="auto"/>
              <w:rPr>
                <w:rFonts w:ascii="Cambria" w:hAnsi="Cambria"/>
                <w:bCs/>
                <w:noProof/>
                <w:lang w:eastAsia="zh-CN"/>
              </w:rPr>
            </w:pPr>
            <w:r w:rsidRPr="00373FA7">
              <w:rPr>
                <w:rFonts w:ascii="Cambria" w:hAnsi="Cambria"/>
                <w:bCs/>
                <w:noProof/>
                <w:lang w:eastAsia="zh-CN"/>
              </w:rPr>
              <w:t xml:space="preserve">Pavleković, M. (2009.) </w:t>
            </w:r>
            <w:r w:rsidRPr="00373FA7">
              <w:rPr>
                <w:rFonts w:ascii="Cambria" w:hAnsi="Cambria"/>
                <w:bCs/>
                <w:i/>
                <w:noProof/>
                <w:lang w:eastAsia="zh-CN"/>
              </w:rPr>
              <w:t>Matematika i nadareni učenici – Razvoj kurikula na učiteljskim studijima za prepoznavanje, izobrazbu i podršku darovitih učenika</w:t>
            </w:r>
            <w:r w:rsidRPr="00373FA7">
              <w:rPr>
                <w:rFonts w:ascii="Cambria" w:hAnsi="Cambria"/>
                <w:bCs/>
                <w:noProof/>
                <w:lang w:eastAsia="zh-CN"/>
              </w:rPr>
              <w:t>. Element.</w:t>
            </w:r>
          </w:p>
          <w:p w14:paraId="621DDC04" w14:textId="77777777" w:rsidR="001E7B89" w:rsidRPr="00373FA7" w:rsidRDefault="001E7B89" w:rsidP="00A034E3">
            <w:pPr>
              <w:pStyle w:val="Odlomakpopisa"/>
              <w:numPr>
                <w:ilvl w:val="0"/>
                <w:numId w:val="69"/>
              </w:numPr>
              <w:spacing w:after="0" w:line="240" w:lineRule="auto"/>
              <w:rPr>
                <w:rFonts w:ascii="Cambria" w:hAnsi="Cambria"/>
                <w:bCs/>
                <w:noProof/>
                <w:lang w:eastAsia="zh-CN"/>
              </w:rPr>
            </w:pPr>
            <w:r w:rsidRPr="00373FA7">
              <w:rPr>
                <w:rFonts w:ascii="Cambria" w:hAnsi="Cambria"/>
                <w:bCs/>
                <w:noProof/>
                <w:lang w:eastAsia="zh-CN"/>
              </w:rPr>
              <w:t xml:space="preserve">Sharma, M. (2001). </w:t>
            </w:r>
            <w:r w:rsidRPr="00373FA7">
              <w:rPr>
                <w:rFonts w:ascii="Cambria" w:hAnsi="Cambria"/>
                <w:bCs/>
                <w:i/>
                <w:noProof/>
                <w:lang w:eastAsia="zh-CN"/>
              </w:rPr>
              <w:t>Matematika bez suza – kako pomoći djetetu s teškoćama u učenju matematike</w:t>
            </w:r>
            <w:r w:rsidRPr="00373FA7">
              <w:rPr>
                <w:rFonts w:ascii="Cambria" w:hAnsi="Cambria"/>
                <w:bCs/>
                <w:noProof/>
                <w:lang w:eastAsia="zh-CN"/>
              </w:rPr>
              <w:t>. Ostvarenje</w:t>
            </w:r>
          </w:p>
          <w:p w14:paraId="2E8E7A45" w14:textId="77777777" w:rsidR="001E7B89" w:rsidRPr="00373FA7" w:rsidRDefault="001E7B89" w:rsidP="00A034E3">
            <w:pPr>
              <w:pStyle w:val="Odlomakpopisa"/>
              <w:numPr>
                <w:ilvl w:val="0"/>
                <w:numId w:val="69"/>
              </w:numPr>
              <w:spacing w:after="0" w:line="240" w:lineRule="auto"/>
              <w:rPr>
                <w:rFonts w:ascii="Cambria" w:hAnsi="Cambria"/>
                <w:bCs/>
                <w:noProof/>
                <w:lang w:eastAsia="zh-CN"/>
              </w:rPr>
            </w:pPr>
            <w:r w:rsidRPr="00373FA7">
              <w:rPr>
                <w:rFonts w:ascii="Cambria" w:hAnsi="Cambria"/>
                <w:bCs/>
                <w:noProof/>
                <w:lang w:eastAsia="zh-CN"/>
              </w:rPr>
              <w:t xml:space="preserve">Šporer, Z. (1990.) </w:t>
            </w:r>
            <w:r w:rsidRPr="00373FA7">
              <w:rPr>
                <w:rFonts w:ascii="Cambria" w:hAnsi="Cambria"/>
                <w:bCs/>
                <w:i/>
                <w:noProof/>
                <w:lang w:eastAsia="zh-CN"/>
              </w:rPr>
              <w:t>Brbljanje o geometriji</w:t>
            </w:r>
            <w:r w:rsidRPr="00373FA7">
              <w:rPr>
                <w:rFonts w:ascii="Cambria" w:hAnsi="Cambria"/>
                <w:bCs/>
                <w:noProof/>
                <w:lang w:eastAsia="zh-CN"/>
              </w:rPr>
              <w:t>. Školska knjiga.</w:t>
            </w:r>
          </w:p>
          <w:p w14:paraId="2AF5635D" w14:textId="77777777" w:rsidR="001E7B89" w:rsidRPr="00373FA7" w:rsidRDefault="001E7B89" w:rsidP="00A034E3">
            <w:pPr>
              <w:pStyle w:val="Odlomakpopisa"/>
              <w:numPr>
                <w:ilvl w:val="0"/>
                <w:numId w:val="69"/>
              </w:numPr>
              <w:spacing w:after="0" w:line="240" w:lineRule="auto"/>
              <w:rPr>
                <w:rFonts w:ascii="Cambria" w:hAnsi="Cambria"/>
                <w:bCs/>
                <w:lang w:eastAsia="zh-CN"/>
              </w:rPr>
            </w:pPr>
            <w:r w:rsidRPr="00373FA7">
              <w:rPr>
                <w:rFonts w:ascii="Cambria" w:hAnsi="Cambria"/>
                <w:bCs/>
                <w:noProof/>
                <w:lang w:eastAsia="zh-CN"/>
              </w:rPr>
              <w:t>Vlahović</w:t>
            </w:r>
            <w:r w:rsidRPr="00373FA7">
              <w:rPr>
                <w:rFonts w:ascii="Cambria" w:hAnsi="Cambria"/>
                <w:bCs/>
                <w:lang w:eastAsia="zh-CN"/>
              </w:rPr>
              <w:t>-</w:t>
            </w:r>
            <w:proofErr w:type="spellStart"/>
            <w:r w:rsidRPr="00373FA7">
              <w:rPr>
                <w:rFonts w:ascii="Cambria" w:hAnsi="Cambria"/>
                <w:bCs/>
                <w:lang w:eastAsia="zh-CN"/>
              </w:rPr>
              <w:t>Štetić</w:t>
            </w:r>
            <w:proofErr w:type="spellEnd"/>
            <w:r w:rsidRPr="00373FA7">
              <w:rPr>
                <w:rFonts w:ascii="Cambria" w:hAnsi="Cambria"/>
                <w:bCs/>
                <w:lang w:eastAsia="zh-CN"/>
              </w:rPr>
              <w:t xml:space="preserve">, V.(1995), </w:t>
            </w:r>
            <w:r w:rsidRPr="00373FA7">
              <w:rPr>
                <w:rFonts w:ascii="Cambria" w:hAnsi="Cambria"/>
                <w:bCs/>
                <w:i/>
                <w:lang w:eastAsia="zh-CN"/>
              </w:rPr>
              <w:t>Kladim se da možeš... : psihološki aspekti početnog poučavanja matematike.</w:t>
            </w:r>
            <w:r w:rsidRPr="00373FA7">
              <w:rPr>
                <w:rFonts w:ascii="Cambria" w:hAnsi="Cambria"/>
                <w:bCs/>
                <w:lang w:eastAsia="zh-CN"/>
              </w:rPr>
              <w:t xml:space="preserve"> Udruga roditelja "Korak po korak".</w:t>
            </w:r>
          </w:p>
          <w:p w14:paraId="22F1A667" w14:textId="77777777" w:rsidR="001E7B89" w:rsidRPr="00373FA7" w:rsidRDefault="001E7B89" w:rsidP="00A034E3">
            <w:pPr>
              <w:pStyle w:val="Odlomakpopisa"/>
              <w:numPr>
                <w:ilvl w:val="0"/>
                <w:numId w:val="69"/>
              </w:numPr>
              <w:spacing w:after="0" w:line="240" w:lineRule="auto"/>
              <w:rPr>
                <w:rFonts w:ascii="Cambria" w:hAnsi="Cambria"/>
                <w:bCs/>
                <w:lang w:eastAsia="zh-CN"/>
              </w:rPr>
            </w:pPr>
            <w:r w:rsidRPr="00373FA7">
              <w:rPr>
                <w:rFonts w:ascii="Cambria" w:hAnsi="Cambria"/>
                <w:bCs/>
                <w:lang w:eastAsia="zh-CN"/>
              </w:rPr>
              <w:t xml:space="preserve">MATKA </w:t>
            </w:r>
            <w:r w:rsidRPr="00373FA7">
              <w:rPr>
                <w:rFonts w:ascii="Cambria" w:hAnsi="Cambria"/>
                <w:bCs/>
                <w:i/>
                <w:lang w:eastAsia="zh-CN"/>
              </w:rPr>
              <w:t>- Časopis za mlade matematičare</w:t>
            </w:r>
            <w:r w:rsidRPr="00373FA7">
              <w:rPr>
                <w:rFonts w:ascii="Cambria" w:hAnsi="Cambria"/>
                <w:bCs/>
                <w:lang w:eastAsia="zh-CN"/>
              </w:rPr>
              <w:t>. Hrvatsko matematičko društvo.</w:t>
            </w:r>
          </w:p>
          <w:p w14:paraId="2B897910" w14:textId="607F8328" w:rsidR="001E7B89" w:rsidRPr="00373FA7" w:rsidRDefault="001E7B89" w:rsidP="00A034E3">
            <w:pPr>
              <w:pStyle w:val="Odlomakpopisa"/>
              <w:numPr>
                <w:ilvl w:val="0"/>
                <w:numId w:val="69"/>
              </w:numPr>
              <w:spacing w:after="0" w:line="240" w:lineRule="auto"/>
              <w:rPr>
                <w:rFonts w:ascii="Cambria" w:hAnsi="Cambria" w:cs="Calibri"/>
                <w:bCs/>
                <w:lang w:eastAsia="zh-CN"/>
              </w:rPr>
            </w:pPr>
            <w:proofErr w:type="spellStart"/>
            <w:r w:rsidRPr="00373FA7">
              <w:rPr>
                <w:rFonts w:ascii="Cambria" w:hAnsi="Cambria"/>
                <w:bCs/>
                <w:lang w:eastAsia="zh-CN"/>
              </w:rPr>
              <w:t>MiŠ</w:t>
            </w:r>
            <w:proofErr w:type="spellEnd"/>
            <w:r w:rsidRPr="00373FA7">
              <w:rPr>
                <w:rFonts w:ascii="Cambria" w:hAnsi="Cambria"/>
                <w:bCs/>
                <w:lang w:eastAsia="zh-CN"/>
              </w:rPr>
              <w:t xml:space="preserve"> - Časopis </w:t>
            </w:r>
            <w:r w:rsidRPr="00373FA7">
              <w:rPr>
                <w:rFonts w:ascii="Cambria" w:hAnsi="Cambria"/>
                <w:bCs/>
                <w:i/>
                <w:lang w:eastAsia="zh-CN"/>
              </w:rPr>
              <w:t>Matematika i škola</w:t>
            </w:r>
            <w:r w:rsidRPr="00373FA7">
              <w:rPr>
                <w:rFonts w:ascii="Cambria" w:hAnsi="Cambria"/>
                <w:bCs/>
                <w:lang w:eastAsia="zh-CN"/>
              </w:rPr>
              <w:t xml:space="preserve">, Element. </w:t>
            </w:r>
            <w:r w:rsidR="006F12A5">
              <w:rPr>
                <w:rFonts w:ascii="Cambria" w:hAnsi="Cambria"/>
                <w:bCs/>
                <w:color w:val="0000FF"/>
                <w:u w:val="single"/>
                <w:lang w:eastAsia="zh-CN"/>
              </w:rPr>
              <w:t>htt</w:t>
            </w:r>
            <w:r w:rsidRPr="00373FA7">
              <w:rPr>
                <w:rFonts w:ascii="Cambria" w:hAnsi="Cambria"/>
                <w:bCs/>
                <w:color w:val="0000FF"/>
                <w:u w:val="single"/>
                <w:lang w:eastAsia="zh-CN"/>
              </w:rPr>
              <w:t>p://mis.element.hr</w:t>
            </w:r>
          </w:p>
        </w:tc>
      </w:tr>
    </w:tbl>
    <w:p w14:paraId="24ED57C2" w14:textId="77777777" w:rsidR="001E7B89" w:rsidRPr="001E7B89" w:rsidRDefault="001E7B89" w:rsidP="001E7B89">
      <w:pPr>
        <w:rPr>
          <w:lang w:val="it-IT"/>
        </w:rPr>
      </w:pPr>
    </w:p>
    <w:p w14:paraId="51914FE0" w14:textId="2332CC17" w:rsidR="00573C31" w:rsidRPr="00830554" w:rsidRDefault="001E7B89" w:rsidP="00830554">
      <w:pPr>
        <w:rPr>
          <w:rFonts w:ascii="Cambria" w:hAnsi="Cambria"/>
          <w:lang w:val="it-IT"/>
        </w:rPr>
      </w:pPr>
      <w:r>
        <w:rPr>
          <w:rFonts w:ascii="Cambria" w:hAnsi="Cambria"/>
          <w:lang w:val="it-IT"/>
        </w:rPr>
        <w:br w:type="page"/>
      </w:r>
    </w:p>
    <w:tbl>
      <w:tblPr>
        <w:tblW w:w="5000" w:type="pct"/>
        <w:tblLayout w:type="fixed"/>
        <w:tblCellMar>
          <w:left w:w="0" w:type="dxa"/>
          <w:right w:w="0" w:type="dxa"/>
        </w:tblCellMar>
        <w:tblLook w:val="0600" w:firstRow="0" w:lastRow="0" w:firstColumn="0" w:lastColumn="0" w:noHBand="1" w:noVBand="1"/>
      </w:tblPr>
      <w:tblGrid>
        <w:gridCol w:w="2886"/>
        <w:gridCol w:w="2596"/>
        <w:gridCol w:w="105"/>
        <w:gridCol w:w="1167"/>
        <w:gridCol w:w="297"/>
        <w:gridCol w:w="470"/>
        <w:gridCol w:w="1085"/>
        <w:gridCol w:w="1414"/>
      </w:tblGrid>
      <w:tr w:rsidR="003A42BE" w:rsidRPr="00DF4CE5" w14:paraId="137954BE" w14:textId="77777777" w:rsidTr="000F1A10">
        <w:tc>
          <w:tcPr>
            <w:tcW w:w="10020"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CDFDEF5" w14:textId="77777777" w:rsidR="003A42BE" w:rsidRPr="00DF4CE5" w:rsidRDefault="003A42BE" w:rsidP="00A12846">
            <w:pPr>
              <w:spacing w:after="0" w:line="240" w:lineRule="atLeast"/>
              <w:jc w:val="right"/>
              <w:rPr>
                <w:rFonts w:ascii="Cambria" w:eastAsia="Times New Roman" w:hAnsi="Cambria" w:cs="Calibri"/>
                <w:b/>
                <w:lang w:val="hr-HR"/>
              </w:rPr>
            </w:pPr>
            <w:r w:rsidRPr="00DF4CE5">
              <w:rPr>
                <w:rFonts w:ascii="Cambria" w:eastAsia="Times New Roman" w:hAnsi="Cambria" w:cs="Calibri"/>
                <w:b/>
                <w:lang w:val="hr-HR"/>
              </w:rPr>
              <w:lastRenderedPageBreak/>
              <w:t>IZVEDBENI PLAN NASTAVE KOLEGIJA</w:t>
            </w:r>
          </w:p>
        </w:tc>
      </w:tr>
      <w:tr w:rsidR="003A42BE" w:rsidRPr="00D0399C" w14:paraId="270AA946" w14:textId="77777777" w:rsidTr="000F1A10">
        <w:trPr>
          <w:trHeight w:val="508"/>
        </w:trPr>
        <w:tc>
          <w:tcPr>
            <w:tcW w:w="288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0B4BA8A" w14:textId="77777777" w:rsidR="003A42BE" w:rsidRPr="00DF4CE5" w:rsidRDefault="003A42BE" w:rsidP="008B34AF">
            <w:pPr>
              <w:spacing w:after="0" w:line="240" w:lineRule="atLeast"/>
              <w:jc w:val="both"/>
              <w:rPr>
                <w:rFonts w:ascii="Cambria" w:eastAsia="Times New Roman" w:hAnsi="Cambria" w:cs="Calibri"/>
                <w:lang w:val="hr-HR"/>
              </w:rPr>
            </w:pPr>
            <w:r w:rsidRPr="00DF4CE5">
              <w:rPr>
                <w:rFonts w:ascii="Cambria" w:eastAsia="Times New Roman" w:hAnsi="Cambria" w:cs="Calibri"/>
                <w:lang w:val="hr-HR"/>
              </w:rPr>
              <w:t>Kod i naziv kolegija</w:t>
            </w:r>
          </w:p>
        </w:tc>
        <w:tc>
          <w:tcPr>
            <w:tcW w:w="713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0651ED8" w14:textId="77777777" w:rsidR="003A42BE" w:rsidRPr="00DF4CE5" w:rsidRDefault="003A42BE" w:rsidP="008B34AF">
            <w:pPr>
              <w:spacing w:after="0" w:line="240" w:lineRule="atLeast"/>
              <w:jc w:val="both"/>
              <w:rPr>
                <w:rFonts w:ascii="Cambria" w:eastAsia="Times New Roman" w:hAnsi="Cambria" w:cs="Calibri"/>
                <w:lang w:val="hr-HR"/>
              </w:rPr>
            </w:pPr>
            <w:r w:rsidRPr="00DF4CE5">
              <w:rPr>
                <w:rFonts w:ascii="Cambria" w:eastAsia="Times New Roman" w:hAnsi="Cambria" w:cs="Calibri"/>
                <w:lang w:val="hr-HR"/>
              </w:rPr>
              <w:t>156758</w:t>
            </w:r>
          </w:p>
          <w:p w14:paraId="625D0EB9" w14:textId="77A9880F" w:rsidR="003A42BE" w:rsidRPr="00DF4CE5" w:rsidRDefault="00340C27" w:rsidP="008B34AF">
            <w:pPr>
              <w:spacing w:after="0" w:line="240" w:lineRule="atLeast"/>
              <w:jc w:val="both"/>
              <w:rPr>
                <w:rFonts w:ascii="Cambria" w:eastAsia="Times New Roman" w:hAnsi="Cambria" w:cs="Calibri"/>
                <w:lang w:val="hr-HR"/>
              </w:rPr>
            </w:pPr>
            <w:r w:rsidRPr="00DF4CE5">
              <w:rPr>
                <w:rFonts w:ascii="Cambria" w:eastAsia="Times New Roman" w:hAnsi="Cambria" w:cs="Calibri"/>
                <w:lang w:val="hr-HR"/>
              </w:rPr>
              <w:t>Metodika nastave prirode i društva</w:t>
            </w:r>
            <w:r w:rsidR="003A42BE" w:rsidRPr="00DF4CE5">
              <w:rPr>
                <w:rFonts w:ascii="Cambria" w:eastAsia="Times New Roman" w:hAnsi="Cambria" w:cs="Calibri"/>
                <w:lang w:val="hr-HR"/>
              </w:rPr>
              <w:t xml:space="preserve"> I</w:t>
            </w:r>
          </w:p>
        </w:tc>
      </w:tr>
      <w:tr w:rsidR="003A42BE" w:rsidRPr="00D0399C" w14:paraId="256EAB9B" w14:textId="77777777" w:rsidTr="000F1A10">
        <w:trPr>
          <w:trHeight w:val="340"/>
        </w:trPr>
        <w:tc>
          <w:tcPr>
            <w:tcW w:w="288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FCB6768" w14:textId="77777777" w:rsidR="00DB0462" w:rsidRDefault="003A42BE" w:rsidP="008B34AF">
            <w:pPr>
              <w:spacing w:after="0" w:line="240" w:lineRule="atLeast"/>
              <w:jc w:val="both"/>
              <w:rPr>
                <w:rFonts w:ascii="Cambria" w:eastAsia="Times New Roman" w:hAnsi="Cambria" w:cs="Calibri"/>
                <w:lang w:val="hr-HR"/>
              </w:rPr>
            </w:pPr>
            <w:r w:rsidRPr="00DF4CE5">
              <w:rPr>
                <w:rFonts w:ascii="Cambria" w:eastAsia="Times New Roman" w:hAnsi="Cambria" w:cs="Calibri"/>
                <w:lang w:val="hr-HR"/>
              </w:rPr>
              <w:t>Nastavnica</w:t>
            </w:r>
          </w:p>
          <w:p w14:paraId="5F0CA2A4" w14:textId="3BE4F01B" w:rsidR="003A42BE" w:rsidRPr="00DF4CE5" w:rsidRDefault="003A42BE" w:rsidP="008B34AF">
            <w:pPr>
              <w:spacing w:after="0" w:line="240" w:lineRule="atLeast"/>
              <w:jc w:val="both"/>
              <w:rPr>
                <w:rFonts w:ascii="Cambria" w:eastAsia="Times New Roman" w:hAnsi="Cambria" w:cs="Calibri"/>
                <w:lang w:val="hr-HR"/>
              </w:rPr>
            </w:pPr>
          </w:p>
        </w:tc>
        <w:tc>
          <w:tcPr>
            <w:tcW w:w="713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C3CD971" w14:textId="7EB8315C" w:rsidR="00541CA9" w:rsidRPr="00DF4CE5" w:rsidRDefault="006F12A5" w:rsidP="00541CA9">
            <w:pPr>
              <w:keepNext/>
              <w:snapToGrid w:val="0"/>
              <w:spacing w:after="0" w:line="240" w:lineRule="atLeast"/>
              <w:jc w:val="both"/>
              <w:outlineLvl w:val="0"/>
              <w:rPr>
                <w:rFonts w:ascii="Cambria" w:eastAsia="Times New Roman" w:hAnsi="Cambria" w:cs="Calibri"/>
                <w:bCs/>
                <w:color w:val="0000FF"/>
                <w:kern w:val="32"/>
                <w:u w:val="single"/>
                <w:lang w:val="hr-HR" w:eastAsia="hr-HR"/>
              </w:rPr>
            </w:pPr>
            <w:hyperlink r:id="rId146" w:history="1">
              <w:r w:rsidRPr="006F12A5">
                <w:rPr>
                  <w:rStyle w:val="Hiperveza"/>
                  <w:rFonts w:ascii="Cambria" w:eastAsia="Times New Roman" w:hAnsi="Cambria" w:cs="Calibri"/>
                  <w:bCs/>
                  <w:kern w:val="32"/>
                  <w:lang w:val="hr-HR" w:eastAsia="hr-HR"/>
                </w:rPr>
                <w:t>I</w:t>
              </w:r>
              <w:r w:rsidR="00A20E00" w:rsidRPr="006F12A5">
                <w:rPr>
                  <w:rStyle w:val="Hiperveza"/>
                  <w:rFonts w:ascii="Cambria" w:eastAsia="Times New Roman" w:hAnsi="Cambria" w:cs="Calibri"/>
                  <w:bCs/>
                  <w:kern w:val="32"/>
                  <w:lang w:val="hr-HR" w:eastAsia="hr-HR"/>
                </w:rPr>
                <w:t>zv. prof</w:t>
              </w:r>
              <w:r w:rsidR="003A42BE" w:rsidRPr="006F12A5">
                <w:rPr>
                  <w:rStyle w:val="Hiperveza"/>
                  <w:rFonts w:ascii="Cambria" w:eastAsia="Times New Roman" w:hAnsi="Cambria" w:cs="Calibri"/>
                  <w:bCs/>
                  <w:kern w:val="32"/>
                  <w:lang w:val="hr-HR" w:eastAsia="hr-HR"/>
                </w:rPr>
                <w:t>. dr. sc. Ines Kovačić</w:t>
              </w:r>
            </w:hyperlink>
            <w:r>
              <w:rPr>
                <w:rFonts w:ascii="Cambria" w:eastAsia="Times New Roman" w:hAnsi="Cambria" w:cs="Calibri"/>
                <w:bCs/>
                <w:kern w:val="32"/>
                <w:lang w:val="hr-HR" w:eastAsia="hr-HR"/>
              </w:rPr>
              <w:t xml:space="preserve"> </w:t>
            </w:r>
            <w:r>
              <w:rPr>
                <w:rFonts w:ascii="Cambria" w:eastAsia="Times New Roman" w:hAnsi="Cambria" w:cs="Calibri"/>
                <w:lang w:val="hr-HR"/>
              </w:rPr>
              <w:t>(nositeljica)</w:t>
            </w:r>
          </w:p>
        </w:tc>
      </w:tr>
      <w:tr w:rsidR="003A42BE" w:rsidRPr="00D0399C" w14:paraId="699AC297" w14:textId="77777777" w:rsidTr="000F1A10">
        <w:tc>
          <w:tcPr>
            <w:tcW w:w="288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1BA24D7" w14:textId="77777777" w:rsidR="003A42BE" w:rsidRPr="00DF4CE5" w:rsidRDefault="003A42BE" w:rsidP="008B34AF">
            <w:pPr>
              <w:spacing w:after="0" w:line="240" w:lineRule="atLeast"/>
              <w:jc w:val="both"/>
              <w:rPr>
                <w:rFonts w:ascii="Cambria" w:eastAsia="Times New Roman" w:hAnsi="Cambria" w:cs="Calibri"/>
                <w:lang w:val="hr-HR"/>
              </w:rPr>
            </w:pPr>
            <w:r w:rsidRPr="00DF4CE5">
              <w:rPr>
                <w:rFonts w:ascii="Cambria" w:eastAsia="Times New Roman" w:hAnsi="Cambria" w:cs="Calibri"/>
                <w:lang w:val="hr-HR"/>
              </w:rPr>
              <w:t>Studijski program</w:t>
            </w:r>
          </w:p>
        </w:tc>
        <w:tc>
          <w:tcPr>
            <w:tcW w:w="713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D24032D" w14:textId="77777777" w:rsidR="003A42BE" w:rsidRPr="00DF4CE5" w:rsidRDefault="00BE4D96" w:rsidP="008B34AF">
            <w:pPr>
              <w:spacing w:after="0" w:line="240" w:lineRule="atLeast"/>
              <w:jc w:val="both"/>
              <w:rPr>
                <w:rFonts w:ascii="Cambria" w:eastAsia="Times New Roman" w:hAnsi="Cambria" w:cs="Calibri"/>
                <w:lang w:val="hr-HR"/>
              </w:rPr>
            </w:pPr>
            <w:r w:rsidRPr="00DF4CE5">
              <w:rPr>
                <w:rFonts w:ascii="Cambria" w:hAnsi="Cambria"/>
                <w:lang w:val="hr-HR"/>
              </w:rPr>
              <w:t>Sveučilišni integrirani prijediplomski i diplomski Učiteljski studij na hrvatskom jeziku</w:t>
            </w:r>
          </w:p>
        </w:tc>
      </w:tr>
      <w:tr w:rsidR="003A42BE" w:rsidRPr="00DF4CE5" w14:paraId="261B97BB" w14:textId="77777777" w:rsidTr="000F1A10">
        <w:tc>
          <w:tcPr>
            <w:tcW w:w="288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12814C3" w14:textId="77777777" w:rsidR="003A42BE" w:rsidRPr="00DF4CE5" w:rsidRDefault="003A42BE" w:rsidP="008B34AF">
            <w:pPr>
              <w:spacing w:after="0" w:line="240" w:lineRule="atLeast"/>
              <w:jc w:val="both"/>
              <w:rPr>
                <w:rFonts w:ascii="Cambria" w:eastAsia="Times New Roman" w:hAnsi="Cambria" w:cs="Calibri"/>
                <w:lang w:val="hr-HR"/>
              </w:rPr>
            </w:pPr>
            <w:r w:rsidRPr="00DF4CE5">
              <w:rPr>
                <w:rFonts w:ascii="Cambria" w:eastAsia="Times New Roman" w:hAnsi="Cambria" w:cs="Calibri"/>
                <w:lang w:val="hr-HR"/>
              </w:rPr>
              <w:t>Vrsta kolegija</w:t>
            </w:r>
          </w:p>
        </w:tc>
        <w:tc>
          <w:tcPr>
            <w:tcW w:w="259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9B16AFC" w14:textId="77777777" w:rsidR="003A42BE" w:rsidRPr="00DF4CE5" w:rsidRDefault="003A42BE" w:rsidP="008B34AF">
            <w:pPr>
              <w:spacing w:after="0" w:line="240" w:lineRule="atLeast"/>
              <w:jc w:val="both"/>
              <w:rPr>
                <w:rFonts w:ascii="Cambria" w:eastAsia="Times New Roman" w:hAnsi="Cambria" w:cs="Calibri"/>
                <w:lang w:val="hr-HR"/>
              </w:rPr>
            </w:pPr>
            <w:r w:rsidRPr="00DF4CE5">
              <w:rPr>
                <w:rFonts w:ascii="Cambria" w:eastAsia="Times New Roman" w:hAnsi="Cambria" w:cs="Calibri"/>
                <w:lang w:val="hr-HR"/>
              </w:rPr>
              <w:t xml:space="preserve">obvezan </w:t>
            </w:r>
          </w:p>
        </w:tc>
        <w:tc>
          <w:tcPr>
            <w:tcW w:w="1569"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16621FFD" w14:textId="77777777" w:rsidR="003A42BE" w:rsidRPr="00DF4CE5" w:rsidRDefault="003A42BE" w:rsidP="008B34AF">
            <w:pPr>
              <w:spacing w:after="0" w:line="240" w:lineRule="atLeast"/>
              <w:jc w:val="both"/>
              <w:rPr>
                <w:rFonts w:ascii="Cambria" w:eastAsia="Times New Roman" w:hAnsi="Cambria" w:cs="Calibri"/>
                <w:lang w:val="hr-HR"/>
              </w:rPr>
            </w:pPr>
            <w:r w:rsidRPr="00DF4CE5">
              <w:rPr>
                <w:rFonts w:ascii="Cambria" w:eastAsia="Times New Roman" w:hAnsi="Cambria" w:cs="Calibri"/>
                <w:lang w:val="hr-HR"/>
              </w:rPr>
              <w:t>Razina kolegija</w:t>
            </w:r>
          </w:p>
        </w:tc>
        <w:tc>
          <w:tcPr>
            <w:tcW w:w="2969"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D71E99A" w14:textId="77777777" w:rsidR="003A42BE" w:rsidRPr="00DF4CE5" w:rsidRDefault="003A42BE" w:rsidP="008B34AF">
            <w:pPr>
              <w:spacing w:after="0" w:line="240" w:lineRule="atLeast"/>
              <w:jc w:val="both"/>
              <w:rPr>
                <w:rFonts w:ascii="Cambria" w:eastAsia="Times New Roman" w:hAnsi="Cambria" w:cs="Calibri"/>
                <w:lang w:val="hr-HR"/>
              </w:rPr>
            </w:pPr>
            <w:proofErr w:type="spellStart"/>
            <w:r w:rsidRPr="00DF4CE5">
              <w:rPr>
                <w:rFonts w:ascii="Cambria" w:eastAsia="Times New Roman" w:hAnsi="Cambria" w:cs="Calibri"/>
              </w:rPr>
              <w:t>integrirani</w:t>
            </w:r>
            <w:proofErr w:type="spellEnd"/>
          </w:p>
        </w:tc>
      </w:tr>
      <w:tr w:rsidR="003A42BE" w:rsidRPr="00DF4CE5" w14:paraId="5CAF74A7" w14:textId="77777777" w:rsidTr="000F1A10">
        <w:tc>
          <w:tcPr>
            <w:tcW w:w="288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B98B229" w14:textId="77777777" w:rsidR="003A42BE" w:rsidRPr="00DF4CE5" w:rsidRDefault="003A42BE" w:rsidP="008B34AF">
            <w:pPr>
              <w:spacing w:after="0" w:line="240" w:lineRule="atLeast"/>
              <w:jc w:val="both"/>
              <w:rPr>
                <w:rFonts w:ascii="Cambria" w:eastAsia="Times New Roman" w:hAnsi="Cambria" w:cs="Calibri"/>
                <w:lang w:val="hr-HR"/>
              </w:rPr>
            </w:pPr>
            <w:r w:rsidRPr="00DF4CE5">
              <w:rPr>
                <w:rFonts w:ascii="Cambria" w:eastAsia="Times New Roman" w:hAnsi="Cambria" w:cs="Calibri"/>
                <w:lang w:val="hr-HR"/>
              </w:rPr>
              <w:t>Semestar</w:t>
            </w:r>
          </w:p>
        </w:tc>
        <w:tc>
          <w:tcPr>
            <w:tcW w:w="259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BF77E78" w14:textId="77777777" w:rsidR="003A42BE" w:rsidRPr="00DF4CE5" w:rsidRDefault="003A42BE" w:rsidP="008B34AF">
            <w:pPr>
              <w:spacing w:after="0" w:line="240" w:lineRule="atLeast"/>
              <w:jc w:val="both"/>
              <w:rPr>
                <w:rFonts w:ascii="Cambria" w:eastAsia="Times New Roman" w:hAnsi="Cambria" w:cs="Calibri"/>
                <w:lang w:val="hr-HR"/>
              </w:rPr>
            </w:pPr>
            <w:r w:rsidRPr="00DF4CE5">
              <w:rPr>
                <w:rFonts w:ascii="Cambria" w:eastAsia="Times New Roman" w:hAnsi="Cambria" w:cs="Calibri"/>
                <w:lang w:val="hr-HR"/>
              </w:rPr>
              <w:t>ljetni</w:t>
            </w:r>
          </w:p>
        </w:tc>
        <w:tc>
          <w:tcPr>
            <w:tcW w:w="1569"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60BBCEE8" w14:textId="77777777" w:rsidR="003A42BE" w:rsidRPr="00DF4CE5" w:rsidRDefault="003A42BE" w:rsidP="008B34AF">
            <w:pPr>
              <w:spacing w:after="0" w:line="240" w:lineRule="atLeast"/>
              <w:jc w:val="both"/>
              <w:rPr>
                <w:rFonts w:ascii="Cambria" w:eastAsia="Times New Roman" w:hAnsi="Cambria" w:cs="Calibri"/>
                <w:lang w:val="hr-HR"/>
              </w:rPr>
            </w:pPr>
            <w:r w:rsidRPr="00DF4CE5">
              <w:rPr>
                <w:rFonts w:ascii="Cambria" w:eastAsia="Times New Roman" w:hAnsi="Cambria" w:cs="Calibri"/>
                <w:lang w:val="hr-HR"/>
              </w:rPr>
              <w:t>Godina studija</w:t>
            </w:r>
          </w:p>
        </w:tc>
        <w:tc>
          <w:tcPr>
            <w:tcW w:w="2969"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FFD8A4D" w14:textId="77777777" w:rsidR="003A42BE" w:rsidRPr="00DF4CE5" w:rsidRDefault="003A42BE" w:rsidP="008B34AF">
            <w:pPr>
              <w:spacing w:after="0" w:line="240" w:lineRule="atLeast"/>
              <w:jc w:val="both"/>
              <w:rPr>
                <w:rFonts w:ascii="Cambria" w:eastAsia="Times New Roman" w:hAnsi="Cambria" w:cs="Calibri"/>
                <w:lang w:val="hr-HR"/>
              </w:rPr>
            </w:pPr>
            <w:r w:rsidRPr="00DF4CE5">
              <w:rPr>
                <w:rFonts w:ascii="Cambria" w:eastAsia="Times New Roman" w:hAnsi="Cambria" w:cs="Calibri"/>
                <w:lang w:val="hr-HR"/>
              </w:rPr>
              <w:t>IV.</w:t>
            </w:r>
          </w:p>
        </w:tc>
      </w:tr>
      <w:tr w:rsidR="003A42BE" w:rsidRPr="00DF4CE5" w14:paraId="12089CDE" w14:textId="77777777" w:rsidTr="000F1A10">
        <w:tc>
          <w:tcPr>
            <w:tcW w:w="288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21B0BD9" w14:textId="77777777" w:rsidR="003A42BE" w:rsidRPr="00DF4CE5" w:rsidRDefault="003A42BE" w:rsidP="008B34AF">
            <w:pPr>
              <w:spacing w:after="0" w:line="240" w:lineRule="atLeast"/>
              <w:jc w:val="both"/>
              <w:rPr>
                <w:rFonts w:ascii="Cambria" w:eastAsia="Times New Roman" w:hAnsi="Cambria" w:cs="Calibri"/>
                <w:lang w:val="hr-HR"/>
              </w:rPr>
            </w:pPr>
            <w:proofErr w:type="spellStart"/>
            <w:r w:rsidRPr="00DF4CE5">
              <w:rPr>
                <w:rFonts w:ascii="Cambria" w:eastAsia="Times New Roman" w:hAnsi="Cambria" w:cs="Calibri"/>
              </w:rPr>
              <w:t>Mjesto</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izvođenja</w:t>
            </w:r>
            <w:proofErr w:type="spellEnd"/>
          </w:p>
        </w:tc>
        <w:tc>
          <w:tcPr>
            <w:tcW w:w="259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2A27439" w14:textId="28FE01AA" w:rsidR="003A42BE" w:rsidRPr="00DF4CE5" w:rsidRDefault="00DB0462" w:rsidP="008B34AF">
            <w:pPr>
              <w:spacing w:after="0" w:line="240" w:lineRule="atLeast"/>
              <w:jc w:val="both"/>
              <w:rPr>
                <w:rFonts w:ascii="Cambria" w:eastAsia="Times New Roman" w:hAnsi="Cambria" w:cs="Calibri"/>
                <w:lang w:val="hr-HR"/>
              </w:rPr>
            </w:pPr>
            <w:r>
              <w:rPr>
                <w:rFonts w:ascii="Cambria" w:eastAsia="Times New Roman" w:hAnsi="Cambria" w:cs="Calibri"/>
                <w:lang w:val="hr-HR"/>
              </w:rPr>
              <w:t>učionica</w:t>
            </w:r>
          </w:p>
        </w:tc>
        <w:tc>
          <w:tcPr>
            <w:tcW w:w="1569"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5D519A3A" w14:textId="77777777" w:rsidR="003A42BE" w:rsidRPr="00DF4CE5" w:rsidRDefault="003A42BE" w:rsidP="008B34AF">
            <w:pPr>
              <w:spacing w:after="0" w:line="240" w:lineRule="atLeast"/>
              <w:jc w:val="both"/>
              <w:rPr>
                <w:rFonts w:ascii="Cambria" w:eastAsia="Times New Roman" w:hAnsi="Cambria" w:cs="Calibri"/>
                <w:lang w:val="hr-HR"/>
              </w:rPr>
            </w:pPr>
            <w:r w:rsidRPr="00DF4CE5">
              <w:rPr>
                <w:rFonts w:ascii="Cambria" w:eastAsia="Times New Roman" w:hAnsi="Cambria" w:cs="Calibri"/>
              </w:rPr>
              <w:t>Jezik</w:t>
            </w:r>
            <w:r w:rsidRPr="00DF4CE5">
              <w:rPr>
                <w:rFonts w:ascii="Cambria" w:eastAsia="Times New Roman" w:hAnsi="Cambria" w:cs="Calibri"/>
                <w:lang w:val="hr-HR"/>
              </w:rPr>
              <w:t xml:space="preserve"> izvođenja (drugi jezici)</w:t>
            </w:r>
          </w:p>
        </w:tc>
        <w:tc>
          <w:tcPr>
            <w:tcW w:w="2969"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E969616" w14:textId="77777777" w:rsidR="003A42BE" w:rsidRPr="00DF4CE5" w:rsidRDefault="003A42BE" w:rsidP="008B34AF">
            <w:pPr>
              <w:spacing w:after="0" w:line="240" w:lineRule="atLeast"/>
              <w:jc w:val="both"/>
              <w:rPr>
                <w:rFonts w:ascii="Cambria" w:eastAsia="Times New Roman" w:hAnsi="Cambria" w:cs="Calibri"/>
                <w:lang w:val="hr-HR"/>
              </w:rPr>
            </w:pPr>
            <w:r w:rsidRPr="00DF4CE5">
              <w:rPr>
                <w:rFonts w:ascii="Cambria" w:eastAsia="Times New Roman" w:hAnsi="Cambria" w:cs="Calibri"/>
                <w:lang w:val="hr-HR"/>
              </w:rPr>
              <w:t>hrvatski</w:t>
            </w:r>
          </w:p>
        </w:tc>
      </w:tr>
      <w:tr w:rsidR="003A42BE" w:rsidRPr="00DF4CE5" w14:paraId="0A4BBEE7" w14:textId="77777777" w:rsidTr="000F1A10">
        <w:tc>
          <w:tcPr>
            <w:tcW w:w="288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F76A013" w14:textId="77777777" w:rsidR="003A42BE" w:rsidRPr="00DF4CE5" w:rsidRDefault="003A42BE" w:rsidP="008B34AF">
            <w:pPr>
              <w:spacing w:after="0" w:line="240" w:lineRule="atLeast"/>
              <w:jc w:val="both"/>
              <w:rPr>
                <w:rFonts w:ascii="Cambria" w:eastAsia="Times New Roman" w:hAnsi="Cambria" w:cs="Calibri"/>
                <w:lang w:val="hr-HR"/>
              </w:rPr>
            </w:pPr>
            <w:r w:rsidRPr="00DF4CE5">
              <w:rPr>
                <w:rFonts w:ascii="Cambria" w:eastAsia="Times New Roman" w:hAnsi="Cambria" w:cs="Calibri"/>
                <w:lang w:val="hr-HR"/>
              </w:rPr>
              <w:t>Broj ECTS bodova</w:t>
            </w:r>
          </w:p>
        </w:tc>
        <w:tc>
          <w:tcPr>
            <w:tcW w:w="259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4E7F848" w14:textId="77777777" w:rsidR="003A42BE" w:rsidRPr="00DF4CE5" w:rsidRDefault="003A42BE" w:rsidP="008B34AF">
            <w:pPr>
              <w:spacing w:after="0" w:line="240" w:lineRule="atLeast"/>
              <w:jc w:val="both"/>
              <w:rPr>
                <w:rFonts w:ascii="Cambria" w:eastAsia="Times New Roman" w:hAnsi="Cambria" w:cs="Calibri"/>
                <w:lang w:val="hr-HR"/>
              </w:rPr>
            </w:pPr>
            <w:r w:rsidRPr="00DF4CE5">
              <w:rPr>
                <w:rFonts w:ascii="Cambria" w:eastAsia="Times New Roman" w:hAnsi="Cambria" w:cs="Calibri"/>
                <w:lang w:val="hr-HR"/>
              </w:rPr>
              <w:t>5</w:t>
            </w:r>
          </w:p>
        </w:tc>
        <w:tc>
          <w:tcPr>
            <w:tcW w:w="1569"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422CB3E7" w14:textId="77777777" w:rsidR="003A42BE" w:rsidRPr="00DF4CE5" w:rsidRDefault="003A42BE" w:rsidP="008B34AF">
            <w:pPr>
              <w:spacing w:after="0" w:line="240" w:lineRule="atLeast"/>
              <w:jc w:val="both"/>
              <w:rPr>
                <w:rFonts w:ascii="Cambria" w:eastAsia="Times New Roman" w:hAnsi="Cambria" w:cs="Calibri"/>
                <w:lang w:val="hr-HR"/>
              </w:rPr>
            </w:pPr>
            <w:r w:rsidRPr="00DF4CE5">
              <w:rPr>
                <w:rFonts w:ascii="Cambria" w:eastAsia="Times New Roman" w:hAnsi="Cambria" w:cs="Calibri"/>
                <w:lang w:val="hr-HR"/>
              </w:rPr>
              <w:t>Broj sati u semestru</w:t>
            </w:r>
          </w:p>
        </w:tc>
        <w:tc>
          <w:tcPr>
            <w:tcW w:w="2969"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7FE8547" w14:textId="4D3E98DD" w:rsidR="003A42BE" w:rsidRPr="00DF4CE5" w:rsidRDefault="003A42BE" w:rsidP="008B34AF">
            <w:pPr>
              <w:spacing w:after="0" w:line="240" w:lineRule="atLeast"/>
              <w:jc w:val="both"/>
              <w:rPr>
                <w:rFonts w:ascii="Cambria" w:eastAsia="Times New Roman" w:hAnsi="Cambria" w:cs="Calibri"/>
                <w:lang w:val="hr-HR"/>
              </w:rPr>
            </w:pPr>
            <w:r w:rsidRPr="00DF4CE5">
              <w:rPr>
                <w:rFonts w:ascii="Cambria" w:eastAsia="Times New Roman" w:hAnsi="Cambria" w:cs="Calibri"/>
                <w:lang w:val="hr-HR"/>
              </w:rPr>
              <w:t>30P –</w:t>
            </w:r>
            <w:r w:rsidR="00DB0462">
              <w:rPr>
                <w:rFonts w:ascii="Cambria" w:eastAsia="Times New Roman" w:hAnsi="Cambria" w:cs="Calibri"/>
                <w:lang w:val="hr-HR"/>
              </w:rPr>
              <w:t xml:space="preserve"> </w:t>
            </w:r>
            <w:r w:rsidR="00573C31" w:rsidRPr="00DF4CE5">
              <w:rPr>
                <w:rFonts w:ascii="Cambria" w:eastAsia="Times New Roman" w:hAnsi="Cambria" w:cs="Calibri"/>
                <w:lang w:val="hr-HR"/>
              </w:rPr>
              <w:t>0S</w:t>
            </w:r>
            <w:r w:rsidRPr="00DF4CE5">
              <w:rPr>
                <w:rFonts w:ascii="Cambria" w:eastAsia="Times New Roman" w:hAnsi="Cambria" w:cs="Calibri"/>
                <w:lang w:val="hr-HR"/>
              </w:rPr>
              <w:t xml:space="preserve"> – </w:t>
            </w:r>
            <w:r w:rsidR="00573C31" w:rsidRPr="00DF4CE5">
              <w:rPr>
                <w:rFonts w:ascii="Cambria" w:eastAsia="Times New Roman" w:hAnsi="Cambria" w:cs="Calibri"/>
                <w:lang w:val="hr-HR"/>
              </w:rPr>
              <w:t>15V</w:t>
            </w:r>
            <w:r w:rsidRPr="00DF4CE5">
              <w:rPr>
                <w:rFonts w:ascii="Cambria" w:eastAsia="Times New Roman" w:hAnsi="Cambria" w:cs="Calibri"/>
                <w:lang w:val="hr-HR"/>
              </w:rPr>
              <w:t xml:space="preserve">   </w:t>
            </w:r>
          </w:p>
        </w:tc>
      </w:tr>
      <w:tr w:rsidR="003A42BE" w:rsidRPr="00DF4CE5" w14:paraId="76030A2E" w14:textId="77777777" w:rsidTr="000F1A10">
        <w:tc>
          <w:tcPr>
            <w:tcW w:w="288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6E749AF" w14:textId="77777777" w:rsidR="003A42BE" w:rsidRPr="00DF4CE5" w:rsidRDefault="003A42BE" w:rsidP="008B34AF">
            <w:pPr>
              <w:spacing w:after="0" w:line="240" w:lineRule="atLeast"/>
              <w:jc w:val="both"/>
              <w:rPr>
                <w:rFonts w:ascii="Cambria" w:eastAsia="Times New Roman" w:hAnsi="Cambria" w:cs="Calibri"/>
                <w:lang w:val="hr-HR"/>
              </w:rPr>
            </w:pPr>
            <w:r w:rsidRPr="00DF4CE5">
              <w:rPr>
                <w:rFonts w:ascii="Cambria" w:eastAsia="Times New Roman" w:hAnsi="Cambria" w:cs="Calibri"/>
                <w:lang w:val="hr-HR"/>
              </w:rPr>
              <w:t>Preduvjeti za upis i za svladavanje</w:t>
            </w:r>
          </w:p>
        </w:tc>
        <w:tc>
          <w:tcPr>
            <w:tcW w:w="713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2028708" w14:textId="77777777" w:rsidR="003A42BE" w:rsidRPr="00DF4CE5" w:rsidRDefault="003A42BE" w:rsidP="008B34AF">
            <w:pPr>
              <w:spacing w:after="0" w:line="240" w:lineRule="atLeast"/>
              <w:jc w:val="both"/>
              <w:rPr>
                <w:rFonts w:ascii="Cambria" w:eastAsia="Times New Roman" w:hAnsi="Cambria" w:cs="Calibri"/>
                <w:lang w:val="hr-HR"/>
              </w:rPr>
            </w:pPr>
            <w:r w:rsidRPr="00DF4CE5">
              <w:rPr>
                <w:rFonts w:ascii="Cambria" w:eastAsia="Times New Roman" w:hAnsi="Cambria" w:cs="Calibri"/>
                <w:lang w:val="hr-HR"/>
              </w:rPr>
              <w:t>-</w:t>
            </w:r>
          </w:p>
        </w:tc>
      </w:tr>
      <w:tr w:rsidR="003A42BE" w:rsidRPr="00D0399C" w14:paraId="47C0A0DB" w14:textId="77777777" w:rsidTr="000F1A10">
        <w:tc>
          <w:tcPr>
            <w:tcW w:w="288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DAA8377" w14:textId="77777777" w:rsidR="003A42BE" w:rsidRPr="00DF4CE5" w:rsidRDefault="003A42BE" w:rsidP="008B34AF">
            <w:pPr>
              <w:spacing w:after="0" w:line="240" w:lineRule="atLeast"/>
              <w:jc w:val="both"/>
              <w:rPr>
                <w:rFonts w:ascii="Cambria" w:eastAsia="Times New Roman" w:hAnsi="Cambria" w:cs="Calibri"/>
                <w:lang w:val="hr-HR"/>
              </w:rPr>
            </w:pPr>
            <w:proofErr w:type="spellStart"/>
            <w:r w:rsidRPr="00DF4CE5">
              <w:rPr>
                <w:rFonts w:ascii="Cambria" w:eastAsia="Times New Roman" w:hAnsi="Cambria" w:cs="Calibri"/>
              </w:rPr>
              <w:t>Korelativnost</w:t>
            </w:r>
            <w:proofErr w:type="spellEnd"/>
          </w:p>
        </w:tc>
        <w:tc>
          <w:tcPr>
            <w:tcW w:w="713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18256B4" w14:textId="77777777" w:rsidR="003A42BE" w:rsidRPr="00DF4CE5" w:rsidRDefault="003A42BE" w:rsidP="008B34AF">
            <w:pPr>
              <w:spacing w:after="0" w:line="240" w:lineRule="atLeast"/>
              <w:jc w:val="both"/>
              <w:rPr>
                <w:rFonts w:ascii="Cambria" w:eastAsia="Times New Roman" w:hAnsi="Cambria" w:cs="Calibri"/>
                <w:lang w:val="hr-HR"/>
              </w:rPr>
            </w:pPr>
            <w:r w:rsidRPr="00DF4CE5">
              <w:rPr>
                <w:rFonts w:ascii="Cambria" w:eastAsia="Times New Roman" w:hAnsi="Cambria" w:cs="Calibri"/>
                <w:lang w:val="hr-HR"/>
              </w:rPr>
              <w:t>Prirodoslovlje, Osnove ekologije, Geografija, Povijest, Psihologija,</w:t>
            </w:r>
          </w:p>
          <w:p w14:paraId="40451593" w14:textId="77777777" w:rsidR="003A42BE" w:rsidRPr="00DF4CE5" w:rsidRDefault="003A42BE" w:rsidP="008B34AF">
            <w:pPr>
              <w:spacing w:after="0" w:line="240" w:lineRule="atLeast"/>
              <w:jc w:val="both"/>
              <w:rPr>
                <w:rFonts w:ascii="Cambria" w:eastAsia="Times New Roman" w:hAnsi="Cambria" w:cs="Calibri"/>
                <w:lang w:val="hr-HR"/>
              </w:rPr>
            </w:pPr>
            <w:r w:rsidRPr="00DF4CE5">
              <w:rPr>
                <w:rFonts w:ascii="Cambria" w:eastAsia="Times New Roman" w:hAnsi="Cambria" w:cs="Calibri"/>
                <w:lang w:val="hr-HR"/>
              </w:rPr>
              <w:t>Pedagogija, Didaktika, Metodika nastave prirode i društva II,</w:t>
            </w:r>
          </w:p>
          <w:p w14:paraId="35598E9B" w14:textId="77777777" w:rsidR="003A42BE" w:rsidRPr="00DF4CE5" w:rsidRDefault="003A42BE" w:rsidP="008B34AF">
            <w:pPr>
              <w:spacing w:after="0" w:line="240" w:lineRule="atLeast"/>
              <w:jc w:val="both"/>
              <w:rPr>
                <w:rFonts w:ascii="Cambria" w:eastAsia="Times New Roman" w:hAnsi="Cambria" w:cs="Calibri"/>
                <w:lang w:val="hr-HR"/>
              </w:rPr>
            </w:pPr>
            <w:r w:rsidRPr="00DF4CE5">
              <w:rPr>
                <w:rFonts w:ascii="Cambria" w:eastAsia="Times New Roman" w:hAnsi="Cambria" w:cs="Calibri"/>
                <w:lang w:val="hr-HR"/>
              </w:rPr>
              <w:t>Metodika nastave prirode i društva III</w:t>
            </w:r>
          </w:p>
        </w:tc>
      </w:tr>
      <w:tr w:rsidR="003A42BE" w:rsidRPr="00D0399C" w14:paraId="2E396533" w14:textId="77777777" w:rsidTr="000F1A10">
        <w:tc>
          <w:tcPr>
            <w:tcW w:w="288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3E7D583" w14:textId="77777777" w:rsidR="003A42BE" w:rsidRPr="00DF4CE5" w:rsidRDefault="003A42BE" w:rsidP="008B34AF">
            <w:pPr>
              <w:spacing w:after="0" w:line="240" w:lineRule="atLeast"/>
              <w:jc w:val="both"/>
              <w:rPr>
                <w:rFonts w:ascii="Cambria" w:eastAsia="Times New Roman" w:hAnsi="Cambria" w:cs="Calibri"/>
                <w:lang w:val="hr-HR"/>
              </w:rPr>
            </w:pPr>
            <w:r w:rsidRPr="00DF4CE5">
              <w:rPr>
                <w:rFonts w:ascii="Cambria" w:eastAsia="Times New Roman" w:hAnsi="Cambria" w:cs="Calibri"/>
                <w:lang w:val="hr-HR"/>
              </w:rPr>
              <w:t xml:space="preserve">Cilj kolegija </w:t>
            </w:r>
          </w:p>
        </w:tc>
        <w:tc>
          <w:tcPr>
            <w:tcW w:w="713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FF6E845" w14:textId="77777777" w:rsidR="003A42BE" w:rsidRPr="00DF4CE5" w:rsidRDefault="003A42BE" w:rsidP="008B34AF">
            <w:pPr>
              <w:spacing w:after="0" w:line="240" w:lineRule="atLeast"/>
              <w:jc w:val="both"/>
              <w:rPr>
                <w:rFonts w:ascii="Cambria" w:eastAsia="Times New Roman" w:hAnsi="Cambria" w:cs="Calibri"/>
                <w:lang w:val="hr-HR"/>
              </w:rPr>
            </w:pPr>
            <w:r w:rsidRPr="00DF4CE5">
              <w:rPr>
                <w:rFonts w:ascii="Cambria" w:eastAsia="Times New Roman" w:hAnsi="Cambria" w:cs="Calibri"/>
                <w:lang w:val="hr-HR"/>
              </w:rPr>
              <w:t xml:space="preserve">Usvajanje činjeničnih i teorijskih znanja iz domene metodike nastave prirode i društva, te razvoj spoznajnih vještina, samostalnosti i odgovornosti u profesionalnom radu.  </w:t>
            </w:r>
          </w:p>
        </w:tc>
      </w:tr>
      <w:tr w:rsidR="003A42BE" w:rsidRPr="00D0399C" w14:paraId="29EE06FC" w14:textId="77777777" w:rsidTr="000F1A10">
        <w:tc>
          <w:tcPr>
            <w:tcW w:w="288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AEC2FF7" w14:textId="77777777" w:rsidR="003A42BE" w:rsidRPr="00DF4CE5" w:rsidRDefault="003A42BE" w:rsidP="008B34AF">
            <w:pPr>
              <w:spacing w:after="0" w:line="240" w:lineRule="atLeast"/>
              <w:jc w:val="both"/>
              <w:rPr>
                <w:rFonts w:ascii="Cambria" w:eastAsia="Times New Roman" w:hAnsi="Cambria" w:cs="Calibri"/>
                <w:lang w:val="hr-HR"/>
              </w:rPr>
            </w:pPr>
            <w:r w:rsidRPr="00DF4CE5">
              <w:rPr>
                <w:rFonts w:ascii="Cambria" w:eastAsia="Times New Roman" w:hAnsi="Cambria" w:cs="Calibri"/>
                <w:lang w:val="hr-HR"/>
              </w:rPr>
              <w:t>Ishodi učenja</w:t>
            </w:r>
          </w:p>
        </w:tc>
        <w:tc>
          <w:tcPr>
            <w:tcW w:w="713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1F8F9CA" w14:textId="3384C138" w:rsidR="003A42BE" w:rsidRPr="00DF4CE5" w:rsidRDefault="006F12A5" w:rsidP="006F12A5">
            <w:pPr>
              <w:spacing w:after="0" w:line="240" w:lineRule="atLeast"/>
              <w:jc w:val="both"/>
              <w:rPr>
                <w:rFonts w:ascii="Cambria" w:eastAsia="Times New Roman" w:hAnsi="Cambria" w:cs="Calibri"/>
                <w:lang w:val="hr-HR"/>
              </w:rPr>
            </w:pPr>
            <w:r>
              <w:rPr>
                <w:rFonts w:ascii="Cambria" w:eastAsia="Times New Roman" w:hAnsi="Cambria" w:cs="Calibri"/>
                <w:lang w:val="hr-HR"/>
              </w:rPr>
              <w:t xml:space="preserve">1. </w:t>
            </w:r>
            <w:r w:rsidR="003A42BE" w:rsidRPr="00DF4CE5">
              <w:rPr>
                <w:rFonts w:ascii="Cambria" w:eastAsia="Times New Roman" w:hAnsi="Cambria" w:cs="Calibri"/>
                <w:lang w:val="hr-HR"/>
              </w:rPr>
              <w:t>povezati teme Kurikuluma predmeta Priroda i društvo s društvenom zbiljom</w:t>
            </w:r>
          </w:p>
          <w:p w14:paraId="479372F4" w14:textId="6F2E17B7" w:rsidR="003A42BE" w:rsidRPr="00DF4CE5" w:rsidRDefault="006F12A5" w:rsidP="006F12A5">
            <w:pPr>
              <w:spacing w:after="0" w:line="240" w:lineRule="atLeast"/>
              <w:jc w:val="both"/>
              <w:rPr>
                <w:rFonts w:ascii="Cambria" w:eastAsia="Times New Roman" w:hAnsi="Cambria" w:cs="Calibri"/>
                <w:lang w:val="hr-HR"/>
              </w:rPr>
            </w:pPr>
            <w:r>
              <w:rPr>
                <w:rFonts w:ascii="Cambria" w:eastAsia="Times New Roman" w:hAnsi="Cambria" w:cs="Calibri"/>
                <w:lang w:val="hr-HR"/>
              </w:rPr>
              <w:t xml:space="preserve">2. </w:t>
            </w:r>
            <w:r w:rsidR="003A42BE" w:rsidRPr="00DF4CE5">
              <w:rPr>
                <w:rFonts w:ascii="Cambria" w:eastAsia="Times New Roman" w:hAnsi="Cambria" w:cs="Calibri"/>
                <w:lang w:val="hr-HR"/>
              </w:rPr>
              <w:t>koristiti očekivanu razinu teorijskih znanja i metodičkih kompetencija u umijećima planiranja,  programiranja i praktičnog izvođenja nastave prirode i društva</w:t>
            </w:r>
          </w:p>
          <w:p w14:paraId="7EADD9CC" w14:textId="62876AF6" w:rsidR="003A42BE" w:rsidRPr="00DF4CE5" w:rsidRDefault="006F12A5" w:rsidP="006F12A5">
            <w:pPr>
              <w:spacing w:after="0" w:line="240" w:lineRule="atLeast"/>
              <w:jc w:val="both"/>
              <w:rPr>
                <w:rFonts w:ascii="Cambria" w:eastAsia="Times New Roman" w:hAnsi="Cambria" w:cs="Calibri"/>
                <w:lang w:val="hr-HR"/>
              </w:rPr>
            </w:pPr>
            <w:r>
              <w:rPr>
                <w:rFonts w:ascii="Cambria" w:eastAsia="Times New Roman" w:hAnsi="Cambria" w:cs="Calibri"/>
                <w:lang w:val="hr-HR"/>
              </w:rPr>
              <w:t xml:space="preserve">4. </w:t>
            </w:r>
            <w:r w:rsidR="003A42BE" w:rsidRPr="00DF4CE5">
              <w:rPr>
                <w:rFonts w:ascii="Cambria" w:eastAsia="Times New Roman" w:hAnsi="Cambria" w:cs="Calibri"/>
                <w:lang w:val="hr-HR"/>
              </w:rPr>
              <w:t xml:space="preserve">analizirati Kurikulum nastavnog predmeta Priroda i društvo prema konceptima, </w:t>
            </w:r>
            <w:proofErr w:type="spellStart"/>
            <w:r w:rsidR="003A42BE" w:rsidRPr="00DF4CE5">
              <w:rPr>
                <w:rFonts w:ascii="Cambria" w:eastAsia="Times New Roman" w:hAnsi="Cambria" w:cs="Calibri"/>
                <w:lang w:val="hr-HR"/>
              </w:rPr>
              <w:t>međupredmetnim</w:t>
            </w:r>
            <w:proofErr w:type="spellEnd"/>
            <w:r w:rsidR="003A42BE" w:rsidRPr="00DF4CE5">
              <w:rPr>
                <w:rFonts w:ascii="Cambria" w:eastAsia="Times New Roman" w:hAnsi="Cambria" w:cs="Calibri"/>
                <w:lang w:val="hr-HR"/>
              </w:rPr>
              <w:t xml:space="preserve"> temama i istraživačkom pristupu</w:t>
            </w:r>
          </w:p>
          <w:p w14:paraId="6E89722C" w14:textId="7C3FF813" w:rsidR="003A42BE" w:rsidRPr="00DF4CE5" w:rsidRDefault="006F12A5" w:rsidP="006F12A5">
            <w:pPr>
              <w:spacing w:after="0" w:line="240" w:lineRule="atLeast"/>
              <w:jc w:val="both"/>
              <w:rPr>
                <w:rFonts w:ascii="Cambria" w:eastAsia="Times New Roman" w:hAnsi="Cambria" w:cs="Calibri"/>
                <w:lang w:val="hr-HR"/>
              </w:rPr>
            </w:pPr>
            <w:r>
              <w:rPr>
                <w:rFonts w:ascii="Cambria" w:eastAsia="Times New Roman" w:hAnsi="Cambria" w:cs="Calibri"/>
                <w:lang w:val="hr-HR"/>
              </w:rPr>
              <w:t xml:space="preserve">5. </w:t>
            </w:r>
            <w:r w:rsidR="003A42BE" w:rsidRPr="00DF4CE5">
              <w:rPr>
                <w:rFonts w:ascii="Cambria" w:eastAsia="Times New Roman" w:hAnsi="Cambria" w:cs="Calibri"/>
                <w:lang w:val="hr-HR"/>
              </w:rPr>
              <w:t xml:space="preserve">valorizirati kompetencije refleksije, evaluacije i </w:t>
            </w:r>
            <w:proofErr w:type="spellStart"/>
            <w:r w:rsidR="003A42BE" w:rsidRPr="00DF4CE5">
              <w:rPr>
                <w:rFonts w:ascii="Cambria" w:eastAsia="Times New Roman" w:hAnsi="Cambria" w:cs="Calibri"/>
                <w:lang w:val="hr-HR"/>
              </w:rPr>
              <w:t>samoevaluacije</w:t>
            </w:r>
            <w:proofErr w:type="spellEnd"/>
            <w:r w:rsidR="003A42BE" w:rsidRPr="00DF4CE5">
              <w:rPr>
                <w:rFonts w:ascii="Cambria" w:eastAsia="Times New Roman" w:hAnsi="Cambria" w:cs="Calibri"/>
                <w:lang w:val="hr-HR"/>
              </w:rPr>
              <w:t xml:space="preserve"> u sklopu pripreme za nastavu prirode i društva</w:t>
            </w:r>
          </w:p>
        </w:tc>
      </w:tr>
      <w:tr w:rsidR="003A42BE" w:rsidRPr="00D0399C" w14:paraId="00B5D639" w14:textId="77777777" w:rsidTr="000F1A10">
        <w:tc>
          <w:tcPr>
            <w:tcW w:w="2886"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2B8EB4E9" w14:textId="77777777" w:rsidR="003A42BE" w:rsidRPr="00DF4CE5" w:rsidRDefault="003A42BE" w:rsidP="008B34AF">
            <w:pPr>
              <w:spacing w:after="0" w:line="240" w:lineRule="atLeast"/>
              <w:jc w:val="both"/>
              <w:rPr>
                <w:rFonts w:ascii="Cambria" w:eastAsia="Times New Roman" w:hAnsi="Cambria" w:cs="Calibri"/>
                <w:lang w:val="hr-HR"/>
              </w:rPr>
            </w:pPr>
            <w:r w:rsidRPr="00DF4CE5">
              <w:rPr>
                <w:rFonts w:ascii="Cambria" w:eastAsia="Times New Roman" w:hAnsi="Cambria" w:cs="Calibri"/>
                <w:lang w:val="hr-HR"/>
              </w:rPr>
              <w:t>Sadržaj kolegija</w:t>
            </w:r>
          </w:p>
        </w:tc>
        <w:tc>
          <w:tcPr>
            <w:tcW w:w="7134"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CBF0D70" w14:textId="57853413" w:rsidR="003A42BE" w:rsidRPr="00DF4CE5" w:rsidRDefault="006F12A5" w:rsidP="006F12A5">
            <w:pPr>
              <w:spacing w:after="0" w:line="240" w:lineRule="atLeast"/>
              <w:jc w:val="both"/>
              <w:rPr>
                <w:rFonts w:ascii="Cambria" w:eastAsia="Times New Roman" w:hAnsi="Cambria" w:cs="Calibri"/>
                <w:lang w:val="hr-HR"/>
              </w:rPr>
            </w:pPr>
            <w:r>
              <w:rPr>
                <w:rFonts w:ascii="Cambria" w:eastAsia="Times New Roman" w:hAnsi="Cambria" w:cs="Calibri"/>
                <w:lang w:val="hr-HR"/>
              </w:rPr>
              <w:t xml:space="preserve">1. </w:t>
            </w:r>
            <w:r w:rsidR="003A42BE" w:rsidRPr="00DF4CE5">
              <w:rPr>
                <w:rFonts w:ascii="Cambria" w:eastAsia="Times New Roman" w:hAnsi="Cambria" w:cs="Calibri"/>
                <w:lang w:val="hr-HR"/>
              </w:rPr>
              <w:t xml:space="preserve">Kompetencije učitelja u nastavi prirode i društva. </w:t>
            </w:r>
          </w:p>
          <w:p w14:paraId="68733D67" w14:textId="10AAA4A8" w:rsidR="003A42BE" w:rsidRPr="00DF4CE5" w:rsidRDefault="006F12A5" w:rsidP="006F12A5">
            <w:pPr>
              <w:spacing w:after="0" w:line="240" w:lineRule="atLeast"/>
              <w:jc w:val="both"/>
              <w:rPr>
                <w:rFonts w:ascii="Cambria" w:eastAsia="Times New Roman" w:hAnsi="Cambria" w:cs="Calibri"/>
                <w:lang w:val="hr-HR"/>
              </w:rPr>
            </w:pPr>
            <w:r>
              <w:rPr>
                <w:rFonts w:ascii="Cambria" w:eastAsia="Times New Roman" w:hAnsi="Cambria" w:cs="Calibri"/>
                <w:lang w:val="hr-HR"/>
              </w:rPr>
              <w:t xml:space="preserve">2. </w:t>
            </w:r>
            <w:r w:rsidR="003A42BE" w:rsidRPr="00DF4CE5">
              <w:rPr>
                <w:rFonts w:ascii="Cambria" w:eastAsia="Times New Roman" w:hAnsi="Cambria" w:cs="Calibri"/>
                <w:lang w:val="hr-HR"/>
              </w:rPr>
              <w:t>Metodologija metodike nastave prirode i društva.</w:t>
            </w:r>
          </w:p>
          <w:p w14:paraId="28078FB5" w14:textId="663E806E" w:rsidR="003A42BE" w:rsidRPr="00DF4CE5" w:rsidRDefault="006F12A5" w:rsidP="006F12A5">
            <w:pPr>
              <w:spacing w:after="0" w:line="240" w:lineRule="atLeast"/>
              <w:jc w:val="both"/>
              <w:rPr>
                <w:rFonts w:ascii="Cambria" w:eastAsia="Times New Roman" w:hAnsi="Cambria" w:cs="Calibri"/>
                <w:lang w:val="hr-HR"/>
              </w:rPr>
            </w:pPr>
            <w:r>
              <w:rPr>
                <w:rFonts w:ascii="Cambria" w:eastAsia="Times New Roman" w:hAnsi="Cambria" w:cs="Calibri"/>
                <w:lang w:val="hr-HR"/>
              </w:rPr>
              <w:t xml:space="preserve">3. </w:t>
            </w:r>
            <w:r w:rsidR="003A42BE" w:rsidRPr="00DF4CE5">
              <w:rPr>
                <w:rFonts w:ascii="Cambria" w:eastAsia="Times New Roman" w:hAnsi="Cambria" w:cs="Calibri"/>
                <w:lang w:val="hr-HR"/>
              </w:rPr>
              <w:t xml:space="preserve">Komparativni pristup u istraživanju položaja nastavnog predmeta Priroda i društvo u školskim </w:t>
            </w:r>
            <w:proofErr w:type="spellStart"/>
            <w:r w:rsidR="003A42BE" w:rsidRPr="00DF4CE5">
              <w:rPr>
                <w:rFonts w:ascii="Cambria" w:eastAsia="Times New Roman" w:hAnsi="Cambria" w:cs="Calibri"/>
                <w:lang w:val="hr-HR"/>
              </w:rPr>
              <w:t>kurikulumima</w:t>
            </w:r>
            <w:proofErr w:type="spellEnd"/>
            <w:r w:rsidR="003A42BE" w:rsidRPr="00DF4CE5">
              <w:rPr>
                <w:rFonts w:ascii="Cambria" w:eastAsia="Times New Roman" w:hAnsi="Cambria" w:cs="Calibri"/>
                <w:lang w:val="hr-HR"/>
              </w:rPr>
              <w:t>.</w:t>
            </w:r>
          </w:p>
          <w:p w14:paraId="4520CCD3" w14:textId="53065B94" w:rsidR="003A42BE" w:rsidRPr="00DF4CE5" w:rsidRDefault="006F12A5" w:rsidP="006F12A5">
            <w:pPr>
              <w:spacing w:after="0" w:line="240" w:lineRule="atLeast"/>
              <w:jc w:val="both"/>
              <w:rPr>
                <w:rFonts w:ascii="Cambria" w:eastAsia="Times New Roman" w:hAnsi="Cambria" w:cs="Calibri"/>
                <w:lang w:val="hr-HR"/>
              </w:rPr>
            </w:pPr>
            <w:r>
              <w:rPr>
                <w:rFonts w:ascii="Cambria" w:eastAsia="Times New Roman" w:hAnsi="Cambria" w:cs="Calibri"/>
                <w:lang w:val="hr-HR"/>
              </w:rPr>
              <w:t xml:space="preserve">4. </w:t>
            </w:r>
            <w:r w:rsidR="003A42BE" w:rsidRPr="00DF4CE5">
              <w:rPr>
                <w:rFonts w:ascii="Cambria" w:eastAsia="Times New Roman" w:hAnsi="Cambria" w:cs="Calibri"/>
                <w:lang w:val="hr-HR"/>
              </w:rPr>
              <w:t>Programske osnove nastave prirode i društva.</w:t>
            </w:r>
          </w:p>
          <w:p w14:paraId="165E8BBA" w14:textId="2EA16E20" w:rsidR="003A42BE" w:rsidRPr="00DF4CE5" w:rsidRDefault="006F12A5" w:rsidP="006F12A5">
            <w:pPr>
              <w:spacing w:after="0" w:line="240" w:lineRule="atLeast"/>
              <w:jc w:val="both"/>
              <w:rPr>
                <w:rFonts w:ascii="Cambria" w:eastAsia="Times New Roman" w:hAnsi="Cambria" w:cs="Calibri"/>
                <w:lang w:val="hr-HR"/>
              </w:rPr>
            </w:pPr>
            <w:r>
              <w:rPr>
                <w:rFonts w:ascii="Cambria" w:eastAsia="Times New Roman" w:hAnsi="Cambria" w:cs="Calibri"/>
                <w:lang w:val="hr-HR"/>
              </w:rPr>
              <w:t xml:space="preserve">5. </w:t>
            </w:r>
            <w:proofErr w:type="spellStart"/>
            <w:r w:rsidR="003A42BE" w:rsidRPr="00DF4CE5">
              <w:rPr>
                <w:rFonts w:ascii="Cambria" w:eastAsia="Times New Roman" w:hAnsi="Cambria" w:cs="Calibri"/>
                <w:lang w:val="hr-HR"/>
              </w:rPr>
              <w:t>Kurikularni</w:t>
            </w:r>
            <w:proofErr w:type="spellEnd"/>
            <w:r w:rsidR="003A42BE" w:rsidRPr="00DF4CE5">
              <w:rPr>
                <w:rFonts w:ascii="Cambria" w:eastAsia="Times New Roman" w:hAnsi="Cambria" w:cs="Calibri"/>
                <w:lang w:val="hr-HR"/>
              </w:rPr>
              <w:t xml:space="preserve"> pristup u izradi nastavnog programa predmeta Priroda i društvo u osnovnoj školi. </w:t>
            </w:r>
          </w:p>
          <w:p w14:paraId="44232694" w14:textId="5AF5EBC3" w:rsidR="003A42BE" w:rsidRPr="00DF4CE5" w:rsidRDefault="006F12A5" w:rsidP="006F12A5">
            <w:pPr>
              <w:spacing w:after="0" w:line="240" w:lineRule="atLeast"/>
              <w:jc w:val="both"/>
              <w:rPr>
                <w:rFonts w:ascii="Cambria" w:eastAsia="Times New Roman" w:hAnsi="Cambria" w:cs="Calibri"/>
                <w:lang w:val="hr-HR"/>
              </w:rPr>
            </w:pPr>
            <w:r>
              <w:rPr>
                <w:rFonts w:ascii="Cambria" w:eastAsia="Times New Roman" w:hAnsi="Cambria" w:cs="Calibri"/>
                <w:lang w:val="hr-HR"/>
              </w:rPr>
              <w:t xml:space="preserve">6. </w:t>
            </w:r>
            <w:r w:rsidR="003A42BE" w:rsidRPr="00DF4CE5">
              <w:rPr>
                <w:rFonts w:ascii="Cambria" w:eastAsia="Times New Roman" w:hAnsi="Cambria" w:cs="Calibri"/>
                <w:lang w:val="hr-HR"/>
              </w:rPr>
              <w:t>Integracija i korelacija sadržaja nastave prirode i društva s ostalim nastavnim predmetima u razrednoj nastavi.</w:t>
            </w:r>
          </w:p>
          <w:p w14:paraId="138BC499" w14:textId="60C54F16" w:rsidR="003A42BE" w:rsidRPr="00DF4CE5" w:rsidRDefault="006F12A5" w:rsidP="006F12A5">
            <w:pPr>
              <w:spacing w:after="0" w:line="240" w:lineRule="atLeast"/>
              <w:jc w:val="both"/>
              <w:rPr>
                <w:rFonts w:ascii="Cambria" w:eastAsia="Times New Roman" w:hAnsi="Cambria" w:cs="Calibri"/>
                <w:lang w:val="hr-HR"/>
              </w:rPr>
            </w:pPr>
            <w:r>
              <w:rPr>
                <w:rFonts w:ascii="Cambria" w:eastAsia="Times New Roman" w:hAnsi="Cambria" w:cs="Calibri"/>
                <w:lang w:val="hr-HR"/>
              </w:rPr>
              <w:t xml:space="preserve">7. </w:t>
            </w:r>
            <w:r w:rsidR="003A42BE" w:rsidRPr="00DF4CE5">
              <w:rPr>
                <w:rFonts w:ascii="Cambria" w:eastAsia="Times New Roman" w:hAnsi="Cambria" w:cs="Calibri"/>
                <w:lang w:val="hr-HR"/>
              </w:rPr>
              <w:t xml:space="preserve">Pedagoško-psihološko-didaktički temelji nastave prirode i društva. </w:t>
            </w:r>
          </w:p>
          <w:p w14:paraId="7401EA56" w14:textId="7FE10661" w:rsidR="003A42BE" w:rsidRPr="00DF4CE5" w:rsidRDefault="006F12A5" w:rsidP="006F12A5">
            <w:pPr>
              <w:spacing w:after="0" w:line="240" w:lineRule="atLeast"/>
              <w:jc w:val="both"/>
              <w:rPr>
                <w:rFonts w:ascii="Cambria" w:eastAsia="Times New Roman" w:hAnsi="Cambria" w:cs="Calibri"/>
                <w:lang w:val="hr-HR"/>
              </w:rPr>
            </w:pPr>
            <w:r>
              <w:rPr>
                <w:rFonts w:ascii="Cambria" w:eastAsia="Times New Roman" w:hAnsi="Cambria" w:cs="Calibri"/>
                <w:lang w:val="hr-HR"/>
              </w:rPr>
              <w:t xml:space="preserve">8. </w:t>
            </w:r>
            <w:r w:rsidR="003A42BE" w:rsidRPr="00DF4CE5">
              <w:rPr>
                <w:rFonts w:ascii="Cambria" w:eastAsia="Times New Roman" w:hAnsi="Cambria" w:cs="Calibri"/>
                <w:lang w:val="hr-HR"/>
              </w:rPr>
              <w:t>Proces spoznavanja u nastavi prirode i društva.</w:t>
            </w:r>
          </w:p>
          <w:p w14:paraId="0887CD65" w14:textId="197C412E" w:rsidR="003A42BE" w:rsidRPr="00DF4CE5" w:rsidRDefault="006F12A5" w:rsidP="006F12A5">
            <w:pPr>
              <w:spacing w:after="0" w:line="240" w:lineRule="atLeast"/>
              <w:jc w:val="both"/>
              <w:rPr>
                <w:rFonts w:ascii="Cambria" w:eastAsia="Times New Roman" w:hAnsi="Cambria" w:cs="Calibri"/>
                <w:lang w:val="hr-HR"/>
              </w:rPr>
            </w:pPr>
            <w:r>
              <w:rPr>
                <w:rFonts w:ascii="Cambria" w:eastAsia="Times New Roman" w:hAnsi="Cambria" w:cs="Calibri"/>
                <w:lang w:val="hr-HR"/>
              </w:rPr>
              <w:t xml:space="preserve">9. </w:t>
            </w:r>
            <w:r w:rsidR="003A42BE" w:rsidRPr="00DF4CE5">
              <w:rPr>
                <w:rFonts w:ascii="Cambria" w:eastAsia="Times New Roman" w:hAnsi="Cambria" w:cs="Calibri"/>
                <w:lang w:val="hr-HR"/>
              </w:rPr>
              <w:t>Posebnosti razvijanja mišljenja učenika mlađe školske dobi u kontekstu sadržaja nastavnog predmeta Priroda i društvo.</w:t>
            </w:r>
          </w:p>
          <w:p w14:paraId="5CDF61BF" w14:textId="4116B7E1" w:rsidR="003A42BE" w:rsidRPr="00DF4CE5" w:rsidRDefault="006F12A5" w:rsidP="006F12A5">
            <w:pPr>
              <w:spacing w:after="0" w:line="240" w:lineRule="atLeast"/>
              <w:jc w:val="both"/>
              <w:rPr>
                <w:rFonts w:ascii="Cambria" w:eastAsia="Times New Roman" w:hAnsi="Cambria" w:cs="Calibri"/>
                <w:lang w:val="hr-HR"/>
              </w:rPr>
            </w:pPr>
            <w:r>
              <w:rPr>
                <w:rFonts w:ascii="Cambria" w:eastAsia="Times New Roman" w:hAnsi="Cambria" w:cs="Calibri"/>
                <w:lang w:val="hr-HR"/>
              </w:rPr>
              <w:t xml:space="preserve">10. </w:t>
            </w:r>
            <w:r w:rsidR="003A42BE" w:rsidRPr="00DF4CE5">
              <w:rPr>
                <w:rFonts w:ascii="Cambria" w:eastAsia="Times New Roman" w:hAnsi="Cambria" w:cs="Calibri"/>
                <w:lang w:val="hr-HR"/>
              </w:rPr>
              <w:t>Suvremeni pristup nastavi prirode i društva.</w:t>
            </w:r>
          </w:p>
        </w:tc>
      </w:tr>
      <w:tr w:rsidR="003A42BE" w:rsidRPr="00DF4CE5" w14:paraId="0A97E5A3" w14:textId="77777777" w:rsidTr="000F1A10">
        <w:tc>
          <w:tcPr>
            <w:tcW w:w="2886"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hideMark/>
          </w:tcPr>
          <w:p w14:paraId="5AE80985" w14:textId="77777777" w:rsidR="003A42BE" w:rsidRPr="00DF4CE5" w:rsidRDefault="003A42BE" w:rsidP="008B34AF">
            <w:pPr>
              <w:spacing w:after="0" w:line="240" w:lineRule="atLeast"/>
              <w:jc w:val="both"/>
              <w:rPr>
                <w:rFonts w:ascii="Cambria" w:eastAsia="Times New Roman" w:hAnsi="Cambria" w:cs="Calibri"/>
                <w:lang w:val="hr-HR"/>
              </w:rPr>
            </w:pPr>
            <w:r w:rsidRPr="00DF4CE5">
              <w:rPr>
                <w:rFonts w:ascii="Cambria" w:eastAsia="Times New Roman" w:hAnsi="Cambria" w:cs="Calibri"/>
                <w:lang w:val="hr-HR"/>
              </w:rPr>
              <w:lastRenderedPageBreak/>
              <w:t>Planirane aktivnosti</w:t>
            </w:r>
            <w:r w:rsidRPr="00DF4CE5">
              <w:rPr>
                <w:rFonts w:ascii="Cambria" w:eastAsia="Times New Roman" w:hAnsi="Cambria" w:cs="Calibri"/>
                <w:lang w:val="it-IT"/>
              </w:rPr>
              <w:t>,</w:t>
            </w:r>
          </w:p>
          <w:p w14:paraId="12C211BB" w14:textId="77777777" w:rsidR="003A42BE" w:rsidRPr="00DF4CE5" w:rsidRDefault="003A42BE" w:rsidP="008B34AF">
            <w:pPr>
              <w:spacing w:after="0" w:line="240" w:lineRule="atLeast"/>
              <w:jc w:val="both"/>
              <w:rPr>
                <w:rFonts w:ascii="Cambria" w:eastAsia="Times New Roman" w:hAnsi="Cambria" w:cs="Calibri"/>
                <w:lang w:val="hr-HR"/>
              </w:rPr>
            </w:pPr>
            <w:proofErr w:type="spellStart"/>
            <w:r w:rsidRPr="00DF4CE5">
              <w:rPr>
                <w:rFonts w:ascii="Cambria" w:eastAsia="Times New Roman" w:hAnsi="Cambria" w:cs="Calibri"/>
                <w:lang w:val="it-IT"/>
              </w:rPr>
              <w:t>metode</w:t>
            </w:r>
            <w:proofErr w:type="spellEnd"/>
            <w:r w:rsidRPr="00DF4CE5">
              <w:rPr>
                <w:rFonts w:ascii="Cambria" w:eastAsia="Times New Roman" w:hAnsi="Cambria" w:cs="Calibri"/>
                <w:lang w:val="it-IT"/>
              </w:rPr>
              <w:t xml:space="preserve"> </w:t>
            </w:r>
            <w:r w:rsidRPr="00DF4CE5">
              <w:rPr>
                <w:rFonts w:ascii="Cambria" w:eastAsia="Times New Roman" w:hAnsi="Cambria" w:cs="Calibri"/>
                <w:lang w:val="hr-HR"/>
              </w:rPr>
              <w:t>učenja i poučavanja i načini vrednovanja</w:t>
            </w:r>
          </w:p>
          <w:p w14:paraId="3A2EECC7" w14:textId="77777777" w:rsidR="003A42BE" w:rsidRPr="00DF4CE5" w:rsidRDefault="003A42BE" w:rsidP="008B34AF">
            <w:pPr>
              <w:spacing w:after="0" w:line="240" w:lineRule="atLeast"/>
              <w:jc w:val="both"/>
              <w:rPr>
                <w:rFonts w:ascii="Cambria" w:eastAsia="Times New Roman" w:hAnsi="Cambria" w:cs="Calibri"/>
                <w:lang w:val="hr-HR"/>
              </w:rPr>
            </w:pPr>
          </w:p>
        </w:tc>
        <w:tc>
          <w:tcPr>
            <w:tcW w:w="270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53E70D3" w14:textId="77777777" w:rsidR="003A42BE" w:rsidRPr="00DF4CE5" w:rsidRDefault="003A42BE" w:rsidP="008B34AF">
            <w:pPr>
              <w:spacing w:after="0" w:line="240" w:lineRule="atLeast"/>
              <w:jc w:val="both"/>
              <w:rPr>
                <w:rFonts w:ascii="Cambria" w:eastAsia="Times New Roman" w:hAnsi="Cambria" w:cs="Calibri"/>
                <w:lang w:val="hr-HR"/>
              </w:rPr>
            </w:pPr>
            <w:r w:rsidRPr="00DF4CE5">
              <w:rPr>
                <w:rFonts w:ascii="Cambria" w:eastAsia="Times New Roman" w:hAnsi="Cambria" w:cs="Calibri"/>
                <w:bCs/>
                <w:lang w:val="hr-HR"/>
              </w:rPr>
              <w:t>Obveze</w:t>
            </w:r>
          </w:p>
        </w:tc>
        <w:tc>
          <w:tcPr>
            <w:tcW w:w="11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77B2306" w14:textId="77777777" w:rsidR="003A42BE" w:rsidRPr="00DF4CE5" w:rsidRDefault="003A42BE" w:rsidP="008B34AF">
            <w:pPr>
              <w:spacing w:after="0" w:line="240" w:lineRule="atLeast"/>
              <w:jc w:val="both"/>
              <w:rPr>
                <w:rFonts w:ascii="Cambria" w:eastAsia="Times New Roman" w:hAnsi="Cambria" w:cs="Calibri"/>
                <w:lang w:val="hr-HR"/>
              </w:rPr>
            </w:pPr>
            <w:r w:rsidRPr="00DF4CE5">
              <w:rPr>
                <w:rFonts w:ascii="Cambria" w:eastAsia="Times New Roman" w:hAnsi="Cambria" w:cs="Calibri"/>
                <w:bCs/>
                <w:lang w:val="hr-HR"/>
              </w:rPr>
              <w:t>Ishodi</w:t>
            </w:r>
          </w:p>
          <w:p w14:paraId="09FB64E4" w14:textId="77777777" w:rsidR="003A42BE" w:rsidRPr="00DF4CE5" w:rsidRDefault="003A42BE" w:rsidP="008B34AF">
            <w:pPr>
              <w:spacing w:after="0" w:line="240" w:lineRule="atLeast"/>
              <w:jc w:val="both"/>
              <w:rPr>
                <w:rFonts w:ascii="Cambria" w:eastAsia="Times New Roman" w:hAnsi="Cambria" w:cs="Calibri"/>
                <w:lang w:val="hr-HR"/>
              </w:rPr>
            </w:pPr>
          </w:p>
        </w:tc>
        <w:tc>
          <w:tcPr>
            <w:tcW w:w="76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C5A2BCA" w14:textId="77777777" w:rsidR="003A42BE" w:rsidRPr="00DF4CE5" w:rsidRDefault="003A42BE" w:rsidP="008B34AF">
            <w:pPr>
              <w:spacing w:after="0" w:line="240" w:lineRule="atLeast"/>
              <w:jc w:val="both"/>
              <w:rPr>
                <w:rFonts w:ascii="Cambria" w:eastAsia="Times New Roman" w:hAnsi="Cambria" w:cs="Calibri"/>
                <w:lang w:val="hr-HR"/>
              </w:rPr>
            </w:pPr>
            <w:r w:rsidRPr="00DF4CE5">
              <w:rPr>
                <w:rFonts w:ascii="Cambria" w:eastAsia="Times New Roman" w:hAnsi="Cambria" w:cs="Calibri"/>
                <w:bCs/>
                <w:lang w:val="hr-HR"/>
              </w:rPr>
              <w:t>Sati</w:t>
            </w:r>
          </w:p>
        </w:tc>
        <w:tc>
          <w:tcPr>
            <w:tcW w:w="10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A4E9742" w14:textId="77777777" w:rsidR="003A42BE" w:rsidRPr="00DF4CE5" w:rsidRDefault="003A42BE" w:rsidP="008B34AF">
            <w:pPr>
              <w:spacing w:after="0" w:line="240" w:lineRule="atLeast"/>
              <w:jc w:val="both"/>
              <w:rPr>
                <w:rFonts w:ascii="Cambria" w:eastAsia="Times New Roman" w:hAnsi="Cambria" w:cs="Calibri"/>
                <w:lang w:val="hr-HR"/>
              </w:rPr>
            </w:pPr>
            <w:r w:rsidRPr="00DF4CE5">
              <w:rPr>
                <w:rFonts w:ascii="Cambria" w:eastAsia="Times New Roman" w:hAnsi="Cambria" w:cs="Calibri"/>
                <w:bCs/>
                <w:lang w:val="hr-HR"/>
              </w:rPr>
              <w:t xml:space="preserve">ECTS </w:t>
            </w:r>
          </w:p>
        </w:tc>
        <w:tc>
          <w:tcPr>
            <w:tcW w:w="141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40DA5A1" w14:textId="77777777" w:rsidR="003A42BE" w:rsidRPr="00DF4CE5" w:rsidRDefault="003A42BE" w:rsidP="008B34AF">
            <w:pPr>
              <w:spacing w:after="0" w:line="240" w:lineRule="atLeast"/>
              <w:jc w:val="both"/>
              <w:rPr>
                <w:rFonts w:ascii="Cambria" w:eastAsia="Times New Roman" w:hAnsi="Cambria" w:cs="Calibri"/>
                <w:lang w:val="hr-HR"/>
              </w:rPr>
            </w:pPr>
            <w:r w:rsidRPr="00DF4CE5">
              <w:rPr>
                <w:rFonts w:ascii="Cambria" w:eastAsia="Times New Roman" w:hAnsi="Cambria" w:cs="Calibri"/>
                <w:bCs/>
                <w:lang w:val="hr-HR"/>
              </w:rPr>
              <w:t>Maksimalni udio u ocjeni</w:t>
            </w:r>
            <w:r w:rsidRPr="00DF4CE5">
              <w:rPr>
                <w:rFonts w:ascii="Cambria" w:eastAsia="Times New Roman" w:hAnsi="Cambria" w:cs="Calibri"/>
                <w:bCs/>
              </w:rPr>
              <w:t xml:space="preserve"> (%)</w:t>
            </w:r>
          </w:p>
        </w:tc>
      </w:tr>
      <w:tr w:rsidR="003A42BE" w:rsidRPr="00DF4CE5" w14:paraId="689A3812" w14:textId="77777777" w:rsidTr="000F1A10">
        <w:tc>
          <w:tcPr>
            <w:tcW w:w="2886" w:type="dxa"/>
            <w:vMerge/>
            <w:tcBorders>
              <w:left w:val="single" w:sz="8" w:space="0" w:color="000000"/>
              <w:right w:val="single" w:sz="8" w:space="0" w:color="000000"/>
            </w:tcBorders>
            <w:vAlign w:val="center"/>
            <w:hideMark/>
          </w:tcPr>
          <w:p w14:paraId="00515105" w14:textId="77777777" w:rsidR="003A42BE" w:rsidRPr="00DF4CE5" w:rsidRDefault="003A42BE" w:rsidP="008B34AF">
            <w:pPr>
              <w:spacing w:after="0" w:line="240" w:lineRule="atLeast"/>
              <w:jc w:val="both"/>
              <w:rPr>
                <w:rFonts w:ascii="Cambria" w:eastAsia="Times New Roman" w:hAnsi="Cambria" w:cs="Calibri"/>
                <w:lang w:val="hr-HR"/>
              </w:rPr>
            </w:pPr>
          </w:p>
        </w:tc>
        <w:tc>
          <w:tcPr>
            <w:tcW w:w="270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A9DE623" w14:textId="0D42CEC3" w:rsidR="003A42BE" w:rsidRPr="00DF4CE5" w:rsidRDefault="003A42BE" w:rsidP="008B34AF">
            <w:pPr>
              <w:spacing w:after="0" w:line="240" w:lineRule="atLeast"/>
              <w:jc w:val="both"/>
              <w:rPr>
                <w:rFonts w:ascii="Cambria" w:eastAsia="Times New Roman" w:hAnsi="Cambria" w:cs="Calibri"/>
                <w:lang w:val="hr-HR"/>
              </w:rPr>
            </w:pPr>
            <w:proofErr w:type="spellStart"/>
            <w:r w:rsidRPr="00DF4CE5">
              <w:rPr>
                <w:rFonts w:ascii="Cambria" w:eastAsia="Times New Roman" w:hAnsi="Cambria" w:cs="Calibri"/>
                <w:lang w:val="it-IT"/>
              </w:rPr>
              <w:t>aktivnost</w:t>
            </w:r>
            <w:proofErr w:type="spellEnd"/>
            <w:r w:rsidRPr="00DF4CE5">
              <w:rPr>
                <w:rFonts w:ascii="Cambria" w:eastAsia="Times New Roman" w:hAnsi="Cambria" w:cs="Calibri"/>
                <w:lang w:val="it-IT"/>
              </w:rPr>
              <w:t xml:space="preserve"> u</w:t>
            </w:r>
            <w:r w:rsidRPr="00DF4CE5">
              <w:rPr>
                <w:rFonts w:ascii="Cambria" w:eastAsia="Times New Roman" w:hAnsi="Cambria" w:cs="Calibri"/>
                <w:lang w:val="hr-HR"/>
              </w:rPr>
              <w:t xml:space="preserve"> nastavi (P</w:t>
            </w:r>
            <w:r w:rsidR="006F12A5">
              <w:rPr>
                <w:rFonts w:ascii="Cambria" w:eastAsia="Times New Roman" w:hAnsi="Cambria" w:cs="Calibri"/>
                <w:lang w:val="hr-HR"/>
              </w:rPr>
              <w:t xml:space="preserve">, </w:t>
            </w:r>
            <w:r w:rsidRPr="00DF4CE5">
              <w:rPr>
                <w:rFonts w:ascii="Cambria" w:eastAsia="Times New Roman" w:hAnsi="Cambria" w:cs="Calibri"/>
                <w:lang w:val="hr-HR"/>
              </w:rPr>
              <w:t>V)</w:t>
            </w:r>
          </w:p>
        </w:tc>
        <w:tc>
          <w:tcPr>
            <w:tcW w:w="11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692A4D5" w14:textId="6CB109FA" w:rsidR="003A42BE" w:rsidRPr="00DF4CE5" w:rsidRDefault="003A42BE" w:rsidP="008B34AF">
            <w:pPr>
              <w:spacing w:after="0" w:line="240" w:lineRule="atLeast"/>
              <w:jc w:val="both"/>
              <w:rPr>
                <w:rFonts w:ascii="Cambria" w:eastAsia="Times New Roman" w:hAnsi="Cambria" w:cs="Calibri"/>
                <w:lang w:val="hr-HR"/>
              </w:rPr>
            </w:pPr>
            <w:r w:rsidRPr="00DF4CE5">
              <w:rPr>
                <w:rFonts w:ascii="Cambria" w:eastAsia="Times New Roman" w:hAnsi="Cambria" w:cs="Calibri"/>
                <w:lang w:val="hr-HR"/>
              </w:rPr>
              <w:t> 1.</w:t>
            </w:r>
            <w:r w:rsidR="006F12A5">
              <w:rPr>
                <w:rFonts w:ascii="Cambria" w:eastAsia="Times New Roman" w:hAnsi="Cambria" w:cs="Calibri"/>
                <w:lang w:val="hr-HR"/>
              </w:rPr>
              <w:t xml:space="preserve"> – 5</w:t>
            </w:r>
            <w:r w:rsidRPr="00DF4CE5">
              <w:rPr>
                <w:rFonts w:ascii="Cambria" w:eastAsia="Times New Roman" w:hAnsi="Cambria" w:cs="Calibri"/>
                <w:lang w:val="hr-HR"/>
              </w:rPr>
              <w:t>.</w:t>
            </w:r>
          </w:p>
        </w:tc>
        <w:tc>
          <w:tcPr>
            <w:tcW w:w="76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2CA589E" w14:textId="3B83F944" w:rsidR="003A42BE" w:rsidRPr="00DF4CE5" w:rsidRDefault="003A42BE" w:rsidP="006F12A5">
            <w:pPr>
              <w:spacing w:after="0" w:line="240" w:lineRule="atLeast"/>
              <w:jc w:val="center"/>
              <w:rPr>
                <w:rFonts w:ascii="Cambria" w:eastAsia="Times New Roman" w:hAnsi="Cambria" w:cs="Calibri"/>
                <w:lang w:val="hr-HR"/>
              </w:rPr>
            </w:pPr>
            <w:r w:rsidRPr="00DF4CE5">
              <w:rPr>
                <w:rFonts w:ascii="Cambria" w:eastAsia="Times New Roman" w:hAnsi="Cambria" w:cs="Calibri"/>
                <w:lang w:val="hr-HR"/>
              </w:rPr>
              <w:t>34</w:t>
            </w:r>
          </w:p>
        </w:tc>
        <w:tc>
          <w:tcPr>
            <w:tcW w:w="10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7B68C0E" w14:textId="50FE7FC4" w:rsidR="003A42BE" w:rsidRPr="00DF4CE5" w:rsidRDefault="003A42BE" w:rsidP="006F12A5">
            <w:pPr>
              <w:spacing w:after="0" w:line="240" w:lineRule="atLeast"/>
              <w:jc w:val="center"/>
              <w:rPr>
                <w:rFonts w:ascii="Cambria" w:eastAsia="Times New Roman" w:hAnsi="Cambria" w:cs="Calibri"/>
                <w:lang w:val="hr-HR"/>
              </w:rPr>
            </w:pPr>
            <w:r w:rsidRPr="00DF4CE5">
              <w:rPr>
                <w:rFonts w:ascii="Cambria" w:eastAsia="Times New Roman" w:hAnsi="Cambria" w:cs="Calibri"/>
                <w:lang w:val="hr-HR"/>
              </w:rPr>
              <w:t>1</w:t>
            </w:r>
            <w:r w:rsidR="006F12A5">
              <w:rPr>
                <w:rFonts w:ascii="Cambria" w:eastAsia="Times New Roman" w:hAnsi="Cambria" w:cs="Calibri"/>
                <w:lang w:val="hr-HR"/>
              </w:rPr>
              <w:t>,</w:t>
            </w:r>
            <w:r w:rsidR="000022B6" w:rsidRPr="00DF4CE5">
              <w:rPr>
                <w:rFonts w:ascii="Cambria" w:eastAsia="Times New Roman" w:hAnsi="Cambria" w:cs="Calibri"/>
                <w:lang w:val="hr-HR"/>
              </w:rPr>
              <w:t>1</w:t>
            </w:r>
          </w:p>
        </w:tc>
        <w:tc>
          <w:tcPr>
            <w:tcW w:w="141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127A2B9" w14:textId="4E7868C8" w:rsidR="003A42BE" w:rsidRPr="00DF4CE5" w:rsidRDefault="003A42BE" w:rsidP="006F12A5">
            <w:pPr>
              <w:spacing w:after="0" w:line="240" w:lineRule="atLeast"/>
              <w:jc w:val="center"/>
              <w:rPr>
                <w:rFonts w:ascii="Cambria" w:eastAsia="Times New Roman" w:hAnsi="Cambria" w:cs="Calibri"/>
                <w:lang w:val="hr-HR"/>
              </w:rPr>
            </w:pPr>
            <w:r w:rsidRPr="00DF4CE5">
              <w:rPr>
                <w:rFonts w:ascii="Cambria" w:eastAsia="Times New Roman" w:hAnsi="Cambria" w:cs="Calibri"/>
                <w:lang w:val="hr-HR"/>
              </w:rPr>
              <w:t>0%</w:t>
            </w:r>
          </w:p>
        </w:tc>
      </w:tr>
      <w:tr w:rsidR="003A42BE" w:rsidRPr="00DF4CE5" w14:paraId="07B616D0" w14:textId="77777777" w:rsidTr="000F1A10">
        <w:tc>
          <w:tcPr>
            <w:tcW w:w="2886" w:type="dxa"/>
            <w:vMerge/>
            <w:tcBorders>
              <w:left w:val="single" w:sz="8" w:space="0" w:color="000000"/>
              <w:right w:val="single" w:sz="8" w:space="0" w:color="000000"/>
            </w:tcBorders>
            <w:vAlign w:val="center"/>
            <w:hideMark/>
          </w:tcPr>
          <w:p w14:paraId="7F65F276" w14:textId="77777777" w:rsidR="003A42BE" w:rsidRPr="00DF4CE5" w:rsidRDefault="003A42BE" w:rsidP="008B34AF">
            <w:pPr>
              <w:spacing w:after="0" w:line="240" w:lineRule="atLeast"/>
              <w:jc w:val="both"/>
              <w:rPr>
                <w:rFonts w:ascii="Cambria" w:eastAsia="Times New Roman" w:hAnsi="Cambria" w:cs="Calibri"/>
                <w:lang w:val="hr-HR"/>
              </w:rPr>
            </w:pPr>
          </w:p>
        </w:tc>
        <w:tc>
          <w:tcPr>
            <w:tcW w:w="270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513A211" w14:textId="77777777" w:rsidR="003A42BE" w:rsidRPr="00DF4CE5" w:rsidRDefault="003A42BE" w:rsidP="006F12A5">
            <w:pPr>
              <w:spacing w:after="0" w:line="240" w:lineRule="atLeast"/>
              <w:rPr>
                <w:rFonts w:ascii="Cambria" w:eastAsia="Times New Roman" w:hAnsi="Cambria" w:cs="Calibri"/>
                <w:lang w:val="hr-HR"/>
              </w:rPr>
            </w:pPr>
            <w:r w:rsidRPr="00DF4CE5">
              <w:rPr>
                <w:rFonts w:ascii="Cambria" w:eastAsia="Times New Roman" w:hAnsi="Cambria" w:cs="Calibri"/>
                <w:lang w:val="hr-HR"/>
              </w:rPr>
              <w:t>samostalni zadatak iz vježbi</w:t>
            </w:r>
          </w:p>
        </w:tc>
        <w:tc>
          <w:tcPr>
            <w:tcW w:w="11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D3D09C4" w14:textId="77777777" w:rsidR="003A42BE" w:rsidRPr="00DF4CE5" w:rsidRDefault="003A42BE" w:rsidP="008B34AF">
            <w:pPr>
              <w:spacing w:after="0" w:line="240" w:lineRule="atLeast"/>
              <w:jc w:val="both"/>
              <w:rPr>
                <w:rFonts w:ascii="Cambria" w:eastAsia="Times New Roman" w:hAnsi="Cambria" w:cs="Calibri"/>
                <w:lang w:val="hr-HR"/>
              </w:rPr>
            </w:pPr>
            <w:r w:rsidRPr="00DF4CE5">
              <w:rPr>
                <w:rFonts w:ascii="Cambria" w:eastAsia="Times New Roman" w:hAnsi="Cambria" w:cs="Calibri"/>
                <w:lang w:val="hr-HR"/>
              </w:rPr>
              <w:t> 3., 4.</w:t>
            </w:r>
          </w:p>
        </w:tc>
        <w:tc>
          <w:tcPr>
            <w:tcW w:w="76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9AC88C3" w14:textId="7C588DAE" w:rsidR="003A42BE" w:rsidRPr="00DF4CE5" w:rsidRDefault="003A42BE" w:rsidP="006F12A5">
            <w:pPr>
              <w:spacing w:after="0" w:line="240" w:lineRule="atLeast"/>
              <w:jc w:val="center"/>
              <w:rPr>
                <w:rFonts w:ascii="Cambria" w:eastAsia="Times New Roman" w:hAnsi="Cambria" w:cs="Calibri"/>
                <w:lang w:val="hr-HR"/>
              </w:rPr>
            </w:pPr>
            <w:r w:rsidRPr="00DF4CE5">
              <w:rPr>
                <w:rFonts w:ascii="Cambria" w:eastAsia="Times New Roman" w:hAnsi="Cambria" w:cs="Calibri"/>
                <w:lang w:val="hr-HR"/>
              </w:rPr>
              <w:t>3</w:t>
            </w:r>
            <w:r w:rsidR="000022B6" w:rsidRPr="00DF4CE5">
              <w:rPr>
                <w:rFonts w:ascii="Cambria" w:eastAsia="Times New Roman" w:hAnsi="Cambria" w:cs="Calibri"/>
                <w:lang w:val="hr-HR"/>
              </w:rPr>
              <w:t>9</w:t>
            </w:r>
          </w:p>
        </w:tc>
        <w:tc>
          <w:tcPr>
            <w:tcW w:w="10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B074B2D" w14:textId="6C4041EC" w:rsidR="003A42BE" w:rsidRPr="00DF4CE5" w:rsidRDefault="003A42BE" w:rsidP="006F12A5">
            <w:pPr>
              <w:spacing w:after="0" w:line="240" w:lineRule="atLeast"/>
              <w:jc w:val="center"/>
              <w:rPr>
                <w:rFonts w:ascii="Cambria" w:eastAsia="Times New Roman" w:hAnsi="Cambria" w:cs="Calibri"/>
                <w:lang w:val="hr-HR"/>
              </w:rPr>
            </w:pPr>
            <w:r w:rsidRPr="00DF4CE5">
              <w:rPr>
                <w:rFonts w:ascii="Cambria" w:eastAsia="Times New Roman" w:hAnsi="Cambria" w:cs="Calibri"/>
                <w:lang w:val="hr-HR"/>
              </w:rPr>
              <w:t>1</w:t>
            </w:r>
            <w:r w:rsidR="006F12A5">
              <w:rPr>
                <w:rFonts w:ascii="Cambria" w:eastAsia="Times New Roman" w:hAnsi="Cambria" w:cs="Calibri"/>
                <w:lang w:val="hr-HR"/>
              </w:rPr>
              <w:t>,</w:t>
            </w:r>
            <w:r w:rsidRPr="00DF4CE5">
              <w:rPr>
                <w:rFonts w:ascii="Cambria" w:eastAsia="Times New Roman" w:hAnsi="Cambria" w:cs="Calibri"/>
                <w:lang w:val="hr-HR"/>
              </w:rPr>
              <w:t>3</w:t>
            </w:r>
          </w:p>
        </w:tc>
        <w:tc>
          <w:tcPr>
            <w:tcW w:w="141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1DBC8E1" w14:textId="782DE25B" w:rsidR="003A42BE" w:rsidRPr="00DF4CE5" w:rsidRDefault="003A42BE" w:rsidP="006F12A5">
            <w:pPr>
              <w:spacing w:after="0" w:line="240" w:lineRule="atLeast"/>
              <w:jc w:val="center"/>
              <w:rPr>
                <w:rFonts w:ascii="Cambria" w:eastAsia="Times New Roman" w:hAnsi="Cambria" w:cs="Calibri"/>
                <w:lang w:val="hr-HR"/>
              </w:rPr>
            </w:pPr>
            <w:r w:rsidRPr="00DF4CE5">
              <w:rPr>
                <w:rFonts w:ascii="Cambria" w:eastAsia="Times New Roman" w:hAnsi="Cambria" w:cs="Calibri"/>
                <w:lang w:val="hr-HR"/>
              </w:rPr>
              <w:t>20%</w:t>
            </w:r>
          </w:p>
        </w:tc>
      </w:tr>
      <w:tr w:rsidR="003A42BE" w:rsidRPr="00DF4CE5" w14:paraId="2FDEFD99" w14:textId="77777777" w:rsidTr="000F1A10">
        <w:tc>
          <w:tcPr>
            <w:tcW w:w="2886" w:type="dxa"/>
            <w:vMerge/>
            <w:tcBorders>
              <w:left w:val="single" w:sz="8" w:space="0" w:color="000000"/>
              <w:right w:val="single" w:sz="8" w:space="0" w:color="000000"/>
            </w:tcBorders>
            <w:vAlign w:val="center"/>
            <w:hideMark/>
          </w:tcPr>
          <w:p w14:paraId="6F95F071" w14:textId="77777777" w:rsidR="003A42BE" w:rsidRPr="00DF4CE5" w:rsidRDefault="003A42BE" w:rsidP="008B34AF">
            <w:pPr>
              <w:spacing w:after="0" w:line="240" w:lineRule="atLeast"/>
              <w:jc w:val="both"/>
              <w:rPr>
                <w:rFonts w:ascii="Cambria" w:eastAsia="Times New Roman" w:hAnsi="Cambria" w:cs="Calibri"/>
                <w:lang w:val="hr-HR"/>
              </w:rPr>
            </w:pPr>
          </w:p>
        </w:tc>
        <w:tc>
          <w:tcPr>
            <w:tcW w:w="270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63618CF" w14:textId="77777777" w:rsidR="003A42BE" w:rsidRPr="00DF4CE5" w:rsidRDefault="003A42BE" w:rsidP="008B34AF">
            <w:pPr>
              <w:spacing w:after="0" w:line="240" w:lineRule="atLeast"/>
              <w:jc w:val="both"/>
              <w:rPr>
                <w:rFonts w:ascii="Cambria" w:eastAsia="Times New Roman" w:hAnsi="Cambria" w:cs="Calibri"/>
                <w:lang w:val="hr-HR"/>
              </w:rPr>
            </w:pPr>
            <w:r w:rsidRPr="00DF4CE5">
              <w:rPr>
                <w:rFonts w:ascii="Cambria" w:eastAsia="Times New Roman" w:hAnsi="Cambria" w:cs="Calibri"/>
              </w:rPr>
              <w:t>k</w:t>
            </w:r>
            <w:proofErr w:type="spellStart"/>
            <w:r w:rsidRPr="00DF4CE5">
              <w:rPr>
                <w:rFonts w:ascii="Cambria" w:eastAsia="Times New Roman" w:hAnsi="Cambria" w:cs="Calibri"/>
                <w:lang w:val="hr-HR"/>
              </w:rPr>
              <w:t>olokviji</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dva</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pisana</w:t>
            </w:r>
            <w:proofErr w:type="spellEnd"/>
            <w:r w:rsidRPr="00DF4CE5">
              <w:rPr>
                <w:rFonts w:ascii="Cambria" w:eastAsia="Times New Roman" w:hAnsi="Cambria" w:cs="Calibri"/>
              </w:rPr>
              <w:t>)</w:t>
            </w:r>
          </w:p>
        </w:tc>
        <w:tc>
          <w:tcPr>
            <w:tcW w:w="11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4629D7B" w14:textId="404894DF" w:rsidR="003A42BE" w:rsidRPr="00DF4CE5" w:rsidRDefault="003A42BE" w:rsidP="008B34AF">
            <w:pPr>
              <w:spacing w:after="0" w:line="240" w:lineRule="atLeast"/>
              <w:jc w:val="both"/>
              <w:rPr>
                <w:rFonts w:ascii="Cambria" w:eastAsia="Times New Roman" w:hAnsi="Cambria" w:cs="Calibri"/>
                <w:lang w:val="hr-HR"/>
              </w:rPr>
            </w:pPr>
            <w:r w:rsidRPr="00DF4CE5">
              <w:rPr>
                <w:rFonts w:ascii="Cambria" w:eastAsia="Times New Roman" w:hAnsi="Cambria" w:cs="Calibri"/>
                <w:lang w:val="hr-HR"/>
              </w:rPr>
              <w:t xml:space="preserve"> 1., 2., </w:t>
            </w:r>
            <w:r w:rsidR="006F12A5">
              <w:rPr>
                <w:rFonts w:ascii="Cambria" w:eastAsia="Times New Roman" w:hAnsi="Cambria" w:cs="Calibri"/>
                <w:lang w:val="hr-HR"/>
              </w:rPr>
              <w:t>4., 5</w:t>
            </w:r>
            <w:r w:rsidRPr="00DF4CE5">
              <w:rPr>
                <w:rFonts w:ascii="Cambria" w:eastAsia="Times New Roman" w:hAnsi="Cambria" w:cs="Calibri"/>
                <w:lang w:val="hr-HR"/>
              </w:rPr>
              <w:t>.</w:t>
            </w:r>
          </w:p>
        </w:tc>
        <w:tc>
          <w:tcPr>
            <w:tcW w:w="76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640612F" w14:textId="1351C55B" w:rsidR="003A42BE" w:rsidRPr="00DF4CE5" w:rsidRDefault="003A42BE" w:rsidP="006F12A5">
            <w:pPr>
              <w:spacing w:after="0" w:line="240" w:lineRule="atLeast"/>
              <w:jc w:val="center"/>
              <w:rPr>
                <w:rFonts w:ascii="Cambria" w:eastAsia="Times New Roman" w:hAnsi="Cambria" w:cs="Calibri"/>
                <w:lang w:val="hr-HR"/>
              </w:rPr>
            </w:pPr>
            <w:r w:rsidRPr="00DF4CE5">
              <w:rPr>
                <w:rFonts w:ascii="Cambria" w:eastAsia="Times New Roman" w:hAnsi="Cambria" w:cs="Calibri"/>
                <w:lang w:val="hr-HR"/>
              </w:rPr>
              <w:t>7</w:t>
            </w:r>
            <w:r w:rsidR="000022B6" w:rsidRPr="00DF4CE5">
              <w:rPr>
                <w:rFonts w:ascii="Cambria" w:eastAsia="Times New Roman" w:hAnsi="Cambria" w:cs="Calibri"/>
                <w:lang w:val="hr-HR"/>
              </w:rPr>
              <w:t>7</w:t>
            </w:r>
          </w:p>
        </w:tc>
        <w:tc>
          <w:tcPr>
            <w:tcW w:w="10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EDD1853" w14:textId="430CF71F" w:rsidR="003A42BE" w:rsidRPr="00DF4CE5" w:rsidRDefault="003A42BE" w:rsidP="006F12A5">
            <w:pPr>
              <w:spacing w:after="0" w:line="240" w:lineRule="atLeast"/>
              <w:jc w:val="center"/>
              <w:rPr>
                <w:rFonts w:ascii="Cambria" w:eastAsia="Times New Roman" w:hAnsi="Cambria" w:cs="Calibri"/>
                <w:lang w:val="hr-HR"/>
              </w:rPr>
            </w:pPr>
            <w:r w:rsidRPr="00DF4CE5">
              <w:rPr>
                <w:rFonts w:ascii="Cambria" w:eastAsia="Times New Roman" w:hAnsi="Cambria" w:cs="Calibri"/>
                <w:lang w:val="hr-HR"/>
              </w:rPr>
              <w:t>2</w:t>
            </w:r>
            <w:r w:rsidR="006F12A5">
              <w:rPr>
                <w:rFonts w:ascii="Cambria" w:eastAsia="Times New Roman" w:hAnsi="Cambria" w:cs="Calibri"/>
                <w:lang w:val="hr-HR"/>
              </w:rPr>
              <w:t>,</w:t>
            </w:r>
            <w:r w:rsidR="000022B6" w:rsidRPr="00DF4CE5">
              <w:rPr>
                <w:rFonts w:ascii="Cambria" w:eastAsia="Times New Roman" w:hAnsi="Cambria" w:cs="Calibri"/>
                <w:lang w:val="hr-HR"/>
              </w:rPr>
              <w:t>6</w:t>
            </w:r>
          </w:p>
        </w:tc>
        <w:tc>
          <w:tcPr>
            <w:tcW w:w="141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2FAF03C" w14:textId="6371298A" w:rsidR="003A42BE" w:rsidRPr="00DF4CE5" w:rsidRDefault="003A42BE" w:rsidP="006F12A5">
            <w:pPr>
              <w:spacing w:after="0" w:line="240" w:lineRule="atLeast"/>
              <w:jc w:val="center"/>
              <w:rPr>
                <w:rFonts w:ascii="Cambria" w:eastAsia="Times New Roman" w:hAnsi="Cambria" w:cs="Calibri"/>
                <w:lang w:val="hr-HR"/>
              </w:rPr>
            </w:pPr>
            <w:r w:rsidRPr="00DF4CE5">
              <w:rPr>
                <w:rFonts w:ascii="Cambria" w:eastAsia="Times New Roman" w:hAnsi="Cambria" w:cs="Calibri"/>
                <w:lang w:val="hr-HR"/>
              </w:rPr>
              <w:t>80%</w:t>
            </w:r>
          </w:p>
        </w:tc>
      </w:tr>
      <w:tr w:rsidR="003A42BE" w:rsidRPr="00DF4CE5" w14:paraId="7DA1A276" w14:textId="77777777" w:rsidTr="000F1A10">
        <w:tc>
          <w:tcPr>
            <w:tcW w:w="2886" w:type="dxa"/>
            <w:vMerge/>
            <w:tcBorders>
              <w:left w:val="single" w:sz="8" w:space="0" w:color="000000"/>
              <w:right w:val="single" w:sz="8" w:space="0" w:color="000000"/>
            </w:tcBorders>
            <w:vAlign w:val="center"/>
            <w:hideMark/>
          </w:tcPr>
          <w:p w14:paraId="18B39B38" w14:textId="77777777" w:rsidR="003A42BE" w:rsidRPr="00DF4CE5" w:rsidRDefault="003A42BE" w:rsidP="008B34AF">
            <w:pPr>
              <w:spacing w:after="0" w:line="240" w:lineRule="atLeast"/>
              <w:jc w:val="both"/>
              <w:rPr>
                <w:rFonts w:ascii="Cambria" w:eastAsia="Times New Roman" w:hAnsi="Cambria" w:cs="Calibri"/>
                <w:lang w:val="hr-HR"/>
              </w:rPr>
            </w:pPr>
          </w:p>
        </w:tc>
        <w:tc>
          <w:tcPr>
            <w:tcW w:w="3868"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D567582" w14:textId="2A3CF374" w:rsidR="003A42BE" w:rsidRPr="00DF4CE5" w:rsidRDefault="006F12A5" w:rsidP="008B34AF">
            <w:pPr>
              <w:spacing w:after="0" w:line="240" w:lineRule="atLeast"/>
              <w:jc w:val="both"/>
              <w:rPr>
                <w:rFonts w:ascii="Cambria" w:eastAsia="Times New Roman" w:hAnsi="Cambria" w:cs="Calibri"/>
                <w:lang w:val="hr-HR"/>
              </w:rPr>
            </w:pPr>
            <w:proofErr w:type="spellStart"/>
            <w:r>
              <w:rPr>
                <w:rFonts w:ascii="Cambria" w:eastAsia="Times New Roman" w:hAnsi="Cambria" w:cs="Calibri"/>
              </w:rPr>
              <w:t>u</w:t>
            </w:r>
            <w:r w:rsidR="003A42BE" w:rsidRPr="00DF4CE5">
              <w:rPr>
                <w:rFonts w:ascii="Cambria" w:eastAsia="Times New Roman" w:hAnsi="Cambria" w:cs="Calibri"/>
              </w:rPr>
              <w:t>kupno</w:t>
            </w:r>
            <w:proofErr w:type="spellEnd"/>
          </w:p>
        </w:tc>
        <w:tc>
          <w:tcPr>
            <w:tcW w:w="76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8E6BE9D" w14:textId="5C88C15B" w:rsidR="003A42BE" w:rsidRPr="00DF4CE5" w:rsidRDefault="003A42BE" w:rsidP="006F12A5">
            <w:pPr>
              <w:spacing w:after="0" w:line="240" w:lineRule="atLeast"/>
              <w:jc w:val="center"/>
              <w:rPr>
                <w:rFonts w:ascii="Cambria" w:eastAsia="Times New Roman" w:hAnsi="Cambria" w:cs="Calibri"/>
                <w:lang w:val="hr-HR"/>
              </w:rPr>
            </w:pPr>
            <w:r w:rsidRPr="00DF4CE5">
              <w:rPr>
                <w:rFonts w:ascii="Cambria" w:eastAsia="Times New Roman" w:hAnsi="Cambria" w:cs="Calibri"/>
                <w:lang w:val="hr-HR"/>
              </w:rPr>
              <w:t>1</w:t>
            </w:r>
            <w:r w:rsidR="000022B6" w:rsidRPr="00DF4CE5">
              <w:rPr>
                <w:rFonts w:ascii="Cambria" w:eastAsia="Times New Roman" w:hAnsi="Cambria" w:cs="Calibri"/>
                <w:lang w:val="hr-HR"/>
              </w:rPr>
              <w:t>5</w:t>
            </w:r>
            <w:r w:rsidRPr="00DF4CE5">
              <w:rPr>
                <w:rFonts w:ascii="Cambria" w:eastAsia="Times New Roman" w:hAnsi="Cambria" w:cs="Calibri"/>
                <w:lang w:val="hr-HR"/>
              </w:rPr>
              <w:t>0</w:t>
            </w:r>
          </w:p>
        </w:tc>
        <w:tc>
          <w:tcPr>
            <w:tcW w:w="10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72B6455" w14:textId="77777777" w:rsidR="003A42BE" w:rsidRPr="00DF4CE5" w:rsidRDefault="003A42BE" w:rsidP="006F12A5">
            <w:pPr>
              <w:spacing w:after="0" w:line="240" w:lineRule="atLeast"/>
              <w:jc w:val="center"/>
              <w:rPr>
                <w:rFonts w:ascii="Cambria" w:eastAsia="Times New Roman" w:hAnsi="Cambria" w:cs="Calibri"/>
                <w:lang w:val="hr-HR"/>
              </w:rPr>
            </w:pPr>
            <w:r w:rsidRPr="00DF4CE5">
              <w:rPr>
                <w:rFonts w:ascii="Cambria" w:eastAsia="Times New Roman" w:hAnsi="Cambria" w:cs="Calibri"/>
                <w:lang w:val="hr-HR"/>
              </w:rPr>
              <w:t>5</w:t>
            </w:r>
          </w:p>
        </w:tc>
        <w:tc>
          <w:tcPr>
            <w:tcW w:w="141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6B4B572" w14:textId="77777777" w:rsidR="003A42BE" w:rsidRPr="00DF4CE5" w:rsidRDefault="003A42BE" w:rsidP="006F12A5">
            <w:pPr>
              <w:spacing w:after="0" w:line="240" w:lineRule="atLeast"/>
              <w:jc w:val="center"/>
              <w:rPr>
                <w:rFonts w:ascii="Cambria" w:eastAsia="Times New Roman" w:hAnsi="Cambria" w:cs="Calibri"/>
                <w:lang w:val="hr-HR"/>
              </w:rPr>
            </w:pPr>
            <w:r w:rsidRPr="00DF4CE5">
              <w:rPr>
                <w:rFonts w:ascii="Cambria" w:eastAsia="Times New Roman" w:hAnsi="Cambria" w:cs="Calibri"/>
                <w:lang w:val="hr-HR"/>
              </w:rPr>
              <w:t>100%</w:t>
            </w:r>
          </w:p>
        </w:tc>
      </w:tr>
      <w:tr w:rsidR="003A42BE" w:rsidRPr="00D0399C" w14:paraId="43EEA0E9" w14:textId="77777777" w:rsidTr="000F1A10">
        <w:tc>
          <w:tcPr>
            <w:tcW w:w="2886" w:type="dxa"/>
            <w:vMerge/>
            <w:tcBorders>
              <w:left w:val="single" w:sz="8" w:space="0" w:color="000000"/>
              <w:bottom w:val="single" w:sz="8" w:space="0" w:color="000000"/>
              <w:right w:val="single" w:sz="8" w:space="0" w:color="000000"/>
            </w:tcBorders>
            <w:vAlign w:val="center"/>
          </w:tcPr>
          <w:p w14:paraId="3CE29715" w14:textId="77777777" w:rsidR="003A42BE" w:rsidRPr="00DF4CE5" w:rsidRDefault="003A42BE" w:rsidP="008B34AF">
            <w:pPr>
              <w:spacing w:after="0" w:line="240" w:lineRule="atLeast"/>
              <w:jc w:val="both"/>
              <w:rPr>
                <w:rFonts w:ascii="Cambria" w:eastAsia="Times New Roman" w:hAnsi="Cambria" w:cs="Calibri"/>
                <w:lang w:val="hr-HR"/>
              </w:rPr>
            </w:pPr>
          </w:p>
        </w:tc>
        <w:tc>
          <w:tcPr>
            <w:tcW w:w="7134"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BCAD12D" w14:textId="77777777" w:rsidR="003A42BE" w:rsidRPr="00DF4CE5" w:rsidRDefault="003A42BE" w:rsidP="008B34AF">
            <w:pPr>
              <w:spacing w:after="0" w:line="240" w:lineRule="atLeast"/>
              <w:jc w:val="both"/>
              <w:rPr>
                <w:rFonts w:ascii="Cambria" w:eastAsia="Times New Roman" w:hAnsi="Cambria" w:cs="Calibri"/>
                <w:lang w:val="hr-HR"/>
              </w:rPr>
            </w:pPr>
            <w:r w:rsidRPr="00DF4CE5">
              <w:rPr>
                <w:rFonts w:ascii="Cambria" w:eastAsia="Times New Roman" w:hAnsi="Cambria" w:cs="Calibri"/>
                <w:lang w:val="hr-HR"/>
              </w:rPr>
              <w:t>Dodatna pojašnjenja:</w:t>
            </w:r>
          </w:p>
          <w:p w14:paraId="0EC78F4E" w14:textId="77777777" w:rsidR="003A42BE" w:rsidRPr="00DF4CE5" w:rsidRDefault="003A42BE" w:rsidP="008B34AF">
            <w:pPr>
              <w:spacing w:after="0" w:line="240" w:lineRule="atLeast"/>
              <w:jc w:val="both"/>
              <w:rPr>
                <w:rFonts w:ascii="Cambria" w:eastAsia="Times New Roman" w:hAnsi="Cambria" w:cs="Calibri"/>
                <w:lang w:val="hr-HR"/>
              </w:rPr>
            </w:pPr>
            <w:r w:rsidRPr="00DF4CE5">
              <w:rPr>
                <w:rFonts w:ascii="Cambria" w:eastAsia="Times New Roman" w:hAnsi="Cambria" w:cs="Calibri"/>
                <w:lang w:val="hr-HR"/>
              </w:rPr>
              <w:t>Za uspješan završetak kolegija student iz samostalnog zadatka i kolokvija treba ostvariti najmanje polovinu predviđenih bodova.</w:t>
            </w:r>
          </w:p>
          <w:p w14:paraId="18D162A7" w14:textId="77777777" w:rsidR="003A42BE" w:rsidRPr="00DF4CE5" w:rsidRDefault="003A42BE" w:rsidP="006F12A5">
            <w:pPr>
              <w:spacing w:after="0" w:line="240" w:lineRule="atLeast"/>
              <w:jc w:val="both"/>
              <w:rPr>
                <w:rFonts w:ascii="Cambria" w:eastAsia="Times New Roman" w:hAnsi="Cambria" w:cs="Calibri"/>
                <w:lang w:val="hr-HR"/>
              </w:rPr>
            </w:pPr>
            <w:r w:rsidRPr="00DF4CE5">
              <w:rPr>
                <w:rFonts w:ascii="Cambria" w:eastAsia="Times New Roman" w:hAnsi="Cambria" w:cs="Calibri"/>
                <w:lang w:val="hr-HR"/>
              </w:rPr>
              <w:t>Kolokviji nisu obavezni ali studentima pružaju mogućnost oslobađanja od ispita (uz najmanje 50% bodova na pojedinom kolokviju). Oslobađanje od ispita (na osnovu rezultata ostvarenih na kolokvijima) vrijedi do kraja redovnog ispitnog roka u rujnu.</w:t>
            </w:r>
          </w:p>
          <w:p w14:paraId="33C266CD" w14:textId="77777777" w:rsidR="003A42BE" w:rsidRPr="00DF4CE5" w:rsidRDefault="003A42BE" w:rsidP="006F12A5">
            <w:pPr>
              <w:spacing w:after="0" w:line="240" w:lineRule="atLeast"/>
              <w:jc w:val="both"/>
              <w:rPr>
                <w:rFonts w:ascii="Cambria" w:eastAsia="Times New Roman" w:hAnsi="Cambria" w:cs="Calibri"/>
                <w:lang w:val="hr-HR"/>
              </w:rPr>
            </w:pPr>
            <w:r w:rsidRPr="00DF4CE5">
              <w:rPr>
                <w:rFonts w:ascii="Cambria" w:eastAsia="Times New Roman" w:hAnsi="Cambria" w:cs="Calibri"/>
                <w:lang w:val="hr-HR"/>
              </w:rPr>
              <w:t xml:space="preserve">Ukoliko student ne položi kolokvije, pristupa pisanom ispitu. Pisani ispit je eliminacijski (za prolaz na usmeni ispit potrebno je postići najmanje 50% bodova). </w:t>
            </w:r>
          </w:p>
        </w:tc>
      </w:tr>
      <w:tr w:rsidR="003A42BE" w:rsidRPr="00D0399C" w14:paraId="09A518E8" w14:textId="77777777" w:rsidTr="000F1A10">
        <w:tc>
          <w:tcPr>
            <w:tcW w:w="288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49FEDB3" w14:textId="77777777" w:rsidR="003A42BE" w:rsidRPr="00DF4CE5" w:rsidRDefault="003A42BE" w:rsidP="008B34AF">
            <w:pPr>
              <w:spacing w:after="0" w:line="240" w:lineRule="atLeast"/>
              <w:jc w:val="both"/>
              <w:rPr>
                <w:rFonts w:ascii="Cambria" w:eastAsia="Times New Roman" w:hAnsi="Cambria" w:cs="Calibri"/>
                <w:lang w:val="hr-HR"/>
              </w:rPr>
            </w:pPr>
            <w:r w:rsidRPr="00DF4CE5">
              <w:rPr>
                <w:rFonts w:ascii="Cambria" w:eastAsia="Times New Roman" w:hAnsi="Cambria" w:cs="Calibri"/>
                <w:lang w:val="hr-HR"/>
              </w:rPr>
              <w:t>Studentske obveze</w:t>
            </w:r>
          </w:p>
        </w:tc>
        <w:tc>
          <w:tcPr>
            <w:tcW w:w="713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66ECACF" w14:textId="77777777" w:rsidR="003A42BE" w:rsidRPr="00DF4CE5" w:rsidRDefault="003A42BE" w:rsidP="008B34AF">
            <w:pPr>
              <w:spacing w:after="0" w:line="240" w:lineRule="atLeast"/>
              <w:jc w:val="both"/>
              <w:rPr>
                <w:rFonts w:ascii="Cambria" w:eastAsia="Times New Roman" w:hAnsi="Cambria" w:cs="Calibri"/>
                <w:lang w:val="hr-HR"/>
              </w:rPr>
            </w:pPr>
            <w:r w:rsidRPr="00DF4CE5">
              <w:rPr>
                <w:rFonts w:ascii="Cambria" w:eastAsia="Times New Roman" w:hAnsi="Cambria" w:cs="Calibri"/>
                <w:lang w:val="hr-HR"/>
              </w:rPr>
              <w:t xml:space="preserve">Da položi kolegij, student/studentica mora: </w:t>
            </w:r>
          </w:p>
          <w:p w14:paraId="13675ECA" w14:textId="30885AD3" w:rsidR="003A42BE" w:rsidRPr="00DF4CE5" w:rsidRDefault="003A42BE" w:rsidP="008B34AF">
            <w:pPr>
              <w:spacing w:after="0" w:line="240" w:lineRule="atLeast"/>
              <w:ind w:left="206" w:hanging="206"/>
              <w:jc w:val="both"/>
              <w:rPr>
                <w:rFonts w:ascii="Cambria" w:eastAsia="Times New Roman" w:hAnsi="Cambria" w:cs="Calibri"/>
                <w:lang w:val="hr-HR"/>
              </w:rPr>
            </w:pPr>
            <w:r w:rsidRPr="00DF4CE5">
              <w:rPr>
                <w:rFonts w:ascii="Cambria" w:eastAsia="Times New Roman" w:hAnsi="Cambria" w:cs="Calibri"/>
                <w:lang w:val="hr-HR"/>
              </w:rPr>
              <w:t>1. redovito pohađati i aktivno sudjelovati u svim oblicima nastave</w:t>
            </w:r>
            <w:r w:rsidR="006F12A5">
              <w:rPr>
                <w:rFonts w:ascii="Cambria" w:eastAsia="Times New Roman" w:hAnsi="Cambria" w:cs="Calibri"/>
                <w:lang w:val="hr-HR"/>
              </w:rPr>
              <w:t xml:space="preserve"> (t</w:t>
            </w:r>
            <w:r w:rsidRPr="00DF4CE5">
              <w:rPr>
                <w:rFonts w:ascii="Cambria" w:eastAsia="Times New Roman" w:hAnsi="Cambria" w:cs="Calibri"/>
                <w:lang w:val="hr-HR"/>
              </w:rPr>
              <w:t>oleriraju se izostanci do 30% satnice</w:t>
            </w:r>
            <w:r w:rsidR="006F12A5">
              <w:rPr>
                <w:rFonts w:ascii="Cambria" w:eastAsia="Times New Roman" w:hAnsi="Cambria" w:cs="Calibri"/>
                <w:lang w:val="hr-HR"/>
              </w:rPr>
              <w:t xml:space="preserve">, </w:t>
            </w:r>
            <w:r w:rsidRPr="00DF4CE5">
              <w:rPr>
                <w:rFonts w:ascii="Cambria" w:eastAsia="Times New Roman" w:hAnsi="Cambria" w:cs="Calibri"/>
                <w:lang w:val="hr-HR"/>
              </w:rPr>
              <w:t>posebno za svaki oblik nastave)</w:t>
            </w:r>
          </w:p>
          <w:p w14:paraId="7FAC1AF5" w14:textId="77777777" w:rsidR="003A42BE" w:rsidRPr="00DF4CE5" w:rsidRDefault="003A42BE" w:rsidP="008B34AF">
            <w:pPr>
              <w:spacing w:after="0" w:line="240" w:lineRule="atLeast"/>
              <w:ind w:left="206" w:hanging="206"/>
              <w:jc w:val="both"/>
              <w:rPr>
                <w:rFonts w:ascii="Cambria" w:eastAsia="Times New Roman" w:hAnsi="Cambria" w:cs="Calibri"/>
                <w:lang w:val="hr-HR"/>
              </w:rPr>
            </w:pPr>
            <w:r w:rsidRPr="00DF4CE5">
              <w:rPr>
                <w:rFonts w:ascii="Cambria" w:eastAsia="Times New Roman" w:hAnsi="Cambria" w:cs="Calibri"/>
                <w:lang w:val="hr-HR"/>
              </w:rPr>
              <w:t xml:space="preserve">2. samostalno obraditi zadanu temu iz Kurikuluma nastavnog predmeta Priroda i društvo </w:t>
            </w:r>
          </w:p>
          <w:p w14:paraId="08933653" w14:textId="77777777" w:rsidR="003A42BE" w:rsidRPr="00DF4CE5" w:rsidRDefault="003A42BE" w:rsidP="008B34AF">
            <w:pPr>
              <w:spacing w:after="0" w:line="240" w:lineRule="atLeast"/>
              <w:ind w:left="206" w:hanging="206"/>
              <w:jc w:val="both"/>
              <w:rPr>
                <w:rFonts w:ascii="Cambria" w:eastAsia="Times New Roman" w:hAnsi="Cambria" w:cs="Calibri"/>
                <w:lang w:val="hr-HR"/>
              </w:rPr>
            </w:pPr>
            <w:r w:rsidRPr="00DF4CE5">
              <w:rPr>
                <w:rFonts w:ascii="Cambria" w:eastAsia="Times New Roman" w:hAnsi="Cambria" w:cs="Calibri"/>
                <w:lang w:val="hr-HR"/>
              </w:rPr>
              <w:t xml:space="preserve">3. klasificirati teme koncepata, </w:t>
            </w:r>
            <w:proofErr w:type="spellStart"/>
            <w:r w:rsidRPr="00DF4CE5">
              <w:rPr>
                <w:rFonts w:ascii="Cambria" w:eastAsia="Times New Roman" w:hAnsi="Cambria" w:cs="Calibri"/>
                <w:lang w:val="hr-HR"/>
              </w:rPr>
              <w:t>međupredmetne</w:t>
            </w:r>
            <w:proofErr w:type="spellEnd"/>
            <w:r w:rsidRPr="00DF4CE5">
              <w:rPr>
                <w:rFonts w:ascii="Cambria" w:eastAsia="Times New Roman" w:hAnsi="Cambria" w:cs="Calibri"/>
                <w:lang w:val="hr-HR"/>
              </w:rPr>
              <w:t xml:space="preserve"> teme i istraživački pristup u Kurikulumu nastavnog predmeta Priroda i društvo</w:t>
            </w:r>
          </w:p>
          <w:p w14:paraId="1297B172" w14:textId="77777777" w:rsidR="003A42BE" w:rsidRPr="00DF4CE5" w:rsidRDefault="003A42BE" w:rsidP="008B34AF">
            <w:pPr>
              <w:spacing w:after="0" w:line="240" w:lineRule="atLeast"/>
              <w:ind w:left="206" w:hanging="206"/>
              <w:jc w:val="both"/>
              <w:rPr>
                <w:rFonts w:ascii="Cambria" w:eastAsia="Times New Roman" w:hAnsi="Cambria" w:cs="Calibri"/>
                <w:lang w:val="hr-HR"/>
              </w:rPr>
            </w:pPr>
            <w:r w:rsidRPr="00DF4CE5">
              <w:rPr>
                <w:rFonts w:ascii="Cambria" w:eastAsia="Times New Roman" w:hAnsi="Cambria" w:cs="Calibri"/>
                <w:lang w:val="hr-HR"/>
              </w:rPr>
              <w:t>4. položiti 2 kolokvija ili položiti pisani ispit.</w:t>
            </w:r>
          </w:p>
          <w:p w14:paraId="607F2B18" w14:textId="77777777" w:rsidR="003A42BE" w:rsidRPr="00DF4CE5" w:rsidRDefault="003A42BE" w:rsidP="008B34AF">
            <w:pPr>
              <w:spacing w:after="0" w:line="240" w:lineRule="atLeast"/>
              <w:ind w:left="206" w:hanging="206"/>
              <w:jc w:val="both"/>
              <w:rPr>
                <w:rFonts w:ascii="Cambria" w:eastAsia="Times New Roman" w:hAnsi="Cambria" w:cs="Calibri"/>
                <w:lang w:val="hr-HR"/>
              </w:rPr>
            </w:pPr>
          </w:p>
        </w:tc>
      </w:tr>
      <w:tr w:rsidR="003A42BE" w:rsidRPr="00D0399C" w14:paraId="6C31FF43" w14:textId="77777777" w:rsidTr="000F1A10">
        <w:tc>
          <w:tcPr>
            <w:tcW w:w="288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DB91FF3" w14:textId="77777777" w:rsidR="003A42BE" w:rsidRPr="00DF4CE5" w:rsidRDefault="003A42BE" w:rsidP="008B34AF">
            <w:pPr>
              <w:spacing w:after="0" w:line="240" w:lineRule="atLeast"/>
              <w:jc w:val="both"/>
              <w:rPr>
                <w:rFonts w:ascii="Cambria" w:eastAsia="Times New Roman" w:hAnsi="Cambria" w:cs="Calibri"/>
                <w:lang w:val="hr-HR"/>
              </w:rPr>
            </w:pPr>
            <w:proofErr w:type="spellStart"/>
            <w:r w:rsidRPr="00DF4CE5">
              <w:rPr>
                <w:rFonts w:ascii="Cambria" w:eastAsia="Times New Roman" w:hAnsi="Cambria" w:cs="Calibri"/>
              </w:rPr>
              <w:t>Rokovi</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ispita</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i</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kolokvija</w:t>
            </w:r>
            <w:proofErr w:type="spellEnd"/>
          </w:p>
        </w:tc>
        <w:tc>
          <w:tcPr>
            <w:tcW w:w="713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20B726F" w14:textId="77777777" w:rsidR="003A42BE" w:rsidRPr="00DF4CE5" w:rsidRDefault="003A42BE" w:rsidP="008B34AF">
            <w:pPr>
              <w:spacing w:after="0" w:line="240" w:lineRule="atLeast"/>
              <w:jc w:val="both"/>
              <w:rPr>
                <w:rFonts w:ascii="Cambria" w:eastAsia="Times New Roman" w:hAnsi="Cambria" w:cs="Calibri"/>
                <w:lang w:val="hr-HR"/>
              </w:rPr>
            </w:pPr>
            <w:r w:rsidRPr="00DF4CE5">
              <w:rPr>
                <w:rFonts w:ascii="Cambria" w:eastAsia="Times New Roman" w:hAnsi="Cambria" w:cs="Calibri"/>
                <w:lang w:val="hr-HR"/>
              </w:rPr>
              <w:t>Određuju se na početku akademske godine, objavljuju se na mrežnim stranicama Sveučilišta i u ISVU sustavu</w:t>
            </w:r>
          </w:p>
        </w:tc>
      </w:tr>
      <w:tr w:rsidR="003A42BE" w:rsidRPr="000F1EE1" w14:paraId="6DAC5B7D" w14:textId="77777777" w:rsidTr="000F1A10">
        <w:tc>
          <w:tcPr>
            <w:tcW w:w="288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51A9F9B" w14:textId="77777777" w:rsidR="003A42BE" w:rsidRPr="00DF4CE5" w:rsidRDefault="003A42BE" w:rsidP="008B34AF">
            <w:pPr>
              <w:spacing w:after="0" w:line="240" w:lineRule="atLeast"/>
              <w:jc w:val="both"/>
              <w:rPr>
                <w:rFonts w:ascii="Cambria" w:eastAsia="Times New Roman" w:hAnsi="Cambria" w:cs="Calibri"/>
                <w:lang w:val="hr-HR"/>
              </w:rPr>
            </w:pPr>
            <w:r w:rsidRPr="00DF4CE5">
              <w:rPr>
                <w:rFonts w:ascii="Cambria" w:eastAsia="Times New Roman" w:hAnsi="Cambria" w:cs="Calibri"/>
                <w:lang w:val="hr-HR"/>
              </w:rPr>
              <w:t xml:space="preserve">Ostale važne činjenice </w:t>
            </w:r>
            <w:proofErr w:type="spellStart"/>
            <w:r w:rsidRPr="00DF4CE5">
              <w:rPr>
                <w:rFonts w:ascii="Cambria" w:eastAsia="Times New Roman" w:hAnsi="Cambria" w:cs="Calibri"/>
                <w:lang w:val="it-IT"/>
              </w:rPr>
              <w:t>vezane</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uz</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kolegij</w:t>
            </w:r>
            <w:proofErr w:type="spellEnd"/>
          </w:p>
        </w:tc>
        <w:tc>
          <w:tcPr>
            <w:tcW w:w="713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969D74B" w14:textId="77777777" w:rsidR="003A42BE" w:rsidRPr="00DF4CE5" w:rsidRDefault="003A42BE" w:rsidP="008B34AF">
            <w:pPr>
              <w:spacing w:after="0" w:line="240" w:lineRule="atLeast"/>
              <w:jc w:val="both"/>
              <w:rPr>
                <w:rFonts w:ascii="Cambria" w:eastAsia="Times New Roman" w:hAnsi="Cambria" w:cs="Calibri"/>
                <w:lang w:val="hr-HR"/>
              </w:rPr>
            </w:pPr>
            <w:r w:rsidRPr="00DF4CE5">
              <w:rPr>
                <w:rFonts w:ascii="Cambria" w:eastAsia="Times New Roman" w:hAnsi="Cambria" w:cs="Calibri"/>
                <w:lang w:val="hr-HR"/>
              </w:rPr>
              <w:t>Svi materijali objavljeni su na e-učenju.</w:t>
            </w:r>
          </w:p>
          <w:p w14:paraId="6C755E37" w14:textId="259B6B3E" w:rsidR="003A42BE" w:rsidRPr="00DF4CE5" w:rsidRDefault="003A42BE" w:rsidP="008B34AF">
            <w:pPr>
              <w:spacing w:after="0" w:line="240" w:lineRule="atLeast"/>
              <w:jc w:val="both"/>
              <w:rPr>
                <w:rFonts w:ascii="Cambria" w:eastAsia="Times New Roman" w:hAnsi="Cambria" w:cs="Calibri"/>
                <w:lang w:val="hr-HR"/>
              </w:rPr>
            </w:pPr>
            <w:r w:rsidRPr="00DF4CE5">
              <w:rPr>
                <w:rFonts w:ascii="Cambria" w:eastAsia="Times New Roman" w:hAnsi="Cambria" w:cs="Calibri"/>
                <w:lang w:val="hr-HR"/>
              </w:rPr>
              <w:t xml:space="preserve">U slučaju održavanja nastave na daljinu, moguće je odstupanje u: mjestu izvođenja kolegija, provedbi aktivnosti, metoda tumačenja i poučavanja i načinima vrednovanja, studentskim obvezama i dostupnoj literaturi. O tome će nositeljica kolegija i </w:t>
            </w:r>
            <w:r w:rsidR="000F1EE1">
              <w:rPr>
                <w:rFonts w:ascii="Cambria" w:eastAsia="Times New Roman" w:hAnsi="Cambria" w:cs="Calibri"/>
                <w:lang w:val="hr-HR"/>
              </w:rPr>
              <w:t>suradnica</w:t>
            </w:r>
            <w:r w:rsidRPr="00DF4CE5">
              <w:rPr>
                <w:rFonts w:ascii="Cambria" w:eastAsia="Times New Roman" w:hAnsi="Cambria" w:cs="Calibri"/>
                <w:lang w:val="hr-HR"/>
              </w:rPr>
              <w:t xml:space="preserve"> obavijestiti studente i studentice kad se nastava na daljinu počne održavati. Ishodi učenja ostaju nepromijenjeni.</w:t>
            </w:r>
          </w:p>
        </w:tc>
      </w:tr>
      <w:tr w:rsidR="003A42BE" w:rsidRPr="00D0399C" w14:paraId="57359DE1" w14:textId="77777777" w:rsidTr="000F1A10">
        <w:trPr>
          <w:trHeight w:val="770"/>
        </w:trPr>
        <w:tc>
          <w:tcPr>
            <w:tcW w:w="288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83EBFD4" w14:textId="77777777" w:rsidR="003A42BE" w:rsidRPr="00DF4CE5" w:rsidRDefault="003A42BE" w:rsidP="008B34AF">
            <w:pPr>
              <w:spacing w:after="0" w:line="240" w:lineRule="atLeast"/>
              <w:jc w:val="both"/>
              <w:rPr>
                <w:rFonts w:ascii="Cambria" w:eastAsia="Times New Roman" w:hAnsi="Cambria" w:cs="Calibri"/>
                <w:lang w:val="hr-HR"/>
              </w:rPr>
            </w:pPr>
            <w:r w:rsidRPr="00DF4CE5">
              <w:rPr>
                <w:rFonts w:ascii="Cambria" w:eastAsia="Times New Roman" w:hAnsi="Cambria" w:cs="Calibri"/>
                <w:lang w:val="hr-HR"/>
              </w:rPr>
              <w:t>Literatura</w:t>
            </w:r>
          </w:p>
        </w:tc>
        <w:tc>
          <w:tcPr>
            <w:tcW w:w="7134"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6A51CD67" w14:textId="77777777" w:rsidR="003A42BE" w:rsidRPr="00DF4CE5" w:rsidRDefault="003A42BE" w:rsidP="008B34AF">
            <w:pPr>
              <w:snapToGrid w:val="0"/>
              <w:spacing w:after="0" w:line="240" w:lineRule="atLeast"/>
              <w:ind w:left="431" w:hanging="431"/>
              <w:jc w:val="both"/>
              <w:rPr>
                <w:rFonts w:ascii="Cambria" w:eastAsia="Times New Roman" w:hAnsi="Cambria" w:cs="Calibri"/>
                <w:lang w:val="hr-HR"/>
              </w:rPr>
            </w:pPr>
            <w:r w:rsidRPr="00DF4CE5">
              <w:rPr>
                <w:rFonts w:ascii="Cambria" w:eastAsia="Times New Roman" w:hAnsi="Cambria" w:cs="Calibri"/>
                <w:lang w:val="hr-HR"/>
              </w:rPr>
              <w:t>Obvezna:</w:t>
            </w:r>
          </w:p>
          <w:p w14:paraId="5F41DAC2" w14:textId="77777777" w:rsidR="003A42BE" w:rsidRPr="00DF4CE5" w:rsidRDefault="003A42BE" w:rsidP="008B34AF">
            <w:pPr>
              <w:snapToGrid w:val="0"/>
              <w:spacing w:after="0" w:line="240" w:lineRule="atLeast"/>
              <w:ind w:left="431" w:hanging="431"/>
              <w:jc w:val="both"/>
              <w:rPr>
                <w:rFonts w:ascii="Cambria" w:eastAsia="Times New Roman" w:hAnsi="Cambria" w:cs="Calibri"/>
                <w:lang w:val="hr-HR"/>
              </w:rPr>
            </w:pPr>
            <w:r w:rsidRPr="00DF4CE5">
              <w:rPr>
                <w:rFonts w:ascii="Cambria" w:eastAsia="Times New Roman" w:hAnsi="Cambria" w:cs="Calibri"/>
                <w:lang w:val="hr-HR"/>
              </w:rPr>
              <w:t xml:space="preserve">1. De </w:t>
            </w:r>
            <w:proofErr w:type="spellStart"/>
            <w:r w:rsidRPr="00DF4CE5">
              <w:rPr>
                <w:rFonts w:ascii="Cambria" w:eastAsia="Times New Roman" w:hAnsi="Cambria" w:cs="Calibri"/>
                <w:lang w:val="hr-HR"/>
              </w:rPr>
              <w:t>Zan</w:t>
            </w:r>
            <w:proofErr w:type="spellEnd"/>
            <w:r w:rsidRPr="00DF4CE5">
              <w:rPr>
                <w:rFonts w:ascii="Cambria" w:eastAsia="Times New Roman" w:hAnsi="Cambria" w:cs="Calibri"/>
                <w:lang w:val="hr-HR"/>
              </w:rPr>
              <w:t>, I. (2005). Metodika nastave prirode i društva. Zagreb: Školska knjiga (str. 13-152).</w:t>
            </w:r>
          </w:p>
          <w:p w14:paraId="7C72255B" w14:textId="77777777" w:rsidR="003A42BE" w:rsidRPr="00DF4CE5" w:rsidRDefault="003A42BE" w:rsidP="008B34AF">
            <w:pPr>
              <w:snapToGrid w:val="0"/>
              <w:spacing w:after="0" w:line="240" w:lineRule="atLeast"/>
              <w:ind w:left="431" w:hanging="431"/>
              <w:jc w:val="both"/>
              <w:rPr>
                <w:rFonts w:ascii="Cambria" w:eastAsia="Times New Roman" w:hAnsi="Cambria" w:cs="Calibri"/>
                <w:lang w:val="hr-HR"/>
              </w:rPr>
            </w:pPr>
            <w:r w:rsidRPr="00DF4CE5">
              <w:rPr>
                <w:rFonts w:ascii="Cambria" w:eastAsia="Times New Roman" w:hAnsi="Cambria" w:cs="Calibri"/>
                <w:lang w:val="hr-HR"/>
              </w:rPr>
              <w:t xml:space="preserve">2. </w:t>
            </w:r>
            <w:proofErr w:type="spellStart"/>
            <w:r w:rsidRPr="00DF4CE5">
              <w:rPr>
                <w:rFonts w:ascii="Cambria" w:eastAsia="Times New Roman" w:hAnsi="Cambria" w:cs="Calibri"/>
                <w:lang w:val="hr-HR"/>
              </w:rPr>
              <w:t>Kostović-Vranješ</w:t>
            </w:r>
            <w:proofErr w:type="spellEnd"/>
            <w:r w:rsidRPr="00DF4CE5">
              <w:rPr>
                <w:rFonts w:ascii="Cambria" w:eastAsia="Times New Roman" w:hAnsi="Cambria" w:cs="Calibri"/>
                <w:lang w:val="hr-HR"/>
              </w:rPr>
              <w:t>, V. (2015). Metodika nastave predmeta prirodoslovnog područja.  Zagreb: Školska knjiga</w:t>
            </w:r>
          </w:p>
          <w:p w14:paraId="7D1A0931" w14:textId="566E0263" w:rsidR="003A42BE" w:rsidRPr="00DF4CE5" w:rsidRDefault="003A42BE" w:rsidP="000F1EE1">
            <w:pPr>
              <w:snapToGrid w:val="0"/>
              <w:spacing w:after="0" w:line="240" w:lineRule="atLeast"/>
              <w:ind w:left="431" w:hanging="431"/>
              <w:jc w:val="both"/>
              <w:rPr>
                <w:rFonts w:ascii="Cambria" w:eastAsia="Times New Roman" w:hAnsi="Cambria" w:cs="Calibri"/>
                <w:lang w:val="hr-HR"/>
              </w:rPr>
            </w:pPr>
            <w:r w:rsidRPr="00DF4CE5">
              <w:rPr>
                <w:rFonts w:ascii="Cambria" w:eastAsia="Times New Roman" w:hAnsi="Cambria" w:cs="Calibri"/>
                <w:lang w:val="hr-HR"/>
              </w:rPr>
              <w:t>3. Ministarstvo znanosti i obrazovanja (2019)</w:t>
            </w:r>
            <w:r w:rsidR="00AD67E5" w:rsidRPr="00DF4CE5">
              <w:rPr>
                <w:rFonts w:ascii="Cambria" w:eastAsia="Times New Roman" w:hAnsi="Cambria" w:cs="Calibri"/>
                <w:lang w:val="hr-HR"/>
              </w:rPr>
              <w:t>.</w:t>
            </w:r>
            <w:r w:rsidRPr="00DF4CE5">
              <w:rPr>
                <w:rFonts w:ascii="Cambria" w:eastAsia="Times New Roman" w:hAnsi="Cambria" w:cs="Calibri"/>
                <w:lang w:val="hr-HR"/>
              </w:rPr>
              <w:t xml:space="preserve"> Kurikulum nastavnog predmeta Priroda i društvo. Zagreb</w:t>
            </w:r>
          </w:p>
          <w:p w14:paraId="6ADF8E3D" w14:textId="77777777" w:rsidR="003A42BE" w:rsidRPr="00DF4CE5" w:rsidRDefault="003A42BE" w:rsidP="008B34AF">
            <w:pPr>
              <w:spacing w:after="0" w:line="240" w:lineRule="atLeast"/>
              <w:ind w:left="431" w:hanging="431"/>
              <w:jc w:val="both"/>
              <w:rPr>
                <w:rFonts w:ascii="Cambria" w:eastAsia="Times New Roman" w:hAnsi="Cambria" w:cs="Calibri"/>
                <w:lang w:val="hr-HR"/>
              </w:rPr>
            </w:pPr>
            <w:r w:rsidRPr="00DF4CE5">
              <w:rPr>
                <w:rFonts w:ascii="Cambria" w:eastAsia="Times New Roman" w:hAnsi="Cambria" w:cs="Calibri"/>
                <w:lang w:val="hr-HR"/>
              </w:rPr>
              <w:t>Izborna:</w:t>
            </w:r>
          </w:p>
          <w:p w14:paraId="1D60BAAA" w14:textId="77777777" w:rsidR="003A42BE" w:rsidRPr="00DF4CE5" w:rsidRDefault="003A42BE" w:rsidP="008B34AF">
            <w:pPr>
              <w:spacing w:after="0" w:line="240" w:lineRule="atLeast"/>
              <w:ind w:left="65" w:firstLine="292"/>
              <w:jc w:val="both"/>
              <w:rPr>
                <w:rFonts w:ascii="Cambria" w:eastAsia="Times New Roman" w:hAnsi="Cambria" w:cs="Calibri"/>
                <w:lang w:val="hr-HR"/>
              </w:rPr>
            </w:pPr>
            <w:r w:rsidRPr="00DF4CE5">
              <w:rPr>
                <w:rFonts w:ascii="Cambria" w:eastAsia="Times New Roman" w:hAnsi="Cambria" w:cs="Calibri"/>
                <w:lang w:val="hr-HR"/>
              </w:rPr>
              <w:t xml:space="preserve">1. Anderson, L. W. &amp; David R. </w:t>
            </w:r>
            <w:proofErr w:type="spellStart"/>
            <w:r w:rsidRPr="00DF4CE5">
              <w:rPr>
                <w:rFonts w:ascii="Cambria" w:eastAsia="Times New Roman" w:hAnsi="Cambria" w:cs="Calibri"/>
                <w:lang w:val="hr-HR"/>
              </w:rPr>
              <w:t>Krathwohl</w:t>
            </w:r>
            <w:proofErr w:type="spellEnd"/>
            <w:r w:rsidRPr="00DF4CE5">
              <w:rPr>
                <w:rFonts w:ascii="Cambria" w:eastAsia="Times New Roman" w:hAnsi="Cambria" w:cs="Calibri"/>
                <w:lang w:val="hr-HR"/>
              </w:rPr>
              <w:t>, D. R.(</w:t>
            </w:r>
            <w:proofErr w:type="spellStart"/>
            <w:r w:rsidRPr="00DF4CE5">
              <w:rPr>
                <w:rFonts w:ascii="Cambria" w:eastAsia="Times New Roman" w:hAnsi="Cambria" w:cs="Calibri"/>
                <w:lang w:val="hr-HR"/>
              </w:rPr>
              <w:t>Eds</w:t>
            </w:r>
            <w:proofErr w:type="spellEnd"/>
            <w:r w:rsidRPr="00DF4CE5">
              <w:rPr>
                <w:rFonts w:ascii="Cambria" w:eastAsia="Times New Roman" w:hAnsi="Cambria" w:cs="Calibri"/>
                <w:lang w:val="hr-HR"/>
              </w:rPr>
              <w:t xml:space="preserve">.) (2001). A </w:t>
            </w:r>
            <w:proofErr w:type="spellStart"/>
            <w:r w:rsidRPr="00DF4CE5">
              <w:rPr>
                <w:rFonts w:ascii="Cambria" w:eastAsia="Times New Roman" w:hAnsi="Cambria" w:cs="Calibri"/>
                <w:lang w:val="hr-HR"/>
              </w:rPr>
              <w:t>Taxonomy</w:t>
            </w:r>
            <w:proofErr w:type="spellEnd"/>
            <w:r w:rsidRPr="00DF4CE5">
              <w:rPr>
                <w:rFonts w:ascii="Cambria" w:eastAsia="Times New Roman" w:hAnsi="Cambria" w:cs="Calibri"/>
                <w:lang w:val="hr-HR"/>
              </w:rPr>
              <w:t xml:space="preserve"> for </w:t>
            </w:r>
            <w:proofErr w:type="spellStart"/>
            <w:r w:rsidRPr="00DF4CE5">
              <w:rPr>
                <w:rFonts w:ascii="Cambria" w:eastAsia="Times New Roman" w:hAnsi="Cambria" w:cs="Calibri"/>
                <w:lang w:val="hr-HR"/>
              </w:rPr>
              <w:t>Learning</w:t>
            </w:r>
            <w:proofErr w:type="spellEnd"/>
            <w:r w:rsidRPr="00DF4CE5">
              <w:rPr>
                <w:rFonts w:ascii="Cambria" w:eastAsia="Times New Roman" w:hAnsi="Cambria" w:cs="Calibri"/>
                <w:lang w:val="hr-HR"/>
              </w:rPr>
              <w:t xml:space="preserve">, </w:t>
            </w:r>
            <w:proofErr w:type="spellStart"/>
            <w:r w:rsidRPr="00DF4CE5">
              <w:rPr>
                <w:rFonts w:ascii="Cambria" w:eastAsia="Times New Roman" w:hAnsi="Cambria" w:cs="Calibri"/>
                <w:lang w:val="hr-HR"/>
              </w:rPr>
              <w:t>Teaching</w:t>
            </w:r>
            <w:proofErr w:type="spellEnd"/>
            <w:r w:rsidRPr="00DF4CE5">
              <w:rPr>
                <w:rFonts w:ascii="Cambria" w:eastAsia="Times New Roman" w:hAnsi="Cambria" w:cs="Calibri"/>
                <w:lang w:val="hr-HR"/>
              </w:rPr>
              <w:t xml:space="preserve">, </w:t>
            </w:r>
            <w:proofErr w:type="spellStart"/>
            <w:r w:rsidRPr="00DF4CE5">
              <w:rPr>
                <w:rFonts w:ascii="Cambria" w:eastAsia="Times New Roman" w:hAnsi="Cambria" w:cs="Calibri"/>
                <w:lang w:val="hr-HR"/>
              </w:rPr>
              <w:t>and</w:t>
            </w:r>
            <w:proofErr w:type="spellEnd"/>
            <w:r w:rsidRPr="00DF4CE5">
              <w:rPr>
                <w:rFonts w:ascii="Cambria" w:eastAsia="Times New Roman" w:hAnsi="Cambria" w:cs="Calibri"/>
                <w:lang w:val="hr-HR"/>
              </w:rPr>
              <w:t xml:space="preserve"> </w:t>
            </w:r>
            <w:proofErr w:type="spellStart"/>
            <w:r w:rsidRPr="00DF4CE5">
              <w:rPr>
                <w:rFonts w:ascii="Cambria" w:eastAsia="Times New Roman" w:hAnsi="Cambria" w:cs="Calibri"/>
                <w:lang w:val="hr-HR"/>
              </w:rPr>
              <w:t>Assessing</w:t>
            </w:r>
            <w:proofErr w:type="spellEnd"/>
            <w:r w:rsidRPr="00DF4CE5">
              <w:rPr>
                <w:rFonts w:ascii="Cambria" w:eastAsia="Times New Roman" w:hAnsi="Cambria" w:cs="Calibri"/>
                <w:lang w:val="hr-HR"/>
              </w:rPr>
              <w:t xml:space="preserve">: A </w:t>
            </w:r>
            <w:proofErr w:type="spellStart"/>
            <w:r w:rsidRPr="00DF4CE5">
              <w:rPr>
                <w:rFonts w:ascii="Cambria" w:eastAsia="Times New Roman" w:hAnsi="Cambria" w:cs="Calibri"/>
                <w:lang w:val="hr-HR"/>
              </w:rPr>
              <w:t>Revision</w:t>
            </w:r>
            <w:proofErr w:type="spellEnd"/>
            <w:r w:rsidRPr="00DF4CE5">
              <w:rPr>
                <w:rFonts w:ascii="Cambria" w:eastAsia="Times New Roman" w:hAnsi="Cambria" w:cs="Calibri"/>
                <w:lang w:val="hr-HR"/>
              </w:rPr>
              <w:t xml:space="preserve"> </w:t>
            </w:r>
            <w:proofErr w:type="spellStart"/>
            <w:r w:rsidRPr="00DF4CE5">
              <w:rPr>
                <w:rFonts w:ascii="Cambria" w:eastAsia="Times New Roman" w:hAnsi="Cambria" w:cs="Calibri"/>
                <w:lang w:val="hr-HR"/>
              </w:rPr>
              <w:t>of</w:t>
            </w:r>
            <w:proofErr w:type="spellEnd"/>
            <w:r w:rsidRPr="00DF4CE5">
              <w:rPr>
                <w:rFonts w:ascii="Cambria" w:eastAsia="Times New Roman" w:hAnsi="Cambria" w:cs="Calibri"/>
                <w:lang w:val="hr-HR"/>
              </w:rPr>
              <w:t xml:space="preserve"> </w:t>
            </w:r>
            <w:proofErr w:type="spellStart"/>
            <w:r w:rsidRPr="00DF4CE5">
              <w:rPr>
                <w:rFonts w:ascii="Cambria" w:eastAsia="Times New Roman" w:hAnsi="Cambria" w:cs="Calibri"/>
                <w:lang w:val="hr-HR"/>
              </w:rPr>
              <w:t>Bloom's</w:t>
            </w:r>
            <w:proofErr w:type="spellEnd"/>
            <w:r w:rsidRPr="00DF4CE5">
              <w:rPr>
                <w:rFonts w:ascii="Cambria" w:eastAsia="Times New Roman" w:hAnsi="Cambria" w:cs="Calibri"/>
                <w:lang w:val="hr-HR"/>
              </w:rPr>
              <w:t xml:space="preserve"> </w:t>
            </w:r>
            <w:proofErr w:type="spellStart"/>
            <w:r w:rsidRPr="00DF4CE5">
              <w:rPr>
                <w:rFonts w:ascii="Cambria" w:eastAsia="Times New Roman" w:hAnsi="Cambria" w:cs="Calibri"/>
                <w:lang w:val="hr-HR"/>
              </w:rPr>
              <w:t>Taxonomy</w:t>
            </w:r>
            <w:proofErr w:type="spellEnd"/>
            <w:r w:rsidRPr="00DF4CE5">
              <w:rPr>
                <w:rFonts w:ascii="Cambria" w:eastAsia="Times New Roman" w:hAnsi="Cambria" w:cs="Calibri"/>
                <w:lang w:val="hr-HR"/>
              </w:rPr>
              <w:t xml:space="preserve"> </w:t>
            </w:r>
            <w:proofErr w:type="spellStart"/>
            <w:r w:rsidRPr="00DF4CE5">
              <w:rPr>
                <w:rFonts w:ascii="Cambria" w:eastAsia="Times New Roman" w:hAnsi="Cambria" w:cs="Calibri"/>
                <w:lang w:val="hr-HR"/>
              </w:rPr>
              <w:t>of</w:t>
            </w:r>
            <w:proofErr w:type="spellEnd"/>
            <w:r w:rsidRPr="00DF4CE5">
              <w:rPr>
                <w:rFonts w:ascii="Cambria" w:eastAsia="Times New Roman" w:hAnsi="Cambria" w:cs="Calibri"/>
                <w:lang w:val="hr-HR"/>
              </w:rPr>
              <w:t xml:space="preserve"> </w:t>
            </w:r>
            <w:proofErr w:type="spellStart"/>
            <w:r w:rsidRPr="00DF4CE5">
              <w:rPr>
                <w:rFonts w:ascii="Cambria" w:eastAsia="Times New Roman" w:hAnsi="Cambria" w:cs="Calibri"/>
                <w:lang w:val="hr-HR"/>
              </w:rPr>
              <w:t>Educational</w:t>
            </w:r>
            <w:proofErr w:type="spellEnd"/>
            <w:r w:rsidRPr="00DF4CE5">
              <w:rPr>
                <w:rFonts w:ascii="Cambria" w:eastAsia="Times New Roman" w:hAnsi="Cambria" w:cs="Calibri"/>
                <w:lang w:val="hr-HR"/>
              </w:rPr>
              <w:t xml:space="preserve"> </w:t>
            </w:r>
            <w:proofErr w:type="spellStart"/>
            <w:r w:rsidRPr="00DF4CE5">
              <w:rPr>
                <w:rFonts w:ascii="Cambria" w:eastAsia="Times New Roman" w:hAnsi="Cambria" w:cs="Calibri"/>
                <w:lang w:val="hr-HR"/>
              </w:rPr>
              <w:t>Objectives</w:t>
            </w:r>
            <w:proofErr w:type="spellEnd"/>
            <w:r w:rsidRPr="00DF4CE5">
              <w:rPr>
                <w:rFonts w:ascii="Cambria" w:eastAsia="Times New Roman" w:hAnsi="Cambria" w:cs="Calibri"/>
                <w:lang w:val="hr-HR"/>
              </w:rPr>
              <w:t xml:space="preserve">. </w:t>
            </w:r>
            <w:proofErr w:type="spellStart"/>
            <w:r w:rsidRPr="00DF4CE5">
              <w:rPr>
                <w:rFonts w:ascii="Cambria" w:eastAsia="Times New Roman" w:hAnsi="Cambria" w:cs="Calibri"/>
                <w:lang w:val="hr-HR"/>
              </w:rPr>
              <w:t>Allyn</w:t>
            </w:r>
            <w:proofErr w:type="spellEnd"/>
            <w:r w:rsidRPr="00DF4CE5">
              <w:rPr>
                <w:rFonts w:ascii="Cambria" w:eastAsia="Times New Roman" w:hAnsi="Cambria" w:cs="Calibri"/>
                <w:lang w:val="hr-HR"/>
              </w:rPr>
              <w:t xml:space="preserve"> &amp; Bacon. Boston, MA   </w:t>
            </w:r>
          </w:p>
          <w:p w14:paraId="22E5D304" w14:textId="77777777" w:rsidR="003A42BE" w:rsidRPr="00DF4CE5" w:rsidRDefault="003A42BE" w:rsidP="008B34AF">
            <w:pPr>
              <w:spacing w:after="0" w:line="240" w:lineRule="atLeast"/>
              <w:ind w:left="65" w:firstLine="292"/>
              <w:jc w:val="both"/>
              <w:rPr>
                <w:rFonts w:ascii="Cambria" w:eastAsia="Times New Roman" w:hAnsi="Cambria" w:cs="Calibri"/>
                <w:lang w:val="hr-HR"/>
              </w:rPr>
            </w:pPr>
            <w:r w:rsidRPr="00DF4CE5">
              <w:rPr>
                <w:rFonts w:ascii="Cambria" w:eastAsia="Times New Roman" w:hAnsi="Cambria" w:cs="Calibri"/>
                <w:lang w:val="hr-HR"/>
              </w:rPr>
              <w:t xml:space="preserve">2. </w:t>
            </w:r>
            <w:proofErr w:type="spellStart"/>
            <w:r w:rsidRPr="00DF4CE5">
              <w:rPr>
                <w:rFonts w:ascii="Cambria" w:eastAsia="Times New Roman" w:hAnsi="Cambria" w:cs="Calibri"/>
                <w:lang w:val="hr-HR"/>
              </w:rPr>
              <w:t>Beere</w:t>
            </w:r>
            <w:proofErr w:type="spellEnd"/>
            <w:r w:rsidRPr="00DF4CE5">
              <w:rPr>
                <w:rFonts w:ascii="Cambria" w:eastAsia="Times New Roman" w:hAnsi="Cambria" w:cs="Calibri"/>
                <w:lang w:val="hr-HR"/>
              </w:rPr>
              <w:t xml:space="preserve">, J. (2010). </w:t>
            </w:r>
            <w:proofErr w:type="spellStart"/>
            <w:r w:rsidRPr="00DF4CE5">
              <w:rPr>
                <w:rFonts w:ascii="Cambria" w:eastAsia="Times New Roman" w:hAnsi="Cambria" w:cs="Calibri"/>
                <w:lang w:val="hr-HR"/>
              </w:rPr>
              <w:t>The</w:t>
            </w:r>
            <w:proofErr w:type="spellEnd"/>
            <w:r w:rsidRPr="00DF4CE5">
              <w:rPr>
                <w:rFonts w:ascii="Cambria" w:eastAsia="Times New Roman" w:hAnsi="Cambria" w:cs="Calibri"/>
                <w:lang w:val="hr-HR"/>
              </w:rPr>
              <w:t xml:space="preserve"> </w:t>
            </w:r>
            <w:proofErr w:type="spellStart"/>
            <w:r w:rsidRPr="00DF4CE5">
              <w:rPr>
                <w:rFonts w:ascii="Cambria" w:eastAsia="Times New Roman" w:hAnsi="Cambria" w:cs="Calibri"/>
                <w:lang w:val="hr-HR"/>
              </w:rPr>
              <w:t>primary</w:t>
            </w:r>
            <w:proofErr w:type="spellEnd"/>
            <w:r w:rsidRPr="00DF4CE5">
              <w:rPr>
                <w:rFonts w:ascii="Cambria" w:eastAsia="Times New Roman" w:hAnsi="Cambria" w:cs="Calibri"/>
                <w:lang w:val="hr-HR"/>
              </w:rPr>
              <w:t xml:space="preserve"> </w:t>
            </w:r>
            <w:proofErr w:type="spellStart"/>
            <w:r w:rsidRPr="00DF4CE5">
              <w:rPr>
                <w:rFonts w:ascii="Cambria" w:eastAsia="Times New Roman" w:hAnsi="Cambria" w:cs="Calibri"/>
                <w:lang w:val="hr-HR"/>
              </w:rPr>
              <w:t>learner's</w:t>
            </w:r>
            <w:proofErr w:type="spellEnd"/>
            <w:r w:rsidRPr="00DF4CE5">
              <w:rPr>
                <w:rFonts w:ascii="Cambria" w:eastAsia="Times New Roman" w:hAnsi="Cambria" w:cs="Calibri"/>
                <w:lang w:val="hr-HR"/>
              </w:rPr>
              <w:t xml:space="preserve"> </w:t>
            </w:r>
            <w:proofErr w:type="spellStart"/>
            <w:r w:rsidRPr="00DF4CE5">
              <w:rPr>
                <w:rFonts w:ascii="Cambria" w:eastAsia="Times New Roman" w:hAnsi="Cambria" w:cs="Calibri"/>
                <w:lang w:val="hr-HR"/>
              </w:rPr>
              <w:t>toolkit</w:t>
            </w:r>
            <w:proofErr w:type="spellEnd"/>
            <w:r w:rsidRPr="00DF4CE5">
              <w:rPr>
                <w:rFonts w:ascii="Cambria" w:eastAsia="Times New Roman" w:hAnsi="Cambria" w:cs="Calibri"/>
                <w:lang w:val="hr-HR"/>
              </w:rPr>
              <w:t xml:space="preserve">. </w:t>
            </w:r>
            <w:proofErr w:type="spellStart"/>
            <w:r w:rsidRPr="00DF4CE5">
              <w:rPr>
                <w:rFonts w:ascii="Cambria" w:eastAsia="Times New Roman" w:hAnsi="Cambria" w:cs="Calibri"/>
                <w:lang w:val="hr-HR"/>
              </w:rPr>
              <w:t>Crown</w:t>
            </w:r>
            <w:proofErr w:type="spellEnd"/>
            <w:r w:rsidRPr="00DF4CE5">
              <w:rPr>
                <w:rFonts w:ascii="Cambria" w:eastAsia="Times New Roman" w:hAnsi="Cambria" w:cs="Calibri"/>
                <w:lang w:val="hr-HR"/>
              </w:rPr>
              <w:t xml:space="preserve"> House </w:t>
            </w:r>
            <w:proofErr w:type="spellStart"/>
            <w:r w:rsidRPr="00DF4CE5">
              <w:rPr>
                <w:rFonts w:ascii="Cambria" w:eastAsia="Times New Roman" w:hAnsi="Cambria" w:cs="Calibri"/>
                <w:lang w:val="hr-HR"/>
              </w:rPr>
              <w:t>Publishing</w:t>
            </w:r>
            <w:proofErr w:type="spellEnd"/>
            <w:r w:rsidRPr="00DF4CE5">
              <w:rPr>
                <w:rFonts w:ascii="Cambria" w:eastAsia="Times New Roman" w:hAnsi="Cambria" w:cs="Calibri"/>
                <w:lang w:val="hr-HR"/>
              </w:rPr>
              <w:t xml:space="preserve"> Jensen </w:t>
            </w:r>
          </w:p>
          <w:p w14:paraId="6CC8321E" w14:textId="555E7A23" w:rsidR="003A42BE" w:rsidRPr="00DF4CE5" w:rsidRDefault="003A42BE" w:rsidP="000F1EE1">
            <w:pPr>
              <w:spacing w:after="0" w:line="240" w:lineRule="atLeast"/>
              <w:ind w:left="65" w:firstLine="292"/>
              <w:jc w:val="both"/>
              <w:rPr>
                <w:rFonts w:ascii="Cambria" w:eastAsia="Times New Roman" w:hAnsi="Cambria" w:cs="Calibri"/>
                <w:lang w:val="hr-HR"/>
              </w:rPr>
            </w:pPr>
            <w:r w:rsidRPr="00DF4CE5">
              <w:rPr>
                <w:rFonts w:ascii="Cambria" w:eastAsia="Times New Roman" w:hAnsi="Cambria" w:cs="Calibri"/>
                <w:lang w:val="hr-HR"/>
              </w:rPr>
              <w:t xml:space="preserve">3. Babić A., Kovačić I., </w:t>
            </w:r>
            <w:proofErr w:type="spellStart"/>
            <w:r w:rsidRPr="00DF4CE5">
              <w:rPr>
                <w:rFonts w:ascii="Cambria" w:eastAsia="Times New Roman" w:hAnsi="Cambria" w:cs="Calibri"/>
                <w:lang w:val="hr-HR"/>
              </w:rPr>
              <w:t>Dolenc</w:t>
            </w:r>
            <w:proofErr w:type="spellEnd"/>
            <w:r w:rsidRPr="00DF4CE5">
              <w:rPr>
                <w:rFonts w:ascii="Cambria" w:eastAsia="Times New Roman" w:hAnsi="Cambria" w:cs="Calibri"/>
                <w:lang w:val="hr-HR"/>
              </w:rPr>
              <w:t xml:space="preserve"> Orbanić, N. (2021). Raznolikost živog svijeta. Sveučilište Jurja Dobrile u Puli, Pula</w:t>
            </w:r>
          </w:p>
          <w:p w14:paraId="57378D4D" w14:textId="77777777" w:rsidR="003A42BE" w:rsidRPr="00DF4CE5" w:rsidRDefault="003A42BE" w:rsidP="008B34AF">
            <w:pPr>
              <w:spacing w:after="0" w:line="240" w:lineRule="atLeast"/>
              <w:ind w:left="65" w:firstLine="292"/>
              <w:jc w:val="both"/>
              <w:rPr>
                <w:rFonts w:ascii="Cambria" w:eastAsia="Times New Roman" w:hAnsi="Cambria" w:cs="Calibri"/>
                <w:lang w:val="hr-HR"/>
              </w:rPr>
            </w:pPr>
            <w:r w:rsidRPr="00DF4CE5">
              <w:rPr>
                <w:rFonts w:ascii="Cambria" w:eastAsia="Times New Roman" w:hAnsi="Cambria" w:cs="Calibri"/>
                <w:lang w:val="hr-HR"/>
              </w:rPr>
              <w:lastRenderedPageBreak/>
              <w:t>Priručna:</w:t>
            </w:r>
          </w:p>
          <w:p w14:paraId="0934AC1A" w14:textId="77777777" w:rsidR="003A42BE" w:rsidRPr="00DF4CE5" w:rsidRDefault="003A42BE" w:rsidP="008B34AF">
            <w:pPr>
              <w:spacing w:after="0" w:line="240" w:lineRule="atLeast"/>
              <w:ind w:left="431" w:hanging="431"/>
              <w:jc w:val="both"/>
              <w:rPr>
                <w:rFonts w:ascii="Cambria" w:eastAsia="Times New Roman" w:hAnsi="Cambria" w:cs="Calibri"/>
                <w:lang w:val="hr-HR"/>
              </w:rPr>
            </w:pPr>
            <w:r w:rsidRPr="00DF4CE5">
              <w:rPr>
                <w:rFonts w:ascii="Cambria" w:eastAsia="Times New Roman" w:hAnsi="Cambria" w:cs="Calibri"/>
                <w:lang w:val="hr-HR"/>
              </w:rPr>
              <w:t>Udžbenici prirode i društva od 1.- 4. razreda, radne bilježnice i metodički priručnici za učitelje</w:t>
            </w:r>
          </w:p>
          <w:p w14:paraId="44BB0EDA" w14:textId="77777777" w:rsidR="003A42BE" w:rsidRPr="00DF4CE5" w:rsidRDefault="003A42BE" w:rsidP="008B34AF">
            <w:pPr>
              <w:spacing w:after="0" w:line="240" w:lineRule="atLeast"/>
              <w:jc w:val="both"/>
              <w:rPr>
                <w:rFonts w:ascii="Cambria" w:eastAsia="Times New Roman" w:hAnsi="Cambria" w:cs="Calibri"/>
                <w:lang w:val="hr-HR"/>
              </w:rPr>
            </w:pPr>
          </w:p>
        </w:tc>
      </w:tr>
    </w:tbl>
    <w:p w14:paraId="3EF6B507" w14:textId="77777777" w:rsidR="003A42BE" w:rsidRPr="00DF4CE5" w:rsidRDefault="003A42BE" w:rsidP="008B34AF">
      <w:pPr>
        <w:jc w:val="both"/>
        <w:rPr>
          <w:rFonts w:ascii="Cambria" w:hAnsi="Cambria"/>
          <w:lang w:val="hr-HR"/>
        </w:rPr>
      </w:pPr>
    </w:p>
    <w:p w14:paraId="198BA3CA" w14:textId="77777777" w:rsidR="003A42BE" w:rsidRPr="00DF4CE5" w:rsidRDefault="003A42BE" w:rsidP="008B34AF">
      <w:pPr>
        <w:jc w:val="both"/>
        <w:rPr>
          <w:rFonts w:ascii="Cambria" w:hAnsi="Cambria"/>
          <w:lang w:val="hr-HR"/>
        </w:rPr>
      </w:pPr>
    </w:p>
    <w:p w14:paraId="1D17327C" w14:textId="77777777" w:rsidR="003A42BE" w:rsidRPr="00DF4CE5" w:rsidRDefault="003A42BE" w:rsidP="008B34AF">
      <w:pPr>
        <w:jc w:val="both"/>
        <w:rPr>
          <w:rFonts w:ascii="Cambria" w:hAnsi="Cambria"/>
          <w:lang w:val="hr-HR"/>
        </w:rPr>
      </w:pPr>
    </w:p>
    <w:p w14:paraId="1DF87812" w14:textId="77777777" w:rsidR="003A42BE" w:rsidRPr="00DF4CE5" w:rsidRDefault="003A42BE" w:rsidP="008B34AF">
      <w:pPr>
        <w:jc w:val="both"/>
        <w:rPr>
          <w:rFonts w:ascii="Cambria" w:hAnsi="Cambria"/>
          <w:lang w:val="hr-HR"/>
        </w:rPr>
      </w:pPr>
    </w:p>
    <w:p w14:paraId="602306C8" w14:textId="77777777" w:rsidR="003A42BE" w:rsidRPr="00DF4CE5" w:rsidRDefault="003A42BE" w:rsidP="008B34AF">
      <w:pPr>
        <w:jc w:val="both"/>
        <w:rPr>
          <w:rFonts w:ascii="Cambria" w:hAnsi="Cambria"/>
          <w:lang w:val="hr-HR"/>
        </w:rPr>
      </w:pPr>
    </w:p>
    <w:p w14:paraId="3AC801FF" w14:textId="3392A5CF" w:rsidR="00DB0462" w:rsidRDefault="00DB0462">
      <w:pPr>
        <w:rPr>
          <w:rFonts w:ascii="Cambria" w:hAnsi="Cambria"/>
          <w:lang w:val="hr-HR"/>
        </w:rPr>
      </w:pPr>
      <w:r>
        <w:rPr>
          <w:rFonts w:ascii="Cambria" w:hAnsi="Cambria"/>
          <w:lang w:val="hr-HR"/>
        </w:rPr>
        <w:br w:type="page"/>
      </w:r>
    </w:p>
    <w:p w14:paraId="1BEFC1E1" w14:textId="77777777" w:rsidR="003A42BE" w:rsidRPr="00DF4CE5" w:rsidRDefault="003A42BE" w:rsidP="008B34AF">
      <w:pPr>
        <w:jc w:val="both"/>
        <w:rPr>
          <w:rFonts w:ascii="Cambria" w:hAnsi="Cambria"/>
          <w:lang w:val="hr-HR"/>
        </w:rPr>
      </w:pPr>
    </w:p>
    <w:tbl>
      <w:tblPr>
        <w:tblW w:w="5000" w:type="pct"/>
        <w:tblLayout w:type="fixed"/>
        <w:tblCellMar>
          <w:left w:w="0" w:type="dxa"/>
          <w:right w:w="0" w:type="dxa"/>
        </w:tblCellMar>
        <w:tblLook w:val="0600" w:firstRow="0" w:lastRow="0" w:firstColumn="0" w:lastColumn="0" w:noHBand="1" w:noVBand="1"/>
      </w:tblPr>
      <w:tblGrid>
        <w:gridCol w:w="2806"/>
        <w:gridCol w:w="2663"/>
        <w:gridCol w:w="105"/>
        <w:gridCol w:w="1172"/>
        <w:gridCol w:w="300"/>
        <w:gridCol w:w="472"/>
        <w:gridCol w:w="1087"/>
        <w:gridCol w:w="1415"/>
      </w:tblGrid>
      <w:tr w:rsidR="003A42BE" w:rsidRPr="00DF4CE5" w14:paraId="1C7BF968" w14:textId="77777777" w:rsidTr="004A100E">
        <w:tc>
          <w:tcPr>
            <w:tcW w:w="9340"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6015739" w14:textId="77777777" w:rsidR="003A42BE" w:rsidRPr="00DF4CE5" w:rsidRDefault="003A42BE" w:rsidP="00A12846">
            <w:pPr>
              <w:spacing w:after="0" w:line="240" w:lineRule="auto"/>
              <w:jc w:val="right"/>
              <w:rPr>
                <w:rFonts w:ascii="Cambria" w:eastAsia="Times New Roman" w:hAnsi="Cambria" w:cs="Calibri"/>
                <w:b/>
                <w:lang w:val="hr-HR"/>
              </w:rPr>
            </w:pPr>
            <w:r w:rsidRPr="00DF4CE5">
              <w:rPr>
                <w:rFonts w:ascii="Cambria" w:eastAsia="Times New Roman" w:hAnsi="Cambria" w:cs="Calibri"/>
                <w:b/>
                <w:lang w:val="hr-HR"/>
              </w:rPr>
              <w:t>IZVEDBENI PLAN NASTAVE KOLEGIJA</w:t>
            </w:r>
          </w:p>
        </w:tc>
      </w:tr>
      <w:tr w:rsidR="003A42BE" w:rsidRPr="00DF4CE5" w14:paraId="7D5C47BC" w14:textId="77777777" w:rsidTr="004A100E">
        <w:tc>
          <w:tcPr>
            <w:tcW w:w="261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B1BBA22" w14:textId="77777777" w:rsidR="003A42BE" w:rsidRPr="00DF4CE5" w:rsidRDefault="003A42BE"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Kod i naziv kolegija</w:t>
            </w:r>
          </w:p>
        </w:tc>
        <w:tc>
          <w:tcPr>
            <w:tcW w:w="672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1C0A2C3" w14:textId="77777777" w:rsidR="003A42BE" w:rsidRPr="00DF4CE5" w:rsidRDefault="003A42BE"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96514  </w:t>
            </w:r>
          </w:p>
          <w:p w14:paraId="6630E8B5" w14:textId="3DD59AEA" w:rsidR="003A42BE" w:rsidRPr="00DF4CE5" w:rsidRDefault="003A42BE"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Metodika glazbene kulture III</w:t>
            </w:r>
          </w:p>
        </w:tc>
      </w:tr>
      <w:tr w:rsidR="003A42BE" w:rsidRPr="00DF4CE5" w14:paraId="0A01BD0E" w14:textId="77777777" w:rsidTr="004A100E">
        <w:tc>
          <w:tcPr>
            <w:tcW w:w="261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838EB49" w14:textId="77777777" w:rsidR="003A42BE" w:rsidRPr="00DF4CE5" w:rsidRDefault="003A42BE"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Nastavnica </w:t>
            </w:r>
          </w:p>
          <w:p w14:paraId="1AA73041" w14:textId="77777777" w:rsidR="003A42BE" w:rsidRPr="00DF4CE5" w:rsidRDefault="003A42BE"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Suradnik</w:t>
            </w:r>
          </w:p>
        </w:tc>
        <w:tc>
          <w:tcPr>
            <w:tcW w:w="672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93978D3" w14:textId="2D98C4FB" w:rsidR="003A42BE" w:rsidRPr="00DF4CE5" w:rsidRDefault="000F1A10" w:rsidP="008B34AF">
            <w:pPr>
              <w:spacing w:after="0" w:line="240" w:lineRule="auto"/>
              <w:jc w:val="both"/>
              <w:rPr>
                <w:rFonts w:ascii="Cambria" w:hAnsi="Cambria"/>
                <w:lang w:val="it-IT"/>
              </w:rPr>
            </w:pPr>
            <w:hyperlink r:id="rId147" w:history="1">
              <w:r w:rsidRPr="000F1A10">
                <w:rPr>
                  <w:rStyle w:val="Hiperveza"/>
                  <w:rFonts w:ascii="Cambria" w:hAnsi="Cambria"/>
                  <w:lang w:val="it-IT"/>
                </w:rPr>
                <w:t>Prof. dr. sc. Ivana Paula Gortan-Carlin</w:t>
              </w:r>
            </w:hyperlink>
            <w:r>
              <w:rPr>
                <w:rFonts w:ascii="Cambria" w:hAnsi="Cambria"/>
                <w:lang w:val="it-IT"/>
              </w:rPr>
              <w:t xml:space="preserve"> (</w:t>
            </w:r>
            <w:proofErr w:type="spellStart"/>
            <w:r>
              <w:rPr>
                <w:rFonts w:ascii="Cambria" w:hAnsi="Cambria"/>
                <w:lang w:val="it-IT"/>
              </w:rPr>
              <w:t>nosi</w:t>
            </w:r>
            <w:r w:rsidR="00541CA9" w:rsidRPr="00DF4CE5">
              <w:rPr>
                <w:rFonts w:ascii="Cambria" w:hAnsi="Cambria"/>
                <w:lang w:val="it-IT"/>
              </w:rPr>
              <w:t>teljica</w:t>
            </w:r>
            <w:proofErr w:type="spellEnd"/>
            <w:r w:rsidR="00541CA9" w:rsidRPr="00DF4CE5">
              <w:rPr>
                <w:rFonts w:ascii="Cambria" w:hAnsi="Cambria"/>
                <w:lang w:val="it-IT"/>
              </w:rPr>
              <w:t>)</w:t>
            </w:r>
          </w:p>
          <w:p w14:paraId="758F000C" w14:textId="24E1B120" w:rsidR="00541CA9" w:rsidRPr="00DF4CE5" w:rsidRDefault="00541CA9" w:rsidP="008B34AF">
            <w:pPr>
              <w:spacing w:after="0" w:line="240" w:lineRule="auto"/>
              <w:jc w:val="both"/>
              <w:rPr>
                <w:rFonts w:ascii="Cambria" w:eastAsia="Times New Roman" w:hAnsi="Cambria" w:cs="Calibri"/>
                <w:lang w:val="hr-HR"/>
              </w:rPr>
            </w:pPr>
            <w:hyperlink r:id="rId148" w:history="1">
              <w:r w:rsidRPr="000F1EE1">
                <w:rPr>
                  <w:rStyle w:val="Hiperveza"/>
                  <w:rFonts w:ascii="Cambria" w:hAnsi="Cambria"/>
                </w:rPr>
                <w:t>Mr.</w:t>
              </w:r>
              <w:r w:rsidR="00DB0462" w:rsidRPr="000F1EE1">
                <w:rPr>
                  <w:rStyle w:val="Hiperveza"/>
                  <w:rFonts w:ascii="Cambria" w:hAnsi="Cambria"/>
                </w:rPr>
                <w:t xml:space="preserve"> </w:t>
              </w:r>
              <w:r w:rsidRPr="000F1EE1">
                <w:rPr>
                  <w:rStyle w:val="Hiperveza"/>
                  <w:rFonts w:ascii="Cambria" w:hAnsi="Cambria"/>
                </w:rPr>
                <w:t>sc.</w:t>
              </w:r>
              <w:r w:rsidR="00DB0462" w:rsidRPr="000F1EE1">
                <w:rPr>
                  <w:rStyle w:val="Hiperveza"/>
                  <w:rFonts w:ascii="Cambria" w:hAnsi="Cambria"/>
                </w:rPr>
                <w:t xml:space="preserve"> </w:t>
              </w:r>
              <w:r w:rsidRPr="000F1EE1">
                <w:rPr>
                  <w:rStyle w:val="Hiperveza"/>
                  <w:rFonts w:ascii="Cambria" w:hAnsi="Cambria"/>
                </w:rPr>
                <w:t>Branko Radić, pred.</w:t>
              </w:r>
            </w:hyperlink>
          </w:p>
        </w:tc>
      </w:tr>
      <w:tr w:rsidR="003A42BE" w:rsidRPr="00D0399C" w14:paraId="2001E098" w14:textId="77777777" w:rsidTr="004A100E">
        <w:tc>
          <w:tcPr>
            <w:tcW w:w="261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FBE7CC0" w14:textId="77777777" w:rsidR="003A42BE" w:rsidRPr="00DF4CE5" w:rsidRDefault="003A42BE"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Studijski program</w:t>
            </w:r>
          </w:p>
        </w:tc>
        <w:tc>
          <w:tcPr>
            <w:tcW w:w="672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9C4DA92" w14:textId="77777777" w:rsidR="003A42BE" w:rsidRPr="00DF4CE5" w:rsidRDefault="003A42BE"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Sveučilišni integrirani prijediplomski i diplomski Učiteljski studij na hrvatskom jeziku</w:t>
            </w:r>
          </w:p>
        </w:tc>
      </w:tr>
      <w:tr w:rsidR="003A42BE" w:rsidRPr="00DF4CE5" w14:paraId="2CF718F3" w14:textId="77777777" w:rsidTr="004A100E">
        <w:tc>
          <w:tcPr>
            <w:tcW w:w="261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311DAA0" w14:textId="77777777" w:rsidR="003A42BE" w:rsidRPr="00DF4CE5" w:rsidRDefault="003A42BE"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Vrsta kolegija</w:t>
            </w:r>
          </w:p>
        </w:tc>
        <w:tc>
          <w:tcPr>
            <w:tcW w:w="248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EFCD077" w14:textId="77777777" w:rsidR="003A42BE" w:rsidRPr="00DF4CE5" w:rsidRDefault="003A42BE"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obvezan </w:t>
            </w:r>
          </w:p>
        </w:tc>
        <w:tc>
          <w:tcPr>
            <w:tcW w:w="1470"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23D642BF" w14:textId="77777777" w:rsidR="003A42BE" w:rsidRPr="00DF4CE5" w:rsidRDefault="003A42BE"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Razina kolegija</w:t>
            </w:r>
          </w:p>
        </w:tc>
        <w:tc>
          <w:tcPr>
            <w:tcW w:w="2772"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DCB57E0" w14:textId="5F34BF71" w:rsidR="003A42BE" w:rsidRPr="00DF4CE5" w:rsidRDefault="000F1EE1" w:rsidP="008B34AF">
            <w:pPr>
              <w:spacing w:after="0" w:line="240" w:lineRule="auto"/>
              <w:jc w:val="both"/>
              <w:rPr>
                <w:rFonts w:ascii="Cambria" w:eastAsia="Times New Roman" w:hAnsi="Cambria" w:cs="Calibri"/>
                <w:lang w:val="hr-HR"/>
              </w:rPr>
            </w:pPr>
            <w:proofErr w:type="spellStart"/>
            <w:r>
              <w:rPr>
                <w:rFonts w:ascii="Cambria" w:eastAsia="Times New Roman" w:hAnsi="Cambria" w:cs="Calibri"/>
                <w:lang w:val="it-IT"/>
              </w:rPr>
              <w:t>in</w:t>
            </w:r>
            <w:r w:rsidR="003A42BE" w:rsidRPr="00DF4CE5">
              <w:rPr>
                <w:rFonts w:ascii="Cambria" w:eastAsia="Times New Roman" w:hAnsi="Cambria" w:cs="Calibri"/>
                <w:lang w:val="it-IT"/>
              </w:rPr>
              <w:t>tegrirani</w:t>
            </w:r>
            <w:proofErr w:type="spellEnd"/>
          </w:p>
        </w:tc>
      </w:tr>
      <w:tr w:rsidR="003A42BE" w:rsidRPr="00DF4CE5" w14:paraId="517D47E7" w14:textId="77777777" w:rsidTr="004A100E">
        <w:tc>
          <w:tcPr>
            <w:tcW w:w="261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E84DD66" w14:textId="77777777" w:rsidR="003A42BE" w:rsidRPr="00DF4CE5" w:rsidRDefault="003A42BE"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Semestar</w:t>
            </w:r>
          </w:p>
        </w:tc>
        <w:tc>
          <w:tcPr>
            <w:tcW w:w="248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A2E5197" w14:textId="1708CE5E" w:rsidR="003A42BE" w:rsidRPr="00DF4CE5" w:rsidRDefault="000F1EE1" w:rsidP="008B34AF">
            <w:pPr>
              <w:spacing w:after="0" w:line="240" w:lineRule="auto"/>
              <w:jc w:val="both"/>
              <w:rPr>
                <w:rFonts w:ascii="Cambria" w:eastAsia="Times New Roman" w:hAnsi="Cambria" w:cs="Calibri"/>
                <w:lang w:val="hr-HR"/>
              </w:rPr>
            </w:pPr>
            <w:r>
              <w:rPr>
                <w:rFonts w:ascii="Cambria" w:eastAsia="Times New Roman" w:hAnsi="Cambria" w:cs="Calibri"/>
                <w:lang w:val="hr-HR"/>
              </w:rPr>
              <w:t>l</w:t>
            </w:r>
            <w:r w:rsidR="003A42BE" w:rsidRPr="00DF4CE5">
              <w:rPr>
                <w:rFonts w:ascii="Cambria" w:eastAsia="Times New Roman" w:hAnsi="Cambria" w:cs="Calibri"/>
                <w:lang w:val="hr-HR"/>
              </w:rPr>
              <w:t>jetni</w:t>
            </w:r>
          </w:p>
        </w:tc>
        <w:tc>
          <w:tcPr>
            <w:tcW w:w="1470"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0DFD0F43" w14:textId="77777777" w:rsidR="003A42BE" w:rsidRPr="00DF4CE5" w:rsidRDefault="003A42BE"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Godina studija</w:t>
            </w:r>
          </w:p>
        </w:tc>
        <w:tc>
          <w:tcPr>
            <w:tcW w:w="2772"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03F250D" w14:textId="77777777" w:rsidR="003A42BE" w:rsidRPr="00DF4CE5" w:rsidRDefault="003A42BE"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IV.</w:t>
            </w:r>
          </w:p>
        </w:tc>
      </w:tr>
      <w:tr w:rsidR="003A42BE" w:rsidRPr="00DF4CE5" w14:paraId="04418204" w14:textId="77777777" w:rsidTr="004A100E">
        <w:tc>
          <w:tcPr>
            <w:tcW w:w="261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E3C3D23" w14:textId="77777777" w:rsidR="003A42BE" w:rsidRPr="00DF4CE5" w:rsidRDefault="003A42BE" w:rsidP="008B34AF">
            <w:pPr>
              <w:spacing w:after="0" w:line="240" w:lineRule="auto"/>
              <w:jc w:val="both"/>
              <w:rPr>
                <w:rFonts w:ascii="Cambria" w:eastAsia="Times New Roman" w:hAnsi="Cambria" w:cs="Calibri"/>
                <w:lang w:val="hr-HR"/>
              </w:rPr>
            </w:pPr>
            <w:proofErr w:type="spellStart"/>
            <w:r w:rsidRPr="00DF4CE5">
              <w:rPr>
                <w:rFonts w:ascii="Cambria" w:eastAsia="Times New Roman" w:hAnsi="Cambria" w:cs="Calibri"/>
              </w:rPr>
              <w:t>Mjesto</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izvođenja</w:t>
            </w:r>
            <w:proofErr w:type="spellEnd"/>
          </w:p>
        </w:tc>
        <w:tc>
          <w:tcPr>
            <w:tcW w:w="248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80247D8" w14:textId="62842550" w:rsidR="003A42BE" w:rsidRPr="00DF4CE5" w:rsidRDefault="003A42BE"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učionica,</w:t>
            </w:r>
          </w:p>
          <w:p w14:paraId="0A8B2B66" w14:textId="77777777" w:rsidR="003A42BE" w:rsidRPr="00DF4CE5" w:rsidRDefault="003A42BE"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osnovna škola</w:t>
            </w:r>
          </w:p>
        </w:tc>
        <w:tc>
          <w:tcPr>
            <w:tcW w:w="1470"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180C9A56" w14:textId="77777777" w:rsidR="003A42BE" w:rsidRPr="00DF4CE5" w:rsidRDefault="003A42BE" w:rsidP="008B34AF">
            <w:pPr>
              <w:spacing w:after="0" w:line="240" w:lineRule="auto"/>
              <w:jc w:val="both"/>
              <w:rPr>
                <w:rFonts w:ascii="Cambria" w:eastAsia="Times New Roman" w:hAnsi="Cambria" w:cs="Calibri"/>
                <w:lang w:val="hr-HR"/>
              </w:rPr>
            </w:pPr>
            <w:r w:rsidRPr="00DF4CE5">
              <w:rPr>
                <w:rFonts w:ascii="Cambria" w:eastAsia="Times New Roman" w:hAnsi="Cambria" w:cs="Calibri"/>
              </w:rPr>
              <w:t>Jezik</w:t>
            </w:r>
            <w:r w:rsidRPr="00DF4CE5">
              <w:rPr>
                <w:rFonts w:ascii="Cambria" w:eastAsia="Times New Roman" w:hAnsi="Cambria" w:cs="Calibri"/>
                <w:lang w:val="hr-HR"/>
              </w:rPr>
              <w:t xml:space="preserve"> izvođenja (drugi jezici)</w:t>
            </w:r>
          </w:p>
        </w:tc>
        <w:tc>
          <w:tcPr>
            <w:tcW w:w="2772"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6898426" w14:textId="77777777" w:rsidR="003A42BE" w:rsidRPr="00DF4CE5" w:rsidRDefault="003A42BE"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hrvatski </w:t>
            </w:r>
          </w:p>
          <w:p w14:paraId="549F7467" w14:textId="77777777" w:rsidR="003A42BE" w:rsidRPr="00DF4CE5" w:rsidRDefault="003A42BE"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(talijanski, slovenski)</w:t>
            </w:r>
          </w:p>
        </w:tc>
      </w:tr>
      <w:tr w:rsidR="003A42BE" w:rsidRPr="00DF4CE5" w14:paraId="35ACF831" w14:textId="77777777" w:rsidTr="004A100E">
        <w:tc>
          <w:tcPr>
            <w:tcW w:w="261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0258AD3" w14:textId="77777777" w:rsidR="003A42BE" w:rsidRPr="00DF4CE5" w:rsidRDefault="003A42BE"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Broj ECTS bodova</w:t>
            </w:r>
          </w:p>
        </w:tc>
        <w:tc>
          <w:tcPr>
            <w:tcW w:w="248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B4BA369" w14:textId="77777777" w:rsidR="003A42BE" w:rsidRPr="00DF4CE5" w:rsidRDefault="003A42BE"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3</w:t>
            </w:r>
          </w:p>
        </w:tc>
        <w:tc>
          <w:tcPr>
            <w:tcW w:w="1470"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3FC8B60E" w14:textId="77777777" w:rsidR="003A42BE" w:rsidRPr="00DF4CE5" w:rsidRDefault="003A42BE"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Broj sati u semestru</w:t>
            </w:r>
          </w:p>
        </w:tc>
        <w:tc>
          <w:tcPr>
            <w:tcW w:w="2772"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1FD18CC" w14:textId="0F99FA16" w:rsidR="003A42BE" w:rsidRPr="00DF4CE5" w:rsidRDefault="003A42BE"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15P – </w:t>
            </w:r>
            <w:r w:rsidR="00573C31" w:rsidRPr="00DF4CE5">
              <w:rPr>
                <w:rFonts w:ascii="Cambria" w:eastAsia="Times New Roman" w:hAnsi="Cambria" w:cs="Calibri"/>
                <w:lang w:val="hr-HR"/>
              </w:rPr>
              <w:t>0S</w:t>
            </w:r>
            <w:r w:rsidRPr="00DF4CE5">
              <w:rPr>
                <w:rFonts w:ascii="Cambria" w:eastAsia="Times New Roman" w:hAnsi="Cambria" w:cs="Calibri"/>
                <w:lang w:val="hr-HR"/>
              </w:rPr>
              <w:t xml:space="preserve"> – </w:t>
            </w:r>
            <w:r w:rsidR="00573C31" w:rsidRPr="00DF4CE5">
              <w:rPr>
                <w:rFonts w:ascii="Cambria" w:eastAsia="Times New Roman" w:hAnsi="Cambria" w:cs="Calibri"/>
                <w:lang w:val="hr-HR"/>
              </w:rPr>
              <w:t>45V</w:t>
            </w:r>
            <w:r w:rsidRPr="00DF4CE5">
              <w:rPr>
                <w:rFonts w:ascii="Cambria" w:eastAsia="Times New Roman" w:hAnsi="Cambria" w:cs="Calibri"/>
                <w:lang w:val="hr-HR"/>
              </w:rPr>
              <w:t xml:space="preserve">   </w:t>
            </w:r>
          </w:p>
        </w:tc>
      </w:tr>
      <w:tr w:rsidR="003A42BE" w:rsidRPr="00D0399C" w14:paraId="25D6D0EF" w14:textId="77777777" w:rsidTr="004A100E">
        <w:tc>
          <w:tcPr>
            <w:tcW w:w="261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7BA3E7A" w14:textId="77777777" w:rsidR="003A42BE" w:rsidRPr="00DF4CE5" w:rsidRDefault="003A42BE"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Preduvjeti za upis i za svladavanje</w:t>
            </w:r>
          </w:p>
        </w:tc>
        <w:tc>
          <w:tcPr>
            <w:tcW w:w="672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EFB9D85" w14:textId="77777777" w:rsidR="003A42BE" w:rsidRPr="00DF4CE5" w:rsidRDefault="003A42BE"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Položen ispit iz Metodike glazbene kulture II.</w:t>
            </w:r>
          </w:p>
        </w:tc>
      </w:tr>
      <w:tr w:rsidR="003A42BE" w:rsidRPr="00D0399C" w14:paraId="20D9A0C6" w14:textId="77777777" w:rsidTr="004A100E">
        <w:tc>
          <w:tcPr>
            <w:tcW w:w="261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D1A1D97" w14:textId="77777777" w:rsidR="003A42BE" w:rsidRPr="00DF4CE5" w:rsidRDefault="003A42BE" w:rsidP="008B34AF">
            <w:pPr>
              <w:spacing w:after="0" w:line="240" w:lineRule="auto"/>
              <w:jc w:val="both"/>
              <w:rPr>
                <w:rFonts w:ascii="Cambria" w:eastAsia="Times New Roman" w:hAnsi="Cambria" w:cs="Calibri"/>
                <w:lang w:val="hr-HR"/>
              </w:rPr>
            </w:pPr>
            <w:proofErr w:type="spellStart"/>
            <w:r w:rsidRPr="00DF4CE5">
              <w:rPr>
                <w:rFonts w:ascii="Cambria" w:eastAsia="Times New Roman" w:hAnsi="Cambria" w:cs="Calibri"/>
              </w:rPr>
              <w:t>Korelativnost</w:t>
            </w:r>
            <w:proofErr w:type="spellEnd"/>
          </w:p>
        </w:tc>
        <w:tc>
          <w:tcPr>
            <w:tcW w:w="672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DEE0F9C" w14:textId="77777777" w:rsidR="003A42BE" w:rsidRPr="00DF4CE5" w:rsidRDefault="003A42BE"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Glazbena kultura, Glazbeno pismo i sviranje, Sviranje I., Sviranje II., Metodika Glazbene kulture I., II., Kreativna glazbena radionica, Metodika hrvatskog jezika, Metodika likovne kulture, Metodika kineziološke kulture, Metodika prirode i društva, Rad s darovitom djecom, Rad s djecom s posebnim potrebama</w:t>
            </w:r>
          </w:p>
        </w:tc>
      </w:tr>
      <w:tr w:rsidR="003A42BE" w:rsidRPr="00D0399C" w14:paraId="0047B4B1" w14:textId="77777777" w:rsidTr="004A100E">
        <w:tc>
          <w:tcPr>
            <w:tcW w:w="261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7F9A23F" w14:textId="77777777" w:rsidR="003A42BE" w:rsidRPr="00DF4CE5" w:rsidRDefault="003A42BE"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Cilj kolegija </w:t>
            </w:r>
          </w:p>
        </w:tc>
        <w:tc>
          <w:tcPr>
            <w:tcW w:w="672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ED22E52" w14:textId="77777777" w:rsidR="003A42BE" w:rsidRPr="00DF4CE5" w:rsidRDefault="003A42BE"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primijeniti stečena znanja metodike glazbene kulture iz područja pjevanja, sviranja, slušanja i glazbenog stvaralaštva koristeći se glazbenom terminologijom</w:t>
            </w:r>
          </w:p>
        </w:tc>
      </w:tr>
      <w:tr w:rsidR="003A42BE" w:rsidRPr="00D0399C" w14:paraId="449F1E63" w14:textId="77777777" w:rsidTr="004A100E">
        <w:tc>
          <w:tcPr>
            <w:tcW w:w="261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9EBA6EB" w14:textId="77777777" w:rsidR="003A42BE" w:rsidRPr="00DF4CE5" w:rsidRDefault="003A42BE"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Ishodi učenja</w:t>
            </w:r>
          </w:p>
        </w:tc>
        <w:tc>
          <w:tcPr>
            <w:tcW w:w="672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06F5D30" w14:textId="77777777" w:rsidR="003A42BE" w:rsidRPr="00DF4CE5" w:rsidRDefault="003A42BE" w:rsidP="008B34AF">
            <w:pPr>
              <w:spacing w:after="0" w:line="240" w:lineRule="auto"/>
              <w:jc w:val="both"/>
              <w:rPr>
                <w:rFonts w:ascii="Cambria" w:eastAsia="Times New Roman" w:hAnsi="Cambria" w:cs="Calibri"/>
                <w:lang w:val="hr-HR"/>
              </w:rPr>
            </w:pPr>
            <w:r w:rsidRPr="00DF4CE5">
              <w:rPr>
                <w:rFonts w:ascii="Cambria" w:eastAsia="Times New Roman" w:hAnsi="Cambria" w:cs="Times New Roman"/>
                <w:lang w:val="hr-HR"/>
              </w:rPr>
              <w:t>1. objasniti metodički pristup slušanja glazbenih djela</w:t>
            </w:r>
          </w:p>
          <w:p w14:paraId="0B56DE2C" w14:textId="77777777" w:rsidR="003A42BE" w:rsidRPr="00DF4CE5" w:rsidRDefault="003A42BE"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2. navesti prednosti i nedostatke različitih metoda u području slušanja glazbe</w:t>
            </w:r>
          </w:p>
          <w:p w14:paraId="1E95E865" w14:textId="77777777" w:rsidR="003A42BE" w:rsidRPr="00DF4CE5" w:rsidRDefault="003A42BE"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3. razlikovati glazbena djela prema njihovoj vrijednosti</w:t>
            </w:r>
          </w:p>
          <w:p w14:paraId="78013D2F" w14:textId="77777777" w:rsidR="003A42BE" w:rsidRPr="00DF4CE5" w:rsidRDefault="003A42BE"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4. analizirati glazbeno djelo namijenjeno učenicima razredne nastave</w:t>
            </w:r>
          </w:p>
          <w:p w14:paraId="629533C0" w14:textId="77777777" w:rsidR="003A42BE" w:rsidRPr="00DF4CE5" w:rsidRDefault="003A42BE" w:rsidP="008B34AF">
            <w:pPr>
              <w:autoSpaceDE w:val="0"/>
              <w:autoSpaceDN w:val="0"/>
              <w:adjustRightInd w:val="0"/>
              <w:spacing w:after="0" w:line="240" w:lineRule="auto"/>
              <w:jc w:val="both"/>
              <w:rPr>
                <w:rFonts w:ascii="Cambria" w:eastAsia="Times New Roman" w:hAnsi="Cambria" w:cs="Calibri"/>
                <w:lang w:val="hr-HR"/>
              </w:rPr>
            </w:pPr>
            <w:r w:rsidRPr="00DF4CE5">
              <w:rPr>
                <w:rFonts w:ascii="Cambria" w:eastAsia="Times New Roman" w:hAnsi="Cambria" w:cs="Calibri"/>
                <w:lang w:val="hr-HR"/>
              </w:rPr>
              <w:t>5. prepoznati glazbene sastavnice u glazbenim djelima</w:t>
            </w:r>
          </w:p>
          <w:p w14:paraId="10EF3A60" w14:textId="77777777" w:rsidR="003A42BE" w:rsidRPr="00DF4CE5" w:rsidRDefault="003A42BE" w:rsidP="008B34AF">
            <w:pPr>
              <w:autoSpaceDE w:val="0"/>
              <w:autoSpaceDN w:val="0"/>
              <w:adjustRightInd w:val="0"/>
              <w:spacing w:after="0" w:line="240" w:lineRule="auto"/>
              <w:jc w:val="both"/>
              <w:rPr>
                <w:rFonts w:ascii="Cambria" w:eastAsia="Times New Roman" w:hAnsi="Cambria" w:cs="Calibri"/>
                <w:lang w:val="hr-HR"/>
              </w:rPr>
            </w:pPr>
            <w:r w:rsidRPr="00DF4CE5">
              <w:rPr>
                <w:rFonts w:ascii="Cambria" w:eastAsia="Times New Roman" w:hAnsi="Cambria" w:cs="Calibri"/>
                <w:lang w:val="hr-HR"/>
              </w:rPr>
              <w:t>6. demonstrirati poznavanje teorije glazbe, glazbene umjetnosti, pjevanja i sviranja na teorijskoj i praktičnoj razini</w:t>
            </w:r>
          </w:p>
        </w:tc>
      </w:tr>
      <w:tr w:rsidR="003A42BE" w:rsidRPr="00DF4CE5" w14:paraId="76B8875D" w14:textId="77777777" w:rsidTr="004A100E">
        <w:tc>
          <w:tcPr>
            <w:tcW w:w="2616"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275D8792" w14:textId="77777777" w:rsidR="003A42BE" w:rsidRPr="00DF4CE5" w:rsidRDefault="003A42BE"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Sadržaj kolegija</w:t>
            </w:r>
          </w:p>
        </w:tc>
        <w:tc>
          <w:tcPr>
            <w:tcW w:w="6724"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A26AA14" w14:textId="77777777" w:rsidR="003A42BE" w:rsidRPr="00DF4CE5" w:rsidRDefault="003A42BE" w:rsidP="008B34AF">
            <w:pPr>
              <w:spacing w:after="0" w:line="240" w:lineRule="auto"/>
              <w:jc w:val="both"/>
              <w:rPr>
                <w:rFonts w:ascii="Cambria" w:eastAsia="Times New Roman" w:hAnsi="Cambria" w:cs="Calibri"/>
                <w:lang w:val="pl-PL"/>
              </w:rPr>
            </w:pPr>
            <w:r w:rsidRPr="00DF4CE5">
              <w:rPr>
                <w:rFonts w:ascii="Cambria" w:eastAsia="Times New Roman" w:hAnsi="Cambria" w:cs="Calibri"/>
                <w:lang w:val="pl-PL"/>
              </w:rPr>
              <w:t>1. nastavni oblici i metode rada za slušanje glazbenog djela</w:t>
            </w:r>
          </w:p>
          <w:p w14:paraId="4857AA64" w14:textId="77777777" w:rsidR="003A42BE" w:rsidRPr="00DF4CE5" w:rsidRDefault="003A42BE" w:rsidP="008B34AF">
            <w:pPr>
              <w:spacing w:after="0" w:line="240" w:lineRule="auto"/>
              <w:jc w:val="both"/>
              <w:rPr>
                <w:rFonts w:ascii="Cambria" w:eastAsia="Times New Roman" w:hAnsi="Cambria" w:cs="Calibri"/>
                <w:lang w:val="pl-PL"/>
              </w:rPr>
            </w:pPr>
            <w:r w:rsidRPr="00DF4CE5">
              <w:rPr>
                <w:rFonts w:ascii="Cambria" w:eastAsia="Times New Roman" w:hAnsi="Cambria" w:cs="Calibri"/>
                <w:lang w:val="pl-PL"/>
              </w:rPr>
              <w:t>2. glazbeni instrumenti u orkestru</w:t>
            </w:r>
          </w:p>
          <w:p w14:paraId="66309219" w14:textId="77777777" w:rsidR="003A42BE" w:rsidRPr="00DF4CE5" w:rsidRDefault="003A42BE" w:rsidP="008B34AF">
            <w:pPr>
              <w:spacing w:after="0" w:line="240" w:lineRule="auto"/>
              <w:jc w:val="both"/>
              <w:rPr>
                <w:rFonts w:ascii="Cambria" w:eastAsia="Times New Roman" w:hAnsi="Cambria" w:cs="Calibri"/>
                <w:lang w:val="pl-PL"/>
              </w:rPr>
            </w:pPr>
            <w:r w:rsidRPr="00DF4CE5">
              <w:rPr>
                <w:rFonts w:ascii="Cambria" w:eastAsia="Times New Roman" w:hAnsi="Cambria" w:cs="Calibri"/>
                <w:lang w:val="pl-PL"/>
              </w:rPr>
              <w:t>3. priprema za slušanje glazbe (vokalnih, vokalno-instrumentalnih i instrumentalnih skladbi) kao područje glazbene kulture</w:t>
            </w:r>
          </w:p>
          <w:p w14:paraId="7061A5C4" w14:textId="77777777" w:rsidR="003A42BE" w:rsidRPr="00DF4CE5" w:rsidRDefault="003A42BE" w:rsidP="008B34AF">
            <w:pPr>
              <w:spacing w:after="0" w:line="240" w:lineRule="auto"/>
              <w:jc w:val="both"/>
              <w:rPr>
                <w:rFonts w:ascii="Cambria" w:eastAsia="Times New Roman" w:hAnsi="Cambria" w:cs="Calibri"/>
                <w:lang w:val="pl-PL"/>
              </w:rPr>
            </w:pPr>
            <w:r w:rsidRPr="00DF4CE5">
              <w:rPr>
                <w:rFonts w:ascii="Cambria" w:eastAsia="Times New Roman" w:hAnsi="Cambria" w:cs="Calibri"/>
                <w:lang w:val="pl-PL"/>
              </w:rPr>
              <w:t>4. zapažanje izražajnih elemenata (jednostavna analiza glazbenog djela)</w:t>
            </w:r>
          </w:p>
          <w:p w14:paraId="6D21447D" w14:textId="77777777" w:rsidR="003A42BE" w:rsidRPr="00DF4CE5" w:rsidRDefault="003A42BE" w:rsidP="008B34AF">
            <w:pPr>
              <w:spacing w:after="0" w:line="240" w:lineRule="auto"/>
              <w:jc w:val="both"/>
              <w:rPr>
                <w:rFonts w:ascii="Cambria" w:eastAsia="Times New Roman" w:hAnsi="Cambria" w:cs="Calibri"/>
                <w:lang w:val="pl-PL"/>
              </w:rPr>
            </w:pPr>
            <w:r w:rsidRPr="00DF4CE5">
              <w:rPr>
                <w:rFonts w:ascii="Cambria" w:eastAsia="Times New Roman" w:hAnsi="Cambria" w:cs="Calibri"/>
                <w:lang w:val="pl-PL"/>
              </w:rPr>
              <w:t>5. glazba za različita raspoloženja</w:t>
            </w:r>
          </w:p>
          <w:p w14:paraId="304D6C04" w14:textId="77777777" w:rsidR="003A42BE" w:rsidRPr="00DF4CE5" w:rsidRDefault="003A42BE" w:rsidP="008B34AF">
            <w:pPr>
              <w:spacing w:after="0" w:line="240" w:lineRule="auto"/>
              <w:jc w:val="both"/>
              <w:rPr>
                <w:rFonts w:ascii="Cambria" w:eastAsia="Times New Roman" w:hAnsi="Cambria" w:cs="Calibri"/>
                <w:lang w:val="pl-PL"/>
              </w:rPr>
            </w:pPr>
            <w:r w:rsidRPr="00DF4CE5">
              <w:rPr>
                <w:rFonts w:ascii="Cambria" w:eastAsia="Times New Roman" w:hAnsi="Cambria" w:cs="Calibri"/>
                <w:lang w:val="pl-PL"/>
              </w:rPr>
              <w:t>6. skladatelji i njihova djela</w:t>
            </w:r>
          </w:p>
          <w:p w14:paraId="2535B1FE" w14:textId="77777777" w:rsidR="003A42BE" w:rsidRPr="00DF4CE5" w:rsidRDefault="003A42BE" w:rsidP="008B34AF">
            <w:pPr>
              <w:spacing w:after="0" w:line="240" w:lineRule="auto"/>
              <w:jc w:val="both"/>
              <w:rPr>
                <w:rFonts w:ascii="Cambria" w:eastAsia="Times New Roman" w:hAnsi="Cambria" w:cs="Calibri"/>
                <w:lang w:val="pl-PL"/>
              </w:rPr>
            </w:pPr>
            <w:r w:rsidRPr="00DF4CE5">
              <w:rPr>
                <w:rFonts w:ascii="Cambria" w:eastAsia="Times New Roman" w:hAnsi="Cambria" w:cs="Calibri"/>
                <w:lang w:val="pl-PL"/>
              </w:rPr>
              <w:t>7. korelacija i integracija glazbe s drugim predmetima</w:t>
            </w:r>
          </w:p>
          <w:p w14:paraId="17FA1D44" w14:textId="77777777" w:rsidR="003A42BE" w:rsidRPr="00DF4CE5" w:rsidRDefault="003A42BE" w:rsidP="008B34AF">
            <w:pPr>
              <w:spacing w:after="0" w:line="240" w:lineRule="auto"/>
              <w:jc w:val="both"/>
              <w:rPr>
                <w:rFonts w:ascii="Cambria" w:eastAsia="Times New Roman" w:hAnsi="Cambria" w:cs="Calibri"/>
                <w:lang w:val="pl-PL"/>
              </w:rPr>
            </w:pPr>
            <w:r w:rsidRPr="00DF4CE5">
              <w:rPr>
                <w:rFonts w:ascii="Cambria" w:eastAsia="Times New Roman" w:hAnsi="Cambria" w:cs="Calibri"/>
                <w:lang w:val="pl-PL"/>
              </w:rPr>
              <w:t>8. kreativno izražavanje</w:t>
            </w:r>
          </w:p>
          <w:p w14:paraId="714171D2" w14:textId="77777777" w:rsidR="003A42BE" w:rsidRPr="00DF4CE5" w:rsidRDefault="003A42BE"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pl-PL"/>
              </w:rPr>
              <w:t>9. ocjenski sat</w:t>
            </w:r>
          </w:p>
        </w:tc>
      </w:tr>
      <w:tr w:rsidR="003A42BE" w:rsidRPr="00DF4CE5" w14:paraId="4FAE39EA" w14:textId="77777777" w:rsidTr="004A100E">
        <w:tc>
          <w:tcPr>
            <w:tcW w:w="2616"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hideMark/>
          </w:tcPr>
          <w:p w14:paraId="202DE137" w14:textId="77777777" w:rsidR="003A42BE" w:rsidRPr="00DF4CE5" w:rsidRDefault="003A42BE"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lastRenderedPageBreak/>
              <w:t>Planirane aktivnosti,</w:t>
            </w:r>
          </w:p>
          <w:p w14:paraId="1B25BA26" w14:textId="77777777" w:rsidR="003A42BE" w:rsidRPr="00DF4CE5" w:rsidRDefault="003A42BE" w:rsidP="008B34AF">
            <w:pPr>
              <w:spacing w:after="0" w:line="240" w:lineRule="auto"/>
              <w:jc w:val="both"/>
              <w:rPr>
                <w:rFonts w:ascii="Cambria" w:eastAsia="Times New Roman" w:hAnsi="Cambria" w:cs="Calibri"/>
                <w:lang w:val="hr-HR"/>
              </w:rPr>
            </w:pPr>
            <w:proofErr w:type="spellStart"/>
            <w:r w:rsidRPr="00DF4CE5">
              <w:rPr>
                <w:rFonts w:ascii="Cambria" w:eastAsia="Times New Roman" w:hAnsi="Cambria" w:cs="Calibri"/>
                <w:lang w:val="it-IT"/>
              </w:rPr>
              <w:t>metode</w:t>
            </w:r>
            <w:proofErr w:type="spellEnd"/>
            <w:r w:rsidRPr="00DF4CE5">
              <w:rPr>
                <w:rFonts w:ascii="Cambria" w:eastAsia="Times New Roman" w:hAnsi="Cambria" w:cs="Calibri"/>
                <w:lang w:val="hr-HR"/>
              </w:rPr>
              <w:t xml:space="preserve"> učenja i poučavanja i načini vrednovanja</w:t>
            </w:r>
          </w:p>
        </w:tc>
        <w:tc>
          <w:tcPr>
            <w:tcW w:w="258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162FC01" w14:textId="77777777" w:rsidR="003A42BE" w:rsidRPr="00DF4CE5" w:rsidRDefault="003A42BE" w:rsidP="008B34AF">
            <w:pPr>
              <w:spacing w:after="0" w:line="240" w:lineRule="auto"/>
              <w:jc w:val="both"/>
              <w:rPr>
                <w:rFonts w:ascii="Cambria" w:eastAsia="Times New Roman" w:hAnsi="Cambria" w:cs="Calibri"/>
                <w:lang w:val="hr-HR"/>
              </w:rPr>
            </w:pPr>
            <w:r w:rsidRPr="00DF4CE5">
              <w:rPr>
                <w:rFonts w:ascii="Cambria" w:eastAsia="Times New Roman" w:hAnsi="Cambria" w:cs="Calibri"/>
                <w:bCs/>
                <w:lang w:val="hr-HR"/>
              </w:rPr>
              <w:t>Obveze</w:t>
            </w:r>
          </w:p>
        </w:tc>
        <w:tc>
          <w:tcPr>
            <w:tcW w:w="10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D6A6EAF" w14:textId="77777777" w:rsidR="003A42BE" w:rsidRPr="00DF4CE5" w:rsidRDefault="003A42BE" w:rsidP="008B34AF">
            <w:pPr>
              <w:spacing w:after="0" w:line="240" w:lineRule="auto"/>
              <w:jc w:val="both"/>
              <w:rPr>
                <w:rFonts w:ascii="Cambria" w:eastAsia="Times New Roman" w:hAnsi="Cambria" w:cs="Calibri"/>
                <w:lang w:val="hr-HR"/>
              </w:rPr>
            </w:pPr>
            <w:r w:rsidRPr="00DF4CE5">
              <w:rPr>
                <w:rFonts w:ascii="Cambria" w:eastAsia="Times New Roman" w:hAnsi="Cambria" w:cs="Calibri"/>
                <w:bCs/>
                <w:lang w:val="hr-HR"/>
              </w:rPr>
              <w:t>Ishodi</w:t>
            </w:r>
          </w:p>
        </w:tc>
        <w:tc>
          <w:tcPr>
            <w:tcW w:w="72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724EB85" w14:textId="77777777" w:rsidR="003A42BE" w:rsidRPr="00DF4CE5" w:rsidRDefault="003A42BE" w:rsidP="008B34AF">
            <w:pPr>
              <w:spacing w:after="0" w:line="240" w:lineRule="auto"/>
              <w:jc w:val="both"/>
              <w:rPr>
                <w:rFonts w:ascii="Cambria" w:eastAsia="Times New Roman" w:hAnsi="Cambria" w:cs="Calibri"/>
                <w:lang w:val="hr-HR"/>
              </w:rPr>
            </w:pPr>
            <w:r w:rsidRPr="00DF4CE5">
              <w:rPr>
                <w:rFonts w:ascii="Cambria" w:eastAsia="Times New Roman" w:hAnsi="Cambria" w:cs="Calibri"/>
                <w:bCs/>
                <w:lang w:val="hr-HR"/>
              </w:rPr>
              <w:t>Sati</w:t>
            </w:r>
          </w:p>
        </w:tc>
        <w:tc>
          <w:tcPr>
            <w:tcW w:w="101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E6C0CC7" w14:textId="77777777" w:rsidR="003A42BE" w:rsidRPr="00DF4CE5" w:rsidRDefault="003A42BE" w:rsidP="008B34AF">
            <w:pPr>
              <w:spacing w:after="0" w:line="240" w:lineRule="auto"/>
              <w:jc w:val="both"/>
              <w:rPr>
                <w:rFonts w:ascii="Cambria" w:eastAsia="Times New Roman" w:hAnsi="Cambria" w:cs="Calibri"/>
                <w:lang w:val="hr-HR"/>
              </w:rPr>
            </w:pPr>
            <w:r w:rsidRPr="00DF4CE5">
              <w:rPr>
                <w:rFonts w:ascii="Cambria" w:eastAsia="Times New Roman" w:hAnsi="Cambria" w:cs="Calibri"/>
                <w:bCs/>
                <w:lang w:val="hr-HR"/>
              </w:rPr>
              <w:t>ECTS</w:t>
            </w:r>
          </w:p>
        </w:tc>
        <w:tc>
          <w:tcPr>
            <w:tcW w:w="13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23328BB" w14:textId="77777777" w:rsidR="003A42BE" w:rsidRPr="00DF4CE5" w:rsidRDefault="003A42BE" w:rsidP="008B34AF">
            <w:pPr>
              <w:spacing w:after="0" w:line="240" w:lineRule="auto"/>
              <w:jc w:val="both"/>
              <w:rPr>
                <w:rFonts w:ascii="Cambria" w:eastAsia="Times New Roman" w:hAnsi="Cambria" w:cs="Calibri"/>
                <w:lang w:val="hr-HR"/>
              </w:rPr>
            </w:pPr>
            <w:r w:rsidRPr="00DF4CE5">
              <w:rPr>
                <w:rFonts w:ascii="Cambria" w:eastAsia="Times New Roman" w:hAnsi="Cambria" w:cs="Calibri"/>
                <w:bCs/>
                <w:lang w:val="hr-HR"/>
              </w:rPr>
              <w:t>Maksimalni udio u ocjeni</w:t>
            </w:r>
            <w:r w:rsidRPr="00DF4CE5">
              <w:rPr>
                <w:rFonts w:ascii="Cambria" w:eastAsia="Times New Roman" w:hAnsi="Cambria" w:cs="Calibri"/>
                <w:bCs/>
              </w:rPr>
              <w:t xml:space="preserve"> (%)</w:t>
            </w:r>
          </w:p>
        </w:tc>
      </w:tr>
      <w:tr w:rsidR="005005C3" w:rsidRPr="00DF4CE5" w14:paraId="5CD12586" w14:textId="77777777" w:rsidTr="004A100E">
        <w:tc>
          <w:tcPr>
            <w:tcW w:w="2616" w:type="dxa"/>
            <w:vMerge/>
            <w:tcBorders>
              <w:left w:val="single" w:sz="8" w:space="0" w:color="000000"/>
              <w:right w:val="single" w:sz="8" w:space="0" w:color="000000"/>
            </w:tcBorders>
            <w:vAlign w:val="center"/>
            <w:hideMark/>
          </w:tcPr>
          <w:p w14:paraId="69F0B7BF" w14:textId="77777777" w:rsidR="005005C3" w:rsidRPr="00DF4CE5" w:rsidRDefault="005005C3" w:rsidP="005005C3">
            <w:pPr>
              <w:spacing w:after="0" w:line="240" w:lineRule="auto"/>
              <w:jc w:val="both"/>
              <w:rPr>
                <w:rFonts w:ascii="Cambria" w:eastAsia="Times New Roman" w:hAnsi="Cambria" w:cs="Calibri"/>
                <w:lang w:val="hr-HR"/>
              </w:rPr>
            </w:pPr>
          </w:p>
        </w:tc>
        <w:tc>
          <w:tcPr>
            <w:tcW w:w="258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2C61040" w14:textId="384A61EC" w:rsidR="005005C3" w:rsidRPr="000F1EE1" w:rsidRDefault="005005C3" w:rsidP="005005C3">
            <w:pPr>
              <w:spacing w:after="0" w:line="240" w:lineRule="auto"/>
              <w:jc w:val="both"/>
              <w:rPr>
                <w:rFonts w:ascii="Cambria" w:eastAsia="Times New Roman" w:hAnsi="Cambria" w:cs="Calibri"/>
                <w:lang w:val="it-IT"/>
              </w:rPr>
            </w:pPr>
            <w:proofErr w:type="spellStart"/>
            <w:r w:rsidRPr="000F1EE1">
              <w:rPr>
                <w:rFonts w:ascii="Cambria" w:eastAsia="Times New Roman" w:hAnsi="Cambria" w:cs="Calibri"/>
                <w:lang w:val="it-IT"/>
              </w:rPr>
              <w:t>aktivnost</w:t>
            </w:r>
            <w:proofErr w:type="spellEnd"/>
            <w:r w:rsidRPr="000F1EE1">
              <w:rPr>
                <w:rFonts w:ascii="Cambria" w:eastAsia="Times New Roman" w:hAnsi="Cambria" w:cs="Calibri"/>
                <w:lang w:val="it-IT"/>
              </w:rPr>
              <w:t xml:space="preserve"> </w:t>
            </w:r>
            <w:proofErr w:type="spellStart"/>
            <w:r w:rsidRPr="000F1EE1">
              <w:rPr>
                <w:rFonts w:ascii="Cambria" w:eastAsia="Times New Roman" w:hAnsi="Cambria" w:cs="Calibri"/>
                <w:lang w:val="it-IT"/>
              </w:rPr>
              <w:t>na</w:t>
            </w:r>
            <w:proofErr w:type="spellEnd"/>
            <w:r w:rsidRPr="000F1EE1">
              <w:rPr>
                <w:rFonts w:ascii="Cambria" w:eastAsia="Times New Roman" w:hAnsi="Cambria" w:cs="Calibri"/>
                <w:lang w:val="it-IT"/>
              </w:rPr>
              <w:t xml:space="preserve"> </w:t>
            </w:r>
            <w:proofErr w:type="spellStart"/>
            <w:r w:rsidRPr="000F1EE1">
              <w:rPr>
                <w:rFonts w:ascii="Cambria" w:eastAsia="Times New Roman" w:hAnsi="Cambria" w:cs="Calibri"/>
                <w:lang w:val="it-IT"/>
              </w:rPr>
              <w:t>nastavi</w:t>
            </w:r>
            <w:proofErr w:type="spellEnd"/>
            <w:r w:rsidR="000F1EE1" w:rsidRPr="000F1EE1">
              <w:rPr>
                <w:rFonts w:ascii="Cambria" w:eastAsia="Times New Roman" w:hAnsi="Cambria" w:cs="Calibri"/>
                <w:lang w:val="it-IT"/>
              </w:rPr>
              <w:t xml:space="preserve"> (P, V</w:t>
            </w:r>
            <w:r w:rsidR="000F1EE1">
              <w:rPr>
                <w:rFonts w:ascii="Cambria" w:eastAsia="Times New Roman" w:hAnsi="Cambria" w:cs="Calibri"/>
                <w:lang w:val="it-IT"/>
              </w:rPr>
              <w:t>)</w:t>
            </w:r>
          </w:p>
        </w:tc>
        <w:tc>
          <w:tcPr>
            <w:tcW w:w="10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36A3661" w14:textId="130E7864" w:rsidR="005005C3" w:rsidRPr="00DF4CE5" w:rsidRDefault="005005C3" w:rsidP="005005C3">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 1. </w:t>
            </w:r>
            <w:r w:rsidR="000F1EE1">
              <w:rPr>
                <w:rFonts w:ascii="Cambria" w:eastAsia="Times New Roman" w:hAnsi="Cambria" w:cs="Calibri"/>
                <w:lang w:val="hr-HR"/>
              </w:rPr>
              <w:t>–</w:t>
            </w:r>
            <w:r w:rsidRPr="00DF4CE5">
              <w:rPr>
                <w:rFonts w:ascii="Cambria" w:eastAsia="Times New Roman" w:hAnsi="Cambria" w:cs="Calibri"/>
                <w:lang w:val="hr-HR"/>
              </w:rPr>
              <w:t xml:space="preserve"> 6.</w:t>
            </w:r>
          </w:p>
        </w:tc>
        <w:tc>
          <w:tcPr>
            <w:tcW w:w="72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CB4D385" w14:textId="4FEF55D8" w:rsidR="005005C3" w:rsidRPr="00DF4CE5" w:rsidRDefault="005005C3" w:rsidP="000F1EE1">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45</w:t>
            </w:r>
          </w:p>
        </w:tc>
        <w:tc>
          <w:tcPr>
            <w:tcW w:w="101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0237C91" w14:textId="2BBD1B55" w:rsidR="005005C3" w:rsidRPr="00DF4CE5" w:rsidRDefault="005005C3" w:rsidP="000F1EE1">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1,5</w:t>
            </w:r>
          </w:p>
        </w:tc>
        <w:tc>
          <w:tcPr>
            <w:tcW w:w="13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C6EAC35" w14:textId="10CE59E2" w:rsidR="005005C3" w:rsidRPr="00DF4CE5" w:rsidRDefault="005005C3" w:rsidP="000F1EE1">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10</w:t>
            </w:r>
            <w:r w:rsidR="000F1EE1">
              <w:rPr>
                <w:rFonts w:ascii="Cambria" w:eastAsia="Times New Roman" w:hAnsi="Cambria" w:cs="Calibri"/>
                <w:lang w:val="hr-HR"/>
              </w:rPr>
              <w:t>%</w:t>
            </w:r>
          </w:p>
        </w:tc>
      </w:tr>
      <w:tr w:rsidR="005005C3" w:rsidRPr="00DF4CE5" w14:paraId="149CCCD4" w14:textId="77777777" w:rsidTr="004A100E">
        <w:tc>
          <w:tcPr>
            <w:tcW w:w="2616" w:type="dxa"/>
            <w:vMerge/>
            <w:tcBorders>
              <w:left w:val="single" w:sz="8" w:space="0" w:color="000000"/>
              <w:right w:val="single" w:sz="8" w:space="0" w:color="000000"/>
            </w:tcBorders>
            <w:vAlign w:val="center"/>
            <w:hideMark/>
          </w:tcPr>
          <w:p w14:paraId="5E996F54" w14:textId="77777777" w:rsidR="005005C3" w:rsidRPr="00DF4CE5" w:rsidRDefault="005005C3" w:rsidP="005005C3">
            <w:pPr>
              <w:spacing w:after="0" w:line="240" w:lineRule="auto"/>
              <w:jc w:val="both"/>
              <w:rPr>
                <w:rFonts w:ascii="Cambria" w:eastAsia="Times New Roman" w:hAnsi="Cambria" w:cs="Calibri"/>
                <w:lang w:val="hr-HR"/>
              </w:rPr>
            </w:pPr>
          </w:p>
        </w:tc>
        <w:tc>
          <w:tcPr>
            <w:tcW w:w="258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F50C7B3" w14:textId="77777777" w:rsidR="005005C3" w:rsidRPr="00DF4CE5" w:rsidRDefault="005005C3" w:rsidP="005005C3">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izrada </w:t>
            </w:r>
            <w:proofErr w:type="spellStart"/>
            <w:r w:rsidRPr="00DF4CE5">
              <w:rPr>
                <w:rFonts w:ascii="Cambria" w:eastAsia="Times New Roman" w:hAnsi="Cambria" w:cs="Calibri"/>
                <w:lang w:val="hr-HR"/>
              </w:rPr>
              <w:t>ocjenske</w:t>
            </w:r>
            <w:proofErr w:type="spellEnd"/>
            <w:r w:rsidRPr="00DF4CE5">
              <w:rPr>
                <w:rFonts w:ascii="Cambria" w:eastAsia="Times New Roman" w:hAnsi="Cambria" w:cs="Calibri"/>
                <w:lang w:val="hr-HR"/>
              </w:rPr>
              <w:t xml:space="preserve"> priprave</w:t>
            </w:r>
          </w:p>
        </w:tc>
        <w:tc>
          <w:tcPr>
            <w:tcW w:w="10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90A043B" w14:textId="25C37642" w:rsidR="005005C3" w:rsidRPr="00DF4CE5" w:rsidRDefault="005005C3" w:rsidP="005005C3">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 1. </w:t>
            </w:r>
            <w:r w:rsidR="000F1EE1">
              <w:rPr>
                <w:rFonts w:ascii="Cambria" w:eastAsia="Times New Roman" w:hAnsi="Cambria" w:cs="Calibri"/>
                <w:lang w:val="hr-HR"/>
              </w:rPr>
              <w:t>–</w:t>
            </w:r>
            <w:r w:rsidRPr="00DF4CE5">
              <w:rPr>
                <w:rFonts w:ascii="Cambria" w:eastAsia="Times New Roman" w:hAnsi="Cambria" w:cs="Calibri"/>
                <w:lang w:val="hr-HR"/>
              </w:rPr>
              <w:t xml:space="preserve"> 6.</w:t>
            </w:r>
          </w:p>
        </w:tc>
        <w:tc>
          <w:tcPr>
            <w:tcW w:w="72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0511BFC" w14:textId="575AE9F3" w:rsidR="005005C3" w:rsidRPr="00DF4CE5" w:rsidRDefault="005005C3" w:rsidP="000F1EE1">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18</w:t>
            </w:r>
          </w:p>
        </w:tc>
        <w:tc>
          <w:tcPr>
            <w:tcW w:w="101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2AB5024" w14:textId="55CDE79E" w:rsidR="005005C3" w:rsidRPr="00DF4CE5" w:rsidRDefault="005005C3" w:rsidP="000F1EE1">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0,6</w:t>
            </w:r>
          </w:p>
        </w:tc>
        <w:tc>
          <w:tcPr>
            <w:tcW w:w="13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12E3464" w14:textId="573B7828" w:rsidR="005005C3" w:rsidRPr="00DF4CE5" w:rsidRDefault="005005C3" w:rsidP="000F1EE1">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30</w:t>
            </w:r>
            <w:r w:rsidR="000F1EE1">
              <w:rPr>
                <w:rFonts w:ascii="Cambria" w:eastAsia="Times New Roman" w:hAnsi="Cambria" w:cs="Calibri"/>
                <w:lang w:val="hr-HR"/>
              </w:rPr>
              <w:t>%</w:t>
            </w:r>
          </w:p>
        </w:tc>
      </w:tr>
      <w:tr w:rsidR="005005C3" w:rsidRPr="00DF4CE5" w14:paraId="62FDE9EF" w14:textId="77777777" w:rsidTr="004A100E">
        <w:trPr>
          <w:trHeight w:val="307"/>
        </w:trPr>
        <w:tc>
          <w:tcPr>
            <w:tcW w:w="2616" w:type="dxa"/>
            <w:vMerge/>
            <w:tcBorders>
              <w:left w:val="single" w:sz="8" w:space="0" w:color="000000"/>
              <w:right w:val="single" w:sz="8" w:space="0" w:color="000000"/>
            </w:tcBorders>
            <w:vAlign w:val="center"/>
            <w:hideMark/>
          </w:tcPr>
          <w:p w14:paraId="5E6A9517" w14:textId="77777777" w:rsidR="005005C3" w:rsidRPr="00DF4CE5" w:rsidRDefault="005005C3" w:rsidP="005005C3">
            <w:pPr>
              <w:spacing w:after="0" w:line="240" w:lineRule="auto"/>
              <w:jc w:val="both"/>
              <w:rPr>
                <w:rFonts w:ascii="Cambria" w:eastAsia="Times New Roman" w:hAnsi="Cambria" w:cs="Calibri"/>
                <w:lang w:val="hr-HR"/>
              </w:rPr>
            </w:pPr>
          </w:p>
        </w:tc>
        <w:tc>
          <w:tcPr>
            <w:tcW w:w="258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9E67669" w14:textId="77777777" w:rsidR="005005C3" w:rsidRPr="00DF4CE5" w:rsidRDefault="005005C3" w:rsidP="005005C3">
            <w:pPr>
              <w:spacing w:after="0" w:line="240" w:lineRule="auto"/>
              <w:jc w:val="both"/>
              <w:rPr>
                <w:rFonts w:ascii="Cambria" w:eastAsia="Times New Roman" w:hAnsi="Cambria" w:cs="Calibri"/>
                <w:lang w:val="hr-HR"/>
              </w:rPr>
            </w:pPr>
            <w:proofErr w:type="spellStart"/>
            <w:r w:rsidRPr="00DF4CE5">
              <w:rPr>
                <w:rFonts w:ascii="Cambria" w:eastAsia="Times New Roman" w:hAnsi="Cambria" w:cs="Calibri"/>
                <w:lang w:val="hr-HR"/>
              </w:rPr>
              <w:t>ocjenski</w:t>
            </w:r>
            <w:proofErr w:type="spellEnd"/>
            <w:r w:rsidRPr="00DF4CE5">
              <w:rPr>
                <w:rFonts w:ascii="Cambria" w:eastAsia="Times New Roman" w:hAnsi="Cambria" w:cs="Calibri"/>
                <w:lang w:val="hr-HR"/>
              </w:rPr>
              <w:t xml:space="preserve"> sat</w:t>
            </w:r>
          </w:p>
        </w:tc>
        <w:tc>
          <w:tcPr>
            <w:tcW w:w="10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95978ED" w14:textId="0A136F00" w:rsidR="005005C3" w:rsidRPr="00DF4CE5" w:rsidRDefault="005005C3" w:rsidP="005005C3">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 1. </w:t>
            </w:r>
            <w:r w:rsidR="000F1EE1">
              <w:rPr>
                <w:rFonts w:ascii="Cambria" w:eastAsia="Times New Roman" w:hAnsi="Cambria" w:cs="Calibri"/>
                <w:lang w:val="hr-HR"/>
              </w:rPr>
              <w:t>–</w:t>
            </w:r>
            <w:r w:rsidRPr="00DF4CE5">
              <w:rPr>
                <w:rFonts w:ascii="Cambria" w:eastAsia="Times New Roman" w:hAnsi="Cambria" w:cs="Calibri"/>
                <w:lang w:val="hr-HR"/>
              </w:rPr>
              <w:t xml:space="preserve"> 6.</w:t>
            </w:r>
          </w:p>
        </w:tc>
        <w:tc>
          <w:tcPr>
            <w:tcW w:w="72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88113AF" w14:textId="1F7D759E" w:rsidR="005005C3" w:rsidRPr="00DF4CE5" w:rsidRDefault="005005C3" w:rsidP="000F1EE1">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15</w:t>
            </w:r>
          </w:p>
        </w:tc>
        <w:tc>
          <w:tcPr>
            <w:tcW w:w="101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ADCF684" w14:textId="2B15F522" w:rsidR="005005C3" w:rsidRPr="00DF4CE5" w:rsidRDefault="005005C3" w:rsidP="000F1EE1">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0,5</w:t>
            </w:r>
          </w:p>
        </w:tc>
        <w:tc>
          <w:tcPr>
            <w:tcW w:w="13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9EA0CE8" w14:textId="0469DED0" w:rsidR="005005C3" w:rsidRPr="00DF4CE5" w:rsidRDefault="005005C3" w:rsidP="000F1EE1">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30</w:t>
            </w:r>
            <w:r w:rsidR="000F1EE1">
              <w:rPr>
                <w:rFonts w:ascii="Cambria" w:eastAsia="Times New Roman" w:hAnsi="Cambria" w:cs="Calibri"/>
                <w:lang w:val="hr-HR"/>
              </w:rPr>
              <w:t>%</w:t>
            </w:r>
          </w:p>
        </w:tc>
      </w:tr>
      <w:tr w:rsidR="005005C3" w:rsidRPr="00DF4CE5" w14:paraId="0A3B5B90" w14:textId="77777777" w:rsidTr="004A100E">
        <w:tc>
          <w:tcPr>
            <w:tcW w:w="2616" w:type="dxa"/>
            <w:vMerge/>
            <w:tcBorders>
              <w:left w:val="single" w:sz="8" w:space="0" w:color="000000"/>
              <w:right w:val="single" w:sz="8" w:space="0" w:color="000000"/>
            </w:tcBorders>
            <w:vAlign w:val="center"/>
            <w:hideMark/>
          </w:tcPr>
          <w:p w14:paraId="420464DE" w14:textId="77777777" w:rsidR="005005C3" w:rsidRPr="00DF4CE5" w:rsidRDefault="005005C3" w:rsidP="005005C3">
            <w:pPr>
              <w:spacing w:after="0" w:line="240" w:lineRule="auto"/>
              <w:jc w:val="both"/>
              <w:rPr>
                <w:rFonts w:ascii="Cambria" w:eastAsia="Times New Roman" w:hAnsi="Cambria" w:cs="Calibri"/>
                <w:lang w:val="hr-HR"/>
              </w:rPr>
            </w:pPr>
          </w:p>
        </w:tc>
        <w:tc>
          <w:tcPr>
            <w:tcW w:w="258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D9E79D5" w14:textId="77777777" w:rsidR="005005C3" w:rsidRPr="00DF4CE5" w:rsidRDefault="005005C3" w:rsidP="005005C3">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pismeni ispit</w:t>
            </w:r>
          </w:p>
        </w:tc>
        <w:tc>
          <w:tcPr>
            <w:tcW w:w="10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3B4AA69" w14:textId="1FF688EB" w:rsidR="005005C3" w:rsidRPr="00DF4CE5" w:rsidRDefault="005005C3" w:rsidP="005005C3">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 1. </w:t>
            </w:r>
            <w:r w:rsidR="000F1EE1">
              <w:rPr>
                <w:rFonts w:ascii="Cambria" w:eastAsia="Times New Roman" w:hAnsi="Cambria" w:cs="Calibri"/>
                <w:lang w:val="hr-HR"/>
              </w:rPr>
              <w:t>–</w:t>
            </w:r>
            <w:r w:rsidRPr="00DF4CE5">
              <w:rPr>
                <w:rFonts w:ascii="Cambria" w:eastAsia="Times New Roman" w:hAnsi="Cambria" w:cs="Calibri"/>
                <w:lang w:val="hr-HR"/>
              </w:rPr>
              <w:t xml:space="preserve"> 6.</w:t>
            </w:r>
          </w:p>
        </w:tc>
        <w:tc>
          <w:tcPr>
            <w:tcW w:w="72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4FA434E" w14:textId="6C9593A6" w:rsidR="005005C3" w:rsidRPr="00DF4CE5" w:rsidRDefault="005005C3" w:rsidP="000F1EE1">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12</w:t>
            </w:r>
          </w:p>
        </w:tc>
        <w:tc>
          <w:tcPr>
            <w:tcW w:w="101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FF4D3E9" w14:textId="414E2916" w:rsidR="005005C3" w:rsidRPr="00DF4CE5" w:rsidRDefault="005005C3" w:rsidP="000F1EE1">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0,4</w:t>
            </w:r>
          </w:p>
        </w:tc>
        <w:tc>
          <w:tcPr>
            <w:tcW w:w="13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E7283E8" w14:textId="6E8B0C7A" w:rsidR="005005C3" w:rsidRPr="00DF4CE5" w:rsidRDefault="005005C3" w:rsidP="000F1EE1">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30</w:t>
            </w:r>
            <w:r w:rsidR="000F1EE1">
              <w:rPr>
                <w:rFonts w:ascii="Cambria" w:eastAsia="Times New Roman" w:hAnsi="Cambria" w:cs="Calibri"/>
                <w:lang w:val="hr-HR"/>
              </w:rPr>
              <w:t>%</w:t>
            </w:r>
          </w:p>
        </w:tc>
      </w:tr>
      <w:tr w:rsidR="005005C3" w:rsidRPr="00DF4CE5" w14:paraId="38747783" w14:textId="77777777" w:rsidTr="004A100E">
        <w:tc>
          <w:tcPr>
            <w:tcW w:w="2616" w:type="dxa"/>
            <w:vMerge/>
            <w:tcBorders>
              <w:left w:val="single" w:sz="8" w:space="0" w:color="000000"/>
              <w:right w:val="single" w:sz="8" w:space="0" w:color="000000"/>
            </w:tcBorders>
            <w:vAlign w:val="center"/>
            <w:hideMark/>
          </w:tcPr>
          <w:p w14:paraId="22345597" w14:textId="77777777" w:rsidR="005005C3" w:rsidRPr="00DF4CE5" w:rsidRDefault="005005C3" w:rsidP="005005C3">
            <w:pPr>
              <w:spacing w:after="0" w:line="240" w:lineRule="auto"/>
              <w:jc w:val="both"/>
              <w:rPr>
                <w:rFonts w:ascii="Cambria" w:eastAsia="Times New Roman" w:hAnsi="Cambria" w:cs="Calibri"/>
                <w:lang w:val="hr-HR"/>
              </w:rPr>
            </w:pPr>
          </w:p>
        </w:tc>
        <w:tc>
          <w:tcPr>
            <w:tcW w:w="3672"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CC45720" w14:textId="5178BE38" w:rsidR="005005C3" w:rsidRPr="00DF4CE5" w:rsidRDefault="000F1EE1" w:rsidP="005005C3">
            <w:pPr>
              <w:spacing w:after="0" w:line="240" w:lineRule="auto"/>
              <w:jc w:val="both"/>
              <w:rPr>
                <w:rFonts w:ascii="Cambria" w:eastAsia="Times New Roman" w:hAnsi="Cambria" w:cs="Calibri"/>
                <w:lang w:val="hr-HR"/>
              </w:rPr>
            </w:pPr>
            <w:proofErr w:type="spellStart"/>
            <w:r>
              <w:rPr>
                <w:rFonts w:ascii="Cambria" w:eastAsia="Times New Roman" w:hAnsi="Cambria" w:cs="Calibri"/>
              </w:rPr>
              <w:t>u</w:t>
            </w:r>
            <w:r w:rsidR="005005C3" w:rsidRPr="00DF4CE5">
              <w:rPr>
                <w:rFonts w:ascii="Cambria" w:eastAsia="Times New Roman" w:hAnsi="Cambria" w:cs="Calibri"/>
              </w:rPr>
              <w:t>kupno</w:t>
            </w:r>
            <w:proofErr w:type="spellEnd"/>
          </w:p>
        </w:tc>
        <w:tc>
          <w:tcPr>
            <w:tcW w:w="72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34F353A" w14:textId="676A9C34" w:rsidR="005005C3" w:rsidRPr="00DF4CE5" w:rsidRDefault="005005C3" w:rsidP="000F1EE1">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90</w:t>
            </w:r>
          </w:p>
        </w:tc>
        <w:tc>
          <w:tcPr>
            <w:tcW w:w="101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0B9BA4D" w14:textId="77777777" w:rsidR="005005C3" w:rsidRPr="00DF4CE5" w:rsidRDefault="005005C3" w:rsidP="000F1EE1">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3</w:t>
            </w:r>
          </w:p>
        </w:tc>
        <w:tc>
          <w:tcPr>
            <w:tcW w:w="13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02CF9B5" w14:textId="74F7876A" w:rsidR="005005C3" w:rsidRPr="00DF4CE5" w:rsidRDefault="005005C3" w:rsidP="000F1EE1">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100</w:t>
            </w:r>
            <w:r w:rsidR="000F1EE1">
              <w:rPr>
                <w:rFonts w:ascii="Cambria" w:eastAsia="Times New Roman" w:hAnsi="Cambria" w:cs="Calibri"/>
                <w:lang w:val="hr-HR"/>
              </w:rPr>
              <w:t>%</w:t>
            </w:r>
          </w:p>
        </w:tc>
      </w:tr>
      <w:tr w:rsidR="005005C3" w:rsidRPr="00D0399C" w14:paraId="3454C487" w14:textId="77777777" w:rsidTr="004A100E">
        <w:tc>
          <w:tcPr>
            <w:tcW w:w="2616" w:type="dxa"/>
            <w:vMerge/>
            <w:tcBorders>
              <w:left w:val="single" w:sz="8" w:space="0" w:color="000000"/>
              <w:bottom w:val="single" w:sz="8" w:space="0" w:color="000000"/>
              <w:right w:val="single" w:sz="8" w:space="0" w:color="000000"/>
            </w:tcBorders>
            <w:vAlign w:val="center"/>
          </w:tcPr>
          <w:p w14:paraId="67199F80" w14:textId="77777777" w:rsidR="005005C3" w:rsidRPr="00DF4CE5" w:rsidRDefault="005005C3" w:rsidP="005005C3">
            <w:pPr>
              <w:spacing w:after="0" w:line="240" w:lineRule="auto"/>
              <w:jc w:val="both"/>
              <w:rPr>
                <w:rFonts w:ascii="Cambria" w:eastAsia="Times New Roman" w:hAnsi="Cambria" w:cs="Calibri"/>
                <w:lang w:val="hr-HR"/>
              </w:rPr>
            </w:pPr>
          </w:p>
        </w:tc>
        <w:tc>
          <w:tcPr>
            <w:tcW w:w="6724"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D08D334" w14:textId="77777777" w:rsidR="005005C3" w:rsidRPr="00DF4CE5" w:rsidRDefault="005005C3" w:rsidP="005005C3">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Dodatna pojašnjenja (kriteriji ocjenjivanja):</w:t>
            </w:r>
          </w:p>
          <w:p w14:paraId="369B6CB3" w14:textId="77777777" w:rsidR="005005C3" w:rsidRPr="00DF4CE5" w:rsidRDefault="005005C3" w:rsidP="005005C3">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Pohađanje nastave je obvezno. Tolerira se 30% izostanaka (dakle, sveukupno 14 sati izostanka). </w:t>
            </w:r>
          </w:p>
          <w:p w14:paraId="03A5DDB5" w14:textId="77777777" w:rsidR="005005C3" w:rsidRPr="00DF4CE5" w:rsidRDefault="005005C3" w:rsidP="005005C3">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Izrada </w:t>
            </w:r>
            <w:proofErr w:type="spellStart"/>
            <w:r w:rsidRPr="00DF4CE5">
              <w:rPr>
                <w:rFonts w:ascii="Cambria" w:eastAsia="Times New Roman" w:hAnsi="Cambria" w:cs="Calibri"/>
                <w:lang w:val="hr-HR"/>
              </w:rPr>
              <w:t>ocjenske</w:t>
            </w:r>
            <w:proofErr w:type="spellEnd"/>
            <w:r w:rsidRPr="00DF4CE5">
              <w:rPr>
                <w:rFonts w:ascii="Cambria" w:eastAsia="Times New Roman" w:hAnsi="Cambria" w:cs="Calibri"/>
                <w:lang w:val="hr-HR"/>
              </w:rPr>
              <w:t xml:space="preserve"> priprave potrebna je za održavanje </w:t>
            </w:r>
            <w:proofErr w:type="spellStart"/>
            <w:r w:rsidRPr="00DF4CE5">
              <w:rPr>
                <w:rFonts w:ascii="Cambria" w:eastAsia="Times New Roman" w:hAnsi="Cambria" w:cs="Calibri"/>
                <w:lang w:val="hr-HR"/>
              </w:rPr>
              <w:t>ocjenskog</w:t>
            </w:r>
            <w:proofErr w:type="spellEnd"/>
            <w:r w:rsidRPr="00DF4CE5">
              <w:rPr>
                <w:rFonts w:ascii="Cambria" w:eastAsia="Times New Roman" w:hAnsi="Cambria" w:cs="Calibri"/>
                <w:lang w:val="hr-HR"/>
              </w:rPr>
              <w:t xml:space="preserve"> sata u razrednoj nastavi. Bez priprave nije moguće pristupiti </w:t>
            </w:r>
            <w:proofErr w:type="spellStart"/>
            <w:r w:rsidRPr="00DF4CE5">
              <w:rPr>
                <w:rFonts w:ascii="Cambria" w:eastAsia="Times New Roman" w:hAnsi="Cambria" w:cs="Calibri"/>
                <w:lang w:val="hr-HR"/>
              </w:rPr>
              <w:t>ocjenskom</w:t>
            </w:r>
            <w:proofErr w:type="spellEnd"/>
            <w:r w:rsidRPr="00DF4CE5">
              <w:rPr>
                <w:rFonts w:ascii="Cambria" w:eastAsia="Times New Roman" w:hAnsi="Cambria" w:cs="Calibri"/>
                <w:lang w:val="hr-HR"/>
              </w:rPr>
              <w:t xml:space="preserve"> satu.</w:t>
            </w:r>
          </w:p>
          <w:p w14:paraId="0D371198" w14:textId="77777777" w:rsidR="005005C3" w:rsidRPr="00DF4CE5" w:rsidRDefault="005005C3" w:rsidP="005005C3">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Pisanje priprave se ocjenjuje:</w:t>
            </w:r>
          </w:p>
          <w:p w14:paraId="14AAA779" w14:textId="77777777" w:rsidR="005005C3" w:rsidRPr="00DF4CE5" w:rsidRDefault="005005C3" w:rsidP="005005C3">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0 % - nije napisana priprava</w:t>
            </w:r>
          </w:p>
          <w:p w14:paraId="71E789B9" w14:textId="77777777" w:rsidR="005005C3" w:rsidRPr="00DF4CE5" w:rsidRDefault="005005C3" w:rsidP="005005C3">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7,5 % - priprava je u redu, didaktički materijal nije primijenjen učenicima; ocjenjena je dovoljnim</w:t>
            </w:r>
          </w:p>
          <w:p w14:paraId="5A9B63F5" w14:textId="77777777" w:rsidR="005005C3" w:rsidRPr="00DF4CE5" w:rsidRDefault="005005C3" w:rsidP="005005C3">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15 % - priprava je u redu, ali sa nekvalitetnim didaktičkim materijalom; ocjenjena je dobar</w:t>
            </w:r>
          </w:p>
          <w:p w14:paraId="1656A19F" w14:textId="77777777" w:rsidR="005005C3" w:rsidRPr="00DF4CE5" w:rsidRDefault="005005C3" w:rsidP="005005C3">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22,5 % -  priprava zadovoljava sa svim traženim sadržajima; ocjenjena je vrlo dobar</w:t>
            </w:r>
          </w:p>
          <w:p w14:paraId="14830EA8" w14:textId="77777777" w:rsidR="005005C3" w:rsidRPr="00DF4CE5" w:rsidRDefault="005005C3" w:rsidP="005005C3">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30 % - priprava ima sve tražene sadržaje, ocjenjena je izvrsnom.</w:t>
            </w:r>
          </w:p>
          <w:p w14:paraId="02D5F7DC" w14:textId="77777777" w:rsidR="005005C3" w:rsidRPr="00DF4CE5" w:rsidRDefault="005005C3" w:rsidP="005005C3">
            <w:pPr>
              <w:spacing w:after="0" w:line="240" w:lineRule="auto"/>
              <w:jc w:val="both"/>
              <w:rPr>
                <w:rFonts w:ascii="Cambria" w:eastAsia="Times New Roman" w:hAnsi="Cambria" w:cs="Calibri"/>
                <w:lang w:val="hr-HR"/>
              </w:rPr>
            </w:pPr>
            <w:proofErr w:type="spellStart"/>
            <w:r w:rsidRPr="00DF4CE5">
              <w:rPr>
                <w:rFonts w:ascii="Cambria" w:eastAsia="Times New Roman" w:hAnsi="Cambria" w:cs="Calibri"/>
                <w:lang w:val="hr-HR"/>
              </w:rPr>
              <w:t>Ocjenski</w:t>
            </w:r>
            <w:proofErr w:type="spellEnd"/>
            <w:r w:rsidRPr="00DF4CE5">
              <w:rPr>
                <w:rFonts w:ascii="Cambria" w:eastAsia="Times New Roman" w:hAnsi="Cambria" w:cs="Calibri"/>
                <w:lang w:val="hr-HR"/>
              </w:rPr>
              <w:t xml:space="preserve"> sat</w:t>
            </w:r>
          </w:p>
          <w:p w14:paraId="65926892" w14:textId="77777777" w:rsidR="005005C3" w:rsidRPr="00DF4CE5" w:rsidRDefault="005005C3" w:rsidP="005005C3">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0 % = Nije održan </w:t>
            </w:r>
            <w:proofErr w:type="spellStart"/>
            <w:r w:rsidRPr="00DF4CE5">
              <w:rPr>
                <w:rFonts w:ascii="Cambria" w:eastAsia="Times New Roman" w:hAnsi="Cambria" w:cs="Calibri"/>
                <w:lang w:val="hr-HR"/>
              </w:rPr>
              <w:t>ocjenski</w:t>
            </w:r>
            <w:proofErr w:type="spellEnd"/>
            <w:r w:rsidRPr="00DF4CE5">
              <w:rPr>
                <w:rFonts w:ascii="Cambria" w:eastAsia="Times New Roman" w:hAnsi="Cambria" w:cs="Calibri"/>
                <w:lang w:val="hr-HR"/>
              </w:rPr>
              <w:t xml:space="preserve"> sat</w:t>
            </w:r>
          </w:p>
          <w:p w14:paraId="3CC284FB" w14:textId="77777777" w:rsidR="005005C3" w:rsidRPr="00DF4CE5" w:rsidRDefault="005005C3" w:rsidP="005005C3">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10 % = Tijekom držanja </w:t>
            </w:r>
            <w:proofErr w:type="spellStart"/>
            <w:r w:rsidRPr="00DF4CE5">
              <w:rPr>
                <w:rFonts w:ascii="Cambria" w:eastAsia="Times New Roman" w:hAnsi="Cambria" w:cs="Calibri"/>
                <w:lang w:val="hr-HR"/>
              </w:rPr>
              <w:t>ocjenskog</w:t>
            </w:r>
            <w:proofErr w:type="spellEnd"/>
            <w:r w:rsidRPr="00DF4CE5">
              <w:rPr>
                <w:rFonts w:ascii="Cambria" w:eastAsia="Times New Roman" w:hAnsi="Cambria" w:cs="Calibri"/>
                <w:lang w:val="hr-HR"/>
              </w:rPr>
              <w:t xml:space="preserve"> sata nije se poštivao tijek priprave</w:t>
            </w:r>
          </w:p>
          <w:p w14:paraId="0D7456CC" w14:textId="77777777" w:rsidR="005005C3" w:rsidRPr="00DF4CE5" w:rsidRDefault="005005C3" w:rsidP="005005C3">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20 % = Tijekom držanja </w:t>
            </w:r>
            <w:proofErr w:type="spellStart"/>
            <w:r w:rsidRPr="00DF4CE5">
              <w:rPr>
                <w:rFonts w:ascii="Cambria" w:eastAsia="Times New Roman" w:hAnsi="Cambria" w:cs="Calibri"/>
                <w:lang w:val="hr-HR"/>
              </w:rPr>
              <w:t>ocjenskog</w:t>
            </w:r>
            <w:proofErr w:type="spellEnd"/>
            <w:r w:rsidRPr="00DF4CE5">
              <w:rPr>
                <w:rFonts w:ascii="Cambria" w:eastAsia="Times New Roman" w:hAnsi="Cambria" w:cs="Calibri"/>
                <w:lang w:val="hr-HR"/>
              </w:rPr>
              <w:t xml:space="preserve"> sata poštivao se tijek priprave, ali sat nije sadržavao sve elemente metodike glazbene kulture</w:t>
            </w:r>
          </w:p>
          <w:p w14:paraId="433279C5" w14:textId="77777777" w:rsidR="005005C3" w:rsidRPr="00DF4CE5" w:rsidRDefault="005005C3" w:rsidP="005005C3">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30 % = Tijekom držanja </w:t>
            </w:r>
            <w:proofErr w:type="spellStart"/>
            <w:r w:rsidRPr="00DF4CE5">
              <w:rPr>
                <w:rFonts w:ascii="Cambria" w:eastAsia="Times New Roman" w:hAnsi="Cambria" w:cs="Calibri"/>
                <w:lang w:val="hr-HR"/>
              </w:rPr>
              <w:t>ocjenskog</w:t>
            </w:r>
            <w:proofErr w:type="spellEnd"/>
            <w:r w:rsidRPr="00DF4CE5">
              <w:rPr>
                <w:rFonts w:ascii="Cambria" w:eastAsia="Times New Roman" w:hAnsi="Cambria" w:cs="Calibri"/>
                <w:lang w:val="hr-HR"/>
              </w:rPr>
              <w:t xml:space="preserve"> sata poštivao se tijek priprave, sat je sadržavao sve elemente metodike glazbene kulture i učenici su aktivno sudjelovali tijekom nastave na kojoj su usvojila glazbena znanja.</w:t>
            </w:r>
          </w:p>
          <w:p w14:paraId="0276541C" w14:textId="77777777" w:rsidR="005005C3" w:rsidRPr="00DF4CE5" w:rsidRDefault="005005C3" w:rsidP="005005C3">
            <w:pPr>
              <w:spacing w:after="0" w:line="240" w:lineRule="auto"/>
              <w:jc w:val="both"/>
              <w:rPr>
                <w:rFonts w:ascii="Cambria" w:eastAsia="Times New Roman" w:hAnsi="Cambria" w:cs="Calibri"/>
                <w:lang w:val="pl-PL"/>
              </w:rPr>
            </w:pPr>
            <w:r w:rsidRPr="00DF4CE5">
              <w:rPr>
                <w:rFonts w:ascii="Cambria" w:eastAsia="Times New Roman" w:hAnsi="Cambria" w:cs="Calibri"/>
                <w:lang w:val="pl-PL"/>
              </w:rPr>
              <w:t>Ukoliko se dogovoreni termini ocjenskog sata ne poštuju, smanjuju se postavljeni bodovi za 25%.</w:t>
            </w:r>
          </w:p>
          <w:p w14:paraId="10856BF9" w14:textId="77777777" w:rsidR="005005C3" w:rsidRPr="00DF4CE5" w:rsidRDefault="005005C3" w:rsidP="005005C3">
            <w:pPr>
              <w:spacing w:after="0" w:line="240" w:lineRule="auto"/>
              <w:jc w:val="both"/>
              <w:rPr>
                <w:rFonts w:ascii="Cambria" w:eastAsia="Times New Roman" w:hAnsi="Cambria" w:cs="Calibri"/>
                <w:lang w:val="pl-PL"/>
              </w:rPr>
            </w:pPr>
            <w:r w:rsidRPr="00DF4CE5">
              <w:rPr>
                <w:rFonts w:ascii="Cambria" w:eastAsia="Times New Roman" w:hAnsi="Cambria" w:cs="Calibri"/>
                <w:lang w:val="pl-PL"/>
              </w:rPr>
              <w:t>Pismeni ispit</w:t>
            </w:r>
          </w:p>
          <w:p w14:paraId="698BF2F8" w14:textId="77777777" w:rsidR="005005C3" w:rsidRPr="00DF4CE5" w:rsidRDefault="005005C3" w:rsidP="005005C3">
            <w:pPr>
              <w:spacing w:after="0" w:line="240" w:lineRule="auto"/>
              <w:jc w:val="both"/>
              <w:rPr>
                <w:rFonts w:ascii="Cambria" w:eastAsia="Times New Roman" w:hAnsi="Cambria" w:cs="Calibri"/>
                <w:lang w:val="hr-HR"/>
              </w:rPr>
            </w:pPr>
            <w:r w:rsidRPr="00DF4CE5">
              <w:rPr>
                <w:rFonts w:ascii="Cambria" w:eastAsia="Times New Roman" w:hAnsi="Cambria" w:cs="Calibri"/>
                <w:lang w:val="pl-PL"/>
              </w:rPr>
              <w:t xml:space="preserve">nosi najviše 30 %, a </w:t>
            </w:r>
            <w:r w:rsidRPr="00DF4CE5">
              <w:rPr>
                <w:rFonts w:ascii="Cambria" w:eastAsia="Times New Roman" w:hAnsi="Cambria" w:cs="Calibri"/>
                <w:lang w:val="hr-HR"/>
              </w:rPr>
              <w:t>ocjenjuje se na sljedeći način:</w:t>
            </w:r>
          </w:p>
          <w:p w14:paraId="38F4F7D3" w14:textId="77777777" w:rsidR="005005C3" w:rsidRPr="00DF4CE5" w:rsidRDefault="005005C3" w:rsidP="005005C3">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manje od 50 % točnih odgovora = 0 %</w:t>
            </w:r>
          </w:p>
          <w:p w14:paraId="28D42A6D" w14:textId="77777777" w:rsidR="005005C3" w:rsidRPr="00DF4CE5" w:rsidRDefault="005005C3" w:rsidP="005005C3">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svaki slijedeći postotak, nosi dio udjela u ocjeni u proporcionalnom postotku.</w:t>
            </w:r>
          </w:p>
          <w:p w14:paraId="6E6C6A17" w14:textId="77777777" w:rsidR="005005C3" w:rsidRPr="00DF4CE5" w:rsidRDefault="005005C3" w:rsidP="005005C3">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ili</w:t>
            </w:r>
          </w:p>
          <w:p w14:paraId="502EF408" w14:textId="77777777" w:rsidR="005005C3" w:rsidRPr="00DF4CE5" w:rsidRDefault="005005C3" w:rsidP="005005C3">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isti postotak donosi pisana priprava i prezentacija pripremljenog glazbeno kreativnog projekta.</w:t>
            </w:r>
          </w:p>
        </w:tc>
      </w:tr>
      <w:tr w:rsidR="005005C3" w:rsidRPr="00D0399C" w14:paraId="1E80DFF3" w14:textId="77777777" w:rsidTr="004A100E">
        <w:tc>
          <w:tcPr>
            <w:tcW w:w="261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3043EEB" w14:textId="77777777" w:rsidR="005005C3" w:rsidRPr="00DF4CE5" w:rsidRDefault="005005C3" w:rsidP="005005C3">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Studentske obveze</w:t>
            </w:r>
          </w:p>
        </w:tc>
        <w:tc>
          <w:tcPr>
            <w:tcW w:w="672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4EE88F9" w14:textId="77777777" w:rsidR="005005C3" w:rsidRPr="00DF4CE5" w:rsidRDefault="005005C3" w:rsidP="005005C3">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Da položi kolegij, student/studentica mora:</w:t>
            </w:r>
          </w:p>
          <w:p w14:paraId="0E099CDD" w14:textId="77777777" w:rsidR="005005C3" w:rsidRPr="00DF4CE5" w:rsidRDefault="005005C3" w:rsidP="005005C3">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1. pohađati predavanja</w:t>
            </w:r>
          </w:p>
          <w:p w14:paraId="21D38D0C" w14:textId="77777777" w:rsidR="005005C3" w:rsidRPr="00DF4CE5" w:rsidRDefault="005005C3" w:rsidP="005005C3">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2. izraditi </w:t>
            </w:r>
            <w:proofErr w:type="spellStart"/>
            <w:r w:rsidRPr="00DF4CE5">
              <w:rPr>
                <w:rFonts w:ascii="Cambria" w:eastAsia="Times New Roman" w:hAnsi="Cambria" w:cs="Calibri"/>
                <w:lang w:val="hr-HR"/>
              </w:rPr>
              <w:t>ocjensku</w:t>
            </w:r>
            <w:proofErr w:type="spellEnd"/>
            <w:r w:rsidRPr="00DF4CE5">
              <w:rPr>
                <w:rFonts w:ascii="Cambria" w:eastAsia="Times New Roman" w:hAnsi="Cambria" w:cs="Calibri"/>
                <w:lang w:val="hr-HR"/>
              </w:rPr>
              <w:t xml:space="preserve"> pripravu</w:t>
            </w:r>
          </w:p>
          <w:p w14:paraId="4BD6D921" w14:textId="77777777" w:rsidR="005005C3" w:rsidRPr="00DF4CE5" w:rsidRDefault="005005C3" w:rsidP="005005C3">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3. održati </w:t>
            </w:r>
            <w:proofErr w:type="spellStart"/>
            <w:r w:rsidRPr="00DF4CE5">
              <w:rPr>
                <w:rFonts w:ascii="Cambria" w:eastAsia="Times New Roman" w:hAnsi="Cambria" w:cs="Calibri"/>
                <w:lang w:val="hr-HR"/>
              </w:rPr>
              <w:t>ocjenski</w:t>
            </w:r>
            <w:proofErr w:type="spellEnd"/>
            <w:r w:rsidRPr="00DF4CE5">
              <w:rPr>
                <w:rFonts w:ascii="Cambria" w:eastAsia="Times New Roman" w:hAnsi="Cambria" w:cs="Calibri"/>
                <w:lang w:val="hr-HR"/>
              </w:rPr>
              <w:t xml:space="preserve"> sat</w:t>
            </w:r>
          </w:p>
          <w:p w14:paraId="0C54A3AE" w14:textId="77777777" w:rsidR="005005C3" w:rsidRPr="00DF4CE5" w:rsidRDefault="005005C3" w:rsidP="005005C3">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4. pristupiti pismenom ispitu</w:t>
            </w:r>
          </w:p>
          <w:p w14:paraId="2617F1C6" w14:textId="77777777" w:rsidR="005005C3" w:rsidRPr="00DF4CE5" w:rsidRDefault="005005C3" w:rsidP="005005C3">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Ili</w:t>
            </w:r>
          </w:p>
          <w:p w14:paraId="7FA30F2B" w14:textId="77777777" w:rsidR="005005C3" w:rsidRPr="00DF4CE5" w:rsidRDefault="005005C3" w:rsidP="005005C3">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4. pristupiti prezentiranju glazbeno kreativnog projekta</w:t>
            </w:r>
          </w:p>
          <w:p w14:paraId="2D89E773" w14:textId="1F26946A" w:rsidR="005005C3" w:rsidRPr="00DF4CE5" w:rsidRDefault="000F1EE1" w:rsidP="005005C3">
            <w:pPr>
              <w:spacing w:after="0" w:line="240" w:lineRule="auto"/>
              <w:jc w:val="both"/>
              <w:rPr>
                <w:rFonts w:ascii="Cambria" w:eastAsia="Times New Roman" w:hAnsi="Cambria" w:cs="Calibri"/>
                <w:lang w:val="hr-HR"/>
              </w:rPr>
            </w:pPr>
            <w:r>
              <w:rPr>
                <w:rFonts w:ascii="Cambria" w:eastAsia="Times New Roman" w:hAnsi="Cambria" w:cs="Calibri"/>
                <w:lang w:val="hr-HR"/>
              </w:rPr>
              <w:t xml:space="preserve">Napomena: </w:t>
            </w:r>
            <w:r w:rsidR="005005C3" w:rsidRPr="00DF4CE5">
              <w:rPr>
                <w:rFonts w:ascii="Cambria" w:eastAsia="Times New Roman" w:hAnsi="Cambria" w:cs="Calibri"/>
                <w:lang w:val="hr-HR"/>
              </w:rPr>
              <w:t xml:space="preserve">Student/studentica mora održati </w:t>
            </w:r>
            <w:proofErr w:type="spellStart"/>
            <w:r w:rsidR="005005C3" w:rsidRPr="00DF4CE5">
              <w:rPr>
                <w:rFonts w:ascii="Cambria" w:eastAsia="Times New Roman" w:hAnsi="Cambria" w:cs="Calibri"/>
                <w:lang w:val="hr-HR"/>
              </w:rPr>
              <w:t>ocjenski</w:t>
            </w:r>
            <w:proofErr w:type="spellEnd"/>
            <w:r w:rsidR="005005C3" w:rsidRPr="00DF4CE5">
              <w:rPr>
                <w:rFonts w:ascii="Cambria" w:eastAsia="Times New Roman" w:hAnsi="Cambria" w:cs="Calibri"/>
                <w:lang w:val="hr-HR"/>
              </w:rPr>
              <w:t xml:space="preserve"> sat i prije toga napisati pripravu. </w:t>
            </w:r>
            <w:proofErr w:type="spellStart"/>
            <w:r w:rsidR="005005C3" w:rsidRPr="00DF4CE5">
              <w:rPr>
                <w:rFonts w:ascii="Cambria" w:eastAsia="Times New Roman" w:hAnsi="Cambria" w:cs="Calibri"/>
                <w:lang w:val="hr-HR"/>
              </w:rPr>
              <w:t>Ocjenski</w:t>
            </w:r>
            <w:proofErr w:type="spellEnd"/>
            <w:r w:rsidR="005005C3" w:rsidRPr="00DF4CE5">
              <w:rPr>
                <w:rFonts w:ascii="Cambria" w:eastAsia="Times New Roman" w:hAnsi="Cambria" w:cs="Calibri"/>
                <w:lang w:val="hr-HR"/>
              </w:rPr>
              <w:t xml:space="preserve"> sat je eliminacijski. Ukoliko ga ne održi tijekom semestra, student mora ponovno upisati kolegij.</w:t>
            </w:r>
          </w:p>
        </w:tc>
      </w:tr>
      <w:tr w:rsidR="005005C3" w:rsidRPr="00D0399C" w14:paraId="57B694CF" w14:textId="77777777" w:rsidTr="004A100E">
        <w:tc>
          <w:tcPr>
            <w:tcW w:w="261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11C3775" w14:textId="77777777" w:rsidR="005005C3" w:rsidRPr="00DF4CE5" w:rsidRDefault="005005C3" w:rsidP="005005C3">
            <w:pPr>
              <w:spacing w:after="0" w:line="240" w:lineRule="auto"/>
              <w:jc w:val="both"/>
              <w:rPr>
                <w:rFonts w:ascii="Cambria" w:eastAsia="Times New Roman" w:hAnsi="Cambria" w:cs="Calibri"/>
                <w:lang w:val="hr-HR"/>
              </w:rPr>
            </w:pPr>
            <w:proofErr w:type="spellStart"/>
            <w:r w:rsidRPr="00DF4CE5">
              <w:rPr>
                <w:rFonts w:ascii="Cambria" w:eastAsia="Times New Roman" w:hAnsi="Cambria" w:cs="Calibri"/>
              </w:rPr>
              <w:t>Rokovi</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ispita</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i</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kolokvija</w:t>
            </w:r>
            <w:proofErr w:type="spellEnd"/>
          </w:p>
        </w:tc>
        <w:tc>
          <w:tcPr>
            <w:tcW w:w="672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2885699" w14:textId="77777777" w:rsidR="005005C3" w:rsidRPr="00DF4CE5" w:rsidRDefault="005005C3" w:rsidP="005005C3">
            <w:pPr>
              <w:spacing w:after="0" w:line="240" w:lineRule="auto"/>
              <w:jc w:val="both"/>
              <w:rPr>
                <w:rFonts w:ascii="Cambria" w:eastAsia="Times New Roman" w:hAnsi="Cambria" w:cs="Calibri"/>
                <w:lang w:val="hr-HR"/>
              </w:rPr>
            </w:pPr>
            <w:proofErr w:type="spellStart"/>
            <w:r w:rsidRPr="00DF4CE5">
              <w:rPr>
                <w:rFonts w:ascii="Cambria" w:eastAsia="Times New Roman" w:hAnsi="Cambria" w:cs="Calibri"/>
                <w:lang w:val="hr-HR"/>
              </w:rPr>
              <w:t>Ocjenski</w:t>
            </w:r>
            <w:proofErr w:type="spellEnd"/>
            <w:r w:rsidRPr="00DF4CE5">
              <w:rPr>
                <w:rFonts w:ascii="Cambria" w:eastAsia="Times New Roman" w:hAnsi="Cambria" w:cs="Calibri"/>
                <w:lang w:val="hr-HR"/>
              </w:rPr>
              <w:t xml:space="preserve"> sat izvodi se prema školskom kalendaru.</w:t>
            </w:r>
          </w:p>
          <w:p w14:paraId="036F1649" w14:textId="77777777" w:rsidR="005005C3" w:rsidRPr="00DF4CE5" w:rsidRDefault="005005C3" w:rsidP="005005C3">
            <w:pPr>
              <w:spacing w:after="0" w:line="240" w:lineRule="auto"/>
              <w:jc w:val="both"/>
              <w:rPr>
                <w:rFonts w:ascii="Cambria" w:eastAsia="Times New Roman" w:hAnsi="Cambria" w:cs="Calibri"/>
                <w:lang w:val="hr-HR"/>
              </w:rPr>
            </w:pPr>
            <w:r w:rsidRPr="00DF4CE5">
              <w:rPr>
                <w:rFonts w:ascii="Cambria" w:eastAsia="Times New Roman" w:hAnsi="Cambria" w:cs="Calibri"/>
                <w:lang w:val="hr-HR"/>
              </w:rPr>
              <w:lastRenderedPageBreak/>
              <w:t>Rokovi se objavljuju na mrežnim stranicama Fakulteta za odgojne i obrazovne znanosti i u ISVU.</w:t>
            </w:r>
          </w:p>
        </w:tc>
      </w:tr>
      <w:tr w:rsidR="005005C3" w:rsidRPr="000F1EE1" w14:paraId="700379E4" w14:textId="77777777" w:rsidTr="004A100E">
        <w:tc>
          <w:tcPr>
            <w:tcW w:w="261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2779C13" w14:textId="77777777" w:rsidR="005005C3" w:rsidRPr="00DF4CE5" w:rsidRDefault="005005C3" w:rsidP="005005C3">
            <w:pPr>
              <w:spacing w:after="0" w:line="240" w:lineRule="auto"/>
              <w:jc w:val="both"/>
              <w:rPr>
                <w:rFonts w:ascii="Cambria" w:eastAsia="Times New Roman" w:hAnsi="Cambria" w:cs="Calibri"/>
                <w:lang w:val="hr-HR"/>
              </w:rPr>
            </w:pPr>
            <w:r w:rsidRPr="00DF4CE5">
              <w:rPr>
                <w:rFonts w:ascii="Cambria" w:eastAsia="Times New Roman" w:hAnsi="Cambria" w:cs="Calibri"/>
                <w:lang w:val="hr-HR"/>
              </w:rPr>
              <w:lastRenderedPageBreak/>
              <w:t xml:space="preserve">Ostale važne činjenice </w:t>
            </w:r>
            <w:proofErr w:type="spellStart"/>
            <w:r w:rsidRPr="00DF4CE5">
              <w:rPr>
                <w:rFonts w:ascii="Cambria" w:eastAsia="Times New Roman" w:hAnsi="Cambria" w:cs="Calibri"/>
                <w:lang w:val="it-IT"/>
              </w:rPr>
              <w:t>vezaneuzkolegij</w:t>
            </w:r>
            <w:proofErr w:type="spellEnd"/>
          </w:p>
        </w:tc>
        <w:tc>
          <w:tcPr>
            <w:tcW w:w="672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1AB3456" w14:textId="2F539528" w:rsidR="005005C3" w:rsidRPr="00DF4CE5" w:rsidRDefault="005005C3" w:rsidP="005005C3">
            <w:pPr>
              <w:spacing w:after="0" w:line="240" w:lineRule="auto"/>
              <w:jc w:val="both"/>
              <w:rPr>
                <w:rFonts w:ascii="Cambria" w:eastAsia="Times New Roman" w:hAnsi="Cambria" w:cs="Calibri"/>
                <w:lang w:val="pl-PL"/>
              </w:rPr>
            </w:pPr>
            <w:r w:rsidRPr="00DF4CE5">
              <w:rPr>
                <w:rFonts w:ascii="Cambria" w:eastAsia="Times New Roman" w:hAnsi="Cambria" w:cs="Calibri"/>
                <w:lang w:val="hr-HR"/>
              </w:rPr>
              <w:t xml:space="preserve">U slučaju održavanja nastave na daljinu, moguće je odstupanje u: mjestu izvođenja kolegija, provedbi aktivnosti, metoda tumačenja i poučavanja i načinima vrednovanja, studentskim obvezama i dostupnoj literaturi. O tome će nositeljica i </w:t>
            </w:r>
            <w:r w:rsidR="000F1EE1">
              <w:rPr>
                <w:rFonts w:ascii="Cambria" w:eastAsia="Times New Roman" w:hAnsi="Cambria" w:cs="Calibri"/>
                <w:lang w:val="hr-HR"/>
              </w:rPr>
              <w:t>suradnik</w:t>
            </w:r>
            <w:r w:rsidRPr="00DF4CE5">
              <w:rPr>
                <w:rFonts w:ascii="Cambria" w:eastAsia="Times New Roman" w:hAnsi="Cambria" w:cs="Calibri"/>
                <w:lang w:val="hr-HR"/>
              </w:rPr>
              <w:t xml:space="preserve"> obavijestiti studente i studentice kad se nastava na daljinu počne održavati. Ishodi učenja ostaju nepromijenjeni.</w:t>
            </w:r>
          </w:p>
        </w:tc>
      </w:tr>
      <w:tr w:rsidR="005005C3" w:rsidRPr="00DF4CE5" w14:paraId="68051A4C" w14:textId="77777777" w:rsidTr="004A100E">
        <w:trPr>
          <w:trHeight w:val="770"/>
        </w:trPr>
        <w:tc>
          <w:tcPr>
            <w:tcW w:w="261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06817F0" w14:textId="77777777" w:rsidR="005005C3" w:rsidRPr="00DF4CE5" w:rsidRDefault="005005C3" w:rsidP="005005C3">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Literatura</w:t>
            </w:r>
          </w:p>
        </w:tc>
        <w:tc>
          <w:tcPr>
            <w:tcW w:w="6724"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446B329F" w14:textId="77777777" w:rsidR="005005C3" w:rsidRPr="00DF4CE5" w:rsidRDefault="005005C3" w:rsidP="005005C3">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Obvezna: </w:t>
            </w:r>
          </w:p>
          <w:p w14:paraId="5F81CED5" w14:textId="77777777" w:rsidR="005005C3" w:rsidRPr="00DF4CE5" w:rsidRDefault="005005C3" w:rsidP="005005C3">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1. </w:t>
            </w:r>
            <w:proofErr w:type="spellStart"/>
            <w:r w:rsidRPr="00DF4CE5">
              <w:rPr>
                <w:rFonts w:ascii="Cambria" w:eastAsia="Times New Roman" w:hAnsi="Cambria" w:cs="Calibri"/>
                <w:lang w:val="hr-HR"/>
              </w:rPr>
              <w:t>Njirić</w:t>
            </w:r>
            <w:proofErr w:type="spellEnd"/>
            <w:r w:rsidRPr="00DF4CE5">
              <w:rPr>
                <w:rFonts w:ascii="Cambria" w:eastAsia="Times New Roman" w:hAnsi="Cambria" w:cs="Calibri"/>
                <w:lang w:val="hr-HR"/>
              </w:rPr>
              <w:t>, N. (2001). Put do glazbe. Zagreb: Školska knjiga, str. 9-157.</w:t>
            </w:r>
          </w:p>
          <w:p w14:paraId="11E8AFC0" w14:textId="77777777" w:rsidR="005005C3" w:rsidRPr="00DF4CE5" w:rsidRDefault="005005C3" w:rsidP="005005C3">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2. </w:t>
            </w:r>
            <w:proofErr w:type="spellStart"/>
            <w:r w:rsidRPr="00DF4CE5">
              <w:rPr>
                <w:rFonts w:ascii="Cambria" w:eastAsia="Times New Roman" w:hAnsi="Cambria" w:cs="Calibri"/>
                <w:lang w:val="hr-HR"/>
              </w:rPr>
              <w:t>Michels</w:t>
            </w:r>
            <w:proofErr w:type="spellEnd"/>
            <w:r w:rsidRPr="00DF4CE5">
              <w:rPr>
                <w:rFonts w:ascii="Cambria" w:eastAsia="Times New Roman" w:hAnsi="Cambria" w:cs="Calibri"/>
                <w:lang w:val="hr-HR"/>
              </w:rPr>
              <w:t>, U. (2004). Atlas glazbe. Zagreb: Golden marketing-Tehnička knjiga, sv. 2., str. 300-560.</w:t>
            </w:r>
          </w:p>
          <w:p w14:paraId="26AB2195" w14:textId="77777777" w:rsidR="005005C3" w:rsidRPr="00DF4CE5" w:rsidRDefault="005005C3" w:rsidP="005005C3">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Izborna:</w:t>
            </w:r>
          </w:p>
          <w:p w14:paraId="0E3419E3" w14:textId="77777777" w:rsidR="005005C3" w:rsidRPr="00DF4CE5" w:rsidRDefault="005005C3" w:rsidP="005005C3">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1. Dobrota, S. (2012). Uvod u suvremenu glazbenu pedagogiju. Split: Filozofski fakultet u Splitu – Odsjek za učiteljski studij.</w:t>
            </w:r>
          </w:p>
          <w:p w14:paraId="7FD1DB40" w14:textId="77777777" w:rsidR="005005C3" w:rsidRPr="00DF4CE5" w:rsidRDefault="005005C3" w:rsidP="005005C3">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2. </w:t>
            </w:r>
            <w:proofErr w:type="spellStart"/>
            <w:r w:rsidRPr="00DF4CE5">
              <w:rPr>
                <w:rFonts w:ascii="Cambria" w:eastAsia="Times New Roman" w:hAnsi="Cambria" w:cs="Calibri"/>
                <w:lang w:val="hr-HR"/>
              </w:rPr>
              <w:t>Rojko</w:t>
            </w:r>
            <w:proofErr w:type="spellEnd"/>
            <w:r w:rsidRPr="00DF4CE5">
              <w:rPr>
                <w:rFonts w:ascii="Cambria" w:eastAsia="Times New Roman" w:hAnsi="Cambria" w:cs="Calibri"/>
                <w:lang w:val="hr-HR"/>
              </w:rPr>
              <w:t>, P. (2004). Metodika glazbene nastave - praksa I. dio. Zagreb: Jakša Zlatar, 2004.</w:t>
            </w:r>
          </w:p>
          <w:p w14:paraId="30D51286" w14:textId="77777777" w:rsidR="005005C3" w:rsidRPr="00DF4CE5" w:rsidRDefault="005005C3" w:rsidP="005005C3">
            <w:pPr>
              <w:spacing w:after="0" w:line="240" w:lineRule="auto"/>
              <w:jc w:val="both"/>
              <w:rPr>
                <w:rFonts w:ascii="Cambria" w:eastAsia="Times New Roman" w:hAnsi="Cambria" w:cs="Calibri"/>
                <w:lang w:val="hr-HR" w:eastAsia="hr-HR"/>
              </w:rPr>
            </w:pPr>
            <w:r w:rsidRPr="00DF4CE5">
              <w:rPr>
                <w:rFonts w:ascii="Cambria" w:eastAsia="Times New Roman" w:hAnsi="Cambria" w:cs="Calibri"/>
                <w:lang w:val="hr-HR"/>
              </w:rPr>
              <w:t xml:space="preserve">3. </w:t>
            </w:r>
            <w:proofErr w:type="spellStart"/>
            <w:r w:rsidRPr="00DF4CE5">
              <w:rPr>
                <w:rFonts w:ascii="Cambria" w:eastAsia="Times New Roman" w:hAnsi="Cambria" w:cs="Calibri"/>
                <w:lang w:val="hr-HR"/>
              </w:rPr>
              <w:t>Rojko</w:t>
            </w:r>
            <w:proofErr w:type="spellEnd"/>
            <w:r w:rsidRPr="00DF4CE5">
              <w:rPr>
                <w:rFonts w:ascii="Cambria" w:eastAsia="Times New Roman" w:hAnsi="Cambria" w:cs="Calibri"/>
                <w:lang w:val="hr-HR"/>
              </w:rPr>
              <w:t>, P. (2005). Metodika glazbene nastave - praksa II. dio: slušanje glazbe. Zagreb: Jakša Zlatar</w:t>
            </w:r>
            <w:r w:rsidRPr="00DF4CE5">
              <w:rPr>
                <w:rFonts w:ascii="Cambria" w:eastAsia="Times New Roman" w:hAnsi="Cambria" w:cs="Calibri"/>
                <w:lang w:val="hr-HR" w:eastAsia="hr-HR"/>
              </w:rPr>
              <w:t>.</w:t>
            </w:r>
          </w:p>
          <w:p w14:paraId="79346449" w14:textId="77777777" w:rsidR="005005C3" w:rsidRPr="00DF4CE5" w:rsidRDefault="005005C3" w:rsidP="005005C3">
            <w:pPr>
              <w:spacing w:after="0" w:line="240" w:lineRule="auto"/>
              <w:jc w:val="both"/>
              <w:rPr>
                <w:rFonts w:ascii="Cambria" w:eastAsia="Times New Roman" w:hAnsi="Cambria" w:cs="Calibri"/>
                <w:lang w:val="hr-HR" w:eastAsia="hr-HR"/>
              </w:rPr>
            </w:pPr>
            <w:r w:rsidRPr="00DF4CE5">
              <w:rPr>
                <w:rFonts w:ascii="Cambria" w:eastAsia="Times New Roman" w:hAnsi="Cambria" w:cs="Calibri"/>
                <w:lang w:val="hr-HR" w:eastAsia="hr-HR"/>
              </w:rPr>
              <w:t xml:space="preserve">4. </w:t>
            </w:r>
            <w:proofErr w:type="spellStart"/>
            <w:r w:rsidRPr="00DF4CE5">
              <w:rPr>
                <w:rFonts w:ascii="Cambria" w:eastAsia="Times New Roman" w:hAnsi="Cambria" w:cs="Calibri"/>
                <w:lang w:val="hr-HR"/>
              </w:rPr>
              <w:t>Rojko</w:t>
            </w:r>
            <w:proofErr w:type="spellEnd"/>
            <w:r w:rsidRPr="00DF4CE5">
              <w:rPr>
                <w:rFonts w:ascii="Cambria" w:eastAsia="Times New Roman" w:hAnsi="Cambria" w:cs="Calibri"/>
                <w:lang w:val="hr-HR"/>
              </w:rPr>
              <w:t xml:space="preserve">, P. (1996). </w:t>
            </w:r>
            <w:r w:rsidRPr="00DF4CE5">
              <w:rPr>
                <w:rFonts w:ascii="Cambria" w:eastAsia="Times New Roman" w:hAnsi="Cambria" w:cs="Calibri"/>
                <w:lang w:val="hr-HR" w:eastAsia="hr-HR"/>
              </w:rPr>
              <w:t>Metodika nastave glazbe: teoretsko-tematski aspekti (Glazbena nastava u općeobrazovnoj školi). Osijek: Sveučilište Josipa Jurja Strossmayera, Pedagoški fakultet Osijek. (II. elektroničko izdanje. Zagreb), 2012.</w:t>
            </w:r>
          </w:p>
          <w:p w14:paraId="69F83AE7" w14:textId="77777777" w:rsidR="005005C3" w:rsidRPr="00DF4CE5" w:rsidRDefault="005005C3" w:rsidP="005005C3">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5. </w:t>
            </w:r>
            <w:proofErr w:type="spellStart"/>
            <w:r w:rsidRPr="00DF4CE5">
              <w:rPr>
                <w:rFonts w:ascii="Cambria" w:eastAsia="Times New Roman" w:hAnsi="Cambria" w:cs="Calibri"/>
                <w:lang w:val="hr-HR"/>
              </w:rPr>
              <w:t>Vidulin</w:t>
            </w:r>
            <w:proofErr w:type="spellEnd"/>
            <w:r w:rsidRPr="00DF4CE5">
              <w:rPr>
                <w:rFonts w:ascii="Cambria" w:eastAsia="Times New Roman" w:hAnsi="Cambria" w:cs="Calibri"/>
                <w:lang w:val="hr-HR"/>
              </w:rPr>
              <w:t>-Orbanić S. (</w:t>
            </w:r>
            <w:proofErr w:type="spellStart"/>
            <w:r w:rsidRPr="00DF4CE5">
              <w:rPr>
                <w:rFonts w:ascii="Cambria" w:eastAsia="Times New Roman" w:hAnsi="Cambria" w:cs="Calibri"/>
                <w:lang w:val="hr-HR"/>
              </w:rPr>
              <w:t>ur</w:t>
            </w:r>
            <w:proofErr w:type="spellEnd"/>
            <w:r w:rsidRPr="00DF4CE5">
              <w:rPr>
                <w:rFonts w:ascii="Cambria" w:eastAsia="Times New Roman" w:hAnsi="Cambria" w:cs="Calibri"/>
                <w:lang w:val="hr-HR"/>
              </w:rPr>
              <w:t xml:space="preserve">.) (2013). Zbornik radova s Trećeg međunarodnog simpozija glazbenih pedagoga. Glazbena pedagogija u svjetlu sadašnjih i budućih promjena 3. Pula: Sveučilište Jurja Dobrile u Puli, </w:t>
            </w:r>
          </w:p>
          <w:p w14:paraId="72F8AFD1" w14:textId="77777777" w:rsidR="005005C3" w:rsidRPr="00DF4CE5" w:rsidRDefault="005005C3" w:rsidP="005005C3">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6. </w:t>
            </w:r>
            <w:proofErr w:type="spellStart"/>
            <w:r w:rsidRPr="00DF4CE5">
              <w:rPr>
                <w:rFonts w:ascii="Cambria" w:eastAsia="Times New Roman" w:hAnsi="Cambria" w:cs="Calibri"/>
                <w:lang w:val="hr-HR"/>
              </w:rPr>
              <w:t>Vidulin</w:t>
            </w:r>
            <w:proofErr w:type="spellEnd"/>
            <w:r w:rsidRPr="00DF4CE5">
              <w:rPr>
                <w:rFonts w:ascii="Cambria" w:eastAsia="Times New Roman" w:hAnsi="Cambria" w:cs="Calibri"/>
                <w:lang w:val="hr-HR"/>
              </w:rPr>
              <w:t>-Orbanić S. (</w:t>
            </w:r>
            <w:proofErr w:type="spellStart"/>
            <w:r w:rsidRPr="00DF4CE5">
              <w:rPr>
                <w:rFonts w:ascii="Cambria" w:eastAsia="Times New Roman" w:hAnsi="Cambria" w:cs="Calibri"/>
                <w:lang w:val="hr-HR"/>
              </w:rPr>
              <w:t>ur</w:t>
            </w:r>
            <w:proofErr w:type="spellEnd"/>
            <w:r w:rsidRPr="00DF4CE5">
              <w:rPr>
                <w:rFonts w:ascii="Cambria" w:eastAsia="Times New Roman" w:hAnsi="Cambria" w:cs="Calibri"/>
                <w:lang w:val="hr-HR"/>
              </w:rPr>
              <w:t>.) (2011). Monografija radova s Drugog međunarodnog simpozija glazbenih pedagoga. Glazbena nastava i nastavna tehnologija: mogućnosti i ograničenja. Pula: Sveučilište Jurja Dobrile u Puli.</w:t>
            </w:r>
          </w:p>
          <w:p w14:paraId="497DE773" w14:textId="77777777" w:rsidR="005005C3" w:rsidRPr="00DF4CE5" w:rsidRDefault="005005C3" w:rsidP="005005C3">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7. </w:t>
            </w:r>
            <w:proofErr w:type="spellStart"/>
            <w:r w:rsidRPr="00DF4CE5">
              <w:rPr>
                <w:rFonts w:ascii="Cambria" w:eastAsia="Times New Roman" w:hAnsi="Cambria" w:cs="Calibri"/>
                <w:lang w:val="hr-HR"/>
              </w:rPr>
              <w:t>Vidulin</w:t>
            </w:r>
            <w:proofErr w:type="spellEnd"/>
            <w:r w:rsidRPr="00DF4CE5">
              <w:rPr>
                <w:rFonts w:ascii="Cambria" w:eastAsia="Times New Roman" w:hAnsi="Cambria" w:cs="Calibri"/>
                <w:lang w:val="hr-HR"/>
              </w:rPr>
              <w:t>-Orbanić S. (</w:t>
            </w:r>
            <w:proofErr w:type="spellStart"/>
            <w:r w:rsidRPr="00DF4CE5">
              <w:rPr>
                <w:rFonts w:ascii="Cambria" w:eastAsia="Times New Roman" w:hAnsi="Cambria" w:cs="Calibri"/>
                <w:lang w:val="hr-HR"/>
              </w:rPr>
              <w:t>ur</w:t>
            </w:r>
            <w:proofErr w:type="spellEnd"/>
            <w:r w:rsidRPr="00DF4CE5">
              <w:rPr>
                <w:rFonts w:ascii="Cambria" w:eastAsia="Times New Roman" w:hAnsi="Cambria" w:cs="Calibri"/>
                <w:lang w:val="hr-HR"/>
              </w:rPr>
              <w:t>.) (2009). Zbornik radova s Prvog međunarodnog simpozija glazbenih pedagoga. Glazbena pedagogija u svjetlu sadašnjih i budućih promjena. Pula: Sveučilište Jurja Dobrile u Puli.</w:t>
            </w:r>
          </w:p>
          <w:p w14:paraId="7E2510CC" w14:textId="77777777" w:rsidR="005005C3" w:rsidRPr="00DF4CE5" w:rsidRDefault="005005C3" w:rsidP="005005C3">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Priručna: </w:t>
            </w:r>
          </w:p>
          <w:p w14:paraId="6F026322" w14:textId="77777777" w:rsidR="005005C3" w:rsidRPr="00DF4CE5" w:rsidRDefault="005005C3" w:rsidP="000F1EE1">
            <w:pPr>
              <w:spacing w:after="0" w:line="240" w:lineRule="auto"/>
              <w:rPr>
                <w:rFonts w:ascii="Cambria" w:eastAsia="Times New Roman" w:hAnsi="Cambria" w:cs="Calibri"/>
                <w:lang w:val="hr-HR"/>
              </w:rPr>
            </w:pPr>
            <w:r w:rsidRPr="00DF4CE5">
              <w:rPr>
                <w:rFonts w:ascii="Cambria" w:eastAsia="Times New Roman" w:hAnsi="Cambria" w:cs="Calibri"/>
                <w:lang w:val="hr-HR"/>
              </w:rPr>
              <w:t>1. Kurikulum nastavnog predmeta Glazbena kultura za Osnovne škole i Glazbena umjetnost za Gimnazije (</w:t>
            </w:r>
            <w:hyperlink r:id="rId149" w:history="1">
              <w:r w:rsidRPr="00DF4CE5">
                <w:rPr>
                  <w:rFonts w:ascii="Cambria" w:eastAsia="Times New Roman" w:hAnsi="Cambria" w:cs="Calibri"/>
                  <w:color w:val="0000FF"/>
                  <w:u w:val="single"/>
                  <w:lang w:val="hr-HR"/>
                </w:rPr>
                <w:t>https://narodne-novine.nn.hr/clanci/sluzbeni/2019_01_7_151.html</w:t>
              </w:r>
            </w:hyperlink>
            <w:r w:rsidRPr="00DF4CE5">
              <w:rPr>
                <w:rFonts w:ascii="Cambria" w:eastAsia="Times New Roman" w:hAnsi="Cambria" w:cs="Calibri"/>
                <w:lang w:val="hr-HR"/>
              </w:rPr>
              <w:t>)</w:t>
            </w:r>
          </w:p>
          <w:p w14:paraId="49A20776" w14:textId="77777777" w:rsidR="005005C3" w:rsidRPr="00DF4CE5" w:rsidRDefault="005005C3" w:rsidP="005005C3">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2. razne pjesmarice, CD</w:t>
            </w:r>
          </w:p>
        </w:tc>
      </w:tr>
    </w:tbl>
    <w:p w14:paraId="26CECD0C" w14:textId="77777777" w:rsidR="003A42BE" w:rsidRPr="00DF4CE5" w:rsidRDefault="003A42BE" w:rsidP="008B34AF">
      <w:pPr>
        <w:jc w:val="both"/>
        <w:rPr>
          <w:rFonts w:ascii="Cambria" w:hAnsi="Cambria"/>
          <w:lang w:val="hr-HR"/>
        </w:rPr>
      </w:pPr>
    </w:p>
    <w:p w14:paraId="669D0D5D" w14:textId="77777777" w:rsidR="003A42BE" w:rsidRPr="00DF4CE5" w:rsidRDefault="003A42BE" w:rsidP="008B34AF">
      <w:pPr>
        <w:jc w:val="both"/>
        <w:rPr>
          <w:rFonts w:ascii="Cambria" w:hAnsi="Cambria"/>
          <w:lang w:val="hr-HR"/>
        </w:rPr>
      </w:pPr>
    </w:p>
    <w:p w14:paraId="321697FB" w14:textId="77777777" w:rsidR="003A42BE" w:rsidRPr="00DF4CE5" w:rsidRDefault="003A42BE" w:rsidP="008B34AF">
      <w:pPr>
        <w:jc w:val="both"/>
        <w:rPr>
          <w:rFonts w:ascii="Cambria" w:hAnsi="Cambria"/>
          <w:lang w:val="hr-HR"/>
        </w:rPr>
      </w:pPr>
    </w:p>
    <w:p w14:paraId="27D140F1" w14:textId="77777777" w:rsidR="003A42BE" w:rsidRPr="00DF4CE5" w:rsidRDefault="003A42BE" w:rsidP="008B34AF">
      <w:pPr>
        <w:jc w:val="both"/>
        <w:rPr>
          <w:rFonts w:ascii="Cambria" w:hAnsi="Cambria"/>
          <w:lang w:val="hr-HR"/>
        </w:rPr>
      </w:pPr>
    </w:p>
    <w:p w14:paraId="21B51F57" w14:textId="77777777" w:rsidR="003A42BE" w:rsidRPr="00DF4CE5" w:rsidRDefault="003A42BE" w:rsidP="008B34AF">
      <w:pPr>
        <w:jc w:val="both"/>
        <w:rPr>
          <w:rFonts w:ascii="Cambria" w:hAnsi="Cambria"/>
          <w:lang w:val="hr-HR"/>
        </w:rPr>
      </w:pPr>
    </w:p>
    <w:p w14:paraId="3C801284" w14:textId="77777777" w:rsidR="003A42BE" w:rsidRPr="00DF4CE5" w:rsidRDefault="003A42BE" w:rsidP="008B34AF">
      <w:pPr>
        <w:jc w:val="both"/>
        <w:rPr>
          <w:rFonts w:ascii="Cambria" w:hAnsi="Cambria"/>
          <w:lang w:val="hr-HR"/>
        </w:rPr>
      </w:pPr>
    </w:p>
    <w:p w14:paraId="1853177D" w14:textId="77777777" w:rsidR="003A42BE" w:rsidRPr="00DF4CE5" w:rsidRDefault="003A42BE" w:rsidP="008B34AF">
      <w:pPr>
        <w:jc w:val="both"/>
        <w:rPr>
          <w:rFonts w:ascii="Cambria" w:hAnsi="Cambria"/>
          <w:lang w:val="hr-HR"/>
        </w:rPr>
      </w:pPr>
    </w:p>
    <w:p w14:paraId="46B8DF77" w14:textId="77777777" w:rsidR="003A42BE" w:rsidRPr="00DF4CE5" w:rsidRDefault="003A42BE" w:rsidP="008B34AF">
      <w:pPr>
        <w:jc w:val="both"/>
        <w:rPr>
          <w:rFonts w:ascii="Cambria" w:hAnsi="Cambria"/>
          <w:lang w:val="hr-HR"/>
        </w:rPr>
      </w:pPr>
    </w:p>
    <w:p w14:paraId="6B8853E1" w14:textId="77777777" w:rsidR="003A42BE" w:rsidRPr="00DF4CE5" w:rsidRDefault="003A42BE" w:rsidP="008B34AF">
      <w:pPr>
        <w:jc w:val="both"/>
        <w:rPr>
          <w:rFonts w:ascii="Cambria" w:hAnsi="Cambria"/>
          <w:lang w:val="hr-HR"/>
        </w:rPr>
      </w:pPr>
    </w:p>
    <w:tbl>
      <w:tblPr>
        <w:tblW w:w="5018" w:type="pct"/>
        <w:tblLayout w:type="fixed"/>
        <w:tblCellMar>
          <w:left w:w="0" w:type="dxa"/>
          <w:right w:w="0" w:type="dxa"/>
        </w:tblCellMar>
        <w:tblLook w:val="0600" w:firstRow="0" w:lastRow="0" w:firstColumn="0" w:lastColumn="0" w:noHBand="1" w:noVBand="1"/>
      </w:tblPr>
      <w:tblGrid>
        <w:gridCol w:w="2816"/>
        <w:gridCol w:w="2673"/>
        <w:gridCol w:w="105"/>
        <w:gridCol w:w="1176"/>
        <w:gridCol w:w="301"/>
        <w:gridCol w:w="474"/>
        <w:gridCol w:w="1091"/>
        <w:gridCol w:w="1420"/>
      </w:tblGrid>
      <w:tr w:rsidR="003A42BE" w:rsidRPr="00DF4CE5" w14:paraId="677EB982" w14:textId="77777777" w:rsidTr="000F1EE1">
        <w:trPr>
          <w:trHeight w:val="151"/>
        </w:trPr>
        <w:tc>
          <w:tcPr>
            <w:tcW w:w="10056"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806C9F5" w14:textId="77777777" w:rsidR="003A42BE" w:rsidRPr="00DF4CE5" w:rsidRDefault="003A42BE" w:rsidP="00A12846">
            <w:pPr>
              <w:spacing w:after="0" w:line="240" w:lineRule="auto"/>
              <w:jc w:val="right"/>
              <w:rPr>
                <w:rFonts w:ascii="Cambria" w:eastAsia="Times New Roman" w:hAnsi="Cambria" w:cs="Calibri"/>
                <w:b/>
                <w:lang w:val="hr-HR"/>
              </w:rPr>
            </w:pPr>
            <w:r w:rsidRPr="00DF4CE5">
              <w:rPr>
                <w:rFonts w:ascii="Cambria" w:eastAsia="Times New Roman" w:hAnsi="Cambria" w:cs="Calibri"/>
                <w:b/>
                <w:lang w:val="hr-HR"/>
              </w:rPr>
              <w:lastRenderedPageBreak/>
              <w:t>IZVEDBENI PLAN NASTAVE KOLEGIJA</w:t>
            </w:r>
          </w:p>
        </w:tc>
      </w:tr>
      <w:tr w:rsidR="003A42BE" w:rsidRPr="00DF4CE5" w14:paraId="4706FFAF" w14:textId="77777777" w:rsidTr="000F1EE1">
        <w:trPr>
          <w:trHeight w:val="151"/>
        </w:trPr>
        <w:tc>
          <w:tcPr>
            <w:tcW w:w="281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39F9396" w14:textId="77777777" w:rsidR="003A42BE" w:rsidRPr="00DF4CE5" w:rsidRDefault="003A42BE"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Kod i naziv kolegija</w:t>
            </w:r>
          </w:p>
        </w:tc>
        <w:tc>
          <w:tcPr>
            <w:tcW w:w="7240"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BED8F6D" w14:textId="77777777" w:rsidR="003A42BE" w:rsidRPr="00DF4CE5" w:rsidRDefault="003A42BE"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96515</w:t>
            </w:r>
          </w:p>
          <w:p w14:paraId="03A40957" w14:textId="77777777" w:rsidR="003A42BE" w:rsidRPr="00DF4CE5" w:rsidRDefault="003A42BE"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Metodika likovne kulture II.</w:t>
            </w:r>
          </w:p>
        </w:tc>
      </w:tr>
      <w:tr w:rsidR="003A42BE" w:rsidRPr="00DF4CE5" w14:paraId="5FEB68FA" w14:textId="77777777" w:rsidTr="000F1EE1">
        <w:trPr>
          <w:trHeight w:val="534"/>
        </w:trPr>
        <w:tc>
          <w:tcPr>
            <w:tcW w:w="281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4BC73DC" w14:textId="469766A9" w:rsidR="003A42BE" w:rsidRPr="00DF4CE5" w:rsidRDefault="003A42BE"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Nastavnica </w:t>
            </w:r>
          </w:p>
        </w:tc>
        <w:tc>
          <w:tcPr>
            <w:tcW w:w="7240"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CB5A798" w14:textId="43517DF4" w:rsidR="003A42BE" w:rsidRPr="00DF4CE5" w:rsidRDefault="000F1EE1" w:rsidP="008B34AF">
            <w:pPr>
              <w:spacing w:after="0" w:line="240" w:lineRule="auto"/>
              <w:jc w:val="both"/>
              <w:rPr>
                <w:rFonts w:ascii="Cambria" w:eastAsia="Times New Roman" w:hAnsi="Cambria" w:cs="Calibri"/>
                <w:lang w:val="hr-HR"/>
              </w:rPr>
            </w:pPr>
            <w:hyperlink r:id="rId150" w:history="1">
              <w:proofErr w:type="spellStart"/>
              <w:r>
                <w:rPr>
                  <w:rStyle w:val="Hiperveza"/>
                  <w:rFonts w:ascii="Cambria" w:eastAsia="Times New Roman" w:hAnsi="Cambria" w:cs="Times New Roman"/>
                  <w:lang w:val="en-GB"/>
                </w:rPr>
                <w:t>I</w:t>
              </w:r>
              <w:r w:rsidR="00E70DFA" w:rsidRPr="00DF4CE5">
                <w:rPr>
                  <w:rStyle w:val="Hiperveza"/>
                  <w:rFonts w:ascii="Cambria" w:eastAsia="Times New Roman" w:hAnsi="Cambria" w:cs="Times New Roman"/>
                  <w:lang w:val="en-GB"/>
                </w:rPr>
                <w:t>zv</w:t>
              </w:r>
              <w:proofErr w:type="spellEnd"/>
              <w:r w:rsidR="00E70DFA" w:rsidRPr="00DF4CE5">
                <w:rPr>
                  <w:rStyle w:val="Hiperveza"/>
                  <w:rFonts w:ascii="Cambria" w:eastAsia="Times New Roman" w:hAnsi="Cambria" w:cs="Times New Roman"/>
                  <w:lang w:val="en-GB"/>
                </w:rPr>
                <w:t xml:space="preserve">. prof. art. </w:t>
              </w:r>
              <w:r w:rsidR="00E70DFA" w:rsidRPr="00DF4CE5">
                <w:rPr>
                  <w:rStyle w:val="Hiperveza"/>
                  <w:rFonts w:ascii="Cambria" w:eastAsia="Times New Roman" w:hAnsi="Cambria" w:cs="Times New Roman"/>
                  <w:lang w:val="it-IT"/>
                </w:rPr>
                <w:t>Aleksandra Rotar</w:t>
              </w:r>
            </w:hyperlink>
            <w:r w:rsidR="00E70DFA" w:rsidRPr="00DF4CE5">
              <w:rPr>
                <w:rFonts w:ascii="Cambria" w:eastAsia="Times New Roman" w:hAnsi="Cambria" w:cs="Calibri"/>
                <w:lang w:val="hr-HR"/>
              </w:rPr>
              <w:t xml:space="preserve"> (nositeljica)</w:t>
            </w:r>
          </w:p>
        </w:tc>
      </w:tr>
      <w:tr w:rsidR="003A42BE" w:rsidRPr="00D0399C" w14:paraId="54E5C80D" w14:textId="77777777" w:rsidTr="000F1EE1">
        <w:trPr>
          <w:trHeight w:val="151"/>
        </w:trPr>
        <w:tc>
          <w:tcPr>
            <w:tcW w:w="281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5273B46" w14:textId="77777777" w:rsidR="003A42BE" w:rsidRPr="00DF4CE5" w:rsidRDefault="003A42BE"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Studijski program</w:t>
            </w:r>
          </w:p>
        </w:tc>
        <w:tc>
          <w:tcPr>
            <w:tcW w:w="7240"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D19E152" w14:textId="77777777" w:rsidR="003A42BE" w:rsidRPr="00DF4CE5" w:rsidRDefault="00BE4D96" w:rsidP="008B34AF">
            <w:pPr>
              <w:spacing w:after="0" w:line="240" w:lineRule="auto"/>
              <w:jc w:val="both"/>
              <w:rPr>
                <w:rFonts w:ascii="Cambria" w:eastAsia="Times New Roman" w:hAnsi="Cambria" w:cs="Calibri"/>
                <w:lang w:val="hr-HR"/>
              </w:rPr>
            </w:pPr>
            <w:r w:rsidRPr="00DF4CE5">
              <w:rPr>
                <w:rFonts w:ascii="Cambria" w:hAnsi="Cambria"/>
                <w:lang w:val="hr-HR"/>
              </w:rPr>
              <w:t>Sveučilišni integrirani prijediplomski i diplomski Učiteljski studij na hrvatskom jeziku</w:t>
            </w:r>
          </w:p>
        </w:tc>
      </w:tr>
      <w:tr w:rsidR="003A42BE" w:rsidRPr="00DF4CE5" w14:paraId="128B6CBF" w14:textId="77777777" w:rsidTr="000F1EE1">
        <w:trPr>
          <w:trHeight w:val="151"/>
        </w:trPr>
        <w:tc>
          <w:tcPr>
            <w:tcW w:w="281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E387C95" w14:textId="77777777" w:rsidR="003A42BE" w:rsidRPr="00DF4CE5" w:rsidRDefault="003A42BE"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Vrsta kolegija</w:t>
            </w:r>
          </w:p>
        </w:tc>
        <w:tc>
          <w:tcPr>
            <w:tcW w:w="267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8101C26" w14:textId="3BCDA509" w:rsidR="003A42BE" w:rsidRPr="00DF4CE5" w:rsidRDefault="003A42BE"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ob</w:t>
            </w:r>
            <w:r w:rsidR="000F1EE1">
              <w:rPr>
                <w:rFonts w:ascii="Cambria" w:eastAsia="Times New Roman" w:hAnsi="Cambria" w:cs="Calibri"/>
                <w:lang w:val="hr-HR"/>
              </w:rPr>
              <w:t>avezan</w:t>
            </w:r>
          </w:p>
        </w:tc>
        <w:tc>
          <w:tcPr>
            <w:tcW w:w="1582"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0D14A43E" w14:textId="77777777" w:rsidR="003A42BE" w:rsidRPr="00DF4CE5" w:rsidRDefault="003A42BE"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Razina kolegija</w:t>
            </w:r>
          </w:p>
        </w:tc>
        <w:tc>
          <w:tcPr>
            <w:tcW w:w="2985"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BED881B" w14:textId="2859DC19" w:rsidR="003A42BE" w:rsidRPr="00DF4CE5" w:rsidRDefault="003A42BE" w:rsidP="008B34AF">
            <w:pPr>
              <w:spacing w:after="0" w:line="240" w:lineRule="auto"/>
              <w:jc w:val="both"/>
              <w:rPr>
                <w:rFonts w:ascii="Cambria" w:eastAsia="Times New Roman" w:hAnsi="Cambria" w:cs="Calibri"/>
                <w:lang w:val="hr-HR"/>
              </w:rPr>
            </w:pPr>
            <w:proofErr w:type="spellStart"/>
            <w:r w:rsidRPr="00DF4CE5">
              <w:rPr>
                <w:rFonts w:ascii="Cambria" w:eastAsia="Times New Roman" w:hAnsi="Cambria" w:cs="Calibri"/>
              </w:rPr>
              <w:t>i</w:t>
            </w:r>
            <w:r w:rsidR="000F1EE1">
              <w:rPr>
                <w:rFonts w:ascii="Cambria" w:eastAsia="Times New Roman" w:hAnsi="Cambria" w:cs="Calibri"/>
              </w:rPr>
              <w:t>n</w:t>
            </w:r>
            <w:r w:rsidRPr="00DF4CE5">
              <w:rPr>
                <w:rFonts w:ascii="Cambria" w:eastAsia="Times New Roman" w:hAnsi="Cambria" w:cs="Calibri"/>
              </w:rPr>
              <w:t>tegrirani</w:t>
            </w:r>
            <w:proofErr w:type="spellEnd"/>
          </w:p>
        </w:tc>
      </w:tr>
      <w:tr w:rsidR="003A42BE" w:rsidRPr="00DF4CE5" w14:paraId="2D34E499" w14:textId="77777777" w:rsidTr="000F1EE1">
        <w:trPr>
          <w:trHeight w:val="151"/>
        </w:trPr>
        <w:tc>
          <w:tcPr>
            <w:tcW w:w="281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9D79576" w14:textId="77777777" w:rsidR="003A42BE" w:rsidRPr="00DF4CE5" w:rsidRDefault="003A42BE"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Semestar</w:t>
            </w:r>
          </w:p>
        </w:tc>
        <w:tc>
          <w:tcPr>
            <w:tcW w:w="267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E8D7A94" w14:textId="77777777" w:rsidR="003A42BE" w:rsidRPr="00DF4CE5" w:rsidRDefault="003A42BE"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ljetni</w:t>
            </w:r>
          </w:p>
        </w:tc>
        <w:tc>
          <w:tcPr>
            <w:tcW w:w="1582"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04A447C7" w14:textId="77777777" w:rsidR="003A42BE" w:rsidRPr="00DF4CE5" w:rsidRDefault="003A42BE"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Godina studija</w:t>
            </w:r>
          </w:p>
        </w:tc>
        <w:tc>
          <w:tcPr>
            <w:tcW w:w="2985"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D623FC3" w14:textId="77777777" w:rsidR="003A42BE" w:rsidRPr="00DF4CE5" w:rsidRDefault="003A42BE"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IV.</w:t>
            </w:r>
          </w:p>
        </w:tc>
      </w:tr>
      <w:tr w:rsidR="003A42BE" w:rsidRPr="00DF4CE5" w14:paraId="4A874305" w14:textId="77777777" w:rsidTr="000F1EE1">
        <w:trPr>
          <w:trHeight w:val="151"/>
        </w:trPr>
        <w:tc>
          <w:tcPr>
            <w:tcW w:w="281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132835E" w14:textId="77777777" w:rsidR="003A42BE" w:rsidRPr="00DF4CE5" w:rsidRDefault="003A42BE" w:rsidP="008B34AF">
            <w:pPr>
              <w:spacing w:after="0" w:line="240" w:lineRule="auto"/>
              <w:jc w:val="both"/>
              <w:rPr>
                <w:rFonts w:ascii="Cambria" w:eastAsia="Times New Roman" w:hAnsi="Cambria" w:cs="Calibri"/>
                <w:lang w:val="hr-HR"/>
              </w:rPr>
            </w:pPr>
            <w:proofErr w:type="spellStart"/>
            <w:r w:rsidRPr="00DF4CE5">
              <w:rPr>
                <w:rFonts w:ascii="Cambria" w:eastAsia="Times New Roman" w:hAnsi="Cambria" w:cs="Calibri"/>
              </w:rPr>
              <w:t>Mjesto</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izvođenja</w:t>
            </w:r>
            <w:proofErr w:type="spellEnd"/>
          </w:p>
        </w:tc>
        <w:tc>
          <w:tcPr>
            <w:tcW w:w="267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9E6996B" w14:textId="7A594E79" w:rsidR="003A42BE" w:rsidRPr="00DF4CE5" w:rsidRDefault="003A42BE"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dvorana </w:t>
            </w:r>
          </w:p>
        </w:tc>
        <w:tc>
          <w:tcPr>
            <w:tcW w:w="1582"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4E9889C4" w14:textId="77777777" w:rsidR="003A42BE" w:rsidRPr="00DF4CE5" w:rsidRDefault="003A42BE" w:rsidP="008B34AF">
            <w:pPr>
              <w:spacing w:after="0" w:line="240" w:lineRule="auto"/>
              <w:jc w:val="both"/>
              <w:rPr>
                <w:rFonts w:ascii="Cambria" w:eastAsia="Times New Roman" w:hAnsi="Cambria" w:cs="Calibri"/>
                <w:lang w:val="hr-HR"/>
              </w:rPr>
            </w:pPr>
            <w:r w:rsidRPr="00DF4CE5">
              <w:rPr>
                <w:rFonts w:ascii="Cambria" w:eastAsia="Times New Roman" w:hAnsi="Cambria" w:cs="Calibri"/>
              </w:rPr>
              <w:t>Jezik</w:t>
            </w:r>
            <w:r w:rsidRPr="00DF4CE5">
              <w:rPr>
                <w:rFonts w:ascii="Cambria" w:eastAsia="Times New Roman" w:hAnsi="Cambria" w:cs="Calibri"/>
                <w:lang w:val="hr-HR"/>
              </w:rPr>
              <w:t xml:space="preserve"> izvođenja </w:t>
            </w:r>
          </w:p>
        </w:tc>
        <w:tc>
          <w:tcPr>
            <w:tcW w:w="2985"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CEA139F" w14:textId="77777777" w:rsidR="003A42BE" w:rsidRPr="00DF4CE5" w:rsidRDefault="003A42BE"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hrvatski </w:t>
            </w:r>
          </w:p>
          <w:p w14:paraId="4AFF986C" w14:textId="77777777" w:rsidR="003A42BE" w:rsidRPr="00DF4CE5" w:rsidRDefault="003A42BE" w:rsidP="008B34AF">
            <w:pPr>
              <w:spacing w:after="0" w:line="240" w:lineRule="auto"/>
              <w:jc w:val="both"/>
              <w:rPr>
                <w:rFonts w:ascii="Cambria" w:eastAsia="Times New Roman" w:hAnsi="Cambria" w:cs="Calibri"/>
                <w:lang w:val="hr-HR"/>
              </w:rPr>
            </w:pPr>
          </w:p>
        </w:tc>
      </w:tr>
      <w:tr w:rsidR="003A42BE" w:rsidRPr="00DF4CE5" w14:paraId="18A9F32A" w14:textId="77777777" w:rsidTr="000F1EE1">
        <w:trPr>
          <w:trHeight w:val="151"/>
        </w:trPr>
        <w:tc>
          <w:tcPr>
            <w:tcW w:w="281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2230436" w14:textId="77777777" w:rsidR="003A42BE" w:rsidRPr="00DF4CE5" w:rsidRDefault="003A42BE"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Broj ECTS bodova</w:t>
            </w:r>
          </w:p>
        </w:tc>
        <w:tc>
          <w:tcPr>
            <w:tcW w:w="267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4656CF3" w14:textId="77777777" w:rsidR="003A42BE" w:rsidRPr="00DF4CE5" w:rsidRDefault="003A42BE"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4</w:t>
            </w:r>
          </w:p>
        </w:tc>
        <w:tc>
          <w:tcPr>
            <w:tcW w:w="1582"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52117E3E" w14:textId="77777777" w:rsidR="003A42BE" w:rsidRPr="00DF4CE5" w:rsidRDefault="003A42BE"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Broj sati u semestru</w:t>
            </w:r>
          </w:p>
        </w:tc>
        <w:tc>
          <w:tcPr>
            <w:tcW w:w="2985"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424F3CF" w14:textId="33064DDD" w:rsidR="003A42BE" w:rsidRPr="00DF4CE5" w:rsidRDefault="003A42BE"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30P – </w:t>
            </w:r>
            <w:r w:rsidR="00481108" w:rsidRPr="00DF4CE5">
              <w:rPr>
                <w:rFonts w:ascii="Cambria" w:eastAsia="Times New Roman" w:hAnsi="Cambria" w:cs="Calibri"/>
                <w:lang w:val="hr-HR"/>
              </w:rPr>
              <w:t>0S</w:t>
            </w:r>
            <w:r w:rsidRPr="00DF4CE5">
              <w:rPr>
                <w:rFonts w:ascii="Cambria" w:eastAsia="Times New Roman" w:hAnsi="Cambria" w:cs="Calibri"/>
                <w:lang w:val="hr-HR"/>
              </w:rPr>
              <w:t xml:space="preserve"> – </w:t>
            </w:r>
            <w:r w:rsidR="00481108" w:rsidRPr="00DF4CE5">
              <w:rPr>
                <w:rFonts w:ascii="Cambria" w:eastAsia="Times New Roman" w:hAnsi="Cambria" w:cs="Calibri"/>
                <w:lang w:val="hr-HR"/>
              </w:rPr>
              <w:t>15V</w:t>
            </w:r>
            <w:r w:rsidRPr="00DF4CE5">
              <w:rPr>
                <w:rFonts w:ascii="Cambria" w:eastAsia="Times New Roman" w:hAnsi="Cambria" w:cs="Calibri"/>
                <w:lang w:val="hr-HR"/>
              </w:rPr>
              <w:t xml:space="preserve">   </w:t>
            </w:r>
          </w:p>
        </w:tc>
      </w:tr>
      <w:tr w:rsidR="003A42BE" w:rsidRPr="00DF4CE5" w14:paraId="520D101E" w14:textId="77777777" w:rsidTr="000F1EE1">
        <w:trPr>
          <w:trHeight w:val="151"/>
        </w:trPr>
        <w:tc>
          <w:tcPr>
            <w:tcW w:w="281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AE2571E" w14:textId="77777777" w:rsidR="003A42BE" w:rsidRPr="00DF4CE5" w:rsidRDefault="003A42BE"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Preduvjeti za upis i za svladavanje</w:t>
            </w:r>
          </w:p>
        </w:tc>
        <w:tc>
          <w:tcPr>
            <w:tcW w:w="7240"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834F0F7" w14:textId="77777777" w:rsidR="003A42BE" w:rsidRPr="00DF4CE5" w:rsidRDefault="003A42BE"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Nema preduvjeta za upis.</w:t>
            </w:r>
          </w:p>
        </w:tc>
      </w:tr>
      <w:tr w:rsidR="003A42BE" w:rsidRPr="00D0399C" w14:paraId="1A813659" w14:textId="77777777" w:rsidTr="000F1EE1">
        <w:trPr>
          <w:trHeight w:val="151"/>
        </w:trPr>
        <w:tc>
          <w:tcPr>
            <w:tcW w:w="281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A302750" w14:textId="77777777" w:rsidR="003A42BE" w:rsidRPr="00DF4CE5" w:rsidRDefault="003A42BE" w:rsidP="008B34AF">
            <w:pPr>
              <w:spacing w:after="0" w:line="240" w:lineRule="auto"/>
              <w:jc w:val="both"/>
              <w:rPr>
                <w:rFonts w:ascii="Cambria" w:eastAsia="Times New Roman" w:hAnsi="Cambria" w:cs="Calibri"/>
                <w:lang w:val="hr-HR"/>
              </w:rPr>
            </w:pPr>
            <w:proofErr w:type="spellStart"/>
            <w:r w:rsidRPr="00DF4CE5">
              <w:rPr>
                <w:rFonts w:ascii="Cambria" w:eastAsia="Times New Roman" w:hAnsi="Cambria" w:cs="Calibri"/>
              </w:rPr>
              <w:t>Korelativnost</w:t>
            </w:r>
            <w:proofErr w:type="spellEnd"/>
          </w:p>
        </w:tc>
        <w:tc>
          <w:tcPr>
            <w:tcW w:w="7240"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4610ECB" w14:textId="77777777" w:rsidR="003A42BE" w:rsidRPr="00DF4CE5" w:rsidRDefault="003A42BE"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Likovna kultura, Metodika likovne kulture 1, Metodika likovne kulture 3, Likovno stvaralaštvo – grafika, </w:t>
            </w:r>
            <w:proofErr w:type="spellStart"/>
            <w:r w:rsidRPr="00DF4CE5">
              <w:rPr>
                <w:rFonts w:ascii="Cambria" w:eastAsia="Times New Roman" w:hAnsi="Cambria" w:cs="Calibri"/>
                <w:lang w:val="hr-HR"/>
              </w:rPr>
              <w:t>Lutkarstvo</w:t>
            </w:r>
            <w:proofErr w:type="spellEnd"/>
            <w:r w:rsidRPr="00DF4CE5">
              <w:rPr>
                <w:rFonts w:ascii="Cambria" w:eastAsia="Times New Roman" w:hAnsi="Cambria" w:cs="Calibri"/>
                <w:lang w:val="hr-HR"/>
              </w:rPr>
              <w:t xml:space="preserve"> i scenska kultura, Glazbena kultura, Metodika glazbene kulture, Priroda i društvo, Hrvatski jezik i književnost, Dječja književnost, Informatika…</w:t>
            </w:r>
          </w:p>
        </w:tc>
      </w:tr>
      <w:tr w:rsidR="003A42BE" w:rsidRPr="00D0399C" w14:paraId="07BB80C2" w14:textId="77777777" w:rsidTr="000F1EE1">
        <w:trPr>
          <w:trHeight w:val="151"/>
        </w:trPr>
        <w:tc>
          <w:tcPr>
            <w:tcW w:w="281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A0EBB70" w14:textId="77777777" w:rsidR="003A42BE" w:rsidRPr="00DF4CE5" w:rsidRDefault="003A42BE"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Cilj kolegija </w:t>
            </w:r>
          </w:p>
        </w:tc>
        <w:tc>
          <w:tcPr>
            <w:tcW w:w="7240"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2399FFD" w14:textId="77777777" w:rsidR="003A42BE" w:rsidRPr="00DF4CE5" w:rsidRDefault="003A42BE"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Sastaviti plan i program, pripremu na temu za Likovnu kulturu u razrednoj nastavi, uz analizu umjetničkoga djela iz povijesti umjetnosti, upotrjebu drugih multimedijski sredstava za pripremu, samostalno analizirati originalne radove djece, ovladati različitim likovnim tehnikama i pristupima radu</w:t>
            </w:r>
          </w:p>
        </w:tc>
      </w:tr>
      <w:tr w:rsidR="003A42BE" w:rsidRPr="00D0399C" w14:paraId="00679339" w14:textId="77777777" w:rsidTr="000F1EE1">
        <w:trPr>
          <w:trHeight w:val="151"/>
        </w:trPr>
        <w:tc>
          <w:tcPr>
            <w:tcW w:w="281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F474FC5" w14:textId="77777777" w:rsidR="003A42BE" w:rsidRPr="00DF4CE5" w:rsidRDefault="003A42BE"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Ishodi učenja</w:t>
            </w:r>
          </w:p>
        </w:tc>
        <w:tc>
          <w:tcPr>
            <w:tcW w:w="7240"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DCC025F" w14:textId="175E0B0C" w:rsidR="003A42BE" w:rsidRPr="00DF4CE5" w:rsidRDefault="000F1EE1" w:rsidP="000F1EE1">
            <w:pPr>
              <w:spacing w:after="0" w:line="240" w:lineRule="auto"/>
              <w:jc w:val="both"/>
              <w:rPr>
                <w:rFonts w:ascii="Cambria" w:eastAsia="Times New Roman" w:hAnsi="Cambria" w:cs="Calibri"/>
                <w:lang w:val="hr-HR"/>
              </w:rPr>
            </w:pPr>
            <w:r>
              <w:rPr>
                <w:rFonts w:ascii="Cambria" w:eastAsia="Times New Roman" w:hAnsi="Cambria" w:cs="Calibri"/>
                <w:lang w:val="hr-HR"/>
              </w:rPr>
              <w:t>1. p</w:t>
            </w:r>
            <w:r w:rsidR="003A42BE" w:rsidRPr="00DF4CE5">
              <w:rPr>
                <w:rFonts w:ascii="Cambria" w:eastAsia="Times New Roman" w:hAnsi="Cambria" w:cs="Calibri"/>
                <w:lang w:val="hr-HR"/>
              </w:rPr>
              <w:t>rimijeniti stečene sposobnosti i znanja (o likovnom jeziku, povijesti umjetnosti, likovnim tehnikama, motivima) u pripravama u svrhu likovnog izražavanja djece kroz razna likovna područja</w:t>
            </w:r>
          </w:p>
          <w:p w14:paraId="0683CD22" w14:textId="5322FDF1" w:rsidR="003A42BE" w:rsidRPr="00DF4CE5" w:rsidRDefault="000F1EE1" w:rsidP="000F1EE1">
            <w:pPr>
              <w:spacing w:after="0" w:line="240" w:lineRule="auto"/>
              <w:jc w:val="both"/>
              <w:rPr>
                <w:rFonts w:ascii="Cambria" w:eastAsia="Times New Roman" w:hAnsi="Cambria" w:cs="Calibri"/>
                <w:lang w:val="hr-HR"/>
              </w:rPr>
            </w:pPr>
            <w:r>
              <w:rPr>
                <w:rFonts w:ascii="Cambria" w:eastAsia="Times New Roman" w:hAnsi="Cambria" w:cs="Calibri"/>
                <w:lang w:val="hr-HR"/>
              </w:rPr>
              <w:t>2. p</w:t>
            </w:r>
            <w:r w:rsidR="003A42BE" w:rsidRPr="00DF4CE5">
              <w:rPr>
                <w:rFonts w:ascii="Cambria" w:eastAsia="Times New Roman" w:hAnsi="Cambria" w:cs="Calibri"/>
                <w:lang w:val="hr-HR"/>
              </w:rPr>
              <w:t xml:space="preserve">ravilno tumačiti specifičnosti raznih likovnih tehnika, pribora i materijala. </w:t>
            </w:r>
          </w:p>
          <w:p w14:paraId="096143EF" w14:textId="27FFD1B8" w:rsidR="003A42BE" w:rsidRPr="00DF4CE5" w:rsidRDefault="000F1EE1" w:rsidP="000F1EE1">
            <w:pPr>
              <w:spacing w:after="0" w:line="240" w:lineRule="auto"/>
              <w:jc w:val="both"/>
              <w:rPr>
                <w:rFonts w:ascii="Cambria" w:eastAsia="Times New Roman" w:hAnsi="Cambria" w:cs="Calibri"/>
                <w:lang w:val="hr-HR"/>
              </w:rPr>
            </w:pPr>
            <w:r>
              <w:rPr>
                <w:rFonts w:ascii="Cambria" w:eastAsia="Times New Roman" w:hAnsi="Cambria" w:cs="Calibri"/>
                <w:lang w:val="hr-HR"/>
              </w:rPr>
              <w:t>3. a</w:t>
            </w:r>
            <w:r w:rsidR="003A42BE" w:rsidRPr="00DF4CE5">
              <w:rPr>
                <w:rFonts w:ascii="Cambria" w:eastAsia="Times New Roman" w:hAnsi="Cambria" w:cs="Calibri"/>
                <w:lang w:val="hr-HR"/>
              </w:rPr>
              <w:t>nalizirati originalna likovna djela učenika (faze razvoja, tipovi metode, načela, oblici rada)</w:t>
            </w:r>
          </w:p>
          <w:p w14:paraId="7377CC3D" w14:textId="01E5467B" w:rsidR="003A42BE" w:rsidRPr="00DF4CE5" w:rsidRDefault="000F1EE1" w:rsidP="000F1EE1">
            <w:pPr>
              <w:spacing w:after="0" w:line="240" w:lineRule="auto"/>
              <w:jc w:val="both"/>
              <w:rPr>
                <w:rFonts w:ascii="Cambria" w:eastAsia="Times New Roman" w:hAnsi="Cambria" w:cs="Calibri"/>
                <w:lang w:val="hr-HR"/>
              </w:rPr>
            </w:pPr>
            <w:r>
              <w:rPr>
                <w:rFonts w:ascii="Cambria" w:eastAsia="Times New Roman" w:hAnsi="Cambria" w:cs="Calibri"/>
                <w:lang w:val="hr-HR"/>
              </w:rPr>
              <w:t>4. s</w:t>
            </w:r>
            <w:r w:rsidR="003A42BE" w:rsidRPr="00DF4CE5">
              <w:rPr>
                <w:rFonts w:ascii="Cambria" w:eastAsia="Times New Roman" w:hAnsi="Cambria" w:cs="Calibri"/>
                <w:lang w:val="hr-HR"/>
              </w:rPr>
              <w:t xml:space="preserve">astaviti projekt, pripremu, </w:t>
            </w:r>
            <w:r>
              <w:rPr>
                <w:rFonts w:ascii="Cambria" w:eastAsia="Times New Roman" w:hAnsi="Cambria" w:cs="Calibri"/>
                <w:lang w:val="hr-HR"/>
              </w:rPr>
              <w:t>godišnji izvedbeni kurikulum</w:t>
            </w:r>
          </w:p>
          <w:p w14:paraId="78A10836" w14:textId="6C5568E6" w:rsidR="000F1EE1" w:rsidRDefault="000F1EE1" w:rsidP="000F1EE1">
            <w:pPr>
              <w:spacing w:after="0" w:line="240" w:lineRule="auto"/>
              <w:jc w:val="both"/>
              <w:rPr>
                <w:rFonts w:ascii="Cambria" w:eastAsia="Times New Roman" w:hAnsi="Cambria" w:cs="Calibri"/>
                <w:lang w:val="hr-HR"/>
              </w:rPr>
            </w:pPr>
            <w:r>
              <w:rPr>
                <w:rFonts w:ascii="Cambria" w:eastAsia="Times New Roman" w:hAnsi="Cambria" w:cs="Calibri"/>
                <w:lang w:val="hr-HR"/>
              </w:rPr>
              <w:t xml:space="preserve">5. analizirati načela </w:t>
            </w:r>
            <w:r w:rsidR="003A42BE" w:rsidRPr="00DF4CE5">
              <w:rPr>
                <w:rFonts w:ascii="Cambria" w:eastAsia="Times New Roman" w:hAnsi="Cambria" w:cs="Calibri"/>
                <w:lang w:val="hr-HR"/>
              </w:rPr>
              <w:t>samostalnoga kreiranja Muzejske i galerijske pedagogije</w:t>
            </w:r>
          </w:p>
          <w:p w14:paraId="06017163" w14:textId="7C218537" w:rsidR="003A42BE" w:rsidRPr="00DF4CE5" w:rsidRDefault="000F1EE1" w:rsidP="000F1EE1">
            <w:pPr>
              <w:spacing w:after="0" w:line="240" w:lineRule="auto"/>
              <w:jc w:val="both"/>
              <w:rPr>
                <w:rFonts w:ascii="Cambria" w:eastAsia="Times New Roman" w:hAnsi="Cambria" w:cs="Calibri"/>
                <w:lang w:val="hr-HR"/>
              </w:rPr>
            </w:pPr>
            <w:r>
              <w:rPr>
                <w:rFonts w:ascii="Cambria" w:eastAsia="Times New Roman" w:hAnsi="Cambria" w:cs="Calibri"/>
                <w:lang w:val="hr-HR"/>
              </w:rPr>
              <w:t xml:space="preserve">6. </w:t>
            </w:r>
            <w:r w:rsidR="003A42BE" w:rsidRPr="00DF4CE5">
              <w:rPr>
                <w:rFonts w:ascii="Cambria" w:eastAsia="Times New Roman" w:hAnsi="Cambria" w:cs="Calibri"/>
                <w:lang w:val="hr-HR"/>
              </w:rPr>
              <w:t>stvar</w:t>
            </w:r>
            <w:r>
              <w:rPr>
                <w:rFonts w:ascii="Cambria" w:eastAsia="Times New Roman" w:hAnsi="Cambria" w:cs="Calibri"/>
                <w:lang w:val="hr-HR"/>
              </w:rPr>
              <w:t>a</w:t>
            </w:r>
            <w:r w:rsidR="003A42BE" w:rsidRPr="00DF4CE5">
              <w:rPr>
                <w:rFonts w:ascii="Cambria" w:eastAsia="Times New Roman" w:hAnsi="Cambria" w:cs="Calibri"/>
                <w:lang w:val="hr-HR"/>
              </w:rPr>
              <w:t>ti autorska likovna djela i izložbu u galeriji ili muzeju</w:t>
            </w:r>
          </w:p>
        </w:tc>
      </w:tr>
      <w:tr w:rsidR="003A42BE" w:rsidRPr="00D0399C" w14:paraId="1E094671" w14:textId="77777777" w:rsidTr="000F1EE1">
        <w:trPr>
          <w:trHeight w:val="151"/>
        </w:trPr>
        <w:tc>
          <w:tcPr>
            <w:tcW w:w="2816"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2087A449" w14:textId="77777777" w:rsidR="003A42BE" w:rsidRPr="00DF4CE5" w:rsidRDefault="003A42BE"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Sadržaj kolegija</w:t>
            </w:r>
          </w:p>
        </w:tc>
        <w:tc>
          <w:tcPr>
            <w:tcW w:w="7240"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EB64F4E" w14:textId="588A7275" w:rsidR="003A42BE" w:rsidRPr="00DF4CE5" w:rsidRDefault="000F1EE1" w:rsidP="000F1EE1">
            <w:pPr>
              <w:spacing w:after="0" w:line="240" w:lineRule="auto"/>
              <w:jc w:val="both"/>
              <w:rPr>
                <w:rFonts w:ascii="Cambria" w:eastAsia="Times New Roman" w:hAnsi="Cambria" w:cs="Calibri"/>
                <w:lang w:val="hr-HR"/>
              </w:rPr>
            </w:pPr>
            <w:r>
              <w:rPr>
                <w:rFonts w:ascii="Cambria" w:eastAsia="Times New Roman" w:hAnsi="Cambria" w:cs="Calibri"/>
                <w:lang w:val="hr-HR"/>
              </w:rPr>
              <w:t xml:space="preserve">1. </w:t>
            </w:r>
            <w:r w:rsidR="003A42BE" w:rsidRPr="00DF4CE5">
              <w:rPr>
                <w:rFonts w:ascii="Cambria" w:eastAsia="Times New Roman" w:hAnsi="Cambria" w:cs="Calibri"/>
                <w:lang w:val="hr-HR"/>
              </w:rPr>
              <w:t>Uvod u kolegij, literatura, ciljevi, zadaci</w:t>
            </w:r>
          </w:p>
          <w:p w14:paraId="030D097A" w14:textId="42E022DF" w:rsidR="003A42BE" w:rsidRPr="00DF4CE5" w:rsidRDefault="000F1EE1" w:rsidP="000F1EE1">
            <w:pPr>
              <w:spacing w:after="0" w:line="240" w:lineRule="auto"/>
              <w:jc w:val="both"/>
              <w:rPr>
                <w:rFonts w:ascii="Cambria" w:eastAsia="Times New Roman" w:hAnsi="Cambria" w:cs="Calibri"/>
                <w:lang w:val="hr-HR"/>
              </w:rPr>
            </w:pPr>
            <w:r>
              <w:rPr>
                <w:rFonts w:ascii="Cambria" w:eastAsia="Times New Roman" w:hAnsi="Cambria" w:cs="Calibri"/>
                <w:lang w:val="hr-HR"/>
              </w:rPr>
              <w:t xml:space="preserve">2. </w:t>
            </w:r>
            <w:r w:rsidR="003A42BE" w:rsidRPr="00DF4CE5">
              <w:rPr>
                <w:rFonts w:ascii="Cambria" w:eastAsia="Times New Roman" w:hAnsi="Cambria" w:cs="Calibri"/>
                <w:lang w:val="hr-HR"/>
              </w:rPr>
              <w:t>Analizirati suvremeni pristup dječjem likovnom stvaralaštvu</w:t>
            </w:r>
          </w:p>
          <w:p w14:paraId="26315242" w14:textId="29BD9980" w:rsidR="003A42BE" w:rsidRPr="00DF4CE5" w:rsidRDefault="000F1EE1" w:rsidP="000F1EE1">
            <w:pPr>
              <w:spacing w:after="0" w:line="240" w:lineRule="auto"/>
              <w:jc w:val="both"/>
              <w:rPr>
                <w:rFonts w:ascii="Cambria" w:eastAsia="Times New Roman" w:hAnsi="Cambria" w:cs="Calibri"/>
                <w:lang w:val="hr-HR"/>
              </w:rPr>
            </w:pPr>
            <w:r>
              <w:rPr>
                <w:rFonts w:ascii="Cambria" w:eastAsia="Times New Roman" w:hAnsi="Cambria" w:cs="Calibri"/>
                <w:lang w:val="hr-HR"/>
              </w:rPr>
              <w:t xml:space="preserve">3. Godišnji izvedbeni kurikulum </w:t>
            </w:r>
            <w:r w:rsidR="003A42BE" w:rsidRPr="00DF4CE5">
              <w:rPr>
                <w:rFonts w:ascii="Cambria" w:eastAsia="Times New Roman" w:hAnsi="Cambria" w:cs="Calibri"/>
                <w:lang w:val="hr-HR"/>
              </w:rPr>
              <w:t xml:space="preserve">nastave likovne kulture </w:t>
            </w:r>
          </w:p>
          <w:p w14:paraId="512778E2" w14:textId="77777777" w:rsidR="000F1EE1" w:rsidRDefault="000F1EE1" w:rsidP="000F1EE1">
            <w:pPr>
              <w:spacing w:after="0" w:line="240" w:lineRule="auto"/>
              <w:jc w:val="both"/>
              <w:rPr>
                <w:rFonts w:ascii="Cambria" w:eastAsia="Times New Roman" w:hAnsi="Cambria" w:cs="Calibri"/>
                <w:lang w:val="hr-HR"/>
              </w:rPr>
            </w:pPr>
            <w:r>
              <w:rPr>
                <w:rFonts w:ascii="Cambria" w:eastAsia="Times New Roman" w:hAnsi="Cambria" w:cs="Calibri"/>
                <w:lang w:val="hr-HR"/>
              </w:rPr>
              <w:t>4. A</w:t>
            </w:r>
            <w:r w:rsidR="003A42BE" w:rsidRPr="00DF4CE5">
              <w:rPr>
                <w:rFonts w:ascii="Cambria" w:eastAsia="Times New Roman" w:hAnsi="Cambria" w:cs="Calibri"/>
                <w:lang w:val="hr-HR"/>
              </w:rPr>
              <w:t>nalizirati originalne likovne radove (faze razvoja, motivi, tehnike, likovni jezik, tipovi...)</w:t>
            </w:r>
          </w:p>
          <w:p w14:paraId="03D33B92" w14:textId="77777777" w:rsidR="000F1EE1" w:rsidRDefault="000F1EE1" w:rsidP="000F1EE1">
            <w:pPr>
              <w:spacing w:after="0" w:line="240" w:lineRule="auto"/>
              <w:jc w:val="both"/>
              <w:rPr>
                <w:rFonts w:ascii="Cambria" w:eastAsia="Times New Roman" w:hAnsi="Cambria" w:cs="Calibri"/>
                <w:lang w:val="hr-HR"/>
              </w:rPr>
            </w:pPr>
            <w:r>
              <w:rPr>
                <w:rFonts w:ascii="Cambria" w:eastAsia="Times New Roman" w:hAnsi="Cambria" w:cs="Calibri"/>
                <w:lang w:val="hr-HR"/>
              </w:rPr>
              <w:t>5. A</w:t>
            </w:r>
            <w:r w:rsidR="003A42BE" w:rsidRPr="00DF4CE5">
              <w:rPr>
                <w:rFonts w:ascii="Cambria" w:eastAsia="Times New Roman" w:hAnsi="Cambria" w:cs="Calibri"/>
                <w:lang w:val="hr-HR"/>
              </w:rPr>
              <w:t>nalizirati originalne slikovnice djece predškolskog uzrasta, školskog uzrasta i profesionalnih pisaca i ilustratora slikovnica i knjiga za djecu</w:t>
            </w:r>
          </w:p>
          <w:p w14:paraId="1C46B978" w14:textId="0A96DC34" w:rsidR="000F1EE1" w:rsidRDefault="000F1EE1" w:rsidP="000F1EE1">
            <w:pPr>
              <w:spacing w:after="0" w:line="240" w:lineRule="auto"/>
              <w:jc w:val="both"/>
              <w:rPr>
                <w:rFonts w:ascii="Cambria" w:eastAsia="Times New Roman" w:hAnsi="Cambria" w:cs="Calibri"/>
                <w:lang w:val="hr-HR"/>
              </w:rPr>
            </w:pPr>
            <w:r>
              <w:rPr>
                <w:rFonts w:ascii="Cambria" w:eastAsia="Times New Roman" w:hAnsi="Cambria" w:cs="Calibri"/>
                <w:lang w:val="hr-HR"/>
              </w:rPr>
              <w:t xml:space="preserve">6. </w:t>
            </w:r>
            <w:r w:rsidR="003A42BE" w:rsidRPr="00DF4CE5">
              <w:rPr>
                <w:rFonts w:ascii="Cambria" w:eastAsia="Times New Roman" w:hAnsi="Cambria" w:cs="Calibri"/>
                <w:lang w:val="hr-HR"/>
              </w:rPr>
              <w:t>Pristupiti pismenoj provjeri analize likovnih djela</w:t>
            </w:r>
          </w:p>
          <w:p w14:paraId="14C9D551" w14:textId="6F4D7CE6" w:rsidR="003A42BE" w:rsidRPr="00DF4CE5" w:rsidRDefault="000F1EE1" w:rsidP="000F1EE1">
            <w:pPr>
              <w:spacing w:after="0" w:line="240" w:lineRule="auto"/>
              <w:jc w:val="both"/>
              <w:rPr>
                <w:rFonts w:ascii="Cambria" w:eastAsia="Times New Roman" w:hAnsi="Cambria" w:cs="Calibri"/>
                <w:lang w:val="hr-HR"/>
              </w:rPr>
            </w:pPr>
            <w:r>
              <w:rPr>
                <w:rFonts w:ascii="Cambria" w:eastAsia="Times New Roman" w:hAnsi="Cambria" w:cs="Calibri"/>
                <w:lang w:val="hr-HR"/>
              </w:rPr>
              <w:lastRenderedPageBreak/>
              <w:t>7. o</w:t>
            </w:r>
            <w:r w:rsidR="003A42BE" w:rsidRPr="00DF4CE5">
              <w:rPr>
                <w:rFonts w:ascii="Cambria" w:eastAsia="Times New Roman" w:hAnsi="Cambria" w:cs="Calibri"/>
                <w:lang w:val="hr-HR"/>
              </w:rPr>
              <w:t>smišljavati pripreme praktičnih budućih neposrednih izvedbi u školi, prema motivu, tehnici, likovnom jeziku, s akcentom na realizaciji projekta slojevitog tipa u korelaciji s glazbom, lutkarskom (dramskom) i književnom umjetnosti</w:t>
            </w:r>
          </w:p>
        </w:tc>
      </w:tr>
      <w:tr w:rsidR="003A42BE" w:rsidRPr="00DF4CE5" w14:paraId="53F21276" w14:textId="77777777" w:rsidTr="000F1EE1">
        <w:trPr>
          <w:trHeight w:val="825"/>
        </w:trPr>
        <w:tc>
          <w:tcPr>
            <w:tcW w:w="2816"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64E01180" w14:textId="77777777" w:rsidR="003A42BE" w:rsidRPr="00DF4CE5" w:rsidRDefault="003A42BE"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lastRenderedPageBreak/>
              <w:t>Planirane aktivnosti</w:t>
            </w:r>
            <w:r w:rsidRPr="00DF4CE5">
              <w:rPr>
                <w:rFonts w:ascii="Cambria" w:eastAsia="Times New Roman" w:hAnsi="Cambria" w:cs="Calibri"/>
                <w:lang w:val="it-IT"/>
              </w:rPr>
              <w:t>,</w:t>
            </w:r>
          </w:p>
          <w:p w14:paraId="030C3B0A" w14:textId="77777777" w:rsidR="003A42BE" w:rsidRPr="00DF4CE5" w:rsidRDefault="003A42BE" w:rsidP="008B34AF">
            <w:pPr>
              <w:spacing w:after="0" w:line="240" w:lineRule="auto"/>
              <w:jc w:val="both"/>
              <w:rPr>
                <w:rFonts w:ascii="Cambria" w:eastAsia="Times New Roman" w:hAnsi="Cambria" w:cs="Calibri"/>
                <w:lang w:val="hr-HR"/>
              </w:rPr>
            </w:pPr>
            <w:proofErr w:type="spellStart"/>
            <w:r w:rsidRPr="00DF4CE5">
              <w:rPr>
                <w:rFonts w:ascii="Cambria" w:eastAsia="Times New Roman" w:hAnsi="Cambria" w:cs="Calibri"/>
                <w:lang w:val="it-IT"/>
              </w:rPr>
              <w:t>metode</w:t>
            </w:r>
            <w:proofErr w:type="spellEnd"/>
            <w:r w:rsidRPr="00DF4CE5">
              <w:rPr>
                <w:rFonts w:ascii="Cambria" w:eastAsia="Times New Roman" w:hAnsi="Cambria" w:cs="Calibri"/>
                <w:lang w:val="it-IT"/>
              </w:rPr>
              <w:t xml:space="preserve"> </w:t>
            </w:r>
            <w:r w:rsidRPr="00DF4CE5">
              <w:rPr>
                <w:rFonts w:ascii="Cambria" w:eastAsia="Times New Roman" w:hAnsi="Cambria" w:cs="Calibri"/>
                <w:lang w:val="hr-HR"/>
              </w:rPr>
              <w:t>učenja i poučavanja i načini vrjednovanja</w:t>
            </w:r>
          </w:p>
        </w:tc>
        <w:tc>
          <w:tcPr>
            <w:tcW w:w="2778"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7419274" w14:textId="77777777" w:rsidR="003A42BE" w:rsidRPr="00DF4CE5" w:rsidRDefault="003A42BE" w:rsidP="008B34AF">
            <w:pPr>
              <w:spacing w:after="0" w:line="240" w:lineRule="auto"/>
              <w:jc w:val="both"/>
              <w:rPr>
                <w:rFonts w:ascii="Cambria" w:eastAsia="Times New Roman" w:hAnsi="Cambria" w:cs="Calibri"/>
                <w:lang w:val="hr-HR"/>
              </w:rPr>
            </w:pPr>
            <w:r w:rsidRPr="00DF4CE5">
              <w:rPr>
                <w:rFonts w:ascii="Cambria" w:eastAsia="Times New Roman" w:hAnsi="Cambria" w:cs="Calibri"/>
                <w:bCs/>
                <w:lang w:val="hr-HR"/>
              </w:rPr>
              <w:t>Obveze</w:t>
            </w:r>
          </w:p>
          <w:p w14:paraId="799C18DF" w14:textId="77777777" w:rsidR="003A42BE" w:rsidRPr="00DF4CE5" w:rsidRDefault="003A42BE" w:rsidP="008B34AF">
            <w:pPr>
              <w:spacing w:after="0" w:line="240" w:lineRule="auto"/>
              <w:jc w:val="both"/>
              <w:rPr>
                <w:rFonts w:ascii="Cambria" w:eastAsia="Times New Roman" w:hAnsi="Cambria" w:cs="Calibri"/>
                <w:lang w:val="hr-HR"/>
              </w:rPr>
            </w:pPr>
          </w:p>
        </w:tc>
        <w:tc>
          <w:tcPr>
            <w:tcW w:w="11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47324B3" w14:textId="77777777" w:rsidR="003A42BE" w:rsidRPr="00DF4CE5" w:rsidRDefault="003A42BE" w:rsidP="008B34AF">
            <w:pPr>
              <w:spacing w:after="0" w:line="240" w:lineRule="auto"/>
              <w:jc w:val="both"/>
              <w:rPr>
                <w:rFonts w:ascii="Cambria" w:eastAsia="Times New Roman" w:hAnsi="Cambria" w:cs="Calibri"/>
                <w:lang w:val="hr-HR"/>
              </w:rPr>
            </w:pPr>
            <w:r w:rsidRPr="00DF4CE5">
              <w:rPr>
                <w:rFonts w:ascii="Cambria" w:eastAsia="Times New Roman" w:hAnsi="Cambria" w:cs="Calibri"/>
                <w:bCs/>
                <w:lang w:val="hr-HR"/>
              </w:rPr>
              <w:t>Ishodi</w:t>
            </w:r>
          </w:p>
        </w:tc>
        <w:tc>
          <w:tcPr>
            <w:tcW w:w="77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053E822" w14:textId="77777777" w:rsidR="003A42BE" w:rsidRPr="00DF4CE5" w:rsidRDefault="003A42BE" w:rsidP="008B34AF">
            <w:pPr>
              <w:spacing w:after="0" w:line="240" w:lineRule="auto"/>
              <w:jc w:val="both"/>
              <w:rPr>
                <w:rFonts w:ascii="Cambria" w:eastAsia="Times New Roman" w:hAnsi="Cambria" w:cs="Calibri"/>
                <w:lang w:val="hr-HR"/>
              </w:rPr>
            </w:pPr>
            <w:r w:rsidRPr="00DF4CE5">
              <w:rPr>
                <w:rFonts w:ascii="Cambria" w:eastAsia="Times New Roman" w:hAnsi="Cambria" w:cs="Calibri"/>
                <w:bCs/>
                <w:lang w:val="hr-HR"/>
              </w:rPr>
              <w:t>SATI</w:t>
            </w:r>
          </w:p>
        </w:tc>
        <w:tc>
          <w:tcPr>
            <w:tcW w:w="109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FD12A1" w14:textId="77777777" w:rsidR="003A42BE" w:rsidRPr="00DF4CE5" w:rsidRDefault="003A42BE" w:rsidP="008B34AF">
            <w:pPr>
              <w:spacing w:after="0" w:line="240" w:lineRule="auto"/>
              <w:jc w:val="both"/>
              <w:rPr>
                <w:rFonts w:ascii="Cambria" w:eastAsia="Times New Roman" w:hAnsi="Cambria" w:cs="Calibri"/>
                <w:lang w:val="hr-HR"/>
              </w:rPr>
            </w:pPr>
            <w:r w:rsidRPr="00DF4CE5">
              <w:rPr>
                <w:rFonts w:ascii="Cambria" w:eastAsia="Times New Roman" w:hAnsi="Cambria" w:cs="Calibri"/>
                <w:bCs/>
                <w:lang w:val="hr-HR"/>
              </w:rPr>
              <w:t>ECTS</w:t>
            </w:r>
          </w:p>
        </w:tc>
        <w:tc>
          <w:tcPr>
            <w:tcW w:w="142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0C07FC2" w14:textId="77777777" w:rsidR="003A42BE" w:rsidRPr="00DF4CE5" w:rsidRDefault="003A42BE" w:rsidP="008B34AF">
            <w:pPr>
              <w:spacing w:after="0" w:line="240" w:lineRule="auto"/>
              <w:jc w:val="both"/>
              <w:rPr>
                <w:rFonts w:ascii="Cambria" w:eastAsia="Times New Roman" w:hAnsi="Cambria" w:cs="Calibri"/>
                <w:lang w:val="hr-HR"/>
              </w:rPr>
            </w:pPr>
            <w:r w:rsidRPr="00DF4CE5">
              <w:rPr>
                <w:rFonts w:ascii="Cambria" w:eastAsia="Times New Roman" w:hAnsi="Cambria" w:cs="Calibri"/>
                <w:bCs/>
                <w:lang w:val="hr-HR"/>
              </w:rPr>
              <w:t>Maksimalni udio u ocjeni</w:t>
            </w:r>
            <w:r w:rsidRPr="00DF4CE5">
              <w:rPr>
                <w:rFonts w:ascii="Cambria" w:eastAsia="Times New Roman" w:hAnsi="Cambria" w:cs="Calibri"/>
                <w:bCs/>
              </w:rPr>
              <w:t xml:space="preserve"> (%)</w:t>
            </w:r>
          </w:p>
        </w:tc>
      </w:tr>
      <w:tr w:rsidR="00107B57" w:rsidRPr="00DF4CE5" w14:paraId="6197CCD2" w14:textId="77777777" w:rsidTr="000F1EE1">
        <w:trPr>
          <w:trHeight w:val="151"/>
        </w:trPr>
        <w:tc>
          <w:tcPr>
            <w:tcW w:w="2816" w:type="dxa"/>
            <w:vMerge/>
            <w:tcBorders>
              <w:left w:val="single" w:sz="8" w:space="0" w:color="000000"/>
              <w:right w:val="single" w:sz="8" w:space="0" w:color="000000"/>
            </w:tcBorders>
            <w:vAlign w:val="center"/>
          </w:tcPr>
          <w:p w14:paraId="08BB22AB" w14:textId="77777777" w:rsidR="00107B57" w:rsidRPr="00DF4CE5" w:rsidRDefault="00107B57" w:rsidP="00107B57">
            <w:pPr>
              <w:spacing w:after="0" w:line="240" w:lineRule="auto"/>
              <w:jc w:val="both"/>
              <w:rPr>
                <w:rFonts w:ascii="Cambria" w:eastAsia="Times New Roman" w:hAnsi="Cambria" w:cs="Calibri"/>
                <w:lang w:val="hr-HR"/>
              </w:rPr>
            </w:pPr>
          </w:p>
        </w:tc>
        <w:tc>
          <w:tcPr>
            <w:tcW w:w="2778"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E2DBFE2" w14:textId="493F75E8" w:rsidR="00107B57" w:rsidRPr="00DF4CE5" w:rsidRDefault="00107B57" w:rsidP="00107B57">
            <w:pPr>
              <w:spacing w:after="0" w:line="240" w:lineRule="auto"/>
              <w:jc w:val="both"/>
              <w:rPr>
                <w:rFonts w:ascii="Cambria" w:eastAsia="Times New Roman" w:hAnsi="Cambria" w:cs="Calibri"/>
                <w:lang w:val="hr-HR"/>
              </w:rPr>
            </w:pPr>
            <w:proofErr w:type="spellStart"/>
            <w:r w:rsidRPr="00DF4CE5">
              <w:rPr>
                <w:rFonts w:ascii="Cambria" w:eastAsia="Times New Roman" w:hAnsi="Cambria" w:cs="Calibri"/>
              </w:rPr>
              <w:t>aktivnost</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na</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nastavi</w:t>
            </w:r>
            <w:proofErr w:type="spellEnd"/>
          </w:p>
        </w:tc>
        <w:tc>
          <w:tcPr>
            <w:tcW w:w="11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C26F8B4" w14:textId="095C7CBF" w:rsidR="00107B57" w:rsidRPr="00DF4CE5" w:rsidRDefault="00107B57" w:rsidP="00F73829">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1. – 4.</w:t>
            </w:r>
          </w:p>
        </w:tc>
        <w:tc>
          <w:tcPr>
            <w:tcW w:w="77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E1FBC53" w14:textId="77777777" w:rsidR="00107B57" w:rsidRPr="00DF4CE5" w:rsidRDefault="00107B57" w:rsidP="00F73829">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34</w:t>
            </w:r>
          </w:p>
        </w:tc>
        <w:tc>
          <w:tcPr>
            <w:tcW w:w="109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2889911" w14:textId="7BEE4C68" w:rsidR="00107B57" w:rsidRPr="00DF4CE5" w:rsidRDefault="00107B57" w:rsidP="00F73829">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1,1</w:t>
            </w:r>
          </w:p>
        </w:tc>
        <w:tc>
          <w:tcPr>
            <w:tcW w:w="142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D64DDA5" w14:textId="77777777" w:rsidR="00107B57" w:rsidRPr="00DF4CE5" w:rsidRDefault="00107B57" w:rsidP="00F73829">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20%</w:t>
            </w:r>
          </w:p>
        </w:tc>
      </w:tr>
      <w:tr w:rsidR="00107B57" w:rsidRPr="00DF4CE5" w14:paraId="2EFF52D7" w14:textId="77777777" w:rsidTr="000F1EE1">
        <w:trPr>
          <w:trHeight w:val="151"/>
        </w:trPr>
        <w:tc>
          <w:tcPr>
            <w:tcW w:w="2816" w:type="dxa"/>
            <w:vMerge/>
            <w:tcBorders>
              <w:left w:val="single" w:sz="8" w:space="0" w:color="000000"/>
              <w:right w:val="single" w:sz="8" w:space="0" w:color="000000"/>
            </w:tcBorders>
            <w:vAlign w:val="center"/>
          </w:tcPr>
          <w:p w14:paraId="179971E1" w14:textId="77777777" w:rsidR="00107B57" w:rsidRPr="00DF4CE5" w:rsidRDefault="00107B57" w:rsidP="00107B57">
            <w:pPr>
              <w:spacing w:after="0" w:line="240" w:lineRule="auto"/>
              <w:jc w:val="both"/>
              <w:rPr>
                <w:rFonts w:ascii="Cambria" w:eastAsia="Times New Roman" w:hAnsi="Cambria" w:cs="Calibri"/>
                <w:lang w:val="hr-HR"/>
              </w:rPr>
            </w:pPr>
          </w:p>
        </w:tc>
        <w:tc>
          <w:tcPr>
            <w:tcW w:w="2778"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4B27331" w14:textId="77777777" w:rsidR="00107B57" w:rsidRPr="00DF4CE5" w:rsidRDefault="00107B57" w:rsidP="00107B57">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praktični radovi</w:t>
            </w:r>
          </w:p>
        </w:tc>
        <w:tc>
          <w:tcPr>
            <w:tcW w:w="11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CFA1050" w14:textId="3C2A5619" w:rsidR="00107B57" w:rsidRPr="00DF4CE5" w:rsidRDefault="00107B57" w:rsidP="00F73829">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1. – 4.</w:t>
            </w:r>
          </w:p>
        </w:tc>
        <w:tc>
          <w:tcPr>
            <w:tcW w:w="77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050D476" w14:textId="1FEA3E83" w:rsidR="00107B57" w:rsidRPr="00DF4CE5" w:rsidRDefault="00107B57" w:rsidP="00F73829">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50</w:t>
            </w:r>
          </w:p>
        </w:tc>
        <w:tc>
          <w:tcPr>
            <w:tcW w:w="109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7F36F09" w14:textId="7FF62937" w:rsidR="00107B57" w:rsidRPr="00DF4CE5" w:rsidRDefault="00107B57" w:rsidP="00F73829">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1,65</w:t>
            </w:r>
          </w:p>
        </w:tc>
        <w:tc>
          <w:tcPr>
            <w:tcW w:w="142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0F780A4" w14:textId="77777777" w:rsidR="00107B57" w:rsidRPr="00DF4CE5" w:rsidRDefault="00107B57" w:rsidP="00F73829">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50 %</w:t>
            </w:r>
          </w:p>
          <w:p w14:paraId="220EDB49" w14:textId="77777777" w:rsidR="00107B57" w:rsidRPr="00DF4CE5" w:rsidRDefault="00107B57" w:rsidP="00F73829">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(5 x 10 %)</w:t>
            </w:r>
          </w:p>
        </w:tc>
      </w:tr>
      <w:tr w:rsidR="00107B57" w:rsidRPr="00DF4CE5" w14:paraId="69250183" w14:textId="77777777" w:rsidTr="000F1EE1">
        <w:trPr>
          <w:trHeight w:val="151"/>
        </w:trPr>
        <w:tc>
          <w:tcPr>
            <w:tcW w:w="2816" w:type="dxa"/>
            <w:vMerge/>
            <w:tcBorders>
              <w:left w:val="single" w:sz="8" w:space="0" w:color="000000"/>
              <w:right w:val="single" w:sz="8" w:space="0" w:color="000000"/>
            </w:tcBorders>
            <w:vAlign w:val="center"/>
          </w:tcPr>
          <w:p w14:paraId="1419DB59" w14:textId="77777777" w:rsidR="00107B57" w:rsidRPr="00DF4CE5" w:rsidRDefault="00107B57" w:rsidP="00107B57">
            <w:pPr>
              <w:spacing w:after="0" w:line="240" w:lineRule="auto"/>
              <w:jc w:val="both"/>
              <w:rPr>
                <w:rFonts w:ascii="Cambria" w:eastAsia="Times New Roman" w:hAnsi="Cambria" w:cs="Calibri"/>
                <w:lang w:val="hr-HR"/>
              </w:rPr>
            </w:pPr>
          </w:p>
        </w:tc>
        <w:tc>
          <w:tcPr>
            <w:tcW w:w="2778"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F00A59F" w14:textId="77777777" w:rsidR="00107B57" w:rsidRPr="00DF4CE5" w:rsidRDefault="00107B57" w:rsidP="00107B57">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usmeni ispit</w:t>
            </w:r>
          </w:p>
        </w:tc>
        <w:tc>
          <w:tcPr>
            <w:tcW w:w="11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6DE98C2" w14:textId="77777777" w:rsidR="00107B57" w:rsidRPr="00DF4CE5" w:rsidRDefault="00107B57" w:rsidP="00F73829">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1. – 4.</w:t>
            </w:r>
          </w:p>
        </w:tc>
        <w:tc>
          <w:tcPr>
            <w:tcW w:w="77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49715B4" w14:textId="0FDD2A88" w:rsidR="00107B57" w:rsidRPr="00DF4CE5" w:rsidRDefault="00107B57" w:rsidP="00F73829">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46</w:t>
            </w:r>
          </w:p>
        </w:tc>
        <w:tc>
          <w:tcPr>
            <w:tcW w:w="109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3288250" w14:textId="21981180" w:rsidR="00107B57" w:rsidRPr="00DF4CE5" w:rsidRDefault="00107B57" w:rsidP="00F73829">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1,25</w:t>
            </w:r>
          </w:p>
        </w:tc>
        <w:tc>
          <w:tcPr>
            <w:tcW w:w="142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41C34DE" w14:textId="77777777" w:rsidR="00107B57" w:rsidRPr="00DF4CE5" w:rsidRDefault="00107B57" w:rsidP="00F73829">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30 %</w:t>
            </w:r>
          </w:p>
        </w:tc>
      </w:tr>
      <w:tr w:rsidR="00107B57" w:rsidRPr="00DF4CE5" w14:paraId="29591472" w14:textId="77777777" w:rsidTr="000F1EE1">
        <w:trPr>
          <w:trHeight w:val="151"/>
        </w:trPr>
        <w:tc>
          <w:tcPr>
            <w:tcW w:w="2816" w:type="dxa"/>
            <w:vMerge/>
            <w:tcBorders>
              <w:left w:val="single" w:sz="8" w:space="0" w:color="000000"/>
              <w:right w:val="single" w:sz="8" w:space="0" w:color="000000"/>
            </w:tcBorders>
            <w:vAlign w:val="center"/>
          </w:tcPr>
          <w:p w14:paraId="4BB7E8C3" w14:textId="77777777" w:rsidR="00107B57" w:rsidRPr="00DF4CE5" w:rsidRDefault="00107B57" w:rsidP="00107B57">
            <w:pPr>
              <w:spacing w:after="0" w:line="240" w:lineRule="auto"/>
              <w:jc w:val="both"/>
              <w:rPr>
                <w:rFonts w:ascii="Cambria" w:eastAsia="Times New Roman" w:hAnsi="Cambria" w:cs="Calibri"/>
                <w:lang w:val="hr-HR"/>
              </w:rPr>
            </w:pPr>
          </w:p>
        </w:tc>
        <w:tc>
          <w:tcPr>
            <w:tcW w:w="3954"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9696970" w14:textId="59B808C3" w:rsidR="00107B57" w:rsidRPr="00DF4CE5" w:rsidRDefault="00541CA9" w:rsidP="00107B57">
            <w:pPr>
              <w:spacing w:after="0" w:line="240" w:lineRule="auto"/>
              <w:jc w:val="both"/>
              <w:rPr>
                <w:rFonts w:ascii="Cambria" w:eastAsia="Times New Roman" w:hAnsi="Cambria" w:cs="Calibri"/>
                <w:lang w:val="hr-HR"/>
              </w:rPr>
            </w:pPr>
            <w:proofErr w:type="spellStart"/>
            <w:r w:rsidRPr="00DF4CE5">
              <w:rPr>
                <w:rFonts w:ascii="Cambria" w:eastAsia="Times New Roman" w:hAnsi="Cambria" w:cs="Calibri"/>
                <w:lang w:val="it-IT"/>
              </w:rPr>
              <w:t>U</w:t>
            </w:r>
            <w:r w:rsidR="00107B57" w:rsidRPr="00DF4CE5">
              <w:rPr>
                <w:rFonts w:ascii="Cambria" w:eastAsia="Times New Roman" w:hAnsi="Cambria" w:cs="Calibri"/>
                <w:lang w:val="it-IT"/>
              </w:rPr>
              <w:t>kupno</w:t>
            </w:r>
            <w:proofErr w:type="spellEnd"/>
          </w:p>
        </w:tc>
        <w:tc>
          <w:tcPr>
            <w:tcW w:w="77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BFEDD69" w14:textId="1016B631" w:rsidR="00107B57" w:rsidRPr="00DF4CE5" w:rsidRDefault="00107B57" w:rsidP="00F73829">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120</w:t>
            </w:r>
          </w:p>
        </w:tc>
        <w:tc>
          <w:tcPr>
            <w:tcW w:w="109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B80B1F4" w14:textId="77777777" w:rsidR="00107B57" w:rsidRPr="00DF4CE5" w:rsidRDefault="00107B57" w:rsidP="00F73829">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4</w:t>
            </w:r>
          </w:p>
        </w:tc>
        <w:tc>
          <w:tcPr>
            <w:tcW w:w="142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337A8F2" w14:textId="77777777" w:rsidR="00107B57" w:rsidRPr="00DF4CE5" w:rsidRDefault="00107B57" w:rsidP="00F73829">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100 %</w:t>
            </w:r>
          </w:p>
        </w:tc>
      </w:tr>
      <w:tr w:rsidR="00107B57" w:rsidRPr="00D0399C" w14:paraId="18854958" w14:textId="77777777" w:rsidTr="000F1EE1">
        <w:trPr>
          <w:trHeight w:val="2439"/>
        </w:trPr>
        <w:tc>
          <w:tcPr>
            <w:tcW w:w="281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9722CA8" w14:textId="77777777" w:rsidR="00107B57" w:rsidRPr="00DF4CE5" w:rsidRDefault="00107B57" w:rsidP="00107B57">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Studentske obveze</w:t>
            </w:r>
          </w:p>
        </w:tc>
        <w:tc>
          <w:tcPr>
            <w:tcW w:w="7240"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C2821AB" w14:textId="77777777" w:rsidR="00107B57" w:rsidRPr="00DF4CE5" w:rsidRDefault="00107B57" w:rsidP="00107B57">
            <w:pPr>
              <w:spacing w:after="0" w:line="240" w:lineRule="auto"/>
              <w:jc w:val="both"/>
              <w:rPr>
                <w:rFonts w:ascii="Cambria" w:eastAsia="Times New Roman" w:hAnsi="Cambria" w:cs="Times New Roman"/>
                <w:lang w:val="hr-HR" w:eastAsia="hr-HR"/>
              </w:rPr>
            </w:pPr>
            <w:r w:rsidRPr="00DF4CE5">
              <w:rPr>
                <w:rFonts w:ascii="Cambria" w:eastAsia="Times New Roman" w:hAnsi="Cambria" w:cs="Times New Roman"/>
                <w:lang w:val="hr-HR" w:eastAsia="hr-HR"/>
              </w:rPr>
              <w:t>Da položi kolegij, student/studentica mora:</w:t>
            </w:r>
          </w:p>
          <w:p w14:paraId="7AA06187" w14:textId="2BA69556" w:rsidR="00107B57" w:rsidRPr="00DF4CE5" w:rsidRDefault="00107B57" w:rsidP="00107B57">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1. redovito pratiti nastavu i aktivno sudjelovati u svim oblicima nastave, posebno u vježbama</w:t>
            </w:r>
          </w:p>
          <w:p w14:paraId="75CA7206" w14:textId="30BBD34B" w:rsidR="00107B57" w:rsidRPr="00DF4CE5" w:rsidRDefault="00107B57" w:rsidP="00107B57">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2. izraditi originalna likovna djela</w:t>
            </w:r>
          </w:p>
          <w:p w14:paraId="7285454A" w14:textId="30A5AFED" w:rsidR="00107B57" w:rsidRPr="00DF4CE5" w:rsidRDefault="00107B57" w:rsidP="00107B57">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3. prisustvovati na barem pet različitih otvorenja izložbi profesionalnih likovnih umjetnika i/ili djece predškolskog uzrasta/djece školskog uzrasta u galeriji ili muzeju</w:t>
            </w:r>
          </w:p>
          <w:p w14:paraId="7DC0247C" w14:textId="77777777" w:rsidR="00107B57" w:rsidRPr="00DF4CE5" w:rsidRDefault="00107B57" w:rsidP="00107B57">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4. položiti usmeni ispit.</w:t>
            </w:r>
          </w:p>
          <w:p w14:paraId="4F44ABF2" w14:textId="77777777" w:rsidR="00107B57" w:rsidRPr="00DF4CE5" w:rsidRDefault="00107B57" w:rsidP="00107B57">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Napomena: (vrijedi za obvezu 2.) Studenti i studentice su dužni izraditi praktične radove </w:t>
            </w:r>
            <w:proofErr w:type="spellStart"/>
            <w:r w:rsidRPr="00DF4CE5">
              <w:rPr>
                <w:rFonts w:ascii="Cambria" w:eastAsia="Times New Roman" w:hAnsi="Cambria" w:cs="Calibri"/>
                <w:lang w:val="hr-HR"/>
              </w:rPr>
              <w:t>in</w:t>
            </w:r>
            <w:proofErr w:type="spellEnd"/>
            <w:r w:rsidRPr="00DF4CE5">
              <w:rPr>
                <w:rFonts w:ascii="Cambria" w:eastAsia="Times New Roman" w:hAnsi="Cambria" w:cs="Calibri"/>
                <w:lang w:val="hr-HR"/>
              </w:rPr>
              <w:t xml:space="preserve"> situ, na nastavi.</w:t>
            </w:r>
          </w:p>
        </w:tc>
      </w:tr>
      <w:tr w:rsidR="00107B57" w:rsidRPr="00DF4CE5" w14:paraId="3165D570" w14:textId="77777777" w:rsidTr="000F1EE1">
        <w:trPr>
          <w:trHeight w:val="1327"/>
        </w:trPr>
        <w:tc>
          <w:tcPr>
            <w:tcW w:w="281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C5B740F" w14:textId="77777777" w:rsidR="00107B57" w:rsidRPr="00DF4CE5" w:rsidRDefault="00107B57" w:rsidP="00107B57">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Ostale važne činjenice vezane uz kolegij</w:t>
            </w:r>
          </w:p>
        </w:tc>
        <w:tc>
          <w:tcPr>
            <w:tcW w:w="7240"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B803B0A" w14:textId="77777777" w:rsidR="00107B57" w:rsidRPr="00DF4CE5" w:rsidRDefault="00107B57" w:rsidP="00107B57">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U slučaju održavanja nastave na daljinu, moguće je odstupanje u: mjestu izvođenja kolegija, provedbi aktivnosti, metoda tumačenja i poučavanja i načinima vrednovanja, studentskim obvezama i dostupnoj literaturi. O tome će nositeljica kolegija i asistent/asistentica obavijestiti studente i studentice kad se nastava na daljinu počne održavati. Ishodi učenja ostaju nepromijenjeni.</w:t>
            </w:r>
          </w:p>
        </w:tc>
      </w:tr>
      <w:tr w:rsidR="00107B57" w:rsidRPr="00D0399C" w14:paraId="7415E10A" w14:textId="77777777" w:rsidTr="000F1EE1">
        <w:trPr>
          <w:trHeight w:val="562"/>
        </w:trPr>
        <w:tc>
          <w:tcPr>
            <w:tcW w:w="281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AB9E542" w14:textId="77777777" w:rsidR="00107B57" w:rsidRPr="00DF4CE5" w:rsidRDefault="00107B57" w:rsidP="00107B57">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Rokovi ispita</w:t>
            </w:r>
          </w:p>
        </w:tc>
        <w:tc>
          <w:tcPr>
            <w:tcW w:w="7240"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89CD7F7" w14:textId="77777777" w:rsidR="00107B57" w:rsidRPr="00DF4CE5" w:rsidRDefault="00107B57" w:rsidP="00107B57">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Daju se na početku semestra, objavljuju se na mrežnim stranicama Sveučilišta i u ISVU.</w:t>
            </w:r>
          </w:p>
        </w:tc>
      </w:tr>
      <w:tr w:rsidR="000F1EE1" w:rsidRPr="002B1E8D" w14:paraId="3E51F8C0" w14:textId="77777777" w:rsidTr="000F1EE1">
        <w:trPr>
          <w:trHeight w:val="562"/>
        </w:trPr>
        <w:tc>
          <w:tcPr>
            <w:tcW w:w="281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B453676" w14:textId="77777777" w:rsidR="000F1EE1" w:rsidRPr="00DF4CE5" w:rsidRDefault="000F1EE1" w:rsidP="000F1EE1">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Literatura</w:t>
            </w:r>
          </w:p>
          <w:p w14:paraId="1FB294A8" w14:textId="77777777" w:rsidR="000F1EE1" w:rsidRPr="00DF4CE5" w:rsidRDefault="000F1EE1" w:rsidP="000F1EE1">
            <w:pPr>
              <w:spacing w:after="0" w:line="240" w:lineRule="auto"/>
              <w:jc w:val="both"/>
              <w:rPr>
                <w:rFonts w:ascii="Cambria" w:eastAsia="Times New Roman" w:hAnsi="Cambria" w:cs="Calibri"/>
                <w:lang w:val="hr-HR"/>
              </w:rPr>
            </w:pPr>
          </w:p>
        </w:tc>
        <w:tc>
          <w:tcPr>
            <w:tcW w:w="7240"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10E6281C" w14:textId="77777777" w:rsidR="000F1EE1" w:rsidRDefault="000F1EE1" w:rsidP="000F1EE1">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Obvezna: </w:t>
            </w:r>
          </w:p>
          <w:p w14:paraId="689D822D" w14:textId="77777777" w:rsidR="000F1EE1" w:rsidRDefault="000F1EE1" w:rsidP="000F1EE1">
            <w:pPr>
              <w:spacing w:after="0" w:line="240" w:lineRule="auto"/>
              <w:jc w:val="both"/>
              <w:rPr>
                <w:rFonts w:ascii="Cambria" w:eastAsia="Times New Roman" w:hAnsi="Cambria" w:cs="Calibri"/>
                <w:lang w:val="hr-HR"/>
              </w:rPr>
            </w:pPr>
            <w:r>
              <w:rPr>
                <w:rFonts w:ascii="Cambria" w:eastAsia="Times New Roman" w:hAnsi="Cambria" w:cs="Calibri"/>
                <w:lang w:val="hr-HR"/>
              </w:rPr>
              <w:t xml:space="preserve">1. </w:t>
            </w:r>
            <w:r w:rsidRPr="00DF4CE5">
              <w:rPr>
                <w:rFonts w:ascii="Cambria" w:eastAsia="Times New Roman" w:hAnsi="Cambria" w:cs="Calibri"/>
                <w:lang w:val="hr-HR"/>
              </w:rPr>
              <w:t>Belamarić, D. (1986): „Dijete i oblik“. Zagreb: Školska knjiga.</w:t>
            </w:r>
          </w:p>
          <w:p w14:paraId="7D97E78A" w14:textId="77777777" w:rsidR="000F1EE1" w:rsidRDefault="000F1EE1" w:rsidP="000F1EE1">
            <w:pPr>
              <w:spacing w:after="0" w:line="240" w:lineRule="auto"/>
              <w:jc w:val="both"/>
              <w:rPr>
                <w:rFonts w:ascii="Cambria" w:eastAsia="Times New Roman" w:hAnsi="Cambria" w:cs="Calibri"/>
                <w:lang w:val="hr-HR"/>
              </w:rPr>
            </w:pPr>
            <w:r>
              <w:rPr>
                <w:rFonts w:ascii="Cambria" w:eastAsia="Times New Roman" w:hAnsi="Cambria" w:cs="Calibri"/>
                <w:lang w:val="hr-HR"/>
              </w:rPr>
              <w:t xml:space="preserve">2. </w:t>
            </w:r>
            <w:r w:rsidRPr="00DF4CE5">
              <w:rPr>
                <w:rFonts w:ascii="Cambria" w:eastAsia="Times New Roman" w:hAnsi="Cambria" w:cs="Calibri"/>
                <w:lang w:val="hr-HR"/>
              </w:rPr>
              <w:t>Grgurić, N. – Jakubin, M. (1996): „Vizualno-likovni odgoj i obrazovanje, metodički priručnik“. Zagreb: Educa 23.</w:t>
            </w:r>
          </w:p>
          <w:p w14:paraId="479A8840" w14:textId="77777777" w:rsidR="000F1EE1" w:rsidRPr="00DF4CE5" w:rsidRDefault="000F1EE1" w:rsidP="000F1EE1">
            <w:pPr>
              <w:spacing w:after="0" w:line="240" w:lineRule="auto"/>
              <w:jc w:val="both"/>
              <w:rPr>
                <w:rFonts w:ascii="Cambria" w:eastAsia="Times New Roman" w:hAnsi="Cambria" w:cs="Calibri"/>
                <w:lang w:val="hr-HR"/>
              </w:rPr>
            </w:pPr>
            <w:r>
              <w:rPr>
                <w:rFonts w:ascii="Cambria" w:eastAsia="Times New Roman" w:hAnsi="Cambria" w:cs="Calibri"/>
                <w:lang w:val="hr-HR"/>
              </w:rPr>
              <w:t xml:space="preserve">3. </w:t>
            </w:r>
            <w:r w:rsidRPr="00DF4CE5">
              <w:rPr>
                <w:rFonts w:ascii="Cambria" w:eastAsia="Times New Roman" w:hAnsi="Cambria" w:cs="Calibri"/>
                <w:lang w:val="hr-HR"/>
              </w:rPr>
              <w:t xml:space="preserve">Herceg, L.; Rončević, A.; </w:t>
            </w:r>
            <w:proofErr w:type="spellStart"/>
            <w:r w:rsidRPr="00DF4CE5">
              <w:rPr>
                <w:rFonts w:ascii="Cambria" w:eastAsia="Times New Roman" w:hAnsi="Cambria" w:cs="Calibri"/>
                <w:lang w:val="hr-HR"/>
              </w:rPr>
              <w:t>Karlavaris</w:t>
            </w:r>
            <w:proofErr w:type="spellEnd"/>
            <w:r w:rsidRPr="00DF4CE5">
              <w:rPr>
                <w:rFonts w:ascii="Cambria" w:eastAsia="Times New Roman" w:hAnsi="Cambria" w:cs="Calibri"/>
                <w:lang w:val="hr-HR"/>
              </w:rPr>
              <w:t>, B. (2010): „Metodika likovne kulture djece rane i predškolske dobi“. Zagreb: Alfa.</w:t>
            </w:r>
          </w:p>
          <w:p w14:paraId="0E69E77B" w14:textId="77777777" w:rsidR="000F1EE1" w:rsidRPr="00DF4CE5" w:rsidRDefault="000F1EE1" w:rsidP="000F1EE1">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Izborna:</w:t>
            </w:r>
          </w:p>
          <w:p w14:paraId="0FE20033" w14:textId="77777777" w:rsidR="000F1EE1" w:rsidRPr="00DF4CE5" w:rsidRDefault="000F1EE1" w:rsidP="000F1EE1">
            <w:pPr>
              <w:spacing w:after="0" w:line="240" w:lineRule="auto"/>
              <w:jc w:val="both"/>
              <w:rPr>
                <w:rFonts w:ascii="Cambria" w:eastAsia="Times New Roman" w:hAnsi="Cambria" w:cs="Calibri"/>
                <w:lang w:val="hr-HR"/>
              </w:rPr>
            </w:pPr>
            <w:r>
              <w:rPr>
                <w:rFonts w:ascii="Cambria" w:eastAsia="Times New Roman" w:hAnsi="Cambria" w:cs="Calibri"/>
                <w:lang w:val="hr-HR"/>
              </w:rPr>
              <w:t xml:space="preserve">1. </w:t>
            </w:r>
            <w:r w:rsidRPr="00DF4CE5">
              <w:rPr>
                <w:rFonts w:ascii="Cambria" w:eastAsia="Times New Roman" w:hAnsi="Cambria" w:cs="Calibri"/>
                <w:lang w:val="hr-HR"/>
              </w:rPr>
              <w:t>Finci, P. (2014): „Estetska terminologija“, Zagreb: Antibarbarus.</w:t>
            </w:r>
          </w:p>
          <w:p w14:paraId="6C2E65F0" w14:textId="77777777" w:rsidR="000F1EE1" w:rsidRPr="00DF4CE5" w:rsidRDefault="000F1EE1" w:rsidP="000F1EE1">
            <w:pPr>
              <w:spacing w:after="0" w:line="240" w:lineRule="auto"/>
              <w:jc w:val="both"/>
              <w:rPr>
                <w:rFonts w:ascii="Cambria" w:eastAsia="Times New Roman" w:hAnsi="Cambria" w:cs="Calibri"/>
                <w:lang w:val="hr-HR"/>
              </w:rPr>
            </w:pPr>
            <w:r>
              <w:rPr>
                <w:rFonts w:ascii="Cambria" w:eastAsia="Times New Roman" w:hAnsi="Cambria" w:cs="Calibri"/>
                <w:lang w:val="hr-HR"/>
              </w:rPr>
              <w:t xml:space="preserve">2. </w:t>
            </w:r>
            <w:r w:rsidRPr="00DF4CE5">
              <w:rPr>
                <w:rFonts w:ascii="Cambria" w:eastAsia="Times New Roman" w:hAnsi="Cambria" w:cs="Calibri"/>
                <w:lang w:val="hr-HR"/>
              </w:rPr>
              <w:t>Petrač, L. (2015): „Dijete i likovno umjetničko djelo. Metodički pristupi likovno-umjetničkom djelu s djecom vrtićke i školske dobi“. Zagreb: Alfa.</w:t>
            </w:r>
          </w:p>
          <w:p w14:paraId="4B0997FB" w14:textId="77777777" w:rsidR="000F1EE1" w:rsidRPr="00DF4CE5" w:rsidRDefault="000F1EE1" w:rsidP="000F1EE1">
            <w:pPr>
              <w:spacing w:after="0" w:line="240" w:lineRule="auto"/>
              <w:jc w:val="both"/>
              <w:rPr>
                <w:rFonts w:ascii="Cambria" w:eastAsia="Times New Roman" w:hAnsi="Cambria" w:cs="Calibri"/>
                <w:lang w:val="hr-HR"/>
              </w:rPr>
            </w:pPr>
            <w:r>
              <w:rPr>
                <w:rFonts w:ascii="Cambria" w:eastAsia="Times New Roman" w:hAnsi="Cambria" w:cs="Calibri"/>
                <w:lang w:val="hr-HR"/>
              </w:rPr>
              <w:t xml:space="preserve">3. </w:t>
            </w:r>
            <w:r w:rsidRPr="00DF4CE5">
              <w:rPr>
                <w:rFonts w:ascii="Cambria" w:eastAsia="Times New Roman" w:hAnsi="Cambria" w:cs="Calibri"/>
                <w:lang w:val="hr-HR"/>
              </w:rPr>
              <w:t xml:space="preserve">Škrbina, D. (2013): „Art terapija i kreativnost. </w:t>
            </w:r>
            <w:proofErr w:type="spellStart"/>
            <w:r w:rsidRPr="00DF4CE5">
              <w:rPr>
                <w:rFonts w:ascii="Cambria" w:eastAsia="Times New Roman" w:hAnsi="Cambria" w:cs="Calibri"/>
                <w:lang w:val="hr-HR"/>
              </w:rPr>
              <w:t>Multidimenzionalni</w:t>
            </w:r>
            <w:proofErr w:type="spellEnd"/>
            <w:r w:rsidRPr="00DF4CE5">
              <w:rPr>
                <w:rFonts w:ascii="Cambria" w:eastAsia="Times New Roman" w:hAnsi="Cambria" w:cs="Calibri"/>
                <w:lang w:val="hr-HR"/>
              </w:rPr>
              <w:t xml:space="preserve"> pristup u odgoju, obrazovanju, dijagnostici i terapiji“. Zagreb: </w:t>
            </w:r>
            <w:proofErr w:type="spellStart"/>
            <w:r w:rsidRPr="00DF4CE5">
              <w:rPr>
                <w:rFonts w:ascii="Cambria" w:eastAsia="Times New Roman" w:hAnsi="Cambria" w:cs="Calibri"/>
                <w:lang w:val="hr-HR"/>
              </w:rPr>
              <w:t>Veble</w:t>
            </w:r>
            <w:proofErr w:type="spellEnd"/>
            <w:r w:rsidRPr="00DF4CE5">
              <w:rPr>
                <w:rFonts w:ascii="Cambria" w:eastAsia="Times New Roman" w:hAnsi="Cambria" w:cs="Calibri"/>
                <w:lang w:val="hr-HR"/>
              </w:rPr>
              <w:t xml:space="preserve"> </w:t>
            </w:r>
            <w:proofErr w:type="spellStart"/>
            <w:r w:rsidRPr="00DF4CE5">
              <w:rPr>
                <w:rFonts w:ascii="Cambria" w:eastAsia="Times New Roman" w:hAnsi="Cambria" w:cs="Calibri"/>
                <w:lang w:val="hr-HR"/>
              </w:rPr>
              <w:t>commerce</w:t>
            </w:r>
            <w:proofErr w:type="spellEnd"/>
            <w:r w:rsidRPr="00DF4CE5">
              <w:rPr>
                <w:rFonts w:ascii="Cambria" w:eastAsia="Times New Roman" w:hAnsi="Cambria" w:cs="Calibri"/>
                <w:lang w:val="hr-HR"/>
              </w:rPr>
              <w:t>.</w:t>
            </w:r>
          </w:p>
          <w:p w14:paraId="4A185252" w14:textId="77777777" w:rsidR="000F1EE1" w:rsidRPr="00DF4CE5" w:rsidRDefault="000F1EE1" w:rsidP="000F1EE1">
            <w:pPr>
              <w:spacing w:after="0" w:line="240" w:lineRule="auto"/>
              <w:jc w:val="both"/>
              <w:rPr>
                <w:rFonts w:ascii="Cambria" w:eastAsia="Times New Roman" w:hAnsi="Cambria" w:cs="Calibri"/>
                <w:lang w:val="hr-HR"/>
              </w:rPr>
            </w:pPr>
            <w:r>
              <w:rPr>
                <w:rFonts w:ascii="Cambria" w:eastAsia="Times New Roman" w:hAnsi="Cambria" w:cs="Calibri"/>
                <w:lang w:val="hr-HR"/>
              </w:rPr>
              <w:t xml:space="preserve">4. </w:t>
            </w:r>
            <w:r w:rsidRPr="00DF4CE5">
              <w:rPr>
                <w:rFonts w:ascii="Cambria" w:eastAsia="Times New Roman" w:hAnsi="Cambria" w:cs="Calibri"/>
                <w:lang w:val="hr-HR"/>
              </w:rPr>
              <w:t>Wagner, M. (2000): „</w:t>
            </w:r>
            <w:proofErr w:type="spellStart"/>
            <w:r w:rsidRPr="00DF4CE5">
              <w:rPr>
                <w:rFonts w:ascii="Cambria" w:eastAsia="Times New Roman" w:hAnsi="Cambria" w:cs="Calibri"/>
                <w:lang w:val="hr-HR"/>
              </w:rPr>
              <w:t>Stoppt</w:t>
            </w:r>
            <w:proofErr w:type="spellEnd"/>
            <w:r w:rsidRPr="00DF4CE5">
              <w:rPr>
                <w:rFonts w:ascii="Cambria" w:eastAsia="Times New Roman" w:hAnsi="Cambria" w:cs="Calibri"/>
                <w:lang w:val="hr-HR"/>
              </w:rPr>
              <w:t xml:space="preserve"> </w:t>
            </w:r>
            <w:proofErr w:type="spellStart"/>
            <w:r w:rsidRPr="00DF4CE5">
              <w:rPr>
                <w:rFonts w:ascii="Cambria" w:eastAsia="Times New Roman" w:hAnsi="Cambria" w:cs="Calibri"/>
                <w:lang w:val="hr-HR"/>
              </w:rPr>
              <w:t>das</w:t>
            </w:r>
            <w:proofErr w:type="spellEnd"/>
            <w:r w:rsidRPr="00DF4CE5">
              <w:rPr>
                <w:rFonts w:ascii="Cambria" w:eastAsia="Times New Roman" w:hAnsi="Cambria" w:cs="Calibri"/>
                <w:lang w:val="hr-HR"/>
              </w:rPr>
              <w:t xml:space="preserve"> </w:t>
            </w:r>
            <w:proofErr w:type="spellStart"/>
            <w:r w:rsidRPr="00DF4CE5">
              <w:rPr>
                <w:rFonts w:ascii="Cambria" w:eastAsia="Times New Roman" w:hAnsi="Cambria" w:cs="Calibri"/>
                <w:lang w:val="hr-HR"/>
              </w:rPr>
              <w:t>Kulturgeschwätz</w:t>
            </w:r>
            <w:proofErr w:type="spellEnd"/>
            <w:r w:rsidRPr="00DF4CE5">
              <w:rPr>
                <w:rFonts w:ascii="Cambria" w:eastAsia="Times New Roman" w:hAnsi="Cambria" w:cs="Calibri"/>
                <w:lang w:val="hr-HR"/>
              </w:rPr>
              <w:t xml:space="preserve">, </w:t>
            </w:r>
            <w:proofErr w:type="spellStart"/>
            <w:r w:rsidRPr="00DF4CE5">
              <w:rPr>
                <w:rFonts w:ascii="Cambria" w:eastAsia="Times New Roman" w:hAnsi="Cambria" w:cs="Calibri"/>
                <w:lang w:val="hr-HR"/>
              </w:rPr>
              <w:t>Eine</w:t>
            </w:r>
            <w:proofErr w:type="spellEnd"/>
            <w:r w:rsidRPr="00DF4CE5">
              <w:rPr>
                <w:rFonts w:ascii="Cambria" w:eastAsia="Times New Roman" w:hAnsi="Cambria" w:cs="Calibri"/>
                <w:lang w:val="hr-HR"/>
              </w:rPr>
              <w:t xml:space="preserve"> </w:t>
            </w:r>
            <w:proofErr w:type="spellStart"/>
            <w:r w:rsidRPr="00DF4CE5">
              <w:rPr>
                <w:rFonts w:ascii="Cambria" w:eastAsia="Times New Roman" w:hAnsi="Cambria" w:cs="Calibri"/>
                <w:lang w:val="hr-HR"/>
              </w:rPr>
              <w:t>zeitgemäße</w:t>
            </w:r>
            <w:proofErr w:type="spellEnd"/>
            <w:r w:rsidRPr="00DF4CE5">
              <w:rPr>
                <w:rFonts w:ascii="Cambria" w:eastAsia="Times New Roman" w:hAnsi="Cambria" w:cs="Calibri"/>
                <w:lang w:val="hr-HR"/>
              </w:rPr>
              <w:t xml:space="preserve"> </w:t>
            </w:r>
            <w:proofErr w:type="spellStart"/>
            <w:r w:rsidRPr="00DF4CE5">
              <w:rPr>
                <w:rFonts w:ascii="Cambria" w:eastAsia="Times New Roman" w:hAnsi="Cambria" w:cs="Calibri"/>
                <w:lang w:val="hr-HR"/>
              </w:rPr>
              <w:t>Differenzierung</w:t>
            </w:r>
            <w:proofErr w:type="spellEnd"/>
            <w:r w:rsidRPr="00DF4CE5">
              <w:rPr>
                <w:rFonts w:ascii="Cambria" w:eastAsia="Times New Roman" w:hAnsi="Cambria" w:cs="Calibri"/>
                <w:lang w:val="hr-HR"/>
              </w:rPr>
              <w:t xml:space="preserve"> von </w:t>
            </w:r>
            <w:proofErr w:type="spellStart"/>
            <w:r w:rsidRPr="00DF4CE5">
              <w:rPr>
                <w:rFonts w:ascii="Cambria" w:eastAsia="Times New Roman" w:hAnsi="Cambria" w:cs="Calibri"/>
                <w:lang w:val="hr-HR"/>
              </w:rPr>
              <w:t>Kunst</w:t>
            </w:r>
            <w:proofErr w:type="spellEnd"/>
            <w:r w:rsidRPr="00DF4CE5">
              <w:rPr>
                <w:rFonts w:ascii="Cambria" w:eastAsia="Times New Roman" w:hAnsi="Cambria" w:cs="Calibri"/>
                <w:lang w:val="hr-HR"/>
              </w:rPr>
              <w:t xml:space="preserve"> </w:t>
            </w:r>
            <w:proofErr w:type="spellStart"/>
            <w:r w:rsidRPr="00DF4CE5">
              <w:rPr>
                <w:rFonts w:ascii="Cambria" w:eastAsia="Times New Roman" w:hAnsi="Cambria" w:cs="Calibri"/>
                <w:lang w:val="hr-HR"/>
              </w:rPr>
              <w:t>und</w:t>
            </w:r>
            <w:proofErr w:type="spellEnd"/>
            <w:r w:rsidRPr="00DF4CE5">
              <w:rPr>
                <w:rFonts w:ascii="Cambria" w:eastAsia="Times New Roman" w:hAnsi="Cambria" w:cs="Calibri"/>
                <w:lang w:val="hr-HR"/>
              </w:rPr>
              <w:t>/</w:t>
            </w:r>
            <w:proofErr w:type="spellStart"/>
            <w:r w:rsidRPr="00DF4CE5">
              <w:rPr>
                <w:rFonts w:ascii="Cambria" w:eastAsia="Times New Roman" w:hAnsi="Cambria" w:cs="Calibri"/>
                <w:lang w:val="hr-HR"/>
              </w:rPr>
              <w:t>oder</w:t>
            </w:r>
            <w:proofErr w:type="spellEnd"/>
            <w:r w:rsidRPr="00DF4CE5">
              <w:rPr>
                <w:rFonts w:ascii="Cambria" w:eastAsia="Times New Roman" w:hAnsi="Cambria" w:cs="Calibri"/>
                <w:lang w:val="hr-HR"/>
              </w:rPr>
              <w:t xml:space="preserve"> </w:t>
            </w:r>
            <w:proofErr w:type="spellStart"/>
            <w:r w:rsidRPr="00DF4CE5">
              <w:rPr>
                <w:rFonts w:ascii="Cambria" w:eastAsia="Times New Roman" w:hAnsi="Cambria" w:cs="Calibri"/>
                <w:lang w:val="hr-HR"/>
              </w:rPr>
              <w:t>Kultur</w:t>
            </w:r>
            <w:proofErr w:type="spellEnd"/>
            <w:r w:rsidRPr="00DF4CE5">
              <w:rPr>
                <w:rFonts w:ascii="Cambria" w:eastAsia="Times New Roman" w:hAnsi="Cambria" w:cs="Calibri"/>
                <w:lang w:val="hr-HR"/>
              </w:rPr>
              <w:t xml:space="preserve">“. </w:t>
            </w:r>
            <w:proofErr w:type="spellStart"/>
            <w:r w:rsidRPr="00DF4CE5">
              <w:rPr>
                <w:rFonts w:ascii="Cambria" w:eastAsia="Times New Roman" w:hAnsi="Cambria" w:cs="Calibri"/>
                <w:lang w:val="hr-HR"/>
              </w:rPr>
              <w:t>Wien</w:t>
            </w:r>
            <w:proofErr w:type="spellEnd"/>
            <w:r w:rsidRPr="00DF4CE5">
              <w:rPr>
                <w:rFonts w:ascii="Cambria" w:eastAsia="Times New Roman" w:hAnsi="Cambria" w:cs="Calibri"/>
                <w:lang w:val="hr-HR"/>
              </w:rPr>
              <w:t>-Köln-</w:t>
            </w:r>
            <w:proofErr w:type="spellStart"/>
            <w:r w:rsidRPr="00DF4CE5">
              <w:rPr>
                <w:rFonts w:ascii="Cambria" w:eastAsia="Times New Roman" w:hAnsi="Cambria" w:cs="Calibri"/>
                <w:lang w:val="hr-HR"/>
              </w:rPr>
              <w:t>Weimar</w:t>
            </w:r>
            <w:proofErr w:type="spellEnd"/>
            <w:r w:rsidRPr="00DF4CE5">
              <w:rPr>
                <w:rFonts w:ascii="Cambria" w:eastAsia="Times New Roman" w:hAnsi="Cambria" w:cs="Calibri"/>
                <w:lang w:val="hr-HR"/>
              </w:rPr>
              <w:t xml:space="preserve">: </w:t>
            </w:r>
            <w:proofErr w:type="spellStart"/>
            <w:r w:rsidRPr="00DF4CE5">
              <w:rPr>
                <w:rFonts w:ascii="Cambria" w:eastAsia="Times New Roman" w:hAnsi="Cambria" w:cs="Calibri"/>
                <w:lang w:val="hr-HR"/>
              </w:rPr>
              <w:t>Böhlau</w:t>
            </w:r>
            <w:proofErr w:type="spellEnd"/>
            <w:r w:rsidRPr="00DF4CE5">
              <w:rPr>
                <w:rFonts w:ascii="Cambria" w:eastAsia="Times New Roman" w:hAnsi="Cambria" w:cs="Calibri"/>
                <w:lang w:val="hr-HR"/>
              </w:rPr>
              <w:t xml:space="preserve">.   </w:t>
            </w:r>
          </w:p>
          <w:p w14:paraId="221B0156" w14:textId="77777777" w:rsidR="000F1EE1" w:rsidRPr="00DF4CE5" w:rsidRDefault="000F1EE1" w:rsidP="000F1EE1">
            <w:pPr>
              <w:spacing w:after="0" w:line="240" w:lineRule="auto"/>
              <w:jc w:val="both"/>
              <w:rPr>
                <w:rFonts w:ascii="Cambria" w:eastAsia="Times New Roman" w:hAnsi="Cambria" w:cs="Calibri"/>
                <w:lang w:val="hr-HR"/>
              </w:rPr>
            </w:pPr>
            <w:r>
              <w:rPr>
                <w:rFonts w:ascii="Cambria" w:eastAsia="Times New Roman" w:hAnsi="Cambria" w:cs="Calibri"/>
                <w:lang w:val="hr-HR"/>
              </w:rPr>
              <w:t xml:space="preserve">5. </w:t>
            </w:r>
            <w:proofErr w:type="spellStart"/>
            <w:r w:rsidRPr="00DF4CE5">
              <w:rPr>
                <w:rFonts w:ascii="Cambria" w:eastAsia="Times New Roman" w:hAnsi="Cambria" w:cs="Calibri"/>
                <w:lang w:val="hr-HR"/>
              </w:rPr>
              <w:t>Winner</w:t>
            </w:r>
            <w:proofErr w:type="spellEnd"/>
            <w:r w:rsidRPr="00DF4CE5">
              <w:rPr>
                <w:rFonts w:ascii="Cambria" w:eastAsia="Times New Roman" w:hAnsi="Cambria" w:cs="Calibri"/>
                <w:lang w:val="hr-HR"/>
              </w:rPr>
              <w:t>, E. (2005): „Darovita djeca – mitovi i stvarnost“. Lekenik: Ostvarenje.</w:t>
            </w:r>
          </w:p>
          <w:p w14:paraId="20FDA93B" w14:textId="010F0927" w:rsidR="000F1EE1" w:rsidRPr="00DF4CE5" w:rsidRDefault="000F1EE1" w:rsidP="000F1EE1">
            <w:pPr>
              <w:spacing w:after="0" w:line="240" w:lineRule="auto"/>
              <w:jc w:val="both"/>
              <w:rPr>
                <w:rFonts w:ascii="Cambria" w:eastAsia="Times New Roman" w:hAnsi="Cambria" w:cs="Calibri"/>
                <w:lang w:val="hr-HR"/>
              </w:rPr>
            </w:pPr>
            <w:r>
              <w:rPr>
                <w:rFonts w:ascii="Cambria" w:eastAsia="Times New Roman" w:hAnsi="Cambria" w:cs="Calibri"/>
                <w:lang w:val="hr-HR"/>
              </w:rPr>
              <w:t xml:space="preserve">6. </w:t>
            </w:r>
            <w:r w:rsidRPr="00DF4CE5">
              <w:rPr>
                <w:rFonts w:ascii="Cambria" w:eastAsia="Times New Roman" w:hAnsi="Cambria" w:cs="Calibri"/>
                <w:lang w:val="hr-HR"/>
              </w:rPr>
              <w:t xml:space="preserve">Zeri, F. (1998): „Picasso, </w:t>
            </w:r>
            <w:proofErr w:type="spellStart"/>
            <w:r w:rsidRPr="00DF4CE5">
              <w:rPr>
                <w:rFonts w:ascii="Cambria" w:eastAsia="Times New Roman" w:hAnsi="Cambria" w:cs="Calibri"/>
                <w:lang w:val="hr-HR"/>
              </w:rPr>
              <w:t>Guernica</w:t>
            </w:r>
            <w:proofErr w:type="spellEnd"/>
            <w:r w:rsidRPr="00DF4CE5">
              <w:rPr>
                <w:rFonts w:ascii="Cambria" w:eastAsia="Times New Roman" w:hAnsi="Cambria" w:cs="Calibri"/>
                <w:lang w:val="hr-HR"/>
              </w:rPr>
              <w:t xml:space="preserve">“. Milano: </w:t>
            </w:r>
            <w:proofErr w:type="spellStart"/>
            <w:r w:rsidRPr="00DF4CE5">
              <w:rPr>
                <w:rFonts w:ascii="Cambria" w:eastAsia="Times New Roman" w:hAnsi="Cambria" w:cs="Calibri"/>
                <w:lang w:val="hr-HR"/>
              </w:rPr>
              <w:t>Rizzoli</w:t>
            </w:r>
            <w:proofErr w:type="spellEnd"/>
            <w:r w:rsidRPr="00DF4CE5">
              <w:rPr>
                <w:rFonts w:ascii="Cambria" w:eastAsia="Times New Roman" w:hAnsi="Cambria" w:cs="Calibri"/>
                <w:lang w:val="hr-HR"/>
              </w:rPr>
              <w:t>.</w:t>
            </w:r>
          </w:p>
        </w:tc>
      </w:tr>
    </w:tbl>
    <w:p w14:paraId="2659080D" w14:textId="09EB1D2E" w:rsidR="003A42BE" w:rsidRDefault="003A42BE" w:rsidP="008B34AF">
      <w:pPr>
        <w:jc w:val="both"/>
        <w:rPr>
          <w:rFonts w:ascii="Cambria" w:hAnsi="Cambria"/>
          <w:lang w:val="hr-HR"/>
        </w:rPr>
      </w:pPr>
    </w:p>
    <w:p w14:paraId="1BCB1354" w14:textId="58B13809" w:rsidR="00727BE6" w:rsidRDefault="00727BE6">
      <w:pPr>
        <w:rPr>
          <w:rFonts w:ascii="Cambria" w:hAnsi="Cambria"/>
          <w:lang w:val="hr-HR"/>
        </w:rPr>
      </w:pPr>
      <w:r>
        <w:rPr>
          <w:rFonts w:ascii="Cambria" w:hAnsi="Cambria"/>
          <w:lang w:val="hr-HR"/>
        </w:rPr>
        <w:br w:type="page"/>
      </w:r>
    </w:p>
    <w:tbl>
      <w:tblPr>
        <w:tblW w:w="5018" w:type="pct"/>
        <w:tblLayout w:type="fixed"/>
        <w:tblCellMar>
          <w:left w:w="0" w:type="dxa"/>
          <w:right w:w="0" w:type="dxa"/>
        </w:tblCellMar>
        <w:tblLook w:val="0600" w:firstRow="0" w:lastRow="0" w:firstColumn="0" w:lastColumn="0" w:noHBand="1" w:noVBand="1"/>
      </w:tblPr>
      <w:tblGrid>
        <w:gridCol w:w="2824"/>
        <w:gridCol w:w="2678"/>
        <w:gridCol w:w="105"/>
        <w:gridCol w:w="1171"/>
        <w:gridCol w:w="298"/>
        <w:gridCol w:w="472"/>
        <w:gridCol w:w="1089"/>
        <w:gridCol w:w="1419"/>
      </w:tblGrid>
      <w:tr w:rsidR="00727BE6" w:rsidRPr="000E50AE" w14:paraId="7F49139E" w14:textId="77777777" w:rsidTr="00450B7A">
        <w:trPr>
          <w:trHeight w:val="151"/>
        </w:trPr>
        <w:tc>
          <w:tcPr>
            <w:tcW w:w="9374"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B7C6C07" w14:textId="77777777" w:rsidR="00727BE6" w:rsidRPr="000E50AE" w:rsidRDefault="00727BE6" w:rsidP="00450B7A">
            <w:pPr>
              <w:spacing w:after="0" w:line="240" w:lineRule="auto"/>
              <w:jc w:val="right"/>
              <w:rPr>
                <w:rFonts w:ascii="Cambria" w:eastAsia="Times New Roman" w:hAnsi="Cambria" w:cs="Calibri"/>
                <w:b/>
              </w:rPr>
            </w:pPr>
            <w:r w:rsidRPr="000E50AE">
              <w:rPr>
                <w:rFonts w:ascii="Cambria" w:eastAsia="Times New Roman" w:hAnsi="Cambria" w:cs="Calibri"/>
                <w:b/>
              </w:rPr>
              <w:lastRenderedPageBreak/>
              <w:t>IZVEDBENI PLAN NASTAVE KOLEGIJA</w:t>
            </w:r>
          </w:p>
        </w:tc>
      </w:tr>
      <w:tr w:rsidR="00727BE6" w:rsidRPr="000E50AE" w14:paraId="799F7CE7" w14:textId="77777777" w:rsidTr="00450B7A">
        <w:trPr>
          <w:trHeight w:val="151"/>
        </w:trPr>
        <w:tc>
          <w:tcPr>
            <w:tcW w:w="263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18294C0" w14:textId="77777777" w:rsidR="00727BE6" w:rsidRPr="000E50AE" w:rsidRDefault="00727BE6" w:rsidP="00450B7A">
            <w:pPr>
              <w:spacing w:after="0" w:line="240" w:lineRule="auto"/>
              <w:jc w:val="both"/>
              <w:rPr>
                <w:rFonts w:ascii="Cambria" w:eastAsia="Times New Roman" w:hAnsi="Cambria" w:cs="Calibri"/>
              </w:rPr>
            </w:pPr>
            <w:proofErr w:type="spellStart"/>
            <w:r w:rsidRPr="000E50AE">
              <w:rPr>
                <w:rFonts w:ascii="Cambria" w:eastAsia="Times New Roman" w:hAnsi="Cambria" w:cs="Calibri"/>
              </w:rPr>
              <w:t>Kod</w:t>
            </w:r>
            <w:proofErr w:type="spellEnd"/>
            <w:r w:rsidRPr="000E50AE">
              <w:rPr>
                <w:rFonts w:ascii="Cambria" w:eastAsia="Times New Roman" w:hAnsi="Cambria" w:cs="Calibri"/>
              </w:rPr>
              <w:t xml:space="preserve"> </w:t>
            </w:r>
            <w:proofErr w:type="spellStart"/>
            <w:r w:rsidRPr="000E50AE">
              <w:rPr>
                <w:rFonts w:ascii="Cambria" w:eastAsia="Times New Roman" w:hAnsi="Cambria" w:cs="Calibri"/>
              </w:rPr>
              <w:t>i</w:t>
            </w:r>
            <w:proofErr w:type="spellEnd"/>
            <w:r w:rsidRPr="000E50AE">
              <w:rPr>
                <w:rFonts w:ascii="Cambria" w:eastAsia="Times New Roman" w:hAnsi="Cambria" w:cs="Calibri"/>
              </w:rPr>
              <w:t xml:space="preserve"> </w:t>
            </w:r>
            <w:proofErr w:type="spellStart"/>
            <w:r w:rsidRPr="000E50AE">
              <w:rPr>
                <w:rFonts w:ascii="Cambria" w:eastAsia="Times New Roman" w:hAnsi="Cambria" w:cs="Calibri"/>
              </w:rPr>
              <w:t>naziv</w:t>
            </w:r>
            <w:proofErr w:type="spellEnd"/>
            <w:r w:rsidRPr="000E50AE">
              <w:rPr>
                <w:rFonts w:ascii="Cambria" w:eastAsia="Times New Roman" w:hAnsi="Cambria" w:cs="Calibri"/>
              </w:rPr>
              <w:t xml:space="preserve"> </w:t>
            </w:r>
            <w:proofErr w:type="spellStart"/>
            <w:r w:rsidRPr="000E50AE">
              <w:rPr>
                <w:rFonts w:ascii="Cambria" w:eastAsia="Times New Roman" w:hAnsi="Cambria" w:cs="Calibri"/>
              </w:rPr>
              <w:t>kolegija</w:t>
            </w:r>
            <w:proofErr w:type="spellEnd"/>
          </w:p>
        </w:tc>
        <w:tc>
          <w:tcPr>
            <w:tcW w:w="6742"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991696E" w14:textId="77777777" w:rsidR="00727BE6" w:rsidRPr="000E50AE" w:rsidRDefault="00727BE6" w:rsidP="00450B7A">
            <w:pPr>
              <w:spacing w:after="0" w:line="240" w:lineRule="auto"/>
              <w:jc w:val="both"/>
              <w:rPr>
                <w:rFonts w:ascii="Cambria" w:eastAsia="Times New Roman" w:hAnsi="Cambria" w:cs="Calibri"/>
              </w:rPr>
            </w:pPr>
            <w:r w:rsidRPr="000E50AE">
              <w:rPr>
                <w:rFonts w:ascii="Cambria" w:eastAsia="Times New Roman" w:hAnsi="Cambria" w:cs="Calibri"/>
              </w:rPr>
              <w:t xml:space="preserve">96518 </w:t>
            </w:r>
          </w:p>
          <w:p w14:paraId="5A869F70" w14:textId="394A4C8B" w:rsidR="00727BE6" w:rsidRPr="000E50AE" w:rsidRDefault="00727BE6" w:rsidP="00450B7A">
            <w:pPr>
              <w:spacing w:after="0" w:line="240" w:lineRule="auto"/>
              <w:jc w:val="both"/>
              <w:rPr>
                <w:rFonts w:ascii="Cambria" w:eastAsia="Times New Roman" w:hAnsi="Cambria" w:cs="Calibri"/>
              </w:rPr>
            </w:pPr>
            <w:proofErr w:type="spellStart"/>
            <w:r w:rsidRPr="000E50AE">
              <w:rPr>
                <w:rFonts w:ascii="Cambria" w:eastAsia="Times New Roman" w:hAnsi="Cambria" w:cs="Calibri"/>
              </w:rPr>
              <w:t>Kineziološka</w:t>
            </w:r>
            <w:proofErr w:type="spellEnd"/>
            <w:r w:rsidRPr="000E50AE">
              <w:rPr>
                <w:rFonts w:ascii="Cambria" w:eastAsia="Times New Roman" w:hAnsi="Cambria" w:cs="Calibri"/>
              </w:rPr>
              <w:t xml:space="preserve"> </w:t>
            </w:r>
            <w:proofErr w:type="spellStart"/>
            <w:r w:rsidRPr="000E50AE">
              <w:rPr>
                <w:rFonts w:ascii="Cambria" w:eastAsia="Times New Roman" w:hAnsi="Cambria" w:cs="Calibri"/>
              </w:rPr>
              <w:t>metodika</w:t>
            </w:r>
            <w:proofErr w:type="spellEnd"/>
            <w:r w:rsidRPr="000E50AE">
              <w:rPr>
                <w:rFonts w:ascii="Cambria" w:eastAsia="Times New Roman" w:hAnsi="Cambria" w:cs="Calibri"/>
              </w:rPr>
              <w:t xml:space="preserve"> I</w:t>
            </w:r>
          </w:p>
        </w:tc>
      </w:tr>
      <w:tr w:rsidR="00727BE6" w:rsidRPr="000E50AE" w14:paraId="44E82E51" w14:textId="77777777" w:rsidTr="00450B7A">
        <w:trPr>
          <w:trHeight w:val="151"/>
        </w:trPr>
        <w:tc>
          <w:tcPr>
            <w:tcW w:w="263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687955D" w14:textId="77777777" w:rsidR="00727BE6" w:rsidRPr="000E50AE" w:rsidRDefault="00727BE6" w:rsidP="00450B7A">
            <w:pPr>
              <w:spacing w:after="0" w:line="240" w:lineRule="auto"/>
              <w:jc w:val="both"/>
              <w:rPr>
                <w:rFonts w:ascii="Cambria" w:eastAsia="Times New Roman" w:hAnsi="Cambria" w:cs="Calibri"/>
              </w:rPr>
            </w:pPr>
            <w:proofErr w:type="spellStart"/>
            <w:r w:rsidRPr="000E50AE">
              <w:rPr>
                <w:rFonts w:ascii="Cambria" w:eastAsia="Times New Roman" w:hAnsi="Cambria" w:cs="Calibri"/>
              </w:rPr>
              <w:t>Nastavnica</w:t>
            </w:r>
            <w:proofErr w:type="spellEnd"/>
          </w:p>
        </w:tc>
        <w:tc>
          <w:tcPr>
            <w:tcW w:w="6742"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A79FCE8" w14:textId="77777777" w:rsidR="00727BE6" w:rsidRPr="000E50AE" w:rsidRDefault="00727BE6" w:rsidP="00450B7A">
            <w:pPr>
              <w:spacing w:after="0" w:line="240" w:lineRule="auto"/>
              <w:jc w:val="both"/>
              <w:rPr>
                <w:rFonts w:ascii="Cambria" w:eastAsia="Times New Roman" w:hAnsi="Cambria" w:cs="Calibri"/>
              </w:rPr>
            </w:pPr>
            <w:hyperlink r:id="rId151" w:history="1">
              <w:r>
                <w:rPr>
                  <w:rStyle w:val="Hiperveza"/>
                  <w:rFonts w:ascii="Cambria" w:hAnsi="Cambria" w:cs="Calibri"/>
                </w:rPr>
                <w:t>P</w:t>
              </w:r>
              <w:r w:rsidRPr="000E50AE">
                <w:rPr>
                  <w:rStyle w:val="Hiperveza"/>
                  <w:rFonts w:ascii="Cambria" w:hAnsi="Cambria" w:cs="Calibri"/>
                </w:rPr>
                <w:t>rof. dr. sc. Iva Blažević</w:t>
              </w:r>
            </w:hyperlink>
            <w:r w:rsidRPr="000E50AE">
              <w:rPr>
                <w:rFonts w:ascii="Cambria" w:eastAsia="Times New Roman" w:hAnsi="Cambria" w:cs="Calibri"/>
              </w:rPr>
              <w:t xml:space="preserve"> </w:t>
            </w:r>
            <w:r>
              <w:rPr>
                <w:rFonts w:ascii="Cambria" w:eastAsia="Times New Roman" w:hAnsi="Cambria" w:cs="Calibri"/>
              </w:rPr>
              <w:t>(</w:t>
            </w:r>
            <w:proofErr w:type="spellStart"/>
            <w:r w:rsidRPr="000E50AE">
              <w:rPr>
                <w:rFonts w:ascii="Cambria" w:eastAsia="Times New Roman" w:hAnsi="Cambria" w:cs="Calibri"/>
              </w:rPr>
              <w:t>nositeljica</w:t>
            </w:r>
            <w:proofErr w:type="spellEnd"/>
            <w:r>
              <w:rPr>
                <w:rFonts w:ascii="Cambria" w:eastAsia="Times New Roman" w:hAnsi="Cambria" w:cs="Calibri"/>
              </w:rPr>
              <w:t>)</w:t>
            </w:r>
          </w:p>
        </w:tc>
      </w:tr>
      <w:tr w:rsidR="00727BE6" w:rsidRPr="000E50AE" w14:paraId="73DCD18F" w14:textId="77777777" w:rsidTr="00450B7A">
        <w:trPr>
          <w:trHeight w:val="151"/>
        </w:trPr>
        <w:tc>
          <w:tcPr>
            <w:tcW w:w="263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A45B1B2" w14:textId="77777777" w:rsidR="00727BE6" w:rsidRPr="000E50AE" w:rsidRDefault="00727BE6" w:rsidP="00450B7A">
            <w:pPr>
              <w:spacing w:after="0" w:line="240" w:lineRule="auto"/>
              <w:jc w:val="both"/>
              <w:rPr>
                <w:rFonts w:ascii="Cambria" w:eastAsia="Times New Roman" w:hAnsi="Cambria" w:cs="Calibri"/>
              </w:rPr>
            </w:pPr>
            <w:proofErr w:type="spellStart"/>
            <w:r w:rsidRPr="000E50AE">
              <w:rPr>
                <w:rFonts w:ascii="Cambria" w:eastAsia="Times New Roman" w:hAnsi="Cambria" w:cs="Calibri"/>
              </w:rPr>
              <w:t>Studijski</w:t>
            </w:r>
            <w:proofErr w:type="spellEnd"/>
            <w:r w:rsidRPr="000E50AE">
              <w:rPr>
                <w:rFonts w:ascii="Cambria" w:eastAsia="Times New Roman" w:hAnsi="Cambria" w:cs="Calibri"/>
              </w:rPr>
              <w:t xml:space="preserve"> program</w:t>
            </w:r>
          </w:p>
        </w:tc>
        <w:tc>
          <w:tcPr>
            <w:tcW w:w="6742"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EBEAC16" w14:textId="77777777" w:rsidR="00727BE6" w:rsidRPr="000E50AE" w:rsidRDefault="00727BE6" w:rsidP="00450B7A">
            <w:pPr>
              <w:spacing w:after="0" w:line="240" w:lineRule="auto"/>
              <w:jc w:val="both"/>
              <w:rPr>
                <w:rFonts w:ascii="Cambria" w:eastAsia="Times New Roman" w:hAnsi="Cambria" w:cs="Calibri"/>
              </w:rPr>
            </w:pPr>
            <w:proofErr w:type="spellStart"/>
            <w:r w:rsidRPr="000E50AE">
              <w:rPr>
                <w:rFonts w:ascii="Cambria" w:eastAsia="Calibri" w:hAnsi="Cambria" w:cs="Times New Roman"/>
              </w:rPr>
              <w:t>Sveučilišni</w:t>
            </w:r>
            <w:proofErr w:type="spellEnd"/>
            <w:r w:rsidRPr="000E50AE">
              <w:rPr>
                <w:rFonts w:ascii="Cambria" w:eastAsia="Calibri" w:hAnsi="Cambria" w:cs="Times New Roman"/>
              </w:rPr>
              <w:t xml:space="preserve"> </w:t>
            </w:r>
            <w:proofErr w:type="spellStart"/>
            <w:r w:rsidRPr="000E50AE">
              <w:rPr>
                <w:rFonts w:ascii="Cambria" w:eastAsia="Calibri" w:hAnsi="Cambria" w:cs="Times New Roman"/>
              </w:rPr>
              <w:t>integrirani</w:t>
            </w:r>
            <w:proofErr w:type="spellEnd"/>
            <w:r w:rsidRPr="000E50AE">
              <w:rPr>
                <w:rFonts w:ascii="Cambria" w:eastAsia="Calibri" w:hAnsi="Cambria" w:cs="Times New Roman"/>
              </w:rPr>
              <w:t xml:space="preserve"> </w:t>
            </w:r>
            <w:proofErr w:type="spellStart"/>
            <w:r w:rsidRPr="000E50AE">
              <w:rPr>
                <w:rFonts w:ascii="Cambria" w:eastAsia="Calibri" w:hAnsi="Cambria" w:cs="Times New Roman"/>
              </w:rPr>
              <w:t>prijediplomski</w:t>
            </w:r>
            <w:proofErr w:type="spellEnd"/>
            <w:r w:rsidRPr="000E50AE">
              <w:rPr>
                <w:rFonts w:ascii="Cambria" w:eastAsia="Calibri" w:hAnsi="Cambria" w:cs="Times New Roman"/>
              </w:rPr>
              <w:t xml:space="preserve"> </w:t>
            </w:r>
            <w:proofErr w:type="spellStart"/>
            <w:r w:rsidRPr="000E50AE">
              <w:rPr>
                <w:rFonts w:ascii="Cambria" w:eastAsia="Calibri" w:hAnsi="Cambria" w:cs="Times New Roman"/>
              </w:rPr>
              <w:t>i</w:t>
            </w:r>
            <w:proofErr w:type="spellEnd"/>
            <w:r w:rsidRPr="000E50AE">
              <w:rPr>
                <w:rFonts w:ascii="Cambria" w:eastAsia="Calibri" w:hAnsi="Cambria" w:cs="Times New Roman"/>
              </w:rPr>
              <w:t xml:space="preserve"> </w:t>
            </w:r>
            <w:proofErr w:type="spellStart"/>
            <w:r w:rsidRPr="000E50AE">
              <w:rPr>
                <w:rFonts w:ascii="Cambria" w:eastAsia="Calibri" w:hAnsi="Cambria" w:cs="Times New Roman"/>
              </w:rPr>
              <w:t>diplomski</w:t>
            </w:r>
            <w:proofErr w:type="spellEnd"/>
            <w:r w:rsidRPr="000E50AE">
              <w:rPr>
                <w:rFonts w:ascii="Cambria" w:eastAsia="Calibri" w:hAnsi="Cambria" w:cs="Times New Roman"/>
              </w:rPr>
              <w:t xml:space="preserve"> </w:t>
            </w:r>
            <w:proofErr w:type="spellStart"/>
            <w:r w:rsidRPr="000E50AE">
              <w:rPr>
                <w:rFonts w:ascii="Cambria" w:eastAsia="Calibri" w:hAnsi="Cambria" w:cs="Times New Roman"/>
              </w:rPr>
              <w:t>Učiteljski</w:t>
            </w:r>
            <w:proofErr w:type="spellEnd"/>
            <w:r w:rsidRPr="000E50AE">
              <w:rPr>
                <w:rFonts w:ascii="Cambria" w:eastAsia="Calibri" w:hAnsi="Cambria" w:cs="Times New Roman"/>
              </w:rPr>
              <w:t xml:space="preserve"> </w:t>
            </w:r>
            <w:proofErr w:type="spellStart"/>
            <w:r w:rsidRPr="000E50AE">
              <w:rPr>
                <w:rFonts w:ascii="Cambria" w:eastAsia="Calibri" w:hAnsi="Cambria" w:cs="Times New Roman"/>
              </w:rPr>
              <w:t>studij</w:t>
            </w:r>
            <w:proofErr w:type="spellEnd"/>
            <w:r w:rsidRPr="000E50AE">
              <w:rPr>
                <w:rFonts w:ascii="Cambria" w:eastAsia="Calibri" w:hAnsi="Cambria" w:cs="Times New Roman"/>
              </w:rPr>
              <w:t xml:space="preserve"> </w:t>
            </w:r>
            <w:proofErr w:type="spellStart"/>
            <w:r w:rsidRPr="000E50AE">
              <w:rPr>
                <w:rFonts w:ascii="Cambria" w:eastAsia="Calibri" w:hAnsi="Cambria" w:cs="Times New Roman"/>
              </w:rPr>
              <w:t>na</w:t>
            </w:r>
            <w:proofErr w:type="spellEnd"/>
            <w:r w:rsidRPr="000E50AE">
              <w:rPr>
                <w:rFonts w:ascii="Cambria" w:eastAsia="Calibri" w:hAnsi="Cambria" w:cs="Times New Roman"/>
              </w:rPr>
              <w:t xml:space="preserve"> </w:t>
            </w:r>
            <w:proofErr w:type="spellStart"/>
            <w:r w:rsidRPr="000E50AE">
              <w:rPr>
                <w:rFonts w:ascii="Cambria" w:eastAsia="Calibri" w:hAnsi="Cambria" w:cs="Times New Roman"/>
              </w:rPr>
              <w:t>hrvatskom</w:t>
            </w:r>
            <w:proofErr w:type="spellEnd"/>
            <w:r w:rsidRPr="000E50AE">
              <w:rPr>
                <w:rFonts w:ascii="Cambria" w:eastAsia="Calibri" w:hAnsi="Cambria" w:cs="Times New Roman"/>
              </w:rPr>
              <w:t xml:space="preserve"> </w:t>
            </w:r>
            <w:proofErr w:type="spellStart"/>
            <w:r w:rsidRPr="000E50AE">
              <w:rPr>
                <w:rFonts w:ascii="Cambria" w:eastAsia="Calibri" w:hAnsi="Cambria" w:cs="Times New Roman"/>
              </w:rPr>
              <w:t>jeziku</w:t>
            </w:r>
            <w:proofErr w:type="spellEnd"/>
          </w:p>
        </w:tc>
      </w:tr>
      <w:tr w:rsidR="00727BE6" w:rsidRPr="000E50AE" w14:paraId="53464890" w14:textId="77777777" w:rsidTr="00450B7A">
        <w:trPr>
          <w:trHeight w:val="151"/>
        </w:trPr>
        <w:tc>
          <w:tcPr>
            <w:tcW w:w="263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96047AB" w14:textId="77777777" w:rsidR="00727BE6" w:rsidRPr="000E50AE" w:rsidRDefault="00727BE6" w:rsidP="00450B7A">
            <w:pPr>
              <w:spacing w:after="0" w:line="240" w:lineRule="auto"/>
              <w:jc w:val="both"/>
              <w:rPr>
                <w:rFonts w:ascii="Cambria" w:eastAsia="Times New Roman" w:hAnsi="Cambria" w:cs="Calibri"/>
              </w:rPr>
            </w:pPr>
            <w:proofErr w:type="spellStart"/>
            <w:r w:rsidRPr="000E50AE">
              <w:rPr>
                <w:rFonts w:ascii="Cambria" w:eastAsia="Times New Roman" w:hAnsi="Cambria" w:cs="Calibri"/>
              </w:rPr>
              <w:t>Vrsta</w:t>
            </w:r>
            <w:proofErr w:type="spellEnd"/>
            <w:r w:rsidRPr="000E50AE">
              <w:rPr>
                <w:rFonts w:ascii="Cambria" w:eastAsia="Times New Roman" w:hAnsi="Cambria" w:cs="Calibri"/>
              </w:rPr>
              <w:t xml:space="preserve"> </w:t>
            </w:r>
            <w:proofErr w:type="spellStart"/>
            <w:r w:rsidRPr="000E50AE">
              <w:rPr>
                <w:rFonts w:ascii="Cambria" w:eastAsia="Times New Roman" w:hAnsi="Cambria" w:cs="Calibri"/>
              </w:rPr>
              <w:t>kolegija</w:t>
            </w:r>
            <w:proofErr w:type="spellEnd"/>
          </w:p>
        </w:tc>
        <w:tc>
          <w:tcPr>
            <w:tcW w:w="249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DAA5A89" w14:textId="77777777" w:rsidR="00727BE6" w:rsidRPr="000E50AE" w:rsidRDefault="00727BE6" w:rsidP="00450B7A">
            <w:pPr>
              <w:spacing w:after="0" w:line="240" w:lineRule="auto"/>
              <w:jc w:val="both"/>
              <w:rPr>
                <w:rFonts w:ascii="Cambria" w:eastAsia="Times New Roman" w:hAnsi="Cambria" w:cs="Calibri"/>
              </w:rPr>
            </w:pPr>
            <w:proofErr w:type="spellStart"/>
            <w:r w:rsidRPr="000E50AE">
              <w:rPr>
                <w:rFonts w:ascii="Cambria" w:eastAsia="Times New Roman" w:hAnsi="Cambria" w:cs="Calibri"/>
              </w:rPr>
              <w:t>obvezan</w:t>
            </w:r>
            <w:proofErr w:type="spellEnd"/>
          </w:p>
        </w:tc>
        <w:tc>
          <w:tcPr>
            <w:tcW w:w="1468"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0B603DDF" w14:textId="77777777" w:rsidR="00727BE6" w:rsidRPr="000E50AE" w:rsidRDefault="00727BE6" w:rsidP="00450B7A">
            <w:pPr>
              <w:spacing w:after="0" w:line="240" w:lineRule="auto"/>
              <w:jc w:val="both"/>
              <w:rPr>
                <w:rFonts w:ascii="Cambria" w:eastAsia="Times New Roman" w:hAnsi="Cambria" w:cs="Calibri"/>
              </w:rPr>
            </w:pPr>
            <w:r w:rsidRPr="000E50AE">
              <w:rPr>
                <w:rFonts w:ascii="Cambria" w:eastAsia="Times New Roman" w:hAnsi="Cambria" w:cs="Calibri"/>
              </w:rPr>
              <w:t xml:space="preserve">Razina </w:t>
            </w:r>
            <w:proofErr w:type="spellStart"/>
            <w:r w:rsidRPr="000E50AE">
              <w:rPr>
                <w:rFonts w:ascii="Cambria" w:eastAsia="Times New Roman" w:hAnsi="Cambria" w:cs="Calibri"/>
              </w:rPr>
              <w:t>kolegija</w:t>
            </w:r>
            <w:proofErr w:type="spellEnd"/>
          </w:p>
        </w:tc>
        <w:tc>
          <w:tcPr>
            <w:tcW w:w="2778"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632507C" w14:textId="77777777" w:rsidR="00727BE6" w:rsidRPr="000E50AE" w:rsidRDefault="00727BE6" w:rsidP="00450B7A">
            <w:pPr>
              <w:spacing w:after="0" w:line="240" w:lineRule="auto"/>
              <w:jc w:val="both"/>
              <w:rPr>
                <w:rFonts w:ascii="Cambria" w:eastAsia="Times New Roman" w:hAnsi="Cambria" w:cs="Calibri"/>
              </w:rPr>
            </w:pPr>
            <w:proofErr w:type="spellStart"/>
            <w:r w:rsidRPr="000E50AE">
              <w:rPr>
                <w:rFonts w:ascii="Cambria" w:eastAsia="Times New Roman" w:hAnsi="Cambria" w:cs="Calibri"/>
              </w:rPr>
              <w:t>integrirani</w:t>
            </w:r>
            <w:proofErr w:type="spellEnd"/>
          </w:p>
        </w:tc>
      </w:tr>
      <w:tr w:rsidR="00727BE6" w:rsidRPr="000E50AE" w14:paraId="127CA624" w14:textId="77777777" w:rsidTr="00450B7A">
        <w:trPr>
          <w:trHeight w:val="151"/>
        </w:trPr>
        <w:tc>
          <w:tcPr>
            <w:tcW w:w="263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A5A99E6" w14:textId="77777777" w:rsidR="00727BE6" w:rsidRPr="000E50AE" w:rsidRDefault="00727BE6" w:rsidP="00450B7A">
            <w:pPr>
              <w:spacing w:after="0" w:line="240" w:lineRule="auto"/>
              <w:jc w:val="both"/>
              <w:rPr>
                <w:rFonts w:ascii="Cambria" w:eastAsia="Times New Roman" w:hAnsi="Cambria" w:cs="Calibri"/>
              </w:rPr>
            </w:pPr>
            <w:proofErr w:type="spellStart"/>
            <w:r w:rsidRPr="000E50AE">
              <w:rPr>
                <w:rFonts w:ascii="Cambria" w:eastAsia="Times New Roman" w:hAnsi="Cambria" w:cs="Calibri"/>
              </w:rPr>
              <w:t>Semestar</w:t>
            </w:r>
            <w:proofErr w:type="spellEnd"/>
          </w:p>
        </w:tc>
        <w:tc>
          <w:tcPr>
            <w:tcW w:w="249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0CEE160" w14:textId="77777777" w:rsidR="00727BE6" w:rsidRPr="000E50AE" w:rsidRDefault="00727BE6" w:rsidP="00450B7A">
            <w:pPr>
              <w:spacing w:after="0" w:line="240" w:lineRule="auto"/>
              <w:jc w:val="both"/>
              <w:rPr>
                <w:rFonts w:ascii="Cambria" w:eastAsia="Times New Roman" w:hAnsi="Cambria" w:cs="Calibri"/>
              </w:rPr>
            </w:pPr>
            <w:proofErr w:type="spellStart"/>
            <w:r w:rsidRPr="000E50AE">
              <w:rPr>
                <w:rFonts w:ascii="Cambria" w:eastAsia="Times New Roman" w:hAnsi="Cambria" w:cs="Calibri"/>
              </w:rPr>
              <w:t>ljetni</w:t>
            </w:r>
            <w:proofErr w:type="spellEnd"/>
          </w:p>
        </w:tc>
        <w:tc>
          <w:tcPr>
            <w:tcW w:w="1468"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6BA8EB07" w14:textId="77777777" w:rsidR="00727BE6" w:rsidRPr="000E50AE" w:rsidRDefault="00727BE6" w:rsidP="00450B7A">
            <w:pPr>
              <w:spacing w:after="0" w:line="240" w:lineRule="auto"/>
              <w:jc w:val="both"/>
              <w:rPr>
                <w:rFonts w:ascii="Cambria" w:eastAsia="Times New Roman" w:hAnsi="Cambria" w:cs="Calibri"/>
              </w:rPr>
            </w:pPr>
            <w:r w:rsidRPr="000E50AE">
              <w:rPr>
                <w:rFonts w:ascii="Cambria" w:eastAsia="Times New Roman" w:hAnsi="Cambria" w:cs="Calibri"/>
              </w:rPr>
              <w:t xml:space="preserve">Godina </w:t>
            </w:r>
            <w:proofErr w:type="spellStart"/>
            <w:r w:rsidRPr="000E50AE">
              <w:rPr>
                <w:rFonts w:ascii="Cambria" w:eastAsia="Times New Roman" w:hAnsi="Cambria" w:cs="Calibri"/>
              </w:rPr>
              <w:t>studija</w:t>
            </w:r>
            <w:proofErr w:type="spellEnd"/>
          </w:p>
        </w:tc>
        <w:tc>
          <w:tcPr>
            <w:tcW w:w="2778"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A4D4C80" w14:textId="6F0348CD" w:rsidR="00727BE6" w:rsidRPr="000E50AE" w:rsidRDefault="00727BE6" w:rsidP="00450B7A">
            <w:pPr>
              <w:spacing w:after="0" w:line="240" w:lineRule="auto"/>
              <w:jc w:val="both"/>
              <w:rPr>
                <w:rFonts w:ascii="Cambria" w:eastAsia="Times New Roman" w:hAnsi="Cambria" w:cs="Calibri"/>
              </w:rPr>
            </w:pPr>
            <w:r w:rsidRPr="000E50AE">
              <w:rPr>
                <w:rFonts w:ascii="Cambria" w:eastAsia="Times New Roman" w:hAnsi="Cambria" w:cs="Calibri"/>
              </w:rPr>
              <w:t>I</w:t>
            </w:r>
            <w:r>
              <w:rPr>
                <w:rFonts w:ascii="Cambria" w:eastAsia="Times New Roman" w:hAnsi="Cambria" w:cs="Calibri"/>
              </w:rPr>
              <w:t>V.</w:t>
            </w:r>
          </w:p>
        </w:tc>
      </w:tr>
      <w:tr w:rsidR="00727BE6" w:rsidRPr="000E50AE" w14:paraId="1728434E" w14:textId="77777777" w:rsidTr="00450B7A">
        <w:trPr>
          <w:trHeight w:val="151"/>
        </w:trPr>
        <w:tc>
          <w:tcPr>
            <w:tcW w:w="263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2FE6C2C" w14:textId="77777777" w:rsidR="00727BE6" w:rsidRPr="000E50AE" w:rsidRDefault="00727BE6" w:rsidP="00450B7A">
            <w:pPr>
              <w:spacing w:after="0" w:line="240" w:lineRule="auto"/>
              <w:jc w:val="both"/>
              <w:rPr>
                <w:rFonts w:ascii="Cambria" w:eastAsia="Times New Roman" w:hAnsi="Cambria" w:cs="Calibri"/>
              </w:rPr>
            </w:pPr>
            <w:proofErr w:type="spellStart"/>
            <w:r w:rsidRPr="000E50AE">
              <w:rPr>
                <w:rFonts w:ascii="Cambria" w:eastAsia="Times New Roman" w:hAnsi="Cambria" w:cs="Calibri"/>
              </w:rPr>
              <w:t>Mjesto</w:t>
            </w:r>
            <w:proofErr w:type="spellEnd"/>
            <w:r w:rsidRPr="000E50AE">
              <w:rPr>
                <w:rFonts w:ascii="Cambria" w:eastAsia="Times New Roman" w:hAnsi="Cambria" w:cs="Calibri"/>
              </w:rPr>
              <w:t xml:space="preserve"> </w:t>
            </w:r>
            <w:proofErr w:type="spellStart"/>
            <w:r w:rsidRPr="000E50AE">
              <w:rPr>
                <w:rFonts w:ascii="Cambria" w:eastAsia="Times New Roman" w:hAnsi="Cambria" w:cs="Calibri"/>
              </w:rPr>
              <w:t>izvođenja</w:t>
            </w:r>
            <w:proofErr w:type="spellEnd"/>
          </w:p>
        </w:tc>
        <w:tc>
          <w:tcPr>
            <w:tcW w:w="249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588BD90" w14:textId="77777777" w:rsidR="00727BE6" w:rsidRPr="000E50AE" w:rsidRDefault="00727BE6" w:rsidP="00450B7A">
            <w:pPr>
              <w:spacing w:after="0" w:line="240" w:lineRule="auto"/>
              <w:rPr>
                <w:rFonts w:ascii="Cambria" w:eastAsia="Times New Roman" w:hAnsi="Cambria" w:cs="Calibri"/>
                <w:lang w:val="it-IT"/>
              </w:rPr>
            </w:pPr>
            <w:proofErr w:type="spellStart"/>
            <w:r w:rsidRPr="000E50AE">
              <w:rPr>
                <w:rFonts w:ascii="Cambria" w:eastAsia="Times New Roman" w:hAnsi="Cambria" w:cs="Calibri"/>
                <w:lang w:val="it-IT"/>
              </w:rPr>
              <w:t>dvoran</w:t>
            </w:r>
            <w:r>
              <w:rPr>
                <w:rFonts w:ascii="Cambria" w:eastAsia="Times New Roman" w:hAnsi="Cambria" w:cs="Calibri"/>
                <w:lang w:val="it-IT"/>
              </w:rPr>
              <w:t>a</w:t>
            </w:r>
            <w:proofErr w:type="spellEnd"/>
            <w:r w:rsidRPr="000E50AE">
              <w:rPr>
                <w:rFonts w:ascii="Cambria" w:eastAsia="Times New Roman" w:hAnsi="Cambria" w:cs="Calibri"/>
                <w:lang w:val="it-IT"/>
              </w:rPr>
              <w:t xml:space="preserve"> i </w:t>
            </w:r>
            <w:proofErr w:type="spellStart"/>
            <w:r w:rsidRPr="000E50AE">
              <w:rPr>
                <w:rFonts w:ascii="Cambria" w:eastAsia="Times New Roman" w:hAnsi="Cambria" w:cs="Calibri"/>
                <w:lang w:val="it-IT"/>
              </w:rPr>
              <w:t>sportska</w:t>
            </w:r>
            <w:proofErr w:type="spellEnd"/>
            <w:r w:rsidRPr="000E50AE">
              <w:rPr>
                <w:rFonts w:ascii="Cambria" w:eastAsia="Times New Roman" w:hAnsi="Cambria" w:cs="Calibri"/>
                <w:lang w:val="it-IT"/>
              </w:rPr>
              <w:t xml:space="preserve"> </w:t>
            </w:r>
            <w:proofErr w:type="spellStart"/>
            <w:r w:rsidRPr="000E50AE">
              <w:rPr>
                <w:rFonts w:ascii="Cambria" w:eastAsia="Times New Roman" w:hAnsi="Cambria" w:cs="Calibri"/>
                <w:lang w:val="it-IT"/>
              </w:rPr>
              <w:t>dvorana</w:t>
            </w:r>
            <w:proofErr w:type="spellEnd"/>
          </w:p>
        </w:tc>
        <w:tc>
          <w:tcPr>
            <w:tcW w:w="1468"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69DCEE2A" w14:textId="77777777" w:rsidR="00727BE6" w:rsidRPr="000E50AE" w:rsidRDefault="00727BE6" w:rsidP="00450B7A">
            <w:pPr>
              <w:spacing w:after="0" w:line="240" w:lineRule="auto"/>
              <w:jc w:val="both"/>
              <w:rPr>
                <w:rFonts w:ascii="Cambria" w:eastAsia="Times New Roman" w:hAnsi="Cambria" w:cs="Calibri"/>
              </w:rPr>
            </w:pPr>
            <w:r w:rsidRPr="000E50AE">
              <w:rPr>
                <w:rFonts w:ascii="Cambria" w:eastAsia="Times New Roman" w:hAnsi="Cambria" w:cs="Calibri"/>
              </w:rPr>
              <w:t xml:space="preserve">Jezik </w:t>
            </w:r>
            <w:proofErr w:type="spellStart"/>
            <w:r w:rsidRPr="000E50AE">
              <w:rPr>
                <w:rFonts w:ascii="Cambria" w:eastAsia="Times New Roman" w:hAnsi="Cambria" w:cs="Calibri"/>
              </w:rPr>
              <w:t>izvođenja</w:t>
            </w:r>
            <w:proofErr w:type="spellEnd"/>
            <w:r w:rsidRPr="000E50AE">
              <w:rPr>
                <w:rFonts w:ascii="Cambria" w:eastAsia="Times New Roman" w:hAnsi="Cambria" w:cs="Calibri"/>
              </w:rPr>
              <w:t xml:space="preserve"> </w:t>
            </w:r>
          </w:p>
        </w:tc>
        <w:tc>
          <w:tcPr>
            <w:tcW w:w="2778"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BA9AB94" w14:textId="77777777" w:rsidR="00727BE6" w:rsidRPr="000E50AE" w:rsidRDefault="00727BE6" w:rsidP="00450B7A">
            <w:pPr>
              <w:spacing w:after="0" w:line="240" w:lineRule="auto"/>
              <w:jc w:val="both"/>
              <w:rPr>
                <w:rFonts w:ascii="Cambria" w:eastAsia="Times New Roman" w:hAnsi="Cambria" w:cs="Calibri"/>
              </w:rPr>
            </w:pPr>
            <w:proofErr w:type="spellStart"/>
            <w:r w:rsidRPr="000E50AE">
              <w:rPr>
                <w:rFonts w:ascii="Cambria" w:eastAsia="Times New Roman" w:hAnsi="Cambria" w:cs="Calibri"/>
              </w:rPr>
              <w:t>hrvatski</w:t>
            </w:r>
            <w:proofErr w:type="spellEnd"/>
            <w:r w:rsidRPr="000E50AE">
              <w:rPr>
                <w:rFonts w:ascii="Cambria" w:eastAsia="Times New Roman" w:hAnsi="Cambria" w:cs="Calibri"/>
              </w:rPr>
              <w:t xml:space="preserve"> (</w:t>
            </w:r>
            <w:proofErr w:type="spellStart"/>
            <w:r w:rsidRPr="000E50AE">
              <w:rPr>
                <w:rFonts w:ascii="Cambria" w:eastAsia="Times New Roman" w:hAnsi="Cambria" w:cs="Calibri"/>
              </w:rPr>
              <w:t>engleski</w:t>
            </w:r>
            <w:proofErr w:type="spellEnd"/>
            <w:r w:rsidRPr="000E50AE">
              <w:rPr>
                <w:rFonts w:ascii="Cambria" w:eastAsia="Times New Roman" w:hAnsi="Cambria" w:cs="Calibri"/>
              </w:rPr>
              <w:t>)</w:t>
            </w:r>
          </w:p>
        </w:tc>
      </w:tr>
      <w:tr w:rsidR="00727BE6" w:rsidRPr="000E50AE" w14:paraId="333C7F8A" w14:textId="77777777" w:rsidTr="00450B7A">
        <w:trPr>
          <w:trHeight w:val="151"/>
        </w:trPr>
        <w:tc>
          <w:tcPr>
            <w:tcW w:w="263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EAAC872" w14:textId="77777777" w:rsidR="00727BE6" w:rsidRPr="000E50AE" w:rsidRDefault="00727BE6" w:rsidP="00450B7A">
            <w:pPr>
              <w:spacing w:after="0" w:line="240" w:lineRule="auto"/>
              <w:jc w:val="both"/>
              <w:rPr>
                <w:rFonts w:ascii="Cambria" w:eastAsia="Times New Roman" w:hAnsi="Cambria" w:cs="Calibri"/>
              </w:rPr>
            </w:pPr>
            <w:proofErr w:type="spellStart"/>
            <w:r w:rsidRPr="000E50AE">
              <w:rPr>
                <w:rFonts w:ascii="Cambria" w:eastAsia="Times New Roman" w:hAnsi="Cambria" w:cs="Calibri"/>
              </w:rPr>
              <w:t>Broj</w:t>
            </w:r>
            <w:proofErr w:type="spellEnd"/>
            <w:r w:rsidRPr="000E50AE">
              <w:rPr>
                <w:rFonts w:ascii="Cambria" w:eastAsia="Times New Roman" w:hAnsi="Cambria" w:cs="Calibri"/>
              </w:rPr>
              <w:t xml:space="preserve"> ECTS </w:t>
            </w:r>
            <w:proofErr w:type="spellStart"/>
            <w:r w:rsidRPr="000E50AE">
              <w:rPr>
                <w:rFonts w:ascii="Cambria" w:eastAsia="Times New Roman" w:hAnsi="Cambria" w:cs="Calibri"/>
              </w:rPr>
              <w:t>bodova</w:t>
            </w:r>
            <w:proofErr w:type="spellEnd"/>
          </w:p>
        </w:tc>
        <w:tc>
          <w:tcPr>
            <w:tcW w:w="249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8D8B7B2" w14:textId="77777777" w:rsidR="00727BE6" w:rsidRPr="000E50AE" w:rsidRDefault="00727BE6" w:rsidP="00450B7A">
            <w:pPr>
              <w:spacing w:after="0" w:line="240" w:lineRule="auto"/>
              <w:jc w:val="both"/>
              <w:rPr>
                <w:rFonts w:ascii="Cambria" w:eastAsia="Times New Roman" w:hAnsi="Cambria" w:cs="Calibri"/>
              </w:rPr>
            </w:pPr>
            <w:r w:rsidRPr="000E50AE">
              <w:rPr>
                <w:rFonts w:ascii="Cambria" w:eastAsia="Times New Roman" w:hAnsi="Cambria" w:cs="Calibri"/>
              </w:rPr>
              <w:t>4</w:t>
            </w:r>
          </w:p>
        </w:tc>
        <w:tc>
          <w:tcPr>
            <w:tcW w:w="1468"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2D0C124A" w14:textId="77777777" w:rsidR="00727BE6" w:rsidRPr="000E50AE" w:rsidRDefault="00727BE6" w:rsidP="00450B7A">
            <w:pPr>
              <w:spacing w:after="0" w:line="240" w:lineRule="auto"/>
              <w:jc w:val="both"/>
              <w:rPr>
                <w:rFonts w:ascii="Cambria" w:eastAsia="Times New Roman" w:hAnsi="Cambria" w:cs="Calibri"/>
              </w:rPr>
            </w:pPr>
            <w:proofErr w:type="spellStart"/>
            <w:r w:rsidRPr="000E50AE">
              <w:rPr>
                <w:rFonts w:ascii="Cambria" w:eastAsia="Times New Roman" w:hAnsi="Cambria" w:cs="Calibri"/>
              </w:rPr>
              <w:t>Broj</w:t>
            </w:r>
            <w:proofErr w:type="spellEnd"/>
            <w:r w:rsidRPr="000E50AE">
              <w:rPr>
                <w:rFonts w:ascii="Cambria" w:eastAsia="Times New Roman" w:hAnsi="Cambria" w:cs="Calibri"/>
              </w:rPr>
              <w:t xml:space="preserve"> sati u </w:t>
            </w:r>
            <w:proofErr w:type="spellStart"/>
            <w:r w:rsidRPr="000E50AE">
              <w:rPr>
                <w:rFonts w:ascii="Cambria" w:eastAsia="Times New Roman" w:hAnsi="Cambria" w:cs="Calibri"/>
              </w:rPr>
              <w:t>semestru</w:t>
            </w:r>
            <w:proofErr w:type="spellEnd"/>
          </w:p>
        </w:tc>
        <w:tc>
          <w:tcPr>
            <w:tcW w:w="2778"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32666A4" w14:textId="77777777" w:rsidR="00727BE6" w:rsidRPr="000E50AE" w:rsidRDefault="00727BE6" w:rsidP="00450B7A">
            <w:pPr>
              <w:spacing w:after="0" w:line="240" w:lineRule="auto"/>
              <w:jc w:val="both"/>
              <w:rPr>
                <w:rFonts w:ascii="Cambria" w:eastAsia="Times New Roman" w:hAnsi="Cambria" w:cs="Calibri"/>
              </w:rPr>
            </w:pPr>
            <w:r w:rsidRPr="000E50AE">
              <w:rPr>
                <w:rFonts w:ascii="Cambria" w:eastAsia="Times New Roman" w:hAnsi="Cambria" w:cs="Calibri"/>
              </w:rPr>
              <w:t>30P – 0S</w:t>
            </w:r>
            <w:r>
              <w:rPr>
                <w:rFonts w:ascii="Cambria" w:eastAsia="Times New Roman" w:hAnsi="Cambria" w:cs="Calibri"/>
              </w:rPr>
              <w:t xml:space="preserve"> – </w:t>
            </w:r>
            <w:r w:rsidRPr="000E50AE">
              <w:rPr>
                <w:rFonts w:ascii="Cambria" w:eastAsia="Times New Roman" w:hAnsi="Cambria" w:cs="Calibri"/>
              </w:rPr>
              <w:t>1</w:t>
            </w:r>
            <w:r>
              <w:rPr>
                <w:rFonts w:ascii="Cambria" w:eastAsia="Times New Roman" w:hAnsi="Cambria" w:cs="Calibri"/>
              </w:rPr>
              <w:t>5</w:t>
            </w:r>
            <w:r w:rsidRPr="000E50AE">
              <w:rPr>
                <w:rFonts w:ascii="Cambria" w:eastAsia="Times New Roman" w:hAnsi="Cambria" w:cs="Calibri"/>
              </w:rPr>
              <w:t xml:space="preserve">V </w:t>
            </w:r>
          </w:p>
        </w:tc>
      </w:tr>
      <w:tr w:rsidR="00727BE6" w:rsidRPr="00D0399C" w14:paraId="095D77D9" w14:textId="77777777" w:rsidTr="00450B7A">
        <w:trPr>
          <w:trHeight w:val="151"/>
        </w:trPr>
        <w:tc>
          <w:tcPr>
            <w:tcW w:w="263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2F5A26E" w14:textId="77777777" w:rsidR="00727BE6" w:rsidRPr="000E50AE" w:rsidRDefault="00727BE6" w:rsidP="00450B7A">
            <w:pPr>
              <w:spacing w:after="0" w:line="240" w:lineRule="auto"/>
              <w:jc w:val="both"/>
              <w:rPr>
                <w:rFonts w:ascii="Cambria" w:eastAsia="Times New Roman" w:hAnsi="Cambria" w:cs="Calibri"/>
                <w:lang w:val="it-IT"/>
              </w:rPr>
            </w:pPr>
            <w:proofErr w:type="spellStart"/>
            <w:r w:rsidRPr="000E50AE">
              <w:rPr>
                <w:rFonts w:ascii="Cambria" w:eastAsia="Times New Roman" w:hAnsi="Cambria" w:cs="Calibri"/>
                <w:lang w:val="it-IT"/>
              </w:rPr>
              <w:t>Preduvjeti</w:t>
            </w:r>
            <w:proofErr w:type="spellEnd"/>
            <w:r w:rsidRPr="000E50AE">
              <w:rPr>
                <w:rFonts w:ascii="Cambria" w:eastAsia="Times New Roman" w:hAnsi="Cambria" w:cs="Calibri"/>
                <w:lang w:val="it-IT"/>
              </w:rPr>
              <w:t xml:space="preserve"> za </w:t>
            </w:r>
            <w:proofErr w:type="spellStart"/>
            <w:r w:rsidRPr="000E50AE">
              <w:rPr>
                <w:rFonts w:ascii="Cambria" w:eastAsia="Times New Roman" w:hAnsi="Cambria" w:cs="Calibri"/>
                <w:lang w:val="it-IT"/>
              </w:rPr>
              <w:t>upis</w:t>
            </w:r>
            <w:proofErr w:type="spellEnd"/>
            <w:r w:rsidRPr="000E50AE">
              <w:rPr>
                <w:rFonts w:ascii="Cambria" w:eastAsia="Times New Roman" w:hAnsi="Cambria" w:cs="Calibri"/>
                <w:lang w:val="it-IT"/>
              </w:rPr>
              <w:t xml:space="preserve"> i za </w:t>
            </w:r>
            <w:proofErr w:type="spellStart"/>
            <w:r w:rsidRPr="000E50AE">
              <w:rPr>
                <w:rFonts w:ascii="Cambria" w:eastAsia="Times New Roman" w:hAnsi="Cambria" w:cs="Calibri"/>
                <w:lang w:val="it-IT"/>
              </w:rPr>
              <w:t>svladavanje</w:t>
            </w:r>
            <w:proofErr w:type="spellEnd"/>
          </w:p>
        </w:tc>
        <w:tc>
          <w:tcPr>
            <w:tcW w:w="6742"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46532E0" w14:textId="77777777" w:rsidR="00727BE6" w:rsidRPr="000E50AE" w:rsidRDefault="00727BE6" w:rsidP="00450B7A">
            <w:pPr>
              <w:spacing w:after="0" w:line="240" w:lineRule="auto"/>
              <w:jc w:val="both"/>
              <w:rPr>
                <w:rFonts w:ascii="Cambria" w:eastAsia="Times New Roman" w:hAnsi="Cambria" w:cs="Calibri"/>
                <w:lang w:val="it-IT"/>
              </w:rPr>
            </w:pPr>
            <w:proofErr w:type="spellStart"/>
            <w:r w:rsidRPr="000E50AE">
              <w:rPr>
                <w:rFonts w:ascii="Cambria" w:eastAsia="Times New Roman" w:hAnsi="Cambria" w:cs="Calibri"/>
                <w:lang w:val="it-IT"/>
              </w:rPr>
              <w:t>Odslušan</w:t>
            </w:r>
            <w:proofErr w:type="spellEnd"/>
            <w:r w:rsidRPr="000E50AE">
              <w:rPr>
                <w:rFonts w:ascii="Cambria" w:eastAsia="Times New Roman" w:hAnsi="Cambria" w:cs="Calibri"/>
                <w:lang w:val="it-IT"/>
              </w:rPr>
              <w:t xml:space="preserve"> </w:t>
            </w:r>
            <w:proofErr w:type="spellStart"/>
            <w:r w:rsidRPr="000E50AE">
              <w:rPr>
                <w:rFonts w:ascii="Cambria" w:eastAsia="Times New Roman" w:hAnsi="Cambria" w:cs="Calibri"/>
                <w:lang w:val="it-IT"/>
              </w:rPr>
              <w:t>kolegij</w:t>
            </w:r>
            <w:proofErr w:type="spellEnd"/>
            <w:r w:rsidRPr="000E50AE">
              <w:rPr>
                <w:rFonts w:ascii="Cambria" w:eastAsia="Times New Roman" w:hAnsi="Cambria" w:cs="Calibri"/>
                <w:lang w:val="it-IT"/>
              </w:rPr>
              <w:t xml:space="preserve"> </w:t>
            </w:r>
            <w:proofErr w:type="spellStart"/>
            <w:r w:rsidRPr="000E50AE">
              <w:rPr>
                <w:rFonts w:ascii="Cambria" w:eastAsia="Times New Roman" w:hAnsi="Cambria" w:cs="Calibri"/>
                <w:lang w:val="it-IT"/>
              </w:rPr>
              <w:t>Kineziologija</w:t>
            </w:r>
            <w:proofErr w:type="spellEnd"/>
            <w:r w:rsidRPr="000E50AE">
              <w:rPr>
                <w:rFonts w:ascii="Cambria" w:eastAsia="Times New Roman" w:hAnsi="Cambria" w:cs="Calibri"/>
                <w:lang w:val="it-IT"/>
              </w:rPr>
              <w:t xml:space="preserve">. </w:t>
            </w:r>
            <w:proofErr w:type="spellStart"/>
            <w:r w:rsidRPr="000E50AE">
              <w:rPr>
                <w:rFonts w:ascii="Cambria" w:eastAsia="Times New Roman" w:hAnsi="Cambria" w:cs="Calibri"/>
                <w:lang w:val="it-IT"/>
              </w:rPr>
              <w:t>Završnom</w:t>
            </w:r>
            <w:proofErr w:type="spellEnd"/>
            <w:r w:rsidRPr="000E50AE">
              <w:rPr>
                <w:rFonts w:ascii="Cambria" w:eastAsia="Times New Roman" w:hAnsi="Cambria" w:cs="Calibri"/>
                <w:lang w:val="it-IT"/>
              </w:rPr>
              <w:t xml:space="preserve"> </w:t>
            </w:r>
            <w:proofErr w:type="spellStart"/>
            <w:r w:rsidRPr="000E50AE">
              <w:rPr>
                <w:rFonts w:ascii="Cambria" w:eastAsia="Times New Roman" w:hAnsi="Cambria" w:cs="Calibri"/>
                <w:lang w:val="it-IT"/>
              </w:rPr>
              <w:t>ispitu</w:t>
            </w:r>
            <w:proofErr w:type="spellEnd"/>
            <w:r w:rsidRPr="000E50AE">
              <w:rPr>
                <w:rFonts w:ascii="Cambria" w:eastAsia="Times New Roman" w:hAnsi="Cambria" w:cs="Calibri"/>
                <w:lang w:val="it-IT"/>
              </w:rPr>
              <w:t xml:space="preserve"> </w:t>
            </w:r>
            <w:proofErr w:type="spellStart"/>
            <w:r w:rsidRPr="000E50AE">
              <w:rPr>
                <w:rFonts w:ascii="Cambria" w:eastAsia="Times New Roman" w:hAnsi="Cambria" w:cs="Calibri"/>
                <w:lang w:val="it-IT"/>
              </w:rPr>
              <w:t>mogu</w:t>
            </w:r>
            <w:proofErr w:type="spellEnd"/>
            <w:r w:rsidRPr="000E50AE">
              <w:rPr>
                <w:rFonts w:ascii="Cambria" w:eastAsia="Times New Roman" w:hAnsi="Cambria" w:cs="Calibri"/>
                <w:lang w:val="it-IT"/>
              </w:rPr>
              <w:t xml:space="preserve"> </w:t>
            </w:r>
            <w:proofErr w:type="spellStart"/>
            <w:r w:rsidRPr="000E50AE">
              <w:rPr>
                <w:rFonts w:ascii="Cambria" w:eastAsia="Times New Roman" w:hAnsi="Cambria" w:cs="Calibri"/>
                <w:lang w:val="it-IT"/>
              </w:rPr>
              <w:t>pristupiti</w:t>
            </w:r>
            <w:proofErr w:type="spellEnd"/>
            <w:r w:rsidRPr="000E50AE">
              <w:rPr>
                <w:rFonts w:ascii="Cambria" w:eastAsia="Times New Roman" w:hAnsi="Cambria" w:cs="Calibri"/>
                <w:lang w:val="it-IT"/>
              </w:rPr>
              <w:t xml:space="preserve"> studenti </w:t>
            </w:r>
            <w:proofErr w:type="spellStart"/>
            <w:r w:rsidRPr="000E50AE">
              <w:rPr>
                <w:rFonts w:ascii="Cambria" w:eastAsia="Times New Roman" w:hAnsi="Cambria" w:cs="Calibri"/>
                <w:lang w:val="it-IT"/>
              </w:rPr>
              <w:t>koji</w:t>
            </w:r>
            <w:proofErr w:type="spellEnd"/>
            <w:r w:rsidRPr="000E50AE">
              <w:rPr>
                <w:rFonts w:ascii="Cambria" w:eastAsia="Times New Roman" w:hAnsi="Cambria" w:cs="Calibri"/>
                <w:lang w:val="it-IT"/>
              </w:rPr>
              <w:t xml:space="preserve"> su </w:t>
            </w:r>
            <w:proofErr w:type="spellStart"/>
            <w:r w:rsidRPr="000E50AE">
              <w:rPr>
                <w:rFonts w:ascii="Cambria" w:eastAsia="Times New Roman" w:hAnsi="Cambria" w:cs="Calibri"/>
                <w:lang w:val="it-IT"/>
              </w:rPr>
              <w:t>položili</w:t>
            </w:r>
            <w:proofErr w:type="spellEnd"/>
            <w:r w:rsidRPr="000E50AE">
              <w:rPr>
                <w:rFonts w:ascii="Cambria" w:eastAsia="Times New Roman" w:hAnsi="Cambria" w:cs="Calibri"/>
                <w:lang w:val="it-IT"/>
              </w:rPr>
              <w:t xml:space="preserve"> </w:t>
            </w:r>
            <w:proofErr w:type="spellStart"/>
            <w:r w:rsidRPr="000E50AE">
              <w:rPr>
                <w:rFonts w:ascii="Cambria" w:eastAsia="Times New Roman" w:hAnsi="Cambria" w:cs="Calibri"/>
                <w:lang w:val="it-IT"/>
              </w:rPr>
              <w:t>kolegij</w:t>
            </w:r>
            <w:proofErr w:type="spellEnd"/>
            <w:r w:rsidRPr="000E50AE">
              <w:rPr>
                <w:rFonts w:ascii="Cambria" w:eastAsia="Times New Roman" w:hAnsi="Cambria" w:cs="Calibri"/>
                <w:lang w:val="it-IT"/>
              </w:rPr>
              <w:t xml:space="preserve"> </w:t>
            </w:r>
            <w:proofErr w:type="spellStart"/>
            <w:r w:rsidRPr="000E50AE">
              <w:rPr>
                <w:rFonts w:ascii="Cambria" w:eastAsia="Times New Roman" w:hAnsi="Cambria" w:cs="Calibri"/>
                <w:lang w:val="it-IT"/>
              </w:rPr>
              <w:t>Kineziologija</w:t>
            </w:r>
            <w:proofErr w:type="spellEnd"/>
            <w:r w:rsidRPr="000E50AE">
              <w:rPr>
                <w:rFonts w:ascii="Cambria" w:eastAsia="Times New Roman" w:hAnsi="Cambria" w:cs="Calibri"/>
                <w:lang w:val="it-IT"/>
              </w:rPr>
              <w:t xml:space="preserve">. </w:t>
            </w:r>
          </w:p>
        </w:tc>
      </w:tr>
      <w:tr w:rsidR="00727BE6" w:rsidRPr="000E50AE" w14:paraId="250E4E31" w14:textId="77777777" w:rsidTr="00450B7A">
        <w:trPr>
          <w:trHeight w:val="151"/>
        </w:trPr>
        <w:tc>
          <w:tcPr>
            <w:tcW w:w="263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1CB6359" w14:textId="77777777" w:rsidR="00727BE6" w:rsidRPr="000E50AE" w:rsidRDefault="00727BE6" w:rsidP="00450B7A">
            <w:pPr>
              <w:spacing w:after="0" w:line="240" w:lineRule="auto"/>
              <w:jc w:val="both"/>
              <w:rPr>
                <w:rFonts w:ascii="Cambria" w:eastAsia="Times New Roman" w:hAnsi="Cambria" w:cs="Calibri"/>
              </w:rPr>
            </w:pPr>
            <w:proofErr w:type="spellStart"/>
            <w:r w:rsidRPr="000E50AE">
              <w:rPr>
                <w:rFonts w:ascii="Cambria" w:eastAsia="Times New Roman" w:hAnsi="Cambria" w:cs="Calibri"/>
              </w:rPr>
              <w:t>Korelativnost</w:t>
            </w:r>
            <w:proofErr w:type="spellEnd"/>
          </w:p>
        </w:tc>
        <w:tc>
          <w:tcPr>
            <w:tcW w:w="6742"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2AF2AEB" w14:textId="77777777" w:rsidR="00727BE6" w:rsidRPr="000E50AE" w:rsidRDefault="00727BE6" w:rsidP="00450B7A">
            <w:pPr>
              <w:spacing w:after="0" w:line="240" w:lineRule="auto"/>
              <w:jc w:val="both"/>
              <w:rPr>
                <w:rFonts w:ascii="Cambria" w:eastAsia="Times New Roman" w:hAnsi="Cambria" w:cs="Calibri"/>
              </w:rPr>
            </w:pPr>
            <w:r w:rsidRPr="000E50AE">
              <w:rPr>
                <w:rFonts w:ascii="Cambria" w:eastAsia="Times New Roman" w:hAnsi="Cambria" w:cs="Calibri"/>
                <w:lang w:val="pl-PL"/>
              </w:rPr>
              <w:t>Kineziološka kultura, Kineziologija, Pedagogija, Didaktika, Sociologija obrazovanja, Razvojna psihologija, Edukacijska psihologija, Socijalna pedagogija, Istraživanje odgoja i obrazovanja</w:t>
            </w:r>
          </w:p>
        </w:tc>
      </w:tr>
      <w:tr w:rsidR="00727BE6" w:rsidRPr="000E50AE" w14:paraId="01000E13" w14:textId="77777777" w:rsidTr="00450B7A">
        <w:trPr>
          <w:trHeight w:val="151"/>
        </w:trPr>
        <w:tc>
          <w:tcPr>
            <w:tcW w:w="263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0DA78F5" w14:textId="77777777" w:rsidR="00727BE6" w:rsidRPr="000E50AE" w:rsidRDefault="00727BE6" w:rsidP="00450B7A">
            <w:pPr>
              <w:spacing w:after="0" w:line="240" w:lineRule="auto"/>
              <w:jc w:val="both"/>
              <w:rPr>
                <w:rFonts w:ascii="Cambria" w:eastAsia="Times New Roman" w:hAnsi="Cambria" w:cs="Calibri"/>
              </w:rPr>
            </w:pPr>
            <w:proofErr w:type="spellStart"/>
            <w:r w:rsidRPr="000E50AE">
              <w:rPr>
                <w:rFonts w:ascii="Cambria" w:eastAsia="Times New Roman" w:hAnsi="Cambria" w:cs="Calibri"/>
              </w:rPr>
              <w:t>Cilj</w:t>
            </w:r>
            <w:proofErr w:type="spellEnd"/>
            <w:r w:rsidRPr="000E50AE">
              <w:rPr>
                <w:rFonts w:ascii="Cambria" w:eastAsia="Times New Roman" w:hAnsi="Cambria" w:cs="Calibri"/>
              </w:rPr>
              <w:t xml:space="preserve"> </w:t>
            </w:r>
            <w:proofErr w:type="spellStart"/>
            <w:r w:rsidRPr="000E50AE">
              <w:rPr>
                <w:rFonts w:ascii="Cambria" w:eastAsia="Times New Roman" w:hAnsi="Cambria" w:cs="Calibri"/>
              </w:rPr>
              <w:t>kolegija</w:t>
            </w:r>
            <w:proofErr w:type="spellEnd"/>
            <w:r w:rsidRPr="000E50AE">
              <w:rPr>
                <w:rFonts w:ascii="Cambria" w:eastAsia="Times New Roman" w:hAnsi="Cambria" w:cs="Calibri"/>
              </w:rPr>
              <w:t xml:space="preserve"> </w:t>
            </w:r>
          </w:p>
        </w:tc>
        <w:tc>
          <w:tcPr>
            <w:tcW w:w="6742"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85F0999" w14:textId="77777777" w:rsidR="00727BE6" w:rsidRPr="000E50AE" w:rsidRDefault="00727BE6" w:rsidP="00450B7A">
            <w:pPr>
              <w:spacing w:after="0" w:line="240" w:lineRule="auto"/>
              <w:jc w:val="both"/>
              <w:rPr>
                <w:rFonts w:ascii="Cambria" w:eastAsia="Times New Roman" w:hAnsi="Cambria" w:cs="Calibri"/>
                <w:lang w:eastAsia="hr-HR"/>
              </w:rPr>
            </w:pPr>
            <w:proofErr w:type="spellStart"/>
            <w:r w:rsidRPr="000E50AE">
              <w:rPr>
                <w:rFonts w:ascii="Cambria" w:eastAsia="Times New Roman" w:hAnsi="Cambria" w:cs="Calibri Light"/>
              </w:rPr>
              <w:t>utvrditi</w:t>
            </w:r>
            <w:proofErr w:type="spellEnd"/>
            <w:r w:rsidRPr="000E50AE">
              <w:rPr>
                <w:rFonts w:ascii="Cambria" w:eastAsia="Times New Roman" w:hAnsi="Cambria" w:cs="Calibri Light"/>
              </w:rPr>
              <w:t xml:space="preserve"> </w:t>
            </w:r>
            <w:proofErr w:type="spellStart"/>
            <w:r w:rsidRPr="000E50AE">
              <w:rPr>
                <w:rFonts w:ascii="Cambria" w:eastAsia="Times New Roman" w:hAnsi="Cambria" w:cs="Calibri Light"/>
              </w:rPr>
              <w:t>odgojno-obrazovne</w:t>
            </w:r>
            <w:proofErr w:type="spellEnd"/>
            <w:r w:rsidRPr="000E50AE">
              <w:rPr>
                <w:rFonts w:ascii="Cambria" w:eastAsia="Times New Roman" w:hAnsi="Cambria" w:cs="Calibri Light"/>
              </w:rPr>
              <w:t xml:space="preserve"> </w:t>
            </w:r>
            <w:proofErr w:type="spellStart"/>
            <w:r w:rsidRPr="000E50AE">
              <w:rPr>
                <w:rFonts w:ascii="Cambria" w:eastAsia="Times New Roman" w:hAnsi="Cambria" w:cs="Calibri Light"/>
              </w:rPr>
              <w:t>ciljeve</w:t>
            </w:r>
            <w:proofErr w:type="spellEnd"/>
            <w:r w:rsidRPr="000E50AE">
              <w:rPr>
                <w:rFonts w:ascii="Cambria" w:eastAsia="Times New Roman" w:hAnsi="Cambria" w:cs="Calibri Light"/>
              </w:rPr>
              <w:t xml:space="preserve"> </w:t>
            </w:r>
            <w:proofErr w:type="spellStart"/>
            <w:r w:rsidRPr="000E50AE">
              <w:rPr>
                <w:rFonts w:ascii="Cambria" w:eastAsia="Times New Roman" w:hAnsi="Cambria" w:cs="Calibri Light"/>
              </w:rPr>
              <w:t>učenja</w:t>
            </w:r>
            <w:proofErr w:type="spellEnd"/>
            <w:r w:rsidRPr="000E50AE">
              <w:rPr>
                <w:rFonts w:ascii="Cambria" w:eastAsia="Times New Roman" w:hAnsi="Cambria" w:cs="Calibri Light"/>
              </w:rPr>
              <w:t xml:space="preserve">, </w:t>
            </w:r>
            <w:proofErr w:type="spellStart"/>
            <w:r w:rsidRPr="000E50AE">
              <w:rPr>
                <w:rFonts w:ascii="Cambria" w:eastAsia="Times New Roman" w:hAnsi="Cambria" w:cs="Calibri Light"/>
              </w:rPr>
              <w:t>poučavanja</w:t>
            </w:r>
            <w:proofErr w:type="spellEnd"/>
            <w:r w:rsidRPr="000E50AE">
              <w:rPr>
                <w:rFonts w:ascii="Cambria" w:eastAsia="Times New Roman" w:hAnsi="Cambria" w:cs="Calibri Light"/>
              </w:rPr>
              <w:t xml:space="preserve"> </w:t>
            </w:r>
            <w:proofErr w:type="spellStart"/>
            <w:r w:rsidRPr="000E50AE">
              <w:rPr>
                <w:rFonts w:ascii="Cambria" w:eastAsia="Times New Roman" w:hAnsi="Cambria" w:cs="Calibri Light"/>
              </w:rPr>
              <w:t>i</w:t>
            </w:r>
            <w:proofErr w:type="spellEnd"/>
            <w:r w:rsidRPr="000E50AE">
              <w:rPr>
                <w:rFonts w:ascii="Cambria" w:eastAsia="Times New Roman" w:hAnsi="Cambria" w:cs="Calibri Light"/>
              </w:rPr>
              <w:t xml:space="preserve"> </w:t>
            </w:r>
            <w:proofErr w:type="spellStart"/>
            <w:r w:rsidRPr="000E50AE">
              <w:rPr>
                <w:rFonts w:ascii="Cambria" w:eastAsia="Times New Roman" w:hAnsi="Cambria" w:cs="Calibri Light"/>
              </w:rPr>
              <w:t>vježbanja</w:t>
            </w:r>
            <w:proofErr w:type="spellEnd"/>
            <w:r w:rsidRPr="000E50AE">
              <w:rPr>
                <w:rFonts w:ascii="Cambria" w:eastAsia="Times New Roman" w:hAnsi="Cambria" w:cs="Calibri Light"/>
              </w:rPr>
              <w:t xml:space="preserve"> u </w:t>
            </w:r>
            <w:proofErr w:type="spellStart"/>
            <w:r w:rsidRPr="000E50AE">
              <w:rPr>
                <w:rFonts w:ascii="Cambria" w:eastAsia="Times New Roman" w:hAnsi="Cambria" w:cs="Calibri Light"/>
              </w:rPr>
              <w:t>tjelesnom</w:t>
            </w:r>
            <w:proofErr w:type="spellEnd"/>
            <w:r w:rsidRPr="000E50AE">
              <w:rPr>
                <w:rFonts w:ascii="Cambria" w:eastAsia="Times New Roman" w:hAnsi="Cambria" w:cs="Calibri Light"/>
              </w:rPr>
              <w:t xml:space="preserve"> </w:t>
            </w:r>
            <w:proofErr w:type="spellStart"/>
            <w:r w:rsidRPr="000E50AE">
              <w:rPr>
                <w:rFonts w:ascii="Cambria" w:eastAsia="Times New Roman" w:hAnsi="Cambria" w:cs="Calibri Light"/>
              </w:rPr>
              <w:t>i</w:t>
            </w:r>
            <w:proofErr w:type="spellEnd"/>
            <w:r w:rsidRPr="000E50AE">
              <w:rPr>
                <w:rFonts w:ascii="Cambria" w:eastAsia="Times New Roman" w:hAnsi="Cambria" w:cs="Calibri Light"/>
              </w:rPr>
              <w:t xml:space="preserve"> </w:t>
            </w:r>
            <w:proofErr w:type="spellStart"/>
            <w:r w:rsidRPr="000E50AE">
              <w:rPr>
                <w:rFonts w:ascii="Cambria" w:eastAsia="Times New Roman" w:hAnsi="Cambria" w:cs="Calibri Light"/>
              </w:rPr>
              <w:t>zdravstvenom</w:t>
            </w:r>
            <w:proofErr w:type="spellEnd"/>
            <w:r w:rsidRPr="000E50AE">
              <w:rPr>
                <w:rFonts w:ascii="Cambria" w:eastAsia="Times New Roman" w:hAnsi="Cambria" w:cs="Calibri Light"/>
              </w:rPr>
              <w:t xml:space="preserve"> </w:t>
            </w:r>
            <w:proofErr w:type="spellStart"/>
            <w:r w:rsidRPr="000E50AE">
              <w:rPr>
                <w:rFonts w:ascii="Cambria" w:eastAsia="Times New Roman" w:hAnsi="Cambria" w:cs="Calibri Light"/>
              </w:rPr>
              <w:t>odgojno-obrazovnom</w:t>
            </w:r>
            <w:proofErr w:type="spellEnd"/>
            <w:r w:rsidRPr="000E50AE">
              <w:rPr>
                <w:rFonts w:ascii="Cambria" w:eastAsia="Times New Roman" w:hAnsi="Cambria" w:cs="Calibri Light"/>
              </w:rPr>
              <w:t xml:space="preserve"> </w:t>
            </w:r>
            <w:proofErr w:type="spellStart"/>
            <w:r w:rsidRPr="000E50AE">
              <w:rPr>
                <w:rFonts w:ascii="Cambria" w:eastAsia="Times New Roman" w:hAnsi="Cambria" w:cs="Calibri Light"/>
              </w:rPr>
              <w:t>području</w:t>
            </w:r>
            <w:proofErr w:type="spellEnd"/>
            <w:r w:rsidRPr="000E50AE">
              <w:rPr>
                <w:rFonts w:ascii="Cambria" w:eastAsia="Times New Roman" w:hAnsi="Cambria" w:cs="Calibri Light"/>
              </w:rPr>
              <w:t xml:space="preserve"> </w:t>
            </w:r>
            <w:proofErr w:type="spellStart"/>
            <w:r w:rsidRPr="000E50AE">
              <w:rPr>
                <w:rFonts w:ascii="Cambria" w:eastAsia="Times New Roman" w:hAnsi="Cambria" w:cs="Calibri Light"/>
              </w:rPr>
              <w:t>i</w:t>
            </w:r>
            <w:proofErr w:type="spellEnd"/>
            <w:r w:rsidRPr="000E50AE">
              <w:rPr>
                <w:rFonts w:ascii="Cambria" w:eastAsia="Times New Roman" w:hAnsi="Cambria" w:cs="Calibri Light"/>
              </w:rPr>
              <w:t xml:space="preserve"> </w:t>
            </w:r>
            <w:proofErr w:type="spellStart"/>
            <w:r w:rsidRPr="000E50AE">
              <w:rPr>
                <w:rFonts w:ascii="Cambria" w:eastAsia="Times New Roman" w:hAnsi="Cambria" w:cs="Calibri Light"/>
              </w:rPr>
              <w:t>upoznavanje</w:t>
            </w:r>
            <w:proofErr w:type="spellEnd"/>
            <w:r w:rsidRPr="000E50AE">
              <w:rPr>
                <w:rFonts w:ascii="Cambria" w:eastAsia="Times New Roman" w:hAnsi="Cambria" w:cs="Calibri Light"/>
              </w:rPr>
              <w:t xml:space="preserve"> s </w:t>
            </w:r>
            <w:proofErr w:type="spellStart"/>
            <w:r w:rsidRPr="000E50AE">
              <w:rPr>
                <w:rFonts w:ascii="Cambria" w:eastAsia="Times New Roman" w:hAnsi="Cambria" w:cs="Calibri Light"/>
              </w:rPr>
              <w:t>motoričkim</w:t>
            </w:r>
            <w:proofErr w:type="spellEnd"/>
            <w:r w:rsidRPr="000E50AE">
              <w:rPr>
                <w:rFonts w:ascii="Cambria" w:eastAsia="Times New Roman" w:hAnsi="Cambria" w:cs="Calibri Light"/>
              </w:rPr>
              <w:t xml:space="preserve"> </w:t>
            </w:r>
            <w:proofErr w:type="spellStart"/>
            <w:r w:rsidRPr="000E50AE">
              <w:rPr>
                <w:rFonts w:ascii="Cambria" w:eastAsia="Times New Roman" w:hAnsi="Cambria" w:cs="Calibri Light"/>
              </w:rPr>
              <w:t>sadržajima</w:t>
            </w:r>
            <w:proofErr w:type="spellEnd"/>
            <w:r w:rsidRPr="000E50AE">
              <w:rPr>
                <w:rFonts w:ascii="Cambria" w:eastAsia="Times New Roman" w:hAnsi="Cambria" w:cs="Calibri Light"/>
              </w:rPr>
              <w:t xml:space="preserve"> </w:t>
            </w:r>
            <w:proofErr w:type="spellStart"/>
            <w:r w:rsidRPr="000E50AE">
              <w:rPr>
                <w:rFonts w:ascii="Cambria" w:eastAsia="Times New Roman" w:hAnsi="Cambria" w:cs="Calibri Light"/>
              </w:rPr>
              <w:t>predmetnog</w:t>
            </w:r>
            <w:proofErr w:type="spellEnd"/>
            <w:r w:rsidRPr="000E50AE">
              <w:rPr>
                <w:rFonts w:ascii="Cambria" w:eastAsia="Times New Roman" w:hAnsi="Cambria" w:cs="Calibri Light"/>
              </w:rPr>
              <w:t xml:space="preserve"> </w:t>
            </w:r>
            <w:proofErr w:type="spellStart"/>
            <w:r w:rsidRPr="000E50AE">
              <w:rPr>
                <w:rFonts w:ascii="Cambria" w:eastAsia="Times New Roman" w:hAnsi="Cambria" w:cs="Calibri Light"/>
              </w:rPr>
              <w:t>kurikuluma</w:t>
            </w:r>
            <w:proofErr w:type="spellEnd"/>
            <w:r w:rsidRPr="000E50AE">
              <w:rPr>
                <w:rFonts w:ascii="Cambria" w:eastAsia="Times New Roman" w:hAnsi="Cambria" w:cs="Calibri Light"/>
              </w:rPr>
              <w:t xml:space="preserve"> </w:t>
            </w:r>
            <w:proofErr w:type="spellStart"/>
            <w:r w:rsidRPr="000E50AE">
              <w:rPr>
                <w:rFonts w:ascii="Cambria" w:eastAsia="Times New Roman" w:hAnsi="Cambria" w:cs="Calibri Light"/>
              </w:rPr>
              <w:t>Tjelesne</w:t>
            </w:r>
            <w:proofErr w:type="spellEnd"/>
            <w:r w:rsidRPr="000E50AE">
              <w:rPr>
                <w:rFonts w:ascii="Cambria" w:eastAsia="Times New Roman" w:hAnsi="Cambria" w:cs="Calibri Light"/>
              </w:rPr>
              <w:t xml:space="preserve"> </w:t>
            </w:r>
            <w:proofErr w:type="spellStart"/>
            <w:r w:rsidRPr="000E50AE">
              <w:rPr>
                <w:rFonts w:ascii="Cambria" w:eastAsia="Times New Roman" w:hAnsi="Cambria" w:cs="Calibri Light"/>
              </w:rPr>
              <w:t>i</w:t>
            </w:r>
            <w:proofErr w:type="spellEnd"/>
            <w:r w:rsidRPr="000E50AE">
              <w:rPr>
                <w:rFonts w:ascii="Cambria" w:eastAsia="Times New Roman" w:hAnsi="Cambria" w:cs="Calibri Light"/>
              </w:rPr>
              <w:t xml:space="preserve"> </w:t>
            </w:r>
            <w:proofErr w:type="spellStart"/>
            <w:r w:rsidRPr="000E50AE">
              <w:rPr>
                <w:rFonts w:ascii="Cambria" w:eastAsia="Times New Roman" w:hAnsi="Cambria" w:cs="Calibri Light"/>
              </w:rPr>
              <w:t>zdravstvene</w:t>
            </w:r>
            <w:proofErr w:type="spellEnd"/>
            <w:r w:rsidRPr="000E50AE">
              <w:rPr>
                <w:rFonts w:ascii="Cambria" w:eastAsia="Times New Roman" w:hAnsi="Cambria" w:cs="Calibri Light"/>
              </w:rPr>
              <w:t xml:space="preserve"> </w:t>
            </w:r>
            <w:proofErr w:type="spellStart"/>
            <w:r w:rsidRPr="000E50AE">
              <w:rPr>
                <w:rFonts w:ascii="Cambria" w:eastAsia="Times New Roman" w:hAnsi="Cambria" w:cs="Calibri Light"/>
              </w:rPr>
              <w:t>kulture</w:t>
            </w:r>
            <w:proofErr w:type="spellEnd"/>
            <w:r w:rsidRPr="000E50AE">
              <w:rPr>
                <w:rFonts w:ascii="Cambria" w:eastAsia="Times New Roman" w:hAnsi="Cambria" w:cs="Calibri Light"/>
              </w:rPr>
              <w:t xml:space="preserve"> u </w:t>
            </w:r>
            <w:proofErr w:type="spellStart"/>
            <w:r w:rsidRPr="000E50AE">
              <w:rPr>
                <w:rFonts w:ascii="Cambria" w:eastAsia="Times New Roman" w:hAnsi="Cambria" w:cs="Calibri Light"/>
              </w:rPr>
              <w:t>razrednoj</w:t>
            </w:r>
            <w:proofErr w:type="spellEnd"/>
            <w:r w:rsidRPr="000E50AE">
              <w:rPr>
                <w:rFonts w:ascii="Cambria" w:eastAsia="Times New Roman" w:hAnsi="Cambria" w:cs="Calibri Light"/>
              </w:rPr>
              <w:t xml:space="preserve"> </w:t>
            </w:r>
            <w:proofErr w:type="spellStart"/>
            <w:r w:rsidRPr="000E50AE">
              <w:rPr>
                <w:rFonts w:ascii="Cambria" w:eastAsia="Times New Roman" w:hAnsi="Cambria" w:cs="Calibri Light"/>
              </w:rPr>
              <w:t>nastavi</w:t>
            </w:r>
            <w:proofErr w:type="spellEnd"/>
          </w:p>
        </w:tc>
      </w:tr>
      <w:tr w:rsidR="00727BE6" w:rsidRPr="00D0399C" w14:paraId="183C0EF7" w14:textId="77777777" w:rsidTr="00450B7A">
        <w:trPr>
          <w:trHeight w:val="151"/>
        </w:trPr>
        <w:tc>
          <w:tcPr>
            <w:tcW w:w="263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A289A0F" w14:textId="77777777" w:rsidR="00727BE6" w:rsidRPr="000E50AE" w:rsidRDefault="00727BE6" w:rsidP="00450B7A">
            <w:pPr>
              <w:spacing w:after="0" w:line="240" w:lineRule="auto"/>
              <w:jc w:val="both"/>
              <w:rPr>
                <w:rFonts w:ascii="Cambria" w:eastAsia="Times New Roman" w:hAnsi="Cambria" w:cs="Calibri"/>
              </w:rPr>
            </w:pPr>
            <w:proofErr w:type="spellStart"/>
            <w:r w:rsidRPr="000E50AE">
              <w:rPr>
                <w:rFonts w:ascii="Cambria" w:eastAsia="Times New Roman" w:hAnsi="Cambria" w:cs="Calibri"/>
              </w:rPr>
              <w:t>Ishodi</w:t>
            </w:r>
            <w:proofErr w:type="spellEnd"/>
            <w:r w:rsidRPr="000E50AE">
              <w:rPr>
                <w:rFonts w:ascii="Cambria" w:eastAsia="Times New Roman" w:hAnsi="Cambria" w:cs="Calibri"/>
              </w:rPr>
              <w:t xml:space="preserve"> </w:t>
            </w:r>
            <w:proofErr w:type="spellStart"/>
            <w:r w:rsidRPr="000E50AE">
              <w:rPr>
                <w:rFonts w:ascii="Cambria" w:eastAsia="Times New Roman" w:hAnsi="Cambria" w:cs="Calibri"/>
              </w:rPr>
              <w:t>učenja</w:t>
            </w:r>
            <w:proofErr w:type="spellEnd"/>
          </w:p>
        </w:tc>
        <w:tc>
          <w:tcPr>
            <w:tcW w:w="6742"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2AB2345" w14:textId="77777777" w:rsidR="00727BE6" w:rsidRPr="000E50AE" w:rsidRDefault="00727BE6" w:rsidP="00450B7A">
            <w:pPr>
              <w:tabs>
                <w:tab w:val="left" w:pos="490"/>
              </w:tabs>
              <w:spacing w:after="0" w:line="240" w:lineRule="auto"/>
              <w:jc w:val="both"/>
              <w:rPr>
                <w:rFonts w:ascii="Cambria" w:eastAsia="Times New Roman" w:hAnsi="Cambria" w:cs="Calibri"/>
              </w:rPr>
            </w:pPr>
            <w:r w:rsidRPr="000E50AE">
              <w:rPr>
                <w:rFonts w:ascii="Cambria" w:eastAsia="Times New Roman" w:hAnsi="Cambria" w:cs="Calibri"/>
              </w:rPr>
              <w:t xml:space="preserve">1. </w:t>
            </w:r>
            <w:proofErr w:type="spellStart"/>
            <w:r w:rsidRPr="000E50AE">
              <w:rPr>
                <w:rFonts w:ascii="Cambria" w:eastAsia="Times New Roman" w:hAnsi="Cambria" w:cs="Calibri"/>
              </w:rPr>
              <w:t>interpretirati</w:t>
            </w:r>
            <w:proofErr w:type="spellEnd"/>
            <w:r w:rsidRPr="000E50AE">
              <w:rPr>
                <w:rFonts w:ascii="Cambria" w:eastAsia="Times New Roman" w:hAnsi="Cambria" w:cs="Calibri"/>
              </w:rPr>
              <w:t xml:space="preserve"> </w:t>
            </w:r>
            <w:proofErr w:type="spellStart"/>
            <w:r w:rsidRPr="000E50AE">
              <w:rPr>
                <w:rFonts w:ascii="Cambria" w:eastAsia="Times New Roman" w:hAnsi="Cambria" w:cs="Calibri"/>
              </w:rPr>
              <w:t>kritički</w:t>
            </w:r>
            <w:proofErr w:type="spellEnd"/>
            <w:r w:rsidRPr="000E50AE">
              <w:rPr>
                <w:rFonts w:ascii="Cambria" w:eastAsia="Times New Roman" w:hAnsi="Cambria" w:cs="Calibri"/>
              </w:rPr>
              <w:t xml:space="preserve"> </w:t>
            </w:r>
            <w:proofErr w:type="spellStart"/>
            <w:r w:rsidRPr="000E50AE">
              <w:rPr>
                <w:rFonts w:ascii="Cambria" w:eastAsia="Times New Roman" w:hAnsi="Cambria" w:cs="Calibri"/>
              </w:rPr>
              <w:t>i</w:t>
            </w:r>
            <w:proofErr w:type="spellEnd"/>
            <w:r w:rsidRPr="000E50AE">
              <w:rPr>
                <w:rFonts w:ascii="Cambria" w:eastAsia="Times New Roman" w:hAnsi="Cambria" w:cs="Calibri"/>
              </w:rPr>
              <w:t xml:space="preserve"> </w:t>
            </w:r>
            <w:proofErr w:type="spellStart"/>
            <w:r w:rsidRPr="000E50AE">
              <w:rPr>
                <w:rFonts w:ascii="Cambria" w:eastAsia="Times New Roman" w:hAnsi="Cambria" w:cs="Calibri"/>
              </w:rPr>
              <w:t>stvaralački</w:t>
            </w:r>
            <w:proofErr w:type="spellEnd"/>
            <w:r w:rsidRPr="000E50AE">
              <w:rPr>
                <w:rFonts w:ascii="Cambria" w:eastAsia="Times New Roman" w:hAnsi="Cambria" w:cs="Calibri"/>
              </w:rPr>
              <w:t xml:space="preserve"> </w:t>
            </w:r>
            <w:proofErr w:type="spellStart"/>
            <w:r w:rsidRPr="000E50AE">
              <w:rPr>
                <w:rFonts w:ascii="Cambria" w:eastAsia="Times New Roman" w:hAnsi="Cambria" w:cs="Calibri"/>
              </w:rPr>
              <w:t>odnos</w:t>
            </w:r>
            <w:proofErr w:type="spellEnd"/>
            <w:r w:rsidRPr="000E50AE">
              <w:rPr>
                <w:rFonts w:ascii="Cambria" w:eastAsia="Times New Roman" w:hAnsi="Cambria" w:cs="Calibri"/>
              </w:rPr>
              <w:t xml:space="preserve"> </w:t>
            </w:r>
            <w:proofErr w:type="spellStart"/>
            <w:r w:rsidRPr="000E50AE">
              <w:rPr>
                <w:rFonts w:ascii="Cambria" w:eastAsia="Times New Roman" w:hAnsi="Cambria" w:cs="Calibri"/>
              </w:rPr>
              <w:t>prema</w:t>
            </w:r>
            <w:proofErr w:type="spellEnd"/>
            <w:r w:rsidRPr="000E50AE">
              <w:rPr>
                <w:rFonts w:ascii="Cambria" w:eastAsia="Times New Roman" w:hAnsi="Cambria" w:cs="Calibri"/>
              </w:rPr>
              <w:t xml:space="preserve"> </w:t>
            </w:r>
            <w:proofErr w:type="spellStart"/>
            <w:r w:rsidRPr="000E50AE">
              <w:rPr>
                <w:rFonts w:ascii="Cambria" w:eastAsia="Times New Roman" w:hAnsi="Cambria" w:cs="Calibri"/>
              </w:rPr>
              <w:t>kineziologijskoj</w:t>
            </w:r>
            <w:proofErr w:type="spellEnd"/>
            <w:r w:rsidRPr="000E50AE">
              <w:rPr>
                <w:rFonts w:ascii="Cambria" w:eastAsia="Times New Roman" w:hAnsi="Cambria" w:cs="Calibri"/>
              </w:rPr>
              <w:t xml:space="preserve"> </w:t>
            </w:r>
            <w:proofErr w:type="spellStart"/>
            <w:r w:rsidRPr="000E50AE">
              <w:rPr>
                <w:rFonts w:ascii="Cambria" w:eastAsia="Times New Roman" w:hAnsi="Cambria" w:cs="Calibri"/>
              </w:rPr>
              <w:t>znanosti</w:t>
            </w:r>
            <w:proofErr w:type="spellEnd"/>
            <w:r w:rsidRPr="000E50AE">
              <w:rPr>
                <w:rFonts w:ascii="Cambria" w:eastAsia="Times New Roman" w:hAnsi="Cambria" w:cs="Calibri"/>
              </w:rPr>
              <w:t xml:space="preserve"> </w:t>
            </w:r>
            <w:proofErr w:type="spellStart"/>
            <w:r w:rsidRPr="000E50AE">
              <w:rPr>
                <w:rFonts w:ascii="Cambria" w:eastAsia="Times New Roman" w:hAnsi="Cambria" w:cs="Calibri"/>
              </w:rPr>
              <w:t>i</w:t>
            </w:r>
            <w:proofErr w:type="spellEnd"/>
            <w:r w:rsidRPr="000E50AE">
              <w:rPr>
                <w:rFonts w:ascii="Cambria" w:eastAsia="Times New Roman" w:hAnsi="Cambria" w:cs="Calibri"/>
              </w:rPr>
              <w:t xml:space="preserve"> </w:t>
            </w:r>
            <w:proofErr w:type="spellStart"/>
            <w:r w:rsidRPr="000E50AE">
              <w:rPr>
                <w:rFonts w:ascii="Cambria" w:eastAsia="Times New Roman" w:hAnsi="Cambria" w:cs="Calibri"/>
              </w:rPr>
              <w:t>tjelesnom</w:t>
            </w:r>
            <w:proofErr w:type="spellEnd"/>
            <w:r w:rsidRPr="000E50AE">
              <w:rPr>
                <w:rFonts w:ascii="Cambria" w:eastAsia="Times New Roman" w:hAnsi="Cambria" w:cs="Calibri"/>
              </w:rPr>
              <w:t xml:space="preserve"> </w:t>
            </w:r>
            <w:proofErr w:type="spellStart"/>
            <w:r w:rsidRPr="000E50AE">
              <w:rPr>
                <w:rFonts w:ascii="Cambria" w:eastAsia="Times New Roman" w:hAnsi="Cambria" w:cs="Calibri"/>
              </w:rPr>
              <w:t>i</w:t>
            </w:r>
            <w:proofErr w:type="spellEnd"/>
            <w:r w:rsidRPr="000E50AE">
              <w:rPr>
                <w:rFonts w:ascii="Cambria" w:eastAsia="Times New Roman" w:hAnsi="Cambria" w:cs="Calibri"/>
              </w:rPr>
              <w:t xml:space="preserve"> </w:t>
            </w:r>
            <w:proofErr w:type="spellStart"/>
            <w:r w:rsidRPr="000E50AE">
              <w:rPr>
                <w:rFonts w:ascii="Cambria" w:eastAsia="Times New Roman" w:hAnsi="Cambria" w:cs="Calibri"/>
              </w:rPr>
              <w:t>zdravstvenom</w:t>
            </w:r>
            <w:proofErr w:type="spellEnd"/>
            <w:r w:rsidRPr="000E50AE">
              <w:rPr>
                <w:rFonts w:ascii="Cambria" w:eastAsia="Times New Roman" w:hAnsi="Cambria" w:cs="Calibri"/>
              </w:rPr>
              <w:t xml:space="preserve"> </w:t>
            </w:r>
            <w:proofErr w:type="spellStart"/>
            <w:r w:rsidRPr="000E50AE">
              <w:rPr>
                <w:rFonts w:ascii="Cambria" w:eastAsia="Times New Roman" w:hAnsi="Cambria" w:cs="Calibri"/>
              </w:rPr>
              <w:t>odgojno</w:t>
            </w:r>
            <w:proofErr w:type="spellEnd"/>
            <w:r w:rsidRPr="000E50AE">
              <w:rPr>
                <w:rFonts w:ascii="Cambria" w:eastAsia="Times New Roman" w:hAnsi="Cambria" w:cs="Calibri"/>
              </w:rPr>
              <w:t xml:space="preserve"> </w:t>
            </w:r>
            <w:proofErr w:type="spellStart"/>
            <w:r w:rsidRPr="000E50AE">
              <w:rPr>
                <w:rFonts w:ascii="Cambria" w:eastAsia="Times New Roman" w:hAnsi="Cambria" w:cs="Calibri"/>
              </w:rPr>
              <w:t>obrazovnom</w:t>
            </w:r>
            <w:r w:rsidRPr="000E50AE">
              <w:rPr>
                <w:rFonts w:ascii="Cambria" w:eastAsia="Times New Roman" w:hAnsi="Cambria" w:cs="Times New Roman"/>
                <w:lang w:eastAsia="hr-HR"/>
              </w:rPr>
              <w:t>-</w:t>
            </w:r>
            <w:r w:rsidRPr="000E50AE">
              <w:rPr>
                <w:rFonts w:ascii="Cambria" w:eastAsia="Times New Roman" w:hAnsi="Cambria" w:cs="Calibri"/>
              </w:rPr>
              <w:t>području</w:t>
            </w:r>
            <w:proofErr w:type="spellEnd"/>
          </w:p>
          <w:p w14:paraId="7A74C9C8" w14:textId="77777777" w:rsidR="00727BE6" w:rsidRPr="000E50AE" w:rsidRDefault="00727BE6" w:rsidP="00450B7A">
            <w:pPr>
              <w:tabs>
                <w:tab w:val="left" w:pos="490"/>
              </w:tabs>
              <w:spacing w:after="0" w:line="240" w:lineRule="auto"/>
              <w:jc w:val="both"/>
              <w:rPr>
                <w:rFonts w:ascii="Cambria" w:eastAsia="Times New Roman" w:hAnsi="Cambria" w:cs="Calibri"/>
                <w:lang w:val="it-IT"/>
              </w:rPr>
            </w:pPr>
            <w:r w:rsidRPr="000E50AE">
              <w:rPr>
                <w:rFonts w:ascii="Cambria" w:eastAsia="Times New Roman" w:hAnsi="Cambria" w:cs="Calibri"/>
                <w:lang w:val="it-IT"/>
              </w:rPr>
              <w:t xml:space="preserve">2. </w:t>
            </w:r>
            <w:proofErr w:type="spellStart"/>
            <w:r w:rsidRPr="000E50AE">
              <w:rPr>
                <w:rFonts w:ascii="Cambria" w:eastAsia="Times New Roman" w:hAnsi="Cambria" w:cs="Calibri"/>
                <w:lang w:val="it-IT"/>
              </w:rPr>
              <w:t>interpretirati</w:t>
            </w:r>
            <w:proofErr w:type="spellEnd"/>
            <w:r w:rsidRPr="000E50AE">
              <w:rPr>
                <w:rFonts w:ascii="Cambria" w:eastAsia="Times New Roman" w:hAnsi="Cambria" w:cs="Calibri"/>
                <w:lang w:val="it-IT"/>
              </w:rPr>
              <w:t xml:space="preserve"> </w:t>
            </w:r>
            <w:proofErr w:type="spellStart"/>
            <w:r w:rsidRPr="000E50AE">
              <w:rPr>
                <w:rFonts w:ascii="Cambria" w:eastAsia="Times New Roman" w:hAnsi="Cambria" w:cs="Calibri"/>
                <w:lang w:val="it-IT"/>
              </w:rPr>
              <w:t>osnovne</w:t>
            </w:r>
            <w:proofErr w:type="spellEnd"/>
            <w:r w:rsidRPr="000E50AE">
              <w:rPr>
                <w:rFonts w:ascii="Cambria" w:eastAsia="Times New Roman" w:hAnsi="Cambria" w:cs="Calibri"/>
                <w:lang w:val="it-IT"/>
              </w:rPr>
              <w:t xml:space="preserve"> </w:t>
            </w:r>
            <w:proofErr w:type="spellStart"/>
            <w:r w:rsidRPr="000E50AE">
              <w:rPr>
                <w:rFonts w:ascii="Cambria" w:eastAsia="Times New Roman" w:hAnsi="Cambria" w:cs="Calibri"/>
                <w:lang w:val="it-IT"/>
              </w:rPr>
              <w:t>pojmove</w:t>
            </w:r>
            <w:proofErr w:type="spellEnd"/>
            <w:r w:rsidRPr="000E50AE">
              <w:rPr>
                <w:rFonts w:ascii="Cambria" w:eastAsia="Times New Roman" w:hAnsi="Cambria" w:cs="Calibri"/>
                <w:lang w:val="it-IT"/>
              </w:rPr>
              <w:t xml:space="preserve"> i </w:t>
            </w:r>
            <w:proofErr w:type="spellStart"/>
            <w:r w:rsidRPr="000E50AE">
              <w:rPr>
                <w:rFonts w:ascii="Cambria" w:eastAsia="Times New Roman" w:hAnsi="Cambria" w:cs="Calibri"/>
                <w:lang w:val="it-IT"/>
              </w:rPr>
              <w:t>stručne</w:t>
            </w:r>
            <w:proofErr w:type="spellEnd"/>
            <w:r w:rsidRPr="000E50AE">
              <w:rPr>
                <w:rFonts w:ascii="Cambria" w:eastAsia="Times New Roman" w:hAnsi="Cambria" w:cs="Calibri"/>
                <w:lang w:val="it-IT"/>
              </w:rPr>
              <w:t xml:space="preserve"> termine </w:t>
            </w:r>
            <w:proofErr w:type="spellStart"/>
            <w:r w:rsidRPr="000E50AE">
              <w:rPr>
                <w:rFonts w:ascii="Cambria" w:eastAsia="Times New Roman" w:hAnsi="Cambria" w:cs="Calibri"/>
                <w:lang w:val="it-IT"/>
              </w:rPr>
              <w:t>iz</w:t>
            </w:r>
            <w:proofErr w:type="spellEnd"/>
            <w:r w:rsidRPr="000E50AE">
              <w:rPr>
                <w:rFonts w:ascii="Cambria" w:eastAsia="Times New Roman" w:hAnsi="Cambria" w:cs="Calibri"/>
                <w:lang w:val="it-IT"/>
              </w:rPr>
              <w:t xml:space="preserve"> </w:t>
            </w:r>
            <w:proofErr w:type="spellStart"/>
            <w:r w:rsidRPr="000E50AE">
              <w:rPr>
                <w:rFonts w:ascii="Cambria" w:eastAsia="Times New Roman" w:hAnsi="Cambria" w:cs="Calibri"/>
                <w:lang w:val="it-IT"/>
              </w:rPr>
              <w:t>kineziološke</w:t>
            </w:r>
            <w:proofErr w:type="spellEnd"/>
            <w:r w:rsidRPr="000E50AE">
              <w:rPr>
                <w:rFonts w:ascii="Cambria" w:eastAsia="Times New Roman" w:hAnsi="Cambria" w:cs="Calibri"/>
                <w:lang w:val="it-IT"/>
              </w:rPr>
              <w:t xml:space="preserve"> </w:t>
            </w:r>
            <w:proofErr w:type="spellStart"/>
            <w:r w:rsidRPr="000E50AE">
              <w:rPr>
                <w:rFonts w:ascii="Cambria" w:eastAsia="Times New Roman" w:hAnsi="Cambria" w:cs="Calibri"/>
                <w:lang w:val="it-IT"/>
              </w:rPr>
              <w:t>metodike</w:t>
            </w:r>
            <w:proofErr w:type="spellEnd"/>
          </w:p>
          <w:p w14:paraId="6D6DF4F1" w14:textId="77777777" w:rsidR="00727BE6" w:rsidRPr="000E50AE" w:rsidRDefault="00727BE6" w:rsidP="00450B7A">
            <w:pPr>
              <w:tabs>
                <w:tab w:val="left" w:pos="490"/>
              </w:tabs>
              <w:spacing w:after="0" w:line="240" w:lineRule="auto"/>
              <w:jc w:val="both"/>
              <w:rPr>
                <w:rFonts w:ascii="Cambria" w:eastAsia="Times New Roman" w:hAnsi="Cambria" w:cs="Calibri"/>
                <w:lang w:val="it-IT"/>
              </w:rPr>
            </w:pPr>
            <w:r w:rsidRPr="000E50AE">
              <w:rPr>
                <w:rFonts w:ascii="Cambria" w:eastAsia="Times New Roman" w:hAnsi="Cambria" w:cs="Calibri"/>
                <w:lang w:val="it-IT"/>
              </w:rPr>
              <w:t xml:space="preserve">3. </w:t>
            </w:r>
            <w:proofErr w:type="spellStart"/>
            <w:r w:rsidRPr="000E50AE">
              <w:rPr>
                <w:rFonts w:ascii="Cambria" w:eastAsia="Times New Roman" w:hAnsi="Cambria" w:cs="Calibri"/>
                <w:lang w:val="it-IT"/>
              </w:rPr>
              <w:t>analizirati</w:t>
            </w:r>
            <w:proofErr w:type="spellEnd"/>
            <w:r w:rsidRPr="000E50AE">
              <w:rPr>
                <w:rFonts w:ascii="Cambria" w:eastAsia="Times New Roman" w:hAnsi="Cambria" w:cs="Calibri"/>
                <w:lang w:val="it-IT"/>
              </w:rPr>
              <w:t xml:space="preserve"> </w:t>
            </w:r>
            <w:proofErr w:type="spellStart"/>
            <w:r w:rsidRPr="000E50AE">
              <w:rPr>
                <w:rFonts w:ascii="Cambria" w:eastAsia="Times New Roman" w:hAnsi="Cambria" w:cs="Calibri"/>
                <w:lang w:val="it-IT"/>
              </w:rPr>
              <w:t>mogućnosti</w:t>
            </w:r>
            <w:proofErr w:type="spellEnd"/>
            <w:r w:rsidRPr="000E50AE">
              <w:rPr>
                <w:rFonts w:ascii="Cambria" w:eastAsia="Times New Roman" w:hAnsi="Cambria" w:cs="Calibri"/>
                <w:lang w:val="it-IT"/>
              </w:rPr>
              <w:t xml:space="preserve"> </w:t>
            </w:r>
            <w:proofErr w:type="spellStart"/>
            <w:r w:rsidRPr="000E50AE">
              <w:rPr>
                <w:rFonts w:ascii="Cambria" w:eastAsia="Times New Roman" w:hAnsi="Cambria" w:cs="Calibri"/>
                <w:lang w:val="it-IT"/>
              </w:rPr>
              <w:t>primjene</w:t>
            </w:r>
            <w:proofErr w:type="spellEnd"/>
            <w:r w:rsidRPr="000E50AE">
              <w:rPr>
                <w:rFonts w:ascii="Cambria" w:eastAsia="Times New Roman" w:hAnsi="Cambria" w:cs="Calibri"/>
                <w:lang w:val="it-IT"/>
              </w:rPr>
              <w:t xml:space="preserve"> </w:t>
            </w:r>
            <w:proofErr w:type="spellStart"/>
            <w:r w:rsidRPr="000E50AE">
              <w:rPr>
                <w:rFonts w:ascii="Cambria" w:eastAsia="Times New Roman" w:hAnsi="Cambria" w:cs="Calibri"/>
                <w:lang w:val="it-IT"/>
              </w:rPr>
              <w:t>kinezioloških</w:t>
            </w:r>
            <w:proofErr w:type="spellEnd"/>
            <w:r w:rsidRPr="000E50AE">
              <w:rPr>
                <w:rFonts w:ascii="Cambria" w:eastAsia="Times New Roman" w:hAnsi="Cambria" w:cs="Calibri"/>
                <w:lang w:val="it-IT"/>
              </w:rPr>
              <w:t xml:space="preserve"> </w:t>
            </w:r>
            <w:proofErr w:type="spellStart"/>
            <w:r w:rsidRPr="000E50AE">
              <w:rPr>
                <w:rFonts w:ascii="Cambria" w:eastAsia="Times New Roman" w:hAnsi="Cambria" w:cs="Calibri"/>
                <w:lang w:val="it-IT"/>
              </w:rPr>
              <w:t>aktivnosti</w:t>
            </w:r>
            <w:proofErr w:type="spellEnd"/>
            <w:r w:rsidRPr="000E50AE">
              <w:rPr>
                <w:rFonts w:ascii="Cambria" w:eastAsia="Times New Roman" w:hAnsi="Cambria" w:cs="Calibri"/>
                <w:lang w:val="it-IT"/>
              </w:rPr>
              <w:t xml:space="preserve"> i </w:t>
            </w:r>
            <w:proofErr w:type="spellStart"/>
            <w:r w:rsidRPr="000E50AE">
              <w:rPr>
                <w:rFonts w:ascii="Cambria" w:eastAsia="Times New Roman" w:hAnsi="Cambria" w:cs="Calibri"/>
                <w:lang w:val="it-IT"/>
              </w:rPr>
              <w:t>drugih</w:t>
            </w:r>
            <w:proofErr w:type="spellEnd"/>
            <w:r w:rsidRPr="000E50AE">
              <w:rPr>
                <w:rFonts w:ascii="Cambria" w:eastAsia="Times New Roman" w:hAnsi="Cambria" w:cs="Calibri"/>
                <w:lang w:val="it-IT"/>
              </w:rPr>
              <w:t xml:space="preserve"> </w:t>
            </w:r>
            <w:proofErr w:type="spellStart"/>
            <w:r w:rsidRPr="000E50AE">
              <w:rPr>
                <w:rFonts w:ascii="Cambria" w:eastAsia="Times New Roman" w:hAnsi="Cambria" w:cs="Calibri"/>
                <w:lang w:val="it-IT"/>
              </w:rPr>
              <w:t>oblika</w:t>
            </w:r>
            <w:proofErr w:type="spellEnd"/>
            <w:r w:rsidRPr="000E50AE">
              <w:rPr>
                <w:rFonts w:ascii="Cambria" w:eastAsia="Times New Roman" w:hAnsi="Cambria" w:cs="Calibri"/>
                <w:lang w:val="it-IT"/>
              </w:rPr>
              <w:t xml:space="preserve"> </w:t>
            </w:r>
            <w:proofErr w:type="spellStart"/>
            <w:r w:rsidRPr="000E50AE">
              <w:rPr>
                <w:rFonts w:ascii="Cambria" w:eastAsia="Times New Roman" w:hAnsi="Cambria" w:cs="Calibri"/>
                <w:lang w:val="it-IT"/>
              </w:rPr>
              <w:t>odgojno-obrazovnog</w:t>
            </w:r>
            <w:proofErr w:type="spellEnd"/>
            <w:r w:rsidRPr="000E50AE">
              <w:rPr>
                <w:rFonts w:ascii="Cambria" w:eastAsia="Times New Roman" w:hAnsi="Cambria" w:cs="Calibri"/>
                <w:lang w:val="it-IT"/>
              </w:rPr>
              <w:t xml:space="preserve"> rada s </w:t>
            </w:r>
            <w:proofErr w:type="spellStart"/>
            <w:r w:rsidRPr="000E50AE">
              <w:rPr>
                <w:rFonts w:ascii="Cambria" w:eastAsia="Times New Roman" w:hAnsi="Cambria" w:cs="Calibri"/>
                <w:lang w:val="it-IT"/>
              </w:rPr>
              <w:t>djecom</w:t>
            </w:r>
            <w:proofErr w:type="spellEnd"/>
            <w:r w:rsidRPr="000E50AE">
              <w:rPr>
                <w:rFonts w:ascii="Cambria" w:eastAsia="Times New Roman" w:hAnsi="Cambria" w:cs="Calibri"/>
                <w:lang w:val="it-IT"/>
              </w:rPr>
              <w:t xml:space="preserve"> </w:t>
            </w:r>
            <w:proofErr w:type="spellStart"/>
            <w:r w:rsidRPr="000E50AE">
              <w:rPr>
                <w:rFonts w:ascii="Cambria" w:eastAsia="Times New Roman" w:hAnsi="Cambria" w:cs="Calibri"/>
                <w:lang w:val="it-IT"/>
              </w:rPr>
              <w:t>školske</w:t>
            </w:r>
            <w:proofErr w:type="spellEnd"/>
            <w:r w:rsidRPr="000E50AE">
              <w:rPr>
                <w:rFonts w:ascii="Cambria" w:eastAsia="Times New Roman" w:hAnsi="Cambria" w:cs="Calibri"/>
                <w:lang w:val="it-IT"/>
              </w:rPr>
              <w:t xml:space="preserve"> </w:t>
            </w:r>
            <w:proofErr w:type="spellStart"/>
            <w:r w:rsidRPr="000E50AE">
              <w:rPr>
                <w:rFonts w:ascii="Cambria" w:eastAsia="Times New Roman" w:hAnsi="Cambria" w:cs="Calibri"/>
                <w:lang w:val="it-IT"/>
              </w:rPr>
              <w:t>dobi</w:t>
            </w:r>
            <w:proofErr w:type="spellEnd"/>
          </w:p>
          <w:p w14:paraId="2E5AB910" w14:textId="77777777" w:rsidR="00727BE6" w:rsidRPr="000E50AE" w:rsidRDefault="00727BE6" w:rsidP="00450B7A">
            <w:pPr>
              <w:tabs>
                <w:tab w:val="left" w:pos="490"/>
              </w:tabs>
              <w:spacing w:after="0" w:line="240" w:lineRule="auto"/>
              <w:jc w:val="both"/>
              <w:rPr>
                <w:rFonts w:ascii="Cambria" w:eastAsia="Times New Roman" w:hAnsi="Cambria" w:cs="Calibri"/>
                <w:lang w:val="it-IT"/>
              </w:rPr>
            </w:pPr>
            <w:r w:rsidRPr="000E50AE">
              <w:rPr>
                <w:rFonts w:ascii="Cambria" w:eastAsia="Times New Roman" w:hAnsi="Cambria" w:cs="Calibri"/>
                <w:lang w:val="it-IT"/>
              </w:rPr>
              <w:t xml:space="preserve">4. </w:t>
            </w:r>
            <w:proofErr w:type="spellStart"/>
            <w:r w:rsidRPr="000E50AE">
              <w:rPr>
                <w:rFonts w:ascii="Cambria" w:eastAsia="Times New Roman" w:hAnsi="Cambria" w:cs="Calibri"/>
                <w:lang w:val="it-IT"/>
              </w:rPr>
              <w:t>razlikovati</w:t>
            </w:r>
            <w:proofErr w:type="spellEnd"/>
            <w:r w:rsidRPr="000E50AE">
              <w:rPr>
                <w:rFonts w:ascii="Cambria" w:eastAsia="Times New Roman" w:hAnsi="Cambria" w:cs="Calibri"/>
                <w:lang w:val="it-IT"/>
              </w:rPr>
              <w:t xml:space="preserve"> </w:t>
            </w:r>
            <w:proofErr w:type="spellStart"/>
            <w:r w:rsidRPr="000E50AE">
              <w:rPr>
                <w:rFonts w:ascii="Cambria" w:eastAsia="Times New Roman" w:hAnsi="Cambria" w:cs="Calibri"/>
                <w:lang w:val="it-IT"/>
              </w:rPr>
              <w:t>obilježja</w:t>
            </w:r>
            <w:proofErr w:type="spellEnd"/>
            <w:r w:rsidRPr="000E50AE">
              <w:rPr>
                <w:rFonts w:ascii="Cambria" w:eastAsia="Times New Roman" w:hAnsi="Cambria" w:cs="Calibri"/>
                <w:lang w:val="it-IT"/>
              </w:rPr>
              <w:t xml:space="preserve"> rasta i </w:t>
            </w:r>
            <w:proofErr w:type="spellStart"/>
            <w:r w:rsidRPr="000E50AE">
              <w:rPr>
                <w:rFonts w:ascii="Cambria" w:eastAsia="Times New Roman" w:hAnsi="Cambria" w:cs="Calibri"/>
                <w:lang w:val="it-IT"/>
              </w:rPr>
              <w:t>razvoja</w:t>
            </w:r>
            <w:proofErr w:type="spellEnd"/>
            <w:r w:rsidRPr="000E50AE">
              <w:rPr>
                <w:rFonts w:ascii="Cambria" w:eastAsia="Times New Roman" w:hAnsi="Cambria" w:cs="Calibri"/>
                <w:lang w:val="it-IT"/>
              </w:rPr>
              <w:t xml:space="preserve"> </w:t>
            </w:r>
            <w:proofErr w:type="spellStart"/>
            <w:r w:rsidRPr="000E50AE">
              <w:rPr>
                <w:rFonts w:ascii="Cambria" w:eastAsia="Times New Roman" w:hAnsi="Cambria" w:cs="Calibri"/>
                <w:lang w:val="it-IT"/>
              </w:rPr>
              <w:t>djece</w:t>
            </w:r>
            <w:proofErr w:type="spellEnd"/>
            <w:r w:rsidRPr="000E50AE">
              <w:rPr>
                <w:rFonts w:ascii="Cambria" w:eastAsia="Times New Roman" w:hAnsi="Cambria" w:cs="Calibri"/>
                <w:lang w:val="it-IT"/>
              </w:rPr>
              <w:t xml:space="preserve"> </w:t>
            </w:r>
            <w:proofErr w:type="spellStart"/>
            <w:r w:rsidRPr="000E50AE">
              <w:rPr>
                <w:rFonts w:ascii="Cambria" w:eastAsia="Times New Roman" w:hAnsi="Cambria" w:cs="Calibri"/>
                <w:lang w:val="it-IT"/>
              </w:rPr>
              <w:t>školske</w:t>
            </w:r>
            <w:proofErr w:type="spellEnd"/>
            <w:r w:rsidRPr="000E50AE">
              <w:rPr>
                <w:rFonts w:ascii="Cambria" w:eastAsia="Times New Roman" w:hAnsi="Cambria" w:cs="Calibri"/>
                <w:lang w:val="it-IT"/>
              </w:rPr>
              <w:t xml:space="preserve"> </w:t>
            </w:r>
            <w:proofErr w:type="spellStart"/>
            <w:r w:rsidRPr="000E50AE">
              <w:rPr>
                <w:rFonts w:ascii="Cambria" w:eastAsia="Times New Roman" w:hAnsi="Cambria" w:cs="Calibri"/>
                <w:lang w:val="it-IT"/>
              </w:rPr>
              <w:t>dobi</w:t>
            </w:r>
            <w:proofErr w:type="spellEnd"/>
          </w:p>
          <w:p w14:paraId="697A69DC" w14:textId="77777777" w:rsidR="00727BE6" w:rsidRPr="000E50AE" w:rsidRDefault="00727BE6" w:rsidP="00450B7A">
            <w:pPr>
              <w:spacing w:after="0" w:line="240" w:lineRule="auto"/>
              <w:jc w:val="both"/>
              <w:rPr>
                <w:rFonts w:ascii="Cambria" w:eastAsia="Times New Roman" w:hAnsi="Cambria" w:cs="Calibri Light"/>
                <w:lang w:val="it-IT"/>
              </w:rPr>
            </w:pPr>
            <w:r w:rsidRPr="000E50AE">
              <w:rPr>
                <w:rFonts w:ascii="Cambria" w:eastAsia="Times New Roman" w:hAnsi="Cambria" w:cs="Calibri"/>
                <w:lang w:val="it-IT"/>
              </w:rPr>
              <w:t xml:space="preserve">5. </w:t>
            </w:r>
            <w:proofErr w:type="spellStart"/>
            <w:r w:rsidRPr="000E50AE">
              <w:rPr>
                <w:rFonts w:ascii="Cambria" w:eastAsia="Times New Roman" w:hAnsi="Cambria" w:cs="Calibri"/>
                <w:lang w:val="it-IT"/>
              </w:rPr>
              <w:t>interpretirati</w:t>
            </w:r>
            <w:proofErr w:type="spellEnd"/>
            <w:r w:rsidRPr="000E50AE">
              <w:rPr>
                <w:rFonts w:ascii="Cambria" w:eastAsia="Times New Roman" w:hAnsi="Cambria" w:cs="Calibri"/>
                <w:lang w:val="it-IT"/>
              </w:rPr>
              <w:t xml:space="preserve"> </w:t>
            </w:r>
            <w:proofErr w:type="spellStart"/>
            <w:r w:rsidRPr="000E50AE">
              <w:rPr>
                <w:rFonts w:ascii="Cambria" w:eastAsia="Times New Roman" w:hAnsi="Cambria" w:cs="Calibri"/>
                <w:lang w:val="it-IT"/>
              </w:rPr>
              <w:t>strukturu</w:t>
            </w:r>
            <w:proofErr w:type="spellEnd"/>
            <w:r w:rsidRPr="000E50AE">
              <w:rPr>
                <w:rFonts w:ascii="Cambria" w:eastAsia="Times New Roman" w:hAnsi="Cambria" w:cs="Calibri"/>
                <w:lang w:val="it-IT"/>
              </w:rPr>
              <w:t xml:space="preserve"> i </w:t>
            </w:r>
            <w:proofErr w:type="spellStart"/>
            <w:r w:rsidRPr="000E50AE">
              <w:rPr>
                <w:rFonts w:ascii="Cambria" w:eastAsia="Times New Roman" w:hAnsi="Cambria" w:cs="Calibri"/>
                <w:lang w:val="it-IT"/>
              </w:rPr>
              <w:t>trajanje</w:t>
            </w:r>
            <w:proofErr w:type="spellEnd"/>
            <w:r w:rsidRPr="000E50AE">
              <w:rPr>
                <w:rFonts w:ascii="Cambria" w:eastAsia="Times New Roman" w:hAnsi="Cambria" w:cs="Calibri"/>
                <w:lang w:val="it-IT"/>
              </w:rPr>
              <w:t xml:space="preserve"> </w:t>
            </w:r>
            <w:proofErr w:type="spellStart"/>
            <w:r w:rsidRPr="000E50AE">
              <w:rPr>
                <w:rFonts w:ascii="Cambria" w:eastAsia="Times New Roman" w:hAnsi="Cambria" w:cs="Calibri"/>
                <w:lang w:val="it-IT"/>
              </w:rPr>
              <w:t>sata</w:t>
            </w:r>
            <w:proofErr w:type="spellEnd"/>
            <w:r w:rsidRPr="000E50AE">
              <w:rPr>
                <w:rFonts w:ascii="Cambria" w:eastAsia="Times New Roman" w:hAnsi="Cambria" w:cs="Calibri"/>
                <w:lang w:val="it-IT"/>
              </w:rPr>
              <w:t xml:space="preserve"> </w:t>
            </w:r>
            <w:proofErr w:type="spellStart"/>
            <w:r w:rsidRPr="000E50AE">
              <w:rPr>
                <w:rFonts w:ascii="Cambria" w:eastAsia="Times New Roman" w:hAnsi="Cambria" w:cs="Calibri"/>
                <w:lang w:val="it-IT"/>
              </w:rPr>
              <w:t>tjelesne</w:t>
            </w:r>
            <w:proofErr w:type="spellEnd"/>
            <w:r w:rsidRPr="000E50AE">
              <w:rPr>
                <w:rFonts w:ascii="Cambria" w:eastAsia="Times New Roman" w:hAnsi="Cambria" w:cs="Calibri"/>
                <w:lang w:val="it-IT"/>
              </w:rPr>
              <w:t xml:space="preserve"> i </w:t>
            </w:r>
            <w:proofErr w:type="spellStart"/>
            <w:r w:rsidRPr="000E50AE">
              <w:rPr>
                <w:rFonts w:ascii="Cambria" w:eastAsia="Times New Roman" w:hAnsi="Cambria" w:cs="Calibri"/>
                <w:lang w:val="it-IT"/>
              </w:rPr>
              <w:t>zdravstvene</w:t>
            </w:r>
            <w:proofErr w:type="spellEnd"/>
            <w:r w:rsidRPr="000E50AE">
              <w:rPr>
                <w:rFonts w:ascii="Cambria" w:eastAsia="Times New Roman" w:hAnsi="Cambria" w:cs="Calibri"/>
                <w:lang w:val="it-IT"/>
              </w:rPr>
              <w:t xml:space="preserve"> </w:t>
            </w:r>
            <w:proofErr w:type="spellStart"/>
            <w:r w:rsidRPr="000E50AE">
              <w:rPr>
                <w:rFonts w:ascii="Cambria" w:eastAsia="Times New Roman" w:hAnsi="Cambria" w:cs="Calibri"/>
                <w:lang w:val="it-IT"/>
              </w:rPr>
              <w:t>kulture</w:t>
            </w:r>
            <w:proofErr w:type="spellEnd"/>
            <w:r w:rsidRPr="000E50AE">
              <w:rPr>
                <w:rFonts w:ascii="Cambria" w:eastAsia="Times New Roman" w:hAnsi="Cambria" w:cs="Calibri"/>
                <w:lang w:val="it-IT"/>
              </w:rPr>
              <w:t>.</w:t>
            </w:r>
          </w:p>
        </w:tc>
      </w:tr>
      <w:tr w:rsidR="00727BE6" w:rsidRPr="000E50AE" w14:paraId="1707E6CE" w14:textId="77777777" w:rsidTr="00450B7A">
        <w:trPr>
          <w:trHeight w:val="151"/>
        </w:trPr>
        <w:tc>
          <w:tcPr>
            <w:tcW w:w="2632"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5316DEBD" w14:textId="77777777" w:rsidR="00727BE6" w:rsidRPr="000E50AE" w:rsidRDefault="00727BE6" w:rsidP="00450B7A">
            <w:pPr>
              <w:spacing w:after="0" w:line="240" w:lineRule="auto"/>
              <w:jc w:val="both"/>
              <w:rPr>
                <w:rFonts w:ascii="Cambria" w:eastAsia="Times New Roman" w:hAnsi="Cambria" w:cs="Calibri"/>
              </w:rPr>
            </w:pPr>
            <w:proofErr w:type="spellStart"/>
            <w:r w:rsidRPr="000E50AE">
              <w:rPr>
                <w:rFonts w:ascii="Cambria" w:eastAsia="Times New Roman" w:hAnsi="Cambria" w:cs="Calibri"/>
              </w:rPr>
              <w:t>Sadržaj</w:t>
            </w:r>
            <w:proofErr w:type="spellEnd"/>
            <w:r w:rsidRPr="000E50AE">
              <w:rPr>
                <w:rFonts w:ascii="Cambria" w:eastAsia="Times New Roman" w:hAnsi="Cambria" w:cs="Calibri"/>
              </w:rPr>
              <w:t xml:space="preserve"> </w:t>
            </w:r>
            <w:proofErr w:type="spellStart"/>
            <w:r w:rsidRPr="000E50AE">
              <w:rPr>
                <w:rFonts w:ascii="Cambria" w:eastAsia="Times New Roman" w:hAnsi="Cambria" w:cs="Calibri"/>
              </w:rPr>
              <w:t>kolegija</w:t>
            </w:r>
            <w:proofErr w:type="spellEnd"/>
          </w:p>
        </w:tc>
        <w:tc>
          <w:tcPr>
            <w:tcW w:w="6742"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F6BDDAA" w14:textId="77777777" w:rsidR="00727BE6" w:rsidRPr="000E50AE" w:rsidRDefault="00727BE6" w:rsidP="00450B7A">
            <w:pPr>
              <w:spacing w:after="0" w:line="240" w:lineRule="auto"/>
              <w:jc w:val="both"/>
              <w:rPr>
                <w:rFonts w:ascii="Cambria" w:eastAsia="Times New Roman" w:hAnsi="Cambria" w:cs="Calibri"/>
              </w:rPr>
            </w:pPr>
            <w:r w:rsidRPr="000E50AE">
              <w:rPr>
                <w:rFonts w:ascii="Cambria" w:eastAsia="Times New Roman" w:hAnsi="Cambria" w:cs="Calibri"/>
              </w:rPr>
              <w:t xml:space="preserve">1. </w:t>
            </w:r>
            <w:proofErr w:type="spellStart"/>
            <w:r w:rsidRPr="000E50AE">
              <w:rPr>
                <w:rFonts w:ascii="Cambria" w:eastAsia="Times New Roman" w:hAnsi="Cambria" w:cs="Calibri"/>
              </w:rPr>
              <w:t>Uvod</w:t>
            </w:r>
            <w:proofErr w:type="spellEnd"/>
            <w:r w:rsidRPr="000E50AE">
              <w:rPr>
                <w:rFonts w:ascii="Cambria" w:eastAsia="Times New Roman" w:hAnsi="Cambria" w:cs="Calibri"/>
              </w:rPr>
              <w:t xml:space="preserve"> u </w:t>
            </w:r>
            <w:proofErr w:type="spellStart"/>
            <w:r w:rsidRPr="000E50AE">
              <w:rPr>
                <w:rFonts w:ascii="Cambria" w:eastAsia="Times New Roman" w:hAnsi="Cambria" w:cs="Calibri"/>
              </w:rPr>
              <w:t>kineziološku</w:t>
            </w:r>
            <w:proofErr w:type="spellEnd"/>
            <w:r w:rsidRPr="000E50AE">
              <w:rPr>
                <w:rFonts w:ascii="Cambria" w:eastAsia="Times New Roman" w:hAnsi="Cambria" w:cs="Calibri"/>
              </w:rPr>
              <w:t xml:space="preserve"> </w:t>
            </w:r>
            <w:proofErr w:type="spellStart"/>
            <w:r w:rsidRPr="000E50AE">
              <w:rPr>
                <w:rFonts w:ascii="Cambria" w:eastAsia="Times New Roman" w:hAnsi="Cambria" w:cs="Calibri"/>
              </w:rPr>
              <w:t>metodiku</w:t>
            </w:r>
            <w:proofErr w:type="spellEnd"/>
          </w:p>
          <w:p w14:paraId="582396E7" w14:textId="77777777" w:rsidR="00727BE6" w:rsidRPr="000E50AE" w:rsidRDefault="00727BE6" w:rsidP="00450B7A">
            <w:pPr>
              <w:spacing w:after="0" w:line="240" w:lineRule="auto"/>
              <w:jc w:val="both"/>
              <w:rPr>
                <w:rFonts w:ascii="Cambria" w:eastAsia="Times New Roman" w:hAnsi="Cambria" w:cs="Calibri"/>
              </w:rPr>
            </w:pPr>
            <w:r w:rsidRPr="000E50AE">
              <w:rPr>
                <w:rFonts w:ascii="Cambria" w:eastAsia="Times New Roman" w:hAnsi="Cambria" w:cs="Calibri"/>
              </w:rPr>
              <w:t xml:space="preserve">2. </w:t>
            </w:r>
            <w:proofErr w:type="spellStart"/>
            <w:r w:rsidRPr="000E50AE">
              <w:rPr>
                <w:rFonts w:ascii="Cambria" w:eastAsia="Times New Roman" w:hAnsi="Cambria" w:cs="Calibri"/>
              </w:rPr>
              <w:t>Antropološka</w:t>
            </w:r>
            <w:proofErr w:type="spellEnd"/>
            <w:r w:rsidRPr="000E50AE">
              <w:rPr>
                <w:rFonts w:ascii="Cambria" w:eastAsia="Times New Roman" w:hAnsi="Cambria" w:cs="Calibri"/>
              </w:rPr>
              <w:t xml:space="preserve"> </w:t>
            </w:r>
            <w:proofErr w:type="spellStart"/>
            <w:r w:rsidRPr="000E50AE">
              <w:rPr>
                <w:rFonts w:ascii="Cambria" w:eastAsia="Times New Roman" w:hAnsi="Cambria" w:cs="Calibri"/>
              </w:rPr>
              <w:t>obilježja</w:t>
            </w:r>
            <w:proofErr w:type="spellEnd"/>
            <w:r w:rsidRPr="000E50AE">
              <w:rPr>
                <w:rFonts w:ascii="Cambria" w:eastAsia="Times New Roman" w:hAnsi="Cambria" w:cs="Calibri"/>
              </w:rPr>
              <w:t xml:space="preserve"> </w:t>
            </w:r>
            <w:proofErr w:type="spellStart"/>
            <w:r w:rsidRPr="000E50AE">
              <w:rPr>
                <w:rFonts w:ascii="Cambria" w:eastAsia="Times New Roman" w:hAnsi="Cambria" w:cs="Calibri"/>
              </w:rPr>
              <w:t>djece</w:t>
            </w:r>
            <w:proofErr w:type="spellEnd"/>
          </w:p>
          <w:p w14:paraId="6860F515" w14:textId="77777777" w:rsidR="00727BE6" w:rsidRPr="000E50AE" w:rsidRDefault="00727BE6" w:rsidP="00450B7A">
            <w:pPr>
              <w:spacing w:after="0" w:line="240" w:lineRule="auto"/>
              <w:jc w:val="both"/>
              <w:rPr>
                <w:rFonts w:ascii="Cambria" w:eastAsia="Times New Roman" w:hAnsi="Cambria" w:cs="Calibri"/>
              </w:rPr>
            </w:pPr>
            <w:r w:rsidRPr="000E50AE">
              <w:rPr>
                <w:rFonts w:ascii="Cambria" w:eastAsia="Times New Roman" w:hAnsi="Cambria" w:cs="Calibri"/>
              </w:rPr>
              <w:t xml:space="preserve">3. </w:t>
            </w:r>
            <w:proofErr w:type="spellStart"/>
            <w:r w:rsidRPr="000E50AE">
              <w:rPr>
                <w:rFonts w:ascii="Cambria" w:eastAsia="Times New Roman" w:hAnsi="Cambria" w:cs="Calibri"/>
              </w:rPr>
              <w:t>Sustav</w:t>
            </w:r>
            <w:proofErr w:type="spellEnd"/>
            <w:r w:rsidRPr="000E50AE">
              <w:rPr>
                <w:rFonts w:ascii="Cambria" w:eastAsia="Times New Roman" w:hAnsi="Cambria" w:cs="Calibri"/>
              </w:rPr>
              <w:t xml:space="preserve"> </w:t>
            </w:r>
            <w:proofErr w:type="spellStart"/>
            <w:r w:rsidRPr="000E50AE">
              <w:rPr>
                <w:rFonts w:ascii="Cambria" w:eastAsia="Times New Roman" w:hAnsi="Cambria" w:cs="Calibri"/>
              </w:rPr>
              <w:t>odgoja</w:t>
            </w:r>
            <w:proofErr w:type="spellEnd"/>
            <w:r w:rsidRPr="000E50AE">
              <w:rPr>
                <w:rFonts w:ascii="Cambria" w:eastAsia="Times New Roman" w:hAnsi="Cambria" w:cs="Calibri"/>
              </w:rPr>
              <w:t xml:space="preserve"> </w:t>
            </w:r>
            <w:proofErr w:type="spellStart"/>
            <w:r w:rsidRPr="000E50AE">
              <w:rPr>
                <w:rFonts w:ascii="Cambria" w:eastAsia="Times New Roman" w:hAnsi="Cambria" w:cs="Calibri"/>
              </w:rPr>
              <w:t>i</w:t>
            </w:r>
            <w:proofErr w:type="spellEnd"/>
            <w:r w:rsidRPr="000E50AE">
              <w:rPr>
                <w:rFonts w:ascii="Cambria" w:eastAsia="Times New Roman" w:hAnsi="Cambria" w:cs="Calibri"/>
              </w:rPr>
              <w:t xml:space="preserve"> </w:t>
            </w:r>
            <w:proofErr w:type="spellStart"/>
            <w:r w:rsidRPr="000E50AE">
              <w:rPr>
                <w:rFonts w:ascii="Cambria" w:eastAsia="Times New Roman" w:hAnsi="Cambria" w:cs="Calibri"/>
              </w:rPr>
              <w:t>obrazovanja</w:t>
            </w:r>
            <w:proofErr w:type="spellEnd"/>
            <w:r w:rsidRPr="000E50AE">
              <w:rPr>
                <w:rFonts w:ascii="Cambria" w:eastAsia="Times New Roman" w:hAnsi="Cambria" w:cs="Calibri"/>
              </w:rPr>
              <w:t xml:space="preserve">: </w:t>
            </w:r>
            <w:proofErr w:type="spellStart"/>
            <w:r w:rsidRPr="000E50AE">
              <w:rPr>
                <w:rFonts w:ascii="Cambria" w:eastAsia="Times New Roman" w:hAnsi="Cambria" w:cs="Calibri"/>
              </w:rPr>
              <w:t>tjelesno</w:t>
            </w:r>
            <w:proofErr w:type="spellEnd"/>
            <w:r w:rsidRPr="000E50AE">
              <w:rPr>
                <w:rFonts w:ascii="Cambria" w:eastAsia="Times New Roman" w:hAnsi="Cambria" w:cs="Calibri"/>
              </w:rPr>
              <w:t xml:space="preserve"> </w:t>
            </w:r>
            <w:proofErr w:type="spellStart"/>
            <w:r w:rsidRPr="000E50AE">
              <w:rPr>
                <w:rFonts w:ascii="Cambria" w:eastAsia="Times New Roman" w:hAnsi="Cambria" w:cs="Calibri"/>
              </w:rPr>
              <w:t>i</w:t>
            </w:r>
            <w:proofErr w:type="spellEnd"/>
            <w:r w:rsidRPr="000E50AE">
              <w:rPr>
                <w:rFonts w:ascii="Cambria" w:eastAsia="Times New Roman" w:hAnsi="Cambria" w:cs="Calibri"/>
              </w:rPr>
              <w:t xml:space="preserve"> </w:t>
            </w:r>
            <w:proofErr w:type="spellStart"/>
            <w:r w:rsidRPr="000E50AE">
              <w:rPr>
                <w:rFonts w:ascii="Cambria" w:eastAsia="Times New Roman" w:hAnsi="Cambria" w:cs="Calibri"/>
              </w:rPr>
              <w:t>zdravstveno</w:t>
            </w:r>
            <w:proofErr w:type="spellEnd"/>
            <w:r w:rsidRPr="000E50AE">
              <w:rPr>
                <w:rFonts w:ascii="Cambria" w:eastAsia="Times New Roman" w:hAnsi="Cambria" w:cs="Calibri"/>
              </w:rPr>
              <w:t xml:space="preserve"> </w:t>
            </w:r>
            <w:proofErr w:type="spellStart"/>
            <w:r w:rsidRPr="000E50AE">
              <w:rPr>
                <w:rFonts w:ascii="Cambria" w:eastAsia="Times New Roman" w:hAnsi="Cambria" w:cs="Calibri"/>
              </w:rPr>
              <w:t>odgojno</w:t>
            </w:r>
            <w:proofErr w:type="spellEnd"/>
            <w:r w:rsidRPr="000E50AE">
              <w:rPr>
                <w:rFonts w:ascii="Cambria" w:eastAsia="Times New Roman" w:hAnsi="Cambria" w:cs="Calibri"/>
              </w:rPr>
              <w:t xml:space="preserve"> </w:t>
            </w:r>
            <w:proofErr w:type="spellStart"/>
            <w:r w:rsidRPr="000E50AE">
              <w:rPr>
                <w:rFonts w:ascii="Cambria" w:eastAsia="Times New Roman" w:hAnsi="Cambria" w:cs="Calibri"/>
              </w:rPr>
              <w:t>obrazovno</w:t>
            </w:r>
            <w:proofErr w:type="spellEnd"/>
            <w:r w:rsidRPr="000E50AE">
              <w:rPr>
                <w:rFonts w:ascii="Cambria" w:eastAsia="Times New Roman" w:hAnsi="Cambria" w:cs="Calibri"/>
              </w:rPr>
              <w:t xml:space="preserve"> </w:t>
            </w:r>
            <w:proofErr w:type="spellStart"/>
            <w:r w:rsidRPr="000E50AE">
              <w:rPr>
                <w:rFonts w:ascii="Cambria" w:eastAsia="Times New Roman" w:hAnsi="Cambria" w:cs="Calibri"/>
              </w:rPr>
              <w:t>područje</w:t>
            </w:r>
            <w:proofErr w:type="spellEnd"/>
          </w:p>
          <w:p w14:paraId="6AA7064F" w14:textId="77777777" w:rsidR="00727BE6" w:rsidRPr="000E50AE" w:rsidRDefault="00727BE6" w:rsidP="00450B7A">
            <w:pPr>
              <w:spacing w:after="0" w:line="240" w:lineRule="auto"/>
              <w:jc w:val="both"/>
              <w:rPr>
                <w:rFonts w:ascii="Cambria" w:eastAsia="Times New Roman" w:hAnsi="Cambria" w:cs="Calibri"/>
              </w:rPr>
            </w:pPr>
            <w:r w:rsidRPr="000E50AE">
              <w:rPr>
                <w:rFonts w:ascii="Cambria" w:eastAsia="Times New Roman" w:hAnsi="Cambria" w:cs="Calibri"/>
              </w:rPr>
              <w:t xml:space="preserve">4. </w:t>
            </w:r>
            <w:proofErr w:type="spellStart"/>
            <w:r w:rsidRPr="000E50AE">
              <w:rPr>
                <w:rFonts w:ascii="Cambria" w:eastAsia="Times New Roman" w:hAnsi="Cambria" w:cs="Calibri"/>
              </w:rPr>
              <w:t>Svrha</w:t>
            </w:r>
            <w:proofErr w:type="spellEnd"/>
            <w:r w:rsidRPr="000E50AE">
              <w:rPr>
                <w:rFonts w:ascii="Cambria" w:eastAsia="Times New Roman" w:hAnsi="Cambria" w:cs="Calibri"/>
              </w:rPr>
              <w:t xml:space="preserve"> </w:t>
            </w:r>
            <w:proofErr w:type="spellStart"/>
            <w:r w:rsidRPr="000E50AE">
              <w:rPr>
                <w:rFonts w:ascii="Cambria" w:eastAsia="Times New Roman" w:hAnsi="Cambria" w:cs="Calibri"/>
              </w:rPr>
              <w:t>i</w:t>
            </w:r>
            <w:proofErr w:type="spellEnd"/>
            <w:r w:rsidRPr="000E50AE">
              <w:rPr>
                <w:rFonts w:ascii="Cambria" w:eastAsia="Times New Roman" w:hAnsi="Cambria" w:cs="Calibri"/>
              </w:rPr>
              <w:t xml:space="preserve"> </w:t>
            </w:r>
            <w:proofErr w:type="spellStart"/>
            <w:r w:rsidRPr="000E50AE">
              <w:rPr>
                <w:rFonts w:ascii="Cambria" w:eastAsia="Times New Roman" w:hAnsi="Cambria" w:cs="Calibri"/>
              </w:rPr>
              <w:t>smjernice</w:t>
            </w:r>
            <w:proofErr w:type="spellEnd"/>
            <w:r w:rsidRPr="000E50AE">
              <w:rPr>
                <w:rFonts w:ascii="Cambria" w:eastAsia="Times New Roman" w:hAnsi="Cambria" w:cs="Calibri"/>
              </w:rPr>
              <w:t xml:space="preserve"> rada u </w:t>
            </w:r>
            <w:proofErr w:type="spellStart"/>
            <w:r w:rsidRPr="000E50AE">
              <w:rPr>
                <w:rFonts w:ascii="Cambria" w:eastAsia="Times New Roman" w:hAnsi="Cambria" w:cs="Calibri"/>
              </w:rPr>
              <w:t>tjelesnom</w:t>
            </w:r>
            <w:proofErr w:type="spellEnd"/>
            <w:r w:rsidRPr="000E50AE">
              <w:rPr>
                <w:rFonts w:ascii="Cambria" w:eastAsia="Times New Roman" w:hAnsi="Cambria" w:cs="Calibri"/>
              </w:rPr>
              <w:t xml:space="preserve"> </w:t>
            </w:r>
            <w:proofErr w:type="spellStart"/>
            <w:r w:rsidRPr="000E50AE">
              <w:rPr>
                <w:rFonts w:ascii="Cambria" w:eastAsia="Times New Roman" w:hAnsi="Cambria" w:cs="Calibri"/>
              </w:rPr>
              <w:t>i</w:t>
            </w:r>
            <w:proofErr w:type="spellEnd"/>
            <w:r w:rsidRPr="000E50AE">
              <w:rPr>
                <w:rFonts w:ascii="Cambria" w:eastAsia="Times New Roman" w:hAnsi="Cambria" w:cs="Calibri"/>
              </w:rPr>
              <w:t xml:space="preserve"> </w:t>
            </w:r>
            <w:proofErr w:type="spellStart"/>
            <w:r w:rsidRPr="000E50AE">
              <w:rPr>
                <w:rFonts w:ascii="Cambria" w:eastAsia="Times New Roman" w:hAnsi="Cambria" w:cs="Calibri"/>
              </w:rPr>
              <w:t>zdravstvenom</w:t>
            </w:r>
            <w:proofErr w:type="spellEnd"/>
            <w:r w:rsidRPr="000E50AE">
              <w:rPr>
                <w:rFonts w:ascii="Cambria" w:eastAsia="Times New Roman" w:hAnsi="Cambria" w:cs="Calibri"/>
              </w:rPr>
              <w:t xml:space="preserve"> </w:t>
            </w:r>
            <w:proofErr w:type="spellStart"/>
            <w:r w:rsidRPr="000E50AE">
              <w:rPr>
                <w:rFonts w:ascii="Cambria" w:eastAsia="Times New Roman" w:hAnsi="Cambria" w:cs="Calibri"/>
              </w:rPr>
              <w:t>području</w:t>
            </w:r>
            <w:proofErr w:type="spellEnd"/>
            <w:r w:rsidRPr="000E50AE">
              <w:rPr>
                <w:rFonts w:ascii="Cambria" w:eastAsia="Times New Roman" w:hAnsi="Cambria" w:cs="Calibri"/>
              </w:rPr>
              <w:t xml:space="preserve"> </w:t>
            </w:r>
            <w:proofErr w:type="spellStart"/>
            <w:r w:rsidRPr="000E50AE">
              <w:rPr>
                <w:rFonts w:ascii="Cambria" w:eastAsia="Times New Roman" w:hAnsi="Cambria" w:cs="Calibri"/>
              </w:rPr>
              <w:t>te</w:t>
            </w:r>
            <w:proofErr w:type="spellEnd"/>
            <w:r w:rsidRPr="000E50AE">
              <w:rPr>
                <w:rFonts w:ascii="Cambria" w:eastAsia="Times New Roman" w:hAnsi="Cambria" w:cs="Calibri"/>
              </w:rPr>
              <w:t xml:space="preserve"> </w:t>
            </w:r>
            <w:proofErr w:type="spellStart"/>
            <w:r w:rsidRPr="000E50AE">
              <w:rPr>
                <w:rFonts w:ascii="Cambria" w:eastAsia="Times New Roman" w:hAnsi="Cambria" w:cs="Calibri"/>
              </w:rPr>
              <w:t>vrste</w:t>
            </w:r>
            <w:proofErr w:type="spellEnd"/>
            <w:r w:rsidRPr="000E50AE">
              <w:rPr>
                <w:rFonts w:ascii="Cambria" w:eastAsia="Times New Roman" w:hAnsi="Cambria" w:cs="Calibri"/>
              </w:rPr>
              <w:t xml:space="preserve"> </w:t>
            </w:r>
            <w:proofErr w:type="spellStart"/>
            <w:r w:rsidRPr="000E50AE">
              <w:rPr>
                <w:rFonts w:ascii="Cambria" w:eastAsia="Times New Roman" w:hAnsi="Cambria" w:cs="Calibri"/>
              </w:rPr>
              <w:t>odgojno-obrazovnog</w:t>
            </w:r>
            <w:proofErr w:type="spellEnd"/>
            <w:r w:rsidRPr="000E50AE">
              <w:rPr>
                <w:rFonts w:ascii="Cambria" w:eastAsia="Times New Roman" w:hAnsi="Cambria" w:cs="Calibri"/>
              </w:rPr>
              <w:t xml:space="preserve"> rada u </w:t>
            </w:r>
            <w:proofErr w:type="spellStart"/>
            <w:r w:rsidRPr="000E50AE">
              <w:rPr>
                <w:rFonts w:ascii="Cambria" w:eastAsia="Times New Roman" w:hAnsi="Cambria" w:cs="Calibri"/>
              </w:rPr>
              <w:t>tjelesnom</w:t>
            </w:r>
            <w:proofErr w:type="spellEnd"/>
            <w:r w:rsidRPr="000E50AE">
              <w:rPr>
                <w:rFonts w:ascii="Cambria" w:eastAsia="Times New Roman" w:hAnsi="Cambria" w:cs="Calibri"/>
              </w:rPr>
              <w:t xml:space="preserve"> </w:t>
            </w:r>
            <w:proofErr w:type="spellStart"/>
            <w:r w:rsidRPr="000E50AE">
              <w:rPr>
                <w:rFonts w:ascii="Cambria" w:eastAsia="Times New Roman" w:hAnsi="Cambria" w:cs="Calibri"/>
              </w:rPr>
              <w:t>i</w:t>
            </w:r>
            <w:proofErr w:type="spellEnd"/>
            <w:r w:rsidRPr="000E50AE">
              <w:rPr>
                <w:rFonts w:ascii="Cambria" w:eastAsia="Times New Roman" w:hAnsi="Cambria" w:cs="Calibri"/>
              </w:rPr>
              <w:t xml:space="preserve"> </w:t>
            </w:r>
            <w:proofErr w:type="spellStart"/>
            <w:r w:rsidRPr="000E50AE">
              <w:rPr>
                <w:rFonts w:ascii="Cambria" w:eastAsia="Times New Roman" w:hAnsi="Cambria" w:cs="Calibri"/>
              </w:rPr>
              <w:t>zdravstvenom</w:t>
            </w:r>
            <w:proofErr w:type="spellEnd"/>
            <w:r w:rsidRPr="000E50AE">
              <w:rPr>
                <w:rFonts w:ascii="Cambria" w:eastAsia="Times New Roman" w:hAnsi="Cambria" w:cs="Calibri"/>
              </w:rPr>
              <w:t xml:space="preserve"> </w:t>
            </w:r>
            <w:proofErr w:type="spellStart"/>
            <w:r w:rsidRPr="000E50AE">
              <w:rPr>
                <w:rFonts w:ascii="Cambria" w:eastAsia="Times New Roman" w:hAnsi="Cambria" w:cs="Calibri"/>
              </w:rPr>
              <w:t>području</w:t>
            </w:r>
            <w:proofErr w:type="spellEnd"/>
          </w:p>
          <w:p w14:paraId="24AA032E" w14:textId="77777777" w:rsidR="00727BE6" w:rsidRPr="000E50AE" w:rsidRDefault="00727BE6" w:rsidP="00450B7A">
            <w:pPr>
              <w:spacing w:after="0" w:line="240" w:lineRule="auto"/>
              <w:jc w:val="both"/>
              <w:rPr>
                <w:rFonts w:ascii="Cambria" w:eastAsia="Times New Roman" w:hAnsi="Cambria" w:cs="Calibri"/>
              </w:rPr>
            </w:pPr>
            <w:r w:rsidRPr="000E50AE">
              <w:rPr>
                <w:rFonts w:ascii="Cambria" w:eastAsia="Times New Roman" w:hAnsi="Cambria" w:cs="Calibri"/>
              </w:rPr>
              <w:t xml:space="preserve">5. Plan </w:t>
            </w:r>
            <w:proofErr w:type="spellStart"/>
            <w:r w:rsidRPr="000E50AE">
              <w:rPr>
                <w:rFonts w:ascii="Cambria" w:eastAsia="Times New Roman" w:hAnsi="Cambria" w:cs="Calibri"/>
              </w:rPr>
              <w:t>i</w:t>
            </w:r>
            <w:proofErr w:type="spellEnd"/>
            <w:r w:rsidRPr="000E50AE">
              <w:rPr>
                <w:rFonts w:ascii="Cambria" w:eastAsia="Times New Roman" w:hAnsi="Cambria" w:cs="Calibri"/>
              </w:rPr>
              <w:t xml:space="preserve"> program </w:t>
            </w:r>
            <w:proofErr w:type="spellStart"/>
            <w:r w:rsidRPr="000E50AE">
              <w:rPr>
                <w:rFonts w:ascii="Cambria" w:eastAsia="Times New Roman" w:hAnsi="Cambria" w:cs="Calibri"/>
              </w:rPr>
              <w:t>tjelesne</w:t>
            </w:r>
            <w:proofErr w:type="spellEnd"/>
            <w:r w:rsidRPr="000E50AE">
              <w:rPr>
                <w:rFonts w:ascii="Cambria" w:eastAsia="Times New Roman" w:hAnsi="Cambria" w:cs="Calibri"/>
              </w:rPr>
              <w:t xml:space="preserve"> </w:t>
            </w:r>
            <w:proofErr w:type="spellStart"/>
            <w:r w:rsidRPr="000E50AE">
              <w:rPr>
                <w:rFonts w:ascii="Cambria" w:eastAsia="Times New Roman" w:hAnsi="Cambria" w:cs="Calibri"/>
              </w:rPr>
              <w:t>i</w:t>
            </w:r>
            <w:proofErr w:type="spellEnd"/>
            <w:r w:rsidRPr="000E50AE">
              <w:rPr>
                <w:rFonts w:ascii="Cambria" w:eastAsia="Times New Roman" w:hAnsi="Cambria" w:cs="Calibri"/>
              </w:rPr>
              <w:t xml:space="preserve"> </w:t>
            </w:r>
            <w:proofErr w:type="spellStart"/>
            <w:r w:rsidRPr="000E50AE">
              <w:rPr>
                <w:rFonts w:ascii="Cambria" w:eastAsia="Times New Roman" w:hAnsi="Cambria" w:cs="Calibri"/>
              </w:rPr>
              <w:t>zdravstvene</w:t>
            </w:r>
            <w:proofErr w:type="spellEnd"/>
            <w:r w:rsidRPr="000E50AE">
              <w:rPr>
                <w:rFonts w:ascii="Cambria" w:eastAsia="Times New Roman" w:hAnsi="Cambria" w:cs="Calibri"/>
              </w:rPr>
              <w:t xml:space="preserve"> </w:t>
            </w:r>
            <w:proofErr w:type="spellStart"/>
            <w:r w:rsidRPr="000E50AE">
              <w:rPr>
                <w:rFonts w:ascii="Cambria" w:eastAsia="Times New Roman" w:hAnsi="Cambria" w:cs="Calibri"/>
              </w:rPr>
              <w:t>kulture</w:t>
            </w:r>
            <w:proofErr w:type="spellEnd"/>
            <w:r w:rsidRPr="000E50AE">
              <w:rPr>
                <w:rFonts w:ascii="Cambria" w:eastAsia="Times New Roman" w:hAnsi="Cambria" w:cs="Calibri"/>
              </w:rPr>
              <w:t xml:space="preserve"> od 1. </w:t>
            </w:r>
            <w:proofErr w:type="spellStart"/>
            <w:r w:rsidRPr="000E50AE">
              <w:rPr>
                <w:rFonts w:ascii="Cambria" w:eastAsia="Times New Roman" w:hAnsi="Cambria" w:cs="Calibri"/>
              </w:rPr>
              <w:t>do</w:t>
            </w:r>
            <w:proofErr w:type="spellEnd"/>
            <w:r w:rsidRPr="000E50AE">
              <w:rPr>
                <w:rFonts w:ascii="Cambria" w:eastAsia="Times New Roman" w:hAnsi="Cambria" w:cs="Calibri"/>
              </w:rPr>
              <w:t xml:space="preserve"> 4. </w:t>
            </w:r>
            <w:proofErr w:type="spellStart"/>
            <w:r w:rsidRPr="000E50AE">
              <w:rPr>
                <w:rFonts w:ascii="Cambria" w:eastAsia="Times New Roman" w:hAnsi="Cambria" w:cs="Calibri"/>
              </w:rPr>
              <w:t>razreda</w:t>
            </w:r>
            <w:proofErr w:type="spellEnd"/>
            <w:r w:rsidRPr="000E50AE">
              <w:rPr>
                <w:rFonts w:ascii="Cambria" w:eastAsia="Times New Roman" w:hAnsi="Cambria" w:cs="Calibri"/>
              </w:rPr>
              <w:t xml:space="preserve"> </w:t>
            </w:r>
            <w:proofErr w:type="spellStart"/>
            <w:r w:rsidRPr="000E50AE">
              <w:rPr>
                <w:rFonts w:ascii="Cambria" w:eastAsia="Times New Roman" w:hAnsi="Cambria" w:cs="Calibri"/>
              </w:rPr>
              <w:t>osnovne</w:t>
            </w:r>
            <w:proofErr w:type="spellEnd"/>
            <w:r w:rsidRPr="000E50AE">
              <w:rPr>
                <w:rFonts w:ascii="Cambria" w:eastAsia="Times New Roman" w:hAnsi="Cambria" w:cs="Calibri"/>
              </w:rPr>
              <w:t xml:space="preserve"> </w:t>
            </w:r>
            <w:proofErr w:type="spellStart"/>
            <w:r w:rsidRPr="000E50AE">
              <w:rPr>
                <w:rFonts w:ascii="Cambria" w:eastAsia="Times New Roman" w:hAnsi="Cambria" w:cs="Calibri"/>
              </w:rPr>
              <w:t>škole</w:t>
            </w:r>
            <w:proofErr w:type="spellEnd"/>
          </w:p>
          <w:p w14:paraId="2948C691" w14:textId="77777777" w:rsidR="00727BE6" w:rsidRPr="000E50AE" w:rsidRDefault="00727BE6" w:rsidP="00450B7A">
            <w:pPr>
              <w:spacing w:after="0" w:line="240" w:lineRule="auto"/>
              <w:jc w:val="both"/>
              <w:rPr>
                <w:rFonts w:ascii="Cambria" w:eastAsia="Times New Roman" w:hAnsi="Cambria" w:cs="Calibri"/>
              </w:rPr>
            </w:pPr>
            <w:r w:rsidRPr="000E50AE">
              <w:rPr>
                <w:rFonts w:ascii="Cambria" w:eastAsia="Times New Roman" w:hAnsi="Cambria" w:cs="Calibri"/>
              </w:rPr>
              <w:t xml:space="preserve">6. </w:t>
            </w:r>
            <w:proofErr w:type="spellStart"/>
            <w:r w:rsidRPr="000E50AE">
              <w:rPr>
                <w:rFonts w:ascii="Cambria" w:eastAsia="Times New Roman" w:hAnsi="Cambria" w:cs="Calibri"/>
              </w:rPr>
              <w:t>Organizacija</w:t>
            </w:r>
            <w:proofErr w:type="spellEnd"/>
            <w:r w:rsidRPr="000E50AE">
              <w:rPr>
                <w:rFonts w:ascii="Cambria" w:eastAsia="Times New Roman" w:hAnsi="Cambria" w:cs="Calibri"/>
              </w:rPr>
              <w:t xml:space="preserve"> </w:t>
            </w:r>
            <w:proofErr w:type="spellStart"/>
            <w:r w:rsidRPr="000E50AE">
              <w:rPr>
                <w:rFonts w:ascii="Cambria" w:eastAsia="Times New Roman" w:hAnsi="Cambria" w:cs="Calibri"/>
              </w:rPr>
              <w:t>tjelesnog</w:t>
            </w:r>
            <w:proofErr w:type="spellEnd"/>
            <w:r w:rsidRPr="000E50AE">
              <w:rPr>
                <w:rFonts w:ascii="Cambria" w:eastAsia="Times New Roman" w:hAnsi="Cambria" w:cs="Calibri"/>
              </w:rPr>
              <w:t xml:space="preserve"> </w:t>
            </w:r>
            <w:proofErr w:type="spellStart"/>
            <w:r w:rsidRPr="000E50AE">
              <w:rPr>
                <w:rFonts w:ascii="Cambria" w:eastAsia="Times New Roman" w:hAnsi="Cambria" w:cs="Calibri"/>
              </w:rPr>
              <w:t>vježbanja</w:t>
            </w:r>
            <w:proofErr w:type="spellEnd"/>
          </w:p>
          <w:p w14:paraId="67F66DC2" w14:textId="77777777" w:rsidR="00727BE6" w:rsidRPr="000E50AE" w:rsidRDefault="00727BE6" w:rsidP="00450B7A">
            <w:pPr>
              <w:spacing w:after="0" w:line="240" w:lineRule="auto"/>
              <w:jc w:val="both"/>
              <w:rPr>
                <w:rFonts w:ascii="Cambria" w:eastAsia="Times New Roman" w:hAnsi="Cambria" w:cs="Calibri"/>
                <w:lang w:val="it-IT"/>
              </w:rPr>
            </w:pPr>
            <w:r w:rsidRPr="000E50AE">
              <w:rPr>
                <w:rFonts w:ascii="Cambria" w:eastAsia="Times New Roman" w:hAnsi="Cambria" w:cs="Calibri"/>
                <w:lang w:val="it-IT"/>
              </w:rPr>
              <w:t xml:space="preserve">7. Sat </w:t>
            </w:r>
            <w:proofErr w:type="spellStart"/>
            <w:r w:rsidRPr="000E50AE">
              <w:rPr>
                <w:rFonts w:ascii="Cambria" w:eastAsia="Times New Roman" w:hAnsi="Cambria" w:cs="Calibri"/>
                <w:lang w:val="it-IT"/>
              </w:rPr>
              <w:t>tjelesne</w:t>
            </w:r>
            <w:proofErr w:type="spellEnd"/>
            <w:r w:rsidRPr="000E50AE">
              <w:rPr>
                <w:rFonts w:ascii="Cambria" w:eastAsia="Times New Roman" w:hAnsi="Cambria" w:cs="Calibri"/>
                <w:lang w:val="it-IT"/>
              </w:rPr>
              <w:t xml:space="preserve"> i </w:t>
            </w:r>
            <w:proofErr w:type="spellStart"/>
            <w:r w:rsidRPr="000E50AE">
              <w:rPr>
                <w:rFonts w:ascii="Cambria" w:eastAsia="Times New Roman" w:hAnsi="Cambria" w:cs="Calibri"/>
                <w:lang w:val="it-IT"/>
              </w:rPr>
              <w:t>zdravstvene</w:t>
            </w:r>
            <w:proofErr w:type="spellEnd"/>
            <w:r w:rsidRPr="000E50AE">
              <w:rPr>
                <w:rFonts w:ascii="Cambria" w:eastAsia="Times New Roman" w:hAnsi="Cambria" w:cs="Calibri"/>
                <w:lang w:val="it-IT"/>
              </w:rPr>
              <w:t xml:space="preserve"> </w:t>
            </w:r>
            <w:proofErr w:type="spellStart"/>
            <w:r w:rsidRPr="000E50AE">
              <w:rPr>
                <w:rFonts w:ascii="Cambria" w:eastAsia="Times New Roman" w:hAnsi="Cambria" w:cs="Calibri"/>
                <w:lang w:val="it-IT"/>
              </w:rPr>
              <w:t>kulture</w:t>
            </w:r>
            <w:proofErr w:type="spellEnd"/>
            <w:r w:rsidRPr="000E50AE">
              <w:rPr>
                <w:rFonts w:ascii="Cambria" w:eastAsia="Times New Roman" w:hAnsi="Cambria" w:cs="Calibri"/>
                <w:lang w:val="it-IT"/>
              </w:rPr>
              <w:t xml:space="preserve"> (</w:t>
            </w:r>
            <w:proofErr w:type="spellStart"/>
            <w:r w:rsidRPr="000E50AE">
              <w:rPr>
                <w:rFonts w:ascii="Cambria" w:eastAsia="Times New Roman" w:hAnsi="Cambria" w:cs="Calibri"/>
                <w:lang w:val="it-IT"/>
              </w:rPr>
              <w:t>uvodni</w:t>
            </w:r>
            <w:proofErr w:type="spellEnd"/>
            <w:r w:rsidRPr="000E50AE">
              <w:rPr>
                <w:rFonts w:ascii="Cambria" w:eastAsia="Times New Roman" w:hAnsi="Cambria" w:cs="Calibri"/>
                <w:lang w:val="it-IT"/>
              </w:rPr>
              <w:t xml:space="preserve">, </w:t>
            </w:r>
            <w:proofErr w:type="spellStart"/>
            <w:r w:rsidRPr="000E50AE">
              <w:rPr>
                <w:rFonts w:ascii="Cambria" w:eastAsia="Times New Roman" w:hAnsi="Cambria" w:cs="Calibri"/>
                <w:lang w:val="it-IT"/>
              </w:rPr>
              <w:t>pripremni</w:t>
            </w:r>
            <w:proofErr w:type="spellEnd"/>
            <w:r w:rsidRPr="000E50AE">
              <w:rPr>
                <w:rFonts w:ascii="Cambria" w:eastAsia="Times New Roman" w:hAnsi="Cambria" w:cs="Calibri"/>
                <w:lang w:val="it-IT"/>
              </w:rPr>
              <w:t xml:space="preserve">, </w:t>
            </w:r>
            <w:proofErr w:type="spellStart"/>
            <w:r w:rsidRPr="000E50AE">
              <w:rPr>
                <w:rFonts w:ascii="Cambria" w:eastAsia="Times New Roman" w:hAnsi="Cambria" w:cs="Calibri"/>
                <w:lang w:val="it-IT"/>
              </w:rPr>
              <w:t>glavni</w:t>
            </w:r>
            <w:proofErr w:type="spellEnd"/>
            <w:r w:rsidRPr="000E50AE">
              <w:rPr>
                <w:rFonts w:ascii="Cambria" w:eastAsia="Times New Roman" w:hAnsi="Cambria" w:cs="Calibri"/>
                <w:lang w:val="it-IT"/>
              </w:rPr>
              <w:t xml:space="preserve"> i </w:t>
            </w:r>
            <w:proofErr w:type="spellStart"/>
            <w:r w:rsidRPr="000E50AE">
              <w:rPr>
                <w:rFonts w:ascii="Cambria" w:eastAsia="Times New Roman" w:hAnsi="Cambria" w:cs="Calibri"/>
                <w:lang w:val="it-IT"/>
              </w:rPr>
              <w:t>završni</w:t>
            </w:r>
            <w:proofErr w:type="spellEnd"/>
            <w:r w:rsidRPr="000E50AE">
              <w:rPr>
                <w:rFonts w:ascii="Cambria" w:eastAsia="Times New Roman" w:hAnsi="Cambria" w:cs="Calibri"/>
                <w:lang w:val="it-IT"/>
              </w:rPr>
              <w:t xml:space="preserve"> dio </w:t>
            </w:r>
            <w:proofErr w:type="spellStart"/>
            <w:r w:rsidRPr="000E50AE">
              <w:rPr>
                <w:rFonts w:ascii="Cambria" w:eastAsia="Times New Roman" w:hAnsi="Cambria" w:cs="Calibri"/>
                <w:lang w:val="it-IT"/>
              </w:rPr>
              <w:t>sata</w:t>
            </w:r>
            <w:proofErr w:type="spellEnd"/>
            <w:r w:rsidRPr="000E50AE">
              <w:rPr>
                <w:rFonts w:ascii="Cambria" w:eastAsia="Times New Roman" w:hAnsi="Cambria" w:cs="Calibri"/>
                <w:lang w:val="it-IT"/>
              </w:rPr>
              <w:t>)</w:t>
            </w:r>
          </w:p>
          <w:p w14:paraId="73DD9772" w14:textId="77777777" w:rsidR="00727BE6" w:rsidRPr="000E50AE" w:rsidRDefault="00727BE6" w:rsidP="00450B7A">
            <w:pPr>
              <w:spacing w:after="0" w:line="240" w:lineRule="auto"/>
              <w:jc w:val="both"/>
              <w:rPr>
                <w:rFonts w:ascii="Cambria" w:eastAsia="Times New Roman" w:hAnsi="Cambria" w:cs="Calibri"/>
              </w:rPr>
            </w:pPr>
            <w:r w:rsidRPr="000E50AE">
              <w:rPr>
                <w:rFonts w:ascii="Cambria" w:eastAsia="Times New Roman" w:hAnsi="Cambria" w:cs="Calibri"/>
              </w:rPr>
              <w:t xml:space="preserve">8. </w:t>
            </w:r>
            <w:proofErr w:type="spellStart"/>
            <w:r w:rsidRPr="000E50AE">
              <w:rPr>
                <w:rFonts w:ascii="Cambria" w:eastAsia="Times New Roman" w:hAnsi="Cambria" w:cs="Calibri"/>
              </w:rPr>
              <w:t>Opterećenje</w:t>
            </w:r>
            <w:proofErr w:type="spellEnd"/>
            <w:r w:rsidRPr="000E50AE">
              <w:rPr>
                <w:rFonts w:ascii="Cambria" w:eastAsia="Times New Roman" w:hAnsi="Cambria" w:cs="Calibri"/>
              </w:rPr>
              <w:t xml:space="preserve"> </w:t>
            </w:r>
            <w:proofErr w:type="spellStart"/>
            <w:r w:rsidRPr="000E50AE">
              <w:rPr>
                <w:rFonts w:ascii="Cambria" w:eastAsia="Times New Roman" w:hAnsi="Cambria" w:cs="Calibri"/>
              </w:rPr>
              <w:t>na</w:t>
            </w:r>
            <w:proofErr w:type="spellEnd"/>
            <w:r w:rsidRPr="000E50AE">
              <w:rPr>
                <w:rFonts w:ascii="Cambria" w:eastAsia="Times New Roman" w:hAnsi="Cambria" w:cs="Calibri"/>
              </w:rPr>
              <w:t xml:space="preserve"> </w:t>
            </w:r>
            <w:proofErr w:type="spellStart"/>
            <w:r w:rsidRPr="000E50AE">
              <w:rPr>
                <w:rFonts w:ascii="Cambria" w:eastAsia="Times New Roman" w:hAnsi="Cambria" w:cs="Calibri"/>
              </w:rPr>
              <w:t>satu</w:t>
            </w:r>
            <w:proofErr w:type="spellEnd"/>
            <w:r w:rsidRPr="000E50AE">
              <w:rPr>
                <w:rFonts w:ascii="Cambria" w:eastAsia="Times New Roman" w:hAnsi="Cambria" w:cs="Calibri"/>
              </w:rPr>
              <w:t xml:space="preserve"> </w:t>
            </w:r>
            <w:proofErr w:type="spellStart"/>
            <w:r w:rsidRPr="000E50AE">
              <w:rPr>
                <w:rFonts w:ascii="Cambria" w:eastAsia="Times New Roman" w:hAnsi="Cambria" w:cs="Calibri"/>
              </w:rPr>
              <w:t>tjelesne</w:t>
            </w:r>
            <w:proofErr w:type="spellEnd"/>
            <w:r w:rsidRPr="000E50AE">
              <w:rPr>
                <w:rFonts w:ascii="Cambria" w:eastAsia="Times New Roman" w:hAnsi="Cambria" w:cs="Calibri"/>
              </w:rPr>
              <w:t xml:space="preserve"> </w:t>
            </w:r>
            <w:proofErr w:type="spellStart"/>
            <w:r w:rsidRPr="000E50AE">
              <w:rPr>
                <w:rFonts w:ascii="Cambria" w:eastAsia="Times New Roman" w:hAnsi="Cambria" w:cs="Calibri"/>
              </w:rPr>
              <w:t>i</w:t>
            </w:r>
            <w:proofErr w:type="spellEnd"/>
            <w:r w:rsidRPr="000E50AE">
              <w:rPr>
                <w:rFonts w:ascii="Cambria" w:eastAsia="Times New Roman" w:hAnsi="Cambria" w:cs="Calibri"/>
              </w:rPr>
              <w:t xml:space="preserve"> </w:t>
            </w:r>
            <w:proofErr w:type="spellStart"/>
            <w:r w:rsidRPr="000E50AE">
              <w:rPr>
                <w:rFonts w:ascii="Cambria" w:eastAsia="Times New Roman" w:hAnsi="Cambria" w:cs="Calibri"/>
              </w:rPr>
              <w:t>zdravstvene</w:t>
            </w:r>
            <w:proofErr w:type="spellEnd"/>
            <w:r w:rsidRPr="000E50AE">
              <w:rPr>
                <w:rFonts w:ascii="Cambria" w:eastAsia="Times New Roman" w:hAnsi="Cambria" w:cs="Calibri"/>
              </w:rPr>
              <w:t xml:space="preserve"> </w:t>
            </w:r>
            <w:proofErr w:type="spellStart"/>
            <w:r w:rsidRPr="000E50AE">
              <w:rPr>
                <w:rFonts w:ascii="Cambria" w:eastAsia="Times New Roman" w:hAnsi="Cambria" w:cs="Calibri"/>
              </w:rPr>
              <w:t>kulture</w:t>
            </w:r>
            <w:proofErr w:type="spellEnd"/>
          </w:p>
        </w:tc>
      </w:tr>
      <w:tr w:rsidR="00727BE6" w:rsidRPr="000E50AE" w14:paraId="0E134275" w14:textId="77777777" w:rsidTr="00450B7A">
        <w:trPr>
          <w:trHeight w:val="151"/>
        </w:trPr>
        <w:tc>
          <w:tcPr>
            <w:tcW w:w="2632"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hideMark/>
          </w:tcPr>
          <w:p w14:paraId="252E2004" w14:textId="77777777" w:rsidR="00727BE6" w:rsidRPr="000E50AE" w:rsidRDefault="00727BE6" w:rsidP="00450B7A">
            <w:pPr>
              <w:spacing w:after="0" w:line="240" w:lineRule="auto"/>
              <w:jc w:val="both"/>
              <w:rPr>
                <w:rFonts w:ascii="Cambria" w:eastAsia="Times New Roman" w:hAnsi="Cambria" w:cs="Calibri"/>
                <w:lang w:val="it-IT"/>
              </w:rPr>
            </w:pPr>
            <w:proofErr w:type="spellStart"/>
            <w:r w:rsidRPr="000E50AE">
              <w:rPr>
                <w:rFonts w:ascii="Cambria" w:eastAsia="Times New Roman" w:hAnsi="Cambria" w:cs="Calibri"/>
                <w:lang w:val="it-IT"/>
              </w:rPr>
              <w:t>Planirane</w:t>
            </w:r>
            <w:proofErr w:type="spellEnd"/>
            <w:r w:rsidRPr="000E50AE">
              <w:rPr>
                <w:rFonts w:ascii="Cambria" w:eastAsia="Times New Roman" w:hAnsi="Cambria" w:cs="Calibri"/>
                <w:lang w:val="it-IT"/>
              </w:rPr>
              <w:t xml:space="preserve"> </w:t>
            </w:r>
            <w:proofErr w:type="spellStart"/>
            <w:r w:rsidRPr="000E50AE">
              <w:rPr>
                <w:rFonts w:ascii="Cambria" w:eastAsia="Times New Roman" w:hAnsi="Cambria" w:cs="Calibri"/>
                <w:lang w:val="it-IT"/>
              </w:rPr>
              <w:t>aktivnosti</w:t>
            </w:r>
            <w:proofErr w:type="spellEnd"/>
            <w:r w:rsidRPr="000E50AE">
              <w:rPr>
                <w:rFonts w:ascii="Cambria" w:eastAsia="Times New Roman" w:hAnsi="Cambria" w:cs="Calibri"/>
                <w:lang w:val="it-IT"/>
              </w:rPr>
              <w:t>,</w:t>
            </w:r>
          </w:p>
          <w:p w14:paraId="758EEF40" w14:textId="77777777" w:rsidR="00727BE6" w:rsidRPr="000E50AE" w:rsidRDefault="00727BE6" w:rsidP="00450B7A">
            <w:pPr>
              <w:spacing w:after="0" w:line="240" w:lineRule="auto"/>
              <w:jc w:val="both"/>
              <w:rPr>
                <w:rFonts w:ascii="Cambria" w:eastAsia="Times New Roman" w:hAnsi="Cambria" w:cs="Calibri"/>
                <w:lang w:val="it-IT"/>
              </w:rPr>
            </w:pPr>
            <w:proofErr w:type="spellStart"/>
            <w:r w:rsidRPr="000E50AE">
              <w:rPr>
                <w:rFonts w:ascii="Cambria" w:eastAsia="Times New Roman" w:hAnsi="Cambria" w:cs="Calibri"/>
                <w:lang w:val="it-IT"/>
              </w:rPr>
              <w:t>metode</w:t>
            </w:r>
            <w:proofErr w:type="spellEnd"/>
            <w:r w:rsidRPr="000E50AE">
              <w:rPr>
                <w:rFonts w:ascii="Cambria" w:eastAsia="Times New Roman" w:hAnsi="Cambria" w:cs="Calibri"/>
                <w:lang w:val="it-IT"/>
              </w:rPr>
              <w:t xml:space="preserve"> </w:t>
            </w:r>
            <w:proofErr w:type="spellStart"/>
            <w:r w:rsidRPr="000E50AE">
              <w:rPr>
                <w:rFonts w:ascii="Cambria" w:eastAsia="Times New Roman" w:hAnsi="Cambria" w:cs="Calibri"/>
                <w:lang w:val="it-IT"/>
              </w:rPr>
              <w:t>učenja</w:t>
            </w:r>
            <w:proofErr w:type="spellEnd"/>
            <w:r w:rsidRPr="000E50AE">
              <w:rPr>
                <w:rFonts w:ascii="Cambria" w:eastAsia="Times New Roman" w:hAnsi="Cambria" w:cs="Calibri"/>
                <w:lang w:val="it-IT"/>
              </w:rPr>
              <w:t xml:space="preserve"> i </w:t>
            </w:r>
            <w:proofErr w:type="spellStart"/>
            <w:r w:rsidRPr="000E50AE">
              <w:rPr>
                <w:rFonts w:ascii="Cambria" w:eastAsia="Times New Roman" w:hAnsi="Cambria" w:cs="Calibri"/>
                <w:lang w:val="it-IT"/>
              </w:rPr>
              <w:t>poučavanja</w:t>
            </w:r>
            <w:proofErr w:type="spellEnd"/>
            <w:r w:rsidRPr="000E50AE">
              <w:rPr>
                <w:rFonts w:ascii="Cambria" w:eastAsia="Times New Roman" w:hAnsi="Cambria" w:cs="Calibri"/>
                <w:lang w:val="it-IT"/>
              </w:rPr>
              <w:t xml:space="preserve"> i </w:t>
            </w:r>
            <w:proofErr w:type="spellStart"/>
            <w:r w:rsidRPr="000E50AE">
              <w:rPr>
                <w:rFonts w:ascii="Cambria" w:eastAsia="Times New Roman" w:hAnsi="Cambria" w:cs="Calibri"/>
                <w:lang w:val="it-IT"/>
              </w:rPr>
              <w:t>načini</w:t>
            </w:r>
            <w:proofErr w:type="spellEnd"/>
            <w:r w:rsidRPr="000E50AE">
              <w:rPr>
                <w:rFonts w:ascii="Cambria" w:eastAsia="Times New Roman" w:hAnsi="Cambria" w:cs="Calibri"/>
                <w:lang w:val="it-IT"/>
              </w:rPr>
              <w:t xml:space="preserve"> </w:t>
            </w:r>
            <w:proofErr w:type="spellStart"/>
            <w:r w:rsidRPr="000E50AE">
              <w:rPr>
                <w:rFonts w:ascii="Cambria" w:eastAsia="Times New Roman" w:hAnsi="Cambria" w:cs="Calibri"/>
                <w:lang w:val="it-IT"/>
              </w:rPr>
              <w:t>vrednovanja</w:t>
            </w:r>
            <w:proofErr w:type="spellEnd"/>
          </w:p>
          <w:p w14:paraId="077D5421" w14:textId="77777777" w:rsidR="00727BE6" w:rsidRPr="000E50AE" w:rsidRDefault="00727BE6" w:rsidP="00450B7A">
            <w:pPr>
              <w:spacing w:after="0" w:line="240" w:lineRule="auto"/>
              <w:jc w:val="both"/>
              <w:rPr>
                <w:rFonts w:ascii="Cambria" w:eastAsia="Times New Roman" w:hAnsi="Cambria" w:cs="Calibri"/>
                <w:lang w:val="it-IT"/>
              </w:rPr>
            </w:pPr>
          </w:p>
        </w:tc>
        <w:tc>
          <w:tcPr>
            <w:tcW w:w="2594"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E111C6D" w14:textId="77777777" w:rsidR="00727BE6" w:rsidRPr="000E50AE" w:rsidRDefault="00727BE6" w:rsidP="00450B7A">
            <w:pPr>
              <w:spacing w:after="0" w:line="240" w:lineRule="auto"/>
              <w:jc w:val="both"/>
              <w:rPr>
                <w:rFonts w:ascii="Cambria" w:eastAsia="Times New Roman" w:hAnsi="Cambria" w:cs="Calibri"/>
              </w:rPr>
            </w:pPr>
            <w:proofErr w:type="spellStart"/>
            <w:r w:rsidRPr="000E50AE">
              <w:rPr>
                <w:rFonts w:ascii="Cambria" w:eastAsia="Times New Roman" w:hAnsi="Cambria" w:cs="Calibri"/>
              </w:rPr>
              <w:t>Obveze</w:t>
            </w:r>
            <w:proofErr w:type="spellEnd"/>
          </w:p>
        </w:tc>
        <w:tc>
          <w:tcPr>
            <w:tcW w:w="10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17C6268" w14:textId="77777777" w:rsidR="00727BE6" w:rsidRPr="000E50AE" w:rsidRDefault="00727BE6" w:rsidP="00450B7A">
            <w:pPr>
              <w:spacing w:after="0" w:line="240" w:lineRule="auto"/>
              <w:jc w:val="both"/>
              <w:rPr>
                <w:rFonts w:ascii="Cambria" w:eastAsia="Times New Roman" w:hAnsi="Cambria" w:cs="Calibri"/>
              </w:rPr>
            </w:pPr>
            <w:proofErr w:type="spellStart"/>
            <w:r w:rsidRPr="000E50AE">
              <w:rPr>
                <w:rFonts w:ascii="Cambria" w:eastAsia="Times New Roman" w:hAnsi="Cambria" w:cs="Calibri"/>
              </w:rPr>
              <w:t>Ishodi</w:t>
            </w:r>
            <w:proofErr w:type="spellEnd"/>
          </w:p>
        </w:tc>
        <w:tc>
          <w:tcPr>
            <w:tcW w:w="718"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BD7FD55" w14:textId="77777777" w:rsidR="00727BE6" w:rsidRPr="000E50AE" w:rsidRDefault="00727BE6" w:rsidP="00450B7A">
            <w:pPr>
              <w:spacing w:after="0" w:line="240" w:lineRule="auto"/>
              <w:jc w:val="both"/>
              <w:rPr>
                <w:rFonts w:ascii="Cambria" w:eastAsia="Times New Roman" w:hAnsi="Cambria" w:cs="Calibri"/>
              </w:rPr>
            </w:pPr>
            <w:r w:rsidRPr="000E50AE">
              <w:rPr>
                <w:rFonts w:ascii="Cambria" w:eastAsia="Times New Roman" w:hAnsi="Cambria" w:cs="Calibri"/>
              </w:rPr>
              <w:t>Sati</w:t>
            </w:r>
          </w:p>
        </w:tc>
        <w:tc>
          <w:tcPr>
            <w:tcW w:w="101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81E7FA4" w14:textId="77777777" w:rsidR="00727BE6" w:rsidRPr="000E50AE" w:rsidRDefault="00727BE6" w:rsidP="00450B7A">
            <w:pPr>
              <w:spacing w:after="0" w:line="240" w:lineRule="auto"/>
              <w:jc w:val="both"/>
              <w:rPr>
                <w:rFonts w:ascii="Cambria" w:eastAsia="Times New Roman" w:hAnsi="Cambria" w:cs="Calibri"/>
              </w:rPr>
            </w:pPr>
            <w:r w:rsidRPr="000E50AE">
              <w:rPr>
                <w:rFonts w:ascii="Cambria" w:eastAsia="Times New Roman" w:hAnsi="Cambria" w:cs="Calibri"/>
              </w:rPr>
              <w:t>ECTS</w:t>
            </w:r>
          </w:p>
        </w:tc>
        <w:tc>
          <w:tcPr>
            <w:tcW w:w="132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513A7A4" w14:textId="77777777" w:rsidR="00727BE6" w:rsidRPr="000E50AE" w:rsidRDefault="00727BE6" w:rsidP="00450B7A">
            <w:pPr>
              <w:spacing w:after="0" w:line="240" w:lineRule="auto"/>
              <w:jc w:val="both"/>
              <w:rPr>
                <w:rFonts w:ascii="Cambria" w:eastAsia="Times New Roman" w:hAnsi="Cambria" w:cs="Calibri"/>
              </w:rPr>
            </w:pPr>
            <w:proofErr w:type="spellStart"/>
            <w:r w:rsidRPr="000E50AE">
              <w:rPr>
                <w:rFonts w:ascii="Cambria" w:eastAsia="Times New Roman" w:hAnsi="Cambria" w:cs="Calibri"/>
              </w:rPr>
              <w:t>Maksimalni</w:t>
            </w:r>
            <w:proofErr w:type="spellEnd"/>
            <w:r w:rsidRPr="000E50AE">
              <w:rPr>
                <w:rFonts w:ascii="Cambria" w:eastAsia="Times New Roman" w:hAnsi="Cambria" w:cs="Calibri"/>
              </w:rPr>
              <w:t xml:space="preserve"> </w:t>
            </w:r>
            <w:proofErr w:type="spellStart"/>
            <w:r w:rsidRPr="000E50AE">
              <w:rPr>
                <w:rFonts w:ascii="Cambria" w:eastAsia="Times New Roman" w:hAnsi="Cambria" w:cs="Calibri"/>
              </w:rPr>
              <w:t>udio</w:t>
            </w:r>
            <w:proofErr w:type="spellEnd"/>
            <w:r w:rsidRPr="000E50AE">
              <w:rPr>
                <w:rFonts w:ascii="Cambria" w:eastAsia="Times New Roman" w:hAnsi="Cambria" w:cs="Calibri"/>
              </w:rPr>
              <w:t xml:space="preserve"> u </w:t>
            </w:r>
            <w:proofErr w:type="spellStart"/>
            <w:r w:rsidRPr="000E50AE">
              <w:rPr>
                <w:rFonts w:ascii="Cambria" w:eastAsia="Times New Roman" w:hAnsi="Cambria" w:cs="Calibri"/>
              </w:rPr>
              <w:t>ocjeni</w:t>
            </w:r>
            <w:proofErr w:type="spellEnd"/>
            <w:r w:rsidRPr="000E50AE">
              <w:rPr>
                <w:rFonts w:ascii="Cambria" w:eastAsia="Times New Roman" w:hAnsi="Cambria" w:cs="Calibri"/>
              </w:rPr>
              <w:t xml:space="preserve"> (%)</w:t>
            </w:r>
          </w:p>
        </w:tc>
      </w:tr>
      <w:tr w:rsidR="00727BE6" w:rsidRPr="000E50AE" w14:paraId="3F30753F" w14:textId="77777777" w:rsidTr="00450B7A">
        <w:trPr>
          <w:trHeight w:val="151"/>
        </w:trPr>
        <w:tc>
          <w:tcPr>
            <w:tcW w:w="2632" w:type="dxa"/>
            <w:vMerge/>
            <w:tcBorders>
              <w:left w:val="single" w:sz="8" w:space="0" w:color="000000"/>
              <w:right w:val="single" w:sz="8" w:space="0" w:color="000000"/>
            </w:tcBorders>
            <w:vAlign w:val="center"/>
            <w:hideMark/>
          </w:tcPr>
          <w:p w14:paraId="13E929FE" w14:textId="77777777" w:rsidR="00727BE6" w:rsidRPr="000E50AE" w:rsidRDefault="00727BE6" w:rsidP="00450B7A">
            <w:pPr>
              <w:spacing w:after="0" w:line="240" w:lineRule="auto"/>
              <w:jc w:val="both"/>
              <w:rPr>
                <w:rFonts w:ascii="Cambria" w:eastAsia="Times New Roman" w:hAnsi="Cambria" w:cs="Calibri"/>
              </w:rPr>
            </w:pPr>
          </w:p>
        </w:tc>
        <w:tc>
          <w:tcPr>
            <w:tcW w:w="2594"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2FCC48B" w14:textId="77777777" w:rsidR="00727BE6" w:rsidRPr="007B5EAE" w:rsidRDefault="00727BE6" w:rsidP="00450B7A">
            <w:pPr>
              <w:spacing w:after="0" w:line="240" w:lineRule="auto"/>
              <w:rPr>
                <w:rFonts w:ascii="Cambria" w:eastAsia="Times New Roman" w:hAnsi="Cambria" w:cs="Calibri"/>
                <w:lang w:val="it-IT"/>
              </w:rPr>
            </w:pPr>
            <w:proofErr w:type="spellStart"/>
            <w:r w:rsidRPr="000E50AE">
              <w:rPr>
                <w:rFonts w:ascii="Cambria" w:eastAsia="Times New Roman" w:hAnsi="Cambria" w:cs="Calibri"/>
                <w:lang w:val="it-IT"/>
              </w:rPr>
              <w:t>p</w:t>
            </w:r>
            <w:r w:rsidRPr="007B5EAE">
              <w:rPr>
                <w:rFonts w:ascii="Cambria" w:eastAsia="Times New Roman" w:hAnsi="Cambria" w:cs="Calibri"/>
                <w:lang w:val="it-IT"/>
              </w:rPr>
              <w:t>ohađanje</w:t>
            </w:r>
            <w:proofErr w:type="spellEnd"/>
            <w:r w:rsidRPr="007B5EAE">
              <w:rPr>
                <w:rFonts w:ascii="Cambria" w:eastAsia="Times New Roman" w:hAnsi="Cambria" w:cs="Calibri"/>
                <w:lang w:val="it-IT"/>
              </w:rPr>
              <w:t xml:space="preserve"> i </w:t>
            </w:r>
            <w:proofErr w:type="spellStart"/>
            <w:r w:rsidRPr="007B5EAE">
              <w:rPr>
                <w:rFonts w:ascii="Cambria" w:eastAsia="Times New Roman" w:hAnsi="Cambria" w:cs="Calibri"/>
                <w:lang w:val="it-IT"/>
              </w:rPr>
              <w:t>aktivnost</w:t>
            </w:r>
            <w:proofErr w:type="spellEnd"/>
            <w:r w:rsidRPr="007B5EAE">
              <w:rPr>
                <w:rFonts w:ascii="Cambria" w:eastAsia="Times New Roman" w:hAnsi="Cambria" w:cs="Calibri"/>
                <w:lang w:val="it-IT"/>
              </w:rPr>
              <w:t xml:space="preserve"> </w:t>
            </w:r>
            <w:proofErr w:type="spellStart"/>
            <w:r w:rsidRPr="007B5EAE">
              <w:rPr>
                <w:rFonts w:ascii="Cambria" w:eastAsia="Times New Roman" w:hAnsi="Cambria" w:cs="Calibri"/>
                <w:lang w:val="it-IT"/>
              </w:rPr>
              <w:t>na</w:t>
            </w:r>
            <w:proofErr w:type="spellEnd"/>
            <w:r w:rsidRPr="007B5EAE">
              <w:rPr>
                <w:rFonts w:ascii="Cambria" w:eastAsia="Times New Roman" w:hAnsi="Cambria" w:cs="Calibri"/>
                <w:lang w:val="it-IT"/>
              </w:rPr>
              <w:t xml:space="preserve"> </w:t>
            </w:r>
            <w:proofErr w:type="spellStart"/>
            <w:r w:rsidRPr="007B5EAE">
              <w:rPr>
                <w:rFonts w:ascii="Cambria" w:eastAsia="Times New Roman" w:hAnsi="Cambria" w:cs="Calibri"/>
                <w:lang w:val="it-IT"/>
              </w:rPr>
              <w:t>nastavi</w:t>
            </w:r>
            <w:proofErr w:type="spellEnd"/>
            <w:r w:rsidRPr="007B5EAE">
              <w:rPr>
                <w:rFonts w:ascii="Cambria" w:eastAsia="Times New Roman" w:hAnsi="Cambria" w:cs="Calibri"/>
                <w:lang w:val="it-IT"/>
              </w:rPr>
              <w:t xml:space="preserve"> P, V (</w:t>
            </w:r>
            <w:proofErr w:type="spellStart"/>
            <w:r w:rsidRPr="007B5EAE">
              <w:rPr>
                <w:rFonts w:ascii="Cambria" w:eastAsia="Times New Roman" w:hAnsi="Cambria" w:cs="Calibri"/>
                <w:lang w:val="it-IT"/>
              </w:rPr>
              <w:t>dvorana</w:t>
            </w:r>
            <w:proofErr w:type="spellEnd"/>
            <w:r w:rsidRPr="007B5EAE">
              <w:rPr>
                <w:rFonts w:ascii="Cambria" w:eastAsia="Times New Roman" w:hAnsi="Cambria" w:cs="Calibri"/>
                <w:lang w:val="it-IT"/>
              </w:rPr>
              <w:t>)</w:t>
            </w:r>
          </w:p>
        </w:tc>
        <w:tc>
          <w:tcPr>
            <w:tcW w:w="10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60D0F71" w14:textId="77777777" w:rsidR="00727BE6" w:rsidRPr="000E50AE" w:rsidRDefault="00727BE6" w:rsidP="00450B7A">
            <w:pPr>
              <w:spacing w:after="0" w:line="240" w:lineRule="auto"/>
              <w:jc w:val="center"/>
              <w:rPr>
                <w:rFonts w:ascii="Cambria" w:eastAsia="Times New Roman" w:hAnsi="Cambria" w:cs="Calibri"/>
              </w:rPr>
            </w:pPr>
            <w:r w:rsidRPr="000E50AE">
              <w:rPr>
                <w:rFonts w:ascii="Cambria" w:eastAsia="Times New Roman" w:hAnsi="Cambria" w:cs="Calibri"/>
              </w:rPr>
              <w:t>1.</w:t>
            </w:r>
            <w:r>
              <w:rPr>
                <w:rFonts w:ascii="Cambria" w:eastAsia="Times New Roman" w:hAnsi="Cambria" w:cs="Calibri"/>
              </w:rPr>
              <w:t xml:space="preserve"> – </w:t>
            </w:r>
            <w:r w:rsidRPr="000E50AE">
              <w:rPr>
                <w:rFonts w:ascii="Cambria" w:eastAsia="Times New Roman" w:hAnsi="Cambria" w:cs="Calibri"/>
              </w:rPr>
              <w:t>5.</w:t>
            </w:r>
          </w:p>
        </w:tc>
        <w:tc>
          <w:tcPr>
            <w:tcW w:w="718"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E164123" w14:textId="77777777" w:rsidR="00727BE6" w:rsidRPr="000E50AE" w:rsidRDefault="00727BE6" w:rsidP="00450B7A">
            <w:pPr>
              <w:spacing w:after="0" w:line="240" w:lineRule="auto"/>
              <w:jc w:val="center"/>
              <w:rPr>
                <w:rFonts w:ascii="Cambria" w:eastAsia="Times New Roman" w:hAnsi="Cambria" w:cs="Calibri"/>
              </w:rPr>
            </w:pPr>
            <w:r w:rsidRPr="000E50AE">
              <w:rPr>
                <w:rFonts w:ascii="Cambria" w:eastAsia="Times New Roman" w:hAnsi="Cambria" w:cs="Calibri"/>
              </w:rPr>
              <w:t>34</w:t>
            </w:r>
          </w:p>
        </w:tc>
        <w:tc>
          <w:tcPr>
            <w:tcW w:w="101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6CDA272" w14:textId="77777777" w:rsidR="00727BE6" w:rsidRPr="000E50AE" w:rsidRDefault="00727BE6" w:rsidP="00450B7A">
            <w:pPr>
              <w:spacing w:after="0" w:line="240" w:lineRule="auto"/>
              <w:jc w:val="center"/>
              <w:rPr>
                <w:rFonts w:ascii="Cambria" w:eastAsia="Times New Roman" w:hAnsi="Cambria" w:cs="Calibri"/>
              </w:rPr>
            </w:pPr>
            <w:r w:rsidRPr="000E50AE">
              <w:rPr>
                <w:rFonts w:ascii="Cambria" w:eastAsia="Times New Roman" w:hAnsi="Cambria" w:cs="Calibri"/>
              </w:rPr>
              <w:t>1,1</w:t>
            </w:r>
          </w:p>
        </w:tc>
        <w:tc>
          <w:tcPr>
            <w:tcW w:w="132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9DDDB3D" w14:textId="77777777" w:rsidR="00727BE6" w:rsidRPr="000E50AE" w:rsidRDefault="00727BE6" w:rsidP="00450B7A">
            <w:pPr>
              <w:spacing w:after="0" w:line="240" w:lineRule="auto"/>
              <w:jc w:val="center"/>
              <w:rPr>
                <w:rFonts w:ascii="Cambria" w:eastAsia="Times New Roman" w:hAnsi="Cambria" w:cs="Calibri"/>
              </w:rPr>
            </w:pPr>
            <w:r w:rsidRPr="000E50AE">
              <w:rPr>
                <w:rFonts w:ascii="Cambria" w:eastAsia="Times New Roman" w:hAnsi="Cambria" w:cs="Calibri"/>
              </w:rPr>
              <w:t>10%</w:t>
            </w:r>
          </w:p>
        </w:tc>
      </w:tr>
      <w:tr w:rsidR="00727BE6" w:rsidRPr="000E50AE" w14:paraId="1551EDFD" w14:textId="77777777" w:rsidTr="00450B7A">
        <w:trPr>
          <w:trHeight w:val="151"/>
        </w:trPr>
        <w:tc>
          <w:tcPr>
            <w:tcW w:w="2632" w:type="dxa"/>
            <w:vMerge/>
            <w:tcBorders>
              <w:left w:val="single" w:sz="8" w:space="0" w:color="000000"/>
              <w:right w:val="single" w:sz="8" w:space="0" w:color="000000"/>
            </w:tcBorders>
            <w:vAlign w:val="center"/>
          </w:tcPr>
          <w:p w14:paraId="410ED3AB" w14:textId="77777777" w:rsidR="00727BE6" w:rsidRPr="000E50AE" w:rsidRDefault="00727BE6" w:rsidP="00450B7A">
            <w:pPr>
              <w:spacing w:after="0" w:line="240" w:lineRule="auto"/>
              <w:jc w:val="both"/>
              <w:rPr>
                <w:rFonts w:ascii="Cambria" w:eastAsia="Times New Roman" w:hAnsi="Cambria" w:cs="Calibri"/>
              </w:rPr>
            </w:pPr>
          </w:p>
        </w:tc>
        <w:tc>
          <w:tcPr>
            <w:tcW w:w="2594"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0DB2288" w14:textId="77777777" w:rsidR="00727BE6" w:rsidRPr="000E50AE" w:rsidRDefault="00727BE6" w:rsidP="00450B7A">
            <w:pPr>
              <w:spacing w:after="0" w:line="240" w:lineRule="auto"/>
              <w:jc w:val="both"/>
              <w:rPr>
                <w:rFonts w:ascii="Cambria" w:eastAsia="Times New Roman" w:hAnsi="Cambria" w:cs="Calibri"/>
              </w:rPr>
            </w:pPr>
            <w:proofErr w:type="spellStart"/>
            <w:r w:rsidRPr="000E50AE">
              <w:rPr>
                <w:rFonts w:ascii="Cambria" w:eastAsia="Times New Roman" w:hAnsi="Cambria" w:cs="Calibri"/>
              </w:rPr>
              <w:t>praktični</w:t>
            </w:r>
            <w:proofErr w:type="spellEnd"/>
            <w:r w:rsidRPr="000E50AE">
              <w:rPr>
                <w:rFonts w:ascii="Cambria" w:eastAsia="Times New Roman" w:hAnsi="Cambria" w:cs="Calibri"/>
              </w:rPr>
              <w:t xml:space="preserve"> rad</w:t>
            </w:r>
          </w:p>
        </w:tc>
        <w:tc>
          <w:tcPr>
            <w:tcW w:w="10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1C8AC53" w14:textId="77777777" w:rsidR="00727BE6" w:rsidRPr="000E50AE" w:rsidRDefault="00727BE6" w:rsidP="00450B7A">
            <w:pPr>
              <w:spacing w:after="0" w:line="240" w:lineRule="auto"/>
              <w:jc w:val="center"/>
              <w:rPr>
                <w:rFonts w:ascii="Cambria" w:eastAsia="Times New Roman" w:hAnsi="Cambria" w:cs="Calibri"/>
              </w:rPr>
            </w:pPr>
            <w:r w:rsidRPr="000E50AE">
              <w:rPr>
                <w:rFonts w:ascii="Cambria" w:eastAsia="Times New Roman" w:hAnsi="Cambria" w:cs="Calibri"/>
              </w:rPr>
              <w:t>5.</w:t>
            </w:r>
          </w:p>
        </w:tc>
        <w:tc>
          <w:tcPr>
            <w:tcW w:w="718"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A87BBCE" w14:textId="77777777" w:rsidR="00727BE6" w:rsidRPr="000E50AE" w:rsidRDefault="00727BE6" w:rsidP="00450B7A">
            <w:pPr>
              <w:spacing w:after="0" w:line="240" w:lineRule="auto"/>
              <w:jc w:val="center"/>
              <w:rPr>
                <w:rFonts w:ascii="Cambria" w:eastAsia="Times New Roman" w:hAnsi="Cambria" w:cs="Calibri"/>
              </w:rPr>
            </w:pPr>
            <w:r w:rsidRPr="000E50AE">
              <w:rPr>
                <w:rFonts w:ascii="Cambria" w:eastAsia="Times New Roman" w:hAnsi="Cambria" w:cs="Calibri"/>
              </w:rPr>
              <w:t>18</w:t>
            </w:r>
          </w:p>
        </w:tc>
        <w:tc>
          <w:tcPr>
            <w:tcW w:w="101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43C8489" w14:textId="77777777" w:rsidR="00727BE6" w:rsidRPr="000E50AE" w:rsidRDefault="00727BE6" w:rsidP="00450B7A">
            <w:pPr>
              <w:spacing w:after="0" w:line="240" w:lineRule="auto"/>
              <w:jc w:val="center"/>
              <w:rPr>
                <w:rFonts w:ascii="Cambria" w:eastAsia="Times New Roman" w:hAnsi="Cambria" w:cs="Calibri"/>
              </w:rPr>
            </w:pPr>
            <w:r w:rsidRPr="000E50AE">
              <w:rPr>
                <w:rFonts w:ascii="Cambria" w:eastAsia="Times New Roman" w:hAnsi="Cambria" w:cs="Calibri"/>
              </w:rPr>
              <w:t>0,6</w:t>
            </w:r>
          </w:p>
        </w:tc>
        <w:tc>
          <w:tcPr>
            <w:tcW w:w="132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0B5462D" w14:textId="77777777" w:rsidR="00727BE6" w:rsidRPr="000E50AE" w:rsidRDefault="00727BE6" w:rsidP="00450B7A">
            <w:pPr>
              <w:spacing w:after="0" w:line="240" w:lineRule="auto"/>
              <w:jc w:val="center"/>
              <w:rPr>
                <w:rFonts w:ascii="Cambria" w:eastAsia="Times New Roman" w:hAnsi="Cambria" w:cs="Calibri"/>
              </w:rPr>
            </w:pPr>
            <w:r w:rsidRPr="000E50AE">
              <w:rPr>
                <w:rFonts w:ascii="Cambria" w:eastAsia="Times New Roman" w:hAnsi="Cambria" w:cs="Calibri"/>
              </w:rPr>
              <w:t>10%</w:t>
            </w:r>
          </w:p>
        </w:tc>
      </w:tr>
      <w:tr w:rsidR="00727BE6" w:rsidRPr="000E50AE" w14:paraId="20E6F561" w14:textId="77777777" w:rsidTr="00450B7A">
        <w:trPr>
          <w:trHeight w:val="151"/>
        </w:trPr>
        <w:tc>
          <w:tcPr>
            <w:tcW w:w="2632" w:type="dxa"/>
            <w:vMerge/>
            <w:tcBorders>
              <w:left w:val="single" w:sz="8" w:space="0" w:color="000000"/>
              <w:right w:val="single" w:sz="8" w:space="0" w:color="000000"/>
            </w:tcBorders>
            <w:vAlign w:val="center"/>
            <w:hideMark/>
          </w:tcPr>
          <w:p w14:paraId="0323BAE3" w14:textId="77777777" w:rsidR="00727BE6" w:rsidRPr="000E50AE" w:rsidRDefault="00727BE6" w:rsidP="00450B7A">
            <w:pPr>
              <w:spacing w:after="0" w:line="240" w:lineRule="auto"/>
              <w:jc w:val="both"/>
              <w:rPr>
                <w:rFonts w:ascii="Cambria" w:eastAsia="Times New Roman" w:hAnsi="Cambria" w:cs="Calibri"/>
              </w:rPr>
            </w:pPr>
          </w:p>
        </w:tc>
        <w:tc>
          <w:tcPr>
            <w:tcW w:w="2594"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CC53DE1" w14:textId="77777777" w:rsidR="00727BE6" w:rsidRPr="000E50AE" w:rsidRDefault="00727BE6" w:rsidP="00450B7A">
            <w:pPr>
              <w:spacing w:after="0" w:line="240" w:lineRule="auto"/>
              <w:jc w:val="both"/>
              <w:rPr>
                <w:rFonts w:ascii="Cambria" w:eastAsia="Times New Roman" w:hAnsi="Cambria" w:cs="Calibri"/>
              </w:rPr>
            </w:pPr>
            <w:proofErr w:type="spellStart"/>
            <w:r w:rsidRPr="000E50AE">
              <w:rPr>
                <w:rFonts w:ascii="Cambria" w:eastAsia="Times New Roman" w:hAnsi="Cambria" w:cs="Calibri"/>
              </w:rPr>
              <w:t>kolokvij</w:t>
            </w:r>
            <w:proofErr w:type="spellEnd"/>
            <w:r w:rsidRPr="000E50AE">
              <w:rPr>
                <w:rFonts w:ascii="Cambria" w:eastAsia="Times New Roman" w:hAnsi="Cambria" w:cs="Calibri"/>
              </w:rPr>
              <w:t xml:space="preserve"> (</w:t>
            </w:r>
            <w:proofErr w:type="spellStart"/>
            <w:r w:rsidRPr="000E50AE">
              <w:rPr>
                <w:rFonts w:ascii="Cambria" w:eastAsia="Times New Roman" w:hAnsi="Cambria" w:cs="Calibri"/>
              </w:rPr>
              <w:t>pismeni</w:t>
            </w:r>
            <w:proofErr w:type="spellEnd"/>
            <w:r w:rsidRPr="000E50AE">
              <w:rPr>
                <w:rFonts w:ascii="Cambria" w:eastAsia="Times New Roman" w:hAnsi="Cambria" w:cs="Calibri"/>
              </w:rPr>
              <w:t>)</w:t>
            </w:r>
          </w:p>
        </w:tc>
        <w:tc>
          <w:tcPr>
            <w:tcW w:w="10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5E3A90D" w14:textId="77777777" w:rsidR="00727BE6" w:rsidRPr="000E50AE" w:rsidRDefault="00727BE6" w:rsidP="00450B7A">
            <w:pPr>
              <w:spacing w:after="0" w:line="240" w:lineRule="auto"/>
              <w:jc w:val="center"/>
              <w:rPr>
                <w:rFonts w:ascii="Cambria" w:eastAsia="Times New Roman" w:hAnsi="Cambria" w:cs="Calibri"/>
              </w:rPr>
            </w:pPr>
            <w:r w:rsidRPr="000E50AE">
              <w:rPr>
                <w:rFonts w:ascii="Cambria" w:eastAsia="Times New Roman" w:hAnsi="Cambria" w:cs="Calibri"/>
              </w:rPr>
              <w:t>1.</w:t>
            </w:r>
            <w:r>
              <w:rPr>
                <w:rFonts w:ascii="Cambria" w:eastAsia="Times New Roman" w:hAnsi="Cambria" w:cs="Calibri"/>
              </w:rPr>
              <w:t xml:space="preserve"> – </w:t>
            </w:r>
            <w:r w:rsidRPr="000E50AE">
              <w:rPr>
                <w:rFonts w:ascii="Cambria" w:eastAsia="Times New Roman" w:hAnsi="Cambria" w:cs="Calibri"/>
              </w:rPr>
              <w:t>5.</w:t>
            </w:r>
          </w:p>
        </w:tc>
        <w:tc>
          <w:tcPr>
            <w:tcW w:w="718"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9D906B2" w14:textId="77777777" w:rsidR="00727BE6" w:rsidRPr="000E50AE" w:rsidRDefault="00727BE6" w:rsidP="00450B7A">
            <w:pPr>
              <w:spacing w:after="0" w:line="240" w:lineRule="auto"/>
              <w:jc w:val="center"/>
              <w:rPr>
                <w:rFonts w:ascii="Cambria" w:eastAsia="Times New Roman" w:hAnsi="Cambria" w:cs="Calibri"/>
              </w:rPr>
            </w:pPr>
            <w:r w:rsidRPr="000E50AE">
              <w:rPr>
                <w:rFonts w:ascii="Cambria" w:eastAsia="Times New Roman" w:hAnsi="Cambria" w:cs="Calibri"/>
              </w:rPr>
              <w:t>38</w:t>
            </w:r>
          </w:p>
        </w:tc>
        <w:tc>
          <w:tcPr>
            <w:tcW w:w="101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5E2A0F9" w14:textId="77777777" w:rsidR="00727BE6" w:rsidRPr="000E50AE" w:rsidRDefault="00727BE6" w:rsidP="00450B7A">
            <w:pPr>
              <w:spacing w:after="0" w:line="240" w:lineRule="auto"/>
              <w:jc w:val="center"/>
              <w:rPr>
                <w:rFonts w:ascii="Cambria" w:eastAsia="Times New Roman" w:hAnsi="Cambria" w:cs="Calibri"/>
              </w:rPr>
            </w:pPr>
            <w:r w:rsidRPr="000E50AE">
              <w:rPr>
                <w:rFonts w:ascii="Cambria" w:eastAsia="Times New Roman" w:hAnsi="Cambria" w:cs="Calibri"/>
              </w:rPr>
              <w:t>1,3</w:t>
            </w:r>
          </w:p>
        </w:tc>
        <w:tc>
          <w:tcPr>
            <w:tcW w:w="132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246603E" w14:textId="77777777" w:rsidR="00727BE6" w:rsidRPr="000E50AE" w:rsidRDefault="00727BE6" w:rsidP="00450B7A">
            <w:pPr>
              <w:spacing w:after="0" w:line="240" w:lineRule="auto"/>
              <w:jc w:val="center"/>
              <w:rPr>
                <w:rFonts w:ascii="Cambria" w:eastAsia="Times New Roman" w:hAnsi="Cambria" w:cs="Calibri"/>
              </w:rPr>
            </w:pPr>
            <w:r w:rsidRPr="000E50AE">
              <w:rPr>
                <w:rFonts w:ascii="Cambria" w:eastAsia="Times New Roman" w:hAnsi="Cambria" w:cs="Calibri"/>
              </w:rPr>
              <w:t>2x25%</w:t>
            </w:r>
          </w:p>
        </w:tc>
      </w:tr>
      <w:tr w:rsidR="00727BE6" w:rsidRPr="000E50AE" w14:paraId="467D237D" w14:textId="77777777" w:rsidTr="00450B7A">
        <w:trPr>
          <w:trHeight w:val="151"/>
        </w:trPr>
        <w:tc>
          <w:tcPr>
            <w:tcW w:w="2632" w:type="dxa"/>
            <w:vMerge/>
            <w:tcBorders>
              <w:left w:val="single" w:sz="8" w:space="0" w:color="000000"/>
              <w:right w:val="single" w:sz="8" w:space="0" w:color="000000"/>
            </w:tcBorders>
            <w:vAlign w:val="center"/>
            <w:hideMark/>
          </w:tcPr>
          <w:p w14:paraId="57604F52" w14:textId="77777777" w:rsidR="00727BE6" w:rsidRPr="000E50AE" w:rsidRDefault="00727BE6" w:rsidP="00450B7A">
            <w:pPr>
              <w:spacing w:after="0" w:line="240" w:lineRule="auto"/>
              <w:jc w:val="both"/>
              <w:rPr>
                <w:rFonts w:ascii="Cambria" w:eastAsia="Times New Roman" w:hAnsi="Cambria" w:cs="Calibri"/>
              </w:rPr>
            </w:pPr>
          </w:p>
        </w:tc>
        <w:tc>
          <w:tcPr>
            <w:tcW w:w="2594"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4CFE8C3" w14:textId="77777777" w:rsidR="00727BE6" w:rsidRPr="000E50AE" w:rsidRDefault="00727BE6" w:rsidP="00450B7A">
            <w:pPr>
              <w:spacing w:after="0" w:line="240" w:lineRule="auto"/>
              <w:jc w:val="both"/>
              <w:rPr>
                <w:rFonts w:ascii="Cambria" w:eastAsia="Times New Roman" w:hAnsi="Cambria" w:cs="Calibri"/>
              </w:rPr>
            </w:pPr>
            <w:proofErr w:type="spellStart"/>
            <w:r w:rsidRPr="000E50AE">
              <w:rPr>
                <w:rFonts w:ascii="Cambria" w:eastAsia="Times New Roman" w:hAnsi="Cambria" w:cs="Calibri"/>
              </w:rPr>
              <w:t>ispit</w:t>
            </w:r>
            <w:proofErr w:type="spellEnd"/>
            <w:r w:rsidRPr="000E50AE">
              <w:rPr>
                <w:rFonts w:ascii="Cambria" w:eastAsia="Times New Roman" w:hAnsi="Cambria" w:cs="Calibri"/>
              </w:rPr>
              <w:t xml:space="preserve"> (</w:t>
            </w:r>
            <w:proofErr w:type="spellStart"/>
            <w:r w:rsidRPr="000E50AE">
              <w:rPr>
                <w:rFonts w:ascii="Cambria" w:eastAsia="Times New Roman" w:hAnsi="Cambria" w:cs="Calibri"/>
              </w:rPr>
              <w:t>usmeni</w:t>
            </w:r>
            <w:proofErr w:type="spellEnd"/>
            <w:r w:rsidRPr="000E50AE">
              <w:rPr>
                <w:rFonts w:ascii="Cambria" w:eastAsia="Times New Roman" w:hAnsi="Cambria" w:cs="Calibri"/>
              </w:rPr>
              <w:t>)</w:t>
            </w:r>
          </w:p>
        </w:tc>
        <w:tc>
          <w:tcPr>
            <w:tcW w:w="10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72150DD" w14:textId="77777777" w:rsidR="00727BE6" w:rsidRPr="000E50AE" w:rsidRDefault="00727BE6" w:rsidP="00450B7A">
            <w:pPr>
              <w:spacing w:after="0" w:line="240" w:lineRule="auto"/>
              <w:jc w:val="center"/>
              <w:rPr>
                <w:rFonts w:ascii="Cambria" w:eastAsia="Times New Roman" w:hAnsi="Cambria" w:cs="Calibri"/>
              </w:rPr>
            </w:pPr>
            <w:r w:rsidRPr="000E50AE">
              <w:rPr>
                <w:rFonts w:ascii="Cambria" w:eastAsia="Times New Roman" w:hAnsi="Cambria" w:cs="Calibri"/>
              </w:rPr>
              <w:t>1.</w:t>
            </w:r>
            <w:r>
              <w:rPr>
                <w:rFonts w:ascii="Cambria" w:eastAsia="Times New Roman" w:hAnsi="Cambria" w:cs="Calibri"/>
              </w:rPr>
              <w:t xml:space="preserve"> – </w:t>
            </w:r>
            <w:r w:rsidRPr="000E50AE">
              <w:rPr>
                <w:rFonts w:ascii="Cambria" w:eastAsia="Times New Roman" w:hAnsi="Cambria" w:cs="Calibri"/>
              </w:rPr>
              <w:t>5.</w:t>
            </w:r>
          </w:p>
        </w:tc>
        <w:tc>
          <w:tcPr>
            <w:tcW w:w="718"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42807D3" w14:textId="77777777" w:rsidR="00727BE6" w:rsidRPr="000E50AE" w:rsidRDefault="00727BE6" w:rsidP="00450B7A">
            <w:pPr>
              <w:spacing w:after="0" w:line="240" w:lineRule="auto"/>
              <w:jc w:val="center"/>
              <w:rPr>
                <w:rFonts w:ascii="Cambria" w:eastAsia="Times New Roman" w:hAnsi="Cambria" w:cs="Calibri"/>
              </w:rPr>
            </w:pPr>
            <w:r w:rsidRPr="000E50AE">
              <w:rPr>
                <w:rFonts w:ascii="Cambria" w:eastAsia="Times New Roman" w:hAnsi="Cambria" w:cs="Calibri"/>
              </w:rPr>
              <w:t>30</w:t>
            </w:r>
          </w:p>
        </w:tc>
        <w:tc>
          <w:tcPr>
            <w:tcW w:w="101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EC105D0" w14:textId="77777777" w:rsidR="00727BE6" w:rsidRPr="000E50AE" w:rsidRDefault="00727BE6" w:rsidP="00450B7A">
            <w:pPr>
              <w:spacing w:after="0" w:line="240" w:lineRule="auto"/>
              <w:jc w:val="center"/>
              <w:rPr>
                <w:rFonts w:ascii="Cambria" w:eastAsia="Times New Roman" w:hAnsi="Cambria" w:cs="Calibri"/>
              </w:rPr>
            </w:pPr>
            <w:r w:rsidRPr="000E50AE">
              <w:rPr>
                <w:rFonts w:ascii="Cambria" w:eastAsia="Times New Roman" w:hAnsi="Cambria" w:cs="Calibri"/>
              </w:rPr>
              <w:t>1</w:t>
            </w:r>
          </w:p>
        </w:tc>
        <w:tc>
          <w:tcPr>
            <w:tcW w:w="132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E08E670" w14:textId="77777777" w:rsidR="00727BE6" w:rsidRPr="000E50AE" w:rsidRDefault="00727BE6" w:rsidP="00450B7A">
            <w:pPr>
              <w:spacing w:after="0" w:line="240" w:lineRule="auto"/>
              <w:jc w:val="center"/>
              <w:rPr>
                <w:rFonts w:ascii="Cambria" w:eastAsia="Times New Roman" w:hAnsi="Cambria" w:cs="Calibri"/>
              </w:rPr>
            </w:pPr>
            <w:r w:rsidRPr="000E50AE">
              <w:rPr>
                <w:rFonts w:ascii="Cambria" w:eastAsia="Times New Roman" w:hAnsi="Cambria" w:cs="Calibri"/>
              </w:rPr>
              <w:t>30%</w:t>
            </w:r>
          </w:p>
        </w:tc>
      </w:tr>
      <w:tr w:rsidR="00727BE6" w:rsidRPr="000E50AE" w14:paraId="440FAE56" w14:textId="77777777" w:rsidTr="00450B7A">
        <w:trPr>
          <w:trHeight w:val="151"/>
        </w:trPr>
        <w:tc>
          <w:tcPr>
            <w:tcW w:w="2632" w:type="dxa"/>
            <w:vMerge/>
            <w:tcBorders>
              <w:left w:val="single" w:sz="8" w:space="0" w:color="000000"/>
              <w:right w:val="single" w:sz="8" w:space="0" w:color="000000"/>
            </w:tcBorders>
            <w:vAlign w:val="center"/>
            <w:hideMark/>
          </w:tcPr>
          <w:p w14:paraId="49C75338" w14:textId="77777777" w:rsidR="00727BE6" w:rsidRPr="000E50AE" w:rsidRDefault="00727BE6" w:rsidP="00450B7A">
            <w:pPr>
              <w:spacing w:after="0" w:line="240" w:lineRule="auto"/>
              <w:jc w:val="both"/>
              <w:rPr>
                <w:rFonts w:ascii="Cambria" w:eastAsia="Times New Roman" w:hAnsi="Cambria" w:cs="Calibri"/>
              </w:rPr>
            </w:pPr>
          </w:p>
        </w:tc>
        <w:tc>
          <w:tcPr>
            <w:tcW w:w="3686"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ED058E4" w14:textId="77777777" w:rsidR="00727BE6" w:rsidRPr="000E50AE" w:rsidRDefault="00727BE6" w:rsidP="00450B7A">
            <w:pPr>
              <w:spacing w:after="0" w:line="240" w:lineRule="auto"/>
              <w:jc w:val="both"/>
              <w:rPr>
                <w:rFonts w:ascii="Cambria" w:eastAsia="Times New Roman" w:hAnsi="Cambria" w:cs="Calibri"/>
              </w:rPr>
            </w:pPr>
            <w:proofErr w:type="spellStart"/>
            <w:r w:rsidRPr="000E50AE">
              <w:rPr>
                <w:rFonts w:ascii="Cambria" w:eastAsia="Times New Roman" w:hAnsi="Cambria" w:cs="Calibri"/>
              </w:rPr>
              <w:t>ukupno</w:t>
            </w:r>
            <w:proofErr w:type="spellEnd"/>
          </w:p>
        </w:tc>
        <w:tc>
          <w:tcPr>
            <w:tcW w:w="718"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9EF22F5" w14:textId="77777777" w:rsidR="00727BE6" w:rsidRPr="000E50AE" w:rsidRDefault="00727BE6" w:rsidP="00450B7A">
            <w:pPr>
              <w:spacing w:after="0" w:line="240" w:lineRule="auto"/>
              <w:jc w:val="center"/>
              <w:rPr>
                <w:rFonts w:ascii="Cambria" w:eastAsia="Times New Roman" w:hAnsi="Cambria" w:cs="Calibri"/>
              </w:rPr>
            </w:pPr>
            <w:r w:rsidRPr="000E50AE">
              <w:rPr>
                <w:rFonts w:ascii="Cambria" w:eastAsia="Times New Roman" w:hAnsi="Cambria" w:cs="Calibri"/>
              </w:rPr>
              <w:t>120</w:t>
            </w:r>
          </w:p>
        </w:tc>
        <w:tc>
          <w:tcPr>
            <w:tcW w:w="101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61CDBDC" w14:textId="77777777" w:rsidR="00727BE6" w:rsidRPr="000E50AE" w:rsidRDefault="00727BE6" w:rsidP="00450B7A">
            <w:pPr>
              <w:spacing w:after="0" w:line="240" w:lineRule="auto"/>
              <w:jc w:val="center"/>
              <w:rPr>
                <w:rFonts w:ascii="Cambria" w:eastAsia="Times New Roman" w:hAnsi="Cambria" w:cs="Calibri"/>
              </w:rPr>
            </w:pPr>
            <w:r w:rsidRPr="000E50AE">
              <w:rPr>
                <w:rFonts w:ascii="Cambria" w:eastAsia="Times New Roman" w:hAnsi="Cambria" w:cs="Calibri"/>
              </w:rPr>
              <w:t>4</w:t>
            </w:r>
          </w:p>
        </w:tc>
        <w:tc>
          <w:tcPr>
            <w:tcW w:w="132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C2B4C02" w14:textId="77777777" w:rsidR="00727BE6" w:rsidRPr="000E50AE" w:rsidRDefault="00727BE6" w:rsidP="00450B7A">
            <w:pPr>
              <w:spacing w:after="0" w:line="240" w:lineRule="auto"/>
              <w:jc w:val="center"/>
              <w:rPr>
                <w:rFonts w:ascii="Cambria" w:eastAsia="Times New Roman" w:hAnsi="Cambria" w:cs="Calibri"/>
              </w:rPr>
            </w:pPr>
            <w:r w:rsidRPr="000E50AE">
              <w:rPr>
                <w:rFonts w:ascii="Cambria" w:eastAsia="Times New Roman" w:hAnsi="Cambria" w:cs="Calibri"/>
              </w:rPr>
              <w:t>100%</w:t>
            </w:r>
          </w:p>
        </w:tc>
      </w:tr>
      <w:tr w:rsidR="00727BE6" w:rsidRPr="000E50AE" w14:paraId="28EC8690" w14:textId="77777777" w:rsidTr="00450B7A">
        <w:trPr>
          <w:trHeight w:val="151"/>
        </w:trPr>
        <w:tc>
          <w:tcPr>
            <w:tcW w:w="2632" w:type="dxa"/>
            <w:vMerge/>
            <w:tcBorders>
              <w:left w:val="single" w:sz="8" w:space="0" w:color="000000"/>
              <w:bottom w:val="single" w:sz="8" w:space="0" w:color="000000"/>
              <w:right w:val="single" w:sz="8" w:space="0" w:color="000000"/>
            </w:tcBorders>
            <w:vAlign w:val="center"/>
          </w:tcPr>
          <w:p w14:paraId="289FE944" w14:textId="77777777" w:rsidR="00727BE6" w:rsidRPr="000E50AE" w:rsidRDefault="00727BE6" w:rsidP="00450B7A">
            <w:pPr>
              <w:spacing w:after="0" w:line="240" w:lineRule="auto"/>
              <w:jc w:val="both"/>
              <w:rPr>
                <w:rFonts w:ascii="Cambria" w:eastAsia="Times New Roman" w:hAnsi="Cambria" w:cs="Calibri"/>
              </w:rPr>
            </w:pPr>
          </w:p>
        </w:tc>
        <w:tc>
          <w:tcPr>
            <w:tcW w:w="6742"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9C4AF3F" w14:textId="77777777" w:rsidR="00727BE6" w:rsidRPr="000E50AE" w:rsidRDefault="00727BE6" w:rsidP="00450B7A">
            <w:pPr>
              <w:spacing w:after="0" w:line="240" w:lineRule="auto"/>
              <w:jc w:val="both"/>
              <w:rPr>
                <w:rFonts w:ascii="Cambria" w:eastAsia="Times New Roman" w:hAnsi="Cambria" w:cs="Calibri"/>
              </w:rPr>
            </w:pPr>
            <w:proofErr w:type="spellStart"/>
            <w:r w:rsidRPr="000E50AE">
              <w:rPr>
                <w:rFonts w:ascii="Cambria" w:eastAsia="Times New Roman" w:hAnsi="Cambria" w:cs="Calibri"/>
              </w:rPr>
              <w:t>Dodatna</w:t>
            </w:r>
            <w:proofErr w:type="spellEnd"/>
            <w:r w:rsidRPr="000E50AE">
              <w:rPr>
                <w:rFonts w:ascii="Cambria" w:eastAsia="Times New Roman" w:hAnsi="Cambria" w:cs="Calibri"/>
              </w:rPr>
              <w:t xml:space="preserve"> </w:t>
            </w:r>
            <w:proofErr w:type="spellStart"/>
            <w:r w:rsidRPr="000E50AE">
              <w:rPr>
                <w:rFonts w:ascii="Cambria" w:eastAsia="Times New Roman" w:hAnsi="Cambria" w:cs="Calibri"/>
              </w:rPr>
              <w:t>pojašnjenja</w:t>
            </w:r>
            <w:proofErr w:type="spellEnd"/>
            <w:r w:rsidRPr="000E50AE">
              <w:rPr>
                <w:rFonts w:ascii="Cambria" w:eastAsia="Times New Roman" w:hAnsi="Cambria" w:cs="Calibri"/>
              </w:rPr>
              <w:t xml:space="preserve"> (</w:t>
            </w:r>
            <w:proofErr w:type="spellStart"/>
            <w:r w:rsidRPr="000E50AE">
              <w:rPr>
                <w:rFonts w:ascii="Cambria" w:eastAsia="Times New Roman" w:hAnsi="Cambria" w:cs="Calibri"/>
              </w:rPr>
              <w:t>kriteriji</w:t>
            </w:r>
            <w:proofErr w:type="spellEnd"/>
            <w:r w:rsidRPr="000E50AE">
              <w:rPr>
                <w:rFonts w:ascii="Cambria" w:eastAsia="Times New Roman" w:hAnsi="Cambria" w:cs="Calibri"/>
              </w:rPr>
              <w:t xml:space="preserve"> </w:t>
            </w:r>
            <w:proofErr w:type="spellStart"/>
            <w:r w:rsidRPr="000E50AE">
              <w:rPr>
                <w:rFonts w:ascii="Cambria" w:eastAsia="Times New Roman" w:hAnsi="Cambria" w:cs="Calibri"/>
              </w:rPr>
              <w:t>ocjenjivanja</w:t>
            </w:r>
            <w:proofErr w:type="spellEnd"/>
            <w:r w:rsidRPr="000E50AE">
              <w:rPr>
                <w:rFonts w:ascii="Cambria" w:eastAsia="Times New Roman" w:hAnsi="Cambria" w:cs="Calibri"/>
              </w:rPr>
              <w:t>):</w:t>
            </w:r>
          </w:p>
          <w:p w14:paraId="2983B9B0" w14:textId="77777777" w:rsidR="00727BE6" w:rsidRPr="007B5EAE" w:rsidRDefault="00727BE6" w:rsidP="00450B7A">
            <w:pPr>
              <w:spacing w:after="0" w:line="240" w:lineRule="auto"/>
              <w:jc w:val="both"/>
              <w:rPr>
                <w:rFonts w:ascii="Cambria" w:eastAsia="Times New Roman" w:hAnsi="Cambria" w:cs="Calibri"/>
                <w:lang w:val="it-IT"/>
              </w:rPr>
            </w:pPr>
            <w:proofErr w:type="spellStart"/>
            <w:r w:rsidRPr="000E50AE">
              <w:rPr>
                <w:rFonts w:ascii="Cambria" w:eastAsia="Times New Roman" w:hAnsi="Cambria" w:cs="Calibri"/>
                <w:bCs/>
              </w:rPr>
              <w:t>Pohađanje</w:t>
            </w:r>
            <w:proofErr w:type="spellEnd"/>
            <w:r w:rsidRPr="000E50AE">
              <w:rPr>
                <w:rFonts w:ascii="Cambria" w:eastAsia="Times New Roman" w:hAnsi="Cambria" w:cs="Calibri"/>
                <w:bCs/>
              </w:rPr>
              <w:t xml:space="preserve"> </w:t>
            </w:r>
            <w:proofErr w:type="spellStart"/>
            <w:r w:rsidRPr="000E50AE">
              <w:rPr>
                <w:rFonts w:ascii="Cambria" w:eastAsia="Times New Roman" w:hAnsi="Cambria" w:cs="Calibri"/>
                <w:bCs/>
              </w:rPr>
              <w:t>nastave</w:t>
            </w:r>
            <w:proofErr w:type="spellEnd"/>
            <w:r w:rsidRPr="000E50AE">
              <w:rPr>
                <w:rFonts w:ascii="Cambria" w:eastAsia="Times New Roman" w:hAnsi="Cambria" w:cs="Calibri"/>
              </w:rPr>
              <w:t xml:space="preserve"> je </w:t>
            </w:r>
            <w:proofErr w:type="spellStart"/>
            <w:r w:rsidRPr="000E50AE">
              <w:rPr>
                <w:rFonts w:ascii="Cambria" w:eastAsia="Times New Roman" w:hAnsi="Cambria" w:cs="Calibri"/>
              </w:rPr>
              <w:t>obvezno</w:t>
            </w:r>
            <w:proofErr w:type="spellEnd"/>
            <w:r w:rsidRPr="000E50AE">
              <w:rPr>
                <w:rFonts w:ascii="Cambria" w:eastAsia="Times New Roman" w:hAnsi="Cambria" w:cs="Calibri"/>
              </w:rPr>
              <w:t xml:space="preserve">. </w:t>
            </w:r>
            <w:proofErr w:type="spellStart"/>
            <w:r w:rsidRPr="007B5EAE">
              <w:rPr>
                <w:rFonts w:ascii="Cambria" w:eastAsia="Times New Roman" w:hAnsi="Cambria" w:cs="Calibri"/>
                <w:lang w:val="it-IT"/>
              </w:rPr>
              <w:t>Tolerira</w:t>
            </w:r>
            <w:proofErr w:type="spellEnd"/>
            <w:r w:rsidRPr="007B5EAE">
              <w:rPr>
                <w:rFonts w:ascii="Cambria" w:eastAsia="Times New Roman" w:hAnsi="Cambria" w:cs="Calibri"/>
                <w:lang w:val="it-IT"/>
              </w:rPr>
              <w:t xml:space="preserve"> se 30% </w:t>
            </w:r>
            <w:proofErr w:type="spellStart"/>
            <w:r w:rsidRPr="007B5EAE">
              <w:rPr>
                <w:rFonts w:ascii="Cambria" w:eastAsia="Times New Roman" w:hAnsi="Cambria" w:cs="Calibri"/>
                <w:lang w:val="it-IT"/>
              </w:rPr>
              <w:t>izostanaka</w:t>
            </w:r>
            <w:proofErr w:type="spellEnd"/>
            <w:r w:rsidRPr="007B5EAE">
              <w:rPr>
                <w:rFonts w:ascii="Cambria" w:eastAsia="Times New Roman" w:hAnsi="Cambria" w:cs="Calibri"/>
                <w:lang w:val="it-IT"/>
              </w:rPr>
              <w:t xml:space="preserve"> (4 </w:t>
            </w:r>
            <w:proofErr w:type="spellStart"/>
            <w:r w:rsidRPr="007B5EAE">
              <w:rPr>
                <w:rFonts w:ascii="Cambria" w:eastAsia="Times New Roman" w:hAnsi="Cambria" w:cs="Calibri"/>
                <w:lang w:val="it-IT"/>
              </w:rPr>
              <w:t>izostanka</w:t>
            </w:r>
            <w:proofErr w:type="spellEnd"/>
            <w:r w:rsidRPr="007B5EAE">
              <w:rPr>
                <w:rFonts w:ascii="Cambria" w:eastAsia="Times New Roman" w:hAnsi="Cambria" w:cs="Calibri"/>
                <w:lang w:val="it-IT"/>
              </w:rPr>
              <w:t xml:space="preserve">) i </w:t>
            </w:r>
            <w:proofErr w:type="spellStart"/>
            <w:r w:rsidRPr="007B5EAE">
              <w:rPr>
                <w:rFonts w:ascii="Cambria" w:eastAsia="Times New Roman" w:hAnsi="Cambria" w:cs="Calibri"/>
                <w:lang w:val="it-IT"/>
              </w:rPr>
              <w:t>njih</w:t>
            </w:r>
            <w:proofErr w:type="spellEnd"/>
            <w:r w:rsidRPr="007B5EAE">
              <w:rPr>
                <w:rFonts w:ascii="Cambria" w:eastAsia="Times New Roman" w:hAnsi="Cambria" w:cs="Calibri"/>
                <w:lang w:val="it-IT"/>
              </w:rPr>
              <w:t xml:space="preserve"> </w:t>
            </w:r>
            <w:proofErr w:type="spellStart"/>
            <w:r w:rsidRPr="007B5EAE">
              <w:rPr>
                <w:rFonts w:ascii="Cambria" w:eastAsia="Times New Roman" w:hAnsi="Cambria" w:cs="Calibri"/>
                <w:lang w:val="it-IT"/>
              </w:rPr>
              <w:t>nije</w:t>
            </w:r>
            <w:proofErr w:type="spellEnd"/>
            <w:r w:rsidRPr="007B5EAE">
              <w:rPr>
                <w:rFonts w:ascii="Cambria" w:eastAsia="Times New Roman" w:hAnsi="Cambria" w:cs="Calibri"/>
                <w:lang w:val="it-IT"/>
              </w:rPr>
              <w:t xml:space="preserve"> </w:t>
            </w:r>
            <w:proofErr w:type="spellStart"/>
            <w:r w:rsidRPr="007B5EAE">
              <w:rPr>
                <w:rFonts w:ascii="Cambria" w:eastAsia="Times New Roman" w:hAnsi="Cambria" w:cs="Calibri"/>
                <w:lang w:val="it-IT"/>
              </w:rPr>
              <w:t>potrebno</w:t>
            </w:r>
            <w:proofErr w:type="spellEnd"/>
            <w:r w:rsidRPr="007B5EAE">
              <w:rPr>
                <w:rFonts w:ascii="Cambria" w:eastAsia="Times New Roman" w:hAnsi="Cambria" w:cs="Calibri"/>
                <w:lang w:val="it-IT"/>
              </w:rPr>
              <w:t xml:space="preserve"> </w:t>
            </w:r>
            <w:proofErr w:type="spellStart"/>
            <w:r w:rsidRPr="007B5EAE">
              <w:rPr>
                <w:rFonts w:ascii="Cambria" w:eastAsia="Times New Roman" w:hAnsi="Cambria" w:cs="Calibri"/>
                <w:lang w:val="it-IT"/>
              </w:rPr>
              <w:t>opravdati</w:t>
            </w:r>
            <w:proofErr w:type="spellEnd"/>
            <w:r w:rsidRPr="007B5EAE">
              <w:rPr>
                <w:rFonts w:ascii="Cambria" w:eastAsia="Times New Roman" w:hAnsi="Cambria" w:cs="Calibri"/>
                <w:lang w:val="it-IT"/>
              </w:rPr>
              <w:t xml:space="preserve">. </w:t>
            </w:r>
            <w:proofErr w:type="spellStart"/>
            <w:r w:rsidRPr="007B5EAE">
              <w:rPr>
                <w:rFonts w:ascii="Cambria" w:eastAsia="Times New Roman" w:hAnsi="Cambria" w:cs="Calibri"/>
                <w:lang w:val="it-IT"/>
              </w:rPr>
              <w:t>Praćenje</w:t>
            </w:r>
            <w:proofErr w:type="spellEnd"/>
            <w:r w:rsidRPr="007B5EAE">
              <w:rPr>
                <w:rFonts w:ascii="Cambria" w:eastAsia="Times New Roman" w:hAnsi="Cambria" w:cs="Calibri"/>
                <w:lang w:val="it-IT"/>
              </w:rPr>
              <w:t xml:space="preserve"> i </w:t>
            </w:r>
            <w:proofErr w:type="spellStart"/>
            <w:r w:rsidRPr="007B5EAE">
              <w:rPr>
                <w:rFonts w:ascii="Cambria" w:eastAsia="Times New Roman" w:hAnsi="Cambria" w:cs="Calibri"/>
                <w:lang w:val="it-IT"/>
              </w:rPr>
              <w:t>ocjenjivanje</w:t>
            </w:r>
            <w:proofErr w:type="spellEnd"/>
            <w:r w:rsidRPr="007B5EAE">
              <w:rPr>
                <w:rFonts w:ascii="Cambria" w:eastAsia="Times New Roman" w:hAnsi="Cambria" w:cs="Calibri"/>
                <w:lang w:val="it-IT"/>
              </w:rPr>
              <w:t xml:space="preserve"> </w:t>
            </w:r>
            <w:proofErr w:type="spellStart"/>
            <w:r w:rsidRPr="007B5EAE">
              <w:rPr>
                <w:rFonts w:ascii="Cambria" w:eastAsia="Times New Roman" w:hAnsi="Cambria" w:cs="Calibri"/>
                <w:lang w:val="it-IT"/>
              </w:rPr>
              <w:t>studenata</w:t>
            </w:r>
            <w:proofErr w:type="spellEnd"/>
            <w:r w:rsidRPr="007B5EAE">
              <w:rPr>
                <w:rFonts w:ascii="Cambria" w:eastAsia="Times New Roman" w:hAnsi="Cambria" w:cs="Calibri"/>
                <w:lang w:val="it-IT"/>
              </w:rPr>
              <w:t xml:space="preserve"> </w:t>
            </w:r>
            <w:proofErr w:type="spellStart"/>
            <w:r w:rsidRPr="007B5EAE">
              <w:rPr>
                <w:rFonts w:ascii="Cambria" w:eastAsia="Times New Roman" w:hAnsi="Cambria" w:cs="Calibri"/>
                <w:lang w:val="it-IT"/>
              </w:rPr>
              <w:t>izvodi</w:t>
            </w:r>
            <w:proofErr w:type="spellEnd"/>
            <w:r w:rsidRPr="007B5EAE">
              <w:rPr>
                <w:rFonts w:ascii="Cambria" w:eastAsia="Times New Roman" w:hAnsi="Cambria" w:cs="Calibri"/>
                <w:lang w:val="it-IT"/>
              </w:rPr>
              <w:t xml:space="preserve"> se </w:t>
            </w:r>
            <w:proofErr w:type="spellStart"/>
            <w:r w:rsidRPr="007B5EAE">
              <w:rPr>
                <w:rFonts w:ascii="Cambria" w:eastAsia="Times New Roman" w:hAnsi="Cambria" w:cs="Calibri"/>
                <w:lang w:val="it-IT"/>
              </w:rPr>
              <w:t>tijekom</w:t>
            </w:r>
            <w:proofErr w:type="spellEnd"/>
            <w:r w:rsidRPr="007B5EAE">
              <w:rPr>
                <w:rFonts w:ascii="Cambria" w:eastAsia="Times New Roman" w:hAnsi="Cambria" w:cs="Calibri"/>
                <w:lang w:val="it-IT"/>
              </w:rPr>
              <w:t xml:space="preserve"> </w:t>
            </w:r>
            <w:proofErr w:type="spellStart"/>
            <w:r w:rsidRPr="007B5EAE">
              <w:rPr>
                <w:rFonts w:ascii="Cambria" w:eastAsia="Times New Roman" w:hAnsi="Cambria" w:cs="Calibri"/>
                <w:lang w:val="it-IT"/>
              </w:rPr>
              <w:t>nastave</w:t>
            </w:r>
            <w:proofErr w:type="spellEnd"/>
            <w:r w:rsidRPr="007B5EAE">
              <w:rPr>
                <w:rFonts w:ascii="Cambria" w:eastAsia="Times New Roman" w:hAnsi="Cambria" w:cs="Calibri"/>
                <w:lang w:val="it-IT"/>
              </w:rPr>
              <w:t xml:space="preserve"> i </w:t>
            </w:r>
            <w:proofErr w:type="spellStart"/>
            <w:r w:rsidRPr="007B5EAE">
              <w:rPr>
                <w:rFonts w:ascii="Cambria" w:eastAsia="Times New Roman" w:hAnsi="Cambria" w:cs="Calibri"/>
                <w:lang w:val="it-IT"/>
              </w:rPr>
              <w:t>na</w:t>
            </w:r>
            <w:proofErr w:type="spellEnd"/>
            <w:r w:rsidRPr="007B5EAE">
              <w:rPr>
                <w:rFonts w:ascii="Cambria" w:eastAsia="Times New Roman" w:hAnsi="Cambria" w:cs="Calibri"/>
                <w:lang w:val="it-IT"/>
              </w:rPr>
              <w:t xml:space="preserve"> </w:t>
            </w:r>
            <w:proofErr w:type="spellStart"/>
            <w:r w:rsidRPr="007B5EAE">
              <w:rPr>
                <w:rFonts w:ascii="Cambria" w:eastAsia="Times New Roman" w:hAnsi="Cambria" w:cs="Calibri"/>
                <w:lang w:val="it-IT"/>
              </w:rPr>
              <w:t>završnom</w:t>
            </w:r>
            <w:proofErr w:type="spellEnd"/>
            <w:r w:rsidRPr="007B5EAE">
              <w:rPr>
                <w:rFonts w:ascii="Cambria" w:eastAsia="Times New Roman" w:hAnsi="Cambria" w:cs="Calibri"/>
                <w:lang w:val="it-IT"/>
              </w:rPr>
              <w:t xml:space="preserve"> </w:t>
            </w:r>
            <w:proofErr w:type="spellStart"/>
            <w:r w:rsidRPr="007B5EAE">
              <w:rPr>
                <w:rFonts w:ascii="Cambria" w:eastAsia="Times New Roman" w:hAnsi="Cambria" w:cs="Calibri"/>
                <w:lang w:val="it-IT"/>
              </w:rPr>
              <w:t>ispitu</w:t>
            </w:r>
            <w:proofErr w:type="spellEnd"/>
            <w:r w:rsidRPr="007B5EAE">
              <w:rPr>
                <w:rFonts w:ascii="Cambria" w:eastAsia="Times New Roman" w:hAnsi="Cambria" w:cs="Calibri"/>
                <w:lang w:val="it-IT"/>
              </w:rPr>
              <w:t xml:space="preserve">. </w:t>
            </w:r>
            <w:proofErr w:type="spellStart"/>
            <w:r w:rsidRPr="007B5EAE">
              <w:rPr>
                <w:rFonts w:ascii="Cambria" w:eastAsia="Times New Roman" w:hAnsi="Cambria" w:cs="Calibri"/>
                <w:lang w:val="it-IT"/>
              </w:rPr>
              <w:t>Tijekom</w:t>
            </w:r>
            <w:proofErr w:type="spellEnd"/>
            <w:r w:rsidRPr="007B5EAE">
              <w:rPr>
                <w:rFonts w:ascii="Cambria" w:eastAsia="Times New Roman" w:hAnsi="Cambria" w:cs="Calibri"/>
                <w:lang w:val="it-IT"/>
              </w:rPr>
              <w:t xml:space="preserve"> </w:t>
            </w:r>
            <w:proofErr w:type="spellStart"/>
            <w:r w:rsidRPr="007B5EAE">
              <w:rPr>
                <w:rFonts w:ascii="Cambria" w:eastAsia="Times New Roman" w:hAnsi="Cambria" w:cs="Calibri"/>
                <w:lang w:val="it-IT"/>
              </w:rPr>
              <w:t>nastave</w:t>
            </w:r>
            <w:proofErr w:type="spellEnd"/>
            <w:r w:rsidRPr="007B5EAE">
              <w:rPr>
                <w:rFonts w:ascii="Cambria" w:eastAsia="Times New Roman" w:hAnsi="Cambria" w:cs="Calibri"/>
                <w:lang w:val="it-IT"/>
              </w:rPr>
              <w:t xml:space="preserve"> </w:t>
            </w:r>
            <w:proofErr w:type="spellStart"/>
            <w:r w:rsidRPr="007B5EAE">
              <w:rPr>
                <w:rFonts w:ascii="Cambria" w:eastAsia="Times New Roman" w:hAnsi="Cambria" w:cs="Calibri"/>
                <w:lang w:val="it-IT"/>
              </w:rPr>
              <w:t>student</w:t>
            </w:r>
            <w:proofErr w:type="spellEnd"/>
            <w:r w:rsidRPr="007B5EAE">
              <w:rPr>
                <w:rFonts w:ascii="Cambria" w:eastAsia="Times New Roman" w:hAnsi="Cambria" w:cs="Calibri"/>
                <w:lang w:val="it-IT"/>
              </w:rPr>
              <w:t xml:space="preserve"> </w:t>
            </w:r>
            <w:proofErr w:type="spellStart"/>
            <w:r w:rsidRPr="007B5EAE">
              <w:rPr>
                <w:rFonts w:ascii="Cambria" w:eastAsia="Times New Roman" w:hAnsi="Cambria" w:cs="Calibri"/>
                <w:lang w:val="it-IT"/>
              </w:rPr>
              <w:t>ostvaruje</w:t>
            </w:r>
            <w:proofErr w:type="spellEnd"/>
            <w:r w:rsidRPr="007B5EAE">
              <w:rPr>
                <w:rFonts w:ascii="Cambria" w:eastAsia="Times New Roman" w:hAnsi="Cambria" w:cs="Calibri"/>
                <w:lang w:val="it-IT"/>
              </w:rPr>
              <w:t xml:space="preserve"> 70% </w:t>
            </w:r>
            <w:proofErr w:type="spellStart"/>
            <w:r w:rsidRPr="007B5EAE">
              <w:rPr>
                <w:rFonts w:ascii="Cambria" w:eastAsia="Times New Roman" w:hAnsi="Cambria" w:cs="Calibri"/>
                <w:lang w:val="it-IT"/>
              </w:rPr>
              <w:t>ocjene</w:t>
            </w:r>
            <w:proofErr w:type="spellEnd"/>
            <w:r w:rsidRPr="007B5EAE">
              <w:rPr>
                <w:rFonts w:ascii="Cambria" w:eastAsia="Times New Roman" w:hAnsi="Cambria" w:cs="Calibri"/>
                <w:lang w:val="it-IT"/>
              </w:rPr>
              <w:t xml:space="preserve">, a </w:t>
            </w:r>
            <w:proofErr w:type="spellStart"/>
            <w:r w:rsidRPr="007B5EAE">
              <w:rPr>
                <w:rFonts w:ascii="Cambria" w:eastAsia="Times New Roman" w:hAnsi="Cambria" w:cs="Calibri"/>
                <w:lang w:val="it-IT"/>
              </w:rPr>
              <w:t>na</w:t>
            </w:r>
            <w:proofErr w:type="spellEnd"/>
            <w:r w:rsidRPr="007B5EAE">
              <w:rPr>
                <w:rFonts w:ascii="Cambria" w:eastAsia="Times New Roman" w:hAnsi="Cambria" w:cs="Calibri"/>
                <w:lang w:val="it-IT"/>
              </w:rPr>
              <w:t xml:space="preserve"> </w:t>
            </w:r>
            <w:proofErr w:type="spellStart"/>
            <w:r w:rsidRPr="007B5EAE">
              <w:rPr>
                <w:rFonts w:ascii="Cambria" w:eastAsia="Times New Roman" w:hAnsi="Cambria" w:cs="Calibri"/>
                <w:lang w:val="it-IT"/>
              </w:rPr>
              <w:t>završnom</w:t>
            </w:r>
            <w:proofErr w:type="spellEnd"/>
            <w:r w:rsidRPr="007B5EAE">
              <w:rPr>
                <w:rFonts w:ascii="Cambria" w:eastAsia="Times New Roman" w:hAnsi="Cambria" w:cs="Calibri"/>
                <w:lang w:val="it-IT"/>
              </w:rPr>
              <w:t xml:space="preserve"> </w:t>
            </w:r>
            <w:proofErr w:type="spellStart"/>
            <w:r w:rsidRPr="007B5EAE">
              <w:rPr>
                <w:rFonts w:ascii="Cambria" w:eastAsia="Times New Roman" w:hAnsi="Cambria" w:cs="Calibri"/>
                <w:lang w:val="it-IT"/>
              </w:rPr>
              <w:t>ispitu</w:t>
            </w:r>
            <w:proofErr w:type="spellEnd"/>
            <w:r w:rsidRPr="007B5EAE">
              <w:rPr>
                <w:rFonts w:ascii="Cambria" w:eastAsia="Times New Roman" w:hAnsi="Cambria" w:cs="Calibri"/>
                <w:lang w:val="it-IT"/>
              </w:rPr>
              <w:t xml:space="preserve"> 30% </w:t>
            </w:r>
            <w:proofErr w:type="spellStart"/>
            <w:r w:rsidRPr="007B5EAE">
              <w:rPr>
                <w:rFonts w:ascii="Cambria" w:eastAsia="Times New Roman" w:hAnsi="Cambria" w:cs="Calibri"/>
                <w:lang w:val="it-IT"/>
              </w:rPr>
              <w:t>ocjene</w:t>
            </w:r>
            <w:proofErr w:type="spellEnd"/>
            <w:r w:rsidRPr="007B5EAE">
              <w:rPr>
                <w:rFonts w:ascii="Cambria" w:eastAsia="Times New Roman" w:hAnsi="Cambria" w:cs="Calibri"/>
                <w:lang w:val="it-IT"/>
              </w:rPr>
              <w:t>.</w:t>
            </w:r>
          </w:p>
          <w:p w14:paraId="3D775873" w14:textId="77777777" w:rsidR="00727BE6" w:rsidRPr="007B5EAE" w:rsidRDefault="00727BE6" w:rsidP="00450B7A">
            <w:pPr>
              <w:spacing w:after="0" w:line="240" w:lineRule="auto"/>
              <w:jc w:val="both"/>
              <w:rPr>
                <w:rFonts w:ascii="Cambria" w:eastAsia="Times New Roman" w:hAnsi="Cambria" w:cs="Calibri"/>
                <w:lang w:val="it-IT"/>
              </w:rPr>
            </w:pPr>
            <w:proofErr w:type="spellStart"/>
            <w:r w:rsidRPr="007B5EAE">
              <w:rPr>
                <w:rFonts w:ascii="Cambria" w:eastAsia="Times New Roman" w:hAnsi="Cambria" w:cs="Calibri"/>
                <w:bCs/>
                <w:lang w:val="it-IT"/>
              </w:rPr>
              <w:t>Praktični</w:t>
            </w:r>
            <w:proofErr w:type="spellEnd"/>
            <w:r w:rsidRPr="007B5EAE">
              <w:rPr>
                <w:rFonts w:ascii="Cambria" w:eastAsia="Times New Roman" w:hAnsi="Cambria" w:cs="Calibri"/>
                <w:bCs/>
                <w:lang w:val="it-IT"/>
              </w:rPr>
              <w:t xml:space="preserve"> rad</w:t>
            </w:r>
            <w:r w:rsidRPr="007B5EAE">
              <w:rPr>
                <w:rFonts w:ascii="Cambria" w:eastAsia="Times New Roman" w:hAnsi="Cambria" w:cs="Calibri"/>
                <w:lang w:val="it-IT"/>
              </w:rPr>
              <w:t xml:space="preserve"> se </w:t>
            </w:r>
            <w:proofErr w:type="spellStart"/>
            <w:r w:rsidRPr="007B5EAE">
              <w:rPr>
                <w:rFonts w:ascii="Cambria" w:eastAsia="Times New Roman" w:hAnsi="Cambria" w:cs="Calibri"/>
                <w:lang w:val="it-IT"/>
              </w:rPr>
              <w:t>odnosi</w:t>
            </w:r>
            <w:proofErr w:type="spellEnd"/>
            <w:r w:rsidRPr="007B5EAE">
              <w:rPr>
                <w:rFonts w:ascii="Cambria" w:eastAsia="Times New Roman" w:hAnsi="Cambria" w:cs="Calibri"/>
                <w:lang w:val="it-IT"/>
              </w:rPr>
              <w:t xml:space="preserve"> </w:t>
            </w:r>
            <w:proofErr w:type="spellStart"/>
            <w:r w:rsidRPr="007B5EAE">
              <w:rPr>
                <w:rFonts w:ascii="Cambria" w:eastAsia="Times New Roman" w:hAnsi="Cambria" w:cs="Calibri"/>
                <w:lang w:val="it-IT"/>
              </w:rPr>
              <w:t>na</w:t>
            </w:r>
            <w:proofErr w:type="spellEnd"/>
            <w:r w:rsidRPr="007B5EAE">
              <w:rPr>
                <w:rFonts w:ascii="Cambria" w:eastAsia="Times New Roman" w:hAnsi="Cambria" w:cs="Calibri"/>
                <w:lang w:val="it-IT"/>
              </w:rPr>
              <w:t xml:space="preserve"> </w:t>
            </w:r>
            <w:proofErr w:type="spellStart"/>
            <w:r w:rsidRPr="007B5EAE">
              <w:rPr>
                <w:rFonts w:ascii="Cambria" w:eastAsia="Times New Roman" w:hAnsi="Cambria" w:cs="Calibri"/>
                <w:lang w:val="it-IT"/>
              </w:rPr>
              <w:t>izradu</w:t>
            </w:r>
            <w:proofErr w:type="spellEnd"/>
            <w:r w:rsidRPr="007B5EAE">
              <w:rPr>
                <w:rFonts w:ascii="Cambria" w:eastAsia="Times New Roman" w:hAnsi="Cambria" w:cs="Calibri"/>
                <w:lang w:val="it-IT"/>
              </w:rPr>
              <w:t xml:space="preserve"> i </w:t>
            </w:r>
            <w:proofErr w:type="spellStart"/>
            <w:r w:rsidRPr="007B5EAE">
              <w:rPr>
                <w:rFonts w:ascii="Cambria" w:eastAsia="Times New Roman" w:hAnsi="Cambria" w:cs="Calibri"/>
                <w:lang w:val="it-IT"/>
              </w:rPr>
              <w:t>provođenje</w:t>
            </w:r>
            <w:proofErr w:type="spellEnd"/>
            <w:r w:rsidRPr="007B5EAE">
              <w:rPr>
                <w:rFonts w:ascii="Cambria" w:eastAsia="Times New Roman" w:hAnsi="Cambria" w:cs="Calibri"/>
                <w:lang w:val="it-IT"/>
              </w:rPr>
              <w:t xml:space="preserve"> </w:t>
            </w:r>
            <w:proofErr w:type="spellStart"/>
            <w:r w:rsidRPr="007B5EAE">
              <w:rPr>
                <w:rFonts w:ascii="Cambria" w:eastAsia="Times New Roman" w:hAnsi="Cambria" w:cs="Calibri"/>
                <w:lang w:val="it-IT"/>
              </w:rPr>
              <w:t>sadržaja</w:t>
            </w:r>
            <w:proofErr w:type="spellEnd"/>
            <w:r w:rsidRPr="007B5EAE">
              <w:rPr>
                <w:rFonts w:ascii="Cambria" w:eastAsia="Times New Roman" w:hAnsi="Cambria" w:cs="Calibri"/>
                <w:lang w:val="it-IT"/>
              </w:rPr>
              <w:t xml:space="preserve"> </w:t>
            </w:r>
            <w:proofErr w:type="spellStart"/>
            <w:r w:rsidRPr="007B5EAE">
              <w:rPr>
                <w:rFonts w:ascii="Cambria" w:eastAsia="Times New Roman" w:hAnsi="Cambria" w:cs="Calibri"/>
                <w:lang w:val="it-IT"/>
              </w:rPr>
              <w:t>tjelesne</w:t>
            </w:r>
            <w:proofErr w:type="spellEnd"/>
            <w:r w:rsidRPr="007B5EAE">
              <w:rPr>
                <w:rFonts w:ascii="Cambria" w:eastAsia="Times New Roman" w:hAnsi="Cambria" w:cs="Calibri"/>
                <w:lang w:val="it-IT"/>
              </w:rPr>
              <w:t xml:space="preserve"> i </w:t>
            </w:r>
            <w:proofErr w:type="spellStart"/>
            <w:r w:rsidRPr="007B5EAE">
              <w:rPr>
                <w:rFonts w:ascii="Cambria" w:eastAsia="Times New Roman" w:hAnsi="Cambria" w:cs="Calibri"/>
                <w:lang w:val="it-IT"/>
              </w:rPr>
              <w:t>zdravstvene</w:t>
            </w:r>
            <w:proofErr w:type="spellEnd"/>
            <w:r w:rsidRPr="007B5EAE">
              <w:rPr>
                <w:rFonts w:ascii="Cambria" w:eastAsia="Times New Roman" w:hAnsi="Cambria" w:cs="Calibri"/>
                <w:lang w:val="it-IT"/>
              </w:rPr>
              <w:t xml:space="preserve"> </w:t>
            </w:r>
            <w:proofErr w:type="spellStart"/>
            <w:r w:rsidRPr="007B5EAE">
              <w:rPr>
                <w:rFonts w:ascii="Cambria" w:eastAsia="Times New Roman" w:hAnsi="Cambria" w:cs="Calibri"/>
                <w:lang w:val="it-IT"/>
              </w:rPr>
              <w:t>kulture</w:t>
            </w:r>
            <w:proofErr w:type="spellEnd"/>
            <w:r w:rsidRPr="007B5EAE">
              <w:rPr>
                <w:rFonts w:ascii="Cambria" w:eastAsia="Times New Roman" w:hAnsi="Cambria" w:cs="Calibri"/>
                <w:lang w:val="it-IT"/>
              </w:rPr>
              <w:t xml:space="preserve"> u </w:t>
            </w:r>
            <w:proofErr w:type="spellStart"/>
            <w:r w:rsidRPr="007B5EAE">
              <w:rPr>
                <w:rFonts w:ascii="Cambria" w:eastAsia="Times New Roman" w:hAnsi="Cambria" w:cs="Calibri"/>
                <w:lang w:val="it-IT"/>
              </w:rPr>
              <w:t>dvorani</w:t>
            </w:r>
            <w:proofErr w:type="spellEnd"/>
            <w:r w:rsidRPr="007B5EAE">
              <w:rPr>
                <w:rFonts w:ascii="Cambria" w:eastAsia="Times New Roman" w:hAnsi="Cambria" w:cs="Calibri"/>
                <w:lang w:val="it-IT"/>
              </w:rPr>
              <w:t xml:space="preserve">, a </w:t>
            </w:r>
            <w:proofErr w:type="spellStart"/>
            <w:r w:rsidRPr="007B5EAE">
              <w:rPr>
                <w:rFonts w:ascii="Cambria" w:eastAsia="Times New Roman" w:hAnsi="Cambria" w:cs="Calibri"/>
                <w:lang w:val="it-IT"/>
              </w:rPr>
              <w:t>ocjenjuje</w:t>
            </w:r>
            <w:proofErr w:type="spellEnd"/>
            <w:r w:rsidRPr="007B5EAE">
              <w:rPr>
                <w:rFonts w:ascii="Cambria" w:eastAsia="Times New Roman" w:hAnsi="Cambria" w:cs="Calibri"/>
                <w:lang w:val="it-IT"/>
              </w:rPr>
              <w:t xml:space="preserve"> se </w:t>
            </w:r>
            <w:proofErr w:type="spellStart"/>
            <w:r w:rsidRPr="007B5EAE">
              <w:rPr>
                <w:rFonts w:ascii="Cambria" w:eastAsia="Times New Roman" w:hAnsi="Cambria" w:cs="Calibri"/>
                <w:lang w:val="it-IT"/>
              </w:rPr>
              <w:t>na</w:t>
            </w:r>
            <w:proofErr w:type="spellEnd"/>
            <w:r w:rsidRPr="007B5EAE">
              <w:rPr>
                <w:rFonts w:ascii="Cambria" w:eastAsia="Times New Roman" w:hAnsi="Cambria" w:cs="Calibri"/>
                <w:lang w:val="it-IT"/>
              </w:rPr>
              <w:t xml:space="preserve"> </w:t>
            </w:r>
            <w:proofErr w:type="spellStart"/>
            <w:r w:rsidRPr="007B5EAE">
              <w:rPr>
                <w:rFonts w:ascii="Cambria" w:eastAsia="Times New Roman" w:hAnsi="Cambria" w:cs="Calibri"/>
                <w:lang w:val="it-IT"/>
              </w:rPr>
              <w:t>slijedeći</w:t>
            </w:r>
            <w:proofErr w:type="spellEnd"/>
            <w:r w:rsidRPr="007B5EAE">
              <w:rPr>
                <w:rFonts w:ascii="Cambria" w:eastAsia="Times New Roman" w:hAnsi="Cambria" w:cs="Calibri"/>
                <w:lang w:val="it-IT"/>
              </w:rPr>
              <w:t xml:space="preserve"> </w:t>
            </w:r>
            <w:proofErr w:type="spellStart"/>
            <w:r w:rsidRPr="007B5EAE">
              <w:rPr>
                <w:rFonts w:ascii="Cambria" w:eastAsia="Times New Roman" w:hAnsi="Cambria" w:cs="Calibri"/>
                <w:lang w:val="it-IT"/>
              </w:rPr>
              <w:t>način</w:t>
            </w:r>
            <w:proofErr w:type="spellEnd"/>
            <w:r w:rsidRPr="007B5EAE">
              <w:rPr>
                <w:rFonts w:ascii="Cambria" w:eastAsia="Times New Roman" w:hAnsi="Cambria" w:cs="Calibri"/>
                <w:lang w:val="it-IT"/>
              </w:rPr>
              <w:t>:</w:t>
            </w:r>
          </w:p>
          <w:p w14:paraId="26890081" w14:textId="77777777" w:rsidR="00727BE6" w:rsidRPr="007B5EAE" w:rsidRDefault="00727BE6" w:rsidP="00450B7A">
            <w:pPr>
              <w:spacing w:after="0" w:line="240" w:lineRule="auto"/>
              <w:jc w:val="both"/>
              <w:rPr>
                <w:rFonts w:ascii="Cambria" w:eastAsia="Times New Roman" w:hAnsi="Cambria" w:cs="Calibri"/>
                <w:lang w:val="it-IT"/>
              </w:rPr>
            </w:pPr>
            <w:r w:rsidRPr="007B5EAE">
              <w:rPr>
                <w:rFonts w:ascii="Cambria" w:eastAsia="Times New Roman" w:hAnsi="Cambria" w:cs="Calibri"/>
                <w:lang w:val="it-IT"/>
              </w:rPr>
              <w:t xml:space="preserve">0% = </w:t>
            </w:r>
            <w:r w:rsidRPr="000E50AE">
              <w:rPr>
                <w:rFonts w:ascii="Cambria" w:eastAsia="Times New Roman" w:hAnsi="Cambria" w:cs="Calibri"/>
                <w:lang w:val="pl-PL"/>
              </w:rPr>
              <w:t>Nije izrađen i proveden praktični rad</w:t>
            </w:r>
            <w:r w:rsidRPr="007B5EAE">
              <w:rPr>
                <w:rFonts w:ascii="Cambria" w:eastAsia="Times New Roman" w:hAnsi="Cambria" w:cs="Calibri"/>
                <w:lang w:val="it-IT"/>
              </w:rPr>
              <w:t>.</w:t>
            </w:r>
          </w:p>
          <w:p w14:paraId="70E52EB3" w14:textId="77777777" w:rsidR="00727BE6" w:rsidRPr="007B5EAE" w:rsidRDefault="00727BE6" w:rsidP="00450B7A">
            <w:pPr>
              <w:tabs>
                <w:tab w:val="left" w:pos="6990"/>
              </w:tabs>
              <w:spacing w:after="0" w:line="240" w:lineRule="auto"/>
              <w:jc w:val="both"/>
              <w:rPr>
                <w:rFonts w:ascii="Cambria" w:eastAsia="Times New Roman" w:hAnsi="Cambria" w:cs="Calibri"/>
                <w:lang w:val="it-IT"/>
              </w:rPr>
            </w:pPr>
            <w:r w:rsidRPr="007B5EAE">
              <w:rPr>
                <w:rFonts w:ascii="Cambria" w:eastAsia="Times New Roman" w:hAnsi="Cambria" w:cs="Calibri"/>
                <w:lang w:val="it-IT"/>
              </w:rPr>
              <w:t xml:space="preserve">2% = </w:t>
            </w:r>
            <w:proofErr w:type="spellStart"/>
            <w:r w:rsidRPr="007B5EAE">
              <w:rPr>
                <w:rFonts w:ascii="Cambria" w:eastAsia="Times New Roman" w:hAnsi="Cambria" w:cs="Calibri"/>
                <w:lang w:val="it-IT"/>
              </w:rPr>
              <w:t>Nije</w:t>
            </w:r>
            <w:proofErr w:type="spellEnd"/>
            <w:r w:rsidRPr="007B5EAE">
              <w:rPr>
                <w:rFonts w:ascii="Cambria" w:eastAsia="Times New Roman" w:hAnsi="Cambria" w:cs="Calibri"/>
                <w:lang w:val="it-IT"/>
              </w:rPr>
              <w:t xml:space="preserve"> </w:t>
            </w:r>
            <w:proofErr w:type="spellStart"/>
            <w:r w:rsidRPr="007B5EAE">
              <w:rPr>
                <w:rFonts w:ascii="Cambria" w:eastAsia="Times New Roman" w:hAnsi="Cambria" w:cs="Calibri"/>
                <w:lang w:val="it-IT"/>
              </w:rPr>
              <w:t>izrađen</w:t>
            </w:r>
            <w:proofErr w:type="spellEnd"/>
            <w:r w:rsidRPr="007B5EAE">
              <w:rPr>
                <w:rFonts w:ascii="Cambria" w:eastAsia="Times New Roman" w:hAnsi="Cambria" w:cs="Calibri"/>
                <w:lang w:val="it-IT"/>
              </w:rPr>
              <w:t xml:space="preserve"> </w:t>
            </w:r>
            <w:proofErr w:type="spellStart"/>
            <w:r w:rsidRPr="007B5EAE">
              <w:rPr>
                <w:rFonts w:ascii="Cambria" w:eastAsia="Times New Roman" w:hAnsi="Cambria" w:cs="Calibri"/>
                <w:lang w:val="it-IT"/>
              </w:rPr>
              <w:t>praktični</w:t>
            </w:r>
            <w:proofErr w:type="spellEnd"/>
            <w:r w:rsidRPr="007B5EAE">
              <w:rPr>
                <w:rFonts w:ascii="Cambria" w:eastAsia="Times New Roman" w:hAnsi="Cambria" w:cs="Calibri"/>
                <w:lang w:val="it-IT"/>
              </w:rPr>
              <w:t xml:space="preserve"> rad, ali je </w:t>
            </w:r>
            <w:proofErr w:type="spellStart"/>
            <w:r w:rsidRPr="007B5EAE">
              <w:rPr>
                <w:rFonts w:ascii="Cambria" w:eastAsia="Times New Roman" w:hAnsi="Cambria" w:cs="Calibri"/>
                <w:lang w:val="it-IT"/>
              </w:rPr>
              <w:t>proveden</w:t>
            </w:r>
            <w:proofErr w:type="spellEnd"/>
            <w:r w:rsidRPr="007B5EAE">
              <w:rPr>
                <w:rFonts w:ascii="Cambria" w:eastAsia="Times New Roman" w:hAnsi="Cambria" w:cs="Calibri"/>
                <w:lang w:val="it-IT"/>
              </w:rPr>
              <w:t xml:space="preserve"> </w:t>
            </w:r>
            <w:proofErr w:type="spellStart"/>
            <w:r w:rsidRPr="007B5EAE">
              <w:rPr>
                <w:rFonts w:ascii="Cambria" w:eastAsia="Times New Roman" w:hAnsi="Cambria" w:cs="Calibri"/>
                <w:lang w:val="it-IT"/>
              </w:rPr>
              <w:t>uz</w:t>
            </w:r>
            <w:proofErr w:type="spellEnd"/>
            <w:r w:rsidRPr="007B5EAE">
              <w:rPr>
                <w:rFonts w:ascii="Cambria" w:eastAsia="Times New Roman" w:hAnsi="Cambria" w:cs="Calibri"/>
                <w:lang w:val="it-IT"/>
              </w:rPr>
              <w:t xml:space="preserve"> </w:t>
            </w:r>
            <w:proofErr w:type="spellStart"/>
            <w:r w:rsidRPr="007B5EAE">
              <w:rPr>
                <w:rFonts w:ascii="Cambria" w:eastAsia="Times New Roman" w:hAnsi="Cambria" w:cs="Calibri"/>
                <w:lang w:val="it-IT"/>
              </w:rPr>
              <w:t>veće</w:t>
            </w:r>
            <w:proofErr w:type="spellEnd"/>
            <w:r w:rsidRPr="007B5EAE">
              <w:rPr>
                <w:rFonts w:ascii="Cambria" w:eastAsia="Times New Roman" w:hAnsi="Cambria" w:cs="Calibri"/>
                <w:lang w:val="it-IT"/>
              </w:rPr>
              <w:t xml:space="preserve"> </w:t>
            </w:r>
            <w:proofErr w:type="spellStart"/>
            <w:r w:rsidRPr="007B5EAE">
              <w:rPr>
                <w:rFonts w:ascii="Cambria" w:eastAsia="Times New Roman" w:hAnsi="Cambria" w:cs="Calibri"/>
                <w:lang w:val="it-IT"/>
              </w:rPr>
              <w:t>nedostatke</w:t>
            </w:r>
            <w:proofErr w:type="spellEnd"/>
            <w:r w:rsidRPr="007B5EAE">
              <w:rPr>
                <w:rFonts w:ascii="Cambria" w:eastAsia="Times New Roman" w:hAnsi="Cambria" w:cs="Calibri"/>
                <w:lang w:val="it-IT"/>
              </w:rPr>
              <w:t>.</w:t>
            </w:r>
          </w:p>
          <w:p w14:paraId="233D8111" w14:textId="77777777" w:rsidR="00727BE6" w:rsidRPr="007B5EAE" w:rsidRDefault="00727BE6" w:rsidP="00450B7A">
            <w:pPr>
              <w:spacing w:after="0" w:line="240" w:lineRule="auto"/>
              <w:jc w:val="both"/>
              <w:rPr>
                <w:rFonts w:ascii="Cambria" w:eastAsia="Times New Roman" w:hAnsi="Cambria" w:cs="Calibri"/>
                <w:lang w:val="it-IT"/>
              </w:rPr>
            </w:pPr>
            <w:r w:rsidRPr="007B5EAE">
              <w:rPr>
                <w:rFonts w:ascii="Cambria" w:eastAsia="Times New Roman" w:hAnsi="Cambria" w:cs="Calibri"/>
                <w:lang w:val="it-IT"/>
              </w:rPr>
              <w:t xml:space="preserve">4% = </w:t>
            </w:r>
            <w:proofErr w:type="spellStart"/>
            <w:r w:rsidRPr="007B5EAE">
              <w:rPr>
                <w:rFonts w:ascii="Cambria" w:eastAsia="Times New Roman" w:hAnsi="Cambria" w:cs="Calibri"/>
                <w:lang w:val="it-IT"/>
              </w:rPr>
              <w:t>Praktični</w:t>
            </w:r>
            <w:proofErr w:type="spellEnd"/>
            <w:r w:rsidRPr="007B5EAE">
              <w:rPr>
                <w:rFonts w:ascii="Cambria" w:eastAsia="Times New Roman" w:hAnsi="Cambria" w:cs="Calibri"/>
                <w:lang w:val="it-IT"/>
              </w:rPr>
              <w:t xml:space="preserve"> je rad </w:t>
            </w:r>
            <w:proofErr w:type="spellStart"/>
            <w:r w:rsidRPr="007B5EAE">
              <w:rPr>
                <w:rFonts w:ascii="Cambria" w:eastAsia="Times New Roman" w:hAnsi="Cambria" w:cs="Calibri"/>
                <w:lang w:val="it-IT"/>
              </w:rPr>
              <w:t>izrađen</w:t>
            </w:r>
            <w:proofErr w:type="spellEnd"/>
            <w:r w:rsidRPr="007B5EAE">
              <w:rPr>
                <w:rFonts w:ascii="Cambria" w:eastAsia="Times New Roman" w:hAnsi="Cambria" w:cs="Calibri"/>
                <w:lang w:val="it-IT"/>
              </w:rPr>
              <w:t xml:space="preserve"> </w:t>
            </w:r>
            <w:proofErr w:type="spellStart"/>
            <w:r w:rsidRPr="007B5EAE">
              <w:rPr>
                <w:rFonts w:ascii="Cambria" w:eastAsia="Times New Roman" w:hAnsi="Cambria" w:cs="Calibri"/>
                <w:lang w:val="it-IT"/>
              </w:rPr>
              <w:t>uz</w:t>
            </w:r>
            <w:proofErr w:type="spellEnd"/>
            <w:r w:rsidRPr="007B5EAE">
              <w:rPr>
                <w:rFonts w:ascii="Cambria" w:eastAsia="Times New Roman" w:hAnsi="Cambria" w:cs="Calibri"/>
                <w:lang w:val="it-IT"/>
              </w:rPr>
              <w:t xml:space="preserve"> </w:t>
            </w:r>
            <w:proofErr w:type="spellStart"/>
            <w:r w:rsidRPr="007B5EAE">
              <w:rPr>
                <w:rFonts w:ascii="Cambria" w:eastAsia="Times New Roman" w:hAnsi="Cambria" w:cs="Calibri"/>
                <w:lang w:val="it-IT"/>
              </w:rPr>
              <w:t>veće</w:t>
            </w:r>
            <w:proofErr w:type="spellEnd"/>
            <w:r w:rsidRPr="007B5EAE">
              <w:rPr>
                <w:rFonts w:ascii="Cambria" w:eastAsia="Times New Roman" w:hAnsi="Cambria" w:cs="Calibri"/>
                <w:lang w:val="it-IT"/>
              </w:rPr>
              <w:t xml:space="preserve"> </w:t>
            </w:r>
            <w:proofErr w:type="spellStart"/>
            <w:r w:rsidRPr="007B5EAE">
              <w:rPr>
                <w:rFonts w:ascii="Cambria" w:eastAsia="Times New Roman" w:hAnsi="Cambria" w:cs="Calibri"/>
                <w:lang w:val="it-IT"/>
              </w:rPr>
              <w:t>nedostatke</w:t>
            </w:r>
            <w:proofErr w:type="spellEnd"/>
            <w:r w:rsidRPr="007B5EAE">
              <w:rPr>
                <w:rFonts w:ascii="Cambria" w:eastAsia="Times New Roman" w:hAnsi="Cambria" w:cs="Calibri"/>
                <w:lang w:val="it-IT"/>
              </w:rPr>
              <w:t xml:space="preserve"> i </w:t>
            </w:r>
            <w:proofErr w:type="spellStart"/>
            <w:r w:rsidRPr="007B5EAE">
              <w:rPr>
                <w:rFonts w:ascii="Cambria" w:eastAsia="Times New Roman" w:hAnsi="Cambria" w:cs="Calibri"/>
                <w:lang w:val="it-IT"/>
              </w:rPr>
              <w:t>proveden</w:t>
            </w:r>
            <w:proofErr w:type="spellEnd"/>
            <w:r w:rsidRPr="007B5EAE">
              <w:rPr>
                <w:rFonts w:ascii="Cambria" w:eastAsia="Times New Roman" w:hAnsi="Cambria" w:cs="Calibri"/>
                <w:lang w:val="it-IT"/>
              </w:rPr>
              <w:t xml:space="preserve"> </w:t>
            </w:r>
            <w:proofErr w:type="spellStart"/>
            <w:r w:rsidRPr="007B5EAE">
              <w:rPr>
                <w:rFonts w:ascii="Cambria" w:eastAsia="Times New Roman" w:hAnsi="Cambria" w:cs="Calibri"/>
                <w:lang w:val="it-IT"/>
              </w:rPr>
              <w:t>uz</w:t>
            </w:r>
            <w:proofErr w:type="spellEnd"/>
            <w:r w:rsidRPr="007B5EAE">
              <w:rPr>
                <w:rFonts w:ascii="Cambria" w:eastAsia="Times New Roman" w:hAnsi="Cambria" w:cs="Calibri"/>
                <w:lang w:val="it-IT"/>
              </w:rPr>
              <w:t xml:space="preserve"> </w:t>
            </w:r>
            <w:proofErr w:type="spellStart"/>
            <w:r w:rsidRPr="007B5EAE">
              <w:rPr>
                <w:rFonts w:ascii="Cambria" w:eastAsia="Times New Roman" w:hAnsi="Cambria" w:cs="Calibri"/>
                <w:lang w:val="it-IT"/>
              </w:rPr>
              <w:t>veće</w:t>
            </w:r>
            <w:proofErr w:type="spellEnd"/>
            <w:r w:rsidRPr="007B5EAE">
              <w:rPr>
                <w:rFonts w:ascii="Cambria" w:eastAsia="Times New Roman" w:hAnsi="Cambria" w:cs="Calibri"/>
                <w:lang w:val="it-IT"/>
              </w:rPr>
              <w:t xml:space="preserve"> </w:t>
            </w:r>
            <w:proofErr w:type="spellStart"/>
            <w:r w:rsidRPr="007B5EAE">
              <w:rPr>
                <w:rFonts w:ascii="Cambria" w:eastAsia="Times New Roman" w:hAnsi="Cambria" w:cs="Calibri"/>
                <w:lang w:val="it-IT"/>
              </w:rPr>
              <w:t>nedostatke</w:t>
            </w:r>
            <w:proofErr w:type="spellEnd"/>
            <w:r w:rsidRPr="007B5EAE">
              <w:rPr>
                <w:rFonts w:ascii="Cambria" w:eastAsia="Times New Roman" w:hAnsi="Cambria" w:cs="Calibri"/>
                <w:lang w:val="it-IT"/>
              </w:rPr>
              <w:t>.</w:t>
            </w:r>
          </w:p>
          <w:p w14:paraId="098D1C5B" w14:textId="77777777" w:rsidR="00727BE6" w:rsidRPr="007B5EAE" w:rsidRDefault="00727BE6" w:rsidP="00450B7A">
            <w:pPr>
              <w:spacing w:after="0" w:line="240" w:lineRule="auto"/>
              <w:jc w:val="both"/>
              <w:rPr>
                <w:rFonts w:ascii="Cambria" w:eastAsia="Times New Roman" w:hAnsi="Cambria" w:cs="Calibri"/>
                <w:lang w:val="it-IT"/>
              </w:rPr>
            </w:pPr>
            <w:r w:rsidRPr="007B5EAE">
              <w:rPr>
                <w:rFonts w:ascii="Cambria" w:eastAsia="Times New Roman" w:hAnsi="Cambria" w:cs="Calibri"/>
                <w:lang w:val="it-IT"/>
              </w:rPr>
              <w:t xml:space="preserve">6% = </w:t>
            </w:r>
            <w:proofErr w:type="spellStart"/>
            <w:r w:rsidRPr="007B5EAE">
              <w:rPr>
                <w:rFonts w:ascii="Cambria" w:eastAsia="Times New Roman" w:hAnsi="Cambria" w:cs="Calibri"/>
                <w:lang w:val="it-IT"/>
              </w:rPr>
              <w:t>Praktični</w:t>
            </w:r>
            <w:proofErr w:type="spellEnd"/>
            <w:r w:rsidRPr="007B5EAE">
              <w:rPr>
                <w:rFonts w:ascii="Cambria" w:eastAsia="Times New Roman" w:hAnsi="Cambria" w:cs="Calibri"/>
                <w:lang w:val="it-IT"/>
              </w:rPr>
              <w:t xml:space="preserve"> je rad </w:t>
            </w:r>
            <w:proofErr w:type="spellStart"/>
            <w:r w:rsidRPr="007B5EAE">
              <w:rPr>
                <w:rFonts w:ascii="Cambria" w:eastAsia="Times New Roman" w:hAnsi="Cambria" w:cs="Calibri"/>
                <w:lang w:val="it-IT"/>
              </w:rPr>
              <w:t>izrađen</w:t>
            </w:r>
            <w:proofErr w:type="spellEnd"/>
            <w:r w:rsidRPr="007B5EAE">
              <w:rPr>
                <w:rFonts w:ascii="Cambria" w:eastAsia="Times New Roman" w:hAnsi="Cambria" w:cs="Calibri"/>
                <w:lang w:val="it-IT"/>
              </w:rPr>
              <w:t xml:space="preserve"> </w:t>
            </w:r>
            <w:proofErr w:type="spellStart"/>
            <w:r w:rsidRPr="007B5EAE">
              <w:rPr>
                <w:rFonts w:ascii="Cambria" w:eastAsia="Times New Roman" w:hAnsi="Cambria" w:cs="Calibri"/>
                <w:lang w:val="it-IT"/>
              </w:rPr>
              <w:t>uz</w:t>
            </w:r>
            <w:proofErr w:type="spellEnd"/>
            <w:r w:rsidRPr="007B5EAE">
              <w:rPr>
                <w:rFonts w:ascii="Cambria" w:eastAsia="Times New Roman" w:hAnsi="Cambria" w:cs="Calibri"/>
                <w:lang w:val="it-IT"/>
              </w:rPr>
              <w:t xml:space="preserve"> </w:t>
            </w:r>
            <w:proofErr w:type="spellStart"/>
            <w:r w:rsidRPr="007B5EAE">
              <w:rPr>
                <w:rFonts w:ascii="Cambria" w:eastAsia="Times New Roman" w:hAnsi="Cambria" w:cs="Calibri"/>
                <w:lang w:val="it-IT"/>
              </w:rPr>
              <w:t>veće</w:t>
            </w:r>
            <w:proofErr w:type="spellEnd"/>
            <w:r w:rsidRPr="007B5EAE">
              <w:rPr>
                <w:rFonts w:ascii="Cambria" w:eastAsia="Times New Roman" w:hAnsi="Cambria" w:cs="Calibri"/>
                <w:lang w:val="it-IT"/>
              </w:rPr>
              <w:t xml:space="preserve"> </w:t>
            </w:r>
            <w:proofErr w:type="spellStart"/>
            <w:r w:rsidRPr="007B5EAE">
              <w:rPr>
                <w:rFonts w:ascii="Cambria" w:eastAsia="Times New Roman" w:hAnsi="Cambria" w:cs="Calibri"/>
                <w:lang w:val="it-IT"/>
              </w:rPr>
              <w:t>nedostatke</w:t>
            </w:r>
            <w:proofErr w:type="spellEnd"/>
            <w:r w:rsidRPr="007B5EAE">
              <w:rPr>
                <w:rFonts w:ascii="Cambria" w:eastAsia="Times New Roman" w:hAnsi="Cambria" w:cs="Calibri"/>
                <w:lang w:val="it-IT"/>
              </w:rPr>
              <w:t xml:space="preserve"> i </w:t>
            </w:r>
            <w:proofErr w:type="spellStart"/>
            <w:r w:rsidRPr="007B5EAE">
              <w:rPr>
                <w:rFonts w:ascii="Cambria" w:eastAsia="Times New Roman" w:hAnsi="Cambria" w:cs="Calibri"/>
                <w:lang w:val="it-IT"/>
              </w:rPr>
              <w:t>proveden</w:t>
            </w:r>
            <w:proofErr w:type="spellEnd"/>
            <w:r w:rsidRPr="007B5EAE">
              <w:rPr>
                <w:rFonts w:ascii="Cambria" w:eastAsia="Times New Roman" w:hAnsi="Cambria" w:cs="Calibri"/>
                <w:lang w:val="it-IT"/>
              </w:rPr>
              <w:t xml:space="preserve"> </w:t>
            </w:r>
            <w:proofErr w:type="spellStart"/>
            <w:r w:rsidRPr="007B5EAE">
              <w:rPr>
                <w:rFonts w:ascii="Cambria" w:eastAsia="Times New Roman" w:hAnsi="Cambria" w:cs="Calibri"/>
                <w:lang w:val="it-IT"/>
              </w:rPr>
              <w:t>uz</w:t>
            </w:r>
            <w:proofErr w:type="spellEnd"/>
            <w:r w:rsidRPr="007B5EAE">
              <w:rPr>
                <w:rFonts w:ascii="Cambria" w:eastAsia="Times New Roman" w:hAnsi="Cambria" w:cs="Calibri"/>
                <w:lang w:val="it-IT"/>
              </w:rPr>
              <w:t xml:space="preserve"> </w:t>
            </w:r>
            <w:proofErr w:type="spellStart"/>
            <w:r w:rsidRPr="007B5EAE">
              <w:rPr>
                <w:rFonts w:ascii="Cambria" w:eastAsia="Times New Roman" w:hAnsi="Cambria" w:cs="Calibri"/>
                <w:lang w:val="it-IT"/>
              </w:rPr>
              <w:t>manje</w:t>
            </w:r>
            <w:proofErr w:type="spellEnd"/>
            <w:r w:rsidRPr="007B5EAE">
              <w:rPr>
                <w:rFonts w:ascii="Cambria" w:eastAsia="Times New Roman" w:hAnsi="Cambria" w:cs="Calibri"/>
                <w:lang w:val="it-IT"/>
              </w:rPr>
              <w:t xml:space="preserve"> </w:t>
            </w:r>
            <w:proofErr w:type="spellStart"/>
            <w:r w:rsidRPr="007B5EAE">
              <w:rPr>
                <w:rFonts w:ascii="Cambria" w:eastAsia="Times New Roman" w:hAnsi="Cambria" w:cs="Calibri"/>
                <w:lang w:val="it-IT"/>
              </w:rPr>
              <w:t>nedostatke</w:t>
            </w:r>
            <w:proofErr w:type="spellEnd"/>
            <w:r w:rsidRPr="007B5EAE">
              <w:rPr>
                <w:rFonts w:ascii="Cambria" w:eastAsia="Times New Roman" w:hAnsi="Cambria" w:cs="Calibri"/>
                <w:lang w:val="it-IT"/>
              </w:rPr>
              <w:t>.</w:t>
            </w:r>
          </w:p>
          <w:p w14:paraId="058584DC" w14:textId="77777777" w:rsidR="00727BE6" w:rsidRPr="007B5EAE" w:rsidRDefault="00727BE6" w:rsidP="00450B7A">
            <w:pPr>
              <w:spacing w:after="0" w:line="240" w:lineRule="auto"/>
              <w:jc w:val="both"/>
              <w:rPr>
                <w:rFonts w:ascii="Cambria" w:eastAsia="Times New Roman" w:hAnsi="Cambria" w:cs="Calibri"/>
                <w:lang w:val="it-IT"/>
              </w:rPr>
            </w:pPr>
            <w:r w:rsidRPr="007B5EAE">
              <w:rPr>
                <w:rFonts w:ascii="Cambria" w:eastAsia="Times New Roman" w:hAnsi="Cambria" w:cs="Calibri"/>
                <w:lang w:val="it-IT"/>
              </w:rPr>
              <w:t xml:space="preserve">8% = </w:t>
            </w:r>
            <w:proofErr w:type="spellStart"/>
            <w:r w:rsidRPr="007B5EAE">
              <w:rPr>
                <w:rFonts w:ascii="Cambria" w:eastAsia="Times New Roman" w:hAnsi="Cambria" w:cs="Calibri"/>
                <w:lang w:val="it-IT"/>
              </w:rPr>
              <w:t>Praktični</w:t>
            </w:r>
            <w:proofErr w:type="spellEnd"/>
            <w:r w:rsidRPr="007B5EAE">
              <w:rPr>
                <w:rFonts w:ascii="Cambria" w:eastAsia="Times New Roman" w:hAnsi="Cambria" w:cs="Calibri"/>
                <w:lang w:val="it-IT"/>
              </w:rPr>
              <w:t xml:space="preserve"> je rad </w:t>
            </w:r>
            <w:proofErr w:type="spellStart"/>
            <w:r w:rsidRPr="007B5EAE">
              <w:rPr>
                <w:rFonts w:ascii="Cambria" w:eastAsia="Times New Roman" w:hAnsi="Cambria" w:cs="Calibri"/>
                <w:lang w:val="it-IT"/>
              </w:rPr>
              <w:t>izrađen</w:t>
            </w:r>
            <w:proofErr w:type="spellEnd"/>
            <w:r w:rsidRPr="007B5EAE">
              <w:rPr>
                <w:rFonts w:ascii="Cambria" w:eastAsia="Times New Roman" w:hAnsi="Cambria" w:cs="Calibri"/>
                <w:lang w:val="it-IT"/>
              </w:rPr>
              <w:t xml:space="preserve"> i </w:t>
            </w:r>
            <w:proofErr w:type="spellStart"/>
            <w:r w:rsidRPr="007B5EAE">
              <w:rPr>
                <w:rFonts w:ascii="Cambria" w:eastAsia="Times New Roman" w:hAnsi="Cambria" w:cs="Calibri"/>
                <w:lang w:val="it-IT"/>
              </w:rPr>
              <w:t>proveden</w:t>
            </w:r>
            <w:proofErr w:type="spellEnd"/>
            <w:r w:rsidRPr="007B5EAE">
              <w:rPr>
                <w:rFonts w:ascii="Cambria" w:eastAsia="Times New Roman" w:hAnsi="Cambria" w:cs="Calibri"/>
                <w:lang w:val="it-IT"/>
              </w:rPr>
              <w:t xml:space="preserve"> </w:t>
            </w:r>
            <w:proofErr w:type="spellStart"/>
            <w:r w:rsidRPr="007B5EAE">
              <w:rPr>
                <w:rFonts w:ascii="Cambria" w:eastAsia="Times New Roman" w:hAnsi="Cambria" w:cs="Calibri"/>
                <w:lang w:val="it-IT"/>
              </w:rPr>
              <w:t>uz</w:t>
            </w:r>
            <w:proofErr w:type="spellEnd"/>
            <w:r w:rsidRPr="007B5EAE">
              <w:rPr>
                <w:rFonts w:ascii="Cambria" w:eastAsia="Times New Roman" w:hAnsi="Cambria" w:cs="Calibri"/>
                <w:lang w:val="it-IT"/>
              </w:rPr>
              <w:t xml:space="preserve"> </w:t>
            </w:r>
            <w:proofErr w:type="spellStart"/>
            <w:r w:rsidRPr="007B5EAE">
              <w:rPr>
                <w:rFonts w:ascii="Cambria" w:eastAsia="Times New Roman" w:hAnsi="Cambria" w:cs="Calibri"/>
                <w:lang w:val="it-IT"/>
              </w:rPr>
              <w:t>manje</w:t>
            </w:r>
            <w:proofErr w:type="spellEnd"/>
            <w:r w:rsidRPr="007B5EAE">
              <w:rPr>
                <w:rFonts w:ascii="Cambria" w:eastAsia="Times New Roman" w:hAnsi="Cambria" w:cs="Calibri"/>
                <w:lang w:val="it-IT"/>
              </w:rPr>
              <w:t xml:space="preserve"> </w:t>
            </w:r>
            <w:proofErr w:type="spellStart"/>
            <w:r w:rsidRPr="007B5EAE">
              <w:rPr>
                <w:rFonts w:ascii="Cambria" w:eastAsia="Times New Roman" w:hAnsi="Cambria" w:cs="Calibri"/>
                <w:lang w:val="it-IT"/>
              </w:rPr>
              <w:t>nedostatke</w:t>
            </w:r>
            <w:proofErr w:type="spellEnd"/>
            <w:r w:rsidRPr="007B5EAE">
              <w:rPr>
                <w:rFonts w:ascii="Cambria" w:eastAsia="Times New Roman" w:hAnsi="Cambria" w:cs="Calibri"/>
                <w:lang w:val="it-IT"/>
              </w:rPr>
              <w:t>.</w:t>
            </w:r>
          </w:p>
          <w:p w14:paraId="6E46AF6E" w14:textId="77777777" w:rsidR="00727BE6" w:rsidRPr="000E50AE" w:rsidRDefault="00727BE6" w:rsidP="00450B7A">
            <w:pPr>
              <w:spacing w:after="0" w:line="240" w:lineRule="auto"/>
              <w:jc w:val="both"/>
              <w:rPr>
                <w:rFonts w:ascii="Cambria" w:eastAsia="Times New Roman" w:hAnsi="Cambria" w:cs="Calibri"/>
                <w:lang w:val="pl-PL"/>
              </w:rPr>
            </w:pPr>
            <w:r w:rsidRPr="000E50AE">
              <w:rPr>
                <w:rFonts w:ascii="Cambria" w:eastAsia="Times New Roman" w:hAnsi="Cambria" w:cs="Calibri"/>
                <w:lang w:val="pl-PL"/>
              </w:rPr>
              <w:t>10% = Vrlo kvalitetno izrađen i proveden praktični rad.</w:t>
            </w:r>
          </w:p>
          <w:p w14:paraId="28C5020D" w14:textId="77777777" w:rsidR="00727BE6" w:rsidRPr="000E50AE" w:rsidRDefault="00727BE6" w:rsidP="00450B7A">
            <w:pPr>
              <w:spacing w:after="0" w:line="240" w:lineRule="auto"/>
              <w:jc w:val="both"/>
              <w:rPr>
                <w:rFonts w:ascii="Cambria" w:eastAsia="Times New Roman" w:hAnsi="Cambria" w:cs="Calibri"/>
                <w:lang w:eastAsia="hr-HR"/>
              </w:rPr>
            </w:pPr>
            <w:r w:rsidRPr="007B5EAE">
              <w:rPr>
                <w:rFonts w:ascii="Cambria" w:eastAsia="Times New Roman" w:hAnsi="Cambria" w:cs="Calibri"/>
                <w:bCs/>
                <w:lang w:val="pl-PL" w:eastAsia="hr-HR"/>
              </w:rPr>
              <w:t>Usmeni ispit</w:t>
            </w:r>
            <w:r w:rsidRPr="007B5EAE">
              <w:rPr>
                <w:rFonts w:ascii="Cambria" w:eastAsia="Times New Roman" w:hAnsi="Cambria" w:cs="Calibri"/>
                <w:lang w:val="pl-PL" w:eastAsia="hr-HR"/>
              </w:rPr>
              <w:t xml:space="preserve"> je svojevrsna rekapitulacija svega naučenog tijekom semestra i odražava opću pripremljenost i spremnost za primjenu naučenih sadržaja kolegija. </w:t>
            </w:r>
            <w:proofErr w:type="spellStart"/>
            <w:r w:rsidRPr="000E50AE">
              <w:rPr>
                <w:rFonts w:ascii="Cambria" w:eastAsia="Times New Roman" w:hAnsi="Cambria" w:cs="Calibri"/>
                <w:lang w:eastAsia="hr-HR"/>
              </w:rPr>
              <w:t>Usmeni</w:t>
            </w:r>
            <w:proofErr w:type="spellEnd"/>
            <w:r w:rsidRPr="000E50AE">
              <w:rPr>
                <w:rFonts w:ascii="Cambria" w:eastAsia="Times New Roman" w:hAnsi="Cambria" w:cs="Calibri"/>
                <w:lang w:eastAsia="hr-HR"/>
              </w:rPr>
              <w:t xml:space="preserve"> </w:t>
            </w:r>
            <w:proofErr w:type="spellStart"/>
            <w:r w:rsidRPr="000E50AE">
              <w:rPr>
                <w:rFonts w:ascii="Cambria" w:eastAsia="Times New Roman" w:hAnsi="Cambria" w:cs="Calibri"/>
                <w:lang w:eastAsia="hr-HR"/>
              </w:rPr>
              <w:t>ispit</w:t>
            </w:r>
            <w:proofErr w:type="spellEnd"/>
            <w:r w:rsidRPr="000E50AE">
              <w:rPr>
                <w:rFonts w:ascii="Cambria" w:eastAsia="Times New Roman" w:hAnsi="Cambria" w:cs="Calibri"/>
                <w:lang w:eastAsia="hr-HR"/>
              </w:rPr>
              <w:t xml:space="preserve"> </w:t>
            </w:r>
            <w:proofErr w:type="spellStart"/>
            <w:r w:rsidRPr="000E50AE">
              <w:rPr>
                <w:rFonts w:ascii="Cambria" w:eastAsia="Times New Roman" w:hAnsi="Cambria" w:cs="Calibri"/>
                <w:lang w:eastAsia="hr-HR"/>
              </w:rPr>
              <w:t>sastoji</w:t>
            </w:r>
            <w:proofErr w:type="spellEnd"/>
            <w:r w:rsidRPr="000E50AE">
              <w:rPr>
                <w:rFonts w:ascii="Cambria" w:eastAsia="Times New Roman" w:hAnsi="Cambria" w:cs="Calibri"/>
                <w:lang w:eastAsia="hr-HR"/>
              </w:rPr>
              <w:t xml:space="preserve"> se od tri </w:t>
            </w:r>
            <w:proofErr w:type="spellStart"/>
            <w:r w:rsidRPr="000E50AE">
              <w:rPr>
                <w:rFonts w:ascii="Cambria" w:eastAsia="Times New Roman" w:hAnsi="Cambria" w:cs="Calibri"/>
                <w:lang w:eastAsia="hr-HR"/>
              </w:rPr>
              <w:t>pitanja</w:t>
            </w:r>
            <w:proofErr w:type="spellEnd"/>
            <w:r w:rsidRPr="000E50AE">
              <w:rPr>
                <w:rFonts w:ascii="Cambria" w:eastAsia="Times New Roman" w:hAnsi="Cambria" w:cs="Calibri"/>
                <w:lang w:eastAsia="hr-HR"/>
              </w:rPr>
              <w:t xml:space="preserve">. </w:t>
            </w:r>
          </w:p>
        </w:tc>
      </w:tr>
      <w:tr w:rsidR="00727BE6" w:rsidRPr="00D0399C" w14:paraId="01112C50" w14:textId="77777777" w:rsidTr="00450B7A">
        <w:trPr>
          <w:trHeight w:val="151"/>
        </w:trPr>
        <w:tc>
          <w:tcPr>
            <w:tcW w:w="263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4F313FD" w14:textId="77777777" w:rsidR="00727BE6" w:rsidRPr="000E50AE" w:rsidRDefault="00727BE6" w:rsidP="00450B7A">
            <w:pPr>
              <w:spacing w:after="0" w:line="240" w:lineRule="auto"/>
              <w:jc w:val="both"/>
              <w:rPr>
                <w:rFonts w:ascii="Cambria" w:eastAsia="Times New Roman" w:hAnsi="Cambria" w:cs="Calibri"/>
              </w:rPr>
            </w:pPr>
            <w:proofErr w:type="spellStart"/>
            <w:r w:rsidRPr="000E50AE">
              <w:rPr>
                <w:rFonts w:ascii="Cambria" w:eastAsia="Times New Roman" w:hAnsi="Cambria" w:cs="Calibri"/>
              </w:rPr>
              <w:t>Studentske</w:t>
            </w:r>
            <w:proofErr w:type="spellEnd"/>
            <w:r w:rsidRPr="000E50AE">
              <w:rPr>
                <w:rFonts w:ascii="Cambria" w:eastAsia="Times New Roman" w:hAnsi="Cambria" w:cs="Calibri"/>
              </w:rPr>
              <w:t xml:space="preserve"> </w:t>
            </w:r>
            <w:proofErr w:type="spellStart"/>
            <w:r w:rsidRPr="000E50AE">
              <w:rPr>
                <w:rFonts w:ascii="Cambria" w:eastAsia="Times New Roman" w:hAnsi="Cambria" w:cs="Calibri"/>
              </w:rPr>
              <w:t>obveze</w:t>
            </w:r>
            <w:proofErr w:type="spellEnd"/>
          </w:p>
        </w:tc>
        <w:tc>
          <w:tcPr>
            <w:tcW w:w="6742"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C5283F0" w14:textId="77777777" w:rsidR="00727BE6" w:rsidRPr="007B5EAE" w:rsidRDefault="00727BE6" w:rsidP="00450B7A">
            <w:pPr>
              <w:spacing w:after="0" w:line="240" w:lineRule="auto"/>
              <w:jc w:val="both"/>
              <w:rPr>
                <w:rFonts w:ascii="Cambria" w:eastAsia="Times New Roman" w:hAnsi="Cambria" w:cs="Calibri"/>
                <w:lang w:val="it-IT"/>
              </w:rPr>
            </w:pPr>
            <w:r w:rsidRPr="007B5EAE">
              <w:rPr>
                <w:rFonts w:ascii="Cambria" w:eastAsia="Times New Roman" w:hAnsi="Cambria" w:cs="Calibri"/>
                <w:lang w:val="it-IT"/>
              </w:rPr>
              <w:t xml:space="preserve">Da </w:t>
            </w:r>
            <w:proofErr w:type="spellStart"/>
            <w:r w:rsidRPr="007B5EAE">
              <w:rPr>
                <w:rFonts w:ascii="Cambria" w:eastAsia="Times New Roman" w:hAnsi="Cambria" w:cs="Calibri"/>
                <w:lang w:val="it-IT"/>
              </w:rPr>
              <w:t>položi</w:t>
            </w:r>
            <w:proofErr w:type="spellEnd"/>
            <w:r w:rsidRPr="007B5EAE">
              <w:rPr>
                <w:rFonts w:ascii="Cambria" w:eastAsia="Times New Roman" w:hAnsi="Cambria" w:cs="Calibri"/>
                <w:lang w:val="it-IT"/>
              </w:rPr>
              <w:t xml:space="preserve"> </w:t>
            </w:r>
            <w:proofErr w:type="spellStart"/>
            <w:r w:rsidRPr="007B5EAE">
              <w:rPr>
                <w:rFonts w:ascii="Cambria" w:eastAsia="Times New Roman" w:hAnsi="Cambria" w:cs="Calibri"/>
                <w:lang w:val="it-IT"/>
              </w:rPr>
              <w:t>kolegij</w:t>
            </w:r>
            <w:proofErr w:type="spellEnd"/>
            <w:r w:rsidRPr="007B5EAE">
              <w:rPr>
                <w:rFonts w:ascii="Cambria" w:eastAsia="Times New Roman" w:hAnsi="Cambria" w:cs="Calibri"/>
                <w:lang w:val="it-IT"/>
              </w:rPr>
              <w:t xml:space="preserve">, </w:t>
            </w:r>
            <w:proofErr w:type="spellStart"/>
            <w:r w:rsidRPr="007B5EAE">
              <w:rPr>
                <w:rFonts w:ascii="Cambria" w:eastAsia="Times New Roman" w:hAnsi="Cambria" w:cs="Calibri"/>
                <w:lang w:val="it-IT"/>
              </w:rPr>
              <w:t>student</w:t>
            </w:r>
            <w:proofErr w:type="spellEnd"/>
            <w:r w:rsidRPr="007B5EAE">
              <w:rPr>
                <w:rFonts w:ascii="Cambria" w:eastAsia="Times New Roman" w:hAnsi="Cambria" w:cs="Calibri"/>
                <w:lang w:val="it-IT"/>
              </w:rPr>
              <w:t xml:space="preserve"> mora: </w:t>
            </w:r>
          </w:p>
          <w:p w14:paraId="149C5C6A" w14:textId="77777777" w:rsidR="00727BE6" w:rsidRPr="00C034A7" w:rsidRDefault="00727BE6" w:rsidP="00450B7A">
            <w:pPr>
              <w:spacing w:after="0" w:line="240" w:lineRule="auto"/>
              <w:jc w:val="both"/>
              <w:rPr>
                <w:rFonts w:ascii="Cambria" w:eastAsia="Times New Roman" w:hAnsi="Cambria" w:cs="Calibri"/>
                <w:lang w:val="hr-HR"/>
              </w:rPr>
            </w:pPr>
            <w:r w:rsidRPr="007B5EAE">
              <w:rPr>
                <w:rFonts w:ascii="Cambria" w:eastAsia="Times New Roman" w:hAnsi="Cambria" w:cs="Calibri"/>
                <w:lang w:val="it-IT"/>
              </w:rPr>
              <w:t xml:space="preserve">1. </w:t>
            </w:r>
            <w:r>
              <w:rPr>
                <w:rFonts w:ascii="Cambria" w:eastAsia="Times New Roman" w:hAnsi="Cambria" w:cs="Calibri"/>
                <w:lang w:val="hr-HR"/>
              </w:rPr>
              <w:t>p</w:t>
            </w:r>
            <w:r w:rsidRPr="000E50AE">
              <w:rPr>
                <w:rFonts w:ascii="Cambria" w:eastAsia="Times New Roman" w:hAnsi="Cambria" w:cs="Calibri"/>
                <w:lang w:val="vi-VN"/>
              </w:rPr>
              <w:t>ohađa</w:t>
            </w:r>
            <w:r w:rsidRPr="007B5EAE">
              <w:rPr>
                <w:rFonts w:ascii="Cambria" w:eastAsia="Times New Roman" w:hAnsi="Cambria" w:cs="Calibri"/>
                <w:lang w:val="it-IT"/>
              </w:rPr>
              <w:t xml:space="preserve">ti </w:t>
            </w:r>
            <w:proofErr w:type="spellStart"/>
            <w:r w:rsidRPr="007B5EAE">
              <w:rPr>
                <w:rFonts w:ascii="Cambria" w:eastAsia="Times New Roman" w:hAnsi="Cambria" w:cs="Calibri"/>
                <w:lang w:val="it-IT"/>
              </w:rPr>
              <w:t>više</w:t>
            </w:r>
            <w:proofErr w:type="spellEnd"/>
            <w:r w:rsidRPr="007B5EAE">
              <w:rPr>
                <w:rFonts w:ascii="Cambria" w:eastAsia="Times New Roman" w:hAnsi="Cambria" w:cs="Calibri"/>
                <w:lang w:val="it-IT"/>
              </w:rPr>
              <w:t xml:space="preserve"> </w:t>
            </w:r>
            <w:proofErr w:type="gramStart"/>
            <w:r w:rsidRPr="007B5EAE">
              <w:rPr>
                <w:rFonts w:ascii="Cambria" w:eastAsia="Times New Roman" w:hAnsi="Cambria" w:cs="Calibri"/>
                <w:lang w:val="it-IT"/>
              </w:rPr>
              <w:t>od</w:t>
            </w:r>
            <w:proofErr w:type="gramEnd"/>
            <w:r w:rsidRPr="007B5EAE">
              <w:rPr>
                <w:rFonts w:ascii="Cambria" w:eastAsia="Times New Roman" w:hAnsi="Cambria" w:cs="Calibri"/>
                <w:lang w:val="it-IT"/>
              </w:rPr>
              <w:t xml:space="preserve"> 70 % </w:t>
            </w:r>
            <w:proofErr w:type="spellStart"/>
            <w:r w:rsidRPr="007B5EAE">
              <w:rPr>
                <w:rFonts w:ascii="Cambria" w:eastAsia="Times New Roman" w:hAnsi="Cambria" w:cs="Calibri"/>
                <w:lang w:val="it-IT"/>
              </w:rPr>
              <w:t>nastave</w:t>
            </w:r>
            <w:proofErr w:type="spellEnd"/>
            <w:r>
              <w:rPr>
                <w:rFonts w:ascii="Cambria" w:eastAsia="Times New Roman" w:hAnsi="Cambria" w:cs="Calibri"/>
                <w:lang w:val="it-IT"/>
              </w:rPr>
              <w:t xml:space="preserve"> (a</w:t>
            </w:r>
            <w:r w:rsidRPr="000E50AE">
              <w:rPr>
                <w:rFonts w:ascii="Cambria" w:eastAsia="Times New Roman" w:hAnsi="Cambria" w:cs="Calibri"/>
                <w:lang w:val="vi-VN"/>
              </w:rPr>
              <w:t xml:space="preserve">ko student izostane </w:t>
            </w:r>
            <w:proofErr w:type="spellStart"/>
            <w:r w:rsidRPr="007B5EAE">
              <w:rPr>
                <w:rFonts w:ascii="Cambria" w:eastAsia="Times New Roman" w:hAnsi="Cambria" w:cs="Calibri"/>
                <w:lang w:val="it-IT"/>
              </w:rPr>
              <w:t>više</w:t>
            </w:r>
            <w:proofErr w:type="spellEnd"/>
            <w:r w:rsidRPr="007B5EAE">
              <w:rPr>
                <w:rFonts w:ascii="Cambria" w:eastAsia="Times New Roman" w:hAnsi="Cambria" w:cs="Calibri"/>
                <w:lang w:val="it-IT"/>
              </w:rPr>
              <w:t xml:space="preserve"> </w:t>
            </w:r>
            <w:proofErr w:type="gramStart"/>
            <w:r w:rsidRPr="007B5EAE">
              <w:rPr>
                <w:rFonts w:ascii="Cambria" w:eastAsia="Times New Roman" w:hAnsi="Cambria" w:cs="Calibri"/>
                <w:lang w:val="it-IT"/>
              </w:rPr>
              <w:t>od</w:t>
            </w:r>
            <w:proofErr w:type="gramEnd"/>
            <w:r w:rsidRPr="007B5EAE">
              <w:rPr>
                <w:rFonts w:ascii="Cambria" w:eastAsia="Times New Roman" w:hAnsi="Cambria" w:cs="Calibri"/>
                <w:lang w:val="it-IT"/>
              </w:rPr>
              <w:t xml:space="preserve"> 30% do 50% </w:t>
            </w:r>
            <w:proofErr w:type="spellStart"/>
            <w:r w:rsidRPr="007B5EAE">
              <w:rPr>
                <w:rFonts w:ascii="Cambria" w:eastAsia="Times New Roman" w:hAnsi="Cambria" w:cs="Calibri"/>
                <w:lang w:val="it-IT"/>
              </w:rPr>
              <w:t>nastave</w:t>
            </w:r>
            <w:proofErr w:type="spellEnd"/>
            <w:r w:rsidRPr="000E50AE">
              <w:rPr>
                <w:rFonts w:ascii="Cambria" w:eastAsia="Times New Roman" w:hAnsi="Cambria" w:cs="Calibri"/>
                <w:lang w:val="vi-VN"/>
              </w:rPr>
              <w:t xml:space="preserve">, trebat će izvršiti dodatne zadatke, odnosno ako izostane više </w:t>
            </w:r>
            <w:proofErr w:type="gramStart"/>
            <w:r w:rsidRPr="007B5EAE">
              <w:rPr>
                <w:rFonts w:ascii="Cambria" w:eastAsia="Times New Roman" w:hAnsi="Cambria" w:cs="Calibri"/>
                <w:lang w:val="it-IT"/>
              </w:rPr>
              <w:t>od</w:t>
            </w:r>
            <w:proofErr w:type="gramEnd"/>
            <w:r w:rsidRPr="007B5EAE">
              <w:rPr>
                <w:rFonts w:ascii="Cambria" w:eastAsia="Times New Roman" w:hAnsi="Cambria" w:cs="Calibri"/>
                <w:lang w:val="it-IT"/>
              </w:rPr>
              <w:t xml:space="preserve"> 50%</w:t>
            </w:r>
            <w:r w:rsidRPr="000E50AE">
              <w:rPr>
                <w:rFonts w:ascii="Cambria" w:eastAsia="Times New Roman" w:hAnsi="Cambria" w:cs="Calibri"/>
                <w:lang w:val="vi-VN"/>
              </w:rPr>
              <w:t xml:space="preserve">, uskratit će mu se pravo na potpis, ispit i upis </w:t>
            </w:r>
            <w:proofErr w:type="spellStart"/>
            <w:r w:rsidRPr="007B5EAE">
              <w:rPr>
                <w:rFonts w:ascii="Cambria" w:eastAsia="Times New Roman" w:hAnsi="Cambria" w:cs="Calibri"/>
                <w:lang w:val="it-IT"/>
              </w:rPr>
              <w:t>bodova</w:t>
            </w:r>
            <w:proofErr w:type="spellEnd"/>
            <w:r>
              <w:rPr>
                <w:rFonts w:ascii="Cambria" w:eastAsia="Times New Roman" w:hAnsi="Cambria" w:cs="Calibri"/>
                <w:lang w:val="hr-HR"/>
              </w:rPr>
              <w:t>)</w:t>
            </w:r>
          </w:p>
          <w:p w14:paraId="4D921A43" w14:textId="77777777" w:rsidR="00727BE6" w:rsidRPr="007B5EAE" w:rsidRDefault="00727BE6" w:rsidP="00450B7A">
            <w:pPr>
              <w:spacing w:after="0" w:line="240" w:lineRule="auto"/>
              <w:jc w:val="both"/>
              <w:rPr>
                <w:rFonts w:ascii="Cambria" w:eastAsia="Times New Roman" w:hAnsi="Cambria" w:cs="Calibri"/>
                <w:lang w:val="it-IT"/>
              </w:rPr>
            </w:pPr>
            <w:r w:rsidRPr="007B5EAE">
              <w:rPr>
                <w:rFonts w:ascii="Cambria" w:eastAsia="Times New Roman" w:hAnsi="Cambria" w:cs="Calibri"/>
                <w:lang w:val="it-IT"/>
              </w:rPr>
              <w:t xml:space="preserve">2. </w:t>
            </w:r>
            <w:proofErr w:type="spellStart"/>
            <w:r>
              <w:rPr>
                <w:rFonts w:ascii="Cambria" w:eastAsia="Times New Roman" w:hAnsi="Cambria" w:cs="Calibri"/>
                <w:lang w:val="it-IT"/>
              </w:rPr>
              <w:t>iz</w:t>
            </w:r>
            <w:r w:rsidRPr="007B5EAE">
              <w:rPr>
                <w:rFonts w:ascii="Cambria" w:eastAsia="Times New Roman" w:hAnsi="Cambria" w:cs="Calibri"/>
                <w:lang w:val="it-IT"/>
              </w:rPr>
              <w:t>raditi</w:t>
            </w:r>
            <w:proofErr w:type="spellEnd"/>
            <w:r w:rsidRPr="007B5EAE">
              <w:rPr>
                <w:rFonts w:ascii="Cambria" w:eastAsia="Times New Roman" w:hAnsi="Cambria" w:cs="Calibri"/>
                <w:lang w:val="it-IT"/>
              </w:rPr>
              <w:t xml:space="preserve"> </w:t>
            </w:r>
            <w:proofErr w:type="spellStart"/>
            <w:r w:rsidRPr="007B5EAE">
              <w:rPr>
                <w:rFonts w:ascii="Cambria" w:eastAsia="Times New Roman" w:hAnsi="Cambria" w:cs="Calibri"/>
                <w:lang w:val="it-IT"/>
              </w:rPr>
              <w:t>praktični</w:t>
            </w:r>
            <w:proofErr w:type="spellEnd"/>
            <w:r w:rsidRPr="007B5EAE">
              <w:rPr>
                <w:rFonts w:ascii="Cambria" w:eastAsia="Times New Roman" w:hAnsi="Cambria" w:cs="Calibri"/>
                <w:lang w:val="it-IT"/>
              </w:rPr>
              <w:t xml:space="preserve"> </w:t>
            </w:r>
            <w:proofErr w:type="spellStart"/>
            <w:r w:rsidRPr="007B5EAE">
              <w:rPr>
                <w:rFonts w:ascii="Cambria" w:eastAsia="Times New Roman" w:hAnsi="Cambria" w:cs="Calibri"/>
                <w:lang w:val="it-IT"/>
              </w:rPr>
              <w:t>zadatke</w:t>
            </w:r>
            <w:proofErr w:type="spellEnd"/>
          </w:p>
          <w:p w14:paraId="79064850" w14:textId="77777777" w:rsidR="00727BE6" w:rsidRPr="007B5EAE" w:rsidRDefault="00727BE6" w:rsidP="00450B7A">
            <w:pPr>
              <w:spacing w:after="0" w:line="240" w:lineRule="auto"/>
              <w:jc w:val="both"/>
              <w:rPr>
                <w:rFonts w:ascii="Cambria" w:eastAsia="Times New Roman" w:hAnsi="Cambria" w:cs="Calibri"/>
                <w:lang w:val="it-IT"/>
              </w:rPr>
            </w:pPr>
            <w:r w:rsidRPr="007B5EAE">
              <w:rPr>
                <w:rFonts w:ascii="Cambria" w:eastAsia="Times New Roman" w:hAnsi="Cambria" w:cs="Calibri"/>
                <w:lang w:val="it-IT"/>
              </w:rPr>
              <w:t xml:space="preserve">3. </w:t>
            </w:r>
            <w:proofErr w:type="spellStart"/>
            <w:r>
              <w:rPr>
                <w:rFonts w:ascii="Cambria" w:eastAsia="Times New Roman" w:hAnsi="Cambria" w:cs="Calibri"/>
                <w:lang w:val="it-IT"/>
              </w:rPr>
              <w:t>p</w:t>
            </w:r>
            <w:r w:rsidRPr="007B5EAE">
              <w:rPr>
                <w:rFonts w:ascii="Cambria" w:eastAsia="Times New Roman" w:hAnsi="Cambria" w:cs="Calibri"/>
                <w:lang w:val="it-IT"/>
              </w:rPr>
              <w:t>oložiti</w:t>
            </w:r>
            <w:proofErr w:type="spellEnd"/>
            <w:r w:rsidRPr="007B5EAE">
              <w:rPr>
                <w:rFonts w:ascii="Cambria" w:eastAsia="Times New Roman" w:hAnsi="Cambria" w:cs="Calibri"/>
                <w:lang w:val="it-IT"/>
              </w:rPr>
              <w:t xml:space="preserve"> </w:t>
            </w:r>
            <w:proofErr w:type="spellStart"/>
            <w:r w:rsidRPr="007B5EAE">
              <w:rPr>
                <w:rFonts w:ascii="Cambria" w:eastAsia="Times New Roman" w:hAnsi="Cambria" w:cs="Calibri"/>
                <w:lang w:val="it-IT"/>
              </w:rPr>
              <w:t>usmeni</w:t>
            </w:r>
            <w:proofErr w:type="spellEnd"/>
            <w:r w:rsidRPr="007B5EAE">
              <w:rPr>
                <w:rFonts w:ascii="Cambria" w:eastAsia="Times New Roman" w:hAnsi="Cambria" w:cs="Calibri"/>
                <w:lang w:val="it-IT"/>
              </w:rPr>
              <w:t xml:space="preserve"> </w:t>
            </w:r>
            <w:proofErr w:type="spellStart"/>
            <w:r w:rsidRPr="007B5EAE">
              <w:rPr>
                <w:rFonts w:ascii="Cambria" w:eastAsia="Times New Roman" w:hAnsi="Cambria" w:cs="Calibri"/>
                <w:lang w:val="it-IT"/>
              </w:rPr>
              <w:t>ispit</w:t>
            </w:r>
            <w:proofErr w:type="spellEnd"/>
            <w:r w:rsidRPr="007B5EAE">
              <w:rPr>
                <w:rFonts w:ascii="Cambria" w:eastAsia="Times New Roman" w:hAnsi="Cambria" w:cs="Calibri"/>
                <w:lang w:val="it-IT"/>
              </w:rPr>
              <w:t>.</w:t>
            </w:r>
          </w:p>
        </w:tc>
      </w:tr>
      <w:tr w:rsidR="00727BE6" w:rsidRPr="00D0399C" w14:paraId="4BF7FE61" w14:textId="77777777" w:rsidTr="00450B7A">
        <w:trPr>
          <w:trHeight w:val="151"/>
        </w:trPr>
        <w:tc>
          <w:tcPr>
            <w:tcW w:w="263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ADDA74C" w14:textId="77777777" w:rsidR="00727BE6" w:rsidRPr="000E50AE" w:rsidRDefault="00727BE6" w:rsidP="00450B7A">
            <w:pPr>
              <w:spacing w:after="0" w:line="240" w:lineRule="auto"/>
              <w:jc w:val="both"/>
              <w:rPr>
                <w:rFonts w:ascii="Cambria" w:eastAsia="Times New Roman" w:hAnsi="Cambria" w:cs="Calibri"/>
              </w:rPr>
            </w:pPr>
            <w:proofErr w:type="spellStart"/>
            <w:r w:rsidRPr="000E50AE">
              <w:rPr>
                <w:rFonts w:ascii="Cambria" w:eastAsia="Times New Roman" w:hAnsi="Cambria" w:cs="Calibri"/>
              </w:rPr>
              <w:t>Rokovi</w:t>
            </w:r>
            <w:proofErr w:type="spellEnd"/>
            <w:r w:rsidRPr="000E50AE">
              <w:rPr>
                <w:rFonts w:ascii="Cambria" w:eastAsia="Times New Roman" w:hAnsi="Cambria" w:cs="Calibri"/>
              </w:rPr>
              <w:t xml:space="preserve"> </w:t>
            </w:r>
            <w:proofErr w:type="spellStart"/>
            <w:r w:rsidRPr="000E50AE">
              <w:rPr>
                <w:rFonts w:ascii="Cambria" w:eastAsia="Times New Roman" w:hAnsi="Cambria" w:cs="Calibri"/>
              </w:rPr>
              <w:t>ispita</w:t>
            </w:r>
            <w:proofErr w:type="spellEnd"/>
            <w:r w:rsidRPr="000E50AE">
              <w:rPr>
                <w:rFonts w:ascii="Cambria" w:eastAsia="Times New Roman" w:hAnsi="Cambria" w:cs="Calibri"/>
              </w:rPr>
              <w:t xml:space="preserve"> </w:t>
            </w:r>
            <w:proofErr w:type="spellStart"/>
            <w:r w:rsidRPr="000E50AE">
              <w:rPr>
                <w:rFonts w:ascii="Cambria" w:eastAsia="Times New Roman" w:hAnsi="Cambria" w:cs="Calibri"/>
              </w:rPr>
              <w:t>i</w:t>
            </w:r>
            <w:proofErr w:type="spellEnd"/>
            <w:r w:rsidRPr="000E50AE">
              <w:rPr>
                <w:rFonts w:ascii="Cambria" w:eastAsia="Times New Roman" w:hAnsi="Cambria" w:cs="Calibri"/>
              </w:rPr>
              <w:t xml:space="preserve"> </w:t>
            </w:r>
            <w:proofErr w:type="spellStart"/>
            <w:r w:rsidRPr="000E50AE">
              <w:rPr>
                <w:rFonts w:ascii="Cambria" w:eastAsia="Times New Roman" w:hAnsi="Cambria" w:cs="Calibri"/>
              </w:rPr>
              <w:t>kolokvija</w:t>
            </w:r>
            <w:proofErr w:type="spellEnd"/>
          </w:p>
        </w:tc>
        <w:tc>
          <w:tcPr>
            <w:tcW w:w="6742"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467C4DB" w14:textId="77777777" w:rsidR="00727BE6" w:rsidRPr="000E50AE" w:rsidRDefault="00727BE6" w:rsidP="00450B7A">
            <w:pPr>
              <w:spacing w:after="0" w:line="240" w:lineRule="auto"/>
              <w:jc w:val="both"/>
              <w:rPr>
                <w:rFonts w:ascii="Cambria" w:eastAsia="Times New Roman" w:hAnsi="Cambria" w:cs="Calibri"/>
                <w:lang w:val="it-IT"/>
              </w:rPr>
            </w:pPr>
            <w:proofErr w:type="spellStart"/>
            <w:r w:rsidRPr="000E50AE">
              <w:rPr>
                <w:rFonts w:ascii="Cambria" w:eastAsia="Times New Roman" w:hAnsi="Cambria" w:cs="Calibri"/>
                <w:lang w:val="it-IT"/>
              </w:rPr>
              <w:t>Daju</w:t>
            </w:r>
            <w:proofErr w:type="spellEnd"/>
            <w:r w:rsidRPr="000E50AE">
              <w:rPr>
                <w:rFonts w:ascii="Cambria" w:eastAsia="Times New Roman" w:hAnsi="Cambria" w:cs="Calibri"/>
                <w:lang w:val="it-IT"/>
              </w:rPr>
              <w:t xml:space="preserve"> se </w:t>
            </w:r>
            <w:proofErr w:type="spellStart"/>
            <w:r w:rsidRPr="000E50AE">
              <w:rPr>
                <w:rFonts w:ascii="Cambria" w:eastAsia="Times New Roman" w:hAnsi="Cambria" w:cs="Calibri"/>
                <w:lang w:val="it-IT"/>
              </w:rPr>
              <w:t>na</w:t>
            </w:r>
            <w:proofErr w:type="spellEnd"/>
            <w:r w:rsidRPr="000E50AE">
              <w:rPr>
                <w:rFonts w:ascii="Cambria" w:eastAsia="Times New Roman" w:hAnsi="Cambria" w:cs="Calibri"/>
                <w:lang w:val="it-IT"/>
              </w:rPr>
              <w:t xml:space="preserve"> </w:t>
            </w:r>
            <w:proofErr w:type="spellStart"/>
            <w:r w:rsidRPr="000E50AE">
              <w:rPr>
                <w:rFonts w:ascii="Cambria" w:eastAsia="Times New Roman" w:hAnsi="Cambria" w:cs="Calibri"/>
                <w:lang w:val="it-IT"/>
              </w:rPr>
              <w:t>početku</w:t>
            </w:r>
            <w:proofErr w:type="spellEnd"/>
            <w:r w:rsidRPr="000E50AE">
              <w:rPr>
                <w:rFonts w:ascii="Cambria" w:eastAsia="Times New Roman" w:hAnsi="Cambria" w:cs="Calibri"/>
                <w:lang w:val="it-IT"/>
              </w:rPr>
              <w:t xml:space="preserve"> </w:t>
            </w:r>
            <w:proofErr w:type="spellStart"/>
            <w:r w:rsidRPr="000E50AE">
              <w:rPr>
                <w:rFonts w:ascii="Cambria" w:eastAsia="Times New Roman" w:hAnsi="Cambria" w:cs="Calibri"/>
                <w:lang w:val="it-IT"/>
              </w:rPr>
              <w:t>akademske</w:t>
            </w:r>
            <w:proofErr w:type="spellEnd"/>
            <w:r w:rsidRPr="000E50AE">
              <w:rPr>
                <w:rFonts w:ascii="Cambria" w:eastAsia="Times New Roman" w:hAnsi="Cambria" w:cs="Calibri"/>
                <w:lang w:val="it-IT"/>
              </w:rPr>
              <w:t xml:space="preserve"> godine i </w:t>
            </w:r>
            <w:proofErr w:type="spellStart"/>
            <w:r w:rsidRPr="000E50AE">
              <w:rPr>
                <w:rFonts w:ascii="Cambria" w:eastAsia="Times New Roman" w:hAnsi="Cambria" w:cs="Calibri"/>
                <w:lang w:val="it-IT"/>
              </w:rPr>
              <w:t>objavljuju</w:t>
            </w:r>
            <w:proofErr w:type="spellEnd"/>
            <w:r w:rsidRPr="000E50AE">
              <w:rPr>
                <w:rFonts w:ascii="Cambria" w:eastAsia="Times New Roman" w:hAnsi="Cambria" w:cs="Calibri"/>
                <w:lang w:val="it-IT"/>
              </w:rPr>
              <w:t xml:space="preserve"> se u ISVU. </w:t>
            </w:r>
          </w:p>
        </w:tc>
      </w:tr>
      <w:tr w:rsidR="00727BE6" w:rsidRPr="00C034A7" w14:paraId="0A12125C" w14:textId="77777777" w:rsidTr="00450B7A">
        <w:trPr>
          <w:trHeight w:val="151"/>
        </w:trPr>
        <w:tc>
          <w:tcPr>
            <w:tcW w:w="263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3E6B85E" w14:textId="77777777" w:rsidR="00727BE6" w:rsidRPr="007B5EAE" w:rsidRDefault="00727BE6" w:rsidP="00450B7A">
            <w:pPr>
              <w:spacing w:after="0" w:line="240" w:lineRule="auto"/>
              <w:jc w:val="both"/>
              <w:rPr>
                <w:rFonts w:ascii="Cambria" w:eastAsia="Times New Roman" w:hAnsi="Cambria" w:cs="Calibri"/>
                <w:lang w:val="it-IT"/>
              </w:rPr>
            </w:pPr>
            <w:r w:rsidRPr="007B5EAE">
              <w:rPr>
                <w:rFonts w:ascii="Cambria" w:eastAsia="Times New Roman" w:hAnsi="Cambria" w:cs="Calibri"/>
                <w:lang w:val="it-IT"/>
              </w:rPr>
              <w:t xml:space="preserve">Ostale </w:t>
            </w:r>
            <w:proofErr w:type="spellStart"/>
            <w:r w:rsidRPr="007B5EAE">
              <w:rPr>
                <w:rFonts w:ascii="Cambria" w:eastAsia="Times New Roman" w:hAnsi="Cambria" w:cs="Calibri"/>
                <w:lang w:val="it-IT"/>
              </w:rPr>
              <w:t>važne</w:t>
            </w:r>
            <w:proofErr w:type="spellEnd"/>
            <w:r w:rsidRPr="007B5EAE">
              <w:rPr>
                <w:rFonts w:ascii="Cambria" w:eastAsia="Times New Roman" w:hAnsi="Cambria" w:cs="Calibri"/>
                <w:lang w:val="it-IT"/>
              </w:rPr>
              <w:t xml:space="preserve"> </w:t>
            </w:r>
            <w:proofErr w:type="spellStart"/>
            <w:r w:rsidRPr="007B5EAE">
              <w:rPr>
                <w:rFonts w:ascii="Cambria" w:eastAsia="Times New Roman" w:hAnsi="Cambria" w:cs="Calibri"/>
                <w:lang w:val="it-IT"/>
              </w:rPr>
              <w:t>činjenice</w:t>
            </w:r>
            <w:proofErr w:type="spellEnd"/>
            <w:r w:rsidRPr="007B5EAE">
              <w:rPr>
                <w:rFonts w:ascii="Cambria" w:eastAsia="Times New Roman" w:hAnsi="Cambria" w:cs="Calibri"/>
                <w:lang w:val="it-IT"/>
              </w:rPr>
              <w:t xml:space="preserve"> </w:t>
            </w:r>
            <w:proofErr w:type="spellStart"/>
            <w:r w:rsidRPr="007B5EAE">
              <w:rPr>
                <w:rFonts w:ascii="Cambria" w:eastAsia="Times New Roman" w:hAnsi="Cambria" w:cs="Calibri"/>
                <w:lang w:val="it-IT"/>
              </w:rPr>
              <w:t>vezane</w:t>
            </w:r>
            <w:proofErr w:type="spellEnd"/>
            <w:r w:rsidRPr="007B5EAE">
              <w:rPr>
                <w:rFonts w:ascii="Cambria" w:eastAsia="Times New Roman" w:hAnsi="Cambria" w:cs="Calibri"/>
                <w:lang w:val="it-IT"/>
              </w:rPr>
              <w:t xml:space="preserve"> </w:t>
            </w:r>
            <w:proofErr w:type="spellStart"/>
            <w:r w:rsidRPr="007B5EAE">
              <w:rPr>
                <w:rFonts w:ascii="Cambria" w:eastAsia="Times New Roman" w:hAnsi="Cambria" w:cs="Calibri"/>
                <w:lang w:val="it-IT"/>
              </w:rPr>
              <w:t>uz</w:t>
            </w:r>
            <w:proofErr w:type="spellEnd"/>
            <w:r w:rsidRPr="007B5EAE">
              <w:rPr>
                <w:rFonts w:ascii="Cambria" w:eastAsia="Times New Roman" w:hAnsi="Cambria" w:cs="Calibri"/>
                <w:lang w:val="it-IT"/>
              </w:rPr>
              <w:t xml:space="preserve"> </w:t>
            </w:r>
            <w:proofErr w:type="spellStart"/>
            <w:r w:rsidRPr="007B5EAE">
              <w:rPr>
                <w:rFonts w:ascii="Cambria" w:eastAsia="Times New Roman" w:hAnsi="Cambria" w:cs="Calibri"/>
                <w:lang w:val="it-IT"/>
              </w:rPr>
              <w:t>kolegij</w:t>
            </w:r>
            <w:proofErr w:type="spellEnd"/>
          </w:p>
        </w:tc>
        <w:tc>
          <w:tcPr>
            <w:tcW w:w="6742"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53B9B8E" w14:textId="77777777" w:rsidR="00727BE6" w:rsidRPr="007B5EAE" w:rsidRDefault="00727BE6" w:rsidP="00450B7A">
            <w:pPr>
              <w:spacing w:after="0" w:line="240" w:lineRule="auto"/>
              <w:jc w:val="both"/>
              <w:rPr>
                <w:rFonts w:ascii="Cambria" w:eastAsia="Times New Roman" w:hAnsi="Cambria" w:cs="Calibri"/>
                <w:lang w:val="it-IT"/>
              </w:rPr>
            </w:pPr>
            <w:proofErr w:type="spellStart"/>
            <w:r w:rsidRPr="007B5EAE">
              <w:rPr>
                <w:rFonts w:ascii="Cambria" w:eastAsia="Times New Roman" w:hAnsi="Cambria" w:cs="Calibri"/>
                <w:lang w:val="it-IT"/>
              </w:rPr>
              <w:t>Materijali</w:t>
            </w:r>
            <w:proofErr w:type="spellEnd"/>
            <w:r w:rsidRPr="007B5EAE">
              <w:rPr>
                <w:rFonts w:ascii="Cambria" w:eastAsia="Times New Roman" w:hAnsi="Cambria" w:cs="Calibri"/>
                <w:lang w:val="it-IT"/>
              </w:rPr>
              <w:t xml:space="preserve"> za </w:t>
            </w:r>
            <w:proofErr w:type="spellStart"/>
            <w:r w:rsidRPr="007B5EAE">
              <w:rPr>
                <w:rFonts w:ascii="Cambria" w:eastAsia="Times New Roman" w:hAnsi="Cambria" w:cs="Calibri"/>
                <w:lang w:val="it-IT"/>
              </w:rPr>
              <w:t>predavanja</w:t>
            </w:r>
            <w:proofErr w:type="spellEnd"/>
            <w:r w:rsidRPr="007B5EAE">
              <w:rPr>
                <w:rFonts w:ascii="Cambria" w:eastAsia="Times New Roman" w:hAnsi="Cambria" w:cs="Calibri"/>
                <w:lang w:val="it-IT"/>
              </w:rPr>
              <w:t xml:space="preserve"> </w:t>
            </w:r>
            <w:proofErr w:type="gramStart"/>
            <w:r w:rsidRPr="007B5EAE">
              <w:rPr>
                <w:rFonts w:ascii="Cambria" w:eastAsia="Times New Roman" w:hAnsi="Cambria" w:cs="Calibri"/>
                <w:lang w:val="it-IT"/>
              </w:rPr>
              <w:t>i seminare</w:t>
            </w:r>
            <w:proofErr w:type="gramEnd"/>
            <w:r w:rsidRPr="007B5EAE">
              <w:rPr>
                <w:rFonts w:ascii="Cambria" w:eastAsia="Times New Roman" w:hAnsi="Cambria" w:cs="Calibri"/>
                <w:lang w:val="it-IT"/>
              </w:rPr>
              <w:t xml:space="preserve"> </w:t>
            </w:r>
            <w:proofErr w:type="spellStart"/>
            <w:r w:rsidRPr="007B5EAE">
              <w:rPr>
                <w:rFonts w:ascii="Cambria" w:eastAsia="Times New Roman" w:hAnsi="Cambria" w:cs="Calibri"/>
                <w:lang w:val="it-IT"/>
              </w:rPr>
              <w:t>objavljuju</w:t>
            </w:r>
            <w:proofErr w:type="spellEnd"/>
            <w:r w:rsidRPr="007B5EAE">
              <w:rPr>
                <w:rFonts w:ascii="Cambria" w:eastAsia="Times New Roman" w:hAnsi="Cambria" w:cs="Calibri"/>
                <w:lang w:val="it-IT"/>
              </w:rPr>
              <w:t xml:space="preserve"> se </w:t>
            </w:r>
            <w:proofErr w:type="spellStart"/>
            <w:r w:rsidRPr="007B5EAE">
              <w:rPr>
                <w:rFonts w:ascii="Cambria" w:eastAsia="Times New Roman" w:hAnsi="Cambria" w:cs="Calibri"/>
                <w:lang w:val="it-IT"/>
              </w:rPr>
              <w:t>na</w:t>
            </w:r>
            <w:proofErr w:type="spellEnd"/>
            <w:r w:rsidRPr="007B5EAE">
              <w:rPr>
                <w:rFonts w:ascii="Cambria" w:eastAsia="Times New Roman" w:hAnsi="Cambria" w:cs="Calibri"/>
                <w:lang w:val="it-IT"/>
              </w:rPr>
              <w:t xml:space="preserve"> e</w:t>
            </w:r>
            <w:r w:rsidRPr="000E50AE">
              <w:rPr>
                <w:rFonts w:ascii="Cambria" w:eastAsia="Times New Roman" w:hAnsi="Cambria" w:cs="Calibri"/>
                <w:lang w:val="it-IT"/>
              </w:rPr>
              <w:t>-</w:t>
            </w:r>
            <w:proofErr w:type="spellStart"/>
            <w:r w:rsidRPr="000E50AE">
              <w:rPr>
                <w:rFonts w:ascii="Cambria" w:eastAsia="Times New Roman" w:hAnsi="Cambria" w:cs="Calibri"/>
                <w:lang w:val="it-IT"/>
              </w:rPr>
              <w:t>učenj</w:t>
            </w:r>
            <w:r w:rsidRPr="007B5EAE">
              <w:rPr>
                <w:rFonts w:ascii="Cambria" w:eastAsia="Times New Roman" w:hAnsi="Cambria" w:cs="Calibri"/>
                <w:lang w:val="it-IT"/>
              </w:rPr>
              <w:t>u</w:t>
            </w:r>
            <w:proofErr w:type="spellEnd"/>
            <w:r w:rsidRPr="007B5EAE">
              <w:rPr>
                <w:rFonts w:ascii="Cambria" w:eastAsia="Times New Roman" w:hAnsi="Cambria" w:cs="Calibri"/>
                <w:lang w:val="it-IT"/>
              </w:rPr>
              <w:t>.</w:t>
            </w:r>
          </w:p>
          <w:p w14:paraId="1ACB7346" w14:textId="77777777" w:rsidR="00727BE6" w:rsidRPr="00C034A7" w:rsidRDefault="00727BE6" w:rsidP="00450B7A">
            <w:pPr>
              <w:spacing w:after="0" w:line="240" w:lineRule="auto"/>
              <w:jc w:val="both"/>
              <w:rPr>
                <w:rFonts w:ascii="Cambria" w:eastAsia="Times New Roman" w:hAnsi="Cambria" w:cs="Calibri"/>
                <w:lang w:val="it-IT"/>
              </w:rPr>
            </w:pPr>
            <w:r w:rsidRPr="007B5EAE">
              <w:rPr>
                <w:rFonts w:ascii="Cambria" w:eastAsia="Times New Roman" w:hAnsi="Cambria" w:cs="Calibri"/>
                <w:lang w:val="it-IT"/>
              </w:rPr>
              <w:t xml:space="preserve">U </w:t>
            </w:r>
            <w:proofErr w:type="spellStart"/>
            <w:r w:rsidRPr="007B5EAE">
              <w:rPr>
                <w:rFonts w:ascii="Cambria" w:eastAsia="Times New Roman" w:hAnsi="Cambria" w:cs="Calibri"/>
                <w:lang w:val="it-IT"/>
              </w:rPr>
              <w:t>slučaju</w:t>
            </w:r>
            <w:proofErr w:type="spellEnd"/>
            <w:r w:rsidRPr="007B5EAE">
              <w:rPr>
                <w:rFonts w:ascii="Cambria" w:eastAsia="Times New Roman" w:hAnsi="Cambria" w:cs="Calibri"/>
                <w:lang w:val="it-IT"/>
              </w:rPr>
              <w:t xml:space="preserve"> </w:t>
            </w:r>
            <w:proofErr w:type="spellStart"/>
            <w:r w:rsidRPr="007B5EAE">
              <w:rPr>
                <w:rFonts w:ascii="Cambria" w:eastAsia="Times New Roman" w:hAnsi="Cambria" w:cs="Calibri"/>
                <w:lang w:val="it-IT"/>
              </w:rPr>
              <w:t>održavanja</w:t>
            </w:r>
            <w:proofErr w:type="spellEnd"/>
            <w:r w:rsidRPr="007B5EAE">
              <w:rPr>
                <w:rFonts w:ascii="Cambria" w:eastAsia="Times New Roman" w:hAnsi="Cambria" w:cs="Calibri"/>
                <w:lang w:val="it-IT"/>
              </w:rPr>
              <w:t xml:space="preserve"> </w:t>
            </w:r>
            <w:proofErr w:type="spellStart"/>
            <w:r w:rsidRPr="007B5EAE">
              <w:rPr>
                <w:rFonts w:ascii="Cambria" w:eastAsia="Times New Roman" w:hAnsi="Cambria" w:cs="Calibri"/>
                <w:lang w:val="it-IT"/>
              </w:rPr>
              <w:t>nastave</w:t>
            </w:r>
            <w:proofErr w:type="spellEnd"/>
            <w:r w:rsidRPr="007B5EAE">
              <w:rPr>
                <w:rFonts w:ascii="Cambria" w:eastAsia="Times New Roman" w:hAnsi="Cambria" w:cs="Calibri"/>
                <w:lang w:val="it-IT"/>
              </w:rPr>
              <w:t xml:space="preserve"> </w:t>
            </w:r>
            <w:proofErr w:type="spellStart"/>
            <w:r w:rsidRPr="007B5EAE">
              <w:rPr>
                <w:rFonts w:ascii="Cambria" w:eastAsia="Times New Roman" w:hAnsi="Cambria" w:cs="Calibri"/>
                <w:lang w:val="it-IT"/>
              </w:rPr>
              <w:t>na</w:t>
            </w:r>
            <w:proofErr w:type="spellEnd"/>
            <w:r w:rsidRPr="007B5EAE">
              <w:rPr>
                <w:rFonts w:ascii="Cambria" w:eastAsia="Times New Roman" w:hAnsi="Cambria" w:cs="Calibri"/>
                <w:lang w:val="it-IT"/>
              </w:rPr>
              <w:t xml:space="preserve"> </w:t>
            </w:r>
            <w:proofErr w:type="spellStart"/>
            <w:r w:rsidRPr="007B5EAE">
              <w:rPr>
                <w:rFonts w:ascii="Cambria" w:eastAsia="Times New Roman" w:hAnsi="Cambria" w:cs="Calibri"/>
                <w:lang w:val="it-IT"/>
              </w:rPr>
              <w:t>daljinu</w:t>
            </w:r>
            <w:proofErr w:type="spellEnd"/>
            <w:r w:rsidRPr="007B5EAE">
              <w:rPr>
                <w:rFonts w:ascii="Cambria" w:eastAsia="Times New Roman" w:hAnsi="Cambria" w:cs="Calibri"/>
                <w:lang w:val="it-IT"/>
              </w:rPr>
              <w:t xml:space="preserve">, </w:t>
            </w:r>
            <w:proofErr w:type="spellStart"/>
            <w:r w:rsidRPr="007B5EAE">
              <w:rPr>
                <w:rFonts w:ascii="Cambria" w:eastAsia="Times New Roman" w:hAnsi="Cambria" w:cs="Calibri"/>
                <w:lang w:val="it-IT"/>
              </w:rPr>
              <w:t>moguće</w:t>
            </w:r>
            <w:proofErr w:type="spellEnd"/>
            <w:r w:rsidRPr="007B5EAE">
              <w:rPr>
                <w:rFonts w:ascii="Cambria" w:eastAsia="Times New Roman" w:hAnsi="Cambria" w:cs="Calibri"/>
                <w:lang w:val="it-IT"/>
              </w:rPr>
              <w:t xml:space="preserve"> je </w:t>
            </w:r>
            <w:proofErr w:type="spellStart"/>
            <w:r w:rsidRPr="007B5EAE">
              <w:rPr>
                <w:rFonts w:ascii="Cambria" w:eastAsia="Times New Roman" w:hAnsi="Cambria" w:cs="Calibri"/>
                <w:lang w:val="it-IT"/>
              </w:rPr>
              <w:t>odstupanje</w:t>
            </w:r>
            <w:proofErr w:type="spellEnd"/>
            <w:r w:rsidRPr="007B5EAE">
              <w:rPr>
                <w:rFonts w:ascii="Cambria" w:eastAsia="Times New Roman" w:hAnsi="Cambria" w:cs="Calibri"/>
                <w:lang w:val="it-IT"/>
              </w:rPr>
              <w:t xml:space="preserve"> u: </w:t>
            </w:r>
            <w:proofErr w:type="spellStart"/>
            <w:r w:rsidRPr="007B5EAE">
              <w:rPr>
                <w:rFonts w:ascii="Cambria" w:eastAsia="Times New Roman" w:hAnsi="Cambria" w:cs="Calibri"/>
                <w:lang w:val="it-IT"/>
              </w:rPr>
              <w:t>mjestu</w:t>
            </w:r>
            <w:proofErr w:type="spellEnd"/>
            <w:r w:rsidRPr="007B5EAE">
              <w:rPr>
                <w:rFonts w:ascii="Cambria" w:eastAsia="Times New Roman" w:hAnsi="Cambria" w:cs="Calibri"/>
                <w:lang w:val="it-IT"/>
              </w:rPr>
              <w:t xml:space="preserve"> </w:t>
            </w:r>
            <w:proofErr w:type="spellStart"/>
            <w:r w:rsidRPr="007B5EAE">
              <w:rPr>
                <w:rFonts w:ascii="Cambria" w:eastAsia="Times New Roman" w:hAnsi="Cambria" w:cs="Calibri"/>
                <w:lang w:val="it-IT"/>
              </w:rPr>
              <w:t>izvođenja</w:t>
            </w:r>
            <w:proofErr w:type="spellEnd"/>
            <w:r w:rsidRPr="007B5EAE">
              <w:rPr>
                <w:rFonts w:ascii="Cambria" w:eastAsia="Times New Roman" w:hAnsi="Cambria" w:cs="Calibri"/>
                <w:lang w:val="it-IT"/>
              </w:rPr>
              <w:t xml:space="preserve"> </w:t>
            </w:r>
            <w:proofErr w:type="spellStart"/>
            <w:r w:rsidRPr="007B5EAE">
              <w:rPr>
                <w:rFonts w:ascii="Cambria" w:eastAsia="Times New Roman" w:hAnsi="Cambria" w:cs="Calibri"/>
                <w:lang w:val="it-IT"/>
              </w:rPr>
              <w:t>kolegija</w:t>
            </w:r>
            <w:proofErr w:type="spellEnd"/>
            <w:r w:rsidRPr="007B5EAE">
              <w:rPr>
                <w:rFonts w:ascii="Cambria" w:eastAsia="Times New Roman" w:hAnsi="Cambria" w:cs="Calibri"/>
                <w:lang w:val="it-IT"/>
              </w:rPr>
              <w:t xml:space="preserve">, </w:t>
            </w:r>
            <w:proofErr w:type="spellStart"/>
            <w:r w:rsidRPr="007B5EAE">
              <w:rPr>
                <w:rFonts w:ascii="Cambria" w:eastAsia="Times New Roman" w:hAnsi="Cambria" w:cs="Calibri"/>
                <w:lang w:val="it-IT"/>
              </w:rPr>
              <w:t>provedbi</w:t>
            </w:r>
            <w:proofErr w:type="spellEnd"/>
            <w:r w:rsidRPr="007B5EAE">
              <w:rPr>
                <w:rFonts w:ascii="Cambria" w:eastAsia="Times New Roman" w:hAnsi="Cambria" w:cs="Calibri"/>
                <w:lang w:val="it-IT"/>
              </w:rPr>
              <w:t xml:space="preserve"> </w:t>
            </w:r>
            <w:proofErr w:type="spellStart"/>
            <w:r w:rsidRPr="007B5EAE">
              <w:rPr>
                <w:rFonts w:ascii="Cambria" w:eastAsia="Times New Roman" w:hAnsi="Cambria" w:cs="Calibri"/>
                <w:lang w:val="it-IT"/>
              </w:rPr>
              <w:t>aktivnosti</w:t>
            </w:r>
            <w:proofErr w:type="spellEnd"/>
            <w:r w:rsidRPr="007B5EAE">
              <w:rPr>
                <w:rFonts w:ascii="Cambria" w:eastAsia="Times New Roman" w:hAnsi="Cambria" w:cs="Calibri"/>
                <w:lang w:val="it-IT"/>
              </w:rPr>
              <w:t xml:space="preserve">, </w:t>
            </w:r>
            <w:proofErr w:type="spellStart"/>
            <w:r w:rsidRPr="007B5EAE">
              <w:rPr>
                <w:rFonts w:ascii="Cambria" w:eastAsia="Times New Roman" w:hAnsi="Cambria" w:cs="Calibri"/>
                <w:lang w:val="it-IT"/>
              </w:rPr>
              <w:t>metoda</w:t>
            </w:r>
            <w:proofErr w:type="spellEnd"/>
            <w:r w:rsidRPr="007B5EAE">
              <w:rPr>
                <w:rFonts w:ascii="Cambria" w:eastAsia="Times New Roman" w:hAnsi="Cambria" w:cs="Calibri"/>
                <w:lang w:val="it-IT"/>
              </w:rPr>
              <w:t xml:space="preserve"> </w:t>
            </w:r>
            <w:proofErr w:type="spellStart"/>
            <w:r w:rsidRPr="007B5EAE">
              <w:rPr>
                <w:rFonts w:ascii="Cambria" w:eastAsia="Times New Roman" w:hAnsi="Cambria" w:cs="Calibri"/>
                <w:lang w:val="it-IT"/>
              </w:rPr>
              <w:t>tumačenja</w:t>
            </w:r>
            <w:proofErr w:type="spellEnd"/>
            <w:r w:rsidRPr="007B5EAE">
              <w:rPr>
                <w:rFonts w:ascii="Cambria" w:eastAsia="Times New Roman" w:hAnsi="Cambria" w:cs="Calibri"/>
                <w:lang w:val="it-IT"/>
              </w:rPr>
              <w:t xml:space="preserve"> i </w:t>
            </w:r>
            <w:proofErr w:type="spellStart"/>
            <w:r w:rsidRPr="007B5EAE">
              <w:rPr>
                <w:rFonts w:ascii="Cambria" w:eastAsia="Times New Roman" w:hAnsi="Cambria" w:cs="Calibri"/>
                <w:lang w:val="it-IT"/>
              </w:rPr>
              <w:t>poučavanja</w:t>
            </w:r>
            <w:proofErr w:type="spellEnd"/>
            <w:r w:rsidRPr="007B5EAE">
              <w:rPr>
                <w:rFonts w:ascii="Cambria" w:eastAsia="Times New Roman" w:hAnsi="Cambria" w:cs="Calibri"/>
                <w:lang w:val="it-IT"/>
              </w:rPr>
              <w:t xml:space="preserve"> i </w:t>
            </w:r>
            <w:proofErr w:type="spellStart"/>
            <w:r w:rsidRPr="007B5EAE">
              <w:rPr>
                <w:rFonts w:ascii="Cambria" w:eastAsia="Times New Roman" w:hAnsi="Cambria" w:cs="Calibri"/>
                <w:lang w:val="it-IT"/>
              </w:rPr>
              <w:t>načinima</w:t>
            </w:r>
            <w:proofErr w:type="spellEnd"/>
            <w:r w:rsidRPr="007B5EAE">
              <w:rPr>
                <w:rFonts w:ascii="Cambria" w:eastAsia="Times New Roman" w:hAnsi="Cambria" w:cs="Calibri"/>
                <w:lang w:val="it-IT"/>
              </w:rPr>
              <w:t xml:space="preserve"> </w:t>
            </w:r>
            <w:proofErr w:type="spellStart"/>
            <w:r w:rsidRPr="007B5EAE">
              <w:rPr>
                <w:rFonts w:ascii="Cambria" w:eastAsia="Times New Roman" w:hAnsi="Cambria" w:cs="Calibri"/>
                <w:lang w:val="it-IT"/>
              </w:rPr>
              <w:t>vrednovanja</w:t>
            </w:r>
            <w:proofErr w:type="spellEnd"/>
            <w:r w:rsidRPr="007B5EAE">
              <w:rPr>
                <w:rFonts w:ascii="Cambria" w:eastAsia="Times New Roman" w:hAnsi="Cambria" w:cs="Calibri"/>
                <w:lang w:val="it-IT"/>
              </w:rPr>
              <w:t xml:space="preserve">, </w:t>
            </w:r>
            <w:proofErr w:type="spellStart"/>
            <w:r w:rsidRPr="007B5EAE">
              <w:rPr>
                <w:rFonts w:ascii="Cambria" w:eastAsia="Times New Roman" w:hAnsi="Cambria" w:cs="Calibri"/>
                <w:lang w:val="it-IT"/>
              </w:rPr>
              <w:t>studentskim</w:t>
            </w:r>
            <w:proofErr w:type="spellEnd"/>
            <w:r w:rsidRPr="007B5EAE">
              <w:rPr>
                <w:rFonts w:ascii="Cambria" w:eastAsia="Times New Roman" w:hAnsi="Cambria" w:cs="Calibri"/>
                <w:lang w:val="it-IT"/>
              </w:rPr>
              <w:t xml:space="preserve"> </w:t>
            </w:r>
            <w:proofErr w:type="spellStart"/>
            <w:r w:rsidRPr="007B5EAE">
              <w:rPr>
                <w:rFonts w:ascii="Cambria" w:eastAsia="Times New Roman" w:hAnsi="Cambria" w:cs="Calibri"/>
                <w:lang w:val="it-IT"/>
              </w:rPr>
              <w:t>obvezama</w:t>
            </w:r>
            <w:proofErr w:type="spellEnd"/>
            <w:r w:rsidRPr="007B5EAE">
              <w:rPr>
                <w:rFonts w:ascii="Cambria" w:eastAsia="Times New Roman" w:hAnsi="Cambria" w:cs="Calibri"/>
                <w:lang w:val="it-IT"/>
              </w:rPr>
              <w:t xml:space="preserve"> i </w:t>
            </w:r>
            <w:proofErr w:type="spellStart"/>
            <w:r w:rsidRPr="007B5EAE">
              <w:rPr>
                <w:rFonts w:ascii="Cambria" w:eastAsia="Times New Roman" w:hAnsi="Cambria" w:cs="Calibri"/>
                <w:lang w:val="it-IT"/>
              </w:rPr>
              <w:t>dostupnoj</w:t>
            </w:r>
            <w:proofErr w:type="spellEnd"/>
            <w:r w:rsidRPr="007B5EAE">
              <w:rPr>
                <w:rFonts w:ascii="Cambria" w:eastAsia="Times New Roman" w:hAnsi="Cambria" w:cs="Calibri"/>
                <w:lang w:val="it-IT"/>
              </w:rPr>
              <w:t xml:space="preserve"> </w:t>
            </w:r>
            <w:proofErr w:type="spellStart"/>
            <w:r w:rsidRPr="007B5EAE">
              <w:rPr>
                <w:rFonts w:ascii="Cambria" w:eastAsia="Times New Roman" w:hAnsi="Cambria" w:cs="Calibri"/>
                <w:lang w:val="it-IT"/>
              </w:rPr>
              <w:t>literaturi</w:t>
            </w:r>
            <w:proofErr w:type="spellEnd"/>
            <w:r w:rsidRPr="007B5EAE">
              <w:rPr>
                <w:rFonts w:ascii="Cambria" w:eastAsia="Times New Roman" w:hAnsi="Cambria" w:cs="Calibri"/>
                <w:lang w:val="it-IT"/>
              </w:rPr>
              <w:t xml:space="preserve">. O tome </w:t>
            </w:r>
            <w:proofErr w:type="spellStart"/>
            <w:r w:rsidRPr="007B5EAE">
              <w:rPr>
                <w:rFonts w:ascii="Cambria" w:eastAsia="Times New Roman" w:hAnsi="Cambria" w:cs="Calibri"/>
                <w:lang w:val="it-IT"/>
              </w:rPr>
              <w:t>će</w:t>
            </w:r>
            <w:proofErr w:type="spellEnd"/>
            <w:r w:rsidRPr="007B5EAE">
              <w:rPr>
                <w:rFonts w:ascii="Cambria" w:eastAsia="Times New Roman" w:hAnsi="Cambria" w:cs="Calibri"/>
                <w:lang w:val="it-IT"/>
              </w:rPr>
              <w:t xml:space="preserve"> </w:t>
            </w:r>
            <w:proofErr w:type="spellStart"/>
            <w:r w:rsidRPr="007B5EAE">
              <w:rPr>
                <w:rFonts w:ascii="Cambria" w:eastAsia="Times New Roman" w:hAnsi="Cambria" w:cs="Calibri"/>
                <w:lang w:val="it-IT"/>
              </w:rPr>
              <w:t>nositeljica</w:t>
            </w:r>
            <w:proofErr w:type="spellEnd"/>
            <w:r w:rsidRPr="007B5EAE">
              <w:rPr>
                <w:rFonts w:ascii="Cambria" w:eastAsia="Times New Roman" w:hAnsi="Cambria" w:cs="Calibri"/>
                <w:lang w:val="it-IT"/>
              </w:rPr>
              <w:t xml:space="preserve"> </w:t>
            </w:r>
            <w:proofErr w:type="spellStart"/>
            <w:r w:rsidRPr="007B5EAE">
              <w:rPr>
                <w:rFonts w:ascii="Cambria" w:eastAsia="Times New Roman" w:hAnsi="Cambria" w:cs="Calibri"/>
                <w:lang w:val="it-IT"/>
              </w:rPr>
              <w:t>kolegija</w:t>
            </w:r>
            <w:proofErr w:type="spellEnd"/>
            <w:r w:rsidRPr="007B5EAE">
              <w:rPr>
                <w:rFonts w:ascii="Cambria" w:eastAsia="Times New Roman" w:hAnsi="Cambria" w:cs="Calibri"/>
                <w:lang w:val="it-IT"/>
              </w:rPr>
              <w:t xml:space="preserve"> </w:t>
            </w:r>
            <w:proofErr w:type="spellStart"/>
            <w:r w:rsidRPr="007B5EAE">
              <w:rPr>
                <w:rFonts w:ascii="Cambria" w:eastAsia="Times New Roman" w:hAnsi="Cambria" w:cs="Calibri"/>
                <w:lang w:val="it-IT"/>
              </w:rPr>
              <w:t>obavijestiti</w:t>
            </w:r>
            <w:proofErr w:type="spellEnd"/>
            <w:r w:rsidRPr="007B5EAE">
              <w:rPr>
                <w:rFonts w:ascii="Cambria" w:eastAsia="Times New Roman" w:hAnsi="Cambria" w:cs="Calibri"/>
                <w:lang w:val="it-IT"/>
              </w:rPr>
              <w:t xml:space="preserve"> studente i </w:t>
            </w:r>
            <w:proofErr w:type="spellStart"/>
            <w:r w:rsidRPr="007B5EAE">
              <w:rPr>
                <w:rFonts w:ascii="Cambria" w:eastAsia="Times New Roman" w:hAnsi="Cambria" w:cs="Calibri"/>
                <w:lang w:val="it-IT"/>
              </w:rPr>
              <w:t>studentice</w:t>
            </w:r>
            <w:proofErr w:type="spellEnd"/>
            <w:r w:rsidRPr="007B5EAE">
              <w:rPr>
                <w:rFonts w:ascii="Cambria" w:eastAsia="Times New Roman" w:hAnsi="Cambria" w:cs="Calibri"/>
                <w:lang w:val="it-IT"/>
              </w:rPr>
              <w:t xml:space="preserve"> </w:t>
            </w:r>
            <w:proofErr w:type="spellStart"/>
            <w:r w:rsidRPr="007B5EAE">
              <w:rPr>
                <w:rFonts w:ascii="Cambria" w:eastAsia="Times New Roman" w:hAnsi="Cambria" w:cs="Calibri"/>
                <w:lang w:val="it-IT"/>
              </w:rPr>
              <w:t>kad</w:t>
            </w:r>
            <w:proofErr w:type="spellEnd"/>
            <w:r w:rsidRPr="007B5EAE">
              <w:rPr>
                <w:rFonts w:ascii="Cambria" w:eastAsia="Times New Roman" w:hAnsi="Cambria" w:cs="Calibri"/>
                <w:lang w:val="it-IT"/>
              </w:rPr>
              <w:t xml:space="preserve"> se </w:t>
            </w:r>
            <w:proofErr w:type="spellStart"/>
            <w:r w:rsidRPr="007B5EAE">
              <w:rPr>
                <w:rFonts w:ascii="Cambria" w:eastAsia="Times New Roman" w:hAnsi="Cambria" w:cs="Calibri"/>
                <w:lang w:val="it-IT"/>
              </w:rPr>
              <w:t>nastava</w:t>
            </w:r>
            <w:proofErr w:type="spellEnd"/>
            <w:r w:rsidRPr="007B5EAE">
              <w:rPr>
                <w:rFonts w:ascii="Cambria" w:eastAsia="Times New Roman" w:hAnsi="Cambria" w:cs="Calibri"/>
                <w:lang w:val="it-IT"/>
              </w:rPr>
              <w:t xml:space="preserve"> </w:t>
            </w:r>
            <w:proofErr w:type="spellStart"/>
            <w:r w:rsidRPr="007B5EAE">
              <w:rPr>
                <w:rFonts w:ascii="Cambria" w:eastAsia="Times New Roman" w:hAnsi="Cambria" w:cs="Calibri"/>
                <w:lang w:val="it-IT"/>
              </w:rPr>
              <w:t>na</w:t>
            </w:r>
            <w:proofErr w:type="spellEnd"/>
            <w:r w:rsidRPr="007B5EAE">
              <w:rPr>
                <w:rFonts w:ascii="Cambria" w:eastAsia="Times New Roman" w:hAnsi="Cambria" w:cs="Calibri"/>
                <w:lang w:val="it-IT"/>
              </w:rPr>
              <w:t xml:space="preserve"> </w:t>
            </w:r>
            <w:proofErr w:type="spellStart"/>
            <w:r w:rsidRPr="007B5EAE">
              <w:rPr>
                <w:rFonts w:ascii="Cambria" w:eastAsia="Times New Roman" w:hAnsi="Cambria" w:cs="Calibri"/>
                <w:lang w:val="it-IT"/>
              </w:rPr>
              <w:t>daljinu</w:t>
            </w:r>
            <w:proofErr w:type="spellEnd"/>
            <w:r w:rsidRPr="007B5EAE">
              <w:rPr>
                <w:rFonts w:ascii="Cambria" w:eastAsia="Times New Roman" w:hAnsi="Cambria" w:cs="Calibri"/>
                <w:lang w:val="it-IT"/>
              </w:rPr>
              <w:t xml:space="preserve"> </w:t>
            </w:r>
            <w:proofErr w:type="spellStart"/>
            <w:r w:rsidRPr="007B5EAE">
              <w:rPr>
                <w:rFonts w:ascii="Cambria" w:eastAsia="Times New Roman" w:hAnsi="Cambria" w:cs="Calibri"/>
                <w:lang w:val="it-IT"/>
              </w:rPr>
              <w:t>počne</w:t>
            </w:r>
            <w:proofErr w:type="spellEnd"/>
            <w:r w:rsidRPr="007B5EAE">
              <w:rPr>
                <w:rFonts w:ascii="Cambria" w:eastAsia="Times New Roman" w:hAnsi="Cambria" w:cs="Calibri"/>
                <w:lang w:val="it-IT"/>
              </w:rPr>
              <w:t xml:space="preserve"> </w:t>
            </w:r>
            <w:proofErr w:type="spellStart"/>
            <w:r w:rsidRPr="007B5EAE">
              <w:rPr>
                <w:rFonts w:ascii="Cambria" w:eastAsia="Times New Roman" w:hAnsi="Cambria" w:cs="Calibri"/>
                <w:lang w:val="it-IT"/>
              </w:rPr>
              <w:t>održavati</w:t>
            </w:r>
            <w:proofErr w:type="spellEnd"/>
            <w:r w:rsidRPr="007B5EAE">
              <w:rPr>
                <w:rFonts w:ascii="Cambria" w:eastAsia="Times New Roman" w:hAnsi="Cambria" w:cs="Calibri"/>
                <w:lang w:val="it-IT"/>
              </w:rPr>
              <w:t xml:space="preserve">. </w:t>
            </w:r>
            <w:proofErr w:type="spellStart"/>
            <w:r w:rsidRPr="00C034A7">
              <w:rPr>
                <w:rFonts w:ascii="Cambria" w:eastAsia="Times New Roman" w:hAnsi="Cambria" w:cs="Calibri"/>
                <w:lang w:val="it-IT"/>
              </w:rPr>
              <w:t>Ishodi</w:t>
            </w:r>
            <w:proofErr w:type="spellEnd"/>
            <w:r w:rsidRPr="00C034A7">
              <w:rPr>
                <w:rFonts w:ascii="Cambria" w:eastAsia="Times New Roman" w:hAnsi="Cambria" w:cs="Calibri"/>
                <w:lang w:val="it-IT"/>
              </w:rPr>
              <w:t xml:space="preserve"> </w:t>
            </w:r>
            <w:proofErr w:type="spellStart"/>
            <w:r w:rsidRPr="00C034A7">
              <w:rPr>
                <w:rFonts w:ascii="Cambria" w:eastAsia="Times New Roman" w:hAnsi="Cambria" w:cs="Calibri"/>
                <w:lang w:val="it-IT"/>
              </w:rPr>
              <w:t>učenja</w:t>
            </w:r>
            <w:proofErr w:type="spellEnd"/>
            <w:r w:rsidRPr="00C034A7">
              <w:rPr>
                <w:rFonts w:ascii="Cambria" w:eastAsia="Times New Roman" w:hAnsi="Cambria" w:cs="Calibri"/>
                <w:lang w:val="it-IT"/>
              </w:rPr>
              <w:t xml:space="preserve"> </w:t>
            </w:r>
            <w:proofErr w:type="spellStart"/>
            <w:r w:rsidRPr="00C034A7">
              <w:rPr>
                <w:rFonts w:ascii="Cambria" w:eastAsia="Times New Roman" w:hAnsi="Cambria" w:cs="Calibri"/>
                <w:lang w:val="it-IT"/>
              </w:rPr>
              <w:t>ostaju</w:t>
            </w:r>
            <w:proofErr w:type="spellEnd"/>
            <w:r w:rsidRPr="00C034A7">
              <w:rPr>
                <w:rFonts w:ascii="Cambria" w:eastAsia="Times New Roman" w:hAnsi="Cambria" w:cs="Calibri"/>
                <w:lang w:val="it-IT"/>
              </w:rPr>
              <w:t xml:space="preserve"> </w:t>
            </w:r>
            <w:proofErr w:type="spellStart"/>
            <w:r w:rsidRPr="00C034A7">
              <w:rPr>
                <w:rFonts w:ascii="Cambria" w:eastAsia="Times New Roman" w:hAnsi="Cambria" w:cs="Calibri"/>
                <w:lang w:val="it-IT"/>
              </w:rPr>
              <w:t>nepromijenjeni</w:t>
            </w:r>
            <w:proofErr w:type="spellEnd"/>
            <w:r w:rsidRPr="00C034A7">
              <w:rPr>
                <w:rFonts w:ascii="Cambria" w:eastAsia="Times New Roman" w:hAnsi="Cambria" w:cs="Calibri"/>
                <w:lang w:val="it-IT"/>
              </w:rPr>
              <w:t>.</w:t>
            </w:r>
          </w:p>
        </w:tc>
      </w:tr>
      <w:tr w:rsidR="00727BE6" w:rsidRPr="00C034A7" w14:paraId="68CC9387" w14:textId="77777777" w:rsidTr="00450B7A">
        <w:trPr>
          <w:trHeight w:val="4161"/>
        </w:trPr>
        <w:tc>
          <w:tcPr>
            <w:tcW w:w="263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257034C" w14:textId="77777777" w:rsidR="00727BE6" w:rsidRPr="000E50AE" w:rsidRDefault="00727BE6" w:rsidP="00450B7A">
            <w:pPr>
              <w:spacing w:after="0" w:line="240" w:lineRule="auto"/>
              <w:jc w:val="both"/>
              <w:rPr>
                <w:rFonts w:ascii="Cambria" w:eastAsia="Times New Roman" w:hAnsi="Cambria" w:cs="Calibri"/>
              </w:rPr>
            </w:pPr>
            <w:proofErr w:type="spellStart"/>
            <w:r w:rsidRPr="000E50AE">
              <w:rPr>
                <w:rFonts w:ascii="Cambria" w:eastAsia="Times New Roman" w:hAnsi="Cambria" w:cs="Calibri"/>
              </w:rPr>
              <w:lastRenderedPageBreak/>
              <w:t>Literatura</w:t>
            </w:r>
            <w:proofErr w:type="spellEnd"/>
          </w:p>
        </w:tc>
        <w:tc>
          <w:tcPr>
            <w:tcW w:w="6742"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0F267D70" w14:textId="77777777" w:rsidR="00727BE6" w:rsidRPr="00B30379" w:rsidRDefault="00727BE6" w:rsidP="00450B7A">
            <w:pPr>
              <w:tabs>
                <w:tab w:val="left" w:pos="479"/>
              </w:tabs>
              <w:spacing w:after="0" w:line="240" w:lineRule="auto"/>
              <w:ind w:left="54" w:hanging="54"/>
              <w:jc w:val="both"/>
              <w:rPr>
                <w:rFonts w:ascii="Cambria" w:eastAsia="Times New Roman" w:hAnsi="Cambria" w:cs="Calibri"/>
                <w:bCs/>
                <w:lang w:val="it-IT"/>
              </w:rPr>
            </w:pPr>
            <w:proofErr w:type="spellStart"/>
            <w:r w:rsidRPr="00B30379">
              <w:rPr>
                <w:rFonts w:ascii="Cambria" w:eastAsia="Times New Roman" w:hAnsi="Cambria" w:cs="Calibri"/>
                <w:bCs/>
                <w:lang w:val="it-IT"/>
              </w:rPr>
              <w:t>Obvezna</w:t>
            </w:r>
            <w:proofErr w:type="spellEnd"/>
            <w:r w:rsidRPr="00B30379">
              <w:rPr>
                <w:rFonts w:ascii="Cambria" w:eastAsia="Times New Roman" w:hAnsi="Cambria" w:cs="Calibri"/>
                <w:bCs/>
                <w:lang w:val="it-IT"/>
              </w:rPr>
              <w:t>:</w:t>
            </w:r>
          </w:p>
          <w:p w14:paraId="52A6EADB" w14:textId="77777777" w:rsidR="00727BE6" w:rsidRPr="00C034A7" w:rsidRDefault="00727BE6" w:rsidP="00450B7A">
            <w:pPr>
              <w:tabs>
                <w:tab w:val="left" w:pos="479"/>
              </w:tabs>
              <w:spacing w:after="0" w:line="240" w:lineRule="auto"/>
              <w:ind w:left="54"/>
              <w:jc w:val="both"/>
              <w:rPr>
                <w:rFonts w:ascii="Cambria" w:eastAsia="Times New Roman" w:hAnsi="Cambria" w:cs="Calibri"/>
                <w:lang w:val="it-IT"/>
              </w:rPr>
            </w:pPr>
            <w:r>
              <w:rPr>
                <w:rFonts w:ascii="Cambria" w:eastAsia="Times New Roman" w:hAnsi="Cambria" w:cs="Calibri"/>
                <w:lang w:val="it-IT"/>
              </w:rPr>
              <w:t xml:space="preserve">1. </w:t>
            </w:r>
            <w:proofErr w:type="spellStart"/>
            <w:r w:rsidRPr="007B5EAE">
              <w:rPr>
                <w:rFonts w:ascii="Cambria" w:eastAsia="Times New Roman" w:hAnsi="Cambria" w:cs="Calibri"/>
                <w:lang w:val="it-IT"/>
              </w:rPr>
              <w:t>Findak</w:t>
            </w:r>
            <w:proofErr w:type="spellEnd"/>
            <w:r w:rsidRPr="007B5EAE">
              <w:rPr>
                <w:rFonts w:ascii="Cambria" w:eastAsia="Times New Roman" w:hAnsi="Cambria" w:cs="Calibri"/>
                <w:lang w:val="it-IT"/>
              </w:rPr>
              <w:t xml:space="preserve">, V. (2003). </w:t>
            </w:r>
            <w:proofErr w:type="spellStart"/>
            <w:r w:rsidRPr="007B5EAE">
              <w:rPr>
                <w:rFonts w:ascii="Cambria" w:eastAsia="Times New Roman" w:hAnsi="Cambria" w:cs="Calibri"/>
                <w:i/>
                <w:iCs/>
                <w:lang w:val="it-IT"/>
              </w:rPr>
              <w:t>Metodika</w:t>
            </w:r>
            <w:proofErr w:type="spellEnd"/>
            <w:r w:rsidRPr="007B5EAE">
              <w:rPr>
                <w:rFonts w:ascii="Cambria" w:eastAsia="Times New Roman" w:hAnsi="Cambria" w:cs="Calibri"/>
                <w:i/>
                <w:iCs/>
                <w:lang w:val="it-IT"/>
              </w:rPr>
              <w:t xml:space="preserve"> </w:t>
            </w:r>
            <w:proofErr w:type="spellStart"/>
            <w:r w:rsidRPr="007B5EAE">
              <w:rPr>
                <w:rFonts w:ascii="Cambria" w:eastAsia="Times New Roman" w:hAnsi="Cambria" w:cs="Calibri"/>
                <w:i/>
                <w:iCs/>
                <w:lang w:val="it-IT"/>
              </w:rPr>
              <w:t>tjelesne</w:t>
            </w:r>
            <w:proofErr w:type="spellEnd"/>
            <w:r w:rsidRPr="007B5EAE">
              <w:rPr>
                <w:rFonts w:ascii="Cambria" w:eastAsia="Times New Roman" w:hAnsi="Cambria" w:cs="Calibri"/>
                <w:i/>
                <w:iCs/>
                <w:lang w:val="it-IT"/>
              </w:rPr>
              <w:t xml:space="preserve"> i </w:t>
            </w:r>
            <w:proofErr w:type="spellStart"/>
            <w:r w:rsidRPr="007B5EAE">
              <w:rPr>
                <w:rFonts w:ascii="Cambria" w:eastAsia="Times New Roman" w:hAnsi="Cambria" w:cs="Calibri"/>
                <w:i/>
                <w:iCs/>
                <w:lang w:val="it-IT"/>
              </w:rPr>
              <w:t>zdravstvene</w:t>
            </w:r>
            <w:proofErr w:type="spellEnd"/>
            <w:r w:rsidRPr="007B5EAE">
              <w:rPr>
                <w:rFonts w:ascii="Cambria" w:eastAsia="Times New Roman" w:hAnsi="Cambria" w:cs="Calibri"/>
                <w:i/>
                <w:iCs/>
                <w:lang w:val="it-IT"/>
              </w:rPr>
              <w:t xml:space="preserve"> </w:t>
            </w:r>
            <w:proofErr w:type="spellStart"/>
            <w:r w:rsidRPr="007B5EAE">
              <w:rPr>
                <w:rFonts w:ascii="Cambria" w:eastAsia="Times New Roman" w:hAnsi="Cambria" w:cs="Calibri"/>
                <w:i/>
                <w:iCs/>
                <w:lang w:val="it-IT"/>
              </w:rPr>
              <w:t>kulture</w:t>
            </w:r>
            <w:proofErr w:type="spellEnd"/>
            <w:r w:rsidRPr="007B5EAE">
              <w:rPr>
                <w:rFonts w:ascii="Cambria" w:eastAsia="Times New Roman" w:hAnsi="Cambria" w:cs="Calibri"/>
                <w:lang w:val="it-IT"/>
              </w:rPr>
              <w:t xml:space="preserve">. </w:t>
            </w:r>
            <w:proofErr w:type="spellStart"/>
            <w:r w:rsidRPr="00C034A7">
              <w:rPr>
                <w:rFonts w:ascii="Cambria" w:eastAsia="Times New Roman" w:hAnsi="Cambria" w:cs="Calibri"/>
                <w:lang w:val="it-IT"/>
              </w:rPr>
              <w:t>Zagreb</w:t>
            </w:r>
            <w:proofErr w:type="spellEnd"/>
            <w:r w:rsidRPr="00C034A7">
              <w:rPr>
                <w:rFonts w:ascii="Cambria" w:eastAsia="Times New Roman" w:hAnsi="Cambria" w:cs="Calibri"/>
                <w:lang w:val="it-IT"/>
              </w:rPr>
              <w:t xml:space="preserve">: </w:t>
            </w:r>
            <w:proofErr w:type="spellStart"/>
            <w:r w:rsidRPr="00C034A7">
              <w:rPr>
                <w:rFonts w:ascii="Cambria" w:eastAsia="Times New Roman" w:hAnsi="Cambria" w:cs="Calibri"/>
                <w:lang w:val="it-IT"/>
              </w:rPr>
              <w:t>Školska</w:t>
            </w:r>
            <w:proofErr w:type="spellEnd"/>
            <w:r w:rsidRPr="00C034A7">
              <w:rPr>
                <w:rFonts w:ascii="Cambria" w:eastAsia="Times New Roman" w:hAnsi="Cambria" w:cs="Calibri"/>
                <w:lang w:val="it-IT"/>
              </w:rPr>
              <w:t xml:space="preserve"> </w:t>
            </w:r>
            <w:proofErr w:type="spellStart"/>
            <w:r w:rsidRPr="00C034A7">
              <w:rPr>
                <w:rFonts w:ascii="Cambria" w:eastAsia="Times New Roman" w:hAnsi="Cambria" w:cs="Calibri"/>
                <w:lang w:val="it-IT"/>
              </w:rPr>
              <w:t>knjiga</w:t>
            </w:r>
            <w:proofErr w:type="spellEnd"/>
            <w:r w:rsidRPr="00C034A7">
              <w:rPr>
                <w:rFonts w:ascii="Cambria" w:eastAsia="Times New Roman" w:hAnsi="Cambria" w:cs="Calibri"/>
                <w:lang w:val="it-IT"/>
              </w:rPr>
              <w:t>.</w:t>
            </w:r>
          </w:p>
          <w:p w14:paraId="688CC419" w14:textId="77777777" w:rsidR="00727BE6" w:rsidRPr="00C034A7" w:rsidRDefault="00727BE6" w:rsidP="00450B7A">
            <w:pPr>
              <w:tabs>
                <w:tab w:val="left" w:pos="479"/>
              </w:tabs>
              <w:spacing w:after="0" w:line="240" w:lineRule="auto"/>
              <w:ind w:left="54"/>
              <w:jc w:val="both"/>
              <w:rPr>
                <w:rFonts w:ascii="Cambria" w:eastAsia="Times New Roman" w:hAnsi="Cambria" w:cs="Calibri"/>
                <w:lang w:val="it-IT"/>
              </w:rPr>
            </w:pPr>
            <w:r>
              <w:rPr>
                <w:rFonts w:ascii="Cambria" w:eastAsia="Times New Roman" w:hAnsi="Cambria" w:cs="Calibri"/>
                <w:lang w:val="it-IT"/>
              </w:rPr>
              <w:t xml:space="preserve">2. </w:t>
            </w:r>
            <w:proofErr w:type="spellStart"/>
            <w:r w:rsidRPr="007B5EAE">
              <w:rPr>
                <w:rFonts w:ascii="Cambria" w:eastAsia="Times New Roman" w:hAnsi="Cambria" w:cs="Calibri"/>
                <w:lang w:val="it-IT"/>
              </w:rPr>
              <w:t>Neljak</w:t>
            </w:r>
            <w:proofErr w:type="spellEnd"/>
            <w:r w:rsidRPr="007B5EAE">
              <w:rPr>
                <w:rFonts w:ascii="Cambria" w:eastAsia="Times New Roman" w:hAnsi="Cambria" w:cs="Calibri"/>
                <w:lang w:val="it-IT"/>
              </w:rPr>
              <w:t xml:space="preserve">, B. (2011). </w:t>
            </w:r>
            <w:proofErr w:type="spellStart"/>
            <w:r w:rsidRPr="007B5EAE">
              <w:rPr>
                <w:rFonts w:ascii="Cambria" w:eastAsia="Times New Roman" w:hAnsi="Cambria" w:cs="Calibri"/>
                <w:i/>
                <w:iCs/>
                <w:lang w:val="it-IT"/>
              </w:rPr>
              <w:t>Opća</w:t>
            </w:r>
            <w:proofErr w:type="spellEnd"/>
            <w:r w:rsidRPr="007B5EAE">
              <w:rPr>
                <w:rFonts w:ascii="Cambria" w:eastAsia="Times New Roman" w:hAnsi="Cambria" w:cs="Calibri"/>
                <w:i/>
                <w:iCs/>
                <w:lang w:val="it-IT"/>
              </w:rPr>
              <w:t xml:space="preserve"> </w:t>
            </w:r>
            <w:proofErr w:type="spellStart"/>
            <w:r w:rsidRPr="007B5EAE">
              <w:rPr>
                <w:rFonts w:ascii="Cambria" w:eastAsia="Times New Roman" w:hAnsi="Cambria" w:cs="Calibri"/>
                <w:i/>
                <w:iCs/>
                <w:lang w:val="it-IT"/>
              </w:rPr>
              <w:t>kineziološka</w:t>
            </w:r>
            <w:proofErr w:type="spellEnd"/>
            <w:r w:rsidRPr="007B5EAE">
              <w:rPr>
                <w:rFonts w:ascii="Cambria" w:eastAsia="Times New Roman" w:hAnsi="Cambria" w:cs="Calibri"/>
                <w:i/>
                <w:iCs/>
                <w:lang w:val="it-IT"/>
              </w:rPr>
              <w:t xml:space="preserve"> </w:t>
            </w:r>
            <w:proofErr w:type="spellStart"/>
            <w:r w:rsidRPr="007B5EAE">
              <w:rPr>
                <w:rFonts w:ascii="Cambria" w:eastAsia="Times New Roman" w:hAnsi="Cambria" w:cs="Calibri"/>
                <w:i/>
                <w:iCs/>
                <w:lang w:val="it-IT"/>
              </w:rPr>
              <w:t>metodika</w:t>
            </w:r>
            <w:proofErr w:type="spellEnd"/>
            <w:r w:rsidRPr="007B5EAE">
              <w:rPr>
                <w:rFonts w:ascii="Cambria" w:eastAsia="Times New Roman" w:hAnsi="Cambria" w:cs="Calibri"/>
                <w:lang w:val="it-IT"/>
              </w:rPr>
              <w:t xml:space="preserve">. </w:t>
            </w:r>
            <w:proofErr w:type="spellStart"/>
            <w:r w:rsidRPr="00C034A7">
              <w:rPr>
                <w:rFonts w:ascii="Cambria" w:eastAsia="Times New Roman" w:hAnsi="Cambria" w:cs="Calibri"/>
                <w:lang w:val="it-IT"/>
              </w:rPr>
              <w:t>Zagreb</w:t>
            </w:r>
            <w:proofErr w:type="spellEnd"/>
            <w:r w:rsidRPr="00C034A7">
              <w:rPr>
                <w:rFonts w:ascii="Cambria" w:eastAsia="Times New Roman" w:hAnsi="Cambria" w:cs="Calibri"/>
                <w:lang w:val="it-IT"/>
              </w:rPr>
              <w:t xml:space="preserve">: </w:t>
            </w:r>
            <w:proofErr w:type="spellStart"/>
            <w:r w:rsidRPr="00C034A7">
              <w:rPr>
                <w:rFonts w:ascii="Cambria" w:eastAsia="Times New Roman" w:hAnsi="Cambria" w:cs="Calibri"/>
                <w:lang w:val="it-IT"/>
              </w:rPr>
              <w:t>Kineziološki</w:t>
            </w:r>
            <w:proofErr w:type="spellEnd"/>
            <w:r w:rsidRPr="00C034A7">
              <w:rPr>
                <w:rFonts w:ascii="Cambria" w:eastAsia="Times New Roman" w:hAnsi="Cambria" w:cs="Calibri"/>
                <w:lang w:val="it-IT"/>
              </w:rPr>
              <w:t xml:space="preserve"> </w:t>
            </w:r>
            <w:proofErr w:type="spellStart"/>
            <w:r w:rsidRPr="00C034A7">
              <w:rPr>
                <w:rFonts w:ascii="Cambria" w:eastAsia="Times New Roman" w:hAnsi="Cambria" w:cs="Calibri"/>
                <w:lang w:val="it-IT"/>
              </w:rPr>
              <w:t>fakultet</w:t>
            </w:r>
            <w:proofErr w:type="spellEnd"/>
            <w:r w:rsidRPr="00C034A7">
              <w:rPr>
                <w:rFonts w:ascii="Cambria" w:eastAsia="Times New Roman" w:hAnsi="Cambria" w:cs="Calibri"/>
                <w:lang w:val="it-IT"/>
              </w:rPr>
              <w:t>.</w:t>
            </w:r>
          </w:p>
          <w:p w14:paraId="7B4BEC8A" w14:textId="77777777" w:rsidR="00727BE6" w:rsidRPr="00B30379" w:rsidRDefault="00727BE6" w:rsidP="00450B7A">
            <w:pPr>
              <w:tabs>
                <w:tab w:val="left" w:pos="479"/>
              </w:tabs>
              <w:spacing w:after="0" w:line="240" w:lineRule="auto"/>
              <w:ind w:left="54"/>
              <w:jc w:val="both"/>
              <w:rPr>
                <w:rFonts w:ascii="Cambria" w:eastAsia="Times New Roman" w:hAnsi="Cambria" w:cs="Calibri"/>
                <w:lang w:val="it-IT"/>
              </w:rPr>
            </w:pPr>
            <w:r w:rsidRPr="00C034A7">
              <w:rPr>
                <w:rFonts w:ascii="Cambria" w:eastAsia="Times New Roman" w:hAnsi="Cambria" w:cs="Calibri"/>
                <w:lang w:val="it-IT"/>
              </w:rPr>
              <w:t xml:space="preserve">3. </w:t>
            </w:r>
            <w:proofErr w:type="spellStart"/>
            <w:r w:rsidRPr="00C034A7">
              <w:rPr>
                <w:rFonts w:ascii="Cambria" w:eastAsia="Times New Roman" w:hAnsi="Cambria" w:cs="Calibri"/>
                <w:lang w:val="it-IT"/>
              </w:rPr>
              <w:t>Neljak</w:t>
            </w:r>
            <w:proofErr w:type="spellEnd"/>
            <w:r w:rsidRPr="00C034A7">
              <w:rPr>
                <w:rFonts w:ascii="Cambria" w:eastAsia="Times New Roman" w:hAnsi="Cambria" w:cs="Calibri"/>
                <w:lang w:val="it-IT"/>
              </w:rPr>
              <w:t xml:space="preserve">, B. (2011). </w:t>
            </w:r>
            <w:proofErr w:type="spellStart"/>
            <w:r w:rsidRPr="00B30379">
              <w:rPr>
                <w:rFonts w:ascii="Cambria" w:eastAsia="Times New Roman" w:hAnsi="Cambria" w:cs="Calibri"/>
                <w:i/>
                <w:iCs/>
                <w:lang w:val="it-IT"/>
              </w:rPr>
              <w:t>Kineziološka</w:t>
            </w:r>
            <w:proofErr w:type="spellEnd"/>
            <w:r w:rsidRPr="00B30379">
              <w:rPr>
                <w:rFonts w:ascii="Cambria" w:eastAsia="Times New Roman" w:hAnsi="Cambria" w:cs="Calibri"/>
                <w:i/>
                <w:iCs/>
                <w:lang w:val="it-IT"/>
              </w:rPr>
              <w:t xml:space="preserve"> </w:t>
            </w:r>
            <w:proofErr w:type="spellStart"/>
            <w:r w:rsidRPr="00B30379">
              <w:rPr>
                <w:rFonts w:ascii="Cambria" w:eastAsia="Times New Roman" w:hAnsi="Cambria" w:cs="Calibri"/>
                <w:i/>
                <w:iCs/>
                <w:lang w:val="it-IT"/>
              </w:rPr>
              <w:t>metodika</w:t>
            </w:r>
            <w:proofErr w:type="spellEnd"/>
            <w:r w:rsidRPr="00B30379">
              <w:rPr>
                <w:rFonts w:ascii="Cambria" w:eastAsia="Times New Roman" w:hAnsi="Cambria" w:cs="Calibri"/>
                <w:i/>
                <w:iCs/>
                <w:lang w:val="it-IT"/>
              </w:rPr>
              <w:t xml:space="preserve"> u </w:t>
            </w:r>
            <w:proofErr w:type="spellStart"/>
            <w:r w:rsidRPr="00B30379">
              <w:rPr>
                <w:rFonts w:ascii="Cambria" w:eastAsia="Times New Roman" w:hAnsi="Cambria" w:cs="Calibri"/>
                <w:i/>
                <w:iCs/>
                <w:lang w:val="it-IT"/>
              </w:rPr>
              <w:t>osnovnom</w:t>
            </w:r>
            <w:proofErr w:type="spellEnd"/>
            <w:r w:rsidRPr="00B30379">
              <w:rPr>
                <w:rFonts w:ascii="Cambria" w:eastAsia="Times New Roman" w:hAnsi="Cambria" w:cs="Calibri"/>
                <w:i/>
                <w:iCs/>
                <w:lang w:val="it-IT"/>
              </w:rPr>
              <w:t xml:space="preserve"> i </w:t>
            </w:r>
            <w:proofErr w:type="spellStart"/>
            <w:r w:rsidRPr="00B30379">
              <w:rPr>
                <w:rFonts w:ascii="Cambria" w:eastAsia="Times New Roman" w:hAnsi="Cambria" w:cs="Calibri"/>
                <w:i/>
                <w:iCs/>
                <w:lang w:val="it-IT"/>
              </w:rPr>
              <w:t>srednjem</w:t>
            </w:r>
            <w:proofErr w:type="spellEnd"/>
            <w:r w:rsidRPr="00B30379">
              <w:rPr>
                <w:rFonts w:ascii="Cambria" w:eastAsia="Times New Roman" w:hAnsi="Cambria" w:cs="Calibri"/>
                <w:i/>
                <w:iCs/>
                <w:lang w:val="it-IT"/>
              </w:rPr>
              <w:t xml:space="preserve"> </w:t>
            </w:r>
            <w:proofErr w:type="spellStart"/>
            <w:r w:rsidRPr="00B30379">
              <w:rPr>
                <w:rFonts w:ascii="Cambria" w:eastAsia="Times New Roman" w:hAnsi="Cambria" w:cs="Calibri"/>
                <w:i/>
                <w:iCs/>
                <w:lang w:val="it-IT"/>
              </w:rPr>
              <w:t>školstvu</w:t>
            </w:r>
            <w:proofErr w:type="spellEnd"/>
            <w:r w:rsidRPr="00B30379">
              <w:rPr>
                <w:rFonts w:ascii="Cambria" w:eastAsia="Times New Roman" w:hAnsi="Cambria" w:cs="Calibri"/>
                <w:lang w:val="it-IT"/>
              </w:rPr>
              <w:t xml:space="preserve">. </w:t>
            </w:r>
            <w:proofErr w:type="spellStart"/>
            <w:r w:rsidRPr="00B30379">
              <w:rPr>
                <w:rFonts w:ascii="Cambria" w:eastAsia="Times New Roman" w:hAnsi="Cambria" w:cs="Calibri"/>
                <w:lang w:val="it-IT"/>
              </w:rPr>
              <w:t>Zagreb</w:t>
            </w:r>
            <w:proofErr w:type="spellEnd"/>
            <w:r w:rsidRPr="00B30379">
              <w:rPr>
                <w:rFonts w:ascii="Cambria" w:eastAsia="Times New Roman" w:hAnsi="Cambria" w:cs="Calibri"/>
                <w:lang w:val="it-IT"/>
              </w:rPr>
              <w:t xml:space="preserve">: </w:t>
            </w:r>
            <w:proofErr w:type="spellStart"/>
            <w:r w:rsidRPr="00B30379">
              <w:rPr>
                <w:rFonts w:ascii="Cambria" w:eastAsia="Times New Roman" w:hAnsi="Cambria" w:cs="Calibri"/>
                <w:lang w:val="it-IT"/>
              </w:rPr>
              <w:t>Kineziološki</w:t>
            </w:r>
            <w:proofErr w:type="spellEnd"/>
            <w:r w:rsidRPr="00B30379">
              <w:rPr>
                <w:rFonts w:ascii="Cambria" w:eastAsia="Times New Roman" w:hAnsi="Cambria" w:cs="Calibri"/>
                <w:lang w:val="it-IT"/>
              </w:rPr>
              <w:t xml:space="preserve"> </w:t>
            </w:r>
            <w:proofErr w:type="spellStart"/>
            <w:r w:rsidRPr="00B30379">
              <w:rPr>
                <w:rFonts w:ascii="Cambria" w:eastAsia="Times New Roman" w:hAnsi="Cambria" w:cs="Calibri"/>
                <w:lang w:val="it-IT"/>
              </w:rPr>
              <w:t>fakultet</w:t>
            </w:r>
            <w:proofErr w:type="spellEnd"/>
            <w:r w:rsidRPr="00B30379">
              <w:rPr>
                <w:rFonts w:ascii="Cambria" w:eastAsia="Times New Roman" w:hAnsi="Cambria" w:cs="Calibri"/>
                <w:lang w:val="it-IT"/>
              </w:rPr>
              <w:t>.</w:t>
            </w:r>
          </w:p>
          <w:p w14:paraId="2ABE54D5" w14:textId="77777777" w:rsidR="00727BE6" w:rsidRPr="00B30379" w:rsidRDefault="00727BE6" w:rsidP="00450B7A">
            <w:pPr>
              <w:tabs>
                <w:tab w:val="left" w:pos="479"/>
              </w:tabs>
              <w:spacing w:after="0" w:line="240" w:lineRule="auto"/>
              <w:ind w:left="54"/>
              <w:jc w:val="both"/>
              <w:rPr>
                <w:rFonts w:ascii="Cambria" w:eastAsia="Times New Roman" w:hAnsi="Cambria" w:cs="Calibri"/>
                <w:lang w:val="it-IT"/>
              </w:rPr>
            </w:pPr>
            <w:r w:rsidRPr="00B30379">
              <w:rPr>
                <w:rFonts w:ascii="Cambria" w:eastAsia="Times New Roman" w:hAnsi="Cambria" w:cs="Calibri"/>
                <w:lang w:val="it-IT"/>
              </w:rPr>
              <w:t xml:space="preserve">4. </w:t>
            </w:r>
            <w:proofErr w:type="spellStart"/>
            <w:r w:rsidRPr="00B30379">
              <w:rPr>
                <w:rFonts w:ascii="Cambria" w:eastAsia="Times New Roman" w:hAnsi="Cambria" w:cs="Calibri"/>
                <w:lang w:val="it-IT"/>
              </w:rPr>
              <w:t>Pejčić</w:t>
            </w:r>
            <w:proofErr w:type="spellEnd"/>
            <w:r w:rsidRPr="00B30379">
              <w:rPr>
                <w:rFonts w:ascii="Cambria" w:eastAsia="Times New Roman" w:hAnsi="Cambria" w:cs="Calibri"/>
                <w:lang w:val="it-IT"/>
              </w:rPr>
              <w:t xml:space="preserve">, A., &amp; Trajkovski, B. (2018). </w:t>
            </w:r>
            <w:proofErr w:type="spellStart"/>
            <w:r w:rsidRPr="00B30379">
              <w:rPr>
                <w:rFonts w:ascii="Cambria" w:eastAsia="Times New Roman" w:hAnsi="Cambria" w:cs="Calibri"/>
                <w:i/>
                <w:iCs/>
                <w:lang w:val="it-IT"/>
              </w:rPr>
              <w:t>Što</w:t>
            </w:r>
            <w:proofErr w:type="spellEnd"/>
            <w:r w:rsidRPr="00B30379">
              <w:rPr>
                <w:rFonts w:ascii="Cambria" w:eastAsia="Times New Roman" w:hAnsi="Cambria" w:cs="Calibri"/>
                <w:i/>
                <w:iCs/>
                <w:lang w:val="it-IT"/>
              </w:rPr>
              <w:t xml:space="preserve"> i </w:t>
            </w:r>
            <w:proofErr w:type="spellStart"/>
            <w:r w:rsidRPr="00B30379">
              <w:rPr>
                <w:rFonts w:ascii="Cambria" w:eastAsia="Times New Roman" w:hAnsi="Cambria" w:cs="Calibri"/>
                <w:i/>
                <w:iCs/>
                <w:lang w:val="it-IT"/>
              </w:rPr>
              <w:t>kako</w:t>
            </w:r>
            <w:proofErr w:type="spellEnd"/>
            <w:r w:rsidRPr="00B30379">
              <w:rPr>
                <w:rFonts w:ascii="Cambria" w:eastAsia="Times New Roman" w:hAnsi="Cambria" w:cs="Calibri"/>
                <w:i/>
                <w:iCs/>
                <w:lang w:val="it-IT"/>
              </w:rPr>
              <w:t xml:space="preserve"> </w:t>
            </w:r>
            <w:proofErr w:type="spellStart"/>
            <w:r w:rsidRPr="00B30379">
              <w:rPr>
                <w:rFonts w:ascii="Cambria" w:eastAsia="Times New Roman" w:hAnsi="Cambria" w:cs="Calibri"/>
                <w:i/>
                <w:iCs/>
                <w:lang w:val="it-IT"/>
              </w:rPr>
              <w:t>vježbati</w:t>
            </w:r>
            <w:proofErr w:type="spellEnd"/>
            <w:r w:rsidRPr="00B30379">
              <w:rPr>
                <w:rFonts w:ascii="Cambria" w:eastAsia="Times New Roman" w:hAnsi="Cambria" w:cs="Calibri"/>
                <w:i/>
                <w:iCs/>
                <w:lang w:val="it-IT"/>
              </w:rPr>
              <w:t xml:space="preserve"> s </w:t>
            </w:r>
            <w:proofErr w:type="spellStart"/>
            <w:r w:rsidRPr="00B30379">
              <w:rPr>
                <w:rFonts w:ascii="Cambria" w:eastAsia="Times New Roman" w:hAnsi="Cambria" w:cs="Calibri"/>
                <w:i/>
                <w:iCs/>
                <w:lang w:val="it-IT"/>
              </w:rPr>
              <w:t>djecom</w:t>
            </w:r>
            <w:proofErr w:type="spellEnd"/>
            <w:r w:rsidRPr="00B30379">
              <w:rPr>
                <w:rFonts w:ascii="Cambria" w:eastAsia="Times New Roman" w:hAnsi="Cambria" w:cs="Calibri"/>
                <w:i/>
                <w:iCs/>
                <w:lang w:val="it-IT"/>
              </w:rPr>
              <w:t xml:space="preserve"> u </w:t>
            </w:r>
            <w:proofErr w:type="spellStart"/>
            <w:r w:rsidRPr="00B30379">
              <w:rPr>
                <w:rFonts w:ascii="Cambria" w:eastAsia="Times New Roman" w:hAnsi="Cambria" w:cs="Calibri"/>
                <w:i/>
                <w:iCs/>
                <w:lang w:val="it-IT"/>
              </w:rPr>
              <w:t>vrtiću</w:t>
            </w:r>
            <w:proofErr w:type="spellEnd"/>
            <w:r w:rsidRPr="00B30379">
              <w:rPr>
                <w:rFonts w:ascii="Cambria" w:eastAsia="Times New Roman" w:hAnsi="Cambria" w:cs="Calibri"/>
                <w:i/>
                <w:iCs/>
                <w:lang w:val="it-IT"/>
              </w:rPr>
              <w:t xml:space="preserve"> i </w:t>
            </w:r>
            <w:proofErr w:type="spellStart"/>
            <w:r w:rsidRPr="00B30379">
              <w:rPr>
                <w:rFonts w:ascii="Cambria" w:eastAsia="Times New Roman" w:hAnsi="Cambria" w:cs="Calibri"/>
                <w:i/>
                <w:iCs/>
                <w:lang w:val="it-IT"/>
              </w:rPr>
              <w:t>školi</w:t>
            </w:r>
            <w:proofErr w:type="spellEnd"/>
            <w:r w:rsidRPr="00B30379">
              <w:rPr>
                <w:rFonts w:ascii="Cambria" w:eastAsia="Times New Roman" w:hAnsi="Cambria" w:cs="Calibri"/>
                <w:lang w:val="it-IT"/>
              </w:rPr>
              <w:t xml:space="preserve">. Rijeka: </w:t>
            </w:r>
            <w:proofErr w:type="spellStart"/>
            <w:r w:rsidRPr="00B30379">
              <w:rPr>
                <w:rFonts w:ascii="Cambria" w:eastAsia="Times New Roman" w:hAnsi="Cambria" w:cs="Calibri"/>
                <w:lang w:val="it-IT"/>
              </w:rPr>
              <w:t>Učiteljski</w:t>
            </w:r>
            <w:proofErr w:type="spellEnd"/>
            <w:r w:rsidRPr="00B30379">
              <w:rPr>
                <w:rFonts w:ascii="Cambria" w:eastAsia="Times New Roman" w:hAnsi="Cambria" w:cs="Calibri"/>
                <w:lang w:val="it-IT"/>
              </w:rPr>
              <w:t xml:space="preserve"> </w:t>
            </w:r>
            <w:proofErr w:type="spellStart"/>
            <w:r w:rsidRPr="00B30379">
              <w:rPr>
                <w:rFonts w:ascii="Cambria" w:eastAsia="Times New Roman" w:hAnsi="Cambria" w:cs="Calibri"/>
                <w:lang w:val="it-IT"/>
              </w:rPr>
              <w:t>fakultet</w:t>
            </w:r>
            <w:proofErr w:type="spellEnd"/>
            <w:r w:rsidRPr="00B30379">
              <w:rPr>
                <w:rFonts w:ascii="Cambria" w:eastAsia="Times New Roman" w:hAnsi="Cambria" w:cs="Calibri"/>
                <w:lang w:val="it-IT"/>
              </w:rPr>
              <w:t xml:space="preserve"> </w:t>
            </w:r>
            <w:proofErr w:type="spellStart"/>
            <w:r w:rsidRPr="00B30379">
              <w:rPr>
                <w:rFonts w:ascii="Cambria" w:eastAsia="Times New Roman" w:hAnsi="Cambria" w:cs="Calibri"/>
                <w:lang w:val="it-IT"/>
              </w:rPr>
              <w:t>Sveučilišta</w:t>
            </w:r>
            <w:proofErr w:type="spellEnd"/>
            <w:r w:rsidRPr="00B30379">
              <w:rPr>
                <w:rFonts w:ascii="Cambria" w:eastAsia="Times New Roman" w:hAnsi="Cambria" w:cs="Calibri"/>
                <w:lang w:val="it-IT"/>
              </w:rPr>
              <w:t xml:space="preserve"> u </w:t>
            </w:r>
            <w:proofErr w:type="spellStart"/>
            <w:r w:rsidRPr="00B30379">
              <w:rPr>
                <w:rFonts w:ascii="Cambria" w:eastAsia="Times New Roman" w:hAnsi="Cambria" w:cs="Calibri"/>
                <w:lang w:val="it-IT"/>
              </w:rPr>
              <w:t>Rijeci</w:t>
            </w:r>
            <w:proofErr w:type="spellEnd"/>
            <w:r w:rsidRPr="00B30379">
              <w:rPr>
                <w:rFonts w:ascii="Cambria" w:eastAsia="Times New Roman" w:hAnsi="Cambria" w:cs="Calibri"/>
                <w:lang w:val="it-IT"/>
              </w:rPr>
              <w:t>.</w:t>
            </w:r>
          </w:p>
          <w:p w14:paraId="62C93C07" w14:textId="77777777" w:rsidR="00727BE6" w:rsidRPr="00B30379" w:rsidRDefault="00727BE6" w:rsidP="00450B7A">
            <w:pPr>
              <w:tabs>
                <w:tab w:val="left" w:pos="479"/>
              </w:tabs>
              <w:spacing w:after="0" w:line="240" w:lineRule="auto"/>
              <w:ind w:left="54" w:hanging="54"/>
              <w:jc w:val="both"/>
              <w:rPr>
                <w:rFonts w:ascii="Cambria" w:eastAsia="Times New Roman" w:hAnsi="Cambria" w:cs="Calibri"/>
                <w:bCs/>
                <w:lang w:val="it-IT"/>
              </w:rPr>
            </w:pPr>
            <w:proofErr w:type="spellStart"/>
            <w:r w:rsidRPr="00B30379">
              <w:rPr>
                <w:rFonts w:ascii="Cambria" w:eastAsia="Times New Roman" w:hAnsi="Cambria" w:cs="Calibri"/>
                <w:bCs/>
                <w:lang w:val="it-IT"/>
              </w:rPr>
              <w:t>Izborna</w:t>
            </w:r>
            <w:proofErr w:type="spellEnd"/>
            <w:r w:rsidRPr="00B30379">
              <w:rPr>
                <w:rFonts w:ascii="Cambria" w:eastAsia="Times New Roman" w:hAnsi="Cambria" w:cs="Calibri"/>
                <w:bCs/>
                <w:lang w:val="it-IT"/>
              </w:rPr>
              <w:t>:</w:t>
            </w:r>
          </w:p>
          <w:p w14:paraId="5D10D1C7" w14:textId="77777777" w:rsidR="00727BE6" w:rsidRPr="00B30379" w:rsidRDefault="00727BE6" w:rsidP="00450B7A">
            <w:pPr>
              <w:tabs>
                <w:tab w:val="left" w:pos="479"/>
              </w:tabs>
              <w:spacing w:after="0" w:line="240" w:lineRule="auto"/>
              <w:ind w:left="54"/>
              <w:jc w:val="both"/>
              <w:rPr>
                <w:rFonts w:ascii="Cambria" w:eastAsia="Times New Roman" w:hAnsi="Cambria" w:cs="Calibri"/>
                <w:lang w:val="it-IT"/>
              </w:rPr>
            </w:pPr>
            <w:r w:rsidRPr="00B30379">
              <w:rPr>
                <w:rFonts w:ascii="Cambria" w:eastAsia="Times New Roman" w:hAnsi="Cambria" w:cs="Calibri"/>
                <w:lang w:val="it-IT"/>
              </w:rPr>
              <w:t xml:space="preserve">1. </w:t>
            </w:r>
            <w:proofErr w:type="spellStart"/>
            <w:r w:rsidRPr="00B30379">
              <w:rPr>
                <w:rFonts w:ascii="Cambria" w:eastAsia="Times New Roman" w:hAnsi="Cambria" w:cs="Calibri"/>
                <w:lang w:val="it-IT"/>
              </w:rPr>
              <w:t>Mišigoj-Duraković</w:t>
            </w:r>
            <w:proofErr w:type="spellEnd"/>
            <w:r w:rsidRPr="00B30379">
              <w:rPr>
                <w:rFonts w:ascii="Cambria" w:eastAsia="Times New Roman" w:hAnsi="Cambria" w:cs="Calibri"/>
                <w:lang w:val="it-IT"/>
              </w:rPr>
              <w:t xml:space="preserve">, M. (2008). </w:t>
            </w:r>
            <w:proofErr w:type="spellStart"/>
            <w:r w:rsidRPr="00B30379">
              <w:rPr>
                <w:rFonts w:ascii="Cambria" w:eastAsia="Times New Roman" w:hAnsi="Cambria" w:cs="Calibri"/>
                <w:i/>
                <w:iCs/>
                <w:lang w:val="it-IT"/>
              </w:rPr>
              <w:t>Kinantropologija</w:t>
            </w:r>
            <w:proofErr w:type="spellEnd"/>
            <w:r w:rsidRPr="00B30379">
              <w:rPr>
                <w:rFonts w:ascii="Cambria" w:eastAsia="Times New Roman" w:hAnsi="Cambria" w:cs="Calibri"/>
                <w:i/>
                <w:iCs/>
                <w:lang w:val="it-IT"/>
              </w:rPr>
              <w:t xml:space="preserve">: </w:t>
            </w:r>
            <w:proofErr w:type="spellStart"/>
            <w:r w:rsidRPr="00B30379">
              <w:rPr>
                <w:rFonts w:ascii="Cambria" w:eastAsia="Times New Roman" w:hAnsi="Cambria" w:cs="Calibri"/>
                <w:i/>
                <w:iCs/>
                <w:lang w:val="it-IT"/>
              </w:rPr>
              <w:t>Biološki</w:t>
            </w:r>
            <w:proofErr w:type="spellEnd"/>
            <w:r w:rsidRPr="00B30379">
              <w:rPr>
                <w:rFonts w:ascii="Cambria" w:eastAsia="Times New Roman" w:hAnsi="Cambria" w:cs="Calibri"/>
                <w:i/>
                <w:iCs/>
                <w:lang w:val="it-IT"/>
              </w:rPr>
              <w:t xml:space="preserve"> </w:t>
            </w:r>
            <w:proofErr w:type="spellStart"/>
            <w:r w:rsidRPr="00B30379">
              <w:rPr>
                <w:rFonts w:ascii="Cambria" w:eastAsia="Times New Roman" w:hAnsi="Cambria" w:cs="Calibri"/>
                <w:i/>
                <w:iCs/>
                <w:lang w:val="it-IT"/>
              </w:rPr>
              <w:t>aspekti</w:t>
            </w:r>
            <w:proofErr w:type="spellEnd"/>
            <w:r w:rsidRPr="00B30379">
              <w:rPr>
                <w:rFonts w:ascii="Cambria" w:eastAsia="Times New Roman" w:hAnsi="Cambria" w:cs="Calibri"/>
                <w:i/>
                <w:iCs/>
                <w:lang w:val="it-IT"/>
              </w:rPr>
              <w:t xml:space="preserve"> </w:t>
            </w:r>
            <w:proofErr w:type="spellStart"/>
            <w:r w:rsidRPr="00B30379">
              <w:rPr>
                <w:rFonts w:ascii="Cambria" w:eastAsia="Times New Roman" w:hAnsi="Cambria" w:cs="Calibri"/>
                <w:i/>
                <w:iCs/>
                <w:lang w:val="it-IT"/>
              </w:rPr>
              <w:t>tjelesnog</w:t>
            </w:r>
            <w:proofErr w:type="spellEnd"/>
            <w:r w:rsidRPr="00B30379">
              <w:rPr>
                <w:rFonts w:ascii="Cambria" w:eastAsia="Times New Roman" w:hAnsi="Cambria" w:cs="Calibri"/>
                <w:i/>
                <w:iCs/>
                <w:lang w:val="it-IT"/>
              </w:rPr>
              <w:t xml:space="preserve"> </w:t>
            </w:r>
            <w:proofErr w:type="spellStart"/>
            <w:r w:rsidRPr="00B30379">
              <w:rPr>
                <w:rFonts w:ascii="Cambria" w:eastAsia="Times New Roman" w:hAnsi="Cambria" w:cs="Calibri"/>
                <w:i/>
                <w:iCs/>
                <w:lang w:val="it-IT"/>
              </w:rPr>
              <w:t>vježbanja</w:t>
            </w:r>
            <w:proofErr w:type="spellEnd"/>
            <w:r w:rsidRPr="00B30379">
              <w:rPr>
                <w:rFonts w:ascii="Cambria" w:eastAsia="Times New Roman" w:hAnsi="Cambria" w:cs="Calibri"/>
                <w:lang w:val="it-IT"/>
              </w:rPr>
              <w:t xml:space="preserve">. </w:t>
            </w:r>
            <w:proofErr w:type="spellStart"/>
            <w:r w:rsidRPr="00B30379">
              <w:rPr>
                <w:rFonts w:ascii="Cambria" w:eastAsia="Times New Roman" w:hAnsi="Cambria" w:cs="Calibri"/>
                <w:lang w:val="it-IT"/>
              </w:rPr>
              <w:t>Zagreb</w:t>
            </w:r>
            <w:proofErr w:type="spellEnd"/>
            <w:r w:rsidRPr="00B30379">
              <w:rPr>
                <w:rFonts w:ascii="Cambria" w:eastAsia="Times New Roman" w:hAnsi="Cambria" w:cs="Calibri"/>
                <w:lang w:val="it-IT"/>
              </w:rPr>
              <w:t xml:space="preserve">: </w:t>
            </w:r>
            <w:proofErr w:type="spellStart"/>
            <w:r w:rsidRPr="00B30379">
              <w:rPr>
                <w:rFonts w:ascii="Cambria" w:eastAsia="Times New Roman" w:hAnsi="Cambria" w:cs="Calibri"/>
                <w:lang w:val="it-IT"/>
              </w:rPr>
              <w:t>Kineziološki</w:t>
            </w:r>
            <w:proofErr w:type="spellEnd"/>
            <w:r w:rsidRPr="00B30379">
              <w:rPr>
                <w:rFonts w:ascii="Cambria" w:eastAsia="Times New Roman" w:hAnsi="Cambria" w:cs="Calibri"/>
                <w:lang w:val="it-IT"/>
              </w:rPr>
              <w:t xml:space="preserve"> </w:t>
            </w:r>
            <w:proofErr w:type="spellStart"/>
            <w:r w:rsidRPr="00B30379">
              <w:rPr>
                <w:rFonts w:ascii="Cambria" w:eastAsia="Times New Roman" w:hAnsi="Cambria" w:cs="Calibri"/>
                <w:lang w:val="it-IT"/>
              </w:rPr>
              <w:t>fakultet</w:t>
            </w:r>
            <w:proofErr w:type="spellEnd"/>
            <w:r w:rsidRPr="00B30379">
              <w:rPr>
                <w:rFonts w:ascii="Cambria" w:eastAsia="Times New Roman" w:hAnsi="Cambria" w:cs="Calibri"/>
                <w:lang w:val="it-IT"/>
              </w:rPr>
              <w:t>.</w:t>
            </w:r>
          </w:p>
          <w:p w14:paraId="694C9515" w14:textId="77777777" w:rsidR="00727BE6" w:rsidRPr="00C034A7" w:rsidRDefault="00727BE6" w:rsidP="00450B7A">
            <w:pPr>
              <w:tabs>
                <w:tab w:val="left" w:pos="479"/>
              </w:tabs>
              <w:spacing w:after="0" w:line="240" w:lineRule="auto"/>
              <w:ind w:left="54"/>
              <w:jc w:val="both"/>
              <w:rPr>
                <w:rFonts w:ascii="Cambria" w:eastAsia="Times New Roman" w:hAnsi="Cambria" w:cs="Calibri"/>
                <w:lang w:val="it-IT"/>
              </w:rPr>
            </w:pPr>
            <w:r>
              <w:rPr>
                <w:rFonts w:ascii="Cambria" w:eastAsia="Times New Roman" w:hAnsi="Cambria" w:cs="Calibri"/>
                <w:lang w:val="it-IT"/>
              </w:rPr>
              <w:t xml:space="preserve">2. </w:t>
            </w:r>
            <w:proofErr w:type="spellStart"/>
            <w:r w:rsidRPr="007B5EAE">
              <w:rPr>
                <w:rFonts w:ascii="Cambria" w:eastAsia="Times New Roman" w:hAnsi="Cambria" w:cs="Calibri"/>
                <w:lang w:val="it-IT"/>
              </w:rPr>
              <w:t>Mišigoj-Duraković</w:t>
            </w:r>
            <w:proofErr w:type="spellEnd"/>
            <w:r w:rsidRPr="007B5EAE">
              <w:rPr>
                <w:rFonts w:ascii="Cambria" w:eastAsia="Times New Roman" w:hAnsi="Cambria" w:cs="Calibri"/>
                <w:lang w:val="it-IT"/>
              </w:rPr>
              <w:t xml:space="preserve">, M., i </w:t>
            </w:r>
            <w:proofErr w:type="spellStart"/>
            <w:r w:rsidRPr="007B5EAE">
              <w:rPr>
                <w:rFonts w:ascii="Cambria" w:eastAsia="Times New Roman" w:hAnsi="Cambria" w:cs="Calibri"/>
                <w:lang w:val="it-IT"/>
              </w:rPr>
              <w:t>suradnici</w:t>
            </w:r>
            <w:proofErr w:type="spellEnd"/>
            <w:r w:rsidRPr="007B5EAE">
              <w:rPr>
                <w:rFonts w:ascii="Cambria" w:eastAsia="Times New Roman" w:hAnsi="Cambria" w:cs="Calibri"/>
                <w:lang w:val="it-IT"/>
              </w:rPr>
              <w:t xml:space="preserve">. (2018). </w:t>
            </w:r>
            <w:proofErr w:type="spellStart"/>
            <w:r w:rsidRPr="007B5EAE">
              <w:rPr>
                <w:rFonts w:ascii="Cambria" w:eastAsia="Times New Roman" w:hAnsi="Cambria" w:cs="Calibri"/>
                <w:i/>
                <w:iCs/>
                <w:lang w:val="it-IT"/>
              </w:rPr>
              <w:t>Tjelesno</w:t>
            </w:r>
            <w:proofErr w:type="spellEnd"/>
            <w:r w:rsidRPr="007B5EAE">
              <w:rPr>
                <w:rFonts w:ascii="Cambria" w:eastAsia="Times New Roman" w:hAnsi="Cambria" w:cs="Calibri"/>
                <w:i/>
                <w:iCs/>
                <w:lang w:val="it-IT"/>
              </w:rPr>
              <w:t xml:space="preserve"> </w:t>
            </w:r>
            <w:proofErr w:type="spellStart"/>
            <w:r w:rsidRPr="007B5EAE">
              <w:rPr>
                <w:rFonts w:ascii="Cambria" w:eastAsia="Times New Roman" w:hAnsi="Cambria" w:cs="Calibri"/>
                <w:i/>
                <w:iCs/>
                <w:lang w:val="it-IT"/>
              </w:rPr>
              <w:t>vježbanje</w:t>
            </w:r>
            <w:proofErr w:type="spellEnd"/>
            <w:r w:rsidRPr="007B5EAE">
              <w:rPr>
                <w:rFonts w:ascii="Cambria" w:eastAsia="Times New Roman" w:hAnsi="Cambria" w:cs="Calibri"/>
                <w:i/>
                <w:iCs/>
                <w:lang w:val="it-IT"/>
              </w:rPr>
              <w:t xml:space="preserve"> i </w:t>
            </w:r>
            <w:proofErr w:type="spellStart"/>
            <w:r w:rsidRPr="007B5EAE">
              <w:rPr>
                <w:rFonts w:ascii="Cambria" w:eastAsia="Times New Roman" w:hAnsi="Cambria" w:cs="Calibri"/>
                <w:i/>
                <w:iCs/>
                <w:lang w:val="it-IT"/>
              </w:rPr>
              <w:t>zdravlje</w:t>
            </w:r>
            <w:proofErr w:type="spellEnd"/>
            <w:r w:rsidRPr="007B5EAE">
              <w:rPr>
                <w:rFonts w:ascii="Cambria" w:eastAsia="Times New Roman" w:hAnsi="Cambria" w:cs="Calibri"/>
                <w:lang w:val="it-IT"/>
              </w:rPr>
              <w:t xml:space="preserve">. </w:t>
            </w:r>
            <w:proofErr w:type="spellStart"/>
            <w:r w:rsidRPr="007B5EAE">
              <w:rPr>
                <w:rFonts w:ascii="Cambria" w:eastAsia="Times New Roman" w:hAnsi="Cambria" w:cs="Calibri"/>
                <w:lang w:val="it-IT"/>
              </w:rPr>
              <w:t>Zagreb</w:t>
            </w:r>
            <w:proofErr w:type="spellEnd"/>
            <w:r w:rsidRPr="007B5EAE">
              <w:rPr>
                <w:rFonts w:ascii="Cambria" w:eastAsia="Times New Roman" w:hAnsi="Cambria" w:cs="Calibri"/>
                <w:lang w:val="it-IT"/>
              </w:rPr>
              <w:t xml:space="preserve">: </w:t>
            </w:r>
            <w:proofErr w:type="spellStart"/>
            <w:r w:rsidRPr="007B5EAE">
              <w:rPr>
                <w:rFonts w:ascii="Cambria" w:eastAsia="Times New Roman" w:hAnsi="Cambria" w:cs="Calibri"/>
                <w:lang w:val="it-IT"/>
              </w:rPr>
              <w:t>Kineziološki</w:t>
            </w:r>
            <w:proofErr w:type="spellEnd"/>
            <w:r w:rsidRPr="007B5EAE">
              <w:rPr>
                <w:rFonts w:ascii="Cambria" w:eastAsia="Times New Roman" w:hAnsi="Cambria" w:cs="Calibri"/>
                <w:lang w:val="it-IT"/>
              </w:rPr>
              <w:t xml:space="preserve"> </w:t>
            </w:r>
            <w:proofErr w:type="spellStart"/>
            <w:r w:rsidRPr="007B5EAE">
              <w:rPr>
                <w:rFonts w:ascii="Cambria" w:eastAsia="Times New Roman" w:hAnsi="Cambria" w:cs="Calibri"/>
                <w:lang w:val="it-IT"/>
              </w:rPr>
              <w:t>fakultet</w:t>
            </w:r>
            <w:proofErr w:type="spellEnd"/>
            <w:r w:rsidRPr="007B5EAE">
              <w:rPr>
                <w:rFonts w:ascii="Cambria" w:eastAsia="Times New Roman" w:hAnsi="Cambria" w:cs="Calibri"/>
                <w:lang w:val="it-IT"/>
              </w:rPr>
              <w:t xml:space="preserve"> </w:t>
            </w:r>
            <w:proofErr w:type="spellStart"/>
            <w:r w:rsidRPr="007B5EAE">
              <w:rPr>
                <w:rFonts w:ascii="Cambria" w:eastAsia="Times New Roman" w:hAnsi="Cambria" w:cs="Calibri"/>
                <w:lang w:val="it-IT"/>
              </w:rPr>
              <w:t>Sveučilišta</w:t>
            </w:r>
            <w:proofErr w:type="spellEnd"/>
            <w:r w:rsidRPr="007B5EAE">
              <w:rPr>
                <w:rFonts w:ascii="Cambria" w:eastAsia="Times New Roman" w:hAnsi="Cambria" w:cs="Calibri"/>
                <w:lang w:val="it-IT"/>
              </w:rPr>
              <w:t xml:space="preserve"> u </w:t>
            </w:r>
            <w:proofErr w:type="spellStart"/>
            <w:r w:rsidRPr="007B5EAE">
              <w:rPr>
                <w:rFonts w:ascii="Cambria" w:eastAsia="Times New Roman" w:hAnsi="Cambria" w:cs="Calibri"/>
                <w:lang w:val="it-IT"/>
              </w:rPr>
              <w:t>Zagrebu</w:t>
            </w:r>
            <w:proofErr w:type="spellEnd"/>
            <w:r w:rsidRPr="007B5EAE">
              <w:rPr>
                <w:rFonts w:ascii="Cambria" w:eastAsia="Times New Roman" w:hAnsi="Cambria" w:cs="Calibri"/>
                <w:lang w:val="it-IT"/>
              </w:rPr>
              <w:t>.</w:t>
            </w:r>
          </w:p>
          <w:p w14:paraId="3A004602" w14:textId="77777777" w:rsidR="00727BE6" w:rsidRPr="00B30379" w:rsidRDefault="00727BE6" w:rsidP="00450B7A">
            <w:pPr>
              <w:tabs>
                <w:tab w:val="left" w:pos="479"/>
              </w:tabs>
              <w:spacing w:after="0" w:line="240" w:lineRule="auto"/>
              <w:ind w:left="54"/>
              <w:jc w:val="both"/>
              <w:rPr>
                <w:rFonts w:ascii="Cambria" w:eastAsia="Times New Roman" w:hAnsi="Cambria" w:cs="Calibri"/>
                <w:lang w:val="it-IT"/>
              </w:rPr>
            </w:pPr>
            <w:r>
              <w:rPr>
                <w:rFonts w:ascii="Cambria" w:eastAsia="Times New Roman" w:hAnsi="Cambria" w:cs="Calibri"/>
                <w:lang w:val="it-IT"/>
              </w:rPr>
              <w:t xml:space="preserve">3. </w:t>
            </w:r>
            <w:proofErr w:type="spellStart"/>
            <w:r w:rsidRPr="007B5EAE">
              <w:rPr>
                <w:rFonts w:ascii="Cambria" w:eastAsia="Times New Roman" w:hAnsi="Cambria" w:cs="Calibri"/>
                <w:lang w:val="it-IT"/>
              </w:rPr>
              <w:t>Sekulić</w:t>
            </w:r>
            <w:proofErr w:type="spellEnd"/>
            <w:r w:rsidRPr="007B5EAE">
              <w:rPr>
                <w:rFonts w:ascii="Cambria" w:eastAsia="Times New Roman" w:hAnsi="Cambria" w:cs="Calibri"/>
                <w:lang w:val="it-IT"/>
              </w:rPr>
              <w:t xml:space="preserve">, D., &amp; </w:t>
            </w:r>
            <w:proofErr w:type="spellStart"/>
            <w:r w:rsidRPr="007B5EAE">
              <w:rPr>
                <w:rFonts w:ascii="Cambria" w:eastAsia="Times New Roman" w:hAnsi="Cambria" w:cs="Calibri"/>
                <w:lang w:val="it-IT"/>
              </w:rPr>
              <w:t>Metikoš</w:t>
            </w:r>
            <w:proofErr w:type="spellEnd"/>
            <w:r w:rsidRPr="007B5EAE">
              <w:rPr>
                <w:rFonts w:ascii="Cambria" w:eastAsia="Times New Roman" w:hAnsi="Cambria" w:cs="Calibri"/>
                <w:lang w:val="it-IT"/>
              </w:rPr>
              <w:t xml:space="preserve">, D. (2007). </w:t>
            </w:r>
            <w:proofErr w:type="spellStart"/>
            <w:r w:rsidRPr="007B5EAE">
              <w:rPr>
                <w:rFonts w:ascii="Cambria" w:eastAsia="Times New Roman" w:hAnsi="Cambria" w:cs="Calibri"/>
                <w:i/>
                <w:iCs/>
                <w:lang w:val="it-IT"/>
              </w:rPr>
              <w:t>Uvod</w:t>
            </w:r>
            <w:proofErr w:type="spellEnd"/>
            <w:r w:rsidRPr="007B5EAE">
              <w:rPr>
                <w:rFonts w:ascii="Cambria" w:eastAsia="Times New Roman" w:hAnsi="Cambria" w:cs="Calibri"/>
                <w:i/>
                <w:iCs/>
                <w:lang w:val="it-IT"/>
              </w:rPr>
              <w:t xml:space="preserve"> u </w:t>
            </w:r>
            <w:proofErr w:type="spellStart"/>
            <w:r w:rsidRPr="007B5EAE">
              <w:rPr>
                <w:rFonts w:ascii="Cambria" w:eastAsia="Times New Roman" w:hAnsi="Cambria" w:cs="Calibri"/>
                <w:i/>
                <w:iCs/>
                <w:lang w:val="it-IT"/>
              </w:rPr>
              <w:t>transformacijske</w:t>
            </w:r>
            <w:proofErr w:type="spellEnd"/>
            <w:r w:rsidRPr="007B5EAE">
              <w:rPr>
                <w:rFonts w:ascii="Cambria" w:eastAsia="Times New Roman" w:hAnsi="Cambria" w:cs="Calibri"/>
                <w:i/>
                <w:iCs/>
                <w:lang w:val="it-IT"/>
              </w:rPr>
              <w:t xml:space="preserve"> </w:t>
            </w:r>
            <w:proofErr w:type="spellStart"/>
            <w:r w:rsidRPr="007B5EAE">
              <w:rPr>
                <w:rFonts w:ascii="Cambria" w:eastAsia="Times New Roman" w:hAnsi="Cambria" w:cs="Calibri"/>
                <w:i/>
                <w:iCs/>
                <w:lang w:val="it-IT"/>
              </w:rPr>
              <w:t>postupke</w:t>
            </w:r>
            <w:proofErr w:type="spellEnd"/>
            <w:r w:rsidRPr="007B5EAE">
              <w:rPr>
                <w:rFonts w:ascii="Cambria" w:eastAsia="Times New Roman" w:hAnsi="Cambria" w:cs="Calibri"/>
                <w:i/>
                <w:iCs/>
                <w:lang w:val="it-IT"/>
              </w:rPr>
              <w:t xml:space="preserve"> u </w:t>
            </w:r>
            <w:proofErr w:type="spellStart"/>
            <w:r w:rsidRPr="007B5EAE">
              <w:rPr>
                <w:rFonts w:ascii="Cambria" w:eastAsia="Times New Roman" w:hAnsi="Cambria" w:cs="Calibri"/>
                <w:i/>
                <w:iCs/>
                <w:lang w:val="it-IT"/>
              </w:rPr>
              <w:t>kineziologiji</w:t>
            </w:r>
            <w:proofErr w:type="spellEnd"/>
            <w:r w:rsidRPr="007B5EAE">
              <w:rPr>
                <w:rFonts w:ascii="Cambria" w:eastAsia="Times New Roman" w:hAnsi="Cambria" w:cs="Calibri"/>
                <w:lang w:val="it-IT"/>
              </w:rPr>
              <w:t xml:space="preserve">. Split: </w:t>
            </w:r>
            <w:proofErr w:type="spellStart"/>
            <w:r w:rsidRPr="007B5EAE">
              <w:rPr>
                <w:rFonts w:ascii="Cambria" w:eastAsia="Times New Roman" w:hAnsi="Cambria" w:cs="Calibri"/>
                <w:lang w:val="it-IT"/>
              </w:rPr>
              <w:t>Fakultet</w:t>
            </w:r>
            <w:proofErr w:type="spellEnd"/>
            <w:r w:rsidRPr="007B5EAE">
              <w:rPr>
                <w:rFonts w:ascii="Cambria" w:eastAsia="Times New Roman" w:hAnsi="Cambria" w:cs="Calibri"/>
                <w:lang w:val="it-IT"/>
              </w:rPr>
              <w:t xml:space="preserve"> </w:t>
            </w:r>
            <w:proofErr w:type="spellStart"/>
            <w:r w:rsidRPr="007B5EAE">
              <w:rPr>
                <w:rFonts w:ascii="Cambria" w:eastAsia="Times New Roman" w:hAnsi="Cambria" w:cs="Calibri"/>
                <w:lang w:val="it-IT"/>
              </w:rPr>
              <w:t>prirodoslovno-matematičkih</w:t>
            </w:r>
            <w:proofErr w:type="spellEnd"/>
            <w:r w:rsidRPr="007B5EAE">
              <w:rPr>
                <w:rFonts w:ascii="Cambria" w:eastAsia="Times New Roman" w:hAnsi="Cambria" w:cs="Calibri"/>
                <w:lang w:val="it-IT"/>
              </w:rPr>
              <w:t xml:space="preserve"> </w:t>
            </w:r>
            <w:proofErr w:type="spellStart"/>
            <w:r w:rsidRPr="007B5EAE">
              <w:rPr>
                <w:rFonts w:ascii="Cambria" w:eastAsia="Times New Roman" w:hAnsi="Cambria" w:cs="Calibri"/>
                <w:lang w:val="it-IT"/>
              </w:rPr>
              <w:t>znanosti</w:t>
            </w:r>
            <w:proofErr w:type="spellEnd"/>
            <w:r w:rsidRPr="007B5EAE">
              <w:rPr>
                <w:rFonts w:ascii="Cambria" w:eastAsia="Times New Roman" w:hAnsi="Cambria" w:cs="Calibri"/>
                <w:lang w:val="it-IT"/>
              </w:rPr>
              <w:t xml:space="preserve"> i </w:t>
            </w:r>
            <w:proofErr w:type="spellStart"/>
            <w:r w:rsidRPr="007B5EAE">
              <w:rPr>
                <w:rFonts w:ascii="Cambria" w:eastAsia="Times New Roman" w:hAnsi="Cambria" w:cs="Calibri"/>
                <w:lang w:val="it-IT"/>
              </w:rPr>
              <w:t>kineziologije</w:t>
            </w:r>
            <w:proofErr w:type="spellEnd"/>
            <w:r w:rsidRPr="007B5EAE">
              <w:rPr>
                <w:rFonts w:ascii="Cambria" w:eastAsia="Times New Roman" w:hAnsi="Cambria" w:cs="Calibri"/>
                <w:lang w:val="it-IT"/>
              </w:rPr>
              <w:t xml:space="preserve"> </w:t>
            </w:r>
            <w:proofErr w:type="spellStart"/>
            <w:r w:rsidRPr="007B5EAE">
              <w:rPr>
                <w:rFonts w:ascii="Cambria" w:eastAsia="Times New Roman" w:hAnsi="Cambria" w:cs="Calibri"/>
                <w:lang w:val="it-IT"/>
              </w:rPr>
              <w:t>Sveučilišta</w:t>
            </w:r>
            <w:proofErr w:type="spellEnd"/>
            <w:r w:rsidRPr="007B5EAE">
              <w:rPr>
                <w:rFonts w:ascii="Cambria" w:eastAsia="Times New Roman" w:hAnsi="Cambria" w:cs="Calibri"/>
                <w:lang w:val="it-IT"/>
              </w:rPr>
              <w:t xml:space="preserve"> u </w:t>
            </w:r>
            <w:proofErr w:type="spellStart"/>
            <w:r w:rsidRPr="007B5EAE">
              <w:rPr>
                <w:rFonts w:ascii="Cambria" w:eastAsia="Times New Roman" w:hAnsi="Cambria" w:cs="Calibri"/>
                <w:lang w:val="it-IT"/>
              </w:rPr>
              <w:t>Splitu</w:t>
            </w:r>
            <w:proofErr w:type="spellEnd"/>
            <w:r w:rsidRPr="007B5EAE">
              <w:rPr>
                <w:rFonts w:ascii="Cambria" w:eastAsia="Times New Roman" w:hAnsi="Cambria" w:cs="Calibri"/>
                <w:lang w:val="it-IT"/>
              </w:rPr>
              <w:t>.</w:t>
            </w:r>
          </w:p>
          <w:p w14:paraId="378A8C79" w14:textId="77777777" w:rsidR="00727BE6" w:rsidRPr="00C034A7" w:rsidRDefault="00727BE6" w:rsidP="00450B7A">
            <w:pPr>
              <w:tabs>
                <w:tab w:val="left" w:pos="479"/>
              </w:tabs>
              <w:spacing w:after="0" w:line="240" w:lineRule="auto"/>
              <w:ind w:left="54" w:hanging="54"/>
              <w:jc w:val="both"/>
              <w:rPr>
                <w:rFonts w:ascii="Cambria" w:eastAsia="Times New Roman" w:hAnsi="Cambria" w:cs="Calibri"/>
                <w:bCs/>
                <w:lang w:val="it-IT"/>
              </w:rPr>
            </w:pPr>
            <w:proofErr w:type="spellStart"/>
            <w:r w:rsidRPr="00C034A7">
              <w:rPr>
                <w:rFonts w:ascii="Cambria" w:eastAsia="Times New Roman" w:hAnsi="Cambria" w:cs="Calibri"/>
                <w:bCs/>
                <w:lang w:val="it-IT"/>
              </w:rPr>
              <w:t>Priručna</w:t>
            </w:r>
            <w:proofErr w:type="spellEnd"/>
            <w:r w:rsidRPr="00C034A7">
              <w:rPr>
                <w:rFonts w:ascii="Cambria" w:eastAsia="Times New Roman" w:hAnsi="Cambria" w:cs="Calibri"/>
                <w:bCs/>
                <w:lang w:val="it-IT"/>
              </w:rPr>
              <w:t>:</w:t>
            </w:r>
          </w:p>
          <w:p w14:paraId="593BDE50" w14:textId="77777777" w:rsidR="00727BE6" w:rsidRPr="00C034A7" w:rsidRDefault="00727BE6" w:rsidP="00450B7A">
            <w:pPr>
              <w:tabs>
                <w:tab w:val="left" w:pos="479"/>
              </w:tabs>
              <w:spacing w:after="0" w:line="240" w:lineRule="auto"/>
              <w:jc w:val="both"/>
              <w:rPr>
                <w:rFonts w:ascii="Cambria" w:eastAsia="Times New Roman" w:hAnsi="Cambria" w:cs="Calibri"/>
                <w:lang w:val="it-IT"/>
              </w:rPr>
            </w:pPr>
            <w:r>
              <w:rPr>
                <w:rFonts w:ascii="Cambria" w:eastAsia="Times New Roman" w:hAnsi="Cambria" w:cs="Calibri"/>
                <w:lang w:val="it-IT"/>
              </w:rPr>
              <w:t xml:space="preserve">1. </w:t>
            </w:r>
            <w:proofErr w:type="spellStart"/>
            <w:r w:rsidRPr="007B5EAE">
              <w:rPr>
                <w:rFonts w:ascii="Cambria" w:eastAsia="Times New Roman" w:hAnsi="Cambria" w:cs="Calibri"/>
                <w:lang w:val="it-IT"/>
              </w:rPr>
              <w:t>Ministarstvo</w:t>
            </w:r>
            <w:proofErr w:type="spellEnd"/>
            <w:r w:rsidRPr="007B5EAE">
              <w:rPr>
                <w:rFonts w:ascii="Cambria" w:eastAsia="Times New Roman" w:hAnsi="Cambria" w:cs="Calibri"/>
                <w:lang w:val="it-IT"/>
              </w:rPr>
              <w:t xml:space="preserve"> </w:t>
            </w:r>
            <w:proofErr w:type="spellStart"/>
            <w:r w:rsidRPr="007B5EAE">
              <w:rPr>
                <w:rFonts w:ascii="Cambria" w:eastAsia="Times New Roman" w:hAnsi="Cambria" w:cs="Calibri"/>
                <w:lang w:val="it-IT"/>
              </w:rPr>
              <w:t>znanosti</w:t>
            </w:r>
            <w:proofErr w:type="spellEnd"/>
            <w:r w:rsidRPr="007B5EAE">
              <w:rPr>
                <w:rFonts w:ascii="Cambria" w:eastAsia="Times New Roman" w:hAnsi="Cambria" w:cs="Calibri"/>
                <w:lang w:val="it-IT"/>
              </w:rPr>
              <w:t xml:space="preserve">, </w:t>
            </w:r>
            <w:proofErr w:type="spellStart"/>
            <w:r w:rsidRPr="007B5EAE">
              <w:rPr>
                <w:rFonts w:ascii="Cambria" w:eastAsia="Times New Roman" w:hAnsi="Cambria" w:cs="Calibri"/>
                <w:lang w:val="it-IT"/>
              </w:rPr>
              <w:t>obrazovanja</w:t>
            </w:r>
            <w:proofErr w:type="spellEnd"/>
            <w:r w:rsidRPr="007B5EAE">
              <w:rPr>
                <w:rFonts w:ascii="Cambria" w:eastAsia="Times New Roman" w:hAnsi="Cambria" w:cs="Calibri"/>
                <w:lang w:val="it-IT"/>
              </w:rPr>
              <w:t xml:space="preserve"> </w:t>
            </w:r>
            <w:proofErr w:type="gramStart"/>
            <w:r w:rsidRPr="007B5EAE">
              <w:rPr>
                <w:rFonts w:ascii="Cambria" w:eastAsia="Times New Roman" w:hAnsi="Cambria" w:cs="Calibri"/>
                <w:lang w:val="it-IT"/>
              </w:rPr>
              <w:t>i sporta</w:t>
            </w:r>
            <w:proofErr w:type="gramEnd"/>
            <w:r w:rsidRPr="007B5EAE">
              <w:rPr>
                <w:rFonts w:ascii="Cambria" w:eastAsia="Times New Roman" w:hAnsi="Cambria" w:cs="Calibri"/>
                <w:lang w:val="it-IT"/>
              </w:rPr>
              <w:t xml:space="preserve">. </w:t>
            </w:r>
            <w:r w:rsidRPr="00C034A7">
              <w:rPr>
                <w:rFonts w:ascii="Cambria" w:eastAsia="Times New Roman" w:hAnsi="Cambria" w:cs="Calibri"/>
                <w:lang w:val="it-IT"/>
              </w:rPr>
              <w:t xml:space="preserve">(2019). </w:t>
            </w:r>
            <w:proofErr w:type="spellStart"/>
            <w:r w:rsidRPr="00C034A7">
              <w:rPr>
                <w:rFonts w:ascii="Cambria" w:eastAsia="Times New Roman" w:hAnsi="Cambria" w:cs="Calibri"/>
                <w:i/>
                <w:iCs/>
                <w:lang w:val="it-IT"/>
              </w:rPr>
              <w:t>Predmetni</w:t>
            </w:r>
            <w:proofErr w:type="spellEnd"/>
            <w:r w:rsidRPr="00C034A7">
              <w:rPr>
                <w:rFonts w:ascii="Cambria" w:eastAsia="Times New Roman" w:hAnsi="Cambria" w:cs="Calibri"/>
                <w:i/>
                <w:iCs/>
                <w:lang w:val="it-IT"/>
              </w:rPr>
              <w:t xml:space="preserve"> </w:t>
            </w:r>
            <w:proofErr w:type="spellStart"/>
            <w:r w:rsidRPr="00C034A7">
              <w:rPr>
                <w:rFonts w:ascii="Cambria" w:eastAsia="Times New Roman" w:hAnsi="Cambria" w:cs="Calibri"/>
                <w:i/>
                <w:iCs/>
                <w:lang w:val="it-IT"/>
              </w:rPr>
              <w:t>kurikulum</w:t>
            </w:r>
            <w:proofErr w:type="spellEnd"/>
            <w:r w:rsidRPr="00C034A7">
              <w:rPr>
                <w:rFonts w:ascii="Cambria" w:eastAsia="Times New Roman" w:hAnsi="Cambria" w:cs="Calibri"/>
                <w:lang w:val="it-IT"/>
              </w:rPr>
              <w:t xml:space="preserve">. </w:t>
            </w:r>
            <w:proofErr w:type="spellStart"/>
            <w:r w:rsidRPr="00C034A7">
              <w:rPr>
                <w:rFonts w:ascii="Cambria" w:eastAsia="Times New Roman" w:hAnsi="Cambria" w:cs="Calibri"/>
                <w:lang w:val="it-IT"/>
              </w:rPr>
              <w:t>Zagreb</w:t>
            </w:r>
            <w:proofErr w:type="spellEnd"/>
            <w:r w:rsidRPr="00C034A7">
              <w:rPr>
                <w:rFonts w:ascii="Cambria" w:eastAsia="Times New Roman" w:hAnsi="Cambria" w:cs="Calibri"/>
                <w:lang w:val="it-IT"/>
              </w:rPr>
              <w:t>: MZOS.</w:t>
            </w:r>
          </w:p>
        </w:tc>
      </w:tr>
    </w:tbl>
    <w:p w14:paraId="21BF85CA" w14:textId="77777777" w:rsidR="00727BE6" w:rsidRPr="00DF4CE5" w:rsidRDefault="00727BE6" w:rsidP="008B34AF">
      <w:pPr>
        <w:jc w:val="both"/>
        <w:rPr>
          <w:rFonts w:ascii="Cambria" w:hAnsi="Cambria"/>
          <w:lang w:val="hr-HR"/>
        </w:rPr>
      </w:pPr>
    </w:p>
    <w:p w14:paraId="7A966AFB" w14:textId="6C0CE0F9" w:rsidR="00727BE6" w:rsidRDefault="00727BE6">
      <w:pPr>
        <w:rPr>
          <w:rFonts w:ascii="Cambria" w:hAnsi="Cambria"/>
          <w:lang w:val="hr-HR"/>
        </w:rPr>
      </w:pPr>
      <w:r>
        <w:rPr>
          <w:rFonts w:ascii="Cambria" w:hAnsi="Cambria"/>
          <w:lang w:val="hr-HR"/>
        </w:rPr>
        <w:br w:type="page"/>
      </w:r>
    </w:p>
    <w:p w14:paraId="451F9E14" w14:textId="77777777" w:rsidR="00F436E1" w:rsidRPr="00DF4CE5" w:rsidRDefault="00F436E1" w:rsidP="00830554">
      <w:pPr>
        <w:rPr>
          <w:rFonts w:ascii="Cambria" w:hAnsi="Cambria"/>
          <w:lang w:val="hr-HR"/>
        </w:rPr>
      </w:pPr>
    </w:p>
    <w:tbl>
      <w:tblPr>
        <w:tblW w:w="5000" w:type="pct"/>
        <w:tblLayout w:type="fixed"/>
        <w:tblCellMar>
          <w:left w:w="0" w:type="dxa"/>
          <w:right w:w="0" w:type="dxa"/>
        </w:tblCellMar>
        <w:tblLook w:val="0600" w:firstRow="0" w:lastRow="0" w:firstColumn="0" w:lastColumn="0" w:noHBand="1" w:noVBand="1"/>
      </w:tblPr>
      <w:tblGrid>
        <w:gridCol w:w="2806"/>
        <w:gridCol w:w="2663"/>
        <w:gridCol w:w="105"/>
        <w:gridCol w:w="1172"/>
        <w:gridCol w:w="300"/>
        <w:gridCol w:w="472"/>
        <w:gridCol w:w="1087"/>
        <w:gridCol w:w="1415"/>
      </w:tblGrid>
      <w:tr w:rsidR="00CB297F" w:rsidRPr="00DF4CE5" w14:paraId="639D99E6" w14:textId="77777777" w:rsidTr="00C034A7">
        <w:tc>
          <w:tcPr>
            <w:tcW w:w="10020"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7932920" w14:textId="77777777" w:rsidR="00CB297F" w:rsidRPr="00DF4CE5" w:rsidRDefault="00CB297F" w:rsidP="00A12846">
            <w:pPr>
              <w:spacing w:after="0" w:line="240" w:lineRule="auto"/>
              <w:jc w:val="right"/>
              <w:rPr>
                <w:rFonts w:ascii="Cambria" w:eastAsia="Calibri" w:hAnsi="Cambria" w:cs="Calibri"/>
                <w:b/>
                <w:lang w:val="hr-HR"/>
              </w:rPr>
            </w:pPr>
            <w:r w:rsidRPr="00DF4CE5">
              <w:rPr>
                <w:rFonts w:ascii="Cambria" w:eastAsia="Calibri" w:hAnsi="Cambria" w:cs="Calibri"/>
                <w:b/>
                <w:lang w:val="hr-HR"/>
              </w:rPr>
              <w:t>IZVEDBENI PLAN NASTAVE KOLEGIJA</w:t>
            </w:r>
          </w:p>
        </w:tc>
      </w:tr>
      <w:tr w:rsidR="00CB297F" w:rsidRPr="00C034A7" w14:paraId="61C1D910" w14:textId="77777777" w:rsidTr="00C034A7">
        <w:tc>
          <w:tcPr>
            <w:tcW w:w="280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025EE56" w14:textId="77777777" w:rsidR="00CB297F" w:rsidRPr="00DF4CE5" w:rsidRDefault="00CB297F" w:rsidP="008B34AF">
            <w:pPr>
              <w:spacing w:after="0" w:line="240" w:lineRule="auto"/>
              <w:jc w:val="both"/>
              <w:rPr>
                <w:rFonts w:ascii="Cambria" w:eastAsia="Calibri" w:hAnsi="Cambria" w:cs="Calibri"/>
                <w:lang w:val="hr-HR"/>
              </w:rPr>
            </w:pPr>
            <w:r w:rsidRPr="00DF4CE5">
              <w:rPr>
                <w:rFonts w:ascii="Cambria" w:eastAsia="Calibri" w:hAnsi="Cambria" w:cs="Calibri"/>
                <w:lang w:val="hr-HR"/>
              </w:rPr>
              <w:t>Kod i naziv kolegija</w:t>
            </w:r>
          </w:p>
        </w:tc>
        <w:tc>
          <w:tcPr>
            <w:tcW w:w="721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A3534A8" w14:textId="77777777" w:rsidR="00CB297F" w:rsidRPr="00DF4CE5" w:rsidRDefault="00CB297F" w:rsidP="008B34AF">
            <w:pPr>
              <w:spacing w:after="0" w:line="240" w:lineRule="auto"/>
              <w:jc w:val="both"/>
              <w:rPr>
                <w:rFonts w:ascii="Cambria" w:eastAsia="Calibri" w:hAnsi="Cambria" w:cs="Calibri"/>
                <w:lang w:val="hr-HR"/>
              </w:rPr>
            </w:pPr>
            <w:r w:rsidRPr="00DF4CE5">
              <w:rPr>
                <w:rFonts w:ascii="Cambria" w:eastAsia="Calibri" w:hAnsi="Cambria" w:cs="Calibri"/>
                <w:lang w:val="hr-HR"/>
              </w:rPr>
              <w:t>96519</w:t>
            </w:r>
          </w:p>
          <w:p w14:paraId="2631DB96" w14:textId="364E6BC5" w:rsidR="00CB297F" w:rsidRPr="00DF4CE5" w:rsidRDefault="00CB297F" w:rsidP="008B34AF">
            <w:pPr>
              <w:spacing w:after="0" w:line="240" w:lineRule="auto"/>
              <w:jc w:val="both"/>
              <w:rPr>
                <w:rFonts w:ascii="Cambria" w:eastAsia="Calibri" w:hAnsi="Cambria" w:cs="Calibri"/>
                <w:lang w:val="hr-HR"/>
              </w:rPr>
            </w:pPr>
            <w:r w:rsidRPr="00DF4CE5">
              <w:rPr>
                <w:rFonts w:ascii="Cambria" w:eastAsia="Calibri" w:hAnsi="Cambria" w:cs="Calibri"/>
                <w:lang w:val="hr-HR"/>
              </w:rPr>
              <w:t>Dječja književnost na engleskom jeziku II</w:t>
            </w:r>
            <w:r w:rsidR="00C034A7">
              <w:rPr>
                <w:rFonts w:ascii="Cambria" w:eastAsia="Calibri" w:hAnsi="Cambria" w:cs="Calibri"/>
                <w:lang w:val="hr-HR"/>
              </w:rPr>
              <w:t xml:space="preserve"> </w:t>
            </w:r>
          </w:p>
        </w:tc>
      </w:tr>
      <w:tr w:rsidR="00CB297F" w:rsidRPr="00D0399C" w14:paraId="1ADCE863" w14:textId="77777777" w:rsidTr="00C034A7">
        <w:tc>
          <w:tcPr>
            <w:tcW w:w="280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DA22096" w14:textId="28DFA09E" w:rsidR="00CB297F" w:rsidRPr="00DF4CE5" w:rsidRDefault="00CB297F" w:rsidP="008B34AF">
            <w:pPr>
              <w:spacing w:after="0" w:line="240" w:lineRule="auto"/>
              <w:jc w:val="both"/>
              <w:rPr>
                <w:rFonts w:ascii="Cambria" w:eastAsia="Calibri" w:hAnsi="Cambria" w:cs="Calibri"/>
                <w:lang w:val="hr-HR"/>
              </w:rPr>
            </w:pPr>
            <w:r w:rsidRPr="00DF4CE5">
              <w:rPr>
                <w:rFonts w:ascii="Cambria" w:eastAsia="Calibri" w:hAnsi="Cambria" w:cs="Calibri"/>
                <w:lang w:val="hr-HR"/>
              </w:rPr>
              <w:t xml:space="preserve">Nastavnica </w:t>
            </w:r>
          </w:p>
        </w:tc>
        <w:tc>
          <w:tcPr>
            <w:tcW w:w="721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322D89D" w14:textId="4806518D" w:rsidR="00CB297F" w:rsidRPr="00DF4CE5" w:rsidRDefault="00C034A7" w:rsidP="008C6D13">
            <w:pPr>
              <w:spacing w:after="0" w:line="240" w:lineRule="auto"/>
              <w:jc w:val="both"/>
              <w:rPr>
                <w:rFonts w:ascii="Cambria" w:eastAsia="Calibri" w:hAnsi="Cambria" w:cs="Calibri"/>
                <w:lang w:val="hr-HR"/>
              </w:rPr>
            </w:pPr>
            <w:hyperlink r:id="rId152" w:history="1">
              <w:r w:rsidRPr="00C034A7">
                <w:rPr>
                  <w:rStyle w:val="Hiperveza"/>
                  <w:rFonts w:ascii="Cambria" w:eastAsia="Calibri" w:hAnsi="Cambria" w:cs="Calibri"/>
                  <w:lang w:val="hr-HR"/>
                </w:rPr>
                <w:t>N</w:t>
              </w:r>
              <w:r w:rsidR="006B3E95" w:rsidRPr="00C034A7">
                <w:rPr>
                  <w:rStyle w:val="Hiperveza"/>
                  <w:rFonts w:ascii="Cambria" w:eastAsia="Calibri" w:hAnsi="Cambria" w:cs="Calibri"/>
                  <w:lang w:val="hr-HR"/>
                </w:rPr>
                <w:t>aslovna d</w:t>
              </w:r>
              <w:r w:rsidR="00CB297F" w:rsidRPr="00C034A7">
                <w:rPr>
                  <w:rStyle w:val="Hiperveza"/>
                  <w:rFonts w:ascii="Cambria" w:eastAsia="Calibri" w:hAnsi="Cambria" w:cs="Calibri"/>
                  <w:lang w:val="hr-HR"/>
                </w:rPr>
                <w:t>oc. dr. sc. Ester Vidović</w:t>
              </w:r>
            </w:hyperlink>
            <w:r>
              <w:rPr>
                <w:rFonts w:ascii="Cambria" w:eastAsia="Calibri" w:hAnsi="Cambria" w:cs="Calibri"/>
                <w:lang w:val="hr-HR"/>
              </w:rPr>
              <w:t xml:space="preserve"> (nositeljica)</w:t>
            </w:r>
          </w:p>
        </w:tc>
      </w:tr>
      <w:tr w:rsidR="00CB297F" w:rsidRPr="00D0399C" w14:paraId="2DCE25BB" w14:textId="77777777" w:rsidTr="00C034A7">
        <w:tc>
          <w:tcPr>
            <w:tcW w:w="280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7CBE06E" w14:textId="77777777" w:rsidR="00CB297F" w:rsidRPr="00DF4CE5" w:rsidRDefault="00CB297F" w:rsidP="008B34AF">
            <w:pPr>
              <w:spacing w:after="0" w:line="240" w:lineRule="auto"/>
              <w:jc w:val="both"/>
              <w:rPr>
                <w:rFonts w:ascii="Cambria" w:eastAsia="Calibri" w:hAnsi="Cambria" w:cs="Calibri"/>
                <w:lang w:val="hr-HR"/>
              </w:rPr>
            </w:pPr>
            <w:r w:rsidRPr="00DF4CE5">
              <w:rPr>
                <w:rFonts w:ascii="Cambria" w:eastAsia="Calibri" w:hAnsi="Cambria" w:cs="Calibri"/>
                <w:lang w:val="hr-HR"/>
              </w:rPr>
              <w:t>Studijski program</w:t>
            </w:r>
          </w:p>
        </w:tc>
        <w:tc>
          <w:tcPr>
            <w:tcW w:w="721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36D93DB" w14:textId="77777777" w:rsidR="00CB297F" w:rsidRPr="00DF4CE5" w:rsidRDefault="00BE4D96" w:rsidP="008B34AF">
            <w:pPr>
              <w:spacing w:after="0" w:line="240" w:lineRule="auto"/>
              <w:jc w:val="both"/>
              <w:rPr>
                <w:rFonts w:ascii="Cambria" w:eastAsia="Calibri" w:hAnsi="Cambria" w:cs="Calibri"/>
                <w:lang w:val="hr-HR"/>
              </w:rPr>
            </w:pPr>
            <w:r w:rsidRPr="00DF4CE5">
              <w:rPr>
                <w:rFonts w:ascii="Cambria" w:hAnsi="Cambria"/>
                <w:lang w:val="hr-HR"/>
              </w:rPr>
              <w:t>Sveučilišni integrirani prijediplomski i diplomski Učiteljski studij na hrvatskom jeziku</w:t>
            </w:r>
          </w:p>
        </w:tc>
      </w:tr>
      <w:tr w:rsidR="00CB297F" w:rsidRPr="00DF4CE5" w14:paraId="7909535E" w14:textId="77777777" w:rsidTr="00C034A7">
        <w:tc>
          <w:tcPr>
            <w:tcW w:w="280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88A435C" w14:textId="77777777" w:rsidR="00CB297F" w:rsidRPr="00DF4CE5" w:rsidRDefault="00CB297F" w:rsidP="008B34AF">
            <w:pPr>
              <w:spacing w:after="0" w:line="240" w:lineRule="auto"/>
              <w:jc w:val="both"/>
              <w:rPr>
                <w:rFonts w:ascii="Cambria" w:eastAsia="Calibri" w:hAnsi="Cambria" w:cs="Calibri"/>
                <w:lang w:val="hr-HR"/>
              </w:rPr>
            </w:pPr>
            <w:r w:rsidRPr="00DF4CE5">
              <w:rPr>
                <w:rFonts w:ascii="Cambria" w:eastAsia="Calibri" w:hAnsi="Cambria" w:cs="Calibri"/>
                <w:lang w:val="hr-HR"/>
              </w:rPr>
              <w:t>Vrsta kolegija</w:t>
            </w:r>
          </w:p>
        </w:tc>
        <w:tc>
          <w:tcPr>
            <w:tcW w:w="266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B4704C0" w14:textId="77777777" w:rsidR="00CB297F" w:rsidRPr="00DF4CE5" w:rsidRDefault="00CB297F" w:rsidP="008B34AF">
            <w:pPr>
              <w:spacing w:after="0" w:line="240" w:lineRule="auto"/>
              <w:jc w:val="both"/>
              <w:rPr>
                <w:rFonts w:ascii="Cambria" w:eastAsia="Calibri" w:hAnsi="Cambria" w:cs="Calibri"/>
                <w:lang w:val="hr-HR"/>
              </w:rPr>
            </w:pPr>
            <w:r w:rsidRPr="00DF4CE5">
              <w:rPr>
                <w:rFonts w:ascii="Cambria" w:eastAsia="Calibri" w:hAnsi="Cambria" w:cs="Calibri"/>
                <w:lang w:val="hr-HR"/>
              </w:rPr>
              <w:t xml:space="preserve">obvezan </w:t>
            </w:r>
          </w:p>
        </w:tc>
        <w:tc>
          <w:tcPr>
            <w:tcW w:w="1577"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7E8E1BE7" w14:textId="77777777" w:rsidR="00CB297F" w:rsidRPr="00DF4CE5" w:rsidRDefault="00CB297F" w:rsidP="008B34AF">
            <w:pPr>
              <w:spacing w:after="0" w:line="240" w:lineRule="auto"/>
              <w:jc w:val="both"/>
              <w:rPr>
                <w:rFonts w:ascii="Cambria" w:eastAsia="Calibri" w:hAnsi="Cambria" w:cs="Calibri"/>
                <w:lang w:val="hr-HR"/>
              </w:rPr>
            </w:pPr>
            <w:r w:rsidRPr="00DF4CE5">
              <w:rPr>
                <w:rFonts w:ascii="Cambria" w:eastAsia="Calibri" w:hAnsi="Cambria" w:cs="Calibri"/>
                <w:lang w:val="hr-HR"/>
              </w:rPr>
              <w:t>Razina kolegija</w:t>
            </w:r>
          </w:p>
        </w:tc>
        <w:tc>
          <w:tcPr>
            <w:tcW w:w="2974"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CD16B2C" w14:textId="3060B1CF" w:rsidR="00CB297F" w:rsidRPr="00DF4CE5" w:rsidRDefault="00481108" w:rsidP="008B34AF">
            <w:pPr>
              <w:spacing w:after="0" w:line="240" w:lineRule="auto"/>
              <w:jc w:val="both"/>
              <w:rPr>
                <w:rFonts w:ascii="Cambria" w:eastAsia="Calibri" w:hAnsi="Cambria" w:cs="Calibri"/>
                <w:lang w:val="hr-HR"/>
              </w:rPr>
            </w:pPr>
            <w:proofErr w:type="spellStart"/>
            <w:r w:rsidRPr="00DF4CE5">
              <w:rPr>
                <w:rFonts w:ascii="Cambria" w:eastAsia="Calibri" w:hAnsi="Cambria" w:cs="Calibri"/>
              </w:rPr>
              <w:t>I</w:t>
            </w:r>
            <w:r w:rsidR="00CB297F" w:rsidRPr="00DF4CE5">
              <w:rPr>
                <w:rFonts w:ascii="Cambria" w:eastAsia="Calibri" w:hAnsi="Cambria" w:cs="Calibri"/>
              </w:rPr>
              <w:t>ntegrirani</w:t>
            </w:r>
            <w:proofErr w:type="spellEnd"/>
          </w:p>
        </w:tc>
      </w:tr>
      <w:tr w:rsidR="00CB297F" w:rsidRPr="00DF4CE5" w14:paraId="509C0934" w14:textId="77777777" w:rsidTr="00C034A7">
        <w:tc>
          <w:tcPr>
            <w:tcW w:w="280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5D03BED" w14:textId="77777777" w:rsidR="00CB297F" w:rsidRPr="00DF4CE5" w:rsidRDefault="00CB297F" w:rsidP="008B34AF">
            <w:pPr>
              <w:spacing w:after="0" w:line="240" w:lineRule="auto"/>
              <w:jc w:val="both"/>
              <w:rPr>
                <w:rFonts w:ascii="Cambria" w:eastAsia="Calibri" w:hAnsi="Cambria" w:cs="Calibri"/>
                <w:lang w:val="hr-HR"/>
              </w:rPr>
            </w:pPr>
            <w:r w:rsidRPr="00DF4CE5">
              <w:rPr>
                <w:rFonts w:ascii="Cambria" w:eastAsia="Calibri" w:hAnsi="Cambria" w:cs="Calibri"/>
                <w:lang w:val="hr-HR"/>
              </w:rPr>
              <w:t>Semestar</w:t>
            </w:r>
          </w:p>
        </w:tc>
        <w:tc>
          <w:tcPr>
            <w:tcW w:w="266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097D9D3" w14:textId="77777777" w:rsidR="00CB297F" w:rsidRPr="00DF4CE5" w:rsidRDefault="00CB297F" w:rsidP="008B34AF">
            <w:pPr>
              <w:spacing w:after="0" w:line="240" w:lineRule="auto"/>
              <w:jc w:val="both"/>
              <w:rPr>
                <w:rFonts w:ascii="Cambria" w:eastAsia="Calibri" w:hAnsi="Cambria" w:cs="Calibri"/>
                <w:lang w:val="hr-HR"/>
              </w:rPr>
            </w:pPr>
            <w:r w:rsidRPr="00DF4CE5">
              <w:rPr>
                <w:rFonts w:ascii="Cambria" w:eastAsia="Calibri" w:hAnsi="Cambria" w:cs="Calibri"/>
                <w:lang w:val="hr-HR"/>
              </w:rPr>
              <w:t xml:space="preserve">ljetni </w:t>
            </w:r>
          </w:p>
        </w:tc>
        <w:tc>
          <w:tcPr>
            <w:tcW w:w="1577"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6C8C4EB0" w14:textId="77777777" w:rsidR="00CB297F" w:rsidRPr="00DF4CE5" w:rsidRDefault="00CB297F" w:rsidP="008B34AF">
            <w:pPr>
              <w:spacing w:after="0" w:line="240" w:lineRule="auto"/>
              <w:jc w:val="both"/>
              <w:rPr>
                <w:rFonts w:ascii="Cambria" w:eastAsia="Calibri" w:hAnsi="Cambria" w:cs="Calibri"/>
                <w:lang w:val="hr-HR"/>
              </w:rPr>
            </w:pPr>
            <w:r w:rsidRPr="00DF4CE5">
              <w:rPr>
                <w:rFonts w:ascii="Cambria" w:eastAsia="Calibri" w:hAnsi="Cambria" w:cs="Calibri"/>
                <w:lang w:val="hr-HR"/>
              </w:rPr>
              <w:t>Godina studija</w:t>
            </w:r>
          </w:p>
        </w:tc>
        <w:tc>
          <w:tcPr>
            <w:tcW w:w="2974"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DB3AA60" w14:textId="77777777" w:rsidR="00CB297F" w:rsidRPr="00DF4CE5" w:rsidRDefault="00CB297F" w:rsidP="008B34AF">
            <w:pPr>
              <w:spacing w:after="0" w:line="240" w:lineRule="auto"/>
              <w:jc w:val="both"/>
              <w:rPr>
                <w:rFonts w:ascii="Cambria" w:eastAsia="Calibri" w:hAnsi="Cambria" w:cs="Calibri"/>
                <w:lang w:val="hr-HR"/>
              </w:rPr>
            </w:pPr>
            <w:r w:rsidRPr="00DF4CE5">
              <w:rPr>
                <w:rFonts w:ascii="Cambria" w:eastAsia="Calibri" w:hAnsi="Cambria" w:cs="Calibri"/>
                <w:lang w:val="hr-HR"/>
              </w:rPr>
              <w:t>IV.</w:t>
            </w:r>
          </w:p>
        </w:tc>
      </w:tr>
      <w:tr w:rsidR="00CB297F" w:rsidRPr="00DF4CE5" w14:paraId="3C23BF53" w14:textId="77777777" w:rsidTr="00C034A7">
        <w:tc>
          <w:tcPr>
            <w:tcW w:w="280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D19F20D" w14:textId="77777777" w:rsidR="00CB297F" w:rsidRPr="00DF4CE5" w:rsidRDefault="00CB297F" w:rsidP="008B34AF">
            <w:pPr>
              <w:spacing w:after="0" w:line="240" w:lineRule="auto"/>
              <w:jc w:val="both"/>
              <w:rPr>
                <w:rFonts w:ascii="Cambria" w:eastAsia="Calibri" w:hAnsi="Cambria" w:cs="Calibri"/>
                <w:lang w:val="hr-HR"/>
              </w:rPr>
            </w:pPr>
            <w:proofErr w:type="spellStart"/>
            <w:r w:rsidRPr="00DF4CE5">
              <w:rPr>
                <w:rFonts w:ascii="Cambria" w:eastAsia="Calibri" w:hAnsi="Cambria" w:cs="Calibri"/>
              </w:rPr>
              <w:t>Mjesto</w:t>
            </w:r>
            <w:proofErr w:type="spellEnd"/>
            <w:r w:rsidRPr="00DF4CE5">
              <w:rPr>
                <w:rFonts w:ascii="Cambria" w:eastAsia="Calibri" w:hAnsi="Cambria" w:cs="Calibri"/>
              </w:rPr>
              <w:t xml:space="preserve"> </w:t>
            </w:r>
            <w:proofErr w:type="spellStart"/>
            <w:r w:rsidRPr="00DF4CE5">
              <w:rPr>
                <w:rFonts w:ascii="Cambria" w:eastAsia="Calibri" w:hAnsi="Cambria" w:cs="Calibri"/>
              </w:rPr>
              <w:t>izvođenja</w:t>
            </w:r>
            <w:proofErr w:type="spellEnd"/>
          </w:p>
        </w:tc>
        <w:tc>
          <w:tcPr>
            <w:tcW w:w="266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7678E40" w14:textId="248DDDC3" w:rsidR="00CB297F" w:rsidRPr="00DF4CE5" w:rsidRDefault="00481108" w:rsidP="008B34AF">
            <w:pPr>
              <w:spacing w:after="0" w:line="240" w:lineRule="auto"/>
              <w:jc w:val="both"/>
              <w:rPr>
                <w:rFonts w:ascii="Cambria" w:eastAsia="Calibri" w:hAnsi="Cambria" w:cs="Calibri"/>
                <w:lang w:val="hr-HR"/>
              </w:rPr>
            </w:pPr>
            <w:r w:rsidRPr="00DF4CE5">
              <w:rPr>
                <w:rFonts w:ascii="Cambria" w:eastAsia="Calibri" w:hAnsi="Cambria" w:cs="Calibri"/>
                <w:lang w:val="hr-HR"/>
              </w:rPr>
              <w:t>d</w:t>
            </w:r>
            <w:r w:rsidR="00CB297F" w:rsidRPr="00DF4CE5">
              <w:rPr>
                <w:rFonts w:ascii="Cambria" w:eastAsia="Calibri" w:hAnsi="Cambria" w:cs="Calibri"/>
                <w:lang w:val="hr-HR"/>
              </w:rPr>
              <w:t>vorana</w:t>
            </w:r>
            <w:r w:rsidRPr="00DF4CE5">
              <w:rPr>
                <w:rFonts w:ascii="Cambria" w:eastAsia="Calibri" w:hAnsi="Cambria" w:cs="Calibri"/>
                <w:lang w:val="hr-HR"/>
              </w:rPr>
              <w:t xml:space="preserve">, </w:t>
            </w:r>
            <w:r w:rsidR="00CB297F" w:rsidRPr="00DF4CE5">
              <w:rPr>
                <w:rFonts w:ascii="Cambria" w:eastAsia="Calibri" w:hAnsi="Cambria" w:cs="Calibri"/>
                <w:lang w:val="hr-HR"/>
              </w:rPr>
              <w:t>knjižnice</w:t>
            </w:r>
          </w:p>
        </w:tc>
        <w:tc>
          <w:tcPr>
            <w:tcW w:w="1577"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1AC90990" w14:textId="77777777" w:rsidR="00CB297F" w:rsidRPr="00DF4CE5" w:rsidRDefault="00CB297F" w:rsidP="008B34AF">
            <w:pPr>
              <w:spacing w:after="0" w:line="240" w:lineRule="auto"/>
              <w:jc w:val="both"/>
              <w:rPr>
                <w:rFonts w:ascii="Cambria" w:eastAsia="Calibri" w:hAnsi="Cambria" w:cs="Calibri"/>
                <w:lang w:val="hr-HR"/>
              </w:rPr>
            </w:pPr>
            <w:r w:rsidRPr="00DF4CE5">
              <w:rPr>
                <w:rFonts w:ascii="Cambria" w:eastAsia="Calibri" w:hAnsi="Cambria" w:cs="Calibri"/>
              </w:rPr>
              <w:t>Jezik</w:t>
            </w:r>
            <w:r w:rsidRPr="00DF4CE5">
              <w:rPr>
                <w:rFonts w:ascii="Cambria" w:eastAsia="Calibri" w:hAnsi="Cambria" w:cs="Calibri"/>
                <w:lang w:val="hr-HR"/>
              </w:rPr>
              <w:t xml:space="preserve"> izvođenja (drugi jezici)</w:t>
            </w:r>
          </w:p>
        </w:tc>
        <w:tc>
          <w:tcPr>
            <w:tcW w:w="2974"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D80AAC3" w14:textId="77777777" w:rsidR="00CB297F" w:rsidRPr="00DF4CE5" w:rsidRDefault="00CB297F" w:rsidP="008B34AF">
            <w:pPr>
              <w:spacing w:after="0" w:line="240" w:lineRule="auto"/>
              <w:jc w:val="both"/>
              <w:rPr>
                <w:rFonts w:ascii="Cambria" w:eastAsia="Calibri" w:hAnsi="Cambria" w:cs="Calibri"/>
                <w:lang w:val="hr-HR"/>
              </w:rPr>
            </w:pPr>
            <w:r w:rsidRPr="00DF4CE5">
              <w:rPr>
                <w:rFonts w:ascii="Cambria" w:eastAsia="Calibri" w:hAnsi="Cambria" w:cs="Calibri"/>
                <w:lang w:val="hr-HR"/>
              </w:rPr>
              <w:t xml:space="preserve">engleski  </w:t>
            </w:r>
          </w:p>
        </w:tc>
      </w:tr>
      <w:tr w:rsidR="00CB297F" w:rsidRPr="00DF4CE5" w14:paraId="7D2325C0" w14:textId="77777777" w:rsidTr="00C034A7">
        <w:tc>
          <w:tcPr>
            <w:tcW w:w="280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26FADBE" w14:textId="77777777" w:rsidR="00CB297F" w:rsidRPr="00DF4CE5" w:rsidRDefault="00CB297F" w:rsidP="008B34AF">
            <w:pPr>
              <w:spacing w:after="0" w:line="240" w:lineRule="auto"/>
              <w:jc w:val="both"/>
              <w:rPr>
                <w:rFonts w:ascii="Cambria" w:eastAsia="Calibri" w:hAnsi="Cambria" w:cs="Calibri"/>
                <w:lang w:val="hr-HR"/>
              </w:rPr>
            </w:pPr>
            <w:r w:rsidRPr="00DF4CE5">
              <w:rPr>
                <w:rFonts w:ascii="Cambria" w:eastAsia="Calibri" w:hAnsi="Cambria" w:cs="Calibri"/>
                <w:lang w:val="hr-HR"/>
              </w:rPr>
              <w:t>Broj ECTS bodova</w:t>
            </w:r>
          </w:p>
        </w:tc>
        <w:tc>
          <w:tcPr>
            <w:tcW w:w="266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1691CA7" w14:textId="77777777" w:rsidR="00CB297F" w:rsidRPr="00DF4CE5" w:rsidRDefault="00CB297F" w:rsidP="008B34AF">
            <w:pPr>
              <w:spacing w:after="0" w:line="240" w:lineRule="auto"/>
              <w:jc w:val="both"/>
              <w:rPr>
                <w:rFonts w:ascii="Cambria" w:eastAsia="Calibri" w:hAnsi="Cambria" w:cs="Calibri"/>
                <w:lang w:val="hr-HR"/>
              </w:rPr>
            </w:pPr>
            <w:r w:rsidRPr="00DF4CE5">
              <w:rPr>
                <w:rFonts w:ascii="Cambria" w:eastAsia="Calibri" w:hAnsi="Cambria" w:cs="Calibri"/>
                <w:lang w:val="hr-HR"/>
              </w:rPr>
              <w:t>2</w:t>
            </w:r>
          </w:p>
        </w:tc>
        <w:tc>
          <w:tcPr>
            <w:tcW w:w="1577"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487D0936" w14:textId="77777777" w:rsidR="00CB297F" w:rsidRPr="00DF4CE5" w:rsidRDefault="00CB297F" w:rsidP="008B34AF">
            <w:pPr>
              <w:spacing w:after="0" w:line="240" w:lineRule="auto"/>
              <w:jc w:val="both"/>
              <w:rPr>
                <w:rFonts w:ascii="Cambria" w:eastAsia="Calibri" w:hAnsi="Cambria" w:cs="Calibri"/>
                <w:lang w:val="hr-HR"/>
              </w:rPr>
            </w:pPr>
            <w:r w:rsidRPr="00DF4CE5">
              <w:rPr>
                <w:rFonts w:ascii="Cambria" w:eastAsia="Calibri" w:hAnsi="Cambria" w:cs="Calibri"/>
                <w:lang w:val="hr-HR"/>
              </w:rPr>
              <w:t>Broj sati u semestru</w:t>
            </w:r>
          </w:p>
        </w:tc>
        <w:tc>
          <w:tcPr>
            <w:tcW w:w="2974"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FD72E96" w14:textId="7124C9F5" w:rsidR="00CB297F" w:rsidRPr="00DF4CE5" w:rsidRDefault="00CB297F" w:rsidP="008B34AF">
            <w:pPr>
              <w:spacing w:after="0" w:line="240" w:lineRule="auto"/>
              <w:jc w:val="both"/>
              <w:rPr>
                <w:rFonts w:ascii="Cambria" w:eastAsia="Calibri" w:hAnsi="Cambria" w:cs="Calibri"/>
                <w:lang w:val="hr-HR"/>
              </w:rPr>
            </w:pPr>
            <w:r w:rsidRPr="00DF4CE5">
              <w:rPr>
                <w:rFonts w:ascii="Cambria" w:eastAsia="Calibri" w:hAnsi="Cambria" w:cs="Calibri"/>
                <w:lang w:val="hr-HR"/>
              </w:rPr>
              <w:t xml:space="preserve">15P – </w:t>
            </w:r>
            <w:r w:rsidR="00481108" w:rsidRPr="00DF4CE5">
              <w:rPr>
                <w:rFonts w:ascii="Cambria" w:eastAsia="Calibri" w:hAnsi="Cambria" w:cs="Calibri"/>
                <w:lang w:val="hr-HR"/>
              </w:rPr>
              <w:t>15S</w:t>
            </w:r>
            <w:r w:rsidRPr="00DF4CE5">
              <w:rPr>
                <w:rFonts w:ascii="Cambria" w:eastAsia="Calibri" w:hAnsi="Cambria" w:cs="Calibri"/>
                <w:lang w:val="hr-HR"/>
              </w:rPr>
              <w:t xml:space="preserve"> – </w:t>
            </w:r>
            <w:r w:rsidR="00481108" w:rsidRPr="00DF4CE5">
              <w:rPr>
                <w:rFonts w:ascii="Cambria" w:eastAsia="Calibri" w:hAnsi="Cambria" w:cs="Calibri"/>
                <w:lang w:val="hr-HR"/>
              </w:rPr>
              <w:t>OV</w:t>
            </w:r>
            <w:r w:rsidRPr="00DF4CE5">
              <w:rPr>
                <w:rFonts w:ascii="Cambria" w:eastAsia="Calibri" w:hAnsi="Cambria" w:cs="Calibri"/>
                <w:lang w:val="hr-HR"/>
              </w:rPr>
              <w:t xml:space="preserve">   </w:t>
            </w:r>
          </w:p>
        </w:tc>
      </w:tr>
      <w:tr w:rsidR="00CB297F" w:rsidRPr="00D0399C" w14:paraId="4D61CB3C" w14:textId="77777777" w:rsidTr="00C034A7">
        <w:tc>
          <w:tcPr>
            <w:tcW w:w="280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86C414B" w14:textId="77777777" w:rsidR="00CB297F" w:rsidRPr="00DF4CE5" w:rsidRDefault="00CB297F" w:rsidP="008B34AF">
            <w:pPr>
              <w:spacing w:after="0" w:line="240" w:lineRule="auto"/>
              <w:jc w:val="both"/>
              <w:rPr>
                <w:rFonts w:ascii="Cambria" w:eastAsia="Calibri" w:hAnsi="Cambria" w:cs="Calibri"/>
                <w:lang w:val="hr-HR"/>
              </w:rPr>
            </w:pPr>
            <w:r w:rsidRPr="00DF4CE5">
              <w:rPr>
                <w:rFonts w:ascii="Cambria" w:eastAsia="Calibri" w:hAnsi="Cambria" w:cs="Calibri"/>
                <w:lang w:val="hr-HR"/>
              </w:rPr>
              <w:t>Preduvjeti za upis i za svladavanje</w:t>
            </w:r>
          </w:p>
        </w:tc>
        <w:tc>
          <w:tcPr>
            <w:tcW w:w="721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C11AE89" w14:textId="77777777" w:rsidR="00CB297F" w:rsidRPr="00DF4CE5" w:rsidRDefault="00CB297F" w:rsidP="008B34AF">
            <w:pPr>
              <w:spacing w:after="0" w:line="240" w:lineRule="auto"/>
              <w:jc w:val="both"/>
              <w:rPr>
                <w:rFonts w:ascii="Cambria" w:eastAsia="Calibri" w:hAnsi="Cambria" w:cs="Calibri"/>
                <w:lang w:val="hr-HR"/>
              </w:rPr>
            </w:pPr>
            <w:r w:rsidRPr="00DF4CE5">
              <w:rPr>
                <w:rFonts w:ascii="Cambria" w:eastAsia="Calibri" w:hAnsi="Cambria" w:cs="Calibri"/>
                <w:lang w:val="hr-HR"/>
              </w:rPr>
              <w:t>Preduvjet za upis kolegija je odslušan kolegij Dječja književnost na engleskom jeziku I. Za polaganje ispita preduvjet je položen ispit iz kolegija Dječja književnost na engleskom jeziku I.</w:t>
            </w:r>
          </w:p>
        </w:tc>
      </w:tr>
      <w:tr w:rsidR="00CB297F" w:rsidRPr="00D0399C" w14:paraId="3D7EED5B" w14:textId="77777777" w:rsidTr="00C034A7">
        <w:tc>
          <w:tcPr>
            <w:tcW w:w="280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BBE943D" w14:textId="77777777" w:rsidR="00CB297F" w:rsidRPr="00DF4CE5" w:rsidRDefault="00CB297F" w:rsidP="008B34AF">
            <w:pPr>
              <w:spacing w:after="0" w:line="240" w:lineRule="auto"/>
              <w:jc w:val="both"/>
              <w:rPr>
                <w:rFonts w:ascii="Cambria" w:eastAsia="Calibri" w:hAnsi="Cambria" w:cs="Calibri"/>
                <w:lang w:val="hr-HR"/>
              </w:rPr>
            </w:pPr>
            <w:proofErr w:type="spellStart"/>
            <w:r w:rsidRPr="00DF4CE5">
              <w:rPr>
                <w:rFonts w:ascii="Cambria" w:eastAsia="Calibri" w:hAnsi="Cambria" w:cs="Calibri"/>
              </w:rPr>
              <w:t>Korelativnost</w:t>
            </w:r>
            <w:proofErr w:type="spellEnd"/>
          </w:p>
        </w:tc>
        <w:tc>
          <w:tcPr>
            <w:tcW w:w="721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949C107" w14:textId="77777777" w:rsidR="00CB297F" w:rsidRPr="00DF4CE5" w:rsidRDefault="00CB297F" w:rsidP="008B34AF">
            <w:pPr>
              <w:spacing w:after="0" w:line="240" w:lineRule="auto"/>
              <w:jc w:val="both"/>
              <w:rPr>
                <w:rFonts w:ascii="Cambria" w:eastAsia="Calibri" w:hAnsi="Cambria" w:cs="Calibri"/>
                <w:lang w:val="hr-HR"/>
              </w:rPr>
            </w:pPr>
            <w:r w:rsidRPr="00DF4CE5">
              <w:rPr>
                <w:rFonts w:ascii="Cambria" w:eastAsia="Calibri" w:hAnsi="Cambria" w:cs="Calibri"/>
                <w:lang w:val="hr-HR"/>
              </w:rPr>
              <w:t>Dječja književnost na engleskom jeziku I., Engleski jezik I., Engleski jezik II., Dječja književnost, Metodika nastave engleskog jezika, Govorne vježbe I./1, Govorne vježbe I./2, Govorne vježbe II./1, Uvod u gramatiku engleskog jezika, pedagoško-psihološki kolegiji koje studenti slušaju na materinskom jeziku</w:t>
            </w:r>
          </w:p>
        </w:tc>
      </w:tr>
      <w:tr w:rsidR="00CB297F" w:rsidRPr="00D0399C" w14:paraId="5C6EC0E6" w14:textId="77777777" w:rsidTr="00C034A7">
        <w:tc>
          <w:tcPr>
            <w:tcW w:w="280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9647E4C" w14:textId="77777777" w:rsidR="00CB297F" w:rsidRPr="00DF4CE5" w:rsidRDefault="00CB297F" w:rsidP="008B34AF">
            <w:pPr>
              <w:spacing w:after="0" w:line="240" w:lineRule="auto"/>
              <w:jc w:val="both"/>
              <w:rPr>
                <w:rFonts w:ascii="Cambria" w:eastAsia="Calibri" w:hAnsi="Cambria" w:cs="Calibri"/>
                <w:lang w:val="hr-HR"/>
              </w:rPr>
            </w:pPr>
            <w:r w:rsidRPr="00DF4CE5">
              <w:rPr>
                <w:rFonts w:ascii="Cambria" w:eastAsia="Calibri" w:hAnsi="Cambria" w:cs="Calibri"/>
                <w:lang w:val="hr-HR"/>
              </w:rPr>
              <w:t xml:space="preserve">Cilj kolegija </w:t>
            </w:r>
          </w:p>
        </w:tc>
        <w:tc>
          <w:tcPr>
            <w:tcW w:w="721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F4DF2F7" w14:textId="77777777" w:rsidR="00CB297F" w:rsidRPr="00DF4CE5" w:rsidRDefault="00CB297F" w:rsidP="008B34AF">
            <w:pPr>
              <w:spacing w:line="240" w:lineRule="auto"/>
              <w:jc w:val="both"/>
              <w:rPr>
                <w:rFonts w:ascii="Cambria" w:eastAsia="Calibri" w:hAnsi="Cambria" w:cs="Calibri"/>
                <w:lang w:val="hr-HR"/>
              </w:rPr>
            </w:pPr>
            <w:r w:rsidRPr="00DF4CE5">
              <w:rPr>
                <w:rFonts w:ascii="Cambria" w:eastAsia="Calibri" w:hAnsi="Cambria" w:cs="Calibri"/>
                <w:lang w:val="hr-HR"/>
              </w:rPr>
              <w:t>steći kompetencije za klasificiranje, interpretaciju i analizu dječje književnosti na engleskom jeziku</w:t>
            </w:r>
          </w:p>
        </w:tc>
      </w:tr>
      <w:tr w:rsidR="00CB297F" w:rsidRPr="00D0399C" w14:paraId="31297C3A" w14:textId="77777777" w:rsidTr="00C034A7">
        <w:tc>
          <w:tcPr>
            <w:tcW w:w="280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FEB2939" w14:textId="77777777" w:rsidR="00CB297F" w:rsidRPr="00DF4CE5" w:rsidRDefault="00CB297F" w:rsidP="008B34AF">
            <w:pPr>
              <w:spacing w:after="0" w:line="240" w:lineRule="auto"/>
              <w:jc w:val="both"/>
              <w:rPr>
                <w:rFonts w:ascii="Cambria" w:eastAsia="Calibri" w:hAnsi="Cambria" w:cs="Calibri"/>
                <w:lang w:val="hr-HR"/>
              </w:rPr>
            </w:pPr>
            <w:r w:rsidRPr="00DF4CE5">
              <w:rPr>
                <w:rFonts w:ascii="Cambria" w:eastAsia="Calibri" w:hAnsi="Cambria" w:cs="Calibri"/>
                <w:lang w:val="hr-HR"/>
              </w:rPr>
              <w:t>Ishodi učenja</w:t>
            </w:r>
          </w:p>
        </w:tc>
        <w:tc>
          <w:tcPr>
            <w:tcW w:w="721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B99383D" w14:textId="46ACAC7F" w:rsidR="00CB297F" w:rsidRPr="00DF4CE5" w:rsidRDefault="00C034A7" w:rsidP="00C034A7">
            <w:pPr>
              <w:spacing w:after="0" w:line="240" w:lineRule="atLeast"/>
              <w:contextualSpacing/>
              <w:jc w:val="both"/>
              <w:rPr>
                <w:rFonts w:ascii="Cambria" w:eastAsia="Calibri" w:hAnsi="Cambria" w:cs="Calibri"/>
                <w:lang w:val="hr-HR"/>
              </w:rPr>
            </w:pPr>
            <w:r>
              <w:rPr>
                <w:rFonts w:ascii="Cambria" w:eastAsia="Calibri" w:hAnsi="Cambria" w:cs="Calibri"/>
                <w:lang w:val="hr-HR"/>
              </w:rPr>
              <w:t xml:space="preserve">1. </w:t>
            </w:r>
            <w:r w:rsidR="00CB297F" w:rsidRPr="00DF4CE5">
              <w:rPr>
                <w:rFonts w:ascii="Cambria" w:eastAsia="Calibri" w:hAnsi="Cambria" w:cs="Calibri"/>
                <w:lang w:val="hr-HR"/>
              </w:rPr>
              <w:t>upotrijebiti temeljne pojmove iz područja teorije književnosti</w:t>
            </w:r>
          </w:p>
          <w:p w14:paraId="600F4F67" w14:textId="73EA6A10" w:rsidR="00CB297F" w:rsidRPr="00DF4CE5" w:rsidRDefault="00C034A7" w:rsidP="00C034A7">
            <w:pPr>
              <w:spacing w:after="0" w:line="240" w:lineRule="atLeast"/>
              <w:contextualSpacing/>
              <w:jc w:val="both"/>
              <w:rPr>
                <w:rFonts w:ascii="Cambria" w:eastAsia="Calibri" w:hAnsi="Cambria" w:cs="Calibri"/>
                <w:lang w:val="hr-HR"/>
              </w:rPr>
            </w:pPr>
            <w:r>
              <w:rPr>
                <w:rFonts w:ascii="Cambria" w:eastAsia="Calibri" w:hAnsi="Cambria" w:cs="Calibri"/>
                <w:lang w:val="hr-HR"/>
              </w:rPr>
              <w:t xml:space="preserve">2. </w:t>
            </w:r>
            <w:r w:rsidR="00CB297F" w:rsidRPr="00DF4CE5">
              <w:rPr>
                <w:rFonts w:ascii="Cambria" w:eastAsia="Calibri" w:hAnsi="Cambria" w:cs="Calibri"/>
                <w:lang w:val="hr-HR"/>
              </w:rPr>
              <w:t>usporediti stavove, raspoloženje i atmosferu pojedinih književnih epoha, djela i autora dječje književnosti na engleskom jeziku</w:t>
            </w:r>
          </w:p>
          <w:p w14:paraId="46661B0D" w14:textId="22B648E9" w:rsidR="00CB297F" w:rsidRPr="00DF4CE5" w:rsidRDefault="00C034A7" w:rsidP="00C034A7">
            <w:pPr>
              <w:spacing w:after="0" w:line="240" w:lineRule="atLeast"/>
              <w:contextualSpacing/>
              <w:jc w:val="both"/>
              <w:rPr>
                <w:rFonts w:ascii="Cambria" w:eastAsia="Calibri" w:hAnsi="Cambria" w:cs="Calibri"/>
                <w:lang w:val="hr-HR"/>
              </w:rPr>
            </w:pPr>
            <w:r>
              <w:rPr>
                <w:rFonts w:ascii="Cambria" w:eastAsia="Calibri" w:hAnsi="Cambria" w:cs="Calibri"/>
                <w:lang w:val="hr-HR"/>
              </w:rPr>
              <w:t xml:space="preserve">3. </w:t>
            </w:r>
            <w:r w:rsidR="00CB297F" w:rsidRPr="00DF4CE5">
              <w:rPr>
                <w:rFonts w:ascii="Cambria" w:eastAsia="Calibri" w:hAnsi="Cambria" w:cs="Calibri"/>
                <w:lang w:val="hr-HR"/>
              </w:rPr>
              <w:t>kritički razmatrati odabrane teorijske teme</w:t>
            </w:r>
          </w:p>
          <w:p w14:paraId="5628AC7F" w14:textId="46080DC4" w:rsidR="00CB297F" w:rsidRPr="00DF4CE5" w:rsidRDefault="00C034A7" w:rsidP="00C034A7">
            <w:pPr>
              <w:spacing w:after="0" w:line="240" w:lineRule="atLeast"/>
              <w:contextualSpacing/>
              <w:jc w:val="both"/>
              <w:rPr>
                <w:rFonts w:ascii="Cambria" w:eastAsia="Calibri" w:hAnsi="Cambria" w:cs="Calibri"/>
                <w:lang w:val="hr-HR"/>
              </w:rPr>
            </w:pPr>
            <w:r>
              <w:rPr>
                <w:rFonts w:ascii="Cambria" w:eastAsia="Calibri" w:hAnsi="Cambria" w:cs="Calibri"/>
                <w:lang w:val="hr-HR"/>
              </w:rPr>
              <w:t xml:space="preserve">4. </w:t>
            </w:r>
            <w:r w:rsidR="00CB297F" w:rsidRPr="00DF4CE5">
              <w:rPr>
                <w:rFonts w:ascii="Cambria" w:eastAsia="Calibri" w:hAnsi="Cambria" w:cs="Calibri"/>
                <w:lang w:val="hr-HR"/>
              </w:rPr>
              <w:t>temeljito analizirati odabrane tekstove</w:t>
            </w:r>
          </w:p>
          <w:p w14:paraId="716E57C1" w14:textId="6161906C" w:rsidR="00CB297F" w:rsidRPr="00DF4CE5" w:rsidRDefault="00C034A7" w:rsidP="008B34AF">
            <w:pPr>
              <w:spacing w:after="0" w:line="240" w:lineRule="auto"/>
              <w:jc w:val="both"/>
              <w:rPr>
                <w:rFonts w:ascii="Cambria" w:eastAsia="Calibri" w:hAnsi="Cambria" w:cs="Calibri"/>
                <w:lang w:val="hr-HR"/>
              </w:rPr>
            </w:pPr>
            <w:r>
              <w:rPr>
                <w:rFonts w:ascii="Cambria" w:eastAsia="Times New Roman" w:hAnsi="Cambria" w:cs="Calibri"/>
                <w:lang w:val="hr-HR"/>
              </w:rPr>
              <w:t xml:space="preserve">5. </w:t>
            </w:r>
            <w:r w:rsidR="00CB297F" w:rsidRPr="00DF4CE5">
              <w:rPr>
                <w:rFonts w:ascii="Cambria" w:eastAsia="Times New Roman" w:hAnsi="Cambria" w:cs="Calibri"/>
                <w:lang w:val="hr-HR"/>
              </w:rPr>
              <w:t>argumentirati mogućnosti što češće i kvalitetnije primjene dječje književnosti u nastavi engleskog jezika</w:t>
            </w:r>
          </w:p>
        </w:tc>
      </w:tr>
      <w:tr w:rsidR="00CB297F" w:rsidRPr="00C034A7" w14:paraId="2B6205B4" w14:textId="77777777" w:rsidTr="00C034A7">
        <w:trPr>
          <w:trHeight w:val="816"/>
        </w:trPr>
        <w:tc>
          <w:tcPr>
            <w:tcW w:w="2806"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1F8F9351" w14:textId="77777777" w:rsidR="00CB297F" w:rsidRPr="00DF4CE5" w:rsidRDefault="00CB297F" w:rsidP="008B34AF">
            <w:pPr>
              <w:spacing w:after="0" w:line="240" w:lineRule="auto"/>
              <w:jc w:val="both"/>
              <w:rPr>
                <w:rFonts w:ascii="Cambria" w:eastAsia="Calibri" w:hAnsi="Cambria" w:cs="Calibri"/>
                <w:lang w:val="hr-HR"/>
              </w:rPr>
            </w:pPr>
            <w:r w:rsidRPr="00DF4CE5">
              <w:rPr>
                <w:rFonts w:ascii="Cambria" w:eastAsia="Calibri" w:hAnsi="Cambria" w:cs="Calibri"/>
                <w:lang w:val="hr-HR"/>
              </w:rPr>
              <w:t>Sadržaj kolegija</w:t>
            </w:r>
          </w:p>
        </w:tc>
        <w:tc>
          <w:tcPr>
            <w:tcW w:w="7214"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2134086" w14:textId="48F5108E" w:rsidR="00CB297F" w:rsidRPr="00DF4CE5" w:rsidRDefault="00C034A7" w:rsidP="00C034A7">
            <w:pPr>
              <w:spacing w:after="0" w:line="240" w:lineRule="atLeast"/>
              <w:contextualSpacing/>
              <w:jc w:val="both"/>
              <w:rPr>
                <w:rFonts w:ascii="Cambria" w:eastAsia="Calibri" w:hAnsi="Cambria" w:cs="Calibri"/>
                <w:lang w:val="hr-HR"/>
              </w:rPr>
            </w:pPr>
            <w:r>
              <w:rPr>
                <w:rFonts w:ascii="Cambria" w:eastAsia="Calibri" w:hAnsi="Cambria" w:cs="Calibri"/>
                <w:lang w:val="hr-HR"/>
              </w:rPr>
              <w:t xml:space="preserve">1. </w:t>
            </w:r>
            <w:r w:rsidR="00CB297F" w:rsidRPr="00DF4CE5">
              <w:rPr>
                <w:rFonts w:ascii="Cambria" w:eastAsia="Calibri" w:hAnsi="Cambria" w:cs="Calibri"/>
                <w:lang w:val="hr-HR"/>
              </w:rPr>
              <w:t xml:space="preserve">Realizam u fikcionalnoj književnosti za djecu </w:t>
            </w:r>
          </w:p>
          <w:p w14:paraId="179F3411" w14:textId="4EE3CA13" w:rsidR="00CB297F" w:rsidRPr="00DF4CE5" w:rsidRDefault="00C034A7" w:rsidP="00C034A7">
            <w:pPr>
              <w:spacing w:after="0" w:line="240" w:lineRule="atLeast"/>
              <w:contextualSpacing/>
              <w:jc w:val="both"/>
              <w:rPr>
                <w:rFonts w:ascii="Cambria" w:eastAsia="Calibri" w:hAnsi="Cambria" w:cs="Calibri"/>
                <w:lang w:val="hr-HR"/>
              </w:rPr>
            </w:pPr>
            <w:r>
              <w:rPr>
                <w:rFonts w:ascii="Cambria" w:eastAsia="Calibri" w:hAnsi="Cambria" w:cs="Calibri"/>
                <w:lang w:val="hr-HR"/>
              </w:rPr>
              <w:t xml:space="preserve">2. </w:t>
            </w:r>
            <w:r w:rsidR="00CB297F" w:rsidRPr="00DF4CE5">
              <w:rPr>
                <w:rFonts w:ascii="Cambria" w:eastAsia="Calibri" w:hAnsi="Cambria" w:cs="Calibri"/>
                <w:lang w:val="hr-HR"/>
              </w:rPr>
              <w:t>Obiteljske priče. Tema odrastanja u fikcionalnoj književnosti za djecu.</w:t>
            </w:r>
          </w:p>
          <w:p w14:paraId="519D2C6B" w14:textId="52FAF612" w:rsidR="00CB297F" w:rsidRPr="00DF4CE5" w:rsidRDefault="00C034A7" w:rsidP="00C034A7">
            <w:pPr>
              <w:spacing w:after="0" w:line="240" w:lineRule="atLeast"/>
              <w:contextualSpacing/>
              <w:jc w:val="both"/>
              <w:rPr>
                <w:rFonts w:ascii="Cambria" w:eastAsia="Calibri" w:hAnsi="Cambria" w:cs="Calibri"/>
                <w:lang w:val="hr-HR"/>
              </w:rPr>
            </w:pPr>
            <w:r>
              <w:rPr>
                <w:rFonts w:ascii="Cambria" w:eastAsia="Calibri" w:hAnsi="Cambria" w:cs="Calibri"/>
                <w:lang w:val="hr-HR"/>
              </w:rPr>
              <w:t xml:space="preserve">3. </w:t>
            </w:r>
            <w:r w:rsidR="00CB297F" w:rsidRPr="00DF4CE5">
              <w:rPr>
                <w:rFonts w:ascii="Cambria" w:eastAsia="Calibri" w:hAnsi="Cambria" w:cs="Calibri"/>
                <w:lang w:val="hr-HR"/>
              </w:rPr>
              <w:t xml:space="preserve">Socijalni realizam. </w:t>
            </w:r>
          </w:p>
          <w:p w14:paraId="15BDE036" w14:textId="2F5F8798" w:rsidR="00CB297F" w:rsidRPr="00DF4CE5" w:rsidRDefault="00C034A7" w:rsidP="00C034A7">
            <w:pPr>
              <w:spacing w:after="0" w:line="240" w:lineRule="atLeast"/>
              <w:contextualSpacing/>
              <w:jc w:val="both"/>
              <w:rPr>
                <w:rFonts w:ascii="Cambria" w:eastAsia="Calibri" w:hAnsi="Cambria" w:cs="Calibri"/>
                <w:lang w:val="hr-HR"/>
              </w:rPr>
            </w:pPr>
            <w:r>
              <w:rPr>
                <w:rFonts w:ascii="Cambria" w:eastAsia="Calibri" w:hAnsi="Cambria" w:cs="Calibri"/>
                <w:lang w:val="hr-HR"/>
              </w:rPr>
              <w:t xml:space="preserve">4. </w:t>
            </w:r>
            <w:r w:rsidR="00CB297F" w:rsidRPr="00DF4CE5">
              <w:rPr>
                <w:rFonts w:ascii="Cambria" w:eastAsia="Calibri" w:hAnsi="Cambria" w:cs="Calibri"/>
                <w:lang w:val="hr-HR"/>
              </w:rPr>
              <w:t>Detektivske priče. Horor priče.</w:t>
            </w:r>
          </w:p>
          <w:p w14:paraId="304F3B34" w14:textId="641FBEFF" w:rsidR="00CB297F" w:rsidRPr="00DF4CE5" w:rsidRDefault="00C034A7" w:rsidP="00C034A7">
            <w:pPr>
              <w:spacing w:after="0" w:line="240" w:lineRule="atLeast"/>
              <w:contextualSpacing/>
              <w:jc w:val="both"/>
              <w:rPr>
                <w:rFonts w:ascii="Cambria" w:eastAsia="Calibri" w:hAnsi="Cambria" w:cs="Calibri"/>
                <w:lang w:val="hr-HR"/>
              </w:rPr>
            </w:pPr>
            <w:r>
              <w:rPr>
                <w:rFonts w:ascii="Cambria" w:eastAsia="Calibri" w:hAnsi="Cambria" w:cs="Calibri"/>
                <w:lang w:val="hr-HR"/>
              </w:rPr>
              <w:t xml:space="preserve">5. </w:t>
            </w:r>
            <w:r w:rsidR="00CB297F" w:rsidRPr="00DF4CE5">
              <w:rPr>
                <w:rFonts w:ascii="Cambria" w:eastAsia="Calibri" w:hAnsi="Cambria" w:cs="Calibri"/>
                <w:lang w:val="hr-HR"/>
              </w:rPr>
              <w:t>Povijesna književnost u nastavi engleskog kao stranog jezika.</w:t>
            </w:r>
          </w:p>
          <w:p w14:paraId="6A9F0D95" w14:textId="2C2DCE38" w:rsidR="00CB297F" w:rsidRPr="00DF4CE5" w:rsidRDefault="00C034A7" w:rsidP="00C034A7">
            <w:pPr>
              <w:spacing w:after="0" w:line="240" w:lineRule="atLeast"/>
              <w:contextualSpacing/>
              <w:jc w:val="both"/>
              <w:rPr>
                <w:rFonts w:ascii="Cambria" w:eastAsia="Calibri" w:hAnsi="Cambria" w:cs="Calibri"/>
                <w:lang w:val="hr-HR"/>
              </w:rPr>
            </w:pPr>
            <w:r>
              <w:rPr>
                <w:rFonts w:ascii="Cambria" w:eastAsia="Calibri" w:hAnsi="Cambria" w:cs="Calibri"/>
                <w:lang w:val="hr-HR"/>
              </w:rPr>
              <w:t xml:space="preserve">6. </w:t>
            </w:r>
            <w:r w:rsidR="00CB297F" w:rsidRPr="00DF4CE5">
              <w:rPr>
                <w:rFonts w:ascii="Cambria" w:eastAsia="Calibri" w:hAnsi="Cambria" w:cs="Calibri"/>
                <w:lang w:val="hr-HR"/>
              </w:rPr>
              <w:t xml:space="preserve">Multikulturalne perspektive. </w:t>
            </w:r>
          </w:p>
          <w:p w14:paraId="72D90935" w14:textId="57219031" w:rsidR="00CB297F" w:rsidRPr="00DF4CE5" w:rsidRDefault="00C034A7" w:rsidP="00C034A7">
            <w:pPr>
              <w:spacing w:after="0" w:line="240" w:lineRule="atLeast"/>
              <w:contextualSpacing/>
              <w:jc w:val="both"/>
              <w:rPr>
                <w:rFonts w:ascii="Cambria" w:eastAsia="Calibri" w:hAnsi="Cambria" w:cs="Calibri"/>
                <w:lang w:val="hr-HR"/>
              </w:rPr>
            </w:pPr>
            <w:r>
              <w:rPr>
                <w:rFonts w:ascii="Cambria" w:eastAsia="Calibri" w:hAnsi="Cambria" w:cs="Calibri"/>
                <w:lang w:val="hr-HR"/>
              </w:rPr>
              <w:t xml:space="preserve">7. </w:t>
            </w:r>
            <w:r w:rsidR="00CB297F" w:rsidRPr="00DF4CE5">
              <w:rPr>
                <w:rFonts w:ascii="Cambria" w:eastAsia="Calibri" w:hAnsi="Cambria" w:cs="Calibri"/>
                <w:lang w:val="hr-HR"/>
              </w:rPr>
              <w:t xml:space="preserve">Dječje kazalište. Dramska djela. </w:t>
            </w:r>
          </w:p>
          <w:p w14:paraId="0B432EAB" w14:textId="56126662" w:rsidR="00CB297F" w:rsidRPr="00DF4CE5" w:rsidRDefault="00C034A7" w:rsidP="00C034A7">
            <w:pPr>
              <w:spacing w:after="0" w:line="240" w:lineRule="atLeast"/>
              <w:contextualSpacing/>
              <w:jc w:val="both"/>
              <w:rPr>
                <w:rFonts w:ascii="Cambria" w:eastAsia="Calibri" w:hAnsi="Cambria" w:cs="Calibri"/>
                <w:lang w:val="hr-HR"/>
              </w:rPr>
            </w:pPr>
            <w:r>
              <w:rPr>
                <w:rFonts w:ascii="Cambria" w:eastAsia="Calibri" w:hAnsi="Cambria" w:cs="Calibri"/>
                <w:lang w:val="hr-HR"/>
              </w:rPr>
              <w:t xml:space="preserve">8. </w:t>
            </w:r>
            <w:r w:rsidR="00CB297F" w:rsidRPr="00DF4CE5">
              <w:rPr>
                <w:rFonts w:ascii="Cambria" w:eastAsia="Calibri" w:hAnsi="Cambria" w:cs="Calibri"/>
                <w:lang w:val="hr-HR"/>
              </w:rPr>
              <w:t>Književnost i audiovizualne adaptacije.</w:t>
            </w:r>
          </w:p>
        </w:tc>
      </w:tr>
      <w:tr w:rsidR="00CB297F" w:rsidRPr="00DF4CE5" w14:paraId="7DFBB3CE" w14:textId="77777777" w:rsidTr="00C034A7">
        <w:tc>
          <w:tcPr>
            <w:tcW w:w="2806"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hideMark/>
          </w:tcPr>
          <w:p w14:paraId="6A818AFA" w14:textId="77777777" w:rsidR="00CB297F" w:rsidRPr="00DF4CE5" w:rsidRDefault="00CB297F" w:rsidP="008B34AF">
            <w:pPr>
              <w:spacing w:after="0" w:line="240" w:lineRule="auto"/>
              <w:jc w:val="both"/>
              <w:rPr>
                <w:rFonts w:ascii="Cambria" w:eastAsia="Calibri" w:hAnsi="Cambria" w:cs="Calibri"/>
                <w:lang w:val="hr-HR"/>
              </w:rPr>
            </w:pPr>
            <w:r w:rsidRPr="00DF4CE5">
              <w:rPr>
                <w:rFonts w:ascii="Cambria" w:eastAsia="Calibri" w:hAnsi="Cambria" w:cs="Calibri"/>
                <w:lang w:val="hr-HR"/>
              </w:rPr>
              <w:t>Planirane aktivnosti</w:t>
            </w:r>
            <w:r w:rsidRPr="00B30379">
              <w:rPr>
                <w:rFonts w:ascii="Cambria" w:eastAsia="Calibri" w:hAnsi="Cambria" w:cs="Calibri"/>
                <w:lang w:val="it-IT"/>
              </w:rPr>
              <w:t>,</w:t>
            </w:r>
          </w:p>
          <w:p w14:paraId="06BD88B1" w14:textId="77777777" w:rsidR="00CB297F" w:rsidRPr="00DF4CE5" w:rsidRDefault="00CB297F" w:rsidP="008B34AF">
            <w:pPr>
              <w:spacing w:after="0" w:line="240" w:lineRule="auto"/>
              <w:jc w:val="both"/>
              <w:rPr>
                <w:rFonts w:ascii="Cambria" w:eastAsia="Calibri" w:hAnsi="Cambria" w:cs="Calibri"/>
                <w:lang w:val="hr-HR"/>
              </w:rPr>
            </w:pPr>
            <w:proofErr w:type="spellStart"/>
            <w:r w:rsidRPr="00DF4CE5">
              <w:rPr>
                <w:rFonts w:ascii="Cambria" w:eastAsia="Calibri" w:hAnsi="Cambria" w:cs="Calibri"/>
                <w:lang w:val="it-IT"/>
              </w:rPr>
              <w:t>metode</w:t>
            </w:r>
            <w:proofErr w:type="spellEnd"/>
            <w:r w:rsidRPr="00DF4CE5">
              <w:rPr>
                <w:rFonts w:ascii="Cambria" w:eastAsia="Calibri" w:hAnsi="Cambria" w:cs="Calibri"/>
                <w:lang w:val="it-IT"/>
              </w:rPr>
              <w:t xml:space="preserve"> </w:t>
            </w:r>
            <w:r w:rsidRPr="00DF4CE5">
              <w:rPr>
                <w:rFonts w:ascii="Cambria" w:eastAsia="Calibri" w:hAnsi="Cambria" w:cs="Calibri"/>
                <w:lang w:val="hr-HR"/>
              </w:rPr>
              <w:t>učenja i poučavanja i načini vrednovanja</w:t>
            </w:r>
          </w:p>
          <w:p w14:paraId="3031A90C" w14:textId="77777777" w:rsidR="00CB297F" w:rsidRPr="00DF4CE5" w:rsidRDefault="00CB297F" w:rsidP="008B34AF">
            <w:pPr>
              <w:spacing w:after="0" w:line="240" w:lineRule="auto"/>
              <w:jc w:val="both"/>
              <w:rPr>
                <w:rFonts w:ascii="Cambria" w:eastAsia="Calibri" w:hAnsi="Cambria" w:cs="Calibri"/>
                <w:lang w:val="hr-HR"/>
              </w:rPr>
            </w:pPr>
          </w:p>
        </w:tc>
        <w:tc>
          <w:tcPr>
            <w:tcW w:w="2768"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C2EF46B" w14:textId="77777777" w:rsidR="00CB297F" w:rsidRPr="00DF4CE5" w:rsidRDefault="00CB297F" w:rsidP="008B34AF">
            <w:pPr>
              <w:spacing w:after="0" w:line="240" w:lineRule="auto"/>
              <w:jc w:val="both"/>
              <w:rPr>
                <w:rFonts w:ascii="Cambria" w:eastAsia="Calibri" w:hAnsi="Cambria" w:cs="Calibri"/>
                <w:lang w:val="hr-HR"/>
              </w:rPr>
            </w:pPr>
            <w:r w:rsidRPr="00DF4CE5">
              <w:rPr>
                <w:rFonts w:ascii="Cambria" w:eastAsia="Calibri" w:hAnsi="Cambria" w:cs="Calibri"/>
                <w:bCs/>
                <w:lang w:val="hr-HR"/>
              </w:rPr>
              <w:t>Obveze</w:t>
            </w:r>
          </w:p>
        </w:tc>
        <w:tc>
          <w:tcPr>
            <w:tcW w:w="11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0639C84" w14:textId="77777777" w:rsidR="00CB297F" w:rsidRPr="00DF4CE5" w:rsidRDefault="00CB297F" w:rsidP="008B34AF">
            <w:pPr>
              <w:spacing w:after="0" w:line="240" w:lineRule="auto"/>
              <w:jc w:val="both"/>
              <w:rPr>
                <w:rFonts w:ascii="Cambria" w:eastAsia="Calibri" w:hAnsi="Cambria" w:cs="Calibri"/>
                <w:lang w:val="hr-HR"/>
              </w:rPr>
            </w:pPr>
            <w:r w:rsidRPr="00DF4CE5">
              <w:rPr>
                <w:rFonts w:ascii="Cambria" w:eastAsia="Calibri" w:hAnsi="Cambria" w:cs="Calibri"/>
                <w:bCs/>
                <w:lang w:val="hr-HR"/>
              </w:rPr>
              <w:t>Ishodi</w:t>
            </w:r>
          </w:p>
        </w:tc>
        <w:tc>
          <w:tcPr>
            <w:tcW w:w="77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878404D" w14:textId="77777777" w:rsidR="00CB297F" w:rsidRPr="00DF4CE5" w:rsidRDefault="00CB297F" w:rsidP="008B34AF">
            <w:pPr>
              <w:spacing w:after="0" w:line="240" w:lineRule="auto"/>
              <w:jc w:val="both"/>
              <w:rPr>
                <w:rFonts w:ascii="Cambria" w:eastAsia="Calibri" w:hAnsi="Cambria" w:cs="Calibri"/>
                <w:lang w:val="hr-HR"/>
              </w:rPr>
            </w:pPr>
            <w:r w:rsidRPr="00DF4CE5">
              <w:rPr>
                <w:rFonts w:ascii="Cambria" w:eastAsia="Calibri" w:hAnsi="Cambria" w:cs="Calibri"/>
                <w:bCs/>
                <w:lang w:val="hr-HR"/>
              </w:rPr>
              <w:t>Sati</w:t>
            </w:r>
          </w:p>
        </w:tc>
        <w:tc>
          <w:tcPr>
            <w:tcW w:w="108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847CDB3" w14:textId="77777777" w:rsidR="00CB297F" w:rsidRPr="00DF4CE5" w:rsidRDefault="00CB297F" w:rsidP="008B34AF">
            <w:pPr>
              <w:spacing w:after="0" w:line="240" w:lineRule="auto"/>
              <w:jc w:val="both"/>
              <w:rPr>
                <w:rFonts w:ascii="Cambria" w:eastAsia="Calibri" w:hAnsi="Cambria" w:cs="Calibri"/>
                <w:lang w:val="hr-HR"/>
              </w:rPr>
            </w:pPr>
            <w:r w:rsidRPr="00DF4CE5">
              <w:rPr>
                <w:rFonts w:ascii="Cambria" w:eastAsia="Calibri" w:hAnsi="Cambria" w:cs="Calibri"/>
                <w:bCs/>
                <w:lang w:val="hr-HR"/>
              </w:rPr>
              <w:t xml:space="preserve">Udio </w:t>
            </w:r>
          </w:p>
        </w:tc>
        <w:tc>
          <w:tcPr>
            <w:tcW w:w="141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5AB0C18" w14:textId="77777777" w:rsidR="00CB297F" w:rsidRPr="00DF4CE5" w:rsidRDefault="00CB297F" w:rsidP="008B34AF">
            <w:pPr>
              <w:spacing w:after="0" w:line="240" w:lineRule="auto"/>
              <w:jc w:val="both"/>
              <w:rPr>
                <w:rFonts w:ascii="Cambria" w:eastAsia="Calibri" w:hAnsi="Cambria" w:cs="Calibri"/>
                <w:lang w:val="hr-HR"/>
              </w:rPr>
            </w:pPr>
            <w:r w:rsidRPr="00DF4CE5">
              <w:rPr>
                <w:rFonts w:ascii="Cambria" w:eastAsia="Calibri" w:hAnsi="Cambria" w:cs="Calibri"/>
                <w:bCs/>
                <w:lang w:val="hr-HR"/>
              </w:rPr>
              <w:t>Maksimalni udio u ocjeni</w:t>
            </w:r>
            <w:r w:rsidRPr="00DF4CE5">
              <w:rPr>
                <w:rFonts w:ascii="Cambria" w:eastAsia="Calibri" w:hAnsi="Cambria" w:cs="Calibri"/>
                <w:bCs/>
              </w:rPr>
              <w:t xml:space="preserve"> (%)</w:t>
            </w:r>
          </w:p>
        </w:tc>
      </w:tr>
      <w:tr w:rsidR="005005C3" w:rsidRPr="00DF4CE5" w14:paraId="2E661D3D" w14:textId="77777777" w:rsidTr="00C034A7">
        <w:tc>
          <w:tcPr>
            <w:tcW w:w="2806" w:type="dxa"/>
            <w:vMerge/>
            <w:tcBorders>
              <w:left w:val="single" w:sz="8" w:space="0" w:color="000000"/>
              <w:right w:val="single" w:sz="8" w:space="0" w:color="000000"/>
            </w:tcBorders>
            <w:vAlign w:val="center"/>
            <w:hideMark/>
          </w:tcPr>
          <w:p w14:paraId="3C2DE3CA" w14:textId="77777777" w:rsidR="005005C3" w:rsidRPr="00DF4CE5" w:rsidRDefault="005005C3" w:rsidP="005005C3">
            <w:pPr>
              <w:spacing w:after="0" w:line="240" w:lineRule="auto"/>
              <w:jc w:val="both"/>
              <w:rPr>
                <w:rFonts w:ascii="Cambria" w:eastAsia="Calibri" w:hAnsi="Cambria" w:cs="Calibri"/>
                <w:lang w:val="hr-HR"/>
              </w:rPr>
            </w:pPr>
          </w:p>
        </w:tc>
        <w:tc>
          <w:tcPr>
            <w:tcW w:w="2768"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788A342" w14:textId="2E1AB08B" w:rsidR="005005C3" w:rsidRPr="00C034A7" w:rsidRDefault="005005C3" w:rsidP="005005C3">
            <w:pPr>
              <w:spacing w:after="0" w:line="240" w:lineRule="auto"/>
              <w:jc w:val="both"/>
              <w:rPr>
                <w:rFonts w:ascii="Cambria" w:eastAsia="Calibri" w:hAnsi="Cambria" w:cs="Calibri"/>
                <w:lang w:val="it-IT"/>
              </w:rPr>
            </w:pPr>
            <w:proofErr w:type="spellStart"/>
            <w:r w:rsidRPr="00C034A7">
              <w:rPr>
                <w:rFonts w:ascii="Cambria" w:eastAsia="Times New Roman" w:hAnsi="Cambria" w:cs="Calibri"/>
                <w:lang w:val="it-IT"/>
              </w:rPr>
              <w:t>aktivnost</w:t>
            </w:r>
            <w:proofErr w:type="spellEnd"/>
            <w:r w:rsidRPr="00C034A7">
              <w:rPr>
                <w:rFonts w:ascii="Cambria" w:eastAsia="Times New Roman" w:hAnsi="Cambria" w:cs="Calibri"/>
                <w:lang w:val="it-IT"/>
              </w:rPr>
              <w:t xml:space="preserve"> </w:t>
            </w:r>
            <w:proofErr w:type="spellStart"/>
            <w:r w:rsidRPr="00C034A7">
              <w:rPr>
                <w:rFonts w:ascii="Cambria" w:eastAsia="Times New Roman" w:hAnsi="Cambria" w:cs="Calibri"/>
                <w:lang w:val="it-IT"/>
              </w:rPr>
              <w:t>na</w:t>
            </w:r>
            <w:proofErr w:type="spellEnd"/>
            <w:r w:rsidRPr="00C034A7">
              <w:rPr>
                <w:rFonts w:ascii="Cambria" w:eastAsia="Times New Roman" w:hAnsi="Cambria" w:cs="Calibri"/>
                <w:lang w:val="it-IT"/>
              </w:rPr>
              <w:t xml:space="preserve"> </w:t>
            </w:r>
            <w:proofErr w:type="spellStart"/>
            <w:r w:rsidRPr="00C034A7">
              <w:rPr>
                <w:rFonts w:ascii="Cambria" w:eastAsia="Times New Roman" w:hAnsi="Cambria" w:cs="Calibri"/>
                <w:lang w:val="it-IT"/>
              </w:rPr>
              <w:t>nastavi</w:t>
            </w:r>
            <w:proofErr w:type="spellEnd"/>
            <w:r w:rsidR="00C034A7" w:rsidRPr="00C034A7">
              <w:rPr>
                <w:rFonts w:ascii="Cambria" w:eastAsia="Times New Roman" w:hAnsi="Cambria" w:cs="Calibri"/>
                <w:lang w:val="it-IT"/>
              </w:rPr>
              <w:t xml:space="preserve"> (P, S</w:t>
            </w:r>
            <w:r w:rsidR="00C034A7">
              <w:rPr>
                <w:rFonts w:ascii="Cambria" w:eastAsia="Times New Roman" w:hAnsi="Cambria" w:cs="Calibri"/>
                <w:lang w:val="it-IT"/>
              </w:rPr>
              <w:t>)</w:t>
            </w:r>
          </w:p>
        </w:tc>
        <w:tc>
          <w:tcPr>
            <w:tcW w:w="11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FEC03E0" w14:textId="77777777" w:rsidR="005005C3" w:rsidRPr="00DF4CE5" w:rsidRDefault="005005C3" w:rsidP="00C034A7">
            <w:pPr>
              <w:spacing w:after="0" w:line="240" w:lineRule="auto"/>
              <w:jc w:val="center"/>
              <w:rPr>
                <w:rFonts w:ascii="Cambria" w:eastAsia="Calibri" w:hAnsi="Cambria" w:cs="Calibri"/>
                <w:lang w:val="hr-HR"/>
              </w:rPr>
            </w:pPr>
            <w:r w:rsidRPr="00DF4CE5">
              <w:rPr>
                <w:rFonts w:ascii="Cambria" w:eastAsia="Calibri" w:hAnsi="Cambria" w:cs="Calibri"/>
                <w:lang w:val="hr-HR"/>
              </w:rPr>
              <w:t>1. - 5.</w:t>
            </w:r>
          </w:p>
        </w:tc>
        <w:tc>
          <w:tcPr>
            <w:tcW w:w="77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C5D8D9A" w14:textId="4443D817" w:rsidR="005005C3" w:rsidRPr="00DF4CE5" w:rsidRDefault="005005C3" w:rsidP="00C034A7">
            <w:pPr>
              <w:spacing w:after="0" w:line="240" w:lineRule="auto"/>
              <w:jc w:val="center"/>
              <w:rPr>
                <w:rFonts w:ascii="Cambria" w:eastAsia="Calibri" w:hAnsi="Cambria" w:cs="Calibri"/>
                <w:lang w:val="hr-HR"/>
              </w:rPr>
            </w:pPr>
            <w:r w:rsidRPr="00DF4CE5">
              <w:rPr>
                <w:rFonts w:ascii="Cambria" w:eastAsia="Calibri" w:hAnsi="Cambria" w:cs="Calibri"/>
                <w:lang w:val="hr-HR"/>
              </w:rPr>
              <w:t>23</w:t>
            </w:r>
          </w:p>
        </w:tc>
        <w:tc>
          <w:tcPr>
            <w:tcW w:w="108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C0E35FF" w14:textId="77777777" w:rsidR="005005C3" w:rsidRPr="00DF4CE5" w:rsidRDefault="005005C3" w:rsidP="00C034A7">
            <w:pPr>
              <w:spacing w:after="0" w:line="240" w:lineRule="auto"/>
              <w:jc w:val="center"/>
              <w:rPr>
                <w:rFonts w:ascii="Cambria" w:eastAsia="Calibri" w:hAnsi="Cambria" w:cs="Calibri"/>
                <w:lang w:val="hr-HR"/>
              </w:rPr>
            </w:pPr>
            <w:r w:rsidRPr="00DF4CE5">
              <w:rPr>
                <w:rFonts w:ascii="Cambria" w:eastAsia="Calibri" w:hAnsi="Cambria" w:cs="Calibri"/>
                <w:lang w:val="hr-HR"/>
              </w:rPr>
              <w:t>0,8</w:t>
            </w:r>
          </w:p>
        </w:tc>
        <w:tc>
          <w:tcPr>
            <w:tcW w:w="141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83A4497" w14:textId="6E72DED1" w:rsidR="005005C3" w:rsidRPr="00DF4CE5" w:rsidRDefault="005005C3" w:rsidP="00C034A7">
            <w:pPr>
              <w:spacing w:after="0" w:line="240" w:lineRule="auto"/>
              <w:jc w:val="center"/>
              <w:rPr>
                <w:rFonts w:ascii="Cambria" w:eastAsia="Calibri" w:hAnsi="Cambria" w:cs="Calibri"/>
                <w:lang w:val="hr-HR"/>
              </w:rPr>
            </w:pPr>
            <w:r w:rsidRPr="00DF4CE5">
              <w:rPr>
                <w:rFonts w:ascii="Cambria" w:eastAsia="Calibri" w:hAnsi="Cambria" w:cs="Calibri"/>
                <w:lang w:val="hr-HR"/>
              </w:rPr>
              <w:t>10%</w:t>
            </w:r>
          </w:p>
        </w:tc>
      </w:tr>
      <w:tr w:rsidR="005005C3" w:rsidRPr="00DF4CE5" w14:paraId="3A796CCC" w14:textId="77777777" w:rsidTr="00C034A7">
        <w:tc>
          <w:tcPr>
            <w:tcW w:w="2806" w:type="dxa"/>
            <w:vMerge/>
            <w:tcBorders>
              <w:left w:val="single" w:sz="8" w:space="0" w:color="000000"/>
              <w:right w:val="single" w:sz="8" w:space="0" w:color="000000"/>
            </w:tcBorders>
            <w:vAlign w:val="center"/>
            <w:hideMark/>
          </w:tcPr>
          <w:p w14:paraId="1E7C7279" w14:textId="77777777" w:rsidR="005005C3" w:rsidRPr="00DF4CE5" w:rsidRDefault="005005C3" w:rsidP="005005C3">
            <w:pPr>
              <w:spacing w:after="0" w:line="240" w:lineRule="auto"/>
              <w:jc w:val="both"/>
              <w:rPr>
                <w:rFonts w:ascii="Cambria" w:eastAsia="Calibri" w:hAnsi="Cambria" w:cs="Calibri"/>
                <w:lang w:val="hr-HR"/>
              </w:rPr>
            </w:pPr>
          </w:p>
        </w:tc>
        <w:tc>
          <w:tcPr>
            <w:tcW w:w="2768"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740401C" w14:textId="77777777" w:rsidR="005005C3" w:rsidRPr="00DF4CE5" w:rsidRDefault="005005C3" w:rsidP="005005C3">
            <w:pPr>
              <w:spacing w:after="0" w:line="240" w:lineRule="auto"/>
              <w:jc w:val="both"/>
              <w:rPr>
                <w:rFonts w:ascii="Cambria" w:eastAsia="Calibri" w:hAnsi="Cambria" w:cs="Calibri"/>
                <w:lang w:val="hr-HR"/>
              </w:rPr>
            </w:pPr>
            <w:r w:rsidRPr="00DF4CE5">
              <w:rPr>
                <w:rFonts w:ascii="Cambria" w:eastAsia="Calibri" w:hAnsi="Cambria" w:cs="Calibri"/>
                <w:lang w:val="hr-HR"/>
              </w:rPr>
              <w:t xml:space="preserve">prezentacija referata  </w:t>
            </w:r>
          </w:p>
        </w:tc>
        <w:tc>
          <w:tcPr>
            <w:tcW w:w="11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6E835D4" w14:textId="77777777" w:rsidR="005005C3" w:rsidRPr="00DF4CE5" w:rsidRDefault="005005C3" w:rsidP="00C034A7">
            <w:pPr>
              <w:spacing w:after="0" w:line="240" w:lineRule="auto"/>
              <w:jc w:val="center"/>
              <w:rPr>
                <w:rFonts w:ascii="Cambria" w:eastAsia="Calibri" w:hAnsi="Cambria" w:cs="Calibri"/>
                <w:lang w:val="hr-HR"/>
              </w:rPr>
            </w:pPr>
            <w:r w:rsidRPr="00DF4CE5">
              <w:rPr>
                <w:rFonts w:ascii="Cambria" w:eastAsia="Calibri" w:hAnsi="Cambria" w:cs="Calibri"/>
                <w:lang w:val="hr-HR"/>
              </w:rPr>
              <w:t>4. - 5.</w:t>
            </w:r>
          </w:p>
        </w:tc>
        <w:tc>
          <w:tcPr>
            <w:tcW w:w="77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566070A" w14:textId="33AE1C35" w:rsidR="005005C3" w:rsidRPr="00DF4CE5" w:rsidRDefault="005005C3" w:rsidP="00C034A7">
            <w:pPr>
              <w:spacing w:after="0" w:line="240" w:lineRule="auto"/>
              <w:jc w:val="center"/>
              <w:rPr>
                <w:rFonts w:ascii="Cambria" w:eastAsia="Calibri" w:hAnsi="Cambria" w:cs="Calibri"/>
                <w:lang w:val="hr-HR"/>
              </w:rPr>
            </w:pPr>
            <w:r w:rsidRPr="00DF4CE5">
              <w:rPr>
                <w:rFonts w:ascii="Cambria" w:eastAsia="Calibri" w:hAnsi="Cambria" w:cs="Calibri"/>
                <w:lang w:val="hr-HR"/>
              </w:rPr>
              <w:t>7</w:t>
            </w:r>
          </w:p>
        </w:tc>
        <w:tc>
          <w:tcPr>
            <w:tcW w:w="108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6290297" w14:textId="77777777" w:rsidR="005005C3" w:rsidRPr="00DF4CE5" w:rsidRDefault="005005C3" w:rsidP="00C034A7">
            <w:pPr>
              <w:spacing w:after="0" w:line="240" w:lineRule="auto"/>
              <w:jc w:val="center"/>
              <w:rPr>
                <w:rFonts w:ascii="Cambria" w:eastAsia="Calibri" w:hAnsi="Cambria" w:cs="Calibri"/>
                <w:lang w:val="hr-HR"/>
              </w:rPr>
            </w:pPr>
            <w:r w:rsidRPr="00DF4CE5">
              <w:rPr>
                <w:rFonts w:ascii="Cambria" w:eastAsia="Calibri" w:hAnsi="Cambria" w:cs="Calibri"/>
                <w:lang w:val="hr-HR"/>
              </w:rPr>
              <w:t>0,2</w:t>
            </w:r>
          </w:p>
        </w:tc>
        <w:tc>
          <w:tcPr>
            <w:tcW w:w="141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E5553B7" w14:textId="47DAF49B" w:rsidR="005005C3" w:rsidRPr="00DF4CE5" w:rsidRDefault="005005C3" w:rsidP="00C034A7">
            <w:pPr>
              <w:spacing w:after="0" w:line="240" w:lineRule="auto"/>
              <w:jc w:val="center"/>
              <w:rPr>
                <w:rFonts w:ascii="Cambria" w:eastAsia="Calibri" w:hAnsi="Cambria" w:cs="Calibri"/>
                <w:lang w:val="hr-HR"/>
              </w:rPr>
            </w:pPr>
            <w:r w:rsidRPr="00DF4CE5">
              <w:rPr>
                <w:rFonts w:ascii="Cambria" w:eastAsia="Calibri" w:hAnsi="Cambria" w:cs="Calibri"/>
                <w:lang w:val="hr-HR"/>
              </w:rPr>
              <w:t>30%</w:t>
            </w:r>
          </w:p>
        </w:tc>
      </w:tr>
      <w:tr w:rsidR="005005C3" w:rsidRPr="00DF4CE5" w14:paraId="5C34B8AB" w14:textId="77777777" w:rsidTr="00C034A7">
        <w:tc>
          <w:tcPr>
            <w:tcW w:w="2806" w:type="dxa"/>
            <w:vMerge/>
            <w:tcBorders>
              <w:left w:val="single" w:sz="8" w:space="0" w:color="000000"/>
              <w:right w:val="single" w:sz="8" w:space="0" w:color="000000"/>
            </w:tcBorders>
            <w:vAlign w:val="center"/>
            <w:hideMark/>
          </w:tcPr>
          <w:p w14:paraId="5F4F955D" w14:textId="77777777" w:rsidR="005005C3" w:rsidRPr="00DF4CE5" w:rsidRDefault="005005C3" w:rsidP="005005C3">
            <w:pPr>
              <w:spacing w:after="0" w:line="240" w:lineRule="auto"/>
              <w:jc w:val="both"/>
              <w:rPr>
                <w:rFonts w:ascii="Cambria" w:eastAsia="Calibri" w:hAnsi="Cambria" w:cs="Calibri"/>
                <w:lang w:val="hr-HR"/>
              </w:rPr>
            </w:pPr>
          </w:p>
        </w:tc>
        <w:tc>
          <w:tcPr>
            <w:tcW w:w="2768"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B220707" w14:textId="77777777" w:rsidR="005005C3" w:rsidRPr="00DF4CE5" w:rsidRDefault="005005C3" w:rsidP="005005C3">
            <w:pPr>
              <w:spacing w:after="0" w:line="240" w:lineRule="auto"/>
              <w:jc w:val="both"/>
              <w:rPr>
                <w:rFonts w:ascii="Cambria" w:eastAsia="Calibri" w:hAnsi="Cambria" w:cs="Calibri"/>
                <w:lang w:val="hr-HR"/>
              </w:rPr>
            </w:pPr>
            <w:proofErr w:type="spellStart"/>
            <w:r w:rsidRPr="00DF4CE5">
              <w:rPr>
                <w:rFonts w:ascii="Cambria" w:eastAsia="Calibri" w:hAnsi="Cambria" w:cs="Calibri"/>
              </w:rPr>
              <w:t>dva</w:t>
            </w:r>
            <w:proofErr w:type="spellEnd"/>
            <w:r w:rsidRPr="00DF4CE5">
              <w:rPr>
                <w:rFonts w:ascii="Cambria" w:eastAsia="Calibri" w:hAnsi="Cambria" w:cs="Calibri"/>
              </w:rPr>
              <w:t xml:space="preserve"> </w:t>
            </w:r>
            <w:proofErr w:type="spellStart"/>
            <w:r w:rsidRPr="00DF4CE5">
              <w:rPr>
                <w:rFonts w:ascii="Cambria" w:eastAsia="Calibri" w:hAnsi="Cambria" w:cs="Calibri"/>
              </w:rPr>
              <w:t>pisana</w:t>
            </w:r>
            <w:proofErr w:type="spellEnd"/>
            <w:r w:rsidRPr="00DF4CE5">
              <w:rPr>
                <w:rFonts w:ascii="Cambria" w:eastAsia="Calibri" w:hAnsi="Cambria" w:cs="Calibri"/>
              </w:rPr>
              <w:t xml:space="preserve"> k</w:t>
            </w:r>
            <w:proofErr w:type="spellStart"/>
            <w:r w:rsidRPr="00DF4CE5">
              <w:rPr>
                <w:rFonts w:ascii="Cambria" w:eastAsia="Calibri" w:hAnsi="Cambria" w:cs="Calibri"/>
                <w:lang w:val="hr-HR"/>
              </w:rPr>
              <w:t>olokvija</w:t>
            </w:r>
            <w:proofErr w:type="spellEnd"/>
          </w:p>
        </w:tc>
        <w:tc>
          <w:tcPr>
            <w:tcW w:w="11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3743CC9" w14:textId="77777777" w:rsidR="005005C3" w:rsidRPr="00DF4CE5" w:rsidRDefault="005005C3" w:rsidP="00C034A7">
            <w:pPr>
              <w:spacing w:after="0" w:line="240" w:lineRule="auto"/>
              <w:jc w:val="center"/>
              <w:rPr>
                <w:rFonts w:ascii="Cambria" w:eastAsia="Calibri" w:hAnsi="Cambria" w:cs="Calibri"/>
                <w:lang w:val="hr-HR"/>
              </w:rPr>
            </w:pPr>
            <w:r w:rsidRPr="00DF4CE5">
              <w:rPr>
                <w:rFonts w:ascii="Cambria" w:eastAsia="Calibri" w:hAnsi="Cambria" w:cs="Calibri"/>
                <w:lang w:val="hr-HR"/>
              </w:rPr>
              <w:t>1. - 5.</w:t>
            </w:r>
          </w:p>
        </w:tc>
        <w:tc>
          <w:tcPr>
            <w:tcW w:w="77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D4CA910" w14:textId="5337569D" w:rsidR="005005C3" w:rsidRPr="00DF4CE5" w:rsidRDefault="005005C3" w:rsidP="00C034A7">
            <w:pPr>
              <w:spacing w:after="0" w:line="240" w:lineRule="auto"/>
              <w:jc w:val="center"/>
              <w:rPr>
                <w:rFonts w:ascii="Cambria" w:eastAsia="Calibri" w:hAnsi="Cambria" w:cs="Calibri"/>
                <w:lang w:val="hr-HR"/>
              </w:rPr>
            </w:pPr>
            <w:r w:rsidRPr="00DF4CE5">
              <w:rPr>
                <w:rFonts w:ascii="Cambria" w:eastAsia="Calibri" w:hAnsi="Cambria" w:cs="Calibri"/>
                <w:lang w:val="hr-HR"/>
              </w:rPr>
              <w:t>30</w:t>
            </w:r>
          </w:p>
        </w:tc>
        <w:tc>
          <w:tcPr>
            <w:tcW w:w="108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0FE8D93" w14:textId="77777777" w:rsidR="005005C3" w:rsidRPr="00DF4CE5" w:rsidRDefault="005005C3" w:rsidP="00C034A7">
            <w:pPr>
              <w:spacing w:after="0" w:line="240" w:lineRule="auto"/>
              <w:jc w:val="center"/>
              <w:rPr>
                <w:rFonts w:ascii="Cambria" w:eastAsia="Calibri" w:hAnsi="Cambria" w:cs="Calibri"/>
                <w:lang w:val="hr-HR"/>
              </w:rPr>
            </w:pPr>
            <w:r w:rsidRPr="00DF4CE5">
              <w:rPr>
                <w:rFonts w:ascii="Cambria" w:eastAsia="Calibri" w:hAnsi="Cambria" w:cs="Calibri"/>
                <w:lang w:val="hr-HR"/>
              </w:rPr>
              <w:t>1</w:t>
            </w:r>
          </w:p>
        </w:tc>
        <w:tc>
          <w:tcPr>
            <w:tcW w:w="141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08A142C" w14:textId="35E6C1BD" w:rsidR="005005C3" w:rsidRPr="00DF4CE5" w:rsidRDefault="005005C3" w:rsidP="00C034A7">
            <w:pPr>
              <w:spacing w:after="0" w:line="240" w:lineRule="auto"/>
              <w:jc w:val="center"/>
              <w:rPr>
                <w:rFonts w:ascii="Cambria" w:eastAsia="Calibri" w:hAnsi="Cambria" w:cs="Calibri"/>
                <w:lang w:val="hr-HR"/>
              </w:rPr>
            </w:pPr>
            <w:r w:rsidRPr="00DF4CE5">
              <w:rPr>
                <w:rFonts w:ascii="Cambria" w:eastAsia="Calibri" w:hAnsi="Cambria" w:cs="Calibri"/>
                <w:lang w:val="hr-HR"/>
              </w:rPr>
              <w:t>2 x 30%</w:t>
            </w:r>
          </w:p>
        </w:tc>
      </w:tr>
      <w:tr w:rsidR="005005C3" w:rsidRPr="00DF4CE5" w14:paraId="63B40FEC" w14:textId="77777777" w:rsidTr="00C034A7">
        <w:tc>
          <w:tcPr>
            <w:tcW w:w="2806" w:type="dxa"/>
            <w:vMerge/>
            <w:tcBorders>
              <w:left w:val="single" w:sz="8" w:space="0" w:color="000000"/>
              <w:right w:val="single" w:sz="8" w:space="0" w:color="000000"/>
            </w:tcBorders>
            <w:vAlign w:val="center"/>
            <w:hideMark/>
          </w:tcPr>
          <w:p w14:paraId="6D9D6C68" w14:textId="77777777" w:rsidR="005005C3" w:rsidRPr="00DF4CE5" w:rsidRDefault="005005C3" w:rsidP="005005C3">
            <w:pPr>
              <w:spacing w:after="0" w:line="240" w:lineRule="auto"/>
              <w:jc w:val="both"/>
              <w:rPr>
                <w:rFonts w:ascii="Cambria" w:eastAsia="Calibri" w:hAnsi="Cambria" w:cs="Calibri"/>
                <w:lang w:val="hr-HR"/>
              </w:rPr>
            </w:pPr>
          </w:p>
        </w:tc>
        <w:tc>
          <w:tcPr>
            <w:tcW w:w="3940"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B54CE63" w14:textId="28B2CD18" w:rsidR="005005C3" w:rsidRPr="00DF4CE5" w:rsidRDefault="00C034A7" w:rsidP="005005C3">
            <w:pPr>
              <w:spacing w:after="0" w:line="240" w:lineRule="auto"/>
              <w:jc w:val="both"/>
              <w:rPr>
                <w:rFonts w:ascii="Cambria" w:eastAsia="Calibri" w:hAnsi="Cambria" w:cs="Calibri"/>
                <w:lang w:val="hr-HR"/>
              </w:rPr>
            </w:pPr>
            <w:proofErr w:type="spellStart"/>
            <w:r>
              <w:rPr>
                <w:rFonts w:ascii="Cambria" w:eastAsia="Calibri" w:hAnsi="Cambria" w:cs="Calibri"/>
              </w:rPr>
              <w:t>u</w:t>
            </w:r>
            <w:r w:rsidR="005005C3" w:rsidRPr="00DF4CE5">
              <w:rPr>
                <w:rFonts w:ascii="Cambria" w:eastAsia="Calibri" w:hAnsi="Cambria" w:cs="Calibri"/>
              </w:rPr>
              <w:t>kupno</w:t>
            </w:r>
            <w:proofErr w:type="spellEnd"/>
          </w:p>
        </w:tc>
        <w:tc>
          <w:tcPr>
            <w:tcW w:w="77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F7E8881" w14:textId="32E3549E" w:rsidR="005005C3" w:rsidRPr="00DF4CE5" w:rsidRDefault="005005C3" w:rsidP="00C034A7">
            <w:pPr>
              <w:spacing w:after="0" w:line="240" w:lineRule="auto"/>
              <w:jc w:val="center"/>
              <w:rPr>
                <w:rFonts w:ascii="Cambria" w:eastAsia="Calibri" w:hAnsi="Cambria" w:cs="Calibri"/>
                <w:lang w:val="hr-HR"/>
              </w:rPr>
            </w:pPr>
            <w:r w:rsidRPr="00DF4CE5">
              <w:rPr>
                <w:rFonts w:ascii="Cambria" w:eastAsia="Calibri" w:hAnsi="Cambria" w:cs="Calibri"/>
                <w:lang w:val="hr-HR"/>
              </w:rPr>
              <w:t>60</w:t>
            </w:r>
          </w:p>
        </w:tc>
        <w:tc>
          <w:tcPr>
            <w:tcW w:w="108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4477CDB" w14:textId="77777777" w:rsidR="005005C3" w:rsidRPr="00DF4CE5" w:rsidRDefault="005005C3" w:rsidP="00C034A7">
            <w:pPr>
              <w:spacing w:after="0" w:line="240" w:lineRule="auto"/>
              <w:jc w:val="center"/>
              <w:rPr>
                <w:rFonts w:ascii="Cambria" w:eastAsia="Calibri" w:hAnsi="Cambria" w:cs="Calibri"/>
                <w:lang w:val="hr-HR"/>
              </w:rPr>
            </w:pPr>
            <w:r w:rsidRPr="00DF4CE5">
              <w:rPr>
                <w:rFonts w:ascii="Cambria" w:eastAsia="Calibri" w:hAnsi="Cambria" w:cs="Calibri"/>
                <w:lang w:val="hr-HR"/>
              </w:rPr>
              <w:t>2</w:t>
            </w:r>
          </w:p>
        </w:tc>
        <w:tc>
          <w:tcPr>
            <w:tcW w:w="141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58D95AE" w14:textId="70A34AEC" w:rsidR="005005C3" w:rsidRPr="00DF4CE5" w:rsidRDefault="005005C3" w:rsidP="00C034A7">
            <w:pPr>
              <w:spacing w:after="0" w:line="240" w:lineRule="auto"/>
              <w:jc w:val="center"/>
              <w:rPr>
                <w:rFonts w:ascii="Cambria" w:eastAsia="Calibri" w:hAnsi="Cambria" w:cs="Calibri"/>
                <w:lang w:val="hr-HR"/>
              </w:rPr>
            </w:pPr>
            <w:r w:rsidRPr="00DF4CE5">
              <w:rPr>
                <w:rFonts w:ascii="Cambria" w:eastAsia="Calibri" w:hAnsi="Cambria" w:cs="Calibri"/>
                <w:lang w:val="hr-HR"/>
              </w:rPr>
              <w:t>100%</w:t>
            </w:r>
          </w:p>
        </w:tc>
      </w:tr>
      <w:tr w:rsidR="005005C3" w:rsidRPr="00D0399C" w14:paraId="0958332A" w14:textId="77777777" w:rsidTr="00C034A7">
        <w:tc>
          <w:tcPr>
            <w:tcW w:w="280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DD00A8A" w14:textId="77777777" w:rsidR="005005C3" w:rsidRPr="00DF4CE5" w:rsidRDefault="005005C3" w:rsidP="005005C3">
            <w:pPr>
              <w:spacing w:after="0" w:line="240" w:lineRule="auto"/>
              <w:jc w:val="both"/>
              <w:rPr>
                <w:rFonts w:ascii="Cambria" w:eastAsia="Calibri" w:hAnsi="Cambria" w:cs="Calibri"/>
                <w:lang w:val="hr-HR"/>
              </w:rPr>
            </w:pPr>
            <w:r w:rsidRPr="00DF4CE5">
              <w:rPr>
                <w:rFonts w:ascii="Cambria" w:eastAsia="Calibri" w:hAnsi="Cambria" w:cs="Calibri"/>
                <w:lang w:val="hr-HR"/>
              </w:rPr>
              <w:t>Studentske obveze</w:t>
            </w:r>
          </w:p>
        </w:tc>
        <w:tc>
          <w:tcPr>
            <w:tcW w:w="721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19ABB60" w14:textId="3D7416C8" w:rsidR="005005C3" w:rsidRPr="00DF4CE5" w:rsidRDefault="005005C3" w:rsidP="005005C3">
            <w:pPr>
              <w:spacing w:after="0" w:line="240" w:lineRule="atLeast"/>
              <w:jc w:val="both"/>
              <w:rPr>
                <w:rFonts w:ascii="Cambria" w:eastAsia="Calibri" w:hAnsi="Cambria" w:cs="Calibri"/>
                <w:lang w:val="hr-HR"/>
              </w:rPr>
            </w:pPr>
            <w:r w:rsidRPr="00DF4CE5">
              <w:rPr>
                <w:rFonts w:ascii="Cambria" w:eastAsia="Calibri" w:hAnsi="Cambria" w:cs="Calibri"/>
                <w:lang w:val="hr-HR"/>
              </w:rPr>
              <w:t>Da položi kolegij, student/studentica mora:</w:t>
            </w:r>
          </w:p>
          <w:p w14:paraId="08133A8E" w14:textId="24D5CC32" w:rsidR="005005C3" w:rsidRPr="00DF4CE5" w:rsidRDefault="005005C3" w:rsidP="005005C3">
            <w:pPr>
              <w:spacing w:after="0" w:line="240" w:lineRule="atLeast"/>
              <w:jc w:val="both"/>
              <w:rPr>
                <w:rFonts w:ascii="Cambria" w:eastAsia="Calibri" w:hAnsi="Cambria" w:cs="Calibri"/>
                <w:lang w:val="hr-HR"/>
              </w:rPr>
            </w:pPr>
            <w:r w:rsidRPr="00DF4CE5">
              <w:rPr>
                <w:rFonts w:ascii="Cambria" w:eastAsia="Calibri" w:hAnsi="Cambria" w:cs="Calibri"/>
                <w:lang w:val="hr-HR"/>
              </w:rPr>
              <w:t xml:space="preserve">1. </w:t>
            </w:r>
            <w:r w:rsidR="00C034A7">
              <w:rPr>
                <w:rFonts w:ascii="Cambria" w:eastAsia="Calibri" w:hAnsi="Cambria" w:cs="Calibri"/>
                <w:lang w:val="hr-HR"/>
              </w:rPr>
              <w:t>p</w:t>
            </w:r>
            <w:r w:rsidRPr="00DF4CE5">
              <w:rPr>
                <w:rFonts w:ascii="Cambria" w:eastAsia="Calibri" w:hAnsi="Cambria" w:cs="Calibri"/>
                <w:lang w:val="hr-HR"/>
              </w:rPr>
              <w:t>ohađati više od 70% nastave</w:t>
            </w:r>
            <w:r w:rsidR="00C034A7">
              <w:rPr>
                <w:rFonts w:ascii="Cambria" w:eastAsia="Calibri" w:hAnsi="Cambria" w:cs="Calibri"/>
                <w:lang w:val="hr-HR"/>
              </w:rPr>
              <w:t xml:space="preserve"> (z</w:t>
            </w:r>
            <w:r w:rsidRPr="00DF4CE5">
              <w:rPr>
                <w:rFonts w:ascii="Cambria" w:eastAsia="Calibri" w:hAnsi="Cambria" w:cs="Calibri"/>
                <w:lang w:val="hr-HR"/>
              </w:rPr>
              <w:t>a svaki izostanak s nastave predavanja oduzima se jedan postotni bod, a za svaki izostanak s vježbi oduzima se 0,5% u segmentu pohađanje nastave</w:t>
            </w:r>
            <w:r w:rsidR="00C034A7">
              <w:rPr>
                <w:rFonts w:ascii="Cambria" w:eastAsia="Calibri" w:hAnsi="Cambria" w:cs="Calibri"/>
                <w:lang w:val="hr-HR"/>
              </w:rPr>
              <w:t>; u</w:t>
            </w:r>
            <w:r w:rsidRPr="00DF4CE5">
              <w:rPr>
                <w:rFonts w:ascii="Cambria" w:eastAsia="Calibri" w:hAnsi="Cambria" w:cs="Calibri"/>
                <w:lang w:val="hr-HR"/>
              </w:rPr>
              <w:t>koliko student/studentica izostane između 30% i 50% nastave, dodijelit će mu/joj se dodatni zadaci. U slučaju da student/studentica izostane s više od 50% nastave, uskratit će mu/joj se pravo na potpis, izlazak na ispit i upis ECTS bodova</w:t>
            </w:r>
            <w:r w:rsidR="00C034A7">
              <w:rPr>
                <w:rFonts w:ascii="Cambria" w:eastAsia="Calibri" w:hAnsi="Cambria" w:cs="Calibri"/>
                <w:lang w:val="hr-HR"/>
              </w:rPr>
              <w:t>)</w:t>
            </w:r>
          </w:p>
          <w:p w14:paraId="64BA038B" w14:textId="533ACC47" w:rsidR="005005C3" w:rsidRPr="00DF4CE5" w:rsidRDefault="005005C3" w:rsidP="005005C3">
            <w:pPr>
              <w:spacing w:after="0" w:line="240" w:lineRule="atLeast"/>
              <w:jc w:val="both"/>
              <w:rPr>
                <w:rFonts w:ascii="Cambria" w:eastAsia="Calibri" w:hAnsi="Cambria" w:cs="Calibri"/>
                <w:lang w:val="hr-HR"/>
              </w:rPr>
            </w:pPr>
            <w:r w:rsidRPr="00DF4CE5">
              <w:rPr>
                <w:rFonts w:ascii="Cambria" w:eastAsia="Calibri" w:hAnsi="Cambria" w:cs="Calibri"/>
                <w:lang w:val="hr-HR"/>
              </w:rPr>
              <w:t xml:space="preserve">2. </w:t>
            </w:r>
            <w:r w:rsidR="00C034A7">
              <w:rPr>
                <w:rFonts w:ascii="Cambria" w:eastAsia="Calibri" w:hAnsi="Cambria" w:cs="Calibri"/>
                <w:lang w:val="hr-HR"/>
              </w:rPr>
              <w:t>n</w:t>
            </w:r>
            <w:r w:rsidRPr="00DF4CE5">
              <w:rPr>
                <w:rFonts w:ascii="Cambria" w:eastAsia="Calibri" w:hAnsi="Cambria" w:cs="Calibri"/>
                <w:lang w:val="hr-HR"/>
              </w:rPr>
              <w:t>apisati i prezentirati referat na zadanu temu i osmisliti zadatke za provjeru znanja</w:t>
            </w:r>
            <w:r w:rsidR="00C034A7">
              <w:rPr>
                <w:rFonts w:ascii="Cambria" w:eastAsia="Calibri" w:hAnsi="Cambria" w:cs="Calibri"/>
                <w:lang w:val="hr-HR"/>
              </w:rPr>
              <w:t xml:space="preserve"> (u</w:t>
            </w:r>
            <w:r w:rsidRPr="00DF4CE5">
              <w:rPr>
                <w:rFonts w:ascii="Cambria" w:eastAsia="Calibri" w:hAnsi="Cambria" w:cs="Calibri"/>
                <w:lang w:val="hr-HR"/>
              </w:rPr>
              <w:t>koliko je student/studentica neuspješan/neuspješna pri izvršavanju ove obveze, pristupa usmenom ispitu</w:t>
            </w:r>
            <w:r w:rsidR="00C034A7">
              <w:rPr>
                <w:rFonts w:ascii="Cambria" w:eastAsia="Calibri" w:hAnsi="Cambria" w:cs="Calibri"/>
                <w:lang w:val="hr-HR"/>
              </w:rPr>
              <w:t>)</w:t>
            </w:r>
          </w:p>
          <w:p w14:paraId="4F26E0E8" w14:textId="3D8D39F2" w:rsidR="005005C3" w:rsidRPr="00DF4CE5" w:rsidRDefault="005005C3" w:rsidP="005005C3">
            <w:pPr>
              <w:spacing w:after="0" w:line="240" w:lineRule="atLeast"/>
              <w:jc w:val="both"/>
              <w:rPr>
                <w:rFonts w:ascii="Cambria" w:eastAsia="Calibri" w:hAnsi="Cambria" w:cs="Calibri"/>
                <w:lang w:val="hr-HR"/>
              </w:rPr>
            </w:pPr>
            <w:r w:rsidRPr="00DF4CE5">
              <w:rPr>
                <w:rFonts w:ascii="Cambria" w:eastAsia="Calibri" w:hAnsi="Cambria" w:cs="Calibri"/>
                <w:lang w:val="hr-HR"/>
              </w:rPr>
              <w:t xml:space="preserve">3. </w:t>
            </w:r>
            <w:r w:rsidR="00C034A7">
              <w:rPr>
                <w:rFonts w:ascii="Cambria" w:eastAsia="Calibri" w:hAnsi="Cambria" w:cs="Calibri"/>
                <w:lang w:val="hr-HR"/>
              </w:rPr>
              <w:t>p</w:t>
            </w:r>
            <w:r w:rsidRPr="00DF4CE5">
              <w:rPr>
                <w:rFonts w:ascii="Cambria" w:eastAsia="Calibri" w:hAnsi="Cambria" w:cs="Calibri"/>
                <w:lang w:val="hr-HR"/>
              </w:rPr>
              <w:t>oložiti dva pisana kolokvija</w:t>
            </w:r>
            <w:r w:rsidR="00C034A7">
              <w:rPr>
                <w:rFonts w:ascii="Cambria" w:eastAsia="Calibri" w:hAnsi="Cambria" w:cs="Calibri"/>
                <w:lang w:val="hr-HR"/>
              </w:rPr>
              <w:t xml:space="preserve"> (u</w:t>
            </w:r>
            <w:r w:rsidRPr="00DF4CE5">
              <w:rPr>
                <w:rFonts w:ascii="Cambria" w:eastAsia="Calibri" w:hAnsi="Cambria" w:cs="Calibri"/>
                <w:lang w:val="hr-HR"/>
              </w:rPr>
              <w:t>koliko je student/studentica neuspješan/neuspješna u provođenje ove obveze, mora položiti završni pisani i usmeni ispit, koji u tom slučaju nose 50% ocjene svaki</w:t>
            </w:r>
            <w:r w:rsidR="00C034A7">
              <w:rPr>
                <w:rFonts w:ascii="Cambria" w:eastAsia="Calibri" w:hAnsi="Cambria" w:cs="Calibri"/>
                <w:lang w:val="hr-HR"/>
              </w:rPr>
              <w:t xml:space="preserve">). </w:t>
            </w:r>
            <w:r w:rsidRPr="00DF4CE5">
              <w:rPr>
                <w:rFonts w:ascii="Cambria" w:eastAsia="Calibri" w:hAnsi="Cambria" w:cs="Calibri"/>
                <w:lang w:val="hr-HR"/>
              </w:rPr>
              <w:t xml:space="preserve"> </w:t>
            </w:r>
          </w:p>
          <w:p w14:paraId="218F1653" w14:textId="77777777" w:rsidR="005005C3" w:rsidRPr="00DF4CE5" w:rsidRDefault="005005C3" w:rsidP="005005C3">
            <w:pPr>
              <w:spacing w:after="0" w:line="240" w:lineRule="auto"/>
              <w:jc w:val="both"/>
              <w:rPr>
                <w:rFonts w:ascii="Cambria" w:eastAsia="Calibri" w:hAnsi="Cambria" w:cs="Calibri"/>
                <w:lang w:val="hr-HR"/>
              </w:rPr>
            </w:pPr>
          </w:p>
        </w:tc>
      </w:tr>
      <w:tr w:rsidR="005005C3" w:rsidRPr="00D0399C" w14:paraId="269FFB32" w14:textId="77777777" w:rsidTr="00C034A7">
        <w:tc>
          <w:tcPr>
            <w:tcW w:w="280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7AF90E7" w14:textId="77777777" w:rsidR="005005C3" w:rsidRPr="00DF4CE5" w:rsidRDefault="005005C3" w:rsidP="005005C3">
            <w:pPr>
              <w:spacing w:after="0" w:line="240" w:lineRule="auto"/>
              <w:jc w:val="both"/>
              <w:rPr>
                <w:rFonts w:ascii="Cambria" w:eastAsia="Calibri" w:hAnsi="Cambria" w:cs="Calibri"/>
                <w:lang w:val="hr-HR"/>
              </w:rPr>
            </w:pPr>
            <w:proofErr w:type="spellStart"/>
            <w:r w:rsidRPr="00DF4CE5">
              <w:rPr>
                <w:rFonts w:ascii="Cambria" w:eastAsia="Calibri" w:hAnsi="Cambria" w:cs="Calibri"/>
              </w:rPr>
              <w:t>Rokovi</w:t>
            </w:r>
            <w:proofErr w:type="spellEnd"/>
            <w:r w:rsidRPr="00DF4CE5">
              <w:rPr>
                <w:rFonts w:ascii="Cambria" w:eastAsia="Calibri" w:hAnsi="Cambria" w:cs="Calibri"/>
              </w:rPr>
              <w:t xml:space="preserve"> </w:t>
            </w:r>
            <w:proofErr w:type="spellStart"/>
            <w:r w:rsidRPr="00DF4CE5">
              <w:rPr>
                <w:rFonts w:ascii="Cambria" w:eastAsia="Calibri" w:hAnsi="Cambria" w:cs="Calibri"/>
              </w:rPr>
              <w:t>ispita</w:t>
            </w:r>
            <w:proofErr w:type="spellEnd"/>
            <w:r w:rsidRPr="00DF4CE5">
              <w:rPr>
                <w:rFonts w:ascii="Cambria" w:eastAsia="Calibri" w:hAnsi="Cambria" w:cs="Calibri"/>
              </w:rPr>
              <w:t xml:space="preserve"> </w:t>
            </w:r>
            <w:proofErr w:type="spellStart"/>
            <w:r w:rsidRPr="00DF4CE5">
              <w:rPr>
                <w:rFonts w:ascii="Cambria" w:eastAsia="Calibri" w:hAnsi="Cambria" w:cs="Calibri"/>
              </w:rPr>
              <w:t>i</w:t>
            </w:r>
            <w:proofErr w:type="spellEnd"/>
            <w:r w:rsidRPr="00DF4CE5">
              <w:rPr>
                <w:rFonts w:ascii="Cambria" w:eastAsia="Calibri" w:hAnsi="Cambria" w:cs="Calibri"/>
              </w:rPr>
              <w:t xml:space="preserve"> </w:t>
            </w:r>
            <w:proofErr w:type="spellStart"/>
            <w:r w:rsidRPr="00DF4CE5">
              <w:rPr>
                <w:rFonts w:ascii="Cambria" w:eastAsia="Calibri" w:hAnsi="Cambria" w:cs="Calibri"/>
              </w:rPr>
              <w:t>kolokvija</w:t>
            </w:r>
            <w:proofErr w:type="spellEnd"/>
          </w:p>
        </w:tc>
        <w:tc>
          <w:tcPr>
            <w:tcW w:w="721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5569BB3" w14:textId="77777777" w:rsidR="005005C3" w:rsidRPr="00DF4CE5" w:rsidRDefault="005005C3" w:rsidP="005005C3">
            <w:pPr>
              <w:spacing w:after="0" w:line="240" w:lineRule="auto"/>
              <w:jc w:val="both"/>
              <w:rPr>
                <w:rFonts w:ascii="Cambria" w:eastAsia="Calibri" w:hAnsi="Cambria" w:cs="Calibri"/>
                <w:lang w:val="hr-HR"/>
              </w:rPr>
            </w:pPr>
            <w:r w:rsidRPr="00DF4CE5">
              <w:rPr>
                <w:rFonts w:ascii="Cambria" w:eastAsia="Calibri" w:hAnsi="Cambria" w:cs="Calibri"/>
                <w:lang w:val="hr-HR"/>
              </w:rPr>
              <w:t>Objavljuju se početkom akademske godine na mrežnim stranicama Sveučilišta i u ISVU sustavu.</w:t>
            </w:r>
          </w:p>
        </w:tc>
      </w:tr>
      <w:tr w:rsidR="005005C3" w:rsidRPr="00C034A7" w14:paraId="065FAE9F" w14:textId="77777777" w:rsidTr="00C034A7">
        <w:tc>
          <w:tcPr>
            <w:tcW w:w="280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274667C" w14:textId="77777777" w:rsidR="005005C3" w:rsidRPr="00DF4CE5" w:rsidRDefault="005005C3" w:rsidP="005005C3">
            <w:pPr>
              <w:spacing w:after="0" w:line="240" w:lineRule="auto"/>
              <w:jc w:val="both"/>
              <w:rPr>
                <w:rFonts w:ascii="Cambria" w:eastAsia="Calibri" w:hAnsi="Cambria" w:cs="Calibri"/>
                <w:lang w:val="hr-HR"/>
              </w:rPr>
            </w:pPr>
            <w:r w:rsidRPr="00DF4CE5">
              <w:rPr>
                <w:rFonts w:ascii="Cambria" w:eastAsia="Calibri" w:hAnsi="Cambria" w:cs="Calibri"/>
                <w:lang w:val="hr-HR"/>
              </w:rPr>
              <w:t xml:space="preserve">Ostale važne činjenice </w:t>
            </w:r>
            <w:proofErr w:type="spellStart"/>
            <w:r w:rsidRPr="00DF4CE5">
              <w:rPr>
                <w:rFonts w:ascii="Cambria" w:eastAsia="Calibri" w:hAnsi="Cambria" w:cs="Calibri"/>
                <w:lang w:val="it-IT"/>
              </w:rPr>
              <w:t>vezane</w:t>
            </w:r>
            <w:proofErr w:type="spellEnd"/>
            <w:r w:rsidRPr="00DF4CE5">
              <w:rPr>
                <w:rFonts w:ascii="Cambria" w:eastAsia="Calibri" w:hAnsi="Cambria" w:cs="Calibri"/>
                <w:lang w:val="it-IT"/>
              </w:rPr>
              <w:t xml:space="preserve"> </w:t>
            </w:r>
            <w:proofErr w:type="spellStart"/>
            <w:r w:rsidRPr="00DF4CE5">
              <w:rPr>
                <w:rFonts w:ascii="Cambria" w:eastAsia="Calibri" w:hAnsi="Cambria" w:cs="Calibri"/>
                <w:lang w:val="it-IT"/>
              </w:rPr>
              <w:t>uz</w:t>
            </w:r>
            <w:proofErr w:type="spellEnd"/>
            <w:r w:rsidRPr="00DF4CE5">
              <w:rPr>
                <w:rFonts w:ascii="Cambria" w:eastAsia="Calibri" w:hAnsi="Cambria" w:cs="Calibri"/>
                <w:lang w:val="it-IT"/>
              </w:rPr>
              <w:t xml:space="preserve"> </w:t>
            </w:r>
            <w:proofErr w:type="spellStart"/>
            <w:r w:rsidRPr="00DF4CE5">
              <w:rPr>
                <w:rFonts w:ascii="Cambria" w:eastAsia="Calibri" w:hAnsi="Cambria" w:cs="Calibri"/>
                <w:lang w:val="it-IT"/>
              </w:rPr>
              <w:t>kolegij</w:t>
            </w:r>
            <w:proofErr w:type="spellEnd"/>
          </w:p>
        </w:tc>
        <w:tc>
          <w:tcPr>
            <w:tcW w:w="721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68C7B2A" w14:textId="77777777" w:rsidR="005005C3" w:rsidRPr="00DF4CE5" w:rsidRDefault="005005C3" w:rsidP="005005C3">
            <w:pPr>
              <w:spacing w:after="0" w:line="240" w:lineRule="auto"/>
              <w:jc w:val="both"/>
              <w:rPr>
                <w:rFonts w:ascii="Cambria" w:eastAsia="Calibri" w:hAnsi="Cambria" w:cs="Calibri"/>
                <w:lang w:val="hr-HR"/>
              </w:rPr>
            </w:pPr>
            <w:r w:rsidRPr="00DF4CE5">
              <w:rPr>
                <w:rFonts w:ascii="Cambria" w:eastAsia="Calibri" w:hAnsi="Cambria" w:cs="Calibri"/>
                <w:lang w:val="hr-HR"/>
              </w:rPr>
              <w:t xml:space="preserve">Materijali za predavanja i seminare objavljuju se na e-učenju. </w:t>
            </w:r>
          </w:p>
          <w:p w14:paraId="765DC51C" w14:textId="5BD59AED" w:rsidR="005005C3" w:rsidRPr="00DF4CE5" w:rsidRDefault="005005C3" w:rsidP="005005C3">
            <w:pPr>
              <w:spacing w:after="0" w:line="240" w:lineRule="auto"/>
              <w:jc w:val="both"/>
              <w:rPr>
                <w:rFonts w:ascii="Cambria" w:eastAsia="Calibri" w:hAnsi="Cambria" w:cs="Calibri"/>
                <w:lang w:val="hr-HR"/>
              </w:rPr>
            </w:pPr>
            <w:r w:rsidRPr="00DF4CE5">
              <w:rPr>
                <w:rFonts w:ascii="Cambria" w:eastAsia="Times New Roman" w:hAnsi="Cambria" w:cs="Calibri"/>
                <w:lang w:val="hr-HR"/>
              </w:rPr>
              <w:t xml:space="preserve">U slučaju održavanja nastave na daljinu, moguće je odstupanje u: mjestu izvođenja kolegija, provedbi aktivnosti, metoda tumačenja i poučavanja i načinima vrednovanja, studentskim obvezama i dostupnoj literaturi. O tome će nositeljica kolegija i </w:t>
            </w:r>
            <w:r w:rsidR="00C034A7">
              <w:rPr>
                <w:rFonts w:ascii="Cambria" w:eastAsia="Times New Roman" w:hAnsi="Cambria" w:cs="Calibri"/>
                <w:lang w:val="hr-HR"/>
              </w:rPr>
              <w:t>suradnica</w:t>
            </w:r>
            <w:r w:rsidRPr="00DF4CE5">
              <w:rPr>
                <w:rFonts w:ascii="Cambria" w:eastAsia="Times New Roman" w:hAnsi="Cambria" w:cs="Calibri"/>
                <w:lang w:val="hr-HR"/>
              </w:rPr>
              <w:t xml:space="preserve"> obavijestiti studente i studentice kad se nastava na daljinu počne održavati. Ishodi učenja ostaju nepromijenjeni.</w:t>
            </w:r>
          </w:p>
        </w:tc>
      </w:tr>
      <w:tr w:rsidR="005005C3" w:rsidRPr="00DF4CE5" w14:paraId="3D245471" w14:textId="77777777" w:rsidTr="00C034A7">
        <w:trPr>
          <w:trHeight w:val="770"/>
        </w:trPr>
        <w:tc>
          <w:tcPr>
            <w:tcW w:w="280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FBACF86" w14:textId="77777777" w:rsidR="005005C3" w:rsidRPr="00DF4CE5" w:rsidRDefault="005005C3" w:rsidP="005005C3">
            <w:pPr>
              <w:spacing w:after="0" w:line="240" w:lineRule="auto"/>
              <w:jc w:val="both"/>
              <w:rPr>
                <w:rFonts w:ascii="Cambria" w:eastAsia="Calibri" w:hAnsi="Cambria" w:cs="Calibri"/>
                <w:lang w:val="hr-HR"/>
              </w:rPr>
            </w:pPr>
            <w:r w:rsidRPr="00DF4CE5">
              <w:rPr>
                <w:rFonts w:ascii="Cambria" w:eastAsia="Calibri" w:hAnsi="Cambria" w:cs="Calibri"/>
                <w:lang w:val="hr-HR"/>
              </w:rPr>
              <w:t>Literatura</w:t>
            </w:r>
          </w:p>
        </w:tc>
        <w:tc>
          <w:tcPr>
            <w:tcW w:w="7214"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5CB7FF46" w14:textId="77777777" w:rsidR="005005C3" w:rsidRPr="00DF4CE5" w:rsidRDefault="005005C3" w:rsidP="005005C3">
            <w:pPr>
              <w:spacing w:after="0" w:line="240" w:lineRule="atLeast"/>
              <w:jc w:val="both"/>
              <w:rPr>
                <w:rFonts w:ascii="Cambria" w:eastAsia="Calibri" w:hAnsi="Cambria" w:cs="Calibri"/>
                <w:lang w:val="hr-HR"/>
              </w:rPr>
            </w:pPr>
            <w:r w:rsidRPr="00DF4CE5">
              <w:rPr>
                <w:rFonts w:ascii="Cambria" w:eastAsia="Calibri" w:hAnsi="Cambria" w:cs="Calibri"/>
                <w:lang w:val="hr-HR"/>
              </w:rPr>
              <w:t xml:space="preserve">Obvezna: </w:t>
            </w:r>
          </w:p>
          <w:p w14:paraId="19C91818" w14:textId="5CCA7DED" w:rsidR="005005C3" w:rsidRPr="00DF4CE5" w:rsidRDefault="005005C3" w:rsidP="005005C3">
            <w:pPr>
              <w:spacing w:after="0" w:line="240" w:lineRule="atLeast"/>
              <w:jc w:val="both"/>
              <w:rPr>
                <w:rFonts w:ascii="Cambria" w:eastAsia="Calibri" w:hAnsi="Cambria" w:cs="Calibri"/>
                <w:lang w:val="hr-HR"/>
              </w:rPr>
            </w:pPr>
            <w:r w:rsidRPr="00DF4CE5">
              <w:rPr>
                <w:rFonts w:ascii="Cambria" w:eastAsia="Calibri" w:hAnsi="Cambria" w:cs="Calibri"/>
                <w:lang w:val="hr-HR"/>
              </w:rPr>
              <w:t>1. Anderson, N.</w:t>
            </w:r>
            <w:r w:rsidR="00C034A7">
              <w:rPr>
                <w:rFonts w:ascii="Cambria" w:eastAsia="Calibri" w:hAnsi="Cambria" w:cs="Calibri"/>
                <w:lang w:val="hr-HR"/>
              </w:rPr>
              <w:t xml:space="preserve"> </w:t>
            </w:r>
            <w:r w:rsidRPr="00DF4CE5">
              <w:rPr>
                <w:rFonts w:ascii="Cambria" w:eastAsia="Calibri" w:hAnsi="Cambria" w:cs="Calibri"/>
                <w:lang w:val="hr-HR"/>
              </w:rPr>
              <w:t xml:space="preserve">A. (2006). </w:t>
            </w:r>
            <w:proofErr w:type="spellStart"/>
            <w:r w:rsidRPr="00DF4CE5">
              <w:rPr>
                <w:rFonts w:ascii="Cambria" w:eastAsia="Calibri" w:hAnsi="Cambria" w:cs="Calibri"/>
                <w:lang w:val="hr-HR"/>
              </w:rPr>
              <w:t>Elementary</w:t>
            </w:r>
            <w:proofErr w:type="spellEnd"/>
            <w:r w:rsidRPr="00DF4CE5">
              <w:rPr>
                <w:rFonts w:ascii="Cambria" w:eastAsia="Calibri" w:hAnsi="Cambria" w:cs="Calibri"/>
                <w:lang w:val="hr-HR"/>
              </w:rPr>
              <w:t xml:space="preserve"> </w:t>
            </w:r>
            <w:proofErr w:type="spellStart"/>
            <w:r w:rsidRPr="00DF4CE5">
              <w:rPr>
                <w:rFonts w:ascii="Cambria" w:eastAsia="Calibri" w:hAnsi="Cambria" w:cs="Calibri"/>
                <w:lang w:val="hr-HR"/>
              </w:rPr>
              <w:t>children's</w:t>
            </w:r>
            <w:proofErr w:type="spellEnd"/>
            <w:r w:rsidRPr="00DF4CE5">
              <w:rPr>
                <w:rFonts w:ascii="Cambria" w:eastAsia="Calibri" w:hAnsi="Cambria" w:cs="Calibri"/>
                <w:lang w:val="hr-HR"/>
              </w:rPr>
              <w:t xml:space="preserve"> literature – </w:t>
            </w:r>
            <w:proofErr w:type="spellStart"/>
            <w:r w:rsidRPr="00DF4CE5">
              <w:rPr>
                <w:rFonts w:ascii="Cambria" w:eastAsia="Calibri" w:hAnsi="Cambria" w:cs="Calibri"/>
                <w:lang w:val="hr-HR"/>
              </w:rPr>
              <w:t>the</w:t>
            </w:r>
            <w:proofErr w:type="spellEnd"/>
            <w:r w:rsidRPr="00DF4CE5">
              <w:rPr>
                <w:rFonts w:ascii="Cambria" w:eastAsia="Calibri" w:hAnsi="Cambria" w:cs="Calibri"/>
                <w:lang w:val="hr-HR"/>
              </w:rPr>
              <w:t xml:space="preserve"> </w:t>
            </w:r>
            <w:proofErr w:type="spellStart"/>
            <w:r w:rsidRPr="00DF4CE5">
              <w:rPr>
                <w:rFonts w:ascii="Cambria" w:eastAsia="Calibri" w:hAnsi="Cambria" w:cs="Calibri"/>
                <w:lang w:val="hr-HR"/>
              </w:rPr>
              <w:t>basics</w:t>
            </w:r>
            <w:proofErr w:type="spellEnd"/>
            <w:r w:rsidRPr="00DF4CE5">
              <w:rPr>
                <w:rFonts w:ascii="Cambria" w:eastAsia="Calibri" w:hAnsi="Cambria" w:cs="Calibri"/>
                <w:lang w:val="hr-HR"/>
              </w:rPr>
              <w:t xml:space="preserve"> for </w:t>
            </w:r>
            <w:proofErr w:type="spellStart"/>
            <w:r w:rsidRPr="00DF4CE5">
              <w:rPr>
                <w:rFonts w:ascii="Cambria" w:eastAsia="Calibri" w:hAnsi="Cambria" w:cs="Calibri"/>
                <w:lang w:val="hr-HR"/>
              </w:rPr>
              <w:t>teachers</w:t>
            </w:r>
            <w:proofErr w:type="spellEnd"/>
            <w:r w:rsidRPr="00DF4CE5">
              <w:rPr>
                <w:rFonts w:ascii="Cambria" w:eastAsia="Calibri" w:hAnsi="Cambria" w:cs="Calibri"/>
                <w:lang w:val="hr-HR"/>
              </w:rPr>
              <w:t xml:space="preserve"> </w:t>
            </w:r>
            <w:proofErr w:type="spellStart"/>
            <w:r w:rsidRPr="00DF4CE5">
              <w:rPr>
                <w:rFonts w:ascii="Cambria" w:eastAsia="Calibri" w:hAnsi="Cambria" w:cs="Calibri"/>
                <w:lang w:val="hr-HR"/>
              </w:rPr>
              <w:t>and</w:t>
            </w:r>
            <w:proofErr w:type="spellEnd"/>
            <w:r w:rsidRPr="00DF4CE5">
              <w:rPr>
                <w:rFonts w:ascii="Cambria" w:eastAsia="Calibri" w:hAnsi="Cambria" w:cs="Calibri"/>
                <w:lang w:val="hr-HR"/>
              </w:rPr>
              <w:t xml:space="preserve"> </w:t>
            </w:r>
            <w:proofErr w:type="spellStart"/>
            <w:r w:rsidRPr="00DF4CE5">
              <w:rPr>
                <w:rFonts w:ascii="Cambria" w:eastAsia="Calibri" w:hAnsi="Cambria" w:cs="Calibri"/>
                <w:lang w:val="hr-HR"/>
              </w:rPr>
              <w:t>parents</w:t>
            </w:r>
            <w:proofErr w:type="spellEnd"/>
            <w:r w:rsidRPr="00DF4CE5">
              <w:rPr>
                <w:rFonts w:ascii="Cambria" w:eastAsia="Calibri" w:hAnsi="Cambria" w:cs="Calibri"/>
                <w:lang w:val="hr-HR"/>
              </w:rPr>
              <w:t xml:space="preserve">. Boston: Pearson </w:t>
            </w:r>
            <w:proofErr w:type="spellStart"/>
            <w:r w:rsidRPr="00DF4CE5">
              <w:rPr>
                <w:rFonts w:ascii="Cambria" w:eastAsia="Calibri" w:hAnsi="Cambria" w:cs="Calibri"/>
                <w:lang w:val="hr-HR"/>
              </w:rPr>
              <w:t>Education</w:t>
            </w:r>
            <w:proofErr w:type="spellEnd"/>
            <w:r w:rsidRPr="00DF4CE5">
              <w:rPr>
                <w:rFonts w:ascii="Cambria" w:eastAsia="Calibri" w:hAnsi="Cambria" w:cs="Calibri"/>
                <w:lang w:val="hr-HR"/>
              </w:rPr>
              <w:t>, 170-201, 205-207. (33 str.)</w:t>
            </w:r>
          </w:p>
          <w:p w14:paraId="52AE0744" w14:textId="77777777" w:rsidR="005005C3" w:rsidRPr="00DF4CE5" w:rsidRDefault="005005C3" w:rsidP="005005C3">
            <w:pPr>
              <w:spacing w:after="0" w:line="240" w:lineRule="atLeast"/>
              <w:jc w:val="both"/>
              <w:rPr>
                <w:rFonts w:ascii="Cambria" w:eastAsia="Calibri" w:hAnsi="Cambria" w:cs="Calibri"/>
                <w:lang w:val="hr-HR"/>
              </w:rPr>
            </w:pPr>
            <w:r w:rsidRPr="00DF4CE5">
              <w:rPr>
                <w:rFonts w:ascii="Cambria" w:eastAsia="Calibri" w:hAnsi="Cambria" w:cs="Calibri"/>
                <w:lang w:val="hr-HR"/>
              </w:rPr>
              <w:t xml:space="preserve">2. Dujmović, M., </w:t>
            </w:r>
            <w:proofErr w:type="spellStart"/>
            <w:r w:rsidRPr="00DF4CE5">
              <w:rPr>
                <w:rFonts w:ascii="Cambria" w:eastAsia="Calibri" w:hAnsi="Cambria" w:cs="Calibri"/>
                <w:lang w:val="hr-HR"/>
              </w:rPr>
              <w:t>Bančić</w:t>
            </w:r>
            <w:proofErr w:type="spellEnd"/>
            <w:r w:rsidRPr="00DF4CE5">
              <w:rPr>
                <w:rFonts w:ascii="Cambria" w:eastAsia="Calibri" w:hAnsi="Cambria" w:cs="Calibri"/>
                <w:lang w:val="hr-HR"/>
              </w:rPr>
              <w:t xml:space="preserve">, I. (2014). A </w:t>
            </w:r>
            <w:proofErr w:type="spellStart"/>
            <w:r w:rsidRPr="00DF4CE5">
              <w:rPr>
                <w:rFonts w:ascii="Cambria" w:eastAsia="Calibri" w:hAnsi="Cambria" w:cs="Calibri"/>
                <w:lang w:val="hr-HR"/>
              </w:rPr>
              <w:t>handbook</w:t>
            </w:r>
            <w:proofErr w:type="spellEnd"/>
            <w:r w:rsidRPr="00DF4CE5">
              <w:rPr>
                <w:rFonts w:ascii="Cambria" w:eastAsia="Calibri" w:hAnsi="Cambria" w:cs="Calibri"/>
                <w:lang w:val="hr-HR"/>
              </w:rPr>
              <w:t xml:space="preserve"> </w:t>
            </w:r>
            <w:proofErr w:type="spellStart"/>
            <w:r w:rsidRPr="00DF4CE5">
              <w:rPr>
                <w:rFonts w:ascii="Cambria" w:eastAsia="Calibri" w:hAnsi="Cambria" w:cs="Calibri"/>
                <w:lang w:val="hr-HR"/>
              </w:rPr>
              <w:t>in</w:t>
            </w:r>
            <w:proofErr w:type="spellEnd"/>
            <w:r w:rsidRPr="00DF4CE5">
              <w:rPr>
                <w:rFonts w:ascii="Cambria" w:eastAsia="Calibri" w:hAnsi="Cambria" w:cs="Calibri"/>
                <w:lang w:val="hr-HR"/>
              </w:rPr>
              <w:t xml:space="preserve"> </w:t>
            </w:r>
            <w:proofErr w:type="spellStart"/>
            <w:r w:rsidRPr="00DF4CE5">
              <w:rPr>
                <w:rFonts w:ascii="Cambria" w:eastAsia="Calibri" w:hAnsi="Cambria" w:cs="Calibri"/>
                <w:lang w:val="hr-HR"/>
              </w:rPr>
              <w:t>children's</w:t>
            </w:r>
            <w:proofErr w:type="spellEnd"/>
            <w:r w:rsidRPr="00DF4CE5">
              <w:rPr>
                <w:rFonts w:ascii="Cambria" w:eastAsia="Calibri" w:hAnsi="Cambria" w:cs="Calibri"/>
                <w:lang w:val="hr-HR"/>
              </w:rPr>
              <w:t xml:space="preserve"> literature. Pula: Sveučilište Jurja Dobrile u Puli, 2014. 11-15, 39-44, 15-25, 31- 33, 45-63, 63-77, 79-90, 91-94, 99-105. (55 str.)</w:t>
            </w:r>
          </w:p>
          <w:p w14:paraId="7E23B7A5" w14:textId="2CA54EBD" w:rsidR="005005C3" w:rsidRPr="00DF4CE5" w:rsidRDefault="005005C3" w:rsidP="005005C3">
            <w:pPr>
              <w:spacing w:after="0" w:line="240" w:lineRule="atLeast"/>
              <w:jc w:val="both"/>
              <w:rPr>
                <w:rFonts w:ascii="Cambria" w:eastAsia="Calibri" w:hAnsi="Cambria" w:cs="Calibri"/>
                <w:lang w:val="hr-HR"/>
              </w:rPr>
            </w:pPr>
            <w:r w:rsidRPr="00DF4CE5">
              <w:rPr>
                <w:rFonts w:ascii="Cambria" w:eastAsia="Calibri" w:hAnsi="Cambria" w:cs="Calibri"/>
                <w:lang w:val="hr-HR"/>
              </w:rPr>
              <w:t xml:space="preserve">3. Russell, D.L (2005). Literature for </w:t>
            </w:r>
            <w:proofErr w:type="spellStart"/>
            <w:r w:rsidRPr="00DF4CE5">
              <w:rPr>
                <w:rFonts w:ascii="Cambria" w:eastAsia="Calibri" w:hAnsi="Cambria" w:cs="Calibri"/>
                <w:lang w:val="hr-HR"/>
              </w:rPr>
              <w:t>children</w:t>
            </w:r>
            <w:proofErr w:type="spellEnd"/>
            <w:r w:rsidRPr="00DF4CE5">
              <w:rPr>
                <w:rFonts w:ascii="Cambria" w:eastAsia="Calibri" w:hAnsi="Cambria" w:cs="Calibri"/>
                <w:lang w:val="hr-HR"/>
              </w:rPr>
              <w:t xml:space="preserve"> – a short </w:t>
            </w:r>
            <w:proofErr w:type="spellStart"/>
            <w:r w:rsidRPr="00DF4CE5">
              <w:rPr>
                <w:rFonts w:ascii="Cambria" w:eastAsia="Calibri" w:hAnsi="Cambria" w:cs="Calibri"/>
                <w:lang w:val="hr-HR"/>
              </w:rPr>
              <w:t>introduction</w:t>
            </w:r>
            <w:proofErr w:type="spellEnd"/>
            <w:r w:rsidRPr="00DF4CE5">
              <w:rPr>
                <w:rFonts w:ascii="Cambria" w:eastAsia="Calibri" w:hAnsi="Cambria" w:cs="Calibri"/>
                <w:lang w:val="hr-HR"/>
              </w:rPr>
              <w:t xml:space="preserve">. Boston: Pearson </w:t>
            </w:r>
            <w:proofErr w:type="spellStart"/>
            <w:r w:rsidRPr="00DF4CE5">
              <w:rPr>
                <w:rFonts w:ascii="Cambria" w:eastAsia="Calibri" w:hAnsi="Cambria" w:cs="Calibri"/>
                <w:lang w:val="hr-HR"/>
              </w:rPr>
              <w:t>Education</w:t>
            </w:r>
            <w:proofErr w:type="spellEnd"/>
            <w:r w:rsidRPr="00DF4CE5">
              <w:rPr>
                <w:rFonts w:ascii="Cambria" w:eastAsia="Calibri" w:hAnsi="Cambria" w:cs="Calibri"/>
                <w:lang w:val="hr-HR"/>
              </w:rPr>
              <w:t xml:space="preserve">, 70-73, 75-88. (16 str.) </w:t>
            </w:r>
          </w:p>
          <w:p w14:paraId="3B49390A" w14:textId="77777777" w:rsidR="005005C3" w:rsidRPr="00DF4CE5" w:rsidRDefault="005005C3" w:rsidP="005005C3">
            <w:pPr>
              <w:spacing w:after="0" w:line="240" w:lineRule="atLeast"/>
              <w:jc w:val="both"/>
              <w:rPr>
                <w:rFonts w:ascii="Cambria" w:eastAsia="Calibri" w:hAnsi="Cambria" w:cs="Calibri"/>
                <w:lang w:val="hr-HR"/>
              </w:rPr>
            </w:pPr>
            <w:r w:rsidRPr="00DF4CE5">
              <w:rPr>
                <w:rFonts w:ascii="Cambria" w:eastAsia="Calibri" w:hAnsi="Cambria" w:cs="Calibri"/>
                <w:lang w:val="hr-HR"/>
              </w:rPr>
              <w:t>Izborna:</w:t>
            </w:r>
          </w:p>
          <w:p w14:paraId="031E1778" w14:textId="77777777" w:rsidR="005005C3" w:rsidRPr="00DF4CE5" w:rsidRDefault="005005C3" w:rsidP="005005C3">
            <w:pPr>
              <w:spacing w:after="0" w:line="240" w:lineRule="atLeast"/>
              <w:jc w:val="both"/>
              <w:rPr>
                <w:rFonts w:ascii="Cambria" w:eastAsia="Calibri" w:hAnsi="Cambria" w:cs="Calibri"/>
                <w:lang w:val="hr-HR"/>
              </w:rPr>
            </w:pPr>
            <w:r w:rsidRPr="00DF4CE5">
              <w:rPr>
                <w:rFonts w:ascii="Cambria" w:eastAsia="Calibri" w:hAnsi="Cambria" w:cs="Calibri"/>
                <w:lang w:val="hr-HR"/>
              </w:rPr>
              <w:t xml:space="preserve">1. Henderson, D. L., May, Jill P. </w:t>
            </w:r>
            <w:proofErr w:type="spellStart"/>
            <w:r w:rsidRPr="00DF4CE5">
              <w:rPr>
                <w:rFonts w:ascii="Cambria" w:eastAsia="Calibri" w:hAnsi="Cambria" w:cs="Calibri"/>
                <w:lang w:val="hr-HR"/>
              </w:rPr>
              <w:t>Exploring</w:t>
            </w:r>
            <w:proofErr w:type="spellEnd"/>
            <w:r w:rsidRPr="00DF4CE5">
              <w:rPr>
                <w:rFonts w:ascii="Cambria" w:eastAsia="Calibri" w:hAnsi="Cambria" w:cs="Calibri"/>
                <w:lang w:val="hr-HR"/>
              </w:rPr>
              <w:t xml:space="preserve"> </w:t>
            </w:r>
            <w:proofErr w:type="spellStart"/>
            <w:r w:rsidRPr="00DF4CE5">
              <w:rPr>
                <w:rFonts w:ascii="Cambria" w:eastAsia="Calibri" w:hAnsi="Cambria" w:cs="Calibri"/>
                <w:lang w:val="hr-HR"/>
              </w:rPr>
              <w:t>Culturally</w:t>
            </w:r>
            <w:proofErr w:type="spellEnd"/>
            <w:r w:rsidRPr="00DF4CE5">
              <w:rPr>
                <w:rFonts w:ascii="Cambria" w:eastAsia="Calibri" w:hAnsi="Cambria" w:cs="Calibri"/>
                <w:lang w:val="hr-HR"/>
              </w:rPr>
              <w:t xml:space="preserve"> </w:t>
            </w:r>
            <w:proofErr w:type="spellStart"/>
            <w:r w:rsidRPr="00DF4CE5">
              <w:rPr>
                <w:rFonts w:ascii="Cambria" w:eastAsia="Calibri" w:hAnsi="Cambria" w:cs="Calibri"/>
                <w:lang w:val="hr-HR"/>
              </w:rPr>
              <w:t>Diverse</w:t>
            </w:r>
            <w:proofErr w:type="spellEnd"/>
            <w:r w:rsidRPr="00DF4CE5">
              <w:rPr>
                <w:rFonts w:ascii="Cambria" w:eastAsia="Calibri" w:hAnsi="Cambria" w:cs="Calibri"/>
                <w:lang w:val="hr-HR"/>
              </w:rPr>
              <w:t xml:space="preserve"> Literature for </w:t>
            </w:r>
            <w:proofErr w:type="spellStart"/>
            <w:r w:rsidRPr="00DF4CE5">
              <w:rPr>
                <w:rFonts w:ascii="Cambria" w:eastAsia="Calibri" w:hAnsi="Cambria" w:cs="Calibri"/>
                <w:lang w:val="hr-HR"/>
              </w:rPr>
              <w:t>Children</w:t>
            </w:r>
            <w:proofErr w:type="spellEnd"/>
            <w:r w:rsidRPr="00DF4CE5">
              <w:rPr>
                <w:rFonts w:ascii="Cambria" w:eastAsia="Calibri" w:hAnsi="Cambria" w:cs="Calibri"/>
                <w:lang w:val="hr-HR"/>
              </w:rPr>
              <w:t xml:space="preserve"> </w:t>
            </w:r>
            <w:proofErr w:type="spellStart"/>
            <w:r w:rsidRPr="00DF4CE5">
              <w:rPr>
                <w:rFonts w:ascii="Cambria" w:eastAsia="Calibri" w:hAnsi="Cambria" w:cs="Calibri"/>
                <w:lang w:val="hr-HR"/>
              </w:rPr>
              <w:t>and</w:t>
            </w:r>
            <w:proofErr w:type="spellEnd"/>
            <w:r w:rsidRPr="00DF4CE5">
              <w:rPr>
                <w:rFonts w:ascii="Cambria" w:eastAsia="Calibri" w:hAnsi="Cambria" w:cs="Calibri"/>
                <w:lang w:val="hr-HR"/>
              </w:rPr>
              <w:t xml:space="preserve"> </w:t>
            </w:r>
            <w:proofErr w:type="spellStart"/>
            <w:r w:rsidRPr="00DF4CE5">
              <w:rPr>
                <w:rFonts w:ascii="Cambria" w:eastAsia="Calibri" w:hAnsi="Cambria" w:cs="Calibri"/>
                <w:lang w:val="hr-HR"/>
              </w:rPr>
              <w:t>Adolescents</w:t>
            </w:r>
            <w:proofErr w:type="spellEnd"/>
            <w:r w:rsidRPr="00DF4CE5">
              <w:rPr>
                <w:rFonts w:ascii="Cambria" w:eastAsia="Calibri" w:hAnsi="Cambria" w:cs="Calibri"/>
                <w:lang w:val="hr-HR"/>
              </w:rPr>
              <w:t xml:space="preserve">. Boston: Pearson </w:t>
            </w:r>
            <w:proofErr w:type="spellStart"/>
            <w:r w:rsidRPr="00DF4CE5">
              <w:rPr>
                <w:rFonts w:ascii="Cambria" w:eastAsia="Calibri" w:hAnsi="Cambria" w:cs="Calibri"/>
                <w:lang w:val="hr-HR"/>
              </w:rPr>
              <w:t>Education</w:t>
            </w:r>
            <w:proofErr w:type="spellEnd"/>
            <w:r w:rsidRPr="00DF4CE5">
              <w:rPr>
                <w:rFonts w:ascii="Cambria" w:eastAsia="Calibri" w:hAnsi="Cambria" w:cs="Calibri"/>
                <w:lang w:val="hr-HR"/>
              </w:rPr>
              <w:t>.  2005.</w:t>
            </w:r>
          </w:p>
          <w:p w14:paraId="3476FA1C" w14:textId="77777777" w:rsidR="005005C3" w:rsidRPr="00DF4CE5" w:rsidRDefault="005005C3" w:rsidP="005005C3">
            <w:pPr>
              <w:spacing w:after="0" w:line="240" w:lineRule="atLeast"/>
              <w:jc w:val="both"/>
              <w:rPr>
                <w:rFonts w:ascii="Cambria" w:eastAsia="Calibri" w:hAnsi="Cambria" w:cs="Calibri"/>
                <w:lang w:val="hr-HR"/>
              </w:rPr>
            </w:pPr>
            <w:r w:rsidRPr="00DF4CE5">
              <w:rPr>
                <w:rFonts w:ascii="Cambria" w:eastAsia="Calibri" w:hAnsi="Cambria" w:cs="Calibri"/>
                <w:lang w:val="hr-HR"/>
              </w:rPr>
              <w:t xml:space="preserve">2. Hunt, P. </w:t>
            </w:r>
            <w:proofErr w:type="spellStart"/>
            <w:r w:rsidRPr="00DF4CE5">
              <w:rPr>
                <w:rFonts w:ascii="Cambria" w:eastAsia="Calibri" w:hAnsi="Cambria" w:cs="Calibri"/>
                <w:lang w:val="hr-HR"/>
              </w:rPr>
              <w:t>Children's</w:t>
            </w:r>
            <w:proofErr w:type="spellEnd"/>
            <w:r w:rsidRPr="00DF4CE5">
              <w:rPr>
                <w:rFonts w:ascii="Cambria" w:eastAsia="Calibri" w:hAnsi="Cambria" w:cs="Calibri"/>
                <w:lang w:val="hr-HR"/>
              </w:rPr>
              <w:t xml:space="preserve"> literature – </w:t>
            </w:r>
            <w:proofErr w:type="spellStart"/>
            <w:r w:rsidRPr="00DF4CE5">
              <w:rPr>
                <w:rFonts w:ascii="Cambria" w:eastAsia="Calibri" w:hAnsi="Cambria" w:cs="Calibri"/>
                <w:lang w:val="hr-HR"/>
              </w:rPr>
              <w:t>an</w:t>
            </w:r>
            <w:proofErr w:type="spellEnd"/>
            <w:r w:rsidRPr="00DF4CE5">
              <w:rPr>
                <w:rFonts w:ascii="Cambria" w:eastAsia="Calibri" w:hAnsi="Cambria" w:cs="Calibri"/>
                <w:lang w:val="hr-HR"/>
              </w:rPr>
              <w:t xml:space="preserve"> </w:t>
            </w:r>
            <w:proofErr w:type="spellStart"/>
            <w:r w:rsidRPr="00DF4CE5">
              <w:rPr>
                <w:rFonts w:ascii="Cambria" w:eastAsia="Calibri" w:hAnsi="Cambria" w:cs="Calibri"/>
                <w:lang w:val="hr-HR"/>
              </w:rPr>
              <w:t>illustrated</w:t>
            </w:r>
            <w:proofErr w:type="spellEnd"/>
            <w:r w:rsidRPr="00DF4CE5">
              <w:rPr>
                <w:rFonts w:ascii="Cambria" w:eastAsia="Calibri" w:hAnsi="Cambria" w:cs="Calibri"/>
                <w:lang w:val="hr-HR"/>
              </w:rPr>
              <w:t xml:space="preserve"> </w:t>
            </w:r>
            <w:proofErr w:type="spellStart"/>
            <w:r w:rsidRPr="00DF4CE5">
              <w:rPr>
                <w:rFonts w:ascii="Cambria" w:eastAsia="Calibri" w:hAnsi="Cambria" w:cs="Calibri"/>
                <w:lang w:val="hr-HR"/>
              </w:rPr>
              <w:t>history</w:t>
            </w:r>
            <w:proofErr w:type="spellEnd"/>
            <w:r w:rsidRPr="00DF4CE5">
              <w:rPr>
                <w:rFonts w:ascii="Cambria" w:eastAsia="Calibri" w:hAnsi="Cambria" w:cs="Calibri"/>
                <w:lang w:val="hr-HR"/>
              </w:rPr>
              <w:t xml:space="preserve">. Oxford </w:t>
            </w:r>
            <w:proofErr w:type="spellStart"/>
            <w:r w:rsidRPr="00DF4CE5">
              <w:rPr>
                <w:rFonts w:ascii="Cambria" w:eastAsia="Calibri" w:hAnsi="Cambria" w:cs="Calibri"/>
                <w:lang w:val="hr-HR"/>
              </w:rPr>
              <w:t>and</w:t>
            </w:r>
            <w:proofErr w:type="spellEnd"/>
            <w:r w:rsidRPr="00DF4CE5">
              <w:rPr>
                <w:rFonts w:ascii="Cambria" w:eastAsia="Calibri" w:hAnsi="Cambria" w:cs="Calibri"/>
                <w:lang w:val="hr-HR"/>
              </w:rPr>
              <w:t xml:space="preserve"> New York: Oxford </w:t>
            </w:r>
            <w:proofErr w:type="spellStart"/>
            <w:r w:rsidRPr="00DF4CE5">
              <w:rPr>
                <w:rFonts w:ascii="Cambria" w:eastAsia="Calibri" w:hAnsi="Cambria" w:cs="Calibri"/>
                <w:lang w:val="hr-HR"/>
              </w:rPr>
              <w:t>Unitversity</w:t>
            </w:r>
            <w:proofErr w:type="spellEnd"/>
            <w:r w:rsidRPr="00DF4CE5">
              <w:rPr>
                <w:rFonts w:ascii="Cambria" w:eastAsia="Calibri" w:hAnsi="Cambria" w:cs="Calibri"/>
                <w:lang w:val="hr-HR"/>
              </w:rPr>
              <w:t xml:space="preserve"> Press, 1995. (odabrana poglavlja) </w:t>
            </w:r>
          </w:p>
          <w:p w14:paraId="5365E1C2" w14:textId="77777777" w:rsidR="005005C3" w:rsidRPr="00DF4CE5" w:rsidRDefault="005005C3" w:rsidP="005005C3">
            <w:pPr>
              <w:spacing w:after="0" w:line="240" w:lineRule="atLeast"/>
              <w:jc w:val="both"/>
              <w:rPr>
                <w:rFonts w:ascii="Cambria" w:eastAsia="Calibri" w:hAnsi="Cambria" w:cs="Calibri"/>
                <w:lang w:val="hr-HR"/>
              </w:rPr>
            </w:pPr>
            <w:r w:rsidRPr="00DF4CE5">
              <w:rPr>
                <w:rFonts w:ascii="Cambria" w:eastAsia="Calibri" w:hAnsi="Cambria" w:cs="Calibri"/>
                <w:lang w:val="hr-HR"/>
              </w:rPr>
              <w:t xml:space="preserve">3. Hunt, P. International </w:t>
            </w:r>
            <w:proofErr w:type="spellStart"/>
            <w:r w:rsidRPr="00DF4CE5">
              <w:rPr>
                <w:rFonts w:ascii="Cambria" w:eastAsia="Calibri" w:hAnsi="Cambria" w:cs="Calibri"/>
                <w:lang w:val="hr-HR"/>
              </w:rPr>
              <w:t>companion</w:t>
            </w:r>
            <w:proofErr w:type="spellEnd"/>
            <w:r w:rsidRPr="00DF4CE5">
              <w:rPr>
                <w:rFonts w:ascii="Cambria" w:eastAsia="Calibri" w:hAnsi="Cambria" w:cs="Calibri"/>
                <w:lang w:val="hr-HR"/>
              </w:rPr>
              <w:t xml:space="preserve">. Encyclopedia </w:t>
            </w:r>
            <w:proofErr w:type="spellStart"/>
            <w:r w:rsidRPr="00DF4CE5">
              <w:rPr>
                <w:rFonts w:ascii="Cambria" w:eastAsia="Calibri" w:hAnsi="Cambria" w:cs="Calibri"/>
                <w:lang w:val="hr-HR"/>
              </w:rPr>
              <w:t>of</w:t>
            </w:r>
            <w:proofErr w:type="spellEnd"/>
            <w:r w:rsidRPr="00DF4CE5">
              <w:rPr>
                <w:rFonts w:ascii="Cambria" w:eastAsia="Calibri" w:hAnsi="Cambria" w:cs="Calibri"/>
                <w:lang w:val="hr-HR"/>
              </w:rPr>
              <w:t xml:space="preserve"> </w:t>
            </w:r>
            <w:proofErr w:type="spellStart"/>
            <w:r w:rsidRPr="00DF4CE5">
              <w:rPr>
                <w:rFonts w:ascii="Cambria" w:eastAsia="Calibri" w:hAnsi="Cambria" w:cs="Calibri"/>
                <w:lang w:val="hr-HR"/>
              </w:rPr>
              <w:t>children's</w:t>
            </w:r>
            <w:proofErr w:type="spellEnd"/>
            <w:r w:rsidRPr="00DF4CE5">
              <w:rPr>
                <w:rFonts w:ascii="Cambria" w:eastAsia="Calibri" w:hAnsi="Cambria" w:cs="Calibri"/>
                <w:lang w:val="hr-HR"/>
              </w:rPr>
              <w:t xml:space="preserve"> literature. London i New York: </w:t>
            </w:r>
            <w:proofErr w:type="spellStart"/>
            <w:r w:rsidRPr="00DF4CE5">
              <w:rPr>
                <w:rFonts w:ascii="Cambria" w:eastAsia="Calibri" w:hAnsi="Cambria" w:cs="Calibri"/>
                <w:lang w:val="hr-HR"/>
              </w:rPr>
              <w:t>Routledge</w:t>
            </w:r>
            <w:proofErr w:type="spellEnd"/>
            <w:r w:rsidRPr="00DF4CE5">
              <w:rPr>
                <w:rFonts w:ascii="Cambria" w:eastAsia="Calibri" w:hAnsi="Cambria" w:cs="Calibri"/>
                <w:lang w:val="hr-HR"/>
              </w:rPr>
              <w:t>, 2004.</w:t>
            </w:r>
          </w:p>
          <w:p w14:paraId="0692BB4D" w14:textId="77777777" w:rsidR="005005C3" w:rsidRPr="00DF4CE5" w:rsidRDefault="005005C3" w:rsidP="005005C3">
            <w:pPr>
              <w:spacing w:after="0" w:line="240" w:lineRule="atLeast"/>
              <w:jc w:val="both"/>
              <w:rPr>
                <w:rFonts w:ascii="Cambria" w:eastAsia="Calibri" w:hAnsi="Cambria" w:cs="Calibri"/>
                <w:lang w:val="hr-HR"/>
              </w:rPr>
            </w:pPr>
            <w:r w:rsidRPr="00DF4CE5">
              <w:rPr>
                <w:rFonts w:ascii="Cambria" w:eastAsia="Calibri" w:hAnsi="Cambria" w:cs="Calibri"/>
                <w:lang w:val="hr-HR"/>
              </w:rPr>
              <w:t xml:space="preserve">4. Hunt, P. </w:t>
            </w:r>
            <w:proofErr w:type="spellStart"/>
            <w:r w:rsidRPr="00DF4CE5">
              <w:rPr>
                <w:rFonts w:ascii="Cambria" w:eastAsia="Calibri" w:hAnsi="Cambria" w:cs="Calibri"/>
                <w:lang w:val="hr-HR"/>
              </w:rPr>
              <w:t>Understanding</w:t>
            </w:r>
            <w:proofErr w:type="spellEnd"/>
            <w:r w:rsidRPr="00DF4CE5">
              <w:rPr>
                <w:rFonts w:ascii="Cambria" w:eastAsia="Calibri" w:hAnsi="Cambria" w:cs="Calibri"/>
                <w:lang w:val="hr-HR"/>
              </w:rPr>
              <w:t xml:space="preserve"> </w:t>
            </w:r>
            <w:proofErr w:type="spellStart"/>
            <w:r w:rsidRPr="00DF4CE5">
              <w:rPr>
                <w:rFonts w:ascii="Cambria" w:eastAsia="Calibri" w:hAnsi="Cambria" w:cs="Calibri"/>
                <w:lang w:val="hr-HR"/>
              </w:rPr>
              <w:t>children's</w:t>
            </w:r>
            <w:proofErr w:type="spellEnd"/>
            <w:r w:rsidRPr="00DF4CE5">
              <w:rPr>
                <w:rFonts w:ascii="Cambria" w:eastAsia="Calibri" w:hAnsi="Cambria" w:cs="Calibri"/>
                <w:lang w:val="hr-HR"/>
              </w:rPr>
              <w:t xml:space="preserve"> literature. London i New York: </w:t>
            </w:r>
            <w:proofErr w:type="spellStart"/>
            <w:r w:rsidRPr="00DF4CE5">
              <w:rPr>
                <w:rFonts w:ascii="Cambria" w:eastAsia="Calibri" w:hAnsi="Cambria" w:cs="Calibri"/>
                <w:lang w:val="hr-HR"/>
              </w:rPr>
              <w:t>Routledge</w:t>
            </w:r>
            <w:proofErr w:type="spellEnd"/>
            <w:r w:rsidRPr="00DF4CE5">
              <w:rPr>
                <w:rFonts w:ascii="Cambria" w:eastAsia="Calibri" w:hAnsi="Cambria" w:cs="Calibri"/>
                <w:lang w:val="hr-HR"/>
              </w:rPr>
              <w:t>, 2005.</w:t>
            </w:r>
          </w:p>
          <w:p w14:paraId="46283B0F" w14:textId="77777777" w:rsidR="005005C3" w:rsidRPr="00DF4CE5" w:rsidRDefault="005005C3" w:rsidP="005005C3">
            <w:pPr>
              <w:autoSpaceDE w:val="0"/>
              <w:autoSpaceDN w:val="0"/>
              <w:adjustRightInd w:val="0"/>
              <w:spacing w:after="0" w:line="240" w:lineRule="atLeast"/>
              <w:jc w:val="both"/>
              <w:rPr>
                <w:rFonts w:ascii="Cambria" w:eastAsia="Calibri" w:hAnsi="Cambria" w:cs="Calibri"/>
                <w:lang w:val="hr-HR"/>
              </w:rPr>
            </w:pPr>
            <w:r w:rsidRPr="00DF4CE5">
              <w:rPr>
                <w:rFonts w:ascii="Cambria" w:eastAsia="Calibri" w:hAnsi="Cambria" w:cs="Calibri"/>
                <w:lang w:val="hr-HR"/>
              </w:rPr>
              <w:t xml:space="preserve">5. </w:t>
            </w:r>
            <w:proofErr w:type="spellStart"/>
            <w:r w:rsidRPr="00DF4CE5">
              <w:rPr>
                <w:rFonts w:ascii="Cambria" w:eastAsia="Calibri" w:hAnsi="Cambria" w:cs="Calibri"/>
                <w:lang w:val="hr-HR"/>
              </w:rPr>
              <w:t>Nikolajeva</w:t>
            </w:r>
            <w:proofErr w:type="spellEnd"/>
            <w:r w:rsidRPr="00DF4CE5">
              <w:rPr>
                <w:rFonts w:ascii="Cambria" w:eastAsia="Calibri" w:hAnsi="Cambria" w:cs="Calibri"/>
                <w:lang w:val="hr-HR"/>
              </w:rPr>
              <w:t xml:space="preserve">, M. </w:t>
            </w:r>
            <w:proofErr w:type="spellStart"/>
            <w:r w:rsidRPr="00DF4CE5">
              <w:rPr>
                <w:rFonts w:ascii="Cambria" w:eastAsia="Calibri" w:hAnsi="Cambria" w:cs="Calibri"/>
                <w:lang w:val="hr-HR"/>
              </w:rPr>
              <w:t>Aspects</w:t>
            </w:r>
            <w:proofErr w:type="spellEnd"/>
            <w:r w:rsidRPr="00DF4CE5">
              <w:rPr>
                <w:rFonts w:ascii="Cambria" w:eastAsia="Calibri" w:hAnsi="Cambria" w:cs="Calibri"/>
                <w:lang w:val="hr-HR"/>
              </w:rPr>
              <w:t xml:space="preserve"> </w:t>
            </w:r>
            <w:proofErr w:type="spellStart"/>
            <w:r w:rsidRPr="00DF4CE5">
              <w:rPr>
                <w:rFonts w:ascii="Cambria" w:eastAsia="Calibri" w:hAnsi="Cambria" w:cs="Calibri"/>
                <w:lang w:val="hr-HR"/>
              </w:rPr>
              <w:t>and</w:t>
            </w:r>
            <w:proofErr w:type="spellEnd"/>
            <w:r w:rsidRPr="00DF4CE5">
              <w:rPr>
                <w:rFonts w:ascii="Cambria" w:eastAsia="Calibri" w:hAnsi="Cambria" w:cs="Calibri"/>
                <w:lang w:val="hr-HR"/>
              </w:rPr>
              <w:t xml:space="preserve"> </w:t>
            </w:r>
            <w:proofErr w:type="spellStart"/>
            <w:r w:rsidRPr="00DF4CE5">
              <w:rPr>
                <w:rFonts w:ascii="Cambria" w:eastAsia="Calibri" w:hAnsi="Cambria" w:cs="Calibri"/>
                <w:lang w:val="hr-HR"/>
              </w:rPr>
              <w:t>issues</w:t>
            </w:r>
            <w:proofErr w:type="spellEnd"/>
            <w:r w:rsidRPr="00DF4CE5">
              <w:rPr>
                <w:rFonts w:ascii="Cambria" w:eastAsia="Calibri" w:hAnsi="Cambria" w:cs="Calibri"/>
                <w:lang w:val="hr-HR"/>
              </w:rPr>
              <w:t xml:space="preserve"> </w:t>
            </w:r>
            <w:proofErr w:type="spellStart"/>
            <w:r w:rsidRPr="00DF4CE5">
              <w:rPr>
                <w:rFonts w:ascii="Cambria" w:eastAsia="Calibri" w:hAnsi="Cambria" w:cs="Calibri"/>
                <w:lang w:val="hr-HR"/>
              </w:rPr>
              <w:t>in</w:t>
            </w:r>
            <w:proofErr w:type="spellEnd"/>
            <w:r w:rsidRPr="00DF4CE5">
              <w:rPr>
                <w:rFonts w:ascii="Cambria" w:eastAsia="Calibri" w:hAnsi="Cambria" w:cs="Calibri"/>
                <w:lang w:val="hr-HR"/>
              </w:rPr>
              <w:t xml:space="preserve"> </w:t>
            </w:r>
            <w:proofErr w:type="spellStart"/>
            <w:r w:rsidRPr="00DF4CE5">
              <w:rPr>
                <w:rFonts w:ascii="Cambria" w:eastAsia="Calibri" w:hAnsi="Cambria" w:cs="Calibri"/>
                <w:lang w:val="hr-HR"/>
              </w:rPr>
              <w:t>the</w:t>
            </w:r>
            <w:proofErr w:type="spellEnd"/>
            <w:r w:rsidRPr="00DF4CE5">
              <w:rPr>
                <w:rFonts w:ascii="Cambria" w:eastAsia="Calibri" w:hAnsi="Cambria" w:cs="Calibri"/>
                <w:lang w:val="hr-HR"/>
              </w:rPr>
              <w:t xml:space="preserve"> </w:t>
            </w:r>
            <w:proofErr w:type="spellStart"/>
            <w:r w:rsidRPr="00DF4CE5">
              <w:rPr>
                <w:rFonts w:ascii="Cambria" w:eastAsia="Calibri" w:hAnsi="Cambria" w:cs="Calibri"/>
                <w:lang w:val="hr-HR"/>
              </w:rPr>
              <w:t>history</w:t>
            </w:r>
            <w:proofErr w:type="spellEnd"/>
            <w:r w:rsidRPr="00DF4CE5">
              <w:rPr>
                <w:rFonts w:ascii="Cambria" w:eastAsia="Calibri" w:hAnsi="Cambria" w:cs="Calibri"/>
                <w:lang w:val="hr-HR"/>
              </w:rPr>
              <w:t xml:space="preserve"> </w:t>
            </w:r>
            <w:proofErr w:type="spellStart"/>
            <w:r w:rsidRPr="00DF4CE5">
              <w:rPr>
                <w:rFonts w:ascii="Cambria" w:eastAsia="Calibri" w:hAnsi="Cambria" w:cs="Calibri"/>
                <w:lang w:val="hr-HR"/>
              </w:rPr>
              <w:t>of</w:t>
            </w:r>
            <w:proofErr w:type="spellEnd"/>
            <w:r w:rsidRPr="00DF4CE5">
              <w:rPr>
                <w:rFonts w:ascii="Cambria" w:eastAsia="Calibri" w:hAnsi="Cambria" w:cs="Calibri"/>
                <w:lang w:val="hr-HR"/>
              </w:rPr>
              <w:t xml:space="preserve"> </w:t>
            </w:r>
            <w:proofErr w:type="spellStart"/>
            <w:r w:rsidRPr="00DF4CE5">
              <w:rPr>
                <w:rFonts w:ascii="Cambria" w:eastAsia="Calibri" w:hAnsi="Cambria" w:cs="Calibri"/>
                <w:lang w:val="hr-HR"/>
              </w:rPr>
              <w:t>children's</w:t>
            </w:r>
            <w:proofErr w:type="spellEnd"/>
            <w:r w:rsidRPr="00DF4CE5">
              <w:rPr>
                <w:rFonts w:ascii="Cambria" w:eastAsia="Calibri" w:hAnsi="Cambria" w:cs="Calibri"/>
                <w:lang w:val="hr-HR"/>
              </w:rPr>
              <w:t xml:space="preserve"> </w:t>
            </w:r>
            <w:proofErr w:type="spellStart"/>
            <w:r w:rsidRPr="00DF4CE5">
              <w:rPr>
                <w:rFonts w:ascii="Cambria" w:eastAsia="Calibri" w:hAnsi="Cambria" w:cs="Calibri"/>
                <w:lang w:val="hr-HR"/>
              </w:rPr>
              <w:t>literature.Westport</w:t>
            </w:r>
            <w:proofErr w:type="spellEnd"/>
            <w:r w:rsidRPr="00DF4CE5">
              <w:rPr>
                <w:rFonts w:ascii="Cambria" w:eastAsia="Calibri" w:hAnsi="Cambria" w:cs="Calibri"/>
                <w:lang w:val="hr-HR"/>
              </w:rPr>
              <w:t xml:space="preserve">: </w:t>
            </w:r>
            <w:proofErr w:type="spellStart"/>
            <w:r w:rsidRPr="00DF4CE5">
              <w:rPr>
                <w:rFonts w:ascii="Cambria" w:eastAsia="Calibri" w:hAnsi="Cambria" w:cs="Calibri"/>
                <w:lang w:val="hr-HR"/>
              </w:rPr>
              <w:t>Greenwood</w:t>
            </w:r>
            <w:proofErr w:type="spellEnd"/>
            <w:r w:rsidRPr="00DF4CE5">
              <w:rPr>
                <w:rFonts w:ascii="Cambria" w:eastAsia="Calibri" w:hAnsi="Cambria" w:cs="Calibri"/>
                <w:lang w:val="hr-HR"/>
              </w:rPr>
              <w:t xml:space="preserve"> </w:t>
            </w:r>
            <w:proofErr w:type="spellStart"/>
            <w:r w:rsidRPr="00DF4CE5">
              <w:rPr>
                <w:rFonts w:ascii="Cambria" w:eastAsia="Calibri" w:hAnsi="Cambria" w:cs="Calibri"/>
                <w:lang w:val="hr-HR"/>
              </w:rPr>
              <w:t>publishing</w:t>
            </w:r>
            <w:proofErr w:type="spellEnd"/>
            <w:r w:rsidRPr="00DF4CE5">
              <w:rPr>
                <w:rFonts w:ascii="Cambria" w:eastAsia="Calibri" w:hAnsi="Cambria" w:cs="Calibri"/>
                <w:lang w:val="hr-HR"/>
              </w:rPr>
              <w:t xml:space="preserve"> </w:t>
            </w:r>
            <w:proofErr w:type="spellStart"/>
            <w:r w:rsidRPr="00DF4CE5">
              <w:rPr>
                <w:rFonts w:ascii="Cambria" w:eastAsia="Calibri" w:hAnsi="Cambria" w:cs="Calibri"/>
                <w:lang w:val="hr-HR"/>
              </w:rPr>
              <w:t>group</w:t>
            </w:r>
            <w:proofErr w:type="spellEnd"/>
            <w:r w:rsidRPr="00DF4CE5">
              <w:rPr>
                <w:rFonts w:ascii="Cambria" w:eastAsia="Calibri" w:hAnsi="Cambria" w:cs="Calibri"/>
                <w:lang w:val="hr-HR"/>
              </w:rPr>
              <w:t>, 1995.</w:t>
            </w:r>
          </w:p>
          <w:p w14:paraId="106E903C" w14:textId="77777777" w:rsidR="005005C3" w:rsidRPr="00DF4CE5" w:rsidRDefault="005005C3" w:rsidP="005005C3">
            <w:pPr>
              <w:spacing w:after="0" w:line="240" w:lineRule="atLeast"/>
              <w:jc w:val="both"/>
              <w:rPr>
                <w:rFonts w:ascii="Cambria" w:eastAsia="Calibri" w:hAnsi="Cambria" w:cs="Calibri"/>
                <w:lang w:val="hr-HR"/>
              </w:rPr>
            </w:pPr>
            <w:r w:rsidRPr="00DF4CE5">
              <w:rPr>
                <w:rFonts w:ascii="Cambria" w:eastAsia="Calibri" w:hAnsi="Cambria" w:cs="Calibri"/>
                <w:lang w:val="hr-HR"/>
              </w:rPr>
              <w:t xml:space="preserve">6. Tatar, M. </w:t>
            </w:r>
            <w:proofErr w:type="spellStart"/>
            <w:r w:rsidRPr="00DF4CE5">
              <w:rPr>
                <w:rFonts w:ascii="Cambria" w:eastAsia="Calibri" w:hAnsi="Cambria" w:cs="Calibri"/>
                <w:lang w:val="hr-HR"/>
              </w:rPr>
              <w:t>The</w:t>
            </w:r>
            <w:proofErr w:type="spellEnd"/>
            <w:r w:rsidRPr="00DF4CE5">
              <w:rPr>
                <w:rFonts w:ascii="Cambria" w:eastAsia="Calibri" w:hAnsi="Cambria" w:cs="Calibri"/>
                <w:lang w:val="hr-HR"/>
              </w:rPr>
              <w:t xml:space="preserve"> </w:t>
            </w:r>
            <w:proofErr w:type="spellStart"/>
            <w:r w:rsidRPr="00DF4CE5">
              <w:rPr>
                <w:rFonts w:ascii="Cambria" w:eastAsia="Calibri" w:hAnsi="Cambria" w:cs="Calibri"/>
                <w:lang w:val="hr-HR"/>
              </w:rPr>
              <w:t>classic</w:t>
            </w:r>
            <w:proofErr w:type="spellEnd"/>
            <w:r w:rsidRPr="00DF4CE5">
              <w:rPr>
                <w:rFonts w:ascii="Cambria" w:eastAsia="Calibri" w:hAnsi="Cambria" w:cs="Calibri"/>
                <w:lang w:val="hr-HR"/>
              </w:rPr>
              <w:t xml:space="preserve"> </w:t>
            </w:r>
            <w:proofErr w:type="spellStart"/>
            <w:r w:rsidRPr="00DF4CE5">
              <w:rPr>
                <w:rFonts w:ascii="Cambria" w:eastAsia="Calibri" w:hAnsi="Cambria" w:cs="Calibri"/>
                <w:lang w:val="hr-HR"/>
              </w:rPr>
              <w:t>fairy</w:t>
            </w:r>
            <w:proofErr w:type="spellEnd"/>
            <w:r w:rsidRPr="00DF4CE5">
              <w:rPr>
                <w:rFonts w:ascii="Cambria" w:eastAsia="Calibri" w:hAnsi="Cambria" w:cs="Calibri"/>
                <w:lang w:val="hr-HR"/>
              </w:rPr>
              <w:t xml:space="preserve"> </w:t>
            </w:r>
            <w:proofErr w:type="spellStart"/>
            <w:r w:rsidRPr="00DF4CE5">
              <w:rPr>
                <w:rFonts w:ascii="Cambria" w:eastAsia="Calibri" w:hAnsi="Cambria" w:cs="Calibri"/>
                <w:lang w:val="hr-HR"/>
              </w:rPr>
              <w:t>fales</w:t>
            </w:r>
            <w:proofErr w:type="spellEnd"/>
            <w:r w:rsidRPr="00DF4CE5">
              <w:rPr>
                <w:rFonts w:ascii="Cambria" w:eastAsia="Calibri" w:hAnsi="Cambria" w:cs="Calibri"/>
                <w:lang w:val="hr-HR"/>
              </w:rPr>
              <w:t>. New York i London: W. W. Norton &amp; Company, Inc., 1999.</w:t>
            </w:r>
          </w:p>
          <w:p w14:paraId="7CA002D8" w14:textId="77777777" w:rsidR="005005C3" w:rsidRPr="00DF4CE5" w:rsidRDefault="005005C3" w:rsidP="005005C3">
            <w:pPr>
              <w:spacing w:after="0" w:line="240" w:lineRule="atLeast"/>
              <w:jc w:val="both"/>
              <w:rPr>
                <w:rFonts w:ascii="Cambria" w:eastAsia="Calibri" w:hAnsi="Cambria" w:cs="Calibri"/>
                <w:lang w:val="hr-HR"/>
              </w:rPr>
            </w:pPr>
            <w:r w:rsidRPr="00DF4CE5">
              <w:rPr>
                <w:rFonts w:ascii="Cambria" w:eastAsia="Calibri" w:hAnsi="Cambria" w:cs="Calibri"/>
                <w:lang w:val="hr-HR"/>
              </w:rPr>
              <w:t xml:space="preserve">7. </w:t>
            </w:r>
            <w:proofErr w:type="spellStart"/>
            <w:r w:rsidRPr="00DF4CE5">
              <w:rPr>
                <w:rFonts w:ascii="Cambria" w:eastAsia="Calibri" w:hAnsi="Cambria" w:cs="Calibri"/>
                <w:lang w:val="hr-HR"/>
              </w:rPr>
              <w:t>Thorough</w:t>
            </w:r>
            <w:proofErr w:type="spellEnd"/>
            <w:r w:rsidRPr="00DF4CE5">
              <w:rPr>
                <w:rFonts w:ascii="Cambria" w:eastAsia="Calibri" w:hAnsi="Cambria" w:cs="Calibri"/>
                <w:lang w:val="hr-HR"/>
              </w:rPr>
              <w:t xml:space="preserve">, D.R. </w:t>
            </w:r>
            <w:proofErr w:type="spellStart"/>
            <w:r w:rsidRPr="00DF4CE5">
              <w:rPr>
                <w:rFonts w:ascii="Cambria" w:eastAsia="Calibri" w:hAnsi="Cambria" w:cs="Calibri"/>
                <w:lang w:val="hr-HR"/>
              </w:rPr>
              <w:t>The</w:t>
            </w:r>
            <w:proofErr w:type="spellEnd"/>
            <w:r w:rsidRPr="00DF4CE5">
              <w:rPr>
                <w:rFonts w:ascii="Cambria" w:eastAsia="Calibri" w:hAnsi="Cambria" w:cs="Calibri"/>
                <w:lang w:val="hr-HR"/>
              </w:rPr>
              <w:t xml:space="preserve"> </w:t>
            </w:r>
            <w:proofErr w:type="spellStart"/>
            <w:r w:rsidRPr="00DF4CE5">
              <w:rPr>
                <w:rFonts w:ascii="Cambria" w:eastAsia="Calibri" w:hAnsi="Cambria" w:cs="Calibri"/>
                <w:lang w:val="hr-HR"/>
              </w:rPr>
              <w:t>nursery</w:t>
            </w:r>
            <w:proofErr w:type="spellEnd"/>
            <w:r w:rsidRPr="00DF4CE5">
              <w:rPr>
                <w:rFonts w:ascii="Cambria" w:eastAsia="Calibri" w:hAnsi="Cambria" w:cs="Calibri"/>
                <w:lang w:val="hr-HR"/>
              </w:rPr>
              <w:t xml:space="preserve"> </w:t>
            </w:r>
            <w:proofErr w:type="spellStart"/>
            <w:r w:rsidRPr="00DF4CE5">
              <w:rPr>
                <w:rFonts w:ascii="Cambria" w:eastAsia="Calibri" w:hAnsi="Cambria" w:cs="Calibri"/>
                <w:lang w:val="hr-HR"/>
              </w:rPr>
              <w:t>rhymes</w:t>
            </w:r>
            <w:proofErr w:type="spellEnd"/>
            <w:r w:rsidRPr="00DF4CE5">
              <w:rPr>
                <w:rFonts w:ascii="Cambria" w:eastAsia="Calibri" w:hAnsi="Cambria" w:cs="Calibri"/>
                <w:lang w:val="hr-HR"/>
              </w:rPr>
              <w:t xml:space="preserve"> </w:t>
            </w:r>
            <w:proofErr w:type="spellStart"/>
            <w:r w:rsidRPr="00DF4CE5">
              <w:rPr>
                <w:rFonts w:ascii="Cambria" w:eastAsia="Calibri" w:hAnsi="Cambria" w:cs="Calibri"/>
                <w:lang w:val="hr-HR"/>
              </w:rPr>
              <w:t>of</w:t>
            </w:r>
            <w:proofErr w:type="spellEnd"/>
            <w:r w:rsidRPr="00DF4CE5">
              <w:rPr>
                <w:rFonts w:ascii="Cambria" w:eastAsia="Calibri" w:hAnsi="Cambria" w:cs="Calibri"/>
                <w:lang w:val="hr-HR"/>
              </w:rPr>
              <w:t xml:space="preserve"> </w:t>
            </w:r>
            <w:proofErr w:type="spellStart"/>
            <w:r w:rsidRPr="00DF4CE5">
              <w:rPr>
                <w:rFonts w:ascii="Cambria" w:eastAsia="Calibri" w:hAnsi="Cambria" w:cs="Calibri"/>
                <w:lang w:val="hr-HR"/>
              </w:rPr>
              <w:t>dreamland</w:t>
            </w:r>
            <w:proofErr w:type="spellEnd"/>
            <w:r w:rsidRPr="00DF4CE5">
              <w:rPr>
                <w:rFonts w:ascii="Cambria" w:eastAsia="Calibri" w:hAnsi="Cambria" w:cs="Calibri"/>
                <w:lang w:val="hr-HR"/>
              </w:rPr>
              <w:t xml:space="preserve">. Devon: </w:t>
            </w:r>
            <w:proofErr w:type="spellStart"/>
            <w:r w:rsidRPr="00DF4CE5">
              <w:rPr>
                <w:rFonts w:ascii="Cambria" w:eastAsia="Calibri" w:hAnsi="Cambria" w:cs="Calibri"/>
                <w:lang w:val="hr-HR"/>
              </w:rPr>
              <w:t>Bluebell</w:t>
            </w:r>
            <w:proofErr w:type="spellEnd"/>
            <w:r w:rsidRPr="00DF4CE5">
              <w:rPr>
                <w:rFonts w:ascii="Cambria" w:eastAsia="Calibri" w:hAnsi="Cambria" w:cs="Calibri"/>
                <w:lang w:val="hr-HR"/>
              </w:rPr>
              <w:t xml:space="preserve"> Lane, 1995.</w:t>
            </w:r>
          </w:p>
          <w:p w14:paraId="2D66EA9D" w14:textId="5F4DE20F" w:rsidR="005005C3" w:rsidRPr="00DF4CE5" w:rsidRDefault="005005C3" w:rsidP="005005C3">
            <w:pPr>
              <w:spacing w:after="0" w:line="240" w:lineRule="atLeast"/>
              <w:jc w:val="both"/>
              <w:rPr>
                <w:rFonts w:ascii="Cambria" w:eastAsia="Calibri" w:hAnsi="Cambria" w:cs="Calibri"/>
                <w:lang w:val="hr-HR"/>
              </w:rPr>
            </w:pPr>
            <w:r w:rsidRPr="00DF4CE5">
              <w:rPr>
                <w:rFonts w:ascii="Cambria" w:eastAsia="Calibri" w:hAnsi="Cambria" w:cs="Calibri"/>
                <w:lang w:val="hr-HR"/>
              </w:rPr>
              <w:t xml:space="preserve">8. </w:t>
            </w:r>
            <w:proofErr w:type="spellStart"/>
            <w:r w:rsidRPr="00DF4CE5">
              <w:rPr>
                <w:rFonts w:ascii="Cambria" w:eastAsia="Calibri" w:hAnsi="Cambria" w:cs="Calibri"/>
                <w:lang w:val="hr-HR"/>
              </w:rPr>
              <w:t>Zipes</w:t>
            </w:r>
            <w:proofErr w:type="spellEnd"/>
            <w:r w:rsidRPr="00DF4CE5">
              <w:rPr>
                <w:rFonts w:ascii="Cambria" w:eastAsia="Calibri" w:hAnsi="Cambria" w:cs="Calibri"/>
                <w:lang w:val="hr-HR"/>
              </w:rPr>
              <w:t xml:space="preserve">, J. </w:t>
            </w:r>
            <w:proofErr w:type="spellStart"/>
            <w:r w:rsidRPr="00DF4CE5">
              <w:rPr>
                <w:rFonts w:ascii="Cambria" w:eastAsia="Calibri" w:hAnsi="Cambria" w:cs="Calibri"/>
                <w:lang w:val="hr-HR"/>
              </w:rPr>
              <w:t>When</w:t>
            </w:r>
            <w:proofErr w:type="spellEnd"/>
            <w:r w:rsidRPr="00DF4CE5">
              <w:rPr>
                <w:rFonts w:ascii="Cambria" w:eastAsia="Calibri" w:hAnsi="Cambria" w:cs="Calibri"/>
                <w:lang w:val="hr-HR"/>
              </w:rPr>
              <w:t xml:space="preserve"> </w:t>
            </w:r>
            <w:proofErr w:type="spellStart"/>
            <w:r w:rsidRPr="00DF4CE5">
              <w:rPr>
                <w:rFonts w:ascii="Cambria" w:eastAsia="Calibri" w:hAnsi="Cambria" w:cs="Calibri"/>
                <w:lang w:val="hr-HR"/>
              </w:rPr>
              <w:t>dreams</w:t>
            </w:r>
            <w:proofErr w:type="spellEnd"/>
            <w:r w:rsidRPr="00DF4CE5">
              <w:rPr>
                <w:rFonts w:ascii="Cambria" w:eastAsia="Calibri" w:hAnsi="Cambria" w:cs="Calibri"/>
                <w:lang w:val="hr-HR"/>
              </w:rPr>
              <w:t xml:space="preserve"> </w:t>
            </w:r>
            <w:proofErr w:type="spellStart"/>
            <w:r w:rsidRPr="00DF4CE5">
              <w:rPr>
                <w:rFonts w:ascii="Cambria" w:eastAsia="Calibri" w:hAnsi="Cambria" w:cs="Calibri"/>
                <w:lang w:val="hr-HR"/>
              </w:rPr>
              <w:t>came</w:t>
            </w:r>
            <w:proofErr w:type="spellEnd"/>
            <w:r w:rsidRPr="00DF4CE5">
              <w:rPr>
                <w:rFonts w:ascii="Cambria" w:eastAsia="Calibri" w:hAnsi="Cambria" w:cs="Calibri"/>
                <w:lang w:val="hr-HR"/>
              </w:rPr>
              <w:t xml:space="preserve"> </w:t>
            </w:r>
            <w:proofErr w:type="spellStart"/>
            <w:r w:rsidRPr="00DF4CE5">
              <w:rPr>
                <w:rFonts w:ascii="Cambria" w:eastAsia="Calibri" w:hAnsi="Cambria" w:cs="Calibri"/>
                <w:lang w:val="hr-HR"/>
              </w:rPr>
              <w:t>true</w:t>
            </w:r>
            <w:proofErr w:type="spellEnd"/>
            <w:r w:rsidRPr="00DF4CE5">
              <w:rPr>
                <w:rFonts w:ascii="Cambria" w:eastAsia="Calibri" w:hAnsi="Cambria" w:cs="Calibri"/>
                <w:lang w:val="hr-HR"/>
              </w:rPr>
              <w:t xml:space="preserve"> – </w:t>
            </w:r>
            <w:proofErr w:type="spellStart"/>
            <w:r w:rsidRPr="00DF4CE5">
              <w:rPr>
                <w:rFonts w:ascii="Cambria" w:eastAsia="Calibri" w:hAnsi="Cambria" w:cs="Calibri"/>
                <w:lang w:val="hr-HR"/>
              </w:rPr>
              <w:t>classical</w:t>
            </w:r>
            <w:proofErr w:type="spellEnd"/>
            <w:r w:rsidRPr="00DF4CE5">
              <w:rPr>
                <w:rFonts w:ascii="Cambria" w:eastAsia="Calibri" w:hAnsi="Cambria" w:cs="Calibri"/>
                <w:lang w:val="hr-HR"/>
              </w:rPr>
              <w:t xml:space="preserve"> </w:t>
            </w:r>
            <w:proofErr w:type="spellStart"/>
            <w:r w:rsidRPr="00DF4CE5">
              <w:rPr>
                <w:rFonts w:ascii="Cambria" w:eastAsia="Calibri" w:hAnsi="Cambria" w:cs="Calibri"/>
                <w:lang w:val="hr-HR"/>
              </w:rPr>
              <w:t>fairy</w:t>
            </w:r>
            <w:proofErr w:type="spellEnd"/>
            <w:r w:rsidRPr="00DF4CE5">
              <w:rPr>
                <w:rFonts w:ascii="Cambria" w:eastAsia="Calibri" w:hAnsi="Cambria" w:cs="Calibri"/>
                <w:lang w:val="hr-HR"/>
              </w:rPr>
              <w:t xml:space="preserve"> </w:t>
            </w:r>
            <w:proofErr w:type="spellStart"/>
            <w:r w:rsidRPr="00DF4CE5">
              <w:rPr>
                <w:rFonts w:ascii="Cambria" w:eastAsia="Calibri" w:hAnsi="Cambria" w:cs="Calibri"/>
                <w:lang w:val="hr-HR"/>
              </w:rPr>
              <w:t>tales</w:t>
            </w:r>
            <w:proofErr w:type="spellEnd"/>
            <w:r w:rsidRPr="00DF4CE5">
              <w:rPr>
                <w:rFonts w:ascii="Cambria" w:eastAsia="Calibri" w:hAnsi="Cambria" w:cs="Calibri"/>
                <w:lang w:val="hr-HR"/>
              </w:rPr>
              <w:t xml:space="preserve"> </w:t>
            </w:r>
            <w:proofErr w:type="spellStart"/>
            <w:r w:rsidRPr="00DF4CE5">
              <w:rPr>
                <w:rFonts w:ascii="Cambria" w:eastAsia="Calibri" w:hAnsi="Cambria" w:cs="Calibri"/>
                <w:lang w:val="hr-HR"/>
              </w:rPr>
              <w:t>and</w:t>
            </w:r>
            <w:proofErr w:type="spellEnd"/>
            <w:r w:rsidRPr="00DF4CE5">
              <w:rPr>
                <w:rFonts w:ascii="Cambria" w:eastAsia="Calibri" w:hAnsi="Cambria" w:cs="Calibri"/>
                <w:lang w:val="hr-HR"/>
              </w:rPr>
              <w:t xml:space="preserve"> </w:t>
            </w:r>
            <w:proofErr w:type="spellStart"/>
            <w:r w:rsidRPr="00DF4CE5">
              <w:rPr>
                <w:rFonts w:ascii="Cambria" w:eastAsia="Calibri" w:hAnsi="Cambria" w:cs="Calibri"/>
                <w:lang w:val="hr-HR"/>
              </w:rPr>
              <w:t>their</w:t>
            </w:r>
            <w:proofErr w:type="spellEnd"/>
            <w:r w:rsidRPr="00DF4CE5">
              <w:rPr>
                <w:rFonts w:ascii="Cambria" w:eastAsia="Calibri" w:hAnsi="Cambria" w:cs="Calibri"/>
                <w:lang w:val="hr-HR"/>
              </w:rPr>
              <w:t xml:space="preserve"> </w:t>
            </w:r>
            <w:proofErr w:type="spellStart"/>
            <w:r w:rsidRPr="00DF4CE5">
              <w:rPr>
                <w:rFonts w:ascii="Cambria" w:eastAsia="Calibri" w:hAnsi="Cambria" w:cs="Calibri"/>
                <w:lang w:val="hr-HR"/>
              </w:rPr>
              <w:t>tradition</w:t>
            </w:r>
            <w:proofErr w:type="spellEnd"/>
            <w:r w:rsidRPr="00DF4CE5">
              <w:rPr>
                <w:rFonts w:ascii="Cambria" w:eastAsia="Calibri" w:hAnsi="Cambria" w:cs="Calibri"/>
                <w:lang w:val="hr-HR"/>
              </w:rPr>
              <w:t xml:space="preserve">. London i New York: </w:t>
            </w:r>
            <w:proofErr w:type="spellStart"/>
            <w:r w:rsidRPr="00DF4CE5">
              <w:rPr>
                <w:rFonts w:ascii="Cambria" w:eastAsia="Calibri" w:hAnsi="Cambria" w:cs="Calibri"/>
                <w:lang w:val="hr-HR"/>
              </w:rPr>
              <w:t>Routledge</w:t>
            </w:r>
            <w:proofErr w:type="spellEnd"/>
            <w:r w:rsidRPr="00DF4CE5">
              <w:rPr>
                <w:rFonts w:ascii="Cambria" w:eastAsia="Calibri" w:hAnsi="Cambria" w:cs="Calibri"/>
                <w:lang w:val="hr-HR"/>
              </w:rPr>
              <w:t>, 2007.</w:t>
            </w:r>
          </w:p>
          <w:p w14:paraId="60436618" w14:textId="77777777" w:rsidR="005005C3" w:rsidRPr="00DF4CE5" w:rsidRDefault="005005C3" w:rsidP="005005C3">
            <w:pPr>
              <w:spacing w:after="0" w:line="240" w:lineRule="atLeast"/>
              <w:jc w:val="both"/>
              <w:rPr>
                <w:rFonts w:ascii="Cambria" w:eastAsia="Calibri" w:hAnsi="Cambria" w:cs="Calibri"/>
                <w:lang w:val="hr-HR"/>
              </w:rPr>
            </w:pPr>
            <w:r w:rsidRPr="00DF4CE5">
              <w:rPr>
                <w:rFonts w:ascii="Cambria" w:eastAsia="Calibri" w:hAnsi="Cambria" w:cs="Calibri"/>
                <w:lang w:val="hr-HR"/>
              </w:rPr>
              <w:lastRenderedPageBreak/>
              <w:t>Priručna:</w:t>
            </w:r>
          </w:p>
          <w:p w14:paraId="14B0977D" w14:textId="77777777" w:rsidR="005005C3" w:rsidRPr="00DF4CE5" w:rsidRDefault="005005C3" w:rsidP="005005C3">
            <w:pPr>
              <w:spacing w:after="0" w:line="240" w:lineRule="atLeast"/>
              <w:jc w:val="both"/>
              <w:rPr>
                <w:rFonts w:ascii="Cambria" w:eastAsia="Calibri" w:hAnsi="Cambria" w:cs="Calibri"/>
                <w:lang w:val="hr-HR"/>
              </w:rPr>
            </w:pPr>
            <w:r w:rsidRPr="00DF4CE5">
              <w:rPr>
                <w:rFonts w:ascii="Cambria" w:eastAsia="Calibri" w:hAnsi="Cambria" w:cs="Calibri"/>
                <w:lang w:val="hr-HR"/>
              </w:rPr>
              <w:t xml:space="preserve">1. Carpenter, H., </w:t>
            </w:r>
            <w:proofErr w:type="spellStart"/>
            <w:r w:rsidRPr="00DF4CE5">
              <w:rPr>
                <w:rFonts w:ascii="Cambria" w:eastAsia="Calibri" w:hAnsi="Cambria" w:cs="Calibri"/>
                <w:lang w:val="hr-HR"/>
              </w:rPr>
              <w:t>Prichard</w:t>
            </w:r>
            <w:proofErr w:type="spellEnd"/>
            <w:r w:rsidRPr="00DF4CE5">
              <w:rPr>
                <w:rFonts w:ascii="Cambria" w:eastAsia="Calibri" w:hAnsi="Cambria" w:cs="Calibri"/>
                <w:lang w:val="hr-HR"/>
              </w:rPr>
              <w:t xml:space="preserve">, M. </w:t>
            </w:r>
            <w:proofErr w:type="spellStart"/>
            <w:r w:rsidRPr="00DF4CE5">
              <w:rPr>
                <w:rFonts w:ascii="Cambria" w:eastAsia="Calibri" w:hAnsi="Cambria" w:cs="Calibri"/>
                <w:lang w:val="hr-HR"/>
              </w:rPr>
              <w:t>The</w:t>
            </w:r>
            <w:proofErr w:type="spellEnd"/>
            <w:r w:rsidRPr="00DF4CE5">
              <w:rPr>
                <w:rFonts w:ascii="Cambria" w:eastAsia="Calibri" w:hAnsi="Cambria" w:cs="Calibri"/>
                <w:lang w:val="hr-HR"/>
              </w:rPr>
              <w:t xml:space="preserve"> Oxford </w:t>
            </w:r>
            <w:proofErr w:type="spellStart"/>
            <w:r w:rsidRPr="00DF4CE5">
              <w:rPr>
                <w:rFonts w:ascii="Cambria" w:eastAsia="Calibri" w:hAnsi="Cambria" w:cs="Calibri"/>
                <w:lang w:val="hr-HR"/>
              </w:rPr>
              <w:t>Companion</w:t>
            </w:r>
            <w:proofErr w:type="spellEnd"/>
            <w:r w:rsidRPr="00DF4CE5">
              <w:rPr>
                <w:rFonts w:ascii="Cambria" w:eastAsia="Calibri" w:hAnsi="Cambria" w:cs="Calibri"/>
                <w:lang w:val="hr-HR"/>
              </w:rPr>
              <w:t xml:space="preserve"> to </w:t>
            </w:r>
            <w:proofErr w:type="spellStart"/>
            <w:r w:rsidRPr="00DF4CE5">
              <w:rPr>
                <w:rFonts w:ascii="Cambria" w:eastAsia="Calibri" w:hAnsi="Cambria" w:cs="Calibri"/>
                <w:lang w:val="hr-HR"/>
              </w:rPr>
              <w:t>Children's</w:t>
            </w:r>
            <w:proofErr w:type="spellEnd"/>
            <w:r w:rsidRPr="00DF4CE5">
              <w:rPr>
                <w:rFonts w:ascii="Cambria" w:eastAsia="Calibri" w:hAnsi="Cambria" w:cs="Calibri"/>
                <w:lang w:val="hr-HR"/>
              </w:rPr>
              <w:t xml:space="preserve"> Literature. Oxford i New York: Oxford University Press, 1999.</w:t>
            </w:r>
          </w:p>
          <w:p w14:paraId="55B0580C" w14:textId="77777777" w:rsidR="005005C3" w:rsidRPr="00DF4CE5" w:rsidRDefault="005005C3" w:rsidP="005005C3">
            <w:pPr>
              <w:spacing w:after="0" w:line="240" w:lineRule="atLeast"/>
              <w:jc w:val="both"/>
              <w:rPr>
                <w:rFonts w:ascii="Cambria" w:eastAsia="Calibri" w:hAnsi="Cambria" w:cs="Calibri"/>
                <w:lang w:val="hr-HR"/>
              </w:rPr>
            </w:pPr>
            <w:r w:rsidRPr="00DF4CE5">
              <w:rPr>
                <w:rFonts w:ascii="Cambria" w:eastAsia="Calibri" w:hAnsi="Cambria" w:cs="Calibri"/>
                <w:lang w:val="hr-HR"/>
              </w:rPr>
              <w:t>Odabrani ulomci iz književnih djela.</w:t>
            </w:r>
          </w:p>
          <w:p w14:paraId="692EA2B1" w14:textId="77777777" w:rsidR="005005C3" w:rsidRPr="00DF4CE5" w:rsidRDefault="005005C3" w:rsidP="005005C3">
            <w:pPr>
              <w:spacing w:after="0" w:line="240" w:lineRule="auto"/>
              <w:jc w:val="both"/>
              <w:rPr>
                <w:rFonts w:ascii="Cambria" w:eastAsia="Calibri" w:hAnsi="Cambria" w:cs="Calibri"/>
                <w:lang w:val="hr-HR"/>
              </w:rPr>
            </w:pPr>
          </w:p>
        </w:tc>
      </w:tr>
    </w:tbl>
    <w:p w14:paraId="35C83B5C" w14:textId="77777777" w:rsidR="00F436E1" w:rsidRPr="00DF4CE5" w:rsidRDefault="00F436E1" w:rsidP="008B34AF">
      <w:pPr>
        <w:jc w:val="both"/>
        <w:rPr>
          <w:rFonts w:ascii="Cambria" w:hAnsi="Cambria"/>
          <w:lang w:val="hr-HR"/>
        </w:rPr>
      </w:pPr>
    </w:p>
    <w:p w14:paraId="5D99F6C3" w14:textId="77777777" w:rsidR="00F436E1" w:rsidRPr="00DF4CE5" w:rsidRDefault="00F436E1" w:rsidP="008B34AF">
      <w:pPr>
        <w:jc w:val="both"/>
        <w:rPr>
          <w:rFonts w:ascii="Cambria" w:hAnsi="Cambria"/>
          <w:lang w:val="hr-HR"/>
        </w:rPr>
      </w:pPr>
    </w:p>
    <w:p w14:paraId="769C7579" w14:textId="77777777" w:rsidR="00F436E1" w:rsidRPr="00DF4CE5" w:rsidRDefault="00F436E1" w:rsidP="008B34AF">
      <w:pPr>
        <w:jc w:val="both"/>
        <w:rPr>
          <w:rFonts w:ascii="Cambria" w:hAnsi="Cambria"/>
          <w:lang w:val="hr-HR"/>
        </w:rPr>
      </w:pPr>
    </w:p>
    <w:p w14:paraId="6B538C9B" w14:textId="77777777" w:rsidR="00F436E1" w:rsidRPr="00DF4CE5" w:rsidRDefault="00F436E1" w:rsidP="008B34AF">
      <w:pPr>
        <w:jc w:val="both"/>
        <w:rPr>
          <w:rFonts w:ascii="Cambria" w:hAnsi="Cambria"/>
          <w:lang w:val="hr-HR"/>
        </w:rPr>
      </w:pPr>
    </w:p>
    <w:p w14:paraId="1B5028A5" w14:textId="30F74CA9" w:rsidR="00F436E1" w:rsidRPr="00DF4CE5" w:rsidRDefault="00DB0462" w:rsidP="00830554">
      <w:pPr>
        <w:rPr>
          <w:rFonts w:ascii="Cambria" w:hAnsi="Cambria"/>
          <w:lang w:val="hr-HR"/>
        </w:rPr>
      </w:pPr>
      <w:bookmarkStart w:id="107" w:name="_Hlk182302406"/>
      <w:r>
        <w:rPr>
          <w:rFonts w:ascii="Cambria" w:hAnsi="Cambria"/>
          <w:lang w:val="hr-HR"/>
        </w:rPr>
        <w:br w:type="page"/>
      </w:r>
    </w:p>
    <w:tbl>
      <w:tblPr>
        <w:tblW w:w="5000" w:type="pct"/>
        <w:tblLayout w:type="fixed"/>
        <w:tblCellMar>
          <w:left w:w="0" w:type="dxa"/>
          <w:right w:w="0" w:type="dxa"/>
        </w:tblCellMar>
        <w:tblLook w:val="0000" w:firstRow="0" w:lastRow="0" w:firstColumn="0" w:lastColumn="0" w:noHBand="0" w:noVBand="0"/>
      </w:tblPr>
      <w:tblGrid>
        <w:gridCol w:w="2806"/>
        <w:gridCol w:w="2663"/>
        <w:gridCol w:w="105"/>
        <w:gridCol w:w="1172"/>
        <w:gridCol w:w="300"/>
        <w:gridCol w:w="472"/>
        <w:gridCol w:w="1087"/>
        <w:gridCol w:w="1415"/>
      </w:tblGrid>
      <w:tr w:rsidR="00F436E1" w:rsidRPr="00DF4CE5" w14:paraId="28E7DA19" w14:textId="77777777" w:rsidTr="004A100E">
        <w:tc>
          <w:tcPr>
            <w:tcW w:w="9340"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9C72BCB" w14:textId="77777777" w:rsidR="00F436E1" w:rsidRPr="00DF4CE5" w:rsidRDefault="00F436E1" w:rsidP="00A12846">
            <w:pPr>
              <w:spacing w:after="0" w:line="240" w:lineRule="auto"/>
              <w:jc w:val="right"/>
              <w:rPr>
                <w:rFonts w:ascii="Cambria" w:eastAsia="Times New Roman" w:hAnsi="Cambria" w:cs="Calibri"/>
                <w:b/>
                <w:lang w:val="hr-HR"/>
              </w:rPr>
            </w:pPr>
            <w:r w:rsidRPr="00DF4CE5">
              <w:rPr>
                <w:rFonts w:ascii="Cambria" w:eastAsia="Times New Roman" w:hAnsi="Cambria" w:cs="Calibri"/>
                <w:b/>
                <w:lang w:val="hr-HR"/>
              </w:rPr>
              <w:lastRenderedPageBreak/>
              <w:t>IZVEDBENI PLAN NASTAVE KOLEGIJA</w:t>
            </w:r>
          </w:p>
        </w:tc>
      </w:tr>
      <w:tr w:rsidR="00F436E1" w:rsidRPr="00D0399C" w14:paraId="20687F80" w14:textId="77777777" w:rsidTr="004A100E">
        <w:tc>
          <w:tcPr>
            <w:tcW w:w="261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1A6B245" w14:textId="77777777" w:rsidR="00F436E1" w:rsidRPr="00DF4CE5" w:rsidRDefault="00F436E1"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Kod i naziv kolegija</w:t>
            </w:r>
          </w:p>
        </w:tc>
        <w:tc>
          <w:tcPr>
            <w:tcW w:w="672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311DBF4" w14:textId="25B9BCFF" w:rsidR="00F436E1" w:rsidRPr="00DF4CE5" w:rsidRDefault="001216EA"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247985</w:t>
            </w:r>
          </w:p>
          <w:p w14:paraId="6F300624" w14:textId="4E3DBA22" w:rsidR="00F436E1" w:rsidRPr="00DF4CE5" w:rsidRDefault="00F436E1" w:rsidP="008B34AF">
            <w:pPr>
              <w:spacing w:after="0" w:line="240" w:lineRule="auto"/>
              <w:jc w:val="both"/>
              <w:rPr>
                <w:rFonts w:ascii="Cambria" w:eastAsia="Times New Roman" w:hAnsi="Cambria" w:cs="Calibri"/>
                <w:b/>
                <w:lang w:val="hr-HR"/>
              </w:rPr>
            </w:pPr>
            <w:r w:rsidRPr="00DF4CE5">
              <w:rPr>
                <w:rFonts w:ascii="Cambria" w:eastAsia="Times New Roman" w:hAnsi="Cambria" w:cs="Calibri"/>
                <w:lang w:val="hr-HR"/>
              </w:rPr>
              <w:t>Metodika nastave engleskog jezika I</w:t>
            </w:r>
          </w:p>
        </w:tc>
      </w:tr>
      <w:tr w:rsidR="00F436E1" w:rsidRPr="00DF4CE5" w14:paraId="2364BB45" w14:textId="77777777" w:rsidTr="004A100E">
        <w:tc>
          <w:tcPr>
            <w:tcW w:w="261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3F0250B" w14:textId="3A4554C3" w:rsidR="00F436E1" w:rsidRPr="00DF4CE5" w:rsidRDefault="00F436E1"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Nastavnic</w:t>
            </w:r>
            <w:r w:rsidR="00727BE6">
              <w:rPr>
                <w:rFonts w:ascii="Cambria" w:eastAsia="Times New Roman" w:hAnsi="Cambria" w:cs="Calibri"/>
                <w:lang w:val="hr-HR"/>
              </w:rPr>
              <w:t>a</w:t>
            </w:r>
          </w:p>
          <w:p w14:paraId="0ECA0525" w14:textId="34F693E3" w:rsidR="00F436E1" w:rsidRPr="00DF4CE5" w:rsidRDefault="000A5FAD"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Suradnica</w:t>
            </w:r>
          </w:p>
        </w:tc>
        <w:tc>
          <w:tcPr>
            <w:tcW w:w="672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63BF948" w14:textId="19F05B98" w:rsidR="00BA30FF" w:rsidRPr="00727BE6" w:rsidRDefault="00C034A7" w:rsidP="00727BE6">
            <w:pPr>
              <w:spacing w:after="0" w:line="240" w:lineRule="auto"/>
              <w:jc w:val="both"/>
              <w:rPr>
                <w:rFonts w:ascii="Cambria" w:eastAsia="Times New Roman" w:hAnsi="Cambria" w:cs="Calibri"/>
                <w:lang w:val="hr-HR"/>
              </w:rPr>
            </w:pPr>
            <w:hyperlink r:id="rId153" w:history="1">
              <w:r w:rsidRPr="00C034A7">
                <w:rPr>
                  <w:rStyle w:val="Hiperveza"/>
                  <w:rFonts w:ascii="Cambria" w:eastAsia="Times New Roman" w:hAnsi="Cambria" w:cs="Times New Roman"/>
                  <w:lang w:val="hr-HR"/>
                </w:rPr>
                <w:t>N</w:t>
              </w:r>
              <w:r w:rsidR="00BA30FF" w:rsidRPr="00C034A7">
                <w:rPr>
                  <w:rStyle w:val="Hiperveza"/>
                  <w:rFonts w:ascii="Cambria" w:eastAsia="Times New Roman" w:hAnsi="Cambria" w:cs="Times New Roman"/>
                  <w:lang w:val="hr-HR"/>
                </w:rPr>
                <w:t xml:space="preserve">aslovna doc. dr. sc. </w:t>
              </w:r>
              <w:r w:rsidR="007A75FD" w:rsidRPr="00C034A7">
                <w:rPr>
                  <w:rStyle w:val="Hiperveza"/>
                  <w:rFonts w:ascii="Cambria" w:eastAsia="Times New Roman" w:hAnsi="Cambria" w:cs="Times New Roman"/>
                  <w:lang w:val="hr-HR"/>
                </w:rPr>
                <w:t xml:space="preserve">Marina Jajić </w:t>
              </w:r>
              <w:proofErr w:type="spellStart"/>
              <w:r w:rsidR="007A75FD" w:rsidRPr="00C034A7">
                <w:rPr>
                  <w:rStyle w:val="Hiperveza"/>
                  <w:rFonts w:ascii="Cambria" w:eastAsia="Times New Roman" w:hAnsi="Cambria" w:cs="Times New Roman"/>
                  <w:lang w:val="hr-HR"/>
                </w:rPr>
                <w:t>Novogradec</w:t>
              </w:r>
              <w:proofErr w:type="spellEnd"/>
            </w:hyperlink>
            <w:r w:rsidR="00727BE6">
              <w:rPr>
                <w:rStyle w:val="Hiperveza"/>
                <w:rFonts w:ascii="Cambria" w:eastAsia="Times New Roman" w:hAnsi="Cambria" w:cs="Times New Roman"/>
                <w:lang w:val="hr-HR"/>
              </w:rPr>
              <w:t xml:space="preserve"> </w:t>
            </w:r>
            <w:r w:rsidR="00727BE6">
              <w:rPr>
                <w:rFonts w:ascii="Cambria" w:eastAsia="Times New Roman" w:hAnsi="Cambria" w:cs="Calibri"/>
                <w:lang w:val="hr-HR"/>
              </w:rPr>
              <w:t>(</w:t>
            </w:r>
            <w:r w:rsidR="00727BE6" w:rsidRPr="00DF4CE5">
              <w:rPr>
                <w:rFonts w:ascii="Cambria" w:eastAsia="Times New Roman" w:hAnsi="Cambria" w:cs="Calibri"/>
                <w:lang w:val="hr-HR"/>
              </w:rPr>
              <w:t>nositeljica</w:t>
            </w:r>
            <w:r w:rsidR="00727BE6">
              <w:rPr>
                <w:rFonts w:ascii="Cambria" w:eastAsia="Times New Roman" w:hAnsi="Cambria" w:cs="Calibri"/>
                <w:lang w:val="hr-HR"/>
              </w:rPr>
              <w:t>)</w:t>
            </w:r>
          </w:p>
          <w:p w14:paraId="7734105D" w14:textId="38EF5BDF" w:rsidR="007A75FD" w:rsidRPr="00DF4CE5" w:rsidRDefault="007A75FD" w:rsidP="00BA30FF">
            <w:pPr>
              <w:widowControl w:val="0"/>
              <w:spacing w:after="0" w:line="240" w:lineRule="auto"/>
              <w:rPr>
                <w:rFonts w:ascii="Cambria" w:eastAsia="Times New Roman" w:hAnsi="Cambria" w:cs="Times New Roman"/>
                <w:lang w:val="hr-HR"/>
              </w:rPr>
            </w:pPr>
            <w:hyperlink r:id="rId154" w:history="1">
              <w:r w:rsidRPr="00DF4CE5">
                <w:rPr>
                  <w:rStyle w:val="Hiperveza"/>
                  <w:rFonts w:ascii="Cambria" w:eastAsia="Times New Roman" w:hAnsi="Cambria" w:cs="Times New Roman"/>
                  <w:lang w:val="hr-HR"/>
                </w:rPr>
                <w:t>Jelena Gugić, asistentica</w:t>
              </w:r>
            </w:hyperlink>
          </w:p>
        </w:tc>
      </w:tr>
      <w:tr w:rsidR="00F436E1" w:rsidRPr="00D0399C" w14:paraId="06E1E6C5" w14:textId="77777777" w:rsidTr="004A100E">
        <w:tc>
          <w:tcPr>
            <w:tcW w:w="261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A7106BA" w14:textId="77777777" w:rsidR="00F436E1" w:rsidRPr="00DF4CE5" w:rsidRDefault="00F436E1"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Studijski program</w:t>
            </w:r>
          </w:p>
        </w:tc>
        <w:tc>
          <w:tcPr>
            <w:tcW w:w="672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D1C0469" w14:textId="77777777" w:rsidR="00F436E1" w:rsidRPr="00DF4CE5" w:rsidRDefault="00BE4D96" w:rsidP="008B34AF">
            <w:pPr>
              <w:spacing w:after="0" w:line="240" w:lineRule="auto"/>
              <w:jc w:val="both"/>
              <w:rPr>
                <w:rFonts w:ascii="Cambria" w:eastAsia="Times New Roman" w:hAnsi="Cambria" w:cs="Calibri"/>
                <w:lang w:val="hr-HR"/>
              </w:rPr>
            </w:pPr>
            <w:r w:rsidRPr="00DF4CE5">
              <w:rPr>
                <w:rFonts w:ascii="Cambria" w:hAnsi="Cambria"/>
                <w:lang w:val="hr-HR"/>
              </w:rPr>
              <w:t>Sveučilišni integrirani prijediplomski i diplomski Učiteljski studij na hrvatskom jeziku</w:t>
            </w:r>
          </w:p>
        </w:tc>
      </w:tr>
      <w:tr w:rsidR="00F436E1" w:rsidRPr="00DF4CE5" w14:paraId="3CADC6EE" w14:textId="77777777" w:rsidTr="004A100E">
        <w:tc>
          <w:tcPr>
            <w:tcW w:w="261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35ED701" w14:textId="77777777" w:rsidR="00F436E1" w:rsidRPr="00DF4CE5" w:rsidRDefault="00F436E1"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Vrsta kolegija</w:t>
            </w:r>
          </w:p>
        </w:tc>
        <w:tc>
          <w:tcPr>
            <w:tcW w:w="248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86B0720" w14:textId="77777777" w:rsidR="00F436E1" w:rsidRPr="00DF4CE5" w:rsidRDefault="00F436E1"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obvezan </w:t>
            </w:r>
          </w:p>
          <w:p w14:paraId="0CFD0E3A" w14:textId="77777777" w:rsidR="00F436E1" w:rsidRPr="00DF4CE5" w:rsidRDefault="00F436E1" w:rsidP="008B34AF">
            <w:pPr>
              <w:spacing w:after="0" w:line="240" w:lineRule="auto"/>
              <w:jc w:val="both"/>
              <w:rPr>
                <w:rFonts w:ascii="Cambria" w:eastAsia="Times New Roman" w:hAnsi="Cambria" w:cs="Calibri"/>
                <w:lang w:val="hr-HR"/>
              </w:rPr>
            </w:pPr>
          </w:p>
        </w:tc>
        <w:tc>
          <w:tcPr>
            <w:tcW w:w="1470"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63177201" w14:textId="77777777" w:rsidR="00F436E1" w:rsidRPr="00DF4CE5" w:rsidRDefault="00F436E1"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Razina kolegija</w:t>
            </w:r>
          </w:p>
        </w:tc>
        <w:tc>
          <w:tcPr>
            <w:tcW w:w="2772"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57D6D47" w14:textId="77777777" w:rsidR="00F436E1" w:rsidRPr="00DF4CE5" w:rsidRDefault="00F436E1" w:rsidP="008B34AF">
            <w:pPr>
              <w:spacing w:after="0" w:line="240" w:lineRule="auto"/>
              <w:jc w:val="both"/>
              <w:rPr>
                <w:rFonts w:ascii="Cambria" w:eastAsia="Times New Roman" w:hAnsi="Cambria" w:cs="Calibri"/>
                <w:lang w:val="hr-HR"/>
              </w:rPr>
            </w:pPr>
          </w:p>
          <w:p w14:paraId="07D5F944" w14:textId="77777777" w:rsidR="00F436E1" w:rsidRPr="00DF4CE5" w:rsidRDefault="00F436E1" w:rsidP="008B34AF">
            <w:pPr>
              <w:spacing w:after="0" w:line="240" w:lineRule="auto"/>
              <w:jc w:val="both"/>
              <w:rPr>
                <w:rFonts w:ascii="Cambria" w:eastAsia="Times New Roman" w:hAnsi="Cambria" w:cs="Calibri"/>
                <w:lang w:val="hr-HR"/>
              </w:rPr>
            </w:pPr>
            <w:proofErr w:type="spellStart"/>
            <w:r w:rsidRPr="00DF4CE5">
              <w:rPr>
                <w:rFonts w:ascii="Cambria" w:eastAsia="Times New Roman" w:hAnsi="Cambria" w:cs="Calibri"/>
                <w:lang w:val="it-IT"/>
              </w:rPr>
              <w:t>integrirani</w:t>
            </w:r>
            <w:proofErr w:type="spellEnd"/>
          </w:p>
          <w:p w14:paraId="36C84938" w14:textId="77777777" w:rsidR="00F436E1" w:rsidRPr="00DF4CE5" w:rsidRDefault="00F436E1" w:rsidP="008B34AF">
            <w:pPr>
              <w:spacing w:after="0" w:line="240" w:lineRule="auto"/>
              <w:jc w:val="both"/>
              <w:rPr>
                <w:rFonts w:ascii="Cambria" w:eastAsia="Times New Roman" w:hAnsi="Cambria" w:cs="Calibri"/>
                <w:lang w:val="hr-HR"/>
              </w:rPr>
            </w:pPr>
          </w:p>
        </w:tc>
      </w:tr>
      <w:tr w:rsidR="00F436E1" w:rsidRPr="00DF4CE5" w14:paraId="302BDF81" w14:textId="77777777" w:rsidTr="004A100E">
        <w:tc>
          <w:tcPr>
            <w:tcW w:w="261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1B56D47" w14:textId="77777777" w:rsidR="00F436E1" w:rsidRPr="00DF4CE5" w:rsidRDefault="00F436E1"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Semestar</w:t>
            </w:r>
          </w:p>
        </w:tc>
        <w:tc>
          <w:tcPr>
            <w:tcW w:w="248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82E2E4F" w14:textId="20FE2DF4" w:rsidR="00F436E1" w:rsidRPr="00DF4CE5" w:rsidRDefault="00C034A7" w:rsidP="008B34AF">
            <w:pPr>
              <w:spacing w:after="0" w:line="240" w:lineRule="auto"/>
              <w:jc w:val="both"/>
              <w:rPr>
                <w:rFonts w:ascii="Cambria" w:eastAsia="Times New Roman" w:hAnsi="Cambria" w:cs="Calibri"/>
                <w:lang w:val="hr-HR"/>
              </w:rPr>
            </w:pPr>
            <w:r>
              <w:rPr>
                <w:rFonts w:ascii="Cambria" w:eastAsia="Times New Roman" w:hAnsi="Cambria" w:cs="Calibri"/>
                <w:lang w:val="hr-HR"/>
              </w:rPr>
              <w:t>l</w:t>
            </w:r>
            <w:r w:rsidR="00F436E1" w:rsidRPr="00DF4CE5">
              <w:rPr>
                <w:rFonts w:ascii="Cambria" w:eastAsia="Times New Roman" w:hAnsi="Cambria" w:cs="Calibri"/>
                <w:lang w:val="hr-HR"/>
              </w:rPr>
              <w:t>jetni</w:t>
            </w:r>
          </w:p>
          <w:p w14:paraId="7EB36DBA" w14:textId="77777777" w:rsidR="00F436E1" w:rsidRPr="00DF4CE5" w:rsidRDefault="00F436E1" w:rsidP="008B34AF">
            <w:pPr>
              <w:spacing w:after="0" w:line="240" w:lineRule="auto"/>
              <w:jc w:val="both"/>
              <w:rPr>
                <w:rFonts w:ascii="Cambria" w:eastAsia="Times New Roman" w:hAnsi="Cambria" w:cs="Calibri"/>
                <w:lang w:val="hr-HR"/>
              </w:rPr>
            </w:pPr>
          </w:p>
        </w:tc>
        <w:tc>
          <w:tcPr>
            <w:tcW w:w="1470"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44858164" w14:textId="77777777" w:rsidR="00F436E1" w:rsidRPr="00DF4CE5" w:rsidRDefault="00F436E1"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Godina studija</w:t>
            </w:r>
          </w:p>
        </w:tc>
        <w:tc>
          <w:tcPr>
            <w:tcW w:w="2772"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0C1A6E1" w14:textId="77777777" w:rsidR="00F436E1" w:rsidRPr="00DF4CE5" w:rsidRDefault="00F436E1"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IV.</w:t>
            </w:r>
          </w:p>
        </w:tc>
      </w:tr>
      <w:tr w:rsidR="00F436E1" w:rsidRPr="00DF4CE5" w14:paraId="705C5E1C" w14:textId="77777777" w:rsidTr="004A100E">
        <w:tc>
          <w:tcPr>
            <w:tcW w:w="261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E2A2292" w14:textId="77777777" w:rsidR="00F436E1" w:rsidRPr="00DF4CE5" w:rsidRDefault="00F436E1" w:rsidP="008B34AF">
            <w:pPr>
              <w:spacing w:after="0" w:line="240" w:lineRule="auto"/>
              <w:jc w:val="both"/>
              <w:rPr>
                <w:rFonts w:ascii="Cambria" w:eastAsia="Times New Roman" w:hAnsi="Cambria" w:cs="Calibri"/>
                <w:lang w:val="hr-HR"/>
              </w:rPr>
            </w:pPr>
            <w:proofErr w:type="spellStart"/>
            <w:r w:rsidRPr="00DF4CE5">
              <w:rPr>
                <w:rFonts w:ascii="Cambria" w:eastAsia="Times New Roman" w:hAnsi="Cambria" w:cs="Calibri"/>
              </w:rPr>
              <w:t>Mjesto</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izvođenja</w:t>
            </w:r>
            <w:proofErr w:type="spellEnd"/>
          </w:p>
        </w:tc>
        <w:tc>
          <w:tcPr>
            <w:tcW w:w="248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17CF230" w14:textId="6EB0EFDE" w:rsidR="00F436E1" w:rsidRPr="00DF4CE5" w:rsidRDefault="00C034A7" w:rsidP="008B34AF">
            <w:pPr>
              <w:spacing w:after="0" w:line="240" w:lineRule="auto"/>
              <w:jc w:val="both"/>
              <w:rPr>
                <w:rFonts w:ascii="Cambria" w:eastAsia="Times New Roman" w:hAnsi="Cambria" w:cs="Calibri"/>
                <w:lang w:val="hr-HR"/>
              </w:rPr>
            </w:pPr>
            <w:r>
              <w:rPr>
                <w:rFonts w:ascii="Cambria" w:eastAsia="Times New Roman" w:hAnsi="Cambria" w:cs="Calibri"/>
                <w:lang w:val="hr-HR"/>
              </w:rPr>
              <w:t>u</w:t>
            </w:r>
            <w:r w:rsidR="00F436E1" w:rsidRPr="00DF4CE5">
              <w:rPr>
                <w:rFonts w:ascii="Cambria" w:eastAsia="Times New Roman" w:hAnsi="Cambria" w:cs="Calibri"/>
                <w:lang w:val="hr-HR"/>
              </w:rPr>
              <w:t>čionica</w:t>
            </w:r>
          </w:p>
        </w:tc>
        <w:tc>
          <w:tcPr>
            <w:tcW w:w="1470"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4163E94A" w14:textId="77777777" w:rsidR="00F436E1" w:rsidRPr="00DF4CE5" w:rsidRDefault="00F436E1" w:rsidP="008B34AF">
            <w:pPr>
              <w:spacing w:after="0" w:line="240" w:lineRule="auto"/>
              <w:jc w:val="both"/>
              <w:rPr>
                <w:rFonts w:ascii="Cambria" w:eastAsia="Times New Roman" w:hAnsi="Cambria" w:cs="Calibri"/>
                <w:lang w:val="hr-HR"/>
              </w:rPr>
            </w:pPr>
            <w:r w:rsidRPr="00DF4CE5">
              <w:rPr>
                <w:rFonts w:ascii="Cambria" w:eastAsia="Times New Roman" w:hAnsi="Cambria" w:cs="Calibri"/>
              </w:rPr>
              <w:t>Jezik</w:t>
            </w:r>
            <w:r w:rsidRPr="00DF4CE5">
              <w:rPr>
                <w:rFonts w:ascii="Cambria" w:eastAsia="Times New Roman" w:hAnsi="Cambria" w:cs="Calibri"/>
                <w:lang w:val="hr-HR"/>
              </w:rPr>
              <w:t xml:space="preserve"> izvođenja (drugi jezici)</w:t>
            </w:r>
          </w:p>
        </w:tc>
        <w:tc>
          <w:tcPr>
            <w:tcW w:w="2772"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0F98B28" w14:textId="330E3C65" w:rsidR="00F436E1" w:rsidRPr="00DF4CE5" w:rsidRDefault="00C034A7" w:rsidP="008B34AF">
            <w:pPr>
              <w:spacing w:after="0" w:line="240" w:lineRule="auto"/>
              <w:jc w:val="both"/>
              <w:rPr>
                <w:rFonts w:ascii="Cambria" w:eastAsia="Times New Roman" w:hAnsi="Cambria" w:cs="Calibri"/>
                <w:lang w:val="hr-HR"/>
              </w:rPr>
            </w:pPr>
            <w:r>
              <w:rPr>
                <w:rFonts w:ascii="Cambria" w:eastAsia="Times New Roman" w:hAnsi="Cambria" w:cs="Calibri"/>
                <w:lang w:val="hr-HR"/>
              </w:rPr>
              <w:t>e</w:t>
            </w:r>
            <w:r w:rsidR="00F436E1" w:rsidRPr="00DF4CE5">
              <w:rPr>
                <w:rFonts w:ascii="Cambria" w:eastAsia="Times New Roman" w:hAnsi="Cambria" w:cs="Calibri"/>
                <w:lang w:val="hr-HR"/>
              </w:rPr>
              <w:t>ngleski</w:t>
            </w:r>
          </w:p>
        </w:tc>
      </w:tr>
      <w:tr w:rsidR="00F436E1" w:rsidRPr="00DF4CE5" w14:paraId="28882189" w14:textId="77777777" w:rsidTr="004A100E">
        <w:tc>
          <w:tcPr>
            <w:tcW w:w="261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2935D8C" w14:textId="77777777" w:rsidR="00F436E1" w:rsidRPr="00DF4CE5" w:rsidRDefault="00F436E1"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Broj ECTS bodova</w:t>
            </w:r>
          </w:p>
        </w:tc>
        <w:tc>
          <w:tcPr>
            <w:tcW w:w="248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A7883A0" w14:textId="77777777" w:rsidR="00F436E1" w:rsidRPr="00DF4CE5" w:rsidRDefault="00F436E1"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2</w:t>
            </w:r>
          </w:p>
        </w:tc>
        <w:tc>
          <w:tcPr>
            <w:tcW w:w="1470"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4C5E5AB4" w14:textId="77777777" w:rsidR="00F436E1" w:rsidRPr="00DF4CE5" w:rsidRDefault="00F436E1"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Broj sati u semestru</w:t>
            </w:r>
          </w:p>
        </w:tc>
        <w:tc>
          <w:tcPr>
            <w:tcW w:w="2772"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ACA9377" w14:textId="5E3EF5C2" w:rsidR="00F436E1" w:rsidRPr="00DF4CE5" w:rsidRDefault="00F436E1"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15P – </w:t>
            </w:r>
            <w:r w:rsidR="00481108" w:rsidRPr="00DF4CE5">
              <w:rPr>
                <w:rFonts w:ascii="Cambria" w:eastAsia="Times New Roman" w:hAnsi="Cambria" w:cs="Calibri"/>
                <w:lang w:val="hr-HR"/>
              </w:rPr>
              <w:t>15S</w:t>
            </w:r>
            <w:r w:rsidRPr="00DF4CE5">
              <w:rPr>
                <w:rFonts w:ascii="Cambria" w:eastAsia="Times New Roman" w:hAnsi="Cambria" w:cs="Calibri"/>
                <w:lang w:val="hr-HR"/>
              </w:rPr>
              <w:t xml:space="preserve"> – </w:t>
            </w:r>
            <w:r w:rsidR="00481108" w:rsidRPr="00DF4CE5">
              <w:rPr>
                <w:rFonts w:ascii="Cambria" w:eastAsia="Times New Roman" w:hAnsi="Cambria" w:cs="Calibri"/>
                <w:lang w:val="hr-HR"/>
              </w:rPr>
              <w:t>0V</w:t>
            </w:r>
            <w:r w:rsidRPr="00DF4CE5">
              <w:rPr>
                <w:rFonts w:ascii="Cambria" w:eastAsia="Times New Roman" w:hAnsi="Cambria" w:cs="Calibri"/>
                <w:lang w:val="hr-HR"/>
              </w:rPr>
              <w:t xml:space="preserve">  </w:t>
            </w:r>
          </w:p>
        </w:tc>
      </w:tr>
      <w:tr w:rsidR="00F436E1" w:rsidRPr="00DF4CE5" w14:paraId="7385A8F9" w14:textId="77777777" w:rsidTr="004A100E">
        <w:tc>
          <w:tcPr>
            <w:tcW w:w="261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97B4E6D" w14:textId="77777777" w:rsidR="00F436E1" w:rsidRPr="00DF4CE5" w:rsidRDefault="00F436E1"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Preduvjeti za upis i za svladavanje</w:t>
            </w:r>
          </w:p>
        </w:tc>
        <w:tc>
          <w:tcPr>
            <w:tcW w:w="672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A7C7447" w14:textId="77777777" w:rsidR="00F436E1" w:rsidRPr="00DF4CE5" w:rsidRDefault="00F436E1"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Nema preduvjeta za upis</w:t>
            </w:r>
          </w:p>
        </w:tc>
      </w:tr>
      <w:tr w:rsidR="00F436E1" w:rsidRPr="00D0399C" w14:paraId="7347E41D" w14:textId="77777777" w:rsidTr="004A100E">
        <w:tc>
          <w:tcPr>
            <w:tcW w:w="261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9B048D9" w14:textId="77777777" w:rsidR="00F436E1" w:rsidRPr="00DF4CE5" w:rsidRDefault="00F436E1" w:rsidP="008B34AF">
            <w:pPr>
              <w:spacing w:after="0" w:line="240" w:lineRule="auto"/>
              <w:jc w:val="both"/>
              <w:rPr>
                <w:rFonts w:ascii="Cambria" w:eastAsia="Times New Roman" w:hAnsi="Cambria" w:cs="Calibri"/>
                <w:lang w:val="hr-HR"/>
              </w:rPr>
            </w:pPr>
            <w:proofErr w:type="spellStart"/>
            <w:r w:rsidRPr="00DF4CE5">
              <w:rPr>
                <w:rFonts w:ascii="Cambria" w:eastAsia="Times New Roman" w:hAnsi="Cambria" w:cs="Calibri"/>
              </w:rPr>
              <w:t>Korelativnost</w:t>
            </w:r>
            <w:proofErr w:type="spellEnd"/>
          </w:p>
        </w:tc>
        <w:tc>
          <w:tcPr>
            <w:tcW w:w="672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11CCA7A3" w14:textId="5A620BC2" w:rsidR="00F436E1" w:rsidRPr="00DF4CE5" w:rsidRDefault="00F436E1" w:rsidP="008B34AF">
            <w:pPr>
              <w:spacing w:before="20" w:after="20" w:line="240" w:lineRule="auto"/>
              <w:jc w:val="both"/>
              <w:rPr>
                <w:rFonts w:ascii="Cambria" w:eastAsia="Times New Roman" w:hAnsi="Cambria" w:cs="Calibri"/>
                <w:lang w:val="hr-HR"/>
              </w:rPr>
            </w:pPr>
            <w:r w:rsidRPr="00DF4CE5">
              <w:rPr>
                <w:rFonts w:ascii="Cambria" w:eastAsia="Times New Roman" w:hAnsi="Cambria" w:cs="Calibri"/>
                <w:lang w:val="hr-HR"/>
              </w:rPr>
              <w:t>Metodika nastave engleskog jezika II</w:t>
            </w:r>
            <w:r w:rsidR="00C034A7">
              <w:rPr>
                <w:rFonts w:ascii="Cambria" w:eastAsia="Times New Roman" w:hAnsi="Cambria" w:cs="Calibri"/>
                <w:lang w:val="hr-HR"/>
              </w:rPr>
              <w:t xml:space="preserve">, </w:t>
            </w:r>
            <w:r w:rsidRPr="00DF4CE5">
              <w:rPr>
                <w:rFonts w:ascii="Cambria" w:eastAsia="Times New Roman" w:hAnsi="Cambria" w:cs="Calibri"/>
                <w:lang w:val="hr-HR"/>
              </w:rPr>
              <w:t>Metodika nastave engleskog jezika III</w:t>
            </w:r>
          </w:p>
        </w:tc>
      </w:tr>
      <w:tr w:rsidR="00F436E1" w:rsidRPr="00D0399C" w14:paraId="0FC7A02A" w14:textId="77777777" w:rsidTr="004A100E">
        <w:tc>
          <w:tcPr>
            <w:tcW w:w="261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8072CD0" w14:textId="77777777" w:rsidR="00F436E1" w:rsidRPr="00DF4CE5" w:rsidRDefault="00F436E1"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Cilj kolegija </w:t>
            </w:r>
          </w:p>
        </w:tc>
        <w:tc>
          <w:tcPr>
            <w:tcW w:w="672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364F0034" w14:textId="77777777" w:rsidR="00F436E1" w:rsidRPr="00DF4CE5" w:rsidRDefault="00F436E1" w:rsidP="008B34AF">
            <w:pPr>
              <w:spacing w:before="20" w:after="20" w:line="240" w:lineRule="auto"/>
              <w:jc w:val="both"/>
              <w:rPr>
                <w:rFonts w:ascii="Cambria" w:eastAsia="Times New Roman" w:hAnsi="Cambria" w:cs="Calibri"/>
                <w:lang w:val="hr-HR"/>
              </w:rPr>
            </w:pPr>
            <w:r w:rsidRPr="00DF4CE5">
              <w:rPr>
                <w:rFonts w:ascii="Cambria" w:eastAsia="Times New Roman" w:hAnsi="Cambria" w:cs="Calibri"/>
                <w:lang w:val="hr-HR"/>
              </w:rPr>
              <w:t xml:space="preserve">stjecati temeljna znanja iz područja teorije nastave stranih jezika; razumjeti osnovne koncepte </w:t>
            </w:r>
            <w:proofErr w:type="spellStart"/>
            <w:r w:rsidRPr="00DF4CE5">
              <w:rPr>
                <w:rFonts w:ascii="Cambria" w:eastAsia="Times New Roman" w:hAnsi="Cambria" w:cs="Calibri"/>
                <w:lang w:val="hr-HR"/>
              </w:rPr>
              <w:t>glotodidaktike</w:t>
            </w:r>
            <w:proofErr w:type="spellEnd"/>
          </w:p>
        </w:tc>
      </w:tr>
      <w:tr w:rsidR="00F436E1" w:rsidRPr="00D0399C" w14:paraId="2EEA3170" w14:textId="77777777" w:rsidTr="004A100E">
        <w:tc>
          <w:tcPr>
            <w:tcW w:w="261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858137E" w14:textId="77777777" w:rsidR="00F436E1" w:rsidRPr="00DF4CE5" w:rsidRDefault="00F436E1"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Ishodi učenja</w:t>
            </w:r>
          </w:p>
        </w:tc>
        <w:tc>
          <w:tcPr>
            <w:tcW w:w="672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5F0B75E" w14:textId="77777777" w:rsidR="00F436E1" w:rsidRPr="00DF4CE5" w:rsidRDefault="00F436E1" w:rsidP="00A034E3">
            <w:pPr>
              <w:numPr>
                <w:ilvl w:val="0"/>
                <w:numId w:val="33"/>
              </w:numPr>
              <w:spacing w:after="0" w:line="240" w:lineRule="auto"/>
              <w:ind w:left="360"/>
              <w:contextualSpacing/>
              <w:jc w:val="both"/>
              <w:rPr>
                <w:rFonts w:ascii="Cambria" w:eastAsia="Times New Roman" w:hAnsi="Cambria" w:cs="Calibri"/>
                <w:lang w:val="hr-HR"/>
              </w:rPr>
            </w:pPr>
            <w:r w:rsidRPr="00DF4CE5">
              <w:rPr>
                <w:rFonts w:ascii="Cambria" w:eastAsia="Times New Roman" w:hAnsi="Cambria" w:cs="Calibri"/>
                <w:lang w:val="hr-HR"/>
              </w:rPr>
              <w:t xml:space="preserve">definirati osnovne pojmove iz područja </w:t>
            </w:r>
            <w:proofErr w:type="spellStart"/>
            <w:r w:rsidRPr="00DF4CE5">
              <w:rPr>
                <w:rFonts w:ascii="Cambria" w:eastAsia="Times New Roman" w:hAnsi="Cambria" w:cs="Calibri"/>
                <w:lang w:val="hr-HR"/>
              </w:rPr>
              <w:t>glotodidaktike</w:t>
            </w:r>
            <w:proofErr w:type="spellEnd"/>
            <w:r w:rsidRPr="00DF4CE5">
              <w:rPr>
                <w:rFonts w:ascii="Cambria" w:eastAsia="Times New Roman" w:hAnsi="Cambria" w:cs="Calibri"/>
                <w:lang w:val="hr-HR"/>
              </w:rPr>
              <w:t xml:space="preserve"> engleskog kao stranog jezika s posebnim osvrtom na rano učenje</w:t>
            </w:r>
          </w:p>
          <w:p w14:paraId="5EB76EE2" w14:textId="77777777" w:rsidR="00F436E1" w:rsidRPr="00DF4CE5" w:rsidRDefault="00F436E1" w:rsidP="00A034E3">
            <w:pPr>
              <w:numPr>
                <w:ilvl w:val="0"/>
                <w:numId w:val="33"/>
              </w:numPr>
              <w:spacing w:after="0" w:line="240" w:lineRule="auto"/>
              <w:ind w:left="360"/>
              <w:contextualSpacing/>
              <w:jc w:val="both"/>
              <w:rPr>
                <w:rFonts w:ascii="Cambria" w:eastAsia="Times New Roman" w:hAnsi="Cambria" w:cs="Calibri"/>
                <w:lang w:val="hr-HR"/>
              </w:rPr>
            </w:pPr>
            <w:r w:rsidRPr="00DF4CE5">
              <w:rPr>
                <w:rFonts w:ascii="Cambria" w:eastAsia="Times New Roman" w:hAnsi="Cambria" w:cs="Calibri"/>
                <w:lang w:val="hr-HR"/>
              </w:rPr>
              <w:t xml:space="preserve">objasniti različite metode i pristupe učenju i poučavanju stranih jezika </w:t>
            </w:r>
          </w:p>
          <w:p w14:paraId="3E25B6DC" w14:textId="77777777" w:rsidR="00F436E1" w:rsidRPr="00DF4CE5" w:rsidRDefault="00F436E1" w:rsidP="00A034E3">
            <w:pPr>
              <w:numPr>
                <w:ilvl w:val="0"/>
                <w:numId w:val="33"/>
              </w:numPr>
              <w:spacing w:after="0" w:line="240" w:lineRule="auto"/>
              <w:ind w:left="360"/>
              <w:contextualSpacing/>
              <w:jc w:val="both"/>
              <w:rPr>
                <w:rFonts w:ascii="Cambria" w:eastAsia="Times New Roman" w:hAnsi="Cambria" w:cs="Calibri"/>
                <w:lang w:val="hr-HR"/>
              </w:rPr>
            </w:pPr>
            <w:r w:rsidRPr="00DF4CE5">
              <w:rPr>
                <w:rFonts w:ascii="Cambria" w:eastAsia="Times New Roman" w:hAnsi="Cambria" w:cs="Calibri"/>
                <w:lang w:val="hr-HR"/>
              </w:rPr>
              <w:t>objasniti važnost učenja stranog jezika u ranoj dobi</w:t>
            </w:r>
          </w:p>
          <w:p w14:paraId="47E4D8D5" w14:textId="77777777" w:rsidR="00F436E1" w:rsidRPr="00DF4CE5" w:rsidRDefault="00F436E1" w:rsidP="00A034E3">
            <w:pPr>
              <w:numPr>
                <w:ilvl w:val="0"/>
                <w:numId w:val="33"/>
              </w:numPr>
              <w:spacing w:after="0" w:line="240" w:lineRule="auto"/>
              <w:ind w:left="360"/>
              <w:contextualSpacing/>
              <w:jc w:val="both"/>
              <w:rPr>
                <w:rFonts w:ascii="Cambria" w:eastAsia="Times New Roman" w:hAnsi="Cambria" w:cs="Arial"/>
                <w:lang w:val="hr-HR"/>
              </w:rPr>
            </w:pPr>
            <w:r w:rsidRPr="00DF4CE5">
              <w:rPr>
                <w:rFonts w:ascii="Cambria" w:eastAsia="Times New Roman" w:hAnsi="Cambria" w:cs="Arial"/>
                <w:lang w:val="hr-HR"/>
              </w:rPr>
              <w:t>definirati razne kontekstualne i individualne faktore koje mogu djelovati kao (de)motivatori u procesu ranog učenja stranog jezika</w:t>
            </w:r>
          </w:p>
          <w:p w14:paraId="315F4516" w14:textId="77777777" w:rsidR="00F436E1" w:rsidRPr="00DF4CE5" w:rsidRDefault="00F436E1" w:rsidP="00A034E3">
            <w:pPr>
              <w:numPr>
                <w:ilvl w:val="0"/>
                <w:numId w:val="33"/>
              </w:numPr>
              <w:spacing w:after="0" w:line="240" w:lineRule="auto"/>
              <w:ind w:left="360"/>
              <w:contextualSpacing/>
              <w:jc w:val="both"/>
              <w:rPr>
                <w:rFonts w:ascii="Cambria" w:eastAsia="Times New Roman" w:hAnsi="Cambria" w:cs="Arial"/>
                <w:lang w:val="hr-HR"/>
              </w:rPr>
            </w:pPr>
            <w:r w:rsidRPr="00DF4CE5">
              <w:rPr>
                <w:rFonts w:ascii="Cambria" w:eastAsia="Times New Roman" w:hAnsi="Cambria" w:cs="Arial"/>
                <w:lang w:val="hr-HR"/>
              </w:rPr>
              <w:t>kritički promišljati o važnosti kompetencija učitelja u kontekstu ranog učenja stranog jezika</w:t>
            </w:r>
          </w:p>
        </w:tc>
      </w:tr>
      <w:tr w:rsidR="00F436E1" w:rsidRPr="00D0399C" w14:paraId="581B4DC2" w14:textId="77777777" w:rsidTr="004A100E">
        <w:tc>
          <w:tcPr>
            <w:tcW w:w="2616"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6977645C" w14:textId="77777777" w:rsidR="00F436E1" w:rsidRPr="00DF4CE5" w:rsidRDefault="00F436E1"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Sadržaj kolegija</w:t>
            </w:r>
          </w:p>
        </w:tc>
        <w:tc>
          <w:tcPr>
            <w:tcW w:w="6724"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45212FD" w14:textId="77777777" w:rsidR="00F436E1" w:rsidRPr="00DF4CE5" w:rsidRDefault="00F436E1" w:rsidP="00A034E3">
            <w:pPr>
              <w:numPr>
                <w:ilvl w:val="0"/>
                <w:numId w:val="30"/>
              </w:numPr>
              <w:spacing w:before="20" w:after="20" w:line="240" w:lineRule="auto"/>
              <w:contextualSpacing/>
              <w:jc w:val="both"/>
              <w:rPr>
                <w:rFonts w:ascii="Cambria" w:eastAsia="Times New Roman" w:hAnsi="Cambria" w:cs="Calibri"/>
                <w:lang w:val="hr-HR"/>
              </w:rPr>
            </w:pPr>
            <w:r w:rsidRPr="00DF4CE5">
              <w:rPr>
                <w:rFonts w:ascii="Cambria" w:eastAsia="Times New Roman" w:hAnsi="Cambria" w:cs="Calibri"/>
                <w:lang w:val="hr-HR"/>
              </w:rPr>
              <w:t>Uvodno predavanje: obveze studenata; upute za pisanje seminarskog rada</w:t>
            </w:r>
          </w:p>
          <w:p w14:paraId="7BAF2728" w14:textId="77777777" w:rsidR="00F436E1" w:rsidRPr="00DF4CE5" w:rsidRDefault="00F436E1" w:rsidP="00A034E3">
            <w:pPr>
              <w:numPr>
                <w:ilvl w:val="0"/>
                <w:numId w:val="30"/>
              </w:numPr>
              <w:spacing w:before="20" w:after="20" w:line="240" w:lineRule="auto"/>
              <w:contextualSpacing/>
              <w:jc w:val="both"/>
              <w:rPr>
                <w:rFonts w:ascii="Cambria" w:eastAsia="Times New Roman" w:hAnsi="Cambria" w:cs="Calibri"/>
                <w:lang w:val="hr-HR"/>
              </w:rPr>
            </w:pPr>
            <w:r w:rsidRPr="00DF4CE5">
              <w:rPr>
                <w:rFonts w:ascii="Cambria" w:eastAsia="Times New Roman" w:hAnsi="Cambria" w:cs="Calibri"/>
                <w:lang w:val="hr-HR"/>
              </w:rPr>
              <w:t xml:space="preserve">Čimbenici koji utječu na uspješnost usvajanja stranoga jezika </w:t>
            </w:r>
          </w:p>
          <w:p w14:paraId="097E3307" w14:textId="77777777" w:rsidR="00F436E1" w:rsidRPr="00DF4CE5" w:rsidRDefault="00F436E1" w:rsidP="00A034E3">
            <w:pPr>
              <w:numPr>
                <w:ilvl w:val="0"/>
                <w:numId w:val="30"/>
              </w:numPr>
              <w:spacing w:before="20" w:after="20" w:line="240" w:lineRule="auto"/>
              <w:contextualSpacing/>
              <w:jc w:val="both"/>
              <w:rPr>
                <w:rFonts w:ascii="Cambria" w:eastAsia="Times New Roman" w:hAnsi="Cambria" w:cs="Calibri"/>
                <w:lang w:val="hr-HR"/>
              </w:rPr>
            </w:pPr>
            <w:r w:rsidRPr="00DF4CE5">
              <w:rPr>
                <w:rFonts w:ascii="Cambria" w:eastAsia="Times New Roman" w:hAnsi="Cambria" w:cs="Calibri"/>
                <w:lang w:val="hr-HR"/>
              </w:rPr>
              <w:t>Karakteristike djece mlađe školske dobi</w:t>
            </w:r>
          </w:p>
          <w:p w14:paraId="49785302" w14:textId="77777777" w:rsidR="00F436E1" w:rsidRPr="00DF4CE5" w:rsidRDefault="00F436E1" w:rsidP="00A034E3">
            <w:pPr>
              <w:numPr>
                <w:ilvl w:val="0"/>
                <w:numId w:val="30"/>
              </w:numPr>
              <w:spacing w:before="20" w:after="20" w:line="240" w:lineRule="auto"/>
              <w:contextualSpacing/>
              <w:jc w:val="both"/>
              <w:rPr>
                <w:rFonts w:ascii="Cambria" w:eastAsia="Times New Roman" w:hAnsi="Cambria" w:cs="Calibri"/>
                <w:lang w:val="hr-HR"/>
              </w:rPr>
            </w:pPr>
            <w:r w:rsidRPr="00DF4CE5">
              <w:rPr>
                <w:rFonts w:ascii="Cambria" w:eastAsia="Times New Roman" w:hAnsi="Cambria" w:cs="Calibri"/>
                <w:lang w:val="hr-HR"/>
              </w:rPr>
              <w:t xml:space="preserve">Pregled povijesnih i suvremenih metoda </w:t>
            </w:r>
          </w:p>
          <w:p w14:paraId="281547CC" w14:textId="77777777" w:rsidR="00F436E1" w:rsidRPr="00DF4CE5" w:rsidRDefault="00F436E1" w:rsidP="00A034E3">
            <w:pPr>
              <w:numPr>
                <w:ilvl w:val="0"/>
                <w:numId w:val="30"/>
              </w:numPr>
              <w:spacing w:before="20" w:after="20" w:line="240" w:lineRule="auto"/>
              <w:contextualSpacing/>
              <w:jc w:val="both"/>
              <w:rPr>
                <w:rFonts w:ascii="Cambria" w:eastAsia="Times New Roman" w:hAnsi="Cambria" w:cs="Calibri"/>
                <w:lang w:val="hr-HR"/>
              </w:rPr>
            </w:pPr>
            <w:r w:rsidRPr="00DF4CE5">
              <w:rPr>
                <w:rFonts w:ascii="Cambria" w:eastAsia="Times New Roman" w:hAnsi="Cambria" w:cs="Calibri"/>
                <w:lang w:val="hr-HR"/>
              </w:rPr>
              <w:t>Metode pogodne za rano učenje stranog jezika</w:t>
            </w:r>
          </w:p>
          <w:p w14:paraId="53702F4E" w14:textId="77777777" w:rsidR="00F436E1" w:rsidRPr="00DF4CE5" w:rsidRDefault="00F436E1" w:rsidP="00A034E3">
            <w:pPr>
              <w:numPr>
                <w:ilvl w:val="0"/>
                <w:numId w:val="30"/>
              </w:numPr>
              <w:spacing w:before="20" w:after="20" w:line="240" w:lineRule="auto"/>
              <w:contextualSpacing/>
              <w:jc w:val="both"/>
              <w:rPr>
                <w:rFonts w:ascii="Cambria" w:eastAsia="Times New Roman" w:hAnsi="Cambria" w:cs="Calibri"/>
                <w:lang w:val="hr-HR"/>
              </w:rPr>
            </w:pPr>
            <w:r w:rsidRPr="00DF4CE5">
              <w:rPr>
                <w:rFonts w:ascii="Cambria" w:eastAsia="Times New Roman" w:hAnsi="Cambria" w:cs="Calibri"/>
                <w:lang w:val="hr-HR"/>
              </w:rPr>
              <w:t>Uvod u Hrvatski nacionalni kurikulum i Hrvatski nacionalni obrazovni standard</w:t>
            </w:r>
          </w:p>
          <w:p w14:paraId="11D3A725" w14:textId="77777777" w:rsidR="00F436E1" w:rsidRPr="00DF4CE5" w:rsidRDefault="00F436E1" w:rsidP="00A034E3">
            <w:pPr>
              <w:numPr>
                <w:ilvl w:val="0"/>
                <w:numId w:val="30"/>
              </w:numPr>
              <w:spacing w:before="20" w:after="20" w:line="240" w:lineRule="auto"/>
              <w:contextualSpacing/>
              <w:jc w:val="both"/>
              <w:rPr>
                <w:rFonts w:ascii="Cambria" w:eastAsia="Times New Roman" w:hAnsi="Cambria" w:cs="Calibri"/>
                <w:lang w:val="hr-HR"/>
              </w:rPr>
            </w:pPr>
            <w:r w:rsidRPr="00DF4CE5">
              <w:rPr>
                <w:rFonts w:ascii="Cambria" w:eastAsia="Times New Roman" w:hAnsi="Cambria" w:cs="Calibri"/>
                <w:lang w:val="hr-HR"/>
              </w:rPr>
              <w:t>Kompetencije učitelja za poučavanje stranog jezika</w:t>
            </w:r>
          </w:p>
          <w:p w14:paraId="7FBFE7D1" w14:textId="77777777" w:rsidR="00F436E1" w:rsidRPr="00DF4CE5" w:rsidRDefault="00F436E1" w:rsidP="00A034E3">
            <w:pPr>
              <w:numPr>
                <w:ilvl w:val="0"/>
                <w:numId w:val="30"/>
              </w:numPr>
              <w:spacing w:before="20" w:after="20" w:line="240" w:lineRule="auto"/>
              <w:contextualSpacing/>
              <w:jc w:val="both"/>
              <w:rPr>
                <w:rFonts w:ascii="Cambria" w:eastAsia="Times New Roman" w:hAnsi="Cambria" w:cs="Calibri"/>
                <w:lang w:val="hr-HR"/>
              </w:rPr>
            </w:pPr>
            <w:r w:rsidRPr="00DF4CE5">
              <w:rPr>
                <w:rFonts w:ascii="Cambria" w:eastAsia="Times New Roman" w:hAnsi="Cambria" w:cs="Calibri"/>
                <w:lang w:val="hr-HR"/>
              </w:rPr>
              <w:t xml:space="preserve">Poučavanje slušanja i čitanja </w:t>
            </w:r>
          </w:p>
          <w:p w14:paraId="002D31AB" w14:textId="77777777" w:rsidR="00F436E1" w:rsidRPr="00DF4CE5" w:rsidRDefault="00F436E1" w:rsidP="00A034E3">
            <w:pPr>
              <w:numPr>
                <w:ilvl w:val="0"/>
                <w:numId w:val="30"/>
              </w:numPr>
              <w:spacing w:before="20" w:after="20" w:line="240" w:lineRule="auto"/>
              <w:contextualSpacing/>
              <w:jc w:val="both"/>
              <w:rPr>
                <w:rFonts w:ascii="Cambria" w:eastAsia="Times New Roman" w:hAnsi="Cambria" w:cs="Calibri"/>
                <w:lang w:val="hr-HR"/>
              </w:rPr>
            </w:pPr>
            <w:r w:rsidRPr="00DF4CE5">
              <w:rPr>
                <w:rFonts w:ascii="Cambria" w:eastAsia="Times New Roman" w:hAnsi="Cambria" w:cs="Calibri"/>
                <w:lang w:val="hr-HR"/>
              </w:rPr>
              <w:t xml:space="preserve">Poučavanje govorenja i pisanja </w:t>
            </w:r>
          </w:p>
          <w:p w14:paraId="60D72098" w14:textId="77777777" w:rsidR="00F436E1" w:rsidRPr="00DF4CE5" w:rsidRDefault="00F436E1" w:rsidP="00A034E3">
            <w:pPr>
              <w:numPr>
                <w:ilvl w:val="0"/>
                <w:numId w:val="30"/>
              </w:numPr>
              <w:spacing w:before="20" w:after="20" w:line="240" w:lineRule="auto"/>
              <w:contextualSpacing/>
              <w:jc w:val="both"/>
              <w:rPr>
                <w:rFonts w:ascii="Cambria" w:eastAsia="Times New Roman" w:hAnsi="Cambria" w:cs="Calibri"/>
                <w:lang w:val="hr-HR"/>
              </w:rPr>
            </w:pPr>
            <w:r w:rsidRPr="00DF4CE5">
              <w:rPr>
                <w:rFonts w:ascii="Cambria" w:eastAsia="Times New Roman" w:hAnsi="Cambria" w:cs="Calibri"/>
                <w:lang w:val="hr-HR"/>
              </w:rPr>
              <w:t>Planiranje i vrednovanje u ranom učenju stranog jezika</w:t>
            </w:r>
          </w:p>
          <w:p w14:paraId="380A5F42" w14:textId="77777777" w:rsidR="00F436E1" w:rsidRPr="00DF4CE5" w:rsidRDefault="00F436E1" w:rsidP="00A034E3">
            <w:pPr>
              <w:numPr>
                <w:ilvl w:val="0"/>
                <w:numId w:val="30"/>
              </w:numPr>
              <w:spacing w:before="20" w:after="20" w:line="240" w:lineRule="auto"/>
              <w:contextualSpacing/>
              <w:jc w:val="both"/>
              <w:rPr>
                <w:rFonts w:ascii="Cambria" w:eastAsia="Times New Roman" w:hAnsi="Cambria" w:cs="Calibri"/>
                <w:lang w:val="hr-HR"/>
              </w:rPr>
            </w:pPr>
            <w:r w:rsidRPr="00DF4CE5">
              <w:rPr>
                <w:rFonts w:ascii="Cambria" w:eastAsia="Times New Roman" w:hAnsi="Cambria" w:cs="Calibri"/>
                <w:lang w:val="hr-HR"/>
              </w:rPr>
              <w:t>Kolokvij</w:t>
            </w:r>
          </w:p>
          <w:p w14:paraId="00F52865" w14:textId="77777777" w:rsidR="00F436E1" w:rsidRPr="00DF4CE5" w:rsidRDefault="00F436E1" w:rsidP="00A034E3">
            <w:pPr>
              <w:numPr>
                <w:ilvl w:val="0"/>
                <w:numId w:val="30"/>
              </w:numPr>
              <w:spacing w:before="20" w:after="20" w:line="240" w:lineRule="auto"/>
              <w:contextualSpacing/>
              <w:jc w:val="both"/>
              <w:rPr>
                <w:rFonts w:ascii="Cambria" w:eastAsia="Times New Roman" w:hAnsi="Cambria" w:cs="Calibri"/>
                <w:lang w:val="hr-HR"/>
              </w:rPr>
            </w:pPr>
            <w:r w:rsidRPr="00DF4CE5">
              <w:rPr>
                <w:rFonts w:ascii="Cambria" w:eastAsia="Times New Roman" w:hAnsi="Cambria" w:cs="Calibri"/>
                <w:lang w:val="hr-HR"/>
              </w:rPr>
              <w:t>Materijali u ranom učenju stranog jezika</w:t>
            </w:r>
          </w:p>
        </w:tc>
      </w:tr>
      <w:tr w:rsidR="00F436E1" w:rsidRPr="00DF4CE5" w14:paraId="43020609" w14:textId="77777777" w:rsidTr="004A100E">
        <w:tc>
          <w:tcPr>
            <w:tcW w:w="2616"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2A82E59E" w14:textId="77777777" w:rsidR="00F436E1" w:rsidRPr="00DF4CE5" w:rsidRDefault="00F436E1"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lastRenderedPageBreak/>
              <w:t>Planirane aktivnosti,</w:t>
            </w:r>
          </w:p>
          <w:p w14:paraId="7AAFB10B" w14:textId="77777777" w:rsidR="00F436E1" w:rsidRPr="00DF4CE5" w:rsidRDefault="00F436E1" w:rsidP="008B34AF">
            <w:pPr>
              <w:spacing w:after="0" w:line="240" w:lineRule="auto"/>
              <w:jc w:val="both"/>
              <w:rPr>
                <w:rFonts w:ascii="Cambria" w:eastAsia="Times New Roman" w:hAnsi="Cambria" w:cs="Calibri"/>
                <w:lang w:val="hr-HR"/>
              </w:rPr>
            </w:pPr>
            <w:proofErr w:type="spellStart"/>
            <w:r w:rsidRPr="00DF4CE5">
              <w:rPr>
                <w:rFonts w:ascii="Cambria" w:eastAsia="Times New Roman" w:hAnsi="Cambria" w:cs="Calibri"/>
                <w:lang w:val="it-IT"/>
              </w:rPr>
              <w:t>metode</w:t>
            </w:r>
            <w:proofErr w:type="spellEnd"/>
            <w:r w:rsidRPr="00DF4CE5">
              <w:rPr>
                <w:rFonts w:ascii="Cambria" w:eastAsia="Times New Roman" w:hAnsi="Cambria" w:cs="Calibri"/>
                <w:lang w:val="hr-HR"/>
              </w:rPr>
              <w:t xml:space="preserve"> učenja i poučavanja i načini vrednovanja</w:t>
            </w:r>
          </w:p>
          <w:p w14:paraId="4127DA3F" w14:textId="77777777" w:rsidR="00F436E1" w:rsidRPr="00DF4CE5" w:rsidRDefault="00F436E1" w:rsidP="008B34AF">
            <w:pPr>
              <w:spacing w:after="0" w:line="240" w:lineRule="auto"/>
              <w:jc w:val="both"/>
              <w:rPr>
                <w:rFonts w:ascii="Cambria" w:eastAsia="Times New Roman" w:hAnsi="Cambria" w:cs="Calibri"/>
                <w:lang w:val="hr-HR"/>
              </w:rPr>
            </w:pPr>
          </w:p>
        </w:tc>
        <w:tc>
          <w:tcPr>
            <w:tcW w:w="258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0EC886A" w14:textId="77777777" w:rsidR="00F436E1" w:rsidRPr="00DF4CE5" w:rsidRDefault="00F436E1" w:rsidP="008B34AF">
            <w:pPr>
              <w:spacing w:after="0" w:line="240" w:lineRule="auto"/>
              <w:jc w:val="both"/>
              <w:rPr>
                <w:rFonts w:ascii="Cambria" w:eastAsia="Times New Roman" w:hAnsi="Cambria" w:cs="Calibri"/>
                <w:lang w:val="hr-HR"/>
              </w:rPr>
            </w:pPr>
            <w:r w:rsidRPr="00DF4CE5">
              <w:rPr>
                <w:rFonts w:ascii="Cambria" w:eastAsia="Times New Roman" w:hAnsi="Cambria" w:cs="Calibri"/>
                <w:bCs/>
                <w:lang w:val="hr-HR"/>
              </w:rPr>
              <w:t>Obveze</w:t>
            </w:r>
          </w:p>
          <w:p w14:paraId="7D3A2910" w14:textId="77777777" w:rsidR="00F436E1" w:rsidRPr="00DF4CE5" w:rsidRDefault="00F436E1" w:rsidP="008B34AF">
            <w:pPr>
              <w:spacing w:after="0" w:line="240" w:lineRule="auto"/>
              <w:jc w:val="both"/>
              <w:rPr>
                <w:rFonts w:ascii="Cambria" w:eastAsia="Times New Roman" w:hAnsi="Cambria" w:cs="Calibri"/>
                <w:lang w:val="hr-HR"/>
              </w:rPr>
            </w:pPr>
          </w:p>
        </w:tc>
        <w:tc>
          <w:tcPr>
            <w:tcW w:w="10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B4653DB" w14:textId="77777777" w:rsidR="00F436E1" w:rsidRPr="00DF4CE5" w:rsidRDefault="00F436E1" w:rsidP="008B34AF">
            <w:pPr>
              <w:spacing w:after="0" w:line="240" w:lineRule="auto"/>
              <w:jc w:val="both"/>
              <w:rPr>
                <w:rFonts w:ascii="Cambria" w:eastAsia="Times New Roman" w:hAnsi="Cambria" w:cs="Calibri"/>
                <w:lang w:val="hr-HR"/>
              </w:rPr>
            </w:pPr>
            <w:r w:rsidRPr="00DF4CE5">
              <w:rPr>
                <w:rFonts w:ascii="Cambria" w:eastAsia="Times New Roman" w:hAnsi="Cambria" w:cs="Calibri"/>
                <w:bCs/>
                <w:lang w:val="hr-HR"/>
              </w:rPr>
              <w:t>Ishodi</w:t>
            </w:r>
          </w:p>
          <w:p w14:paraId="140BDAF1" w14:textId="77777777" w:rsidR="00F436E1" w:rsidRPr="00DF4CE5" w:rsidRDefault="00F436E1" w:rsidP="008B34AF">
            <w:pPr>
              <w:spacing w:after="0" w:line="240" w:lineRule="auto"/>
              <w:jc w:val="both"/>
              <w:rPr>
                <w:rFonts w:ascii="Cambria" w:eastAsia="Times New Roman" w:hAnsi="Cambria" w:cs="Calibri"/>
                <w:lang w:val="hr-HR"/>
              </w:rPr>
            </w:pPr>
          </w:p>
        </w:tc>
        <w:tc>
          <w:tcPr>
            <w:tcW w:w="72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5DB15FC" w14:textId="77777777" w:rsidR="00F436E1" w:rsidRPr="00DF4CE5" w:rsidRDefault="00F436E1" w:rsidP="008B34AF">
            <w:pPr>
              <w:spacing w:after="0" w:line="240" w:lineRule="auto"/>
              <w:jc w:val="both"/>
              <w:rPr>
                <w:rFonts w:ascii="Cambria" w:eastAsia="Times New Roman" w:hAnsi="Cambria" w:cs="Calibri"/>
                <w:lang w:val="hr-HR"/>
              </w:rPr>
            </w:pPr>
            <w:r w:rsidRPr="00DF4CE5">
              <w:rPr>
                <w:rFonts w:ascii="Cambria" w:eastAsia="Times New Roman" w:hAnsi="Cambria" w:cs="Calibri"/>
                <w:bCs/>
                <w:lang w:val="hr-HR"/>
              </w:rPr>
              <w:t>Sati</w:t>
            </w:r>
          </w:p>
        </w:tc>
        <w:tc>
          <w:tcPr>
            <w:tcW w:w="101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0E7347E" w14:textId="77777777" w:rsidR="00F436E1" w:rsidRPr="00DF4CE5" w:rsidRDefault="00F436E1" w:rsidP="008B34AF">
            <w:pPr>
              <w:spacing w:after="0" w:line="240" w:lineRule="auto"/>
              <w:jc w:val="both"/>
              <w:rPr>
                <w:rFonts w:ascii="Cambria" w:eastAsia="Times New Roman" w:hAnsi="Cambria" w:cs="Calibri"/>
                <w:lang w:val="hr-HR"/>
              </w:rPr>
            </w:pPr>
            <w:r w:rsidRPr="00DF4CE5">
              <w:rPr>
                <w:rFonts w:ascii="Cambria" w:eastAsia="Times New Roman" w:hAnsi="Cambria" w:cs="Calibri"/>
                <w:bCs/>
                <w:lang w:val="hr-HR"/>
              </w:rPr>
              <w:t>ECTS</w:t>
            </w:r>
          </w:p>
        </w:tc>
        <w:tc>
          <w:tcPr>
            <w:tcW w:w="13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0D5BEB6" w14:textId="77777777" w:rsidR="00F436E1" w:rsidRPr="00DF4CE5" w:rsidRDefault="00F436E1" w:rsidP="008B34AF">
            <w:pPr>
              <w:spacing w:after="0" w:line="240" w:lineRule="auto"/>
              <w:jc w:val="both"/>
              <w:rPr>
                <w:rFonts w:ascii="Cambria" w:eastAsia="Times New Roman" w:hAnsi="Cambria" w:cs="Calibri"/>
                <w:lang w:val="hr-HR"/>
              </w:rPr>
            </w:pPr>
            <w:r w:rsidRPr="00DF4CE5">
              <w:rPr>
                <w:rFonts w:ascii="Cambria" w:eastAsia="Times New Roman" w:hAnsi="Cambria" w:cs="Calibri"/>
                <w:bCs/>
                <w:lang w:val="hr-HR"/>
              </w:rPr>
              <w:t>Maksimalni udio u ocjeni</w:t>
            </w:r>
            <w:r w:rsidRPr="00DF4CE5">
              <w:rPr>
                <w:rFonts w:ascii="Cambria" w:eastAsia="Times New Roman" w:hAnsi="Cambria" w:cs="Calibri"/>
                <w:bCs/>
              </w:rPr>
              <w:t xml:space="preserve"> (%)</w:t>
            </w:r>
          </w:p>
        </w:tc>
      </w:tr>
      <w:tr w:rsidR="005005C3" w:rsidRPr="00DF4CE5" w14:paraId="523E2443" w14:textId="77777777" w:rsidTr="004A100E">
        <w:tc>
          <w:tcPr>
            <w:tcW w:w="2616" w:type="dxa"/>
            <w:vMerge/>
            <w:tcBorders>
              <w:left w:val="single" w:sz="8" w:space="0" w:color="000000"/>
              <w:right w:val="single" w:sz="8" w:space="0" w:color="000000"/>
            </w:tcBorders>
            <w:vAlign w:val="center"/>
          </w:tcPr>
          <w:p w14:paraId="3FAE70C5" w14:textId="77777777" w:rsidR="005005C3" w:rsidRPr="00DF4CE5" w:rsidRDefault="005005C3" w:rsidP="005005C3">
            <w:pPr>
              <w:spacing w:after="0" w:line="240" w:lineRule="auto"/>
              <w:jc w:val="both"/>
              <w:rPr>
                <w:rFonts w:ascii="Cambria" w:eastAsia="Times New Roman" w:hAnsi="Cambria" w:cs="Calibri"/>
                <w:lang w:val="hr-HR"/>
              </w:rPr>
            </w:pPr>
          </w:p>
        </w:tc>
        <w:tc>
          <w:tcPr>
            <w:tcW w:w="258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22905D1" w14:textId="7C687845" w:rsidR="005005C3" w:rsidRPr="00C034A7" w:rsidRDefault="005005C3" w:rsidP="005005C3">
            <w:pPr>
              <w:spacing w:after="0" w:line="240" w:lineRule="auto"/>
              <w:jc w:val="both"/>
              <w:rPr>
                <w:rFonts w:ascii="Cambria" w:eastAsia="Times New Roman" w:hAnsi="Cambria" w:cs="Calibri"/>
                <w:lang w:val="it-IT"/>
              </w:rPr>
            </w:pPr>
            <w:proofErr w:type="spellStart"/>
            <w:r w:rsidRPr="00C034A7">
              <w:rPr>
                <w:rFonts w:ascii="Cambria" w:eastAsia="Times New Roman" w:hAnsi="Cambria" w:cs="Calibri"/>
                <w:lang w:val="it-IT"/>
              </w:rPr>
              <w:t>aktivnost</w:t>
            </w:r>
            <w:proofErr w:type="spellEnd"/>
            <w:r w:rsidRPr="00C034A7">
              <w:rPr>
                <w:rFonts w:ascii="Cambria" w:eastAsia="Times New Roman" w:hAnsi="Cambria" w:cs="Calibri"/>
                <w:lang w:val="it-IT"/>
              </w:rPr>
              <w:t xml:space="preserve"> </w:t>
            </w:r>
            <w:proofErr w:type="spellStart"/>
            <w:r w:rsidRPr="00C034A7">
              <w:rPr>
                <w:rFonts w:ascii="Cambria" w:eastAsia="Times New Roman" w:hAnsi="Cambria" w:cs="Calibri"/>
                <w:lang w:val="it-IT"/>
              </w:rPr>
              <w:t>na</w:t>
            </w:r>
            <w:proofErr w:type="spellEnd"/>
            <w:r w:rsidRPr="00C034A7">
              <w:rPr>
                <w:rFonts w:ascii="Cambria" w:eastAsia="Times New Roman" w:hAnsi="Cambria" w:cs="Calibri"/>
                <w:lang w:val="it-IT"/>
              </w:rPr>
              <w:t xml:space="preserve"> </w:t>
            </w:r>
            <w:proofErr w:type="spellStart"/>
            <w:r w:rsidRPr="00C034A7">
              <w:rPr>
                <w:rFonts w:ascii="Cambria" w:eastAsia="Times New Roman" w:hAnsi="Cambria" w:cs="Calibri"/>
                <w:lang w:val="it-IT"/>
              </w:rPr>
              <w:t>nastavi</w:t>
            </w:r>
            <w:proofErr w:type="spellEnd"/>
            <w:r w:rsidR="00C034A7" w:rsidRPr="00C034A7">
              <w:rPr>
                <w:rFonts w:ascii="Cambria" w:eastAsia="Times New Roman" w:hAnsi="Cambria" w:cs="Calibri"/>
                <w:lang w:val="it-IT"/>
              </w:rPr>
              <w:t xml:space="preserve"> (P, S</w:t>
            </w:r>
            <w:r w:rsidR="00C034A7">
              <w:rPr>
                <w:rFonts w:ascii="Cambria" w:eastAsia="Times New Roman" w:hAnsi="Cambria" w:cs="Calibri"/>
                <w:lang w:val="it-IT"/>
              </w:rPr>
              <w:t>)</w:t>
            </w:r>
          </w:p>
        </w:tc>
        <w:tc>
          <w:tcPr>
            <w:tcW w:w="10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AD0EB02" w14:textId="279A186F" w:rsidR="005005C3" w:rsidRPr="00DF4CE5" w:rsidRDefault="005005C3" w:rsidP="00C034A7">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 xml:space="preserve">1.  </w:t>
            </w:r>
            <w:r w:rsidRPr="00DF4CE5">
              <w:rPr>
                <w:rFonts w:ascii="Cambria" w:eastAsia="Times New Roman" w:hAnsi="Cambria" w:cs="Times New Roman"/>
                <w:lang w:val="hr-HR"/>
              </w:rPr>
              <w:t xml:space="preserve">– </w:t>
            </w:r>
            <w:r w:rsidRPr="00DF4CE5">
              <w:rPr>
                <w:rFonts w:ascii="Cambria" w:eastAsia="Times New Roman" w:hAnsi="Cambria" w:cs="Calibri"/>
                <w:lang w:val="hr-HR"/>
              </w:rPr>
              <w:t xml:space="preserve"> </w:t>
            </w:r>
            <w:r w:rsidR="00C034A7">
              <w:rPr>
                <w:rFonts w:ascii="Cambria" w:eastAsia="Times New Roman" w:hAnsi="Cambria" w:cs="Calibri"/>
                <w:lang w:val="hr-HR"/>
              </w:rPr>
              <w:t>5</w:t>
            </w:r>
            <w:r w:rsidRPr="00DF4CE5">
              <w:rPr>
                <w:rFonts w:ascii="Cambria" w:eastAsia="Times New Roman" w:hAnsi="Cambria" w:cs="Calibri"/>
                <w:lang w:val="hr-HR"/>
              </w:rPr>
              <w:t>.</w:t>
            </w:r>
          </w:p>
        </w:tc>
        <w:tc>
          <w:tcPr>
            <w:tcW w:w="72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BD47B86" w14:textId="77777777" w:rsidR="005005C3" w:rsidRPr="00DF4CE5" w:rsidRDefault="005005C3" w:rsidP="00C034A7">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22</w:t>
            </w:r>
          </w:p>
        </w:tc>
        <w:tc>
          <w:tcPr>
            <w:tcW w:w="101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193AEAE" w14:textId="77777777" w:rsidR="005005C3" w:rsidRPr="00DF4CE5" w:rsidRDefault="005005C3" w:rsidP="00C034A7">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0,8</w:t>
            </w:r>
          </w:p>
        </w:tc>
        <w:tc>
          <w:tcPr>
            <w:tcW w:w="13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9A10B60" w14:textId="77777777" w:rsidR="005005C3" w:rsidRPr="00DF4CE5" w:rsidRDefault="005005C3" w:rsidP="00C034A7">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10%</w:t>
            </w:r>
          </w:p>
        </w:tc>
      </w:tr>
      <w:tr w:rsidR="00F436E1" w:rsidRPr="00DF4CE5" w14:paraId="7F7F4C94" w14:textId="77777777" w:rsidTr="004A100E">
        <w:tc>
          <w:tcPr>
            <w:tcW w:w="2616" w:type="dxa"/>
            <w:vMerge/>
            <w:tcBorders>
              <w:left w:val="single" w:sz="8" w:space="0" w:color="000000"/>
              <w:right w:val="single" w:sz="8" w:space="0" w:color="000000"/>
            </w:tcBorders>
            <w:vAlign w:val="center"/>
          </w:tcPr>
          <w:p w14:paraId="35020122" w14:textId="77777777" w:rsidR="00F436E1" w:rsidRPr="00DF4CE5" w:rsidRDefault="00F436E1" w:rsidP="008B34AF">
            <w:pPr>
              <w:spacing w:after="0" w:line="240" w:lineRule="auto"/>
              <w:jc w:val="both"/>
              <w:rPr>
                <w:rFonts w:ascii="Cambria" w:eastAsia="Times New Roman" w:hAnsi="Cambria" w:cs="Calibri"/>
                <w:lang w:val="hr-HR"/>
              </w:rPr>
            </w:pPr>
          </w:p>
        </w:tc>
        <w:tc>
          <w:tcPr>
            <w:tcW w:w="258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8F24EF8" w14:textId="77777777" w:rsidR="00F436E1" w:rsidRPr="00DF4CE5" w:rsidRDefault="00F436E1"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seminarski rad</w:t>
            </w:r>
          </w:p>
        </w:tc>
        <w:tc>
          <w:tcPr>
            <w:tcW w:w="10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2CC3CDC" w14:textId="03142CBB" w:rsidR="00F436E1" w:rsidRPr="00DF4CE5" w:rsidRDefault="00F436E1" w:rsidP="00C034A7">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2.,</w:t>
            </w:r>
            <w:r w:rsidR="00C034A7">
              <w:rPr>
                <w:rFonts w:ascii="Cambria" w:eastAsia="Times New Roman" w:hAnsi="Cambria" w:cs="Calibri"/>
                <w:lang w:val="hr-HR"/>
              </w:rPr>
              <w:t xml:space="preserve"> </w:t>
            </w:r>
            <w:r w:rsidRPr="00DF4CE5">
              <w:rPr>
                <w:rFonts w:ascii="Cambria" w:eastAsia="Times New Roman" w:hAnsi="Cambria" w:cs="Calibri"/>
                <w:lang w:val="hr-HR"/>
              </w:rPr>
              <w:t>3.</w:t>
            </w:r>
          </w:p>
        </w:tc>
        <w:tc>
          <w:tcPr>
            <w:tcW w:w="72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047A9AD" w14:textId="548A9E10" w:rsidR="00F436E1" w:rsidRPr="00DF4CE5" w:rsidRDefault="00F436E1" w:rsidP="00C034A7">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1</w:t>
            </w:r>
            <w:r w:rsidR="006913BF" w:rsidRPr="00DF4CE5">
              <w:rPr>
                <w:rFonts w:ascii="Cambria" w:eastAsia="Times New Roman" w:hAnsi="Cambria" w:cs="Calibri"/>
                <w:lang w:val="hr-HR"/>
              </w:rPr>
              <w:t>2</w:t>
            </w:r>
          </w:p>
        </w:tc>
        <w:tc>
          <w:tcPr>
            <w:tcW w:w="101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8451F18" w14:textId="77777777" w:rsidR="00F436E1" w:rsidRPr="00DF4CE5" w:rsidRDefault="00F436E1" w:rsidP="00C034A7">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0,4</w:t>
            </w:r>
          </w:p>
        </w:tc>
        <w:tc>
          <w:tcPr>
            <w:tcW w:w="13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EC6E657" w14:textId="77777777" w:rsidR="00F436E1" w:rsidRPr="00DF4CE5" w:rsidRDefault="00F436E1" w:rsidP="00C034A7">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30%</w:t>
            </w:r>
          </w:p>
        </w:tc>
      </w:tr>
      <w:tr w:rsidR="00F436E1" w:rsidRPr="00DF4CE5" w14:paraId="73AB79E2" w14:textId="77777777" w:rsidTr="004A100E">
        <w:tc>
          <w:tcPr>
            <w:tcW w:w="2616" w:type="dxa"/>
            <w:vMerge/>
            <w:tcBorders>
              <w:left w:val="single" w:sz="8" w:space="0" w:color="000000"/>
              <w:right w:val="single" w:sz="8" w:space="0" w:color="000000"/>
            </w:tcBorders>
            <w:vAlign w:val="center"/>
          </w:tcPr>
          <w:p w14:paraId="51A9B3B7" w14:textId="77777777" w:rsidR="00F436E1" w:rsidRPr="00DF4CE5" w:rsidRDefault="00F436E1" w:rsidP="008B34AF">
            <w:pPr>
              <w:spacing w:after="0" w:line="240" w:lineRule="auto"/>
              <w:jc w:val="both"/>
              <w:rPr>
                <w:rFonts w:ascii="Cambria" w:eastAsia="Times New Roman" w:hAnsi="Cambria" w:cs="Calibri"/>
                <w:lang w:val="hr-HR"/>
              </w:rPr>
            </w:pPr>
          </w:p>
        </w:tc>
        <w:tc>
          <w:tcPr>
            <w:tcW w:w="258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6604752" w14:textId="77777777" w:rsidR="00F436E1" w:rsidRPr="00DF4CE5" w:rsidRDefault="00F436E1"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usmeno izlaganje </w:t>
            </w:r>
          </w:p>
        </w:tc>
        <w:tc>
          <w:tcPr>
            <w:tcW w:w="10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69D1ECE" w14:textId="1776117C" w:rsidR="00F436E1" w:rsidRPr="00DF4CE5" w:rsidRDefault="00F436E1" w:rsidP="00C034A7">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1.</w:t>
            </w:r>
            <w:r w:rsidR="00C034A7">
              <w:rPr>
                <w:rFonts w:ascii="Cambria" w:eastAsia="Times New Roman" w:hAnsi="Cambria" w:cs="Calibri"/>
                <w:lang w:val="hr-HR"/>
              </w:rPr>
              <w:t xml:space="preserve"> –</w:t>
            </w:r>
            <w:r w:rsidRPr="00DF4CE5">
              <w:rPr>
                <w:rFonts w:ascii="Cambria" w:eastAsia="Times New Roman" w:hAnsi="Cambria" w:cs="Calibri"/>
                <w:lang w:val="hr-HR"/>
              </w:rPr>
              <w:t xml:space="preserve"> </w:t>
            </w:r>
            <w:r w:rsidR="00C034A7">
              <w:rPr>
                <w:rFonts w:ascii="Cambria" w:eastAsia="Times New Roman" w:hAnsi="Cambria" w:cs="Calibri"/>
                <w:lang w:val="hr-HR"/>
              </w:rPr>
              <w:t>5</w:t>
            </w:r>
            <w:r w:rsidRPr="00DF4CE5">
              <w:rPr>
                <w:rFonts w:ascii="Cambria" w:eastAsia="Times New Roman" w:hAnsi="Cambria" w:cs="Calibri"/>
                <w:lang w:val="hr-HR"/>
              </w:rPr>
              <w:t>.</w:t>
            </w:r>
          </w:p>
        </w:tc>
        <w:tc>
          <w:tcPr>
            <w:tcW w:w="72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4B3B528" w14:textId="4C0D0EC5" w:rsidR="00F436E1" w:rsidRPr="00DF4CE5" w:rsidRDefault="006913BF" w:rsidP="00C034A7">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7</w:t>
            </w:r>
          </w:p>
        </w:tc>
        <w:tc>
          <w:tcPr>
            <w:tcW w:w="101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D397DB8" w14:textId="77777777" w:rsidR="00F436E1" w:rsidRPr="00DF4CE5" w:rsidRDefault="00F436E1" w:rsidP="00C034A7">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0,2</w:t>
            </w:r>
          </w:p>
        </w:tc>
        <w:tc>
          <w:tcPr>
            <w:tcW w:w="13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198F2E7" w14:textId="77777777" w:rsidR="00F436E1" w:rsidRPr="00DF4CE5" w:rsidRDefault="00F436E1" w:rsidP="00C034A7">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30%</w:t>
            </w:r>
          </w:p>
        </w:tc>
      </w:tr>
      <w:tr w:rsidR="00F436E1" w:rsidRPr="00DF4CE5" w14:paraId="16E19190" w14:textId="77777777" w:rsidTr="004A100E">
        <w:tc>
          <w:tcPr>
            <w:tcW w:w="2616" w:type="dxa"/>
            <w:vMerge/>
            <w:tcBorders>
              <w:left w:val="single" w:sz="8" w:space="0" w:color="000000"/>
              <w:right w:val="single" w:sz="8" w:space="0" w:color="000000"/>
            </w:tcBorders>
            <w:vAlign w:val="center"/>
          </w:tcPr>
          <w:p w14:paraId="146FB782" w14:textId="77777777" w:rsidR="00F436E1" w:rsidRPr="00DF4CE5" w:rsidRDefault="00F436E1" w:rsidP="008B34AF">
            <w:pPr>
              <w:spacing w:after="0" w:line="240" w:lineRule="auto"/>
              <w:jc w:val="both"/>
              <w:rPr>
                <w:rFonts w:ascii="Cambria" w:eastAsia="Times New Roman" w:hAnsi="Cambria" w:cs="Calibri"/>
                <w:lang w:val="hr-HR"/>
              </w:rPr>
            </w:pPr>
          </w:p>
        </w:tc>
        <w:tc>
          <w:tcPr>
            <w:tcW w:w="258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CDFB8FD" w14:textId="77777777" w:rsidR="00F436E1" w:rsidRPr="00DF4CE5" w:rsidRDefault="00F436E1" w:rsidP="008B34AF">
            <w:pPr>
              <w:spacing w:after="0" w:line="240" w:lineRule="auto"/>
              <w:jc w:val="both"/>
              <w:rPr>
                <w:rFonts w:ascii="Cambria" w:eastAsia="Times New Roman" w:hAnsi="Cambria" w:cs="Calibri"/>
                <w:lang w:val="hr-HR"/>
              </w:rPr>
            </w:pPr>
            <w:r w:rsidRPr="00DF4CE5">
              <w:rPr>
                <w:rFonts w:ascii="Cambria" w:eastAsia="Times New Roman" w:hAnsi="Cambria" w:cs="Calibri"/>
              </w:rPr>
              <w:t>k</w:t>
            </w:r>
            <w:proofErr w:type="spellStart"/>
            <w:r w:rsidRPr="00DF4CE5">
              <w:rPr>
                <w:rFonts w:ascii="Cambria" w:eastAsia="Times New Roman" w:hAnsi="Cambria" w:cs="Calibri"/>
                <w:lang w:val="hr-HR"/>
              </w:rPr>
              <w:t>olokvij</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pismeni</w:t>
            </w:r>
            <w:proofErr w:type="spellEnd"/>
            <w:r w:rsidRPr="00DF4CE5">
              <w:rPr>
                <w:rFonts w:ascii="Cambria" w:eastAsia="Times New Roman" w:hAnsi="Cambria" w:cs="Calibri"/>
              </w:rPr>
              <w:t>)</w:t>
            </w:r>
          </w:p>
        </w:tc>
        <w:tc>
          <w:tcPr>
            <w:tcW w:w="10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C895AE" w14:textId="63ACF677" w:rsidR="00F436E1" w:rsidRPr="00DF4CE5" w:rsidRDefault="00F436E1" w:rsidP="00C034A7">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1.</w:t>
            </w:r>
            <w:r w:rsidR="00C034A7">
              <w:rPr>
                <w:rFonts w:ascii="Cambria" w:eastAsia="Times New Roman" w:hAnsi="Cambria" w:cs="Calibri"/>
                <w:lang w:val="hr-HR"/>
              </w:rPr>
              <w:t xml:space="preserve"> –</w:t>
            </w:r>
            <w:r w:rsidRPr="00DF4CE5">
              <w:rPr>
                <w:rFonts w:ascii="Cambria" w:eastAsia="Times New Roman" w:hAnsi="Cambria" w:cs="Calibri"/>
                <w:lang w:val="hr-HR"/>
              </w:rPr>
              <w:t xml:space="preserve"> </w:t>
            </w:r>
            <w:r w:rsidR="00C034A7">
              <w:rPr>
                <w:rFonts w:ascii="Cambria" w:eastAsia="Times New Roman" w:hAnsi="Cambria" w:cs="Calibri"/>
                <w:lang w:val="hr-HR"/>
              </w:rPr>
              <w:t>5</w:t>
            </w:r>
            <w:r w:rsidRPr="00DF4CE5">
              <w:rPr>
                <w:rFonts w:ascii="Cambria" w:eastAsia="Times New Roman" w:hAnsi="Cambria" w:cs="Calibri"/>
                <w:lang w:val="hr-HR"/>
              </w:rPr>
              <w:t>.</w:t>
            </w:r>
          </w:p>
        </w:tc>
        <w:tc>
          <w:tcPr>
            <w:tcW w:w="72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32310E6" w14:textId="1210C759" w:rsidR="00F436E1" w:rsidRPr="00DF4CE5" w:rsidRDefault="00F436E1" w:rsidP="00C034A7">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1</w:t>
            </w:r>
            <w:r w:rsidR="006913BF" w:rsidRPr="00DF4CE5">
              <w:rPr>
                <w:rFonts w:ascii="Cambria" w:eastAsia="Times New Roman" w:hAnsi="Cambria" w:cs="Calibri"/>
                <w:lang w:val="hr-HR"/>
              </w:rPr>
              <w:t>9</w:t>
            </w:r>
          </w:p>
        </w:tc>
        <w:tc>
          <w:tcPr>
            <w:tcW w:w="101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34C157C" w14:textId="77777777" w:rsidR="00F436E1" w:rsidRPr="00DF4CE5" w:rsidRDefault="00F436E1" w:rsidP="00C034A7">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0,6</w:t>
            </w:r>
          </w:p>
        </w:tc>
        <w:tc>
          <w:tcPr>
            <w:tcW w:w="13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8E0E5ED" w14:textId="77777777" w:rsidR="00F436E1" w:rsidRPr="00DF4CE5" w:rsidRDefault="00F436E1" w:rsidP="00C034A7">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30%</w:t>
            </w:r>
          </w:p>
        </w:tc>
      </w:tr>
      <w:tr w:rsidR="00F436E1" w:rsidRPr="00DF4CE5" w14:paraId="02834318" w14:textId="77777777" w:rsidTr="004A100E">
        <w:tc>
          <w:tcPr>
            <w:tcW w:w="2616" w:type="dxa"/>
            <w:vMerge/>
            <w:tcBorders>
              <w:left w:val="single" w:sz="8" w:space="0" w:color="000000"/>
              <w:right w:val="single" w:sz="8" w:space="0" w:color="000000"/>
            </w:tcBorders>
            <w:vAlign w:val="center"/>
          </w:tcPr>
          <w:p w14:paraId="6699FA55" w14:textId="77777777" w:rsidR="00F436E1" w:rsidRPr="00DF4CE5" w:rsidRDefault="00F436E1" w:rsidP="008B34AF">
            <w:pPr>
              <w:spacing w:after="0" w:line="240" w:lineRule="auto"/>
              <w:jc w:val="both"/>
              <w:rPr>
                <w:rFonts w:ascii="Cambria" w:eastAsia="Times New Roman" w:hAnsi="Cambria" w:cs="Calibri"/>
                <w:lang w:val="hr-HR"/>
              </w:rPr>
            </w:pPr>
          </w:p>
        </w:tc>
        <w:tc>
          <w:tcPr>
            <w:tcW w:w="3672"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25717C" w14:textId="77777777" w:rsidR="00F436E1" w:rsidRPr="00DF4CE5" w:rsidRDefault="00F436E1" w:rsidP="008B34AF">
            <w:pPr>
              <w:spacing w:after="0" w:line="240" w:lineRule="auto"/>
              <w:jc w:val="both"/>
              <w:rPr>
                <w:rFonts w:ascii="Cambria" w:eastAsia="Times New Roman" w:hAnsi="Cambria" w:cs="Calibri"/>
                <w:lang w:val="hr-HR"/>
              </w:rPr>
            </w:pPr>
            <w:proofErr w:type="spellStart"/>
            <w:r w:rsidRPr="00DF4CE5">
              <w:rPr>
                <w:rFonts w:ascii="Cambria" w:eastAsia="Times New Roman" w:hAnsi="Cambria" w:cs="Calibri"/>
              </w:rPr>
              <w:t>ukupno</w:t>
            </w:r>
            <w:proofErr w:type="spellEnd"/>
          </w:p>
        </w:tc>
        <w:tc>
          <w:tcPr>
            <w:tcW w:w="72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37F7D63" w14:textId="14610AFB" w:rsidR="00F436E1" w:rsidRPr="00DF4CE5" w:rsidRDefault="006913BF" w:rsidP="00C034A7">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60</w:t>
            </w:r>
          </w:p>
        </w:tc>
        <w:tc>
          <w:tcPr>
            <w:tcW w:w="101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CFA028D" w14:textId="77777777" w:rsidR="00F436E1" w:rsidRPr="00DF4CE5" w:rsidRDefault="00F436E1" w:rsidP="00C034A7">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2</w:t>
            </w:r>
          </w:p>
        </w:tc>
        <w:tc>
          <w:tcPr>
            <w:tcW w:w="13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E40AEEB" w14:textId="77777777" w:rsidR="00F436E1" w:rsidRPr="00DF4CE5" w:rsidRDefault="00F436E1" w:rsidP="00C034A7">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100%</w:t>
            </w:r>
          </w:p>
        </w:tc>
      </w:tr>
      <w:tr w:rsidR="00F436E1" w:rsidRPr="00D0399C" w14:paraId="4A395F1D" w14:textId="77777777" w:rsidTr="004A100E">
        <w:tc>
          <w:tcPr>
            <w:tcW w:w="2616" w:type="dxa"/>
            <w:vMerge/>
            <w:tcBorders>
              <w:left w:val="single" w:sz="8" w:space="0" w:color="000000"/>
              <w:bottom w:val="single" w:sz="8" w:space="0" w:color="000000"/>
              <w:right w:val="single" w:sz="8" w:space="0" w:color="000000"/>
            </w:tcBorders>
            <w:vAlign w:val="center"/>
          </w:tcPr>
          <w:p w14:paraId="00B19B68" w14:textId="77777777" w:rsidR="00F436E1" w:rsidRPr="00DF4CE5" w:rsidRDefault="00F436E1" w:rsidP="008B34AF">
            <w:pPr>
              <w:spacing w:after="0" w:line="240" w:lineRule="auto"/>
              <w:jc w:val="both"/>
              <w:rPr>
                <w:rFonts w:ascii="Cambria" w:eastAsia="Times New Roman" w:hAnsi="Cambria" w:cs="Calibri"/>
                <w:lang w:val="hr-HR"/>
              </w:rPr>
            </w:pPr>
          </w:p>
        </w:tc>
        <w:tc>
          <w:tcPr>
            <w:tcW w:w="6724"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8A3944A" w14:textId="77777777" w:rsidR="00F436E1" w:rsidRPr="00DF4CE5" w:rsidRDefault="00F436E1"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Dodatna pojašnjenja (kriteriji ocjenjivanja):</w:t>
            </w:r>
          </w:p>
          <w:p w14:paraId="767CAB7F" w14:textId="77777777" w:rsidR="00F436E1" w:rsidRPr="00DF4CE5" w:rsidRDefault="00F436E1"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Rad studenata na kolegiju prati se, vrednuje i ocjenjuje tijekom nastave. a u tom slučaju student može dobiti ocjenu na temelju ostvarenih uvjeta i prikupljenih bodova tijekom nastave (100% udjela u ukupnoj ocjeni).</w:t>
            </w:r>
          </w:p>
          <w:p w14:paraId="27CC2551" w14:textId="77777777" w:rsidR="00F436E1" w:rsidRPr="00DF4CE5" w:rsidRDefault="00F436E1"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Pohađanje nastave je obvezno. Toleriraju se tri (3) izostanka. Da bi se pristupilo kolokviju, studenti moraju ispoštovati sve obveze a naročito redovito pohađati  nastavu  i aktivno sudjelovati u nastavnom  procesu, jer sama struktura kolegija zahtijeva stalnu prisutnost na predavanjima i seminarima. </w:t>
            </w:r>
            <w:r w:rsidRPr="00DF4CE5">
              <w:rPr>
                <w:rFonts w:ascii="Cambria" w:eastAsia="Times New Roman" w:hAnsi="Cambria" w:cs="Calibri"/>
                <w:lang w:val="pl-PL"/>
              </w:rPr>
              <w:t>U semestru se pi</w:t>
            </w:r>
            <w:proofErr w:type="spellStart"/>
            <w:r w:rsidRPr="00DF4CE5">
              <w:rPr>
                <w:rFonts w:ascii="Cambria" w:eastAsia="Times New Roman" w:hAnsi="Cambria" w:cs="Calibri"/>
                <w:lang w:val="hr-HR"/>
              </w:rPr>
              <w:t>še</w:t>
            </w:r>
            <w:proofErr w:type="spellEnd"/>
            <w:r w:rsidRPr="00DF4CE5">
              <w:rPr>
                <w:rFonts w:ascii="Cambria" w:eastAsia="Times New Roman" w:hAnsi="Cambria" w:cs="Calibri"/>
                <w:lang w:val="hr-HR"/>
              </w:rPr>
              <w:t xml:space="preserve"> 1 </w:t>
            </w:r>
            <w:r w:rsidRPr="00DF4CE5">
              <w:rPr>
                <w:rFonts w:ascii="Cambria" w:eastAsia="Times New Roman" w:hAnsi="Cambria" w:cs="Calibri"/>
                <w:lang w:val="pl-PL"/>
              </w:rPr>
              <w:t>kolokvij</w:t>
            </w:r>
            <w:r w:rsidRPr="00DF4CE5">
              <w:rPr>
                <w:rFonts w:ascii="Cambria" w:eastAsia="Times New Roman" w:hAnsi="Cambria" w:cs="Calibri"/>
                <w:lang w:val="hr-HR"/>
              </w:rPr>
              <w:t xml:space="preserve"> (na kraju semestra). Studenti imaju obavezu napisati i prezentirati seminar (individualni rad)  koji se predaje u tiskanom i elektroničkom obliku. U posljednjem tjednu siječnja održat će se popravni kolokvij za studente koji iz opravdanih razloga nisu pristupili ili zadovoljili na redovnom kolokviju. </w:t>
            </w:r>
            <w:r w:rsidRPr="00DF4CE5">
              <w:rPr>
                <w:rFonts w:ascii="Cambria" w:eastAsia="Times New Roman" w:hAnsi="Cambria" w:cs="Calibri"/>
                <w:lang w:val="pl-PL"/>
              </w:rPr>
              <w:t>U kona</w:t>
            </w:r>
            <w:r w:rsidRPr="00DF4CE5">
              <w:rPr>
                <w:rFonts w:ascii="Cambria" w:eastAsia="Times New Roman" w:hAnsi="Cambria" w:cs="Calibri"/>
                <w:lang w:val="hr-HR"/>
              </w:rPr>
              <w:t>č</w:t>
            </w:r>
            <w:r w:rsidRPr="00DF4CE5">
              <w:rPr>
                <w:rFonts w:ascii="Cambria" w:eastAsia="Times New Roman" w:hAnsi="Cambria" w:cs="Calibri"/>
                <w:lang w:val="pl-PL"/>
              </w:rPr>
              <w:t>nu ocjenu ulaze rezultati kolokvija</w:t>
            </w:r>
            <w:r w:rsidRPr="00DF4CE5">
              <w:rPr>
                <w:rFonts w:ascii="Cambria" w:eastAsia="Times New Roman" w:hAnsi="Cambria" w:cs="Calibri"/>
                <w:lang w:val="hr-HR"/>
              </w:rPr>
              <w:t xml:space="preserve">, </w:t>
            </w:r>
            <w:r w:rsidRPr="00DF4CE5">
              <w:rPr>
                <w:rFonts w:ascii="Cambria" w:eastAsia="Times New Roman" w:hAnsi="Cambria" w:cs="Calibri"/>
                <w:lang w:val="pl-PL"/>
              </w:rPr>
              <w:t xml:space="preserve">ocjena </w:t>
            </w:r>
            <w:r w:rsidRPr="00DF4CE5">
              <w:rPr>
                <w:rFonts w:ascii="Cambria" w:eastAsia="Times New Roman" w:hAnsi="Cambria" w:cs="Calibri"/>
                <w:lang w:val="hr-HR"/>
              </w:rPr>
              <w:t xml:space="preserve">seminara/projekta </w:t>
            </w:r>
            <w:r w:rsidRPr="00DF4CE5">
              <w:rPr>
                <w:rFonts w:ascii="Cambria" w:eastAsia="Times New Roman" w:hAnsi="Cambria" w:cs="Calibri"/>
                <w:lang w:val="pl-PL"/>
              </w:rPr>
              <w:t>te prisutnost na nastavi.</w:t>
            </w:r>
          </w:p>
          <w:p w14:paraId="5DC069C5" w14:textId="77777777" w:rsidR="00F436E1" w:rsidRPr="00DF4CE5" w:rsidRDefault="00F436E1"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Studenti koji su ostvarili manje od 50% udjela ocjene tijekom nastave moraju pristupiti završnom usmenom ispitu u redovnim ili izvanrednim ispitnim rokovima.</w:t>
            </w:r>
          </w:p>
          <w:p w14:paraId="39A68023" w14:textId="77777777" w:rsidR="00F436E1" w:rsidRPr="00DF4CE5" w:rsidRDefault="00F436E1" w:rsidP="008B34AF">
            <w:pPr>
              <w:spacing w:after="0" w:line="240" w:lineRule="auto"/>
              <w:jc w:val="both"/>
              <w:rPr>
                <w:rFonts w:ascii="Cambria" w:eastAsia="Times New Roman" w:hAnsi="Cambria" w:cs="Calibri"/>
                <w:lang w:val="hr-HR"/>
              </w:rPr>
            </w:pPr>
            <w:r w:rsidRPr="00DF4CE5">
              <w:rPr>
                <w:rFonts w:ascii="Cambria" w:eastAsia="Times New Roman" w:hAnsi="Cambria" w:cs="Calibri"/>
                <w:u w:val="single"/>
                <w:lang w:val="hr-HR"/>
              </w:rPr>
              <w:t>Kolokvij</w:t>
            </w:r>
            <w:r w:rsidRPr="00DF4CE5">
              <w:rPr>
                <w:rFonts w:ascii="Cambria" w:eastAsia="Times New Roman" w:hAnsi="Cambria" w:cs="Calibri"/>
                <w:lang w:val="hr-HR"/>
              </w:rPr>
              <w:t xml:space="preserve"> se ocjenjuje na sljedeći način:</w:t>
            </w:r>
          </w:p>
          <w:p w14:paraId="438E82D3" w14:textId="77777777" w:rsidR="00F436E1" w:rsidRPr="00DF4CE5" w:rsidRDefault="00F436E1"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ab/>
              <w:t xml:space="preserve">od 0% do 50% točnih odgovora </w:t>
            </w:r>
            <w:r w:rsidRPr="00DF4CE5">
              <w:rPr>
                <w:rFonts w:ascii="Cambria" w:eastAsia="Times New Roman" w:hAnsi="Cambria" w:cs="Calibri"/>
                <w:lang w:val="hr-HR"/>
              </w:rPr>
              <w:tab/>
              <w:t xml:space="preserve">= </w:t>
            </w:r>
            <w:r w:rsidRPr="00DF4CE5">
              <w:rPr>
                <w:rFonts w:ascii="Cambria" w:eastAsia="Times New Roman" w:hAnsi="Cambria" w:cs="Calibri"/>
                <w:lang w:val="hr-HR"/>
              </w:rPr>
              <w:tab/>
              <w:t>0%</w:t>
            </w:r>
            <w:r w:rsidRPr="00DF4CE5">
              <w:rPr>
                <w:rFonts w:ascii="Cambria" w:eastAsia="Times New Roman" w:hAnsi="Cambria" w:cs="Calibri"/>
                <w:lang w:val="hr-HR"/>
              </w:rPr>
              <w:tab/>
              <w:t>ocjene</w:t>
            </w:r>
          </w:p>
          <w:p w14:paraId="4D3DB6C3" w14:textId="77777777" w:rsidR="00F436E1" w:rsidRPr="00DF4CE5" w:rsidRDefault="00F436E1"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ab/>
              <w:t>od 51% do 60%</w:t>
            </w:r>
            <w:r w:rsidRPr="00DF4CE5">
              <w:rPr>
                <w:rFonts w:ascii="Cambria" w:eastAsia="Times New Roman" w:hAnsi="Cambria" w:cs="Calibri"/>
                <w:lang w:val="hr-HR"/>
              </w:rPr>
              <w:tab/>
            </w:r>
            <w:r w:rsidRPr="00DF4CE5">
              <w:rPr>
                <w:rFonts w:ascii="Cambria" w:eastAsia="Times New Roman" w:hAnsi="Cambria" w:cs="Calibri"/>
                <w:lang w:val="hr-HR"/>
              </w:rPr>
              <w:tab/>
            </w:r>
            <w:r w:rsidRPr="00DF4CE5">
              <w:rPr>
                <w:rFonts w:ascii="Cambria" w:eastAsia="Times New Roman" w:hAnsi="Cambria" w:cs="Calibri"/>
                <w:lang w:val="hr-HR"/>
              </w:rPr>
              <w:tab/>
              <w:t>=</w:t>
            </w:r>
            <w:r w:rsidRPr="00DF4CE5">
              <w:rPr>
                <w:rFonts w:ascii="Cambria" w:eastAsia="Times New Roman" w:hAnsi="Cambria" w:cs="Calibri"/>
                <w:lang w:val="hr-HR"/>
              </w:rPr>
              <w:tab/>
              <w:t>6%</w:t>
            </w:r>
            <w:r w:rsidRPr="00DF4CE5">
              <w:rPr>
                <w:rFonts w:ascii="Cambria" w:eastAsia="Times New Roman" w:hAnsi="Cambria" w:cs="Calibri"/>
                <w:lang w:val="hr-HR"/>
              </w:rPr>
              <w:tab/>
              <w:t>ocjene</w:t>
            </w:r>
          </w:p>
          <w:p w14:paraId="53993613" w14:textId="77777777" w:rsidR="00F436E1" w:rsidRPr="00DF4CE5" w:rsidRDefault="00F436E1"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ab/>
              <w:t>od 61% do 70%</w:t>
            </w:r>
            <w:r w:rsidRPr="00DF4CE5">
              <w:rPr>
                <w:rFonts w:ascii="Cambria" w:eastAsia="Times New Roman" w:hAnsi="Cambria" w:cs="Calibri"/>
                <w:lang w:val="hr-HR"/>
              </w:rPr>
              <w:tab/>
            </w:r>
            <w:r w:rsidRPr="00DF4CE5">
              <w:rPr>
                <w:rFonts w:ascii="Cambria" w:eastAsia="Times New Roman" w:hAnsi="Cambria" w:cs="Calibri"/>
                <w:lang w:val="hr-HR"/>
              </w:rPr>
              <w:tab/>
            </w:r>
            <w:r w:rsidRPr="00DF4CE5">
              <w:rPr>
                <w:rFonts w:ascii="Cambria" w:eastAsia="Times New Roman" w:hAnsi="Cambria" w:cs="Calibri"/>
                <w:lang w:val="hr-HR"/>
              </w:rPr>
              <w:tab/>
              <w:t>=</w:t>
            </w:r>
            <w:r w:rsidRPr="00DF4CE5">
              <w:rPr>
                <w:rFonts w:ascii="Cambria" w:eastAsia="Times New Roman" w:hAnsi="Cambria" w:cs="Calibri"/>
                <w:lang w:val="hr-HR"/>
              </w:rPr>
              <w:tab/>
              <w:t>12%</w:t>
            </w:r>
            <w:r w:rsidRPr="00DF4CE5">
              <w:rPr>
                <w:rFonts w:ascii="Cambria" w:eastAsia="Times New Roman" w:hAnsi="Cambria" w:cs="Calibri"/>
                <w:lang w:val="hr-HR"/>
              </w:rPr>
              <w:tab/>
              <w:t>ocjene</w:t>
            </w:r>
          </w:p>
          <w:p w14:paraId="37BC4B92" w14:textId="77777777" w:rsidR="00F436E1" w:rsidRPr="00DF4CE5" w:rsidRDefault="00F436E1"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ab/>
              <w:t>od 71% do 80%</w:t>
            </w:r>
            <w:r w:rsidRPr="00DF4CE5">
              <w:rPr>
                <w:rFonts w:ascii="Cambria" w:eastAsia="Times New Roman" w:hAnsi="Cambria" w:cs="Calibri"/>
                <w:lang w:val="hr-HR"/>
              </w:rPr>
              <w:tab/>
            </w:r>
            <w:r w:rsidRPr="00DF4CE5">
              <w:rPr>
                <w:rFonts w:ascii="Cambria" w:eastAsia="Times New Roman" w:hAnsi="Cambria" w:cs="Calibri"/>
                <w:lang w:val="hr-HR"/>
              </w:rPr>
              <w:tab/>
            </w:r>
            <w:r w:rsidRPr="00DF4CE5">
              <w:rPr>
                <w:rFonts w:ascii="Cambria" w:eastAsia="Times New Roman" w:hAnsi="Cambria" w:cs="Calibri"/>
                <w:lang w:val="hr-HR"/>
              </w:rPr>
              <w:tab/>
              <w:t>=</w:t>
            </w:r>
            <w:r w:rsidRPr="00DF4CE5">
              <w:rPr>
                <w:rFonts w:ascii="Cambria" w:eastAsia="Times New Roman" w:hAnsi="Cambria" w:cs="Calibri"/>
                <w:lang w:val="hr-HR"/>
              </w:rPr>
              <w:tab/>
              <w:t>18%</w:t>
            </w:r>
            <w:r w:rsidRPr="00DF4CE5">
              <w:rPr>
                <w:rFonts w:ascii="Cambria" w:eastAsia="Times New Roman" w:hAnsi="Cambria" w:cs="Calibri"/>
                <w:lang w:val="hr-HR"/>
              </w:rPr>
              <w:tab/>
              <w:t>ocjene</w:t>
            </w:r>
          </w:p>
          <w:p w14:paraId="4DAC039E" w14:textId="77777777" w:rsidR="00F436E1" w:rsidRPr="00DF4CE5" w:rsidRDefault="00F436E1"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ab/>
              <w:t>od 81% do 90%</w:t>
            </w:r>
            <w:r w:rsidRPr="00DF4CE5">
              <w:rPr>
                <w:rFonts w:ascii="Cambria" w:eastAsia="Times New Roman" w:hAnsi="Cambria" w:cs="Calibri"/>
                <w:lang w:val="hr-HR"/>
              </w:rPr>
              <w:tab/>
            </w:r>
            <w:r w:rsidRPr="00DF4CE5">
              <w:rPr>
                <w:rFonts w:ascii="Cambria" w:eastAsia="Times New Roman" w:hAnsi="Cambria" w:cs="Calibri"/>
                <w:lang w:val="hr-HR"/>
              </w:rPr>
              <w:tab/>
            </w:r>
            <w:r w:rsidRPr="00DF4CE5">
              <w:rPr>
                <w:rFonts w:ascii="Cambria" w:eastAsia="Times New Roman" w:hAnsi="Cambria" w:cs="Calibri"/>
                <w:lang w:val="hr-HR"/>
              </w:rPr>
              <w:tab/>
              <w:t>=</w:t>
            </w:r>
            <w:r w:rsidRPr="00DF4CE5">
              <w:rPr>
                <w:rFonts w:ascii="Cambria" w:eastAsia="Times New Roman" w:hAnsi="Cambria" w:cs="Calibri"/>
                <w:lang w:val="hr-HR"/>
              </w:rPr>
              <w:tab/>
              <w:t>24%</w:t>
            </w:r>
            <w:r w:rsidRPr="00DF4CE5">
              <w:rPr>
                <w:rFonts w:ascii="Cambria" w:eastAsia="Times New Roman" w:hAnsi="Cambria" w:cs="Calibri"/>
                <w:lang w:val="hr-HR"/>
              </w:rPr>
              <w:tab/>
              <w:t>ocjene</w:t>
            </w:r>
          </w:p>
          <w:p w14:paraId="5B13AD99" w14:textId="77777777" w:rsidR="00F436E1" w:rsidRPr="00DF4CE5" w:rsidRDefault="00F436E1"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ab/>
              <w:t>od 91% do 100%</w:t>
            </w:r>
            <w:r w:rsidRPr="00DF4CE5">
              <w:rPr>
                <w:rFonts w:ascii="Cambria" w:eastAsia="Times New Roman" w:hAnsi="Cambria" w:cs="Calibri"/>
                <w:lang w:val="hr-HR"/>
              </w:rPr>
              <w:tab/>
            </w:r>
            <w:r w:rsidRPr="00DF4CE5">
              <w:rPr>
                <w:rFonts w:ascii="Cambria" w:eastAsia="Times New Roman" w:hAnsi="Cambria" w:cs="Calibri"/>
                <w:lang w:val="hr-HR"/>
              </w:rPr>
              <w:tab/>
              <w:t xml:space="preserve">               = </w:t>
            </w:r>
            <w:r w:rsidRPr="00DF4CE5">
              <w:rPr>
                <w:rFonts w:ascii="Cambria" w:eastAsia="Times New Roman" w:hAnsi="Cambria" w:cs="Calibri"/>
                <w:lang w:val="hr-HR"/>
              </w:rPr>
              <w:tab/>
              <w:t>30% ocjene</w:t>
            </w:r>
          </w:p>
          <w:p w14:paraId="1CF7A153" w14:textId="77777777" w:rsidR="00F436E1" w:rsidRPr="00DF4CE5" w:rsidRDefault="00F436E1" w:rsidP="008B34AF">
            <w:pPr>
              <w:spacing w:after="0" w:line="240" w:lineRule="auto"/>
              <w:jc w:val="both"/>
              <w:rPr>
                <w:rFonts w:ascii="Cambria" w:eastAsia="Times New Roman" w:hAnsi="Cambria" w:cs="Calibri"/>
                <w:lang w:val="hr-HR"/>
              </w:rPr>
            </w:pPr>
            <w:r w:rsidRPr="00DF4CE5">
              <w:rPr>
                <w:rFonts w:ascii="Cambria" w:eastAsia="Times New Roman" w:hAnsi="Cambria" w:cs="Calibri"/>
                <w:u w:val="single"/>
                <w:lang w:val="hr-HR"/>
              </w:rPr>
              <w:t>Završni – usmeni ispit</w:t>
            </w:r>
            <w:r w:rsidRPr="00DF4CE5">
              <w:rPr>
                <w:rFonts w:ascii="Cambria" w:eastAsia="Times New Roman" w:hAnsi="Cambria" w:cs="Calibri"/>
                <w:lang w:val="hr-HR"/>
              </w:rPr>
              <w:t xml:space="preserve"> ocjenjuje se na sljedeći način:</w:t>
            </w:r>
          </w:p>
          <w:p w14:paraId="62F49F5A" w14:textId="77777777" w:rsidR="00F436E1" w:rsidRPr="00DF4CE5" w:rsidRDefault="00F436E1"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              od 0 do 5 točnih odgovora          = </w:t>
            </w:r>
            <w:r w:rsidRPr="00DF4CE5">
              <w:rPr>
                <w:rFonts w:ascii="Cambria" w:eastAsia="Times New Roman" w:hAnsi="Cambria" w:cs="Calibri"/>
                <w:lang w:val="hr-HR"/>
              </w:rPr>
              <w:tab/>
              <w:t>0%</w:t>
            </w:r>
            <w:r w:rsidRPr="00DF4CE5">
              <w:rPr>
                <w:rFonts w:ascii="Cambria" w:eastAsia="Times New Roman" w:hAnsi="Cambria" w:cs="Calibri"/>
                <w:lang w:val="hr-HR"/>
              </w:rPr>
              <w:tab/>
              <w:t>ocjene</w:t>
            </w:r>
          </w:p>
          <w:p w14:paraId="5D92345B" w14:textId="77777777" w:rsidR="00F436E1" w:rsidRPr="00DF4CE5" w:rsidRDefault="00F436E1"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ab/>
              <w:t xml:space="preserve">6 točnih odgovora              </w:t>
            </w:r>
            <w:r w:rsidRPr="00DF4CE5">
              <w:rPr>
                <w:rFonts w:ascii="Cambria" w:eastAsia="Times New Roman" w:hAnsi="Cambria" w:cs="Calibri"/>
                <w:lang w:val="hr-HR"/>
              </w:rPr>
              <w:tab/>
              <w:t>=</w:t>
            </w:r>
            <w:r w:rsidRPr="00DF4CE5">
              <w:rPr>
                <w:rFonts w:ascii="Cambria" w:eastAsia="Times New Roman" w:hAnsi="Cambria" w:cs="Calibri"/>
                <w:lang w:val="hr-HR"/>
              </w:rPr>
              <w:tab/>
              <w:t>5%</w:t>
            </w:r>
            <w:r w:rsidRPr="00DF4CE5">
              <w:rPr>
                <w:rFonts w:ascii="Cambria" w:eastAsia="Times New Roman" w:hAnsi="Cambria" w:cs="Calibri"/>
                <w:lang w:val="hr-HR"/>
              </w:rPr>
              <w:tab/>
              <w:t>ocjene</w:t>
            </w:r>
          </w:p>
          <w:p w14:paraId="4CEF8024" w14:textId="77777777" w:rsidR="00F436E1" w:rsidRPr="00DF4CE5" w:rsidRDefault="00F436E1"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ab/>
              <w:t xml:space="preserve">7 točnih odgovora              </w:t>
            </w:r>
            <w:r w:rsidRPr="00DF4CE5">
              <w:rPr>
                <w:rFonts w:ascii="Cambria" w:eastAsia="Times New Roman" w:hAnsi="Cambria" w:cs="Calibri"/>
                <w:lang w:val="hr-HR"/>
              </w:rPr>
              <w:tab/>
              <w:t>=</w:t>
            </w:r>
            <w:r w:rsidRPr="00DF4CE5">
              <w:rPr>
                <w:rFonts w:ascii="Cambria" w:eastAsia="Times New Roman" w:hAnsi="Cambria" w:cs="Calibri"/>
                <w:lang w:val="hr-HR"/>
              </w:rPr>
              <w:tab/>
              <w:t>8%</w:t>
            </w:r>
            <w:r w:rsidRPr="00DF4CE5">
              <w:rPr>
                <w:rFonts w:ascii="Cambria" w:eastAsia="Times New Roman" w:hAnsi="Cambria" w:cs="Calibri"/>
                <w:lang w:val="hr-HR"/>
              </w:rPr>
              <w:tab/>
              <w:t>ocjene</w:t>
            </w:r>
          </w:p>
          <w:p w14:paraId="1B13D34D" w14:textId="77777777" w:rsidR="00F436E1" w:rsidRPr="00DF4CE5" w:rsidRDefault="00F436E1"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ab/>
              <w:t>8 točnih odgovora                        =</w:t>
            </w:r>
            <w:r w:rsidRPr="00DF4CE5">
              <w:rPr>
                <w:rFonts w:ascii="Cambria" w:eastAsia="Times New Roman" w:hAnsi="Cambria" w:cs="Calibri"/>
                <w:lang w:val="hr-HR"/>
              </w:rPr>
              <w:tab/>
              <w:t>12%</w:t>
            </w:r>
            <w:r w:rsidRPr="00DF4CE5">
              <w:rPr>
                <w:rFonts w:ascii="Cambria" w:eastAsia="Times New Roman" w:hAnsi="Cambria" w:cs="Calibri"/>
                <w:lang w:val="hr-HR"/>
              </w:rPr>
              <w:tab/>
              <w:t>ocjene</w:t>
            </w:r>
          </w:p>
          <w:p w14:paraId="629DEBDD" w14:textId="77777777" w:rsidR="00F436E1" w:rsidRPr="00DF4CE5" w:rsidRDefault="00F436E1"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ab/>
              <w:t xml:space="preserve">9 točnih odgovora              </w:t>
            </w:r>
            <w:r w:rsidRPr="00DF4CE5">
              <w:rPr>
                <w:rFonts w:ascii="Cambria" w:eastAsia="Times New Roman" w:hAnsi="Cambria" w:cs="Calibri"/>
                <w:lang w:val="hr-HR"/>
              </w:rPr>
              <w:tab/>
              <w:t>=</w:t>
            </w:r>
            <w:r w:rsidRPr="00DF4CE5">
              <w:rPr>
                <w:rFonts w:ascii="Cambria" w:eastAsia="Times New Roman" w:hAnsi="Cambria" w:cs="Calibri"/>
                <w:lang w:val="hr-HR"/>
              </w:rPr>
              <w:tab/>
              <w:t>16%</w:t>
            </w:r>
            <w:r w:rsidRPr="00DF4CE5">
              <w:rPr>
                <w:rFonts w:ascii="Cambria" w:eastAsia="Times New Roman" w:hAnsi="Cambria" w:cs="Calibri"/>
                <w:lang w:val="hr-HR"/>
              </w:rPr>
              <w:tab/>
              <w:t>ocjene</w:t>
            </w:r>
          </w:p>
          <w:p w14:paraId="13088DEC" w14:textId="0CFF07AB" w:rsidR="00F436E1" w:rsidRPr="00DF4CE5" w:rsidRDefault="00F436E1"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ab/>
              <w:t xml:space="preserve">10 točnih odgovora              </w:t>
            </w:r>
            <w:r w:rsidRPr="00DF4CE5">
              <w:rPr>
                <w:rFonts w:ascii="Cambria" w:eastAsia="Times New Roman" w:hAnsi="Cambria" w:cs="Calibri"/>
                <w:lang w:val="hr-HR"/>
              </w:rPr>
              <w:tab/>
              <w:t xml:space="preserve">= </w:t>
            </w:r>
            <w:r w:rsidRPr="00DF4CE5">
              <w:rPr>
                <w:rFonts w:ascii="Cambria" w:eastAsia="Times New Roman" w:hAnsi="Cambria" w:cs="Calibri"/>
                <w:lang w:val="hr-HR"/>
              </w:rPr>
              <w:tab/>
              <w:t xml:space="preserve">20% </w:t>
            </w:r>
            <w:r w:rsidRPr="00DF4CE5">
              <w:rPr>
                <w:rFonts w:ascii="Cambria" w:eastAsia="Times New Roman" w:hAnsi="Cambria" w:cs="Calibri"/>
                <w:lang w:val="hr-HR"/>
              </w:rPr>
              <w:tab/>
              <w:t>ocjene</w:t>
            </w:r>
          </w:p>
        </w:tc>
      </w:tr>
      <w:tr w:rsidR="00F436E1" w:rsidRPr="00DF4CE5" w14:paraId="316292B0" w14:textId="77777777" w:rsidTr="004A100E">
        <w:tc>
          <w:tcPr>
            <w:tcW w:w="261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602C736" w14:textId="77777777" w:rsidR="00F436E1" w:rsidRPr="00DF4CE5" w:rsidRDefault="00F436E1"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Da položi kolegij, student/studentica mora: </w:t>
            </w:r>
          </w:p>
        </w:tc>
        <w:tc>
          <w:tcPr>
            <w:tcW w:w="672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5D286C7F" w14:textId="667E4CBB" w:rsidR="00C034A7" w:rsidRDefault="00C034A7" w:rsidP="00C034A7">
            <w:pPr>
              <w:spacing w:before="20" w:after="20" w:line="240" w:lineRule="auto"/>
              <w:contextualSpacing/>
              <w:jc w:val="both"/>
              <w:rPr>
                <w:rFonts w:ascii="Cambria" w:eastAsia="Times New Roman" w:hAnsi="Cambria" w:cs="Calibri"/>
                <w:lang w:val="hr-HR"/>
              </w:rPr>
            </w:pPr>
            <w:r>
              <w:rPr>
                <w:rFonts w:ascii="Cambria" w:eastAsia="Times New Roman" w:hAnsi="Cambria" w:cs="Calibri"/>
                <w:lang w:val="hr-HR"/>
              </w:rPr>
              <w:t>Da bi položio kolegij, student/studentica mora:</w:t>
            </w:r>
          </w:p>
          <w:p w14:paraId="03A116C5" w14:textId="5731738A" w:rsidR="00F436E1" w:rsidRPr="00DF4CE5" w:rsidRDefault="00F436E1" w:rsidP="00A034E3">
            <w:pPr>
              <w:numPr>
                <w:ilvl w:val="0"/>
                <w:numId w:val="29"/>
              </w:numPr>
              <w:spacing w:before="20" w:after="20" w:line="240" w:lineRule="auto"/>
              <w:contextualSpacing/>
              <w:jc w:val="both"/>
              <w:rPr>
                <w:rFonts w:ascii="Cambria" w:eastAsia="Times New Roman" w:hAnsi="Cambria" w:cs="Calibri"/>
                <w:lang w:val="hr-HR"/>
              </w:rPr>
            </w:pPr>
            <w:r w:rsidRPr="00DF4CE5">
              <w:rPr>
                <w:rFonts w:ascii="Cambria" w:eastAsia="Times New Roman" w:hAnsi="Cambria" w:cs="Calibri"/>
                <w:lang w:val="hr-HR"/>
              </w:rPr>
              <w:t xml:space="preserve">redovito </w:t>
            </w:r>
            <w:r w:rsidR="00C034A7">
              <w:rPr>
                <w:rFonts w:ascii="Cambria" w:eastAsia="Times New Roman" w:hAnsi="Cambria" w:cs="Calibri"/>
                <w:lang w:val="hr-HR"/>
              </w:rPr>
              <w:t xml:space="preserve">i aktivno </w:t>
            </w:r>
            <w:r w:rsidRPr="00DF4CE5">
              <w:rPr>
                <w:rFonts w:ascii="Cambria" w:eastAsia="Times New Roman" w:hAnsi="Cambria" w:cs="Calibri"/>
                <w:lang w:val="hr-HR"/>
              </w:rPr>
              <w:t>pohađati nastavu</w:t>
            </w:r>
            <w:r w:rsidR="00C034A7">
              <w:rPr>
                <w:rFonts w:ascii="Cambria" w:eastAsia="Times New Roman" w:hAnsi="Cambria" w:cs="Calibri"/>
                <w:lang w:val="hr-HR"/>
              </w:rPr>
              <w:t xml:space="preserve"> </w:t>
            </w:r>
          </w:p>
          <w:p w14:paraId="55F3473A" w14:textId="77777777" w:rsidR="00F436E1" w:rsidRPr="00DF4CE5" w:rsidRDefault="00F436E1" w:rsidP="00A034E3">
            <w:pPr>
              <w:numPr>
                <w:ilvl w:val="0"/>
                <w:numId w:val="29"/>
              </w:numPr>
              <w:spacing w:before="20" w:after="20" w:line="240" w:lineRule="auto"/>
              <w:contextualSpacing/>
              <w:jc w:val="both"/>
              <w:rPr>
                <w:rFonts w:ascii="Cambria" w:eastAsia="Times New Roman" w:hAnsi="Cambria" w:cs="Calibri"/>
                <w:lang w:val="hr-HR"/>
              </w:rPr>
            </w:pPr>
            <w:r w:rsidRPr="00DF4CE5">
              <w:rPr>
                <w:rFonts w:ascii="Cambria" w:eastAsia="Times New Roman" w:hAnsi="Cambria" w:cs="Calibri"/>
                <w:lang w:val="hr-HR"/>
              </w:rPr>
              <w:t xml:space="preserve">izvršiti zadani seminarski rad </w:t>
            </w:r>
          </w:p>
          <w:p w14:paraId="710056BB" w14:textId="77777777" w:rsidR="00F436E1" w:rsidRPr="00DF4CE5" w:rsidRDefault="00F436E1" w:rsidP="00A034E3">
            <w:pPr>
              <w:numPr>
                <w:ilvl w:val="0"/>
                <w:numId w:val="29"/>
              </w:numPr>
              <w:spacing w:before="20" w:after="20" w:line="240" w:lineRule="auto"/>
              <w:contextualSpacing/>
              <w:jc w:val="both"/>
              <w:rPr>
                <w:rFonts w:ascii="Cambria" w:eastAsia="Times New Roman" w:hAnsi="Cambria" w:cs="Calibri"/>
                <w:lang w:val="hr-HR"/>
              </w:rPr>
            </w:pPr>
            <w:r w:rsidRPr="00DF4CE5">
              <w:rPr>
                <w:rFonts w:ascii="Cambria" w:eastAsia="Times New Roman" w:hAnsi="Cambria" w:cs="Calibri"/>
                <w:lang w:val="hr-HR"/>
              </w:rPr>
              <w:t xml:space="preserve">položiti kolokvij </w:t>
            </w:r>
          </w:p>
          <w:p w14:paraId="350C3BE5" w14:textId="3501F9AF" w:rsidR="00F436E1" w:rsidRPr="00DF4CE5" w:rsidRDefault="00F436E1" w:rsidP="00A034E3">
            <w:pPr>
              <w:numPr>
                <w:ilvl w:val="0"/>
                <w:numId w:val="29"/>
              </w:numPr>
              <w:spacing w:before="20" w:after="20" w:line="240" w:lineRule="auto"/>
              <w:contextualSpacing/>
              <w:jc w:val="both"/>
              <w:rPr>
                <w:rFonts w:ascii="Cambria" w:eastAsia="Times New Roman" w:hAnsi="Cambria" w:cs="Calibri"/>
                <w:lang w:val="hr-HR"/>
              </w:rPr>
            </w:pPr>
            <w:r w:rsidRPr="00DF4CE5">
              <w:rPr>
                <w:rFonts w:ascii="Cambria" w:eastAsia="Times New Roman" w:hAnsi="Cambria" w:cs="Calibri"/>
                <w:lang w:val="hr-HR"/>
              </w:rPr>
              <w:t>položiti ispit</w:t>
            </w:r>
            <w:r w:rsidR="00C034A7">
              <w:rPr>
                <w:rFonts w:ascii="Cambria" w:eastAsia="Times New Roman" w:hAnsi="Cambria" w:cs="Calibri"/>
                <w:lang w:val="hr-HR"/>
              </w:rPr>
              <w:t xml:space="preserve">. </w:t>
            </w:r>
          </w:p>
        </w:tc>
      </w:tr>
      <w:tr w:rsidR="00F436E1" w:rsidRPr="00D0399C" w14:paraId="66D1C9E2" w14:textId="77777777" w:rsidTr="004A100E">
        <w:tc>
          <w:tcPr>
            <w:tcW w:w="261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DA24341" w14:textId="77777777" w:rsidR="00F436E1" w:rsidRPr="00DF4CE5" w:rsidRDefault="00F436E1" w:rsidP="008B34AF">
            <w:pPr>
              <w:spacing w:after="0" w:line="240" w:lineRule="auto"/>
              <w:jc w:val="both"/>
              <w:rPr>
                <w:rFonts w:ascii="Cambria" w:eastAsia="Times New Roman" w:hAnsi="Cambria" w:cs="Calibri"/>
                <w:lang w:val="hr-HR"/>
              </w:rPr>
            </w:pPr>
            <w:proofErr w:type="spellStart"/>
            <w:r w:rsidRPr="00DF4CE5">
              <w:rPr>
                <w:rFonts w:ascii="Cambria" w:eastAsia="Times New Roman" w:hAnsi="Cambria" w:cs="Calibri"/>
              </w:rPr>
              <w:t>Rokovi</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ispita</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i</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kolokvija</w:t>
            </w:r>
            <w:proofErr w:type="spellEnd"/>
          </w:p>
        </w:tc>
        <w:tc>
          <w:tcPr>
            <w:tcW w:w="672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4FADBDF" w14:textId="27D46CB1" w:rsidR="00F436E1" w:rsidRPr="00DF4CE5" w:rsidRDefault="00F436E1"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Definiraju se na početku akademske godine, objavljuju se na mrežnim stranicama Sveučilišta i u ISVU.</w:t>
            </w:r>
          </w:p>
        </w:tc>
      </w:tr>
      <w:tr w:rsidR="00F436E1" w:rsidRPr="0039661B" w14:paraId="63D103E3" w14:textId="77777777" w:rsidTr="004A100E">
        <w:tc>
          <w:tcPr>
            <w:tcW w:w="261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93AD512" w14:textId="77777777" w:rsidR="00F436E1" w:rsidRPr="00DF4CE5" w:rsidRDefault="00F436E1"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Ostale važne činjenice </w:t>
            </w:r>
            <w:r w:rsidRPr="00DF4CE5">
              <w:rPr>
                <w:rFonts w:ascii="Cambria" w:eastAsia="Times New Roman" w:hAnsi="Cambria" w:cs="Calibri"/>
                <w:lang w:val="pl-PL"/>
              </w:rPr>
              <w:t>vezane uz kolegij</w:t>
            </w:r>
          </w:p>
        </w:tc>
        <w:tc>
          <w:tcPr>
            <w:tcW w:w="672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10CD195" w14:textId="7D50F1E7" w:rsidR="00F436E1" w:rsidRPr="00DF4CE5" w:rsidRDefault="00F436E1"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U slučaju održavanja nastave na daljinu, moguće je odstupanje u: mjestu izvođenja kolegija, provedbi aktivnosti, metoda tumačenja i poučavanja i načinima vrednovanja, studentskim obvezama i dostupnoj literaturi. O tome će nositeljica kolegija </w:t>
            </w:r>
            <w:r w:rsidR="0039661B">
              <w:rPr>
                <w:rFonts w:ascii="Cambria" w:eastAsia="Times New Roman" w:hAnsi="Cambria" w:cs="Calibri"/>
                <w:lang w:val="hr-HR"/>
              </w:rPr>
              <w:t xml:space="preserve">i suradnice </w:t>
            </w:r>
            <w:r w:rsidRPr="00DF4CE5">
              <w:rPr>
                <w:rFonts w:ascii="Cambria" w:eastAsia="Times New Roman" w:hAnsi="Cambria" w:cs="Calibri"/>
                <w:lang w:val="hr-HR"/>
              </w:rPr>
              <w:t xml:space="preserve">obavijestiti studente i studentice </w:t>
            </w:r>
            <w:r w:rsidRPr="00DF4CE5">
              <w:rPr>
                <w:rFonts w:ascii="Cambria" w:eastAsia="Times New Roman" w:hAnsi="Cambria" w:cs="Calibri"/>
                <w:lang w:val="hr-HR"/>
              </w:rPr>
              <w:lastRenderedPageBreak/>
              <w:t>kad se nastava na daljinu počne održavati. Ishodi učenja ostaju nepromijenjeni.</w:t>
            </w:r>
          </w:p>
        </w:tc>
      </w:tr>
      <w:tr w:rsidR="00F436E1" w:rsidRPr="00DF4CE5" w14:paraId="20CCCD03" w14:textId="77777777" w:rsidTr="004A100E">
        <w:trPr>
          <w:trHeight w:val="770"/>
        </w:trPr>
        <w:tc>
          <w:tcPr>
            <w:tcW w:w="261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48F1599" w14:textId="77777777" w:rsidR="00F436E1" w:rsidRPr="00DF4CE5" w:rsidRDefault="00F436E1"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lastRenderedPageBreak/>
              <w:t>Literatura</w:t>
            </w:r>
          </w:p>
        </w:tc>
        <w:tc>
          <w:tcPr>
            <w:tcW w:w="6724"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14:paraId="603C76BB" w14:textId="77777777" w:rsidR="00F436E1" w:rsidRPr="00DF4CE5" w:rsidRDefault="00F436E1" w:rsidP="008B34AF">
            <w:pPr>
              <w:spacing w:before="20" w:after="20" w:line="240" w:lineRule="auto"/>
              <w:jc w:val="both"/>
              <w:rPr>
                <w:rFonts w:ascii="Cambria" w:eastAsia="Times New Roman" w:hAnsi="Cambria" w:cs="Calibri"/>
                <w:lang w:val="hr-HR"/>
              </w:rPr>
            </w:pPr>
            <w:r w:rsidRPr="00DF4CE5">
              <w:rPr>
                <w:rFonts w:ascii="Cambria" w:eastAsia="Times New Roman" w:hAnsi="Cambria" w:cs="Calibri"/>
                <w:lang w:val="hr-HR"/>
              </w:rPr>
              <w:t>Obvezna:</w:t>
            </w:r>
          </w:p>
          <w:p w14:paraId="0AA3D035" w14:textId="5EDCFA8A" w:rsidR="00F436E1" w:rsidRPr="00DF4CE5" w:rsidRDefault="00F436E1" w:rsidP="00A034E3">
            <w:pPr>
              <w:numPr>
                <w:ilvl w:val="0"/>
                <w:numId w:val="32"/>
              </w:numPr>
              <w:spacing w:before="20" w:after="20" w:line="240" w:lineRule="auto"/>
              <w:contextualSpacing/>
              <w:jc w:val="both"/>
              <w:rPr>
                <w:rFonts w:ascii="Cambria" w:eastAsia="Times New Roman" w:hAnsi="Cambria" w:cs="Calibri"/>
                <w:lang w:val="hr-HR"/>
              </w:rPr>
            </w:pPr>
            <w:proofErr w:type="spellStart"/>
            <w:r w:rsidRPr="00DF4CE5">
              <w:rPr>
                <w:rFonts w:ascii="Cambria" w:eastAsia="Times New Roman" w:hAnsi="Cambria" w:cs="Calibri"/>
                <w:lang w:val="hr-HR"/>
              </w:rPr>
              <w:t>Celce-Murcia</w:t>
            </w:r>
            <w:proofErr w:type="spellEnd"/>
            <w:r w:rsidRPr="00DF4CE5">
              <w:rPr>
                <w:rFonts w:ascii="Cambria" w:eastAsia="Times New Roman" w:hAnsi="Cambria" w:cs="Calibri"/>
                <w:lang w:val="hr-HR"/>
              </w:rPr>
              <w:t xml:space="preserve">, M., </w:t>
            </w:r>
            <w:proofErr w:type="spellStart"/>
            <w:r w:rsidRPr="00DF4CE5">
              <w:rPr>
                <w:rFonts w:ascii="Cambria" w:eastAsia="Times New Roman" w:hAnsi="Cambria" w:cs="Calibri"/>
                <w:lang w:val="hr-HR"/>
              </w:rPr>
              <w:t>Brinton</w:t>
            </w:r>
            <w:proofErr w:type="spellEnd"/>
            <w:r w:rsidRPr="00DF4CE5">
              <w:rPr>
                <w:rFonts w:ascii="Cambria" w:eastAsia="Times New Roman" w:hAnsi="Cambria" w:cs="Calibri"/>
                <w:lang w:val="hr-HR"/>
              </w:rPr>
              <w:t xml:space="preserve">, D., </w:t>
            </w:r>
            <w:proofErr w:type="spellStart"/>
            <w:r w:rsidRPr="00DF4CE5">
              <w:rPr>
                <w:rFonts w:ascii="Cambria" w:eastAsia="Times New Roman" w:hAnsi="Cambria" w:cs="Calibri"/>
                <w:lang w:val="hr-HR"/>
              </w:rPr>
              <w:t>Snow</w:t>
            </w:r>
            <w:proofErr w:type="spellEnd"/>
            <w:r w:rsidRPr="00DF4CE5">
              <w:rPr>
                <w:rFonts w:ascii="Cambria" w:eastAsia="Times New Roman" w:hAnsi="Cambria" w:cs="Calibri"/>
                <w:lang w:val="hr-HR"/>
              </w:rPr>
              <w:t>, M., &amp;</w:t>
            </w:r>
            <w:r w:rsidR="006913BF" w:rsidRPr="00DF4CE5">
              <w:rPr>
                <w:rFonts w:ascii="Cambria" w:eastAsia="Times New Roman" w:hAnsi="Cambria" w:cs="Calibri"/>
                <w:lang w:val="hr-HR"/>
              </w:rPr>
              <w:t xml:space="preserve"> </w:t>
            </w:r>
            <w:proofErr w:type="spellStart"/>
            <w:r w:rsidRPr="00DF4CE5">
              <w:rPr>
                <w:rFonts w:ascii="Cambria" w:eastAsia="Times New Roman" w:hAnsi="Cambria" w:cs="Calibri"/>
                <w:lang w:val="hr-HR"/>
              </w:rPr>
              <w:t>Bohlke</w:t>
            </w:r>
            <w:proofErr w:type="spellEnd"/>
            <w:r w:rsidRPr="00DF4CE5">
              <w:rPr>
                <w:rFonts w:ascii="Cambria" w:eastAsia="Times New Roman" w:hAnsi="Cambria" w:cs="Calibri"/>
                <w:lang w:val="hr-HR"/>
              </w:rPr>
              <w:t>, D. (</w:t>
            </w:r>
            <w:proofErr w:type="spellStart"/>
            <w:r w:rsidRPr="00DF4CE5">
              <w:rPr>
                <w:rFonts w:ascii="Cambria" w:eastAsia="Times New Roman" w:hAnsi="Cambria" w:cs="Calibri"/>
                <w:lang w:val="hr-HR"/>
              </w:rPr>
              <w:t>ur</w:t>
            </w:r>
            <w:proofErr w:type="spellEnd"/>
            <w:r w:rsidRPr="00DF4CE5">
              <w:rPr>
                <w:rFonts w:ascii="Cambria" w:eastAsia="Times New Roman" w:hAnsi="Cambria" w:cs="Calibri"/>
                <w:lang w:val="hr-HR"/>
              </w:rPr>
              <w:t xml:space="preserve">.)(2011). </w:t>
            </w:r>
            <w:proofErr w:type="spellStart"/>
            <w:r w:rsidRPr="00DF4CE5">
              <w:rPr>
                <w:rFonts w:ascii="Cambria" w:eastAsia="Times New Roman" w:hAnsi="Cambria" w:cs="Calibri"/>
                <w:lang w:val="hr-HR"/>
              </w:rPr>
              <w:t>Teaching</w:t>
            </w:r>
            <w:proofErr w:type="spellEnd"/>
            <w:r w:rsidRPr="00DF4CE5">
              <w:rPr>
                <w:rFonts w:ascii="Cambria" w:eastAsia="Times New Roman" w:hAnsi="Cambria" w:cs="Calibri"/>
                <w:lang w:val="hr-HR"/>
              </w:rPr>
              <w:t xml:space="preserve"> English as a </w:t>
            </w:r>
            <w:proofErr w:type="spellStart"/>
            <w:r w:rsidRPr="00DF4CE5">
              <w:rPr>
                <w:rFonts w:ascii="Cambria" w:eastAsia="Times New Roman" w:hAnsi="Cambria" w:cs="Calibri"/>
                <w:lang w:val="hr-HR"/>
              </w:rPr>
              <w:t>Second</w:t>
            </w:r>
            <w:proofErr w:type="spellEnd"/>
            <w:r w:rsidRPr="00DF4CE5">
              <w:rPr>
                <w:rFonts w:ascii="Cambria" w:eastAsia="Times New Roman" w:hAnsi="Cambria" w:cs="Calibri"/>
                <w:lang w:val="hr-HR"/>
              </w:rPr>
              <w:t xml:space="preserve"> </w:t>
            </w:r>
            <w:proofErr w:type="spellStart"/>
            <w:r w:rsidRPr="00DF4CE5">
              <w:rPr>
                <w:rFonts w:ascii="Cambria" w:eastAsia="Times New Roman" w:hAnsi="Cambria" w:cs="Calibri"/>
                <w:lang w:val="hr-HR"/>
              </w:rPr>
              <w:t>or</w:t>
            </w:r>
            <w:proofErr w:type="spellEnd"/>
            <w:r w:rsidRPr="00DF4CE5">
              <w:rPr>
                <w:rFonts w:ascii="Cambria" w:eastAsia="Times New Roman" w:hAnsi="Cambria" w:cs="Calibri"/>
                <w:lang w:val="hr-HR"/>
              </w:rPr>
              <w:t xml:space="preserve"> </w:t>
            </w:r>
            <w:proofErr w:type="spellStart"/>
            <w:r w:rsidRPr="00DF4CE5">
              <w:rPr>
                <w:rFonts w:ascii="Cambria" w:eastAsia="Times New Roman" w:hAnsi="Cambria" w:cs="Calibri"/>
                <w:lang w:val="hr-HR"/>
              </w:rPr>
              <w:t>Foreign</w:t>
            </w:r>
            <w:proofErr w:type="spellEnd"/>
            <w:r w:rsidRPr="00DF4CE5">
              <w:rPr>
                <w:rFonts w:ascii="Cambria" w:eastAsia="Times New Roman" w:hAnsi="Cambria" w:cs="Calibri"/>
                <w:lang w:val="hr-HR"/>
              </w:rPr>
              <w:t xml:space="preserve"> </w:t>
            </w:r>
            <w:proofErr w:type="spellStart"/>
            <w:r w:rsidRPr="00DF4CE5">
              <w:rPr>
                <w:rFonts w:ascii="Cambria" w:eastAsia="Times New Roman" w:hAnsi="Cambria" w:cs="Calibri"/>
                <w:lang w:val="hr-HR"/>
              </w:rPr>
              <w:t>Language</w:t>
            </w:r>
            <w:proofErr w:type="spellEnd"/>
            <w:r w:rsidRPr="00DF4CE5">
              <w:rPr>
                <w:rFonts w:ascii="Cambria" w:eastAsia="Times New Roman" w:hAnsi="Cambria" w:cs="Calibri"/>
                <w:lang w:val="hr-HR"/>
              </w:rPr>
              <w:t xml:space="preserve">: </w:t>
            </w:r>
            <w:proofErr w:type="spellStart"/>
            <w:r w:rsidRPr="00DF4CE5">
              <w:rPr>
                <w:rFonts w:ascii="Cambria" w:eastAsia="Times New Roman" w:hAnsi="Cambria" w:cs="Calibri"/>
                <w:lang w:val="hr-HR"/>
              </w:rPr>
              <w:t>Heinle</w:t>
            </w:r>
            <w:proofErr w:type="spellEnd"/>
            <w:r w:rsidRPr="00DF4CE5">
              <w:rPr>
                <w:rFonts w:ascii="Cambria" w:eastAsia="Times New Roman" w:hAnsi="Cambria" w:cs="Calibri"/>
                <w:lang w:val="hr-HR"/>
              </w:rPr>
              <w:t>.</w:t>
            </w:r>
          </w:p>
          <w:p w14:paraId="497746CA" w14:textId="77777777" w:rsidR="00F436E1" w:rsidRPr="00DF4CE5" w:rsidRDefault="00F436E1" w:rsidP="00A034E3">
            <w:pPr>
              <w:numPr>
                <w:ilvl w:val="0"/>
                <w:numId w:val="32"/>
              </w:numPr>
              <w:spacing w:before="20" w:after="20" w:line="240" w:lineRule="auto"/>
              <w:contextualSpacing/>
              <w:jc w:val="both"/>
              <w:rPr>
                <w:rFonts w:ascii="Cambria" w:eastAsia="Times New Roman" w:hAnsi="Cambria" w:cs="Calibri"/>
                <w:lang w:val="hr-HR"/>
              </w:rPr>
            </w:pPr>
            <w:r w:rsidRPr="00DF4CE5">
              <w:rPr>
                <w:rFonts w:ascii="Cambria" w:eastAsia="Times New Roman" w:hAnsi="Cambria" w:cs="Calibri"/>
                <w:lang w:val="hr-HR"/>
              </w:rPr>
              <w:t xml:space="preserve">Richards, J. &amp; </w:t>
            </w:r>
            <w:proofErr w:type="spellStart"/>
            <w:r w:rsidRPr="00DF4CE5">
              <w:rPr>
                <w:rFonts w:ascii="Cambria" w:eastAsia="Times New Roman" w:hAnsi="Cambria" w:cs="Calibri"/>
                <w:lang w:val="hr-HR"/>
              </w:rPr>
              <w:t>Renandya</w:t>
            </w:r>
            <w:proofErr w:type="spellEnd"/>
            <w:r w:rsidRPr="00DF4CE5">
              <w:rPr>
                <w:rFonts w:ascii="Cambria" w:eastAsia="Times New Roman" w:hAnsi="Cambria" w:cs="Calibri"/>
                <w:lang w:val="hr-HR"/>
              </w:rPr>
              <w:t xml:space="preserve">, W. (2002). </w:t>
            </w:r>
            <w:proofErr w:type="spellStart"/>
            <w:r w:rsidRPr="00DF4CE5">
              <w:rPr>
                <w:rFonts w:ascii="Cambria" w:eastAsia="Times New Roman" w:hAnsi="Cambria" w:cs="Calibri"/>
                <w:lang w:val="hr-HR"/>
              </w:rPr>
              <w:t>Methodology</w:t>
            </w:r>
            <w:proofErr w:type="spellEnd"/>
            <w:r w:rsidRPr="00DF4CE5">
              <w:rPr>
                <w:rFonts w:ascii="Cambria" w:eastAsia="Times New Roman" w:hAnsi="Cambria" w:cs="Calibri"/>
                <w:lang w:val="hr-HR"/>
              </w:rPr>
              <w:t xml:space="preserve"> </w:t>
            </w:r>
            <w:proofErr w:type="spellStart"/>
            <w:r w:rsidRPr="00DF4CE5">
              <w:rPr>
                <w:rFonts w:ascii="Cambria" w:eastAsia="Times New Roman" w:hAnsi="Cambria" w:cs="Calibri"/>
                <w:lang w:val="hr-HR"/>
              </w:rPr>
              <w:t>in</w:t>
            </w:r>
            <w:proofErr w:type="spellEnd"/>
            <w:r w:rsidRPr="00DF4CE5">
              <w:rPr>
                <w:rFonts w:ascii="Cambria" w:eastAsia="Times New Roman" w:hAnsi="Cambria" w:cs="Calibri"/>
                <w:lang w:val="hr-HR"/>
              </w:rPr>
              <w:t xml:space="preserve"> </w:t>
            </w:r>
            <w:proofErr w:type="spellStart"/>
            <w:r w:rsidRPr="00DF4CE5">
              <w:rPr>
                <w:rFonts w:ascii="Cambria" w:eastAsia="Times New Roman" w:hAnsi="Cambria" w:cs="Calibri"/>
                <w:lang w:val="hr-HR"/>
              </w:rPr>
              <w:t>Language</w:t>
            </w:r>
            <w:proofErr w:type="spellEnd"/>
            <w:r w:rsidRPr="00DF4CE5">
              <w:rPr>
                <w:rFonts w:ascii="Cambria" w:eastAsia="Times New Roman" w:hAnsi="Cambria" w:cs="Calibri"/>
                <w:lang w:val="hr-HR"/>
              </w:rPr>
              <w:t xml:space="preserve"> </w:t>
            </w:r>
            <w:proofErr w:type="spellStart"/>
            <w:r w:rsidRPr="00DF4CE5">
              <w:rPr>
                <w:rFonts w:ascii="Cambria" w:eastAsia="Times New Roman" w:hAnsi="Cambria" w:cs="Calibri"/>
                <w:lang w:val="hr-HR"/>
              </w:rPr>
              <w:t>Teaching</w:t>
            </w:r>
            <w:proofErr w:type="spellEnd"/>
            <w:r w:rsidRPr="00DF4CE5">
              <w:rPr>
                <w:rFonts w:ascii="Cambria" w:eastAsia="Times New Roman" w:hAnsi="Cambria" w:cs="Calibri"/>
                <w:lang w:val="hr-HR"/>
              </w:rPr>
              <w:t>. CUP.</w:t>
            </w:r>
          </w:p>
          <w:p w14:paraId="5529B259" w14:textId="41BAA177" w:rsidR="00F436E1" w:rsidRPr="0039661B" w:rsidRDefault="00F436E1" w:rsidP="00A034E3">
            <w:pPr>
              <w:numPr>
                <w:ilvl w:val="0"/>
                <w:numId w:val="32"/>
              </w:numPr>
              <w:spacing w:before="20" w:after="20" w:line="240" w:lineRule="auto"/>
              <w:contextualSpacing/>
              <w:jc w:val="both"/>
              <w:rPr>
                <w:rFonts w:ascii="Cambria" w:eastAsia="Times New Roman" w:hAnsi="Cambria" w:cs="Calibri"/>
                <w:lang w:val="hr-HR"/>
              </w:rPr>
            </w:pPr>
            <w:r w:rsidRPr="00DF4CE5">
              <w:rPr>
                <w:rFonts w:ascii="Cambria" w:eastAsia="Times New Roman" w:hAnsi="Cambria" w:cs="Calibri"/>
                <w:lang w:val="hr-HR"/>
              </w:rPr>
              <w:t>Vrhovec i sur. (2019). Izazovi učenja stranoga jezika u osnovnoj školi. Ljevak.</w:t>
            </w:r>
          </w:p>
          <w:p w14:paraId="3BABDC45" w14:textId="77777777" w:rsidR="00F436E1" w:rsidRPr="00DF4CE5" w:rsidRDefault="00F436E1" w:rsidP="008B34AF">
            <w:pPr>
              <w:spacing w:before="20" w:after="20" w:line="240" w:lineRule="auto"/>
              <w:jc w:val="both"/>
              <w:rPr>
                <w:rFonts w:ascii="Cambria" w:eastAsia="Times New Roman" w:hAnsi="Cambria" w:cs="Calibri"/>
                <w:lang w:val="hr-HR"/>
              </w:rPr>
            </w:pPr>
            <w:r w:rsidRPr="00DF4CE5">
              <w:rPr>
                <w:rFonts w:ascii="Cambria" w:eastAsia="Times New Roman" w:hAnsi="Cambria" w:cs="Calibri"/>
                <w:lang w:val="hr-HR"/>
              </w:rPr>
              <w:t>Izborna:</w:t>
            </w:r>
          </w:p>
          <w:p w14:paraId="4B2E1809" w14:textId="77777777" w:rsidR="00F436E1" w:rsidRPr="00DF4CE5" w:rsidRDefault="00F436E1" w:rsidP="00A034E3">
            <w:pPr>
              <w:numPr>
                <w:ilvl w:val="0"/>
                <w:numId w:val="31"/>
              </w:numPr>
              <w:spacing w:before="20" w:after="20" w:line="240" w:lineRule="auto"/>
              <w:contextualSpacing/>
              <w:jc w:val="both"/>
              <w:rPr>
                <w:rFonts w:ascii="Cambria" w:eastAsia="Times New Roman" w:hAnsi="Cambria" w:cs="Calibri"/>
                <w:lang w:val="hr-HR"/>
              </w:rPr>
            </w:pPr>
            <w:proofErr w:type="spellStart"/>
            <w:r w:rsidRPr="00DF4CE5">
              <w:rPr>
                <w:rFonts w:ascii="Cambria" w:eastAsia="Times New Roman" w:hAnsi="Cambria" w:cs="Calibri"/>
                <w:lang w:val="hr-HR"/>
              </w:rPr>
              <w:t>Enever</w:t>
            </w:r>
            <w:proofErr w:type="spellEnd"/>
            <w:r w:rsidRPr="00DF4CE5">
              <w:rPr>
                <w:rFonts w:ascii="Cambria" w:eastAsia="Times New Roman" w:hAnsi="Cambria" w:cs="Calibri"/>
                <w:lang w:val="hr-HR"/>
              </w:rPr>
              <w:t xml:space="preserve">, J. (2011). </w:t>
            </w:r>
            <w:proofErr w:type="spellStart"/>
            <w:r w:rsidRPr="00DF4CE5">
              <w:rPr>
                <w:rFonts w:ascii="Cambria" w:eastAsia="Times New Roman" w:hAnsi="Cambria" w:cs="Calibri"/>
                <w:lang w:val="hr-HR"/>
              </w:rPr>
              <w:t>Early</w:t>
            </w:r>
            <w:proofErr w:type="spellEnd"/>
            <w:r w:rsidRPr="00DF4CE5">
              <w:rPr>
                <w:rFonts w:ascii="Cambria" w:eastAsia="Times New Roman" w:hAnsi="Cambria" w:cs="Calibri"/>
                <w:lang w:val="hr-HR"/>
              </w:rPr>
              <w:t xml:space="preserve"> </w:t>
            </w:r>
            <w:proofErr w:type="spellStart"/>
            <w:r w:rsidRPr="00DF4CE5">
              <w:rPr>
                <w:rFonts w:ascii="Cambria" w:eastAsia="Times New Roman" w:hAnsi="Cambria" w:cs="Calibri"/>
                <w:lang w:val="hr-HR"/>
              </w:rPr>
              <w:t>Language</w:t>
            </w:r>
            <w:proofErr w:type="spellEnd"/>
            <w:r w:rsidRPr="00DF4CE5">
              <w:rPr>
                <w:rFonts w:ascii="Cambria" w:eastAsia="Times New Roman" w:hAnsi="Cambria" w:cs="Calibri"/>
                <w:lang w:val="hr-HR"/>
              </w:rPr>
              <w:t xml:space="preserve"> </w:t>
            </w:r>
            <w:proofErr w:type="spellStart"/>
            <w:r w:rsidRPr="00DF4CE5">
              <w:rPr>
                <w:rFonts w:ascii="Cambria" w:eastAsia="Times New Roman" w:hAnsi="Cambria" w:cs="Calibri"/>
                <w:lang w:val="hr-HR"/>
              </w:rPr>
              <w:t>Learning</w:t>
            </w:r>
            <w:proofErr w:type="spellEnd"/>
            <w:r w:rsidRPr="00DF4CE5">
              <w:rPr>
                <w:rFonts w:ascii="Cambria" w:eastAsia="Times New Roman" w:hAnsi="Cambria" w:cs="Calibri"/>
                <w:lang w:val="hr-HR"/>
              </w:rPr>
              <w:t xml:space="preserve"> </w:t>
            </w:r>
            <w:proofErr w:type="spellStart"/>
            <w:r w:rsidRPr="00DF4CE5">
              <w:rPr>
                <w:rFonts w:ascii="Cambria" w:eastAsia="Times New Roman" w:hAnsi="Cambria" w:cs="Calibri"/>
                <w:lang w:val="hr-HR"/>
              </w:rPr>
              <w:t>in</w:t>
            </w:r>
            <w:proofErr w:type="spellEnd"/>
            <w:r w:rsidRPr="00DF4CE5">
              <w:rPr>
                <w:rFonts w:ascii="Cambria" w:eastAsia="Times New Roman" w:hAnsi="Cambria" w:cs="Calibri"/>
                <w:lang w:val="hr-HR"/>
              </w:rPr>
              <w:t xml:space="preserve"> Europe. British Council.</w:t>
            </w:r>
          </w:p>
          <w:p w14:paraId="425CEA5C" w14:textId="77777777" w:rsidR="00F436E1" w:rsidRPr="00DF4CE5" w:rsidRDefault="00F436E1" w:rsidP="00A034E3">
            <w:pPr>
              <w:numPr>
                <w:ilvl w:val="0"/>
                <w:numId w:val="31"/>
              </w:numPr>
              <w:spacing w:before="20" w:after="20" w:line="240" w:lineRule="auto"/>
              <w:contextualSpacing/>
              <w:jc w:val="both"/>
              <w:rPr>
                <w:rFonts w:ascii="Cambria" w:eastAsia="Times New Roman" w:hAnsi="Cambria" w:cs="Calibri"/>
                <w:lang w:val="hr-HR"/>
              </w:rPr>
            </w:pPr>
            <w:r w:rsidRPr="00DF4CE5">
              <w:rPr>
                <w:rFonts w:ascii="Cambria" w:eastAsia="Times New Roman" w:hAnsi="Cambria" w:cs="Times New Roman"/>
                <w:lang w:val="hr-HR"/>
              </w:rPr>
              <w:t>Vilke. M. &amp; Vrhovac, Y. (</w:t>
            </w:r>
            <w:proofErr w:type="spellStart"/>
            <w:r w:rsidRPr="00DF4CE5">
              <w:rPr>
                <w:rFonts w:ascii="Cambria" w:eastAsia="Times New Roman" w:hAnsi="Cambria" w:cs="Times New Roman"/>
                <w:lang w:val="hr-HR"/>
              </w:rPr>
              <w:t>Ur</w:t>
            </w:r>
            <w:proofErr w:type="spellEnd"/>
            <w:r w:rsidRPr="00DF4CE5">
              <w:rPr>
                <w:rFonts w:ascii="Cambria" w:eastAsia="Times New Roman" w:hAnsi="Cambria" w:cs="Times New Roman"/>
                <w:lang w:val="hr-HR"/>
              </w:rPr>
              <w:t xml:space="preserve">.) (1993). </w:t>
            </w:r>
            <w:proofErr w:type="spellStart"/>
            <w:r w:rsidRPr="00DF4CE5">
              <w:rPr>
                <w:rFonts w:ascii="Cambria" w:eastAsia="Times New Roman" w:hAnsi="Cambria" w:cs="Times New Roman"/>
                <w:lang w:val="hr-HR"/>
              </w:rPr>
              <w:t>Children</w:t>
            </w:r>
            <w:proofErr w:type="spellEnd"/>
            <w:r w:rsidRPr="00DF4CE5">
              <w:rPr>
                <w:rFonts w:ascii="Cambria" w:eastAsia="Times New Roman" w:hAnsi="Cambria" w:cs="Times New Roman"/>
                <w:lang w:val="hr-HR"/>
              </w:rPr>
              <w:t xml:space="preserve"> </w:t>
            </w:r>
            <w:proofErr w:type="spellStart"/>
            <w:r w:rsidRPr="00DF4CE5">
              <w:rPr>
                <w:rFonts w:ascii="Cambria" w:eastAsia="Times New Roman" w:hAnsi="Cambria" w:cs="Times New Roman"/>
                <w:lang w:val="hr-HR"/>
              </w:rPr>
              <w:t>and</w:t>
            </w:r>
            <w:proofErr w:type="spellEnd"/>
            <w:r w:rsidRPr="00DF4CE5">
              <w:rPr>
                <w:rFonts w:ascii="Cambria" w:eastAsia="Times New Roman" w:hAnsi="Cambria" w:cs="Times New Roman"/>
                <w:lang w:val="hr-HR"/>
              </w:rPr>
              <w:t xml:space="preserve"> </w:t>
            </w:r>
            <w:proofErr w:type="spellStart"/>
            <w:r w:rsidRPr="00DF4CE5">
              <w:rPr>
                <w:rFonts w:ascii="Cambria" w:eastAsia="Times New Roman" w:hAnsi="Cambria" w:cs="Times New Roman"/>
                <w:lang w:val="hr-HR"/>
              </w:rPr>
              <w:t>Foreign</w:t>
            </w:r>
            <w:proofErr w:type="spellEnd"/>
            <w:r w:rsidRPr="00DF4CE5">
              <w:rPr>
                <w:rFonts w:ascii="Cambria" w:eastAsia="Times New Roman" w:hAnsi="Cambria" w:cs="Times New Roman"/>
                <w:lang w:val="hr-HR"/>
              </w:rPr>
              <w:t xml:space="preserve"> </w:t>
            </w:r>
            <w:proofErr w:type="spellStart"/>
            <w:r w:rsidRPr="00DF4CE5">
              <w:rPr>
                <w:rFonts w:ascii="Cambria" w:eastAsia="Times New Roman" w:hAnsi="Cambria" w:cs="Times New Roman"/>
                <w:lang w:val="hr-HR"/>
              </w:rPr>
              <w:t>Languages</w:t>
            </w:r>
            <w:proofErr w:type="spellEnd"/>
            <w:r w:rsidRPr="00DF4CE5">
              <w:rPr>
                <w:rFonts w:ascii="Cambria" w:eastAsia="Times New Roman" w:hAnsi="Cambria" w:cs="Times New Roman"/>
                <w:lang w:val="hr-HR"/>
              </w:rPr>
              <w:t xml:space="preserve"> 1 Zagreb: Filozofski fakultet. Sveučilište u Zagrebu.</w:t>
            </w:r>
          </w:p>
          <w:p w14:paraId="0197A424" w14:textId="77777777" w:rsidR="00F436E1" w:rsidRPr="00DF4CE5" w:rsidRDefault="00F436E1" w:rsidP="00A034E3">
            <w:pPr>
              <w:numPr>
                <w:ilvl w:val="0"/>
                <w:numId w:val="31"/>
              </w:numPr>
              <w:spacing w:before="20" w:after="20" w:line="240" w:lineRule="auto"/>
              <w:contextualSpacing/>
              <w:jc w:val="both"/>
              <w:rPr>
                <w:rFonts w:ascii="Cambria" w:eastAsia="Times New Roman" w:hAnsi="Cambria" w:cs="Calibri"/>
                <w:lang w:val="hr-HR"/>
              </w:rPr>
            </w:pPr>
            <w:r w:rsidRPr="00DF4CE5">
              <w:rPr>
                <w:rFonts w:ascii="Cambria" w:eastAsia="Times New Roman" w:hAnsi="Cambria" w:cs="Times New Roman"/>
                <w:lang w:val="hr-HR"/>
              </w:rPr>
              <w:t>Vilke. M. &amp; Vrhovac, Y. (</w:t>
            </w:r>
            <w:proofErr w:type="spellStart"/>
            <w:r w:rsidRPr="00DF4CE5">
              <w:rPr>
                <w:rFonts w:ascii="Cambria" w:eastAsia="Times New Roman" w:hAnsi="Cambria" w:cs="Times New Roman"/>
                <w:lang w:val="hr-HR"/>
              </w:rPr>
              <w:t>Ur</w:t>
            </w:r>
            <w:proofErr w:type="spellEnd"/>
            <w:r w:rsidRPr="00DF4CE5">
              <w:rPr>
                <w:rFonts w:ascii="Cambria" w:eastAsia="Times New Roman" w:hAnsi="Cambria" w:cs="Times New Roman"/>
                <w:lang w:val="hr-HR"/>
              </w:rPr>
              <w:t xml:space="preserve">.) (1995). </w:t>
            </w:r>
            <w:proofErr w:type="spellStart"/>
            <w:r w:rsidRPr="00DF4CE5">
              <w:rPr>
                <w:rFonts w:ascii="Cambria" w:eastAsia="Times New Roman" w:hAnsi="Cambria" w:cs="Times New Roman"/>
                <w:lang w:val="hr-HR"/>
              </w:rPr>
              <w:t>Children</w:t>
            </w:r>
            <w:proofErr w:type="spellEnd"/>
            <w:r w:rsidRPr="00DF4CE5">
              <w:rPr>
                <w:rFonts w:ascii="Cambria" w:eastAsia="Times New Roman" w:hAnsi="Cambria" w:cs="Times New Roman"/>
                <w:lang w:val="hr-HR"/>
              </w:rPr>
              <w:t xml:space="preserve"> </w:t>
            </w:r>
            <w:proofErr w:type="spellStart"/>
            <w:r w:rsidRPr="00DF4CE5">
              <w:rPr>
                <w:rFonts w:ascii="Cambria" w:eastAsia="Times New Roman" w:hAnsi="Cambria" w:cs="Times New Roman"/>
                <w:lang w:val="hr-HR"/>
              </w:rPr>
              <w:t>and</w:t>
            </w:r>
            <w:proofErr w:type="spellEnd"/>
            <w:r w:rsidRPr="00DF4CE5">
              <w:rPr>
                <w:rFonts w:ascii="Cambria" w:eastAsia="Times New Roman" w:hAnsi="Cambria" w:cs="Times New Roman"/>
                <w:lang w:val="hr-HR"/>
              </w:rPr>
              <w:t xml:space="preserve"> </w:t>
            </w:r>
            <w:proofErr w:type="spellStart"/>
            <w:r w:rsidRPr="00DF4CE5">
              <w:rPr>
                <w:rFonts w:ascii="Cambria" w:eastAsia="Times New Roman" w:hAnsi="Cambria" w:cs="Times New Roman"/>
                <w:lang w:val="hr-HR"/>
              </w:rPr>
              <w:t>Foreign</w:t>
            </w:r>
            <w:proofErr w:type="spellEnd"/>
            <w:r w:rsidRPr="00DF4CE5">
              <w:rPr>
                <w:rFonts w:ascii="Cambria" w:eastAsia="Times New Roman" w:hAnsi="Cambria" w:cs="Times New Roman"/>
                <w:lang w:val="hr-HR"/>
              </w:rPr>
              <w:t xml:space="preserve"> </w:t>
            </w:r>
            <w:proofErr w:type="spellStart"/>
            <w:r w:rsidRPr="00DF4CE5">
              <w:rPr>
                <w:rFonts w:ascii="Cambria" w:eastAsia="Times New Roman" w:hAnsi="Cambria" w:cs="Times New Roman"/>
                <w:lang w:val="hr-HR"/>
              </w:rPr>
              <w:t>Languages</w:t>
            </w:r>
            <w:proofErr w:type="spellEnd"/>
            <w:r w:rsidRPr="00DF4CE5">
              <w:rPr>
                <w:rFonts w:ascii="Cambria" w:eastAsia="Times New Roman" w:hAnsi="Cambria" w:cs="Times New Roman"/>
                <w:lang w:val="hr-HR"/>
              </w:rPr>
              <w:t xml:space="preserve"> 2 Zagreb: Filozofski fakultet. Sveučilište u Zagrebu.</w:t>
            </w:r>
          </w:p>
          <w:p w14:paraId="3180AEF4" w14:textId="77777777" w:rsidR="00F436E1" w:rsidRPr="00DF4CE5" w:rsidRDefault="00F436E1" w:rsidP="00A034E3">
            <w:pPr>
              <w:numPr>
                <w:ilvl w:val="0"/>
                <w:numId w:val="31"/>
              </w:numPr>
              <w:spacing w:before="20" w:after="20" w:line="240" w:lineRule="auto"/>
              <w:contextualSpacing/>
              <w:jc w:val="both"/>
              <w:rPr>
                <w:rFonts w:ascii="Cambria" w:eastAsia="Times New Roman" w:hAnsi="Cambria" w:cs="Calibri"/>
                <w:lang w:val="hr-HR"/>
              </w:rPr>
            </w:pPr>
            <w:r w:rsidRPr="00DF4CE5">
              <w:rPr>
                <w:rFonts w:ascii="Cambria" w:eastAsia="Times New Roman" w:hAnsi="Cambria" w:cs="Times New Roman"/>
                <w:lang w:val="hr-HR"/>
              </w:rPr>
              <w:t>Vilke. M. &amp; Vrhovac, Y. (</w:t>
            </w:r>
            <w:proofErr w:type="spellStart"/>
            <w:r w:rsidRPr="00DF4CE5">
              <w:rPr>
                <w:rFonts w:ascii="Cambria" w:eastAsia="Times New Roman" w:hAnsi="Cambria" w:cs="Times New Roman"/>
                <w:lang w:val="hr-HR"/>
              </w:rPr>
              <w:t>Ur</w:t>
            </w:r>
            <w:proofErr w:type="spellEnd"/>
            <w:r w:rsidRPr="00DF4CE5">
              <w:rPr>
                <w:rFonts w:ascii="Cambria" w:eastAsia="Times New Roman" w:hAnsi="Cambria" w:cs="Times New Roman"/>
                <w:lang w:val="hr-HR"/>
              </w:rPr>
              <w:t xml:space="preserve">.) (2001). </w:t>
            </w:r>
            <w:proofErr w:type="spellStart"/>
            <w:r w:rsidRPr="00DF4CE5">
              <w:rPr>
                <w:rFonts w:ascii="Cambria" w:eastAsia="Times New Roman" w:hAnsi="Cambria" w:cs="Times New Roman"/>
                <w:lang w:val="hr-HR"/>
              </w:rPr>
              <w:t>Children</w:t>
            </w:r>
            <w:proofErr w:type="spellEnd"/>
            <w:r w:rsidRPr="00DF4CE5">
              <w:rPr>
                <w:rFonts w:ascii="Cambria" w:eastAsia="Times New Roman" w:hAnsi="Cambria" w:cs="Times New Roman"/>
                <w:lang w:val="hr-HR"/>
              </w:rPr>
              <w:t xml:space="preserve"> </w:t>
            </w:r>
            <w:proofErr w:type="spellStart"/>
            <w:r w:rsidRPr="00DF4CE5">
              <w:rPr>
                <w:rFonts w:ascii="Cambria" w:eastAsia="Times New Roman" w:hAnsi="Cambria" w:cs="Times New Roman"/>
                <w:lang w:val="hr-HR"/>
              </w:rPr>
              <w:t>and</w:t>
            </w:r>
            <w:proofErr w:type="spellEnd"/>
            <w:r w:rsidRPr="00DF4CE5">
              <w:rPr>
                <w:rFonts w:ascii="Cambria" w:eastAsia="Times New Roman" w:hAnsi="Cambria" w:cs="Times New Roman"/>
                <w:lang w:val="hr-HR"/>
              </w:rPr>
              <w:t xml:space="preserve"> </w:t>
            </w:r>
            <w:proofErr w:type="spellStart"/>
            <w:r w:rsidRPr="00DF4CE5">
              <w:rPr>
                <w:rFonts w:ascii="Cambria" w:eastAsia="Times New Roman" w:hAnsi="Cambria" w:cs="Times New Roman"/>
                <w:lang w:val="hr-HR"/>
              </w:rPr>
              <w:t>Foreign</w:t>
            </w:r>
            <w:proofErr w:type="spellEnd"/>
            <w:r w:rsidRPr="00DF4CE5">
              <w:rPr>
                <w:rFonts w:ascii="Cambria" w:eastAsia="Times New Roman" w:hAnsi="Cambria" w:cs="Times New Roman"/>
                <w:lang w:val="hr-HR"/>
              </w:rPr>
              <w:t xml:space="preserve"> </w:t>
            </w:r>
            <w:proofErr w:type="spellStart"/>
            <w:r w:rsidRPr="00DF4CE5">
              <w:rPr>
                <w:rFonts w:ascii="Cambria" w:eastAsia="Times New Roman" w:hAnsi="Cambria" w:cs="Times New Roman"/>
                <w:lang w:val="hr-HR"/>
              </w:rPr>
              <w:t>Languages</w:t>
            </w:r>
            <w:proofErr w:type="spellEnd"/>
            <w:r w:rsidRPr="00DF4CE5">
              <w:rPr>
                <w:rFonts w:ascii="Cambria" w:eastAsia="Times New Roman" w:hAnsi="Cambria" w:cs="Times New Roman"/>
                <w:lang w:val="hr-HR"/>
              </w:rPr>
              <w:t xml:space="preserve"> 3 Zagreb: Filozofski fakultet. Sveučilište u Zagrebu.</w:t>
            </w:r>
          </w:p>
          <w:p w14:paraId="0000265F" w14:textId="6634054B" w:rsidR="00F436E1" w:rsidRPr="0039661B" w:rsidRDefault="00F436E1" w:rsidP="00A034E3">
            <w:pPr>
              <w:numPr>
                <w:ilvl w:val="0"/>
                <w:numId w:val="31"/>
              </w:numPr>
              <w:spacing w:before="20" w:after="20" w:line="240" w:lineRule="auto"/>
              <w:contextualSpacing/>
              <w:jc w:val="both"/>
              <w:rPr>
                <w:rFonts w:ascii="Cambria" w:eastAsia="Times New Roman" w:hAnsi="Cambria" w:cs="Calibri"/>
                <w:lang w:val="hr-HR"/>
              </w:rPr>
            </w:pPr>
            <w:r w:rsidRPr="00DF4CE5">
              <w:rPr>
                <w:rFonts w:ascii="Cambria" w:eastAsia="Times New Roman" w:hAnsi="Cambria" w:cs="Calibri"/>
                <w:lang w:val="hr-HR"/>
              </w:rPr>
              <w:t>Vilke, M. (1991). Vaše dijete i jezik. Školska knjiga. Zagreb</w:t>
            </w:r>
          </w:p>
        </w:tc>
      </w:tr>
    </w:tbl>
    <w:p w14:paraId="6BE1BAA7" w14:textId="77777777" w:rsidR="00F436E1" w:rsidRPr="00DF4CE5" w:rsidRDefault="00F436E1" w:rsidP="008B34AF">
      <w:pPr>
        <w:jc w:val="both"/>
        <w:rPr>
          <w:rFonts w:ascii="Cambria" w:hAnsi="Cambria"/>
          <w:lang w:val="hr-HR"/>
        </w:rPr>
      </w:pPr>
    </w:p>
    <w:p w14:paraId="4DC27E62" w14:textId="77777777" w:rsidR="003A42BE" w:rsidRPr="00DF4CE5" w:rsidRDefault="003A42BE" w:rsidP="008B34AF">
      <w:pPr>
        <w:jc w:val="both"/>
        <w:rPr>
          <w:rFonts w:ascii="Cambria" w:hAnsi="Cambria"/>
          <w:lang w:val="hr-HR"/>
        </w:rPr>
      </w:pPr>
    </w:p>
    <w:bookmarkEnd w:id="107"/>
    <w:p w14:paraId="39775270" w14:textId="77777777" w:rsidR="002102DE" w:rsidRPr="00DF4CE5" w:rsidRDefault="002102DE" w:rsidP="008B34AF">
      <w:pPr>
        <w:jc w:val="both"/>
        <w:rPr>
          <w:rFonts w:ascii="Cambria" w:hAnsi="Cambria"/>
          <w:lang w:val="hr-HR"/>
        </w:rPr>
      </w:pPr>
    </w:p>
    <w:p w14:paraId="31A26E8D" w14:textId="77777777" w:rsidR="002102DE" w:rsidRPr="00DF4CE5" w:rsidRDefault="002102DE" w:rsidP="008B34AF">
      <w:pPr>
        <w:jc w:val="both"/>
        <w:rPr>
          <w:rFonts w:ascii="Cambria" w:hAnsi="Cambria"/>
          <w:lang w:val="hr-HR"/>
        </w:rPr>
      </w:pPr>
    </w:p>
    <w:p w14:paraId="3F77E539" w14:textId="77777777" w:rsidR="004A100E" w:rsidRPr="00DF4CE5" w:rsidRDefault="004A100E" w:rsidP="008B34AF">
      <w:pPr>
        <w:jc w:val="both"/>
        <w:rPr>
          <w:rFonts w:ascii="Cambria" w:hAnsi="Cambria"/>
          <w:lang w:val="hr-HR"/>
        </w:rPr>
      </w:pPr>
    </w:p>
    <w:p w14:paraId="75A198EA" w14:textId="77777777" w:rsidR="004A100E" w:rsidRPr="00DF4CE5" w:rsidRDefault="004A100E" w:rsidP="008B34AF">
      <w:pPr>
        <w:jc w:val="both"/>
        <w:rPr>
          <w:rFonts w:ascii="Cambria" w:hAnsi="Cambria"/>
          <w:lang w:val="hr-HR"/>
        </w:rPr>
      </w:pPr>
    </w:p>
    <w:p w14:paraId="537447B6" w14:textId="77777777" w:rsidR="004A100E" w:rsidRPr="00DF4CE5" w:rsidRDefault="004A100E" w:rsidP="008B34AF">
      <w:pPr>
        <w:jc w:val="both"/>
        <w:rPr>
          <w:rFonts w:ascii="Cambria" w:hAnsi="Cambria"/>
          <w:lang w:val="hr-HR"/>
        </w:rPr>
      </w:pPr>
    </w:p>
    <w:p w14:paraId="2EEFF0F4" w14:textId="77777777" w:rsidR="004A100E" w:rsidRPr="00DF4CE5" w:rsidRDefault="004A100E" w:rsidP="008B34AF">
      <w:pPr>
        <w:jc w:val="both"/>
        <w:rPr>
          <w:rFonts w:ascii="Cambria" w:hAnsi="Cambria"/>
          <w:lang w:val="hr-HR"/>
        </w:rPr>
      </w:pPr>
    </w:p>
    <w:p w14:paraId="45FB8054" w14:textId="77777777" w:rsidR="004A100E" w:rsidRPr="00DF4CE5" w:rsidRDefault="004A100E" w:rsidP="008B34AF">
      <w:pPr>
        <w:jc w:val="both"/>
        <w:rPr>
          <w:rFonts w:ascii="Cambria" w:hAnsi="Cambria"/>
          <w:lang w:val="hr-HR"/>
        </w:rPr>
      </w:pPr>
    </w:p>
    <w:p w14:paraId="5C76FF7D" w14:textId="77777777" w:rsidR="004A100E" w:rsidRPr="00DF4CE5" w:rsidRDefault="004A100E" w:rsidP="008B34AF">
      <w:pPr>
        <w:jc w:val="both"/>
        <w:rPr>
          <w:rFonts w:ascii="Cambria" w:hAnsi="Cambria"/>
          <w:lang w:val="hr-HR"/>
        </w:rPr>
      </w:pPr>
    </w:p>
    <w:p w14:paraId="5C344A9B" w14:textId="77777777" w:rsidR="004A100E" w:rsidRPr="00DF4CE5" w:rsidRDefault="004A100E" w:rsidP="008B34AF">
      <w:pPr>
        <w:jc w:val="both"/>
        <w:rPr>
          <w:rFonts w:ascii="Cambria" w:hAnsi="Cambria"/>
          <w:lang w:val="hr-HR"/>
        </w:rPr>
      </w:pPr>
    </w:p>
    <w:p w14:paraId="5D1F013C" w14:textId="77777777" w:rsidR="004A100E" w:rsidRPr="00DF4CE5" w:rsidRDefault="004A100E" w:rsidP="008B34AF">
      <w:pPr>
        <w:jc w:val="both"/>
        <w:rPr>
          <w:rFonts w:ascii="Cambria" w:hAnsi="Cambria"/>
          <w:lang w:val="hr-HR"/>
        </w:rPr>
      </w:pPr>
    </w:p>
    <w:p w14:paraId="097F4E57" w14:textId="77777777" w:rsidR="004A100E" w:rsidRPr="00DF4CE5" w:rsidRDefault="004A100E" w:rsidP="008B34AF">
      <w:pPr>
        <w:jc w:val="both"/>
        <w:rPr>
          <w:rFonts w:ascii="Cambria" w:hAnsi="Cambria"/>
          <w:lang w:val="hr-HR"/>
        </w:rPr>
      </w:pPr>
    </w:p>
    <w:p w14:paraId="73ED1686" w14:textId="77777777" w:rsidR="004A100E" w:rsidRPr="00DF4CE5" w:rsidRDefault="004A100E" w:rsidP="008B34AF">
      <w:pPr>
        <w:jc w:val="both"/>
        <w:rPr>
          <w:rFonts w:ascii="Cambria" w:hAnsi="Cambria"/>
          <w:lang w:val="hr-HR"/>
        </w:rPr>
      </w:pPr>
    </w:p>
    <w:p w14:paraId="69861859" w14:textId="77777777" w:rsidR="004A100E" w:rsidRPr="00DF4CE5" w:rsidRDefault="004A100E" w:rsidP="008B34AF">
      <w:pPr>
        <w:jc w:val="both"/>
        <w:rPr>
          <w:rFonts w:ascii="Cambria" w:hAnsi="Cambria"/>
          <w:lang w:val="hr-HR"/>
        </w:rPr>
      </w:pPr>
    </w:p>
    <w:p w14:paraId="58611055" w14:textId="77777777" w:rsidR="004A100E" w:rsidRPr="00DF4CE5" w:rsidRDefault="004A100E" w:rsidP="008B34AF">
      <w:pPr>
        <w:jc w:val="both"/>
        <w:rPr>
          <w:rFonts w:ascii="Cambria" w:hAnsi="Cambria"/>
          <w:lang w:val="hr-HR"/>
        </w:rPr>
      </w:pPr>
    </w:p>
    <w:p w14:paraId="1EBC6C57" w14:textId="77777777" w:rsidR="004A100E" w:rsidRPr="00DF4CE5" w:rsidRDefault="004A100E" w:rsidP="008B34AF">
      <w:pPr>
        <w:jc w:val="both"/>
        <w:rPr>
          <w:rFonts w:ascii="Cambria" w:hAnsi="Cambria"/>
          <w:lang w:val="hr-HR"/>
        </w:rPr>
      </w:pPr>
    </w:p>
    <w:p w14:paraId="3D9508D1" w14:textId="77777777" w:rsidR="004A100E" w:rsidRPr="00DF4CE5" w:rsidRDefault="004A100E" w:rsidP="008B34AF">
      <w:pPr>
        <w:jc w:val="both"/>
        <w:rPr>
          <w:rFonts w:ascii="Cambria" w:hAnsi="Cambria"/>
          <w:lang w:val="hr-HR"/>
        </w:rPr>
      </w:pPr>
    </w:p>
    <w:p w14:paraId="19801125" w14:textId="77777777" w:rsidR="004A100E" w:rsidRPr="00DF4CE5" w:rsidRDefault="004A100E" w:rsidP="008B34AF">
      <w:pPr>
        <w:jc w:val="both"/>
        <w:rPr>
          <w:rFonts w:ascii="Cambria" w:hAnsi="Cambria"/>
          <w:lang w:val="hr-HR"/>
        </w:rPr>
      </w:pPr>
    </w:p>
    <w:p w14:paraId="54AF0BBB" w14:textId="77777777" w:rsidR="002102DE" w:rsidRPr="00DF4CE5" w:rsidRDefault="002102DE" w:rsidP="008B34AF">
      <w:pPr>
        <w:jc w:val="both"/>
        <w:rPr>
          <w:rFonts w:ascii="Cambria" w:hAnsi="Cambria"/>
          <w:lang w:val="hr-HR"/>
        </w:rPr>
      </w:pPr>
    </w:p>
    <w:tbl>
      <w:tblPr>
        <w:tblW w:w="5000" w:type="pct"/>
        <w:tblLayout w:type="fixed"/>
        <w:tblCellMar>
          <w:left w:w="0" w:type="dxa"/>
          <w:right w:w="0" w:type="dxa"/>
        </w:tblCellMar>
        <w:tblLook w:val="0600" w:firstRow="0" w:lastRow="0" w:firstColumn="0" w:lastColumn="0" w:noHBand="1" w:noVBand="1"/>
      </w:tblPr>
      <w:tblGrid>
        <w:gridCol w:w="2814"/>
        <w:gridCol w:w="2668"/>
        <w:gridCol w:w="105"/>
        <w:gridCol w:w="1167"/>
        <w:gridCol w:w="297"/>
        <w:gridCol w:w="470"/>
        <w:gridCol w:w="1085"/>
        <w:gridCol w:w="1414"/>
      </w:tblGrid>
      <w:tr w:rsidR="000D665B" w:rsidRPr="00DF4CE5" w14:paraId="7A66A42C" w14:textId="77777777" w:rsidTr="005005C3">
        <w:tc>
          <w:tcPr>
            <w:tcW w:w="9340"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A61F0FB" w14:textId="77777777" w:rsidR="000D665B" w:rsidRPr="00DF4CE5" w:rsidRDefault="000D665B" w:rsidP="00A12846">
            <w:pPr>
              <w:spacing w:after="0" w:line="240" w:lineRule="auto"/>
              <w:jc w:val="right"/>
              <w:rPr>
                <w:rFonts w:ascii="Cambria" w:eastAsia="Times New Roman" w:hAnsi="Cambria" w:cs="Calibri"/>
                <w:b/>
                <w:lang w:val="hr-HR"/>
              </w:rPr>
            </w:pPr>
            <w:r w:rsidRPr="00DF4CE5">
              <w:rPr>
                <w:rFonts w:ascii="Cambria" w:eastAsia="Times New Roman" w:hAnsi="Cambria" w:cs="Calibri"/>
                <w:b/>
                <w:lang w:val="hr-HR"/>
              </w:rPr>
              <w:lastRenderedPageBreak/>
              <w:t>IZVEDBENI PLAN NASTAVE KOLEGIJA</w:t>
            </w:r>
          </w:p>
        </w:tc>
      </w:tr>
      <w:tr w:rsidR="000D665B" w:rsidRPr="00DF4CE5" w14:paraId="53361C93" w14:textId="77777777" w:rsidTr="005005C3">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EB527C4" w14:textId="77777777" w:rsidR="000D665B" w:rsidRPr="00DF4CE5" w:rsidRDefault="000D665B"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Kod i naziv kolegija</w:t>
            </w:r>
          </w:p>
        </w:tc>
        <w:tc>
          <w:tcPr>
            <w:tcW w:w="671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6C366BE" w14:textId="77777777" w:rsidR="000D665B" w:rsidRPr="00DF4CE5" w:rsidRDefault="000D665B" w:rsidP="008B34AF">
            <w:pPr>
              <w:spacing w:after="0" w:line="240" w:lineRule="auto"/>
              <w:jc w:val="both"/>
              <w:outlineLvl w:val="2"/>
              <w:rPr>
                <w:rFonts w:ascii="Cambria" w:eastAsia="Times New Roman" w:hAnsi="Cambria" w:cs="Calibri"/>
                <w:bCs/>
                <w:lang w:val="hr-HR" w:eastAsia="hr-HR"/>
              </w:rPr>
            </w:pPr>
            <w:r w:rsidRPr="00DF4CE5">
              <w:rPr>
                <w:rFonts w:ascii="Cambria" w:eastAsia="Times New Roman" w:hAnsi="Cambria" w:cs="Calibri"/>
                <w:bCs/>
                <w:lang w:val="hr-HR" w:eastAsia="hr-HR"/>
              </w:rPr>
              <w:t>96521</w:t>
            </w:r>
          </w:p>
          <w:p w14:paraId="61494703" w14:textId="31AE16AB" w:rsidR="000D665B" w:rsidRPr="00DF4CE5" w:rsidRDefault="000D665B" w:rsidP="008B34AF">
            <w:pPr>
              <w:spacing w:after="0" w:line="240" w:lineRule="auto"/>
              <w:jc w:val="both"/>
              <w:outlineLvl w:val="2"/>
              <w:rPr>
                <w:rFonts w:ascii="Cambria" w:eastAsia="Times New Roman" w:hAnsi="Cambria" w:cs="Calibri"/>
                <w:bCs/>
                <w:lang w:val="hr-HR" w:eastAsia="hr-HR"/>
              </w:rPr>
            </w:pPr>
            <w:r w:rsidRPr="00DF4CE5">
              <w:rPr>
                <w:rFonts w:ascii="Cambria" w:eastAsia="Times New Roman" w:hAnsi="Cambria" w:cs="Calibri"/>
                <w:lang w:val="hr-HR"/>
              </w:rPr>
              <w:t>Metodika nastave informatike I</w:t>
            </w:r>
          </w:p>
        </w:tc>
      </w:tr>
      <w:tr w:rsidR="000D665B" w:rsidRPr="0039661B" w14:paraId="32D2C2E2" w14:textId="77777777" w:rsidTr="005005C3">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DF30F1D" w14:textId="6F937FD6" w:rsidR="0039661B" w:rsidRPr="00DF4CE5" w:rsidRDefault="000D665B"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N</w:t>
            </w:r>
            <w:r w:rsidR="0039661B">
              <w:rPr>
                <w:rFonts w:ascii="Cambria" w:eastAsia="Times New Roman" w:hAnsi="Cambria" w:cs="Calibri"/>
                <w:lang w:val="hr-HR"/>
              </w:rPr>
              <w:t>astavnica</w:t>
            </w:r>
          </w:p>
        </w:tc>
        <w:tc>
          <w:tcPr>
            <w:tcW w:w="671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6930FD1" w14:textId="53B6A112" w:rsidR="009F0C72" w:rsidRPr="00DF4CE5" w:rsidRDefault="0039661B" w:rsidP="008B34AF">
            <w:pPr>
              <w:spacing w:after="0" w:line="240" w:lineRule="auto"/>
              <w:jc w:val="both"/>
              <w:rPr>
                <w:rFonts w:ascii="Cambria" w:eastAsia="Times New Roman" w:hAnsi="Cambria" w:cs="Calibri"/>
                <w:lang w:val="hr-HR"/>
              </w:rPr>
            </w:pPr>
            <w:hyperlink r:id="rId155" w:history="1">
              <w:r w:rsidRPr="0039661B">
                <w:rPr>
                  <w:rStyle w:val="Hiperveza"/>
                  <w:rFonts w:ascii="Cambria" w:eastAsia="Times New Roman" w:hAnsi="Cambria" w:cs="Calibri"/>
                  <w:lang w:val="hr-HR"/>
                </w:rPr>
                <w:t>P</w:t>
              </w:r>
              <w:r w:rsidR="000D665B" w:rsidRPr="0039661B">
                <w:rPr>
                  <w:rStyle w:val="Hiperveza"/>
                  <w:rFonts w:ascii="Cambria" w:eastAsia="Times New Roman" w:hAnsi="Cambria" w:cs="Calibri"/>
                  <w:lang w:val="hr-HR"/>
                </w:rPr>
                <w:t>rof. dr. sc. Maja Ružić</w:t>
              </w:r>
            </w:hyperlink>
            <w:r w:rsidR="000D665B" w:rsidRPr="0039661B">
              <w:rPr>
                <w:rFonts w:ascii="Cambria" w:eastAsia="Times New Roman" w:hAnsi="Cambria" w:cs="Calibri"/>
                <w:lang w:val="hr-HR"/>
              </w:rPr>
              <w:t xml:space="preserve"> </w:t>
            </w:r>
            <w:r>
              <w:rPr>
                <w:rFonts w:ascii="Cambria" w:eastAsia="Times New Roman" w:hAnsi="Cambria" w:cs="Calibri"/>
                <w:lang w:val="hr-HR"/>
              </w:rPr>
              <w:t>(nositeljica)</w:t>
            </w:r>
          </w:p>
        </w:tc>
      </w:tr>
      <w:tr w:rsidR="000D665B" w:rsidRPr="00D0399C" w14:paraId="218E772A" w14:textId="77777777" w:rsidTr="005005C3">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A8B188A" w14:textId="77777777" w:rsidR="000D665B" w:rsidRPr="00DF4CE5" w:rsidRDefault="000D665B"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Studijski program</w:t>
            </w:r>
          </w:p>
        </w:tc>
        <w:tc>
          <w:tcPr>
            <w:tcW w:w="671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5394811" w14:textId="77777777" w:rsidR="000D665B" w:rsidRPr="00DF4CE5" w:rsidRDefault="00BE4D96" w:rsidP="008B34AF">
            <w:pPr>
              <w:spacing w:after="0" w:line="240" w:lineRule="auto"/>
              <w:jc w:val="both"/>
              <w:rPr>
                <w:rFonts w:ascii="Cambria" w:eastAsia="Times New Roman" w:hAnsi="Cambria" w:cs="Calibri"/>
                <w:lang w:val="hr-HR"/>
              </w:rPr>
            </w:pPr>
            <w:r w:rsidRPr="00DF4CE5">
              <w:rPr>
                <w:rFonts w:ascii="Cambria" w:hAnsi="Cambria"/>
                <w:lang w:val="hr-HR"/>
              </w:rPr>
              <w:t>Sveučilišni integrirani prijediplomski i diplomski Učiteljski studij na hrvatskom jeziku</w:t>
            </w:r>
          </w:p>
        </w:tc>
      </w:tr>
      <w:tr w:rsidR="000D665B" w:rsidRPr="00DF4CE5" w14:paraId="6782A83E" w14:textId="77777777" w:rsidTr="005005C3">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17E4891" w14:textId="77777777" w:rsidR="000D665B" w:rsidRPr="00DF4CE5" w:rsidRDefault="000D665B"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Vrsta kolegija</w:t>
            </w:r>
          </w:p>
        </w:tc>
        <w:tc>
          <w:tcPr>
            <w:tcW w:w="248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4B2D95D" w14:textId="77777777" w:rsidR="000D665B" w:rsidRPr="00DF4CE5" w:rsidRDefault="000D665B"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obvezan</w:t>
            </w:r>
          </w:p>
        </w:tc>
        <w:tc>
          <w:tcPr>
            <w:tcW w:w="146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2C4993D6" w14:textId="77777777" w:rsidR="000D665B" w:rsidRPr="00DF4CE5" w:rsidRDefault="000D665B"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Razina kolegija</w:t>
            </w:r>
          </w:p>
        </w:tc>
        <w:tc>
          <w:tcPr>
            <w:tcW w:w="2767"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DB9446C" w14:textId="2AB87F13" w:rsidR="000D665B" w:rsidRPr="00DF4CE5" w:rsidRDefault="0039661B" w:rsidP="008B34AF">
            <w:pPr>
              <w:spacing w:after="0" w:line="240" w:lineRule="auto"/>
              <w:jc w:val="both"/>
              <w:rPr>
                <w:rFonts w:ascii="Cambria" w:eastAsia="Times New Roman" w:hAnsi="Cambria" w:cs="Calibri"/>
                <w:lang w:val="hr-HR"/>
              </w:rPr>
            </w:pPr>
            <w:proofErr w:type="spellStart"/>
            <w:r>
              <w:rPr>
                <w:rFonts w:ascii="Cambria" w:eastAsia="Times New Roman" w:hAnsi="Cambria" w:cs="Calibri"/>
                <w:lang w:val="it-IT"/>
              </w:rPr>
              <w:t>i</w:t>
            </w:r>
            <w:r w:rsidR="000D665B" w:rsidRPr="00DF4CE5">
              <w:rPr>
                <w:rFonts w:ascii="Cambria" w:eastAsia="Times New Roman" w:hAnsi="Cambria" w:cs="Calibri"/>
                <w:lang w:val="it-IT"/>
              </w:rPr>
              <w:t>ntegrirani</w:t>
            </w:r>
            <w:proofErr w:type="spellEnd"/>
          </w:p>
        </w:tc>
      </w:tr>
      <w:tr w:rsidR="000D665B" w:rsidRPr="00DF4CE5" w14:paraId="6B1C4B9A" w14:textId="77777777" w:rsidTr="005005C3">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A7D3788" w14:textId="77777777" w:rsidR="000D665B" w:rsidRPr="00DF4CE5" w:rsidRDefault="000D665B"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Semestar</w:t>
            </w:r>
          </w:p>
        </w:tc>
        <w:tc>
          <w:tcPr>
            <w:tcW w:w="248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0C80A30" w14:textId="77777777" w:rsidR="000D665B" w:rsidRPr="00DF4CE5" w:rsidRDefault="000D665B"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ljetni</w:t>
            </w:r>
          </w:p>
        </w:tc>
        <w:tc>
          <w:tcPr>
            <w:tcW w:w="146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253BAC9B" w14:textId="77777777" w:rsidR="000D665B" w:rsidRPr="00DF4CE5" w:rsidRDefault="000D665B"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Godina studija</w:t>
            </w:r>
          </w:p>
        </w:tc>
        <w:tc>
          <w:tcPr>
            <w:tcW w:w="2767"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D596FA0" w14:textId="77777777" w:rsidR="000D665B" w:rsidRPr="00DF4CE5" w:rsidRDefault="000D665B"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IV.</w:t>
            </w:r>
          </w:p>
        </w:tc>
      </w:tr>
      <w:tr w:rsidR="000D665B" w:rsidRPr="00DF4CE5" w14:paraId="34D26944" w14:textId="77777777" w:rsidTr="005005C3">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78D442A" w14:textId="77777777" w:rsidR="000D665B" w:rsidRPr="00DF4CE5" w:rsidRDefault="000D665B"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Mjesto izvođenja</w:t>
            </w:r>
          </w:p>
        </w:tc>
        <w:tc>
          <w:tcPr>
            <w:tcW w:w="248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17CC46B" w14:textId="77777777" w:rsidR="000D665B" w:rsidRPr="00DF4CE5" w:rsidRDefault="000D665B"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učionica</w:t>
            </w:r>
          </w:p>
        </w:tc>
        <w:tc>
          <w:tcPr>
            <w:tcW w:w="146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6A880972" w14:textId="77777777" w:rsidR="000D665B" w:rsidRPr="00DF4CE5" w:rsidRDefault="000D665B"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Jezik izvođenja (drugi jezici)</w:t>
            </w:r>
          </w:p>
        </w:tc>
        <w:tc>
          <w:tcPr>
            <w:tcW w:w="2767"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FDF4CAD" w14:textId="77777777" w:rsidR="000D665B" w:rsidRPr="00DF4CE5" w:rsidRDefault="000D665B"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hrvatski </w:t>
            </w:r>
          </w:p>
          <w:p w14:paraId="348D8920" w14:textId="77777777" w:rsidR="000D665B" w:rsidRPr="00DF4CE5" w:rsidRDefault="000D665B" w:rsidP="008B34AF">
            <w:pPr>
              <w:spacing w:after="0" w:line="240" w:lineRule="auto"/>
              <w:jc w:val="both"/>
              <w:rPr>
                <w:rFonts w:ascii="Cambria" w:eastAsia="Times New Roman" w:hAnsi="Cambria" w:cs="Calibri"/>
                <w:lang w:val="hr-HR"/>
              </w:rPr>
            </w:pPr>
          </w:p>
        </w:tc>
      </w:tr>
      <w:tr w:rsidR="000D665B" w:rsidRPr="00DF4CE5" w14:paraId="57D5BAAB" w14:textId="77777777" w:rsidTr="005005C3">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71D2AFA" w14:textId="77777777" w:rsidR="000D665B" w:rsidRPr="00DF4CE5" w:rsidRDefault="000D665B"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Broj ECTS bodova</w:t>
            </w:r>
          </w:p>
        </w:tc>
        <w:tc>
          <w:tcPr>
            <w:tcW w:w="248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5066110" w14:textId="77777777" w:rsidR="000D665B" w:rsidRPr="00DF4CE5" w:rsidRDefault="000D665B"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2</w:t>
            </w:r>
          </w:p>
        </w:tc>
        <w:tc>
          <w:tcPr>
            <w:tcW w:w="146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60C644AE" w14:textId="77777777" w:rsidR="000D665B" w:rsidRPr="00DF4CE5" w:rsidRDefault="000D665B"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Broj sati u semestru</w:t>
            </w:r>
          </w:p>
        </w:tc>
        <w:tc>
          <w:tcPr>
            <w:tcW w:w="2767"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145A4F3" w14:textId="0C0B4857" w:rsidR="000D665B" w:rsidRPr="00DF4CE5" w:rsidRDefault="000D665B"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15P – </w:t>
            </w:r>
            <w:r w:rsidR="00481108" w:rsidRPr="00DF4CE5">
              <w:rPr>
                <w:rFonts w:ascii="Cambria" w:eastAsia="Times New Roman" w:hAnsi="Cambria" w:cs="Calibri"/>
                <w:lang w:val="hr-HR"/>
              </w:rPr>
              <w:t>15S</w:t>
            </w:r>
            <w:r w:rsidRPr="00DF4CE5">
              <w:rPr>
                <w:rFonts w:ascii="Cambria" w:eastAsia="Times New Roman" w:hAnsi="Cambria" w:cs="Calibri"/>
                <w:lang w:val="hr-HR"/>
              </w:rPr>
              <w:t xml:space="preserve"> – </w:t>
            </w:r>
            <w:r w:rsidR="00481108" w:rsidRPr="00DF4CE5">
              <w:rPr>
                <w:rFonts w:ascii="Cambria" w:eastAsia="Times New Roman" w:hAnsi="Cambria" w:cs="Calibri"/>
                <w:lang w:val="hr-HR"/>
              </w:rPr>
              <w:t>0V</w:t>
            </w:r>
            <w:r w:rsidRPr="00DF4CE5">
              <w:rPr>
                <w:rFonts w:ascii="Cambria" w:eastAsia="Times New Roman" w:hAnsi="Cambria" w:cs="Calibri"/>
                <w:lang w:val="hr-HR"/>
              </w:rPr>
              <w:t xml:space="preserve">   </w:t>
            </w:r>
          </w:p>
        </w:tc>
      </w:tr>
      <w:tr w:rsidR="000D665B" w:rsidRPr="00DF4CE5" w14:paraId="16C4C480" w14:textId="77777777" w:rsidTr="005005C3">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D671B65" w14:textId="77777777" w:rsidR="000D665B" w:rsidRPr="00DF4CE5" w:rsidRDefault="000D665B"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Preduvjeti za upis i za svladavanje</w:t>
            </w:r>
          </w:p>
        </w:tc>
        <w:tc>
          <w:tcPr>
            <w:tcW w:w="671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792D366" w14:textId="77777777" w:rsidR="000D665B" w:rsidRPr="00DF4CE5" w:rsidRDefault="000D665B"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nema preduvjeta za upis</w:t>
            </w:r>
          </w:p>
        </w:tc>
      </w:tr>
      <w:tr w:rsidR="000D665B" w:rsidRPr="00D0399C" w14:paraId="3C088679" w14:textId="77777777" w:rsidTr="005005C3">
        <w:trPr>
          <w:trHeight w:val="488"/>
        </w:trPr>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5B3312D" w14:textId="77777777" w:rsidR="000D665B" w:rsidRPr="00DF4CE5" w:rsidRDefault="000D665B" w:rsidP="008B34AF">
            <w:pPr>
              <w:spacing w:after="0" w:line="240" w:lineRule="auto"/>
              <w:jc w:val="both"/>
              <w:rPr>
                <w:rFonts w:ascii="Cambria" w:eastAsia="Times New Roman" w:hAnsi="Cambria" w:cs="Calibri"/>
                <w:lang w:val="hr-HR"/>
              </w:rPr>
            </w:pPr>
            <w:proofErr w:type="spellStart"/>
            <w:r w:rsidRPr="00DF4CE5">
              <w:rPr>
                <w:rFonts w:ascii="Cambria" w:eastAsia="Times New Roman" w:hAnsi="Cambria" w:cs="Calibri"/>
                <w:lang w:val="hr-HR"/>
              </w:rPr>
              <w:t>Korelativnost</w:t>
            </w:r>
            <w:proofErr w:type="spellEnd"/>
          </w:p>
        </w:tc>
        <w:tc>
          <w:tcPr>
            <w:tcW w:w="671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6725A8D" w14:textId="77777777" w:rsidR="000D665B" w:rsidRPr="00DF4CE5" w:rsidRDefault="000D665B"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Osnove informatike, Informacijsko-komunikacijske tehnologije u odgoju i obrazovanju, Programiranje.</w:t>
            </w:r>
          </w:p>
        </w:tc>
      </w:tr>
      <w:tr w:rsidR="000D665B" w:rsidRPr="00D0399C" w14:paraId="5BA633DF" w14:textId="77777777" w:rsidTr="005005C3">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E1BB317" w14:textId="77777777" w:rsidR="000D665B" w:rsidRPr="00DF4CE5" w:rsidRDefault="000D665B"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Cilj kolegija </w:t>
            </w:r>
          </w:p>
        </w:tc>
        <w:tc>
          <w:tcPr>
            <w:tcW w:w="671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7B238BE" w14:textId="49CCAF42" w:rsidR="000D665B" w:rsidRPr="00DF4CE5" w:rsidRDefault="0039661B" w:rsidP="008B34AF">
            <w:pPr>
              <w:spacing w:after="0" w:line="240" w:lineRule="auto"/>
              <w:jc w:val="both"/>
              <w:rPr>
                <w:rFonts w:ascii="Cambria" w:eastAsia="Times New Roman" w:hAnsi="Cambria" w:cs="Calibri"/>
                <w:lang w:val="hr-HR"/>
              </w:rPr>
            </w:pPr>
            <w:r>
              <w:rPr>
                <w:rFonts w:ascii="Cambria" w:eastAsia="Times New Roman" w:hAnsi="Cambria" w:cs="Calibri"/>
                <w:lang w:val="hr-HR"/>
              </w:rPr>
              <w:t>u</w:t>
            </w:r>
            <w:r w:rsidR="000D665B" w:rsidRPr="00DF4CE5">
              <w:rPr>
                <w:rFonts w:ascii="Cambria" w:eastAsia="Times New Roman" w:hAnsi="Cambria" w:cs="Calibri"/>
                <w:lang w:val="hr-HR"/>
              </w:rPr>
              <w:t>svojiti temeljne pojmove teorijskih i praktičnih znanja o</w:t>
            </w:r>
          </w:p>
          <w:p w14:paraId="7579C5CD" w14:textId="4C6C56A9" w:rsidR="000D665B" w:rsidRPr="00DF4CE5" w:rsidRDefault="000D665B" w:rsidP="0039661B">
            <w:pPr>
              <w:spacing w:after="0" w:line="240" w:lineRule="auto"/>
              <w:rPr>
                <w:rFonts w:ascii="Cambria" w:eastAsia="Times New Roman" w:hAnsi="Cambria" w:cs="Calibri"/>
                <w:lang w:val="hr-HR"/>
              </w:rPr>
            </w:pPr>
            <w:r w:rsidRPr="00DF4CE5">
              <w:rPr>
                <w:rFonts w:ascii="Cambria" w:eastAsia="Times New Roman" w:hAnsi="Cambria" w:cs="Calibri"/>
                <w:lang w:val="hr-HR"/>
              </w:rPr>
              <w:t>informatičkim konceptima (programiranje, algoritmi, strukture podataka)</w:t>
            </w:r>
          </w:p>
        </w:tc>
      </w:tr>
      <w:tr w:rsidR="000D665B" w:rsidRPr="00D0399C" w14:paraId="67FF0AF9" w14:textId="77777777" w:rsidTr="005005C3">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220C928" w14:textId="77777777" w:rsidR="000D665B" w:rsidRPr="00DF4CE5" w:rsidRDefault="000D665B"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Ishodi učenja</w:t>
            </w:r>
          </w:p>
        </w:tc>
        <w:tc>
          <w:tcPr>
            <w:tcW w:w="671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ED1C087" w14:textId="48ED9171" w:rsidR="000D665B" w:rsidRPr="00DF4CE5" w:rsidRDefault="000D665B"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1. </w:t>
            </w:r>
            <w:r w:rsidR="0039661B">
              <w:rPr>
                <w:rFonts w:ascii="Cambria" w:eastAsia="Times New Roman" w:hAnsi="Cambria" w:cs="Calibri"/>
                <w:lang w:val="hr-HR"/>
              </w:rPr>
              <w:t>o</w:t>
            </w:r>
            <w:r w:rsidRPr="00DF4CE5">
              <w:rPr>
                <w:rFonts w:ascii="Cambria" w:eastAsia="Times New Roman" w:hAnsi="Cambria" w:cs="Calibri"/>
                <w:lang w:val="hr-HR"/>
              </w:rPr>
              <w:t>pisati  temeljne pojmove iz metodike nastave informatike</w:t>
            </w:r>
          </w:p>
          <w:p w14:paraId="1FD3A8FA" w14:textId="77777777" w:rsidR="000D665B" w:rsidRPr="00DF4CE5" w:rsidRDefault="000D665B"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2. definirati  ishode učenja, principe, metode i oblike rada</w:t>
            </w:r>
          </w:p>
          <w:p w14:paraId="16063F90" w14:textId="77777777" w:rsidR="000D665B" w:rsidRPr="00DF4CE5" w:rsidRDefault="000D665B"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3. tumačiti literaturu, zakone i pravilnike vezane uz teme metodike  u nastavi informatike u osnovnoj školi.</w:t>
            </w:r>
          </w:p>
          <w:p w14:paraId="08C12865" w14:textId="77777777" w:rsidR="000D665B" w:rsidRPr="00DF4CE5" w:rsidRDefault="000D665B"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4. tumačiti kurikulum nastavnog predmeta informatika za osnovne škole </w:t>
            </w:r>
          </w:p>
          <w:p w14:paraId="75375D31" w14:textId="38EADEFB" w:rsidR="000D665B" w:rsidRPr="00DF4CE5" w:rsidRDefault="000D665B" w:rsidP="008B34AF">
            <w:pPr>
              <w:spacing w:after="0" w:line="276" w:lineRule="auto"/>
              <w:contextualSpacing/>
              <w:jc w:val="both"/>
              <w:rPr>
                <w:rFonts w:ascii="Cambria" w:eastAsia="Calibri" w:hAnsi="Cambria" w:cs="Calibri"/>
                <w:lang w:val="hr-HR"/>
              </w:rPr>
            </w:pPr>
            <w:r w:rsidRPr="00DF4CE5">
              <w:rPr>
                <w:rFonts w:ascii="Cambria" w:eastAsia="Calibri" w:hAnsi="Cambria" w:cs="Calibri"/>
                <w:lang w:val="hr-HR"/>
              </w:rPr>
              <w:t>5.</w:t>
            </w:r>
            <w:r w:rsidR="0039661B">
              <w:rPr>
                <w:rFonts w:ascii="Cambria" w:eastAsia="Calibri" w:hAnsi="Cambria" w:cs="Calibri"/>
                <w:lang w:val="hr-HR"/>
              </w:rPr>
              <w:t xml:space="preserve"> </w:t>
            </w:r>
            <w:r w:rsidRPr="00DF4CE5">
              <w:rPr>
                <w:rFonts w:ascii="Cambria" w:eastAsia="Calibri" w:hAnsi="Cambria" w:cs="Calibri"/>
                <w:lang w:val="hr-HR"/>
              </w:rPr>
              <w:t>realizirati  nastavni sat informatike za osnovnu školu koristeći digitalnu tehnologiju</w:t>
            </w:r>
          </w:p>
        </w:tc>
      </w:tr>
      <w:tr w:rsidR="000D665B" w:rsidRPr="00D0399C" w14:paraId="7EA4A6D6" w14:textId="77777777" w:rsidTr="005005C3">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3E54DB22" w14:textId="77777777" w:rsidR="000D665B" w:rsidRPr="00DF4CE5" w:rsidRDefault="000D665B"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Sadržaj kolegija</w:t>
            </w:r>
          </w:p>
        </w:tc>
        <w:tc>
          <w:tcPr>
            <w:tcW w:w="6717"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86777AC" w14:textId="77777777" w:rsidR="000D665B" w:rsidRPr="00DF4CE5" w:rsidRDefault="000D665B"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1. Osnovni pojmovi</w:t>
            </w:r>
          </w:p>
          <w:p w14:paraId="1466F6E6" w14:textId="77777777" w:rsidR="000D665B" w:rsidRPr="00DF4CE5" w:rsidRDefault="000D665B"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2. Kurikulum nastavnog predmeta informatike za osnovne škole ( odgojno-obrazovni ciljevi učenja i poučavanja, domene u organizaciji predmetnog kurikuluma informatike, digitalna pismenost i komunikacija, e-društvo,  učenje i poučavanje nastavnog predmeta informatika)</w:t>
            </w:r>
          </w:p>
          <w:p w14:paraId="4D1AA13B" w14:textId="77777777" w:rsidR="000D665B" w:rsidRPr="00DF4CE5" w:rsidRDefault="000D665B"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3. Priprema nastavne aktivnosti</w:t>
            </w:r>
          </w:p>
          <w:p w14:paraId="11A83FCF" w14:textId="77777777" w:rsidR="000D665B" w:rsidRPr="00DF4CE5" w:rsidRDefault="000D665B"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4. Vrednovanje odgojno-obrazovnih ishoda u nastavnom predmetu Informatika</w:t>
            </w:r>
          </w:p>
        </w:tc>
      </w:tr>
      <w:tr w:rsidR="000D665B" w:rsidRPr="00DF4CE5" w14:paraId="54FC0630" w14:textId="77777777" w:rsidTr="005005C3">
        <w:tc>
          <w:tcPr>
            <w:tcW w:w="2623"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hideMark/>
          </w:tcPr>
          <w:p w14:paraId="0DA15A41" w14:textId="77777777" w:rsidR="000D665B" w:rsidRPr="00DF4CE5" w:rsidRDefault="000D665B"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Planirane aktivnosti,</w:t>
            </w:r>
          </w:p>
          <w:p w14:paraId="0210227E" w14:textId="77777777" w:rsidR="000D665B" w:rsidRPr="00DF4CE5" w:rsidRDefault="000D665B"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metode učenja i poučavanja i načini vrednovanja</w:t>
            </w:r>
          </w:p>
        </w:tc>
        <w:tc>
          <w:tcPr>
            <w:tcW w:w="258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007FC10" w14:textId="77777777" w:rsidR="000D665B" w:rsidRPr="00DF4CE5" w:rsidRDefault="000D665B" w:rsidP="008B34AF">
            <w:pPr>
              <w:spacing w:after="0" w:line="240" w:lineRule="auto"/>
              <w:jc w:val="both"/>
              <w:rPr>
                <w:rFonts w:ascii="Cambria" w:eastAsia="Times New Roman" w:hAnsi="Cambria" w:cs="Calibri"/>
                <w:lang w:val="hr-HR"/>
              </w:rPr>
            </w:pPr>
            <w:r w:rsidRPr="00DF4CE5">
              <w:rPr>
                <w:rFonts w:ascii="Cambria" w:eastAsia="Times New Roman" w:hAnsi="Cambria" w:cs="Calibri"/>
                <w:bCs/>
                <w:lang w:val="hr-HR"/>
              </w:rPr>
              <w:t xml:space="preserve">Obveze </w:t>
            </w:r>
          </w:p>
          <w:p w14:paraId="0D5DC5D0" w14:textId="77777777" w:rsidR="000D665B" w:rsidRPr="00DF4CE5" w:rsidRDefault="000D665B" w:rsidP="008B34AF">
            <w:pPr>
              <w:spacing w:after="0" w:line="240" w:lineRule="auto"/>
              <w:jc w:val="both"/>
              <w:rPr>
                <w:rFonts w:ascii="Cambria" w:eastAsia="Times New Roman" w:hAnsi="Cambria" w:cs="Calibri"/>
                <w:lang w:val="hr-HR"/>
              </w:rPr>
            </w:pPr>
          </w:p>
        </w:tc>
        <w:tc>
          <w:tcPr>
            <w:tcW w:w="10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17A786E" w14:textId="77777777" w:rsidR="000D665B" w:rsidRPr="00DF4CE5" w:rsidRDefault="000D665B" w:rsidP="008B34AF">
            <w:pPr>
              <w:spacing w:after="0" w:line="240" w:lineRule="auto"/>
              <w:jc w:val="both"/>
              <w:rPr>
                <w:rFonts w:ascii="Cambria" w:eastAsia="Times New Roman" w:hAnsi="Cambria" w:cs="Calibri"/>
                <w:lang w:val="hr-HR"/>
              </w:rPr>
            </w:pPr>
            <w:r w:rsidRPr="00DF4CE5">
              <w:rPr>
                <w:rFonts w:ascii="Cambria" w:eastAsia="Times New Roman" w:hAnsi="Cambria" w:cs="Calibri"/>
                <w:bCs/>
                <w:lang w:val="hr-HR"/>
              </w:rPr>
              <w:t>Ishodi</w:t>
            </w:r>
          </w:p>
        </w:tc>
        <w:tc>
          <w:tcPr>
            <w:tcW w:w="71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26AF2D2" w14:textId="77777777" w:rsidR="000D665B" w:rsidRPr="00DF4CE5" w:rsidRDefault="000D665B" w:rsidP="008B34AF">
            <w:pPr>
              <w:spacing w:after="0" w:line="240" w:lineRule="auto"/>
              <w:jc w:val="both"/>
              <w:rPr>
                <w:rFonts w:ascii="Cambria" w:eastAsia="Times New Roman" w:hAnsi="Cambria" w:cs="Calibri"/>
                <w:lang w:val="hr-HR"/>
              </w:rPr>
            </w:pPr>
            <w:r w:rsidRPr="00DF4CE5">
              <w:rPr>
                <w:rFonts w:ascii="Cambria" w:eastAsia="Times New Roman" w:hAnsi="Cambria" w:cs="Calibri"/>
                <w:bCs/>
                <w:lang w:val="hr-HR"/>
              </w:rPr>
              <w:t>Sati</w:t>
            </w:r>
          </w:p>
        </w:tc>
        <w:tc>
          <w:tcPr>
            <w:tcW w:w="101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BF23A7B" w14:textId="77777777" w:rsidR="000D665B" w:rsidRPr="00DF4CE5" w:rsidRDefault="000D665B" w:rsidP="008B34AF">
            <w:pPr>
              <w:spacing w:after="0" w:line="240" w:lineRule="auto"/>
              <w:jc w:val="both"/>
              <w:rPr>
                <w:rFonts w:ascii="Cambria" w:eastAsia="Times New Roman" w:hAnsi="Cambria" w:cs="Calibri"/>
                <w:lang w:val="hr-HR"/>
              </w:rPr>
            </w:pPr>
            <w:r w:rsidRPr="00DF4CE5">
              <w:rPr>
                <w:rFonts w:ascii="Cambria" w:eastAsia="Times New Roman" w:hAnsi="Cambria" w:cs="Calibri"/>
                <w:bCs/>
                <w:lang w:val="hr-HR"/>
              </w:rPr>
              <w:t>ECTS</w:t>
            </w:r>
          </w:p>
        </w:tc>
        <w:tc>
          <w:tcPr>
            <w:tcW w:w="131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6BA5282" w14:textId="77777777" w:rsidR="000D665B" w:rsidRPr="00DF4CE5" w:rsidRDefault="000D665B" w:rsidP="008B34AF">
            <w:pPr>
              <w:spacing w:after="0" w:line="240" w:lineRule="auto"/>
              <w:jc w:val="both"/>
              <w:rPr>
                <w:rFonts w:ascii="Cambria" w:eastAsia="Times New Roman" w:hAnsi="Cambria" w:cs="Calibri"/>
                <w:lang w:val="hr-HR"/>
              </w:rPr>
            </w:pPr>
            <w:r w:rsidRPr="00DF4CE5">
              <w:rPr>
                <w:rFonts w:ascii="Cambria" w:eastAsia="Times New Roman" w:hAnsi="Cambria" w:cs="Calibri"/>
                <w:bCs/>
                <w:lang w:val="hr-HR"/>
              </w:rPr>
              <w:t>Maksimalni udio u ocjeni (%)</w:t>
            </w:r>
          </w:p>
        </w:tc>
      </w:tr>
      <w:tr w:rsidR="005005C3" w:rsidRPr="00DF4CE5" w14:paraId="0960B655" w14:textId="77777777" w:rsidTr="005005C3">
        <w:tc>
          <w:tcPr>
            <w:tcW w:w="2623" w:type="dxa"/>
            <w:vMerge/>
            <w:tcBorders>
              <w:left w:val="single" w:sz="8" w:space="0" w:color="000000"/>
              <w:right w:val="single" w:sz="8" w:space="0" w:color="000000"/>
            </w:tcBorders>
            <w:vAlign w:val="center"/>
            <w:hideMark/>
          </w:tcPr>
          <w:p w14:paraId="63864BC8" w14:textId="77777777" w:rsidR="005005C3" w:rsidRPr="00DF4CE5" w:rsidRDefault="005005C3" w:rsidP="005005C3">
            <w:pPr>
              <w:spacing w:after="0" w:line="240" w:lineRule="auto"/>
              <w:jc w:val="both"/>
              <w:rPr>
                <w:rFonts w:ascii="Cambria" w:eastAsia="Times New Roman" w:hAnsi="Cambria" w:cs="Calibri"/>
                <w:lang w:val="hr-HR"/>
              </w:rPr>
            </w:pPr>
          </w:p>
        </w:tc>
        <w:tc>
          <w:tcPr>
            <w:tcW w:w="258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2162A86" w14:textId="2AB72F18" w:rsidR="005005C3" w:rsidRPr="0039661B" w:rsidRDefault="005005C3" w:rsidP="005005C3">
            <w:pPr>
              <w:spacing w:after="0" w:line="240" w:lineRule="auto"/>
              <w:jc w:val="both"/>
              <w:rPr>
                <w:rFonts w:ascii="Cambria" w:eastAsia="Times New Roman" w:hAnsi="Cambria" w:cs="Calibri"/>
                <w:lang w:val="it-IT"/>
              </w:rPr>
            </w:pPr>
            <w:proofErr w:type="spellStart"/>
            <w:r w:rsidRPr="0039661B">
              <w:rPr>
                <w:rFonts w:ascii="Cambria" w:eastAsia="Times New Roman" w:hAnsi="Cambria" w:cs="Calibri"/>
                <w:lang w:val="it-IT"/>
              </w:rPr>
              <w:t>aktivnost</w:t>
            </w:r>
            <w:proofErr w:type="spellEnd"/>
            <w:r w:rsidRPr="0039661B">
              <w:rPr>
                <w:rFonts w:ascii="Cambria" w:eastAsia="Times New Roman" w:hAnsi="Cambria" w:cs="Calibri"/>
                <w:lang w:val="it-IT"/>
              </w:rPr>
              <w:t xml:space="preserve"> </w:t>
            </w:r>
            <w:proofErr w:type="spellStart"/>
            <w:r w:rsidRPr="0039661B">
              <w:rPr>
                <w:rFonts w:ascii="Cambria" w:eastAsia="Times New Roman" w:hAnsi="Cambria" w:cs="Calibri"/>
                <w:lang w:val="it-IT"/>
              </w:rPr>
              <w:t>na</w:t>
            </w:r>
            <w:proofErr w:type="spellEnd"/>
            <w:r w:rsidRPr="0039661B">
              <w:rPr>
                <w:rFonts w:ascii="Cambria" w:eastAsia="Times New Roman" w:hAnsi="Cambria" w:cs="Calibri"/>
                <w:lang w:val="it-IT"/>
              </w:rPr>
              <w:t xml:space="preserve"> </w:t>
            </w:r>
            <w:proofErr w:type="spellStart"/>
            <w:r w:rsidRPr="0039661B">
              <w:rPr>
                <w:rFonts w:ascii="Cambria" w:eastAsia="Times New Roman" w:hAnsi="Cambria" w:cs="Calibri"/>
                <w:lang w:val="it-IT"/>
              </w:rPr>
              <w:t>nastavi</w:t>
            </w:r>
            <w:proofErr w:type="spellEnd"/>
            <w:r w:rsidR="0039661B" w:rsidRPr="0039661B">
              <w:rPr>
                <w:rFonts w:ascii="Cambria" w:eastAsia="Times New Roman" w:hAnsi="Cambria" w:cs="Calibri"/>
                <w:lang w:val="it-IT"/>
              </w:rPr>
              <w:t xml:space="preserve"> (P, S</w:t>
            </w:r>
            <w:r w:rsidR="0039661B">
              <w:rPr>
                <w:rFonts w:ascii="Cambria" w:eastAsia="Times New Roman" w:hAnsi="Cambria" w:cs="Calibri"/>
                <w:lang w:val="it-IT"/>
              </w:rPr>
              <w:t>)</w:t>
            </w:r>
          </w:p>
        </w:tc>
        <w:tc>
          <w:tcPr>
            <w:tcW w:w="10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76A1B9E" w14:textId="25790F17" w:rsidR="005005C3" w:rsidRPr="00DF4CE5" w:rsidRDefault="005005C3" w:rsidP="0039661B">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1. – 5.</w:t>
            </w:r>
          </w:p>
        </w:tc>
        <w:tc>
          <w:tcPr>
            <w:tcW w:w="71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CB23412" w14:textId="4039549A" w:rsidR="005005C3" w:rsidRPr="00DF4CE5" w:rsidRDefault="005005C3" w:rsidP="0039661B">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23</w:t>
            </w:r>
          </w:p>
        </w:tc>
        <w:tc>
          <w:tcPr>
            <w:tcW w:w="101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B846ECE" w14:textId="77777777" w:rsidR="005005C3" w:rsidRPr="00DF4CE5" w:rsidRDefault="005005C3" w:rsidP="0039661B">
            <w:pPr>
              <w:spacing w:after="0" w:line="240" w:lineRule="auto"/>
              <w:jc w:val="center"/>
              <w:rPr>
                <w:rFonts w:ascii="Cambria" w:eastAsia="Times New Roman" w:hAnsi="Cambria" w:cs="Calibri"/>
                <w:color w:val="000000"/>
                <w:lang w:val="hr-HR"/>
              </w:rPr>
            </w:pPr>
            <w:r w:rsidRPr="00DF4CE5">
              <w:rPr>
                <w:rFonts w:ascii="Cambria" w:eastAsia="Times New Roman" w:hAnsi="Cambria" w:cs="Calibri"/>
                <w:color w:val="000000"/>
                <w:lang w:val="hr-HR"/>
              </w:rPr>
              <w:t>0,8</w:t>
            </w:r>
          </w:p>
        </w:tc>
        <w:tc>
          <w:tcPr>
            <w:tcW w:w="131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29BADA0" w14:textId="77777777" w:rsidR="005005C3" w:rsidRPr="00DF4CE5" w:rsidRDefault="005005C3" w:rsidP="0039661B">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10%</w:t>
            </w:r>
          </w:p>
        </w:tc>
      </w:tr>
      <w:tr w:rsidR="005005C3" w:rsidRPr="00DF4CE5" w14:paraId="56032891" w14:textId="77777777" w:rsidTr="005005C3">
        <w:tc>
          <w:tcPr>
            <w:tcW w:w="2623" w:type="dxa"/>
            <w:vMerge/>
            <w:tcBorders>
              <w:left w:val="single" w:sz="8" w:space="0" w:color="000000"/>
              <w:right w:val="single" w:sz="8" w:space="0" w:color="000000"/>
            </w:tcBorders>
            <w:vAlign w:val="center"/>
            <w:hideMark/>
          </w:tcPr>
          <w:p w14:paraId="5E3FA13C" w14:textId="77777777" w:rsidR="005005C3" w:rsidRPr="00DF4CE5" w:rsidRDefault="005005C3" w:rsidP="005005C3">
            <w:pPr>
              <w:spacing w:after="0" w:line="240" w:lineRule="auto"/>
              <w:jc w:val="both"/>
              <w:rPr>
                <w:rFonts w:ascii="Cambria" w:eastAsia="Times New Roman" w:hAnsi="Cambria" w:cs="Calibri"/>
                <w:lang w:val="hr-HR"/>
              </w:rPr>
            </w:pPr>
          </w:p>
        </w:tc>
        <w:tc>
          <w:tcPr>
            <w:tcW w:w="258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A196A24" w14:textId="77777777" w:rsidR="005005C3" w:rsidRPr="00DF4CE5" w:rsidRDefault="005005C3" w:rsidP="005005C3">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samostalni zadatci </w:t>
            </w:r>
          </w:p>
          <w:p w14:paraId="4C09BDC5" w14:textId="77777777" w:rsidR="005005C3" w:rsidRPr="00DF4CE5" w:rsidRDefault="005005C3" w:rsidP="005005C3">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(seminarski rad)</w:t>
            </w:r>
          </w:p>
        </w:tc>
        <w:tc>
          <w:tcPr>
            <w:tcW w:w="10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CC20E7A" w14:textId="77777777" w:rsidR="005005C3" w:rsidRPr="00DF4CE5" w:rsidRDefault="005005C3" w:rsidP="0039661B">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2.-5.</w:t>
            </w:r>
          </w:p>
        </w:tc>
        <w:tc>
          <w:tcPr>
            <w:tcW w:w="71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BB224FB" w14:textId="498DD340" w:rsidR="005005C3" w:rsidRPr="00DF4CE5" w:rsidRDefault="005005C3" w:rsidP="0039661B">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15</w:t>
            </w:r>
          </w:p>
        </w:tc>
        <w:tc>
          <w:tcPr>
            <w:tcW w:w="101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C416FAC" w14:textId="77777777" w:rsidR="005005C3" w:rsidRPr="00DF4CE5" w:rsidRDefault="005005C3" w:rsidP="0039661B">
            <w:pPr>
              <w:spacing w:after="0" w:line="240" w:lineRule="auto"/>
              <w:jc w:val="center"/>
              <w:rPr>
                <w:rFonts w:ascii="Cambria" w:eastAsia="Times New Roman" w:hAnsi="Cambria" w:cs="Calibri"/>
                <w:color w:val="000000"/>
                <w:lang w:val="hr-HR"/>
              </w:rPr>
            </w:pPr>
            <w:r w:rsidRPr="00DF4CE5">
              <w:rPr>
                <w:rFonts w:ascii="Cambria" w:eastAsia="Times New Roman" w:hAnsi="Cambria" w:cs="Calibri"/>
                <w:color w:val="000000"/>
                <w:lang w:val="hr-HR"/>
              </w:rPr>
              <w:t>0,5</w:t>
            </w:r>
          </w:p>
        </w:tc>
        <w:tc>
          <w:tcPr>
            <w:tcW w:w="131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566060F" w14:textId="77777777" w:rsidR="005005C3" w:rsidRPr="00DF4CE5" w:rsidRDefault="005005C3" w:rsidP="0039661B">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40%</w:t>
            </w:r>
          </w:p>
        </w:tc>
      </w:tr>
      <w:tr w:rsidR="005005C3" w:rsidRPr="00DF4CE5" w14:paraId="3319EA01" w14:textId="77777777" w:rsidTr="005005C3">
        <w:tc>
          <w:tcPr>
            <w:tcW w:w="2623" w:type="dxa"/>
            <w:vMerge/>
            <w:tcBorders>
              <w:left w:val="single" w:sz="8" w:space="0" w:color="000000"/>
              <w:right w:val="single" w:sz="8" w:space="0" w:color="000000"/>
            </w:tcBorders>
            <w:vAlign w:val="center"/>
          </w:tcPr>
          <w:p w14:paraId="52382894" w14:textId="77777777" w:rsidR="005005C3" w:rsidRPr="00DF4CE5" w:rsidRDefault="005005C3" w:rsidP="005005C3">
            <w:pPr>
              <w:spacing w:after="0" w:line="240" w:lineRule="auto"/>
              <w:jc w:val="both"/>
              <w:rPr>
                <w:rFonts w:ascii="Cambria" w:eastAsia="Times New Roman" w:hAnsi="Cambria" w:cs="Calibri"/>
                <w:lang w:val="hr-HR"/>
              </w:rPr>
            </w:pPr>
          </w:p>
        </w:tc>
        <w:tc>
          <w:tcPr>
            <w:tcW w:w="258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F7990CE" w14:textId="77777777" w:rsidR="005005C3" w:rsidRPr="00DF4CE5" w:rsidRDefault="005005C3" w:rsidP="0039661B">
            <w:pPr>
              <w:spacing w:after="0" w:line="240" w:lineRule="auto"/>
              <w:rPr>
                <w:rFonts w:ascii="Cambria" w:eastAsia="Times New Roman" w:hAnsi="Cambria" w:cs="Calibri"/>
                <w:lang w:val="hr-HR"/>
              </w:rPr>
            </w:pPr>
            <w:r w:rsidRPr="00DF4CE5">
              <w:rPr>
                <w:rFonts w:ascii="Cambria" w:eastAsia="Times New Roman" w:hAnsi="Cambria" w:cs="Calibri"/>
                <w:lang w:val="hr-HR"/>
              </w:rPr>
              <w:t>kolokvij / ispit (pismeni/usmeni)</w:t>
            </w:r>
          </w:p>
        </w:tc>
        <w:tc>
          <w:tcPr>
            <w:tcW w:w="10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5B4FCEA" w14:textId="77777777" w:rsidR="005005C3" w:rsidRPr="00DF4CE5" w:rsidRDefault="005005C3" w:rsidP="0039661B">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1.-5.</w:t>
            </w:r>
          </w:p>
        </w:tc>
        <w:tc>
          <w:tcPr>
            <w:tcW w:w="71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B575AD4" w14:textId="39FF6B96" w:rsidR="005005C3" w:rsidRPr="00DF4CE5" w:rsidRDefault="005005C3" w:rsidP="0039661B">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22</w:t>
            </w:r>
          </w:p>
        </w:tc>
        <w:tc>
          <w:tcPr>
            <w:tcW w:w="101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14424DF" w14:textId="77777777" w:rsidR="005005C3" w:rsidRPr="00DF4CE5" w:rsidRDefault="005005C3" w:rsidP="0039661B">
            <w:pPr>
              <w:spacing w:after="0" w:line="240" w:lineRule="auto"/>
              <w:jc w:val="center"/>
              <w:rPr>
                <w:rFonts w:ascii="Cambria" w:eastAsia="Times New Roman" w:hAnsi="Cambria" w:cs="Calibri"/>
                <w:color w:val="000000"/>
                <w:lang w:val="hr-HR"/>
              </w:rPr>
            </w:pPr>
            <w:r w:rsidRPr="00DF4CE5">
              <w:rPr>
                <w:rFonts w:ascii="Cambria" w:eastAsia="Times New Roman" w:hAnsi="Cambria" w:cs="Calibri"/>
                <w:color w:val="000000"/>
                <w:lang w:val="hr-HR"/>
              </w:rPr>
              <w:t>0,7</w:t>
            </w:r>
          </w:p>
        </w:tc>
        <w:tc>
          <w:tcPr>
            <w:tcW w:w="131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E475F26" w14:textId="77777777" w:rsidR="005005C3" w:rsidRPr="00DF4CE5" w:rsidRDefault="005005C3" w:rsidP="0039661B">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50%</w:t>
            </w:r>
          </w:p>
        </w:tc>
      </w:tr>
      <w:tr w:rsidR="005005C3" w:rsidRPr="00DF4CE5" w14:paraId="525A7AD4" w14:textId="77777777" w:rsidTr="005005C3">
        <w:tc>
          <w:tcPr>
            <w:tcW w:w="2623" w:type="dxa"/>
            <w:vMerge/>
            <w:tcBorders>
              <w:left w:val="single" w:sz="8" w:space="0" w:color="000000"/>
              <w:right w:val="single" w:sz="8" w:space="0" w:color="000000"/>
            </w:tcBorders>
            <w:vAlign w:val="center"/>
            <w:hideMark/>
          </w:tcPr>
          <w:p w14:paraId="043300DC" w14:textId="77777777" w:rsidR="005005C3" w:rsidRPr="00DF4CE5" w:rsidRDefault="005005C3" w:rsidP="005005C3">
            <w:pPr>
              <w:spacing w:after="0" w:line="240" w:lineRule="auto"/>
              <w:jc w:val="both"/>
              <w:rPr>
                <w:rFonts w:ascii="Cambria" w:eastAsia="Times New Roman" w:hAnsi="Cambria" w:cs="Calibri"/>
                <w:lang w:val="hr-HR"/>
              </w:rPr>
            </w:pPr>
          </w:p>
        </w:tc>
        <w:tc>
          <w:tcPr>
            <w:tcW w:w="3673"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3B498E4" w14:textId="3F7F134C" w:rsidR="005005C3" w:rsidRPr="00DF4CE5" w:rsidRDefault="007A75FD" w:rsidP="005005C3">
            <w:pPr>
              <w:spacing w:after="0" w:line="240" w:lineRule="auto"/>
              <w:jc w:val="both"/>
              <w:rPr>
                <w:rFonts w:ascii="Cambria" w:eastAsia="Times New Roman" w:hAnsi="Cambria" w:cs="Calibri"/>
                <w:lang w:val="hr-HR"/>
              </w:rPr>
            </w:pPr>
            <w:proofErr w:type="spellStart"/>
            <w:r w:rsidRPr="00DF4CE5">
              <w:rPr>
                <w:rFonts w:ascii="Cambria" w:eastAsia="Times New Roman" w:hAnsi="Cambria" w:cs="Calibri"/>
                <w:lang w:val="it-IT"/>
              </w:rPr>
              <w:t>U</w:t>
            </w:r>
            <w:r w:rsidR="005005C3" w:rsidRPr="00DF4CE5">
              <w:rPr>
                <w:rFonts w:ascii="Cambria" w:eastAsia="Times New Roman" w:hAnsi="Cambria" w:cs="Calibri"/>
                <w:lang w:val="it-IT"/>
              </w:rPr>
              <w:t>kupno</w:t>
            </w:r>
            <w:proofErr w:type="spellEnd"/>
          </w:p>
        </w:tc>
        <w:tc>
          <w:tcPr>
            <w:tcW w:w="71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25A39AC" w14:textId="173FEE56" w:rsidR="005005C3" w:rsidRPr="00DF4CE5" w:rsidRDefault="005005C3" w:rsidP="0039661B">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60</w:t>
            </w:r>
          </w:p>
        </w:tc>
        <w:tc>
          <w:tcPr>
            <w:tcW w:w="101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A6342F7" w14:textId="77777777" w:rsidR="005005C3" w:rsidRPr="00DF4CE5" w:rsidRDefault="005005C3" w:rsidP="0039661B">
            <w:pPr>
              <w:spacing w:after="0" w:line="240" w:lineRule="auto"/>
              <w:jc w:val="center"/>
              <w:rPr>
                <w:rFonts w:ascii="Cambria" w:eastAsia="Times New Roman" w:hAnsi="Cambria" w:cs="Calibri"/>
                <w:color w:val="000000"/>
                <w:lang w:val="hr-HR"/>
              </w:rPr>
            </w:pPr>
            <w:r w:rsidRPr="00DF4CE5">
              <w:rPr>
                <w:rFonts w:ascii="Cambria" w:eastAsia="Times New Roman" w:hAnsi="Cambria" w:cs="Calibri"/>
                <w:color w:val="000000"/>
                <w:lang w:val="hr-HR"/>
              </w:rPr>
              <w:t>2</w:t>
            </w:r>
          </w:p>
        </w:tc>
        <w:tc>
          <w:tcPr>
            <w:tcW w:w="131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D0CE282" w14:textId="77777777" w:rsidR="005005C3" w:rsidRPr="00DF4CE5" w:rsidRDefault="005005C3" w:rsidP="0039661B">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100 %</w:t>
            </w:r>
          </w:p>
        </w:tc>
      </w:tr>
      <w:tr w:rsidR="005005C3" w:rsidRPr="00DF4CE5" w14:paraId="7312E94D" w14:textId="77777777" w:rsidTr="005005C3">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426FC8A" w14:textId="77777777" w:rsidR="005005C3" w:rsidRPr="00DF4CE5" w:rsidRDefault="005005C3" w:rsidP="005005C3">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Studentske obveze</w:t>
            </w:r>
          </w:p>
        </w:tc>
        <w:tc>
          <w:tcPr>
            <w:tcW w:w="671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6B33F0F" w14:textId="77777777" w:rsidR="005005C3" w:rsidRPr="00DF4CE5" w:rsidRDefault="005005C3" w:rsidP="005005C3">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Da položi kolegij, studentica/student mora: </w:t>
            </w:r>
          </w:p>
          <w:p w14:paraId="7586DEEA" w14:textId="04847C11" w:rsidR="005005C3" w:rsidRPr="00DF4CE5" w:rsidRDefault="005005C3" w:rsidP="005005C3">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1. </w:t>
            </w:r>
            <w:r w:rsidR="0039661B">
              <w:rPr>
                <w:rFonts w:ascii="Cambria" w:eastAsia="Times New Roman" w:hAnsi="Cambria" w:cs="Calibri"/>
                <w:lang w:val="hr-HR"/>
              </w:rPr>
              <w:t>r</w:t>
            </w:r>
            <w:r w:rsidRPr="00DF4CE5">
              <w:rPr>
                <w:rFonts w:ascii="Cambria" w:eastAsia="Times New Roman" w:hAnsi="Cambria" w:cs="Calibri"/>
                <w:lang w:val="hr-HR"/>
              </w:rPr>
              <w:t>edovito pratiti nastavu</w:t>
            </w:r>
          </w:p>
          <w:p w14:paraId="5222A740" w14:textId="1136A761" w:rsidR="005005C3" w:rsidRPr="00DF4CE5" w:rsidRDefault="005005C3" w:rsidP="005005C3">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2. </w:t>
            </w:r>
            <w:r w:rsidR="0039661B">
              <w:rPr>
                <w:rFonts w:ascii="Cambria" w:eastAsia="Times New Roman" w:hAnsi="Cambria" w:cs="Calibri"/>
                <w:lang w:val="hr-HR"/>
              </w:rPr>
              <w:t>i</w:t>
            </w:r>
            <w:r w:rsidRPr="00DF4CE5">
              <w:rPr>
                <w:rFonts w:ascii="Cambria" w:eastAsia="Times New Roman" w:hAnsi="Cambria" w:cs="Calibri"/>
                <w:lang w:val="hr-HR"/>
              </w:rPr>
              <w:t xml:space="preserve">zraditi i prezentirati seminarski rad </w:t>
            </w:r>
          </w:p>
          <w:p w14:paraId="16771FFD" w14:textId="76EF54B7" w:rsidR="005005C3" w:rsidRPr="00DF4CE5" w:rsidRDefault="005005C3" w:rsidP="005005C3">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3. </w:t>
            </w:r>
            <w:r w:rsidR="0039661B">
              <w:rPr>
                <w:rFonts w:ascii="Cambria" w:eastAsia="Times New Roman" w:hAnsi="Cambria" w:cs="Calibri"/>
                <w:lang w:val="hr-HR"/>
              </w:rPr>
              <w:t>p</w:t>
            </w:r>
            <w:r w:rsidRPr="00DF4CE5">
              <w:rPr>
                <w:rFonts w:ascii="Cambria" w:eastAsia="Times New Roman" w:hAnsi="Cambria" w:cs="Calibri"/>
                <w:lang w:val="hr-HR"/>
              </w:rPr>
              <w:t>oložiti ispit (pismeni/usmeni).</w:t>
            </w:r>
          </w:p>
        </w:tc>
      </w:tr>
      <w:tr w:rsidR="005005C3" w:rsidRPr="00D0399C" w14:paraId="72EE1D88" w14:textId="77777777" w:rsidTr="005005C3">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78D183F" w14:textId="77777777" w:rsidR="005005C3" w:rsidRPr="00DF4CE5" w:rsidRDefault="005005C3" w:rsidP="005005C3">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Rokovi ispita</w:t>
            </w:r>
          </w:p>
        </w:tc>
        <w:tc>
          <w:tcPr>
            <w:tcW w:w="671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AE80AAB" w14:textId="77777777" w:rsidR="005005C3" w:rsidRPr="00DF4CE5" w:rsidRDefault="005005C3" w:rsidP="005005C3">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Daju se na početku akademske godine, objavljuju se na mrežnim stranicama Sveučilišta i u ISVU.</w:t>
            </w:r>
          </w:p>
        </w:tc>
      </w:tr>
      <w:tr w:rsidR="005005C3" w:rsidRPr="0039661B" w14:paraId="020F3EC6" w14:textId="77777777" w:rsidTr="005005C3">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3EFDB53" w14:textId="77777777" w:rsidR="005005C3" w:rsidRPr="00DF4CE5" w:rsidRDefault="005005C3" w:rsidP="005005C3">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Ostale važne činjenice </w:t>
            </w:r>
            <w:proofErr w:type="spellStart"/>
            <w:r w:rsidRPr="00DF4CE5">
              <w:rPr>
                <w:rFonts w:ascii="Cambria" w:eastAsia="Times New Roman" w:hAnsi="Cambria" w:cs="Calibri"/>
                <w:lang w:val="it-IT"/>
              </w:rPr>
              <w:t>vezane</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uz</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kolegij</w:t>
            </w:r>
            <w:proofErr w:type="spellEnd"/>
          </w:p>
        </w:tc>
        <w:tc>
          <w:tcPr>
            <w:tcW w:w="671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3BDCECE" w14:textId="77777777" w:rsidR="005005C3" w:rsidRPr="00DF4CE5" w:rsidRDefault="005005C3" w:rsidP="005005C3">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Dodatna pojašnjenja:</w:t>
            </w:r>
          </w:p>
          <w:p w14:paraId="73B36B88" w14:textId="77777777" w:rsidR="005005C3" w:rsidRPr="00DF4CE5" w:rsidRDefault="005005C3" w:rsidP="005005C3">
            <w:pPr>
              <w:autoSpaceDE w:val="0"/>
              <w:autoSpaceDN w:val="0"/>
              <w:adjustRightInd w:val="0"/>
              <w:spacing w:after="0" w:line="240" w:lineRule="auto"/>
              <w:jc w:val="both"/>
              <w:rPr>
                <w:rFonts w:ascii="Cambria" w:eastAsia="Times New Roman" w:hAnsi="Cambria" w:cs="Calibri"/>
                <w:lang w:val="hr-HR" w:eastAsia="hr-HR"/>
              </w:rPr>
            </w:pPr>
            <w:r w:rsidRPr="00DF4CE5">
              <w:rPr>
                <w:rFonts w:ascii="Cambria" w:eastAsia="Times New Roman" w:hAnsi="Cambria" w:cs="Calibri"/>
                <w:lang w:val="hr-HR"/>
              </w:rPr>
              <w:t xml:space="preserve">Pohađanje je nastave obvezno. Tolerira se do 30% izostanaka. </w:t>
            </w:r>
          </w:p>
          <w:p w14:paraId="4531312C" w14:textId="77777777" w:rsidR="005005C3" w:rsidRPr="00DF4CE5" w:rsidRDefault="005005C3" w:rsidP="005005C3">
            <w:pPr>
              <w:autoSpaceDE w:val="0"/>
              <w:autoSpaceDN w:val="0"/>
              <w:adjustRightInd w:val="0"/>
              <w:spacing w:after="0" w:line="240" w:lineRule="auto"/>
              <w:jc w:val="both"/>
              <w:rPr>
                <w:rFonts w:ascii="Cambria" w:eastAsia="Times New Roman" w:hAnsi="Cambria" w:cs="Calibri"/>
                <w:lang w:val="hr-HR" w:eastAsia="hr-HR"/>
              </w:rPr>
            </w:pPr>
            <w:r w:rsidRPr="00DF4CE5">
              <w:rPr>
                <w:rFonts w:ascii="Cambria" w:eastAsia="Times New Roman" w:hAnsi="Cambria" w:cs="Calibri"/>
                <w:lang w:val="hr-HR" w:eastAsia="hr-HR"/>
              </w:rPr>
              <w:t>Potrebno je izraditi samostalni zadatak (referat od 5-8 kartica teksta s literaturom i bez osvrta na metodologiju). Napraviti prezentaciju i zadanu teme prezentirati.</w:t>
            </w:r>
          </w:p>
          <w:p w14:paraId="0B384D10" w14:textId="77777777" w:rsidR="005005C3" w:rsidRPr="00DF4CE5" w:rsidRDefault="005005C3" w:rsidP="005005C3">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Kontaktiranje s nastavnikom</w:t>
            </w:r>
          </w:p>
          <w:p w14:paraId="09F11DC2" w14:textId="75585D06" w:rsidR="005005C3" w:rsidRPr="00DF4CE5" w:rsidRDefault="005005C3" w:rsidP="005005C3">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Kontaktiranje s nastavnikom izvan nastave odvija se najčešće u vrijeme konzultacija. Konzultacije mogu biti dogovorene i izvan zadanih termina kada su studenti spriječeni drugim studijskim obvezama. Svakodnevno (dvosmjerno) kontaktiranje omogućuje se elektroničkom poštom. U slučaju održavanja nastave na daljinu, moguće je odstupanje u: mjestu izvođenja kolegija, provedbi aktivnosti, metoda tumačenja i poučavanja i načinima vrednovanja, studentskim obvezama i dostupnoj literaturi. O tome će nositeljica kolegija i </w:t>
            </w:r>
            <w:r w:rsidR="0039661B">
              <w:rPr>
                <w:rFonts w:ascii="Cambria" w:eastAsia="Times New Roman" w:hAnsi="Cambria" w:cs="Calibri"/>
                <w:lang w:val="hr-HR"/>
              </w:rPr>
              <w:t>suradnik</w:t>
            </w:r>
            <w:r w:rsidRPr="00DF4CE5">
              <w:rPr>
                <w:rFonts w:ascii="Cambria" w:eastAsia="Times New Roman" w:hAnsi="Cambria" w:cs="Calibri"/>
                <w:lang w:val="hr-HR"/>
              </w:rPr>
              <w:t xml:space="preserve"> obavijestiti studente i studentice kad se nastava na daljinu počne održavati. Ishodi učenja ostaju nepromijenjeni.</w:t>
            </w:r>
          </w:p>
        </w:tc>
      </w:tr>
      <w:tr w:rsidR="005005C3" w:rsidRPr="00D0399C" w14:paraId="7A358EFA" w14:textId="77777777" w:rsidTr="005005C3">
        <w:trPr>
          <w:trHeight w:val="770"/>
        </w:trPr>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DE7D440" w14:textId="77777777" w:rsidR="005005C3" w:rsidRPr="00DF4CE5" w:rsidRDefault="005005C3" w:rsidP="005005C3">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Literatura</w:t>
            </w:r>
          </w:p>
        </w:tc>
        <w:tc>
          <w:tcPr>
            <w:tcW w:w="6717"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61C65612" w14:textId="77777777" w:rsidR="005005C3" w:rsidRPr="00DF4CE5" w:rsidRDefault="005005C3" w:rsidP="005005C3">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Obvezna: </w:t>
            </w:r>
          </w:p>
          <w:p w14:paraId="10E0D193" w14:textId="77777777" w:rsidR="005005C3" w:rsidRPr="00DF4CE5" w:rsidRDefault="005005C3" w:rsidP="005005C3">
            <w:pPr>
              <w:spacing w:after="0" w:line="240" w:lineRule="auto"/>
              <w:jc w:val="both"/>
              <w:rPr>
                <w:rFonts w:ascii="Cambria" w:eastAsia="Times New Roman" w:hAnsi="Cambria" w:cs="Calibri"/>
                <w:lang w:val="hr-HR" w:eastAsia="hr-HR"/>
              </w:rPr>
            </w:pPr>
            <w:r w:rsidRPr="00DF4CE5">
              <w:rPr>
                <w:rFonts w:ascii="Cambria" w:eastAsia="Times New Roman" w:hAnsi="Cambria" w:cs="Calibri"/>
                <w:lang w:val="hr-HR" w:eastAsia="hr-HR"/>
              </w:rPr>
              <w:t>1.</w:t>
            </w:r>
            <w:r w:rsidRPr="00DF4CE5">
              <w:rPr>
                <w:rFonts w:ascii="Cambria" w:eastAsia="Times New Roman" w:hAnsi="Cambria" w:cs="Calibri"/>
                <w:lang w:val="hr-HR"/>
              </w:rPr>
              <w:t xml:space="preserve"> V. </w:t>
            </w:r>
            <w:proofErr w:type="spellStart"/>
            <w:r w:rsidRPr="00DF4CE5">
              <w:rPr>
                <w:rFonts w:ascii="Cambria" w:eastAsia="Times New Roman" w:hAnsi="Cambria" w:cs="Calibri"/>
                <w:lang w:val="hr-HR"/>
              </w:rPr>
              <w:t>Galešev</w:t>
            </w:r>
            <w:proofErr w:type="spellEnd"/>
            <w:r w:rsidRPr="00DF4CE5">
              <w:rPr>
                <w:rFonts w:ascii="Cambria" w:eastAsia="Times New Roman" w:hAnsi="Cambria" w:cs="Calibri"/>
                <w:lang w:val="hr-HR"/>
              </w:rPr>
              <w:t xml:space="preserve"> i dr. (2006). Informatika i računarstvo: metodički priručnik za nastavnike, </w:t>
            </w:r>
            <w:proofErr w:type="spellStart"/>
            <w:r w:rsidRPr="00DF4CE5">
              <w:rPr>
                <w:rFonts w:ascii="Cambria" w:eastAsia="Times New Roman" w:hAnsi="Cambria" w:cs="Calibri"/>
                <w:lang w:val="hr-HR"/>
              </w:rPr>
              <w:t>SysPrint</w:t>
            </w:r>
            <w:proofErr w:type="spellEnd"/>
            <w:r w:rsidRPr="00DF4CE5">
              <w:rPr>
                <w:rFonts w:ascii="Cambria" w:eastAsia="Times New Roman" w:hAnsi="Cambria" w:cs="Calibri"/>
                <w:lang w:val="hr-HR"/>
              </w:rPr>
              <w:t>, Zagreb.</w:t>
            </w:r>
          </w:p>
          <w:p w14:paraId="1BD4B07F" w14:textId="77777777" w:rsidR="005005C3" w:rsidRPr="00DF4CE5" w:rsidRDefault="005005C3" w:rsidP="005005C3">
            <w:pPr>
              <w:spacing w:after="0" w:line="240" w:lineRule="auto"/>
              <w:jc w:val="both"/>
              <w:rPr>
                <w:rFonts w:ascii="Cambria" w:eastAsia="Times New Roman" w:hAnsi="Cambria" w:cs="Calibri"/>
                <w:lang w:val="hr-HR"/>
              </w:rPr>
            </w:pPr>
            <w:r w:rsidRPr="00DF4CE5">
              <w:rPr>
                <w:rFonts w:ascii="Cambria" w:eastAsia="Times New Roman" w:hAnsi="Cambria" w:cs="Calibri"/>
                <w:lang w:val="hr-HR" w:eastAsia="hr-HR"/>
              </w:rPr>
              <w:t>2. Kurikulum nastavnog predmeta informatika za osnovne i srednje škole</w:t>
            </w:r>
            <w:r w:rsidRPr="00DF4CE5">
              <w:rPr>
                <w:rFonts w:ascii="Cambria" w:eastAsia="Times New Roman" w:hAnsi="Cambria" w:cs="Calibri"/>
                <w:lang w:val="hr-HR"/>
              </w:rPr>
              <w:t xml:space="preserve"> </w:t>
            </w:r>
          </w:p>
          <w:p w14:paraId="4983C58A" w14:textId="354329A1" w:rsidR="005005C3" w:rsidRPr="00DF4CE5" w:rsidRDefault="005005C3" w:rsidP="005005C3">
            <w:pPr>
              <w:spacing w:after="0" w:line="240" w:lineRule="auto"/>
              <w:jc w:val="both"/>
              <w:rPr>
                <w:rFonts w:ascii="Cambria" w:eastAsia="Times New Roman" w:hAnsi="Cambria" w:cs="Calibri"/>
                <w:lang w:val="hr-HR" w:eastAsia="hr-HR"/>
              </w:rPr>
            </w:pPr>
            <w:r w:rsidRPr="00DF4CE5">
              <w:rPr>
                <w:rFonts w:ascii="Cambria" w:eastAsia="Times New Roman" w:hAnsi="Cambria" w:cs="Calibri"/>
                <w:lang w:val="hr-HR"/>
              </w:rPr>
              <w:t>3.</w:t>
            </w:r>
            <w:r w:rsidR="009F0C72" w:rsidRPr="00DF4CE5">
              <w:rPr>
                <w:rFonts w:ascii="Cambria" w:eastAsia="Times New Roman" w:hAnsi="Cambria" w:cs="Calibri"/>
                <w:lang w:val="hr-HR"/>
              </w:rPr>
              <w:t xml:space="preserve"> </w:t>
            </w:r>
            <w:r w:rsidRPr="00DF4CE5">
              <w:rPr>
                <w:rFonts w:ascii="Cambria" w:eastAsia="Times New Roman" w:hAnsi="Cambria" w:cs="Calibri"/>
                <w:lang w:val="hr-HR"/>
              </w:rPr>
              <w:t xml:space="preserve">Bakić-Tomić, </w:t>
            </w:r>
            <w:proofErr w:type="spellStart"/>
            <w:r w:rsidRPr="00DF4CE5">
              <w:rPr>
                <w:rFonts w:ascii="Cambria" w:eastAsia="Times New Roman" w:hAnsi="Cambria" w:cs="Calibri"/>
                <w:lang w:val="hr-HR"/>
              </w:rPr>
              <w:t>Lj</w:t>
            </w:r>
            <w:proofErr w:type="spellEnd"/>
            <w:r w:rsidRPr="00DF4CE5">
              <w:rPr>
                <w:rFonts w:ascii="Cambria" w:eastAsia="Times New Roman" w:hAnsi="Cambria" w:cs="Calibri"/>
                <w:lang w:val="hr-HR"/>
              </w:rPr>
              <w:t xml:space="preserve">., Dumančić, M. (2012). Odabrana poglavlja iz metodike nastave informatike. Sveučilišna skripta. Zagreb: Učiteljski fakultet. Mrežni izvor: </w:t>
            </w:r>
            <w:hyperlink r:id="rId156" w:history="1">
              <w:r w:rsidRPr="00DF4CE5">
                <w:rPr>
                  <w:rFonts w:ascii="Cambria" w:eastAsia="Times New Roman" w:hAnsi="Cambria" w:cs="Calibri"/>
                  <w:lang w:val="hr-HR"/>
                </w:rPr>
                <w:t>http://2co.ufzg.hr/metodika-inf-2-izdanje/UFSKRIPTA_LJBTMD-2.pdf2</w:t>
              </w:r>
            </w:hyperlink>
          </w:p>
          <w:p w14:paraId="5F3E0AF5" w14:textId="77777777" w:rsidR="005005C3" w:rsidRPr="00DF4CE5" w:rsidRDefault="005005C3" w:rsidP="005005C3">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Izborna:</w:t>
            </w:r>
          </w:p>
          <w:p w14:paraId="6A375250" w14:textId="77777777" w:rsidR="005005C3" w:rsidRPr="00DF4CE5" w:rsidRDefault="005005C3" w:rsidP="005005C3">
            <w:pPr>
              <w:autoSpaceDE w:val="0"/>
              <w:autoSpaceDN w:val="0"/>
              <w:adjustRightInd w:val="0"/>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1.Matijević, M., </w:t>
            </w:r>
            <w:proofErr w:type="spellStart"/>
            <w:r w:rsidRPr="00DF4CE5">
              <w:rPr>
                <w:rFonts w:ascii="Cambria" w:eastAsia="Times New Roman" w:hAnsi="Cambria" w:cs="Calibri"/>
                <w:lang w:val="hr-HR"/>
              </w:rPr>
              <w:t>Topolovčan</w:t>
            </w:r>
            <w:proofErr w:type="spellEnd"/>
            <w:r w:rsidRPr="00DF4CE5">
              <w:rPr>
                <w:rFonts w:ascii="Cambria" w:eastAsia="Times New Roman" w:hAnsi="Cambria" w:cs="Calibri"/>
                <w:lang w:val="hr-HR"/>
              </w:rPr>
              <w:t>, T. (2017). Multimedijska didaktika. Zagreb: Školska knjiga.</w:t>
            </w:r>
          </w:p>
          <w:p w14:paraId="675DA3D2" w14:textId="77777777" w:rsidR="005005C3" w:rsidRPr="00DF4CE5" w:rsidRDefault="005005C3" w:rsidP="005005C3">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2. Udžbenici iz informatike za prvi, drugi, treći i četvrti razred osnovne škole</w:t>
            </w:r>
          </w:p>
          <w:p w14:paraId="0E62AA8D" w14:textId="77777777" w:rsidR="005005C3" w:rsidRPr="00DF4CE5" w:rsidRDefault="005005C3" w:rsidP="005005C3">
            <w:pPr>
              <w:spacing w:after="0" w:line="240" w:lineRule="auto"/>
              <w:jc w:val="both"/>
              <w:rPr>
                <w:rFonts w:ascii="Cambria" w:eastAsia="Times New Roman" w:hAnsi="Cambria" w:cs="Calibri"/>
                <w:lang w:val="hr-HR"/>
              </w:rPr>
            </w:pPr>
          </w:p>
        </w:tc>
      </w:tr>
    </w:tbl>
    <w:p w14:paraId="73BB1004" w14:textId="77777777" w:rsidR="002102DE" w:rsidRPr="00DF4CE5" w:rsidRDefault="002102DE" w:rsidP="008B34AF">
      <w:pPr>
        <w:jc w:val="both"/>
        <w:rPr>
          <w:rFonts w:ascii="Cambria" w:hAnsi="Cambria"/>
          <w:lang w:val="hr-HR"/>
        </w:rPr>
      </w:pPr>
    </w:p>
    <w:p w14:paraId="6A626BC0" w14:textId="77777777" w:rsidR="00F92392" w:rsidRPr="00DF4CE5" w:rsidRDefault="00F92392" w:rsidP="008B34AF">
      <w:pPr>
        <w:jc w:val="both"/>
        <w:rPr>
          <w:rFonts w:ascii="Cambria" w:hAnsi="Cambria"/>
          <w:lang w:val="hr-HR"/>
        </w:rPr>
      </w:pPr>
    </w:p>
    <w:p w14:paraId="5CCCA028" w14:textId="77777777" w:rsidR="00BB5099" w:rsidRPr="00DF4CE5" w:rsidRDefault="00BB5099" w:rsidP="008B34AF">
      <w:pPr>
        <w:jc w:val="both"/>
        <w:rPr>
          <w:rFonts w:ascii="Cambria" w:hAnsi="Cambria"/>
          <w:lang w:val="hr-HR"/>
        </w:rPr>
      </w:pPr>
    </w:p>
    <w:p w14:paraId="3128FE97" w14:textId="77777777" w:rsidR="00BB5099" w:rsidRPr="00DF4CE5" w:rsidRDefault="00BB5099" w:rsidP="008B34AF">
      <w:pPr>
        <w:jc w:val="both"/>
        <w:rPr>
          <w:rFonts w:ascii="Cambria" w:hAnsi="Cambria"/>
          <w:lang w:val="hr-HR"/>
        </w:rPr>
      </w:pPr>
    </w:p>
    <w:p w14:paraId="0CBBBB74" w14:textId="77777777" w:rsidR="00BB5099" w:rsidRPr="00DF4CE5" w:rsidRDefault="00BB5099" w:rsidP="008B34AF">
      <w:pPr>
        <w:jc w:val="both"/>
        <w:rPr>
          <w:rFonts w:ascii="Cambria" w:hAnsi="Cambria"/>
          <w:lang w:val="hr-HR"/>
        </w:rPr>
      </w:pPr>
    </w:p>
    <w:p w14:paraId="19130764" w14:textId="77777777" w:rsidR="00BB5099" w:rsidRPr="00DF4CE5" w:rsidRDefault="00BB5099" w:rsidP="008B34AF">
      <w:pPr>
        <w:jc w:val="both"/>
        <w:rPr>
          <w:rFonts w:ascii="Cambria" w:hAnsi="Cambria"/>
          <w:lang w:val="hr-HR"/>
        </w:rPr>
      </w:pPr>
    </w:p>
    <w:p w14:paraId="0A0F4E4A" w14:textId="77777777" w:rsidR="004A100E" w:rsidRPr="00DF4CE5" w:rsidRDefault="004A100E" w:rsidP="008B34AF">
      <w:pPr>
        <w:jc w:val="both"/>
        <w:rPr>
          <w:rFonts w:ascii="Cambria" w:hAnsi="Cambria"/>
          <w:lang w:val="hr-HR"/>
        </w:rPr>
      </w:pPr>
    </w:p>
    <w:p w14:paraId="4C78B44B" w14:textId="77777777" w:rsidR="00BB5099" w:rsidRPr="00DF4CE5" w:rsidRDefault="00BB5099" w:rsidP="008B34AF">
      <w:pPr>
        <w:jc w:val="both"/>
        <w:rPr>
          <w:rFonts w:ascii="Cambria" w:hAnsi="Cambria"/>
          <w:lang w:val="hr-HR"/>
        </w:rPr>
      </w:pPr>
    </w:p>
    <w:p w14:paraId="4DA989D8" w14:textId="77777777" w:rsidR="00BB5099" w:rsidRPr="00DF4CE5" w:rsidRDefault="00BB5099" w:rsidP="008B34AF">
      <w:pPr>
        <w:jc w:val="both"/>
        <w:rPr>
          <w:rFonts w:ascii="Cambria" w:hAnsi="Cambria"/>
          <w:lang w:val="hr-HR"/>
        </w:rPr>
      </w:pPr>
    </w:p>
    <w:tbl>
      <w:tblPr>
        <w:tblW w:w="5000" w:type="pct"/>
        <w:tblLayout w:type="fixed"/>
        <w:tblCellMar>
          <w:left w:w="0" w:type="dxa"/>
          <w:right w:w="0" w:type="dxa"/>
        </w:tblCellMar>
        <w:tblLook w:val="0600" w:firstRow="0" w:lastRow="0" w:firstColumn="0" w:lastColumn="0" w:noHBand="1" w:noVBand="1"/>
      </w:tblPr>
      <w:tblGrid>
        <w:gridCol w:w="2804"/>
        <w:gridCol w:w="2664"/>
        <w:gridCol w:w="105"/>
        <w:gridCol w:w="1163"/>
        <w:gridCol w:w="308"/>
        <w:gridCol w:w="474"/>
        <w:gridCol w:w="1102"/>
        <w:gridCol w:w="1400"/>
      </w:tblGrid>
      <w:tr w:rsidR="00BB5099" w:rsidRPr="00DF4CE5" w14:paraId="0F5EEB9C" w14:textId="77777777" w:rsidTr="00577F4F">
        <w:tc>
          <w:tcPr>
            <w:tcW w:w="9340"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C1A132F" w14:textId="77777777" w:rsidR="00BB5099" w:rsidRPr="00DF4CE5" w:rsidRDefault="00BB5099" w:rsidP="00A12846">
            <w:pPr>
              <w:spacing w:after="0" w:line="240" w:lineRule="auto"/>
              <w:jc w:val="right"/>
              <w:rPr>
                <w:rFonts w:ascii="Cambria" w:eastAsia="Times New Roman" w:hAnsi="Cambria" w:cs="Calibri"/>
                <w:b/>
                <w:lang w:val="hr-HR"/>
              </w:rPr>
            </w:pPr>
            <w:r w:rsidRPr="00DF4CE5">
              <w:rPr>
                <w:rFonts w:ascii="Cambria" w:eastAsia="Times New Roman" w:hAnsi="Cambria" w:cs="Calibri"/>
                <w:b/>
                <w:lang w:val="hr-HR"/>
              </w:rPr>
              <w:lastRenderedPageBreak/>
              <w:t>IZVEDBENI PLAN NASTAVE KOLEGIJA</w:t>
            </w:r>
          </w:p>
        </w:tc>
      </w:tr>
      <w:tr w:rsidR="00BB5099" w:rsidRPr="00DF4CE5" w14:paraId="2D606C3B" w14:textId="77777777" w:rsidTr="00577F4F">
        <w:tc>
          <w:tcPr>
            <w:tcW w:w="261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7818B20" w14:textId="77777777" w:rsidR="00BB5099" w:rsidRPr="00DF4CE5" w:rsidRDefault="00BB5099"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Kod i naziv kolegija</w:t>
            </w:r>
          </w:p>
        </w:tc>
        <w:tc>
          <w:tcPr>
            <w:tcW w:w="672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FC32117" w14:textId="77777777" w:rsidR="00BB5099" w:rsidRPr="00DF4CE5" w:rsidRDefault="00BB5099"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85806</w:t>
            </w:r>
          </w:p>
          <w:p w14:paraId="0BD960BA" w14:textId="77DFFF73" w:rsidR="00BB5099" w:rsidRPr="00DF4CE5" w:rsidRDefault="00BB5099"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Baze podataka</w:t>
            </w:r>
          </w:p>
        </w:tc>
      </w:tr>
      <w:tr w:rsidR="00BB5099" w:rsidRPr="00D0399C" w14:paraId="35F17EA1" w14:textId="77777777" w:rsidTr="00577F4F">
        <w:tc>
          <w:tcPr>
            <w:tcW w:w="261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ECD6F0E" w14:textId="77777777" w:rsidR="00BB5099" w:rsidRDefault="00BB5099"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Nastavnica </w:t>
            </w:r>
          </w:p>
          <w:p w14:paraId="0A6B1940" w14:textId="5161CB00" w:rsidR="00E93B72" w:rsidRPr="00DF4CE5" w:rsidRDefault="00E93B72" w:rsidP="008B34AF">
            <w:pPr>
              <w:spacing w:after="0" w:line="240" w:lineRule="auto"/>
              <w:jc w:val="both"/>
              <w:rPr>
                <w:rFonts w:ascii="Cambria" w:eastAsia="Times New Roman" w:hAnsi="Cambria" w:cs="Calibri"/>
                <w:lang w:val="hr-HR"/>
              </w:rPr>
            </w:pPr>
            <w:r>
              <w:rPr>
                <w:rFonts w:ascii="Cambria" w:eastAsia="Times New Roman" w:hAnsi="Cambria" w:cs="Calibri"/>
                <w:lang w:val="hr-HR"/>
              </w:rPr>
              <w:t>Suradnik</w:t>
            </w:r>
          </w:p>
        </w:tc>
        <w:tc>
          <w:tcPr>
            <w:tcW w:w="672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36AA364" w14:textId="721E2292" w:rsidR="0039661B" w:rsidRDefault="0039661B" w:rsidP="0039661B">
            <w:pPr>
              <w:spacing w:after="0" w:line="240" w:lineRule="auto"/>
              <w:rPr>
                <w:rFonts w:ascii="Cambria" w:hAnsi="Cambria"/>
                <w:lang w:val="hr-HR"/>
              </w:rPr>
            </w:pPr>
            <w:hyperlink r:id="rId157" w:history="1">
              <w:r w:rsidRPr="00E93B72">
                <w:rPr>
                  <w:rStyle w:val="Hiperveza"/>
                  <w:rFonts w:ascii="Cambria" w:hAnsi="Cambria"/>
                  <w:lang w:val="hr-HR"/>
                </w:rPr>
                <w:t>Naslovna d</w:t>
              </w:r>
              <w:r w:rsidRPr="00E93B72">
                <w:rPr>
                  <w:rStyle w:val="Hiperveza"/>
                  <w:rFonts w:ascii="Cambria" w:hAnsi="Cambria" w:cs="Calibri"/>
                  <w:lang w:val="hr-HR"/>
                </w:rPr>
                <w:t xml:space="preserve">oc. dr. sc. Elena </w:t>
              </w:r>
              <w:proofErr w:type="spellStart"/>
              <w:r w:rsidRPr="00E93B72">
                <w:rPr>
                  <w:rStyle w:val="Hiperveza"/>
                  <w:rFonts w:ascii="Cambria" w:hAnsi="Cambria" w:cs="Calibri"/>
                  <w:lang w:val="hr-HR"/>
                </w:rPr>
                <w:t>Krelja</w:t>
              </w:r>
              <w:proofErr w:type="spellEnd"/>
              <w:r w:rsidRPr="00E93B72">
                <w:rPr>
                  <w:rStyle w:val="Hiperveza"/>
                  <w:rFonts w:ascii="Cambria" w:hAnsi="Cambria" w:cs="Calibri"/>
                  <w:lang w:val="hr-HR"/>
                </w:rPr>
                <w:t xml:space="preserve"> </w:t>
              </w:r>
              <w:proofErr w:type="spellStart"/>
              <w:r w:rsidRPr="00E93B72">
                <w:rPr>
                  <w:rStyle w:val="Hiperveza"/>
                  <w:rFonts w:ascii="Cambria" w:hAnsi="Cambria" w:cs="Calibri"/>
                  <w:lang w:val="hr-HR"/>
                </w:rPr>
                <w:t>Kurelović</w:t>
              </w:r>
              <w:proofErr w:type="spellEnd"/>
            </w:hyperlink>
            <w:r w:rsidR="00E93B72">
              <w:rPr>
                <w:rFonts w:ascii="Cambria" w:hAnsi="Cambria"/>
                <w:lang w:val="hr-HR"/>
              </w:rPr>
              <w:t xml:space="preserve"> </w:t>
            </w:r>
            <w:r w:rsidR="00E93B72">
              <w:rPr>
                <w:rFonts w:ascii="Cambria" w:eastAsia="Times New Roman" w:hAnsi="Cambria" w:cs="Calibri"/>
                <w:lang w:val="hr-HR"/>
              </w:rPr>
              <w:t>(nositeljica)</w:t>
            </w:r>
          </w:p>
          <w:p w14:paraId="26AF80EB" w14:textId="384636DC" w:rsidR="00BB5099" w:rsidRPr="00E93B72" w:rsidRDefault="00E93B72" w:rsidP="00E93B72">
            <w:pPr>
              <w:spacing w:after="0" w:line="240" w:lineRule="auto"/>
              <w:rPr>
                <w:rFonts w:ascii="Cambria" w:hAnsi="Cambria" w:cs="Calibri"/>
                <w:lang w:val="hr-HR"/>
              </w:rPr>
            </w:pPr>
            <w:hyperlink r:id="rId158" w:history="1">
              <w:r w:rsidRPr="00E93B72">
                <w:rPr>
                  <w:rStyle w:val="Hiperveza"/>
                  <w:rFonts w:ascii="Cambria" w:hAnsi="Cambria" w:cs="Calibri"/>
                  <w:lang w:val="hr-HR"/>
                </w:rPr>
                <w:t xml:space="preserve">Igor </w:t>
              </w:r>
              <w:proofErr w:type="spellStart"/>
              <w:r w:rsidRPr="00E93B72">
                <w:rPr>
                  <w:rStyle w:val="Hiperveza"/>
                  <w:rFonts w:ascii="Cambria" w:hAnsi="Cambria" w:cs="Calibri"/>
                  <w:lang w:val="hr-HR"/>
                </w:rPr>
                <w:t>Dobrača</w:t>
              </w:r>
              <w:proofErr w:type="spellEnd"/>
              <w:r w:rsidRPr="00E93B72">
                <w:rPr>
                  <w:rStyle w:val="Hiperveza"/>
                  <w:rFonts w:ascii="Cambria" w:hAnsi="Cambria" w:cs="Calibri"/>
                  <w:lang w:val="hr-HR"/>
                </w:rPr>
                <w:t>, naslovni v. pred.</w:t>
              </w:r>
            </w:hyperlink>
            <w:r>
              <w:rPr>
                <w:rFonts w:ascii="Cambria" w:hAnsi="Cambria" w:cs="Calibri"/>
                <w:lang w:val="hr-HR"/>
              </w:rPr>
              <w:t xml:space="preserve"> </w:t>
            </w:r>
          </w:p>
        </w:tc>
      </w:tr>
      <w:tr w:rsidR="00BB5099" w:rsidRPr="00D0399C" w14:paraId="22EB8F5F" w14:textId="77777777" w:rsidTr="00577F4F">
        <w:tc>
          <w:tcPr>
            <w:tcW w:w="261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C93B65E" w14:textId="77777777" w:rsidR="00BB5099" w:rsidRPr="00DF4CE5" w:rsidRDefault="00BB5099"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Studijski program</w:t>
            </w:r>
          </w:p>
        </w:tc>
        <w:tc>
          <w:tcPr>
            <w:tcW w:w="672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9C7D964" w14:textId="77777777" w:rsidR="00BB5099" w:rsidRPr="00DF4CE5" w:rsidRDefault="00734AC9"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Sveučilišni integrirani prijediplomski i diplomski Učiteljski studij na hrvatskom jeziku</w:t>
            </w:r>
          </w:p>
        </w:tc>
      </w:tr>
      <w:tr w:rsidR="00BB5099" w:rsidRPr="00DF4CE5" w14:paraId="1946E979" w14:textId="77777777" w:rsidTr="00577F4F">
        <w:tc>
          <w:tcPr>
            <w:tcW w:w="261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1E7F246" w14:textId="77777777" w:rsidR="00BB5099" w:rsidRPr="00DF4CE5" w:rsidRDefault="00BB5099"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Vrsta kolegija</w:t>
            </w:r>
          </w:p>
        </w:tc>
        <w:tc>
          <w:tcPr>
            <w:tcW w:w="248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A463B32" w14:textId="77777777" w:rsidR="00BB5099" w:rsidRPr="00DF4CE5" w:rsidRDefault="00BB5099"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izborni</w:t>
            </w:r>
          </w:p>
        </w:tc>
        <w:tc>
          <w:tcPr>
            <w:tcW w:w="1469"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7359F036" w14:textId="77777777" w:rsidR="00BB5099" w:rsidRPr="00DF4CE5" w:rsidRDefault="00BB5099"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Razina kolegija</w:t>
            </w:r>
          </w:p>
        </w:tc>
        <w:tc>
          <w:tcPr>
            <w:tcW w:w="2774"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C613BFB" w14:textId="41E04A83" w:rsidR="00BB5099" w:rsidRPr="00DF4CE5" w:rsidRDefault="0039661B" w:rsidP="008B34AF">
            <w:pPr>
              <w:spacing w:after="0" w:line="240" w:lineRule="auto"/>
              <w:jc w:val="both"/>
              <w:rPr>
                <w:rFonts w:ascii="Cambria" w:eastAsia="Times New Roman" w:hAnsi="Cambria" w:cs="Calibri"/>
                <w:lang w:val="hr-HR"/>
              </w:rPr>
            </w:pPr>
            <w:r>
              <w:rPr>
                <w:rFonts w:ascii="Cambria" w:eastAsia="Times New Roman" w:hAnsi="Cambria" w:cs="Calibri"/>
                <w:lang w:val="hr-HR"/>
              </w:rPr>
              <w:t>i</w:t>
            </w:r>
            <w:r w:rsidR="00BB5099" w:rsidRPr="00DF4CE5">
              <w:rPr>
                <w:rFonts w:ascii="Cambria" w:eastAsia="Times New Roman" w:hAnsi="Cambria" w:cs="Calibri"/>
                <w:lang w:val="hr-HR"/>
              </w:rPr>
              <w:t>ntegrirani</w:t>
            </w:r>
          </w:p>
        </w:tc>
      </w:tr>
      <w:tr w:rsidR="00BB5099" w:rsidRPr="00DF4CE5" w14:paraId="355F5642" w14:textId="77777777" w:rsidTr="00577F4F">
        <w:tc>
          <w:tcPr>
            <w:tcW w:w="261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0777FE7" w14:textId="77777777" w:rsidR="00BB5099" w:rsidRPr="00DF4CE5" w:rsidRDefault="00BB5099"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Semestar</w:t>
            </w:r>
          </w:p>
        </w:tc>
        <w:tc>
          <w:tcPr>
            <w:tcW w:w="248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3729C8F" w14:textId="77777777" w:rsidR="00BB5099" w:rsidRPr="00DF4CE5" w:rsidRDefault="00BB5099"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ljetni</w:t>
            </w:r>
          </w:p>
        </w:tc>
        <w:tc>
          <w:tcPr>
            <w:tcW w:w="1469"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2EECD30C" w14:textId="77777777" w:rsidR="00BB5099" w:rsidRPr="00DF4CE5" w:rsidRDefault="00BB5099"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Godina studija</w:t>
            </w:r>
          </w:p>
        </w:tc>
        <w:tc>
          <w:tcPr>
            <w:tcW w:w="2774"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E693692" w14:textId="77777777" w:rsidR="00BB5099" w:rsidRPr="00DF4CE5" w:rsidRDefault="00BB5099"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IV.</w:t>
            </w:r>
          </w:p>
        </w:tc>
      </w:tr>
      <w:tr w:rsidR="00BB5099" w:rsidRPr="00DF4CE5" w14:paraId="6FD95394" w14:textId="77777777" w:rsidTr="00577F4F">
        <w:tc>
          <w:tcPr>
            <w:tcW w:w="261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57CE5F0" w14:textId="77777777" w:rsidR="00BB5099" w:rsidRPr="00DF4CE5" w:rsidRDefault="00BB5099"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Mjesto izvođenja</w:t>
            </w:r>
          </w:p>
        </w:tc>
        <w:tc>
          <w:tcPr>
            <w:tcW w:w="248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38DF85C" w14:textId="747083B4" w:rsidR="00BB5099" w:rsidRPr="00DF4CE5" w:rsidRDefault="00DB0462" w:rsidP="008B34AF">
            <w:pPr>
              <w:spacing w:after="0" w:line="240" w:lineRule="auto"/>
              <w:jc w:val="both"/>
              <w:rPr>
                <w:rFonts w:ascii="Cambria" w:eastAsia="Times New Roman" w:hAnsi="Cambria" w:cs="Calibri"/>
                <w:lang w:val="hr-HR"/>
              </w:rPr>
            </w:pPr>
            <w:r>
              <w:rPr>
                <w:rFonts w:ascii="Cambria" w:eastAsia="Times New Roman" w:hAnsi="Cambria" w:cs="Calibri"/>
                <w:lang w:val="hr-HR"/>
              </w:rPr>
              <w:t>informatička učionica</w:t>
            </w:r>
          </w:p>
        </w:tc>
        <w:tc>
          <w:tcPr>
            <w:tcW w:w="1469"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387DC8E6" w14:textId="77777777" w:rsidR="00BB5099" w:rsidRPr="00DF4CE5" w:rsidRDefault="00BB5099"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Jezik izvođenja (drugi jezici)</w:t>
            </w:r>
          </w:p>
        </w:tc>
        <w:tc>
          <w:tcPr>
            <w:tcW w:w="2774"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C90F379" w14:textId="7E37134F" w:rsidR="00BB5099" w:rsidRPr="00DF4CE5" w:rsidRDefault="00DB0462" w:rsidP="008B34AF">
            <w:pPr>
              <w:spacing w:after="0" w:line="240" w:lineRule="auto"/>
              <w:jc w:val="both"/>
              <w:rPr>
                <w:rFonts w:ascii="Cambria" w:eastAsia="Times New Roman" w:hAnsi="Cambria" w:cs="Calibri"/>
                <w:lang w:val="hr-HR"/>
              </w:rPr>
            </w:pPr>
            <w:r>
              <w:rPr>
                <w:rFonts w:ascii="Cambria" w:eastAsia="Times New Roman" w:hAnsi="Cambria" w:cs="Calibri"/>
                <w:lang w:val="hr-HR"/>
              </w:rPr>
              <w:t>hr</w:t>
            </w:r>
            <w:r w:rsidR="00BB5099" w:rsidRPr="00DF4CE5">
              <w:rPr>
                <w:rFonts w:ascii="Cambria" w:eastAsia="Times New Roman" w:hAnsi="Cambria" w:cs="Calibri"/>
                <w:lang w:val="hr-HR"/>
              </w:rPr>
              <w:t>vatski</w:t>
            </w:r>
          </w:p>
        </w:tc>
      </w:tr>
      <w:tr w:rsidR="00BB5099" w:rsidRPr="00DF4CE5" w14:paraId="778E3133" w14:textId="77777777" w:rsidTr="00577F4F">
        <w:tc>
          <w:tcPr>
            <w:tcW w:w="261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F6840CF" w14:textId="77777777" w:rsidR="00BB5099" w:rsidRPr="00DF4CE5" w:rsidRDefault="00BB5099"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Broj ECTS bodova</w:t>
            </w:r>
          </w:p>
        </w:tc>
        <w:tc>
          <w:tcPr>
            <w:tcW w:w="248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D8B42B4" w14:textId="77777777" w:rsidR="00BB5099" w:rsidRPr="00DF4CE5" w:rsidRDefault="00BB5099"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2</w:t>
            </w:r>
          </w:p>
        </w:tc>
        <w:tc>
          <w:tcPr>
            <w:tcW w:w="1469"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428AD6D2" w14:textId="77777777" w:rsidR="00BB5099" w:rsidRPr="00DF4CE5" w:rsidRDefault="00BB5099"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Broj sati u semestru</w:t>
            </w:r>
          </w:p>
        </w:tc>
        <w:tc>
          <w:tcPr>
            <w:tcW w:w="2774"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360118D" w14:textId="2427F90E" w:rsidR="00BB5099" w:rsidRPr="00DF4CE5" w:rsidRDefault="00BB5099"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15P – </w:t>
            </w:r>
            <w:r w:rsidR="00481108" w:rsidRPr="00DF4CE5">
              <w:rPr>
                <w:rFonts w:ascii="Cambria" w:eastAsia="Times New Roman" w:hAnsi="Cambria" w:cs="Calibri"/>
                <w:lang w:val="hr-HR"/>
              </w:rPr>
              <w:t>0S</w:t>
            </w:r>
            <w:r w:rsidRPr="00DF4CE5">
              <w:rPr>
                <w:rFonts w:ascii="Cambria" w:eastAsia="Times New Roman" w:hAnsi="Cambria" w:cs="Calibri"/>
                <w:lang w:val="hr-HR"/>
              </w:rPr>
              <w:t xml:space="preserve"> – </w:t>
            </w:r>
            <w:r w:rsidR="00481108" w:rsidRPr="00DF4CE5">
              <w:rPr>
                <w:rFonts w:ascii="Cambria" w:eastAsia="Times New Roman" w:hAnsi="Cambria" w:cs="Calibri"/>
                <w:lang w:val="hr-HR"/>
              </w:rPr>
              <w:t>15V</w:t>
            </w:r>
          </w:p>
        </w:tc>
      </w:tr>
      <w:tr w:rsidR="00BB5099" w:rsidRPr="00D0399C" w14:paraId="12CEBCA7" w14:textId="77777777" w:rsidTr="00577F4F">
        <w:tc>
          <w:tcPr>
            <w:tcW w:w="261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5026FB5" w14:textId="77777777" w:rsidR="00BB5099" w:rsidRPr="00DF4CE5" w:rsidRDefault="00BB5099"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Preduvjeti za upis i za svladavanje</w:t>
            </w:r>
          </w:p>
        </w:tc>
        <w:tc>
          <w:tcPr>
            <w:tcW w:w="672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9844818" w14:textId="77777777" w:rsidR="00BB5099" w:rsidRPr="00DF4CE5" w:rsidRDefault="00BB5099"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Odslušani kolegij Informatika. Drugi preduvjeti nisu potrebni.</w:t>
            </w:r>
          </w:p>
        </w:tc>
      </w:tr>
      <w:tr w:rsidR="00BB5099" w:rsidRPr="00DF4CE5" w14:paraId="117584A8" w14:textId="77777777" w:rsidTr="00577F4F">
        <w:tc>
          <w:tcPr>
            <w:tcW w:w="261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02816C8" w14:textId="77777777" w:rsidR="00BB5099" w:rsidRPr="00DF4CE5" w:rsidRDefault="00BB5099" w:rsidP="008B34AF">
            <w:pPr>
              <w:spacing w:after="0" w:line="240" w:lineRule="auto"/>
              <w:jc w:val="both"/>
              <w:rPr>
                <w:rFonts w:ascii="Cambria" w:eastAsia="Times New Roman" w:hAnsi="Cambria" w:cs="Calibri"/>
                <w:lang w:val="hr-HR"/>
              </w:rPr>
            </w:pPr>
            <w:proofErr w:type="spellStart"/>
            <w:r w:rsidRPr="00DF4CE5">
              <w:rPr>
                <w:rFonts w:ascii="Cambria" w:eastAsia="Times New Roman" w:hAnsi="Cambria" w:cs="Calibri"/>
                <w:lang w:val="hr-HR"/>
              </w:rPr>
              <w:t>Korelativnost</w:t>
            </w:r>
            <w:proofErr w:type="spellEnd"/>
          </w:p>
        </w:tc>
        <w:tc>
          <w:tcPr>
            <w:tcW w:w="672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CFEAE67" w14:textId="77777777" w:rsidR="00BB5099" w:rsidRPr="00DF4CE5" w:rsidRDefault="00BB5099"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Informatika  </w:t>
            </w:r>
          </w:p>
        </w:tc>
      </w:tr>
      <w:tr w:rsidR="00BB5099" w:rsidRPr="00D0399C" w14:paraId="61C0D67D" w14:textId="77777777" w:rsidTr="00577F4F">
        <w:tc>
          <w:tcPr>
            <w:tcW w:w="261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46ECF56" w14:textId="77777777" w:rsidR="00BB5099" w:rsidRPr="00DF4CE5" w:rsidRDefault="00BB5099"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Cilj kolegija </w:t>
            </w:r>
          </w:p>
        </w:tc>
        <w:tc>
          <w:tcPr>
            <w:tcW w:w="672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A14F9D3" w14:textId="77777777" w:rsidR="00BB5099" w:rsidRPr="00DF4CE5" w:rsidRDefault="00BB5099" w:rsidP="00151A64">
            <w:pPr>
              <w:spacing w:after="0" w:line="240" w:lineRule="auto"/>
              <w:contextualSpacing/>
              <w:jc w:val="both"/>
              <w:rPr>
                <w:rFonts w:ascii="Cambria" w:eastAsia="Calibri" w:hAnsi="Cambria" w:cs="Calibri"/>
                <w:lang w:val="hr-HR"/>
              </w:rPr>
            </w:pPr>
            <w:r w:rsidRPr="00DF4CE5">
              <w:rPr>
                <w:rFonts w:ascii="Cambria" w:eastAsia="Calibri" w:hAnsi="Cambria" w:cs="Calibri"/>
                <w:lang w:val="hr-HR"/>
              </w:rPr>
              <w:t>Razumjeti pojam baze podataka, koristiti MS Access za izradu baze podataka i upoznati relacijske i objektno orijentirane baze podataka.</w:t>
            </w:r>
          </w:p>
        </w:tc>
      </w:tr>
      <w:tr w:rsidR="00BB5099" w:rsidRPr="00DF4CE5" w14:paraId="548D7B8D" w14:textId="77777777" w:rsidTr="00577F4F">
        <w:tc>
          <w:tcPr>
            <w:tcW w:w="261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DF15426" w14:textId="77777777" w:rsidR="00BB5099" w:rsidRPr="00DF4CE5" w:rsidRDefault="00BB5099"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Ishodi učenja</w:t>
            </w:r>
          </w:p>
        </w:tc>
        <w:tc>
          <w:tcPr>
            <w:tcW w:w="672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E360E5E" w14:textId="77777777" w:rsidR="00BB5099" w:rsidRPr="00DF4CE5" w:rsidRDefault="00BB5099" w:rsidP="00A034E3">
            <w:pPr>
              <w:numPr>
                <w:ilvl w:val="0"/>
                <w:numId w:val="47"/>
              </w:numPr>
              <w:spacing w:after="0" w:line="240" w:lineRule="auto"/>
              <w:ind w:left="429"/>
              <w:contextualSpacing/>
              <w:jc w:val="both"/>
              <w:rPr>
                <w:rFonts w:ascii="Cambria" w:eastAsia="Calibri" w:hAnsi="Cambria" w:cs="Calibri"/>
                <w:lang w:val="hr-HR"/>
              </w:rPr>
            </w:pPr>
            <w:r w:rsidRPr="00DF4CE5">
              <w:rPr>
                <w:rFonts w:ascii="Cambria" w:eastAsia="Calibri" w:hAnsi="Cambria" w:cs="Calibri"/>
                <w:lang w:val="hr-HR"/>
              </w:rPr>
              <w:t>razumjeti osnovnu terminologiju baza podataka</w:t>
            </w:r>
          </w:p>
          <w:p w14:paraId="2AD220D0" w14:textId="77777777" w:rsidR="00BB5099" w:rsidRPr="00DF4CE5" w:rsidRDefault="00BB5099" w:rsidP="00A034E3">
            <w:pPr>
              <w:numPr>
                <w:ilvl w:val="0"/>
                <w:numId w:val="47"/>
              </w:numPr>
              <w:spacing w:after="0" w:line="240" w:lineRule="auto"/>
              <w:ind w:left="429"/>
              <w:contextualSpacing/>
              <w:jc w:val="both"/>
              <w:rPr>
                <w:rFonts w:ascii="Cambria" w:eastAsia="Calibri" w:hAnsi="Cambria" w:cs="Calibri"/>
                <w:lang w:val="hr-HR"/>
              </w:rPr>
            </w:pPr>
            <w:r w:rsidRPr="00DF4CE5">
              <w:rPr>
                <w:rFonts w:ascii="Cambria" w:eastAsia="Calibri" w:hAnsi="Cambria" w:cs="Calibri"/>
                <w:lang w:val="hr-HR"/>
              </w:rPr>
              <w:t xml:space="preserve">razumjeti organizaciju baze podataka </w:t>
            </w:r>
          </w:p>
          <w:p w14:paraId="5A419E5B" w14:textId="77777777" w:rsidR="00BB5099" w:rsidRPr="00DF4CE5" w:rsidRDefault="00BB5099" w:rsidP="00A034E3">
            <w:pPr>
              <w:numPr>
                <w:ilvl w:val="0"/>
                <w:numId w:val="47"/>
              </w:numPr>
              <w:spacing w:after="0" w:line="240" w:lineRule="auto"/>
              <w:ind w:left="429"/>
              <w:contextualSpacing/>
              <w:jc w:val="both"/>
              <w:rPr>
                <w:rFonts w:ascii="Cambria" w:eastAsia="Calibri" w:hAnsi="Cambria" w:cs="Calibri"/>
                <w:lang w:val="hr-HR"/>
              </w:rPr>
            </w:pPr>
            <w:r w:rsidRPr="00DF4CE5">
              <w:rPr>
                <w:rFonts w:ascii="Cambria" w:eastAsia="Calibri" w:hAnsi="Cambria" w:cs="Calibri"/>
                <w:lang w:val="hr-HR"/>
              </w:rPr>
              <w:t>izraditi jednostavne SQL  upite</w:t>
            </w:r>
          </w:p>
          <w:p w14:paraId="2264FE40" w14:textId="77777777" w:rsidR="00BB5099" w:rsidRPr="00DF4CE5" w:rsidRDefault="00BB5099" w:rsidP="00A034E3">
            <w:pPr>
              <w:numPr>
                <w:ilvl w:val="0"/>
                <w:numId w:val="47"/>
              </w:numPr>
              <w:spacing w:after="0" w:line="240" w:lineRule="auto"/>
              <w:ind w:left="429"/>
              <w:contextualSpacing/>
              <w:jc w:val="both"/>
              <w:rPr>
                <w:rFonts w:ascii="Cambria" w:eastAsia="Calibri" w:hAnsi="Cambria" w:cs="Calibri"/>
                <w:lang w:val="hr-HR"/>
              </w:rPr>
            </w:pPr>
            <w:r w:rsidRPr="00DF4CE5">
              <w:rPr>
                <w:rFonts w:ascii="Cambria" w:eastAsia="Calibri" w:hAnsi="Cambria" w:cs="Calibri"/>
                <w:lang w:val="hr-HR"/>
              </w:rPr>
              <w:t xml:space="preserve">dizajnirati bazu podataka kroz Access </w:t>
            </w:r>
          </w:p>
          <w:p w14:paraId="177A9406" w14:textId="77777777" w:rsidR="00BB5099" w:rsidRPr="00DF4CE5" w:rsidRDefault="00BB5099" w:rsidP="00A034E3">
            <w:pPr>
              <w:numPr>
                <w:ilvl w:val="0"/>
                <w:numId w:val="47"/>
              </w:numPr>
              <w:spacing w:after="0" w:line="240" w:lineRule="auto"/>
              <w:ind w:left="429"/>
              <w:contextualSpacing/>
              <w:jc w:val="both"/>
              <w:rPr>
                <w:rFonts w:ascii="Cambria" w:eastAsia="Calibri" w:hAnsi="Cambria" w:cs="Calibri"/>
                <w:lang w:val="hr-HR"/>
              </w:rPr>
            </w:pPr>
            <w:r w:rsidRPr="00DF4CE5">
              <w:rPr>
                <w:rFonts w:ascii="Cambria" w:eastAsia="Calibri" w:hAnsi="Cambria" w:cs="Calibri"/>
                <w:lang w:val="hr-HR"/>
              </w:rPr>
              <w:t>koristiti neke od modula Access baze podataka</w:t>
            </w:r>
          </w:p>
        </w:tc>
      </w:tr>
      <w:tr w:rsidR="00BB5099" w:rsidRPr="00DF4CE5" w14:paraId="16C5CC18" w14:textId="77777777" w:rsidTr="00577F4F">
        <w:tc>
          <w:tcPr>
            <w:tcW w:w="2614"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52C9B41A" w14:textId="77777777" w:rsidR="00BB5099" w:rsidRPr="00DF4CE5" w:rsidRDefault="00BB5099"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Sadržaj kolegija</w:t>
            </w:r>
          </w:p>
        </w:tc>
        <w:tc>
          <w:tcPr>
            <w:tcW w:w="6726"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F0F2828" w14:textId="77777777" w:rsidR="00BB5099" w:rsidRPr="00DF4CE5" w:rsidRDefault="00BB5099"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Predavanja:</w:t>
            </w:r>
          </w:p>
          <w:p w14:paraId="238450CA" w14:textId="77777777" w:rsidR="00BB5099" w:rsidRPr="00DF4CE5" w:rsidRDefault="00BB5099" w:rsidP="00A034E3">
            <w:pPr>
              <w:numPr>
                <w:ilvl w:val="0"/>
                <w:numId w:val="48"/>
              </w:numPr>
              <w:spacing w:after="0" w:line="240" w:lineRule="auto"/>
              <w:contextualSpacing/>
              <w:jc w:val="both"/>
              <w:rPr>
                <w:rFonts w:ascii="Cambria" w:eastAsia="Calibri" w:hAnsi="Cambria" w:cs="Calibri"/>
                <w:lang w:val="hr-HR"/>
              </w:rPr>
            </w:pPr>
            <w:r w:rsidRPr="00DF4CE5">
              <w:rPr>
                <w:rFonts w:ascii="Cambria" w:eastAsia="Calibri" w:hAnsi="Cambria" w:cs="Calibri"/>
                <w:lang w:val="hr-HR"/>
              </w:rPr>
              <w:t>Pojmovi: baza podataka, tablica, slog, polje, vrste i svojstva polja</w:t>
            </w:r>
          </w:p>
          <w:p w14:paraId="261C0916" w14:textId="77777777" w:rsidR="00BB5099" w:rsidRPr="00DF4CE5" w:rsidRDefault="00BB5099" w:rsidP="00A034E3">
            <w:pPr>
              <w:numPr>
                <w:ilvl w:val="0"/>
                <w:numId w:val="48"/>
              </w:numPr>
              <w:spacing w:after="0" w:line="240" w:lineRule="auto"/>
              <w:contextualSpacing/>
              <w:jc w:val="both"/>
              <w:rPr>
                <w:rFonts w:ascii="Cambria" w:eastAsia="Calibri" w:hAnsi="Cambria" w:cs="Calibri"/>
                <w:lang w:val="hr-HR"/>
              </w:rPr>
            </w:pPr>
            <w:r w:rsidRPr="00DF4CE5">
              <w:rPr>
                <w:rFonts w:ascii="Cambria" w:eastAsia="Calibri" w:hAnsi="Cambria" w:cs="Calibri"/>
                <w:lang w:val="hr-HR"/>
              </w:rPr>
              <w:t>Entitet, atribut i vrijednost atributa</w:t>
            </w:r>
          </w:p>
          <w:p w14:paraId="1C955135" w14:textId="77777777" w:rsidR="00BB5099" w:rsidRPr="00DF4CE5" w:rsidRDefault="00BB5099" w:rsidP="00A034E3">
            <w:pPr>
              <w:numPr>
                <w:ilvl w:val="0"/>
                <w:numId w:val="48"/>
              </w:numPr>
              <w:spacing w:after="0" w:line="240" w:lineRule="auto"/>
              <w:contextualSpacing/>
              <w:jc w:val="both"/>
              <w:rPr>
                <w:rFonts w:ascii="Cambria" w:eastAsia="Calibri" w:hAnsi="Cambria" w:cs="Calibri"/>
                <w:lang w:val="hr-HR"/>
              </w:rPr>
            </w:pPr>
            <w:r w:rsidRPr="00DF4CE5">
              <w:rPr>
                <w:rFonts w:ascii="Cambria" w:eastAsia="Calibri" w:hAnsi="Cambria" w:cs="Calibri"/>
                <w:lang w:val="hr-HR"/>
              </w:rPr>
              <w:t>Tablični prikaz informacija i povezivanje tablica u bazi podataka: primarni ključ, indeks, relacije</w:t>
            </w:r>
          </w:p>
          <w:p w14:paraId="27592B48" w14:textId="77777777" w:rsidR="00BB5099" w:rsidRPr="00DF4CE5" w:rsidRDefault="00BB5099" w:rsidP="00A034E3">
            <w:pPr>
              <w:numPr>
                <w:ilvl w:val="0"/>
                <w:numId w:val="48"/>
              </w:numPr>
              <w:spacing w:after="0" w:line="240" w:lineRule="auto"/>
              <w:contextualSpacing/>
              <w:jc w:val="both"/>
              <w:rPr>
                <w:rFonts w:ascii="Cambria" w:eastAsia="Calibri" w:hAnsi="Cambria" w:cs="Calibri"/>
                <w:lang w:val="hr-HR"/>
              </w:rPr>
            </w:pPr>
            <w:r w:rsidRPr="00DF4CE5">
              <w:rPr>
                <w:rFonts w:ascii="Cambria" w:eastAsia="Calibri" w:hAnsi="Cambria" w:cs="Calibri"/>
                <w:lang w:val="hr-HR"/>
              </w:rPr>
              <w:t>Upitni jezik za rad s bazama (SQL)</w:t>
            </w:r>
          </w:p>
          <w:p w14:paraId="22DE3882" w14:textId="77777777" w:rsidR="00BB5099" w:rsidRPr="00DF4CE5" w:rsidRDefault="00BB5099" w:rsidP="00A034E3">
            <w:pPr>
              <w:numPr>
                <w:ilvl w:val="0"/>
                <w:numId w:val="48"/>
              </w:numPr>
              <w:spacing w:after="0" w:line="240" w:lineRule="auto"/>
              <w:contextualSpacing/>
              <w:jc w:val="both"/>
              <w:rPr>
                <w:rFonts w:ascii="Cambria" w:eastAsia="Calibri" w:hAnsi="Cambria" w:cs="Calibri"/>
                <w:lang w:val="hr-HR"/>
              </w:rPr>
            </w:pPr>
            <w:r w:rsidRPr="00DF4CE5">
              <w:rPr>
                <w:rFonts w:ascii="Cambria" w:eastAsia="Calibri" w:hAnsi="Cambria" w:cs="Calibri"/>
                <w:lang w:val="hr-HR"/>
              </w:rPr>
              <w:t xml:space="preserve">Programska podrška za baze podataka. Primjeri u MS Access programu.  </w:t>
            </w:r>
          </w:p>
          <w:p w14:paraId="768C8165" w14:textId="3629F967" w:rsidR="00BB5099" w:rsidRPr="0039661B" w:rsidRDefault="00BB5099" w:rsidP="00A034E3">
            <w:pPr>
              <w:numPr>
                <w:ilvl w:val="0"/>
                <w:numId w:val="48"/>
              </w:numPr>
              <w:spacing w:after="0" w:line="240" w:lineRule="auto"/>
              <w:contextualSpacing/>
              <w:jc w:val="both"/>
              <w:rPr>
                <w:rFonts w:ascii="Cambria" w:eastAsia="Calibri" w:hAnsi="Cambria" w:cs="Calibri"/>
                <w:lang w:val="hr-HR"/>
              </w:rPr>
            </w:pPr>
            <w:r w:rsidRPr="00DF4CE5">
              <w:rPr>
                <w:rFonts w:ascii="Cambria" w:eastAsia="Calibri" w:hAnsi="Cambria" w:cs="Calibri"/>
                <w:lang w:val="hr-HR"/>
              </w:rPr>
              <w:t>Objektno orijentirane baze podataka. Objekti i klase</w:t>
            </w:r>
          </w:p>
          <w:p w14:paraId="074CE632" w14:textId="77777777" w:rsidR="00BB5099" w:rsidRPr="00DF4CE5" w:rsidRDefault="00BB5099" w:rsidP="008B34AF">
            <w:pPr>
              <w:autoSpaceDE w:val="0"/>
              <w:autoSpaceDN w:val="0"/>
              <w:adjustRightInd w:val="0"/>
              <w:spacing w:before="20" w:after="20" w:line="240" w:lineRule="auto"/>
              <w:jc w:val="both"/>
              <w:rPr>
                <w:rFonts w:ascii="Cambria" w:eastAsia="Times New Roman" w:hAnsi="Cambria" w:cs="Calibri"/>
                <w:lang w:val="hr-HR"/>
              </w:rPr>
            </w:pPr>
            <w:r w:rsidRPr="00DF4CE5">
              <w:rPr>
                <w:rFonts w:ascii="Cambria" w:eastAsia="Times New Roman" w:hAnsi="Cambria" w:cs="Calibri"/>
                <w:lang w:val="hr-HR"/>
              </w:rPr>
              <w:t xml:space="preserve">Vježbe: </w:t>
            </w:r>
          </w:p>
          <w:p w14:paraId="2C27D239" w14:textId="77777777" w:rsidR="00BB5099" w:rsidRPr="00DF4CE5" w:rsidRDefault="00BB5099" w:rsidP="00A034E3">
            <w:pPr>
              <w:numPr>
                <w:ilvl w:val="0"/>
                <w:numId w:val="49"/>
              </w:numPr>
              <w:spacing w:after="0" w:line="240" w:lineRule="auto"/>
              <w:contextualSpacing/>
              <w:jc w:val="both"/>
              <w:rPr>
                <w:rFonts w:ascii="Cambria" w:eastAsia="Calibri" w:hAnsi="Cambria" w:cs="Calibri"/>
                <w:lang w:val="hr-HR"/>
              </w:rPr>
            </w:pPr>
            <w:r w:rsidRPr="00DF4CE5">
              <w:rPr>
                <w:rFonts w:ascii="Cambria" w:eastAsia="Calibri" w:hAnsi="Cambria" w:cs="Calibri"/>
                <w:lang w:val="hr-HR"/>
              </w:rPr>
              <w:t>Izrada baze podataka u MS Accessu</w:t>
            </w:r>
          </w:p>
          <w:p w14:paraId="5D18AD86" w14:textId="41758B6B" w:rsidR="00BB5099" w:rsidRPr="0039661B" w:rsidRDefault="00BB5099" w:rsidP="00A034E3">
            <w:pPr>
              <w:numPr>
                <w:ilvl w:val="0"/>
                <w:numId w:val="49"/>
              </w:numPr>
              <w:spacing w:after="0" w:line="240" w:lineRule="auto"/>
              <w:contextualSpacing/>
              <w:jc w:val="both"/>
              <w:rPr>
                <w:rFonts w:ascii="Cambria" w:eastAsia="Calibri" w:hAnsi="Cambria" w:cs="Calibri"/>
                <w:lang w:val="hr-HR"/>
              </w:rPr>
            </w:pPr>
            <w:r w:rsidRPr="00DF4CE5">
              <w:rPr>
                <w:rFonts w:ascii="Cambria" w:eastAsia="Calibri" w:hAnsi="Cambria" w:cs="Calibri"/>
                <w:lang w:val="hr-HR"/>
              </w:rPr>
              <w:t>Izrada jednostavnijeg informacijskog sustava</w:t>
            </w:r>
          </w:p>
        </w:tc>
      </w:tr>
      <w:tr w:rsidR="00BB5099" w:rsidRPr="00DF4CE5" w14:paraId="6DC61041" w14:textId="77777777" w:rsidTr="00577F4F">
        <w:tc>
          <w:tcPr>
            <w:tcW w:w="2614"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hideMark/>
          </w:tcPr>
          <w:p w14:paraId="3D33631A" w14:textId="77777777" w:rsidR="00BB5099" w:rsidRPr="00DF4CE5" w:rsidRDefault="00BB5099"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Planirane aktivnosti,</w:t>
            </w:r>
          </w:p>
          <w:p w14:paraId="776DA0A1" w14:textId="77777777" w:rsidR="00BB5099" w:rsidRPr="00DF4CE5" w:rsidRDefault="00BB5099"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metode učenja i poučavanja i načini vrednovanja</w:t>
            </w:r>
          </w:p>
        </w:tc>
        <w:tc>
          <w:tcPr>
            <w:tcW w:w="258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3B82591" w14:textId="77777777" w:rsidR="00BB5099" w:rsidRPr="00DF4CE5" w:rsidRDefault="00BB5099" w:rsidP="008B34AF">
            <w:pPr>
              <w:spacing w:after="0" w:line="240" w:lineRule="auto"/>
              <w:jc w:val="both"/>
              <w:rPr>
                <w:rFonts w:ascii="Cambria" w:eastAsia="Times New Roman" w:hAnsi="Cambria" w:cs="Calibri"/>
                <w:lang w:val="hr-HR"/>
              </w:rPr>
            </w:pPr>
            <w:r w:rsidRPr="00DF4CE5">
              <w:rPr>
                <w:rFonts w:ascii="Cambria" w:eastAsia="Times New Roman" w:hAnsi="Cambria" w:cs="Calibri"/>
                <w:bCs/>
                <w:lang w:val="hr-HR"/>
              </w:rPr>
              <w:t>Obveze</w:t>
            </w:r>
          </w:p>
        </w:tc>
        <w:tc>
          <w:tcPr>
            <w:tcW w:w="10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A8606DE" w14:textId="77777777" w:rsidR="00BB5099" w:rsidRPr="00DF4CE5" w:rsidRDefault="00BB5099" w:rsidP="008B34AF">
            <w:pPr>
              <w:spacing w:after="0" w:line="240" w:lineRule="auto"/>
              <w:jc w:val="both"/>
              <w:rPr>
                <w:rFonts w:ascii="Cambria" w:eastAsia="Times New Roman" w:hAnsi="Cambria" w:cs="Calibri"/>
                <w:lang w:val="hr-HR"/>
              </w:rPr>
            </w:pPr>
            <w:r w:rsidRPr="00DF4CE5">
              <w:rPr>
                <w:rFonts w:ascii="Cambria" w:eastAsia="Times New Roman" w:hAnsi="Cambria" w:cs="Calibri"/>
                <w:bCs/>
                <w:lang w:val="hr-HR"/>
              </w:rPr>
              <w:t>Ishodi</w:t>
            </w:r>
          </w:p>
        </w:tc>
        <w:tc>
          <w:tcPr>
            <w:tcW w:w="72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2C2284C" w14:textId="77777777" w:rsidR="00BB5099" w:rsidRPr="00DF4CE5" w:rsidRDefault="00BB5099" w:rsidP="008B34AF">
            <w:pPr>
              <w:spacing w:after="0" w:line="240" w:lineRule="auto"/>
              <w:jc w:val="both"/>
              <w:rPr>
                <w:rFonts w:ascii="Cambria" w:eastAsia="Times New Roman" w:hAnsi="Cambria" w:cs="Calibri"/>
                <w:lang w:val="hr-HR"/>
              </w:rPr>
            </w:pPr>
            <w:r w:rsidRPr="00DF4CE5">
              <w:rPr>
                <w:rFonts w:ascii="Cambria" w:eastAsia="Times New Roman" w:hAnsi="Cambria" w:cs="Calibri"/>
                <w:bCs/>
                <w:lang w:val="hr-HR"/>
              </w:rPr>
              <w:t>Sati</w:t>
            </w:r>
          </w:p>
        </w:tc>
        <w:tc>
          <w:tcPr>
            <w:tcW w:w="10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D90C78B" w14:textId="77777777" w:rsidR="00BB5099" w:rsidRPr="00DF4CE5" w:rsidRDefault="00BB5099" w:rsidP="008B34AF">
            <w:pPr>
              <w:spacing w:after="0" w:line="240" w:lineRule="auto"/>
              <w:jc w:val="both"/>
              <w:rPr>
                <w:rFonts w:ascii="Cambria" w:eastAsia="Times New Roman" w:hAnsi="Cambria" w:cs="Calibri"/>
                <w:lang w:val="hr-HR"/>
              </w:rPr>
            </w:pPr>
            <w:r w:rsidRPr="00DF4CE5">
              <w:rPr>
                <w:rFonts w:ascii="Cambria" w:eastAsia="Times New Roman" w:hAnsi="Cambria" w:cs="Calibri"/>
                <w:bCs/>
                <w:lang w:val="hr-HR"/>
              </w:rPr>
              <w:t>ECTS</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6441AD4" w14:textId="77777777" w:rsidR="00BB5099" w:rsidRPr="00DF4CE5" w:rsidRDefault="00BB5099" w:rsidP="008B34AF">
            <w:pPr>
              <w:spacing w:after="0" w:line="240" w:lineRule="auto"/>
              <w:jc w:val="both"/>
              <w:rPr>
                <w:rFonts w:ascii="Cambria" w:eastAsia="Times New Roman" w:hAnsi="Cambria" w:cs="Calibri"/>
                <w:lang w:val="hr-HR"/>
              </w:rPr>
            </w:pPr>
            <w:r w:rsidRPr="00DF4CE5">
              <w:rPr>
                <w:rFonts w:ascii="Cambria" w:eastAsia="Times New Roman" w:hAnsi="Cambria" w:cs="Calibri"/>
                <w:bCs/>
                <w:lang w:val="hr-HR"/>
              </w:rPr>
              <w:t>Maksimalni udio u ocjeni (%)</w:t>
            </w:r>
          </w:p>
        </w:tc>
      </w:tr>
      <w:tr w:rsidR="00577F4F" w:rsidRPr="00DF4CE5" w14:paraId="333242CD" w14:textId="77777777" w:rsidTr="00577F4F">
        <w:tc>
          <w:tcPr>
            <w:tcW w:w="2614" w:type="dxa"/>
            <w:vMerge/>
            <w:tcBorders>
              <w:left w:val="single" w:sz="8" w:space="0" w:color="000000"/>
              <w:right w:val="single" w:sz="8" w:space="0" w:color="000000"/>
            </w:tcBorders>
            <w:vAlign w:val="center"/>
            <w:hideMark/>
          </w:tcPr>
          <w:p w14:paraId="626A7443" w14:textId="77777777" w:rsidR="00577F4F" w:rsidRPr="00DF4CE5" w:rsidRDefault="00577F4F" w:rsidP="00577F4F">
            <w:pPr>
              <w:spacing w:after="0" w:line="240" w:lineRule="auto"/>
              <w:jc w:val="both"/>
              <w:rPr>
                <w:rFonts w:ascii="Cambria" w:eastAsia="Times New Roman" w:hAnsi="Cambria" w:cs="Calibri"/>
                <w:lang w:val="hr-HR"/>
              </w:rPr>
            </w:pPr>
          </w:p>
        </w:tc>
        <w:tc>
          <w:tcPr>
            <w:tcW w:w="258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8FB28D9" w14:textId="082F9CA0" w:rsidR="00577F4F" w:rsidRPr="0039661B" w:rsidRDefault="00577F4F" w:rsidP="00577F4F">
            <w:pPr>
              <w:spacing w:after="0" w:line="240" w:lineRule="auto"/>
              <w:jc w:val="both"/>
              <w:rPr>
                <w:rFonts w:ascii="Cambria" w:eastAsia="Times New Roman" w:hAnsi="Cambria" w:cs="Calibri"/>
                <w:lang w:val="it-IT"/>
              </w:rPr>
            </w:pPr>
            <w:proofErr w:type="spellStart"/>
            <w:r w:rsidRPr="0039661B">
              <w:rPr>
                <w:rFonts w:ascii="Cambria" w:eastAsia="Times New Roman" w:hAnsi="Cambria" w:cs="Calibri"/>
                <w:lang w:val="it-IT"/>
              </w:rPr>
              <w:t>aktivnost</w:t>
            </w:r>
            <w:proofErr w:type="spellEnd"/>
            <w:r w:rsidRPr="0039661B">
              <w:rPr>
                <w:rFonts w:ascii="Cambria" w:eastAsia="Times New Roman" w:hAnsi="Cambria" w:cs="Calibri"/>
                <w:lang w:val="it-IT"/>
              </w:rPr>
              <w:t xml:space="preserve"> </w:t>
            </w:r>
            <w:proofErr w:type="spellStart"/>
            <w:r w:rsidRPr="0039661B">
              <w:rPr>
                <w:rFonts w:ascii="Cambria" w:eastAsia="Times New Roman" w:hAnsi="Cambria" w:cs="Calibri"/>
                <w:lang w:val="it-IT"/>
              </w:rPr>
              <w:t>na</w:t>
            </w:r>
            <w:proofErr w:type="spellEnd"/>
            <w:r w:rsidRPr="0039661B">
              <w:rPr>
                <w:rFonts w:ascii="Cambria" w:eastAsia="Times New Roman" w:hAnsi="Cambria" w:cs="Calibri"/>
                <w:lang w:val="it-IT"/>
              </w:rPr>
              <w:t xml:space="preserve"> </w:t>
            </w:r>
            <w:proofErr w:type="spellStart"/>
            <w:r w:rsidRPr="0039661B">
              <w:rPr>
                <w:rFonts w:ascii="Cambria" w:eastAsia="Times New Roman" w:hAnsi="Cambria" w:cs="Calibri"/>
                <w:lang w:val="it-IT"/>
              </w:rPr>
              <w:t>nastavi</w:t>
            </w:r>
            <w:proofErr w:type="spellEnd"/>
            <w:r w:rsidR="0039661B" w:rsidRPr="0039661B">
              <w:rPr>
                <w:rFonts w:ascii="Cambria" w:eastAsia="Times New Roman" w:hAnsi="Cambria" w:cs="Calibri"/>
                <w:lang w:val="it-IT"/>
              </w:rPr>
              <w:t xml:space="preserve"> (P, V</w:t>
            </w:r>
            <w:r w:rsidR="0039661B">
              <w:rPr>
                <w:rFonts w:ascii="Cambria" w:eastAsia="Times New Roman" w:hAnsi="Cambria" w:cs="Calibri"/>
                <w:lang w:val="it-IT"/>
              </w:rPr>
              <w:t>)</w:t>
            </w:r>
          </w:p>
        </w:tc>
        <w:tc>
          <w:tcPr>
            <w:tcW w:w="10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65AE5FF" w14:textId="77777777" w:rsidR="00577F4F" w:rsidRPr="00DF4CE5" w:rsidRDefault="00577F4F" w:rsidP="00577F4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1. – 3.</w:t>
            </w:r>
          </w:p>
        </w:tc>
        <w:tc>
          <w:tcPr>
            <w:tcW w:w="72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8364752" w14:textId="64D313EF" w:rsidR="00577F4F" w:rsidRPr="00DF4CE5" w:rsidRDefault="00577F4F" w:rsidP="00577F4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23</w:t>
            </w:r>
          </w:p>
        </w:tc>
        <w:tc>
          <w:tcPr>
            <w:tcW w:w="10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55AECE8" w14:textId="77777777" w:rsidR="00577F4F" w:rsidRPr="00DF4CE5" w:rsidRDefault="00577F4F" w:rsidP="00577F4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0,8</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C3F4B22" w14:textId="77777777" w:rsidR="00577F4F" w:rsidRPr="00DF4CE5" w:rsidRDefault="00577F4F" w:rsidP="00577F4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5%</w:t>
            </w:r>
          </w:p>
        </w:tc>
      </w:tr>
      <w:tr w:rsidR="00BB5099" w:rsidRPr="00DF4CE5" w14:paraId="54B2CC99" w14:textId="77777777" w:rsidTr="00577F4F">
        <w:trPr>
          <w:trHeight w:val="444"/>
        </w:trPr>
        <w:tc>
          <w:tcPr>
            <w:tcW w:w="2614" w:type="dxa"/>
            <w:vMerge/>
            <w:tcBorders>
              <w:left w:val="single" w:sz="8" w:space="0" w:color="000000"/>
              <w:right w:val="single" w:sz="8" w:space="0" w:color="000000"/>
            </w:tcBorders>
            <w:vAlign w:val="center"/>
            <w:hideMark/>
          </w:tcPr>
          <w:p w14:paraId="2A397815" w14:textId="77777777" w:rsidR="00BB5099" w:rsidRPr="00DF4CE5" w:rsidRDefault="00BB5099" w:rsidP="008B34AF">
            <w:pPr>
              <w:spacing w:after="0" w:line="240" w:lineRule="auto"/>
              <w:jc w:val="both"/>
              <w:rPr>
                <w:rFonts w:ascii="Cambria" w:eastAsia="Times New Roman" w:hAnsi="Cambria" w:cs="Calibri"/>
                <w:lang w:val="hr-HR"/>
              </w:rPr>
            </w:pPr>
          </w:p>
        </w:tc>
        <w:tc>
          <w:tcPr>
            <w:tcW w:w="258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9C08DA6" w14:textId="63139F33" w:rsidR="00BB5099" w:rsidRPr="00DF4CE5" w:rsidRDefault="0039661B" w:rsidP="008B34AF">
            <w:pPr>
              <w:spacing w:after="0" w:line="240" w:lineRule="auto"/>
              <w:jc w:val="both"/>
              <w:rPr>
                <w:rFonts w:ascii="Cambria" w:eastAsia="Times New Roman" w:hAnsi="Cambria" w:cs="Calibri"/>
                <w:lang w:val="hr-HR"/>
              </w:rPr>
            </w:pPr>
            <w:r>
              <w:rPr>
                <w:rFonts w:ascii="Cambria" w:eastAsia="Times New Roman" w:hAnsi="Cambria" w:cs="Calibri"/>
                <w:lang w:val="hr-HR"/>
              </w:rPr>
              <w:t>i</w:t>
            </w:r>
            <w:r w:rsidR="00BB5099" w:rsidRPr="00DF4CE5">
              <w:rPr>
                <w:rFonts w:ascii="Cambria" w:eastAsia="Times New Roman" w:hAnsi="Cambria" w:cs="Calibri"/>
                <w:lang w:val="hr-HR"/>
              </w:rPr>
              <w:t xml:space="preserve">zrada  i izlaganje seminara </w:t>
            </w:r>
          </w:p>
        </w:tc>
        <w:tc>
          <w:tcPr>
            <w:tcW w:w="10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B071934" w14:textId="77777777" w:rsidR="00BB5099" w:rsidRPr="00DF4CE5" w:rsidRDefault="00BB5099"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1. – 3.</w:t>
            </w:r>
          </w:p>
        </w:tc>
        <w:tc>
          <w:tcPr>
            <w:tcW w:w="72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A5EE27F" w14:textId="77777777" w:rsidR="00BB5099" w:rsidRPr="00DF4CE5" w:rsidRDefault="00BB5099"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9</w:t>
            </w:r>
          </w:p>
        </w:tc>
        <w:tc>
          <w:tcPr>
            <w:tcW w:w="10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523C653" w14:textId="77777777" w:rsidR="00BB5099" w:rsidRPr="00DF4CE5" w:rsidRDefault="00BB5099"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0,3</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87C5416" w14:textId="77777777" w:rsidR="00BB5099" w:rsidRPr="00DF4CE5" w:rsidRDefault="00BB5099"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15%</w:t>
            </w:r>
          </w:p>
        </w:tc>
      </w:tr>
      <w:tr w:rsidR="00BB5099" w:rsidRPr="00DF4CE5" w14:paraId="6F91BD72" w14:textId="77777777" w:rsidTr="00577F4F">
        <w:trPr>
          <w:trHeight w:val="259"/>
        </w:trPr>
        <w:tc>
          <w:tcPr>
            <w:tcW w:w="2614" w:type="dxa"/>
            <w:vMerge/>
            <w:tcBorders>
              <w:left w:val="single" w:sz="8" w:space="0" w:color="000000"/>
              <w:right w:val="single" w:sz="8" w:space="0" w:color="000000"/>
            </w:tcBorders>
            <w:vAlign w:val="center"/>
            <w:hideMark/>
          </w:tcPr>
          <w:p w14:paraId="6A5FE61E" w14:textId="77777777" w:rsidR="00BB5099" w:rsidRPr="00DF4CE5" w:rsidRDefault="00BB5099" w:rsidP="008B34AF">
            <w:pPr>
              <w:spacing w:after="0" w:line="240" w:lineRule="auto"/>
              <w:jc w:val="both"/>
              <w:rPr>
                <w:rFonts w:ascii="Cambria" w:eastAsia="Times New Roman" w:hAnsi="Cambria" w:cs="Calibri"/>
                <w:lang w:val="hr-HR"/>
              </w:rPr>
            </w:pPr>
          </w:p>
        </w:tc>
        <w:tc>
          <w:tcPr>
            <w:tcW w:w="258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C0BF33F" w14:textId="6368713A" w:rsidR="00BB5099" w:rsidRPr="00DF4CE5" w:rsidRDefault="00BB5099" w:rsidP="0039661B">
            <w:pPr>
              <w:spacing w:after="0" w:line="240" w:lineRule="auto"/>
              <w:rPr>
                <w:rFonts w:ascii="Cambria" w:eastAsia="Times New Roman" w:hAnsi="Cambria" w:cs="Calibri"/>
                <w:lang w:val="hr-HR"/>
              </w:rPr>
            </w:pPr>
            <w:r w:rsidRPr="00DF4CE5">
              <w:rPr>
                <w:rFonts w:ascii="Cambria" w:eastAsia="Times New Roman" w:hAnsi="Cambria" w:cs="Calibri"/>
                <w:lang w:val="hr-HR"/>
              </w:rPr>
              <w:t xml:space="preserve">izrada baze podataka i modula (izvješća, upiti, </w:t>
            </w:r>
            <w:r w:rsidRPr="00DF4CE5">
              <w:rPr>
                <w:rFonts w:ascii="Cambria" w:eastAsia="Times New Roman" w:hAnsi="Cambria" w:cs="Calibri"/>
                <w:lang w:val="hr-HR"/>
              </w:rPr>
              <w:lastRenderedPageBreak/>
              <w:t xml:space="preserve">obrasci) u Accessu </w:t>
            </w:r>
            <w:r w:rsidR="007A75FD" w:rsidRPr="00DF4CE5">
              <w:rPr>
                <w:rFonts w:ascii="Cambria" w:eastAsia="Times New Roman" w:hAnsi="Cambria" w:cs="Calibri"/>
                <w:lang w:val="hr-HR"/>
              </w:rPr>
              <w:t>–</w:t>
            </w:r>
            <w:r w:rsidRPr="00DF4CE5">
              <w:rPr>
                <w:rFonts w:ascii="Cambria" w:eastAsia="Times New Roman" w:hAnsi="Cambria" w:cs="Calibri"/>
                <w:lang w:val="hr-HR"/>
              </w:rPr>
              <w:t xml:space="preserve"> praktično</w:t>
            </w:r>
          </w:p>
        </w:tc>
        <w:tc>
          <w:tcPr>
            <w:tcW w:w="10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17FBCBB" w14:textId="77777777" w:rsidR="00BB5099" w:rsidRPr="00DF4CE5" w:rsidRDefault="00BB5099"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lastRenderedPageBreak/>
              <w:t>3. – 5.</w:t>
            </w:r>
          </w:p>
        </w:tc>
        <w:tc>
          <w:tcPr>
            <w:tcW w:w="72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C785415" w14:textId="3D70BF9F" w:rsidR="00BB5099" w:rsidRPr="00DF4CE5" w:rsidRDefault="00BB5099"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2</w:t>
            </w:r>
            <w:r w:rsidR="006913BF" w:rsidRPr="00DF4CE5">
              <w:rPr>
                <w:rFonts w:ascii="Cambria" w:eastAsia="Times New Roman" w:hAnsi="Cambria" w:cs="Calibri"/>
                <w:lang w:val="hr-HR"/>
              </w:rPr>
              <w:t>8</w:t>
            </w:r>
          </w:p>
        </w:tc>
        <w:tc>
          <w:tcPr>
            <w:tcW w:w="10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F3E9719" w14:textId="77777777" w:rsidR="00BB5099" w:rsidRPr="00DF4CE5" w:rsidRDefault="00BB5099"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0,9</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F378261" w14:textId="77777777" w:rsidR="00BB5099" w:rsidRPr="00DF4CE5" w:rsidRDefault="00BB5099"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80%</w:t>
            </w:r>
          </w:p>
        </w:tc>
      </w:tr>
      <w:tr w:rsidR="00BB5099" w:rsidRPr="00DF4CE5" w14:paraId="2C5590AA" w14:textId="77777777" w:rsidTr="00577F4F">
        <w:trPr>
          <w:trHeight w:val="326"/>
        </w:trPr>
        <w:tc>
          <w:tcPr>
            <w:tcW w:w="2614" w:type="dxa"/>
            <w:vMerge/>
            <w:tcBorders>
              <w:left w:val="single" w:sz="8" w:space="0" w:color="000000"/>
              <w:right w:val="single" w:sz="8" w:space="0" w:color="000000"/>
            </w:tcBorders>
            <w:vAlign w:val="center"/>
            <w:hideMark/>
          </w:tcPr>
          <w:p w14:paraId="451DA212" w14:textId="77777777" w:rsidR="00BB5099" w:rsidRPr="00DF4CE5" w:rsidRDefault="00BB5099" w:rsidP="008B34AF">
            <w:pPr>
              <w:spacing w:after="0" w:line="240" w:lineRule="auto"/>
              <w:jc w:val="both"/>
              <w:rPr>
                <w:rFonts w:ascii="Cambria" w:eastAsia="Times New Roman" w:hAnsi="Cambria" w:cs="Calibri"/>
                <w:lang w:val="hr-HR"/>
              </w:rPr>
            </w:pPr>
          </w:p>
        </w:tc>
        <w:tc>
          <w:tcPr>
            <w:tcW w:w="3665" w:type="dxa"/>
            <w:gridSpan w:val="3"/>
            <w:tcBorders>
              <w:top w:val="single" w:sz="8" w:space="0" w:color="000000"/>
              <w:left w:val="single" w:sz="8" w:space="0" w:color="000000"/>
              <w:right w:val="single" w:sz="8" w:space="0" w:color="000000"/>
            </w:tcBorders>
            <w:tcMar>
              <w:top w:w="15" w:type="dxa"/>
              <w:left w:w="108" w:type="dxa"/>
              <w:bottom w:w="0" w:type="dxa"/>
              <w:right w:w="108" w:type="dxa"/>
            </w:tcMar>
            <w:hideMark/>
          </w:tcPr>
          <w:p w14:paraId="1CDF567F" w14:textId="6547B698" w:rsidR="00BB5099" w:rsidRPr="00DF4CE5" w:rsidRDefault="0039661B" w:rsidP="008B34AF">
            <w:pPr>
              <w:spacing w:after="0" w:line="240" w:lineRule="auto"/>
              <w:jc w:val="both"/>
              <w:rPr>
                <w:rFonts w:ascii="Cambria" w:eastAsia="Times New Roman" w:hAnsi="Cambria" w:cs="Calibri"/>
                <w:lang w:val="hr-HR"/>
              </w:rPr>
            </w:pPr>
            <w:r>
              <w:rPr>
                <w:rFonts w:ascii="Cambria" w:eastAsia="Times New Roman" w:hAnsi="Cambria" w:cs="Calibri"/>
                <w:lang w:val="hr-HR"/>
              </w:rPr>
              <w:t>u</w:t>
            </w:r>
            <w:r w:rsidR="00BB5099" w:rsidRPr="00DF4CE5">
              <w:rPr>
                <w:rFonts w:ascii="Cambria" w:eastAsia="Times New Roman" w:hAnsi="Cambria" w:cs="Calibri"/>
                <w:lang w:val="hr-HR"/>
              </w:rPr>
              <w:t>kupno</w:t>
            </w:r>
          </w:p>
        </w:tc>
        <w:tc>
          <w:tcPr>
            <w:tcW w:w="729" w:type="dxa"/>
            <w:gridSpan w:val="2"/>
            <w:tcBorders>
              <w:top w:val="single" w:sz="8" w:space="0" w:color="000000"/>
              <w:left w:val="single" w:sz="8" w:space="0" w:color="000000"/>
              <w:right w:val="single" w:sz="8" w:space="0" w:color="000000"/>
            </w:tcBorders>
            <w:tcMar>
              <w:top w:w="15" w:type="dxa"/>
              <w:left w:w="108" w:type="dxa"/>
              <w:bottom w:w="0" w:type="dxa"/>
              <w:right w:w="108" w:type="dxa"/>
            </w:tcMar>
            <w:vAlign w:val="center"/>
            <w:hideMark/>
          </w:tcPr>
          <w:p w14:paraId="3F060454" w14:textId="1956E5DF" w:rsidR="00BB5099" w:rsidRPr="00DF4CE5" w:rsidRDefault="00BB5099"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6</w:t>
            </w:r>
            <w:r w:rsidR="006913BF" w:rsidRPr="00DF4CE5">
              <w:rPr>
                <w:rFonts w:ascii="Cambria" w:eastAsia="Times New Roman" w:hAnsi="Cambria" w:cs="Calibri"/>
                <w:lang w:val="hr-HR"/>
              </w:rPr>
              <w:t>0</w:t>
            </w:r>
          </w:p>
        </w:tc>
        <w:tc>
          <w:tcPr>
            <w:tcW w:w="1027" w:type="dxa"/>
            <w:tcBorders>
              <w:top w:val="single" w:sz="8" w:space="0" w:color="000000"/>
              <w:left w:val="single" w:sz="8" w:space="0" w:color="000000"/>
              <w:right w:val="single" w:sz="8" w:space="0" w:color="000000"/>
            </w:tcBorders>
            <w:tcMar>
              <w:top w:w="15" w:type="dxa"/>
              <w:left w:w="108" w:type="dxa"/>
              <w:bottom w:w="0" w:type="dxa"/>
              <w:right w:w="108" w:type="dxa"/>
            </w:tcMar>
            <w:vAlign w:val="center"/>
            <w:hideMark/>
          </w:tcPr>
          <w:p w14:paraId="64E0DB36" w14:textId="77777777" w:rsidR="00BB5099" w:rsidRPr="00DF4CE5" w:rsidRDefault="00BB5099"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2</w:t>
            </w:r>
          </w:p>
        </w:tc>
        <w:tc>
          <w:tcPr>
            <w:tcW w:w="1305" w:type="dxa"/>
            <w:tcBorders>
              <w:top w:val="single" w:sz="8" w:space="0" w:color="000000"/>
              <w:left w:val="single" w:sz="8" w:space="0" w:color="000000"/>
              <w:right w:val="single" w:sz="8" w:space="0" w:color="000000"/>
            </w:tcBorders>
            <w:tcMar>
              <w:top w:w="15" w:type="dxa"/>
              <w:left w:w="108" w:type="dxa"/>
              <w:bottom w:w="0" w:type="dxa"/>
              <w:right w:w="108" w:type="dxa"/>
            </w:tcMar>
            <w:vAlign w:val="center"/>
            <w:hideMark/>
          </w:tcPr>
          <w:p w14:paraId="21469883" w14:textId="77777777" w:rsidR="00BB5099" w:rsidRPr="00DF4CE5" w:rsidRDefault="00BB5099"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100%</w:t>
            </w:r>
          </w:p>
        </w:tc>
      </w:tr>
      <w:tr w:rsidR="00BB5099" w:rsidRPr="00DF4CE5" w14:paraId="6C84A651" w14:textId="77777777" w:rsidTr="00577F4F">
        <w:tc>
          <w:tcPr>
            <w:tcW w:w="261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99B90A3" w14:textId="77777777" w:rsidR="00BB5099" w:rsidRPr="00DF4CE5" w:rsidRDefault="00BB5099"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Studentske obveze</w:t>
            </w:r>
          </w:p>
        </w:tc>
        <w:tc>
          <w:tcPr>
            <w:tcW w:w="672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008B6FA" w14:textId="77777777" w:rsidR="00BB5099" w:rsidRPr="00DF4CE5" w:rsidRDefault="00BB5099"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Da položi kolegij, student/studentica mora:</w:t>
            </w:r>
          </w:p>
          <w:p w14:paraId="39604EAA" w14:textId="1C140AF1" w:rsidR="00BB5099" w:rsidRPr="00DF4CE5" w:rsidRDefault="0039661B" w:rsidP="00A034E3">
            <w:pPr>
              <w:numPr>
                <w:ilvl w:val="0"/>
                <w:numId w:val="50"/>
              </w:numPr>
              <w:spacing w:after="0" w:line="240" w:lineRule="auto"/>
              <w:ind w:left="429"/>
              <w:jc w:val="both"/>
              <w:rPr>
                <w:rFonts w:ascii="Cambria" w:eastAsia="Times New Roman" w:hAnsi="Cambria" w:cs="Calibri"/>
                <w:lang w:val="hr-HR"/>
              </w:rPr>
            </w:pPr>
            <w:r>
              <w:rPr>
                <w:rFonts w:ascii="Cambria" w:eastAsia="Times New Roman" w:hAnsi="Cambria" w:cs="Calibri"/>
                <w:lang w:val="hr-HR"/>
              </w:rPr>
              <w:t>i</w:t>
            </w:r>
            <w:r w:rsidR="00BB5099" w:rsidRPr="00DF4CE5">
              <w:rPr>
                <w:rFonts w:ascii="Cambria" w:eastAsia="Times New Roman" w:hAnsi="Cambria" w:cs="Calibri"/>
                <w:lang w:val="hr-HR"/>
              </w:rPr>
              <w:t>zraditi seminar na odabranu temu i usmeno ga izlagati</w:t>
            </w:r>
            <w:r>
              <w:rPr>
                <w:rFonts w:ascii="Cambria" w:eastAsia="Times New Roman" w:hAnsi="Cambria" w:cs="Calibri"/>
                <w:lang w:val="hr-HR"/>
              </w:rPr>
              <w:t xml:space="preserve"> (a</w:t>
            </w:r>
            <w:r w:rsidR="00BB5099" w:rsidRPr="00DF4CE5">
              <w:rPr>
                <w:rFonts w:ascii="Cambria" w:eastAsia="Times New Roman" w:hAnsi="Cambria" w:cs="Calibri"/>
                <w:lang w:val="hr-HR"/>
              </w:rPr>
              <w:t>ktivno sudjelovati u izlaganjima drugih studenata kroz pitanja i raspravu</w:t>
            </w:r>
            <w:r>
              <w:rPr>
                <w:rFonts w:ascii="Cambria" w:eastAsia="Times New Roman" w:hAnsi="Cambria" w:cs="Calibri"/>
                <w:lang w:val="hr-HR"/>
              </w:rPr>
              <w:t>)</w:t>
            </w:r>
          </w:p>
          <w:p w14:paraId="3EB6B24A" w14:textId="5DE242F0" w:rsidR="00BB5099" w:rsidRPr="00DF4CE5" w:rsidRDefault="0039661B" w:rsidP="00A034E3">
            <w:pPr>
              <w:numPr>
                <w:ilvl w:val="0"/>
                <w:numId w:val="50"/>
              </w:numPr>
              <w:spacing w:after="0" w:line="240" w:lineRule="auto"/>
              <w:ind w:left="429"/>
              <w:jc w:val="both"/>
              <w:rPr>
                <w:rFonts w:ascii="Cambria" w:eastAsia="Times New Roman" w:hAnsi="Cambria" w:cs="Calibri"/>
                <w:lang w:val="hr-HR"/>
              </w:rPr>
            </w:pPr>
            <w:r>
              <w:rPr>
                <w:rFonts w:ascii="Cambria" w:eastAsia="Times New Roman" w:hAnsi="Cambria" w:cs="Calibri"/>
                <w:lang w:val="hr-HR"/>
              </w:rPr>
              <w:t>i</w:t>
            </w:r>
            <w:r w:rsidR="00BB5099" w:rsidRPr="00DF4CE5">
              <w:rPr>
                <w:rFonts w:ascii="Cambria" w:eastAsia="Times New Roman" w:hAnsi="Cambria" w:cs="Calibri"/>
                <w:lang w:val="hr-HR"/>
              </w:rPr>
              <w:t>zraditi bazu podataka i module (izvješća, upiti, obrasci) u Accessu</w:t>
            </w:r>
          </w:p>
          <w:p w14:paraId="01E29542" w14:textId="39AF6D91" w:rsidR="00BB5099" w:rsidRPr="00DF4CE5" w:rsidRDefault="0039661B" w:rsidP="00A034E3">
            <w:pPr>
              <w:numPr>
                <w:ilvl w:val="0"/>
                <w:numId w:val="50"/>
              </w:numPr>
              <w:spacing w:after="0" w:line="240" w:lineRule="auto"/>
              <w:ind w:left="429"/>
              <w:jc w:val="both"/>
              <w:rPr>
                <w:rFonts w:ascii="Cambria" w:eastAsia="Times New Roman" w:hAnsi="Cambria" w:cs="Calibri"/>
                <w:lang w:val="hr-HR"/>
              </w:rPr>
            </w:pPr>
            <w:r>
              <w:rPr>
                <w:rFonts w:ascii="Cambria" w:eastAsia="Times New Roman" w:hAnsi="Cambria" w:cs="Calibri"/>
                <w:lang w:val="hr-HR"/>
              </w:rPr>
              <w:t>položiti</w:t>
            </w:r>
            <w:r w:rsidR="00BB5099" w:rsidRPr="00DF4CE5">
              <w:rPr>
                <w:rFonts w:ascii="Cambria" w:eastAsia="Times New Roman" w:hAnsi="Cambria" w:cs="Calibri"/>
                <w:lang w:val="hr-HR"/>
              </w:rPr>
              <w:t xml:space="preserve"> završn</w:t>
            </w:r>
            <w:r>
              <w:rPr>
                <w:rFonts w:ascii="Cambria" w:eastAsia="Times New Roman" w:hAnsi="Cambria" w:cs="Calibri"/>
                <w:lang w:val="hr-HR"/>
              </w:rPr>
              <w:t>i</w:t>
            </w:r>
            <w:r w:rsidR="00BB5099" w:rsidRPr="00DF4CE5">
              <w:rPr>
                <w:rFonts w:ascii="Cambria" w:eastAsia="Times New Roman" w:hAnsi="Cambria" w:cs="Calibri"/>
                <w:lang w:val="hr-HR"/>
              </w:rPr>
              <w:t xml:space="preserve"> ispit</w:t>
            </w:r>
            <w:r>
              <w:rPr>
                <w:rFonts w:ascii="Cambria" w:eastAsia="Times New Roman" w:hAnsi="Cambria" w:cs="Calibri"/>
                <w:lang w:val="hr-HR"/>
              </w:rPr>
              <w:t>.</w:t>
            </w:r>
          </w:p>
        </w:tc>
      </w:tr>
      <w:tr w:rsidR="00BB5099" w:rsidRPr="00D0399C" w14:paraId="01CCFCF8" w14:textId="77777777" w:rsidTr="00577F4F">
        <w:tc>
          <w:tcPr>
            <w:tcW w:w="261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7ED6B1D" w14:textId="77777777" w:rsidR="00BB5099" w:rsidRPr="00DF4CE5" w:rsidRDefault="00BB5099"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Rokovi ispita i kolokvija</w:t>
            </w:r>
          </w:p>
        </w:tc>
        <w:tc>
          <w:tcPr>
            <w:tcW w:w="672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A33017E" w14:textId="77777777" w:rsidR="00BB5099" w:rsidRPr="00DF4CE5" w:rsidRDefault="00BB5099"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Daju se na početku akademske godine, objavljuju se na mrežnim stranicama Sveučilišta i u ISVU. </w:t>
            </w:r>
          </w:p>
        </w:tc>
      </w:tr>
      <w:tr w:rsidR="00BB5099" w:rsidRPr="00DF4CE5" w14:paraId="210F9663" w14:textId="77777777" w:rsidTr="00577F4F">
        <w:tc>
          <w:tcPr>
            <w:tcW w:w="261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011606E" w14:textId="77777777" w:rsidR="00BB5099" w:rsidRPr="00DF4CE5" w:rsidRDefault="00BB5099"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Ostale važne činjenice vezane uz kolegij</w:t>
            </w:r>
          </w:p>
        </w:tc>
        <w:tc>
          <w:tcPr>
            <w:tcW w:w="672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ED0DAD8" w14:textId="1A0B366F" w:rsidR="00BB5099" w:rsidRPr="00DF4CE5" w:rsidRDefault="00BB5099"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Student/studentica koji su kroz nastavu ukupno ostvarili minimalno 30% ocjene i koji su izlagali seminarski rad mogu pristupiti završnom ispitu. Završni ispit, koji se sastoji iz praktičnih zadataka, će biti organiziran samo za one studente/studentice koji žele popraviti ocjenu.</w:t>
            </w:r>
          </w:p>
          <w:p w14:paraId="2D689B03" w14:textId="77777777" w:rsidR="00BB5099" w:rsidRPr="00DF4CE5" w:rsidRDefault="00BB5099"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U slučaju održavanja nastave na daljinu, moguće je odstupanje u: mjestu izvođenja kolegija, provedbi aktivnosti, metoda tumačenja i poučavanja i načinima vrednovanja, studentskim obvezama i dostupnoj literaturi. O tome će nositeljica kolegija i suradnik obavijestiti studente i studentice kad se nastava na daljinu počne održavati. Ishodi učenja ostaju nepromijenjeni.</w:t>
            </w:r>
          </w:p>
        </w:tc>
      </w:tr>
      <w:tr w:rsidR="00BB5099" w:rsidRPr="00D0399C" w14:paraId="4DBB9531" w14:textId="77777777" w:rsidTr="00577F4F">
        <w:trPr>
          <w:trHeight w:val="770"/>
        </w:trPr>
        <w:tc>
          <w:tcPr>
            <w:tcW w:w="261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E0914B3" w14:textId="77777777" w:rsidR="00BB5099" w:rsidRPr="00DF4CE5" w:rsidRDefault="00BB5099"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Literatura</w:t>
            </w:r>
          </w:p>
        </w:tc>
        <w:tc>
          <w:tcPr>
            <w:tcW w:w="6726"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6D6C14D4" w14:textId="77777777" w:rsidR="00BB5099" w:rsidRPr="00DF4CE5" w:rsidRDefault="00BB5099" w:rsidP="008B34AF">
            <w:pPr>
              <w:autoSpaceDE w:val="0"/>
              <w:autoSpaceDN w:val="0"/>
              <w:adjustRightInd w:val="0"/>
              <w:spacing w:after="0" w:line="240" w:lineRule="auto"/>
              <w:jc w:val="both"/>
              <w:rPr>
                <w:rFonts w:ascii="Cambria" w:eastAsia="Times New Roman" w:hAnsi="Cambria" w:cs="Calibri"/>
                <w:lang w:val="hr-HR"/>
              </w:rPr>
            </w:pPr>
            <w:r w:rsidRPr="00DF4CE5">
              <w:rPr>
                <w:rFonts w:ascii="Cambria" w:eastAsia="Times New Roman" w:hAnsi="Cambria" w:cs="Calibri"/>
                <w:lang w:val="hr-HR"/>
              </w:rPr>
              <w:t>Obvezna:</w:t>
            </w:r>
          </w:p>
          <w:p w14:paraId="66680851" w14:textId="77777777" w:rsidR="00BB5099" w:rsidRPr="00DF4CE5" w:rsidRDefault="00BB5099" w:rsidP="00A034E3">
            <w:pPr>
              <w:numPr>
                <w:ilvl w:val="0"/>
                <w:numId w:val="51"/>
              </w:numPr>
              <w:tabs>
                <w:tab w:val="num" w:pos="429"/>
              </w:tabs>
              <w:autoSpaceDE w:val="0"/>
              <w:autoSpaceDN w:val="0"/>
              <w:adjustRightInd w:val="0"/>
              <w:spacing w:after="0" w:line="240" w:lineRule="auto"/>
              <w:ind w:left="429"/>
              <w:jc w:val="both"/>
              <w:rPr>
                <w:rFonts w:ascii="Cambria" w:eastAsia="Times New Roman" w:hAnsi="Cambria" w:cs="Calibri"/>
                <w:lang w:val="hr-HR"/>
              </w:rPr>
            </w:pPr>
            <w:r w:rsidRPr="00DF4CE5">
              <w:rPr>
                <w:rFonts w:ascii="Cambria" w:eastAsia="Times New Roman" w:hAnsi="Cambria" w:cs="Calibri"/>
                <w:lang w:val="hr-HR"/>
              </w:rPr>
              <w:t>Varga, M.  (1994), Baze podataka. Zagreb: DRIP</w:t>
            </w:r>
          </w:p>
          <w:p w14:paraId="4013FCA5" w14:textId="77777777" w:rsidR="00BB5099" w:rsidRPr="00DF4CE5" w:rsidRDefault="00BB5099" w:rsidP="00A034E3">
            <w:pPr>
              <w:numPr>
                <w:ilvl w:val="0"/>
                <w:numId w:val="51"/>
              </w:numPr>
              <w:tabs>
                <w:tab w:val="num" w:pos="429"/>
              </w:tabs>
              <w:autoSpaceDE w:val="0"/>
              <w:autoSpaceDN w:val="0"/>
              <w:adjustRightInd w:val="0"/>
              <w:spacing w:after="0" w:line="240" w:lineRule="auto"/>
              <w:ind w:left="429"/>
              <w:jc w:val="both"/>
              <w:rPr>
                <w:rFonts w:ascii="Cambria" w:eastAsia="Times New Roman" w:hAnsi="Cambria" w:cs="Calibri"/>
                <w:lang w:val="hr-HR"/>
              </w:rPr>
            </w:pPr>
            <w:r w:rsidRPr="00DF4CE5">
              <w:rPr>
                <w:rFonts w:ascii="Cambria" w:eastAsia="Times New Roman" w:hAnsi="Cambria" w:cs="Calibri"/>
                <w:lang w:val="hr-HR"/>
              </w:rPr>
              <w:t>http://www.ecdl.com.mt/downloads.html  (</w:t>
            </w:r>
            <w:proofErr w:type="spellStart"/>
            <w:r w:rsidRPr="00DF4CE5">
              <w:rPr>
                <w:rFonts w:ascii="Cambria" w:eastAsia="Times New Roman" w:hAnsi="Cambria" w:cs="Calibri"/>
                <w:lang w:val="hr-HR"/>
              </w:rPr>
              <w:t>Syllabi</w:t>
            </w:r>
            <w:proofErr w:type="spellEnd"/>
            <w:r w:rsidRPr="00DF4CE5">
              <w:rPr>
                <w:rFonts w:ascii="Cambria" w:eastAsia="Times New Roman" w:hAnsi="Cambria" w:cs="Calibri"/>
                <w:lang w:val="hr-HR"/>
              </w:rPr>
              <w:t xml:space="preserve"> &amp; </w:t>
            </w:r>
            <w:proofErr w:type="spellStart"/>
            <w:r w:rsidRPr="00DF4CE5">
              <w:rPr>
                <w:rFonts w:ascii="Cambria" w:eastAsia="Times New Roman" w:hAnsi="Cambria" w:cs="Calibri"/>
                <w:lang w:val="hr-HR"/>
              </w:rPr>
              <w:t>Sample</w:t>
            </w:r>
            <w:proofErr w:type="spellEnd"/>
            <w:r w:rsidRPr="00DF4CE5">
              <w:rPr>
                <w:rFonts w:ascii="Cambria" w:eastAsia="Times New Roman" w:hAnsi="Cambria" w:cs="Calibri"/>
                <w:lang w:val="hr-HR"/>
              </w:rPr>
              <w:t xml:space="preserve"> </w:t>
            </w:r>
            <w:proofErr w:type="spellStart"/>
            <w:r w:rsidRPr="00DF4CE5">
              <w:rPr>
                <w:rFonts w:ascii="Cambria" w:eastAsia="Times New Roman" w:hAnsi="Cambria" w:cs="Calibri"/>
                <w:lang w:val="hr-HR"/>
              </w:rPr>
              <w:t>Tests</w:t>
            </w:r>
            <w:proofErr w:type="spellEnd"/>
            <w:r w:rsidRPr="00DF4CE5">
              <w:rPr>
                <w:rFonts w:ascii="Cambria" w:eastAsia="Times New Roman" w:hAnsi="Cambria" w:cs="Calibri"/>
                <w:lang w:val="hr-HR"/>
              </w:rPr>
              <w:t>)</w:t>
            </w:r>
          </w:p>
          <w:p w14:paraId="59D00B06" w14:textId="77777777" w:rsidR="00BB5099" w:rsidRPr="00DF4CE5" w:rsidRDefault="00BB5099" w:rsidP="008B34AF">
            <w:pPr>
              <w:autoSpaceDE w:val="0"/>
              <w:autoSpaceDN w:val="0"/>
              <w:adjustRightInd w:val="0"/>
              <w:spacing w:after="0" w:line="240" w:lineRule="auto"/>
              <w:jc w:val="both"/>
              <w:rPr>
                <w:rFonts w:ascii="Cambria" w:eastAsia="Times New Roman" w:hAnsi="Cambria" w:cs="Calibri"/>
                <w:lang w:val="hr-HR"/>
              </w:rPr>
            </w:pPr>
            <w:r w:rsidRPr="00DF4CE5">
              <w:rPr>
                <w:rFonts w:ascii="Cambria" w:eastAsia="Times New Roman" w:hAnsi="Cambria" w:cs="Calibri"/>
                <w:lang w:val="hr-HR"/>
              </w:rPr>
              <w:t>Izborna:</w:t>
            </w:r>
          </w:p>
          <w:p w14:paraId="1D43D127" w14:textId="77777777" w:rsidR="00BB5099" w:rsidRPr="00DF4CE5" w:rsidRDefault="00BB5099" w:rsidP="00A034E3">
            <w:pPr>
              <w:numPr>
                <w:ilvl w:val="0"/>
                <w:numId w:val="52"/>
              </w:numPr>
              <w:tabs>
                <w:tab w:val="num" w:pos="429"/>
              </w:tabs>
              <w:autoSpaceDE w:val="0"/>
              <w:autoSpaceDN w:val="0"/>
              <w:adjustRightInd w:val="0"/>
              <w:spacing w:after="0" w:line="240" w:lineRule="auto"/>
              <w:ind w:left="429"/>
              <w:jc w:val="both"/>
              <w:rPr>
                <w:rFonts w:ascii="Cambria" w:eastAsia="Times New Roman" w:hAnsi="Cambria" w:cs="Calibri"/>
                <w:lang w:val="hr-HR"/>
              </w:rPr>
            </w:pPr>
            <w:r w:rsidRPr="00DF4CE5">
              <w:rPr>
                <w:rFonts w:ascii="Cambria" w:eastAsia="Times New Roman" w:hAnsi="Cambria" w:cs="Calibri"/>
                <w:lang w:val="hr-HR"/>
              </w:rPr>
              <w:t xml:space="preserve"> Školska knjiga, udžbenik za sedmi razred osnovnih škola, poglavlje MS Access</w:t>
            </w:r>
          </w:p>
        </w:tc>
      </w:tr>
    </w:tbl>
    <w:p w14:paraId="30575257" w14:textId="77777777" w:rsidR="00BB5099" w:rsidRPr="00DF4CE5" w:rsidRDefault="00BB5099" w:rsidP="008B34AF">
      <w:pPr>
        <w:jc w:val="both"/>
        <w:rPr>
          <w:rFonts w:ascii="Cambria" w:hAnsi="Cambria"/>
          <w:lang w:val="hr-HR"/>
        </w:rPr>
      </w:pPr>
    </w:p>
    <w:p w14:paraId="20FEAFC5" w14:textId="77777777" w:rsidR="00BB5099" w:rsidRPr="00DF4CE5" w:rsidRDefault="00BB5099" w:rsidP="008B34AF">
      <w:pPr>
        <w:jc w:val="both"/>
        <w:rPr>
          <w:rFonts w:ascii="Cambria" w:hAnsi="Cambria"/>
          <w:lang w:val="hr-HR"/>
        </w:rPr>
      </w:pPr>
    </w:p>
    <w:p w14:paraId="65A9DC13" w14:textId="77777777" w:rsidR="00C106A0" w:rsidRPr="00DF4CE5" w:rsidRDefault="00C106A0" w:rsidP="008B34AF">
      <w:pPr>
        <w:jc w:val="both"/>
        <w:rPr>
          <w:rFonts w:ascii="Cambria" w:hAnsi="Cambria"/>
          <w:lang w:val="hr-HR"/>
        </w:rPr>
      </w:pPr>
    </w:p>
    <w:p w14:paraId="406CB7FE" w14:textId="77777777" w:rsidR="00C106A0" w:rsidRPr="00DF4CE5" w:rsidRDefault="00C106A0" w:rsidP="008B34AF">
      <w:pPr>
        <w:jc w:val="both"/>
        <w:rPr>
          <w:rFonts w:ascii="Cambria" w:hAnsi="Cambria"/>
          <w:lang w:val="hr-HR"/>
        </w:rPr>
      </w:pPr>
    </w:p>
    <w:p w14:paraId="25DB651D" w14:textId="77777777" w:rsidR="00C106A0" w:rsidRPr="00DF4CE5" w:rsidRDefault="00C106A0" w:rsidP="008B34AF">
      <w:pPr>
        <w:jc w:val="both"/>
        <w:rPr>
          <w:rFonts w:ascii="Cambria" w:hAnsi="Cambria"/>
          <w:lang w:val="hr-HR"/>
        </w:rPr>
      </w:pPr>
    </w:p>
    <w:p w14:paraId="6CC2DB34" w14:textId="77777777" w:rsidR="00C106A0" w:rsidRPr="00DF4CE5" w:rsidRDefault="00C106A0" w:rsidP="008B34AF">
      <w:pPr>
        <w:jc w:val="both"/>
        <w:rPr>
          <w:rFonts w:ascii="Cambria" w:hAnsi="Cambria"/>
          <w:lang w:val="hr-HR"/>
        </w:rPr>
      </w:pPr>
    </w:p>
    <w:p w14:paraId="0A6059A6" w14:textId="77777777" w:rsidR="00C106A0" w:rsidRPr="00DF4CE5" w:rsidRDefault="00C106A0" w:rsidP="008B34AF">
      <w:pPr>
        <w:jc w:val="both"/>
        <w:rPr>
          <w:rFonts w:ascii="Cambria" w:hAnsi="Cambria"/>
          <w:lang w:val="hr-HR"/>
        </w:rPr>
      </w:pPr>
    </w:p>
    <w:p w14:paraId="2D5BDD3E" w14:textId="77777777" w:rsidR="00C106A0" w:rsidRPr="00DF4CE5" w:rsidRDefault="00C106A0" w:rsidP="008B34AF">
      <w:pPr>
        <w:jc w:val="both"/>
        <w:rPr>
          <w:rFonts w:ascii="Cambria" w:hAnsi="Cambria"/>
          <w:lang w:val="hr-HR"/>
        </w:rPr>
      </w:pPr>
    </w:p>
    <w:p w14:paraId="3843663F" w14:textId="77777777" w:rsidR="00C106A0" w:rsidRPr="00DF4CE5" w:rsidRDefault="00C106A0" w:rsidP="008B34AF">
      <w:pPr>
        <w:jc w:val="both"/>
        <w:rPr>
          <w:rFonts w:ascii="Cambria" w:hAnsi="Cambria"/>
          <w:lang w:val="hr-HR"/>
        </w:rPr>
      </w:pPr>
    </w:p>
    <w:p w14:paraId="0CB646BF" w14:textId="77777777" w:rsidR="00C106A0" w:rsidRPr="00DF4CE5" w:rsidRDefault="00C106A0" w:rsidP="008B34AF">
      <w:pPr>
        <w:jc w:val="both"/>
        <w:rPr>
          <w:rFonts w:ascii="Cambria" w:hAnsi="Cambria"/>
          <w:lang w:val="hr-HR"/>
        </w:rPr>
      </w:pPr>
    </w:p>
    <w:p w14:paraId="47C4C848" w14:textId="77777777" w:rsidR="00C106A0" w:rsidRPr="00DF4CE5" w:rsidRDefault="00C106A0" w:rsidP="008B34AF">
      <w:pPr>
        <w:jc w:val="both"/>
        <w:rPr>
          <w:rFonts w:ascii="Cambria" w:hAnsi="Cambria"/>
          <w:lang w:val="hr-HR"/>
        </w:rPr>
      </w:pPr>
    </w:p>
    <w:p w14:paraId="0D3E27FA" w14:textId="77777777" w:rsidR="00C106A0" w:rsidRPr="00DF4CE5" w:rsidRDefault="00C106A0" w:rsidP="008B34AF">
      <w:pPr>
        <w:jc w:val="both"/>
        <w:rPr>
          <w:rFonts w:ascii="Cambria" w:hAnsi="Cambria"/>
          <w:lang w:val="hr-HR"/>
        </w:rPr>
      </w:pPr>
    </w:p>
    <w:p w14:paraId="556CF681" w14:textId="2FB59206" w:rsidR="00E93B72" w:rsidRDefault="0039661B">
      <w:pPr>
        <w:rPr>
          <w:rFonts w:ascii="Cambria" w:hAnsi="Cambria"/>
          <w:lang w:val="hr-HR"/>
        </w:rPr>
      </w:pPr>
      <w:r>
        <w:rPr>
          <w:rFonts w:ascii="Cambria" w:hAnsi="Cambria"/>
          <w:lang w:val="hr-HR"/>
        </w:rPr>
        <w:br w:type="page"/>
      </w:r>
      <w:r w:rsidR="00E93B72">
        <w:rPr>
          <w:rFonts w:ascii="Cambria" w:hAnsi="Cambria"/>
          <w:lang w:val="hr-HR"/>
        </w:rPr>
        <w:lastRenderedPageBreak/>
        <w:br w:type="page"/>
      </w:r>
    </w:p>
    <w:p w14:paraId="63AFAD8B" w14:textId="1A4EDC21" w:rsidR="00F92392" w:rsidRPr="00E93B72" w:rsidRDefault="00E93B72" w:rsidP="00E93B72">
      <w:pPr>
        <w:jc w:val="center"/>
        <w:rPr>
          <w:rFonts w:ascii="Cambria" w:hAnsi="Cambria"/>
          <w:b/>
          <w:lang w:val="hr-HR"/>
        </w:rPr>
      </w:pPr>
      <w:r w:rsidRPr="00E93B72">
        <w:rPr>
          <w:rFonts w:ascii="Cambria" w:hAnsi="Cambria"/>
          <w:b/>
          <w:lang w:val="hr-HR"/>
        </w:rPr>
        <w:lastRenderedPageBreak/>
        <w:t>IX. semestar</w:t>
      </w:r>
    </w:p>
    <w:tbl>
      <w:tblPr>
        <w:tblW w:w="4876" w:type="pct"/>
        <w:tblLayout w:type="fixed"/>
        <w:tblCellMar>
          <w:left w:w="0" w:type="dxa"/>
          <w:right w:w="0" w:type="dxa"/>
        </w:tblCellMar>
        <w:tblLook w:val="0600" w:firstRow="0" w:lastRow="0" w:firstColumn="0" w:lastColumn="0" w:noHBand="1" w:noVBand="1"/>
      </w:tblPr>
      <w:tblGrid>
        <w:gridCol w:w="2184"/>
        <w:gridCol w:w="2310"/>
        <w:gridCol w:w="1366"/>
        <w:gridCol w:w="793"/>
        <w:gridCol w:w="168"/>
        <w:gridCol w:w="1167"/>
        <w:gridCol w:w="1784"/>
      </w:tblGrid>
      <w:tr w:rsidR="00B25532" w:rsidRPr="00A62FBD" w14:paraId="593F9B2B" w14:textId="77777777" w:rsidTr="00727BE6">
        <w:tc>
          <w:tcPr>
            <w:tcW w:w="9772" w:type="dxa"/>
            <w:gridSpan w:val="7"/>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DC1A766" w14:textId="77777777" w:rsidR="00B25532" w:rsidRPr="00A62FBD" w:rsidRDefault="00B25532" w:rsidP="0039661B">
            <w:pPr>
              <w:spacing w:after="0" w:line="240" w:lineRule="auto"/>
              <w:jc w:val="right"/>
              <w:rPr>
                <w:rFonts w:ascii="Cambria" w:hAnsi="Cambria" w:cs="Calibri"/>
                <w:b/>
              </w:rPr>
            </w:pPr>
            <w:r w:rsidRPr="00A62FBD">
              <w:rPr>
                <w:rFonts w:ascii="Cambria" w:hAnsi="Cambria" w:cs="Calibri"/>
                <w:b/>
              </w:rPr>
              <w:t>IZVEDBENI PLAN NASTAVE KOLEGIJA</w:t>
            </w:r>
          </w:p>
        </w:tc>
      </w:tr>
      <w:tr w:rsidR="00B25532" w:rsidRPr="00A62FBD" w14:paraId="4908FCEB" w14:textId="77777777" w:rsidTr="00727BE6">
        <w:tc>
          <w:tcPr>
            <w:tcW w:w="218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830936A" w14:textId="77777777" w:rsidR="00B25532" w:rsidRPr="00A62FBD" w:rsidRDefault="00B25532" w:rsidP="0039661B">
            <w:pPr>
              <w:spacing w:after="0" w:line="240" w:lineRule="auto"/>
              <w:rPr>
                <w:rFonts w:ascii="Cambria" w:hAnsi="Cambria" w:cs="Calibri"/>
              </w:rPr>
            </w:pPr>
            <w:proofErr w:type="spellStart"/>
            <w:r w:rsidRPr="00A62FBD">
              <w:rPr>
                <w:rFonts w:ascii="Cambria" w:hAnsi="Cambria" w:cs="Calibri"/>
              </w:rPr>
              <w:t>Kod</w:t>
            </w:r>
            <w:proofErr w:type="spellEnd"/>
            <w:r w:rsidRPr="00A62FBD">
              <w:rPr>
                <w:rFonts w:ascii="Cambria" w:hAnsi="Cambria" w:cs="Calibri"/>
              </w:rPr>
              <w:t xml:space="preserve"> </w:t>
            </w:r>
            <w:proofErr w:type="spellStart"/>
            <w:r w:rsidRPr="00A62FBD">
              <w:rPr>
                <w:rFonts w:ascii="Cambria" w:hAnsi="Cambria" w:cs="Calibri"/>
              </w:rPr>
              <w:t>i</w:t>
            </w:r>
            <w:proofErr w:type="spellEnd"/>
            <w:r w:rsidRPr="00A62FBD">
              <w:rPr>
                <w:rFonts w:ascii="Cambria" w:hAnsi="Cambria" w:cs="Calibri"/>
              </w:rPr>
              <w:t xml:space="preserve"> </w:t>
            </w:r>
            <w:proofErr w:type="spellStart"/>
            <w:r w:rsidRPr="00A62FBD">
              <w:rPr>
                <w:rFonts w:ascii="Cambria" w:hAnsi="Cambria" w:cs="Calibri"/>
              </w:rPr>
              <w:t>naziv</w:t>
            </w:r>
            <w:proofErr w:type="spellEnd"/>
            <w:r w:rsidRPr="00A62FBD">
              <w:rPr>
                <w:rFonts w:ascii="Cambria" w:hAnsi="Cambria" w:cs="Calibri"/>
              </w:rPr>
              <w:t xml:space="preserve"> </w:t>
            </w:r>
            <w:proofErr w:type="spellStart"/>
            <w:r w:rsidRPr="00A62FBD">
              <w:rPr>
                <w:rFonts w:ascii="Cambria" w:hAnsi="Cambria" w:cs="Calibri"/>
              </w:rPr>
              <w:t>kolegija</w:t>
            </w:r>
            <w:proofErr w:type="spellEnd"/>
          </w:p>
        </w:tc>
        <w:tc>
          <w:tcPr>
            <w:tcW w:w="7588"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7A943EB1" w14:textId="77777777" w:rsidR="00B25532" w:rsidRPr="00D473BA" w:rsidRDefault="00B25532" w:rsidP="0039661B">
            <w:pPr>
              <w:autoSpaceDE w:val="0"/>
              <w:autoSpaceDN w:val="0"/>
              <w:adjustRightInd w:val="0"/>
              <w:spacing w:after="0" w:line="240" w:lineRule="auto"/>
              <w:rPr>
                <w:rFonts w:ascii="Cambria" w:hAnsi="Cambria" w:cs="Calibri"/>
              </w:rPr>
            </w:pPr>
            <w:r w:rsidRPr="00D473BA">
              <w:rPr>
                <w:rFonts w:ascii="Cambria" w:hAnsi="Cambria" w:cs="Calibri"/>
              </w:rPr>
              <w:t>118962</w:t>
            </w:r>
          </w:p>
          <w:p w14:paraId="24360FCD" w14:textId="77777777" w:rsidR="00B25532" w:rsidRPr="00A62FBD" w:rsidRDefault="00B25532" w:rsidP="0039661B">
            <w:pPr>
              <w:autoSpaceDE w:val="0"/>
              <w:autoSpaceDN w:val="0"/>
              <w:adjustRightInd w:val="0"/>
              <w:spacing w:after="0" w:line="240" w:lineRule="auto"/>
              <w:rPr>
                <w:rFonts w:ascii="Cambria" w:hAnsi="Cambria" w:cs="Calibri"/>
                <w:b/>
                <w:bCs/>
              </w:rPr>
            </w:pPr>
            <w:proofErr w:type="spellStart"/>
            <w:r w:rsidRPr="00D473BA">
              <w:rPr>
                <w:rFonts w:ascii="Cambria" w:hAnsi="Cambria" w:cs="Calibri"/>
              </w:rPr>
              <w:t>Metodika</w:t>
            </w:r>
            <w:proofErr w:type="spellEnd"/>
            <w:r w:rsidRPr="00D473BA">
              <w:rPr>
                <w:rFonts w:ascii="Cambria" w:hAnsi="Cambria" w:cs="Calibri"/>
              </w:rPr>
              <w:t xml:space="preserve"> </w:t>
            </w:r>
            <w:proofErr w:type="spellStart"/>
            <w:r w:rsidRPr="00D473BA">
              <w:rPr>
                <w:rFonts w:ascii="Cambria" w:hAnsi="Cambria" w:cs="Calibri"/>
              </w:rPr>
              <w:t>nastave</w:t>
            </w:r>
            <w:proofErr w:type="spellEnd"/>
            <w:r w:rsidRPr="00D473BA">
              <w:rPr>
                <w:rFonts w:ascii="Cambria" w:hAnsi="Cambria" w:cs="Calibri"/>
              </w:rPr>
              <w:t xml:space="preserve"> </w:t>
            </w:r>
            <w:proofErr w:type="spellStart"/>
            <w:r w:rsidRPr="00D473BA">
              <w:rPr>
                <w:rFonts w:ascii="Cambria" w:hAnsi="Cambria" w:cs="Calibri"/>
              </w:rPr>
              <w:t>matematike</w:t>
            </w:r>
            <w:proofErr w:type="spellEnd"/>
            <w:r w:rsidRPr="00D473BA">
              <w:rPr>
                <w:rFonts w:ascii="Cambria" w:hAnsi="Cambria" w:cs="Calibri"/>
              </w:rPr>
              <w:t xml:space="preserve"> </w:t>
            </w:r>
            <w:r>
              <w:rPr>
                <w:rFonts w:ascii="Cambria" w:hAnsi="Cambria" w:cs="Calibri"/>
              </w:rPr>
              <w:t>III</w:t>
            </w:r>
            <w:r w:rsidRPr="00D473BA">
              <w:rPr>
                <w:rFonts w:ascii="Cambria" w:hAnsi="Cambria" w:cs="Calibri"/>
              </w:rPr>
              <w:t>.</w:t>
            </w:r>
          </w:p>
        </w:tc>
      </w:tr>
      <w:tr w:rsidR="00B25532" w:rsidRPr="00D0399C" w14:paraId="4885C470" w14:textId="77777777" w:rsidTr="00727BE6">
        <w:tc>
          <w:tcPr>
            <w:tcW w:w="218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8DBAE37" w14:textId="77777777" w:rsidR="00B25532" w:rsidRDefault="00B25532" w:rsidP="0039661B">
            <w:pPr>
              <w:spacing w:after="0" w:line="240" w:lineRule="auto"/>
              <w:rPr>
                <w:rFonts w:ascii="Cambria" w:hAnsi="Cambria" w:cs="Calibri"/>
              </w:rPr>
            </w:pPr>
            <w:proofErr w:type="spellStart"/>
            <w:r w:rsidRPr="00A62FBD">
              <w:rPr>
                <w:rFonts w:ascii="Cambria" w:hAnsi="Cambria" w:cs="Calibri"/>
              </w:rPr>
              <w:t>Nastavnik</w:t>
            </w:r>
            <w:proofErr w:type="spellEnd"/>
          </w:p>
          <w:p w14:paraId="1EB774EF" w14:textId="220B2412" w:rsidR="00B25532" w:rsidRPr="00A62FBD" w:rsidRDefault="00B25532" w:rsidP="0039661B">
            <w:pPr>
              <w:spacing w:after="0" w:line="240" w:lineRule="auto"/>
              <w:rPr>
                <w:rFonts w:ascii="Cambria" w:hAnsi="Cambria" w:cs="Calibri"/>
              </w:rPr>
            </w:pPr>
            <w:proofErr w:type="spellStart"/>
            <w:r>
              <w:rPr>
                <w:rFonts w:ascii="Cambria" w:hAnsi="Cambria" w:cs="Calibri"/>
              </w:rPr>
              <w:t>Suradnic</w:t>
            </w:r>
            <w:r w:rsidR="00F46EE1">
              <w:rPr>
                <w:rFonts w:ascii="Cambria" w:hAnsi="Cambria" w:cs="Calibri"/>
              </w:rPr>
              <w:t>a</w:t>
            </w:r>
            <w:proofErr w:type="spellEnd"/>
          </w:p>
        </w:tc>
        <w:tc>
          <w:tcPr>
            <w:tcW w:w="7588"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9778024" w14:textId="77777777" w:rsidR="0039661B" w:rsidRPr="001E3DFB" w:rsidRDefault="0039661B" w:rsidP="0039661B">
            <w:pPr>
              <w:widowControl w:val="0"/>
              <w:spacing w:after="0" w:line="240" w:lineRule="auto"/>
              <w:rPr>
                <w:rFonts w:ascii="Cambria" w:hAnsi="Cambria" w:cs="Calibri"/>
              </w:rPr>
            </w:pPr>
            <w:hyperlink r:id="rId159" w:history="1">
              <w:r w:rsidRPr="001E3DFB">
                <w:rPr>
                  <w:rStyle w:val="Hiperveza"/>
                  <w:rFonts w:ascii="Cambria" w:hAnsi="Cambria" w:cs="Calibri"/>
                </w:rPr>
                <w:t xml:space="preserve">Doc. dr. sc. Siniša </w:t>
              </w:r>
              <w:proofErr w:type="spellStart"/>
              <w:r w:rsidRPr="001E3DFB">
                <w:rPr>
                  <w:rStyle w:val="Hiperveza"/>
                  <w:rFonts w:ascii="Cambria" w:hAnsi="Cambria" w:cs="Calibri"/>
                </w:rPr>
                <w:t>Miličić</w:t>
              </w:r>
              <w:proofErr w:type="spellEnd"/>
            </w:hyperlink>
            <w:r w:rsidRPr="001E3DFB">
              <w:rPr>
                <w:rFonts w:ascii="Cambria" w:hAnsi="Cambria" w:cs="Calibri"/>
              </w:rPr>
              <w:t xml:space="preserve"> (</w:t>
            </w:r>
            <w:proofErr w:type="spellStart"/>
            <w:r w:rsidRPr="001E3DFB">
              <w:rPr>
                <w:rFonts w:ascii="Cambria" w:hAnsi="Cambria" w:cs="Calibri"/>
              </w:rPr>
              <w:t>nositelj</w:t>
            </w:r>
            <w:proofErr w:type="spellEnd"/>
            <w:r w:rsidRPr="001E3DFB">
              <w:rPr>
                <w:rFonts w:ascii="Cambria" w:hAnsi="Cambria" w:cs="Calibri"/>
              </w:rPr>
              <w:t xml:space="preserve"> </w:t>
            </w:r>
            <w:proofErr w:type="spellStart"/>
            <w:r w:rsidRPr="001E3DFB">
              <w:rPr>
                <w:rFonts w:ascii="Cambria" w:hAnsi="Cambria" w:cs="Calibri"/>
              </w:rPr>
              <w:t>kolegija</w:t>
            </w:r>
            <w:proofErr w:type="spellEnd"/>
            <w:r w:rsidRPr="001E3DFB">
              <w:rPr>
                <w:rFonts w:ascii="Cambria" w:hAnsi="Cambria" w:cs="Calibri"/>
              </w:rPr>
              <w:t>)</w:t>
            </w:r>
          </w:p>
          <w:p w14:paraId="4D797B8E" w14:textId="387BB9BF" w:rsidR="00B25532" w:rsidRPr="00B25532" w:rsidRDefault="0039661B" w:rsidP="0039661B">
            <w:pPr>
              <w:widowControl w:val="0"/>
              <w:spacing w:after="0" w:line="240" w:lineRule="auto"/>
              <w:rPr>
                <w:rFonts w:ascii="Cambria" w:hAnsi="Cambria" w:cs="Calibri"/>
                <w:lang w:val="it-IT"/>
              </w:rPr>
            </w:pPr>
            <w:hyperlink r:id="rId160" w:history="1">
              <w:r w:rsidRPr="001E3DFB">
                <w:rPr>
                  <w:rStyle w:val="Hiperveza"/>
                  <w:rFonts w:ascii="Cambria" w:hAnsi="Cambria"/>
                  <w:lang w:val="it-IT"/>
                </w:rPr>
                <w:t xml:space="preserve">Dr. sc. </w:t>
              </w:r>
              <w:proofErr w:type="spellStart"/>
              <w:r w:rsidRPr="001E3DFB">
                <w:rPr>
                  <w:rStyle w:val="Hiperveza"/>
                  <w:rFonts w:ascii="Cambria" w:hAnsi="Cambria" w:cs="Calibri"/>
                  <w:lang w:val="it-IT"/>
                </w:rPr>
                <w:t>Branka</w:t>
              </w:r>
              <w:proofErr w:type="spellEnd"/>
              <w:r w:rsidRPr="001E3DFB">
                <w:rPr>
                  <w:rStyle w:val="Hiperveza"/>
                  <w:rFonts w:ascii="Cambria" w:hAnsi="Cambria" w:cs="Calibri"/>
                  <w:lang w:val="it-IT"/>
                </w:rPr>
                <w:t xml:space="preserve"> </w:t>
              </w:r>
              <w:proofErr w:type="spellStart"/>
              <w:r w:rsidRPr="001E3DFB">
                <w:rPr>
                  <w:rStyle w:val="Hiperveza"/>
                  <w:rFonts w:ascii="Cambria" w:hAnsi="Cambria" w:cs="Calibri"/>
                  <w:lang w:val="it-IT"/>
                </w:rPr>
                <w:t>Antunović</w:t>
              </w:r>
              <w:proofErr w:type="spellEnd"/>
              <w:r w:rsidRPr="001E3DFB">
                <w:rPr>
                  <w:rStyle w:val="Hiperveza"/>
                  <w:rFonts w:ascii="Cambria" w:hAnsi="Cambria" w:cs="Calibri"/>
                  <w:lang w:val="it-IT"/>
                </w:rPr>
                <w:t xml:space="preserve">, </w:t>
              </w:r>
              <w:proofErr w:type="spellStart"/>
              <w:r w:rsidRPr="001E3DFB">
                <w:rPr>
                  <w:rStyle w:val="Hiperveza"/>
                  <w:rFonts w:ascii="Cambria" w:hAnsi="Cambria" w:cs="Calibri"/>
                  <w:lang w:val="it-IT"/>
                </w:rPr>
                <w:t>viša</w:t>
              </w:r>
              <w:proofErr w:type="spellEnd"/>
              <w:r w:rsidRPr="001E3DFB">
                <w:rPr>
                  <w:rStyle w:val="Hiperveza"/>
                  <w:rFonts w:ascii="Cambria" w:hAnsi="Cambria" w:cs="Calibri"/>
                  <w:lang w:val="it-IT"/>
                </w:rPr>
                <w:t xml:space="preserve"> </w:t>
              </w:r>
              <w:proofErr w:type="spellStart"/>
              <w:r w:rsidRPr="001E3DFB">
                <w:rPr>
                  <w:rStyle w:val="Hiperveza"/>
                  <w:rFonts w:ascii="Cambria" w:hAnsi="Cambria" w:cs="Calibri"/>
                  <w:lang w:val="it-IT"/>
                </w:rPr>
                <w:t>asistentica</w:t>
              </w:r>
              <w:proofErr w:type="spellEnd"/>
            </w:hyperlink>
          </w:p>
        </w:tc>
      </w:tr>
      <w:tr w:rsidR="00B25532" w:rsidRPr="00A62FBD" w14:paraId="21C4554A" w14:textId="77777777" w:rsidTr="00727BE6">
        <w:trPr>
          <w:trHeight w:val="412"/>
        </w:trPr>
        <w:tc>
          <w:tcPr>
            <w:tcW w:w="218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ECDCBF6" w14:textId="77777777" w:rsidR="00B25532" w:rsidRPr="00A62FBD" w:rsidRDefault="00B25532" w:rsidP="0039661B">
            <w:pPr>
              <w:spacing w:after="0" w:line="240" w:lineRule="auto"/>
              <w:rPr>
                <w:rFonts w:ascii="Cambria" w:hAnsi="Cambria" w:cs="Calibri"/>
              </w:rPr>
            </w:pPr>
            <w:proofErr w:type="spellStart"/>
            <w:r w:rsidRPr="00A62FBD">
              <w:rPr>
                <w:rFonts w:ascii="Cambria" w:hAnsi="Cambria" w:cs="Calibri"/>
              </w:rPr>
              <w:t>Studijski</w:t>
            </w:r>
            <w:proofErr w:type="spellEnd"/>
            <w:r w:rsidRPr="00A62FBD">
              <w:rPr>
                <w:rFonts w:ascii="Cambria" w:hAnsi="Cambria" w:cs="Calibri"/>
              </w:rPr>
              <w:t xml:space="preserve"> program</w:t>
            </w:r>
          </w:p>
        </w:tc>
        <w:tc>
          <w:tcPr>
            <w:tcW w:w="7588"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48167CF3" w14:textId="77777777" w:rsidR="00B25532" w:rsidRPr="00A62FBD" w:rsidRDefault="00B25532" w:rsidP="0039661B">
            <w:pPr>
              <w:spacing w:after="0" w:line="240" w:lineRule="auto"/>
              <w:rPr>
                <w:rFonts w:ascii="Cambria" w:hAnsi="Cambria" w:cs="Calibri"/>
                <w:b/>
                <w:bCs/>
              </w:rPr>
            </w:pPr>
            <w:proofErr w:type="spellStart"/>
            <w:r w:rsidRPr="00E41472">
              <w:rPr>
                <w:rFonts w:ascii="Cambria" w:hAnsi="Cambria" w:cs="Calibri"/>
              </w:rPr>
              <w:t>Sveučilišni</w:t>
            </w:r>
            <w:proofErr w:type="spellEnd"/>
            <w:r w:rsidRPr="00E41472">
              <w:rPr>
                <w:rFonts w:ascii="Cambria" w:hAnsi="Cambria" w:cs="Calibri"/>
              </w:rPr>
              <w:t xml:space="preserve"> </w:t>
            </w:r>
            <w:proofErr w:type="spellStart"/>
            <w:r w:rsidRPr="00E41472">
              <w:rPr>
                <w:rFonts w:ascii="Cambria" w:hAnsi="Cambria" w:cs="Calibri"/>
              </w:rPr>
              <w:t>integrirani</w:t>
            </w:r>
            <w:proofErr w:type="spellEnd"/>
            <w:r w:rsidRPr="00E41472">
              <w:rPr>
                <w:rFonts w:ascii="Cambria" w:hAnsi="Cambria" w:cs="Calibri"/>
              </w:rPr>
              <w:t xml:space="preserve"> </w:t>
            </w:r>
            <w:proofErr w:type="spellStart"/>
            <w:r w:rsidRPr="00E41472">
              <w:rPr>
                <w:rFonts w:ascii="Cambria" w:hAnsi="Cambria" w:cs="Calibri"/>
              </w:rPr>
              <w:t>prijediplomski</w:t>
            </w:r>
            <w:proofErr w:type="spellEnd"/>
            <w:r w:rsidRPr="00E41472">
              <w:rPr>
                <w:rFonts w:ascii="Cambria" w:hAnsi="Cambria" w:cs="Calibri"/>
              </w:rPr>
              <w:t xml:space="preserve"> </w:t>
            </w:r>
            <w:proofErr w:type="spellStart"/>
            <w:r w:rsidRPr="00E41472">
              <w:rPr>
                <w:rFonts w:ascii="Cambria" w:hAnsi="Cambria" w:cs="Calibri"/>
              </w:rPr>
              <w:t>i</w:t>
            </w:r>
            <w:proofErr w:type="spellEnd"/>
            <w:r w:rsidRPr="00E41472">
              <w:rPr>
                <w:rFonts w:ascii="Cambria" w:hAnsi="Cambria" w:cs="Calibri"/>
              </w:rPr>
              <w:t xml:space="preserve"> </w:t>
            </w:r>
            <w:proofErr w:type="spellStart"/>
            <w:r w:rsidRPr="00E41472">
              <w:rPr>
                <w:rFonts w:ascii="Cambria" w:hAnsi="Cambria" w:cs="Calibri"/>
              </w:rPr>
              <w:t>diplomski</w:t>
            </w:r>
            <w:proofErr w:type="spellEnd"/>
            <w:r w:rsidRPr="00E41472">
              <w:rPr>
                <w:rFonts w:ascii="Cambria" w:hAnsi="Cambria" w:cs="Calibri"/>
              </w:rPr>
              <w:t xml:space="preserve"> </w:t>
            </w:r>
            <w:proofErr w:type="spellStart"/>
            <w:r w:rsidRPr="00E41472">
              <w:rPr>
                <w:rFonts w:ascii="Cambria" w:hAnsi="Cambria" w:cs="Calibri"/>
              </w:rPr>
              <w:t>Učiteljski</w:t>
            </w:r>
            <w:proofErr w:type="spellEnd"/>
            <w:r w:rsidRPr="00E41472">
              <w:rPr>
                <w:rFonts w:ascii="Cambria" w:hAnsi="Cambria" w:cs="Calibri"/>
              </w:rPr>
              <w:t xml:space="preserve"> </w:t>
            </w:r>
            <w:proofErr w:type="spellStart"/>
            <w:r w:rsidRPr="00E41472">
              <w:rPr>
                <w:rFonts w:ascii="Cambria" w:hAnsi="Cambria" w:cs="Calibri"/>
              </w:rPr>
              <w:t>studij</w:t>
            </w:r>
            <w:proofErr w:type="spellEnd"/>
            <w:r w:rsidRPr="00E41472">
              <w:rPr>
                <w:rFonts w:ascii="Cambria" w:hAnsi="Cambria" w:cs="Calibri"/>
              </w:rPr>
              <w:t xml:space="preserve"> </w:t>
            </w:r>
            <w:proofErr w:type="spellStart"/>
            <w:r w:rsidRPr="00E41472">
              <w:rPr>
                <w:rFonts w:ascii="Cambria" w:hAnsi="Cambria" w:cs="Calibri"/>
              </w:rPr>
              <w:t>na</w:t>
            </w:r>
            <w:proofErr w:type="spellEnd"/>
            <w:r w:rsidRPr="00E41472">
              <w:rPr>
                <w:rFonts w:ascii="Cambria" w:hAnsi="Cambria" w:cs="Calibri"/>
              </w:rPr>
              <w:t xml:space="preserve"> </w:t>
            </w:r>
            <w:proofErr w:type="spellStart"/>
            <w:r w:rsidRPr="00E41472">
              <w:rPr>
                <w:rFonts w:ascii="Cambria" w:hAnsi="Cambria" w:cs="Calibri"/>
              </w:rPr>
              <w:t>hrvatskom</w:t>
            </w:r>
            <w:proofErr w:type="spellEnd"/>
            <w:r w:rsidRPr="00E41472">
              <w:rPr>
                <w:rFonts w:ascii="Cambria" w:hAnsi="Cambria" w:cs="Calibri"/>
              </w:rPr>
              <w:t xml:space="preserve"> </w:t>
            </w:r>
            <w:proofErr w:type="spellStart"/>
            <w:r w:rsidRPr="00E41472">
              <w:rPr>
                <w:rFonts w:ascii="Cambria" w:hAnsi="Cambria" w:cs="Calibri"/>
              </w:rPr>
              <w:t>jeziku</w:t>
            </w:r>
            <w:proofErr w:type="spellEnd"/>
          </w:p>
        </w:tc>
      </w:tr>
      <w:tr w:rsidR="00B25532" w:rsidRPr="00A62FBD" w14:paraId="60E43152" w14:textId="77777777" w:rsidTr="00727BE6">
        <w:tc>
          <w:tcPr>
            <w:tcW w:w="218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408B7A7" w14:textId="77777777" w:rsidR="00B25532" w:rsidRPr="00A62FBD" w:rsidRDefault="00B25532" w:rsidP="0039661B">
            <w:pPr>
              <w:spacing w:after="0" w:line="240" w:lineRule="auto"/>
              <w:rPr>
                <w:rFonts w:ascii="Cambria" w:hAnsi="Cambria" w:cs="Calibri"/>
              </w:rPr>
            </w:pPr>
            <w:proofErr w:type="spellStart"/>
            <w:r w:rsidRPr="00A62FBD">
              <w:rPr>
                <w:rFonts w:ascii="Cambria" w:hAnsi="Cambria" w:cs="Calibri"/>
              </w:rPr>
              <w:t>Vrsta</w:t>
            </w:r>
            <w:proofErr w:type="spellEnd"/>
            <w:r w:rsidRPr="00A62FBD">
              <w:rPr>
                <w:rFonts w:ascii="Cambria" w:hAnsi="Cambria" w:cs="Calibri"/>
              </w:rPr>
              <w:t xml:space="preserve"> </w:t>
            </w:r>
            <w:proofErr w:type="spellStart"/>
            <w:r w:rsidRPr="00A62FBD">
              <w:rPr>
                <w:rFonts w:ascii="Cambria" w:hAnsi="Cambria" w:cs="Calibri"/>
              </w:rPr>
              <w:t>kolegija</w:t>
            </w:r>
            <w:proofErr w:type="spellEnd"/>
          </w:p>
        </w:tc>
        <w:tc>
          <w:tcPr>
            <w:tcW w:w="231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D7A24E2" w14:textId="77777777" w:rsidR="00B25532" w:rsidRPr="00A62FBD" w:rsidRDefault="00B25532" w:rsidP="0039661B">
            <w:pPr>
              <w:spacing w:after="0" w:line="240" w:lineRule="auto"/>
              <w:rPr>
                <w:rFonts w:ascii="Cambria" w:hAnsi="Cambria" w:cs="Calibri"/>
              </w:rPr>
            </w:pPr>
            <w:proofErr w:type="spellStart"/>
            <w:r>
              <w:rPr>
                <w:rFonts w:ascii="Cambria" w:hAnsi="Cambria" w:cs="Calibri"/>
              </w:rPr>
              <w:t>o</w:t>
            </w:r>
            <w:r w:rsidRPr="00A62FBD">
              <w:rPr>
                <w:rFonts w:ascii="Cambria" w:hAnsi="Cambria" w:cs="Calibri"/>
              </w:rPr>
              <w:t>bavezan</w:t>
            </w:r>
            <w:proofErr w:type="spellEnd"/>
            <w:r w:rsidRPr="00A62FBD">
              <w:rPr>
                <w:rFonts w:ascii="Cambria" w:hAnsi="Cambria" w:cs="Calibri"/>
              </w:rPr>
              <w:t xml:space="preserve"> </w:t>
            </w:r>
          </w:p>
        </w:tc>
        <w:tc>
          <w:tcPr>
            <w:tcW w:w="2159"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31E5DA2E" w14:textId="77777777" w:rsidR="00B25532" w:rsidRPr="00A62FBD" w:rsidRDefault="00B25532" w:rsidP="0039661B">
            <w:pPr>
              <w:spacing w:after="0" w:line="240" w:lineRule="auto"/>
              <w:rPr>
                <w:rFonts w:ascii="Cambria" w:hAnsi="Cambria" w:cs="Calibri"/>
              </w:rPr>
            </w:pPr>
            <w:r w:rsidRPr="00A62FBD">
              <w:rPr>
                <w:rFonts w:ascii="Cambria" w:hAnsi="Cambria" w:cs="Calibri"/>
              </w:rPr>
              <w:t xml:space="preserve">Razina </w:t>
            </w:r>
            <w:proofErr w:type="spellStart"/>
            <w:r w:rsidRPr="00A62FBD">
              <w:rPr>
                <w:rFonts w:ascii="Cambria" w:hAnsi="Cambria" w:cs="Calibri"/>
              </w:rPr>
              <w:t>kolegija</w:t>
            </w:r>
            <w:proofErr w:type="spellEnd"/>
          </w:p>
        </w:tc>
        <w:tc>
          <w:tcPr>
            <w:tcW w:w="3119"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9EFD5A6" w14:textId="77777777" w:rsidR="00B25532" w:rsidRPr="00A62FBD" w:rsidRDefault="00B25532" w:rsidP="0039661B">
            <w:pPr>
              <w:spacing w:after="0" w:line="240" w:lineRule="auto"/>
              <w:rPr>
                <w:rFonts w:ascii="Cambria" w:hAnsi="Cambria" w:cs="Calibri"/>
              </w:rPr>
            </w:pPr>
            <w:proofErr w:type="spellStart"/>
            <w:r>
              <w:rPr>
                <w:rFonts w:ascii="Cambria" w:hAnsi="Cambria" w:cs="Calibri"/>
              </w:rPr>
              <w:t>i</w:t>
            </w:r>
            <w:r w:rsidRPr="00A62FBD">
              <w:rPr>
                <w:rFonts w:ascii="Cambria" w:hAnsi="Cambria" w:cs="Calibri"/>
              </w:rPr>
              <w:t>ntegrirani</w:t>
            </w:r>
            <w:proofErr w:type="spellEnd"/>
          </w:p>
        </w:tc>
      </w:tr>
      <w:tr w:rsidR="00B25532" w:rsidRPr="00A62FBD" w14:paraId="22DB9E91" w14:textId="77777777" w:rsidTr="00727BE6">
        <w:tc>
          <w:tcPr>
            <w:tcW w:w="218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D4505D6" w14:textId="77777777" w:rsidR="00B25532" w:rsidRPr="00A62FBD" w:rsidRDefault="00B25532" w:rsidP="0039661B">
            <w:pPr>
              <w:spacing w:after="0" w:line="240" w:lineRule="auto"/>
              <w:rPr>
                <w:rFonts w:ascii="Cambria" w:hAnsi="Cambria" w:cs="Calibri"/>
              </w:rPr>
            </w:pPr>
            <w:proofErr w:type="spellStart"/>
            <w:r w:rsidRPr="00A62FBD">
              <w:rPr>
                <w:rFonts w:ascii="Cambria" w:hAnsi="Cambria" w:cs="Calibri"/>
              </w:rPr>
              <w:t>Semestar</w:t>
            </w:r>
            <w:proofErr w:type="spellEnd"/>
          </w:p>
        </w:tc>
        <w:tc>
          <w:tcPr>
            <w:tcW w:w="231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BFD9D8F" w14:textId="77777777" w:rsidR="00B25532" w:rsidRPr="00A62FBD" w:rsidRDefault="00B25532" w:rsidP="0039661B">
            <w:pPr>
              <w:spacing w:after="0" w:line="240" w:lineRule="auto"/>
              <w:rPr>
                <w:rFonts w:ascii="Cambria" w:hAnsi="Cambria" w:cs="Calibri"/>
              </w:rPr>
            </w:pPr>
            <w:proofErr w:type="spellStart"/>
            <w:r>
              <w:rPr>
                <w:rFonts w:ascii="Cambria" w:hAnsi="Cambria" w:cs="Calibri"/>
              </w:rPr>
              <w:t>zimski</w:t>
            </w:r>
            <w:proofErr w:type="spellEnd"/>
          </w:p>
        </w:tc>
        <w:tc>
          <w:tcPr>
            <w:tcW w:w="2159"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5B926757" w14:textId="77777777" w:rsidR="00B25532" w:rsidRPr="00A62FBD" w:rsidRDefault="00B25532" w:rsidP="0039661B">
            <w:pPr>
              <w:spacing w:after="0" w:line="240" w:lineRule="auto"/>
              <w:rPr>
                <w:rFonts w:ascii="Cambria" w:hAnsi="Cambria" w:cs="Calibri"/>
              </w:rPr>
            </w:pPr>
            <w:r w:rsidRPr="00A62FBD">
              <w:rPr>
                <w:rFonts w:ascii="Cambria" w:hAnsi="Cambria" w:cs="Calibri"/>
              </w:rPr>
              <w:t xml:space="preserve">Godina </w:t>
            </w:r>
            <w:proofErr w:type="spellStart"/>
            <w:r w:rsidRPr="00A62FBD">
              <w:rPr>
                <w:rFonts w:ascii="Cambria" w:hAnsi="Cambria" w:cs="Calibri"/>
              </w:rPr>
              <w:t>studija</w:t>
            </w:r>
            <w:proofErr w:type="spellEnd"/>
          </w:p>
        </w:tc>
        <w:tc>
          <w:tcPr>
            <w:tcW w:w="3119"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A936021" w14:textId="77777777" w:rsidR="00B25532" w:rsidRPr="00A62FBD" w:rsidRDefault="00B25532" w:rsidP="0039661B">
            <w:pPr>
              <w:spacing w:after="0" w:line="240" w:lineRule="auto"/>
              <w:rPr>
                <w:rFonts w:ascii="Cambria" w:hAnsi="Cambria" w:cs="Calibri"/>
              </w:rPr>
            </w:pPr>
            <w:r>
              <w:rPr>
                <w:rFonts w:ascii="Cambria" w:hAnsi="Cambria" w:cs="Calibri"/>
              </w:rPr>
              <w:t>V.</w:t>
            </w:r>
          </w:p>
        </w:tc>
      </w:tr>
      <w:tr w:rsidR="00B25532" w:rsidRPr="00A62FBD" w14:paraId="045055B4" w14:textId="77777777" w:rsidTr="00727BE6">
        <w:tc>
          <w:tcPr>
            <w:tcW w:w="218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E5EEC94" w14:textId="77777777" w:rsidR="00B25532" w:rsidRPr="00A62FBD" w:rsidRDefault="00B25532" w:rsidP="0039661B">
            <w:pPr>
              <w:spacing w:after="0" w:line="240" w:lineRule="auto"/>
              <w:rPr>
                <w:rFonts w:ascii="Cambria" w:hAnsi="Cambria" w:cs="Calibri"/>
              </w:rPr>
            </w:pPr>
            <w:proofErr w:type="spellStart"/>
            <w:r w:rsidRPr="00A62FBD">
              <w:rPr>
                <w:rFonts w:ascii="Cambria" w:hAnsi="Cambria" w:cs="Calibri"/>
              </w:rPr>
              <w:t>Mjesto</w:t>
            </w:r>
            <w:proofErr w:type="spellEnd"/>
            <w:r w:rsidRPr="00A62FBD">
              <w:rPr>
                <w:rFonts w:ascii="Cambria" w:hAnsi="Cambria" w:cs="Calibri"/>
              </w:rPr>
              <w:t xml:space="preserve"> </w:t>
            </w:r>
            <w:proofErr w:type="spellStart"/>
            <w:r w:rsidRPr="00A62FBD">
              <w:rPr>
                <w:rFonts w:ascii="Cambria" w:hAnsi="Cambria" w:cs="Calibri"/>
              </w:rPr>
              <w:t>izvođenja</w:t>
            </w:r>
            <w:proofErr w:type="spellEnd"/>
          </w:p>
        </w:tc>
        <w:tc>
          <w:tcPr>
            <w:tcW w:w="231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AA6C3AD" w14:textId="26F08C92" w:rsidR="00B25532" w:rsidRPr="00A62FBD" w:rsidRDefault="00B25532" w:rsidP="0039661B">
            <w:pPr>
              <w:spacing w:after="0" w:line="240" w:lineRule="auto"/>
              <w:rPr>
                <w:rFonts w:ascii="Cambria" w:hAnsi="Cambria" w:cs="Calibri"/>
              </w:rPr>
            </w:pPr>
            <w:proofErr w:type="spellStart"/>
            <w:r w:rsidRPr="00A62FBD">
              <w:rPr>
                <w:rFonts w:ascii="Cambria" w:hAnsi="Cambria" w:cs="Calibri"/>
              </w:rPr>
              <w:t>učionica</w:t>
            </w:r>
            <w:proofErr w:type="spellEnd"/>
          </w:p>
        </w:tc>
        <w:tc>
          <w:tcPr>
            <w:tcW w:w="2159"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6AADC2D9" w14:textId="77777777" w:rsidR="00B25532" w:rsidRPr="00A62FBD" w:rsidRDefault="00B25532" w:rsidP="0039661B">
            <w:pPr>
              <w:spacing w:after="0" w:line="240" w:lineRule="auto"/>
              <w:rPr>
                <w:rFonts w:ascii="Cambria" w:hAnsi="Cambria" w:cs="Calibri"/>
              </w:rPr>
            </w:pPr>
            <w:r w:rsidRPr="00A62FBD">
              <w:rPr>
                <w:rFonts w:ascii="Cambria" w:hAnsi="Cambria" w:cs="Calibri"/>
              </w:rPr>
              <w:t xml:space="preserve">Jezik </w:t>
            </w:r>
            <w:proofErr w:type="spellStart"/>
            <w:r w:rsidRPr="00A62FBD">
              <w:rPr>
                <w:rFonts w:ascii="Cambria" w:hAnsi="Cambria" w:cs="Calibri"/>
              </w:rPr>
              <w:t>izvođenja</w:t>
            </w:r>
            <w:proofErr w:type="spellEnd"/>
            <w:r w:rsidRPr="00A62FBD">
              <w:rPr>
                <w:rFonts w:ascii="Cambria" w:hAnsi="Cambria" w:cs="Calibri"/>
              </w:rPr>
              <w:t xml:space="preserve"> (</w:t>
            </w:r>
            <w:proofErr w:type="spellStart"/>
            <w:r w:rsidRPr="00A62FBD">
              <w:rPr>
                <w:rFonts w:ascii="Cambria" w:hAnsi="Cambria" w:cs="Calibri"/>
              </w:rPr>
              <w:t>drugi</w:t>
            </w:r>
            <w:proofErr w:type="spellEnd"/>
            <w:r w:rsidRPr="00A62FBD">
              <w:rPr>
                <w:rFonts w:ascii="Cambria" w:hAnsi="Cambria" w:cs="Calibri"/>
              </w:rPr>
              <w:t xml:space="preserve"> </w:t>
            </w:r>
            <w:proofErr w:type="spellStart"/>
            <w:r w:rsidRPr="00A62FBD">
              <w:rPr>
                <w:rFonts w:ascii="Cambria" w:hAnsi="Cambria" w:cs="Calibri"/>
              </w:rPr>
              <w:t>jezici</w:t>
            </w:r>
            <w:proofErr w:type="spellEnd"/>
            <w:r w:rsidRPr="00A62FBD">
              <w:rPr>
                <w:rFonts w:ascii="Cambria" w:hAnsi="Cambria" w:cs="Calibri"/>
              </w:rPr>
              <w:t>)</w:t>
            </w:r>
          </w:p>
        </w:tc>
        <w:tc>
          <w:tcPr>
            <w:tcW w:w="3119"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718FA8A" w14:textId="77777777" w:rsidR="00B25532" w:rsidRPr="00A62FBD" w:rsidRDefault="00B25532" w:rsidP="0039661B">
            <w:pPr>
              <w:spacing w:after="0" w:line="240" w:lineRule="auto"/>
              <w:rPr>
                <w:rFonts w:ascii="Cambria" w:hAnsi="Cambria" w:cs="Calibri"/>
              </w:rPr>
            </w:pPr>
            <w:proofErr w:type="spellStart"/>
            <w:r w:rsidRPr="00A62FBD">
              <w:rPr>
                <w:rFonts w:ascii="Cambria" w:hAnsi="Cambria" w:cs="Calibri"/>
              </w:rPr>
              <w:t>hrvatski</w:t>
            </w:r>
            <w:proofErr w:type="spellEnd"/>
          </w:p>
        </w:tc>
      </w:tr>
      <w:tr w:rsidR="00B25532" w:rsidRPr="00A62FBD" w14:paraId="1F4E16BB" w14:textId="77777777" w:rsidTr="00727BE6">
        <w:tc>
          <w:tcPr>
            <w:tcW w:w="218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8F49E81" w14:textId="77777777" w:rsidR="00B25532" w:rsidRPr="00A62FBD" w:rsidRDefault="00B25532" w:rsidP="0039661B">
            <w:pPr>
              <w:spacing w:after="0" w:line="240" w:lineRule="auto"/>
              <w:rPr>
                <w:rFonts w:ascii="Cambria" w:hAnsi="Cambria" w:cs="Calibri"/>
              </w:rPr>
            </w:pPr>
            <w:proofErr w:type="spellStart"/>
            <w:r w:rsidRPr="00A62FBD">
              <w:rPr>
                <w:rFonts w:ascii="Cambria" w:hAnsi="Cambria" w:cs="Calibri"/>
              </w:rPr>
              <w:t>Broj</w:t>
            </w:r>
            <w:proofErr w:type="spellEnd"/>
            <w:r w:rsidRPr="00A62FBD">
              <w:rPr>
                <w:rFonts w:ascii="Cambria" w:hAnsi="Cambria" w:cs="Calibri"/>
              </w:rPr>
              <w:t xml:space="preserve"> ECTS </w:t>
            </w:r>
            <w:proofErr w:type="spellStart"/>
            <w:r w:rsidRPr="00A62FBD">
              <w:rPr>
                <w:rFonts w:ascii="Cambria" w:hAnsi="Cambria" w:cs="Calibri"/>
              </w:rPr>
              <w:t>bodova</w:t>
            </w:r>
            <w:proofErr w:type="spellEnd"/>
          </w:p>
        </w:tc>
        <w:tc>
          <w:tcPr>
            <w:tcW w:w="231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B71729B" w14:textId="77777777" w:rsidR="00B25532" w:rsidRPr="00A62FBD" w:rsidRDefault="00B25532" w:rsidP="0039661B">
            <w:pPr>
              <w:spacing w:after="0" w:line="240" w:lineRule="auto"/>
              <w:rPr>
                <w:rFonts w:ascii="Cambria" w:hAnsi="Cambria" w:cs="Calibri"/>
              </w:rPr>
            </w:pPr>
            <w:r>
              <w:rPr>
                <w:rFonts w:ascii="Cambria" w:hAnsi="Cambria" w:cs="Calibri"/>
              </w:rPr>
              <w:t>4</w:t>
            </w:r>
          </w:p>
        </w:tc>
        <w:tc>
          <w:tcPr>
            <w:tcW w:w="2159"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4A46A9E8" w14:textId="77777777" w:rsidR="00B25532" w:rsidRPr="00A62FBD" w:rsidRDefault="00B25532" w:rsidP="0039661B">
            <w:pPr>
              <w:spacing w:after="0" w:line="240" w:lineRule="auto"/>
              <w:rPr>
                <w:rFonts w:ascii="Cambria" w:hAnsi="Cambria" w:cs="Calibri"/>
              </w:rPr>
            </w:pPr>
            <w:proofErr w:type="spellStart"/>
            <w:r w:rsidRPr="00A62FBD">
              <w:rPr>
                <w:rFonts w:ascii="Cambria" w:hAnsi="Cambria" w:cs="Calibri"/>
              </w:rPr>
              <w:t>Broj</w:t>
            </w:r>
            <w:proofErr w:type="spellEnd"/>
            <w:r w:rsidRPr="00A62FBD">
              <w:rPr>
                <w:rFonts w:ascii="Cambria" w:hAnsi="Cambria" w:cs="Calibri"/>
              </w:rPr>
              <w:t xml:space="preserve"> sati u </w:t>
            </w:r>
            <w:proofErr w:type="spellStart"/>
            <w:r w:rsidRPr="00A62FBD">
              <w:rPr>
                <w:rFonts w:ascii="Cambria" w:hAnsi="Cambria" w:cs="Calibri"/>
              </w:rPr>
              <w:t>semestru</w:t>
            </w:r>
            <w:proofErr w:type="spellEnd"/>
          </w:p>
        </w:tc>
        <w:tc>
          <w:tcPr>
            <w:tcW w:w="3119"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3F0FE07" w14:textId="5BC36C6A" w:rsidR="00B25532" w:rsidRPr="00A62FBD" w:rsidRDefault="00B25532" w:rsidP="0039661B">
            <w:pPr>
              <w:spacing w:after="0" w:line="240" w:lineRule="auto"/>
              <w:rPr>
                <w:rFonts w:ascii="Cambria" w:hAnsi="Cambria" w:cs="Calibri"/>
              </w:rPr>
            </w:pPr>
            <w:r w:rsidRPr="00A62FBD">
              <w:rPr>
                <w:rFonts w:ascii="Cambria" w:hAnsi="Cambria" w:cs="Calibri"/>
              </w:rPr>
              <w:t xml:space="preserve">15P – </w:t>
            </w:r>
            <w:r w:rsidR="00F46EE1" w:rsidRPr="00A62FBD">
              <w:rPr>
                <w:rFonts w:ascii="Cambria" w:hAnsi="Cambria" w:cs="Calibri"/>
              </w:rPr>
              <w:t>0S</w:t>
            </w:r>
            <w:r w:rsidR="00F46EE1">
              <w:rPr>
                <w:rFonts w:ascii="Cambria" w:hAnsi="Cambria" w:cs="Calibri"/>
              </w:rPr>
              <w:t xml:space="preserve"> – </w:t>
            </w:r>
            <w:r w:rsidRPr="00A62FBD">
              <w:rPr>
                <w:rFonts w:ascii="Cambria" w:hAnsi="Cambria" w:cs="Calibri"/>
              </w:rPr>
              <w:t xml:space="preserve">45V      </w:t>
            </w:r>
          </w:p>
        </w:tc>
      </w:tr>
      <w:tr w:rsidR="00B25532" w:rsidRPr="00D0399C" w14:paraId="14AED712" w14:textId="77777777" w:rsidTr="00727BE6">
        <w:trPr>
          <w:trHeight w:val="670"/>
        </w:trPr>
        <w:tc>
          <w:tcPr>
            <w:tcW w:w="218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1CAC2A7" w14:textId="77777777" w:rsidR="00B25532" w:rsidRPr="00B25532" w:rsidRDefault="00B25532" w:rsidP="0039661B">
            <w:pPr>
              <w:spacing w:after="0" w:line="240" w:lineRule="auto"/>
              <w:rPr>
                <w:rFonts w:ascii="Cambria" w:hAnsi="Cambria" w:cs="Calibri"/>
                <w:lang w:val="it-IT"/>
              </w:rPr>
            </w:pPr>
            <w:proofErr w:type="spellStart"/>
            <w:r w:rsidRPr="00B25532">
              <w:rPr>
                <w:rFonts w:ascii="Cambria" w:hAnsi="Cambria" w:cs="Calibri"/>
                <w:lang w:val="it-IT"/>
              </w:rPr>
              <w:t>Preduvjeti</w:t>
            </w:r>
            <w:proofErr w:type="spellEnd"/>
            <w:r w:rsidRPr="00B25532">
              <w:rPr>
                <w:rFonts w:ascii="Cambria" w:hAnsi="Cambria" w:cs="Calibri"/>
                <w:lang w:val="it-IT"/>
              </w:rPr>
              <w:t xml:space="preserve"> za </w:t>
            </w:r>
            <w:proofErr w:type="spellStart"/>
            <w:r w:rsidRPr="00B25532">
              <w:rPr>
                <w:rFonts w:ascii="Cambria" w:hAnsi="Cambria" w:cs="Calibri"/>
                <w:lang w:val="it-IT"/>
              </w:rPr>
              <w:t>upis</w:t>
            </w:r>
            <w:proofErr w:type="spellEnd"/>
            <w:r w:rsidRPr="00B25532">
              <w:rPr>
                <w:rFonts w:ascii="Cambria" w:hAnsi="Cambria" w:cs="Calibri"/>
                <w:lang w:val="it-IT"/>
              </w:rPr>
              <w:t xml:space="preserve"> i za </w:t>
            </w:r>
            <w:proofErr w:type="spellStart"/>
            <w:r w:rsidRPr="00B25532">
              <w:rPr>
                <w:rFonts w:ascii="Cambria" w:hAnsi="Cambria" w:cs="Calibri"/>
                <w:lang w:val="it-IT"/>
              </w:rPr>
              <w:t>svladavanje</w:t>
            </w:r>
            <w:proofErr w:type="spellEnd"/>
          </w:p>
        </w:tc>
        <w:tc>
          <w:tcPr>
            <w:tcW w:w="7588"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A9A356B" w14:textId="77777777" w:rsidR="00B25532" w:rsidRPr="00B25532" w:rsidRDefault="00B25532" w:rsidP="0039661B">
            <w:pPr>
              <w:autoSpaceDE w:val="0"/>
              <w:autoSpaceDN w:val="0"/>
              <w:adjustRightInd w:val="0"/>
              <w:spacing w:after="0" w:line="240" w:lineRule="auto"/>
              <w:rPr>
                <w:rFonts w:ascii="Cambria" w:hAnsi="Cambria" w:cs="Calibri"/>
                <w:lang w:val="it-IT"/>
              </w:rPr>
            </w:pPr>
            <w:r w:rsidRPr="00B25532">
              <w:rPr>
                <w:rFonts w:ascii="Cambria" w:hAnsi="Cambria" w:cs="Calibri"/>
                <w:lang w:val="it-IT"/>
              </w:rPr>
              <w:t xml:space="preserve">Za </w:t>
            </w:r>
            <w:proofErr w:type="spellStart"/>
            <w:r w:rsidRPr="00B25532">
              <w:rPr>
                <w:rFonts w:ascii="Cambria" w:hAnsi="Cambria" w:cs="Calibri"/>
                <w:lang w:val="it-IT"/>
              </w:rPr>
              <w:t>upis</w:t>
            </w:r>
            <w:proofErr w:type="spellEnd"/>
            <w:r w:rsidRPr="00B25532">
              <w:rPr>
                <w:rFonts w:ascii="Cambria" w:hAnsi="Cambria" w:cs="Calibri"/>
                <w:lang w:val="it-IT"/>
              </w:rPr>
              <w:t xml:space="preserve"> </w:t>
            </w:r>
            <w:proofErr w:type="spellStart"/>
            <w:r w:rsidRPr="00B25532">
              <w:rPr>
                <w:rFonts w:ascii="Cambria" w:hAnsi="Cambria" w:cs="Calibri"/>
                <w:lang w:val="it-IT"/>
              </w:rPr>
              <w:t>kolegija</w:t>
            </w:r>
            <w:proofErr w:type="spellEnd"/>
            <w:r w:rsidRPr="00B25532">
              <w:rPr>
                <w:rFonts w:ascii="Cambria" w:hAnsi="Cambria" w:cs="Calibri"/>
                <w:lang w:val="it-IT"/>
              </w:rPr>
              <w:t xml:space="preserve"> </w:t>
            </w:r>
            <w:proofErr w:type="spellStart"/>
            <w:r w:rsidRPr="00B25532">
              <w:rPr>
                <w:rFonts w:ascii="Cambria" w:hAnsi="Cambria" w:cs="Calibri"/>
                <w:lang w:val="it-IT"/>
              </w:rPr>
              <w:t>Metodika</w:t>
            </w:r>
            <w:proofErr w:type="spellEnd"/>
            <w:r w:rsidRPr="00B25532">
              <w:rPr>
                <w:rFonts w:ascii="Cambria" w:hAnsi="Cambria" w:cs="Calibri"/>
                <w:lang w:val="it-IT"/>
              </w:rPr>
              <w:t xml:space="preserve"> </w:t>
            </w:r>
            <w:proofErr w:type="spellStart"/>
            <w:r w:rsidRPr="00B25532">
              <w:rPr>
                <w:rFonts w:ascii="Cambria" w:hAnsi="Cambria" w:cs="Calibri"/>
                <w:lang w:val="it-IT"/>
              </w:rPr>
              <w:t>nastave</w:t>
            </w:r>
            <w:proofErr w:type="spellEnd"/>
            <w:r w:rsidRPr="00B25532">
              <w:rPr>
                <w:rFonts w:ascii="Cambria" w:hAnsi="Cambria" w:cs="Calibri"/>
                <w:lang w:val="it-IT"/>
              </w:rPr>
              <w:t xml:space="preserve"> </w:t>
            </w:r>
            <w:proofErr w:type="spellStart"/>
            <w:r w:rsidRPr="00B25532">
              <w:rPr>
                <w:rFonts w:ascii="Cambria" w:hAnsi="Cambria" w:cs="Calibri"/>
                <w:lang w:val="it-IT"/>
              </w:rPr>
              <w:t>matematike</w:t>
            </w:r>
            <w:proofErr w:type="spellEnd"/>
            <w:r w:rsidRPr="00B25532">
              <w:rPr>
                <w:rFonts w:ascii="Cambria" w:hAnsi="Cambria" w:cs="Calibri"/>
                <w:lang w:val="it-IT"/>
              </w:rPr>
              <w:t xml:space="preserve"> III </w:t>
            </w:r>
            <w:proofErr w:type="spellStart"/>
            <w:r w:rsidRPr="00B25532">
              <w:rPr>
                <w:rFonts w:ascii="Cambria" w:hAnsi="Cambria" w:cs="Calibri"/>
                <w:lang w:val="it-IT"/>
              </w:rPr>
              <w:t>student</w:t>
            </w:r>
            <w:proofErr w:type="spellEnd"/>
            <w:r w:rsidRPr="00B25532">
              <w:rPr>
                <w:rFonts w:ascii="Cambria" w:hAnsi="Cambria" w:cs="Calibri"/>
                <w:lang w:val="it-IT"/>
              </w:rPr>
              <w:t xml:space="preserve"> </w:t>
            </w:r>
            <w:proofErr w:type="spellStart"/>
            <w:r w:rsidRPr="00B25532">
              <w:rPr>
                <w:rFonts w:ascii="Cambria" w:hAnsi="Cambria" w:cs="Calibri"/>
                <w:lang w:val="it-IT"/>
              </w:rPr>
              <w:t>treba</w:t>
            </w:r>
            <w:proofErr w:type="spellEnd"/>
            <w:r w:rsidRPr="00B25532">
              <w:rPr>
                <w:rFonts w:ascii="Cambria" w:hAnsi="Cambria" w:cs="Calibri"/>
                <w:lang w:val="it-IT"/>
              </w:rPr>
              <w:t xml:space="preserve"> imati </w:t>
            </w:r>
            <w:proofErr w:type="spellStart"/>
            <w:r w:rsidRPr="00B25532">
              <w:rPr>
                <w:rFonts w:ascii="Cambria" w:hAnsi="Cambria" w:cs="Calibri"/>
                <w:lang w:val="it-IT"/>
              </w:rPr>
              <w:t>odslušan</w:t>
            </w:r>
            <w:proofErr w:type="spellEnd"/>
            <w:r w:rsidRPr="00B25532">
              <w:rPr>
                <w:rFonts w:ascii="Cambria" w:hAnsi="Cambria" w:cs="Calibri"/>
                <w:lang w:val="it-IT"/>
              </w:rPr>
              <w:t xml:space="preserve"> </w:t>
            </w:r>
            <w:proofErr w:type="spellStart"/>
            <w:r w:rsidRPr="00B25532">
              <w:rPr>
                <w:rFonts w:ascii="Cambria" w:hAnsi="Cambria" w:cs="Calibri"/>
                <w:lang w:val="it-IT"/>
              </w:rPr>
              <w:t>kolegij</w:t>
            </w:r>
            <w:proofErr w:type="spellEnd"/>
            <w:r w:rsidRPr="00B25532">
              <w:rPr>
                <w:rFonts w:ascii="Cambria" w:hAnsi="Cambria" w:cs="Calibri"/>
                <w:lang w:val="it-IT"/>
              </w:rPr>
              <w:t xml:space="preserve"> </w:t>
            </w:r>
            <w:proofErr w:type="spellStart"/>
            <w:r w:rsidRPr="00B25532">
              <w:rPr>
                <w:rFonts w:ascii="Cambria" w:hAnsi="Cambria" w:cs="Calibri"/>
                <w:lang w:val="it-IT"/>
              </w:rPr>
              <w:t>Metodika</w:t>
            </w:r>
            <w:proofErr w:type="spellEnd"/>
            <w:r w:rsidRPr="00B25532">
              <w:rPr>
                <w:rFonts w:ascii="Cambria" w:hAnsi="Cambria" w:cs="Calibri"/>
                <w:lang w:val="it-IT"/>
              </w:rPr>
              <w:t xml:space="preserve"> </w:t>
            </w:r>
            <w:proofErr w:type="spellStart"/>
            <w:r w:rsidRPr="00B25532">
              <w:rPr>
                <w:rFonts w:ascii="Cambria" w:hAnsi="Cambria" w:cs="Calibri"/>
                <w:lang w:val="it-IT"/>
              </w:rPr>
              <w:t>nastave</w:t>
            </w:r>
            <w:proofErr w:type="spellEnd"/>
            <w:r w:rsidRPr="00B25532">
              <w:rPr>
                <w:rFonts w:ascii="Cambria" w:hAnsi="Cambria" w:cs="Calibri"/>
                <w:lang w:val="it-IT"/>
              </w:rPr>
              <w:t xml:space="preserve"> </w:t>
            </w:r>
            <w:proofErr w:type="spellStart"/>
            <w:r w:rsidRPr="00B25532">
              <w:rPr>
                <w:rFonts w:ascii="Cambria" w:hAnsi="Cambria" w:cs="Calibri"/>
                <w:lang w:val="it-IT"/>
              </w:rPr>
              <w:t>matematike</w:t>
            </w:r>
            <w:proofErr w:type="spellEnd"/>
            <w:r w:rsidRPr="00B25532">
              <w:rPr>
                <w:rFonts w:ascii="Cambria" w:hAnsi="Cambria" w:cs="Calibri"/>
                <w:lang w:val="it-IT"/>
              </w:rPr>
              <w:t xml:space="preserve"> II.</w:t>
            </w:r>
          </w:p>
          <w:p w14:paraId="79001EE9" w14:textId="77777777" w:rsidR="00B25532" w:rsidRPr="00B25532" w:rsidRDefault="00B25532" w:rsidP="0039661B">
            <w:pPr>
              <w:spacing w:after="0" w:line="240" w:lineRule="auto"/>
              <w:rPr>
                <w:rFonts w:ascii="Cambria" w:hAnsi="Cambria" w:cs="Calibri"/>
                <w:lang w:val="it-IT"/>
              </w:rPr>
            </w:pPr>
            <w:r w:rsidRPr="00B25532">
              <w:rPr>
                <w:rFonts w:ascii="Cambria" w:hAnsi="Cambria" w:cs="Calibri"/>
                <w:lang w:val="it-IT"/>
              </w:rPr>
              <w:t xml:space="preserve">Za </w:t>
            </w:r>
            <w:proofErr w:type="spellStart"/>
            <w:r w:rsidRPr="00B25532">
              <w:rPr>
                <w:rFonts w:ascii="Cambria" w:hAnsi="Cambria" w:cs="Calibri"/>
                <w:lang w:val="it-IT"/>
              </w:rPr>
              <w:t>pristup</w:t>
            </w:r>
            <w:proofErr w:type="spellEnd"/>
            <w:r w:rsidRPr="00B25532">
              <w:rPr>
                <w:rFonts w:ascii="Cambria" w:hAnsi="Cambria" w:cs="Calibri"/>
                <w:lang w:val="it-IT"/>
              </w:rPr>
              <w:t xml:space="preserve"> </w:t>
            </w:r>
            <w:proofErr w:type="spellStart"/>
            <w:r w:rsidRPr="00B25532">
              <w:rPr>
                <w:rFonts w:ascii="Cambria" w:hAnsi="Cambria" w:cs="Calibri"/>
                <w:lang w:val="it-IT"/>
              </w:rPr>
              <w:t>ispitu</w:t>
            </w:r>
            <w:proofErr w:type="spellEnd"/>
            <w:r w:rsidRPr="00B25532">
              <w:rPr>
                <w:rFonts w:ascii="Cambria" w:hAnsi="Cambria" w:cs="Calibri"/>
                <w:lang w:val="it-IT"/>
              </w:rPr>
              <w:t xml:space="preserve"> </w:t>
            </w:r>
            <w:proofErr w:type="spellStart"/>
            <w:r w:rsidRPr="00B25532">
              <w:rPr>
                <w:rFonts w:ascii="Cambria" w:hAnsi="Cambria" w:cs="Calibri"/>
                <w:lang w:val="it-IT"/>
              </w:rPr>
              <w:t>iz</w:t>
            </w:r>
            <w:proofErr w:type="spellEnd"/>
            <w:r w:rsidRPr="00B25532">
              <w:rPr>
                <w:rFonts w:ascii="Cambria" w:hAnsi="Cambria" w:cs="Calibri"/>
                <w:lang w:val="it-IT"/>
              </w:rPr>
              <w:t xml:space="preserve"> </w:t>
            </w:r>
            <w:proofErr w:type="spellStart"/>
            <w:r w:rsidRPr="00B25532">
              <w:rPr>
                <w:rFonts w:ascii="Cambria" w:hAnsi="Cambria" w:cs="Calibri"/>
                <w:lang w:val="it-IT"/>
              </w:rPr>
              <w:t>kolegija</w:t>
            </w:r>
            <w:proofErr w:type="spellEnd"/>
            <w:r w:rsidRPr="00B25532">
              <w:rPr>
                <w:rFonts w:ascii="Cambria" w:hAnsi="Cambria" w:cs="Calibri"/>
                <w:lang w:val="it-IT"/>
              </w:rPr>
              <w:t xml:space="preserve"> </w:t>
            </w:r>
            <w:proofErr w:type="spellStart"/>
            <w:r w:rsidRPr="00B25532">
              <w:rPr>
                <w:rFonts w:ascii="Cambria" w:hAnsi="Cambria" w:cs="Calibri"/>
                <w:lang w:val="it-IT"/>
              </w:rPr>
              <w:t>Metodika</w:t>
            </w:r>
            <w:proofErr w:type="spellEnd"/>
            <w:r w:rsidRPr="00B25532">
              <w:rPr>
                <w:rFonts w:ascii="Cambria" w:hAnsi="Cambria" w:cs="Calibri"/>
                <w:lang w:val="it-IT"/>
              </w:rPr>
              <w:t xml:space="preserve"> </w:t>
            </w:r>
            <w:proofErr w:type="spellStart"/>
            <w:r w:rsidRPr="00B25532">
              <w:rPr>
                <w:rFonts w:ascii="Cambria" w:hAnsi="Cambria" w:cs="Calibri"/>
                <w:lang w:val="it-IT"/>
              </w:rPr>
              <w:t>nastave</w:t>
            </w:r>
            <w:proofErr w:type="spellEnd"/>
            <w:r w:rsidRPr="00B25532">
              <w:rPr>
                <w:rFonts w:ascii="Cambria" w:hAnsi="Cambria" w:cs="Calibri"/>
                <w:lang w:val="it-IT"/>
              </w:rPr>
              <w:t xml:space="preserve"> </w:t>
            </w:r>
            <w:proofErr w:type="spellStart"/>
            <w:r w:rsidRPr="00B25532">
              <w:rPr>
                <w:rFonts w:ascii="Cambria" w:hAnsi="Cambria" w:cs="Calibri"/>
                <w:lang w:val="it-IT"/>
              </w:rPr>
              <w:t>matematike</w:t>
            </w:r>
            <w:proofErr w:type="spellEnd"/>
            <w:r w:rsidRPr="00B25532">
              <w:rPr>
                <w:rFonts w:ascii="Cambria" w:hAnsi="Cambria" w:cs="Calibri"/>
                <w:lang w:val="it-IT"/>
              </w:rPr>
              <w:t xml:space="preserve"> III </w:t>
            </w:r>
            <w:proofErr w:type="spellStart"/>
            <w:r w:rsidRPr="00B25532">
              <w:rPr>
                <w:rFonts w:ascii="Cambria" w:hAnsi="Cambria" w:cs="Calibri"/>
                <w:lang w:val="it-IT"/>
              </w:rPr>
              <w:t>student</w:t>
            </w:r>
            <w:proofErr w:type="spellEnd"/>
            <w:r w:rsidRPr="00B25532">
              <w:rPr>
                <w:rFonts w:ascii="Cambria" w:hAnsi="Cambria" w:cs="Calibri"/>
                <w:lang w:val="it-IT"/>
              </w:rPr>
              <w:t xml:space="preserve"> </w:t>
            </w:r>
            <w:proofErr w:type="spellStart"/>
            <w:r w:rsidRPr="00B25532">
              <w:rPr>
                <w:rFonts w:ascii="Cambria" w:hAnsi="Cambria" w:cs="Calibri"/>
                <w:lang w:val="it-IT"/>
              </w:rPr>
              <w:t>treba</w:t>
            </w:r>
            <w:proofErr w:type="spellEnd"/>
            <w:r w:rsidRPr="00B25532">
              <w:rPr>
                <w:rFonts w:ascii="Cambria" w:hAnsi="Cambria" w:cs="Calibri"/>
                <w:lang w:val="it-IT"/>
              </w:rPr>
              <w:t xml:space="preserve"> </w:t>
            </w:r>
            <w:proofErr w:type="spellStart"/>
            <w:r w:rsidRPr="00B25532">
              <w:rPr>
                <w:rFonts w:ascii="Cambria" w:hAnsi="Cambria" w:cs="Calibri"/>
                <w:lang w:val="it-IT"/>
              </w:rPr>
              <w:t>položiti</w:t>
            </w:r>
            <w:proofErr w:type="spellEnd"/>
            <w:r w:rsidRPr="00B25532">
              <w:rPr>
                <w:rFonts w:ascii="Cambria" w:hAnsi="Cambria" w:cs="Calibri"/>
                <w:lang w:val="it-IT"/>
              </w:rPr>
              <w:t xml:space="preserve"> </w:t>
            </w:r>
            <w:proofErr w:type="spellStart"/>
            <w:r w:rsidRPr="00B25532">
              <w:rPr>
                <w:rFonts w:ascii="Cambria" w:hAnsi="Cambria" w:cs="Calibri"/>
                <w:lang w:val="it-IT"/>
              </w:rPr>
              <w:t>kolegij</w:t>
            </w:r>
            <w:proofErr w:type="spellEnd"/>
            <w:r w:rsidRPr="00B25532">
              <w:rPr>
                <w:rFonts w:ascii="Cambria" w:hAnsi="Cambria" w:cs="Calibri"/>
                <w:lang w:val="it-IT"/>
              </w:rPr>
              <w:t xml:space="preserve"> </w:t>
            </w:r>
            <w:proofErr w:type="spellStart"/>
            <w:r w:rsidRPr="00B25532">
              <w:rPr>
                <w:rFonts w:ascii="Cambria" w:hAnsi="Cambria" w:cs="Calibri"/>
                <w:lang w:val="it-IT"/>
              </w:rPr>
              <w:t>Metodika</w:t>
            </w:r>
            <w:proofErr w:type="spellEnd"/>
            <w:r w:rsidRPr="00B25532">
              <w:rPr>
                <w:rFonts w:ascii="Cambria" w:hAnsi="Cambria" w:cs="Calibri"/>
                <w:lang w:val="it-IT"/>
              </w:rPr>
              <w:t xml:space="preserve"> </w:t>
            </w:r>
            <w:proofErr w:type="spellStart"/>
            <w:r w:rsidRPr="00B25532">
              <w:rPr>
                <w:rFonts w:ascii="Cambria" w:hAnsi="Cambria" w:cs="Calibri"/>
                <w:lang w:val="it-IT"/>
              </w:rPr>
              <w:t>nastave</w:t>
            </w:r>
            <w:proofErr w:type="spellEnd"/>
            <w:r w:rsidRPr="00B25532">
              <w:rPr>
                <w:rFonts w:ascii="Cambria" w:hAnsi="Cambria" w:cs="Calibri"/>
                <w:lang w:val="it-IT"/>
              </w:rPr>
              <w:t xml:space="preserve"> </w:t>
            </w:r>
            <w:proofErr w:type="spellStart"/>
            <w:r w:rsidRPr="00B25532">
              <w:rPr>
                <w:rFonts w:ascii="Cambria" w:hAnsi="Cambria" w:cs="Calibri"/>
                <w:lang w:val="it-IT"/>
              </w:rPr>
              <w:t>matematike</w:t>
            </w:r>
            <w:proofErr w:type="spellEnd"/>
            <w:r w:rsidRPr="00B25532">
              <w:rPr>
                <w:rFonts w:ascii="Cambria" w:hAnsi="Cambria" w:cs="Calibri"/>
                <w:lang w:val="it-IT"/>
              </w:rPr>
              <w:t xml:space="preserve"> II (</w:t>
            </w:r>
            <w:proofErr w:type="spellStart"/>
            <w:r w:rsidRPr="00B25532">
              <w:rPr>
                <w:rFonts w:ascii="Cambria" w:hAnsi="Cambria" w:cs="Calibri"/>
                <w:lang w:val="it-IT"/>
              </w:rPr>
              <w:t>vezani</w:t>
            </w:r>
            <w:proofErr w:type="spellEnd"/>
            <w:r w:rsidRPr="00B25532">
              <w:rPr>
                <w:rFonts w:ascii="Cambria" w:hAnsi="Cambria" w:cs="Calibri"/>
                <w:lang w:val="it-IT"/>
              </w:rPr>
              <w:t xml:space="preserve"> </w:t>
            </w:r>
            <w:proofErr w:type="spellStart"/>
            <w:r w:rsidRPr="00B25532">
              <w:rPr>
                <w:rFonts w:ascii="Cambria" w:hAnsi="Cambria" w:cs="Calibri"/>
                <w:lang w:val="it-IT"/>
              </w:rPr>
              <w:t>kolegiji</w:t>
            </w:r>
            <w:proofErr w:type="spellEnd"/>
            <w:r w:rsidRPr="00B25532">
              <w:rPr>
                <w:rFonts w:ascii="Cambria" w:hAnsi="Cambria" w:cs="Calibri"/>
                <w:lang w:val="it-IT"/>
              </w:rPr>
              <w:t>).</w:t>
            </w:r>
          </w:p>
        </w:tc>
      </w:tr>
      <w:tr w:rsidR="00B25532" w:rsidRPr="00D0399C" w14:paraId="657292F7" w14:textId="77777777" w:rsidTr="00727BE6">
        <w:tc>
          <w:tcPr>
            <w:tcW w:w="218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27D7BEC" w14:textId="77777777" w:rsidR="00B25532" w:rsidRPr="00A62FBD" w:rsidRDefault="00B25532" w:rsidP="0039661B">
            <w:pPr>
              <w:spacing w:after="0" w:line="240" w:lineRule="auto"/>
              <w:rPr>
                <w:rFonts w:ascii="Cambria" w:hAnsi="Cambria" w:cs="Calibri"/>
              </w:rPr>
            </w:pPr>
            <w:proofErr w:type="spellStart"/>
            <w:r w:rsidRPr="00A62FBD">
              <w:rPr>
                <w:rFonts w:ascii="Cambria" w:hAnsi="Cambria" w:cs="Calibri"/>
              </w:rPr>
              <w:t>Korelativnost</w:t>
            </w:r>
            <w:proofErr w:type="spellEnd"/>
          </w:p>
        </w:tc>
        <w:tc>
          <w:tcPr>
            <w:tcW w:w="7588"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DE6AC74" w14:textId="3F9BBDBE" w:rsidR="00B25532" w:rsidRPr="00B25532" w:rsidRDefault="00B25532" w:rsidP="0039661B">
            <w:pPr>
              <w:autoSpaceDE w:val="0"/>
              <w:autoSpaceDN w:val="0"/>
              <w:adjustRightInd w:val="0"/>
              <w:spacing w:after="0" w:line="240" w:lineRule="auto"/>
              <w:rPr>
                <w:rFonts w:ascii="Cambria" w:hAnsi="Cambria" w:cs="Calibri"/>
                <w:lang w:val="it-IT"/>
              </w:rPr>
            </w:pPr>
            <w:proofErr w:type="spellStart"/>
            <w:r w:rsidRPr="00B25532">
              <w:rPr>
                <w:rFonts w:ascii="Cambria" w:hAnsi="Cambria" w:cs="Calibri"/>
                <w:lang w:val="it-IT"/>
              </w:rPr>
              <w:t>Metodika</w:t>
            </w:r>
            <w:proofErr w:type="spellEnd"/>
            <w:r w:rsidRPr="00B25532">
              <w:rPr>
                <w:rFonts w:ascii="Cambria" w:hAnsi="Cambria" w:cs="Calibri"/>
                <w:lang w:val="it-IT"/>
              </w:rPr>
              <w:t xml:space="preserve"> </w:t>
            </w:r>
            <w:proofErr w:type="spellStart"/>
            <w:r w:rsidRPr="00B25532">
              <w:rPr>
                <w:rFonts w:ascii="Cambria" w:hAnsi="Cambria" w:cs="Calibri"/>
                <w:lang w:val="it-IT"/>
              </w:rPr>
              <w:t>nastave</w:t>
            </w:r>
            <w:proofErr w:type="spellEnd"/>
            <w:r w:rsidRPr="00B25532">
              <w:rPr>
                <w:rFonts w:ascii="Cambria" w:hAnsi="Cambria" w:cs="Calibri"/>
                <w:lang w:val="it-IT"/>
              </w:rPr>
              <w:t xml:space="preserve"> </w:t>
            </w:r>
            <w:proofErr w:type="spellStart"/>
            <w:r w:rsidRPr="00B25532">
              <w:rPr>
                <w:rFonts w:ascii="Cambria" w:hAnsi="Cambria" w:cs="Calibri"/>
                <w:lang w:val="it-IT"/>
              </w:rPr>
              <w:t>matematike</w:t>
            </w:r>
            <w:proofErr w:type="spellEnd"/>
            <w:r w:rsidRPr="00B25532">
              <w:rPr>
                <w:rFonts w:ascii="Cambria" w:hAnsi="Cambria" w:cs="Calibri"/>
                <w:lang w:val="it-IT"/>
              </w:rPr>
              <w:t xml:space="preserve"> I </w:t>
            </w:r>
            <w:proofErr w:type="spellStart"/>
            <w:r w:rsidRPr="00B25532">
              <w:rPr>
                <w:rFonts w:ascii="Cambria" w:hAnsi="Cambria" w:cs="Calibri"/>
                <w:lang w:val="it-IT"/>
              </w:rPr>
              <w:t>i</w:t>
            </w:r>
            <w:proofErr w:type="spellEnd"/>
            <w:r w:rsidRPr="00B25532">
              <w:rPr>
                <w:rFonts w:ascii="Cambria" w:hAnsi="Cambria" w:cs="Calibri"/>
                <w:lang w:val="it-IT"/>
              </w:rPr>
              <w:t xml:space="preserve"> </w:t>
            </w:r>
            <w:proofErr w:type="spellStart"/>
            <w:r w:rsidRPr="00B25532">
              <w:rPr>
                <w:rFonts w:ascii="Cambria" w:hAnsi="Cambria" w:cs="Calibri"/>
                <w:lang w:val="it-IT"/>
              </w:rPr>
              <w:t>Metodika</w:t>
            </w:r>
            <w:proofErr w:type="spellEnd"/>
            <w:r w:rsidRPr="00B25532">
              <w:rPr>
                <w:rFonts w:ascii="Cambria" w:hAnsi="Cambria" w:cs="Calibri"/>
                <w:lang w:val="it-IT"/>
              </w:rPr>
              <w:t xml:space="preserve"> </w:t>
            </w:r>
            <w:proofErr w:type="spellStart"/>
            <w:r w:rsidRPr="00B25532">
              <w:rPr>
                <w:rFonts w:ascii="Cambria" w:hAnsi="Cambria" w:cs="Calibri"/>
                <w:lang w:val="it-IT"/>
              </w:rPr>
              <w:t>nastave</w:t>
            </w:r>
            <w:proofErr w:type="spellEnd"/>
            <w:r w:rsidRPr="00B25532">
              <w:rPr>
                <w:rFonts w:ascii="Cambria" w:hAnsi="Cambria" w:cs="Calibri"/>
                <w:lang w:val="it-IT"/>
              </w:rPr>
              <w:t xml:space="preserve"> </w:t>
            </w:r>
            <w:proofErr w:type="spellStart"/>
            <w:r w:rsidRPr="00B25532">
              <w:rPr>
                <w:rFonts w:ascii="Cambria" w:hAnsi="Cambria" w:cs="Calibri"/>
                <w:lang w:val="it-IT"/>
              </w:rPr>
              <w:t>matematike</w:t>
            </w:r>
            <w:proofErr w:type="spellEnd"/>
            <w:r w:rsidRPr="00B25532">
              <w:rPr>
                <w:rFonts w:ascii="Cambria" w:hAnsi="Cambria" w:cs="Calibri"/>
                <w:lang w:val="it-IT"/>
              </w:rPr>
              <w:t xml:space="preserve"> II.</w:t>
            </w:r>
            <w:r w:rsidR="0039661B">
              <w:rPr>
                <w:rFonts w:ascii="Cambria" w:hAnsi="Cambria" w:cs="Calibri"/>
                <w:lang w:val="it-IT"/>
              </w:rPr>
              <w:t xml:space="preserve">, </w:t>
            </w:r>
            <w:proofErr w:type="spellStart"/>
            <w:r w:rsidRPr="00B25532">
              <w:rPr>
                <w:rFonts w:ascii="Cambria" w:hAnsi="Cambria" w:cs="Calibri"/>
                <w:lang w:val="it-IT"/>
              </w:rPr>
              <w:t>Osnove</w:t>
            </w:r>
            <w:proofErr w:type="spellEnd"/>
            <w:r w:rsidRPr="00B25532">
              <w:rPr>
                <w:rFonts w:ascii="Cambria" w:hAnsi="Cambria" w:cs="Calibri"/>
                <w:lang w:val="it-IT"/>
              </w:rPr>
              <w:t xml:space="preserve"> </w:t>
            </w:r>
            <w:proofErr w:type="spellStart"/>
            <w:r w:rsidRPr="00B25532">
              <w:rPr>
                <w:rFonts w:ascii="Cambria" w:hAnsi="Cambria" w:cs="Calibri"/>
                <w:lang w:val="it-IT"/>
              </w:rPr>
              <w:t>matematike</w:t>
            </w:r>
            <w:proofErr w:type="spellEnd"/>
            <w:r w:rsidRPr="00B25532">
              <w:rPr>
                <w:rFonts w:ascii="Cambria" w:hAnsi="Cambria" w:cs="Calibri"/>
                <w:lang w:val="it-IT"/>
              </w:rPr>
              <w:t xml:space="preserve"> i </w:t>
            </w:r>
            <w:proofErr w:type="spellStart"/>
            <w:r w:rsidRPr="00B25532">
              <w:rPr>
                <w:rFonts w:ascii="Cambria" w:hAnsi="Cambria" w:cs="Calibri"/>
                <w:lang w:val="it-IT"/>
              </w:rPr>
              <w:t>Elementarna</w:t>
            </w:r>
            <w:proofErr w:type="spellEnd"/>
            <w:r w:rsidRPr="00B25532">
              <w:rPr>
                <w:rFonts w:ascii="Cambria" w:hAnsi="Cambria" w:cs="Calibri"/>
                <w:lang w:val="it-IT"/>
              </w:rPr>
              <w:t xml:space="preserve"> </w:t>
            </w:r>
            <w:proofErr w:type="spellStart"/>
            <w:r w:rsidRPr="00B25532">
              <w:rPr>
                <w:rFonts w:ascii="Cambria" w:hAnsi="Cambria" w:cs="Calibri"/>
                <w:lang w:val="it-IT"/>
              </w:rPr>
              <w:t>geometrija</w:t>
            </w:r>
            <w:proofErr w:type="spellEnd"/>
          </w:p>
        </w:tc>
      </w:tr>
      <w:tr w:rsidR="00B25532" w:rsidRPr="00A62FBD" w14:paraId="7BC52768" w14:textId="77777777" w:rsidTr="00727BE6">
        <w:tc>
          <w:tcPr>
            <w:tcW w:w="218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77CE9BD" w14:textId="77777777" w:rsidR="00B25532" w:rsidRPr="00A62FBD" w:rsidRDefault="00B25532" w:rsidP="0039661B">
            <w:pPr>
              <w:spacing w:after="0" w:line="240" w:lineRule="auto"/>
              <w:rPr>
                <w:rFonts w:ascii="Cambria" w:hAnsi="Cambria" w:cs="Calibri"/>
              </w:rPr>
            </w:pPr>
            <w:proofErr w:type="spellStart"/>
            <w:r w:rsidRPr="00A62FBD">
              <w:rPr>
                <w:rFonts w:ascii="Cambria" w:hAnsi="Cambria" w:cs="Calibri"/>
              </w:rPr>
              <w:t>Cilj</w:t>
            </w:r>
            <w:proofErr w:type="spellEnd"/>
            <w:r w:rsidRPr="00A62FBD">
              <w:rPr>
                <w:rFonts w:ascii="Cambria" w:hAnsi="Cambria" w:cs="Calibri"/>
              </w:rPr>
              <w:t xml:space="preserve"> </w:t>
            </w:r>
            <w:proofErr w:type="spellStart"/>
            <w:r w:rsidRPr="00A62FBD">
              <w:rPr>
                <w:rFonts w:ascii="Cambria" w:hAnsi="Cambria" w:cs="Calibri"/>
              </w:rPr>
              <w:t>kolegija</w:t>
            </w:r>
            <w:proofErr w:type="spellEnd"/>
            <w:r w:rsidRPr="00A62FBD">
              <w:rPr>
                <w:rFonts w:ascii="Cambria" w:hAnsi="Cambria" w:cs="Calibri"/>
              </w:rPr>
              <w:t xml:space="preserve"> </w:t>
            </w:r>
          </w:p>
        </w:tc>
        <w:tc>
          <w:tcPr>
            <w:tcW w:w="7588"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E1FF9F7" w14:textId="0BE7CB0B" w:rsidR="00B25532" w:rsidRPr="00134569" w:rsidRDefault="0039661B" w:rsidP="0039661B">
            <w:pPr>
              <w:autoSpaceDE w:val="0"/>
              <w:autoSpaceDN w:val="0"/>
              <w:adjustRightInd w:val="0"/>
              <w:spacing w:after="0" w:line="240" w:lineRule="auto"/>
              <w:rPr>
                <w:rFonts w:ascii="Cambria" w:hAnsi="Cambria" w:cs="Calibri"/>
              </w:rPr>
            </w:pPr>
            <w:proofErr w:type="spellStart"/>
            <w:r>
              <w:rPr>
                <w:rFonts w:ascii="Cambria" w:hAnsi="Cambria" w:cs="Calibri"/>
              </w:rPr>
              <w:t>u</w:t>
            </w:r>
            <w:r w:rsidR="00B25532" w:rsidRPr="00303EC5">
              <w:rPr>
                <w:rFonts w:ascii="Cambria" w:hAnsi="Cambria" w:cs="Calibri"/>
              </w:rPr>
              <w:t>svojiti</w:t>
            </w:r>
            <w:proofErr w:type="spellEnd"/>
            <w:r w:rsidR="00B25532" w:rsidRPr="00303EC5">
              <w:rPr>
                <w:rFonts w:ascii="Cambria" w:hAnsi="Cambria" w:cs="Calibri"/>
              </w:rPr>
              <w:t xml:space="preserve"> </w:t>
            </w:r>
            <w:proofErr w:type="spellStart"/>
            <w:r w:rsidR="00B25532" w:rsidRPr="00303EC5">
              <w:rPr>
                <w:rFonts w:ascii="Cambria" w:hAnsi="Cambria" w:cs="Calibri"/>
              </w:rPr>
              <w:t>kompetencije</w:t>
            </w:r>
            <w:proofErr w:type="spellEnd"/>
            <w:r w:rsidR="00B25532" w:rsidRPr="00303EC5">
              <w:rPr>
                <w:rFonts w:ascii="Cambria" w:hAnsi="Cambria" w:cs="Calibri"/>
              </w:rPr>
              <w:t xml:space="preserve"> za </w:t>
            </w:r>
            <w:proofErr w:type="spellStart"/>
            <w:r w:rsidR="00B25532" w:rsidRPr="00303EC5">
              <w:rPr>
                <w:rFonts w:ascii="Cambria" w:hAnsi="Cambria" w:cs="Calibri"/>
              </w:rPr>
              <w:t>poučavanje</w:t>
            </w:r>
            <w:proofErr w:type="spellEnd"/>
            <w:r w:rsidR="00B25532" w:rsidRPr="00303EC5">
              <w:rPr>
                <w:rFonts w:ascii="Cambria" w:hAnsi="Cambria" w:cs="Calibri"/>
              </w:rPr>
              <w:t xml:space="preserve"> </w:t>
            </w:r>
            <w:proofErr w:type="spellStart"/>
            <w:r w:rsidR="00B25532" w:rsidRPr="00303EC5">
              <w:rPr>
                <w:rFonts w:ascii="Cambria" w:hAnsi="Cambria" w:cs="Calibri"/>
              </w:rPr>
              <w:t>matematike</w:t>
            </w:r>
            <w:proofErr w:type="spellEnd"/>
            <w:r w:rsidR="00B25532" w:rsidRPr="00303EC5">
              <w:rPr>
                <w:rFonts w:ascii="Cambria" w:hAnsi="Cambria" w:cs="Calibri"/>
              </w:rPr>
              <w:t xml:space="preserve"> u </w:t>
            </w:r>
            <w:proofErr w:type="spellStart"/>
            <w:r w:rsidR="00B25532" w:rsidRPr="00303EC5">
              <w:rPr>
                <w:rFonts w:ascii="Cambria" w:hAnsi="Cambria" w:cs="Calibri"/>
              </w:rPr>
              <w:t>razrednoj</w:t>
            </w:r>
            <w:proofErr w:type="spellEnd"/>
            <w:r w:rsidR="00B25532" w:rsidRPr="00303EC5">
              <w:rPr>
                <w:rFonts w:ascii="Cambria" w:hAnsi="Cambria" w:cs="Calibri"/>
              </w:rPr>
              <w:t xml:space="preserve"> </w:t>
            </w:r>
            <w:proofErr w:type="spellStart"/>
            <w:r w:rsidR="00B25532" w:rsidRPr="00303EC5">
              <w:rPr>
                <w:rFonts w:ascii="Cambria" w:hAnsi="Cambria" w:cs="Calibri"/>
              </w:rPr>
              <w:t>nastavi</w:t>
            </w:r>
            <w:proofErr w:type="spellEnd"/>
          </w:p>
        </w:tc>
      </w:tr>
      <w:tr w:rsidR="00B25532" w:rsidRPr="00D0399C" w14:paraId="4AB55727" w14:textId="77777777" w:rsidTr="00727BE6">
        <w:tc>
          <w:tcPr>
            <w:tcW w:w="218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585C734" w14:textId="77777777" w:rsidR="00B25532" w:rsidRPr="00A62FBD" w:rsidRDefault="00B25532" w:rsidP="0039661B">
            <w:pPr>
              <w:spacing w:after="0" w:line="240" w:lineRule="auto"/>
              <w:rPr>
                <w:rFonts w:ascii="Cambria" w:hAnsi="Cambria" w:cs="Calibri"/>
              </w:rPr>
            </w:pPr>
            <w:proofErr w:type="spellStart"/>
            <w:r w:rsidRPr="00A62FBD">
              <w:rPr>
                <w:rFonts w:ascii="Cambria" w:hAnsi="Cambria" w:cs="Calibri"/>
              </w:rPr>
              <w:t>Ishodi</w:t>
            </w:r>
            <w:proofErr w:type="spellEnd"/>
            <w:r w:rsidRPr="00A62FBD">
              <w:rPr>
                <w:rFonts w:ascii="Cambria" w:hAnsi="Cambria" w:cs="Calibri"/>
              </w:rPr>
              <w:t xml:space="preserve"> </w:t>
            </w:r>
            <w:proofErr w:type="spellStart"/>
            <w:r w:rsidRPr="00A62FBD">
              <w:rPr>
                <w:rFonts w:ascii="Cambria" w:hAnsi="Cambria" w:cs="Calibri"/>
              </w:rPr>
              <w:t>učenja</w:t>
            </w:r>
            <w:proofErr w:type="spellEnd"/>
          </w:p>
        </w:tc>
        <w:tc>
          <w:tcPr>
            <w:tcW w:w="7588"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837EAA3" w14:textId="3CDB12E1" w:rsidR="00B25532" w:rsidRPr="00A57714" w:rsidRDefault="00A57714" w:rsidP="00A57714">
            <w:pPr>
              <w:autoSpaceDE w:val="0"/>
              <w:autoSpaceDN w:val="0"/>
              <w:adjustRightInd w:val="0"/>
              <w:spacing w:after="0" w:line="240" w:lineRule="auto"/>
              <w:rPr>
                <w:rFonts w:ascii="Cambria" w:hAnsi="Cambria"/>
              </w:rPr>
            </w:pPr>
            <w:r>
              <w:rPr>
                <w:rFonts w:ascii="Cambria" w:hAnsi="Cambria"/>
              </w:rPr>
              <w:t xml:space="preserve">1. </w:t>
            </w:r>
            <w:proofErr w:type="spellStart"/>
            <w:r w:rsidR="00B25532" w:rsidRPr="00A57714">
              <w:rPr>
                <w:rFonts w:ascii="Cambria" w:hAnsi="Cambria"/>
              </w:rPr>
              <w:t>pripremiti</w:t>
            </w:r>
            <w:proofErr w:type="spellEnd"/>
            <w:r w:rsidR="00B25532" w:rsidRPr="00A57714">
              <w:rPr>
                <w:rFonts w:ascii="Cambria" w:hAnsi="Cambria"/>
              </w:rPr>
              <w:t xml:space="preserve"> </w:t>
            </w:r>
            <w:proofErr w:type="spellStart"/>
            <w:r w:rsidR="00B25532" w:rsidRPr="00A57714">
              <w:rPr>
                <w:rFonts w:ascii="Cambria" w:hAnsi="Cambria"/>
              </w:rPr>
              <w:t>nastavni</w:t>
            </w:r>
            <w:proofErr w:type="spellEnd"/>
            <w:r w:rsidR="00B25532" w:rsidRPr="00A57714">
              <w:rPr>
                <w:rFonts w:ascii="Cambria" w:hAnsi="Cambria"/>
              </w:rPr>
              <w:t xml:space="preserve"> sat </w:t>
            </w:r>
            <w:proofErr w:type="spellStart"/>
            <w:r w:rsidR="00B25532" w:rsidRPr="00A57714">
              <w:rPr>
                <w:rFonts w:ascii="Cambria" w:hAnsi="Cambria"/>
              </w:rPr>
              <w:t>matematike</w:t>
            </w:r>
            <w:proofErr w:type="spellEnd"/>
            <w:r w:rsidR="00B25532" w:rsidRPr="00A57714">
              <w:rPr>
                <w:rFonts w:ascii="Cambria" w:hAnsi="Cambria"/>
              </w:rPr>
              <w:t xml:space="preserve"> </w:t>
            </w:r>
            <w:proofErr w:type="spellStart"/>
            <w:r w:rsidR="00B25532" w:rsidRPr="00A57714">
              <w:rPr>
                <w:rFonts w:ascii="Cambria" w:hAnsi="Cambria"/>
              </w:rPr>
              <w:t>uz</w:t>
            </w:r>
            <w:proofErr w:type="spellEnd"/>
            <w:r w:rsidR="00B25532" w:rsidRPr="00A57714">
              <w:rPr>
                <w:rFonts w:ascii="Cambria" w:hAnsi="Cambria"/>
              </w:rPr>
              <w:t xml:space="preserve"> </w:t>
            </w:r>
            <w:proofErr w:type="spellStart"/>
            <w:r w:rsidR="00B25532" w:rsidRPr="00A57714">
              <w:rPr>
                <w:rFonts w:ascii="Cambria" w:hAnsi="Cambria"/>
              </w:rPr>
              <w:t>korištenje</w:t>
            </w:r>
            <w:proofErr w:type="spellEnd"/>
            <w:r w:rsidR="00B25532" w:rsidRPr="00A57714">
              <w:rPr>
                <w:rFonts w:ascii="Cambria" w:hAnsi="Cambria"/>
              </w:rPr>
              <w:t xml:space="preserve"> literature </w:t>
            </w:r>
            <w:proofErr w:type="spellStart"/>
            <w:r w:rsidR="00B25532" w:rsidRPr="00A57714">
              <w:rPr>
                <w:rFonts w:ascii="Cambria" w:hAnsi="Cambria"/>
              </w:rPr>
              <w:t>aktualizirajući</w:t>
            </w:r>
            <w:proofErr w:type="spellEnd"/>
            <w:r w:rsidR="00B25532" w:rsidRPr="00A57714">
              <w:rPr>
                <w:rFonts w:ascii="Cambria" w:hAnsi="Cambria"/>
              </w:rPr>
              <w:t xml:space="preserve"> mat. </w:t>
            </w:r>
            <w:proofErr w:type="spellStart"/>
            <w:r w:rsidR="00B25532" w:rsidRPr="00A57714">
              <w:rPr>
                <w:rFonts w:ascii="Cambria" w:hAnsi="Cambria"/>
              </w:rPr>
              <w:t>sadržaje</w:t>
            </w:r>
            <w:proofErr w:type="spellEnd"/>
            <w:r w:rsidR="00B25532" w:rsidRPr="00A57714">
              <w:rPr>
                <w:rFonts w:ascii="Cambria" w:hAnsi="Cambria"/>
              </w:rPr>
              <w:t xml:space="preserve"> </w:t>
            </w:r>
            <w:proofErr w:type="spellStart"/>
            <w:r w:rsidR="00B25532" w:rsidRPr="00A57714">
              <w:rPr>
                <w:rFonts w:ascii="Cambria" w:hAnsi="Cambria"/>
              </w:rPr>
              <w:t>kroz</w:t>
            </w:r>
            <w:proofErr w:type="spellEnd"/>
            <w:r w:rsidR="00B25532" w:rsidRPr="00A57714">
              <w:rPr>
                <w:rFonts w:ascii="Cambria" w:hAnsi="Cambria"/>
              </w:rPr>
              <w:t xml:space="preserve"> </w:t>
            </w:r>
            <w:proofErr w:type="spellStart"/>
            <w:r w:rsidR="00B25532" w:rsidRPr="00A57714">
              <w:rPr>
                <w:rFonts w:ascii="Cambria" w:hAnsi="Cambria"/>
              </w:rPr>
              <w:t>suvremene</w:t>
            </w:r>
            <w:proofErr w:type="spellEnd"/>
            <w:r w:rsidR="00B25532" w:rsidRPr="00A57714">
              <w:rPr>
                <w:rFonts w:ascii="Cambria" w:hAnsi="Cambria"/>
              </w:rPr>
              <w:t xml:space="preserve"> </w:t>
            </w:r>
            <w:proofErr w:type="spellStart"/>
            <w:r w:rsidR="00B25532" w:rsidRPr="00A57714">
              <w:rPr>
                <w:rFonts w:ascii="Cambria" w:hAnsi="Cambria"/>
              </w:rPr>
              <w:t>strategije</w:t>
            </w:r>
            <w:proofErr w:type="spellEnd"/>
            <w:r w:rsidR="00B25532" w:rsidRPr="00A57714">
              <w:rPr>
                <w:rFonts w:ascii="Cambria" w:hAnsi="Cambria"/>
              </w:rPr>
              <w:t xml:space="preserve"> </w:t>
            </w:r>
            <w:proofErr w:type="spellStart"/>
            <w:r w:rsidR="00B25532" w:rsidRPr="00A57714">
              <w:rPr>
                <w:rFonts w:ascii="Cambria" w:hAnsi="Cambria"/>
              </w:rPr>
              <w:t>učenja</w:t>
            </w:r>
            <w:proofErr w:type="spellEnd"/>
            <w:r w:rsidR="00B25532" w:rsidRPr="00A57714">
              <w:rPr>
                <w:rFonts w:ascii="Cambria" w:hAnsi="Cambria"/>
              </w:rPr>
              <w:t xml:space="preserve"> </w:t>
            </w:r>
            <w:proofErr w:type="spellStart"/>
            <w:r w:rsidR="00B25532" w:rsidRPr="00A57714">
              <w:rPr>
                <w:rFonts w:ascii="Cambria" w:hAnsi="Cambria"/>
              </w:rPr>
              <w:t>i</w:t>
            </w:r>
            <w:proofErr w:type="spellEnd"/>
            <w:r w:rsidR="00B25532" w:rsidRPr="00A57714">
              <w:rPr>
                <w:rFonts w:ascii="Cambria" w:hAnsi="Cambria"/>
              </w:rPr>
              <w:t xml:space="preserve"> </w:t>
            </w:r>
            <w:proofErr w:type="spellStart"/>
            <w:r w:rsidR="00B25532" w:rsidRPr="00A57714">
              <w:rPr>
                <w:rFonts w:ascii="Cambria" w:hAnsi="Cambria"/>
              </w:rPr>
              <w:t>poučavanja</w:t>
            </w:r>
            <w:proofErr w:type="spellEnd"/>
            <w:r w:rsidR="00B25532" w:rsidRPr="00A57714">
              <w:rPr>
                <w:rStyle w:val="Referencakomentara"/>
                <w:rFonts w:ascii="Cambria" w:hAnsi="Cambria"/>
                <w:sz w:val="22"/>
                <w:szCs w:val="22"/>
                <w:lang w:eastAsia="zh-CN"/>
              </w:rPr>
              <w:t xml:space="preserve"> </w:t>
            </w:r>
          </w:p>
          <w:p w14:paraId="64313366" w14:textId="5C6C1E6A" w:rsidR="00B25532" w:rsidRPr="00A57714" w:rsidRDefault="00A57714" w:rsidP="00A57714">
            <w:pPr>
              <w:autoSpaceDE w:val="0"/>
              <w:autoSpaceDN w:val="0"/>
              <w:adjustRightInd w:val="0"/>
              <w:spacing w:after="0" w:line="240" w:lineRule="auto"/>
              <w:rPr>
                <w:rFonts w:ascii="Cambria" w:hAnsi="Cambria"/>
                <w:lang w:val="it-IT"/>
              </w:rPr>
            </w:pPr>
            <w:r w:rsidRPr="00A57714">
              <w:rPr>
                <w:rFonts w:ascii="Cambria" w:hAnsi="Cambria"/>
                <w:lang w:val="it-IT"/>
              </w:rPr>
              <w:t xml:space="preserve">2. </w:t>
            </w:r>
            <w:proofErr w:type="spellStart"/>
            <w:r w:rsidR="00B25532" w:rsidRPr="00A57714">
              <w:rPr>
                <w:rFonts w:ascii="Cambria" w:hAnsi="Cambria"/>
                <w:lang w:val="it-IT"/>
              </w:rPr>
              <w:t>izvoditi</w:t>
            </w:r>
            <w:proofErr w:type="spellEnd"/>
            <w:r w:rsidR="00B25532" w:rsidRPr="00A57714">
              <w:rPr>
                <w:rFonts w:ascii="Cambria" w:hAnsi="Cambria"/>
                <w:lang w:val="it-IT"/>
              </w:rPr>
              <w:t xml:space="preserve"> </w:t>
            </w:r>
            <w:proofErr w:type="spellStart"/>
            <w:r w:rsidR="00B25532" w:rsidRPr="00A57714">
              <w:rPr>
                <w:rFonts w:ascii="Cambria" w:hAnsi="Cambria"/>
                <w:lang w:val="it-IT"/>
              </w:rPr>
              <w:t>nastavni</w:t>
            </w:r>
            <w:proofErr w:type="spellEnd"/>
            <w:r w:rsidR="00B25532" w:rsidRPr="00A57714">
              <w:rPr>
                <w:rFonts w:ascii="Cambria" w:hAnsi="Cambria"/>
                <w:lang w:val="it-IT"/>
              </w:rPr>
              <w:t xml:space="preserve"> </w:t>
            </w:r>
            <w:proofErr w:type="spellStart"/>
            <w:r w:rsidR="00B25532" w:rsidRPr="00A57714">
              <w:rPr>
                <w:rFonts w:ascii="Cambria" w:hAnsi="Cambria"/>
                <w:lang w:val="it-IT"/>
              </w:rPr>
              <w:t>sat</w:t>
            </w:r>
            <w:proofErr w:type="spellEnd"/>
            <w:r w:rsidR="00B25532" w:rsidRPr="00A57714">
              <w:rPr>
                <w:rFonts w:ascii="Cambria" w:hAnsi="Cambria"/>
                <w:lang w:val="it-IT"/>
              </w:rPr>
              <w:t xml:space="preserve"> prema </w:t>
            </w:r>
            <w:proofErr w:type="spellStart"/>
            <w:r w:rsidR="00B25532" w:rsidRPr="00A57714">
              <w:rPr>
                <w:rFonts w:ascii="Cambria" w:hAnsi="Cambria"/>
                <w:lang w:val="it-IT"/>
              </w:rPr>
              <w:t>napisanoj</w:t>
            </w:r>
            <w:proofErr w:type="spellEnd"/>
            <w:r w:rsidR="00B25532" w:rsidRPr="00A57714">
              <w:rPr>
                <w:rFonts w:ascii="Cambria" w:hAnsi="Cambria"/>
                <w:lang w:val="it-IT"/>
              </w:rPr>
              <w:t xml:space="preserve"> </w:t>
            </w:r>
            <w:proofErr w:type="spellStart"/>
            <w:r w:rsidR="00B25532" w:rsidRPr="00A57714">
              <w:rPr>
                <w:rFonts w:ascii="Cambria" w:hAnsi="Cambria"/>
                <w:lang w:val="it-IT"/>
              </w:rPr>
              <w:t>pripravi</w:t>
            </w:r>
            <w:proofErr w:type="spellEnd"/>
          </w:p>
          <w:p w14:paraId="4E8DB522" w14:textId="0B6B1863" w:rsidR="00B25532" w:rsidRPr="00A57714" w:rsidRDefault="00A57714" w:rsidP="00A57714">
            <w:pPr>
              <w:autoSpaceDE w:val="0"/>
              <w:autoSpaceDN w:val="0"/>
              <w:adjustRightInd w:val="0"/>
              <w:spacing w:after="0" w:line="240" w:lineRule="auto"/>
              <w:rPr>
                <w:rFonts w:ascii="Cambria" w:hAnsi="Cambria"/>
                <w:lang w:val="it-IT"/>
              </w:rPr>
            </w:pPr>
            <w:r w:rsidRPr="00A57714">
              <w:rPr>
                <w:rFonts w:ascii="Cambria" w:hAnsi="Cambria"/>
                <w:lang w:val="it-IT"/>
              </w:rPr>
              <w:t>3.</w:t>
            </w:r>
            <w:r>
              <w:rPr>
                <w:rFonts w:ascii="Cambria" w:hAnsi="Cambria"/>
                <w:lang w:val="it-IT"/>
              </w:rPr>
              <w:t xml:space="preserve"> </w:t>
            </w:r>
            <w:proofErr w:type="spellStart"/>
            <w:r w:rsidR="00B25532" w:rsidRPr="00A57714">
              <w:rPr>
                <w:rFonts w:ascii="Cambria" w:hAnsi="Cambria"/>
                <w:lang w:val="it-IT"/>
              </w:rPr>
              <w:t>surađivati</w:t>
            </w:r>
            <w:proofErr w:type="spellEnd"/>
            <w:r w:rsidR="00B25532" w:rsidRPr="00A57714">
              <w:rPr>
                <w:rFonts w:ascii="Cambria" w:hAnsi="Cambria"/>
                <w:lang w:val="it-IT"/>
              </w:rPr>
              <w:t xml:space="preserve"> s </w:t>
            </w:r>
            <w:proofErr w:type="spellStart"/>
            <w:r w:rsidR="00B25532" w:rsidRPr="00A57714">
              <w:rPr>
                <w:rFonts w:ascii="Cambria" w:hAnsi="Cambria"/>
                <w:lang w:val="it-IT"/>
              </w:rPr>
              <w:t>drugim</w:t>
            </w:r>
            <w:proofErr w:type="spellEnd"/>
            <w:r w:rsidR="00B25532" w:rsidRPr="00A57714">
              <w:rPr>
                <w:rFonts w:ascii="Cambria" w:hAnsi="Cambria"/>
                <w:lang w:val="it-IT"/>
              </w:rPr>
              <w:t xml:space="preserve"> </w:t>
            </w:r>
            <w:proofErr w:type="spellStart"/>
            <w:r w:rsidR="00B25532" w:rsidRPr="00A57714">
              <w:rPr>
                <w:rFonts w:ascii="Cambria" w:hAnsi="Cambria"/>
                <w:lang w:val="it-IT"/>
              </w:rPr>
              <w:t>učiteljima</w:t>
            </w:r>
            <w:proofErr w:type="spellEnd"/>
            <w:r w:rsidR="00B25532" w:rsidRPr="00A57714">
              <w:rPr>
                <w:rFonts w:ascii="Cambria" w:hAnsi="Cambria"/>
                <w:lang w:val="it-IT"/>
              </w:rPr>
              <w:t xml:space="preserve">, </w:t>
            </w:r>
            <w:proofErr w:type="spellStart"/>
            <w:r w:rsidR="00B25532" w:rsidRPr="00A57714">
              <w:rPr>
                <w:rFonts w:ascii="Cambria" w:hAnsi="Cambria"/>
                <w:lang w:val="it-IT"/>
              </w:rPr>
              <w:t>metodičarima</w:t>
            </w:r>
            <w:proofErr w:type="spellEnd"/>
            <w:r w:rsidR="00B25532" w:rsidRPr="00A57714">
              <w:rPr>
                <w:rFonts w:ascii="Cambria" w:hAnsi="Cambria"/>
                <w:lang w:val="it-IT"/>
              </w:rPr>
              <w:t xml:space="preserve"> i </w:t>
            </w:r>
            <w:proofErr w:type="spellStart"/>
            <w:r w:rsidR="00B25532" w:rsidRPr="00A57714">
              <w:rPr>
                <w:rFonts w:ascii="Cambria" w:hAnsi="Cambria"/>
                <w:lang w:val="it-IT"/>
              </w:rPr>
              <w:t>ostalim</w:t>
            </w:r>
            <w:proofErr w:type="spellEnd"/>
            <w:r w:rsidR="00B25532" w:rsidRPr="00A57714">
              <w:rPr>
                <w:rFonts w:ascii="Cambria" w:hAnsi="Cambria"/>
                <w:lang w:val="it-IT"/>
              </w:rPr>
              <w:t xml:space="preserve"> </w:t>
            </w:r>
            <w:proofErr w:type="spellStart"/>
            <w:r w:rsidR="00B25532" w:rsidRPr="00A57714">
              <w:rPr>
                <w:rFonts w:ascii="Cambria" w:hAnsi="Cambria"/>
                <w:lang w:val="it-IT"/>
              </w:rPr>
              <w:t>sudionicima</w:t>
            </w:r>
            <w:proofErr w:type="spellEnd"/>
            <w:r w:rsidR="00B25532" w:rsidRPr="00A57714">
              <w:rPr>
                <w:rFonts w:ascii="Cambria" w:hAnsi="Cambria"/>
                <w:lang w:val="it-IT"/>
              </w:rPr>
              <w:t xml:space="preserve"> </w:t>
            </w:r>
            <w:proofErr w:type="spellStart"/>
            <w:r w:rsidR="00B25532" w:rsidRPr="00A57714">
              <w:rPr>
                <w:rFonts w:ascii="Cambria" w:hAnsi="Cambria"/>
                <w:lang w:val="it-IT"/>
              </w:rPr>
              <w:t>nastavnog</w:t>
            </w:r>
            <w:proofErr w:type="spellEnd"/>
            <w:r w:rsidR="00B25532" w:rsidRPr="00A57714">
              <w:rPr>
                <w:rFonts w:ascii="Cambria" w:hAnsi="Cambria"/>
                <w:lang w:val="it-IT"/>
              </w:rPr>
              <w:t xml:space="preserve"> </w:t>
            </w:r>
            <w:proofErr w:type="spellStart"/>
            <w:r w:rsidR="00B25532" w:rsidRPr="00A57714">
              <w:rPr>
                <w:rFonts w:ascii="Cambria" w:hAnsi="Cambria"/>
                <w:lang w:val="it-IT"/>
              </w:rPr>
              <w:t>procesa</w:t>
            </w:r>
            <w:proofErr w:type="spellEnd"/>
          </w:p>
          <w:p w14:paraId="2D6AB477" w14:textId="2CF3743D" w:rsidR="00B25532" w:rsidRPr="00A57714" w:rsidRDefault="00A57714" w:rsidP="00A57714">
            <w:pPr>
              <w:autoSpaceDE w:val="0"/>
              <w:autoSpaceDN w:val="0"/>
              <w:adjustRightInd w:val="0"/>
              <w:spacing w:after="0" w:line="240" w:lineRule="auto"/>
              <w:rPr>
                <w:rFonts w:ascii="Cambria" w:hAnsi="Cambria"/>
                <w:lang w:val="it-IT"/>
              </w:rPr>
            </w:pPr>
            <w:r w:rsidRPr="00A57714">
              <w:rPr>
                <w:rFonts w:ascii="Cambria" w:hAnsi="Cambria"/>
                <w:lang w:val="it-IT"/>
              </w:rPr>
              <w:t>4.</w:t>
            </w:r>
            <w:r>
              <w:rPr>
                <w:rFonts w:ascii="Cambria" w:hAnsi="Cambria"/>
                <w:lang w:val="it-IT"/>
              </w:rPr>
              <w:t xml:space="preserve"> </w:t>
            </w:r>
            <w:proofErr w:type="spellStart"/>
            <w:r w:rsidR="00B25532" w:rsidRPr="00A57714">
              <w:rPr>
                <w:rFonts w:ascii="Cambria" w:hAnsi="Cambria"/>
                <w:lang w:val="it-IT"/>
              </w:rPr>
              <w:t>sudjelovati</w:t>
            </w:r>
            <w:proofErr w:type="spellEnd"/>
            <w:r w:rsidR="00B25532" w:rsidRPr="00A57714">
              <w:rPr>
                <w:rFonts w:ascii="Cambria" w:hAnsi="Cambria"/>
                <w:lang w:val="it-IT"/>
              </w:rPr>
              <w:t xml:space="preserve"> u </w:t>
            </w:r>
            <w:proofErr w:type="spellStart"/>
            <w:r w:rsidR="00B25532" w:rsidRPr="00A57714">
              <w:rPr>
                <w:rFonts w:ascii="Cambria" w:hAnsi="Cambria"/>
                <w:lang w:val="it-IT"/>
              </w:rPr>
              <w:t>kvalitetnoj</w:t>
            </w:r>
            <w:proofErr w:type="spellEnd"/>
            <w:r w:rsidR="00B25532" w:rsidRPr="00A57714">
              <w:rPr>
                <w:rFonts w:ascii="Cambria" w:hAnsi="Cambria"/>
                <w:lang w:val="it-IT"/>
              </w:rPr>
              <w:t xml:space="preserve"> </w:t>
            </w:r>
            <w:proofErr w:type="spellStart"/>
            <w:r w:rsidR="00B25532" w:rsidRPr="00A57714">
              <w:rPr>
                <w:rFonts w:ascii="Cambria" w:hAnsi="Cambria"/>
                <w:lang w:val="it-IT"/>
              </w:rPr>
              <w:t>diskusiji</w:t>
            </w:r>
            <w:proofErr w:type="spellEnd"/>
            <w:r w:rsidR="00B25532" w:rsidRPr="00A57714">
              <w:rPr>
                <w:rFonts w:ascii="Cambria" w:hAnsi="Cambria"/>
                <w:lang w:val="it-IT"/>
              </w:rPr>
              <w:t xml:space="preserve"> o </w:t>
            </w:r>
            <w:proofErr w:type="spellStart"/>
            <w:r w:rsidR="00B25532" w:rsidRPr="00A57714">
              <w:rPr>
                <w:rFonts w:ascii="Cambria" w:hAnsi="Cambria"/>
                <w:lang w:val="it-IT"/>
              </w:rPr>
              <w:t>temama</w:t>
            </w:r>
            <w:proofErr w:type="spellEnd"/>
            <w:r w:rsidR="00B25532" w:rsidRPr="00A57714">
              <w:rPr>
                <w:rFonts w:ascii="Cambria" w:hAnsi="Cambria"/>
                <w:lang w:val="it-IT"/>
              </w:rPr>
              <w:t xml:space="preserve"> </w:t>
            </w:r>
            <w:proofErr w:type="spellStart"/>
            <w:r w:rsidR="00B25532" w:rsidRPr="00A57714">
              <w:rPr>
                <w:rFonts w:ascii="Cambria" w:hAnsi="Cambria"/>
                <w:lang w:val="it-IT"/>
              </w:rPr>
              <w:t>iz</w:t>
            </w:r>
            <w:proofErr w:type="spellEnd"/>
            <w:r w:rsidR="00B25532" w:rsidRPr="00A57714">
              <w:rPr>
                <w:rFonts w:ascii="Cambria" w:hAnsi="Cambria"/>
                <w:lang w:val="it-IT"/>
              </w:rPr>
              <w:t xml:space="preserve"> </w:t>
            </w:r>
            <w:proofErr w:type="spellStart"/>
            <w:r w:rsidR="00B25532" w:rsidRPr="00A57714">
              <w:rPr>
                <w:rFonts w:ascii="Cambria" w:hAnsi="Cambria"/>
                <w:lang w:val="it-IT"/>
              </w:rPr>
              <w:t>metodike</w:t>
            </w:r>
            <w:proofErr w:type="spellEnd"/>
            <w:r w:rsidR="00B25532" w:rsidRPr="00A57714">
              <w:rPr>
                <w:rFonts w:ascii="Cambria" w:hAnsi="Cambria"/>
                <w:lang w:val="it-IT"/>
              </w:rPr>
              <w:t xml:space="preserve"> </w:t>
            </w:r>
            <w:proofErr w:type="spellStart"/>
            <w:r w:rsidR="00B25532" w:rsidRPr="00A57714">
              <w:rPr>
                <w:rFonts w:ascii="Cambria" w:hAnsi="Cambria"/>
                <w:lang w:val="it-IT"/>
              </w:rPr>
              <w:t>matematike</w:t>
            </w:r>
            <w:proofErr w:type="spellEnd"/>
          </w:p>
          <w:p w14:paraId="719A0E45" w14:textId="6C3A7391" w:rsidR="00B25532" w:rsidRPr="00A57714" w:rsidRDefault="00A57714" w:rsidP="00A57714">
            <w:pPr>
              <w:spacing w:after="0" w:line="240" w:lineRule="auto"/>
              <w:rPr>
                <w:rFonts w:ascii="Cambria" w:hAnsi="Cambria"/>
                <w:lang w:val="it-IT"/>
              </w:rPr>
            </w:pPr>
            <w:r w:rsidRPr="00A57714">
              <w:rPr>
                <w:rFonts w:ascii="Cambria" w:hAnsi="Cambria"/>
                <w:lang w:val="it-IT"/>
              </w:rPr>
              <w:t xml:space="preserve">5. </w:t>
            </w:r>
            <w:proofErr w:type="spellStart"/>
            <w:r w:rsidR="00B25532" w:rsidRPr="00A57714">
              <w:rPr>
                <w:rFonts w:ascii="Cambria" w:hAnsi="Cambria"/>
                <w:lang w:val="it-IT"/>
              </w:rPr>
              <w:t>provoditi</w:t>
            </w:r>
            <w:proofErr w:type="spellEnd"/>
            <w:r w:rsidR="00B25532" w:rsidRPr="00A57714">
              <w:rPr>
                <w:rFonts w:ascii="Cambria" w:hAnsi="Cambria"/>
                <w:lang w:val="it-IT"/>
              </w:rPr>
              <w:t xml:space="preserve"> </w:t>
            </w:r>
            <w:proofErr w:type="spellStart"/>
            <w:r w:rsidR="00B25532" w:rsidRPr="00A57714">
              <w:rPr>
                <w:rFonts w:ascii="Cambria" w:hAnsi="Cambria"/>
                <w:lang w:val="it-IT"/>
              </w:rPr>
              <w:t>opažanje</w:t>
            </w:r>
            <w:proofErr w:type="spellEnd"/>
            <w:r w:rsidR="00B25532" w:rsidRPr="00A57714">
              <w:rPr>
                <w:rFonts w:ascii="Cambria" w:hAnsi="Cambria"/>
                <w:lang w:val="it-IT"/>
              </w:rPr>
              <w:t xml:space="preserve"> i </w:t>
            </w:r>
            <w:proofErr w:type="spellStart"/>
            <w:r w:rsidR="00B25532" w:rsidRPr="00A57714">
              <w:rPr>
                <w:rFonts w:ascii="Cambria" w:hAnsi="Cambria"/>
                <w:lang w:val="it-IT"/>
              </w:rPr>
              <w:t>vrednovanje</w:t>
            </w:r>
            <w:proofErr w:type="spellEnd"/>
            <w:r w:rsidR="00B25532" w:rsidRPr="00A57714">
              <w:rPr>
                <w:rFonts w:ascii="Cambria" w:hAnsi="Cambria"/>
                <w:lang w:val="it-IT"/>
              </w:rPr>
              <w:t xml:space="preserve"> </w:t>
            </w:r>
            <w:proofErr w:type="spellStart"/>
            <w:r w:rsidR="00B25532" w:rsidRPr="00A57714">
              <w:rPr>
                <w:rFonts w:ascii="Cambria" w:hAnsi="Cambria"/>
                <w:lang w:val="it-IT"/>
              </w:rPr>
              <w:t>nastavnog</w:t>
            </w:r>
            <w:proofErr w:type="spellEnd"/>
            <w:r w:rsidR="00B25532" w:rsidRPr="00A57714">
              <w:rPr>
                <w:rFonts w:ascii="Cambria" w:hAnsi="Cambria"/>
                <w:lang w:val="it-IT"/>
              </w:rPr>
              <w:t xml:space="preserve"> </w:t>
            </w:r>
            <w:proofErr w:type="spellStart"/>
            <w:r w:rsidR="00B25532" w:rsidRPr="00A57714">
              <w:rPr>
                <w:rFonts w:ascii="Cambria" w:hAnsi="Cambria"/>
                <w:lang w:val="it-IT"/>
              </w:rPr>
              <w:t>sata</w:t>
            </w:r>
            <w:proofErr w:type="spellEnd"/>
            <w:r w:rsidR="00B25532" w:rsidRPr="00A57714">
              <w:rPr>
                <w:rFonts w:ascii="Cambria" w:hAnsi="Cambria"/>
                <w:lang w:val="it-IT"/>
              </w:rPr>
              <w:t xml:space="preserve"> </w:t>
            </w:r>
          </w:p>
          <w:p w14:paraId="3E22737D" w14:textId="0AF76302" w:rsidR="00B25532" w:rsidRPr="00A57714" w:rsidRDefault="00A57714" w:rsidP="00A57714">
            <w:pPr>
              <w:spacing w:after="0" w:line="240" w:lineRule="auto"/>
              <w:rPr>
                <w:rFonts w:ascii="Cambria" w:hAnsi="Cambria" w:cs="Calibri"/>
                <w:lang w:val="it-IT"/>
              </w:rPr>
            </w:pPr>
            <w:r w:rsidRPr="00A57714">
              <w:rPr>
                <w:rFonts w:ascii="Cambria" w:hAnsi="Cambria"/>
                <w:lang w:val="it-IT"/>
              </w:rPr>
              <w:t>6.</w:t>
            </w:r>
            <w:r>
              <w:rPr>
                <w:rFonts w:ascii="Cambria" w:hAnsi="Cambria"/>
                <w:lang w:val="it-IT"/>
              </w:rPr>
              <w:t xml:space="preserve"> </w:t>
            </w:r>
            <w:proofErr w:type="spellStart"/>
            <w:r w:rsidR="00B25532" w:rsidRPr="00A57714">
              <w:rPr>
                <w:rFonts w:ascii="Cambria" w:hAnsi="Cambria"/>
                <w:lang w:val="it-IT"/>
              </w:rPr>
              <w:t>napisati</w:t>
            </w:r>
            <w:proofErr w:type="spellEnd"/>
            <w:r w:rsidR="00B25532" w:rsidRPr="00A57714">
              <w:rPr>
                <w:rFonts w:ascii="Cambria" w:hAnsi="Cambria"/>
                <w:lang w:val="it-IT"/>
              </w:rPr>
              <w:t xml:space="preserve"> </w:t>
            </w:r>
            <w:proofErr w:type="spellStart"/>
            <w:r w:rsidR="00B25532" w:rsidRPr="00A57714">
              <w:rPr>
                <w:rFonts w:ascii="Cambria" w:hAnsi="Cambria"/>
                <w:lang w:val="it-IT"/>
              </w:rPr>
              <w:t>dokument</w:t>
            </w:r>
            <w:proofErr w:type="spellEnd"/>
            <w:r w:rsidR="00B25532" w:rsidRPr="00A57714">
              <w:rPr>
                <w:rFonts w:ascii="Cambria" w:hAnsi="Cambria"/>
                <w:lang w:val="it-IT"/>
              </w:rPr>
              <w:t xml:space="preserve"> za </w:t>
            </w:r>
            <w:proofErr w:type="spellStart"/>
            <w:r w:rsidR="00B25532" w:rsidRPr="00A57714">
              <w:rPr>
                <w:rFonts w:ascii="Cambria" w:hAnsi="Cambria"/>
                <w:lang w:val="it-IT"/>
              </w:rPr>
              <w:t>izvođenje</w:t>
            </w:r>
            <w:proofErr w:type="spellEnd"/>
            <w:r w:rsidR="00B25532" w:rsidRPr="00A57714">
              <w:rPr>
                <w:rFonts w:ascii="Cambria" w:hAnsi="Cambria"/>
                <w:lang w:val="it-IT"/>
              </w:rPr>
              <w:t xml:space="preserve"> </w:t>
            </w:r>
            <w:proofErr w:type="spellStart"/>
            <w:r w:rsidR="00B25532" w:rsidRPr="00A57714">
              <w:rPr>
                <w:rFonts w:ascii="Cambria" w:hAnsi="Cambria"/>
                <w:lang w:val="it-IT"/>
              </w:rPr>
              <w:t>projekta</w:t>
            </w:r>
            <w:proofErr w:type="spellEnd"/>
            <w:r w:rsidR="00B25532" w:rsidRPr="00A57714">
              <w:rPr>
                <w:rFonts w:ascii="Cambria" w:hAnsi="Cambria"/>
                <w:lang w:val="it-IT"/>
              </w:rPr>
              <w:t xml:space="preserve"> u </w:t>
            </w:r>
            <w:proofErr w:type="spellStart"/>
            <w:r w:rsidR="00B25532" w:rsidRPr="00A57714">
              <w:rPr>
                <w:rFonts w:ascii="Cambria" w:hAnsi="Cambria"/>
                <w:lang w:val="it-IT"/>
              </w:rPr>
              <w:t>nastavi</w:t>
            </w:r>
            <w:proofErr w:type="spellEnd"/>
            <w:r w:rsidR="00B25532" w:rsidRPr="00A57714">
              <w:rPr>
                <w:rFonts w:ascii="Cambria" w:hAnsi="Cambria"/>
                <w:lang w:val="it-IT"/>
              </w:rPr>
              <w:t xml:space="preserve"> </w:t>
            </w:r>
            <w:proofErr w:type="spellStart"/>
            <w:r w:rsidR="00B25532" w:rsidRPr="00A57714">
              <w:rPr>
                <w:rFonts w:ascii="Cambria" w:hAnsi="Cambria"/>
                <w:lang w:val="it-IT"/>
              </w:rPr>
              <w:t>uvažavajući</w:t>
            </w:r>
            <w:proofErr w:type="spellEnd"/>
            <w:r w:rsidR="00B25532" w:rsidRPr="00A57714">
              <w:rPr>
                <w:rFonts w:ascii="Cambria" w:hAnsi="Cambria"/>
                <w:lang w:val="it-IT"/>
              </w:rPr>
              <w:t xml:space="preserve"> </w:t>
            </w:r>
            <w:proofErr w:type="spellStart"/>
            <w:r w:rsidR="00B25532" w:rsidRPr="00A57714">
              <w:rPr>
                <w:rFonts w:ascii="Cambria" w:hAnsi="Cambria"/>
                <w:lang w:val="it-IT"/>
              </w:rPr>
              <w:t>sve</w:t>
            </w:r>
            <w:proofErr w:type="spellEnd"/>
            <w:r w:rsidR="00B25532" w:rsidRPr="00A57714">
              <w:rPr>
                <w:rFonts w:ascii="Cambria" w:hAnsi="Cambria"/>
                <w:lang w:val="it-IT"/>
              </w:rPr>
              <w:t xml:space="preserve"> </w:t>
            </w:r>
            <w:proofErr w:type="spellStart"/>
            <w:r w:rsidR="00B25532" w:rsidRPr="00A57714">
              <w:rPr>
                <w:rFonts w:ascii="Cambria" w:hAnsi="Cambria"/>
                <w:lang w:val="it-IT"/>
              </w:rPr>
              <w:t>smjernice</w:t>
            </w:r>
            <w:proofErr w:type="spellEnd"/>
            <w:r w:rsidR="00B25532" w:rsidRPr="00A57714">
              <w:rPr>
                <w:rFonts w:ascii="Cambria" w:hAnsi="Cambria"/>
                <w:lang w:val="it-IT"/>
              </w:rPr>
              <w:t xml:space="preserve"> </w:t>
            </w:r>
            <w:proofErr w:type="spellStart"/>
            <w:r w:rsidR="00B25532" w:rsidRPr="00A57714">
              <w:rPr>
                <w:rFonts w:ascii="Cambria" w:hAnsi="Cambria"/>
                <w:lang w:val="it-IT"/>
              </w:rPr>
              <w:t>konstruktivističke</w:t>
            </w:r>
            <w:proofErr w:type="spellEnd"/>
            <w:r w:rsidR="00B25532" w:rsidRPr="00A57714">
              <w:rPr>
                <w:rFonts w:ascii="Cambria" w:hAnsi="Cambria"/>
                <w:lang w:val="it-IT"/>
              </w:rPr>
              <w:t xml:space="preserve"> </w:t>
            </w:r>
            <w:proofErr w:type="spellStart"/>
            <w:r w:rsidR="00B25532" w:rsidRPr="00A57714">
              <w:rPr>
                <w:rFonts w:ascii="Cambria" w:hAnsi="Cambria"/>
                <w:lang w:val="it-IT"/>
              </w:rPr>
              <w:t>paradigme</w:t>
            </w:r>
            <w:proofErr w:type="spellEnd"/>
          </w:p>
        </w:tc>
      </w:tr>
      <w:tr w:rsidR="00B25532" w:rsidRPr="00A62FBD" w14:paraId="62244FB3" w14:textId="77777777" w:rsidTr="00727BE6">
        <w:tc>
          <w:tcPr>
            <w:tcW w:w="2184"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29DD5DB8" w14:textId="77777777" w:rsidR="00B25532" w:rsidRPr="00A62FBD" w:rsidRDefault="00B25532" w:rsidP="0039661B">
            <w:pPr>
              <w:spacing w:after="0" w:line="240" w:lineRule="auto"/>
              <w:rPr>
                <w:rFonts w:ascii="Cambria" w:hAnsi="Cambria" w:cs="Calibri"/>
              </w:rPr>
            </w:pPr>
            <w:proofErr w:type="spellStart"/>
            <w:r w:rsidRPr="00A62FBD">
              <w:rPr>
                <w:rFonts w:ascii="Cambria" w:hAnsi="Cambria" w:cs="Calibri"/>
              </w:rPr>
              <w:t>Sadržaj</w:t>
            </w:r>
            <w:proofErr w:type="spellEnd"/>
            <w:r w:rsidRPr="00A62FBD">
              <w:rPr>
                <w:rFonts w:ascii="Cambria" w:hAnsi="Cambria" w:cs="Calibri"/>
              </w:rPr>
              <w:t xml:space="preserve"> </w:t>
            </w:r>
            <w:proofErr w:type="spellStart"/>
            <w:r w:rsidRPr="00A62FBD">
              <w:rPr>
                <w:rFonts w:ascii="Cambria" w:hAnsi="Cambria" w:cs="Calibri"/>
              </w:rPr>
              <w:t>kolegija</w:t>
            </w:r>
            <w:proofErr w:type="spellEnd"/>
          </w:p>
        </w:tc>
        <w:tc>
          <w:tcPr>
            <w:tcW w:w="7588" w:type="dxa"/>
            <w:gridSpan w:val="6"/>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C611A8F" w14:textId="1FB711A3" w:rsidR="00B25532" w:rsidRPr="00FB6606" w:rsidRDefault="00A57714" w:rsidP="00A57714">
            <w:pPr>
              <w:autoSpaceDE w:val="0"/>
              <w:autoSpaceDN w:val="0"/>
              <w:adjustRightInd w:val="0"/>
              <w:spacing w:after="0" w:line="240" w:lineRule="auto"/>
              <w:rPr>
                <w:rFonts w:ascii="Cambria" w:hAnsi="Cambria"/>
                <w:lang w:val="it-IT"/>
              </w:rPr>
            </w:pPr>
            <w:r>
              <w:rPr>
                <w:rFonts w:ascii="Cambria" w:hAnsi="Cambria"/>
              </w:rPr>
              <w:t xml:space="preserve">1. </w:t>
            </w:r>
            <w:proofErr w:type="spellStart"/>
            <w:r w:rsidR="00B25532" w:rsidRPr="00A57714">
              <w:rPr>
                <w:rFonts w:ascii="Cambria" w:hAnsi="Cambria"/>
              </w:rPr>
              <w:t>Projekti</w:t>
            </w:r>
            <w:proofErr w:type="spellEnd"/>
            <w:r w:rsidR="00B25532" w:rsidRPr="00A57714">
              <w:rPr>
                <w:rFonts w:ascii="Cambria" w:hAnsi="Cambria"/>
              </w:rPr>
              <w:t xml:space="preserve"> u </w:t>
            </w:r>
            <w:proofErr w:type="spellStart"/>
            <w:r w:rsidR="00B25532" w:rsidRPr="00A57714">
              <w:rPr>
                <w:rFonts w:ascii="Cambria" w:hAnsi="Cambria"/>
              </w:rPr>
              <w:t>nastavi</w:t>
            </w:r>
            <w:proofErr w:type="spellEnd"/>
            <w:r w:rsidR="00B25532" w:rsidRPr="00A57714">
              <w:rPr>
                <w:rFonts w:ascii="Cambria" w:hAnsi="Cambria"/>
              </w:rPr>
              <w:t xml:space="preserve"> </w:t>
            </w:r>
            <w:proofErr w:type="spellStart"/>
            <w:r w:rsidR="00B25532" w:rsidRPr="00A57714">
              <w:rPr>
                <w:rFonts w:ascii="Cambria" w:hAnsi="Cambria"/>
              </w:rPr>
              <w:t>matematike</w:t>
            </w:r>
            <w:proofErr w:type="spellEnd"/>
            <w:r w:rsidR="00B25532" w:rsidRPr="00A57714">
              <w:rPr>
                <w:rFonts w:ascii="Cambria" w:hAnsi="Cambria"/>
              </w:rPr>
              <w:t xml:space="preserve"> </w:t>
            </w:r>
            <w:proofErr w:type="spellStart"/>
            <w:r w:rsidR="00B25532" w:rsidRPr="00A57714">
              <w:rPr>
                <w:rFonts w:ascii="Cambria" w:hAnsi="Cambria"/>
              </w:rPr>
              <w:t>i</w:t>
            </w:r>
            <w:proofErr w:type="spellEnd"/>
            <w:r w:rsidR="00B25532" w:rsidRPr="00A57714">
              <w:rPr>
                <w:rFonts w:ascii="Cambria" w:hAnsi="Cambria"/>
              </w:rPr>
              <w:t xml:space="preserve"> </w:t>
            </w:r>
            <w:proofErr w:type="spellStart"/>
            <w:r w:rsidR="00B25532" w:rsidRPr="00A57714">
              <w:rPr>
                <w:rFonts w:ascii="Cambria" w:hAnsi="Cambria"/>
              </w:rPr>
              <w:t>konstruktivistička</w:t>
            </w:r>
            <w:proofErr w:type="spellEnd"/>
            <w:r w:rsidR="00B25532" w:rsidRPr="00A57714">
              <w:rPr>
                <w:rFonts w:ascii="Cambria" w:hAnsi="Cambria"/>
              </w:rPr>
              <w:t xml:space="preserve"> </w:t>
            </w:r>
            <w:proofErr w:type="spellStart"/>
            <w:r w:rsidR="00B25532" w:rsidRPr="00A57714">
              <w:rPr>
                <w:rFonts w:ascii="Cambria" w:hAnsi="Cambria"/>
              </w:rPr>
              <w:t>paradigma</w:t>
            </w:r>
            <w:proofErr w:type="spellEnd"/>
            <w:r w:rsidR="00B25532" w:rsidRPr="00A57714">
              <w:rPr>
                <w:rFonts w:ascii="Cambria" w:hAnsi="Cambria"/>
              </w:rPr>
              <w:t xml:space="preserve"> u </w:t>
            </w:r>
            <w:proofErr w:type="spellStart"/>
            <w:r w:rsidR="00B25532" w:rsidRPr="00A57714">
              <w:rPr>
                <w:rFonts w:ascii="Cambria" w:hAnsi="Cambria"/>
              </w:rPr>
              <w:t>planiranju</w:t>
            </w:r>
            <w:proofErr w:type="spellEnd"/>
            <w:r w:rsidR="00B25532" w:rsidRPr="00A57714">
              <w:rPr>
                <w:rFonts w:ascii="Cambria" w:hAnsi="Cambria"/>
              </w:rPr>
              <w:t xml:space="preserve"> </w:t>
            </w:r>
            <w:proofErr w:type="spellStart"/>
            <w:r w:rsidR="00B25532" w:rsidRPr="00A57714">
              <w:rPr>
                <w:rFonts w:ascii="Cambria" w:hAnsi="Cambria"/>
              </w:rPr>
              <w:t>projekta</w:t>
            </w:r>
            <w:proofErr w:type="spellEnd"/>
            <w:r w:rsidR="00B25532" w:rsidRPr="00A57714">
              <w:rPr>
                <w:rFonts w:ascii="Cambria" w:hAnsi="Cambria"/>
              </w:rPr>
              <w:t xml:space="preserve">. </w:t>
            </w:r>
            <w:proofErr w:type="spellStart"/>
            <w:r w:rsidR="00B25532" w:rsidRPr="00FB6606">
              <w:rPr>
                <w:rFonts w:ascii="Cambria" w:hAnsi="Cambria"/>
                <w:lang w:val="it-IT"/>
              </w:rPr>
              <w:t>Timski</w:t>
            </w:r>
            <w:proofErr w:type="spellEnd"/>
            <w:r w:rsidR="00B25532" w:rsidRPr="00FB6606">
              <w:rPr>
                <w:rFonts w:ascii="Cambria" w:hAnsi="Cambria"/>
                <w:lang w:val="it-IT"/>
              </w:rPr>
              <w:t xml:space="preserve"> rad. </w:t>
            </w:r>
          </w:p>
          <w:p w14:paraId="2444BB10" w14:textId="53BA8D70" w:rsidR="00B25532" w:rsidRPr="00FB6606" w:rsidRDefault="00A57714" w:rsidP="00A57714">
            <w:pPr>
              <w:autoSpaceDE w:val="0"/>
              <w:autoSpaceDN w:val="0"/>
              <w:adjustRightInd w:val="0"/>
              <w:spacing w:after="0" w:line="240" w:lineRule="auto"/>
              <w:rPr>
                <w:rFonts w:ascii="Cambria" w:hAnsi="Cambria"/>
                <w:lang w:val="it-IT"/>
              </w:rPr>
            </w:pPr>
            <w:r w:rsidRPr="00A57714">
              <w:rPr>
                <w:rFonts w:ascii="Cambria" w:hAnsi="Cambria"/>
                <w:lang w:val="it-IT"/>
              </w:rPr>
              <w:t xml:space="preserve">2. </w:t>
            </w:r>
            <w:proofErr w:type="spellStart"/>
            <w:r w:rsidR="00B25532" w:rsidRPr="00A57714">
              <w:rPr>
                <w:rFonts w:ascii="Cambria" w:hAnsi="Cambria"/>
                <w:lang w:val="it-IT"/>
              </w:rPr>
              <w:t>Priprema</w:t>
            </w:r>
            <w:proofErr w:type="spellEnd"/>
            <w:r w:rsidR="00B25532" w:rsidRPr="00A57714">
              <w:rPr>
                <w:rFonts w:ascii="Cambria" w:hAnsi="Cambria"/>
                <w:lang w:val="it-IT"/>
              </w:rPr>
              <w:t xml:space="preserve"> za </w:t>
            </w:r>
            <w:proofErr w:type="spellStart"/>
            <w:r w:rsidR="00B25532" w:rsidRPr="00A57714">
              <w:rPr>
                <w:rFonts w:ascii="Cambria" w:hAnsi="Cambria"/>
                <w:lang w:val="it-IT"/>
              </w:rPr>
              <w:t>nastavni</w:t>
            </w:r>
            <w:proofErr w:type="spellEnd"/>
            <w:r w:rsidR="00B25532" w:rsidRPr="00A57714">
              <w:rPr>
                <w:rFonts w:ascii="Cambria" w:hAnsi="Cambria"/>
                <w:lang w:val="it-IT"/>
              </w:rPr>
              <w:t xml:space="preserve"> </w:t>
            </w:r>
            <w:proofErr w:type="spellStart"/>
            <w:r w:rsidR="00B25532" w:rsidRPr="00A57714">
              <w:rPr>
                <w:rFonts w:ascii="Cambria" w:hAnsi="Cambria"/>
                <w:lang w:val="it-IT"/>
              </w:rPr>
              <w:t>sat</w:t>
            </w:r>
            <w:proofErr w:type="spellEnd"/>
            <w:r w:rsidR="00B25532" w:rsidRPr="00A57714">
              <w:rPr>
                <w:rFonts w:ascii="Cambria" w:hAnsi="Cambria"/>
                <w:lang w:val="it-IT"/>
              </w:rPr>
              <w:t xml:space="preserve"> </w:t>
            </w:r>
            <w:proofErr w:type="spellStart"/>
            <w:r w:rsidR="00B25532" w:rsidRPr="00A57714">
              <w:rPr>
                <w:rFonts w:ascii="Cambria" w:hAnsi="Cambria"/>
                <w:lang w:val="it-IT"/>
              </w:rPr>
              <w:t>iz</w:t>
            </w:r>
            <w:proofErr w:type="spellEnd"/>
            <w:r w:rsidR="00B25532" w:rsidRPr="00A57714">
              <w:rPr>
                <w:rFonts w:ascii="Cambria" w:hAnsi="Cambria"/>
                <w:lang w:val="it-IT"/>
              </w:rPr>
              <w:t xml:space="preserve"> </w:t>
            </w:r>
            <w:proofErr w:type="spellStart"/>
            <w:r w:rsidR="00B25532" w:rsidRPr="00A57714">
              <w:rPr>
                <w:rFonts w:ascii="Cambria" w:hAnsi="Cambria"/>
                <w:lang w:val="it-IT"/>
              </w:rPr>
              <w:t>matematike</w:t>
            </w:r>
            <w:proofErr w:type="spellEnd"/>
            <w:r w:rsidR="00B25532" w:rsidRPr="00A57714">
              <w:rPr>
                <w:rFonts w:ascii="Cambria" w:hAnsi="Cambria"/>
                <w:lang w:val="it-IT"/>
              </w:rPr>
              <w:t xml:space="preserve">. </w:t>
            </w:r>
            <w:proofErr w:type="spellStart"/>
            <w:r w:rsidR="00B25532" w:rsidRPr="00FB6606">
              <w:rPr>
                <w:rFonts w:ascii="Cambria" w:hAnsi="Cambria"/>
                <w:lang w:val="it-IT"/>
              </w:rPr>
              <w:t>Vrste</w:t>
            </w:r>
            <w:proofErr w:type="spellEnd"/>
            <w:r w:rsidR="00B25532" w:rsidRPr="00FB6606">
              <w:rPr>
                <w:rFonts w:ascii="Cambria" w:hAnsi="Cambria"/>
                <w:lang w:val="it-IT"/>
              </w:rPr>
              <w:t xml:space="preserve"> </w:t>
            </w:r>
            <w:proofErr w:type="spellStart"/>
            <w:r w:rsidR="00B25532" w:rsidRPr="00FB6606">
              <w:rPr>
                <w:rFonts w:ascii="Cambria" w:hAnsi="Cambria"/>
                <w:lang w:val="it-IT"/>
              </w:rPr>
              <w:t>nastave</w:t>
            </w:r>
            <w:proofErr w:type="spellEnd"/>
            <w:r w:rsidR="00B25532" w:rsidRPr="00FB6606">
              <w:rPr>
                <w:rFonts w:ascii="Cambria" w:hAnsi="Cambria"/>
                <w:lang w:val="it-IT"/>
              </w:rPr>
              <w:t xml:space="preserve"> i </w:t>
            </w:r>
            <w:proofErr w:type="spellStart"/>
            <w:r w:rsidR="00B25532" w:rsidRPr="00FB6606">
              <w:rPr>
                <w:rFonts w:ascii="Cambria" w:hAnsi="Cambria"/>
                <w:lang w:val="it-IT"/>
              </w:rPr>
              <w:t>metode</w:t>
            </w:r>
            <w:proofErr w:type="spellEnd"/>
            <w:r w:rsidR="00B25532" w:rsidRPr="00FB6606">
              <w:rPr>
                <w:rFonts w:ascii="Cambria" w:hAnsi="Cambria"/>
                <w:lang w:val="it-IT"/>
              </w:rPr>
              <w:t xml:space="preserve"> u </w:t>
            </w:r>
            <w:proofErr w:type="spellStart"/>
            <w:r w:rsidR="00B25532" w:rsidRPr="00FB6606">
              <w:rPr>
                <w:rFonts w:ascii="Cambria" w:hAnsi="Cambria"/>
                <w:lang w:val="it-IT"/>
              </w:rPr>
              <w:t>nastavi</w:t>
            </w:r>
            <w:proofErr w:type="spellEnd"/>
            <w:r w:rsidR="00B25532" w:rsidRPr="00FB6606">
              <w:rPr>
                <w:rFonts w:ascii="Cambria" w:hAnsi="Cambria"/>
                <w:lang w:val="it-IT"/>
              </w:rPr>
              <w:t xml:space="preserve"> </w:t>
            </w:r>
            <w:proofErr w:type="spellStart"/>
            <w:r w:rsidR="00B25532" w:rsidRPr="00FB6606">
              <w:rPr>
                <w:rFonts w:ascii="Cambria" w:hAnsi="Cambria"/>
                <w:lang w:val="it-IT"/>
              </w:rPr>
              <w:t>matematike</w:t>
            </w:r>
            <w:proofErr w:type="spellEnd"/>
            <w:r w:rsidR="00B25532" w:rsidRPr="00FB6606">
              <w:rPr>
                <w:rFonts w:ascii="Cambria" w:hAnsi="Cambria"/>
                <w:lang w:val="it-IT"/>
              </w:rPr>
              <w:t xml:space="preserve">. Radionica – </w:t>
            </w:r>
            <w:proofErr w:type="spellStart"/>
            <w:r w:rsidR="00B25532" w:rsidRPr="00FB6606">
              <w:rPr>
                <w:rFonts w:ascii="Cambria" w:hAnsi="Cambria"/>
                <w:lang w:val="it-IT"/>
              </w:rPr>
              <w:t>timski</w:t>
            </w:r>
            <w:proofErr w:type="spellEnd"/>
            <w:r w:rsidR="00B25532" w:rsidRPr="00FB6606">
              <w:rPr>
                <w:rFonts w:ascii="Cambria" w:hAnsi="Cambria"/>
                <w:lang w:val="it-IT"/>
              </w:rPr>
              <w:t xml:space="preserve"> rad. </w:t>
            </w:r>
            <w:proofErr w:type="spellStart"/>
            <w:r w:rsidR="00B25532" w:rsidRPr="00FB6606">
              <w:rPr>
                <w:rFonts w:ascii="Cambria" w:hAnsi="Cambria"/>
                <w:lang w:val="it-IT"/>
              </w:rPr>
              <w:t>Diskusija</w:t>
            </w:r>
            <w:proofErr w:type="spellEnd"/>
            <w:r w:rsidR="00B25532" w:rsidRPr="00FB6606">
              <w:rPr>
                <w:rFonts w:ascii="Cambria" w:hAnsi="Cambria"/>
                <w:lang w:val="it-IT"/>
              </w:rPr>
              <w:t xml:space="preserve"> </w:t>
            </w:r>
            <w:proofErr w:type="spellStart"/>
            <w:r w:rsidR="00B25532" w:rsidRPr="00FB6606">
              <w:rPr>
                <w:rFonts w:ascii="Cambria" w:hAnsi="Cambria"/>
                <w:lang w:val="it-IT"/>
              </w:rPr>
              <w:t>na</w:t>
            </w:r>
            <w:proofErr w:type="spellEnd"/>
            <w:r w:rsidR="00B25532" w:rsidRPr="00FB6606">
              <w:rPr>
                <w:rFonts w:ascii="Cambria" w:hAnsi="Cambria"/>
                <w:lang w:val="it-IT"/>
              </w:rPr>
              <w:t xml:space="preserve"> </w:t>
            </w:r>
            <w:proofErr w:type="spellStart"/>
            <w:r w:rsidR="00B25532" w:rsidRPr="00FB6606">
              <w:rPr>
                <w:rFonts w:ascii="Cambria" w:hAnsi="Cambria"/>
                <w:lang w:val="it-IT"/>
              </w:rPr>
              <w:t>temu</w:t>
            </w:r>
            <w:proofErr w:type="spellEnd"/>
            <w:r w:rsidR="00B25532" w:rsidRPr="00FB6606">
              <w:rPr>
                <w:rFonts w:ascii="Cambria" w:hAnsi="Cambria"/>
                <w:lang w:val="it-IT"/>
              </w:rPr>
              <w:t xml:space="preserve"> </w:t>
            </w:r>
            <w:proofErr w:type="spellStart"/>
            <w:r w:rsidR="00B25532" w:rsidRPr="00FB6606">
              <w:rPr>
                <w:rFonts w:ascii="Cambria" w:hAnsi="Cambria"/>
                <w:lang w:val="it-IT"/>
              </w:rPr>
              <w:t>pripremanja</w:t>
            </w:r>
            <w:proofErr w:type="spellEnd"/>
            <w:r w:rsidR="00B25532" w:rsidRPr="00FB6606">
              <w:rPr>
                <w:rFonts w:ascii="Cambria" w:hAnsi="Cambria"/>
                <w:lang w:val="it-IT"/>
              </w:rPr>
              <w:t xml:space="preserve"> za </w:t>
            </w:r>
            <w:proofErr w:type="spellStart"/>
            <w:r w:rsidR="00B25532" w:rsidRPr="00FB6606">
              <w:rPr>
                <w:rFonts w:ascii="Cambria" w:hAnsi="Cambria"/>
                <w:lang w:val="it-IT"/>
              </w:rPr>
              <w:t>nastavni</w:t>
            </w:r>
            <w:proofErr w:type="spellEnd"/>
            <w:r w:rsidR="00B25532" w:rsidRPr="00FB6606">
              <w:rPr>
                <w:rFonts w:ascii="Cambria" w:hAnsi="Cambria"/>
                <w:lang w:val="it-IT"/>
              </w:rPr>
              <w:t xml:space="preserve"> </w:t>
            </w:r>
            <w:proofErr w:type="spellStart"/>
            <w:r w:rsidR="00B25532" w:rsidRPr="00FB6606">
              <w:rPr>
                <w:rFonts w:ascii="Cambria" w:hAnsi="Cambria"/>
                <w:lang w:val="it-IT"/>
              </w:rPr>
              <w:t>sat</w:t>
            </w:r>
            <w:proofErr w:type="spellEnd"/>
            <w:r w:rsidR="00B25532" w:rsidRPr="00FB6606">
              <w:rPr>
                <w:rFonts w:ascii="Cambria" w:hAnsi="Cambria"/>
                <w:lang w:val="it-IT"/>
              </w:rPr>
              <w:t xml:space="preserve">. </w:t>
            </w:r>
          </w:p>
          <w:p w14:paraId="7BC929DA" w14:textId="315504F4" w:rsidR="00B25532" w:rsidRPr="00FB6606" w:rsidRDefault="00A57714" w:rsidP="00A57714">
            <w:pPr>
              <w:autoSpaceDE w:val="0"/>
              <w:autoSpaceDN w:val="0"/>
              <w:adjustRightInd w:val="0"/>
              <w:spacing w:after="0" w:line="240" w:lineRule="auto"/>
              <w:rPr>
                <w:rFonts w:ascii="Cambria" w:hAnsi="Cambria"/>
                <w:lang w:val="it-IT"/>
              </w:rPr>
            </w:pPr>
            <w:r w:rsidRPr="00FB6606">
              <w:rPr>
                <w:rFonts w:ascii="Cambria" w:hAnsi="Cambria"/>
                <w:lang w:val="it-IT"/>
              </w:rPr>
              <w:t xml:space="preserve">3. </w:t>
            </w:r>
            <w:proofErr w:type="spellStart"/>
            <w:r w:rsidR="00B25532" w:rsidRPr="00FB6606">
              <w:rPr>
                <w:rFonts w:ascii="Cambria" w:hAnsi="Cambria"/>
                <w:lang w:val="it-IT"/>
              </w:rPr>
              <w:t>Upoznavanje</w:t>
            </w:r>
            <w:proofErr w:type="spellEnd"/>
            <w:r w:rsidR="00B25532" w:rsidRPr="00FB6606">
              <w:rPr>
                <w:rFonts w:ascii="Cambria" w:hAnsi="Cambria"/>
                <w:lang w:val="it-IT"/>
              </w:rPr>
              <w:t xml:space="preserve"> s </w:t>
            </w:r>
            <w:proofErr w:type="spellStart"/>
            <w:r w:rsidR="00B25532" w:rsidRPr="00FB6606">
              <w:rPr>
                <w:rFonts w:ascii="Cambria" w:hAnsi="Cambria"/>
                <w:lang w:val="it-IT"/>
              </w:rPr>
              <w:t>vođenjem</w:t>
            </w:r>
            <w:proofErr w:type="spellEnd"/>
            <w:r w:rsidR="00B25532" w:rsidRPr="00FB6606">
              <w:rPr>
                <w:rFonts w:ascii="Cambria" w:hAnsi="Cambria"/>
                <w:lang w:val="it-IT"/>
              </w:rPr>
              <w:t xml:space="preserve"> </w:t>
            </w:r>
            <w:proofErr w:type="spellStart"/>
            <w:r w:rsidR="00B25532" w:rsidRPr="00FB6606">
              <w:rPr>
                <w:rFonts w:ascii="Cambria" w:hAnsi="Cambria"/>
                <w:lang w:val="it-IT"/>
              </w:rPr>
              <w:t>bilježaka</w:t>
            </w:r>
            <w:proofErr w:type="spellEnd"/>
            <w:r w:rsidR="00B25532" w:rsidRPr="00FB6606">
              <w:rPr>
                <w:rFonts w:ascii="Cambria" w:hAnsi="Cambria"/>
                <w:lang w:val="it-IT"/>
              </w:rPr>
              <w:t xml:space="preserve"> </w:t>
            </w:r>
            <w:proofErr w:type="spellStart"/>
            <w:r w:rsidR="00B25532" w:rsidRPr="00FB6606">
              <w:rPr>
                <w:rFonts w:ascii="Cambria" w:hAnsi="Cambria"/>
                <w:lang w:val="it-IT"/>
              </w:rPr>
              <w:t>prilikom</w:t>
            </w:r>
            <w:proofErr w:type="spellEnd"/>
            <w:r w:rsidR="00B25532" w:rsidRPr="00FB6606">
              <w:rPr>
                <w:rFonts w:ascii="Cambria" w:hAnsi="Cambria"/>
                <w:lang w:val="it-IT"/>
              </w:rPr>
              <w:t xml:space="preserve"> </w:t>
            </w:r>
            <w:proofErr w:type="spellStart"/>
            <w:r w:rsidR="00B25532" w:rsidRPr="00FB6606">
              <w:rPr>
                <w:rFonts w:ascii="Cambria" w:hAnsi="Cambria"/>
                <w:lang w:val="it-IT"/>
              </w:rPr>
              <w:t>hospitiranja</w:t>
            </w:r>
            <w:proofErr w:type="spellEnd"/>
            <w:r w:rsidR="00B25532" w:rsidRPr="00FB6606">
              <w:rPr>
                <w:rFonts w:ascii="Cambria" w:hAnsi="Cambria"/>
                <w:lang w:val="it-IT"/>
              </w:rPr>
              <w:t xml:space="preserve"> </w:t>
            </w:r>
            <w:proofErr w:type="spellStart"/>
            <w:r w:rsidR="00B25532" w:rsidRPr="00FB6606">
              <w:rPr>
                <w:rFonts w:ascii="Cambria" w:hAnsi="Cambria"/>
                <w:lang w:val="it-IT"/>
              </w:rPr>
              <w:t>na</w:t>
            </w:r>
            <w:proofErr w:type="spellEnd"/>
            <w:r w:rsidR="00B25532" w:rsidRPr="00FB6606">
              <w:rPr>
                <w:rFonts w:ascii="Cambria" w:hAnsi="Cambria"/>
                <w:lang w:val="it-IT"/>
              </w:rPr>
              <w:t xml:space="preserve"> </w:t>
            </w:r>
            <w:proofErr w:type="spellStart"/>
            <w:r w:rsidR="00B25532" w:rsidRPr="00FB6606">
              <w:rPr>
                <w:rFonts w:ascii="Cambria" w:hAnsi="Cambria"/>
                <w:lang w:val="it-IT"/>
              </w:rPr>
              <w:t>nastavnim</w:t>
            </w:r>
            <w:proofErr w:type="spellEnd"/>
            <w:r w:rsidR="00B25532" w:rsidRPr="00FB6606">
              <w:rPr>
                <w:rFonts w:ascii="Cambria" w:hAnsi="Cambria"/>
                <w:lang w:val="it-IT"/>
              </w:rPr>
              <w:t xml:space="preserve"> </w:t>
            </w:r>
            <w:proofErr w:type="spellStart"/>
            <w:r w:rsidR="00B25532" w:rsidRPr="00FB6606">
              <w:rPr>
                <w:rFonts w:ascii="Cambria" w:hAnsi="Cambria"/>
                <w:lang w:val="it-IT"/>
              </w:rPr>
              <w:t>satovima</w:t>
            </w:r>
            <w:proofErr w:type="spellEnd"/>
            <w:r w:rsidR="00B25532" w:rsidRPr="00FB6606">
              <w:rPr>
                <w:rFonts w:ascii="Cambria" w:hAnsi="Cambria"/>
                <w:lang w:val="it-IT"/>
              </w:rPr>
              <w:t xml:space="preserve">. </w:t>
            </w:r>
            <w:proofErr w:type="spellStart"/>
            <w:r w:rsidR="00B25532" w:rsidRPr="00FB6606">
              <w:rPr>
                <w:rFonts w:ascii="Cambria" w:hAnsi="Cambria"/>
                <w:lang w:val="it-IT"/>
              </w:rPr>
              <w:t>Pisanje</w:t>
            </w:r>
            <w:proofErr w:type="spellEnd"/>
            <w:r w:rsidR="00B25532" w:rsidRPr="00FB6606">
              <w:rPr>
                <w:rFonts w:ascii="Cambria" w:hAnsi="Cambria"/>
                <w:lang w:val="it-IT"/>
              </w:rPr>
              <w:t xml:space="preserve"> </w:t>
            </w:r>
            <w:proofErr w:type="spellStart"/>
            <w:r w:rsidR="00B25532" w:rsidRPr="00FB6606">
              <w:rPr>
                <w:rFonts w:ascii="Cambria" w:hAnsi="Cambria"/>
                <w:lang w:val="it-IT"/>
              </w:rPr>
              <w:t>osvrta</w:t>
            </w:r>
            <w:proofErr w:type="spellEnd"/>
            <w:r w:rsidR="00B25532" w:rsidRPr="00FB6606">
              <w:rPr>
                <w:rFonts w:ascii="Cambria" w:hAnsi="Cambria"/>
                <w:lang w:val="it-IT"/>
              </w:rPr>
              <w:t xml:space="preserve"> </w:t>
            </w:r>
            <w:proofErr w:type="spellStart"/>
            <w:r w:rsidR="00B25532" w:rsidRPr="00FB6606">
              <w:rPr>
                <w:rFonts w:ascii="Cambria" w:hAnsi="Cambria"/>
                <w:lang w:val="it-IT"/>
              </w:rPr>
              <w:t>na</w:t>
            </w:r>
            <w:proofErr w:type="spellEnd"/>
            <w:r w:rsidR="00B25532" w:rsidRPr="00FB6606">
              <w:rPr>
                <w:rFonts w:ascii="Cambria" w:hAnsi="Cambria"/>
                <w:lang w:val="it-IT"/>
              </w:rPr>
              <w:t xml:space="preserve"> </w:t>
            </w:r>
            <w:proofErr w:type="spellStart"/>
            <w:r w:rsidR="00B25532" w:rsidRPr="00FB6606">
              <w:rPr>
                <w:rFonts w:ascii="Cambria" w:hAnsi="Cambria"/>
                <w:lang w:val="it-IT"/>
              </w:rPr>
              <w:t>tuđi</w:t>
            </w:r>
            <w:proofErr w:type="spellEnd"/>
            <w:r w:rsidR="00B25532" w:rsidRPr="00FB6606">
              <w:rPr>
                <w:rFonts w:ascii="Cambria" w:hAnsi="Cambria"/>
                <w:lang w:val="it-IT"/>
              </w:rPr>
              <w:t xml:space="preserve"> </w:t>
            </w:r>
            <w:proofErr w:type="spellStart"/>
            <w:r w:rsidR="00B25532" w:rsidRPr="00FB6606">
              <w:rPr>
                <w:rFonts w:ascii="Cambria" w:hAnsi="Cambria"/>
                <w:lang w:val="it-IT"/>
              </w:rPr>
              <w:t>nastavni</w:t>
            </w:r>
            <w:proofErr w:type="spellEnd"/>
            <w:r w:rsidR="00B25532" w:rsidRPr="00FB6606">
              <w:rPr>
                <w:rFonts w:ascii="Cambria" w:hAnsi="Cambria"/>
                <w:lang w:val="it-IT"/>
              </w:rPr>
              <w:t xml:space="preserve"> </w:t>
            </w:r>
            <w:proofErr w:type="spellStart"/>
            <w:r w:rsidR="00B25532" w:rsidRPr="00FB6606">
              <w:rPr>
                <w:rFonts w:ascii="Cambria" w:hAnsi="Cambria"/>
                <w:lang w:val="it-IT"/>
              </w:rPr>
              <w:t>sat</w:t>
            </w:r>
            <w:proofErr w:type="spellEnd"/>
            <w:r w:rsidR="00B25532" w:rsidRPr="00FB6606">
              <w:rPr>
                <w:rFonts w:ascii="Cambria" w:hAnsi="Cambria"/>
                <w:lang w:val="it-IT"/>
              </w:rPr>
              <w:t xml:space="preserve">. </w:t>
            </w:r>
            <w:proofErr w:type="spellStart"/>
            <w:r w:rsidR="00B25532" w:rsidRPr="00FB6606">
              <w:rPr>
                <w:rFonts w:ascii="Cambria" w:hAnsi="Cambria"/>
                <w:lang w:val="it-IT"/>
              </w:rPr>
              <w:t>Diskusija</w:t>
            </w:r>
            <w:proofErr w:type="spellEnd"/>
            <w:r w:rsidR="00B25532" w:rsidRPr="00FB6606">
              <w:rPr>
                <w:rFonts w:ascii="Cambria" w:hAnsi="Cambria"/>
                <w:lang w:val="it-IT"/>
              </w:rPr>
              <w:t xml:space="preserve"> </w:t>
            </w:r>
            <w:proofErr w:type="spellStart"/>
            <w:r w:rsidR="00B25532" w:rsidRPr="00FB6606">
              <w:rPr>
                <w:rFonts w:ascii="Cambria" w:hAnsi="Cambria"/>
                <w:lang w:val="it-IT"/>
              </w:rPr>
              <w:t>na</w:t>
            </w:r>
            <w:proofErr w:type="spellEnd"/>
            <w:r w:rsidR="00B25532" w:rsidRPr="00FB6606">
              <w:rPr>
                <w:rFonts w:ascii="Cambria" w:hAnsi="Cambria"/>
                <w:lang w:val="it-IT"/>
              </w:rPr>
              <w:t xml:space="preserve"> </w:t>
            </w:r>
            <w:proofErr w:type="spellStart"/>
            <w:r w:rsidR="00B25532" w:rsidRPr="00FB6606">
              <w:rPr>
                <w:rFonts w:ascii="Cambria" w:hAnsi="Cambria"/>
                <w:lang w:val="it-IT"/>
              </w:rPr>
              <w:t>temu</w:t>
            </w:r>
            <w:proofErr w:type="spellEnd"/>
            <w:r w:rsidR="00B25532" w:rsidRPr="00FB6606">
              <w:rPr>
                <w:rFonts w:ascii="Cambria" w:hAnsi="Cambria"/>
                <w:lang w:val="it-IT"/>
              </w:rPr>
              <w:t xml:space="preserve"> </w:t>
            </w:r>
            <w:proofErr w:type="spellStart"/>
            <w:r w:rsidR="00B25532" w:rsidRPr="00FB6606">
              <w:rPr>
                <w:rFonts w:ascii="Cambria" w:hAnsi="Cambria"/>
                <w:lang w:val="it-IT"/>
              </w:rPr>
              <w:t>pisanja</w:t>
            </w:r>
            <w:proofErr w:type="spellEnd"/>
            <w:r w:rsidR="00B25532" w:rsidRPr="00FB6606">
              <w:rPr>
                <w:rFonts w:ascii="Cambria" w:hAnsi="Cambria"/>
                <w:lang w:val="it-IT"/>
              </w:rPr>
              <w:t xml:space="preserve"> </w:t>
            </w:r>
            <w:proofErr w:type="spellStart"/>
            <w:r w:rsidR="00B25532" w:rsidRPr="00FB6606">
              <w:rPr>
                <w:rFonts w:ascii="Cambria" w:hAnsi="Cambria"/>
                <w:lang w:val="it-IT"/>
              </w:rPr>
              <w:t>bilježaka</w:t>
            </w:r>
            <w:proofErr w:type="spellEnd"/>
            <w:r w:rsidR="00B25532" w:rsidRPr="00FB6606">
              <w:rPr>
                <w:rFonts w:ascii="Cambria" w:hAnsi="Cambria"/>
                <w:lang w:val="it-IT"/>
              </w:rPr>
              <w:t xml:space="preserve"> i </w:t>
            </w:r>
            <w:proofErr w:type="spellStart"/>
            <w:r w:rsidR="00B25532" w:rsidRPr="00FB6606">
              <w:rPr>
                <w:rFonts w:ascii="Cambria" w:hAnsi="Cambria"/>
                <w:lang w:val="it-IT"/>
              </w:rPr>
              <w:t>osvrta</w:t>
            </w:r>
            <w:proofErr w:type="spellEnd"/>
            <w:r w:rsidR="00B25532" w:rsidRPr="00FB6606">
              <w:rPr>
                <w:rFonts w:ascii="Cambria" w:hAnsi="Cambria"/>
                <w:lang w:val="it-IT"/>
              </w:rPr>
              <w:t xml:space="preserve">. </w:t>
            </w:r>
          </w:p>
          <w:p w14:paraId="6F57969D" w14:textId="5A602804" w:rsidR="00B25532" w:rsidRPr="00FB6606" w:rsidRDefault="00A57714" w:rsidP="00A57714">
            <w:pPr>
              <w:autoSpaceDE w:val="0"/>
              <w:autoSpaceDN w:val="0"/>
              <w:adjustRightInd w:val="0"/>
              <w:spacing w:after="0" w:line="240" w:lineRule="auto"/>
              <w:rPr>
                <w:rFonts w:ascii="Cambria" w:hAnsi="Cambria"/>
                <w:lang w:val="it-IT"/>
              </w:rPr>
            </w:pPr>
            <w:r w:rsidRPr="00FB6606">
              <w:rPr>
                <w:rFonts w:ascii="Cambria" w:hAnsi="Cambria"/>
                <w:lang w:val="it-IT"/>
              </w:rPr>
              <w:t xml:space="preserve">4. </w:t>
            </w:r>
            <w:proofErr w:type="spellStart"/>
            <w:r w:rsidR="00B25532" w:rsidRPr="00FB6606">
              <w:rPr>
                <w:rFonts w:ascii="Cambria" w:hAnsi="Cambria"/>
                <w:lang w:val="it-IT"/>
              </w:rPr>
              <w:t>Prisustvovanje</w:t>
            </w:r>
            <w:proofErr w:type="spellEnd"/>
            <w:r w:rsidR="00B25532" w:rsidRPr="00FB6606">
              <w:rPr>
                <w:rFonts w:ascii="Cambria" w:hAnsi="Cambria"/>
                <w:lang w:val="it-IT"/>
              </w:rPr>
              <w:t xml:space="preserve"> </w:t>
            </w:r>
            <w:proofErr w:type="spellStart"/>
            <w:r w:rsidR="00B25532" w:rsidRPr="00FB6606">
              <w:rPr>
                <w:rFonts w:ascii="Cambria" w:hAnsi="Cambria"/>
                <w:lang w:val="it-IT"/>
              </w:rPr>
              <w:t>oglednom</w:t>
            </w:r>
            <w:proofErr w:type="spellEnd"/>
            <w:r w:rsidR="00B25532" w:rsidRPr="00FB6606">
              <w:rPr>
                <w:rFonts w:ascii="Cambria" w:hAnsi="Cambria"/>
                <w:lang w:val="it-IT"/>
              </w:rPr>
              <w:t xml:space="preserve"> </w:t>
            </w:r>
            <w:proofErr w:type="spellStart"/>
            <w:r w:rsidR="00B25532" w:rsidRPr="00FB6606">
              <w:rPr>
                <w:rFonts w:ascii="Cambria" w:hAnsi="Cambria"/>
                <w:lang w:val="it-IT"/>
              </w:rPr>
              <w:t>satu</w:t>
            </w:r>
            <w:proofErr w:type="spellEnd"/>
            <w:r w:rsidR="00B25532" w:rsidRPr="00FB6606">
              <w:rPr>
                <w:rFonts w:ascii="Cambria" w:hAnsi="Cambria"/>
                <w:lang w:val="it-IT"/>
              </w:rPr>
              <w:t xml:space="preserve"> </w:t>
            </w:r>
            <w:proofErr w:type="spellStart"/>
            <w:r w:rsidR="00B25532" w:rsidRPr="00FB6606">
              <w:rPr>
                <w:rFonts w:ascii="Cambria" w:hAnsi="Cambria"/>
                <w:lang w:val="it-IT"/>
              </w:rPr>
              <w:t>učitelja</w:t>
            </w:r>
            <w:proofErr w:type="spellEnd"/>
            <w:r w:rsidR="00B25532" w:rsidRPr="00FB6606">
              <w:rPr>
                <w:rFonts w:ascii="Cambria" w:hAnsi="Cambria"/>
                <w:lang w:val="it-IT"/>
              </w:rPr>
              <w:t xml:space="preserve"> </w:t>
            </w:r>
            <w:proofErr w:type="spellStart"/>
            <w:r w:rsidR="00B25532" w:rsidRPr="00FB6606">
              <w:rPr>
                <w:rFonts w:ascii="Cambria" w:hAnsi="Cambria"/>
                <w:lang w:val="it-IT"/>
              </w:rPr>
              <w:t>mentora</w:t>
            </w:r>
            <w:proofErr w:type="spellEnd"/>
            <w:r w:rsidR="00B25532" w:rsidRPr="00FB6606">
              <w:rPr>
                <w:rFonts w:ascii="Cambria" w:hAnsi="Cambria"/>
                <w:lang w:val="it-IT"/>
              </w:rPr>
              <w:t xml:space="preserve"> </w:t>
            </w:r>
            <w:proofErr w:type="spellStart"/>
            <w:r w:rsidR="00B25532" w:rsidRPr="00FB6606">
              <w:rPr>
                <w:rFonts w:ascii="Cambria" w:hAnsi="Cambria"/>
                <w:lang w:val="it-IT"/>
              </w:rPr>
              <w:t>iz</w:t>
            </w:r>
            <w:proofErr w:type="spellEnd"/>
            <w:r w:rsidR="00B25532" w:rsidRPr="00FB6606">
              <w:rPr>
                <w:rFonts w:ascii="Cambria" w:hAnsi="Cambria"/>
                <w:lang w:val="it-IT"/>
              </w:rPr>
              <w:t xml:space="preserve"> </w:t>
            </w:r>
            <w:proofErr w:type="spellStart"/>
            <w:r w:rsidR="00B25532" w:rsidRPr="00FB6606">
              <w:rPr>
                <w:rFonts w:ascii="Cambria" w:hAnsi="Cambria"/>
                <w:lang w:val="it-IT"/>
              </w:rPr>
              <w:t>vježbaonice</w:t>
            </w:r>
            <w:proofErr w:type="spellEnd"/>
            <w:r w:rsidR="00B25532" w:rsidRPr="00FB6606">
              <w:rPr>
                <w:rFonts w:ascii="Cambria" w:hAnsi="Cambria"/>
                <w:lang w:val="it-IT"/>
              </w:rPr>
              <w:t xml:space="preserve">. </w:t>
            </w:r>
            <w:proofErr w:type="spellStart"/>
            <w:r w:rsidR="00B25532" w:rsidRPr="00FB6606">
              <w:rPr>
                <w:rFonts w:ascii="Cambria" w:hAnsi="Cambria"/>
                <w:lang w:val="it-IT"/>
              </w:rPr>
              <w:t>Diskusija</w:t>
            </w:r>
            <w:proofErr w:type="spellEnd"/>
            <w:r w:rsidR="00B25532" w:rsidRPr="00FB6606">
              <w:rPr>
                <w:rFonts w:ascii="Cambria" w:hAnsi="Cambria"/>
                <w:lang w:val="it-IT"/>
              </w:rPr>
              <w:t xml:space="preserve"> </w:t>
            </w:r>
            <w:proofErr w:type="spellStart"/>
            <w:r w:rsidR="00B25532" w:rsidRPr="00FB6606">
              <w:rPr>
                <w:rFonts w:ascii="Cambria" w:hAnsi="Cambria"/>
                <w:lang w:val="it-IT"/>
              </w:rPr>
              <w:t>na</w:t>
            </w:r>
            <w:proofErr w:type="spellEnd"/>
            <w:r w:rsidR="00B25532" w:rsidRPr="00FB6606">
              <w:rPr>
                <w:rFonts w:ascii="Cambria" w:hAnsi="Cambria"/>
                <w:lang w:val="it-IT"/>
              </w:rPr>
              <w:t xml:space="preserve"> </w:t>
            </w:r>
            <w:proofErr w:type="spellStart"/>
            <w:r w:rsidR="00B25532" w:rsidRPr="00FB6606">
              <w:rPr>
                <w:rFonts w:ascii="Cambria" w:hAnsi="Cambria"/>
                <w:lang w:val="it-IT"/>
              </w:rPr>
              <w:t>temu</w:t>
            </w:r>
            <w:proofErr w:type="spellEnd"/>
            <w:r w:rsidR="00B25532" w:rsidRPr="00FB6606">
              <w:rPr>
                <w:rFonts w:ascii="Cambria" w:hAnsi="Cambria"/>
                <w:lang w:val="it-IT"/>
              </w:rPr>
              <w:t xml:space="preserve"> </w:t>
            </w:r>
            <w:proofErr w:type="spellStart"/>
            <w:r w:rsidR="00B25532" w:rsidRPr="00FB6606">
              <w:rPr>
                <w:rFonts w:ascii="Cambria" w:hAnsi="Cambria"/>
                <w:lang w:val="it-IT"/>
              </w:rPr>
              <w:t>oglednog</w:t>
            </w:r>
            <w:proofErr w:type="spellEnd"/>
            <w:r w:rsidR="00B25532" w:rsidRPr="00FB6606">
              <w:rPr>
                <w:rFonts w:ascii="Cambria" w:hAnsi="Cambria"/>
                <w:lang w:val="it-IT"/>
              </w:rPr>
              <w:t xml:space="preserve"> </w:t>
            </w:r>
            <w:proofErr w:type="spellStart"/>
            <w:r w:rsidR="00B25532" w:rsidRPr="00FB6606">
              <w:rPr>
                <w:rFonts w:ascii="Cambria" w:hAnsi="Cambria"/>
                <w:lang w:val="it-IT"/>
              </w:rPr>
              <w:t>sata</w:t>
            </w:r>
            <w:proofErr w:type="spellEnd"/>
            <w:r w:rsidR="00B25532" w:rsidRPr="00FB6606">
              <w:rPr>
                <w:rFonts w:ascii="Cambria" w:hAnsi="Cambria"/>
                <w:lang w:val="it-IT"/>
              </w:rPr>
              <w:t>.</w:t>
            </w:r>
          </w:p>
          <w:p w14:paraId="0E3A0025" w14:textId="450C730E" w:rsidR="00B25532" w:rsidRPr="00A57714" w:rsidRDefault="00A57714" w:rsidP="00A57714">
            <w:pPr>
              <w:autoSpaceDE w:val="0"/>
              <w:autoSpaceDN w:val="0"/>
              <w:adjustRightInd w:val="0"/>
              <w:spacing w:after="0" w:line="240" w:lineRule="auto"/>
              <w:rPr>
                <w:rFonts w:ascii="Cambria" w:hAnsi="Cambria"/>
              </w:rPr>
            </w:pPr>
            <w:r w:rsidRPr="00A57714">
              <w:rPr>
                <w:rFonts w:ascii="Cambria" w:hAnsi="Cambria"/>
                <w:lang w:val="it-IT"/>
              </w:rPr>
              <w:t xml:space="preserve">5. </w:t>
            </w:r>
            <w:proofErr w:type="spellStart"/>
            <w:r w:rsidR="00B25532" w:rsidRPr="00A57714">
              <w:rPr>
                <w:rFonts w:ascii="Cambria" w:hAnsi="Cambria"/>
                <w:lang w:val="it-IT"/>
              </w:rPr>
              <w:t>Pripremanje</w:t>
            </w:r>
            <w:proofErr w:type="spellEnd"/>
            <w:r w:rsidR="00B25532" w:rsidRPr="00A57714">
              <w:rPr>
                <w:rFonts w:ascii="Cambria" w:hAnsi="Cambria"/>
                <w:lang w:val="it-IT"/>
              </w:rPr>
              <w:t xml:space="preserve"> i </w:t>
            </w:r>
            <w:proofErr w:type="spellStart"/>
            <w:r w:rsidR="00B25532" w:rsidRPr="00A57714">
              <w:rPr>
                <w:rFonts w:ascii="Cambria" w:hAnsi="Cambria"/>
                <w:lang w:val="it-IT"/>
              </w:rPr>
              <w:t>izvođenje</w:t>
            </w:r>
            <w:proofErr w:type="spellEnd"/>
            <w:r w:rsidR="00B25532" w:rsidRPr="00A57714">
              <w:rPr>
                <w:rFonts w:ascii="Cambria" w:hAnsi="Cambria"/>
                <w:lang w:val="it-IT"/>
              </w:rPr>
              <w:t xml:space="preserve"> </w:t>
            </w:r>
            <w:proofErr w:type="spellStart"/>
            <w:r w:rsidR="00B25532" w:rsidRPr="00A57714">
              <w:rPr>
                <w:rFonts w:ascii="Cambria" w:hAnsi="Cambria"/>
                <w:lang w:val="it-IT"/>
              </w:rPr>
              <w:t>nastavnog</w:t>
            </w:r>
            <w:proofErr w:type="spellEnd"/>
            <w:r w:rsidR="00B25532" w:rsidRPr="00A57714">
              <w:rPr>
                <w:rFonts w:ascii="Cambria" w:hAnsi="Cambria"/>
                <w:lang w:val="it-IT"/>
              </w:rPr>
              <w:t xml:space="preserve"> </w:t>
            </w:r>
            <w:proofErr w:type="spellStart"/>
            <w:r w:rsidR="00B25532" w:rsidRPr="00A57714">
              <w:rPr>
                <w:rFonts w:ascii="Cambria" w:hAnsi="Cambria"/>
                <w:lang w:val="it-IT"/>
              </w:rPr>
              <w:t>sata</w:t>
            </w:r>
            <w:proofErr w:type="spellEnd"/>
            <w:r w:rsidR="00B25532" w:rsidRPr="00A57714">
              <w:rPr>
                <w:rFonts w:ascii="Cambria" w:hAnsi="Cambria"/>
                <w:lang w:val="it-IT"/>
              </w:rPr>
              <w:t xml:space="preserve"> </w:t>
            </w:r>
            <w:proofErr w:type="spellStart"/>
            <w:r w:rsidR="00B25532" w:rsidRPr="00A57714">
              <w:rPr>
                <w:rFonts w:ascii="Cambria" w:hAnsi="Cambria"/>
                <w:lang w:val="it-IT"/>
              </w:rPr>
              <w:t>iz</w:t>
            </w:r>
            <w:proofErr w:type="spellEnd"/>
            <w:r w:rsidR="00B25532" w:rsidRPr="00A57714">
              <w:rPr>
                <w:rFonts w:ascii="Cambria" w:hAnsi="Cambria"/>
                <w:lang w:val="it-IT"/>
              </w:rPr>
              <w:t xml:space="preserve"> </w:t>
            </w:r>
            <w:proofErr w:type="spellStart"/>
            <w:r w:rsidR="00B25532" w:rsidRPr="00A57714">
              <w:rPr>
                <w:rFonts w:ascii="Cambria" w:hAnsi="Cambria"/>
                <w:lang w:val="it-IT"/>
              </w:rPr>
              <w:t>matematike</w:t>
            </w:r>
            <w:proofErr w:type="spellEnd"/>
            <w:r w:rsidR="00B25532" w:rsidRPr="00A57714">
              <w:rPr>
                <w:rFonts w:ascii="Cambria" w:hAnsi="Cambria"/>
                <w:lang w:val="it-IT"/>
              </w:rPr>
              <w:t xml:space="preserve"> u </w:t>
            </w:r>
            <w:proofErr w:type="spellStart"/>
            <w:r w:rsidR="00B25532" w:rsidRPr="00A57714">
              <w:rPr>
                <w:rFonts w:ascii="Cambria" w:hAnsi="Cambria"/>
                <w:lang w:val="it-IT"/>
              </w:rPr>
              <w:t>vježbaonici</w:t>
            </w:r>
            <w:proofErr w:type="spellEnd"/>
            <w:r w:rsidR="00B25532" w:rsidRPr="00A57714">
              <w:rPr>
                <w:rFonts w:ascii="Cambria" w:hAnsi="Cambria"/>
                <w:lang w:val="it-IT"/>
              </w:rPr>
              <w:t xml:space="preserve">. </w:t>
            </w:r>
            <w:proofErr w:type="spellStart"/>
            <w:r w:rsidR="00B25532" w:rsidRPr="00A57714">
              <w:rPr>
                <w:rFonts w:ascii="Cambria" w:hAnsi="Cambria"/>
              </w:rPr>
              <w:t>Tjedna</w:t>
            </w:r>
            <w:proofErr w:type="spellEnd"/>
            <w:r w:rsidR="00B25532" w:rsidRPr="00A57714">
              <w:rPr>
                <w:rFonts w:ascii="Cambria" w:hAnsi="Cambria"/>
              </w:rPr>
              <w:t xml:space="preserve"> </w:t>
            </w:r>
            <w:proofErr w:type="spellStart"/>
            <w:r w:rsidR="00B25532" w:rsidRPr="00A57714">
              <w:rPr>
                <w:rFonts w:ascii="Cambria" w:hAnsi="Cambria"/>
              </w:rPr>
              <w:t>diskusija</w:t>
            </w:r>
            <w:proofErr w:type="spellEnd"/>
            <w:r w:rsidR="00B25532" w:rsidRPr="00A57714">
              <w:rPr>
                <w:rFonts w:ascii="Cambria" w:hAnsi="Cambria"/>
              </w:rPr>
              <w:t xml:space="preserve"> </w:t>
            </w:r>
            <w:proofErr w:type="spellStart"/>
            <w:r w:rsidR="00B25532" w:rsidRPr="00A57714">
              <w:rPr>
                <w:rFonts w:ascii="Cambria" w:hAnsi="Cambria"/>
              </w:rPr>
              <w:t>na</w:t>
            </w:r>
            <w:proofErr w:type="spellEnd"/>
            <w:r w:rsidR="00B25532" w:rsidRPr="00A57714">
              <w:rPr>
                <w:rFonts w:ascii="Cambria" w:hAnsi="Cambria"/>
              </w:rPr>
              <w:t xml:space="preserve"> </w:t>
            </w:r>
            <w:proofErr w:type="spellStart"/>
            <w:r w:rsidR="00B25532" w:rsidRPr="00A57714">
              <w:rPr>
                <w:rFonts w:ascii="Cambria" w:hAnsi="Cambria"/>
              </w:rPr>
              <w:t>temu</w:t>
            </w:r>
            <w:proofErr w:type="spellEnd"/>
            <w:r w:rsidR="00B25532" w:rsidRPr="00A57714">
              <w:rPr>
                <w:rFonts w:ascii="Cambria" w:hAnsi="Cambria"/>
              </w:rPr>
              <w:t xml:space="preserve"> </w:t>
            </w:r>
            <w:proofErr w:type="spellStart"/>
            <w:r w:rsidR="00B25532" w:rsidRPr="00A57714">
              <w:rPr>
                <w:rFonts w:ascii="Cambria" w:hAnsi="Cambria"/>
              </w:rPr>
              <w:t>izvođenja</w:t>
            </w:r>
            <w:proofErr w:type="spellEnd"/>
            <w:r w:rsidR="00B25532" w:rsidRPr="00A57714">
              <w:rPr>
                <w:rFonts w:ascii="Cambria" w:hAnsi="Cambria"/>
              </w:rPr>
              <w:t xml:space="preserve"> </w:t>
            </w:r>
            <w:proofErr w:type="spellStart"/>
            <w:r w:rsidR="00B25532" w:rsidRPr="00A57714">
              <w:rPr>
                <w:rFonts w:ascii="Cambria" w:hAnsi="Cambria"/>
              </w:rPr>
              <w:t>nastavnih</w:t>
            </w:r>
            <w:proofErr w:type="spellEnd"/>
            <w:r w:rsidR="00B25532" w:rsidRPr="00A57714">
              <w:rPr>
                <w:rFonts w:ascii="Cambria" w:hAnsi="Cambria"/>
              </w:rPr>
              <w:t xml:space="preserve"> </w:t>
            </w:r>
            <w:proofErr w:type="spellStart"/>
            <w:r w:rsidR="00B25532" w:rsidRPr="00A57714">
              <w:rPr>
                <w:rFonts w:ascii="Cambria" w:hAnsi="Cambria"/>
              </w:rPr>
              <w:t>satova</w:t>
            </w:r>
            <w:proofErr w:type="spellEnd"/>
            <w:r w:rsidR="00B25532" w:rsidRPr="00A57714">
              <w:rPr>
                <w:rFonts w:ascii="Cambria" w:hAnsi="Cambria"/>
              </w:rPr>
              <w:t xml:space="preserve"> </w:t>
            </w:r>
            <w:proofErr w:type="spellStart"/>
            <w:r w:rsidR="00B25532" w:rsidRPr="00A57714">
              <w:rPr>
                <w:rFonts w:ascii="Cambria" w:hAnsi="Cambria"/>
              </w:rPr>
              <w:t>pojedinih</w:t>
            </w:r>
            <w:proofErr w:type="spellEnd"/>
            <w:r w:rsidR="00B25532" w:rsidRPr="00A57714">
              <w:rPr>
                <w:rFonts w:ascii="Cambria" w:hAnsi="Cambria"/>
              </w:rPr>
              <w:t xml:space="preserve"> </w:t>
            </w:r>
            <w:proofErr w:type="spellStart"/>
            <w:r w:rsidR="00B25532" w:rsidRPr="00A57714">
              <w:rPr>
                <w:rFonts w:ascii="Cambria" w:hAnsi="Cambria"/>
              </w:rPr>
              <w:t>studenata</w:t>
            </w:r>
            <w:proofErr w:type="spellEnd"/>
            <w:r w:rsidR="00B25532" w:rsidRPr="00A57714">
              <w:rPr>
                <w:rFonts w:ascii="Cambria" w:hAnsi="Cambria"/>
              </w:rPr>
              <w:t xml:space="preserve"> </w:t>
            </w:r>
          </w:p>
        </w:tc>
      </w:tr>
      <w:tr w:rsidR="00B25532" w:rsidRPr="00A62FBD" w14:paraId="37F1BA56" w14:textId="77777777" w:rsidTr="00727BE6">
        <w:tc>
          <w:tcPr>
            <w:tcW w:w="2184"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26127213" w14:textId="77777777" w:rsidR="00B25532" w:rsidRPr="00FB6606" w:rsidRDefault="00B25532" w:rsidP="0039661B">
            <w:pPr>
              <w:spacing w:after="0" w:line="240" w:lineRule="auto"/>
              <w:rPr>
                <w:rFonts w:ascii="Cambria" w:hAnsi="Cambria" w:cs="Calibri"/>
                <w:lang w:val="it-IT"/>
              </w:rPr>
            </w:pPr>
            <w:proofErr w:type="spellStart"/>
            <w:r w:rsidRPr="00FB6606">
              <w:rPr>
                <w:rFonts w:ascii="Cambria" w:hAnsi="Cambria" w:cs="Calibri"/>
                <w:lang w:val="it-IT"/>
              </w:rPr>
              <w:t>Planirane</w:t>
            </w:r>
            <w:proofErr w:type="spellEnd"/>
            <w:r w:rsidRPr="00FB6606">
              <w:rPr>
                <w:rFonts w:ascii="Cambria" w:hAnsi="Cambria" w:cs="Calibri"/>
                <w:lang w:val="it-IT"/>
              </w:rPr>
              <w:t xml:space="preserve"> </w:t>
            </w:r>
            <w:proofErr w:type="spellStart"/>
            <w:r w:rsidRPr="00FB6606">
              <w:rPr>
                <w:rFonts w:ascii="Cambria" w:hAnsi="Cambria" w:cs="Calibri"/>
                <w:lang w:val="it-IT"/>
              </w:rPr>
              <w:t>aktivnosti</w:t>
            </w:r>
            <w:proofErr w:type="spellEnd"/>
            <w:r w:rsidRPr="00A62FBD">
              <w:rPr>
                <w:rFonts w:ascii="Cambria" w:hAnsi="Cambria" w:cs="Calibri"/>
                <w:lang w:val="it-IT"/>
              </w:rPr>
              <w:t>,</w:t>
            </w:r>
          </w:p>
          <w:p w14:paraId="2CAF19E5" w14:textId="77777777" w:rsidR="00B25532" w:rsidRPr="00B25532" w:rsidRDefault="00B25532" w:rsidP="0039661B">
            <w:pPr>
              <w:spacing w:after="0" w:line="240" w:lineRule="auto"/>
              <w:rPr>
                <w:rFonts w:ascii="Cambria" w:hAnsi="Cambria" w:cs="Calibri"/>
                <w:lang w:val="it-IT"/>
              </w:rPr>
            </w:pPr>
            <w:proofErr w:type="spellStart"/>
            <w:r w:rsidRPr="00A62FBD">
              <w:rPr>
                <w:rFonts w:ascii="Cambria" w:hAnsi="Cambria" w:cs="Calibri"/>
                <w:lang w:val="it-IT"/>
              </w:rPr>
              <w:lastRenderedPageBreak/>
              <w:t>metode</w:t>
            </w:r>
            <w:proofErr w:type="spellEnd"/>
            <w:r w:rsidRPr="00A62FBD">
              <w:rPr>
                <w:rFonts w:ascii="Cambria" w:hAnsi="Cambria" w:cs="Calibri"/>
                <w:lang w:val="it-IT"/>
              </w:rPr>
              <w:t xml:space="preserve"> </w:t>
            </w:r>
            <w:proofErr w:type="spellStart"/>
            <w:r w:rsidRPr="00B25532">
              <w:rPr>
                <w:rFonts w:ascii="Cambria" w:hAnsi="Cambria" w:cs="Calibri"/>
                <w:lang w:val="it-IT"/>
              </w:rPr>
              <w:t>učenja</w:t>
            </w:r>
            <w:proofErr w:type="spellEnd"/>
            <w:r w:rsidRPr="00B25532">
              <w:rPr>
                <w:rFonts w:ascii="Cambria" w:hAnsi="Cambria" w:cs="Calibri"/>
                <w:lang w:val="it-IT"/>
              </w:rPr>
              <w:t xml:space="preserve"> i </w:t>
            </w:r>
            <w:proofErr w:type="spellStart"/>
            <w:r w:rsidRPr="00B25532">
              <w:rPr>
                <w:rFonts w:ascii="Cambria" w:hAnsi="Cambria" w:cs="Calibri"/>
                <w:lang w:val="it-IT"/>
              </w:rPr>
              <w:t>poučavanja</w:t>
            </w:r>
            <w:proofErr w:type="spellEnd"/>
            <w:r w:rsidRPr="00B25532">
              <w:rPr>
                <w:rFonts w:ascii="Cambria" w:hAnsi="Cambria" w:cs="Calibri"/>
                <w:lang w:val="it-IT"/>
              </w:rPr>
              <w:t xml:space="preserve"> i </w:t>
            </w:r>
            <w:proofErr w:type="spellStart"/>
            <w:r w:rsidRPr="00B25532">
              <w:rPr>
                <w:rFonts w:ascii="Cambria" w:hAnsi="Cambria" w:cs="Calibri"/>
                <w:lang w:val="it-IT"/>
              </w:rPr>
              <w:t>načini</w:t>
            </w:r>
            <w:proofErr w:type="spellEnd"/>
            <w:r w:rsidRPr="00B25532">
              <w:rPr>
                <w:rFonts w:ascii="Cambria" w:hAnsi="Cambria" w:cs="Calibri"/>
                <w:lang w:val="it-IT"/>
              </w:rPr>
              <w:t xml:space="preserve"> </w:t>
            </w:r>
            <w:proofErr w:type="spellStart"/>
            <w:r w:rsidRPr="00B25532">
              <w:rPr>
                <w:rFonts w:ascii="Cambria" w:hAnsi="Cambria" w:cs="Calibri"/>
                <w:lang w:val="it-IT"/>
              </w:rPr>
              <w:t>vrednovanja</w:t>
            </w:r>
            <w:proofErr w:type="spellEnd"/>
          </w:p>
          <w:p w14:paraId="54813B9C" w14:textId="77777777" w:rsidR="00B25532" w:rsidRPr="00B25532" w:rsidRDefault="00B25532" w:rsidP="0039661B">
            <w:pPr>
              <w:spacing w:after="0" w:line="240" w:lineRule="auto"/>
              <w:rPr>
                <w:rFonts w:ascii="Cambria" w:hAnsi="Cambria" w:cs="Calibri"/>
                <w:lang w:val="it-IT"/>
              </w:rPr>
            </w:pPr>
          </w:p>
        </w:tc>
        <w:tc>
          <w:tcPr>
            <w:tcW w:w="23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CD8AC34" w14:textId="77777777" w:rsidR="00B25532" w:rsidRPr="00A62FBD" w:rsidRDefault="00B25532" w:rsidP="0039661B">
            <w:pPr>
              <w:spacing w:after="0" w:line="240" w:lineRule="auto"/>
              <w:rPr>
                <w:rFonts w:ascii="Cambria" w:hAnsi="Cambria" w:cs="Calibri"/>
              </w:rPr>
            </w:pPr>
            <w:proofErr w:type="spellStart"/>
            <w:r w:rsidRPr="00E41472">
              <w:rPr>
                <w:rFonts w:ascii="Cambria" w:hAnsi="Cambria" w:cs="Calibri"/>
              </w:rPr>
              <w:lastRenderedPageBreak/>
              <w:t>Obaveze</w:t>
            </w:r>
            <w:proofErr w:type="spellEnd"/>
          </w:p>
        </w:tc>
        <w:tc>
          <w:tcPr>
            <w:tcW w:w="13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F53539C" w14:textId="77777777" w:rsidR="00B25532" w:rsidRPr="00A62FBD" w:rsidRDefault="00B25532" w:rsidP="0039661B">
            <w:pPr>
              <w:spacing w:after="0" w:line="240" w:lineRule="auto"/>
              <w:jc w:val="center"/>
              <w:rPr>
                <w:rFonts w:ascii="Cambria" w:hAnsi="Cambria" w:cs="Calibri"/>
              </w:rPr>
            </w:pPr>
            <w:proofErr w:type="spellStart"/>
            <w:r w:rsidRPr="00E41472">
              <w:rPr>
                <w:rFonts w:ascii="Cambria" w:hAnsi="Cambria" w:cs="Calibri"/>
              </w:rPr>
              <w:t>Ishodi</w:t>
            </w:r>
            <w:proofErr w:type="spellEnd"/>
          </w:p>
        </w:tc>
        <w:tc>
          <w:tcPr>
            <w:tcW w:w="96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ABB3FF1" w14:textId="77777777" w:rsidR="00B25532" w:rsidRPr="00A62FBD" w:rsidRDefault="00B25532" w:rsidP="0039661B">
            <w:pPr>
              <w:spacing w:after="0" w:line="240" w:lineRule="auto"/>
              <w:jc w:val="center"/>
              <w:rPr>
                <w:rFonts w:ascii="Cambria" w:hAnsi="Cambria" w:cs="Calibri"/>
              </w:rPr>
            </w:pPr>
            <w:r w:rsidRPr="00E41472">
              <w:rPr>
                <w:rFonts w:ascii="Cambria" w:hAnsi="Cambria" w:cs="Calibri"/>
              </w:rPr>
              <w:t>Sati</w:t>
            </w:r>
          </w:p>
        </w:tc>
        <w:tc>
          <w:tcPr>
            <w:tcW w:w="11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C90EA33" w14:textId="77777777" w:rsidR="00B25532" w:rsidRPr="00A62FBD" w:rsidRDefault="00B25532" w:rsidP="0039661B">
            <w:pPr>
              <w:spacing w:after="0" w:line="240" w:lineRule="auto"/>
              <w:jc w:val="center"/>
              <w:rPr>
                <w:rFonts w:ascii="Cambria" w:hAnsi="Cambria" w:cs="Calibri"/>
              </w:rPr>
            </w:pPr>
            <w:r>
              <w:rPr>
                <w:rFonts w:ascii="Cambria" w:hAnsi="Cambria" w:cs="Calibri"/>
              </w:rPr>
              <w:t>ECTS</w:t>
            </w:r>
          </w:p>
        </w:tc>
        <w:tc>
          <w:tcPr>
            <w:tcW w:w="17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E7584B6" w14:textId="77777777" w:rsidR="00B25532" w:rsidRPr="00E41472" w:rsidRDefault="00B25532" w:rsidP="0039661B">
            <w:pPr>
              <w:spacing w:after="0" w:line="240" w:lineRule="auto"/>
              <w:jc w:val="center"/>
              <w:rPr>
                <w:rFonts w:ascii="Cambria" w:hAnsi="Cambria" w:cs="Calibri"/>
              </w:rPr>
            </w:pPr>
            <w:proofErr w:type="spellStart"/>
            <w:r w:rsidRPr="00E41472">
              <w:rPr>
                <w:rFonts w:ascii="Cambria" w:hAnsi="Cambria" w:cs="Calibri"/>
              </w:rPr>
              <w:t>Maksimalni</w:t>
            </w:r>
            <w:proofErr w:type="spellEnd"/>
          </w:p>
          <w:p w14:paraId="3D712052" w14:textId="77777777" w:rsidR="00B25532" w:rsidRPr="00A62FBD" w:rsidRDefault="00B25532" w:rsidP="0039661B">
            <w:pPr>
              <w:spacing w:after="0" w:line="240" w:lineRule="auto"/>
              <w:jc w:val="center"/>
              <w:rPr>
                <w:rFonts w:ascii="Cambria" w:hAnsi="Cambria" w:cs="Calibri"/>
              </w:rPr>
            </w:pPr>
            <w:proofErr w:type="spellStart"/>
            <w:r w:rsidRPr="00E41472">
              <w:rPr>
                <w:rFonts w:ascii="Cambria" w:hAnsi="Cambria" w:cs="Calibri"/>
              </w:rPr>
              <w:t>udio</w:t>
            </w:r>
            <w:proofErr w:type="spellEnd"/>
            <w:r w:rsidRPr="00E41472">
              <w:rPr>
                <w:rFonts w:ascii="Cambria" w:hAnsi="Cambria" w:cs="Calibri"/>
              </w:rPr>
              <w:t xml:space="preserve"> u </w:t>
            </w:r>
            <w:proofErr w:type="spellStart"/>
            <w:r w:rsidRPr="00E41472">
              <w:rPr>
                <w:rFonts w:ascii="Cambria" w:hAnsi="Cambria" w:cs="Calibri"/>
              </w:rPr>
              <w:t>ocjeni</w:t>
            </w:r>
            <w:proofErr w:type="spellEnd"/>
            <w:r w:rsidRPr="00E41472">
              <w:rPr>
                <w:rFonts w:ascii="Cambria" w:hAnsi="Cambria" w:cs="Calibri"/>
              </w:rPr>
              <w:t xml:space="preserve"> (%)</w:t>
            </w:r>
          </w:p>
        </w:tc>
      </w:tr>
      <w:tr w:rsidR="00B25532" w:rsidRPr="00A62FBD" w14:paraId="38529030" w14:textId="77777777" w:rsidTr="00727BE6">
        <w:tc>
          <w:tcPr>
            <w:tcW w:w="2184" w:type="dxa"/>
            <w:vMerge/>
            <w:tcBorders>
              <w:left w:val="single" w:sz="8" w:space="0" w:color="000000"/>
              <w:right w:val="single" w:sz="8" w:space="0" w:color="000000"/>
            </w:tcBorders>
            <w:vAlign w:val="center"/>
          </w:tcPr>
          <w:p w14:paraId="4F865932" w14:textId="77777777" w:rsidR="00B25532" w:rsidRPr="00A62FBD" w:rsidRDefault="00B25532" w:rsidP="0039661B">
            <w:pPr>
              <w:spacing w:after="0" w:line="240" w:lineRule="auto"/>
              <w:rPr>
                <w:rFonts w:ascii="Cambria" w:hAnsi="Cambria" w:cs="Calibri"/>
              </w:rPr>
            </w:pPr>
          </w:p>
        </w:tc>
        <w:tc>
          <w:tcPr>
            <w:tcW w:w="23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018B8D7" w14:textId="6E3781AF" w:rsidR="00B25532" w:rsidRPr="0039661B" w:rsidRDefault="00B25532" w:rsidP="0039661B">
            <w:pPr>
              <w:spacing w:after="0" w:line="240" w:lineRule="auto"/>
              <w:rPr>
                <w:rFonts w:ascii="Cambria" w:hAnsi="Cambria" w:cs="Calibri"/>
                <w:lang w:val="it-IT"/>
              </w:rPr>
            </w:pPr>
            <w:proofErr w:type="spellStart"/>
            <w:r w:rsidRPr="0039661B">
              <w:rPr>
                <w:rFonts w:ascii="Cambria" w:hAnsi="Cambria"/>
                <w:lang w:val="it-IT"/>
              </w:rPr>
              <w:t>aktivnosti</w:t>
            </w:r>
            <w:proofErr w:type="spellEnd"/>
            <w:r w:rsidRPr="0039661B">
              <w:rPr>
                <w:rFonts w:ascii="Cambria" w:hAnsi="Cambria"/>
                <w:lang w:val="it-IT"/>
              </w:rPr>
              <w:t xml:space="preserve"> u </w:t>
            </w:r>
            <w:proofErr w:type="spellStart"/>
            <w:r w:rsidRPr="0039661B">
              <w:rPr>
                <w:rFonts w:ascii="Cambria" w:hAnsi="Cambria"/>
                <w:lang w:val="it-IT"/>
              </w:rPr>
              <w:t>nastavi</w:t>
            </w:r>
            <w:proofErr w:type="spellEnd"/>
            <w:r w:rsidR="0039661B" w:rsidRPr="0039661B">
              <w:rPr>
                <w:rFonts w:ascii="Cambria" w:hAnsi="Cambria"/>
                <w:lang w:val="it-IT"/>
              </w:rPr>
              <w:t xml:space="preserve"> (P, V</w:t>
            </w:r>
            <w:r w:rsidR="0039661B">
              <w:rPr>
                <w:rFonts w:ascii="Cambria" w:hAnsi="Cambria"/>
                <w:lang w:val="it-IT"/>
              </w:rPr>
              <w:t>)</w:t>
            </w:r>
          </w:p>
        </w:tc>
        <w:tc>
          <w:tcPr>
            <w:tcW w:w="13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F77FC99" w14:textId="07ED44BE" w:rsidR="00B25532" w:rsidRPr="00C27252" w:rsidRDefault="00B25532" w:rsidP="0039661B">
            <w:pPr>
              <w:spacing w:after="0" w:line="240" w:lineRule="auto"/>
              <w:jc w:val="center"/>
              <w:rPr>
                <w:rFonts w:ascii="Cambria" w:hAnsi="Cambria" w:cs="Calibri"/>
              </w:rPr>
            </w:pPr>
            <w:r w:rsidRPr="00C27252">
              <w:rPr>
                <w:rFonts w:ascii="Cambria" w:hAnsi="Cambria"/>
              </w:rPr>
              <w:t>3.</w:t>
            </w:r>
            <w:r w:rsidR="00A57714">
              <w:rPr>
                <w:rFonts w:ascii="Cambria" w:hAnsi="Cambria"/>
              </w:rPr>
              <w:t xml:space="preserve"> </w:t>
            </w:r>
            <w:r w:rsidRPr="00C27252">
              <w:rPr>
                <w:rFonts w:ascii="Cambria" w:hAnsi="Cambria"/>
              </w:rPr>
              <w:t>-</w:t>
            </w:r>
            <w:r w:rsidR="00A57714">
              <w:rPr>
                <w:rFonts w:ascii="Cambria" w:hAnsi="Cambria"/>
              </w:rPr>
              <w:t xml:space="preserve"> </w:t>
            </w:r>
            <w:r w:rsidRPr="00C27252">
              <w:rPr>
                <w:rFonts w:ascii="Cambria" w:hAnsi="Cambria"/>
              </w:rPr>
              <w:t>6.</w:t>
            </w:r>
          </w:p>
        </w:tc>
        <w:tc>
          <w:tcPr>
            <w:tcW w:w="96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9227A62" w14:textId="244367F3" w:rsidR="00B25532" w:rsidRPr="00C27252" w:rsidRDefault="0039661B" w:rsidP="0039661B">
            <w:pPr>
              <w:spacing w:after="0" w:line="240" w:lineRule="auto"/>
              <w:jc w:val="center"/>
              <w:rPr>
                <w:rFonts w:ascii="Cambria" w:hAnsi="Cambria" w:cs="Calibri"/>
              </w:rPr>
            </w:pPr>
            <w:r>
              <w:rPr>
                <w:rFonts w:ascii="Cambria" w:hAnsi="Cambria"/>
              </w:rPr>
              <w:t>45</w:t>
            </w:r>
          </w:p>
        </w:tc>
        <w:tc>
          <w:tcPr>
            <w:tcW w:w="11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ABDE4BA" w14:textId="3F5DDBB6" w:rsidR="00B25532" w:rsidRPr="00C27252" w:rsidRDefault="0039661B" w:rsidP="0039661B">
            <w:pPr>
              <w:spacing w:after="0" w:line="240" w:lineRule="auto"/>
              <w:jc w:val="center"/>
              <w:rPr>
                <w:rFonts w:ascii="Cambria" w:hAnsi="Cambria" w:cs="Calibri"/>
              </w:rPr>
            </w:pPr>
            <w:r>
              <w:rPr>
                <w:rFonts w:ascii="Cambria" w:hAnsi="Cambria"/>
              </w:rPr>
              <w:t>1,5</w:t>
            </w:r>
          </w:p>
        </w:tc>
        <w:tc>
          <w:tcPr>
            <w:tcW w:w="17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1FCBFAF" w14:textId="77777777" w:rsidR="00B25532" w:rsidRPr="00C27252" w:rsidRDefault="00B25532" w:rsidP="0039661B">
            <w:pPr>
              <w:spacing w:after="0" w:line="240" w:lineRule="auto"/>
              <w:jc w:val="center"/>
              <w:rPr>
                <w:rFonts w:ascii="Cambria" w:hAnsi="Cambria" w:cs="Calibri"/>
              </w:rPr>
            </w:pPr>
            <w:r w:rsidRPr="00C27252">
              <w:rPr>
                <w:rFonts w:ascii="Cambria" w:hAnsi="Cambria"/>
              </w:rPr>
              <w:t>5</w:t>
            </w:r>
            <w:r>
              <w:rPr>
                <w:rFonts w:ascii="Cambria" w:hAnsi="Cambria"/>
              </w:rPr>
              <w:t>5</w:t>
            </w:r>
            <w:r w:rsidRPr="00C27252">
              <w:rPr>
                <w:rFonts w:ascii="Cambria" w:hAnsi="Cambria"/>
              </w:rPr>
              <w:t>%</w:t>
            </w:r>
          </w:p>
        </w:tc>
      </w:tr>
      <w:tr w:rsidR="00B25532" w:rsidRPr="00A62FBD" w14:paraId="774EF7A5" w14:textId="77777777" w:rsidTr="00727BE6">
        <w:tc>
          <w:tcPr>
            <w:tcW w:w="2184" w:type="dxa"/>
            <w:vMerge/>
            <w:tcBorders>
              <w:left w:val="single" w:sz="8" w:space="0" w:color="000000"/>
              <w:right w:val="single" w:sz="8" w:space="0" w:color="000000"/>
            </w:tcBorders>
            <w:vAlign w:val="center"/>
          </w:tcPr>
          <w:p w14:paraId="527265B1" w14:textId="77777777" w:rsidR="00B25532" w:rsidRPr="00A62FBD" w:rsidRDefault="00B25532" w:rsidP="0039661B">
            <w:pPr>
              <w:spacing w:after="0" w:line="240" w:lineRule="auto"/>
              <w:rPr>
                <w:rFonts w:ascii="Cambria" w:hAnsi="Cambria" w:cs="Calibri"/>
              </w:rPr>
            </w:pPr>
          </w:p>
        </w:tc>
        <w:tc>
          <w:tcPr>
            <w:tcW w:w="23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9B4127E" w14:textId="77777777" w:rsidR="00B25532" w:rsidRPr="00C27252" w:rsidRDefault="00B25532" w:rsidP="0039661B">
            <w:pPr>
              <w:spacing w:after="0" w:line="240" w:lineRule="auto"/>
              <w:rPr>
                <w:rFonts w:ascii="Cambria" w:hAnsi="Cambria" w:cs="Calibri"/>
              </w:rPr>
            </w:pPr>
            <w:proofErr w:type="spellStart"/>
            <w:r>
              <w:rPr>
                <w:rFonts w:ascii="Cambria" w:hAnsi="Cambria"/>
              </w:rPr>
              <w:t>ocjenski</w:t>
            </w:r>
            <w:proofErr w:type="spellEnd"/>
            <w:r>
              <w:rPr>
                <w:rFonts w:ascii="Cambria" w:hAnsi="Cambria"/>
              </w:rPr>
              <w:t xml:space="preserve"> sat</w:t>
            </w:r>
            <w:r w:rsidRPr="00C27252">
              <w:rPr>
                <w:rFonts w:ascii="Cambria" w:hAnsi="Cambria"/>
              </w:rPr>
              <w:t xml:space="preserve">  </w:t>
            </w:r>
          </w:p>
        </w:tc>
        <w:tc>
          <w:tcPr>
            <w:tcW w:w="13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C36216C" w14:textId="3472E8D1" w:rsidR="00B25532" w:rsidRPr="00C27252" w:rsidRDefault="00B25532" w:rsidP="0039661B">
            <w:pPr>
              <w:spacing w:after="0" w:line="240" w:lineRule="auto"/>
              <w:jc w:val="center"/>
              <w:rPr>
                <w:rFonts w:ascii="Cambria" w:hAnsi="Cambria" w:cs="Calibri"/>
              </w:rPr>
            </w:pPr>
            <w:r w:rsidRPr="00C27252">
              <w:rPr>
                <w:rFonts w:ascii="Cambria" w:hAnsi="Cambria"/>
              </w:rPr>
              <w:t>1.</w:t>
            </w:r>
            <w:r w:rsidR="00A57714">
              <w:rPr>
                <w:rFonts w:ascii="Cambria" w:hAnsi="Cambria"/>
              </w:rPr>
              <w:t xml:space="preserve"> </w:t>
            </w:r>
            <w:r w:rsidRPr="00C27252">
              <w:rPr>
                <w:rFonts w:ascii="Cambria" w:hAnsi="Cambria"/>
              </w:rPr>
              <w:t>-</w:t>
            </w:r>
            <w:r w:rsidR="00A57714">
              <w:rPr>
                <w:rFonts w:ascii="Cambria" w:hAnsi="Cambria"/>
              </w:rPr>
              <w:t xml:space="preserve"> </w:t>
            </w:r>
            <w:r w:rsidRPr="00C27252">
              <w:rPr>
                <w:rFonts w:ascii="Cambria" w:hAnsi="Cambria"/>
              </w:rPr>
              <w:t>3.</w:t>
            </w:r>
          </w:p>
        </w:tc>
        <w:tc>
          <w:tcPr>
            <w:tcW w:w="96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3AD082C" w14:textId="2ABE13B8" w:rsidR="00B25532" w:rsidRPr="00C27252" w:rsidRDefault="0039661B" w:rsidP="0039661B">
            <w:pPr>
              <w:spacing w:after="0" w:line="240" w:lineRule="auto"/>
              <w:jc w:val="center"/>
              <w:rPr>
                <w:rFonts w:ascii="Cambria" w:hAnsi="Cambria" w:cs="Calibri"/>
              </w:rPr>
            </w:pPr>
            <w:r>
              <w:rPr>
                <w:rFonts w:ascii="Cambria" w:hAnsi="Cambria"/>
              </w:rPr>
              <w:t>75</w:t>
            </w:r>
          </w:p>
        </w:tc>
        <w:tc>
          <w:tcPr>
            <w:tcW w:w="11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01F54F4" w14:textId="06031634" w:rsidR="00B25532" w:rsidRPr="00C27252" w:rsidRDefault="00B25532" w:rsidP="0039661B">
            <w:pPr>
              <w:spacing w:after="0" w:line="240" w:lineRule="auto"/>
              <w:jc w:val="center"/>
              <w:rPr>
                <w:rFonts w:ascii="Cambria" w:hAnsi="Cambria" w:cs="Calibri"/>
              </w:rPr>
            </w:pPr>
            <w:r>
              <w:rPr>
                <w:rFonts w:ascii="Cambria" w:hAnsi="Cambria"/>
              </w:rPr>
              <w:t>2</w:t>
            </w:r>
            <w:r w:rsidR="0039661B">
              <w:rPr>
                <w:rFonts w:ascii="Cambria" w:hAnsi="Cambria"/>
              </w:rPr>
              <w:t>,5</w:t>
            </w:r>
          </w:p>
        </w:tc>
        <w:tc>
          <w:tcPr>
            <w:tcW w:w="17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D0AEDBC" w14:textId="77777777" w:rsidR="00B25532" w:rsidRPr="00C27252" w:rsidRDefault="00B25532" w:rsidP="0039661B">
            <w:pPr>
              <w:spacing w:after="0" w:line="240" w:lineRule="auto"/>
              <w:jc w:val="center"/>
              <w:rPr>
                <w:rFonts w:ascii="Cambria" w:hAnsi="Cambria" w:cs="Calibri"/>
              </w:rPr>
            </w:pPr>
            <w:r w:rsidRPr="00C27252">
              <w:rPr>
                <w:rFonts w:ascii="Cambria" w:hAnsi="Cambria"/>
              </w:rPr>
              <w:t>45%</w:t>
            </w:r>
          </w:p>
        </w:tc>
      </w:tr>
      <w:tr w:rsidR="00B25532" w:rsidRPr="00A62FBD" w14:paraId="53F4A881" w14:textId="77777777" w:rsidTr="00727BE6">
        <w:tc>
          <w:tcPr>
            <w:tcW w:w="2184" w:type="dxa"/>
            <w:vMerge/>
            <w:tcBorders>
              <w:left w:val="single" w:sz="8" w:space="0" w:color="000000"/>
              <w:right w:val="single" w:sz="8" w:space="0" w:color="000000"/>
            </w:tcBorders>
            <w:vAlign w:val="center"/>
          </w:tcPr>
          <w:p w14:paraId="2B7F778B" w14:textId="77777777" w:rsidR="00B25532" w:rsidRPr="00A62FBD" w:rsidRDefault="00B25532" w:rsidP="0039661B">
            <w:pPr>
              <w:spacing w:after="0" w:line="240" w:lineRule="auto"/>
              <w:rPr>
                <w:rFonts w:ascii="Cambria" w:hAnsi="Cambria" w:cs="Calibri"/>
              </w:rPr>
            </w:pPr>
          </w:p>
        </w:tc>
        <w:tc>
          <w:tcPr>
            <w:tcW w:w="367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419DA0D" w14:textId="77777777" w:rsidR="00B25532" w:rsidRPr="00C27252" w:rsidRDefault="00B25532" w:rsidP="0039661B">
            <w:pPr>
              <w:spacing w:after="0" w:line="240" w:lineRule="auto"/>
              <w:rPr>
                <w:rFonts w:ascii="Cambria" w:hAnsi="Cambria" w:cs="Calibri"/>
              </w:rPr>
            </w:pPr>
            <w:proofErr w:type="spellStart"/>
            <w:r w:rsidRPr="00C27252">
              <w:rPr>
                <w:rFonts w:ascii="Cambria" w:hAnsi="Cambria"/>
              </w:rPr>
              <w:t>ukupno</w:t>
            </w:r>
            <w:proofErr w:type="spellEnd"/>
          </w:p>
        </w:tc>
        <w:tc>
          <w:tcPr>
            <w:tcW w:w="96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ECEF44B" w14:textId="77777777" w:rsidR="00B25532" w:rsidRPr="00C27252" w:rsidRDefault="00B25532" w:rsidP="0039661B">
            <w:pPr>
              <w:spacing w:after="0" w:line="240" w:lineRule="auto"/>
              <w:jc w:val="center"/>
              <w:rPr>
                <w:rFonts w:ascii="Cambria" w:hAnsi="Cambria" w:cs="Calibri"/>
              </w:rPr>
            </w:pPr>
            <w:r>
              <w:rPr>
                <w:rFonts w:ascii="Cambria" w:hAnsi="Cambria"/>
              </w:rPr>
              <w:t>120</w:t>
            </w:r>
          </w:p>
        </w:tc>
        <w:tc>
          <w:tcPr>
            <w:tcW w:w="11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47EDDB3" w14:textId="77777777" w:rsidR="00B25532" w:rsidRPr="00C27252" w:rsidRDefault="00B25532" w:rsidP="0039661B">
            <w:pPr>
              <w:spacing w:after="0" w:line="240" w:lineRule="auto"/>
              <w:jc w:val="center"/>
              <w:rPr>
                <w:rFonts w:ascii="Cambria" w:hAnsi="Cambria" w:cs="Calibri"/>
              </w:rPr>
            </w:pPr>
            <w:r>
              <w:rPr>
                <w:rFonts w:ascii="Cambria" w:hAnsi="Cambria"/>
              </w:rPr>
              <w:t>4</w:t>
            </w:r>
          </w:p>
        </w:tc>
        <w:tc>
          <w:tcPr>
            <w:tcW w:w="17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20C10FD" w14:textId="77777777" w:rsidR="00B25532" w:rsidRPr="00C27252" w:rsidRDefault="00B25532" w:rsidP="0039661B">
            <w:pPr>
              <w:spacing w:after="0" w:line="240" w:lineRule="auto"/>
              <w:jc w:val="center"/>
              <w:rPr>
                <w:rFonts w:ascii="Cambria" w:hAnsi="Cambria" w:cs="Calibri"/>
              </w:rPr>
            </w:pPr>
            <w:r w:rsidRPr="00C27252">
              <w:rPr>
                <w:rFonts w:ascii="Cambria" w:hAnsi="Cambria"/>
              </w:rPr>
              <w:t>100%</w:t>
            </w:r>
          </w:p>
        </w:tc>
      </w:tr>
      <w:tr w:rsidR="00B25532" w:rsidRPr="00D0399C" w14:paraId="7818D584" w14:textId="77777777" w:rsidTr="00727BE6">
        <w:tc>
          <w:tcPr>
            <w:tcW w:w="2184" w:type="dxa"/>
            <w:vMerge/>
            <w:tcBorders>
              <w:left w:val="single" w:sz="8" w:space="0" w:color="000000"/>
              <w:bottom w:val="single" w:sz="8" w:space="0" w:color="000000"/>
              <w:right w:val="single" w:sz="8" w:space="0" w:color="000000"/>
            </w:tcBorders>
            <w:vAlign w:val="center"/>
          </w:tcPr>
          <w:p w14:paraId="6BF13A99" w14:textId="77777777" w:rsidR="00B25532" w:rsidRPr="00A62FBD" w:rsidRDefault="00B25532" w:rsidP="0039661B">
            <w:pPr>
              <w:spacing w:after="0" w:line="240" w:lineRule="auto"/>
              <w:rPr>
                <w:rFonts w:ascii="Cambria" w:hAnsi="Cambria" w:cs="Calibri"/>
              </w:rPr>
            </w:pPr>
          </w:p>
        </w:tc>
        <w:tc>
          <w:tcPr>
            <w:tcW w:w="7588" w:type="dxa"/>
            <w:gridSpan w:val="6"/>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634E6AA" w14:textId="62770CF6" w:rsidR="00B25532" w:rsidRPr="00C27252" w:rsidRDefault="00B25532" w:rsidP="0039661B">
            <w:pPr>
              <w:spacing w:after="0" w:line="240" w:lineRule="auto"/>
              <w:rPr>
                <w:rFonts w:ascii="Cambria" w:hAnsi="Cambria" w:cs="Calibri"/>
              </w:rPr>
            </w:pPr>
            <w:proofErr w:type="spellStart"/>
            <w:r w:rsidRPr="00C27252">
              <w:rPr>
                <w:rFonts w:ascii="Cambria" w:hAnsi="Cambria" w:cs="Calibri"/>
              </w:rPr>
              <w:t>Detaljno</w:t>
            </w:r>
            <w:proofErr w:type="spellEnd"/>
            <w:r w:rsidRPr="00C27252">
              <w:rPr>
                <w:rFonts w:ascii="Cambria" w:hAnsi="Cambria" w:cs="Calibri"/>
              </w:rPr>
              <w:t xml:space="preserve"> </w:t>
            </w:r>
            <w:proofErr w:type="spellStart"/>
            <w:r w:rsidRPr="00C27252">
              <w:rPr>
                <w:rFonts w:ascii="Cambria" w:hAnsi="Cambria" w:cs="Calibri"/>
              </w:rPr>
              <w:t>raspisano</w:t>
            </w:r>
            <w:proofErr w:type="spellEnd"/>
            <w:r w:rsidRPr="00C27252">
              <w:rPr>
                <w:rFonts w:ascii="Cambria" w:hAnsi="Cambria" w:cs="Calibri"/>
              </w:rPr>
              <w:t xml:space="preserve"> </w:t>
            </w:r>
            <w:proofErr w:type="spellStart"/>
            <w:r w:rsidRPr="00C27252">
              <w:rPr>
                <w:rFonts w:ascii="Cambria" w:hAnsi="Cambria" w:cs="Calibri"/>
              </w:rPr>
              <w:t>bodovanje</w:t>
            </w:r>
            <w:proofErr w:type="spellEnd"/>
            <w:r w:rsidRPr="00C27252">
              <w:rPr>
                <w:rFonts w:ascii="Cambria" w:hAnsi="Cambria" w:cs="Calibri"/>
              </w:rPr>
              <w:t xml:space="preserve">: </w:t>
            </w:r>
          </w:p>
          <w:p w14:paraId="1681F767" w14:textId="77777777" w:rsidR="00B25532" w:rsidRPr="00C27252" w:rsidRDefault="00B25532" w:rsidP="00A034E3">
            <w:pPr>
              <w:pStyle w:val="Odlomakpopisa"/>
              <w:numPr>
                <w:ilvl w:val="0"/>
                <w:numId w:val="34"/>
              </w:numPr>
              <w:spacing w:after="0" w:line="240" w:lineRule="auto"/>
              <w:rPr>
                <w:rFonts w:ascii="Cambria" w:hAnsi="Cambria" w:cs="Calibri"/>
              </w:rPr>
            </w:pPr>
            <w:r w:rsidRPr="00C27252">
              <w:rPr>
                <w:rFonts w:ascii="Cambria" w:hAnsi="Cambria" w:cs="Calibri"/>
                <w:noProof/>
              </w:rPr>
              <w:t>Ocjensko</w:t>
            </w:r>
            <w:r w:rsidRPr="00C27252">
              <w:rPr>
                <w:rFonts w:ascii="Cambria" w:hAnsi="Cambria" w:cs="Calibri"/>
              </w:rPr>
              <w:t xml:space="preserve"> predavanje (45%): </w:t>
            </w:r>
          </w:p>
          <w:p w14:paraId="12FCF6A0" w14:textId="77777777" w:rsidR="00B25532" w:rsidRPr="00C27252" w:rsidRDefault="00B25532" w:rsidP="00A034E3">
            <w:pPr>
              <w:pStyle w:val="Odlomakpopisa"/>
              <w:numPr>
                <w:ilvl w:val="1"/>
                <w:numId w:val="34"/>
              </w:numPr>
              <w:spacing w:after="0" w:line="240" w:lineRule="auto"/>
              <w:rPr>
                <w:rFonts w:ascii="Cambria" w:hAnsi="Cambria" w:cs="Calibri"/>
              </w:rPr>
            </w:pPr>
            <w:r w:rsidRPr="00C27252">
              <w:rPr>
                <w:rFonts w:ascii="Cambria" w:hAnsi="Cambria" w:cs="Calibri"/>
              </w:rPr>
              <w:t>Pismena priprema: 20%</w:t>
            </w:r>
          </w:p>
          <w:p w14:paraId="0D8E0130" w14:textId="77777777" w:rsidR="00B25532" w:rsidRPr="00C27252" w:rsidRDefault="00B25532" w:rsidP="00A034E3">
            <w:pPr>
              <w:pStyle w:val="Odlomakpopisa"/>
              <w:numPr>
                <w:ilvl w:val="1"/>
                <w:numId w:val="34"/>
              </w:numPr>
              <w:spacing w:after="0" w:line="240" w:lineRule="auto"/>
              <w:rPr>
                <w:rFonts w:ascii="Cambria" w:hAnsi="Cambria" w:cs="Calibri"/>
              </w:rPr>
            </w:pPr>
            <w:r w:rsidRPr="00C27252">
              <w:rPr>
                <w:rFonts w:ascii="Cambria" w:hAnsi="Cambria" w:cs="Calibri"/>
              </w:rPr>
              <w:t>Komunikacija s učiteljicama i profesorima: 5%</w:t>
            </w:r>
          </w:p>
          <w:p w14:paraId="1BD05699" w14:textId="77777777" w:rsidR="00B25532" w:rsidRPr="00C27252" w:rsidRDefault="00B25532" w:rsidP="00A034E3">
            <w:pPr>
              <w:pStyle w:val="Odlomakpopisa"/>
              <w:numPr>
                <w:ilvl w:val="1"/>
                <w:numId w:val="34"/>
              </w:numPr>
              <w:spacing w:after="0" w:line="240" w:lineRule="auto"/>
              <w:rPr>
                <w:rFonts w:ascii="Cambria" w:hAnsi="Cambria" w:cs="Calibri"/>
              </w:rPr>
            </w:pPr>
            <w:r w:rsidRPr="00C27252">
              <w:rPr>
                <w:rFonts w:ascii="Cambria" w:hAnsi="Cambria" w:cs="Calibri"/>
                <w:noProof/>
              </w:rPr>
              <w:t>Ocjenski</w:t>
            </w:r>
            <w:r w:rsidRPr="00C27252">
              <w:rPr>
                <w:rFonts w:ascii="Cambria" w:hAnsi="Cambria" w:cs="Calibri"/>
              </w:rPr>
              <w:t xml:space="preserve"> sat u školi: 20%</w:t>
            </w:r>
          </w:p>
          <w:p w14:paraId="2296DBFD" w14:textId="77777777" w:rsidR="00B25532" w:rsidRPr="00C27252" w:rsidRDefault="00B25532" w:rsidP="00A034E3">
            <w:pPr>
              <w:pStyle w:val="Odlomakpopisa"/>
              <w:numPr>
                <w:ilvl w:val="0"/>
                <w:numId w:val="34"/>
              </w:numPr>
              <w:spacing w:after="0" w:line="240" w:lineRule="auto"/>
              <w:rPr>
                <w:rFonts w:ascii="Cambria" w:hAnsi="Cambria" w:cs="Calibri"/>
              </w:rPr>
            </w:pPr>
            <w:r w:rsidRPr="00C27252">
              <w:rPr>
                <w:rFonts w:ascii="Cambria" w:hAnsi="Cambria" w:cs="Calibri"/>
              </w:rPr>
              <w:t>Aktivnost na nastavi (5</w:t>
            </w:r>
            <w:r>
              <w:rPr>
                <w:rFonts w:ascii="Cambria" w:hAnsi="Cambria" w:cs="Calibri"/>
              </w:rPr>
              <w:t>5</w:t>
            </w:r>
            <w:r w:rsidRPr="00C27252">
              <w:rPr>
                <w:rFonts w:ascii="Cambria" w:hAnsi="Cambria" w:cs="Calibri"/>
              </w:rPr>
              <w:t xml:space="preserve">%): </w:t>
            </w:r>
          </w:p>
          <w:p w14:paraId="1082396D" w14:textId="77777777" w:rsidR="00B25532" w:rsidRPr="00C27252" w:rsidRDefault="00B25532" w:rsidP="00A034E3">
            <w:pPr>
              <w:pStyle w:val="Odlomakpopisa"/>
              <w:numPr>
                <w:ilvl w:val="1"/>
                <w:numId w:val="34"/>
              </w:numPr>
              <w:spacing w:after="0" w:line="240" w:lineRule="auto"/>
              <w:rPr>
                <w:rFonts w:ascii="Cambria" w:hAnsi="Cambria" w:cs="Calibri"/>
              </w:rPr>
            </w:pPr>
            <w:r w:rsidRPr="00C27252">
              <w:rPr>
                <w:rFonts w:ascii="Cambria" w:hAnsi="Cambria" w:cs="Calibri"/>
              </w:rPr>
              <w:t>Projektni zadatak : 3</w:t>
            </w:r>
            <w:r>
              <w:rPr>
                <w:rFonts w:ascii="Cambria" w:hAnsi="Cambria" w:cs="Calibri"/>
              </w:rPr>
              <w:t>5</w:t>
            </w:r>
            <w:r w:rsidRPr="00C27252">
              <w:rPr>
                <w:rFonts w:ascii="Cambria" w:hAnsi="Cambria" w:cs="Calibri"/>
              </w:rPr>
              <w:t>%</w:t>
            </w:r>
          </w:p>
          <w:p w14:paraId="6EE1CD22" w14:textId="77777777" w:rsidR="00B25532" w:rsidRPr="00C27252" w:rsidRDefault="00B25532" w:rsidP="00A034E3">
            <w:pPr>
              <w:pStyle w:val="Odlomakpopisa"/>
              <w:numPr>
                <w:ilvl w:val="1"/>
                <w:numId w:val="34"/>
              </w:numPr>
              <w:spacing w:after="0" w:line="240" w:lineRule="auto"/>
              <w:rPr>
                <w:rFonts w:ascii="Cambria" w:hAnsi="Cambria" w:cs="Calibri"/>
              </w:rPr>
            </w:pPr>
            <w:r w:rsidRPr="00C27252">
              <w:rPr>
                <w:rFonts w:ascii="Cambria" w:hAnsi="Cambria" w:cs="Calibri"/>
              </w:rPr>
              <w:t>Zadaci iz vježbi 2</w:t>
            </w:r>
            <w:r>
              <w:rPr>
                <w:rFonts w:ascii="Cambria" w:hAnsi="Cambria" w:cs="Calibri"/>
              </w:rPr>
              <w:t>0</w:t>
            </w:r>
            <w:r w:rsidRPr="00C27252">
              <w:rPr>
                <w:rFonts w:ascii="Cambria" w:hAnsi="Cambria" w:cs="Calibri"/>
              </w:rPr>
              <w:t>%:</w:t>
            </w:r>
          </w:p>
          <w:p w14:paraId="67877694" w14:textId="77777777" w:rsidR="00B25532" w:rsidRPr="00C27252" w:rsidRDefault="00B25532" w:rsidP="00A034E3">
            <w:pPr>
              <w:pStyle w:val="Odlomakpopisa"/>
              <w:numPr>
                <w:ilvl w:val="0"/>
                <w:numId w:val="35"/>
              </w:numPr>
              <w:spacing w:after="0" w:line="240" w:lineRule="auto"/>
              <w:rPr>
                <w:rFonts w:ascii="Cambria" w:hAnsi="Cambria" w:cs="Calibri"/>
              </w:rPr>
            </w:pPr>
            <w:r w:rsidRPr="00C27252">
              <w:rPr>
                <w:rFonts w:ascii="Cambria" w:hAnsi="Cambria" w:cs="Calibri"/>
              </w:rPr>
              <w:t>Osvrt na vlastiti sat: 5%</w:t>
            </w:r>
          </w:p>
          <w:p w14:paraId="52DCF4E4" w14:textId="77777777" w:rsidR="00B25532" w:rsidRPr="00C27252" w:rsidRDefault="00B25532" w:rsidP="00A034E3">
            <w:pPr>
              <w:pStyle w:val="Odlomakpopisa"/>
              <w:numPr>
                <w:ilvl w:val="0"/>
                <w:numId w:val="35"/>
              </w:numPr>
              <w:spacing w:after="0" w:line="240" w:lineRule="auto"/>
              <w:rPr>
                <w:rFonts w:ascii="Cambria" w:hAnsi="Cambria" w:cs="Calibri"/>
              </w:rPr>
            </w:pPr>
            <w:r w:rsidRPr="00C27252">
              <w:rPr>
                <w:rFonts w:ascii="Cambria" w:hAnsi="Cambria" w:cs="Calibri"/>
              </w:rPr>
              <w:t>Osvrt na sat kolege: 5%</w:t>
            </w:r>
          </w:p>
          <w:p w14:paraId="01ABA29A" w14:textId="77777777" w:rsidR="00B25532" w:rsidRPr="00C27252" w:rsidRDefault="00B25532" w:rsidP="00A034E3">
            <w:pPr>
              <w:pStyle w:val="Odlomakpopisa"/>
              <w:numPr>
                <w:ilvl w:val="0"/>
                <w:numId w:val="35"/>
              </w:numPr>
              <w:spacing w:after="0" w:line="240" w:lineRule="auto"/>
              <w:rPr>
                <w:rFonts w:ascii="Cambria" w:hAnsi="Cambria" w:cs="Calibri"/>
              </w:rPr>
            </w:pPr>
            <w:r w:rsidRPr="00C27252">
              <w:rPr>
                <w:rFonts w:ascii="Cambria" w:hAnsi="Cambria" w:cs="Calibri"/>
              </w:rPr>
              <w:t xml:space="preserve">Pisana priprema na temelju uzornog sata: </w:t>
            </w:r>
            <w:r>
              <w:rPr>
                <w:rFonts w:ascii="Cambria" w:hAnsi="Cambria" w:cs="Calibri"/>
              </w:rPr>
              <w:t>5</w:t>
            </w:r>
            <w:r w:rsidRPr="00C27252">
              <w:rPr>
                <w:rFonts w:ascii="Cambria" w:hAnsi="Cambria" w:cs="Calibri"/>
              </w:rPr>
              <w:t>%</w:t>
            </w:r>
          </w:p>
          <w:p w14:paraId="2B6FB8FF" w14:textId="79BA9D84" w:rsidR="00B25532" w:rsidRPr="0039661B" w:rsidRDefault="00B25532" w:rsidP="00A034E3">
            <w:pPr>
              <w:pStyle w:val="Odlomakpopisa"/>
              <w:numPr>
                <w:ilvl w:val="0"/>
                <w:numId w:val="35"/>
              </w:numPr>
              <w:spacing w:after="0" w:line="240" w:lineRule="auto"/>
              <w:rPr>
                <w:rFonts w:ascii="Cambria" w:hAnsi="Cambria" w:cs="Calibri"/>
              </w:rPr>
            </w:pPr>
            <w:r w:rsidRPr="00C27252">
              <w:rPr>
                <w:rFonts w:ascii="Cambria" w:hAnsi="Cambria" w:cs="Calibri"/>
              </w:rPr>
              <w:t xml:space="preserve">Aktivnost tijekom izvedbe oglednih </w:t>
            </w:r>
            <w:r w:rsidRPr="00C27252">
              <w:rPr>
                <w:rFonts w:ascii="Cambria" w:hAnsi="Cambria" w:cs="Calibri"/>
                <w:noProof/>
              </w:rPr>
              <w:t xml:space="preserve">ocjenskih </w:t>
            </w:r>
            <w:proofErr w:type="spellStart"/>
            <w:r w:rsidRPr="00C27252">
              <w:rPr>
                <w:rFonts w:ascii="Cambria" w:hAnsi="Cambria" w:cs="Calibri"/>
                <w:noProof/>
              </w:rPr>
              <w:t>sati:</w:t>
            </w:r>
            <w:r w:rsidRPr="00C27252">
              <w:rPr>
                <w:rFonts w:ascii="Cambria" w:hAnsi="Cambria" w:cs="Calibri"/>
              </w:rPr>
              <w:t>analize</w:t>
            </w:r>
            <w:proofErr w:type="spellEnd"/>
            <w:r w:rsidRPr="00C27252">
              <w:rPr>
                <w:rFonts w:ascii="Cambria" w:hAnsi="Cambria" w:cs="Calibri"/>
              </w:rPr>
              <w:t xml:space="preserve"> :</w:t>
            </w:r>
            <w:r>
              <w:rPr>
                <w:rFonts w:ascii="Cambria" w:hAnsi="Cambria" w:cs="Calibri"/>
              </w:rPr>
              <w:t>5</w:t>
            </w:r>
            <w:r w:rsidRPr="00C27252">
              <w:rPr>
                <w:rFonts w:ascii="Cambria" w:hAnsi="Cambria" w:cs="Calibri"/>
              </w:rPr>
              <w:t>%</w:t>
            </w:r>
          </w:p>
        </w:tc>
      </w:tr>
      <w:tr w:rsidR="00B25532" w:rsidRPr="00D0399C" w14:paraId="08F21CA8" w14:textId="77777777" w:rsidTr="00727BE6">
        <w:tc>
          <w:tcPr>
            <w:tcW w:w="218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BC422B6" w14:textId="77777777" w:rsidR="00B25532" w:rsidRPr="00A62FBD" w:rsidRDefault="00B25532" w:rsidP="0039661B">
            <w:pPr>
              <w:spacing w:after="0" w:line="240" w:lineRule="auto"/>
              <w:rPr>
                <w:rFonts w:ascii="Cambria" w:hAnsi="Cambria" w:cs="Calibri"/>
              </w:rPr>
            </w:pPr>
            <w:proofErr w:type="spellStart"/>
            <w:r w:rsidRPr="00A62FBD">
              <w:rPr>
                <w:rFonts w:ascii="Cambria" w:hAnsi="Cambria" w:cs="Calibri"/>
              </w:rPr>
              <w:t>Studentske</w:t>
            </w:r>
            <w:proofErr w:type="spellEnd"/>
            <w:r w:rsidRPr="00A62FBD">
              <w:rPr>
                <w:rFonts w:ascii="Cambria" w:hAnsi="Cambria" w:cs="Calibri"/>
              </w:rPr>
              <w:t xml:space="preserve"> </w:t>
            </w:r>
            <w:proofErr w:type="spellStart"/>
            <w:r w:rsidRPr="00A62FBD">
              <w:rPr>
                <w:rFonts w:ascii="Cambria" w:hAnsi="Cambria" w:cs="Calibri"/>
              </w:rPr>
              <w:t>obveze</w:t>
            </w:r>
            <w:proofErr w:type="spellEnd"/>
          </w:p>
        </w:tc>
        <w:tc>
          <w:tcPr>
            <w:tcW w:w="7588"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E748066" w14:textId="77777777" w:rsidR="00B25532" w:rsidRPr="00B25532" w:rsidRDefault="00B25532" w:rsidP="0039661B">
            <w:pPr>
              <w:spacing w:after="0" w:line="240" w:lineRule="auto"/>
              <w:rPr>
                <w:rFonts w:ascii="Cambria" w:hAnsi="Cambria"/>
                <w:lang w:val="it-IT"/>
              </w:rPr>
            </w:pPr>
            <w:r w:rsidRPr="00B25532">
              <w:rPr>
                <w:rFonts w:ascii="Cambria" w:hAnsi="Cambria"/>
                <w:lang w:val="it-IT"/>
              </w:rPr>
              <w:t xml:space="preserve">Da </w:t>
            </w:r>
            <w:proofErr w:type="spellStart"/>
            <w:r w:rsidRPr="00B25532">
              <w:rPr>
                <w:rFonts w:ascii="Cambria" w:hAnsi="Cambria"/>
                <w:lang w:val="it-IT"/>
              </w:rPr>
              <w:t>položi</w:t>
            </w:r>
            <w:proofErr w:type="spellEnd"/>
            <w:r w:rsidRPr="00B25532">
              <w:rPr>
                <w:rFonts w:ascii="Cambria" w:hAnsi="Cambria"/>
                <w:lang w:val="it-IT"/>
              </w:rPr>
              <w:t xml:space="preserve"> </w:t>
            </w:r>
            <w:proofErr w:type="spellStart"/>
            <w:r w:rsidRPr="00B25532">
              <w:rPr>
                <w:rFonts w:ascii="Cambria" w:hAnsi="Cambria"/>
                <w:lang w:val="it-IT"/>
              </w:rPr>
              <w:t>kolegij</w:t>
            </w:r>
            <w:proofErr w:type="spellEnd"/>
            <w:r w:rsidRPr="00B25532">
              <w:rPr>
                <w:rFonts w:ascii="Cambria" w:hAnsi="Cambria"/>
                <w:lang w:val="it-IT"/>
              </w:rPr>
              <w:t xml:space="preserve">, </w:t>
            </w:r>
            <w:proofErr w:type="spellStart"/>
            <w:r w:rsidRPr="00B25532">
              <w:rPr>
                <w:rFonts w:ascii="Cambria" w:hAnsi="Cambria"/>
                <w:lang w:val="it-IT"/>
              </w:rPr>
              <w:t>student</w:t>
            </w:r>
            <w:proofErr w:type="spellEnd"/>
            <w:r w:rsidRPr="00B25532">
              <w:rPr>
                <w:rFonts w:ascii="Cambria" w:hAnsi="Cambria"/>
                <w:lang w:val="it-IT"/>
              </w:rPr>
              <w:t>/</w:t>
            </w:r>
            <w:proofErr w:type="spellStart"/>
            <w:r w:rsidRPr="00B25532">
              <w:rPr>
                <w:rFonts w:ascii="Cambria" w:hAnsi="Cambria"/>
                <w:lang w:val="it-IT"/>
              </w:rPr>
              <w:t>studentica</w:t>
            </w:r>
            <w:proofErr w:type="spellEnd"/>
            <w:r w:rsidRPr="00B25532">
              <w:rPr>
                <w:rFonts w:ascii="Cambria" w:hAnsi="Cambria"/>
                <w:lang w:val="it-IT"/>
              </w:rPr>
              <w:t xml:space="preserve"> mora:</w:t>
            </w:r>
          </w:p>
          <w:p w14:paraId="366EB2A1" w14:textId="12631099" w:rsidR="00B25532" w:rsidRPr="00A57714" w:rsidRDefault="00A57714" w:rsidP="00A57714">
            <w:pPr>
              <w:spacing w:after="0" w:line="240" w:lineRule="auto"/>
              <w:rPr>
                <w:rFonts w:ascii="Cambria" w:hAnsi="Cambria"/>
                <w:lang w:val="it-IT"/>
              </w:rPr>
            </w:pPr>
            <w:r w:rsidRPr="00A57714">
              <w:rPr>
                <w:rFonts w:ascii="Cambria" w:hAnsi="Cambria"/>
                <w:lang w:val="it-IT"/>
              </w:rPr>
              <w:t>1.</w:t>
            </w:r>
            <w:r>
              <w:rPr>
                <w:rFonts w:ascii="Cambria" w:hAnsi="Cambria"/>
                <w:lang w:val="it-IT"/>
              </w:rPr>
              <w:t xml:space="preserve"> </w:t>
            </w:r>
            <w:proofErr w:type="spellStart"/>
            <w:r w:rsidR="00B25532" w:rsidRPr="00A57714">
              <w:rPr>
                <w:rFonts w:ascii="Cambria" w:hAnsi="Cambria"/>
                <w:lang w:val="it-IT"/>
              </w:rPr>
              <w:t>redovito</w:t>
            </w:r>
            <w:proofErr w:type="spellEnd"/>
            <w:r w:rsidR="00B25532" w:rsidRPr="00A57714">
              <w:rPr>
                <w:rFonts w:ascii="Cambria" w:hAnsi="Cambria"/>
                <w:lang w:val="it-IT"/>
              </w:rPr>
              <w:t xml:space="preserve"> </w:t>
            </w:r>
            <w:proofErr w:type="spellStart"/>
            <w:r w:rsidR="00B25532" w:rsidRPr="00A57714">
              <w:rPr>
                <w:rFonts w:ascii="Cambria" w:hAnsi="Cambria"/>
                <w:lang w:val="it-IT"/>
              </w:rPr>
              <w:t>pohađati</w:t>
            </w:r>
            <w:proofErr w:type="spellEnd"/>
            <w:r w:rsidR="00B25532" w:rsidRPr="00A57714">
              <w:rPr>
                <w:rFonts w:ascii="Cambria" w:hAnsi="Cambria"/>
                <w:lang w:val="it-IT"/>
              </w:rPr>
              <w:t xml:space="preserve"> </w:t>
            </w:r>
            <w:proofErr w:type="spellStart"/>
            <w:r w:rsidR="00B25532" w:rsidRPr="00A57714">
              <w:rPr>
                <w:rFonts w:ascii="Cambria" w:hAnsi="Cambria"/>
                <w:lang w:val="it-IT"/>
              </w:rPr>
              <w:t>nastavu</w:t>
            </w:r>
            <w:proofErr w:type="spellEnd"/>
            <w:r w:rsidR="00B25532" w:rsidRPr="00A57714">
              <w:rPr>
                <w:rFonts w:ascii="Cambria" w:hAnsi="Cambria"/>
                <w:lang w:val="it-IT"/>
              </w:rPr>
              <w:t xml:space="preserve"> i </w:t>
            </w:r>
            <w:proofErr w:type="spellStart"/>
            <w:r w:rsidR="00B25532" w:rsidRPr="00A57714">
              <w:rPr>
                <w:rFonts w:ascii="Cambria" w:hAnsi="Cambria"/>
                <w:lang w:val="it-IT"/>
              </w:rPr>
              <w:t>aktivno</w:t>
            </w:r>
            <w:proofErr w:type="spellEnd"/>
            <w:r w:rsidR="00B25532" w:rsidRPr="00A57714">
              <w:rPr>
                <w:rFonts w:ascii="Cambria" w:hAnsi="Cambria"/>
                <w:lang w:val="it-IT"/>
              </w:rPr>
              <w:t xml:space="preserve"> </w:t>
            </w:r>
            <w:proofErr w:type="spellStart"/>
            <w:r w:rsidR="00B25532" w:rsidRPr="00A57714">
              <w:rPr>
                <w:rFonts w:ascii="Cambria" w:hAnsi="Cambria"/>
                <w:lang w:val="it-IT"/>
              </w:rPr>
              <w:t>sudjelovati</w:t>
            </w:r>
            <w:proofErr w:type="spellEnd"/>
            <w:r w:rsidR="00B25532" w:rsidRPr="00A57714">
              <w:rPr>
                <w:rFonts w:ascii="Cambria" w:hAnsi="Cambria"/>
                <w:lang w:val="it-IT"/>
              </w:rPr>
              <w:t xml:space="preserve"> u </w:t>
            </w:r>
            <w:proofErr w:type="spellStart"/>
            <w:r w:rsidR="00B25532" w:rsidRPr="00A57714">
              <w:rPr>
                <w:rFonts w:ascii="Cambria" w:hAnsi="Cambria"/>
                <w:lang w:val="it-IT"/>
              </w:rPr>
              <w:t>svim</w:t>
            </w:r>
            <w:proofErr w:type="spellEnd"/>
            <w:r w:rsidR="00B25532" w:rsidRPr="00A57714">
              <w:rPr>
                <w:rFonts w:ascii="Cambria" w:hAnsi="Cambria"/>
                <w:lang w:val="it-IT"/>
              </w:rPr>
              <w:t xml:space="preserve"> </w:t>
            </w:r>
            <w:proofErr w:type="spellStart"/>
            <w:r w:rsidR="00B25532" w:rsidRPr="00A57714">
              <w:rPr>
                <w:rFonts w:ascii="Cambria" w:hAnsi="Cambria"/>
                <w:lang w:val="it-IT"/>
              </w:rPr>
              <w:t>oblicima</w:t>
            </w:r>
            <w:proofErr w:type="spellEnd"/>
            <w:r w:rsidR="00B25532" w:rsidRPr="00A57714">
              <w:rPr>
                <w:rFonts w:ascii="Cambria" w:hAnsi="Cambria"/>
                <w:lang w:val="it-IT"/>
              </w:rPr>
              <w:t xml:space="preserve"> </w:t>
            </w:r>
            <w:proofErr w:type="spellStart"/>
            <w:r w:rsidR="00B25532" w:rsidRPr="00A57714">
              <w:rPr>
                <w:rFonts w:ascii="Cambria" w:hAnsi="Cambria"/>
                <w:lang w:val="it-IT"/>
              </w:rPr>
              <w:t>nastave</w:t>
            </w:r>
            <w:proofErr w:type="spellEnd"/>
            <w:r w:rsidR="00B25532" w:rsidRPr="00A57714">
              <w:rPr>
                <w:rFonts w:ascii="Cambria" w:hAnsi="Cambria"/>
                <w:lang w:val="it-IT"/>
              </w:rPr>
              <w:t xml:space="preserve"> (</w:t>
            </w:r>
            <w:proofErr w:type="spellStart"/>
            <w:r w:rsidR="00B25532" w:rsidRPr="00A57714">
              <w:rPr>
                <w:rFonts w:ascii="Cambria" w:hAnsi="Cambria"/>
                <w:lang w:val="it-IT"/>
              </w:rPr>
              <w:t>barem</w:t>
            </w:r>
            <w:proofErr w:type="spellEnd"/>
            <w:r w:rsidR="00B25532" w:rsidRPr="00A57714">
              <w:rPr>
                <w:rFonts w:ascii="Cambria" w:hAnsi="Cambria"/>
                <w:lang w:val="it-IT"/>
              </w:rPr>
              <w:t xml:space="preserve"> 70% </w:t>
            </w:r>
            <w:proofErr w:type="spellStart"/>
            <w:r w:rsidR="00B25532" w:rsidRPr="00A57714">
              <w:rPr>
                <w:rFonts w:ascii="Cambria" w:hAnsi="Cambria"/>
                <w:lang w:val="it-IT"/>
              </w:rPr>
              <w:t>prisustva</w:t>
            </w:r>
            <w:proofErr w:type="spellEnd"/>
            <w:r w:rsidR="00B25532" w:rsidRPr="00A57714">
              <w:rPr>
                <w:rFonts w:ascii="Cambria" w:hAnsi="Cambria"/>
                <w:lang w:val="it-IT"/>
              </w:rPr>
              <w:t xml:space="preserve"> </w:t>
            </w:r>
            <w:proofErr w:type="spellStart"/>
            <w:r w:rsidR="00B25532" w:rsidRPr="00A57714">
              <w:rPr>
                <w:rFonts w:ascii="Cambria" w:hAnsi="Cambria"/>
                <w:lang w:val="it-IT"/>
              </w:rPr>
              <w:t>na</w:t>
            </w:r>
            <w:proofErr w:type="spellEnd"/>
            <w:r w:rsidR="00B25532" w:rsidRPr="00A57714">
              <w:rPr>
                <w:rFonts w:ascii="Cambria" w:hAnsi="Cambria"/>
                <w:lang w:val="it-IT"/>
              </w:rPr>
              <w:t xml:space="preserve"> </w:t>
            </w:r>
            <w:proofErr w:type="spellStart"/>
            <w:r w:rsidR="00B25532" w:rsidRPr="00A57714">
              <w:rPr>
                <w:rFonts w:ascii="Cambria" w:hAnsi="Cambria"/>
                <w:lang w:val="it-IT"/>
              </w:rPr>
              <w:t>vježbama</w:t>
            </w:r>
            <w:proofErr w:type="spellEnd"/>
            <w:r w:rsidR="00B25532" w:rsidRPr="00A57714">
              <w:rPr>
                <w:rFonts w:ascii="Cambria" w:hAnsi="Cambria"/>
                <w:lang w:val="it-IT"/>
              </w:rPr>
              <w:t xml:space="preserve"> i </w:t>
            </w:r>
            <w:proofErr w:type="spellStart"/>
            <w:r w:rsidR="00B25532" w:rsidRPr="00A57714">
              <w:rPr>
                <w:rFonts w:ascii="Cambria" w:hAnsi="Cambria"/>
                <w:lang w:val="it-IT"/>
              </w:rPr>
              <w:t>barem</w:t>
            </w:r>
            <w:proofErr w:type="spellEnd"/>
            <w:r w:rsidR="00B25532" w:rsidRPr="00A57714">
              <w:rPr>
                <w:rFonts w:ascii="Cambria" w:hAnsi="Cambria"/>
                <w:lang w:val="it-IT"/>
              </w:rPr>
              <w:t xml:space="preserve"> 70% </w:t>
            </w:r>
            <w:proofErr w:type="spellStart"/>
            <w:r w:rsidR="00B25532" w:rsidRPr="00A57714">
              <w:rPr>
                <w:rFonts w:ascii="Cambria" w:hAnsi="Cambria"/>
                <w:lang w:val="it-IT"/>
              </w:rPr>
              <w:t>prisustva</w:t>
            </w:r>
            <w:proofErr w:type="spellEnd"/>
            <w:r w:rsidR="00B25532" w:rsidRPr="00A57714">
              <w:rPr>
                <w:rFonts w:ascii="Cambria" w:hAnsi="Cambria"/>
                <w:lang w:val="it-IT"/>
              </w:rPr>
              <w:t xml:space="preserve"> </w:t>
            </w:r>
            <w:proofErr w:type="spellStart"/>
            <w:r w:rsidR="00B25532" w:rsidRPr="00A57714">
              <w:rPr>
                <w:rFonts w:ascii="Cambria" w:hAnsi="Cambria"/>
                <w:lang w:val="it-IT"/>
              </w:rPr>
              <w:t>na</w:t>
            </w:r>
            <w:proofErr w:type="spellEnd"/>
            <w:r w:rsidR="00B25532" w:rsidRPr="00A57714">
              <w:rPr>
                <w:rFonts w:ascii="Cambria" w:hAnsi="Cambria"/>
                <w:lang w:val="it-IT"/>
              </w:rPr>
              <w:t xml:space="preserve"> </w:t>
            </w:r>
            <w:proofErr w:type="spellStart"/>
            <w:r w:rsidR="00B25532" w:rsidRPr="00A57714">
              <w:rPr>
                <w:rFonts w:ascii="Cambria" w:hAnsi="Cambria"/>
                <w:lang w:val="it-IT"/>
              </w:rPr>
              <w:t>predavanjima</w:t>
            </w:r>
            <w:proofErr w:type="spellEnd"/>
            <w:r w:rsidR="00B25532" w:rsidRPr="00A57714">
              <w:rPr>
                <w:rFonts w:ascii="Cambria" w:hAnsi="Cambria"/>
                <w:lang w:val="it-IT"/>
              </w:rPr>
              <w:t>)</w:t>
            </w:r>
          </w:p>
          <w:p w14:paraId="4FC7A1B4" w14:textId="2E933743" w:rsidR="00B25532" w:rsidRPr="00A57714" w:rsidRDefault="00A57714" w:rsidP="00A57714">
            <w:pPr>
              <w:spacing w:after="0" w:line="240" w:lineRule="auto"/>
              <w:rPr>
                <w:rFonts w:ascii="Cambria" w:hAnsi="Cambria"/>
                <w:lang w:val="it-IT"/>
              </w:rPr>
            </w:pPr>
            <w:r w:rsidRPr="00A57714">
              <w:rPr>
                <w:rFonts w:ascii="Cambria" w:hAnsi="Cambria"/>
                <w:lang w:val="it-IT"/>
              </w:rPr>
              <w:t>2.</w:t>
            </w:r>
            <w:r>
              <w:rPr>
                <w:rFonts w:ascii="Cambria" w:hAnsi="Cambria"/>
                <w:lang w:val="it-IT"/>
              </w:rPr>
              <w:t xml:space="preserve"> </w:t>
            </w:r>
            <w:proofErr w:type="spellStart"/>
            <w:r w:rsidR="00B25532" w:rsidRPr="00A57714">
              <w:rPr>
                <w:rFonts w:ascii="Cambria" w:hAnsi="Cambria"/>
                <w:lang w:val="it-IT"/>
              </w:rPr>
              <w:t>uspješno</w:t>
            </w:r>
            <w:proofErr w:type="spellEnd"/>
            <w:r w:rsidR="00B25532" w:rsidRPr="00A57714">
              <w:rPr>
                <w:rFonts w:ascii="Cambria" w:hAnsi="Cambria"/>
                <w:lang w:val="it-IT"/>
              </w:rPr>
              <w:t xml:space="preserve"> </w:t>
            </w:r>
            <w:proofErr w:type="spellStart"/>
            <w:r w:rsidR="00B25532" w:rsidRPr="00A57714">
              <w:rPr>
                <w:rFonts w:ascii="Cambria" w:hAnsi="Cambria"/>
                <w:lang w:val="it-IT"/>
              </w:rPr>
              <w:t>realizirati</w:t>
            </w:r>
            <w:proofErr w:type="spellEnd"/>
            <w:r w:rsidR="00B25532" w:rsidRPr="00A57714">
              <w:rPr>
                <w:rFonts w:ascii="Cambria" w:hAnsi="Cambria"/>
                <w:lang w:val="it-IT"/>
              </w:rPr>
              <w:t xml:space="preserve"> </w:t>
            </w:r>
            <w:proofErr w:type="spellStart"/>
            <w:r w:rsidR="00B25532" w:rsidRPr="00A57714">
              <w:rPr>
                <w:rFonts w:ascii="Cambria" w:hAnsi="Cambria"/>
                <w:lang w:val="it-IT"/>
              </w:rPr>
              <w:t>nastavni</w:t>
            </w:r>
            <w:proofErr w:type="spellEnd"/>
            <w:r w:rsidR="00B25532" w:rsidRPr="00A57714">
              <w:rPr>
                <w:rFonts w:ascii="Cambria" w:hAnsi="Cambria"/>
                <w:lang w:val="it-IT"/>
              </w:rPr>
              <w:t xml:space="preserve"> </w:t>
            </w:r>
            <w:proofErr w:type="spellStart"/>
            <w:r w:rsidR="00B25532" w:rsidRPr="00A57714">
              <w:rPr>
                <w:rFonts w:ascii="Cambria" w:hAnsi="Cambria"/>
                <w:lang w:val="it-IT"/>
              </w:rPr>
              <w:t>sat</w:t>
            </w:r>
            <w:proofErr w:type="spellEnd"/>
            <w:r w:rsidR="00B25532" w:rsidRPr="00A57714">
              <w:rPr>
                <w:rFonts w:ascii="Cambria" w:hAnsi="Cambria"/>
                <w:lang w:val="it-IT"/>
              </w:rPr>
              <w:t xml:space="preserve"> u </w:t>
            </w:r>
            <w:proofErr w:type="spellStart"/>
            <w:r w:rsidR="00B25532" w:rsidRPr="00A57714">
              <w:rPr>
                <w:rFonts w:ascii="Cambria" w:hAnsi="Cambria"/>
                <w:lang w:val="it-IT"/>
              </w:rPr>
              <w:t>vježbaonici</w:t>
            </w:r>
            <w:proofErr w:type="spellEnd"/>
            <w:r w:rsidR="00B25532" w:rsidRPr="00A57714">
              <w:rPr>
                <w:rFonts w:ascii="Cambria" w:hAnsi="Cambria"/>
                <w:lang w:val="it-IT"/>
              </w:rPr>
              <w:t xml:space="preserve"> (</w:t>
            </w:r>
            <w:proofErr w:type="spellStart"/>
            <w:r w:rsidR="00B25532" w:rsidRPr="00A57714">
              <w:rPr>
                <w:rFonts w:ascii="Cambria" w:hAnsi="Cambria"/>
                <w:lang w:val="it-IT"/>
              </w:rPr>
              <w:t>barem</w:t>
            </w:r>
            <w:proofErr w:type="spellEnd"/>
            <w:r w:rsidR="00B25532" w:rsidRPr="00A57714">
              <w:rPr>
                <w:rFonts w:ascii="Cambria" w:hAnsi="Cambria"/>
                <w:lang w:val="it-IT"/>
              </w:rPr>
              <w:t xml:space="preserve"> 50% </w:t>
            </w:r>
            <w:proofErr w:type="spellStart"/>
            <w:r w:rsidR="00B25532" w:rsidRPr="00A57714">
              <w:rPr>
                <w:rFonts w:ascii="Cambria" w:hAnsi="Cambria"/>
                <w:lang w:val="it-IT"/>
              </w:rPr>
              <w:t>predviđenih</w:t>
            </w:r>
            <w:proofErr w:type="spellEnd"/>
            <w:r w:rsidR="00B25532" w:rsidRPr="00A57714">
              <w:rPr>
                <w:rFonts w:ascii="Cambria" w:hAnsi="Cambria"/>
                <w:lang w:val="it-IT"/>
              </w:rPr>
              <w:t xml:space="preserve"> </w:t>
            </w:r>
            <w:proofErr w:type="spellStart"/>
            <w:r w:rsidR="00B25532" w:rsidRPr="00A57714">
              <w:rPr>
                <w:rFonts w:ascii="Cambria" w:hAnsi="Cambria"/>
                <w:lang w:val="it-IT"/>
              </w:rPr>
              <w:t>ocjenskih</w:t>
            </w:r>
            <w:proofErr w:type="spellEnd"/>
            <w:r w:rsidR="00B25532" w:rsidRPr="00A57714">
              <w:rPr>
                <w:rFonts w:ascii="Cambria" w:hAnsi="Cambria"/>
                <w:lang w:val="it-IT"/>
              </w:rPr>
              <w:t xml:space="preserve"> </w:t>
            </w:r>
            <w:proofErr w:type="spellStart"/>
            <w:r w:rsidR="00B25532" w:rsidRPr="00A57714">
              <w:rPr>
                <w:rFonts w:ascii="Cambria" w:hAnsi="Cambria"/>
                <w:lang w:val="it-IT"/>
              </w:rPr>
              <w:t>bodova</w:t>
            </w:r>
            <w:proofErr w:type="spellEnd"/>
            <w:r w:rsidR="00B25532" w:rsidRPr="00A57714">
              <w:rPr>
                <w:rFonts w:ascii="Cambria" w:hAnsi="Cambria"/>
                <w:lang w:val="it-IT"/>
              </w:rPr>
              <w:t xml:space="preserve"> za </w:t>
            </w:r>
            <w:proofErr w:type="spellStart"/>
            <w:r w:rsidR="00B25532" w:rsidRPr="00A57714">
              <w:rPr>
                <w:rFonts w:ascii="Cambria" w:hAnsi="Cambria"/>
                <w:lang w:val="it-IT"/>
              </w:rPr>
              <w:t>sat</w:t>
            </w:r>
            <w:proofErr w:type="spellEnd"/>
            <w:r w:rsidR="00B25532" w:rsidRPr="00A57714">
              <w:rPr>
                <w:rFonts w:ascii="Cambria" w:hAnsi="Cambria"/>
                <w:lang w:val="it-IT"/>
              </w:rPr>
              <w:t xml:space="preserve">, </w:t>
            </w:r>
            <w:proofErr w:type="spellStart"/>
            <w:r w:rsidR="00B25532" w:rsidRPr="00A57714">
              <w:rPr>
                <w:rFonts w:ascii="Cambria" w:hAnsi="Cambria"/>
                <w:lang w:val="it-IT"/>
              </w:rPr>
              <w:t>pripremu</w:t>
            </w:r>
            <w:proofErr w:type="spellEnd"/>
            <w:r w:rsidR="00B25532" w:rsidRPr="00A57714">
              <w:rPr>
                <w:rFonts w:ascii="Cambria" w:hAnsi="Cambria"/>
                <w:lang w:val="it-IT"/>
              </w:rPr>
              <w:t xml:space="preserve"> i </w:t>
            </w:r>
            <w:proofErr w:type="spellStart"/>
            <w:r w:rsidR="00B25532" w:rsidRPr="00A57714">
              <w:rPr>
                <w:rFonts w:ascii="Cambria" w:hAnsi="Cambria"/>
                <w:lang w:val="it-IT"/>
              </w:rPr>
              <w:t>komunikaciju</w:t>
            </w:r>
            <w:proofErr w:type="spellEnd"/>
            <w:r w:rsidR="00B25532" w:rsidRPr="00A57714">
              <w:rPr>
                <w:rFonts w:ascii="Cambria" w:hAnsi="Cambria"/>
                <w:lang w:val="it-IT"/>
              </w:rPr>
              <w:t>)</w:t>
            </w:r>
          </w:p>
          <w:p w14:paraId="389360B7" w14:textId="7C7BEE8D" w:rsidR="00B25532" w:rsidRPr="00A57714" w:rsidRDefault="00A57714" w:rsidP="00A57714">
            <w:pPr>
              <w:spacing w:after="0" w:line="240" w:lineRule="auto"/>
              <w:rPr>
                <w:rFonts w:ascii="Cambria" w:hAnsi="Cambria" w:cs="Calibri"/>
                <w:lang w:val="it-IT"/>
              </w:rPr>
            </w:pPr>
            <w:r w:rsidRPr="00A57714">
              <w:rPr>
                <w:rFonts w:ascii="Cambria" w:hAnsi="Cambria"/>
                <w:lang w:val="it-IT"/>
              </w:rPr>
              <w:t>3.</w:t>
            </w:r>
            <w:r>
              <w:rPr>
                <w:rFonts w:ascii="Cambria" w:hAnsi="Cambria"/>
                <w:lang w:val="it-IT"/>
              </w:rPr>
              <w:t xml:space="preserve"> </w:t>
            </w:r>
            <w:proofErr w:type="spellStart"/>
            <w:r w:rsidR="00B25532" w:rsidRPr="00A57714">
              <w:rPr>
                <w:rFonts w:ascii="Cambria" w:hAnsi="Cambria"/>
                <w:lang w:val="it-IT"/>
              </w:rPr>
              <w:t>aktivno</w:t>
            </w:r>
            <w:proofErr w:type="spellEnd"/>
            <w:r w:rsidR="00B25532" w:rsidRPr="00A57714">
              <w:rPr>
                <w:rFonts w:ascii="Cambria" w:hAnsi="Cambria"/>
                <w:lang w:val="it-IT"/>
              </w:rPr>
              <w:t xml:space="preserve"> </w:t>
            </w:r>
            <w:proofErr w:type="spellStart"/>
            <w:r w:rsidR="00B25532" w:rsidRPr="00A57714">
              <w:rPr>
                <w:rFonts w:ascii="Cambria" w:hAnsi="Cambria"/>
                <w:lang w:val="it-IT"/>
              </w:rPr>
              <w:t>sudjelovati</w:t>
            </w:r>
            <w:proofErr w:type="spellEnd"/>
            <w:r w:rsidR="00B25532" w:rsidRPr="00A57714">
              <w:rPr>
                <w:rFonts w:ascii="Cambria" w:hAnsi="Cambria"/>
                <w:lang w:val="it-IT"/>
              </w:rPr>
              <w:t xml:space="preserve"> u </w:t>
            </w:r>
            <w:proofErr w:type="spellStart"/>
            <w:r w:rsidR="00B25532" w:rsidRPr="00A57714">
              <w:rPr>
                <w:rFonts w:ascii="Cambria" w:hAnsi="Cambria"/>
                <w:lang w:val="it-IT"/>
              </w:rPr>
              <w:t>projektnom</w:t>
            </w:r>
            <w:proofErr w:type="spellEnd"/>
            <w:r w:rsidR="00B25532" w:rsidRPr="00A57714">
              <w:rPr>
                <w:rFonts w:ascii="Cambria" w:hAnsi="Cambria"/>
                <w:lang w:val="it-IT"/>
              </w:rPr>
              <w:t xml:space="preserve"> </w:t>
            </w:r>
            <w:proofErr w:type="spellStart"/>
            <w:r w:rsidR="00B25532" w:rsidRPr="00A57714">
              <w:rPr>
                <w:rFonts w:ascii="Cambria" w:hAnsi="Cambria"/>
                <w:lang w:val="it-IT"/>
              </w:rPr>
              <w:t>zadatku</w:t>
            </w:r>
            <w:proofErr w:type="spellEnd"/>
            <w:r w:rsidR="00B25532" w:rsidRPr="00A57714">
              <w:rPr>
                <w:rFonts w:ascii="Cambria" w:hAnsi="Cambria"/>
                <w:lang w:val="it-IT"/>
              </w:rPr>
              <w:t xml:space="preserve"> (</w:t>
            </w:r>
            <w:proofErr w:type="spellStart"/>
            <w:r w:rsidR="00B25532" w:rsidRPr="00A57714">
              <w:rPr>
                <w:rFonts w:ascii="Cambria" w:hAnsi="Cambria"/>
                <w:lang w:val="it-IT"/>
              </w:rPr>
              <w:t>uz</w:t>
            </w:r>
            <w:proofErr w:type="spellEnd"/>
            <w:r w:rsidR="00B25532" w:rsidRPr="00A57714">
              <w:rPr>
                <w:rFonts w:ascii="Cambria" w:hAnsi="Cambria"/>
                <w:lang w:val="it-IT"/>
              </w:rPr>
              <w:t xml:space="preserve"> </w:t>
            </w:r>
            <w:proofErr w:type="spellStart"/>
            <w:r w:rsidR="00B25532" w:rsidRPr="00A57714">
              <w:rPr>
                <w:rFonts w:ascii="Cambria" w:hAnsi="Cambria"/>
                <w:lang w:val="it-IT"/>
              </w:rPr>
              <w:t>barem</w:t>
            </w:r>
            <w:proofErr w:type="spellEnd"/>
            <w:r w:rsidR="00B25532" w:rsidRPr="00A57714">
              <w:rPr>
                <w:rFonts w:ascii="Cambria" w:hAnsi="Cambria"/>
                <w:lang w:val="it-IT"/>
              </w:rPr>
              <w:t xml:space="preserve"> 50% </w:t>
            </w:r>
            <w:proofErr w:type="spellStart"/>
            <w:r w:rsidR="00B25532" w:rsidRPr="00A57714">
              <w:rPr>
                <w:rFonts w:ascii="Cambria" w:hAnsi="Cambria"/>
                <w:lang w:val="it-IT"/>
              </w:rPr>
              <w:t>ocjenskih</w:t>
            </w:r>
            <w:proofErr w:type="spellEnd"/>
            <w:r w:rsidR="00B25532" w:rsidRPr="00A57714">
              <w:rPr>
                <w:rFonts w:ascii="Cambria" w:hAnsi="Cambria"/>
                <w:lang w:val="it-IT"/>
              </w:rPr>
              <w:t xml:space="preserve"> </w:t>
            </w:r>
            <w:proofErr w:type="spellStart"/>
            <w:r w:rsidR="00B25532" w:rsidRPr="00A57714">
              <w:rPr>
                <w:rFonts w:ascii="Cambria" w:hAnsi="Cambria"/>
                <w:lang w:val="it-IT"/>
              </w:rPr>
              <w:t>bodova</w:t>
            </w:r>
            <w:proofErr w:type="spellEnd"/>
            <w:r w:rsidR="00B25532" w:rsidRPr="00A57714">
              <w:rPr>
                <w:rFonts w:ascii="Cambria" w:hAnsi="Cambria"/>
                <w:lang w:val="it-IT"/>
              </w:rPr>
              <w:t xml:space="preserve"> za rad)</w:t>
            </w:r>
            <w:r w:rsidR="0039661B" w:rsidRPr="00A57714">
              <w:rPr>
                <w:rFonts w:ascii="Cambria" w:hAnsi="Cambria"/>
                <w:lang w:val="it-IT"/>
              </w:rPr>
              <w:t>.</w:t>
            </w:r>
          </w:p>
        </w:tc>
      </w:tr>
      <w:tr w:rsidR="00B25532" w:rsidRPr="00D0399C" w14:paraId="74F9A10B" w14:textId="77777777" w:rsidTr="00727BE6">
        <w:trPr>
          <w:trHeight w:val="645"/>
        </w:trPr>
        <w:tc>
          <w:tcPr>
            <w:tcW w:w="218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B421A25" w14:textId="77777777" w:rsidR="00B25532" w:rsidRPr="00A62FBD" w:rsidRDefault="00B25532" w:rsidP="0039661B">
            <w:pPr>
              <w:spacing w:after="0" w:line="240" w:lineRule="auto"/>
              <w:rPr>
                <w:rFonts w:ascii="Cambria" w:hAnsi="Cambria" w:cs="Calibri"/>
              </w:rPr>
            </w:pPr>
            <w:proofErr w:type="spellStart"/>
            <w:r w:rsidRPr="00A62FBD">
              <w:rPr>
                <w:rFonts w:ascii="Cambria" w:hAnsi="Cambria" w:cs="Calibri"/>
              </w:rPr>
              <w:t>Rokovi</w:t>
            </w:r>
            <w:proofErr w:type="spellEnd"/>
            <w:r w:rsidRPr="00A62FBD">
              <w:rPr>
                <w:rFonts w:ascii="Cambria" w:hAnsi="Cambria" w:cs="Calibri"/>
              </w:rPr>
              <w:t xml:space="preserve"> </w:t>
            </w:r>
            <w:proofErr w:type="spellStart"/>
            <w:r w:rsidRPr="00A62FBD">
              <w:rPr>
                <w:rFonts w:ascii="Cambria" w:hAnsi="Cambria" w:cs="Calibri"/>
              </w:rPr>
              <w:t>ispita</w:t>
            </w:r>
            <w:proofErr w:type="spellEnd"/>
            <w:r w:rsidRPr="00A62FBD">
              <w:rPr>
                <w:rFonts w:ascii="Cambria" w:hAnsi="Cambria" w:cs="Calibri"/>
              </w:rPr>
              <w:t xml:space="preserve"> </w:t>
            </w:r>
          </w:p>
        </w:tc>
        <w:tc>
          <w:tcPr>
            <w:tcW w:w="7588"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1F1D15C" w14:textId="5DA6340F" w:rsidR="00B25532" w:rsidRPr="00B25532" w:rsidRDefault="00B25532" w:rsidP="0039661B">
            <w:pPr>
              <w:spacing w:after="0" w:line="240" w:lineRule="auto"/>
              <w:rPr>
                <w:rFonts w:ascii="Cambria" w:hAnsi="Cambria" w:cs="Calibri"/>
                <w:lang w:val="it-IT"/>
              </w:rPr>
            </w:pPr>
            <w:proofErr w:type="spellStart"/>
            <w:r w:rsidRPr="00B25532">
              <w:rPr>
                <w:rFonts w:ascii="Cambria" w:hAnsi="Cambria" w:cs="Calibri"/>
                <w:lang w:val="it-IT"/>
              </w:rPr>
              <w:t>Datumi</w:t>
            </w:r>
            <w:proofErr w:type="spellEnd"/>
            <w:r w:rsidRPr="00B25532">
              <w:rPr>
                <w:rFonts w:ascii="Cambria" w:hAnsi="Cambria" w:cs="Calibri"/>
                <w:lang w:val="it-IT"/>
              </w:rPr>
              <w:t xml:space="preserve"> </w:t>
            </w:r>
            <w:proofErr w:type="spellStart"/>
            <w:r w:rsidRPr="00B25532">
              <w:rPr>
                <w:rFonts w:ascii="Cambria" w:hAnsi="Cambria" w:cs="Calibri"/>
                <w:lang w:val="it-IT"/>
              </w:rPr>
              <w:t>dostupni</w:t>
            </w:r>
            <w:proofErr w:type="spellEnd"/>
            <w:r w:rsidRPr="00B25532">
              <w:rPr>
                <w:rFonts w:ascii="Cambria" w:hAnsi="Cambria" w:cs="Calibri"/>
                <w:lang w:val="it-IT"/>
              </w:rPr>
              <w:t xml:space="preserve"> </w:t>
            </w:r>
            <w:proofErr w:type="spellStart"/>
            <w:r w:rsidRPr="00B25532">
              <w:rPr>
                <w:rFonts w:ascii="Cambria" w:hAnsi="Cambria" w:cs="Calibri"/>
                <w:lang w:val="it-IT"/>
              </w:rPr>
              <w:t>na</w:t>
            </w:r>
            <w:proofErr w:type="spellEnd"/>
            <w:r w:rsidRPr="00B25532">
              <w:rPr>
                <w:rFonts w:ascii="Cambria" w:hAnsi="Cambria" w:cs="Calibri"/>
                <w:lang w:val="it-IT"/>
              </w:rPr>
              <w:t xml:space="preserve"> </w:t>
            </w:r>
            <w:proofErr w:type="spellStart"/>
            <w:r w:rsidR="0039661B">
              <w:rPr>
                <w:rFonts w:ascii="Cambria" w:hAnsi="Cambria" w:cs="Calibri"/>
                <w:lang w:val="it-IT"/>
              </w:rPr>
              <w:t>mrežnim</w:t>
            </w:r>
            <w:proofErr w:type="spellEnd"/>
            <w:r w:rsidRPr="00B25532">
              <w:rPr>
                <w:rFonts w:ascii="Cambria" w:hAnsi="Cambria" w:cs="Calibri"/>
                <w:lang w:val="it-IT"/>
              </w:rPr>
              <w:t xml:space="preserve"> </w:t>
            </w:r>
            <w:proofErr w:type="spellStart"/>
            <w:r w:rsidRPr="00B25532">
              <w:rPr>
                <w:rFonts w:ascii="Cambria" w:hAnsi="Cambria" w:cs="Calibri"/>
                <w:lang w:val="it-IT"/>
              </w:rPr>
              <w:t>stranicama</w:t>
            </w:r>
            <w:proofErr w:type="spellEnd"/>
            <w:r w:rsidRPr="00B25532">
              <w:rPr>
                <w:rFonts w:ascii="Cambria" w:hAnsi="Cambria" w:cs="Calibri"/>
                <w:lang w:val="it-IT"/>
              </w:rPr>
              <w:t xml:space="preserve"> </w:t>
            </w:r>
            <w:proofErr w:type="spellStart"/>
            <w:r w:rsidRPr="00B25532">
              <w:rPr>
                <w:rFonts w:ascii="Cambria" w:hAnsi="Cambria" w:cs="Calibri"/>
                <w:lang w:val="it-IT"/>
              </w:rPr>
              <w:t>Odjela</w:t>
            </w:r>
            <w:proofErr w:type="spellEnd"/>
            <w:r w:rsidRPr="00B25532">
              <w:rPr>
                <w:rFonts w:ascii="Cambria" w:hAnsi="Cambria" w:cs="Calibri"/>
                <w:lang w:val="it-IT"/>
              </w:rPr>
              <w:t xml:space="preserve"> i ISVU </w:t>
            </w:r>
            <w:proofErr w:type="spellStart"/>
            <w:r w:rsidRPr="00B25532">
              <w:rPr>
                <w:rFonts w:ascii="Cambria" w:hAnsi="Cambria" w:cs="Calibri"/>
                <w:lang w:val="it-IT"/>
              </w:rPr>
              <w:t>bazi</w:t>
            </w:r>
            <w:proofErr w:type="spellEnd"/>
          </w:p>
        </w:tc>
      </w:tr>
      <w:tr w:rsidR="00B25532" w:rsidRPr="0039661B" w14:paraId="244750D6" w14:textId="77777777" w:rsidTr="00727BE6">
        <w:tc>
          <w:tcPr>
            <w:tcW w:w="218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7A40F0B" w14:textId="77777777" w:rsidR="00B25532" w:rsidRPr="00B25532" w:rsidRDefault="00B25532" w:rsidP="0039661B">
            <w:pPr>
              <w:spacing w:after="0" w:line="240" w:lineRule="auto"/>
              <w:rPr>
                <w:rFonts w:ascii="Cambria" w:hAnsi="Cambria" w:cs="Calibri"/>
                <w:lang w:val="it-IT"/>
              </w:rPr>
            </w:pPr>
            <w:r w:rsidRPr="00B25532">
              <w:rPr>
                <w:rFonts w:ascii="Cambria" w:hAnsi="Cambria" w:cs="Calibri"/>
                <w:lang w:val="it-IT"/>
              </w:rPr>
              <w:t xml:space="preserve">Ostale </w:t>
            </w:r>
            <w:proofErr w:type="spellStart"/>
            <w:r w:rsidRPr="00B25532">
              <w:rPr>
                <w:rFonts w:ascii="Cambria" w:hAnsi="Cambria" w:cs="Calibri"/>
                <w:lang w:val="it-IT"/>
              </w:rPr>
              <w:t>važne</w:t>
            </w:r>
            <w:proofErr w:type="spellEnd"/>
            <w:r w:rsidRPr="00B25532">
              <w:rPr>
                <w:rFonts w:ascii="Cambria" w:hAnsi="Cambria" w:cs="Calibri"/>
                <w:lang w:val="it-IT"/>
              </w:rPr>
              <w:t xml:space="preserve"> </w:t>
            </w:r>
            <w:proofErr w:type="spellStart"/>
            <w:r w:rsidRPr="00B25532">
              <w:rPr>
                <w:rFonts w:ascii="Cambria" w:hAnsi="Cambria" w:cs="Calibri"/>
                <w:lang w:val="it-IT"/>
              </w:rPr>
              <w:t>činjenice</w:t>
            </w:r>
            <w:proofErr w:type="spellEnd"/>
            <w:r w:rsidRPr="00B25532">
              <w:rPr>
                <w:rFonts w:ascii="Cambria" w:hAnsi="Cambria" w:cs="Calibri"/>
                <w:lang w:val="it-IT"/>
              </w:rPr>
              <w:t xml:space="preserve"> </w:t>
            </w:r>
            <w:proofErr w:type="spellStart"/>
            <w:r w:rsidRPr="00A62FBD">
              <w:rPr>
                <w:rFonts w:ascii="Cambria" w:hAnsi="Cambria" w:cs="Calibri"/>
                <w:lang w:val="it-IT"/>
              </w:rPr>
              <w:t>vezane</w:t>
            </w:r>
            <w:proofErr w:type="spellEnd"/>
            <w:r w:rsidRPr="00A62FBD">
              <w:rPr>
                <w:rFonts w:ascii="Cambria" w:hAnsi="Cambria" w:cs="Calibri"/>
                <w:lang w:val="it-IT"/>
              </w:rPr>
              <w:t xml:space="preserve"> </w:t>
            </w:r>
            <w:proofErr w:type="spellStart"/>
            <w:r w:rsidRPr="00A62FBD">
              <w:rPr>
                <w:rFonts w:ascii="Cambria" w:hAnsi="Cambria" w:cs="Calibri"/>
                <w:lang w:val="it-IT"/>
              </w:rPr>
              <w:t>uz</w:t>
            </w:r>
            <w:proofErr w:type="spellEnd"/>
            <w:r w:rsidRPr="00A62FBD">
              <w:rPr>
                <w:rFonts w:ascii="Cambria" w:hAnsi="Cambria" w:cs="Calibri"/>
                <w:lang w:val="it-IT"/>
              </w:rPr>
              <w:t xml:space="preserve"> </w:t>
            </w:r>
            <w:proofErr w:type="spellStart"/>
            <w:r w:rsidRPr="00A62FBD">
              <w:rPr>
                <w:rFonts w:ascii="Cambria" w:hAnsi="Cambria" w:cs="Calibri"/>
                <w:lang w:val="it-IT"/>
              </w:rPr>
              <w:t>kolegij</w:t>
            </w:r>
            <w:proofErr w:type="spellEnd"/>
          </w:p>
        </w:tc>
        <w:tc>
          <w:tcPr>
            <w:tcW w:w="7588"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BE1F023" w14:textId="77777777" w:rsidR="00B25532" w:rsidRPr="00B25532" w:rsidRDefault="00B25532" w:rsidP="0039661B">
            <w:pPr>
              <w:spacing w:after="0" w:line="240" w:lineRule="auto"/>
              <w:rPr>
                <w:rFonts w:ascii="Cambria" w:hAnsi="Cambria" w:cs="Calibri"/>
                <w:lang w:val="it-IT"/>
              </w:rPr>
            </w:pPr>
            <w:proofErr w:type="spellStart"/>
            <w:r w:rsidRPr="00B25532">
              <w:rPr>
                <w:rFonts w:ascii="Cambria" w:hAnsi="Cambria" w:cs="Calibri"/>
                <w:lang w:val="it-IT"/>
              </w:rPr>
              <w:t>Materijali</w:t>
            </w:r>
            <w:proofErr w:type="spellEnd"/>
            <w:r w:rsidRPr="00B25532">
              <w:rPr>
                <w:rFonts w:ascii="Cambria" w:hAnsi="Cambria" w:cs="Calibri"/>
                <w:lang w:val="it-IT"/>
              </w:rPr>
              <w:t xml:space="preserve"> za </w:t>
            </w:r>
            <w:proofErr w:type="spellStart"/>
            <w:r w:rsidRPr="00B25532">
              <w:rPr>
                <w:rFonts w:ascii="Cambria" w:hAnsi="Cambria" w:cs="Calibri"/>
                <w:lang w:val="it-IT"/>
              </w:rPr>
              <w:t>predavanja</w:t>
            </w:r>
            <w:proofErr w:type="spellEnd"/>
            <w:r w:rsidRPr="00B25532">
              <w:rPr>
                <w:rFonts w:ascii="Cambria" w:hAnsi="Cambria" w:cs="Calibri"/>
                <w:lang w:val="it-IT"/>
              </w:rPr>
              <w:t xml:space="preserve"> i </w:t>
            </w:r>
            <w:proofErr w:type="spellStart"/>
            <w:r w:rsidRPr="00B25532">
              <w:rPr>
                <w:rFonts w:ascii="Cambria" w:hAnsi="Cambria" w:cs="Calibri"/>
                <w:lang w:val="it-IT"/>
              </w:rPr>
              <w:t>vježbe</w:t>
            </w:r>
            <w:proofErr w:type="spellEnd"/>
            <w:r w:rsidRPr="00B25532">
              <w:rPr>
                <w:rFonts w:ascii="Cambria" w:hAnsi="Cambria" w:cs="Calibri"/>
                <w:lang w:val="it-IT"/>
              </w:rPr>
              <w:t xml:space="preserve"> </w:t>
            </w:r>
            <w:proofErr w:type="spellStart"/>
            <w:r w:rsidRPr="00B25532">
              <w:rPr>
                <w:rFonts w:ascii="Cambria" w:hAnsi="Cambria" w:cs="Calibri"/>
                <w:lang w:val="it-IT"/>
              </w:rPr>
              <w:t>objavljuju</w:t>
            </w:r>
            <w:proofErr w:type="spellEnd"/>
            <w:r w:rsidRPr="00B25532">
              <w:rPr>
                <w:rFonts w:ascii="Cambria" w:hAnsi="Cambria" w:cs="Calibri"/>
                <w:lang w:val="it-IT"/>
              </w:rPr>
              <w:t xml:space="preserve"> se </w:t>
            </w:r>
            <w:proofErr w:type="spellStart"/>
            <w:r w:rsidRPr="00B25532">
              <w:rPr>
                <w:rFonts w:ascii="Cambria" w:hAnsi="Cambria" w:cs="Calibri"/>
                <w:lang w:val="it-IT"/>
              </w:rPr>
              <w:t>na</w:t>
            </w:r>
            <w:proofErr w:type="spellEnd"/>
            <w:r w:rsidRPr="00B25532">
              <w:rPr>
                <w:rFonts w:ascii="Cambria" w:hAnsi="Cambria" w:cs="Calibri"/>
                <w:lang w:val="it-IT"/>
              </w:rPr>
              <w:t xml:space="preserve"> e-</w:t>
            </w:r>
            <w:proofErr w:type="spellStart"/>
            <w:r w:rsidRPr="00B25532">
              <w:rPr>
                <w:rFonts w:ascii="Cambria" w:hAnsi="Cambria" w:cs="Calibri"/>
                <w:lang w:val="it-IT"/>
              </w:rPr>
              <w:t>učenju</w:t>
            </w:r>
            <w:proofErr w:type="spellEnd"/>
            <w:r w:rsidRPr="00B25532">
              <w:rPr>
                <w:rFonts w:ascii="Cambria" w:hAnsi="Cambria" w:cs="Calibri"/>
                <w:lang w:val="it-IT"/>
              </w:rPr>
              <w:t>.</w:t>
            </w:r>
          </w:p>
          <w:p w14:paraId="05C65213" w14:textId="0E5624C1" w:rsidR="00B25532" w:rsidRPr="0039661B" w:rsidRDefault="00B25532" w:rsidP="0039661B">
            <w:pPr>
              <w:spacing w:after="0" w:line="240" w:lineRule="auto"/>
              <w:rPr>
                <w:rFonts w:ascii="Cambria" w:hAnsi="Cambria" w:cs="Calibri"/>
                <w:lang w:val="it-IT"/>
              </w:rPr>
            </w:pPr>
            <w:r w:rsidRPr="00B25532">
              <w:rPr>
                <w:rFonts w:ascii="Cambria" w:hAnsi="Cambria" w:cs="Calibri"/>
                <w:lang w:val="it-IT"/>
              </w:rPr>
              <w:t xml:space="preserve">U </w:t>
            </w:r>
            <w:proofErr w:type="spellStart"/>
            <w:r w:rsidRPr="00B25532">
              <w:rPr>
                <w:rFonts w:ascii="Cambria" w:hAnsi="Cambria" w:cs="Calibri"/>
                <w:lang w:val="it-IT"/>
              </w:rPr>
              <w:t>slučaju</w:t>
            </w:r>
            <w:proofErr w:type="spellEnd"/>
            <w:r w:rsidRPr="00B25532">
              <w:rPr>
                <w:rFonts w:ascii="Cambria" w:hAnsi="Cambria" w:cs="Calibri"/>
                <w:lang w:val="it-IT"/>
              </w:rPr>
              <w:t xml:space="preserve"> </w:t>
            </w:r>
            <w:proofErr w:type="spellStart"/>
            <w:r w:rsidRPr="00B25532">
              <w:rPr>
                <w:rFonts w:ascii="Cambria" w:hAnsi="Cambria" w:cs="Calibri"/>
                <w:lang w:val="it-IT"/>
              </w:rPr>
              <w:t>održavanja</w:t>
            </w:r>
            <w:proofErr w:type="spellEnd"/>
            <w:r w:rsidRPr="00B25532">
              <w:rPr>
                <w:rFonts w:ascii="Cambria" w:hAnsi="Cambria" w:cs="Calibri"/>
                <w:lang w:val="it-IT"/>
              </w:rPr>
              <w:t xml:space="preserve"> </w:t>
            </w:r>
            <w:proofErr w:type="spellStart"/>
            <w:r w:rsidRPr="00B25532">
              <w:rPr>
                <w:rFonts w:ascii="Cambria" w:hAnsi="Cambria" w:cs="Calibri"/>
                <w:lang w:val="it-IT"/>
              </w:rPr>
              <w:t>nastave</w:t>
            </w:r>
            <w:proofErr w:type="spellEnd"/>
            <w:r w:rsidRPr="00B25532">
              <w:rPr>
                <w:rFonts w:ascii="Cambria" w:hAnsi="Cambria" w:cs="Calibri"/>
                <w:lang w:val="it-IT"/>
              </w:rPr>
              <w:t xml:space="preserve"> </w:t>
            </w:r>
            <w:proofErr w:type="spellStart"/>
            <w:r w:rsidRPr="00B25532">
              <w:rPr>
                <w:rFonts w:ascii="Cambria" w:hAnsi="Cambria" w:cs="Calibri"/>
                <w:lang w:val="it-IT"/>
              </w:rPr>
              <w:t>na</w:t>
            </w:r>
            <w:proofErr w:type="spellEnd"/>
            <w:r w:rsidRPr="00B25532">
              <w:rPr>
                <w:rFonts w:ascii="Cambria" w:hAnsi="Cambria" w:cs="Calibri"/>
                <w:lang w:val="it-IT"/>
              </w:rPr>
              <w:t xml:space="preserve"> </w:t>
            </w:r>
            <w:proofErr w:type="spellStart"/>
            <w:r w:rsidRPr="00B25532">
              <w:rPr>
                <w:rFonts w:ascii="Cambria" w:hAnsi="Cambria" w:cs="Calibri"/>
                <w:lang w:val="it-IT"/>
              </w:rPr>
              <w:t>daljinu</w:t>
            </w:r>
            <w:proofErr w:type="spellEnd"/>
            <w:r w:rsidRPr="00B25532">
              <w:rPr>
                <w:rFonts w:ascii="Cambria" w:hAnsi="Cambria" w:cs="Calibri"/>
                <w:lang w:val="it-IT"/>
              </w:rPr>
              <w:t xml:space="preserve">, </w:t>
            </w:r>
            <w:proofErr w:type="spellStart"/>
            <w:r w:rsidRPr="00B25532">
              <w:rPr>
                <w:rFonts w:ascii="Cambria" w:hAnsi="Cambria" w:cs="Calibri"/>
                <w:lang w:val="it-IT"/>
              </w:rPr>
              <w:t>moguće</w:t>
            </w:r>
            <w:proofErr w:type="spellEnd"/>
            <w:r w:rsidRPr="00B25532">
              <w:rPr>
                <w:rFonts w:ascii="Cambria" w:hAnsi="Cambria" w:cs="Calibri"/>
                <w:lang w:val="it-IT"/>
              </w:rPr>
              <w:t xml:space="preserve"> je </w:t>
            </w:r>
            <w:proofErr w:type="spellStart"/>
            <w:r w:rsidRPr="00B25532">
              <w:rPr>
                <w:rFonts w:ascii="Cambria" w:hAnsi="Cambria" w:cs="Calibri"/>
                <w:lang w:val="it-IT"/>
              </w:rPr>
              <w:t>odstupanje</w:t>
            </w:r>
            <w:proofErr w:type="spellEnd"/>
            <w:r w:rsidRPr="00B25532">
              <w:rPr>
                <w:rFonts w:ascii="Cambria" w:hAnsi="Cambria" w:cs="Calibri"/>
                <w:lang w:val="it-IT"/>
              </w:rPr>
              <w:t xml:space="preserve"> u: </w:t>
            </w:r>
            <w:proofErr w:type="spellStart"/>
            <w:r w:rsidRPr="00B25532">
              <w:rPr>
                <w:rFonts w:ascii="Cambria" w:hAnsi="Cambria" w:cs="Calibri"/>
                <w:lang w:val="it-IT"/>
              </w:rPr>
              <w:t>mjestu</w:t>
            </w:r>
            <w:proofErr w:type="spellEnd"/>
            <w:r w:rsidRPr="00B25532">
              <w:rPr>
                <w:rFonts w:ascii="Cambria" w:hAnsi="Cambria" w:cs="Calibri"/>
                <w:lang w:val="it-IT"/>
              </w:rPr>
              <w:t xml:space="preserve"> </w:t>
            </w:r>
            <w:proofErr w:type="spellStart"/>
            <w:r w:rsidRPr="00B25532">
              <w:rPr>
                <w:rFonts w:ascii="Cambria" w:hAnsi="Cambria" w:cs="Calibri"/>
                <w:lang w:val="it-IT"/>
              </w:rPr>
              <w:t>izvođenja</w:t>
            </w:r>
            <w:proofErr w:type="spellEnd"/>
            <w:r w:rsidRPr="00B25532">
              <w:rPr>
                <w:rFonts w:ascii="Cambria" w:hAnsi="Cambria" w:cs="Calibri"/>
                <w:lang w:val="it-IT"/>
              </w:rPr>
              <w:t xml:space="preserve"> </w:t>
            </w:r>
            <w:proofErr w:type="spellStart"/>
            <w:r w:rsidRPr="00B25532">
              <w:rPr>
                <w:rFonts w:ascii="Cambria" w:hAnsi="Cambria" w:cs="Calibri"/>
                <w:lang w:val="it-IT"/>
              </w:rPr>
              <w:t>kolegija</w:t>
            </w:r>
            <w:proofErr w:type="spellEnd"/>
            <w:r w:rsidRPr="00B25532">
              <w:rPr>
                <w:rFonts w:ascii="Cambria" w:hAnsi="Cambria" w:cs="Calibri"/>
                <w:lang w:val="it-IT"/>
              </w:rPr>
              <w:t xml:space="preserve">, </w:t>
            </w:r>
            <w:proofErr w:type="spellStart"/>
            <w:r w:rsidRPr="00B25532">
              <w:rPr>
                <w:rFonts w:ascii="Cambria" w:hAnsi="Cambria" w:cs="Calibri"/>
                <w:lang w:val="it-IT"/>
              </w:rPr>
              <w:t>provedbi</w:t>
            </w:r>
            <w:proofErr w:type="spellEnd"/>
            <w:r w:rsidRPr="00B25532">
              <w:rPr>
                <w:rFonts w:ascii="Cambria" w:hAnsi="Cambria" w:cs="Calibri"/>
                <w:lang w:val="it-IT"/>
              </w:rPr>
              <w:t xml:space="preserve"> </w:t>
            </w:r>
            <w:proofErr w:type="spellStart"/>
            <w:r w:rsidRPr="00B25532">
              <w:rPr>
                <w:rFonts w:ascii="Cambria" w:hAnsi="Cambria" w:cs="Calibri"/>
                <w:lang w:val="it-IT"/>
              </w:rPr>
              <w:t>aktivnosti</w:t>
            </w:r>
            <w:proofErr w:type="spellEnd"/>
            <w:r w:rsidRPr="00B25532">
              <w:rPr>
                <w:rFonts w:ascii="Cambria" w:hAnsi="Cambria" w:cs="Calibri"/>
                <w:lang w:val="it-IT"/>
              </w:rPr>
              <w:t xml:space="preserve">, </w:t>
            </w:r>
            <w:proofErr w:type="spellStart"/>
            <w:r w:rsidRPr="00B25532">
              <w:rPr>
                <w:rFonts w:ascii="Cambria" w:hAnsi="Cambria" w:cs="Calibri"/>
                <w:lang w:val="it-IT"/>
              </w:rPr>
              <w:t>metoda</w:t>
            </w:r>
            <w:proofErr w:type="spellEnd"/>
            <w:r w:rsidRPr="00B25532">
              <w:rPr>
                <w:rFonts w:ascii="Cambria" w:hAnsi="Cambria" w:cs="Calibri"/>
                <w:lang w:val="it-IT"/>
              </w:rPr>
              <w:t xml:space="preserve"> </w:t>
            </w:r>
            <w:proofErr w:type="spellStart"/>
            <w:r w:rsidRPr="00B25532">
              <w:rPr>
                <w:rFonts w:ascii="Cambria" w:hAnsi="Cambria" w:cs="Calibri"/>
                <w:lang w:val="it-IT"/>
              </w:rPr>
              <w:t>tumačenja</w:t>
            </w:r>
            <w:proofErr w:type="spellEnd"/>
            <w:r w:rsidRPr="00B25532">
              <w:rPr>
                <w:rFonts w:ascii="Cambria" w:hAnsi="Cambria" w:cs="Calibri"/>
                <w:lang w:val="it-IT"/>
              </w:rPr>
              <w:t xml:space="preserve"> i </w:t>
            </w:r>
            <w:proofErr w:type="spellStart"/>
            <w:r w:rsidRPr="00B25532">
              <w:rPr>
                <w:rFonts w:ascii="Cambria" w:hAnsi="Cambria" w:cs="Calibri"/>
                <w:lang w:val="it-IT"/>
              </w:rPr>
              <w:t>poučavanja</w:t>
            </w:r>
            <w:proofErr w:type="spellEnd"/>
            <w:r w:rsidRPr="00B25532">
              <w:rPr>
                <w:rFonts w:ascii="Cambria" w:hAnsi="Cambria" w:cs="Calibri"/>
                <w:lang w:val="it-IT"/>
              </w:rPr>
              <w:t xml:space="preserve"> i </w:t>
            </w:r>
            <w:proofErr w:type="spellStart"/>
            <w:r w:rsidRPr="00B25532">
              <w:rPr>
                <w:rFonts w:ascii="Cambria" w:hAnsi="Cambria" w:cs="Calibri"/>
                <w:lang w:val="it-IT"/>
              </w:rPr>
              <w:t>načinima</w:t>
            </w:r>
            <w:proofErr w:type="spellEnd"/>
            <w:r w:rsidRPr="00B25532">
              <w:rPr>
                <w:rFonts w:ascii="Cambria" w:hAnsi="Cambria" w:cs="Calibri"/>
                <w:lang w:val="it-IT"/>
              </w:rPr>
              <w:t xml:space="preserve"> </w:t>
            </w:r>
            <w:proofErr w:type="spellStart"/>
            <w:r w:rsidRPr="00B25532">
              <w:rPr>
                <w:rFonts w:ascii="Cambria" w:hAnsi="Cambria" w:cs="Calibri"/>
                <w:lang w:val="it-IT"/>
              </w:rPr>
              <w:t>vrednovanja</w:t>
            </w:r>
            <w:proofErr w:type="spellEnd"/>
            <w:r w:rsidRPr="00B25532">
              <w:rPr>
                <w:rFonts w:ascii="Cambria" w:hAnsi="Cambria" w:cs="Calibri"/>
                <w:lang w:val="it-IT"/>
              </w:rPr>
              <w:t xml:space="preserve">, </w:t>
            </w:r>
            <w:proofErr w:type="spellStart"/>
            <w:r w:rsidRPr="00B25532">
              <w:rPr>
                <w:rFonts w:ascii="Cambria" w:hAnsi="Cambria" w:cs="Calibri"/>
                <w:lang w:val="it-IT"/>
              </w:rPr>
              <w:t>studentskim</w:t>
            </w:r>
            <w:proofErr w:type="spellEnd"/>
            <w:r w:rsidRPr="00B25532">
              <w:rPr>
                <w:rFonts w:ascii="Cambria" w:hAnsi="Cambria" w:cs="Calibri"/>
                <w:lang w:val="it-IT"/>
              </w:rPr>
              <w:t xml:space="preserve"> </w:t>
            </w:r>
            <w:proofErr w:type="spellStart"/>
            <w:r w:rsidRPr="00B25532">
              <w:rPr>
                <w:rFonts w:ascii="Cambria" w:hAnsi="Cambria" w:cs="Calibri"/>
                <w:lang w:val="it-IT"/>
              </w:rPr>
              <w:t>obvezama</w:t>
            </w:r>
            <w:proofErr w:type="spellEnd"/>
            <w:r w:rsidRPr="00B25532">
              <w:rPr>
                <w:rFonts w:ascii="Cambria" w:hAnsi="Cambria" w:cs="Calibri"/>
                <w:lang w:val="it-IT"/>
              </w:rPr>
              <w:t xml:space="preserve"> i </w:t>
            </w:r>
            <w:proofErr w:type="spellStart"/>
            <w:r w:rsidRPr="00B25532">
              <w:rPr>
                <w:rFonts w:ascii="Cambria" w:hAnsi="Cambria" w:cs="Calibri"/>
                <w:lang w:val="it-IT"/>
              </w:rPr>
              <w:t>dostupnoj</w:t>
            </w:r>
            <w:proofErr w:type="spellEnd"/>
            <w:r w:rsidRPr="00B25532">
              <w:rPr>
                <w:rFonts w:ascii="Cambria" w:hAnsi="Cambria" w:cs="Calibri"/>
                <w:lang w:val="it-IT"/>
              </w:rPr>
              <w:t xml:space="preserve"> </w:t>
            </w:r>
            <w:proofErr w:type="spellStart"/>
            <w:r w:rsidRPr="00B25532">
              <w:rPr>
                <w:rFonts w:ascii="Cambria" w:hAnsi="Cambria" w:cs="Calibri"/>
                <w:lang w:val="it-IT"/>
              </w:rPr>
              <w:t>literaturi</w:t>
            </w:r>
            <w:proofErr w:type="spellEnd"/>
            <w:r w:rsidRPr="00B25532">
              <w:rPr>
                <w:rFonts w:ascii="Cambria" w:hAnsi="Cambria" w:cs="Calibri"/>
                <w:lang w:val="it-IT"/>
              </w:rPr>
              <w:t xml:space="preserve">. O tome </w:t>
            </w:r>
            <w:proofErr w:type="spellStart"/>
            <w:r w:rsidRPr="00B25532">
              <w:rPr>
                <w:rFonts w:ascii="Cambria" w:hAnsi="Cambria" w:cs="Calibri"/>
                <w:lang w:val="it-IT"/>
              </w:rPr>
              <w:t>će</w:t>
            </w:r>
            <w:proofErr w:type="spellEnd"/>
            <w:r w:rsidRPr="00B25532">
              <w:rPr>
                <w:rFonts w:ascii="Cambria" w:hAnsi="Cambria" w:cs="Calibri"/>
                <w:lang w:val="it-IT"/>
              </w:rPr>
              <w:t xml:space="preserve"> </w:t>
            </w:r>
            <w:proofErr w:type="spellStart"/>
            <w:r w:rsidRPr="00B25532">
              <w:rPr>
                <w:rFonts w:ascii="Cambria" w:hAnsi="Cambria" w:cs="Calibri"/>
                <w:lang w:val="it-IT"/>
              </w:rPr>
              <w:t>nositelj</w:t>
            </w:r>
            <w:proofErr w:type="spellEnd"/>
            <w:r w:rsidRPr="00B25532">
              <w:rPr>
                <w:rFonts w:ascii="Cambria" w:hAnsi="Cambria" w:cs="Calibri"/>
                <w:lang w:val="it-IT"/>
              </w:rPr>
              <w:t xml:space="preserve"> i </w:t>
            </w:r>
            <w:proofErr w:type="spellStart"/>
            <w:r w:rsidR="0039661B">
              <w:rPr>
                <w:rFonts w:ascii="Cambria" w:hAnsi="Cambria" w:cs="Calibri"/>
                <w:lang w:val="it-IT"/>
              </w:rPr>
              <w:t>asistentica</w:t>
            </w:r>
            <w:proofErr w:type="spellEnd"/>
            <w:r w:rsidRPr="00B25532">
              <w:rPr>
                <w:rFonts w:ascii="Cambria" w:hAnsi="Cambria" w:cs="Calibri"/>
                <w:lang w:val="it-IT"/>
              </w:rPr>
              <w:t xml:space="preserve"> </w:t>
            </w:r>
            <w:proofErr w:type="spellStart"/>
            <w:r w:rsidRPr="00B25532">
              <w:rPr>
                <w:rFonts w:ascii="Cambria" w:hAnsi="Cambria" w:cs="Calibri"/>
                <w:lang w:val="it-IT"/>
              </w:rPr>
              <w:t>obavijestiti</w:t>
            </w:r>
            <w:proofErr w:type="spellEnd"/>
            <w:r w:rsidRPr="00B25532">
              <w:rPr>
                <w:rFonts w:ascii="Cambria" w:hAnsi="Cambria" w:cs="Calibri"/>
                <w:lang w:val="it-IT"/>
              </w:rPr>
              <w:t xml:space="preserve"> studente i </w:t>
            </w:r>
            <w:proofErr w:type="spellStart"/>
            <w:r w:rsidRPr="00B25532">
              <w:rPr>
                <w:rFonts w:ascii="Cambria" w:hAnsi="Cambria" w:cs="Calibri"/>
                <w:lang w:val="it-IT"/>
              </w:rPr>
              <w:t>studentice</w:t>
            </w:r>
            <w:proofErr w:type="spellEnd"/>
            <w:r w:rsidRPr="00B25532">
              <w:rPr>
                <w:rFonts w:ascii="Cambria" w:hAnsi="Cambria" w:cs="Calibri"/>
                <w:lang w:val="it-IT"/>
              </w:rPr>
              <w:t xml:space="preserve"> </w:t>
            </w:r>
            <w:proofErr w:type="spellStart"/>
            <w:r w:rsidRPr="00B25532">
              <w:rPr>
                <w:rFonts w:ascii="Cambria" w:hAnsi="Cambria" w:cs="Calibri"/>
                <w:lang w:val="it-IT"/>
              </w:rPr>
              <w:t>kad</w:t>
            </w:r>
            <w:proofErr w:type="spellEnd"/>
            <w:r w:rsidRPr="00B25532">
              <w:rPr>
                <w:rFonts w:ascii="Cambria" w:hAnsi="Cambria" w:cs="Calibri"/>
                <w:lang w:val="it-IT"/>
              </w:rPr>
              <w:t xml:space="preserve"> se </w:t>
            </w:r>
            <w:proofErr w:type="spellStart"/>
            <w:r w:rsidRPr="00B25532">
              <w:rPr>
                <w:rFonts w:ascii="Cambria" w:hAnsi="Cambria" w:cs="Calibri"/>
                <w:lang w:val="it-IT"/>
              </w:rPr>
              <w:t>nastava</w:t>
            </w:r>
            <w:proofErr w:type="spellEnd"/>
            <w:r w:rsidRPr="00B25532">
              <w:rPr>
                <w:rFonts w:ascii="Cambria" w:hAnsi="Cambria" w:cs="Calibri"/>
                <w:lang w:val="it-IT"/>
              </w:rPr>
              <w:t xml:space="preserve"> </w:t>
            </w:r>
            <w:proofErr w:type="spellStart"/>
            <w:r w:rsidRPr="00B25532">
              <w:rPr>
                <w:rFonts w:ascii="Cambria" w:hAnsi="Cambria" w:cs="Calibri"/>
                <w:lang w:val="it-IT"/>
              </w:rPr>
              <w:t>na</w:t>
            </w:r>
            <w:proofErr w:type="spellEnd"/>
            <w:r w:rsidRPr="00B25532">
              <w:rPr>
                <w:rFonts w:ascii="Cambria" w:hAnsi="Cambria" w:cs="Calibri"/>
                <w:lang w:val="it-IT"/>
              </w:rPr>
              <w:t xml:space="preserve"> </w:t>
            </w:r>
            <w:proofErr w:type="spellStart"/>
            <w:r w:rsidRPr="00B25532">
              <w:rPr>
                <w:rFonts w:ascii="Cambria" w:hAnsi="Cambria" w:cs="Calibri"/>
                <w:lang w:val="it-IT"/>
              </w:rPr>
              <w:t>daljinu</w:t>
            </w:r>
            <w:proofErr w:type="spellEnd"/>
            <w:r w:rsidRPr="00B25532">
              <w:rPr>
                <w:rFonts w:ascii="Cambria" w:hAnsi="Cambria" w:cs="Calibri"/>
                <w:lang w:val="it-IT"/>
              </w:rPr>
              <w:t xml:space="preserve"> </w:t>
            </w:r>
            <w:proofErr w:type="spellStart"/>
            <w:r w:rsidRPr="00B25532">
              <w:rPr>
                <w:rFonts w:ascii="Cambria" w:hAnsi="Cambria" w:cs="Calibri"/>
                <w:lang w:val="it-IT"/>
              </w:rPr>
              <w:t>počne</w:t>
            </w:r>
            <w:proofErr w:type="spellEnd"/>
            <w:r w:rsidRPr="00B25532">
              <w:rPr>
                <w:rFonts w:ascii="Cambria" w:hAnsi="Cambria" w:cs="Calibri"/>
                <w:lang w:val="it-IT"/>
              </w:rPr>
              <w:t xml:space="preserve"> </w:t>
            </w:r>
            <w:proofErr w:type="spellStart"/>
            <w:r w:rsidRPr="00B25532">
              <w:rPr>
                <w:rFonts w:ascii="Cambria" w:hAnsi="Cambria" w:cs="Calibri"/>
                <w:lang w:val="it-IT"/>
              </w:rPr>
              <w:t>održavati</w:t>
            </w:r>
            <w:proofErr w:type="spellEnd"/>
            <w:r w:rsidRPr="00B25532">
              <w:rPr>
                <w:rFonts w:ascii="Cambria" w:hAnsi="Cambria" w:cs="Calibri"/>
                <w:lang w:val="it-IT"/>
              </w:rPr>
              <w:t xml:space="preserve">. </w:t>
            </w:r>
            <w:proofErr w:type="spellStart"/>
            <w:r w:rsidRPr="0039661B">
              <w:rPr>
                <w:rFonts w:ascii="Cambria" w:hAnsi="Cambria" w:cs="Calibri"/>
                <w:lang w:val="it-IT"/>
              </w:rPr>
              <w:t>Ishodi</w:t>
            </w:r>
            <w:proofErr w:type="spellEnd"/>
            <w:r w:rsidRPr="0039661B">
              <w:rPr>
                <w:rFonts w:ascii="Cambria" w:hAnsi="Cambria" w:cs="Calibri"/>
                <w:lang w:val="it-IT"/>
              </w:rPr>
              <w:t xml:space="preserve"> </w:t>
            </w:r>
            <w:proofErr w:type="spellStart"/>
            <w:r w:rsidRPr="0039661B">
              <w:rPr>
                <w:rFonts w:ascii="Cambria" w:hAnsi="Cambria" w:cs="Calibri"/>
                <w:lang w:val="it-IT"/>
              </w:rPr>
              <w:t>učenja</w:t>
            </w:r>
            <w:proofErr w:type="spellEnd"/>
            <w:r w:rsidRPr="0039661B">
              <w:rPr>
                <w:rFonts w:ascii="Cambria" w:hAnsi="Cambria" w:cs="Calibri"/>
                <w:lang w:val="it-IT"/>
              </w:rPr>
              <w:t xml:space="preserve"> </w:t>
            </w:r>
            <w:proofErr w:type="spellStart"/>
            <w:r w:rsidRPr="0039661B">
              <w:rPr>
                <w:rFonts w:ascii="Cambria" w:hAnsi="Cambria" w:cs="Calibri"/>
                <w:lang w:val="it-IT"/>
              </w:rPr>
              <w:t>ostaju</w:t>
            </w:r>
            <w:proofErr w:type="spellEnd"/>
            <w:r w:rsidRPr="0039661B">
              <w:rPr>
                <w:rFonts w:ascii="Cambria" w:hAnsi="Cambria" w:cs="Calibri"/>
                <w:lang w:val="it-IT"/>
              </w:rPr>
              <w:t xml:space="preserve"> </w:t>
            </w:r>
            <w:proofErr w:type="spellStart"/>
            <w:r w:rsidRPr="0039661B">
              <w:rPr>
                <w:rFonts w:ascii="Cambria" w:hAnsi="Cambria" w:cs="Calibri"/>
                <w:lang w:val="it-IT"/>
              </w:rPr>
              <w:t>nepromijenjeni</w:t>
            </w:r>
            <w:proofErr w:type="spellEnd"/>
            <w:r w:rsidRPr="0039661B">
              <w:rPr>
                <w:rFonts w:ascii="Cambria" w:hAnsi="Cambria" w:cs="Calibri"/>
                <w:lang w:val="it-IT"/>
              </w:rPr>
              <w:t>.</w:t>
            </w:r>
          </w:p>
        </w:tc>
      </w:tr>
      <w:tr w:rsidR="00B25532" w:rsidRPr="00A62FBD" w14:paraId="19BF4A24" w14:textId="77777777" w:rsidTr="00727BE6">
        <w:trPr>
          <w:trHeight w:val="770"/>
        </w:trPr>
        <w:tc>
          <w:tcPr>
            <w:tcW w:w="218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EF4E27B" w14:textId="77777777" w:rsidR="00B25532" w:rsidRPr="00A62FBD" w:rsidRDefault="00B25532" w:rsidP="0039661B">
            <w:pPr>
              <w:spacing w:after="0" w:line="240" w:lineRule="auto"/>
              <w:rPr>
                <w:rFonts w:ascii="Cambria" w:hAnsi="Cambria" w:cs="Calibri"/>
              </w:rPr>
            </w:pPr>
            <w:proofErr w:type="spellStart"/>
            <w:r w:rsidRPr="00A62FBD">
              <w:rPr>
                <w:rFonts w:ascii="Cambria" w:hAnsi="Cambria" w:cs="Calibri"/>
              </w:rPr>
              <w:t>Literatura</w:t>
            </w:r>
            <w:proofErr w:type="spellEnd"/>
          </w:p>
        </w:tc>
        <w:tc>
          <w:tcPr>
            <w:tcW w:w="7588" w:type="dxa"/>
            <w:gridSpan w:val="6"/>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73A1601F" w14:textId="77777777" w:rsidR="00B25532" w:rsidRPr="00D146F8" w:rsidRDefault="00B25532" w:rsidP="0039661B">
            <w:pPr>
              <w:spacing w:after="0" w:line="240" w:lineRule="auto"/>
              <w:rPr>
                <w:rFonts w:ascii="Cambria" w:hAnsi="Cambria"/>
                <w:bCs/>
                <w:lang w:eastAsia="zh-CN"/>
              </w:rPr>
            </w:pPr>
            <w:proofErr w:type="spellStart"/>
            <w:r w:rsidRPr="00D146F8">
              <w:rPr>
                <w:rFonts w:ascii="Cambria" w:hAnsi="Cambria"/>
                <w:bCs/>
              </w:rPr>
              <w:t>Obvezna</w:t>
            </w:r>
            <w:proofErr w:type="spellEnd"/>
            <w:r w:rsidRPr="00D146F8">
              <w:rPr>
                <w:rFonts w:ascii="Cambria" w:hAnsi="Cambria"/>
                <w:bCs/>
              </w:rPr>
              <w:t xml:space="preserve">: </w:t>
            </w:r>
          </w:p>
          <w:p w14:paraId="10F1847E" w14:textId="77777777" w:rsidR="00B25532" w:rsidRPr="00D146F8" w:rsidRDefault="00B25532" w:rsidP="00A034E3">
            <w:pPr>
              <w:pStyle w:val="Odlomakpopisa"/>
              <w:numPr>
                <w:ilvl w:val="0"/>
                <w:numId w:val="36"/>
              </w:numPr>
              <w:spacing w:after="0" w:line="240" w:lineRule="auto"/>
              <w:rPr>
                <w:rFonts w:ascii="Cambria" w:hAnsi="Cambria"/>
              </w:rPr>
            </w:pPr>
            <w:r w:rsidRPr="00D146F8">
              <w:rPr>
                <w:rFonts w:ascii="Cambria" w:hAnsi="Cambria"/>
                <w:lang w:eastAsia="zh-CN"/>
              </w:rPr>
              <w:t>Markovac, J. (2001.) Metodika početne nastave matematike. Školska knjiga</w:t>
            </w:r>
          </w:p>
          <w:p w14:paraId="403A9178" w14:textId="7873DF86" w:rsidR="00B25532" w:rsidRPr="0039661B" w:rsidRDefault="00B25532" w:rsidP="00A034E3">
            <w:pPr>
              <w:pStyle w:val="Odlomakpopisa"/>
              <w:numPr>
                <w:ilvl w:val="0"/>
                <w:numId w:val="36"/>
              </w:numPr>
              <w:spacing w:after="0" w:line="240" w:lineRule="auto"/>
              <w:rPr>
                <w:rFonts w:ascii="Cambria" w:hAnsi="Cambria"/>
              </w:rPr>
            </w:pPr>
            <w:proofErr w:type="spellStart"/>
            <w:r w:rsidRPr="00D146F8">
              <w:rPr>
                <w:rFonts w:ascii="Cambria" w:hAnsi="Cambria"/>
                <w:lang w:eastAsia="zh-CN"/>
              </w:rPr>
              <w:t>Liebeck</w:t>
            </w:r>
            <w:proofErr w:type="spellEnd"/>
            <w:r w:rsidRPr="00D146F8">
              <w:rPr>
                <w:rFonts w:ascii="Cambria" w:hAnsi="Cambria"/>
                <w:lang w:eastAsia="zh-CN"/>
              </w:rPr>
              <w:t>, P. (1985). Kako djeca uče matematiku.</w:t>
            </w:r>
            <w:r>
              <w:rPr>
                <w:rFonts w:ascii="Cambria" w:hAnsi="Cambria"/>
                <w:lang w:eastAsia="zh-CN"/>
              </w:rPr>
              <w:t xml:space="preserve"> </w:t>
            </w:r>
            <w:r w:rsidRPr="00D146F8">
              <w:rPr>
                <w:rFonts w:ascii="Cambria" w:hAnsi="Cambria"/>
                <w:lang w:eastAsia="zh-CN"/>
              </w:rPr>
              <w:t xml:space="preserve">EDUCA. </w:t>
            </w:r>
          </w:p>
          <w:p w14:paraId="21EB9012" w14:textId="77777777" w:rsidR="00B25532" w:rsidRPr="00BE601E" w:rsidRDefault="00B25532" w:rsidP="0039661B">
            <w:pPr>
              <w:spacing w:after="0" w:line="240" w:lineRule="auto"/>
              <w:rPr>
                <w:rFonts w:ascii="Cambria" w:hAnsi="Cambria"/>
                <w:bCs/>
                <w:lang w:eastAsia="zh-CN"/>
              </w:rPr>
            </w:pPr>
            <w:proofErr w:type="spellStart"/>
            <w:r w:rsidRPr="00BE601E">
              <w:rPr>
                <w:rFonts w:ascii="Cambria" w:hAnsi="Cambria"/>
                <w:bCs/>
                <w:lang w:eastAsia="zh-CN"/>
              </w:rPr>
              <w:t>Priručna</w:t>
            </w:r>
            <w:proofErr w:type="spellEnd"/>
            <w:r w:rsidRPr="00BE601E">
              <w:rPr>
                <w:rFonts w:ascii="Cambria" w:hAnsi="Cambria"/>
                <w:bCs/>
                <w:lang w:eastAsia="zh-CN"/>
              </w:rPr>
              <w:t>:</w:t>
            </w:r>
          </w:p>
          <w:p w14:paraId="6502D675" w14:textId="77777777" w:rsidR="00B25532" w:rsidRPr="00BE601E" w:rsidRDefault="00B25532" w:rsidP="00A034E3">
            <w:pPr>
              <w:pStyle w:val="Odlomakpopisa"/>
              <w:numPr>
                <w:ilvl w:val="0"/>
                <w:numId w:val="71"/>
              </w:numPr>
              <w:spacing w:after="0" w:line="240" w:lineRule="auto"/>
              <w:rPr>
                <w:rFonts w:ascii="Cambria" w:hAnsi="Cambria"/>
                <w:bCs/>
                <w:lang w:eastAsia="zh-CN"/>
              </w:rPr>
            </w:pPr>
            <w:r w:rsidRPr="00BE601E">
              <w:rPr>
                <w:rFonts w:ascii="Cambria" w:hAnsi="Cambria"/>
                <w:bCs/>
                <w:lang w:eastAsia="zh-CN"/>
              </w:rPr>
              <w:t xml:space="preserve">Kurikulum nastavnog predmeta Matematika </w:t>
            </w:r>
            <w:hyperlink r:id="rId161" w:history="1">
              <w:r w:rsidRPr="00BE601E">
                <w:rPr>
                  <w:rStyle w:val="Hiperveza"/>
                  <w:rFonts w:ascii="Cambria" w:hAnsi="Cambria"/>
                  <w:bCs/>
                </w:rPr>
                <w:t>https://mzo.gov.hr/istaknute-teme/odgoj-i-obrazovanje/nacionalni-kurikulum/predmetni-kurikulumi/539</w:t>
              </w:r>
            </w:hyperlink>
          </w:p>
          <w:p w14:paraId="38EA3121" w14:textId="77777777" w:rsidR="00B25532" w:rsidRDefault="00B25532" w:rsidP="00A034E3">
            <w:pPr>
              <w:pStyle w:val="Odlomakpopisa"/>
              <w:numPr>
                <w:ilvl w:val="0"/>
                <w:numId w:val="71"/>
              </w:numPr>
              <w:spacing w:after="0" w:line="240" w:lineRule="auto"/>
              <w:rPr>
                <w:rFonts w:ascii="Cambria" w:hAnsi="Cambria"/>
                <w:bCs/>
                <w:lang w:eastAsia="zh-CN"/>
              </w:rPr>
            </w:pPr>
            <w:r w:rsidRPr="00BE601E">
              <w:rPr>
                <w:rFonts w:ascii="Cambria" w:hAnsi="Cambria"/>
                <w:bCs/>
                <w:lang w:eastAsia="zh-CN"/>
              </w:rPr>
              <w:t>Aktualni udžbenici iz matematike i pripadajući radni materijal za učenike od 1.do 4.razreda osnovne škole</w:t>
            </w:r>
          </w:p>
          <w:p w14:paraId="0B6B84AD" w14:textId="77777777" w:rsidR="00B25532" w:rsidRDefault="00B25532" w:rsidP="00A034E3">
            <w:pPr>
              <w:pStyle w:val="Odlomakpopisa"/>
              <w:numPr>
                <w:ilvl w:val="0"/>
                <w:numId w:val="71"/>
              </w:numPr>
              <w:suppressAutoHyphens/>
              <w:spacing w:after="0" w:line="240" w:lineRule="auto"/>
              <w:rPr>
                <w:rFonts w:ascii="Cambria" w:hAnsi="Cambria"/>
                <w:bCs/>
                <w:lang w:eastAsia="zh-CN"/>
              </w:rPr>
            </w:pPr>
            <w:proofErr w:type="spellStart"/>
            <w:r>
              <w:rPr>
                <w:rFonts w:ascii="Cambria" w:hAnsi="Cambria"/>
                <w:bCs/>
                <w:lang w:eastAsia="zh-CN"/>
              </w:rPr>
              <w:t>Kurikulumi</w:t>
            </w:r>
            <w:proofErr w:type="spellEnd"/>
            <w:r>
              <w:rPr>
                <w:rFonts w:ascii="Cambria" w:hAnsi="Cambria"/>
                <w:bCs/>
                <w:lang w:eastAsia="zh-CN"/>
              </w:rPr>
              <w:t xml:space="preserve"> </w:t>
            </w:r>
            <w:proofErr w:type="spellStart"/>
            <w:r>
              <w:rPr>
                <w:rFonts w:ascii="Cambria" w:hAnsi="Cambria"/>
                <w:bCs/>
                <w:lang w:eastAsia="zh-CN"/>
              </w:rPr>
              <w:t>međupredmetnih</w:t>
            </w:r>
            <w:proofErr w:type="spellEnd"/>
            <w:r>
              <w:rPr>
                <w:rFonts w:ascii="Cambria" w:hAnsi="Cambria"/>
                <w:bCs/>
                <w:lang w:eastAsia="zh-CN"/>
              </w:rPr>
              <w:t xml:space="preserve"> tema </w:t>
            </w:r>
            <w:hyperlink r:id="rId162" w:history="1">
              <w:r>
                <w:rPr>
                  <w:rStyle w:val="Hiperveza"/>
                  <w:rFonts w:ascii="Cambria" w:hAnsi="Cambria"/>
                  <w:bCs/>
                  <w:lang w:eastAsia="zh-CN"/>
                </w:rPr>
                <w:t>https://mzo.gov.hr/istaknute-teme/odgoj-i-obrazovanje/nacionalni-kurikulum/medjupredmetne-teme/3852</w:t>
              </w:r>
            </w:hyperlink>
          </w:p>
          <w:p w14:paraId="36CD917A" w14:textId="77777777" w:rsidR="00B25532" w:rsidRPr="00D146F8" w:rsidRDefault="00B25532" w:rsidP="0039661B">
            <w:pPr>
              <w:spacing w:after="0" w:line="240" w:lineRule="auto"/>
              <w:rPr>
                <w:rFonts w:ascii="Cambria" w:hAnsi="Cambria"/>
                <w:bCs/>
              </w:rPr>
            </w:pPr>
            <w:proofErr w:type="spellStart"/>
            <w:r w:rsidRPr="00D146F8">
              <w:rPr>
                <w:rFonts w:ascii="Cambria" w:hAnsi="Cambria"/>
                <w:bCs/>
              </w:rPr>
              <w:t>Izborna</w:t>
            </w:r>
            <w:proofErr w:type="spellEnd"/>
            <w:r>
              <w:rPr>
                <w:rFonts w:ascii="Cambria" w:hAnsi="Cambria"/>
                <w:bCs/>
              </w:rPr>
              <w:t>:</w:t>
            </w:r>
          </w:p>
          <w:p w14:paraId="0752CABE" w14:textId="77777777" w:rsidR="00B25532" w:rsidRPr="00D146F8" w:rsidRDefault="00B25532" w:rsidP="00A034E3">
            <w:pPr>
              <w:pStyle w:val="Odlomakpopisa"/>
              <w:numPr>
                <w:ilvl w:val="0"/>
                <w:numId w:val="70"/>
              </w:numPr>
              <w:spacing w:after="0" w:line="240" w:lineRule="auto"/>
              <w:jc w:val="both"/>
              <w:rPr>
                <w:rFonts w:ascii="Cambria" w:hAnsi="Cambria"/>
              </w:rPr>
            </w:pPr>
            <w:proofErr w:type="spellStart"/>
            <w:r w:rsidRPr="00D146F8">
              <w:rPr>
                <w:rFonts w:ascii="Cambria" w:hAnsi="Cambria"/>
              </w:rPr>
              <w:t>Chaill</w:t>
            </w:r>
            <w:proofErr w:type="spellEnd"/>
            <w:r w:rsidRPr="00D146F8">
              <w:rPr>
                <w:rFonts w:ascii="Cambria" w:hAnsi="Cambria"/>
                <w:lang w:val="en-US"/>
              </w:rPr>
              <w:t xml:space="preserve">é, C. </w:t>
            </w:r>
            <w:proofErr w:type="spellStart"/>
            <w:r w:rsidRPr="00D146F8">
              <w:rPr>
                <w:rFonts w:ascii="Cambria" w:hAnsi="Cambria"/>
                <w:lang w:val="en-US"/>
              </w:rPr>
              <w:t>i</w:t>
            </w:r>
            <w:proofErr w:type="spellEnd"/>
            <w:r w:rsidRPr="00D146F8">
              <w:rPr>
                <w:rFonts w:ascii="Cambria" w:hAnsi="Cambria"/>
                <w:lang w:val="en-US"/>
              </w:rPr>
              <w:t xml:space="preserve"> McCormick Davis, S. (2016.) Integrating Math and Science in Early Childhood Classrooms through Big Ideas. A Constructivist Approach. Pearson.</w:t>
            </w:r>
          </w:p>
          <w:p w14:paraId="0E389133" w14:textId="77777777" w:rsidR="00B25532" w:rsidRPr="00D146F8" w:rsidRDefault="00B25532" w:rsidP="00A034E3">
            <w:pPr>
              <w:pStyle w:val="Odlomakpopisa"/>
              <w:numPr>
                <w:ilvl w:val="0"/>
                <w:numId w:val="70"/>
              </w:numPr>
              <w:shd w:val="clear" w:color="auto" w:fill="FFFFFF"/>
              <w:suppressAutoHyphens/>
              <w:spacing w:after="0" w:line="240" w:lineRule="auto"/>
              <w:rPr>
                <w:rFonts w:ascii="Cambria" w:hAnsi="Cambria"/>
              </w:rPr>
            </w:pPr>
            <w:r w:rsidRPr="00D146F8">
              <w:rPr>
                <w:rFonts w:ascii="Cambria" w:hAnsi="Cambria"/>
              </w:rPr>
              <w:t>Jensen, E. (1998.) Super nastava. Naklada Slap.</w:t>
            </w:r>
          </w:p>
          <w:p w14:paraId="2B271185" w14:textId="77777777" w:rsidR="00B25532" w:rsidRPr="00B25532" w:rsidRDefault="00B25532" w:rsidP="00A034E3">
            <w:pPr>
              <w:numPr>
                <w:ilvl w:val="0"/>
                <w:numId w:val="70"/>
              </w:numPr>
              <w:suppressAutoHyphens/>
              <w:spacing w:after="0" w:line="240" w:lineRule="auto"/>
              <w:rPr>
                <w:rFonts w:ascii="Cambria" w:hAnsi="Cambria"/>
                <w:bCs/>
                <w:noProof/>
                <w:lang w:val="hr-HR" w:eastAsia="zh-CN"/>
              </w:rPr>
            </w:pPr>
            <w:r w:rsidRPr="00B25532">
              <w:rPr>
                <w:rFonts w:ascii="Cambria" w:hAnsi="Cambria"/>
                <w:bCs/>
                <w:noProof/>
                <w:lang w:val="hr-HR" w:eastAsia="zh-CN"/>
              </w:rPr>
              <w:t>Jurjević Jovanović, I., Rukljač,I., Viher, J. (2020),</w:t>
            </w:r>
            <w:r w:rsidRPr="00B25532">
              <w:rPr>
                <w:lang w:val="hr-HR"/>
              </w:rPr>
              <w:t xml:space="preserve"> </w:t>
            </w:r>
            <w:r w:rsidRPr="00B25532">
              <w:rPr>
                <w:rFonts w:ascii="Cambria" w:hAnsi="Cambria"/>
                <w:bCs/>
                <w:i/>
                <w:lang w:val="hr-HR" w:eastAsia="zh-CN"/>
              </w:rPr>
              <w:t>Vrednovanje u razrednoj nastavi</w:t>
            </w:r>
            <w:r w:rsidRPr="00B25532">
              <w:rPr>
                <w:lang w:val="hr-HR"/>
              </w:rPr>
              <w:t>, Školska knjiga.</w:t>
            </w:r>
          </w:p>
          <w:p w14:paraId="14D7D371" w14:textId="77777777" w:rsidR="00B25532" w:rsidRPr="00D146F8" w:rsidRDefault="00B25532" w:rsidP="00A034E3">
            <w:pPr>
              <w:pStyle w:val="Odlomakpopisa"/>
              <w:numPr>
                <w:ilvl w:val="0"/>
                <w:numId w:val="70"/>
              </w:numPr>
              <w:shd w:val="clear" w:color="auto" w:fill="FFFFFF"/>
              <w:suppressAutoHyphens/>
              <w:spacing w:after="0" w:line="240" w:lineRule="auto"/>
              <w:rPr>
                <w:rFonts w:ascii="Cambria" w:hAnsi="Cambria"/>
              </w:rPr>
            </w:pPr>
            <w:r w:rsidRPr="00D146F8">
              <w:rPr>
                <w:rFonts w:ascii="Cambria" w:hAnsi="Cambria"/>
              </w:rPr>
              <w:lastRenderedPageBreak/>
              <w:t>Kurnik, Z. (2004.) Zadaci s više načina rješavanja. Hrvatsko matematičko društvo.</w:t>
            </w:r>
          </w:p>
          <w:p w14:paraId="36D74B67" w14:textId="77777777" w:rsidR="00B25532" w:rsidRPr="00D146F8" w:rsidRDefault="00B25532" w:rsidP="00A034E3">
            <w:pPr>
              <w:pStyle w:val="Odlomakpopisa"/>
              <w:numPr>
                <w:ilvl w:val="0"/>
                <w:numId w:val="70"/>
              </w:numPr>
              <w:shd w:val="clear" w:color="auto" w:fill="FFFFFF"/>
              <w:suppressAutoHyphens/>
              <w:spacing w:after="0" w:line="240" w:lineRule="auto"/>
              <w:rPr>
                <w:rFonts w:ascii="Cambria" w:hAnsi="Cambria"/>
              </w:rPr>
            </w:pPr>
            <w:proofErr w:type="spellStart"/>
            <w:r w:rsidRPr="00D146F8">
              <w:rPr>
                <w:rFonts w:ascii="Cambria" w:hAnsi="Cambria"/>
              </w:rPr>
              <w:t>Polya</w:t>
            </w:r>
            <w:proofErr w:type="spellEnd"/>
            <w:r w:rsidRPr="00D146F8">
              <w:rPr>
                <w:rFonts w:ascii="Cambria" w:hAnsi="Cambria"/>
              </w:rPr>
              <w:t>, G. (1984.) Kako ću riješiti matematički zadatak. Školska knjiga.</w:t>
            </w:r>
          </w:p>
          <w:p w14:paraId="7C746E7A" w14:textId="77777777" w:rsidR="00B25532" w:rsidRPr="006A6EED" w:rsidRDefault="00B25532" w:rsidP="00A034E3">
            <w:pPr>
              <w:pStyle w:val="Odlomakpopisa"/>
              <w:numPr>
                <w:ilvl w:val="0"/>
                <w:numId w:val="70"/>
              </w:numPr>
              <w:shd w:val="clear" w:color="auto" w:fill="FFFFFF"/>
              <w:suppressAutoHyphens/>
              <w:spacing w:after="0" w:line="240" w:lineRule="auto"/>
              <w:rPr>
                <w:rFonts w:ascii="Cambria" w:hAnsi="Cambria"/>
              </w:rPr>
            </w:pPr>
            <w:proofErr w:type="spellStart"/>
            <w:r w:rsidRPr="00D146F8">
              <w:rPr>
                <w:rFonts w:ascii="Cambria" w:hAnsi="Cambria"/>
              </w:rPr>
              <w:t>Šporer</w:t>
            </w:r>
            <w:proofErr w:type="spellEnd"/>
            <w:r w:rsidRPr="00D146F8">
              <w:rPr>
                <w:rFonts w:ascii="Cambria" w:hAnsi="Cambria"/>
              </w:rPr>
              <w:t>, Z. (1990.) Brbljanje o geometriji. Školska knjiga.</w:t>
            </w:r>
          </w:p>
        </w:tc>
      </w:tr>
    </w:tbl>
    <w:p w14:paraId="5CB722A5" w14:textId="201947C2" w:rsidR="00727BE6" w:rsidRDefault="00727BE6" w:rsidP="00A57714">
      <w:pPr>
        <w:rPr>
          <w:rFonts w:ascii="Cambria" w:hAnsi="Cambria"/>
          <w:lang w:val="hr-HR"/>
        </w:rPr>
      </w:pPr>
    </w:p>
    <w:p w14:paraId="5E69E8EA" w14:textId="7A7D5A36" w:rsidR="001974E1" w:rsidRPr="00DF4CE5" w:rsidRDefault="00727BE6" w:rsidP="00A57714">
      <w:pPr>
        <w:rPr>
          <w:rFonts w:ascii="Cambria" w:hAnsi="Cambria"/>
          <w:lang w:val="hr-HR"/>
        </w:rPr>
      </w:pPr>
      <w:r>
        <w:rPr>
          <w:rFonts w:ascii="Cambria" w:hAnsi="Cambria"/>
          <w:lang w:val="hr-HR"/>
        </w:rPr>
        <w:br w:type="page"/>
      </w:r>
    </w:p>
    <w:tbl>
      <w:tblPr>
        <w:tblW w:w="5000" w:type="pct"/>
        <w:tblLayout w:type="fixed"/>
        <w:tblCellMar>
          <w:left w:w="0" w:type="dxa"/>
          <w:right w:w="0" w:type="dxa"/>
        </w:tblCellMar>
        <w:tblLook w:val="0600" w:firstRow="0" w:lastRow="0" w:firstColumn="0" w:lastColumn="0" w:noHBand="1" w:noVBand="1"/>
      </w:tblPr>
      <w:tblGrid>
        <w:gridCol w:w="2814"/>
        <w:gridCol w:w="2003"/>
        <w:gridCol w:w="770"/>
        <w:gridCol w:w="1167"/>
        <w:gridCol w:w="297"/>
        <w:gridCol w:w="470"/>
        <w:gridCol w:w="1085"/>
        <w:gridCol w:w="1414"/>
      </w:tblGrid>
      <w:tr w:rsidR="000D665B" w:rsidRPr="00DF4CE5" w14:paraId="768E782A" w14:textId="77777777" w:rsidTr="00151A64">
        <w:tc>
          <w:tcPr>
            <w:tcW w:w="9340"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63ABDC1" w14:textId="77777777" w:rsidR="000D665B" w:rsidRPr="00DF4CE5" w:rsidRDefault="000D665B" w:rsidP="00A12846">
            <w:pPr>
              <w:spacing w:after="0" w:line="240" w:lineRule="auto"/>
              <w:jc w:val="right"/>
              <w:rPr>
                <w:rFonts w:ascii="Cambria" w:eastAsia="Times New Roman" w:hAnsi="Cambria" w:cs="Calibri"/>
                <w:b/>
                <w:lang w:val="hr-HR"/>
              </w:rPr>
            </w:pPr>
            <w:r w:rsidRPr="00DF4CE5">
              <w:rPr>
                <w:rFonts w:ascii="Cambria" w:eastAsia="Times New Roman" w:hAnsi="Cambria" w:cs="Calibri"/>
                <w:b/>
                <w:lang w:val="hr-HR"/>
              </w:rPr>
              <w:lastRenderedPageBreak/>
              <w:t>IZVEDBENI PLAN NASTAVE KOLEGIJA</w:t>
            </w:r>
          </w:p>
        </w:tc>
      </w:tr>
      <w:tr w:rsidR="000D665B" w:rsidRPr="00D0399C" w14:paraId="0F4EF42E" w14:textId="77777777" w:rsidTr="00151A64">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2A4E868" w14:textId="77777777" w:rsidR="000D665B" w:rsidRPr="00DF4CE5" w:rsidRDefault="000D665B"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Kod i naziv kolegija</w:t>
            </w:r>
          </w:p>
        </w:tc>
        <w:tc>
          <w:tcPr>
            <w:tcW w:w="671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B74AF15" w14:textId="77777777" w:rsidR="000D665B" w:rsidRPr="00DF4CE5" w:rsidRDefault="000D665B"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118950 </w:t>
            </w:r>
          </w:p>
          <w:p w14:paraId="666D6F2D" w14:textId="5E5F8B8B" w:rsidR="000D665B" w:rsidRPr="00DF4CE5" w:rsidRDefault="000D665B" w:rsidP="008B34AF">
            <w:pPr>
              <w:spacing w:after="0" w:line="240" w:lineRule="auto"/>
              <w:jc w:val="both"/>
              <w:rPr>
                <w:rFonts w:ascii="Cambria" w:eastAsia="Times New Roman" w:hAnsi="Cambria" w:cs="Calibri"/>
                <w:lang w:val="hr-HR"/>
              </w:rPr>
            </w:pPr>
            <w:r w:rsidRPr="00DF4CE5">
              <w:rPr>
                <w:rFonts w:ascii="Cambria" w:eastAsia="Times New Roman" w:hAnsi="Cambria" w:cs="Times New Roman"/>
                <w:lang w:val="hr-HR"/>
              </w:rPr>
              <w:t xml:space="preserve">Metodika nastave prirode i društva </w:t>
            </w:r>
            <w:r w:rsidRPr="00DF4CE5">
              <w:rPr>
                <w:rFonts w:ascii="Cambria" w:eastAsia="Times New Roman" w:hAnsi="Cambria" w:cs="Calibri"/>
                <w:lang w:val="hr-HR"/>
              </w:rPr>
              <w:t>II</w:t>
            </w:r>
          </w:p>
        </w:tc>
      </w:tr>
      <w:tr w:rsidR="000D665B" w:rsidRPr="00D0399C" w14:paraId="78B24D49" w14:textId="77777777" w:rsidTr="00151A64">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83F4871" w14:textId="65F1FF0A" w:rsidR="000D665B" w:rsidRPr="00DF4CE5" w:rsidRDefault="000D665B"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Nastavnica </w:t>
            </w:r>
          </w:p>
        </w:tc>
        <w:tc>
          <w:tcPr>
            <w:tcW w:w="671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9C79529" w14:textId="63D1A0CA" w:rsidR="000D665B" w:rsidRPr="00727BE6" w:rsidRDefault="0039661B" w:rsidP="00727BE6">
            <w:pPr>
              <w:keepNext/>
              <w:snapToGrid w:val="0"/>
              <w:spacing w:after="0" w:line="240" w:lineRule="atLeast"/>
              <w:jc w:val="both"/>
              <w:outlineLvl w:val="0"/>
              <w:rPr>
                <w:rFonts w:ascii="Cambria" w:eastAsia="Times New Roman" w:hAnsi="Cambria" w:cs="Calibri"/>
                <w:bCs/>
                <w:color w:val="0000FF"/>
                <w:kern w:val="32"/>
                <w:u w:val="single"/>
                <w:lang w:val="hr-HR" w:eastAsia="hr-HR"/>
              </w:rPr>
            </w:pPr>
            <w:hyperlink r:id="rId163" w:history="1">
              <w:r w:rsidRPr="00727BE6">
                <w:rPr>
                  <w:rStyle w:val="Hiperveza"/>
                  <w:rFonts w:ascii="Cambria" w:eastAsia="Times New Roman" w:hAnsi="Cambria" w:cs="Calibri"/>
                  <w:bCs/>
                  <w:kern w:val="32"/>
                  <w:lang w:val="hr-HR" w:eastAsia="hr-HR"/>
                </w:rPr>
                <w:t xml:space="preserve">Izv. prof. dr. sc. </w:t>
              </w:r>
              <w:r w:rsidR="00727BE6" w:rsidRPr="00727BE6">
                <w:rPr>
                  <w:rStyle w:val="Hiperveza"/>
                  <w:rFonts w:ascii="Cambria" w:eastAsia="Times New Roman" w:hAnsi="Cambria" w:cs="Calibri"/>
                  <w:bCs/>
                  <w:kern w:val="32"/>
                  <w:lang w:val="hr-HR" w:eastAsia="hr-HR"/>
                </w:rPr>
                <w:t xml:space="preserve">Marina </w:t>
              </w:r>
              <w:proofErr w:type="spellStart"/>
              <w:r w:rsidR="00727BE6" w:rsidRPr="00727BE6">
                <w:rPr>
                  <w:rStyle w:val="Hiperveza"/>
                  <w:rFonts w:ascii="Cambria" w:eastAsia="Times New Roman" w:hAnsi="Cambria" w:cs="Calibri"/>
                  <w:bCs/>
                  <w:kern w:val="32"/>
                  <w:lang w:val="hr-HR" w:eastAsia="hr-HR"/>
                </w:rPr>
                <w:t>Diković</w:t>
              </w:r>
              <w:proofErr w:type="spellEnd"/>
            </w:hyperlink>
            <w:r>
              <w:rPr>
                <w:rFonts w:ascii="Cambria" w:eastAsia="Times New Roman" w:hAnsi="Cambria" w:cs="Calibri"/>
                <w:bCs/>
                <w:kern w:val="32"/>
                <w:lang w:val="hr-HR" w:eastAsia="hr-HR"/>
              </w:rPr>
              <w:t xml:space="preserve"> </w:t>
            </w:r>
            <w:r>
              <w:rPr>
                <w:rFonts w:ascii="Cambria" w:eastAsia="Times New Roman" w:hAnsi="Cambria" w:cs="Calibri"/>
                <w:lang w:val="hr-HR"/>
              </w:rPr>
              <w:t>(nositeljica)</w:t>
            </w:r>
          </w:p>
        </w:tc>
      </w:tr>
      <w:tr w:rsidR="000D665B" w:rsidRPr="00D0399C" w14:paraId="15EE7F65" w14:textId="77777777" w:rsidTr="00151A64">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B4BF269" w14:textId="77777777" w:rsidR="000D665B" w:rsidRPr="00DF4CE5" w:rsidRDefault="000D665B"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Studijski program</w:t>
            </w:r>
          </w:p>
        </w:tc>
        <w:tc>
          <w:tcPr>
            <w:tcW w:w="671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B9FA0F3" w14:textId="77777777" w:rsidR="000D665B" w:rsidRPr="00DF4CE5" w:rsidRDefault="00BE4D96" w:rsidP="008B34AF">
            <w:pPr>
              <w:spacing w:after="0" w:line="240" w:lineRule="auto"/>
              <w:jc w:val="both"/>
              <w:rPr>
                <w:rFonts w:ascii="Cambria" w:eastAsia="Times New Roman" w:hAnsi="Cambria" w:cs="Calibri"/>
                <w:lang w:val="hr-HR"/>
              </w:rPr>
            </w:pPr>
            <w:r w:rsidRPr="00DF4CE5">
              <w:rPr>
                <w:rFonts w:ascii="Cambria" w:hAnsi="Cambria"/>
                <w:lang w:val="hr-HR"/>
              </w:rPr>
              <w:t>Sveučilišni integrirani prijediplomski i diplomski Učiteljski studij na hrvatskom jeziku</w:t>
            </w:r>
          </w:p>
        </w:tc>
      </w:tr>
      <w:tr w:rsidR="000D665B" w:rsidRPr="00DF4CE5" w14:paraId="46A6389D" w14:textId="77777777" w:rsidTr="00151A64">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999F57E" w14:textId="77777777" w:rsidR="000D665B" w:rsidRPr="00DF4CE5" w:rsidRDefault="000D665B"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Vrsta kolegija</w:t>
            </w:r>
          </w:p>
        </w:tc>
        <w:tc>
          <w:tcPr>
            <w:tcW w:w="186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26BDEA2" w14:textId="77777777" w:rsidR="000D665B" w:rsidRPr="00DF4CE5" w:rsidRDefault="000D665B"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obvezan </w:t>
            </w:r>
          </w:p>
        </w:tc>
        <w:tc>
          <w:tcPr>
            <w:tcW w:w="208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1F48AA12" w14:textId="77777777" w:rsidR="000D665B" w:rsidRPr="00DF4CE5" w:rsidRDefault="000D665B"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Razina kolegija</w:t>
            </w:r>
          </w:p>
        </w:tc>
        <w:tc>
          <w:tcPr>
            <w:tcW w:w="2767"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1B13760" w14:textId="77777777" w:rsidR="000D665B" w:rsidRPr="00DF4CE5" w:rsidRDefault="000D665B" w:rsidP="008B34AF">
            <w:pPr>
              <w:spacing w:after="0" w:line="240" w:lineRule="auto"/>
              <w:jc w:val="both"/>
              <w:rPr>
                <w:rFonts w:ascii="Cambria" w:eastAsia="Times New Roman" w:hAnsi="Cambria" w:cs="Calibri"/>
                <w:lang w:val="hr-HR"/>
              </w:rPr>
            </w:pPr>
            <w:proofErr w:type="spellStart"/>
            <w:r w:rsidRPr="00DF4CE5">
              <w:rPr>
                <w:rFonts w:ascii="Cambria" w:eastAsia="Times New Roman" w:hAnsi="Cambria" w:cs="Calibri"/>
              </w:rPr>
              <w:t>integrirani</w:t>
            </w:r>
            <w:proofErr w:type="spellEnd"/>
          </w:p>
        </w:tc>
      </w:tr>
      <w:tr w:rsidR="000D665B" w:rsidRPr="00DF4CE5" w14:paraId="7E9B7A30" w14:textId="77777777" w:rsidTr="00151A64">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1D6B799" w14:textId="77777777" w:rsidR="000D665B" w:rsidRPr="00DF4CE5" w:rsidRDefault="000D665B"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Semestar</w:t>
            </w:r>
          </w:p>
        </w:tc>
        <w:tc>
          <w:tcPr>
            <w:tcW w:w="186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54E5D3F" w14:textId="77777777" w:rsidR="000D665B" w:rsidRPr="00DF4CE5" w:rsidRDefault="000D665B"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zimski</w:t>
            </w:r>
          </w:p>
        </w:tc>
        <w:tc>
          <w:tcPr>
            <w:tcW w:w="208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3A5C0CAF" w14:textId="77777777" w:rsidR="000D665B" w:rsidRPr="00DF4CE5" w:rsidRDefault="000D665B"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Godina studija</w:t>
            </w:r>
          </w:p>
        </w:tc>
        <w:tc>
          <w:tcPr>
            <w:tcW w:w="2767"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85F6465" w14:textId="77777777" w:rsidR="000D665B" w:rsidRPr="00DF4CE5" w:rsidRDefault="000D665B"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V.</w:t>
            </w:r>
          </w:p>
        </w:tc>
      </w:tr>
      <w:tr w:rsidR="000D665B" w:rsidRPr="00DF4CE5" w14:paraId="2EBFDA8A" w14:textId="77777777" w:rsidTr="00151A64">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DAB7B40" w14:textId="77777777" w:rsidR="000D665B" w:rsidRPr="00DF4CE5" w:rsidRDefault="000D665B" w:rsidP="008B34AF">
            <w:pPr>
              <w:spacing w:after="0" w:line="240" w:lineRule="auto"/>
              <w:jc w:val="both"/>
              <w:rPr>
                <w:rFonts w:ascii="Cambria" w:eastAsia="Times New Roman" w:hAnsi="Cambria" w:cs="Calibri"/>
                <w:lang w:val="hr-HR"/>
              </w:rPr>
            </w:pPr>
            <w:proofErr w:type="spellStart"/>
            <w:r w:rsidRPr="00DF4CE5">
              <w:rPr>
                <w:rFonts w:ascii="Cambria" w:eastAsia="Times New Roman" w:hAnsi="Cambria" w:cs="Calibri"/>
              </w:rPr>
              <w:t>Mjesto</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izvođenja</w:t>
            </w:r>
            <w:proofErr w:type="spellEnd"/>
          </w:p>
        </w:tc>
        <w:tc>
          <w:tcPr>
            <w:tcW w:w="186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6A40AD0" w14:textId="7DFB5656" w:rsidR="000D665B" w:rsidRPr="00DF4CE5" w:rsidRDefault="001974E1"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učionica</w:t>
            </w:r>
          </w:p>
        </w:tc>
        <w:tc>
          <w:tcPr>
            <w:tcW w:w="208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7E3F88C1" w14:textId="77777777" w:rsidR="000D665B" w:rsidRPr="00DF4CE5" w:rsidRDefault="000D665B" w:rsidP="00727BE6">
            <w:pPr>
              <w:spacing w:after="0" w:line="240" w:lineRule="auto"/>
              <w:rPr>
                <w:rFonts w:ascii="Cambria" w:eastAsia="Times New Roman" w:hAnsi="Cambria" w:cs="Calibri"/>
                <w:lang w:val="hr-HR"/>
              </w:rPr>
            </w:pPr>
            <w:r w:rsidRPr="00DF4CE5">
              <w:rPr>
                <w:rFonts w:ascii="Cambria" w:eastAsia="Times New Roman" w:hAnsi="Cambria" w:cs="Calibri"/>
              </w:rPr>
              <w:t>Jezik</w:t>
            </w:r>
            <w:r w:rsidRPr="00DF4CE5">
              <w:rPr>
                <w:rFonts w:ascii="Cambria" w:eastAsia="Times New Roman" w:hAnsi="Cambria" w:cs="Calibri"/>
                <w:lang w:val="hr-HR"/>
              </w:rPr>
              <w:t xml:space="preserve"> izvođenja (drugi jezici)</w:t>
            </w:r>
          </w:p>
        </w:tc>
        <w:tc>
          <w:tcPr>
            <w:tcW w:w="2767"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66E40FB" w14:textId="1F77E12D" w:rsidR="000D665B" w:rsidRPr="00DF4CE5" w:rsidRDefault="0039661B" w:rsidP="008B34AF">
            <w:pPr>
              <w:spacing w:after="0" w:line="240" w:lineRule="auto"/>
              <w:jc w:val="both"/>
              <w:rPr>
                <w:rFonts w:ascii="Cambria" w:eastAsia="Times New Roman" w:hAnsi="Cambria" w:cs="Calibri"/>
                <w:lang w:val="hr-HR"/>
              </w:rPr>
            </w:pPr>
            <w:r>
              <w:rPr>
                <w:rFonts w:ascii="Cambria" w:eastAsia="Times New Roman" w:hAnsi="Cambria" w:cs="Calibri"/>
                <w:lang w:val="hr-HR"/>
              </w:rPr>
              <w:t>h</w:t>
            </w:r>
            <w:r w:rsidR="000D665B" w:rsidRPr="00DF4CE5">
              <w:rPr>
                <w:rFonts w:ascii="Cambria" w:eastAsia="Times New Roman" w:hAnsi="Cambria" w:cs="Calibri"/>
                <w:lang w:val="hr-HR"/>
              </w:rPr>
              <w:t>rvatski</w:t>
            </w:r>
          </w:p>
        </w:tc>
      </w:tr>
      <w:tr w:rsidR="000D665B" w:rsidRPr="00DF4CE5" w14:paraId="68B26EF4" w14:textId="77777777" w:rsidTr="00151A64">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12FB58E" w14:textId="77777777" w:rsidR="000D665B" w:rsidRPr="00DF4CE5" w:rsidRDefault="000D665B"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Broj ECTS bodova</w:t>
            </w:r>
          </w:p>
        </w:tc>
        <w:tc>
          <w:tcPr>
            <w:tcW w:w="186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E54BEC2" w14:textId="77777777" w:rsidR="000D665B" w:rsidRPr="00DF4CE5" w:rsidRDefault="000D665B"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5</w:t>
            </w:r>
          </w:p>
        </w:tc>
        <w:tc>
          <w:tcPr>
            <w:tcW w:w="208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4426FED4" w14:textId="77777777" w:rsidR="000D665B" w:rsidRPr="00DF4CE5" w:rsidRDefault="000D665B"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Broj sati u semestru</w:t>
            </w:r>
          </w:p>
        </w:tc>
        <w:tc>
          <w:tcPr>
            <w:tcW w:w="2767"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70AE9A7" w14:textId="0CB95597" w:rsidR="000D665B" w:rsidRPr="00DF4CE5" w:rsidRDefault="000D665B"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30P –</w:t>
            </w:r>
            <w:r w:rsidR="00DB0462">
              <w:rPr>
                <w:rFonts w:ascii="Cambria" w:eastAsia="Times New Roman" w:hAnsi="Cambria" w:cs="Calibri"/>
                <w:lang w:val="hr-HR"/>
              </w:rPr>
              <w:t xml:space="preserve"> </w:t>
            </w:r>
            <w:r w:rsidR="001974E1" w:rsidRPr="00DF4CE5">
              <w:rPr>
                <w:rFonts w:ascii="Cambria" w:eastAsia="Times New Roman" w:hAnsi="Cambria" w:cs="Calibri"/>
                <w:lang w:val="hr-HR"/>
              </w:rPr>
              <w:t>0S</w:t>
            </w:r>
            <w:r w:rsidRPr="00DF4CE5">
              <w:rPr>
                <w:rFonts w:ascii="Cambria" w:eastAsia="Times New Roman" w:hAnsi="Cambria" w:cs="Calibri"/>
                <w:lang w:val="hr-HR"/>
              </w:rPr>
              <w:t xml:space="preserve"> – </w:t>
            </w:r>
            <w:r w:rsidR="001974E1" w:rsidRPr="00DF4CE5">
              <w:rPr>
                <w:rFonts w:ascii="Cambria" w:eastAsia="Times New Roman" w:hAnsi="Cambria" w:cs="Calibri"/>
                <w:lang w:val="hr-HR"/>
              </w:rPr>
              <w:t>3</w:t>
            </w:r>
            <w:r w:rsidRPr="00DF4CE5">
              <w:rPr>
                <w:rFonts w:ascii="Cambria" w:eastAsia="Times New Roman" w:hAnsi="Cambria" w:cs="Calibri"/>
                <w:lang w:val="hr-HR"/>
              </w:rPr>
              <w:t>0</w:t>
            </w:r>
            <w:r w:rsidR="001974E1" w:rsidRPr="00DF4CE5">
              <w:rPr>
                <w:rFonts w:ascii="Cambria" w:eastAsia="Times New Roman" w:hAnsi="Cambria" w:cs="Calibri"/>
                <w:lang w:val="hr-HR"/>
              </w:rPr>
              <w:t>V</w:t>
            </w:r>
            <w:r w:rsidRPr="00DF4CE5">
              <w:rPr>
                <w:rFonts w:ascii="Cambria" w:eastAsia="Times New Roman" w:hAnsi="Cambria" w:cs="Calibri"/>
                <w:lang w:val="hr-HR"/>
              </w:rPr>
              <w:t xml:space="preserve">   </w:t>
            </w:r>
          </w:p>
        </w:tc>
      </w:tr>
      <w:tr w:rsidR="000D665B" w:rsidRPr="00DF4CE5" w14:paraId="1B631A1C" w14:textId="77777777" w:rsidTr="00151A64">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05764D4" w14:textId="77777777" w:rsidR="000D665B" w:rsidRPr="00DF4CE5" w:rsidRDefault="000D665B"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Preduvjeti za upis i za svladavanje</w:t>
            </w:r>
          </w:p>
        </w:tc>
        <w:tc>
          <w:tcPr>
            <w:tcW w:w="671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3C3D8DB" w14:textId="77777777" w:rsidR="000D665B" w:rsidRPr="00DF4CE5" w:rsidRDefault="000D665B"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w:t>
            </w:r>
          </w:p>
        </w:tc>
      </w:tr>
      <w:tr w:rsidR="000D665B" w:rsidRPr="00D0399C" w14:paraId="69EE3A09" w14:textId="77777777" w:rsidTr="00151A64">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3ED61C3" w14:textId="77777777" w:rsidR="000D665B" w:rsidRPr="00DF4CE5" w:rsidRDefault="000D665B" w:rsidP="008B34AF">
            <w:pPr>
              <w:spacing w:after="0" w:line="240" w:lineRule="auto"/>
              <w:jc w:val="both"/>
              <w:rPr>
                <w:rFonts w:ascii="Cambria" w:eastAsia="Times New Roman" w:hAnsi="Cambria" w:cs="Calibri"/>
                <w:lang w:val="hr-HR"/>
              </w:rPr>
            </w:pPr>
            <w:proofErr w:type="spellStart"/>
            <w:r w:rsidRPr="00DF4CE5">
              <w:rPr>
                <w:rFonts w:ascii="Cambria" w:eastAsia="Times New Roman" w:hAnsi="Cambria" w:cs="Calibri"/>
              </w:rPr>
              <w:t>Korelativnost</w:t>
            </w:r>
            <w:proofErr w:type="spellEnd"/>
          </w:p>
        </w:tc>
        <w:tc>
          <w:tcPr>
            <w:tcW w:w="671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959ED37" w14:textId="7F04E976" w:rsidR="000D665B" w:rsidRPr="00DF4CE5" w:rsidRDefault="000D665B" w:rsidP="00D0399C">
            <w:pPr>
              <w:spacing w:after="0" w:line="240" w:lineRule="auto"/>
              <w:rPr>
                <w:rFonts w:ascii="Cambria" w:eastAsia="Times New Roman" w:hAnsi="Cambria" w:cs="Calibri"/>
                <w:lang w:val="hr-HR"/>
              </w:rPr>
            </w:pPr>
            <w:r w:rsidRPr="00DF4CE5">
              <w:rPr>
                <w:rFonts w:ascii="Cambria" w:eastAsia="Times New Roman" w:hAnsi="Cambria" w:cs="Calibri"/>
                <w:lang w:val="hr-HR"/>
              </w:rPr>
              <w:t xml:space="preserve">Prirodoslovlje, Osnove ekologije, Geografija, </w:t>
            </w:r>
            <w:r w:rsidR="004E73E5">
              <w:rPr>
                <w:rFonts w:ascii="Cambria" w:eastAsia="Times New Roman" w:hAnsi="Cambria" w:cs="Calibri"/>
                <w:lang w:val="hr-HR"/>
              </w:rPr>
              <w:t>Hrvatska p</w:t>
            </w:r>
            <w:r w:rsidRPr="00DF4CE5">
              <w:rPr>
                <w:rFonts w:ascii="Cambria" w:eastAsia="Times New Roman" w:hAnsi="Cambria" w:cs="Calibri"/>
                <w:lang w:val="hr-HR"/>
              </w:rPr>
              <w:t xml:space="preserve">ovijest, </w:t>
            </w:r>
            <w:r w:rsidR="004E73E5">
              <w:rPr>
                <w:rFonts w:ascii="Cambria" w:eastAsia="Times New Roman" w:hAnsi="Cambria" w:cs="Calibri"/>
                <w:lang w:val="hr-HR"/>
              </w:rPr>
              <w:t>Opća p</w:t>
            </w:r>
            <w:r w:rsidRPr="00DF4CE5">
              <w:rPr>
                <w:rFonts w:ascii="Cambria" w:eastAsia="Times New Roman" w:hAnsi="Cambria" w:cs="Calibri"/>
                <w:lang w:val="hr-HR"/>
              </w:rPr>
              <w:t>sihologija,</w:t>
            </w:r>
            <w:r w:rsidR="004E73E5">
              <w:rPr>
                <w:rFonts w:ascii="Cambria" w:eastAsia="Times New Roman" w:hAnsi="Cambria" w:cs="Calibri"/>
                <w:lang w:val="hr-HR"/>
              </w:rPr>
              <w:t xml:space="preserve"> </w:t>
            </w:r>
            <w:r w:rsidRPr="00DF4CE5">
              <w:rPr>
                <w:rFonts w:ascii="Cambria" w:eastAsia="Times New Roman" w:hAnsi="Cambria" w:cs="Calibri"/>
                <w:lang w:val="hr-HR"/>
              </w:rPr>
              <w:t>Pedagogija, Didaktika, Metodika nastave prirode i društva I</w:t>
            </w:r>
          </w:p>
        </w:tc>
      </w:tr>
      <w:tr w:rsidR="000D665B" w:rsidRPr="00D0399C" w14:paraId="28B8C8A5" w14:textId="77777777" w:rsidTr="00151A64">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3354A0D" w14:textId="77777777" w:rsidR="000D665B" w:rsidRPr="00DF4CE5" w:rsidRDefault="000D665B"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Cilj kolegija </w:t>
            </w:r>
          </w:p>
        </w:tc>
        <w:tc>
          <w:tcPr>
            <w:tcW w:w="671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E66CC4F" w14:textId="38171CC1" w:rsidR="000D665B" w:rsidRPr="00DF4CE5" w:rsidRDefault="00D0399C" w:rsidP="008B34AF">
            <w:pPr>
              <w:spacing w:after="0" w:line="240" w:lineRule="auto"/>
              <w:jc w:val="both"/>
              <w:rPr>
                <w:rFonts w:ascii="Cambria" w:eastAsia="Times New Roman" w:hAnsi="Cambria" w:cs="Calibri"/>
                <w:lang w:val="hr-HR"/>
              </w:rPr>
            </w:pPr>
            <w:r>
              <w:rPr>
                <w:rFonts w:ascii="Cambria" w:eastAsia="Times New Roman" w:hAnsi="Cambria" w:cs="Calibri"/>
                <w:lang w:val="hr-HR"/>
              </w:rPr>
              <w:t>v</w:t>
            </w:r>
            <w:r w:rsidR="000D665B" w:rsidRPr="00DF4CE5">
              <w:rPr>
                <w:rFonts w:ascii="Cambria" w:eastAsia="Times New Roman" w:hAnsi="Cambria" w:cs="Calibri"/>
                <w:lang w:val="hr-HR"/>
              </w:rPr>
              <w:t>rednovati</w:t>
            </w:r>
            <w:r>
              <w:rPr>
                <w:rFonts w:ascii="Cambria" w:eastAsia="Times New Roman" w:hAnsi="Cambria" w:cs="Calibri"/>
                <w:lang w:val="hr-HR"/>
              </w:rPr>
              <w:t xml:space="preserve"> </w:t>
            </w:r>
            <w:r w:rsidR="000D665B" w:rsidRPr="00DF4CE5">
              <w:rPr>
                <w:rFonts w:ascii="Cambria" w:eastAsia="Times New Roman" w:hAnsi="Cambria" w:cs="Calibri"/>
                <w:lang w:val="hr-HR"/>
              </w:rPr>
              <w:t xml:space="preserve">didaktičko-metodičke strategije poučavanja i učenja uvažavajući posebnosti ove metodike, te u integriranom pristupu ciljevima i zadacima kurikuluma formirati osobni stil u svome profesionalnom radu </w:t>
            </w:r>
          </w:p>
        </w:tc>
      </w:tr>
      <w:tr w:rsidR="000D665B" w:rsidRPr="00D0399C" w14:paraId="078A19B2" w14:textId="77777777" w:rsidTr="00151A64">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3F62287" w14:textId="77777777" w:rsidR="000D665B" w:rsidRPr="00DF4CE5" w:rsidRDefault="000D665B"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Ishodi učenja</w:t>
            </w:r>
          </w:p>
        </w:tc>
        <w:tc>
          <w:tcPr>
            <w:tcW w:w="671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49784EA" w14:textId="5ED08557" w:rsidR="000D665B" w:rsidRPr="00DF4CE5" w:rsidRDefault="00A57714" w:rsidP="00A57714">
            <w:pPr>
              <w:spacing w:after="0" w:line="240" w:lineRule="auto"/>
              <w:jc w:val="both"/>
              <w:rPr>
                <w:rFonts w:ascii="Cambria" w:eastAsia="Times New Roman" w:hAnsi="Cambria" w:cs="Calibri"/>
                <w:lang w:val="hr-HR"/>
              </w:rPr>
            </w:pPr>
            <w:r>
              <w:rPr>
                <w:rFonts w:ascii="Cambria" w:eastAsia="Times New Roman" w:hAnsi="Cambria" w:cs="Calibri"/>
                <w:lang w:val="hr-HR"/>
              </w:rPr>
              <w:t xml:space="preserve">1. </w:t>
            </w:r>
            <w:r w:rsidR="000D665B" w:rsidRPr="00DF4CE5">
              <w:rPr>
                <w:rFonts w:ascii="Cambria" w:eastAsia="Times New Roman" w:hAnsi="Cambria" w:cs="Calibri"/>
                <w:lang w:val="hr-HR"/>
              </w:rPr>
              <w:t xml:space="preserve">analitički pristupati planiranju, programiranju i realizaciji kurikuluma predmeta Priroda i društvo (sadržajno i izvedbeno) kao i pratećim metodičkim priručnicima i udžbenicima i radnim materijalima za učitelje i učenike </w:t>
            </w:r>
          </w:p>
          <w:p w14:paraId="63D2BFC0" w14:textId="2D2155AB" w:rsidR="000D665B" w:rsidRPr="00DF4CE5" w:rsidRDefault="00A57714" w:rsidP="008B34AF">
            <w:pPr>
              <w:spacing w:after="0" w:line="240" w:lineRule="auto"/>
              <w:ind w:left="206" w:hanging="206"/>
              <w:jc w:val="both"/>
              <w:rPr>
                <w:rFonts w:ascii="Cambria" w:eastAsia="Times New Roman" w:hAnsi="Cambria" w:cs="Calibri"/>
                <w:lang w:val="hr-HR"/>
              </w:rPr>
            </w:pPr>
            <w:r>
              <w:rPr>
                <w:rFonts w:ascii="Cambria" w:eastAsia="Times New Roman" w:hAnsi="Cambria" w:cs="Calibri"/>
                <w:lang w:val="hr-HR"/>
              </w:rPr>
              <w:t xml:space="preserve">2. </w:t>
            </w:r>
            <w:r w:rsidR="000D665B" w:rsidRPr="00DF4CE5">
              <w:rPr>
                <w:rFonts w:ascii="Cambria" w:eastAsia="Times New Roman" w:hAnsi="Cambria" w:cs="Calibri"/>
                <w:lang w:val="hr-HR"/>
              </w:rPr>
              <w:t xml:space="preserve">kreirati nastavu prirode i društva polazeći od ishoda učenja </w:t>
            </w:r>
          </w:p>
          <w:p w14:paraId="2713122D" w14:textId="3270AAE0" w:rsidR="000D665B" w:rsidRPr="00DF4CE5" w:rsidRDefault="00A57714" w:rsidP="008B34AF">
            <w:pPr>
              <w:spacing w:after="0" w:line="240" w:lineRule="auto"/>
              <w:ind w:left="206" w:hanging="206"/>
              <w:jc w:val="both"/>
              <w:rPr>
                <w:rFonts w:ascii="Cambria" w:eastAsia="Times New Roman" w:hAnsi="Cambria" w:cs="Calibri"/>
                <w:lang w:val="hr-HR"/>
              </w:rPr>
            </w:pPr>
            <w:r>
              <w:rPr>
                <w:rFonts w:ascii="Cambria" w:eastAsia="Times New Roman" w:hAnsi="Cambria" w:cs="Calibri"/>
                <w:lang w:val="hr-HR"/>
              </w:rPr>
              <w:t xml:space="preserve">3. </w:t>
            </w:r>
            <w:r w:rsidR="000D665B" w:rsidRPr="00DF4CE5">
              <w:rPr>
                <w:rFonts w:ascii="Cambria" w:eastAsia="Times New Roman" w:hAnsi="Cambria" w:cs="Calibri"/>
                <w:lang w:val="hr-HR"/>
              </w:rPr>
              <w:t>pokazati očekivanu razinu metodičkih umijeća njegujući svoj osobni stil i kreativnost u izradi i praktičnoj izvedbi nastave prirode i društva</w:t>
            </w:r>
          </w:p>
          <w:p w14:paraId="21AD11A1" w14:textId="77777777" w:rsidR="000D665B" w:rsidRPr="00DF4CE5" w:rsidRDefault="000D665B" w:rsidP="008B34AF">
            <w:pPr>
              <w:spacing w:after="0" w:line="240" w:lineRule="auto"/>
              <w:ind w:left="206" w:hanging="206"/>
              <w:jc w:val="both"/>
              <w:rPr>
                <w:rFonts w:ascii="Cambria" w:eastAsia="Times New Roman" w:hAnsi="Cambria" w:cs="Calibri"/>
                <w:lang w:val="hr-HR"/>
              </w:rPr>
            </w:pPr>
            <w:r w:rsidRPr="00DF4CE5">
              <w:rPr>
                <w:rFonts w:ascii="Cambria" w:eastAsia="Times New Roman" w:hAnsi="Cambria" w:cs="Calibri"/>
                <w:lang w:val="hr-HR"/>
              </w:rPr>
              <w:t xml:space="preserve">4. kritički prosuđivati (provoditi evaluaciju i </w:t>
            </w:r>
            <w:proofErr w:type="spellStart"/>
            <w:r w:rsidRPr="00DF4CE5">
              <w:rPr>
                <w:rFonts w:ascii="Cambria" w:eastAsia="Times New Roman" w:hAnsi="Cambria" w:cs="Calibri"/>
                <w:lang w:val="hr-HR"/>
              </w:rPr>
              <w:t>samoevaluaciju</w:t>
            </w:r>
            <w:proofErr w:type="spellEnd"/>
            <w:r w:rsidRPr="00DF4CE5">
              <w:rPr>
                <w:rFonts w:ascii="Cambria" w:eastAsia="Times New Roman" w:hAnsi="Cambria" w:cs="Calibri"/>
                <w:lang w:val="hr-HR"/>
              </w:rPr>
              <w:t>) odgojno-obrazovnog rada u usmenom i pisanom obliku.</w:t>
            </w:r>
          </w:p>
        </w:tc>
      </w:tr>
      <w:tr w:rsidR="000D665B" w:rsidRPr="00D0399C" w14:paraId="7ADFEEE6" w14:textId="77777777" w:rsidTr="00151A64">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58086AB9" w14:textId="77777777" w:rsidR="000D665B" w:rsidRPr="00DF4CE5" w:rsidRDefault="000D665B"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Sadržaj kolegija</w:t>
            </w:r>
          </w:p>
        </w:tc>
        <w:tc>
          <w:tcPr>
            <w:tcW w:w="6717"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5F329BA" w14:textId="64C67FB2" w:rsidR="000D665B" w:rsidRPr="00DF4CE5" w:rsidRDefault="000D665B"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1. Pripremanje učitelja za nastavu prirode i društva</w:t>
            </w:r>
          </w:p>
          <w:p w14:paraId="6C949B56" w14:textId="46CAFFB2" w:rsidR="000D665B" w:rsidRPr="00DF4CE5" w:rsidRDefault="000D665B"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2. Specifičnost prostora i opreme za nastavu prirode i društva</w:t>
            </w:r>
          </w:p>
          <w:p w14:paraId="1C18191F" w14:textId="088F87DC" w:rsidR="000D665B" w:rsidRPr="00DF4CE5" w:rsidRDefault="000D665B"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3. Specifičnosti primjene nastavnih strategija, metoda, oblika rada i postupaka u nastavnom predmetu Priroda i društvo</w:t>
            </w:r>
          </w:p>
          <w:p w14:paraId="63887CDF" w14:textId="055BCA2F" w:rsidR="000D665B" w:rsidRPr="00DF4CE5" w:rsidRDefault="000D665B"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4. Mediji u nastavi prirode i društva s posebnim naglaskom na uporabu suvremenih medija (računalna tehnologija)</w:t>
            </w:r>
          </w:p>
          <w:p w14:paraId="062B6336" w14:textId="0D374419" w:rsidR="000D665B" w:rsidRPr="00DF4CE5" w:rsidRDefault="000D665B"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5. </w:t>
            </w:r>
            <w:proofErr w:type="spellStart"/>
            <w:r w:rsidRPr="00DF4CE5">
              <w:rPr>
                <w:rFonts w:ascii="Cambria" w:eastAsia="Times New Roman" w:hAnsi="Cambria" w:cs="Calibri"/>
                <w:lang w:val="hr-HR"/>
              </w:rPr>
              <w:t>Izvanučionička</w:t>
            </w:r>
            <w:proofErr w:type="spellEnd"/>
            <w:r w:rsidRPr="00DF4CE5">
              <w:rPr>
                <w:rFonts w:ascii="Cambria" w:eastAsia="Times New Roman" w:hAnsi="Cambria" w:cs="Calibri"/>
                <w:lang w:val="hr-HR"/>
              </w:rPr>
              <w:t xml:space="preserve"> nastava i pripremanje učitelja za izradu programa „Škola u prirodi“</w:t>
            </w:r>
          </w:p>
          <w:p w14:paraId="4989CD2F" w14:textId="1C3C3120" w:rsidR="000D665B" w:rsidRPr="00DF4CE5" w:rsidRDefault="000D665B"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6. Istraživačka nastava</w:t>
            </w:r>
          </w:p>
          <w:p w14:paraId="46915140" w14:textId="35FFB8BC" w:rsidR="000D665B" w:rsidRPr="00DF4CE5" w:rsidRDefault="000D665B"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7. Vrednovanje nastavnog rada</w:t>
            </w:r>
          </w:p>
          <w:p w14:paraId="4FE6E189" w14:textId="08E9F17A" w:rsidR="000D665B" w:rsidRPr="00DF4CE5" w:rsidRDefault="000D665B"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8. Vrednovanje postignuća učeničkog rada</w:t>
            </w:r>
          </w:p>
          <w:p w14:paraId="67672414" w14:textId="11E18534" w:rsidR="000D665B" w:rsidRPr="00DF4CE5" w:rsidRDefault="000D665B"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9. Uvođenje učenika u prirodoslovlje i </w:t>
            </w:r>
            <w:proofErr w:type="spellStart"/>
            <w:r w:rsidRPr="00DF4CE5">
              <w:rPr>
                <w:rFonts w:ascii="Cambria" w:eastAsia="Times New Roman" w:hAnsi="Cambria" w:cs="Calibri"/>
                <w:lang w:val="hr-HR"/>
              </w:rPr>
              <w:t>društvoslovlje</w:t>
            </w:r>
            <w:proofErr w:type="spellEnd"/>
          </w:p>
        </w:tc>
      </w:tr>
      <w:tr w:rsidR="000D665B" w:rsidRPr="00DF4CE5" w14:paraId="5F95F8C4" w14:textId="77777777" w:rsidTr="00151A64">
        <w:tc>
          <w:tcPr>
            <w:tcW w:w="2623"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hideMark/>
          </w:tcPr>
          <w:p w14:paraId="7BDCF360" w14:textId="77777777" w:rsidR="000D665B" w:rsidRPr="00DF4CE5" w:rsidRDefault="000D665B"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Planirane aktivnosti</w:t>
            </w:r>
            <w:r w:rsidRPr="00DF4CE5">
              <w:rPr>
                <w:rFonts w:ascii="Cambria" w:eastAsia="Times New Roman" w:hAnsi="Cambria" w:cs="Calibri"/>
                <w:lang w:val="it-IT"/>
              </w:rPr>
              <w:t>,</w:t>
            </w:r>
          </w:p>
          <w:p w14:paraId="66719399" w14:textId="77777777" w:rsidR="000D665B" w:rsidRPr="00DF4CE5" w:rsidRDefault="000D665B" w:rsidP="008B34AF">
            <w:pPr>
              <w:spacing w:after="0" w:line="240" w:lineRule="auto"/>
              <w:jc w:val="both"/>
              <w:rPr>
                <w:rFonts w:ascii="Cambria" w:eastAsia="Times New Roman" w:hAnsi="Cambria" w:cs="Calibri"/>
                <w:lang w:val="hr-HR"/>
              </w:rPr>
            </w:pPr>
            <w:proofErr w:type="spellStart"/>
            <w:r w:rsidRPr="00DF4CE5">
              <w:rPr>
                <w:rFonts w:ascii="Cambria" w:eastAsia="Times New Roman" w:hAnsi="Cambria" w:cs="Calibri"/>
                <w:lang w:val="it-IT"/>
              </w:rPr>
              <w:t>metode</w:t>
            </w:r>
            <w:proofErr w:type="spellEnd"/>
            <w:r w:rsidRPr="00DF4CE5">
              <w:rPr>
                <w:rFonts w:ascii="Cambria" w:eastAsia="Times New Roman" w:hAnsi="Cambria" w:cs="Calibri"/>
                <w:lang w:val="it-IT"/>
              </w:rPr>
              <w:t xml:space="preserve"> </w:t>
            </w:r>
            <w:r w:rsidRPr="00DF4CE5">
              <w:rPr>
                <w:rFonts w:ascii="Cambria" w:eastAsia="Times New Roman" w:hAnsi="Cambria" w:cs="Calibri"/>
                <w:lang w:val="hr-HR"/>
              </w:rPr>
              <w:t>učenja i poučavanja i načini vrednovanja</w:t>
            </w:r>
          </w:p>
        </w:tc>
        <w:tc>
          <w:tcPr>
            <w:tcW w:w="258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E3839D0" w14:textId="77777777" w:rsidR="000D665B" w:rsidRPr="00DF4CE5" w:rsidRDefault="000D665B" w:rsidP="008B34AF">
            <w:pPr>
              <w:spacing w:after="0" w:line="240" w:lineRule="auto"/>
              <w:jc w:val="both"/>
              <w:rPr>
                <w:rFonts w:ascii="Cambria" w:eastAsia="Times New Roman" w:hAnsi="Cambria" w:cs="Calibri"/>
                <w:lang w:val="hr-HR"/>
              </w:rPr>
            </w:pPr>
            <w:r w:rsidRPr="00DF4CE5">
              <w:rPr>
                <w:rFonts w:ascii="Cambria" w:eastAsia="Times New Roman" w:hAnsi="Cambria" w:cs="Calibri"/>
                <w:bCs/>
                <w:lang w:val="hr-HR"/>
              </w:rPr>
              <w:t>Obveze</w:t>
            </w:r>
          </w:p>
        </w:tc>
        <w:tc>
          <w:tcPr>
            <w:tcW w:w="10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E0EA340" w14:textId="77777777" w:rsidR="000D665B" w:rsidRPr="00DF4CE5" w:rsidRDefault="000D665B" w:rsidP="008B34AF">
            <w:pPr>
              <w:spacing w:after="0" w:line="240" w:lineRule="auto"/>
              <w:jc w:val="both"/>
              <w:rPr>
                <w:rFonts w:ascii="Cambria" w:eastAsia="Times New Roman" w:hAnsi="Cambria" w:cs="Calibri"/>
                <w:lang w:val="hr-HR"/>
              </w:rPr>
            </w:pPr>
            <w:r w:rsidRPr="00DF4CE5">
              <w:rPr>
                <w:rFonts w:ascii="Cambria" w:eastAsia="Times New Roman" w:hAnsi="Cambria" w:cs="Calibri"/>
                <w:bCs/>
                <w:lang w:val="hr-HR"/>
              </w:rPr>
              <w:t>Ishodi</w:t>
            </w:r>
          </w:p>
        </w:tc>
        <w:tc>
          <w:tcPr>
            <w:tcW w:w="71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2999B0D" w14:textId="77777777" w:rsidR="000D665B" w:rsidRPr="00DF4CE5" w:rsidRDefault="000D665B" w:rsidP="008B34AF">
            <w:pPr>
              <w:spacing w:after="0" w:line="240" w:lineRule="auto"/>
              <w:jc w:val="both"/>
              <w:rPr>
                <w:rFonts w:ascii="Cambria" w:eastAsia="Times New Roman" w:hAnsi="Cambria" w:cs="Calibri"/>
                <w:lang w:val="hr-HR"/>
              </w:rPr>
            </w:pPr>
            <w:r w:rsidRPr="00DF4CE5">
              <w:rPr>
                <w:rFonts w:ascii="Cambria" w:eastAsia="Times New Roman" w:hAnsi="Cambria" w:cs="Calibri"/>
                <w:bCs/>
                <w:lang w:val="hr-HR"/>
              </w:rPr>
              <w:t>Sati</w:t>
            </w:r>
          </w:p>
        </w:tc>
        <w:tc>
          <w:tcPr>
            <w:tcW w:w="101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9DE2287" w14:textId="77777777" w:rsidR="000D665B" w:rsidRPr="00DF4CE5" w:rsidRDefault="000D665B" w:rsidP="008B34AF">
            <w:pPr>
              <w:spacing w:after="0" w:line="240" w:lineRule="auto"/>
              <w:jc w:val="both"/>
              <w:rPr>
                <w:rFonts w:ascii="Cambria" w:eastAsia="Times New Roman" w:hAnsi="Cambria" w:cs="Calibri"/>
                <w:lang w:val="hr-HR"/>
              </w:rPr>
            </w:pPr>
            <w:r w:rsidRPr="00DF4CE5">
              <w:rPr>
                <w:rFonts w:ascii="Cambria" w:eastAsia="Times New Roman" w:hAnsi="Cambria" w:cs="Calibri"/>
                <w:bCs/>
                <w:lang w:val="hr-HR"/>
              </w:rPr>
              <w:t>ECTS</w:t>
            </w:r>
          </w:p>
        </w:tc>
        <w:tc>
          <w:tcPr>
            <w:tcW w:w="131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9DF88F6" w14:textId="77777777" w:rsidR="000D665B" w:rsidRPr="00DF4CE5" w:rsidRDefault="000D665B" w:rsidP="008B34AF">
            <w:pPr>
              <w:spacing w:after="0" w:line="240" w:lineRule="auto"/>
              <w:jc w:val="both"/>
              <w:rPr>
                <w:rFonts w:ascii="Cambria" w:eastAsia="Times New Roman" w:hAnsi="Cambria" w:cs="Calibri"/>
                <w:lang w:val="hr-HR"/>
              </w:rPr>
            </w:pPr>
            <w:r w:rsidRPr="00DF4CE5">
              <w:rPr>
                <w:rFonts w:ascii="Cambria" w:eastAsia="Times New Roman" w:hAnsi="Cambria" w:cs="Calibri"/>
                <w:bCs/>
                <w:lang w:val="hr-HR"/>
              </w:rPr>
              <w:t>Maksimalni udio u ocjeni</w:t>
            </w:r>
            <w:r w:rsidRPr="00DF4CE5">
              <w:rPr>
                <w:rFonts w:ascii="Cambria" w:eastAsia="Times New Roman" w:hAnsi="Cambria" w:cs="Calibri"/>
                <w:bCs/>
              </w:rPr>
              <w:t xml:space="preserve"> (%)</w:t>
            </w:r>
          </w:p>
        </w:tc>
      </w:tr>
      <w:tr w:rsidR="000D665B" w:rsidRPr="00DF4CE5" w14:paraId="31F89234" w14:textId="77777777" w:rsidTr="00151A64">
        <w:tc>
          <w:tcPr>
            <w:tcW w:w="2623" w:type="dxa"/>
            <w:vMerge/>
            <w:tcBorders>
              <w:left w:val="single" w:sz="8" w:space="0" w:color="000000"/>
              <w:right w:val="single" w:sz="8" w:space="0" w:color="000000"/>
            </w:tcBorders>
            <w:vAlign w:val="center"/>
            <w:hideMark/>
          </w:tcPr>
          <w:p w14:paraId="17756846" w14:textId="77777777" w:rsidR="000D665B" w:rsidRPr="00DF4CE5" w:rsidRDefault="000D665B" w:rsidP="008B34AF">
            <w:pPr>
              <w:spacing w:after="0" w:line="240" w:lineRule="auto"/>
              <w:jc w:val="both"/>
              <w:rPr>
                <w:rFonts w:ascii="Cambria" w:eastAsia="Times New Roman" w:hAnsi="Cambria" w:cs="Calibri"/>
                <w:lang w:val="hr-HR"/>
              </w:rPr>
            </w:pPr>
          </w:p>
        </w:tc>
        <w:tc>
          <w:tcPr>
            <w:tcW w:w="258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E2DFC95" w14:textId="77777777" w:rsidR="000D665B" w:rsidRPr="00DF4CE5" w:rsidRDefault="000D665B" w:rsidP="008B34AF">
            <w:pPr>
              <w:spacing w:after="0" w:line="240" w:lineRule="auto"/>
              <w:jc w:val="both"/>
              <w:rPr>
                <w:rFonts w:ascii="Cambria" w:eastAsia="Times New Roman" w:hAnsi="Cambria" w:cs="Calibri"/>
                <w:lang w:val="hr-HR"/>
              </w:rPr>
            </w:pPr>
            <w:proofErr w:type="spellStart"/>
            <w:r w:rsidRPr="00DF4CE5">
              <w:rPr>
                <w:rFonts w:ascii="Cambria" w:eastAsia="Times New Roman" w:hAnsi="Cambria" w:cs="Calibri"/>
                <w:lang w:val="it-IT"/>
              </w:rPr>
              <w:t>aktivnost</w:t>
            </w:r>
            <w:proofErr w:type="spellEnd"/>
            <w:r w:rsidRPr="00DF4CE5">
              <w:rPr>
                <w:rFonts w:ascii="Cambria" w:eastAsia="Times New Roman" w:hAnsi="Cambria" w:cs="Calibri"/>
                <w:lang w:val="it-IT"/>
              </w:rPr>
              <w:t xml:space="preserve"> u</w:t>
            </w:r>
            <w:r w:rsidRPr="00DF4CE5">
              <w:rPr>
                <w:rFonts w:ascii="Cambria" w:eastAsia="Times New Roman" w:hAnsi="Cambria" w:cs="Calibri"/>
                <w:lang w:val="hr-HR"/>
              </w:rPr>
              <w:t xml:space="preserve"> nastavi (P i V)</w:t>
            </w:r>
          </w:p>
        </w:tc>
        <w:tc>
          <w:tcPr>
            <w:tcW w:w="10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53F879E" w14:textId="77777777" w:rsidR="000D665B" w:rsidRPr="00DF4CE5" w:rsidRDefault="000D665B" w:rsidP="00A57714">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1., 2., 4.</w:t>
            </w:r>
          </w:p>
        </w:tc>
        <w:tc>
          <w:tcPr>
            <w:tcW w:w="71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14287AC" w14:textId="77777777" w:rsidR="000D665B" w:rsidRPr="00DF4CE5" w:rsidRDefault="000D665B" w:rsidP="00A57714">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45</w:t>
            </w:r>
          </w:p>
        </w:tc>
        <w:tc>
          <w:tcPr>
            <w:tcW w:w="101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05BB211" w14:textId="1C0C7868" w:rsidR="000D665B" w:rsidRPr="00DF4CE5" w:rsidRDefault="000D665B" w:rsidP="00A57714">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1,</w:t>
            </w:r>
            <w:r w:rsidR="006913BF" w:rsidRPr="00DF4CE5">
              <w:rPr>
                <w:rFonts w:ascii="Cambria" w:eastAsia="Times New Roman" w:hAnsi="Cambria" w:cs="Calibri"/>
                <w:lang w:val="hr-HR"/>
              </w:rPr>
              <w:t>5</w:t>
            </w:r>
          </w:p>
        </w:tc>
        <w:tc>
          <w:tcPr>
            <w:tcW w:w="131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8CB152F" w14:textId="77777777" w:rsidR="000D665B" w:rsidRPr="00DF4CE5" w:rsidRDefault="000D665B" w:rsidP="00A57714">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0%</w:t>
            </w:r>
          </w:p>
        </w:tc>
      </w:tr>
      <w:tr w:rsidR="000D665B" w:rsidRPr="00DF4CE5" w14:paraId="17F79109" w14:textId="77777777" w:rsidTr="00151A64">
        <w:tc>
          <w:tcPr>
            <w:tcW w:w="2623" w:type="dxa"/>
            <w:vMerge/>
            <w:tcBorders>
              <w:left w:val="single" w:sz="8" w:space="0" w:color="000000"/>
              <w:right w:val="single" w:sz="8" w:space="0" w:color="000000"/>
            </w:tcBorders>
            <w:vAlign w:val="center"/>
            <w:hideMark/>
          </w:tcPr>
          <w:p w14:paraId="280D9E79" w14:textId="77777777" w:rsidR="000D665B" w:rsidRPr="00DF4CE5" w:rsidRDefault="000D665B" w:rsidP="008B34AF">
            <w:pPr>
              <w:spacing w:after="0" w:line="240" w:lineRule="auto"/>
              <w:jc w:val="both"/>
              <w:rPr>
                <w:rFonts w:ascii="Cambria" w:eastAsia="Times New Roman" w:hAnsi="Cambria" w:cs="Calibri"/>
                <w:lang w:val="hr-HR"/>
              </w:rPr>
            </w:pPr>
          </w:p>
        </w:tc>
        <w:tc>
          <w:tcPr>
            <w:tcW w:w="258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D8549AC" w14:textId="77777777" w:rsidR="000D665B" w:rsidRPr="00DF4CE5" w:rsidRDefault="000D665B" w:rsidP="00D0399C">
            <w:pPr>
              <w:spacing w:after="0" w:line="240" w:lineRule="auto"/>
              <w:rPr>
                <w:rFonts w:ascii="Cambria" w:eastAsia="Times New Roman" w:hAnsi="Cambria" w:cs="Calibri"/>
                <w:lang w:val="hr-HR"/>
              </w:rPr>
            </w:pPr>
            <w:r w:rsidRPr="00DF4CE5">
              <w:rPr>
                <w:rFonts w:ascii="Cambria" w:eastAsia="Times New Roman" w:hAnsi="Cambria" w:cs="Calibri"/>
                <w:lang w:val="hr-HR"/>
              </w:rPr>
              <w:t>samostalni zadatak iz vježbi</w:t>
            </w:r>
          </w:p>
        </w:tc>
        <w:tc>
          <w:tcPr>
            <w:tcW w:w="10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D680A6C" w14:textId="3BA19FC8" w:rsidR="000D665B" w:rsidRPr="00DF4CE5" w:rsidRDefault="000D665B" w:rsidP="00A57714">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1.</w:t>
            </w:r>
            <w:r w:rsidR="00A57714">
              <w:rPr>
                <w:rFonts w:ascii="Cambria" w:eastAsia="Times New Roman" w:hAnsi="Cambria" w:cs="Calibri"/>
                <w:lang w:val="hr-HR"/>
              </w:rPr>
              <w:t xml:space="preserve"> – </w:t>
            </w:r>
            <w:r w:rsidRPr="00DF4CE5">
              <w:rPr>
                <w:rFonts w:ascii="Cambria" w:eastAsia="Times New Roman" w:hAnsi="Cambria" w:cs="Calibri"/>
                <w:lang w:val="hr-HR"/>
              </w:rPr>
              <w:t>4.</w:t>
            </w:r>
          </w:p>
        </w:tc>
        <w:tc>
          <w:tcPr>
            <w:tcW w:w="71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B64C140" w14:textId="557F2BE9" w:rsidR="000D665B" w:rsidRPr="00DF4CE5" w:rsidRDefault="006913BF" w:rsidP="00A57714">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30</w:t>
            </w:r>
          </w:p>
        </w:tc>
        <w:tc>
          <w:tcPr>
            <w:tcW w:w="101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356A35E" w14:textId="6918A9ED" w:rsidR="000D665B" w:rsidRPr="00DF4CE5" w:rsidRDefault="006913BF" w:rsidP="00A57714">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1</w:t>
            </w:r>
          </w:p>
        </w:tc>
        <w:tc>
          <w:tcPr>
            <w:tcW w:w="131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DC6354C" w14:textId="77777777" w:rsidR="000D665B" w:rsidRPr="00DF4CE5" w:rsidRDefault="000D665B" w:rsidP="00A57714">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30%</w:t>
            </w:r>
          </w:p>
        </w:tc>
      </w:tr>
      <w:tr w:rsidR="000D665B" w:rsidRPr="00DF4CE5" w14:paraId="7B390428" w14:textId="77777777" w:rsidTr="00151A64">
        <w:tc>
          <w:tcPr>
            <w:tcW w:w="2623" w:type="dxa"/>
            <w:vMerge/>
            <w:tcBorders>
              <w:left w:val="single" w:sz="8" w:space="0" w:color="000000"/>
              <w:right w:val="single" w:sz="8" w:space="0" w:color="000000"/>
            </w:tcBorders>
            <w:vAlign w:val="center"/>
            <w:hideMark/>
          </w:tcPr>
          <w:p w14:paraId="0F83B361" w14:textId="77777777" w:rsidR="000D665B" w:rsidRPr="00DF4CE5" w:rsidRDefault="000D665B" w:rsidP="008B34AF">
            <w:pPr>
              <w:spacing w:after="0" w:line="240" w:lineRule="auto"/>
              <w:jc w:val="both"/>
              <w:rPr>
                <w:rFonts w:ascii="Cambria" w:eastAsia="Times New Roman" w:hAnsi="Cambria" w:cs="Calibri"/>
                <w:lang w:val="hr-HR"/>
              </w:rPr>
            </w:pPr>
          </w:p>
        </w:tc>
        <w:tc>
          <w:tcPr>
            <w:tcW w:w="258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A85510D" w14:textId="4E859197" w:rsidR="000D665B" w:rsidRPr="00D0399C" w:rsidRDefault="000D665B" w:rsidP="00D0399C">
            <w:pPr>
              <w:spacing w:after="0" w:line="240" w:lineRule="auto"/>
              <w:rPr>
                <w:rFonts w:ascii="Cambria" w:eastAsia="Times New Roman" w:hAnsi="Cambria" w:cs="Calibri"/>
                <w:lang w:val="it-IT"/>
              </w:rPr>
            </w:pPr>
            <w:r w:rsidRPr="00D0399C">
              <w:rPr>
                <w:rFonts w:ascii="Cambria" w:eastAsia="Times New Roman" w:hAnsi="Cambria" w:cs="Calibri"/>
                <w:lang w:val="it-IT"/>
              </w:rPr>
              <w:t>k</w:t>
            </w:r>
            <w:proofErr w:type="spellStart"/>
            <w:r w:rsidRPr="00DF4CE5">
              <w:rPr>
                <w:rFonts w:ascii="Cambria" w:eastAsia="Times New Roman" w:hAnsi="Cambria" w:cs="Calibri"/>
                <w:lang w:val="hr-HR"/>
              </w:rPr>
              <w:t>olokviji</w:t>
            </w:r>
            <w:proofErr w:type="spellEnd"/>
            <w:r w:rsidRPr="00D0399C">
              <w:rPr>
                <w:rFonts w:ascii="Cambria" w:eastAsia="Times New Roman" w:hAnsi="Cambria" w:cs="Calibri"/>
                <w:lang w:val="it-IT"/>
              </w:rPr>
              <w:t xml:space="preserve"> (</w:t>
            </w:r>
            <w:proofErr w:type="spellStart"/>
            <w:r w:rsidRPr="00D0399C">
              <w:rPr>
                <w:rFonts w:ascii="Cambria" w:eastAsia="Times New Roman" w:hAnsi="Cambria" w:cs="Calibri"/>
                <w:lang w:val="it-IT"/>
              </w:rPr>
              <w:t>dva</w:t>
            </w:r>
            <w:proofErr w:type="spellEnd"/>
            <w:r w:rsidRPr="00D0399C">
              <w:rPr>
                <w:rFonts w:ascii="Cambria" w:eastAsia="Times New Roman" w:hAnsi="Cambria" w:cs="Calibri"/>
                <w:lang w:val="it-IT"/>
              </w:rPr>
              <w:t xml:space="preserve"> pisana)</w:t>
            </w:r>
            <w:r w:rsidR="00D0399C" w:rsidRPr="00D0399C">
              <w:rPr>
                <w:rFonts w:ascii="Cambria" w:eastAsia="Times New Roman" w:hAnsi="Cambria" w:cs="Calibri"/>
                <w:lang w:val="it-IT"/>
              </w:rPr>
              <w:t xml:space="preserve"> i</w:t>
            </w:r>
            <w:r w:rsidR="00D0399C">
              <w:rPr>
                <w:rFonts w:ascii="Cambria" w:eastAsia="Times New Roman" w:hAnsi="Cambria" w:cs="Calibri"/>
                <w:lang w:val="it-IT"/>
              </w:rPr>
              <w:t xml:space="preserve"> </w:t>
            </w:r>
            <w:proofErr w:type="spellStart"/>
            <w:r w:rsidR="00D0399C">
              <w:rPr>
                <w:rFonts w:ascii="Cambria" w:eastAsia="Times New Roman" w:hAnsi="Cambria" w:cs="Calibri"/>
                <w:lang w:val="it-IT"/>
              </w:rPr>
              <w:t>usmeni</w:t>
            </w:r>
            <w:proofErr w:type="spellEnd"/>
            <w:r w:rsidR="00D0399C" w:rsidRPr="00D0399C">
              <w:rPr>
                <w:rFonts w:ascii="Cambria" w:eastAsia="Times New Roman" w:hAnsi="Cambria" w:cs="Calibri"/>
                <w:lang w:val="it-IT"/>
              </w:rPr>
              <w:t xml:space="preserve"> </w:t>
            </w:r>
            <w:proofErr w:type="spellStart"/>
            <w:r w:rsidR="00D0399C" w:rsidRPr="00D0399C">
              <w:rPr>
                <w:rFonts w:ascii="Cambria" w:eastAsia="Times New Roman" w:hAnsi="Cambria" w:cs="Calibri"/>
                <w:lang w:val="it-IT"/>
              </w:rPr>
              <w:t>i</w:t>
            </w:r>
            <w:r w:rsidR="00D0399C">
              <w:rPr>
                <w:rFonts w:ascii="Cambria" w:eastAsia="Times New Roman" w:hAnsi="Cambria" w:cs="Calibri"/>
                <w:lang w:val="it-IT"/>
              </w:rPr>
              <w:t>spit</w:t>
            </w:r>
            <w:proofErr w:type="spellEnd"/>
          </w:p>
        </w:tc>
        <w:tc>
          <w:tcPr>
            <w:tcW w:w="10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7833E21" w14:textId="77777777" w:rsidR="000D665B" w:rsidRPr="00DF4CE5" w:rsidRDefault="000D665B" w:rsidP="00A57714">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1., 2., 4.</w:t>
            </w:r>
          </w:p>
        </w:tc>
        <w:tc>
          <w:tcPr>
            <w:tcW w:w="71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0F3731A" w14:textId="79109415" w:rsidR="000D665B" w:rsidRPr="00DF4CE5" w:rsidRDefault="000D665B" w:rsidP="00A57714">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7</w:t>
            </w:r>
            <w:r w:rsidR="001F6A00" w:rsidRPr="00DF4CE5">
              <w:rPr>
                <w:rFonts w:ascii="Cambria" w:eastAsia="Times New Roman" w:hAnsi="Cambria" w:cs="Calibri"/>
                <w:lang w:val="hr-HR"/>
              </w:rPr>
              <w:t>5</w:t>
            </w:r>
          </w:p>
        </w:tc>
        <w:tc>
          <w:tcPr>
            <w:tcW w:w="101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6934A58" w14:textId="77777777" w:rsidR="000D665B" w:rsidRPr="00DF4CE5" w:rsidRDefault="000D665B" w:rsidP="00A57714">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2,5</w:t>
            </w:r>
          </w:p>
        </w:tc>
        <w:tc>
          <w:tcPr>
            <w:tcW w:w="131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B97D7A8" w14:textId="77777777" w:rsidR="000D665B" w:rsidRPr="00DF4CE5" w:rsidRDefault="000D665B" w:rsidP="00A57714">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70%</w:t>
            </w:r>
          </w:p>
        </w:tc>
      </w:tr>
      <w:tr w:rsidR="000D665B" w:rsidRPr="00DF4CE5" w14:paraId="4E745577" w14:textId="77777777" w:rsidTr="00151A64">
        <w:tc>
          <w:tcPr>
            <w:tcW w:w="2623" w:type="dxa"/>
            <w:vMerge/>
            <w:tcBorders>
              <w:left w:val="single" w:sz="8" w:space="0" w:color="000000"/>
              <w:right w:val="single" w:sz="8" w:space="0" w:color="000000"/>
            </w:tcBorders>
            <w:vAlign w:val="center"/>
            <w:hideMark/>
          </w:tcPr>
          <w:p w14:paraId="55617CF6" w14:textId="77777777" w:rsidR="000D665B" w:rsidRPr="00DF4CE5" w:rsidRDefault="000D665B" w:rsidP="008B34AF">
            <w:pPr>
              <w:spacing w:after="0" w:line="240" w:lineRule="auto"/>
              <w:jc w:val="both"/>
              <w:rPr>
                <w:rFonts w:ascii="Cambria" w:eastAsia="Times New Roman" w:hAnsi="Cambria" w:cs="Calibri"/>
                <w:lang w:val="hr-HR"/>
              </w:rPr>
            </w:pPr>
          </w:p>
        </w:tc>
        <w:tc>
          <w:tcPr>
            <w:tcW w:w="3673"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803C65B" w14:textId="09C354FD" w:rsidR="000D665B" w:rsidRPr="00DF4CE5" w:rsidRDefault="00620774" w:rsidP="008B34AF">
            <w:pPr>
              <w:spacing w:after="0" w:line="240" w:lineRule="auto"/>
              <w:jc w:val="both"/>
              <w:rPr>
                <w:rFonts w:ascii="Cambria" w:eastAsia="Times New Roman" w:hAnsi="Cambria" w:cs="Calibri"/>
                <w:lang w:val="hr-HR"/>
              </w:rPr>
            </w:pPr>
            <w:proofErr w:type="spellStart"/>
            <w:r>
              <w:rPr>
                <w:rFonts w:ascii="Cambria" w:eastAsia="Times New Roman" w:hAnsi="Cambria" w:cs="Calibri"/>
              </w:rPr>
              <w:t>u</w:t>
            </w:r>
            <w:r w:rsidR="000D665B" w:rsidRPr="00DF4CE5">
              <w:rPr>
                <w:rFonts w:ascii="Cambria" w:eastAsia="Times New Roman" w:hAnsi="Cambria" w:cs="Calibri"/>
              </w:rPr>
              <w:t>kupno</w:t>
            </w:r>
            <w:proofErr w:type="spellEnd"/>
          </w:p>
        </w:tc>
        <w:tc>
          <w:tcPr>
            <w:tcW w:w="71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3DD547E" w14:textId="12219C28" w:rsidR="000D665B" w:rsidRPr="00DF4CE5" w:rsidRDefault="000D665B" w:rsidP="00A57714">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1</w:t>
            </w:r>
            <w:r w:rsidR="00151A64" w:rsidRPr="00DF4CE5">
              <w:rPr>
                <w:rFonts w:ascii="Cambria" w:eastAsia="Times New Roman" w:hAnsi="Cambria" w:cs="Calibri"/>
                <w:lang w:val="hr-HR"/>
              </w:rPr>
              <w:t>5</w:t>
            </w:r>
            <w:r w:rsidRPr="00DF4CE5">
              <w:rPr>
                <w:rFonts w:ascii="Cambria" w:eastAsia="Times New Roman" w:hAnsi="Cambria" w:cs="Calibri"/>
                <w:lang w:val="hr-HR"/>
              </w:rPr>
              <w:t>0</w:t>
            </w:r>
          </w:p>
        </w:tc>
        <w:tc>
          <w:tcPr>
            <w:tcW w:w="101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CFF51E5" w14:textId="77777777" w:rsidR="000D665B" w:rsidRPr="00DF4CE5" w:rsidRDefault="000D665B" w:rsidP="00A57714">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5</w:t>
            </w:r>
          </w:p>
        </w:tc>
        <w:tc>
          <w:tcPr>
            <w:tcW w:w="131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9F59C27" w14:textId="77777777" w:rsidR="000D665B" w:rsidRPr="00DF4CE5" w:rsidRDefault="000D665B" w:rsidP="00A57714">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100%</w:t>
            </w:r>
          </w:p>
        </w:tc>
      </w:tr>
      <w:tr w:rsidR="000D665B" w:rsidRPr="00D0399C" w14:paraId="015E44D6" w14:textId="77777777" w:rsidTr="00151A64">
        <w:tc>
          <w:tcPr>
            <w:tcW w:w="2623" w:type="dxa"/>
            <w:vMerge/>
            <w:tcBorders>
              <w:left w:val="single" w:sz="8" w:space="0" w:color="000000"/>
              <w:bottom w:val="single" w:sz="8" w:space="0" w:color="000000"/>
              <w:right w:val="single" w:sz="8" w:space="0" w:color="000000"/>
            </w:tcBorders>
            <w:vAlign w:val="center"/>
          </w:tcPr>
          <w:p w14:paraId="5FFF9324" w14:textId="77777777" w:rsidR="000D665B" w:rsidRPr="00DF4CE5" w:rsidRDefault="000D665B" w:rsidP="008B34AF">
            <w:pPr>
              <w:spacing w:after="0" w:line="240" w:lineRule="auto"/>
              <w:jc w:val="both"/>
              <w:rPr>
                <w:rFonts w:ascii="Cambria" w:eastAsia="Times New Roman" w:hAnsi="Cambria" w:cs="Calibri"/>
                <w:lang w:val="hr-HR"/>
              </w:rPr>
            </w:pPr>
          </w:p>
        </w:tc>
        <w:tc>
          <w:tcPr>
            <w:tcW w:w="6717"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ABCAEE8" w14:textId="77777777" w:rsidR="000D665B" w:rsidRPr="00DF4CE5" w:rsidRDefault="000D665B"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Dodatna pojašnjenja:</w:t>
            </w:r>
          </w:p>
          <w:p w14:paraId="1DF2A986" w14:textId="2C378A5A" w:rsidR="000D665B" w:rsidRPr="00DF4CE5" w:rsidRDefault="000D665B" w:rsidP="00620774">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Za uspješan završetak kolegija student iz svake predviđene obaveze treba ostvariti najmanje </w:t>
            </w:r>
            <w:r w:rsidR="00D0399C">
              <w:rPr>
                <w:rFonts w:ascii="Cambria" w:eastAsia="Times New Roman" w:hAnsi="Cambria" w:cs="Calibri"/>
                <w:lang w:val="hr-HR"/>
              </w:rPr>
              <w:t>50%</w:t>
            </w:r>
            <w:r w:rsidRPr="00DF4CE5">
              <w:rPr>
                <w:rFonts w:ascii="Cambria" w:eastAsia="Times New Roman" w:hAnsi="Cambria" w:cs="Calibri"/>
                <w:lang w:val="hr-HR"/>
              </w:rPr>
              <w:t>.</w:t>
            </w:r>
          </w:p>
        </w:tc>
      </w:tr>
      <w:tr w:rsidR="000D665B" w:rsidRPr="00D0399C" w14:paraId="10207BE4" w14:textId="77777777" w:rsidTr="00151A64">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8838057" w14:textId="77777777" w:rsidR="000D665B" w:rsidRPr="00DF4CE5" w:rsidRDefault="000D665B"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Studentske obveze</w:t>
            </w:r>
          </w:p>
        </w:tc>
        <w:tc>
          <w:tcPr>
            <w:tcW w:w="671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7DF3EBC" w14:textId="77777777" w:rsidR="000D665B" w:rsidRPr="00DF4CE5" w:rsidRDefault="000D665B"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Da položi kolegij, student/studentica mora: </w:t>
            </w:r>
          </w:p>
          <w:p w14:paraId="1A7668F6" w14:textId="0AE59217" w:rsidR="000D665B" w:rsidRPr="00DF4CE5" w:rsidRDefault="000D665B" w:rsidP="008B34AF">
            <w:pPr>
              <w:spacing w:after="0" w:line="240" w:lineRule="auto"/>
              <w:ind w:left="206" w:hanging="206"/>
              <w:jc w:val="both"/>
              <w:rPr>
                <w:rFonts w:ascii="Cambria" w:eastAsia="Times New Roman" w:hAnsi="Cambria" w:cs="Calibri"/>
                <w:lang w:val="hr-HR"/>
              </w:rPr>
            </w:pPr>
            <w:r w:rsidRPr="00DF4CE5">
              <w:rPr>
                <w:rFonts w:ascii="Cambria" w:eastAsia="Times New Roman" w:hAnsi="Cambria" w:cs="Calibri"/>
                <w:lang w:val="hr-HR"/>
              </w:rPr>
              <w:t>1. redovito pohađati i aktivno sudjelovati u svim oblicima nastave</w:t>
            </w:r>
            <w:r w:rsidR="00620774">
              <w:rPr>
                <w:rFonts w:ascii="Cambria" w:eastAsia="Times New Roman" w:hAnsi="Cambria" w:cs="Calibri"/>
                <w:lang w:val="hr-HR"/>
              </w:rPr>
              <w:t xml:space="preserve"> (t</w:t>
            </w:r>
            <w:r w:rsidRPr="00DF4CE5">
              <w:rPr>
                <w:rFonts w:ascii="Cambria" w:eastAsia="Times New Roman" w:hAnsi="Cambria" w:cs="Calibri"/>
                <w:lang w:val="hr-HR"/>
              </w:rPr>
              <w:t>oleriraju se izostanci do 30% satnice</w:t>
            </w:r>
            <w:r w:rsidR="00620774">
              <w:rPr>
                <w:rFonts w:ascii="Cambria" w:eastAsia="Times New Roman" w:hAnsi="Cambria" w:cs="Calibri"/>
                <w:lang w:val="hr-HR"/>
              </w:rPr>
              <w:t xml:space="preserve"> </w:t>
            </w:r>
            <w:r w:rsidRPr="00DF4CE5">
              <w:rPr>
                <w:rFonts w:ascii="Cambria" w:eastAsia="Times New Roman" w:hAnsi="Cambria" w:cs="Calibri"/>
                <w:lang w:val="hr-HR"/>
              </w:rPr>
              <w:t>posebno za svaki oblik nastave)</w:t>
            </w:r>
          </w:p>
          <w:p w14:paraId="4BA5591B" w14:textId="6BD1EEA1" w:rsidR="000D665B" w:rsidRPr="00DF4CE5" w:rsidRDefault="000D665B" w:rsidP="008B34AF">
            <w:pPr>
              <w:spacing w:after="0" w:line="240" w:lineRule="auto"/>
              <w:ind w:left="206" w:hanging="206"/>
              <w:jc w:val="both"/>
              <w:rPr>
                <w:rFonts w:ascii="Cambria" w:eastAsia="Times New Roman" w:hAnsi="Cambria" w:cs="Calibri"/>
                <w:lang w:val="hr-HR"/>
              </w:rPr>
            </w:pPr>
            <w:r w:rsidRPr="00DF4CE5">
              <w:rPr>
                <w:rFonts w:ascii="Cambria" w:eastAsia="Times New Roman" w:hAnsi="Cambria" w:cs="Calibri"/>
                <w:lang w:val="hr-HR"/>
              </w:rPr>
              <w:t xml:space="preserve">2. izraditi dnevnu pripremu za nastavni sat i održati </w:t>
            </w:r>
            <w:r w:rsidR="00D0399C">
              <w:rPr>
                <w:rFonts w:ascii="Cambria" w:eastAsia="Times New Roman" w:hAnsi="Cambria" w:cs="Calibri"/>
                <w:lang w:val="hr-HR"/>
              </w:rPr>
              <w:t>nastavni sat</w:t>
            </w:r>
            <w:r w:rsidRPr="00DF4CE5">
              <w:rPr>
                <w:rFonts w:ascii="Cambria" w:eastAsia="Times New Roman" w:hAnsi="Cambria" w:cs="Calibri"/>
                <w:lang w:val="hr-HR"/>
              </w:rPr>
              <w:t xml:space="preserve"> u vježbaonici</w:t>
            </w:r>
          </w:p>
          <w:p w14:paraId="505D390C" w14:textId="3BA572F3" w:rsidR="000D665B" w:rsidRPr="00DF4CE5" w:rsidRDefault="000D665B" w:rsidP="00D0399C">
            <w:pPr>
              <w:spacing w:after="0" w:line="240" w:lineRule="auto"/>
              <w:ind w:left="206" w:hanging="206"/>
              <w:jc w:val="both"/>
              <w:rPr>
                <w:rFonts w:ascii="Cambria" w:eastAsia="Times New Roman" w:hAnsi="Cambria" w:cs="Calibri"/>
                <w:lang w:val="hr-HR"/>
              </w:rPr>
            </w:pPr>
            <w:r w:rsidRPr="00DF4CE5">
              <w:rPr>
                <w:rFonts w:ascii="Cambria" w:eastAsia="Times New Roman" w:hAnsi="Cambria" w:cs="Calibri"/>
                <w:lang w:val="hr-HR"/>
              </w:rPr>
              <w:t xml:space="preserve">3. položiti dva kolokvija i položiti </w:t>
            </w:r>
            <w:r w:rsidR="00D0399C">
              <w:rPr>
                <w:rFonts w:ascii="Cambria" w:eastAsia="Times New Roman" w:hAnsi="Cambria" w:cs="Calibri"/>
                <w:lang w:val="hr-HR"/>
              </w:rPr>
              <w:t xml:space="preserve">usmeni </w:t>
            </w:r>
            <w:r w:rsidRPr="00DF4CE5">
              <w:rPr>
                <w:rFonts w:ascii="Cambria" w:eastAsia="Times New Roman" w:hAnsi="Cambria" w:cs="Calibri"/>
                <w:lang w:val="hr-HR"/>
              </w:rPr>
              <w:t>ispit</w:t>
            </w:r>
            <w:r w:rsidR="00D0399C">
              <w:rPr>
                <w:rFonts w:ascii="Cambria" w:eastAsia="Times New Roman" w:hAnsi="Cambria" w:cs="Calibri"/>
                <w:lang w:val="hr-HR"/>
              </w:rPr>
              <w:t>.</w:t>
            </w:r>
          </w:p>
          <w:p w14:paraId="23626098" w14:textId="77777777" w:rsidR="000D665B" w:rsidRPr="00DF4CE5" w:rsidRDefault="000D665B" w:rsidP="008B34AF">
            <w:pPr>
              <w:spacing w:after="0" w:line="240" w:lineRule="auto"/>
              <w:ind w:left="206" w:hanging="206"/>
              <w:jc w:val="both"/>
              <w:rPr>
                <w:rFonts w:ascii="Cambria" w:eastAsia="Times New Roman" w:hAnsi="Cambria" w:cs="Calibri"/>
                <w:lang w:val="hr-HR"/>
              </w:rPr>
            </w:pPr>
          </w:p>
        </w:tc>
      </w:tr>
      <w:tr w:rsidR="000D665B" w:rsidRPr="00D0399C" w14:paraId="3B6EDAE7" w14:textId="77777777" w:rsidTr="00151A64">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93D970B" w14:textId="77777777" w:rsidR="000D665B" w:rsidRPr="00DF4CE5" w:rsidRDefault="000D665B" w:rsidP="008B34AF">
            <w:pPr>
              <w:spacing w:after="0" w:line="240" w:lineRule="auto"/>
              <w:jc w:val="both"/>
              <w:rPr>
                <w:rFonts w:ascii="Cambria" w:eastAsia="Times New Roman" w:hAnsi="Cambria" w:cs="Calibri"/>
                <w:lang w:val="hr-HR"/>
              </w:rPr>
            </w:pPr>
            <w:proofErr w:type="spellStart"/>
            <w:r w:rsidRPr="00DF4CE5">
              <w:rPr>
                <w:rFonts w:ascii="Cambria" w:eastAsia="Times New Roman" w:hAnsi="Cambria" w:cs="Calibri"/>
              </w:rPr>
              <w:t>Rokovi</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ispita</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i</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kolokvija</w:t>
            </w:r>
            <w:proofErr w:type="spellEnd"/>
          </w:p>
        </w:tc>
        <w:tc>
          <w:tcPr>
            <w:tcW w:w="671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AD86A32" w14:textId="77777777" w:rsidR="000D665B" w:rsidRPr="00DF4CE5" w:rsidRDefault="000D665B"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Određuju se na početku akademske godine, objavljuju se na mrežnim stranicama Sveučilišta i u ISVU sustavu</w:t>
            </w:r>
          </w:p>
        </w:tc>
      </w:tr>
      <w:tr w:rsidR="000D665B" w:rsidRPr="00D0399C" w14:paraId="67B4C8F1" w14:textId="77777777" w:rsidTr="00151A64">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6D0A87C" w14:textId="77777777" w:rsidR="000D665B" w:rsidRPr="00DF4CE5" w:rsidRDefault="000D665B"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Ostale važne činjenice </w:t>
            </w:r>
            <w:proofErr w:type="spellStart"/>
            <w:r w:rsidRPr="00DF4CE5">
              <w:rPr>
                <w:rFonts w:ascii="Cambria" w:eastAsia="Times New Roman" w:hAnsi="Cambria" w:cs="Calibri"/>
                <w:lang w:val="it-IT"/>
              </w:rPr>
              <w:t>vezane</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uz</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kolegij</w:t>
            </w:r>
            <w:proofErr w:type="spellEnd"/>
          </w:p>
        </w:tc>
        <w:tc>
          <w:tcPr>
            <w:tcW w:w="671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DDC6B59" w14:textId="77777777" w:rsidR="000D665B" w:rsidRPr="00DF4CE5" w:rsidRDefault="000D665B"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Materijali za nastavu su postavljeni na e-učenju.</w:t>
            </w:r>
          </w:p>
          <w:p w14:paraId="7C0F080D" w14:textId="5537B84E" w:rsidR="000D665B" w:rsidRPr="00DF4CE5" w:rsidRDefault="000D665B"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U slučaju održavanja nastave na daljinu, moguće je odstupanje u: mjestu izvođenja kolegija, provedbi aktivnosti, metoda tumačenja i poučavanja i načinima vrednovanja, studentskim obvezama i dostupnoj literaturi. O tome će nositeljica kolegija obavijestiti studente i studentice kad se nastava na daljinu počne održavati. Ishodi učenja ostaju nepromijenjeni.</w:t>
            </w:r>
          </w:p>
        </w:tc>
      </w:tr>
      <w:tr w:rsidR="000D665B" w:rsidRPr="00D0399C" w14:paraId="31F2B789" w14:textId="77777777" w:rsidTr="00151A64">
        <w:trPr>
          <w:trHeight w:val="770"/>
        </w:trPr>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D8DA6E3" w14:textId="77777777" w:rsidR="000D665B" w:rsidRPr="00DF4CE5" w:rsidRDefault="000D665B"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Literatura</w:t>
            </w:r>
          </w:p>
        </w:tc>
        <w:tc>
          <w:tcPr>
            <w:tcW w:w="6717"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5E480411" w14:textId="77777777" w:rsidR="000D665B" w:rsidRPr="00DF4CE5" w:rsidRDefault="000D665B" w:rsidP="008B34AF">
            <w:pPr>
              <w:snapToGrid w:val="0"/>
              <w:spacing w:after="0" w:line="240" w:lineRule="auto"/>
              <w:ind w:left="431" w:hanging="431"/>
              <w:jc w:val="both"/>
              <w:rPr>
                <w:rFonts w:ascii="Cambria" w:eastAsia="Times New Roman" w:hAnsi="Cambria" w:cs="Calibri"/>
                <w:lang w:val="hr-HR"/>
              </w:rPr>
            </w:pPr>
            <w:r w:rsidRPr="00DF4CE5">
              <w:rPr>
                <w:rFonts w:ascii="Cambria" w:eastAsia="Times New Roman" w:hAnsi="Cambria" w:cs="Calibri"/>
                <w:lang w:val="hr-HR"/>
              </w:rPr>
              <w:t>Obvezna:</w:t>
            </w:r>
          </w:p>
          <w:p w14:paraId="0BD0E376" w14:textId="795CF37B" w:rsidR="000D665B" w:rsidRPr="00DF4CE5" w:rsidRDefault="00D0399C" w:rsidP="00D0399C">
            <w:pPr>
              <w:snapToGrid w:val="0"/>
              <w:spacing w:after="0" w:line="240" w:lineRule="auto"/>
              <w:jc w:val="both"/>
              <w:rPr>
                <w:rFonts w:ascii="Cambria" w:eastAsia="Times New Roman" w:hAnsi="Cambria" w:cs="Calibri"/>
                <w:lang w:val="hr-HR"/>
              </w:rPr>
            </w:pPr>
            <w:r>
              <w:rPr>
                <w:rFonts w:ascii="Cambria" w:eastAsia="Times New Roman" w:hAnsi="Cambria" w:cs="Calibri"/>
                <w:lang w:val="hr-HR"/>
              </w:rPr>
              <w:t xml:space="preserve">1. </w:t>
            </w:r>
            <w:r w:rsidR="000D665B" w:rsidRPr="00DF4CE5">
              <w:rPr>
                <w:rFonts w:ascii="Cambria" w:eastAsia="Times New Roman" w:hAnsi="Cambria" w:cs="Calibri"/>
                <w:lang w:val="hr-HR"/>
              </w:rPr>
              <w:t xml:space="preserve">De </w:t>
            </w:r>
            <w:proofErr w:type="spellStart"/>
            <w:r w:rsidR="000D665B" w:rsidRPr="00DF4CE5">
              <w:rPr>
                <w:rFonts w:ascii="Cambria" w:eastAsia="Times New Roman" w:hAnsi="Cambria" w:cs="Calibri"/>
                <w:lang w:val="hr-HR"/>
              </w:rPr>
              <w:t>Zan</w:t>
            </w:r>
            <w:proofErr w:type="spellEnd"/>
            <w:r w:rsidR="000D665B" w:rsidRPr="00DF4CE5">
              <w:rPr>
                <w:rFonts w:ascii="Cambria" w:eastAsia="Times New Roman" w:hAnsi="Cambria" w:cs="Calibri"/>
                <w:lang w:val="hr-HR"/>
              </w:rPr>
              <w:t>, I. (2005). Metodika nastave prirode i društva. Zagreb: Školska knjiga.</w:t>
            </w:r>
          </w:p>
          <w:p w14:paraId="67B2CCD4" w14:textId="3D77F043" w:rsidR="000D665B" w:rsidRPr="00DF4CE5" w:rsidRDefault="00D0399C" w:rsidP="00D0399C">
            <w:pPr>
              <w:snapToGrid w:val="0"/>
              <w:spacing w:after="0" w:line="240" w:lineRule="auto"/>
              <w:jc w:val="both"/>
              <w:rPr>
                <w:rFonts w:ascii="Cambria" w:eastAsia="Times New Roman" w:hAnsi="Cambria" w:cs="Calibri"/>
                <w:lang w:val="hr-HR"/>
              </w:rPr>
            </w:pPr>
            <w:r>
              <w:rPr>
                <w:rFonts w:ascii="Cambria" w:eastAsia="Times New Roman" w:hAnsi="Cambria" w:cs="Calibri"/>
                <w:lang w:val="hr-HR"/>
              </w:rPr>
              <w:t xml:space="preserve">2. </w:t>
            </w:r>
            <w:r w:rsidR="000D665B" w:rsidRPr="00DF4CE5">
              <w:rPr>
                <w:rFonts w:ascii="Cambria" w:eastAsia="Times New Roman" w:hAnsi="Cambria" w:cs="Calibri"/>
                <w:lang w:val="hr-HR"/>
              </w:rPr>
              <w:t>Bezinović P., Marušić I., Ristić Dedić, Z. (2012). Opažanje i unapređivanje školske nastave, Agencija za odgoj i obrazovanje, Zagreb</w:t>
            </w:r>
          </w:p>
          <w:p w14:paraId="3C70173A" w14:textId="2256C004" w:rsidR="000D665B" w:rsidRPr="00DF4CE5" w:rsidRDefault="00D0399C" w:rsidP="00D0399C">
            <w:pPr>
              <w:snapToGrid w:val="0"/>
              <w:spacing w:after="0" w:line="240" w:lineRule="auto"/>
              <w:jc w:val="both"/>
              <w:rPr>
                <w:rFonts w:ascii="Cambria" w:eastAsia="Times New Roman" w:hAnsi="Cambria" w:cs="Calibri"/>
                <w:lang w:val="hr-HR"/>
              </w:rPr>
            </w:pPr>
            <w:r>
              <w:rPr>
                <w:rFonts w:ascii="Cambria" w:eastAsia="Times New Roman" w:hAnsi="Cambria" w:cs="Calibri"/>
                <w:lang w:val="hr-HR"/>
              </w:rPr>
              <w:t xml:space="preserve">3. </w:t>
            </w:r>
            <w:proofErr w:type="spellStart"/>
            <w:r w:rsidR="000D665B" w:rsidRPr="00DF4CE5">
              <w:rPr>
                <w:rFonts w:ascii="Cambria" w:eastAsia="Times New Roman" w:hAnsi="Cambria" w:cs="Calibri"/>
                <w:lang w:val="hr-HR"/>
              </w:rPr>
              <w:t>Kostović-Vranješ</w:t>
            </w:r>
            <w:proofErr w:type="spellEnd"/>
            <w:r w:rsidR="000D665B" w:rsidRPr="00DF4CE5">
              <w:rPr>
                <w:rFonts w:ascii="Cambria" w:eastAsia="Times New Roman" w:hAnsi="Cambria" w:cs="Calibri"/>
                <w:lang w:val="hr-HR"/>
              </w:rPr>
              <w:t>, V. (2015). Metodika nastave predmeta prirodoslovnog područja.  Zagreb: Školska knjiga</w:t>
            </w:r>
          </w:p>
          <w:p w14:paraId="3337E875" w14:textId="77777777" w:rsidR="000D665B" w:rsidRPr="00DF4CE5" w:rsidRDefault="000D665B" w:rsidP="008B34AF">
            <w:pPr>
              <w:spacing w:after="0" w:line="240" w:lineRule="auto"/>
              <w:ind w:left="431" w:hanging="431"/>
              <w:jc w:val="both"/>
              <w:rPr>
                <w:rFonts w:ascii="Cambria" w:eastAsia="Times New Roman" w:hAnsi="Cambria" w:cs="Calibri"/>
                <w:lang w:val="hr-HR"/>
              </w:rPr>
            </w:pPr>
            <w:r w:rsidRPr="00DF4CE5">
              <w:rPr>
                <w:rFonts w:ascii="Cambria" w:eastAsia="Times New Roman" w:hAnsi="Cambria" w:cs="Calibri"/>
                <w:lang w:val="hr-HR"/>
              </w:rPr>
              <w:t>Izborna:</w:t>
            </w:r>
          </w:p>
          <w:p w14:paraId="02DDA8EC" w14:textId="6D791F36" w:rsidR="000D665B" w:rsidRPr="00DF4CE5" w:rsidRDefault="00D0399C" w:rsidP="00D0399C">
            <w:pPr>
              <w:spacing w:after="0" w:line="240" w:lineRule="auto"/>
              <w:jc w:val="both"/>
              <w:rPr>
                <w:rFonts w:ascii="Cambria" w:eastAsia="Times New Roman" w:hAnsi="Cambria" w:cs="Calibri"/>
                <w:lang w:val="hr-HR"/>
              </w:rPr>
            </w:pPr>
            <w:r>
              <w:rPr>
                <w:rFonts w:ascii="Cambria" w:eastAsia="Times New Roman" w:hAnsi="Cambria" w:cs="Calibri"/>
                <w:lang w:val="hr-HR"/>
              </w:rPr>
              <w:t xml:space="preserve">1. </w:t>
            </w:r>
            <w:r w:rsidR="000D665B" w:rsidRPr="00DF4CE5">
              <w:rPr>
                <w:rFonts w:ascii="Cambria" w:eastAsia="Times New Roman" w:hAnsi="Cambria" w:cs="Calibri"/>
                <w:lang w:val="hr-HR"/>
              </w:rPr>
              <w:t xml:space="preserve">Anderson, L. W. &amp; David R. </w:t>
            </w:r>
            <w:proofErr w:type="spellStart"/>
            <w:r w:rsidR="000D665B" w:rsidRPr="00DF4CE5">
              <w:rPr>
                <w:rFonts w:ascii="Cambria" w:eastAsia="Times New Roman" w:hAnsi="Cambria" w:cs="Calibri"/>
                <w:lang w:val="hr-HR"/>
              </w:rPr>
              <w:t>Krathwohl</w:t>
            </w:r>
            <w:proofErr w:type="spellEnd"/>
            <w:r w:rsidR="000D665B" w:rsidRPr="00DF4CE5">
              <w:rPr>
                <w:rFonts w:ascii="Cambria" w:eastAsia="Times New Roman" w:hAnsi="Cambria" w:cs="Calibri"/>
                <w:lang w:val="hr-HR"/>
              </w:rPr>
              <w:t>, D. R. (</w:t>
            </w:r>
            <w:proofErr w:type="spellStart"/>
            <w:r w:rsidR="000D665B" w:rsidRPr="00DF4CE5">
              <w:rPr>
                <w:rFonts w:ascii="Cambria" w:eastAsia="Times New Roman" w:hAnsi="Cambria" w:cs="Calibri"/>
                <w:lang w:val="hr-HR"/>
              </w:rPr>
              <w:t>Eds</w:t>
            </w:r>
            <w:proofErr w:type="spellEnd"/>
            <w:r w:rsidR="000D665B" w:rsidRPr="00DF4CE5">
              <w:rPr>
                <w:rFonts w:ascii="Cambria" w:eastAsia="Times New Roman" w:hAnsi="Cambria" w:cs="Calibri"/>
                <w:lang w:val="hr-HR"/>
              </w:rPr>
              <w:t xml:space="preserve">.) (2001). A </w:t>
            </w:r>
            <w:proofErr w:type="spellStart"/>
            <w:r w:rsidR="000D665B" w:rsidRPr="00DF4CE5">
              <w:rPr>
                <w:rFonts w:ascii="Cambria" w:eastAsia="Times New Roman" w:hAnsi="Cambria" w:cs="Calibri"/>
                <w:lang w:val="hr-HR"/>
              </w:rPr>
              <w:t>Taxonomy</w:t>
            </w:r>
            <w:proofErr w:type="spellEnd"/>
            <w:r w:rsidR="000D665B" w:rsidRPr="00DF4CE5">
              <w:rPr>
                <w:rFonts w:ascii="Cambria" w:eastAsia="Times New Roman" w:hAnsi="Cambria" w:cs="Calibri"/>
                <w:lang w:val="hr-HR"/>
              </w:rPr>
              <w:t xml:space="preserve"> for </w:t>
            </w:r>
            <w:proofErr w:type="spellStart"/>
            <w:r w:rsidR="000D665B" w:rsidRPr="00DF4CE5">
              <w:rPr>
                <w:rFonts w:ascii="Cambria" w:eastAsia="Times New Roman" w:hAnsi="Cambria" w:cs="Calibri"/>
                <w:lang w:val="hr-HR"/>
              </w:rPr>
              <w:t>Learning</w:t>
            </w:r>
            <w:proofErr w:type="spellEnd"/>
            <w:r w:rsidR="000D665B" w:rsidRPr="00DF4CE5">
              <w:rPr>
                <w:rFonts w:ascii="Cambria" w:eastAsia="Times New Roman" w:hAnsi="Cambria" w:cs="Calibri"/>
                <w:lang w:val="hr-HR"/>
              </w:rPr>
              <w:t xml:space="preserve">, </w:t>
            </w:r>
            <w:proofErr w:type="spellStart"/>
            <w:r w:rsidR="000D665B" w:rsidRPr="00DF4CE5">
              <w:rPr>
                <w:rFonts w:ascii="Cambria" w:eastAsia="Times New Roman" w:hAnsi="Cambria" w:cs="Calibri"/>
                <w:lang w:val="hr-HR"/>
              </w:rPr>
              <w:t>Teaching</w:t>
            </w:r>
            <w:proofErr w:type="spellEnd"/>
            <w:r w:rsidR="000D665B" w:rsidRPr="00DF4CE5">
              <w:rPr>
                <w:rFonts w:ascii="Cambria" w:eastAsia="Times New Roman" w:hAnsi="Cambria" w:cs="Calibri"/>
                <w:lang w:val="hr-HR"/>
              </w:rPr>
              <w:t xml:space="preserve">, </w:t>
            </w:r>
            <w:proofErr w:type="spellStart"/>
            <w:r w:rsidR="000D665B" w:rsidRPr="00DF4CE5">
              <w:rPr>
                <w:rFonts w:ascii="Cambria" w:eastAsia="Times New Roman" w:hAnsi="Cambria" w:cs="Calibri"/>
                <w:lang w:val="hr-HR"/>
              </w:rPr>
              <w:t>and</w:t>
            </w:r>
            <w:proofErr w:type="spellEnd"/>
            <w:r w:rsidR="000D665B" w:rsidRPr="00DF4CE5">
              <w:rPr>
                <w:rFonts w:ascii="Cambria" w:eastAsia="Times New Roman" w:hAnsi="Cambria" w:cs="Calibri"/>
                <w:lang w:val="hr-HR"/>
              </w:rPr>
              <w:t xml:space="preserve"> </w:t>
            </w:r>
            <w:proofErr w:type="spellStart"/>
            <w:r w:rsidR="000D665B" w:rsidRPr="00DF4CE5">
              <w:rPr>
                <w:rFonts w:ascii="Cambria" w:eastAsia="Times New Roman" w:hAnsi="Cambria" w:cs="Calibri"/>
                <w:lang w:val="hr-HR"/>
              </w:rPr>
              <w:t>Assessing</w:t>
            </w:r>
            <w:proofErr w:type="spellEnd"/>
            <w:r w:rsidR="000D665B" w:rsidRPr="00DF4CE5">
              <w:rPr>
                <w:rFonts w:ascii="Cambria" w:eastAsia="Times New Roman" w:hAnsi="Cambria" w:cs="Calibri"/>
                <w:lang w:val="hr-HR"/>
              </w:rPr>
              <w:t xml:space="preserve">: A </w:t>
            </w:r>
            <w:proofErr w:type="spellStart"/>
            <w:r w:rsidR="000D665B" w:rsidRPr="00DF4CE5">
              <w:rPr>
                <w:rFonts w:ascii="Cambria" w:eastAsia="Times New Roman" w:hAnsi="Cambria" w:cs="Calibri"/>
                <w:lang w:val="hr-HR"/>
              </w:rPr>
              <w:t>Revision</w:t>
            </w:r>
            <w:proofErr w:type="spellEnd"/>
            <w:r w:rsidR="000D665B" w:rsidRPr="00DF4CE5">
              <w:rPr>
                <w:rFonts w:ascii="Cambria" w:eastAsia="Times New Roman" w:hAnsi="Cambria" w:cs="Calibri"/>
                <w:lang w:val="hr-HR"/>
              </w:rPr>
              <w:t xml:space="preserve"> </w:t>
            </w:r>
            <w:proofErr w:type="spellStart"/>
            <w:r w:rsidR="000D665B" w:rsidRPr="00DF4CE5">
              <w:rPr>
                <w:rFonts w:ascii="Cambria" w:eastAsia="Times New Roman" w:hAnsi="Cambria" w:cs="Calibri"/>
                <w:lang w:val="hr-HR"/>
              </w:rPr>
              <w:t>of</w:t>
            </w:r>
            <w:proofErr w:type="spellEnd"/>
            <w:r w:rsidR="000D665B" w:rsidRPr="00DF4CE5">
              <w:rPr>
                <w:rFonts w:ascii="Cambria" w:eastAsia="Times New Roman" w:hAnsi="Cambria" w:cs="Calibri"/>
                <w:lang w:val="hr-HR"/>
              </w:rPr>
              <w:t xml:space="preserve"> </w:t>
            </w:r>
            <w:proofErr w:type="spellStart"/>
            <w:r w:rsidR="000D665B" w:rsidRPr="00DF4CE5">
              <w:rPr>
                <w:rFonts w:ascii="Cambria" w:eastAsia="Times New Roman" w:hAnsi="Cambria" w:cs="Calibri"/>
                <w:lang w:val="hr-HR"/>
              </w:rPr>
              <w:t>Bloom's</w:t>
            </w:r>
            <w:proofErr w:type="spellEnd"/>
            <w:r w:rsidR="000D665B" w:rsidRPr="00DF4CE5">
              <w:rPr>
                <w:rFonts w:ascii="Cambria" w:eastAsia="Times New Roman" w:hAnsi="Cambria" w:cs="Calibri"/>
                <w:lang w:val="hr-HR"/>
              </w:rPr>
              <w:t xml:space="preserve"> </w:t>
            </w:r>
            <w:proofErr w:type="spellStart"/>
            <w:r w:rsidR="000D665B" w:rsidRPr="00DF4CE5">
              <w:rPr>
                <w:rFonts w:ascii="Cambria" w:eastAsia="Times New Roman" w:hAnsi="Cambria" w:cs="Calibri"/>
                <w:lang w:val="hr-HR"/>
              </w:rPr>
              <w:t>Taxonomy</w:t>
            </w:r>
            <w:proofErr w:type="spellEnd"/>
            <w:r w:rsidR="000D665B" w:rsidRPr="00DF4CE5">
              <w:rPr>
                <w:rFonts w:ascii="Cambria" w:eastAsia="Times New Roman" w:hAnsi="Cambria" w:cs="Calibri"/>
                <w:lang w:val="hr-HR"/>
              </w:rPr>
              <w:t xml:space="preserve"> </w:t>
            </w:r>
            <w:proofErr w:type="spellStart"/>
            <w:r w:rsidR="000D665B" w:rsidRPr="00DF4CE5">
              <w:rPr>
                <w:rFonts w:ascii="Cambria" w:eastAsia="Times New Roman" w:hAnsi="Cambria" w:cs="Calibri"/>
                <w:lang w:val="hr-HR"/>
              </w:rPr>
              <w:t>of</w:t>
            </w:r>
            <w:proofErr w:type="spellEnd"/>
            <w:r w:rsidR="000D665B" w:rsidRPr="00DF4CE5">
              <w:rPr>
                <w:rFonts w:ascii="Cambria" w:eastAsia="Times New Roman" w:hAnsi="Cambria" w:cs="Calibri"/>
                <w:lang w:val="hr-HR"/>
              </w:rPr>
              <w:t xml:space="preserve"> </w:t>
            </w:r>
            <w:proofErr w:type="spellStart"/>
            <w:r w:rsidR="000D665B" w:rsidRPr="00DF4CE5">
              <w:rPr>
                <w:rFonts w:ascii="Cambria" w:eastAsia="Times New Roman" w:hAnsi="Cambria" w:cs="Calibri"/>
                <w:lang w:val="hr-HR"/>
              </w:rPr>
              <w:t>Educational</w:t>
            </w:r>
            <w:proofErr w:type="spellEnd"/>
            <w:r w:rsidR="000D665B" w:rsidRPr="00DF4CE5">
              <w:rPr>
                <w:rFonts w:ascii="Cambria" w:eastAsia="Times New Roman" w:hAnsi="Cambria" w:cs="Calibri"/>
                <w:lang w:val="hr-HR"/>
              </w:rPr>
              <w:t xml:space="preserve"> </w:t>
            </w:r>
            <w:proofErr w:type="spellStart"/>
            <w:r w:rsidR="000D665B" w:rsidRPr="00DF4CE5">
              <w:rPr>
                <w:rFonts w:ascii="Cambria" w:eastAsia="Times New Roman" w:hAnsi="Cambria" w:cs="Calibri"/>
                <w:lang w:val="hr-HR"/>
              </w:rPr>
              <w:t>Objectives</w:t>
            </w:r>
            <w:proofErr w:type="spellEnd"/>
            <w:r w:rsidR="000D665B" w:rsidRPr="00DF4CE5">
              <w:rPr>
                <w:rFonts w:ascii="Cambria" w:eastAsia="Times New Roman" w:hAnsi="Cambria" w:cs="Calibri"/>
                <w:lang w:val="hr-HR"/>
              </w:rPr>
              <w:t xml:space="preserve">. </w:t>
            </w:r>
            <w:proofErr w:type="spellStart"/>
            <w:r w:rsidR="000D665B" w:rsidRPr="00DF4CE5">
              <w:rPr>
                <w:rFonts w:ascii="Cambria" w:eastAsia="Times New Roman" w:hAnsi="Cambria" w:cs="Calibri"/>
                <w:lang w:val="hr-HR"/>
              </w:rPr>
              <w:t>Allyn</w:t>
            </w:r>
            <w:proofErr w:type="spellEnd"/>
            <w:r w:rsidR="000D665B" w:rsidRPr="00DF4CE5">
              <w:rPr>
                <w:rFonts w:ascii="Cambria" w:eastAsia="Times New Roman" w:hAnsi="Cambria" w:cs="Calibri"/>
                <w:lang w:val="hr-HR"/>
              </w:rPr>
              <w:t xml:space="preserve"> &amp; Bacon. Boston, MA   </w:t>
            </w:r>
          </w:p>
          <w:p w14:paraId="4A1BA6D8" w14:textId="77777777" w:rsidR="00D0399C" w:rsidRDefault="00D0399C" w:rsidP="00D0399C">
            <w:pPr>
              <w:spacing w:after="0" w:line="240" w:lineRule="auto"/>
              <w:jc w:val="both"/>
              <w:rPr>
                <w:rFonts w:ascii="Cambria" w:eastAsia="Times New Roman" w:hAnsi="Cambria" w:cs="Calibri"/>
                <w:lang w:val="hr-HR"/>
              </w:rPr>
            </w:pPr>
            <w:r>
              <w:rPr>
                <w:rFonts w:ascii="Cambria" w:eastAsia="Times New Roman" w:hAnsi="Cambria" w:cs="Calibri"/>
                <w:lang w:val="hr-HR"/>
              </w:rPr>
              <w:t xml:space="preserve">2. </w:t>
            </w:r>
            <w:proofErr w:type="spellStart"/>
            <w:r w:rsidR="000D665B" w:rsidRPr="00DF4CE5">
              <w:rPr>
                <w:rFonts w:ascii="Cambria" w:eastAsia="Times New Roman" w:hAnsi="Cambria" w:cs="Calibri"/>
                <w:lang w:val="hr-HR"/>
              </w:rPr>
              <w:t>Beere</w:t>
            </w:r>
            <w:proofErr w:type="spellEnd"/>
            <w:r w:rsidR="000D665B" w:rsidRPr="00DF4CE5">
              <w:rPr>
                <w:rFonts w:ascii="Cambria" w:eastAsia="Times New Roman" w:hAnsi="Cambria" w:cs="Calibri"/>
                <w:lang w:val="hr-HR"/>
              </w:rPr>
              <w:t xml:space="preserve">, J. (2010). </w:t>
            </w:r>
            <w:proofErr w:type="spellStart"/>
            <w:r w:rsidR="000D665B" w:rsidRPr="00DF4CE5">
              <w:rPr>
                <w:rFonts w:ascii="Cambria" w:eastAsia="Times New Roman" w:hAnsi="Cambria" w:cs="Calibri"/>
                <w:lang w:val="hr-HR"/>
              </w:rPr>
              <w:t>The</w:t>
            </w:r>
            <w:proofErr w:type="spellEnd"/>
            <w:r w:rsidR="000D665B" w:rsidRPr="00DF4CE5">
              <w:rPr>
                <w:rFonts w:ascii="Cambria" w:eastAsia="Times New Roman" w:hAnsi="Cambria" w:cs="Calibri"/>
                <w:lang w:val="hr-HR"/>
              </w:rPr>
              <w:t xml:space="preserve"> </w:t>
            </w:r>
            <w:proofErr w:type="spellStart"/>
            <w:r w:rsidR="000D665B" w:rsidRPr="00DF4CE5">
              <w:rPr>
                <w:rFonts w:ascii="Cambria" w:eastAsia="Times New Roman" w:hAnsi="Cambria" w:cs="Calibri"/>
                <w:lang w:val="hr-HR"/>
              </w:rPr>
              <w:t>primary</w:t>
            </w:r>
            <w:proofErr w:type="spellEnd"/>
            <w:r w:rsidR="000D665B" w:rsidRPr="00DF4CE5">
              <w:rPr>
                <w:rFonts w:ascii="Cambria" w:eastAsia="Times New Roman" w:hAnsi="Cambria" w:cs="Calibri"/>
                <w:lang w:val="hr-HR"/>
              </w:rPr>
              <w:t xml:space="preserve"> </w:t>
            </w:r>
            <w:proofErr w:type="spellStart"/>
            <w:r w:rsidR="000D665B" w:rsidRPr="00DF4CE5">
              <w:rPr>
                <w:rFonts w:ascii="Cambria" w:eastAsia="Times New Roman" w:hAnsi="Cambria" w:cs="Calibri"/>
                <w:lang w:val="hr-HR"/>
              </w:rPr>
              <w:t>learner's</w:t>
            </w:r>
            <w:proofErr w:type="spellEnd"/>
            <w:r w:rsidR="000D665B" w:rsidRPr="00DF4CE5">
              <w:rPr>
                <w:rFonts w:ascii="Cambria" w:eastAsia="Times New Roman" w:hAnsi="Cambria" w:cs="Calibri"/>
                <w:lang w:val="hr-HR"/>
              </w:rPr>
              <w:t xml:space="preserve"> </w:t>
            </w:r>
            <w:proofErr w:type="spellStart"/>
            <w:r w:rsidR="000D665B" w:rsidRPr="00DF4CE5">
              <w:rPr>
                <w:rFonts w:ascii="Cambria" w:eastAsia="Times New Roman" w:hAnsi="Cambria" w:cs="Calibri"/>
                <w:lang w:val="hr-HR"/>
              </w:rPr>
              <w:t>toolkit</w:t>
            </w:r>
            <w:proofErr w:type="spellEnd"/>
            <w:r w:rsidR="000D665B" w:rsidRPr="00DF4CE5">
              <w:rPr>
                <w:rFonts w:ascii="Cambria" w:eastAsia="Times New Roman" w:hAnsi="Cambria" w:cs="Calibri"/>
                <w:lang w:val="hr-HR"/>
              </w:rPr>
              <w:t xml:space="preserve">. </w:t>
            </w:r>
            <w:proofErr w:type="spellStart"/>
            <w:r w:rsidR="000D665B" w:rsidRPr="00DF4CE5">
              <w:rPr>
                <w:rFonts w:ascii="Cambria" w:eastAsia="Times New Roman" w:hAnsi="Cambria" w:cs="Calibri"/>
                <w:lang w:val="hr-HR"/>
              </w:rPr>
              <w:t>Crown</w:t>
            </w:r>
            <w:proofErr w:type="spellEnd"/>
            <w:r w:rsidR="000D665B" w:rsidRPr="00DF4CE5">
              <w:rPr>
                <w:rFonts w:ascii="Cambria" w:eastAsia="Times New Roman" w:hAnsi="Cambria" w:cs="Calibri"/>
                <w:lang w:val="hr-HR"/>
              </w:rPr>
              <w:t xml:space="preserve"> House </w:t>
            </w:r>
            <w:proofErr w:type="spellStart"/>
            <w:r w:rsidR="000D665B" w:rsidRPr="00DF4CE5">
              <w:rPr>
                <w:rFonts w:ascii="Cambria" w:eastAsia="Times New Roman" w:hAnsi="Cambria" w:cs="Calibri"/>
                <w:lang w:val="hr-HR"/>
              </w:rPr>
              <w:t>Publishing</w:t>
            </w:r>
            <w:proofErr w:type="spellEnd"/>
            <w:r w:rsidR="000D665B" w:rsidRPr="00DF4CE5">
              <w:rPr>
                <w:rFonts w:ascii="Cambria" w:eastAsia="Times New Roman" w:hAnsi="Cambria" w:cs="Calibri"/>
                <w:lang w:val="hr-HR"/>
              </w:rPr>
              <w:t xml:space="preserve"> Jensen </w:t>
            </w:r>
          </w:p>
          <w:p w14:paraId="5D10680C" w14:textId="0125576B" w:rsidR="000D665B" w:rsidRPr="00DF4CE5" w:rsidRDefault="00D0399C" w:rsidP="00D0399C">
            <w:pPr>
              <w:spacing w:after="0" w:line="240" w:lineRule="auto"/>
              <w:jc w:val="both"/>
              <w:rPr>
                <w:rFonts w:ascii="Cambria" w:eastAsia="Times New Roman" w:hAnsi="Cambria" w:cs="Calibri"/>
                <w:lang w:val="hr-HR"/>
              </w:rPr>
            </w:pPr>
            <w:r>
              <w:rPr>
                <w:rFonts w:ascii="Cambria" w:eastAsia="Times New Roman" w:hAnsi="Cambria" w:cs="Calibri"/>
                <w:lang w:val="hr-HR"/>
              </w:rPr>
              <w:t xml:space="preserve">3. </w:t>
            </w:r>
            <w:proofErr w:type="spellStart"/>
            <w:r w:rsidR="000D665B" w:rsidRPr="00DF4CE5">
              <w:rPr>
                <w:rFonts w:ascii="Cambria" w:eastAsia="Times New Roman" w:hAnsi="Cambria" w:cs="Calibri"/>
                <w:lang w:val="hr-HR"/>
              </w:rPr>
              <w:t>Buzan</w:t>
            </w:r>
            <w:proofErr w:type="spellEnd"/>
            <w:r w:rsidR="000D665B" w:rsidRPr="00DF4CE5">
              <w:rPr>
                <w:rFonts w:ascii="Cambria" w:eastAsia="Times New Roman" w:hAnsi="Cambria" w:cs="Calibri"/>
                <w:lang w:val="hr-HR"/>
              </w:rPr>
              <w:t xml:space="preserve">, T. (2004). Kako izrađivati mentalne mape, Zagreb, </w:t>
            </w:r>
            <w:proofErr w:type="spellStart"/>
            <w:r w:rsidR="000D665B" w:rsidRPr="00DF4CE5">
              <w:rPr>
                <w:rFonts w:ascii="Cambria" w:eastAsia="Times New Roman" w:hAnsi="Cambria" w:cs="Calibri"/>
                <w:lang w:val="hr-HR"/>
              </w:rPr>
              <w:t>Denona</w:t>
            </w:r>
            <w:proofErr w:type="spellEnd"/>
            <w:r w:rsidR="000D665B" w:rsidRPr="00DF4CE5">
              <w:rPr>
                <w:rFonts w:ascii="Cambria" w:eastAsia="Times New Roman" w:hAnsi="Cambria" w:cs="Calibri"/>
                <w:lang w:val="hr-HR"/>
              </w:rPr>
              <w:t xml:space="preserve"> d. </w:t>
            </w:r>
            <w:proofErr w:type="spellStart"/>
            <w:r w:rsidR="000D665B" w:rsidRPr="00DF4CE5">
              <w:rPr>
                <w:rFonts w:ascii="Cambria" w:eastAsia="Times New Roman" w:hAnsi="Cambria" w:cs="Calibri"/>
                <w:lang w:val="hr-HR"/>
              </w:rPr>
              <w:t>o.o</w:t>
            </w:r>
            <w:proofErr w:type="spellEnd"/>
            <w:r w:rsidR="000D665B" w:rsidRPr="00DF4CE5">
              <w:rPr>
                <w:rFonts w:ascii="Cambria" w:eastAsia="Times New Roman" w:hAnsi="Cambria" w:cs="Calibri"/>
                <w:lang w:val="hr-HR"/>
              </w:rPr>
              <w:t>.</w:t>
            </w:r>
          </w:p>
          <w:p w14:paraId="6357E8D0" w14:textId="003372E4" w:rsidR="000D665B" w:rsidRPr="00DF4CE5" w:rsidRDefault="00D0399C" w:rsidP="00D0399C">
            <w:pPr>
              <w:spacing w:after="0" w:line="240" w:lineRule="auto"/>
              <w:jc w:val="both"/>
              <w:rPr>
                <w:rFonts w:ascii="Cambria" w:eastAsia="Times New Roman" w:hAnsi="Cambria" w:cs="Calibri"/>
                <w:lang w:val="hr-HR"/>
              </w:rPr>
            </w:pPr>
            <w:r>
              <w:rPr>
                <w:rFonts w:ascii="Cambria" w:eastAsia="Times New Roman" w:hAnsi="Cambria" w:cs="Calibri"/>
                <w:lang w:val="hr-HR"/>
              </w:rPr>
              <w:t xml:space="preserve">4. </w:t>
            </w:r>
            <w:r w:rsidR="000D665B" w:rsidRPr="00DF4CE5">
              <w:rPr>
                <w:rFonts w:ascii="Cambria" w:eastAsia="Times New Roman" w:hAnsi="Cambria" w:cs="Calibri"/>
                <w:lang w:val="hr-HR"/>
              </w:rPr>
              <w:t xml:space="preserve">Jensen, E. (2003). Super-nastava, ″Educa″, Zagreb </w:t>
            </w:r>
          </w:p>
          <w:p w14:paraId="3E8B6C7F" w14:textId="77777777" w:rsidR="000D665B" w:rsidRPr="00DF4CE5" w:rsidRDefault="000D665B"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Priručna:</w:t>
            </w:r>
          </w:p>
          <w:p w14:paraId="05CE246C" w14:textId="65BFA2E9" w:rsidR="000D665B" w:rsidRPr="00DF4CE5" w:rsidRDefault="00D0399C" w:rsidP="00D0399C">
            <w:pPr>
              <w:spacing w:after="0" w:line="240" w:lineRule="auto"/>
              <w:jc w:val="both"/>
              <w:rPr>
                <w:rFonts w:ascii="Cambria" w:eastAsia="Times New Roman" w:hAnsi="Cambria" w:cs="Calibri"/>
                <w:lang w:val="hr-HR"/>
              </w:rPr>
            </w:pPr>
            <w:r>
              <w:rPr>
                <w:rFonts w:ascii="Cambria" w:eastAsia="Times New Roman" w:hAnsi="Cambria" w:cs="Calibri"/>
                <w:lang w:val="hr-HR"/>
              </w:rPr>
              <w:t xml:space="preserve">1. </w:t>
            </w:r>
            <w:r w:rsidR="000D665B" w:rsidRPr="00DF4CE5">
              <w:rPr>
                <w:rFonts w:ascii="Cambria" w:eastAsia="Times New Roman" w:hAnsi="Cambria" w:cs="Calibri"/>
                <w:lang w:val="hr-HR"/>
              </w:rPr>
              <w:t xml:space="preserve">Ministarstvo znanosti, obrazovanja i sporta (2019). Kurikulum nastavnog predmeta Priroda i društvo. Zagreb </w:t>
            </w:r>
          </w:p>
          <w:p w14:paraId="5058065F" w14:textId="7A5AB179" w:rsidR="000D665B" w:rsidRPr="00DF4CE5" w:rsidRDefault="00D0399C" w:rsidP="00D0399C">
            <w:pPr>
              <w:spacing w:after="0" w:line="240" w:lineRule="auto"/>
              <w:jc w:val="both"/>
              <w:rPr>
                <w:rFonts w:ascii="Cambria" w:eastAsia="Times New Roman" w:hAnsi="Cambria" w:cs="Calibri"/>
                <w:lang w:val="hr-HR"/>
              </w:rPr>
            </w:pPr>
            <w:r>
              <w:rPr>
                <w:rFonts w:ascii="Cambria" w:eastAsia="Times New Roman" w:hAnsi="Cambria" w:cs="Calibri"/>
                <w:lang w:val="hr-HR"/>
              </w:rPr>
              <w:t xml:space="preserve">2. </w:t>
            </w:r>
            <w:r w:rsidR="000D665B" w:rsidRPr="00DF4CE5">
              <w:rPr>
                <w:rFonts w:ascii="Cambria" w:eastAsia="Times New Roman" w:hAnsi="Cambria" w:cs="Calibri"/>
                <w:lang w:val="hr-HR"/>
              </w:rPr>
              <w:t xml:space="preserve">Ministarstvo znanosti, obrazovanja i športa Republike Hrvatske (2014) Pravilnik o izvođenju izleta, ekskurzija i drugih odgojno-obrazovnih aktivnosti izvan škole. Zagreb </w:t>
            </w:r>
          </w:p>
          <w:p w14:paraId="5BF93AC2" w14:textId="0CAA9D23" w:rsidR="000D665B" w:rsidRPr="00DF4CE5" w:rsidRDefault="00D0399C" w:rsidP="00D0399C">
            <w:pPr>
              <w:spacing w:after="0" w:line="240" w:lineRule="auto"/>
              <w:jc w:val="both"/>
              <w:rPr>
                <w:rFonts w:ascii="Cambria" w:eastAsia="Times New Roman" w:hAnsi="Cambria" w:cs="Calibri"/>
                <w:lang w:val="hr-HR"/>
              </w:rPr>
            </w:pPr>
            <w:r>
              <w:rPr>
                <w:rFonts w:ascii="Cambria" w:eastAsia="Times New Roman" w:hAnsi="Cambria" w:cs="Calibri"/>
                <w:lang w:val="hr-HR"/>
              </w:rPr>
              <w:t xml:space="preserve">3. </w:t>
            </w:r>
            <w:r w:rsidR="000D665B" w:rsidRPr="00DF4CE5">
              <w:rPr>
                <w:rFonts w:ascii="Cambria" w:eastAsia="Times New Roman" w:hAnsi="Cambria" w:cs="Calibri"/>
                <w:lang w:val="hr-HR"/>
              </w:rPr>
              <w:t>Ministarstvo znanosti, obrazovanja i športa Republike Hrvatske (2010) Pravilnik o načinima, postupcima i elementima vrednovanja u osnovnoj i srednjoj školi. Zagreb</w:t>
            </w:r>
          </w:p>
          <w:p w14:paraId="035012ED" w14:textId="707A667B" w:rsidR="000D665B" w:rsidRPr="00DF4CE5" w:rsidRDefault="00D0399C" w:rsidP="00D0399C">
            <w:pPr>
              <w:spacing w:after="0" w:line="240" w:lineRule="auto"/>
              <w:jc w:val="both"/>
              <w:rPr>
                <w:rFonts w:ascii="Cambria" w:eastAsia="Times New Roman" w:hAnsi="Cambria" w:cs="Calibri"/>
                <w:lang w:val="hr-HR"/>
              </w:rPr>
            </w:pPr>
            <w:r>
              <w:rPr>
                <w:rFonts w:ascii="Cambria" w:eastAsia="Times New Roman" w:hAnsi="Cambria" w:cs="Calibri"/>
                <w:lang w:val="hr-HR"/>
              </w:rPr>
              <w:t xml:space="preserve">4. </w:t>
            </w:r>
            <w:r w:rsidR="000D665B" w:rsidRPr="00DF4CE5">
              <w:rPr>
                <w:rFonts w:ascii="Cambria" w:eastAsia="Times New Roman" w:hAnsi="Cambria" w:cs="Calibri"/>
                <w:lang w:val="hr-HR"/>
              </w:rPr>
              <w:t>Udžbenici prirode i društva od 1.- 4. razreda, radne bilježnice i metodički priručnici za učitelje</w:t>
            </w:r>
          </w:p>
        </w:tc>
      </w:tr>
    </w:tbl>
    <w:p w14:paraId="1D86BDB3" w14:textId="77777777" w:rsidR="000D665B" w:rsidRPr="00DF4CE5" w:rsidRDefault="000D665B" w:rsidP="008B34AF">
      <w:pPr>
        <w:jc w:val="both"/>
        <w:rPr>
          <w:rFonts w:ascii="Cambria" w:hAnsi="Cambria"/>
          <w:lang w:val="hr-HR"/>
        </w:rPr>
      </w:pPr>
    </w:p>
    <w:p w14:paraId="611024F3" w14:textId="6F4BA3FC" w:rsidR="00D0399C" w:rsidRDefault="00D0399C">
      <w:pPr>
        <w:rPr>
          <w:rFonts w:ascii="Cambria" w:hAnsi="Cambria"/>
          <w:lang w:val="hr-HR"/>
        </w:rPr>
      </w:pPr>
      <w:r>
        <w:rPr>
          <w:rFonts w:ascii="Cambria" w:hAnsi="Cambria"/>
          <w:lang w:val="hr-HR"/>
        </w:rPr>
        <w:br w:type="page"/>
      </w:r>
    </w:p>
    <w:p w14:paraId="43DEEA57" w14:textId="77777777" w:rsidR="008C7185" w:rsidRPr="00DF4CE5" w:rsidRDefault="008C7185" w:rsidP="00830554">
      <w:pPr>
        <w:rPr>
          <w:rFonts w:ascii="Cambria" w:hAnsi="Cambria"/>
          <w:lang w:val="hr-HR"/>
        </w:rPr>
      </w:pPr>
    </w:p>
    <w:tbl>
      <w:tblPr>
        <w:tblW w:w="5000" w:type="pct"/>
        <w:tblLayout w:type="fixed"/>
        <w:tblCellMar>
          <w:left w:w="0" w:type="dxa"/>
          <w:right w:w="0" w:type="dxa"/>
        </w:tblCellMar>
        <w:tblLook w:val="0600" w:firstRow="0" w:lastRow="0" w:firstColumn="0" w:lastColumn="0" w:noHBand="1" w:noVBand="1"/>
      </w:tblPr>
      <w:tblGrid>
        <w:gridCol w:w="2807"/>
        <w:gridCol w:w="2664"/>
        <w:gridCol w:w="105"/>
        <w:gridCol w:w="1172"/>
        <w:gridCol w:w="300"/>
        <w:gridCol w:w="471"/>
        <w:gridCol w:w="1087"/>
        <w:gridCol w:w="1414"/>
      </w:tblGrid>
      <w:tr w:rsidR="0014341A" w:rsidRPr="00DF4CE5" w14:paraId="1D67B063" w14:textId="77777777" w:rsidTr="00C106A0">
        <w:tc>
          <w:tcPr>
            <w:tcW w:w="9340"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984240C" w14:textId="77777777" w:rsidR="0014341A" w:rsidRPr="00DF4CE5" w:rsidRDefault="0014341A" w:rsidP="00A12846">
            <w:pPr>
              <w:spacing w:after="0" w:line="240" w:lineRule="atLeast"/>
              <w:jc w:val="right"/>
              <w:rPr>
                <w:rFonts w:ascii="Cambria" w:eastAsia="Calibri" w:hAnsi="Cambria" w:cs="Calibri"/>
                <w:b/>
                <w:lang w:val="hr-HR"/>
              </w:rPr>
            </w:pPr>
            <w:r w:rsidRPr="00DF4CE5">
              <w:rPr>
                <w:rFonts w:ascii="Cambria" w:eastAsia="Calibri" w:hAnsi="Cambria" w:cs="Calibri"/>
                <w:b/>
                <w:lang w:val="hr-HR"/>
              </w:rPr>
              <w:t>IZVEDBENI PLAN NASTAVE KOLEGIJA</w:t>
            </w:r>
          </w:p>
        </w:tc>
      </w:tr>
      <w:tr w:rsidR="0014341A" w:rsidRPr="00DF4CE5" w14:paraId="217FA213" w14:textId="77777777" w:rsidTr="00C106A0">
        <w:tc>
          <w:tcPr>
            <w:tcW w:w="261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DE67924" w14:textId="77777777" w:rsidR="0014341A" w:rsidRPr="00DF4CE5" w:rsidRDefault="0014341A" w:rsidP="008B34AF">
            <w:pPr>
              <w:spacing w:after="0" w:line="240" w:lineRule="atLeast"/>
              <w:jc w:val="both"/>
              <w:rPr>
                <w:rFonts w:ascii="Cambria" w:eastAsia="Calibri" w:hAnsi="Cambria" w:cs="Calibri"/>
                <w:lang w:val="hr-HR"/>
              </w:rPr>
            </w:pPr>
            <w:r w:rsidRPr="00DF4CE5">
              <w:rPr>
                <w:rFonts w:ascii="Cambria" w:eastAsia="Calibri" w:hAnsi="Cambria" w:cs="Calibri"/>
                <w:lang w:val="hr-HR"/>
              </w:rPr>
              <w:t>Kod i naziv kolegija</w:t>
            </w:r>
          </w:p>
        </w:tc>
        <w:tc>
          <w:tcPr>
            <w:tcW w:w="6723"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DC2363D" w14:textId="77777777" w:rsidR="0014341A" w:rsidRPr="00DF4CE5" w:rsidRDefault="0014341A" w:rsidP="008B34AF">
            <w:pPr>
              <w:spacing w:after="0" w:line="240" w:lineRule="atLeast"/>
              <w:jc w:val="both"/>
              <w:rPr>
                <w:rFonts w:ascii="Cambria" w:eastAsia="Calibri" w:hAnsi="Cambria" w:cs="Calibri"/>
                <w:lang w:val="hr-HR"/>
              </w:rPr>
            </w:pPr>
            <w:r w:rsidRPr="00DF4CE5">
              <w:rPr>
                <w:rFonts w:ascii="Cambria" w:eastAsia="Calibri" w:hAnsi="Cambria" w:cs="Calibri"/>
                <w:lang w:val="hr-HR"/>
              </w:rPr>
              <w:t>118951</w:t>
            </w:r>
          </w:p>
          <w:p w14:paraId="1EA7AC09" w14:textId="5050F0F2" w:rsidR="0014341A" w:rsidRPr="00DF4CE5" w:rsidRDefault="0014341A" w:rsidP="008B34AF">
            <w:pPr>
              <w:spacing w:after="0" w:line="240" w:lineRule="atLeast"/>
              <w:jc w:val="both"/>
              <w:rPr>
                <w:rFonts w:ascii="Cambria" w:eastAsia="Calibri" w:hAnsi="Cambria" w:cs="Calibri"/>
                <w:lang w:val="hr-HR"/>
              </w:rPr>
            </w:pPr>
            <w:r w:rsidRPr="00DF4CE5">
              <w:rPr>
                <w:rFonts w:ascii="Cambria" w:eastAsia="Calibri" w:hAnsi="Cambria" w:cs="Calibri"/>
                <w:lang w:val="hr-HR"/>
              </w:rPr>
              <w:t>Metodika likovne kulture III</w:t>
            </w:r>
          </w:p>
        </w:tc>
      </w:tr>
      <w:tr w:rsidR="0014341A" w:rsidRPr="00DF4CE5" w14:paraId="24AF03DE" w14:textId="77777777" w:rsidTr="00C106A0">
        <w:tc>
          <w:tcPr>
            <w:tcW w:w="261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8796D59" w14:textId="77777777" w:rsidR="0014341A" w:rsidRPr="00DF4CE5" w:rsidRDefault="0014341A" w:rsidP="008B34AF">
            <w:pPr>
              <w:spacing w:after="0" w:line="240" w:lineRule="atLeast"/>
              <w:jc w:val="both"/>
              <w:rPr>
                <w:rFonts w:ascii="Cambria" w:eastAsia="Calibri" w:hAnsi="Cambria" w:cs="Calibri"/>
                <w:lang w:val="hr-HR"/>
              </w:rPr>
            </w:pPr>
            <w:r w:rsidRPr="00DF4CE5">
              <w:rPr>
                <w:rFonts w:ascii="Cambria" w:eastAsia="Calibri" w:hAnsi="Cambria" w:cs="Calibri"/>
                <w:lang w:val="hr-HR"/>
              </w:rPr>
              <w:t xml:space="preserve">Nastavnica </w:t>
            </w:r>
          </w:p>
        </w:tc>
        <w:tc>
          <w:tcPr>
            <w:tcW w:w="6723"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564BCE2" w14:textId="6E7861F7" w:rsidR="0014341A" w:rsidRPr="00DF4CE5" w:rsidRDefault="00DB0462" w:rsidP="008B34AF">
            <w:pPr>
              <w:spacing w:after="0" w:line="240" w:lineRule="atLeast"/>
              <w:jc w:val="both"/>
              <w:rPr>
                <w:rFonts w:ascii="Cambria" w:eastAsia="Calibri" w:hAnsi="Cambria" w:cs="Calibri"/>
                <w:lang w:val="hr-HR"/>
              </w:rPr>
            </w:pPr>
            <w:hyperlink r:id="rId164" w:history="1">
              <w:proofErr w:type="spellStart"/>
              <w:r>
                <w:rPr>
                  <w:rStyle w:val="Hiperveza"/>
                  <w:rFonts w:ascii="Cambria" w:eastAsia="Times New Roman" w:hAnsi="Cambria" w:cs="Times New Roman"/>
                  <w:lang w:val="en-GB"/>
                </w:rPr>
                <w:t>I</w:t>
              </w:r>
              <w:r w:rsidR="00E70DFA" w:rsidRPr="00DF4CE5">
                <w:rPr>
                  <w:rStyle w:val="Hiperveza"/>
                  <w:rFonts w:ascii="Cambria" w:eastAsia="Times New Roman" w:hAnsi="Cambria" w:cs="Times New Roman"/>
                  <w:lang w:val="en-GB"/>
                </w:rPr>
                <w:t>zv</w:t>
              </w:r>
              <w:proofErr w:type="spellEnd"/>
              <w:r w:rsidR="00E70DFA" w:rsidRPr="00DF4CE5">
                <w:rPr>
                  <w:rStyle w:val="Hiperveza"/>
                  <w:rFonts w:ascii="Cambria" w:eastAsia="Times New Roman" w:hAnsi="Cambria" w:cs="Times New Roman"/>
                  <w:lang w:val="en-GB"/>
                </w:rPr>
                <w:t xml:space="preserve">. prof. art. </w:t>
              </w:r>
              <w:r w:rsidR="00E70DFA" w:rsidRPr="00DF4CE5">
                <w:rPr>
                  <w:rStyle w:val="Hiperveza"/>
                  <w:rFonts w:ascii="Cambria" w:eastAsia="Times New Roman" w:hAnsi="Cambria" w:cs="Times New Roman"/>
                  <w:lang w:val="it-IT"/>
                </w:rPr>
                <w:t>Aleksandra Rotar</w:t>
              </w:r>
            </w:hyperlink>
            <w:r w:rsidR="00E70DFA" w:rsidRPr="00DF4CE5">
              <w:rPr>
                <w:rFonts w:ascii="Cambria" w:eastAsia="Times New Roman" w:hAnsi="Cambria" w:cs="Calibri"/>
                <w:lang w:val="hr-HR"/>
              </w:rPr>
              <w:t xml:space="preserve"> (nositeljica)</w:t>
            </w:r>
          </w:p>
        </w:tc>
      </w:tr>
      <w:tr w:rsidR="0014341A" w:rsidRPr="00D0399C" w14:paraId="5103471B" w14:textId="77777777" w:rsidTr="00C106A0">
        <w:tc>
          <w:tcPr>
            <w:tcW w:w="261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934265A" w14:textId="77777777" w:rsidR="0014341A" w:rsidRPr="00DF4CE5" w:rsidRDefault="0014341A" w:rsidP="008B34AF">
            <w:pPr>
              <w:spacing w:after="0" w:line="240" w:lineRule="atLeast"/>
              <w:jc w:val="both"/>
              <w:rPr>
                <w:rFonts w:ascii="Cambria" w:eastAsia="Calibri" w:hAnsi="Cambria" w:cs="Calibri"/>
                <w:lang w:val="hr-HR"/>
              </w:rPr>
            </w:pPr>
            <w:r w:rsidRPr="00DF4CE5">
              <w:rPr>
                <w:rFonts w:ascii="Cambria" w:eastAsia="Calibri" w:hAnsi="Cambria" w:cs="Calibri"/>
                <w:lang w:val="hr-HR"/>
              </w:rPr>
              <w:t>Studijski program</w:t>
            </w:r>
          </w:p>
        </w:tc>
        <w:tc>
          <w:tcPr>
            <w:tcW w:w="6723"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0B02836" w14:textId="77777777" w:rsidR="0014341A" w:rsidRPr="00DF4CE5" w:rsidRDefault="00BE4D96" w:rsidP="008B34AF">
            <w:pPr>
              <w:spacing w:after="0" w:line="240" w:lineRule="atLeast"/>
              <w:jc w:val="both"/>
              <w:rPr>
                <w:rFonts w:ascii="Cambria" w:eastAsia="Calibri" w:hAnsi="Cambria" w:cs="Calibri"/>
                <w:lang w:val="hr-HR"/>
              </w:rPr>
            </w:pPr>
            <w:r w:rsidRPr="00DF4CE5">
              <w:rPr>
                <w:rFonts w:ascii="Cambria" w:hAnsi="Cambria"/>
                <w:lang w:val="hr-HR"/>
              </w:rPr>
              <w:t>Sveučilišni integrirani prijediplomski i diplomski Učiteljski studij na hrvatskom jeziku</w:t>
            </w:r>
          </w:p>
        </w:tc>
      </w:tr>
      <w:tr w:rsidR="0014341A" w:rsidRPr="00DF4CE5" w14:paraId="20DBB132" w14:textId="77777777" w:rsidTr="00DB0462">
        <w:trPr>
          <w:trHeight w:val="385"/>
        </w:trPr>
        <w:tc>
          <w:tcPr>
            <w:tcW w:w="261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5CBA616" w14:textId="77777777" w:rsidR="0014341A" w:rsidRPr="00DF4CE5" w:rsidRDefault="0014341A" w:rsidP="008B34AF">
            <w:pPr>
              <w:spacing w:after="0" w:line="240" w:lineRule="atLeast"/>
              <w:jc w:val="both"/>
              <w:rPr>
                <w:rFonts w:ascii="Cambria" w:eastAsia="Calibri" w:hAnsi="Cambria" w:cs="Calibri"/>
                <w:lang w:val="hr-HR"/>
              </w:rPr>
            </w:pPr>
            <w:r w:rsidRPr="00DF4CE5">
              <w:rPr>
                <w:rFonts w:ascii="Cambria" w:eastAsia="Calibri" w:hAnsi="Cambria" w:cs="Calibri"/>
                <w:lang w:val="hr-HR"/>
              </w:rPr>
              <w:t>Vrsta kolegija</w:t>
            </w:r>
          </w:p>
        </w:tc>
        <w:tc>
          <w:tcPr>
            <w:tcW w:w="248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0AF5435" w14:textId="279E8F5A" w:rsidR="0014341A" w:rsidRPr="00DF4CE5" w:rsidRDefault="00DB0462" w:rsidP="008B34AF">
            <w:pPr>
              <w:spacing w:after="0" w:line="240" w:lineRule="atLeast"/>
              <w:jc w:val="both"/>
              <w:rPr>
                <w:rFonts w:ascii="Cambria" w:eastAsia="Calibri" w:hAnsi="Cambria" w:cs="Calibri"/>
                <w:lang w:val="hr-HR"/>
              </w:rPr>
            </w:pPr>
            <w:r>
              <w:rPr>
                <w:rFonts w:ascii="Cambria" w:eastAsia="Calibri" w:hAnsi="Cambria" w:cs="Calibri"/>
                <w:lang w:val="hr-HR"/>
              </w:rPr>
              <w:t>o</w:t>
            </w:r>
            <w:r w:rsidR="0014341A" w:rsidRPr="00DF4CE5">
              <w:rPr>
                <w:rFonts w:ascii="Cambria" w:eastAsia="Calibri" w:hAnsi="Cambria" w:cs="Calibri"/>
                <w:lang w:val="hr-HR"/>
              </w:rPr>
              <w:t>bvezatni</w:t>
            </w:r>
          </w:p>
        </w:tc>
        <w:tc>
          <w:tcPr>
            <w:tcW w:w="1470"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113E7AA1" w14:textId="77777777" w:rsidR="0014341A" w:rsidRPr="00DF4CE5" w:rsidRDefault="0014341A" w:rsidP="008B34AF">
            <w:pPr>
              <w:spacing w:after="0" w:line="240" w:lineRule="atLeast"/>
              <w:jc w:val="both"/>
              <w:rPr>
                <w:rFonts w:ascii="Cambria" w:eastAsia="Calibri" w:hAnsi="Cambria" w:cs="Calibri"/>
                <w:lang w:val="hr-HR"/>
              </w:rPr>
            </w:pPr>
            <w:r w:rsidRPr="00DF4CE5">
              <w:rPr>
                <w:rFonts w:ascii="Cambria" w:eastAsia="Calibri" w:hAnsi="Cambria" w:cs="Calibri"/>
                <w:lang w:val="hr-HR"/>
              </w:rPr>
              <w:t>Razina kolegija</w:t>
            </w:r>
          </w:p>
        </w:tc>
        <w:tc>
          <w:tcPr>
            <w:tcW w:w="2770"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4F33241" w14:textId="77777777" w:rsidR="0014341A" w:rsidRPr="00DF4CE5" w:rsidRDefault="0014341A" w:rsidP="008B34AF">
            <w:pPr>
              <w:spacing w:after="0" w:line="240" w:lineRule="atLeast"/>
              <w:jc w:val="both"/>
              <w:rPr>
                <w:rFonts w:ascii="Cambria" w:eastAsia="Calibri" w:hAnsi="Cambria" w:cs="Calibri"/>
                <w:lang w:val="hr-HR"/>
              </w:rPr>
            </w:pPr>
            <w:proofErr w:type="spellStart"/>
            <w:r w:rsidRPr="00DF4CE5">
              <w:rPr>
                <w:rFonts w:ascii="Cambria" w:eastAsia="Calibri" w:hAnsi="Cambria" w:cs="Calibri"/>
              </w:rPr>
              <w:t>integrirani</w:t>
            </w:r>
            <w:proofErr w:type="spellEnd"/>
          </w:p>
        </w:tc>
      </w:tr>
      <w:tr w:rsidR="0014341A" w:rsidRPr="00DF4CE5" w14:paraId="3D089456" w14:textId="77777777" w:rsidTr="00C106A0">
        <w:tc>
          <w:tcPr>
            <w:tcW w:w="261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7298CE1" w14:textId="77777777" w:rsidR="0014341A" w:rsidRPr="00DF4CE5" w:rsidRDefault="0014341A" w:rsidP="008B34AF">
            <w:pPr>
              <w:spacing w:after="0" w:line="240" w:lineRule="atLeast"/>
              <w:jc w:val="both"/>
              <w:rPr>
                <w:rFonts w:ascii="Cambria" w:eastAsia="Calibri" w:hAnsi="Cambria" w:cs="Calibri"/>
                <w:lang w:val="hr-HR"/>
              </w:rPr>
            </w:pPr>
            <w:r w:rsidRPr="00DF4CE5">
              <w:rPr>
                <w:rFonts w:ascii="Cambria" w:eastAsia="Calibri" w:hAnsi="Cambria" w:cs="Calibri"/>
                <w:lang w:val="hr-HR"/>
              </w:rPr>
              <w:t>Semestar</w:t>
            </w:r>
          </w:p>
        </w:tc>
        <w:tc>
          <w:tcPr>
            <w:tcW w:w="248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00E52AF" w14:textId="336359AC" w:rsidR="0014341A" w:rsidRPr="00DF4CE5" w:rsidRDefault="00DB0462" w:rsidP="008B34AF">
            <w:pPr>
              <w:spacing w:after="0" w:line="240" w:lineRule="atLeast"/>
              <w:jc w:val="both"/>
              <w:rPr>
                <w:rFonts w:ascii="Cambria" w:eastAsia="Calibri" w:hAnsi="Cambria" w:cs="Calibri"/>
                <w:lang w:val="hr-HR"/>
              </w:rPr>
            </w:pPr>
            <w:r>
              <w:rPr>
                <w:rFonts w:ascii="Cambria" w:eastAsia="Calibri" w:hAnsi="Cambria" w:cs="Calibri"/>
                <w:lang w:val="hr-HR"/>
              </w:rPr>
              <w:t>z</w:t>
            </w:r>
            <w:r w:rsidR="0014341A" w:rsidRPr="00DF4CE5">
              <w:rPr>
                <w:rFonts w:ascii="Cambria" w:eastAsia="Calibri" w:hAnsi="Cambria" w:cs="Calibri"/>
                <w:lang w:val="hr-HR"/>
              </w:rPr>
              <w:t>imski</w:t>
            </w:r>
          </w:p>
        </w:tc>
        <w:tc>
          <w:tcPr>
            <w:tcW w:w="1470"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4086A6DE" w14:textId="77777777" w:rsidR="0014341A" w:rsidRPr="00DF4CE5" w:rsidRDefault="0014341A" w:rsidP="008B34AF">
            <w:pPr>
              <w:spacing w:after="0" w:line="240" w:lineRule="atLeast"/>
              <w:jc w:val="both"/>
              <w:rPr>
                <w:rFonts w:ascii="Cambria" w:eastAsia="Calibri" w:hAnsi="Cambria" w:cs="Calibri"/>
                <w:lang w:val="hr-HR"/>
              </w:rPr>
            </w:pPr>
            <w:r w:rsidRPr="00DF4CE5">
              <w:rPr>
                <w:rFonts w:ascii="Cambria" w:eastAsia="Calibri" w:hAnsi="Cambria" w:cs="Calibri"/>
                <w:lang w:val="hr-HR"/>
              </w:rPr>
              <w:t>Godina studija</w:t>
            </w:r>
          </w:p>
        </w:tc>
        <w:tc>
          <w:tcPr>
            <w:tcW w:w="2770"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8BC5B55" w14:textId="77777777" w:rsidR="0014341A" w:rsidRPr="00DF4CE5" w:rsidRDefault="0014341A" w:rsidP="008B34AF">
            <w:pPr>
              <w:spacing w:after="0" w:line="240" w:lineRule="atLeast"/>
              <w:jc w:val="both"/>
              <w:rPr>
                <w:rFonts w:ascii="Cambria" w:eastAsia="Calibri" w:hAnsi="Cambria" w:cs="Calibri"/>
                <w:lang w:val="hr-HR"/>
              </w:rPr>
            </w:pPr>
            <w:r w:rsidRPr="00DF4CE5">
              <w:rPr>
                <w:rFonts w:ascii="Cambria" w:eastAsia="Calibri" w:hAnsi="Cambria" w:cs="Calibri"/>
                <w:lang w:val="hr-HR"/>
              </w:rPr>
              <w:t>V.</w:t>
            </w:r>
          </w:p>
        </w:tc>
      </w:tr>
      <w:tr w:rsidR="0014341A" w:rsidRPr="00DF4CE5" w14:paraId="58074FA3" w14:textId="77777777" w:rsidTr="00C106A0">
        <w:tc>
          <w:tcPr>
            <w:tcW w:w="261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D2F7386" w14:textId="77777777" w:rsidR="0014341A" w:rsidRPr="00DF4CE5" w:rsidRDefault="0014341A" w:rsidP="008B34AF">
            <w:pPr>
              <w:spacing w:after="0" w:line="240" w:lineRule="atLeast"/>
              <w:jc w:val="both"/>
              <w:rPr>
                <w:rFonts w:ascii="Cambria" w:eastAsia="Calibri" w:hAnsi="Cambria" w:cs="Calibri"/>
                <w:lang w:val="hr-HR"/>
              </w:rPr>
            </w:pPr>
            <w:proofErr w:type="spellStart"/>
            <w:r w:rsidRPr="00DF4CE5">
              <w:rPr>
                <w:rFonts w:ascii="Cambria" w:eastAsia="Calibri" w:hAnsi="Cambria" w:cs="Calibri"/>
              </w:rPr>
              <w:t>Mjesto</w:t>
            </w:r>
            <w:proofErr w:type="spellEnd"/>
            <w:r w:rsidRPr="00DF4CE5">
              <w:rPr>
                <w:rFonts w:ascii="Cambria" w:eastAsia="Calibri" w:hAnsi="Cambria" w:cs="Calibri"/>
              </w:rPr>
              <w:t xml:space="preserve"> </w:t>
            </w:r>
            <w:proofErr w:type="spellStart"/>
            <w:r w:rsidRPr="00DF4CE5">
              <w:rPr>
                <w:rFonts w:ascii="Cambria" w:eastAsia="Calibri" w:hAnsi="Cambria" w:cs="Calibri"/>
              </w:rPr>
              <w:t>izvođenja</w:t>
            </w:r>
            <w:proofErr w:type="spellEnd"/>
          </w:p>
        </w:tc>
        <w:tc>
          <w:tcPr>
            <w:tcW w:w="248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06F8BB5" w14:textId="45BF1DFC" w:rsidR="0014341A" w:rsidRPr="00DF4CE5" w:rsidRDefault="001974E1" w:rsidP="008B34AF">
            <w:pPr>
              <w:spacing w:after="0" w:line="240" w:lineRule="atLeast"/>
              <w:jc w:val="both"/>
              <w:rPr>
                <w:rFonts w:ascii="Cambria" w:eastAsia="Calibri" w:hAnsi="Cambria" w:cs="Calibri"/>
                <w:lang w:val="hr-HR"/>
              </w:rPr>
            </w:pPr>
            <w:r w:rsidRPr="00DF4CE5">
              <w:rPr>
                <w:rFonts w:ascii="Cambria" w:eastAsia="Calibri" w:hAnsi="Cambria" w:cs="Calibri"/>
                <w:lang w:val="hr-HR"/>
              </w:rPr>
              <w:t>d</w:t>
            </w:r>
            <w:r w:rsidR="0014341A" w:rsidRPr="00DF4CE5">
              <w:rPr>
                <w:rFonts w:ascii="Cambria" w:eastAsia="Calibri" w:hAnsi="Cambria" w:cs="Calibri"/>
                <w:lang w:val="hr-HR"/>
              </w:rPr>
              <w:t>vorana</w:t>
            </w:r>
          </w:p>
        </w:tc>
        <w:tc>
          <w:tcPr>
            <w:tcW w:w="1470"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024F8928" w14:textId="77777777" w:rsidR="0014341A" w:rsidRPr="00DF4CE5" w:rsidRDefault="0014341A" w:rsidP="008B34AF">
            <w:pPr>
              <w:spacing w:after="0" w:line="240" w:lineRule="atLeast"/>
              <w:jc w:val="both"/>
              <w:rPr>
                <w:rFonts w:ascii="Cambria" w:eastAsia="Calibri" w:hAnsi="Cambria" w:cs="Calibri"/>
                <w:lang w:val="hr-HR"/>
              </w:rPr>
            </w:pPr>
            <w:r w:rsidRPr="00DF4CE5">
              <w:rPr>
                <w:rFonts w:ascii="Cambria" w:eastAsia="Calibri" w:hAnsi="Cambria" w:cs="Calibri"/>
              </w:rPr>
              <w:t>Jezik</w:t>
            </w:r>
            <w:r w:rsidRPr="00DF4CE5">
              <w:rPr>
                <w:rFonts w:ascii="Cambria" w:eastAsia="Calibri" w:hAnsi="Cambria" w:cs="Calibri"/>
                <w:lang w:val="hr-HR"/>
              </w:rPr>
              <w:t xml:space="preserve"> izvođenja </w:t>
            </w:r>
          </w:p>
        </w:tc>
        <w:tc>
          <w:tcPr>
            <w:tcW w:w="2770"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04D744F" w14:textId="77777777" w:rsidR="0014341A" w:rsidRPr="00DF4CE5" w:rsidRDefault="0014341A" w:rsidP="008B34AF">
            <w:pPr>
              <w:spacing w:after="0" w:line="240" w:lineRule="atLeast"/>
              <w:jc w:val="both"/>
              <w:rPr>
                <w:rFonts w:ascii="Cambria" w:eastAsia="Calibri" w:hAnsi="Cambria" w:cs="Calibri"/>
                <w:lang w:val="hr-HR"/>
              </w:rPr>
            </w:pPr>
          </w:p>
          <w:p w14:paraId="7673DE0E" w14:textId="77777777" w:rsidR="0014341A" w:rsidRPr="00DF4CE5" w:rsidRDefault="0014341A" w:rsidP="008B34AF">
            <w:pPr>
              <w:spacing w:after="0" w:line="240" w:lineRule="atLeast"/>
              <w:jc w:val="both"/>
              <w:rPr>
                <w:rFonts w:ascii="Cambria" w:eastAsia="Calibri" w:hAnsi="Cambria" w:cs="Calibri"/>
                <w:lang w:val="hr-HR"/>
              </w:rPr>
            </w:pPr>
            <w:r w:rsidRPr="00DF4CE5">
              <w:rPr>
                <w:rFonts w:ascii="Cambria" w:eastAsia="Calibri" w:hAnsi="Cambria" w:cs="Calibri"/>
                <w:lang w:val="hr-HR"/>
              </w:rPr>
              <w:t xml:space="preserve">hrvatski </w:t>
            </w:r>
          </w:p>
          <w:p w14:paraId="561AAA62" w14:textId="77777777" w:rsidR="0014341A" w:rsidRPr="00DF4CE5" w:rsidRDefault="0014341A" w:rsidP="008B34AF">
            <w:pPr>
              <w:spacing w:after="0" w:line="240" w:lineRule="atLeast"/>
              <w:jc w:val="both"/>
              <w:rPr>
                <w:rFonts w:ascii="Cambria" w:eastAsia="Calibri" w:hAnsi="Cambria" w:cs="Calibri"/>
                <w:lang w:val="hr-HR"/>
              </w:rPr>
            </w:pPr>
          </w:p>
        </w:tc>
      </w:tr>
      <w:tr w:rsidR="0014341A" w:rsidRPr="00DF4CE5" w14:paraId="05B06B75" w14:textId="77777777" w:rsidTr="00C106A0">
        <w:tc>
          <w:tcPr>
            <w:tcW w:w="261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B86F87B" w14:textId="77777777" w:rsidR="0014341A" w:rsidRPr="00DF4CE5" w:rsidRDefault="0014341A" w:rsidP="008B34AF">
            <w:pPr>
              <w:spacing w:after="0" w:line="240" w:lineRule="atLeast"/>
              <w:jc w:val="both"/>
              <w:rPr>
                <w:rFonts w:ascii="Cambria" w:eastAsia="Calibri" w:hAnsi="Cambria" w:cs="Calibri"/>
                <w:lang w:val="hr-HR"/>
              </w:rPr>
            </w:pPr>
            <w:r w:rsidRPr="00DF4CE5">
              <w:rPr>
                <w:rFonts w:ascii="Cambria" w:eastAsia="Calibri" w:hAnsi="Cambria" w:cs="Calibri"/>
                <w:lang w:val="hr-HR"/>
              </w:rPr>
              <w:t>Broj ECTS bodova</w:t>
            </w:r>
          </w:p>
        </w:tc>
        <w:tc>
          <w:tcPr>
            <w:tcW w:w="248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3F75F79" w14:textId="77777777" w:rsidR="0014341A" w:rsidRPr="00DF4CE5" w:rsidRDefault="0014341A" w:rsidP="008B34AF">
            <w:pPr>
              <w:spacing w:after="0" w:line="240" w:lineRule="atLeast"/>
              <w:jc w:val="both"/>
              <w:rPr>
                <w:rFonts w:ascii="Cambria" w:eastAsia="Calibri" w:hAnsi="Cambria" w:cs="Calibri"/>
                <w:lang w:val="hr-HR"/>
              </w:rPr>
            </w:pPr>
            <w:r w:rsidRPr="00DF4CE5">
              <w:rPr>
                <w:rFonts w:ascii="Cambria" w:eastAsia="Calibri" w:hAnsi="Cambria" w:cs="Calibri"/>
                <w:lang w:val="hr-HR"/>
              </w:rPr>
              <w:t>3</w:t>
            </w:r>
          </w:p>
        </w:tc>
        <w:tc>
          <w:tcPr>
            <w:tcW w:w="1470"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74168829" w14:textId="77777777" w:rsidR="0014341A" w:rsidRPr="00DF4CE5" w:rsidRDefault="0014341A" w:rsidP="008B34AF">
            <w:pPr>
              <w:spacing w:after="0" w:line="240" w:lineRule="atLeast"/>
              <w:jc w:val="both"/>
              <w:rPr>
                <w:rFonts w:ascii="Cambria" w:eastAsia="Calibri" w:hAnsi="Cambria" w:cs="Calibri"/>
                <w:lang w:val="hr-HR"/>
              </w:rPr>
            </w:pPr>
            <w:r w:rsidRPr="00DF4CE5">
              <w:rPr>
                <w:rFonts w:ascii="Cambria" w:eastAsia="Calibri" w:hAnsi="Cambria" w:cs="Calibri"/>
                <w:lang w:val="hr-HR"/>
              </w:rPr>
              <w:t>Broj sati u semestru</w:t>
            </w:r>
          </w:p>
        </w:tc>
        <w:tc>
          <w:tcPr>
            <w:tcW w:w="2770"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F72799E" w14:textId="1B5334B9" w:rsidR="0014341A" w:rsidRPr="00DF4CE5" w:rsidRDefault="0014341A" w:rsidP="008B34AF">
            <w:pPr>
              <w:spacing w:after="0" w:line="240" w:lineRule="atLeast"/>
              <w:jc w:val="both"/>
              <w:rPr>
                <w:rFonts w:ascii="Cambria" w:eastAsia="Calibri" w:hAnsi="Cambria" w:cs="Calibri"/>
                <w:lang w:val="hr-HR"/>
              </w:rPr>
            </w:pPr>
            <w:r w:rsidRPr="00DF4CE5">
              <w:rPr>
                <w:rFonts w:ascii="Cambria" w:eastAsia="Calibri" w:hAnsi="Cambria" w:cs="Calibri"/>
                <w:lang w:val="hr-HR"/>
              </w:rPr>
              <w:t xml:space="preserve">15P – </w:t>
            </w:r>
            <w:r w:rsidR="001974E1" w:rsidRPr="00DF4CE5">
              <w:rPr>
                <w:rFonts w:ascii="Cambria" w:eastAsia="Calibri" w:hAnsi="Cambria" w:cs="Calibri"/>
                <w:lang w:val="hr-HR"/>
              </w:rPr>
              <w:t>0S</w:t>
            </w:r>
            <w:r w:rsidRPr="00DF4CE5">
              <w:rPr>
                <w:rFonts w:ascii="Cambria" w:eastAsia="Calibri" w:hAnsi="Cambria" w:cs="Calibri"/>
                <w:lang w:val="hr-HR"/>
              </w:rPr>
              <w:t xml:space="preserve"> –</w:t>
            </w:r>
            <w:r w:rsidR="00DB0462">
              <w:rPr>
                <w:rFonts w:ascii="Cambria" w:eastAsia="Calibri" w:hAnsi="Cambria" w:cs="Calibri"/>
                <w:lang w:val="hr-HR"/>
              </w:rPr>
              <w:t xml:space="preserve"> </w:t>
            </w:r>
            <w:r w:rsidR="001974E1" w:rsidRPr="00DF4CE5">
              <w:rPr>
                <w:rFonts w:ascii="Cambria" w:eastAsia="Calibri" w:hAnsi="Cambria" w:cs="Calibri"/>
                <w:lang w:val="hr-HR"/>
              </w:rPr>
              <w:t>45V</w:t>
            </w:r>
            <w:r w:rsidRPr="00DF4CE5">
              <w:rPr>
                <w:rFonts w:ascii="Cambria" w:eastAsia="Calibri" w:hAnsi="Cambria" w:cs="Calibri"/>
                <w:lang w:val="hr-HR"/>
              </w:rPr>
              <w:t xml:space="preserve">   </w:t>
            </w:r>
          </w:p>
        </w:tc>
      </w:tr>
      <w:tr w:rsidR="0014341A" w:rsidRPr="00DF4CE5" w14:paraId="3330235F" w14:textId="77777777" w:rsidTr="00C106A0">
        <w:tc>
          <w:tcPr>
            <w:tcW w:w="261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C171ECD" w14:textId="77777777" w:rsidR="0014341A" w:rsidRPr="00DF4CE5" w:rsidRDefault="0014341A" w:rsidP="008B34AF">
            <w:pPr>
              <w:spacing w:after="0" w:line="240" w:lineRule="atLeast"/>
              <w:jc w:val="both"/>
              <w:rPr>
                <w:rFonts w:ascii="Cambria" w:eastAsia="Calibri" w:hAnsi="Cambria" w:cs="Calibri"/>
                <w:lang w:val="hr-HR"/>
              </w:rPr>
            </w:pPr>
            <w:r w:rsidRPr="00DF4CE5">
              <w:rPr>
                <w:rFonts w:ascii="Cambria" w:eastAsia="Calibri" w:hAnsi="Cambria" w:cs="Calibri"/>
                <w:lang w:val="hr-HR"/>
              </w:rPr>
              <w:t>Preduvjeti za upis i za svladavanje</w:t>
            </w:r>
          </w:p>
        </w:tc>
        <w:tc>
          <w:tcPr>
            <w:tcW w:w="6723"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E057A42" w14:textId="77777777" w:rsidR="0014341A" w:rsidRPr="00DF4CE5" w:rsidRDefault="0014341A" w:rsidP="008B34AF">
            <w:pPr>
              <w:spacing w:after="0" w:line="240" w:lineRule="atLeast"/>
              <w:jc w:val="both"/>
              <w:rPr>
                <w:rFonts w:ascii="Cambria" w:eastAsia="Calibri" w:hAnsi="Cambria" w:cs="Calibri"/>
                <w:lang w:val="hr-HR"/>
              </w:rPr>
            </w:pPr>
            <w:r w:rsidRPr="00DF4CE5">
              <w:rPr>
                <w:rFonts w:ascii="Cambria" w:eastAsia="Calibri" w:hAnsi="Cambria" w:cs="Calibri"/>
                <w:lang w:val="hr-HR"/>
              </w:rPr>
              <w:t>Nema preduvjeta za upis.</w:t>
            </w:r>
          </w:p>
        </w:tc>
      </w:tr>
      <w:tr w:rsidR="0014341A" w:rsidRPr="00D0399C" w14:paraId="1489979B" w14:textId="77777777" w:rsidTr="00C106A0">
        <w:tc>
          <w:tcPr>
            <w:tcW w:w="261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8C9D4D8" w14:textId="77777777" w:rsidR="0014341A" w:rsidRPr="00DF4CE5" w:rsidRDefault="0014341A" w:rsidP="008B34AF">
            <w:pPr>
              <w:spacing w:after="0" w:line="240" w:lineRule="atLeast"/>
              <w:jc w:val="both"/>
              <w:rPr>
                <w:rFonts w:ascii="Cambria" w:eastAsia="Calibri" w:hAnsi="Cambria" w:cs="Calibri"/>
                <w:lang w:val="hr-HR"/>
              </w:rPr>
            </w:pPr>
            <w:proofErr w:type="spellStart"/>
            <w:r w:rsidRPr="00DF4CE5">
              <w:rPr>
                <w:rFonts w:ascii="Cambria" w:eastAsia="Calibri" w:hAnsi="Cambria" w:cs="Calibri"/>
              </w:rPr>
              <w:t>Korelativnost</w:t>
            </w:r>
            <w:proofErr w:type="spellEnd"/>
          </w:p>
        </w:tc>
        <w:tc>
          <w:tcPr>
            <w:tcW w:w="6723"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1F73A6F" w14:textId="77777777" w:rsidR="0014341A" w:rsidRPr="00DF4CE5" w:rsidRDefault="0014341A" w:rsidP="008B34AF">
            <w:pPr>
              <w:spacing w:after="0" w:line="240" w:lineRule="atLeast"/>
              <w:jc w:val="both"/>
              <w:rPr>
                <w:rFonts w:ascii="Cambria" w:eastAsia="Calibri" w:hAnsi="Cambria" w:cs="Calibri"/>
                <w:lang w:val="hr-HR"/>
              </w:rPr>
            </w:pPr>
            <w:r w:rsidRPr="00DF4CE5">
              <w:rPr>
                <w:rFonts w:ascii="Cambria" w:eastAsia="Calibri" w:hAnsi="Cambria" w:cs="Calibri"/>
                <w:lang w:val="hr-HR"/>
              </w:rPr>
              <w:t>Likovna kultura, Metodika likovne kulture 1 i 2, Grafika i dizajn, Hrvatski jezik i književnost, Dječja književnost, Priroda i društvo, Glazbena kultura, Metodika glazbene kulture, Informatika</w:t>
            </w:r>
          </w:p>
        </w:tc>
      </w:tr>
      <w:tr w:rsidR="0014341A" w:rsidRPr="00D0399C" w14:paraId="781B4C0A" w14:textId="77777777" w:rsidTr="00C106A0">
        <w:tc>
          <w:tcPr>
            <w:tcW w:w="261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D89E2A2" w14:textId="77777777" w:rsidR="0014341A" w:rsidRPr="00DF4CE5" w:rsidRDefault="0014341A" w:rsidP="008B34AF">
            <w:pPr>
              <w:spacing w:after="0" w:line="240" w:lineRule="atLeast"/>
              <w:jc w:val="both"/>
              <w:rPr>
                <w:rFonts w:ascii="Cambria" w:eastAsia="Calibri" w:hAnsi="Cambria" w:cs="Calibri"/>
                <w:lang w:val="hr-HR"/>
              </w:rPr>
            </w:pPr>
            <w:r w:rsidRPr="00DF4CE5">
              <w:rPr>
                <w:rFonts w:ascii="Cambria" w:eastAsia="Calibri" w:hAnsi="Cambria" w:cs="Calibri"/>
                <w:lang w:val="hr-HR"/>
              </w:rPr>
              <w:t xml:space="preserve">Cilj kolegija </w:t>
            </w:r>
          </w:p>
        </w:tc>
        <w:tc>
          <w:tcPr>
            <w:tcW w:w="6723"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DC84C13" w14:textId="77777777" w:rsidR="0014341A" w:rsidRPr="00DF4CE5" w:rsidRDefault="0014341A" w:rsidP="008B34AF">
            <w:pPr>
              <w:spacing w:after="0" w:line="240" w:lineRule="atLeast"/>
              <w:jc w:val="both"/>
              <w:rPr>
                <w:rFonts w:ascii="Cambria" w:eastAsia="Calibri" w:hAnsi="Cambria" w:cs="Calibri"/>
                <w:lang w:val="hr-HR"/>
              </w:rPr>
            </w:pPr>
            <w:r w:rsidRPr="00DF4CE5">
              <w:rPr>
                <w:rFonts w:ascii="Cambria" w:eastAsia="Calibri" w:hAnsi="Cambria" w:cs="Calibri"/>
                <w:lang w:val="hr-HR"/>
              </w:rPr>
              <w:t xml:space="preserve">Razvijati se stvaralački i kreativno iz metodike likovne kulture u svrhu osobnog napredovanja te primijeniti stečene sposobnosti u radu s djecom nižih razreda osnovne škole, ostvariti </w:t>
            </w:r>
            <w:proofErr w:type="spellStart"/>
            <w:r w:rsidRPr="00DF4CE5">
              <w:rPr>
                <w:rFonts w:ascii="Cambria" w:eastAsia="Calibri" w:hAnsi="Cambria" w:cs="Calibri"/>
                <w:lang w:val="hr-HR"/>
              </w:rPr>
              <w:t>ocjensku</w:t>
            </w:r>
            <w:proofErr w:type="spellEnd"/>
            <w:r w:rsidRPr="00DF4CE5">
              <w:rPr>
                <w:rFonts w:ascii="Cambria" w:eastAsia="Calibri" w:hAnsi="Cambria" w:cs="Calibri"/>
                <w:lang w:val="hr-HR"/>
              </w:rPr>
              <w:t xml:space="preserve"> nastavu u školi pred učenicima, </w:t>
            </w:r>
            <w:proofErr w:type="spellStart"/>
            <w:r w:rsidRPr="00DF4CE5">
              <w:rPr>
                <w:rFonts w:ascii="Cambria" w:eastAsia="Calibri" w:hAnsi="Cambria" w:cs="Calibri"/>
                <w:lang w:val="hr-HR"/>
              </w:rPr>
              <w:t>ocjenskoj</w:t>
            </w:r>
            <w:proofErr w:type="spellEnd"/>
            <w:r w:rsidRPr="00DF4CE5">
              <w:rPr>
                <w:rFonts w:ascii="Cambria" w:eastAsia="Calibri" w:hAnsi="Cambria" w:cs="Calibri"/>
                <w:lang w:val="hr-HR"/>
              </w:rPr>
              <w:t xml:space="preserve"> nastavi, izraditi samostalno plan i program rada u školi, projekta i priprava za nastavu Likovne kulture.</w:t>
            </w:r>
          </w:p>
        </w:tc>
      </w:tr>
      <w:tr w:rsidR="0014341A" w:rsidRPr="00D0399C" w14:paraId="71127992" w14:textId="77777777" w:rsidTr="00C106A0">
        <w:tc>
          <w:tcPr>
            <w:tcW w:w="261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A41255A" w14:textId="77777777" w:rsidR="0014341A" w:rsidRPr="00DF4CE5" w:rsidRDefault="0014341A" w:rsidP="008B34AF">
            <w:pPr>
              <w:spacing w:after="0" w:line="240" w:lineRule="atLeast"/>
              <w:jc w:val="both"/>
              <w:rPr>
                <w:rFonts w:ascii="Cambria" w:eastAsia="Calibri" w:hAnsi="Cambria" w:cs="Calibri"/>
                <w:lang w:val="hr-HR"/>
              </w:rPr>
            </w:pPr>
            <w:r w:rsidRPr="00DF4CE5">
              <w:rPr>
                <w:rFonts w:ascii="Cambria" w:eastAsia="Calibri" w:hAnsi="Cambria" w:cs="Calibri"/>
                <w:lang w:val="hr-HR"/>
              </w:rPr>
              <w:t>Ishodi učenja</w:t>
            </w:r>
          </w:p>
        </w:tc>
        <w:tc>
          <w:tcPr>
            <w:tcW w:w="6723"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F1B5B38" w14:textId="77777777" w:rsidR="00620774" w:rsidRDefault="00620774" w:rsidP="00620774">
            <w:pPr>
              <w:spacing w:after="0" w:line="240" w:lineRule="atLeast"/>
              <w:jc w:val="both"/>
              <w:rPr>
                <w:rFonts w:ascii="Cambria" w:eastAsia="Calibri" w:hAnsi="Cambria" w:cs="Calibri"/>
                <w:lang w:val="hr-HR"/>
              </w:rPr>
            </w:pPr>
            <w:r>
              <w:rPr>
                <w:rFonts w:ascii="Cambria" w:eastAsia="Calibri" w:hAnsi="Cambria" w:cs="Calibri"/>
                <w:lang w:val="hr-HR"/>
              </w:rPr>
              <w:t xml:space="preserve">1. </w:t>
            </w:r>
            <w:r w:rsidR="0014341A" w:rsidRPr="00DF4CE5">
              <w:rPr>
                <w:rFonts w:ascii="Cambria" w:eastAsia="Calibri" w:hAnsi="Cambria" w:cs="Calibri"/>
                <w:lang w:val="hr-HR"/>
              </w:rPr>
              <w:t>primijeniti motiv, likovne tehnike, likovni jezik u pripravi za likovno izražavanje učenika kroz razna likovna područja uz upotrjebu raznih likovnih tehnika, pribora i materijala</w:t>
            </w:r>
          </w:p>
          <w:p w14:paraId="31B25C63" w14:textId="77777777" w:rsidR="00620774" w:rsidRDefault="00620774" w:rsidP="00620774">
            <w:pPr>
              <w:spacing w:after="0" w:line="240" w:lineRule="atLeast"/>
              <w:jc w:val="both"/>
              <w:rPr>
                <w:rFonts w:ascii="Cambria" w:eastAsia="Calibri" w:hAnsi="Cambria" w:cs="Calibri"/>
                <w:lang w:val="hr-HR"/>
              </w:rPr>
            </w:pPr>
            <w:r>
              <w:rPr>
                <w:rFonts w:ascii="Cambria" w:eastAsia="Calibri" w:hAnsi="Cambria" w:cs="Calibri"/>
                <w:lang w:val="hr-HR"/>
              </w:rPr>
              <w:t xml:space="preserve">2. </w:t>
            </w:r>
            <w:r w:rsidR="0014341A" w:rsidRPr="00DF4CE5">
              <w:rPr>
                <w:rFonts w:ascii="Cambria" w:eastAsia="Calibri" w:hAnsi="Cambria" w:cs="Calibri"/>
                <w:lang w:val="hr-HR"/>
              </w:rPr>
              <w:t>ostvariti originalne likovne radove u raznim tehnikama i pristupima</w:t>
            </w:r>
          </w:p>
          <w:p w14:paraId="06375927" w14:textId="77777777" w:rsidR="00620774" w:rsidRDefault="00620774" w:rsidP="00620774">
            <w:pPr>
              <w:spacing w:after="0" w:line="240" w:lineRule="atLeast"/>
              <w:jc w:val="both"/>
              <w:rPr>
                <w:rFonts w:ascii="Cambria" w:eastAsia="Calibri" w:hAnsi="Cambria" w:cs="Calibri"/>
                <w:lang w:val="hr-HR"/>
              </w:rPr>
            </w:pPr>
            <w:r>
              <w:rPr>
                <w:rFonts w:ascii="Cambria" w:eastAsia="Calibri" w:hAnsi="Cambria" w:cs="Calibri"/>
                <w:lang w:val="hr-HR"/>
              </w:rPr>
              <w:t xml:space="preserve">3. </w:t>
            </w:r>
            <w:r w:rsidR="0014341A" w:rsidRPr="00DF4CE5">
              <w:rPr>
                <w:rFonts w:ascii="Cambria" w:eastAsia="Calibri" w:hAnsi="Cambria" w:cs="Calibri"/>
                <w:lang w:val="hr-HR"/>
              </w:rPr>
              <w:t>samostalno primjenjivati različite multimedijske nastavne aktivnosti u praksi</w:t>
            </w:r>
          </w:p>
          <w:p w14:paraId="2D8EB2E4" w14:textId="77777777" w:rsidR="00620774" w:rsidRDefault="00620774" w:rsidP="00620774">
            <w:pPr>
              <w:spacing w:after="0" w:line="240" w:lineRule="atLeast"/>
              <w:jc w:val="both"/>
              <w:rPr>
                <w:rFonts w:ascii="Cambria" w:eastAsia="Calibri" w:hAnsi="Cambria" w:cs="Calibri"/>
                <w:lang w:val="hr-HR"/>
              </w:rPr>
            </w:pPr>
            <w:r>
              <w:rPr>
                <w:rFonts w:ascii="Cambria" w:eastAsia="Calibri" w:hAnsi="Cambria" w:cs="Calibri"/>
                <w:lang w:val="hr-HR"/>
              </w:rPr>
              <w:t xml:space="preserve">4. </w:t>
            </w:r>
            <w:r w:rsidR="0014341A" w:rsidRPr="00DF4CE5">
              <w:rPr>
                <w:rFonts w:ascii="Cambria" w:eastAsia="Calibri" w:hAnsi="Cambria" w:cs="Calibri"/>
                <w:lang w:val="hr-HR"/>
              </w:rPr>
              <w:t>analizirati specifičnosti faza razvoja crteža i drugih radova s obzirom na učenikovu dob, dijete s posebnim potrebama i druge posebnosti</w:t>
            </w:r>
          </w:p>
          <w:p w14:paraId="2584C1FB" w14:textId="57C3F729" w:rsidR="0014341A" w:rsidRPr="00DF4CE5" w:rsidRDefault="00620774" w:rsidP="00620774">
            <w:pPr>
              <w:spacing w:after="0" w:line="240" w:lineRule="atLeast"/>
              <w:jc w:val="both"/>
              <w:rPr>
                <w:rFonts w:ascii="Cambria" w:eastAsia="Calibri" w:hAnsi="Cambria" w:cs="Calibri"/>
                <w:lang w:val="hr-HR"/>
              </w:rPr>
            </w:pPr>
            <w:r>
              <w:rPr>
                <w:rFonts w:ascii="Cambria" w:eastAsia="Calibri" w:hAnsi="Cambria" w:cs="Calibri"/>
                <w:lang w:val="hr-HR"/>
              </w:rPr>
              <w:t xml:space="preserve">5. </w:t>
            </w:r>
            <w:r w:rsidR="0014341A" w:rsidRPr="00DF4CE5">
              <w:rPr>
                <w:rFonts w:ascii="Cambria" w:eastAsia="Calibri" w:hAnsi="Cambria" w:cs="Calibri"/>
                <w:lang w:val="hr-HR"/>
              </w:rPr>
              <w:t xml:space="preserve">aktivno pratiti likovna zbivanja u našoj zemlji i inozemstvu, usmjeravati se budućoj profesionalnoj izgradnji </w:t>
            </w:r>
          </w:p>
        </w:tc>
      </w:tr>
      <w:tr w:rsidR="0014341A" w:rsidRPr="00D0399C" w14:paraId="131CD05F" w14:textId="77777777" w:rsidTr="00DB0462">
        <w:trPr>
          <w:trHeight w:val="2800"/>
        </w:trPr>
        <w:tc>
          <w:tcPr>
            <w:tcW w:w="2617"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6CCEC980" w14:textId="77777777" w:rsidR="0014341A" w:rsidRPr="00DF4CE5" w:rsidRDefault="0014341A" w:rsidP="008B34AF">
            <w:pPr>
              <w:spacing w:after="0" w:line="240" w:lineRule="atLeast"/>
              <w:jc w:val="both"/>
              <w:rPr>
                <w:rFonts w:ascii="Cambria" w:eastAsia="Calibri" w:hAnsi="Cambria" w:cs="Calibri"/>
                <w:lang w:val="hr-HR"/>
              </w:rPr>
            </w:pPr>
            <w:r w:rsidRPr="00DF4CE5">
              <w:rPr>
                <w:rFonts w:ascii="Cambria" w:eastAsia="Calibri" w:hAnsi="Cambria" w:cs="Calibri"/>
                <w:lang w:val="hr-HR"/>
              </w:rPr>
              <w:lastRenderedPageBreak/>
              <w:t>Sadržaj kolegija</w:t>
            </w:r>
          </w:p>
        </w:tc>
        <w:tc>
          <w:tcPr>
            <w:tcW w:w="6723"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4153041" w14:textId="77777777" w:rsidR="0014341A" w:rsidRPr="00DF4CE5" w:rsidRDefault="0014341A" w:rsidP="008B34AF">
            <w:pPr>
              <w:spacing w:after="0" w:line="240" w:lineRule="atLeast"/>
              <w:jc w:val="both"/>
              <w:rPr>
                <w:rFonts w:ascii="Cambria" w:eastAsia="Calibri" w:hAnsi="Cambria" w:cs="Calibri"/>
                <w:lang w:val="hr-HR"/>
              </w:rPr>
            </w:pPr>
            <w:r w:rsidRPr="00DF4CE5">
              <w:rPr>
                <w:rFonts w:ascii="Cambria" w:eastAsia="Calibri" w:hAnsi="Cambria" w:cs="Calibri"/>
                <w:lang w:val="hr-HR"/>
              </w:rPr>
              <w:t>1. Uvod u kolegij, literatura</w:t>
            </w:r>
          </w:p>
          <w:p w14:paraId="4BE91816" w14:textId="77777777" w:rsidR="0014341A" w:rsidRPr="00DF4CE5" w:rsidRDefault="0014341A" w:rsidP="008B34AF">
            <w:pPr>
              <w:spacing w:after="0" w:line="240" w:lineRule="atLeast"/>
              <w:jc w:val="both"/>
              <w:rPr>
                <w:rFonts w:ascii="Cambria" w:eastAsia="Calibri" w:hAnsi="Cambria" w:cs="Calibri"/>
                <w:lang w:val="hr-HR"/>
              </w:rPr>
            </w:pPr>
            <w:r w:rsidRPr="00DF4CE5">
              <w:rPr>
                <w:rFonts w:ascii="Cambria" w:eastAsia="Calibri" w:hAnsi="Cambria" w:cs="Calibri"/>
                <w:lang w:val="hr-HR"/>
              </w:rPr>
              <w:t>2. Sastaviti pripravu za nastavu likovne kulture u razredu, prema temi projekta, zadanom motivu, tehnici, likovnom jeziku</w:t>
            </w:r>
          </w:p>
          <w:p w14:paraId="484DE21A" w14:textId="77777777" w:rsidR="0014341A" w:rsidRPr="00DF4CE5" w:rsidRDefault="0014341A" w:rsidP="008B34AF">
            <w:pPr>
              <w:spacing w:after="0" w:line="240" w:lineRule="atLeast"/>
              <w:jc w:val="both"/>
              <w:rPr>
                <w:rFonts w:ascii="Cambria" w:eastAsia="Calibri" w:hAnsi="Cambria" w:cs="Calibri"/>
                <w:lang w:val="hr-HR"/>
              </w:rPr>
            </w:pPr>
            <w:r w:rsidRPr="00DF4CE5">
              <w:rPr>
                <w:rFonts w:ascii="Cambria" w:eastAsia="Calibri" w:hAnsi="Cambria" w:cs="Calibri"/>
                <w:lang w:val="hr-HR"/>
              </w:rPr>
              <w:t>3. Analizirati uspješno na nastavi i nakon nastave originalni rad djeteta (faze razvoja, tehnike, likovni jezik, tip djeteta,...)</w:t>
            </w:r>
          </w:p>
          <w:p w14:paraId="6EE7DEAD" w14:textId="77777777" w:rsidR="0014341A" w:rsidRPr="00DF4CE5" w:rsidRDefault="0014341A" w:rsidP="008B34AF">
            <w:pPr>
              <w:spacing w:after="0" w:line="240" w:lineRule="atLeast"/>
              <w:jc w:val="both"/>
              <w:rPr>
                <w:rFonts w:ascii="Cambria" w:eastAsia="Calibri" w:hAnsi="Cambria" w:cs="Calibri"/>
                <w:lang w:val="hr-HR"/>
              </w:rPr>
            </w:pPr>
            <w:r w:rsidRPr="00DF4CE5">
              <w:rPr>
                <w:rFonts w:ascii="Cambria" w:eastAsia="Calibri" w:hAnsi="Cambria" w:cs="Calibri"/>
                <w:lang w:val="hr-HR"/>
              </w:rPr>
              <w:t>5. Dijete u muzeju i/ili galeriji uz stručan rad muzejskog pedagoga ili metodičarke</w:t>
            </w:r>
          </w:p>
          <w:p w14:paraId="50568DE1" w14:textId="77777777" w:rsidR="0014341A" w:rsidRPr="00DF4CE5" w:rsidRDefault="0014341A" w:rsidP="008B34AF">
            <w:pPr>
              <w:spacing w:after="0" w:line="240" w:lineRule="atLeast"/>
              <w:jc w:val="both"/>
              <w:rPr>
                <w:rFonts w:ascii="Cambria" w:eastAsia="Calibri" w:hAnsi="Cambria" w:cs="Calibri"/>
                <w:lang w:val="hr-HR"/>
              </w:rPr>
            </w:pPr>
            <w:r w:rsidRPr="00DF4CE5">
              <w:rPr>
                <w:rFonts w:ascii="Cambria" w:eastAsia="Calibri" w:hAnsi="Cambria" w:cs="Calibri"/>
                <w:lang w:val="hr-HR"/>
              </w:rPr>
              <w:t>7. Ostvariti sve preduvjete za skupnu izložbu likovnih radova nastalih tijekom projekta</w:t>
            </w:r>
          </w:p>
          <w:p w14:paraId="238DD478" w14:textId="77777777" w:rsidR="0014341A" w:rsidRPr="00DF4CE5" w:rsidRDefault="0014341A" w:rsidP="008B34AF">
            <w:pPr>
              <w:spacing w:after="0" w:line="240" w:lineRule="atLeast"/>
              <w:jc w:val="both"/>
              <w:rPr>
                <w:rFonts w:ascii="Cambria" w:eastAsia="Calibri" w:hAnsi="Cambria" w:cs="Calibri"/>
                <w:lang w:val="hr-HR"/>
              </w:rPr>
            </w:pPr>
            <w:r w:rsidRPr="00DF4CE5">
              <w:rPr>
                <w:rFonts w:ascii="Cambria" w:eastAsia="Calibri" w:hAnsi="Cambria" w:cs="Calibri"/>
                <w:lang w:val="hr-HR"/>
              </w:rPr>
              <w:t>8. Izraditi plakat/pozivnicu/katalog za izložbu</w:t>
            </w:r>
          </w:p>
        </w:tc>
      </w:tr>
      <w:tr w:rsidR="0014341A" w:rsidRPr="00DF4CE5" w14:paraId="52C8E5DD" w14:textId="77777777" w:rsidTr="00C106A0">
        <w:tc>
          <w:tcPr>
            <w:tcW w:w="2617"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537278A5" w14:textId="77777777" w:rsidR="0014341A" w:rsidRPr="00DF4CE5" w:rsidRDefault="0014341A" w:rsidP="008B34AF">
            <w:pPr>
              <w:spacing w:after="0" w:line="240" w:lineRule="atLeast"/>
              <w:jc w:val="both"/>
              <w:rPr>
                <w:rFonts w:ascii="Cambria" w:eastAsia="Calibri" w:hAnsi="Cambria" w:cs="Calibri"/>
                <w:lang w:val="hr-HR"/>
              </w:rPr>
            </w:pPr>
            <w:r w:rsidRPr="00DF4CE5">
              <w:rPr>
                <w:rFonts w:ascii="Cambria" w:eastAsia="Calibri" w:hAnsi="Cambria" w:cs="Calibri"/>
                <w:lang w:val="hr-HR"/>
              </w:rPr>
              <w:t>Planirane aktivnosti</w:t>
            </w:r>
            <w:r w:rsidRPr="00DF4CE5">
              <w:rPr>
                <w:rFonts w:ascii="Cambria" w:eastAsia="Calibri" w:hAnsi="Cambria" w:cs="Calibri"/>
                <w:lang w:val="it-IT"/>
              </w:rPr>
              <w:t>,</w:t>
            </w:r>
          </w:p>
          <w:p w14:paraId="698B2B41" w14:textId="77777777" w:rsidR="0014341A" w:rsidRPr="00DF4CE5" w:rsidRDefault="0014341A" w:rsidP="008B34AF">
            <w:pPr>
              <w:spacing w:after="0" w:line="240" w:lineRule="atLeast"/>
              <w:jc w:val="both"/>
              <w:rPr>
                <w:rFonts w:ascii="Cambria" w:eastAsia="Calibri" w:hAnsi="Cambria" w:cs="Calibri"/>
                <w:lang w:val="hr-HR"/>
              </w:rPr>
            </w:pPr>
            <w:proofErr w:type="spellStart"/>
            <w:r w:rsidRPr="00DF4CE5">
              <w:rPr>
                <w:rFonts w:ascii="Cambria" w:eastAsia="Calibri" w:hAnsi="Cambria" w:cs="Calibri"/>
                <w:lang w:val="it-IT"/>
              </w:rPr>
              <w:t>metode</w:t>
            </w:r>
            <w:proofErr w:type="spellEnd"/>
            <w:r w:rsidRPr="00DF4CE5">
              <w:rPr>
                <w:rFonts w:ascii="Cambria" w:eastAsia="Calibri" w:hAnsi="Cambria" w:cs="Calibri"/>
                <w:lang w:val="it-IT"/>
              </w:rPr>
              <w:t xml:space="preserve"> </w:t>
            </w:r>
            <w:r w:rsidRPr="00DF4CE5">
              <w:rPr>
                <w:rFonts w:ascii="Cambria" w:eastAsia="Calibri" w:hAnsi="Cambria" w:cs="Calibri"/>
                <w:lang w:val="hr-HR"/>
              </w:rPr>
              <w:t>učenja i poučavanja i načini vrjednovanja</w:t>
            </w:r>
          </w:p>
        </w:tc>
        <w:tc>
          <w:tcPr>
            <w:tcW w:w="258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B074A3C" w14:textId="77777777" w:rsidR="0014341A" w:rsidRPr="00DF4CE5" w:rsidRDefault="0014341A" w:rsidP="008B34AF">
            <w:pPr>
              <w:spacing w:after="0" w:line="240" w:lineRule="atLeast"/>
              <w:jc w:val="both"/>
              <w:rPr>
                <w:rFonts w:ascii="Cambria" w:eastAsia="Calibri" w:hAnsi="Cambria" w:cs="Calibri"/>
                <w:lang w:val="hr-HR"/>
              </w:rPr>
            </w:pPr>
            <w:r w:rsidRPr="00DF4CE5">
              <w:rPr>
                <w:rFonts w:ascii="Cambria" w:eastAsia="Calibri" w:hAnsi="Cambria" w:cs="Calibri"/>
                <w:bCs/>
                <w:lang w:val="hr-HR"/>
              </w:rPr>
              <w:t>Obveze</w:t>
            </w:r>
          </w:p>
        </w:tc>
        <w:tc>
          <w:tcPr>
            <w:tcW w:w="10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1B7AFAD" w14:textId="77777777" w:rsidR="0014341A" w:rsidRPr="00DF4CE5" w:rsidRDefault="0014341A" w:rsidP="008B34AF">
            <w:pPr>
              <w:spacing w:after="0" w:line="240" w:lineRule="atLeast"/>
              <w:jc w:val="both"/>
              <w:rPr>
                <w:rFonts w:ascii="Cambria" w:eastAsia="Calibri" w:hAnsi="Cambria" w:cs="Calibri"/>
                <w:lang w:val="hr-HR"/>
              </w:rPr>
            </w:pPr>
            <w:r w:rsidRPr="00DF4CE5">
              <w:rPr>
                <w:rFonts w:ascii="Cambria" w:eastAsia="Calibri" w:hAnsi="Cambria" w:cs="Calibri"/>
                <w:bCs/>
                <w:lang w:val="hr-HR"/>
              </w:rPr>
              <w:t>Ishodi</w:t>
            </w:r>
          </w:p>
        </w:tc>
        <w:tc>
          <w:tcPr>
            <w:tcW w:w="71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EDB2515" w14:textId="77777777" w:rsidR="0014341A" w:rsidRPr="00DF4CE5" w:rsidRDefault="0014341A" w:rsidP="008B34AF">
            <w:pPr>
              <w:spacing w:after="0" w:line="240" w:lineRule="atLeast"/>
              <w:jc w:val="both"/>
              <w:rPr>
                <w:rFonts w:ascii="Cambria" w:eastAsia="Calibri" w:hAnsi="Cambria" w:cs="Calibri"/>
                <w:bCs/>
                <w:lang w:val="hr-HR"/>
              </w:rPr>
            </w:pPr>
            <w:r w:rsidRPr="00DF4CE5">
              <w:rPr>
                <w:rFonts w:ascii="Cambria" w:eastAsia="Calibri" w:hAnsi="Cambria" w:cs="Calibri"/>
                <w:bCs/>
                <w:lang w:val="hr-HR"/>
              </w:rPr>
              <w:t>Sati</w:t>
            </w:r>
          </w:p>
        </w:tc>
        <w:tc>
          <w:tcPr>
            <w:tcW w:w="101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82AA166" w14:textId="77777777" w:rsidR="0014341A" w:rsidRPr="00DF4CE5" w:rsidRDefault="0014341A" w:rsidP="008B34AF">
            <w:pPr>
              <w:spacing w:after="0" w:line="240" w:lineRule="atLeast"/>
              <w:jc w:val="both"/>
              <w:rPr>
                <w:rFonts w:ascii="Cambria" w:eastAsia="Calibri" w:hAnsi="Cambria" w:cs="Calibri"/>
                <w:lang w:val="hr-HR"/>
              </w:rPr>
            </w:pPr>
            <w:r w:rsidRPr="00DF4CE5">
              <w:rPr>
                <w:rFonts w:ascii="Cambria" w:eastAsia="Calibri" w:hAnsi="Cambria" w:cs="Calibri"/>
                <w:bCs/>
                <w:lang w:val="hr-HR"/>
              </w:rPr>
              <w:t>ECTS</w:t>
            </w:r>
          </w:p>
        </w:tc>
        <w:tc>
          <w:tcPr>
            <w:tcW w:w="131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67E9FE5" w14:textId="77777777" w:rsidR="0014341A" w:rsidRPr="00DF4CE5" w:rsidRDefault="0014341A" w:rsidP="008B34AF">
            <w:pPr>
              <w:spacing w:after="0" w:line="240" w:lineRule="atLeast"/>
              <w:jc w:val="both"/>
              <w:rPr>
                <w:rFonts w:ascii="Cambria" w:eastAsia="Calibri" w:hAnsi="Cambria" w:cs="Calibri"/>
                <w:lang w:val="hr-HR"/>
              </w:rPr>
            </w:pPr>
            <w:r w:rsidRPr="00DF4CE5">
              <w:rPr>
                <w:rFonts w:ascii="Cambria" w:eastAsia="Calibri" w:hAnsi="Cambria" w:cs="Calibri"/>
                <w:bCs/>
                <w:lang w:val="hr-HR"/>
              </w:rPr>
              <w:t>Maksimalni udio u ocjeni</w:t>
            </w:r>
            <w:r w:rsidRPr="00DF4CE5">
              <w:rPr>
                <w:rFonts w:ascii="Cambria" w:eastAsia="Calibri" w:hAnsi="Cambria" w:cs="Calibri"/>
                <w:bCs/>
              </w:rPr>
              <w:t xml:space="preserve"> (%)</w:t>
            </w:r>
          </w:p>
        </w:tc>
      </w:tr>
      <w:tr w:rsidR="00107B57" w:rsidRPr="00DF4CE5" w14:paraId="78BC0293" w14:textId="77777777" w:rsidTr="00C106A0">
        <w:tc>
          <w:tcPr>
            <w:tcW w:w="2617" w:type="dxa"/>
            <w:vMerge/>
            <w:tcBorders>
              <w:left w:val="single" w:sz="8" w:space="0" w:color="000000"/>
              <w:right w:val="single" w:sz="8" w:space="0" w:color="000000"/>
            </w:tcBorders>
            <w:vAlign w:val="center"/>
          </w:tcPr>
          <w:p w14:paraId="002728AE" w14:textId="77777777" w:rsidR="00107B57" w:rsidRPr="00DF4CE5" w:rsidRDefault="00107B57" w:rsidP="00107B57">
            <w:pPr>
              <w:spacing w:after="0" w:line="240" w:lineRule="atLeast"/>
              <w:jc w:val="both"/>
              <w:rPr>
                <w:rFonts w:ascii="Cambria" w:eastAsia="Calibri" w:hAnsi="Cambria" w:cs="Calibri"/>
                <w:lang w:val="hr-HR"/>
              </w:rPr>
            </w:pPr>
          </w:p>
        </w:tc>
        <w:tc>
          <w:tcPr>
            <w:tcW w:w="258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9504312" w14:textId="7B424F23" w:rsidR="00107B57" w:rsidRPr="00DF4CE5" w:rsidRDefault="00107B57" w:rsidP="00107B57">
            <w:pPr>
              <w:spacing w:after="0" w:line="240" w:lineRule="atLeast"/>
              <w:jc w:val="both"/>
              <w:rPr>
                <w:rFonts w:ascii="Cambria" w:eastAsia="Calibri" w:hAnsi="Cambria" w:cs="Calibri"/>
                <w:lang w:val="hr-HR"/>
              </w:rPr>
            </w:pPr>
            <w:proofErr w:type="spellStart"/>
            <w:r w:rsidRPr="00DF4CE5">
              <w:rPr>
                <w:rFonts w:ascii="Cambria" w:eastAsia="Times New Roman" w:hAnsi="Cambria" w:cs="Calibri"/>
              </w:rPr>
              <w:t>aktivnost</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na</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nastavi</w:t>
            </w:r>
            <w:proofErr w:type="spellEnd"/>
          </w:p>
        </w:tc>
        <w:tc>
          <w:tcPr>
            <w:tcW w:w="10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729FBA9" w14:textId="13EDB9A9" w:rsidR="00107B57" w:rsidRPr="00DF4CE5" w:rsidRDefault="00107B57" w:rsidP="00620774">
            <w:pPr>
              <w:spacing w:after="0" w:line="240" w:lineRule="atLeast"/>
              <w:jc w:val="center"/>
              <w:rPr>
                <w:rFonts w:ascii="Cambria" w:eastAsia="Calibri" w:hAnsi="Cambria" w:cs="Calibri"/>
                <w:lang w:val="hr-HR"/>
              </w:rPr>
            </w:pPr>
            <w:r w:rsidRPr="00DF4CE5">
              <w:rPr>
                <w:rFonts w:ascii="Cambria" w:eastAsia="Calibri" w:hAnsi="Cambria" w:cs="Calibri"/>
                <w:lang w:val="hr-HR"/>
              </w:rPr>
              <w:t>1. – 4.</w:t>
            </w:r>
          </w:p>
        </w:tc>
        <w:tc>
          <w:tcPr>
            <w:tcW w:w="71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0A83678" w14:textId="77777777" w:rsidR="00107B57" w:rsidRPr="00DF4CE5" w:rsidRDefault="00107B57" w:rsidP="00620774">
            <w:pPr>
              <w:spacing w:after="0" w:line="240" w:lineRule="atLeast"/>
              <w:jc w:val="center"/>
              <w:rPr>
                <w:rFonts w:ascii="Cambria" w:eastAsia="Calibri" w:hAnsi="Cambria" w:cs="Calibri"/>
                <w:lang w:val="hr-HR"/>
              </w:rPr>
            </w:pPr>
            <w:r w:rsidRPr="00DF4CE5">
              <w:rPr>
                <w:rFonts w:ascii="Cambria" w:eastAsia="Calibri" w:hAnsi="Cambria" w:cs="Calibri"/>
                <w:lang w:val="hr-HR"/>
              </w:rPr>
              <w:t>45</w:t>
            </w:r>
          </w:p>
        </w:tc>
        <w:tc>
          <w:tcPr>
            <w:tcW w:w="101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03E7CA7" w14:textId="6F7D5154" w:rsidR="00107B57" w:rsidRPr="00DF4CE5" w:rsidRDefault="00107B57" w:rsidP="00620774">
            <w:pPr>
              <w:spacing w:after="0" w:line="240" w:lineRule="atLeast"/>
              <w:jc w:val="center"/>
              <w:rPr>
                <w:rFonts w:ascii="Cambria" w:eastAsia="Calibri" w:hAnsi="Cambria" w:cs="Calibri"/>
                <w:lang w:val="hr-HR"/>
              </w:rPr>
            </w:pPr>
            <w:r w:rsidRPr="00DF4CE5">
              <w:rPr>
                <w:rFonts w:ascii="Cambria" w:eastAsia="Calibri" w:hAnsi="Cambria" w:cs="Calibri"/>
                <w:lang w:val="hr-HR"/>
              </w:rPr>
              <w:t>1,5</w:t>
            </w:r>
          </w:p>
        </w:tc>
        <w:tc>
          <w:tcPr>
            <w:tcW w:w="131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840CB17" w14:textId="77777777" w:rsidR="00107B57" w:rsidRPr="00DF4CE5" w:rsidRDefault="00107B57" w:rsidP="00620774">
            <w:pPr>
              <w:spacing w:after="0" w:line="240" w:lineRule="atLeast"/>
              <w:jc w:val="center"/>
              <w:rPr>
                <w:rFonts w:ascii="Cambria" w:eastAsia="Calibri" w:hAnsi="Cambria" w:cs="Calibri"/>
                <w:lang w:val="hr-HR"/>
              </w:rPr>
            </w:pPr>
            <w:r w:rsidRPr="00DF4CE5">
              <w:rPr>
                <w:rFonts w:ascii="Cambria" w:eastAsia="Calibri" w:hAnsi="Cambria" w:cs="Calibri"/>
                <w:lang w:val="hr-HR"/>
              </w:rPr>
              <w:t>20%</w:t>
            </w:r>
          </w:p>
        </w:tc>
      </w:tr>
      <w:tr w:rsidR="0014341A" w:rsidRPr="00DF4CE5" w14:paraId="017B8447" w14:textId="77777777" w:rsidTr="00C106A0">
        <w:tc>
          <w:tcPr>
            <w:tcW w:w="2617" w:type="dxa"/>
            <w:vMerge/>
            <w:tcBorders>
              <w:left w:val="single" w:sz="8" w:space="0" w:color="000000"/>
              <w:right w:val="single" w:sz="8" w:space="0" w:color="000000"/>
            </w:tcBorders>
            <w:vAlign w:val="center"/>
          </w:tcPr>
          <w:p w14:paraId="5FBBBDB5" w14:textId="77777777" w:rsidR="0014341A" w:rsidRPr="00DF4CE5" w:rsidRDefault="0014341A" w:rsidP="008B34AF">
            <w:pPr>
              <w:spacing w:after="0" w:line="240" w:lineRule="atLeast"/>
              <w:jc w:val="both"/>
              <w:rPr>
                <w:rFonts w:ascii="Cambria" w:eastAsia="Calibri" w:hAnsi="Cambria" w:cs="Calibri"/>
                <w:lang w:val="hr-HR"/>
              </w:rPr>
            </w:pPr>
          </w:p>
        </w:tc>
        <w:tc>
          <w:tcPr>
            <w:tcW w:w="258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069AFC8" w14:textId="77777777" w:rsidR="0014341A" w:rsidRPr="00DF4CE5" w:rsidRDefault="0014341A" w:rsidP="008B34AF">
            <w:pPr>
              <w:spacing w:after="0" w:line="240" w:lineRule="atLeast"/>
              <w:jc w:val="both"/>
              <w:rPr>
                <w:rFonts w:ascii="Cambria" w:eastAsia="Calibri" w:hAnsi="Cambria" w:cs="Calibri"/>
                <w:lang w:val="hr-HR"/>
              </w:rPr>
            </w:pPr>
            <w:r w:rsidRPr="00DF4CE5">
              <w:rPr>
                <w:rFonts w:ascii="Cambria" w:eastAsia="Calibri" w:hAnsi="Cambria" w:cs="Calibri"/>
                <w:lang w:val="hr-HR"/>
              </w:rPr>
              <w:t>praktični radovi</w:t>
            </w:r>
          </w:p>
        </w:tc>
        <w:tc>
          <w:tcPr>
            <w:tcW w:w="10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1895C21" w14:textId="21F8531A" w:rsidR="0014341A" w:rsidRPr="00DF4CE5" w:rsidRDefault="0014341A" w:rsidP="00620774">
            <w:pPr>
              <w:spacing w:after="0" w:line="240" w:lineRule="atLeast"/>
              <w:jc w:val="center"/>
              <w:rPr>
                <w:rFonts w:ascii="Cambria" w:eastAsia="Calibri" w:hAnsi="Cambria" w:cs="Calibri"/>
                <w:lang w:val="hr-HR"/>
              </w:rPr>
            </w:pPr>
            <w:r w:rsidRPr="00DF4CE5">
              <w:rPr>
                <w:rFonts w:ascii="Cambria" w:eastAsia="Calibri" w:hAnsi="Cambria" w:cs="Calibri"/>
                <w:lang w:val="hr-HR"/>
              </w:rPr>
              <w:t>1. – 4.</w:t>
            </w:r>
          </w:p>
        </w:tc>
        <w:tc>
          <w:tcPr>
            <w:tcW w:w="71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DA03AF9" w14:textId="1E8A4FF7" w:rsidR="0014341A" w:rsidRPr="00DF4CE5" w:rsidRDefault="001F6A00" w:rsidP="00620774">
            <w:pPr>
              <w:spacing w:after="0" w:line="240" w:lineRule="atLeast"/>
              <w:jc w:val="center"/>
              <w:rPr>
                <w:rFonts w:ascii="Cambria" w:eastAsia="Calibri" w:hAnsi="Cambria" w:cs="Calibri"/>
                <w:lang w:val="hr-HR"/>
              </w:rPr>
            </w:pPr>
            <w:r w:rsidRPr="00DF4CE5">
              <w:rPr>
                <w:rFonts w:ascii="Cambria" w:eastAsia="Calibri" w:hAnsi="Cambria" w:cs="Calibri"/>
                <w:lang w:val="hr-HR"/>
              </w:rPr>
              <w:t>30</w:t>
            </w:r>
          </w:p>
        </w:tc>
        <w:tc>
          <w:tcPr>
            <w:tcW w:w="101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7034C42" w14:textId="77777777" w:rsidR="0014341A" w:rsidRPr="00DF4CE5" w:rsidRDefault="0014341A" w:rsidP="00620774">
            <w:pPr>
              <w:spacing w:after="0" w:line="240" w:lineRule="atLeast"/>
              <w:jc w:val="center"/>
              <w:rPr>
                <w:rFonts w:ascii="Cambria" w:eastAsia="Calibri" w:hAnsi="Cambria" w:cs="Calibri"/>
                <w:lang w:val="hr-HR"/>
              </w:rPr>
            </w:pPr>
            <w:r w:rsidRPr="00DF4CE5">
              <w:rPr>
                <w:rFonts w:ascii="Cambria" w:eastAsia="Calibri" w:hAnsi="Cambria" w:cs="Calibri"/>
                <w:lang w:val="hr-HR"/>
              </w:rPr>
              <w:t>1,0</w:t>
            </w:r>
          </w:p>
        </w:tc>
        <w:tc>
          <w:tcPr>
            <w:tcW w:w="131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49145BD" w14:textId="3A02BDD0" w:rsidR="0014341A" w:rsidRPr="00DF4CE5" w:rsidRDefault="0014341A" w:rsidP="00620774">
            <w:pPr>
              <w:spacing w:after="0" w:line="240" w:lineRule="atLeast"/>
              <w:jc w:val="center"/>
              <w:rPr>
                <w:rFonts w:ascii="Cambria" w:eastAsia="Calibri" w:hAnsi="Cambria" w:cs="Calibri"/>
                <w:lang w:val="hr-HR"/>
              </w:rPr>
            </w:pPr>
            <w:r w:rsidRPr="00DF4CE5">
              <w:rPr>
                <w:rFonts w:ascii="Cambria" w:eastAsia="Calibri" w:hAnsi="Cambria" w:cs="Calibri"/>
                <w:lang w:val="hr-HR"/>
              </w:rPr>
              <w:t>50%</w:t>
            </w:r>
          </w:p>
          <w:p w14:paraId="742D1B41" w14:textId="1638B526" w:rsidR="0014341A" w:rsidRPr="00DF4CE5" w:rsidRDefault="0014341A" w:rsidP="00620774">
            <w:pPr>
              <w:spacing w:after="0" w:line="240" w:lineRule="atLeast"/>
              <w:jc w:val="center"/>
              <w:rPr>
                <w:rFonts w:ascii="Cambria" w:eastAsia="Calibri" w:hAnsi="Cambria" w:cs="Calibri"/>
                <w:lang w:val="hr-HR"/>
              </w:rPr>
            </w:pPr>
            <w:r w:rsidRPr="00DF4CE5">
              <w:rPr>
                <w:rFonts w:ascii="Cambria" w:eastAsia="Calibri" w:hAnsi="Cambria" w:cs="Calibri"/>
                <w:lang w:val="hr-HR"/>
              </w:rPr>
              <w:t>(5 x 10%)</w:t>
            </w:r>
          </w:p>
        </w:tc>
      </w:tr>
      <w:tr w:rsidR="0014341A" w:rsidRPr="00DF4CE5" w14:paraId="05E2874D" w14:textId="77777777" w:rsidTr="00C106A0">
        <w:tc>
          <w:tcPr>
            <w:tcW w:w="2617" w:type="dxa"/>
            <w:vMerge/>
            <w:tcBorders>
              <w:left w:val="single" w:sz="8" w:space="0" w:color="000000"/>
              <w:right w:val="single" w:sz="8" w:space="0" w:color="000000"/>
            </w:tcBorders>
            <w:vAlign w:val="center"/>
          </w:tcPr>
          <w:p w14:paraId="7A8E4E6A" w14:textId="77777777" w:rsidR="0014341A" w:rsidRPr="00DF4CE5" w:rsidRDefault="0014341A" w:rsidP="008B34AF">
            <w:pPr>
              <w:spacing w:after="0" w:line="240" w:lineRule="atLeast"/>
              <w:jc w:val="both"/>
              <w:rPr>
                <w:rFonts w:ascii="Cambria" w:eastAsia="Calibri" w:hAnsi="Cambria" w:cs="Calibri"/>
                <w:lang w:val="hr-HR"/>
              </w:rPr>
            </w:pPr>
          </w:p>
        </w:tc>
        <w:tc>
          <w:tcPr>
            <w:tcW w:w="258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063224F" w14:textId="77777777" w:rsidR="0014341A" w:rsidRPr="00DF4CE5" w:rsidRDefault="0014341A" w:rsidP="008B34AF">
            <w:pPr>
              <w:spacing w:after="0" w:line="240" w:lineRule="atLeast"/>
              <w:jc w:val="both"/>
              <w:rPr>
                <w:rFonts w:ascii="Cambria" w:eastAsia="Calibri" w:hAnsi="Cambria" w:cs="Calibri"/>
                <w:lang w:val="hr-HR"/>
              </w:rPr>
            </w:pPr>
            <w:r w:rsidRPr="00DF4CE5">
              <w:rPr>
                <w:rFonts w:ascii="Cambria" w:eastAsia="Calibri" w:hAnsi="Cambria" w:cs="Calibri"/>
                <w:lang w:val="hr-HR"/>
              </w:rPr>
              <w:t>usmeni ispit</w:t>
            </w:r>
          </w:p>
        </w:tc>
        <w:tc>
          <w:tcPr>
            <w:tcW w:w="10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62801FF" w14:textId="77777777" w:rsidR="0014341A" w:rsidRPr="00DF4CE5" w:rsidRDefault="0014341A" w:rsidP="00620774">
            <w:pPr>
              <w:spacing w:after="0" w:line="240" w:lineRule="atLeast"/>
              <w:jc w:val="center"/>
              <w:rPr>
                <w:rFonts w:ascii="Cambria" w:eastAsia="Calibri" w:hAnsi="Cambria" w:cs="Calibri"/>
                <w:lang w:val="hr-HR"/>
              </w:rPr>
            </w:pPr>
            <w:r w:rsidRPr="00DF4CE5">
              <w:rPr>
                <w:rFonts w:ascii="Cambria" w:eastAsia="Calibri" w:hAnsi="Cambria" w:cs="Calibri"/>
                <w:lang w:val="hr-HR"/>
              </w:rPr>
              <w:t>1. – 4.</w:t>
            </w:r>
          </w:p>
        </w:tc>
        <w:tc>
          <w:tcPr>
            <w:tcW w:w="71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7E1708C" w14:textId="27103746" w:rsidR="0014341A" w:rsidRPr="00DF4CE5" w:rsidRDefault="0014341A" w:rsidP="00620774">
            <w:pPr>
              <w:spacing w:after="0" w:line="240" w:lineRule="atLeast"/>
              <w:jc w:val="center"/>
              <w:rPr>
                <w:rFonts w:ascii="Cambria" w:eastAsia="Calibri" w:hAnsi="Cambria" w:cs="Calibri"/>
                <w:lang w:val="hr-HR"/>
              </w:rPr>
            </w:pPr>
            <w:r w:rsidRPr="00DF4CE5">
              <w:rPr>
                <w:rFonts w:ascii="Cambria" w:eastAsia="Calibri" w:hAnsi="Cambria" w:cs="Calibri"/>
                <w:lang w:val="hr-HR"/>
              </w:rPr>
              <w:t>1</w:t>
            </w:r>
            <w:r w:rsidR="001F6A00" w:rsidRPr="00DF4CE5">
              <w:rPr>
                <w:rFonts w:ascii="Cambria" w:eastAsia="Calibri" w:hAnsi="Cambria" w:cs="Calibri"/>
                <w:lang w:val="hr-HR"/>
              </w:rPr>
              <w:t>5</w:t>
            </w:r>
          </w:p>
        </w:tc>
        <w:tc>
          <w:tcPr>
            <w:tcW w:w="101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EA78DB0" w14:textId="3CDDFC1C" w:rsidR="0014341A" w:rsidRPr="00DF4CE5" w:rsidRDefault="0014341A" w:rsidP="00620774">
            <w:pPr>
              <w:spacing w:after="0" w:line="240" w:lineRule="atLeast"/>
              <w:jc w:val="center"/>
              <w:rPr>
                <w:rFonts w:ascii="Cambria" w:eastAsia="Calibri" w:hAnsi="Cambria" w:cs="Calibri"/>
                <w:lang w:val="hr-HR"/>
              </w:rPr>
            </w:pPr>
            <w:r w:rsidRPr="00DF4CE5">
              <w:rPr>
                <w:rFonts w:ascii="Cambria" w:eastAsia="Calibri" w:hAnsi="Cambria" w:cs="Calibri"/>
                <w:lang w:val="hr-HR"/>
              </w:rPr>
              <w:t>0,</w:t>
            </w:r>
            <w:r w:rsidR="001F6A00" w:rsidRPr="00DF4CE5">
              <w:rPr>
                <w:rFonts w:ascii="Cambria" w:eastAsia="Calibri" w:hAnsi="Cambria" w:cs="Calibri"/>
                <w:lang w:val="hr-HR"/>
              </w:rPr>
              <w:t>5</w:t>
            </w:r>
          </w:p>
        </w:tc>
        <w:tc>
          <w:tcPr>
            <w:tcW w:w="131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CF3892E" w14:textId="55946C11" w:rsidR="0014341A" w:rsidRPr="00DF4CE5" w:rsidRDefault="0014341A" w:rsidP="00620774">
            <w:pPr>
              <w:spacing w:after="0" w:line="240" w:lineRule="atLeast"/>
              <w:jc w:val="center"/>
              <w:rPr>
                <w:rFonts w:ascii="Cambria" w:eastAsia="Calibri" w:hAnsi="Cambria" w:cs="Calibri"/>
                <w:lang w:val="hr-HR"/>
              </w:rPr>
            </w:pPr>
            <w:r w:rsidRPr="00DF4CE5">
              <w:rPr>
                <w:rFonts w:ascii="Cambria" w:eastAsia="Calibri" w:hAnsi="Cambria" w:cs="Calibri"/>
                <w:lang w:val="hr-HR"/>
              </w:rPr>
              <w:t>30%</w:t>
            </w:r>
          </w:p>
        </w:tc>
      </w:tr>
      <w:tr w:rsidR="0014341A" w:rsidRPr="00DF4CE5" w14:paraId="0822F8BE" w14:textId="77777777" w:rsidTr="00C106A0">
        <w:tc>
          <w:tcPr>
            <w:tcW w:w="2617" w:type="dxa"/>
            <w:vMerge/>
            <w:tcBorders>
              <w:left w:val="single" w:sz="8" w:space="0" w:color="000000"/>
              <w:right w:val="single" w:sz="8" w:space="0" w:color="000000"/>
            </w:tcBorders>
            <w:vAlign w:val="center"/>
          </w:tcPr>
          <w:p w14:paraId="5E6D436D" w14:textId="77777777" w:rsidR="0014341A" w:rsidRPr="00DF4CE5" w:rsidRDefault="0014341A" w:rsidP="008B34AF">
            <w:pPr>
              <w:spacing w:after="0" w:line="240" w:lineRule="atLeast"/>
              <w:jc w:val="both"/>
              <w:rPr>
                <w:rFonts w:ascii="Cambria" w:eastAsia="Calibri" w:hAnsi="Cambria" w:cs="Calibri"/>
                <w:lang w:val="hr-HR"/>
              </w:rPr>
            </w:pPr>
          </w:p>
        </w:tc>
        <w:tc>
          <w:tcPr>
            <w:tcW w:w="3673"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0C09E1E" w14:textId="07B1C0E9" w:rsidR="0014341A" w:rsidRPr="00DF4CE5" w:rsidRDefault="00620774" w:rsidP="008B34AF">
            <w:pPr>
              <w:spacing w:after="0" w:line="240" w:lineRule="atLeast"/>
              <w:jc w:val="both"/>
              <w:rPr>
                <w:rFonts w:ascii="Cambria" w:eastAsia="Calibri" w:hAnsi="Cambria" w:cs="Calibri"/>
                <w:lang w:val="hr-HR"/>
              </w:rPr>
            </w:pPr>
            <w:proofErr w:type="spellStart"/>
            <w:r>
              <w:rPr>
                <w:rFonts w:ascii="Cambria" w:eastAsia="Calibri" w:hAnsi="Cambria" w:cs="Calibri"/>
                <w:lang w:val="it-IT"/>
              </w:rPr>
              <w:t>u</w:t>
            </w:r>
            <w:r w:rsidR="0014341A" w:rsidRPr="00DF4CE5">
              <w:rPr>
                <w:rFonts w:ascii="Cambria" w:eastAsia="Calibri" w:hAnsi="Cambria" w:cs="Calibri"/>
                <w:lang w:val="it-IT"/>
              </w:rPr>
              <w:t>kupno</w:t>
            </w:r>
            <w:proofErr w:type="spellEnd"/>
          </w:p>
        </w:tc>
        <w:tc>
          <w:tcPr>
            <w:tcW w:w="71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87E9F7F" w14:textId="4C3198AE" w:rsidR="0014341A" w:rsidRPr="00DF4CE5" w:rsidRDefault="001F6A00" w:rsidP="00620774">
            <w:pPr>
              <w:spacing w:after="0" w:line="240" w:lineRule="atLeast"/>
              <w:jc w:val="center"/>
              <w:rPr>
                <w:rFonts w:ascii="Cambria" w:eastAsia="Calibri" w:hAnsi="Cambria" w:cs="Calibri"/>
                <w:lang w:val="hr-HR"/>
              </w:rPr>
            </w:pPr>
            <w:r w:rsidRPr="00DF4CE5">
              <w:rPr>
                <w:rFonts w:ascii="Cambria" w:eastAsia="Calibri" w:hAnsi="Cambria" w:cs="Calibri"/>
                <w:lang w:val="hr-HR"/>
              </w:rPr>
              <w:t>90</w:t>
            </w:r>
          </w:p>
        </w:tc>
        <w:tc>
          <w:tcPr>
            <w:tcW w:w="101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CB98043" w14:textId="77777777" w:rsidR="0014341A" w:rsidRPr="00DF4CE5" w:rsidRDefault="0014341A" w:rsidP="00620774">
            <w:pPr>
              <w:spacing w:after="0" w:line="240" w:lineRule="atLeast"/>
              <w:jc w:val="center"/>
              <w:rPr>
                <w:rFonts w:ascii="Cambria" w:eastAsia="Calibri" w:hAnsi="Cambria" w:cs="Calibri"/>
                <w:lang w:val="hr-HR"/>
              </w:rPr>
            </w:pPr>
            <w:r w:rsidRPr="00DF4CE5">
              <w:rPr>
                <w:rFonts w:ascii="Cambria" w:eastAsia="Calibri" w:hAnsi="Cambria" w:cs="Calibri"/>
                <w:lang w:val="hr-HR"/>
              </w:rPr>
              <w:t>3</w:t>
            </w:r>
          </w:p>
        </w:tc>
        <w:tc>
          <w:tcPr>
            <w:tcW w:w="131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37A5BDE" w14:textId="4E98C398" w:rsidR="0014341A" w:rsidRPr="00DF4CE5" w:rsidRDefault="0014341A" w:rsidP="00620774">
            <w:pPr>
              <w:spacing w:after="0" w:line="240" w:lineRule="atLeast"/>
              <w:jc w:val="center"/>
              <w:rPr>
                <w:rFonts w:ascii="Cambria" w:eastAsia="Calibri" w:hAnsi="Cambria" w:cs="Calibri"/>
                <w:lang w:val="hr-HR"/>
              </w:rPr>
            </w:pPr>
            <w:r w:rsidRPr="00DF4CE5">
              <w:rPr>
                <w:rFonts w:ascii="Cambria" w:eastAsia="Calibri" w:hAnsi="Cambria" w:cs="Calibri"/>
                <w:lang w:val="hr-HR"/>
              </w:rPr>
              <w:t>100%</w:t>
            </w:r>
          </w:p>
        </w:tc>
      </w:tr>
      <w:tr w:rsidR="0014341A" w:rsidRPr="00DF4CE5" w14:paraId="2E88E65E" w14:textId="77777777" w:rsidTr="00C106A0">
        <w:tc>
          <w:tcPr>
            <w:tcW w:w="261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0AD4121" w14:textId="77777777" w:rsidR="0014341A" w:rsidRPr="00DF4CE5" w:rsidRDefault="0014341A" w:rsidP="008B34AF">
            <w:pPr>
              <w:spacing w:after="0" w:line="240" w:lineRule="atLeast"/>
              <w:jc w:val="both"/>
              <w:rPr>
                <w:rFonts w:ascii="Cambria" w:eastAsia="Calibri" w:hAnsi="Cambria" w:cs="Calibri"/>
                <w:lang w:val="hr-HR"/>
              </w:rPr>
            </w:pPr>
            <w:r w:rsidRPr="00DF4CE5">
              <w:rPr>
                <w:rFonts w:ascii="Cambria" w:eastAsia="Calibri" w:hAnsi="Cambria" w:cs="Calibri"/>
                <w:lang w:val="hr-HR"/>
              </w:rPr>
              <w:t>Studentske obveze</w:t>
            </w:r>
          </w:p>
        </w:tc>
        <w:tc>
          <w:tcPr>
            <w:tcW w:w="6723"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1A859FE" w14:textId="77777777" w:rsidR="0014341A" w:rsidRPr="00DF4CE5" w:rsidRDefault="0014341A" w:rsidP="008B34AF">
            <w:pPr>
              <w:spacing w:after="0" w:line="240" w:lineRule="atLeast"/>
              <w:jc w:val="both"/>
              <w:rPr>
                <w:rFonts w:ascii="Cambria" w:eastAsia="Calibri" w:hAnsi="Cambria" w:cs="Calibri"/>
                <w:lang w:val="hr-HR"/>
              </w:rPr>
            </w:pPr>
            <w:r w:rsidRPr="00DF4CE5">
              <w:rPr>
                <w:rFonts w:ascii="Cambria" w:eastAsia="Calibri" w:hAnsi="Cambria" w:cs="Calibri"/>
                <w:lang w:val="hr-HR"/>
              </w:rPr>
              <w:t>Da položi kolegij, student/studentica mora:</w:t>
            </w:r>
          </w:p>
          <w:p w14:paraId="4291384B" w14:textId="77777777" w:rsidR="0014341A" w:rsidRPr="00DF4CE5" w:rsidRDefault="0014341A" w:rsidP="008B34AF">
            <w:pPr>
              <w:spacing w:after="0" w:line="240" w:lineRule="atLeast"/>
              <w:jc w:val="both"/>
              <w:rPr>
                <w:rFonts w:ascii="Cambria" w:eastAsia="Calibri" w:hAnsi="Cambria" w:cs="Calibri"/>
                <w:lang w:val="hr-HR"/>
              </w:rPr>
            </w:pPr>
            <w:r w:rsidRPr="00DF4CE5">
              <w:rPr>
                <w:rFonts w:ascii="Cambria" w:eastAsia="Calibri" w:hAnsi="Cambria" w:cs="Calibri"/>
                <w:lang w:val="hr-HR"/>
              </w:rPr>
              <w:t>1. redovito pratiti nastavu i aktivno sudjelovati u svim oblicima nastave, posebno u vježbama</w:t>
            </w:r>
          </w:p>
          <w:p w14:paraId="582978F9" w14:textId="77777777" w:rsidR="0014341A" w:rsidRPr="00DF4CE5" w:rsidRDefault="0014341A" w:rsidP="008B34AF">
            <w:pPr>
              <w:spacing w:after="0" w:line="240" w:lineRule="atLeast"/>
              <w:jc w:val="both"/>
              <w:rPr>
                <w:rFonts w:ascii="Cambria" w:eastAsia="Calibri" w:hAnsi="Cambria" w:cs="Calibri"/>
                <w:lang w:val="hr-HR"/>
              </w:rPr>
            </w:pPr>
            <w:r w:rsidRPr="00DF4CE5">
              <w:rPr>
                <w:rFonts w:ascii="Cambria" w:eastAsia="Calibri" w:hAnsi="Cambria" w:cs="Calibri"/>
                <w:lang w:val="hr-HR"/>
              </w:rPr>
              <w:t>2. izraditi praktične radove</w:t>
            </w:r>
          </w:p>
          <w:p w14:paraId="4A12DF98" w14:textId="77777777" w:rsidR="0014341A" w:rsidRPr="00DF4CE5" w:rsidRDefault="0014341A" w:rsidP="008B34AF">
            <w:pPr>
              <w:spacing w:after="0" w:line="240" w:lineRule="atLeast"/>
              <w:jc w:val="both"/>
              <w:rPr>
                <w:rFonts w:ascii="Cambria" w:eastAsia="Calibri" w:hAnsi="Cambria" w:cs="Calibri"/>
                <w:lang w:val="hr-HR"/>
              </w:rPr>
            </w:pPr>
            <w:r w:rsidRPr="00DF4CE5">
              <w:rPr>
                <w:rFonts w:ascii="Cambria" w:eastAsia="Calibri" w:hAnsi="Cambria" w:cs="Calibri"/>
                <w:lang w:val="hr-HR"/>
              </w:rPr>
              <w:t>3. posjetiti najmanje pet recentnih izložbi u muzejima i galerijama i prema mogućnosti prisustvovati na najmanje pet otvorenja recentnih izložbi</w:t>
            </w:r>
          </w:p>
          <w:p w14:paraId="51189CB7" w14:textId="34DE93F1" w:rsidR="0014341A" w:rsidRPr="00DF4CE5" w:rsidRDefault="0014341A" w:rsidP="008B34AF">
            <w:pPr>
              <w:spacing w:after="0" w:line="240" w:lineRule="atLeast"/>
              <w:jc w:val="both"/>
              <w:rPr>
                <w:rFonts w:ascii="Cambria" w:eastAsia="Calibri" w:hAnsi="Cambria" w:cs="Calibri"/>
                <w:lang w:val="hr-HR"/>
              </w:rPr>
            </w:pPr>
            <w:r w:rsidRPr="00DF4CE5">
              <w:rPr>
                <w:rFonts w:ascii="Cambria" w:eastAsia="Calibri" w:hAnsi="Cambria" w:cs="Calibri"/>
                <w:lang w:val="hr-HR"/>
              </w:rPr>
              <w:t xml:space="preserve">4. </w:t>
            </w:r>
            <w:r w:rsidR="00620774">
              <w:rPr>
                <w:rFonts w:ascii="Cambria" w:eastAsia="Calibri" w:hAnsi="Cambria" w:cs="Calibri"/>
                <w:lang w:val="hr-HR"/>
              </w:rPr>
              <w:t>p</w:t>
            </w:r>
            <w:r w:rsidRPr="00DF4CE5">
              <w:rPr>
                <w:rFonts w:ascii="Cambria" w:eastAsia="Calibri" w:hAnsi="Cambria" w:cs="Calibri"/>
                <w:lang w:val="hr-HR"/>
              </w:rPr>
              <w:t>oložiti usmeni ispit</w:t>
            </w:r>
            <w:r w:rsidR="00620774">
              <w:rPr>
                <w:rFonts w:ascii="Cambria" w:eastAsia="Calibri" w:hAnsi="Cambria" w:cs="Calibri"/>
                <w:lang w:val="hr-HR"/>
              </w:rPr>
              <w:t>.</w:t>
            </w:r>
          </w:p>
          <w:p w14:paraId="3840F1CC" w14:textId="77777777" w:rsidR="0014341A" w:rsidRPr="00DF4CE5" w:rsidRDefault="0014341A" w:rsidP="008B34AF">
            <w:pPr>
              <w:spacing w:after="0" w:line="240" w:lineRule="atLeast"/>
              <w:jc w:val="both"/>
              <w:rPr>
                <w:rFonts w:ascii="Cambria" w:eastAsia="Calibri" w:hAnsi="Cambria" w:cs="Calibri"/>
                <w:lang w:val="hr-HR"/>
              </w:rPr>
            </w:pPr>
            <w:r w:rsidRPr="00DF4CE5">
              <w:rPr>
                <w:rFonts w:ascii="Cambria" w:eastAsia="Calibri" w:hAnsi="Cambria" w:cs="Calibri"/>
                <w:lang w:val="hr-HR"/>
              </w:rPr>
              <w:t xml:space="preserve">Napomena: (vrijedi za obvezu 2.) Studenti su dužni izraditi praktične radove izvan ustanove i </w:t>
            </w:r>
            <w:proofErr w:type="spellStart"/>
            <w:r w:rsidRPr="00DF4CE5">
              <w:rPr>
                <w:rFonts w:ascii="Cambria" w:eastAsia="Calibri" w:hAnsi="Cambria" w:cs="Calibri"/>
                <w:lang w:val="hr-HR"/>
              </w:rPr>
              <w:t>in</w:t>
            </w:r>
            <w:proofErr w:type="spellEnd"/>
            <w:r w:rsidRPr="00DF4CE5">
              <w:rPr>
                <w:rFonts w:ascii="Cambria" w:eastAsia="Calibri" w:hAnsi="Cambria" w:cs="Calibri"/>
                <w:lang w:val="hr-HR"/>
              </w:rPr>
              <w:t xml:space="preserve"> situ, na nastavi. Ako ne riješe obveze do zadanoga roka, gube pravo na ECTS-e iz kolegija u toj akademskoj godini. Rokovi se u ovome kolegiju u potpunosti poštuju.</w:t>
            </w:r>
          </w:p>
        </w:tc>
      </w:tr>
      <w:tr w:rsidR="0014341A" w:rsidRPr="00D0399C" w14:paraId="23B33E10" w14:textId="77777777" w:rsidTr="00C106A0">
        <w:tc>
          <w:tcPr>
            <w:tcW w:w="261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4FA7405" w14:textId="77777777" w:rsidR="0014341A" w:rsidRPr="00DF4CE5" w:rsidRDefault="0014341A" w:rsidP="008B34AF">
            <w:pPr>
              <w:spacing w:after="0" w:line="240" w:lineRule="atLeast"/>
              <w:jc w:val="both"/>
              <w:rPr>
                <w:rFonts w:ascii="Cambria" w:eastAsia="Calibri" w:hAnsi="Cambria" w:cs="Calibri"/>
                <w:lang w:val="hr-HR"/>
              </w:rPr>
            </w:pPr>
            <w:r w:rsidRPr="00DF4CE5">
              <w:rPr>
                <w:rFonts w:ascii="Cambria" w:eastAsia="Calibri" w:hAnsi="Cambria" w:cs="Calibri"/>
                <w:lang w:val="hr-HR"/>
              </w:rPr>
              <w:t>Rokovi ispita</w:t>
            </w:r>
          </w:p>
        </w:tc>
        <w:tc>
          <w:tcPr>
            <w:tcW w:w="6723"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741D5C9" w14:textId="77777777" w:rsidR="0014341A" w:rsidRPr="00DF4CE5" w:rsidRDefault="0014341A" w:rsidP="008B34AF">
            <w:pPr>
              <w:spacing w:after="0" w:line="240" w:lineRule="atLeast"/>
              <w:jc w:val="both"/>
              <w:rPr>
                <w:rFonts w:ascii="Cambria" w:eastAsia="Calibri" w:hAnsi="Cambria" w:cs="Calibri"/>
                <w:lang w:val="hr-HR"/>
              </w:rPr>
            </w:pPr>
            <w:r w:rsidRPr="00DF4CE5">
              <w:rPr>
                <w:rFonts w:ascii="Cambria" w:eastAsia="Calibri" w:hAnsi="Cambria" w:cs="Calibri"/>
                <w:lang w:val="hr-HR"/>
              </w:rPr>
              <w:t>Daju se na početku semestra, objavljuju se na mrežnim stranicama Sveučilišta i u ISVU.</w:t>
            </w:r>
          </w:p>
        </w:tc>
      </w:tr>
      <w:tr w:rsidR="0014341A" w:rsidRPr="00620774" w14:paraId="3F9DA1AC" w14:textId="77777777" w:rsidTr="00C106A0">
        <w:tc>
          <w:tcPr>
            <w:tcW w:w="261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E60AE93" w14:textId="77777777" w:rsidR="0014341A" w:rsidRPr="00DF4CE5" w:rsidRDefault="0014341A" w:rsidP="008B34AF">
            <w:pPr>
              <w:spacing w:after="0" w:line="240" w:lineRule="atLeast"/>
              <w:jc w:val="both"/>
              <w:rPr>
                <w:rFonts w:ascii="Cambria" w:eastAsia="Calibri" w:hAnsi="Cambria" w:cs="Calibri"/>
                <w:lang w:val="hr-HR"/>
              </w:rPr>
            </w:pPr>
            <w:r w:rsidRPr="00DF4CE5">
              <w:rPr>
                <w:rFonts w:ascii="Cambria" w:eastAsia="Calibri" w:hAnsi="Cambria" w:cs="Calibri"/>
                <w:lang w:val="hr-HR"/>
              </w:rPr>
              <w:t>Ostale važne činjenice za kolegij</w:t>
            </w:r>
          </w:p>
        </w:tc>
        <w:tc>
          <w:tcPr>
            <w:tcW w:w="6723"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E16112C" w14:textId="54EFA761" w:rsidR="0014341A" w:rsidRPr="00DF4CE5" w:rsidRDefault="0014341A" w:rsidP="008B34AF">
            <w:pPr>
              <w:spacing w:after="0" w:line="240" w:lineRule="atLeast"/>
              <w:jc w:val="both"/>
              <w:rPr>
                <w:rFonts w:ascii="Cambria" w:eastAsia="Calibri" w:hAnsi="Cambria" w:cs="Calibri"/>
                <w:lang w:val="hr-HR"/>
              </w:rPr>
            </w:pPr>
            <w:r w:rsidRPr="00DF4CE5">
              <w:rPr>
                <w:rFonts w:ascii="Cambria" w:eastAsia="Calibri" w:hAnsi="Cambria" w:cs="Calibri"/>
                <w:lang w:val="hr-HR"/>
              </w:rPr>
              <w:t xml:space="preserve">U slučaju održavanja nastave na daljinu, moguće je odstupanje u: mjestu izvođenja kolegija, provedbi aktivnosti, metoda tumačenja i poučavanja i načinima vrednovanja, studentskim obvezama i dostupnoj literaturi. </w:t>
            </w:r>
            <w:r w:rsidR="00620774" w:rsidRPr="00DF4CE5">
              <w:rPr>
                <w:rFonts w:ascii="Cambria" w:eastAsia="Times New Roman" w:hAnsi="Cambria" w:cs="Calibri"/>
                <w:lang w:val="hr-HR"/>
              </w:rPr>
              <w:t xml:space="preserve">O tome će nositeljica kolegija obavijestiti studente i studentice kad se nastava na daljinu počne održavati. </w:t>
            </w:r>
            <w:r w:rsidRPr="00DF4CE5">
              <w:rPr>
                <w:rFonts w:ascii="Cambria" w:eastAsia="Calibri" w:hAnsi="Cambria" w:cs="Calibri"/>
                <w:lang w:val="hr-HR"/>
              </w:rPr>
              <w:t>Ishodi učenja ostaju nepromijenjeni.</w:t>
            </w:r>
          </w:p>
        </w:tc>
      </w:tr>
      <w:tr w:rsidR="0014341A" w:rsidRPr="00D0399C" w14:paraId="4647D368" w14:textId="77777777" w:rsidTr="00C106A0">
        <w:trPr>
          <w:trHeight w:val="770"/>
        </w:trPr>
        <w:tc>
          <w:tcPr>
            <w:tcW w:w="261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D50116A" w14:textId="77777777" w:rsidR="0014341A" w:rsidRPr="00DF4CE5" w:rsidRDefault="0014341A" w:rsidP="008B34AF">
            <w:pPr>
              <w:spacing w:after="0" w:line="240" w:lineRule="atLeast"/>
              <w:jc w:val="both"/>
              <w:rPr>
                <w:rFonts w:ascii="Cambria" w:eastAsia="Calibri" w:hAnsi="Cambria" w:cs="Calibri"/>
                <w:lang w:val="hr-HR"/>
              </w:rPr>
            </w:pPr>
            <w:r w:rsidRPr="00DF4CE5">
              <w:rPr>
                <w:rFonts w:ascii="Cambria" w:eastAsia="Calibri" w:hAnsi="Cambria" w:cs="Calibri"/>
                <w:lang w:val="hr-HR"/>
              </w:rPr>
              <w:t>Literatura</w:t>
            </w:r>
          </w:p>
        </w:tc>
        <w:tc>
          <w:tcPr>
            <w:tcW w:w="6723"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23B8BF64" w14:textId="77777777" w:rsidR="0014341A" w:rsidRPr="00DF4CE5" w:rsidRDefault="0014341A" w:rsidP="008B34AF">
            <w:pPr>
              <w:spacing w:after="0" w:line="240" w:lineRule="atLeast"/>
              <w:jc w:val="both"/>
              <w:rPr>
                <w:rFonts w:ascii="Cambria" w:eastAsia="Calibri" w:hAnsi="Cambria" w:cs="Calibri"/>
                <w:lang w:val="hr-HR"/>
              </w:rPr>
            </w:pPr>
            <w:r w:rsidRPr="00DF4CE5">
              <w:rPr>
                <w:rFonts w:ascii="Cambria" w:eastAsia="Calibri" w:hAnsi="Cambria" w:cs="Calibri"/>
                <w:lang w:val="hr-HR"/>
              </w:rPr>
              <w:t xml:space="preserve">Obvezna: </w:t>
            </w:r>
          </w:p>
          <w:p w14:paraId="0193156E" w14:textId="77777777" w:rsidR="0014341A" w:rsidRPr="00DF4CE5" w:rsidRDefault="0014341A" w:rsidP="00A034E3">
            <w:pPr>
              <w:numPr>
                <w:ilvl w:val="0"/>
                <w:numId w:val="37"/>
              </w:numPr>
              <w:spacing w:after="0" w:line="240" w:lineRule="atLeast"/>
              <w:ind w:left="714" w:hanging="357"/>
              <w:jc w:val="both"/>
              <w:rPr>
                <w:rFonts w:ascii="Cambria" w:eastAsia="Calibri" w:hAnsi="Cambria" w:cs="Calibri"/>
                <w:lang w:val="hr-HR"/>
              </w:rPr>
            </w:pPr>
            <w:r w:rsidRPr="00DF4CE5">
              <w:rPr>
                <w:rFonts w:ascii="Cambria" w:eastAsia="Calibri" w:hAnsi="Cambria" w:cs="Calibri"/>
                <w:lang w:val="hr-HR"/>
              </w:rPr>
              <w:t>Grgurić, N. – Jakubin, M. (1996): „Vizualno-likovni odgoj i obrazovanje, metodički priručnik“. Zagreb: Educa 23.</w:t>
            </w:r>
          </w:p>
          <w:p w14:paraId="02A9D5FC" w14:textId="77777777" w:rsidR="0014341A" w:rsidRPr="00DF4CE5" w:rsidRDefault="0014341A" w:rsidP="00A034E3">
            <w:pPr>
              <w:numPr>
                <w:ilvl w:val="0"/>
                <w:numId w:val="37"/>
              </w:numPr>
              <w:spacing w:after="0" w:line="240" w:lineRule="atLeast"/>
              <w:ind w:left="714" w:hanging="357"/>
              <w:jc w:val="both"/>
              <w:rPr>
                <w:rFonts w:ascii="Cambria" w:eastAsia="Calibri" w:hAnsi="Cambria" w:cs="Calibri"/>
                <w:lang w:val="hr-HR"/>
              </w:rPr>
            </w:pPr>
            <w:r w:rsidRPr="00DF4CE5">
              <w:rPr>
                <w:rFonts w:ascii="Cambria" w:eastAsia="Calibri" w:hAnsi="Cambria" w:cs="Calibri"/>
                <w:lang w:val="hr-HR"/>
              </w:rPr>
              <w:t>Jakubin, M. (2001): „Osnove likovnoga jezika i likovne tehnike“. Zagreb: Educa.</w:t>
            </w:r>
          </w:p>
          <w:p w14:paraId="4882E0CA" w14:textId="77777777" w:rsidR="0014341A" w:rsidRPr="00DF4CE5" w:rsidRDefault="0014341A" w:rsidP="008B34AF">
            <w:pPr>
              <w:spacing w:after="0" w:line="240" w:lineRule="atLeast"/>
              <w:jc w:val="both"/>
              <w:rPr>
                <w:rFonts w:ascii="Cambria" w:eastAsia="Calibri" w:hAnsi="Cambria" w:cs="Calibri"/>
                <w:lang w:val="hr-HR"/>
              </w:rPr>
            </w:pPr>
            <w:r w:rsidRPr="00DF4CE5">
              <w:rPr>
                <w:rFonts w:ascii="Cambria" w:eastAsia="Calibri" w:hAnsi="Cambria" w:cs="Calibri"/>
                <w:lang w:val="hr-HR"/>
              </w:rPr>
              <w:t>Izborna:</w:t>
            </w:r>
          </w:p>
          <w:p w14:paraId="5FF68C38" w14:textId="77777777" w:rsidR="0014341A" w:rsidRPr="00DF4CE5" w:rsidRDefault="0014341A" w:rsidP="00A034E3">
            <w:pPr>
              <w:numPr>
                <w:ilvl w:val="0"/>
                <w:numId w:val="38"/>
              </w:numPr>
              <w:spacing w:after="0" w:line="240" w:lineRule="atLeast"/>
              <w:jc w:val="both"/>
              <w:rPr>
                <w:rFonts w:ascii="Cambria" w:eastAsia="Calibri" w:hAnsi="Cambria" w:cs="Calibri"/>
                <w:lang w:val="hr-HR"/>
              </w:rPr>
            </w:pPr>
            <w:proofErr w:type="spellStart"/>
            <w:r w:rsidRPr="00DF4CE5">
              <w:rPr>
                <w:rFonts w:ascii="Cambria" w:eastAsia="Calibri" w:hAnsi="Cambria" w:cs="Calibri"/>
                <w:lang w:val="hr-HR"/>
              </w:rPr>
              <w:t>Godec</w:t>
            </w:r>
            <w:proofErr w:type="spellEnd"/>
            <w:r w:rsidRPr="00DF4CE5">
              <w:rPr>
                <w:rFonts w:ascii="Cambria" w:eastAsia="Calibri" w:hAnsi="Cambria" w:cs="Calibri"/>
                <w:lang w:val="hr-HR"/>
              </w:rPr>
              <w:t xml:space="preserve"> Schmidt, J. (1989): Danas slikam, Ljubljana: </w:t>
            </w:r>
            <w:proofErr w:type="spellStart"/>
            <w:r w:rsidRPr="00DF4CE5">
              <w:rPr>
                <w:rFonts w:ascii="Cambria" w:eastAsia="Calibri" w:hAnsi="Cambria" w:cs="Calibri"/>
                <w:lang w:val="hr-HR"/>
              </w:rPr>
              <w:t>Mladinska</w:t>
            </w:r>
            <w:proofErr w:type="spellEnd"/>
            <w:r w:rsidRPr="00DF4CE5">
              <w:rPr>
                <w:rFonts w:ascii="Cambria" w:eastAsia="Calibri" w:hAnsi="Cambria" w:cs="Calibri"/>
                <w:lang w:val="hr-HR"/>
              </w:rPr>
              <w:t xml:space="preserve"> knjiga.</w:t>
            </w:r>
          </w:p>
          <w:p w14:paraId="106E21FB" w14:textId="77777777" w:rsidR="0014341A" w:rsidRPr="00DF4CE5" w:rsidRDefault="0014341A" w:rsidP="00A034E3">
            <w:pPr>
              <w:numPr>
                <w:ilvl w:val="0"/>
                <w:numId w:val="38"/>
              </w:numPr>
              <w:spacing w:after="0" w:line="240" w:lineRule="atLeast"/>
              <w:jc w:val="both"/>
              <w:rPr>
                <w:rFonts w:ascii="Cambria" w:eastAsia="Calibri" w:hAnsi="Cambria" w:cs="Calibri"/>
                <w:lang w:val="hr-HR"/>
              </w:rPr>
            </w:pPr>
            <w:r w:rsidRPr="00DF4CE5">
              <w:rPr>
                <w:rFonts w:ascii="Cambria" w:eastAsia="Calibri" w:hAnsi="Cambria" w:cs="Calibri"/>
                <w:lang w:val="hr-HR"/>
              </w:rPr>
              <w:t xml:space="preserve">Janson, Anthony F. (2004): Povijest umjetnosti. Varaždin: </w:t>
            </w:r>
            <w:proofErr w:type="spellStart"/>
            <w:r w:rsidRPr="00DF4CE5">
              <w:rPr>
                <w:rFonts w:ascii="Cambria" w:eastAsia="Calibri" w:hAnsi="Cambria" w:cs="Calibri"/>
                <w:lang w:val="hr-HR"/>
              </w:rPr>
              <w:t>Stanek</w:t>
            </w:r>
            <w:proofErr w:type="spellEnd"/>
            <w:r w:rsidRPr="00DF4CE5">
              <w:rPr>
                <w:rFonts w:ascii="Cambria" w:eastAsia="Calibri" w:hAnsi="Cambria" w:cs="Calibri"/>
                <w:lang w:val="hr-HR"/>
              </w:rPr>
              <w:t>.</w:t>
            </w:r>
          </w:p>
          <w:p w14:paraId="6C1A414B" w14:textId="77777777" w:rsidR="0014341A" w:rsidRPr="00DF4CE5" w:rsidRDefault="0014341A" w:rsidP="00A034E3">
            <w:pPr>
              <w:numPr>
                <w:ilvl w:val="0"/>
                <w:numId w:val="38"/>
              </w:numPr>
              <w:spacing w:after="0" w:line="240" w:lineRule="atLeast"/>
              <w:jc w:val="both"/>
              <w:rPr>
                <w:rFonts w:ascii="Cambria" w:eastAsia="Calibri" w:hAnsi="Cambria" w:cs="Calibri"/>
                <w:lang w:val="hr-HR"/>
              </w:rPr>
            </w:pPr>
            <w:r w:rsidRPr="00DF4CE5">
              <w:rPr>
                <w:rFonts w:ascii="Cambria" w:eastAsia="Calibri" w:hAnsi="Cambria" w:cs="Calibri"/>
                <w:lang w:val="hr-HR"/>
              </w:rPr>
              <w:t>Likovne i druge enciklopedije, katalozi originalnih eksponata dijela zbirki muzeja i galerija, izvori s interneta – reprodukcije, video, glazba, djela iz književnosti.</w:t>
            </w:r>
          </w:p>
        </w:tc>
      </w:tr>
    </w:tbl>
    <w:p w14:paraId="130F4180" w14:textId="2192AF89" w:rsidR="008345F3" w:rsidRPr="008345F3" w:rsidRDefault="008345F3" w:rsidP="008345F3">
      <w:pPr>
        <w:rPr>
          <w:rFonts w:ascii="Cambria" w:hAnsi="Cambria"/>
          <w:lang w:val="hr-HR"/>
        </w:rPr>
        <w:sectPr w:rsidR="008345F3" w:rsidRPr="008345F3">
          <w:pgSz w:w="12240" w:h="15840"/>
          <w:pgMar w:top="1440" w:right="1020" w:bottom="280" w:left="1180" w:header="720" w:footer="720" w:gutter="0"/>
          <w:cols w:space="720"/>
        </w:sectPr>
      </w:pPr>
    </w:p>
    <w:tbl>
      <w:tblPr>
        <w:tblW w:w="5364" w:type="pct"/>
        <w:tblLayout w:type="fixed"/>
        <w:tblCellMar>
          <w:left w:w="0" w:type="dxa"/>
          <w:right w:w="0" w:type="dxa"/>
        </w:tblCellMar>
        <w:tblLook w:val="0600" w:firstRow="0" w:lastRow="0" w:firstColumn="0" w:lastColumn="0" w:noHBand="1" w:noVBand="1"/>
      </w:tblPr>
      <w:tblGrid>
        <w:gridCol w:w="2806"/>
        <w:gridCol w:w="2663"/>
        <w:gridCol w:w="105"/>
        <w:gridCol w:w="1172"/>
        <w:gridCol w:w="300"/>
        <w:gridCol w:w="472"/>
        <w:gridCol w:w="1087"/>
        <w:gridCol w:w="1415"/>
      </w:tblGrid>
      <w:tr w:rsidR="002A021D" w:rsidRPr="008345F3" w14:paraId="4B6348AE" w14:textId="77777777" w:rsidTr="002A021D">
        <w:tc>
          <w:tcPr>
            <w:tcW w:w="10020"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D34BDD4" w14:textId="77777777" w:rsidR="002A021D" w:rsidRPr="008345F3" w:rsidRDefault="002A021D" w:rsidP="000B2D2C">
            <w:pPr>
              <w:spacing w:after="0"/>
              <w:jc w:val="right"/>
              <w:rPr>
                <w:rFonts w:ascii="Cambria" w:eastAsia="Calibri" w:hAnsi="Cambria" w:cs="Calibri"/>
                <w:b/>
              </w:rPr>
            </w:pPr>
            <w:r w:rsidRPr="008345F3">
              <w:rPr>
                <w:rFonts w:ascii="Cambria" w:eastAsia="Calibri" w:hAnsi="Cambria" w:cs="Calibri"/>
                <w:b/>
              </w:rPr>
              <w:lastRenderedPageBreak/>
              <w:t>IZVEDBENI PLAN NASTAVE KOLEGIJA</w:t>
            </w:r>
          </w:p>
        </w:tc>
      </w:tr>
      <w:tr w:rsidR="002A021D" w:rsidRPr="008345F3" w14:paraId="581456A0" w14:textId="77777777" w:rsidTr="002A021D">
        <w:tc>
          <w:tcPr>
            <w:tcW w:w="280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AE80CCF" w14:textId="77777777" w:rsidR="002A021D" w:rsidRPr="008345F3" w:rsidRDefault="002A021D" w:rsidP="000B2D2C">
            <w:pPr>
              <w:spacing w:after="0"/>
              <w:jc w:val="both"/>
              <w:rPr>
                <w:rFonts w:ascii="Cambria" w:eastAsia="Calibri" w:hAnsi="Cambria" w:cs="Calibri"/>
              </w:rPr>
            </w:pPr>
            <w:proofErr w:type="spellStart"/>
            <w:r w:rsidRPr="008345F3">
              <w:rPr>
                <w:rFonts w:ascii="Cambria" w:eastAsia="Calibri" w:hAnsi="Cambria" w:cs="Calibri"/>
              </w:rPr>
              <w:t>Kod</w:t>
            </w:r>
            <w:proofErr w:type="spellEnd"/>
            <w:r w:rsidRPr="008345F3">
              <w:rPr>
                <w:rFonts w:ascii="Cambria" w:eastAsia="Calibri" w:hAnsi="Cambria" w:cs="Calibri"/>
              </w:rPr>
              <w:t xml:space="preserve"> </w:t>
            </w:r>
            <w:proofErr w:type="spellStart"/>
            <w:r w:rsidRPr="008345F3">
              <w:rPr>
                <w:rFonts w:ascii="Cambria" w:eastAsia="Calibri" w:hAnsi="Cambria" w:cs="Calibri"/>
              </w:rPr>
              <w:t>i</w:t>
            </w:r>
            <w:proofErr w:type="spellEnd"/>
            <w:r w:rsidRPr="008345F3">
              <w:rPr>
                <w:rFonts w:ascii="Cambria" w:eastAsia="Calibri" w:hAnsi="Cambria" w:cs="Calibri"/>
              </w:rPr>
              <w:t xml:space="preserve"> </w:t>
            </w:r>
            <w:proofErr w:type="spellStart"/>
            <w:r w:rsidRPr="008345F3">
              <w:rPr>
                <w:rFonts w:ascii="Cambria" w:eastAsia="Calibri" w:hAnsi="Cambria" w:cs="Calibri"/>
              </w:rPr>
              <w:t>naziv</w:t>
            </w:r>
            <w:proofErr w:type="spellEnd"/>
            <w:r w:rsidRPr="008345F3">
              <w:rPr>
                <w:rFonts w:ascii="Cambria" w:eastAsia="Calibri" w:hAnsi="Cambria" w:cs="Calibri"/>
              </w:rPr>
              <w:t xml:space="preserve"> </w:t>
            </w:r>
            <w:proofErr w:type="spellStart"/>
            <w:r w:rsidRPr="008345F3">
              <w:rPr>
                <w:rFonts w:ascii="Cambria" w:eastAsia="Calibri" w:hAnsi="Cambria" w:cs="Calibri"/>
              </w:rPr>
              <w:t>kolegija</w:t>
            </w:r>
            <w:proofErr w:type="spellEnd"/>
          </w:p>
        </w:tc>
        <w:tc>
          <w:tcPr>
            <w:tcW w:w="721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340339E" w14:textId="77777777" w:rsidR="002A021D" w:rsidRPr="008345F3" w:rsidRDefault="002A021D" w:rsidP="000B2D2C">
            <w:pPr>
              <w:spacing w:after="0"/>
              <w:jc w:val="both"/>
              <w:rPr>
                <w:rFonts w:ascii="Cambria" w:eastAsia="Calibri" w:hAnsi="Cambria" w:cs="Calibri"/>
                <w:bCs/>
              </w:rPr>
            </w:pPr>
            <w:r w:rsidRPr="008345F3">
              <w:rPr>
                <w:rFonts w:ascii="Cambria" w:eastAsia="Calibri" w:hAnsi="Cambria" w:cs="Calibri"/>
              </w:rPr>
              <w:t>118952</w:t>
            </w:r>
          </w:p>
          <w:p w14:paraId="01092D1D" w14:textId="4C384AE8" w:rsidR="002A021D" w:rsidRPr="008345F3" w:rsidRDefault="002A021D" w:rsidP="000B2D2C">
            <w:pPr>
              <w:spacing w:after="0"/>
              <w:jc w:val="both"/>
              <w:rPr>
                <w:rFonts w:ascii="Cambria" w:eastAsia="Calibri" w:hAnsi="Cambria" w:cs="Calibri"/>
                <w:b/>
                <w:bCs/>
              </w:rPr>
            </w:pPr>
            <w:proofErr w:type="spellStart"/>
            <w:r w:rsidRPr="008345F3">
              <w:rPr>
                <w:rFonts w:ascii="Cambria" w:eastAsia="Calibri" w:hAnsi="Cambria" w:cs="Calibri"/>
              </w:rPr>
              <w:t>Kineziološka</w:t>
            </w:r>
            <w:proofErr w:type="spellEnd"/>
            <w:r w:rsidRPr="008345F3">
              <w:rPr>
                <w:rFonts w:ascii="Cambria" w:eastAsia="Calibri" w:hAnsi="Cambria" w:cs="Calibri"/>
              </w:rPr>
              <w:t xml:space="preserve"> </w:t>
            </w:r>
            <w:proofErr w:type="spellStart"/>
            <w:r w:rsidRPr="008345F3">
              <w:rPr>
                <w:rFonts w:ascii="Cambria" w:eastAsia="Calibri" w:hAnsi="Cambria" w:cs="Calibri"/>
              </w:rPr>
              <w:t>metodika</w:t>
            </w:r>
            <w:proofErr w:type="spellEnd"/>
            <w:r w:rsidRPr="008345F3">
              <w:rPr>
                <w:rFonts w:ascii="Cambria" w:eastAsia="Calibri" w:hAnsi="Cambria" w:cs="Calibri"/>
              </w:rPr>
              <w:t xml:space="preserve"> II</w:t>
            </w:r>
          </w:p>
        </w:tc>
      </w:tr>
      <w:tr w:rsidR="002A021D" w:rsidRPr="008345F3" w14:paraId="6B7231F0" w14:textId="77777777" w:rsidTr="002A021D">
        <w:tc>
          <w:tcPr>
            <w:tcW w:w="280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F4C0E99" w14:textId="77777777" w:rsidR="002A021D" w:rsidRPr="008345F3" w:rsidRDefault="002A021D" w:rsidP="000B2D2C">
            <w:pPr>
              <w:spacing w:after="0"/>
              <w:jc w:val="both"/>
              <w:rPr>
                <w:rFonts w:ascii="Cambria" w:eastAsia="Calibri" w:hAnsi="Cambria" w:cs="Calibri"/>
              </w:rPr>
            </w:pPr>
            <w:proofErr w:type="spellStart"/>
            <w:r w:rsidRPr="008345F3">
              <w:rPr>
                <w:rFonts w:ascii="Cambria" w:eastAsia="Calibri" w:hAnsi="Cambria" w:cs="Calibri"/>
              </w:rPr>
              <w:t>Nastavnica</w:t>
            </w:r>
            <w:proofErr w:type="spellEnd"/>
            <w:r w:rsidRPr="008345F3">
              <w:rPr>
                <w:rFonts w:ascii="Cambria" w:eastAsia="Calibri" w:hAnsi="Cambria" w:cs="Calibri"/>
              </w:rPr>
              <w:t xml:space="preserve"> </w:t>
            </w:r>
          </w:p>
        </w:tc>
        <w:tc>
          <w:tcPr>
            <w:tcW w:w="721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3D8B3B0" w14:textId="77777777" w:rsidR="002A021D" w:rsidRPr="008345F3" w:rsidRDefault="002A021D" w:rsidP="000B2D2C">
            <w:pPr>
              <w:spacing w:after="0"/>
              <w:jc w:val="both"/>
              <w:rPr>
                <w:rFonts w:ascii="Cambria" w:eastAsia="Calibri" w:hAnsi="Cambria" w:cs="Calibri"/>
              </w:rPr>
            </w:pPr>
            <w:hyperlink r:id="rId165" w:history="1">
              <w:r>
                <w:rPr>
                  <w:rStyle w:val="Hiperveza"/>
                  <w:rFonts w:ascii="Cambria" w:hAnsi="Cambria" w:cs="Calibri"/>
                </w:rPr>
                <w:t>P</w:t>
              </w:r>
              <w:r w:rsidRPr="008345F3">
                <w:rPr>
                  <w:rStyle w:val="Hiperveza"/>
                  <w:rFonts w:ascii="Cambria" w:hAnsi="Cambria" w:cs="Calibri"/>
                </w:rPr>
                <w:t>rof. dr. sc. Iva Blažević</w:t>
              </w:r>
            </w:hyperlink>
            <w:r w:rsidRPr="008345F3">
              <w:rPr>
                <w:rFonts w:ascii="Cambria" w:eastAsia="Times New Roman" w:hAnsi="Cambria" w:cs="Calibri"/>
              </w:rPr>
              <w:t xml:space="preserve"> </w:t>
            </w:r>
            <w:r>
              <w:rPr>
                <w:rFonts w:ascii="Cambria" w:eastAsia="Times New Roman" w:hAnsi="Cambria" w:cs="Calibri"/>
              </w:rPr>
              <w:t>(</w:t>
            </w:r>
            <w:proofErr w:type="spellStart"/>
            <w:r w:rsidRPr="008345F3">
              <w:rPr>
                <w:rFonts w:ascii="Cambria" w:eastAsia="Times New Roman" w:hAnsi="Cambria" w:cs="Calibri"/>
              </w:rPr>
              <w:t>nositeljica</w:t>
            </w:r>
            <w:proofErr w:type="spellEnd"/>
            <w:r>
              <w:rPr>
                <w:rFonts w:ascii="Cambria" w:eastAsia="Times New Roman" w:hAnsi="Cambria" w:cs="Calibri"/>
              </w:rPr>
              <w:t>)</w:t>
            </w:r>
          </w:p>
        </w:tc>
      </w:tr>
      <w:tr w:rsidR="002A021D" w:rsidRPr="008345F3" w14:paraId="5D02EF56" w14:textId="77777777" w:rsidTr="002A021D">
        <w:tc>
          <w:tcPr>
            <w:tcW w:w="280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6F2BD93" w14:textId="77777777" w:rsidR="002A021D" w:rsidRPr="008345F3" w:rsidRDefault="002A021D" w:rsidP="000B2D2C">
            <w:pPr>
              <w:spacing w:after="0"/>
              <w:jc w:val="both"/>
              <w:rPr>
                <w:rFonts w:ascii="Cambria" w:eastAsia="Calibri" w:hAnsi="Cambria" w:cs="Calibri"/>
              </w:rPr>
            </w:pPr>
            <w:proofErr w:type="spellStart"/>
            <w:r w:rsidRPr="008345F3">
              <w:rPr>
                <w:rFonts w:ascii="Cambria" w:eastAsia="Calibri" w:hAnsi="Cambria" w:cs="Calibri"/>
              </w:rPr>
              <w:t>Studijski</w:t>
            </w:r>
            <w:proofErr w:type="spellEnd"/>
            <w:r w:rsidRPr="008345F3">
              <w:rPr>
                <w:rFonts w:ascii="Cambria" w:eastAsia="Calibri" w:hAnsi="Cambria" w:cs="Calibri"/>
              </w:rPr>
              <w:t xml:space="preserve"> program</w:t>
            </w:r>
          </w:p>
        </w:tc>
        <w:tc>
          <w:tcPr>
            <w:tcW w:w="721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95F6DC4" w14:textId="77777777" w:rsidR="002A021D" w:rsidRPr="008345F3" w:rsidRDefault="002A021D" w:rsidP="000B2D2C">
            <w:pPr>
              <w:spacing w:after="0"/>
              <w:jc w:val="both"/>
              <w:rPr>
                <w:rFonts w:ascii="Cambria" w:eastAsia="Calibri" w:hAnsi="Cambria" w:cs="Calibri"/>
              </w:rPr>
            </w:pPr>
            <w:proofErr w:type="spellStart"/>
            <w:r w:rsidRPr="008345F3">
              <w:rPr>
                <w:rFonts w:ascii="Cambria" w:eastAsia="Calibri" w:hAnsi="Cambria" w:cs="Times New Roman"/>
              </w:rPr>
              <w:t>Sveučilišni</w:t>
            </w:r>
            <w:proofErr w:type="spellEnd"/>
            <w:r w:rsidRPr="008345F3">
              <w:rPr>
                <w:rFonts w:ascii="Cambria" w:eastAsia="Calibri" w:hAnsi="Cambria" w:cs="Times New Roman"/>
              </w:rPr>
              <w:t xml:space="preserve"> </w:t>
            </w:r>
            <w:proofErr w:type="spellStart"/>
            <w:r w:rsidRPr="008345F3">
              <w:rPr>
                <w:rFonts w:ascii="Cambria" w:eastAsia="Calibri" w:hAnsi="Cambria" w:cs="Times New Roman"/>
              </w:rPr>
              <w:t>integrirani</w:t>
            </w:r>
            <w:proofErr w:type="spellEnd"/>
            <w:r w:rsidRPr="008345F3">
              <w:rPr>
                <w:rFonts w:ascii="Cambria" w:eastAsia="Calibri" w:hAnsi="Cambria" w:cs="Times New Roman"/>
              </w:rPr>
              <w:t xml:space="preserve"> </w:t>
            </w:r>
            <w:proofErr w:type="spellStart"/>
            <w:r w:rsidRPr="008345F3">
              <w:rPr>
                <w:rFonts w:ascii="Cambria" w:eastAsia="Calibri" w:hAnsi="Cambria" w:cs="Times New Roman"/>
              </w:rPr>
              <w:t>prijediplomski</w:t>
            </w:r>
            <w:proofErr w:type="spellEnd"/>
            <w:r w:rsidRPr="008345F3">
              <w:rPr>
                <w:rFonts w:ascii="Cambria" w:eastAsia="Calibri" w:hAnsi="Cambria" w:cs="Times New Roman"/>
              </w:rPr>
              <w:t xml:space="preserve"> </w:t>
            </w:r>
            <w:proofErr w:type="spellStart"/>
            <w:r w:rsidRPr="008345F3">
              <w:rPr>
                <w:rFonts w:ascii="Cambria" w:eastAsia="Calibri" w:hAnsi="Cambria" w:cs="Times New Roman"/>
              </w:rPr>
              <w:t>i</w:t>
            </w:r>
            <w:proofErr w:type="spellEnd"/>
            <w:r w:rsidRPr="008345F3">
              <w:rPr>
                <w:rFonts w:ascii="Cambria" w:eastAsia="Calibri" w:hAnsi="Cambria" w:cs="Times New Roman"/>
              </w:rPr>
              <w:t xml:space="preserve"> </w:t>
            </w:r>
            <w:proofErr w:type="spellStart"/>
            <w:r w:rsidRPr="008345F3">
              <w:rPr>
                <w:rFonts w:ascii="Cambria" w:eastAsia="Calibri" w:hAnsi="Cambria" w:cs="Times New Roman"/>
              </w:rPr>
              <w:t>diplomski</w:t>
            </w:r>
            <w:proofErr w:type="spellEnd"/>
            <w:r w:rsidRPr="008345F3">
              <w:rPr>
                <w:rFonts w:ascii="Cambria" w:eastAsia="Calibri" w:hAnsi="Cambria" w:cs="Times New Roman"/>
              </w:rPr>
              <w:t xml:space="preserve"> </w:t>
            </w:r>
            <w:proofErr w:type="spellStart"/>
            <w:r w:rsidRPr="008345F3">
              <w:rPr>
                <w:rFonts w:ascii="Cambria" w:eastAsia="Calibri" w:hAnsi="Cambria" w:cs="Times New Roman"/>
              </w:rPr>
              <w:t>Učiteljski</w:t>
            </w:r>
            <w:proofErr w:type="spellEnd"/>
            <w:r w:rsidRPr="008345F3">
              <w:rPr>
                <w:rFonts w:ascii="Cambria" w:eastAsia="Calibri" w:hAnsi="Cambria" w:cs="Times New Roman"/>
              </w:rPr>
              <w:t xml:space="preserve"> </w:t>
            </w:r>
            <w:proofErr w:type="spellStart"/>
            <w:r w:rsidRPr="008345F3">
              <w:rPr>
                <w:rFonts w:ascii="Cambria" w:eastAsia="Calibri" w:hAnsi="Cambria" w:cs="Times New Roman"/>
              </w:rPr>
              <w:t>studij</w:t>
            </w:r>
            <w:proofErr w:type="spellEnd"/>
            <w:r w:rsidRPr="008345F3">
              <w:rPr>
                <w:rFonts w:ascii="Cambria" w:eastAsia="Calibri" w:hAnsi="Cambria" w:cs="Times New Roman"/>
              </w:rPr>
              <w:t xml:space="preserve"> </w:t>
            </w:r>
            <w:proofErr w:type="spellStart"/>
            <w:r w:rsidRPr="008345F3">
              <w:rPr>
                <w:rFonts w:ascii="Cambria" w:eastAsia="Calibri" w:hAnsi="Cambria" w:cs="Times New Roman"/>
              </w:rPr>
              <w:t>na</w:t>
            </w:r>
            <w:proofErr w:type="spellEnd"/>
            <w:r w:rsidRPr="008345F3">
              <w:rPr>
                <w:rFonts w:ascii="Cambria" w:eastAsia="Calibri" w:hAnsi="Cambria" w:cs="Times New Roman"/>
              </w:rPr>
              <w:t xml:space="preserve"> </w:t>
            </w:r>
            <w:proofErr w:type="spellStart"/>
            <w:r w:rsidRPr="008345F3">
              <w:rPr>
                <w:rFonts w:ascii="Cambria" w:eastAsia="Calibri" w:hAnsi="Cambria" w:cs="Times New Roman"/>
              </w:rPr>
              <w:t>hrvatskom</w:t>
            </w:r>
            <w:proofErr w:type="spellEnd"/>
            <w:r w:rsidRPr="008345F3">
              <w:rPr>
                <w:rFonts w:ascii="Cambria" w:eastAsia="Calibri" w:hAnsi="Cambria" w:cs="Times New Roman"/>
              </w:rPr>
              <w:t xml:space="preserve"> </w:t>
            </w:r>
            <w:proofErr w:type="spellStart"/>
            <w:r w:rsidRPr="008345F3">
              <w:rPr>
                <w:rFonts w:ascii="Cambria" w:eastAsia="Calibri" w:hAnsi="Cambria" w:cs="Times New Roman"/>
              </w:rPr>
              <w:t>jeziku</w:t>
            </w:r>
            <w:proofErr w:type="spellEnd"/>
          </w:p>
        </w:tc>
      </w:tr>
      <w:tr w:rsidR="002A021D" w:rsidRPr="008345F3" w14:paraId="3B245C58" w14:textId="77777777" w:rsidTr="002A021D">
        <w:tc>
          <w:tcPr>
            <w:tcW w:w="280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4A4AF40" w14:textId="77777777" w:rsidR="002A021D" w:rsidRPr="008345F3" w:rsidRDefault="002A021D" w:rsidP="000B2D2C">
            <w:pPr>
              <w:spacing w:after="0"/>
              <w:jc w:val="both"/>
              <w:rPr>
                <w:rFonts w:ascii="Cambria" w:eastAsia="Calibri" w:hAnsi="Cambria" w:cs="Calibri"/>
              </w:rPr>
            </w:pPr>
            <w:proofErr w:type="spellStart"/>
            <w:r w:rsidRPr="008345F3">
              <w:rPr>
                <w:rFonts w:ascii="Cambria" w:eastAsia="Calibri" w:hAnsi="Cambria" w:cs="Calibri"/>
              </w:rPr>
              <w:t>Vrsta</w:t>
            </w:r>
            <w:proofErr w:type="spellEnd"/>
            <w:r w:rsidRPr="008345F3">
              <w:rPr>
                <w:rFonts w:ascii="Cambria" w:eastAsia="Calibri" w:hAnsi="Cambria" w:cs="Calibri"/>
              </w:rPr>
              <w:t xml:space="preserve"> </w:t>
            </w:r>
            <w:proofErr w:type="spellStart"/>
            <w:r w:rsidRPr="008345F3">
              <w:rPr>
                <w:rFonts w:ascii="Cambria" w:eastAsia="Calibri" w:hAnsi="Cambria" w:cs="Calibri"/>
              </w:rPr>
              <w:t>kolegija</w:t>
            </w:r>
            <w:proofErr w:type="spellEnd"/>
          </w:p>
        </w:tc>
        <w:tc>
          <w:tcPr>
            <w:tcW w:w="266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CE41180" w14:textId="77777777" w:rsidR="002A021D" w:rsidRPr="008345F3" w:rsidRDefault="002A021D" w:rsidP="000B2D2C">
            <w:pPr>
              <w:spacing w:after="0"/>
              <w:jc w:val="both"/>
              <w:rPr>
                <w:rFonts w:ascii="Cambria" w:eastAsia="Calibri" w:hAnsi="Cambria" w:cs="Calibri"/>
              </w:rPr>
            </w:pPr>
            <w:proofErr w:type="spellStart"/>
            <w:r w:rsidRPr="008345F3">
              <w:rPr>
                <w:rFonts w:ascii="Cambria" w:eastAsia="Calibri" w:hAnsi="Cambria" w:cs="Calibri"/>
              </w:rPr>
              <w:t>obvezan</w:t>
            </w:r>
            <w:proofErr w:type="spellEnd"/>
          </w:p>
        </w:tc>
        <w:tc>
          <w:tcPr>
            <w:tcW w:w="1577"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648040E0" w14:textId="77777777" w:rsidR="002A021D" w:rsidRPr="008345F3" w:rsidRDefault="002A021D" w:rsidP="000B2D2C">
            <w:pPr>
              <w:spacing w:after="0"/>
              <w:jc w:val="both"/>
              <w:rPr>
                <w:rFonts w:ascii="Cambria" w:eastAsia="Calibri" w:hAnsi="Cambria" w:cs="Calibri"/>
              </w:rPr>
            </w:pPr>
            <w:r w:rsidRPr="008345F3">
              <w:rPr>
                <w:rFonts w:ascii="Cambria" w:eastAsia="Calibri" w:hAnsi="Cambria" w:cs="Calibri"/>
              </w:rPr>
              <w:t xml:space="preserve">Razina </w:t>
            </w:r>
            <w:proofErr w:type="spellStart"/>
            <w:r w:rsidRPr="008345F3">
              <w:rPr>
                <w:rFonts w:ascii="Cambria" w:eastAsia="Calibri" w:hAnsi="Cambria" w:cs="Calibri"/>
              </w:rPr>
              <w:t>kolegija</w:t>
            </w:r>
            <w:proofErr w:type="spellEnd"/>
          </w:p>
        </w:tc>
        <w:tc>
          <w:tcPr>
            <w:tcW w:w="2974"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745C85D" w14:textId="77777777" w:rsidR="002A021D" w:rsidRPr="008345F3" w:rsidRDefault="002A021D" w:rsidP="000B2D2C">
            <w:pPr>
              <w:spacing w:after="0"/>
              <w:jc w:val="both"/>
              <w:rPr>
                <w:rFonts w:ascii="Cambria" w:eastAsia="Calibri" w:hAnsi="Cambria" w:cs="Calibri"/>
              </w:rPr>
            </w:pPr>
            <w:proofErr w:type="spellStart"/>
            <w:r w:rsidRPr="008345F3">
              <w:rPr>
                <w:rFonts w:ascii="Cambria" w:eastAsia="Calibri" w:hAnsi="Cambria" w:cs="Calibri"/>
              </w:rPr>
              <w:t>integrirani</w:t>
            </w:r>
            <w:proofErr w:type="spellEnd"/>
          </w:p>
        </w:tc>
      </w:tr>
      <w:tr w:rsidR="002A021D" w:rsidRPr="008345F3" w14:paraId="591ED697" w14:textId="77777777" w:rsidTr="002A021D">
        <w:tc>
          <w:tcPr>
            <w:tcW w:w="280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CF77D86" w14:textId="77777777" w:rsidR="002A021D" w:rsidRPr="008345F3" w:rsidRDefault="002A021D" w:rsidP="000B2D2C">
            <w:pPr>
              <w:spacing w:after="0"/>
              <w:jc w:val="both"/>
              <w:rPr>
                <w:rFonts w:ascii="Cambria" w:eastAsia="Calibri" w:hAnsi="Cambria" w:cs="Calibri"/>
              </w:rPr>
            </w:pPr>
            <w:proofErr w:type="spellStart"/>
            <w:r w:rsidRPr="008345F3">
              <w:rPr>
                <w:rFonts w:ascii="Cambria" w:eastAsia="Calibri" w:hAnsi="Cambria" w:cs="Calibri"/>
              </w:rPr>
              <w:t>Semestar</w:t>
            </w:r>
            <w:proofErr w:type="spellEnd"/>
          </w:p>
        </w:tc>
        <w:tc>
          <w:tcPr>
            <w:tcW w:w="266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D976A8D" w14:textId="77777777" w:rsidR="002A021D" w:rsidRPr="008345F3" w:rsidRDefault="002A021D" w:rsidP="000B2D2C">
            <w:pPr>
              <w:spacing w:after="0"/>
              <w:jc w:val="both"/>
              <w:rPr>
                <w:rFonts w:ascii="Cambria" w:eastAsia="Calibri" w:hAnsi="Cambria" w:cs="Calibri"/>
              </w:rPr>
            </w:pPr>
            <w:proofErr w:type="spellStart"/>
            <w:r w:rsidRPr="008345F3">
              <w:rPr>
                <w:rFonts w:ascii="Cambria" w:eastAsia="Calibri" w:hAnsi="Cambria" w:cs="Calibri"/>
              </w:rPr>
              <w:t>zimski</w:t>
            </w:r>
            <w:proofErr w:type="spellEnd"/>
          </w:p>
        </w:tc>
        <w:tc>
          <w:tcPr>
            <w:tcW w:w="1577"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74DF7A36" w14:textId="77777777" w:rsidR="002A021D" w:rsidRPr="008345F3" w:rsidRDefault="002A021D" w:rsidP="000B2D2C">
            <w:pPr>
              <w:spacing w:after="0"/>
              <w:jc w:val="both"/>
              <w:rPr>
                <w:rFonts w:ascii="Cambria" w:eastAsia="Calibri" w:hAnsi="Cambria" w:cs="Calibri"/>
              </w:rPr>
            </w:pPr>
            <w:r w:rsidRPr="008345F3">
              <w:rPr>
                <w:rFonts w:ascii="Cambria" w:eastAsia="Calibri" w:hAnsi="Cambria" w:cs="Calibri"/>
              </w:rPr>
              <w:t xml:space="preserve">Godina </w:t>
            </w:r>
            <w:proofErr w:type="spellStart"/>
            <w:r w:rsidRPr="008345F3">
              <w:rPr>
                <w:rFonts w:ascii="Cambria" w:eastAsia="Calibri" w:hAnsi="Cambria" w:cs="Calibri"/>
              </w:rPr>
              <w:t>studija</w:t>
            </w:r>
            <w:proofErr w:type="spellEnd"/>
          </w:p>
        </w:tc>
        <w:tc>
          <w:tcPr>
            <w:tcW w:w="2974"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C606566" w14:textId="77777777" w:rsidR="002A021D" w:rsidRPr="008345F3" w:rsidRDefault="002A021D" w:rsidP="000B2D2C">
            <w:pPr>
              <w:spacing w:after="0"/>
              <w:jc w:val="both"/>
              <w:rPr>
                <w:rFonts w:ascii="Cambria" w:eastAsia="Calibri" w:hAnsi="Cambria" w:cs="Calibri"/>
              </w:rPr>
            </w:pPr>
            <w:r w:rsidRPr="008345F3">
              <w:rPr>
                <w:rFonts w:ascii="Cambria" w:eastAsia="Calibri" w:hAnsi="Cambria" w:cs="Calibri"/>
              </w:rPr>
              <w:t>V.</w:t>
            </w:r>
          </w:p>
        </w:tc>
      </w:tr>
      <w:tr w:rsidR="002A021D" w:rsidRPr="008345F3" w14:paraId="5B89B4A4" w14:textId="77777777" w:rsidTr="002A021D">
        <w:tc>
          <w:tcPr>
            <w:tcW w:w="280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F1B4536" w14:textId="77777777" w:rsidR="002A021D" w:rsidRPr="008345F3" w:rsidRDefault="002A021D" w:rsidP="000B2D2C">
            <w:pPr>
              <w:spacing w:after="0"/>
              <w:jc w:val="both"/>
              <w:rPr>
                <w:rFonts w:ascii="Cambria" w:eastAsia="Calibri" w:hAnsi="Cambria" w:cs="Calibri"/>
              </w:rPr>
            </w:pPr>
            <w:proofErr w:type="spellStart"/>
            <w:r w:rsidRPr="008345F3">
              <w:rPr>
                <w:rFonts w:ascii="Cambria" w:eastAsia="Calibri" w:hAnsi="Cambria" w:cs="Calibri"/>
              </w:rPr>
              <w:t>Mjesto</w:t>
            </w:r>
            <w:proofErr w:type="spellEnd"/>
            <w:r w:rsidRPr="008345F3">
              <w:rPr>
                <w:rFonts w:ascii="Cambria" w:eastAsia="Calibri" w:hAnsi="Cambria" w:cs="Calibri"/>
              </w:rPr>
              <w:t xml:space="preserve"> </w:t>
            </w:r>
            <w:proofErr w:type="spellStart"/>
            <w:r w:rsidRPr="008345F3">
              <w:rPr>
                <w:rFonts w:ascii="Cambria" w:eastAsia="Calibri" w:hAnsi="Cambria" w:cs="Calibri"/>
              </w:rPr>
              <w:t>izvođenja</w:t>
            </w:r>
            <w:proofErr w:type="spellEnd"/>
          </w:p>
        </w:tc>
        <w:tc>
          <w:tcPr>
            <w:tcW w:w="266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43AE0BE" w14:textId="77777777" w:rsidR="002A021D" w:rsidRPr="008345F3" w:rsidRDefault="002A021D" w:rsidP="000B2D2C">
            <w:pPr>
              <w:spacing w:after="0"/>
              <w:rPr>
                <w:rFonts w:ascii="Cambria" w:eastAsia="Calibri" w:hAnsi="Cambria" w:cs="Calibri"/>
                <w:lang w:val="it-IT"/>
              </w:rPr>
            </w:pPr>
            <w:proofErr w:type="spellStart"/>
            <w:r w:rsidRPr="008345F3">
              <w:rPr>
                <w:rFonts w:ascii="Cambria" w:eastAsia="Calibri" w:hAnsi="Cambria" w:cs="Calibri"/>
                <w:lang w:val="it-IT"/>
              </w:rPr>
              <w:t>dvorana</w:t>
            </w:r>
            <w:proofErr w:type="spellEnd"/>
            <w:r w:rsidRPr="008345F3">
              <w:rPr>
                <w:rFonts w:ascii="Cambria" w:eastAsia="Calibri" w:hAnsi="Cambria" w:cs="Calibri"/>
                <w:lang w:val="it-IT"/>
              </w:rPr>
              <w:t xml:space="preserve"> i </w:t>
            </w:r>
            <w:proofErr w:type="spellStart"/>
            <w:r w:rsidRPr="008345F3">
              <w:rPr>
                <w:rFonts w:ascii="Cambria" w:eastAsia="Calibri" w:hAnsi="Cambria" w:cs="Calibri"/>
                <w:lang w:val="it-IT"/>
              </w:rPr>
              <w:t>sportska</w:t>
            </w:r>
            <w:proofErr w:type="spellEnd"/>
            <w:r w:rsidRPr="008345F3">
              <w:rPr>
                <w:rFonts w:ascii="Cambria" w:eastAsia="Calibri" w:hAnsi="Cambria" w:cs="Calibri"/>
                <w:lang w:val="it-IT"/>
              </w:rPr>
              <w:t xml:space="preserve"> </w:t>
            </w:r>
            <w:proofErr w:type="spellStart"/>
            <w:r w:rsidRPr="008345F3">
              <w:rPr>
                <w:rFonts w:ascii="Cambria" w:eastAsia="Calibri" w:hAnsi="Cambria" w:cs="Calibri"/>
                <w:lang w:val="it-IT"/>
              </w:rPr>
              <w:t>dvorana</w:t>
            </w:r>
            <w:proofErr w:type="spellEnd"/>
          </w:p>
        </w:tc>
        <w:tc>
          <w:tcPr>
            <w:tcW w:w="1577"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01CC8E60" w14:textId="77777777" w:rsidR="002A021D" w:rsidRPr="008345F3" w:rsidRDefault="002A021D" w:rsidP="000B2D2C">
            <w:pPr>
              <w:spacing w:after="0"/>
              <w:jc w:val="both"/>
              <w:rPr>
                <w:rFonts w:ascii="Cambria" w:eastAsia="Calibri" w:hAnsi="Cambria" w:cs="Calibri"/>
              </w:rPr>
            </w:pPr>
            <w:r w:rsidRPr="008345F3">
              <w:rPr>
                <w:rFonts w:ascii="Cambria" w:eastAsia="Calibri" w:hAnsi="Cambria" w:cs="Calibri"/>
              </w:rPr>
              <w:t xml:space="preserve">Jezik </w:t>
            </w:r>
            <w:proofErr w:type="spellStart"/>
            <w:r w:rsidRPr="008345F3">
              <w:rPr>
                <w:rFonts w:ascii="Cambria" w:eastAsia="Calibri" w:hAnsi="Cambria" w:cs="Calibri"/>
              </w:rPr>
              <w:t>izvođenja</w:t>
            </w:r>
            <w:proofErr w:type="spellEnd"/>
            <w:r w:rsidRPr="008345F3">
              <w:rPr>
                <w:rFonts w:ascii="Cambria" w:eastAsia="Calibri" w:hAnsi="Cambria" w:cs="Calibri"/>
              </w:rPr>
              <w:t xml:space="preserve"> </w:t>
            </w:r>
          </w:p>
        </w:tc>
        <w:tc>
          <w:tcPr>
            <w:tcW w:w="2974"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F7EB8F1" w14:textId="77777777" w:rsidR="002A021D" w:rsidRPr="008345F3" w:rsidRDefault="002A021D" w:rsidP="000B2D2C">
            <w:pPr>
              <w:spacing w:after="0"/>
              <w:jc w:val="both"/>
              <w:rPr>
                <w:rFonts w:ascii="Cambria" w:eastAsia="Calibri" w:hAnsi="Cambria" w:cs="Calibri"/>
              </w:rPr>
            </w:pPr>
            <w:proofErr w:type="spellStart"/>
            <w:r w:rsidRPr="008345F3">
              <w:rPr>
                <w:rFonts w:ascii="Cambria" w:eastAsia="Calibri" w:hAnsi="Cambria" w:cs="Calibri"/>
              </w:rPr>
              <w:t>hrvatski</w:t>
            </w:r>
            <w:proofErr w:type="spellEnd"/>
            <w:r w:rsidRPr="008345F3">
              <w:rPr>
                <w:rFonts w:ascii="Cambria" w:eastAsia="Calibri" w:hAnsi="Cambria" w:cs="Calibri"/>
              </w:rPr>
              <w:t xml:space="preserve"> (</w:t>
            </w:r>
            <w:proofErr w:type="spellStart"/>
            <w:r w:rsidRPr="008345F3">
              <w:rPr>
                <w:rFonts w:ascii="Cambria" w:eastAsia="Calibri" w:hAnsi="Cambria" w:cs="Calibri"/>
              </w:rPr>
              <w:t>engleski</w:t>
            </w:r>
            <w:proofErr w:type="spellEnd"/>
            <w:r w:rsidRPr="008345F3">
              <w:rPr>
                <w:rFonts w:ascii="Cambria" w:eastAsia="Calibri" w:hAnsi="Cambria" w:cs="Calibri"/>
              </w:rPr>
              <w:t>)</w:t>
            </w:r>
          </w:p>
        </w:tc>
      </w:tr>
      <w:tr w:rsidR="002A021D" w:rsidRPr="008345F3" w14:paraId="267D5D44" w14:textId="77777777" w:rsidTr="002A021D">
        <w:tc>
          <w:tcPr>
            <w:tcW w:w="280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CE3E62C" w14:textId="77777777" w:rsidR="002A021D" w:rsidRPr="008345F3" w:rsidRDefault="002A021D" w:rsidP="000B2D2C">
            <w:pPr>
              <w:spacing w:after="0"/>
              <w:jc w:val="both"/>
              <w:rPr>
                <w:rFonts w:ascii="Cambria" w:eastAsia="Calibri" w:hAnsi="Cambria" w:cs="Calibri"/>
              </w:rPr>
            </w:pPr>
            <w:proofErr w:type="spellStart"/>
            <w:r w:rsidRPr="008345F3">
              <w:rPr>
                <w:rFonts w:ascii="Cambria" w:eastAsia="Calibri" w:hAnsi="Cambria" w:cs="Calibri"/>
              </w:rPr>
              <w:t>Broj</w:t>
            </w:r>
            <w:proofErr w:type="spellEnd"/>
            <w:r w:rsidRPr="008345F3">
              <w:rPr>
                <w:rFonts w:ascii="Cambria" w:eastAsia="Calibri" w:hAnsi="Cambria" w:cs="Calibri"/>
              </w:rPr>
              <w:t xml:space="preserve"> ECTS </w:t>
            </w:r>
            <w:proofErr w:type="spellStart"/>
            <w:r w:rsidRPr="008345F3">
              <w:rPr>
                <w:rFonts w:ascii="Cambria" w:eastAsia="Calibri" w:hAnsi="Cambria" w:cs="Calibri"/>
              </w:rPr>
              <w:t>bodova</w:t>
            </w:r>
            <w:proofErr w:type="spellEnd"/>
          </w:p>
        </w:tc>
        <w:tc>
          <w:tcPr>
            <w:tcW w:w="266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E0203B8" w14:textId="77777777" w:rsidR="002A021D" w:rsidRPr="008345F3" w:rsidRDefault="002A021D" w:rsidP="000B2D2C">
            <w:pPr>
              <w:spacing w:after="0"/>
              <w:jc w:val="both"/>
              <w:rPr>
                <w:rFonts w:ascii="Cambria" w:eastAsia="Calibri" w:hAnsi="Cambria" w:cs="Calibri"/>
              </w:rPr>
            </w:pPr>
            <w:r w:rsidRPr="008345F3">
              <w:rPr>
                <w:rFonts w:ascii="Cambria" w:eastAsia="Calibri" w:hAnsi="Cambria" w:cs="Calibri"/>
              </w:rPr>
              <w:t>4</w:t>
            </w:r>
          </w:p>
        </w:tc>
        <w:tc>
          <w:tcPr>
            <w:tcW w:w="1577"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0E558C9A" w14:textId="77777777" w:rsidR="002A021D" w:rsidRPr="008345F3" w:rsidRDefault="002A021D" w:rsidP="000B2D2C">
            <w:pPr>
              <w:spacing w:after="0"/>
              <w:jc w:val="both"/>
              <w:rPr>
                <w:rFonts w:ascii="Cambria" w:eastAsia="Calibri" w:hAnsi="Cambria" w:cs="Calibri"/>
              </w:rPr>
            </w:pPr>
            <w:proofErr w:type="spellStart"/>
            <w:r w:rsidRPr="008345F3">
              <w:rPr>
                <w:rFonts w:ascii="Cambria" w:eastAsia="Calibri" w:hAnsi="Cambria" w:cs="Calibri"/>
              </w:rPr>
              <w:t>Broj</w:t>
            </w:r>
            <w:proofErr w:type="spellEnd"/>
            <w:r w:rsidRPr="008345F3">
              <w:rPr>
                <w:rFonts w:ascii="Cambria" w:eastAsia="Calibri" w:hAnsi="Cambria" w:cs="Calibri"/>
              </w:rPr>
              <w:t xml:space="preserve"> sati u </w:t>
            </w:r>
            <w:proofErr w:type="spellStart"/>
            <w:r w:rsidRPr="008345F3">
              <w:rPr>
                <w:rFonts w:ascii="Cambria" w:eastAsia="Calibri" w:hAnsi="Cambria" w:cs="Calibri"/>
              </w:rPr>
              <w:t>semestru</w:t>
            </w:r>
            <w:proofErr w:type="spellEnd"/>
          </w:p>
        </w:tc>
        <w:tc>
          <w:tcPr>
            <w:tcW w:w="2974"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2FFB2DC" w14:textId="77777777" w:rsidR="002A021D" w:rsidRPr="008345F3" w:rsidRDefault="002A021D" w:rsidP="000B2D2C">
            <w:pPr>
              <w:spacing w:after="0"/>
              <w:jc w:val="both"/>
              <w:rPr>
                <w:rFonts w:ascii="Cambria" w:eastAsia="Calibri" w:hAnsi="Cambria" w:cs="Calibri"/>
              </w:rPr>
            </w:pPr>
            <w:r w:rsidRPr="008345F3">
              <w:rPr>
                <w:rFonts w:ascii="Cambria" w:eastAsia="Calibri" w:hAnsi="Cambria" w:cs="Calibri"/>
              </w:rPr>
              <w:t>30P – 0S</w:t>
            </w:r>
            <w:r>
              <w:rPr>
                <w:rFonts w:ascii="Cambria" w:eastAsia="Calibri" w:hAnsi="Cambria" w:cs="Calibri"/>
              </w:rPr>
              <w:t xml:space="preserve"> – </w:t>
            </w:r>
            <w:r w:rsidRPr="008345F3">
              <w:rPr>
                <w:rFonts w:ascii="Cambria" w:eastAsia="Calibri" w:hAnsi="Cambria" w:cs="Calibri"/>
              </w:rPr>
              <w:t xml:space="preserve">15V </w:t>
            </w:r>
          </w:p>
        </w:tc>
      </w:tr>
      <w:tr w:rsidR="002A021D" w:rsidRPr="00D0399C" w14:paraId="0A28F42F" w14:textId="77777777" w:rsidTr="002A021D">
        <w:tc>
          <w:tcPr>
            <w:tcW w:w="280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26FCE27" w14:textId="77777777" w:rsidR="002A021D" w:rsidRPr="008345F3" w:rsidRDefault="002A021D" w:rsidP="000B2D2C">
            <w:pPr>
              <w:spacing w:after="0"/>
              <w:jc w:val="both"/>
              <w:rPr>
                <w:rFonts w:ascii="Cambria" w:eastAsia="Calibri" w:hAnsi="Cambria" w:cs="Calibri"/>
                <w:lang w:val="it-IT"/>
              </w:rPr>
            </w:pPr>
            <w:proofErr w:type="spellStart"/>
            <w:r w:rsidRPr="008345F3">
              <w:rPr>
                <w:rFonts w:ascii="Cambria" w:eastAsia="Calibri" w:hAnsi="Cambria" w:cs="Calibri"/>
                <w:lang w:val="it-IT"/>
              </w:rPr>
              <w:t>Preduvjeti</w:t>
            </w:r>
            <w:proofErr w:type="spellEnd"/>
            <w:r w:rsidRPr="008345F3">
              <w:rPr>
                <w:rFonts w:ascii="Cambria" w:eastAsia="Calibri" w:hAnsi="Cambria" w:cs="Calibri"/>
                <w:lang w:val="it-IT"/>
              </w:rPr>
              <w:t xml:space="preserve"> za </w:t>
            </w:r>
            <w:proofErr w:type="spellStart"/>
            <w:r w:rsidRPr="008345F3">
              <w:rPr>
                <w:rFonts w:ascii="Cambria" w:eastAsia="Calibri" w:hAnsi="Cambria" w:cs="Calibri"/>
                <w:lang w:val="it-IT"/>
              </w:rPr>
              <w:t>upis</w:t>
            </w:r>
            <w:proofErr w:type="spellEnd"/>
            <w:r w:rsidRPr="008345F3">
              <w:rPr>
                <w:rFonts w:ascii="Cambria" w:eastAsia="Calibri" w:hAnsi="Cambria" w:cs="Calibri"/>
                <w:lang w:val="it-IT"/>
              </w:rPr>
              <w:t xml:space="preserve"> i za </w:t>
            </w:r>
            <w:proofErr w:type="spellStart"/>
            <w:r w:rsidRPr="008345F3">
              <w:rPr>
                <w:rFonts w:ascii="Cambria" w:eastAsia="Calibri" w:hAnsi="Cambria" w:cs="Calibri"/>
                <w:lang w:val="it-IT"/>
              </w:rPr>
              <w:t>svladavanje</w:t>
            </w:r>
            <w:proofErr w:type="spellEnd"/>
          </w:p>
        </w:tc>
        <w:tc>
          <w:tcPr>
            <w:tcW w:w="721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6446D7C" w14:textId="77777777" w:rsidR="002A021D" w:rsidRPr="008345F3" w:rsidRDefault="002A021D" w:rsidP="000B2D2C">
            <w:pPr>
              <w:spacing w:after="0"/>
              <w:jc w:val="both"/>
              <w:rPr>
                <w:rFonts w:ascii="Cambria" w:eastAsia="Calibri" w:hAnsi="Cambria" w:cs="Calibri"/>
                <w:lang w:val="it-IT"/>
              </w:rPr>
            </w:pPr>
            <w:proofErr w:type="spellStart"/>
            <w:r w:rsidRPr="008345F3">
              <w:rPr>
                <w:rFonts w:ascii="Cambria" w:eastAsia="Calibri" w:hAnsi="Cambria" w:cs="Calibri"/>
                <w:lang w:val="it-IT"/>
              </w:rPr>
              <w:t>Odslušan</w:t>
            </w:r>
            <w:proofErr w:type="spellEnd"/>
            <w:r w:rsidRPr="008345F3">
              <w:rPr>
                <w:rFonts w:ascii="Cambria" w:eastAsia="Calibri" w:hAnsi="Cambria" w:cs="Calibri"/>
                <w:lang w:val="it-IT"/>
              </w:rPr>
              <w:t xml:space="preserve"> </w:t>
            </w:r>
            <w:proofErr w:type="spellStart"/>
            <w:r w:rsidRPr="008345F3">
              <w:rPr>
                <w:rFonts w:ascii="Cambria" w:eastAsia="Calibri" w:hAnsi="Cambria" w:cs="Calibri"/>
                <w:lang w:val="it-IT"/>
              </w:rPr>
              <w:t>kolegij</w:t>
            </w:r>
            <w:proofErr w:type="spellEnd"/>
            <w:r w:rsidRPr="008345F3">
              <w:rPr>
                <w:rFonts w:ascii="Cambria" w:eastAsia="Calibri" w:hAnsi="Cambria" w:cs="Calibri"/>
                <w:lang w:val="it-IT"/>
              </w:rPr>
              <w:t xml:space="preserve"> </w:t>
            </w:r>
            <w:proofErr w:type="spellStart"/>
            <w:r w:rsidRPr="008345F3">
              <w:rPr>
                <w:rFonts w:ascii="Cambria" w:eastAsia="Calibri" w:hAnsi="Cambria" w:cs="Calibri"/>
                <w:lang w:val="it-IT"/>
              </w:rPr>
              <w:t>Kineziologija</w:t>
            </w:r>
            <w:proofErr w:type="spellEnd"/>
            <w:r w:rsidRPr="008345F3">
              <w:rPr>
                <w:rFonts w:ascii="Cambria" w:eastAsia="Calibri" w:hAnsi="Cambria" w:cs="Calibri"/>
                <w:lang w:val="it-IT"/>
              </w:rPr>
              <w:t xml:space="preserve"> i </w:t>
            </w:r>
            <w:proofErr w:type="spellStart"/>
            <w:r w:rsidRPr="008345F3">
              <w:rPr>
                <w:rFonts w:ascii="Cambria" w:eastAsia="Calibri" w:hAnsi="Cambria" w:cs="Calibri"/>
                <w:lang w:val="it-IT"/>
              </w:rPr>
              <w:t>Kineziološka</w:t>
            </w:r>
            <w:proofErr w:type="spellEnd"/>
            <w:r w:rsidRPr="008345F3">
              <w:rPr>
                <w:rFonts w:ascii="Cambria" w:eastAsia="Calibri" w:hAnsi="Cambria" w:cs="Calibri"/>
                <w:lang w:val="it-IT"/>
              </w:rPr>
              <w:t xml:space="preserve"> </w:t>
            </w:r>
            <w:proofErr w:type="spellStart"/>
            <w:r w:rsidRPr="008345F3">
              <w:rPr>
                <w:rFonts w:ascii="Cambria" w:eastAsia="Calibri" w:hAnsi="Cambria" w:cs="Calibri"/>
                <w:lang w:val="it-IT"/>
              </w:rPr>
              <w:t>metodika</w:t>
            </w:r>
            <w:proofErr w:type="spellEnd"/>
            <w:r w:rsidRPr="008345F3">
              <w:rPr>
                <w:rFonts w:ascii="Cambria" w:eastAsia="Calibri" w:hAnsi="Cambria" w:cs="Calibri"/>
                <w:lang w:val="it-IT"/>
              </w:rPr>
              <w:t xml:space="preserve"> I. </w:t>
            </w:r>
            <w:proofErr w:type="spellStart"/>
            <w:r w:rsidRPr="008345F3">
              <w:rPr>
                <w:rFonts w:ascii="Cambria" w:eastAsia="Calibri" w:hAnsi="Cambria" w:cs="Calibri"/>
                <w:lang w:val="it-IT"/>
              </w:rPr>
              <w:t>Završnom</w:t>
            </w:r>
            <w:proofErr w:type="spellEnd"/>
            <w:r w:rsidRPr="008345F3">
              <w:rPr>
                <w:rFonts w:ascii="Cambria" w:eastAsia="Calibri" w:hAnsi="Cambria" w:cs="Calibri"/>
                <w:lang w:val="it-IT"/>
              </w:rPr>
              <w:t xml:space="preserve"> </w:t>
            </w:r>
            <w:proofErr w:type="spellStart"/>
            <w:r w:rsidRPr="008345F3">
              <w:rPr>
                <w:rFonts w:ascii="Cambria" w:eastAsia="Calibri" w:hAnsi="Cambria" w:cs="Calibri"/>
                <w:lang w:val="it-IT"/>
              </w:rPr>
              <w:t>ispitu</w:t>
            </w:r>
            <w:proofErr w:type="spellEnd"/>
            <w:r w:rsidRPr="008345F3">
              <w:rPr>
                <w:rFonts w:ascii="Cambria" w:eastAsia="Calibri" w:hAnsi="Cambria" w:cs="Calibri"/>
                <w:lang w:val="it-IT"/>
              </w:rPr>
              <w:t xml:space="preserve"> </w:t>
            </w:r>
            <w:proofErr w:type="spellStart"/>
            <w:r w:rsidRPr="008345F3">
              <w:rPr>
                <w:rFonts w:ascii="Cambria" w:eastAsia="Calibri" w:hAnsi="Cambria" w:cs="Calibri"/>
                <w:lang w:val="it-IT"/>
              </w:rPr>
              <w:t>mogu</w:t>
            </w:r>
            <w:proofErr w:type="spellEnd"/>
            <w:r w:rsidRPr="008345F3">
              <w:rPr>
                <w:rFonts w:ascii="Cambria" w:eastAsia="Calibri" w:hAnsi="Cambria" w:cs="Calibri"/>
                <w:lang w:val="it-IT"/>
              </w:rPr>
              <w:t xml:space="preserve"> </w:t>
            </w:r>
            <w:proofErr w:type="spellStart"/>
            <w:r w:rsidRPr="008345F3">
              <w:rPr>
                <w:rFonts w:ascii="Cambria" w:eastAsia="Calibri" w:hAnsi="Cambria" w:cs="Calibri"/>
                <w:lang w:val="it-IT"/>
              </w:rPr>
              <w:t>pristupiti</w:t>
            </w:r>
            <w:proofErr w:type="spellEnd"/>
            <w:r w:rsidRPr="008345F3">
              <w:rPr>
                <w:rFonts w:ascii="Cambria" w:eastAsia="Calibri" w:hAnsi="Cambria" w:cs="Calibri"/>
                <w:lang w:val="it-IT"/>
              </w:rPr>
              <w:t xml:space="preserve"> studenti </w:t>
            </w:r>
            <w:proofErr w:type="spellStart"/>
            <w:r w:rsidRPr="008345F3">
              <w:rPr>
                <w:rFonts w:ascii="Cambria" w:eastAsia="Calibri" w:hAnsi="Cambria" w:cs="Calibri"/>
                <w:lang w:val="it-IT"/>
              </w:rPr>
              <w:t>koji</w:t>
            </w:r>
            <w:proofErr w:type="spellEnd"/>
            <w:r w:rsidRPr="008345F3">
              <w:rPr>
                <w:rFonts w:ascii="Cambria" w:eastAsia="Calibri" w:hAnsi="Cambria" w:cs="Calibri"/>
                <w:lang w:val="it-IT"/>
              </w:rPr>
              <w:t xml:space="preserve"> su </w:t>
            </w:r>
            <w:proofErr w:type="spellStart"/>
            <w:r w:rsidRPr="008345F3">
              <w:rPr>
                <w:rFonts w:ascii="Cambria" w:eastAsia="Calibri" w:hAnsi="Cambria" w:cs="Calibri"/>
                <w:lang w:val="it-IT"/>
              </w:rPr>
              <w:t>položili</w:t>
            </w:r>
            <w:proofErr w:type="spellEnd"/>
            <w:r w:rsidRPr="008345F3">
              <w:rPr>
                <w:rFonts w:ascii="Cambria" w:eastAsia="Calibri" w:hAnsi="Cambria" w:cs="Calibri"/>
                <w:lang w:val="it-IT"/>
              </w:rPr>
              <w:t xml:space="preserve"> </w:t>
            </w:r>
            <w:proofErr w:type="spellStart"/>
            <w:r w:rsidRPr="008345F3">
              <w:rPr>
                <w:rFonts w:ascii="Cambria" w:eastAsia="Calibri" w:hAnsi="Cambria" w:cs="Calibri"/>
                <w:lang w:val="it-IT"/>
              </w:rPr>
              <w:t>kolegij</w:t>
            </w:r>
            <w:proofErr w:type="spellEnd"/>
            <w:r w:rsidRPr="008345F3">
              <w:rPr>
                <w:rFonts w:ascii="Cambria" w:eastAsia="Calibri" w:hAnsi="Cambria" w:cs="Calibri"/>
                <w:lang w:val="it-IT"/>
              </w:rPr>
              <w:t xml:space="preserve"> </w:t>
            </w:r>
            <w:proofErr w:type="spellStart"/>
            <w:r w:rsidRPr="008345F3">
              <w:rPr>
                <w:rFonts w:ascii="Cambria" w:eastAsia="Calibri" w:hAnsi="Cambria" w:cs="Calibri"/>
                <w:lang w:val="it-IT"/>
              </w:rPr>
              <w:t>Kineziologija</w:t>
            </w:r>
            <w:proofErr w:type="spellEnd"/>
            <w:r w:rsidRPr="008345F3">
              <w:rPr>
                <w:rFonts w:ascii="Cambria" w:eastAsia="Calibri" w:hAnsi="Cambria" w:cs="Calibri"/>
                <w:lang w:val="it-IT"/>
              </w:rPr>
              <w:t xml:space="preserve"> i </w:t>
            </w:r>
            <w:proofErr w:type="spellStart"/>
            <w:r w:rsidRPr="008345F3">
              <w:rPr>
                <w:rFonts w:ascii="Cambria" w:eastAsia="Calibri" w:hAnsi="Cambria" w:cs="Calibri"/>
                <w:lang w:val="it-IT"/>
              </w:rPr>
              <w:t>Kineziološka</w:t>
            </w:r>
            <w:proofErr w:type="spellEnd"/>
            <w:r w:rsidRPr="008345F3">
              <w:rPr>
                <w:rFonts w:ascii="Cambria" w:eastAsia="Calibri" w:hAnsi="Cambria" w:cs="Calibri"/>
                <w:lang w:val="it-IT"/>
              </w:rPr>
              <w:t xml:space="preserve"> </w:t>
            </w:r>
            <w:proofErr w:type="spellStart"/>
            <w:r w:rsidRPr="008345F3">
              <w:rPr>
                <w:rFonts w:ascii="Cambria" w:eastAsia="Calibri" w:hAnsi="Cambria" w:cs="Calibri"/>
                <w:lang w:val="it-IT"/>
              </w:rPr>
              <w:t>metodika</w:t>
            </w:r>
            <w:proofErr w:type="spellEnd"/>
            <w:r w:rsidRPr="008345F3">
              <w:rPr>
                <w:rFonts w:ascii="Cambria" w:eastAsia="Calibri" w:hAnsi="Cambria" w:cs="Calibri"/>
                <w:lang w:val="it-IT"/>
              </w:rPr>
              <w:t xml:space="preserve"> I.</w:t>
            </w:r>
          </w:p>
        </w:tc>
      </w:tr>
      <w:tr w:rsidR="002A021D" w:rsidRPr="008345F3" w14:paraId="57D655B4" w14:textId="77777777" w:rsidTr="002A021D">
        <w:tc>
          <w:tcPr>
            <w:tcW w:w="280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02C6326" w14:textId="77777777" w:rsidR="002A021D" w:rsidRPr="008345F3" w:rsidRDefault="002A021D" w:rsidP="000B2D2C">
            <w:pPr>
              <w:spacing w:after="0"/>
              <w:jc w:val="both"/>
              <w:rPr>
                <w:rFonts w:ascii="Cambria" w:eastAsia="Calibri" w:hAnsi="Cambria" w:cs="Calibri"/>
              </w:rPr>
            </w:pPr>
            <w:proofErr w:type="spellStart"/>
            <w:r w:rsidRPr="008345F3">
              <w:rPr>
                <w:rFonts w:ascii="Cambria" w:eastAsia="Calibri" w:hAnsi="Cambria" w:cs="Calibri"/>
              </w:rPr>
              <w:t>Korelativnost</w:t>
            </w:r>
            <w:proofErr w:type="spellEnd"/>
          </w:p>
        </w:tc>
        <w:tc>
          <w:tcPr>
            <w:tcW w:w="721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1E48BDD" w14:textId="77777777" w:rsidR="002A021D" w:rsidRPr="008345F3" w:rsidRDefault="002A021D" w:rsidP="000B2D2C">
            <w:pPr>
              <w:spacing w:after="0"/>
              <w:jc w:val="both"/>
              <w:rPr>
                <w:rFonts w:ascii="Cambria" w:eastAsia="Calibri" w:hAnsi="Cambria" w:cs="Calibri"/>
              </w:rPr>
            </w:pPr>
            <w:r w:rsidRPr="008345F3">
              <w:rPr>
                <w:rFonts w:ascii="Cambria" w:eastAsia="Calibri" w:hAnsi="Cambria" w:cs="Calibri"/>
                <w:lang w:val="pl-PL"/>
              </w:rPr>
              <w:t>Kineziološka kultura, Kineziologija, Kineziološka metodika I., Pedagogija, Didaktika, Sociologija obrazovanja, Razvojna psihologija, Edukacijska psihologija, Socijalna pedagogija, Istraživanje odgoja i obrazovanja</w:t>
            </w:r>
          </w:p>
        </w:tc>
      </w:tr>
      <w:tr w:rsidR="002A021D" w:rsidRPr="008345F3" w14:paraId="0ADAD4CB" w14:textId="77777777" w:rsidTr="002A021D">
        <w:tc>
          <w:tcPr>
            <w:tcW w:w="280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4A2D1FA" w14:textId="77777777" w:rsidR="002A021D" w:rsidRPr="008345F3" w:rsidRDefault="002A021D" w:rsidP="000B2D2C">
            <w:pPr>
              <w:spacing w:after="0"/>
              <w:jc w:val="both"/>
              <w:rPr>
                <w:rFonts w:ascii="Cambria" w:eastAsia="Calibri" w:hAnsi="Cambria" w:cs="Calibri"/>
              </w:rPr>
            </w:pPr>
            <w:proofErr w:type="spellStart"/>
            <w:r w:rsidRPr="008345F3">
              <w:rPr>
                <w:rFonts w:ascii="Cambria" w:eastAsia="Calibri" w:hAnsi="Cambria" w:cs="Calibri"/>
              </w:rPr>
              <w:t>Cilj</w:t>
            </w:r>
            <w:proofErr w:type="spellEnd"/>
            <w:r w:rsidRPr="008345F3">
              <w:rPr>
                <w:rFonts w:ascii="Cambria" w:eastAsia="Calibri" w:hAnsi="Cambria" w:cs="Calibri"/>
              </w:rPr>
              <w:t xml:space="preserve"> </w:t>
            </w:r>
            <w:proofErr w:type="spellStart"/>
            <w:r w:rsidRPr="008345F3">
              <w:rPr>
                <w:rFonts w:ascii="Cambria" w:eastAsia="Calibri" w:hAnsi="Cambria" w:cs="Calibri"/>
              </w:rPr>
              <w:t>kolegija</w:t>
            </w:r>
            <w:proofErr w:type="spellEnd"/>
            <w:r w:rsidRPr="008345F3">
              <w:rPr>
                <w:rFonts w:ascii="Cambria" w:eastAsia="Calibri" w:hAnsi="Cambria" w:cs="Calibri"/>
              </w:rPr>
              <w:t xml:space="preserve"> </w:t>
            </w:r>
          </w:p>
        </w:tc>
        <w:tc>
          <w:tcPr>
            <w:tcW w:w="721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55E39C4" w14:textId="77777777" w:rsidR="002A021D" w:rsidRPr="008345F3" w:rsidRDefault="002A021D" w:rsidP="000B2D2C">
            <w:pPr>
              <w:spacing w:after="0"/>
              <w:jc w:val="both"/>
              <w:rPr>
                <w:rFonts w:ascii="Cambria" w:eastAsia="Calibri" w:hAnsi="Cambria" w:cs="Calibri"/>
                <w:bCs/>
                <w:highlight w:val="yellow"/>
              </w:rPr>
            </w:pPr>
            <w:r w:rsidRPr="008345F3">
              <w:rPr>
                <w:rFonts w:ascii="Cambria" w:eastAsia="Calibri" w:hAnsi="Cambria" w:cs="Calibri"/>
                <w:lang w:val="pl-PL"/>
              </w:rPr>
              <w:t xml:space="preserve">usvojiti </w:t>
            </w:r>
            <w:proofErr w:type="spellStart"/>
            <w:r w:rsidRPr="008345F3">
              <w:rPr>
                <w:rFonts w:ascii="Cambria" w:eastAsia="Calibri" w:hAnsi="Cambria" w:cs="Calibri"/>
              </w:rPr>
              <w:t>organizacijske</w:t>
            </w:r>
            <w:proofErr w:type="spellEnd"/>
            <w:r w:rsidRPr="008345F3">
              <w:rPr>
                <w:rFonts w:ascii="Cambria" w:eastAsia="Calibri" w:hAnsi="Cambria" w:cs="Calibri"/>
              </w:rPr>
              <w:t xml:space="preserve"> </w:t>
            </w:r>
            <w:proofErr w:type="spellStart"/>
            <w:r w:rsidRPr="008345F3">
              <w:rPr>
                <w:rFonts w:ascii="Cambria" w:eastAsia="Calibri" w:hAnsi="Cambria" w:cs="Calibri"/>
              </w:rPr>
              <w:t>postave</w:t>
            </w:r>
            <w:proofErr w:type="spellEnd"/>
            <w:r w:rsidRPr="008345F3">
              <w:rPr>
                <w:rFonts w:ascii="Cambria" w:eastAsia="Calibri" w:hAnsi="Cambria" w:cs="Calibri"/>
              </w:rPr>
              <w:t xml:space="preserve"> </w:t>
            </w:r>
            <w:proofErr w:type="spellStart"/>
            <w:r w:rsidRPr="008345F3">
              <w:rPr>
                <w:rFonts w:ascii="Cambria" w:eastAsia="Calibri" w:hAnsi="Cambria" w:cs="Calibri"/>
              </w:rPr>
              <w:t>vježbanja</w:t>
            </w:r>
            <w:proofErr w:type="spellEnd"/>
            <w:r w:rsidRPr="008345F3">
              <w:rPr>
                <w:rFonts w:ascii="Cambria" w:eastAsia="Calibri" w:hAnsi="Cambria" w:cs="Calibri"/>
              </w:rPr>
              <w:t xml:space="preserve">, </w:t>
            </w:r>
            <w:proofErr w:type="spellStart"/>
            <w:r w:rsidRPr="008345F3">
              <w:rPr>
                <w:rFonts w:ascii="Cambria" w:eastAsia="Calibri" w:hAnsi="Cambria" w:cs="Calibri"/>
              </w:rPr>
              <w:t>metode</w:t>
            </w:r>
            <w:proofErr w:type="spellEnd"/>
            <w:r w:rsidRPr="008345F3">
              <w:rPr>
                <w:rFonts w:ascii="Cambria" w:eastAsia="Calibri" w:hAnsi="Cambria" w:cs="Calibri"/>
              </w:rPr>
              <w:t xml:space="preserve"> rada, </w:t>
            </w:r>
            <w:proofErr w:type="spellStart"/>
            <w:r w:rsidRPr="008345F3">
              <w:rPr>
                <w:rFonts w:ascii="Cambria" w:eastAsia="Calibri" w:hAnsi="Cambria" w:cs="Calibri"/>
              </w:rPr>
              <w:t>metodičke</w:t>
            </w:r>
            <w:proofErr w:type="spellEnd"/>
            <w:r w:rsidRPr="008345F3">
              <w:rPr>
                <w:rFonts w:ascii="Cambria" w:eastAsia="Calibri" w:hAnsi="Cambria" w:cs="Calibri"/>
              </w:rPr>
              <w:t xml:space="preserve"> </w:t>
            </w:r>
            <w:proofErr w:type="spellStart"/>
            <w:r w:rsidRPr="008345F3">
              <w:rPr>
                <w:rFonts w:ascii="Cambria" w:eastAsia="Calibri" w:hAnsi="Cambria" w:cs="Calibri"/>
              </w:rPr>
              <w:t>principe</w:t>
            </w:r>
            <w:proofErr w:type="spellEnd"/>
            <w:r w:rsidRPr="008345F3">
              <w:rPr>
                <w:rFonts w:ascii="Cambria" w:eastAsia="Calibri" w:hAnsi="Cambria" w:cs="Calibri"/>
              </w:rPr>
              <w:t xml:space="preserve"> </w:t>
            </w:r>
            <w:proofErr w:type="spellStart"/>
            <w:r w:rsidRPr="008345F3">
              <w:rPr>
                <w:rFonts w:ascii="Cambria" w:eastAsia="Calibri" w:hAnsi="Cambria" w:cs="Calibri"/>
              </w:rPr>
              <w:t>i</w:t>
            </w:r>
            <w:proofErr w:type="spellEnd"/>
            <w:r w:rsidRPr="008345F3">
              <w:rPr>
                <w:rFonts w:ascii="Cambria" w:eastAsia="Calibri" w:hAnsi="Cambria" w:cs="Calibri"/>
              </w:rPr>
              <w:t xml:space="preserve"> </w:t>
            </w:r>
            <w:proofErr w:type="spellStart"/>
            <w:r w:rsidRPr="008345F3">
              <w:rPr>
                <w:rFonts w:ascii="Cambria" w:eastAsia="Calibri" w:hAnsi="Cambria" w:cs="Calibri"/>
              </w:rPr>
              <w:t>strukturu</w:t>
            </w:r>
            <w:proofErr w:type="spellEnd"/>
            <w:r w:rsidRPr="008345F3">
              <w:rPr>
                <w:rFonts w:ascii="Cambria" w:eastAsia="Calibri" w:hAnsi="Cambria" w:cs="Calibri"/>
              </w:rPr>
              <w:t xml:space="preserve"> </w:t>
            </w:r>
            <w:proofErr w:type="spellStart"/>
            <w:r w:rsidRPr="008345F3">
              <w:rPr>
                <w:rFonts w:ascii="Cambria" w:eastAsia="Calibri" w:hAnsi="Cambria" w:cs="Calibri"/>
              </w:rPr>
              <w:t>nastavnog</w:t>
            </w:r>
            <w:proofErr w:type="spellEnd"/>
            <w:r w:rsidRPr="008345F3">
              <w:rPr>
                <w:rFonts w:ascii="Cambria" w:eastAsia="Calibri" w:hAnsi="Cambria" w:cs="Calibri"/>
              </w:rPr>
              <w:t xml:space="preserve"> </w:t>
            </w:r>
            <w:proofErr w:type="spellStart"/>
            <w:r w:rsidRPr="008345F3">
              <w:rPr>
                <w:rFonts w:ascii="Cambria" w:eastAsia="Calibri" w:hAnsi="Cambria" w:cs="Calibri"/>
              </w:rPr>
              <w:t>procesa</w:t>
            </w:r>
            <w:proofErr w:type="spellEnd"/>
            <w:r w:rsidRPr="008345F3">
              <w:rPr>
                <w:rFonts w:ascii="Cambria" w:eastAsia="Calibri" w:hAnsi="Cambria" w:cs="Calibri"/>
              </w:rPr>
              <w:t xml:space="preserve"> </w:t>
            </w:r>
            <w:r w:rsidRPr="008345F3">
              <w:rPr>
                <w:rFonts w:ascii="Cambria" w:eastAsia="Calibri" w:hAnsi="Cambria" w:cs="Calibri"/>
                <w:bCs/>
              </w:rPr>
              <w:t xml:space="preserve">u </w:t>
            </w:r>
            <w:proofErr w:type="spellStart"/>
            <w:r w:rsidRPr="008345F3">
              <w:rPr>
                <w:rFonts w:ascii="Cambria" w:eastAsia="Calibri" w:hAnsi="Cambria" w:cs="Calibri"/>
                <w:bCs/>
              </w:rPr>
              <w:t>tjelesnom</w:t>
            </w:r>
            <w:proofErr w:type="spellEnd"/>
            <w:r w:rsidRPr="008345F3">
              <w:rPr>
                <w:rFonts w:ascii="Cambria" w:eastAsia="Calibri" w:hAnsi="Cambria" w:cs="Calibri"/>
                <w:bCs/>
              </w:rPr>
              <w:t xml:space="preserve"> </w:t>
            </w:r>
            <w:proofErr w:type="spellStart"/>
            <w:r w:rsidRPr="008345F3">
              <w:rPr>
                <w:rFonts w:ascii="Cambria" w:eastAsia="Calibri" w:hAnsi="Cambria" w:cs="Calibri"/>
                <w:bCs/>
              </w:rPr>
              <w:t>i</w:t>
            </w:r>
            <w:proofErr w:type="spellEnd"/>
            <w:r w:rsidRPr="008345F3">
              <w:rPr>
                <w:rFonts w:ascii="Cambria" w:eastAsia="Calibri" w:hAnsi="Cambria" w:cs="Calibri"/>
                <w:bCs/>
              </w:rPr>
              <w:t xml:space="preserve"> </w:t>
            </w:r>
            <w:proofErr w:type="spellStart"/>
            <w:r w:rsidRPr="008345F3">
              <w:rPr>
                <w:rFonts w:ascii="Cambria" w:eastAsia="Calibri" w:hAnsi="Cambria" w:cs="Calibri"/>
                <w:bCs/>
              </w:rPr>
              <w:t>zdravstvenom</w:t>
            </w:r>
            <w:proofErr w:type="spellEnd"/>
            <w:r w:rsidRPr="008345F3">
              <w:rPr>
                <w:rFonts w:ascii="Cambria" w:eastAsia="Calibri" w:hAnsi="Cambria" w:cs="Calibri"/>
                <w:bCs/>
              </w:rPr>
              <w:t xml:space="preserve"> </w:t>
            </w:r>
            <w:proofErr w:type="spellStart"/>
            <w:r w:rsidRPr="008345F3">
              <w:rPr>
                <w:rFonts w:ascii="Cambria" w:eastAsia="Calibri" w:hAnsi="Cambria" w:cs="Calibri"/>
                <w:bCs/>
              </w:rPr>
              <w:t>odgojno-obrazovnom</w:t>
            </w:r>
            <w:proofErr w:type="spellEnd"/>
            <w:r w:rsidRPr="008345F3">
              <w:rPr>
                <w:rFonts w:ascii="Cambria" w:eastAsia="Calibri" w:hAnsi="Cambria" w:cs="Calibri"/>
                <w:bCs/>
              </w:rPr>
              <w:t xml:space="preserve"> </w:t>
            </w:r>
            <w:proofErr w:type="spellStart"/>
            <w:r w:rsidRPr="008345F3">
              <w:rPr>
                <w:rFonts w:ascii="Cambria" w:eastAsia="Calibri" w:hAnsi="Cambria" w:cs="Calibri"/>
                <w:bCs/>
              </w:rPr>
              <w:t>području</w:t>
            </w:r>
            <w:proofErr w:type="spellEnd"/>
            <w:r w:rsidRPr="008345F3">
              <w:rPr>
                <w:rFonts w:ascii="Cambria" w:eastAsia="Calibri" w:hAnsi="Cambria" w:cs="Calibri"/>
                <w:bCs/>
              </w:rPr>
              <w:t xml:space="preserve"> </w:t>
            </w:r>
            <w:proofErr w:type="spellStart"/>
            <w:r w:rsidRPr="008345F3">
              <w:rPr>
                <w:rFonts w:ascii="Cambria" w:eastAsia="Calibri" w:hAnsi="Cambria" w:cs="Calibri"/>
                <w:bCs/>
              </w:rPr>
              <w:t>kod</w:t>
            </w:r>
            <w:proofErr w:type="spellEnd"/>
            <w:r w:rsidRPr="008345F3">
              <w:rPr>
                <w:rFonts w:ascii="Cambria" w:eastAsia="Calibri" w:hAnsi="Cambria" w:cs="Calibri"/>
                <w:bCs/>
              </w:rPr>
              <w:t xml:space="preserve"> </w:t>
            </w:r>
            <w:proofErr w:type="spellStart"/>
            <w:r w:rsidRPr="008345F3">
              <w:rPr>
                <w:rFonts w:ascii="Cambria" w:eastAsia="Calibri" w:hAnsi="Cambria" w:cs="Calibri"/>
                <w:bCs/>
              </w:rPr>
              <w:t>djece</w:t>
            </w:r>
            <w:proofErr w:type="spellEnd"/>
            <w:r w:rsidRPr="008345F3">
              <w:rPr>
                <w:rFonts w:ascii="Cambria" w:eastAsia="Calibri" w:hAnsi="Cambria" w:cs="Calibri"/>
                <w:bCs/>
              </w:rPr>
              <w:t xml:space="preserve"> </w:t>
            </w:r>
            <w:proofErr w:type="spellStart"/>
            <w:r w:rsidRPr="008345F3">
              <w:rPr>
                <w:rFonts w:ascii="Cambria" w:eastAsia="Calibri" w:hAnsi="Cambria" w:cs="Calibri"/>
                <w:bCs/>
              </w:rPr>
              <w:t>školske</w:t>
            </w:r>
            <w:proofErr w:type="spellEnd"/>
            <w:r w:rsidRPr="008345F3">
              <w:rPr>
                <w:rFonts w:ascii="Cambria" w:eastAsia="Calibri" w:hAnsi="Cambria" w:cs="Calibri"/>
                <w:bCs/>
              </w:rPr>
              <w:t xml:space="preserve"> </w:t>
            </w:r>
            <w:proofErr w:type="spellStart"/>
            <w:r w:rsidRPr="008345F3">
              <w:rPr>
                <w:rFonts w:ascii="Cambria" w:eastAsia="Calibri" w:hAnsi="Cambria" w:cs="Calibri"/>
                <w:bCs/>
              </w:rPr>
              <w:t>dobi</w:t>
            </w:r>
            <w:proofErr w:type="spellEnd"/>
          </w:p>
        </w:tc>
      </w:tr>
      <w:tr w:rsidR="002A021D" w:rsidRPr="00D0399C" w14:paraId="22C54A28" w14:textId="77777777" w:rsidTr="002A021D">
        <w:tc>
          <w:tcPr>
            <w:tcW w:w="280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8223941" w14:textId="77777777" w:rsidR="002A021D" w:rsidRPr="008345F3" w:rsidRDefault="002A021D" w:rsidP="000B2D2C">
            <w:pPr>
              <w:spacing w:after="0"/>
              <w:jc w:val="both"/>
              <w:rPr>
                <w:rFonts w:ascii="Cambria" w:eastAsia="Calibri" w:hAnsi="Cambria" w:cs="Calibri"/>
              </w:rPr>
            </w:pPr>
            <w:proofErr w:type="spellStart"/>
            <w:r w:rsidRPr="008345F3">
              <w:rPr>
                <w:rFonts w:ascii="Cambria" w:eastAsia="Calibri" w:hAnsi="Cambria" w:cs="Calibri"/>
              </w:rPr>
              <w:t>Ishodi</w:t>
            </w:r>
            <w:proofErr w:type="spellEnd"/>
            <w:r w:rsidRPr="008345F3">
              <w:rPr>
                <w:rFonts w:ascii="Cambria" w:eastAsia="Calibri" w:hAnsi="Cambria" w:cs="Calibri"/>
              </w:rPr>
              <w:t xml:space="preserve"> </w:t>
            </w:r>
            <w:proofErr w:type="spellStart"/>
            <w:r w:rsidRPr="008345F3">
              <w:rPr>
                <w:rFonts w:ascii="Cambria" w:eastAsia="Calibri" w:hAnsi="Cambria" w:cs="Calibri"/>
              </w:rPr>
              <w:t>učenja</w:t>
            </w:r>
            <w:proofErr w:type="spellEnd"/>
          </w:p>
        </w:tc>
        <w:tc>
          <w:tcPr>
            <w:tcW w:w="721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3FB2D5C" w14:textId="77777777" w:rsidR="002A021D" w:rsidRPr="008345F3" w:rsidRDefault="002A021D" w:rsidP="000B2D2C">
            <w:pPr>
              <w:spacing w:after="0"/>
              <w:jc w:val="both"/>
              <w:rPr>
                <w:rFonts w:ascii="Cambria" w:eastAsia="Calibri" w:hAnsi="Cambria" w:cs="Calibri"/>
              </w:rPr>
            </w:pPr>
            <w:r w:rsidRPr="008345F3">
              <w:rPr>
                <w:rFonts w:ascii="Cambria" w:eastAsia="Calibri" w:hAnsi="Cambria" w:cs="Calibri"/>
              </w:rPr>
              <w:t xml:space="preserve">1. </w:t>
            </w:r>
            <w:proofErr w:type="spellStart"/>
            <w:r w:rsidRPr="008345F3">
              <w:rPr>
                <w:rFonts w:ascii="Cambria" w:eastAsia="Calibri" w:hAnsi="Cambria" w:cs="Calibri"/>
              </w:rPr>
              <w:t>analizirati</w:t>
            </w:r>
            <w:proofErr w:type="spellEnd"/>
            <w:r w:rsidRPr="008345F3">
              <w:rPr>
                <w:rFonts w:ascii="Cambria" w:eastAsia="Calibri" w:hAnsi="Cambria" w:cs="Calibri"/>
              </w:rPr>
              <w:t xml:space="preserve"> </w:t>
            </w:r>
            <w:proofErr w:type="spellStart"/>
            <w:r w:rsidRPr="008345F3">
              <w:rPr>
                <w:rFonts w:ascii="Cambria" w:eastAsia="Calibri" w:hAnsi="Cambria" w:cs="Calibri"/>
              </w:rPr>
              <w:t>organizacijske</w:t>
            </w:r>
            <w:proofErr w:type="spellEnd"/>
            <w:r w:rsidRPr="008345F3">
              <w:rPr>
                <w:rFonts w:ascii="Cambria" w:eastAsia="Calibri" w:hAnsi="Cambria" w:cs="Calibri"/>
              </w:rPr>
              <w:t xml:space="preserve"> </w:t>
            </w:r>
            <w:proofErr w:type="spellStart"/>
            <w:r w:rsidRPr="008345F3">
              <w:rPr>
                <w:rFonts w:ascii="Cambria" w:eastAsia="Calibri" w:hAnsi="Cambria" w:cs="Calibri"/>
              </w:rPr>
              <w:t>postave</w:t>
            </w:r>
            <w:proofErr w:type="spellEnd"/>
            <w:r w:rsidRPr="008345F3">
              <w:rPr>
                <w:rFonts w:ascii="Cambria" w:eastAsia="Calibri" w:hAnsi="Cambria" w:cs="Calibri"/>
              </w:rPr>
              <w:t xml:space="preserve"> </w:t>
            </w:r>
            <w:proofErr w:type="spellStart"/>
            <w:r w:rsidRPr="008345F3">
              <w:rPr>
                <w:rFonts w:ascii="Cambria" w:eastAsia="Calibri" w:hAnsi="Cambria" w:cs="Calibri"/>
              </w:rPr>
              <w:t>vježbanja</w:t>
            </w:r>
            <w:proofErr w:type="spellEnd"/>
          </w:p>
          <w:p w14:paraId="7607E57B" w14:textId="77777777" w:rsidR="002A021D" w:rsidRPr="008345F3" w:rsidRDefault="002A021D" w:rsidP="000B2D2C">
            <w:pPr>
              <w:spacing w:after="0"/>
              <w:jc w:val="both"/>
              <w:rPr>
                <w:rFonts w:ascii="Cambria" w:eastAsia="Calibri" w:hAnsi="Cambria" w:cs="Calibri"/>
              </w:rPr>
            </w:pPr>
            <w:r w:rsidRPr="008345F3">
              <w:rPr>
                <w:rFonts w:ascii="Cambria" w:eastAsia="Calibri" w:hAnsi="Cambria" w:cs="Calibri"/>
              </w:rPr>
              <w:t xml:space="preserve">2. </w:t>
            </w:r>
            <w:proofErr w:type="spellStart"/>
            <w:r w:rsidRPr="008345F3">
              <w:rPr>
                <w:rFonts w:ascii="Cambria" w:eastAsia="Calibri" w:hAnsi="Cambria" w:cs="Calibri"/>
              </w:rPr>
              <w:t>primijeniti</w:t>
            </w:r>
            <w:proofErr w:type="spellEnd"/>
            <w:r w:rsidRPr="008345F3">
              <w:rPr>
                <w:rFonts w:ascii="Cambria" w:eastAsia="Calibri" w:hAnsi="Cambria" w:cs="Calibri"/>
              </w:rPr>
              <w:t xml:space="preserve"> </w:t>
            </w:r>
            <w:proofErr w:type="spellStart"/>
            <w:r w:rsidRPr="008345F3">
              <w:rPr>
                <w:rFonts w:ascii="Cambria" w:eastAsia="Calibri" w:hAnsi="Cambria" w:cs="Calibri"/>
              </w:rPr>
              <w:t>jednostavnije</w:t>
            </w:r>
            <w:proofErr w:type="spellEnd"/>
            <w:r w:rsidRPr="008345F3">
              <w:rPr>
                <w:rFonts w:ascii="Cambria" w:eastAsia="Calibri" w:hAnsi="Cambria" w:cs="Calibri"/>
              </w:rPr>
              <w:t xml:space="preserve"> </w:t>
            </w:r>
            <w:proofErr w:type="spellStart"/>
            <w:r w:rsidRPr="008345F3">
              <w:rPr>
                <w:rFonts w:ascii="Cambria" w:eastAsia="Calibri" w:hAnsi="Cambria" w:cs="Calibri"/>
              </w:rPr>
              <w:t>i</w:t>
            </w:r>
            <w:proofErr w:type="spellEnd"/>
            <w:r w:rsidRPr="008345F3">
              <w:rPr>
                <w:rFonts w:ascii="Cambria" w:eastAsia="Calibri" w:hAnsi="Cambria" w:cs="Calibri"/>
              </w:rPr>
              <w:t xml:space="preserve"> </w:t>
            </w:r>
            <w:proofErr w:type="spellStart"/>
            <w:r w:rsidRPr="008345F3">
              <w:rPr>
                <w:rFonts w:ascii="Cambria" w:eastAsia="Calibri" w:hAnsi="Cambria" w:cs="Calibri"/>
              </w:rPr>
              <w:t>složenije</w:t>
            </w:r>
            <w:proofErr w:type="spellEnd"/>
            <w:r w:rsidRPr="008345F3">
              <w:rPr>
                <w:rFonts w:ascii="Cambria" w:eastAsia="Calibri" w:hAnsi="Cambria" w:cs="Calibri"/>
              </w:rPr>
              <w:t xml:space="preserve"> </w:t>
            </w:r>
            <w:proofErr w:type="spellStart"/>
            <w:r w:rsidRPr="008345F3">
              <w:rPr>
                <w:rFonts w:ascii="Cambria" w:eastAsia="Calibri" w:hAnsi="Cambria" w:cs="Calibri"/>
              </w:rPr>
              <w:t>postave</w:t>
            </w:r>
            <w:proofErr w:type="spellEnd"/>
            <w:r w:rsidRPr="008345F3">
              <w:rPr>
                <w:rFonts w:ascii="Cambria" w:eastAsia="Calibri" w:hAnsi="Cambria" w:cs="Calibri"/>
              </w:rPr>
              <w:t xml:space="preserve"> </w:t>
            </w:r>
            <w:proofErr w:type="spellStart"/>
            <w:r w:rsidRPr="008345F3">
              <w:rPr>
                <w:rFonts w:ascii="Cambria" w:eastAsia="Calibri" w:hAnsi="Cambria" w:cs="Calibri"/>
              </w:rPr>
              <w:t>tjelesnog</w:t>
            </w:r>
            <w:proofErr w:type="spellEnd"/>
            <w:r w:rsidRPr="008345F3">
              <w:rPr>
                <w:rFonts w:ascii="Cambria" w:eastAsia="Calibri" w:hAnsi="Cambria" w:cs="Calibri"/>
              </w:rPr>
              <w:t xml:space="preserve"> </w:t>
            </w:r>
            <w:proofErr w:type="spellStart"/>
            <w:r w:rsidRPr="008345F3">
              <w:rPr>
                <w:rFonts w:ascii="Cambria" w:eastAsia="Calibri" w:hAnsi="Cambria" w:cs="Calibri"/>
              </w:rPr>
              <w:t>vježbanja</w:t>
            </w:r>
            <w:proofErr w:type="spellEnd"/>
          </w:p>
          <w:p w14:paraId="27FB8F54" w14:textId="77777777" w:rsidR="002A021D" w:rsidRPr="008345F3" w:rsidRDefault="002A021D" w:rsidP="000B2D2C">
            <w:pPr>
              <w:spacing w:after="0"/>
              <w:jc w:val="both"/>
              <w:rPr>
                <w:rFonts w:ascii="Cambria" w:eastAsia="Calibri" w:hAnsi="Cambria" w:cs="Calibri"/>
                <w:lang w:val="it-IT"/>
              </w:rPr>
            </w:pPr>
            <w:r w:rsidRPr="008345F3">
              <w:rPr>
                <w:rFonts w:ascii="Cambria" w:eastAsia="Calibri" w:hAnsi="Cambria" w:cs="Calibri"/>
                <w:lang w:val="it-IT"/>
              </w:rPr>
              <w:t xml:space="preserve">3. </w:t>
            </w:r>
            <w:proofErr w:type="spellStart"/>
            <w:r w:rsidRPr="008345F3">
              <w:rPr>
                <w:rFonts w:ascii="Cambria" w:eastAsia="Calibri" w:hAnsi="Cambria" w:cs="Calibri"/>
                <w:lang w:val="it-IT"/>
              </w:rPr>
              <w:t>interpretirati</w:t>
            </w:r>
            <w:proofErr w:type="spellEnd"/>
            <w:r w:rsidRPr="008345F3">
              <w:rPr>
                <w:rFonts w:ascii="Cambria" w:eastAsia="Calibri" w:hAnsi="Cambria" w:cs="Calibri"/>
                <w:lang w:val="it-IT"/>
              </w:rPr>
              <w:t xml:space="preserve"> </w:t>
            </w:r>
            <w:proofErr w:type="spellStart"/>
            <w:r w:rsidRPr="008345F3">
              <w:rPr>
                <w:rFonts w:ascii="Cambria" w:eastAsia="Calibri" w:hAnsi="Cambria" w:cs="Calibri"/>
                <w:lang w:val="it-IT"/>
              </w:rPr>
              <w:t>metode</w:t>
            </w:r>
            <w:proofErr w:type="spellEnd"/>
            <w:r w:rsidRPr="008345F3">
              <w:rPr>
                <w:rFonts w:ascii="Cambria" w:eastAsia="Calibri" w:hAnsi="Cambria" w:cs="Calibri"/>
                <w:lang w:val="it-IT"/>
              </w:rPr>
              <w:t xml:space="preserve"> rada</w:t>
            </w:r>
          </w:p>
          <w:p w14:paraId="78B655DD" w14:textId="77777777" w:rsidR="002A021D" w:rsidRPr="008345F3" w:rsidRDefault="002A021D" w:rsidP="000B2D2C">
            <w:pPr>
              <w:spacing w:after="0"/>
              <w:jc w:val="both"/>
              <w:rPr>
                <w:rFonts w:ascii="Cambria" w:eastAsia="Calibri" w:hAnsi="Cambria" w:cs="Calibri"/>
                <w:lang w:val="it-IT"/>
              </w:rPr>
            </w:pPr>
            <w:r w:rsidRPr="008345F3">
              <w:rPr>
                <w:rFonts w:ascii="Cambria" w:eastAsia="Calibri" w:hAnsi="Cambria" w:cs="Calibri"/>
                <w:lang w:val="it-IT"/>
              </w:rPr>
              <w:t xml:space="preserve">4. </w:t>
            </w:r>
            <w:proofErr w:type="spellStart"/>
            <w:r w:rsidRPr="008345F3">
              <w:rPr>
                <w:rFonts w:ascii="Cambria" w:eastAsia="Calibri" w:hAnsi="Cambria" w:cs="Calibri"/>
                <w:lang w:val="it-IT"/>
              </w:rPr>
              <w:t>razlikovati</w:t>
            </w:r>
            <w:proofErr w:type="spellEnd"/>
            <w:r w:rsidRPr="008345F3">
              <w:rPr>
                <w:rFonts w:ascii="Cambria" w:eastAsia="Calibri" w:hAnsi="Cambria" w:cs="Calibri"/>
                <w:lang w:val="it-IT"/>
              </w:rPr>
              <w:t xml:space="preserve"> </w:t>
            </w:r>
            <w:proofErr w:type="spellStart"/>
            <w:r w:rsidRPr="008345F3">
              <w:rPr>
                <w:rFonts w:ascii="Cambria" w:eastAsia="Calibri" w:hAnsi="Cambria" w:cs="Calibri"/>
                <w:lang w:val="it-IT"/>
              </w:rPr>
              <w:t>metodičke</w:t>
            </w:r>
            <w:proofErr w:type="spellEnd"/>
            <w:r w:rsidRPr="008345F3">
              <w:rPr>
                <w:rFonts w:ascii="Cambria" w:eastAsia="Calibri" w:hAnsi="Cambria" w:cs="Calibri"/>
                <w:lang w:val="it-IT"/>
              </w:rPr>
              <w:t xml:space="preserve"> principe</w:t>
            </w:r>
          </w:p>
          <w:p w14:paraId="06090303" w14:textId="77777777" w:rsidR="002A021D" w:rsidRPr="008345F3" w:rsidRDefault="002A021D" w:rsidP="000B2D2C">
            <w:pPr>
              <w:spacing w:after="0"/>
              <w:jc w:val="both"/>
              <w:rPr>
                <w:rFonts w:ascii="Cambria" w:eastAsia="Calibri" w:hAnsi="Cambria" w:cs="Calibri"/>
                <w:lang w:val="it-IT"/>
              </w:rPr>
            </w:pPr>
            <w:r w:rsidRPr="008345F3">
              <w:rPr>
                <w:rFonts w:ascii="Cambria" w:eastAsia="Calibri" w:hAnsi="Cambria" w:cs="Calibri"/>
                <w:lang w:val="it-IT"/>
              </w:rPr>
              <w:t xml:space="preserve">5. </w:t>
            </w:r>
            <w:proofErr w:type="spellStart"/>
            <w:r w:rsidRPr="008345F3">
              <w:rPr>
                <w:rFonts w:ascii="Cambria" w:eastAsia="Calibri" w:hAnsi="Cambria" w:cs="Calibri"/>
                <w:lang w:val="it-IT"/>
              </w:rPr>
              <w:t>analizirati</w:t>
            </w:r>
            <w:proofErr w:type="spellEnd"/>
            <w:r w:rsidRPr="008345F3">
              <w:rPr>
                <w:rFonts w:ascii="Cambria" w:eastAsia="Calibri" w:hAnsi="Cambria" w:cs="Calibri"/>
                <w:lang w:val="it-IT"/>
              </w:rPr>
              <w:t xml:space="preserve"> </w:t>
            </w:r>
            <w:proofErr w:type="spellStart"/>
            <w:r w:rsidRPr="008345F3">
              <w:rPr>
                <w:rFonts w:ascii="Cambria" w:eastAsia="Calibri" w:hAnsi="Cambria" w:cs="Calibri"/>
                <w:lang w:val="it-IT"/>
              </w:rPr>
              <w:t>strukturu</w:t>
            </w:r>
            <w:proofErr w:type="spellEnd"/>
            <w:r w:rsidRPr="008345F3">
              <w:rPr>
                <w:rFonts w:ascii="Cambria" w:eastAsia="Calibri" w:hAnsi="Cambria" w:cs="Calibri"/>
                <w:lang w:val="it-IT"/>
              </w:rPr>
              <w:t xml:space="preserve"> </w:t>
            </w:r>
            <w:proofErr w:type="spellStart"/>
            <w:r w:rsidRPr="008345F3">
              <w:rPr>
                <w:rFonts w:ascii="Cambria" w:eastAsia="Calibri" w:hAnsi="Cambria" w:cs="Calibri"/>
                <w:lang w:val="it-IT"/>
              </w:rPr>
              <w:t>nastavnog</w:t>
            </w:r>
            <w:proofErr w:type="spellEnd"/>
            <w:r w:rsidRPr="008345F3">
              <w:rPr>
                <w:rFonts w:ascii="Cambria" w:eastAsia="Calibri" w:hAnsi="Cambria" w:cs="Calibri"/>
                <w:lang w:val="it-IT"/>
              </w:rPr>
              <w:t xml:space="preserve"> </w:t>
            </w:r>
            <w:proofErr w:type="spellStart"/>
            <w:r w:rsidRPr="008345F3">
              <w:rPr>
                <w:rFonts w:ascii="Cambria" w:eastAsia="Calibri" w:hAnsi="Cambria" w:cs="Calibri"/>
                <w:lang w:val="it-IT"/>
              </w:rPr>
              <w:t>procesa</w:t>
            </w:r>
            <w:proofErr w:type="spellEnd"/>
            <w:r w:rsidRPr="008345F3">
              <w:rPr>
                <w:rFonts w:ascii="Cambria" w:eastAsia="Calibri" w:hAnsi="Cambria" w:cs="Calibri"/>
                <w:lang w:val="it-IT"/>
              </w:rPr>
              <w:t xml:space="preserve"> </w:t>
            </w:r>
            <w:proofErr w:type="spellStart"/>
            <w:r w:rsidRPr="008345F3">
              <w:rPr>
                <w:rFonts w:ascii="Cambria" w:eastAsia="Calibri" w:hAnsi="Cambria" w:cs="Calibri"/>
                <w:lang w:val="it-IT"/>
              </w:rPr>
              <w:t>tjelesne</w:t>
            </w:r>
            <w:proofErr w:type="spellEnd"/>
            <w:r w:rsidRPr="008345F3">
              <w:rPr>
                <w:rFonts w:ascii="Cambria" w:eastAsia="Calibri" w:hAnsi="Cambria" w:cs="Calibri"/>
                <w:lang w:val="it-IT"/>
              </w:rPr>
              <w:t xml:space="preserve"> i </w:t>
            </w:r>
            <w:proofErr w:type="spellStart"/>
            <w:r w:rsidRPr="008345F3">
              <w:rPr>
                <w:rFonts w:ascii="Cambria" w:eastAsia="Calibri" w:hAnsi="Cambria" w:cs="Calibri"/>
                <w:lang w:val="it-IT"/>
              </w:rPr>
              <w:t>zdravstvene</w:t>
            </w:r>
            <w:proofErr w:type="spellEnd"/>
            <w:r w:rsidRPr="008345F3">
              <w:rPr>
                <w:rFonts w:ascii="Cambria" w:eastAsia="Calibri" w:hAnsi="Cambria" w:cs="Calibri"/>
                <w:lang w:val="it-IT"/>
              </w:rPr>
              <w:t xml:space="preserve"> </w:t>
            </w:r>
            <w:proofErr w:type="spellStart"/>
            <w:r w:rsidRPr="008345F3">
              <w:rPr>
                <w:rFonts w:ascii="Cambria" w:eastAsia="Calibri" w:hAnsi="Cambria" w:cs="Calibri"/>
                <w:lang w:val="it-IT"/>
              </w:rPr>
              <w:t>kulture</w:t>
            </w:r>
            <w:proofErr w:type="spellEnd"/>
          </w:p>
        </w:tc>
      </w:tr>
      <w:tr w:rsidR="002A021D" w:rsidRPr="00D0399C" w14:paraId="2B68A2A7" w14:textId="77777777" w:rsidTr="002A021D">
        <w:tc>
          <w:tcPr>
            <w:tcW w:w="2806"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05BA9FA0" w14:textId="77777777" w:rsidR="002A021D" w:rsidRPr="008345F3" w:rsidRDefault="002A021D" w:rsidP="000B2D2C">
            <w:pPr>
              <w:spacing w:after="0"/>
              <w:jc w:val="both"/>
              <w:rPr>
                <w:rFonts w:ascii="Cambria" w:eastAsia="Calibri" w:hAnsi="Cambria" w:cs="Calibri"/>
              </w:rPr>
            </w:pPr>
            <w:proofErr w:type="spellStart"/>
            <w:r w:rsidRPr="008345F3">
              <w:rPr>
                <w:rFonts w:ascii="Cambria" w:eastAsia="Calibri" w:hAnsi="Cambria" w:cs="Calibri"/>
              </w:rPr>
              <w:t>Sadržaj</w:t>
            </w:r>
            <w:proofErr w:type="spellEnd"/>
            <w:r w:rsidRPr="008345F3">
              <w:rPr>
                <w:rFonts w:ascii="Cambria" w:eastAsia="Calibri" w:hAnsi="Cambria" w:cs="Calibri"/>
              </w:rPr>
              <w:t xml:space="preserve"> </w:t>
            </w:r>
            <w:proofErr w:type="spellStart"/>
            <w:r w:rsidRPr="008345F3">
              <w:rPr>
                <w:rFonts w:ascii="Cambria" w:eastAsia="Calibri" w:hAnsi="Cambria" w:cs="Calibri"/>
              </w:rPr>
              <w:t>kolegija</w:t>
            </w:r>
            <w:proofErr w:type="spellEnd"/>
          </w:p>
        </w:tc>
        <w:tc>
          <w:tcPr>
            <w:tcW w:w="7214"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38A6E5A" w14:textId="77777777" w:rsidR="002A021D" w:rsidRPr="008345F3" w:rsidRDefault="002A021D" w:rsidP="000B2D2C">
            <w:pPr>
              <w:spacing w:after="0"/>
              <w:jc w:val="both"/>
              <w:rPr>
                <w:rFonts w:ascii="Cambria" w:eastAsia="Calibri" w:hAnsi="Cambria" w:cs="Calibri"/>
                <w:lang w:val="pl-PL"/>
              </w:rPr>
            </w:pPr>
            <w:r w:rsidRPr="008345F3">
              <w:rPr>
                <w:rFonts w:ascii="Cambria" w:eastAsia="Calibri" w:hAnsi="Cambria" w:cs="Calibri"/>
                <w:lang w:val="pl-PL"/>
              </w:rPr>
              <w:t xml:space="preserve">1. Uvođenje u organizaciju tjelesnog vježbanja </w:t>
            </w:r>
          </w:p>
          <w:p w14:paraId="50B8597F" w14:textId="77777777" w:rsidR="002A021D" w:rsidRPr="008345F3" w:rsidRDefault="002A021D" w:rsidP="000B2D2C">
            <w:pPr>
              <w:spacing w:after="0"/>
              <w:rPr>
                <w:rFonts w:ascii="Cambria" w:eastAsia="Calibri" w:hAnsi="Cambria" w:cs="Calibri"/>
              </w:rPr>
            </w:pPr>
            <w:r w:rsidRPr="008345F3">
              <w:rPr>
                <w:rFonts w:ascii="Cambria" w:eastAsia="Calibri" w:hAnsi="Cambria" w:cs="Calibri"/>
                <w:lang w:val="pl-PL"/>
              </w:rPr>
              <w:t xml:space="preserve">2. </w:t>
            </w:r>
            <w:proofErr w:type="spellStart"/>
            <w:r w:rsidRPr="008345F3">
              <w:rPr>
                <w:rFonts w:ascii="Cambria" w:eastAsia="Calibri" w:hAnsi="Cambria" w:cs="Calibri"/>
              </w:rPr>
              <w:t>Organizacijske</w:t>
            </w:r>
            <w:proofErr w:type="spellEnd"/>
            <w:r w:rsidRPr="008345F3">
              <w:rPr>
                <w:rFonts w:ascii="Cambria" w:eastAsia="Calibri" w:hAnsi="Cambria" w:cs="Calibri"/>
              </w:rPr>
              <w:t xml:space="preserve"> </w:t>
            </w:r>
            <w:proofErr w:type="spellStart"/>
            <w:r w:rsidRPr="008345F3">
              <w:rPr>
                <w:rFonts w:ascii="Cambria" w:eastAsia="Calibri" w:hAnsi="Cambria" w:cs="Calibri"/>
              </w:rPr>
              <w:t>postave</w:t>
            </w:r>
            <w:proofErr w:type="spellEnd"/>
            <w:r w:rsidRPr="008345F3">
              <w:rPr>
                <w:rFonts w:ascii="Cambria" w:eastAsia="Calibri" w:hAnsi="Cambria" w:cs="Calibri"/>
              </w:rPr>
              <w:t xml:space="preserve"> </w:t>
            </w:r>
            <w:proofErr w:type="spellStart"/>
            <w:r w:rsidRPr="008345F3">
              <w:rPr>
                <w:rFonts w:ascii="Cambria" w:eastAsia="Calibri" w:hAnsi="Cambria" w:cs="Calibri"/>
              </w:rPr>
              <w:t>vježbanja</w:t>
            </w:r>
            <w:proofErr w:type="spellEnd"/>
            <w:r w:rsidRPr="008345F3">
              <w:rPr>
                <w:rFonts w:ascii="Cambria" w:eastAsia="Calibri" w:hAnsi="Cambria" w:cs="Calibri"/>
              </w:rPr>
              <w:t xml:space="preserve"> (</w:t>
            </w:r>
            <w:proofErr w:type="spellStart"/>
            <w:r w:rsidRPr="008345F3">
              <w:rPr>
                <w:rFonts w:ascii="Cambria" w:eastAsia="Calibri" w:hAnsi="Cambria" w:cs="Calibri"/>
              </w:rPr>
              <w:t>jednostavnije</w:t>
            </w:r>
            <w:proofErr w:type="spellEnd"/>
            <w:r w:rsidRPr="008345F3">
              <w:rPr>
                <w:rFonts w:ascii="Cambria" w:eastAsia="Calibri" w:hAnsi="Cambria" w:cs="Calibri"/>
              </w:rPr>
              <w:t xml:space="preserve"> </w:t>
            </w:r>
            <w:proofErr w:type="spellStart"/>
            <w:r w:rsidRPr="008345F3">
              <w:rPr>
                <w:rFonts w:ascii="Cambria" w:eastAsia="Calibri" w:hAnsi="Cambria" w:cs="Calibri"/>
              </w:rPr>
              <w:t>i</w:t>
            </w:r>
            <w:proofErr w:type="spellEnd"/>
            <w:r w:rsidRPr="008345F3">
              <w:rPr>
                <w:rFonts w:ascii="Cambria" w:eastAsia="Calibri" w:hAnsi="Cambria" w:cs="Calibri"/>
              </w:rPr>
              <w:t xml:space="preserve"> </w:t>
            </w:r>
            <w:proofErr w:type="spellStart"/>
            <w:r w:rsidRPr="008345F3">
              <w:rPr>
                <w:rFonts w:ascii="Cambria" w:eastAsia="Calibri" w:hAnsi="Cambria" w:cs="Calibri"/>
              </w:rPr>
              <w:t>složenije</w:t>
            </w:r>
            <w:proofErr w:type="spellEnd"/>
            <w:r w:rsidRPr="008345F3">
              <w:rPr>
                <w:rFonts w:ascii="Cambria" w:eastAsia="Calibri" w:hAnsi="Cambria" w:cs="Calibri"/>
              </w:rPr>
              <w:t xml:space="preserve"> </w:t>
            </w:r>
            <w:proofErr w:type="spellStart"/>
            <w:r w:rsidRPr="008345F3">
              <w:rPr>
                <w:rFonts w:ascii="Cambria" w:eastAsia="Calibri" w:hAnsi="Cambria" w:cs="Calibri"/>
              </w:rPr>
              <w:t>organizacijske</w:t>
            </w:r>
            <w:proofErr w:type="spellEnd"/>
            <w:r w:rsidRPr="008345F3">
              <w:rPr>
                <w:rFonts w:ascii="Cambria" w:eastAsia="Calibri" w:hAnsi="Cambria" w:cs="Calibri"/>
              </w:rPr>
              <w:t xml:space="preserve"> </w:t>
            </w:r>
            <w:proofErr w:type="spellStart"/>
            <w:r w:rsidRPr="008345F3">
              <w:rPr>
                <w:rFonts w:ascii="Cambria" w:eastAsia="Calibri" w:hAnsi="Cambria" w:cs="Calibri"/>
              </w:rPr>
              <w:t>postave</w:t>
            </w:r>
            <w:proofErr w:type="spellEnd"/>
            <w:r w:rsidRPr="008345F3">
              <w:rPr>
                <w:rFonts w:ascii="Cambria" w:eastAsia="Calibri" w:hAnsi="Cambria" w:cs="Calibri"/>
              </w:rPr>
              <w:t xml:space="preserve"> </w:t>
            </w:r>
            <w:proofErr w:type="spellStart"/>
            <w:r w:rsidRPr="008345F3">
              <w:rPr>
                <w:rFonts w:ascii="Cambria" w:eastAsia="Calibri" w:hAnsi="Cambria" w:cs="Calibri"/>
              </w:rPr>
              <w:t>vježbanja</w:t>
            </w:r>
            <w:proofErr w:type="spellEnd"/>
            <w:r w:rsidRPr="008345F3">
              <w:rPr>
                <w:rFonts w:ascii="Cambria" w:eastAsia="Calibri" w:hAnsi="Cambria" w:cs="Calibri"/>
              </w:rPr>
              <w:t>)</w:t>
            </w:r>
          </w:p>
          <w:p w14:paraId="4B4E3F11" w14:textId="77777777" w:rsidR="002A021D" w:rsidRPr="008345F3" w:rsidRDefault="002A021D" w:rsidP="000B2D2C">
            <w:pPr>
              <w:spacing w:after="0"/>
              <w:jc w:val="both"/>
              <w:rPr>
                <w:rFonts w:ascii="Cambria" w:eastAsia="Calibri" w:hAnsi="Cambria" w:cs="Calibri"/>
              </w:rPr>
            </w:pPr>
            <w:r w:rsidRPr="008345F3">
              <w:rPr>
                <w:rFonts w:ascii="Cambria" w:eastAsia="Calibri" w:hAnsi="Cambria" w:cs="Calibri"/>
              </w:rPr>
              <w:t xml:space="preserve">3. Metode rada: </w:t>
            </w:r>
            <w:proofErr w:type="spellStart"/>
            <w:r w:rsidRPr="008345F3">
              <w:rPr>
                <w:rFonts w:ascii="Cambria" w:eastAsia="Calibri" w:hAnsi="Cambria" w:cs="Calibri"/>
              </w:rPr>
              <w:t>metode</w:t>
            </w:r>
            <w:proofErr w:type="spellEnd"/>
            <w:r w:rsidRPr="008345F3">
              <w:rPr>
                <w:rFonts w:ascii="Cambria" w:eastAsia="Calibri" w:hAnsi="Cambria" w:cs="Calibri"/>
              </w:rPr>
              <w:t xml:space="preserve"> </w:t>
            </w:r>
            <w:proofErr w:type="spellStart"/>
            <w:r w:rsidRPr="008345F3">
              <w:rPr>
                <w:rFonts w:ascii="Cambria" w:eastAsia="Calibri" w:hAnsi="Cambria" w:cs="Calibri"/>
              </w:rPr>
              <w:t>prikazivanja</w:t>
            </w:r>
            <w:proofErr w:type="spellEnd"/>
            <w:r w:rsidRPr="008345F3">
              <w:rPr>
                <w:rFonts w:ascii="Cambria" w:eastAsia="Calibri" w:hAnsi="Cambria" w:cs="Calibri"/>
              </w:rPr>
              <w:t xml:space="preserve"> </w:t>
            </w:r>
            <w:proofErr w:type="spellStart"/>
            <w:r w:rsidRPr="008345F3">
              <w:rPr>
                <w:rFonts w:ascii="Cambria" w:eastAsia="Calibri" w:hAnsi="Cambria" w:cs="Calibri"/>
              </w:rPr>
              <w:t>motoričkog</w:t>
            </w:r>
            <w:proofErr w:type="spellEnd"/>
            <w:r w:rsidRPr="008345F3">
              <w:rPr>
                <w:rFonts w:ascii="Cambria" w:eastAsia="Calibri" w:hAnsi="Cambria" w:cs="Calibri"/>
              </w:rPr>
              <w:t xml:space="preserve"> </w:t>
            </w:r>
            <w:proofErr w:type="spellStart"/>
            <w:r w:rsidRPr="008345F3">
              <w:rPr>
                <w:rFonts w:ascii="Cambria" w:eastAsia="Calibri" w:hAnsi="Cambria" w:cs="Calibri"/>
              </w:rPr>
              <w:t>zadatka</w:t>
            </w:r>
            <w:proofErr w:type="spellEnd"/>
            <w:r w:rsidRPr="008345F3">
              <w:rPr>
                <w:rFonts w:ascii="Cambria" w:eastAsia="Calibri" w:hAnsi="Cambria" w:cs="Calibri"/>
              </w:rPr>
              <w:t xml:space="preserve">, </w:t>
            </w:r>
            <w:proofErr w:type="spellStart"/>
            <w:r w:rsidRPr="008345F3">
              <w:rPr>
                <w:rFonts w:ascii="Cambria" w:eastAsia="Calibri" w:hAnsi="Cambria" w:cs="Calibri"/>
              </w:rPr>
              <w:t>metode</w:t>
            </w:r>
            <w:proofErr w:type="spellEnd"/>
            <w:r w:rsidRPr="008345F3">
              <w:rPr>
                <w:rFonts w:ascii="Cambria" w:eastAsia="Calibri" w:hAnsi="Cambria" w:cs="Calibri"/>
              </w:rPr>
              <w:t xml:space="preserve"> </w:t>
            </w:r>
            <w:proofErr w:type="spellStart"/>
            <w:r w:rsidRPr="008345F3">
              <w:rPr>
                <w:rFonts w:ascii="Cambria" w:eastAsia="Calibri" w:hAnsi="Cambria" w:cs="Calibri"/>
              </w:rPr>
              <w:t>učenja</w:t>
            </w:r>
            <w:proofErr w:type="spellEnd"/>
            <w:r w:rsidRPr="008345F3">
              <w:rPr>
                <w:rFonts w:ascii="Cambria" w:eastAsia="Calibri" w:hAnsi="Cambria" w:cs="Calibri"/>
              </w:rPr>
              <w:t xml:space="preserve">, </w:t>
            </w:r>
            <w:proofErr w:type="spellStart"/>
            <w:r w:rsidRPr="008345F3">
              <w:rPr>
                <w:rFonts w:ascii="Cambria" w:eastAsia="Calibri" w:hAnsi="Cambria" w:cs="Calibri"/>
              </w:rPr>
              <w:t>metode</w:t>
            </w:r>
            <w:proofErr w:type="spellEnd"/>
            <w:r w:rsidRPr="008345F3">
              <w:rPr>
                <w:rFonts w:ascii="Cambria" w:eastAsia="Calibri" w:hAnsi="Cambria" w:cs="Calibri"/>
              </w:rPr>
              <w:t xml:space="preserve"> </w:t>
            </w:r>
            <w:proofErr w:type="spellStart"/>
            <w:r w:rsidRPr="008345F3">
              <w:rPr>
                <w:rFonts w:ascii="Cambria" w:eastAsia="Calibri" w:hAnsi="Cambria" w:cs="Calibri"/>
              </w:rPr>
              <w:t>uvježbavanja</w:t>
            </w:r>
            <w:proofErr w:type="spellEnd"/>
            <w:r w:rsidRPr="008345F3">
              <w:rPr>
                <w:rFonts w:ascii="Cambria" w:eastAsia="Calibri" w:hAnsi="Cambria" w:cs="Calibri"/>
              </w:rPr>
              <w:t xml:space="preserve">, </w:t>
            </w:r>
            <w:proofErr w:type="spellStart"/>
            <w:r w:rsidRPr="008345F3">
              <w:rPr>
                <w:rFonts w:ascii="Cambria" w:eastAsia="Calibri" w:hAnsi="Cambria" w:cs="Calibri"/>
              </w:rPr>
              <w:t>metode</w:t>
            </w:r>
            <w:proofErr w:type="spellEnd"/>
            <w:r w:rsidRPr="008345F3">
              <w:rPr>
                <w:rFonts w:ascii="Cambria" w:eastAsia="Calibri" w:hAnsi="Cambria" w:cs="Calibri"/>
              </w:rPr>
              <w:t xml:space="preserve"> </w:t>
            </w:r>
            <w:proofErr w:type="spellStart"/>
            <w:r w:rsidRPr="008345F3">
              <w:rPr>
                <w:rFonts w:ascii="Cambria" w:eastAsia="Calibri" w:hAnsi="Cambria" w:cs="Calibri"/>
              </w:rPr>
              <w:t>vježbanja</w:t>
            </w:r>
            <w:proofErr w:type="spellEnd"/>
            <w:r w:rsidRPr="008345F3">
              <w:rPr>
                <w:rFonts w:ascii="Cambria" w:eastAsia="Calibri" w:hAnsi="Cambria" w:cs="Calibri"/>
              </w:rPr>
              <w:t xml:space="preserve">, </w:t>
            </w:r>
            <w:proofErr w:type="spellStart"/>
            <w:r w:rsidRPr="008345F3">
              <w:rPr>
                <w:rFonts w:ascii="Cambria" w:eastAsia="Calibri" w:hAnsi="Cambria" w:cs="Calibri"/>
              </w:rPr>
              <w:t>metode</w:t>
            </w:r>
            <w:proofErr w:type="spellEnd"/>
            <w:r w:rsidRPr="008345F3">
              <w:rPr>
                <w:rFonts w:ascii="Cambria" w:eastAsia="Calibri" w:hAnsi="Cambria" w:cs="Calibri"/>
              </w:rPr>
              <w:t xml:space="preserve"> </w:t>
            </w:r>
            <w:proofErr w:type="spellStart"/>
            <w:r w:rsidRPr="008345F3">
              <w:rPr>
                <w:rFonts w:ascii="Cambria" w:eastAsia="Calibri" w:hAnsi="Cambria" w:cs="Calibri"/>
              </w:rPr>
              <w:t>sigurnosti</w:t>
            </w:r>
            <w:proofErr w:type="spellEnd"/>
            <w:r w:rsidRPr="008345F3">
              <w:rPr>
                <w:rFonts w:ascii="Cambria" w:eastAsia="Calibri" w:hAnsi="Cambria" w:cs="Calibri"/>
              </w:rPr>
              <w:t xml:space="preserve">, </w:t>
            </w:r>
            <w:proofErr w:type="spellStart"/>
            <w:r w:rsidRPr="008345F3">
              <w:rPr>
                <w:rFonts w:ascii="Cambria" w:eastAsia="Calibri" w:hAnsi="Cambria" w:cs="Calibri"/>
              </w:rPr>
              <w:t>metode</w:t>
            </w:r>
            <w:proofErr w:type="spellEnd"/>
            <w:r w:rsidRPr="008345F3">
              <w:rPr>
                <w:rFonts w:ascii="Cambria" w:eastAsia="Calibri" w:hAnsi="Cambria" w:cs="Calibri"/>
              </w:rPr>
              <w:t xml:space="preserve"> </w:t>
            </w:r>
            <w:proofErr w:type="spellStart"/>
            <w:r w:rsidRPr="008345F3">
              <w:rPr>
                <w:rFonts w:ascii="Cambria" w:eastAsia="Calibri" w:hAnsi="Cambria" w:cs="Calibri"/>
              </w:rPr>
              <w:t>nadzora</w:t>
            </w:r>
            <w:proofErr w:type="spellEnd"/>
            <w:r w:rsidRPr="008345F3">
              <w:rPr>
                <w:rFonts w:ascii="Cambria" w:eastAsia="Calibri" w:hAnsi="Cambria" w:cs="Calibri"/>
              </w:rPr>
              <w:t xml:space="preserve"> </w:t>
            </w:r>
            <w:proofErr w:type="spellStart"/>
            <w:r w:rsidRPr="008345F3">
              <w:rPr>
                <w:rFonts w:ascii="Cambria" w:eastAsia="Calibri" w:hAnsi="Cambria" w:cs="Calibri"/>
              </w:rPr>
              <w:t>procesa</w:t>
            </w:r>
            <w:proofErr w:type="spellEnd"/>
            <w:r w:rsidRPr="008345F3">
              <w:rPr>
                <w:rFonts w:ascii="Cambria" w:eastAsia="Calibri" w:hAnsi="Cambria" w:cs="Calibri"/>
              </w:rPr>
              <w:t xml:space="preserve"> </w:t>
            </w:r>
            <w:proofErr w:type="spellStart"/>
            <w:r w:rsidRPr="008345F3">
              <w:rPr>
                <w:rFonts w:ascii="Cambria" w:eastAsia="Calibri" w:hAnsi="Cambria" w:cs="Calibri"/>
              </w:rPr>
              <w:t>vježbanja</w:t>
            </w:r>
            <w:proofErr w:type="spellEnd"/>
            <w:r w:rsidRPr="008345F3">
              <w:rPr>
                <w:rFonts w:ascii="Cambria" w:eastAsia="Calibri" w:hAnsi="Cambria" w:cs="Calibri"/>
              </w:rPr>
              <w:t xml:space="preserve"> </w:t>
            </w:r>
            <w:proofErr w:type="spellStart"/>
            <w:r w:rsidRPr="008345F3">
              <w:rPr>
                <w:rFonts w:ascii="Cambria" w:eastAsia="Calibri" w:hAnsi="Cambria" w:cs="Calibri"/>
              </w:rPr>
              <w:t>te</w:t>
            </w:r>
            <w:proofErr w:type="spellEnd"/>
            <w:r w:rsidRPr="008345F3">
              <w:rPr>
                <w:rFonts w:ascii="Cambria" w:eastAsia="Calibri" w:hAnsi="Cambria" w:cs="Calibri"/>
              </w:rPr>
              <w:t xml:space="preserve"> </w:t>
            </w:r>
            <w:proofErr w:type="spellStart"/>
            <w:r w:rsidRPr="008345F3">
              <w:rPr>
                <w:rFonts w:ascii="Cambria" w:eastAsia="Calibri" w:hAnsi="Cambria" w:cs="Calibri"/>
              </w:rPr>
              <w:t>pomoćni</w:t>
            </w:r>
            <w:proofErr w:type="spellEnd"/>
            <w:r w:rsidRPr="008345F3">
              <w:rPr>
                <w:rFonts w:ascii="Cambria" w:eastAsia="Calibri" w:hAnsi="Cambria" w:cs="Calibri"/>
              </w:rPr>
              <w:t xml:space="preserve"> </w:t>
            </w:r>
            <w:proofErr w:type="spellStart"/>
            <w:r w:rsidRPr="008345F3">
              <w:rPr>
                <w:rFonts w:ascii="Cambria" w:eastAsia="Calibri" w:hAnsi="Cambria" w:cs="Calibri"/>
              </w:rPr>
              <w:t>postupci</w:t>
            </w:r>
            <w:proofErr w:type="spellEnd"/>
            <w:r w:rsidRPr="008345F3">
              <w:rPr>
                <w:rFonts w:ascii="Cambria" w:eastAsia="Calibri" w:hAnsi="Cambria" w:cs="Calibri"/>
              </w:rPr>
              <w:t xml:space="preserve"> </w:t>
            </w:r>
            <w:proofErr w:type="spellStart"/>
            <w:r w:rsidRPr="008345F3">
              <w:rPr>
                <w:rFonts w:ascii="Cambria" w:eastAsia="Calibri" w:hAnsi="Cambria" w:cs="Calibri"/>
              </w:rPr>
              <w:t>verbalne</w:t>
            </w:r>
            <w:proofErr w:type="spellEnd"/>
            <w:r w:rsidRPr="008345F3">
              <w:rPr>
                <w:rFonts w:ascii="Cambria" w:eastAsia="Calibri" w:hAnsi="Cambria" w:cs="Calibri"/>
              </w:rPr>
              <w:t xml:space="preserve"> </w:t>
            </w:r>
            <w:proofErr w:type="spellStart"/>
            <w:r w:rsidRPr="008345F3">
              <w:rPr>
                <w:rFonts w:ascii="Cambria" w:eastAsia="Calibri" w:hAnsi="Cambria" w:cs="Calibri"/>
              </w:rPr>
              <w:t>i</w:t>
            </w:r>
            <w:proofErr w:type="spellEnd"/>
            <w:r w:rsidRPr="008345F3">
              <w:rPr>
                <w:rFonts w:ascii="Cambria" w:eastAsia="Calibri" w:hAnsi="Cambria" w:cs="Calibri"/>
              </w:rPr>
              <w:t xml:space="preserve"> </w:t>
            </w:r>
            <w:proofErr w:type="spellStart"/>
            <w:r w:rsidRPr="008345F3">
              <w:rPr>
                <w:rFonts w:ascii="Cambria" w:eastAsia="Calibri" w:hAnsi="Cambria" w:cs="Calibri"/>
              </w:rPr>
              <w:t>neverbalne</w:t>
            </w:r>
            <w:proofErr w:type="spellEnd"/>
            <w:r w:rsidRPr="008345F3">
              <w:rPr>
                <w:rFonts w:ascii="Cambria" w:eastAsia="Calibri" w:hAnsi="Cambria" w:cs="Calibri"/>
              </w:rPr>
              <w:t xml:space="preserve"> </w:t>
            </w:r>
            <w:proofErr w:type="spellStart"/>
            <w:r w:rsidRPr="008345F3">
              <w:rPr>
                <w:rFonts w:ascii="Cambria" w:eastAsia="Calibri" w:hAnsi="Cambria" w:cs="Calibri"/>
              </w:rPr>
              <w:t>komunikacije</w:t>
            </w:r>
            <w:proofErr w:type="spellEnd"/>
          </w:p>
          <w:p w14:paraId="13D65887" w14:textId="77777777" w:rsidR="002A021D" w:rsidRPr="008345F3" w:rsidRDefault="002A021D" w:rsidP="000B2D2C">
            <w:pPr>
              <w:spacing w:after="0"/>
              <w:jc w:val="both"/>
              <w:rPr>
                <w:rFonts w:ascii="Cambria" w:eastAsia="Calibri" w:hAnsi="Cambria" w:cs="Calibri"/>
                <w:lang w:val="it-IT"/>
              </w:rPr>
            </w:pPr>
            <w:r w:rsidRPr="008345F3">
              <w:rPr>
                <w:rFonts w:ascii="Cambria" w:eastAsia="Calibri" w:hAnsi="Cambria" w:cs="Calibri"/>
                <w:lang w:val="it-IT"/>
              </w:rPr>
              <w:t xml:space="preserve">4. </w:t>
            </w:r>
            <w:proofErr w:type="spellStart"/>
            <w:r w:rsidRPr="008345F3">
              <w:rPr>
                <w:rFonts w:ascii="Cambria" w:eastAsia="Calibri" w:hAnsi="Cambria" w:cs="Calibri"/>
                <w:lang w:val="it-IT"/>
              </w:rPr>
              <w:t>Metodički</w:t>
            </w:r>
            <w:proofErr w:type="spellEnd"/>
            <w:r w:rsidRPr="008345F3">
              <w:rPr>
                <w:rFonts w:ascii="Cambria" w:eastAsia="Calibri" w:hAnsi="Cambria" w:cs="Calibri"/>
                <w:lang w:val="it-IT"/>
              </w:rPr>
              <w:t xml:space="preserve"> principi: </w:t>
            </w:r>
            <w:proofErr w:type="spellStart"/>
            <w:r w:rsidRPr="008345F3">
              <w:rPr>
                <w:rFonts w:ascii="Cambria" w:eastAsia="Calibri" w:hAnsi="Cambria" w:cs="Calibri"/>
                <w:lang w:val="it-IT"/>
              </w:rPr>
              <w:t>princip</w:t>
            </w:r>
            <w:proofErr w:type="spellEnd"/>
            <w:r w:rsidRPr="008345F3">
              <w:rPr>
                <w:rFonts w:ascii="Cambria" w:eastAsia="Calibri" w:hAnsi="Cambria" w:cs="Calibri"/>
                <w:lang w:val="it-IT"/>
              </w:rPr>
              <w:t xml:space="preserve"> </w:t>
            </w:r>
            <w:proofErr w:type="spellStart"/>
            <w:r w:rsidRPr="008345F3">
              <w:rPr>
                <w:rFonts w:ascii="Cambria" w:eastAsia="Calibri" w:hAnsi="Cambria" w:cs="Calibri"/>
                <w:lang w:val="it-IT"/>
              </w:rPr>
              <w:t>razumljivosti</w:t>
            </w:r>
            <w:proofErr w:type="spellEnd"/>
            <w:r w:rsidRPr="008345F3">
              <w:rPr>
                <w:rFonts w:ascii="Cambria" w:eastAsia="Calibri" w:hAnsi="Cambria" w:cs="Calibri"/>
                <w:lang w:val="it-IT"/>
              </w:rPr>
              <w:t xml:space="preserve"> i </w:t>
            </w:r>
            <w:proofErr w:type="spellStart"/>
            <w:r w:rsidRPr="008345F3">
              <w:rPr>
                <w:rFonts w:ascii="Cambria" w:eastAsia="Calibri" w:hAnsi="Cambria" w:cs="Calibri"/>
                <w:lang w:val="it-IT"/>
              </w:rPr>
              <w:t>zornosti</w:t>
            </w:r>
            <w:proofErr w:type="spellEnd"/>
            <w:r w:rsidRPr="008345F3">
              <w:rPr>
                <w:rFonts w:ascii="Cambria" w:eastAsia="Calibri" w:hAnsi="Cambria" w:cs="Calibri"/>
                <w:lang w:val="it-IT"/>
              </w:rPr>
              <w:t xml:space="preserve">, </w:t>
            </w:r>
            <w:proofErr w:type="spellStart"/>
            <w:r w:rsidRPr="008345F3">
              <w:rPr>
                <w:rFonts w:ascii="Cambria" w:eastAsia="Calibri" w:hAnsi="Cambria" w:cs="Calibri"/>
                <w:lang w:val="it-IT"/>
              </w:rPr>
              <w:t>princip</w:t>
            </w:r>
            <w:proofErr w:type="spellEnd"/>
            <w:r w:rsidRPr="008345F3">
              <w:rPr>
                <w:rFonts w:ascii="Cambria" w:eastAsia="Calibri" w:hAnsi="Cambria" w:cs="Calibri"/>
                <w:lang w:val="it-IT"/>
              </w:rPr>
              <w:t xml:space="preserve"> </w:t>
            </w:r>
            <w:proofErr w:type="spellStart"/>
            <w:r w:rsidRPr="008345F3">
              <w:rPr>
                <w:rFonts w:ascii="Cambria" w:eastAsia="Calibri" w:hAnsi="Cambria" w:cs="Calibri"/>
                <w:lang w:val="it-IT"/>
              </w:rPr>
              <w:t>sustavnosti</w:t>
            </w:r>
            <w:proofErr w:type="spellEnd"/>
            <w:r w:rsidRPr="008345F3">
              <w:rPr>
                <w:rFonts w:ascii="Cambria" w:eastAsia="Calibri" w:hAnsi="Cambria" w:cs="Calibri"/>
                <w:lang w:val="it-IT"/>
              </w:rPr>
              <w:t xml:space="preserve"> i </w:t>
            </w:r>
            <w:proofErr w:type="spellStart"/>
            <w:r w:rsidRPr="008345F3">
              <w:rPr>
                <w:rFonts w:ascii="Cambria" w:eastAsia="Calibri" w:hAnsi="Cambria" w:cs="Calibri"/>
                <w:lang w:val="it-IT"/>
              </w:rPr>
              <w:t>postupnosti</w:t>
            </w:r>
            <w:proofErr w:type="spellEnd"/>
            <w:r w:rsidRPr="008345F3">
              <w:rPr>
                <w:rFonts w:ascii="Cambria" w:eastAsia="Calibri" w:hAnsi="Cambria" w:cs="Calibri"/>
                <w:lang w:val="it-IT"/>
              </w:rPr>
              <w:t xml:space="preserve">, </w:t>
            </w:r>
            <w:proofErr w:type="spellStart"/>
            <w:r w:rsidRPr="008345F3">
              <w:rPr>
                <w:rFonts w:ascii="Cambria" w:eastAsia="Calibri" w:hAnsi="Cambria" w:cs="Calibri"/>
                <w:lang w:val="it-IT"/>
              </w:rPr>
              <w:t>princip</w:t>
            </w:r>
            <w:proofErr w:type="spellEnd"/>
            <w:r w:rsidRPr="008345F3">
              <w:rPr>
                <w:rFonts w:ascii="Cambria" w:eastAsia="Calibri" w:hAnsi="Cambria" w:cs="Calibri"/>
                <w:lang w:val="it-IT"/>
              </w:rPr>
              <w:t xml:space="preserve"> </w:t>
            </w:r>
            <w:proofErr w:type="spellStart"/>
            <w:r w:rsidRPr="008345F3">
              <w:rPr>
                <w:rFonts w:ascii="Cambria" w:eastAsia="Calibri" w:hAnsi="Cambria" w:cs="Calibri"/>
                <w:lang w:val="it-IT"/>
              </w:rPr>
              <w:t>svestranosti</w:t>
            </w:r>
            <w:proofErr w:type="spellEnd"/>
            <w:r w:rsidRPr="008345F3">
              <w:rPr>
                <w:rFonts w:ascii="Cambria" w:eastAsia="Calibri" w:hAnsi="Cambria" w:cs="Calibri"/>
                <w:lang w:val="it-IT"/>
              </w:rPr>
              <w:t xml:space="preserve"> i </w:t>
            </w:r>
            <w:proofErr w:type="spellStart"/>
            <w:r w:rsidRPr="008345F3">
              <w:rPr>
                <w:rFonts w:ascii="Cambria" w:eastAsia="Calibri" w:hAnsi="Cambria" w:cs="Calibri"/>
                <w:lang w:val="it-IT"/>
              </w:rPr>
              <w:t>usmjerenosti</w:t>
            </w:r>
            <w:proofErr w:type="spellEnd"/>
            <w:r w:rsidRPr="008345F3">
              <w:rPr>
                <w:rFonts w:ascii="Cambria" w:eastAsia="Calibri" w:hAnsi="Cambria" w:cs="Calibri"/>
                <w:lang w:val="it-IT"/>
              </w:rPr>
              <w:t xml:space="preserve">, </w:t>
            </w:r>
            <w:proofErr w:type="spellStart"/>
            <w:r w:rsidRPr="008345F3">
              <w:rPr>
                <w:rFonts w:ascii="Cambria" w:eastAsia="Calibri" w:hAnsi="Cambria" w:cs="Calibri"/>
                <w:lang w:val="it-IT"/>
              </w:rPr>
              <w:t>princip</w:t>
            </w:r>
            <w:proofErr w:type="spellEnd"/>
            <w:r w:rsidRPr="008345F3">
              <w:rPr>
                <w:rFonts w:ascii="Cambria" w:eastAsia="Calibri" w:hAnsi="Cambria" w:cs="Calibri"/>
                <w:lang w:val="it-IT"/>
              </w:rPr>
              <w:t xml:space="preserve"> </w:t>
            </w:r>
            <w:proofErr w:type="spellStart"/>
            <w:r w:rsidRPr="008345F3">
              <w:rPr>
                <w:rFonts w:ascii="Cambria" w:eastAsia="Calibri" w:hAnsi="Cambria" w:cs="Calibri"/>
                <w:lang w:val="it-IT"/>
              </w:rPr>
              <w:t>raznovrsnosti</w:t>
            </w:r>
            <w:proofErr w:type="spellEnd"/>
            <w:r w:rsidRPr="008345F3">
              <w:rPr>
                <w:rFonts w:ascii="Cambria" w:eastAsia="Calibri" w:hAnsi="Cambria" w:cs="Calibri"/>
                <w:lang w:val="it-IT"/>
              </w:rPr>
              <w:t xml:space="preserve"> i </w:t>
            </w:r>
            <w:proofErr w:type="spellStart"/>
            <w:r w:rsidRPr="008345F3">
              <w:rPr>
                <w:rFonts w:ascii="Cambria" w:eastAsia="Calibri" w:hAnsi="Cambria" w:cs="Calibri"/>
                <w:lang w:val="it-IT"/>
              </w:rPr>
              <w:t>učinkovitosti</w:t>
            </w:r>
            <w:proofErr w:type="spellEnd"/>
            <w:r w:rsidRPr="008345F3">
              <w:rPr>
                <w:rFonts w:ascii="Cambria" w:eastAsia="Calibri" w:hAnsi="Cambria" w:cs="Calibri"/>
                <w:lang w:val="it-IT"/>
              </w:rPr>
              <w:t xml:space="preserve">, </w:t>
            </w:r>
            <w:proofErr w:type="spellStart"/>
            <w:r w:rsidRPr="008345F3">
              <w:rPr>
                <w:rFonts w:ascii="Cambria" w:eastAsia="Calibri" w:hAnsi="Cambria" w:cs="Calibri"/>
                <w:lang w:val="it-IT"/>
              </w:rPr>
              <w:t>princip</w:t>
            </w:r>
            <w:proofErr w:type="spellEnd"/>
            <w:r w:rsidRPr="008345F3">
              <w:rPr>
                <w:rFonts w:ascii="Cambria" w:eastAsia="Calibri" w:hAnsi="Cambria" w:cs="Calibri"/>
                <w:lang w:val="it-IT"/>
              </w:rPr>
              <w:t xml:space="preserve"> </w:t>
            </w:r>
            <w:proofErr w:type="spellStart"/>
            <w:r w:rsidRPr="008345F3">
              <w:rPr>
                <w:rFonts w:ascii="Cambria" w:eastAsia="Calibri" w:hAnsi="Cambria" w:cs="Calibri"/>
                <w:lang w:val="it-IT"/>
              </w:rPr>
              <w:t>primjerenosti</w:t>
            </w:r>
            <w:proofErr w:type="spellEnd"/>
            <w:r w:rsidRPr="008345F3">
              <w:rPr>
                <w:rFonts w:ascii="Cambria" w:eastAsia="Calibri" w:hAnsi="Cambria" w:cs="Calibri"/>
                <w:lang w:val="it-IT"/>
              </w:rPr>
              <w:t xml:space="preserve"> i </w:t>
            </w:r>
            <w:proofErr w:type="spellStart"/>
            <w:r w:rsidRPr="008345F3">
              <w:rPr>
                <w:rFonts w:ascii="Cambria" w:eastAsia="Calibri" w:hAnsi="Cambria" w:cs="Calibri"/>
                <w:lang w:val="it-IT"/>
              </w:rPr>
              <w:t>individualiziranosti</w:t>
            </w:r>
            <w:proofErr w:type="spellEnd"/>
            <w:r w:rsidRPr="008345F3">
              <w:rPr>
                <w:rFonts w:ascii="Cambria" w:eastAsia="Calibri" w:hAnsi="Cambria" w:cs="Calibri"/>
                <w:lang w:val="it-IT"/>
              </w:rPr>
              <w:t xml:space="preserve">, </w:t>
            </w:r>
            <w:proofErr w:type="spellStart"/>
            <w:r w:rsidRPr="008345F3">
              <w:rPr>
                <w:rFonts w:ascii="Cambria" w:eastAsia="Calibri" w:hAnsi="Cambria" w:cs="Calibri"/>
                <w:lang w:val="it-IT"/>
              </w:rPr>
              <w:t>princip</w:t>
            </w:r>
            <w:proofErr w:type="spellEnd"/>
            <w:r w:rsidRPr="008345F3">
              <w:rPr>
                <w:rFonts w:ascii="Cambria" w:eastAsia="Calibri" w:hAnsi="Cambria" w:cs="Calibri"/>
                <w:lang w:val="it-IT"/>
              </w:rPr>
              <w:t xml:space="preserve"> </w:t>
            </w:r>
            <w:proofErr w:type="spellStart"/>
            <w:r w:rsidRPr="008345F3">
              <w:rPr>
                <w:rFonts w:ascii="Cambria" w:eastAsia="Calibri" w:hAnsi="Cambria" w:cs="Calibri"/>
                <w:lang w:val="it-IT"/>
              </w:rPr>
              <w:t>svjesnosti</w:t>
            </w:r>
            <w:proofErr w:type="spellEnd"/>
            <w:r w:rsidRPr="008345F3">
              <w:rPr>
                <w:rFonts w:ascii="Cambria" w:eastAsia="Calibri" w:hAnsi="Cambria" w:cs="Calibri"/>
                <w:lang w:val="it-IT"/>
              </w:rPr>
              <w:t xml:space="preserve"> i </w:t>
            </w:r>
            <w:proofErr w:type="spellStart"/>
            <w:r w:rsidRPr="008345F3">
              <w:rPr>
                <w:rFonts w:ascii="Cambria" w:eastAsia="Calibri" w:hAnsi="Cambria" w:cs="Calibri"/>
                <w:lang w:val="it-IT"/>
              </w:rPr>
              <w:t>aktivnosti</w:t>
            </w:r>
            <w:proofErr w:type="spellEnd"/>
            <w:r w:rsidRPr="008345F3">
              <w:rPr>
                <w:rFonts w:ascii="Cambria" w:eastAsia="Calibri" w:hAnsi="Cambria" w:cs="Calibri"/>
                <w:lang w:val="it-IT"/>
              </w:rPr>
              <w:t xml:space="preserve"> te </w:t>
            </w:r>
            <w:proofErr w:type="spellStart"/>
            <w:r w:rsidRPr="008345F3">
              <w:rPr>
                <w:rFonts w:ascii="Cambria" w:eastAsia="Calibri" w:hAnsi="Cambria" w:cs="Calibri"/>
                <w:lang w:val="it-IT"/>
              </w:rPr>
              <w:t>princip</w:t>
            </w:r>
            <w:proofErr w:type="spellEnd"/>
            <w:r w:rsidRPr="008345F3">
              <w:rPr>
                <w:rFonts w:ascii="Cambria" w:eastAsia="Calibri" w:hAnsi="Cambria" w:cs="Calibri"/>
                <w:lang w:val="it-IT"/>
              </w:rPr>
              <w:t xml:space="preserve"> </w:t>
            </w:r>
            <w:proofErr w:type="spellStart"/>
            <w:r w:rsidRPr="008345F3">
              <w:rPr>
                <w:rFonts w:ascii="Cambria" w:eastAsia="Calibri" w:hAnsi="Cambria" w:cs="Calibri"/>
                <w:lang w:val="it-IT"/>
              </w:rPr>
              <w:t>odgojnosti</w:t>
            </w:r>
            <w:proofErr w:type="spellEnd"/>
            <w:r w:rsidRPr="008345F3">
              <w:rPr>
                <w:rFonts w:ascii="Cambria" w:eastAsia="Calibri" w:hAnsi="Cambria" w:cs="Calibri"/>
                <w:lang w:val="it-IT"/>
              </w:rPr>
              <w:t xml:space="preserve"> i </w:t>
            </w:r>
            <w:proofErr w:type="spellStart"/>
            <w:r w:rsidRPr="008345F3">
              <w:rPr>
                <w:rFonts w:ascii="Cambria" w:eastAsia="Calibri" w:hAnsi="Cambria" w:cs="Calibri"/>
                <w:lang w:val="it-IT"/>
              </w:rPr>
              <w:t>zdravlja</w:t>
            </w:r>
            <w:proofErr w:type="spellEnd"/>
            <w:r w:rsidRPr="008345F3">
              <w:rPr>
                <w:rFonts w:ascii="Cambria" w:eastAsia="Calibri" w:hAnsi="Cambria" w:cs="Calibri"/>
                <w:lang w:val="it-IT"/>
              </w:rPr>
              <w:t xml:space="preserve"> </w:t>
            </w:r>
          </w:p>
          <w:p w14:paraId="210EF55B" w14:textId="77777777" w:rsidR="002A021D" w:rsidRPr="008345F3" w:rsidRDefault="002A021D" w:rsidP="000B2D2C">
            <w:pPr>
              <w:spacing w:after="0"/>
              <w:jc w:val="both"/>
              <w:rPr>
                <w:rFonts w:ascii="Cambria" w:eastAsia="Calibri" w:hAnsi="Cambria" w:cs="Calibri"/>
                <w:lang w:val="it-IT"/>
              </w:rPr>
            </w:pPr>
            <w:r w:rsidRPr="008345F3">
              <w:rPr>
                <w:rFonts w:ascii="Cambria" w:eastAsia="Calibri" w:hAnsi="Cambria" w:cs="Calibri"/>
                <w:lang w:val="it-IT"/>
              </w:rPr>
              <w:lastRenderedPageBreak/>
              <w:t xml:space="preserve">5. </w:t>
            </w:r>
            <w:proofErr w:type="spellStart"/>
            <w:r w:rsidRPr="008345F3">
              <w:rPr>
                <w:rFonts w:ascii="Cambria" w:eastAsia="Calibri" w:hAnsi="Cambria" w:cs="Calibri"/>
                <w:lang w:val="it-IT"/>
              </w:rPr>
              <w:t>Osnove</w:t>
            </w:r>
            <w:proofErr w:type="spellEnd"/>
            <w:r w:rsidRPr="008345F3">
              <w:rPr>
                <w:rFonts w:ascii="Cambria" w:eastAsia="Calibri" w:hAnsi="Cambria" w:cs="Calibri"/>
                <w:lang w:val="it-IT"/>
              </w:rPr>
              <w:t xml:space="preserve"> </w:t>
            </w:r>
            <w:proofErr w:type="spellStart"/>
            <w:r w:rsidRPr="008345F3">
              <w:rPr>
                <w:rFonts w:ascii="Cambria" w:eastAsia="Calibri" w:hAnsi="Cambria" w:cs="Calibri"/>
                <w:lang w:val="it-IT"/>
              </w:rPr>
              <w:t>nastavnog</w:t>
            </w:r>
            <w:proofErr w:type="spellEnd"/>
            <w:r w:rsidRPr="008345F3">
              <w:rPr>
                <w:rFonts w:ascii="Cambria" w:eastAsia="Calibri" w:hAnsi="Cambria" w:cs="Calibri"/>
                <w:lang w:val="it-IT"/>
              </w:rPr>
              <w:t xml:space="preserve"> </w:t>
            </w:r>
            <w:proofErr w:type="spellStart"/>
            <w:r w:rsidRPr="008345F3">
              <w:rPr>
                <w:rFonts w:ascii="Cambria" w:eastAsia="Calibri" w:hAnsi="Cambria" w:cs="Calibri"/>
                <w:lang w:val="it-IT"/>
              </w:rPr>
              <w:t>procesa</w:t>
            </w:r>
            <w:proofErr w:type="spellEnd"/>
          </w:p>
          <w:p w14:paraId="55E77461" w14:textId="77777777" w:rsidR="002A021D" w:rsidRPr="008345F3" w:rsidRDefault="002A021D" w:rsidP="000B2D2C">
            <w:pPr>
              <w:spacing w:after="0"/>
              <w:jc w:val="both"/>
              <w:rPr>
                <w:rFonts w:ascii="Cambria" w:eastAsia="Calibri" w:hAnsi="Cambria" w:cs="Calibri"/>
                <w:lang w:val="pl-PL"/>
              </w:rPr>
            </w:pPr>
            <w:r w:rsidRPr="008345F3">
              <w:rPr>
                <w:rFonts w:ascii="Cambria" w:eastAsia="Calibri" w:hAnsi="Cambria" w:cs="Calibri"/>
                <w:lang w:val="it-IT"/>
              </w:rPr>
              <w:t xml:space="preserve">6. </w:t>
            </w:r>
            <w:proofErr w:type="spellStart"/>
            <w:r w:rsidRPr="008345F3">
              <w:rPr>
                <w:rFonts w:ascii="Cambria" w:eastAsia="Calibri" w:hAnsi="Cambria" w:cs="Calibri"/>
                <w:lang w:val="it-IT"/>
              </w:rPr>
              <w:t>Pripremanje</w:t>
            </w:r>
            <w:proofErr w:type="spellEnd"/>
            <w:r w:rsidRPr="008345F3">
              <w:rPr>
                <w:rFonts w:ascii="Cambria" w:eastAsia="Calibri" w:hAnsi="Cambria" w:cs="Calibri"/>
                <w:lang w:val="it-IT"/>
              </w:rPr>
              <w:t xml:space="preserve"> </w:t>
            </w:r>
            <w:proofErr w:type="spellStart"/>
            <w:r w:rsidRPr="008345F3">
              <w:rPr>
                <w:rFonts w:ascii="Cambria" w:eastAsia="Calibri" w:hAnsi="Cambria" w:cs="Calibri"/>
                <w:lang w:val="it-IT"/>
              </w:rPr>
              <w:t>nastavnog</w:t>
            </w:r>
            <w:proofErr w:type="spellEnd"/>
            <w:r w:rsidRPr="008345F3">
              <w:rPr>
                <w:rFonts w:ascii="Cambria" w:eastAsia="Calibri" w:hAnsi="Cambria" w:cs="Calibri"/>
                <w:lang w:val="it-IT"/>
              </w:rPr>
              <w:t xml:space="preserve"> </w:t>
            </w:r>
            <w:proofErr w:type="spellStart"/>
            <w:r w:rsidRPr="008345F3">
              <w:rPr>
                <w:rFonts w:ascii="Cambria" w:eastAsia="Calibri" w:hAnsi="Cambria" w:cs="Calibri"/>
                <w:lang w:val="it-IT"/>
              </w:rPr>
              <w:t>procesa</w:t>
            </w:r>
            <w:proofErr w:type="spellEnd"/>
          </w:p>
        </w:tc>
      </w:tr>
      <w:tr w:rsidR="002A021D" w:rsidRPr="008345F3" w14:paraId="13C6B8CD" w14:textId="77777777" w:rsidTr="002A021D">
        <w:tc>
          <w:tcPr>
            <w:tcW w:w="2806"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hideMark/>
          </w:tcPr>
          <w:p w14:paraId="6834AC58" w14:textId="77777777" w:rsidR="002A021D" w:rsidRPr="008345F3" w:rsidRDefault="002A021D" w:rsidP="000B2D2C">
            <w:pPr>
              <w:spacing w:after="0"/>
              <w:jc w:val="both"/>
              <w:rPr>
                <w:rFonts w:ascii="Cambria" w:eastAsia="Calibri" w:hAnsi="Cambria" w:cs="Calibri"/>
                <w:lang w:val="it-IT"/>
              </w:rPr>
            </w:pPr>
            <w:proofErr w:type="spellStart"/>
            <w:r w:rsidRPr="008345F3">
              <w:rPr>
                <w:rFonts w:ascii="Cambria" w:eastAsia="Calibri" w:hAnsi="Cambria" w:cs="Calibri"/>
                <w:lang w:val="it-IT"/>
              </w:rPr>
              <w:lastRenderedPageBreak/>
              <w:t>Planirane</w:t>
            </w:r>
            <w:proofErr w:type="spellEnd"/>
            <w:r w:rsidRPr="008345F3">
              <w:rPr>
                <w:rFonts w:ascii="Cambria" w:eastAsia="Calibri" w:hAnsi="Cambria" w:cs="Calibri"/>
                <w:lang w:val="it-IT"/>
              </w:rPr>
              <w:t xml:space="preserve"> </w:t>
            </w:r>
            <w:proofErr w:type="spellStart"/>
            <w:r w:rsidRPr="008345F3">
              <w:rPr>
                <w:rFonts w:ascii="Cambria" w:eastAsia="Calibri" w:hAnsi="Cambria" w:cs="Calibri"/>
                <w:lang w:val="it-IT"/>
              </w:rPr>
              <w:t>aktivnosti</w:t>
            </w:r>
            <w:proofErr w:type="spellEnd"/>
            <w:r w:rsidRPr="008345F3">
              <w:rPr>
                <w:rFonts w:ascii="Cambria" w:eastAsia="Calibri" w:hAnsi="Cambria" w:cs="Calibri"/>
                <w:lang w:val="it-IT"/>
              </w:rPr>
              <w:t>,</w:t>
            </w:r>
          </w:p>
          <w:p w14:paraId="47C49757" w14:textId="77777777" w:rsidR="002A021D" w:rsidRPr="008345F3" w:rsidRDefault="002A021D" w:rsidP="000B2D2C">
            <w:pPr>
              <w:spacing w:after="0"/>
              <w:jc w:val="both"/>
              <w:rPr>
                <w:rFonts w:ascii="Cambria" w:eastAsia="Calibri" w:hAnsi="Cambria" w:cs="Calibri"/>
                <w:lang w:val="it-IT"/>
              </w:rPr>
            </w:pPr>
            <w:proofErr w:type="spellStart"/>
            <w:r w:rsidRPr="008345F3">
              <w:rPr>
                <w:rFonts w:ascii="Cambria" w:eastAsia="Calibri" w:hAnsi="Cambria" w:cs="Calibri"/>
                <w:lang w:val="it-IT"/>
              </w:rPr>
              <w:t>metode</w:t>
            </w:r>
            <w:proofErr w:type="spellEnd"/>
            <w:r w:rsidRPr="008345F3">
              <w:rPr>
                <w:rFonts w:ascii="Cambria" w:eastAsia="Calibri" w:hAnsi="Cambria" w:cs="Calibri"/>
                <w:lang w:val="it-IT"/>
              </w:rPr>
              <w:t xml:space="preserve"> </w:t>
            </w:r>
            <w:proofErr w:type="spellStart"/>
            <w:r w:rsidRPr="008345F3">
              <w:rPr>
                <w:rFonts w:ascii="Cambria" w:eastAsia="Calibri" w:hAnsi="Cambria" w:cs="Calibri"/>
                <w:lang w:val="it-IT"/>
              </w:rPr>
              <w:t>učenja</w:t>
            </w:r>
            <w:proofErr w:type="spellEnd"/>
            <w:r w:rsidRPr="008345F3">
              <w:rPr>
                <w:rFonts w:ascii="Cambria" w:eastAsia="Calibri" w:hAnsi="Cambria" w:cs="Calibri"/>
                <w:lang w:val="it-IT"/>
              </w:rPr>
              <w:t xml:space="preserve"> i </w:t>
            </w:r>
            <w:proofErr w:type="spellStart"/>
            <w:r w:rsidRPr="008345F3">
              <w:rPr>
                <w:rFonts w:ascii="Cambria" w:eastAsia="Calibri" w:hAnsi="Cambria" w:cs="Calibri"/>
                <w:lang w:val="it-IT"/>
              </w:rPr>
              <w:t>poučavanja</w:t>
            </w:r>
            <w:proofErr w:type="spellEnd"/>
            <w:r w:rsidRPr="008345F3">
              <w:rPr>
                <w:rFonts w:ascii="Cambria" w:eastAsia="Calibri" w:hAnsi="Cambria" w:cs="Calibri"/>
                <w:lang w:val="it-IT"/>
              </w:rPr>
              <w:t xml:space="preserve"> i </w:t>
            </w:r>
            <w:proofErr w:type="spellStart"/>
            <w:r w:rsidRPr="008345F3">
              <w:rPr>
                <w:rFonts w:ascii="Cambria" w:eastAsia="Calibri" w:hAnsi="Cambria" w:cs="Calibri"/>
                <w:lang w:val="it-IT"/>
              </w:rPr>
              <w:t>načini</w:t>
            </w:r>
            <w:proofErr w:type="spellEnd"/>
            <w:r w:rsidRPr="008345F3">
              <w:rPr>
                <w:rFonts w:ascii="Cambria" w:eastAsia="Calibri" w:hAnsi="Cambria" w:cs="Calibri"/>
                <w:lang w:val="it-IT"/>
              </w:rPr>
              <w:t xml:space="preserve"> </w:t>
            </w:r>
            <w:proofErr w:type="spellStart"/>
            <w:r w:rsidRPr="008345F3">
              <w:rPr>
                <w:rFonts w:ascii="Cambria" w:eastAsia="Calibri" w:hAnsi="Cambria" w:cs="Calibri"/>
                <w:lang w:val="it-IT"/>
              </w:rPr>
              <w:t>vrednovanja</w:t>
            </w:r>
            <w:proofErr w:type="spellEnd"/>
          </w:p>
          <w:p w14:paraId="5BEEC99C" w14:textId="77777777" w:rsidR="002A021D" w:rsidRPr="008345F3" w:rsidRDefault="002A021D" w:rsidP="000B2D2C">
            <w:pPr>
              <w:spacing w:after="0"/>
              <w:jc w:val="both"/>
              <w:rPr>
                <w:rFonts w:ascii="Cambria" w:eastAsia="Calibri" w:hAnsi="Cambria" w:cs="Calibri"/>
                <w:lang w:val="it-IT"/>
              </w:rPr>
            </w:pPr>
          </w:p>
        </w:tc>
        <w:tc>
          <w:tcPr>
            <w:tcW w:w="2768"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2B939D0" w14:textId="77777777" w:rsidR="002A021D" w:rsidRPr="008345F3" w:rsidRDefault="002A021D" w:rsidP="000B2D2C">
            <w:pPr>
              <w:spacing w:after="0"/>
              <w:jc w:val="both"/>
              <w:rPr>
                <w:rFonts w:ascii="Cambria" w:eastAsia="Calibri" w:hAnsi="Cambria" w:cs="Calibri"/>
              </w:rPr>
            </w:pPr>
            <w:proofErr w:type="spellStart"/>
            <w:r w:rsidRPr="008345F3">
              <w:rPr>
                <w:rFonts w:ascii="Cambria" w:eastAsia="Calibri" w:hAnsi="Cambria" w:cs="Calibri"/>
              </w:rPr>
              <w:t>Obveze</w:t>
            </w:r>
            <w:proofErr w:type="spellEnd"/>
          </w:p>
        </w:tc>
        <w:tc>
          <w:tcPr>
            <w:tcW w:w="11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6EBE017" w14:textId="77777777" w:rsidR="002A021D" w:rsidRPr="008345F3" w:rsidRDefault="002A021D" w:rsidP="000B2D2C">
            <w:pPr>
              <w:spacing w:after="0"/>
              <w:jc w:val="center"/>
              <w:rPr>
                <w:rFonts w:ascii="Cambria" w:eastAsia="Calibri" w:hAnsi="Cambria" w:cs="Calibri"/>
              </w:rPr>
            </w:pPr>
            <w:proofErr w:type="spellStart"/>
            <w:r w:rsidRPr="008345F3">
              <w:rPr>
                <w:rFonts w:ascii="Cambria" w:eastAsia="Calibri" w:hAnsi="Cambria" w:cs="Calibri"/>
              </w:rPr>
              <w:t>Ishodi</w:t>
            </w:r>
            <w:proofErr w:type="spellEnd"/>
          </w:p>
        </w:tc>
        <w:tc>
          <w:tcPr>
            <w:tcW w:w="77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200B230" w14:textId="77777777" w:rsidR="002A021D" w:rsidRPr="008345F3" w:rsidRDefault="002A021D" w:rsidP="000B2D2C">
            <w:pPr>
              <w:spacing w:after="0"/>
              <w:jc w:val="center"/>
              <w:rPr>
                <w:rFonts w:ascii="Cambria" w:eastAsia="Calibri" w:hAnsi="Cambria" w:cs="Calibri"/>
              </w:rPr>
            </w:pPr>
            <w:r w:rsidRPr="008345F3">
              <w:rPr>
                <w:rFonts w:ascii="Cambria" w:eastAsia="Calibri" w:hAnsi="Cambria" w:cs="Calibri"/>
              </w:rPr>
              <w:t>Sati</w:t>
            </w:r>
          </w:p>
        </w:tc>
        <w:tc>
          <w:tcPr>
            <w:tcW w:w="108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FC0C17D" w14:textId="77777777" w:rsidR="002A021D" w:rsidRPr="008345F3" w:rsidRDefault="002A021D" w:rsidP="000B2D2C">
            <w:pPr>
              <w:spacing w:after="0"/>
              <w:jc w:val="center"/>
              <w:rPr>
                <w:rFonts w:ascii="Cambria" w:eastAsia="Calibri" w:hAnsi="Cambria" w:cs="Calibri"/>
              </w:rPr>
            </w:pPr>
            <w:r w:rsidRPr="008345F3">
              <w:rPr>
                <w:rFonts w:ascii="Cambria" w:eastAsia="Calibri" w:hAnsi="Cambria" w:cs="Calibri"/>
              </w:rPr>
              <w:t>ECTS</w:t>
            </w:r>
          </w:p>
        </w:tc>
        <w:tc>
          <w:tcPr>
            <w:tcW w:w="141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0CBC163" w14:textId="77777777" w:rsidR="002A021D" w:rsidRPr="008345F3" w:rsidRDefault="002A021D" w:rsidP="000B2D2C">
            <w:pPr>
              <w:spacing w:after="0"/>
              <w:rPr>
                <w:rFonts w:ascii="Cambria" w:eastAsia="Calibri" w:hAnsi="Cambria" w:cs="Calibri"/>
              </w:rPr>
            </w:pPr>
            <w:proofErr w:type="spellStart"/>
            <w:r w:rsidRPr="008345F3">
              <w:rPr>
                <w:rFonts w:ascii="Cambria" w:eastAsia="Calibri" w:hAnsi="Cambria" w:cs="Calibri"/>
              </w:rPr>
              <w:t>Maksimalni</w:t>
            </w:r>
            <w:proofErr w:type="spellEnd"/>
            <w:r w:rsidRPr="008345F3">
              <w:rPr>
                <w:rFonts w:ascii="Cambria" w:eastAsia="Calibri" w:hAnsi="Cambria" w:cs="Calibri"/>
              </w:rPr>
              <w:t xml:space="preserve"> </w:t>
            </w:r>
            <w:proofErr w:type="spellStart"/>
            <w:r w:rsidRPr="008345F3">
              <w:rPr>
                <w:rFonts w:ascii="Cambria" w:eastAsia="Calibri" w:hAnsi="Cambria" w:cs="Calibri"/>
              </w:rPr>
              <w:t>udio</w:t>
            </w:r>
            <w:proofErr w:type="spellEnd"/>
            <w:r w:rsidRPr="008345F3">
              <w:rPr>
                <w:rFonts w:ascii="Cambria" w:eastAsia="Calibri" w:hAnsi="Cambria" w:cs="Calibri"/>
              </w:rPr>
              <w:t xml:space="preserve"> u </w:t>
            </w:r>
            <w:proofErr w:type="spellStart"/>
            <w:r w:rsidRPr="008345F3">
              <w:rPr>
                <w:rFonts w:ascii="Cambria" w:eastAsia="Calibri" w:hAnsi="Cambria" w:cs="Calibri"/>
              </w:rPr>
              <w:t>ocjeni</w:t>
            </w:r>
            <w:proofErr w:type="spellEnd"/>
            <w:r w:rsidRPr="008345F3">
              <w:rPr>
                <w:rFonts w:ascii="Cambria" w:eastAsia="Calibri" w:hAnsi="Cambria" w:cs="Calibri"/>
              </w:rPr>
              <w:t xml:space="preserve"> (%)</w:t>
            </w:r>
          </w:p>
        </w:tc>
      </w:tr>
      <w:tr w:rsidR="002A021D" w:rsidRPr="008345F3" w14:paraId="71658209" w14:textId="77777777" w:rsidTr="002A021D">
        <w:tc>
          <w:tcPr>
            <w:tcW w:w="2806" w:type="dxa"/>
            <w:vMerge/>
            <w:tcBorders>
              <w:left w:val="single" w:sz="8" w:space="0" w:color="000000"/>
              <w:right w:val="single" w:sz="8" w:space="0" w:color="000000"/>
            </w:tcBorders>
            <w:vAlign w:val="center"/>
            <w:hideMark/>
          </w:tcPr>
          <w:p w14:paraId="49AC4F0A" w14:textId="77777777" w:rsidR="002A021D" w:rsidRPr="008345F3" w:rsidRDefault="002A021D" w:rsidP="000B2D2C">
            <w:pPr>
              <w:spacing w:after="0"/>
              <w:jc w:val="both"/>
              <w:rPr>
                <w:rFonts w:ascii="Cambria" w:eastAsia="Calibri" w:hAnsi="Cambria" w:cs="Calibri"/>
              </w:rPr>
            </w:pPr>
          </w:p>
        </w:tc>
        <w:tc>
          <w:tcPr>
            <w:tcW w:w="2768"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260FFCE" w14:textId="77777777" w:rsidR="002A021D" w:rsidRPr="008345F3" w:rsidRDefault="002A021D" w:rsidP="000B2D2C">
            <w:pPr>
              <w:spacing w:after="0"/>
              <w:rPr>
                <w:rFonts w:ascii="Cambria" w:eastAsia="Calibri" w:hAnsi="Cambria" w:cs="Calibri"/>
                <w:lang w:val="it-IT"/>
              </w:rPr>
            </w:pPr>
            <w:proofErr w:type="spellStart"/>
            <w:r w:rsidRPr="008345F3">
              <w:rPr>
                <w:rFonts w:ascii="Cambria" w:eastAsia="Calibri" w:hAnsi="Cambria" w:cs="Calibri"/>
                <w:lang w:val="it-IT"/>
              </w:rPr>
              <w:t>pohađanje</w:t>
            </w:r>
            <w:proofErr w:type="spellEnd"/>
            <w:r w:rsidRPr="008345F3">
              <w:rPr>
                <w:rFonts w:ascii="Cambria" w:eastAsia="Calibri" w:hAnsi="Cambria" w:cs="Calibri"/>
                <w:lang w:val="it-IT"/>
              </w:rPr>
              <w:t xml:space="preserve"> i </w:t>
            </w:r>
            <w:proofErr w:type="spellStart"/>
            <w:r w:rsidRPr="008345F3">
              <w:rPr>
                <w:rFonts w:ascii="Cambria" w:eastAsia="Calibri" w:hAnsi="Cambria" w:cs="Calibri"/>
                <w:lang w:val="it-IT"/>
              </w:rPr>
              <w:t>aktivnost</w:t>
            </w:r>
            <w:proofErr w:type="spellEnd"/>
            <w:r w:rsidRPr="008345F3">
              <w:rPr>
                <w:rFonts w:ascii="Cambria" w:eastAsia="Calibri" w:hAnsi="Cambria" w:cs="Calibri"/>
                <w:lang w:val="it-IT"/>
              </w:rPr>
              <w:t xml:space="preserve"> </w:t>
            </w:r>
            <w:proofErr w:type="spellStart"/>
            <w:r w:rsidRPr="008345F3">
              <w:rPr>
                <w:rFonts w:ascii="Cambria" w:eastAsia="Calibri" w:hAnsi="Cambria" w:cs="Calibri"/>
                <w:lang w:val="it-IT"/>
              </w:rPr>
              <w:t>na</w:t>
            </w:r>
            <w:proofErr w:type="spellEnd"/>
            <w:r w:rsidRPr="008345F3">
              <w:rPr>
                <w:rFonts w:ascii="Cambria" w:eastAsia="Calibri" w:hAnsi="Cambria" w:cs="Calibri"/>
                <w:lang w:val="it-IT"/>
              </w:rPr>
              <w:t xml:space="preserve"> </w:t>
            </w:r>
            <w:proofErr w:type="spellStart"/>
            <w:r w:rsidRPr="008345F3">
              <w:rPr>
                <w:rFonts w:ascii="Cambria" w:eastAsia="Calibri" w:hAnsi="Cambria" w:cs="Calibri"/>
                <w:lang w:val="it-IT"/>
              </w:rPr>
              <w:t>nastavi</w:t>
            </w:r>
            <w:proofErr w:type="spellEnd"/>
            <w:r w:rsidRPr="008345F3">
              <w:rPr>
                <w:rFonts w:ascii="Cambria" w:eastAsia="Calibri" w:hAnsi="Cambria" w:cs="Calibri"/>
                <w:lang w:val="it-IT"/>
              </w:rPr>
              <w:t xml:space="preserve"> P, V (</w:t>
            </w:r>
            <w:proofErr w:type="spellStart"/>
            <w:r w:rsidRPr="008345F3">
              <w:rPr>
                <w:rFonts w:ascii="Cambria" w:eastAsia="Calibri" w:hAnsi="Cambria" w:cs="Calibri"/>
                <w:lang w:val="it-IT"/>
              </w:rPr>
              <w:t>dvorana</w:t>
            </w:r>
            <w:proofErr w:type="spellEnd"/>
            <w:r w:rsidRPr="008345F3">
              <w:rPr>
                <w:rFonts w:ascii="Cambria" w:eastAsia="Calibri" w:hAnsi="Cambria" w:cs="Calibri"/>
                <w:lang w:val="it-IT"/>
              </w:rPr>
              <w:t xml:space="preserve">) </w:t>
            </w:r>
          </w:p>
        </w:tc>
        <w:tc>
          <w:tcPr>
            <w:tcW w:w="11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E42857D" w14:textId="77777777" w:rsidR="002A021D" w:rsidRPr="008345F3" w:rsidRDefault="002A021D" w:rsidP="000B2D2C">
            <w:pPr>
              <w:spacing w:after="0"/>
              <w:jc w:val="center"/>
              <w:rPr>
                <w:rFonts w:ascii="Cambria" w:eastAsia="Calibri" w:hAnsi="Cambria" w:cs="Calibri"/>
              </w:rPr>
            </w:pPr>
            <w:r w:rsidRPr="008345F3">
              <w:rPr>
                <w:rFonts w:ascii="Cambria" w:eastAsia="Calibri" w:hAnsi="Cambria" w:cs="Calibri"/>
              </w:rPr>
              <w:t>1.</w:t>
            </w:r>
            <w:r>
              <w:rPr>
                <w:rFonts w:ascii="Cambria" w:eastAsia="Calibri" w:hAnsi="Cambria" w:cs="Calibri"/>
              </w:rPr>
              <w:t xml:space="preserve"> – </w:t>
            </w:r>
            <w:r w:rsidRPr="008345F3">
              <w:rPr>
                <w:rFonts w:ascii="Cambria" w:eastAsia="Calibri" w:hAnsi="Cambria" w:cs="Calibri"/>
              </w:rPr>
              <w:t>5.</w:t>
            </w:r>
          </w:p>
        </w:tc>
        <w:tc>
          <w:tcPr>
            <w:tcW w:w="77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907C56F" w14:textId="77777777" w:rsidR="002A021D" w:rsidRPr="008345F3" w:rsidRDefault="002A021D" w:rsidP="000B2D2C">
            <w:pPr>
              <w:spacing w:after="0"/>
              <w:jc w:val="center"/>
              <w:rPr>
                <w:rFonts w:ascii="Cambria" w:eastAsia="Calibri" w:hAnsi="Cambria" w:cs="Calibri"/>
              </w:rPr>
            </w:pPr>
            <w:r w:rsidRPr="008345F3">
              <w:rPr>
                <w:rFonts w:ascii="Cambria" w:eastAsia="Calibri" w:hAnsi="Cambria" w:cs="Calibri"/>
              </w:rPr>
              <w:t>34</w:t>
            </w:r>
          </w:p>
        </w:tc>
        <w:tc>
          <w:tcPr>
            <w:tcW w:w="108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A2DEF91" w14:textId="77777777" w:rsidR="002A021D" w:rsidRPr="008345F3" w:rsidRDefault="002A021D" w:rsidP="000B2D2C">
            <w:pPr>
              <w:spacing w:after="0"/>
              <w:jc w:val="center"/>
              <w:rPr>
                <w:rFonts w:ascii="Cambria" w:eastAsia="Calibri" w:hAnsi="Cambria" w:cs="Calibri"/>
              </w:rPr>
            </w:pPr>
            <w:r w:rsidRPr="008345F3">
              <w:rPr>
                <w:rFonts w:ascii="Cambria" w:eastAsia="Calibri" w:hAnsi="Cambria" w:cs="Calibri"/>
              </w:rPr>
              <w:t>1,1</w:t>
            </w:r>
          </w:p>
        </w:tc>
        <w:tc>
          <w:tcPr>
            <w:tcW w:w="141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F4C6904" w14:textId="77777777" w:rsidR="002A021D" w:rsidRPr="008345F3" w:rsidRDefault="002A021D" w:rsidP="000B2D2C">
            <w:pPr>
              <w:spacing w:after="0"/>
              <w:jc w:val="center"/>
              <w:rPr>
                <w:rFonts w:ascii="Cambria" w:eastAsia="Calibri" w:hAnsi="Cambria" w:cs="Calibri"/>
              </w:rPr>
            </w:pPr>
            <w:r w:rsidRPr="008345F3">
              <w:rPr>
                <w:rFonts w:ascii="Cambria" w:eastAsia="Calibri" w:hAnsi="Cambria" w:cs="Calibri"/>
              </w:rPr>
              <w:t>10%</w:t>
            </w:r>
          </w:p>
        </w:tc>
      </w:tr>
      <w:tr w:rsidR="002A021D" w:rsidRPr="008345F3" w14:paraId="5CFB754D" w14:textId="77777777" w:rsidTr="002A021D">
        <w:tc>
          <w:tcPr>
            <w:tcW w:w="2806" w:type="dxa"/>
            <w:vMerge/>
            <w:tcBorders>
              <w:left w:val="single" w:sz="8" w:space="0" w:color="000000"/>
              <w:right w:val="single" w:sz="8" w:space="0" w:color="000000"/>
            </w:tcBorders>
            <w:vAlign w:val="center"/>
          </w:tcPr>
          <w:p w14:paraId="5E3A8D54" w14:textId="77777777" w:rsidR="002A021D" w:rsidRPr="008345F3" w:rsidRDefault="002A021D" w:rsidP="000B2D2C">
            <w:pPr>
              <w:spacing w:after="0"/>
              <w:jc w:val="both"/>
              <w:rPr>
                <w:rFonts w:ascii="Cambria" w:eastAsia="Calibri" w:hAnsi="Cambria" w:cs="Calibri"/>
              </w:rPr>
            </w:pPr>
          </w:p>
        </w:tc>
        <w:tc>
          <w:tcPr>
            <w:tcW w:w="2768"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74CA550" w14:textId="77777777" w:rsidR="002A021D" w:rsidRPr="008345F3" w:rsidRDefault="002A021D" w:rsidP="000B2D2C">
            <w:pPr>
              <w:spacing w:after="0"/>
              <w:jc w:val="both"/>
              <w:rPr>
                <w:rFonts w:ascii="Cambria" w:eastAsia="Calibri" w:hAnsi="Cambria" w:cs="Calibri"/>
              </w:rPr>
            </w:pPr>
            <w:proofErr w:type="spellStart"/>
            <w:r w:rsidRPr="008345F3">
              <w:rPr>
                <w:rFonts w:ascii="Cambria" w:eastAsia="Calibri" w:hAnsi="Cambria" w:cs="Calibri"/>
              </w:rPr>
              <w:t>praktični</w:t>
            </w:r>
            <w:proofErr w:type="spellEnd"/>
            <w:r w:rsidRPr="008345F3">
              <w:rPr>
                <w:rFonts w:ascii="Cambria" w:eastAsia="Calibri" w:hAnsi="Cambria" w:cs="Calibri"/>
              </w:rPr>
              <w:t xml:space="preserve"> rad</w:t>
            </w:r>
          </w:p>
        </w:tc>
        <w:tc>
          <w:tcPr>
            <w:tcW w:w="11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26EA0B7" w14:textId="77777777" w:rsidR="002A021D" w:rsidRPr="008345F3" w:rsidRDefault="002A021D" w:rsidP="000B2D2C">
            <w:pPr>
              <w:spacing w:after="0"/>
              <w:jc w:val="center"/>
              <w:rPr>
                <w:rFonts w:ascii="Cambria" w:eastAsia="Calibri" w:hAnsi="Cambria" w:cs="Calibri"/>
              </w:rPr>
            </w:pPr>
            <w:r w:rsidRPr="00620774">
              <w:rPr>
                <w:rFonts w:ascii="Cambria" w:eastAsia="Calibri" w:hAnsi="Cambria" w:cs="Calibri"/>
              </w:rPr>
              <w:t>1. – 5.</w:t>
            </w:r>
          </w:p>
        </w:tc>
        <w:tc>
          <w:tcPr>
            <w:tcW w:w="77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9185E3B" w14:textId="77777777" w:rsidR="002A021D" w:rsidRPr="008345F3" w:rsidRDefault="002A021D" w:rsidP="000B2D2C">
            <w:pPr>
              <w:spacing w:after="0"/>
              <w:jc w:val="center"/>
              <w:rPr>
                <w:rFonts w:ascii="Cambria" w:eastAsia="Calibri" w:hAnsi="Cambria" w:cs="Calibri"/>
              </w:rPr>
            </w:pPr>
            <w:r w:rsidRPr="008345F3">
              <w:rPr>
                <w:rFonts w:ascii="Cambria" w:eastAsia="Calibri" w:hAnsi="Cambria" w:cs="Calibri"/>
              </w:rPr>
              <w:t>17</w:t>
            </w:r>
          </w:p>
        </w:tc>
        <w:tc>
          <w:tcPr>
            <w:tcW w:w="108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6E3B76F" w14:textId="77777777" w:rsidR="002A021D" w:rsidRPr="008345F3" w:rsidRDefault="002A021D" w:rsidP="000B2D2C">
            <w:pPr>
              <w:spacing w:after="0"/>
              <w:jc w:val="center"/>
              <w:rPr>
                <w:rFonts w:ascii="Cambria" w:eastAsia="Calibri" w:hAnsi="Cambria" w:cs="Calibri"/>
              </w:rPr>
            </w:pPr>
            <w:r w:rsidRPr="008345F3">
              <w:rPr>
                <w:rFonts w:ascii="Cambria" w:eastAsia="Calibri" w:hAnsi="Cambria" w:cs="Calibri"/>
              </w:rPr>
              <w:t>0,6</w:t>
            </w:r>
          </w:p>
        </w:tc>
        <w:tc>
          <w:tcPr>
            <w:tcW w:w="141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900C110" w14:textId="77777777" w:rsidR="002A021D" w:rsidRPr="008345F3" w:rsidRDefault="002A021D" w:rsidP="000B2D2C">
            <w:pPr>
              <w:spacing w:after="0"/>
              <w:jc w:val="center"/>
              <w:rPr>
                <w:rFonts w:ascii="Cambria" w:eastAsia="Calibri" w:hAnsi="Cambria" w:cs="Calibri"/>
              </w:rPr>
            </w:pPr>
            <w:r w:rsidRPr="008345F3">
              <w:rPr>
                <w:rFonts w:ascii="Cambria" w:eastAsia="Calibri" w:hAnsi="Cambria" w:cs="Calibri"/>
              </w:rPr>
              <w:t>10%</w:t>
            </w:r>
          </w:p>
        </w:tc>
      </w:tr>
      <w:tr w:rsidR="002A021D" w:rsidRPr="008345F3" w14:paraId="15CB8BF5" w14:textId="77777777" w:rsidTr="002A021D">
        <w:tc>
          <w:tcPr>
            <w:tcW w:w="2806" w:type="dxa"/>
            <w:vMerge/>
            <w:tcBorders>
              <w:left w:val="single" w:sz="8" w:space="0" w:color="000000"/>
              <w:right w:val="single" w:sz="8" w:space="0" w:color="000000"/>
            </w:tcBorders>
            <w:vAlign w:val="center"/>
            <w:hideMark/>
          </w:tcPr>
          <w:p w14:paraId="35CFF9CB" w14:textId="77777777" w:rsidR="002A021D" w:rsidRPr="008345F3" w:rsidRDefault="002A021D" w:rsidP="000B2D2C">
            <w:pPr>
              <w:spacing w:after="0"/>
              <w:jc w:val="both"/>
              <w:rPr>
                <w:rFonts w:ascii="Cambria" w:eastAsia="Calibri" w:hAnsi="Cambria" w:cs="Calibri"/>
              </w:rPr>
            </w:pPr>
          </w:p>
        </w:tc>
        <w:tc>
          <w:tcPr>
            <w:tcW w:w="2768"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6AEAD07" w14:textId="77777777" w:rsidR="002A021D" w:rsidRPr="008345F3" w:rsidRDefault="002A021D" w:rsidP="000B2D2C">
            <w:pPr>
              <w:spacing w:after="0"/>
              <w:jc w:val="both"/>
              <w:rPr>
                <w:rFonts w:ascii="Cambria" w:eastAsia="Calibri" w:hAnsi="Cambria" w:cs="Calibri"/>
              </w:rPr>
            </w:pPr>
            <w:proofErr w:type="spellStart"/>
            <w:r w:rsidRPr="008345F3">
              <w:rPr>
                <w:rFonts w:ascii="Cambria" w:eastAsia="Calibri" w:hAnsi="Cambria" w:cs="Calibri"/>
              </w:rPr>
              <w:t>kolokvij</w:t>
            </w:r>
            <w:proofErr w:type="spellEnd"/>
            <w:r w:rsidRPr="008345F3">
              <w:rPr>
                <w:rFonts w:ascii="Cambria" w:eastAsia="Calibri" w:hAnsi="Cambria" w:cs="Calibri"/>
              </w:rPr>
              <w:t xml:space="preserve"> (</w:t>
            </w:r>
            <w:proofErr w:type="spellStart"/>
            <w:r w:rsidRPr="008345F3">
              <w:rPr>
                <w:rFonts w:ascii="Cambria" w:eastAsia="Calibri" w:hAnsi="Cambria" w:cs="Calibri"/>
              </w:rPr>
              <w:t>pismeni</w:t>
            </w:r>
            <w:proofErr w:type="spellEnd"/>
            <w:r w:rsidRPr="008345F3">
              <w:rPr>
                <w:rFonts w:ascii="Cambria" w:eastAsia="Calibri" w:hAnsi="Cambria" w:cs="Calibri"/>
              </w:rPr>
              <w:t>)</w:t>
            </w:r>
          </w:p>
        </w:tc>
        <w:tc>
          <w:tcPr>
            <w:tcW w:w="11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6309592" w14:textId="77777777" w:rsidR="002A021D" w:rsidRPr="008345F3" w:rsidRDefault="002A021D" w:rsidP="000B2D2C">
            <w:pPr>
              <w:spacing w:after="0"/>
              <w:jc w:val="center"/>
              <w:rPr>
                <w:rFonts w:ascii="Cambria" w:eastAsia="Calibri" w:hAnsi="Cambria" w:cs="Calibri"/>
              </w:rPr>
            </w:pPr>
            <w:r w:rsidRPr="008345F3">
              <w:rPr>
                <w:rFonts w:ascii="Cambria" w:eastAsia="Calibri" w:hAnsi="Cambria" w:cs="Calibri"/>
              </w:rPr>
              <w:t>1.</w:t>
            </w:r>
            <w:r>
              <w:rPr>
                <w:rFonts w:ascii="Cambria" w:eastAsia="Calibri" w:hAnsi="Cambria" w:cs="Calibri"/>
              </w:rPr>
              <w:t xml:space="preserve"> – </w:t>
            </w:r>
            <w:r w:rsidRPr="008345F3">
              <w:rPr>
                <w:rFonts w:ascii="Cambria" w:eastAsia="Calibri" w:hAnsi="Cambria" w:cs="Calibri"/>
              </w:rPr>
              <w:t>5.</w:t>
            </w:r>
          </w:p>
        </w:tc>
        <w:tc>
          <w:tcPr>
            <w:tcW w:w="77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0E6EC70" w14:textId="77777777" w:rsidR="002A021D" w:rsidRPr="008345F3" w:rsidRDefault="002A021D" w:rsidP="000B2D2C">
            <w:pPr>
              <w:spacing w:after="0"/>
              <w:jc w:val="center"/>
              <w:rPr>
                <w:rFonts w:ascii="Cambria" w:eastAsia="Calibri" w:hAnsi="Cambria" w:cs="Calibri"/>
              </w:rPr>
            </w:pPr>
            <w:r w:rsidRPr="008345F3">
              <w:rPr>
                <w:rFonts w:ascii="Cambria" w:eastAsia="Calibri" w:hAnsi="Cambria" w:cs="Calibri"/>
              </w:rPr>
              <w:t>36</w:t>
            </w:r>
          </w:p>
        </w:tc>
        <w:tc>
          <w:tcPr>
            <w:tcW w:w="108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6095BD3" w14:textId="77777777" w:rsidR="002A021D" w:rsidRPr="008345F3" w:rsidRDefault="002A021D" w:rsidP="000B2D2C">
            <w:pPr>
              <w:spacing w:after="0"/>
              <w:jc w:val="center"/>
              <w:rPr>
                <w:rFonts w:ascii="Cambria" w:eastAsia="Calibri" w:hAnsi="Cambria" w:cs="Calibri"/>
              </w:rPr>
            </w:pPr>
            <w:r w:rsidRPr="008345F3">
              <w:rPr>
                <w:rFonts w:ascii="Cambria" w:eastAsia="Calibri" w:hAnsi="Cambria" w:cs="Calibri"/>
              </w:rPr>
              <w:t>1,2</w:t>
            </w:r>
          </w:p>
        </w:tc>
        <w:tc>
          <w:tcPr>
            <w:tcW w:w="141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014B75E" w14:textId="77777777" w:rsidR="002A021D" w:rsidRPr="008345F3" w:rsidRDefault="002A021D" w:rsidP="000B2D2C">
            <w:pPr>
              <w:spacing w:after="0"/>
              <w:jc w:val="center"/>
              <w:rPr>
                <w:rFonts w:ascii="Cambria" w:eastAsia="Calibri" w:hAnsi="Cambria" w:cs="Calibri"/>
              </w:rPr>
            </w:pPr>
            <w:r w:rsidRPr="008345F3">
              <w:rPr>
                <w:rFonts w:ascii="Cambria" w:eastAsia="Calibri" w:hAnsi="Cambria" w:cs="Calibri"/>
              </w:rPr>
              <w:t>2x25%</w:t>
            </w:r>
          </w:p>
        </w:tc>
      </w:tr>
      <w:tr w:rsidR="002A021D" w:rsidRPr="008345F3" w14:paraId="70153D53" w14:textId="77777777" w:rsidTr="002A021D">
        <w:tc>
          <w:tcPr>
            <w:tcW w:w="2806" w:type="dxa"/>
            <w:vMerge/>
            <w:tcBorders>
              <w:left w:val="single" w:sz="8" w:space="0" w:color="000000"/>
              <w:right w:val="single" w:sz="8" w:space="0" w:color="000000"/>
            </w:tcBorders>
            <w:vAlign w:val="center"/>
            <w:hideMark/>
          </w:tcPr>
          <w:p w14:paraId="3CC504AE" w14:textId="77777777" w:rsidR="002A021D" w:rsidRPr="008345F3" w:rsidRDefault="002A021D" w:rsidP="000B2D2C">
            <w:pPr>
              <w:spacing w:after="0"/>
              <w:jc w:val="both"/>
              <w:rPr>
                <w:rFonts w:ascii="Cambria" w:eastAsia="Calibri" w:hAnsi="Cambria" w:cs="Calibri"/>
              </w:rPr>
            </w:pPr>
          </w:p>
        </w:tc>
        <w:tc>
          <w:tcPr>
            <w:tcW w:w="2768"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D515668" w14:textId="77777777" w:rsidR="002A021D" w:rsidRPr="008345F3" w:rsidRDefault="002A021D" w:rsidP="000B2D2C">
            <w:pPr>
              <w:spacing w:after="0"/>
              <w:jc w:val="both"/>
              <w:rPr>
                <w:rFonts w:ascii="Cambria" w:eastAsia="Calibri" w:hAnsi="Cambria" w:cs="Calibri"/>
              </w:rPr>
            </w:pPr>
            <w:proofErr w:type="spellStart"/>
            <w:r w:rsidRPr="008345F3">
              <w:rPr>
                <w:rFonts w:ascii="Cambria" w:eastAsia="Calibri" w:hAnsi="Cambria" w:cs="Calibri"/>
              </w:rPr>
              <w:t>ispit</w:t>
            </w:r>
            <w:proofErr w:type="spellEnd"/>
            <w:r w:rsidRPr="008345F3">
              <w:rPr>
                <w:rFonts w:ascii="Cambria" w:eastAsia="Calibri" w:hAnsi="Cambria" w:cs="Calibri"/>
              </w:rPr>
              <w:t xml:space="preserve"> (</w:t>
            </w:r>
            <w:proofErr w:type="spellStart"/>
            <w:r w:rsidRPr="008345F3">
              <w:rPr>
                <w:rFonts w:ascii="Cambria" w:eastAsia="Calibri" w:hAnsi="Cambria" w:cs="Calibri"/>
              </w:rPr>
              <w:t>usmeni</w:t>
            </w:r>
            <w:proofErr w:type="spellEnd"/>
            <w:r w:rsidRPr="008345F3">
              <w:rPr>
                <w:rFonts w:ascii="Cambria" w:eastAsia="Calibri" w:hAnsi="Cambria" w:cs="Calibri"/>
              </w:rPr>
              <w:t>)</w:t>
            </w:r>
          </w:p>
        </w:tc>
        <w:tc>
          <w:tcPr>
            <w:tcW w:w="11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46CD3C2" w14:textId="77777777" w:rsidR="002A021D" w:rsidRPr="008345F3" w:rsidRDefault="002A021D" w:rsidP="000B2D2C">
            <w:pPr>
              <w:spacing w:after="0"/>
              <w:jc w:val="center"/>
              <w:rPr>
                <w:rFonts w:ascii="Cambria" w:eastAsia="Calibri" w:hAnsi="Cambria" w:cs="Calibri"/>
              </w:rPr>
            </w:pPr>
            <w:r w:rsidRPr="008345F3">
              <w:rPr>
                <w:rFonts w:ascii="Cambria" w:eastAsia="Calibri" w:hAnsi="Cambria" w:cs="Calibri"/>
              </w:rPr>
              <w:t>1.</w:t>
            </w:r>
            <w:r>
              <w:rPr>
                <w:rFonts w:ascii="Cambria" w:eastAsia="Calibri" w:hAnsi="Cambria" w:cs="Calibri"/>
              </w:rPr>
              <w:t xml:space="preserve"> – </w:t>
            </w:r>
            <w:r w:rsidRPr="008345F3">
              <w:rPr>
                <w:rFonts w:ascii="Cambria" w:eastAsia="Calibri" w:hAnsi="Cambria" w:cs="Calibri"/>
              </w:rPr>
              <w:t>5.</w:t>
            </w:r>
          </w:p>
        </w:tc>
        <w:tc>
          <w:tcPr>
            <w:tcW w:w="77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E049C9B" w14:textId="77777777" w:rsidR="002A021D" w:rsidRPr="008345F3" w:rsidRDefault="002A021D" w:rsidP="000B2D2C">
            <w:pPr>
              <w:spacing w:after="0"/>
              <w:jc w:val="center"/>
              <w:rPr>
                <w:rFonts w:ascii="Cambria" w:eastAsia="Calibri" w:hAnsi="Cambria" w:cs="Calibri"/>
              </w:rPr>
            </w:pPr>
            <w:r w:rsidRPr="008345F3">
              <w:rPr>
                <w:rFonts w:ascii="Cambria" w:eastAsia="Calibri" w:hAnsi="Cambria" w:cs="Calibri"/>
              </w:rPr>
              <w:t>33</w:t>
            </w:r>
          </w:p>
        </w:tc>
        <w:tc>
          <w:tcPr>
            <w:tcW w:w="108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1F8CC0F" w14:textId="77777777" w:rsidR="002A021D" w:rsidRPr="008345F3" w:rsidRDefault="002A021D" w:rsidP="000B2D2C">
            <w:pPr>
              <w:spacing w:after="0"/>
              <w:jc w:val="center"/>
              <w:rPr>
                <w:rFonts w:ascii="Cambria" w:eastAsia="Calibri" w:hAnsi="Cambria" w:cs="Calibri"/>
              </w:rPr>
            </w:pPr>
            <w:r w:rsidRPr="008345F3">
              <w:rPr>
                <w:rFonts w:ascii="Cambria" w:eastAsia="Calibri" w:hAnsi="Cambria" w:cs="Calibri"/>
              </w:rPr>
              <w:t>1,1</w:t>
            </w:r>
          </w:p>
        </w:tc>
        <w:tc>
          <w:tcPr>
            <w:tcW w:w="141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0B94EEA" w14:textId="77777777" w:rsidR="002A021D" w:rsidRPr="008345F3" w:rsidRDefault="002A021D" w:rsidP="000B2D2C">
            <w:pPr>
              <w:spacing w:after="0"/>
              <w:jc w:val="center"/>
              <w:rPr>
                <w:rFonts w:ascii="Cambria" w:eastAsia="Calibri" w:hAnsi="Cambria" w:cs="Calibri"/>
              </w:rPr>
            </w:pPr>
            <w:r w:rsidRPr="008345F3">
              <w:rPr>
                <w:rFonts w:ascii="Cambria" w:eastAsia="Calibri" w:hAnsi="Cambria" w:cs="Calibri"/>
              </w:rPr>
              <w:t>30%</w:t>
            </w:r>
          </w:p>
        </w:tc>
      </w:tr>
      <w:tr w:rsidR="002A021D" w:rsidRPr="008345F3" w14:paraId="70718DBF" w14:textId="77777777" w:rsidTr="002A021D">
        <w:tc>
          <w:tcPr>
            <w:tcW w:w="2806" w:type="dxa"/>
            <w:vMerge/>
            <w:tcBorders>
              <w:left w:val="single" w:sz="8" w:space="0" w:color="000000"/>
              <w:right w:val="single" w:sz="8" w:space="0" w:color="000000"/>
            </w:tcBorders>
            <w:vAlign w:val="center"/>
            <w:hideMark/>
          </w:tcPr>
          <w:p w14:paraId="79DE7C94" w14:textId="77777777" w:rsidR="002A021D" w:rsidRPr="008345F3" w:rsidRDefault="002A021D" w:rsidP="000B2D2C">
            <w:pPr>
              <w:spacing w:after="0"/>
              <w:jc w:val="both"/>
              <w:rPr>
                <w:rFonts w:ascii="Cambria" w:eastAsia="Calibri" w:hAnsi="Cambria" w:cs="Calibri"/>
              </w:rPr>
            </w:pPr>
          </w:p>
        </w:tc>
        <w:tc>
          <w:tcPr>
            <w:tcW w:w="3940"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75E3B77" w14:textId="77777777" w:rsidR="002A021D" w:rsidRPr="008345F3" w:rsidRDefault="002A021D" w:rsidP="000B2D2C">
            <w:pPr>
              <w:spacing w:after="0"/>
              <w:jc w:val="both"/>
              <w:rPr>
                <w:rFonts w:ascii="Cambria" w:eastAsia="Calibri" w:hAnsi="Cambria" w:cs="Calibri"/>
              </w:rPr>
            </w:pPr>
            <w:proofErr w:type="spellStart"/>
            <w:r w:rsidRPr="008345F3">
              <w:rPr>
                <w:rFonts w:ascii="Cambria" w:eastAsia="Calibri" w:hAnsi="Cambria" w:cs="Calibri"/>
              </w:rPr>
              <w:t>ukupno</w:t>
            </w:r>
            <w:proofErr w:type="spellEnd"/>
          </w:p>
        </w:tc>
        <w:tc>
          <w:tcPr>
            <w:tcW w:w="77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51C2E42" w14:textId="77777777" w:rsidR="002A021D" w:rsidRPr="008345F3" w:rsidRDefault="002A021D" w:rsidP="000B2D2C">
            <w:pPr>
              <w:spacing w:after="0"/>
              <w:jc w:val="center"/>
              <w:rPr>
                <w:rFonts w:ascii="Cambria" w:eastAsia="Calibri" w:hAnsi="Cambria" w:cs="Calibri"/>
              </w:rPr>
            </w:pPr>
            <w:r w:rsidRPr="008345F3">
              <w:rPr>
                <w:rFonts w:ascii="Cambria" w:eastAsia="Calibri" w:hAnsi="Cambria" w:cs="Calibri"/>
              </w:rPr>
              <w:t>120</w:t>
            </w:r>
          </w:p>
        </w:tc>
        <w:tc>
          <w:tcPr>
            <w:tcW w:w="108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5274E47" w14:textId="77777777" w:rsidR="002A021D" w:rsidRPr="008345F3" w:rsidRDefault="002A021D" w:rsidP="000B2D2C">
            <w:pPr>
              <w:spacing w:after="0"/>
              <w:jc w:val="center"/>
              <w:rPr>
                <w:rFonts w:ascii="Cambria" w:eastAsia="Calibri" w:hAnsi="Cambria" w:cs="Calibri"/>
              </w:rPr>
            </w:pPr>
            <w:r w:rsidRPr="008345F3">
              <w:rPr>
                <w:rFonts w:ascii="Cambria" w:eastAsia="Calibri" w:hAnsi="Cambria" w:cs="Calibri"/>
              </w:rPr>
              <w:t>4</w:t>
            </w:r>
          </w:p>
        </w:tc>
        <w:tc>
          <w:tcPr>
            <w:tcW w:w="141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FF2CB65" w14:textId="77777777" w:rsidR="002A021D" w:rsidRPr="008345F3" w:rsidRDefault="002A021D" w:rsidP="000B2D2C">
            <w:pPr>
              <w:spacing w:after="0"/>
              <w:jc w:val="center"/>
              <w:rPr>
                <w:rFonts w:ascii="Cambria" w:eastAsia="Calibri" w:hAnsi="Cambria" w:cs="Calibri"/>
              </w:rPr>
            </w:pPr>
            <w:r w:rsidRPr="008345F3">
              <w:rPr>
                <w:rFonts w:ascii="Cambria" w:eastAsia="Calibri" w:hAnsi="Cambria" w:cs="Calibri"/>
              </w:rPr>
              <w:t>100%</w:t>
            </w:r>
          </w:p>
        </w:tc>
      </w:tr>
      <w:tr w:rsidR="002A021D" w:rsidRPr="008345F3" w14:paraId="24C5CB58" w14:textId="77777777" w:rsidTr="002A021D">
        <w:tc>
          <w:tcPr>
            <w:tcW w:w="2806" w:type="dxa"/>
            <w:vMerge/>
            <w:tcBorders>
              <w:left w:val="single" w:sz="8" w:space="0" w:color="000000"/>
              <w:bottom w:val="single" w:sz="8" w:space="0" w:color="000000"/>
              <w:right w:val="single" w:sz="8" w:space="0" w:color="000000"/>
            </w:tcBorders>
            <w:vAlign w:val="center"/>
          </w:tcPr>
          <w:p w14:paraId="4F57D118" w14:textId="77777777" w:rsidR="002A021D" w:rsidRPr="008345F3" w:rsidRDefault="002A021D" w:rsidP="000B2D2C">
            <w:pPr>
              <w:spacing w:after="0"/>
              <w:jc w:val="both"/>
              <w:rPr>
                <w:rFonts w:ascii="Cambria" w:eastAsia="Calibri" w:hAnsi="Cambria" w:cs="Calibri"/>
              </w:rPr>
            </w:pPr>
          </w:p>
        </w:tc>
        <w:tc>
          <w:tcPr>
            <w:tcW w:w="7214"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6FD7788" w14:textId="77777777" w:rsidR="002A021D" w:rsidRPr="008345F3" w:rsidRDefault="002A021D" w:rsidP="000B2D2C">
            <w:pPr>
              <w:spacing w:after="0"/>
              <w:jc w:val="both"/>
              <w:rPr>
                <w:rFonts w:ascii="Cambria" w:eastAsia="Calibri" w:hAnsi="Cambria" w:cs="Calibri"/>
              </w:rPr>
            </w:pPr>
            <w:proofErr w:type="spellStart"/>
            <w:r w:rsidRPr="008345F3">
              <w:rPr>
                <w:rFonts w:ascii="Cambria" w:eastAsia="Calibri" w:hAnsi="Cambria" w:cs="Calibri"/>
              </w:rPr>
              <w:t>Dodatna</w:t>
            </w:r>
            <w:proofErr w:type="spellEnd"/>
            <w:r w:rsidRPr="008345F3">
              <w:rPr>
                <w:rFonts w:ascii="Cambria" w:eastAsia="Calibri" w:hAnsi="Cambria" w:cs="Calibri"/>
              </w:rPr>
              <w:t xml:space="preserve"> </w:t>
            </w:r>
            <w:proofErr w:type="spellStart"/>
            <w:r w:rsidRPr="008345F3">
              <w:rPr>
                <w:rFonts w:ascii="Cambria" w:eastAsia="Calibri" w:hAnsi="Cambria" w:cs="Calibri"/>
              </w:rPr>
              <w:t>pojašnjenja</w:t>
            </w:r>
            <w:proofErr w:type="spellEnd"/>
            <w:r w:rsidRPr="008345F3">
              <w:rPr>
                <w:rFonts w:ascii="Cambria" w:eastAsia="Calibri" w:hAnsi="Cambria" w:cs="Calibri"/>
              </w:rPr>
              <w:t xml:space="preserve"> (</w:t>
            </w:r>
            <w:proofErr w:type="spellStart"/>
            <w:r w:rsidRPr="008345F3">
              <w:rPr>
                <w:rFonts w:ascii="Cambria" w:eastAsia="Calibri" w:hAnsi="Cambria" w:cs="Calibri"/>
              </w:rPr>
              <w:t>kriteriji</w:t>
            </w:r>
            <w:proofErr w:type="spellEnd"/>
            <w:r w:rsidRPr="008345F3">
              <w:rPr>
                <w:rFonts w:ascii="Cambria" w:eastAsia="Calibri" w:hAnsi="Cambria" w:cs="Calibri"/>
              </w:rPr>
              <w:t xml:space="preserve"> </w:t>
            </w:r>
            <w:proofErr w:type="spellStart"/>
            <w:r w:rsidRPr="008345F3">
              <w:rPr>
                <w:rFonts w:ascii="Cambria" w:eastAsia="Calibri" w:hAnsi="Cambria" w:cs="Calibri"/>
              </w:rPr>
              <w:t>ocjenjivanja</w:t>
            </w:r>
            <w:proofErr w:type="spellEnd"/>
            <w:r w:rsidRPr="008345F3">
              <w:rPr>
                <w:rFonts w:ascii="Cambria" w:eastAsia="Calibri" w:hAnsi="Cambria" w:cs="Calibri"/>
              </w:rPr>
              <w:t>):</w:t>
            </w:r>
          </w:p>
          <w:p w14:paraId="74DF993C" w14:textId="77777777" w:rsidR="002A021D" w:rsidRPr="008345F3" w:rsidRDefault="002A021D" w:rsidP="000B2D2C">
            <w:pPr>
              <w:spacing w:after="0"/>
              <w:jc w:val="both"/>
              <w:rPr>
                <w:rFonts w:ascii="Cambria" w:eastAsia="Calibri" w:hAnsi="Cambria" w:cs="Calibri"/>
                <w:lang w:val="it-IT"/>
              </w:rPr>
            </w:pPr>
            <w:proofErr w:type="spellStart"/>
            <w:r w:rsidRPr="008345F3">
              <w:rPr>
                <w:rFonts w:ascii="Cambria" w:eastAsia="Calibri" w:hAnsi="Cambria" w:cs="Calibri"/>
                <w:bCs/>
              </w:rPr>
              <w:t>Pohađanje</w:t>
            </w:r>
            <w:proofErr w:type="spellEnd"/>
            <w:r w:rsidRPr="008345F3">
              <w:rPr>
                <w:rFonts w:ascii="Cambria" w:eastAsia="Calibri" w:hAnsi="Cambria" w:cs="Calibri"/>
                <w:bCs/>
              </w:rPr>
              <w:t xml:space="preserve"> </w:t>
            </w:r>
            <w:proofErr w:type="spellStart"/>
            <w:r w:rsidRPr="008345F3">
              <w:rPr>
                <w:rFonts w:ascii="Cambria" w:eastAsia="Calibri" w:hAnsi="Cambria" w:cs="Calibri"/>
                <w:bCs/>
              </w:rPr>
              <w:t>nastave</w:t>
            </w:r>
            <w:proofErr w:type="spellEnd"/>
            <w:r w:rsidRPr="008345F3">
              <w:rPr>
                <w:rFonts w:ascii="Cambria" w:eastAsia="Calibri" w:hAnsi="Cambria" w:cs="Calibri"/>
              </w:rPr>
              <w:t xml:space="preserve"> je </w:t>
            </w:r>
            <w:proofErr w:type="spellStart"/>
            <w:r w:rsidRPr="008345F3">
              <w:rPr>
                <w:rFonts w:ascii="Cambria" w:eastAsia="Calibri" w:hAnsi="Cambria" w:cs="Calibri"/>
              </w:rPr>
              <w:t>obvezno</w:t>
            </w:r>
            <w:proofErr w:type="spellEnd"/>
            <w:r w:rsidRPr="008345F3">
              <w:rPr>
                <w:rFonts w:ascii="Cambria" w:eastAsia="Calibri" w:hAnsi="Cambria" w:cs="Calibri"/>
              </w:rPr>
              <w:t xml:space="preserve">. </w:t>
            </w:r>
            <w:proofErr w:type="spellStart"/>
            <w:r w:rsidRPr="008345F3">
              <w:rPr>
                <w:rFonts w:ascii="Cambria" w:eastAsia="Calibri" w:hAnsi="Cambria" w:cs="Calibri"/>
                <w:lang w:val="it-IT"/>
              </w:rPr>
              <w:t>Praćenje</w:t>
            </w:r>
            <w:proofErr w:type="spellEnd"/>
            <w:r w:rsidRPr="008345F3">
              <w:rPr>
                <w:rFonts w:ascii="Cambria" w:eastAsia="Calibri" w:hAnsi="Cambria" w:cs="Calibri"/>
                <w:lang w:val="it-IT"/>
              </w:rPr>
              <w:t xml:space="preserve"> i </w:t>
            </w:r>
            <w:proofErr w:type="spellStart"/>
            <w:r w:rsidRPr="008345F3">
              <w:rPr>
                <w:rFonts w:ascii="Cambria" w:eastAsia="Calibri" w:hAnsi="Cambria" w:cs="Calibri"/>
                <w:lang w:val="it-IT"/>
              </w:rPr>
              <w:t>ocjenjivanje</w:t>
            </w:r>
            <w:proofErr w:type="spellEnd"/>
            <w:r w:rsidRPr="008345F3">
              <w:rPr>
                <w:rFonts w:ascii="Cambria" w:eastAsia="Calibri" w:hAnsi="Cambria" w:cs="Calibri"/>
                <w:lang w:val="it-IT"/>
              </w:rPr>
              <w:t xml:space="preserve"> </w:t>
            </w:r>
            <w:proofErr w:type="spellStart"/>
            <w:r w:rsidRPr="008345F3">
              <w:rPr>
                <w:rFonts w:ascii="Cambria" w:eastAsia="Calibri" w:hAnsi="Cambria" w:cs="Calibri"/>
                <w:lang w:val="it-IT"/>
              </w:rPr>
              <w:t>studenata</w:t>
            </w:r>
            <w:proofErr w:type="spellEnd"/>
            <w:r w:rsidRPr="008345F3">
              <w:rPr>
                <w:rFonts w:ascii="Cambria" w:eastAsia="Calibri" w:hAnsi="Cambria" w:cs="Calibri"/>
                <w:lang w:val="it-IT"/>
              </w:rPr>
              <w:t xml:space="preserve"> </w:t>
            </w:r>
            <w:proofErr w:type="spellStart"/>
            <w:r w:rsidRPr="008345F3">
              <w:rPr>
                <w:rFonts w:ascii="Cambria" w:eastAsia="Calibri" w:hAnsi="Cambria" w:cs="Calibri"/>
                <w:lang w:val="it-IT"/>
              </w:rPr>
              <w:t>izvodi</w:t>
            </w:r>
            <w:proofErr w:type="spellEnd"/>
            <w:r w:rsidRPr="008345F3">
              <w:rPr>
                <w:rFonts w:ascii="Cambria" w:eastAsia="Calibri" w:hAnsi="Cambria" w:cs="Calibri"/>
                <w:lang w:val="it-IT"/>
              </w:rPr>
              <w:t xml:space="preserve"> se </w:t>
            </w:r>
            <w:proofErr w:type="spellStart"/>
            <w:r w:rsidRPr="008345F3">
              <w:rPr>
                <w:rFonts w:ascii="Cambria" w:eastAsia="Calibri" w:hAnsi="Cambria" w:cs="Calibri"/>
                <w:lang w:val="it-IT"/>
              </w:rPr>
              <w:t>tijekom</w:t>
            </w:r>
            <w:proofErr w:type="spellEnd"/>
            <w:r w:rsidRPr="008345F3">
              <w:rPr>
                <w:rFonts w:ascii="Cambria" w:eastAsia="Calibri" w:hAnsi="Cambria" w:cs="Calibri"/>
                <w:lang w:val="it-IT"/>
              </w:rPr>
              <w:t xml:space="preserve"> </w:t>
            </w:r>
            <w:proofErr w:type="spellStart"/>
            <w:r w:rsidRPr="008345F3">
              <w:rPr>
                <w:rFonts w:ascii="Cambria" w:eastAsia="Calibri" w:hAnsi="Cambria" w:cs="Calibri"/>
                <w:lang w:val="it-IT"/>
              </w:rPr>
              <w:t>nastave</w:t>
            </w:r>
            <w:proofErr w:type="spellEnd"/>
            <w:r w:rsidRPr="008345F3">
              <w:rPr>
                <w:rFonts w:ascii="Cambria" w:eastAsia="Calibri" w:hAnsi="Cambria" w:cs="Calibri"/>
                <w:lang w:val="it-IT"/>
              </w:rPr>
              <w:t xml:space="preserve"> i </w:t>
            </w:r>
            <w:proofErr w:type="spellStart"/>
            <w:r w:rsidRPr="008345F3">
              <w:rPr>
                <w:rFonts w:ascii="Cambria" w:eastAsia="Calibri" w:hAnsi="Cambria" w:cs="Calibri"/>
                <w:lang w:val="it-IT"/>
              </w:rPr>
              <w:t>na</w:t>
            </w:r>
            <w:proofErr w:type="spellEnd"/>
            <w:r w:rsidRPr="008345F3">
              <w:rPr>
                <w:rFonts w:ascii="Cambria" w:eastAsia="Calibri" w:hAnsi="Cambria" w:cs="Calibri"/>
                <w:lang w:val="it-IT"/>
              </w:rPr>
              <w:t xml:space="preserve"> </w:t>
            </w:r>
            <w:proofErr w:type="spellStart"/>
            <w:r w:rsidRPr="008345F3">
              <w:rPr>
                <w:rFonts w:ascii="Cambria" w:eastAsia="Calibri" w:hAnsi="Cambria" w:cs="Calibri"/>
                <w:lang w:val="it-IT"/>
              </w:rPr>
              <w:t>završnom</w:t>
            </w:r>
            <w:proofErr w:type="spellEnd"/>
            <w:r w:rsidRPr="008345F3">
              <w:rPr>
                <w:rFonts w:ascii="Cambria" w:eastAsia="Calibri" w:hAnsi="Cambria" w:cs="Calibri"/>
                <w:lang w:val="it-IT"/>
              </w:rPr>
              <w:t xml:space="preserve"> </w:t>
            </w:r>
            <w:proofErr w:type="spellStart"/>
            <w:r w:rsidRPr="008345F3">
              <w:rPr>
                <w:rFonts w:ascii="Cambria" w:eastAsia="Calibri" w:hAnsi="Cambria" w:cs="Calibri"/>
                <w:lang w:val="it-IT"/>
              </w:rPr>
              <w:t>ispitu</w:t>
            </w:r>
            <w:proofErr w:type="spellEnd"/>
            <w:r w:rsidRPr="008345F3">
              <w:rPr>
                <w:rFonts w:ascii="Cambria" w:eastAsia="Calibri" w:hAnsi="Cambria" w:cs="Calibri"/>
                <w:lang w:val="it-IT"/>
              </w:rPr>
              <w:t xml:space="preserve">. </w:t>
            </w:r>
            <w:proofErr w:type="spellStart"/>
            <w:r w:rsidRPr="008345F3">
              <w:rPr>
                <w:rFonts w:ascii="Cambria" w:eastAsia="Calibri" w:hAnsi="Cambria" w:cs="Calibri"/>
                <w:lang w:val="it-IT"/>
              </w:rPr>
              <w:t>Tijekom</w:t>
            </w:r>
            <w:proofErr w:type="spellEnd"/>
            <w:r w:rsidRPr="008345F3">
              <w:rPr>
                <w:rFonts w:ascii="Cambria" w:eastAsia="Calibri" w:hAnsi="Cambria" w:cs="Calibri"/>
                <w:lang w:val="it-IT"/>
              </w:rPr>
              <w:t xml:space="preserve"> </w:t>
            </w:r>
            <w:proofErr w:type="spellStart"/>
            <w:r w:rsidRPr="008345F3">
              <w:rPr>
                <w:rFonts w:ascii="Cambria" w:eastAsia="Calibri" w:hAnsi="Cambria" w:cs="Calibri"/>
                <w:lang w:val="it-IT"/>
              </w:rPr>
              <w:t>nastave</w:t>
            </w:r>
            <w:proofErr w:type="spellEnd"/>
            <w:r w:rsidRPr="008345F3">
              <w:rPr>
                <w:rFonts w:ascii="Cambria" w:eastAsia="Calibri" w:hAnsi="Cambria" w:cs="Calibri"/>
                <w:lang w:val="it-IT"/>
              </w:rPr>
              <w:t xml:space="preserve"> </w:t>
            </w:r>
            <w:proofErr w:type="spellStart"/>
            <w:r w:rsidRPr="008345F3">
              <w:rPr>
                <w:rFonts w:ascii="Cambria" w:eastAsia="Calibri" w:hAnsi="Cambria" w:cs="Calibri"/>
                <w:lang w:val="it-IT"/>
              </w:rPr>
              <w:t>student</w:t>
            </w:r>
            <w:proofErr w:type="spellEnd"/>
            <w:r w:rsidRPr="008345F3">
              <w:rPr>
                <w:rFonts w:ascii="Cambria" w:eastAsia="Calibri" w:hAnsi="Cambria" w:cs="Calibri"/>
                <w:lang w:val="it-IT"/>
              </w:rPr>
              <w:t xml:space="preserve"> </w:t>
            </w:r>
            <w:proofErr w:type="spellStart"/>
            <w:r w:rsidRPr="008345F3">
              <w:rPr>
                <w:rFonts w:ascii="Cambria" w:eastAsia="Calibri" w:hAnsi="Cambria" w:cs="Calibri"/>
                <w:lang w:val="it-IT"/>
              </w:rPr>
              <w:t>ostvaruje</w:t>
            </w:r>
            <w:proofErr w:type="spellEnd"/>
            <w:r w:rsidRPr="008345F3">
              <w:rPr>
                <w:rFonts w:ascii="Cambria" w:eastAsia="Calibri" w:hAnsi="Cambria" w:cs="Calibri"/>
                <w:lang w:val="it-IT"/>
              </w:rPr>
              <w:t xml:space="preserve"> 70% </w:t>
            </w:r>
            <w:proofErr w:type="spellStart"/>
            <w:r w:rsidRPr="008345F3">
              <w:rPr>
                <w:rFonts w:ascii="Cambria" w:eastAsia="Calibri" w:hAnsi="Cambria" w:cs="Calibri"/>
                <w:lang w:val="it-IT"/>
              </w:rPr>
              <w:t>ocjene</w:t>
            </w:r>
            <w:proofErr w:type="spellEnd"/>
            <w:r w:rsidRPr="008345F3">
              <w:rPr>
                <w:rFonts w:ascii="Cambria" w:eastAsia="Calibri" w:hAnsi="Cambria" w:cs="Calibri"/>
                <w:lang w:val="it-IT"/>
              </w:rPr>
              <w:t xml:space="preserve">, a </w:t>
            </w:r>
            <w:proofErr w:type="spellStart"/>
            <w:r w:rsidRPr="008345F3">
              <w:rPr>
                <w:rFonts w:ascii="Cambria" w:eastAsia="Calibri" w:hAnsi="Cambria" w:cs="Calibri"/>
                <w:lang w:val="it-IT"/>
              </w:rPr>
              <w:t>na</w:t>
            </w:r>
            <w:proofErr w:type="spellEnd"/>
            <w:r w:rsidRPr="008345F3">
              <w:rPr>
                <w:rFonts w:ascii="Cambria" w:eastAsia="Calibri" w:hAnsi="Cambria" w:cs="Calibri"/>
                <w:lang w:val="it-IT"/>
              </w:rPr>
              <w:t xml:space="preserve"> </w:t>
            </w:r>
            <w:proofErr w:type="spellStart"/>
            <w:r w:rsidRPr="008345F3">
              <w:rPr>
                <w:rFonts w:ascii="Cambria" w:eastAsia="Calibri" w:hAnsi="Cambria" w:cs="Calibri"/>
                <w:lang w:val="it-IT"/>
              </w:rPr>
              <w:t>završnom</w:t>
            </w:r>
            <w:proofErr w:type="spellEnd"/>
            <w:r w:rsidRPr="008345F3">
              <w:rPr>
                <w:rFonts w:ascii="Cambria" w:eastAsia="Calibri" w:hAnsi="Cambria" w:cs="Calibri"/>
                <w:lang w:val="it-IT"/>
              </w:rPr>
              <w:t xml:space="preserve"> </w:t>
            </w:r>
            <w:proofErr w:type="spellStart"/>
            <w:r w:rsidRPr="008345F3">
              <w:rPr>
                <w:rFonts w:ascii="Cambria" w:eastAsia="Calibri" w:hAnsi="Cambria" w:cs="Calibri"/>
                <w:lang w:val="it-IT"/>
              </w:rPr>
              <w:t>ispitu</w:t>
            </w:r>
            <w:proofErr w:type="spellEnd"/>
            <w:r w:rsidRPr="008345F3">
              <w:rPr>
                <w:rFonts w:ascii="Cambria" w:eastAsia="Calibri" w:hAnsi="Cambria" w:cs="Calibri"/>
                <w:lang w:val="it-IT"/>
              </w:rPr>
              <w:t xml:space="preserve"> 30% </w:t>
            </w:r>
            <w:proofErr w:type="spellStart"/>
            <w:r w:rsidRPr="008345F3">
              <w:rPr>
                <w:rFonts w:ascii="Cambria" w:eastAsia="Calibri" w:hAnsi="Cambria" w:cs="Calibri"/>
                <w:lang w:val="it-IT"/>
              </w:rPr>
              <w:t>ocjene</w:t>
            </w:r>
            <w:proofErr w:type="spellEnd"/>
            <w:r w:rsidRPr="008345F3">
              <w:rPr>
                <w:rFonts w:ascii="Cambria" w:eastAsia="Calibri" w:hAnsi="Cambria" w:cs="Calibri"/>
                <w:lang w:val="it-IT"/>
              </w:rPr>
              <w:t>.</w:t>
            </w:r>
          </w:p>
          <w:p w14:paraId="41068450" w14:textId="77777777" w:rsidR="002A021D" w:rsidRPr="008345F3" w:rsidRDefault="002A021D" w:rsidP="000B2D2C">
            <w:pPr>
              <w:spacing w:after="0"/>
              <w:jc w:val="both"/>
              <w:rPr>
                <w:rFonts w:ascii="Cambria" w:eastAsia="Calibri" w:hAnsi="Cambria" w:cs="Calibri"/>
                <w:lang w:val="it-IT"/>
              </w:rPr>
            </w:pPr>
            <w:proofErr w:type="spellStart"/>
            <w:r w:rsidRPr="008345F3">
              <w:rPr>
                <w:rFonts w:ascii="Cambria" w:eastAsia="Calibri" w:hAnsi="Cambria" w:cs="Calibri"/>
                <w:bCs/>
                <w:lang w:val="it-IT"/>
              </w:rPr>
              <w:t>Praktični</w:t>
            </w:r>
            <w:proofErr w:type="spellEnd"/>
            <w:r w:rsidRPr="008345F3">
              <w:rPr>
                <w:rFonts w:ascii="Cambria" w:eastAsia="Calibri" w:hAnsi="Cambria" w:cs="Calibri"/>
                <w:bCs/>
                <w:lang w:val="it-IT"/>
              </w:rPr>
              <w:t xml:space="preserve"> rad</w:t>
            </w:r>
            <w:r w:rsidRPr="008345F3">
              <w:rPr>
                <w:rFonts w:ascii="Cambria" w:eastAsia="Calibri" w:hAnsi="Cambria" w:cs="Calibri"/>
                <w:lang w:val="it-IT"/>
              </w:rPr>
              <w:t xml:space="preserve"> se </w:t>
            </w:r>
            <w:proofErr w:type="spellStart"/>
            <w:r w:rsidRPr="008345F3">
              <w:rPr>
                <w:rFonts w:ascii="Cambria" w:eastAsia="Calibri" w:hAnsi="Cambria" w:cs="Calibri"/>
                <w:lang w:val="it-IT"/>
              </w:rPr>
              <w:t>odnosi</w:t>
            </w:r>
            <w:proofErr w:type="spellEnd"/>
            <w:r w:rsidRPr="008345F3">
              <w:rPr>
                <w:rFonts w:ascii="Cambria" w:eastAsia="Calibri" w:hAnsi="Cambria" w:cs="Calibri"/>
                <w:lang w:val="it-IT"/>
              </w:rPr>
              <w:t xml:space="preserve"> </w:t>
            </w:r>
            <w:proofErr w:type="spellStart"/>
            <w:r w:rsidRPr="008345F3">
              <w:rPr>
                <w:rFonts w:ascii="Cambria" w:eastAsia="Calibri" w:hAnsi="Cambria" w:cs="Calibri"/>
                <w:lang w:val="it-IT"/>
              </w:rPr>
              <w:t>na</w:t>
            </w:r>
            <w:proofErr w:type="spellEnd"/>
            <w:r w:rsidRPr="008345F3">
              <w:rPr>
                <w:rFonts w:ascii="Cambria" w:eastAsia="Calibri" w:hAnsi="Cambria" w:cs="Calibri"/>
                <w:lang w:val="it-IT"/>
              </w:rPr>
              <w:t xml:space="preserve"> </w:t>
            </w:r>
            <w:proofErr w:type="spellStart"/>
            <w:r w:rsidRPr="008345F3">
              <w:rPr>
                <w:rFonts w:ascii="Cambria" w:eastAsia="Calibri" w:hAnsi="Cambria" w:cs="Calibri"/>
                <w:lang w:val="it-IT"/>
              </w:rPr>
              <w:t>izradu</w:t>
            </w:r>
            <w:proofErr w:type="spellEnd"/>
            <w:r w:rsidRPr="008345F3">
              <w:rPr>
                <w:rFonts w:ascii="Cambria" w:eastAsia="Calibri" w:hAnsi="Cambria" w:cs="Calibri"/>
                <w:lang w:val="it-IT"/>
              </w:rPr>
              <w:t xml:space="preserve"> i </w:t>
            </w:r>
            <w:proofErr w:type="spellStart"/>
            <w:r w:rsidRPr="008345F3">
              <w:rPr>
                <w:rFonts w:ascii="Cambria" w:eastAsia="Calibri" w:hAnsi="Cambria" w:cs="Calibri"/>
                <w:lang w:val="it-IT"/>
              </w:rPr>
              <w:t>provođenje</w:t>
            </w:r>
            <w:proofErr w:type="spellEnd"/>
            <w:r w:rsidRPr="008345F3">
              <w:rPr>
                <w:rFonts w:ascii="Cambria" w:eastAsia="Calibri" w:hAnsi="Cambria" w:cs="Calibri"/>
                <w:lang w:val="it-IT"/>
              </w:rPr>
              <w:t xml:space="preserve"> </w:t>
            </w:r>
            <w:proofErr w:type="spellStart"/>
            <w:r w:rsidRPr="008345F3">
              <w:rPr>
                <w:rFonts w:ascii="Cambria" w:eastAsia="Calibri" w:hAnsi="Cambria" w:cs="Calibri"/>
                <w:lang w:val="it-IT"/>
              </w:rPr>
              <w:t>sadržaja</w:t>
            </w:r>
            <w:proofErr w:type="spellEnd"/>
            <w:r w:rsidRPr="008345F3">
              <w:rPr>
                <w:rFonts w:ascii="Cambria" w:eastAsia="Calibri" w:hAnsi="Cambria" w:cs="Calibri"/>
                <w:lang w:val="it-IT"/>
              </w:rPr>
              <w:t xml:space="preserve"> </w:t>
            </w:r>
            <w:proofErr w:type="spellStart"/>
            <w:r w:rsidRPr="008345F3">
              <w:rPr>
                <w:rFonts w:ascii="Cambria" w:eastAsia="Calibri" w:hAnsi="Cambria" w:cs="Calibri"/>
                <w:lang w:val="it-IT"/>
              </w:rPr>
              <w:t>tjelesne</w:t>
            </w:r>
            <w:proofErr w:type="spellEnd"/>
            <w:r w:rsidRPr="008345F3">
              <w:rPr>
                <w:rFonts w:ascii="Cambria" w:eastAsia="Calibri" w:hAnsi="Cambria" w:cs="Calibri"/>
                <w:lang w:val="it-IT"/>
              </w:rPr>
              <w:t xml:space="preserve"> i </w:t>
            </w:r>
            <w:proofErr w:type="spellStart"/>
            <w:r w:rsidRPr="008345F3">
              <w:rPr>
                <w:rFonts w:ascii="Cambria" w:eastAsia="Calibri" w:hAnsi="Cambria" w:cs="Calibri"/>
                <w:lang w:val="it-IT"/>
              </w:rPr>
              <w:t>zdravstvene</w:t>
            </w:r>
            <w:proofErr w:type="spellEnd"/>
            <w:r w:rsidRPr="008345F3">
              <w:rPr>
                <w:rFonts w:ascii="Cambria" w:eastAsia="Calibri" w:hAnsi="Cambria" w:cs="Calibri"/>
                <w:lang w:val="it-IT"/>
              </w:rPr>
              <w:t xml:space="preserve"> </w:t>
            </w:r>
            <w:proofErr w:type="spellStart"/>
            <w:r w:rsidRPr="008345F3">
              <w:rPr>
                <w:rFonts w:ascii="Cambria" w:eastAsia="Calibri" w:hAnsi="Cambria" w:cs="Calibri"/>
                <w:lang w:val="it-IT"/>
              </w:rPr>
              <w:t>kulture</w:t>
            </w:r>
            <w:proofErr w:type="spellEnd"/>
            <w:r w:rsidRPr="008345F3">
              <w:rPr>
                <w:rFonts w:ascii="Cambria" w:eastAsia="Calibri" w:hAnsi="Cambria" w:cs="Calibri"/>
                <w:lang w:val="it-IT"/>
              </w:rPr>
              <w:t xml:space="preserve"> u </w:t>
            </w:r>
            <w:proofErr w:type="spellStart"/>
            <w:r w:rsidRPr="008345F3">
              <w:rPr>
                <w:rFonts w:ascii="Cambria" w:eastAsia="Calibri" w:hAnsi="Cambria" w:cs="Calibri"/>
                <w:lang w:val="it-IT"/>
              </w:rPr>
              <w:t>dvorani</w:t>
            </w:r>
            <w:proofErr w:type="spellEnd"/>
            <w:r w:rsidRPr="008345F3">
              <w:rPr>
                <w:rFonts w:ascii="Cambria" w:eastAsia="Calibri" w:hAnsi="Cambria" w:cs="Calibri"/>
                <w:lang w:val="it-IT"/>
              </w:rPr>
              <w:t xml:space="preserve">, a </w:t>
            </w:r>
            <w:proofErr w:type="spellStart"/>
            <w:r w:rsidRPr="008345F3">
              <w:rPr>
                <w:rFonts w:ascii="Cambria" w:eastAsia="Calibri" w:hAnsi="Cambria" w:cs="Calibri"/>
                <w:lang w:val="it-IT"/>
              </w:rPr>
              <w:t>ocjenjuje</w:t>
            </w:r>
            <w:proofErr w:type="spellEnd"/>
            <w:r w:rsidRPr="008345F3">
              <w:rPr>
                <w:rFonts w:ascii="Cambria" w:eastAsia="Calibri" w:hAnsi="Cambria" w:cs="Calibri"/>
                <w:lang w:val="it-IT"/>
              </w:rPr>
              <w:t xml:space="preserve"> se </w:t>
            </w:r>
            <w:proofErr w:type="spellStart"/>
            <w:r w:rsidRPr="008345F3">
              <w:rPr>
                <w:rFonts w:ascii="Cambria" w:eastAsia="Calibri" w:hAnsi="Cambria" w:cs="Calibri"/>
                <w:lang w:val="it-IT"/>
              </w:rPr>
              <w:t>na</w:t>
            </w:r>
            <w:proofErr w:type="spellEnd"/>
            <w:r w:rsidRPr="008345F3">
              <w:rPr>
                <w:rFonts w:ascii="Cambria" w:eastAsia="Calibri" w:hAnsi="Cambria" w:cs="Calibri"/>
                <w:lang w:val="it-IT"/>
              </w:rPr>
              <w:t xml:space="preserve"> </w:t>
            </w:r>
            <w:proofErr w:type="spellStart"/>
            <w:r w:rsidRPr="008345F3">
              <w:rPr>
                <w:rFonts w:ascii="Cambria" w:eastAsia="Calibri" w:hAnsi="Cambria" w:cs="Calibri"/>
                <w:lang w:val="it-IT"/>
              </w:rPr>
              <w:t>slijedeći</w:t>
            </w:r>
            <w:proofErr w:type="spellEnd"/>
            <w:r w:rsidRPr="008345F3">
              <w:rPr>
                <w:rFonts w:ascii="Cambria" w:eastAsia="Calibri" w:hAnsi="Cambria" w:cs="Calibri"/>
                <w:lang w:val="it-IT"/>
              </w:rPr>
              <w:t xml:space="preserve"> </w:t>
            </w:r>
            <w:proofErr w:type="spellStart"/>
            <w:r w:rsidRPr="008345F3">
              <w:rPr>
                <w:rFonts w:ascii="Cambria" w:eastAsia="Calibri" w:hAnsi="Cambria" w:cs="Calibri"/>
                <w:lang w:val="it-IT"/>
              </w:rPr>
              <w:t>način</w:t>
            </w:r>
            <w:proofErr w:type="spellEnd"/>
            <w:r w:rsidRPr="008345F3">
              <w:rPr>
                <w:rFonts w:ascii="Cambria" w:eastAsia="Calibri" w:hAnsi="Cambria" w:cs="Calibri"/>
                <w:lang w:val="it-IT"/>
              </w:rPr>
              <w:t>:</w:t>
            </w:r>
          </w:p>
          <w:p w14:paraId="320ED219" w14:textId="77777777" w:rsidR="002A021D" w:rsidRPr="008345F3" w:rsidRDefault="002A021D" w:rsidP="000B2D2C">
            <w:pPr>
              <w:spacing w:after="0" w:line="240" w:lineRule="auto"/>
              <w:jc w:val="both"/>
              <w:rPr>
                <w:rFonts w:ascii="Cambria" w:eastAsia="Calibri" w:hAnsi="Cambria" w:cs="Calibri"/>
                <w:lang w:val="it-IT"/>
              </w:rPr>
            </w:pPr>
            <w:r w:rsidRPr="008345F3">
              <w:rPr>
                <w:rFonts w:ascii="Cambria" w:eastAsia="Calibri" w:hAnsi="Cambria" w:cs="Calibri"/>
                <w:lang w:val="it-IT"/>
              </w:rPr>
              <w:t xml:space="preserve">0% = </w:t>
            </w:r>
            <w:r w:rsidRPr="008345F3">
              <w:rPr>
                <w:rFonts w:ascii="Cambria" w:eastAsia="Calibri" w:hAnsi="Cambria" w:cs="Calibri"/>
                <w:lang w:val="pl-PL"/>
              </w:rPr>
              <w:t>Nije izrađen i proveden praktični rad</w:t>
            </w:r>
            <w:r w:rsidRPr="008345F3">
              <w:rPr>
                <w:rFonts w:ascii="Cambria" w:eastAsia="Calibri" w:hAnsi="Cambria" w:cs="Calibri"/>
                <w:lang w:val="it-IT"/>
              </w:rPr>
              <w:t>.</w:t>
            </w:r>
          </w:p>
          <w:p w14:paraId="7D9EC52C" w14:textId="77777777" w:rsidR="002A021D" w:rsidRPr="008345F3" w:rsidRDefault="002A021D" w:rsidP="000B2D2C">
            <w:pPr>
              <w:tabs>
                <w:tab w:val="left" w:pos="6990"/>
              </w:tabs>
              <w:spacing w:after="0" w:line="240" w:lineRule="auto"/>
              <w:jc w:val="both"/>
              <w:rPr>
                <w:rFonts w:ascii="Cambria" w:eastAsia="Calibri" w:hAnsi="Cambria" w:cs="Calibri"/>
                <w:lang w:val="it-IT"/>
              </w:rPr>
            </w:pPr>
            <w:r w:rsidRPr="008345F3">
              <w:rPr>
                <w:rFonts w:ascii="Cambria" w:eastAsia="Calibri" w:hAnsi="Cambria" w:cs="Calibri"/>
                <w:lang w:val="it-IT"/>
              </w:rPr>
              <w:t xml:space="preserve">2% = </w:t>
            </w:r>
            <w:proofErr w:type="spellStart"/>
            <w:r w:rsidRPr="008345F3">
              <w:rPr>
                <w:rFonts w:ascii="Cambria" w:eastAsia="Calibri" w:hAnsi="Cambria" w:cs="Calibri"/>
                <w:lang w:val="it-IT"/>
              </w:rPr>
              <w:t>Nije</w:t>
            </w:r>
            <w:proofErr w:type="spellEnd"/>
            <w:r w:rsidRPr="008345F3">
              <w:rPr>
                <w:rFonts w:ascii="Cambria" w:eastAsia="Calibri" w:hAnsi="Cambria" w:cs="Calibri"/>
                <w:lang w:val="it-IT"/>
              </w:rPr>
              <w:t xml:space="preserve"> </w:t>
            </w:r>
            <w:proofErr w:type="spellStart"/>
            <w:r w:rsidRPr="008345F3">
              <w:rPr>
                <w:rFonts w:ascii="Cambria" w:eastAsia="Calibri" w:hAnsi="Cambria" w:cs="Calibri"/>
                <w:lang w:val="it-IT"/>
              </w:rPr>
              <w:t>izrađen</w:t>
            </w:r>
            <w:proofErr w:type="spellEnd"/>
            <w:r w:rsidRPr="008345F3">
              <w:rPr>
                <w:rFonts w:ascii="Cambria" w:eastAsia="Calibri" w:hAnsi="Cambria" w:cs="Calibri"/>
                <w:lang w:val="it-IT"/>
              </w:rPr>
              <w:t xml:space="preserve"> </w:t>
            </w:r>
            <w:proofErr w:type="spellStart"/>
            <w:r w:rsidRPr="008345F3">
              <w:rPr>
                <w:rFonts w:ascii="Cambria" w:eastAsia="Calibri" w:hAnsi="Cambria" w:cs="Calibri"/>
                <w:lang w:val="it-IT"/>
              </w:rPr>
              <w:t>praktični</w:t>
            </w:r>
            <w:proofErr w:type="spellEnd"/>
            <w:r w:rsidRPr="008345F3">
              <w:rPr>
                <w:rFonts w:ascii="Cambria" w:eastAsia="Calibri" w:hAnsi="Cambria" w:cs="Calibri"/>
                <w:lang w:val="it-IT"/>
              </w:rPr>
              <w:t xml:space="preserve"> rad, ali je </w:t>
            </w:r>
            <w:proofErr w:type="spellStart"/>
            <w:r w:rsidRPr="008345F3">
              <w:rPr>
                <w:rFonts w:ascii="Cambria" w:eastAsia="Calibri" w:hAnsi="Cambria" w:cs="Calibri"/>
                <w:lang w:val="it-IT"/>
              </w:rPr>
              <w:t>proveden</w:t>
            </w:r>
            <w:proofErr w:type="spellEnd"/>
            <w:r w:rsidRPr="008345F3">
              <w:rPr>
                <w:rFonts w:ascii="Cambria" w:eastAsia="Calibri" w:hAnsi="Cambria" w:cs="Calibri"/>
                <w:lang w:val="it-IT"/>
              </w:rPr>
              <w:t xml:space="preserve"> </w:t>
            </w:r>
            <w:proofErr w:type="spellStart"/>
            <w:r w:rsidRPr="008345F3">
              <w:rPr>
                <w:rFonts w:ascii="Cambria" w:eastAsia="Calibri" w:hAnsi="Cambria" w:cs="Calibri"/>
                <w:lang w:val="it-IT"/>
              </w:rPr>
              <w:t>uz</w:t>
            </w:r>
            <w:proofErr w:type="spellEnd"/>
            <w:r w:rsidRPr="008345F3">
              <w:rPr>
                <w:rFonts w:ascii="Cambria" w:eastAsia="Calibri" w:hAnsi="Cambria" w:cs="Calibri"/>
                <w:lang w:val="it-IT"/>
              </w:rPr>
              <w:t xml:space="preserve"> </w:t>
            </w:r>
            <w:proofErr w:type="spellStart"/>
            <w:r w:rsidRPr="008345F3">
              <w:rPr>
                <w:rFonts w:ascii="Cambria" w:eastAsia="Calibri" w:hAnsi="Cambria" w:cs="Calibri"/>
                <w:lang w:val="it-IT"/>
              </w:rPr>
              <w:t>veće</w:t>
            </w:r>
            <w:proofErr w:type="spellEnd"/>
            <w:r w:rsidRPr="008345F3">
              <w:rPr>
                <w:rFonts w:ascii="Cambria" w:eastAsia="Calibri" w:hAnsi="Cambria" w:cs="Calibri"/>
                <w:lang w:val="it-IT"/>
              </w:rPr>
              <w:t xml:space="preserve"> </w:t>
            </w:r>
            <w:proofErr w:type="spellStart"/>
            <w:r w:rsidRPr="008345F3">
              <w:rPr>
                <w:rFonts w:ascii="Cambria" w:eastAsia="Calibri" w:hAnsi="Cambria" w:cs="Calibri"/>
                <w:lang w:val="it-IT"/>
              </w:rPr>
              <w:t>nedostatke</w:t>
            </w:r>
            <w:proofErr w:type="spellEnd"/>
            <w:r w:rsidRPr="008345F3">
              <w:rPr>
                <w:rFonts w:ascii="Cambria" w:eastAsia="Calibri" w:hAnsi="Cambria" w:cs="Calibri"/>
                <w:lang w:val="it-IT"/>
              </w:rPr>
              <w:t>.</w:t>
            </w:r>
          </w:p>
          <w:p w14:paraId="4EFF1CBF" w14:textId="77777777" w:rsidR="002A021D" w:rsidRPr="008345F3" w:rsidRDefault="002A021D" w:rsidP="000B2D2C">
            <w:pPr>
              <w:spacing w:after="0" w:line="240" w:lineRule="auto"/>
              <w:jc w:val="both"/>
              <w:rPr>
                <w:rFonts w:ascii="Cambria" w:eastAsia="Calibri" w:hAnsi="Cambria" w:cs="Calibri"/>
                <w:lang w:val="it-IT"/>
              </w:rPr>
            </w:pPr>
            <w:r w:rsidRPr="008345F3">
              <w:rPr>
                <w:rFonts w:ascii="Cambria" w:eastAsia="Calibri" w:hAnsi="Cambria" w:cs="Calibri"/>
                <w:lang w:val="it-IT"/>
              </w:rPr>
              <w:t xml:space="preserve">4% = </w:t>
            </w:r>
            <w:proofErr w:type="spellStart"/>
            <w:r w:rsidRPr="008345F3">
              <w:rPr>
                <w:rFonts w:ascii="Cambria" w:eastAsia="Calibri" w:hAnsi="Cambria" w:cs="Calibri"/>
                <w:lang w:val="it-IT"/>
              </w:rPr>
              <w:t>Praktični</w:t>
            </w:r>
            <w:proofErr w:type="spellEnd"/>
            <w:r w:rsidRPr="008345F3">
              <w:rPr>
                <w:rFonts w:ascii="Cambria" w:eastAsia="Calibri" w:hAnsi="Cambria" w:cs="Calibri"/>
                <w:lang w:val="it-IT"/>
              </w:rPr>
              <w:t xml:space="preserve"> je rad </w:t>
            </w:r>
            <w:proofErr w:type="spellStart"/>
            <w:r w:rsidRPr="008345F3">
              <w:rPr>
                <w:rFonts w:ascii="Cambria" w:eastAsia="Calibri" w:hAnsi="Cambria" w:cs="Calibri"/>
                <w:lang w:val="it-IT"/>
              </w:rPr>
              <w:t>izrađen</w:t>
            </w:r>
            <w:proofErr w:type="spellEnd"/>
            <w:r w:rsidRPr="008345F3">
              <w:rPr>
                <w:rFonts w:ascii="Cambria" w:eastAsia="Calibri" w:hAnsi="Cambria" w:cs="Calibri"/>
                <w:lang w:val="it-IT"/>
              </w:rPr>
              <w:t xml:space="preserve"> </w:t>
            </w:r>
            <w:proofErr w:type="spellStart"/>
            <w:r w:rsidRPr="008345F3">
              <w:rPr>
                <w:rFonts w:ascii="Cambria" w:eastAsia="Calibri" w:hAnsi="Cambria" w:cs="Calibri"/>
                <w:lang w:val="it-IT"/>
              </w:rPr>
              <w:t>uz</w:t>
            </w:r>
            <w:proofErr w:type="spellEnd"/>
            <w:r w:rsidRPr="008345F3">
              <w:rPr>
                <w:rFonts w:ascii="Cambria" w:eastAsia="Calibri" w:hAnsi="Cambria" w:cs="Calibri"/>
                <w:lang w:val="it-IT"/>
              </w:rPr>
              <w:t xml:space="preserve"> </w:t>
            </w:r>
            <w:proofErr w:type="spellStart"/>
            <w:r w:rsidRPr="008345F3">
              <w:rPr>
                <w:rFonts w:ascii="Cambria" w:eastAsia="Calibri" w:hAnsi="Cambria" w:cs="Calibri"/>
                <w:lang w:val="it-IT"/>
              </w:rPr>
              <w:t>veće</w:t>
            </w:r>
            <w:proofErr w:type="spellEnd"/>
            <w:r w:rsidRPr="008345F3">
              <w:rPr>
                <w:rFonts w:ascii="Cambria" w:eastAsia="Calibri" w:hAnsi="Cambria" w:cs="Calibri"/>
                <w:lang w:val="it-IT"/>
              </w:rPr>
              <w:t xml:space="preserve"> </w:t>
            </w:r>
            <w:proofErr w:type="spellStart"/>
            <w:r w:rsidRPr="008345F3">
              <w:rPr>
                <w:rFonts w:ascii="Cambria" w:eastAsia="Calibri" w:hAnsi="Cambria" w:cs="Calibri"/>
                <w:lang w:val="it-IT"/>
              </w:rPr>
              <w:t>nedostatke</w:t>
            </w:r>
            <w:proofErr w:type="spellEnd"/>
            <w:r w:rsidRPr="008345F3">
              <w:rPr>
                <w:rFonts w:ascii="Cambria" w:eastAsia="Calibri" w:hAnsi="Cambria" w:cs="Calibri"/>
                <w:lang w:val="it-IT"/>
              </w:rPr>
              <w:t xml:space="preserve"> i </w:t>
            </w:r>
            <w:proofErr w:type="spellStart"/>
            <w:r w:rsidRPr="008345F3">
              <w:rPr>
                <w:rFonts w:ascii="Cambria" w:eastAsia="Calibri" w:hAnsi="Cambria" w:cs="Calibri"/>
                <w:lang w:val="it-IT"/>
              </w:rPr>
              <w:t>proveden</w:t>
            </w:r>
            <w:proofErr w:type="spellEnd"/>
            <w:r w:rsidRPr="008345F3">
              <w:rPr>
                <w:rFonts w:ascii="Cambria" w:eastAsia="Calibri" w:hAnsi="Cambria" w:cs="Calibri"/>
                <w:lang w:val="it-IT"/>
              </w:rPr>
              <w:t xml:space="preserve"> </w:t>
            </w:r>
            <w:proofErr w:type="spellStart"/>
            <w:r w:rsidRPr="008345F3">
              <w:rPr>
                <w:rFonts w:ascii="Cambria" w:eastAsia="Calibri" w:hAnsi="Cambria" w:cs="Calibri"/>
                <w:lang w:val="it-IT"/>
              </w:rPr>
              <w:t>uz</w:t>
            </w:r>
            <w:proofErr w:type="spellEnd"/>
            <w:r w:rsidRPr="008345F3">
              <w:rPr>
                <w:rFonts w:ascii="Cambria" w:eastAsia="Calibri" w:hAnsi="Cambria" w:cs="Calibri"/>
                <w:lang w:val="it-IT"/>
              </w:rPr>
              <w:t xml:space="preserve"> </w:t>
            </w:r>
            <w:proofErr w:type="spellStart"/>
            <w:r w:rsidRPr="008345F3">
              <w:rPr>
                <w:rFonts w:ascii="Cambria" w:eastAsia="Calibri" w:hAnsi="Cambria" w:cs="Calibri"/>
                <w:lang w:val="it-IT"/>
              </w:rPr>
              <w:t>veće</w:t>
            </w:r>
            <w:proofErr w:type="spellEnd"/>
            <w:r w:rsidRPr="008345F3">
              <w:rPr>
                <w:rFonts w:ascii="Cambria" w:eastAsia="Calibri" w:hAnsi="Cambria" w:cs="Calibri"/>
                <w:lang w:val="it-IT"/>
              </w:rPr>
              <w:t xml:space="preserve"> </w:t>
            </w:r>
            <w:proofErr w:type="spellStart"/>
            <w:r w:rsidRPr="008345F3">
              <w:rPr>
                <w:rFonts w:ascii="Cambria" w:eastAsia="Calibri" w:hAnsi="Cambria" w:cs="Calibri"/>
                <w:lang w:val="it-IT"/>
              </w:rPr>
              <w:t>nedostatke</w:t>
            </w:r>
            <w:proofErr w:type="spellEnd"/>
            <w:r w:rsidRPr="008345F3">
              <w:rPr>
                <w:rFonts w:ascii="Cambria" w:eastAsia="Calibri" w:hAnsi="Cambria" w:cs="Calibri"/>
                <w:lang w:val="it-IT"/>
              </w:rPr>
              <w:t>.</w:t>
            </w:r>
          </w:p>
          <w:p w14:paraId="2BFEBDA7" w14:textId="77777777" w:rsidR="002A021D" w:rsidRPr="008345F3" w:rsidRDefault="002A021D" w:rsidP="000B2D2C">
            <w:pPr>
              <w:spacing w:after="0" w:line="240" w:lineRule="auto"/>
              <w:jc w:val="both"/>
              <w:rPr>
                <w:rFonts w:ascii="Cambria" w:eastAsia="Calibri" w:hAnsi="Cambria" w:cs="Calibri"/>
                <w:lang w:val="it-IT"/>
              </w:rPr>
            </w:pPr>
            <w:r w:rsidRPr="008345F3">
              <w:rPr>
                <w:rFonts w:ascii="Cambria" w:eastAsia="Calibri" w:hAnsi="Cambria" w:cs="Calibri"/>
                <w:lang w:val="it-IT"/>
              </w:rPr>
              <w:t xml:space="preserve">6% = </w:t>
            </w:r>
            <w:proofErr w:type="spellStart"/>
            <w:r w:rsidRPr="008345F3">
              <w:rPr>
                <w:rFonts w:ascii="Cambria" w:eastAsia="Calibri" w:hAnsi="Cambria" w:cs="Calibri"/>
                <w:lang w:val="it-IT"/>
              </w:rPr>
              <w:t>Praktični</w:t>
            </w:r>
            <w:proofErr w:type="spellEnd"/>
            <w:r w:rsidRPr="008345F3">
              <w:rPr>
                <w:rFonts w:ascii="Cambria" w:eastAsia="Calibri" w:hAnsi="Cambria" w:cs="Calibri"/>
                <w:lang w:val="it-IT"/>
              </w:rPr>
              <w:t xml:space="preserve"> je rad </w:t>
            </w:r>
            <w:proofErr w:type="spellStart"/>
            <w:r w:rsidRPr="008345F3">
              <w:rPr>
                <w:rFonts w:ascii="Cambria" w:eastAsia="Calibri" w:hAnsi="Cambria" w:cs="Calibri"/>
                <w:lang w:val="it-IT"/>
              </w:rPr>
              <w:t>izrađen</w:t>
            </w:r>
            <w:proofErr w:type="spellEnd"/>
            <w:r w:rsidRPr="008345F3">
              <w:rPr>
                <w:rFonts w:ascii="Cambria" w:eastAsia="Calibri" w:hAnsi="Cambria" w:cs="Calibri"/>
                <w:lang w:val="it-IT"/>
              </w:rPr>
              <w:t xml:space="preserve"> </w:t>
            </w:r>
            <w:proofErr w:type="spellStart"/>
            <w:r w:rsidRPr="008345F3">
              <w:rPr>
                <w:rFonts w:ascii="Cambria" w:eastAsia="Calibri" w:hAnsi="Cambria" w:cs="Calibri"/>
                <w:lang w:val="it-IT"/>
              </w:rPr>
              <w:t>uz</w:t>
            </w:r>
            <w:proofErr w:type="spellEnd"/>
            <w:r w:rsidRPr="008345F3">
              <w:rPr>
                <w:rFonts w:ascii="Cambria" w:eastAsia="Calibri" w:hAnsi="Cambria" w:cs="Calibri"/>
                <w:lang w:val="it-IT"/>
              </w:rPr>
              <w:t xml:space="preserve"> </w:t>
            </w:r>
            <w:proofErr w:type="spellStart"/>
            <w:r w:rsidRPr="008345F3">
              <w:rPr>
                <w:rFonts w:ascii="Cambria" w:eastAsia="Calibri" w:hAnsi="Cambria" w:cs="Calibri"/>
                <w:lang w:val="it-IT"/>
              </w:rPr>
              <w:t>veće</w:t>
            </w:r>
            <w:proofErr w:type="spellEnd"/>
            <w:r w:rsidRPr="008345F3">
              <w:rPr>
                <w:rFonts w:ascii="Cambria" w:eastAsia="Calibri" w:hAnsi="Cambria" w:cs="Calibri"/>
                <w:lang w:val="it-IT"/>
              </w:rPr>
              <w:t xml:space="preserve"> </w:t>
            </w:r>
            <w:proofErr w:type="spellStart"/>
            <w:r w:rsidRPr="008345F3">
              <w:rPr>
                <w:rFonts w:ascii="Cambria" w:eastAsia="Calibri" w:hAnsi="Cambria" w:cs="Calibri"/>
                <w:lang w:val="it-IT"/>
              </w:rPr>
              <w:t>nedostatke</w:t>
            </w:r>
            <w:proofErr w:type="spellEnd"/>
            <w:r w:rsidRPr="008345F3">
              <w:rPr>
                <w:rFonts w:ascii="Cambria" w:eastAsia="Calibri" w:hAnsi="Cambria" w:cs="Calibri"/>
                <w:lang w:val="it-IT"/>
              </w:rPr>
              <w:t xml:space="preserve"> i </w:t>
            </w:r>
            <w:proofErr w:type="spellStart"/>
            <w:r w:rsidRPr="008345F3">
              <w:rPr>
                <w:rFonts w:ascii="Cambria" w:eastAsia="Calibri" w:hAnsi="Cambria" w:cs="Calibri"/>
                <w:lang w:val="it-IT"/>
              </w:rPr>
              <w:t>proveden</w:t>
            </w:r>
            <w:proofErr w:type="spellEnd"/>
            <w:r w:rsidRPr="008345F3">
              <w:rPr>
                <w:rFonts w:ascii="Cambria" w:eastAsia="Calibri" w:hAnsi="Cambria" w:cs="Calibri"/>
                <w:lang w:val="it-IT"/>
              </w:rPr>
              <w:t xml:space="preserve"> </w:t>
            </w:r>
            <w:proofErr w:type="spellStart"/>
            <w:r w:rsidRPr="008345F3">
              <w:rPr>
                <w:rFonts w:ascii="Cambria" w:eastAsia="Calibri" w:hAnsi="Cambria" w:cs="Calibri"/>
                <w:lang w:val="it-IT"/>
              </w:rPr>
              <w:t>uz</w:t>
            </w:r>
            <w:proofErr w:type="spellEnd"/>
            <w:r w:rsidRPr="008345F3">
              <w:rPr>
                <w:rFonts w:ascii="Cambria" w:eastAsia="Calibri" w:hAnsi="Cambria" w:cs="Calibri"/>
                <w:lang w:val="it-IT"/>
              </w:rPr>
              <w:t xml:space="preserve"> </w:t>
            </w:r>
            <w:proofErr w:type="spellStart"/>
            <w:r w:rsidRPr="008345F3">
              <w:rPr>
                <w:rFonts w:ascii="Cambria" w:eastAsia="Calibri" w:hAnsi="Cambria" w:cs="Calibri"/>
                <w:lang w:val="it-IT"/>
              </w:rPr>
              <w:t>manje</w:t>
            </w:r>
            <w:proofErr w:type="spellEnd"/>
            <w:r w:rsidRPr="008345F3">
              <w:rPr>
                <w:rFonts w:ascii="Cambria" w:eastAsia="Calibri" w:hAnsi="Cambria" w:cs="Calibri"/>
                <w:lang w:val="it-IT"/>
              </w:rPr>
              <w:t xml:space="preserve"> </w:t>
            </w:r>
            <w:proofErr w:type="spellStart"/>
            <w:r w:rsidRPr="008345F3">
              <w:rPr>
                <w:rFonts w:ascii="Cambria" w:eastAsia="Calibri" w:hAnsi="Cambria" w:cs="Calibri"/>
                <w:lang w:val="it-IT"/>
              </w:rPr>
              <w:t>nedostatke</w:t>
            </w:r>
            <w:proofErr w:type="spellEnd"/>
            <w:r w:rsidRPr="008345F3">
              <w:rPr>
                <w:rFonts w:ascii="Cambria" w:eastAsia="Calibri" w:hAnsi="Cambria" w:cs="Calibri"/>
                <w:lang w:val="it-IT"/>
              </w:rPr>
              <w:t>.</w:t>
            </w:r>
          </w:p>
          <w:p w14:paraId="66BE8994" w14:textId="77777777" w:rsidR="002A021D" w:rsidRPr="008345F3" w:rsidRDefault="002A021D" w:rsidP="000B2D2C">
            <w:pPr>
              <w:spacing w:after="0" w:line="240" w:lineRule="auto"/>
              <w:jc w:val="both"/>
              <w:rPr>
                <w:rFonts w:ascii="Cambria" w:eastAsia="Calibri" w:hAnsi="Cambria" w:cs="Calibri"/>
                <w:lang w:val="it-IT"/>
              </w:rPr>
            </w:pPr>
            <w:r w:rsidRPr="008345F3">
              <w:rPr>
                <w:rFonts w:ascii="Cambria" w:eastAsia="Calibri" w:hAnsi="Cambria" w:cs="Calibri"/>
                <w:lang w:val="it-IT"/>
              </w:rPr>
              <w:t xml:space="preserve">8% = </w:t>
            </w:r>
            <w:proofErr w:type="spellStart"/>
            <w:r w:rsidRPr="008345F3">
              <w:rPr>
                <w:rFonts w:ascii="Cambria" w:eastAsia="Calibri" w:hAnsi="Cambria" w:cs="Calibri"/>
                <w:lang w:val="it-IT"/>
              </w:rPr>
              <w:t>Praktični</w:t>
            </w:r>
            <w:proofErr w:type="spellEnd"/>
            <w:r w:rsidRPr="008345F3">
              <w:rPr>
                <w:rFonts w:ascii="Cambria" w:eastAsia="Calibri" w:hAnsi="Cambria" w:cs="Calibri"/>
                <w:lang w:val="it-IT"/>
              </w:rPr>
              <w:t xml:space="preserve"> je rad </w:t>
            </w:r>
            <w:proofErr w:type="spellStart"/>
            <w:r w:rsidRPr="008345F3">
              <w:rPr>
                <w:rFonts w:ascii="Cambria" w:eastAsia="Calibri" w:hAnsi="Cambria" w:cs="Calibri"/>
                <w:lang w:val="it-IT"/>
              </w:rPr>
              <w:t>izrađen</w:t>
            </w:r>
            <w:proofErr w:type="spellEnd"/>
            <w:r w:rsidRPr="008345F3">
              <w:rPr>
                <w:rFonts w:ascii="Cambria" w:eastAsia="Calibri" w:hAnsi="Cambria" w:cs="Calibri"/>
                <w:lang w:val="it-IT"/>
              </w:rPr>
              <w:t xml:space="preserve"> i </w:t>
            </w:r>
            <w:proofErr w:type="spellStart"/>
            <w:r w:rsidRPr="008345F3">
              <w:rPr>
                <w:rFonts w:ascii="Cambria" w:eastAsia="Calibri" w:hAnsi="Cambria" w:cs="Calibri"/>
                <w:lang w:val="it-IT"/>
              </w:rPr>
              <w:t>proveden</w:t>
            </w:r>
            <w:proofErr w:type="spellEnd"/>
            <w:r w:rsidRPr="008345F3">
              <w:rPr>
                <w:rFonts w:ascii="Cambria" w:eastAsia="Calibri" w:hAnsi="Cambria" w:cs="Calibri"/>
                <w:lang w:val="it-IT"/>
              </w:rPr>
              <w:t xml:space="preserve"> </w:t>
            </w:r>
            <w:proofErr w:type="spellStart"/>
            <w:r w:rsidRPr="008345F3">
              <w:rPr>
                <w:rFonts w:ascii="Cambria" w:eastAsia="Calibri" w:hAnsi="Cambria" w:cs="Calibri"/>
                <w:lang w:val="it-IT"/>
              </w:rPr>
              <w:t>uz</w:t>
            </w:r>
            <w:proofErr w:type="spellEnd"/>
            <w:r w:rsidRPr="008345F3">
              <w:rPr>
                <w:rFonts w:ascii="Cambria" w:eastAsia="Calibri" w:hAnsi="Cambria" w:cs="Calibri"/>
                <w:lang w:val="it-IT"/>
              </w:rPr>
              <w:t xml:space="preserve"> </w:t>
            </w:r>
            <w:proofErr w:type="spellStart"/>
            <w:r w:rsidRPr="008345F3">
              <w:rPr>
                <w:rFonts w:ascii="Cambria" w:eastAsia="Calibri" w:hAnsi="Cambria" w:cs="Calibri"/>
                <w:lang w:val="it-IT"/>
              </w:rPr>
              <w:t>manje</w:t>
            </w:r>
            <w:proofErr w:type="spellEnd"/>
            <w:r w:rsidRPr="008345F3">
              <w:rPr>
                <w:rFonts w:ascii="Cambria" w:eastAsia="Calibri" w:hAnsi="Cambria" w:cs="Calibri"/>
                <w:lang w:val="it-IT"/>
              </w:rPr>
              <w:t xml:space="preserve"> </w:t>
            </w:r>
            <w:proofErr w:type="spellStart"/>
            <w:r w:rsidRPr="008345F3">
              <w:rPr>
                <w:rFonts w:ascii="Cambria" w:eastAsia="Calibri" w:hAnsi="Cambria" w:cs="Calibri"/>
                <w:lang w:val="it-IT"/>
              </w:rPr>
              <w:t>nedostatke</w:t>
            </w:r>
            <w:proofErr w:type="spellEnd"/>
            <w:r w:rsidRPr="008345F3">
              <w:rPr>
                <w:rFonts w:ascii="Cambria" w:eastAsia="Calibri" w:hAnsi="Cambria" w:cs="Calibri"/>
                <w:lang w:val="it-IT"/>
              </w:rPr>
              <w:t>.</w:t>
            </w:r>
          </w:p>
          <w:p w14:paraId="36B0F1C5" w14:textId="77777777" w:rsidR="002A021D" w:rsidRPr="008345F3" w:rsidRDefault="002A021D" w:rsidP="000B2D2C">
            <w:pPr>
              <w:spacing w:after="0" w:line="240" w:lineRule="auto"/>
              <w:jc w:val="both"/>
              <w:rPr>
                <w:rFonts w:ascii="Cambria" w:eastAsia="Calibri" w:hAnsi="Cambria" w:cs="Calibri"/>
                <w:lang w:val="pl-PL"/>
              </w:rPr>
            </w:pPr>
            <w:r w:rsidRPr="008345F3">
              <w:rPr>
                <w:rFonts w:ascii="Cambria" w:eastAsia="Calibri" w:hAnsi="Cambria" w:cs="Calibri"/>
                <w:lang w:val="pl-PL"/>
              </w:rPr>
              <w:t>10% = Vrlo kvalitetno izrađen i proveden praktični rad.</w:t>
            </w:r>
          </w:p>
          <w:p w14:paraId="3D37E7D6" w14:textId="77777777" w:rsidR="002A021D" w:rsidRPr="008345F3" w:rsidRDefault="002A021D" w:rsidP="000B2D2C">
            <w:pPr>
              <w:spacing w:after="0"/>
              <w:jc w:val="both"/>
              <w:rPr>
                <w:rFonts w:ascii="Cambria" w:eastAsia="Calibri" w:hAnsi="Cambria" w:cs="Calibri"/>
                <w:lang w:eastAsia="hr-HR"/>
              </w:rPr>
            </w:pPr>
            <w:r w:rsidRPr="008345F3">
              <w:rPr>
                <w:rFonts w:ascii="Cambria" w:eastAsia="Calibri" w:hAnsi="Cambria" w:cs="Calibri"/>
                <w:bCs/>
                <w:lang w:val="pl-PL" w:eastAsia="hr-HR"/>
              </w:rPr>
              <w:t>Usmeni ispit</w:t>
            </w:r>
            <w:r w:rsidRPr="008345F3">
              <w:rPr>
                <w:rFonts w:ascii="Cambria" w:eastAsia="Calibri" w:hAnsi="Cambria" w:cs="Calibri"/>
                <w:lang w:val="pl-PL" w:eastAsia="hr-HR"/>
              </w:rPr>
              <w:t xml:space="preserve"> je svojevrsna rekapitulacija svega naučenog tijekom semestra i odražava opću pripremljenost i spremnost za primjenu naučenih sadržaja kolegija. </w:t>
            </w:r>
            <w:proofErr w:type="spellStart"/>
            <w:r w:rsidRPr="008345F3">
              <w:rPr>
                <w:rFonts w:ascii="Cambria" w:eastAsia="Calibri" w:hAnsi="Cambria" w:cs="Calibri"/>
                <w:lang w:eastAsia="hr-HR"/>
              </w:rPr>
              <w:t>Usmeni</w:t>
            </w:r>
            <w:proofErr w:type="spellEnd"/>
            <w:r w:rsidRPr="008345F3">
              <w:rPr>
                <w:rFonts w:ascii="Cambria" w:eastAsia="Calibri" w:hAnsi="Cambria" w:cs="Calibri"/>
                <w:lang w:eastAsia="hr-HR"/>
              </w:rPr>
              <w:t xml:space="preserve"> </w:t>
            </w:r>
            <w:proofErr w:type="spellStart"/>
            <w:r w:rsidRPr="008345F3">
              <w:rPr>
                <w:rFonts w:ascii="Cambria" w:eastAsia="Calibri" w:hAnsi="Cambria" w:cs="Calibri"/>
                <w:lang w:eastAsia="hr-HR"/>
              </w:rPr>
              <w:t>ispit</w:t>
            </w:r>
            <w:proofErr w:type="spellEnd"/>
            <w:r w:rsidRPr="008345F3">
              <w:rPr>
                <w:rFonts w:ascii="Cambria" w:eastAsia="Calibri" w:hAnsi="Cambria" w:cs="Calibri"/>
                <w:lang w:eastAsia="hr-HR"/>
              </w:rPr>
              <w:t xml:space="preserve"> </w:t>
            </w:r>
            <w:proofErr w:type="spellStart"/>
            <w:r w:rsidRPr="008345F3">
              <w:rPr>
                <w:rFonts w:ascii="Cambria" w:eastAsia="Calibri" w:hAnsi="Cambria" w:cs="Calibri"/>
                <w:lang w:eastAsia="hr-HR"/>
              </w:rPr>
              <w:t>sastoji</w:t>
            </w:r>
            <w:proofErr w:type="spellEnd"/>
            <w:r w:rsidRPr="008345F3">
              <w:rPr>
                <w:rFonts w:ascii="Cambria" w:eastAsia="Calibri" w:hAnsi="Cambria" w:cs="Calibri"/>
                <w:lang w:eastAsia="hr-HR"/>
              </w:rPr>
              <w:t xml:space="preserve"> se od tri </w:t>
            </w:r>
            <w:proofErr w:type="spellStart"/>
            <w:r w:rsidRPr="008345F3">
              <w:rPr>
                <w:rFonts w:ascii="Cambria" w:eastAsia="Calibri" w:hAnsi="Cambria" w:cs="Calibri"/>
                <w:lang w:eastAsia="hr-HR"/>
              </w:rPr>
              <w:t>pitanja</w:t>
            </w:r>
            <w:proofErr w:type="spellEnd"/>
            <w:r w:rsidRPr="008345F3">
              <w:rPr>
                <w:rFonts w:ascii="Cambria" w:eastAsia="Calibri" w:hAnsi="Cambria" w:cs="Calibri"/>
                <w:lang w:eastAsia="hr-HR"/>
              </w:rPr>
              <w:t xml:space="preserve">. </w:t>
            </w:r>
          </w:p>
        </w:tc>
      </w:tr>
      <w:tr w:rsidR="002A021D" w:rsidRPr="00D0399C" w14:paraId="1ABE75A1" w14:textId="77777777" w:rsidTr="002A021D">
        <w:tc>
          <w:tcPr>
            <w:tcW w:w="280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316B733" w14:textId="77777777" w:rsidR="002A021D" w:rsidRPr="008345F3" w:rsidRDefault="002A021D" w:rsidP="000B2D2C">
            <w:pPr>
              <w:spacing w:after="0"/>
              <w:jc w:val="both"/>
              <w:rPr>
                <w:rFonts w:ascii="Cambria" w:eastAsia="Calibri" w:hAnsi="Cambria" w:cs="Calibri"/>
              </w:rPr>
            </w:pPr>
            <w:proofErr w:type="spellStart"/>
            <w:r w:rsidRPr="008345F3">
              <w:rPr>
                <w:rFonts w:ascii="Cambria" w:eastAsia="Calibri" w:hAnsi="Cambria" w:cs="Calibri"/>
              </w:rPr>
              <w:t>Studentske</w:t>
            </w:r>
            <w:proofErr w:type="spellEnd"/>
            <w:r w:rsidRPr="008345F3">
              <w:rPr>
                <w:rFonts w:ascii="Cambria" w:eastAsia="Calibri" w:hAnsi="Cambria" w:cs="Calibri"/>
              </w:rPr>
              <w:t xml:space="preserve"> </w:t>
            </w:r>
            <w:proofErr w:type="spellStart"/>
            <w:r w:rsidRPr="008345F3">
              <w:rPr>
                <w:rFonts w:ascii="Cambria" w:eastAsia="Calibri" w:hAnsi="Cambria" w:cs="Calibri"/>
              </w:rPr>
              <w:t>obveze</w:t>
            </w:r>
            <w:proofErr w:type="spellEnd"/>
          </w:p>
        </w:tc>
        <w:tc>
          <w:tcPr>
            <w:tcW w:w="721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97EFD44" w14:textId="77777777" w:rsidR="002A021D" w:rsidRPr="008345F3" w:rsidRDefault="002A021D" w:rsidP="000B2D2C">
            <w:pPr>
              <w:spacing w:after="0"/>
              <w:jc w:val="both"/>
              <w:rPr>
                <w:rFonts w:ascii="Cambria" w:eastAsia="Calibri" w:hAnsi="Cambria" w:cs="Calibri"/>
                <w:lang w:val="it-IT"/>
              </w:rPr>
            </w:pPr>
            <w:r w:rsidRPr="008345F3">
              <w:rPr>
                <w:rFonts w:ascii="Cambria" w:eastAsia="Calibri" w:hAnsi="Cambria" w:cs="Calibri"/>
                <w:lang w:val="it-IT"/>
              </w:rPr>
              <w:t xml:space="preserve">Da </w:t>
            </w:r>
            <w:proofErr w:type="spellStart"/>
            <w:r w:rsidRPr="008345F3">
              <w:rPr>
                <w:rFonts w:ascii="Cambria" w:eastAsia="Calibri" w:hAnsi="Cambria" w:cs="Calibri"/>
                <w:lang w:val="it-IT"/>
              </w:rPr>
              <w:t>položi</w:t>
            </w:r>
            <w:proofErr w:type="spellEnd"/>
            <w:r w:rsidRPr="008345F3">
              <w:rPr>
                <w:rFonts w:ascii="Cambria" w:eastAsia="Calibri" w:hAnsi="Cambria" w:cs="Calibri"/>
                <w:lang w:val="it-IT"/>
              </w:rPr>
              <w:t xml:space="preserve"> </w:t>
            </w:r>
            <w:proofErr w:type="spellStart"/>
            <w:r w:rsidRPr="008345F3">
              <w:rPr>
                <w:rFonts w:ascii="Cambria" w:eastAsia="Calibri" w:hAnsi="Cambria" w:cs="Calibri"/>
                <w:lang w:val="it-IT"/>
              </w:rPr>
              <w:t>kolegij</w:t>
            </w:r>
            <w:proofErr w:type="spellEnd"/>
            <w:r w:rsidRPr="008345F3">
              <w:rPr>
                <w:rFonts w:ascii="Cambria" w:eastAsia="Calibri" w:hAnsi="Cambria" w:cs="Calibri"/>
                <w:lang w:val="it-IT"/>
              </w:rPr>
              <w:t xml:space="preserve">, </w:t>
            </w:r>
            <w:proofErr w:type="spellStart"/>
            <w:r w:rsidRPr="008345F3">
              <w:rPr>
                <w:rFonts w:ascii="Cambria" w:eastAsia="Calibri" w:hAnsi="Cambria" w:cs="Calibri"/>
                <w:lang w:val="it-IT"/>
              </w:rPr>
              <w:t>student</w:t>
            </w:r>
            <w:proofErr w:type="spellEnd"/>
            <w:r w:rsidRPr="008345F3">
              <w:rPr>
                <w:rFonts w:ascii="Cambria" w:eastAsia="Calibri" w:hAnsi="Cambria" w:cs="Calibri"/>
                <w:lang w:val="it-IT"/>
              </w:rPr>
              <w:t xml:space="preserve"> mora: </w:t>
            </w:r>
          </w:p>
          <w:p w14:paraId="07C6D619" w14:textId="77777777" w:rsidR="002A021D" w:rsidRPr="00620774" w:rsidRDefault="002A021D" w:rsidP="000B2D2C">
            <w:pPr>
              <w:spacing w:after="0"/>
              <w:jc w:val="both"/>
              <w:rPr>
                <w:rFonts w:ascii="Cambria" w:eastAsia="Calibri" w:hAnsi="Cambria" w:cs="Calibri"/>
                <w:lang w:val="it-IT"/>
              </w:rPr>
            </w:pPr>
            <w:r w:rsidRPr="008345F3">
              <w:rPr>
                <w:rFonts w:ascii="Cambria" w:eastAsia="Calibri" w:hAnsi="Cambria" w:cs="Calibri"/>
                <w:lang w:val="it-IT"/>
              </w:rPr>
              <w:t xml:space="preserve">1. </w:t>
            </w:r>
            <w:proofErr w:type="spellStart"/>
            <w:r w:rsidRPr="008345F3">
              <w:rPr>
                <w:rFonts w:ascii="Cambria" w:eastAsia="Calibri" w:hAnsi="Cambria" w:cs="Calibri"/>
                <w:lang w:val="it-IT"/>
              </w:rPr>
              <w:t>po</w:t>
            </w:r>
            <w:proofErr w:type="spellEnd"/>
            <w:r w:rsidRPr="008345F3">
              <w:rPr>
                <w:rFonts w:ascii="Cambria" w:eastAsia="Calibri" w:hAnsi="Cambria" w:cs="Calibri"/>
                <w:lang w:val="vi-VN"/>
              </w:rPr>
              <w:t>hađa</w:t>
            </w:r>
            <w:r w:rsidRPr="008345F3">
              <w:rPr>
                <w:rFonts w:ascii="Cambria" w:eastAsia="Calibri" w:hAnsi="Cambria" w:cs="Calibri"/>
                <w:lang w:val="it-IT"/>
              </w:rPr>
              <w:t xml:space="preserve">ti </w:t>
            </w:r>
            <w:proofErr w:type="spellStart"/>
            <w:r w:rsidRPr="008345F3">
              <w:rPr>
                <w:rFonts w:ascii="Cambria" w:eastAsia="Calibri" w:hAnsi="Cambria" w:cs="Calibri"/>
                <w:lang w:val="it-IT"/>
              </w:rPr>
              <w:t>više</w:t>
            </w:r>
            <w:proofErr w:type="spellEnd"/>
            <w:r w:rsidRPr="008345F3">
              <w:rPr>
                <w:rFonts w:ascii="Cambria" w:eastAsia="Calibri" w:hAnsi="Cambria" w:cs="Calibri"/>
                <w:lang w:val="it-IT"/>
              </w:rPr>
              <w:t xml:space="preserve"> </w:t>
            </w:r>
            <w:proofErr w:type="gramStart"/>
            <w:r w:rsidRPr="008345F3">
              <w:rPr>
                <w:rFonts w:ascii="Cambria" w:eastAsia="Calibri" w:hAnsi="Cambria" w:cs="Calibri"/>
                <w:lang w:val="it-IT"/>
              </w:rPr>
              <w:t>od</w:t>
            </w:r>
            <w:proofErr w:type="gramEnd"/>
            <w:r w:rsidRPr="008345F3">
              <w:rPr>
                <w:rFonts w:ascii="Cambria" w:eastAsia="Calibri" w:hAnsi="Cambria" w:cs="Calibri"/>
                <w:lang w:val="it-IT"/>
              </w:rPr>
              <w:t xml:space="preserve"> 70 % </w:t>
            </w:r>
            <w:proofErr w:type="spellStart"/>
            <w:r w:rsidRPr="008345F3">
              <w:rPr>
                <w:rFonts w:ascii="Cambria" w:eastAsia="Calibri" w:hAnsi="Cambria" w:cs="Calibri"/>
                <w:lang w:val="it-IT"/>
              </w:rPr>
              <w:t>nastave</w:t>
            </w:r>
            <w:proofErr w:type="spellEnd"/>
            <w:r>
              <w:rPr>
                <w:rFonts w:ascii="Cambria" w:eastAsia="Calibri" w:hAnsi="Cambria" w:cs="Calibri"/>
                <w:lang w:val="it-IT"/>
              </w:rPr>
              <w:t xml:space="preserve"> (a</w:t>
            </w:r>
            <w:r w:rsidRPr="008345F3">
              <w:rPr>
                <w:rFonts w:ascii="Cambria" w:eastAsia="Calibri" w:hAnsi="Cambria" w:cs="Calibri"/>
                <w:lang w:val="vi-VN"/>
              </w:rPr>
              <w:t xml:space="preserve">ko student izostane </w:t>
            </w:r>
            <w:proofErr w:type="gramStart"/>
            <w:r w:rsidRPr="008345F3">
              <w:rPr>
                <w:rFonts w:ascii="Cambria" w:eastAsia="Calibri" w:hAnsi="Cambria" w:cs="Calibri"/>
                <w:lang w:val="it-IT"/>
              </w:rPr>
              <w:t>od</w:t>
            </w:r>
            <w:proofErr w:type="gramEnd"/>
            <w:r w:rsidRPr="008345F3">
              <w:rPr>
                <w:rFonts w:ascii="Cambria" w:eastAsia="Calibri" w:hAnsi="Cambria" w:cs="Calibri"/>
                <w:lang w:val="it-IT"/>
              </w:rPr>
              <w:t xml:space="preserve"> 30% do 50% </w:t>
            </w:r>
            <w:proofErr w:type="spellStart"/>
            <w:r w:rsidRPr="008345F3">
              <w:rPr>
                <w:rFonts w:ascii="Cambria" w:eastAsia="Calibri" w:hAnsi="Cambria" w:cs="Calibri"/>
                <w:lang w:val="it-IT"/>
              </w:rPr>
              <w:t>nastave</w:t>
            </w:r>
            <w:proofErr w:type="spellEnd"/>
            <w:r w:rsidRPr="008345F3">
              <w:rPr>
                <w:rFonts w:ascii="Cambria" w:eastAsia="Calibri" w:hAnsi="Cambria" w:cs="Calibri"/>
                <w:lang w:val="vi-VN"/>
              </w:rPr>
              <w:t xml:space="preserve">, trebat će izvršiti dodatne zadatke, odnosno ako izostane više </w:t>
            </w:r>
            <w:proofErr w:type="gramStart"/>
            <w:r w:rsidRPr="008345F3">
              <w:rPr>
                <w:rFonts w:ascii="Cambria" w:eastAsia="Calibri" w:hAnsi="Cambria" w:cs="Calibri"/>
                <w:lang w:val="it-IT"/>
              </w:rPr>
              <w:t>od</w:t>
            </w:r>
            <w:proofErr w:type="gramEnd"/>
            <w:r w:rsidRPr="008345F3">
              <w:rPr>
                <w:rFonts w:ascii="Cambria" w:eastAsia="Calibri" w:hAnsi="Cambria" w:cs="Calibri"/>
                <w:lang w:val="it-IT"/>
              </w:rPr>
              <w:t xml:space="preserve"> 50%</w:t>
            </w:r>
            <w:r w:rsidRPr="008345F3">
              <w:rPr>
                <w:rFonts w:ascii="Cambria" w:eastAsia="Calibri" w:hAnsi="Cambria" w:cs="Calibri"/>
                <w:lang w:val="vi-VN"/>
              </w:rPr>
              <w:t xml:space="preserve">, uskratit će mu se pravo na potpis, ispit i upis </w:t>
            </w:r>
            <w:proofErr w:type="spellStart"/>
            <w:r w:rsidRPr="008345F3">
              <w:rPr>
                <w:rFonts w:ascii="Cambria" w:eastAsia="Calibri" w:hAnsi="Cambria" w:cs="Calibri"/>
                <w:lang w:val="it-IT"/>
              </w:rPr>
              <w:t>bodova</w:t>
            </w:r>
            <w:proofErr w:type="spellEnd"/>
            <w:r>
              <w:rPr>
                <w:rFonts w:ascii="Cambria" w:eastAsia="Calibri" w:hAnsi="Cambria" w:cs="Calibri"/>
                <w:lang w:val="it-IT"/>
              </w:rPr>
              <w:t>)</w:t>
            </w:r>
          </w:p>
          <w:p w14:paraId="72103FFE" w14:textId="77777777" w:rsidR="002A021D" w:rsidRPr="008345F3" w:rsidRDefault="002A021D" w:rsidP="000B2D2C">
            <w:pPr>
              <w:spacing w:after="0"/>
              <w:jc w:val="both"/>
              <w:rPr>
                <w:rFonts w:ascii="Cambria" w:eastAsia="Calibri" w:hAnsi="Cambria" w:cs="Calibri"/>
                <w:lang w:val="it-IT"/>
              </w:rPr>
            </w:pPr>
            <w:r w:rsidRPr="008345F3">
              <w:rPr>
                <w:rFonts w:ascii="Cambria" w:eastAsia="Calibri" w:hAnsi="Cambria" w:cs="Calibri"/>
                <w:lang w:val="it-IT"/>
              </w:rPr>
              <w:t xml:space="preserve">2. </w:t>
            </w:r>
            <w:proofErr w:type="spellStart"/>
            <w:r w:rsidRPr="008345F3">
              <w:rPr>
                <w:rFonts w:ascii="Cambria" w:eastAsia="Calibri" w:hAnsi="Cambria" w:cs="Calibri"/>
                <w:lang w:val="it-IT"/>
              </w:rPr>
              <w:t>izraditi</w:t>
            </w:r>
            <w:proofErr w:type="spellEnd"/>
            <w:r w:rsidRPr="008345F3">
              <w:rPr>
                <w:rFonts w:ascii="Cambria" w:eastAsia="Calibri" w:hAnsi="Cambria" w:cs="Calibri"/>
                <w:lang w:val="it-IT"/>
              </w:rPr>
              <w:t xml:space="preserve"> </w:t>
            </w:r>
            <w:proofErr w:type="spellStart"/>
            <w:r w:rsidRPr="008345F3">
              <w:rPr>
                <w:rFonts w:ascii="Cambria" w:eastAsia="Calibri" w:hAnsi="Cambria" w:cs="Calibri"/>
                <w:lang w:val="it-IT"/>
              </w:rPr>
              <w:t>praktični</w:t>
            </w:r>
            <w:proofErr w:type="spellEnd"/>
            <w:r w:rsidRPr="008345F3">
              <w:rPr>
                <w:rFonts w:ascii="Cambria" w:eastAsia="Calibri" w:hAnsi="Cambria" w:cs="Calibri"/>
                <w:lang w:val="it-IT"/>
              </w:rPr>
              <w:t xml:space="preserve"> rad</w:t>
            </w:r>
          </w:p>
          <w:p w14:paraId="7473D4FA" w14:textId="77777777" w:rsidR="002A021D" w:rsidRPr="008345F3" w:rsidRDefault="002A021D" w:rsidP="000B2D2C">
            <w:pPr>
              <w:spacing w:after="0"/>
              <w:jc w:val="both"/>
              <w:rPr>
                <w:rFonts w:ascii="Cambria" w:eastAsia="Calibri" w:hAnsi="Cambria" w:cs="Calibri"/>
                <w:lang w:val="it-IT"/>
              </w:rPr>
            </w:pPr>
            <w:r w:rsidRPr="008345F3">
              <w:rPr>
                <w:rFonts w:ascii="Cambria" w:eastAsia="Calibri" w:hAnsi="Cambria" w:cs="Calibri"/>
                <w:lang w:val="de-DE"/>
              </w:rPr>
              <w:t xml:space="preserve">3. </w:t>
            </w:r>
            <w:proofErr w:type="spellStart"/>
            <w:r>
              <w:rPr>
                <w:rFonts w:ascii="Cambria" w:eastAsia="Calibri" w:hAnsi="Cambria" w:cs="Calibri"/>
                <w:lang w:val="it-IT"/>
              </w:rPr>
              <w:t>p</w:t>
            </w:r>
            <w:r w:rsidRPr="008345F3">
              <w:rPr>
                <w:rFonts w:ascii="Cambria" w:eastAsia="Calibri" w:hAnsi="Cambria" w:cs="Calibri"/>
                <w:lang w:val="it-IT"/>
              </w:rPr>
              <w:t>oložiti</w:t>
            </w:r>
            <w:proofErr w:type="spellEnd"/>
            <w:r w:rsidRPr="008345F3">
              <w:rPr>
                <w:rFonts w:ascii="Cambria" w:eastAsia="Calibri" w:hAnsi="Cambria" w:cs="Calibri"/>
                <w:lang w:val="it-IT"/>
              </w:rPr>
              <w:t xml:space="preserve"> </w:t>
            </w:r>
            <w:proofErr w:type="spellStart"/>
            <w:r w:rsidRPr="008345F3">
              <w:rPr>
                <w:rFonts w:ascii="Cambria" w:eastAsia="Calibri" w:hAnsi="Cambria" w:cs="Calibri"/>
                <w:lang w:val="it-IT"/>
              </w:rPr>
              <w:t>usmeni</w:t>
            </w:r>
            <w:proofErr w:type="spellEnd"/>
            <w:r w:rsidRPr="008345F3">
              <w:rPr>
                <w:rFonts w:ascii="Cambria" w:eastAsia="Calibri" w:hAnsi="Cambria" w:cs="Calibri"/>
                <w:lang w:val="it-IT"/>
              </w:rPr>
              <w:t xml:space="preserve"> </w:t>
            </w:r>
            <w:proofErr w:type="spellStart"/>
            <w:r w:rsidRPr="008345F3">
              <w:rPr>
                <w:rFonts w:ascii="Cambria" w:eastAsia="Calibri" w:hAnsi="Cambria" w:cs="Calibri"/>
                <w:lang w:val="it-IT"/>
              </w:rPr>
              <w:t>ispit</w:t>
            </w:r>
            <w:proofErr w:type="spellEnd"/>
          </w:p>
        </w:tc>
      </w:tr>
      <w:tr w:rsidR="002A021D" w:rsidRPr="00D0399C" w14:paraId="5AC42E02" w14:textId="77777777" w:rsidTr="002A021D">
        <w:tc>
          <w:tcPr>
            <w:tcW w:w="280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7B3703E" w14:textId="77777777" w:rsidR="002A021D" w:rsidRPr="008345F3" w:rsidRDefault="002A021D" w:rsidP="000B2D2C">
            <w:pPr>
              <w:spacing w:after="0"/>
              <w:jc w:val="both"/>
              <w:rPr>
                <w:rFonts w:ascii="Cambria" w:eastAsia="Calibri" w:hAnsi="Cambria" w:cs="Calibri"/>
              </w:rPr>
            </w:pPr>
            <w:proofErr w:type="spellStart"/>
            <w:r w:rsidRPr="008345F3">
              <w:rPr>
                <w:rFonts w:ascii="Cambria" w:eastAsia="Calibri" w:hAnsi="Cambria" w:cs="Calibri"/>
              </w:rPr>
              <w:t>Rokovi</w:t>
            </w:r>
            <w:proofErr w:type="spellEnd"/>
            <w:r w:rsidRPr="008345F3">
              <w:rPr>
                <w:rFonts w:ascii="Cambria" w:eastAsia="Calibri" w:hAnsi="Cambria" w:cs="Calibri"/>
              </w:rPr>
              <w:t xml:space="preserve"> </w:t>
            </w:r>
            <w:proofErr w:type="spellStart"/>
            <w:r w:rsidRPr="008345F3">
              <w:rPr>
                <w:rFonts w:ascii="Cambria" w:eastAsia="Calibri" w:hAnsi="Cambria" w:cs="Calibri"/>
              </w:rPr>
              <w:t>ispita</w:t>
            </w:r>
            <w:proofErr w:type="spellEnd"/>
            <w:r w:rsidRPr="008345F3">
              <w:rPr>
                <w:rFonts w:ascii="Cambria" w:eastAsia="Calibri" w:hAnsi="Cambria" w:cs="Calibri"/>
              </w:rPr>
              <w:t xml:space="preserve"> </w:t>
            </w:r>
            <w:proofErr w:type="spellStart"/>
            <w:r w:rsidRPr="008345F3">
              <w:rPr>
                <w:rFonts w:ascii="Cambria" w:eastAsia="Calibri" w:hAnsi="Cambria" w:cs="Calibri"/>
              </w:rPr>
              <w:t>i</w:t>
            </w:r>
            <w:proofErr w:type="spellEnd"/>
            <w:r w:rsidRPr="008345F3">
              <w:rPr>
                <w:rFonts w:ascii="Cambria" w:eastAsia="Calibri" w:hAnsi="Cambria" w:cs="Calibri"/>
              </w:rPr>
              <w:t xml:space="preserve"> </w:t>
            </w:r>
            <w:proofErr w:type="spellStart"/>
            <w:r w:rsidRPr="008345F3">
              <w:rPr>
                <w:rFonts w:ascii="Cambria" w:eastAsia="Calibri" w:hAnsi="Cambria" w:cs="Calibri"/>
              </w:rPr>
              <w:t>kolokvija</w:t>
            </w:r>
            <w:proofErr w:type="spellEnd"/>
          </w:p>
        </w:tc>
        <w:tc>
          <w:tcPr>
            <w:tcW w:w="721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9E5AA54" w14:textId="77777777" w:rsidR="002A021D" w:rsidRPr="008345F3" w:rsidRDefault="002A021D" w:rsidP="000B2D2C">
            <w:pPr>
              <w:spacing w:after="0"/>
              <w:jc w:val="both"/>
              <w:rPr>
                <w:rFonts w:ascii="Cambria" w:eastAsia="Calibri" w:hAnsi="Cambria" w:cs="Calibri"/>
                <w:lang w:val="it-IT"/>
              </w:rPr>
            </w:pPr>
            <w:proofErr w:type="spellStart"/>
            <w:r w:rsidRPr="008345F3">
              <w:rPr>
                <w:rFonts w:ascii="Cambria" w:eastAsia="Calibri" w:hAnsi="Cambria" w:cs="Calibri"/>
                <w:lang w:val="it-IT"/>
              </w:rPr>
              <w:t>Daju</w:t>
            </w:r>
            <w:proofErr w:type="spellEnd"/>
            <w:r w:rsidRPr="008345F3">
              <w:rPr>
                <w:rFonts w:ascii="Cambria" w:eastAsia="Calibri" w:hAnsi="Cambria" w:cs="Calibri"/>
                <w:lang w:val="it-IT"/>
              </w:rPr>
              <w:t xml:space="preserve"> se </w:t>
            </w:r>
            <w:proofErr w:type="spellStart"/>
            <w:r w:rsidRPr="008345F3">
              <w:rPr>
                <w:rFonts w:ascii="Cambria" w:eastAsia="Calibri" w:hAnsi="Cambria" w:cs="Calibri"/>
                <w:lang w:val="it-IT"/>
              </w:rPr>
              <w:t>na</w:t>
            </w:r>
            <w:proofErr w:type="spellEnd"/>
            <w:r w:rsidRPr="008345F3">
              <w:rPr>
                <w:rFonts w:ascii="Cambria" w:eastAsia="Calibri" w:hAnsi="Cambria" w:cs="Calibri"/>
                <w:lang w:val="it-IT"/>
              </w:rPr>
              <w:t xml:space="preserve"> </w:t>
            </w:r>
            <w:proofErr w:type="spellStart"/>
            <w:r w:rsidRPr="008345F3">
              <w:rPr>
                <w:rFonts w:ascii="Cambria" w:eastAsia="Calibri" w:hAnsi="Cambria" w:cs="Calibri"/>
                <w:lang w:val="it-IT"/>
              </w:rPr>
              <w:t>početku</w:t>
            </w:r>
            <w:proofErr w:type="spellEnd"/>
            <w:r w:rsidRPr="008345F3">
              <w:rPr>
                <w:rFonts w:ascii="Cambria" w:eastAsia="Calibri" w:hAnsi="Cambria" w:cs="Calibri"/>
                <w:lang w:val="it-IT"/>
              </w:rPr>
              <w:t xml:space="preserve"> </w:t>
            </w:r>
            <w:proofErr w:type="spellStart"/>
            <w:r w:rsidRPr="008345F3">
              <w:rPr>
                <w:rFonts w:ascii="Cambria" w:eastAsia="Calibri" w:hAnsi="Cambria" w:cs="Calibri"/>
                <w:lang w:val="it-IT"/>
              </w:rPr>
              <w:t>akademske</w:t>
            </w:r>
            <w:proofErr w:type="spellEnd"/>
            <w:r w:rsidRPr="008345F3">
              <w:rPr>
                <w:rFonts w:ascii="Cambria" w:eastAsia="Calibri" w:hAnsi="Cambria" w:cs="Calibri"/>
                <w:lang w:val="it-IT"/>
              </w:rPr>
              <w:t xml:space="preserve"> godine i </w:t>
            </w:r>
            <w:proofErr w:type="spellStart"/>
            <w:r w:rsidRPr="008345F3">
              <w:rPr>
                <w:rFonts w:ascii="Cambria" w:eastAsia="Calibri" w:hAnsi="Cambria" w:cs="Calibri"/>
                <w:lang w:val="it-IT"/>
              </w:rPr>
              <w:t>objavljuju</w:t>
            </w:r>
            <w:proofErr w:type="spellEnd"/>
            <w:r w:rsidRPr="008345F3">
              <w:rPr>
                <w:rFonts w:ascii="Cambria" w:eastAsia="Calibri" w:hAnsi="Cambria" w:cs="Calibri"/>
                <w:lang w:val="it-IT"/>
              </w:rPr>
              <w:t xml:space="preserve"> se u ISVU. </w:t>
            </w:r>
          </w:p>
        </w:tc>
      </w:tr>
      <w:tr w:rsidR="002A021D" w:rsidRPr="008345F3" w14:paraId="2B333C97" w14:textId="77777777" w:rsidTr="002A021D">
        <w:tc>
          <w:tcPr>
            <w:tcW w:w="280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325E63C" w14:textId="77777777" w:rsidR="002A021D" w:rsidRPr="008345F3" w:rsidRDefault="002A021D" w:rsidP="000B2D2C">
            <w:pPr>
              <w:spacing w:after="0"/>
              <w:jc w:val="both"/>
              <w:rPr>
                <w:rFonts w:ascii="Cambria" w:eastAsia="Calibri" w:hAnsi="Cambria" w:cs="Calibri"/>
                <w:lang w:val="it-IT"/>
              </w:rPr>
            </w:pPr>
            <w:r w:rsidRPr="008345F3">
              <w:rPr>
                <w:rFonts w:ascii="Cambria" w:eastAsia="Calibri" w:hAnsi="Cambria" w:cs="Calibri"/>
                <w:lang w:val="it-IT"/>
              </w:rPr>
              <w:t xml:space="preserve">Ostale </w:t>
            </w:r>
            <w:proofErr w:type="spellStart"/>
            <w:r w:rsidRPr="008345F3">
              <w:rPr>
                <w:rFonts w:ascii="Cambria" w:eastAsia="Calibri" w:hAnsi="Cambria" w:cs="Calibri"/>
                <w:lang w:val="it-IT"/>
              </w:rPr>
              <w:t>važne</w:t>
            </w:r>
            <w:proofErr w:type="spellEnd"/>
            <w:r w:rsidRPr="008345F3">
              <w:rPr>
                <w:rFonts w:ascii="Cambria" w:eastAsia="Calibri" w:hAnsi="Cambria" w:cs="Calibri"/>
                <w:lang w:val="it-IT"/>
              </w:rPr>
              <w:t xml:space="preserve"> </w:t>
            </w:r>
            <w:proofErr w:type="spellStart"/>
            <w:r w:rsidRPr="008345F3">
              <w:rPr>
                <w:rFonts w:ascii="Cambria" w:eastAsia="Calibri" w:hAnsi="Cambria" w:cs="Calibri"/>
                <w:lang w:val="it-IT"/>
              </w:rPr>
              <w:t>činjenice</w:t>
            </w:r>
            <w:proofErr w:type="spellEnd"/>
            <w:r w:rsidRPr="008345F3">
              <w:rPr>
                <w:rFonts w:ascii="Cambria" w:eastAsia="Calibri" w:hAnsi="Cambria" w:cs="Calibri"/>
                <w:lang w:val="it-IT"/>
              </w:rPr>
              <w:t xml:space="preserve"> </w:t>
            </w:r>
            <w:proofErr w:type="spellStart"/>
            <w:r w:rsidRPr="008345F3">
              <w:rPr>
                <w:rFonts w:ascii="Cambria" w:eastAsia="Calibri" w:hAnsi="Cambria" w:cs="Calibri"/>
                <w:lang w:val="it-IT"/>
              </w:rPr>
              <w:t>vezane</w:t>
            </w:r>
            <w:proofErr w:type="spellEnd"/>
            <w:r w:rsidRPr="008345F3">
              <w:rPr>
                <w:rFonts w:ascii="Cambria" w:eastAsia="Calibri" w:hAnsi="Cambria" w:cs="Calibri"/>
                <w:lang w:val="it-IT"/>
              </w:rPr>
              <w:t xml:space="preserve"> </w:t>
            </w:r>
            <w:proofErr w:type="spellStart"/>
            <w:r w:rsidRPr="008345F3">
              <w:rPr>
                <w:rFonts w:ascii="Cambria" w:eastAsia="Calibri" w:hAnsi="Cambria" w:cs="Calibri"/>
                <w:lang w:val="it-IT"/>
              </w:rPr>
              <w:t>uz</w:t>
            </w:r>
            <w:proofErr w:type="spellEnd"/>
            <w:r w:rsidRPr="008345F3">
              <w:rPr>
                <w:rFonts w:ascii="Cambria" w:eastAsia="Calibri" w:hAnsi="Cambria" w:cs="Calibri"/>
                <w:lang w:val="it-IT"/>
              </w:rPr>
              <w:t xml:space="preserve"> </w:t>
            </w:r>
            <w:proofErr w:type="spellStart"/>
            <w:r w:rsidRPr="008345F3">
              <w:rPr>
                <w:rFonts w:ascii="Cambria" w:eastAsia="Calibri" w:hAnsi="Cambria" w:cs="Calibri"/>
                <w:lang w:val="it-IT"/>
              </w:rPr>
              <w:t>kolegij</w:t>
            </w:r>
            <w:proofErr w:type="spellEnd"/>
          </w:p>
        </w:tc>
        <w:tc>
          <w:tcPr>
            <w:tcW w:w="721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FFE47AA" w14:textId="77777777" w:rsidR="002A021D" w:rsidRPr="008345F3" w:rsidRDefault="002A021D" w:rsidP="000B2D2C">
            <w:pPr>
              <w:spacing w:after="0"/>
              <w:jc w:val="both"/>
              <w:rPr>
                <w:rFonts w:ascii="Cambria" w:eastAsia="Calibri" w:hAnsi="Cambria" w:cs="Calibri"/>
                <w:lang w:val="it-IT"/>
              </w:rPr>
            </w:pPr>
            <w:proofErr w:type="spellStart"/>
            <w:r w:rsidRPr="008345F3">
              <w:rPr>
                <w:rFonts w:ascii="Cambria" w:eastAsia="Calibri" w:hAnsi="Cambria" w:cs="Calibri"/>
                <w:lang w:val="it-IT"/>
              </w:rPr>
              <w:t>Materijali</w:t>
            </w:r>
            <w:proofErr w:type="spellEnd"/>
            <w:r w:rsidRPr="008345F3">
              <w:rPr>
                <w:rFonts w:ascii="Cambria" w:eastAsia="Calibri" w:hAnsi="Cambria" w:cs="Calibri"/>
                <w:lang w:val="it-IT"/>
              </w:rPr>
              <w:t xml:space="preserve"> za </w:t>
            </w:r>
            <w:proofErr w:type="spellStart"/>
            <w:r w:rsidRPr="008345F3">
              <w:rPr>
                <w:rFonts w:ascii="Cambria" w:eastAsia="Calibri" w:hAnsi="Cambria" w:cs="Calibri"/>
                <w:lang w:val="it-IT"/>
              </w:rPr>
              <w:t>predavanja</w:t>
            </w:r>
            <w:proofErr w:type="spellEnd"/>
            <w:r w:rsidRPr="008345F3">
              <w:rPr>
                <w:rFonts w:ascii="Cambria" w:eastAsia="Calibri" w:hAnsi="Cambria" w:cs="Calibri"/>
                <w:lang w:val="it-IT"/>
              </w:rPr>
              <w:t xml:space="preserve"> </w:t>
            </w:r>
            <w:proofErr w:type="gramStart"/>
            <w:r w:rsidRPr="008345F3">
              <w:rPr>
                <w:rFonts w:ascii="Cambria" w:eastAsia="Calibri" w:hAnsi="Cambria" w:cs="Calibri"/>
                <w:lang w:val="it-IT"/>
              </w:rPr>
              <w:t>i seminare</w:t>
            </w:r>
            <w:proofErr w:type="gramEnd"/>
            <w:r w:rsidRPr="008345F3">
              <w:rPr>
                <w:rFonts w:ascii="Cambria" w:eastAsia="Calibri" w:hAnsi="Cambria" w:cs="Calibri"/>
                <w:lang w:val="it-IT"/>
              </w:rPr>
              <w:t xml:space="preserve"> </w:t>
            </w:r>
            <w:proofErr w:type="spellStart"/>
            <w:r w:rsidRPr="008345F3">
              <w:rPr>
                <w:rFonts w:ascii="Cambria" w:eastAsia="Calibri" w:hAnsi="Cambria" w:cs="Calibri"/>
                <w:lang w:val="it-IT"/>
              </w:rPr>
              <w:t>objavljuju</w:t>
            </w:r>
            <w:proofErr w:type="spellEnd"/>
            <w:r w:rsidRPr="008345F3">
              <w:rPr>
                <w:rFonts w:ascii="Cambria" w:eastAsia="Calibri" w:hAnsi="Cambria" w:cs="Calibri"/>
                <w:lang w:val="it-IT"/>
              </w:rPr>
              <w:t xml:space="preserve"> se </w:t>
            </w:r>
            <w:proofErr w:type="spellStart"/>
            <w:r w:rsidRPr="008345F3">
              <w:rPr>
                <w:rFonts w:ascii="Cambria" w:eastAsia="Calibri" w:hAnsi="Cambria" w:cs="Calibri"/>
                <w:lang w:val="it-IT"/>
              </w:rPr>
              <w:t>na</w:t>
            </w:r>
            <w:proofErr w:type="spellEnd"/>
            <w:r w:rsidRPr="008345F3">
              <w:rPr>
                <w:rFonts w:ascii="Cambria" w:eastAsia="Calibri" w:hAnsi="Cambria" w:cs="Calibri"/>
                <w:lang w:val="it-IT"/>
              </w:rPr>
              <w:t xml:space="preserve"> e-</w:t>
            </w:r>
            <w:proofErr w:type="spellStart"/>
            <w:r w:rsidRPr="008345F3">
              <w:rPr>
                <w:rFonts w:ascii="Cambria" w:eastAsia="Calibri" w:hAnsi="Cambria" w:cs="Calibri"/>
                <w:lang w:val="it-IT"/>
              </w:rPr>
              <w:t>učenju</w:t>
            </w:r>
            <w:proofErr w:type="spellEnd"/>
            <w:r w:rsidRPr="008345F3">
              <w:rPr>
                <w:rFonts w:ascii="Cambria" w:eastAsia="Calibri" w:hAnsi="Cambria" w:cs="Calibri"/>
                <w:lang w:val="it-IT"/>
              </w:rPr>
              <w:t>.</w:t>
            </w:r>
          </w:p>
          <w:p w14:paraId="6910239D" w14:textId="77777777" w:rsidR="002A021D" w:rsidRPr="008345F3" w:rsidRDefault="002A021D" w:rsidP="000B2D2C">
            <w:pPr>
              <w:spacing w:after="0"/>
              <w:jc w:val="both"/>
              <w:rPr>
                <w:rFonts w:ascii="Cambria" w:eastAsia="Calibri" w:hAnsi="Cambria" w:cs="Calibri"/>
              </w:rPr>
            </w:pPr>
            <w:r w:rsidRPr="00F942C2">
              <w:rPr>
                <w:rFonts w:ascii="Cambria" w:eastAsia="Calibri" w:hAnsi="Cambria" w:cs="Calibri"/>
                <w:lang w:val="it-IT"/>
              </w:rPr>
              <w:t xml:space="preserve">U </w:t>
            </w:r>
            <w:proofErr w:type="spellStart"/>
            <w:r w:rsidRPr="00F942C2">
              <w:rPr>
                <w:rFonts w:ascii="Cambria" w:eastAsia="Calibri" w:hAnsi="Cambria" w:cs="Calibri"/>
                <w:lang w:val="it-IT"/>
              </w:rPr>
              <w:t>slučaju</w:t>
            </w:r>
            <w:proofErr w:type="spellEnd"/>
            <w:r w:rsidRPr="00F942C2">
              <w:rPr>
                <w:rFonts w:ascii="Cambria" w:eastAsia="Calibri" w:hAnsi="Cambria" w:cs="Calibri"/>
                <w:lang w:val="it-IT"/>
              </w:rPr>
              <w:t xml:space="preserve"> </w:t>
            </w:r>
            <w:proofErr w:type="spellStart"/>
            <w:r w:rsidRPr="00F942C2">
              <w:rPr>
                <w:rFonts w:ascii="Cambria" w:eastAsia="Calibri" w:hAnsi="Cambria" w:cs="Calibri"/>
                <w:lang w:val="it-IT"/>
              </w:rPr>
              <w:t>održavanja</w:t>
            </w:r>
            <w:proofErr w:type="spellEnd"/>
            <w:r w:rsidRPr="00F942C2">
              <w:rPr>
                <w:rFonts w:ascii="Cambria" w:eastAsia="Calibri" w:hAnsi="Cambria" w:cs="Calibri"/>
                <w:lang w:val="it-IT"/>
              </w:rPr>
              <w:t xml:space="preserve"> </w:t>
            </w:r>
            <w:proofErr w:type="spellStart"/>
            <w:r w:rsidRPr="00F942C2">
              <w:rPr>
                <w:rFonts w:ascii="Cambria" w:eastAsia="Calibri" w:hAnsi="Cambria" w:cs="Calibri"/>
                <w:lang w:val="it-IT"/>
              </w:rPr>
              <w:t>nastave</w:t>
            </w:r>
            <w:proofErr w:type="spellEnd"/>
            <w:r w:rsidRPr="00F942C2">
              <w:rPr>
                <w:rFonts w:ascii="Cambria" w:eastAsia="Calibri" w:hAnsi="Cambria" w:cs="Calibri"/>
                <w:lang w:val="it-IT"/>
              </w:rPr>
              <w:t xml:space="preserve"> </w:t>
            </w:r>
            <w:proofErr w:type="spellStart"/>
            <w:r w:rsidRPr="00F942C2">
              <w:rPr>
                <w:rFonts w:ascii="Cambria" w:eastAsia="Calibri" w:hAnsi="Cambria" w:cs="Calibri"/>
                <w:lang w:val="it-IT"/>
              </w:rPr>
              <w:t>na</w:t>
            </w:r>
            <w:proofErr w:type="spellEnd"/>
            <w:r w:rsidRPr="00F942C2">
              <w:rPr>
                <w:rFonts w:ascii="Cambria" w:eastAsia="Calibri" w:hAnsi="Cambria" w:cs="Calibri"/>
                <w:lang w:val="it-IT"/>
              </w:rPr>
              <w:t xml:space="preserve"> </w:t>
            </w:r>
            <w:proofErr w:type="spellStart"/>
            <w:r w:rsidRPr="00F942C2">
              <w:rPr>
                <w:rFonts w:ascii="Cambria" w:eastAsia="Calibri" w:hAnsi="Cambria" w:cs="Calibri"/>
                <w:lang w:val="it-IT"/>
              </w:rPr>
              <w:t>daljinu</w:t>
            </w:r>
            <w:proofErr w:type="spellEnd"/>
            <w:r w:rsidRPr="00F942C2">
              <w:rPr>
                <w:rFonts w:ascii="Cambria" w:eastAsia="Calibri" w:hAnsi="Cambria" w:cs="Calibri"/>
                <w:lang w:val="it-IT"/>
              </w:rPr>
              <w:t xml:space="preserve">, </w:t>
            </w:r>
            <w:proofErr w:type="spellStart"/>
            <w:r w:rsidRPr="00F942C2">
              <w:rPr>
                <w:rFonts w:ascii="Cambria" w:eastAsia="Calibri" w:hAnsi="Cambria" w:cs="Calibri"/>
                <w:lang w:val="it-IT"/>
              </w:rPr>
              <w:t>moguće</w:t>
            </w:r>
            <w:proofErr w:type="spellEnd"/>
            <w:r w:rsidRPr="00F942C2">
              <w:rPr>
                <w:rFonts w:ascii="Cambria" w:eastAsia="Calibri" w:hAnsi="Cambria" w:cs="Calibri"/>
                <w:lang w:val="it-IT"/>
              </w:rPr>
              <w:t xml:space="preserve"> je </w:t>
            </w:r>
            <w:proofErr w:type="spellStart"/>
            <w:r w:rsidRPr="00F942C2">
              <w:rPr>
                <w:rFonts w:ascii="Cambria" w:eastAsia="Calibri" w:hAnsi="Cambria" w:cs="Calibri"/>
                <w:lang w:val="it-IT"/>
              </w:rPr>
              <w:t>odstupanje</w:t>
            </w:r>
            <w:proofErr w:type="spellEnd"/>
            <w:r w:rsidRPr="00F942C2">
              <w:rPr>
                <w:rFonts w:ascii="Cambria" w:eastAsia="Calibri" w:hAnsi="Cambria" w:cs="Calibri"/>
                <w:lang w:val="it-IT"/>
              </w:rPr>
              <w:t xml:space="preserve"> u: </w:t>
            </w:r>
            <w:proofErr w:type="spellStart"/>
            <w:r w:rsidRPr="00F942C2">
              <w:rPr>
                <w:rFonts w:ascii="Cambria" w:eastAsia="Calibri" w:hAnsi="Cambria" w:cs="Calibri"/>
                <w:lang w:val="it-IT"/>
              </w:rPr>
              <w:t>mjestu</w:t>
            </w:r>
            <w:proofErr w:type="spellEnd"/>
            <w:r w:rsidRPr="00F942C2">
              <w:rPr>
                <w:rFonts w:ascii="Cambria" w:eastAsia="Calibri" w:hAnsi="Cambria" w:cs="Calibri"/>
                <w:lang w:val="it-IT"/>
              </w:rPr>
              <w:t xml:space="preserve"> </w:t>
            </w:r>
            <w:proofErr w:type="spellStart"/>
            <w:r w:rsidRPr="00F942C2">
              <w:rPr>
                <w:rFonts w:ascii="Cambria" w:eastAsia="Calibri" w:hAnsi="Cambria" w:cs="Calibri"/>
                <w:lang w:val="it-IT"/>
              </w:rPr>
              <w:t>izvođenja</w:t>
            </w:r>
            <w:proofErr w:type="spellEnd"/>
            <w:r w:rsidRPr="00F942C2">
              <w:rPr>
                <w:rFonts w:ascii="Cambria" w:eastAsia="Calibri" w:hAnsi="Cambria" w:cs="Calibri"/>
                <w:lang w:val="it-IT"/>
              </w:rPr>
              <w:t xml:space="preserve"> </w:t>
            </w:r>
            <w:proofErr w:type="spellStart"/>
            <w:r w:rsidRPr="00F942C2">
              <w:rPr>
                <w:rFonts w:ascii="Cambria" w:eastAsia="Calibri" w:hAnsi="Cambria" w:cs="Calibri"/>
                <w:lang w:val="it-IT"/>
              </w:rPr>
              <w:t>kolegija</w:t>
            </w:r>
            <w:proofErr w:type="spellEnd"/>
            <w:r w:rsidRPr="00F942C2">
              <w:rPr>
                <w:rFonts w:ascii="Cambria" w:eastAsia="Calibri" w:hAnsi="Cambria" w:cs="Calibri"/>
                <w:lang w:val="it-IT"/>
              </w:rPr>
              <w:t xml:space="preserve">, </w:t>
            </w:r>
            <w:proofErr w:type="spellStart"/>
            <w:r w:rsidRPr="00F942C2">
              <w:rPr>
                <w:rFonts w:ascii="Cambria" w:eastAsia="Calibri" w:hAnsi="Cambria" w:cs="Calibri"/>
                <w:lang w:val="it-IT"/>
              </w:rPr>
              <w:t>provedbi</w:t>
            </w:r>
            <w:proofErr w:type="spellEnd"/>
            <w:r w:rsidRPr="00F942C2">
              <w:rPr>
                <w:rFonts w:ascii="Cambria" w:eastAsia="Calibri" w:hAnsi="Cambria" w:cs="Calibri"/>
                <w:lang w:val="it-IT"/>
              </w:rPr>
              <w:t xml:space="preserve"> </w:t>
            </w:r>
            <w:proofErr w:type="spellStart"/>
            <w:r w:rsidRPr="00F942C2">
              <w:rPr>
                <w:rFonts w:ascii="Cambria" w:eastAsia="Calibri" w:hAnsi="Cambria" w:cs="Calibri"/>
                <w:lang w:val="it-IT"/>
              </w:rPr>
              <w:t>aktivnosti</w:t>
            </w:r>
            <w:proofErr w:type="spellEnd"/>
            <w:r w:rsidRPr="00F942C2">
              <w:rPr>
                <w:rFonts w:ascii="Cambria" w:eastAsia="Calibri" w:hAnsi="Cambria" w:cs="Calibri"/>
                <w:lang w:val="it-IT"/>
              </w:rPr>
              <w:t xml:space="preserve">, </w:t>
            </w:r>
            <w:proofErr w:type="spellStart"/>
            <w:r w:rsidRPr="00F942C2">
              <w:rPr>
                <w:rFonts w:ascii="Cambria" w:eastAsia="Calibri" w:hAnsi="Cambria" w:cs="Calibri"/>
                <w:lang w:val="it-IT"/>
              </w:rPr>
              <w:t>metoda</w:t>
            </w:r>
            <w:proofErr w:type="spellEnd"/>
            <w:r w:rsidRPr="00F942C2">
              <w:rPr>
                <w:rFonts w:ascii="Cambria" w:eastAsia="Calibri" w:hAnsi="Cambria" w:cs="Calibri"/>
                <w:lang w:val="it-IT"/>
              </w:rPr>
              <w:t xml:space="preserve"> </w:t>
            </w:r>
            <w:proofErr w:type="spellStart"/>
            <w:r w:rsidRPr="00F942C2">
              <w:rPr>
                <w:rFonts w:ascii="Cambria" w:eastAsia="Calibri" w:hAnsi="Cambria" w:cs="Calibri"/>
                <w:lang w:val="it-IT"/>
              </w:rPr>
              <w:t>tumačenja</w:t>
            </w:r>
            <w:proofErr w:type="spellEnd"/>
            <w:r w:rsidRPr="00F942C2">
              <w:rPr>
                <w:rFonts w:ascii="Cambria" w:eastAsia="Calibri" w:hAnsi="Cambria" w:cs="Calibri"/>
                <w:lang w:val="it-IT"/>
              </w:rPr>
              <w:t xml:space="preserve"> i </w:t>
            </w:r>
            <w:proofErr w:type="spellStart"/>
            <w:r w:rsidRPr="00F942C2">
              <w:rPr>
                <w:rFonts w:ascii="Cambria" w:eastAsia="Calibri" w:hAnsi="Cambria" w:cs="Calibri"/>
                <w:lang w:val="it-IT"/>
              </w:rPr>
              <w:t>poučavanja</w:t>
            </w:r>
            <w:proofErr w:type="spellEnd"/>
            <w:r w:rsidRPr="00F942C2">
              <w:rPr>
                <w:rFonts w:ascii="Cambria" w:eastAsia="Calibri" w:hAnsi="Cambria" w:cs="Calibri"/>
                <w:lang w:val="it-IT"/>
              </w:rPr>
              <w:t xml:space="preserve"> i </w:t>
            </w:r>
            <w:proofErr w:type="spellStart"/>
            <w:r w:rsidRPr="00F942C2">
              <w:rPr>
                <w:rFonts w:ascii="Cambria" w:eastAsia="Calibri" w:hAnsi="Cambria" w:cs="Calibri"/>
                <w:lang w:val="it-IT"/>
              </w:rPr>
              <w:t>načinima</w:t>
            </w:r>
            <w:proofErr w:type="spellEnd"/>
            <w:r w:rsidRPr="00F942C2">
              <w:rPr>
                <w:rFonts w:ascii="Cambria" w:eastAsia="Calibri" w:hAnsi="Cambria" w:cs="Calibri"/>
                <w:lang w:val="it-IT"/>
              </w:rPr>
              <w:t xml:space="preserve"> </w:t>
            </w:r>
            <w:proofErr w:type="spellStart"/>
            <w:r w:rsidRPr="00F942C2">
              <w:rPr>
                <w:rFonts w:ascii="Cambria" w:eastAsia="Calibri" w:hAnsi="Cambria" w:cs="Calibri"/>
                <w:lang w:val="it-IT"/>
              </w:rPr>
              <w:t>vrednovanja</w:t>
            </w:r>
            <w:proofErr w:type="spellEnd"/>
            <w:r w:rsidRPr="00F942C2">
              <w:rPr>
                <w:rFonts w:ascii="Cambria" w:eastAsia="Calibri" w:hAnsi="Cambria" w:cs="Calibri"/>
                <w:lang w:val="it-IT"/>
              </w:rPr>
              <w:t xml:space="preserve">, </w:t>
            </w:r>
            <w:proofErr w:type="spellStart"/>
            <w:r w:rsidRPr="00F942C2">
              <w:rPr>
                <w:rFonts w:ascii="Cambria" w:eastAsia="Calibri" w:hAnsi="Cambria" w:cs="Calibri"/>
                <w:lang w:val="it-IT"/>
              </w:rPr>
              <w:t>studentskim</w:t>
            </w:r>
            <w:proofErr w:type="spellEnd"/>
            <w:r w:rsidRPr="00F942C2">
              <w:rPr>
                <w:rFonts w:ascii="Cambria" w:eastAsia="Calibri" w:hAnsi="Cambria" w:cs="Calibri"/>
                <w:lang w:val="it-IT"/>
              </w:rPr>
              <w:t xml:space="preserve"> </w:t>
            </w:r>
            <w:proofErr w:type="spellStart"/>
            <w:r w:rsidRPr="00F942C2">
              <w:rPr>
                <w:rFonts w:ascii="Cambria" w:eastAsia="Calibri" w:hAnsi="Cambria" w:cs="Calibri"/>
                <w:lang w:val="it-IT"/>
              </w:rPr>
              <w:t>obvezama</w:t>
            </w:r>
            <w:proofErr w:type="spellEnd"/>
            <w:r w:rsidRPr="00F942C2">
              <w:rPr>
                <w:rFonts w:ascii="Cambria" w:eastAsia="Calibri" w:hAnsi="Cambria" w:cs="Calibri"/>
                <w:lang w:val="it-IT"/>
              </w:rPr>
              <w:t xml:space="preserve"> i </w:t>
            </w:r>
            <w:proofErr w:type="spellStart"/>
            <w:r w:rsidRPr="00F942C2">
              <w:rPr>
                <w:rFonts w:ascii="Cambria" w:eastAsia="Calibri" w:hAnsi="Cambria" w:cs="Calibri"/>
                <w:lang w:val="it-IT"/>
              </w:rPr>
              <w:t>dostupnoj</w:t>
            </w:r>
            <w:proofErr w:type="spellEnd"/>
            <w:r w:rsidRPr="00F942C2">
              <w:rPr>
                <w:rFonts w:ascii="Cambria" w:eastAsia="Calibri" w:hAnsi="Cambria" w:cs="Calibri"/>
                <w:lang w:val="it-IT"/>
              </w:rPr>
              <w:t xml:space="preserve"> </w:t>
            </w:r>
            <w:proofErr w:type="spellStart"/>
            <w:r w:rsidRPr="00F942C2">
              <w:rPr>
                <w:rFonts w:ascii="Cambria" w:eastAsia="Calibri" w:hAnsi="Cambria" w:cs="Calibri"/>
                <w:lang w:val="it-IT"/>
              </w:rPr>
              <w:t>literaturi</w:t>
            </w:r>
            <w:proofErr w:type="spellEnd"/>
            <w:r w:rsidRPr="00F942C2">
              <w:rPr>
                <w:rFonts w:ascii="Cambria" w:eastAsia="Calibri" w:hAnsi="Cambria" w:cs="Calibri"/>
                <w:lang w:val="it-IT"/>
              </w:rPr>
              <w:t xml:space="preserve">. </w:t>
            </w:r>
            <w:r w:rsidRPr="008345F3">
              <w:rPr>
                <w:rFonts w:ascii="Cambria" w:eastAsia="Calibri" w:hAnsi="Cambria" w:cs="Calibri"/>
                <w:lang w:val="it-IT"/>
              </w:rPr>
              <w:t xml:space="preserve">O tome </w:t>
            </w:r>
            <w:proofErr w:type="spellStart"/>
            <w:r w:rsidRPr="008345F3">
              <w:rPr>
                <w:rFonts w:ascii="Cambria" w:eastAsia="Calibri" w:hAnsi="Cambria" w:cs="Calibri"/>
                <w:lang w:val="it-IT"/>
              </w:rPr>
              <w:t>će</w:t>
            </w:r>
            <w:proofErr w:type="spellEnd"/>
            <w:r w:rsidRPr="008345F3">
              <w:rPr>
                <w:rFonts w:ascii="Cambria" w:eastAsia="Calibri" w:hAnsi="Cambria" w:cs="Calibri"/>
                <w:lang w:val="it-IT"/>
              </w:rPr>
              <w:t xml:space="preserve"> </w:t>
            </w:r>
            <w:proofErr w:type="spellStart"/>
            <w:r w:rsidRPr="008345F3">
              <w:rPr>
                <w:rFonts w:ascii="Cambria" w:eastAsia="Calibri" w:hAnsi="Cambria" w:cs="Calibri"/>
                <w:lang w:val="it-IT"/>
              </w:rPr>
              <w:t>nositeljica</w:t>
            </w:r>
            <w:proofErr w:type="spellEnd"/>
            <w:r w:rsidRPr="008345F3">
              <w:rPr>
                <w:rFonts w:ascii="Cambria" w:eastAsia="Calibri" w:hAnsi="Cambria" w:cs="Calibri"/>
                <w:lang w:val="it-IT"/>
              </w:rPr>
              <w:t xml:space="preserve"> </w:t>
            </w:r>
            <w:proofErr w:type="spellStart"/>
            <w:r w:rsidRPr="008345F3">
              <w:rPr>
                <w:rFonts w:ascii="Cambria" w:eastAsia="Calibri" w:hAnsi="Cambria" w:cs="Calibri"/>
                <w:lang w:val="it-IT"/>
              </w:rPr>
              <w:t>kolegija</w:t>
            </w:r>
            <w:proofErr w:type="spellEnd"/>
            <w:r w:rsidRPr="008345F3">
              <w:rPr>
                <w:rFonts w:ascii="Cambria" w:eastAsia="Calibri" w:hAnsi="Cambria" w:cs="Calibri"/>
                <w:lang w:val="it-IT"/>
              </w:rPr>
              <w:t xml:space="preserve"> </w:t>
            </w:r>
            <w:proofErr w:type="spellStart"/>
            <w:r w:rsidRPr="008345F3">
              <w:rPr>
                <w:rFonts w:ascii="Cambria" w:eastAsia="Calibri" w:hAnsi="Cambria" w:cs="Times New Roman"/>
                <w:lang w:val="it-IT" w:eastAsia="hr-HR"/>
              </w:rPr>
              <w:t>o</w:t>
            </w:r>
            <w:r w:rsidRPr="008345F3">
              <w:rPr>
                <w:rFonts w:ascii="Cambria" w:eastAsia="Calibri" w:hAnsi="Cambria" w:cs="Calibri"/>
                <w:lang w:val="it-IT"/>
              </w:rPr>
              <w:t>bavijestiti</w:t>
            </w:r>
            <w:proofErr w:type="spellEnd"/>
            <w:r w:rsidRPr="008345F3">
              <w:rPr>
                <w:rFonts w:ascii="Cambria" w:eastAsia="Calibri" w:hAnsi="Cambria" w:cs="Calibri"/>
                <w:lang w:val="it-IT"/>
              </w:rPr>
              <w:t xml:space="preserve"> studente i </w:t>
            </w:r>
            <w:proofErr w:type="spellStart"/>
            <w:r w:rsidRPr="008345F3">
              <w:rPr>
                <w:rFonts w:ascii="Cambria" w:eastAsia="Calibri" w:hAnsi="Cambria" w:cs="Calibri"/>
                <w:lang w:val="it-IT"/>
              </w:rPr>
              <w:t>studentice</w:t>
            </w:r>
            <w:proofErr w:type="spellEnd"/>
            <w:r w:rsidRPr="008345F3">
              <w:rPr>
                <w:rFonts w:ascii="Cambria" w:eastAsia="Calibri" w:hAnsi="Cambria" w:cs="Calibri"/>
                <w:lang w:val="it-IT"/>
              </w:rPr>
              <w:t xml:space="preserve"> </w:t>
            </w:r>
            <w:proofErr w:type="spellStart"/>
            <w:r w:rsidRPr="008345F3">
              <w:rPr>
                <w:rFonts w:ascii="Cambria" w:eastAsia="Calibri" w:hAnsi="Cambria" w:cs="Calibri"/>
                <w:lang w:val="it-IT"/>
              </w:rPr>
              <w:t>kad</w:t>
            </w:r>
            <w:proofErr w:type="spellEnd"/>
            <w:r w:rsidRPr="008345F3">
              <w:rPr>
                <w:rFonts w:ascii="Cambria" w:eastAsia="Calibri" w:hAnsi="Cambria" w:cs="Calibri"/>
                <w:lang w:val="it-IT"/>
              </w:rPr>
              <w:t xml:space="preserve"> se </w:t>
            </w:r>
            <w:proofErr w:type="spellStart"/>
            <w:r w:rsidRPr="008345F3">
              <w:rPr>
                <w:rFonts w:ascii="Cambria" w:eastAsia="Calibri" w:hAnsi="Cambria" w:cs="Calibri"/>
                <w:lang w:val="it-IT"/>
              </w:rPr>
              <w:t>nastava</w:t>
            </w:r>
            <w:proofErr w:type="spellEnd"/>
            <w:r w:rsidRPr="008345F3">
              <w:rPr>
                <w:rFonts w:ascii="Cambria" w:eastAsia="Calibri" w:hAnsi="Cambria" w:cs="Calibri"/>
                <w:lang w:val="it-IT"/>
              </w:rPr>
              <w:t xml:space="preserve"> </w:t>
            </w:r>
            <w:proofErr w:type="spellStart"/>
            <w:r w:rsidRPr="008345F3">
              <w:rPr>
                <w:rFonts w:ascii="Cambria" w:eastAsia="Calibri" w:hAnsi="Cambria" w:cs="Calibri"/>
                <w:lang w:val="it-IT"/>
              </w:rPr>
              <w:t>na</w:t>
            </w:r>
            <w:proofErr w:type="spellEnd"/>
            <w:r w:rsidRPr="008345F3">
              <w:rPr>
                <w:rFonts w:ascii="Cambria" w:eastAsia="Calibri" w:hAnsi="Cambria" w:cs="Calibri"/>
                <w:lang w:val="it-IT"/>
              </w:rPr>
              <w:t xml:space="preserve"> </w:t>
            </w:r>
            <w:proofErr w:type="spellStart"/>
            <w:r w:rsidRPr="008345F3">
              <w:rPr>
                <w:rFonts w:ascii="Cambria" w:eastAsia="Calibri" w:hAnsi="Cambria" w:cs="Calibri"/>
                <w:lang w:val="it-IT"/>
              </w:rPr>
              <w:t>daljinu</w:t>
            </w:r>
            <w:proofErr w:type="spellEnd"/>
            <w:r w:rsidRPr="008345F3">
              <w:rPr>
                <w:rFonts w:ascii="Cambria" w:eastAsia="Calibri" w:hAnsi="Cambria" w:cs="Calibri"/>
                <w:lang w:val="it-IT"/>
              </w:rPr>
              <w:t xml:space="preserve"> </w:t>
            </w:r>
            <w:proofErr w:type="spellStart"/>
            <w:r w:rsidRPr="008345F3">
              <w:rPr>
                <w:rFonts w:ascii="Cambria" w:eastAsia="Calibri" w:hAnsi="Cambria" w:cs="Calibri"/>
                <w:lang w:val="it-IT"/>
              </w:rPr>
              <w:t>počne</w:t>
            </w:r>
            <w:proofErr w:type="spellEnd"/>
            <w:r w:rsidRPr="008345F3">
              <w:rPr>
                <w:rFonts w:ascii="Cambria" w:eastAsia="Calibri" w:hAnsi="Cambria" w:cs="Calibri"/>
                <w:lang w:val="it-IT"/>
              </w:rPr>
              <w:t xml:space="preserve"> </w:t>
            </w:r>
            <w:proofErr w:type="spellStart"/>
            <w:r w:rsidRPr="008345F3">
              <w:rPr>
                <w:rFonts w:ascii="Cambria" w:eastAsia="Calibri" w:hAnsi="Cambria" w:cs="Calibri"/>
                <w:lang w:val="it-IT"/>
              </w:rPr>
              <w:t>održavati</w:t>
            </w:r>
            <w:proofErr w:type="spellEnd"/>
            <w:r w:rsidRPr="008345F3">
              <w:rPr>
                <w:rFonts w:ascii="Cambria" w:eastAsia="Calibri" w:hAnsi="Cambria" w:cs="Calibri"/>
                <w:lang w:val="it-IT"/>
              </w:rPr>
              <w:t xml:space="preserve">. </w:t>
            </w:r>
            <w:proofErr w:type="spellStart"/>
            <w:r w:rsidRPr="008345F3">
              <w:rPr>
                <w:rFonts w:ascii="Cambria" w:eastAsia="Calibri" w:hAnsi="Cambria" w:cs="Calibri"/>
              </w:rPr>
              <w:t>Ishodi</w:t>
            </w:r>
            <w:proofErr w:type="spellEnd"/>
            <w:r w:rsidRPr="008345F3">
              <w:rPr>
                <w:rFonts w:ascii="Cambria" w:eastAsia="Calibri" w:hAnsi="Cambria" w:cs="Calibri"/>
              </w:rPr>
              <w:t xml:space="preserve"> </w:t>
            </w:r>
            <w:proofErr w:type="spellStart"/>
            <w:r w:rsidRPr="008345F3">
              <w:rPr>
                <w:rFonts w:ascii="Cambria" w:eastAsia="Calibri" w:hAnsi="Cambria" w:cs="Calibri"/>
              </w:rPr>
              <w:t>učenja</w:t>
            </w:r>
            <w:proofErr w:type="spellEnd"/>
            <w:r w:rsidRPr="008345F3">
              <w:rPr>
                <w:rFonts w:ascii="Cambria" w:eastAsia="Calibri" w:hAnsi="Cambria" w:cs="Calibri"/>
              </w:rPr>
              <w:t xml:space="preserve"> </w:t>
            </w:r>
            <w:proofErr w:type="spellStart"/>
            <w:r w:rsidRPr="008345F3">
              <w:rPr>
                <w:rFonts w:ascii="Cambria" w:eastAsia="Calibri" w:hAnsi="Cambria" w:cs="Calibri"/>
              </w:rPr>
              <w:t>ostaju</w:t>
            </w:r>
            <w:proofErr w:type="spellEnd"/>
            <w:r w:rsidRPr="008345F3">
              <w:rPr>
                <w:rFonts w:ascii="Cambria" w:eastAsia="Calibri" w:hAnsi="Cambria" w:cs="Calibri"/>
              </w:rPr>
              <w:t xml:space="preserve"> </w:t>
            </w:r>
            <w:proofErr w:type="spellStart"/>
            <w:r w:rsidRPr="008345F3">
              <w:rPr>
                <w:rFonts w:ascii="Cambria" w:eastAsia="Calibri" w:hAnsi="Cambria" w:cs="Calibri"/>
              </w:rPr>
              <w:t>nepromijenjeni</w:t>
            </w:r>
            <w:proofErr w:type="spellEnd"/>
            <w:r w:rsidRPr="008345F3">
              <w:rPr>
                <w:rFonts w:ascii="Cambria" w:eastAsia="Calibri" w:hAnsi="Cambria" w:cs="Calibri"/>
              </w:rPr>
              <w:t>.</w:t>
            </w:r>
          </w:p>
        </w:tc>
      </w:tr>
      <w:tr w:rsidR="002A021D" w:rsidRPr="008345F3" w14:paraId="64A48F15" w14:textId="77777777" w:rsidTr="002A021D">
        <w:trPr>
          <w:trHeight w:val="770"/>
        </w:trPr>
        <w:tc>
          <w:tcPr>
            <w:tcW w:w="280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7A83EAD" w14:textId="77777777" w:rsidR="002A021D" w:rsidRPr="008345F3" w:rsidRDefault="002A021D" w:rsidP="000B2D2C">
            <w:pPr>
              <w:spacing w:after="0"/>
              <w:jc w:val="both"/>
              <w:rPr>
                <w:rFonts w:ascii="Cambria" w:eastAsia="Calibri" w:hAnsi="Cambria" w:cs="Calibri"/>
              </w:rPr>
            </w:pPr>
            <w:proofErr w:type="spellStart"/>
            <w:r w:rsidRPr="008345F3">
              <w:rPr>
                <w:rFonts w:ascii="Cambria" w:eastAsia="Calibri" w:hAnsi="Cambria" w:cs="Calibri"/>
              </w:rPr>
              <w:lastRenderedPageBreak/>
              <w:t>Literatura</w:t>
            </w:r>
            <w:proofErr w:type="spellEnd"/>
          </w:p>
        </w:tc>
        <w:tc>
          <w:tcPr>
            <w:tcW w:w="7214"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3C795A2D" w14:textId="77777777" w:rsidR="002A021D" w:rsidRPr="008345F3" w:rsidRDefault="002A021D" w:rsidP="000B2D2C">
            <w:pPr>
              <w:spacing w:after="0"/>
              <w:ind w:left="349" w:hanging="283"/>
              <w:outlineLvl w:val="2"/>
              <w:rPr>
                <w:rFonts w:ascii="Cambria" w:eastAsia="Times New Roman" w:hAnsi="Cambria" w:cs="Times New Roman"/>
                <w:bCs/>
                <w:lang w:eastAsia="hr-HR"/>
              </w:rPr>
            </w:pPr>
            <w:proofErr w:type="spellStart"/>
            <w:r w:rsidRPr="008345F3">
              <w:rPr>
                <w:rFonts w:ascii="Cambria" w:eastAsia="Times New Roman" w:hAnsi="Cambria" w:cs="Times New Roman"/>
                <w:bCs/>
                <w:lang w:eastAsia="hr-HR"/>
              </w:rPr>
              <w:t>Obvezna</w:t>
            </w:r>
            <w:proofErr w:type="spellEnd"/>
            <w:r w:rsidRPr="008345F3">
              <w:rPr>
                <w:rFonts w:ascii="Cambria" w:eastAsia="Times New Roman" w:hAnsi="Cambria" w:cs="Times New Roman"/>
                <w:bCs/>
                <w:lang w:eastAsia="hr-HR"/>
              </w:rPr>
              <w:t>:</w:t>
            </w:r>
          </w:p>
          <w:p w14:paraId="16853655" w14:textId="77777777" w:rsidR="002A021D" w:rsidRPr="008345F3" w:rsidRDefault="002A021D" w:rsidP="00A034E3">
            <w:pPr>
              <w:numPr>
                <w:ilvl w:val="0"/>
                <w:numId w:val="75"/>
              </w:numPr>
              <w:spacing w:after="0"/>
              <w:ind w:left="349" w:hanging="283"/>
              <w:rPr>
                <w:rFonts w:ascii="Cambria" w:eastAsia="Times New Roman" w:hAnsi="Cambria" w:cs="Times New Roman"/>
                <w:lang w:eastAsia="hr-HR"/>
              </w:rPr>
            </w:pPr>
            <w:proofErr w:type="spellStart"/>
            <w:r w:rsidRPr="008345F3">
              <w:rPr>
                <w:rFonts w:ascii="Cambria" w:eastAsia="Times New Roman" w:hAnsi="Cambria" w:cs="Times New Roman"/>
                <w:lang w:val="it-IT" w:eastAsia="hr-HR"/>
              </w:rPr>
              <w:t>Findak</w:t>
            </w:r>
            <w:proofErr w:type="spellEnd"/>
            <w:r w:rsidRPr="008345F3">
              <w:rPr>
                <w:rFonts w:ascii="Cambria" w:eastAsia="Times New Roman" w:hAnsi="Cambria" w:cs="Times New Roman"/>
                <w:lang w:val="it-IT" w:eastAsia="hr-HR"/>
              </w:rPr>
              <w:t xml:space="preserve">, V. (2003). </w:t>
            </w:r>
            <w:proofErr w:type="spellStart"/>
            <w:r w:rsidRPr="008345F3">
              <w:rPr>
                <w:rFonts w:ascii="Cambria" w:eastAsia="Times New Roman" w:hAnsi="Cambria" w:cs="Times New Roman"/>
                <w:i/>
                <w:iCs/>
                <w:lang w:val="it-IT" w:eastAsia="hr-HR"/>
              </w:rPr>
              <w:t>Metodika</w:t>
            </w:r>
            <w:proofErr w:type="spellEnd"/>
            <w:r w:rsidRPr="008345F3">
              <w:rPr>
                <w:rFonts w:ascii="Cambria" w:eastAsia="Times New Roman" w:hAnsi="Cambria" w:cs="Times New Roman"/>
                <w:i/>
                <w:iCs/>
                <w:lang w:val="it-IT" w:eastAsia="hr-HR"/>
              </w:rPr>
              <w:t xml:space="preserve"> </w:t>
            </w:r>
            <w:proofErr w:type="spellStart"/>
            <w:r w:rsidRPr="008345F3">
              <w:rPr>
                <w:rFonts w:ascii="Cambria" w:eastAsia="Times New Roman" w:hAnsi="Cambria" w:cs="Times New Roman"/>
                <w:i/>
                <w:iCs/>
                <w:lang w:val="it-IT" w:eastAsia="hr-HR"/>
              </w:rPr>
              <w:t>tjelesne</w:t>
            </w:r>
            <w:proofErr w:type="spellEnd"/>
            <w:r w:rsidRPr="008345F3">
              <w:rPr>
                <w:rFonts w:ascii="Cambria" w:eastAsia="Times New Roman" w:hAnsi="Cambria" w:cs="Times New Roman"/>
                <w:i/>
                <w:iCs/>
                <w:lang w:val="it-IT" w:eastAsia="hr-HR"/>
              </w:rPr>
              <w:t xml:space="preserve"> i </w:t>
            </w:r>
            <w:proofErr w:type="spellStart"/>
            <w:r w:rsidRPr="008345F3">
              <w:rPr>
                <w:rFonts w:ascii="Cambria" w:eastAsia="Times New Roman" w:hAnsi="Cambria" w:cs="Times New Roman"/>
                <w:i/>
                <w:iCs/>
                <w:lang w:val="it-IT" w:eastAsia="hr-HR"/>
              </w:rPr>
              <w:t>zdravstvene</w:t>
            </w:r>
            <w:proofErr w:type="spellEnd"/>
            <w:r w:rsidRPr="008345F3">
              <w:rPr>
                <w:rFonts w:ascii="Cambria" w:eastAsia="Times New Roman" w:hAnsi="Cambria" w:cs="Times New Roman"/>
                <w:i/>
                <w:iCs/>
                <w:lang w:val="it-IT" w:eastAsia="hr-HR"/>
              </w:rPr>
              <w:t xml:space="preserve"> </w:t>
            </w:r>
            <w:proofErr w:type="spellStart"/>
            <w:r w:rsidRPr="008345F3">
              <w:rPr>
                <w:rFonts w:ascii="Cambria" w:eastAsia="Times New Roman" w:hAnsi="Cambria" w:cs="Times New Roman"/>
                <w:i/>
                <w:iCs/>
                <w:lang w:val="it-IT" w:eastAsia="hr-HR"/>
              </w:rPr>
              <w:t>kulture</w:t>
            </w:r>
            <w:proofErr w:type="spellEnd"/>
            <w:r w:rsidRPr="008345F3">
              <w:rPr>
                <w:rFonts w:ascii="Cambria" w:eastAsia="Times New Roman" w:hAnsi="Cambria" w:cs="Times New Roman"/>
                <w:lang w:val="it-IT" w:eastAsia="hr-HR"/>
              </w:rPr>
              <w:t xml:space="preserve">. </w:t>
            </w:r>
            <w:r w:rsidRPr="008345F3">
              <w:rPr>
                <w:rFonts w:ascii="Cambria" w:eastAsia="Times New Roman" w:hAnsi="Cambria" w:cs="Times New Roman"/>
                <w:lang w:eastAsia="hr-HR"/>
              </w:rPr>
              <w:t xml:space="preserve">Zagreb: </w:t>
            </w:r>
            <w:proofErr w:type="spellStart"/>
            <w:r w:rsidRPr="008345F3">
              <w:rPr>
                <w:rFonts w:ascii="Cambria" w:eastAsia="Times New Roman" w:hAnsi="Cambria" w:cs="Times New Roman"/>
                <w:lang w:eastAsia="hr-HR"/>
              </w:rPr>
              <w:t>Školska</w:t>
            </w:r>
            <w:proofErr w:type="spellEnd"/>
            <w:r w:rsidRPr="008345F3">
              <w:rPr>
                <w:rFonts w:ascii="Cambria" w:eastAsia="Times New Roman" w:hAnsi="Cambria" w:cs="Times New Roman"/>
                <w:lang w:eastAsia="hr-HR"/>
              </w:rPr>
              <w:t xml:space="preserve"> </w:t>
            </w:r>
            <w:proofErr w:type="spellStart"/>
            <w:r w:rsidRPr="008345F3">
              <w:rPr>
                <w:rFonts w:ascii="Cambria" w:eastAsia="Times New Roman" w:hAnsi="Cambria" w:cs="Times New Roman"/>
                <w:lang w:eastAsia="hr-HR"/>
              </w:rPr>
              <w:t>knjiga</w:t>
            </w:r>
            <w:proofErr w:type="spellEnd"/>
            <w:r w:rsidRPr="008345F3">
              <w:rPr>
                <w:rFonts w:ascii="Cambria" w:eastAsia="Times New Roman" w:hAnsi="Cambria" w:cs="Times New Roman"/>
                <w:lang w:eastAsia="hr-HR"/>
              </w:rPr>
              <w:t>.</w:t>
            </w:r>
          </w:p>
          <w:p w14:paraId="0F822762" w14:textId="77777777" w:rsidR="002A021D" w:rsidRPr="008345F3" w:rsidRDefault="002A021D" w:rsidP="00A034E3">
            <w:pPr>
              <w:numPr>
                <w:ilvl w:val="0"/>
                <w:numId w:val="75"/>
              </w:numPr>
              <w:spacing w:after="0"/>
              <w:ind w:left="349" w:hanging="283"/>
              <w:rPr>
                <w:rFonts w:ascii="Cambria" w:eastAsia="Times New Roman" w:hAnsi="Cambria" w:cs="Times New Roman"/>
                <w:lang w:eastAsia="hr-HR"/>
              </w:rPr>
            </w:pPr>
            <w:proofErr w:type="spellStart"/>
            <w:r w:rsidRPr="008345F3">
              <w:rPr>
                <w:rFonts w:ascii="Cambria" w:eastAsia="Times New Roman" w:hAnsi="Cambria" w:cs="Times New Roman"/>
                <w:lang w:eastAsia="hr-HR"/>
              </w:rPr>
              <w:t>Findak</w:t>
            </w:r>
            <w:proofErr w:type="spellEnd"/>
            <w:r w:rsidRPr="008345F3">
              <w:rPr>
                <w:rFonts w:ascii="Cambria" w:eastAsia="Times New Roman" w:hAnsi="Cambria" w:cs="Times New Roman"/>
                <w:lang w:eastAsia="hr-HR"/>
              </w:rPr>
              <w:t xml:space="preserve">, V., Metikoš, D., </w:t>
            </w:r>
            <w:proofErr w:type="spellStart"/>
            <w:r w:rsidRPr="008345F3">
              <w:rPr>
                <w:rFonts w:ascii="Cambria" w:eastAsia="Times New Roman" w:hAnsi="Cambria" w:cs="Times New Roman"/>
                <w:lang w:eastAsia="hr-HR"/>
              </w:rPr>
              <w:t>Mraković</w:t>
            </w:r>
            <w:proofErr w:type="spellEnd"/>
            <w:r w:rsidRPr="008345F3">
              <w:rPr>
                <w:rFonts w:ascii="Cambria" w:eastAsia="Times New Roman" w:hAnsi="Cambria" w:cs="Times New Roman"/>
                <w:lang w:eastAsia="hr-HR"/>
              </w:rPr>
              <w:t xml:space="preserve">, M., </w:t>
            </w:r>
            <w:proofErr w:type="spellStart"/>
            <w:r w:rsidRPr="008345F3">
              <w:rPr>
                <w:rFonts w:ascii="Cambria" w:eastAsia="Times New Roman" w:hAnsi="Cambria" w:cs="Times New Roman"/>
                <w:lang w:eastAsia="hr-HR"/>
              </w:rPr>
              <w:t>Neljak</w:t>
            </w:r>
            <w:proofErr w:type="spellEnd"/>
            <w:r w:rsidRPr="008345F3">
              <w:rPr>
                <w:rFonts w:ascii="Cambria" w:eastAsia="Times New Roman" w:hAnsi="Cambria" w:cs="Times New Roman"/>
                <w:lang w:eastAsia="hr-HR"/>
              </w:rPr>
              <w:t xml:space="preserve">, B., &amp; Prot, F. (2000). </w:t>
            </w:r>
            <w:r w:rsidRPr="008345F3">
              <w:rPr>
                <w:rFonts w:ascii="Cambria" w:eastAsia="Times New Roman" w:hAnsi="Cambria" w:cs="Times New Roman"/>
                <w:i/>
                <w:iCs/>
                <w:lang w:eastAsia="hr-HR"/>
              </w:rPr>
              <w:t xml:space="preserve">Motorička </w:t>
            </w:r>
            <w:proofErr w:type="spellStart"/>
            <w:r w:rsidRPr="008345F3">
              <w:rPr>
                <w:rFonts w:ascii="Cambria" w:eastAsia="Times New Roman" w:hAnsi="Cambria" w:cs="Times New Roman"/>
                <w:i/>
                <w:iCs/>
                <w:lang w:eastAsia="hr-HR"/>
              </w:rPr>
              <w:t>znanja</w:t>
            </w:r>
            <w:proofErr w:type="spellEnd"/>
            <w:r w:rsidRPr="008345F3">
              <w:rPr>
                <w:rFonts w:ascii="Cambria" w:eastAsia="Times New Roman" w:hAnsi="Cambria" w:cs="Times New Roman"/>
                <w:lang w:eastAsia="hr-HR"/>
              </w:rPr>
              <w:t>. Zagreb.</w:t>
            </w:r>
          </w:p>
          <w:p w14:paraId="0F2D9F8A" w14:textId="77777777" w:rsidR="002A021D" w:rsidRPr="008345F3" w:rsidRDefault="002A021D" w:rsidP="00A034E3">
            <w:pPr>
              <w:numPr>
                <w:ilvl w:val="0"/>
                <w:numId w:val="75"/>
              </w:numPr>
              <w:spacing w:after="0"/>
              <w:ind w:left="349" w:hanging="283"/>
              <w:rPr>
                <w:rFonts w:ascii="Cambria" w:eastAsia="Times New Roman" w:hAnsi="Cambria" w:cs="Times New Roman"/>
                <w:lang w:val="it-IT" w:eastAsia="hr-HR"/>
              </w:rPr>
            </w:pPr>
            <w:proofErr w:type="spellStart"/>
            <w:r w:rsidRPr="008345F3">
              <w:rPr>
                <w:rFonts w:ascii="Cambria" w:eastAsia="Times New Roman" w:hAnsi="Cambria" w:cs="Times New Roman"/>
                <w:lang w:val="it-IT" w:eastAsia="hr-HR"/>
              </w:rPr>
              <w:t>Neljak</w:t>
            </w:r>
            <w:proofErr w:type="spellEnd"/>
            <w:r w:rsidRPr="008345F3">
              <w:rPr>
                <w:rFonts w:ascii="Cambria" w:eastAsia="Times New Roman" w:hAnsi="Cambria" w:cs="Times New Roman"/>
                <w:lang w:val="it-IT" w:eastAsia="hr-HR"/>
              </w:rPr>
              <w:t xml:space="preserve">, B. (2011). </w:t>
            </w:r>
            <w:proofErr w:type="spellStart"/>
            <w:r w:rsidRPr="008345F3">
              <w:rPr>
                <w:rFonts w:ascii="Cambria" w:eastAsia="Times New Roman" w:hAnsi="Cambria" w:cs="Times New Roman"/>
                <w:i/>
                <w:iCs/>
                <w:lang w:val="it-IT" w:eastAsia="hr-HR"/>
              </w:rPr>
              <w:t>Opća</w:t>
            </w:r>
            <w:proofErr w:type="spellEnd"/>
            <w:r w:rsidRPr="008345F3">
              <w:rPr>
                <w:rFonts w:ascii="Cambria" w:eastAsia="Times New Roman" w:hAnsi="Cambria" w:cs="Times New Roman"/>
                <w:i/>
                <w:iCs/>
                <w:lang w:val="it-IT" w:eastAsia="hr-HR"/>
              </w:rPr>
              <w:t xml:space="preserve"> </w:t>
            </w:r>
            <w:proofErr w:type="spellStart"/>
            <w:r w:rsidRPr="008345F3">
              <w:rPr>
                <w:rFonts w:ascii="Cambria" w:eastAsia="Times New Roman" w:hAnsi="Cambria" w:cs="Times New Roman"/>
                <w:i/>
                <w:iCs/>
                <w:lang w:val="it-IT" w:eastAsia="hr-HR"/>
              </w:rPr>
              <w:t>kineziološka</w:t>
            </w:r>
            <w:proofErr w:type="spellEnd"/>
            <w:r w:rsidRPr="008345F3">
              <w:rPr>
                <w:rFonts w:ascii="Cambria" w:eastAsia="Times New Roman" w:hAnsi="Cambria" w:cs="Times New Roman"/>
                <w:i/>
                <w:iCs/>
                <w:lang w:val="it-IT" w:eastAsia="hr-HR"/>
              </w:rPr>
              <w:t xml:space="preserve"> </w:t>
            </w:r>
            <w:proofErr w:type="spellStart"/>
            <w:r w:rsidRPr="008345F3">
              <w:rPr>
                <w:rFonts w:ascii="Cambria" w:eastAsia="Times New Roman" w:hAnsi="Cambria" w:cs="Times New Roman"/>
                <w:i/>
                <w:iCs/>
                <w:lang w:val="it-IT" w:eastAsia="hr-HR"/>
              </w:rPr>
              <w:t>metodika</w:t>
            </w:r>
            <w:proofErr w:type="spellEnd"/>
            <w:r w:rsidRPr="008345F3">
              <w:rPr>
                <w:rFonts w:ascii="Cambria" w:eastAsia="Times New Roman" w:hAnsi="Cambria" w:cs="Times New Roman"/>
                <w:lang w:val="it-IT" w:eastAsia="hr-HR"/>
              </w:rPr>
              <w:t xml:space="preserve">. </w:t>
            </w:r>
            <w:proofErr w:type="spellStart"/>
            <w:r w:rsidRPr="008345F3">
              <w:rPr>
                <w:rFonts w:ascii="Cambria" w:eastAsia="Times New Roman" w:hAnsi="Cambria" w:cs="Times New Roman"/>
                <w:lang w:val="it-IT" w:eastAsia="hr-HR"/>
              </w:rPr>
              <w:t>Zagreb</w:t>
            </w:r>
            <w:proofErr w:type="spellEnd"/>
            <w:r w:rsidRPr="008345F3">
              <w:rPr>
                <w:rFonts w:ascii="Cambria" w:eastAsia="Times New Roman" w:hAnsi="Cambria" w:cs="Times New Roman"/>
                <w:lang w:val="it-IT" w:eastAsia="hr-HR"/>
              </w:rPr>
              <w:t xml:space="preserve">: </w:t>
            </w:r>
            <w:proofErr w:type="spellStart"/>
            <w:r w:rsidRPr="008345F3">
              <w:rPr>
                <w:rFonts w:ascii="Cambria" w:eastAsia="Times New Roman" w:hAnsi="Cambria" w:cs="Times New Roman"/>
                <w:lang w:val="it-IT" w:eastAsia="hr-HR"/>
              </w:rPr>
              <w:t>Kineziološki</w:t>
            </w:r>
            <w:proofErr w:type="spellEnd"/>
            <w:r w:rsidRPr="008345F3">
              <w:rPr>
                <w:rFonts w:ascii="Cambria" w:eastAsia="Times New Roman" w:hAnsi="Cambria" w:cs="Times New Roman"/>
                <w:lang w:val="it-IT" w:eastAsia="hr-HR"/>
              </w:rPr>
              <w:t xml:space="preserve"> </w:t>
            </w:r>
            <w:proofErr w:type="spellStart"/>
            <w:r w:rsidRPr="008345F3">
              <w:rPr>
                <w:rFonts w:ascii="Cambria" w:eastAsia="Times New Roman" w:hAnsi="Cambria" w:cs="Times New Roman"/>
                <w:lang w:val="it-IT" w:eastAsia="hr-HR"/>
              </w:rPr>
              <w:t>fakultet</w:t>
            </w:r>
            <w:proofErr w:type="spellEnd"/>
            <w:r w:rsidRPr="008345F3">
              <w:rPr>
                <w:rFonts w:ascii="Cambria" w:eastAsia="Times New Roman" w:hAnsi="Cambria" w:cs="Times New Roman"/>
                <w:lang w:val="it-IT" w:eastAsia="hr-HR"/>
              </w:rPr>
              <w:t xml:space="preserve">, </w:t>
            </w:r>
            <w:proofErr w:type="spellStart"/>
            <w:r w:rsidRPr="008345F3">
              <w:rPr>
                <w:rFonts w:ascii="Cambria" w:eastAsia="Times New Roman" w:hAnsi="Cambria" w:cs="Times New Roman"/>
                <w:lang w:val="it-IT" w:eastAsia="hr-HR"/>
              </w:rPr>
              <w:t>Sveučilišta</w:t>
            </w:r>
            <w:proofErr w:type="spellEnd"/>
            <w:r w:rsidRPr="008345F3">
              <w:rPr>
                <w:rFonts w:ascii="Cambria" w:eastAsia="Times New Roman" w:hAnsi="Cambria" w:cs="Times New Roman"/>
                <w:lang w:val="it-IT" w:eastAsia="hr-HR"/>
              </w:rPr>
              <w:t xml:space="preserve"> u </w:t>
            </w:r>
            <w:proofErr w:type="spellStart"/>
            <w:r w:rsidRPr="008345F3">
              <w:rPr>
                <w:rFonts w:ascii="Cambria" w:eastAsia="Times New Roman" w:hAnsi="Cambria" w:cs="Times New Roman"/>
                <w:lang w:val="it-IT" w:eastAsia="hr-HR"/>
              </w:rPr>
              <w:t>Zagrebu</w:t>
            </w:r>
            <w:proofErr w:type="spellEnd"/>
            <w:r w:rsidRPr="008345F3">
              <w:rPr>
                <w:rFonts w:ascii="Cambria" w:eastAsia="Times New Roman" w:hAnsi="Cambria" w:cs="Times New Roman"/>
                <w:lang w:val="it-IT" w:eastAsia="hr-HR"/>
              </w:rPr>
              <w:t>.</w:t>
            </w:r>
          </w:p>
          <w:p w14:paraId="644E28CD" w14:textId="77777777" w:rsidR="002A021D" w:rsidRPr="008345F3" w:rsidRDefault="002A021D" w:rsidP="00A034E3">
            <w:pPr>
              <w:numPr>
                <w:ilvl w:val="0"/>
                <w:numId w:val="75"/>
              </w:numPr>
              <w:spacing w:after="0"/>
              <w:ind w:left="349" w:hanging="283"/>
              <w:rPr>
                <w:rFonts w:ascii="Cambria" w:eastAsia="Times New Roman" w:hAnsi="Cambria" w:cs="Times New Roman"/>
                <w:lang w:eastAsia="hr-HR"/>
              </w:rPr>
            </w:pPr>
            <w:proofErr w:type="spellStart"/>
            <w:r w:rsidRPr="008345F3">
              <w:rPr>
                <w:rFonts w:ascii="Cambria" w:eastAsia="Times New Roman" w:hAnsi="Cambria" w:cs="Times New Roman"/>
                <w:lang w:val="it-IT" w:eastAsia="hr-HR"/>
              </w:rPr>
              <w:t>Pejčić</w:t>
            </w:r>
            <w:proofErr w:type="spellEnd"/>
            <w:r w:rsidRPr="008345F3">
              <w:rPr>
                <w:rFonts w:ascii="Cambria" w:eastAsia="Times New Roman" w:hAnsi="Cambria" w:cs="Times New Roman"/>
                <w:lang w:val="it-IT" w:eastAsia="hr-HR"/>
              </w:rPr>
              <w:t xml:space="preserve">, A., &amp; Trajkovski, B. (2018). </w:t>
            </w:r>
            <w:proofErr w:type="spellStart"/>
            <w:r w:rsidRPr="008345F3">
              <w:rPr>
                <w:rFonts w:ascii="Cambria" w:eastAsia="Times New Roman" w:hAnsi="Cambria" w:cs="Times New Roman"/>
                <w:i/>
                <w:iCs/>
                <w:lang w:val="it-IT" w:eastAsia="hr-HR"/>
              </w:rPr>
              <w:t>Što</w:t>
            </w:r>
            <w:proofErr w:type="spellEnd"/>
            <w:r w:rsidRPr="008345F3">
              <w:rPr>
                <w:rFonts w:ascii="Cambria" w:eastAsia="Times New Roman" w:hAnsi="Cambria" w:cs="Times New Roman"/>
                <w:i/>
                <w:iCs/>
                <w:lang w:val="it-IT" w:eastAsia="hr-HR"/>
              </w:rPr>
              <w:t xml:space="preserve"> i </w:t>
            </w:r>
            <w:proofErr w:type="spellStart"/>
            <w:r w:rsidRPr="008345F3">
              <w:rPr>
                <w:rFonts w:ascii="Cambria" w:eastAsia="Times New Roman" w:hAnsi="Cambria" w:cs="Times New Roman"/>
                <w:i/>
                <w:iCs/>
                <w:lang w:val="it-IT" w:eastAsia="hr-HR"/>
              </w:rPr>
              <w:t>kako</w:t>
            </w:r>
            <w:proofErr w:type="spellEnd"/>
            <w:r w:rsidRPr="008345F3">
              <w:rPr>
                <w:rFonts w:ascii="Cambria" w:eastAsia="Times New Roman" w:hAnsi="Cambria" w:cs="Times New Roman"/>
                <w:i/>
                <w:iCs/>
                <w:lang w:val="it-IT" w:eastAsia="hr-HR"/>
              </w:rPr>
              <w:t xml:space="preserve"> </w:t>
            </w:r>
            <w:proofErr w:type="spellStart"/>
            <w:r w:rsidRPr="008345F3">
              <w:rPr>
                <w:rFonts w:ascii="Cambria" w:eastAsia="Times New Roman" w:hAnsi="Cambria" w:cs="Times New Roman"/>
                <w:i/>
                <w:iCs/>
                <w:lang w:val="it-IT" w:eastAsia="hr-HR"/>
              </w:rPr>
              <w:t>vježbati</w:t>
            </w:r>
            <w:proofErr w:type="spellEnd"/>
            <w:r w:rsidRPr="008345F3">
              <w:rPr>
                <w:rFonts w:ascii="Cambria" w:eastAsia="Times New Roman" w:hAnsi="Cambria" w:cs="Times New Roman"/>
                <w:i/>
                <w:iCs/>
                <w:lang w:val="it-IT" w:eastAsia="hr-HR"/>
              </w:rPr>
              <w:t xml:space="preserve"> s </w:t>
            </w:r>
            <w:proofErr w:type="spellStart"/>
            <w:r w:rsidRPr="008345F3">
              <w:rPr>
                <w:rFonts w:ascii="Cambria" w:eastAsia="Times New Roman" w:hAnsi="Cambria" w:cs="Times New Roman"/>
                <w:i/>
                <w:iCs/>
                <w:lang w:val="it-IT" w:eastAsia="hr-HR"/>
              </w:rPr>
              <w:t>djecom</w:t>
            </w:r>
            <w:proofErr w:type="spellEnd"/>
            <w:r w:rsidRPr="008345F3">
              <w:rPr>
                <w:rFonts w:ascii="Cambria" w:eastAsia="Times New Roman" w:hAnsi="Cambria" w:cs="Times New Roman"/>
                <w:i/>
                <w:iCs/>
                <w:lang w:val="it-IT" w:eastAsia="hr-HR"/>
              </w:rPr>
              <w:t xml:space="preserve"> u </w:t>
            </w:r>
            <w:proofErr w:type="spellStart"/>
            <w:r w:rsidRPr="008345F3">
              <w:rPr>
                <w:rFonts w:ascii="Cambria" w:eastAsia="Times New Roman" w:hAnsi="Cambria" w:cs="Times New Roman"/>
                <w:i/>
                <w:iCs/>
                <w:lang w:val="it-IT" w:eastAsia="hr-HR"/>
              </w:rPr>
              <w:t>vrtiću</w:t>
            </w:r>
            <w:proofErr w:type="spellEnd"/>
            <w:r w:rsidRPr="008345F3">
              <w:rPr>
                <w:rFonts w:ascii="Cambria" w:eastAsia="Times New Roman" w:hAnsi="Cambria" w:cs="Times New Roman"/>
                <w:i/>
                <w:iCs/>
                <w:lang w:val="it-IT" w:eastAsia="hr-HR"/>
              </w:rPr>
              <w:t xml:space="preserve"> i </w:t>
            </w:r>
            <w:proofErr w:type="spellStart"/>
            <w:r w:rsidRPr="008345F3">
              <w:rPr>
                <w:rFonts w:ascii="Cambria" w:eastAsia="Times New Roman" w:hAnsi="Cambria" w:cs="Times New Roman"/>
                <w:i/>
                <w:iCs/>
                <w:lang w:val="it-IT" w:eastAsia="hr-HR"/>
              </w:rPr>
              <w:t>školi</w:t>
            </w:r>
            <w:proofErr w:type="spellEnd"/>
            <w:r w:rsidRPr="008345F3">
              <w:rPr>
                <w:rFonts w:ascii="Cambria" w:eastAsia="Times New Roman" w:hAnsi="Cambria" w:cs="Times New Roman"/>
                <w:lang w:val="it-IT" w:eastAsia="hr-HR"/>
              </w:rPr>
              <w:t xml:space="preserve">. </w:t>
            </w:r>
            <w:r w:rsidRPr="008345F3">
              <w:rPr>
                <w:rFonts w:ascii="Cambria" w:eastAsia="Times New Roman" w:hAnsi="Cambria" w:cs="Times New Roman"/>
                <w:lang w:eastAsia="hr-HR"/>
              </w:rPr>
              <w:t xml:space="preserve">Rijeka: </w:t>
            </w:r>
            <w:proofErr w:type="spellStart"/>
            <w:r w:rsidRPr="008345F3">
              <w:rPr>
                <w:rFonts w:ascii="Cambria" w:eastAsia="Times New Roman" w:hAnsi="Cambria" w:cs="Times New Roman"/>
                <w:lang w:eastAsia="hr-HR"/>
              </w:rPr>
              <w:t>Učiteljski</w:t>
            </w:r>
            <w:proofErr w:type="spellEnd"/>
            <w:r w:rsidRPr="008345F3">
              <w:rPr>
                <w:rFonts w:ascii="Cambria" w:eastAsia="Times New Roman" w:hAnsi="Cambria" w:cs="Times New Roman"/>
                <w:lang w:eastAsia="hr-HR"/>
              </w:rPr>
              <w:t xml:space="preserve"> </w:t>
            </w:r>
            <w:proofErr w:type="spellStart"/>
            <w:r w:rsidRPr="008345F3">
              <w:rPr>
                <w:rFonts w:ascii="Cambria" w:eastAsia="Times New Roman" w:hAnsi="Cambria" w:cs="Times New Roman"/>
                <w:lang w:eastAsia="hr-HR"/>
              </w:rPr>
              <w:t>fakultet</w:t>
            </w:r>
            <w:proofErr w:type="spellEnd"/>
            <w:r w:rsidRPr="008345F3">
              <w:rPr>
                <w:rFonts w:ascii="Cambria" w:eastAsia="Times New Roman" w:hAnsi="Cambria" w:cs="Times New Roman"/>
                <w:lang w:eastAsia="hr-HR"/>
              </w:rPr>
              <w:t xml:space="preserve"> </w:t>
            </w:r>
            <w:proofErr w:type="spellStart"/>
            <w:r w:rsidRPr="008345F3">
              <w:rPr>
                <w:rFonts w:ascii="Cambria" w:eastAsia="Times New Roman" w:hAnsi="Cambria" w:cs="Times New Roman"/>
                <w:lang w:eastAsia="hr-HR"/>
              </w:rPr>
              <w:t>Sveučilišta</w:t>
            </w:r>
            <w:proofErr w:type="spellEnd"/>
            <w:r w:rsidRPr="008345F3">
              <w:rPr>
                <w:rFonts w:ascii="Cambria" w:eastAsia="Times New Roman" w:hAnsi="Cambria" w:cs="Times New Roman"/>
                <w:lang w:eastAsia="hr-HR"/>
              </w:rPr>
              <w:t xml:space="preserve"> u </w:t>
            </w:r>
            <w:proofErr w:type="spellStart"/>
            <w:r w:rsidRPr="008345F3">
              <w:rPr>
                <w:rFonts w:ascii="Cambria" w:eastAsia="Times New Roman" w:hAnsi="Cambria" w:cs="Times New Roman"/>
                <w:lang w:eastAsia="hr-HR"/>
              </w:rPr>
              <w:t>Rijeci</w:t>
            </w:r>
            <w:proofErr w:type="spellEnd"/>
            <w:r w:rsidRPr="008345F3">
              <w:rPr>
                <w:rFonts w:ascii="Cambria" w:eastAsia="Times New Roman" w:hAnsi="Cambria" w:cs="Times New Roman"/>
                <w:lang w:eastAsia="hr-HR"/>
              </w:rPr>
              <w:t>.</w:t>
            </w:r>
          </w:p>
          <w:p w14:paraId="25803F1A" w14:textId="77777777" w:rsidR="002A021D" w:rsidRPr="008345F3" w:rsidRDefault="002A021D" w:rsidP="000B2D2C">
            <w:pPr>
              <w:spacing w:after="0"/>
              <w:ind w:left="349" w:hanging="283"/>
              <w:outlineLvl w:val="2"/>
              <w:rPr>
                <w:rFonts w:ascii="Cambria" w:eastAsia="Times New Roman" w:hAnsi="Cambria" w:cs="Times New Roman"/>
                <w:bCs/>
                <w:lang w:eastAsia="hr-HR"/>
              </w:rPr>
            </w:pPr>
            <w:proofErr w:type="spellStart"/>
            <w:r w:rsidRPr="008345F3">
              <w:rPr>
                <w:rFonts w:ascii="Cambria" w:eastAsia="Times New Roman" w:hAnsi="Cambria" w:cs="Times New Roman"/>
                <w:bCs/>
                <w:lang w:eastAsia="hr-HR"/>
              </w:rPr>
              <w:t>Izborna</w:t>
            </w:r>
            <w:proofErr w:type="spellEnd"/>
            <w:r w:rsidRPr="008345F3">
              <w:rPr>
                <w:rFonts w:ascii="Cambria" w:eastAsia="Times New Roman" w:hAnsi="Cambria" w:cs="Times New Roman"/>
                <w:bCs/>
                <w:lang w:eastAsia="hr-HR"/>
              </w:rPr>
              <w:t>:</w:t>
            </w:r>
          </w:p>
          <w:p w14:paraId="4401A13C" w14:textId="77777777" w:rsidR="002A021D" w:rsidRPr="008345F3" w:rsidRDefault="002A021D" w:rsidP="00A034E3">
            <w:pPr>
              <w:numPr>
                <w:ilvl w:val="0"/>
                <w:numId w:val="76"/>
              </w:numPr>
              <w:spacing w:after="0"/>
              <w:ind w:left="349" w:hanging="283"/>
              <w:rPr>
                <w:rFonts w:ascii="Cambria" w:eastAsia="Times New Roman" w:hAnsi="Cambria" w:cs="Times New Roman"/>
                <w:lang w:eastAsia="hr-HR"/>
              </w:rPr>
            </w:pPr>
            <w:proofErr w:type="spellStart"/>
            <w:r w:rsidRPr="008345F3">
              <w:rPr>
                <w:rFonts w:ascii="Cambria" w:eastAsia="Times New Roman" w:hAnsi="Cambria" w:cs="Times New Roman"/>
                <w:lang w:val="it-IT" w:eastAsia="hr-HR"/>
              </w:rPr>
              <w:t>Neljak</w:t>
            </w:r>
            <w:proofErr w:type="spellEnd"/>
            <w:r w:rsidRPr="008345F3">
              <w:rPr>
                <w:rFonts w:ascii="Cambria" w:eastAsia="Times New Roman" w:hAnsi="Cambria" w:cs="Times New Roman"/>
                <w:lang w:val="it-IT" w:eastAsia="hr-HR"/>
              </w:rPr>
              <w:t xml:space="preserve"> i </w:t>
            </w:r>
            <w:proofErr w:type="spellStart"/>
            <w:r w:rsidRPr="008345F3">
              <w:rPr>
                <w:rFonts w:ascii="Cambria" w:eastAsia="Times New Roman" w:hAnsi="Cambria" w:cs="Times New Roman"/>
                <w:lang w:val="it-IT" w:eastAsia="hr-HR"/>
              </w:rPr>
              <w:t>suradnici</w:t>
            </w:r>
            <w:proofErr w:type="spellEnd"/>
            <w:r w:rsidRPr="008345F3">
              <w:rPr>
                <w:rFonts w:ascii="Cambria" w:eastAsia="Times New Roman" w:hAnsi="Cambria" w:cs="Times New Roman"/>
                <w:lang w:val="it-IT" w:eastAsia="hr-HR"/>
              </w:rPr>
              <w:t xml:space="preserve">. (2008). </w:t>
            </w:r>
            <w:proofErr w:type="spellStart"/>
            <w:r w:rsidRPr="008345F3">
              <w:rPr>
                <w:rFonts w:ascii="Cambria" w:eastAsia="Times New Roman" w:hAnsi="Cambria" w:cs="Times New Roman"/>
                <w:i/>
                <w:iCs/>
                <w:lang w:val="it-IT" w:eastAsia="hr-HR"/>
              </w:rPr>
              <w:t>Vježbajmo</w:t>
            </w:r>
            <w:proofErr w:type="spellEnd"/>
            <w:r w:rsidRPr="008345F3">
              <w:rPr>
                <w:rFonts w:ascii="Cambria" w:eastAsia="Times New Roman" w:hAnsi="Cambria" w:cs="Times New Roman"/>
                <w:i/>
                <w:iCs/>
                <w:lang w:val="it-IT" w:eastAsia="hr-HR"/>
              </w:rPr>
              <w:t xml:space="preserve"> </w:t>
            </w:r>
            <w:proofErr w:type="spellStart"/>
            <w:r w:rsidRPr="008345F3">
              <w:rPr>
                <w:rFonts w:ascii="Cambria" w:eastAsia="Times New Roman" w:hAnsi="Cambria" w:cs="Times New Roman"/>
                <w:i/>
                <w:iCs/>
                <w:lang w:val="it-IT" w:eastAsia="hr-HR"/>
              </w:rPr>
              <w:t>zajedno</w:t>
            </w:r>
            <w:proofErr w:type="spellEnd"/>
            <w:r w:rsidRPr="008345F3">
              <w:rPr>
                <w:rFonts w:ascii="Cambria" w:eastAsia="Times New Roman" w:hAnsi="Cambria" w:cs="Times New Roman"/>
                <w:i/>
                <w:iCs/>
                <w:lang w:val="it-IT" w:eastAsia="hr-HR"/>
              </w:rPr>
              <w:t xml:space="preserve"> 1, 2, 3 i 4</w:t>
            </w:r>
            <w:r w:rsidRPr="008345F3">
              <w:rPr>
                <w:rFonts w:ascii="Cambria" w:eastAsia="Times New Roman" w:hAnsi="Cambria" w:cs="Times New Roman"/>
                <w:lang w:val="it-IT" w:eastAsia="hr-HR"/>
              </w:rPr>
              <w:t xml:space="preserve">. </w:t>
            </w:r>
            <w:r w:rsidRPr="008345F3">
              <w:rPr>
                <w:rFonts w:ascii="Cambria" w:eastAsia="Times New Roman" w:hAnsi="Cambria" w:cs="Times New Roman"/>
                <w:lang w:eastAsia="hr-HR"/>
              </w:rPr>
              <w:t xml:space="preserve">Zagreb: </w:t>
            </w:r>
            <w:proofErr w:type="spellStart"/>
            <w:r w:rsidRPr="008345F3">
              <w:rPr>
                <w:rFonts w:ascii="Cambria" w:eastAsia="Times New Roman" w:hAnsi="Cambria" w:cs="Times New Roman"/>
                <w:lang w:eastAsia="hr-HR"/>
              </w:rPr>
              <w:t>Profil</w:t>
            </w:r>
            <w:proofErr w:type="spellEnd"/>
            <w:r w:rsidRPr="008345F3">
              <w:rPr>
                <w:rFonts w:ascii="Cambria" w:eastAsia="Times New Roman" w:hAnsi="Cambria" w:cs="Times New Roman"/>
                <w:lang w:eastAsia="hr-HR"/>
              </w:rPr>
              <w:t>.</w:t>
            </w:r>
          </w:p>
          <w:p w14:paraId="0D935E01" w14:textId="77777777" w:rsidR="002A021D" w:rsidRPr="008345F3" w:rsidRDefault="002A021D" w:rsidP="00A034E3">
            <w:pPr>
              <w:numPr>
                <w:ilvl w:val="0"/>
                <w:numId w:val="76"/>
              </w:numPr>
              <w:spacing w:after="0"/>
              <w:ind w:left="349" w:hanging="283"/>
              <w:rPr>
                <w:rFonts w:ascii="Cambria" w:eastAsia="Times New Roman" w:hAnsi="Cambria" w:cs="Times New Roman"/>
                <w:lang w:eastAsia="hr-HR"/>
              </w:rPr>
            </w:pPr>
            <w:proofErr w:type="spellStart"/>
            <w:r w:rsidRPr="008345F3">
              <w:rPr>
                <w:rFonts w:ascii="Cambria" w:eastAsia="Times New Roman" w:hAnsi="Cambria" w:cs="Times New Roman"/>
                <w:lang w:eastAsia="hr-HR"/>
              </w:rPr>
              <w:t>Živčić</w:t>
            </w:r>
            <w:proofErr w:type="spellEnd"/>
            <w:r w:rsidRPr="008345F3">
              <w:rPr>
                <w:rFonts w:ascii="Cambria" w:eastAsia="Times New Roman" w:hAnsi="Cambria" w:cs="Times New Roman"/>
                <w:lang w:eastAsia="hr-HR"/>
              </w:rPr>
              <w:t xml:space="preserve"> Marković, K., &amp; Breslauer, N. (2011). </w:t>
            </w:r>
            <w:proofErr w:type="spellStart"/>
            <w:r w:rsidRPr="008345F3">
              <w:rPr>
                <w:rFonts w:ascii="Cambria" w:eastAsia="Times New Roman" w:hAnsi="Cambria" w:cs="Times New Roman"/>
                <w:i/>
                <w:iCs/>
                <w:lang w:eastAsia="hr-HR"/>
              </w:rPr>
              <w:t>Opisi</w:t>
            </w:r>
            <w:proofErr w:type="spellEnd"/>
            <w:r w:rsidRPr="008345F3">
              <w:rPr>
                <w:rFonts w:ascii="Cambria" w:eastAsia="Times New Roman" w:hAnsi="Cambria" w:cs="Times New Roman"/>
                <w:i/>
                <w:iCs/>
                <w:lang w:eastAsia="hr-HR"/>
              </w:rPr>
              <w:t xml:space="preserve"> </w:t>
            </w:r>
            <w:proofErr w:type="spellStart"/>
            <w:r w:rsidRPr="008345F3">
              <w:rPr>
                <w:rFonts w:ascii="Cambria" w:eastAsia="Times New Roman" w:hAnsi="Cambria" w:cs="Times New Roman"/>
                <w:i/>
                <w:iCs/>
                <w:lang w:eastAsia="hr-HR"/>
              </w:rPr>
              <w:t>nastavnih</w:t>
            </w:r>
            <w:proofErr w:type="spellEnd"/>
            <w:r w:rsidRPr="008345F3">
              <w:rPr>
                <w:rFonts w:ascii="Cambria" w:eastAsia="Times New Roman" w:hAnsi="Cambria" w:cs="Times New Roman"/>
                <w:i/>
                <w:iCs/>
                <w:lang w:eastAsia="hr-HR"/>
              </w:rPr>
              <w:t xml:space="preserve"> </w:t>
            </w:r>
            <w:proofErr w:type="spellStart"/>
            <w:r w:rsidRPr="008345F3">
              <w:rPr>
                <w:rFonts w:ascii="Cambria" w:eastAsia="Times New Roman" w:hAnsi="Cambria" w:cs="Times New Roman"/>
                <w:i/>
                <w:iCs/>
                <w:lang w:eastAsia="hr-HR"/>
              </w:rPr>
              <w:t>tema</w:t>
            </w:r>
            <w:proofErr w:type="spellEnd"/>
            <w:r w:rsidRPr="008345F3">
              <w:rPr>
                <w:rFonts w:ascii="Cambria" w:eastAsia="Times New Roman" w:hAnsi="Cambria" w:cs="Times New Roman"/>
                <w:i/>
                <w:iCs/>
                <w:lang w:eastAsia="hr-HR"/>
              </w:rPr>
              <w:t xml:space="preserve"> </w:t>
            </w:r>
            <w:proofErr w:type="spellStart"/>
            <w:r w:rsidRPr="008345F3">
              <w:rPr>
                <w:rFonts w:ascii="Cambria" w:eastAsia="Times New Roman" w:hAnsi="Cambria" w:cs="Times New Roman"/>
                <w:i/>
                <w:iCs/>
                <w:lang w:eastAsia="hr-HR"/>
              </w:rPr>
              <w:t>i</w:t>
            </w:r>
            <w:proofErr w:type="spellEnd"/>
            <w:r w:rsidRPr="008345F3">
              <w:rPr>
                <w:rFonts w:ascii="Cambria" w:eastAsia="Times New Roman" w:hAnsi="Cambria" w:cs="Times New Roman"/>
                <w:i/>
                <w:iCs/>
                <w:lang w:eastAsia="hr-HR"/>
              </w:rPr>
              <w:t xml:space="preserve"> </w:t>
            </w:r>
            <w:proofErr w:type="spellStart"/>
            <w:r w:rsidRPr="008345F3">
              <w:rPr>
                <w:rFonts w:ascii="Cambria" w:eastAsia="Times New Roman" w:hAnsi="Cambria" w:cs="Times New Roman"/>
                <w:i/>
                <w:iCs/>
                <w:lang w:eastAsia="hr-HR"/>
              </w:rPr>
              <w:t>kriterij</w:t>
            </w:r>
            <w:proofErr w:type="spellEnd"/>
            <w:r w:rsidRPr="008345F3">
              <w:rPr>
                <w:rFonts w:ascii="Cambria" w:eastAsia="Times New Roman" w:hAnsi="Cambria" w:cs="Times New Roman"/>
                <w:i/>
                <w:iCs/>
                <w:lang w:eastAsia="hr-HR"/>
              </w:rPr>
              <w:t xml:space="preserve"> </w:t>
            </w:r>
            <w:proofErr w:type="spellStart"/>
            <w:r w:rsidRPr="008345F3">
              <w:rPr>
                <w:rFonts w:ascii="Cambria" w:eastAsia="Times New Roman" w:hAnsi="Cambria" w:cs="Times New Roman"/>
                <w:i/>
                <w:iCs/>
                <w:lang w:eastAsia="hr-HR"/>
              </w:rPr>
              <w:t>ocjenjivanja</w:t>
            </w:r>
            <w:proofErr w:type="spellEnd"/>
            <w:r w:rsidRPr="008345F3">
              <w:rPr>
                <w:rFonts w:ascii="Cambria" w:eastAsia="Times New Roman" w:hAnsi="Cambria" w:cs="Times New Roman"/>
                <w:i/>
                <w:iCs/>
                <w:lang w:eastAsia="hr-HR"/>
              </w:rPr>
              <w:t xml:space="preserve">: </w:t>
            </w:r>
            <w:proofErr w:type="spellStart"/>
            <w:r w:rsidRPr="008345F3">
              <w:rPr>
                <w:rFonts w:ascii="Cambria" w:eastAsia="Times New Roman" w:hAnsi="Cambria" w:cs="Times New Roman"/>
                <w:i/>
                <w:iCs/>
                <w:lang w:eastAsia="hr-HR"/>
              </w:rPr>
              <w:t>Tjelesna</w:t>
            </w:r>
            <w:proofErr w:type="spellEnd"/>
            <w:r w:rsidRPr="008345F3">
              <w:rPr>
                <w:rFonts w:ascii="Cambria" w:eastAsia="Times New Roman" w:hAnsi="Cambria" w:cs="Times New Roman"/>
                <w:i/>
                <w:iCs/>
                <w:lang w:eastAsia="hr-HR"/>
              </w:rPr>
              <w:t xml:space="preserve"> </w:t>
            </w:r>
            <w:proofErr w:type="spellStart"/>
            <w:r w:rsidRPr="008345F3">
              <w:rPr>
                <w:rFonts w:ascii="Cambria" w:eastAsia="Times New Roman" w:hAnsi="Cambria" w:cs="Times New Roman"/>
                <w:i/>
                <w:iCs/>
                <w:lang w:eastAsia="hr-HR"/>
              </w:rPr>
              <w:t>i</w:t>
            </w:r>
            <w:proofErr w:type="spellEnd"/>
            <w:r w:rsidRPr="008345F3">
              <w:rPr>
                <w:rFonts w:ascii="Cambria" w:eastAsia="Times New Roman" w:hAnsi="Cambria" w:cs="Times New Roman"/>
                <w:i/>
                <w:iCs/>
                <w:lang w:eastAsia="hr-HR"/>
              </w:rPr>
              <w:t xml:space="preserve"> </w:t>
            </w:r>
            <w:proofErr w:type="spellStart"/>
            <w:r w:rsidRPr="008345F3">
              <w:rPr>
                <w:rFonts w:ascii="Cambria" w:eastAsia="Times New Roman" w:hAnsi="Cambria" w:cs="Times New Roman"/>
                <w:i/>
                <w:iCs/>
                <w:lang w:eastAsia="hr-HR"/>
              </w:rPr>
              <w:t>zdravstvena</w:t>
            </w:r>
            <w:proofErr w:type="spellEnd"/>
            <w:r w:rsidRPr="008345F3">
              <w:rPr>
                <w:rFonts w:ascii="Cambria" w:eastAsia="Times New Roman" w:hAnsi="Cambria" w:cs="Times New Roman"/>
                <w:i/>
                <w:iCs/>
                <w:lang w:eastAsia="hr-HR"/>
              </w:rPr>
              <w:t xml:space="preserve"> </w:t>
            </w:r>
            <w:proofErr w:type="spellStart"/>
            <w:r w:rsidRPr="008345F3">
              <w:rPr>
                <w:rFonts w:ascii="Cambria" w:eastAsia="Times New Roman" w:hAnsi="Cambria" w:cs="Times New Roman"/>
                <w:i/>
                <w:iCs/>
                <w:lang w:eastAsia="hr-HR"/>
              </w:rPr>
              <w:t>kultura</w:t>
            </w:r>
            <w:proofErr w:type="spellEnd"/>
            <w:r w:rsidRPr="008345F3">
              <w:rPr>
                <w:rFonts w:ascii="Cambria" w:eastAsia="Times New Roman" w:hAnsi="Cambria" w:cs="Times New Roman"/>
                <w:i/>
                <w:iCs/>
                <w:lang w:eastAsia="hr-HR"/>
              </w:rPr>
              <w:t xml:space="preserve"> u </w:t>
            </w:r>
            <w:proofErr w:type="spellStart"/>
            <w:r w:rsidRPr="008345F3">
              <w:rPr>
                <w:rFonts w:ascii="Cambria" w:eastAsia="Times New Roman" w:hAnsi="Cambria" w:cs="Times New Roman"/>
                <w:i/>
                <w:iCs/>
                <w:lang w:eastAsia="hr-HR"/>
              </w:rPr>
              <w:t>razrednoj</w:t>
            </w:r>
            <w:proofErr w:type="spellEnd"/>
            <w:r w:rsidRPr="008345F3">
              <w:rPr>
                <w:rFonts w:ascii="Cambria" w:eastAsia="Times New Roman" w:hAnsi="Cambria" w:cs="Times New Roman"/>
                <w:i/>
                <w:iCs/>
                <w:lang w:eastAsia="hr-HR"/>
              </w:rPr>
              <w:t xml:space="preserve"> </w:t>
            </w:r>
            <w:proofErr w:type="spellStart"/>
            <w:r w:rsidRPr="008345F3">
              <w:rPr>
                <w:rFonts w:ascii="Cambria" w:eastAsia="Times New Roman" w:hAnsi="Cambria" w:cs="Times New Roman"/>
                <w:i/>
                <w:iCs/>
                <w:lang w:eastAsia="hr-HR"/>
              </w:rPr>
              <w:t>nastavi</w:t>
            </w:r>
            <w:proofErr w:type="spellEnd"/>
            <w:r w:rsidRPr="008345F3">
              <w:rPr>
                <w:rFonts w:ascii="Cambria" w:eastAsia="Times New Roman" w:hAnsi="Cambria" w:cs="Times New Roman"/>
                <w:lang w:eastAsia="hr-HR"/>
              </w:rPr>
              <w:t xml:space="preserve">. </w:t>
            </w:r>
            <w:proofErr w:type="spellStart"/>
            <w:r w:rsidRPr="008345F3">
              <w:rPr>
                <w:rFonts w:ascii="Cambria" w:eastAsia="Times New Roman" w:hAnsi="Cambria" w:cs="Times New Roman"/>
                <w:lang w:eastAsia="hr-HR"/>
              </w:rPr>
              <w:t>Čakovec</w:t>
            </w:r>
            <w:proofErr w:type="spellEnd"/>
            <w:r w:rsidRPr="008345F3">
              <w:rPr>
                <w:rFonts w:ascii="Cambria" w:eastAsia="Times New Roman" w:hAnsi="Cambria" w:cs="Times New Roman"/>
                <w:lang w:eastAsia="hr-HR"/>
              </w:rPr>
              <w:t xml:space="preserve">: </w:t>
            </w:r>
            <w:proofErr w:type="spellStart"/>
            <w:r w:rsidRPr="008345F3">
              <w:rPr>
                <w:rFonts w:ascii="Cambria" w:eastAsia="Times New Roman" w:hAnsi="Cambria" w:cs="Times New Roman"/>
                <w:lang w:eastAsia="hr-HR"/>
              </w:rPr>
              <w:t>Međimursko</w:t>
            </w:r>
            <w:proofErr w:type="spellEnd"/>
            <w:r w:rsidRPr="008345F3">
              <w:rPr>
                <w:rFonts w:ascii="Cambria" w:eastAsia="Times New Roman" w:hAnsi="Cambria" w:cs="Times New Roman"/>
                <w:lang w:eastAsia="hr-HR"/>
              </w:rPr>
              <w:t xml:space="preserve"> </w:t>
            </w:r>
            <w:proofErr w:type="spellStart"/>
            <w:r w:rsidRPr="008345F3">
              <w:rPr>
                <w:rFonts w:ascii="Cambria" w:eastAsia="Times New Roman" w:hAnsi="Cambria" w:cs="Times New Roman"/>
                <w:lang w:eastAsia="hr-HR"/>
              </w:rPr>
              <w:t>veleučilište</w:t>
            </w:r>
            <w:proofErr w:type="spellEnd"/>
            <w:r w:rsidRPr="008345F3">
              <w:rPr>
                <w:rFonts w:ascii="Cambria" w:eastAsia="Times New Roman" w:hAnsi="Cambria" w:cs="Times New Roman"/>
                <w:lang w:eastAsia="hr-HR"/>
              </w:rPr>
              <w:t>.</w:t>
            </w:r>
          </w:p>
          <w:p w14:paraId="698A12B8" w14:textId="77777777" w:rsidR="002A021D" w:rsidRPr="008345F3" w:rsidRDefault="002A021D" w:rsidP="00A034E3">
            <w:pPr>
              <w:numPr>
                <w:ilvl w:val="0"/>
                <w:numId w:val="76"/>
              </w:numPr>
              <w:spacing w:after="0"/>
              <w:ind w:left="349" w:hanging="283"/>
              <w:rPr>
                <w:rFonts w:ascii="Cambria" w:eastAsia="Times New Roman" w:hAnsi="Cambria" w:cs="Times New Roman"/>
                <w:lang w:eastAsia="hr-HR"/>
              </w:rPr>
            </w:pPr>
            <w:r w:rsidRPr="008345F3">
              <w:rPr>
                <w:rFonts w:ascii="Cambria" w:eastAsia="Times New Roman" w:hAnsi="Cambria" w:cs="Times New Roman"/>
                <w:lang w:eastAsia="hr-HR"/>
              </w:rPr>
              <w:t xml:space="preserve">Sekulić, D., &amp; </w:t>
            </w:r>
            <w:proofErr w:type="spellStart"/>
            <w:r w:rsidRPr="008345F3">
              <w:rPr>
                <w:rFonts w:ascii="Cambria" w:eastAsia="Times New Roman" w:hAnsi="Cambria" w:cs="Times New Roman"/>
                <w:lang w:eastAsia="hr-HR"/>
              </w:rPr>
              <w:t>Metikoš</w:t>
            </w:r>
            <w:proofErr w:type="spellEnd"/>
            <w:r w:rsidRPr="008345F3">
              <w:rPr>
                <w:rFonts w:ascii="Cambria" w:eastAsia="Times New Roman" w:hAnsi="Cambria" w:cs="Times New Roman"/>
                <w:lang w:eastAsia="hr-HR"/>
              </w:rPr>
              <w:t xml:space="preserve">, D. (2007). </w:t>
            </w:r>
            <w:proofErr w:type="spellStart"/>
            <w:r w:rsidRPr="008345F3">
              <w:rPr>
                <w:rFonts w:ascii="Cambria" w:eastAsia="Times New Roman" w:hAnsi="Cambria" w:cs="Times New Roman"/>
                <w:i/>
                <w:iCs/>
                <w:lang w:eastAsia="hr-HR"/>
              </w:rPr>
              <w:t>Uvod</w:t>
            </w:r>
            <w:proofErr w:type="spellEnd"/>
            <w:r w:rsidRPr="008345F3">
              <w:rPr>
                <w:rFonts w:ascii="Cambria" w:eastAsia="Times New Roman" w:hAnsi="Cambria" w:cs="Times New Roman"/>
                <w:i/>
                <w:iCs/>
                <w:lang w:eastAsia="hr-HR"/>
              </w:rPr>
              <w:t xml:space="preserve"> u </w:t>
            </w:r>
            <w:proofErr w:type="spellStart"/>
            <w:r w:rsidRPr="008345F3">
              <w:rPr>
                <w:rFonts w:ascii="Cambria" w:eastAsia="Times New Roman" w:hAnsi="Cambria" w:cs="Times New Roman"/>
                <w:i/>
                <w:iCs/>
                <w:lang w:eastAsia="hr-HR"/>
              </w:rPr>
              <w:t>transformacijske</w:t>
            </w:r>
            <w:proofErr w:type="spellEnd"/>
            <w:r w:rsidRPr="008345F3">
              <w:rPr>
                <w:rFonts w:ascii="Cambria" w:eastAsia="Times New Roman" w:hAnsi="Cambria" w:cs="Times New Roman"/>
                <w:i/>
                <w:iCs/>
                <w:lang w:eastAsia="hr-HR"/>
              </w:rPr>
              <w:t xml:space="preserve"> </w:t>
            </w:r>
            <w:proofErr w:type="spellStart"/>
            <w:r w:rsidRPr="008345F3">
              <w:rPr>
                <w:rFonts w:ascii="Cambria" w:eastAsia="Times New Roman" w:hAnsi="Cambria" w:cs="Times New Roman"/>
                <w:i/>
                <w:iCs/>
                <w:lang w:eastAsia="hr-HR"/>
              </w:rPr>
              <w:t>postupke</w:t>
            </w:r>
            <w:proofErr w:type="spellEnd"/>
            <w:r w:rsidRPr="008345F3">
              <w:rPr>
                <w:rFonts w:ascii="Cambria" w:eastAsia="Times New Roman" w:hAnsi="Cambria" w:cs="Times New Roman"/>
                <w:i/>
                <w:iCs/>
                <w:lang w:eastAsia="hr-HR"/>
              </w:rPr>
              <w:t xml:space="preserve"> u </w:t>
            </w:r>
            <w:proofErr w:type="spellStart"/>
            <w:r w:rsidRPr="008345F3">
              <w:rPr>
                <w:rFonts w:ascii="Cambria" w:eastAsia="Times New Roman" w:hAnsi="Cambria" w:cs="Times New Roman"/>
                <w:i/>
                <w:iCs/>
                <w:lang w:eastAsia="hr-HR"/>
              </w:rPr>
              <w:t>kineziologiji</w:t>
            </w:r>
            <w:proofErr w:type="spellEnd"/>
            <w:r w:rsidRPr="008345F3">
              <w:rPr>
                <w:rFonts w:ascii="Cambria" w:eastAsia="Times New Roman" w:hAnsi="Cambria" w:cs="Times New Roman"/>
                <w:lang w:eastAsia="hr-HR"/>
              </w:rPr>
              <w:t xml:space="preserve">. Split: </w:t>
            </w:r>
            <w:proofErr w:type="spellStart"/>
            <w:r w:rsidRPr="008345F3">
              <w:rPr>
                <w:rFonts w:ascii="Cambria" w:eastAsia="Times New Roman" w:hAnsi="Cambria" w:cs="Times New Roman"/>
                <w:lang w:eastAsia="hr-HR"/>
              </w:rPr>
              <w:t>Fakultet</w:t>
            </w:r>
            <w:proofErr w:type="spellEnd"/>
            <w:r w:rsidRPr="008345F3">
              <w:rPr>
                <w:rFonts w:ascii="Cambria" w:eastAsia="Times New Roman" w:hAnsi="Cambria" w:cs="Times New Roman"/>
                <w:lang w:eastAsia="hr-HR"/>
              </w:rPr>
              <w:t xml:space="preserve"> </w:t>
            </w:r>
            <w:proofErr w:type="spellStart"/>
            <w:r w:rsidRPr="008345F3">
              <w:rPr>
                <w:rFonts w:ascii="Cambria" w:eastAsia="Times New Roman" w:hAnsi="Cambria" w:cs="Times New Roman"/>
                <w:lang w:eastAsia="hr-HR"/>
              </w:rPr>
              <w:t>prirodoslovno-matematičkih</w:t>
            </w:r>
            <w:proofErr w:type="spellEnd"/>
            <w:r w:rsidRPr="008345F3">
              <w:rPr>
                <w:rFonts w:ascii="Cambria" w:eastAsia="Times New Roman" w:hAnsi="Cambria" w:cs="Times New Roman"/>
                <w:lang w:eastAsia="hr-HR"/>
              </w:rPr>
              <w:t xml:space="preserve"> </w:t>
            </w:r>
            <w:proofErr w:type="spellStart"/>
            <w:r w:rsidRPr="008345F3">
              <w:rPr>
                <w:rFonts w:ascii="Cambria" w:eastAsia="Times New Roman" w:hAnsi="Cambria" w:cs="Times New Roman"/>
                <w:lang w:eastAsia="hr-HR"/>
              </w:rPr>
              <w:t>znanosti</w:t>
            </w:r>
            <w:proofErr w:type="spellEnd"/>
            <w:r w:rsidRPr="008345F3">
              <w:rPr>
                <w:rFonts w:ascii="Cambria" w:eastAsia="Times New Roman" w:hAnsi="Cambria" w:cs="Times New Roman"/>
                <w:lang w:eastAsia="hr-HR"/>
              </w:rPr>
              <w:t xml:space="preserve"> </w:t>
            </w:r>
            <w:proofErr w:type="spellStart"/>
            <w:r w:rsidRPr="008345F3">
              <w:rPr>
                <w:rFonts w:ascii="Cambria" w:eastAsia="Times New Roman" w:hAnsi="Cambria" w:cs="Times New Roman"/>
                <w:lang w:eastAsia="hr-HR"/>
              </w:rPr>
              <w:t>i</w:t>
            </w:r>
            <w:proofErr w:type="spellEnd"/>
            <w:r w:rsidRPr="008345F3">
              <w:rPr>
                <w:rFonts w:ascii="Cambria" w:eastAsia="Times New Roman" w:hAnsi="Cambria" w:cs="Times New Roman"/>
                <w:lang w:eastAsia="hr-HR"/>
              </w:rPr>
              <w:t xml:space="preserve"> </w:t>
            </w:r>
            <w:proofErr w:type="spellStart"/>
            <w:r w:rsidRPr="008345F3">
              <w:rPr>
                <w:rFonts w:ascii="Cambria" w:eastAsia="Times New Roman" w:hAnsi="Cambria" w:cs="Times New Roman"/>
                <w:lang w:eastAsia="hr-HR"/>
              </w:rPr>
              <w:t>kineziologije</w:t>
            </w:r>
            <w:proofErr w:type="spellEnd"/>
            <w:r w:rsidRPr="008345F3">
              <w:rPr>
                <w:rFonts w:ascii="Cambria" w:eastAsia="Times New Roman" w:hAnsi="Cambria" w:cs="Times New Roman"/>
                <w:lang w:eastAsia="hr-HR"/>
              </w:rPr>
              <w:t xml:space="preserve"> </w:t>
            </w:r>
            <w:proofErr w:type="spellStart"/>
            <w:r w:rsidRPr="008345F3">
              <w:rPr>
                <w:rFonts w:ascii="Cambria" w:eastAsia="Times New Roman" w:hAnsi="Cambria" w:cs="Times New Roman"/>
                <w:lang w:eastAsia="hr-HR"/>
              </w:rPr>
              <w:t>Sveučilišta</w:t>
            </w:r>
            <w:proofErr w:type="spellEnd"/>
            <w:r w:rsidRPr="008345F3">
              <w:rPr>
                <w:rFonts w:ascii="Cambria" w:eastAsia="Times New Roman" w:hAnsi="Cambria" w:cs="Times New Roman"/>
                <w:lang w:eastAsia="hr-HR"/>
              </w:rPr>
              <w:t xml:space="preserve"> u </w:t>
            </w:r>
            <w:proofErr w:type="spellStart"/>
            <w:r w:rsidRPr="008345F3">
              <w:rPr>
                <w:rFonts w:ascii="Cambria" w:eastAsia="Times New Roman" w:hAnsi="Cambria" w:cs="Times New Roman"/>
                <w:lang w:eastAsia="hr-HR"/>
              </w:rPr>
              <w:t>Splitu</w:t>
            </w:r>
            <w:proofErr w:type="spellEnd"/>
            <w:r w:rsidRPr="008345F3">
              <w:rPr>
                <w:rFonts w:ascii="Cambria" w:eastAsia="Times New Roman" w:hAnsi="Cambria" w:cs="Times New Roman"/>
                <w:lang w:eastAsia="hr-HR"/>
              </w:rPr>
              <w:t>.</w:t>
            </w:r>
          </w:p>
          <w:p w14:paraId="70FD0C2F" w14:textId="77777777" w:rsidR="002A021D" w:rsidRPr="008345F3" w:rsidRDefault="002A021D" w:rsidP="00A034E3">
            <w:pPr>
              <w:numPr>
                <w:ilvl w:val="0"/>
                <w:numId w:val="76"/>
              </w:numPr>
              <w:spacing w:after="0"/>
              <w:ind w:left="349" w:hanging="283"/>
              <w:rPr>
                <w:rFonts w:ascii="Cambria" w:eastAsia="Times New Roman" w:hAnsi="Cambria" w:cs="Times New Roman"/>
                <w:lang w:eastAsia="hr-HR"/>
              </w:rPr>
            </w:pPr>
            <w:r w:rsidRPr="008345F3">
              <w:rPr>
                <w:rFonts w:ascii="Cambria" w:eastAsia="Times New Roman" w:hAnsi="Cambria" w:cs="Times New Roman"/>
                <w:lang w:eastAsia="hr-HR"/>
              </w:rPr>
              <w:t xml:space="preserve">Trajkovski, B. (2018). </w:t>
            </w:r>
            <w:proofErr w:type="spellStart"/>
            <w:r w:rsidRPr="008345F3">
              <w:rPr>
                <w:rFonts w:ascii="Cambria" w:eastAsia="Times New Roman" w:hAnsi="Cambria" w:cs="Times New Roman"/>
                <w:i/>
                <w:iCs/>
                <w:lang w:eastAsia="hr-HR"/>
              </w:rPr>
              <w:t>Primjena</w:t>
            </w:r>
            <w:proofErr w:type="spellEnd"/>
            <w:r w:rsidRPr="008345F3">
              <w:rPr>
                <w:rFonts w:ascii="Cambria" w:eastAsia="Times New Roman" w:hAnsi="Cambria" w:cs="Times New Roman"/>
                <w:i/>
                <w:iCs/>
                <w:lang w:eastAsia="hr-HR"/>
              </w:rPr>
              <w:t xml:space="preserve"> </w:t>
            </w:r>
            <w:proofErr w:type="spellStart"/>
            <w:r w:rsidRPr="008345F3">
              <w:rPr>
                <w:rFonts w:ascii="Cambria" w:eastAsia="Times New Roman" w:hAnsi="Cambria" w:cs="Times New Roman"/>
                <w:i/>
                <w:iCs/>
                <w:lang w:eastAsia="hr-HR"/>
              </w:rPr>
              <w:t>elementarnih</w:t>
            </w:r>
            <w:proofErr w:type="spellEnd"/>
            <w:r w:rsidRPr="008345F3">
              <w:rPr>
                <w:rFonts w:ascii="Cambria" w:eastAsia="Times New Roman" w:hAnsi="Cambria" w:cs="Times New Roman"/>
                <w:i/>
                <w:iCs/>
                <w:lang w:eastAsia="hr-HR"/>
              </w:rPr>
              <w:t xml:space="preserve"> </w:t>
            </w:r>
            <w:proofErr w:type="spellStart"/>
            <w:r w:rsidRPr="008345F3">
              <w:rPr>
                <w:rFonts w:ascii="Cambria" w:eastAsia="Times New Roman" w:hAnsi="Cambria" w:cs="Times New Roman"/>
                <w:i/>
                <w:iCs/>
                <w:lang w:eastAsia="hr-HR"/>
              </w:rPr>
              <w:t>igara</w:t>
            </w:r>
            <w:proofErr w:type="spellEnd"/>
            <w:r w:rsidRPr="008345F3">
              <w:rPr>
                <w:rFonts w:ascii="Cambria" w:eastAsia="Times New Roman" w:hAnsi="Cambria" w:cs="Times New Roman"/>
                <w:i/>
                <w:iCs/>
                <w:lang w:eastAsia="hr-HR"/>
              </w:rPr>
              <w:t xml:space="preserve"> u </w:t>
            </w:r>
            <w:proofErr w:type="spellStart"/>
            <w:r w:rsidRPr="008345F3">
              <w:rPr>
                <w:rFonts w:ascii="Cambria" w:eastAsia="Times New Roman" w:hAnsi="Cambria" w:cs="Times New Roman"/>
                <w:i/>
                <w:iCs/>
                <w:lang w:eastAsia="hr-HR"/>
              </w:rPr>
              <w:t>radu</w:t>
            </w:r>
            <w:proofErr w:type="spellEnd"/>
            <w:r w:rsidRPr="008345F3">
              <w:rPr>
                <w:rFonts w:ascii="Cambria" w:eastAsia="Times New Roman" w:hAnsi="Cambria" w:cs="Times New Roman"/>
                <w:i/>
                <w:iCs/>
                <w:lang w:eastAsia="hr-HR"/>
              </w:rPr>
              <w:t xml:space="preserve"> s </w:t>
            </w:r>
            <w:proofErr w:type="spellStart"/>
            <w:r w:rsidRPr="008345F3">
              <w:rPr>
                <w:rFonts w:ascii="Cambria" w:eastAsia="Times New Roman" w:hAnsi="Cambria" w:cs="Times New Roman"/>
                <w:i/>
                <w:iCs/>
                <w:lang w:eastAsia="hr-HR"/>
              </w:rPr>
              <w:t>djecom</w:t>
            </w:r>
            <w:proofErr w:type="spellEnd"/>
            <w:r w:rsidRPr="008345F3">
              <w:rPr>
                <w:rFonts w:ascii="Cambria" w:eastAsia="Times New Roman" w:hAnsi="Cambria" w:cs="Times New Roman"/>
                <w:i/>
                <w:iCs/>
                <w:lang w:eastAsia="hr-HR"/>
              </w:rPr>
              <w:t xml:space="preserve"> u </w:t>
            </w:r>
            <w:proofErr w:type="spellStart"/>
            <w:r w:rsidRPr="008345F3">
              <w:rPr>
                <w:rFonts w:ascii="Cambria" w:eastAsia="Times New Roman" w:hAnsi="Cambria" w:cs="Times New Roman"/>
                <w:i/>
                <w:iCs/>
                <w:lang w:eastAsia="hr-HR"/>
              </w:rPr>
              <w:t>Tjelesnoj</w:t>
            </w:r>
            <w:proofErr w:type="spellEnd"/>
            <w:r w:rsidRPr="008345F3">
              <w:rPr>
                <w:rFonts w:ascii="Cambria" w:eastAsia="Times New Roman" w:hAnsi="Cambria" w:cs="Times New Roman"/>
                <w:i/>
                <w:iCs/>
                <w:lang w:eastAsia="hr-HR"/>
              </w:rPr>
              <w:t xml:space="preserve"> </w:t>
            </w:r>
            <w:proofErr w:type="spellStart"/>
            <w:r w:rsidRPr="008345F3">
              <w:rPr>
                <w:rFonts w:ascii="Cambria" w:eastAsia="Times New Roman" w:hAnsi="Cambria" w:cs="Times New Roman"/>
                <w:i/>
                <w:iCs/>
                <w:lang w:eastAsia="hr-HR"/>
              </w:rPr>
              <w:t>i</w:t>
            </w:r>
            <w:proofErr w:type="spellEnd"/>
            <w:r w:rsidRPr="008345F3">
              <w:rPr>
                <w:rFonts w:ascii="Cambria" w:eastAsia="Times New Roman" w:hAnsi="Cambria" w:cs="Times New Roman"/>
                <w:i/>
                <w:iCs/>
                <w:lang w:eastAsia="hr-HR"/>
              </w:rPr>
              <w:t xml:space="preserve"> </w:t>
            </w:r>
            <w:proofErr w:type="spellStart"/>
            <w:r w:rsidRPr="008345F3">
              <w:rPr>
                <w:rFonts w:ascii="Cambria" w:eastAsia="Times New Roman" w:hAnsi="Cambria" w:cs="Times New Roman"/>
                <w:i/>
                <w:iCs/>
                <w:lang w:eastAsia="hr-HR"/>
              </w:rPr>
              <w:t>zdravstvenoj</w:t>
            </w:r>
            <w:proofErr w:type="spellEnd"/>
            <w:r w:rsidRPr="008345F3">
              <w:rPr>
                <w:rFonts w:ascii="Cambria" w:eastAsia="Times New Roman" w:hAnsi="Cambria" w:cs="Times New Roman"/>
                <w:i/>
                <w:iCs/>
                <w:lang w:eastAsia="hr-HR"/>
              </w:rPr>
              <w:t xml:space="preserve"> </w:t>
            </w:r>
            <w:proofErr w:type="spellStart"/>
            <w:r w:rsidRPr="008345F3">
              <w:rPr>
                <w:rFonts w:ascii="Cambria" w:eastAsia="Times New Roman" w:hAnsi="Cambria" w:cs="Times New Roman"/>
                <w:i/>
                <w:iCs/>
                <w:lang w:eastAsia="hr-HR"/>
              </w:rPr>
              <w:t>kulturi</w:t>
            </w:r>
            <w:proofErr w:type="spellEnd"/>
            <w:r w:rsidRPr="008345F3">
              <w:rPr>
                <w:rFonts w:ascii="Cambria" w:eastAsia="Times New Roman" w:hAnsi="Cambria" w:cs="Times New Roman"/>
                <w:lang w:eastAsia="hr-HR"/>
              </w:rPr>
              <w:t xml:space="preserve">. Rijeka: </w:t>
            </w:r>
            <w:proofErr w:type="spellStart"/>
            <w:r w:rsidRPr="008345F3">
              <w:rPr>
                <w:rFonts w:ascii="Cambria" w:eastAsia="Times New Roman" w:hAnsi="Cambria" w:cs="Times New Roman"/>
                <w:lang w:eastAsia="hr-HR"/>
              </w:rPr>
              <w:t>Centar</w:t>
            </w:r>
            <w:proofErr w:type="spellEnd"/>
            <w:r w:rsidRPr="008345F3">
              <w:rPr>
                <w:rFonts w:ascii="Cambria" w:eastAsia="Times New Roman" w:hAnsi="Cambria" w:cs="Times New Roman"/>
                <w:lang w:eastAsia="hr-HR"/>
              </w:rPr>
              <w:t xml:space="preserve"> za </w:t>
            </w:r>
            <w:proofErr w:type="spellStart"/>
            <w:r w:rsidRPr="008345F3">
              <w:rPr>
                <w:rFonts w:ascii="Cambria" w:eastAsia="Times New Roman" w:hAnsi="Cambria" w:cs="Times New Roman"/>
                <w:lang w:eastAsia="hr-HR"/>
              </w:rPr>
              <w:t>istraživanje</w:t>
            </w:r>
            <w:proofErr w:type="spellEnd"/>
            <w:r w:rsidRPr="008345F3">
              <w:rPr>
                <w:rFonts w:ascii="Cambria" w:eastAsia="Times New Roman" w:hAnsi="Cambria" w:cs="Times New Roman"/>
                <w:lang w:eastAsia="hr-HR"/>
              </w:rPr>
              <w:t xml:space="preserve"> </w:t>
            </w:r>
            <w:proofErr w:type="spellStart"/>
            <w:r w:rsidRPr="008345F3">
              <w:rPr>
                <w:rFonts w:ascii="Cambria" w:eastAsia="Times New Roman" w:hAnsi="Cambria" w:cs="Times New Roman"/>
                <w:lang w:eastAsia="hr-HR"/>
              </w:rPr>
              <w:t>djetinjstva</w:t>
            </w:r>
            <w:proofErr w:type="spellEnd"/>
            <w:r w:rsidRPr="008345F3">
              <w:rPr>
                <w:rFonts w:ascii="Cambria" w:eastAsia="Times New Roman" w:hAnsi="Cambria" w:cs="Times New Roman"/>
                <w:lang w:eastAsia="hr-HR"/>
              </w:rPr>
              <w:t xml:space="preserve">, </w:t>
            </w:r>
            <w:proofErr w:type="spellStart"/>
            <w:r w:rsidRPr="008345F3">
              <w:rPr>
                <w:rFonts w:ascii="Cambria" w:eastAsia="Times New Roman" w:hAnsi="Cambria" w:cs="Times New Roman"/>
                <w:lang w:eastAsia="hr-HR"/>
              </w:rPr>
              <w:t>Učiteljski</w:t>
            </w:r>
            <w:proofErr w:type="spellEnd"/>
            <w:r w:rsidRPr="008345F3">
              <w:rPr>
                <w:rFonts w:ascii="Cambria" w:eastAsia="Times New Roman" w:hAnsi="Cambria" w:cs="Times New Roman"/>
                <w:lang w:eastAsia="hr-HR"/>
              </w:rPr>
              <w:t xml:space="preserve"> </w:t>
            </w:r>
            <w:proofErr w:type="spellStart"/>
            <w:r w:rsidRPr="008345F3">
              <w:rPr>
                <w:rFonts w:ascii="Cambria" w:eastAsia="Times New Roman" w:hAnsi="Cambria" w:cs="Times New Roman"/>
                <w:lang w:eastAsia="hr-HR"/>
              </w:rPr>
              <w:t>fakultet</w:t>
            </w:r>
            <w:proofErr w:type="spellEnd"/>
            <w:r w:rsidRPr="008345F3">
              <w:rPr>
                <w:rFonts w:ascii="Cambria" w:eastAsia="Times New Roman" w:hAnsi="Cambria" w:cs="Times New Roman"/>
                <w:lang w:eastAsia="hr-HR"/>
              </w:rPr>
              <w:t xml:space="preserve"> u </w:t>
            </w:r>
            <w:proofErr w:type="spellStart"/>
            <w:r w:rsidRPr="008345F3">
              <w:rPr>
                <w:rFonts w:ascii="Cambria" w:eastAsia="Times New Roman" w:hAnsi="Cambria" w:cs="Times New Roman"/>
                <w:lang w:eastAsia="hr-HR"/>
              </w:rPr>
              <w:t>Rijeci</w:t>
            </w:r>
            <w:proofErr w:type="spellEnd"/>
            <w:r w:rsidRPr="008345F3">
              <w:rPr>
                <w:rFonts w:ascii="Cambria" w:eastAsia="Times New Roman" w:hAnsi="Cambria" w:cs="Times New Roman"/>
                <w:lang w:eastAsia="hr-HR"/>
              </w:rPr>
              <w:t>.</w:t>
            </w:r>
          </w:p>
          <w:p w14:paraId="36C96421" w14:textId="77777777" w:rsidR="002A021D" w:rsidRPr="008345F3" w:rsidRDefault="002A021D" w:rsidP="000B2D2C">
            <w:pPr>
              <w:spacing w:after="0"/>
              <w:ind w:left="349" w:hanging="283"/>
              <w:outlineLvl w:val="2"/>
              <w:rPr>
                <w:rFonts w:ascii="Cambria" w:eastAsia="Times New Roman" w:hAnsi="Cambria" w:cs="Times New Roman"/>
                <w:bCs/>
                <w:lang w:eastAsia="hr-HR"/>
              </w:rPr>
            </w:pPr>
            <w:proofErr w:type="spellStart"/>
            <w:r w:rsidRPr="008345F3">
              <w:rPr>
                <w:rFonts w:ascii="Cambria" w:eastAsia="Times New Roman" w:hAnsi="Cambria" w:cs="Times New Roman"/>
                <w:bCs/>
                <w:lang w:eastAsia="hr-HR"/>
              </w:rPr>
              <w:t>Priručna</w:t>
            </w:r>
            <w:proofErr w:type="spellEnd"/>
            <w:r w:rsidRPr="008345F3">
              <w:rPr>
                <w:rFonts w:ascii="Cambria" w:eastAsia="Times New Roman" w:hAnsi="Cambria" w:cs="Times New Roman"/>
                <w:bCs/>
                <w:lang w:eastAsia="hr-HR"/>
              </w:rPr>
              <w:t>:</w:t>
            </w:r>
          </w:p>
          <w:p w14:paraId="671325F8" w14:textId="77777777" w:rsidR="002A021D" w:rsidRPr="008345F3" w:rsidRDefault="002A021D" w:rsidP="00A034E3">
            <w:pPr>
              <w:numPr>
                <w:ilvl w:val="0"/>
                <w:numId w:val="77"/>
              </w:numPr>
              <w:spacing w:after="0"/>
              <w:ind w:left="349" w:hanging="283"/>
              <w:rPr>
                <w:rFonts w:ascii="Cambria" w:eastAsia="Times New Roman" w:hAnsi="Cambria" w:cs="Times New Roman"/>
                <w:lang w:eastAsia="hr-HR"/>
              </w:rPr>
            </w:pPr>
            <w:proofErr w:type="spellStart"/>
            <w:r w:rsidRPr="008345F3">
              <w:rPr>
                <w:rFonts w:ascii="Cambria" w:eastAsia="Times New Roman" w:hAnsi="Cambria" w:cs="Times New Roman"/>
                <w:lang w:val="it-IT" w:eastAsia="hr-HR"/>
              </w:rPr>
              <w:t>Ministarstvo</w:t>
            </w:r>
            <w:proofErr w:type="spellEnd"/>
            <w:r w:rsidRPr="008345F3">
              <w:rPr>
                <w:rFonts w:ascii="Cambria" w:eastAsia="Times New Roman" w:hAnsi="Cambria" w:cs="Times New Roman"/>
                <w:lang w:val="it-IT" w:eastAsia="hr-HR"/>
              </w:rPr>
              <w:t xml:space="preserve"> </w:t>
            </w:r>
            <w:proofErr w:type="spellStart"/>
            <w:r w:rsidRPr="008345F3">
              <w:rPr>
                <w:rFonts w:ascii="Cambria" w:eastAsia="Times New Roman" w:hAnsi="Cambria" w:cs="Times New Roman"/>
                <w:lang w:val="it-IT" w:eastAsia="hr-HR"/>
              </w:rPr>
              <w:t>znanosti</w:t>
            </w:r>
            <w:proofErr w:type="spellEnd"/>
            <w:r w:rsidRPr="008345F3">
              <w:rPr>
                <w:rFonts w:ascii="Cambria" w:eastAsia="Times New Roman" w:hAnsi="Cambria" w:cs="Times New Roman"/>
                <w:lang w:val="it-IT" w:eastAsia="hr-HR"/>
              </w:rPr>
              <w:t xml:space="preserve">, </w:t>
            </w:r>
            <w:proofErr w:type="spellStart"/>
            <w:r w:rsidRPr="008345F3">
              <w:rPr>
                <w:rFonts w:ascii="Cambria" w:eastAsia="Times New Roman" w:hAnsi="Cambria" w:cs="Times New Roman"/>
                <w:lang w:val="it-IT" w:eastAsia="hr-HR"/>
              </w:rPr>
              <w:t>obrazovanja</w:t>
            </w:r>
            <w:proofErr w:type="spellEnd"/>
            <w:r w:rsidRPr="008345F3">
              <w:rPr>
                <w:rFonts w:ascii="Cambria" w:eastAsia="Times New Roman" w:hAnsi="Cambria" w:cs="Times New Roman"/>
                <w:lang w:val="it-IT" w:eastAsia="hr-HR"/>
              </w:rPr>
              <w:t xml:space="preserve"> </w:t>
            </w:r>
            <w:proofErr w:type="gramStart"/>
            <w:r w:rsidRPr="008345F3">
              <w:rPr>
                <w:rFonts w:ascii="Cambria" w:eastAsia="Times New Roman" w:hAnsi="Cambria" w:cs="Times New Roman"/>
                <w:lang w:val="it-IT" w:eastAsia="hr-HR"/>
              </w:rPr>
              <w:t>i sporta</w:t>
            </w:r>
            <w:proofErr w:type="gramEnd"/>
            <w:r w:rsidRPr="008345F3">
              <w:rPr>
                <w:rFonts w:ascii="Cambria" w:eastAsia="Times New Roman" w:hAnsi="Cambria" w:cs="Times New Roman"/>
                <w:lang w:val="it-IT" w:eastAsia="hr-HR"/>
              </w:rPr>
              <w:t xml:space="preserve">. </w:t>
            </w:r>
            <w:r w:rsidRPr="008345F3">
              <w:rPr>
                <w:rFonts w:ascii="Cambria" w:eastAsia="Times New Roman" w:hAnsi="Cambria" w:cs="Times New Roman"/>
                <w:lang w:eastAsia="hr-HR"/>
              </w:rPr>
              <w:t xml:space="preserve">(2019). </w:t>
            </w:r>
            <w:proofErr w:type="spellStart"/>
            <w:r w:rsidRPr="008345F3">
              <w:rPr>
                <w:rFonts w:ascii="Cambria" w:eastAsia="Times New Roman" w:hAnsi="Cambria" w:cs="Times New Roman"/>
                <w:i/>
                <w:iCs/>
                <w:lang w:eastAsia="hr-HR"/>
              </w:rPr>
              <w:t>Predmetni</w:t>
            </w:r>
            <w:proofErr w:type="spellEnd"/>
            <w:r w:rsidRPr="008345F3">
              <w:rPr>
                <w:rFonts w:ascii="Cambria" w:eastAsia="Times New Roman" w:hAnsi="Cambria" w:cs="Times New Roman"/>
                <w:i/>
                <w:iCs/>
                <w:lang w:eastAsia="hr-HR"/>
              </w:rPr>
              <w:t xml:space="preserve"> </w:t>
            </w:r>
            <w:proofErr w:type="spellStart"/>
            <w:r w:rsidRPr="008345F3">
              <w:rPr>
                <w:rFonts w:ascii="Cambria" w:eastAsia="Times New Roman" w:hAnsi="Cambria" w:cs="Times New Roman"/>
                <w:i/>
                <w:iCs/>
                <w:lang w:eastAsia="hr-HR"/>
              </w:rPr>
              <w:t>kurikulum</w:t>
            </w:r>
            <w:proofErr w:type="spellEnd"/>
            <w:r w:rsidRPr="008345F3">
              <w:rPr>
                <w:rFonts w:ascii="Cambria" w:eastAsia="Times New Roman" w:hAnsi="Cambria" w:cs="Times New Roman"/>
                <w:lang w:eastAsia="hr-HR"/>
              </w:rPr>
              <w:t>. Zagreb: MZOS.</w:t>
            </w:r>
          </w:p>
        </w:tc>
      </w:tr>
    </w:tbl>
    <w:p w14:paraId="4502746E" w14:textId="1FD6A376" w:rsidR="002A021D" w:rsidRDefault="002A021D" w:rsidP="008B34AF">
      <w:pPr>
        <w:jc w:val="both"/>
        <w:rPr>
          <w:rFonts w:ascii="Cambria" w:hAnsi="Cambria"/>
          <w:lang w:val="hr-HR"/>
        </w:rPr>
      </w:pPr>
    </w:p>
    <w:p w14:paraId="4D23A5AB" w14:textId="77777777" w:rsidR="00727BE6" w:rsidRDefault="00727BE6">
      <w:pPr>
        <w:rPr>
          <w:rFonts w:ascii="Cambria" w:hAnsi="Cambria"/>
          <w:lang w:val="hr-HR"/>
        </w:rPr>
      </w:pPr>
      <w:r>
        <w:rPr>
          <w:rFonts w:ascii="Cambria" w:hAnsi="Cambria"/>
          <w:lang w:val="hr-HR"/>
        </w:rPr>
        <w:br w:type="page"/>
      </w:r>
    </w:p>
    <w:tbl>
      <w:tblPr>
        <w:tblW w:w="5000" w:type="pct"/>
        <w:tblLayout w:type="fixed"/>
        <w:tblCellMar>
          <w:left w:w="0" w:type="dxa"/>
          <w:right w:w="0" w:type="dxa"/>
        </w:tblCellMar>
        <w:tblLook w:val="0000" w:firstRow="0" w:lastRow="0" w:firstColumn="0" w:lastColumn="0" w:noHBand="0" w:noVBand="0"/>
      </w:tblPr>
      <w:tblGrid>
        <w:gridCol w:w="2120"/>
        <w:gridCol w:w="2978"/>
        <w:gridCol w:w="98"/>
        <w:gridCol w:w="1092"/>
        <w:gridCol w:w="280"/>
        <w:gridCol w:w="440"/>
        <w:gridCol w:w="1013"/>
        <w:gridCol w:w="1319"/>
      </w:tblGrid>
      <w:tr w:rsidR="00727BE6" w:rsidRPr="005C2363" w14:paraId="297C61B9" w14:textId="77777777" w:rsidTr="00450B7A">
        <w:tc>
          <w:tcPr>
            <w:tcW w:w="9340"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B97614B" w14:textId="77777777" w:rsidR="00727BE6" w:rsidRPr="005C2363" w:rsidRDefault="00727BE6" w:rsidP="00450B7A">
            <w:pPr>
              <w:spacing w:after="0" w:line="240" w:lineRule="auto"/>
              <w:jc w:val="right"/>
              <w:rPr>
                <w:rFonts w:ascii="Cambria" w:eastAsia="Times New Roman" w:hAnsi="Cambria" w:cs="Calibri"/>
                <w:b/>
                <w:lang w:val="hr-HR"/>
              </w:rPr>
            </w:pPr>
            <w:r w:rsidRPr="005C2363">
              <w:rPr>
                <w:rFonts w:ascii="Cambria" w:eastAsia="Times New Roman" w:hAnsi="Cambria" w:cs="Calibri"/>
                <w:b/>
                <w:lang w:val="hr-HR"/>
              </w:rPr>
              <w:lastRenderedPageBreak/>
              <w:t>IZVEDBENI PLAN NASTAVE KOLEGIJA</w:t>
            </w:r>
          </w:p>
        </w:tc>
      </w:tr>
      <w:tr w:rsidR="00727BE6" w:rsidRPr="005C2363" w14:paraId="5C0F3C04" w14:textId="77777777" w:rsidTr="00450B7A">
        <w:tc>
          <w:tcPr>
            <w:tcW w:w="2120" w:type="dxa"/>
            <w:tcBorders>
              <w:top w:val="single" w:sz="8" w:space="0" w:color="000000"/>
              <w:left w:val="single" w:sz="8" w:space="0" w:color="000000"/>
              <w:bottom w:val="single" w:sz="8" w:space="0" w:color="000000"/>
              <w:right w:val="single" w:sz="4" w:space="0" w:color="auto"/>
            </w:tcBorders>
            <w:shd w:val="clear" w:color="auto" w:fill="F3F3F3"/>
            <w:tcMar>
              <w:top w:w="72" w:type="dxa"/>
              <w:left w:w="144" w:type="dxa"/>
              <w:bottom w:w="72" w:type="dxa"/>
              <w:right w:w="144" w:type="dxa"/>
            </w:tcMar>
            <w:vAlign w:val="center"/>
          </w:tcPr>
          <w:p w14:paraId="23BDCA34" w14:textId="77777777" w:rsidR="00727BE6" w:rsidRPr="005C2363" w:rsidRDefault="00727BE6" w:rsidP="00450B7A">
            <w:pPr>
              <w:spacing w:after="0" w:line="240" w:lineRule="auto"/>
              <w:rPr>
                <w:rFonts w:ascii="Cambria" w:eastAsia="Times New Roman" w:hAnsi="Cambria" w:cs="Calibri"/>
                <w:lang w:val="hr-HR"/>
              </w:rPr>
            </w:pPr>
            <w:r w:rsidRPr="005C2363">
              <w:rPr>
                <w:rFonts w:ascii="Cambria" w:eastAsia="Times New Roman" w:hAnsi="Cambria" w:cs="Calibri"/>
                <w:lang w:val="hr-HR"/>
              </w:rPr>
              <w:t>Kod i naziv kolegija</w:t>
            </w:r>
          </w:p>
        </w:tc>
        <w:tc>
          <w:tcPr>
            <w:tcW w:w="7220" w:type="dxa"/>
            <w:gridSpan w:val="7"/>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4302F81E" w14:textId="77777777" w:rsidR="00727BE6" w:rsidRPr="00DF4CE5" w:rsidRDefault="00727BE6" w:rsidP="00450B7A">
            <w:pPr>
              <w:widowControl w:val="0"/>
              <w:autoSpaceDE w:val="0"/>
              <w:autoSpaceDN w:val="0"/>
              <w:spacing w:after="0" w:line="240" w:lineRule="auto"/>
              <w:rPr>
                <w:rFonts w:ascii="Cambria" w:eastAsia="Cambria" w:hAnsi="Cambria" w:cs="Cambria"/>
                <w:lang w:val="hr-HR"/>
              </w:rPr>
            </w:pPr>
            <w:r w:rsidRPr="00DF4CE5">
              <w:rPr>
                <w:rFonts w:ascii="Cambria" w:eastAsia="Cambria" w:hAnsi="Cambria" w:cs="Cambria"/>
                <w:lang w:val="hr-HR"/>
              </w:rPr>
              <w:t>118953</w:t>
            </w:r>
          </w:p>
          <w:p w14:paraId="63F57ED2" w14:textId="269E7BB4" w:rsidR="00727BE6" w:rsidRPr="00DF4CE5" w:rsidRDefault="00727BE6" w:rsidP="00450B7A">
            <w:pPr>
              <w:widowControl w:val="0"/>
              <w:autoSpaceDE w:val="0"/>
              <w:autoSpaceDN w:val="0"/>
              <w:spacing w:after="0" w:line="240" w:lineRule="auto"/>
              <w:rPr>
                <w:rFonts w:ascii="Cambria" w:eastAsia="Cambria" w:hAnsi="Cambria" w:cs="Cambria"/>
                <w:lang w:val="hr-HR"/>
              </w:rPr>
            </w:pPr>
            <w:r w:rsidRPr="00DF4CE5">
              <w:rPr>
                <w:rFonts w:ascii="Cambria" w:eastAsia="Cambria" w:hAnsi="Cambria" w:cs="Cambria"/>
                <w:lang w:val="hr-HR"/>
              </w:rPr>
              <w:t>Stručna</w:t>
            </w:r>
            <w:r w:rsidRPr="00DF4CE5">
              <w:rPr>
                <w:rFonts w:ascii="Cambria" w:eastAsia="Cambria" w:hAnsi="Cambria" w:cs="Cambria"/>
                <w:spacing w:val="-4"/>
                <w:lang w:val="hr-HR"/>
              </w:rPr>
              <w:t xml:space="preserve"> </w:t>
            </w:r>
            <w:r w:rsidRPr="00DF4CE5">
              <w:rPr>
                <w:rFonts w:ascii="Cambria" w:eastAsia="Cambria" w:hAnsi="Cambria" w:cs="Cambria"/>
                <w:lang w:val="hr-HR"/>
              </w:rPr>
              <w:t>praksa</w:t>
            </w:r>
            <w:r w:rsidRPr="00DF4CE5">
              <w:rPr>
                <w:rFonts w:ascii="Cambria" w:eastAsia="Cambria" w:hAnsi="Cambria" w:cs="Cambria"/>
                <w:spacing w:val="-3"/>
                <w:lang w:val="hr-HR"/>
              </w:rPr>
              <w:t xml:space="preserve"> </w:t>
            </w:r>
            <w:r w:rsidRPr="00DF4CE5">
              <w:rPr>
                <w:rFonts w:ascii="Cambria" w:eastAsia="Cambria" w:hAnsi="Cambria" w:cs="Cambria"/>
                <w:lang w:val="hr-HR"/>
              </w:rPr>
              <w:t>V</w:t>
            </w:r>
          </w:p>
        </w:tc>
      </w:tr>
      <w:tr w:rsidR="00727BE6" w:rsidRPr="007D6972" w14:paraId="084F8D60" w14:textId="77777777" w:rsidTr="00450B7A">
        <w:tc>
          <w:tcPr>
            <w:tcW w:w="2120" w:type="dxa"/>
            <w:tcBorders>
              <w:top w:val="single" w:sz="8" w:space="0" w:color="000000"/>
              <w:left w:val="single" w:sz="8" w:space="0" w:color="000000"/>
              <w:bottom w:val="single" w:sz="8" w:space="0" w:color="000000"/>
              <w:right w:val="single" w:sz="4" w:space="0" w:color="auto"/>
            </w:tcBorders>
            <w:shd w:val="clear" w:color="auto" w:fill="F3F3F3"/>
            <w:tcMar>
              <w:top w:w="72" w:type="dxa"/>
              <w:left w:w="144" w:type="dxa"/>
              <w:bottom w:w="72" w:type="dxa"/>
              <w:right w:w="144" w:type="dxa"/>
            </w:tcMar>
            <w:vAlign w:val="center"/>
          </w:tcPr>
          <w:p w14:paraId="4F7E5DB6" w14:textId="77777777" w:rsidR="00727BE6" w:rsidRPr="005C2363" w:rsidRDefault="00727BE6" w:rsidP="00450B7A">
            <w:pPr>
              <w:spacing w:after="0" w:line="240" w:lineRule="auto"/>
              <w:rPr>
                <w:rFonts w:ascii="Cambria" w:eastAsia="Times New Roman" w:hAnsi="Cambria" w:cs="Calibri"/>
                <w:lang w:val="hr-HR"/>
              </w:rPr>
            </w:pPr>
            <w:r w:rsidRPr="005C2363">
              <w:rPr>
                <w:rFonts w:ascii="Cambria" w:eastAsia="Times New Roman" w:hAnsi="Cambria" w:cs="Calibri"/>
                <w:lang w:val="hr-HR"/>
              </w:rPr>
              <w:t xml:space="preserve">Nastavnica </w:t>
            </w:r>
          </w:p>
        </w:tc>
        <w:tc>
          <w:tcPr>
            <w:tcW w:w="7220" w:type="dxa"/>
            <w:gridSpan w:val="7"/>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3DDDFD69" w14:textId="77777777" w:rsidR="00727BE6" w:rsidRPr="00DF4CE5" w:rsidRDefault="00727BE6" w:rsidP="00450B7A">
            <w:pPr>
              <w:widowControl w:val="0"/>
              <w:autoSpaceDE w:val="0"/>
              <w:autoSpaceDN w:val="0"/>
              <w:spacing w:after="0" w:line="240" w:lineRule="auto"/>
              <w:rPr>
                <w:rFonts w:ascii="Cambria" w:eastAsia="Cambria" w:hAnsi="Cambria" w:cs="Cambria"/>
                <w:lang w:val="hr-HR"/>
              </w:rPr>
            </w:pPr>
            <w:hyperlink r:id="rId166" w:history="1">
              <w:r w:rsidRPr="007B14AC">
                <w:rPr>
                  <w:rStyle w:val="Hiperveza"/>
                  <w:rFonts w:ascii="Cambria" w:eastAsia="Cambria" w:hAnsi="Cambria" w:cs="Cambria"/>
                  <w:lang w:val="hr-HR"/>
                </w:rPr>
                <w:t>Doc.</w:t>
              </w:r>
              <w:r w:rsidRPr="007B14AC">
                <w:rPr>
                  <w:rStyle w:val="Hiperveza"/>
                  <w:rFonts w:ascii="Cambria" w:eastAsia="Cambria" w:hAnsi="Cambria" w:cs="Cambria"/>
                  <w:spacing w:val="-2"/>
                  <w:lang w:val="hr-HR"/>
                </w:rPr>
                <w:t xml:space="preserve"> </w:t>
              </w:r>
              <w:r w:rsidRPr="007B14AC">
                <w:rPr>
                  <w:rStyle w:val="Hiperveza"/>
                  <w:rFonts w:ascii="Cambria" w:eastAsia="Cambria" w:hAnsi="Cambria" w:cs="Cambria"/>
                  <w:lang w:val="hr-HR"/>
                </w:rPr>
                <w:t>dr.</w:t>
              </w:r>
              <w:r w:rsidRPr="007B14AC">
                <w:rPr>
                  <w:rStyle w:val="Hiperveza"/>
                  <w:rFonts w:ascii="Cambria" w:eastAsia="Cambria" w:hAnsi="Cambria" w:cs="Cambria"/>
                  <w:spacing w:val="-1"/>
                  <w:lang w:val="hr-HR"/>
                </w:rPr>
                <w:t xml:space="preserve"> </w:t>
              </w:r>
              <w:r w:rsidRPr="007B14AC">
                <w:rPr>
                  <w:rStyle w:val="Hiperveza"/>
                  <w:rFonts w:ascii="Cambria" w:eastAsia="Cambria" w:hAnsi="Cambria" w:cs="Cambria"/>
                  <w:lang w:val="hr-HR"/>
                </w:rPr>
                <w:t>sc.</w:t>
              </w:r>
              <w:r w:rsidRPr="007B14AC">
                <w:rPr>
                  <w:rStyle w:val="Hiperveza"/>
                  <w:rFonts w:ascii="Cambria" w:eastAsia="Cambria" w:hAnsi="Cambria" w:cs="Cambria"/>
                  <w:spacing w:val="-2"/>
                  <w:lang w:val="hr-HR"/>
                </w:rPr>
                <w:t xml:space="preserve"> </w:t>
              </w:r>
              <w:r w:rsidRPr="007B14AC">
                <w:rPr>
                  <w:rStyle w:val="Hiperveza"/>
                  <w:rFonts w:ascii="Cambria" w:eastAsia="Cambria" w:hAnsi="Cambria" w:cs="Cambria"/>
                  <w:lang w:val="hr-HR"/>
                </w:rPr>
                <w:t>Irena</w:t>
              </w:r>
              <w:r w:rsidRPr="007B14AC">
                <w:rPr>
                  <w:rStyle w:val="Hiperveza"/>
                  <w:rFonts w:ascii="Cambria" w:eastAsia="Cambria" w:hAnsi="Cambria" w:cs="Cambria"/>
                  <w:spacing w:val="-1"/>
                  <w:lang w:val="hr-HR"/>
                </w:rPr>
                <w:t xml:space="preserve"> </w:t>
              </w:r>
              <w:r w:rsidRPr="007B14AC">
                <w:rPr>
                  <w:rStyle w:val="Hiperveza"/>
                  <w:rFonts w:ascii="Cambria" w:eastAsia="Cambria" w:hAnsi="Cambria" w:cs="Cambria"/>
                  <w:lang w:val="hr-HR"/>
                </w:rPr>
                <w:t>Kiss</w:t>
              </w:r>
            </w:hyperlink>
            <w:r w:rsidRPr="007B14AC">
              <w:rPr>
                <w:rFonts w:ascii="Cambria" w:eastAsia="Cambria" w:hAnsi="Cambria" w:cs="Cambria"/>
                <w:spacing w:val="-1"/>
                <w:lang w:val="hr-HR"/>
              </w:rPr>
              <w:t xml:space="preserve"> </w:t>
            </w:r>
            <w:r w:rsidRPr="00DF4CE5">
              <w:rPr>
                <w:rFonts w:ascii="Cambria" w:eastAsia="Cambria" w:hAnsi="Cambria" w:cs="Cambria"/>
                <w:lang w:val="hr-HR"/>
              </w:rPr>
              <w:t>(nositeljica)</w:t>
            </w:r>
          </w:p>
        </w:tc>
      </w:tr>
      <w:tr w:rsidR="00727BE6" w:rsidRPr="007D6972" w14:paraId="5B76C539" w14:textId="77777777" w:rsidTr="00450B7A">
        <w:tc>
          <w:tcPr>
            <w:tcW w:w="2120" w:type="dxa"/>
            <w:tcBorders>
              <w:top w:val="single" w:sz="8" w:space="0" w:color="000000"/>
              <w:left w:val="single" w:sz="8" w:space="0" w:color="000000"/>
              <w:bottom w:val="single" w:sz="8" w:space="0" w:color="000000"/>
              <w:right w:val="single" w:sz="4" w:space="0" w:color="auto"/>
            </w:tcBorders>
            <w:shd w:val="clear" w:color="auto" w:fill="F3F3F3"/>
            <w:tcMar>
              <w:top w:w="72" w:type="dxa"/>
              <w:left w:w="144" w:type="dxa"/>
              <w:bottom w:w="72" w:type="dxa"/>
              <w:right w:w="144" w:type="dxa"/>
            </w:tcMar>
            <w:vAlign w:val="center"/>
          </w:tcPr>
          <w:p w14:paraId="6EEF4263" w14:textId="77777777" w:rsidR="00727BE6" w:rsidRPr="005C2363" w:rsidRDefault="00727BE6" w:rsidP="00450B7A">
            <w:pPr>
              <w:spacing w:after="0" w:line="240" w:lineRule="auto"/>
              <w:rPr>
                <w:rFonts w:ascii="Cambria" w:eastAsia="Times New Roman" w:hAnsi="Cambria" w:cs="Calibri"/>
                <w:lang w:val="hr-HR"/>
              </w:rPr>
            </w:pPr>
            <w:r w:rsidRPr="005C2363">
              <w:rPr>
                <w:rFonts w:ascii="Cambria" w:eastAsia="Times New Roman" w:hAnsi="Cambria" w:cs="Calibri"/>
                <w:lang w:val="hr-HR"/>
              </w:rPr>
              <w:t>Studijski program</w:t>
            </w:r>
          </w:p>
        </w:tc>
        <w:tc>
          <w:tcPr>
            <w:tcW w:w="7220" w:type="dxa"/>
            <w:gridSpan w:val="7"/>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6BD2B7BD" w14:textId="77777777" w:rsidR="00727BE6" w:rsidRPr="00DF4CE5" w:rsidRDefault="00727BE6" w:rsidP="00450B7A">
            <w:pPr>
              <w:widowControl w:val="0"/>
              <w:autoSpaceDE w:val="0"/>
              <w:autoSpaceDN w:val="0"/>
              <w:spacing w:after="0" w:line="240" w:lineRule="auto"/>
              <w:rPr>
                <w:rFonts w:ascii="Cambria" w:eastAsia="Cambria" w:hAnsi="Cambria" w:cs="Cambria"/>
                <w:lang w:val="hr-HR"/>
              </w:rPr>
            </w:pPr>
            <w:r w:rsidRPr="00DF4CE5">
              <w:rPr>
                <w:rFonts w:ascii="Cambria" w:eastAsia="Cambria" w:hAnsi="Cambria" w:cs="Cambria"/>
                <w:lang w:val="hr-HR"/>
              </w:rPr>
              <w:t>Sveučilišni</w:t>
            </w:r>
            <w:r w:rsidRPr="00DF4CE5">
              <w:rPr>
                <w:rFonts w:ascii="Cambria" w:eastAsia="Cambria" w:hAnsi="Cambria" w:cs="Cambria"/>
                <w:spacing w:val="-13"/>
                <w:lang w:val="hr-HR"/>
              </w:rPr>
              <w:t xml:space="preserve"> </w:t>
            </w:r>
            <w:r w:rsidRPr="00DF4CE5">
              <w:rPr>
                <w:rFonts w:ascii="Cambria" w:eastAsia="Cambria" w:hAnsi="Cambria" w:cs="Cambria"/>
                <w:lang w:val="hr-HR"/>
              </w:rPr>
              <w:t>integrirani</w:t>
            </w:r>
            <w:r w:rsidRPr="00DF4CE5">
              <w:rPr>
                <w:rFonts w:ascii="Cambria" w:eastAsia="Cambria" w:hAnsi="Cambria" w:cs="Cambria"/>
                <w:spacing w:val="-12"/>
                <w:lang w:val="hr-HR"/>
              </w:rPr>
              <w:t xml:space="preserve"> </w:t>
            </w:r>
            <w:r w:rsidRPr="00DF4CE5">
              <w:rPr>
                <w:rFonts w:ascii="Cambria" w:eastAsia="Cambria" w:hAnsi="Cambria" w:cs="Cambria"/>
                <w:lang w:val="hr-HR"/>
              </w:rPr>
              <w:t>prijediplomski</w:t>
            </w:r>
            <w:r w:rsidRPr="00DF4CE5">
              <w:rPr>
                <w:rFonts w:ascii="Cambria" w:eastAsia="Cambria" w:hAnsi="Cambria" w:cs="Cambria"/>
                <w:spacing w:val="-13"/>
                <w:lang w:val="hr-HR"/>
              </w:rPr>
              <w:t xml:space="preserve"> </w:t>
            </w:r>
            <w:r w:rsidRPr="00DF4CE5">
              <w:rPr>
                <w:rFonts w:ascii="Cambria" w:eastAsia="Cambria" w:hAnsi="Cambria" w:cs="Cambria"/>
                <w:lang w:val="hr-HR"/>
              </w:rPr>
              <w:t>i</w:t>
            </w:r>
            <w:r w:rsidRPr="00DF4CE5">
              <w:rPr>
                <w:rFonts w:ascii="Cambria" w:eastAsia="Cambria" w:hAnsi="Cambria" w:cs="Cambria"/>
                <w:spacing w:val="-13"/>
                <w:lang w:val="hr-HR"/>
              </w:rPr>
              <w:t xml:space="preserve"> </w:t>
            </w:r>
            <w:r w:rsidRPr="00DF4CE5">
              <w:rPr>
                <w:rFonts w:ascii="Cambria" w:eastAsia="Cambria" w:hAnsi="Cambria" w:cs="Cambria"/>
                <w:lang w:val="hr-HR"/>
              </w:rPr>
              <w:t>diplomski</w:t>
            </w:r>
            <w:r w:rsidRPr="00DF4CE5">
              <w:rPr>
                <w:rFonts w:ascii="Cambria" w:eastAsia="Cambria" w:hAnsi="Cambria" w:cs="Cambria"/>
                <w:spacing w:val="-12"/>
                <w:lang w:val="hr-HR"/>
              </w:rPr>
              <w:t xml:space="preserve"> </w:t>
            </w:r>
            <w:r w:rsidRPr="00DF4CE5">
              <w:rPr>
                <w:rFonts w:ascii="Cambria" w:eastAsia="Cambria" w:hAnsi="Cambria" w:cs="Cambria"/>
                <w:lang w:val="hr-HR"/>
              </w:rPr>
              <w:t>Učiteljski</w:t>
            </w:r>
            <w:r w:rsidRPr="00DF4CE5">
              <w:rPr>
                <w:rFonts w:ascii="Cambria" w:eastAsia="Cambria" w:hAnsi="Cambria" w:cs="Cambria"/>
                <w:spacing w:val="-13"/>
                <w:lang w:val="hr-HR"/>
              </w:rPr>
              <w:t xml:space="preserve"> </w:t>
            </w:r>
            <w:r w:rsidRPr="00DF4CE5">
              <w:rPr>
                <w:rFonts w:ascii="Cambria" w:eastAsia="Cambria" w:hAnsi="Cambria" w:cs="Cambria"/>
                <w:lang w:val="hr-HR"/>
              </w:rPr>
              <w:t>studij</w:t>
            </w:r>
          </w:p>
          <w:p w14:paraId="0DDFBD88" w14:textId="77777777" w:rsidR="00727BE6" w:rsidRPr="00DF4CE5" w:rsidRDefault="00727BE6" w:rsidP="00450B7A">
            <w:pPr>
              <w:widowControl w:val="0"/>
              <w:autoSpaceDE w:val="0"/>
              <w:autoSpaceDN w:val="0"/>
              <w:spacing w:after="0" w:line="240" w:lineRule="auto"/>
              <w:rPr>
                <w:rFonts w:ascii="Cambria" w:eastAsia="Cambria" w:hAnsi="Cambria" w:cs="Cambria"/>
                <w:lang w:val="hr-HR"/>
              </w:rPr>
            </w:pPr>
            <w:r w:rsidRPr="00DF4CE5">
              <w:rPr>
                <w:rFonts w:ascii="Cambria" w:eastAsia="Cambria" w:hAnsi="Cambria" w:cs="Cambria"/>
                <w:lang w:val="hr-HR"/>
              </w:rPr>
              <w:t>na</w:t>
            </w:r>
            <w:r w:rsidRPr="00DF4CE5">
              <w:rPr>
                <w:rFonts w:ascii="Cambria" w:eastAsia="Cambria" w:hAnsi="Cambria" w:cs="Cambria"/>
                <w:spacing w:val="-2"/>
                <w:lang w:val="hr-HR"/>
              </w:rPr>
              <w:t xml:space="preserve"> </w:t>
            </w:r>
            <w:r w:rsidRPr="00DF4CE5">
              <w:rPr>
                <w:rFonts w:ascii="Cambria" w:eastAsia="Cambria" w:hAnsi="Cambria" w:cs="Cambria"/>
                <w:lang w:val="hr-HR"/>
              </w:rPr>
              <w:t>hrvatskom</w:t>
            </w:r>
            <w:r w:rsidRPr="00DF4CE5">
              <w:rPr>
                <w:rFonts w:ascii="Cambria" w:eastAsia="Cambria" w:hAnsi="Cambria" w:cs="Cambria"/>
                <w:spacing w:val="-3"/>
                <w:lang w:val="hr-HR"/>
              </w:rPr>
              <w:t xml:space="preserve"> </w:t>
            </w:r>
            <w:r w:rsidRPr="00DF4CE5">
              <w:rPr>
                <w:rFonts w:ascii="Cambria" w:eastAsia="Cambria" w:hAnsi="Cambria" w:cs="Cambria"/>
                <w:lang w:val="hr-HR"/>
              </w:rPr>
              <w:t>jeziku</w:t>
            </w:r>
          </w:p>
        </w:tc>
      </w:tr>
      <w:tr w:rsidR="00727BE6" w:rsidRPr="005C2363" w14:paraId="54C3BDF4" w14:textId="77777777" w:rsidTr="00450B7A">
        <w:tc>
          <w:tcPr>
            <w:tcW w:w="212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6790C19" w14:textId="77777777" w:rsidR="00727BE6" w:rsidRPr="005C2363" w:rsidRDefault="00727BE6" w:rsidP="00450B7A">
            <w:pPr>
              <w:spacing w:after="0" w:line="240" w:lineRule="auto"/>
              <w:rPr>
                <w:rFonts w:ascii="Cambria" w:eastAsia="Times New Roman" w:hAnsi="Cambria" w:cs="Calibri"/>
                <w:lang w:val="hr-HR"/>
              </w:rPr>
            </w:pPr>
            <w:r w:rsidRPr="005C2363">
              <w:rPr>
                <w:rFonts w:ascii="Cambria" w:eastAsia="Times New Roman" w:hAnsi="Cambria" w:cs="Calibri"/>
                <w:lang w:val="hr-HR"/>
              </w:rPr>
              <w:t>Vrsta kolegija</w:t>
            </w:r>
          </w:p>
        </w:tc>
        <w:tc>
          <w:tcPr>
            <w:tcW w:w="2978" w:type="dxa"/>
            <w:tcBorders>
              <w:top w:val="single" w:sz="4" w:space="0" w:color="auto"/>
              <w:left w:val="single" w:sz="8" w:space="0" w:color="000000"/>
              <w:bottom w:val="single" w:sz="8" w:space="0" w:color="000000"/>
            </w:tcBorders>
            <w:shd w:val="clear" w:color="auto" w:fill="FFFFFF"/>
            <w:tcMar>
              <w:top w:w="72" w:type="dxa"/>
              <w:left w:w="144" w:type="dxa"/>
              <w:bottom w:w="72" w:type="dxa"/>
              <w:right w:w="144" w:type="dxa"/>
            </w:tcMar>
            <w:vAlign w:val="center"/>
          </w:tcPr>
          <w:p w14:paraId="1CD2069B" w14:textId="77777777" w:rsidR="00727BE6" w:rsidRPr="00DF4CE5" w:rsidRDefault="00727BE6" w:rsidP="00450B7A">
            <w:pPr>
              <w:spacing w:after="0" w:line="240" w:lineRule="auto"/>
              <w:jc w:val="both"/>
              <w:rPr>
                <w:rFonts w:ascii="Cambria" w:eastAsia="Times New Roman" w:hAnsi="Cambria" w:cs="Calibri"/>
                <w:lang w:val="hr-HR"/>
              </w:rPr>
            </w:pPr>
            <w:r>
              <w:rPr>
                <w:rFonts w:ascii="Cambria" w:eastAsia="Times New Roman" w:hAnsi="Cambria" w:cs="Calibri"/>
                <w:lang w:val="hr-HR"/>
              </w:rPr>
              <w:t>obvezni</w:t>
            </w:r>
          </w:p>
        </w:tc>
        <w:tc>
          <w:tcPr>
            <w:tcW w:w="1470" w:type="dxa"/>
            <w:gridSpan w:val="3"/>
            <w:tcBorders>
              <w:top w:val="single" w:sz="4" w:space="0" w:color="auto"/>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405434F6" w14:textId="77777777" w:rsidR="00727BE6" w:rsidRPr="005C2363" w:rsidRDefault="00727BE6" w:rsidP="00450B7A">
            <w:pPr>
              <w:spacing w:after="0" w:line="240" w:lineRule="auto"/>
              <w:rPr>
                <w:rFonts w:ascii="Cambria" w:eastAsia="Times New Roman" w:hAnsi="Cambria" w:cs="Calibri"/>
                <w:lang w:val="hr-HR"/>
              </w:rPr>
            </w:pPr>
            <w:r w:rsidRPr="005C2363">
              <w:rPr>
                <w:rFonts w:ascii="Cambria" w:eastAsia="Times New Roman" w:hAnsi="Cambria" w:cs="Calibri"/>
                <w:lang w:val="hr-HR"/>
              </w:rPr>
              <w:t>Razina kolegija</w:t>
            </w:r>
          </w:p>
        </w:tc>
        <w:tc>
          <w:tcPr>
            <w:tcW w:w="2772" w:type="dxa"/>
            <w:gridSpan w:val="3"/>
            <w:tcBorders>
              <w:top w:val="single" w:sz="4" w:space="0" w:color="auto"/>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7980943C" w14:textId="77777777" w:rsidR="00727BE6" w:rsidRPr="00DF4CE5" w:rsidRDefault="00727BE6" w:rsidP="00450B7A">
            <w:pPr>
              <w:spacing w:after="0" w:line="100" w:lineRule="atLeast"/>
              <w:jc w:val="both"/>
              <w:rPr>
                <w:rFonts w:ascii="Cambria" w:eastAsia="Times New Roman" w:hAnsi="Cambria" w:cs="Calibri"/>
                <w:lang w:val="hr-HR"/>
              </w:rPr>
            </w:pPr>
            <w:r>
              <w:rPr>
                <w:rFonts w:ascii="Cambria" w:eastAsia="Times New Roman" w:hAnsi="Cambria" w:cs="Calibri"/>
                <w:lang w:val="hr-HR"/>
              </w:rPr>
              <w:t>integrirani</w:t>
            </w:r>
          </w:p>
        </w:tc>
      </w:tr>
      <w:tr w:rsidR="00727BE6" w:rsidRPr="005C2363" w14:paraId="361D496D" w14:textId="77777777" w:rsidTr="00450B7A">
        <w:tc>
          <w:tcPr>
            <w:tcW w:w="212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45B12BA" w14:textId="77777777" w:rsidR="00727BE6" w:rsidRPr="005C2363" w:rsidRDefault="00727BE6" w:rsidP="00450B7A">
            <w:pPr>
              <w:spacing w:after="0" w:line="240" w:lineRule="auto"/>
              <w:rPr>
                <w:rFonts w:ascii="Cambria" w:eastAsia="Times New Roman" w:hAnsi="Cambria" w:cs="Calibri"/>
                <w:lang w:val="hr-HR"/>
              </w:rPr>
            </w:pPr>
            <w:r w:rsidRPr="005C2363">
              <w:rPr>
                <w:rFonts w:ascii="Cambria" w:eastAsia="Times New Roman" w:hAnsi="Cambria" w:cs="Calibri"/>
                <w:lang w:val="hr-HR"/>
              </w:rPr>
              <w:t>Semestar</w:t>
            </w:r>
          </w:p>
        </w:tc>
        <w:tc>
          <w:tcPr>
            <w:tcW w:w="2978" w:type="dxa"/>
            <w:tcBorders>
              <w:top w:val="single" w:sz="8" w:space="0" w:color="000000"/>
              <w:left w:val="single" w:sz="8" w:space="0" w:color="000000"/>
              <w:bottom w:val="single" w:sz="8" w:space="0" w:color="000000"/>
            </w:tcBorders>
            <w:shd w:val="clear" w:color="auto" w:fill="FFFFFF"/>
            <w:tcMar>
              <w:top w:w="72" w:type="dxa"/>
              <w:left w:w="144" w:type="dxa"/>
              <w:bottom w:w="72" w:type="dxa"/>
              <w:right w:w="144" w:type="dxa"/>
            </w:tcMar>
            <w:vAlign w:val="center"/>
          </w:tcPr>
          <w:p w14:paraId="64EA68A6" w14:textId="77777777" w:rsidR="00727BE6" w:rsidRPr="00DF4CE5" w:rsidRDefault="00727BE6" w:rsidP="00450B7A">
            <w:pPr>
              <w:spacing w:after="0" w:line="240" w:lineRule="auto"/>
              <w:jc w:val="both"/>
              <w:rPr>
                <w:rFonts w:ascii="Cambria" w:eastAsia="Times New Roman" w:hAnsi="Cambria" w:cs="Calibri"/>
                <w:lang w:val="hr-HR"/>
              </w:rPr>
            </w:pPr>
            <w:r>
              <w:rPr>
                <w:rFonts w:ascii="Cambria" w:eastAsia="Times New Roman" w:hAnsi="Cambria" w:cs="Calibri"/>
                <w:lang w:val="hr-HR"/>
              </w:rPr>
              <w:t>zimski</w:t>
            </w:r>
          </w:p>
        </w:tc>
        <w:tc>
          <w:tcPr>
            <w:tcW w:w="1470"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0FBD848B" w14:textId="77777777" w:rsidR="00727BE6" w:rsidRPr="005C2363" w:rsidRDefault="00727BE6" w:rsidP="00450B7A">
            <w:pPr>
              <w:spacing w:after="0" w:line="240" w:lineRule="auto"/>
              <w:rPr>
                <w:rFonts w:ascii="Cambria" w:eastAsia="Times New Roman" w:hAnsi="Cambria" w:cs="Calibri"/>
                <w:lang w:val="hr-HR"/>
              </w:rPr>
            </w:pPr>
            <w:r w:rsidRPr="005C2363">
              <w:rPr>
                <w:rFonts w:ascii="Cambria" w:eastAsia="Times New Roman" w:hAnsi="Cambria" w:cs="Calibri"/>
                <w:lang w:val="hr-HR"/>
              </w:rPr>
              <w:t>Godina studija</w:t>
            </w:r>
          </w:p>
        </w:tc>
        <w:tc>
          <w:tcPr>
            <w:tcW w:w="2772" w:type="dxa"/>
            <w:gridSpan w:val="3"/>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749292F9" w14:textId="77777777" w:rsidR="00727BE6" w:rsidRPr="00DF4CE5" w:rsidRDefault="00727BE6" w:rsidP="00450B7A">
            <w:pPr>
              <w:snapToGrid w:val="0"/>
              <w:spacing w:after="0" w:line="100" w:lineRule="atLeast"/>
              <w:jc w:val="both"/>
              <w:rPr>
                <w:rFonts w:ascii="Cambria" w:eastAsia="Times New Roman" w:hAnsi="Cambria" w:cs="Calibri"/>
              </w:rPr>
            </w:pPr>
            <w:r>
              <w:rPr>
                <w:rFonts w:ascii="Cambria" w:eastAsia="Times New Roman" w:hAnsi="Cambria" w:cs="Calibri"/>
              </w:rPr>
              <w:t>V.</w:t>
            </w:r>
          </w:p>
        </w:tc>
      </w:tr>
      <w:tr w:rsidR="00727BE6" w:rsidRPr="005C2363" w14:paraId="07BBBA81" w14:textId="77777777" w:rsidTr="00450B7A">
        <w:tc>
          <w:tcPr>
            <w:tcW w:w="212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C96B4E4" w14:textId="77777777" w:rsidR="00727BE6" w:rsidRPr="005C2363" w:rsidRDefault="00727BE6" w:rsidP="00450B7A">
            <w:pPr>
              <w:spacing w:after="0" w:line="240" w:lineRule="auto"/>
              <w:rPr>
                <w:rFonts w:ascii="Cambria" w:eastAsia="Times New Roman" w:hAnsi="Cambria" w:cs="Calibri"/>
                <w:lang w:val="hr-HR"/>
              </w:rPr>
            </w:pPr>
            <w:r w:rsidRPr="005C2363">
              <w:rPr>
                <w:rFonts w:ascii="Cambria" w:eastAsia="Times New Roman" w:hAnsi="Cambria" w:cs="Calibri"/>
                <w:lang w:val="hr-HR"/>
              </w:rPr>
              <w:t>Mjesto izvođenja</w:t>
            </w:r>
          </w:p>
        </w:tc>
        <w:tc>
          <w:tcPr>
            <w:tcW w:w="2978" w:type="dxa"/>
            <w:tcBorders>
              <w:top w:val="single" w:sz="8" w:space="0" w:color="000000"/>
              <w:left w:val="single" w:sz="8" w:space="0" w:color="000000"/>
              <w:bottom w:val="single" w:sz="8" w:space="0" w:color="000000"/>
            </w:tcBorders>
            <w:shd w:val="clear" w:color="auto" w:fill="FFFFFF"/>
            <w:tcMar>
              <w:top w:w="72" w:type="dxa"/>
              <w:left w:w="144" w:type="dxa"/>
              <w:bottom w:w="72" w:type="dxa"/>
              <w:right w:w="144" w:type="dxa"/>
            </w:tcMar>
            <w:vAlign w:val="center"/>
          </w:tcPr>
          <w:p w14:paraId="5CA63D95" w14:textId="77777777" w:rsidR="00727BE6" w:rsidRPr="00FE6077" w:rsidRDefault="00727BE6" w:rsidP="00450B7A">
            <w:pPr>
              <w:snapToGrid w:val="0"/>
              <w:spacing w:after="0" w:line="240" w:lineRule="auto"/>
              <w:jc w:val="both"/>
              <w:rPr>
                <w:rFonts w:ascii="Cambria" w:eastAsia="Times New Roman" w:hAnsi="Cambria" w:cs="Calibri"/>
                <w:lang w:val="it-IT"/>
              </w:rPr>
            </w:pPr>
            <w:proofErr w:type="spellStart"/>
            <w:r w:rsidRPr="00FE6077">
              <w:rPr>
                <w:rFonts w:ascii="Cambria" w:eastAsia="Times New Roman" w:hAnsi="Cambria" w:cs="Calibri"/>
                <w:lang w:val="it-IT"/>
              </w:rPr>
              <w:t>odgojno-obrazovna</w:t>
            </w:r>
            <w:proofErr w:type="spellEnd"/>
            <w:r w:rsidRPr="00FE6077">
              <w:rPr>
                <w:rFonts w:ascii="Cambria" w:eastAsia="Times New Roman" w:hAnsi="Cambria" w:cs="Calibri"/>
                <w:lang w:val="it-IT"/>
              </w:rPr>
              <w:t xml:space="preserve"> </w:t>
            </w:r>
            <w:proofErr w:type="spellStart"/>
            <w:r w:rsidRPr="00FE6077">
              <w:rPr>
                <w:rFonts w:ascii="Cambria" w:eastAsia="Times New Roman" w:hAnsi="Cambria" w:cs="Calibri"/>
                <w:lang w:val="it-IT"/>
              </w:rPr>
              <w:t>ustanova</w:t>
            </w:r>
            <w:proofErr w:type="spellEnd"/>
            <w:r w:rsidRPr="00FE6077">
              <w:rPr>
                <w:rFonts w:ascii="Cambria" w:eastAsia="Times New Roman" w:hAnsi="Cambria" w:cs="Calibri"/>
                <w:lang w:val="it-IT"/>
              </w:rPr>
              <w:t xml:space="preserve"> (</w:t>
            </w:r>
            <w:proofErr w:type="spellStart"/>
            <w:r w:rsidRPr="00FE6077">
              <w:rPr>
                <w:rFonts w:ascii="Cambria" w:eastAsia="Times New Roman" w:hAnsi="Cambria" w:cs="Calibri"/>
                <w:lang w:val="it-IT"/>
              </w:rPr>
              <w:t>osnovna</w:t>
            </w:r>
            <w:proofErr w:type="spellEnd"/>
            <w:r w:rsidRPr="00FE6077">
              <w:rPr>
                <w:rFonts w:ascii="Cambria" w:eastAsia="Times New Roman" w:hAnsi="Cambria" w:cs="Calibri"/>
                <w:lang w:val="it-IT"/>
              </w:rPr>
              <w:t xml:space="preserve"> </w:t>
            </w:r>
            <w:proofErr w:type="spellStart"/>
            <w:r w:rsidRPr="00FE6077">
              <w:rPr>
                <w:rFonts w:ascii="Cambria" w:eastAsia="Times New Roman" w:hAnsi="Cambria" w:cs="Calibri"/>
                <w:lang w:val="it-IT"/>
              </w:rPr>
              <w:t>škola</w:t>
            </w:r>
            <w:proofErr w:type="spellEnd"/>
            <w:r w:rsidRPr="00FE6077">
              <w:rPr>
                <w:rFonts w:ascii="Cambria" w:eastAsia="Times New Roman" w:hAnsi="Cambria" w:cs="Calibri"/>
                <w:lang w:val="it-IT"/>
              </w:rPr>
              <w:t xml:space="preserve"> ili </w:t>
            </w:r>
            <w:proofErr w:type="spellStart"/>
            <w:r w:rsidRPr="00FE6077">
              <w:rPr>
                <w:rFonts w:ascii="Cambria" w:eastAsia="Times New Roman" w:hAnsi="Cambria" w:cs="Calibri"/>
                <w:lang w:val="it-IT"/>
              </w:rPr>
              <w:t>srodna</w:t>
            </w:r>
            <w:proofErr w:type="spellEnd"/>
            <w:r w:rsidRPr="00FE6077">
              <w:rPr>
                <w:rFonts w:ascii="Cambria" w:eastAsia="Times New Roman" w:hAnsi="Cambria" w:cs="Calibri"/>
                <w:lang w:val="it-IT"/>
              </w:rPr>
              <w:t xml:space="preserve"> </w:t>
            </w:r>
            <w:proofErr w:type="spellStart"/>
            <w:r w:rsidRPr="00FE6077">
              <w:rPr>
                <w:rFonts w:ascii="Cambria" w:eastAsia="Times New Roman" w:hAnsi="Cambria" w:cs="Calibri"/>
                <w:lang w:val="it-IT"/>
              </w:rPr>
              <w:t>institucija</w:t>
            </w:r>
            <w:proofErr w:type="spellEnd"/>
            <w:r w:rsidRPr="00FE6077">
              <w:rPr>
                <w:rFonts w:ascii="Cambria" w:eastAsia="Times New Roman" w:hAnsi="Cambria" w:cs="Calibri"/>
                <w:lang w:val="it-IT"/>
              </w:rPr>
              <w:t>)</w:t>
            </w:r>
          </w:p>
        </w:tc>
        <w:tc>
          <w:tcPr>
            <w:tcW w:w="1470"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70956427" w14:textId="77777777" w:rsidR="00727BE6" w:rsidRPr="005C2363" w:rsidRDefault="00727BE6" w:rsidP="00450B7A">
            <w:pPr>
              <w:spacing w:after="0" w:line="240" w:lineRule="auto"/>
              <w:rPr>
                <w:rFonts w:ascii="Cambria" w:eastAsia="Times New Roman" w:hAnsi="Cambria" w:cs="Calibri"/>
                <w:lang w:val="hr-HR"/>
              </w:rPr>
            </w:pPr>
            <w:r w:rsidRPr="005C2363">
              <w:rPr>
                <w:rFonts w:ascii="Cambria" w:eastAsia="Times New Roman" w:hAnsi="Cambria" w:cs="Calibri"/>
                <w:lang w:val="hr-HR"/>
              </w:rPr>
              <w:t xml:space="preserve">Jezik izvođenja </w:t>
            </w:r>
          </w:p>
        </w:tc>
        <w:tc>
          <w:tcPr>
            <w:tcW w:w="2772" w:type="dxa"/>
            <w:gridSpan w:val="3"/>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2E302301" w14:textId="77777777" w:rsidR="00727BE6" w:rsidRPr="00DF4CE5" w:rsidRDefault="00727BE6" w:rsidP="00450B7A">
            <w:pPr>
              <w:snapToGrid w:val="0"/>
              <w:spacing w:after="0" w:line="100" w:lineRule="atLeast"/>
              <w:jc w:val="both"/>
              <w:rPr>
                <w:rFonts w:ascii="Cambria" w:eastAsia="Times New Roman" w:hAnsi="Cambria" w:cs="Calibri"/>
                <w:lang w:val="hr-HR"/>
              </w:rPr>
            </w:pPr>
            <w:r>
              <w:rPr>
                <w:rFonts w:ascii="Cambria" w:eastAsia="Times New Roman" w:hAnsi="Cambria" w:cs="Calibri"/>
                <w:lang w:val="hr-HR"/>
              </w:rPr>
              <w:t>hrvatski</w:t>
            </w:r>
          </w:p>
        </w:tc>
      </w:tr>
      <w:tr w:rsidR="00727BE6" w:rsidRPr="005C2363" w14:paraId="0B9A4008" w14:textId="77777777" w:rsidTr="00450B7A">
        <w:tc>
          <w:tcPr>
            <w:tcW w:w="212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7EE91DF" w14:textId="77777777" w:rsidR="00727BE6" w:rsidRPr="005C2363" w:rsidRDefault="00727BE6" w:rsidP="00450B7A">
            <w:pPr>
              <w:spacing w:after="0" w:line="240" w:lineRule="auto"/>
              <w:rPr>
                <w:rFonts w:ascii="Cambria" w:eastAsia="Times New Roman" w:hAnsi="Cambria" w:cs="Calibri"/>
                <w:lang w:val="hr-HR"/>
              </w:rPr>
            </w:pPr>
            <w:r w:rsidRPr="005C2363">
              <w:rPr>
                <w:rFonts w:ascii="Cambria" w:eastAsia="Times New Roman" w:hAnsi="Cambria" w:cs="Calibri"/>
                <w:lang w:val="hr-HR"/>
              </w:rPr>
              <w:t>Broj ECTS bodova</w:t>
            </w:r>
          </w:p>
        </w:tc>
        <w:tc>
          <w:tcPr>
            <w:tcW w:w="2978" w:type="dxa"/>
            <w:tcBorders>
              <w:top w:val="single" w:sz="8" w:space="0" w:color="000000"/>
              <w:left w:val="single" w:sz="8" w:space="0" w:color="000000"/>
              <w:bottom w:val="single" w:sz="8" w:space="0" w:color="000000"/>
            </w:tcBorders>
            <w:shd w:val="clear" w:color="auto" w:fill="FFFFFF"/>
            <w:tcMar>
              <w:top w:w="72" w:type="dxa"/>
              <w:left w:w="144" w:type="dxa"/>
              <w:bottom w:w="72" w:type="dxa"/>
              <w:right w:w="144" w:type="dxa"/>
            </w:tcMar>
            <w:vAlign w:val="center"/>
          </w:tcPr>
          <w:p w14:paraId="265EFBE5" w14:textId="77777777" w:rsidR="00727BE6" w:rsidRPr="00DF4CE5" w:rsidRDefault="00727BE6" w:rsidP="00450B7A">
            <w:pPr>
              <w:snapToGrid w:val="0"/>
              <w:spacing w:after="0" w:line="240" w:lineRule="auto"/>
              <w:jc w:val="both"/>
              <w:rPr>
                <w:rFonts w:ascii="Cambria" w:eastAsia="Times New Roman" w:hAnsi="Cambria" w:cs="Calibri"/>
                <w:lang w:val="hr-HR"/>
              </w:rPr>
            </w:pPr>
            <w:r>
              <w:rPr>
                <w:rFonts w:ascii="Cambria" w:eastAsia="Times New Roman" w:hAnsi="Cambria" w:cs="Calibri"/>
                <w:lang w:val="hr-HR"/>
              </w:rPr>
              <w:t>4</w:t>
            </w:r>
          </w:p>
        </w:tc>
        <w:tc>
          <w:tcPr>
            <w:tcW w:w="1470"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24F2388A" w14:textId="77777777" w:rsidR="00727BE6" w:rsidRPr="005C2363" w:rsidRDefault="00727BE6" w:rsidP="00450B7A">
            <w:pPr>
              <w:spacing w:after="0" w:line="240" w:lineRule="auto"/>
              <w:rPr>
                <w:rFonts w:ascii="Cambria" w:eastAsia="Times New Roman" w:hAnsi="Cambria" w:cs="Calibri"/>
                <w:lang w:val="hr-HR"/>
              </w:rPr>
            </w:pPr>
            <w:r w:rsidRPr="005C2363">
              <w:rPr>
                <w:rFonts w:ascii="Cambria" w:eastAsia="Times New Roman" w:hAnsi="Cambria" w:cs="Calibri"/>
                <w:lang w:val="hr-HR"/>
              </w:rPr>
              <w:t>Broj sati u semestru</w:t>
            </w:r>
          </w:p>
        </w:tc>
        <w:tc>
          <w:tcPr>
            <w:tcW w:w="2772" w:type="dxa"/>
            <w:gridSpan w:val="3"/>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7B6FD062" w14:textId="77777777" w:rsidR="00727BE6" w:rsidRPr="00DF4CE5" w:rsidRDefault="00727BE6" w:rsidP="00450B7A">
            <w:pPr>
              <w:spacing w:after="0" w:line="100" w:lineRule="atLeast"/>
              <w:jc w:val="both"/>
              <w:rPr>
                <w:rFonts w:ascii="Cambria" w:eastAsia="Times New Roman" w:hAnsi="Cambria" w:cs="Calibri"/>
                <w:lang w:val="hr-HR"/>
              </w:rPr>
            </w:pPr>
            <w:r>
              <w:rPr>
                <w:rFonts w:ascii="Cambria" w:eastAsia="Times New Roman" w:hAnsi="Cambria" w:cs="Calibri"/>
                <w:lang w:val="hr-HR"/>
              </w:rPr>
              <w:t>0P – 0S – 100V</w:t>
            </w:r>
          </w:p>
        </w:tc>
      </w:tr>
      <w:tr w:rsidR="00727BE6" w:rsidRPr="00347571" w14:paraId="37452F04" w14:textId="77777777" w:rsidTr="00450B7A">
        <w:tc>
          <w:tcPr>
            <w:tcW w:w="212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7973345" w14:textId="77777777" w:rsidR="00727BE6" w:rsidRPr="005C2363" w:rsidRDefault="00727BE6" w:rsidP="00450B7A">
            <w:pPr>
              <w:spacing w:after="0" w:line="240" w:lineRule="auto"/>
              <w:rPr>
                <w:rFonts w:ascii="Cambria" w:eastAsia="Times New Roman" w:hAnsi="Cambria" w:cs="Calibri"/>
                <w:lang w:val="hr-HR"/>
              </w:rPr>
            </w:pPr>
            <w:r w:rsidRPr="005C2363">
              <w:rPr>
                <w:rFonts w:ascii="Cambria" w:eastAsia="Times New Roman" w:hAnsi="Cambria" w:cs="Calibri"/>
                <w:lang w:val="hr-HR"/>
              </w:rPr>
              <w:t>Preduvjeti za upis i za svladavanje</w:t>
            </w:r>
          </w:p>
        </w:tc>
        <w:tc>
          <w:tcPr>
            <w:tcW w:w="7220"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3E96B908" w14:textId="77777777" w:rsidR="00727BE6" w:rsidRPr="00DF4CE5" w:rsidRDefault="00727BE6" w:rsidP="00450B7A">
            <w:pPr>
              <w:snapToGrid w:val="0"/>
              <w:spacing w:after="0" w:line="100" w:lineRule="atLeast"/>
              <w:jc w:val="both"/>
              <w:rPr>
                <w:rFonts w:ascii="Cambria" w:eastAsia="Times New Roman" w:hAnsi="Cambria" w:cs="Calibri"/>
                <w:lang w:val="nl-NL"/>
              </w:rPr>
            </w:pPr>
            <w:r>
              <w:rPr>
                <w:rFonts w:ascii="Cambria" w:eastAsia="Times New Roman" w:hAnsi="Cambria" w:cs="Calibri"/>
                <w:lang w:val="nl-NL"/>
              </w:rPr>
              <w:t xml:space="preserve">Nema preduvjeta za upis. </w:t>
            </w:r>
          </w:p>
        </w:tc>
      </w:tr>
      <w:tr w:rsidR="00727BE6" w:rsidRPr="00D0399C" w14:paraId="71CB69B6" w14:textId="77777777" w:rsidTr="00450B7A">
        <w:tc>
          <w:tcPr>
            <w:tcW w:w="212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4296E63" w14:textId="77777777" w:rsidR="00727BE6" w:rsidRPr="005C2363" w:rsidRDefault="00727BE6" w:rsidP="00450B7A">
            <w:pPr>
              <w:spacing w:after="0" w:line="240" w:lineRule="auto"/>
              <w:rPr>
                <w:rFonts w:ascii="Cambria" w:eastAsia="Times New Roman" w:hAnsi="Cambria" w:cs="Calibri"/>
                <w:lang w:val="hr-HR"/>
              </w:rPr>
            </w:pPr>
            <w:proofErr w:type="spellStart"/>
            <w:r w:rsidRPr="005C2363">
              <w:rPr>
                <w:rFonts w:ascii="Cambria" w:eastAsia="Times New Roman" w:hAnsi="Cambria" w:cs="Calibri"/>
                <w:lang w:val="hr-HR"/>
              </w:rPr>
              <w:t>Korelativnost</w:t>
            </w:r>
            <w:proofErr w:type="spellEnd"/>
          </w:p>
        </w:tc>
        <w:tc>
          <w:tcPr>
            <w:tcW w:w="7220"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747CC62C" w14:textId="77777777" w:rsidR="00727BE6" w:rsidRPr="00DF4CE5" w:rsidRDefault="00727BE6" w:rsidP="00450B7A">
            <w:pPr>
              <w:snapToGrid w:val="0"/>
              <w:spacing w:after="0" w:line="100" w:lineRule="atLeast"/>
              <w:jc w:val="both"/>
              <w:rPr>
                <w:rFonts w:ascii="Cambria" w:eastAsia="Times New Roman" w:hAnsi="Cambria" w:cs="Calibri"/>
                <w:lang w:val="nl-NL"/>
              </w:rPr>
            </w:pPr>
            <w:r w:rsidRPr="00347571">
              <w:rPr>
                <w:rFonts w:ascii="Cambria" w:eastAsia="Times New Roman" w:hAnsi="Cambria" w:cs="Calibri"/>
                <w:lang w:val="nl-NL"/>
              </w:rPr>
              <w:t>Kolegij Stručna praksa korelira sa stručno-metodičkim    kolegijima koji čine programsku cjelinu učiteljskog studija.</w:t>
            </w:r>
          </w:p>
        </w:tc>
      </w:tr>
      <w:tr w:rsidR="00727BE6" w:rsidRPr="00D0399C" w14:paraId="728E973F" w14:textId="77777777" w:rsidTr="00450B7A">
        <w:tc>
          <w:tcPr>
            <w:tcW w:w="212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3A36255" w14:textId="77777777" w:rsidR="00727BE6" w:rsidRPr="005C2363" w:rsidRDefault="00727BE6" w:rsidP="00450B7A">
            <w:pPr>
              <w:spacing w:after="0" w:line="240" w:lineRule="auto"/>
              <w:rPr>
                <w:rFonts w:ascii="Cambria" w:eastAsia="Times New Roman" w:hAnsi="Cambria" w:cs="Calibri"/>
                <w:lang w:val="hr-HR"/>
              </w:rPr>
            </w:pPr>
            <w:r w:rsidRPr="005C2363">
              <w:rPr>
                <w:rFonts w:ascii="Cambria" w:eastAsia="Times New Roman" w:hAnsi="Cambria" w:cs="Calibri"/>
                <w:lang w:val="hr-HR"/>
              </w:rPr>
              <w:t xml:space="preserve">Cilj kolegija </w:t>
            </w:r>
          </w:p>
        </w:tc>
        <w:tc>
          <w:tcPr>
            <w:tcW w:w="7220"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4E000A0E" w14:textId="77777777" w:rsidR="00727BE6" w:rsidRPr="00DF4CE5" w:rsidRDefault="00727BE6" w:rsidP="00450B7A">
            <w:pPr>
              <w:snapToGrid w:val="0"/>
              <w:spacing w:after="0" w:line="100" w:lineRule="atLeast"/>
              <w:jc w:val="both"/>
              <w:rPr>
                <w:rFonts w:ascii="Cambria" w:eastAsia="Times New Roman" w:hAnsi="Cambria" w:cs="Calibri"/>
                <w:lang w:val="hr-HR"/>
              </w:rPr>
            </w:pPr>
            <w:r w:rsidRPr="00347571">
              <w:rPr>
                <w:rFonts w:ascii="Cambria" w:eastAsia="Times New Roman" w:hAnsi="Cambria" w:cs="Calibri"/>
                <w:lang w:val="hr-HR"/>
              </w:rPr>
              <w:t>osposobiti studente i studentice za samostalnu primjenu odgovarajućih oblika i metoda rada u razrednoj nastavi i provedbu aktivnosti inoviranja odgojno obrazovne djelatnosti</w:t>
            </w:r>
          </w:p>
        </w:tc>
      </w:tr>
      <w:tr w:rsidR="00727BE6" w:rsidRPr="00D0399C" w14:paraId="5FC80408" w14:textId="77777777" w:rsidTr="00450B7A">
        <w:tc>
          <w:tcPr>
            <w:tcW w:w="212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34D35C2" w14:textId="77777777" w:rsidR="00727BE6" w:rsidRPr="005C2363" w:rsidRDefault="00727BE6" w:rsidP="00450B7A">
            <w:pPr>
              <w:spacing w:after="0" w:line="240" w:lineRule="auto"/>
              <w:rPr>
                <w:rFonts w:ascii="Cambria" w:eastAsia="Times New Roman" w:hAnsi="Cambria" w:cs="Calibri"/>
                <w:lang w:val="hr-HR"/>
              </w:rPr>
            </w:pPr>
            <w:r w:rsidRPr="005C2363">
              <w:rPr>
                <w:rFonts w:ascii="Cambria" w:eastAsia="Times New Roman" w:hAnsi="Cambria" w:cs="Calibri"/>
                <w:lang w:val="hr-HR"/>
              </w:rPr>
              <w:t>Ishodi učenja</w:t>
            </w:r>
          </w:p>
        </w:tc>
        <w:tc>
          <w:tcPr>
            <w:tcW w:w="7220"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241446A5" w14:textId="77777777" w:rsidR="00727BE6" w:rsidRPr="00347571" w:rsidRDefault="00727BE6" w:rsidP="00450B7A">
            <w:pPr>
              <w:snapToGrid w:val="0"/>
              <w:spacing w:after="0" w:line="200" w:lineRule="atLeast"/>
              <w:jc w:val="both"/>
              <w:rPr>
                <w:rFonts w:ascii="Cambria" w:eastAsia="Times New Roman" w:hAnsi="Cambria" w:cs="Calibri"/>
                <w:lang w:val="hr-HR"/>
              </w:rPr>
            </w:pPr>
            <w:r w:rsidRPr="00347571">
              <w:rPr>
                <w:rFonts w:ascii="Cambria" w:eastAsia="Times New Roman" w:hAnsi="Cambria" w:cs="Calibri"/>
                <w:lang w:val="hr-HR"/>
              </w:rPr>
              <w:t>1</w:t>
            </w:r>
            <w:r>
              <w:rPr>
                <w:rFonts w:ascii="Cambria" w:eastAsia="Times New Roman" w:hAnsi="Cambria" w:cs="Calibri"/>
                <w:lang w:val="hr-HR"/>
              </w:rPr>
              <w:t xml:space="preserve">. </w:t>
            </w:r>
            <w:r w:rsidRPr="00347571">
              <w:rPr>
                <w:rFonts w:ascii="Cambria" w:eastAsia="Times New Roman" w:hAnsi="Cambria" w:cs="Calibri"/>
                <w:lang w:val="hr-HR"/>
              </w:rPr>
              <w:t>objasniti organizacijske komponente nastave i interakcijske</w:t>
            </w:r>
          </w:p>
          <w:p w14:paraId="38E6E263" w14:textId="77777777" w:rsidR="00727BE6" w:rsidRPr="00347571" w:rsidRDefault="00727BE6" w:rsidP="00450B7A">
            <w:pPr>
              <w:snapToGrid w:val="0"/>
              <w:spacing w:after="0" w:line="200" w:lineRule="atLeast"/>
              <w:jc w:val="both"/>
              <w:rPr>
                <w:rFonts w:ascii="Cambria" w:eastAsia="Times New Roman" w:hAnsi="Cambria" w:cs="Calibri"/>
                <w:lang w:val="hr-HR"/>
              </w:rPr>
            </w:pPr>
            <w:r w:rsidRPr="00347571">
              <w:rPr>
                <w:rFonts w:ascii="Cambria" w:eastAsia="Times New Roman" w:hAnsi="Cambria" w:cs="Calibri"/>
                <w:lang w:val="hr-HR"/>
              </w:rPr>
              <w:t>odnose učitelja i učenika</w:t>
            </w:r>
          </w:p>
          <w:p w14:paraId="0C87BD85" w14:textId="77777777" w:rsidR="00727BE6" w:rsidRPr="00347571" w:rsidRDefault="00727BE6" w:rsidP="00450B7A">
            <w:pPr>
              <w:snapToGrid w:val="0"/>
              <w:spacing w:after="0" w:line="200" w:lineRule="atLeast"/>
              <w:jc w:val="both"/>
              <w:rPr>
                <w:rFonts w:ascii="Cambria" w:eastAsia="Times New Roman" w:hAnsi="Cambria" w:cs="Calibri"/>
                <w:lang w:val="hr-HR"/>
              </w:rPr>
            </w:pPr>
            <w:r w:rsidRPr="00347571">
              <w:rPr>
                <w:rFonts w:ascii="Cambria" w:eastAsia="Times New Roman" w:hAnsi="Cambria" w:cs="Calibri"/>
                <w:lang w:val="hr-HR"/>
              </w:rPr>
              <w:t>2.</w:t>
            </w:r>
            <w:r>
              <w:rPr>
                <w:rFonts w:ascii="Cambria" w:eastAsia="Times New Roman" w:hAnsi="Cambria" w:cs="Calibri"/>
                <w:lang w:val="hr-HR"/>
              </w:rPr>
              <w:t xml:space="preserve"> </w:t>
            </w:r>
            <w:r w:rsidRPr="00347571">
              <w:rPr>
                <w:rFonts w:ascii="Cambria" w:eastAsia="Times New Roman" w:hAnsi="Cambria" w:cs="Calibri"/>
                <w:lang w:val="hr-HR"/>
              </w:rPr>
              <w:t>prikazati praćenje napretka učenika korištenjem različitih</w:t>
            </w:r>
          </w:p>
          <w:p w14:paraId="4E7E4AB7" w14:textId="77777777" w:rsidR="00727BE6" w:rsidRPr="00347571" w:rsidRDefault="00727BE6" w:rsidP="00450B7A">
            <w:pPr>
              <w:snapToGrid w:val="0"/>
              <w:spacing w:after="0" w:line="200" w:lineRule="atLeast"/>
              <w:jc w:val="both"/>
              <w:rPr>
                <w:rFonts w:ascii="Cambria" w:eastAsia="Times New Roman" w:hAnsi="Cambria" w:cs="Calibri"/>
                <w:lang w:val="hr-HR"/>
              </w:rPr>
            </w:pPr>
            <w:r w:rsidRPr="00347571">
              <w:rPr>
                <w:rFonts w:ascii="Cambria" w:eastAsia="Times New Roman" w:hAnsi="Cambria" w:cs="Calibri"/>
                <w:lang w:val="hr-HR"/>
              </w:rPr>
              <w:t>metoda</w:t>
            </w:r>
          </w:p>
          <w:p w14:paraId="5E053F8C" w14:textId="77777777" w:rsidR="00727BE6" w:rsidRPr="00347571" w:rsidRDefault="00727BE6" w:rsidP="00450B7A">
            <w:pPr>
              <w:snapToGrid w:val="0"/>
              <w:spacing w:after="0" w:line="200" w:lineRule="atLeast"/>
              <w:jc w:val="both"/>
              <w:rPr>
                <w:rFonts w:ascii="Cambria" w:eastAsia="Times New Roman" w:hAnsi="Cambria" w:cs="Calibri"/>
                <w:lang w:val="hr-HR"/>
              </w:rPr>
            </w:pPr>
            <w:r w:rsidRPr="00347571">
              <w:rPr>
                <w:rFonts w:ascii="Cambria" w:eastAsia="Times New Roman" w:hAnsi="Cambria" w:cs="Calibri"/>
                <w:lang w:val="hr-HR"/>
              </w:rPr>
              <w:t>3.</w:t>
            </w:r>
            <w:r>
              <w:rPr>
                <w:rFonts w:ascii="Cambria" w:eastAsia="Times New Roman" w:hAnsi="Cambria" w:cs="Calibri"/>
                <w:lang w:val="hr-HR"/>
              </w:rPr>
              <w:t xml:space="preserve"> </w:t>
            </w:r>
            <w:r w:rsidRPr="00347571">
              <w:rPr>
                <w:rFonts w:ascii="Cambria" w:eastAsia="Times New Roman" w:hAnsi="Cambria" w:cs="Calibri"/>
                <w:lang w:val="hr-HR"/>
              </w:rPr>
              <w:t>opisati specifične jake strane i poteškoće učenika kao temelj individualiziranog pristupa poučavanju</w:t>
            </w:r>
          </w:p>
          <w:p w14:paraId="0A63BB60" w14:textId="77777777" w:rsidR="00727BE6" w:rsidRPr="00347571" w:rsidRDefault="00727BE6" w:rsidP="00450B7A">
            <w:pPr>
              <w:snapToGrid w:val="0"/>
              <w:spacing w:after="0" w:line="200" w:lineRule="atLeast"/>
              <w:jc w:val="both"/>
              <w:rPr>
                <w:rFonts w:ascii="Cambria" w:eastAsia="Times New Roman" w:hAnsi="Cambria" w:cs="Calibri"/>
                <w:lang w:val="hr-HR"/>
              </w:rPr>
            </w:pPr>
            <w:r w:rsidRPr="00347571">
              <w:rPr>
                <w:rFonts w:ascii="Cambria" w:eastAsia="Times New Roman" w:hAnsi="Cambria" w:cs="Calibri"/>
                <w:lang w:val="hr-HR"/>
              </w:rPr>
              <w:t>4.</w:t>
            </w:r>
            <w:r>
              <w:rPr>
                <w:rFonts w:ascii="Cambria" w:eastAsia="Times New Roman" w:hAnsi="Cambria" w:cs="Calibri"/>
                <w:lang w:val="hr-HR"/>
              </w:rPr>
              <w:t xml:space="preserve"> </w:t>
            </w:r>
            <w:r w:rsidRPr="00347571">
              <w:rPr>
                <w:rFonts w:ascii="Cambria" w:eastAsia="Times New Roman" w:hAnsi="Cambria" w:cs="Calibri"/>
                <w:lang w:val="hr-HR"/>
              </w:rPr>
              <w:t>predložiti primjer primjerene metode problemske nastave u poučavanju učenika</w:t>
            </w:r>
          </w:p>
          <w:p w14:paraId="2F17F95D" w14:textId="77777777" w:rsidR="00727BE6" w:rsidRPr="00347571" w:rsidRDefault="00727BE6" w:rsidP="00450B7A">
            <w:pPr>
              <w:snapToGrid w:val="0"/>
              <w:spacing w:after="0" w:line="200" w:lineRule="atLeast"/>
              <w:jc w:val="both"/>
              <w:rPr>
                <w:rFonts w:ascii="Cambria" w:eastAsia="Times New Roman" w:hAnsi="Cambria" w:cs="Calibri"/>
                <w:lang w:val="hr-HR"/>
              </w:rPr>
            </w:pPr>
            <w:r w:rsidRPr="00347571">
              <w:rPr>
                <w:rFonts w:ascii="Cambria" w:eastAsia="Times New Roman" w:hAnsi="Cambria" w:cs="Calibri"/>
                <w:lang w:val="hr-HR"/>
              </w:rPr>
              <w:t>5.</w:t>
            </w:r>
            <w:r>
              <w:rPr>
                <w:rFonts w:ascii="Cambria" w:eastAsia="Times New Roman" w:hAnsi="Cambria" w:cs="Calibri"/>
                <w:lang w:val="hr-HR"/>
              </w:rPr>
              <w:t xml:space="preserve"> </w:t>
            </w:r>
            <w:r w:rsidRPr="00347571">
              <w:rPr>
                <w:rFonts w:ascii="Cambria" w:eastAsia="Times New Roman" w:hAnsi="Cambria" w:cs="Calibri"/>
                <w:lang w:val="hr-HR"/>
              </w:rPr>
              <w:t>primijeniti osnovne oblike i metode rada u razrednoj nastavi</w:t>
            </w:r>
          </w:p>
          <w:p w14:paraId="45C6340F" w14:textId="77777777" w:rsidR="00727BE6" w:rsidRPr="00DF4CE5" w:rsidRDefault="00727BE6" w:rsidP="00450B7A">
            <w:pPr>
              <w:snapToGrid w:val="0"/>
              <w:spacing w:after="0" w:line="200" w:lineRule="atLeast"/>
              <w:jc w:val="both"/>
              <w:rPr>
                <w:rFonts w:ascii="Cambria" w:eastAsia="Times New Roman" w:hAnsi="Cambria" w:cs="Calibri"/>
                <w:lang w:val="hr-HR"/>
              </w:rPr>
            </w:pPr>
            <w:r w:rsidRPr="00347571">
              <w:rPr>
                <w:rFonts w:ascii="Cambria" w:eastAsia="Times New Roman" w:hAnsi="Cambria" w:cs="Calibri"/>
                <w:lang w:val="hr-HR"/>
              </w:rPr>
              <w:t>6.</w:t>
            </w:r>
            <w:r>
              <w:rPr>
                <w:rFonts w:ascii="Cambria" w:eastAsia="Times New Roman" w:hAnsi="Cambria" w:cs="Calibri"/>
                <w:lang w:val="hr-HR"/>
              </w:rPr>
              <w:t xml:space="preserve"> </w:t>
            </w:r>
            <w:r w:rsidRPr="00347571">
              <w:rPr>
                <w:rFonts w:ascii="Cambria" w:eastAsia="Times New Roman" w:hAnsi="Cambria" w:cs="Calibri"/>
                <w:lang w:val="hr-HR"/>
              </w:rPr>
              <w:t>realizirati po dva nastavna sata iz Matematike, Prirode i društva, Likovne kulture, Kineziološke kulture i Engleskog jezika ili Informatike</w:t>
            </w:r>
          </w:p>
        </w:tc>
      </w:tr>
      <w:tr w:rsidR="00727BE6" w:rsidRPr="00526E71" w14:paraId="0D14B6BF" w14:textId="77777777" w:rsidTr="00450B7A">
        <w:tc>
          <w:tcPr>
            <w:tcW w:w="2120"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174F85EB" w14:textId="77777777" w:rsidR="00727BE6" w:rsidRPr="005C2363" w:rsidRDefault="00727BE6" w:rsidP="00450B7A">
            <w:pPr>
              <w:spacing w:after="0" w:line="240" w:lineRule="auto"/>
              <w:rPr>
                <w:rFonts w:ascii="Cambria" w:eastAsia="Times New Roman" w:hAnsi="Cambria" w:cs="Calibri"/>
                <w:lang w:val="hr-HR"/>
              </w:rPr>
            </w:pPr>
            <w:r w:rsidRPr="005C2363">
              <w:rPr>
                <w:rFonts w:ascii="Cambria" w:eastAsia="Times New Roman" w:hAnsi="Cambria" w:cs="Calibri"/>
                <w:lang w:val="hr-HR"/>
              </w:rPr>
              <w:t>Sadržaj kolegija</w:t>
            </w:r>
          </w:p>
        </w:tc>
        <w:tc>
          <w:tcPr>
            <w:tcW w:w="7220" w:type="dxa"/>
            <w:gridSpan w:val="7"/>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14:paraId="60D14822" w14:textId="77777777" w:rsidR="00727BE6" w:rsidRPr="00347571" w:rsidRDefault="00727BE6" w:rsidP="00450B7A">
            <w:pPr>
              <w:snapToGrid w:val="0"/>
              <w:spacing w:after="0" w:line="200" w:lineRule="atLeast"/>
              <w:jc w:val="both"/>
              <w:rPr>
                <w:rFonts w:ascii="Cambria" w:eastAsia="Times New Roman" w:hAnsi="Cambria" w:cs="Calibri"/>
                <w:lang w:val="hr-HR"/>
              </w:rPr>
            </w:pPr>
            <w:r w:rsidRPr="00347571">
              <w:rPr>
                <w:rFonts w:ascii="Cambria" w:eastAsia="Times New Roman" w:hAnsi="Cambria" w:cs="Calibri"/>
                <w:lang w:val="hr-HR"/>
              </w:rPr>
              <w:t>Studenti stručno-pedagošku praksu ostvaruju u odabranoj školi tijekom zimskog semestra i u veljači (100 sati), pod vodstvom učitelja-mentora.</w:t>
            </w:r>
          </w:p>
          <w:p w14:paraId="57C9304B" w14:textId="77777777" w:rsidR="00727BE6" w:rsidRPr="00347571" w:rsidRDefault="00727BE6" w:rsidP="00450B7A">
            <w:pPr>
              <w:snapToGrid w:val="0"/>
              <w:spacing w:after="0" w:line="200" w:lineRule="atLeast"/>
              <w:jc w:val="both"/>
              <w:rPr>
                <w:rFonts w:ascii="Cambria" w:eastAsia="Times New Roman" w:hAnsi="Cambria" w:cs="Calibri"/>
                <w:lang w:val="hr-HR"/>
              </w:rPr>
            </w:pPr>
            <w:r w:rsidRPr="00347571">
              <w:rPr>
                <w:rFonts w:ascii="Cambria" w:eastAsia="Times New Roman" w:hAnsi="Cambria" w:cs="Calibri"/>
                <w:lang w:val="hr-HR"/>
              </w:rPr>
              <w:t>Nastavni program Stručne prakse V. predviđa:</w:t>
            </w:r>
          </w:p>
          <w:p w14:paraId="5C4E9552" w14:textId="77777777" w:rsidR="00727BE6" w:rsidRPr="00347571" w:rsidRDefault="00727BE6" w:rsidP="00450B7A">
            <w:pPr>
              <w:snapToGrid w:val="0"/>
              <w:spacing w:after="0" w:line="200" w:lineRule="atLeast"/>
              <w:jc w:val="both"/>
              <w:rPr>
                <w:rFonts w:ascii="Cambria" w:eastAsia="Times New Roman" w:hAnsi="Cambria" w:cs="Calibri"/>
                <w:lang w:val="hr-HR"/>
              </w:rPr>
            </w:pPr>
            <w:r w:rsidRPr="00347571">
              <w:rPr>
                <w:rFonts w:ascii="Cambria" w:eastAsia="Times New Roman" w:hAnsi="Cambria" w:cs="Calibri"/>
                <w:lang w:val="hr-HR"/>
              </w:rPr>
              <w:t>1.</w:t>
            </w:r>
            <w:r>
              <w:rPr>
                <w:rFonts w:ascii="Cambria" w:eastAsia="Times New Roman" w:hAnsi="Cambria" w:cs="Calibri"/>
                <w:lang w:val="hr-HR"/>
              </w:rPr>
              <w:t xml:space="preserve"> </w:t>
            </w:r>
            <w:r w:rsidRPr="00347571">
              <w:rPr>
                <w:rFonts w:ascii="Cambria" w:eastAsia="Times New Roman" w:hAnsi="Cambria" w:cs="Calibri"/>
                <w:lang w:val="hr-HR"/>
              </w:rPr>
              <w:t>Praćenje, analizu i interpretaciju organizacijskih komponenti</w:t>
            </w:r>
          </w:p>
          <w:p w14:paraId="4DC35017" w14:textId="77777777" w:rsidR="00727BE6" w:rsidRPr="00347571" w:rsidRDefault="00727BE6" w:rsidP="00450B7A">
            <w:pPr>
              <w:snapToGrid w:val="0"/>
              <w:spacing w:after="0" w:line="200" w:lineRule="atLeast"/>
              <w:jc w:val="both"/>
              <w:rPr>
                <w:rFonts w:ascii="Cambria" w:eastAsia="Times New Roman" w:hAnsi="Cambria" w:cs="Calibri"/>
                <w:lang w:val="hr-HR"/>
              </w:rPr>
            </w:pPr>
            <w:r w:rsidRPr="00347571">
              <w:rPr>
                <w:rFonts w:ascii="Cambria" w:eastAsia="Times New Roman" w:hAnsi="Cambria" w:cs="Calibri"/>
                <w:lang w:val="hr-HR"/>
              </w:rPr>
              <w:t>nastave</w:t>
            </w:r>
          </w:p>
          <w:p w14:paraId="58E4725F" w14:textId="77777777" w:rsidR="00727BE6" w:rsidRPr="00347571" w:rsidRDefault="00727BE6" w:rsidP="00450B7A">
            <w:pPr>
              <w:snapToGrid w:val="0"/>
              <w:spacing w:after="0" w:line="200" w:lineRule="atLeast"/>
              <w:jc w:val="both"/>
              <w:rPr>
                <w:rFonts w:ascii="Cambria" w:eastAsia="Times New Roman" w:hAnsi="Cambria" w:cs="Calibri"/>
                <w:lang w:val="hr-HR"/>
              </w:rPr>
            </w:pPr>
            <w:r w:rsidRPr="00347571">
              <w:rPr>
                <w:rFonts w:ascii="Cambria" w:eastAsia="Times New Roman" w:hAnsi="Cambria" w:cs="Calibri"/>
                <w:lang w:val="hr-HR"/>
              </w:rPr>
              <w:t>2.</w:t>
            </w:r>
            <w:r>
              <w:rPr>
                <w:rFonts w:ascii="Cambria" w:eastAsia="Times New Roman" w:hAnsi="Cambria" w:cs="Calibri"/>
                <w:lang w:val="hr-HR"/>
              </w:rPr>
              <w:t xml:space="preserve"> </w:t>
            </w:r>
            <w:r w:rsidRPr="00347571">
              <w:rPr>
                <w:rFonts w:ascii="Cambria" w:eastAsia="Times New Roman" w:hAnsi="Cambria" w:cs="Calibri"/>
                <w:lang w:val="hr-HR"/>
              </w:rPr>
              <w:t>Analizu grupne dinamike razreda, opterećenosti učenika, aktivnosti, pažnje i zainteresiranosti, radne discipline, uređenosti učionice, evaluacije učenikova znanja i rada</w:t>
            </w:r>
          </w:p>
          <w:p w14:paraId="4F04958E" w14:textId="77777777" w:rsidR="00727BE6" w:rsidRPr="00347571" w:rsidRDefault="00727BE6" w:rsidP="00450B7A">
            <w:pPr>
              <w:snapToGrid w:val="0"/>
              <w:spacing w:after="0" w:line="200" w:lineRule="atLeast"/>
              <w:jc w:val="both"/>
              <w:rPr>
                <w:rFonts w:ascii="Cambria" w:eastAsia="Times New Roman" w:hAnsi="Cambria" w:cs="Calibri"/>
                <w:lang w:val="hr-HR"/>
              </w:rPr>
            </w:pPr>
            <w:r w:rsidRPr="00347571">
              <w:rPr>
                <w:rFonts w:ascii="Cambria" w:eastAsia="Times New Roman" w:hAnsi="Cambria" w:cs="Calibri"/>
                <w:lang w:val="hr-HR"/>
              </w:rPr>
              <w:lastRenderedPageBreak/>
              <w:t>3.</w:t>
            </w:r>
            <w:r>
              <w:rPr>
                <w:rFonts w:ascii="Cambria" w:eastAsia="Times New Roman" w:hAnsi="Cambria" w:cs="Calibri"/>
                <w:lang w:val="hr-HR"/>
              </w:rPr>
              <w:t xml:space="preserve"> </w:t>
            </w:r>
            <w:r w:rsidRPr="00347571">
              <w:rPr>
                <w:rFonts w:ascii="Cambria" w:eastAsia="Times New Roman" w:hAnsi="Cambria" w:cs="Calibri"/>
                <w:lang w:val="hr-HR"/>
              </w:rPr>
              <w:t>Promatranje, analizu i aktivno sudjelovanje studenata u različitim oblicima odgojno-obrazovnog rada, u radu s darovitim učenicima i učenicima s teškoćama u razvoju</w:t>
            </w:r>
          </w:p>
          <w:p w14:paraId="7DEA49C4" w14:textId="77777777" w:rsidR="00727BE6" w:rsidRPr="00347571" w:rsidRDefault="00727BE6" w:rsidP="00450B7A">
            <w:pPr>
              <w:snapToGrid w:val="0"/>
              <w:spacing w:after="0" w:line="200" w:lineRule="atLeast"/>
              <w:jc w:val="both"/>
              <w:rPr>
                <w:rFonts w:ascii="Cambria" w:eastAsia="Times New Roman" w:hAnsi="Cambria" w:cs="Calibri"/>
                <w:lang w:val="hr-HR"/>
              </w:rPr>
            </w:pPr>
            <w:r w:rsidRPr="00347571">
              <w:rPr>
                <w:rFonts w:ascii="Cambria" w:eastAsia="Times New Roman" w:hAnsi="Cambria" w:cs="Calibri"/>
                <w:lang w:val="hr-HR"/>
              </w:rPr>
              <w:t>4.</w:t>
            </w:r>
            <w:r>
              <w:rPr>
                <w:rFonts w:ascii="Cambria" w:eastAsia="Times New Roman" w:hAnsi="Cambria" w:cs="Calibri"/>
                <w:lang w:val="hr-HR"/>
              </w:rPr>
              <w:t xml:space="preserve"> </w:t>
            </w:r>
            <w:r w:rsidRPr="00347571">
              <w:rPr>
                <w:rFonts w:ascii="Cambria" w:eastAsia="Times New Roman" w:hAnsi="Cambria" w:cs="Calibri"/>
                <w:lang w:val="hr-HR"/>
              </w:rPr>
              <w:t>Izvođenje najmanje po dva nastavna sata iz predmeta: Matematika, Likovna kultura, Tjelesna i zdravstvena kultura, Priroda i društvo te   Informatika ili Engleski jezik pod</w:t>
            </w:r>
          </w:p>
          <w:p w14:paraId="201CD499" w14:textId="77777777" w:rsidR="00727BE6" w:rsidRPr="00DF4CE5" w:rsidRDefault="00727BE6" w:rsidP="00450B7A">
            <w:pPr>
              <w:snapToGrid w:val="0"/>
              <w:spacing w:after="0" w:line="200" w:lineRule="atLeast"/>
              <w:jc w:val="both"/>
              <w:rPr>
                <w:rFonts w:ascii="Cambria" w:eastAsia="Times New Roman" w:hAnsi="Cambria" w:cs="Calibri"/>
                <w:lang w:val="hr-HR"/>
              </w:rPr>
            </w:pPr>
            <w:r w:rsidRPr="00347571">
              <w:rPr>
                <w:rFonts w:ascii="Cambria" w:eastAsia="Times New Roman" w:hAnsi="Cambria" w:cs="Calibri"/>
                <w:lang w:val="hr-HR"/>
              </w:rPr>
              <w:t>vodstvom učitelja-mentora</w:t>
            </w:r>
          </w:p>
        </w:tc>
      </w:tr>
      <w:tr w:rsidR="00727BE6" w:rsidRPr="005C2363" w14:paraId="3224A165" w14:textId="77777777" w:rsidTr="00450B7A">
        <w:tc>
          <w:tcPr>
            <w:tcW w:w="2120"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6EB36399" w14:textId="77777777" w:rsidR="00727BE6" w:rsidRPr="005C2363" w:rsidRDefault="00727BE6" w:rsidP="00450B7A">
            <w:pPr>
              <w:spacing w:after="0" w:line="240" w:lineRule="auto"/>
              <w:rPr>
                <w:rFonts w:ascii="Cambria" w:eastAsia="Times New Roman" w:hAnsi="Cambria" w:cs="Calibri"/>
                <w:lang w:val="hr-HR"/>
              </w:rPr>
            </w:pPr>
            <w:r w:rsidRPr="005C2363">
              <w:rPr>
                <w:rFonts w:ascii="Cambria" w:eastAsia="Times New Roman" w:hAnsi="Cambria" w:cs="Calibri"/>
                <w:lang w:val="hr-HR"/>
              </w:rPr>
              <w:lastRenderedPageBreak/>
              <w:t>Planirane aktivnosti,</w:t>
            </w:r>
          </w:p>
          <w:p w14:paraId="7300D6D8" w14:textId="77777777" w:rsidR="00727BE6" w:rsidRPr="005C2363" w:rsidRDefault="00727BE6" w:rsidP="00450B7A">
            <w:pPr>
              <w:spacing w:after="0" w:line="240" w:lineRule="auto"/>
              <w:rPr>
                <w:rFonts w:ascii="Cambria" w:eastAsia="Times New Roman" w:hAnsi="Cambria" w:cs="Calibri"/>
                <w:lang w:val="hr-HR"/>
              </w:rPr>
            </w:pPr>
            <w:r w:rsidRPr="005C2363">
              <w:rPr>
                <w:rFonts w:ascii="Cambria" w:eastAsia="Times New Roman" w:hAnsi="Cambria" w:cs="Calibri"/>
                <w:lang w:val="hr-HR"/>
              </w:rPr>
              <w:t>metode učenja i poučavanja i načini vrednovanja</w:t>
            </w:r>
          </w:p>
          <w:p w14:paraId="023F1CD3" w14:textId="77777777" w:rsidR="00727BE6" w:rsidRPr="005C2363" w:rsidRDefault="00727BE6" w:rsidP="00450B7A">
            <w:pPr>
              <w:spacing w:after="0" w:line="240" w:lineRule="auto"/>
              <w:rPr>
                <w:rFonts w:ascii="Cambria" w:eastAsia="Times New Roman" w:hAnsi="Cambria" w:cs="Calibri"/>
                <w:lang w:val="hr-HR"/>
              </w:rPr>
            </w:pPr>
          </w:p>
        </w:tc>
        <w:tc>
          <w:tcPr>
            <w:tcW w:w="307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A4183F9" w14:textId="77777777" w:rsidR="00727BE6" w:rsidRPr="005C2363" w:rsidRDefault="00727BE6" w:rsidP="00450B7A">
            <w:pPr>
              <w:spacing w:after="0" w:line="240" w:lineRule="auto"/>
              <w:jc w:val="center"/>
              <w:rPr>
                <w:rFonts w:ascii="Cambria" w:eastAsia="Times New Roman" w:hAnsi="Cambria" w:cs="Calibri"/>
                <w:lang w:val="hr-HR"/>
              </w:rPr>
            </w:pPr>
            <w:r w:rsidRPr="005C2363">
              <w:rPr>
                <w:rFonts w:ascii="Cambria" w:eastAsia="Times New Roman" w:hAnsi="Cambria" w:cs="Calibri"/>
                <w:bCs/>
                <w:lang w:val="hr-HR"/>
              </w:rPr>
              <w:t>Obveze</w:t>
            </w:r>
          </w:p>
        </w:tc>
        <w:tc>
          <w:tcPr>
            <w:tcW w:w="10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E70BF93" w14:textId="77777777" w:rsidR="00727BE6" w:rsidRPr="005C2363" w:rsidRDefault="00727BE6" w:rsidP="00450B7A">
            <w:pPr>
              <w:spacing w:after="0" w:line="240" w:lineRule="auto"/>
              <w:jc w:val="center"/>
              <w:rPr>
                <w:rFonts w:ascii="Cambria" w:eastAsia="Times New Roman" w:hAnsi="Cambria" w:cs="Calibri"/>
                <w:bCs/>
                <w:lang w:val="hr-HR"/>
              </w:rPr>
            </w:pPr>
          </w:p>
          <w:p w14:paraId="56724C42" w14:textId="77777777" w:rsidR="00727BE6" w:rsidRPr="005C2363" w:rsidRDefault="00727BE6" w:rsidP="00450B7A">
            <w:pPr>
              <w:spacing w:after="0" w:line="240" w:lineRule="auto"/>
              <w:jc w:val="center"/>
              <w:rPr>
                <w:rFonts w:ascii="Cambria" w:eastAsia="Times New Roman" w:hAnsi="Cambria" w:cs="Calibri"/>
                <w:lang w:val="hr-HR"/>
              </w:rPr>
            </w:pPr>
            <w:r w:rsidRPr="005C2363">
              <w:rPr>
                <w:rFonts w:ascii="Cambria" w:eastAsia="Times New Roman" w:hAnsi="Cambria" w:cs="Calibri"/>
                <w:bCs/>
                <w:lang w:val="hr-HR"/>
              </w:rPr>
              <w:t>Ishodi</w:t>
            </w:r>
          </w:p>
          <w:p w14:paraId="79E4625B" w14:textId="77777777" w:rsidR="00727BE6" w:rsidRPr="005C2363" w:rsidRDefault="00727BE6" w:rsidP="00450B7A">
            <w:pPr>
              <w:spacing w:after="0" w:line="240" w:lineRule="auto"/>
              <w:jc w:val="center"/>
              <w:rPr>
                <w:rFonts w:ascii="Cambria" w:eastAsia="Times New Roman" w:hAnsi="Cambria" w:cs="Calibri"/>
                <w:lang w:val="hr-HR"/>
              </w:rPr>
            </w:pPr>
          </w:p>
        </w:tc>
        <w:tc>
          <w:tcPr>
            <w:tcW w:w="72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99E29DB" w14:textId="77777777" w:rsidR="00727BE6" w:rsidRPr="005C2363" w:rsidRDefault="00727BE6" w:rsidP="00450B7A">
            <w:pPr>
              <w:spacing w:after="0" w:line="240" w:lineRule="auto"/>
              <w:jc w:val="center"/>
              <w:rPr>
                <w:rFonts w:ascii="Cambria" w:eastAsia="Times New Roman" w:hAnsi="Cambria" w:cs="Calibri"/>
                <w:vertAlign w:val="superscript"/>
                <w:lang w:val="hr-HR"/>
              </w:rPr>
            </w:pPr>
            <w:r w:rsidRPr="005C2363">
              <w:rPr>
                <w:rFonts w:ascii="Cambria" w:eastAsia="Times New Roman" w:hAnsi="Cambria" w:cs="Calibri"/>
                <w:bCs/>
                <w:lang w:val="hr-HR"/>
              </w:rPr>
              <w:t>Sati</w:t>
            </w:r>
          </w:p>
        </w:tc>
        <w:tc>
          <w:tcPr>
            <w:tcW w:w="101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3B88682" w14:textId="77777777" w:rsidR="00727BE6" w:rsidRPr="005C2363" w:rsidRDefault="00727BE6" w:rsidP="00450B7A">
            <w:pPr>
              <w:spacing w:after="0" w:line="240" w:lineRule="auto"/>
              <w:jc w:val="center"/>
              <w:rPr>
                <w:rFonts w:ascii="Cambria" w:eastAsia="Times New Roman" w:hAnsi="Cambria" w:cs="Calibri"/>
                <w:lang w:val="hr-HR"/>
              </w:rPr>
            </w:pPr>
            <w:r w:rsidRPr="005C2363">
              <w:rPr>
                <w:rFonts w:ascii="Cambria" w:eastAsia="Times New Roman" w:hAnsi="Cambria" w:cs="Calibri"/>
                <w:bCs/>
                <w:lang w:val="hr-HR"/>
              </w:rPr>
              <w:t>ECTS</w:t>
            </w:r>
          </w:p>
        </w:tc>
        <w:tc>
          <w:tcPr>
            <w:tcW w:w="13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90CFBCC" w14:textId="77777777" w:rsidR="00727BE6" w:rsidRPr="005C2363" w:rsidRDefault="00727BE6" w:rsidP="00450B7A">
            <w:pPr>
              <w:spacing w:after="0" w:line="240" w:lineRule="auto"/>
              <w:jc w:val="center"/>
              <w:rPr>
                <w:rFonts w:ascii="Cambria" w:eastAsia="Times New Roman" w:hAnsi="Cambria" w:cs="Calibri"/>
                <w:lang w:val="hr-HR"/>
              </w:rPr>
            </w:pPr>
            <w:r w:rsidRPr="005C2363">
              <w:rPr>
                <w:rFonts w:ascii="Cambria" w:eastAsia="Times New Roman" w:hAnsi="Cambria" w:cs="Calibri"/>
                <w:bCs/>
                <w:lang w:val="hr-HR"/>
              </w:rPr>
              <w:t>Maksimalni udio u ocjeni (%)</w:t>
            </w:r>
          </w:p>
        </w:tc>
      </w:tr>
      <w:tr w:rsidR="00727BE6" w:rsidRPr="00347571" w14:paraId="5E85F7BA" w14:textId="77777777" w:rsidTr="00450B7A">
        <w:tc>
          <w:tcPr>
            <w:tcW w:w="2120" w:type="dxa"/>
            <w:vMerge/>
            <w:tcBorders>
              <w:left w:val="single" w:sz="8" w:space="0" w:color="000000"/>
              <w:right w:val="single" w:sz="8" w:space="0" w:color="000000"/>
            </w:tcBorders>
            <w:vAlign w:val="center"/>
          </w:tcPr>
          <w:p w14:paraId="425062D4" w14:textId="77777777" w:rsidR="00727BE6" w:rsidRPr="005C2363" w:rsidRDefault="00727BE6" w:rsidP="00450B7A">
            <w:pPr>
              <w:spacing w:after="0" w:line="240" w:lineRule="auto"/>
              <w:rPr>
                <w:rFonts w:ascii="Cambria" w:eastAsia="Times New Roman" w:hAnsi="Cambria" w:cs="Calibri"/>
                <w:lang w:val="hr-HR"/>
              </w:rPr>
            </w:pPr>
          </w:p>
        </w:tc>
        <w:tc>
          <w:tcPr>
            <w:tcW w:w="307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0EC2F44" w14:textId="77777777" w:rsidR="00727BE6" w:rsidRPr="005C2363" w:rsidRDefault="00727BE6" w:rsidP="00450B7A">
            <w:pPr>
              <w:spacing w:after="0" w:line="240" w:lineRule="auto"/>
              <w:rPr>
                <w:rFonts w:ascii="Cambria" w:eastAsia="Times New Roman" w:hAnsi="Cambria" w:cs="Calibri"/>
                <w:lang w:val="hr-HR"/>
              </w:rPr>
            </w:pPr>
            <w:r>
              <w:rPr>
                <w:rFonts w:ascii="Cambria" w:eastAsia="Times New Roman" w:hAnsi="Cambria" w:cs="Calibri"/>
                <w:lang w:val="hr-HR"/>
              </w:rPr>
              <w:t xml:space="preserve">hospitiranje na nastavi </w:t>
            </w:r>
            <w:r w:rsidRPr="005C2363">
              <w:rPr>
                <w:rFonts w:ascii="Cambria" w:eastAsia="Times New Roman" w:hAnsi="Cambria" w:cs="Calibri"/>
                <w:lang w:val="hr-HR"/>
              </w:rPr>
              <w:t>aktivnosti na nastavi</w:t>
            </w:r>
            <w:r>
              <w:rPr>
                <w:rFonts w:ascii="Cambria" w:eastAsia="Times New Roman" w:hAnsi="Cambria" w:cs="Calibri"/>
                <w:lang w:val="hr-HR"/>
              </w:rPr>
              <w:t xml:space="preserve"> (V)</w:t>
            </w:r>
          </w:p>
        </w:tc>
        <w:tc>
          <w:tcPr>
            <w:tcW w:w="1092" w:type="dxa"/>
            <w:tcBorders>
              <w:top w:val="single" w:sz="8" w:space="0" w:color="000000"/>
              <w:left w:val="single" w:sz="8" w:space="0" w:color="000000"/>
              <w:bottom w:val="single" w:sz="8" w:space="0" w:color="000000"/>
            </w:tcBorders>
            <w:shd w:val="clear" w:color="auto" w:fill="FFFFFF"/>
            <w:tcMar>
              <w:top w:w="15" w:type="dxa"/>
              <w:left w:w="108" w:type="dxa"/>
              <w:bottom w:w="0" w:type="dxa"/>
              <w:right w:w="108" w:type="dxa"/>
            </w:tcMar>
            <w:vAlign w:val="center"/>
          </w:tcPr>
          <w:p w14:paraId="1FDE0BC9" w14:textId="77777777" w:rsidR="00727BE6" w:rsidRPr="00DF4CE5" w:rsidRDefault="00727BE6" w:rsidP="00450B7A">
            <w:pPr>
              <w:spacing w:after="0" w:line="100" w:lineRule="atLeast"/>
              <w:jc w:val="center"/>
              <w:rPr>
                <w:rFonts w:ascii="Cambria" w:eastAsia="Times New Roman" w:hAnsi="Cambria" w:cs="Calibri"/>
                <w:lang w:val="hr-HR"/>
              </w:rPr>
            </w:pPr>
            <w:r>
              <w:rPr>
                <w:rFonts w:ascii="Cambria" w:eastAsia="Times New Roman" w:hAnsi="Cambria" w:cs="Calibri"/>
                <w:lang w:val="hr-HR"/>
              </w:rPr>
              <w:t xml:space="preserve">1. – 6. </w:t>
            </w:r>
          </w:p>
        </w:tc>
        <w:tc>
          <w:tcPr>
            <w:tcW w:w="720" w:type="dxa"/>
            <w:gridSpan w:val="2"/>
            <w:tcBorders>
              <w:top w:val="single" w:sz="8" w:space="0" w:color="000000"/>
              <w:left w:val="single" w:sz="8" w:space="0" w:color="000000"/>
              <w:bottom w:val="single" w:sz="8" w:space="0" w:color="000000"/>
            </w:tcBorders>
            <w:shd w:val="clear" w:color="auto" w:fill="FFFFFF"/>
            <w:tcMar>
              <w:top w:w="15" w:type="dxa"/>
              <w:left w:w="108" w:type="dxa"/>
              <w:bottom w:w="0" w:type="dxa"/>
              <w:right w:w="108" w:type="dxa"/>
            </w:tcMar>
            <w:vAlign w:val="center"/>
          </w:tcPr>
          <w:p w14:paraId="2476EDD2" w14:textId="77777777" w:rsidR="00727BE6" w:rsidRPr="00DF4CE5" w:rsidRDefault="00727BE6" w:rsidP="00450B7A">
            <w:pPr>
              <w:spacing w:after="0" w:line="100" w:lineRule="atLeast"/>
              <w:jc w:val="center"/>
              <w:rPr>
                <w:rFonts w:ascii="Cambria" w:eastAsia="Times New Roman" w:hAnsi="Cambria" w:cs="Calibri"/>
                <w:lang w:val="hr-HR"/>
              </w:rPr>
            </w:pPr>
            <w:r>
              <w:rPr>
                <w:rFonts w:ascii="Cambria" w:eastAsia="Times New Roman" w:hAnsi="Cambria" w:cs="Calibri"/>
                <w:lang w:val="hr-HR"/>
              </w:rPr>
              <w:t>75</w:t>
            </w:r>
          </w:p>
        </w:tc>
        <w:tc>
          <w:tcPr>
            <w:tcW w:w="1013" w:type="dxa"/>
            <w:tcBorders>
              <w:top w:val="single" w:sz="8" w:space="0" w:color="000000"/>
              <w:left w:val="single" w:sz="8" w:space="0" w:color="000000"/>
              <w:bottom w:val="single" w:sz="8" w:space="0" w:color="000000"/>
            </w:tcBorders>
            <w:shd w:val="clear" w:color="auto" w:fill="FFFFFF"/>
            <w:tcMar>
              <w:top w:w="15" w:type="dxa"/>
              <w:left w:w="108" w:type="dxa"/>
              <w:bottom w:w="0" w:type="dxa"/>
              <w:right w:w="108" w:type="dxa"/>
            </w:tcMar>
            <w:vAlign w:val="center"/>
          </w:tcPr>
          <w:p w14:paraId="018E55ED" w14:textId="77777777" w:rsidR="00727BE6" w:rsidRPr="00DF4CE5" w:rsidRDefault="00727BE6" w:rsidP="00450B7A">
            <w:pPr>
              <w:spacing w:after="0" w:line="100" w:lineRule="atLeast"/>
              <w:jc w:val="center"/>
              <w:rPr>
                <w:rFonts w:ascii="Cambria" w:eastAsia="Times New Roman" w:hAnsi="Cambria" w:cs="Calibri"/>
                <w:lang w:val="hr-HR"/>
              </w:rPr>
            </w:pPr>
            <w:r>
              <w:rPr>
                <w:rFonts w:ascii="Cambria" w:eastAsia="Times New Roman" w:hAnsi="Cambria" w:cs="Calibri"/>
                <w:lang w:val="hr-HR"/>
              </w:rPr>
              <w:t>2,5</w:t>
            </w:r>
          </w:p>
        </w:tc>
        <w:tc>
          <w:tcPr>
            <w:tcW w:w="131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14:paraId="4C832742" w14:textId="77777777" w:rsidR="00727BE6" w:rsidRPr="00DF4CE5" w:rsidRDefault="00727BE6" w:rsidP="00450B7A">
            <w:pPr>
              <w:spacing w:after="0" w:line="100" w:lineRule="atLeast"/>
              <w:jc w:val="center"/>
              <w:rPr>
                <w:rFonts w:ascii="Cambria" w:eastAsia="Times New Roman" w:hAnsi="Cambria" w:cs="Calibri"/>
                <w:lang w:val="hr-HR"/>
              </w:rPr>
            </w:pPr>
            <w:r>
              <w:rPr>
                <w:rFonts w:ascii="Cambria" w:eastAsia="Times New Roman" w:hAnsi="Cambria" w:cs="Calibri"/>
                <w:lang w:val="hr-HR"/>
              </w:rPr>
              <w:t>65%</w:t>
            </w:r>
          </w:p>
        </w:tc>
      </w:tr>
      <w:tr w:rsidR="00727BE6" w:rsidRPr="005C2363" w14:paraId="262172C6" w14:textId="77777777" w:rsidTr="00450B7A">
        <w:tc>
          <w:tcPr>
            <w:tcW w:w="2120" w:type="dxa"/>
            <w:vMerge/>
            <w:tcBorders>
              <w:left w:val="single" w:sz="8" w:space="0" w:color="000000"/>
              <w:right w:val="single" w:sz="8" w:space="0" w:color="000000"/>
            </w:tcBorders>
            <w:vAlign w:val="center"/>
          </w:tcPr>
          <w:p w14:paraId="547D7D53" w14:textId="77777777" w:rsidR="00727BE6" w:rsidRPr="005C2363" w:rsidRDefault="00727BE6" w:rsidP="00450B7A">
            <w:pPr>
              <w:spacing w:after="0" w:line="240" w:lineRule="auto"/>
              <w:rPr>
                <w:rFonts w:ascii="Cambria" w:eastAsia="Times New Roman" w:hAnsi="Cambria" w:cs="Calibri"/>
                <w:lang w:val="hr-HR"/>
              </w:rPr>
            </w:pPr>
          </w:p>
        </w:tc>
        <w:tc>
          <w:tcPr>
            <w:tcW w:w="3076" w:type="dxa"/>
            <w:gridSpan w:val="2"/>
            <w:tcBorders>
              <w:top w:val="single" w:sz="8" w:space="0" w:color="000000"/>
              <w:left w:val="single" w:sz="8" w:space="0" w:color="000000"/>
              <w:bottom w:val="single" w:sz="8" w:space="0" w:color="000000"/>
            </w:tcBorders>
            <w:shd w:val="clear" w:color="auto" w:fill="FFFFFF"/>
            <w:tcMar>
              <w:top w:w="15" w:type="dxa"/>
              <w:left w:w="108" w:type="dxa"/>
              <w:bottom w:w="0" w:type="dxa"/>
              <w:right w:w="108" w:type="dxa"/>
            </w:tcMar>
          </w:tcPr>
          <w:p w14:paraId="6D3DC26D" w14:textId="77777777" w:rsidR="00727BE6" w:rsidRPr="00DF4CE5" w:rsidRDefault="00727BE6" w:rsidP="00450B7A">
            <w:pPr>
              <w:spacing w:after="0" w:line="100" w:lineRule="atLeast"/>
              <w:jc w:val="both"/>
              <w:rPr>
                <w:rFonts w:ascii="Cambria" w:eastAsia="Times New Roman" w:hAnsi="Cambria" w:cs="Calibri"/>
                <w:lang w:val="hr-HR"/>
              </w:rPr>
            </w:pPr>
            <w:r>
              <w:rPr>
                <w:rFonts w:ascii="Cambria" w:eastAsia="Times New Roman" w:hAnsi="Cambria" w:cs="Calibri"/>
                <w:lang w:val="hr-HR"/>
              </w:rPr>
              <w:t>Dnevnik stručne prakse</w:t>
            </w:r>
          </w:p>
        </w:tc>
        <w:tc>
          <w:tcPr>
            <w:tcW w:w="1092" w:type="dxa"/>
            <w:tcBorders>
              <w:top w:val="single" w:sz="8" w:space="0" w:color="000000"/>
              <w:left w:val="single" w:sz="8" w:space="0" w:color="000000"/>
              <w:bottom w:val="single" w:sz="8" w:space="0" w:color="000000"/>
            </w:tcBorders>
            <w:shd w:val="clear" w:color="auto" w:fill="FFFFFF"/>
            <w:tcMar>
              <w:top w:w="15" w:type="dxa"/>
              <w:left w:w="108" w:type="dxa"/>
              <w:bottom w:w="0" w:type="dxa"/>
              <w:right w:w="108" w:type="dxa"/>
            </w:tcMar>
            <w:vAlign w:val="center"/>
          </w:tcPr>
          <w:p w14:paraId="7558B14D" w14:textId="77777777" w:rsidR="00727BE6" w:rsidRPr="00DF4CE5" w:rsidRDefault="00727BE6" w:rsidP="00450B7A">
            <w:pPr>
              <w:spacing w:after="0" w:line="100" w:lineRule="atLeast"/>
              <w:jc w:val="center"/>
              <w:rPr>
                <w:rFonts w:ascii="Cambria" w:eastAsia="Times New Roman" w:hAnsi="Cambria" w:cs="Calibri"/>
                <w:lang w:val="hr-HR"/>
              </w:rPr>
            </w:pPr>
            <w:r>
              <w:rPr>
                <w:rFonts w:ascii="Cambria" w:eastAsia="Times New Roman" w:hAnsi="Cambria" w:cs="Calibri"/>
                <w:lang w:val="hr-HR"/>
              </w:rPr>
              <w:t>1. – 6.</w:t>
            </w:r>
          </w:p>
        </w:tc>
        <w:tc>
          <w:tcPr>
            <w:tcW w:w="720" w:type="dxa"/>
            <w:gridSpan w:val="2"/>
            <w:tcBorders>
              <w:top w:val="single" w:sz="8" w:space="0" w:color="000000"/>
              <w:left w:val="single" w:sz="8" w:space="0" w:color="000000"/>
              <w:bottom w:val="single" w:sz="8" w:space="0" w:color="000000"/>
            </w:tcBorders>
            <w:shd w:val="clear" w:color="auto" w:fill="FFFFFF"/>
            <w:tcMar>
              <w:top w:w="15" w:type="dxa"/>
              <w:left w:w="108" w:type="dxa"/>
              <w:bottom w:w="0" w:type="dxa"/>
              <w:right w:w="108" w:type="dxa"/>
            </w:tcMar>
            <w:vAlign w:val="center"/>
          </w:tcPr>
          <w:p w14:paraId="6696D1C7" w14:textId="77777777" w:rsidR="00727BE6" w:rsidRPr="00DF4CE5" w:rsidRDefault="00727BE6" w:rsidP="00450B7A">
            <w:pPr>
              <w:spacing w:after="0" w:line="100" w:lineRule="atLeast"/>
              <w:jc w:val="center"/>
              <w:rPr>
                <w:rFonts w:ascii="Cambria" w:eastAsia="Times New Roman" w:hAnsi="Cambria" w:cs="Calibri"/>
                <w:lang w:val="hr-HR"/>
              </w:rPr>
            </w:pPr>
            <w:r>
              <w:rPr>
                <w:rFonts w:ascii="Cambria" w:eastAsia="Times New Roman" w:hAnsi="Cambria" w:cs="Calibri"/>
                <w:lang w:val="hr-HR"/>
              </w:rPr>
              <w:t>45</w:t>
            </w:r>
          </w:p>
        </w:tc>
        <w:tc>
          <w:tcPr>
            <w:tcW w:w="1013" w:type="dxa"/>
            <w:tcBorders>
              <w:top w:val="single" w:sz="8" w:space="0" w:color="000000"/>
              <w:left w:val="single" w:sz="8" w:space="0" w:color="000000"/>
              <w:bottom w:val="single" w:sz="8" w:space="0" w:color="000000"/>
            </w:tcBorders>
            <w:shd w:val="clear" w:color="auto" w:fill="FFFFFF"/>
            <w:tcMar>
              <w:top w:w="15" w:type="dxa"/>
              <w:left w:w="108" w:type="dxa"/>
              <w:bottom w:w="0" w:type="dxa"/>
              <w:right w:w="108" w:type="dxa"/>
            </w:tcMar>
            <w:vAlign w:val="center"/>
          </w:tcPr>
          <w:p w14:paraId="42FAB468" w14:textId="77777777" w:rsidR="00727BE6" w:rsidRPr="00DF4CE5" w:rsidRDefault="00727BE6" w:rsidP="00450B7A">
            <w:pPr>
              <w:spacing w:after="0" w:line="100" w:lineRule="atLeast"/>
              <w:jc w:val="center"/>
              <w:rPr>
                <w:rFonts w:ascii="Cambria" w:eastAsia="Times New Roman" w:hAnsi="Cambria" w:cs="Calibri"/>
                <w:lang w:val="hr-HR"/>
              </w:rPr>
            </w:pPr>
            <w:r>
              <w:rPr>
                <w:rFonts w:ascii="Cambria" w:eastAsia="Times New Roman" w:hAnsi="Cambria" w:cs="Calibri"/>
                <w:lang w:val="hr-HR"/>
              </w:rPr>
              <w:t>1,5</w:t>
            </w:r>
          </w:p>
        </w:tc>
        <w:tc>
          <w:tcPr>
            <w:tcW w:w="131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14:paraId="26E7CFF3" w14:textId="77777777" w:rsidR="00727BE6" w:rsidRPr="00DF4CE5" w:rsidRDefault="00727BE6" w:rsidP="00450B7A">
            <w:pPr>
              <w:spacing w:after="0" w:line="100" w:lineRule="atLeast"/>
              <w:jc w:val="center"/>
              <w:rPr>
                <w:rFonts w:ascii="Cambria" w:eastAsia="Times New Roman" w:hAnsi="Cambria" w:cs="Calibri"/>
                <w:lang w:val="hr-HR"/>
              </w:rPr>
            </w:pPr>
            <w:r>
              <w:rPr>
                <w:rFonts w:ascii="Cambria" w:eastAsia="Times New Roman" w:hAnsi="Cambria" w:cs="Calibri"/>
                <w:lang w:val="hr-HR"/>
              </w:rPr>
              <w:t>35%</w:t>
            </w:r>
          </w:p>
        </w:tc>
      </w:tr>
      <w:tr w:rsidR="00727BE6" w:rsidRPr="005C2363" w14:paraId="6F553B75" w14:textId="77777777" w:rsidTr="00450B7A">
        <w:tc>
          <w:tcPr>
            <w:tcW w:w="2120" w:type="dxa"/>
            <w:vMerge/>
            <w:tcBorders>
              <w:left w:val="single" w:sz="8" w:space="0" w:color="000000"/>
              <w:right w:val="single" w:sz="8" w:space="0" w:color="000000"/>
            </w:tcBorders>
            <w:vAlign w:val="center"/>
          </w:tcPr>
          <w:p w14:paraId="6C3CD312" w14:textId="77777777" w:rsidR="00727BE6" w:rsidRPr="005C2363" w:rsidRDefault="00727BE6" w:rsidP="00450B7A">
            <w:pPr>
              <w:spacing w:after="0" w:line="240" w:lineRule="auto"/>
              <w:rPr>
                <w:rFonts w:ascii="Cambria" w:eastAsia="Times New Roman" w:hAnsi="Cambria" w:cs="Calibri"/>
                <w:lang w:val="hr-HR"/>
              </w:rPr>
            </w:pPr>
          </w:p>
        </w:tc>
        <w:tc>
          <w:tcPr>
            <w:tcW w:w="4168"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47A3BC4" w14:textId="77777777" w:rsidR="00727BE6" w:rsidRPr="005C2363" w:rsidRDefault="00727BE6" w:rsidP="00450B7A">
            <w:pPr>
              <w:spacing w:after="0" w:line="240" w:lineRule="auto"/>
              <w:rPr>
                <w:rFonts w:ascii="Cambria" w:eastAsia="Times New Roman" w:hAnsi="Cambria" w:cs="Calibri"/>
                <w:lang w:val="hr-HR"/>
              </w:rPr>
            </w:pPr>
            <w:r w:rsidRPr="005C2363">
              <w:rPr>
                <w:rFonts w:ascii="Cambria" w:eastAsia="Times New Roman" w:hAnsi="Cambria" w:cs="Calibri"/>
                <w:lang w:val="hr-HR"/>
              </w:rPr>
              <w:t>ukupno</w:t>
            </w:r>
          </w:p>
        </w:tc>
        <w:tc>
          <w:tcPr>
            <w:tcW w:w="72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053D381" w14:textId="77777777" w:rsidR="00727BE6" w:rsidRPr="005C2363" w:rsidRDefault="00727BE6" w:rsidP="00450B7A">
            <w:pPr>
              <w:spacing w:after="0" w:line="240" w:lineRule="auto"/>
              <w:jc w:val="center"/>
              <w:rPr>
                <w:rFonts w:ascii="Cambria" w:eastAsia="Times New Roman" w:hAnsi="Cambria" w:cs="Calibri"/>
                <w:lang w:val="hr-HR"/>
              </w:rPr>
            </w:pPr>
            <w:r>
              <w:rPr>
                <w:rFonts w:ascii="Cambria" w:eastAsia="Times New Roman" w:hAnsi="Cambria" w:cs="Calibri"/>
                <w:lang w:val="hr-HR"/>
              </w:rPr>
              <w:t>120</w:t>
            </w:r>
          </w:p>
        </w:tc>
        <w:tc>
          <w:tcPr>
            <w:tcW w:w="101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AE5B4BB" w14:textId="77777777" w:rsidR="00727BE6" w:rsidRPr="005C2363" w:rsidRDefault="00727BE6" w:rsidP="00450B7A">
            <w:pPr>
              <w:spacing w:after="0" w:line="240" w:lineRule="auto"/>
              <w:jc w:val="center"/>
              <w:rPr>
                <w:rFonts w:ascii="Cambria" w:eastAsia="Times New Roman" w:hAnsi="Cambria" w:cs="Calibri"/>
                <w:lang w:val="hr-HR"/>
              </w:rPr>
            </w:pPr>
            <w:r>
              <w:rPr>
                <w:rFonts w:ascii="Cambria" w:eastAsia="Times New Roman" w:hAnsi="Cambria" w:cs="Calibri"/>
                <w:lang w:val="hr-HR"/>
              </w:rPr>
              <w:t>4</w:t>
            </w:r>
          </w:p>
        </w:tc>
        <w:tc>
          <w:tcPr>
            <w:tcW w:w="13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95364F7" w14:textId="77777777" w:rsidR="00727BE6" w:rsidRPr="005C2363" w:rsidRDefault="00727BE6" w:rsidP="00450B7A">
            <w:pPr>
              <w:spacing w:after="0" w:line="240" w:lineRule="auto"/>
              <w:jc w:val="center"/>
              <w:rPr>
                <w:rFonts w:ascii="Cambria" w:eastAsia="Times New Roman" w:hAnsi="Cambria" w:cs="Calibri"/>
                <w:lang w:val="hr-HR"/>
              </w:rPr>
            </w:pPr>
            <w:r>
              <w:rPr>
                <w:rFonts w:ascii="Cambria" w:eastAsia="Times New Roman" w:hAnsi="Cambria" w:cs="Calibri"/>
                <w:lang w:val="hr-HR"/>
              </w:rPr>
              <w:t>100%</w:t>
            </w:r>
          </w:p>
        </w:tc>
      </w:tr>
      <w:tr w:rsidR="00727BE6" w:rsidRPr="00D0399C" w14:paraId="10B683DB" w14:textId="77777777" w:rsidTr="00450B7A">
        <w:tc>
          <w:tcPr>
            <w:tcW w:w="212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3D6EEA4" w14:textId="77777777" w:rsidR="00727BE6" w:rsidRPr="005C2363" w:rsidRDefault="00727BE6" w:rsidP="00450B7A">
            <w:pPr>
              <w:spacing w:after="0" w:line="240" w:lineRule="auto"/>
              <w:rPr>
                <w:rFonts w:ascii="Cambria" w:eastAsia="Times New Roman" w:hAnsi="Cambria" w:cs="Calibri"/>
                <w:lang w:val="hr-HR"/>
              </w:rPr>
            </w:pPr>
            <w:r w:rsidRPr="005C2363">
              <w:rPr>
                <w:rFonts w:ascii="Cambria" w:eastAsia="Times New Roman" w:hAnsi="Cambria" w:cs="Calibri"/>
                <w:lang w:val="hr-HR"/>
              </w:rPr>
              <w:t>Studentske obveze</w:t>
            </w:r>
          </w:p>
        </w:tc>
        <w:tc>
          <w:tcPr>
            <w:tcW w:w="7220"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578DDC39" w14:textId="77777777" w:rsidR="00727BE6" w:rsidRPr="00DF4CE5" w:rsidRDefault="00727BE6" w:rsidP="00450B7A">
            <w:pPr>
              <w:widowControl w:val="0"/>
              <w:autoSpaceDE w:val="0"/>
              <w:autoSpaceDN w:val="0"/>
              <w:spacing w:after="0" w:line="240" w:lineRule="auto"/>
              <w:jc w:val="both"/>
              <w:rPr>
                <w:rFonts w:ascii="Cambria" w:eastAsia="Cambria" w:hAnsi="Cambria" w:cs="Cambria"/>
                <w:lang w:val="hr-HR"/>
              </w:rPr>
            </w:pPr>
            <w:r w:rsidRPr="00DF4CE5">
              <w:rPr>
                <w:rFonts w:ascii="Cambria" w:eastAsia="Cambria" w:hAnsi="Cambria" w:cs="Cambria"/>
                <w:lang w:val="hr-HR"/>
              </w:rPr>
              <w:t>Da</w:t>
            </w:r>
            <w:r w:rsidRPr="00DF4CE5">
              <w:rPr>
                <w:rFonts w:ascii="Cambria" w:eastAsia="Cambria" w:hAnsi="Cambria" w:cs="Cambria"/>
                <w:spacing w:val="-4"/>
                <w:lang w:val="hr-HR"/>
              </w:rPr>
              <w:t xml:space="preserve"> </w:t>
            </w:r>
            <w:r w:rsidRPr="00DF4CE5">
              <w:rPr>
                <w:rFonts w:ascii="Cambria" w:eastAsia="Cambria" w:hAnsi="Cambria" w:cs="Cambria"/>
                <w:lang w:val="hr-HR"/>
              </w:rPr>
              <w:t>položi</w:t>
            </w:r>
            <w:r w:rsidRPr="00DF4CE5">
              <w:rPr>
                <w:rFonts w:ascii="Cambria" w:eastAsia="Cambria" w:hAnsi="Cambria" w:cs="Cambria"/>
                <w:spacing w:val="-4"/>
                <w:lang w:val="hr-HR"/>
              </w:rPr>
              <w:t xml:space="preserve"> </w:t>
            </w:r>
            <w:r w:rsidRPr="00DF4CE5">
              <w:rPr>
                <w:rFonts w:ascii="Cambria" w:eastAsia="Cambria" w:hAnsi="Cambria" w:cs="Cambria"/>
                <w:lang w:val="hr-HR"/>
              </w:rPr>
              <w:t>kolegij,</w:t>
            </w:r>
            <w:r w:rsidRPr="00DF4CE5">
              <w:rPr>
                <w:rFonts w:ascii="Cambria" w:eastAsia="Cambria" w:hAnsi="Cambria" w:cs="Cambria"/>
                <w:spacing w:val="-3"/>
                <w:lang w:val="hr-HR"/>
              </w:rPr>
              <w:t xml:space="preserve"> </w:t>
            </w:r>
            <w:r w:rsidRPr="00DF4CE5">
              <w:rPr>
                <w:rFonts w:ascii="Cambria" w:eastAsia="Cambria" w:hAnsi="Cambria" w:cs="Cambria"/>
                <w:lang w:val="hr-HR"/>
              </w:rPr>
              <w:t>student/studentica</w:t>
            </w:r>
            <w:r w:rsidRPr="00DF4CE5">
              <w:rPr>
                <w:rFonts w:ascii="Cambria" w:eastAsia="Cambria" w:hAnsi="Cambria" w:cs="Cambria"/>
                <w:spacing w:val="-5"/>
                <w:lang w:val="hr-HR"/>
              </w:rPr>
              <w:t xml:space="preserve"> </w:t>
            </w:r>
            <w:r w:rsidRPr="00DF4CE5">
              <w:rPr>
                <w:rFonts w:ascii="Cambria" w:eastAsia="Cambria" w:hAnsi="Cambria" w:cs="Cambria"/>
                <w:lang w:val="hr-HR"/>
              </w:rPr>
              <w:t>mora:</w:t>
            </w:r>
          </w:p>
          <w:p w14:paraId="78465DF5" w14:textId="77777777" w:rsidR="00727BE6" w:rsidRPr="00DF4CE5" w:rsidRDefault="00727BE6" w:rsidP="00A034E3">
            <w:pPr>
              <w:widowControl w:val="0"/>
              <w:numPr>
                <w:ilvl w:val="0"/>
                <w:numId w:val="93"/>
              </w:numPr>
              <w:tabs>
                <w:tab w:val="left" w:pos="504"/>
              </w:tabs>
              <w:autoSpaceDE w:val="0"/>
              <w:autoSpaceDN w:val="0"/>
              <w:spacing w:after="0" w:line="240" w:lineRule="auto"/>
              <w:ind w:right="126"/>
              <w:jc w:val="both"/>
              <w:rPr>
                <w:rFonts w:ascii="Cambria" w:eastAsia="Cambria" w:hAnsi="Cambria" w:cs="Cambria"/>
                <w:lang w:val="hr-HR"/>
              </w:rPr>
            </w:pPr>
            <w:r w:rsidRPr="00DF4CE5">
              <w:rPr>
                <w:rFonts w:ascii="Cambria" w:eastAsia="Cambria" w:hAnsi="Cambria" w:cs="Cambria"/>
                <w:lang w:val="hr-HR"/>
              </w:rPr>
              <w:t>predati voditeljici stručne prakse ispunjen i ovjeren Prijavni</w:t>
            </w:r>
            <w:r w:rsidRPr="00DF4CE5">
              <w:rPr>
                <w:rFonts w:ascii="Cambria" w:eastAsia="Cambria" w:hAnsi="Cambria" w:cs="Cambria"/>
                <w:spacing w:val="1"/>
                <w:lang w:val="hr-HR"/>
              </w:rPr>
              <w:t xml:space="preserve"> </w:t>
            </w:r>
            <w:r w:rsidRPr="00DF4CE5">
              <w:rPr>
                <w:rFonts w:ascii="Cambria" w:eastAsia="Cambria" w:hAnsi="Cambria" w:cs="Cambria"/>
                <w:lang w:val="hr-HR"/>
              </w:rPr>
              <w:t>list kojim potvrđuje odabir osnovne škole (prije pohađanja</w:t>
            </w:r>
            <w:r w:rsidRPr="00DF4CE5">
              <w:rPr>
                <w:rFonts w:ascii="Cambria" w:eastAsia="Cambria" w:hAnsi="Cambria" w:cs="Cambria"/>
                <w:spacing w:val="1"/>
                <w:lang w:val="hr-HR"/>
              </w:rPr>
              <w:t xml:space="preserve"> </w:t>
            </w:r>
            <w:r w:rsidRPr="00DF4CE5">
              <w:rPr>
                <w:rFonts w:ascii="Cambria" w:eastAsia="Cambria" w:hAnsi="Cambria" w:cs="Cambria"/>
                <w:lang w:val="hr-HR"/>
              </w:rPr>
              <w:t>stručne</w:t>
            </w:r>
            <w:r w:rsidRPr="00DF4CE5">
              <w:rPr>
                <w:rFonts w:ascii="Cambria" w:eastAsia="Cambria" w:hAnsi="Cambria" w:cs="Cambria"/>
                <w:spacing w:val="-2"/>
                <w:lang w:val="hr-HR"/>
              </w:rPr>
              <w:t xml:space="preserve"> </w:t>
            </w:r>
            <w:r w:rsidRPr="00DF4CE5">
              <w:rPr>
                <w:rFonts w:ascii="Cambria" w:eastAsia="Cambria" w:hAnsi="Cambria" w:cs="Cambria"/>
                <w:lang w:val="hr-HR"/>
              </w:rPr>
              <w:t>prakse)</w:t>
            </w:r>
          </w:p>
          <w:p w14:paraId="3E8F6562" w14:textId="77777777" w:rsidR="00727BE6" w:rsidRPr="00DF4CE5" w:rsidRDefault="00727BE6" w:rsidP="00A034E3">
            <w:pPr>
              <w:widowControl w:val="0"/>
              <w:numPr>
                <w:ilvl w:val="0"/>
                <w:numId w:val="93"/>
              </w:numPr>
              <w:tabs>
                <w:tab w:val="left" w:pos="504"/>
              </w:tabs>
              <w:autoSpaceDE w:val="0"/>
              <w:autoSpaceDN w:val="0"/>
              <w:spacing w:after="0" w:line="240" w:lineRule="auto"/>
              <w:jc w:val="both"/>
              <w:rPr>
                <w:rFonts w:ascii="Cambria" w:eastAsia="Cambria" w:hAnsi="Cambria" w:cs="Cambria"/>
                <w:lang w:val="hr-HR"/>
              </w:rPr>
            </w:pPr>
            <w:r w:rsidRPr="00DF4CE5">
              <w:rPr>
                <w:rFonts w:ascii="Cambria" w:eastAsia="Cambria" w:hAnsi="Cambria" w:cs="Cambria"/>
                <w:lang w:val="hr-HR"/>
              </w:rPr>
              <w:t>pohađati</w:t>
            </w:r>
            <w:r w:rsidRPr="00DF4CE5">
              <w:rPr>
                <w:rFonts w:ascii="Cambria" w:eastAsia="Cambria" w:hAnsi="Cambria" w:cs="Cambria"/>
                <w:spacing w:val="28"/>
                <w:lang w:val="hr-HR"/>
              </w:rPr>
              <w:t xml:space="preserve"> </w:t>
            </w:r>
            <w:r w:rsidRPr="00DF4CE5">
              <w:rPr>
                <w:rFonts w:ascii="Cambria" w:eastAsia="Cambria" w:hAnsi="Cambria" w:cs="Cambria"/>
                <w:lang w:val="hr-HR"/>
              </w:rPr>
              <w:t>redovnu,</w:t>
            </w:r>
            <w:r w:rsidRPr="00DF4CE5">
              <w:rPr>
                <w:rFonts w:ascii="Cambria" w:eastAsia="Cambria" w:hAnsi="Cambria" w:cs="Cambria"/>
                <w:spacing w:val="31"/>
                <w:lang w:val="hr-HR"/>
              </w:rPr>
              <w:t xml:space="preserve"> </w:t>
            </w:r>
            <w:r w:rsidRPr="00DF4CE5">
              <w:rPr>
                <w:rFonts w:ascii="Cambria" w:eastAsia="Cambria" w:hAnsi="Cambria" w:cs="Cambria"/>
                <w:lang w:val="hr-HR"/>
              </w:rPr>
              <w:t>dodatnu,</w:t>
            </w:r>
            <w:r w:rsidRPr="00DF4CE5">
              <w:rPr>
                <w:rFonts w:ascii="Cambria" w:eastAsia="Cambria" w:hAnsi="Cambria" w:cs="Cambria"/>
                <w:spacing w:val="29"/>
                <w:lang w:val="hr-HR"/>
              </w:rPr>
              <w:t xml:space="preserve"> </w:t>
            </w:r>
            <w:r w:rsidRPr="00DF4CE5">
              <w:rPr>
                <w:rFonts w:ascii="Cambria" w:eastAsia="Cambria" w:hAnsi="Cambria" w:cs="Cambria"/>
                <w:lang w:val="hr-HR"/>
              </w:rPr>
              <w:t>dopunsku</w:t>
            </w:r>
            <w:r w:rsidRPr="00DF4CE5">
              <w:rPr>
                <w:rFonts w:ascii="Cambria" w:eastAsia="Cambria" w:hAnsi="Cambria" w:cs="Cambria"/>
                <w:spacing w:val="28"/>
                <w:lang w:val="hr-HR"/>
              </w:rPr>
              <w:t xml:space="preserve"> </w:t>
            </w:r>
            <w:r w:rsidRPr="00DF4CE5">
              <w:rPr>
                <w:rFonts w:ascii="Cambria" w:eastAsia="Cambria" w:hAnsi="Cambria" w:cs="Cambria"/>
                <w:lang w:val="hr-HR"/>
              </w:rPr>
              <w:t>i</w:t>
            </w:r>
            <w:r w:rsidRPr="00DF4CE5">
              <w:rPr>
                <w:rFonts w:ascii="Cambria" w:eastAsia="Cambria" w:hAnsi="Cambria" w:cs="Cambria"/>
                <w:spacing w:val="28"/>
                <w:lang w:val="hr-HR"/>
              </w:rPr>
              <w:t xml:space="preserve"> </w:t>
            </w:r>
            <w:r w:rsidRPr="00DF4CE5">
              <w:rPr>
                <w:rFonts w:ascii="Cambria" w:eastAsia="Cambria" w:hAnsi="Cambria" w:cs="Cambria"/>
                <w:lang w:val="hr-HR"/>
              </w:rPr>
              <w:t>izbornu</w:t>
            </w:r>
            <w:r w:rsidRPr="00DF4CE5">
              <w:rPr>
                <w:rFonts w:ascii="Cambria" w:eastAsia="Cambria" w:hAnsi="Cambria" w:cs="Cambria"/>
                <w:spacing w:val="28"/>
                <w:lang w:val="hr-HR"/>
              </w:rPr>
              <w:t xml:space="preserve"> </w:t>
            </w:r>
            <w:r w:rsidRPr="00DF4CE5">
              <w:rPr>
                <w:rFonts w:ascii="Cambria" w:eastAsia="Cambria" w:hAnsi="Cambria" w:cs="Cambria"/>
                <w:lang w:val="hr-HR"/>
              </w:rPr>
              <w:t>nastavu</w:t>
            </w:r>
            <w:r w:rsidRPr="00DF4CE5">
              <w:rPr>
                <w:rFonts w:ascii="Cambria" w:eastAsia="Cambria" w:hAnsi="Cambria" w:cs="Cambria"/>
                <w:spacing w:val="28"/>
                <w:lang w:val="hr-HR"/>
              </w:rPr>
              <w:t xml:space="preserve"> </w:t>
            </w:r>
            <w:r w:rsidRPr="00DF4CE5">
              <w:rPr>
                <w:rFonts w:ascii="Cambria" w:eastAsia="Cambria" w:hAnsi="Cambria" w:cs="Cambria"/>
                <w:lang w:val="hr-HR"/>
              </w:rPr>
              <w:t>te</w:t>
            </w:r>
          </w:p>
          <w:p w14:paraId="1E31314D" w14:textId="77777777" w:rsidR="00727BE6" w:rsidRPr="00DF4CE5" w:rsidRDefault="00727BE6" w:rsidP="00450B7A">
            <w:pPr>
              <w:widowControl w:val="0"/>
              <w:autoSpaceDE w:val="0"/>
              <w:autoSpaceDN w:val="0"/>
              <w:spacing w:after="0" w:line="240" w:lineRule="auto"/>
              <w:ind w:left="503"/>
              <w:jc w:val="both"/>
              <w:rPr>
                <w:rFonts w:ascii="Cambria" w:eastAsia="Cambria" w:hAnsi="Cambria" w:cs="Cambria"/>
                <w:lang w:val="hr-HR"/>
              </w:rPr>
            </w:pPr>
            <w:r w:rsidRPr="00DF4CE5">
              <w:rPr>
                <w:rFonts w:ascii="Cambria" w:eastAsia="Cambria" w:hAnsi="Cambria" w:cs="Cambria"/>
                <w:lang w:val="hr-HR"/>
              </w:rPr>
              <w:t>izvannastavne</w:t>
            </w:r>
            <w:r w:rsidRPr="00DF4CE5">
              <w:rPr>
                <w:rFonts w:ascii="Cambria" w:eastAsia="Cambria" w:hAnsi="Cambria" w:cs="Cambria"/>
                <w:spacing w:val="-7"/>
                <w:lang w:val="hr-HR"/>
              </w:rPr>
              <w:t xml:space="preserve"> </w:t>
            </w:r>
            <w:r w:rsidRPr="00DF4CE5">
              <w:rPr>
                <w:rFonts w:ascii="Cambria" w:eastAsia="Cambria" w:hAnsi="Cambria" w:cs="Cambria"/>
                <w:lang w:val="hr-HR"/>
              </w:rPr>
              <w:t>aktivnosti</w:t>
            </w:r>
          </w:p>
          <w:p w14:paraId="603D2280" w14:textId="77777777" w:rsidR="00727BE6" w:rsidRPr="00DF4CE5" w:rsidRDefault="00727BE6" w:rsidP="00A034E3">
            <w:pPr>
              <w:widowControl w:val="0"/>
              <w:numPr>
                <w:ilvl w:val="0"/>
                <w:numId w:val="93"/>
              </w:numPr>
              <w:tabs>
                <w:tab w:val="left" w:pos="504"/>
              </w:tabs>
              <w:autoSpaceDE w:val="0"/>
              <w:autoSpaceDN w:val="0"/>
              <w:spacing w:after="0" w:line="240" w:lineRule="auto"/>
              <w:jc w:val="both"/>
              <w:rPr>
                <w:rFonts w:ascii="Cambria" w:eastAsia="Cambria" w:hAnsi="Cambria" w:cs="Cambria"/>
                <w:lang w:val="hr-HR"/>
              </w:rPr>
            </w:pPr>
            <w:r w:rsidRPr="00DF4CE5">
              <w:rPr>
                <w:rFonts w:ascii="Cambria" w:eastAsia="Cambria" w:hAnsi="Cambria" w:cs="Cambria"/>
                <w:lang w:val="hr-HR"/>
              </w:rPr>
              <w:t>sudjelovati</w:t>
            </w:r>
            <w:r w:rsidRPr="00DF4CE5">
              <w:rPr>
                <w:rFonts w:ascii="Cambria" w:eastAsia="Cambria" w:hAnsi="Cambria" w:cs="Cambria"/>
                <w:spacing w:val="4"/>
                <w:lang w:val="hr-HR"/>
              </w:rPr>
              <w:t xml:space="preserve"> </w:t>
            </w:r>
            <w:r w:rsidRPr="00DF4CE5">
              <w:rPr>
                <w:rFonts w:ascii="Cambria" w:eastAsia="Cambria" w:hAnsi="Cambria" w:cs="Cambria"/>
                <w:lang w:val="hr-HR"/>
              </w:rPr>
              <w:t>u</w:t>
            </w:r>
            <w:r w:rsidRPr="00DF4CE5">
              <w:rPr>
                <w:rFonts w:ascii="Cambria" w:eastAsia="Cambria" w:hAnsi="Cambria" w:cs="Cambria"/>
                <w:spacing w:val="4"/>
                <w:lang w:val="hr-HR"/>
              </w:rPr>
              <w:t xml:space="preserve"> </w:t>
            </w:r>
            <w:r w:rsidRPr="00DF4CE5">
              <w:rPr>
                <w:rFonts w:ascii="Cambria" w:eastAsia="Cambria" w:hAnsi="Cambria" w:cs="Cambria"/>
                <w:lang w:val="hr-HR"/>
              </w:rPr>
              <w:t>različitim</w:t>
            </w:r>
            <w:r w:rsidRPr="00DF4CE5">
              <w:rPr>
                <w:rFonts w:ascii="Cambria" w:eastAsia="Cambria" w:hAnsi="Cambria" w:cs="Cambria"/>
                <w:spacing w:val="7"/>
                <w:lang w:val="hr-HR"/>
              </w:rPr>
              <w:t xml:space="preserve"> </w:t>
            </w:r>
            <w:r w:rsidRPr="00DF4CE5">
              <w:rPr>
                <w:rFonts w:ascii="Cambria" w:eastAsia="Cambria" w:hAnsi="Cambria" w:cs="Cambria"/>
                <w:lang w:val="hr-HR"/>
              </w:rPr>
              <w:t>oblicima</w:t>
            </w:r>
            <w:r w:rsidRPr="00DF4CE5">
              <w:rPr>
                <w:rFonts w:ascii="Cambria" w:eastAsia="Cambria" w:hAnsi="Cambria" w:cs="Cambria"/>
                <w:spacing w:val="3"/>
                <w:lang w:val="hr-HR"/>
              </w:rPr>
              <w:t xml:space="preserve"> </w:t>
            </w:r>
            <w:r w:rsidRPr="00DF4CE5">
              <w:rPr>
                <w:rFonts w:ascii="Cambria" w:eastAsia="Cambria" w:hAnsi="Cambria" w:cs="Cambria"/>
                <w:lang w:val="hr-HR"/>
              </w:rPr>
              <w:t>odgojno-obrazovnog</w:t>
            </w:r>
            <w:r w:rsidRPr="00DF4CE5">
              <w:rPr>
                <w:rFonts w:ascii="Cambria" w:eastAsia="Cambria" w:hAnsi="Cambria" w:cs="Cambria"/>
                <w:spacing w:val="4"/>
                <w:lang w:val="hr-HR"/>
              </w:rPr>
              <w:t xml:space="preserve"> </w:t>
            </w:r>
            <w:r w:rsidRPr="00DF4CE5">
              <w:rPr>
                <w:rFonts w:ascii="Cambria" w:eastAsia="Cambria" w:hAnsi="Cambria" w:cs="Cambria"/>
                <w:lang w:val="hr-HR"/>
              </w:rPr>
              <w:t>rada</w:t>
            </w:r>
            <w:r w:rsidRPr="00DF4CE5">
              <w:rPr>
                <w:rFonts w:ascii="Cambria" w:eastAsia="Cambria" w:hAnsi="Cambria" w:cs="Cambria"/>
                <w:spacing w:val="5"/>
                <w:lang w:val="hr-HR"/>
              </w:rPr>
              <w:t xml:space="preserve"> </w:t>
            </w:r>
            <w:r w:rsidRPr="00DF4CE5">
              <w:rPr>
                <w:rFonts w:ascii="Cambria" w:eastAsia="Cambria" w:hAnsi="Cambria" w:cs="Cambria"/>
                <w:lang w:val="hr-HR"/>
              </w:rPr>
              <w:t>u</w:t>
            </w:r>
          </w:p>
          <w:p w14:paraId="246165F0" w14:textId="77777777" w:rsidR="00727BE6" w:rsidRPr="00DF4CE5" w:rsidRDefault="00727BE6" w:rsidP="00450B7A">
            <w:pPr>
              <w:widowControl w:val="0"/>
              <w:autoSpaceDE w:val="0"/>
              <w:autoSpaceDN w:val="0"/>
              <w:spacing w:after="0" w:line="240" w:lineRule="auto"/>
              <w:ind w:left="503"/>
              <w:rPr>
                <w:rFonts w:ascii="Cambria" w:eastAsia="Cambria" w:hAnsi="Cambria" w:cs="Cambria"/>
                <w:lang w:val="hr-HR"/>
              </w:rPr>
            </w:pPr>
            <w:r w:rsidRPr="00DF4CE5">
              <w:rPr>
                <w:rFonts w:ascii="Cambria" w:eastAsia="Cambria" w:hAnsi="Cambria" w:cs="Cambria"/>
                <w:lang w:val="hr-HR"/>
              </w:rPr>
              <w:t>školi</w:t>
            </w:r>
          </w:p>
          <w:p w14:paraId="47906F12" w14:textId="77777777" w:rsidR="00727BE6" w:rsidRPr="00DF4CE5" w:rsidRDefault="00727BE6" w:rsidP="00A034E3">
            <w:pPr>
              <w:widowControl w:val="0"/>
              <w:numPr>
                <w:ilvl w:val="0"/>
                <w:numId w:val="93"/>
              </w:numPr>
              <w:tabs>
                <w:tab w:val="left" w:pos="504"/>
              </w:tabs>
              <w:autoSpaceDE w:val="0"/>
              <w:autoSpaceDN w:val="0"/>
              <w:spacing w:after="0" w:line="240" w:lineRule="auto"/>
              <w:ind w:right="123"/>
              <w:jc w:val="both"/>
              <w:rPr>
                <w:rFonts w:ascii="Cambria" w:eastAsia="Cambria" w:hAnsi="Cambria" w:cs="Cambria"/>
                <w:lang w:val="hr-HR"/>
              </w:rPr>
            </w:pPr>
            <w:r w:rsidRPr="00DF4CE5">
              <w:rPr>
                <w:rFonts w:ascii="Cambria" w:eastAsia="Cambria" w:hAnsi="Cambria" w:cs="Cambria"/>
                <w:lang w:val="hr-HR"/>
              </w:rPr>
              <w:t>realizirati po dva nastavna sata iz predmeta: Matematika,</w:t>
            </w:r>
            <w:r w:rsidRPr="00DF4CE5">
              <w:rPr>
                <w:rFonts w:ascii="Cambria" w:eastAsia="Cambria" w:hAnsi="Cambria" w:cs="Cambria"/>
                <w:spacing w:val="1"/>
                <w:lang w:val="hr-HR"/>
              </w:rPr>
              <w:t xml:space="preserve"> </w:t>
            </w:r>
            <w:r w:rsidRPr="00DF4CE5">
              <w:rPr>
                <w:rFonts w:ascii="Cambria" w:eastAsia="Cambria" w:hAnsi="Cambria" w:cs="Cambria"/>
                <w:lang w:val="hr-HR"/>
              </w:rPr>
              <w:t>Priroda i društvo, Tjelesna i zdravstvena kultura, Likovna</w:t>
            </w:r>
            <w:r w:rsidRPr="00DF4CE5">
              <w:rPr>
                <w:rFonts w:ascii="Cambria" w:eastAsia="Cambria" w:hAnsi="Cambria" w:cs="Cambria"/>
                <w:spacing w:val="1"/>
                <w:lang w:val="hr-HR"/>
              </w:rPr>
              <w:t xml:space="preserve"> </w:t>
            </w:r>
            <w:r w:rsidRPr="00DF4CE5">
              <w:rPr>
                <w:rFonts w:ascii="Cambria" w:eastAsia="Cambria" w:hAnsi="Cambria" w:cs="Cambria"/>
                <w:lang w:val="hr-HR"/>
              </w:rPr>
              <w:t>kultura</w:t>
            </w:r>
            <w:r w:rsidRPr="00DF4CE5">
              <w:rPr>
                <w:rFonts w:ascii="Cambria" w:eastAsia="Cambria" w:hAnsi="Cambria" w:cs="Cambria"/>
                <w:spacing w:val="-6"/>
                <w:lang w:val="hr-HR"/>
              </w:rPr>
              <w:t xml:space="preserve"> </w:t>
            </w:r>
            <w:r w:rsidRPr="00DF4CE5">
              <w:rPr>
                <w:rFonts w:ascii="Cambria" w:eastAsia="Cambria" w:hAnsi="Cambria" w:cs="Cambria"/>
                <w:lang w:val="hr-HR"/>
              </w:rPr>
              <w:t>i</w:t>
            </w:r>
            <w:r w:rsidRPr="00DF4CE5">
              <w:rPr>
                <w:rFonts w:ascii="Cambria" w:eastAsia="Cambria" w:hAnsi="Cambria" w:cs="Cambria"/>
                <w:spacing w:val="-7"/>
                <w:lang w:val="hr-HR"/>
              </w:rPr>
              <w:t xml:space="preserve"> </w:t>
            </w:r>
            <w:r w:rsidRPr="00DF4CE5">
              <w:rPr>
                <w:rFonts w:ascii="Cambria" w:eastAsia="Cambria" w:hAnsi="Cambria" w:cs="Cambria"/>
                <w:lang w:val="hr-HR"/>
              </w:rPr>
              <w:t>Engleski</w:t>
            </w:r>
            <w:r w:rsidRPr="00DF4CE5">
              <w:rPr>
                <w:rFonts w:ascii="Cambria" w:eastAsia="Cambria" w:hAnsi="Cambria" w:cs="Cambria"/>
                <w:spacing w:val="-7"/>
                <w:lang w:val="hr-HR"/>
              </w:rPr>
              <w:t xml:space="preserve"> </w:t>
            </w:r>
            <w:r w:rsidRPr="00DF4CE5">
              <w:rPr>
                <w:rFonts w:ascii="Cambria" w:eastAsia="Cambria" w:hAnsi="Cambria" w:cs="Cambria"/>
                <w:lang w:val="hr-HR"/>
              </w:rPr>
              <w:t>jezik</w:t>
            </w:r>
            <w:r w:rsidRPr="00DF4CE5">
              <w:rPr>
                <w:rFonts w:ascii="Cambria" w:eastAsia="Cambria" w:hAnsi="Cambria" w:cs="Cambria"/>
                <w:spacing w:val="-6"/>
                <w:lang w:val="hr-HR"/>
              </w:rPr>
              <w:t xml:space="preserve"> </w:t>
            </w:r>
            <w:r w:rsidRPr="00DF4CE5">
              <w:rPr>
                <w:rFonts w:ascii="Cambria" w:eastAsia="Cambria" w:hAnsi="Cambria" w:cs="Cambria"/>
                <w:lang w:val="hr-HR"/>
              </w:rPr>
              <w:t>ili</w:t>
            </w:r>
            <w:r w:rsidRPr="00DF4CE5">
              <w:rPr>
                <w:rFonts w:ascii="Cambria" w:eastAsia="Cambria" w:hAnsi="Cambria" w:cs="Cambria"/>
                <w:spacing w:val="-7"/>
                <w:lang w:val="hr-HR"/>
              </w:rPr>
              <w:t xml:space="preserve"> </w:t>
            </w:r>
            <w:r w:rsidRPr="00DF4CE5">
              <w:rPr>
                <w:rFonts w:ascii="Cambria" w:eastAsia="Cambria" w:hAnsi="Cambria" w:cs="Cambria"/>
                <w:lang w:val="hr-HR"/>
              </w:rPr>
              <w:t>Informatika</w:t>
            </w:r>
            <w:r w:rsidRPr="00DF4CE5">
              <w:rPr>
                <w:rFonts w:ascii="Cambria" w:eastAsia="Cambria" w:hAnsi="Cambria" w:cs="Cambria"/>
                <w:spacing w:val="-7"/>
                <w:lang w:val="hr-HR"/>
              </w:rPr>
              <w:t xml:space="preserve"> </w:t>
            </w:r>
            <w:r w:rsidRPr="00DF4CE5">
              <w:rPr>
                <w:rFonts w:ascii="Cambria" w:eastAsia="Cambria" w:hAnsi="Cambria" w:cs="Cambria"/>
                <w:lang w:val="hr-HR"/>
              </w:rPr>
              <w:t>pod</w:t>
            </w:r>
            <w:r w:rsidRPr="00DF4CE5">
              <w:rPr>
                <w:rFonts w:ascii="Cambria" w:eastAsia="Cambria" w:hAnsi="Cambria" w:cs="Cambria"/>
                <w:spacing w:val="-6"/>
                <w:lang w:val="hr-HR"/>
              </w:rPr>
              <w:t xml:space="preserve"> </w:t>
            </w:r>
            <w:r w:rsidRPr="00DF4CE5">
              <w:rPr>
                <w:rFonts w:ascii="Cambria" w:eastAsia="Cambria" w:hAnsi="Cambria" w:cs="Cambria"/>
                <w:lang w:val="hr-HR"/>
              </w:rPr>
              <w:t>vodstvom</w:t>
            </w:r>
            <w:r w:rsidRPr="00DF4CE5">
              <w:rPr>
                <w:rFonts w:ascii="Cambria" w:eastAsia="Cambria" w:hAnsi="Cambria" w:cs="Cambria"/>
                <w:spacing w:val="-8"/>
                <w:lang w:val="hr-HR"/>
              </w:rPr>
              <w:t xml:space="preserve"> </w:t>
            </w:r>
            <w:r w:rsidRPr="00DF4CE5">
              <w:rPr>
                <w:rFonts w:ascii="Cambria" w:eastAsia="Cambria" w:hAnsi="Cambria" w:cs="Cambria"/>
                <w:lang w:val="hr-HR"/>
              </w:rPr>
              <w:t>učitelja-</w:t>
            </w:r>
            <w:r w:rsidRPr="00DF4CE5">
              <w:rPr>
                <w:rFonts w:ascii="Cambria" w:eastAsia="Cambria" w:hAnsi="Cambria" w:cs="Cambria"/>
                <w:spacing w:val="-51"/>
                <w:lang w:val="hr-HR"/>
              </w:rPr>
              <w:t xml:space="preserve"> </w:t>
            </w:r>
            <w:r w:rsidRPr="00DF4CE5">
              <w:rPr>
                <w:rFonts w:ascii="Cambria" w:eastAsia="Cambria" w:hAnsi="Cambria" w:cs="Cambria"/>
                <w:lang w:val="hr-HR"/>
              </w:rPr>
              <w:t>mentora</w:t>
            </w:r>
            <w:r w:rsidRPr="00DF4CE5">
              <w:rPr>
                <w:rFonts w:ascii="Cambria" w:eastAsia="Cambria" w:hAnsi="Cambria" w:cs="Cambria"/>
                <w:spacing w:val="1"/>
                <w:lang w:val="hr-HR"/>
              </w:rPr>
              <w:t xml:space="preserve"> </w:t>
            </w:r>
            <w:r w:rsidRPr="00DF4CE5">
              <w:rPr>
                <w:rFonts w:ascii="Cambria" w:eastAsia="Cambria" w:hAnsi="Cambria" w:cs="Cambria"/>
                <w:lang w:val="hr-HR"/>
              </w:rPr>
              <w:t>u</w:t>
            </w:r>
            <w:r w:rsidRPr="00DF4CE5">
              <w:rPr>
                <w:rFonts w:ascii="Cambria" w:eastAsia="Cambria" w:hAnsi="Cambria" w:cs="Cambria"/>
                <w:spacing w:val="1"/>
                <w:lang w:val="hr-HR"/>
              </w:rPr>
              <w:t xml:space="preserve"> </w:t>
            </w:r>
            <w:r w:rsidRPr="00DF4CE5">
              <w:rPr>
                <w:rFonts w:ascii="Cambria" w:eastAsia="Cambria" w:hAnsi="Cambria" w:cs="Cambria"/>
                <w:lang w:val="hr-HR"/>
              </w:rPr>
              <w:t>školi,</w:t>
            </w:r>
            <w:r w:rsidRPr="00DF4CE5">
              <w:rPr>
                <w:rFonts w:ascii="Cambria" w:eastAsia="Cambria" w:hAnsi="Cambria" w:cs="Cambria"/>
                <w:spacing w:val="1"/>
                <w:lang w:val="hr-HR"/>
              </w:rPr>
              <w:t xml:space="preserve"> </w:t>
            </w:r>
            <w:r w:rsidRPr="00DF4CE5">
              <w:rPr>
                <w:rFonts w:ascii="Cambria" w:eastAsia="Cambria" w:hAnsi="Cambria" w:cs="Cambria"/>
                <w:lang w:val="hr-HR"/>
              </w:rPr>
              <w:t>koji</w:t>
            </w:r>
            <w:r w:rsidRPr="00DF4CE5">
              <w:rPr>
                <w:rFonts w:ascii="Cambria" w:eastAsia="Cambria" w:hAnsi="Cambria" w:cs="Cambria"/>
                <w:spacing w:val="1"/>
                <w:lang w:val="hr-HR"/>
              </w:rPr>
              <w:t xml:space="preserve"> </w:t>
            </w:r>
            <w:r w:rsidRPr="00DF4CE5">
              <w:rPr>
                <w:rFonts w:ascii="Cambria" w:eastAsia="Cambria" w:hAnsi="Cambria" w:cs="Cambria"/>
                <w:lang w:val="hr-HR"/>
              </w:rPr>
              <w:t>potpisuje</w:t>
            </w:r>
            <w:r w:rsidRPr="00DF4CE5">
              <w:rPr>
                <w:rFonts w:ascii="Cambria" w:eastAsia="Cambria" w:hAnsi="Cambria" w:cs="Cambria"/>
                <w:spacing w:val="1"/>
                <w:lang w:val="hr-HR"/>
              </w:rPr>
              <w:t xml:space="preserve"> </w:t>
            </w:r>
            <w:r w:rsidRPr="00DF4CE5">
              <w:rPr>
                <w:rFonts w:ascii="Cambria" w:eastAsia="Cambria" w:hAnsi="Cambria" w:cs="Cambria"/>
                <w:lang w:val="hr-HR"/>
              </w:rPr>
              <w:t>priprave</w:t>
            </w:r>
            <w:r w:rsidRPr="00DF4CE5">
              <w:rPr>
                <w:rFonts w:ascii="Cambria" w:eastAsia="Cambria" w:hAnsi="Cambria" w:cs="Cambria"/>
                <w:spacing w:val="1"/>
                <w:lang w:val="hr-HR"/>
              </w:rPr>
              <w:t xml:space="preserve"> </w:t>
            </w:r>
            <w:r w:rsidRPr="00DF4CE5">
              <w:rPr>
                <w:rFonts w:ascii="Cambria" w:eastAsia="Cambria" w:hAnsi="Cambria" w:cs="Cambria"/>
                <w:lang w:val="hr-HR"/>
              </w:rPr>
              <w:t>i</w:t>
            </w:r>
            <w:r w:rsidRPr="00DF4CE5">
              <w:rPr>
                <w:rFonts w:ascii="Cambria" w:eastAsia="Cambria" w:hAnsi="Cambria" w:cs="Cambria"/>
                <w:spacing w:val="1"/>
                <w:lang w:val="hr-HR"/>
              </w:rPr>
              <w:t xml:space="preserve"> </w:t>
            </w:r>
            <w:r w:rsidRPr="00DF4CE5">
              <w:rPr>
                <w:rFonts w:ascii="Cambria" w:eastAsia="Cambria" w:hAnsi="Cambria" w:cs="Cambria"/>
                <w:lang w:val="hr-HR"/>
              </w:rPr>
              <w:t>daje</w:t>
            </w:r>
            <w:r w:rsidRPr="00DF4CE5">
              <w:rPr>
                <w:rFonts w:ascii="Cambria" w:eastAsia="Cambria" w:hAnsi="Cambria" w:cs="Cambria"/>
                <w:spacing w:val="1"/>
                <w:lang w:val="hr-HR"/>
              </w:rPr>
              <w:t xml:space="preserve"> </w:t>
            </w:r>
            <w:r w:rsidRPr="00DF4CE5">
              <w:rPr>
                <w:rFonts w:ascii="Cambria" w:eastAsia="Cambria" w:hAnsi="Cambria" w:cs="Cambria"/>
                <w:lang w:val="hr-HR"/>
              </w:rPr>
              <w:t>osvrte</w:t>
            </w:r>
            <w:r w:rsidRPr="00DF4CE5">
              <w:rPr>
                <w:rFonts w:ascii="Cambria" w:eastAsia="Cambria" w:hAnsi="Cambria" w:cs="Cambria"/>
                <w:spacing w:val="1"/>
                <w:lang w:val="hr-HR"/>
              </w:rPr>
              <w:t xml:space="preserve"> </w:t>
            </w:r>
            <w:r w:rsidRPr="00DF4CE5">
              <w:rPr>
                <w:rFonts w:ascii="Cambria" w:eastAsia="Cambria" w:hAnsi="Cambria" w:cs="Cambria"/>
                <w:lang w:val="hr-HR"/>
              </w:rPr>
              <w:t>na</w:t>
            </w:r>
            <w:r w:rsidRPr="00DF4CE5">
              <w:rPr>
                <w:rFonts w:ascii="Cambria" w:eastAsia="Cambria" w:hAnsi="Cambria" w:cs="Cambria"/>
                <w:spacing w:val="1"/>
                <w:lang w:val="hr-HR"/>
              </w:rPr>
              <w:t xml:space="preserve"> </w:t>
            </w:r>
            <w:r w:rsidRPr="00DF4CE5">
              <w:rPr>
                <w:rFonts w:ascii="Cambria" w:eastAsia="Cambria" w:hAnsi="Cambria" w:cs="Cambria"/>
                <w:lang w:val="hr-HR"/>
              </w:rPr>
              <w:t>provedene</w:t>
            </w:r>
            <w:r w:rsidRPr="00DF4CE5">
              <w:rPr>
                <w:rFonts w:ascii="Cambria" w:eastAsia="Cambria" w:hAnsi="Cambria" w:cs="Cambria"/>
                <w:spacing w:val="-1"/>
                <w:lang w:val="hr-HR"/>
              </w:rPr>
              <w:t xml:space="preserve"> </w:t>
            </w:r>
            <w:r w:rsidRPr="00DF4CE5">
              <w:rPr>
                <w:rFonts w:ascii="Cambria" w:eastAsia="Cambria" w:hAnsi="Cambria" w:cs="Cambria"/>
                <w:lang w:val="hr-HR"/>
              </w:rPr>
              <w:t>aktivnosti</w:t>
            </w:r>
          </w:p>
          <w:p w14:paraId="0B01D8F0" w14:textId="77777777" w:rsidR="00727BE6" w:rsidRPr="00DF4CE5" w:rsidRDefault="00727BE6" w:rsidP="00A034E3">
            <w:pPr>
              <w:widowControl w:val="0"/>
              <w:numPr>
                <w:ilvl w:val="0"/>
                <w:numId w:val="93"/>
              </w:numPr>
              <w:tabs>
                <w:tab w:val="left" w:pos="504"/>
              </w:tabs>
              <w:autoSpaceDE w:val="0"/>
              <w:autoSpaceDN w:val="0"/>
              <w:spacing w:after="0" w:line="240" w:lineRule="auto"/>
              <w:jc w:val="both"/>
              <w:rPr>
                <w:rFonts w:ascii="Cambria" w:eastAsia="Cambria" w:hAnsi="Cambria" w:cs="Cambria"/>
                <w:lang w:val="hr-HR"/>
              </w:rPr>
            </w:pPr>
            <w:r w:rsidRPr="00DF4CE5">
              <w:rPr>
                <w:rFonts w:ascii="Cambria" w:eastAsia="Cambria" w:hAnsi="Cambria" w:cs="Cambria"/>
                <w:lang w:val="hr-HR"/>
              </w:rPr>
              <w:t>pratiti</w:t>
            </w:r>
            <w:r w:rsidRPr="00DF4CE5">
              <w:rPr>
                <w:rFonts w:ascii="Cambria" w:eastAsia="Cambria" w:hAnsi="Cambria" w:cs="Cambria"/>
                <w:spacing w:val="1"/>
                <w:lang w:val="hr-HR"/>
              </w:rPr>
              <w:t xml:space="preserve"> </w:t>
            </w:r>
            <w:r w:rsidRPr="00DF4CE5">
              <w:rPr>
                <w:rFonts w:ascii="Cambria" w:eastAsia="Cambria" w:hAnsi="Cambria" w:cs="Cambria"/>
                <w:lang w:val="hr-HR"/>
              </w:rPr>
              <w:t>e-savjetovanja</w:t>
            </w:r>
            <w:r w:rsidRPr="00DF4CE5">
              <w:rPr>
                <w:rFonts w:ascii="Cambria" w:eastAsia="Cambria" w:hAnsi="Cambria" w:cs="Cambria"/>
                <w:spacing w:val="50"/>
                <w:lang w:val="hr-HR"/>
              </w:rPr>
              <w:t xml:space="preserve"> </w:t>
            </w:r>
            <w:r w:rsidRPr="00DF4CE5">
              <w:rPr>
                <w:rFonts w:ascii="Cambria" w:eastAsia="Cambria" w:hAnsi="Cambria" w:cs="Cambria"/>
                <w:lang w:val="hr-HR"/>
              </w:rPr>
              <w:t>Ministarstva</w:t>
            </w:r>
            <w:r w:rsidRPr="00DF4CE5">
              <w:rPr>
                <w:rFonts w:ascii="Cambria" w:eastAsia="Cambria" w:hAnsi="Cambria" w:cs="Cambria"/>
                <w:spacing w:val="51"/>
                <w:lang w:val="hr-HR"/>
              </w:rPr>
              <w:t xml:space="preserve"> </w:t>
            </w:r>
            <w:r w:rsidRPr="00DF4CE5">
              <w:rPr>
                <w:rFonts w:ascii="Cambria" w:eastAsia="Cambria" w:hAnsi="Cambria" w:cs="Cambria"/>
                <w:lang w:val="hr-HR"/>
              </w:rPr>
              <w:t>znanosti</w:t>
            </w:r>
            <w:r w:rsidRPr="00DF4CE5">
              <w:rPr>
                <w:rFonts w:ascii="Cambria" w:eastAsia="Cambria" w:hAnsi="Cambria" w:cs="Cambria"/>
                <w:spacing w:val="53"/>
                <w:lang w:val="hr-HR"/>
              </w:rPr>
              <w:t xml:space="preserve"> </w:t>
            </w:r>
            <w:r w:rsidRPr="00DF4CE5">
              <w:rPr>
                <w:rFonts w:ascii="Cambria" w:eastAsia="Cambria" w:hAnsi="Cambria" w:cs="Cambria"/>
                <w:lang w:val="hr-HR"/>
              </w:rPr>
              <w:t>i</w:t>
            </w:r>
            <w:r w:rsidRPr="00DF4CE5">
              <w:rPr>
                <w:rFonts w:ascii="Cambria" w:eastAsia="Cambria" w:hAnsi="Cambria" w:cs="Cambria"/>
                <w:spacing w:val="50"/>
                <w:lang w:val="hr-HR"/>
              </w:rPr>
              <w:t xml:space="preserve"> </w:t>
            </w:r>
            <w:r w:rsidRPr="00DF4CE5">
              <w:rPr>
                <w:rFonts w:ascii="Cambria" w:eastAsia="Cambria" w:hAnsi="Cambria" w:cs="Cambria"/>
                <w:lang w:val="hr-HR"/>
              </w:rPr>
              <w:t>obrazovanja,</w:t>
            </w:r>
          </w:p>
          <w:p w14:paraId="60EC2908" w14:textId="77777777" w:rsidR="00727BE6" w:rsidRPr="00DF4CE5" w:rsidRDefault="00727BE6" w:rsidP="00450B7A">
            <w:pPr>
              <w:widowControl w:val="0"/>
              <w:autoSpaceDE w:val="0"/>
              <w:autoSpaceDN w:val="0"/>
              <w:spacing w:after="0" w:line="240" w:lineRule="auto"/>
              <w:ind w:left="503"/>
              <w:jc w:val="both"/>
              <w:rPr>
                <w:rFonts w:ascii="Cambria" w:eastAsia="Cambria" w:hAnsi="Cambria" w:cs="Cambria"/>
                <w:lang w:val="hr-HR"/>
              </w:rPr>
            </w:pPr>
            <w:r w:rsidRPr="00DF4CE5">
              <w:rPr>
                <w:rFonts w:ascii="Cambria" w:eastAsia="Cambria" w:hAnsi="Cambria" w:cs="Cambria"/>
                <w:lang w:val="hr-HR"/>
              </w:rPr>
              <w:t>povezanih</w:t>
            </w:r>
            <w:r w:rsidRPr="00DF4CE5">
              <w:rPr>
                <w:rFonts w:ascii="Cambria" w:eastAsia="Cambria" w:hAnsi="Cambria" w:cs="Cambria"/>
                <w:spacing w:val="-3"/>
                <w:lang w:val="hr-HR"/>
              </w:rPr>
              <w:t xml:space="preserve"> </w:t>
            </w:r>
            <w:r w:rsidRPr="00DF4CE5">
              <w:rPr>
                <w:rFonts w:ascii="Cambria" w:eastAsia="Cambria" w:hAnsi="Cambria" w:cs="Cambria"/>
                <w:lang w:val="hr-HR"/>
              </w:rPr>
              <w:t>s</w:t>
            </w:r>
            <w:r w:rsidRPr="00DF4CE5">
              <w:rPr>
                <w:rFonts w:ascii="Cambria" w:eastAsia="Cambria" w:hAnsi="Cambria" w:cs="Cambria"/>
                <w:spacing w:val="-3"/>
                <w:lang w:val="hr-HR"/>
              </w:rPr>
              <w:t xml:space="preserve"> </w:t>
            </w:r>
            <w:r w:rsidRPr="00DF4CE5">
              <w:rPr>
                <w:rFonts w:ascii="Cambria" w:eastAsia="Cambria" w:hAnsi="Cambria" w:cs="Cambria"/>
                <w:lang w:val="hr-HR"/>
              </w:rPr>
              <w:t>osnovnoškolskim</w:t>
            </w:r>
            <w:r w:rsidRPr="00DF4CE5">
              <w:rPr>
                <w:rFonts w:ascii="Cambria" w:eastAsia="Cambria" w:hAnsi="Cambria" w:cs="Cambria"/>
                <w:spacing w:val="-2"/>
                <w:lang w:val="hr-HR"/>
              </w:rPr>
              <w:t xml:space="preserve"> </w:t>
            </w:r>
            <w:r w:rsidRPr="00DF4CE5">
              <w:rPr>
                <w:rFonts w:ascii="Cambria" w:eastAsia="Cambria" w:hAnsi="Cambria" w:cs="Cambria"/>
                <w:lang w:val="hr-HR"/>
              </w:rPr>
              <w:t>obrazovanjem.</w:t>
            </w:r>
          </w:p>
          <w:p w14:paraId="5EEEFA6F" w14:textId="77777777" w:rsidR="00727BE6" w:rsidRPr="00DF4CE5" w:rsidRDefault="00727BE6" w:rsidP="00A034E3">
            <w:pPr>
              <w:widowControl w:val="0"/>
              <w:numPr>
                <w:ilvl w:val="0"/>
                <w:numId w:val="93"/>
              </w:numPr>
              <w:tabs>
                <w:tab w:val="left" w:pos="504"/>
              </w:tabs>
              <w:autoSpaceDE w:val="0"/>
              <w:autoSpaceDN w:val="0"/>
              <w:spacing w:after="0" w:line="240" w:lineRule="auto"/>
              <w:ind w:right="124"/>
              <w:jc w:val="both"/>
              <w:rPr>
                <w:rFonts w:ascii="Cambria" w:eastAsia="Cambria" w:hAnsi="Cambria" w:cs="Cambria"/>
                <w:lang w:val="hr-HR"/>
              </w:rPr>
            </w:pPr>
            <w:r w:rsidRPr="00DF4CE5">
              <w:rPr>
                <w:rFonts w:ascii="Cambria" w:eastAsia="Cambria" w:hAnsi="Cambria" w:cs="Cambria"/>
                <w:lang w:val="hr-HR"/>
              </w:rPr>
              <w:t>voditi</w:t>
            </w:r>
            <w:r w:rsidRPr="00DF4CE5">
              <w:rPr>
                <w:rFonts w:ascii="Cambria" w:eastAsia="Cambria" w:hAnsi="Cambria" w:cs="Cambria"/>
                <w:spacing w:val="1"/>
                <w:lang w:val="hr-HR"/>
              </w:rPr>
              <w:t xml:space="preserve"> </w:t>
            </w:r>
            <w:r w:rsidRPr="00DF4CE5">
              <w:rPr>
                <w:rFonts w:ascii="Cambria" w:eastAsia="Cambria" w:hAnsi="Cambria" w:cs="Cambria"/>
                <w:lang w:val="hr-HR"/>
              </w:rPr>
              <w:t>Dnevnik</w:t>
            </w:r>
            <w:r w:rsidRPr="00DF4CE5">
              <w:rPr>
                <w:rFonts w:ascii="Cambria" w:eastAsia="Cambria" w:hAnsi="Cambria" w:cs="Cambria"/>
                <w:spacing w:val="1"/>
                <w:lang w:val="hr-HR"/>
              </w:rPr>
              <w:t xml:space="preserve"> </w:t>
            </w:r>
            <w:r w:rsidRPr="00DF4CE5">
              <w:rPr>
                <w:rFonts w:ascii="Cambria" w:eastAsia="Cambria" w:hAnsi="Cambria" w:cs="Cambria"/>
                <w:lang w:val="hr-HR"/>
              </w:rPr>
              <w:t>stručne</w:t>
            </w:r>
            <w:r w:rsidRPr="00DF4CE5">
              <w:rPr>
                <w:rFonts w:ascii="Cambria" w:eastAsia="Cambria" w:hAnsi="Cambria" w:cs="Cambria"/>
                <w:spacing w:val="1"/>
                <w:lang w:val="hr-HR"/>
              </w:rPr>
              <w:t xml:space="preserve"> </w:t>
            </w:r>
            <w:r w:rsidRPr="00DF4CE5">
              <w:rPr>
                <w:rFonts w:ascii="Cambria" w:eastAsia="Cambria" w:hAnsi="Cambria" w:cs="Cambria"/>
                <w:lang w:val="hr-HR"/>
              </w:rPr>
              <w:t>prakse</w:t>
            </w:r>
            <w:r w:rsidRPr="00DF4CE5">
              <w:rPr>
                <w:rFonts w:ascii="Cambria" w:eastAsia="Cambria" w:hAnsi="Cambria" w:cs="Cambria"/>
                <w:spacing w:val="1"/>
                <w:lang w:val="hr-HR"/>
              </w:rPr>
              <w:t xml:space="preserve"> </w:t>
            </w:r>
            <w:r w:rsidRPr="00DF4CE5">
              <w:rPr>
                <w:rFonts w:ascii="Cambria" w:eastAsia="Cambria" w:hAnsi="Cambria" w:cs="Cambria"/>
                <w:lang w:val="hr-HR"/>
              </w:rPr>
              <w:t>(u</w:t>
            </w:r>
            <w:r w:rsidRPr="00DF4CE5">
              <w:rPr>
                <w:rFonts w:ascii="Cambria" w:eastAsia="Cambria" w:hAnsi="Cambria" w:cs="Cambria"/>
                <w:spacing w:val="1"/>
                <w:lang w:val="hr-HR"/>
              </w:rPr>
              <w:t xml:space="preserve"> </w:t>
            </w:r>
            <w:r w:rsidRPr="00DF4CE5">
              <w:rPr>
                <w:rFonts w:ascii="Cambria" w:eastAsia="Cambria" w:hAnsi="Cambria" w:cs="Cambria"/>
                <w:lang w:val="hr-HR"/>
              </w:rPr>
              <w:t>skladu</w:t>
            </w:r>
            <w:r w:rsidRPr="00DF4CE5">
              <w:rPr>
                <w:rFonts w:ascii="Cambria" w:eastAsia="Cambria" w:hAnsi="Cambria" w:cs="Cambria"/>
                <w:spacing w:val="1"/>
                <w:lang w:val="hr-HR"/>
              </w:rPr>
              <w:t xml:space="preserve"> </w:t>
            </w:r>
            <w:r w:rsidRPr="00DF4CE5">
              <w:rPr>
                <w:rFonts w:ascii="Cambria" w:eastAsia="Cambria" w:hAnsi="Cambria" w:cs="Cambria"/>
                <w:lang w:val="hr-HR"/>
              </w:rPr>
              <w:t>s</w:t>
            </w:r>
            <w:r w:rsidRPr="00DF4CE5">
              <w:rPr>
                <w:rFonts w:ascii="Cambria" w:eastAsia="Cambria" w:hAnsi="Cambria" w:cs="Cambria"/>
                <w:spacing w:val="1"/>
                <w:lang w:val="hr-HR"/>
              </w:rPr>
              <w:t xml:space="preserve"> </w:t>
            </w:r>
            <w:r w:rsidRPr="00DF4CE5">
              <w:rPr>
                <w:rFonts w:ascii="Cambria" w:eastAsia="Cambria" w:hAnsi="Cambria" w:cs="Cambria"/>
                <w:lang w:val="hr-HR"/>
              </w:rPr>
              <w:t>Uputama</w:t>
            </w:r>
            <w:r w:rsidRPr="00DF4CE5">
              <w:rPr>
                <w:rFonts w:ascii="Cambria" w:eastAsia="Cambria" w:hAnsi="Cambria" w:cs="Cambria"/>
                <w:spacing w:val="1"/>
                <w:lang w:val="hr-HR"/>
              </w:rPr>
              <w:t xml:space="preserve"> </w:t>
            </w:r>
            <w:r w:rsidRPr="00DF4CE5">
              <w:rPr>
                <w:rFonts w:ascii="Cambria" w:eastAsia="Cambria" w:hAnsi="Cambria" w:cs="Cambria"/>
                <w:lang w:val="hr-HR"/>
              </w:rPr>
              <w:t>za</w:t>
            </w:r>
            <w:r w:rsidRPr="00DF4CE5">
              <w:rPr>
                <w:rFonts w:ascii="Cambria" w:eastAsia="Cambria" w:hAnsi="Cambria" w:cs="Cambria"/>
                <w:spacing w:val="1"/>
                <w:lang w:val="hr-HR"/>
              </w:rPr>
              <w:t xml:space="preserve"> </w:t>
            </w:r>
            <w:r w:rsidRPr="00DF4CE5">
              <w:rPr>
                <w:rFonts w:ascii="Cambria" w:eastAsia="Cambria" w:hAnsi="Cambria" w:cs="Cambria"/>
                <w:lang w:val="hr-HR"/>
              </w:rPr>
              <w:t>vođenje</w:t>
            </w:r>
            <w:r w:rsidRPr="00DF4CE5">
              <w:rPr>
                <w:rFonts w:ascii="Cambria" w:eastAsia="Cambria" w:hAnsi="Cambria" w:cs="Cambria"/>
                <w:spacing w:val="-1"/>
                <w:lang w:val="hr-HR"/>
              </w:rPr>
              <w:t xml:space="preserve"> </w:t>
            </w:r>
            <w:r w:rsidRPr="00DF4CE5">
              <w:rPr>
                <w:rFonts w:ascii="Cambria" w:eastAsia="Cambria" w:hAnsi="Cambria" w:cs="Cambria"/>
                <w:lang w:val="hr-HR"/>
              </w:rPr>
              <w:t>Dnevnika)</w:t>
            </w:r>
          </w:p>
          <w:p w14:paraId="110A6F0F" w14:textId="77777777" w:rsidR="00727BE6" w:rsidRPr="00DF4CE5" w:rsidRDefault="00727BE6" w:rsidP="00A034E3">
            <w:pPr>
              <w:widowControl w:val="0"/>
              <w:numPr>
                <w:ilvl w:val="0"/>
                <w:numId w:val="93"/>
              </w:numPr>
              <w:autoSpaceDE w:val="0"/>
              <w:autoSpaceDN w:val="0"/>
              <w:spacing w:after="0" w:line="240" w:lineRule="auto"/>
              <w:rPr>
                <w:rFonts w:ascii="Cambria" w:eastAsia="Cambria" w:hAnsi="Cambria" w:cs="Cambria"/>
                <w:lang w:val="hr-HR"/>
              </w:rPr>
            </w:pPr>
            <w:r w:rsidRPr="00DF4CE5">
              <w:rPr>
                <w:rFonts w:ascii="Cambria" w:eastAsia="Cambria" w:hAnsi="Cambria" w:cs="Cambria"/>
                <w:lang w:val="hr-HR"/>
              </w:rPr>
              <w:t>predati Dnevnik stručne prakse, Potvrdnicu o obavljenoj</w:t>
            </w:r>
            <w:r w:rsidRPr="00DF4CE5">
              <w:rPr>
                <w:rFonts w:ascii="Cambria" w:eastAsia="Cambria" w:hAnsi="Cambria" w:cs="Cambria"/>
                <w:spacing w:val="1"/>
                <w:lang w:val="hr-HR"/>
              </w:rPr>
              <w:t xml:space="preserve"> </w:t>
            </w:r>
            <w:r w:rsidRPr="00DF4CE5">
              <w:rPr>
                <w:rFonts w:ascii="Cambria" w:eastAsia="Cambria" w:hAnsi="Cambria" w:cs="Cambria"/>
                <w:lang w:val="hr-HR"/>
              </w:rPr>
              <w:t xml:space="preserve">stručnoj praksi i </w:t>
            </w:r>
            <w:r w:rsidRPr="00DF4CE5">
              <w:rPr>
                <w:rFonts w:ascii="Cambria" w:eastAsia="Cambria" w:hAnsi="Cambria" w:cs="Arial"/>
                <w:color w:val="000000"/>
                <w:lang w:val="hr-HR"/>
              </w:rPr>
              <w:t xml:space="preserve">Mišljenje mentora o radu studenta/studentice na stručno pedagoškoj praksi </w:t>
            </w:r>
            <w:r w:rsidRPr="00DF4CE5">
              <w:rPr>
                <w:rFonts w:ascii="Cambria" w:eastAsia="Cambria" w:hAnsi="Cambria" w:cs="Cambria"/>
                <w:lang w:val="hr-HR"/>
              </w:rPr>
              <w:t>na potpis i ovjeru ravnatelju/ravnateljici škole i</w:t>
            </w:r>
            <w:r w:rsidRPr="00DF4CE5">
              <w:rPr>
                <w:rFonts w:ascii="Cambria" w:eastAsia="Cambria" w:hAnsi="Cambria" w:cs="Cambria"/>
                <w:spacing w:val="-46"/>
                <w:lang w:val="hr-HR"/>
              </w:rPr>
              <w:t xml:space="preserve">     </w:t>
            </w:r>
            <w:r w:rsidRPr="00DF4CE5">
              <w:rPr>
                <w:rFonts w:ascii="Cambria" w:eastAsia="Cambria" w:hAnsi="Cambria" w:cs="Cambria"/>
                <w:lang w:val="hr-HR"/>
              </w:rPr>
              <w:t>mentoru/mentorici, koji/koja daje stručno mišljenje o</w:t>
            </w:r>
            <w:r w:rsidRPr="00DF4CE5">
              <w:rPr>
                <w:rFonts w:ascii="Cambria" w:eastAsia="Cambria" w:hAnsi="Cambria" w:cs="Cambria"/>
                <w:spacing w:val="1"/>
                <w:lang w:val="hr-HR"/>
              </w:rPr>
              <w:t xml:space="preserve"> </w:t>
            </w:r>
            <w:r w:rsidRPr="00DF4CE5">
              <w:rPr>
                <w:rFonts w:ascii="Cambria" w:eastAsia="Cambria" w:hAnsi="Cambria" w:cs="Cambria"/>
                <w:lang w:val="hr-HR"/>
              </w:rPr>
              <w:t>provedenim aktivnostima</w:t>
            </w:r>
          </w:p>
          <w:p w14:paraId="58535A28" w14:textId="77777777" w:rsidR="00727BE6" w:rsidRPr="00347571" w:rsidRDefault="00727BE6" w:rsidP="00A034E3">
            <w:pPr>
              <w:widowControl w:val="0"/>
              <w:numPr>
                <w:ilvl w:val="0"/>
                <w:numId w:val="93"/>
              </w:numPr>
              <w:autoSpaceDE w:val="0"/>
              <w:autoSpaceDN w:val="0"/>
              <w:spacing w:after="0" w:line="240" w:lineRule="auto"/>
              <w:rPr>
                <w:rFonts w:ascii="Cambria" w:eastAsia="Cambria" w:hAnsi="Cambria" w:cs="Cambria"/>
                <w:lang w:val="hr-HR"/>
              </w:rPr>
            </w:pPr>
            <w:r w:rsidRPr="00DF4CE5">
              <w:rPr>
                <w:rFonts w:ascii="Cambria" w:eastAsia="Cambria" w:hAnsi="Cambria" w:cs="Cambria"/>
                <w:spacing w:val="-1"/>
                <w:lang w:val="hr-HR"/>
              </w:rPr>
              <w:t>predati</w:t>
            </w:r>
            <w:r w:rsidRPr="00DF4CE5">
              <w:rPr>
                <w:rFonts w:ascii="Cambria" w:eastAsia="Cambria" w:hAnsi="Cambria" w:cs="Cambria"/>
                <w:spacing w:val="-12"/>
                <w:lang w:val="hr-HR"/>
              </w:rPr>
              <w:t xml:space="preserve"> </w:t>
            </w:r>
            <w:r w:rsidRPr="00DF4CE5">
              <w:rPr>
                <w:rFonts w:ascii="Cambria" w:eastAsia="Cambria" w:hAnsi="Cambria" w:cs="Cambria"/>
                <w:spacing w:val="-1"/>
                <w:lang w:val="hr-HR"/>
              </w:rPr>
              <w:t>ovjerene</w:t>
            </w:r>
            <w:r w:rsidRPr="00DF4CE5">
              <w:rPr>
                <w:rFonts w:ascii="Cambria" w:eastAsia="Cambria" w:hAnsi="Cambria" w:cs="Cambria"/>
                <w:spacing w:val="-14"/>
                <w:lang w:val="hr-HR"/>
              </w:rPr>
              <w:t xml:space="preserve"> </w:t>
            </w:r>
            <w:r w:rsidRPr="00DF4CE5">
              <w:rPr>
                <w:rFonts w:ascii="Cambria" w:eastAsia="Cambria" w:hAnsi="Cambria" w:cs="Cambria"/>
                <w:spacing w:val="-1"/>
                <w:lang w:val="hr-HR"/>
              </w:rPr>
              <w:t>i</w:t>
            </w:r>
            <w:r w:rsidRPr="00DF4CE5">
              <w:rPr>
                <w:rFonts w:ascii="Cambria" w:eastAsia="Cambria" w:hAnsi="Cambria" w:cs="Cambria"/>
                <w:spacing w:val="-12"/>
                <w:lang w:val="hr-HR"/>
              </w:rPr>
              <w:t xml:space="preserve"> </w:t>
            </w:r>
            <w:r w:rsidRPr="00DF4CE5">
              <w:rPr>
                <w:rFonts w:ascii="Cambria" w:eastAsia="Cambria" w:hAnsi="Cambria" w:cs="Cambria"/>
                <w:spacing w:val="-1"/>
                <w:lang w:val="hr-HR"/>
              </w:rPr>
              <w:t>potpisane</w:t>
            </w:r>
            <w:r w:rsidRPr="00DF4CE5">
              <w:rPr>
                <w:rFonts w:ascii="Cambria" w:eastAsia="Cambria" w:hAnsi="Cambria" w:cs="Cambria"/>
                <w:spacing w:val="-12"/>
                <w:lang w:val="hr-HR"/>
              </w:rPr>
              <w:t xml:space="preserve"> </w:t>
            </w:r>
            <w:r w:rsidRPr="00DF4CE5">
              <w:rPr>
                <w:rFonts w:ascii="Cambria" w:eastAsia="Cambria" w:hAnsi="Cambria" w:cs="Cambria"/>
                <w:lang w:val="hr-HR"/>
              </w:rPr>
              <w:t>dokumente</w:t>
            </w:r>
            <w:r w:rsidRPr="00DF4CE5">
              <w:rPr>
                <w:rFonts w:ascii="Cambria" w:eastAsia="Cambria" w:hAnsi="Cambria" w:cs="Cambria"/>
                <w:spacing w:val="-12"/>
                <w:lang w:val="hr-HR"/>
              </w:rPr>
              <w:t xml:space="preserve"> </w:t>
            </w:r>
            <w:r w:rsidRPr="00DF4CE5">
              <w:rPr>
                <w:rFonts w:ascii="Cambria" w:eastAsia="Cambria" w:hAnsi="Cambria" w:cs="Cambria"/>
                <w:lang w:val="hr-HR"/>
              </w:rPr>
              <w:t>iz</w:t>
            </w:r>
            <w:r w:rsidRPr="00DF4CE5">
              <w:rPr>
                <w:rFonts w:ascii="Cambria" w:eastAsia="Cambria" w:hAnsi="Cambria" w:cs="Cambria"/>
                <w:spacing w:val="-13"/>
                <w:lang w:val="hr-HR"/>
              </w:rPr>
              <w:t xml:space="preserve"> </w:t>
            </w:r>
            <w:r w:rsidRPr="00DF4CE5">
              <w:rPr>
                <w:rFonts w:ascii="Cambria" w:eastAsia="Cambria" w:hAnsi="Cambria" w:cs="Cambria"/>
                <w:lang w:val="hr-HR"/>
              </w:rPr>
              <w:t>prethodnog</w:t>
            </w:r>
            <w:r w:rsidRPr="00DF4CE5">
              <w:rPr>
                <w:rFonts w:ascii="Cambria" w:eastAsia="Cambria" w:hAnsi="Cambria" w:cs="Cambria"/>
                <w:spacing w:val="-13"/>
                <w:lang w:val="hr-HR"/>
              </w:rPr>
              <w:t xml:space="preserve"> </w:t>
            </w:r>
            <w:r w:rsidRPr="00DF4CE5">
              <w:rPr>
                <w:rFonts w:ascii="Cambria" w:eastAsia="Cambria" w:hAnsi="Cambria" w:cs="Cambria"/>
                <w:lang w:val="hr-HR"/>
              </w:rPr>
              <w:t>stavka</w:t>
            </w:r>
            <w:r w:rsidRPr="00DF4CE5">
              <w:rPr>
                <w:rFonts w:ascii="Cambria" w:eastAsia="Cambria" w:hAnsi="Cambria" w:cs="Cambria"/>
                <w:spacing w:val="-51"/>
                <w:lang w:val="hr-HR"/>
              </w:rPr>
              <w:t xml:space="preserve"> </w:t>
            </w:r>
            <w:r w:rsidRPr="00DF4CE5">
              <w:rPr>
                <w:rFonts w:ascii="Cambria" w:eastAsia="Cambria" w:hAnsi="Cambria" w:cs="Cambria"/>
                <w:lang w:val="hr-HR"/>
              </w:rPr>
              <w:t>voditeljici stručne prakse na Fakultetu, najkasnije 15 dana</w:t>
            </w:r>
            <w:r w:rsidRPr="00DF4CE5">
              <w:rPr>
                <w:rFonts w:ascii="Cambria" w:eastAsia="Cambria" w:hAnsi="Cambria" w:cs="Cambria"/>
                <w:spacing w:val="1"/>
                <w:lang w:val="hr-HR"/>
              </w:rPr>
              <w:t xml:space="preserve"> </w:t>
            </w:r>
            <w:r w:rsidRPr="00DF4CE5">
              <w:rPr>
                <w:rFonts w:ascii="Cambria" w:eastAsia="Cambria" w:hAnsi="Cambria" w:cs="Cambria"/>
                <w:lang w:val="hr-HR"/>
              </w:rPr>
              <w:t>prije</w:t>
            </w:r>
            <w:r w:rsidRPr="00DF4CE5">
              <w:rPr>
                <w:rFonts w:ascii="Cambria" w:eastAsia="Cambria" w:hAnsi="Cambria" w:cs="Cambria"/>
                <w:spacing w:val="-1"/>
                <w:lang w:val="hr-HR"/>
              </w:rPr>
              <w:t xml:space="preserve"> </w:t>
            </w:r>
            <w:r w:rsidRPr="00DF4CE5">
              <w:rPr>
                <w:rFonts w:ascii="Cambria" w:eastAsia="Cambria" w:hAnsi="Cambria" w:cs="Cambria"/>
                <w:lang w:val="hr-HR"/>
              </w:rPr>
              <w:t>ispitnog</w:t>
            </w:r>
            <w:r w:rsidRPr="00DF4CE5">
              <w:rPr>
                <w:rFonts w:ascii="Cambria" w:eastAsia="Cambria" w:hAnsi="Cambria" w:cs="Cambria"/>
                <w:spacing w:val="-1"/>
                <w:lang w:val="hr-HR"/>
              </w:rPr>
              <w:t xml:space="preserve"> </w:t>
            </w:r>
            <w:r w:rsidRPr="00DF4CE5">
              <w:rPr>
                <w:rFonts w:ascii="Cambria" w:eastAsia="Cambria" w:hAnsi="Cambria" w:cs="Cambria"/>
                <w:lang w:val="hr-HR"/>
              </w:rPr>
              <w:t>roka.</w:t>
            </w:r>
          </w:p>
        </w:tc>
      </w:tr>
      <w:tr w:rsidR="00727BE6" w:rsidRPr="00D0399C" w14:paraId="2735E5D1" w14:textId="77777777" w:rsidTr="00450B7A">
        <w:tc>
          <w:tcPr>
            <w:tcW w:w="212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4ED1B6F" w14:textId="77777777" w:rsidR="00727BE6" w:rsidRPr="005C2363" w:rsidRDefault="00727BE6" w:rsidP="00450B7A">
            <w:pPr>
              <w:spacing w:after="0" w:line="240" w:lineRule="auto"/>
              <w:rPr>
                <w:rFonts w:ascii="Cambria" w:eastAsia="Times New Roman" w:hAnsi="Cambria" w:cs="Calibri"/>
                <w:lang w:val="hr-HR"/>
              </w:rPr>
            </w:pPr>
            <w:r w:rsidRPr="005C2363">
              <w:rPr>
                <w:rFonts w:ascii="Cambria" w:eastAsia="Times New Roman" w:hAnsi="Cambria" w:cs="Calibri"/>
                <w:lang w:val="hr-HR"/>
              </w:rPr>
              <w:t>Rokovi ispita i kolokvija</w:t>
            </w:r>
          </w:p>
        </w:tc>
        <w:tc>
          <w:tcPr>
            <w:tcW w:w="7220"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574257FA" w14:textId="77777777" w:rsidR="00727BE6" w:rsidRPr="00DF4CE5" w:rsidRDefault="00727BE6" w:rsidP="00450B7A">
            <w:pPr>
              <w:snapToGrid w:val="0"/>
              <w:spacing w:after="0" w:line="100" w:lineRule="atLeast"/>
              <w:jc w:val="both"/>
              <w:rPr>
                <w:rFonts w:ascii="Cambria" w:eastAsia="Times New Roman" w:hAnsi="Cambria" w:cs="Calibri"/>
                <w:lang w:val="hr-HR"/>
              </w:rPr>
            </w:pPr>
            <w:r w:rsidRPr="00347571">
              <w:rPr>
                <w:rFonts w:ascii="Cambria" w:eastAsia="Times New Roman" w:hAnsi="Cambria" w:cs="Calibri"/>
                <w:lang w:val="hr-HR"/>
              </w:rPr>
              <w:t>Rokovi ispita se objavljuju na početku akademske godine na mrežnim stranicama Sveučilišta i u ISVU sustavu.</w:t>
            </w:r>
          </w:p>
        </w:tc>
      </w:tr>
      <w:tr w:rsidR="00727BE6" w:rsidRPr="007D6972" w14:paraId="6D906EB8" w14:textId="77777777" w:rsidTr="00450B7A">
        <w:tc>
          <w:tcPr>
            <w:tcW w:w="212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9BE4E27" w14:textId="77777777" w:rsidR="00727BE6" w:rsidRPr="005C2363" w:rsidRDefault="00727BE6" w:rsidP="00450B7A">
            <w:pPr>
              <w:spacing w:after="0" w:line="240" w:lineRule="auto"/>
              <w:rPr>
                <w:rFonts w:ascii="Cambria" w:eastAsia="Times New Roman" w:hAnsi="Cambria" w:cs="Calibri"/>
                <w:lang w:val="hr-HR"/>
              </w:rPr>
            </w:pPr>
            <w:r w:rsidRPr="005C2363">
              <w:rPr>
                <w:rFonts w:ascii="Cambria" w:eastAsia="Times New Roman" w:hAnsi="Cambria" w:cs="Calibri"/>
                <w:lang w:val="hr-HR"/>
              </w:rPr>
              <w:t>Ostale važne činjenice vezane uz kolegij</w:t>
            </w:r>
          </w:p>
        </w:tc>
        <w:tc>
          <w:tcPr>
            <w:tcW w:w="7220"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4C91617" w14:textId="77777777" w:rsidR="00727BE6" w:rsidRPr="00347571" w:rsidRDefault="00727BE6" w:rsidP="00450B7A">
            <w:pPr>
              <w:snapToGrid w:val="0"/>
              <w:spacing w:after="0" w:line="240" w:lineRule="auto"/>
              <w:jc w:val="both"/>
              <w:rPr>
                <w:rFonts w:ascii="Cambria" w:eastAsia="Times New Roman" w:hAnsi="Cambria" w:cs="Calibri"/>
                <w:lang w:val="hr-HR"/>
              </w:rPr>
            </w:pPr>
            <w:r w:rsidRPr="00347571">
              <w:rPr>
                <w:rFonts w:ascii="Cambria" w:eastAsia="Times New Roman" w:hAnsi="Cambria" w:cs="Calibri"/>
                <w:lang w:val="hr-HR"/>
              </w:rPr>
              <w:t>Materijali i upute potrebne za stručnu praksu objavljuju se na portalu za e-učenje istoimenoga kolegija. Studenti/</w:t>
            </w:r>
            <w:proofErr w:type="spellStart"/>
            <w:r w:rsidRPr="00347571">
              <w:rPr>
                <w:rFonts w:ascii="Cambria" w:eastAsia="Times New Roman" w:hAnsi="Cambria" w:cs="Calibri"/>
                <w:lang w:val="hr-HR"/>
              </w:rPr>
              <w:t>ce</w:t>
            </w:r>
            <w:proofErr w:type="spellEnd"/>
            <w:r w:rsidRPr="00347571">
              <w:rPr>
                <w:rFonts w:ascii="Cambria" w:eastAsia="Times New Roman" w:hAnsi="Cambria" w:cs="Calibri"/>
                <w:lang w:val="hr-HR"/>
              </w:rPr>
              <w:t xml:space="preserve"> su dužni pratiti obavijesti koje će voditelj stručne prakse objavljivati na e- kolegiju.</w:t>
            </w:r>
          </w:p>
          <w:p w14:paraId="61616E15" w14:textId="77777777" w:rsidR="00727BE6" w:rsidRPr="00347571" w:rsidRDefault="00727BE6" w:rsidP="00450B7A">
            <w:pPr>
              <w:snapToGrid w:val="0"/>
              <w:spacing w:after="0" w:line="240" w:lineRule="auto"/>
              <w:jc w:val="both"/>
              <w:rPr>
                <w:rFonts w:ascii="Cambria" w:eastAsia="Times New Roman" w:hAnsi="Cambria" w:cs="Calibri"/>
                <w:lang w:val="hr-HR"/>
              </w:rPr>
            </w:pPr>
            <w:r w:rsidRPr="00347571">
              <w:rPr>
                <w:rFonts w:ascii="Cambria" w:eastAsia="Times New Roman" w:hAnsi="Cambria" w:cs="Calibri"/>
                <w:lang w:val="hr-HR"/>
              </w:rPr>
              <w:t>U slučaju održavanja nastave na daljinu, moguće je odstupanje u:</w:t>
            </w:r>
          </w:p>
          <w:p w14:paraId="71C91409" w14:textId="77777777" w:rsidR="00727BE6" w:rsidRPr="00347571" w:rsidRDefault="00727BE6" w:rsidP="00450B7A">
            <w:pPr>
              <w:snapToGrid w:val="0"/>
              <w:spacing w:after="0" w:line="240" w:lineRule="auto"/>
              <w:jc w:val="both"/>
              <w:rPr>
                <w:rFonts w:ascii="Cambria" w:eastAsia="Times New Roman" w:hAnsi="Cambria" w:cs="Calibri"/>
                <w:lang w:val="hr-HR"/>
              </w:rPr>
            </w:pPr>
            <w:r w:rsidRPr="00347571">
              <w:rPr>
                <w:rFonts w:ascii="Cambria" w:eastAsia="Times New Roman" w:hAnsi="Cambria" w:cs="Calibri"/>
                <w:lang w:val="hr-HR"/>
              </w:rPr>
              <w:t>- mjestu izvođenja kolegija</w:t>
            </w:r>
          </w:p>
          <w:p w14:paraId="4A129980" w14:textId="77777777" w:rsidR="00727BE6" w:rsidRPr="00347571" w:rsidRDefault="00727BE6" w:rsidP="00450B7A">
            <w:pPr>
              <w:snapToGrid w:val="0"/>
              <w:spacing w:after="0" w:line="240" w:lineRule="auto"/>
              <w:jc w:val="both"/>
              <w:rPr>
                <w:rFonts w:ascii="Cambria" w:eastAsia="Times New Roman" w:hAnsi="Cambria" w:cs="Calibri"/>
                <w:lang w:val="hr-HR"/>
              </w:rPr>
            </w:pPr>
            <w:r w:rsidRPr="00347571">
              <w:rPr>
                <w:rFonts w:ascii="Cambria" w:eastAsia="Times New Roman" w:hAnsi="Cambria" w:cs="Calibri"/>
                <w:lang w:val="hr-HR"/>
              </w:rPr>
              <w:lastRenderedPageBreak/>
              <w:t>- provedbi aktivnosti, metodama tumačenja i poučavanja i načinima vrednovanja</w:t>
            </w:r>
          </w:p>
          <w:p w14:paraId="4697A3A2" w14:textId="77777777" w:rsidR="00727BE6" w:rsidRPr="00347571" w:rsidRDefault="00727BE6" w:rsidP="00450B7A">
            <w:pPr>
              <w:snapToGrid w:val="0"/>
              <w:spacing w:after="0" w:line="240" w:lineRule="auto"/>
              <w:jc w:val="both"/>
              <w:rPr>
                <w:rFonts w:ascii="Cambria" w:eastAsia="Times New Roman" w:hAnsi="Cambria" w:cs="Calibri"/>
                <w:lang w:val="hr-HR"/>
              </w:rPr>
            </w:pPr>
            <w:r w:rsidRPr="00347571">
              <w:rPr>
                <w:rFonts w:ascii="Cambria" w:eastAsia="Times New Roman" w:hAnsi="Cambria" w:cs="Calibri"/>
                <w:lang w:val="hr-HR"/>
              </w:rPr>
              <w:t>- studentskim obvezama</w:t>
            </w:r>
          </w:p>
          <w:p w14:paraId="426D596A" w14:textId="77777777" w:rsidR="00727BE6" w:rsidRPr="00347571" w:rsidRDefault="00727BE6" w:rsidP="00450B7A">
            <w:pPr>
              <w:snapToGrid w:val="0"/>
              <w:spacing w:after="0" w:line="240" w:lineRule="auto"/>
              <w:jc w:val="both"/>
              <w:rPr>
                <w:rFonts w:ascii="Cambria" w:eastAsia="Times New Roman" w:hAnsi="Cambria" w:cs="Calibri"/>
                <w:lang w:val="hr-HR"/>
              </w:rPr>
            </w:pPr>
            <w:r w:rsidRPr="00347571">
              <w:rPr>
                <w:rFonts w:ascii="Cambria" w:eastAsia="Times New Roman" w:hAnsi="Cambria" w:cs="Calibri"/>
                <w:lang w:val="hr-HR"/>
              </w:rPr>
              <w:t>- dostupnoj literaturi.</w:t>
            </w:r>
          </w:p>
          <w:p w14:paraId="780C0FFF" w14:textId="77777777" w:rsidR="00727BE6" w:rsidRPr="00347571" w:rsidRDefault="00727BE6" w:rsidP="00450B7A">
            <w:pPr>
              <w:snapToGrid w:val="0"/>
              <w:spacing w:after="0" w:line="240" w:lineRule="auto"/>
              <w:jc w:val="both"/>
              <w:rPr>
                <w:rFonts w:ascii="Cambria" w:eastAsia="Times New Roman" w:hAnsi="Cambria" w:cs="Calibri"/>
                <w:lang w:val="hr-HR"/>
              </w:rPr>
            </w:pPr>
            <w:r w:rsidRPr="00347571">
              <w:rPr>
                <w:rFonts w:ascii="Cambria" w:eastAsia="Times New Roman" w:hAnsi="Cambria" w:cs="Calibri"/>
                <w:lang w:val="hr-HR"/>
              </w:rPr>
              <w:t>O tome će nositeljica kolegija obavijestiti studente i studentice kad se nastava na daljinu počne održavati.</w:t>
            </w:r>
          </w:p>
          <w:p w14:paraId="01CE9756" w14:textId="77777777" w:rsidR="00727BE6" w:rsidRPr="00DF4CE5" w:rsidRDefault="00727BE6" w:rsidP="00450B7A">
            <w:pPr>
              <w:snapToGrid w:val="0"/>
              <w:spacing w:after="0" w:line="240" w:lineRule="auto"/>
              <w:jc w:val="both"/>
              <w:rPr>
                <w:rFonts w:ascii="Cambria" w:eastAsia="Times New Roman" w:hAnsi="Cambria" w:cs="Calibri"/>
                <w:lang w:val="hr-HR"/>
              </w:rPr>
            </w:pPr>
            <w:r w:rsidRPr="00347571">
              <w:rPr>
                <w:rFonts w:ascii="Cambria" w:eastAsia="Times New Roman" w:hAnsi="Cambria" w:cs="Calibri"/>
                <w:lang w:val="hr-HR"/>
              </w:rPr>
              <w:t>Ishodi učenja ostaju nepromijenjeni.</w:t>
            </w:r>
          </w:p>
        </w:tc>
      </w:tr>
      <w:tr w:rsidR="00727BE6" w:rsidRPr="005C2363" w14:paraId="78BA9081" w14:textId="77777777" w:rsidTr="00450B7A">
        <w:tc>
          <w:tcPr>
            <w:tcW w:w="212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8F476B1" w14:textId="77777777" w:rsidR="00727BE6" w:rsidRPr="005C2363" w:rsidRDefault="00727BE6" w:rsidP="00450B7A">
            <w:pPr>
              <w:spacing w:after="0" w:line="240" w:lineRule="auto"/>
              <w:rPr>
                <w:rFonts w:ascii="Cambria" w:eastAsia="Times New Roman" w:hAnsi="Cambria" w:cs="Calibri"/>
                <w:lang w:val="hr-HR"/>
              </w:rPr>
            </w:pPr>
            <w:r>
              <w:rPr>
                <w:rFonts w:ascii="Cambria" w:eastAsia="Times New Roman" w:hAnsi="Cambria" w:cs="Calibri"/>
                <w:lang w:val="hr-HR"/>
              </w:rPr>
              <w:lastRenderedPageBreak/>
              <w:t>Literatura</w:t>
            </w:r>
          </w:p>
        </w:tc>
        <w:tc>
          <w:tcPr>
            <w:tcW w:w="7220"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57A39CC" w14:textId="77777777" w:rsidR="00727BE6" w:rsidRPr="00347571" w:rsidRDefault="00727BE6" w:rsidP="00450B7A">
            <w:pPr>
              <w:snapToGrid w:val="0"/>
              <w:spacing w:after="0" w:line="240" w:lineRule="auto"/>
              <w:jc w:val="both"/>
              <w:rPr>
                <w:rFonts w:ascii="Cambria" w:eastAsia="Times New Roman" w:hAnsi="Cambria" w:cs="Calibri"/>
                <w:lang w:val="hr-HR"/>
              </w:rPr>
            </w:pPr>
            <w:r w:rsidRPr="00347571">
              <w:rPr>
                <w:rFonts w:ascii="Cambria" w:eastAsia="Times New Roman" w:hAnsi="Cambria" w:cs="Calibri"/>
                <w:lang w:val="hr-HR"/>
              </w:rPr>
              <w:t>Obvezna:</w:t>
            </w:r>
          </w:p>
          <w:p w14:paraId="2D080441" w14:textId="77777777" w:rsidR="00727BE6" w:rsidRPr="00347571" w:rsidRDefault="00727BE6" w:rsidP="00450B7A">
            <w:pPr>
              <w:snapToGrid w:val="0"/>
              <w:spacing w:after="0" w:line="240" w:lineRule="auto"/>
              <w:jc w:val="both"/>
              <w:rPr>
                <w:rFonts w:ascii="Cambria" w:eastAsia="Times New Roman" w:hAnsi="Cambria" w:cs="Calibri"/>
                <w:lang w:val="hr-HR"/>
              </w:rPr>
            </w:pPr>
            <w:r w:rsidRPr="00347571">
              <w:rPr>
                <w:rFonts w:ascii="Cambria" w:eastAsia="Times New Roman" w:hAnsi="Cambria" w:cs="Calibri"/>
                <w:lang w:val="hr-HR"/>
              </w:rPr>
              <w:t>1.</w:t>
            </w:r>
            <w:r>
              <w:rPr>
                <w:rFonts w:ascii="Cambria" w:eastAsia="Times New Roman" w:hAnsi="Cambria" w:cs="Calibri"/>
                <w:lang w:val="hr-HR"/>
              </w:rPr>
              <w:t xml:space="preserve"> </w:t>
            </w:r>
            <w:proofErr w:type="spellStart"/>
            <w:r w:rsidRPr="00347571">
              <w:rPr>
                <w:rFonts w:ascii="Cambria" w:eastAsia="Times New Roman" w:hAnsi="Cambria" w:cs="Calibri"/>
                <w:lang w:val="hr-HR"/>
              </w:rPr>
              <w:t>Hechler</w:t>
            </w:r>
            <w:proofErr w:type="spellEnd"/>
            <w:r w:rsidRPr="00347571">
              <w:rPr>
                <w:rFonts w:ascii="Cambria" w:eastAsia="Times New Roman" w:hAnsi="Cambria" w:cs="Calibri"/>
                <w:lang w:val="hr-HR"/>
              </w:rPr>
              <w:t>, O. (2010). Pedagoško savjetovanje. Zagreb: Erudita.</w:t>
            </w:r>
          </w:p>
          <w:p w14:paraId="2797ED7C" w14:textId="77777777" w:rsidR="00727BE6" w:rsidRPr="00347571" w:rsidRDefault="00727BE6" w:rsidP="00450B7A">
            <w:pPr>
              <w:snapToGrid w:val="0"/>
              <w:spacing w:after="0" w:line="240" w:lineRule="auto"/>
              <w:jc w:val="both"/>
              <w:rPr>
                <w:rFonts w:ascii="Cambria" w:eastAsia="Times New Roman" w:hAnsi="Cambria" w:cs="Calibri"/>
                <w:lang w:val="hr-HR"/>
              </w:rPr>
            </w:pPr>
            <w:r w:rsidRPr="00347571">
              <w:rPr>
                <w:rFonts w:ascii="Cambria" w:eastAsia="Times New Roman" w:hAnsi="Cambria" w:cs="Calibri"/>
                <w:lang w:val="hr-HR"/>
              </w:rPr>
              <w:t>2</w:t>
            </w:r>
            <w:r>
              <w:rPr>
                <w:rFonts w:ascii="Cambria" w:eastAsia="Times New Roman" w:hAnsi="Cambria" w:cs="Calibri"/>
                <w:lang w:val="hr-HR"/>
              </w:rPr>
              <w:t xml:space="preserve">. </w:t>
            </w:r>
            <w:r w:rsidRPr="00347571">
              <w:rPr>
                <w:rFonts w:ascii="Cambria" w:eastAsia="Times New Roman" w:hAnsi="Cambria" w:cs="Calibri"/>
                <w:lang w:val="hr-HR"/>
              </w:rPr>
              <w:t xml:space="preserve">Jakovac, T., </w:t>
            </w:r>
            <w:proofErr w:type="spellStart"/>
            <w:r w:rsidRPr="00347571">
              <w:rPr>
                <w:rFonts w:ascii="Cambria" w:eastAsia="Times New Roman" w:hAnsi="Cambria" w:cs="Calibri"/>
                <w:lang w:val="hr-HR"/>
              </w:rPr>
              <w:t>Petelin</w:t>
            </w:r>
            <w:proofErr w:type="spellEnd"/>
            <w:r w:rsidRPr="00347571">
              <w:rPr>
                <w:rFonts w:ascii="Cambria" w:eastAsia="Times New Roman" w:hAnsi="Cambria" w:cs="Calibri"/>
                <w:lang w:val="hr-HR"/>
              </w:rPr>
              <w:t xml:space="preserve">, K., </w:t>
            </w:r>
            <w:proofErr w:type="spellStart"/>
            <w:r w:rsidRPr="00347571">
              <w:rPr>
                <w:rFonts w:ascii="Cambria" w:eastAsia="Times New Roman" w:hAnsi="Cambria" w:cs="Calibri"/>
                <w:lang w:val="hr-HR"/>
              </w:rPr>
              <w:t>Možgon</w:t>
            </w:r>
            <w:proofErr w:type="spellEnd"/>
            <w:r w:rsidRPr="00347571">
              <w:rPr>
                <w:rFonts w:ascii="Cambria" w:eastAsia="Times New Roman" w:hAnsi="Cambria" w:cs="Calibri"/>
                <w:lang w:val="hr-HR"/>
              </w:rPr>
              <w:t xml:space="preserve"> </w:t>
            </w:r>
            <w:proofErr w:type="spellStart"/>
            <w:r w:rsidRPr="00347571">
              <w:rPr>
                <w:rFonts w:ascii="Cambria" w:eastAsia="Times New Roman" w:hAnsi="Cambria" w:cs="Calibri"/>
                <w:lang w:val="hr-HR"/>
              </w:rPr>
              <w:t>Kauzlarić</w:t>
            </w:r>
            <w:proofErr w:type="spellEnd"/>
            <w:r w:rsidRPr="00347571">
              <w:rPr>
                <w:rFonts w:ascii="Cambria" w:eastAsia="Times New Roman" w:hAnsi="Cambria" w:cs="Calibri"/>
                <w:lang w:val="hr-HR"/>
              </w:rPr>
              <w:t xml:space="preserve">, N., </w:t>
            </w:r>
            <w:proofErr w:type="spellStart"/>
            <w:r w:rsidRPr="00347571">
              <w:rPr>
                <w:rFonts w:ascii="Cambria" w:eastAsia="Times New Roman" w:hAnsi="Cambria" w:cs="Calibri"/>
                <w:lang w:val="hr-HR"/>
              </w:rPr>
              <w:t>Šimičić</w:t>
            </w:r>
            <w:proofErr w:type="spellEnd"/>
            <w:r w:rsidRPr="00347571">
              <w:rPr>
                <w:rFonts w:ascii="Cambria" w:eastAsia="Times New Roman" w:hAnsi="Cambria" w:cs="Calibri"/>
                <w:lang w:val="hr-HR"/>
              </w:rPr>
              <w:t xml:space="preserve">, I., Bajt </w:t>
            </w:r>
            <w:proofErr w:type="spellStart"/>
            <w:r w:rsidRPr="00347571">
              <w:rPr>
                <w:rFonts w:ascii="Cambria" w:eastAsia="Times New Roman" w:hAnsi="Cambria" w:cs="Calibri"/>
                <w:lang w:val="hr-HR"/>
              </w:rPr>
              <w:t>Stepić</w:t>
            </w:r>
            <w:proofErr w:type="spellEnd"/>
            <w:r w:rsidRPr="00347571">
              <w:rPr>
                <w:rFonts w:ascii="Cambria" w:eastAsia="Times New Roman" w:hAnsi="Cambria" w:cs="Calibri"/>
                <w:lang w:val="hr-HR"/>
              </w:rPr>
              <w:t>, M. (2014). Priručnik pedagoške dokumentacije: za učitelje i pedagoge [</w:t>
            </w:r>
            <w:proofErr w:type="spellStart"/>
            <w:r w:rsidRPr="00347571">
              <w:rPr>
                <w:rFonts w:ascii="Cambria" w:eastAsia="Times New Roman" w:hAnsi="Cambria" w:cs="Calibri"/>
                <w:lang w:val="hr-HR"/>
              </w:rPr>
              <w:t>Handbook</w:t>
            </w:r>
            <w:proofErr w:type="spellEnd"/>
            <w:r w:rsidRPr="00347571">
              <w:rPr>
                <w:rFonts w:ascii="Cambria" w:eastAsia="Times New Roman" w:hAnsi="Cambria" w:cs="Calibri"/>
                <w:lang w:val="hr-HR"/>
              </w:rPr>
              <w:t xml:space="preserve"> </w:t>
            </w:r>
            <w:proofErr w:type="spellStart"/>
            <w:r w:rsidRPr="00347571">
              <w:rPr>
                <w:rFonts w:ascii="Cambria" w:eastAsia="Times New Roman" w:hAnsi="Cambria" w:cs="Calibri"/>
                <w:lang w:val="hr-HR"/>
              </w:rPr>
              <w:t>of</w:t>
            </w:r>
            <w:proofErr w:type="spellEnd"/>
            <w:r w:rsidRPr="00347571">
              <w:rPr>
                <w:rFonts w:ascii="Cambria" w:eastAsia="Times New Roman" w:hAnsi="Cambria" w:cs="Calibri"/>
                <w:lang w:val="hr-HR"/>
              </w:rPr>
              <w:t xml:space="preserve"> </w:t>
            </w:r>
            <w:proofErr w:type="spellStart"/>
            <w:r w:rsidRPr="00347571">
              <w:rPr>
                <w:rFonts w:ascii="Cambria" w:eastAsia="Times New Roman" w:hAnsi="Cambria" w:cs="Calibri"/>
                <w:lang w:val="hr-HR"/>
              </w:rPr>
              <w:t>pedagogical</w:t>
            </w:r>
            <w:proofErr w:type="spellEnd"/>
            <w:r w:rsidRPr="00347571">
              <w:rPr>
                <w:rFonts w:ascii="Cambria" w:eastAsia="Times New Roman" w:hAnsi="Cambria" w:cs="Calibri"/>
                <w:lang w:val="hr-HR"/>
              </w:rPr>
              <w:t xml:space="preserve"> </w:t>
            </w:r>
            <w:proofErr w:type="spellStart"/>
            <w:r w:rsidRPr="00347571">
              <w:rPr>
                <w:rFonts w:ascii="Cambria" w:eastAsia="Times New Roman" w:hAnsi="Cambria" w:cs="Calibri"/>
                <w:lang w:val="hr-HR"/>
              </w:rPr>
              <w:t>documentation</w:t>
            </w:r>
            <w:proofErr w:type="spellEnd"/>
            <w:r w:rsidRPr="00347571">
              <w:rPr>
                <w:rFonts w:ascii="Cambria" w:eastAsia="Times New Roman" w:hAnsi="Cambria" w:cs="Calibri"/>
                <w:lang w:val="hr-HR"/>
              </w:rPr>
              <w:t xml:space="preserve">: for </w:t>
            </w:r>
            <w:proofErr w:type="spellStart"/>
            <w:r w:rsidRPr="00347571">
              <w:rPr>
                <w:rFonts w:ascii="Cambria" w:eastAsia="Times New Roman" w:hAnsi="Cambria" w:cs="Calibri"/>
                <w:lang w:val="hr-HR"/>
              </w:rPr>
              <w:t>teachers</w:t>
            </w:r>
            <w:proofErr w:type="spellEnd"/>
            <w:r w:rsidRPr="00347571">
              <w:rPr>
                <w:rFonts w:ascii="Cambria" w:eastAsia="Times New Roman" w:hAnsi="Cambria" w:cs="Calibri"/>
                <w:lang w:val="hr-HR"/>
              </w:rPr>
              <w:t xml:space="preserve"> </w:t>
            </w:r>
            <w:proofErr w:type="spellStart"/>
            <w:r w:rsidRPr="00347571">
              <w:rPr>
                <w:rFonts w:ascii="Cambria" w:eastAsia="Times New Roman" w:hAnsi="Cambria" w:cs="Calibri"/>
                <w:lang w:val="hr-HR"/>
              </w:rPr>
              <w:t>and</w:t>
            </w:r>
            <w:proofErr w:type="spellEnd"/>
            <w:r w:rsidRPr="00347571">
              <w:rPr>
                <w:rFonts w:ascii="Cambria" w:eastAsia="Times New Roman" w:hAnsi="Cambria" w:cs="Calibri"/>
                <w:lang w:val="hr-HR"/>
              </w:rPr>
              <w:t xml:space="preserve"> </w:t>
            </w:r>
            <w:proofErr w:type="spellStart"/>
            <w:r w:rsidRPr="00347571">
              <w:rPr>
                <w:rFonts w:ascii="Cambria" w:eastAsia="Times New Roman" w:hAnsi="Cambria" w:cs="Calibri"/>
                <w:lang w:val="hr-HR"/>
              </w:rPr>
              <w:t>pedagogues</w:t>
            </w:r>
            <w:proofErr w:type="spellEnd"/>
            <w:r w:rsidRPr="00347571">
              <w:rPr>
                <w:rFonts w:ascii="Cambria" w:eastAsia="Times New Roman" w:hAnsi="Cambria" w:cs="Calibri"/>
                <w:lang w:val="hr-HR"/>
              </w:rPr>
              <w:t>]. Zagreb: Naklada Ljevak.</w:t>
            </w:r>
          </w:p>
          <w:p w14:paraId="0A7E668C" w14:textId="77777777" w:rsidR="00727BE6" w:rsidRPr="00347571" w:rsidRDefault="00727BE6" w:rsidP="00450B7A">
            <w:pPr>
              <w:snapToGrid w:val="0"/>
              <w:spacing w:after="0" w:line="240" w:lineRule="auto"/>
              <w:jc w:val="both"/>
              <w:rPr>
                <w:rFonts w:ascii="Cambria" w:eastAsia="Times New Roman" w:hAnsi="Cambria" w:cs="Calibri"/>
                <w:lang w:val="hr-HR"/>
              </w:rPr>
            </w:pPr>
            <w:r w:rsidRPr="00347571">
              <w:rPr>
                <w:rFonts w:ascii="Cambria" w:eastAsia="Times New Roman" w:hAnsi="Cambria" w:cs="Calibri"/>
                <w:lang w:val="hr-HR"/>
              </w:rPr>
              <w:t>3</w:t>
            </w:r>
            <w:r>
              <w:rPr>
                <w:rFonts w:ascii="Cambria" w:eastAsia="Times New Roman" w:hAnsi="Cambria" w:cs="Calibri"/>
                <w:lang w:val="hr-HR"/>
              </w:rPr>
              <w:t xml:space="preserve">. </w:t>
            </w:r>
            <w:proofErr w:type="spellStart"/>
            <w:r w:rsidRPr="00347571">
              <w:rPr>
                <w:rFonts w:ascii="Cambria" w:eastAsia="Times New Roman" w:hAnsi="Cambria" w:cs="Calibri"/>
                <w:lang w:val="hr-HR"/>
              </w:rPr>
              <w:t>Kadum</w:t>
            </w:r>
            <w:proofErr w:type="spellEnd"/>
            <w:r w:rsidRPr="00347571">
              <w:rPr>
                <w:rFonts w:ascii="Cambria" w:eastAsia="Times New Roman" w:hAnsi="Cambria" w:cs="Calibri"/>
                <w:lang w:val="hr-HR"/>
              </w:rPr>
              <w:t>, S., Šuvar, V., Tomić, R.  (2020). Školska pedagogija. Pula: Sveučilište Jurja Dobrile, Fakultet za odgojne o obrazovne znanosti.</w:t>
            </w:r>
          </w:p>
          <w:p w14:paraId="2E30BAB0" w14:textId="77777777" w:rsidR="00727BE6" w:rsidRPr="00347571" w:rsidRDefault="00727BE6" w:rsidP="00450B7A">
            <w:pPr>
              <w:snapToGrid w:val="0"/>
              <w:spacing w:after="0" w:line="240" w:lineRule="auto"/>
              <w:jc w:val="both"/>
              <w:rPr>
                <w:rFonts w:ascii="Cambria" w:eastAsia="Times New Roman" w:hAnsi="Cambria" w:cs="Calibri"/>
                <w:lang w:val="hr-HR"/>
              </w:rPr>
            </w:pPr>
            <w:r w:rsidRPr="00347571">
              <w:rPr>
                <w:rFonts w:ascii="Cambria" w:eastAsia="Times New Roman" w:hAnsi="Cambria" w:cs="Calibri"/>
                <w:lang w:val="hr-HR"/>
              </w:rPr>
              <w:t>4.</w:t>
            </w:r>
            <w:r>
              <w:rPr>
                <w:rFonts w:ascii="Cambria" w:eastAsia="Times New Roman" w:hAnsi="Cambria" w:cs="Calibri"/>
                <w:lang w:val="hr-HR"/>
              </w:rPr>
              <w:t xml:space="preserve"> </w:t>
            </w:r>
            <w:r w:rsidRPr="00347571">
              <w:rPr>
                <w:rFonts w:ascii="Cambria" w:eastAsia="Times New Roman" w:hAnsi="Cambria" w:cs="Calibri"/>
                <w:lang w:val="hr-HR"/>
              </w:rPr>
              <w:t>Matijević, M. (2017). Nastava i škola za net-generacije. Zagreb: Učiteljski fakultet sveučilišta u Zagrebu.</w:t>
            </w:r>
          </w:p>
          <w:p w14:paraId="1E76C3C3" w14:textId="77777777" w:rsidR="00727BE6" w:rsidRPr="00347571" w:rsidRDefault="00727BE6" w:rsidP="00450B7A">
            <w:pPr>
              <w:snapToGrid w:val="0"/>
              <w:spacing w:after="0" w:line="240" w:lineRule="auto"/>
              <w:jc w:val="both"/>
              <w:rPr>
                <w:rFonts w:ascii="Cambria" w:eastAsia="Times New Roman" w:hAnsi="Cambria" w:cs="Calibri"/>
                <w:lang w:val="hr-HR"/>
              </w:rPr>
            </w:pPr>
            <w:r w:rsidRPr="00347571">
              <w:rPr>
                <w:rFonts w:ascii="Cambria" w:eastAsia="Times New Roman" w:hAnsi="Cambria" w:cs="Calibri"/>
                <w:lang w:val="hr-HR"/>
              </w:rPr>
              <w:t>5.</w:t>
            </w:r>
            <w:r>
              <w:rPr>
                <w:rFonts w:ascii="Cambria" w:eastAsia="Times New Roman" w:hAnsi="Cambria" w:cs="Calibri"/>
                <w:lang w:val="hr-HR"/>
              </w:rPr>
              <w:t xml:space="preserve"> </w:t>
            </w:r>
            <w:r w:rsidRPr="00347571">
              <w:rPr>
                <w:rFonts w:ascii="Cambria" w:eastAsia="Times New Roman" w:hAnsi="Cambria" w:cs="Calibri"/>
                <w:lang w:val="hr-HR"/>
              </w:rPr>
              <w:t>Meyer, H. (2002), Didaktika razredne kvake. Zagreb: Educa.</w:t>
            </w:r>
          </w:p>
          <w:p w14:paraId="4D40D0CD" w14:textId="77777777" w:rsidR="00727BE6" w:rsidRPr="00347571" w:rsidRDefault="00727BE6" w:rsidP="00450B7A">
            <w:pPr>
              <w:snapToGrid w:val="0"/>
              <w:spacing w:after="0" w:line="240" w:lineRule="auto"/>
              <w:jc w:val="both"/>
              <w:rPr>
                <w:rFonts w:ascii="Cambria" w:eastAsia="Times New Roman" w:hAnsi="Cambria" w:cs="Calibri"/>
                <w:lang w:val="hr-HR"/>
              </w:rPr>
            </w:pPr>
            <w:r w:rsidRPr="00347571">
              <w:rPr>
                <w:rFonts w:ascii="Cambria" w:eastAsia="Times New Roman" w:hAnsi="Cambria" w:cs="Calibri"/>
                <w:lang w:val="hr-HR"/>
              </w:rPr>
              <w:t>6.</w:t>
            </w:r>
            <w:r>
              <w:rPr>
                <w:rFonts w:ascii="Cambria" w:eastAsia="Times New Roman" w:hAnsi="Cambria" w:cs="Calibri"/>
                <w:lang w:val="hr-HR"/>
              </w:rPr>
              <w:t xml:space="preserve"> </w:t>
            </w:r>
            <w:r w:rsidRPr="00347571">
              <w:rPr>
                <w:rFonts w:ascii="Cambria" w:eastAsia="Times New Roman" w:hAnsi="Cambria" w:cs="Calibri"/>
                <w:lang w:val="hr-HR"/>
              </w:rPr>
              <w:t xml:space="preserve">Rosandić, D. (2002). Od slova do teksta i </w:t>
            </w:r>
            <w:proofErr w:type="spellStart"/>
            <w:r w:rsidRPr="00347571">
              <w:rPr>
                <w:rFonts w:ascii="Cambria" w:eastAsia="Times New Roman" w:hAnsi="Cambria" w:cs="Calibri"/>
                <w:lang w:val="hr-HR"/>
              </w:rPr>
              <w:t>metateksta</w:t>
            </w:r>
            <w:proofErr w:type="spellEnd"/>
            <w:r w:rsidRPr="00347571">
              <w:rPr>
                <w:rFonts w:ascii="Cambria" w:eastAsia="Times New Roman" w:hAnsi="Cambria" w:cs="Calibri"/>
                <w:lang w:val="hr-HR"/>
              </w:rPr>
              <w:t>. Zagreb: Bilten Zavoda za školstvo.</w:t>
            </w:r>
          </w:p>
          <w:p w14:paraId="4A9734D2" w14:textId="77777777" w:rsidR="00727BE6" w:rsidRPr="00347571" w:rsidRDefault="00727BE6" w:rsidP="00450B7A">
            <w:pPr>
              <w:snapToGrid w:val="0"/>
              <w:spacing w:after="0" w:line="240" w:lineRule="auto"/>
              <w:jc w:val="both"/>
              <w:rPr>
                <w:rFonts w:ascii="Cambria" w:eastAsia="Times New Roman" w:hAnsi="Cambria" w:cs="Calibri"/>
                <w:lang w:val="hr-HR"/>
              </w:rPr>
            </w:pPr>
            <w:r w:rsidRPr="00347571">
              <w:rPr>
                <w:rFonts w:ascii="Cambria" w:eastAsia="Times New Roman" w:hAnsi="Cambria" w:cs="Calibri"/>
                <w:lang w:val="hr-HR"/>
              </w:rPr>
              <w:t>Izborna:</w:t>
            </w:r>
          </w:p>
          <w:p w14:paraId="25D228CB" w14:textId="77777777" w:rsidR="00727BE6" w:rsidRPr="00347571" w:rsidRDefault="00727BE6" w:rsidP="00450B7A">
            <w:pPr>
              <w:snapToGrid w:val="0"/>
              <w:spacing w:after="0" w:line="240" w:lineRule="auto"/>
              <w:jc w:val="both"/>
              <w:rPr>
                <w:rFonts w:ascii="Cambria" w:eastAsia="Times New Roman" w:hAnsi="Cambria" w:cs="Calibri"/>
                <w:lang w:val="hr-HR"/>
              </w:rPr>
            </w:pPr>
            <w:r>
              <w:rPr>
                <w:rFonts w:ascii="Cambria" w:eastAsia="Times New Roman" w:hAnsi="Cambria" w:cs="Calibri"/>
                <w:lang w:val="hr-HR"/>
              </w:rPr>
              <w:t>1</w:t>
            </w:r>
            <w:r w:rsidRPr="00347571">
              <w:rPr>
                <w:rFonts w:ascii="Cambria" w:eastAsia="Times New Roman" w:hAnsi="Cambria" w:cs="Calibri"/>
                <w:lang w:val="hr-HR"/>
              </w:rPr>
              <w:t>.</w:t>
            </w:r>
            <w:r>
              <w:rPr>
                <w:rFonts w:ascii="Cambria" w:eastAsia="Times New Roman" w:hAnsi="Cambria" w:cs="Calibri"/>
                <w:lang w:val="hr-HR"/>
              </w:rPr>
              <w:t xml:space="preserve"> </w:t>
            </w:r>
            <w:proofErr w:type="spellStart"/>
            <w:r w:rsidRPr="00347571">
              <w:rPr>
                <w:rFonts w:ascii="Cambria" w:eastAsia="Times New Roman" w:hAnsi="Cambria" w:cs="Calibri"/>
                <w:lang w:val="hr-HR"/>
              </w:rPr>
              <w:t>Bouillet</w:t>
            </w:r>
            <w:proofErr w:type="spellEnd"/>
            <w:r w:rsidRPr="00347571">
              <w:rPr>
                <w:rFonts w:ascii="Cambria" w:eastAsia="Times New Roman" w:hAnsi="Cambria" w:cs="Calibri"/>
                <w:lang w:val="hr-HR"/>
              </w:rPr>
              <w:t>, D. (2010). Izazovi integriranog odgoja i obrazovanja.</w:t>
            </w:r>
          </w:p>
          <w:p w14:paraId="0A73B8AF" w14:textId="77777777" w:rsidR="00727BE6" w:rsidRPr="00347571" w:rsidRDefault="00727BE6" w:rsidP="00450B7A">
            <w:pPr>
              <w:snapToGrid w:val="0"/>
              <w:spacing w:after="0" w:line="240" w:lineRule="auto"/>
              <w:jc w:val="both"/>
              <w:rPr>
                <w:rFonts w:ascii="Cambria" w:eastAsia="Times New Roman" w:hAnsi="Cambria" w:cs="Calibri"/>
                <w:lang w:val="hr-HR"/>
              </w:rPr>
            </w:pPr>
            <w:r w:rsidRPr="00347571">
              <w:rPr>
                <w:rFonts w:ascii="Cambria" w:eastAsia="Times New Roman" w:hAnsi="Cambria" w:cs="Calibri"/>
                <w:lang w:val="hr-HR"/>
              </w:rPr>
              <w:t>Zagreb: Školska knjiga.</w:t>
            </w:r>
          </w:p>
          <w:p w14:paraId="1480C940" w14:textId="77777777" w:rsidR="00727BE6" w:rsidRPr="00347571" w:rsidRDefault="00727BE6" w:rsidP="00450B7A">
            <w:pPr>
              <w:snapToGrid w:val="0"/>
              <w:spacing w:after="0" w:line="240" w:lineRule="auto"/>
              <w:jc w:val="both"/>
              <w:rPr>
                <w:rFonts w:ascii="Cambria" w:eastAsia="Times New Roman" w:hAnsi="Cambria" w:cs="Calibri"/>
                <w:lang w:val="hr-HR"/>
              </w:rPr>
            </w:pPr>
            <w:r>
              <w:rPr>
                <w:rFonts w:ascii="Cambria" w:eastAsia="Times New Roman" w:hAnsi="Cambria" w:cs="Calibri"/>
                <w:lang w:val="hr-HR"/>
              </w:rPr>
              <w:t>2</w:t>
            </w:r>
            <w:r w:rsidRPr="00347571">
              <w:rPr>
                <w:rFonts w:ascii="Cambria" w:eastAsia="Times New Roman" w:hAnsi="Cambria" w:cs="Calibri"/>
                <w:lang w:val="hr-HR"/>
              </w:rPr>
              <w:t>.</w:t>
            </w:r>
            <w:r>
              <w:rPr>
                <w:rFonts w:ascii="Cambria" w:eastAsia="Times New Roman" w:hAnsi="Cambria" w:cs="Calibri"/>
                <w:lang w:val="hr-HR"/>
              </w:rPr>
              <w:t xml:space="preserve"> </w:t>
            </w:r>
            <w:r w:rsidRPr="00347571">
              <w:rPr>
                <w:rFonts w:ascii="Cambria" w:eastAsia="Times New Roman" w:hAnsi="Cambria" w:cs="Calibri"/>
                <w:lang w:val="hr-HR"/>
              </w:rPr>
              <w:t>Cindrić, M. (1995). Profesija učitelj u svijetu i u Hrvatskoj.</w:t>
            </w:r>
          </w:p>
          <w:p w14:paraId="2BB54E27" w14:textId="77777777" w:rsidR="00727BE6" w:rsidRPr="00347571" w:rsidRDefault="00727BE6" w:rsidP="00450B7A">
            <w:pPr>
              <w:snapToGrid w:val="0"/>
              <w:spacing w:after="0" w:line="240" w:lineRule="auto"/>
              <w:jc w:val="both"/>
              <w:rPr>
                <w:rFonts w:ascii="Cambria" w:eastAsia="Times New Roman" w:hAnsi="Cambria" w:cs="Calibri"/>
                <w:lang w:val="hr-HR"/>
              </w:rPr>
            </w:pPr>
            <w:r w:rsidRPr="00347571">
              <w:rPr>
                <w:rFonts w:ascii="Cambria" w:eastAsia="Times New Roman" w:hAnsi="Cambria" w:cs="Calibri"/>
                <w:lang w:val="hr-HR"/>
              </w:rPr>
              <w:t>Velika Gorica-Zagreb: Persona.</w:t>
            </w:r>
          </w:p>
          <w:p w14:paraId="658406F5" w14:textId="77777777" w:rsidR="00727BE6" w:rsidRPr="00347571" w:rsidRDefault="00727BE6" w:rsidP="00450B7A">
            <w:pPr>
              <w:snapToGrid w:val="0"/>
              <w:spacing w:after="0" w:line="240" w:lineRule="auto"/>
              <w:jc w:val="both"/>
              <w:rPr>
                <w:rFonts w:ascii="Cambria" w:eastAsia="Times New Roman" w:hAnsi="Cambria" w:cs="Calibri"/>
                <w:lang w:val="hr-HR"/>
              </w:rPr>
            </w:pPr>
            <w:r>
              <w:rPr>
                <w:rFonts w:ascii="Cambria" w:eastAsia="Times New Roman" w:hAnsi="Cambria" w:cs="Calibri"/>
                <w:lang w:val="hr-HR"/>
              </w:rPr>
              <w:t>3</w:t>
            </w:r>
            <w:r w:rsidRPr="00347571">
              <w:rPr>
                <w:rFonts w:ascii="Cambria" w:eastAsia="Times New Roman" w:hAnsi="Cambria" w:cs="Calibri"/>
                <w:lang w:val="hr-HR"/>
              </w:rPr>
              <w:t>.</w:t>
            </w:r>
            <w:r>
              <w:rPr>
                <w:rFonts w:ascii="Cambria" w:eastAsia="Times New Roman" w:hAnsi="Cambria" w:cs="Calibri"/>
                <w:lang w:val="hr-HR"/>
              </w:rPr>
              <w:t xml:space="preserve"> </w:t>
            </w:r>
            <w:proofErr w:type="spellStart"/>
            <w:r w:rsidRPr="00347571">
              <w:rPr>
                <w:rFonts w:ascii="Cambria" w:eastAsia="Times New Roman" w:hAnsi="Cambria" w:cs="Calibri"/>
                <w:lang w:val="hr-HR"/>
              </w:rPr>
              <w:t>Farren</w:t>
            </w:r>
            <w:proofErr w:type="spellEnd"/>
            <w:r w:rsidRPr="00347571">
              <w:rPr>
                <w:rFonts w:ascii="Cambria" w:eastAsia="Times New Roman" w:hAnsi="Cambria" w:cs="Calibri"/>
                <w:lang w:val="hr-HR"/>
              </w:rPr>
              <w:t xml:space="preserve">, M., </w:t>
            </w:r>
            <w:proofErr w:type="spellStart"/>
            <w:r w:rsidRPr="00347571">
              <w:rPr>
                <w:rFonts w:ascii="Cambria" w:eastAsia="Times New Roman" w:hAnsi="Cambria" w:cs="Calibri"/>
                <w:lang w:val="hr-HR"/>
              </w:rPr>
              <w:t>Whitehead</w:t>
            </w:r>
            <w:proofErr w:type="spellEnd"/>
            <w:r w:rsidRPr="00347571">
              <w:rPr>
                <w:rFonts w:ascii="Cambria" w:eastAsia="Times New Roman" w:hAnsi="Cambria" w:cs="Calibri"/>
                <w:lang w:val="hr-HR"/>
              </w:rPr>
              <w:t>, J. i Bognar, B. (</w:t>
            </w:r>
            <w:proofErr w:type="spellStart"/>
            <w:r w:rsidRPr="00347571">
              <w:rPr>
                <w:rFonts w:ascii="Cambria" w:eastAsia="Times New Roman" w:hAnsi="Cambria" w:cs="Calibri"/>
                <w:lang w:val="hr-HR"/>
              </w:rPr>
              <w:t>ur</w:t>
            </w:r>
            <w:proofErr w:type="spellEnd"/>
            <w:r w:rsidRPr="00347571">
              <w:rPr>
                <w:rFonts w:ascii="Cambria" w:eastAsia="Times New Roman" w:hAnsi="Cambria" w:cs="Calibri"/>
                <w:lang w:val="hr-HR"/>
              </w:rPr>
              <w:t xml:space="preserve">.) (2011). </w:t>
            </w:r>
            <w:proofErr w:type="spellStart"/>
            <w:r w:rsidRPr="00347571">
              <w:rPr>
                <w:rFonts w:ascii="Cambria" w:eastAsia="Times New Roman" w:hAnsi="Cambria" w:cs="Calibri"/>
                <w:lang w:val="hr-HR"/>
              </w:rPr>
              <w:t>Action</w:t>
            </w:r>
            <w:proofErr w:type="spellEnd"/>
            <w:r w:rsidRPr="00347571">
              <w:rPr>
                <w:rFonts w:ascii="Cambria" w:eastAsia="Times New Roman" w:hAnsi="Cambria" w:cs="Calibri"/>
                <w:lang w:val="hr-HR"/>
              </w:rPr>
              <w:t xml:space="preserve"> </w:t>
            </w:r>
            <w:proofErr w:type="spellStart"/>
            <w:r w:rsidRPr="00347571">
              <w:rPr>
                <w:rFonts w:ascii="Cambria" w:eastAsia="Times New Roman" w:hAnsi="Cambria" w:cs="Calibri"/>
                <w:lang w:val="hr-HR"/>
              </w:rPr>
              <w:t>research</w:t>
            </w:r>
            <w:proofErr w:type="spellEnd"/>
            <w:r w:rsidRPr="00347571">
              <w:rPr>
                <w:rFonts w:ascii="Cambria" w:eastAsia="Times New Roman" w:hAnsi="Cambria" w:cs="Calibri"/>
                <w:lang w:val="hr-HR"/>
              </w:rPr>
              <w:t xml:space="preserve"> </w:t>
            </w:r>
            <w:proofErr w:type="spellStart"/>
            <w:r w:rsidRPr="00347571">
              <w:rPr>
                <w:rFonts w:ascii="Cambria" w:eastAsia="Times New Roman" w:hAnsi="Cambria" w:cs="Calibri"/>
                <w:lang w:val="hr-HR"/>
              </w:rPr>
              <w:t>in</w:t>
            </w:r>
            <w:proofErr w:type="spellEnd"/>
            <w:r w:rsidRPr="00347571">
              <w:rPr>
                <w:rFonts w:ascii="Cambria" w:eastAsia="Times New Roman" w:hAnsi="Cambria" w:cs="Calibri"/>
                <w:lang w:val="hr-HR"/>
              </w:rPr>
              <w:t xml:space="preserve"> </w:t>
            </w:r>
            <w:proofErr w:type="spellStart"/>
            <w:r w:rsidRPr="00347571">
              <w:rPr>
                <w:rFonts w:ascii="Cambria" w:eastAsia="Times New Roman" w:hAnsi="Cambria" w:cs="Calibri"/>
                <w:lang w:val="hr-HR"/>
              </w:rPr>
              <w:t>the</w:t>
            </w:r>
            <w:proofErr w:type="spellEnd"/>
            <w:r w:rsidRPr="00347571">
              <w:rPr>
                <w:rFonts w:ascii="Cambria" w:eastAsia="Times New Roman" w:hAnsi="Cambria" w:cs="Calibri"/>
                <w:lang w:val="hr-HR"/>
              </w:rPr>
              <w:t xml:space="preserve"> </w:t>
            </w:r>
            <w:proofErr w:type="spellStart"/>
            <w:r w:rsidRPr="00347571">
              <w:rPr>
                <w:rFonts w:ascii="Cambria" w:eastAsia="Times New Roman" w:hAnsi="Cambria" w:cs="Calibri"/>
                <w:lang w:val="hr-HR"/>
              </w:rPr>
              <w:t>educational</w:t>
            </w:r>
            <w:proofErr w:type="spellEnd"/>
            <w:r w:rsidRPr="00347571">
              <w:rPr>
                <w:rFonts w:ascii="Cambria" w:eastAsia="Times New Roman" w:hAnsi="Cambria" w:cs="Calibri"/>
                <w:lang w:val="hr-HR"/>
              </w:rPr>
              <w:t xml:space="preserve"> </w:t>
            </w:r>
            <w:proofErr w:type="spellStart"/>
            <w:r w:rsidRPr="00347571">
              <w:rPr>
                <w:rFonts w:ascii="Cambria" w:eastAsia="Times New Roman" w:hAnsi="Cambria" w:cs="Calibri"/>
                <w:lang w:val="hr-HR"/>
              </w:rPr>
              <w:t>workplace</w:t>
            </w:r>
            <w:proofErr w:type="spellEnd"/>
            <w:r w:rsidRPr="00347571">
              <w:rPr>
                <w:rFonts w:ascii="Cambria" w:eastAsia="Times New Roman" w:hAnsi="Cambria" w:cs="Calibri"/>
                <w:lang w:val="hr-HR"/>
              </w:rPr>
              <w:t xml:space="preserve">. </w:t>
            </w:r>
            <w:proofErr w:type="spellStart"/>
            <w:r w:rsidRPr="00347571">
              <w:rPr>
                <w:rFonts w:ascii="Cambria" w:eastAsia="Times New Roman" w:hAnsi="Cambria" w:cs="Calibri"/>
                <w:lang w:val="hr-HR"/>
              </w:rPr>
              <w:t>Bethesda</w:t>
            </w:r>
            <w:proofErr w:type="spellEnd"/>
            <w:r w:rsidRPr="00347571">
              <w:rPr>
                <w:rFonts w:ascii="Cambria" w:eastAsia="Times New Roman" w:hAnsi="Cambria" w:cs="Calibri"/>
                <w:lang w:val="hr-HR"/>
              </w:rPr>
              <w:t xml:space="preserve">; Dublin; Palo Alto: </w:t>
            </w:r>
            <w:proofErr w:type="spellStart"/>
            <w:r w:rsidRPr="00347571">
              <w:rPr>
                <w:rFonts w:ascii="Cambria" w:eastAsia="Times New Roman" w:hAnsi="Cambria" w:cs="Calibri"/>
                <w:lang w:val="hr-HR"/>
              </w:rPr>
              <w:t>Academinca</w:t>
            </w:r>
            <w:proofErr w:type="spellEnd"/>
            <w:r w:rsidRPr="00347571">
              <w:rPr>
                <w:rFonts w:ascii="Cambria" w:eastAsia="Times New Roman" w:hAnsi="Cambria" w:cs="Calibri"/>
                <w:lang w:val="hr-HR"/>
              </w:rPr>
              <w:t xml:space="preserve"> Press.</w:t>
            </w:r>
          </w:p>
          <w:p w14:paraId="150BC836" w14:textId="77777777" w:rsidR="00727BE6" w:rsidRPr="00347571" w:rsidRDefault="00727BE6" w:rsidP="00450B7A">
            <w:pPr>
              <w:snapToGrid w:val="0"/>
              <w:spacing w:after="0" w:line="240" w:lineRule="auto"/>
              <w:jc w:val="both"/>
              <w:rPr>
                <w:rFonts w:ascii="Cambria" w:eastAsia="Times New Roman" w:hAnsi="Cambria" w:cs="Calibri"/>
                <w:lang w:val="hr-HR"/>
              </w:rPr>
            </w:pPr>
            <w:r>
              <w:rPr>
                <w:rFonts w:ascii="Cambria" w:eastAsia="Times New Roman" w:hAnsi="Cambria" w:cs="Calibri"/>
                <w:lang w:val="hr-HR"/>
              </w:rPr>
              <w:t>4</w:t>
            </w:r>
            <w:r w:rsidRPr="00347571">
              <w:rPr>
                <w:rFonts w:ascii="Cambria" w:eastAsia="Times New Roman" w:hAnsi="Cambria" w:cs="Calibri"/>
                <w:lang w:val="hr-HR"/>
              </w:rPr>
              <w:t>.</w:t>
            </w:r>
            <w:r>
              <w:rPr>
                <w:rFonts w:ascii="Cambria" w:eastAsia="Times New Roman" w:hAnsi="Cambria" w:cs="Calibri"/>
                <w:lang w:val="hr-HR"/>
              </w:rPr>
              <w:t xml:space="preserve"> </w:t>
            </w:r>
            <w:r w:rsidRPr="00347571">
              <w:rPr>
                <w:rFonts w:ascii="Cambria" w:eastAsia="Times New Roman" w:hAnsi="Cambria" w:cs="Calibri"/>
                <w:lang w:val="hr-HR"/>
              </w:rPr>
              <w:t>George, D. (2005), Obrazovanje darovitih : kako identificirati</w:t>
            </w:r>
          </w:p>
          <w:p w14:paraId="000C85FB" w14:textId="77777777" w:rsidR="00727BE6" w:rsidRPr="00347571" w:rsidRDefault="00727BE6" w:rsidP="00450B7A">
            <w:pPr>
              <w:snapToGrid w:val="0"/>
              <w:spacing w:after="0" w:line="240" w:lineRule="auto"/>
              <w:jc w:val="both"/>
              <w:rPr>
                <w:rFonts w:ascii="Cambria" w:eastAsia="Times New Roman" w:hAnsi="Cambria" w:cs="Calibri"/>
                <w:lang w:val="hr-HR"/>
              </w:rPr>
            </w:pPr>
            <w:r w:rsidRPr="00347571">
              <w:rPr>
                <w:rFonts w:ascii="Cambria" w:eastAsia="Times New Roman" w:hAnsi="Cambria" w:cs="Calibri"/>
                <w:lang w:val="hr-HR"/>
              </w:rPr>
              <w:t>i obrazovati darovite i talentirane učenike. Zagreb: Educa.</w:t>
            </w:r>
          </w:p>
          <w:p w14:paraId="7B7C90CC" w14:textId="77777777" w:rsidR="00727BE6" w:rsidRPr="00347571" w:rsidRDefault="00727BE6" w:rsidP="00450B7A">
            <w:pPr>
              <w:snapToGrid w:val="0"/>
              <w:spacing w:after="0" w:line="240" w:lineRule="auto"/>
              <w:jc w:val="both"/>
              <w:rPr>
                <w:rFonts w:ascii="Cambria" w:eastAsia="Times New Roman" w:hAnsi="Cambria" w:cs="Calibri"/>
                <w:lang w:val="hr-HR"/>
              </w:rPr>
            </w:pPr>
            <w:r>
              <w:rPr>
                <w:rFonts w:ascii="Cambria" w:eastAsia="Times New Roman" w:hAnsi="Cambria" w:cs="Calibri"/>
                <w:lang w:val="hr-HR"/>
              </w:rPr>
              <w:t>5</w:t>
            </w:r>
            <w:r w:rsidRPr="00347571">
              <w:rPr>
                <w:rFonts w:ascii="Cambria" w:eastAsia="Times New Roman" w:hAnsi="Cambria" w:cs="Calibri"/>
                <w:lang w:val="hr-HR"/>
              </w:rPr>
              <w:t>.</w:t>
            </w:r>
            <w:r>
              <w:rPr>
                <w:rFonts w:ascii="Cambria" w:eastAsia="Times New Roman" w:hAnsi="Cambria" w:cs="Calibri"/>
                <w:lang w:val="hr-HR"/>
              </w:rPr>
              <w:t xml:space="preserve"> </w:t>
            </w:r>
            <w:proofErr w:type="spellStart"/>
            <w:r w:rsidRPr="00347571">
              <w:rPr>
                <w:rFonts w:ascii="Cambria" w:eastAsia="Times New Roman" w:hAnsi="Cambria" w:cs="Calibri"/>
                <w:lang w:val="hr-HR"/>
              </w:rPr>
              <w:t>Rosić</w:t>
            </w:r>
            <w:proofErr w:type="spellEnd"/>
            <w:r w:rsidRPr="00347571">
              <w:rPr>
                <w:rFonts w:ascii="Cambria" w:eastAsia="Times New Roman" w:hAnsi="Cambria" w:cs="Calibri"/>
                <w:lang w:val="hr-HR"/>
              </w:rPr>
              <w:t xml:space="preserve">, V., </w:t>
            </w:r>
            <w:proofErr w:type="spellStart"/>
            <w:r w:rsidRPr="00347571">
              <w:rPr>
                <w:rFonts w:ascii="Cambria" w:eastAsia="Times New Roman" w:hAnsi="Cambria" w:cs="Calibri"/>
                <w:lang w:val="hr-HR"/>
              </w:rPr>
              <w:t>Zloković</w:t>
            </w:r>
            <w:proofErr w:type="spellEnd"/>
            <w:r w:rsidRPr="00347571">
              <w:rPr>
                <w:rFonts w:ascii="Cambria" w:eastAsia="Times New Roman" w:hAnsi="Cambria" w:cs="Calibri"/>
                <w:lang w:val="hr-HR"/>
              </w:rPr>
              <w:t>, J. (2003). Modeli suradnje obitelji i škole. Đakovo: Tempo d.o.o.</w:t>
            </w:r>
          </w:p>
          <w:p w14:paraId="74CBDF2A" w14:textId="77777777" w:rsidR="00727BE6" w:rsidRPr="00347571" w:rsidRDefault="00727BE6" w:rsidP="00450B7A">
            <w:pPr>
              <w:snapToGrid w:val="0"/>
              <w:spacing w:after="0" w:line="240" w:lineRule="auto"/>
              <w:jc w:val="both"/>
              <w:rPr>
                <w:rFonts w:ascii="Cambria" w:eastAsia="Times New Roman" w:hAnsi="Cambria" w:cs="Calibri"/>
                <w:lang w:val="hr-HR"/>
              </w:rPr>
            </w:pPr>
            <w:r w:rsidRPr="00347571">
              <w:rPr>
                <w:rFonts w:ascii="Cambria" w:eastAsia="Times New Roman" w:hAnsi="Cambria" w:cs="Calibri"/>
                <w:lang w:val="hr-HR"/>
              </w:rPr>
              <w:t>Priručna:</w:t>
            </w:r>
          </w:p>
          <w:p w14:paraId="4C3D3BE1" w14:textId="77777777" w:rsidR="00727BE6" w:rsidRPr="00347571" w:rsidRDefault="00727BE6" w:rsidP="00450B7A">
            <w:pPr>
              <w:snapToGrid w:val="0"/>
              <w:spacing w:after="0" w:line="240" w:lineRule="auto"/>
              <w:jc w:val="both"/>
              <w:rPr>
                <w:rFonts w:ascii="Cambria" w:eastAsia="Times New Roman" w:hAnsi="Cambria" w:cs="Calibri"/>
                <w:lang w:val="hr-HR"/>
              </w:rPr>
            </w:pPr>
            <w:r w:rsidRPr="00347571">
              <w:rPr>
                <w:rFonts w:ascii="Cambria" w:eastAsia="Times New Roman" w:hAnsi="Cambria" w:cs="Calibri"/>
                <w:lang w:val="hr-HR"/>
              </w:rPr>
              <w:t xml:space="preserve">1. </w:t>
            </w:r>
            <w:proofErr w:type="spellStart"/>
            <w:r w:rsidRPr="00347571">
              <w:rPr>
                <w:rFonts w:ascii="Cambria" w:eastAsia="Times New Roman" w:hAnsi="Cambria" w:cs="Calibri"/>
                <w:lang w:val="hr-HR"/>
              </w:rPr>
              <w:t>Kurikulumi</w:t>
            </w:r>
            <w:proofErr w:type="spellEnd"/>
            <w:r w:rsidRPr="00347571">
              <w:rPr>
                <w:rFonts w:ascii="Cambria" w:eastAsia="Times New Roman" w:hAnsi="Cambria" w:cs="Calibri"/>
                <w:lang w:val="hr-HR"/>
              </w:rPr>
              <w:t xml:space="preserve"> nastavnih predmeta i </w:t>
            </w:r>
            <w:proofErr w:type="spellStart"/>
            <w:r w:rsidRPr="00347571">
              <w:rPr>
                <w:rFonts w:ascii="Cambria" w:eastAsia="Times New Roman" w:hAnsi="Cambria" w:cs="Calibri"/>
                <w:lang w:val="hr-HR"/>
              </w:rPr>
              <w:t>međupredmetnih</w:t>
            </w:r>
            <w:proofErr w:type="spellEnd"/>
            <w:r w:rsidRPr="00347571">
              <w:rPr>
                <w:rFonts w:ascii="Cambria" w:eastAsia="Times New Roman" w:hAnsi="Cambria" w:cs="Calibri"/>
                <w:lang w:val="hr-HR"/>
              </w:rPr>
              <w:t xml:space="preserve"> tema</w:t>
            </w:r>
          </w:p>
          <w:p w14:paraId="642EF6AF" w14:textId="77777777" w:rsidR="00727BE6" w:rsidRPr="00DF4CE5" w:rsidRDefault="00727BE6" w:rsidP="00450B7A">
            <w:pPr>
              <w:snapToGrid w:val="0"/>
              <w:spacing w:after="0" w:line="240" w:lineRule="auto"/>
              <w:jc w:val="both"/>
              <w:rPr>
                <w:rFonts w:ascii="Cambria" w:eastAsia="Times New Roman" w:hAnsi="Cambria" w:cs="Calibri"/>
                <w:lang w:val="hr-HR"/>
              </w:rPr>
            </w:pPr>
            <w:r w:rsidRPr="00347571">
              <w:rPr>
                <w:rFonts w:ascii="Cambria" w:eastAsia="Times New Roman" w:hAnsi="Cambria" w:cs="Calibri"/>
                <w:lang w:val="hr-HR"/>
              </w:rPr>
              <w:t>(2019). Zagreb: Ministarstvo znanosti i obrazovanja Republike Hrvatske.</w:t>
            </w:r>
          </w:p>
        </w:tc>
      </w:tr>
    </w:tbl>
    <w:p w14:paraId="2846AB83" w14:textId="77777777" w:rsidR="00727BE6" w:rsidRPr="009D1050" w:rsidRDefault="00727BE6" w:rsidP="00727BE6">
      <w:pPr>
        <w:rPr>
          <w:lang w:val="hr-HR"/>
        </w:rPr>
      </w:pPr>
    </w:p>
    <w:p w14:paraId="0849A7CF" w14:textId="0936EC7C" w:rsidR="002A021D" w:rsidRDefault="00727BE6" w:rsidP="00727BE6">
      <w:pPr>
        <w:rPr>
          <w:rFonts w:ascii="Cambria" w:hAnsi="Cambria"/>
          <w:lang w:val="hr-HR"/>
        </w:rPr>
      </w:pPr>
      <w:r>
        <w:rPr>
          <w:rFonts w:ascii="Cambria" w:hAnsi="Cambria"/>
          <w:lang w:val="hr-HR"/>
        </w:rPr>
        <w:br w:type="page"/>
      </w:r>
    </w:p>
    <w:tbl>
      <w:tblPr>
        <w:tblW w:w="5364" w:type="pct"/>
        <w:tblLayout w:type="fixed"/>
        <w:tblCellMar>
          <w:left w:w="0" w:type="dxa"/>
          <w:right w:w="0" w:type="dxa"/>
        </w:tblCellMar>
        <w:tblLook w:val="0600" w:firstRow="0" w:lastRow="0" w:firstColumn="0" w:lastColumn="0" w:noHBand="1" w:noVBand="1"/>
      </w:tblPr>
      <w:tblGrid>
        <w:gridCol w:w="2814"/>
        <w:gridCol w:w="2668"/>
        <w:gridCol w:w="105"/>
        <w:gridCol w:w="1167"/>
        <w:gridCol w:w="297"/>
        <w:gridCol w:w="470"/>
        <w:gridCol w:w="1085"/>
        <w:gridCol w:w="1414"/>
      </w:tblGrid>
      <w:tr w:rsidR="002A021D" w:rsidRPr="00DF4CE5" w14:paraId="7191BFDD" w14:textId="77777777" w:rsidTr="000B2D2C">
        <w:tc>
          <w:tcPr>
            <w:tcW w:w="9340"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CB75DAF" w14:textId="77777777" w:rsidR="002A021D" w:rsidRPr="00DF4CE5" w:rsidRDefault="002A021D" w:rsidP="000B2D2C">
            <w:pPr>
              <w:spacing w:after="0" w:line="240" w:lineRule="atLeast"/>
              <w:jc w:val="right"/>
              <w:rPr>
                <w:rFonts w:ascii="Cambria" w:eastAsia="Calibri" w:hAnsi="Cambria" w:cs="Calibri"/>
                <w:b/>
                <w:lang w:val="hr-HR"/>
              </w:rPr>
            </w:pPr>
            <w:r w:rsidRPr="00DF4CE5">
              <w:rPr>
                <w:rFonts w:ascii="Cambria" w:eastAsia="Calibri" w:hAnsi="Cambria" w:cs="Calibri"/>
                <w:b/>
                <w:lang w:val="hr-HR"/>
              </w:rPr>
              <w:lastRenderedPageBreak/>
              <w:t>IZVEDBENI PLAN NASTAVE KOLEGIJA</w:t>
            </w:r>
          </w:p>
        </w:tc>
      </w:tr>
      <w:tr w:rsidR="002A021D" w:rsidRPr="004E3FDC" w14:paraId="4B40A969" w14:textId="77777777" w:rsidTr="000B2D2C">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F7A7173" w14:textId="77777777" w:rsidR="002A021D" w:rsidRPr="00DF4CE5" w:rsidRDefault="002A021D" w:rsidP="000B2D2C">
            <w:pPr>
              <w:spacing w:after="0" w:line="240" w:lineRule="atLeast"/>
              <w:jc w:val="both"/>
              <w:rPr>
                <w:rFonts w:ascii="Cambria" w:eastAsia="Calibri" w:hAnsi="Cambria" w:cs="Calibri"/>
                <w:lang w:val="hr-HR"/>
              </w:rPr>
            </w:pPr>
            <w:r w:rsidRPr="00DF4CE5">
              <w:rPr>
                <w:rFonts w:ascii="Cambria" w:eastAsia="Calibri" w:hAnsi="Cambria" w:cs="Calibri"/>
                <w:lang w:val="hr-HR"/>
              </w:rPr>
              <w:t>Kod i naziv kolegija</w:t>
            </w:r>
          </w:p>
        </w:tc>
        <w:tc>
          <w:tcPr>
            <w:tcW w:w="671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75F45D6" w14:textId="77777777" w:rsidR="002A021D" w:rsidRPr="00DF4CE5" w:rsidRDefault="002A021D" w:rsidP="000B2D2C">
            <w:pPr>
              <w:spacing w:after="0" w:line="240" w:lineRule="atLeast"/>
              <w:jc w:val="both"/>
              <w:rPr>
                <w:rFonts w:ascii="Cambria" w:eastAsia="Calibri" w:hAnsi="Cambria" w:cs="Calibri"/>
                <w:lang w:val="hr-HR"/>
              </w:rPr>
            </w:pPr>
            <w:r w:rsidRPr="00DF4CE5">
              <w:rPr>
                <w:rFonts w:ascii="Cambria" w:eastAsia="Calibri" w:hAnsi="Cambria" w:cs="Calibri"/>
                <w:lang w:val="hr-HR"/>
              </w:rPr>
              <w:t>118954</w:t>
            </w:r>
          </w:p>
          <w:p w14:paraId="3D06DC5D" w14:textId="74C4A0A9" w:rsidR="002A021D" w:rsidRPr="00DF4CE5" w:rsidRDefault="002A021D" w:rsidP="000B2D2C">
            <w:pPr>
              <w:spacing w:after="0" w:line="240" w:lineRule="atLeast"/>
              <w:jc w:val="both"/>
              <w:rPr>
                <w:rFonts w:ascii="Cambria" w:eastAsia="Calibri" w:hAnsi="Cambria" w:cs="Calibri"/>
                <w:lang w:val="hr-HR"/>
              </w:rPr>
            </w:pPr>
            <w:r w:rsidRPr="00DF4CE5">
              <w:rPr>
                <w:rFonts w:ascii="Cambria" w:eastAsia="Calibri" w:hAnsi="Cambria" w:cs="Calibri"/>
                <w:lang w:val="hr-HR"/>
              </w:rPr>
              <w:t>Dječja književnost na engleskom jeziku III</w:t>
            </w:r>
          </w:p>
        </w:tc>
      </w:tr>
      <w:tr w:rsidR="002A021D" w:rsidRPr="00D0399C" w14:paraId="16A06BB2" w14:textId="77777777" w:rsidTr="000B2D2C">
        <w:trPr>
          <w:trHeight w:val="246"/>
        </w:trPr>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59EB6AC" w14:textId="68A4A07B" w:rsidR="002A021D" w:rsidRPr="00DF4CE5" w:rsidRDefault="002A021D" w:rsidP="00727BE6">
            <w:pPr>
              <w:spacing w:after="0" w:line="240" w:lineRule="atLeast"/>
              <w:jc w:val="both"/>
              <w:rPr>
                <w:rFonts w:ascii="Cambria" w:eastAsia="Calibri" w:hAnsi="Cambria" w:cs="Calibri"/>
                <w:lang w:val="hr-HR"/>
              </w:rPr>
            </w:pPr>
            <w:r w:rsidRPr="00DF4CE5">
              <w:rPr>
                <w:rFonts w:ascii="Cambria" w:eastAsia="Calibri" w:hAnsi="Cambria" w:cs="Calibri"/>
                <w:lang w:val="hr-HR"/>
              </w:rPr>
              <w:t>Nastavnica</w:t>
            </w:r>
          </w:p>
        </w:tc>
        <w:tc>
          <w:tcPr>
            <w:tcW w:w="671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7490062" w14:textId="78582587" w:rsidR="002A021D" w:rsidRPr="00727BE6" w:rsidRDefault="002A021D" w:rsidP="000B2D2C">
            <w:pPr>
              <w:spacing w:after="0" w:line="240" w:lineRule="atLeast"/>
              <w:jc w:val="both"/>
              <w:rPr>
                <w:rFonts w:ascii="Cambria" w:hAnsi="Cambria"/>
                <w:lang w:val="it-IT"/>
              </w:rPr>
            </w:pPr>
            <w:hyperlink r:id="rId167" w:history="1">
              <w:proofErr w:type="spellStart"/>
              <w:r w:rsidRPr="00A57714">
                <w:rPr>
                  <w:rStyle w:val="Hiperveza"/>
                  <w:rFonts w:ascii="Cambria" w:hAnsi="Cambria"/>
                  <w:lang w:val="it-IT"/>
                </w:rPr>
                <w:t>Naslovna</w:t>
              </w:r>
              <w:proofErr w:type="spellEnd"/>
              <w:r w:rsidRPr="00A57714">
                <w:rPr>
                  <w:rStyle w:val="Hiperveza"/>
                  <w:rFonts w:ascii="Cambria" w:hAnsi="Cambria"/>
                  <w:lang w:val="it-IT"/>
                </w:rPr>
                <w:t xml:space="preserve"> doc. dr. sc. Ester </w:t>
              </w:r>
              <w:proofErr w:type="spellStart"/>
              <w:r w:rsidRPr="00A57714">
                <w:rPr>
                  <w:rStyle w:val="Hiperveza"/>
                  <w:rFonts w:ascii="Cambria" w:hAnsi="Cambria"/>
                  <w:lang w:val="it-IT"/>
                </w:rPr>
                <w:t>Vidović</w:t>
              </w:r>
              <w:proofErr w:type="spellEnd"/>
            </w:hyperlink>
            <w:r>
              <w:rPr>
                <w:rFonts w:ascii="Cambria" w:hAnsi="Cambria"/>
                <w:lang w:val="it-IT"/>
              </w:rPr>
              <w:t xml:space="preserve"> (</w:t>
            </w:r>
            <w:proofErr w:type="spellStart"/>
            <w:r>
              <w:rPr>
                <w:rFonts w:ascii="Cambria" w:hAnsi="Cambria"/>
                <w:lang w:val="it-IT"/>
              </w:rPr>
              <w:t>nositeljica</w:t>
            </w:r>
            <w:proofErr w:type="spellEnd"/>
            <w:r>
              <w:rPr>
                <w:rFonts w:ascii="Cambria" w:hAnsi="Cambria"/>
                <w:lang w:val="it-IT"/>
              </w:rPr>
              <w:t>)</w:t>
            </w:r>
          </w:p>
        </w:tc>
      </w:tr>
      <w:tr w:rsidR="002A021D" w:rsidRPr="00D0399C" w14:paraId="297AD250" w14:textId="77777777" w:rsidTr="000B2D2C">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3505911" w14:textId="77777777" w:rsidR="002A021D" w:rsidRPr="00DF4CE5" w:rsidRDefault="002A021D" w:rsidP="000B2D2C">
            <w:pPr>
              <w:spacing w:after="0" w:line="240" w:lineRule="atLeast"/>
              <w:jc w:val="both"/>
              <w:rPr>
                <w:rFonts w:ascii="Cambria" w:eastAsia="Calibri" w:hAnsi="Cambria" w:cs="Calibri"/>
                <w:lang w:val="hr-HR"/>
              </w:rPr>
            </w:pPr>
            <w:r w:rsidRPr="00DF4CE5">
              <w:rPr>
                <w:rFonts w:ascii="Cambria" w:eastAsia="Calibri" w:hAnsi="Cambria" w:cs="Calibri"/>
                <w:lang w:val="hr-HR"/>
              </w:rPr>
              <w:t>Studijski program</w:t>
            </w:r>
          </w:p>
        </w:tc>
        <w:tc>
          <w:tcPr>
            <w:tcW w:w="671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C75AD00" w14:textId="77777777" w:rsidR="002A021D" w:rsidRPr="00DF4CE5" w:rsidRDefault="002A021D" w:rsidP="000B2D2C">
            <w:pPr>
              <w:spacing w:after="0" w:line="240" w:lineRule="atLeast"/>
              <w:jc w:val="both"/>
              <w:rPr>
                <w:rFonts w:ascii="Cambria" w:eastAsia="Calibri" w:hAnsi="Cambria" w:cs="Calibri"/>
                <w:lang w:val="hr-HR"/>
              </w:rPr>
            </w:pPr>
            <w:r w:rsidRPr="00DF4CE5">
              <w:rPr>
                <w:rFonts w:ascii="Cambria" w:hAnsi="Cambria"/>
                <w:lang w:val="hr-HR"/>
              </w:rPr>
              <w:t>Sveučilišni integrirani prijediplomski i diplomski Učiteljski studij na hrvatskom jeziku</w:t>
            </w:r>
          </w:p>
        </w:tc>
      </w:tr>
      <w:tr w:rsidR="002A021D" w:rsidRPr="00DF4CE5" w14:paraId="4C312EC1" w14:textId="77777777" w:rsidTr="000B2D2C">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7E2FD75" w14:textId="77777777" w:rsidR="002A021D" w:rsidRPr="00DF4CE5" w:rsidRDefault="002A021D" w:rsidP="000B2D2C">
            <w:pPr>
              <w:spacing w:after="0" w:line="240" w:lineRule="atLeast"/>
              <w:jc w:val="both"/>
              <w:rPr>
                <w:rFonts w:ascii="Cambria" w:eastAsia="Calibri" w:hAnsi="Cambria" w:cs="Calibri"/>
                <w:lang w:val="hr-HR"/>
              </w:rPr>
            </w:pPr>
            <w:r w:rsidRPr="00DF4CE5">
              <w:rPr>
                <w:rFonts w:ascii="Cambria" w:eastAsia="Calibri" w:hAnsi="Cambria" w:cs="Calibri"/>
                <w:lang w:val="hr-HR"/>
              </w:rPr>
              <w:t>Vrsta kolegija</w:t>
            </w:r>
          </w:p>
        </w:tc>
        <w:tc>
          <w:tcPr>
            <w:tcW w:w="248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A226CC4" w14:textId="77777777" w:rsidR="002A021D" w:rsidRPr="00DF4CE5" w:rsidRDefault="002A021D" w:rsidP="000B2D2C">
            <w:pPr>
              <w:spacing w:after="0" w:line="240" w:lineRule="atLeast"/>
              <w:jc w:val="both"/>
              <w:rPr>
                <w:rFonts w:ascii="Cambria" w:eastAsia="Calibri" w:hAnsi="Cambria" w:cs="Calibri"/>
                <w:lang w:val="hr-HR"/>
              </w:rPr>
            </w:pPr>
            <w:r w:rsidRPr="00DF4CE5">
              <w:rPr>
                <w:rFonts w:ascii="Cambria" w:eastAsia="Calibri" w:hAnsi="Cambria" w:cs="Calibri"/>
                <w:lang w:val="hr-HR"/>
              </w:rPr>
              <w:t xml:space="preserve">obvezan </w:t>
            </w:r>
          </w:p>
        </w:tc>
        <w:tc>
          <w:tcPr>
            <w:tcW w:w="146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65B346F6" w14:textId="77777777" w:rsidR="002A021D" w:rsidRPr="00DF4CE5" w:rsidRDefault="002A021D" w:rsidP="000B2D2C">
            <w:pPr>
              <w:spacing w:after="0" w:line="240" w:lineRule="atLeast"/>
              <w:jc w:val="both"/>
              <w:rPr>
                <w:rFonts w:ascii="Cambria" w:eastAsia="Calibri" w:hAnsi="Cambria" w:cs="Calibri"/>
                <w:lang w:val="hr-HR"/>
              </w:rPr>
            </w:pPr>
            <w:r w:rsidRPr="00DF4CE5">
              <w:rPr>
                <w:rFonts w:ascii="Cambria" w:eastAsia="Calibri" w:hAnsi="Cambria" w:cs="Calibri"/>
                <w:lang w:val="hr-HR"/>
              </w:rPr>
              <w:t>Razina kolegija</w:t>
            </w:r>
          </w:p>
        </w:tc>
        <w:tc>
          <w:tcPr>
            <w:tcW w:w="2767"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9B62834" w14:textId="77777777" w:rsidR="002A021D" w:rsidRPr="00DF4CE5" w:rsidRDefault="002A021D" w:rsidP="000B2D2C">
            <w:pPr>
              <w:spacing w:after="0" w:line="240" w:lineRule="atLeast"/>
              <w:jc w:val="both"/>
              <w:rPr>
                <w:rFonts w:ascii="Cambria" w:eastAsia="Calibri" w:hAnsi="Cambria" w:cs="Calibri"/>
                <w:lang w:val="hr-HR"/>
              </w:rPr>
            </w:pPr>
            <w:proofErr w:type="spellStart"/>
            <w:r>
              <w:rPr>
                <w:rFonts w:ascii="Cambria" w:eastAsia="Calibri" w:hAnsi="Cambria" w:cs="Calibri"/>
              </w:rPr>
              <w:t>i</w:t>
            </w:r>
            <w:r w:rsidRPr="00DF4CE5">
              <w:rPr>
                <w:rFonts w:ascii="Cambria" w:eastAsia="Calibri" w:hAnsi="Cambria" w:cs="Calibri"/>
              </w:rPr>
              <w:t>ntegrirani</w:t>
            </w:r>
            <w:proofErr w:type="spellEnd"/>
          </w:p>
        </w:tc>
      </w:tr>
      <w:tr w:rsidR="002A021D" w:rsidRPr="00DF4CE5" w14:paraId="089EC09A" w14:textId="77777777" w:rsidTr="000B2D2C">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5DB701E" w14:textId="77777777" w:rsidR="002A021D" w:rsidRPr="00DF4CE5" w:rsidRDefault="002A021D" w:rsidP="000B2D2C">
            <w:pPr>
              <w:spacing w:after="0" w:line="240" w:lineRule="atLeast"/>
              <w:jc w:val="both"/>
              <w:rPr>
                <w:rFonts w:ascii="Cambria" w:eastAsia="Calibri" w:hAnsi="Cambria" w:cs="Calibri"/>
                <w:lang w:val="hr-HR"/>
              </w:rPr>
            </w:pPr>
            <w:r w:rsidRPr="00DF4CE5">
              <w:rPr>
                <w:rFonts w:ascii="Cambria" w:eastAsia="Calibri" w:hAnsi="Cambria" w:cs="Calibri"/>
                <w:lang w:val="hr-HR"/>
              </w:rPr>
              <w:t>Semestar</w:t>
            </w:r>
          </w:p>
        </w:tc>
        <w:tc>
          <w:tcPr>
            <w:tcW w:w="248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E68E5C0" w14:textId="77777777" w:rsidR="002A021D" w:rsidRPr="00DF4CE5" w:rsidRDefault="002A021D" w:rsidP="000B2D2C">
            <w:pPr>
              <w:spacing w:after="0" w:line="240" w:lineRule="atLeast"/>
              <w:jc w:val="both"/>
              <w:rPr>
                <w:rFonts w:ascii="Cambria" w:eastAsia="Calibri" w:hAnsi="Cambria" w:cs="Calibri"/>
                <w:lang w:val="hr-HR"/>
              </w:rPr>
            </w:pPr>
            <w:r>
              <w:rPr>
                <w:rFonts w:ascii="Cambria" w:eastAsia="Calibri" w:hAnsi="Cambria" w:cs="Calibri"/>
                <w:lang w:val="hr-HR"/>
              </w:rPr>
              <w:t>z</w:t>
            </w:r>
            <w:r w:rsidRPr="00DF4CE5">
              <w:rPr>
                <w:rFonts w:ascii="Cambria" w:eastAsia="Calibri" w:hAnsi="Cambria" w:cs="Calibri"/>
                <w:lang w:val="hr-HR"/>
              </w:rPr>
              <w:t>imski</w:t>
            </w:r>
          </w:p>
        </w:tc>
        <w:tc>
          <w:tcPr>
            <w:tcW w:w="146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3942A8BA" w14:textId="77777777" w:rsidR="002A021D" w:rsidRPr="00DF4CE5" w:rsidRDefault="002A021D" w:rsidP="000B2D2C">
            <w:pPr>
              <w:spacing w:after="0" w:line="240" w:lineRule="atLeast"/>
              <w:jc w:val="both"/>
              <w:rPr>
                <w:rFonts w:ascii="Cambria" w:eastAsia="Calibri" w:hAnsi="Cambria" w:cs="Calibri"/>
                <w:lang w:val="hr-HR"/>
              </w:rPr>
            </w:pPr>
            <w:r w:rsidRPr="00DF4CE5">
              <w:rPr>
                <w:rFonts w:ascii="Cambria" w:eastAsia="Calibri" w:hAnsi="Cambria" w:cs="Calibri"/>
                <w:lang w:val="hr-HR"/>
              </w:rPr>
              <w:t>Godina studija</w:t>
            </w:r>
          </w:p>
        </w:tc>
        <w:tc>
          <w:tcPr>
            <w:tcW w:w="2767"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D4FC754" w14:textId="77777777" w:rsidR="002A021D" w:rsidRPr="00DF4CE5" w:rsidRDefault="002A021D" w:rsidP="000B2D2C">
            <w:pPr>
              <w:spacing w:after="0" w:line="240" w:lineRule="atLeast"/>
              <w:jc w:val="both"/>
              <w:rPr>
                <w:rFonts w:ascii="Cambria" w:eastAsia="Calibri" w:hAnsi="Cambria" w:cs="Calibri"/>
                <w:lang w:val="hr-HR"/>
              </w:rPr>
            </w:pPr>
            <w:r w:rsidRPr="00DF4CE5">
              <w:rPr>
                <w:rFonts w:ascii="Cambria" w:eastAsia="Calibri" w:hAnsi="Cambria" w:cs="Calibri"/>
                <w:lang w:val="hr-HR"/>
              </w:rPr>
              <w:t>V.</w:t>
            </w:r>
          </w:p>
        </w:tc>
      </w:tr>
      <w:tr w:rsidR="002A021D" w:rsidRPr="00DF4CE5" w14:paraId="28B69EB5" w14:textId="77777777" w:rsidTr="000B2D2C">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D4F9AAD" w14:textId="77777777" w:rsidR="002A021D" w:rsidRPr="00DF4CE5" w:rsidRDefault="002A021D" w:rsidP="000B2D2C">
            <w:pPr>
              <w:spacing w:after="0" w:line="240" w:lineRule="atLeast"/>
              <w:jc w:val="both"/>
              <w:rPr>
                <w:rFonts w:ascii="Cambria" w:eastAsia="Calibri" w:hAnsi="Cambria" w:cs="Calibri"/>
                <w:lang w:val="hr-HR"/>
              </w:rPr>
            </w:pPr>
            <w:proofErr w:type="spellStart"/>
            <w:r w:rsidRPr="00DF4CE5">
              <w:rPr>
                <w:rFonts w:ascii="Cambria" w:eastAsia="Calibri" w:hAnsi="Cambria" w:cs="Calibri"/>
              </w:rPr>
              <w:t>Mjesto</w:t>
            </w:r>
            <w:proofErr w:type="spellEnd"/>
            <w:r w:rsidRPr="00DF4CE5">
              <w:rPr>
                <w:rFonts w:ascii="Cambria" w:eastAsia="Calibri" w:hAnsi="Cambria" w:cs="Calibri"/>
              </w:rPr>
              <w:t xml:space="preserve"> </w:t>
            </w:r>
            <w:proofErr w:type="spellStart"/>
            <w:r w:rsidRPr="00DF4CE5">
              <w:rPr>
                <w:rFonts w:ascii="Cambria" w:eastAsia="Calibri" w:hAnsi="Cambria" w:cs="Calibri"/>
              </w:rPr>
              <w:t>izvođenja</w:t>
            </w:r>
            <w:proofErr w:type="spellEnd"/>
          </w:p>
        </w:tc>
        <w:tc>
          <w:tcPr>
            <w:tcW w:w="248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1EDCAAC" w14:textId="77777777" w:rsidR="002A021D" w:rsidRPr="00DF4CE5" w:rsidRDefault="002A021D" w:rsidP="000B2D2C">
            <w:pPr>
              <w:spacing w:after="0" w:line="240" w:lineRule="atLeast"/>
              <w:rPr>
                <w:rFonts w:ascii="Cambria" w:eastAsia="Calibri" w:hAnsi="Cambria" w:cs="Calibri"/>
                <w:lang w:val="hr-HR"/>
              </w:rPr>
            </w:pPr>
            <w:r w:rsidRPr="00DF4CE5">
              <w:rPr>
                <w:rFonts w:ascii="Cambria" w:eastAsia="Calibri" w:hAnsi="Cambria" w:cs="Calibri"/>
                <w:lang w:val="hr-HR"/>
              </w:rPr>
              <w:t>dvorana, knjižnice, Sajam knjiga u Puli</w:t>
            </w:r>
          </w:p>
        </w:tc>
        <w:tc>
          <w:tcPr>
            <w:tcW w:w="146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1A84EA93" w14:textId="77777777" w:rsidR="002A021D" w:rsidRPr="00DF4CE5" w:rsidRDefault="002A021D" w:rsidP="000B2D2C">
            <w:pPr>
              <w:spacing w:after="0" w:line="240" w:lineRule="atLeast"/>
              <w:jc w:val="both"/>
              <w:rPr>
                <w:rFonts w:ascii="Cambria" w:eastAsia="Calibri" w:hAnsi="Cambria" w:cs="Calibri"/>
                <w:lang w:val="hr-HR"/>
              </w:rPr>
            </w:pPr>
            <w:r w:rsidRPr="00DF4CE5">
              <w:rPr>
                <w:rFonts w:ascii="Cambria" w:eastAsia="Calibri" w:hAnsi="Cambria" w:cs="Calibri"/>
              </w:rPr>
              <w:t>Jezik</w:t>
            </w:r>
            <w:r w:rsidRPr="00DF4CE5">
              <w:rPr>
                <w:rFonts w:ascii="Cambria" w:eastAsia="Calibri" w:hAnsi="Cambria" w:cs="Calibri"/>
                <w:lang w:val="hr-HR"/>
              </w:rPr>
              <w:t xml:space="preserve"> izvođenja (drugi jezici)</w:t>
            </w:r>
          </w:p>
        </w:tc>
        <w:tc>
          <w:tcPr>
            <w:tcW w:w="2767"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827C4D2" w14:textId="77777777" w:rsidR="002A021D" w:rsidRPr="00DF4CE5" w:rsidRDefault="002A021D" w:rsidP="000B2D2C">
            <w:pPr>
              <w:spacing w:after="0" w:line="240" w:lineRule="atLeast"/>
              <w:jc w:val="both"/>
              <w:rPr>
                <w:rFonts w:ascii="Cambria" w:eastAsia="Calibri" w:hAnsi="Cambria" w:cs="Calibri"/>
                <w:lang w:val="hr-HR"/>
              </w:rPr>
            </w:pPr>
            <w:r w:rsidRPr="00DF4CE5">
              <w:rPr>
                <w:rFonts w:ascii="Cambria" w:eastAsia="Calibri" w:hAnsi="Cambria" w:cs="Calibri"/>
                <w:lang w:val="hr-HR"/>
              </w:rPr>
              <w:t xml:space="preserve">engleski </w:t>
            </w:r>
          </w:p>
        </w:tc>
      </w:tr>
      <w:tr w:rsidR="002A021D" w:rsidRPr="00DF4CE5" w14:paraId="6FA42A6C" w14:textId="77777777" w:rsidTr="000B2D2C">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0F34752" w14:textId="77777777" w:rsidR="002A021D" w:rsidRPr="00DF4CE5" w:rsidRDefault="002A021D" w:rsidP="000B2D2C">
            <w:pPr>
              <w:spacing w:after="0" w:line="240" w:lineRule="atLeast"/>
              <w:jc w:val="both"/>
              <w:rPr>
                <w:rFonts w:ascii="Cambria" w:eastAsia="Calibri" w:hAnsi="Cambria" w:cs="Calibri"/>
                <w:lang w:val="hr-HR"/>
              </w:rPr>
            </w:pPr>
            <w:r w:rsidRPr="00DF4CE5">
              <w:rPr>
                <w:rFonts w:ascii="Cambria" w:eastAsia="Calibri" w:hAnsi="Cambria" w:cs="Calibri"/>
                <w:lang w:val="hr-HR"/>
              </w:rPr>
              <w:t>Broj ECTS bodova</w:t>
            </w:r>
          </w:p>
        </w:tc>
        <w:tc>
          <w:tcPr>
            <w:tcW w:w="248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003C5CC" w14:textId="77777777" w:rsidR="002A021D" w:rsidRPr="00DF4CE5" w:rsidRDefault="002A021D" w:rsidP="000B2D2C">
            <w:pPr>
              <w:spacing w:after="0" w:line="240" w:lineRule="atLeast"/>
              <w:jc w:val="both"/>
              <w:rPr>
                <w:rFonts w:ascii="Cambria" w:eastAsia="Calibri" w:hAnsi="Cambria" w:cs="Calibri"/>
                <w:lang w:val="hr-HR"/>
              </w:rPr>
            </w:pPr>
            <w:r w:rsidRPr="00DF4CE5">
              <w:rPr>
                <w:rFonts w:ascii="Cambria" w:eastAsia="Calibri" w:hAnsi="Cambria" w:cs="Calibri"/>
                <w:lang w:val="hr-HR"/>
              </w:rPr>
              <w:t>3</w:t>
            </w:r>
          </w:p>
        </w:tc>
        <w:tc>
          <w:tcPr>
            <w:tcW w:w="146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7BC7CEA4" w14:textId="77777777" w:rsidR="002A021D" w:rsidRPr="00DF4CE5" w:rsidRDefault="002A021D" w:rsidP="000B2D2C">
            <w:pPr>
              <w:spacing w:after="0" w:line="240" w:lineRule="atLeast"/>
              <w:jc w:val="both"/>
              <w:rPr>
                <w:rFonts w:ascii="Cambria" w:eastAsia="Calibri" w:hAnsi="Cambria" w:cs="Calibri"/>
                <w:lang w:val="hr-HR"/>
              </w:rPr>
            </w:pPr>
            <w:r w:rsidRPr="00DF4CE5">
              <w:rPr>
                <w:rFonts w:ascii="Cambria" w:eastAsia="Calibri" w:hAnsi="Cambria" w:cs="Calibri"/>
                <w:lang w:val="hr-HR"/>
              </w:rPr>
              <w:t>Broj sati u semestru</w:t>
            </w:r>
          </w:p>
        </w:tc>
        <w:tc>
          <w:tcPr>
            <w:tcW w:w="2767"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B4F6360" w14:textId="77777777" w:rsidR="002A021D" w:rsidRPr="00DF4CE5" w:rsidRDefault="002A021D" w:rsidP="000B2D2C">
            <w:pPr>
              <w:spacing w:after="0" w:line="240" w:lineRule="atLeast"/>
              <w:jc w:val="both"/>
              <w:rPr>
                <w:rFonts w:ascii="Cambria" w:eastAsia="Calibri" w:hAnsi="Cambria" w:cs="Calibri"/>
                <w:lang w:val="hr-HR"/>
              </w:rPr>
            </w:pPr>
            <w:r w:rsidRPr="00DF4CE5">
              <w:rPr>
                <w:rFonts w:ascii="Cambria" w:eastAsia="Calibri" w:hAnsi="Cambria" w:cs="Calibri"/>
                <w:lang w:val="hr-HR"/>
              </w:rPr>
              <w:t xml:space="preserve">15P – 15S – 0V   </w:t>
            </w:r>
          </w:p>
        </w:tc>
      </w:tr>
      <w:tr w:rsidR="002A021D" w:rsidRPr="00D0399C" w14:paraId="67AD1CC5" w14:textId="77777777" w:rsidTr="000B2D2C">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7FC5531" w14:textId="77777777" w:rsidR="002A021D" w:rsidRPr="00DF4CE5" w:rsidRDefault="002A021D" w:rsidP="000B2D2C">
            <w:pPr>
              <w:spacing w:after="0" w:line="240" w:lineRule="atLeast"/>
              <w:jc w:val="both"/>
              <w:rPr>
                <w:rFonts w:ascii="Cambria" w:eastAsia="Calibri" w:hAnsi="Cambria" w:cs="Calibri"/>
                <w:lang w:val="hr-HR"/>
              </w:rPr>
            </w:pPr>
            <w:r w:rsidRPr="00DF4CE5">
              <w:rPr>
                <w:rFonts w:ascii="Cambria" w:eastAsia="Calibri" w:hAnsi="Cambria" w:cs="Calibri"/>
                <w:lang w:val="hr-HR"/>
              </w:rPr>
              <w:t>Preduvjeti za upis i za svladavanje</w:t>
            </w:r>
          </w:p>
        </w:tc>
        <w:tc>
          <w:tcPr>
            <w:tcW w:w="671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65CF843" w14:textId="77777777" w:rsidR="002A021D" w:rsidRPr="00DF4CE5" w:rsidRDefault="002A021D" w:rsidP="000B2D2C">
            <w:pPr>
              <w:spacing w:after="0" w:line="240" w:lineRule="atLeast"/>
              <w:jc w:val="both"/>
              <w:rPr>
                <w:rFonts w:ascii="Cambria" w:eastAsia="Calibri" w:hAnsi="Cambria" w:cs="Calibri"/>
                <w:lang w:val="hr-HR"/>
              </w:rPr>
            </w:pPr>
            <w:r w:rsidRPr="00DF4CE5">
              <w:rPr>
                <w:rFonts w:ascii="Cambria" w:eastAsia="Calibri" w:hAnsi="Cambria" w:cs="Calibri"/>
                <w:lang w:val="hr-HR"/>
              </w:rPr>
              <w:t>Nema preduvjeta za upis. Za izlazak na ispit potrebno je prethodno položiti kolegije: Dječja književnost na engleskom jeziku I., Dječja književnost na engleskom jeziku II.</w:t>
            </w:r>
          </w:p>
        </w:tc>
      </w:tr>
      <w:tr w:rsidR="002A021D" w:rsidRPr="00D0399C" w14:paraId="7AB534A1" w14:textId="77777777" w:rsidTr="000B2D2C">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735AA46" w14:textId="77777777" w:rsidR="002A021D" w:rsidRPr="00DF4CE5" w:rsidRDefault="002A021D" w:rsidP="000B2D2C">
            <w:pPr>
              <w:spacing w:after="0" w:line="240" w:lineRule="atLeast"/>
              <w:jc w:val="both"/>
              <w:rPr>
                <w:rFonts w:ascii="Cambria" w:eastAsia="Calibri" w:hAnsi="Cambria" w:cs="Calibri"/>
                <w:lang w:val="hr-HR"/>
              </w:rPr>
            </w:pPr>
            <w:proofErr w:type="spellStart"/>
            <w:r w:rsidRPr="00DF4CE5">
              <w:rPr>
                <w:rFonts w:ascii="Cambria" w:eastAsia="Calibri" w:hAnsi="Cambria" w:cs="Calibri"/>
              </w:rPr>
              <w:t>Korelativnost</w:t>
            </w:r>
            <w:proofErr w:type="spellEnd"/>
          </w:p>
        </w:tc>
        <w:tc>
          <w:tcPr>
            <w:tcW w:w="671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0D2312B" w14:textId="77777777" w:rsidR="002A021D" w:rsidRPr="00DF4CE5" w:rsidRDefault="002A021D" w:rsidP="000B2D2C">
            <w:pPr>
              <w:spacing w:after="0" w:line="240" w:lineRule="atLeast"/>
              <w:jc w:val="both"/>
              <w:rPr>
                <w:rFonts w:ascii="Cambria" w:eastAsia="Calibri" w:hAnsi="Cambria" w:cs="Calibri"/>
                <w:lang w:val="hr-HR"/>
              </w:rPr>
            </w:pPr>
            <w:r w:rsidRPr="00DF4CE5">
              <w:rPr>
                <w:rFonts w:ascii="Cambria" w:eastAsia="Calibri" w:hAnsi="Cambria" w:cs="Calibri"/>
                <w:lang w:val="hr-HR"/>
              </w:rPr>
              <w:t>Engleski jezik I., Engleski jezik II., Dječja književnost, Metodika nastave engleskog jezika, Govorne vježbe I./1, Govorne vježbe I./2, Govorne vježbe II./1, Uvod u gramatiku engleskog jezika, pedagoško-psihološki kolegiji koje studenti slušaju na materinskom jeziku.</w:t>
            </w:r>
          </w:p>
        </w:tc>
      </w:tr>
      <w:tr w:rsidR="002A021D" w:rsidRPr="00D0399C" w14:paraId="403071E3" w14:textId="77777777" w:rsidTr="000B2D2C">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4B107EA" w14:textId="77777777" w:rsidR="002A021D" w:rsidRPr="00DF4CE5" w:rsidRDefault="002A021D" w:rsidP="000B2D2C">
            <w:pPr>
              <w:spacing w:after="0" w:line="240" w:lineRule="atLeast"/>
              <w:jc w:val="both"/>
              <w:rPr>
                <w:rFonts w:ascii="Cambria" w:eastAsia="Calibri" w:hAnsi="Cambria" w:cs="Calibri"/>
                <w:lang w:val="hr-HR"/>
              </w:rPr>
            </w:pPr>
            <w:r w:rsidRPr="00DF4CE5">
              <w:rPr>
                <w:rFonts w:ascii="Cambria" w:eastAsia="Calibri" w:hAnsi="Cambria" w:cs="Calibri"/>
                <w:lang w:val="hr-HR"/>
              </w:rPr>
              <w:t xml:space="preserve">Cilj kolegija </w:t>
            </w:r>
          </w:p>
        </w:tc>
        <w:tc>
          <w:tcPr>
            <w:tcW w:w="671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689668F" w14:textId="77777777" w:rsidR="002A021D" w:rsidRPr="00DF4CE5" w:rsidRDefault="002A021D" w:rsidP="000B2D2C">
            <w:pPr>
              <w:spacing w:after="0" w:line="240" w:lineRule="atLeast"/>
              <w:jc w:val="both"/>
              <w:rPr>
                <w:rFonts w:ascii="Cambria" w:eastAsia="Calibri" w:hAnsi="Cambria" w:cs="Calibri"/>
                <w:lang w:val="hr-HR"/>
              </w:rPr>
            </w:pPr>
            <w:r>
              <w:rPr>
                <w:rFonts w:ascii="Cambria" w:eastAsia="Calibri" w:hAnsi="Cambria" w:cs="Calibri"/>
                <w:lang w:val="hr-HR"/>
              </w:rPr>
              <w:t>usvojiti</w:t>
            </w:r>
            <w:r w:rsidRPr="00DF4CE5">
              <w:rPr>
                <w:rFonts w:ascii="Cambria" w:eastAsia="Calibri" w:hAnsi="Cambria" w:cs="Calibri"/>
                <w:lang w:val="hr-HR"/>
              </w:rPr>
              <w:t xml:space="preserve"> kompetencije za klasificiranje, interpretaciju i analizu dječje književnosti na engleskom jeziku</w:t>
            </w:r>
          </w:p>
        </w:tc>
      </w:tr>
      <w:tr w:rsidR="002A021D" w:rsidRPr="00D0399C" w14:paraId="3B56DB24" w14:textId="77777777" w:rsidTr="000B2D2C">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D8DE78F" w14:textId="77777777" w:rsidR="002A021D" w:rsidRPr="00DF4CE5" w:rsidRDefault="002A021D" w:rsidP="000B2D2C">
            <w:pPr>
              <w:spacing w:after="0" w:line="240" w:lineRule="atLeast"/>
              <w:jc w:val="both"/>
              <w:rPr>
                <w:rFonts w:ascii="Cambria" w:eastAsia="Calibri" w:hAnsi="Cambria" w:cs="Calibri"/>
                <w:lang w:val="hr-HR"/>
              </w:rPr>
            </w:pPr>
            <w:r w:rsidRPr="00DF4CE5">
              <w:rPr>
                <w:rFonts w:ascii="Cambria" w:eastAsia="Calibri" w:hAnsi="Cambria" w:cs="Calibri"/>
                <w:lang w:val="hr-HR"/>
              </w:rPr>
              <w:t>Ishodi učenja</w:t>
            </w:r>
          </w:p>
        </w:tc>
        <w:tc>
          <w:tcPr>
            <w:tcW w:w="671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7F92779" w14:textId="77777777" w:rsidR="002A021D" w:rsidRPr="00DF4CE5" w:rsidRDefault="002A021D" w:rsidP="000B2D2C">
            <w:pPr>
              <w:spacing w:after="0" w:line="240" w:lineRule="atLeast"/>
              <w:contextualSpacing/>
              <w:jc w:val="both"/>
              <w:rPr>
                <w:rFonts w:ascii="Cambria" w:eastAsia="Calibri" w:hAnsi="Cambria" w:cs="Calibri"/>
                <w:lang w:val="hr-HR"/>
              </w:rPr>
            </w:pPr>
            <w:r>
              <w:rPr>
                <w:rFonts w:ascii="Cambria" w:eastAsia="Calibri" w:hAnsi="Cambria" w:cs="Calibri"/>
                <w:lang w:val="hr-HR"/>
              </w:rPr>
              <w:t xml:space="preserve">1. </w:t>
            </w:r>
            <w:r w:rsidRPr="00DF4CE5">
              <w:rPr>
                <w:rFonts w:ascii="Cambria" w:eastAsia="Calibri" w:hAnsi="Cambria" w:cs="Calibri"/>
                <w:lang w:val="hr-HR"/>
              </w:rPr>
              <w:t>pravilno definirati i upotrijebiti temeljne pojmove iz područja teorije književnosti</w:t>
            </w:r>
          </w:p>
          <w:p w14:paraId="5C6C3495" w14:textId="77777777" w:rsidR="002A021D" w:rsidRPr="00A57714" w:rsidRDefault="002A021D" w:rsidP="000B2D2C">
            <w:pPr>
              <w:spacing w:after="0" w:line="240" w:lineRule="atLeast"/>
              <w:jc w:val="both"/>
              <w:rPr>
                <w:rFonts w:ascii="Cambria" w:hAnsi="Cambria" w:cs="Calibri"/>
                <w:lang w:val="hr-HR"/>
              </w:rPr>
            </w:pPr>
            <w:r w:rsidRPr="00A57714">
              <w:rPr>
                <w:rFonts w:ascii="Cambria" w:hAnsi="Cambria" w:cs="Calibri"/>
                <w:lang w:val="hr-HR"/>
              </w:rPr>
              <w:t>2.</w:t>
            </w:r>
            <w:r>
              <w:rPr>
                <w:rFonts w:ascii="Cambria" w:hAnsi="Cambria" w:cs="Calibri"/>
                <w:lang w:val="hr-HR"/>
              </w:rPr>
              <w:t xml:space="preserve"> </w:t>
            </w:r>
            <w:r w:rsidRPr="00A57714">
              <w:rPr>
                <w:rFonts w:ascii="Cambria" w:hAnsi="Cambria" w:cs="Calibri"/>
                <w:lang w:val="hr-HR"/>
              </w:rPr>
              <w:t>usporediti stavove, raspoloženje i atmosferu pojedinih književnih epoha, djela i autora dječje književnosti na engleskom jeziku</w:t>
            </w:r>
          </w:p>
          <w:p w14:paraId="3E2A19FC" w14:textId="77777777" w:rsidR="002A021D" w:rsidRPr="00DF4CE5" w:rsidRDefault="002A021D" w:rsidP="000B2D2C">
            <w:pPr>
              <w:spacing w:after="0" w:line="240" w:lineRule="atLeast"/>
              <w:contextualSpacing/>
              <w:jc w:val="both"/>
              <w:rPr>
                <w:rFonts w:ascii="Cambria" w:eastAsia="Calibri" w:hAnsi="Cambria" w:cs="Calibri"/>
                <w:lang w:val="hr-HR"/>
              </w:rPr>
            </w:pPr>
            <w:r>
              <w:rPr>
                <w:rFonts w:ascii="Cambria" w:eastAsia="Calibri" w:hAnsi="Cambria" w:cs="Calibri"/>
                <w:lang w:val="hr-HR"/>
              </w:rPr>
              <w:t xml:space="preserve">3. </w:t>
            </w:r>
            <w:r w:rsidRPr="00DF4CE5">
              <w:rPr>
                <w:rFonts w:ascii="Cambria" w:eastAsia="Calibri" w:hAnsi="Cambria" w:cs="Calibri"/>
                <w:lang w:val="hr-HR"/>
              </w:rPr>
              <w:t>kritički razmatrati odabrane teorijske teme</w:t>
            </w:r>
          </w:p>
          <w:p w14:paraId="7033BAED" w14:textId="77777777" w:rsidR="002A021D" w:rsidRPr="00DF4CE5" w:rsidRDefault="002A021D" w:rsidP="000B2D2C">
            <w:pPr>
              <w:spacing w:after="0" w:line="240" w:lineRule="atLeast"/>
              <w:contextualSpacing/>
              <w:jc w:val="both"/>
              <w:rPr>
                <w:rFonts w:ascii="Cambria" w:eastAsia="Calibri" w:hAnsi="Cambria" w:cs="Calibri"/>
                <w:lang w:val="hr-HR"/>
              </w:rPr>
            </w:pPr>
            <w:r>
              <w:rPr>
                <w:rFonts w:ascii="Cambria" w:eastAsia="Calibri" w:hAnsi="Cambria" w:cs="Calibri"/>
                <w:lang w:val="hr-HR"/>
              </w:rPr>
              <w:t xml:space="preserve">4. </w:t>
            </w:r>
            <w:r w:rsidRPr="00DF4CE5">
              <w:rPr>
                <w:rFonts w:ascii="Cambria" w:eastAsia="Calibri" w:hAnsi="Cambria" w:cs="Calibri"/>
                <w:lang w:val="hr-HR"/>
              </w:rPr>
              <w:t>temeljito analizirati odabrane tekstove</w:t>
            </w:r>
          </w:p>
          <w:p w14:paraId="0B9702E6" w14:textId="77777777" w:rsidR="002A021D" w:rsidRPr="00DF4CE5" w:rsidRDefault="002A021D" w:rsidP="000B2D2C">
            <w:pPr>
              <w:spacing w:after="0" w:line="240" w:lineRule="atLeast"/>
              <w:contextualSpacing/>
              <w:jc w:val="both"/>
              <w:rPr>
                <w:rFonts w:ascii="Cambria" w:eastAsia="Calibri" w:hAnsi="Cambria" w:cs="Calibri"/>
                <w:lang w:val="hr-HR"/>
              </w:rPr>
            </w:pPr>
            <w:r>
              <w:rPr>
                <w:rFonts w:ascii="Cambria" w:eastAsia="Calibri" w:hAnsi="Cambria" w:cs="Calibri"/>
                <w:lang w:val="hr-HR"/>
              </w:rPr>
              <w:t xml:space="preserve">5. </w:t>
            </w:r>
            <w:r w:rsidRPr="00DF4CE5">
              <w:rPr>
                <w:rFonts w:ascii="Cambria" w:eastAsia="Calibri" w:hAnsi="Cambria" w:cs="Calibri"/>
                <w:lang w:val="hr-HR"/>
              </w:rPr>
              <w:t>argumentirati mogućnosti što češće i kvalitetnije primjene dječje književnosti u nastavi engleskoj jezika</w:t>
            </w:r>
          </w:p>
        </w:tc>
      </w:tr>
      <w:tr w:rsidR="002A021D" w:rsidRPr="00DF4CE5" w14:paraId="20A95C38" w14:textId="77777777" w:rsidTr="000B2D2C">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0E21C6A7" w14:textId="77777777" w:rsidR="002A021D" w:rsidRPr="00DF4CE5" w:rsidRDefault="002A021D" w:rsidP="000B2D2C">
            <w:pPr>
              <w:spacing w:after="0" w:line="240" w:lineRule="atLeast"/>
              <w:jc w:val="both"/>
              <w:rPr>
                <w:rFonts w:ascii="Cambria" w:eastAsia="Calibri" w:hAnsi="Cambria" w:cs="Calibri"/>
                <w:lang w:val="hr-HR"/>
              </w:rPr>
            </w:pPr>
            <w:r w:rsidRPr="00DF4CE5">
              <w:rPr>
                <w:rFonts w:ascii="Cambria" w:eastAsia="Calibri" w:hAnsi="Cambria" w:cs="Calibri"/>
                <w:lang w:val="hr-HR"/>
              </w:rPr>
              <w:t>Sadržaj kolegija</w:t>
            </w:r>
          </w:p>
        </w:tc>
        <w:tc>
          <w:tcPr>
            <w:tcW w:w="6717"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0CEAE96" w14:textId="77777777" w:rsidR="002A021D" w:rsidRPr="00DF4CE5" w:rsidRDefault="002A021D" w:rsidP="000B2D2C">
            <w:pPr>
              <w:spacing w:after="0" w:line="240" w:lineRule="atLeast"/>
              <w:contextualSpacing/>
              <w:jc w:val="both"/>
              <w:rPr>
                <w:rFonts w:ascii="Cambria" w:eastAsia="Calibri" w:hAnsi="Cambria" w:cs="Calibri"/>
                <w:lang w:val="hr-HR"/>
              </w:rPr>
            </w:pPr>
            <w:r>
              <w:rPr>
                <w:rFonts w:ascii="Cambria" w:eastAsia="Calibri" w:hAnsi="Cambria" w:cs="Calibri"/>
                <w:lang w:val="hr-HR"/>
              </w:rPr>
              <w:t xml:space="preserve">1. </w:t>
            </w:r>
            <w:r w:rsidRPr="00DF4CE5">
              <w:rPr>
                <w:rFonts w:ascii="Cambria" w:eastAsia="Calibri" w:hAnsi="Cambria" w:cs="Calibri"/>
                <w:lang w:val="hr-HR"/>
              </w:rPr>
              <w:t xml:space="preserve">Dječja književnost: </w:t>
            </w:r>
            <w:proofErr w:type="spellStart"/>
            <w:r w:rsidRPr="00DF4CE5">
              <w:rPr>
                <w:rFonts w:ascii="Cambria" w:eastAsia="Calibri" w:hAnsi="Cambria" w:cs="Calibri"/>
                <w:lang w:val="hr-HR"/>
              </w:rPr>
              <w:t>fantasy</w:t>
            </w:r>
            <w:proofErr w:type="spellEnd"/>
            <w:r w:rsidRPr="00DF4CE5">
              <w:rPr>
                <w:rFonts w:ascii="Cambria" w:eastAsia="Calibri" w:hAnsi="Cambria" w:cs="Calibri"/>
                <w:lang w:val="hr-HR"/>
              </w:rPr>
              <w:t>.</w:t>
            </w:r>
          </w:p>
          <w:p w14:paraId="540C99FE" w14:textId="77777777" w:rsidR="002A021D" w:rsidRPr="00DF4CE5" w:rsidRDefault="002A021D" w:rsidP="000B2D2C">
            <w:pPr>
              <w:spacing w:after="0" w:line="240" w:lineRule="atLeast"/>
              <w:contextualSpacing/>
              <w:jc w:val="both"/>
              <w:rPr>
                <w:rFonts w:ascii="Cambria" w:eastAsia="Calibri" w:hAnsi="Cambria" w:cs="Calibri"/>
                <w:lang w:val="hr-HR"/>
              </w:rPr>
            </w:pPr>
            <w:r>
              <w:rPr>
                <w:rFonts w:ascii="Cambria" w:eastAsia="Calibri" w:hAnsi="Cambria" w:cs="Calibri"/>
                <w:lang w:val="hr-HR"/>
              </w:rPr>
              <w:t xml:space="preserve">2. </w:t>
            </w:r>
            <w:r w:rsidRPr="00DF4CE5">
              <w:rPr>
                <w:rFonts w:ascii="Cambria" w:eastAsia="Calibri" w:hAnsi="Cambria" w:cs="Calibri"/>
                <w:lang w:val="hr-HR"/>
              </w:rPr>
              <w:t xml:space="preserve">Tipovi </w:t>
            </w:r>
            <w:proofErr w:type="spellStart"/>
            <w:r w:rsidRPr="00DF4CE5">
              <w:rPr>
                <w:rFonts w:ascii="Cambria" w:eastAsia="Calibri" w:hAnsi="Cambria" w:cs="Calibri"/>
                <w:lang w:val="hr-HR"/>
              </w:rPr>
              <w:t>fantasy</w:t>
            </w:r>
            <w:proofErr w:type="spellEnd"/>
            <w:r w:rsidRPr="00DF4CE5">
              <w:rPr>
                <w:rFonts w:ascii="Cambria" w:eastAsia="Calibri" w:hAnsi="Cambria" w:cs="Calibri"/>
                <w:lang w:val="hr-HR"/>
              </w:rPr>
              <w:t xml:space="preserve"> književnosti za djecu i povijesni pregled. </w:t>
            </w:r>
          </w:p>
          <w:p w14:paraId="027C7587" w14:textId="77777777" w:rsidR="002A021D" w:rsidRPr="00DF4CE5" w:rsidRDefault="002A021D" w:rsidP="000B2D2C">
            <w:pPr>
              <w:spacing w:after="0" w:line="240" w:lineRule="atLeast"/>
              <w:contextualSpacing/>
              <w:jc w:val="both"/>
              <w:rPr>
                <w:rFonts w:ascii="Cambria" w:eastAsia="Calibri" w:hAnsi="Cambria" w:cs="Calibri"/>
                <w:lang w:val="hr-HR"/>
              </w:rPr>
            </w:pPr>
            <w:r>
              <w:rPr>
                <w:rFonts w:ascii="Cambria" w:eastAsia="Calibri" w:hAnsi="Cambria" w:cs="Calibri"/>
                <w:lang w:val="hr-HR"/>
              </w:rPr>
              <w:t xml:space="preserve">3. </w:t>
            </w:r>
            <w:r w:rsidRPr="00DF4CE5">
              <w:rPr>
                <w:rFonts w:ascii="Cambria" w:eastAsia="Calibri" w:hAnsi="Cambria" w:cs="Calibri"/>
                <w:lang w:val="hr-HR"/>
              </w:rPr>
              <w:t>Znanstvena fantastika u književnosti za djecu.</w:t>
            </w:r>
          </w:p>
          <w:p w14:paraId="7BB55DC2" w14:textId="77777777" w:rsidR="002A021D" w:rsidRPr="00DF4CE5" w:rsidRDefault="002A021D" w:rsidP="000B2D2C">
            <w:pPr>
              <w:spacing w:after="0" w:line="240" w:lineRule="atLeast"/>
              <w:contextualSpacing/>
              <w:jc w:val="both"/>
              <w:rPr>
                <w:rFonts w:ascii="Cambria" w:eastAsia="Calibri" w:hAnsi="Cambria" w:cs="Calibri"/>
                <w:lang w:val="hr-HR"/>
              </w:rPr>
            </w:pPr>
            <w:r>
              <w:rPr>
                <w:rFonts w:ascii="Cambria" w:eastAsia="Calibri" w:hAnsi="Cambria" w:cs="Calibri"/>
                <w:lang w:val="hr-HR"/>
              </w:rPr>
              <w:t xml:space="preserve">4. </w:t>
            </w:r>
            <w:proofErr w:type="spellStart"/>
            <w:r w:rsidRPr="00DF4CE5">
              <w:rPr>
                <w:rFonts w:ascii="Cambria" w:eastAsia="Calibri" w:hAnsi="Cambria" w:cs="Calibri"/>
                <w:lang w:val="hr-HR"/>
              </w:rPr>
              <w:t>Nefikcionalni</w:t>
            </w:r>
            <w:proofErr w:type="spellEnd"/>
            <w:r w:rsidRPr="00DF4CE5">
              <w:rPr>
                <w:rFonts w:ascii="Cambria" w:eastAsia="Calibri" w:hAnsi="Cambria" w:cs="Calibri"/>
                <w:lang w:val="hr-HR"/>
              </w:rPr>
              <w:t xml:space="preserve"> žanrovi. Biografije, autobiografije. Putopisi.</w:t>
            </w:r>
          </w:p>
          <w:p w14:paraId="77DAD1A3" w14:textId="77777777" w:rsidR="002A021D" w:rsidRPr="00DF4CE5" w:rsidRDefault="002A021D" w:rsidP="000B2D2C">
            <w:pPr>
              <w:spacing w:after="0" w:line="240" w:lineRule="atLeast"/>
              <w:contextualSpacing/>
              <w:jc w:val="both"/>
              <w:rPr>
                <w:rFonts w:ascii="Cambria" w:eastAsia="Calibri" w:hAnsi="Cambria" w:cs="Calibri"/>
                <w:lang w:val="hr-HR"/>
              </w:rPr>
            </w:pPr>
            <w:r>
              <w:rPr>
                <w:rFonts w:ascii="Cambria" w:eastAsia="Calibri" w:hAnsi="Cambria" w:cs="Calibri"/>
                <w:lang w:val="hr-HR"/>
              </w:rPr>
              <w:t xml:space="preserve">5. </w:t>
            </w:r>
            <w:r w:rsidRPr="00DF4CE5">
              <w:rPr>
                <w:rFonts w:ascii="Cambria" w:eastAsia="Calibri" w:hAnsi="Cambria" w:cs="Calibri"/>
                <w:lang w:val="hr-HR"/>
              </w:rPr>
              <w:t>Književnost za djecu i vizualne umjetnosti. Strip.</w:t>
            </w:r>
          </w:p>
        </w:tc>
      </w:tr>
      <w:tr w:rsidR="002A021D" w:rsidRPr="00DF4CE5" w14:paraId="29501422" w14:textId="77777777" w:rsidTr="000B2D2C">
        <w:tc>
          <w:tcPr>
            <w:tcW w:w="2623"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hideMark/>
          </w:tcPr>
          <w:p w14:paraId="1C438984" w14:textId="77777777" w:rsidR="002A021D" w:rsidRPr="00DF4CE5" w:rsidRDefault="002A021D" w:rsidP="000B2D2C">
            <w:pPr>
              <w:spacing w:after="0" w:line="240" w:lineRule="atLeast"/>
              <w:jc w:val="both"/>
              <w:rPr>
                <w:rFonts w:ascii="Cambria" w:eastAsia="Calibri" w:hAnsi="Cambria" w:cs="Calibri"/>
                <w:lang w:val="hr-HR"/>
              </w:rPr>
            </w:pPr>
            <w:r w:rsidRPr="00DF4CE5">
              <w:rPr>
                <w:rFonts w:ascii="Cambria" w:eastAsia="Calibri" w:hAnsi="Cambria" w:cs="Calibri"/>
                <w:lang w:val="hr-HR"/>
              </w:rPr>
              <w:t>Planirane aktivnosti,</w:t>
            </w:r>
          </w:p>
          <w:p w14:paraId="65FF5721" w14:textId="77777777" w:rsidR="002A021D" w:rsidRPr="00DF4CE5" w:rsidRDefault="002A021D" w:rsidP="000B2D2C">
            <w:pPr>
              <w:spacing w:after="0" w:line="240" w:lineRule="atLeast"/>
              <w:rPr>
                <w:rFonts w:ascii="Cambria" w:eastAsia="Calibri" w:hAnsi="Cambria" w:cs="Calibri"/>
                <w:lang w:val="hr-HR"/>
              </w:rPr>
            </w:pPr>
            <w:proofErr w:type="spellStart"/>
            <w:r w:rsidRPr="00DF4CE5">
              <w:rPr>
                <w:rFonts w:ascii="Cambria" w:eastAsia="Calibri" w:hAnsi="Cambria" w:cs="Calibri"/>
                <w:lang w:val="it-IT"/>
              </w:rPr>
              <w:t>metode</w:t>
            </w:r>
            <w:proofErr w:type="spellEnd"/>
            <w:r w:rsidRPr="00DF4CE5">
              <w:rPr>
                <w:rFonts w:ascii="Cambria" w:eastAsia="Calibri" w:hAnsi="Cambria" w:cs="Calibri"/>
                <w:lang w:val="hr-HR"/>
              </w:rPr>
              <w:t xml:space="preserve"> učenja i poučavanja i načini vrednovanja</w:t>
            </w:r>
          </w:p>
          <w:p w14:paraId="0FBE8673" w14:textId="77777777" w:rsidR="002A021D" w:rsidRPr="00DF4CE5" w:rsidRDefault="002A021D" w:rsidP="000B2D2C">
            <w:pPr>
              <w:spacing w:after="0" w:line="240" w:lineRule="atLeast"/>
              <w:jc w:val="both"/>
              <w:rPr>
                <w:rFonts w:ascii="Cambria" w:eastAsia="Calibri" w:hAnsi="Cambria" w:cs="Calibri"/>
                <w:lang w:val="hr-HR"/>
              </w:rPr>
            </w:pPr>
          </w:p>
        </w:tc>
        <w:tc>
          <w:tcPr>
            <w:tcW w:w="258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B38AE1D" w14:textId="77777777" w:rsidR="002A021D" w:rsidRPr="00A57714" w:rsidRDefault="002A021D" w:rsidP="000B2D2C">
            <w:pPr>
              <w:spacing w:after="0" w:line="240" w:lineRule="atLeast"/>
              <w:jc w:val="both"/>
              <w:rPr>
                <w:rFonts w:ascii="Cambria" w:eastAsia="Calibri" w:hAnsi="Cambria" w:cs="Calibri"/>
                <w:lang w:val="hr-HR"/>
              </w:rPr>
            </w:pPr>
            <w:r w:rsidRPr="00A57714">
              <w:rPr>
                <w:rFonts w:ascii="Cambria" w:eastAsia="Calibri" w:hAnsi="Cambria" w:cs="Calibri"/>
                <w:bCs/>
                <w:lang w:val="hr-HR"/>
              </w:rPr>
              <w:t xml:space="preserve">Obveze </w:t>
            </w:r>
          </w:p>
        </w:tc>
        <w:tc>
          <w:tcPr>
            <w:tcW w:w="10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87C5B2F" w14:textId="77777777" w:rsidR="002A021D" w:rsidRPr="00A57714" w:rsidRDefault="002A021D" w:rsidP="000B2D2C">
            <w:pPr>
              <w:spacing w:after="0" w:line="240" w:lineRule="atLeast"/>
              <w:jc w:val="both"/>
              <w:rPr>
                <w:rFonts w:ascii="Cambria" w:eastAsia="Calibri" w:hAnsi="Cambria" w:cs="Calibri"/>
                <w:lang w:val="hr-HR"/>
              </w:rPr>
            </w:pPr>
            <w:r w:rsidRPr="00A57714">
              <w:rPr>
                <w:rFonts w:ascii="Cambria" w:eastAsia="Calibri" w:hAnsi="Cambria" w:cs="Calibri"/>
                <w:bCs/>
                <w:lang w:val="hr-HR"/>
              </w:rPr>
              <w:t>Ishodi</w:t>
            </w:r>
          </w:p>
        </w:tc>
        <w:tc>
          <w:tcPr>
            <w:tcW w:w="71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5C31350" w14:textId="77777777" w:rsidR="002A021D" w:rsidRPr="00A57714" w:rsidRDefault="002A021D" w:rsidP="000B2D2C">
            <w:pPr>
              <w:spacing w:after="0" w:line="240" w:lineRule="atLeast"/>
              <w:jc w:val="both"/>
              <w:rPr>
                <w:rFonts w:ascii="Cambria" w:eastAsia="Calibri" w:hAnsi="Cambria" w:cs="Calibri"/>
                <w:lang w:val="hr-HR"/>
              </w:rPr>
            </w:pPr>
            <w:r w:rsidRPr="00A57714">
              <w:rPr>
                <w:rFonts w:ascii="Cambria" w:eastAsia="Calibri" w:hAnsi="Cambria" w:cs="Calibri"/>
                <w:bCs/>
                <w:lang w:val="hr-HR"/>
              </w:rPr>
              <w:t>Sati</w:t>
            </w:r>
          </w:p>
        </w:tc>
        <w:tc>
          <w:tcPr>
            <w:tcW w:w="101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7C8937E" w14:textId="77777777" w:rsidR="002A021D" w:rsidRPr="00A57714" w:rsidRDefault="002A021D" w:rsidP="000B2D2C">
            <w:pPr>
              <w:spacing w:after="0" w:line="240" w:lineRule="atLeast"/>
              <w:jc w:val="both"/>
              <w:rPr>
                <w:rFonts w:ascii="Cambria" w:eastAsia="Calibri" w:hAnsi="Cambria" w:cs="Calibri"/>
                <w:lang w:val="hr-HR"/>
              </w:rPr>
            </w:pPr>
            <w:r w:rsidRPr="00A57714">
              <w:rPr>
                <w:rFonts w:ascii="Cambria" w:eastAsia="Calibri" w:hAnsi="Cambria" w:cs="Calibri"/>
                <w:bCs/>
                <w:lang w:val="hr-HR"/>
              </w:rPr>
              <w:t>ECTS</w:t>
            </w:r>
            <w:r w:rsidRPr="00A57714">
              <w:rPr>
                <w:rFonts w:ascii="Cambria" w:eastAsia="Calibri" w:hAnsi="Cambria" w:cs="Calibri"/>
                <w:lang w:val="hr-HR"/>
              </w:rPr>
              <w:t xml:space="preserve"> </w:t>
            </w:r>
          </w:p>
        </w:tc>
        <w:tc>
          <w:tcPr>
            <w:tcW w:w="131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4CF21CA" w14:textId="77777777" w:rsidR="002A021D" w:rsidRPr="00A57714" w:rsidRDefault="002A021D" w:rsidP="000B2D2C">
            <w:pPr>
              <w:spacing w:after="0" w:line="240" w:lineRule="atLeast"/>
              <w:rPr>
                <w:rFonts w:ascii="Cambria" w:eastAsia="Calibri" w:hAnsi="Cambria" w:cs="Calibri"/>
                <w:lang w:val="hr-HR"/>
              </w:rPr>
            </w:pPr>
            <w:r w:rsidRPr="00A57714">
              <w:rPr>
                <w:rFonts w:ascii="Cambria" w:eastAsia="Calibri" w:hAnsi="Cambria" w:cs="Calibri"/>
                <w:bCs/>
                <w:lang w:val="hr-HR"/>
              </w:rPr>
              <w:t>Maksimalni udio u ocjeni</w:t>
            </w:r>
            <w:r w:rsidRPr="00A57714">
              <w:rPr>
                <w:rFonts w:ascii="Cambria" w:eastAsia="Calibri" w:hAnsi="Cambria" w:cs="Calibri"/>
                <w:bCs/>
              </w:rPr>
              <w:t xml:space="preserve"> (%)</w:t>
            </w:r>
          </w:p>
        </w:tc>
      </w:tr>
      <w:tr w:rsidR="002A021D" w:rsidRPr="00DF4CE5" w14:paraId="7D15CEBC" w14:textId="77777777" w:rsidTr="000B2D2C">
        <w:tc>
          <w:tcPr>
            <w:tcW w:w="2623" w:type="dxa"/>
            <w:vMerge/>
            <w:tcBorders>
              <w:left w:val="single" w:sz="8" w:space="0" w:color="000000"/>
              <w:right w:val="single" w:sz="8" w:space="0" w:color="000000"/>
            </w:tcBorders>
            <w:vAlign w:val="center"/>
            <w:hideMark/>
          </w:tcPr>
          <w:p w14:paraId="0021165A" w14:textId="77777777" w:rsidR="002A021D" w:rsidRPr="00DF4CE5" w:rsidRDefault="002A021D" w:rsidP="000B2D2C">
            <w:pPr>
              <w:spacing w:after="0" w:line="240" w:lineRule="atLeast"/>
              <w:jc w:val="both"/>
              <w:rPr>
                <w:rFonts w:ascii="Cambria" w:eastAsia="Calibri" w:hAnsi="Cambria" w:cs="Calibri"/>
                <w:lang w:val="hr-HR"/>
              </w:rPr>
            </w:pPr>
          </w:p>
        </w:tc>
        <w:tc>
          <w:tcPr>
            <w:tcW w:w="258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0631E70" w14:textId="77777777" w:rsidR="002A021D" w:rsidRPr="00A57714" w:rsidRDefault="002A021D" w:rsidP="000B2D2C">
            <w:pPr>
              <w:spacing w:after="0" w:line="240" w:lineRule="atLeast"/>
              <w:rPr>
                <w:rFonts w:ascii="Cambria" w:eastAsia="Calibri" w:hAnsi="Cambria" w:cs="Calibri"/>
                <w:lang w:val="it-IT"/>
              </w:rPr>
            </w:pPr>
            <w:proofErr w:type="spellStart"/>
            <w:r w:rsidRPr="00A57714">
              <w:rPr>
                <w:rFonts w:ascii="Cambria" w:eastAsia="Times New Roman" w:hAnsi="Cambria" w:cs="Calibri"/>
                <w:lang w:val="it-IT"/>
              </w:rPr>
              <w:t>aktivnost</w:t>
            </w:r>
            <w:proofErr w:type="spellEnd"/>
            <w:r w:rsidRPr="00A57714">
              <w:rPr>
                <w:rFonts w:ascii="Cambria" w:eastAsia="Times New Roman" w:hAnsi="Cambria" w:cs="Calibri"/>
                <w:lang w:val="it-IT"/>
              </w:rPr>
              <w:t xml:space="preserve"> </w:t>
            </w:r>
            <w:proofErr w:type="spellStart"/>
            <w:r w:rsidRPr="00A57714">
              <w:rPr>
                <w:rFonts w:ascii="Cambria" w:eastAsia="Times New Roman" w:hAnsi="Cambria" w:cs="Calibri"/>
                <w:lang w:val="it-IT"/>
              </w:rPr>
              <w:t>na</w:t>
            </w:r>
            <w:proofErr w:type="spellEnd"/>
            <w:r w:rsidRPr="00A57714">
              <w:rPr>
                <w:rFonts w:ascii="Cambria" w:eastAsia="Times New Roman" w:hAnsi="Cambria" w:cs="Calibri"/>
                <w:lang w:val="it-IT"/>
              </w:rPr>
              <w:t xml:space="preserve"> </w:t>
            </w:r>
            <w:proofErr w:type="spellStart"/>
            <w:r w:rsidRPr="00A57714">
              <w:rPr>
                <w:rFonts w:ascii="Cambria" w:eastAsia="Times New Roman" w:hAnsi="Cambria" w:cs="Calibri"/>
                <w:lang w:val="it-IT"/>
              </w:rPr>
              <w:t>nastavi</w:t>
            </w:r>
            <w:proofErr w:type="spellEnd"/>
            <w:r w:rsidRPr="00A57714">
              <w:rPr>
                <w:rFonts w:ascii="Cambria" w:eastAsia="Times New Roman" w:hAnsi="Cambria" w:cs="Calibri"/>
                <w:lang w:val="it-IT"/>
              </w:rPr>
              <w:t xml:space="preserve"> (P, S</w:t>
            </w:r>
            <w:r>
              <w:rPr>
                <w:rFonts w:ascii="Cambria" w:eastAsia="Times New Roman" w:hAnsi="Cambria" w:cs="Calibri"/>
                <w:lang w:val="it-IT"/>
              </w:rPr>
              <w:t>)</w:t>
            </w:r>
          </w:p>
        </w:tc>
        <w:tc>
          <w:tcPr>
            <w:tcW w:w="10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5937AD1" w14:textId="77777777" w:rsidR="002A021D" w:rsidRPr="00DF4CE5" w:rsidRDefault="002A021D" w:rsidP="000B2D2C">
            <w:pPr>
              <w:spacing w:after="0" w:line="240" w:lineRule="atLeast"/>
              <w:jc w:val="center"/>
              <w:rPr>
                <w:rFonts w:ascii="Cambria" w:eastAsia="Calibri" w:hAnsi="Cambria" w:cs="Calibri"/>
                <w:lang w:val="hr-HR"/>
              </w:rPr>
            </w:pPr>
            <w:r w:rsidRPr="00DF4CE5">
              <w:rPr>
                <w:rFonts w:ascii="Cambria" w:eastAsia="Calibri" w:hAnsi="Cambria" w:cs="Calibri"/>
                <w:lang w:val="hr-HR"/>
              </w:rPr>
              <w:t>1.</w:t>
            </w:r>
            <w:r>
              <w:rPr>
                <w:rFonts w:ascii="Cambria" w:eastAsia="Calibri" w:hAnsi="Cambria" w:cs="Calibri"/>
                <w:lang w:val="hr-HR"/>
              </w:rPr>
              <w:t xml:space="preserve"> – </w:t>
            </w:r>
            <w:r w:rsidRPr="00DF4CE5">
              <w:rPr>
                <w:rFonts w:ascii="Cambria" w:eastAsia="Calibri" w:hAnsi="Cambria" w:cs="Calibri"/>
                <w:lang w:val="hr-HR"/>
              </w:rPr>
              <w:t>5.</w:t>
            </w:r>
          </w:p>
        </w:tc>
        <w:tc>
          <w:tcPr>
            <w:tcW w:w="71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5DB7AC0" w14:textId="77777777" w:rsidR="002A021D" w:rsidRPr="00DF4CE5" w:rsidRDefault="002A021D" w:rsidP="000B2D2C">
            <w:pPr>
              <w:spacing w:after="0" w:line="240" w:lineRule="atLeast"/>
              <w:jc w:val="center"/>
              <w:rPr>
                <w:rFonts w:ascii="Cambria" w:eastAsia="Calibri" w:hAnsi="Cambria" w:cs="Calibri"/>
                <w:lang w:val="hr-HR"/>
              </w:rPr>
            </w:pPr>
            <w:r w:rsidRPr="00DF4CE5">
              <w:rPr>
                <w:rFonts w:ascii="Cambria" w:eastAsia="Calibri" w:hAnsi="Cambria" w:cs="Calibri"/>
                <w:lang w:val="hr-HR"/>
              </w:rPr>
              <w:t>23</w:t>
            </w:r>
          </w:p>
        </w:tc>
        <w:tc>
          <w:tcPr>
            <w:tcW w:w="101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000E71A" w14:textId="77777777" w:rsidR="002A021D" w:rsidRPr="00DF4CE5" w:rsidRDefault="002A021D" w:rsidP="000B2D2C">
            <w:pPr>
              <w:spacing w:after="0" w:line="240" w:lineRule="atLeast"/>
              <w:jc w:val="center"/>
              <w:rPr>
                <w:rFonts w:ascii="Cambria" w:eastAsia="Calibri" w:hAnsi="Cambria" w:cs="Calibri"/>
                <w:lang w:val="hr-HR"/>
              </w:rPr>
            </w:pPr>
            <w:r w:rsidRPr="00DF4CE5">
              <w:rPr>
                <w:rFonts w:ascii="Cambria" w:eastAsia="Calibri" w:hAnsi="Cambria" w:cs="Calibri"/>
                <w:lang w:val="hr-HR"/>
              </w:rPr>
              <w:t>0,8</w:t>
            </w:r>
          </w:p>
        </w:tc>
        <w:tc>
          <w:tcPr>
            <w:tcW w:w="131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DAE91A3" w14:textId="77777777" w:rsidR="002A021D" w:rsidRPr="00DF4CE5" w:rsidRDefault="002A021D" w:rsidP="000B2D2C">
            <w:pPr>
              <w:spacing w:after="0" w:line="240" w:lineRule="atLeast"/>
              <w:jc w:val="center"/>
              <w:rPr>
                <w:rFonts w:ascii="Cambria" w:eastAsia="Calibri" w:hAnsi="Cambria" w:cs="Calibri"/>
                <w:lang w:val="hr-HR"/>
              </w:rPr>
            </w:pPr>
            <w:r w:rsidRPr="00DF4CE5">
              <w:rPr>
                <w:rFonts w:ascii="Cambria" w:eastAsia="Calibri" w:hAnsi="Cambria" w:cs="Calibri"/>
                <w:lang w:val="hr-HR"/>
              </w:rPr>
              <w:t>10%</w:t>
            </w:r>
          </w:p>
        </w:tc>
      </w:tr>
      <w:tr w:rsidR="002A021D" w:rsidRPr="00DF4CE5" w14:paraId="238F20DA" w14:textId="77777777" w:rsidTr="000B2D2C">
        <w:tc>
          <w:tcPr>
            <w:tcW w:w="2623" w:type="dxa"/>
            <w:vMerge/>
            <w:tcBorders>
              <w:left w:val="single" w:sz="8" w:space="0" w:color="000000"/>
              <w:right w:val="single" w:sz="8" w:space="0" w:color="000000"/>
            </w:tcBorders>
            <w:vAlign w:val="center"/>
            <w:hideMark/>
          </w:tcPr>
          <w:p w14:paraId="48A90F29" w14:textId="77777777" w:rsidR="002A021D" w:rsidRPr="00DF4CE5" w:rsidRDefault="002A021D" w:rsidP="000B2D2C">
            <w:pPr>
              <w:spacing w:after="0" w:line="240" w:lineRule="atLeast"/>
              <w:jc w:val="both"/>
              <w:rPr>
                <w:rFonts w:ascii="Cambria" w:eastAsia="Calibri" w:hAnsi="Cambria" w:cs="Calibri"/>
                <w:lang w:val="hr-HR"/>
              </w:rPr>
            </w:pPr>
          </w:p>
        </w:tc>
        <w:tc>
          <w:tcPr>
            <w:tcW w:w="258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8B78452" w14:textId="77777777" w:rsidR="002A021D" w:rsidRPr="00DF4CE5" w:rsidRDefault="002A021D" w:rsidP="000B2D2C">
            <w:pPr>
              <w:spacing w:after="0" w:line="240" w:lineRule="atLeast"/>
              <w:jc w:val="both"/>
              <w:rPr>
                <w:rFonts w:ascii="Cambria" w:eastAsia="Calibri" w:hAnsi="Cambria" w:cs="Calibri"/>
                <w:lang w:val="hr-HR"/>
              </w:rPr>
            </w:pPr>
            <w:r w:rsidRPr="00DF4CE5">
              <w:rPr>
                <w:rFonts w:ascii="Cambria" w:eastAsia="Calibri" w:hAnsi="Cambria" w:cs="Calibri"/>
                <w:lang w:val="hr-HR"/>
              </w:rPr>
              <w:t>usmeno izlaganje i pisana obrada teme</w:t>
            </w:r>
          </w:p>
        </w:tc>
        <w:tc>
          <w:tcPr>
            <w:tcW w:w="10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35BEAE5" w14:textId="77777777" w:rsidR="002A021D" w:rsidRPr="00DF4CE5" w:rsidRDefault="002A021D" w:rsidP="000B2D2C">
            <w:pPr>
              <w:spacing w:after="0" w:line="240" w:lineRule="atLeast"/>
              <w:jc w:val="center"/>
              <w:rPr>
                <w:rFonts w:ascii="Cambria" w:eastAsia="Calibri" w:hAnsi="Cambria" w:cs="Calibri"/>
                <w:lang w:val="hr-HR"/>
              </w:rPr>
            </w:pPr>
            <w:r w:rsidRPr="00DF4CE5">
              <w:rPr>
                <w:rFonts w:ascii="Cambria" w:eastAsia="Calibri" w:hAnsi="Cambria" w:cs="Calibri"/>
                <w:lang w:val="hr-HR"/>
              </w:rPr>
              <w:t>4.</w:t>
            </w:r>
            <w:r>
              <w:rPr>
                <w:rFonts w:ascii="Cambria" w:eastAsia="Calibri" w:hAnsi="Cambria" w:cs="Calibri"/>
                <w:lang w:val="hr-HR"/>
              </w:rPr>
              <w:t xml:space="preserve"> – </w:t>
            </w:r>
            <w:r w:rsidRPr="00DF4CE5">
              <w:rPr>
                <w:rFonts w:ascii="Cambria" w:eastAsia="Calibri" w:hAnsi="Cambria" w:cs="Calibri"/>
                <w:lang w:val="hr-HR"/>
              </w:rPr>
              <w:t>5.</w:t>
            </w:r>
          </w:p>
        </w:tc>
        <w:tc>
          <w:tcPr>
            <w:tcW w:w="71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84F3A5F" w14:textId="77777777" w:rsidR="002A021D" w:rsidRPr="00DF4CE5" w:rsidRDefault="002A021D" w:rsidP="000B2D2C">
            <w:pPr>
              <w:spacing w:after="0" w:line="240" w:lineRule="atLeast"/>
              <w:jc w:val="center"/>
              <w:rPr>
                <w:rFonts w:ascii="Cambria" w:eastAsia="Calibri" w:hAnsi="Cambria" w:cs="Calibri"/>
                <w:lang w:val="hr-HR"/>
              </w:rPr>
            </w:pPr>
            <w:r w:rsidRPr="00DF4CE5">
              <w:rPr>
                <w:rFonts w:ascii="Cambria" w:eastAsia="Calibri" w:hAnsi="Cambria" w:cs="Calibri"/>
                <w:lang w:val="hr-HR"/>
              </w:rPr>
              <w:t>23</w:t>
            </w:r>
          </w:p>
        </w:tc>
        <w:tc>
          <w:tcPr>
            <w:tcW w:w="101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27F068E" w14:textId="77777777" w:rsidR="002A021D" w:rsidRPr="00DF4CE5" w:rsidRDefault="002A021D" w:rsidP="000B2D2C">
            <w:pPr>
              <w:spacing w:after="0" w:line="240" w:lineRule="atLeast"/>
              <w:jc w:val="center"/>
              <w:rPr>
                <w:rFonts w:ascii="Cambria" w:eastAsia="Calibri" w:hAnsi="Cambria" w:cs="Calibri"/>
                <w:lang w:val="hr-HR"/>
              </w:rPr>
            </w:pPr>
            <w:r w:rsidRPr="00DF4CE5">
              <w:rPr>
                <w:rFonts w:ascii="Cambria" w:eastAsia="Calibri" w:hAnsi="Cambria" w:cs="Calibri"/>
                <w:lang w:val="hr-HR"/>
              </w:rPr>
              <w:t>0,8</w:t>
            </w:r>
          </w:p>
        </w:tc>
        <w:tc>
          <w:tcPr>
            <w:tcW w:w="131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E2B70B2" w14:textId="77777777" w:rsidR="002A021D" w:rsidRPr="00DF4CE5" w:rsidRDefault="002A021D" w:rsidP="000B2D2C">
            <w:pPr>
              <w:spacing w:after="0" w:line="240" w:lineRule="atLeast"/>
              <w:jc w:val="center"/>
              <w:rPr>
                <w:rFonts w:ascii="Cambria" w:eastAsia="Calibri" w:hAnsi="Cambria" w:cs="Calibri"/>
                <w:lang w:val="hr-HR"/>
              </w:rPr>
            </w:pPr>
            <w:r w:rsidRPr="00DF4CE5">
              <w:rPr>
                <w:rFonts w:ascii="Cambria" w:eastAsia="Calibri" w:hAnsi="Cambria" w:cs="Calibri"/>
                <w:lang w:val="hr-HR"/>
              </w:rPr>
              <w:t>30%</w:t>
            </w:r>
          </w:p>
        </w:tc>
      </w:tr>
      <w:tr w:rsidR="002A021D" w:rsidRPr="00DF4CE5" w14:paraId="23521E15" w14:textId="77777777" w:rsidTr="000B2D2C">
        <w:tc>
          <w:tcPr>
            <w:tcW w:w="2623" w:type="dxa"/>
            <w:vMerge/>
            <w:tcBorders>
              <w:left w:val="single" w:sz="8" w:space="0" w:color="000000"/>
              <w:right w:val="single" w:sz="8" w:space="0" w:color="000000"/>
            </w:tcBorders>
            <w:vAlign w:val="center"/>
            <w:hideMark/>
          </w:tcPr>
          <w:p w14:paraId="44EC09E9" w14:textId="77777777" w:rsidR="002A021D" w:rsidRPr="00DF4CE5" w:rsidRDefault="002A021D" w:rsidP="000B2D2C">
            <w:pPr>
              <w:spacing w:after="0" w:line="240" w:lineRule="atLeast"/>
              <w:jc w:val="both"/>
              <w:rPr>
                <w:rFonts w:ascii="Cambria" w:eastAsia="Calibri" w:hAnsi="Cambria" w:cs="Calibri"/>
                <w:lang w:val="hr-HR"/>
              </w:rPr>
            </w:pPr>
          </w:p>
        </w:tc>
        <w:tc>
          <w:tcPr>
            <w:tcW w:w="258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E450AC2" w14:textId="77777777" w:rsidR="002A021D" w:rsidRPr="00DF4CE5" w:rsidRDefault="002A021D" w:rsidP="000B2D2C">
            <w:pPr>
              <w:spacing w:after="0" w:line="240" w:lineRule="atLeast"/>
              <w:jc w:val="both"/>
              <w:rPr>
                <w:rFonts w:ascii="Cambria" w:eastAsia="Calibri" w:hAnsi="Cambria" w:cs="Calibri"/>
                <w:lang w:val="hr-HR"/>
              </w:rPr>
            </w:pPr>
            <w:proofErr w:type="spellStart"/>
            <w:r w:rsidRPr="00DF4CE5">
              <w:rPr>
                <w:rFonts w:ascii="Cambria" w:eastAsia="Calibri" w:hAnsi="Cambria" w:cs="Calibri"/>
              </w:rPr>
              <w:t>dva</w:t>
            </w:r>
            <w:proofErr w:type="spellEnd"/>
            <w:r w:rsidRPr="00DF4CE5">
              <w:rPr>
                <w:rFonts w:ascii="Cambria" w:eastAsia="Calibri" w:hAnsi="Cambria" w:cs="Calibri"/>
              </w:rPr>
              <w:t xml:space="preserve"> </w:t>
            </w:r>
            <w:proofErr w:type="spellStart"/>
            <w:r w:rsidRPr="00DF4CE5">
              <w:rPr>
                <w:rFonts w:ascii="Cambria" w:eastAsia="Calibri" w:hAnsi="Cambria" w:cs="Calibri"/>
              </w:rPr>
              <w:t>pisana</w:t>
            </w:r>
            <w:proofErr w:type="spellEnd"/>
            <w:r w:rsidRPr="00DF4CE5">
              <w:rPr>
                <w:rFonts w:ascii="Cambria" w:eastAsia="Calibri" w:hAnsi="Cambria" w:cs="Calibri"/>
              </w:rPr>
              <w:t xml:space="preserve"> k</w:t>
            </w:r>
            <w:proofErr w:type="spellStart"/>
            <w:r w:rsidRPr="00DF4CE5">
              <w:rPr>
                <w:rFonts w:ascii="Cambria" w:eastAsia="Calibri" w:hAnsi="Cambria" w:cs="Calibri"/>
                <w:lang w:val="hr-HR"/>
              </w:rPr>
              <w:t>olokvija</w:t>
            </w:r>
            <w:proofErr w:type="spellEnd"/>
          </w:p>
        </w:tc>
        <w:tc>
          <w:tcPr>
            <w:tcW w:w="10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9BA8986" w14:textId="77777777" w:rsidR="002A021D" w:rsidRPr="00DF4CE5" w:rsidRDefault="002A021D" w:rsidP="000B2D2C">
            <w:pPr>
              <w:spacing w:after="0" w:line="240" w:lineRule="atLeast"/>
              <w:jc w:val="center"/>
              <w:rPr>
                <w:rFonts w:ascii="Cambria" w:eastAsia="Calibri" w:hAnsi="Cambria" w:cs="Calibri"/>
                <w:lang w:val="hr-HR"/>
              </w:rPr>
            </w:pPr>
            <w:r w:rsidRPr="00DF4CE5">
              <w:rPr>
                <w:rFonts w:ascii="Cambria" w:eastAsia="Calibri" w:hAnsi="Cambria" w:cs="Calibri"/>
                <w:lang w:val="hr-HR"/>
              </w:rPr>
              <w:t>1.</w:t>
            </w:r>
            <w:r>
              <w:rPr>
                <w:rFonts w:ascii="Cambria" w:eastAsia="Calibri" w:hAnsi="Cambria" w:cs="Calibri"/>
                <w:lang w:val="hr-HR"/>
              </w:rPr>
              <w:t xml:space="preserve"> – </w:t>
            </w:r>
            <w:r w:rsidRPr="00DF4CE5">
              <w:rPr>
                <w:rFonts w:ascii="Cambria" w:eastAsia="Calibri" w:hAnsi="Cambria" w:cs="Calibri"/>
                <w:lang w:val="hr-HR"/>
              </w:rPr>
              <w:t>5.</w:t>
            </w:r>
          </w:p>
        </w:tc>
        <w:tc>
          <w:tcPr>
            <w:tcW w:w="71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43A935F" w14:textId="77777777" w:rsidR="002A021D" w:rsidRPr="00DF4CE5" w:rsidRDefault="002A021D" w:rsidP="000B2D2C">
            <w:pPr>
              <w:spacing w:after="0" w:line="240" w:lineRule="atLeast"/>
              <w:jc w:val="center"/>
              <w:rPr>
                <w:rFonts w:ascii="Cambria" w:eastAsia="Calibri" w:hAnsi="Cambria" w:cs="Calibri"/>
                <w:lang w:val="hr-HR"/>
              </w:rPr>
            </w:pPr>
            <w:r w:rsidRPr="00DF4CE5">
              <w:rPr>
                <w:rFonts w:ascii="Cambria" w:eastAsia="Calibri" w:hAnsi="Cambria" w:cs="Calibri"/>
                <w:lang w:val="hr-HR"/>
              </w:rPr>
              <w:t>44</w:t>
            </w:r>
          </w:p>
        </w:tc>
        <w:tc>
          <w:tcPr>
            <w:tcW w:w="101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6349E79" w14:textId="77777777" w:rsidR="002A021D" w:rsidRPr="00DF4CE5" w:rsidRDefault="002A021D" w:rsidP="000B2D2C">
            <w:pPr>
              <w:spacing w:after="0" w:line="240" w:lineRule="atLeast"/>
              <w:jc w:val="center"/>
              <w:rPr>
                <w:rFonts w:ascii="Cambria" w:eastAsia="Calibri" w:hAnsi="Cambria" w:cs="Calibri"/>
                <w:lang w:val="hr-HR"/>
              </w:rPr>
            </w:pPr>
            <w:r w:rsidRPr="00DF4CE5">
              <w:rPr>
                <w:rFonts w:ascii="Cambria" w:eastAsia="Calibri" w:hAnsi="Cambria" w:cs="Calibri"/>
                <w:lang w:val="hr-HR"/>
              </w:rPr>
              <w:t>1,4</w:t>
            </w:r>
          </w:p>
        </w:tc>
        <w:tc>
          <w:tcPr>
            <w:tcW w:w="131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BB03E48" w14:textId="77777777" w:rsidR="002A021D" w:rsidRPr="00DF4CE5" w:rsidRDefault="002A021D" w:rsidP="000B2D2C">
            <w:pPr>
              <w:spacing w:after="0" w:line="240" w:lineRule="atLeast"/>
              <w:jc w:val="center"/>
              <w:rPr>
                <w:rFonts w:ascii="Cambria" w:eastAsia="Calibri" w:hAnsi="Cambria" w:cs="Calibri"/>
                <w:lang w:val="hr-HR"/>
              </w:rPr>
            </w:pPr>
            <w:r w:rsidRPr="00DF4CE5">
              <w:rPr>
                <w:rFonts w:ascii="Cambria" w:eastAsia="Calibri" w:hAnsi="Cambria" w:cs="Calibri"/>
                <w:lang w:val="hr-HR"/>
              </w:rPr>
              <w:t>2 x 30%</w:t>
            </w:r>
          </w:p>
        </w:tc>
      </w:tr>
      <w:tr w:rsidR="002A021D" w:rsidRPr="00DF4CE5" w14:paraId="748FF996" w14:textId="77777777" w:rsidTr="000B2D2C">
        <w:tc>
          <w:tcPr>
            <w:tcW w:w="2623" w:type="dxa"/>
            <w:vMerge/>
            <w:tcBorders>
              <w:left w:val="single" w:sz="8" w:space="0" w:color="000000"/>
              <w:right w:val="single" w:sz="8" w:space="0" w:color="000000"/>
            </w:tcBorders>
            <w:vAlign w:val="center"/>
            <w:hideMark/>
          </w:tcPr>
          <w:p w14:paraId="2058E1E0" w14:textId="77777777" w:rsidR="002A021D" w:rsidRPr="00DF4CE5" w:rsidRDefault="002A021D" w:rsidP="000B2D2C">
            <w:pPr>
              <w:spacing w:after="0" w:line="240" w:lineRule="atLeast"/>
              <w:jc w:val="both"/>
              <w:rPr>
                <w:rFonts w:ascii="Cambria" w:eastAsia="Calibri" w:hAnsi="Cambria" w:cs="Calibri"/>
                <w:lang w:val="hr-HR"/>
              </w:rPr>
            </w:pPr>
          </w:p>
        </w:tc>
        <w:tc>
          <w:tcPr>
            <w:tcW w:w="3673"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CDE047A" w14:textId="77777777" w:rsidR="002A021D" w:rsidRPr="00DF4CE5" w:rsidRDefault="002A021D" w:rsidP="000B2D2C">
            <w:pPr>
              <w:spacing w:after="0" w:line="240" w:lineRule="atLeast"/>
              <w:jc w:val="both"/>
              <w:rPr>
                <w:rFonts w:ascii="Cambria" w:eastAsia="Calibri" w:hAnsi="Cambria" w:cs="Calibri"/>
                <w:lang w:val="hr-HR"/>
              </w:rPr>
            </w:pPr>
            <w:proofErr w:type="spellStart"/>
            <w:r>
              <w:rPr>
                <w:rFonts w:ascii="Cambria" w:eastAsia="Calibri" w:hAnsi="Cambria" w:cs="Calibri"/>
              </w:rPr>
              <w:t>u</w:t>
            </w:r>
            <w:r w:rsidRPr="00DF4CE5">
              <w:rPr>
                <w:rFonts w:ascii="Cambria" w:eastAsia="Calibri" w:hAnsi="Cambria" w:cs="Calibri"/>
              </w:rPr>
              <w:t>kupno</w:t>
            </w:r>
            <w:proofErr w:type="spellEnd"/>
          </w:p>
        </w:tc>
        <w:tc>
          <w:tcPr>
            <w:tcW w:w="71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C5E7557" w14:textId="77777777" w:rsidR="002A021D" w:rsidRPr="00DF4CE5" w:rsidRDefault="002A021D" w:rsidP="000B2D2C">
            <w:pPr>
              <w:spacing w:after="0" w:line="240" w:lineRule="atLeast"/>
              <w:jc w:val="center"/>
              <w:rPr>
                <w:rFonts w:ascii="Cambria" w:eastAsia="Calibri" w:hAnsi="Cambria" w:cs="Calibri"/>
                <w:lang w:val="hr-HR"/>
              </w:rPr>
            </w:pPr>
            <w:r w:rsidRPr="00DF4CE5">
              <w:rPr>
                <w:rFonts w:ascii="Cambria" w:eastAsia="Calibri" w:hAnsi="Cambria" w:cs="Calibri"/>
                <w:lang w:val="hr-HR"/>
              </w:rPr>
              <w:t>90</w:t>
            </w:r>
          </w:p>
        </w:tc>
        <w:tc>
          <w:tcPr>
            <w:tcW w:w="101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EC86D37" w14:textId="77777777" w:rsidR="002A021D" w:rsidRPr="00DF4CE5" w:rsidRDefault="002A021D" w:rsidP="000B2D2C">
            <w:pPr>
              <w:spacing w:after="0" w:line="240" w:lineRule="atLeast"/>
              <w:jc w:val="center"/>
              <w:rPr>
                <w:rFonts w:ascii="Cambria" w:eastAsia="Calibri" w:hAnsi="Cambria" w:cs="Calibri"/>
                <w:lang w:val="hr-HR"/>
              </w:rPr>
            </w:pPr>
            <w:r w:rsidRPr="00DF4CE5">
              <w:rPr>
                <w:rFonts w:ascii="Cambria" w:eastAsia="Calibri" w:hAnsi="Cambria" w:cs="Calibri"/>
                <w:lang w:val="hr-HR"/>
              </w:rPr>
              <w:t>3</w:t>
            </w:r>
          </w:p>
        </w:tc>
        <w:tc>
          <w:tcPr>
            <w:tcW w:w="131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A128BF5" w14:textId="77777777" w:rsidR="002A021D" w:rsidRPr="00DF4CE5" w:rsidRDefault="002A021D" w:rsidP="000B2D2C">
            <w:pPr>
              <w:spacing w:after="0" w:line="240" w:lineRule="atLeast"/>
              <w:jc w:val="center"/>
              <w:rPr>
                <w:rFonts w:ascii="Cambria" w:eastAsia="Calibri" w:hAnsi="Cambria" w:cs="Calibri"/>
                <w:lang w:val="hr-HR"/>
              </w:rPr>
            </w:pPr>
            <w:r w:rsidRPr="00DF4CE5">
              <w:rPr>
                <w:rFonts w:ascii="Cambria" w:eastAsia="Calibri" w:hAnsi="Cambria" w:cs="Calibri"/>
                <w:lang w:val="hr-HR"/>
              </w:rPr>
              <w:t>100 %</w:t>
            </w:r>
          </w:p>
        </w:tc>
      </w:tr>
      <w:tr w:rsidR="002A021D" w:rsidRPr="00D0399C" w14:paraId="15DBC6DF" w14:textId="77777777" w:rsidTr="000B2D2C">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266E98D" w14:textId="77777777" w:rsidR="002A021D" w:rsidRPr="00DF4CE5" w:rsidRDefault="002A021D" w:rsidP="000B2D2C">
            <w:pPr>
              <w:spacing w:after="0" w:line="240" w:lineRule="atLeast"/>
              <w:jc w:val="both"/>
              <w:rPr>
                <w:rFonts w:ascii="Cambria" w:eastAsia="Calibri" w:hAnsi="Cambria" w:cs="Calibri"/>
                <w:lang w:val="hr-HR"/>
              </w:rPr>
            </w:pPr>
            <w:r w:rsidRPr="00DF4CE5">
              <w:rPr>
                <w:rFonts w:ascii="Cambria" w:eastAsia="Calibri" w:hAnsi="Cambria" w:cs="Calibri"/>
                <w:lang w:val="hr-HR"/>
              </w:rPr>
              <w:t>Studentske obveze</w:t>
            </w:r>
          </w:p>
        </w:tc>
        <w:tc>
          <w:tcPr>
            <w:tcW w:w="671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11A9C04" w14:textId="77777777" w:rsidR="002A021D" w:rsidRPr="00DF4CE5" w:rsidRDefault="002A021D" w:rsidP="000B2D2C">
            <w:pPr>
              <w:spacing w:after="0" w:line="240" w:lineRule="atLeast"/>
              <w:jc w:val="both"/>
              <w:rPr>
                <w:rFonts w:ascii="Cambria" w:eastAsia="Calibri" w:hAnsi="Cambria" w:cs="Calibri"/>
                <w:lang w:val="hr-HR"/>
              </w:rPr>
            </w:pPr>
            <w:r w:rsidRPr="00DF4CE5">
              <w:rPr>
                <w:rFonts w:ascii="Cambria" w:eastAsia="Calibri" w:hAnsi="Cambria" w:cs="Calibri"/>
                <w:lang w:val="hr-HR"/>
              </w:rPr>
              <w:t>Da položi kolegij, student/studentica mora:</w:t>
            </w:r>
          </w:p>
          <w:p w14:paraId="04E01E79" w14:textId="77777777" w:rsidR="002A021D" w:rsidRPr="00DF4CE5" w:rsidRDefault="002A021D" w:rsidP="000B2D2C">
            <w:pPr>
              <w:spacing w:after="0" w:line="240" w:lineRule="atLeast"/>
              <w:jc w:val="both"/>
              <w:rPr>
                <w:rFonts w:ascii="Cambria" w:eastAsia="Calibri" w:hAnsi="Cambria" w:cs="Calibri"/>
                <w:lang w:val="hr-HR"/>
              </w:rPr>
            </w:pPr>
            <w:r w:rsidRPr="00DF4CE5">
              <w:rPr>
                <w:rFonts w:ascii="Cambria" w:eastAsia="Calibri" w:hAnsi="Cambria" w:cs="Calibri"/>
                <w:lang w:val="hr-HR"/>
              </w:rPr>
              <w:t>1. pohađati više od 70% nastave</w:t>
            </w:r>
            <w:r>
              <w:rPr>
                <w:rFonts w:ascii="Cambria" w:eastAsia="Calibri" w:hAnsi="Cambria" w:cs="Calibri"/>
                <w:lang w:val="hr-HR"/>
              </w:rPr>
              <w:t xml:space="preserve"> (u</w:t>
            </w:r>
            <w:r w:rsidRPr="00DF4CE5">
              <w:rPr>
                <w:rFonts w:ascii="Cambria" w:eastAsia="Calibri" w:hAnsi="Cambria" w:cs="Calibri"/>
                <w:lang w:val="hr-HR"/>
              </w:rPr>
              <w:t>koliko student/studentica izostane između 30% i 50% nastave, dodijelit će mu/joj se dodatni zadaci</w:t>
            </w:r>
            <w:r>
              <w:rPr>
                <w:rFonts w:ascii="Cambria" w:eastAsia="Calibri" w:hAnsi="Cambria" w:cs="Calibri"/>
                <w:lang w:val="hr-HR"/>
              </w:rPr>
              <w:t>; u</w:t>
            </w:r>
            <w:r w:rsidRPr="00DF4CE5">
              <w:rPr>
                <w:rFonts w:ascii="Cambria" w:eastAsia="Calibri" w:hAnsi="Cambria" w:cs="Calibri"/>
                <w:lang w:val="hr-HR"/>
              </w:rPr>
              <w:t xml:space="preserve"> slučaju da student/studentica izostane s više od 50% nastave, uskratit će mu/joj se pravo na potpis, izlazak na ispit i upis ECTS bodova</w:t>
            </w:r>
            <w:r>
              <w:rPr>
                <w:rFonts w:ascii="Cambria" w:eastAsia="Calibri" w:hAnsi="Cambria" w:cs="Calibri"/>
                <w:lang w:val="hr-HR"/>
              </w:rPr>
              <w:t>)</w:t>
            </w:r>
          </w:p>
          <w:p w14:paraId="24FDB358" w14:textId="77777777" w:rsidR="002A021D" w:rsidRPr="00DF4CE5" w:rsidRDefault="002A021D" w:rsidP="000B2D2C">
            <w:pPr>
              <w:spacing w:after="0" w:line="240" w:lineRule="atLeast"/>
              <w:rPr>
                <w:rFonts w:ascii="Cambria" w:eastAsia="Calibri" w:hAnsi="Cambria" w:cs="Calibri"/>
                <w:lang w:val="hr-HR"/>
              </w:rPr>
            </w:pPr>
            <w:r w:rsidRPr="00DF4CE5">
              <w:rPr>
                <w:rFonts w:ascii="Cambria" w:eastAsia="Calibri" w:hAnsi="Cambria" w:cs="Calibri"/>
                <w:lang w:val="hr-HR"/>
              </w:rPr>
              <w:t xml:space="preserve">2. </w:t>
            </w:r>
            <w:r>
              <w:rPr>
                <w:rFonts w:ascii="Cambria" w:eastAsia="Calibri" w:hAnsi="Cambria" w:cs="Calibri"/>
                <w:lang w:val="hr-HR"/>
              </w:rPr>
              <w:t>n</w:t>
            </w:r>
            <w:r w:rsidRPr="00DF4CE5">
              <w:rPr>
                <w:rFonts w:ascii="Cambria" w:eastAsia="Calibri" w:hAnsi="Cambria" w:cs="Calibri"/>
                <w:lang w:val="hr-HR"/>
              </w:rPr>
              <w:t>apisati i prezentirati rad na zadanu temu i osmisliti zadatke za provjeru znanja</w:t>
            </w:r>
            <w:r>
              <w:rPr>
                <w:rFonts w:ascii="Cambria" w:eastAsia="Calibri" w:hAnsi="Cambria" w:cs="Calibri"/>
                <w:lang w:val="hr-HR"/>
              </w:rPr>
              <w:t xml:space="preserve"> (u</w:t>
            </w:r>
            <w:r w:rsidRPr="00DF4CE5">
              <w:rPr>
                <w:rFonts w:ascii="Cambria" w:eastAsia="Calibri" w:hAnsi="Cambria" w:cs="Calibri"/>
                <w:lang w:val="hr-HR"/>
              </w:rPr>
              <w:t>koliko je student/studentica neuspješan/neuspješna pri izvršavanju ove obveze, pristupa usmenom ispitu</w:t>
            </w:r>
            <w:r>
              <w:rPr>
                <w:rFonts w:ascii="Cambria" w:eastAsia="Calibri" w:hAnsi="Cambria" w:cs="Calibri"/>
                <w:lang w:val="hr-HR"/>
              </w:rPr>
              <w:t>; u</w:t>
            </w:r>
            <w:r w:rsidRPr="00DF4CE5">
              <w:rPr>
                <w:rFonts w:ascii="Cambria" w:eastAsia="Calibri" w:hAnsi="Cambria" w:cs="Calibri"/>
                <w:lang w:val="hr-HR"/>
              </w:rPr>
              <w:t>koliko je student/studentica neuspješan/neuspješna pri izvršavanju ove obveze, pristupa usmenom ispitu</w:t>
            </w:r>
            <w:r>
              <w:rPr>
                <w:rFonts w:ascii="Cambria" w:eastAsia="Calibri" w:hAnsi="Cambria" w:cs="Calibri"/>
                <w:lang w:val="hr-HR"/>
              </w:rPr>
              <w:t>)</w:t>
            </w:r>
          </w:p>
          <w:p w14:paraId="33D5F0F7" w14:textId="77777777" w:rsidR="002A021D" w:rsidRPr="00DF4CE5" w:rsidRDefault="002A021D" w:rsidP="000B2D2C">
            <w:pPr>
              <w:spacing w:after="0" w:line="240" w:lineRule="atLeast"/>
              <w:jc w:val="both"/>
              <w:rPr>
                <w:rFonts w:ascii="Cambria" w:eastAsia="Calibri" w:hAnsi="Cambria" w:cs="Calibri"/>
                <w:lang w:val="hr-HR"/>
              </w:rPr>
            </w:pPr>
            <w:r w:rsidRPr="00DF4CE5">
              <w:rPr>
                <w:rFonts w:ascii="Cambria" w:eastAsia="Calibri" w:hAnsi="Cambria" w:cs="Calibri"/>
                <w:lang w:val="hr-HR"/>
              </w:rPr>
              <w:t xml:space="preserve">3. </w:t>
            </w:r>
            <w:r>
              <w:rPr>
                <w:rFonts w:ascii="Cambria" w:eastAsia="Calibri" w:hAnsi="Cambria" w:cs="Calibri"/>
                <w:lang w:val="hr-HR"/>
              </w:rPr>
              <w:t>p</w:t>
            </w:r>
            <w:r w:rsidRPr="00DF4CE5">
              <w:rPr>
                <w:rFonts w:ascii="Cambria" w:eastAsia="Calibri" w:hAnsi="Cambria" w:cs="Calibri"/>
                <w:lang w:val="hr-HR"/>
              </w:rPr>
              <w:t>oložiti dva pisana kolokvija</w:t>
            </w:r>
            <w:r>
              <w:rPr>
                <w:rFonts w:ascii="Cambria" w:eastAsia="Calibri" w:hAnsi="Cambria" w:cs="Calibri"/>
                <w:lang w:val="hr-HR"/>
              </w:rPr>
              <w:t xml:space="preserve"> (u</w:t>
            </w:r>
            <w:r w:rsidRPr="00DF4CE5">
              <w:rPr>
                <w:rFonts w:ascii="Cambria" w:eastAsia="Calibri" w:hAnsi="Cambria" w:cs="Calibri"/>
                <w:lang w:val="hr-HR"/>
              </w:rPr>
              <w:t>koliko je student/studentica neuspješan/neuspješna u provođenje ove obveze, mora položiti završni pisani i usmeni ispit, koji u tom slučaju nose 50% ocjene svaki</w:t>
            </w:r>
            <w:r>
              <w:rPr>
                <w:rFonts w:ascii="Cambria" w:eastAsia="Calibri" w:hAnsi="Cambria" w:cs="Calibri"/>
                <w:lang w:val="hr-HR"/>
              </w:rPr>
              <w:t xml:space="preserve">). </w:t>
            </w:r>
          </w:p>
          <w:p w14:paraId="3189FDD6" w14:textId="77777777" w:rsidR="002A021D" w:rsidRPr="00DF4CE5" w:rsidRDefault="002A021D" w:rsidP="000B2D2C">
            <w:pPr>
              <w:spacing w:after="0" w:line="240" w:lineRule="atLeast"/>
              <w:jc w:val="both"/>
              <w:rPr>
                <w:rFonts w:ascii="Cambria" w:eastAsia="Calibri" w:hAnsi="Cambria" w:cs="Calibri"/>
                <w:lang w:val="hr-HR"/>
              </w:rPr>
            </w:pPr>
          </w:p>
        </w:tc>
      </w:tr>
      <w:tr w:rsidR="002A021D" w:rsidRPr="00D0399C" w14:paraId="58CE7567" w14:textId="77777777" w:rsidTr="000B2D2C">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B692178" w14:textId="77777777" w:rsidR="002A021D" w:rsidRPr="00DF4CE5" w:rsidRDefault="002A021D" w:rsidP="000B2D2C">
            <w:pPr>
              <w:spacing w:after="0" w:line="240" w:lineRule="atLeast"/>
              <w:jc w:val="both"/>
              <w:rPr>
                <w:rFonts w:ascii="Cambria" w:eastAsia="Calibri" w:hAnsi="Cambria" w:cs="Calibri"/>
                <w:lang w:val="hr-HR"/>
              </w:rPr>
            </w:pPr>
            <w:proofErr w:type="spellStart"/>
            <w:r w:rsidRPr="00DF4CE5">
              <w:rPr>
                <w:rFonts w:ascii="Cambria" w:eastAsia="Calibri" w:hAnsi="Cambria" w:cs="Calibri"/>
              </w:rPr>
              <w:t>Rokovi</w:t>
            </w:r>
            <w:proofErr w:type="spellEnd"/>
            <w:r w:rsidRPr="00DF4CE5">
              <w:rPr>
                <w:rFonts w:ascii="Cambria" w:eastAsia="Calibri" w:hAnsi="Cambria" w:cs="Calibri"/>
              </w:rPr>
              <w:t xml:space="preserve"> </w:t>
            </w:r>
            <w:proofErr w:type="spellStart"/>
            <w:r w:rsidRPr="00DF4CE5">
              <w:rPr>
                <w:rFonts w:ascii="Cambria" w:eastAsia="Calibri" w:hAnsi="Cambria" w:cs="Calibri"/>
              </w:rPr>
              <w:t>ispita</w:t>
            </w:r>
            <w:proofErr w:type="spellEnd"/>
            <w:r w:rsidRPr="00DF4CE5">
              <w:rPr>
                <w:rFonts w:ascii="Cambria" w:eastAsia="Calibri" w:hAnsi="Cambria" w:cs="Calibri"/>
              </w:rPr>
              <w:t xml:space="preserve"> </w:t>
            </w:r>
            <w:proofErr w:type="spellStart"/>
            <w:r w:rsidRPr="00DF4CE5">
              <w:rPr>
                <w:rFonts w:ascii="Cambria" w:eastAsia="Calibri" w:hAnsi="Cambria" w:cs="Calibri"/>
              </w:rPr>
              <w:t>i</w:t>
            </w:r>
            <w:proofErr w:type="spellEnd"/>
            <w:r w:rsidRPr="00DF4CE5">
              <w:rPr>
                <w:rFonts w:ascii="Cambria" w:eastAsia="Calibri" w:hAnsi="Cambria" w:cs="Calibri"/>
              </w:rPr>
              <w:t xml:space="preserve"> </w:t>
            </w:r>
            <w:proofErr w:type="spellStart"/>
            <w:r w:rsidRPr="00DF4CE5">
              <w:rPr>
                <w:rFonts w:ascii="Cambria" w:eastAsia="Calibri" w:hAnsi="Cambria" w:cs="Calibri"/>
              </w:rPr>
              <w:t>kolokvija</w:t>
            </w:r>
            <w:proofErr w:type="spellEnd"/>
          </w:p>
        </w:tc>
        <w:tc>
          <w:tcPr>
            <w:tcW w:w="671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B35C4DE" w14:textId="77777777" w:rsidR="002A021D" w:rsidRPr="00DF4CE5" w:rsidRDefault="002A021D" w:rsidP="000B2D2C">
            <w:pPr>
              <w:spacing w:after="0" w:line="240" w:lineRule="atLeast"/>
              <w:jc w:val="both"/>
              <w:rPr>
                <w:rFonts w:ascii="Cambria" w:eastAsia="Calibri" w:hAnsi="Cambria" w:cs="Calibri"/>
                <w:lang w:val="hr-HR"/>
              </w:rPr>
            </w:pPr>
            <w:r w:rsidRPr="00DF4CE5">
              <w:rPr>
                <w:rFonts w:ascii="Cambria" w:eastAsia="Calibri" w:hAnsi="Cambria" w:cs="Calibri"/>
                <w:lang w:val="hr-HR"/>
              </w:rPr>
              <w:t>Objavljuju se početkom akademske godine na mrežnim stranicama Sveučilišta i u ISVU sustavu.</w:t>
            </w:r>
          </w:p>
        </w:tc>
      </w:tr>
      <w:tr w:rsidR="002A021D" w:rsidRPr="00DF4CE5" w14:paraId="7E2A4BE6" w14:textId="77777777" w:rsidTr="000B2D2C">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37ADAE5" w14:textId="77777777" w:rsidR="002A021D" w:rsidRPr="00DF4CE5" w:rsidRDefault="002A021D" w:rsidP="000B2D2C">
            <w:pPr>
              <w:spacing w:after="0" w:line="240" w:lineRule="atLeast"/>
              <w:jc w:val="both"/>
              <w:rPr>
                <w:rFonts w:ascii="Cambria" w:eastAsia="Calibri" w:hAnsi="Cambria" w:cs="Calibri"/>
                <w:lang w:val="hr-HR"/>
              </w:rPr>
            </w:pPr>
            <w:r w:rsidRPr="00DF4CE5">
              <w:rPr>
                <w:rFonts w:ascii="Cambria" w:eastAsia="Calibri" w:hAnsi="Cambria" w:cs="Calibri"/>
                <w:lang w:val="hr-HR"/>
              </w:rPr>
              <w:t xml:space="preserve">Ostale važne činjenice </w:t>
            </w:r>
            <w:proofErr w:type="spellStart"/>
            <w:r w:rsidRPr="00DF4CE5">
              <w:rPr>
                <w:rFonts w:ascii="Cambria" w:eastAsia="Calibri" w:hAnsi="Cambria" w:cs="Calibri"/>
                <w:lang w:val="it-IT"/>
              </w:rPr>
              <w:t>vezane</w:t>
            </w:r>
            <w:proofErr w:type="spellEnd"/>
            <w:r w:rsidRPr="00DF4CE5">
              <w:rPr>
                <w:rFonts w:ascii="Cambria" w:eastAsia="Calibri" w:hAnsi="Cambria" w:cs="Calibri"/>
                <w:lang w:val="it-IT"/>
              </w:rPr>
              <w:t xml:space="preserve"> </w:t>
            </w:r>
            <w:proofErr w:type="spellStart"/>
            <w:r w:rsidRPr="00DF4CE5">
              <w:rPr>
                <w:rFonts w:ascii="Cambria" w:eastAsia="Calibri" w:hAnsi="Cambria" w:cs="Calibri"/>
                <w:lang w:val="it-IT"/>
              </w:rPr>
              <w:t>uz</w:t>
            </w:r>
            <w:proofErr w:type="spellEnd"/>
            <w:r w:rsidRPr="00DF4CE5">
              <w:rPr>
                <w:rFonts w:ascii="Cambria" w:eastAsia="Calibri" w:hAnsi="Cambria" w:cs="Calibri"/>
                <w:lang w:val="it-IT"/>
              </w:rPr>
              <w:t xml:space="preserve"> </w:t>
            </w:r>
            <w:proofErr w:type="spellStart"/>
            <w:r w:rsidRPr="00DF4CE5">
              <w:rPr>
                <w:rFonts w:ascii="Cambria" w:eastAsia="Calibri" w:hAnsi="Cambria" w:cs="Calibri"/>
                <w:lang w:val="it-IT"/>
              </w:rPr>
              <w:t>kolegij</w:t>
            </w:r>
            <w:proofErr w:type="spellEnd"/>
          </w:p>
        </w:tc>
        <w:tc>
          <w:tcPr>
            <w:tcW w:w="671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B2C3AF1" w14:textId="77777777" w:rsidR="002A021D" w:rsidRPr="00DF4CE5" w:rsidRDefault="002A021D" w:rsidP="000B2D2C">
            <w:pPr>
              <w:spacing w:after="0" w:line="240" w:lineRule="atLeast"/>
              <w:jc w:val="both"/>
              <w:rPr>
                <w:rFonts w:ascii="Cambria" w:eastAsia="Calibri" w:hAnsi="Cambria" w:cs="Calibri"/>
                <w:lang w:val="hr-HR"/>
              </w:rPr>
            </w:pPr>
            <w:r w:rsidRPr="00DF4CE5">
              <w:rPr>
                <w:rFonts w:ascii="Cambria" w:eastAsia="Calibri" w:hAnsi="Cambria" w:cs="Calibri"/>
                <w:lang w:val="hr-HR"/>
              </w:rPr>
              <w:t xml:space="preserve">Materijali za predavanja i seminare objavljuju se na e-učenju. </w:t>
            </w:r>
          </w:p>
          <w:p w14:paraId="0ADDE86D" w14:textId="77777777" w:rsidR="002A021D" w:rsidRPr="00DF4CE5" w:rsidRDefault="002A021D" w:rsidP="000B2D2C">
            <w:pPr>
              <w:spacing w:after="0" w:line="240" w:lineRule="atLeast"/>
              <w:jc w:val="both"/>
              <w:rPr>
                <w:rFonts w:ascii="Cambria" w:eastAsia="Calibri" w:hAnsi="Cambria" w:cs="Calibri"/>
                <w:lang w:val="hr-HR"/>
              </w:rPr>
            </w:pPr>
            <w:r w:rsidRPr="00DF4CE5">
              <w:rPr>
                <w:rFonts w:ascii="Cambria" w:eastAsia="Calibri" w:hAnsi="Cambria" w:cs="Calibri"/>
                <w:lang w:val="hr-HR"/>
              </w:rPr>
              <w:t xml:space="preserve">U slučaju održavanja nastave na daljinu, moguće je odstupanje u: mjestu izvođenja kolegija, provedbi aktivnosti, metoda tumačenja i poučavanja i načinima vrednovanja, studentskim obvezama i dostupnoj literaturi. O tome će nositeljica kolegija </w:t>
            </w:r>
            <w:r>
              <w:rPr>
                <w:rFonts w:ascii="Cambria" w:eastAsia="Calibri" w:hAnsi="Cambria" w:cs="Calibri"/>
                <w:lang w:val="hr-HR"/>
              </w:rPr>
              <w:t xml:space="preserve">i suradnica </w:t>
            </w:r>
            <w:r w:rsidRPr="00DF4CE5">
              <w:rPr>
                <w:rFonts w:ascii="Cambria" w:eastAsia="Calibri" w:hAnsi="Cambria" w:cs="Calibri"/>
                <w:lang w:val="hr-HR"/>
              </w:rPr>
              <w:t>obavijestiti studente i studentice kad se nastava na daljinu počne održavati. Ishodi učenja ostaju nepromijenjeni.</w:t>
            </w:r>
          </w:p>
        </w:tc>
      </w:tr>
      <w:tr w:rsidR="002A021D" w:rsidRPr="00DF4CE5" w14:paraId="15E95E10" w14:textId="77777777" w:rsidTr="000B2D2C">
        <w:trPr>
          <w:trHeight w:val="770"/>
        </w:trPr>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7AEC080" w14:textId="77777777" w:rsidR="002A021D" w:rsidRPr="00DF4CE5" w:rsidRDefault="002A021D" w:rsidP="000B2D2C">
            <w:pPr>
              <w:spacing w:after="0" w:line="240" w:lineRule="atLeast"/>
              <w:jc w:val="both"/>
              <w:rPr>
                <w:rFonts w:ascii="Cambria" w:eastAsia="Calibri" w:hAnsi="Cambria" w:cs="Calibri"/>
                <w:lang w:val="hr-HR"/>
              </w:rPr>
            </w:pPr>
            <w:r w:rsidRPr="00DF4CE5">
              <w:rPr>
                <w:rFonts w:ascii="Cambria" w:eastAsia="Calibri" w:hAnsi="Cambria" w:cs="Calibri"/>
                <w:lang w:val="hr-HR"/>
              </w:rPr>
              <w:t>Literatura</w:t>
            </w:r>
          </w:p>
        </w:tc>
        <w:tc>
          <w:tcPr>
            <w:tcW w:w="6717"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461BB169" w14:textId="77777777" w:rsidR="002A021D" w:rsidRPr="00DF4CE5" w:rsidRDefault="002A021D" w:rsidP="000B2D2C">
            <w:pPr>
              <w:spacing w:after="0" w:line="240" w:lineRule="atLeast"/>
              <w:jc w:val="both"/>
              <w:rPr>
                <w:rFonts w:ascii="Cambria" w:eastAsia="Calibri" w:hAnsi="Cambria" w:cs="Calibri"/>
                <w:lang w:val="hr-HR"/>
              </w:rPr>
            </w:pPr>
            <w:r w:rsidRPr="00DF4CE5">
              <w:rPr>
                <w:rFonts w:ascii="Cambria" w:eastAsia="Calibri" w:hAnsi="Cambria" w:cs="Calibri"/>
                <w:lang w:val="hr-HR"/>
              </w:rPr>
              <w:t xml:space="preserve">Obvezna: </w:t>
            </w:r>
          </w:p>
          <w:p w14:paraId="2F71EADA" w14:textId="77777777" w:rsidR="002A021D" w:rsidRPr="00D74364" w:rsidRDefault="002A021D" w:rsidP="000B2D2C">
            <w:pPr>
              <w:spacing w:after="0" w:line="240" w:lineRule="atLeast"/>
              <w:jc w:val="both"/>
              <w:rPr>
                <w:rFonts w:ascii="Cambria" w:hAnsi="Cambria" w:cs="Calibri"/>
              </w:rPr>
            </w:pPr>
            <w:r>
              <w:rPr>
                <w:rFonts w:ascii="Cambria" w:hAnsi="Cambria" w:cs="Calibri"/>
              </w:rPr>
              <w:t xml:space="preserve">1. </w:t>
            </w:r>
            <w:r w:rsidRPr="00D74364">
              <w:rPr>
                <w:rFonts w:ascii="Cambria" w:hAnsi="Cambria" w:cs="Calibri"/>
              </w:rPr>
              <w:t>Anderson, Nancy A. Elementary children's literature – the basics for teachers and parents. Boston: Pearson Education, 2006. Str.: 113.-165., 267. – 280., 286. – 293. (72 str.)</w:t>
            </w:r>
          </w:p>
          <w:p w14:paraId="404B81A4" w14:textId="77777777" w:rsidR="002A021D" w:rsidRPr="00D74364" w:rsidRDefault="002A021D" w:rsidP="000B2D2C">
            <w:pPr>
              <w:spacing w:after="0" w:line="240" w:lineRule="atLeast"/>
              <w:jc w:val="both"/>
              <w:rPr>
                <w:rFonts w:ascii="Cambria" w:hAnsi="Cambria" w:cs="Calibri"/>
              </w:rPr>
            </w:pPr>
            <w:r>
              <w:rPr>
                <w:rFonts w:ascii="Cambria" w:hAnsi="Cambria" w:cs="Calibri"/>
              </w:rPr>
              <w:t xml:space="preserve">2. </w:t>
            </w:r>
            <w:r w:rsidRPr="00D74364">
              <w:rPr>
                <w:rFonts w:ascii="Cambria" w:hAnsi="Cambria" w:cs="Calibri"/>
              </w:rPr>
              <w:t xml:space="preserve">Dujmović, Mauro, </w:t>
            </w:r>
            <w:proofErr w:type="spellStart"/>
            <w:r w:rsidRPr="00D74364">
              <w:rPr>
                <w:rFonts w:ascii="Cambria" w:hAnsi="Cambria" w:cs="Calibri"/>
              </w:rPr>
              <w:t>Bančić</w:t>
            </w:r>
            <w:proofErr w:type="spellEnd"/>
            <w:r w:rsidRPr="00D74364">
              <w:rPr>
                <w:rFonts w:ascii="Cambria" w:hAnsi="Cambria" w:cs="Calibri"/>
              </w:rPr>
              <w:t xml:space="preserve">, Ivana. A handbook in children's literature. Pula: </w:t>
            </w:r>
            <w:proofErr w:type="spellStart"/>
            <w:r w:rsidRPr="00D74364">
              <w:rPr>
                <w:rFonts w:ascii="Cambria" w:hAnsi="Cambria" w:cs="Calibri"/>
              </w:rPr>
              <w:t>Sveučilište</w:t>
            </w:r>
            <w:proofErr w:type="spellEnd"/>
            <w:r w:rsidRPr="00D74364">
              <w:rPr>
                <w:rFonts w:ascii="Cambria" w:hAnsi="Cambria" w:cs="Calibri"/>
              </w:rPr>
              <w:t xml:space="preserve"> Jurja </w:t>
            </w:r>
            <w:proofErr w:type="spellStart"/>
            <w:r w:rsidRPr="00D74364">
              <w:rPr>
                <w:rFonts w:ascii="Cambria" w:hAnsi="Cambria" w:cs="Calibri"/>
              </w:rPr>
              <w:t>Dobrile</w:t>
            </w:r>
            <w:proofErr w:type="spellEnd"/>
            <w:r w:rsidRPr="00D74364">
              <w:rPr>
                <w:rFonts w:ascii="Cambria" w:hAnsi="Cambria" w:cs="Calibri"/>
              </w:rPr>
              <w:t xml:space="preserve"> u Puli, 2014. Str.: 125.-152., 161.-168. (34 str.)</w:t>
            </w:r>
          </w:p>
          <w:p w14:paraId="2BB93F41" w14:textId="77777777" w:rsidR="002A021D" w:rsidRPr="00D74364" w:rsidRDefault="002A021D" w:rsidP="000B2D2C">
            <w:pPr>
              <w:spacing w:after="0" w:line="240" w:lineRule="atLeast"/>
              <w:jc w:val="both"/>
              <w:rPr>
                <w:rFonts w:ascii="Cambria" w:hAnsi="Cambria" w:cs="Calibri"/>
              </w:rPr>
            </w:pPr>
            <w:r>
              <w:rPr>
                <w:rFonts w:ascii="Cambria" w:hAnsi="Cambria" w:cs="Calibri"/>
              </w:rPr>
              <w:t xml:space="preserve">3. </w:t>
            </w:r>
            <w:r w:rsidRPr="00D74364">
              <w:rPr>
                <w:rFonts w:ascii="Cambria" w:hAnsi="Cambria" w:cs="Calibri"/>
              </w:rPr>
              <w:t>Russell, David L. Literature for children – a short introduction. Boston: Pearson Education, 2005. Str.: 194. – 215, 242. – 266. (45 str.)</w:t>
            </w:r>
          </w:p>
          <w:p w14:paraId="7CBC6FCF" w14:textId="77777777" w:rsidR="002A021D" w:rsidRPr="00DF4CE5" w:rsidRDefault="002A021D" w:rsidP="000B2D2C">
            <w:pPr>
              <w:spacing w:after="0" w:line="240" w:lineRule="atLeast"/>
              <w:jc w:val="both"/>
              <w:rPr>
                <w:rFonts w:ascii="Cambria" w:eastAsia="Calibri" w:hAnsi="Cambria" w:cs="Calibri"/>
                <w:lang w:val="hr-HR"/>
              </w:rPr>
            </w:pPr>
            <w:r w:rsidRPr="00DF4CE5">
              <w:rPr>
                <w:rFonts w:ascii="Cambria" w:eastAsia="Calibri" w:hAnsi="Cambria" w:cs="Calibri"/>
                <w:lang w:val="hr-HR"/>
              </w:rPr>
              <w:t>Izborna:</w:t>
            </w:r>
          </w:p>
          <w:p w14:paraId="641A582D" w14:textId="77777777" w:rsidR="002A021D" w:rsidRPr="00DF4CE5" w:rsidRDefault="002A021D" w:rsidP="000B2D2C">
            <w:pPr>
              <w:spacing w:after="0" w:line="240" w:lineRule="atLeast"/>
              <w:jc w:val="both"/>
              <w:rPr>
                <w:rFonts w:ascii="Cambria" w:eastAsia="Calibri" w:hAnsi="Cambria" w:cs="Calibri"/>
                <w:lang w:val="hr-HR"/>
              </w:rPr>
            </w:pPr>
            <w:r>
              <w:rPr>
                <w:rFonts w:ascii="Cambria" w:eastAsia="Calibri" w:hAnsi="Cambria" w:cs="Calibri"/>
                <w:lang w:val="hr-HR"/>
              </w:rPr>
              <w:t xml:space="preserve">1. </w:t>
            </w:r>
            <w:r w:rsidRPr="00DF4CE5">
              <w:rPr>
                <w:rFonts w:ascii="Cambria" w:eastAsia="Calibri" w:hAnsi="Cambria" w:cs="Calibri"/>
                <w:lang w:val="hr-HR"/>
              </w:rPr>
              <w:t xml:space="preserve">Hunt, Peter. </w:t>
            </w:r>
            <w:proofErr w:type="spellStart"/>
            <w:r w:rsidRPr="00DF4CE5">
              <w:rPr>
                <w:rFonts w:ascii="Cambria" w:eastAsia="Calibri" w:hAnsi="Cambria" w:cs="Calibri"/>
                <w:lang w:val="hr-HR"/>
              </w:rPr>
              <w:t>Children's</w:t>
            </w:r>
            <w:proofErr w:type="spellEnd"/>
            <w:r w:rsidRPr="00DF4CE5">
              <w:rPr>
                <w:rFonts w:ascii="Cambria" w:eastAsia="Calibri" w:hAnsi="Cambria" w:cs="Calibri"/>
                <w:lang w:val="hr-HR"/>
              </w:rPr>
              <w:t xml:space="preserve"> literature – </w:t>
            </w:r>
            <w:proofErr w:type="spellStart"/>
            <w:r w:rsidRPr="00DF4CE5">
              <w:rPr>
                <w:rFonts w:ascii="Cambria" w:eastAsia="Calibri" w:hAnsi="Cambria" w:cs="Calibri"/>
                <w:lang w:val="hr-HR"/>
              </w:rPr>
              <w:t>an</w:t>
            </w:r>
            <w:proofErr w:type="spellEnd"/>
            <w:r w:rsidRPr="00DF4CE5">
              <w:rPr>
                <w:rFonts w:ascii="Cambria" w:eastAsia="Calibri" w:hAnsi="Cambria" w:cs="Calibri"/>
                <w:lang w:val="hr-HR"/>
              </w:rPr>
              <w:t xml:space="preserve"> </w:t>
            </w:r>
            <w:proofErr w:type="spellStart"/>
            <w:r w:rsidRPr="00DF4CE5">
              <w:rPr>
                <w:rFonts w:ascii="Cambria" w:eastAsia="Calibri" w:hAnsi="Cambria" w:cs="Calibri"/>
                <w:lang w:val="hr-HR"/>
              </w:rPr>
              <w:t>illustrated</w:t>
            </w:r>
            <w:proofErr w:type="spellEnd"/>
            <w:r w:rsidRPr="00DF4CE5">
              <w:rPr>
                <w:rFonts w:ascii="Cambria" w:eastAsia="Calibri" w:hAnsi="Cambria" w:cs="Calibri"/>
                <w:lang w:val="hr-HR"/>
              </w:rPr>
              <w:t xml:space="preserve"> </w:t>
            </w:r>
            <w:proofErr w:type="spellStart"/>
            <w:r w:rsidRPr="00DF4CE5">
              <w:rPr>
                <w:rFonts w:ascii="Cambria" w:eastAsia="Calibri" w:hAnsi="Cambria" w:cs="Calibri"/>
                <w:lang w:val="hr-HR"/>
              </w:rPr>
              <w:t>history</w:t>
            </w:r>
            <w:proofErr w:type="spellEnd"/>
            <w:r w:rsidRPr="00DF4CE5">
              <w:rPr>
                <w:rFonts w:ascii="Cambria" w:eastAsia="Calibri" w:hAnsi="Cambria" w:cs="Calibri"/>
                <w:lang w:val="hr-HR"/>
              </w:rPr>
              <w:t xml:space="preserve">. Oxford </w:t>
            </w:r>
            <w:proofErr w:type="spellStart"/>
            <w:r w:rsidRPr="00DF4CE5">
              <w:rPr>
                <w:rFonts w:ascii="Cambria" w:eastAsia="Calibri" w:hAnsi="Cambria" w:cs="Calibri"/>
                <w:lang w:val="hr-HR"/>
              </w:rPr>
              <w:t>and</w:t>
            </w:r>
            <w:proofErr w:type="spellEnd"/>
            <w:r w:rsidRPr="00DF4CE5">
              <w:rPr>
                <w:rFonts w:ascii="Cambria" w:eastAsia="Calibri" w:hAnsi="Cambria" w:cs="Calibri"/>
                <w:lang w:val="hr-HR"/>
              </w:rPr>
              <w:t xml:space="preserve"> New York: Oxford </w:t>
            </w:r>
            <w:proofErr w:type="spellStart"/>
            <w:r w:rsidRPr="00DF4CE5">
              <w:rPr>
                <w:rFonts w:ascii="Cambria" w:eastAsia="Calibri" w:hAnsi="Cambria" w:cs="Calibri"/>
                <w:lang w:val="hr-HR"/>
              </w:rPr>
              <w:t>Unitversity</w:t>
            </w:r>
            <w:proofErr w:type="spellEnd"/>
            <w:r w:rsidRPr="00DF4CE5">
              <w:rPr>
                <w:rFonts w:ascii="Cambria" w:eastAsia="Calibri" w:hAnsi="Cambria" w:cs="Calibri"/>
                <w:lang w:val="hr-HR"/>
              </w:rPr>
              <w:t xml:space="preserve"> Press, 1995. (odabrana poglavlja) </w:t>
            </w:r>
          </w:p>
          <w:p w14:paraId="61B5997A" w14:textId="77777777" w:rsidR="002A021D" w:rsidRPr="00DF4CE5" w:rsidRDefault="002A021D" w:rsidP="000B2D2C">
            <w:pPr>
              <w:spacing w:after="0" w:line="240" w:lineRule="atLeast"/>
              <w:jc w:val="both"/>
              <w:rPr>
                <w:rFonts w:ascii="Cambria" w:eastAsia="Calibri" w:hAnsi="Cambria" w:cs="Calibri"/>
                <w:lang w:val="hr-HR"/>
              </w:rPr>
            </w:pPr>
            <w:r w:rsidRPr="00DF4CE5">
              <w:rPr>
                <w:rFonts w:ascii="Cambria" w:eastAsia="Calibri" w:hAnsi="Cambria" w:cs="Calibri"/>
                <w:lang w:val="hr-HR"/>
              </w:rPr>
              <w:t xml:space="preserve">Hunt, Peter. International </w:t>
            </w:r>
            <w:proofErr w:type="spellStart"/>
            <w:r w:rsidRPr="00DF4CE5">
              <w:rPr>
                <w:rFonts w:ascii="Cambria" w:eastAsia="Calibri" w:hAnsi="Cambria" w:cs="Calibri"/>
                <w:lang w:val="hr-HR"/>
              </w:rPr>
              <w:t>companion</w:t>
            </w:r>
            <w:proofErr w:type="spellEnd"/>
            <w:r w:rsidRPr="00DF4CE5">
              <w:rPr>
                <w:rFonts w:ascii="Cambria" w:eastAsia="Calibri" w:hAnsi="Cambria" w:cs="Calibri"/>
                <w:lang w:val="hr-HR"/>
              </w:rPr>
              <w:t xml:space="preserve">. Encyclopedia </w:t>
            </w:r>
            <w:proofErr w:type="spellStart"/>
            <w:r w:rsidRPr="00DF4CE5">
              <w:rPr>
                <w:rFonts w:ascii="Cambria" w:eastAsia="Calibri" w:hAnsi="Cambria" w:cs="Calibri"/>
                <w:lang w:val="hr-HR"/>
              </w:rPr>
              <w:t>of</w:t>
            </w:r>
            <w:proofErr w:type="spellEnd"/>
            <w:r w:rsidRPr="00DF4CE5">
              <w:rPr>
                <w:rFonts w:ascii="Cambria" w:eastAsia="Calibri" w:hAnsi="Cambria" w:cs="Calibri"/>
                <w:lang w:val="hr-HR"/>
              </w:rPr>
              <w:t xml:space="preserve"> </w:t>
            </w:r>
            <w:proofErr w:type="spellStart"/>
            <w:r w:rsidRPr="00DF4CE5">
              <w:rPr>
                <w:rFonts w:ascii="Cambria" w:eastAsia="Calibri" w:hAnsi="Cambria" w:cs="Calibri"/>
                <w:lang w:val="hr-HR"/>
              </w:rPr>
              <w:t>children's</w:t>
            </w:r>
            <w:proofErr w:type="spellEnd"/>
            <w:r w:rsidRPr="00DF4CE5">
              <w:rPr>
                <w:rFonts w:ascii="Cambria" w:eastAsia="Calibri" w:hAnsi="Cambria" w:cs="Calibri"/>
                <w:lang w:val="hr-HR"/>
              </w:rPr>
              <w:t xml:space="preserve"> literature. London i New York: </w:t>
            </w:r>
            <w:proofErr w:type="spellStart"/>
            <w:r w:rsidRPr="00DF4CE5">
              <w:rPr>
                <w:rFonts w:ascii="Cambria" w:eastAsia="Calibri" w:hAnsi="Cambria" w:cs="Calibri"/>
                <w:lang w:val="hr-HR"/>
              </w:rPr>
              <w:t>Routledge</w:t>
            </w:r>
            <w:proofErr w:type="spellEnd"/>
            <w:r w:rsidRPr="00DF4CE5">
              <w:rPr>
                <w:rFonts w:ascii="Cambria" w:eastAsia="Calibri" w:hAnsi="Cambria" w:cs="Calibri"/>
                <w:lang w:val="hr-HR"/>
              </w:rPr>
              <w:t>, 2004.</w:t>
            </w:r>
          </w:p>
          <w:p w14:paraId="0ECDC314" w14:textId="77777777" w:rsidR="002A021D" w:rsidRPr="00DF4CE5" w:rsidRDefault="002A021D" w:rsidP="000B2D2C">
            <w:pPr>
              <w:spacing w:after="0" w:line="240" w:lineRule="atLeast"/>
              <w:jc w:val="both"/>
              <w:rPr>
                <w:rFonts w:ascii="Cambria" w:eastAsia="Calibri" w:hAnsi="Cambria" w:cs="Calibri"/>
                <w:lang w:val="hr-HR"/>
              </w:rPr>
            </w:pPr>
            <w:r>
              <w:rPr>
                <w:rFonts w:ascii="Cambria" w:eastAsia="Calibri" w:hAnsi="Cambria" w:cs="Calibri"/>
                <w:lang w:val="hr-HR"/>
              </w:rPr>
              <w:t xml:space="preserve">2. </w:t>
            </w:r>
            <w:r w:rsidRPr="00DF4CE5">
              <w:rPr>
                <w:rFonts w:ascii="Cambria" w:eastAsia="Calibri" w:hAnsi="Cambria" w:cs="Calibri"/>
                <w:lang w:val="hr-HR"/>
              </w:rPr>
              <w:t xml:space="preserve">Hunt, Peter. </w:t>
            </w:r>
            <w:proofErr w:type="spellStart"/>
            <w:r w:rsidRPr="00DF4CE5">
              <w:rPr>
                <w:rFonts w:ascii="Cambria" w:eastAsia="Calibri" w:hAnsi="Cambria" w:cs="Calibri"/>
                <w:lang w:val="hr-HR"/>
              </w:rPr>
              <w:t>Understanding</w:t>
            </w:r>
            <w:proofErr w:type="spellEnd"/>
            <w:r w:rsidRPr="00DF4CE5">
              <w:rPr>
                <w:rFonts w:ascii="Cambria" w:eastAsia="Calibri" w:hAnsi="Cambria" w:cs="Calibri"/>
                <w:lang w:val="hr-HR"/>
              </w:rPr>
              <w:t xml:space="preserve"> </w:t>
            </w:r>
            <w:proofErr w:type="spellStart"/>
            <w:r w:rsidRPr="00DF4CE5">
              <w:rPr>
                <w:rFonts w:ascii="Cambria" w:eastAsia="Calibri" w:hAnsi="Cambria" w:cs="Calibri"/>
                <w:lang w:val="hr-HR"/>
              </w:rPr>
              <w:t>children's</w:t>
            </w:r>
            <w:proofErr w:type="spellEnd"/>
            <w:r w:rsidRPr="00DF4CE5">
              <w:rPr>
                <w:rFonts w:ascii="Cambria" w:eastAsia="Calibri" w:hAnsi="Cambria" w:cs="Calibri"/>
                <w:lang w:val="hr-HR"/>
              </w:rPr>
              <w:t xml:space="preserve"> literature. London i New York: </w:t>
            </w:r>
            <w:proofErr w:type="spellStart"/>
            <w:r w:rsidRPr="00DF4CE5">
              <w:rPr>
                <w:rFonts w:ascii="Cambria" w:eastAsia="Calibri" w:hAnsi="Cambria" w:cs="Calibri"/>
                <w:lang w:val="hr-HR"/>
              </w:rPr>
              <w:t>Routledge</w:t>
            </w:r>
            <w:proofErr w:type="spellEnd"/>
            <w:r w:rsidRPr="00DF4CE5">
              <w:rPr>
                <w:rFonts w:ascii="Cambria" w:eastAsia="Calibri" w:hAnsi="Cambria" w:cs="Calibri"/>
                <w:lang w:val="hr-HR"/>
              </w:rPr>
              <w:t>, 2005.</w:t>
            </w:r>
          </w:p>
          <w:p w14:paraId="06C17D02" w14:textId="77777777" w:rsidR="002A021D" w:rsidRPr="00DF4CE5" w:rsidRDefault="002A021D" w:rsidP="000B2D2C">
            <w:pPr>
              <w:autoSpaceDE w:val="0"/>
              <w:autoSpaceDN w:val="0"/>
              <w:adjustRightInd w:val="0"/>
              <w:spacing w:after="0" w:line="240" w:lineRule="atLeast"/>
              <w:jc w:val="both"/>
              <w:rPr>
                <w:rFonts w:ascii="Cambria" w:eastAsia="Calibri" w:hAnsi="Cambria" w:cs="Calibri"/>
                <w:lang w:val="hr-HR"/>
              </w:rPr>
            </w:pPr>
            <w:r>
              <w:rPr>
                <w:rFonts w:ascii="Cambria" w:eastAsia="Calibri" w:hAnsi="Cambria" w:cs="Calibri"/>
                <w:lang w:val="hr-HR"/>
              </w:rPr>
              <w:t xml:space="preserve">3. </w:t>
            </w:r>
            <w:proofErr w:type="spellStart"/>
            <w:r w:rsidRPr="00DF4CE5">
              <w:rPr>
                <w:rFonts w:ascii="Cambria" w:eastAsia="Calibri" w:hAnsi="Cambria" w:cs="Calibri"/>
                <w:lang w:val="hr-HR"/>
              </w:rPr>
              <w:t>Nikolajeva</w:t>
            </w:r>
            <w:proofErr w:type="spellEnd"/>
            <w:r w:rsidRPr="00DF4CE5">
              <w:rPr>
                <w:rFonts w:ascii="Cambria" w:eastAsia="Calibri" w:hAnsi="Cambria" w:cs="Calibri"/>
                <w:lang w:val="hr-HR"/>
              </w:rPr>
              <w:t xml:space="preserve">, Maria. </w:t>
            </w:r>
            <w:proofErr w:type="spellStart"/>
            <w:r w:rsidRPr="00DF4CE5">
              <w:rPr>
                <w:rFonts w:ascii="Cambria" w:eastAsia="Calibri" w:hAnsi="Cambria" w:cs="Calibri"/>
                <w:lang w:val="hr-HR"/>
              </w:rPr>
              <w:t>Aspects</w:t>
            </w:r>
            <w:proofErr w:type="spellEnd"/>
            <w:r w:rsidRPr="00DF4CE5">
              <w:rPr>
                <w:rFonts w:ascii="Cambria" w:eastAsia="Calibri" w:hAnsi="Cambria" w:cs="Calibri"/>
                <w:lang w:val="hr-HR"/>
              </w:rPr>
              <w:t xml:space="preserve"> </w:t>
            </w:r>
            <w:proofErr w:type="spellStart"/>
            <w:r w:rsidRPr="00DF4CE5">
              <w:rPr>
                <w:rFonts w:ascii="Cambria" w:eastAsia="Calibri" w:hAnsi="Cambria" w:cs="Calibri"/>
                <w:lang w:val="hr-HR"/>
              </w:rPr>
              <w:t>and</w:t>
            </w:r>
            <w:proofErr w:type="spellEnd"/>
            <w:r w:rsidRPr="00DF4CE5">
              <w:rPr>
                <w:rFonts w:ascii="Cambria" w:eastAsia="Calibri" w:hAnsi="Cambria" w:cs="Calibri"/>
                <w:lang w:val="hr-HR"/>
              </w:rPr>
              <w:t xml:space="preserve"> </w:t>
            </w:r>
            <w:proofErr w:type="spellStart"/>
            <w:r w:rsidRPr="00DF4CE5">
              <w:rPr>
                <w:rFonts w:ascii="Cambria" w:eastAsia="Calibri" w:hAnsi="Cambria" w:cs="Calibri"/>
                <w:lang w:val="hr-HR"/>
              </w:rPr>
              <w:t>issues</w:t>
            </w:r>
            <w:proofErr w:type="spellEnd"/>
            <w:r w:rsidRPr="00DF4CE5">
              <w:rPr>
                <w:rFonts w:ascii="Cambria" w:eastAsia="Calibri" w:hAnsi="Cambria" w:cs="Calibri"/>
                <w:lang w:val="hr-HR"/>
              </w:rPr>
              <w:t xml:space="preserve"> </w:t>
            </w:r>
            <w:proofErr w:type="spellStart"/>
            <w:r w:rsidRPr="00DF4CE5">
              <w:rPr>
                <w:rFonts w:ascii="Cambria" w:eastAsia="Calibri" w:hAnsi="Cambria" w:cs="Calibri"/>
                <w:lang w:val="hr-HR"/>
              </w:rPr>
              <w:t>in</w:t>
            </w:r>
            <w:proofErr w:type="spellEnd"/>
            <w:r w:rsidRPr="00DF4CE5">
              <w:rPr>
                <w:rFonts w:ascii="Cambria" w:eastAsia="Calibri" w:hAnsi="Cambria" w:cs="Calibri"/>
                <w:lang w:val="hr-HR"/>
              </w:rPr>
              <w:t xml:space="preserve"> </w:t>
            </w:r>
            <w:proofErr w:type="spellStart"/>
            <w:r w:rsidRPr="00DF4CE5">
              <w:rPr>
                <w:rFonts w:ascii="Cambria" w:eastAsia="Calibri" w:hAnsi="Cambria" w:cs="Calibri"/>
                <w:lang w:val="hr-HR"/>
              </w:rPr>
              <w:t>the</w:t>
            </w:r>
            <w:proofErr w:type="spellEnd"/>
            <w:r w:rsidRPr="00DF4CE5">
              <w:rPr>
                <w:rFonts w:ascii="Cambria" w:eastAsia="Calibri" w:hAnsi="Cambria" w:cs="Calibri"/>
                <w:lang w:val="hr-HR"/>
              </w:rPr>
              <w:t xml:space="preserve"> </w:t>
            </w:r>
            <w:proofErr w:type="spellStart"/>
            <w:r w:rsidRPr="00DF4CE5">
              <w:rPr>
                <w:rFonts w:ascii="Cambria" w:eastAsia="Calibri" w:hAnsi="Cambria" w:cs="Calibri"/>
                <w:lang w:val="hr-HR"/>
              </w:rPr>
              <w:t>history</w:t>
            </w:r>
            <w:proofErr w:type="spellEnd"/>
            <w:r w:rsidRPr="00DF4CE5">
              <w:rPr>
                <w:rFonts w:ascii="Cambria" w:eastAsia="Calibri" w:hAnsi="Cambria" w:cs="Calibri"/>
                <w:lang w:val="hr-HR"/>
              </w:rPr>
              <w:t xml:space="preserve"> </w:t>
            </w:r>
            <w:proofErr w:type="spellStart"/>
            <w:r w:rsidRPr="00DF4CE5">
              <w:rPr>
                <w:rFonts w:ascii="Cambria" w:eastAsia="Calibri" w:hAnsi="Cambria" w:cs="Calibri"/>
                <w:lang w:val="hr-HR"/>
              </w:rPr>
              <w:t>of</w:t>
            </w:r>
            <w:proofErr w:type="spellEnd"/>
            <w:r w:rsidRPr="00DF4CE5">
              <w:rPr>
                <w:rFonts w:ascii="Cambria" w:eastAsia="Calibri" w:hAnsi="Cambria" w:cs="Calibri"/>
                <w:lang w:val="hr-HR"/>
              </w:rPr>
              <w:t xml:space="preserve"> </w:t>
            </w:r>
            <w:proofErr w:type="spellStart"/>
            <w:r w:rsidRPr="00DF4CE5">
              <w:rPr>
                <w:rFonts w:ascii="Cambria" w:eastAsia="Calibri" w:hAnsi="Cambria" w:cs="Calibri"/>
                <w:lang w:val="hr-HR"/>
              </w:rPr>
              <w:t>children's</w:t>
            </w:r>
            <w:proofErr w:type="spellEnd"/>
            <w:r w:rsidRPr="00DF4CE5">
              <w:rPr>
                <w:rFonts w:ascii="Cambria" w:eastAsia="Calibri" w:hAnsi="Cambria" w:cs="Calibri"/>
                <w:lang w:val="hr-HR"/>
              </w:rPr>
              <w:t xml:space="preserve"> </w:t>
            </w:r>
            <w:proofErr w:type="spellStart"/>
            <w:r w:rsidRPr="00DF4CE5">
              <w:rPr>
                <w:rFonts w:ascii="Cambria" w:eastAsia="Calibri" w:hAnsi="Cambria" w:cs="Calibri"/>
                <w:lang w:val="hr-HR"/>
              </w:rPr>
              <w:t>literature.Westport</w:t>
            </w:r>
            <w:proofErr w:type="spellEnd"/>
            <w:r w:rsidRPr="00DF4CE5">
              <w:rPr>
                <w:rFonts w:ascii="Cambria" w:eastAsia="Calibri" w:hAnsi="Cambria" w:cs="Calibri"/>
                <w:lang w:val="hr-HR"/>
              </w:rPr>
              <w:t xml:space="preserve">: </w:t>
            </w:r>
            <w:proofErr w:type="spellStart"/>
            <w:r w:rsidRPr="00DF4CE5">
              <w:rPr>
                <w:rFonts w:ascii="Cambria" w:eastAsia="Calibri" w:hAnsi="Cambria" w:cs="Calibri"/>
                <w:lang w:val="hr-HR"/>
              </w:rPr>
              <w:t>Greenwood</w:t>
            </w:r>
            <w:proofErr w:type="spellEnd"/>
            <w:r w:rsidRPr="00DF4CE5">
              <w:rPr>
                <w:rFonts w:ascii="Cambria" w:eastAsia="Calibri" w:hAnsi="Cambria" w:cs="Calibri"/>
                <w:lang w:val="hr-HR"/>
              </w:rPr>
              <w:t xml:space="preserve"> </w:t>
            </w:r>
            <w:proofErr w:type="spellStart"/>
            <w:r w:rsidRPr="00DF4CE5">
              <w:rPr>
                <w:rFonts w:ascii="Cambria" w:eastAsia="Calibri" w:hAnsi="Cambria" w:cs="Calibri"/>
                <w:lang w:val="hr-HR"/>
              </w:rPr>
              <w:t>publishing</w:t>
            </w:r>
            <w:proofErr w:type="spellEnd"/>
            <w:r w:rsidRPr="00DF4CE5">
              <w:rPr>
                <w:rFonts w:ascii="Cambria" w:eastAsia="Calibri" w:hAnsi="Cambria" w:cs="Calibri"/>
                <w:lang w:val="hr-HR"/>
              </w:rPr>
              <w:t xml:space="preserve"> </w:t>
            </w:r>
            <w:proofErr w:type="spellStart"/>
            <w:r w:rsidRPr="00DF4CE5">
              <w:rPr>
                <w:rFonts w:ascii="Cambria" w:eastAsia="Calibri" w:hAnsi="Cambria" w:cs="Calibri"/>
                <w:lang w:val="hr-HR"/>
              </w:rPr>
              <w:t>group</w:t>
            </w:r>
            <w:proofErr w:type="spellEnd"/>
            <w:r w:rsidRPr="00DF4CE5">
              <w:rPr>
                <w:rFonts w:ascii="Cambria" w:eastAsia="Calibri" w:hAnsi="Cambria" w:cs="Calibri"/>
                <w:lang w:val="hr-HR"/>
              </w:rPr>
              <w:t>, 1995.</w:t>
            </w:r>
          </w:p>
          <w:p w14:paraId="47E565AE" w14:textId="77777777" w:rsidR="002A021D" w:rsidRPr="00DF4CE5" w:rsidRDefault="002A021D" w:rsidP="000B2D2C">
            <w:pPr>
              <w:spacing w:after="0" w:line="240" w:lineRule="atLeast"/>
              <w:jc w:val="both"/>
              <w:rPr>
                <w:rFonts w:ascii="Cambria" w:eastAsia="Calibri" w:hAnsi="Cambria" w:cs="Calibri"/>
                <w:lang w:val="hr-HR"/>
              </w:rPr>
            </w:pPr>
            <w:r w:rsidRPr="00DF4CE5">
              <w:rPr>
                <w:rFonts w:ascii="Cambria" w:eastAsia="Calibri" w:hAnsi="Cambria" w:cs="Calibri"/>
                <w:lang w:val="hr-HR"/>
              </w:rPr>
              <w:t xml:space="preserve">Tatar, Maria. </w:t>
            </w:r>
            <w:proofErr w:type="spellStart"/>
            <w:r w:rsidRPr="00DF4CE5">
              <w:rPr>
                <w:rFonts w:ascii="Cambria" w:eastAsia="Calibri" w:hAnsi="Cambria" w:cs="Calibri"/>
                <w:lang w:val="hr-HR"/>
              </w:rPr>
              <w:t>The</w:t>
            </w:r>
            <w:proofErr w:type="spellEnd"/>
            <w:r w:rsidRPr="00DF4CE5">
              <w:rPr>
                <w:rFonts w:ascii="Cambria" w:eastAsia="Calibri" w:hAnsi="Cambria" w:cs="Calibri"/>
                <w:lang w:val="hr-HR"/>
              </w:rPr>
              <w:t xml:space="preserve"> </w:t>
            </w:r>
            <w:proofErr w:type="spellStart"/>
            <w:r w:rsidRPr="00DF4CE5">
              <w:rPr>
                <w:rFonts w:ascii="Cambria" w:eastAsia="Calibri" w:hAnsi="Cambria" w:cs="Calibri"/>
                <w:lang w:val="hr-HR"/>
              </w:rPr>
              <w:t>classic</w:t>
            </w:r>
            <w:proofErr w:type="spellEnd"/>
            <w:r w:rsidRPr="00DF4CE5">
              <w:rPr>
                <w:rFonts w:ascii="Cambria" w:eastAsia="Calibri" w:hAnsi="Cambria" w:cs="Calibri"/>
                <w:lang w:val="hr-HR"/>
              </w:rPr>
              <w:t xml:space="preserve"> </w:t>
            </w:r>
            <w:proofErr w:type="spellStart"/>
            <w:r w:rsidRPr="00DF4CE5">
              <w:rPr>
                <w:rFonts w:ascii="Cambria" w:eastAsia="Calibri" w:hAnsi="Cambria" w:cs="Calibri"/>
                <w:lang w:val="hr-HR"/>
              </w:rPr>
              <w:t>fairy</w:t>
            </w:r>
            <w:proofErr w:type="spellEnd"/>
            <w:r w:rsidRPr="00DF4CE5">
              <w:rPr>
                <w:rFonts w:ascii="Cambria" w:eastAsia="Calibri" w:hAnsi="Cambria" w:cs="Calibri"/>
                <w:lang w:val="hr-HR"/>
              </w:rPr>
              <w:t xml:space="preserve"> </w:t>
            </w:r>
            <w:proofErr w:type="spellStart"/>
            <w:r w:rsidRPr="00DF4CE5">
              <w:rPr>
                <w:rFonts w:ascii="Cambria" w:eastAsia="Calibri" w:hAnsi="Cambria" w:cs="Calibri"/>
                <w:lang w:val="hr-HR"/>
              </w:rPr>
              <w:t>fales</w:t>
            </w:r>
            <w:proofErr w:type="spellEnd"/>
            <w:r w:rsidRPr="00DF4CE5">
              <w:rPr>
                <w:rFonts w:ascii="Cambria" w:eastAsia="Calibri" w:hAnsi="Cambria" w:cs="Calibri"/>
                <w:lang w:val="hr-HR"/>
              </w:rPr>
              <w:t>. New York i London: W. W. Norton &amp; Company, Inc., 1999.</w:t>
            </w:r>
          </w:p>
          <w:p w14:paraId="467AA7A4" w14:textId="77777777" w:rsidR="002A021D" w:rsidRPr="00DF4CE5" w:rsidRDefault="002A021D" w:rsidP="000B2D2C">
            <w:pPr>
              <w:spacing w:after="0" w:line="240" w:lineRule="atLeast"/>
              <w:jc w:val="both"/>
              <w:rPr>
                <w:rFonts w:ascii="Cambria" w:eastAsia="Calibri" w:hAnsi="Cambria" w:cs="Calibri"/>
                <w:lang w:val="hr-HR"/>
              </w:rPr>
            </w:pPr>
            <w:r>
              <w:rPr>
                <w:rFonts w:ascii="Cambria" w:eastAsia="Calibri" w:hAnsi="Cambria" w:cs="Calibri"/>
                <w:lang w:val="hr-HR"/>
              </w:rPr>
              <w:lastRenderedPageBreak/>
              <w:t xml:space="preserve">4. </w:t>
            </w:r>
            <w:proofErr w:type="spellStart"/>
            <w:r w:rsidRPr="00DF4CE5">
              <w:rPr>
                <w:rFonts w:ascii="Cambria" w:eastAsia="Calibri" w:hAnsi="Cambria" w:cs="Calibri"/>
                <w:lang w:val="hr-HR"/>
              </w:rPr>
              <w:t>Thorough</w:t>
            </w:r>
            <w:proofErr w:type="spellEnd"/>
            <w:r w:rsidRPr="00DF4CE5">
              <w:rPr>
                <w:rFonts w:ascii="Cambria" w:eastAsia="Calibri" w:hAnsi="Cambria" w:cs="Calibri"/>
                <w:lang w:val="hr-HR"/>
              </w:rPr>
              <w:t xml:space="preserve">, </w:t>
            </w:r>
            <w:proofErr w:type="spellStart"/>
            <w:r w:rsidRPr="00DF4CE5">
              <w:rPr>
                <w:rFonts w:ascii="Cambria" w:eastAsia="Calibri" w:hAnsi="Cambria" w:cs="Calibri"/>
                <w:lang w:val="hr-HR"/>
              </w:rPr>
              <w:t>Darren</w:t>
            </w:r>
            <w:proofErr w:type="spellEnd"/>
            <w:r w:rsidRPr="00DF4CE5">
              <w:rPr>
                <w:rFonts w:ascii="Cambria" w:eastAsia="Calibri" w:hAnsi="Cambria" w:cs="Calibri"/>
                <w:lang w:val="hr-HR"/>
              </w:rPr>
              <w:t xml:space="preserve"> R. </w:t>
            </w:r>
            <w:proofErr w:type="spellStart"/>
            <w:r w:rsidRPr="00DF4CE5">
              <w:rPr>
                <w:rFonts w:ascii="Cambria" w:eastAsia="Calibri" w:hAnsi="Cambria" w:cs="Calibri"/>
                <w:lang w:val="hr-HR"/>
              </w:rPr>
              <w:t>The</w:t>
            </w:r>
            <w:proofErr w:type="spellEnd"/>
            <w:r w:rsidRPr="00DF4CE5">
              <w:rPr>
                <w:rFonts w:ascii="Cambria" w:eastAsia="Calibri" w:hAnsi="Cambria" w:cs="Calibri"/>
                <w:lang w:val="hr-HR"/>
              </w:rPr>
              <w:t xml:space="preserve"> </w:t>
            </w:r>
            <w:proofErr w:type="spellStart"/>
            <w:r w:rsidRPr="00DF4CE5">
              <w:rPr>
                <w:rFonts w:ascii="Cambria" w:eastAsia="Calibri" w:hAnsi="Cambria" w:cs="Calibri"/>
                <w:lang w:val="hr-HR"/>
              </w:rPr>
              <w:t>nursery</w:t>
            </w:r>
            <w:proofErr w:type="spellEnd"/>
            <w:r w:rsidRPr="00DF4CE5">
              <w:rPr>
                <w:rFonts w:ascii="Cambria" w:eastAsia="Calibri" w:hAnsi="Cambria" w:cs="Calibri"/>
                <w:lang w:val="hr-HR"/>
              </w:rPr>
              <w:t xml:space="preserve"> </w:t>
            </w:r>
            <w:proofErr w:type="spellStart"/>
            <w:r w:rsidRPr="00DF4CE5">
              <w:rPr>
                <w:rFonts w:ascii="Cambria" w:eastAsia="Calibri" w:hAnsi="Cambria" w:cs="Calibri"/>
                <w:lang w:val="hr-HR"/>
              </w:rPr>
              <w:t>rhymes</w:t>
            </w:r>
            <w:proofErr w:type="spellEnd"/>
            <w:r w:rsidRPr="00DF4CE5">
              <w:rPr>
                <w:rFonts w:ascii="Cambria" w:eastAsia="Calibri" w:hAnsi="Cambria" w:cs="Calibri"/>
                <w:lang w:val="hr-HR"/>
              </w:rPr>
              <w:t xml:space="preserve"> </w:t>
            </w:r>
            <w:proofErr w:type="spellStart"/>
            <w:r w:rsidRPr="00DF4CE5">
              <w:rPr>
                <w:rFonts w:ascii="Cambria" w:eastAsia="Calibri" w:hAnsi="Cambria" w:cs="Calibri"/>
                <w:lang w:val="hr-HR"/>
              </w:rPr>
              <w:t>of</w:t>
            </w:r>
            <w:proofErr w:type="spellEnd"/>
            <w:r w:rsidRPr="00DF4CE5">
              <w:rPr>
                <w:rFonts w:ascii="Cambria" w:eastAsia="Calibri" w:hAnsi="Cambria" w:cs="Calibri"/>
                <w:lang w:val="hr-HR"/>
              </w:rPr>
              <w:t xml:space="preserve"> </w:t>
            </w:r>
            <w:proofErr w:type="spellStart"/>
            <w:r w:rsidRPr="00DF4CE5">
              <w:rPr>
                <w:rFonts w:ascii="Cambria" w:eastAsia="Calibri" w:hAnsi="Cambria" w:cs="Calibri"/>
                <w:lang w:val="hr-HR"/>
              </w:rPr>
              <w:t>dreamland</w:t>
            </w:r>
            <w:proofErr w:type="spellEnd"/>
            <w:r w:rsidRPr="00DF4CE5">
              <w:rPr>
                <w:rFonts w:ascii="Cambria" w:eastAsia="Calibri" w:hAnsi="Cambria" w:cs="Calibri"/>
                <w:lang w:val="hr-HR"/>
              </w:rPr>
              <w:t xml:space="preserve">. Devon: </w:t>
            </w:r>
            <w:proofErr w:type="spellStart"/>
            <w:r w:rsidRPr="00DF4CE5">
              <w:rPr>
                <w:rFonts w:ascii="Cambria" w:eastAsia="Calibri" w:hAnsi="Cambria" w:cs="Calibri"/>
                <w:lang w:val="hr-HR"/>
              </w:rPr>
              <w:t>Bluebell</w:t>
            </w:r>
            <w:proofErr w:type="spellEnd"/>
            <w:r w:rsidRPr="00DF4CE5">
              <w:rPr>
                <w:rFonts w:ascii="Cambria" w:eastAsia="Calibri" w:hAnsi="Cambria" w:cs="Calibri"/>
                <w:lang w:val="hr-HR"/>
              </w:rPr>
              <w:t xml:space="preserve"> Lane, 1995.</w:t>
            </w:r>
          </w:p>
          <w:p w14:paraId="6A7E19D7" w14:textId="77777777" w:rsidR="002A021D" w:rsidRPr="00DF4CE5" w:rsidRDefault="002A021D" w:rsidP="000B2D2C">
            <w:pPr>
              <w:spacing w:after="0" w:line="240" w:lineRule="atLeast"/>
              <w:jc w:val="both"/>
              <w:rPr>
                <w:rFonts w:ascii="Cambria" w:eastAsia="Calibri" w:hAnsi="Cambria" w:cs="Calibri"/>
                <w:lang w:val="hr-HR"/>
              </w:rPr>
            </w:pPr>
            <w:r>
              <w:rPr>
                <w:rFonts w:ascii="Cambria" w:eastAsia="Calibri" w:hAnsi="Cambria" w:cs="Calibri"/>
                <w:lang w:val="hr-HR"/>
              </w:rPr>
              <w:t xml:space="preserve">5. </w:t>
            </w:r>
            <w:proofErr w:type="spellStart"/>
            <w:r w:rsidRPr="00DF4CE5">
              <w:rPr>
                <w:rFonts w:ascii="Cambria" w:eastAsia="Calibri" w:hAnsi="Cambria" w:cs="Calibri"/>
                <w:lang w:val="hr-HR"/>
              </w:rPr>
              <w:t>Zipes</w:t>
            </w:r>
            <w:proofErr w:type="spellEnd"/>
            <w:r w:rsidRPr="00DF4CE5">
              <w:rPr>
                <w:rFonts w:ascii="Cambria" w:eastAsia="Calibri" w:hAnsi="Cambria" w:cs="Calibri"/>
                <w:lang w:val="hr-HR"/>
              </w:rPr>
              <w:t xml:space="preserve">, Jack. </w:t>
            </w:r>
            <w:proofErr w:type="spellStart"/>
            <w:r w:rsidRPr="00DF4CE5">
              <w:rPr>
                <w:rFonts w:ascii="Cambria" w:eastAsia="Calibri" w:hAnsi="Cambria" w:cs="Calibri"/>
                <w:lang w:val="hr-HR"/>
              </w:rPr>
              <w:t>When</w:t>
            </w:r>
            <w:proofErr w:type="spellEnd"/>
            <w:r w:rsidRPr="00DF4CE5">
              <w:rPr>
                <w:rFonts w:ascii="Cambria" w:eastAsia="Calibri" w:hAnsi="Cambria" w:cs="Calibri"/>
                <w:lang w:val="hr-HR"/>
              </w:rPr>
              <w:t xml:space="preserve"> </w:t>
            </w:r>
            <w:proofErr w:type="spellStart"/>
            <w:r w:rsidRPr="00DF4CE5">
              <w:rPr>
                <w:rFonts w:ascii="Cambria" w:eastAsia="Calibri" w:hAnsi="Cambria" w:cs="Calibri"/>
                <w:lang w:val="hr-HR"/>
              </w:rPr>
              <w:t>dreams</w:t>
            </w:r>
            <w:proofErr w:type="spellEnd"/>
            <w:r w:rsidRPr="00DF4CE5">
              <w:rPr>
                <w:rFonts w:ascii="Cambria" w:eastAsia="Calibri" w:hAnsi="Cambria" w:cs="Calibri"/>
                <w:lang w:val="hr-HR"/>
              </w:rPr>
              <w:t xml:space="preserve"> </w:t>
            </w:r>
            <w:proofErr w:type="spellStart"/>
            <w:r w:rsidRPr="00DF4CE5">
              <w:rPr>
                <w:rFonts w:ascii="Cambria" w:eastAsia="Calibri" w:hAnsi="Cambria" w:cs="Calibri"/>
                <w:lang w:val="hr-HR"/>
              </w:rPr>
              <w:t>came</w:t>
            </w:r>
            <w:proofErr w:type="spellEnd"/>
            <w:r w:rsidRPr="00DF4CE5">
              <w:rPr>
                <w:rFonts w:ascii="Cambria" w:eastAsia="Calibri" w:hAnsi="Cambria" w:cs="Calibri"/>
                <w:lang w:val="hr-HR"/>
              </w:rPr>
              <w:t xml:space="preserve"> </w:t>
            </w:r>
            <w:proofErr w:type="spellStart"/>
            <w:r w:rsidRPr="00DF4CE5">
              <w:rPr>
                <w:rFonts w:ascii="Cambria" w:eastAsia="Calibri" w:hAnsi="Cambria" w:cs="Calibri"/>
                <w:lang w:val="hr-HR"/>
              </w:rPr>
              <w:t>true</w:t>
            </w:r>
            <w:proofErr w:type="spellEnd"/>
            <w:r w:rsidRPr="00DF4CE5">
              <w:rPr>
                <w:rFonts w:ascii="Cambria" w:eastAsia="Calibri" w:hAnsi="Cambria" w:cs="Calibri"/>
                <w:lang w:val="hr-HR"/>
              </w:rPr>
              <w:t xml:space="preserve"> – </w:t>
            </w:r>
            <w:proofErr w:type="spellStart"/>
            <w:r w:rsidRPr="00DF4CE5">
              <w:rPr>
                <w:rFonts w:ascii="Cambria" w:eastAsia="Calibri" w:hAnsi="Cambria" w:cs="Calibri"/>
                <w:lang w:val="hr-HR"/>
              </w:rPr>
              <w:t>classical</w:t>
            </w:r>
            <w:proofErr w:type="spellEnd"/>
            <w:r w:rsidRPr="00DF4CE5">
              <w:rPr>
                <w:rFonts w:ascii="Cambria" w:eastAsia="Calibri" w:hAnsi="Cambria" w:cs="Calibri"/>
                <w:lang w:val="hr-HR"/>
              </w:rPr>
              <w:t xml:space="preserve"> </w:t>
            </w:r>
            <w:proofErr w:type="spellStart"/>
            <w:r w:rsidRPr="00DF4CE5">
              <w:rPr>
                <w:rFonts w:ascii="Cambria" w:eastAsia="Calibri" w:hAnsi="Cambria" w:cs="Calibri"/>
                <w:lang w:val="hr-HR"/>
              </w:rPr>
              <w:t>fairy</w:t>
            </w:r>
            <w:proofErr w:type="spellEnd"/>
            <w:r w:rsidRPr="00DF4CE5">
              <w:rPr>
                <w:rFonts w:ascii="Cambria" w:eastAsia="Calibri" w:hAnsi="Cambria" w:cs="Calibri"/>
                <w:lang w:val="hr-HR"/>
              </w:rPr>
              <w:t xml:space="preserve"> </w:t>
            </w:r>
            <w:proofErr w:type="spellStart"/>
            <w:r w:rsidRPr="00DF4CE5">
              <w:rPr>
                <w:rFonts w:ascii="Cambria" w:eastAsia="Calibri" w:hAnsi="Cambria" w:cs="Calibri"/>
                <w:lang w:val="hr-HR"/>
              </w:rPr>
              <w:t>tales</w:t>
            </w:r>
            <w:proofErr w:type="spellEnd"/>
            <w:r w:rsidRPr="00DF4CE5">
              <w:rPr>
                <w:rFonts w:ascii="Cambria" w:eastAsia="Calibri" w:hAnsi="Cambria" w:cs="Calibri"/>
                <w:lang w:val="hr-HR"/>
              </w:rPr>
              <w:t xml:space="preserve"> </w:t>
            </w:r>
            <w:proofErr w:type="spellStart"/>
            <w:r w:rsidRPr="00DF4CE5">
              <w:rPr>
                <w:rFonts w:ascii="Cambria" w:eastAsia="Calibri" w:hAnsi="Cambria" w:cs="Calibri"/>
                <w:lang w:val="hr-HR"/>
              </w:rPr>
              <w:t>and</w:t>
            </w:r>
            <w:proofErr w:type="spellEnd"/>
            <w:r w:rsidRPr="00DF4CE5">
              <w:rPr>
                <w:rFonts w:ascii="Cambria" w:eastAsia="Calibri" w:hAnsi="Cambria" w:cs="Calibri"/>
                <w:lang w:val="hr-HR"/>
              </w:rPr>
              <w:t xml:space="preserve"> </w:t>
            </w:r>
            <w:proofErr w:type="spellStart"/>
            <w:r w:rsidRPr="00DF4CE5">
              <w:rPr>
                <w:rFonts w:ascii="Cambria" w:eastAsia="Calibri" w:hAnsi="Cambria" w:cs="Calibri"/>
                <w:lang w:val="hr-HR"/>
              </w:rPr>
              <w:t>their</w:t>
            </w:r>
            <w:proofErr w:type="spellEnd"/>
            <w:r w:rsidRPr="00DF4CE5">
              <w:rPr>
                <w:rFonts w:ascii="Cambria" w:eastAsia="Calibri" w:hAnsi="Cambria" w:cs="Calibri"/>
                <w:lang w:val="hr-HR"/>
              </w:rPr>
              <w:t xml:space="preserve"> </w:t>
            </w:r>
            <w:proofErr w:type="spellStart"/>
            <w:r w:rsidRPr="00DF4CE5">
              <w:rPr>
                <w:rFonts w:ascii="Cambria" w:eastAsia="Calibri" w:hAnsi="Cambria" w:cs="Calibri"/>
                <w:lang w:val="hr-HR"/>
              </w:rPr>
              <w:t>tradition</w:t>
            </w:r>
            <w:proofErr w:type="spellEnd"/>
            <w:r w:rsidRPr="00DF4CE5">
              <w:rPr>
                <w:rFonts w:ascii="Cambria" w:eastAsia="Calibri" w:hAnsi="Cambria" w:cs="Calibri"/>
                <w:lang w:val="hr-HR"/>
              </w:rPr>
              <w:t xml:space="preserve">. London i New York: </w:t>
            </w:r>
            <w:proofErr w:type="spellStart"/>
            <w:r w:rsidRPr="00DF4CE5">
              <w:rPr>
                <w:rFonts w:ascii="Cambria" w:eastAsia="Calibri" w:hAnsi="Cambria" w:cs="Calibri"/>
                <w:lang w:val="hr-HR"/>
              </w:rPr>
              <w:t>Routledge</w:t>
            </w:r>
            <w:proofErr w:type="spellEnd"/>
            <w:r w:rsidRPr="00DF4CE5">
              <w:rPr>
                <w:rFonts w:ascii="Cambria" w:eastAsia="Calibri" w:hAnsi="Cambria" w:cs="Calibri"/>
                <w:lang w:val="hr-HR"/>
              </w:rPr>
              <w:t>, 2007.</w:t>
            </w:r>
          </w:p>
          <w:p w14:paraId="02B23017" w14:textId="77777777" w:rsidR="002A021D" w:rsidRPr="00D74364" w:rsidRDefault="002A021D" w:rsidP="000B2D2C">
            <w:pPr>
              <w:spacing w:after="0" w:line="240" w:lineRule="atLeast"/>
              <w:jc w:val="both"/>
              <w:rPr>
                <w:rFonts w:ascii="Cambria" w:eastAsia="Calibri" w:hAnsi="Cambria" w:cs="Calibri"/>
                <w:lang w:val="hr-HR"/>
              </w:rPr>
            </w:pPr>
            <w:r w:rsidRPr="00D74364">
              <w:rPr>
                <w:rFonts w:ascii="Cambria" w:eastAsia="Calibri" w:hAnsi="Cambria" w:cs="Calibri"/>
                <w:lang w:val="hr-HR"/>
              </w:rPr>
              <w:t>Priručna:</w:t>
            </w:r>
          </w:p>
          <w:p w14:paraId="08EB93D0" w14:textId="77777777" w:rsidR="002A021D" w:rsidRPr="00A57714" w:rsidRDefault="002A021D" w:rsidP="000B2D2C">
            <w:pPr>
              <w:spacing w:after="0" w:line="240" w:lineRule="atLeast"/>
              <w:jc w:val="both"/>
              <w:rPr>
                <w:rFonts w:ascii="Cambria" w:eastAsia="Calibri" w:hAnsi="Cambria" w:cs="Calibri"/>
                <w:lang w:val="hr-HR"/>
              </w:rPr>
            </w:pPr>
            <w:r>
              <w:rPr>
                <w:rFonts w:ascii="Cambria" w:eastAsia="Calibri" w:hAnsi="Cambria" w:cs="Calibri"/>
                <w:lang w:val="hr-HR"/>
              </w:rPr>
              <w:t xml:space="preserve">1. </w:t>
            </w:r>
            <w:r w:rsidRPr="00DF4CE5">
              <w:rPr>
                <w:rFonts w:ascii="Cambria" w:eastAsia="Calibri" w:hAnsi="Cambria" w:cs="Calibri"/>
                <w:lang w:val="hr-HR"/>
              </w:rPr>
              <w:t xml:space="preserve">Carpenter, H., </w:t>
            </w:r>
            <w:proofErr w:type="spellStart"/>
            <w:r w:rsidRPr="00DF4CE5">
              <w:rPr>
                <w:rFonts w:ascii="Cambria" w:eastAsia="Calibri" w:hAnsi="Cambria" w:cs="Calibri"/>
                <w:lang w:val="hr-HR"/>
              </w:rPr>
              <w:t>Prichard</w:t>
            </w:r>
            <w:proofErr w:type="spellEnd"/>
            <w:r w:rsidRPr="00DF4CE5">
              <w:rPr>
                <w:rFonts w:ascii="Cambria" w:eastAsia="Calibri" w:hAnsi="Cambria" w:cs="Calibri"/>
                <w:lang w:val="hr-HR"/>
              </w:rPr>
              <w:t xml:space="preserve">, M. </w:t>
            </w:r>
            <w:proofErr w:type="spellStart"/>
            <w:r w:rsidRPr="00DF4CE5">
              <w:rPr>
                <w:rFonts w:ascii="Cambria" w:eastAsia="Calibri" w:hAnsi="Cambria" w:cs="Calibri"/>
                <w:lang w:val="hr-HR"/>
              </w:rPr>
              <w:t>The</w:t>
            </w:r>
            <w:proofErr w:type="spellEnd"/>
            <w:r w:rsidRPr="00DF4CE5">
              <w:rPr>
                <w:rFonts w:ascii="Cambria" w:eastAsia="Calibri" w:hAnsi="Cambria" w:cs="Calibri"/>
                <w:lang w:val="hr-HR"/>
              </w:rPr>
              <w:t xml:space="preserve"> Oxford </w:t>
            </w:r>
            <w:proofErr w:type="spellStart"/>
            <w:r w:rsidRPr="00DF4CE5">
              <w:rPr>
                <w:rFonts w:ascii="Cambria" w:eastAsia="Calibri" w:hAnsi="Cambria" w:cs="Calibri"/>
                <w:lang w:val="hr-HR"/>
              </w:rPr>
              <w:t>Companion</w:t>
            </w:r>
            <w:proofErr w:type="spellEnd"/>
            <w:r w:rsidRPr="00DF4CE5">
              <w:rPr>
                <w:rFonts w:ascii="Cambria" w:eastAsia="Calibri" w:hAnsi="Cambria" w:cs="Calibri"/>
                <w:lang w:val="hr-HR"/>
              </w:rPr>
              <w:t xml:space="preserve"> to </w:t>
            </w:r>
            <w:proofErr w:type="spellStart"/>
            <w:r w:rsidRPr="00DF4CE5">
              <w:rPr>
                <w:rFonts w:ascii="Cambria" w:eastAsia="Calibri" w:hAnsi="Cambria" w:cs="Calibri"/>
                <w:lang w:val="hr-HR"/>
              </w:rPr>
              <w:t>Children's</w:t>
            </w:r>
            <w:proofErr w:type="spellEnd"/>
            <w:r w:rsidRPr="00DF4CE5">
              <w:rPr>
                <w:rFonts w:ascii="Cambria" w:eastAsia="Calibri" w:hAnsi="Cambria" w:cs="Calibri"/>
                <w:lang w:val="hr-HR"/>
              </w:rPr>
              <w:t xml:space="preserve"> Literature. Oxford i New York: Oxford University Press, 1999.</w:t>
            </w:r>
          </w:p>
          <w:p w14:paraId="5092418B" w14:textId="77777777" w:rsidR="002A021D" w:rsidRPr="00DF4CE5" w:rsidRDefault="002A021D" w:rsidP="000B2D2C">
            <w:pPr>
              <w:spacing w:after="0" w:line="240" w:lineRule="atLeast"/>
              <w:jc w:val="both"/>
              <w:rPr>
                <w:rFonts w:ascii="Cambria" w:eastAsia="Calibri" w:hAnsi="Cambria" w:cs="Calibri"/>
                <w:b/>
                <w:lang w:val="hr-HR"/>
              </w:rPr>
            </w:pPr>
          </w:p>
        </w:tc>
      </w:tr>
    </w:tbl>
    <w:p w14:paraId="34CA3792" w14:textId="77777777" w:rsidR="002A021D" w:rsidRPr="00DF4CE5" w:rsidRDefault="002A021D" w:rsidP="002A021D">
      <w:pPr>
        <w:rPr>
          <w:rFonts w:ascii="Cambria" w:hAnsi="Cambria"/>
          <w:lang w:val="hr-HR"/>
        </w:rPr>
      </w:pPr>
    </w:p>
    <w:p w14:paraId="31839422" w14:textId="77777777" w:rsidR="0014341A" w:rsidRPr="00DF4CE5" w:rsidRDefault="0014341A" w:rsidP="008B34AF">
      <w:pPr>
        <w:jc w:val="both"/>
        <w:rPr>
          <w:rFonts w:ascii="Cambria" w:hAnsi="Cambria"/>
          <w:lang w:val="hr-HR"/>
        </w:rPr>
      </w:pPr>
    </w:p>
    <w:p w14:paraId="0A39730F" w14:textId="77777777" w:rsidR="00C106A0" w:rsidRPr="00DF4CE5" w:rsidRDefault="00C106A0" w:rsidP="008B34AF">
      <w:pPr>
        <w:jc w:val="both"/>
        <w:rPr>
          <w:rFonts w:ascii="Cambria" w:hAnsi="Cambria"/>
          <w:lang w:val="hr-HR"/>
        </w:rPr>
      </w:pPr>
    </w:p>
    <w:p w14:paraId="58FFCAC8" w14:textId="77777777" w:rsidR="00C106A0" w:rsidRPr="00DF4CE5" w:rsidRDefault="00C106A0" w:rsidP="008B34AF">
      <w:pPr>
        <w:jc w:val="both"/>
        <w:rPr>
          <w:rFonts w:ascii="Cambria" w:hAnsi="Cambria"/>
          <w:lang w:val="hr-HR"/>
        </w:rPr>
      </w:pPr>
    </w:p>
    <w:p w14:paraId="68134DAB" w14:textId="77777777" w:rsidR="00C106A0" w:rsidRPr="00DF4CE5" w:rsidRDefault="00C106A0" w:rsidP="008B34AF">
      <w:pPr>
        <w:jc w:val="both"/>
        <w:rPr>
          <w:rFonts w:ascii="Cambria" w:hAnsi="Cambria"/>
          <w:lang w:val="hr-HR"/>
        </w:rPr>
      </w:pPr>
    </w:p>
    <w:p w14:paraId="0E325E94" w14:textId="77777777" w:rsidR="001974E1" w:rsidRPr="00DF4CE5" w:rsidRDefault="001974E1" w:rsidP="008B34AF">
      <w:pPr>
        <w:jc w:val="both"/>
        <w:rPr>
          <w:rFonts w:ascii="Cambria" w:hAnsi="Cambria"/>
          <w:lang w:val="hr-HR"/>
        </w:rPr>
      </w:pPr>
    </w:p>
    <w:p w14:paraId="1A113319" w14:textId="77777777" w:rsidR="001974E1" w:rsidRPr="00DF4CE5" w:rsidRDefault="001974E1" w:rsidP="008B34AF">
      <w:pPr>
        <w:jc w:val="both"/>
        <w:rPr>
          <w:rFonts w:ascii="Cambria" w:hAnsi="Cambria"/>
          <w:lang w:val="hr-HR"/>
        </w:rPr>
      </w:pPr>
    </w:p>
    <w:p w14:paraId="1771FD29" w14:textId="77777777" w:rsidR="001974E1" w:rsidRPr="00DF4CE5" w:rsidRDefault="001974E1" w:rsidP="008B34AF">
      <w:pPr>
        <w:jc w:val="both"/>
        <w:rPr>
          <w:rFonts w:ascii="Cambria" w:hAnsi="Cambria"/>
          <w:lang w:val="hr-HR"/>
        </w:rPr>
      </w:pPr>
    </w:p>
    <w:p w14:paraId="10BF2604" w14:textId="77777777" w:rsidR="001974E1" w:rsidRPr="00DF4CE5" w:rsidRDefault="001974E1" w:rsidP="008B34AF">
      <w:pPr>
        <w:jc w:val="both"/>
        <w:rPr>
          <w:rFonts w:ascii="Cambria" w:hAnsi="Cambria"/>
          <w:lang w:val="hr-HR"/>
        </w:rPr>
      </w:pPr>
    </w:p>
    <w:p w14:paraId="05A9C292" w14:textId="4A338BF5" w:rsidR="00AF0D71" w:rsidRDefault="00AF0D71">
      <w:pPr>
        <w:rPr>
          <w:rFonts w:ascii="Cambria" w:hAnsi="Cambria"/>
          <w:lang w:val="hr-HR"/>
        </w:rPr>
      </w:pPr>
      <w:r>
        <w:rPr>
          <w:rFonts w:ascii="Cambria" w:hAnsi="Cambria"/>
          <w:lang w:val="hr-HR"/>
        </w:rPr>
        <w:br w:type="page"/>
      </w:r>
    </w:p>
    <w:p w14:paraId="443D8E6C" w14:textId="77CE4905" w:rsidR="00B30379" w:rsidRPr="00DF4CE5" w:rsidRDefault="00B30379" w:rsidP="00830554">
      <w:pPr>
        <w:rPr>
          <w:rFonts w:ascii="Cambria" w:hAnsi="Cambria"/>
          <w:lang w:val="hr-HR"/>
        </w:rPr>
      </w:pPr>
    </w:p>
    <w:tbl>
      <w:tblPr>
        <w:tblW w:w="5000" w:type="pct"/>
        <w:tblLayout w:type="fixed"/>
        <w:tblCellMar>
          <w:left w:w="0" w:type="dxa"/>
          <w:right w:w="0" w:type="dxa"/>
        </w:tblCellMar>
        <w:tblLook w:val="0600" w:firstRow="0" w:lastRow="0" w:firstColumn="0" w:lastColumn="0" w:noHBand="1" w:noVBand="1"/>
      </w:tblPr>
      <w:tblGrid>
        <w:gridCol w:w="2616"/>
        <w:gridCol w:w="2482"/>
        <w:gridCol w:w="98"/>
        <w:gridCol w:w="1092"/>
        <w:gridCol w:w="280"/>
        <w:gridCol w:w="440"/>
        <w:gridCol w:w="1013"/>
        <w:gridCol w:w="1319"/>
      </w:tblGrid>
      <w:tr w:rsidR="007A75FD" w:rsidRPr="00DF4CE5" w14:paraId="366CE6A9" w14:textId="77777777" w:rsidTr="00891E8C">
        <w:tc>
          <w:tcPr>
            <w:tcW w:w="9052"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4F1AC54" w14:textId="77777777" w:rsidR="007A75FD" w:rsidRPr="00DF4CE5" w:rsidRDefault="007A75FD" w:rsidP="00891E8C">
            <w:pPr>
              <w:jc w:val="right"/>
              <w:rPr>
                <w:rFonts w:ascii="Cambria" w:hAnsi="Cambria" w:cs="Calibri"/>
                <w:b/>
              </w:rPr>
            </w:pPr>
            <w:r w:rsidRPr="00DF4CE5">
              <w:rPr>
                <w:rFonts w:ascii="Cambria" w:hAnsi="Cambria" w:cs="Calibri"/>
                <w:b/>
              </w:rPr>
              <w:t>IZVEDBENI PLAN NASTAVE KOLEGIJA</w:t>
            </w:r>
          </w:p>
        </w:tc>
      </w:tr>
      <w:tr w:rsidR="007A75FD" w:rsidRPr="00D0399C" w14:paraId="2B79F1F3" w14:textId="77777777" w:rsidTr="00891E8C">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AD9BA90" w14:textId="77777777" w:rsidR="007A75FD" w:rsidRPr="00DF4CE5" w:rsidRDefault="007A75FD" w:rsidP="007A75FD">
            <w:pPr>
              <w:spacing w:after="0"/>
              <w:rPr>
                <w:rFonts w:ascii="Cambria" w:hAnsi="Cambria" w:cs="Calibri"/>
              </w:rPr>
            </w:pPr>
            <w:proofErr w:type="spellStart"/>
            <w:r w:rsidRPr="00DF4CE5">
              <w:rPr>
                <w:rFonts w:ascii="Cambria" w:hAnsi="Cambria" w:cs="Calibri"/>
              </w:rPr>
              <w:t>Kod</w:t>
            </w:r>
            <w:proofErr w:type="spellEnd"/>
            <w:r w:rsidRPr="00DF4CE5">
              <w:rPr>
                <w:rFonts w:ascii="Cambria" w:hAnsi="Cambria" w:cs="Calibri"/>
              </w:rPr>
              <w:t xml:space="preserve"> </w:t>
            </w:r>
            <w:proofErr w:type="spellStart"/>
            <w:r w:rsidRPr="00DF4CE5">
              <w:rPr>
                <w:rFonts w:ascii="Cambria" w:hAnsi="Cambria" w:cs="Calibri"/>
              </w:rPr>
              <w:t>i</w:t>
            </w:r>
            <w:proofErr w:type="spellEnd"/>
            <w:r w:rsidRPr="00DF4CE5">
              <w:rPr>
                <w:rFonts w:ascii="Cambria" w:hAnsi="Cambria" w:cs="Calibri"/>
              </w:rPr>
              <w:t xml:space="preserve"> </w:t>
            </w:r>
            <w:proofErr w:type="spellStart"/>
            <w:r w:rsidRPr="00DF4CE5">
              <w:rPr>
                <w:rFonts w:ascii="Cambria" w:hAnsi="Cambria" w:cs="Calibri"/>
              </w:rPr>
              <w:t>naziv</w:t>
            </w:r>
            <w:proofErr w:type="spellEnd"/>
            <w:r w:rsidRPr="00DF4CE5">
              <w:rPr>
                <w:rFonts w:ascii="Cambria" w:hAnsi="Cambria" w:cs="Calibri"/>
              </w:rPr>
              <w:t xml:space="preserve"> </w:t>
            </w:r>
            <w:proofErr w:type="spellStart"/>
            <w:r w:rsidRPr="00DF4CE5">
              <w:rPr>
                <w:rFonts w:ascii="Cambria" w:hAnsi="Cambria" w:cs="Calibri"/>
              </w:rPr>
              <w:t>kolegija</w:t>
            </w:r>
            <w:proofErr w:type="spellEnd"/>
          </w:p>
        </w:tc>
        <w:tc>
          <w:tcPr>
            <w:tcW w:w="651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DD6DFA2" w14:textId="77777777" w:rsidR="007A75FD" w:rsidRPr="00DF4CE5" w:rsidRDefault="007A75FD" w:rsidP="007A75FD">
            <w:pPr>
              <w:spacing w:after="0"/>
              <w:rPr>
                <w:rFonts w:ascii="Cambria" w:hAnsi="Cambria" w:cs="Calibri"/>
                <w:lang w:val="it-IT"/>
              </w:rPr>
            </w:pPr>
            <w:r w:rsidRPr="00DF4CE5">
              <w:rPr>
                <w:rFonts w:ascii="Cambria" w:hAnsi="Cambria" w:cs="Calibri"/>
                <w:lang w:val="it-IT"/>
              </w:rPr>
              <w:t xml:space="preserve">118955     </w:t>
            </w:r>
          </w:p>
          <w:p w14:paraId="174E21F8" w14:textId="3654783E" w:rsidR="007A75FD" w:rsidRPr="00DF4CE5" w:rsidRDefault="007A75FD" w:rsidP="007A75FD">
            <w:pPr>
              <w:spacing w:after="0"/>
              <w:rPr>
                <w:rFonts w:ascii="Cambria" w:hAnsi="Cambria" w:cs="Calibri"/>
                <w:lang w:val="it-IT"/>
              </w:rPr>
            </w:pPr>
            <w:proofErr w:type="spellStart"/>
            <w:r w:rsidRPr="00DF4CE5">
              <w:rPr>
                <w:rFonts w:ascii="Cambria" w:hAnsi="Cambria" w:cs="Calibri"/>
                <w:lang w:val="it-IT"/>
              </w:rPr>
              <w:t>Metodika</w:t>
            </w:r>
            <w:proofErr w:type="spellEnd"/>
            <w:r w:rsidRPr="00DF4CE5">
              <w:rPr>
                <w:rFonts w:ascii="Cambria" w:hAnsi="Cambria" w:cs="Calibri"/>
                <w:lang w:val="it-IT"/>
              </w:rPr>
              <w:t xml:space="preserve"> </w:t>
            </w:r>
            <w:proofErr w:type="spellStart"/>
            <w:r w:rsidRPr="00DF4CE5">
              <w:rPr>
                <w:rFonts w:ascii="Cambria" w:hAnsi="Cambria" w:cs="Calibri"/>
                <w:lang w:val="it-IT"/>
              </w:rPr>
              <w:t>nastave</w:t>
            </w:r>
            <w:proofErr w:type="spellEnd"/>
            <w:r w:rsidRPr="00DF4CE5">
              <w:rPr>
                <w:rFonts w:ascii="Cambria" w:hAnsi="Cambria" w:cs="Calibri"/>
                <w:lang w:val="it-IT"/>
              </w:rPr>
              <w:t xml:space="preserve"> </w:t>
            </w:r>
            <w:proofErr w:type="spellStart"/>
            <w:r w:rsidRPr="00DF4CE5">
              <w:rPr>
                <w:rFonts w:ascii="Cambria" w:hAnsi="Cambria" w:cs="Calibri"/>
                <w:lang w:val="it-IT"/>
              </w:rPr>
              <w:t>engleskog</w:t>
            </w:r>
            <w:proofErr w:type="spellEnd"/>
            <w:r w:rsidRPr="00DF4CE5">
              <w:rPr>
                <w:rFonts w:ascii="Cambria" w:hAnsi="Cambria" w:cs="Calibri"/>
                <w:lang w:val="it-IT"/>
              </w:rPr>
              <w:t xml:space="preserve"> </w:t>
            </w:r>
            <w:proofErr w:type="spellStart"/>
            <w:r w:rsidRPr="00DF4CE5">
              <w:rPr>
                <w:rFonts w:ascii="Cambria" w:hAnsi="Cambria" w:cs="Calibri"/>
                <w:lang w:val="it-IT"/>
              </w:rPr>
              <w:t>jezika</w:t>
            </w:r>
            <w:proofErr w:type="spellEnd"/>
            <w:r w:rsidRPr="00DF4CE5">
              <w:rPr>
                <w:rFonts w:ascii="Cambria" w:hAnsi="Cambria" w:cs="Calibri"/>
                <w:lang w:val="it-IT"/>
              </w:rPr>
              <w:t xml:space="preserve"> II</w:t>
            </w:r>
          </w:p>
        </w:tc>
      </w:tr>
      <w:tr w:rsidR="007A75FD" w:rsidRPr="00DF4CE5" w14:paraId="08439BB4" w14:textId="77777777" w:rsidTr="00891E8C">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043BC5E" w14:textId="63228B2E" w:rsidR="007A75FD" w:rsidRPr="00DF4CE5" w:rsidRDefault="007A75FD" w:rsidP="007A75FD">
            <w:pPr>
              <w:spacing w:after="0"/>
              <w:rPr>
                <w:rFonts w:ascii="Cambria" w:hAnsi="Cambria" w:cs="Calibri"/>
              </w:rPr>
            </w:pPr>
            <w:proofErr w:type="spellStart"/>
            <w:r w:rsidRPr="00DF4CE5">
              <w:rPr>
                <w:rFonts w:ascii="Cambria" w:hAnsi="Cambria" w:cs="Calibri"/>
              </w:rPr>
              <w:t>Nastavnic</w:t>
            </w:r>
            <w:r w:rsidR="00614EB2" w:rsidRPr="00DF4CE5">
              <w:rPr>
                <w:rFonts w:ascii="Cambria" w:hAnsi="Cambria" w:cs="Calibri"/>
              </w:rPr>
              <w:t>e</w:t>
            </w:r>
            <w:proofErr w:type="spellEnd"/>
          </w:p>
          <w:p w14:paraId="419E0165" w14:textId="511BC9B2" w:rsidR="007A75FD" w:rsidRPr="00DF4CE5" w:rsidRDefault="007A75FD" w:rsidP="007A75FD">
            <w:pPr>
              <w:spacing w:after="0"/>
              <w:rPr>
                <w:rFonts w:ascii="Cambria" w:hAnsi="Cambria" w:cs="Calibri"/>
              </w:rPr>
            </w:pPr>
            <w:proofErr w:type="spellStart"/>
            <w:r w:rsidRPr="00DF4CE5">
              <w:rPr>
                <w:rFonts w:ascii="Cambria" w:hAnsi="Cambria" w:cs="Calibri"/>
              </w:rPr>
              <w:t>Suradnic</w:t>
            </w:r>
            <w:r w:rsidR="00A2411D">
              <w:rPr>
                <w:rFonts w:ascii="Cambria" w:hAnsi="Cambria" w:cs="Calibri"/>
              </w:rPr>
              <w:t>a</w:t>
            </w:r>
            <w:proofErr w:type="spellEnd"/>
          </w:p>
        </w:tc>
        <w:tc>
          <w:tcPr>
            <w:tcW w:w="651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5070769" w14:textId="1D1112FB" w:rsidR="007A75FD" w:rsidRPr="00727BE6" w:rsidRDefault="00AB32A5" w:rsidP="007A75FD">
            <w:pPr>
              <w:spacing w:after="0"/>
              <w:rPr>
                <w:rFonts w:ascii="Cambria" w:hAnsi="Cambria"/>
              </w:rPr>
            </w:pPr>
            <w:hyperlink r:id="rId168" w:history="1">
              <w:proofErr w:type="spellStart"/>
              <w:r w:rsidRPr="00727BE6">
                <w:rPr>
                  <w:rStyle w:val="Hiperveza"/>
                  <w:rFonts w:ascii="Cambria" w:hAnsi="Cambria"/>
                </w:rPr>
                <w:t>N</w:t>
              </w:r>
              <w:r w:rsidR="00614EB2" w:rsidRPr="00727BE6">
                <w:rPr>
                  <w:rStyle w:val="Hiperveza"/>
                  <w:rFonts w:ascii="Cambria" w:hAnsi="Cambria" w:cs="Calibri"/>
                </w:rPr>
                <w:t>aslovna</w:t>
              </w:r>
              <w:proofErr w:type="spellEnd"/>
              <w:r w:rsidR="00614EB2" w:rsidRPr="00727BE6">
                <w:rPr>
                  <w:rStyle w:val="Hiperveza"/>
                  <w:rFonts w:ascii="Cambria" w:hAnsi="Cambria" w:cs="Calibri"/>
                </w:rPr>
                <w:t xml:space="preserve"> doc. dr. sc. </w:t>
              </w:r>
              <w:r w:rsidR="007A75FD" w:rsidRPr="00727BE6">
                <w:rPr>
                  <w:rStyle w:val="Hiperveza"/>
                  <w:rFonts w:ascii="Cambria" w:hAnsi="Cambria" w:cs="Calibri"/>
                </w:rPr>
                <w:t xml:space="preserve">Marina </w:t>
              </w:r>
              <w:proofErr w:type="spellStart"/>
              <w:r w:rsidR="007A75FD" w:rsidRPr="00727BE6">
                <w:rPr>
                  <w:rStyle w:val="Hiperveza"/>
                  <w:rFonts w:ascii="Cambria" w:hAnsi="Cambria" w:cs="Calibri"/>
                </w:rPr>
                <w:t>Jajić</w:t>
              </w:r>
              <w:proofErr w:type="spellEnd"/>
              <w:r w:rsidR="007A75FD" w:rsidRPr="00727BE6">
                <w:rPr>
                  <w:rStyle w:val="Hiperveza"/>
                  <w:rFonts w:ascii="Cambria" w:hAnsi="Cambria" w:cs="Calibri"/>
                </w:rPr>
                <w:t xml:space="preserve"> </w:t>
              </w:r>
              <w:proofErr w:type="spellStart"/>
              <w:r w:rsidR="007A75FD" w:rsidRPr="00727BE6">
                <w:rPr>
                  <w:rStyle w:val="Hiperveza"/>
                  <w:rFonts w:ascii="Cambria" w:hAnsi="Cambria" w:cs="Calibri"/>
                </w:rPr>
                <w:t>Novogradec</w:t>
              </w:r>
              <w:proofErr w:type="spellEnd"/>
            </w:hyperlink>
            <w:r w:rsidR="00727BE6" w:rsidRPr="00727BE6">
              <w:rPr>
                <w:rStyle w:val="Hiperveza"/>
                <w:rFonts w:ascii="Cambria" w:hAnsi="Cambria" w:cs="Calibri"/>
              </w:rPr>
              <w:t xml:space="preserve"> </w:t>
            </w:r>
            <w:r w:rsidR="00727BE6" w:rsidRPr="00727BE6">
              <w:rPr>
                <w:rFonts w:ascii="Cambria" w:hAnsi="Cambria"/>
              </w:rPr>
              <w:t>(</w:t>
            </w:r>
            <w:proofErr w:type="spellStart"/>
            <w:r w:rsidR="00727BE6" w:rsidRPr="00727BE6">
              <w:rPr>
                <w:rFonts w:ascii="Cambria" w:hAnsi="Cambria"/>
              </w:rPr>
              <w:t>nositeljica</w:t>
            </w:r>
            <w:proofErr w:type="spellEnd"/>
            <w:r w:rsidR="00727BE6" w:rsidRPr="00727BE6">
              <w:rPr>
                <w:rFonts w:ascii="Cambria" w:hAnsi="Cambria"/>
              </w:rPr>
              <w:t>)</w:t>
            </w:r>
          </w:p>
          <w:p w14:paraId="79B3F825" w14:textId="1F014CC4" w:rsidR="007A75FD" w:rsidRPr="00727BE6" w:rsidRDefault="007A75FD" w:rsidP="007A75FD">
            <w:pPr>
              <w:spacing w:after="0"/>
              <w:rPr>
                <w:rFonts w:ascii="Cambria" w:hAnsi="Cambria" w:cs="Calibri"/>
              </w:rPr>
            </w:pPr>
            <w:hyperlink r:id="rId169" w:history="1">
              <w:r w:rsidRPr="00727BE6">
                <w:rPr>
                  <w:rStyle w:val="Hiperveza"/>
                  <w:rFonts w:ascii="Cambria" w:hAnsi="Cambria" w:cs="Calibri"/>
                </w:rPr>
                <w:t xml:space="preserve">Jelena Gugić, </w:t>
              </w:r>
              <w:proofErr w:type="spellStart"/>
              <w:r w:rsidRPr="00727BE6">
                <w:rPr>
                  <w:rStyle w:val="Hiperveza"/>
                  <w:rFonts w:ascii="Cambria" w:hAnsi="Cambria" w:cs="Calibri"/>
                </w:rPr>
                <w:t>asistentica</w:t>
              </w:r>
              <w:proofErr w:type="spellEnd"/>
            </w:hyperlink>
          </w:p>
        </w:tc>
      </w:tr>
      <w:tr w:rsidR="007A75FD" w:rsidRPr="00D0399C" w14:paraId="05048A39" w14:textId="77777777" w:rsidTr="00891E8C">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4B91066" w14:textId="77777777" w:rsidR="007A75FD" w:rsidRPr="00DF4CE5" w:rsidRDefault="007A75FD" w:rsidP="007A75FD">
            <w:pPr>
              <w:spacing w:after="0"/>
              <w:rPr>
                <w:rFonts w:ascii="Cambria" w:hAnsi="Cambria" w:cs="Calibri"/>
              </w:rPr>
            </w:pPr>
            <w:proofErr w:type="spellStart"/>
            <w:r w:rsidRPr="00DF4CE5">
              <w:rPr>
                <w:rFonts w:ascii="Cambria" w:hAnsi="Cambria" w:cs="Calibri"/>
              </w:rPr>
              <w:t>Studijski</w:t>
            </w:r>
            <w:proofErr w:type="spellEnd"/>
            <w:r w:rsidRPr="00DF4CE5">
              <w:rPr>
                <w:rFonts w:ascii="Cambria" w:hAnsi="Cambria" w:cs="Calibri"/>
              </w:rPr>
              <w:t xml:space="preserve"> program</w:t>
            </w:r>
          </w:p>
        </w:tc>
        <w:tc>
          <w:tcPr>
            <w:tcW w:w="651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AB6E1E2" w14:textId="77777777" w:rsidR="007A75FD" w:rsidRPr="00DF4CE5" w:rsidRDefault="007A75FD" w:rsidP="007A75FD">
            <w:pPr>
              <w:spacing w:after="0"/>
              <w:rPr>
                <w:rFonts w:ascii="Cambria" w:hAnsi="Cambria" w:cs="Calibri"/>
                <w:lang w:val="it-IT"/>
              </w:rPr>
            </w:pPr>
            <w:proofErr w:type="spellStart"/>
            <w:r w:rsidRPr="00DF4CE5">
              <w:rPr>
                <w:rFonts w:ascii="Cambria" w:hAnsi="Cambria" w:cs="Calibri"/>
                <w:lang w:val="it-IT"/>
              </w:rPr>
              <w:t>Sveučilišni</w:t>
            </w:r>
            <w:proofErr w:type="spellEnd"/>
            <w:r w:rsidRPr="00DF4CE5">
              <w:rPr>
                <w:rFonts w:ascii="Cambria" w:hAnsi="Cambria" w:cs="Calibri"/>
                <w:lang w:val="it-IT"/>
              </w:rPr>
              <w:t xml:space="preserve"> </w:t>
            </w:r>
            <w:proofErr w:type="spellStart"/>
            <w:r w:rsidRPr="00DF4CE5">
              <w:rPr>
                <w:rFonts w:ascii="Cambria" w:hAnsi="Cambria" w:cs="Calibri"/>
                <w:lang w:val="it-IT"/>
              </w:rPr>
              <w:t>integrirani</w:t>
            </w:r>
            <w:proofErr w:type="spellEnd"/>
            <w:r w:rsidRPr="00DF4CE5">
              <w:rPr>
                <w:rFonts w:ascii="Cambria" w:hAnsi="Cambria" w:cs="Calibri"/>
                <w:lang w:val="it-IT"/>
              </w:rPr>
              <w:t xml:space="preserve"> </w:t>
            </w:r>
            <w:proofErr w:type="spellStart"/>
            <w:r w:rsidRPr="00DF4CE5">
              <w:rPr>
                <w:rFonts w:ascii="Cambria" w:hAnsi="Cambria" w:cs="Calibri"/>
                <w:lang w:val="it-IT"/>
              </w:rPr>
              <w:t>prijediplomski</w:t>
            </w:r>
            <w:proofErr w:type="spellEnd"/>
            <w:r w:rsidRPr="00DF4CE5">
              <w:rPr>
                <w:rFonts w:ascii="Cambria" w:hAnsi="Cambria" w:cs="Calibri"/>
                <w:lang w:val="it-IT"/>
              </w:rPr>
              <w:t xml:space="preserve"> i </w:t>
            </w:r>
            <w:proofErr w:type="spellStart"/>
            <w:r w:rsidRPr="00DF4CE5">
              <w:rPr>
                <w:rFonts w:ascii="Cambria" w:hAnsi="Cambria" w:cs="Calibri"/>
                <w:lang w:val="it-IT"/>
              </w:rPr>
              <w:t>diplomski</w:t>
            </w:r>
            <w:proofErr w:type="spellEnd"/>
            <w:r w:rsidRPr="00DF4CE5">
              <w:rPr>
                <w:rFonts w:ascii="Cambria" w:hAnsi="Cambria" w:cs="Calibri"/>
                <w:lang w:val="it-IT"/>
              </w:rPr>
              <w:t xml:space="preserve"> </w:t>
            </w:r>
            <w:proofErr w:type="spellStart"/>
            <w:r w:rsidRPr="00DF4CE5">
              <w:rPr>
                <w:rFonts w:ascii="Cambria" w:hAnsi="Cambria" w:cs="Calibri"/>
                <w:lang w:val="it-IT"/>
              </w:rPr>
              <w:t>Učiteljski</w:t>
            </w:r>
            <w:proofErr w:type="spellEnd"/>
            <w:r w:rsidRPr="00DF4CE5">
              <w:rPr>
                <w:rFonts w:ascii="Cambria" w:hAnsi="Cambria" w:cs="Calibri"/>
                <w:lang w:val="it-IT"/>
              </w:rPr>
              <w:t xml:space="preserve"> </w:t>
            </w:r>
            <w:proofErr w:type="spellStart"/>
            <w:r w:rsidRPr="00DF4CE5">
              <w:rPr>
                <w:rFonts w:ascii="Cambria" w:hAnsi="Cambria" w:cs="Calibri"/>
                <w:lang w:val="it-IT"/>
              </w:rPr>
              <w:t>studij</w:t>
            </w:r>
            <w:proofErr w:type="spellEnd"/>
          </w:p>
        </w:tc>
      </w:tr>
      <w:tr w:rsidR="007A75FD" w:rsidRPr="00DF4CE5" w14:paraId="365B9693" w14:textId="77777777" w:rsidTr="00A2411D">
        <w:trPr>
          <w:trHeight w:val="521"/>
        </w:trPr>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A376E7F" w14:textId="77777777" w:rsidR="007A75FD" w:rsidRPr="00DF4CE5" w:rsidRDefault="007A75FD" w:rsidP="007A75FD">
            <w:pPr>
              <w:spacing w:after="0"/>
              <w:rPr>
                <w:rFonts w:ascii="Cambria" w:hAnsi="Cambria" w:cs="Calibri"/>
              </w:rPr>
            </w:pPr>
            <w:proofErr w:type="spellStart"/>
            <w:r w:rsidRPr="00DF4CE5">
              <w:rPr>
                <w:rFonts w:ascii="Cambria" w:hAnsi="Cambria" w:cs="Calibri"/>
              </w:rPr>
              <w:t>Vrsta</w:t>
            </w:r>
            <w:proofErr w:type="spellEnd"/>
            <w:r w:rsidRPr="00DF4CE5">
              <w:rPr>
                <w:rFonts w:ascii="Cambria" w:hAnsi="Cambria" w:cs="Calibri"/>
              </w:rPr>
              <w:t xml:space="preserve"> </w:t>
            </w:r>
            <w:proofErr w:type="spellStart"/>
            <w:r w:rsidRPr="00DF4CE5">
              <w:rPr>
                <w:rFonts w:ascii="Cambria" w:hAnsi="Cambria" w:cs="Calibri"/>
              </w:rPr>
              <w:t>kolegija</w:t>
            </w:r>
            <w:proofErr w:type="spellEnd"/>
          </w:p>
        </w:tc>
        <w:tc>
          <w:tcPr>
            <w:tcW w:w="240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1EBC5E5" w14:textId="2233C948" w:rsidR="007A75FD" w:rsidRPr="00DF4CE5" w:rsidRDefault="007A75FD" w:rsidP="007A75FD">
            <w:pPr>
              <w:spacing w:after="0"/>
              <w:rPr>
                <w:rFonts w:ascii="Cambria" w:hAnsi="Cambria" w:cs="Calibri"/>
              </w:rPr>
            </w:pPr>
            <w:proofErr w:type="spellStart"/>
            <w:r w:rsidRPr="00DF4CE5">
              <w:rPr>
                <w:rFonts w:ascii="Cambria" w:hAnsi="Cambria" w:cs="Calibri"/>
              </w:rPr>
              <w:t>obvezan</w:t>
            </w:r>
            <w:proofErr w:type="spellEnd"/>
            <w:r w:rsidRPr="00DF4CE5">
              <w:rPr>
                <w:rFonts w:ascii="Cambria" w:hAnsi="Cambria" w:cs="Calibri"/>
              </w:rPr>
              <w:t xml:space="preserve"> </w:t>
            </w:r>
          </w:p>
        </w:tc>
        <w:tc>
          <w:tcPr>
            <w:tcW w:w="1424"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0D13AB40" w14:textId="77777777" w:rsidR="007A75FD" w:rsidRPr="00DF4CE5" w:rsidRDefault="007A75FD" w:rsidP="007A75FD">
            <w:pPr>
              <w:spacing w:after="0"/>
              <w:rPr>
                <w:rFonts w:ascii="Cambria" w:hAnsi="Cambria" w:cs="Calibri"/>
              </w:rPr>
            </w:pPr>
            <w:r w:rsidRPr="00DF4CE5">
              <w:rPr>
                <w:rFonts w:ascii="Cambria" w:hAnsi="Cambria" w:cs="Calibri"/>
              </w:rPr>
              <w:t xml:space="preserve">Razina </w:t>
            </w:r>
            <w:proofErr w:type="spellStart"/>
            <w:r w:rsidRPr="00DF4CE5">
              <w:rPr>
                <w:rFonts w:ascii="Cambria" w:hAnsi="Cambria" w:cs="Calibri"/>
              </w:rPr>
              <w:t>kolegija</w:t>
            </w:r>
            <w:proofErr w:type="spellEnd"/>
          </w:p>
        </w:tc>
        <w:tc>
          <w:tcPr>
            <w:tcW w:w="2686"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69D6D8C" w14:textId="77777777" w:rsidR="007A75FD" w:rsidRPr="00DF4CE5" w:rsidRDefault="007A75FD" w:rsidP="007A75FD">
            <w:pPr>
              <w:spacing w:after="0"/>
              <w:rPr>
                <w:rFonts w:ascii="Cambria" w:hAnsi="Cambria" w:cs="Calibri"/>
              </w:rPr>
            </w:pPr>
          </w:p>
          <w:p w14:paraId="20806FA6" w14:textId="77777777" w:rsidR="007A75FD" w:rsidRPr="00DF4CE5" w:rsidRDefault="007A75FD" w:rsidP="007A75FD">
            <w:pPr>
              <w:spacing w:after="0"/>
              <w:rPr>
                <w:rFonts w:ascii="Cambria" w:hAnsi="Cambria" w:cs="Calibri"/>
              </w:rPr>
            </w:pPr>
            <w:proofErr w:type="spellStart"/>
            <w:r w:rsidRPr="00DF4CE5">
              <w:rPr>
                <w:rFonts w:ascii="Cambria" w:hAnsi="Cambria" w:cs="Calibri"/>
                <w:lang w:val="it-IT"/>
              </w:rPr>
              <w:t>integrirani</w:t>
            </w:r>
            <w:proofErr w:type="spellEnd"/>
          </w:p>
          <w:p w14:paraId="7A47FA55" w14:textId="77777777" w:rsidR="007A75FD" w:rsidRPr="00DF4CE5" w:rsidRDefault="007A75FD" w:rsidP="007A75FD">
            <w:pPr>
              <w:spacing w:after="0"/>
              <w:rPr>
                <w:rFonts w:ascii="Cambria" w:hAnsi="Cambria" w:cs="Calibri"/>
              </w:rPr>
            </w:pPr>
          </w:p>
        </w:tc>
      </w:tr>
      <w:tr w:rsidR="007A75FD" w:rsidRPr="00DF4CE5" w14:paraId="5408040E" w14:textId="77777777" w:rsidTr="00891E8C">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2AC5D71" w14:textId="77777777" w:rsidR="007A75FD" w:rsidRPr="00DF4CE5" w:rsidRDefault="007A75FD" w:rsidP="007A75FD">
            <w:pPr>
              <w:spacing w:after="0"/>
              <w:rPr>
                <w:rFonts w:ascii="Cambria" w:hAnsi="Cambria" w:cs="Calibri"/>
              </w:rPr>
            </w:pPr>
            <w:proofErr w:type="spellStart"/>
            <w:r w:rsidRPr="00DF4CE5">
              <w:rPr>
                <w:rFonts w:ascii="Cambria" w:hAnsi="Cambria" w:cs="Calibri"/>
              </w:rPr>
              <w:t>Semestar</w:t>
            </w:r>
            <w:proofErr w:type="spellEnd"/>
          </w:p>
        </w:tc>
        <w:tc>
          <w:tcPr>
            <w:tcW w:w="240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989A24C" w14:textId="77777777" w:rsidR="007A75FD" w:rsidRPr="00DF4CE5" w:rsidRDefault="007A75FD" w:rsidP="007A75FD">
            <w:pPr>
              <w:spacing w:after="0"/>
              <w:rPr>
                <w:rFonts w:ascii="Cambria" w:hAnsi="Cambria" w:cs="Calibri"/>
              </w:rPr>
            </w:pPr>
            <w:proofErr w:type="spellStart"/>
            <w:r w:rsidRPr="00DF4CE5">
              <w:rPr>
                <w:rFonts w:ascii="Cambria" w:hAnsi="Cambria" w:cs="Calibri"/>
              </w:rPr>
              <w:t>zimski</w:t>
            </w:r>
            <w:proofErr w:type="spellEnd"/>
          </w:p>
          <w:p w14:paraId="10242D55" w14:textId="77777777" w:rsidR="007A75FD" w:rsidRPr="00DF4CE5" w:rsidRDefault="007A75FD" w:rsidP="007A75FD">
            <w:pPr>
              <w:spacing w:after="0"/>
              <w:rPr>
                <w:rFonts w:ascii="Cambria" w:hAnsi="Cambria" w:cs="Calibri"/>
              </w:rPr>
            </w:pPr>
          </w:p>
        </w:tc>
        <w:tc>
          <w:tcPr>
            <w:tcW w:w="1424"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56EBC2AF" w14:textId="77777777" w:rsidR="007A75FD" w:rsidRPr="00DF4CE5" w:rsidRDefault="007A75FD" w:rsidP="007A75FD">
            <w:pPr>
              <w:spacing w:after="0"/>
              <w:rPr>
                <w:rFonts w:ascii="Cambria" w:hAnsi="Cambria" w:cs="Calibri"/>
              </w:rPr>
            </w:pPr>
            <w:r w:rsidRPr="00DF4CE5">
              <w:rPr>
                <w:rFonts w:ascii="Cambria" w:hAnsi="Cambria" w:cs="Calibri"/>
              </w:rPr>
              <w:t xml:space="preserve">Godina </w:t>
            </w:r>
            <w:proofErr w:type="spellStart"/>
            <w:r w:rsidRPr="00DF4CE5">
              <w:rPr>
                <w:rFonts w:ascii="Cambria" w:hAnsi="Cambria" w:cs="Calibri"/>
              </w:rPr>
              <w:t>studija</w:t>
            </w:r>
            <w:proofErr w:type="spellEnd"/>
          </w:p>
        </w:tc>
        <w:tc>
          <w:tcPr>
            <w:tcW w:w="2686"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D98A53E" w14:textId="77777777" w:rsidR="007A75FD" w:rsidRPr="00DF4CE5" w:rsidRDefault="007A75FD" w:rsidP="007A75FD">
            <w:pPr>
              <w:spacing w:after="0"/>
              <w:rPr>
                <w:rFonts w:ascii="Cambria" w:hAnsi="Cambria" w:cs="Calibri"/>
              </w:rPr>
            </w:pPr>
            <w:r w:rsidRPr="00DF4CE5">
              <w:rPr>
                <w:rFonts w:ascii="Cambria" w:hAnsi="Cambria" w:cs="Calibri"/>
              </w:rPr>
              <w:t>V.</w:t>
            </w:r>
          </w:p>
        </w:tc>
      </w:tr>
      <w:tr w:rsidR="007A75FD" w:rsidRPr="00DF4CE5" w14:paraId="6677A8B6" w14:textId="77777777" w:rsidTr="00891E8C">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2906055" w14:textId="77777777" w:rsidR="007A75FD" w:rsidRPr="00DF4CE5" w:rsidRDefault="007A75FD" w:rsidP="007A75FD">
            <w:pPr>
              <w:spacing w:after="0"/>
              <w:rPr>
                <w:rFonts w:ascii="Cambria" w:hAnsi="Cambria" w:cs="Calibri"/>
              </w:rPr>
            </w:pPr>
            <w:proofErr w:type="spellStart"/>
            <w:r w:rsidRPr="00DF4CE5">
              <w:rPr>
                <w:rFonts w:ascii="Cambria" w:hAnsi="Cambria" w:cs="Calibri"/>
              </w:rPr>
              <w:t>Mjesto</w:t>
            </w:r>
            <w:proofErr w:type="spellEnd"/>
            <w:r w:rsidRPr="00DF4CE5">
              <w:rPr>
                <w:rFonts w:ascii="Cambria" w:hAnsi="Cambria" w:cs="Calibri"/>
              </w:rPr>
              <w:t xml:space="preserve"> </w:t>
            </w:r>
            <w:proofErr w:type="spellStart"/>
            <w:r w:rsidRPr="00DF4CE5">
              <w:rPr>
                <w:rFonts w:ascii="Cambria" w:hAnsi="Cambria" w:cs="Calibri"/>
              </w:rPr>
              <w:t>izvođenja</w:t>
            </w:r>
            <w:proofErr w:type="spellEnd"/>
          </w:p>
        </w:tc>
        <w:tc>
          <w:tcPr>
            <w:tcW w:w="240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7CC6F27" w14:textId="77777777" w:rsidR="007A75FD" w:rsidRPr="00DF4CE5" w:rsidRDefault="007A75FD" w:rsidP="007A75FD">
            <w:pPr>
              <w:spacing w:after="0"/>
              <w:rPr>
                <w:rFonts w:ascii="Cambria" w:hAnsi="Cambria" w:cs="Calibri"/>
              </w:rPr>
            </w:pPr>
            <w:proofErr w:type="spellStart"/>
            <w:r w:rsidRPr="00DF4CE5">
              <w:rPr>
                <w:rFonts w:ascii="Cambria" w:hAnsi="Cambria" w:cs="Calibri"/>
              </w:rPr>
              <w:t>Učionica</w:t>
            </w:r>
            <w:proofErr w:type="spellEnd"/>
          </w:p>
        </w:tc>
        <w:tc>
          <w:tcPr>
            <w:tcW w:w="1424"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48D0EF94" w14:textId="77777777" w:rsidR="007A75FD" w:rsidRPr="00DF4CE5" w:rsidRDefault="007A75FD" w:rsidP="007A75FD">
            <w:pPr>
              <w:spacing w:after="0"/>
              <w:rPr>
                <w:rFonts w:ascii="Cambria" w:hAnsi="Cambria" w:cs="Calibri"/>
              </w:rPr>
            </w:pPr>
            <w:r w:rsidRPr="00DF4CE5">
              <w:rPr>
                <w:rFonts w:ascii="Cambria" w:hAnsi="Cambria" w:cs="Calibri"/>
              </w:rPr>
              <w:t xml:space="preserve">Jezik </w:t>
            </w:r>
            <w:proofErr w:type="spellStart"/>
            <w:r w:rsidRPr="00DF4CE5">
              <w:rPr>
                <w:rFonts w:ascii="Cambria" w:hAnsi="Cambria" w:cs="Calibri"/>
              </w:rPr>
              <w:t>izvođenja</w:t>
            </w:r>
            <w:proofErr w:type="spellEnd"/>
            <w:r w:rsidRPr="00DF4CE5">
              <w:rPr>
                <w:rFonts w:ascii="Cambria" w:hAnsi="Cambria" w:cs="Calibri"/>
              </w:rPr>
              <w:t xml:space="preserve"> (</w:t>
            </w:r>
            <w:proofErr w:type="spellStart"/>
            <w:r w:rsidRPr="00DF4CE5">
              <w:rPr>
                <w:rFonts w:ascii="Cambria" w:hAnsi="Cambria" w:cs="Calibri"/>
              </w:rPr>
              <w:t>drugi</w:t>
            </w:r>
            <w:proofErr w:type="spellEnd"/>
            <w:r w:rsidRPr="00DF4CE5">
              <w:rPr>
                <w:rFonts w:ascii="Cambria" w:hAnsi="Cambria" w:cs="Calibri"/>
              </w:rPr>
              <w:t xml:space="preserve"> </w:t>
            </w:r>
            <w:proofErr w:type="spellStart"/>
            <w:r w:rsidRPr="00DF4CE5">
              <w:rPr>
                <w:rFonts w:ascii="Cambria" w:hAnsi="Cambria" w:cs="Calibri"/>
              </w:rPr>
              <w:t>jezici</w:t>
            </w:r>
            <w:proofErr w:type="spellEnd"/>
            <w:r w:rsidRPr="00DF4CE5">
              <w:rPr>
                <w:rFonts w:ascii="Cambria" w:hAnsi="Cambria" w:cs="Calibri"/>
              </w:rPr>
              <w:t>)</w:t>
            </w:r>
          </w:p>
        </w:tc>
        <w:tc>
          <w:tcPr>
            <w:tcW w:w="2686"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283D464" w14:textId="77777777" w:rsidR="007A75FD" w:rsidRPr="00DF4CE5" w:rsidRDefault="007A75FD" w:rsidP="007A75FD">
            <w:pPr>
              <w:spacing w:after="0"/>
              <w:rPr>
                <w:rFonts w:ascii="Cambria" w:hAnsi="Cambria" w:cs="Calibri"/>
              </w:rPr>
            </w:pPr>
            <w:proofErr w:type="spellStart"/>
            <w:r w:rsidRPr="00DF4CE5">
              <w:rPr>
                <w:rFonts w:ascii="Cambria" w:hAnsi="Cambria" w:cs="Calibri"/>
              </w:rPr>
              <w:t>engleski</w:t>
            </w:r>
            <w:proofErr w:type="spellEnd"/>
          </w:p>
        </w:tc>
      </w:tr>
      <w:tr w:rsidR="007A75FD" w:rsidRPr="00DF4CE5" w14:paraId="4B1E0490" w14:textId="77777777" w:rsidTr="00891E8C">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7904AA7" w14:textId="77777777" w:rsidR="007A75FD" w:rsidRPr="00DF4CE5" w:rsidRDefault="007A75FD" w:rsidP="007A75FD">
            <w:pPr>
              <w:spacing w:after="0"/>
              <w:rPr>
                <w:rFonts w:ascii="Cambria" w:hAnsi="Cambria" w:cs="Calibri"/>
              </w:rPr>
            </w:pPr>
            <w:proofErr w:type="spellStart"/>
            <w:r w:rsidRPr="00DF4CE5">
              <w:rPr>
                <w:rFonts w:ascii="Cambria" w:hAnsi="Cambria" w:cs="Calibri"/>
              </w:rPr>
              <w:t>Broj</w:t>
            </w:r>
            <w:proofErr w:type="spellEnd"/>
            <w:r w:rsidRPr="00DF4CE5">
              <w:rPr>
                <w:rFonts w:ascii="Cambria" w:hAnsi="Cambria" w:cs="Calibri"/>
              </w:rPr>
              <w:t xml:space="preserve"> ECTS </w:t>
            </w:r>
            <w:proofErr w:type="spellStart"/>
            <w:r w:rsidRPr="00DF4CE5">
              <w:rPr>
                <w:rFonts w:ascii="Cambria" w:hAnsi="Cambria" w:cs="Calibri"/>
              </w:rPr>
              <w:t>bodova</w:t>
            </w:r>
            <w:proofErr w:type="spellEnd"/>
          </w:p>
        </w:tc>
        <w:tc>
          <w:tcPr>
            <w:tcW w:w="240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58C97CD" w14:textId="77777777" w:rsidR="007A75FD" w:rsidRPr="00DF4CE5" w:rsidRDefault="007A75FD" w:rsidP="007A75FD">
            <w:pPr>
              <w:spacing w:after="0"/>
              <w:rPr>
                <w:rFonts w:ascii="Cambria" w:hAnsi="Cambria" w:cs="Calibri"/>
              </w:rPr>
            </w:pPr>
            <w:r w:rsidRPr="00DF4CE5">
              <w:rPr>
                <w:rFonts w:ascii="Cambria" w:hAnsi="Cambria" w:cs="Calibri"/>
              </w:rPr>
              <w:t>3</w:t>
            </w:r>
          </w:p>
        </w:tc>
        <w:tc>
          <w:tcPr>
            <w:tcW w:w="1424"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4DA8509D" w14:textId="77777777" w:rsidR="007A75FD" w:rsidRPr="00DF4CE5" w:rsidRDefault="007A75FD" w:rsidP="007A75FD">
            <w:pPr>
              <w:spacing w:after="0"/>
              <w:rPr>
                <w:rFonts w:ascii="Cambria" w:hAnsi="Cambria" w:cs="Calibri"/>
              </w:rPr>
            </w:pPr>
            <w:proofErr w:type="spellStart"/>
            <w:r w:rsidRPr="00DF4CE5">
              <w:rPr>
                <w:rFonts w:ascii="Cambria" w:hAnsi="Cambria" w:cs="Calibri"/>
              </w:rPr>
              <w:t>Broj</w:t>
            </w:r>
            <w:proofErr w:type="spellEnd"/>
            <w:r w:rsidRPr="00DF4CE5">
              <w:rPr>
                <w:rFonts w:ascii="Cambria" w:hAnsi="Cambria" w:cs="Calibri"/>
              </w:rPr>
              <w:t xml:space="preserve"> sati u </w:t>
            </w:r>
            <w:proofErr w:type="spellStart"/>
            <w:r w:rsidRPr="00DF4CE5">
              <w:rPr>
                <w:rFonts w:ascii="Cambria" w:hAnsi="Cambria" w:cs="Calibri"/>
              </w:rPr>
              <w:t>semestru</w:t>
            </w:r>
            <w:proofErr w:type="spellEnd"/>
          </w:p>
        </w:tc>
        <w:tc>
          <w:tcPr>
            <w:tcW w:w="2686"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D297944" w14:textId="77777777" w:rsidR="007A75FD" w:rsidRPr="00DF4CE5" w:rsidRDefault="007A75FD" w:rsidP="007A75FD">
            <w:pPr>
              <w:spacing w:after="0"/>
              <w:rPr>
                <w:rFonts w:ascii="Cambria" w:hAnsi="Cambria" w:cs="Calibri"/>
              </w:rPr>
            </w:pPr>
            <w:r w:rsidRPr="00DF4CE5">
              <w:rPr>
                <w:rFonts w:ascii="Cambria" w:hAnsi="Cambria" w:cs="Calibri"/>
              </w:rPr>
              <w:t xml:space="preserve">15P – 0S – 30V  </w:t>
            </w:r>
          </w:p>
        </w:tc>
      </w:tr>
      <w:tr w:rsidR="007A75FD" w:rsidRPr="00D0399C" w14:paraId="3DF1CEE7" w14:textId="77777777" w:rsidTr="00891E8C">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9A1E080" w14:textId="77777777" w:rsidR="007A75FD" w:rsidRPr="00DF4CE5" w:rsidRDefault="007A75FD" w:rsidP="007A75FD">
            <w:pPr>
              <w:spacing w:after="0"/>
              <w:rPr>
                <w:rFonts w:ascii="Cambria" w:hAnsi="Cambria" w:cs="Calibri"/>
                <w:lang w:val="it-IT"/>
              </w:rPr>
            </w:pPr>
            <w:proofErr w:type="spellStart"/>
            <w:r w:rsidRPr="00DF4CE5">
              <w:rPr>
                <w:rFonts w:ascii="Cambria" w:hAnsi="Cambria" w:cs="Calibri"/>
                <w:lang w:val="it-IT"/>
              </w:rPr>
              <w:t>Preduvjeti</w:t>
            </w:r>
            <w:proofErr w:type="spellEnd"/>
            <w:r w:rsidRPr="00DF4CE5">
              <w:rPr>
                <w:rFonts w:ascii="Cambria" w:hAnsi="Cambria" w:cs="Calibri"/>
                <w:lang w:val="it-IT"/>
              </w:rPr>
              <w:t xml:space="preserve"> za </w:t>
            </w:r>
            <w:proofErr w:type="spellStart"/>
            <w:r w:rsidRPr="00DF4CE5">
              <w:rPr>
                <w:rFonts w:ascii="Cambria" w:hAnsi="Cambria" w:cs="Calibri"/>
                <w:lang w:val="it-IT"/>
              </w:rPr>
              <w:t>upis</w:t>
            </w:r>
            <w:proofErr w:type="spellEnd"/>
            <w:r w:rsidRPr="00DF4CE5">
              <w:rPr>
                <w:rFonts w:ascii="Cambria" w:hAnsi="Cambria" w:cs="Calibri"/>
                <w:lang w:val="it-IT"/>
              </w:rPr>
              <w:t xml:space="preserve"> i za </w:t>
            </w:r>
            <w:proofErr w:type="spellStart"/>
            <w:r w:rsidRPr="00DF4CE5">
              <w:rPr>
                <w:rFonts w:ascii="Cambria" w:hAnsi="Cambria" w:cs="Calibri"/>
                <w:lang w:val="it-IT"/>
              </w:rPr>
              <w:t>svladavanje</w:t>
            </w:r>
            <w:proofErr w:type="spellEnd"/>
          </w:p>
        </w:tc>
        <w:tc>
          <w:tcPr>
            <w:tcW w:w="651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22E86B0" w14:textId="77777777" w:rsidR="007A75FD" w:rsidRPr="00DF4CE5" w:rsidRDefault="007A75FD" w:rsidP="007A75FD">
            <w:pPr>
              <w:spacing w:after="0"/>
              <w:rPr>
                <w:rFonts w:ascii="Cambria" w:hAnsi="Cambria" w:cs="Calibri"/>
                <w:lang w:val="it-IT"/>
              </w:rPr>
            </w:pPr>
            <w:proofErr w:type="spellStart"/>
            <w:r w:rsidRPr="00DF4CE5">
              <w:rPr>
                <w:rFonts w:ascii="Cambria" w:hAnsi="Cambria" w:cs="Calibri"/>
                <w:lang w:val="it-IT"/>
              </w:rPr>
              <w:t>Odslušan</w:t>
            </w:r>
            <w:proofErr w:type="spellEnd"/>
            <w:r w:rsidRPr="00DF4CE5">
              <w:rPr>
                <w:rFonts w:ascii="Cambria" w:hAnsi="Cambria" w:cs="Calibri"/>
                <w:lang w:val="it-IT"/>
              </w:rPr>
              <w:t xml:space="preserve"> </w:t>
            </w:r>
            <w:proofErr w:type="spellStart"/>
            <w:r w:rsidRPr="00DF4CE5">
              <w:rPr>
                <w:rFonts w:ascii="Cambria" w:hAnsi="Cambria" w:cs="Calibri"/>
                <w:lang w:val="it-IT"/>
              </w:rPr>
              <w:t>kolegij</w:t>
            </w:r>
            <w:proofErr w:type="spellEnd"/>
            <w:r w:rsidRPr="00DF4CE5">
              <w:rPr>
                <w:rFonts w:ascii="Cambria" w:hAnsi="Cambria" w:cs="Calibri"/>
                <w:lang w:val="it-IT"/>
              </w:rPr>
              <w:t xml:space="preserve"> </w:t>
            </w:r>
            <w:proofErr w:type="spellStart"/>
            <w:r w:rsidRPr="00DF4CE5">
              <w:rPr>
                <w:rFonts w:ascii="Cambria" w:hAnsi="Cambria" w:cs="Calibri"/>
                <w:lang w:val="it-IT"/>
              </w:rPr>
              <w:t>Metodika</w:t>
            </w:r>
            <w:proofErr w:type="spellEnd"/>
            <w:r w:rsidRPr="00DF4CE5">
              <w:rPr>
                <w:rFonts w:ascii="Cambria" w:hAnsi="Cambria" w:cs="Calibri"/>
                <w:lang w:val="it-IT"/>
              </w:rPr>
              <w:t xml:space="preserve"> </w:t>
            </w:r>
            <w:proofErr w:type="spellStart"/>
            <w:r w:rsidRPr="00DF4CE5">
              <w:rPr>
                <w:rFonts w:ascii="Cambria" w:hAnsi="Cambria" w:cs="Calibri"/>
                <w:lang w:val="it-IT"/>
              </w:rPr>
              <w:t>nastave</w:t>
            </w:r>
            <w:proofErr w:type="spellEnd"/>
            <w:r w:rsidRPr="00DF4CE5">
              <w:rPr>
                <w:rFonts w:ascii="Cambria" w:hAnsi="Cambria" w:cs="Calibri"/>
                <w:lang w:val="it-IT"/>
              </w:rPr>
              <w:t xml:space="preserve"> </w:t>
            </w:r>
            <w:proofErr w:type="spellStart"/>
            <w:r w:rsidRPr="00DF4CE5">
              <w:rPr>
                <w:rFonts w:ascii="Cambria" w:hAnsi="Cambria" w:cs="Calibri"/>
                <w:lang w:val="it-IT"/>
              </w:rPr>
              <w:t>engleskog</w:t>
            </w:r>
            <w:proofErr w:type="spellEnd"/>
            <w:r w:rsidRPr="00DF4CE5">
              <w:rPr>
                <w:rFonts w:ascii="Cambria" w:hAnsi="Cambria" w:cs="Calibri"/>
                <w:lang w:val="it-IT"/>
              </w:rPr>
              <w:t xml:space="preserve"> </w:t>
            </w:r>
            <w:proofErr w:type="spellStart"/>
            <w:r w:rsidRPr="00DF4CE5">
              <w:rPr>
                <w:rFonts w:ascii="Cambria" w:hAnsi="Cambria" w:cs="Calibri"/>
                <w:lang w:val="it-IT"/>
              </w:rPr>
              <w:t>jezika</w:t>
            </w:r>
            <w:proofErr w:type="spellEnd"/>
            <w:r w:rsidRPr="00DF4CE5">
              <w:rPr>
                <w:rFonts w:ascii="Cambria" w:hAnsi="Cambria" w:cs="Calibri"/>
                <w:lang w:val="it-IT"/>
              </w:rPr>
              <w:t xml:space="preserve"> I.</w:t>
            </w:r>
          </w:p>
        </w:tc>
      </w:tr>
      <w:tr w:rsidR="007A75FD" w:rsidRPr="00DF4CE5" w14:paraId="09E0B383" w14:textId="77777777" w:rsidTr="00891E8C">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09B39E8" w14:textId="77777777" w:rsidR="007A75FD" w:rsidRPr="00DF4CE5" w:rsidRDefault="007A75FD" w:rsidP="007A75FD">
            <w:pPr>
              <w:spacing w:after="0"/>
              <w:rPr>
                <w:rFonts w:ascii="Cambria" w:hAnsi="Cambria" w:cs="Calibri"/>
              </w:rPr>
            </w:pPr>
            <w:proofErr w:type="spellStart"/>
            <w:r w:rsidRPr="00DF4CE5">
              <w:rPr>
                <w:rFonts w:ascii="Cambria" w:hAnsi="Cambria" w:cs="Calibri"/>
              </w:rPr>
              <w:t>Korelativnost</w:t>
            </w:r>
            <w:proofErr w:type="spellEnd"/>
          </w:p>
        </w:tc>
        <w:tc>
          <w:tcPr>
            <w:tcW w:w="651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5E091F6B" w14:textId="77777777" w:rsidR="007A75FD" w:rsidRPr="00DF4CE5" w:rsidRDefault="007A75FD" w:rsidP="007A75FD">
            <w:pPr>
              <w:spacing w:before="20" w:after="0"/>
              <w:rPr>
                <w:rFonts w:ascii="Cambria" w:hAnsi="Cambria" w:cs="Calibri"/>
                <w:lang w:val="it-IT"/>
              </w:rPr>
            </w:pPr>
            <w:proofErr w:type="spellStart"/>
            <w:r w:rsidRPr="00DF4CE5">
              <w:rPr>
                <w:rFonts w:ascii="Cambria" w:hAnsi="Cambria" w:cs="Calibri"/>
                <w:lang w:val="it-IT"/>
              </w:rPr>
              <w:t>Metodika</w:t>
            </w:r>
            <w:proofErr w:type="spellEnd"/>
            <w:r w:rsidRPr="00DF4CE5">
              <w:rPr>
                <w:rFonts w:ascii="Cambria" w:hAnsi="Cambria" w:cs="Calibri"/>
                <w:lang w:val="it-IT"/>
              </w:rPr>
              <w:t xml:space="preserve"> </w:t>
            </w:r>
            <w:proofErr w:type="spellStart"/>
            <w:r w:rsidRPr="00DF4CE5">
              <w:rPr>
                <w:rFonts w:ascii="Cambria" w:hAnsi="Cambria" w:cs="Calibri"/>
                <w:lang w:val="it-IT"/>
              </w:rPr>
              <w:t>nastave</w:t>
            </w:r>
            <w:proofErr w:type="spellEnd"/>
            <w:r w:rsidRPr="00DF4CE5">
              <w:rPr>
                <w:rFonts w:ascii="Cambria" w:hAnsi="Cambria" w:cs="Calibri"/>
                <w:lang w:val="it-IT"/>
              </w:rPr>
              <w:t xml:space="preserve"> </w:t>
            </w:r>
            <w:proofErr w:type="spellStart"/>
            <w:r w:rsidRPr="00DF4CE5">
              <w:rPr>
                <w:rFonts w:ascii="Cambria" w:hAnsi="Cambria" w:cs="Calibri"/>
                <w:lang w:val="it-IT"/>
              </w:rPr>
              <w:t>engleskog</w:t>
            </w:r>
            <w:proofErr w:type="spellEnd"/>
            <w:r w:rsidRPr="00DF4CE5">
              <w:rPr>
                <w:rFonts w:ascii="Cambria" w:hAnsi="Cambria" w:cs="Calibri"/>
                <w:lang w:val="it-IT"/>
              </w:rPr>
              <w:t xml:space="preserve"> </w:t>
            </w:r>
            <w:proofErr w:type="spellStart"/>
            <w:r w:rsidRPr="00DF4CE5">
              <w:rPr>
                <w:rFonts w:ascii="Cambria" w:hAnsi="Cambria" w:cs="Calibri"/>
                <w:lang w:val="it-IT"/>
              </w:rPr>
              <w:t>jezika</w:t>
            </w:r>
            <w:proofErr w:type="spellEnd"/>
            <w:r w:rsidRPr="00DF4CE5">
              <w:rPr>
                <w:rFonts w:ascii="Cambria" w:hAnsi="Cambria" w:cs="Calibri"/>
                <w:lang w:val="it-IT"/>
              </w:rPr>
              <w:t xml:space="preserve"> I</w:t>
            </w:r>
          </w:p>
          <w:p w14:paraId="1F07372C" w14:textId="77777777" w:rsidR="007A75FD" w:rsidRPr="00DF4CE5" w:rsidRDefault="007A75FD" w:rsidP="007A75FD">
            <w:pPr>
              <w:spacing w:before="20" w:after="0"/>
              <w:rPr>
                <w:rFonts w:ascii="Cambria" w:hAnsi="Cambria" w:cs="Calibri"/>
                <w:lang w:val="it-IT"/>
              </w:rPr>
            </w:pPr>
            <w:proofErr w:type="spellStart"/>
            <w:r w:rsidRPr="00DF4CE5">
              <w:rPr>
                <w:rFonts w:ascii="Cambria" w:hAnsi="Cambria" w:cs="Calibri"/>
                <w:lang w:val="it-IT"/>
              </w:rPr>
              <w:t>Engleski</w:t>
            </w:r>
            <w:proofErr w:type="spellEnd"/>
            <w:r w:rsidRPr="00DF4CE5">
              <w:rPr>
                <w:rFonts w:ascii="Cambria" w:hAnsi="Cambria" w:cs="Calibri"/>
                <w:lang w:val="it-IT"/>
              </w:rPr>
              <w:t xml:space="preserve"> </w:t>
            </w:r>
            <w:proofErr w:type="spellStart"/>
            <w:r w:rsidRPr="00DF4CE5">
              <w:rPr>
                <w:rFonts w:ascii="Cambria" w:hAnsi="Cambria" w:cs="Calibri"/>
                <w:lang w:val="it-IT"/>
              </w:rPr>
              <w:t>jezik</w:t>
            </w:r>
            <w:proofErr w:type="spellEnd"/>
            <w:r w:rsidRPr="00DF4CE5">
              <w:rPr>
                <w:rFonts w:ascii="Cambria" w:hAnsi="Cambria" w:cs="Calibri"/>
                <w:lang w:val="it-IT"/>
              </w:rPr>
              <w:t xml:space="preserve"> I – II</w:t>
            </w:r>
          </w:p>
          <w:p w14:paraId="72DC561E" w14:textId="77777777" w:rsidR="007A75FD" w:rsidRPr="00DF4CE5" w:rsidRDefault="007A75FD" w:rsidP="007A75FD">
            <w:pPr>
              <w:spacing w:before="20" w:after="0"/>
              <w:rPr>
                <w:rFonts w:ascii="Cambria" w:hAnsi="Cambria" w:cs="Calibri"/>
              </w:rPr>
            </w:pPr>
            <w:proofErr w:type="spellStart"/>
            <w:r w:rsidRPr="00DF4CE5">
              <w:rPr>
                <w:rFonts w:ascii="Cambria" w:hAnsi="Cambria" w:cs="Calibri"/>
              </w:rPr>
              <w:t>Govorne</w:t>
            </w:r>
            <w:proofErr w:type="spellEnd"/>
            <w:r w:rsidRPr="00DF4CE5">
              <w:rPr>
                <w:rFonts w:ascii="Cambria" w:hAnsi="Cambria" w:cs="Calibri"/>
              </w:rPr>
              <w:t xml:space="preserve"> </w:t>
            </w:r>
            <w:proofErr w:type="spellStart"/>
            <w:r w:rsidRPr="00DF4CE5">
              <w:rPr>
                <w:rFonts w:ascii="Cambria" w:hAnsi="Cambria" w:cs="Calibri"/>
              </w:rPr>
              <w:t>vježbe</w:t>
            </w:r>
            <w:proofErr w:type="spellEnd"/>
            <w:r w:rsidRPr="00DF4CE5">
              <w:rPr>
                <w:rFonts w:ascii="Cambria" w:hAnsi="Cambria" w:cs="Calibri"/>
              </w:rPr>
              <w:t xml:space="preserve"> I – IV</w:t>
            </w:r>
          </w:p>
        </w:tc>
      </w:tr>
      <w:tr w:rsidR="007A75FD" w:rsidRPr="00DF4CE5" w14:paraId="77D98D0B" w14:textId="77777777" w:rsidTr="00891E8C">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C5370C0" w14:textId="77777777" w:rsidR="007A75FD" w:rsidRPr="00DF4CE5" w:rsidRDefault="007A75FD" w:rsidP="007A75FD">
            <w:pPr>
              <w:spacing w:after="0"/>
              <w:rPr>
                <w:rFonts w:ascii="Cambria" w:hAnsi="Cambria" w:cs="Calibri"/>
              </w:rPr>
            </w:pPr>
            <w:proofErr w:type="spellStart"/>
            <w:r w:rsidRPr="00DF4CE5">
              <w:rPr>
                <w:rFonts w:ascii="Cambria" w:hAnsi="Cambria" w:cs="Calibri"/>
              </w:rPr>
              <w:t>Cilj</w:t>
            </w:r>
            <w:proofErr w:type="spellEnd"/>
            <w:r w:rsidRPr="00DF4CE5">
              <w:rPr>
                <w:rFonts w:ascii="Cambria" w:hAnsi="Cambria" w:cs="Calibri"/>
              </w:rPr>
              <w:t xml:space="preserve"> </w:t>
            </w:r>
            <w:proofErr w:type="spellStart"/>
            <w:r w:rsidRPr="00DF4CE5">
              <w:rPr>
                <w:rFonts w:ascii="Cambria" w:hAnsi="Cambria" w:cs="Calibri"/>
              </w:rPr>
              <w:t>kolegija</w:t>
            </w:r>
            <w:proofErr w:type="spellEnd"/>
            <w:r w:rsidRPr="00DF4CE5">
              <w:rPr>
                <w:rFonts w:ascii="Cambria" w:hAnsi="Cambria" w:cs="Calibri"/>
              </w:rPr>
              <w:t xml:space="preserve"> </w:t>
            </w:r>
          </w:p>
        </w:tc>
        <w:tc>
          <w:tcPr>
            <w:tcW w:w="651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78192627" w14:textId="04F120C1" w:rsidR="007A75FD" w:rsidRPr="00DF4CE5" w:rsidRDefault="007A75FD" w:rsidP="007A75FD">
            <w:pPr>
              <w:spacing w:before="20" w:after="0"/>
              <w:rPr>
                <w:rFonts w:ascii="Cambria" w:hAnsi="Cambria" w:cs="Calibri"/>
              </w:rPr>
            </w:pPr>
            <w:proofErr w:type="spellStart"/>
            <w:r w:rsidRPr="00DF4CE5">
              <w:rPr>
                <w:rFonts w:ascii="Cambria" w:hAnsi="Cambria" w:cs="Calibri"/>
              </w:rPr>
              <w:t>upoznati</w:t>
            </w:r>
            <w:proofErr w:type="spellEnd"/>
            <w:r w:rsidRPr="00DF4CE5">
              <w:rPr>
                <w:rFonts w:ascii="Cambria" w:hAnsi="Cambria" w:cs="Calibri"/>
              </w:rPr>
              <w:t xml:space="preserve"> </w:t>
            </w:r>
            <w:proofErr w:type="spellStart"/>
            <w:r w:rsidRPr="00DF4CE5">
              <w:rPr>
                <w:rFonts w:ascii="Cambria" w:hAnsi="Cambria" w:cs="Calibri"/>
              </w:rPr>
              <w:t>studente</w:t>
            </w:r>
            <w:proofErr w:type="spellEnd"/>
            <w:r w:rsidRPr="00DF4CE5">
              <w:rPr>
                <w:rFonts w:ascii="Cambria" w:hAnsi="Cambria" w:cs="Calibri"/>
              </w:rPr>
              <w:t xml:space="preserve"> s </w:t>
            </w:r>
            <w:proofErr w:type="spellStart"/>
            <w:r w:rsidRPr="00DF4CE5">
              <w:rPr>
                <w:rFonts w:ascii="Cambria" w:hAnsi="Cambria" w:cs="Calibri"/>
              </w:rPr>
              <w:t>dostignućima</w:t>
            </w:r>
            <w:proofErr w:type="spellEnd"/>
            <w:r w:rsidRPr="00DF4CE5">
              <w:rPr>
                <w:rFonts w:ascii="Cambria" w:hAnsi="Cambria" w:cs="Calibri"/>
              </w:rPr>
              <w:t xml:space="preserve"> </w:t>
            </w:r>
            <w:proofErr w:type="spellStart"/>
            <w:r w:rsidRPr="00DF4CE5">
              <w:rPr>
                <w:rFonts w:ascii="Cambria" w:hAnsi="Cambria" w:cs="Calibri"/>
              </w:rPr>
              <w:t>suvremene</w:t>
            </w:r>
            <w:proofErr w:type="spellEnd"/>
            <w:r w:rsidRPr="00DF4CE5">
              <w:rPr>
                <w:rFonts w:ascii="Cambria" w:hAnsi="Cambria" w:cs="Calibri"/>
              </w:rPr>
              <w:t xml:space="preserve"> </w:t>
            </w:r>
            <w:proofErr w:type="spellStart"/>
            <w:r w:rsidRPr="00DF4CE5">
              <w:rPr>
                <w:rFonts w:ascii="Cambria" w:hAnsi="Cambria" w:cs="Calibri"/>
              </w:rPr>
              <w:t>metodike</w:t>
            </w:r>
            <w:proofErr w:type="spellEnd"/>
            <w:r w:rsidRPr="00DF4CE5">
              <w:rPr>
                <w:rFonts w:ascii="Cambria" w:hAnsi="Cambria" w:cs="Calibri"/>
              </w:rPr>
              <w:t xml:space="preserve"> </w:t>
            </w:r>
            <w:proofErr w:type="spellStart"/>
            <w:r w:rsidRPr="00DF4CE5">
              <w:rPr>
                <w:rFonts w:ascii="Cambria" w:hAnsi="Cambria" w:cs="Calibri"/>
              </w:rPr>
              <w:t>engleskog</w:t>
            </w:r>
            <w:proofErr w:type="spellEnd"/>
            <w:r w:rsidRPr="00DF4CE5">
              <w:rPr>
                <w:rFonts w:ascii="Cambria" w:hAnsi="Cambria" w:cs="Calibri"/>
              </w:rPr>
              <w:t xml:space="preserve"> </w:t>
            </w:r>
            <w:proofErr w:type="spellStart"/>
            <w:r w:rsidRPr="00DF4CE5">
              <w:rPr>
                <w:rFonts w:ascii="Cambria" w:hAnsi="Cambria" w:cs="Calibri"/>
              </w:rPr>
              <w:t>jezika</w:t>
            </w:r>
            <w:proofErr w:type="spellEnd"/>
            <w:r w:rsidRPr="00DF4CE5">
              <w:rPr>
                <w:rFonts w:ascii="Cambria" w:hAnsi="Cambria" w:cs="Calibri"/>
              </w:rPr>
              <w:t xml:space="preserve"> </w:t>
            </w:r>
            <w:proofErr w:type="spellStart"/>
            <w:r w:rsidRPr="00DF4CE5">
              <w:rPr>
                <w:rFonts w:ascii="Cambria" w:hAnsi="Cambria" w:cs="Calibri"/>
              </w:rPr>
              <w:t>kako</w:t>
            </w:r>
            <w:proofErr w:type="spellEnd"/>
            <w:r w:rsidRPr="00DF4CE5">
              <w:rPr>
                <w:rFonts w:ascii="Cambria" w:hAnsi="Cambria" w:cs="Calibri"/>
              </w:rPr>
              <w:t xml:space="preserve"> </w:t>
            </w:r>
            <w:proofErr w:type="spellStart"/>
            <w:r w:rsidRPr="00DF4CE5">
              <w:rPr>
                <w:rFonts w:ascii="Cambria" w:hAnsi="Cambria" w:cs="Calibri"/>
              </w:rPr>
              <w:t>bi</w:t>
            </w:r>
            <w:proofErr w:type="spellEnd"/>
            <w:r w:rsidRPr="00DF4CE5">
              <w:rPr>
                <w:rFonts w:ascii="Cambria" w:hAnsi="Cambria" w:cs="Calibri"/>
              </w:rPr>
              <w:t xml:space="preserve"> </w:t>
            </w:r>
            <w:proofErr w:type="spellStart"/>
            <w:r w:rsidRPr="00DF4CE5">
              <w:rPr>
                <w:rFonts w:ascii="Cambria" w:hAnsi="Cambria" w:cs="Calibri"/>
              </w:rPr>
              <w:t>stekli</w:t>
            </w:r>
            <w:proofErr w:type="spellEnd"/>
            <w:r w:rsidRPr="00DF4CE5">
              <w:rPr>
                <w:rFonts w:ascii="Cambria" w:hAnsi="Cambria" w:cs="Calibri"/>
              </w:rPr>
              <w:t xml:space="preserve"> </w:t>
            </w:r>
            <w:proofErr w:type="spellStart"/>
            <w:r w:rsidRPr="00DF4CE5">
              <w:rPr>
                <w:rFonts w:ascii="Cambria" w:hAnsi="Cambria" w:cs="Calibri"/>
              </w:rPr>
              <w:t>kompetencije</w:t>
            </w:r>
            <w:proofErr w:type="spellEnd"/>
            <w:r w:rsidRPr="00DF4CE5">
              <w:rPr>
                <w:rFonts w:ascii="Cambria" w:hAnsi="Cambria" w:cs="Calibri"/>
              </w:rPr>
              <w:t xml:space="preserve"> </w:t>
            </w:r>
            <w:proofErr w:type="spellStart"/>
            <w:r w:rsidRPr="00DF4CE5">
              <w:rPr>
                <w:rFonts w:ascii="Cambria" w:hAnsi="Cambria" w:cs="Calibri"/>
              </w:rPr>
              <w:t>potrebne</w:t>
            </w:r>
            <w:proofErr w:type="spellEnd"/>
            <w:r w:rsidRPr="00DF4CE5">
              <w:rPr>
                <w:rFonts w:ascii="Cambria" w:hAnsi="Cambria" w:cs="Calibri"/>
              </w:rPr>
              <w:t xml:space="preserve"> u </w:t>
            </w:r>
            <w:proofErr w:type="spellStart"/>
            <w:r w:rsidRPr="00DF4CE5">
              <w:rPr>
                <w:rFonts w:ascii="Cambria" w:hAnsi="Cambria" w:cs="Calibri"/>
              </w:rPr>
              <w:t>radu</w:t>
            </w:r>
            <w:proofErr w:type="spellEnd"/>
            <w:r w:rsidRPr="00DF4CE5">
              <w:rPr>
                <w:rFonts w:ascii="Cambria" w:hAnsi="Cambria" w:cs="Calibri"/>
              </w:rPr>
              <w:t xml:space="preserve"> s </w:t>
            </w:r>
            <w:proofErr w:type="spellStart"/>
            <w:r w:rsidRPr="00DF4CE5">
              <w:rPr>
                <w:rFonts w:ascii="Cambria" w:hAnsi="Cambria" w:cs="Calibri"/>
              </w:rPr>
              <w:t>učenicima</w:t>
            </w:r>
            <w:proofErr w:type="spellEnd"/>
            <w:r w:rsidRPr="00DF4CE5">
              <w:rPr>
                <w:rFonts w:ascii="Cambria" w:hAnsi="Cambria" w:cs="Calibri"/>
              </w:rPr>
              <w:t xml:space="preserve"> od 1. </w:t>
            </w:r>
            <w:proofErr w:type="spellStart"/>
            <w:r w:rsidRPr="00DF4CE5">
              <w:rPr>
                <w:rFonts w:ascii="Cambria" w:hAnsi="Cambria" w:cs="Calibri"/>
              </w:rPr>
              <w:t>do</w:t>
            </w:r>
            <w:proofErr w:type="spellEnd"/>
            <w:r w:rsidRPr="00DF4CE5">
              <w:rPr>
                <w:rFonts w:ascii="Cambria" w:hAnsi="Cambria" w:cs="Calibri"/>
              </w:rPr>
              <w:t xml:space="preserve"> 4. </w:t>
            </w:r>
            <w:proofErr w:type="spellStart"/>
            <w:r w:rsidRPr="00DF4CE5">
              <w:rPr>
                <w:rFonts w:ascii="Cambria" w:hAnsi="Cambria" w:cs="Calibri"/>
              </w:rPr>
              <w:t>razreda</w:t>
            </w:r>
            <w:proofErr w:type="spellEnd"/>
            <w:r w:rsidRPr="00DF4CE5">
              <w:rPr>
                <w:rFonts w:ascii="Cambria" w:hAnsi="Cambria" w:cs="Calibri"/>
              </w:rPr>
              <w:t xml:space="preserve"> </w:t>
            </w:r>
            <w:proofErr w:type="spellStart"/>
            <w:r w:rsidRPr="00DF4CE5">
              <w:rPr>
                <w:rFonts w:ascii="Cambria" w:hAnsi="Cambria" w:cs="Calibri"/>
              </w:rPr>
              <w:t>osnovne</w:t>
            </w:r>
            <w:proofErr w:type="spellEnd"/>
            <w:r w:rsidRPr="00DF4CE5">
              <w:rPr>
                <w:rFonts w:ascii="Cambria" w:hAnsi="Cambria" w:cs="Calibri"/>
              </w:rPr>
              <w:t xml:space="preserve"> </w:t>
            </w:r>
            <w:proofErr w:type="spellStart"/>
            <w:r w:rsidRPr="00DF4CE5">
              <w:rPr>
                <w:rFonts w:ascii="Cambria" w:hAnsi="Cambria" w:cs="Calibri"/>
              </w:rPr>
              <w:t>škole</w:t>
            </w:r>
            <w:proofErr w:type="spellEnd"/>
          </w:p>
        </w:tc>
      </w:tr>
      <w:tr w:rsidR="007A75FD" w:rsidRPr="00D0399C" w14:paraId="22BB04BD" w14:textId="77777777" w:rsidTr="00891E8C">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004C7F8" w14:textId="77777777" w:rsidR="007A75FD" w:rsidRPr="00DF4CE5" w:rsidRDefault="007A75FD" w:rsidP="007A75FD">
            <w:pPr>
              <w:spacing w:after="0"/>
              <w:rPr>
                <w:rFonts w:ascii="Cambria" w:hAnsi="Cambria" w:cs="Calibri"/>
              </w:rPr>
            </w:pPr>
            <w:proofErr w:type="spellStart"/>
            <w:r w:rsidRPr="00DF4CE5">
              <w:rPr>
                <w:rFonts w:ascii="Cambria" w:hAnsi="Cambria" w:cs="Calibri"/>
              </w:rPr>
              <w:t>Ishodi</w:t>
            </w:r>
            <w:proofErr w:type="spellEnd"/>
            <w:r w:rsidRPr="00DF4CE5">
              <w:rPr>
                <w:rFonts w:ascii="Cambria" w:hAnsi="Cambria" w:cs="Calibri"/>
              </w:rPr>
              <w:t xml:space="preserve"> </w:t>
            </w:r>
            <w:proofErr w:type="spellStart"/>
            <w:r w:rsidRPr="00DF4CE5">
              <w:rPr>
                <w:rFonts w:ascii="Cambria" w:hAnsi="Cambria" w:cs="Calibri"/>
              </w:rPr>
              <w:t>učenja</w:t>
            </w:r>
            <w:proofErr w:type="spellEnd"/>
          </w:p>
        </w:tc>
        <w:tc>
          <w:tcPr>
            <w:tcW w:w="651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278615F" w14:textId="77777777" w:rsidR="007A75FD" w:rsidRPr="00DF4CE5" w:rsidRDefault="007A75FD" w:rsidP="007A75FD">
            <w:pPr>
              <w:spacing w:after="0"/>
              <w:rPr>
                <w:rFonts w:ascii="Cambria" w:hAnsi="Cambria" w:cs="Calibri"/>
              </w:rPr>
            </w:pPr>
            <w:r w:rsidRPr="00DF4CE5">
              <w:rPr>
                <w:rFonts w:ascii="Cambria" w:hAnsi="Cambria" w:cs="Calibri"/>
              </w:rPr>
              <w:t xml:space="preserve">1. </w:t>
            </w:r>
            <w:proofErr w:type="spellStart"/>
            <w:r w:rsidRPr="00DF4CE5">
              <w:rPr>
                <w:rFonts w:ascii="Cambria" w:hAnsi="Cambria" w:cs="Calibri"/>
              </w:rPr>
              <w:t>pravilno</w:t>
            </w:r>
            <w:proofErr w:type="spellEnd"/>
            <w:r w:rsidRPr="00DF4CE5">
              <w:rPr>
                <w:rFonts w:ascii="Cambria" w:hAnsi="Cambria" w:cs="Calibri"/>
              </w:rPr>
              <w:t xml:space="preserve"> </w:t>
            </w:r>
            <w:proofErr w:type="spellStart"/>
            <w:r w:rsidRPr="00DF4CE5">
              <w:rPr>
                <w:rFonts w:ascii="Cambria" w:hAnsi="Cambria" w:cs="Calibri"/>
              </w:rPr>
              <w:t>definirati</w:t>
            </w:r>
            <w:proofErr w:type="spellEnd"/>
            <w:r w:rsidRPr="00DF4CE5">
              <w:rPr>
                <w:rFonts w:ascii="Cambria" w:hAnsi="Cambria" w:cs="Calibri"/>
              </w:rPr>
              <w:t xml:space="preserve"> </w:t>
            </w:r>
            <w:proofErr w:type="spellStart"/>
            <w:r w:rsidRPr="00DF4CE5">
              <w:rPr>
                <w:rFonts w:ascii="Cambria" w:hAnsi="Cambria" w:cs="Calibri"/>
              </w:rPr>
              <w:t>osnovne</w:t>
            </w:r>
            <w:proofErr w:type="spellEnd"/>
            <w:r w:rsidRPr="00DF4CE5">
              <w:rPr>
                <w:rFonts w:ascii="Cambria" w:hAnsi="Cambria" w:cs="Calibri"/>
              </w:rPr>
              <w:t xml:space="preserve"> </w:t>
            </w:r>
            <w:proofErr w:type="spellStart"/>
            <w:r w:rsidRPr="00DF4CE5">
              <w:rPr>
                <w:rFonts w:ascii="Cambria" w:hAnsi="Cambria" w:cs="Calibri"/>
              </w:rPr>
              <w:t>pojmove</w:t>
            </w:r>
            <w:proofErr w:type="spellEnd"/>
            <w:r w:rsidRPr="00DF4CE5">
              <w:rPr>
                <w:rFonts w:ascii="Cambria" w:hAnsi="Cambria" w:cs="Calibri"/>
              </w:rPr>
              <w:t xml:space="preserve"> </w:t>
            </w:r>
            <w:proofErr w:type="spellStart"/>
            <w:r w:rsidRPr="00DF4CE5">
              <w:rPr>
                <w:rFonts w:ascii="Cambria" w:hAnsi="Cambria" w:cs="Calibri"/>
              </w:rPr>
              <w:t>iz</w:t>
            </w:r>
            <w:proofErr w:type="spellEnd"/>
            <w:r w:rsidRPr="00DF4CE5">
              <w:rPr>
                <w:rFonts w:ascii="Cambria" w:hAnsi="Cambria" w:cs="Calibri"/>
              </w:rPr>
              <w:t xml:space="preserve"> </w:t>
            </w:r>
            <w:proofErr w:type="spellStart"/>
            <w:r w:rsidRPr="00DF4CE5">
              <w:rPr>
                <w:rFonts w:ascii="Cambria" w:hAnsi="Cambria" w:cs="Calibri"/>
              </w:rPr>
              <w:t>područja</w:t>
            </w:r>
            <w:proofErr w:type="spellEnd"/>
            <w:r w:rsidRPr="00DF4CE5">
              <w:rPr>
                <w:rFonts w:ascii="Cambria" w:hAnsi="Cambria" w:cs="Calibri"/>
              </w:rPr>
              <w:t xml:space="preserve"> </w:t>
            </w:r>
            <w:proofErr w:type="spellStart"/>
            <w:r w:rsidRPr="00DF4CE5">
              <w:rPr>
                <w:rFonts w:ascii="Cambria" w:hAnsi="Cambria" w:cs="Calibri"/>
              </w:rPr>
              <w:t>glotodidaktike</w:t>
            </w:r>
            <w:proofErr w:type="spellEnd"/>
            <w:r w:rsidRPr="00DF4CE5">
              <w:rPr>
                <w:rFonts w:ascii="Cambria" w:hAnsi="Cambria" w:cs="Calibri"/>
              </w:rPr>
              <w:t xml:space="preserve"> </w:t>
            </w:r>
            <w:proofErr w:type="spellStart"/>
            <w:r w:rsidRPr="00DF4CE5">
              <w:rPr>
                <w:rFonts w:ascii="Cambria" w:hAnsi="Cambria" w:cs="Calibri"/>
              </w:rPr>
              <w:t>engleskog</w:t>
            </w:r>
            <w:proofErr w:type="spellEnd"/>
            <w:r w:rsidRPr="00DF4CE5">
              <w:rPr>
                <w:rFonts w:ascii="Cambria" w:hAnsi="Cambria" w:cs="Calibri"/>
              </w:rPr>
              <w:t xml:space="preserve"> </w:t>
            </w:r>
            <w:proofErr w:type="spellStart"/>
            <w:r w:rsidRPr="00DF4CE5">
              <w:rPr>
                <w:rFonts w:ascii="Cambria" w:hAnsi="Cambria" w:cs="Calibri"/>
              </w:rPr>
              <w:t>kao</w:t>
            </w:r>
            <w:proofErr w:type="spellEnd"/>
            <w:r w:rsidRPr="00DF4CE5">
              <w:rPr>
                <w:rFonts w:ascii="Cambria" w:hAnsi="Cambria" w:cs="Calibri"/>
              </w:rPr>
              <w:t xml:space="preserve"> </w:t>
            </w:r>
            <w:proofErr w:type="spellStart"/>
            <w:r w:rsidRPr="00DF4CE5">
              <w:rPr>
                <w:rFonts w:ascii="Cambria" w:hAnsi="Cambria" w:cs="Calibri"/>
              </w:rPr>
              <w:t>stranog</w:t>
            </w:r>
            <w:proofErr w:type="spellEnd"/>
            <w:r w:rsidRPr="00DF4CE5">
              <w:rPr>
                <w:rFonts w:ascii="Cambria" w:hAnsi="Cambria" w:cs="Calibri"/>
              </w:rPr>
              <w:t xml:space="preserve"> </w:t>
            </w:r>
            <w:proofErr w:type="spellStart"/>
            <w:r w:rsidRPr="00DF4CE5">
              <w:rPr>
                <w:rFonts w:ascii="Cambria" w:hAnsi="Cambria" w:cs="Calibri"/>
              </w:rPr>
              <w:t>jezika</w:t>
            </w:r>
            <w:proofErr w:type="spellEnd"/>
            <w:r w:rsidRPr="00DF4CE5">
              <w:rPr>
                <w:rFonts w:ascii="Cambria" w:hAnsi="Cambria" w:cs="Calibri"/>
              </w:rPr>
              <w:t xml:space="preserve"> s </w:t>
            </w:r>
            <w:proofErr w:type="spellStart"/>
            <w:r w:rsidRPr="00DF4CE5">
              <w:rPr>
                <w:rFonts w:ascii="Cambria" w:hAnsi="Cambria" w:cs="Calibri"/>
              </w:rPr>
              <w:t>posebnim</w:t>
            </w:r>
            <w:proofErr w:type="spellEnd"/>
            <w:r w:rsidRPr="00DF4CE5">
              <w:rPr>
                <w:rFonts w:ascii="Cambria" w:hAnsi="Cambria" w:cs="Calibri"/>
              </w:rPr>
              <w:t xml:space="preserve"> </w:t>
            </w:r>
            <w:proofErr w:type="spellStart"/>
            <w:r w:rsidRPr="00DF4CE5">
              <w:rPr>
                <w:rFonts w:ascii="Cambria" w:hAnsi="Cambria" w:cs="Calibri"/>
              </w:rPr>
              <w:t>osvrtom</w:t>
            </w:r>
            <w:proofErr w:type="spellEnd"/>
            <w:r w:rsidRPr="00DF4CE5">
              <w:rPr>
                <w:rFonts w:ascii="Cambria" w:hAnsi="Cambria" w:cs="Calibri"/>
              </w:rPr>
              <w:t xml:space="preserve"> </w:t>
            </w:r>
            <w:proofErr w:type="spellStart"/>
            <w:r w:rsidRPr="00DF4CE5">
              <w:rPr>
                <w:rFonts w:ascii="Cambria" w:hAnsi="Cambria" w:cs="Calibri"/>
              </w:rPr>
              <w:t>na</w:t>
            </w:r>
            <w:proofErr w:type="spellEnd"/>
            <w:r w:rsidRPr="00DF4CE5">
              <w:rPr>
                <w:rFonts w:ascii="Cambria" w:hAnsi="Cambria" w:cs="Calibri"/>
              </w:rPr>
              <w:t xml:space="preserve"> </w:t>
            </w:r>
            <w:proofErr w:type="spellStart"/>
            <w:r w:rsidRPr="00DF4CE5">
              <w:rPr>
                <w:rFonts w:ascii="Cambria" w:hAnsi="Cambria" w:cs="Calibri"/>
              </w:rPr>
              <w:t>rano</w:t>
            </w:r>
            <w:proofErr w:type="spellEnd"/>
            <w:r w:rsidRPr="00DF4CE5">
              <w:rPr>
                <w:rFonts w:ascii="Cambria" w:hAnsi="Cambria" w:cs="Calibri"/>
              </w:rPr>
              <w:t xml:space="preserve"> </w:t>
            </w:r>
            <w:proofErr w:type="spellStart"/>
            <w:r w:rsidRPr="00DF4CE5">
              <w:rPr>
                <w:rFonts w:ascii="Cambria" w:hAnsi="Cambria" w:cs="Calibri"/>
              </w:rPr>
              <w:t>učenje</w:t>
            </w:r>
            <w:proofErr w:type="spellEnd"/>
          </w:p>
          <w:p w14:paraId="5F3C18C1" w14:textId="77777777" w:rsidR="007A75FD" w:rsidRPr="00DF4CE5" w:rsidRDefault="007A75FD" w:rsidP="007A75FD">
            <w:pPr>
              <w:spacing w:after="0"/>
              <w:rPr>
                <w:rFonts w:ascii="Cambria" w:hAnsi="Cambria" w:cs="Calibri"/>
              </w:rPr>
            </w:pPr>
            <w:r w:rsidRPr="00DF4CE5">
              <w:rPr>
                <w:rFonts w:ascii="Cambria" w:hAnsi="Cambria" w:cs="Calibri"/>
              </w:rPr>
              <w:t xml:space="preserve">2. </w:t>
            </w:r>
            <w:proofErr w:type="spellStart"/>
            <w:r w:rsidRPr="00DF4CE5">
              <w:rPr>
                <w:rFonts w:ascii="Cambria" w:hAnsi="Cambria" w:cs="Calibri"/>
              </w:rPr>
              <w:t>objasniti</w:t>
            </w:r>
            <w:proofErr w:type="spellEnd"/>
            <w:r w:rsidRPr="00DF4CE5">
              <w:rPr>
                <w:rFonts w:ascii="Cambria" w:hAnsi="Cambria" w:cs="Calibri"/>
              </w:rPr>
              <w:t xml:space="preserve"> </w:t>
            </w:r>
            <w:proofErr w:type="spellStart"/>
            <w:r w:rsidRPr="00DF4CE5">
              <w:rPr>
                <w:rFonts w:ascii="Cambria" w:hAnsi="Cambria" w:cs="Calibri"/>
              </w:rPr>
              <w:t>različite</w:t>
            </w:r>
            <w:proofErr w:type="spellEnd"/>
            <w:r w:rsidRPr="00DF4CE5">
              <w:rPr>
                <w:rFonts w:ascii="Cambria" w:hAnsi="Cambria" w:cs="Calibri"/>
              </w:rPr>
              <w:t xml:space="preserve"> </w:t>
            </w:r>
            <w:proofErr w:type="spellStart"/>
            <w:r w:rsidRPr="00DF4CE5">
              <w:rPr>
                <w:rFonts w:ascii="Cambria" w:hAnsi="Cambria" w:cs="Calibri"/>
              </w:rPr>
              <w:t>metode</w:t>
            </w:r>
            <w:proofErr w:type="spellEnd"/>
            <w:r w:rsidRPr="00DF4CE5">
              <w:rPr>
                <w:rFonts w:ascii="Cambria" w:hAnsi="Cambria" w:cs="Calibri"/>
              </w:rPr>
              <w:t xml:space="preserve"> </w:t>
            </w:r>
            <w:proofErr w:type="spellStart"/>
            <w:r w:rsidRPr="00DF4CE5">
              <w:rPr>
                <w:rFonts w:ascii="Cambria" w:hAnsi="Cambria" w:cs="Calibri"/>
              </w:rPr>
              <w:t>i</w:t>
            </w:r>
            <w:proofErr w:type="spellEnd"/>
            <w:r w:rsidRPr="00DF4CE5">
              <w:rPr>
                <w:rFonts w:ascii="Cambria" w:hAnsi="Cambria" w:cs="Calibri"/>
              </w:rPr>
              <w:t xml:space="preserve"> </w:t>
            </w:r>
            <w:proofErr w:type="spellStart"/>
            <w:r w:rsidRPr="00DF4CE5">
              <w:rPr>
                <w:rFonts w:ascii="Cambria" w:hAnsi="Cambria" w:cs="Calibri"/>
              </w:rPr>
              <w:t>pristupe</w:t>
            </w:r>
            <w:proofErr w:type="spellEnd"/>
            <w:r w:rsidRPr="00DF4CE5">
              <w:rPr>
                <w:rFonts w:ascii="Cambria" w:hAnsi="Cambria" w:cs="Calibri"/>
              </w:rPr>
              <w:t xml:space="preserve"> </w:t>
            </w:r>
            <w:proofErr w:type="spellStart"/>
            <w:r w:rsidRPr="00DF4CE5">
              <w:rPr>
                <w:rFonts w:ascii="Cambria" w:hAnsi="Cambria" w:cs="Calibri"/>
              </w:rPr>
              <w:t>učenju</w:t>
            </w:r>
            <w:proofErr w:type="spellEnd"/>
            <w:r w:rsidRPr="00DF4CE5">
              <w:rPr>
                <w:rFonts w:ascii="Cambria" w:hAnsi="Cambria" w:cs="Calibri"/>
              </w:rPr>
              <w:t xml:space="preserve"> </w:t>
            </w:r>
            <w:proofErr w:type="spellStart"/>
            <w:r w:rsidRPr="00DF4CE5">
              <w:rPr>
                <w:rFonts w:ascii="Cambria" w:hAnsi="Cambria" w:cs="Calibri"/>
              </w:rPr>
              <w:t>i</w:t>
            </w:r>
            <w:proofErr w:type="spellEnd"/>
            <w:r w:rsidRPr="00DF4CE5">
              <w:rPr>
                <w:rFonts w:ascii="Cambria" w:hAnsi="Cambria" w:cs="Calibri"/>
              </w:rPr>
              <w:t xml:space="preserve"> </w:t>
            </w:r>
            <w:proofErr w:type="spellStart"/>
            <w:r w:rsidRPr="00DF4CE5">
              <w:rPr>
                <w:rFonts w:ascii="Cambria" w:hAnsi="Cambria" w:cs="Calibri"/>
              </w:rPr>
              <w:t>poučavanju</w:t>
            </w:r>
            <w:proofErr w:type="spellEnd"/>
            <w:r w:rsidRPr="00DF4CE5">
              <w:rPr>
                <w:rFonts w:ascii="Cambria" w:hAnsi="Cambria" w:cs="Calibri"/>
              </w:rPr>
              <w:t xml:space="preserve"> </w:t>
            </w:r>
            <w:proofErr w:type="spellStart"/>
            <w:r w:rsidRPr="00DF4CE5">
              <w:rPr>
                <w:rFonts w:ascii="Cambria" w:hAnsi="Cambria" w:cs="Calibri"/>
              </w:rPr>
              <w:t>stranih</w:t>
            </w:r>
            <w:proofErr w:type="spellEnd"/>
            <w:r w:rsidRPr="00DF4CE5">
              <w:rPr>
                <w:rFonts w:ascii="Cambria" w:hAnsi="Cambria" w:cs="Calibri"/>
              </w:rPr>
              <w:t xml:space="preserve"> </w:t>
            </w:r>
            <w:proofErr w:type="spellStart"/>
            <w:r w:rsidRPr="00DF4CE5">
              <w:rPr>
                <w:rFonts w:ascii="Cambria" w:hAnsi="Cambria" w:cs="Calibri"/>
              </w:rPr>
              <w:t>jezika</w:t>
            </w:r>
            <w:proofErr w:type="spellEnd"/>
            <w:r w:rsidRPr="00DF4CE5">
              <w:rPr>
                <w:rFonts w:ascii="Cambria" w:hAnsi="Cambria" w:cs="Calibri"/>
              </w:rPr>
              <w:t xml:space="preserve"> s </w:t>
            </w:r>
            <w:proofErr w:type="spellStart"/>
            <w:r w:rsidRPr="00DF4CE5">
              <w:rPr>
                <w:rFonts w:ascii="Cambria" w:hAnsi="Cambria" w:cs="Calibri"/>
              </w:rPr>
              <w:t>posebnim</w:t>
            </w:r>
            <w:proofErr w:type="spellEnd"/>
            <w:r w:rsidRPr="00DF4CE5">
              <w:rPr>
                <w:rFonts w:ascii="Cambria" w:hAnsi="Cambria" w:cs="Calibri"/>
              </w:rPr>
              <w:t xml:space="preserve"> </w:t>
            </w:r>
            <w:proofErr w:type="spellStart"/>
            <w:r w:rsidRPr="00DF4CE5">
              <w:rPr>
                <w:rFonts w:ascii="Cambria" w:hAnsi="Cambria" w:cs="Calibri"/>
              </w:rPr>
              <w:t>osvrtom</w:t>
            </w:r>
            <w:proofErr w:type="spellEnd"/>
            <w:r w:rsidRPr="00DF4CE5">
              <w:rPr>
                <w:rFonts w:ascii="Cambria" w:hAnsi="Cambria" w:cs="Calibri"/>
              </w:rPr>
              <w:t xml:space="preserve"> </w:t>
            </w:r>
            <w:proofErr w:type="spellStart"/>
            <w:r w:rsidRPr="00DF4CE5">
              <w:rPr>
                <w:rFonts w:ascii="Cambria" w:hAnsi="Cambria" w:cs="Calibri"/>
              </w:rPr>
              <w:t>na</w:t>
            </w:r>
            <w:proofErr w:type="spellEnd"/>
            <w:r w:rsidRPr="00DF4CE5">
              <w:rPr>
                <w:rFonts w:ascii="Cambria" w:hAnsi="Cambria" w:cs="Calibri"/>
              </w:rPr>
              <w:t xml:space="preserve"> </w:t>
            </w:r>
            <w:proofErr w:type="spellStart"/>
            <w:r w:rsidRPr="00DF4CE5">
              <w:rPr>
                <w:rFonts w:ascii="Cambria" w:hAnsi="Cambria" w:cs="Calibri"/>
              </w:rPr>
              <w:t>engleski</w:t>
            </w:r>
            <w:proofErr w:type="spellEnd"/>
            <w:r w:rsidRPr="00DF4CE5">
              <w:rPr>
                <w:rFonts w:ascii="Cambria" w:hAnsi="Cambria" w:cs="Calibri"/>
              </w:rPr>
              <w:t xml:space="preserve"> </w:t>
            </w:r>
            <w:proofErr w:type="spellStart"/>
            <w:r w:rsidRPr="00DF4CE5">
              <w:rPr>
                <w:rFonts w:ascii="Cambria" w:hAnsi="Cambria" w:cs="Calibri"/>
              </w:rPr>
              <w:t>jezik</w:t>
            </w:r>
            <w:proofErr w:type="spellEnd"/>
            <w:r w:rsidRPr="00DF4CE5">
              <w:rPr>
                <w:rFonts w:ascii="Cambria" w:hAnsi="Cambria" w:cs="Calibri"/>
              </w:rPr>
              <w:t>.</w:t>
            </w:r>
          </w:p>
          <w:p w14:paraId="1F8E9A81" w14:textId="322D37DC" w:rsidR="007A75FD" w:rsidRPr="00DF4CE5" w:rsidRDefault="007A75FD" w:rsidP="007A75FD">
            <w:pPr>
              <w:spacing w:after="0"/>
              <w:rPr>
                <w:rFonts w:ascii="Cambria" w:hAnsi="Cambria" w:cs="Calibri"/>
                <w:lang w:val="it-IT"/>
              </w:rPr>
            </w:pPr>
            <w:r w:rsidRPr="00DF4CE5">
              <w:rPr>
                <w:rFonts w:ascii="Cambria" w:hAnsi="Cambria" w:cs="Calibri"/>
                <w:lang w:val="it-IT"/>
              </w:rPr>
              <w:t xml:space="preserve">3. </w:t>
            </w:r>
            <w:proofErr w:type="spellStart"/>
            <w:r w:rsidRPr="00DF4CE5">
              <w:rPr>
                <w:rFonts w:ascii="Cambria" w:hAnsi="Cambria" w:cs="Calibri"/>
                <w:lang w:val="it-IT"/>
              </w:rPr>
              <w:t>klasificirati</w:t>
            </w:r>
            <w:proofErr w:type="spellEnd"/>
            <w:r w:rsidRPr="00DF4CE5">
              <w:rPr>
                <w:rFonts w:ascii="Cambria" w:hAnsi="Cambria" w:cs="Calibri"/>
                <w:lang w:val="it-IT"/>
              </w:rPr>
              <w:t xml:space="preserve"> </w:t>
            </w:r>
            <w:proofErr w:type="spellStart"/>
            <w:r w:rsidRPr="00DF4CE5">
              <w:rPr>
                <w:rFonts w:ascii="Cambria" w:hAnsi="Cambria" w:cs="Calibri"/>
                <w:lang w:val="it-IT"/>
              </w:rPr>
              <w:t>strategije</w:t>
            </w:r>
            <w:proofErr w:type="spellEnd"/>
            <w:r w:rsidRPr="00DF4CE5">
              <w:rPr>
                <w:rFonts w:ascii="Cambria" w:hAnsi="Cambria" w:cs="Calibri"/>
                <w:lang w:val="it-IT"/>
              </w:rPr>
              <w:t xml:space="preserve"> </w:t>
            </w:r>
            <w:proofErr w:type="spellStart"/>
            <w:r w:rsidRPr="00DF4CE5">
              <w:rPr>
                <w:rFonts w:ascii="Cambria" w:hAnsi="Cambria" w:cs="Calibri"/>
                <w:lang w:val="it-IT"/>
              </w:rPr>
              <w:t>učenja</w:t>
            </w:r>
            <w:proofErr w:type="spellEnd"/>
            <w:r w:rsidRPr="00DF4CE5">
              <w:rPr>
                <w:rFonts w:ascii="Cambria" w:hAnsi="Cambria" w:cs="Calibri"/>
                <w:lang w:val="it-IT"/>
              </w:rPr>
              <w:t xml:space="preserve"> i </w:t>
            </w:r>
            <w:proofErr w:type="spellStart"/>
            <w:r w:rsidRPr="00DF4CE5">
              <w:rPr>
                <w:rFonts w:ascii="Cambria" w:hAnsi="Cambria" w:cs="Calibri"/>
                <w:lang w:val="it-IT"/>
              </w:rPr>
              <w:t>poučavanja</w:t>
            </w:r>
            <w:proofErr w:type="spellEnd"/>
            <w:r w:rsidRPr="00DF4CE5">
              <w:rPr>
                <w:rFonts w:ascii="Cambria" w:hAnsi="Cambria" w:cs="Calibri"/>
                <w:lang w:val="it-IT"/>
              </w:rPr>
              <w:t xml:space="preserve"> prema </w:t>
            </w:r>
            <w:proofErr w:type="spellStart"/>
            <w:r w:rsidRPr="00DF4CE5">
              <w:rPr>
                <w:rFonts w:ascii="Cambria" w:hAnsi="Cambria" w:cs="Calibri"/>
                <w:lang w:val="it-IT"/>
              </w:rPr>
              <w:t>podjelama</w:t>
            </w:r>
            <w:proofErr w:type="spellEnd"/>
          </w:p>
          <w:p w14:paraId="3CCA110B" w14:textId="77777777" w:rsidR="007A75FD" w:rsidRPr="00DF4CE5" w:rsidRDefault="007A75FD" w:rsidP="007A75FD">
            <w:pPr>
              <w:spacing w:after="0"/>
              <w:rPr>
                <w:rFonts w:ascii="Cambria" w:hAnsi="Cambria" w:cs="Calibri"/>
                <w:lang w:val="it-IT"/>
              </w:rPr>
            </w:pPr>
            <w:r w:rsidRPr="00DF4CE5">
              <w:rPr>
                <w:rFonts w:ascii="Cambria" w:hAnsi="Cambria" w:cs="Calibri"/>
                <w:lang w:val="it-IT"/>
              </w:rPr>
              <w:t xml:space="preserve">4. </w:t>
            </w:r>
            <w:proofErr w:type="spellStart"/>
            <w:r w:rsidRPr="00DF4CE5">
              <w:rPr>
                <w:rFonts w:ascii="Cambria" w:hAnsi="Cambria" w:cs="Calibri"/>
                <w:lang w:val="it-IT"/>
              </w:rPr>
              <w:t>analizirati</w:t>
            </w:r>
            <w:proofErr w:type="spellEnd"/>
            <w:r w:rsidRPr="00DF4CE5">
              <w:rPr>
                <w:rFonts w:ascii="Cambria" w:hAnsi="Cambria" w:cs="Calibri"/>
                <w:lang w:val="it-IT"/>
              </w:rPr>
              <w:t xml:space="preserve"> </w:t>
            </w:r>
            <w:proofErr w:type="spellStart"/>
            <w:r w:rsidRPr="00DF4CE5">
              <w:rPr>
                <w:rFonts w:ascii="Cambria" w:hAnsi="Cambria" w:cs="Calibri"/>
                <w:lang w:val="it-IT"/>
              </w:rPr>
              <w:t>osobine</w:t>
            </w:r>
            <w:proofErr w:type="spellEnd"/>
            <w:r w:rsidRPr="00DF4CE5">
              <w:rPr>
                <w:rFonts w:ascii="Cambria" w:hAnsi="Cambria" w:cs="Calibri"/>
                <w:lang w:val="it-IT"/>
              </w:rPr>
              <w:t xml:space="preserve"> </w:t>
            </w:r>
            <w:proofErr w:type="spellStart"/>
            <w:r w:rsidRPr="00DF4CE5">
              <w:rPr>
                <w:rFonts w:ascii="Cambria" w:hAnsi="Cambria" w:cs="Calibri"/>
                <w:lang w:val="it-IT"/>
              </w:rPr>
              <w:t>ličnosti</w:t>
            </w:r>
            <w:proofErr w:type="spellEnd"/>
            <w:r w:rsidRPr="00DF4CE5">
              <w:rPr>
                <w:rFonts w:ascii="Cambria" w:hAnsi="Cambria" w:cs="Calibri"/>
                <w:lang w:val="it-IT"/>
              </w:rPr>
              <w:t xml:space="preserve"> i </w:t>
            </w:r>
            <w:proofErr w:type="spellStart"/>
            <w:r w:rsidRPr="00DF4CE5">
              <w:rPr>
                <w:rFonts w:ascii="Cambria" w:hAnsi="Cambria" w:cs="Calibri"/>
                <w:lang w:val="it-IT"/>
              </w:rPr>
              <w:t>identificirate</w:t>
            </w:r>
            <w:proofErr w:type="spellEnd"/>
            <w:r w:rsidRPr="00DF4CE5">
              <w:rPr>
                <w:rFonts w:ascii="Cambria" w:hAnsi="Cambria" w:cs="Calibri"/>
                <w:lang w:val="it-IT"/>
              </w:rPr>
              <w:t xml:space="preserve"> </w:t>
            </w:r>
            <w:proofErr w:type="spellStart"/>
            <w:r w:rsidRPr="00DF4CE5">
              <w:rPr>
                <w:rFonts w:ascii="Cambria" w:hAnsi="Cambria" w:cs="Calibri"/>
                <w:lang w:val="it-IT"/>
              </w:rPr>
              <w:t>različite</w:t>
            </w:r>
            <w:proofErr w:type="spellEnd"/>
            <w:r w:rsidRPr="00DF4CE5">
              <w:rPr>
                <w:rFonts w:ascii="Cambria" w:hAnsi="Cambria" w:cs="Calibri"/>
                <w:lang w:val="it-IT"/>
              </w:rPr>
              <w:t xml:space="preserve"> </w:t>
            </w:r>
            <w:proofErr w:type="spellStart"/>
            <w:r w:rsidRPr="00DF4CE5">
              <w:rPr>
                <w:rFonts w:ascii="Cambria" w:hAnsi="Cambria" w:cs="Calibri"/>
                <w:lang w:val="it-IT"/>
              </w:rPr>
              <w:t>vrste</w:t>
            </w:r>
            <w:proofErr w:type="spellEnd"/>
            <w:r w:rsidRPr="00DF4CE5">
              <w:rPr>
                <w:rFonts w:ascii="Cambria" w:hAnsi="Cambria" w:cs="Calibri"/>
                <w:lang w:val="it-IT"/>
              </w:rPr>
              <w:t xml:space="preserve"> </w:t>
            </w:r>
            <w:proofErr w:type="spellStart"/>
            <w:r w:rsidRPr="00DF4CE5">
              <w:rPr>
                <w:rFonts w:ascii="Cambria" w:hAnsi="Cambria" w:cs="Calibri"/>
                <w:lang w:val="it-IT"/>
              </w:rPr>
              <w:t>inteligencija</w:t>
            </w:r>
            <w:proofErr w:type="spellEnd"/>
          </w:p>
          <w:p w14:paraId="2EFCA618" w14:textId="6345835B" w:rsidR="007A75FD" w:rsidRPr="00DF4CE5" w:rsidRDefault="007A75FD" w:rsidP="007A75FD">
            <w:pPr>
              <w:spacing w:after="0"/>
              <w:rPr>
                <w:rFonts w:ascii="Cambria" w:hAnsi="Cambria" w:cs="Calibri"/>
                <w:lang w:val="it-IT"/>
              </w:rPr>
            </w:pPr>
            <w:r w:rsidRPr="00DF4CE5">
              <w:rPr>
                <w:rFonts w:ascii="Cambria" w:hAnsi="Cambria" w:cs="Calibri"/>
                <w:lang w:val="it-IT"/>
              </w:rPr>
              <w:t xml:space="preserve">5. </w:t>
            </w:r>
            <w:proofErr w:type="spellStart"/>
            <w:r w:rsidR="00A2411D">
              <w:rPr>
                <w:rFonts w:ascii="Cambria" w:hAnsi="Cambria" w:cs="Calibri"/>
                <w:lang w:val="it-IT"/>
              </w:rPr>
              <w:t>opisati</w:t>
            </w:r>
            <w:proofErr w:type="spellEnd"/>
            <w:r w:rsidR="00A2411D">
              <w:rPr>
                <w:rFonts w:ascii="Cambria" w:hAnsi="Cambria" w:cs="Calibri"/>
                <w:lang w:val="it-IT"/>
              </w:rPr>
              <w:t xml:space="preserve"> </w:t>
            </w:r>
            <w:proofErr w:type="spellStart"/>
            <w:r w:rsidRPr="00DF4CE5">
              <w:rPr>
                <w:rFonts w:ascii="Cambria" w:hAnsi="Cambria" w:cs="Calibri"/>
                <w:lang w:val="it-IT"/>
              </w:rPr>
              <w:t>podjelu</w:t>
            </w:r>
            <w:proofErr w:type="spellEnd"/>
            <w:r w:rsidRPr="00DF4CE5">
              <w:rPr>
                <w:rFonts w:ascii="Cambria" w:hAnsi="Cambria" w:cs="Calibri"/>
                <w:lang w:val="it-IT"/>
              </w:rPr>
              <w:t xml:space="preserve"> </w:t>
            </w:r>
            <w:proofErr w:type="spellStart"/>
            <w:r w:rsidRPr="00DF4CE5">
              <w:rPr>
                <w:rFonts w:ascii="Cambria" w:hAnsi="Cambria" w:cs="Calibri"/>
                <w:lang w:val="it-IT"/>
              </w:rPr>
              <w:t>kognitivnih</w:t>
            </w:r>
            <w:proofErr w:type="spellEnd"/>
            <w:r w:rsidRPr="00DF4CE5">
              <w:rPr>
                <w:rFonts w:ascii="Cambria" w:hAnsi="Cambria" w:cs="Calibri"/>
                <w:lang w:val="it-IT"/>
              </w:rPr>
              <w:t xml:space="preserve">, </w:t>
            </w:r>
            <w:proofErr w:type="spellStart"/>
            <w:r w:rsidRPr="00DF4CE5">
              <w:rPr>
                <w:rFonts w:ascii="Cambria" w:hAnsi="Cambria" w:cs="Calibri"/>
                <w:lang w:val="it-IT"/>
              </w:rPr>
              <w:t>afektivnih</w:t>
            </w:r>
            <w:proofErr w:type="spellEnd"/>
            <w:r w:rsidRPr="00DF4CE5">
              <w:rPr>
                <w:rFonts w:ascii="Cambria" w:hAnsi="Cambria" w:cs="Calibri"/>
                <w:lang w:val="it-IT"/>
              </w:rPr>
              <w:t xml:space="preserve"> i </w:t>
            </w:r>
            <w:proofErr w:type="spellStart"/>
            <w:r w:rsidRPr="00DF4CE5">
              <w:rPr>
                <w:rFonts w:ascii="Cambria" w:hAnsi="Cambria" w:cs="Calibri"/>
                <w:lang w:val="it-IT"/>
              </w:rPr>
              <w:t>psihomotornih</w:t>
            </w:r>
            <w:proofErr w:type="spellEnd"/>
            <w:r w:rsidRPr="00DF4CE5">
              <w:rPr>
                <w:rFonts w:ascii="Cambria" w:hAnsi="Cambria" w:cs="Calibri"/>
                <w:lang w:val="it-IT"/>
              </w:rPr>
              <w:t xml:space="preserve"> </w:t>
            </w:r>
            <w:proofErr w:type="spellStart"/>
            <w:r w:rsidRPr="00DF4CE5">
              <w:rPr>
                <w:rFonts w:ascii="Cambria" w:hAnsi="Cambria" w:cs="Calibri"/>
                <w:lang w:val="it-IT"/>
              </w:rPr>
              <w:t>razina</w:t>
            </w:r>
            <w:proofErr w:type="spellEnd"/>
            <w:r w:rsidRPr="00DF4CE5">
              <w:rPr>
                <w:rFonts w:ascii="Cambria" w:hAnsi="Cambria" w:cs="Calibri"/>
                <w:lang w:val="it-IT"/>
              </w:rPr>
              <w:t xml:space="preserve"> </w:t>
            </w:r>
            <w:proofErr w:type="spellStart"/>
            <w:r w:rsidRPr="00DF4CE5">
              <w:rPr>
                <w:rFonts w:ascii="Cambria" w:hAnsi="Cambria" w:cs="Calibri"/>
                <w:lang w:val="it-IT"/>
              </w:rPr>
              <w:t>znanja</w:t>
            </w:r>
            <w:proofErr w:type="spellEnd"/>
          </w:p>
          <w:p w14:paraId="2D7CAB0E" w14:textId="24ED9F15" w:rsidR="007A75FD" w:rsidRPr="00DF4CE5" w:rsidRDefault="007A75FD" w:rsidP="007A75FD">
            <w:pPr>
              <w:spacing w:after="0"/>
              <w:rPr>
                <w:rFonts w:ascii="Cambria" w:hAnsi="Cambria" w:cs="Calibri"/>
                <w:lang w:val="it-IT"/>
              </w:rPr>
            </w:pPr>
            <w:r w:rsidRPr="00DF4CE5">
              <w:rPr>
                <w:rFonts w:ascii="Cambria" w:hAnsi="Cambria" w:cs="Calibri"/>
                <w:lang w:val="it-IT"/>
              </w:rPr>
              <w:t xml:space="preserve">6. </w:t>
            </w:r>
            <w:proofErr w:type="spellStart"/>
            <w:r w:rsidR="00A2411D">
              <w:rPr>
                <w:rFonts w:ascii="Cambria" w:hAnsi="Cambria" w:cs="Calibri"/>
                <w:lang w:val="it-IT"/>
              </w:rPr>
              <w:t>osmisliti</w:t>
            </w:r>
            <w:proofErr w:type="spellEnd"/>
            <w:r w:rsidR="00A2411D">
              <w:rPr>
                <w:rFonts w:ascii="Cambria" w:hAnsi="Cambria" w:cs="Calibri"/>
                <w:lang w:val="it-IT"/>
              </w:rPr>
              <w:t xml:space="preserve"> </w:t>
            </w:r>
            <w:proofErr w:type="spellStart"/>
            <w:r w:rsidRPr="00DF4CE5">
              <w:rPr>
                <w:rFonts w:ascii="Cambria" w:hAnsi="Cambria" w:cs="Calibri"/>
                <w:lang w:val="it-IT"/>
              </w:rPr>
              <w:t>zadatke</w:t>
            </w:r>
            <w:proofErr w:type="spellEnd"/>
            <w:r w:rsidRPr="00DF4CE5">
              <w:rPr>
                <w:rFonts w:ascii="Cambria" w:hAnsi="Cambria" w:cs="Calibri"/>
                <w:lang w:val="it-IT"/>
              </w:rPr>
              <w:t xml:space="preserve"> za </w:t>
            </w:r>
            <w:proofErr w:type="spellStart"/>
            <w:r w:rsidRPr="00DF4CE5">
              <w:rPr>
                <w:rFonts w:ascii="Cambria" w:hAnsi="Cambria" w:cs="Calibri"/>
                <w:lang w:val="it-IT"/>
              </w:rPr>
              <w:t>uvježbavanje</w:t>
            </w:r>
            <w:proofErr w:type="spellEnd"/>
            <w:r w:rsidRPr="00DF4CE5">
              <w:rPr>
                <w:rFonts w:ascii="Cambria" w:hAnsi="Cambria" w:cs="Calibri"/>
                <w:lang w:val="it-IT"/>
              </w:rPr>
              <w:t xml:space="preserve"> </w:t>
            </w:r>
            <w:proofErr w:type="spellStart"/>
            <w:r w:rsidRPr="00DF4CE5">
              <w:rPr>
                <w:rFonts w:ascii="Cambria" w:hAnsi="Cambria" w:cs="Calibri"/>
                <w:lang w:val="it-IT"/>
              </w:rPr>
              <w:t>četiriju</w:t>
            </w:r>
            <w:proofErr w:type="spellEnd"/>
            <w:r w:rsidRPr="00DF4CE5">
              <w:rPr>
                <w:rFonts w:ascii="Cambria" w:hAnsi="Cambria" w:cs="Calibri"/>
                <w:lang w:val="it-IT"/>
              </w:rPr>
              <w:t xml:space="preserve"> </w:t>
            </w:r>
            <w:proofErr w:type="spellStart"/>
            <w:r w:rsidRPr="00DF4CE5">
              <w:rPr>
                <w:rFonts w:ascii="Cambria" w:hAnsi="Cambria" w:cs="Calibri"/>
                <w:lang w:val="it-IT"/>
              </w:rPr>
              <w:t>jezičnih</w:t>
            </w:r>
            <w:proofErr w:type="spellEnd"/>
            <w:r w:rsidRPr="00DF4CE5">
              <w:rPr>
                <w:rFonts w:ascii="Cambria" w:hAnsi="Cambria" w:cs="Calibri"/>
                <w:lang w:val="it-IT"/>
              </w:rPr>
              <w:t xml:space="preserve"> </w:t>
            </w:r>
            <w:proofErr w:type="spellStart"/>
            <w:r w:rsidRPr="00DF4CE5">
              <w:rPr>
                <w:rFonts w:ascii="Cambria" w:hAnsi="Cambria" w:cs="Calibri"/>
                <w:lang w:val="it-IT"/>
              </w:rPr>
              <w:t>vještina</w:t>
            </w:r>
            <w:proofErr w:type="spellEnd"/>
          </w:p>
        </w:tc>
      </w:tr>
      <w:tr w:rsidR="007A75FD" w:rsidRPr="00D0399C" w14:paraId="5A8D2F90" w14:textId="77777777" w:rsidTr="00891E8C">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7BB19987" w14:textId="77777777" w:rsidR="007A75FD" w:rsidRPr="00DF4CE5" w:rsidRDefault="007A75FD" w:rsidP="007A75FD">
            <w:pPr>
              <w:spacing w:after="0"/>
              <w:rPr>
                <w:rFonts w:ascii="Cambria" w:hAnsi="Cambria" w:cs="Calibri"/>
              </w:rPr>
            </w:pPr>
            <w:proofErr w:type="spellStart"/>
            <w:r w:rsidRPr="00DF4CE5">
              <w:rPr>
                <w:rFonts w:ascii="Cambria" w:hAnsi="Cambria" w:cs="Calibri"/>
              </w:rPr>
              <w:t>Sadržaj</w:t>
            </w:r>
            <w:proofErr w:type="spellEnd"/>
            <w:r w:rsidRPr="00DF4CE5">
              <w:rPr>
                <w:rFonts w:ascii="Cambria" w:hAnsi="Cambria" w:cs="Calibri"/>
              </w:rPr>
              <w:t xml:space="preserve"> </w:t>
            </w:r>
            <w:proofErr w:type="spellStart"/>
            <w:r w:rsidRPr="00DF4CE5">
              <w:rPr>
                <w:rFonts w:ascii="Cambria" w:hAnsi="Cambria" w:cs="Calibri"/>
              </w:rPr>
              <w:t>kolegija</w:t>
            </w:r>
            <w:proofErr w:type="spellEnd"/>
          </w:p>
        </w:tc>
        <w:tc>
          <w:tcPr>
            <w:tcW w:w="6516"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75BCC32" w14:textId="4B76FBEC" w:rsidR="007A75FD" w:rsidRPr="00DF4CE5" w:rsidRDefault="007A75FD" w:rsidP="007A75FD">
            <w:pPr>
              <w:spacing w:before="20" w:after="0"/>
              <w:rPr>
                <w:rFonts w:ascii="Cambria" w:hAnsi="Cambria" w:cs="Calibri"/>
              </w:rPr>
            </w:pPr>
            <w:r w:rsidRPr="00DF4CE5">
              <w:rPr>
                <w:rFonts w:ascii="Cambria" w:hAnsi="Cambria" w:cs="Calibri"/>
              </w:rPr>
              <w:t>1.</w:t>
            </w:r>
            <w:r w:rsidR="00B75C29" w:rsidRPr="00DF4CE5">
              <w:rPr>
                <w:rFonts w:ascii="Cambria" w:hAnsi="Cambria" w:cs="Calibri"/>
              </w:rPr>
              <w:t xml:space="preserve"> </w:t>
            </w:r>
            <w:proofErr w:type="spellStart"/>
            <w:r w:rsidRPr="00DF4CE5">
              <w:rPr>
                <w:rFonts w:ascii="Cambria" w:hAnsi="Cambria" w:cs="Calibri"/>
              </w:rPr>
              <w:t>Teorije</w:t>
            </w:r>
            <w:proofErr w:type="spellEnd"/>
            <w:r w:rsidRPr="00DF4CE5">
              <w:rPr>
                <w:rFonts w:ascii="Cambria" w:hAnsi="Cambria" w:cs="Calibri"/>
              </w:rPr>
              <w:t xml:space="preserve"> </w:t>
            </w:r>
            <w:proofErr w:type="spellStart"/>
            <w:r w:rsidRPr="00DF4CE5">
              <w:rPr>
                <w:rFonts w:ascii="Cambria" w:hAnsi="Cambria" w:cs="Calibri"/>
              </w:rPr>
              <w:t>usvajanja</w:t>
            </w:r>
            <w:proofErr w:type="spellEnd"/>
            <w:r w:rsidRPr="00DF4CE5">
              <w:rPr>
                <w:rFonts w:ascii="Cambria" w:hAnsi="Cambria" w:cs="Calibri"/>
              </w:rPr>
              <w:t xml:space="preserve"> </w:t>
            </w:r>
            <w:proofErr w:type="spellStart"/>
            <w:r w:rsidRPr="00DF4CE5">
              <w:rPr>
                <w:rFonts w:ascii="Cambria" w:hAnsi="Cambria" w:cs="Calibri"/>
              </w:rPr>
              <w:t>jezika</w:t>
            </w:r>
            <w:proofErr w:type="spellEnd"/>
          </w:p>
          <w:p w14:paraId="47B5999E" w14:textId="2EAB6154" w:rsidR="007A75FD" w:rsidRPr="00DF4CE5" w:rsidRDefault="007A75FD" w:rsidP="007A75FD">
            <w:pPr>
              <w:spacing w:before="20" w:after="0"/>
              <w:rPr>
                <w:rFonts w:ascii="Cambria" w:hAnsi="Cambria" w:cs="Calibri"/>
              </w:rPr>
            </w:pPr>
            <w:r w:rsidRPr="00DF4CE5">
              <w:rPr>
                <w:rFonts w:ascii="Cambria" w:hAnsi="Cambria" w:cs="Calibri"/>
              </w:rPr>
              <w:lastRenderedPageBreak/>
              <w:t>2.</w:t>
            </w:r>
            <w:r w:rsidR="00B75C29" w:rsidRPr="00DF4CE5">
              <w:rPr>
                <w:rFonts w:ascii="Cambria" w:hAnsi="Cambria" w:cs="Calibri"/>
              </w:rPr>
              <w:t xml:space="preserve"> </w:t>
            </w:r>
            <w:proofErr w:type="spellStart"/>
            <w:r w:rsidRPr="00DF4CE5">
              <w:rPr>
                <w:rFonts w:ascii="Cambria" w:hAnsi="Cambria" w:cs="Calibri"/>
              </w:rPr>
              <w:t>Teorijska</w:t>
            </w:r>
            <w:proofErr w:type="spellEnd"/>
            <w:r w:rsidRPr="00DF4CE5">
              <w:rPr>
                <w:rFonts w:ascii="Cambria" w:hAnsi="Cambria" w:cs="Calibri"/>
              </w:rPr>
              <w:t xml:space="preserve"> </w:t>
            </w:r>
            <w:proofErr w:type="spellStart"/>
            <w:r w:rsidRPr="00DF4CE5">
              <w:rPr>
                <w:rFonts w:ascii="Cambria" w:hAnsi="Cambria" w:cs="Calibri"/>
              </w:rPr>
              <w:t>podloga</w:t>
            </w:r>
            <w:proofErr w:type="spellEnd"/>
            <w:r w:rsidRPr="00DF4CE5">
              <w:rPr>
                <w:rFonts w:ascii="Cambria" w:hAnsi="Cambria" w:cs="Calibri"/>
              </w:rPr>
              <w:t xml:space="preserve"> </w:t>
            </w:r>
            <w:proofErr w:type="spellStart"/>
            <w:r w:rsidRPr="00DF4CE5">
              <w:rPr>
                <w:rFonts w:ascii="Cambria" w:hAnsi="Cambria" w:cs="Calibri"/>
              </w:rPr>
              <w:t>ranog</w:t>
            </w:r>
            <w:proofErr w:type="spellEnd"/>
            <w:r w:rsidRPr="00DF4CE5">
              <w:rPr>
                <w:rFonts w:ascii="Cambria" w:hAnsi="Cambria" w:cs="Calibri"/>
              </w:rPr>
              <w:t xml:space="preserve"> </w:t>
            </w:r>
            <w:proofErr w:type="spellStart"/>
            <w:r w:rsidRPr="00DF4CE5">
              <w:rPr>
                <w:rFonts w:ascii="Cambria" w:hAnsi="Cambria" w:cs="Calibri"/>
              </w:rPr>
              <w:t>učenja</w:t>
            </w:r>
            <w:proofErr w:type="spellEnd"/>
            <w:r w:rsidRPr="00DF4CE5">
              <w:rPr>
                <w:rFonts w:ascii="Cambria" w:hAnsi="Cambria" w:cs="Calibri"/>
              </w:rPr>
              <w:t xml:space="preserve"> </w:t>
            </w:r>
            <w:proofErr w:type="spellStart"/>
            <w:r w:rsidRPr="00DF4CE5">
              <w:rPr>
                <w:rFonts w:ascii="Cambria" w:hAnsi="Cambria" w:cs="Calibri"/>
              </w:rPr>
              <w:t>engleskog</w:t>
            </w:r>
            <w:proofErr w:type="spellEnd"/>
            <w:r w:rsidRPr="00DF4CE5">
              <w:rPr>
                <w:rFonts w:ascii="Cambria" w:hAnsi="Cambria" w:cs="Calibri"/>
              </w:rPr>
              <w:t xml:space="preserve"> </w:t>
            </w:r>
            <w:proofErr w:type="spellStart"/>
            <w:r w:rsidRPr="00DF4CE5">
              <w:rPr>
                <w:rFonts w:ascii="Cambria" w:hAnsi="Cambria" w:cs="Calibri"/>
              </w:rPr>
              <w:t>jezika</w:t>
            </w:r>
            <w:proofErr w:type="spellEnd"/>
            <w:r w:rsidRPr="00DF4CE5">
              <w:rPr>
                <w:rFonts w:ascii="Cambria" w:hAnsi="Cambria" w:cs="Calibri"/>
              </w:rPr>
              <w:t xml:space="preserve"> u </w:t>
            </w:r>
            <w:proofErr w:type="spellStart"/>
            <w:r w:rsidRPr="00DF4CE5">
              <w:rPr>
                <w:rFonts w:ascii="Cambria" w:hAnsi="Cambria" w:cs="Calibri"/>
              </w:rPr>
              <w:t>Republici</w:t>
            </w:r>
            <w:proofErr w:type="spellEnd"/>
            <w:r w:rsidRPr="00DF4CE5">
              <w:rPr>
                <w:rFonts w:ascii="Cambria" w:hAnsi="Cambria" w:cs="Calibri"/>
              </w:rPr>
              <w:t xml:space="preserve"> </w:t>
            </w:r>
            <w:proofErr w:type="spellStart"/>
            <w:r w:rsidRPr="00DF4CE5">
              <w:rPr>
                <w:rFonts w:ascii="Cambria" w:hAnsi="Cambria" w:cs="Calibri"/>
              </w:rPr>
              <w:t>Hrvatskoj</w:t>
            </w:r>
            <w:proofErr w:type="spellEnd"/>
          </w:p>
          <w:p w14:paraId="1CD31B1E" w14:textId="7FC1B020" w:rsidR="007A75FD" w:rsidRPr="00DF4CE5" w:rsidRDefault="007A75FD" w:rsidP="007A75FD">
            <w:pPr>
              <w:spacing w:before="20" w:after="0"/>
              <w:rPr>
                <w:rFonts w:ascii="Cambria" w:hAnsi="Cambria" w:cs="Calibri"/>
              </w:rPr>
            </w:pPr>
            <w:r w:rsidRPr="00DF4CE5">
              <w:rPr>
                <w:rFonts w:ascii="Cambria" w:hAnsi="Cambria" w:cs="Calibri"/>
              </w:rPr>
              <w:t>3.</w:t>
            </w:r>
            <w:r w:rsidR="00B75C29" w:rsidRPr="00DF4CE5">
              <w:rPr>
                <w:rFonts w:ascii="Cambria" w:hAnsi="Cambria" w:cs="Calibri"/>
              </w:rPr>
              <w:t xml:space="preserve"> </w:t>
            </w:r>
            <w:proofErr w:type="spellStart"/>
            <w:r w:rsidRPr="00DF4CE5">
              <w:rPr>
                <w:rFonts w:ascii="Cambria" w:hAnsi="Cambria" w:cs="Calibri"/>
              </w:rPr>
              <w:t>Suradničko</w:t>
            </w:r>
            <w:proofErr w:type="spellEnd"/>
            <w:r w:rsidRPr="00DF4CE5">
              <w:rPr>
                <w:rFonts w:ascii="Cambria" w:hAnsi="Cambria" w:cs="Calibri"/>
              </w:rPr>
              <w:t xml:space="preserve"> </w:t>
            </w:r>
            <w:proofErr w:type="spellStart"/>
            <w:r w:rsidRPr="00DF4CE5">
              <w:rPr>
                <w:rFonts w:ascii="Cambria" w:hAnsi="Cambria" w:cs="Calibri"/>
              </w:rPr>
              <w:t>učenje</w:t>
            </w:r>
            <w:proofErr w:type="spellEnd"/>
          </w:p>
          <w:p w14:paraId="69C403C5" w14:textId="448EA8F2" w:rsidR="007A75FD" w:rsidRPr="00DF4CE5" w:rsidRDefault="007A75FD" w:rsidP="007A75FD">
            <w:pPr>
              <w:spacing w:before="20" w:after="0"/>
              <w:rPr>
                <w:rFonts w:ascii="Cambria" w:hAnsi="Cambria" w:cs="Calibri"/>
              </w:rPr>
            </w:pPr>
            <w:r w:rsidRPr="00DF4CE5">
              <w:rPr>
                <w:rFonts w:ascii="Cambria" w:hAnsi="Cambria" w:cs="Calibri"/>
              </w:rPr>
              <w:t>4.</w:t>
            </w:r>
            <w:r w:rsidR="00B75C29" w:rsidRPr="00DF4CE5">
              <w:rPr>
                <w:rFonts w:ascii="Cambria" w:hAnsi="Cambria" w:cs="Calibri"/>
              </w:rPr>
              <w:t xml:space="preserve"> </w:t>
            </w:r>
            <w:proofErr w:type="spellStart"/>
            <w:r w:rsidRPr="00DF4CE5">
              <w:rPr>
                <w:rFonts w:ascii="Cambria" w:hAnsi="Cambria" w:cs="Calibri"/>
              </w:rPr>
              <w:t>Konceptualno</w:t>
            </w:r>
            <w:proofErr w:type="spellEnd"/>
            <w:r w:rsidRPr="00DF4CE5">
              <w:rPr>
                <w:rFonts w:ascii="Cambria" w:hAnsi="Cambria" w:cs="Calibri"/>
              </w:rPr>
              <w:t xml:space="preserve"> </w:t>
            </w:r>
            <w:proofErr w:type="spellStart"/>
            <w:r w:rsidRPr="00DF4CE5">
              <w:rPr>
                <w:rFonts w:ascii="Cambria" w:hAnsi="Cambria" w:cs="Calibri"/>
              </w:rPr>
              <w:t>i</w:t>
            </w:r>
            <w:proofErr w:type="spellEnd"/>
            <w:r w:rsidRPr="00DF4CE5">
              <w:rPr>
                <w:rFonts w:ascii="Cambria" w:hAnsi="Cambria" w:cs="Calibri"/>
              </w:rPr>
              <w:t xml:space="preserve"> </w:t>
            </w:r>
            <w:proofErr w:type="spellStart"/>
            <w:r w:rsidRPr="00DF4CE5">
              <w:rPr>
                <w:rFonts w:ascii="Cambria" w:hAnsi="Cambria" w:cs="Calibri"/>
              </w:rPr>
              <w:t>terminološko</w:t>
            </w:r>
            <w:proofErr w:type="spellEnd"/>
            <w:r w:rsidRPr="00DF4CE5">
              <w:rPr>
                <w:rFonts w:ascii="Cambria" w:hAnsi="Cambria" w:cs="Calibri"/>
              </w:rPr>
              <w:t xml:space="preserve"> </w:t>
            </w:r>
            <w:proofErr w:type="spellStart"/>
            <w:r w:rsidRPr="00DF4CE5">
              <w:rPr>
                <w:rFonts w:ascii="Cambria" w:hAnsi="Cambria" w:cs="Calibri"/>
              </w:rPr>
              <w:t>razlikovanje</w:t>
            </w:r>
            <w:proofErr w:type="spellEnd"/>
            <w:r w:rsidRPr="00DF4CE5">
              <w:rPr>
                <w:rFonts w:ascii="Cambria" w:hAnsi="Cambria" w:cs="Calibri"/>
              </w:rPr>
              <w:t xml:space="preserve"> </w:t>
            </w:r>
            <w:proofErr w:type="spellStart"/>
            <w:r w:rsidRPr="00DF4CE5">
              <w:rPr>
                <w:rFonts w:ascii="Cambria" w:hAnsi="Cambria" w:cs="Calibri"/>
              </w:rPr>
              <w:t>prvog</w:t>
            </w:r>
            <w:proofErr w:type="spellEnd"/>
            <w:r w:rsidRPr="00DF4CE5">
              <w:rPr>
                <w:rFonts w:ascii="Cambria" w:hAnsi="Cambria" w:cs="Calibri"/>
              </w:rPr>
              <w:t xml:space="preserve">, </w:t>
            </w:r>
            <w:proofErr w:type="spellStart"/>
            <w:r w:rsidRPr="00DF4CE5">
              <w:rPr>
                <w:rFonts w:ascii="Cambria" w:hAnsi="Cambria" w:cs="Calibri"/>
              </w:rPr>
              <w:t>drugog</w:t>
            </w:r>
            <w:proofErr w:type="spellEnd"/>
            <w:r w:rsidRPr="00DF4CE5">
              <w:rPr>
                <w:rFonts w:ascii="Cambria" w:hAnsi="Cambria" w:cs="Calibri"/>
              </w:rPr>
              <w:t xml:space="preserve"> </w:t>
            </w:r>
            <w:proofErr w:type="spellStart"/>
            <w:r w:rsidRPr="00DF4CE5">
              <w:rPr>
                <w:rFonts w:ascii="Cambria" w:hAnsi="Cambria" w:cs="Calibri"/>
              </w:rPr>
              <w:t>i</w:t>
            </w:r>
            <w:proofErr w:type="spellEnd"/>
            <w:r w:rsidRPr="00DF4CE5">
              <w:rPr>
                <w:rFonts w:ascii="Cambria" w:hAnsi="Cambria" w:cs="Calibri"/>
              </w:rPr>
              <w:t xml:space="preserve"> </w:t>
            </w:r>
            <w:proofErr w:type="spellStart"/>
            <w:r w:rsidRPr="00DF4CE5">
              <w:rPr>
                <w:rFonts w:ascii="Cambria" w:hAnsi="Cambria" w:cs="Calibri"/>
              </w:rPr>
              <w:t>trećeg</w:t>
            </w:r>
            <w:proofErr w:type="spellEnd"/>
            <w:r w:rsidRPr="00DF4CE5">
              <w:rPr>
                <w:rFonts w:ascii="Cambria" w:hAnsi="Cambria" w:cs="Calibri"/>
              </w:rPr>
              <w:t xml:space="preserve"> </w:t>
            </w:r>
            <w:proofErr w:type="spellStart"/>
            <w:r w:rsidRPr="00DF4CE5">
              <w:rPr>
                <w:rFonts w:ascii="Cambria" w:hAnsi="Cambria" w:cs="Calibri"/>
              </w:rPr>
              <w:t>stranog</w:t>
            </w:r>
            <w:proofErr w:type="spellEnd"/>
            <w:r w:rsidRPr="00DF4CE5">
              <w:rPr>
                <w:rFonts w:ascii="Cambria" w:hAnsi="Cambria" w:cs="Calibri"/>
              </w:rPr>
              <w:t xml:space="preserve"> </w:t>
            </w:r>
            <w:proofErr w:type="spellStart"/>
            <w:r w:rsidRPr="00DF4CE5">
              <w:rPr>
                <w:rFonts w:ascii="Cambria" w:hAnsi="Cambria" w:cs="Calibri"/>
              </w:rPr>
              <w:t>jezika</w:t>
            </w:r>
            <w:proofErr w:type="spellEnd"/>
          </w:p>
          <w:p w14:paraId="1FD18D69" w14:textId="2FF4265B" w:rsidR="007A75FD" w:rsidRPr="00DF4CE5" w:rsidRDefault="007A75FD" w:rsidP="007A75FD">
            <w:pPr>
              <w:spacing w:before="20" w:after="0"/>
              <w:rPr>
                <w:rFonts w:ascii="Cambria" w:hAnsi="Cambria" w:cs="Calibri"/>
              </w:rPr>
            </w:pPr>
            <w:r w:rsidRPr="00DF4CE5">
              <w:rPr>
                <w:rFonts w:ascii="Cambria" w:hAnsi="Cambria" w:cs="Calibri"/>
              </w:rPr>
              <w:t>5.</w:t>
            </w:r>
            <w:r w:rsidR="00B75C29" w:rsidRPr="00DF4CE5">
              <w:rPr>
                <w:rFonts w:ascii="Cambria" w:hAnsi="Cambria" w:cs="Calibri"/>
              </w:rPr>
              <w:t xml:space="preserve"> </w:t>
            </w:r>
            <w:proofErr w:type="spellStart"/>
            <w:r w:rsidRPr="00DF4CE5">
              <w:rPr>
                <w:rFonts w:ascii="Cambria" w:hAnsi="Cambria" w:cs="Calibri"/>
              </w:rPr>
              <w:t>Strategije</w:t>
            </w:r>
            <w:proofErr w:type="spellEnd"/>
            <w:r w:rsidRPr="00DF4CE5">
              <w:rPr>
                <w:rFonts w:ascii="Cambria" w:hAnsi="Cambria" w:cs="Calibri"/>
              </w:rPr>
              <w:t xml:space="preserve"> </w:t>
            </w:r>
            <w:proofErr w:type="spellStart"/>
            <w:r w:rsidRPr="00DF4CE5">
              <w:rPr>
                <w:rFonts w:ascii="Cambria" w:hAnsi="Cambria" w:cs="Calibri"/>
              </w:rPr>
              <w:t>učenja</w:t>
            </w:r>
            <w:proofErr w:type="spellEnd"/>
            <w:r w:rsidRPr="00DF4CE5">
              <w:rPr>
                <w:rFonts w:ascii="Cambria" w:hAnsi="Cambria" w:cs="Calibri"/>
              </w:rPr>
              <w:t xml:space="preserve"> </w:t>
            </w:r>
            <w:proofErr w:type="spellStart"/>
            <w:r w:rsidRPr="00DF4CE5">
              <w:rPr>
                <w:rFonts w:ascii="Cambria" w:hAnsi="Cambria" w:cs="Calibri"/>
              </w:rPr>
              <w:t>stranih</w:t>
            </w:r>
            <w:proofErr w:type="spellEnd"/>
            <w:r w:rsidRPr="00DF4CE5">
              <w:rPr>
                <w:rFonts w:ascii="Cambria" w:hAnsi="Cambria" w:cs="Calibri"/>
              </w:rPr>
              <w:t xml:space="preserve"> </w:t>
            </w:r>
            <w:proofErr w:type="spellStart"/>
            <w:r w:rsidRPr="00DF4CE5">
              <w:rPr>
                <w:rFonts w:ascii="Cambria" w:hAnsi="Cambria" w:cs="Calibri"/>
              </w:rPr>
              <w:t>jezika</w:t>
            </w:r>
            <w:proofErr w:type="spellEnd"/>
          </w:p>
          <w:p w14:paraId="452ABDC0" w14:textId="44702DC0" w:rsidR="007A75FD" w:rsidRPr="00DF4CE5" w:rsidRDefault="007A75FD" w:rsidP="007A75FD">
            <w:pPr>
              <w:spacing w:before="20" w:after="0"/>
              <w:rPr>
                <w:rFonts w:ascii="Cambria" w:hAnsi="Cambria" w:cs="Calibri"/>
              </w:rPr>
            </w:pPr>
            <w:r w:rsidRPr="00DF4CE5">
              <w:rPr>
                <w:rFonts w:ascii="Cambria" w:hAnsi="Cambria" w:cs="Calibri"/>
              </w:rPr>
              <w:t>6.</w:t>
            </w:r>
            <w:r w:rsidR="00B75C29" w:rsidRPr="00DF4CE5">
              <w:rPr>
                <w:rFonts w:ascii="Cambria" w:hAnsi="Cambria" w:cs="Calibri"/>
              </w:rPr>
              <w:t xml:space="preserve"> </w:t>
            </w:r>
            <w:proofErr w:type="spellStart"/>
            <w:r w:rsidRPr="00DF4CE5">
              <w:rPr>
                <w:rFonts w:ascii="Cambria" w:hAnsi="Cambria" w:cs="Calibri"/>
              </w:rPr>
              <w:t>Strategije</w:t>
            </w:r>
            <w:proofErr w:type="spellEnd"/>
            <w:r w:rsidRPr="00DF4CE5">
              <w:rPr>
                <w:rFonts w:ascii="Cambria" w:hAnsi="Cambria" w:cs="Calibri"/>
              </w:rPr>
              <w:t xml:space="preserve"> </w:t>
            </w:r>
            <w:proofErr w:type="spellStart"/>
            <w:r w:rsidRPr="00DF4CE5">
              <w:rPr>
                <w:rFonts w:ascii="Cambria" w:hAnsi="Cambria" w:cs="Calibri"/>
              </w:rPr>
              <w:t>učenja</w:t>
            </w:r>
            <w:proofErr w:type="spellEnd"/>
            <w:r w:rsidRPr="00DF4CE5">
              <w:rPr>
                <w:rFonts w:ascii="Cambria" w:hAnsi="Cambria" w:cs="Calibri"/>
              </w:rPr>
              <w:t xml:space="preserve"> </w:t>
            </w:r>
            <w:proofErr w:type="spellStart"/>
            <w:r w:rsidRPr="00DF4CE5">
              <w:rPr>
                <w:rFonts w:ascii="Cambria" w:hAnsi="Cambria" w:cs="Calibri"/>
              </w:rPr>
              <w:t>vezane</w:t>
            </w:r>
            <w:proofErr w:type="spellEnd"/>
            <w:r w:rsidRPr="00DF4CE5">
              <w:rPr>
                <w:rFonts w:ascii="Cambria" w:hAnsi="Cambria" w:cs="Calibri"/>
              </w:rPr>
              <w:t xml:space="preserve"> za model </w:t>
            </w:r>
            <w:proofErr w:type="spellStart"/>
            <w:r w:rsidRPr="00DF4CE5">
              <w:rPr>
                <w:rFonts w:ascii="Cambria" w:hAnsi="Cambria" w:cs="Calibri"/>
              </w:rPr>
              <w:t>višestrukih</w:t>
            </w:r>
            <w:proofErr w:type="spellEnd"/>
            <w:r w:rsidRPr="00DF4CE5">
              <w:rPr>
                <w:rFonts w:ascii="Cambria" w:hAnsi="Cambria" w:cs="Calibri"/>
              </w:rPr>
              <w:t xml:space="preserve"> </w:t>
            </w:r>
            <w:proofErr w:type="spellStart"/>
            <w:r w:rsidRPr="00DF4CE5">
              <w:rPr>
                <w:rFonts w:ascii="Cambria" w:hAnsi="Cambria" w:cs="Calibri"/>
              </w:rPr>
              <w:t>inteligencija</w:t>
            </w:r>
            <w:proofErr w:type="spellEnd"/>
          </w:p>
          <w:p w14:paraId="13BE48F7" w14:textId="1E97FD89" w:rsidR="007A75FD" w:rsidRPr="00DF4CE5" w:rsidRDefault="007A75FD" w:rsidP="007A75FD">
            <w:pPr>
              <w:spacing w:before="20" w:after="0"/>
              <w:rPr>
                <w:rFonts w:ascii="Cambria" w:hAnsi="Cambria" w:cs="Calibri"/>
                <w:lang w:val="it-IT"/>
              </w:rPr>
            </w:pPr>
            <w:r w:rsidRPr="00DF4CE5">
              <w:rPr>
                <w:rFonts w:ascii="Cambria" w:hAnsi="Cambria" w:cs="Calibri"/>
                <w:lang w:val="it-IT"/>
              </w:rPr>
              <w:t>7.</w:t>
            </w:r>
            <w:r w:rsidR="00B75C29" w:rsidRPr="00DF4CE5">
              <w:rPr>
                <w:rFonts w:ascii="Cambria" w:hAnsi="Cambria" w:cs="Calibri"/>
                <w:lang w:val="it-IT"/>
              </w:rPr>
              <w:t xml:space="preserve"> </w:t>
            </w:r>
            <w:proofErr w:type="spellStart"/>
            <w:r w:rsidRPr="00DF4CE5">
              <w:rPr>
                <w:rFonts w:ascii="Cambria" w:hAnsi="Cambria" w:cs="Calibri"/>
                <w:lang w:val="it-IT"/>
              </w:rPr>
              <w:t>Vrjednovanje</w:t>
            </w:r>
            <w:proofErr w:type="spellEnd"/>
            <w:r w:rsidRPr="00DF4CE5">
              <w:rPr>
                <w:rFonts w:ascii="Cambria" w:hAnsi="Cambria" w:cs="Calibri"/>
                <w:lang w:val="it-IT"/>
              </w:rPr>
              <w:t xml:space="preserve"> u </w:t>
            </w:r>
            <w:proofErr w:type="spellStart"/>
            <w:r w:rsidRPr="00DF4CE5">
              <w:rPr>
                <w:rFonts w:ascii="Cambria" w:hAnsi="Cambria" w:cs="Calibri"/>
                <w:lang w:val="it-IT"/>
              </w:rPr>
              <w:t>nastavi</w:t>
            </w:r>
            <w:proofErr w:type="spellEnd"/>
            <w:r w:rsidRPr="00DF4CE5">
              <w:rPr>
                <w:rFonts w:ascii="Cambria" w:hAnsi="Cambria" w:cs="Calibri"/>
                <w:lang w:val="it-IT"/>
              </w:rPr>
              <w:t xml:space="preserve"> </w:t>
            </w:r>
            <w:proofErr w:type="spellStart"/>
            <w:r w:rsidRPr="00DF4CE5">
              <w:rPr>
                <w:rFonts w:ascii="Cambria" w:hAnsi="Cambria" w:cs="Calibri"/>
                <w:lang w:val="it-IT"/>
              </w:rPr>
              <w:t>stranog</w:t>
            </w:r>
            <w:proofErr w:type="spellEnd"/>
            <w:r w:rsidRPr="00DF4CE5">
              <w:rPr>
                <w:rFonts w:ascii="Cambria" w:hAnsi="Cambria" w:cs="Calibri"/>
                <w:lang w:val="it-IT"/>
              </w:rPr>
              <w:t xml:space="preserve"> </w:t>
            </w:r>
            <w:proofErr w:type="spellStart"/>
            <w:r w:rsidRPr="00DF4CE5">
              <w:rPr>
                <w:rFonts w:ascii="Cambria" w:hAnsi="Cambria" w:cs="Calibri"/>
                <w:lang w:val="it-IT"/>
              </w:rPr>
              <w:t>jezika</w:t>
            </w:r>
            <w:proofErr w:type="spellEnd"/>
          </w:p>
          <w:p w14:paraId="0601F9E2" w14:textId="47E641FE" w:rsidR="007A75FD" w:rsidRPr="00DF4CE5" w:rsidRDefault="007A75FD" w:rsidP="007A75FD">
            <w:pPr>
              <w:spacing w:before="20" w:after="0"/>
              <w:rPr>
                <w:rFonts w:ascii="Cambria" w:hAnsi="Cambria" w:cs="Calibri"/>
                <w:lang w:val="it-IT"/>
              </w:rPr>
            </w:pPr>
            <w:r w:rsidRPr="00DF4CE5">
              <w:rPr>
                <w:rFonts w:ascii="Cambria" w:hAnsi="Cambria" w:cs="Calibri"/>
                <w:lang w:val="it-IT"/>
              </w:rPr>
              <w:t>8.</w:t>
            </w:r>
            <w:r w:rsidR="00B75C29" w:rsidRPr="00DF4CE5">
              <w:rPr>
                <w:rFonts w:ascii="Cambria" w:hAnsi="Cambria" w:cs="Calibri"/>
                <w:lang w:val="it-IT"/>
              </w:rPr>
              <w:t xml:space="preserve"> </w:t>
            </w:r>
            <w:proofErr w:type="spellStart"/>
            <w:r w:rsidRPr="00DF4CE5">
              <w:rPr>
                <w:rFonts w:ascii="Cambria" w:hAnsi="Cambria" w:cs="Calibri"/>
                <w:lang w:val="it-IT"/>
              </w:rPr>
              <w:t>Bloomova</w:t>
            </w:r>
            <w:proofErr w:type="spellEnd"/>
            <w:r w:rsidRPr="00DF4CE5">
              <w:rPr>
                <w:rFonts w:ascii="Cambria" w:hAnsi="Cambria" w:cs="Calibri"/>
                <w:lang w:val="it-IT"/>
              </w:rPr>
              <w:t xml:space="preserve"> </w:t>
            </w:r>
            <w:proofErr w:type="spellStart"/>
            <w:r w:rsidRPr="00DF4CE5">
              <w:rPr>
                <w:rFonts w:ascii="Cambria" w:hAnsi="Cambria" w:cs="Calibri"/>
                <w:lang w:val="it-IT"/>
              </w:rPr>
              <w:t>taksonomija</w:t>
            </w:r>
            <w:proofErr w:type="spellEnd"/>
          </w:p>
          <w:p w14:paraId="14DC17E4" w14:textId="677E8337" w:rsidR="007A75FD" w:rsidRPr="00DF4CE5" w:rsidRDefault="007A75FD" w:rsidP="007A75FD">
            <w:pPr>
              <w:spacing w:before="20" w:after="0"/>
              <w:rPr>
                <w:rFonts w:ascii="Cambria" w:hAnsi="Cambria" w:cs="Calibri"/>
                <w:lang w:val="it-IT"/>
              </w:rPr>
            </w:pPr>
            <w:r w:rsidRPr="00DF4CE5">
              <w:rPr>
                <w:rFonts w:ascii="Cambria" w:hAnsi="Cambria" w:cs="Calibri"/>
                <w:lang w:val="it-IT"/>
              </w:rPr>
              <w:t>9.</w:t>
            </w:r>
            <w:r w:rsidR="00B75C29" w:rsidRPr="00DF4CE5">
              <w:rPr>
                <w:rFonts w:ascii="Cambria" w:hAnsi="Cambria" w:cs="Calibri"/>
                <w:lang w:val="it-IT"/>
              </w:rPr>
              <w:t xml:space="preserve"> </w:t>
            </w:r>
            <w:proofErr w:type="spellStart"/>
            <w:r w:rsidRPr="00DF4CE5">
              <w:rPr>
                <w:rFonts w:ascii="Cambria" w:hAnsi="Cambria" w:cs="Calibri"/>
                <w:lang w:val="it-IT"/>
              </w:rPr>
              <w:t>Poučavanje</w:t>
            </w:r>
            <w:proofErr w:type="spellEnd"/>
            <w:r w:rsidRPr="00DF4CE5">
              <w:rPr>
                <w:rFonts w:ascii="Cambria" w:hAnsi="Cambria" w:cs="Calibri"/>
                <w:lang w:val="it-IT"/>
              </w:rPr>
              <w:t xml:space="preserve"> </w:t>
            </w:r>
            <w:proofErr w:type="spellStart"/>
            <w:r w:rsidRPr="00DF4CE5">
              <w:rPr>
                <w:rFonts w:ascii="Cambria" w:hAnsi="Cambria" w:cs="Calibri"/>
                <w:lang w:val="it-IT"/>
              </w:rPr>
              <w:t>četiriju</w:t>
            </w:r>
            <w:proofErr w:type="spellEnd"/>
            <w:r w:rsidRPr="00DF4CE5">
              <w:rPr>
                <w:rFonts w:ascii="Cambria" w:hAnsi="Cambria" w:cs="Calibri"/>
                <w:lang w:val="it-IT"/>
              </w:rPr>
              <w:t xml:space="preserve"> </w:t>
            </w:r>
            <w:proofErr w:type="spellStart"/>
            <w:r w:rsidRPr="00DF4CE5">
              <w:rPr>
                <w:rFonts w:ascii="Cambria" w:hAnsi="Cambria" w:cs="Calibri"/>
                <w:lang w:val="it-IT"/>
              </w:rPr>
              <w:t>jezičnih</w:t>
            </w:r>
            <w:proofErr w:type="spellEnd"/>
            <w:r w:rsidRPr="00DF4CE5">
              <w:rPr>
                <w:rFonts w:ascii="Cambria" w:hAnsi="Cambria" w:cs="Calibri"/>
                <w:lang w:val="it-IT"/>
              </w:rPr>
              <w:t xml:space="preserve"> </w:t>
            </w:r>
            <w:proofErr w:type="spellStart"/>
            <w:r w:rsidRPr="00DF4CE5">
              <w:rPr>
                <w:rFonts w:ascii="Cambria" w:hAnsi="Cambria" w:cs="Calibri"/>
                <w:lang w:val="it-IT"/>
              </w:rPr>
              <w:t>vještina</w:t>
            </w:r>
            <w:proofErr w:type="spellEnd"/>
            <w:r w:rsidRPr="00DF4CE5">
              <w:rPr>
                <w:rFonts w:ascii="Cambria" w:hAnsi="Cambria" w:cs="Calibri"/>
                <w:lang w:val="it-IT"/>
              </w:rPr>
              <w:t xml:space="preserve">: </w:t>
            </w:r>
            <w:proofErr w:type="spellStart"/>
            <w:r w:rsidRPr="00DF4CE5">
              <w:rPr>
                <w:rFonts w:ascii="Cambria" w:hAnsi="Cambria" w:cs="Calibri"/>
                <w:lang w:val="it-IT"/>
              </w:rPr>
              <w:t>slušanje</w:t>
            </w:r>
            <w:proofErr w:type="spellEnd"/>
            <w:r w:rsidRPr="00DF4CE5">
              <w:rPr>
                <w:rFonts w:ascii="Cambria" w:hAnsi="Cambria" w:cs="Calibri"/>
                <w:lang w:val="it-IT"/>
              </w:rPr>
              <w:t xml:space="preserve">, </w:t>
            </w:r>
            <w:proofErr w:type="spellStart"/>
            <w:r w:rsidRPr="00DF4CE5">
              <w:rPr>
                <w:rFonts w:ascii="Cambria" w:hAnsi="Cambria" w:cs="Calibri"/>
                <w:lang w:val="it-IT"/>
              </w:rPr>
              <w:t>govorenje</w:t>
            </w:r>
            <w:proofErr w:type="spellEnd"/>
            <w:r w:rsidRPr="00DF4CE5">
              <w:rPr>
                <w:rFonts w:ascii="Cambria" w:hAnsi="Cambria" w:cs="Calibri"/>
                <w:lang w:val="it-IT"/>
              </w:rPr>
              <w:t xml:space="preserve">, </w:t>
            </w:r>
            <w:proofErr w:type="spellStart"/>
            <w:r w:rsidRPr="00DF4CE5">
              <w:rPr>
                <w:rFonts w:ascii="Cambria" w:hAnsi="Cambria" w:cs="Calibri"/>
                <w:lang w:val="it-IT"/>
              </w:rPr>
              <w:t>čitanje</w:t>
            </w:r>
            <w:proofErr w:type="spellEnd"/>
            <w:r w:rsidRPr="00DF4CE5">
              <w:rPr>
                <w:rFonts w:ascii="Cambria" w:hAnsi="Cambria" w:cs="Calibri"/>
                <w:lang w:val="it-IT"/>
              </w:rPr>
              <w:t xml:space="preserve"> i </w:t>
            </w:r>
            <w:proofErr w:type="spellStart"/>
            <w:r w:rsidRPr="00DF4CE5">
              <w:rPr>
                <w:rFonts w:ascii="Cambria" w:hAnsi="Cambria" w:cs="Calibri"/>
                <w:lang w:val="it-IT"/>
              </w:rPr>
              <w:t>pisanje</w:t>
            </w:r>
            <w:proofErr w:type="spellEnd"/>
          </w:p>
        </w:tc>
      </w:tr>
      <w:tr w:rsidR="007A75FD" w:rsidRPr="00DF4CE5" w14:paraId="52FB36FD" w14:textId="77777777" w:rsidTr="00891E8C">
        <w:tc>
          <w:tcPr>
            <w:tcW w:w="2536"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756687D1" w14:textId="77777777" w:rsidR="007A75FD" w:rsidRPr="00DF4CE5" w:rsidRDefault="007A75FD" w:rsidP="007A75FD">
            <w:pPr>
              <w:spacing w:after="0"/>
              <w:rPr>
                <w:rFonts w:ascii="Cambria" w:hAnsi="Cambria" w:cs="Calibri"/>
                <w:lang w:val="it-IT"/>
              </w:rPr>
            </w:pPr>
            <w:proofErr w:type="spellStart"/>
            <w:r w:rsidRPr="00DF4CE5">
              <w:rPr>
                <w:rFonts w:ascii="Cambria" w:hAnsi="Cambria" w:cs="Calibri"/>
                <w:lang w:val="it-IT"/>
              </w:rPr>
              <w:lastRenderedPageBreak/>
              <w:t>Planirane</w:t>
            </w:r>
            <w:proofErr w:type="spellEnd"/>
            <w:r w:rsidRPr="00DF4CE5">
              <w:rPr>
                <w:rFonts w:ascii="Cambria" w:hAnsi="Cambria" w:cs="Calibri"/>
                <w:lang w:val="it-IT"/>
              </w:rPr>
              <w:t xml:space="preserve"> </w:t>
            </w:r>
            <w:proofErr w:type="spellStart"/>
            <w:r w:rsidRPr="00DF4CE5">
              <w:rPr>
                <w:rFonts w:ascii="Cambria" w:hAnsi="Cambria" w:cs="Calibri"/>
                <w:lang w:val="it-IT"/>
              </w:rPr>
              <w:t>aktivnosti</w:t>
            </w:r>
            <w:proofErr w:type="spellEnd"/>
            <w:r w:rsidRPr="00DF4CE5">
              <w:rPr>
                <w:rFonts w:ascii="Cambria" w:hAnsi="Cambria" w:cs="Calibri"/>
                <w:lang w:val="it-IT"/>
              </w:rPr>
              <w:t>,</w:t>
            </w:r>
          </w:p>
          <w:p w14:paraId="79755B54" w14:textId="77777777" w:rsidR="007A75FD" w:rsidRPr="00DF4CE5" w:rsidRDefault="007A75FD" w:rsidP="007A75FD">
            <w:pPr>
              <w:spacing w:after="0"/>
              <w:rPr>
                <w:rFonts w:ascii="Cambria" w:hAnsi="Cambria" w:cs="Calibri"/>
                <w:lang w:val="it-IT"/>
              </w:rPr>
            </w:pPr>
            <w:proofErr w:type="spellStart"/>
            <w:r w:rsidRPr="00DF4CE5">
              <w:rPr>
                <w:rFonts w:ascii="Cambria" w:hAnsi="Cambria" w:cs="Calibri"/>
                <w:lang w:val="it-IT"/>
              </w:rPr>
              <w:t>metode</w:t>
            </w:r>
            <w:proofErr w:type="spellEnd"/>
            <w:r w:rsidRPr="00DF4CE5">
              <w:rPr>
                <w:rFonts w:ascii="Cambria" w:hAnsi="Cambria" w:cs="Calibri"/>
                <w:lang w:val="it-IT"/>
              </w:rPr>
              <w:t xml:space="preserve"> </w:t>
            </w:r>
            <w:proofErr w:type="spellStart"/>
            <w:r w:rsidRPr="00DF4CE5">
              <w:rPr>
                <w:rFonts w:ascii="Cambria" w:hAnsi="Cambria" w:cs="Calibri"/>
                <w:lang w:val="it-IT"/>
              </w:rPr>
              <w:t>učenja</w:t>
            </w:r>
            <w:proofErr w:type="spellEnd"/>
            <w:r w:rsidRPr="00DF4CE5">
              <w:rPr>
                <w:rFonts w:ascii="Cambria" w:hAnsi="Cambria" w:cs="Calibri"/>
                <w:lang w:val="it-IT"/>
              </w:rPr>
              <w:t xml:space="preserve"> i </w:t>
            </w:r>
            <w:proofErr w:type="spellStart"/>
            <w:r w:rsidRPr="00DF4CE5">
              <w:rPr>
                <w:rFonts w:ascii="Cambria" w:hAnsi="Cambria" w:cs="Calibri"/>
                <w:lang w:val="it-IT"/>
              </w:rPr>
              <w:t>poučavanja</w:t>
            </w:r>
            <w:proofErr w:type="spellEnd"/>
            <w:r w:rsidRPr="00DF4CE5">
              <w:rPr>
                <w:rFonts w:ascii="Cambria" w:hAnsi="Cambria" w:cs="Calibri"/>
                <w:lang w:val="it-IT"/>
              </w:rPr>
              <w:t xml:space="preserve"> i </w:t>
            </w:r>
            <w:proofErr w:type="spellStart"/>
            <w:r w:rsidRPr="00DF4CE5">
              <w:rPr>
                <w:rFonts w:ascii="Cambria" w:hAnsi="Cambria" w:cs="Calibri"/>
                <w:lang w:val="it-IT"/>
              </w:rPr>
              <w:t>načini</w:t>
            </w:r>
            <w:proofErr w:type="spellEnd"/>
            <w:r w:rsidRPr="00DF4CE5">
              <w:rPr>
                <w:rFonts w:ascii="Cambria" w:hAnsi="Cambria" w:cs="Calibri"/>
                <w:lang w:val="it-IT"/>
              </w:rPr>
              <w:t xml:space="preserve"> </w:t>
            </w:r>
            <w:proofErr w:type="spellStart"/>
            <w:r w:rsidRPr="00DF4CE5">
              <w:rPr>
                <w:rFonts w:ascii="Cambria" w:hAnsi="Cambria" w:cs="Calibri"/>
                <w:lang w:val="it-IT"/>
              </w:rPr>
              <w:t>vrednovanja</w:t>
            </w:r>
            <w:proofErr w:type="spellEnd"/>
          </w:p>
          <w:p w14:paraId="263D8FD7" w14:textId="77777777" w:rsidR="007A75FD" w:rsidRPr="00DF4CE5" w:rsidRDefault="007A75FD" w:rsidP="007A75FD">
            <w:pPr>
              <w:spacing w:after="0"/>
              <w:rPr>
                <w:rFonts w:ascii="Cambria" w:hAnsi="Cambria" w:cs="Calibri"/>
                <w:lang w:val="it-IT"/>
              </w:rPr>
            </w:pPr>
          </w:p>
        </w:tc>
        <w:tc>
          <w:tcPr>
            <w:tcW w:w="250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2C3FB5B" w14:textId="77777777" w:rsidR="007A75FD" w:rsidRPr="00DF4CE5" w:rsidRDefault="007A75FD" w:rsidP="007A75FD">
            <w:pPr>
              <w:spacing w:after="0"/>
              <w:rPr>
                <w:rFonts w:ascii="Cambria" w:hAnsi="Cambria" w:cs="Calibri"/>
              </w:rPr>
            </w:pPr>
            <w:proofErr w:type="spellStart"/>
            <w:r w:rsidRPr="00DF4CE5">
              <w:rPr>
                <w:rFonts w:ascii="Cambria" w:hAnsi="Cambria" w:cs="Calibri"/>
              </w:rPr>
              <w:t>Obveze</w:t>
            </w:r>
            <w:proofErr w:type="spellEnd"/>
          </w:p>
          <w:p w14:paraId="538E9A24" w14:textId="77777777" w:rsidR="007A75FD" w:rsidRPr="00DF4CE5" w:rsidRDefault="007A75FD" w:rsidP="007A75FD">
            <w:pPr>
              <w:spacing w:after="0"/>
              <w:rPr>
                <w:rFonts w:ascii="Cambria" w:hAnsi="Cambria" w:cs="Calibri"/>
              </w:rPr>
            </w:pPr>
          </w:p>
        </w:tc>
        <w:tc>
          <w:tcPr>
            <w:tcW w:w="1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0BC26E1" w14:textId="77777777" w:rsidR="007A75FD" w:rsidRPr="00DF4CE5" w:rsidRDefault="007A75FD" w:rsidP="007A75FD">
            <w:pPr>
              <w:spacing w:after="0"/>
              <w:rPr>
                <w:rFonts w:ascii="Cambria" w:hAnsi="Cambria" w:cs="Calibri"/>
              </w:rPr>
            </w:pPr>
            <w:proofErr w:type="spellStart"/>
            <w:r w:rsidRPr="00DF4CE5">
              <w:rPr>
                <w:rFonts w:ascii="Cambria" w:hAnsi="Cambria" w:cs="Calibri"/>
              </w:rPr>
              <w:t>Ishodi</w:t>
            </w:r>
            <w:proofErr w:type="spellEnd"/>
          </w:p>
          <w:p w14:paraId="6D2C4A5F" w14:textId="77777777" w:rsidR="007A75FD" w:rsidRPr="00DF4CE5" w:rsidRDefault="007A75FD" w:rsidP="007A75FD">
            <w:pPr>
              <w:spacing w:after="0"/>
              <w:rPr>
                <w:rFonts w:ascii="Cambria" w:hAnsi="Cambria" w:cs="Calibri"/>
              </w:rPr>
            </w:pPr>
          </w:p>
        </w:tc>
        <w:tc>
          <w:tcPr>
            <w:tcW w:w="69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72E0709" w14:textId="77777777" w:rsidR="007A75FD" w:rsidRPr="00DF4CE5" w:rsidRDefault="007A75FD" w:rsidP="007A75FD">
            <w:pPr>
              <w:spacing w:after="0"/>
              <w:rPr>
                <w:rFonts w:ascii="Cambria" w:hAnsi="Cambria" w:cs="Calibri"/>
              </w:rPr>
            </w:pPr>
            <w:r w:rsidRPr="00DF4CE5">
              <w:rPr>
                <w:rFonts w:ascii="Cambria" w:hAnsi="Cambria" w:cs="Calibri"/>
              </w:rPr>
              <w:t>Sati</w:t>
            </w:r>
          </w:p>
        </w:tc>
        <w:tc>
          <w:tcPr>
            <w:tcW w:w="9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BD0CD19" w14:textId="77777777" w:rsidR="007A75FD" w:rsidRPr="00DF4CE5" w:rsidRDefault="007A75FD" w:rsidP="007A75FD">
            <w:pPr>
              <w:spacing w:after="0"/>
              <w:rPr>
                <w:rFonts w:ascii="Cambria" w:hAnsi="Cambria" w:cs="Calibri"/>
              </w:rPr>
            </w:pPr>
            <w:proofErr w:type="spellStart"/>
            <w:r w:rsidRPr="00DF4CE5">
              <w:rPr>
                <w:rFonts w:ascii="Cambria" w:hAnsi="Cambria" w:cs="Calibri"/>
              </w:rPr>
              <w:t>Udio</w:t>
            </w:r>
            <w:proofErr w:type="spellEnd"/>
            <w:r w:rsidRPr="00DF4CE5">
              <w:rPr>
                <w:rFonts w:ascii="Cambria" w:hAnsi="Cambria" w:cs="Calibri"/>
              </w:rPr>
              <w:t xml:space="preserve"> u ECTS</w:t>
            </w:r>
          </w:p>
        </w:tc>
        <w:tc>
          <w:tcPr>
            <w:tcW w:w="127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458EFFB" w14:textId="77777777" w:rsidR="007A75FD" w:rsidRPr="00DF4CE5" w:rsidRDefault="007A75FD" w:rsidP="007A75FD">
            <w:pPr>
              <w:spacing w:after="0"/>
              <w:rPr>
                <w:rFonts w:ascii="Cambria" w:hAnsi="Cambria" w:cs="Calibri"/>
              </w:rPr>
            </w:pPr>
            <w:proofErr w:type="spellStart"/>
            <w:r w:rsidRPr="00DF4CE5">
              <w:rPr>
                <w:rFonts w:ascii="Cambria" w:hAnsi="Cambria" w:cs="Calibri"/>
              </w:rPr>
              <w:t>Maksimalni</w:t>
            </w:r>
            <w:proofErr w:type="spellEnd"/>
            <w:r w:rsidRPr="00DF4CE5">
              <w:rPr>
                <w:rFonts w:ascii="Cambria" w:hAnsi="Cambria" w:cs="Calibri"/>
              </w:rPr>
              <w:t xml:space="preserve"> </w:t>
            </w:r>
            <w:proofErr w:type="spellStart"/>
            <w:r w:rsidRPr="00DF4CE5">
              <w:rPr>
                <w:rFonts w:ascii="Cambria" w:hAnsi="Cambria" w:cs="Calibri"/>
              </w:rPr>
              <w:t>udio</w:t>
            </w:r>
            <w:proofErr w:type="spellEnd"/>
            <w:r w:rsidRPr="00DF4CE5">
              <w:rPr>
                <w:rFonts w:ascii="Cambria" w:hAnsi="Cambria" w:cs="Calibri"/>
              </w:rPr>
              <w:t xml:space="preserve"> u </w:t>
            </w:r>
            <w:proofErr w:type="spellStart"/>
            <w:r w:rsidRPr="00DF4CE5">
              <w:rPr>
                <w:rFonts w:ascii="Cambria" w:hAnsi="Cambria" w:cs="Calibri"/>
              </w:rPr>
              <w:t>ocjeni</w:t>
            </w:r>
            <w:proofErr w:type="spellEnd"/>
            <w:r w:rsidRPr="00DF4CE5">
              <w:rPr>
                <w:rFonts w:ascii="Cambria" w:hAnsi="Cambria" w:cs="Calibri"/>
              </w:rPr>
              <w:t xml:space="preserve"> (%)</w:t>
            </w:r>
          </w:p>
        </w:tc>
      </w:tr>
      <w:tr w:rsidR="007A75FD" w:rsidRPr="00DF4CE5" w14:paraId="3A7027D6" w14:textId="77777777" w:rsidTr="00891E8C">
        <w:tc>
          <w:tcPr>
            <w:tcW w:w="2536" w:type="dxa"/>
            <w:vMerge/>
            <w:tcBorders>
              <w:left w:val="single" w:sz="8" w:space="0" w:color="000000"/>
              <w:right w:val="single" w:sz="8" w:space="0" w:color="000000"/>
            </w:tcBorders>
            <w:vAlign w:val="center"/>
          </w:tcPr>
          <w:p w14:paraId="0A797AB4" w14:textId="77777777" w:rsidR="007A75FD" w:rsidRPr="00DF4CE5" w:rsidRDefault="007A75FD" w:rsidP="007A75FD">
            <w:pPr>
              <w:spacing w:after="0"/>
              <w:rPr>
                <w:rFonts w:ascii="Cambria" w:hAnsi="Cambria" w:cs="Calibri"/>
              </w:rPr>
            </w:pPr>
          </w:p>
        </w:tc>
        <w:tc>
          <w:tcPr>
            <w:tcW w:w="250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65095B" w14:textId="756B910D" w:rsidR="007A75FD" w:rsidRPr="00DF4CE5" w:rsidRDefault="00B75C29" w:rsidP="007A75FD">
            <w:pPr>
              <w:spacing w:after="0"/>
              <w:rPr>
                <w:rFonts w:ascii="Cambria" w:hAnsi="Cambria" w:cs="Calibri"/>
              </w:rPr>
            </w:pPr>
            <w:proofErr w:type="spellStart"/>
            <w:r w:rsidRPr="00DF4CE5">
              <w:rPr>
                <w:rFonts w:ascii="Cambria" w:hAnsi="Cambria" w:cs="Calibri"/>
              </w:rPr>
              <w:t>a</w:t>
            </w:r>
            <w:r w:rsidR="007A75FD" w:rsidRPr="00DF4CE5">
              <w:rPr>
                <w:rFonts w:ascii="Cambria" w:hAnsi="Cambria" w:cs="Calibri"/>
              </w:rPr>
              <w:t>ktivno</w:t>
            </w:r>
            <w:proofErr w:type="spellEnd"/>
            <w:r w:rsidR="007A75FD" w:rsidRPr="00DF4CE5">
              <w:rPr>
                <w:rFonts w:ascii="Cambria" w:hAnsi="Cambria" w:cs="Calibri"/>
              </w:rPr>
              <w:t xml:space="preserve"> </w:t>
            </w:r>
            <w:proofErr w:type="spellStart"/>
            <w:r w:rsidR="007A75FD" w:rsidRPr="00DF4CE5">
              <w:rPr>
                <w:rFonts w:ascii="Cambria" w:hAnsi="Cambria" w:cs="Calibri"/>
              </w:rPr>
              <w:t>sudjelovanje</w:t>
            </w:r>
            <w:proofErr w:type="spellEnd"/>
            <w:r w:rsidR="007A75FD" w:rsidRPr="00DF4CE5">
              <w:rPr>
                <w:rFonts w:ascii="Cambria" w:hAnsi="Cambria" w:cs="Calibri"/>
              </w:rPr>
              <w:t xml:space="preserve"> u </w:t>
            </w:r>
            <w:proofErr w:type="spellStart"/>
            <w:r w:rsidR="007A75FD" w:rsidRPr="00DF4CE5">
              <w:rPr>
                <w:rFonts w:ascii="Cambria" w:hAnsi="Cambria" w:cs="Calibri"/>
              </w:rPr>
              <w:t>nastavi</w:t>
            </w:r>
            <w:proofErr w:type="spellEnd"/>
          </w:p>
        </w:tc>
        <w:tc>
          <w:tcPr>
            <w:tcW w:w="1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C24CA37" w14:textId="59835BF6" w:rsidR="007A75FD" w:rsidRPr="00DF4CE5" w:rsidRDefault="007A75FD" w:rsidP="007A75FD">
            <w:pPr>
              <w:spacing w:after="0"/>
              <w:jc w:val="center"/>
              <w:rPr>
                <w:rFonts w:ascii="Cambria" w:hAnsi="Cambria" w:cs="Calibri"/>
              </w:rPr>
            </w:pPr>
            <w:r w:rsidRPr="00DF4CE5">
              <w:rPr>
                <w:rFonts w:ascii="Cambria" w:hAnsi="Cambria" w:cs="Calibri"/>
              </w:rPr>
              <w:t>1.</w:t>
            </w:r>
            <w:r w:rsidR="00B75C29" w:rsidRPr="00DF4CE5">
              <w:rPr>
                <w:rFonts w:ascii="Cambria" w:hAnsi="Cambria" w:cs="Calibri"/>
              </w:rPr>
              <w:t xml:space="preserve"> –</w:t>
            </w:r>
            <w:r w:rsidRPr="00DF4CE5">
              <w:rPr>
                <w:rFonts w:ascii="Cambria" w:hAnsi="Cambria" w:cs="Calibri"/>
              </w:rPr>
              <w:t xml:space="preserve"> 6.</w:t>
            </w:r>
          </w:p>
        </w:tc>
        <w:tc>
          <w:tcPr>
            <w:tcW w:w="69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A6E7806" w14:textId="77777777" w:rsidR="007A75FD" w:rsidRPr="00DF4CE5" w:rsidRDefault="007A75FD" w:rsidP="007A75FD">
            <w:pPr>
              <w:spacing w:after="0"/>
              <w:jc w:val="center"/>
              <w:rPr>
                <w:rFonts w:ascii="Cambria" w:hAnsi="Cambria" w:cs="Calibri"/>
              </w:rPr>
            </w:pPr>
            <w:r w:rsidRPr="00DF4CE5">
              <w:rPr>
                <w:rFonts w:ascii="Cambria" w:hAnsi="Cambria" w:cs="Calibri"/>
              </w:rPr>
              <w:t>34</w:t>
            </w:r>
          </w:p>
        </w:tc>
        <w:tc>
          <w:tcPr>
            <w:tcW w:w="9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AFF4211" w14:textId="77777777" w:rsidR="007A75FD" w:rsidRPr="00DF4CE5" w:rsidRDefault="007A75FD" w:rsidP="007A75FD">
            <w:pPr>
              <w:spacing w:after="0"/>
              <w:jc w:val="center"/>
              <w:rPr>
                <w:rFonts w:ascii="Cambria" w:hAnsi="Cambria" w:cs="Calibri"/>
              </w:rPr>
            </w:pPr>
            <w:r w:rsidRPr="00DF4CE5">
              <w:rPr>
                <w:rFonts w:ascii="Cambria" w:hAnsi="Cambria" w:cs="Calibri"/>
              </w:rPr>
              <w:t>1,1</w:t>
            </w:r>
          </w:p>
        </w:tc>
        <w:tc>
          <w:tcPr>
            <w:tcW w:w="127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D964F61" w14:textId="77777777" w:rsidR="007A75FD" w:rsidRPr="00DF4CE5" w:rsidRDefault="007A75FD" w:rsidP="007A75FD">
            <w:pPr>
              <w:spacing w:after="0"/>
              <w:jc w:val="center"/>
              <w:rPr>
                <w:rFonts w:ascii="Cambria" w:hAnsi="Cambria" w:cs="Calibri"/>
              </w:rPr>
            </w:pPr>
            <w:r w:rsidRPr="00DF4CE5">
              <w:rPr>
                <w:rFonts w:ascii="Cambria" w:hAnsi="Cambria" w:cs="Calibri"/>
              </w:rPr>
              <w:t>10%</w:t>
            </w:r>
          </w:p>
        </w:tc>
      </w:tr>
      <w:tr w:rsidR="007A75FD" w:rsidRPr="00DF4CE5" w14:paraId="08033EC4" w14:textId="77777777" w:rsidTr="00891E8C">
        <w:tc>
          <w:tcPr>
            <w:tcW w:w="2536" w:type="dxa"/>
            <w:vMerge/>
            <w:tcBorders>
              <w:left w:val="single" w:sz="8" w:space="0" w:color="000000"/>
              <w:right w:val="single" w:sz="8" w:space="0" w:color="000000"/>
            </w:tcBorders>
            <w:vAlign w:val="center"/>
          </w:tcPr>
          <w:p w14:paraId="7BB51049" w14:textId="77777777" w:rsidR="007A75FD" w:rsidRPr="00DF4CE5" w:rsidRDefault="007A75FD" w:rsidP="007A75FD">
            <w:pPr>
              <w:spacing w:after="0"/>
              <w:rPr>
                <w:rFonts w:ascii="Cambria" w:hAnsi="Cambria" w:cs="Calibri"/>
              </w:rPr>
            </w:pPr>
          </w:p>
        </w:tc>
        <w:tc>
          <w:tcPr>
            <w:tcW w:w="250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C3EAEA9" w14:textId="77777777" w:rsidR="007A75FD" w:rsidRPr="00DF4CE5" w:rsidRDefault="007A75FD" w:rsidP="007A75FD">
            <w:pPr>
              <w:spacing w:after="0"/>
              <w:rPr>
                <w:rFonts w:ascii="Cambria" w:hAnsi="Cambria" w:cs="Calibri"/>
              </w:rPr>
            </w:pPr>
            <w:proofErr w:type="spellStart"/>
            <w:r w:rsidRPr="00DF4CE5">
              <w:rPr>
                <w:rFonts w:ascii="Cambria" w:hAnsi="Cambria" w:cs="Calibri"/>
              </w:rPr>
              <w:t>seminarski</w:t>
            </w:r>
            <w:proofErr w:type="spellEnd"/>
            <w:r w:rsidRPr="00DF4CE5">
              <w:rPr>
                <w:rFonts w:ascii="Cambria" w:hAnsi="Cambria" w:cs="Calibri"/>
              </w:rPr>
              <w:t xml:space="preserve"> rad</w:t>
            </w:r>
          </w:p>
        </w:tc>
        <w:tc>
          <w:tcPr>
            <w:tcW w:w="1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BBF8A32" w14:textId="61E87887" w:rsidR="007A75FD" w:rsidRPr="00DF4CE5" w:rsidRDefault="00B75C29" w:rsidP="007A75FD">
            <w:pPr>
              <w:spacing w:after="0"/>
              <w:jc w:val="center"/>
              <w:rPr>
                <w:rFonts w:ascii="Cambria" w:hAnsi="Cambria" w:cs="Calibri"/>
              </w:rPr>
            </w:pPr>
            <w:r w:rsidRPr="00DF4CE5">
              <w:rPr>
                <w:rFonts w:ascii="Cambria" w:hAnsi="Cambria" w:cs="Calibri"/>
              </w:rPr>
              <w:t>1. – 6.</w:t>
            </w:r>
          </w:p>
        </w:tc>
        <w:tc>
          <w:tcPr>
            <w:tcW w:w="69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E25834B" w14:textId="77777777" w:rsidR="007A75FD" w:rsidRPr="00DF4CE5" w:rsidRDefault="007A75FD" w:rsidP="007A75FD">
            <w:pPr>
              <w:spacing w:after="0"/>
              <w:jc w:val="center"/>
              <w:rPr>
                <w:rFonts w:ascii="Cambria" w:hAnsi="Cambria" w:cs="Calibri"/>
              </w:rPr>
            </w:pPr>
            <w:r w:rsidRPr="00DF4CE5">
              <w:rPr>
                <w:rFonts w:ascii="Cambria" w:hAnsi="Cambria" w:cs="Calibri"/>
              </w:rPr>
              <w:t>14</w:t>
            </w:r>
          </w:p>
        </w:tc>
        <w:tc>
          <w:tcPr>
            <w:tcW w:w="9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02ABA00" w14:textId="77777777" w:rsidR="007A75FD" w:rsidRPr="00DF4CE5" w:rsidRDefault="007A75FD" w:rsidP="007A75FD">
            <w:pPr>
              <w:spacing w:after="0"/>
              <w:jc w:val="center"/>
              <w:rPr>
                <w:rFonts w:ascii="Cambria" w:hAnsi="Cambria" w:cs="Calibri"/>
              </w:rPr>
            </w:pPr>
            <w:r w:rsidRPr="00DF4CE5">
              <w:rPr>
                <w:rFonts w:ascii="Cambria" w:hAnsi="Cambria" w:cs="Calibri"/>
              </w:rPr>
              <w:t>0,5</w:t>
            </w:r>
          </w:p>
        </w:tc>
        <w:tc>
          <w:tcPr>
            <w:tcW w:w="127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22E5F1A" w14:textId="77777777" w:rsidR="007A75FD" w:rsidRPr="00DF4CE5" w:rsidRDefault="007A75FD" w:rsidP="007A75FD">
            <w:pPr>
              <w:spacing w:after="0"/>
              <w:jc w:val="center"/>
              <w:rPr>
                <w:rFonts w:ascii="Cambria" w:hAnsi="Cambria" w:cs="Calibri"/>
              </w:rPr>
            </w:pPr>
            <w:r w:rsidRPr="00DF4CE5">
              <w:rPr>
                <w:rFonts w:ascii="Cambria" w:hAnsi="Cambria" w:cs="Calibri"/>
              </w:rPr>
              <w:t>10%</w:t>
            </w:r>
          </w:p>
        </w:tc>
      </w:tr>
      <w:tr w:rsidR="007A75FD" w:rsidRPr="00DF4CE5" w14:paraId="7B16E786" w14:textId="77777777" w:rsidTr="00891E8C">
        <w:tc>
          <w:tcPr>
            <w:tcW w:w="2536" w:type="dxa"/>
            <w:vMerge/>
            <w:tcBorders>
              <w:left w:val="single" w:sz="8" w:space="0" w:color="000000"/>
              <w:right w:val="single" w:sz="8" w:space="0" w:color="000000"/>
            </w:tcBorders>
            <w:vAlign w:val="center"/>
          </w:tcPr>
          <w:p w14:paraId="7F8BA244" w14:textId="77777777" w:rsidR="007A75FD" w:rsidRPr="00DF4CE5" w:rsidRDefault="007A75FD" w:rsidP="007A75FD">
            <w:pPr>
              <w:spacing w:after="0"/>
              <w:rPr>
                <w:rFonts w:ascii="Cambria" w:hAnsi="Cambria" w:cs="Calibri"/>
              </w:rPr>
            </w:pPr>
          </w:p>
        </w:tc>
        <w:tc>
          <w:tcPr>
            <w:tcW w:w="250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ADD0C55" w14:textId="77777777" w:rsidR="007A75FD" w:rsidRPr="00DF4CE5" w:rsidRDefault="007A75FD" w:rsidP="007A75FD">
            <w:pPr>
              <w:spacing w:after="0"/>
              <w:rPr>
                <w:rFonts w:ascii="Cambria" w:hAnsi="Cambria" w:cs="Calibri"/>
              </w:rPr>
            </w:pPr>
            <w:proofErr w:type="spellStart"/>
            <w:r w:rsidRPr="00DF4CE5">
              <w:rPr>
                <w:rFonts w:ascii="Cambria" w:hAnsi="Cambria" w:cs="Calibri"/>
              </w:rPr>
              <w:t>kolokvij</w:t>
            </w:r>
            <w:proofErr w:type="spellEnd"/>
            <w:r w:rsidRPr="00DF4CE5">
              <w:rPr>
                <w:rFonts w:ascii="Cambria" w:hAnsi="Cambria" w:cs="Calibri"/>
              </w:rPr>
              <w:t xml:space="preserve"> (</w:t>
            </w:r>
            <w:proofErr w:type="spellStart"/>
            <w:r w:rsidRPr="00DF4CE5">
              <w:rPr>
                <w:rFonts w:ascii="Cambria" w:hAnsi="Cambria" w:cs="Calibri"/>
              </w:rPr>
              <w:t>pismeni</w:t>
            </w:r>
            <w:proofErr w:type="spellEnd"/>
            <w:r w:rsidRPr="00DF4CE5">
              <w:rPr>
                <w:rFonts w:ascii="Cambria" w:hAnsi="Cambria" w:cs="Calibri"/>
              </w:rPr>
              <w:t>)</w:t>
            </w:r>
          </w:p>
        </w:tc>
        <w:tc>
          <w:tcPr>
            <w:tcW w:w="1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D2ED5A4" w14:textId="708C206D" w:rsidR="007A75FD" w:rsidRPr="00DF4CE5" w:rsidRDefault="00B75C29" w:rsidP="007A75FD">
            <w:pPr>
              <w:spacing w:after="0"/>
              <w:jc w:val="center"/>
              <w:rPr>
                <w:rFonts w:ascii="Cambria" w:hAnsi="Cambria" w:cs="Calibri"/>
              </w:rPr>
            </w:pPr>
            <w:r w:rsidRPr="00DF4CE5">
              <w:rPr>
                <w:rFonts w:ascii="Cambria" w:hAnsi="Cambria" w:cs="Calibri"/>
              </w:rPr>
              <w:t>1. – 6.</w:t>
            </w:r>
          </w:p>
        </w:tc>
        <w:tc>
          <w:tcPr>
            <w:tcW w:w="69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8C700B3" w14:textId="77777777" w:rsidR="007A75FD" w:rsidRPr="00DF4CE5" w:rsidRDefault="007A75FD" w:rsidP="007A75FD">
            <w:pPr>
              <w:spacing w:after="0"/>
              <w:jc w:val="center"/>
              <w:rPr>
                <w:rFonts w:ascii="Cambria" w:hAnsi="Cambria" w:cs="Calibri"/>
              </w:rPr>
            </w:pPr>
            <w:r w:rsidRPr="00DF4CE5">
              <w:rPr>
                <w:rFonts w:ascii="Cambria" w:hAnsi="Cambria" w:cs="Calibri"/>
              </w:rPr>
              <w:t>28</w:t>
            </w:r>
          </w:p>
        </w:tc>
        <w:tc>
          <w:tcPr>
            <w:tcW w:w="9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57279EA" w14:textId="77777777" w:rsidR="007A75FD" w:rsidRPr="00DF4CE5" w:rsidRDefault="007A75FD" w:rsidP="007A75FD">
            <w:pPr>
              <w:spacing w:after="0"/>
              <w:jc w:val="center"/>
              <w:rPr>
                <w:rFonts w:ascii="Cambria" w:hAnsi="Cambria" w:cs="Calibri"/>
              </w:rPr>
            </w:pPr>
            <w:r w:rsidRPr="00DF4CE5">
              <w:rPr>
                <w:rFonts w:ascii="Cambria" w:hAnsi="Cambria" w:cs="Calibri"/>
              </w:rPr>
              <w:t>0,9</w:t>
            </w:r>
          </w:p>
        </w:tc>
        <w:tc>
          <w:tcPr>
            <w:tcW w:w="127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3BBEA44" w14:textId="77777777" w:rsidR="007A75FD" w:rsidRPr="00DF4CE5" w:rsidRDefault="007A75FD" w:rsidP="007A75FD">
            <w:pPr>
              <w:spacing w:after="0"/>
              <w:jc w:val="center"/>
              <w:rPr>
                <w:rFonts w:ascii="Cambria" w:hAnsi="Cambria" w:cs="Calibri"/>
              </w:rPr>
            </w:pPr>
            <w:r w:rsidRPr="00DF4CE5">
              <w:rPr>
                <w:rFonts w:ascii="Cambria" w:hAnsi="Cambria" w:cs="Calibri"/>
              </w:rPr>
              <w:t>2x25%</w:t>
            </w:r>
          </w:p>
        </w:tc>
      </w:tr>
      <w:tr w:rsidR="007A75FD" w:rsidRPr="00DF4CE5" w14:paraId="3FF369CC" w14:textId="77777777" w:rsidTr="00891E8C">
        <w:tc>
          <w:tcPr>
            <w:tcW w:w="2536" w:type="dxa"/>
            <w:vMerge/>
            <w:tcBorders>
              <w:left w:val="single" w:sz="8" w:space="0" w:color="000000"/>
              <w:right w:val="single" w:sz="8" w:space="0" w:color="000000"/>
            </w:tcBorders>
            <w:vAlign w:val="center"/>
          </w:tcPr>
          <w:p w14:paraId="38BD020E" w14:textId="77777777" w:rsidR="007A75FD" w:rsidRPr="00DF4CE5" w:rsidRDefault="007A75FD" w:rsidP="007A75FD">
            <w:pPr>
              <w:spacing w:after="0"/>
              <w:rPr>
                <w:rFonts w:ascii="Cambria" w:hAnsi="Cambria" w:cs="Calibri"/>
              </w:rPr>
            </w:pPr>
          </w:p>
        </w:tc>
        <w:tc>
          <w:tcPr>
            <w:tcW w:w="250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604AF06" w14:textId="77777777" w:rsidR="007A75FD" w:rsidRPr="00DF4CE5" w:rsidRDefault="007A75FD" w:rsidP="007A75FD">
            <w:pPr>
              <w:spacing w:after="0"/>
              <w:rPr>
                <w:rFonts w:ascii="Cambria" w:hAnsi="Cambria" w:cs="Calibri"/>
              </w:rPr>
            </w:pPr>
            <w:proofErr w:type="spellStart"/>
            <w:r w:rsidRPr="00DF4CE5">
              <w:rPr>
                <w:rFonts w:ascii="Cambria" w:hAnsi="Cambria" w:cs="Calibri"/>
              </w:rPr>
              <w:t>usmeni</w:t>
            </w:r>
            <w:proofErr w:type="spellEnd"/>
            <w:r w:rsidRPr="00DF4CE5">
              <w:rPr>
                <w:rFonts w:ascii="Cambria" w:hAnsi="Cambria" w:cs="Calibri"/>
              </w:rPr>
              <w:t xml:space="preserve"> </w:t>
            </w:r>
            <w:proofErr w:type="spellStart"/>
            <w:r w:rsidRPr="00DF4CE5">
              <w:rPr>
                <w:rFonts w:ascii="Cambria" w:hAnsi="Cambria" w:cs="Calibri"/>
              </w:rPr>
              <w:t>ispit</w:t>
            </w:r>
            <w:proofErr w:type="spellEnd"/>
          </w:p>
        </w:tc>
        <w:tc>
          <w:tcPr>
            <w:tcW w:w="1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CBB4E26" w14:textId="22350AAC" w:rsidR="007A75FD" w:rsidRPr="00DF4CE5" w:rsidRDefault="00B75C29" w:rsidP="007A75FD">
            <w:pPr>
              <w:spacing w:after="0"/>
              <w:jc w:val="center"/>
              <w:rPr>
                <w:rFonts w:ascii="Cambria" w:hAnsi="Cambria" w:cs="Calibri"/>
              </w:rPr>
            </w:pPr>
            <w:r w:rsidRPr="00DF4CE5">
              <w:rPr>
                <w:rFonts w:ascii="Cambria" w:hAnsi="Cambria" w:cs="Calibri"/>
              </w:rPr>
              <w:t>1. – 6.</w:t>
            </w:r>
          </w:p>
        </w:tc>
        <w:tc>
          <w:tcPr>
            <w:tcW w:w="69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8B1E0E4" w14:textId="77777777" w:rsidR="007A75FD" w:rsidRPr="00DF4CE5" w:rsidRDefault="007A75FD" w:rsidP="007A75FD">
            <w:pPr>
              <w:spacing w:after="0"/>
              <w:jc w:val="center"/>
              <w:rPr>
                <w:rFonts w:ascii="Cambria" w:hAnsi="Cambria" w:cs="Calibri"/>
              </w:rPr>
            </w:pPr>
            <w:r w:rsidRPr="00DF4CE5">
              <w:rPr>
                <w:rFonts w:ascii="Cambria" w:hAnsi="Cambria" w:cs="Calibri"/>
              </w:rPr>
              <w:t>14</w:t>
            </w:r>
          </w:p>
        </w:tc>
        <w:tc>
          <w:tcPr>
            <w:tcW w:w="9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B0D89E8" w14:textId="77777777" w:rsidR="007A75FD" w:rsidRPr="00DF4CE5" w:rsidRDefault="007A75FD" w:rsidP="007A75FD">
            <w:pPr>
              <w:spacing w:after="0"/>
              <w:jc w:val="center"/>
              <w:rPr>
                <w:rFonts w:ascii="Cambria" w:hAnsi="Cambria" w:cs="Calibri"/>
              </w:rPr>
            </w:pPr>
            <w:r w:rsidRPr="00DF4CE5">
              <w:rPr>
                <w:rFonts w:ascii="Cambria" w:hAnsi="Cambria" w:cs="Calibri"/>
              </w:rPr>
              <w:t>0,5</w:t>
            </w:r>
          </w:p>
        </w:tc>
        <w:tc>
          <w:tcPr>
            <w:tcW w:w="127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1706585" w14:textId="77777777" w:rsidR="007A75FD" w:rsidRPr="00DF4CE5" w:rsidRDefault="007A75FD" w:rsidP="007A75FD">
            <w:pPr>
              <w:spacing w:after="0"/>
              <w:jc w:val="center"/>
              <w:rPr>
                <w:rFonts w:ascii="Cambria" w:hAnsi="Cambria" w:cs="Calibri"/>
              </w:rPr>
            </w:pPr>
            <w:r w:rsidRPr="00DF4CE5">
              <w:rPr>
                <w:rFonts w:ascii="Cambria" w:hAnsi="Cambria" w:cs="Calibri"/>
              </w:rPr>
              <w:t>30%</w:t>
            </w:r>
          </w:p>
        </w:tc>
      </w:tr>
      <w:tr w:rsidR="007A75FD" w:rsidRPr="00DF4CE5" w14:paraId="1BC1DC53" w14:textId="77777777" w:rsidTr="00891E8C">
        <w:tc>
          <w:tcPr>
            <w:tcW w:w="2536" w:type="dxa"/>
            <w:vMerge/>
            <w:tcBorders>
              <w:left w:val="single" w:sz="8" w:space="0" w:color="000000"/>
              <w:right w:val="single" w:sz="8" w:space="0" w:color="000000"/>
            </w:tcBorders>
            <w:vAlign w:val="center"/>
          </w:tcPr>
          <w:p w14:paraId="782E7FB6" w14:textId="77777777" w:rsidR="007A75FD" w:rsidRPr="00DF4CE5" w:rsidRDefault="007A75FD" w:rsidP="007A75FD">
            <w:pPr>
              <w:spacing w:after="0"/>
              <w:rPr>
                <w:rFonts w:ascii="Cambria" w:hAnsi="Cambria" w:cs="Calibri"/>
              </w:rPr>
            </w:pPr>
          </w:p>
        </w:tc>
        <w:tc>
          <w:tcPr>
            <w:tcW w:w="250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AE669B2" w14:textId="77777777" w:rsidR="007A75FD" w:rsidRPr="00DF4CE5" w:rsidRDefault="007A75FD" w:rsidP="007A75FD">
            <w:pPr>
              <w:spacing w:after="0"/>
              <w:rPr>
                <w:rFonts w:ascii="Cambria" w:hAnsi="Cambria" w:cs="Calibri"/>
              </w:rPr>
            </w:pPr>
            <w:proofErr w:type="spellStart"/>
            <w:r w:rsidRPr="00DF4CE5">
              <w:rPr>
                <w:rFonts w:ascii="Cambria" w:hAnsi="Cambria" w:cs="Calibri"/>
              </w:rPr>
              <w:t>ukupno</w:t>
            </w:r>
            <w:proofErr w:type="spellEnd"/>
          </w:p>
        </w:tc>
        <w:tc>
          <w:tcPr>
            <w:tcW w:w="1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4719FD0" w14:textId="77777777" w:rsidR="007A75FD" w:rsidRPr="00DF4CE5" w:rsidRDefault="007A75FD" w:rsidP="007A75FD">
            <w:pPr>
              <w:spacing w:after="0"/>
              <w:jc w:val="center"/>
              <w:rPr>
                <w:rFonts w:ascii="Cambria" w:hAnsi="Cambria" w:cs="Calibri"/>
              </w:rPr>
            </w:pPr>
          </w:p>
        </w:tc>
        <w:tc>
          <w:tcPr>
            <w:tcW w:w="69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60CD9B5" w14:textId="77777777" w:rsidR="007A75FD" w:rsidRPr="00DF4CE5" w:rsidRDefault="007A75FD" w:rsidP="007A75FD">
            <w:pPr>
              <w:spacing w:after="0"/>
              <w:jc w:val="center"/>
              <w:rPr>
                <w:rFonts w:ascii="Cambria" w:hAnsi="Cambria" w:cs="Calibri"/>
              </w:rPr>
            </w:pPr>
            <w:r w:rsidRPr="00DF4CE5">
              <w:rPr>
                <w:rFonts w:ascii="Cambria" w:hAnsi="Cambria" w:cs="Calibri"/>
              </w:rPr>
              <w:t>90</w:t>
            </w:r>
          </w:p>
        </w:tc>
        <w:tc>
          <w:tcPr>
            <w:tcW w:w="9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608EB37" w14:textId="77777777" w:rsidR="007A75FD" w:rsidRPr="00DF4CE5" w:rsidRDefault="007A75FD" w:rsidP="007A75FD">
            <w:pPr>
              <w:spacing w:after="0"/>
              <w:jc w:val="center"/>
              <w:rPr>
                <w:rFonts w:ascii="Cambria" w:hAnsi="Cambria" w:cs="Calibri"/>
              </w:rPr>
            </w:pPr>
            <w:r w:rsidRPr="00DF4CE5">
              <w:rPr>
                <w:rFonts w:ascii="Cambria" w:hAnsi="Cambria" w:cs="Calibri"/>
              </w:rPr>
              <w:t>3</w:t>
            </w:r>
          </w:p>
        </w:tc>
        <w:tc>
          <w:tcPr>
            <w:tcW w:w="1278" w:type="dxa"/>
            <w:tcBorders>
              <w:top w:val="single" w:sz="8" w:space="0" w:color="000000"/>
              <w:bottom w:val="single" w:sz="8" w:space="0" w:color="000000"/>
              <w:right w:val="single" w:sz="4" w:space="0" w:color="auto"/>
            </w:tcBorders>
            <w:tcMar>
              <w:top w:w="15" w:type="dxa"/>
              <w:left w:w="108" w:type="dxa"/>
              <w:bottom w:w="0" w:type="dxa"/>
              <w:right w:w="108" w:type="dxa"/>
            </w:tcMar>
            <w:vAlign w:val="center"/>
          </w:tcPr>
          <w:p w14:paraId="7F347D8F" w14:textId="77777777" w:rsidR="007A75FD" w:rsidRPr="00DF4CE5" w:rsidRDefault="007A75FD" w:rsidP="007A75FD">
            <w:pPr>
              <w:spacing w:after="0"/>
              <w:jc w:val="center"/>
              <w:rPr>
                <w:rFonts w:ascii="Cambria" w:hAnsi="Cambria" w:cs="Calibri"/>
              </w:rPr>
            </w:pPr>
            <w:r w:rsidRPr="00DF4CE5">
              <w:rPr>
                <w:rFonts w:ascii="Cambria" w:hAnsi="Cambria" w:cs="Calibri"/>
              </w:rPr>
              <w:t>100%</w:t>
            </w:r>
          </w:p>
        </w:tc>
      </w:tr>
      <w:tr w:rsidR="007A75FD" w:rsidRPr="00D0399C" w14:paraId="0D37270A" w14:textId="77777777" w:rsidTr="00891E8C">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72E1BEA" w14:textId="77777777" w:rsidR="007A75FD" w:rsidRPr="00DF4CE5" w:rsidRDefault="007A75FD" w:rsidP="007A75FD">
            <w:pPr>
              <w:spacing w:after="0"/>
              <w:rPr>
                <w:rFonts w:ascii="Cambria" w:hAnsi="Cambria" w:cs="Calibri"/>
              </w:rPr>
            </w:pPr>
            <w:proofErr w:type="spellStart"/>
            <w:r w:rsidRPr="00DF4CE5">
              <w:rPr>
                <w:rFonts w:ascii="Cambria" w:hAnsi="Cambria" w:cs="Calibri"/>
              </w:rPr>
              <w:t>Studentske</w:t>
            </w:r>
            <w:proofErr w:type="spellEnd"/>
            <w:r w:rsidRPr="00DF4CE5">
              <w:rPr>
                <w:rFonts w:ascii="Cambria" w:hAnsi="Cambria" w:cs="Calibri"/>
              </w:rPr>
              <w:t xml:space="preserve"> </w:t>
            </w:r>
            <w:proofErr w:type="spellStart"/>
            <w:r w:rsidRPr="00DF4CE5">
              <w:rPr>
                <w:rFonts w:ascii="Cambria" w:hAnsi="Cambria" w:cs="Calibri"/>
              </w:rPr>
              <w:t>obveze</w:t>
            </w:r>
            <w:proofErr w:type="spellEnd"/>
          </w:p>
        </w:tc>
        <w:tc>
          <w:tcPr>
            <w:tcW w:w="651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EF1CFF3" w14:textId="77777777" w:rsidR="007A75FD" w:rsidRPr="00DF4CE5" w:rsidRDefault="007A75FD" w:rsidP="007A75FD">
            <w:pPr>
              <w:spacing w:before="20" w:after="0"/>
              <w:rPr>
                <w:rFonts w:ascii="Cambria" w:hAnsi="Cambria" w:cs="Calibri"/>
                <w:lang w:val="it-IT"/>
              </w:rPr>
            </w:pPr>
            <w:r w:rsidRPr="00DF4CE5">
              <w:rPr>
                <w:rFonts w:ascii="Cambria" w:hAnsi="Cambria" w:cs="Calibri"/>
                <w:lang w:val="it-IT"/>
              </w:rPr>
              <w:t xml:space="preserve">Da </w:t>
            </w:r>
            <w:proofErr w:type="spellStart"/>
            <w:r w:rsidRPr="00DF4CE5">
              <w:rPr>
                <w:rFonts w:ascii="Cambria" w:hAnsi="Cambria" w:cs="Calibri"/>
                <w:lang w:val="it-IT"/>
              </w:rPr>
              <w:t>položi</w:t>
            </w:r>
            <w:proofErr w:type="spellEnd"/>
            <w:r w:rsidRPr="00DF4CE5">
              <w:rPr>
                <w:rFonts w:ascii="Cambria" w:hAnsi="Cambria" w:cs="Calibri"/>
                <w:lang w:val="it-IT"/>
              </w:rPr>
              <w:t xml:space="preserve"> </w:t>
            </w:r>
            <w:proofErr w:type="spellStart"/>
            <w:r w:rsidRPr="00DF4CE5">
              <w:rPr>
                <w:rFonts w:ascii="Cambria" w:hAnsi="Cambria" w:cs="Calibri"/>
                <w:lang w:val="it-IT"/>
              </w:rPr>
              <w:t>kolegij</w:t>
            </w:r>
            <w:proofErr w:type="spellEnd"/>
            <w:r w:rsidRPr="00DF4CE5">
              <w:rPr>
                <w:rFonts w:ascii="Cambria" w:hAnsi="Cambria" w:cs="Calibri"/>
                <w:lang w:val="it-IT"/>
              </w:rPr>
              <w:t xml:space="preserve">, </w:t>
            </w:r>
            <w:proofErr w:type="spellStart"/>
            <w:r w:rsidRPr="00DF4CE5">
              <w:rPr>
                <w:rFonts w:ascii="Cambria" w:hAnsi="Cambria" w:cs="Calibri"/>
                <w:lang w:val="it-IT"/>
              </w:rPr>
              <w:t>student</w:t>
            </w:r>
            <w:proofErr w:type="spellEnd"/>
            <w:r w:rsidRPr="00DF4CE5">
              <w:rPr>
                <w:rFonts w:ascii="Cambria" w:hAnsi="Cambria" w:cs="Calibri"/>
                <w:lang w:val="it-IT"/>
              </w:rPr>
              <w:t>/</w:t>
            </w:r>
            <w:proofErr w:type="spellStart"/>
            <w:r w:rsidRPr="00DF4CE5">
              <w:rPr>
                <w:rFonts w:ascii="Cambria" w:hAnsi="Cambria" w:cs="Calibri"/>
                <w:lang w:val="it-IT"/>
              </w:rPr>
              <w:t>studentica</w:t>
            </w:r>
            <w:proofErr w:type="spellEnd"/>
            <w:r w:rsidRPr="00DF4CE5">
              <w:rPr>
                <w:rFonts w:ascii="Cambria" w:hAnsi="Cambria" w:cs="Calibri"/>
                <w:lang w:val="it-IT"/>
              </w:rPr>
              <w:t xml:space="preserve"> mora:</w:t>
            </w:r>
          </w:p>
          <w:p w14:paraId="5DC38580" w14:textId="77777777" w:rsidR="007A75FD" w:rsidRPr="00DF4CE5" w:rsidRDefault="007A75FD" w:rsidP="007A75FD">
            <w:pPr>
              <w:spacing w:before="20" w:after="0"/>
              <w:rPr>
                <w:rFonts w:ascii="Cambria" w:hAnsi="Cambria" w:cs="Calibri"/>
                <w:lang w:val="it-IT"/>
              </w:rPr>
            </w:pPr>
            <w:r w:rsidRPr="00DF4CE5">
              <w:rPr>
                <w:rFonts w:ascii="Cambria" w:hAnsi="Cambria" w:cs="Calibri"/>
                <w:lang w:val="it-IT"/>
              </w:rPr>
              <w:t xml:space="preserve">1. </w:t>
            </w:r>
            <w:proofErr w:type="spellStart"/>
            <w:r w:rsidRPr="00DF4CE5">
              <w:rPr>
                <w:rFonts w:ascii="Cambria" w:hAnsi="Cambria" w:cs="Calibri"/>
                <w:lang w:val="it-IT"/>
              </w:rPr>
              <w:t>redovito</w:t>
            </w:r>
            <w:proofErr w:type="spellEnd"/>
            <w:r w:rsidRPr="00DF4CE5">
              <w:rPr>
                <w:rFonts w:ascii="Cambria" w:hAnsi="Cambria" w:cs="Calibri"/>
                <w:lang w:val="it-IT"/>
              </w:rPr>
              <w:t xml:space="preserve"> </w:t>
            </w:r>
            <w:proofErr w:type="spellStart"/>
            <w:r w:rsidRPr="00DF4CE5">
              <w:rPr>
                <w:rFonts w:ascii="Cambria" w:hAnsi="Cambria" w:cs="Calibri"/>
                <w:lang w:val="it-IT"/>
              </w:rPr>
              <w:t>pohađati</w:t>
            </w:r>
            <w:proofErr w:type="spellEnd"/>
            <w:r w:rsidRPr="00DF4CE5">
              <w:rPr>
                <w:rFonts w:ascii="Cambria" w:hAnsi="Cambria" w:cs="Calibri"/>
                <w:lang w:val="it-IT"/>
              </w:rPr>
              <w:t xml:space="preserve"> </w:t>
            </w:r>
            <w:proofErr w:type="spellStart"/>
            <w:r w:rsidRPr="00DF4CE5">
              <w:rPr>
                <w:rFonts w:ascii="Cambria" w:hAnsi="Cambria" w:cs="Calibri"/>
                <w:lang w:val="it-IT"/>
              </w:rPr>
              <w:t>nastavu</w:t>
            </w:r>
            <w:proofErr w:type="spellEnd"/>
            <w:r w:rsidRPr="00DF4CE5">
              <w:rPr>
                <w:rFonts w:ascii="Cambria" w:hAnsi="Cambria" w:cs="Calibri"/>
                <w:lang w:val="it-IT"/>
              </w:rPr>
              <w:t xml:space="preserve"> </w:t>
            </w:r>
          </w:p>
          <w:p w14:paraId="30E572BE" w14:textId="77777777" w:rsidR="007A75FD" w:rsidRPr="00DF4CE5" w:rsidRDefault="007A75FD" w:rsidP="007A75FD">
            <w:pPr>
              <w:spacing w:before="20" w:after="0"/>
              <w:rPr>
                <w:rFonts w:ascii="Cambria" w:hAnsi="Cambria" w:cs="Calibri"/>
                <w:lang w:val="it-IT"/>
              </w:rPr>
            </w:pPr>
            <w:r w:rsidRPr="00DF4CE5">
              <w:rPr>
                <w:rFonts w:ascii="Cambria" w:hAnsi="Cambria" w:cs="Calibri"/>
                <w:lang w:val="it-IT"/>
              </w:rPr>
              <w:t xml:space="preserve">2. </w:t>
            </w:r>
            <w:proofErr w:type="spellStart"/>
            <w:r w:rsidRPr="00DF4CE5">
              <w:rPr>
                <w:rFonts w:ascii="Cambria" w:hAnsi="Cambria" w:cs="Calibri"/>
                <w:lang w:val="it-IT"/>
              </w:rPr>
              <w:t>izvršiti</w:t>
            </w:r>
            <w:proofErr w:type="spellEnd"/>
            <w:r w:rsidRPr="00DF4CE5">
              <w:rPr>
                <w:rFonts w:ascii="Cambria" w:hAnsi="Cambria" w:cs="Calibri"/>
                <w:lang w:val="it-IT"/>
              </w:rPr>
              <w:t xml:space="preserve"> </w:t>
            </w:r>
            <w:proofErr w:type="spellStart"/>
            <w:r w:rsidRPr="00DF4CE5">
              <w:rPr>
                <w:rFonts w:ascii="Cambria" w:hAnsi="Cambria" w:cs="Calibri"/>
                <w:lang w:val="it-IT"/>
              </w:rPr>
              <w:t>sve</w:t>
            </w:r>
            <w:proofErr w:type="spellEnd"/>
            <w:r w:rsidRPr="00DF4CE5">
              <w:rPr>
                <w:rFonts w:ascii="Cambria" w:hAnsi="Cambria" w:cs="Calibri"/>
                <w:lang w:val="it-IT"/>
              </w:rPr>
              <w:t xml:space="preserve"> </w:t>
            </w:r>
            <w:proofErr w:type="spellStart"/>
            <w:r w:rsidRPr="00DF4CE5">
              <w:rPr>
                <w:rFonts w:ascii="Cambria" w:hAnsi="Cambria" w:cs="Calibri"/>
                <w:lang w:val="it-IT"/>
              </w:rPr>
              <w:t>zadane</w:t>
            </w:r>
            <w:proofErr w:type="spellEnd"/>
            <w:r w:rsidRPr="00DF4CE5">
              <w:rPr>
                <w:rFonts w:ascii="Cambria" w:hAnsi="Cambria" w:cs="Calibri"/>
                <w:lang w:val="it-IT"/>
              </w:rPr>
              <w:t xml:space="preserve"> </w:t>
            </w:r>
            <w:proofErr w:type="spellStart"/>
            <w:r w:rsidRPr="00DF4CE5">
              <w:rPr>
                <w:rFonts w:ascii="Cambria" w:hAnsi="Cambria" w:cs="Calibri"/>
                <w:lang w:val="it-IT"/>
              </w:rPr>
              <w:t>zadaće</w:t>
            </w:r>
            <w:proofErr w:type="spellEnd"/>
            <w:r w:rsidRPr="00DF4CE5">
              <w:rPr>
                <w:rFonts w:ascii="Cambria" w:hAnsi="Cambria" w:cs="Calibri"/>
                <w:lang w:val="it-IT"/>
              </w:rPr>
              <w:t xml:space="preserve"> i </w:t>
            </w:r>
            <w:proofErr w:type="spellStart"/>
            <w:r w:rsidRPr="00DF4CE5">
              <w:rPr>
                <w:rFonts w:ascii="Cambria" w:hAnsi="Cambria" w:cs="Calibri"/>
                <w:lang w:val="it-IT"/>
              </w:rPr>
              <w:t>zadatke</w:t>
            </w:r>
            <w:proofErr w:type="spellEnd"/>
            <w:r w:rsidRPr="00DF4CE5">
              <w:rPr>
                <w:rFonts w:ascii="Cambria" w:hAnsi="Cambria" w:cs="Calibri"/>
                <w:lang w:val="it-IT"/>
              </w:rPr>
              <w:t xml:space="preserve"> </w:t>
            </w:r>
          </w:p>
          <w:p w14:paraId="6D6FA46F" w14:textId="77777777" w:rsidR="007A75FD" w:rsidRPr="00DF4CE5" w:rsidRDefault="007A75FD" w:rsidP="007A75FD">
            <w:pPr>
              <w:spacing w:before="20" w:after="0"/>
              <w:rPr>
                <w:rFonts w:ascii="Cambria" w:hAnsi="Cambria" w:cs="Calibri"/>
                <w:lang w:val="it-IT"/>
              </w:rPr>
            </w:pPr>
            <w:r w:rsidRPr="00DF4CE5">
              <w:rPr>
                <w:rFonts w:ascii="Cambria" w:hAnsi="Cambria" w:cs="Calibri"/>
                <w:lang w:val="it-IT"/>
              </w:rPr>
              <w:t xml:space="preserve">3. </w:t>
            </w:r>
            <w:proofErr w:type="spellStart"/>
            <w:r w:rsidRPr="00DF4CE5">
              <w:rPr>
                <w:rFonts w:ascii="Cambria" w:hAnsi="Cambria" w:cs="Calibri"/>
                <w:lang w:val="it-IT"/>
              </w:rPr>
              <w:t>položiti</w:t>
            </w:r>
            <w:proofErr w:type="spellEnd"/>
            <w:r w:rsidRPr="00DF4CE5">
              <w:rPr>
                <w:rFonts w:ascii="Cambria" w:hAnsi="Cambria" w:cs="Calibri"/>
                <w:lang w:val="it-IT"/>
              </w:rPr>
              <w:t xml:space="preserve"> </w:t>
            </w:r>
            <w:proofErr w:type="spellStart"/>
            <w:r w:rsidRPr="00DF4CE5">
              <w:rPr>
                <w:rFonts w:ascii="Cambria" w:hAnsi="Cambria" w:cs="Calibri"/>
                <w:lang w:val="it-IT"/>
              </w:rPr>
              <w:t>dva</w:t>
            </w:r>
            <w:proofErr w:type="spellEnd"/>
            <w:r w:rsidRPr="00DF4CE5">
              <w:rPr>
                <w:rFonts w:ascii="Cambria" w:hAnsi="Cambria" w:cs="Calibri"/>
                <w:lang w:val="it-IT"/>
              </w:rPr>
              <w:t xml:space="preserve"> </w:t>
            </w:r>
            <w:proofErr w:type="spellStart"/>
            <w:r w:rsidRPr="00DF4CE5">
              <w:rPr>
                <w:rFonts w:ascii="Cambria" w:hAnsi="Cambria" w:cs="Calibri"/>
                <w:lang w:val="it-IT"/>
              </w:rPr>
              <w:t>kolokvija</w:t>
            </w:r>
            <w:proofErr w:type="spellEnd"/>
          </w:p>
          <w:p w14:paraId="6F04261D" w14:textId="67E71D4F" w:rsidR="007A75FD" w:rsidRPr="00DF4CE5" w:rsidRDefault="007A75FD" w:rsidP="007A75FD">
            <w:pPr>
              <w:spacing w:before="20" w:after="0"/>
              <w:rPr>
                <w:rFonts w:ascii="Cambria" w:hAnsi="Cambria" w:cs="Calibri"/>
                <w:lang w:val="it-IT"/>
              </w:rPr>
            </w:pPr>
            <w:r w:rsidRPr="00DF4CE5">
              <w:rPr>
                <w:rFonts w:ascii="Cambria" w:hAnsi="Cambria" w:cs="Calibri"/>
                <w:lang w:val="it-IT"/>
              </w:rPr>
              <w:t xml:space="preserve">4. </w:t>
            </w:r>
            <w:proofErr w:type="spellStart"/>
            <w:r w:rsidRPr="00DF4CE5">
              <w:rPr>
                <w:rFonts w:ascii="Cambria" w:hAnsi="Cambria" w:cs="Calibri"/>
                <w:lang w:val="it-IT"/>
              </w:rPr>
              <w:t>položiti</w:t>
            </w:r>
            <w:proofErr w:type="spellEnd"/>
            <w:r w:rsidRPr="00DF4CE5">
              <w:rPr>
                <w:rFonts w:ascii="Cambria" w:hAnsi="Cambria" w:cs="Calibri"/>
                <w:lang w:val="it-IT"/>
              </w:rPr>
              <w:t xml:space="preserve"> </w:t>
            </w:r>
            <w:proofErr w:type="spellStart"/>
            <w:r w:rsidRPr="00DF4CE5">
              <w:rPr>
                <w:rFonts w:ascii="Cambria" w:hAnsi="Cambria" w:cs="Calibri"/>
                <w:lang w:val="it-IT"/>
              </w:rPr>
              <w:t>usmeni</w:t>
            </w:r>
            <w:proofErr w:type="spellEnd"/>
            <w:r w:rsidRPr="00DF4CE5">
              <w:rPr>
                <w:rFonts w:ascii="Cambria" w:hAnsi="Cambria" w:cs="Calibri"/>
                <w:lang w:val="it-IT"/>
              </w:rPr>
              <w:t xml:space="preserve"> </w:t>
            </w:r>
            <w:proofErr w:type="spellStart"/>
            <w:r w:rsidRPr="00DF4CE5">
              <w:rPr>
                <w:rFonts w:ascii="Cambria" w:hAnsi="Cambria" w:cs="Calibri"/>
                <w:lang w:val="it-IT"/>
              </w:rPr>
              <w:t>ispit</w:t>
            </w:r>
            <w:proofErr w:type="spellEnd"/>
            <w:r w:rsidR="00B75C29" w:rsidRPr="00DF4CE5">
              <w:rPr>
                <w:rFonts w:ascii="Cambria" w:hAnsi="Cambria" w:cs="Calibri"/>
                <w:lang w:val="it-IT"/>
              </w:rPr>
              <w:t>.</w:t>
            </w:r>
          </w:p>
        </w:tc>
      </w:tr>
      <w:tr w:rsidR="007A75FD" w:rsidRPr="00D0399C" w14:paraId="26E0A7AE" w14:textId="77777777" w:rsidTr="00891E8C">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7E171E4" w14:textId="77777777" w:rsidR="007A75FD" w:rsidRPr="00DF4CE5" w:rsidRDefault="007A75FD" w:rsidP="007A75FD">
            <w:pPr>
              <w:spacing w:after="0"/>
              <w:rPr>
                <w:rFonts w:ascii="Cambria" w:hAnsi="Cambria" w:cs="Calibri"/>
              </w:rPr>
            </w:pPr>
            <w:proofErr w:type="spellStart"/>
            <w:r w:rsidRPr="00DF4CE5">
              <w:rPr>
                <w:rFonts w:ascii="Cambria" w:hAnsi="Cambria" w:cs="Calibri"/>
              </w:rPr>
              <w:t>Rokovi</w:t>
            </w:r>
            <w:proofErr w:type="spellEnd"/>
            <w:r w:rsidRPr="00DF4CE5">
              <w:rPr>
                <w:rFonts w:ascii="Cambria" w:hAnsi="Cambria" w:cs="Calibri"/>
              </w:rPr>
              <w:t xml:space="preserve"> </w:t>
            </w:r>
            <w:proofErr w:type="spellStart"/>
            <w:r w:rsidRPr="00DF4CE5">
              <w:rPr>
                <w:rFonts w:ascii="Cambria" w:hAnsi="Cambria" w:cs="Calibri"/>
              </w:rPr>
              <w:t>ispita</w:t>
            </w:r>
            <w:proofErr w:type="spellEnd"/>
            <w:r w:rsidRPr="00DF4CE5">
              <w:rPr>
                <w:rFonts w:ascii="Cambria" w:hAnsi="Cambria" w:cs="Calibri"/>
              </w:rPr>
              <w:t xml:space="preserve"> </w:t>
            </w:r>
            <w:proofErr w:type="spellStart"/>
            <w:r w:rsidRPr="00DF4CE5">
              <w:rPr>
                <w:rFonts w:ascii="Cambria" w:hAnsi="Cambria" w:cs="Calibri"/>
              </w:rPr>
              <w:t>i</w:t>
            </w:r>
            <w:proofErr w:type="spellEnd"/>
            <w:r w:rsidRPr="00DF4CE5">
              <w:rPr>
                <w:rFonts w:ascii="Cambria" w:hAnsi="Cambria" w:cs="Calibri"/>
              </w:rPr>
              <w:t xml:space="preserve"> </w:t>
            </w:r>
            <w:proofErr w:type="spellStart"/>
            <w:r w:rsidRPr="00DF4CE5">
              <w:rPr>
                <w:rFonts w:ascii="Cambria" w:hAnsi="Cambria" w:cs="Calibri"/>
              </w:rPr>
              <w:t>kolokvija</w:t>
            </w:r>
            <w:proofErr w:type="spellEnd"/>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14:paraId="3EDB07B4" w14:textId="77777777" w:rsidR="007A75FD" w:rsidRPr="00DF4CE5" w:rsidRDefault="007A75FD" w:rsidP="007A75FD">
            <w:pPr>
              <w:spacing w:before="20" w:after="0"/>
              <w:rPr>
                <w:rFonts w:ascii="Cambria" w:hAnsi="Cambria" w:cs="Calibri"/>
                <w:lang w:val="it-IT"/>
              </w:rPr>
            </w:pPr>
            <w:proofErr w:type="spellStart"/>
            <w:r w:rsidRPr="00DF4CE5">
              <w:rPr>
                <w:rFonts w:ascii="Cambria" w:hAnsi="Cambria" w:cs="Calibri"/>
                <w:lang w:val="it-IT"/>
              </w:rPr>
              <w:t>Datumi</w:t>
            </w:r>
            <w:proofErr w:type="spellEnd"/>
            <w:r w:rsidRPr="00DF4CE5">
              <w:rPr>
                <w:rFonts w:ascii="Cambria" w:hAnsi="Cambria" w:cs="Calibri"/>
                <w:lang w:val="it-IT"/>
              </w:rPr>
              <w:t xml:space="preserve"> </w:t>
            </w:r>
            <w:proofErr w:type="spellStart"/>
            <w:r w:rsidRPr="00DF4CE5">
              <w:rPr>
                <w:rFonts w:ascii="Cambria" w:hAnsi="Cambria" w:cs="Calibri"/>
                <w:lang w:val="it-IT"/>
              </w:rPr>
              <w:t>kolokvija</w:t>
            </w:r>
            <w:proofErr w:type="spellEnd"/>
            <w:r w:rsidRPr="00DF4CE5">
              <w:rPr>
                <w:rFonts w:ascii="Cambria" w:hAnsi="Cambria" w:cs="Calibri"/>
                <w:lang w:val="it-IT"/>
              </w:rPr>
              <w:t xml:space="preserve"> bit </w:t>
            </w:r>
            <w:proofErr w:type="spellStart"/>
            <w:r w:rsidRPr="00DF4CE5">
              <w:rPr>
                <w:rFonts w:ascii="Cambria" w:hAnsi="Cambria" w:cs="Calibri"/>
                <w:lang w:val="it-IT"/>
              </w:rPr>
              <w:t>će</w:t>
            </w:r>
            <w:proofErr w:type="spellEnd"/>
            <w:r w:rsidRPr="00DF4CE5">
              <w:rPr>
                <w:rFonts w:ascii="Cambria" w:hAnsi="Cambria" w:cs="Calibri"/>
                <w:lang w:val="it-IT"/>
              </w:rPr>
              <w:t xml:space="preserve"> </w:t>
            </w:r>
            <w:proofErr w:type="spellStart"/>
            <w:r w:rsidRPr="00DF4CE5">
              <w:rPr>
                <w:rFonts w:ascii="Cambria" w:hAnsi="Cambria" w:cs="Calibri"/>
                <w:lang w:val="it-IT"/>
              </w:rPr>
              <w:t>dogovoreni</w:t>
            </w:r>
            <w:proofErr w:type="spellEnd"/>
            <w:r w:rsidRPr="00DF4CE5">
              <w:rPr>
                <w:rFonts w:ascii="Cambria" w:hAnsi="Cambria" w:cs="Calibri"/>
                <w:lang w:val="it-IT"/>
              </w:rPr>
              <w:t xml:space="preserve"> </w:t>
            </w:r>
            <w:proofErr w:type="spellStart"/>
            <w:r w:rsidRPr="00DF4CE5">
              <w:rPr>
                <w:rFonts w:ascii="Cambria" w:hAnsi="Cambria" w:cs="Calibri"/>
                <w:lang w:val="it-IT"/>
              </w:rPr>
              <w:t>na</w:t>
            </w:r>
            <w:proofErr w:type="spellEnd"/>
            <w:r w:rsidRPr="00DF4CE5">
              <w:rPr>
                <w:rFonts w:ascii="Cambria" w:hAnsi="Cambria" w:cs="Calibri"/>
                <w:lang w:val="it-IT"/>
              </w:rPr>
              <w:t xml:space="preserve"> </w:t>
            </w:r>
            <w:proofErr w:type="spellStart"/>
            <w:r w:rsidRPr="00DF4CE5">
              <w:rPr>
                <w:rFonts w:ascii="Cambria" w:hAnsi="Cambria" w:cs="Calibri"/>
                <w:lang w:val="it-IT"/>
              </w:rPr>
              <w:t>uvodnom</w:t>
            </w:r>
            <w:proofErr w:type="spellEnd"/>
            <w:r w:rsidRPr="00DF4CE5">
              <w:rPr>
                <w:rFonts w:ascii="Cambria" w:hAnsi="Cambria" w:cs="Calibri"/>
                <w:lang w:val="it-IT"/>
              </w:rPr>
              <w:t xml:space="preserve"> </w:t>
            </w:r>
            <w:proofErr w:type="spellStart"/>
            <w:r w:rsidRPr="00DF4CE5">
              <w:rPr>
                <w:rFonts w:ascii="Cambria" w:hAnsi="Cambria" w:cs="Calibri"/>
                <w:lang w:val="it-IT"/>
              </w:rPr>
              <w:t>predavanju</w:t>
            </w:r>
            <w:proofErr w:type="spellEnd"/>
            <w:r w:rsidRPr="00DF4CE5">
              <w:rPr>
                <w:rFonts w:ascii="Cambria" w:hAnsi="Cambria" w:cs="Calibri"/>
                <w:lang w:val="it-IT"/>
              </w:rPr>
              <w:t>.</w:t>
            </w:r>
          </w:p>
          <w:p w14:paraId="73C34FFE" w14:textId="77777777" w:rsidR="007A75FD" w:rsidRPr="00DF4CE5" w:rsidRDefault="007A75FD" w:rsidP="007A75FD">
            <w:pPr>
              <w:spacing w:before="20" w:after="0"/>
              <w:rPr>
                <w:rFonts w:ascii="Cambria" w:hAnsi="Cambria" w:cs="Calibri"/>
                <w:lang w:val="it-IT"/>
              </w:rPr>
            </w:pPr>
            <w:proofErr w:type="spellStart"/>
            <w:r w:rsidRPr="00DF4CE5">
              <w:rPr>
                <w:rFonts w:ascii="Cambria" w:hAnsi="Cambria" w:cs="Calibri"/>
                <w:lang w:val="it-IT"/>
              </w:rPr>
              <w:t>Datumi</w:t>
            </w:r>
            <w:proofErr w:type="spellEnd"/>
            <w:r w:rsidRPr="00DF4CE5">
              <w:rPr>
                <w:rFonts w:ascii="Cambria" w:hAnsi="Cambria" w:cs="Calibri"/>
                <w:lang w:val="it-IT"/>
              </w:rPr>
              <w:t xml:space="preserve"> </w:t>
            </w:r>
            <w:proofErr w:type="spellStart"/>
            <w:r w:rsidRPr="00DF4CE5">
              <w:rPr>
                <w:rFonts w:ascii="Cambria" w:hAnsi="Cambria" w:cs="Calibri"/>
                <w:lang w:val="it-IT"/>
              </w:rPr>
              <w:t>ispita</w:t>
            </w:r>
            <w:proofErr w:type="spellEnd"/>
            <w:r w:rsidRPr="00DF4CE5">
              <w:rPr>
                <w:rFonts w:ascii="Cambria" w:hAnsi="Cambria" w:cs="Calibri"/>
                <w:lang w:val="it-IT"/>
              </w:rPr>
              <w:t xml:space="preserve"> </w:t>
            </w:r>
            <w:proofErr w:type="spellStart"/>
            <w:r w:rsidRPr="00DF4CE5">
              <w:rPr>
                <w:rFonts w:ascii="Cambria" w:hAnsi="Cambria" w:cs="Calibri"/>
                <w:lang w:val="it-IT"/>
              </w:rPr>
              <w:t>objavljuju</w:t>
            </w:r>
            <w:proofErr w:type="spellEnd"/>
            <w:r w:rsidRPr="00DF4CE5">
              <w:rPr>
                <w:rFonts w:ascii="Cambria" w:hAnsi="Cambria" w:cs="Calibri"/>
                <w:lang w:val="it-IT"/>
              </w:rPr>
              <w:t xml:space="preserve"> se </w:t>
            </w:r>
            <w:proofErr w:type="spellStart"/>
            <w:r w:rsidRPr="00DF4CE5">
              <w:rPr>
                <w:rFonts w:ascii="Cambria" w:hAnsi="Cambria" w:cs="Calibri"/>
                <w:lang w:val="it-IT"/>
              </w:rPr>
              <w:t>na</w:t>
            </w:r>
            <w:proofErr w:type="spellEnd"/>
            <w:r w:rsidRPr="00DF4CE5">
              <w:rPr>
                <w:rFonts w:ascii="Cambria" w:hAnsi="Cambria" w:cs="Calibri"/>
                <w:lang w:val="it-IT"/>
              </w:rPr>
              <w:t xml:space="preserve"> </w:t>
            </w:r>
            <w:proofErr w:type="spellStart"/>
            <w:r w:rsidRPr="00DF4CE5">
              <w:rPr>
                <w:rFonts w:ascii="Cambria" w:hAnsi="Cambria" w:cs="Calibri"/>
                <w:lang w:val="it-IT"/>
              </w:rPr>
              <w:t>mrežnim</w:t>
            </w:r>
            <w:proofErr w:type="spellEnd"/>
            <w:r w:rsidRPr="00DF4CE5">
              <w:rPr>
                <w:rFonts w:ascii="Cambria" w:hAnsi="Cambria" w:cs="Calibri"/>
                <w:lang w:val="it-IT"/>
              </w:rPr>
              <w:t xml:space="preserve"> </w:t>
            </w:r>
            <w:proofErr w:type="spellStart"/>
            <w:r w:rsidRPr="00DF4CE5">
              <w:rPr>
                <w:rFonts w:ascii="Cambria" w:hAnsi="Cambria" w:cs="Calibri"/>
                <w:lang w:val="it-IT"/>
              </w:rPr>
              <w:t>stranicama</w:t>
            </w:r>
            <w:proofErr w:type="spellEnd"/>
            <w:r w:rsidRPr="00DF4CE5">
              <w:rPr>
                <w:rFonts w:ascii="Cambria" w:hAnsi="Cambria" w:cs="Calibri"/>
                <w:lang w:val="it-IT"/>
              </w:rPr>
              <w:t xml:space="preserve"> </w:t>
            </w:r>
            <w:proofErr w:type="spellStart"/>
            <w:r w:rsidRPr="00DF4CE5">
              <w:rPr>
                <w:rFonts w:ascii="Cambria" w:hAnsi="Cambria" w:cs="Calibri"/>
                <w:lang w:val="it-IT"/>
              </w:rPr>
              <w:t>Sveučilišta</w:t>
            </w:r>
            <w:proofErr w:type="spellEnd"/>
            <w:r w:rsidRPr="00DF4CE5">
              <w:rPr>
                <w:rFonts w:ascii="Cambria" w:hAnsi="Cambria" w:cs="Calibri"/>
                <w:lang w:val="it-IT"/>
              </w:rPr>
              <w:t xml:space="preserve"> </w:t>
            </w:r>
            <w:proofErr w:type="gramStart"/>
            <w:r w:rsidRPr="00DF4CE5">
              <w:rPr>
                <w:rFonts w:ascii="Cambria" w:hAnsi="Cambria" w:cs="Calibri"/>
                <w:lang w:val="it-IT"/>
              </w:rPr>
              <w:t>i u</w:t>
            </w:r>
            <w:proofErr w:type="gramEnd"/>
            <w:r w:rsidRPr="00DF4CE5">
              <w:rPr>
                <w:rFonts w:ascii="Cambria" w:hAnsi="Cambria" w:cs="Calibri"/>
                <w:lang w:val="it-IT"/>
              </w:rPr>
              <w:t xml:space="preserve"> ISVU.</w:t>
            </w:r>
          </w:p>
        </w:tc>
      </w:tr>
      <w:tr w:rsidR="007A75FD" w:rsidRPr="00AB32A5" w14:paraId="5225C2BD" w14:textId="77777777" w:rsidTr="00891E8C">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38D80FA" w14:textId="77777777" w:rsidR="007A75FD" w:rsidRPr="00DF4CE5" w:rsidRDefault="007A75FD" w:rsidP="007A75FD">
            <w:pPr>
              <w:spacing w:after="0"/>
              <w:rPr>
                <w:rFonts w:ascii="Cambria" w:hAnsi="Cambria" w:cs="Calibri"/>
                <w:lang w:val="it-IT"/>
              </w:rPr>
            </w:pPr>
            <w:r w:rsidRPr="00DF4CE5">
              <w:rPr>
                <w:rFonts w:ascii="Cambria" w:hAnsi="Cambria" w:cs="Calibri"/>
                <w:lang w:val="it-IT"/>
              </w:rPr>
              <w:t xml:space="preserve">Ostale </w:t>
            </w:r>
            <w:proofErr w:type="spellStart"/>
            <w:r w:rsidRPr="00DF4CE5">
              <w:rPr>
                <w:rFonts w:ascii="Cambria" w:hAnsi="Cambria" w:cs="Calibri"/>
                <w:lang w:val="it-IT"/>
              </w:rPr>
              <w:t>važne</w:t>
            </w:r>
            <w:proofErr w:type="spellEnd"/>
            <w:r w:rsidRPr="00DF4CE5">
              <w:rPr>
                <w:rFonts w:ascii="Cambria" w:hAnsi="Cambria" w:cs="Calibri"/>
                <w:lang w:val="it-IT"/>
              </w:rPr>
              <w:t xml:space="preserve"> </w:t>
            </w:r>
            <w:proofErr w:type="spellStart"/>
            <w:r w:rsidRPr="00DF4CE5">
              <w:rPr>
                <w:rFonts w:ascii="Cambria" w:hAnsi="Cambria" w:cs="Calibri"/>
                <w:lang w:val="it-IT"/>
              </w:rPr>
              <w:t>činjenice</w:t>
            </w:r>
            <w:proofErr w:type="spellEnd"/>
            <w:r w:rsidRPr="00DF4CE5">
              <w:rPr>
                <w:rFonts w:ascii="Cambria" w:hAnsi="Cambria" w:cs="Calibri"/>
                <w:lang w:val="it-IT"/>
              </w:rPr>
              <w:t xml:space="preserve"> </w:t>
            </w:r>
            <w:proofErr w:type="spellStart"/>
            <w:r w:rsidRPr="00DF4CE5">
              <w:rPr>
                <w:rFonts w:ascii="Cambria" w:hAnsi="Cambria" w:cs="Calibri"/>
                <w:lang w:val="it-IT"/>
              </w:rPr>
              <w:t>vezane</w:t>
            </w:r>
            <w:proofErr w:type="spellEnd"/>
            <w:r w:rsidRPr="00DF4CE5">
              <w:rPr>
                <w:rFonts w:ascii="Cambria" w:hAnsi="Cambria" w:cs="Calibri"/>
                <w:lang w:val="it-IT"/>
              </w:rPr>
              <w:t xml:space="preserve"> </w:t>
            </w:r>
            <w:proofErr w:type="spellStart"/>
            <w:r w:rsidRPr="00DF4CE5">
              <w:rPr>
                <w:rFonts w:ascii="Cambria" w:hAnsi="Cambria" w:cs="Calibri"/>
                <w:lang w:val="it-IT"/>
              </w:rPr>
              <w:t>uz</w:t>
            </w:r>
            <w:proofErr w:type="spellEnd"/>
            <w:r w:rsidRPr="00DF4CE5">
              <w:rPr>
                <w:rFonts w:ascii="Cambria" w:hAnsi="Cambria" w:cs="Calibri"/>
                <w:lang w:val="it-IT"/>
              </w:rPr>
              <w:t xml:space="preserve"> </w:t>
            </w:r>
            <w:proofErr w:type="spellStart"/>
            <w:r w:rsidRPr="00DF4CE5">
              <w:rPr>
                <w:rFonts w:ascii="Cambria" w:hAnsi="Cambria" w:cs="Calibri"/>
                <w:lang w:val="it-IT"/>
              </w:rPr>
              <w:t>kolegij</w:t>
            </w:r>
            <w:proofErr w:type="spellEnd"/>
          </w:p>
        </w:tc>
        <w:tc>
          <w:tcPr>
            <w:tcW w:w="651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F3E21C2" w14:textId="3AA89B0E" w:rsidR="007A75FD" w:rsidRPr="00DF4CE5" w:rsidRDefault="007A75FD" w:rsidP="007A75FD">
            <w:pPr>
              <w:spacing w:after="0"/>
              <w:rPr>
                <w:rFonts w:ascii="Cambria" w:hAnsi="Cambria" w:cs="Calibri"/>
                <w:lang w:val="it-IT"/>
              </w:rPr>
            </w:pPr>
            <w:proofErr w:type="spellStart"/>
            <w:r w:rsidRPr="00DF4CE5">
              <w:rPr>
                <w:rFonts w:ascii="Cambria" w:hAnsi="Cambria" w:cs="Calibri"/>
                <w:lang w:val="it-IT"/>
              </w:rPr>
              <w:t>Pohađanje</w:t>
            </w:r>
            <w:proofErr w:type="spellEnd"/>
            <w:r w:rsidRPr="00DF4CE5">
              <w:rPr>
                <w:rFonts w:ascii="Cambria" w:hAnsi="Cambria" w:cs="Calibri"/>
                <w:lang w:val="it-IT"/>
              </w:rPr>
              <w:t xml:space="preserve"> je </w:t>
            </w:r>
            <w:proofErr w:type="spellStart"/>
            <w:r w:rsidRPr="00DF4CE5">
              <w:rPr>
                <w:rFonts w:ascii="Cambria" w:hAnsi="Cambria" w:cs="Calibri"/>
                <w:lang w:val="it-IT"/>
              </w:rPr>
              <w:t>nastave</w:t>
            </w:r>
            <w:proofErr w:type="spellEnd"/>
            <w:r w:rsidRPr="00DF4CE5">
              <w:rPr>
                <w:rFonts w:ascii="Cambria" w:hAnsi="Cambria" w:cs="Calibri"/>
                <w:lang w:val="it-IT"/>
              </w:rPr>
              <w:t xml:space="preserve"> </w:t>
            </w:r>
            <w:proofErr w:type="spellStart"/>
            <w:r w:rsidRPr="00DF4CE5">
              <w:rPr>
                <w:rFonts w:ascii="Cambria" w:hAnsi="Cambria" w:cs="Calibri"/>
                <w:lang w:val="it-IT"/>
              </w:rPr>
              <w:t>obvezno</w:t>
            </w:r>
            <w:proofErr w:type="spellEnd"/>
            <w:r w:rsidRPr="00DF4CE5">
              <w:rPr>
                <w:rFonts w:ascii="Cambria" w:hAnsi="Cambria" w:cs="Calibri"/>
                <w:lang w:val="it-IT"/>
              </w:rPr>
              <w:t xml:space="preserve">. </w:t>
            </w:r>
            <w:proofErr w:type="spellStart"/>
            <w:r w:rsidRPr="00DF4CE5">
              <w:rPr>
                <w:rFonts w:ascii="Cambria" w:hAnsi="Cambria" w:cs="Calibri"/>
                <w:lang w:val="it-IT"/>
              </w:rPr>
              <w:t>Tolerira</w:t>
            </w:r>
            <w:proofErr w:type="spellEnd"/>
            <w:r w:rsidRPr="00DF4CE5">
              <w:rPr>
                <w:rFonts w:ascii="Cambria" w:hAnsi="Cambria" w:cs="Calibri"/>
                <w:lang w:val="it-IT"/>
              </w:rPr>
              <w:t xml:space="preserve"> se pet (5) </w:t>
            </w:r>
            <w:proofErr w:type="spellStart"/>
            <w:r w:rsidRPr="00DF4CE5">
              <w:rPr>
                <w:rFonts w:ascii="Cambria" w:hAnsi="Cambria" w:cs="Calibri"/>
                <w:lang w:val="it-IT"/>
              </w:rPr>
              <w:t>izostanka</w:t>
            </w:r>
            <w:proofErr w:type="spellEnd"/>
            <w:r w:rsidRPr="00DF4CE5">
              <w:rPr>
                <w:rFonts w:ascii="Cambria" w:hAnsi="Cambria" w:cs="Calibri"/>
                <w:lang w:val="it-IT"/>
              </w:rPr>
              <w:t xml:space="preserve">. Da bi se </w:t>
            </w:r>
            <w:proofErr w:type="spellStart"/>
            <w:r w:rsidRPr="00DF4CE5">
              <w:rPr>
                <w:rFonts w:ascii="Cambria" w:hAnsi="Cambria" w:cs="Calibri"/>
                <w:lang w:val="it-IT"/>
              </w:rPr>
              <w:t>pristupilo</w:t>
            </w:r>
            <w:proofErr w:type="spellEnd"/>
            <w:r w:rsidRPr="00DF4CE5">
              <w:rPr>
                <w:rFonts w:ascii="Cambria" w:hAnsi="Cambria" w:cs="Calibri"/>
                <w:lang w:val="it-IT"/>
              </w:rPr>
              <w:t xml:space="preserve"> </w:t>
            </w:r>
            <w:proofErr w:type="spellStart"/>
            <w:r w:rsidRPr="00DF4CE5">
              <w:rPr>
                <w:rFonts w:ascii="Cambria" w:hAnsi="Cambria" w:cs="Calibri"/>
                <w:lang w:val="it-IT"/>
              </w:rPr>
              <w:t>kolokviju</w:t>
            </w:r>
            <w:proofErr w:type="spellEnd"/>
            <w:r w:rsidRPr="00DF4CE5">
              <w:rPr>
                <w:rFonts w:ascii="Cambria" w:hAnsi="Cambria" w:cs="Calibri"/>
                <w:lang w:val="it-IT"/>
              </w:rPr>
              <w:t xml:space="preserve">, studenti </w:t>
            </w:r>
            <w:proofErr w:type="spellStart"/>
            <w:r w:rsidRPr="00DF4CE5">
              <w:rPr>
                <w:rFonts w:ascii="Cambria" w:hAnsi="Cambria" w:cs="Calibri"/>
                <w:lang w:val="it-IT"/>
              </w:rPr>
              <w:t>moraju</w:t>
            </w:r>
            <w:proofErr w:type="spellEnd"/>
            <w:r w:rsidRPr="00DF4CE5">
              <w:rPr>
                <w:rFonts w:ascii="Cambria" w:hAnsi="Cambria" w:cs="Calibri"/>
                <w:lang w:val="it-IT"/>
              </w:rPr>
              <w:t xml:space="preserve"> </w:t>
            </w:r>
            <w:proofErr w:type="spellStart"/>
            <w:r w:rsidRPr="00DF4CE5">
              <w:rPr>
                <w:rFonts w:ascii="Cambria" w:hAnsi="Cambria" w:cs="Calibri"/>
                <w:lang w:val="it-IT"/>
              </w:rPr>
              <w:t>ispoštovati</w:t>
            </w:r>
            <w:proofErr w:type="spellEnd"/>
            <w:r w:rsidRPr="00DF4CE5">
              <w:rPr>
                <w:rFonts w:ascii="Cambria" w:hAnsi="Cambria" w:cs="Calibri"/>
                <w:lang w:val="it-IT"/>
              </w:rPr>
              <w:t xml:space="preserve"> </w:t>
            </w:r>
            <w:proofErr w:type="spellStart"/>
            <w:r w:rsidRPr="00DF4CE5">
              <w:rPr>
                <w:rFonts w:ascii="Cambria" w:hAnsi="Cambria" w:cs="Calibri"/>
                <w:lang w:val="it-IT"/>
              </w:rPr>
              <w:t>sve</w:t>
            </w:r>
            <w:proofErr w:type="spellEnd"/>
            <w:r w:rsidRPr="00DF4CE5">
              <w:rPr>
                <w:rFonts w:ascii="Cambria" w:hAnsi="Cambria" w:cs="Calibri"/>
                <w:lang w:val="it-IT"/>
              </w:rPr>
              <w:t xml:space="preserve"> </w:t>
            </w:r>
            <w:proofErr w:type="spellStart"/>
            <w:r w:rsidRPr="00DF4CE5">
              <w:rPr>
                <w:rFonts w:ascii="Cambria" w:hAnsi="Cambria" w:cs="Calibri"/>
                <w:lang w:val="it-IT"/>
              </w:rPr>
              <w:t>obveze</w:t>
            </w:r>
            <w:proofErr w:type="spellEnd"/>
            <w:r w:rsidRPr="00DF4CE5">
              <w:rPr>
                <w:rFonts w:ascii="Cambria" w:hAnsi="Cambria" w:cs="Calibri"/>
                <w:lang w:val="it-IT"/>
              </w:rPr>
              <w:t xml:space="preserve">, a </w:t>
            </w:r>
            <w:proofErr w:type="spellStart"/>
            <w:r w:rsidRPr="00DF4CE5">
              <w:rPr>
                <w:rFonts w:ascii="Cambria" w:hAnsi="Cambria" w:cs="Calibri"/>
                <w:lang w:val="it-IT"/>
              </w:rPr>
              <w:t>naročito</w:t>
            </w:r>
            <w:proofErr w:type="spellEnd"/>
            <w:r w:rsidRPr="00DF4CE5">
              <w:rPr>
                <w:rFonts w:ascii="Cambria" w:hAnsi="Cambria" w:cs="Calibri"/>
                <w:lang w:val="it-IT"/>
              </w:rPr>
              <w:t xml:space="preserve"> </w:t>
            </w:r>
            <w:proofErr w:type="spellStart"/>
            <w:r w:rsidRPr="00DF4CE5">
              <w:rPr>
                <w:rFonts w:ascii="Cambria" w:hAnsi="Cambria" w:cs="Calibri"/>
                <w:lang w:val="it-IT"/>
              </w:rPr>
              <w:t>redovito</w:t>
            </w:r>
            <w:proofErr w:type="spellEnd"/>
            <w:r w:rsidRPr="00DF4CE5">
              <w:rPr>
                <w:rFonts w:ascii="Cambria" w:hAnsi="Cambria" w:cs="Calibri"/>
                <w:lang w:val="it-IT"/>
              </w:rPr>
              <w:t xml:space="preserve"> </w:t>
            </w:r>
            <w:proofErr w:type="spellStart"/>
            <w:proofErr w:type="gramStart"/>
            <w:r w:rsidRPr="00DF4CE5">
              <w:rPr>
                <w:rFonts w:ascii="Cambria" w:hAnsi="Cambria" w:cs="Calibri"/>
                <w:lang w:val="it-IT"/>
              </w:rPr>
              <w:t>pohađati</w:t>
            </w:r>
            <w:proofErr w:type="spellEnd"/>
            <w:r w:rsidRPr="00DF4CE5">
              <w:rPr>
                <w:rFonts w:ascii="Cambria" w:hAnsi="Cambria" w:cs="Calibri"/>
                <w:lang w:val="it-IT"/>
              </w:rPr>
              <w:t xml:space="preserve">  </w:t>
            </w:r>
            <w:proofErr w:type="spellStart"/>
            <w:r w:rsidRPr="00DF4CE5">
              <w:rPr>
                <w:rFonts w:ascii="Cambria" w:hAnsi="Cambria" w:cs="Calibri"/>
                <w:lang w:val="it-IT"/>
              </w:rPr>
              <w:t>nastavu</w:t>
            </w:r>
            <w:proofErr w:type="spellEnd"/>
            <w:proofErr w:type="gramEnd"/>
            <w:r w:rsidRPr="00DF4CE5">
              <w:rPr>
                <w:rFonts w:ascii="Cambria" w:hAnsi="Cambria" w:cs="Calibri"/>
                <w:lang w:val="it-IT"/>
              </w:rPr>
              <w:t xml:space="preserve">  i </w:t>
            </w:r>
            <w:proofErr w:type="spellStart"/>
            <w:r w:rsidRPr="00DF4CE5">
              <w:rPr>
                <w:rFonts w:ascii="Cambria" w:hAnsi="Cambria" w:cs="Calibri"/>
                <w:lang w:val="it-IT"/>
              </w:rPr>
              <w:t>aktivno</w:t>
            </w:r>
            <w:proofErr w:type="spellEnd"/>
            <w:r w:rsidRPr="00DF4CE5">
              <w:rPr>
                <w:rFonts w:ascii="Cambria" w:hAnsi="Cambria" w:cs="Calibri"/>
                <w:lang w:val="it-IT"/>
              </w:rPr>
              <w:t xml:space="preserve"> </w:t>
            </w:r>
            <w:proofErr w:type="spellStart"/>
            <w:r w:rsidRPr="00DF4CE5">
              <w:rPr>
                <w:rFonts w:ascii="Cambria" w:hAnsi="Cambria" w:cs="Calibri"/>
                <w:lang w:val="it-IT"/>
              </w:rPr>
              <w:t>sudjelovati</w:t>
            </w:r>
            <w:proofErr w:type="spellEnd"/>
            <w:r w:rsidRPr="00DF4CE5">
              <w:rPr>
                <w:rFonts w:ascii="Cambria" w:hAnsi="Cambria" w:cs="Calibri"/>
                <w:lang w:val="it-IT"/>
              </w:rPr>
              <w:t xml:space="preserve"> u </w:t>
            </w:r>
            <w:proofErr w:type="spellStart"/>
            <w:proofErr w:type="gramStart"/>
            <w:r w:rsidRPr="00DF4CE5">
              <w:rPr>
                <w:rFonts w:ascii="Cambria" w:hAnsi="Cambria" w:cs="Calibri"/>
                <w:lang w:val="it-IT"/>
              </w:rPr>
              <w:t>nastavnom</w:t>
            </w:r>
            <w:proofErr w:type="spellEnd"/>
            <w:r w:rsidRPr="00DF4CE5">
              <w:rPr>
                <w:rFonts w:ascii="Cambria" w:hAnsi="Cambria" w:cs="Calibri"/>
                <w:lang w:val="it-IT"/>
              </w:rPr>
              <w:t xml:space="preserve">  </w:t>
            </w:r>
            <w:proofErr w:type="spellStart"/>
            <w:r w:rsidRPr="00DF4CE5">
              <w:rPr>
                <w:rFonts w:ascii="Cambria" w:hAnsi="Cambria" w:cs="Calibri"/>
                <w:lang w:val="it-IT"/>
              </w:rPr>
              <w:t>procesu</w:t>
            </w:r>
            <w:proofErr w:type="spellEnd"/>
            <w:proofErr w:type="gramEnd"/>
            <w:r w:rsidRPr="00DF4CE5">
              <w:rPr>
                <w:rFonts w:ascii="Cambria" w:hAnsi="Cambria" w:cs="Calibri"/>
                <w:lang w:val="it-IT"/>
              </w:rPr>
              <w:t xml:space="preserve">, </w:t>
            </w:r>
            <w:proofErr w:type="spellStart"/>
            <w:r w:rsidRPr="00DF4CE5">
              <w:rPr>
                <w:rFonts w:ascii="Cambria" w:hAnsi="Cambria" w:cs="Calibri"/>
                <w:lang w:val="it-IT"/>
              </w:rPr>
              <w:t>jer</w:t>
            </w:r>
            <w:proofErr w:type="spellEnd"/>
            <w:r w:rsidRPr="00DF4CE5">
              <w:rPr>
                <w:rFonts w:ascii="Cambria" w:hAnsi="Cambria" w:cs="Calibri"/>
                <w:lang w:val="it-IT"/>
              </w:rPr>
              <w:t xml:space="preserve"> </w:t>
            </w:r>
            <w:proofErr w:type="spellStart"/>
            <w:r w:rsidRPr="00DF4CE5">
              <w:rPr>
                <w:rFonts w:ascii="Cambria" w:hAnsi="Cambria" w:cs="Calibri"/>
                <w:lang w:val="it-IT"/>
              </w:rPr>
              <w:t>sama</w:t>
            </w:r>
            <w:proofErr w:type="spellEnd"/>
            <w:r w:rsidRPr="00DF4CE5">
              <w:rPr>
                <w:rFonts w:ascii="Cambria" w:hAnsi="Cambria" w:cs="Calibri"/>
                <w:lang w:val="it-IT"/>
              </w:rPr>
              <w:t xml:space="preserve"> </w:t>
            </w:r>
            <w:proofErr w:type="spellStart"/>
            <w:r w:rsidRPr="00DF4CE5">
              <w:rPr>
                <w:rFonts w:ascii="Cambria" w:hAnsi="Cambria" w:cs="Calibri"/>
                <w:lang w:val="it-IT"/>
              </w:rPr>
              <w:t>struktura</w:t>
            </w:r>
            <w:proofErr w:type="spellEnd"/>
            <w:r w:rsidRPr="00DF4CE5">
              <w:rPr>
                <w:rFonts w:ascii="Cambria" w:hAnsi="Cambria" w:cs="Calibri"/>
                <w:lang w:val="it-IT"/>
              </w:rPr>
              <w:t xml:space="preserve"> </w:t>
            </w:r>
            <w:proofErr w:type="spellStart"/>
            <w:r w:rsidRPr="00DF4CE5">
              <w:rPr>
                <w:rFonts w:ascii="Cambria" w:hAnsi="Cambria" w:cs="Calibri"/>
                <w:lang w:val="it-IT"/>
              </w:rPr>
              <w:t>kolegija</w:t>
            </w:r>
            <w:proofErr w:type="spellEnd"/>
            <w:r w:rsidRPr="00DF4CE5">
              <w:rPr>
                <w:rFonts w:ascii="Cambria" w:hAnsi="Cambria" w:cs="Calibri"/>
                <w:lang w:val="it-IT"/>
              </w:rPr>
              <w:t xml:space="preserve"> </w:t>
            </w:r>
            <w:proofErr w:type="spellStart"/>
            <w:r w:rsidRPr="00DF4CE5">
              <w:rPr>
                <w:rFonts w:ascii="Cambria" w:hAnsi="Cambria" w:cs="Calibri"/>
                <w:lang w:val="it-IT"/>
              </w:rPr>
              <w:t>zahtijeva</w:t>
            </w:r>
            <w:proofErr w:type="spellEnd"/>
            <w:r w:rsidRPr="00DF4CE5">
              <w:rPr>
                <w:rFonts w:ascii="Cambria" w:hAnsi="Cambria" w:cs="Calibri"/>
                <w:lang w:val="it-IT"/>
              </w:rPr>
              <w:t xml:space="preserve"> </w:t>
            </w:r>
            <w:proofErr w:type="spellStart"/>
            <w:r w:rsidRPr="00DF4CE5">
              <w:rPr>
                <w:rFonts w:ascii="Cambria" w:hAnsi="Cambria" w:cs="Calibri"/>
                <w:lang w:val="it-IT"/>
              </w:rPr>
              <w:t>stalnu</w:t>
            </w:r>
            <w:proofErr w:type="spellEnd"/>
            <w:r w:rsidRPr="00DF4CE5">
              <w:rPr>
                <w:rFonts w:ascii="Cambria" w:hAnsi="Cambria" w:cs="Calibri"/>
                <w:lang w:val="it-IT"/>
              </w:rPr>
              <w:t xml:space="preserve"> </w:t>
            </w:r>
            <w:proofErr w:type="spellStart"/>
            <w:r w:rsidRPr="00DF4CE5">
              <w:rPr>
                <w:rFonts w:ascii="Cambria" w:hAnsi="Cambria" w:cs="Calibri"/>
                <w:lang w:val="it-IT"/>
              </w:rPr>
              <w:t>prisutnost</w:t>
            </w:r>
            <w:proofErr w:type="spellEnd"/>
            <w:r w:rsidRPr="00DF4CE5">
              <w:rPr>
                <w:rFonts w:ascii="Cambria" w:hAnsi="Cambria" w:cs="Calibri"/>
                <w:lang w:val="it-IT"/>
              </w:rPr>
              <w:t xml:space="preserve"> </w:t>
            </w:r>
            <w:proofErr w:type="spellStart"/>
            <w:r w:rsidRPr="00DF4CE5">
              <w:rPr>
                <w:rFonts w:ascii="Cambria" w:hAnsi="Cambria" w:cs="Calibri"/>
                <w:lang w:val="it-IT"/>
              </w:rPr>
              <w:t>na</w:t>
            </w:r>
            <w:proofErr w:type="spellEnd"/>
            <w:r w:rsidRPr="00DF4CE5">
              <w:rPr>
                <w:rFonts w:ascii="Cambria" w:hAnsi="Cambria" w:cs="Calibri"/>
                <w:lang w:val="it-IT"/>
              </w:rPr>
              <w:t xml:space="preserve"> </w:t>
            </w:r>
            <w:proofErr w:type="spellStart"/>
            <w:r w:rsidRPr="00DF4CE5">
              <w:rPr>
                <w:rFonts w:ascii="Cambria" w:hAnsi="Cambria" w:cs="Calibri"/>
                <w:lang w:val="it-IT"/>
              </w:rPr>
              <w:t>predavanjima</w:t>
            </w:r>
            <w:proofErr w:type="spellEnd"/>
            <w:r w:rsidRPr="00DF4CE5">
              <w:rPr>
                <w:rFonts w:ascii="Cambria" w:hAnsi="Cambria" w:cs="Calibri"/>
                <w:lang w:val="it-IT"/>
              </w:rPr>
              <w:t xml:space="preserve"> i </w:t>
            </w:r>
            <w:proofErr w:type="spellStart"/>
            <w:r w:rsidRPr="00DF4CE5">
              <w:rPr>
                <w:rFonts w:ascii="Cambria" w:hAnsi="Cambria" w:cs="Calibri"/>
                <w:lang w:val="it-IT"/>
              </w:rPr>
              <w:t>seminarima</w:t>
            </w:r>
            <w:proofErr w:type="spellEnd"/>
            <w:r w:rsidRPr="00DF4CE5">
              <w:rPr>
                <w:rFonts w:ascii="Cambria" w:hAnsi="Cambria" w:cs="Calibri"/>
                <w:lang w:val="it-IT"/>
              </w:rPr>
              <w:t xml:space="preserve">. Studenti su </w:t>
            </w:r>
            <w:proofErr w:type="spellStart"/>
            <w:r w:rsidRPr="00DF4CE5">
              <w:rPr>
                <w:rFonts w:ascii="Cambria" w:hAnsi="Cambria" w:cs="Calibri"/>
                <w:lang w:val="it-IT"/>
              </w:rPr>
              <w:t>dužni</w:t>
            </w:r>
            <w:proofErr w:type="spellEnd"/>
            <w:r w:rsidRPr="00DF4CE5">
              <w:rPr>
                <w:rFonts w:ascii="Cambria" w:hAnsi="Cambria" w:cs="Calibri"/>
                <w:lang w:val="it-IT"/>
              </w:rPr>
              <w:t xml:space="preserve"> </w:t>
            </w:r>
            <w:proofErr w:type="spellStart"/>
            <w:r w:rsidRPr="00DF4CE5">
              <w:rPr>
                <w:rFonts w:ascii="Cambria" w:hAnsi="Cambria" w:cs="Calibri"/>
                <w:lang w:val="it-IT"/>
              </w:rPr>
              <w:t>izraditi</w:t>
            </w:r>
            <w:proofErr w:type="spellEnd"/>
            <w:r w:rsidRPr="00DF4CE5">
              <w:rPr>
                <w:rFonts w:ascii="Cambria" w:hAnsi="Cambria" w:cs="Calibri"/>
                <w:lang w:val="it-IT"/>
              </w:rPr>
              <w:t xml:space="preserve"> </w:t>
            </w:r>
            <w:proofErr w:type="spellStart"/>
            <w:r w:rsidRPr="00DF4CE5">
              <w:rPr>
                <w:rFonts w:ascii="Cambria" w:hAnsi="Cambria" w:cs="Calibri"/>
                <w:lang w:val="it-IT"/>
              </w:rPr>
              <w:t>zadane</w:t>
            </w:r>
            <w:proofErr w:type="spellEnd"/>
            <w:r w:rsidRPr="00DF4CE5">
              <w:rPr>
                <w:rFonts w:ascii="Cambria" w:hAnsi="Cambria" w:cs="Calibri"/>
                <w:lang w:val="it-IT"/>
              </w:rPr>
              <w:t xml:space="preserve"> </w:t>
            </w:r>
            <w:proofErr w:type="spellStart"/>
            <w:r w:rsidRPr="00DF4CE5">
              <w:rPr>
                <w:rFonts w:ascii="Cambria" w:hAnsi="Cambria" w:cs="Calibri"/>
                <w:lang w:val="it-IT"/>
              </w:rPr>
              <w:t>domaće</w:t>
            </w:r>
            <w:proofErr w:type="spellEnd"/>
            <w:r w:rsidRPr="00DF4CE5">
              <w:rPr>
                <w:rFonts w:ascii="Cambria" w:hAnsi="Cambria" w:cs="Calibri"/>
                <w:lang w:val="it-IT"/>
              </w:rPr>
              <w:t xml:space="preserve"> </w:t>
            </w:r>
            <w:proofErr w:type="spellStart"/>
            <w:r w:rsidRPr="00DF4CE5">
              <w:rPr>
                <w:rFonts w:ascii="Cambria" w:hAnsi="Cambria" w:cs="Calibri"/>
                <w:lang w:val="it-IT"/>
              </w:rPr>
              <w:t>uratke</w:t>
            </w:r>
            <w:proofErr w:type="spellEnd"/>
            <w:r w:rsidRPr="00DF4CE5">
              <w:rPr>
                <w:rFonts w:ascii="Cambria" w:hAnsi="Cambria" w:cs="Calibri"/>
                <w:lang w:val="it-IT"/>
              </w:rPr>
              <w:t xml:space="preserve"> (</w:t>
            </w:r>
            <w:proofErr w:type="spellStart"/>
            <w:r w:rsidRPr="00DF4CE5">
              <w:rPr>
                <w:rFonts w:ascii="Cambria" w:hAnsi="Cambria" w:cs="Calibri"/>
                <w:lang w:val="it-IT"/>
              </w:rPr>
              <w:t>analiza</w:t>
            </w:r>
            <w:proofErr w:type="spellEnd"/>
            <w:r w:rsidRPr="00DF4CE5">
              <w:rPr>
                <w:rFonts w:ascii="Cambria" w:hAnsi="Cambria" w:cs="Calibri"/>
                <w:lang w:val="it-IT"/>
              </w:rPr>
              <w:t xml:space="preserve"> i </w:t>
            </w:r>
            <w:proofErr w:type="spellStart"/>
            <w:r w:rsidRPr="00DF4CE5">
              <w:rPr>
                <w:rFonts w:ascii="Cambria" w:hAnsi="Cambria" w:cs="Calibri"/>
                <w:lang w:val="it-IT"/>
              </w:rPr>
              <w:t>usporedba</w:t>
            </w:r>
            <w:proofErr w:type="spellEnd"/>
            <w:r w:rsidRPr="00DF4CE5">
              <w:rPr>
                <w:rFonts w:ascii="Cambria" w:hAnsi="Cambria" w:cs="Calibri"/>
                <w:lang w:val="it-IT"/>
              </w:rPr>
              <w:t xml:space="preserve"> </w:t>
            </w:r>
            <w:proofErr w:type="spellStart"/>
            <w:r w:rsidRPr="00DF4CE5">
              <w:rPr>
                <w:rFonts w:ascii="Cambria" w:hAnsi="Cambria" w:cs="Calibri"/>
                <w:lang w:val="it-IT"/>
              </w:rPr>
              <w:t>zadanog</w:t>
            </w:r>
            <w:proofErr w:type="spellEnd"/>
            <w:r w:rsidRPr="00DF4CE5">
              <w:rPr>
                <w:rFonts w:ascii="Cambria" w:hAnsi="Cambria" w:cs="Calibri"/>
                <w:lang w:val="it-IT"/>
              </w:rPr>
              <w:t xml:space="preserve"> </w:t>
            </w:r>
            <w:proofErr w:type="spellStart"/>
            <w:r w:rsidRPr="00DF4CE5">
              <w:rPr>
                <w:rFonts w:ascii="Cambria" w:hAnsi="Cambria" w:cs="Calibri"/>
                <w:lang w:val="it-IT"/>
              </w:rPr>
              <w:t>materijala</w:t>
            </w:r>
            <w:proofErr w:type="spellEnd"/>
            <w:r w:rsidRPr="00DF4CE5">
              <w:rPr>
                <w:rFonts w:ascii="Cambria" w:hAnsi="Cambria" w:cs="Calibri"/>
                <w:lang w:val="it-IT"/>
              </w:rPr>
              <w:t xml:space="preserve">, </w:t>
            </w:r>
            <w:proofErr w:type="spellStart"/>
            <w:r w:rsidRPr="00DF4CE5">
              <w:rPr>
                <w:rFonts w:ascii="Cambria" w:hAnsi="Cambria" w:cs="Calibri"/>
                <w:lang w:val="it-IT"/>
              </w:rPr>
              <w:t>primjena</w:t>
            </w:r>
            <w:proofErr w:type="spellEnd"/>
            <w:r w:rsidRPr="00DF4CE5">
              <w:rPr>
                <w:rFonts w:ascii="Cambria" w:hAnsi="Cambria" w:cs="Calibri"/>
                <w:lang w:val="it-IT"/>
              </w:rPr>
              <w:t xml:space="preserve"> </w:t>
            </w:r>
            <w:proofErr w:type="spellStart"/>
            <w:r w:rsidRPr="00DF4CE5">
              <w:rPr>
                <w:rFonts w:ascii="Cambria" w:hAnsi="Cambria" w:cs="Calibri"/>
                <w:lang w:val="it-IT"/>
              </w:rPr>
              <w:t>obrađenih</w:t>
            </w:r>
            <w:proofErr w:type="spellEnd"/>
            <w:r w:rsidRPr="00DF4CE5">
              <w:rPr>
                <w:rFonts w:ascii="Cambria" w:hAnsi="Cambria" w:cs="Calibri"/>
                <w:lang w:val="it-IT"/>
              </w:rPr>
              <w:t xml:space="preserve"> </w:t>
            </w:r>
            <w:proofErr w:type="spellStart"/>
            <w:r w:rsidRPr="00DF4CE5">
              <w:rPr>
                <w:rFonts w:ascii="Cambria" w:hAnsi="Cambria" w:cs="Calibri"/>
                <w:lang w:val="it-IT"/>
              </w:rPr>
              <w:t>metoda</w:t>
            </w:r>
            <w:proofErr w:type="spellEnd"/>
            <w:r w:rsidRPr="00DF4CE5">
              <w:rPr>
                <w:rFonts w:ascii="Cambria" w:hAnsi="Cambria" w:cs="Calibri"/>
                <w:lang w:val="it-IT"/>
              </w:rPr>
              <w:t xml:space="preserve"> </w:t>
            </w:r>
            <w:proofErr w:type="spellStart"/>
            <w:r w:rsidRPr="00DF4CE5">
              <w:rPr>
                <w:rFonts w:ascii="Cambria" w:hAnsi="Cambria" w:cs="Calibri"/>
                <w:lang w:val="it-IT"/>
              </w:rPr>
              <w:t>na</w:t>
            </w:r>
            <w:proofErr w:type="spellEnd"/>
            <w:r w:rsidRPr="00DF4CE5">
              <w:rPr>
                <w:rFonts w:ascii="Cambria" w:hAnsi="Cambria" w:cs="Calibri"/>
                <w:lang w:val="it-IT"/>
              </w:rPr>
              <w:t xml:space="preserve"> </w:t>
            </w:r>
            <w:proofErr w:type="spellStart"/>
            <w:r w:rsidRPr="00DF4CE5">
              <w:rPr>
                <w:rFonts w:ascii="Cambria" w:hAnsi="Cambria" w:cs="Calibri"/>
                <w:lang w:val="it-IT"/>
              </w:rPr>
              <w:t>konkretnom</w:t>
            </w:r>
            <w:proofErr w:type="spellEnd"/>
            <w:r w:rsidRPr="00DF4CE5">
              <w:rPr>
                <w:rFonts w:ascii="Cambria" w:hAnsi="Cambria" w:cs="Calibri"/>
                <w:lang w:val="it-IT"/>
              </w:rPr>
              <w:t xml:space="preserve"> </w:t>
            </w:r>
            <w:proofErr w:type="spellStart"/>
            <w:r w:rsidRPr="00DF4CE5">
              <w:rPr>
                <w:rFonts w:ascii="Cambria" w:hAnsi="Cambria" w:cs="Calibri"/>
                <w:lang w:val="it-IT"/>
              </w:rPr>
              <w:t>zadatku</w:t>
            </w:r>
            <w:proofErr w:type="spellEnd"/>
            <w:r w:rsidRPr="00DF4CE5">
              <w:rPr>
                <w:rFonts w:ascii="Cambria" w:hAnsi="Cambria" w:cs="Calibri"/>
                <w:lang w:val="it-IT"/>
              </w:rPr>
              <w:t xml:space="preserve">). </w:t>
            </w:r>
            <w:r w:rsidRPr="00DF4CE5">
              <w:rPr>
                <w:rFonts w:ascii="Cambria" w:hAnsi="Cambria" w:cs="Calibri"/>
                <w:lang w:val="pl-PL"/>
              </w:rPr>
              <w:t>U semestru se pi</w:t>
            </w:r>
            <w:r w:rsidRPr="00DF4CE5">
              <w:rPr>
                <w:rFonts w:ascii="Cambria" w:hAnsi="Cambria" w:cs="Calibri"/>
                <w:lang w:val="it-IT"/>
              </w:rPr>
              <w:t>š</w:t>
            </w:r>
            <w:r w:rsidRPr="00DF4CE5">
              <w:rPr>
                <w:rFonts w:ascii="Cambria" w:hAnsi="Cambria" w:cs="Calibri"/>
                <w:lang w:val="pl-PL"/>
              </w:rPr>
              <w:t>u dva kolokvija</w:t>
            </w:r>
            <w:r w:rsidRPr="00DF4CE5">
              <w:rPr>
                <w:rFonts w:ascii="Cambria" w:hAnsi="Cambria" w:cs="Calibri"/>
                <w:lang w:val="it-IT"/>
              </w:rPr>
              <w:t xml:space="preserve"> (</w:t>
            </w:r>
            <w:proofErr w:type="spellStart"/>
            <w:r w:rsidRPr="00DF4CE5">
              <w:rPr>
                <w:rFonts w:ascii="Cambria" w:hAnsi="Cambria" w:cs="Calibri"/>
                <w:lang w:val="it-IT"/>
              </w:rPr>
              <w:t>sredinom</w:t>
            </w:r>
            <w:proofErr w:type="spellEnd"/>
            <w:r w:rsidRPr="00DF4CE5">
              <w:rPr>
                <w:rFonts w:ascii="Cambria" w:hAnsi="Cambria" w:cs="Calibri"/>
                <w:lang w:val="it-IT"/>
              </w:rPr>
              <w:t xml:space="preserve"> i </w:t>
            </w:r>
            <w:proofErr w:type="spellStart"/>
            <w:r w:rsidRPr="00DF4CE5">
              <w:rPr>
                <w:rFonts w:ascii="Cambria" w:hAnsi="Cambria" w:cs="Calibri"/>
                <w:lang w:val="it-IT"/>
              </w:rPr>
              <w:t>na</w:t>
            </w:r>
            <w:proofErr w:type="spellEnd"/>
            <w:r w:rsidRPr="00DF4CE5">
              <w:rPr>
                <w:rFonts w:ascii="Cambria" w:hAnsi="Cambria" w:cs="Calibri"/>
                <w:lang w:val="it-IT"/>
              </w:rPr>
              <w:t xml:space="preserve"> </w:t>
            </w:r>
            <w:proofErr w:type="spellStart"/>
            <w:r w:rsidRPr="00DF4CE5">
              <w:rPr>
                <w:rFonts w:ascii="Cambria" w:hAnsi="Cambria" w:cs="Calibri"/>
                <w:lang w:val="it-IT"/>
              </w:rPr>
              <w:t>kraju</w:t>
            </w:r>
            <w:proofErr w:type="spellEnd"/>
            <w:r w:rsidRPr="00DF4CE5">
              <w:rPr>
                <w:rFonts w:ascii="Cambria" w:hAnsi="Cambria" w:cs="Calibri"/>
                <w:lang w:val="it-IT"/>
              </w:rPr>
              <w:t xml:space="preserve"> </w:t>
            </w:r>
            <w:proofErr w:type="spellStart"/>
            <w:r w:rsidRPr="00DF4CE5">
              <w:rPr>
                <w:rFonts w:ascii="Cambria" w:hAnsi="Cambria" w:cs="Calibri"/>
                <w:lang w:val="it-IT"/>
              </w:rPr>
              <w:t>semestra</w:t>
            </w:r>
            <w:proofErr w:type="spellEnd"/>
            <w:r w:rsidRPr="00DF4CE5">
              <w:rPr>
                <w:rFonts w:ascii="Cambria" w:hAnsi="Cambria" w:cs="Calibri"/>
                <w:lang w:val="it-IT"/>
              </w:rPr>
              <w:t xml:space="preserve">). Studenti </w:t>
            </w:r>
            <w:proofErr w:type="spellStart"/>
            <w:r w:rsidRPr="00DF4CE5">
              <w:rPr>
                <w:rFonts w:ascii="Cambria" w:hAnsi="Cambria" w:cs="Calibri"/>
                <w:lang w:val="it-IT"/>
              </w:rPr>
              <w:t>imaju</w:t>
            </w:r>
            <w:proofErr w:type="spellEnd"/>
            <w:r w:rsidRPr="00DF4CE5">
              <w:rPr>
                <w:rFonts w:ascii="Cambria" w:hAnsi="Cambria" w:cs="Calibri"/>
                <w:lang w:val="it-IT"/>
              </w:rPr>
              <w:t xml:space="preserve"> </w:t>
            </w:r>
            <w:proofErr w:type="spellStart"/>
            <w:r w:rsidRPr="00DF4CE5">
              <w:rPr>
                <w:rFonts w:ascii="Cambria" w:hAnsi="Cambria" w:cs="Calibri"/>
                <w:lang w:val="it-IT"/>
              </w:rPr>
              <w:t>obvezu</w:t>
            </w:r>
            <w:proofErr w:type="spellEnd"/>
            <w:r w:rsidRPr="00DF4CE5">
              <w:rPr>
                <w:rFonts w:ascii="Cambria" w:hAnsi="Cambria" w:cs="Calibri"/>
                <w:lang w:val="it-IT"/>
              </w:rPr>
              <w:t xml:space="preserve"> </w:t>
            </w:r>
            <w:proofErr w:type="spellStart"/>
            <w:r w:rsidRPr="00DF4CE5">
              <w:rPr>
                <w:rFonts w:ascii="Cambria" w:hAnsi="Cambria" w:cs="Calibri"/>
                <w:lang w:val="it-IT"/>
              </w:rPr>
              <w:t>napisati</w:t>
            </w:r>
            <w:proofErr w:type="spellEnd"/>
            <w:r w:rsidRPr="00DF4CE5">
              <w:rPr>
                <w:rFonts w:ascii="Cambria" w:hAnsi="Cambria" w:cs="Calibri"/>
                <w:lang w:val="it-IT"/>
              </w:rPr>
              <w:t xml:space="preserve"> i </w:t>
            </w:r>
            <w:proofErr w:type="spellStart"/>
            <w:r w:rsidRPr="00DF4CE5">
              <w:rPr>
                <w:rFonts w:ascii="Cambria" w:hAnsi="Cambria" w:cs="Calibri"/>
                <w:lang w:val="it-IT"/>
              </w:rPr>
              <w:t>prezentirati</w:t>
            </w:r>
            <w:proofErr w:type="spellEnd"/>
            <w:r w:rsidRPr="00DF4CE5">
              <w:rPr>
                <w:rFonts w:ascii="Cambria" w:hAnsi="Cambria" w:cs="Calibri"/>
                <w:lang w:val="it-IT"/>
              </w:rPr>
              <w:t xml:space="preserve"> seminar (</w:t>
            </w:r>
            <w:proofErr w:type="spellStart"/>
            <w:r w:rsidRPr="00DF4CE5">
              <w:rPr>
                <w:rFonts w:ascii="Cambria" w:hAnsi="Cambria" w:cs="Calibri"/>
                <w:lang w:val="it-IT"/>
              </w:rPr>
              <w:t>individualni</w:t>
            </w:r>
            <w:proofErr w:type="spellEnd"/>
            <w:r w:rsidRPr="00DF4CE5">
              <w:rPr>
                <w:rFonts w:ascii="Cambria" w:hAnsi="Cambria" w:cs="Calibri"/>
                <w:lang w:val="it-IT"/>
              </w:rPr>
              <w:t xml:space="preserve"> rad) ili </w:t>
            </w:r>
            <w:proofErr w:type="spellStart"/>
            <w:r w:rsidRPr="00DF4CE5">
              <w:rPr>
                <w:rFonts w:ascii="Cambria" w:hAnsi="Cambria" w:cs="Calibri"/>
                <w:lang w:val="it-IT"/>
              </w:rPr>
              <w:t>prezentirati</w:t>
            </w:r>
            <w:proofErr w:type="spellEnd"/>
            <w:r w:rsidRPr="00DF4CE5">
              <w:rPr>
                <w:rFonts w:ascii="Cambria" w:hAnsi="Cambria" w:cs="Calibri"/>
                <w:lang w:val="it-IT"/>
              </w:rPr>
              <w:t xml:space="preserve"> </w:t>
            </w:r>
            <w:proofErr w:type="spellStart"/>
            <w:r w:rsidRPr="00DF4CE5">
              <w:rPr>
                <w:rFonts w:ascii="Cambria" w:hAnsi="Cambria" w:cs="Calibri"/>
                <w:lang w:val="it-IT"/>
              </w:rPr>
              <w:t>projekt</w:t>
            </w:r>
            <w:proofErr w:type="spellEnd"/>
            <w:r w:rsidRPr="00DF4CE5">
              <w:rPr>
                <w:rFonts w:ascii="Cambria" w:hAnsi="Cambria" w:cs="Calibri"/>
                <w:lang w:val="it-IT"/>
              </w:rPr>
              <w:t xml:space="preserve"> (</w:t>
            </w:r>
            <w:proofErr w:type="spellStart"/>
            <w:r w:rsidRPr="00DF4CE5">
              <w:rPr>
                <w:rFonts w:ascii="Cambria" w:hAnsi="Cambria" w:cs="Calibri"/>
                <w:lang w:val="it-IT"/>
              </w:rPr>
              <w:t>grupni</w:t>
            </w:r>
            <w:proofErr w:type="spellEnd"/>
            <w:r w:rsidRPr="00DF4CE5">
              <w:rPr>
                <w:rFonts w:ascii="Cambria" w:hAnsi="Cambria" w:cs="Calibri"/>
                <w:lang w:val="it-IT"/>
              </w:rPr>
              <w:t xml:space="preserve"> rad) </w:t>
            </w:r>
            <w:proofErr w:type="spellStart"/>
            <w:r w:rsidRPr="00DF4CE5">
              <w:rPr>
                <w:rFonts w:ascii="Cambria" w:hAnsi="Cambria" w:cs="Calibri"/>
                <w:lang w:val="it-IT"/>
              </w:rPr>
              <w:t>koji</w:t>
            </w:r>
            <w:proofErr w:type="spellEnd"/>
            <w:r w:rsidRPr="00DF4CE5">
              <w:rPr>
                <w:rFonts w:ascii="Cambria" w:hAnsi="Cambria" w:cs="Calibri"/>
                <w:lang w:val="it-IT"/>
              </w:rPr>
              <w:t xml:space="preserve"> se </w:t>
            </w:r>
            <w:proofErr w:type="spellStart"/>
            <w:r w:rsidRPr="00DF4CE5">
              <w:rPr>
                <w:rFonts w:ascii="Cambria" w:hAnsi="Cambria" w:cs="Calibri"/>
                <w:lang w:val="it-IT"/>
              </w:rPr>
              <w:t>predaju</w:t>
            </w:r>
            <w:proofErr w:type="spellEnd"/>
            <w:r w:rsidRPr="00DF4CE5">
              <w:rPr>
                <w:rFonts w:ascii="Cambria" w:hAnsi="Cambria" w:cs="Calibri"/>
                <w:lang w:val="it-IT"/>
              </w:rPr>
              <w:t xml:space="preserve"> u </w:t>
            </w:r>
            <w:proofErr w:type="spellStart"/>
            <w:r w:rsidRPr="00DF4CE5">
              <w:rPr>
                <w:rFonts w:ascii="Cambria" w:hAnsi="Cambria" w:cs="Calibri"/>
                <w:lang w:val="it-IT"/>
              </w:rPr>
              <w:t>elektroničkom</w:t>
            </w:r>
            <w:proofErr w:type="spellEnd"/>
            <w:r w:rsidRPr="00DF4CE5">
              <w:rPr>
                <w:rFonts w:ascii="Cambria" w:hAnsi="Cambria" w:cs="Calibri"/>
                <w:lang w:val="it-IT"/>
              </w:rPr>
              <w:t xml:space="preserve"> </w:t>
            </w:r>
            <w:proofErr w:type="spellStart"/>
            <w:r w:rsidRPr="00DF4CE5">
              <w:rPr>
                <w:rFonts w:ascii="Cambria" w:hAnsi="Cambria" w:cs="Calibri"/>
                <w:lang w:val="it-IT"/>
              </w:rPr>
              <w:t>obliku</w:t>
            </w:r>
            <w:proofErr w:type="spellEnd"/>
            <w:r w:rsidRPr="00DF4CE5">
              <w:rPr>
                <w:rFonts w:ascii="Cambria" w:hAnsi="Cambria" w:cs="Calibri"/>
                <w:lang w:val="it-IT"/>
              </w:rPr>
              <w:t xml:space="preserve">. U </w:t>
            </w:r>
            <w:proofErr w:type="spellStart"/>
            <w:r w:rsidRPr="00DF4CE5">
              <w:rPr>
                <w:rFonts w:ascii="Cambria" w:hAnsi="Cambria" w:cs="Calibri"/>
                <w:lang w:val="it-IT"/>
              </w:rPr>
              <w:t>posljednjem</w:t>
            </w:r>
            <w:proofErr w:type="spellEnd"/>
            <w:r w:rsidRPr="00DF4CE5">
              <w:rPr>
                <w:rFonts w:ascii="Cambria" w:hAnsi="Cambria" w:cs="Calibri"/>
                <w:lang w:val="it-IT"/>
              </w:rPr>
              <w:t xml:space="preserve"> </w:t>
            </w:r>
            <w:proofErr w:type="spellStart"/>
            <w:r w:rsidRPr="00DF4CE5">
              <w:rPr>
                <w:rFonts w:ascii="Cambria" w:hAnsi="Cambria" w:cs="Calibri"/>
                <w:lang w:val="it-IT"/>
              </w:rPr>
              <w:t>tjednu</w:t>
            </w:r>
            <w:proofErr w:type="spellEnd"/>
            <w:r w:rsidRPr="00DF4CE5">
              <w:rPr>
                <w:rFonts w:ascii="Cambria" w:hAnsi="Cambria" w:cs="Calibri"/>
                <w:lang w:val="it-IT"/>
              </w:rPr>
              <w:t xml:space="preserve"> </w:t>
            </w:r>
            <w:proofErr w:type="spellStart"/>
            <w:r w:rsidRPr="00DF4CE5">
              <w:rPr>
                <w:rFonts w:ascii="Cambria" w:hAnsi="Cambria" w:cs="Calibri"/>
                <w:lang w:val="it-IT"/>
              </w:rPr>
              <w:t>siječnja</w:t>
            </w:r>
            <w:proofErr w:type="spellEnd"/>
            <w:r w:rsidRPr="00DF4CE5">
              <w:rPr>
                <w:rFonts w:ascii="Cambria" w:hAnsi="Cambria" w:cs="Calibri"/>
                <w:lang w:val="it-IT"/>
              </w:rPr>
              <w:t xml:space="preserve"> </w:t>
            </w:r>
            <w:proofErr w:type="spellStart"/>
            <w:r w:rsidRPr="00DF4CE5">
              <w:rPr>
                <w:rFonts w:ascii="Cambria" w:hAnsi="Cambria" w:cs="Calibri"/>
                <w:lang w:val="it-IT"/>
              </w:rPr>
              <w:t>održat</w:t>
            </w:r>
            <w:proofErr w:type="spellEnd"/>
            <w:r w:rsidRPr="00DF4CE5">
              <w:rPr>
                <w:rFonts w:ascii="Cambria" w:hAnsi="Cambria" w:cs="Calibri"/>
                <w:lang w:val="it-IT"/>
              </w:rPr>
              <w:t xml:space="preserve"> </w:t>
            </w:r>
            <w:proofErr w:type="spellStart"/>
            <w:r w:rsidRPr="00DF4CE5">
              <w:rPr>
                <w:rFonts w:ascii="Cambria" w:hAnsi="Cambria" w:cs="Calibri"/>
                <w:lang w:val="it-IT"/>
              </w:rPr>
              <w:t>će</w:t>
            </w:r>
            <w:proofErr w:type="spellEnd"/>
            <w:r w:rsidRPr="00DF4CE5">
              <w:rPr>
                <w:rFonts w:ascii="Cambria" w:hAnsi="Cambria" w:cs="Calibri"/>
                <w:lang w:val="it-IT"/>
              </w:rPr>
              <w:t xml:space="preserve"> se </w:t>
            </w:r>
            <w:proofErr w:type="spellStart"/>
            <w:r w:rsidRPr="00DF4CE5">
              <w:rPr>
                <w:rFonts w:ascii="Cambria" w:hAnsi="Cambria" w:cs="Calibri"/>
                <w:lang w:val="it-IT"/>
              </w:rPr>
              <w:t>popravni</w:t>
            </w:r>
            <w:proofErr w:type="spellEnd"/>
            <w:r w:rsidRPr="00DF4CE5">
              <w:rPr>
                <w:rFonts w:ascii="Cambria" w:hAnsi="Cambria" w:cs="Calibri"/>
                <w:lang w:val="it-IT"/>
              </w:rPr>
              <w:t xml:space="preserve"> </w:t>
            </w:r>
            <w:proofErr w:type="spellStart"/>
            <w:r w:rsidRPr="00DF4CE5">
              <w:rPr>
                <w:rFonts w:ascii="Cambria" w:hAnsi="Cambria" w:cs="Calibri"/>
                <w:lang w:val="it-IT"/>
              </w:rPr>
              <w:t>kolokvij</w:t>
            </w:r>
            <w:proofErr w:type="spellEnd"/>
            <w:r w:rsidRPr="00DF4CE5">
              <w:rPr>
                <w:rFonts w:ascii="Cambria" w:hAnsi="Cambria" w:cs="Calibri"/>
                <w:lang w:val="it-IT"/>
              </w:rPr>
              <w:t xml:space="preserve"> za studente </w:t>
            </w:r>
            <w:proofErr w:type="spellStart"/>
            <w:r w:rsidRPr="00DF4CE5">
              <w:rPr>
                <w:rFonts w:ascii="Cambria" w:hAnsi="Cambria" w:cs="Calibri"/>
                <w:lang w:val="it-IT"/>
              </w:rPr>
              <w:t>koji</w:t>
            </w:r>
            <w:proofErr w:type="spellEnd"/>
            <w:r w:rsidRPr="00DF4CE5">
              <w:rPr>
                <w:rFonts w:ascii="Cambria" w:hAnsi="Cambria" w:cs="Calibri"/>
                <w:lang w:val="it-IT"/>
              </w:rPr>
              <w:t xml:space="preserve"> </w:t>
            </w:r>
            <w:proofErr w:type="spellStart"/>
            <w:r w:rsidRPr="00DF4CE5">
              <w:rPr>
                <w:rFonts w:ascii="Cambria" w:hAnsi="Cambria" w:cs="Calibri"/>
                <w:lang w:val="it-IT"/>
              </w:rPr>
              <w:t>iz</w:t>
            </w:r>
            <w:proofErr w:type="spellEnd"/>
            <w:r w:rsidRPr="00DF4CE5">
              <w:rPr>
                <w:rFonts w:ascii="Cambria" w:hAnsi="Cambria" w:cs="Calibri"/>
                <w:lang w:val="it-IT"/>
              </w:rPr>
              <w:t xml:space="preserve"> </w:t>
            </w:r>
            <w:proofErr w:type="spellStart"/>
            <w:r w:rsidRPr="00DF4CE5">
              <w:rPr>
                <w:rFonts w:ascii="Cambria" w:hAnsi="Cambria" w:cs="Calibri"/>
                <w:lang w:val="it-IT"/>
              </w:rPr>
              <w:t>opravdanih</w:t>
            </w:r>
            <w:proofErr w:type="spellEnd"/>
            <w:r w:rsidRPr="00DF4CE5">
              <w:rPr>
                <w:rFonts w:ascii="Cambria" w:hAnsi="Cambria" w:cs="Calibri"/>
                <w:lang w:val="it-IT"/>
              </w:rPr>
              <w:t xml:space="preserve"> </w:t>
            </w:r>
            <w:proofErr w:type="spellStart"/>
            <w:r w:rsidRPr="00DF4CE5">
              <w:rPr>
                <w:rFonts w:ascii="Cambria" w:hAnsi="Cambria" w:cs="Calibri"/>
                <w:lang w:val="it-IT"/>
              </w:rPr>
              <w:t>razloga</w:t>
            </w:r>
            <w:proofErr w:type="spellEnd"/>
            <w:r w:rsidRPr="00DF4CE5">
              <w:rPr>
                <w:rFonts w:ascii="Cambria" w:hAnsi="Cambria" w:cs="Calibri"/>
                <w:lang w:val="it-IT"/>
              </w:rPr>
              <w:t xml:space="preserve"> </w:t>
            </w:r>
            <w:proofErr w:type="spellStart"/>
            <w:r w:rsidRPr="00DF4CE5">
              <w:rPr>
                <w:rFonts w:ascii="Cambria" w:hAnsi="Cambria" w:cs="Calibri"/>
                <w:lang w:val="it-IT"/>
              </w:rPr>
              <w:t>nisu</w:t>
            </w:r>
            <w:proofErr w:type="spellEnd"/>
            <w:r w:rsidRPr="00DF4CE5">
              <w:rPr>
                <w:rFonts w:ascii="Cambria" w:hAnsi="Cambria" w:cs="Calibri"/>
                <w:lang w:val="it-IT"/>
              </w:rPr>
              <w:t xml:space="preserve"> </w:t>
            </w:r>
            <w:proofErr w:type="spellStart"/>
            <w:r w:rsidRPr="00DF4CE5">
              <w:rPr>
                <w:rFonts w:ascii="Cambria" w:hAnsi="Cambria" w:cs="Calibri"/>
                <w:lang w:val="it-IT"/>
              </w:rPr>
              <w:t>pristupili</w:t>
            </w:r>
            <w:proofErr w:type="spellEnd"/>
            <w:r w:rsidRPr="00DF4CE5">
              <w:rPr>
                <w:rFonts w:ascii="Cambria" w:hAnsi="Cambria" w:cs="Calibri"/>
                <w:lang w:val="it-IT"/>
              </w:rPr>
              <w:t xml:space="preserve"> ili </w:t>
            </w:r>
            <w:proofErr w:type="spellStart"/>
            <w:r w:rsidRPr="00DF4CE5">
              <w:rPr>
                <w:rFonts w:ascii="Cambria" w:hAnsi="Cambria" w:cs="Calibri"/>
                <w:lang w:val="it-IT"/>
              </w:rPr>
              <w:t>zadovoljili</w:t>
            </w:r>
            <w:proofErr w:type="spellEnd"/>
            <w:r w:rsidRPr="00DF4CE5">
              <w:rPr>
                <w:rFonts w:ascii="Cambria" w:hAnsi="Cambria" w:cs="Calibri"/>
                <w:lang w:val="it-IT"/>
              </w:rPr>
              <w:t xml:space="preserve"> </w:t>
            </w:r>
            <w:proofErr w:type="spellStart"/>
            <w:r w:rsidRPr="00DF4CE5">
              <w:rPr>
                <w:rFonts w:ascii="Cambria" w:hAnsi="Cambria" w:cs="Calibri"/>
                <w:lang w:val="it-IT"/>
              </w:rPr>
              <w:t>na</w:t>
            </w:r>
            <w:proofErr w:type="spellEnd"/>
            <w:r w:rsidRPr="00DF4CE5">
              <w:rPr>
                <w:rFonts w:ascii="Cambria" w:hAnsi="Cambria" w:cs="Calibri"/>
                <w:lang w:val="it-IT"/>
              </w:rPr>
              <w:t xml:space="preserve"> </w:t>
            </w:r>
            <w:proofErr w:type="spellStart"/>
            <w:r w:rsidRPr="00DF4CE5">
              <w:rPr>
                <w:rFonts w:ascii="Cambria" w:hAnsi="Cambria" w:cs="Calibri"/>
                <w:lang w:val="it-IT"/>
              </w:rPr>
              <w:t>redovnom</w:t>
            </w:r>
            <w:proofErr w:type="spellEnd"/>
            <w:r w:rsidRPr="00DF4CE5">
              <w:rPr>
                <w:rFonts w:ascii="Cambria" w:hAnsi="Cambria" w:cs="Calibri"/>
                <w:lang w:val="it-IT"/>
              </w:rPr>
              <w:t xml:space="preserve"> </w:t>
            </w:r>
            <w:proofErr w:type="spellStart"/>
            <w:r w:rsidRPr="00DF4CE5">
              <w:rPr>
                <w:rFonts w:ascii="Cambria" w:hAnsi="Cambria" w:cs="Calibri"/>
                <w:lang w:val="it-IT"/>
              </w:rPr>
              <w:t>kolokviju</w:t>
            </w:r>
            <w:proofErr w:type="spellEnd"/>
            <w:r w:rsidRPr="00DF4CE5">
              <w:rPr>
                <w:rFonts w:ascii="Cambria" w:hAnsi="Cambria" w:cs="Calibri"/>
                <w:lang w:val="it-IT"/>
              </w:rPr>
              <w:t xml:space="preserve">. </w:t>
            </w:r>
          </w:p>
          <w:p w14:paraId="55B78EA9" w14:textId="71514153" w:rsidR="007A75FD" w:rsidRPr="00DF4CE5" w:rsidRDefault="007A75FD" w:rsidP="007A75FD">
            <w:pPr>
              <w:spacing w:after="0"/>
              <w:rPr>
                <w:rFonts w:ascii="Cambria" w:hAnsi="Cambria" w:cs="Calibri"/>
                <w:lang w:val="it-IT"/>
              </w:rPr>
            </w:pPr>
            <w:proofErr w:type="spellStart"/>
            <w:r w:rsidRPr="00DF4CE5">
              <w:rPr>
                <w:rFonts w:ascii="Cambria" w:hAnsi="Cambria" w:cs="Calibri"/>
                <w:lang w:val="it-IT"/>
              </w:rPr>
              <w:lastRenderedPageBreak/>
              <w:t>Kolokviji</w:t>
            </w:r>
            <w:proofErr w:type="spellEnd"/>
            <w:r w:rsidRPr="00DF4CE5">
              <w:rPr>
                <w:rFonts w:ascii="Cambria" w:hAnsi="Cambria" w:cs="Calibri"/>
                <w:lang w:val="it-IT"/>
              </w:rPr>
              <w:t xml:space="preserve"> se </w:t>
            </w:r>
            <w:proofErr w:type="spellStart"/>
            <w:r w:rsidRPr="00DF4CE5">
              <w:rPr>
                <w:rFonts w:ascii="Cambria" w:hAnsi="Cambria" w:cs="Calibri"/>
                <w:lang w:val="it-IT"/>
              </w:rPr>
              <w:t>sastoje</w:t>
            </w:r>
            <w:proofErr w:type="spellEnd"/>
            <w:r w:rsidRPr="00DF4CE5">
              <w:rPr>
                <w:rFonts w:ascii="Cambria" w:hAnsi="Cambria" w:cs="Calibri"/>
                <w:lang w:val="it-IT"/>
              </w:rPr>
              <w:t xml:space="preserve"> </w:t>
            </w:r>
            <w:proofErr w:type="gramStart"/>
            <w:r w:rsidRPr="00DF4CE5">
              <w:rPr>
                <w:rFonts w:ascii="Cambria" w:hAnsi="Cambria" w:cs="Calibri"/>
                <w:lang w:val="it-IT"/>
              </w:rPr>
              <w:t>od</w:t>
            </w:r>
            <w:proofErr w:type="gramEnd"/>
            <w:r w:rsidRPr="00DF4CE5">
              <w:rPr>
                <w:rFonts w:ascii="Cambria" w:hAnsi="Cambria" w:cs="Calibri"/>
                <w:lang w:val="it-IT"/>
              </w:rPr>
              <w:t xml:space="preserve"> </w:t>
            </w:r>
            <w:proofErr w:type="spellStart"/>
            <w:r w:rsidRPr="00DF4CE5">
              <w:rPr>
                <w:rFonts w:ascii="Cambria" w:hAnsi="Cambria" w:cs="Calibri"/>
                <w:lang w:val="it-IT"/>
              </w:rPr>
              <w:t>pitanja</w:t>
            </w:r>
            <w:proofErr w:type="spellEnd"/>
            <w:r w:rsidRPr="00DF4CE5">
              <w:rPr>
                <w:rFonts w:ascii="Cambria" w:hAnsi="Cambria" w:cs="Calibri"/>
                <w:lang w:val="it-IT"/>
              </w:rPr>
              <w:t xml:space="preserve"> </w:t>
            </w:r>
            <w:proofErr w:type="spellStart"/>
            <w:r w:rsidRPr="00DF4CE5">
              <w:rPr>
                <w:rFonts w:ascii="Cambria" w:hAnsi="Cambria" w:cs="Calibri"/>
                <w:lang w:val="it-IT"/>
              </w:rPr>
              <w:t>esejskog</w:t>
            </w:r>
            <w:proofErr w:type="spellEnd"/>
            <w:r w:rsidRPr="00DF4CE5">
              <w:rPr>
                <w:rFonts w:ascii="Cambria" w:hAnsi="Cambria" w:cs="Calibri"/>
                <w:lang w:val="it-IT"/>
              </w:rPr>
              <w:t xml:space="preserve"> tipa </w:t>
            </w:r>
            <w:proofErr w:type="spellStart"/>
            <w:r w:rsidRPr="00DF4CE5">
              <w:rPr>
                <w:rFonts w:ascii="Cambria" w:hAnsi="Cambria" w:cs="Calibri"/>
                <w:lang w:val="it-IT"/>
              </w:rPr>
              <w:t>na</w:t>
            </w:r>
            <w:proofErr w:type="spellEnd"/>
            <w:r w:rsidRPr="00DF4CE5">
              <w:rPr>
                <w:rFonts w:ascii="Cambria" w:hAnsi="Cambria" w:cs="Calibri"/>
                <w:lang w:val="it-IT"/>
              </w:rPr>
              <w:t xml:space="preserve"> </w:t>
            </w:r>
            <w:proofErr w:type="spellStart"/>
            <w:r w:rsidRPr="00DF4CE5">
              <w:rPr>
                <w:rFonts w:ascii="Cambria" w:hAnsi="Cambria" w:cs="Calibri"/>
                <w:lang w:val="it-IT"/>
              </w:rPr>
              <w:t>koja</w:t>
            </w:r>
            <w:proofErr w:type="spellEnd"/>
            <w:r w:rsidRPr="00DF4CE5">
              <w:rPr>
                <w:rFonts w:ascii="Cambria" w:hAnsi="Cambria" w:cs="Calibri"/>
                <w:lang w:val="it-IT"/>
              </w:rPr>
              <w:t xml:space="preserve"> studenti </w:t>
            </w:r>
            <w:proofErr w:type="spellStart"/>
            <w:r w:rsidRPr="00DF4CE5">
              <w:rPr>
                <w:rFonts w:ascii="Cambria" w:hAnsi="Cambria" w:cs="Calibri"/>
                <w:lang w:val="it-IT"/>
              </w:rPr>
              <w:t>moraju</w:t>
            </w:r>
            <w:proofErr w:type="spellEnd"/>
            <w:r w:rsidRPr="00DF4CE5">
              <w:rPr>
                <w:rFonts w:ascii="Cambria" w:hAnsi="Cambria" w:cs="Calibri"/>
                <w:lang w:val="it-IT"/>
              </w:rPr>
              <w:t xml:space="preserve"> </w:t>
            </w:r>
            <w:proofErr w:type="spellStart"/>
            <w:r w:rsidRPr="00DF4CE5">
              <w:rPr>
                <w:rFonts w:ascii="Cambria" w:hAnsi="Cambria" w:cs="Calibri"/>
                <w:lang w:val="it-IT"/>
              </w:rPr>
              <w:t>odgovoriti</w:t>
            </w:r>
            <w:proofErr w:type="spellEnd"/>
            <w:r w:rsidRPr="00DF4CE5">
              <w:rPr>
                <w:rFonts w:ascii="Cambria" w:hAnsi="Cambria" w:cs="Calibri"/>
                <w:lang w:val="it-IT"/>
              </w:rPr>
              <w:t xml:space="preserve"> </w:t>
            </w:r>
            <w:proofErr w:type="spellStart"/>
            <w:r w:rsidRPr="00DF4CE5">
              <w:rPr>
                <w:rFonts w:ascii="Cambria" w:hAnsi="Cambria" w:cs="Calibri"/>
                <w:lang w:val="it-IT"/>
              </w:rPr>
              <w:t>primjenjujući</w:t>
            </w:r>
            <w:proofErr w:type="spellEnd"/>
            <w:r w:rsidRPr="00DF4CE5">
              <w:rPr>
                <w:rFonts w:ascii="Cambria" w:hAnsi="Cambria" w:cs="Calibri"/>
                <w:lang w:val="it-IT"/>
              </w:rPr>
              <w:t xml:space="preserve"> </w:t>
            </w:r>
            <w:proofErr w:type="spellStart"/>
            <w:r w:rsidRPr="00DF4CE5">
              <w:rPr>
                <w:rFonts w:ascii="Cambria" w:hAnsi="Cambria" w:cs="Calibri"/>
                <w:lang w:val="it-IT"/>
              </w:rPr>
              <w:t>znanje</w:t>
            </w:r>
            <w:proofErr w:type="spellEnd"/>
            <w:r w:rsidRPr="00DF4CE5">
              <w:rPr>
                <w:rFonts w:ascii="Cambria" w:hAnsi="Cambria" w:cs="Calibri"/>
                <w:lang w:val="it-IT"/>
              </w:rPr>
              <w:t xml:space="preserve"> </w:t>
            </w:r>
            <w:proofErr w:type="spellStart"/>
            <w:r w:rsidRPr="00DF4CE5">
              <w:rPr>
                <w:rFonts w:ascii="Cambria" w:hAnsi="Cambria" w:cs="Calibri"/>
                <w:lang w:val="it-IT"/>
              </w:rPr>
              <w:t>stečeno</w:t>
            </w:r>
            <w:proofErr w:type="spellEnd"/>
            <w:r w:rsidRPr="00DF4CE5">
              <w:rPr>
                <w:rFonts w:ascii="Cambria" w:hAnsi="Cambria" w:cs="Calibri"/>
                <w:lang w:val="it-IT"/>
              </w:rPr>
              <w:t xml:space="preserve"> </w:t>
            </w:r>
            <w:proofErr w:type="spellStart"/>
            <w:r w:rsidRPr="00DF4CE5">
              <w:rPr>
                <w:rFonts w:ascii="Cambria" w:hAnsi="Cambria" w:cs="Calibri"/>
                <w:lang w:val="it-IT"/>
              </w:rPr>
              <w:t>tijekom</w:t>
            </w:r>
            <w:proofErr w:type="spellEnd"/>
            <w:r w:rsidRPr="00DF4CE5">
              <w:rPr>
                <w:rFonts w:ascii="Cambria" w:hAnsi="Cambria" w:cs="Calibri"/>
                <w:lang w:val="it-IT"/>
              </w:rPr>
              <w:t xml:space="preserve"> rada </w:t>
            </w:r>
            <w:proofErr w:type="spellStart"/>
            <w:r w:rsidRPr="00DF4CE5">
              <w:rPr>
                <w:rFonts w:ascii="Cambria" w:hAnsi="Cambria" w:cs="Calibri"/>
                <w:lang w:val="it-IT"/>
              </w:rPr>
              <w:t>na</w:t>
            </w:r>
            <w:proofErr w:type="spellEnd"/>
            <w:r w:rsidRPr="00DF4CE5">
              <w:rPr>
                <w:rFonts w:ascii="Cambria" w:hAnsi="Cambria" w:cs="Calibri"/>
                <w:lang w:val="it-IT"/>
              </w:rPr>
              <w:t xml:space="preserve"> </w:t>
            </w:r>
            <w:proofErr w:type="spellStart"/>
            <w:r w:rsidRPr="00DF4CE5">
              <w:rPr>
                <w:rFonts w:ascii="Cambria" w:hAnsi="Cambria" w:cs="Calibri"/>
                <w:lang w:val="it-IT"/>
              </w:rPr>
              <w:t>kolegiju</w:t>
            </w:r>
            <w:proofErr w:type="spellEnd"/>
            <w:r w:rsidRPr="00DF4CE5">
              <w:rPr>
                <w:rFonts w:ascii="Cambria" w:hAnsi="Cambria" w:cs="Calibri"/>
                <w:lang w:val="it-IT"/>
              </w:rPr>
              <w:t xml:space="preserve"> </w:t>
            </w:r>
            <w:proofErr w:type="spellStart"/>
            <w:r w:rsidRPr="00DF4CE5">
              <w:rPr>
                <w:rFonts w:ascii="Cambria" w:hAnsi="Cambria" w:cs="Calibri"/>
                <w:lang w:val="it-IT"/>
              </w:rPr>
              <w:t>uz</w:t>
            </w:r>
            <w:proofErr w:type="spellEnd"/>
            <w:r w:rsidRPr="00DF4CE5">
              <w:rPr>
                <w:rFonts w:ascii="Cambria" w:hAnsi="Cambria" w:cs="Calibri"/>
                <w:lang w:val="it-IT"/>
              </w:rPr>
              <w:t xml:space="preserve">, </w:t>
            </w:r>
            <w:proofErr w:type="spellStart"/>
            <w:r w:rsidRPr="00DF4CE5">
              <w:rPr>
                <w:rFonts w:ascii="Cambria" w:hAnsi="Cambria" w:cs="Calibri"/>
                <w:lang w:val="it-IT"/>
              </w:rPr>
              <w:t>po</w:t>
            </w:r>
            <w:proofErr w:type="spellEnd"/>
            <w:r w:rsidRPr="00DF4CE5">
              <w:rPr>
                <w:rFonts w:ascii="Cambria" w:hAnsi="Cambria" w:cs="Calibri"/>
                <w:lang w:val="it-IT"/>
              </w:rPr>
              <w:t xml:space="preserve"> </w:t>
            </w:r>
            <w:proofErr w:type="spellStart"/>
            <w:r w:rsidRPr="00DF4CE5">
              <w:rPr>
                <w:rFonts w:ascii="Cambria" w:hAnsi="Cambria" w:cs="Calibri"/>
                <w:lang w:val="it-IT"/>
              </w:rPr>
              <w:t>mogućnosti</w:t>
            </w:r>
            <w:proofErr w:type="spellEnd"/>
            <w:r w:rsidRPr="00DF4CE5">
              <w:rPr>
                <w:rFonts w:ascii="Cambria" w:hAnsi="Cambria" w:cs="Calibri"/>
                <w:lang w:val="it-IT"/>
              </w:rPr>
              <w:t xml:space="preserve">, </w:t>
            </w:r>
            <w:proofErr w:type="spellStart"/>
            <w:r w:rsidRPr="00DF4CE5">
              <w:rPr>
                <w:rFonts w:ascii="Cambria" w:hAnsi="Cambria" w:cs="Calibri"/>
                <w:lang w:val="it-IT"/>
              </w:rPr>
              <w:t>navođenje</w:t>
            </w:r>
            <w:proofErr w:type="spellEnd"/>
            <w:r w:rsidRPr="00DF4CE5">
              <w:rPr>
                <w:rFonts w:ascii="Cambria" w:hAnsi="Cambria" w:cs="Calibri"/>
                <w:lang w:val="it-IT"/>
              </w:rPr>
              <w:t xml:space="preserve"> </w:t>
            </w:r>
            <w:proofErr w:type="spellStart"/>
            <w:r w:rsidRPr="00DF4CE5">
              <w:rPr>
                <w:rFonts w:ascii="Cambria" w:hAnsi="Cambria" w:cs="Calibri"/>
                <w:lang w:val="it-IT"/>
              </w:rPr>
              <w:t>primjera</w:t>
            </w:r>
            <w:proofErr w:type="spellEnd"/>
            <w:r w:rsidRPr="00DF4CE5">
              <w:rPr>
                <w:rFonts w:ascii="Cambria" w:hAnsi="Cambria" w:cs="Calibri"/>
                <w:lang w:val="it-IT"/>
              </w:rPr>
              <w:t xml:space="preserve"> </w:t>
            </w:r>
            <w:proofErr w:type="spellStart"/>
            <w:r w:rsidRPr="00DF4CE5">
              <w:rPr>
                <w:rFonts w:ascii="Cambria" w:hAnsi="Cambria" w:cs="Calibri"/>
                <w:lang w:val="it-IT"/>
              </w:rPr>
              <w:t>iz</w:t>
            </w:r>
            <w:proofErr w:type="spellEnd"/>
            <w:r w:rsidRPr="00DF4CE5">
              <w:rPr>
                <w:rFonts w:ascii="Cambria" w:hAnsi="Cambria" w:cs="Calibri"/>
                <w:lang w:val="it-IT"/>
              </w:rPr>
              <w:t xml:space="preserve"> </w:t>
            </w:r>
            <w:proofErr w:type="spellStart"/>
            <w:r w:rsidRPr="00DF4CE5">
              <w:rPr>
                <w:rFonts w:ascii="Cambria" w:hAnsi="Cambria" w:cs="Calibri"/>
                <w:lang w:val="it-IT"/>
              </w:rPr>
              <w:t>osobne</w:t>
            </w:r>
            <w:proofErr w:type="spellEnd"/>
            <w:r w:rsidRPr="00DF4CE5">
              <w:rPr>
                <w:rFonts w:ascii="Cambria" w:hAnsi="Cambria" w:cs="Calibri"/>
                <w:lang w:val="it-IT"/>
              </w:rPr>
              <w:t xml:space="preserve"> </w:t>
            </w:r>
            <w:proofErr w:type="spellStart"/>
            <w:r w:rsidRPr="00DF4CE5">
              <w:rPr>
                <w:rFonts w:ascii="Cambria" w:hAnsi="Cambria" w:cs="Calibri"/>
                <w:lang w:val="it-IT"/>
              </w:rPr>
              <w:t>prakse</w:t>
            </w:r>
            <w:proofErr w:type="spellEnd"/>
            <w:r w:rsidRPr="00DF4CE5">
              <w:rPr>
                <w:rFonts w:ascii="Cambria" w:hAnsi="Cambria" w:cs="Calibri"/>
                <w:lang w:val="it-IT"/>
              </w:rPr>
              <w:t xml:space="preserve"> </w:t>
            </w:r>
            <w:proofErr w:type="spellStart"/>
            <w:r w:rsidRPr="00DF4CE5">
              <w:rPr>
                <w:rFonts w:ascii="Cambria" w:hAnsi="Cambria" w:cs="Calibri"/>
                <w:lang w:val="it-IT"/>
              </w:rPr>
              <w:t>koji</w:t>
            </w:r>
            <w:proofErr w:type="spellEnd"/>
            <w:r w:rsidRPr="00DF4CE5">
              <w:rPr>
                <w:rFonts w:ascii="Cambria" w:hAnsi="Cambria" w:cs="Calibri"/>
                <w:lang w:val="it-IT"/>
              </w:rPr>
              <w:t xml:space="preserve"> su </w:t>
            </w:r>
            <w:proofErr w:type="spellStart"/>
            <w:r w:rsidRPr="00DF4CE5">
              <w:rPr>
                <w:rFonts w:ascii="Cambria" w:hAnsi="Cambria" w:cs="Calibri"/>
                <w:lang w:val="it-IT"/>
              </w:rPr>
              <w:t>primjenjivi</w:t>
            </w:r>
            <w:proofErr w:type="spellEnd"/>
            <w:r w:rsidRPr="00DF4CE5">
              <w:rPr>
                <w:rFonts w:ascii="Cambria" w:hAnsi="Cambria" w:cs="Calibri"/>
                <w:lang w:val="it-IT"/>
              </w:rPr>
              <w:t xml:space="preserve"> u </w:t>
            </w:r>
            <w:proofErr w:type="spellStart"/>
            <w:r w:rsidRPr="00DF4CE5">
              <w:rPr>
                <w:rFonts w:ascii="Cambria" w:hAnsi="Cambria" w:cs="Calibri"/>
                <w:lang w:val="it-IT"/>
              </w:rPr>
              <w:t>nastavi</w:t>
            </w:r>
            <w:proofErr w:type="spellEnd"/>
            <w:r w:rsidRPr="00DF4CE5">
              <w:rPr>
                <w:rFonts w:ascii="Cambria" w:hAnsi="Cambria" w:cs="Calibri"/>
                <w:lang w:val="it-IT"/>
              </w:rPr>
              <w:t xml:space="preserve"> </w:t>
            </w:r>
            <w:proofErr w:type="spellStart"/>
            <w:r w:rsidRPr="00DF4CE5">
              <w:rPr>
                <w:rFonts w:ascii="Cambria" w:hAnsi="Cambria" w:cs="Calibri"/>
                <w:lang w:val="it-IT"/>
              </w:rPr>
              <w:t>ranog</w:t>
            </w:r>
            <w:proofErr w:type="spellEnd"/>
            <w:r w:rsidRPr="00DF4CE5">
              <w:rPr>
                <w:rFonts w:ascii="Cambria" w:hAnsi="Cambria" w:cs="Calibri"/>
                <w:lang w:val="it-IT"/>
              </w:rPr>
              <w:t xml:space="preserve"> </w:t>
            </w:r>
            <w:proofErr w:type="spellStart"/>
            <w:r w:rsidRPr="00DF4CE5">
              <w:rPr>
                <w:rFonts w:ascii="Cambria" w:hAnsi="Cambria" w:cs="Calibri"/>
                <w:lang w:val="it-IT"/>
              </w:rPr>
              <w:t>učenja</w:t>
            </w:r>
            <w:proofErr w:type="spellEnd"/>
            <w:r w:rsidRPr="00DF4CE5">
              <w:rPr>
                <w:rFonts w:ascii="Cambria" w:hAnsi="Cambria" w:cs="Calibri"/>
                <w:lang w:val="it-IT"/>
              </w:rPr>
              <w:t xml:space="preserve"> </w:t>
            </w:r>
            <w:proofErr w:type="spellStart"/>
            <w:r w:rsidRPr="00DF4CE5">
              <w:rPr>
                <w:rFonts w:ascii="Cambria" w:hAnsi="Cambria" w:cs="Calibri"/>
                <w:lang w:val="it-IT"/>
              </w:rPr>
              <w:t>engleskog</w:t>
            </w:r>
            <w:proofErr w:type="spellEnd"/>
            <w:r w:rsidRPr="00DF4CE5">
              <w:rPr>
                <w:rFonts w:ascii="Cambria" w:hAnsi="Cambria" w:cs="Calibri"/>
                <w:lang w:val="it-IT"/>
              </w:rPr>
              <w:t xml:space="preserve"> </w:t>
            </w:r>
            <w:proofErr w:type="spellStart"/>
            <w:r w:rsidRPr="00DF4CE5">
              <w:rPr>
                <w:rFonts w:ascii="Cambria" w:hAnsi="Cambria" w:cs="Calibri"/>
                <w:lang w:val="it-IT"/>
              </w:rPr>
              <w:t>jezika</w:t>
            </w:r>
            <w:proofErr w:type="spellEnd"/>
            <w:r w:rsidRPr="00DF4CE5">
              <w:rPr>
                <w:rFonts w:ascii="Cambria" w:hAnsi="Cambria" w:cs="Calibri"/>
                <w:lang w:val="it-IT"/>
              </w:rPr>
              <w:t xml:space="preserve">. </w:t>
            </w:r>
            <w:proofErr w:type="spellStart"/>
            <w:r w:rsidRPr="00DF4CE5">
              <w:rPr>
                <w:rFonts w:ascii="Cambria" w:hAnsi="Cambria" w:cs="Calibri"/>
                <w:lang w:val="it-IT"/>
              </w:rPr>
              <w:t>Ocjenjuje</w:t>
            </w:r>
            <w:proofErr w:type="spellEnd"/>
            <w:r w:rsidRPr="00DF4CE5">
              <w:rPr>
                <w:rFonts w:ascii="Cambria" w:hAnsi="Cambria" w:cs="Calibri"/>
                <w:lang w:val="it-IT"/>
              </w:rPr>
              <w:t xml:space="preserve"> se </w:t>
            </w:r>
            <w:proofErr w:type="spellStart"/>
            <w:r w:rsidRPr="00DF4CE5">
              <w:rPr>
                <w:rFonts w:ascii="Cambria" w:hAnsi="Cambria" w:cs="Calibri"/>
                <w:lang w:val="it-IT"/>
              </w:rPr>
              <w:t>sveobuhvatnost</w:t>
            </w:r>
            <w:proofErr w:type="spellEnd"/>
            <w:r w:rsidRPr="00DF4CE5">
              <w:rPr>
                <w:rFonts w:ascii="Cambria" w:hAnsi="Cambria" w:cs="Calibri"/>
                <w:lang w:val="it-IT"/>
              </w:rPr>
              <w:t xml:space="preserve"> </w:t>
            </w:r>
            <w:proofErr w:type="spellStart"/>
            <w:r w:rsidRPr="00DF4CE5">
              <w:rPr>
                <w:rFonts w:ascii="Cambria" w:hAnsi="Cambria" w:cs="Calibri"/>
                <w:lang w:val="it-IT"/>
              </w:rPr>
              <w:t>odgovora</w:t>
            </w:r>
            <w:proofErr w:type="spellEnd"/>
            <w:r w:rsidRPr="00DF4CE5">
              <w:rPr>
                <w:rFonts w:ascii="Cambria" w:hAnsi="Cambria" w:cs="Calibri"/>
                <w:lang w:val="it-IT"/>
              </w:rPr>
              <w:t xml:space="preserve"> (</w:t>
            </w:r>
            <w:proofErr w:type="spellStart"/>
            <w:r w:rsidRPr="00DF4CE5">
              <w:rPr>
                <w:rFonts w:ascii="Cambria" w:hAnsi="Cambria" w:cs="Calibri"/>
                <w:lang w:val="it-IT"/>
              </w:rPr>
              <w:t>potpuno</w:t>
            </w:r>
            <w:proofErr w:type="spellEnd"/>
            <w:r w:rsidRPr="00DF4CE5">
              <w:rPr>
                <w:rFonts w:ascii="Cambria" w:hAnsi="Cambria" w:cs="Calibri"/>
                <w:lang w:val="it-IT"/>
              </w:rPr>
              <w:t xml:space="preserve"> i </w:t>
            </w:r>
            <w:proofErr w:type="spellStart"/>
            <w:r w:rsidRPr="00DF4CE5">
              <w:rPr>
                <w:rFonts w:ascii="Cambria" w:hAnsi="Cambria" w:cs="Calibri"/>
                <w:lang w:val="it-IT"/>
              </w:rPr>
              <w:t>detaljno</w:t>
            </w:r>
            <w:proofErr w:type="spellEnd"/>
            <w:r w:rsidRPr="00DF4CE5">
              <w:rPr>
                <w:rFonts w:ascii="Cambria" w:hAnsi="Cambria" w:cs="Calibri"/>
                <w:lang w:val="it-IT"/>
              </w:rPr>
              <w:t xml:space="preserve"> </w:t>
            </w:r>
            <w:proofErr w:type="spellStart"/>
            <w:r w:rsidRPr="00DF4CE5">
              <w:rPr>
                <w:rFonts w:ascii="Cambria" w:hAnsi="Cambria" w:cs="Calibri"/>
                <w:lang w:val="it-IT"/>
              </w:rPr>
              <w:t>odgovara</w:t>
            </w:r>
            <w:proofErr w:type="spellEnd"/>
            <w:r w:rsidRPr="00DF4CE5">
              <w:rPr>
                <w:rFonts w:ascii="Cambria" w:hAnsi="Cambria" w:cs="Calibri"/>
                <w:lang w:val="it-IT"/>
              </w:rPr>
              <w:t xml:space="preserve"> te daje </w:t>
            </w:r>
            <w:proofErr w:type="spellStart"/>
            <w:r w:rsidRPr="00DF4CE5">
              <w:rPr>
                <w:rFonts w:ascii="Cambria" w:hAnsi="Cambria" w:cs="Calibri"/>
                <w:lang w:val="it-IT"/>
              </w:rPr>
              <w:t>vlastite</w:t>
            </w:r>
            <w:proofErr w:type="spellEnd"/>
            <w:r w:rsidRPr="00DF4CE5">
              <w:rPr>
                <w:rFonts w:ascii="Cambria" w:hAnsi="Cambria" w:cs="Calibri"/>
                <w:lang w:val="it-IT"/>
              </w:rPr>
              <w:t xml:space="preserve"> </w:t>
            </w:r>
            <w:proofErr w:type="spellStart"/>
            <w:r w:rsidRPr="00DF4CE5">
              <w:rPr>
                <w:rFonts w:ascii="Cambria" w:hAnsi="Cambria" w:cs="Calibri"/>
                <w:lang w:val="it-IT"/>
              </w:rPr>
              <w:t>primjere</w:t>
            </w:r>
            <w:proofErr w:type="spellEnd"/>
            <w:r w:rsidRPr="00DF4CE5">
              <w:rPr>
                <w:rFonts w:ascii="Cambria" w:hAnsi="Cambria" w:cs="Calibri"/>
                <w:lang w:val="it-IT"/>
              </w:rPr>
              <w:t xml:space="preserve">; </w:t>
            </w:r>
            <w:proofErr w:type="spellStart"/>
            <w:r w:rsidRPr="00DF4CE5">
              <w:rPr>
                <w:rFonts w:ascii="Cambria" w:hAnsi="Cambria" w:cs="Calibri"/>
                <w:lang w:val="it-IT"/>
              </w:rPr>
              <w:t>odgovara</w:t>
            </w:r>
            <w:proofErr w:type="spellEnd"/>
            <w:r w:rsidRPr="00DF4CE5">
              <w:rPr>
                <w:rFonts w:ascii="Cambria" w:hAnsi="Cambria" w:cs="Calibri"/>
                <w:lang w:val="it-IT"/>
              </w:rPr>
              <w:t xml:space="preserve"> </w:t>
            </w:r>
            <w:proofErr w:type="spellStart"/>
            <w:r w:rsidRPr="00DF4CE5">
              <w:rPr>
                <w:rFonts w:ascii="Cambria" w:hAnsi="Cambria" w:cs="Calibri"/>
                <w:lang w:val="it-IT"/>
              </w:rPr>
              <w:t>opsežno</w:t>
            </w:r>
            <w:proofErr w:type="spellEnd"/>
            <w:r w:rsidRPr="00DF4CE5">
              <w:rPr>
                <w:rFonts w:ascii="Cambria" w:hAnsi="Cambria" w:cs="Calibri"/>
                <w:lang w:val="it-IT"/>
              </w:rPr>
              <w:t xml:space="preserve">, ali </w:t>
            </w:r>
            <w:proofErr w:type="spellStart"/>
            <w:r w:rsidRPr="00DF4CE5">
              <w:rPr>
                <w:rFonts w:ascii="Cambria" w:hAnsi="Cambria" w:cs="Calibri"/>
                <w:lang w:val="it-IT"/>
              </w:rPr>
              <w:t>nedostaju</w:t>
            </w:r>
            <w:proofErr w:type="spellEnd"/>
            <w:r w:rsidRPr="00DF4CE5">
              <w:rPr>
                <w:rFonts w:ascii="Cambria" w:hAnsi="Cambria" w:cs="Calibri"/>
                <w:lang w:val="it-IT"/>
              </w:rPr>
              <w:t xml:space="preserve"> </w:t>
            </w:r>
            <w:proofErr w:type="spellStart"/>
            <w:r w:rsidRPr="00DF4CE5">
              <w:rPr>
                <w:rFonts w:ascii="Cambria" w:hAnsi="Cambria" w:cs="Calibri"/>
                <w:lang w:val="it-IT"/>
              </w:rPr>
              <w:t>pojedini</w:t>
            </w:r>
            <w:proofErr w:type="spellEnd"/>
            <w:r w:rsidRPr="00DF4CE5">
              <w:rPr>
                <w:rFonts w:ascii="Cambria" w:hAnsi="Cambria" w:cs="Calibri"/>
                <w:lang w:val="it-IT"/>
              </w:rPr>
              <w:t xml:space="preserve"> </w:t>
            </w:r>
            <w:proofErr w:type="spellStart"/>
            <w:r w:rsidRPr="00DF4CE5">
              <w:rPr>
                <w:rFonts w:ascii="Cambria" w:hAnsi="Cambria" w:cs="Calibri"/>
                <w:lang w:val="it-IT"/>
              </w:rPr>
              <w:t>dijelovi</w:t>
            </w:r>
            <w:proofErr w:type="spellEnd"/>
            <w:r w:rsidRPr="00DF4CE5">
              <w:rPr>
                <w:rFonts w:ascii="Cambria" w:hAnsi="Cambria" w:cs="Calibri"/>
                <w:lang w:val="it-IT"/>
              </w:rPr>
              <w:t xml:space="preserve">, daje </w:t>
            </w:r>
            <w:proofErr w:type="spellStart"/>
            <w:r w:rsidRPr="00DF4CE5">
              <w:rPr>
                <w:rFonts w:ascii="Cambria" w:hAnsi="Cambria" w:cs="Calibri"/>
                <w:lang w:val="it-IT"/>
              </w:rPr>
              <w:t>vlastite</w:t>
            </w:r>
            <w:proofErr w:type="spellEnd"/>
            <w:r w:rsidRPr="00DF4CE5">
              <w:rPr>
                <w:rFonts w:ascii="Cambria" w:hAnsi="Cambria" w:cs="Calibri"/>
                <w:lang w:val="it-IT"/>
              </w:rPr>
              <w:t xml:space="preserve"> </w:t>
            </w:r>
            <w:proofErr w:type="spellStart"/>
            <w:r w:rsidRPr="00DF4CE5">
              <w:rPr>
                <w:rFonts w:ascii="Cambria" w:hAnsi="Cambria" w:cs="Calibri"/>
                <w:lang w:val="it-IT"/>
              </w:rPr>
              <w:t>primjere</w:t>
            </w:r>
            <w:proofErr w:type="spellEnd"/>
            <w:r w:rsidRPr="00DF4CE5">
              <w:rPr>
                <w:rFonts w:ascii="Cambria" w:hAnsi="Cambria" w:cs="Calibri"/>
                <w:lang w:val="it-IT"/>
              </w:rPr>
              <w:t xml:space="preserve">; </w:t>
            </w:r>
            <w:proofErr w:type="spellStart"/>
            <w:r w:rsidRPr="00DF4CE5">
              <w:rPr>
                <w:rFonts w:ascii="Cambria" w:hAnsi="Cambria" w:cs="Calibri"/>
                <w:lang w:val="it-IT"/>
              </w:rPr>
              <w:t>pokazuje</w:t>
            </w:r>
            <w:proofErr w:type="spellEnd"/>
            <w:r w:rsidRPr="00DF4CE5">
              <w:rPr>
                <w:rFonts w:ascii="Cambria" w:hAnsi="Cambria" w:cs="Calibri"/>
                <w:lang w:val="it-IT"/>
              </w:rPr>
              <w:t xml:space="preserve"> </w:t>
            </w:r>
            <w:proofErr w:type="spellStart"/>
            <w:r w:rsidRPr="00DF4CE5">
              <w:rPr>
                <w:rFonts w:ascii="Cambria" w:hAnsi="Cambria" w:cs="Calibri"/>
                <w:lang w:val="it-IT"/>
              </w:rPr>
              <w:t>razumijevanje</w:t>
            </w:r>
            <w:proofErr w:type="spellEnd"/>
            <w:r w:rsidRPr="00DF4CE5">
              <w:rPr>
                <w:rFonts w:ascii="Cambria" w:hAnsi="Cambria" w:cs="Calibri"/>
                <w:lang w:val="it-IT"/>
              </w:rPr>
              <w:t xml:space="preserve"> gradiva, ali ne </w:t>
            </w:r>
            <w:proofErr w:type="spellStart"/>
            <w:r w:rsidRPr="00DF4CE5">
              <w:rPr>
                <w:rFonts w:ascii="Cambria" w:hAnsi="Cambria" w:cs="Calibri"/>
                <w:lang w:val="it-IT"/>
              </w:rPr>
              <w:t>može</w:t>
            </w:r>
            <w:proofErr w:type="spellEnd"/>
            <w:r w:rsidRPr="00DF4CE5">
              <w:rPr>
                <w:rFonts w:ascii="Cambria" w:hAnsi="Cambria" w:cs="Calibri"/>
                <w:lang w:val="it-IT"/>
              </w:rPr>
              <w:t xml:space="preserve"> </w:t>
            </w:r>
            <w:proofErr w:type="spellStart"/>
            <w:r w:rsidRPr="00DF4CE5">
              <w:rPr>
                <w:rFonts w:ascii="Cambria" w:hAnsi="Cambria" w:cs="Calibri"/>
                <w:lang w:val="it-IT"/>
              </w:rPr>
              <w:t>potkrijepiti</w:t>
            </w:r>
            <w:proofErr w:type="spellEnd"/>
            <w:r w:rsidRPr="00DF4CE5">
              <w:rPr>
                <w:rFonts w:ascii="Cambria" w:hAnsi="Cambria" w:cs="Calibri"/>
                <w:lang w:val="it-IT"/>
              </w:rPr>
              <w:t xml:space="preserve"> </w:t>
            </w:r>
            <w:proofErr w:type="spellStart"/>
            <w:r w:rsidRPr="00DF4CE5">
              <w:rPr>
                <w:rFonts w:ascii="Cambria" w:hAnsi="Cambria" w:cs="Calibri"/>
                <w:lang w:val="it-IT"/>
              </w:rPr>
              <w:t>primjerima</w:t>
            </w:r>
            <w:proofErr w:type="spellEnd"/>
            <w:r w:rsidRPr="00DF4CE5">
              <w:rPr>
                <w:rFonts w:ascii="Cambria" w:hAnsi="Cambria" w:cs="Calibri"/>
                <w:lang w:val="it-IT"/>
              </w:rPr>
              <w:t xml:space="preserve">; </w:t>
            </w:r>
            <w:proofErr w:type="spellStart"/>
            <w:r w:rsidRPr="00DF4CE5">
              <w:rPr>
                <w:rFonts w:ascii="Cambria" w:hAnsi="Cambria" w:cs="Calibri"/>
                <w:lang w:val="it-IT"/>
              </w:rPr>
              <w:t>imenuje</w:t>
            </w:r>
            <w:proofErr w:type="spellEnd"/>
            <w:r w:rsidRPr="00DF4CE5">
              <w:rPr>
                <w:rFonts w:ascii="Cambria" w:hAnsi="Cambria" w:cs="Calibri"/>
                <w:lang w:val="it-IT"/>
              </w:rPr>
              <w:t xml:space="preserve"> i </w:t>
            </w:r>
            <w:proofErr w:type="spellStart"/>
            <w:r w:rsidRPr="00DF4CE5">
              <w:rPr>
                <w:rFonts w:ascii="Cambria" w:hAnsi="Cambria" w:cs="Calibri"/>
                <w:lang w:val="it-IT"/>
              </w:rPr>
              <w:t>definira</w:t>
            </w:r>
            <w:proofErr w:type="spellEnd"/>
            <w:r w:rsidRPr="00DF4CE5">
              <w:rPr>
                <w:rFonts w:ascii="Cambria" w:hAnsi="Cambria" w:cs="Calibri"/>
                <w:lang w:val="it-IT"/>
              </w:rPr>
              <w:t xml:space="preserve"> </w:t>
            </w:r>
            <w:proofErr w:type="spellStart"/>
            <w:r w:rsidRPr="00DF4CE5">
              <w:rPr>
                <w:rFonts w:ascii="Cambria" w:hAnsi="Cambria" w:cs="Calibri"/>
                <w:lang w:val="it-IT"/>
              </w:rPr>
              <w:t>samo</w:t>
            </w:r>
            <w:proofErr w:type="spellEnd"/>
            <w:r w:rsidRPr="00DF4CE5">
              <w:rPr>
                <w:rFonts w:ascii="Cambria" w:hAnsi="Cambria" w:cs="Calibri"/>
                <w:lang w:val="it-IT"/>
              </w:rPr>
              <w:t xml:space="preserve"> </w:t>
            </w:r>
            <w:proofErr w:type="spellStart"/>
            <w:r w:rsidRPr="00DF4CE5">
              <w:rPr>
                <w:rFonts w:ascii="Cambria" w:hAnsi="Cambria" w:cs="Calibri"/>
                <w:lang w:val="it-IT"/>
              </w:rPr>
              <w:t>osnovne</w:t>
            </w:r>
            <w:proofErr w:type="spellEnd"/>
            <w:r w:rsidRPr="00DF4CE5">
              <w:rPr>
                <w:rFonts w:ascii="Cambria" w:hAnsi="Cambria" w:cs="Calibri"/>
                <w:lang w:val="it-IT"/>
              </w:rPr>
              <w:t xml:space="preserve"> </w:t>
            </w:r>
            <w:proofErr w:type="spellStart"/>
            <w:r w:rsidRPr="00DF4CE5">
              <w:rPr>
                <w:rFonts w:ascii="Cambria" w:hAnsi="Cambria" w:cs="Calibri"/>
                <w:lang w:val="it-IT"/>
              </w:rPr>
              <w:t>pojmove</w:t>
            </w:r>
            <w:proofErr w:type="spellEnd"/>
            <w:r w:rsidRPr="00DF4CE5">
              <w:rPr>
                <w:rFonts w:ascii="Cambria" w:hAnsi="Cambria" w:cs="Calibri"/>
                <w:lang w:val="it-IT"/>
              </w:rPr>
              <w:t xml:space="preserve">, </w:t>
            </w:r>
            <w:proofErr w:type="spellStart"/>
            <w:r w:rsidRPr="00DF4CE5">
              <w:rPr>
                <w:rFonts w:ascii="Cambria" w:hAnsi="Cambria" w:cs="Calibri"/>
                <w:lang w:val="it-IT"/>
              </w:rPr>
              <w:t>bez</w:t>
            </w:r>
            <w:proofErr w:type="spellEnd"/>
            <w:r w:rsidRPr="00DF4CE5">
              <w:rPr>
                <w:rFonts w:ascii="Cambria" w:hAnsi="Cambria" w:cs="Calibri"/>
                <w:lang w:val="it-IT"/>
              </w:rPr>
              <w:t xml:space="preserve"> </w:t>
            </w:r>
            <w:proofErr w:type="spellStart"/>
            <w:r w:rsidRPr="00DF4CE5">
              <w:rPr>
                <w:rFonts w:ascii="Cambria" w:hAnsi="Cambria" w:cs="Calibri"/>
                <w:lang w:val="it-IT"/>
              </w:rPr>
              <w:t>vlastitih</w:t>
            </w:r>
            <w:proofErr w:type="spellEnd"/>
            <w:r w:rsidRPr="00DF4CE5">
              <w:rPr>
                <w:rFonts w:ascii="Cambria" w:hAnsi="Cambria" w:cs="Calibri"/>
                <w:lang w:val="it-IT"/>
              </w:rPr>
              <w:t xml:space="preserve"> </w:t>
            </w:r>
            <w:proofErr w:type="spellStart"/>
            <w:r w:rsidRPr="00DF4CE5">
              <w:rPr>
                <w:rFonts w:ascii="Cambria" w:hAnsi="Cambria" w:cs="Calibri"/>
                <w:lang w:val="it-IT"/>
              </w:rPr>
              <w:t>primjera</w:t>
            </w:r>
            <w:proofErr w:type="spellEnd"/>
            <w:r w:rsidRPr="00DF4CE5">
              <w:rPr>
                <w:rFonts w:ascii="Cambria" w:hAnsi="Cambria" w:cs="Calibri"/>
                <w:lang w:val="it-IT"/>
              </w:rPr>
              <w:t xml:space="preserve">) te </w:t>
            </w:r>
            <w:proofErr w:type="spellStart"/>
            <w:r w:rsidRPr="00DF4CE5">
              <w:rPr>
                <w:rFonts w:ascii="Cambria" w:hAnsi="Cambria" w:cs="Calibri"/>
                <w:lang w:val="it-IT"/>
              </w:rPr>
              <w:t>točnost</w:t>
            </w:r>
            <w:proofErr w:type="spellEnd"/>
            <w:r w:rsidRPr="00DF4CE5">
              <w:rPr>
                <w:rFonts w:ascii="Cambria" w:hAnsi="Cambria" w:cs="Calibri"/>
                <w:lang w:val="it-IT"/>
              </w:rPr>
              <w:t xml:space="preserve"> i </w:t>
            </w:r>
            <w:proofErr w:type="spellStart"/>
            <w:r w:rsidRPr="00DF4CE5">
              <w:rPr>
                <w:rFonts w:ascii="Cambria" w:hAnsi="Cambria" w:cs="Calibri"/>
                <w:lang w:val="it-IT"/>
              </w:rPr>
              <w:t>tečnost</w:t>
            </w:r>
            <w:proofErr w:type="spellEnd"/>
            <w:r w:rsidRPr="00DF4CE5">
              <w:rPr>
                <w:rFonts w:ascii="Cambria" w:hAnsi="Cambria" w:cs="Calibri"/>
                <w:lang w:val="it-IT"/>
              </w:rPr>
              <w:t xml:space="preserve"> u </w:t>
            </w:r>
            <w:proofErr w:type="spellStart"/>
            <w:r w:rsidRPr="00DF4CE5">
              <w:rPr>
                <w:rFonts w:ascii="Cambria" w:hAnsi="Cambria" w:cs="Calibri"/>
                <w:lang w:val="it-IT"/>
              </w:rPr>
              <w:t>pisanom</w:t>
            </w:r>
            <w:proofErr w:type="spellEnd"/>
            <w:r w:rsidRPr="00DF4CE5">
              <w:rPr>
                <w:rFonts w:ascii="Cambria" w:hAnsi="Cambria" w:cs="Calibri"/>
                <w:lang w:val="it-IT"/>
              </w:rPr>
              <w:t xml:space="preserve"> </w:t>
            </w:r>
            <w:proofErr w:type="spellStart"/>
            <w:r w:rsidRPr="00DF4CE5">
              <w:rPr>
                <w:rFonts w:ascii="Cambria" w:hAnsi="Cambria" w:cs="Calibri"/>
                <w:lang w:val="it-IT"/>
              </w:rPr>
              <w:t>izražavanju</w:t>
            </w:r>
            <w:proofErr w:type="spellEnd"/>
            <w:r w:rsidRPr="00DF4CE5">
              <w:rPr>
                <w:rFonts w:ascii="Cambria" w:hAnsi="Cambria" w:cs="Calibri"/>
                <w:lang w:val="it-IT"/>
              </w:rPr>
              <w:t>.</w:t>
            </w:r>
          </w:p>
          <w:p w14:paraId="65FB41F1" w14:textId="5543F3CE" w:rsidR="007A75FD" w:rsidRPr="00DF4CE5" w:rsidRDefault="007A75FD" w:rsidP="007A75FD">
            <w:pPr>
              <w:spacing w:after="0"/>
              <w:rPr>
                <w:rFonts w:ascii="Cambria" w:hAnsi="Cambria" w:cs="Calibri"/>
                <w:lang w:val="it-IT"/>
              </w:rPr>
            </w:pPr>
            <w:proofErr w:type="spellStart"/>
            <w:r w:rsidRPr="00DF4CE5">
              <w:rPr>
                <w:rFonts w:ascii="Cambria" w:hAnsi="Cambria" w:cs="Calibri"/>
                <w:lang w:val="it-IT"/>
              </w:rPr>
              <w:t>Završni</w:t>
            </w:r>
            <w:proofErr w:type="spellEnd"/>
            <w:r w:rsidRPr="00DF4CE5">
              <w:rPr>
                <w:rFonts w:ascii="Cambria" w:hAnsi="Cambria" w:cs="Calibri"/>
                <w:lang w:val="it-IT"/>
              </w:rPr>
              <w:t xml:space="preserve"> – </w:t>
            </w:r>
            <w:proofErr w:type="spellStart"/>
            <w:r w:rsidRPr="00DF4CE5">
              <w:rPr>
                <w:rFonts w:ascii="Cambria" w:hAnsi="Cambria" w:cs="Calibri"/>
                <w:lang w:val="it-IT"/>
              </w:rPr>
              <w:t>usmeni</w:t>
            </w:r>
            <w:proofErr w:type="spellEnd"/>
            <w:r w:rsidRPr="00DF4CE5">
              <w:rPr>
                <w:rFonts w:ascii="Cambria" w:hAnsi="Cambria" w:cs="Calibri"/>
                <w:lang w:val="it-IT"/>
              </w:rPr>
              <w:t xml:space="preserve"> </w:t>
            </w:r>
            <w:proofErr w:type="spellStart"/>
            <w:r w:rsidRPr="00DF4CE5">
              <w:rPr>
                <w:rFonts w:ascii="Cambria" w:hAnsi="Cambria" w:cs="Calibri"/>
                <w:lang w:val="it-IT"/>
              </w:rPr>
              <w:t>ispit</w:t>
            </w:r>
            <w:proofErr w:type="spellEnd"/>
            <w:r w:rsidRPr="00DF4CE5">
              <w:rPr>
                <w:rFonts w:ascii="Cambria" w:hAnsi="Cambria" w:cs="Calibri"/>
                <w:lang w:val="it-IT"/>
              </w:rPr>
              <w:t xml:space="preserve"> – </w:t>
            </w:r>
            <w:proofErr w:type="spellStart"/>
            <w:r w:rsidRPr="00DF4CE5">
              <w:rPr>
                <w:rFonts w:ascii="Cambria" w:hAnsi="Cambria" w:cs="Calibri"/>
                <w:lang w:val="it-IT"/>
              </w:rPr>
              <w:t>student</w:t>
            </w:r>
            <w:proofErr w:type="spellEnd"/>
            <w:r w:rsidRPr="00DF4CE5">
              <w:rPr>
                <w:rFonts w:ascii="Cambria" w:hAnsi="Cambria" w:cs="Calibri"/>
                <w:lang w:val="it-IT"/>
              </w:rPr>
              <w:t>/</w:t>
            </w:r>
            <w:proofErr w:type="spellStart"/>
            <w:r w:rsidRPr="00DF4CE5">
              <w:rPr>
                <w:rFonts w:ascii="Cambria" w:hAnsi="Cambria" w:cs="Calibri"/>
                <w:lang w:val="it-IT"/>
              </w:rPr>
              <w:t>ica</w:t>
            </w:r>
            <w:proofErr w:type="spellEnd"/>
            <w:r w:rsidRPr="00DF4CE5">
              <w:rPr>
                <w:rFonts w:ascii="Cambria" w:hAnsi="Cambria" w:cs="Calibri"/>
                <w:lang w:val="it-IT"/>
              </w:rPr>
              <w:t xml:space="preserve"> </w:t>
            </w:r>
            <w:proofErr w:type="spellStart"/>
            <w:r w:rsidRPr="00DF4CE5">
              <w:rPr>
                <w:rFonts w:ascii="Cambria" w:hAnsi="Cambria" w:cs="Calibri"/>
                <w:lang w:val="it-IT"/>
              </w:rPr>
              <w:t>dobiva</w:t>
            </w:r>
            <w:proofErr w:type="spellEnd"/>
            <w:r w:rsidRPr="00DF4CE5">
              <w:rPr>
                <w:rFonts w:ascii="Cambria" w:hAnsi="Cambria" w:cs="Calibri"/>
                <w:lang w:val="it-IT"/>
              </w:rPr>
              <w:t xml:space="preserve"> tri </w:t>
            </w:r>
            <w:proofErr w:type="spellStart"/>
            <w:r w:rsidRPr="00DF4CE5">
              <w:rPr>
                <w:rFonts w:ascii="Cambria" w:hAnsi="Cambria" w:cs="Calibri"/>
                <w:lang w:val="it-IT"/>
              </w:rPr>
              <w:t>pitanja</w:t>
            </w:r>
            <w:proofErr w:type="spellEnd"/>
            <w:r w:rsidRPr="00DF4CE5">
              <w:rPr>
                <w:rFonts w:ascii="Cambria" w:hAnsi="Cambria" w:cs="Calibri"/>
                <w:lang w:val="it-IT"/>
              </w:rPr>
              <w:t xml:space="preserve"> i </w:t>
            </w:r>
            <w:proofErr w:type="spellStart"/>
            <w:r w:rsidRPr="00DF4CE5">
              <w:rPr>
                <w:rFonts w:ascii="Cambria" w:hAnsi="Cambria" w:cs="Calibri"/>
                <w:lang w:val="it-IT"/>
              </w:rPr>
              <w:t>najveći</w:t>
            </w:r>
            <w:proofErr w:type="spellEnd"/>
            <w:r w:rsidRPr="00DF4CE5">
              <w:rPr>
                <w:rFonts w:ascii="Cambria" w:hAnsi="Cambria" w:cs="Calibri"/>
                <w:lang w:val="it-IT"/>
              </w:rPr>
              <w:t xml:space="preserve"> </w:t>
            </w:r>
            <w:proofErr w:type="spellStart"/>
            <w:r w:rsidRPr="00DF4CE5">
              <w:rPr>
                <w:rFonts w:ascii="Cambria" w:hAnsi="Cambria" w:cs="Calibri"/>
                <w:lang w:val="it-IT"/>
              </w:rPr>
              <w:t>mogući</w:t>
            </w:r>
            <w:proofErr w:type="spellEnd"/>
            <w:r w:rsidRPr="00DF4CE5">
              <w:rPr>
                <w:rFonts w:ascii="Cambria" w:hAnsi="Cambria" w:cs="Calibri"/>
                <w:lang w:val="it-IT"/>
              </w:rPr>
              <w:t xml:space="preserve"> </w:t>
            </w:r>
            <w:proofErr w:type="spellStart"/>
            <w:r w:rsidRPr="00DF4CE5">
              <w:rPr>
                <w:rFonts w:ascii="Cambria" w:hAnsi="Cambria" w:cs="Calibri"/>
                <w:lang w:val="it-IT"/>
              </w:rPr>
              <w:t>ostvarivi</w:t>
            </w:r>
            <w:proofErr w:type="spellEnd"/>
            <w:r w:rsidRPr="00DF4CE5">
              <w:rPr>
                <w:rFonts w:ascii="Cambria" w:hAnsi="Cambria" w:cs="Calibri"/>
                <w:lang w:val="it-IT"/>
              </w:rPr>
              <w:t xml:space="preserve"> </w:t>
            </w:r>
            <w:proofErr w:type="spellStart"/>
            <w:r w:rsidRPr="00DF4CE5">
              <w:rPr>
                <w:rFonts w:ascii="Cambria" w:hAnsi="Cambria" w:cs="Calibri"/>
                <w:lang w:val="it-IT"/>
              </w:rPr>
              <w:t>postotak</w:t>
            </w:r>
            <w:proofErr w:type="spellEnd"/>
            <w:r w:rsidRPr="00DF4CE5">
              <w:rPr>
                <w:rFonts w:ascii="Cambria" w:hAnsi="Cambria" w:cs="Calibri"/>
                <w:lang w:val="it-IT"/>
              </w:rPr>
              <w:t xml:space="preserve"> je </w:t>
            </w:r>
            <w:proofErr w:type="spellStart"/>
            <w:r w:rsidRPr="00DF4CE5">
              <w:rPr>
                <w:rFonts w:ascii="Cambria" w:hAnsi="Cambria" w:cs="Calibri"/>
                <w:lang w:val="it-IT"/>
              </w:rPr>
              <w:t>trideset</w:t>
            </w:r>
            <w:proofErr w:type="spellEnd"/>
            <w:r w:rsidRPr="00DF4CE5">
              <w:rPr>
                <w:rFonts w:ascii="Cambria" w:hAnsi="Cambria" w:cs="Calibri"/>
                <w:lang w:val="it-IT"/>
              </w:rPr>
              <w:t xml:space="preserve"> posto. </w:t>
            </w:r>
            <w:proofErr w:type="spellStart"/>
            <w:r w:rsidRPr="00DF4CE5">
              <w:rPr>
                <w:rFonts w:ascii="Cambria" w:hAnsi="Cambria" w:cs="Calibri"/>
                <w:lang w:val="it-IT"/>
              </w:rPr>
              <w:t>Ocjenjuje</w:t>
            </w:r>
            <w:proofErr w:type="spellEnd"/>
            <w:r w:rsidRPr="00DF4CE5">
              <w:rPr>
                <w:rFonts w:ascii="Cambria" w:hAnsi="Cambria" w:cs="Calibri"/>
                <w:lang w:val="it-IT"/>
              </w:rPr>
              <w:t xml:space="preserve"> se </w:t>
            </w:r>
            <w:proofErr w:type="spellStart"/>
            <w:r w:rsidRPr="00DF4CE5">
              <w:rPr>
                <w:rFonts w:ascii="Cambria" w:hAnsi="Cambria" w:cs="Calibri"/>
                <w:lang w:val="it-IT"/>
              </w:rPr>
              <w:t>točnost</w:t>
            </w:r>
            <w:proofErr w:type="spellEnd"/>
            <w:r w:rsidRPr="00DF4CE5">
              <w:rPr>
                <w:rFonts w:ascii="Cambria" w:hAnsi="Cambria" w:cs="Calibri"/>
                <w:lang w:val="it-IT"/>
              </w:rPr>
              <w:t xml:space="preserve"> i </w:t>
            </w:r>
            <w:proofErr w:type="spellStart"/>
            <w:r w:rsidRPr="00DF4CE5">
              <w:rPr>
                <w:rFonts w:ascii="Cambria" w:hAnsi="Cambria" w:cs="Calibri"/>
                <w:lang w:val="it-IT"/>
              </w:rPr>
              <w:t>tečnost</w:t>
            </w:r>
            <w:proofErr w:type="spellEnd"/>
            <w:r w:rsidRPr="00DF4CE5">
              <w:rPr>
                <w:rFonts w:ascii="Cambria" w:hAnsi="Cambria" w:cs="Calibri"/>
                <w:lang w:val="it-IT"/>
              </w:rPr>
              <w:t xml:space="preserve"> u </w:t>
            </w:r>
            <w:proofErr w:type="spellStart"/>
            <w:r w:rsidRPr="00DF4CE5">
              <w:rPr>
                <w:rFonts w:ascii="Cambria" w:hAnsi="Cambria" w:cs="Calibri"/>
                <w:lang w:val="it-IT"/>
              </w:rPr>
              <w:t>usmenom</w:t>
            </w:r>
            <w:proofErr w:type="spellEnd"/>
            <w:r w:rsidRPr="00DF4CE5">
              <w:rPr>
                <w:rFonts w:ascii="Cambria" w:hAnsi="Cambria" w:cs="Calibri"/>
                <w:lang w:val="it-IT"/>
              </w:rPr>
              <w:t xml:space="preserve"> </w:t>
            </w:r>
            <w:proofErr w:type="spellStart"/>
            <w:r w:rsidRPr="00DF4CE5">
              <w:rPr>
                <w:rFonts w:ascii="Cambria" w:hAnsi="Cambria" w:cs="Calibri"/>
                <w:lang w:val="it-IT"/>
              </w:rPr>
              <w:t>izražavanju</w:t>
            </w:r>
            <w:proofErr w:type="spellEnd"/>
            <w:r w:rsidRPr="00DF4CE5">
              <w:rPr>
                <w:rFonts w:ascii="Cambria" w:hAnsi="Cambria" w:cs="Calibri"/>
                <w:lang w:val="it-IT"/>
              </w:rPr>
              <w:t xml:space="preserve"> te </w:t>
            </w:r>
            <w:proofErr w:type="spellStart"/>
            <w:r w:rsidRPr="00DF4CE5">
              <w:rPr>
                <w:rFonts w:ascii="Cambria" w:hAnsi="Cambria" w:cs="Calibri"/>
                <w:lang w:val="it-IT"/>
              </w:rPr>
              <w:t>sveobuhvatnost</w:t>
            </w:r>
            <w:proofErr w:type="spellEnd"/>
            <w:r w:rsidRPr="00DF4CE5">
              <w:rPr>
                <w:rFonts w:ascii="Cambria" w:hAnsi="Cambria" w:cs="Calibri"/>
                <w:lang w:val="it-IT"/>
              </w:rPr>
              <w:t xml:space="preserve"> </w:t>
            </w:r>
            <w:proofErr w:type="spellStart"/>
            <w:r w:rsidRPr="00DF4CE5">
              <w:rPr>
                <w:rFonts w:ascii="Cambria" w:hAnsi="Cambria" w:cs="Calibri"/>
                <w:lang w:val="it-IT"/>
              </w:rPr>
              <w:t>odgovora</w:t>
            </w:r>
            <w:proofErr w:type="spellEnd"/>
            <w:r w:rsidRPr="00DF4CE5">
              <w:rPr>
                <w:rFonts w:ascii="Cambria" w:hAnsi="Cambria" w:cs="Calibri"/>
                <w:lang w:val="it-IT"/>
              </w:rPr>
              <w:t xml:space="preserve"> (</w:t>
            </w:r>
            <w:proofErr w:type="spellStart"/>
            <w:r w:rsidRPr="00DF4CE5">
              <w:rPr>
                <w:rFonts w:ascii="Cambria" w:hAnsi="Cambria" w:cs="Calibri"/>
                <w:lang w:val="it-IT"/>
              </w:rPr>
              <w:t>potpuno</w:t>
            </w:r>
            <w:proofErr w:type="spellEnd"/>
            <w:r w:rsidRPr="00DF4CE5">
              <w:rPr>
                <w:rFonts w:ascii="Cambria" w:hAnsi="Cambria" w:cs="Calibri"/>
                <w:lang w:val="it-IT"/>
              </w:rPr>
              <w:t xml:space="preserve"> i </w:t>
            </w:r>
            <w:proofErr w:type="spellStart"/>
            <w:r w:rsidRPr="00DF4CE5">
              <w:rPr>
                <w:rFonts w:ascii="Cambria" w:hAnsi="Cambria" w:cs="Calibri"/>
                <w:lang w:val="it-IT"/>
              </w:rPr>
              <w:t>detaljno</w:t>
            </w:r>
            <w:proofErr w:type="spellEnd"/>
            <w:r w:rsidRPr="00DF4CE5">
              <w:rPr>
                <w:rFonts w:ascii="Cambria" w:hAnsi="Cambria" w:cs="Calibri"/>
                <w:lang w:val="it-IT"/>
              </w:rPr>
              <w:t xml:space="preserve"> </w:t>
            </w:r>
            <w:proofErr w:type="spellStart"/>
            <w:r w:rsidRPr="00DF4CE5">
              <w:rPr>
                <w:rFonts w:ascii="Cambria" w:hAnsi="Cambria" w:cs="Calibri"/>
                <w:lang w:val="it-IT"/>
              </w:rPr>
              <w:t>odgovara</w:t>
            </w:r>
            <w:proofErr w:type="spellEnd"/>
            <w:r w:rsidRPr="00DF4CE5">
              <w:rPr>
                <w:rFonts w:ascii="Cambria" w:hAnsi="Cambria" w:cs="Calibri"/>
                <w:lang w:val="it-IT"/>
              </w:rPr>
              <w:t xml:space="preserve"> te daje </w:t>
            </w:r>
            <w:proofErr w:type="spellStart"/>
            <w:r w:rsidRPr="00DF4CE5">
              <w:rPr>
                <w:rFonts w:ascii="Cambria" w:hAnsi="Cambria" w:cs="Calibri"/>
                <w:lang w:val="it-IT"/>
              </w:rPr>
              <w:t>vlastite</w:t>
            </w:r>
            <w:proofErr w:type="spellEnd"/>
            <w:r w:rsidRPr="00DF4CE5">
              <w:rPr>
                <w:rFonts w:ascii="Cambria" w:hAnsi="Cambria" w:cs="Calibri"/>
                <w:lang w:val="it-IT"/>
              </w:rPr>
              <w:t xml:space="preserve"> </w:t>
            </w:r>
            <w:proofErr w:type="spellStart"/>
            <w:r w:rsidRPr="00DF4CE5">
              <w:rPr>
                <w:rFonts w:ascii="Cambria" w:hAnsi="Cambria" w:cs="Calibri"/>
                <w:lang w:val="it-IT"/>
              </w:rPr>
              <w:t>primjere</w:t>
            </w:r>
            <w:proofErr w:type="spellEnd"/>
            <w:r w:rsidRPr="00DF4CE5">
              <w:rPr>
                <w:rFonts w:ascii="Cambria" w:hAnsi="Cambria" w:cs="Calibri"/>
                <w:lang w:val="it-IT"/>
              </w:rPr>
              <w:t xml:space="preserve">; </w:t>
            </w:r>
            <w:proofErr w:type="spellStart"/>
            <w:r w:rsidRPr="00DF4CE5">
              <w:rPr>
                <w:rFonts w:ascii="Cambria" w:hAnsi="Cambria" w:cs="Calibri"/>
                <w:lang w:val="it-IT"/>
              </w:rPr>
              <w:t>odgovara</w:t>
            </w:r>
            <w:proofErr w:type="spellEnd"/>
            <w:r w:rsidRPr="00DF4CE5">
              <w:rPr>
                <w:rFonts w:ascii="Cambria" w:hAnsi="Cambria" w:cs="Calibri"/>
                <w:lang w:val="it-IT"/>
              </w:rPr>
              <w:t xml:space="preserve"> </w:t>
            </w:r>
            <w:proofErr w:type="spellStart"/>
            <w:r w:rsidRPr="00DF4CE5">
              <w:rPr>
                <w:rFonts w:ascii="Cambria" w:hAnsi="Cambria" w:cs="Calibri"/>
                <w:lang w:val="it-IT"/>
              </w:rPr>
              <w:t>opsežno</w:t>
            </w:r>
            <w:proofErr w:type="spellEnd"/>
            <w:r w:rsidRPr="00DF4CE5">
              <w:rPr>
                <w:rFonts w:ascii="Cambria" w:hAnsi="Cambria" w:cs="Calibri"/>
                <w:lang w:val="it-IT"/>
              </w:rPr>
              <w:t xml:space="preserve">, ali </w:t>
            </w:r>
            <w:proofErr w:type="spellStart"/>
            <w:r w:rsidRPr="00DF4CE5">
              <w:rPr>
                <w:rFonts w:ascii="Cambria" w:hAnsi="Cambria" w:cs="Calibri"/>
                <w:lang w:val="it-IT"/>
              </w:rPr>
              <w:t>nedostaju</w:t>
            </w:r>
            <w:proofErr w:type="spellEnd"/>
            <w:r w:rsidRPr="00DF4CE5">
              <w:rPr>
                <w:rFonts w:ascii="Cambria" w:hAnsi="Cambria" w:cs="Calibri"/>
                <w:lang w:val="it-IT"/>
              </w:rPr>
              <w:t xml:space="preserve"> </w:t>
            </w:r>
            <w:proofErr w:type="spellStart"/>
            <w:r w:rsidRPr="00DF4CE5">
              <w:rPr>
                <w:rFonts w:ascii="Cambria" w:hAnsi="Cambria" w:cs="Calibri"/>
                <w:lang w:val="it-IT"/>
              </w:rPr>
              <w:t>pojedini</w:t>
            </w:r>
            <w:proofErr w:type="spellEnd"/>
            <w:r w:rsidRPr="00DF4CE5">
              <w:rPr>
                <w:rFonts w:ascii="Cambria" w:hAnsi="Cambria" w:cs="Calibri"/>
                <w:lang w:val="it-IT"/>
              </w:rPr>
              <w:t xml:space="preserve"> </w:t>
            </w:r>
            <w:proofErr w:type="spellStart"/>
            <w:r w:rsidRPr="00DF4CE5">
              <w:rPr>
                <w:rFonts w:ascii="Cambria" w:hAnsi="Cambria" w:cs="Calibri"/>
                <w:lang w:val="it-IT"/>
              </w:rPr>
              <w:t>dijelovi</w:t>
            </w:r>
            <w:proofErr w:type="spellEnd"/>
            <w:r w:rsidRPr="00DF4CE5">
              <w:rPr>
                <w:rFonts w:ascii="Cambria" w:hAnsi="Cambria" w:cs="Calibri"/>
                <w:lang w:val="it-IT"/>
              </w:rPr>
              <w:t xml:space="preserve">, daje </w:t>
            </w:r>
            <w:proofErr w:type="spellStart"/>
            <w:r w:rsidRPr="00DF4CE5">
              <w:rPr>
                <w:rFonts w:ascii="Cambria" w:hAnsi="Cambria" w:cs="Calibri"/>
                <w:lang w:val="it-IT"/>
              </w:rPr>
              <w:t>vlastite</w:t>
            </w:r>
            <w:proofErr w:type="spellEnd"/>
            <w:r w:rsidRPr="00DF4CE5">
              <w:rPr>
                <w:rFonts w:ascii="Cambria" w:hAnsi="Cambria" w:cs="Calibri"/>
                <w:lang w:val="it-IT"/>
              </w:rPr>
              <w:t xml:space="preserve"> </w:t>
            </w:r>
            <w:proofErr w:type="spellStart"/>
            <w:r w:rsidRPr="00DF4CE5">
              <w:rPr>
                <w:rFonts w:ascii="Cambria" w:hAnsi="Cambria" w:cs="Calibri"/>
                <w:lang w:val="it-IT"/>
              </w:rPr>
              <w:t>primjere</w:t>
            </w:r>
            <w:proofErr w:type="spellEnd"/>
            <w:r w:rsidRPr="00DF4CE5">
              <w:rPr>
                <w:rFonts w:ascii="Cambria" w:hAnsi="Cambria" w:cs="Calibri"/>
                <w:lang w:val="it-IT"/>
              </w:rPr>
              <w:t xml:space="preserve">; </w:t>
            </w:r>
            <w:proofErr w:type="spellStart"/>
            <w:r w:rsidRPr="00DF4CE5">
              <w:rPr>
                <w:rFonts w:ascii="Cambria" w:hAnsi="Cambria" w:cs="Calibri"/>
                <w:lang w:val="it-IT"/>
              </w:rPr>
              <w:t>razumije</w:t>
            </w:r>
            <w:proofErr w:type="spellEnd"/>
            <w:r w:rsidRPr="00DF4CE5">
              <w:rPr>
                <w:rFonts w:ascii="Cambria" w:hAnsi="Cambria" w:cs="Calibri"/>
                <w:lang w:val="it-IT"/>
              </w:rPr>
              <w:t xml:space="preserve"> gradivo, ali ne </w:t>
            </w:r>
            <w:proofErr w:type="spellStart"/>
            <w:r w:rsidRPr="00DF4CE5">
              <w:rPr>
                <w:rFonts w:ascii="Cambria" w:hAnsi="Cambria" w:cs="Calibri"/>
                <w:lang w:val="it-IT"/>
              </w:rPr>
              <w:t>može</w:t>
            </w:r>
            <w:proofErr w:type="spellEnd"/>
            <w:r w:rsidRPr="00DF4CE5">
              <w:rPr>
                <w:rFonts w:ascii="Cambria" w:hAnsi="Cambria" w:cs="Calibri"/>
                <w:lang w:val="it-IT"/>
              </w:rPr>
              <w:t xml:space="preserve"> </w:t>
            </w:r>
            <w:proofErr w:type="spellStart"/>
            <w:r w:rsidRPr="00DF4CE5">
              <w:rPr>
                <w:rFonts w:ascii="Cambria" w:hAnsi="Cambria" w:cs="Calibri"/>
                <w:lang w:val="it-IT"/>
              </w:rPr>
              <w:t>potkrijepiti</w:t>
            </w:r>
            <w:proofErr w:type="spellEnd"/>
            <w:r w:rsidRPr="00DF4CE5">
              <w:rPr>
                <w:rFonts w:ascii="Cambria" w:hAnsi="Cambria" w:cs="Calibri"/>
                <w:lang w:val="it-IT"/>
              </w:rPr>
              <w:t xml:space="preserve"> </w:t>
            </w:r>
            <w:proofErr w:type="spellStart"/>
            <w:r w:rsidRPr="00DF4CE5">
              <w:rPr>
                <w:rFonts w:ascii="Cambria" w:hAnsi="Cambria" w:cs="Calibri"/>
                <w:lang w:val="it-IT"/>
              </w:rPr>
              <w:t>primjerima</w:t>
            </w:r>
            <w:proofErr w:type="spellEnd"/>
            <w:r w:rsidRPr="00DF4CE5">
              <w:rPr>
                <w:rFonts w:ascii="Cambria" w:hAnsi="Cambria" w:cs="Calibri"/>
                <w:lang w:val="it-IT"/>
              </w:rPr>
              <w:t xml:space="preserve">; </w:t>
            </w:r>
            <w:proofErr w:type="spellStart"/>
            <w:r w:rsidRPr="00DF4CE5">
              <w:rPr>
                <w:rFonts w:ascii="Cambria" w:hAnsi="Cambria" w:cs="Calibri"/>
                <w:lang w:val="it-IT"/>
              </w:rPr>
              <w:t>imenuje</w:t>
            </w:r>
            <w:proofErr w:type="spellEnd"/>
            <w:r w:rsidRPr="00DF4CE5">
              <w:rPr>
                <w:rFonts w:ascii="Cambria" w:hAnsi="Cambria" w:cs="Calibri"/>
                <w:lang w:val="it-IT"/>
              </w:rPr>
              <w:t xml:space="preserve"> i </w:t>
            </w:r>
            <w:proofErr w:type="spellStart"/>
            <w:r w:rsidRPr="00DF4CE5">
              <w:rPr>
                <w:rFonts w:ascii="Cambria" w:hAnsi="Cambria" w:cs="Calibri"/>
                <w:lang w:val="it-IT"/>
              </w:rPr>
              <w:t>definira</w:t>
            </w:r>
            <w:proofErr w:type="spellEnd"/>
            <w:r w:rsidRPr="00DF4CE5">
              <w:rPr>
                <w:rFonts w:ascii="Cambria" w:hAnsi="Cambria" w:cs="Calibri"/>
                <w:lang w:val="it-IT"/>
              </w:rPr>
              <w:t xml:space="preserve"> </w:t>
            </w:r>
            <w:proofErr w:type="spellStart"/>
            <w:r w:rsidRPr="00DF4CE5">
              <w:rPr>
                <w:rFonts w:ascii="Cambria" w:hAnsi="Cambria" w:cs="Calibri"/>
                <w:lang w:val="it-IT"/>
              </w:rPr>
              <w:t>samo</w:t>
            </w:r>
            <w:proofErr w:type="spellEnd"/>
            <w:r w:rsidRPr="00DF4CE5">
              <w:rPr>
                <w:rFonts w:ascii="Cambria" w:hAnsi="Cambria" w:cs="Calibri"/>
                <w:lang w:val="it-IT"/>
              </w:rPr>
              <w:t xml:space="preserve"> </w:t>
            </w:r>
            <w:proofErr w:type="spellStart"/>
            <w:r w:rsidRPr="00DF4CE5">
              <w:rPr>
                <w:rFonts w:ascii="Cambria" w:hAnsi="Cambria" w:cs="Calibri"/>
                <w:lang w:val="it-IT"/>
              </w:rPr>
              <w:t>osnovne</w:t>
            </w:r>
            <w:proofErr w:type="spellEnd"/>
            <w:r w:rsidRPr="00DF4CE5">
              <w:rPr>
                <w:rFonts w:ascii="Cambria" w:hAnsi="Cambria" w:cs="Calibri"/>
                <w:lang w:val="it-IT"/>
              </w:rPr>
              <w:t xml:space="preserve"> </w:t>
            </w:r>
            <w:proofErr w:type="spellStart"/>
            <w:r w:rsidRPr="00DF4CE5">
              <w:rPr>
                <w:rFonts w:ascii="Cambria" w:hAnsi="Cambria" w:cs="Calibri"/>
                <w:lang w:val="it-IT"/>
              </w:rPr>
              <w:t>pojmove</w:t>
            </w:r>
            <w:proofErr w:type="spellEnd"/>
            <w:r w:rsidRPr="00DF4CE5">
              <w:rPr>
                <w:rFonts w:ascii="Cambria" w:hAnsi="Cambria" w:cs="Calibri"/>
                <w:lang w:val="it-IT"/>
              </w:rPr>
              <w:t xml:space="preserve">, </w:t>
            </w:r>
            <w:proofErr w:type="spellStart"/>
            <w:r w:rsidRPr="00DF4CE5">
              <w:rPr>
                <w:rFonts w:ascii="Cambria" w:hAnsi="Cambria" w:cs="Calibri"/>
                <w:lang w:val="it-IT"/>
              </w:rPr>
              <w:t>bez</w:t>
            </w:r>
            <w:proofErr w:type="spellEnd"/>
            <w:r w:rsidRPr="00DF4CE5">
              <w:rPr>
                <w:rFonts w:ascii="Cambria" w:hAnsi="Cambria" w:cs="Calibri"/>
                <w:lang w:val="it-IT"/>
              </w:rPr>
              <w:t xml:space="preserve"> </w:t>
            </w:r>
            <w:proofErr w:type="spellStart"/>
            <w:r w:rsidRPr="00DF4CE5">
              <w:rPr>
                <w:rFonts w:ascii="Cambria" w:hAnsi="Cambria" w:cs="Calibri"/>
                <w:lang w:val="it-IT"/>
              </w:rPr>
              <w:t>vlastitih</w:t>
            </w:r>
            <w:proofErr w:type="spellEnd"/>
            <w:r w:rsidRPr="00DF4CE5">
              <w:rPr>
                <w:rFonts w:ascii="Cambria" w:hAnsi="Cambria" w:cs="Calibri"/>
                <w:lang w:val="it-IT"/>
              </w:rPr>
              <w:t xml:space="preserve"> </w:t>
            </w:r>
            <w:proofErr w:type="spellStart"/>
            <w:r w:rsidRPr="00DF4CE5">
              <w:rPr>
                <w:rFonts w:ascii="Cambria" w:hAnsi="Cambria" w:cs="Calibri"/>
                <w:lang w:val="it-IT"/>
              </w:rPr>
              <w:t>primjera</w:t>
            </w:r>
            <w:proofErr w:type="spellEnd"/>
            <w:r w:rsidRPr="00DF4CE5">
              <w:rPr>
                <w:rFonts w:ascii="Cambria" w:hAnsi="Cambria" w:cs="Calibri"/>
                <w:lang w:val="it-IT"/>
              </w:rPr>
              <w:t xml:space="preserve">).           </w:t>
            </w:r>
          </w:p>
          <w:p w14:paraId="731D9D3B" w14:textId="71C1262D" w:rsidR="007A75FD" w:rsidRPr="00AB32A5" w:rsidRDefault="007A75FD" w:rsidP="007A75FD">
            <w:pPr>
              <w:spacing w:after="0"/>
              <w:rPr>
                <w:rFonts w:ascii="Cambria" w:hAnsi="Cambria" w:cs="Calibri"/>
                <w:lang w:val="it-IT"/>
              </w:rPr>
            </w:pPr>
            <w:r w:rsidRPr="00DF4CE5">
              <w:rPr>
                <w:rFonts w:ascii="Cambria" w:hAnsi="Cambria" w:cs="Calibri"/>
                <w:lang w:val="it-IT"/>
              </w:rPr>
              <w:t xml:space="preserve">U </w:t>
            </w:r>
            <w:proofErr w:type="spellStart"/>
            <w:r w:rsidRPr="00DF4CE5">
              <w:rPr>
                <w:rFonts w:ascii="Cambria" w:hAnsi="Cambria" w:cs="Calibri"/>
                <w:lang w:val="it-IT"/>
              </w:rPr>
              <w:t>slučaju</w:t>
            </w:r>
            <w:proofErr w:type="spellEnd"/>
            <w:r w:rsidRPr="00DF4CE5">
              <w:rPr>
                <w:rFonts w:ascii="Cambria" w:hAnsi="Cambria" w:cs="Calibri"/>
                <w:lang w:val="it-IT"/>
              </w:rPr>
              <w:t xml:space="preserve"> </w:t>
            </w:r>
            <w:proofErr w:type="spellStart"/>
            <w:r w:rsidRPr="00DF4CE5">
              <w:rPr>
                <w:rFonts w:ascii="Cambria" w:hAnsi="Cambria" w:cs="Calibri"/>
                <w:lang w:val="it-IT"/>
              </w:rPr>
              <w:t>održavanja</w:t>
            </w:r>
            <w:proofErr w:type="spellEnd"/>
            <w:r w:rsidRPr="00DF4CE5">
              <w:rPr>
                <w:rFonts w:ascii="Cambria" w:hAnsi="Cambria" w:cs="Calibri"/>
                <w:lang w:val="it-IT"/>
              </w:rPr>
              <w:t xml:space="preserve"> </w:t>
            </w:r>
            <w:proofErr w:type="spellStart"/>
            <w:r w:rsidRPr="00DF4CE5">
              <w:rPr>
                <w:rFonts w:ascii="Cambria" w:hAnsi="Cambria" w:cs="Calibri"/>
                <w:lang w:val="it-IT"/>
              </w:rPr>
              <w:t>nastave</w:t>
            </w:r>
            <w:proofErr w:type="spellEnd"/>
            <w:r w:rsidRPr="00DF4CE5">
              <w:rPr>
                <w:rFonts w:ascii="Cambria" w:hAnsi="Cambria" w:cs="Calibri"/>
                <w:lang w:val="it-IT"/>
              </w:rPr>
              <w:t xml:space="preserve"> </w:t>
            </w:r>
            <w:proofErr w:type="spellStart"/>
            <w:r w:rsidRPr="00DF4CE5">
              <w:rPr>
                <w:rFonts w:ascii="Cambria" w:hAnsi="Cambria" w:cs="Calibri"/>
                <w:lang w:val="it-IT"/>
              </w:rPr>
              <w:t>na</w:t>
            </w:r>
            <w:proofErr w:type="spellEnd"/>
            <w:r w:rsidRPr="00DF4CE5">
              <w:rPr>
                <w:rFonts w:ascii="Cambria" w:hAnsi="Cambria" w:cs="Calibri"/>
                <w:lang w:val="it-IT"/>
              </w:rPr>
              <w:t xml:space="preserve"> </w:t>
            </w:r>
            <w:proofErr w:type="spellStart"/>
            <w:r w:rsidRPr="00DF4CE5">
              <w:rPr>
                <w:rFonts w:ascii="Cambria" w:hAnsi="Cambria" w:cs="Calibri"/>
                <w:lang w:val="it-IT"/>
              </w:rPr>
              <w:t>daljinu</w:t>
            </w:r>
            <w:proofErr w:type="spellEnd"/>
            <w:r w:rsidRPr="00DF4CE5">
              <w:rPr>
                <w:rFonts w:ascii="Cambria" w:hAnsi="Cambria" w:cs="Calibri"/>
                <w:lang w:val="it-IT"/>
              </w:rPr>
              <w:t xml:space="preserve">, </w:t>
            </w:r>
            <w:proofErr w:type="spellStart"/>
            <w:r w:rsidRPr="00DF4CE5">
              <w:rPr>
                <w:rFonts w:ascii="Cambria" w:hAnsi="Cambria" w:cs="Calibri"/>
                <w:lang w:val="it-IT"/>
              </w:rPr>
              <w:t>moguće</w:t>
            </w:r>
            <w:proofErr w:type="spellEnd"/>
            <w:r w:rsidRPr="00DF4CE5">
              <w:rPr>
                <w:rFonts w:ascii="Cambria" w:hAnsi="Cambria" w:cs="Calibri"/>
                <w:lang w:val="it-IT"/>
              </w:rPr>
              <w:t xml:space="preserve"> je </w:t>
            </w:r>
            <w:proofErr w:type="spellStart"/>
            <w:r w:rsidRPr="00DF4CE5">
              <w:rPr>
                <w:rFonts w:ascii="Cambria" w:hAnsi="Cambria" w:cs="Calibri"/>
                <w:lang w:val="it-IT"/>
              </w:rPr>
              <w:t>odstupanje</w:t>
            </w:r>
            <w:proofErr w:type="spellEnd"/>
            <w:r w:rsidRPr="00DF4CE5">
              <w:rPr>
                <w:rFonts w:ascii="Cambria" w:hAnsi="Cambria" w:cs="Calibri"/>
                <w:lang w:val="it-IT"/>
              </w:rPr>
              <w:t xml:space="preserve"> u: </w:t>
            </w:r>
            <w:proofErr w:type="spellStart"/>
            <w:r w:rsidRPr="00DF4CE5">
              <w:rPr>
                <w:rFonts w:ascii="Cambria" w:hAnsi="Cambria" w:cs="Calibri"/>
                <w:lang w:val="it-IT"/>
              </w:rPr>
              <w:t>mjestu</w:t>
            </w:r>
            <w:proofErr w:type="spellEnd"/>
            <w:r w:rsidRPr="00DF4CE5">
              <w:rPr>
                <w:rFonts w:ascii="Cambria" w:hAnsi="Cambria" w:cs="Calibri"/>
                <w:lang w:val="it-IT"/>
              </w:rPr>
              <w:t xml:space="preserve"> </w:t>
            </w:r>
            <w:proofErr w:type="spellStart"/>
            <w:r w:rsidRPr="00DF4CE5">
              <w:rPr>
                <w:rFonts w:ascii="Cambria" w:hAnsi="Cambria" w:cs="Calibri"/>
                <w:lang w:val="it-IT"/>
              </w:rPr>
              <w:t>izvođenja</w:t>
            </w:r>
            <w:proofErr w:type="spellEnd"/>
            <w:r w:rsidRPr="00DF4CE5">
              <w:rPr>
                <w:rFonts w:ascii="Cambria" w:hAnsi="Cambria" w:cs="Calibri"/>
                <w:lang w:val="it-IT"/>
              </w:rPr>
              <w:t xml:space="preserve"> </w:t>
            </w:r>
            <w:proofErr w:type="spellStart"/>
            <w:r w:rsidRPr="00DF4CE5">
              <w:rPr>
                <w:rFonts w:ascii="Cambria" w:hAnsi="Cambria" w:cs="Calibri"/>
                <w:lang w:val="it-IT"/>
              </w:rPr>
              <w:t>kolegija</w:t>
            </w:r>
            <w:proofErr w:type="spellEnd"/>
            <w:r w:rsidRPr="00DF4CE5">
              <w:rPr>
                <w:rFonts w:ascii="Cambria" w:hAnsi="Cambria" w:cs="Calibri"/>
                <w:lang w:val="it-IT"/>
              </w:rPr>
              <w:t xml:space="preserve">, </w:t>
            </w:r>
            <w:proofErr w:type="spellStart"/>
            <w:r w:rsidRPr="00DF4CE5">
              <w:rPr>
                <w:rFonts w:ascii="Cambria" w:hAnsi="Cambria" w:cs="Calibri"/>
                <w:lang w:val="it-IT"/>
              </w:rPr>
              <w:t>provedbi</w:t>
            </w:r>
            <w:proofErr w:type="spellEnd"/>
            <w:r w:rsidRPr="00DF4CE5">
              <w:rPr>
                <w:rFonts w:ascii="Cambria" w:hAnsi="Cambria" w:cs="Calibri"/>
                <w:lang w:val="it-IT"/>
              </w:rPr>
              <w:t xml:space="preserve"> </w:t>
            </w:r>
            <w:proofErr w:type="spellStart"/>
            <w:r w:rsidRPr="00DF4CE5">
              <w:rPr>
                <w:rFonts w:ascii="Cambria" w:hAnsi="Cambria" w:cs="Calibri"/>
                <w:lang w:val="it-IT"/>
              </w:rPr>
              <w:t>aktivnosti</w:t>
            </w:r>
            <w:proofErr w:type="spellEnd"/>
            <w:r w:rsidRPr="00DF4CE5">
              <w:rPr>
                <w:rFonts w:ascii="Cambria" w:hAnsi="Cambria" w:cs="Calibri"/>
                <w:lang w:val="it-IT"/>
              </w:rPr>
              <w:t xml:space="preserve">, </w:t>
            </w:r>
            <w:proofErr w:type="spellStart"/>
            <w:r w:rsidRPr="00DF4CE5">
              <w:rPr>
                <w:rFonts w:ascii="Cambria" w:hAnsi="Cambria" w:cs="Calibri"/>
                <w:lang w:val="it-IT"/>
              </w:rPr>
              <w:t>metoda</w:t>
            </w:r>
            <w:proofErr w:type="spellEnd"/>
            <w:r w:rsidRPr="00DF4CE5">
              <w:rPr>
                <w:rFonts w:ascii="Cambria" w:hAnsi="Cambria" w:cs="Calibri"/>
                <w:lang w:val="it-IT"/>
              </w:rPr>
              <w:t xml:space="preserve"> </w:t>
            </w:r>
            <w:proofErr w:type="spellStart"/>
            <w:r w:rsidRPr="00DF4CE5">
              <w:rPr>
                <w:rFonts w:ascii="Cambria" w:hAnsi="Cambria" w:cs="Calibri"/>
                <w:lang w:val="it-IT"/>
              </w:rPr>
              <w:t>tumačenja</w:t>
            </w:r>
            <w:proofErr w:type="spellEnd"/>
            <w:r w:rsidRPr="00DF4CE5">
              <w:rPr>
                <w:rFonts w:ascii="Cambria" w:hAnsi="Cambria" w:cs="Calibri"/>
                <w:lang w:val="it-IT"/>
              </w:rPr>
              <w:t xml:space="preserve"> i </w:t>
            </w:r>
            <w:proofErr w:type="spellStart"/>
            <w:r w:rsidRPr="00DF4CE5">
              <w:rPr>
                <w:rFonts w:ascii="Cambria" w:hAnsi="Cambria" w:cs="Calibri"/>
                <w:lang w:val="it-IT"/>
              </w:rPr>
              <w:t>poučavanja</w:t>
            </w:r>
            <w:proofErr w:type="spellEnd"/>
            <w:r w:rsidRPr="00DF4CE5">
              <w:rPr>
                <w:rFonts w:ascii="Cambria" w:hAnsi="Cambria" w:cs="Calibri"/>
                <w:lang w:val="it-IT"/>
              </w:rPr>
              <w:t xml:space="preserve"> i </w:t>
            </w:r>
            <w:proofErr w:type="spellStart"/>
            <w:r w:rsidRPr="00DF4CE5">
              <w:rPr>
                <w:rFonts w:ascii="Cambria" w:hAnsi="Cambria" w:cs="Calibri"/>
                <w:lang w:val="it-IT"/>
              </w:rPr>
              <w:t>načinima</w:t>
            </w:r>
            <w:proofErr w:type="spellEnd"/>
            <w:r w:rsidRPr="00DF4CE5">
              <w:rPr>
                <w:rFonts w:ascii="Cambria" w:hAnsi="Cambria" w:cs="Calibri"/>
                <w:lang w:val="it-IT"/>
              </w:rPr>
              <w:t xml:space="preserve"> </w:t>
            </w:r>
            <w:proofErr w:type="spellStart"/>
            <w:r w:rsidRPr="00DF4CE5">
              <w:rPr>
                <w:rFonts w:ascii="Cambria" w:hAnsi="Cambria" w:cs="Calibri"/>
                <w:lang w:val="it-IT"/>
              </w:rPr>
              <w:t>vrednovanja</w:t>
            </w:r>
            <w:proofErr w:type="spellEnd"/>
            <w:r w:rsidRPr="00DF4CE5">
              <w:rPr>
                <w:rFonts w:ascii="Cambria" w:hAnsi="Cambria" w:cs="Calibri"/>
                <w:lang w:val="it-IT"/>
              </w:rPr>
              <w:t xml:space="preserve">, </w:t>
            </w:r>
            <w:proofErr w:type="spellStart"/>
            <w:r w:rsidRPr="00DF4CE5">
              <w:rPr>
                <w:rFonts w:ascii="Cambria" w:hAnsi="Cambria" w:cs="Calibri"/>
                <w:lang w:val="it-IT"/>
              </w:rPr>
              <w:t>studentskim</w:t>
            </w:r>
            <w:proofErr w:type="spellEnd"/>
            <w:r w:rsidRPr="00DF4CE5">
              <w:rPr>
                <w:rFonts w:ascii="Cambria" w:hAnsi="Cambria" w:cs="Calibri"/>
                <w:lang w:val="it-IT"/>
              </w:rPr>
              <w:t xml:space="preserve"> </w:t>
            </w:r>
            <w:proofErr w:type="spellStart"/>
            <w:r w:rsidRPr="00DF4CE5">
              <w:rPr>
                <w:rFonts w:ascii="Cambria" w:hAnsi="Cambria" w:cs="Calibri"/>
                <w:lang w:val="it-IT"/>
              </w:rPr>
              <w:t>obvezama</w:t>
            </w:r>
            <w:proofErr w:type="spellEnd"/>
            <w:r w:rsidRPr="00DF4CE5">
              <w:rPr>
                <w:rFonts w:ascii="Cambria" w:hAnsi="Cambria" w:cs="Calibri"/>
                <w:lang w:val="it-IT"/>
              </w:rPr>
              <w:t xml:space="preserve"> i </w:t>
            </w:r>
            <w:proofErr w:type="spellStart"/>
            <w:r w:rsidRPr="00DF4CE5">
              <w:rPr>
                <w:rFonts w:ascii="Cambria" w:hAnsi="Cambria" w:cs="Calibri"/>
                <w:lang w:val="it-IT"/>
              </w:rPr>
              <w:t>dostupnoj</w:t>
            </w:r>
            <w:proofErr w:type="spellEnd"/>
            <w:r w:rsidRPr="00DF4CE5">
              <w:rPr>
                <w:rFonts w:ascii="Cambria" w:hAnsi="Cambria" w:cs="Calibri"/>
                <w:lang w:val="it-IT"/>
              </w:rPr>
              <w:t xml:space="preserve"> </w:t>
            </w:r>
            <w:proofErr w:type="spellStart"/>
            <w:r w:rsidRPr="00DF4CE5">
              <w:rPr>
                <w:rFonts w:ascii="Cambria" w:hAnsi="Cambria" w:cs="Calibri"/>
                <w:lang w:val="it-IT"/>
              </w:rPr>
              <w:t>literaturi</w:t>
            </w:r>
            <w:proofErr w:type="spellEnd"/>
            <w:r w:rsidRPr="00DF4CE5">
              <w:rPr>
                <w:rFonts w:ascii="Cambria" w:hAnsi="Cambria" w:cs="Calibri"/>
                <w:lang w:val="it-IT"/>
              </w:rPr>
              <w:t xml:space="preserve">. O tome </w:t>
            </w:r>
            <w:proofErr w:type="spellStart"/>
            <w:r w:rsidRPr="00DF4CE5">
              <w:rPr>
                <w:rFonts w:ascii="Cambria" w:hAnsi="Cambria" w:cs="Calibri"/>
                <w:lang w:val="it-IT"/>
              </w:rPr>
              <w:t>će</w:t>
            </w:r>
            <w:proofErr w:type="spellEnd"/>
            <w:r w:rsidRPr="00DF4CE5">
              <w:rPr>
                <w:rFonts w:ascii="Cambria" w:hAnsi="Cambria" w:cs="Calibri"/>
                <w:lang w:val="it-IT"/>
              </w:rPr>
              <w:t xml:space="preserve"> </w:t>
            </w:r>
            <w:proofErr w:type="spellStart"/>
            <w:r w:rsidRPr="00DF4CE5">
              <w:rPr>
                <w:rFonts w:ascii="Cambria" w:hAnsi="Cambria" w:cs="Calibri"/>
                <w:lang w:val="it-IT"/>
              </w:rPr>
              <w:t>nositeljica</w:t>
            </w:r>
            <w:proofErr w:type="spellEnd"/>
            <w:r w:rsidRPr="00DF4CE5">
              <w:rPr>
                <w:rFonts w:ascii="Cambria" w:hAnsi="Cambria" w:cs="Calibri"/>
                <w:lang w:val="it-IT"/>
              </w:rPr>
              <w:t xml:space="preserve"> </w:t>
            </w:r>
            <w:proofErr w:type="spellStart"/>
            <w:r w:rsidRPr="00DF4CE5">
              <w:rPr>
                <w:rFonts w:ascii="Cambria" w:hAnsi="Cambria" w:cs="Calibri"/>
                <w:lang w:val="it-IT"/>
              </w:rPr>
              <w:t>kolegija</w:t>
            </w:r>
            <w:proofErr w:type="spellEnd"/>
            <w:r w:rsidRPr="00DF4CE5">
              <w:rPr>
                <w:rFonts w:ascii="Cambria" w:hAnsi="Cambria" w:cs="Calibri"/>
                <w:lang w:val="it-IT"/>
              </w:rPr>
              <w:t xml:space="preserve"> i </w:t>
            </w:r>
            <w:proofErr w:type="spellStart"/>
            <w:r w:rsidR="00AB32A5">
              <w:rPr>
                <w:rFonts w:ascii="Cambria" w:hAnsi="Cambria" w:cs="Calibri"/>
                <w:lang w:val="it-IT"/>
              </w:rPr>
              <w:t>suradnice</w:t>
            </w:r>
            <w:proofErr w:type="spellEnd"/>
            <w:r w:rsidR="00AB32A5">
              <w:rPr>
                <w:rFonts w:ascii="Cambria" w:hAnsi="Cambria" w:cs="Calibri"/>
                <w:lang w:val="it-IT"/>
              </w:rPr>
              <w:t xml:space="preserve"> </w:t>
            </w:r>
            <w:proofErr w:type="spellStart"/>
            <w:r w:rsidRPr="00DF4CE5">
              <w:rPr>
                <w:rFonts w:ascii="Cambria" w:hAnsi="Cambria" w:cs="Calibri"/>
                <w:lang w:val="it-IT"/>
              </w:rPr>
              <w:t>obavijestiti</w:t>
            </w:r>
            <w:proofErr w:type="spellEnd"/>
            <w:r w:rsidRPr="00DF4CE5">
              <w:rPr>
                <w:rFonts w:ascii="Cambria" w:hAnsi="Cambria" w:cs="Calibri"/>
                <w:lang w:val="it-IT"/>
              </w:rPr>
              <w:t xml:space="preserve"> studente i </w:t>
            </w:r>
            <w:proofErr w:type="spellStart"/>
            <w:r w:rsidRPr="00DF4CE5">
              <w:rPr>
                <w:rFonts w:ascii="Cambria" w:hAnsi="Cambria" w:cs="Calibri"/>
                <w:lang w:val="it-IT"/>
              </w:rPr>
              <w:t>studentice</w:t>
            </w:r>
            <w:proofErr w:type="spellEnd"/>
            <w:r w:rsidRPr="00DF4CE5">
              <w:rPr>
                <w:rFonts w:ascii="Cambria" w:hAnsi="Cambria" w:cs="Calibri"/>
                <w:lang w:val="it-IT"/>
              </w:rPr>
              <w:t xml:space="preserve"> </w:t>
            </w:r>
            <w:proofErr w:type="spellStart"/>
            <w:r w:rsidRPr="00DF4CE5">
              <w:rPr>
                <w:rFonts w:ascii="Cambria" w:hAnsi="Cambria" w:cs="Calibri"/>
                <w:lang w:val="it-IT"/>
              </w:rPr>
              <w:t>kad</w:t>
            </w:r>
            <w:proofErr w:type="spellEnd"/>
            <w:r w:rsidRPr="00DF4CE5">
              <w:rPr>
                <w:rFonts w:ascii="Cambria" w:hAnsi="Cambria" w:cs="Calibri"/>
                <w:lang w:val="it-IT"/>
              </w:rPr>
              <w:t xml:space="preserve"> se </w:t>
            </w:r>
            <w:proofErr w:type="spellStart"/>
            <w:r w:rsidRPr="00DF4CE5">
              <w:rPr>
                <w:rFonts w:ascii="Cambria" w:hAnsi="Cambria" w:cs="Calibri"/>
                <w:lang w:val="it-IT"/>
              </w:rPr>
              <w:t>nastava</w:t>
            </w:r>
            <w:proofErr w:type="spellEnd"/>
            <w:r w:rsidRPr="00DF4CE5">
              <w:rPr>
                <w:rFonts w:ascii="Cambria" w:hAnsi="Cambria" w:cs="Calibri"/>
                <w:lang w:val="it-IT"/>
              </w:rPr>
              <w:t xml:space="preserve"> </w:t>
            </w:r>
            <w:proofErr w:type="spellStart"/>
            <w:r w:rsidRPr="00DF4CE5">
              <w:rPr>
                <w:rFonts w:ascii="Cambria" w:hAnsi="Cambria" w:cs="Calibri"/>
                <w:lang w:val="it-IT"/>
              </w:rPr>
              <w:t>na</w:t>
            </w:r>
            <w:proofErr w:type="spellEnd"/>
            <w:r w:rsidRPr="00DF4CE5">
              <w:rPr>
                <w:rFonts w:ascii="Cambria" w:hAnsi="Cambria" w:cs="Calibri"/>
                <w:lang w:val="it-IT"/>
              </w:rPr>
              <w:t xml:space="preserve"> </w:t>
            </w:r>
            <w:proofErr w:type="spellStart"/>
            <w:r w:rsidRPr="00DF4CE5">
              <w:rPr>
                <w:rFonts w:ascii="Cambria" w:hAnsi="Cambria" w:cs="Calibri"/>
                <w:lang w:val="it-IT"/>
              </w:rPr>
              <w:t>daljinu</w:t>
            </w:r>
            <w:proofErr w:type="spellEnd"/>
            <w:r w:rsidRPr="00DF4CE5">
              <w:rPr>
                <w:rFonts w:ascii="Cambria" w:hAnsi="Cambria" w:cs="Calibri"/>
                <w:lang w:val="it-IT"/>
              </w:rPr>
              <w:t xml:space="preserve"> </w:t>
            </w:r>
            <w:proofErr w:type="spellStart"/>
            <w:r w:rsidRPr="00DF4CE5">
              <w:rPr>
                <w:rFonts w:ascii="Cambria" w:hAnsi="Cambria" w:cs="Calibri"/>
                <w:lang w:val="it-IT"/>
              </w:rPr>
              <w:t>počne</w:t>
            </w:r>
            <w:proofErr w:type="spellEnd"/>
            <w:r w:rsidRPr="00DF4CE5">
              <w:rPr>
                <w:rFonts w:ascii="Cambria" w:hAnsi="Cambria" w:cs="Calibri"/>
                <w:lang w:val="it-IT"/>
              </w:rPr>
              <w:t xml:space="preserve"> </w:t>
            </w:r>
            <w:proofErr w:type="spellStart"/>
            <w:r w:rsidRPr="00DF4CE5">
              <w:rPr>
                <w:rFonts w:ascii="Cambria" w:hAnsi="Cambria" w:cs="Calibri"/>
                <w:lang w:val="it-IT"/>
              </w:rPr>
              <w:t>održavati</w:t>
            </w:r>
            <w:proofErr w:type="spellEnd"/>
            <w:r w:rsidRPr="00DF4CE5">
              <w:rPr>
                <w:rFonts w:ascii="Cambria" w:hAnsi="Cambria" w:cs="Calibri"/>
                <w:lang w:val="it-IT"/>
              </w:rPr>
              <w:t xml:space="preserve">. </w:t>
            </w:r>
            <w:proofErr w:type="spellStart"/>
            <w:r w:rsidRPr="00AB32A5">
              <w:rPr>
                <w:rFonts w:ascii="Cambria" w:hAnsi="Cambria" w:cs="Calibri"/>
                <w:lang w:val="it-IT"/>
              </w:rPr>
              <w:t>Ishodi</w:t>
            </w:r>
            <w:proofErr w:type="spellEnd"/>
            <w:r w:rsidRPr="00AB32A5">
              <w:rPr>
                <w:rFonts w:ascii="Cambria" w:hAnsi="Cambria" w:cs="Calibri"/>
                <w:lang w:val="it-IT"/>
              </w:rPr>
              <w:t xml:space="preserve"> </w:t>
            </w:r>
            <w:proofErr w:type="spellStart"/>
            <w:r w:rsidRPr="00AB32A5">
              <w:rPr>
                <w:rFonts w:ascii="Cambria" w:hAnsi="Cambria" w:cs="Calibri"/>
                <w:lang w:val="it-IT"/>
              </w:rPr>
              <w:t>učenja</w:t>
            </w:r>
            <w:proofErr w:type="spellEnd"/>
            <w:r w:rsidRPr="00AB32A5">
              <w:rPr>
                <w:rFonts w:ascii="Cambria" w:hAnsi="Cambria" w:cs="Calibri"/>
                <w:lang w:val="it-IT"/>
              </w:rPr>
              <w:t xml:space="preserve"> </w:t>
            </w:r>
            <w:proofErr w:type="spellStart"/>
            <w:r w:rsidRPr="00AB32A5">
              <w:rPr>
                <w:rFonts w:ascii="Cambria" w:hAnsi="Cambria" w:cs="Calibri"/>
                <w:lang w:val="it-IT"/>
              </w:rPr>
              <w:t>ostaju</w:t>
            </w:r>
            <w:proofErr w:type="spellEnd"/>
            <w:r w:rsidRPr="00AB32A5">
              <w:rPr>
                <w:rFonts w:ascii="Cambria" w:hAnsi="Cambria" w:cs="Calibri"/>
                <w:lang w:val="it-IT"/>
              </w:rPr>
              <w:t xml:space="preserve"> </w:t>
            </w:r>
            <w:proofErr w:type="spellStart"/>
            <w:r w:rsidRPr="00AB32A5">
              <w:rPr>
                <w:rFonts w:ascii="Cambria" w:hAnsi="Cambria" w:cs="Calibri"/>
                <w:lang w:val="it-IT"/>
              </w:rPr>
              <w:t>nepromijenjeni</w:t>
            </w:r>
            <w:proofErr w:type="spellEnd"/>
            <w:r w:rsidRPr="00AB32A5">
              <w:rPr>
                <w:rFonts w:ascii="Cambria" w:hAnsi="Cambria" w:cs="Calibri"/>
                <w:lang w:val="it-IT"/>
              </w:rPr>
              <w:t>.</w:t>
            </w:r>
          </w:p>
        </w:tc>
      </w:tr>
      <w:tr w:rsidR="007A75FD" w:rsidRPr="00DF4CE5" w14:paraId="55C00DA5" w14:textId="77777777" w:rsidTr="00891E8C">
        <w:trPr>
          <w:trHeight w:val="770"/>
        </w:trPr>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DACB27E" w14:textId="77777777" w:rsidR="007A75FD" w:rsidRPr="00DF4CE5" w:rsidRDefault="007A75FD" w:rsidP="007A75FD">
            <w:pPr>
              <w:spacing w:after="0"/>
              <w:rPr>
                <w:rFonts w:ascii="Cambria" w:hAnsi="Cambria" w:cs="Calibri"/>
              </w:rPr>
            </w:pPr>
            <w:proofErr w:type="spellStart"/>
            <w:r w:rsidRPr="00DF4CE5">
              <w:rPr>
                <w:rFonts w:ascii="Cambria" w:hAnsi="Cambria" w:cs="Calibri"/>
              </w:rPr>
              <w:lastRenderedPageBreak/>
              <w:t>Literatura</w:t>
            </w:r>
            <w:proofErr w:type="spellEnd"/>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14:paraId="3548397B" w14:textId="77777777" w:rsidR="007A75FD" w:rsidRPr="00DF4CE5" w:rsidRDefault="007A75FD" w:rsidP="007A75FD">
            <w:pPr>
              <w:spacing w:before="20" w:after="0"/>
              <w:rPr>
                <w:rFonts w:ascii="Cambria" w:hAnsi="Cambria" w:cs="Calibri"/>
              </w:rPr>
            </w:pPr>
            <w:proofErr w:type="spellStart"/>
            <w:r w:rsidRPr="00DF4CE5">
              <w:rPr>
                <w:rFonts w:ascii="Cambria" w:hAnsi="Cambria" w:cs="Calibri"/>
              </w:rPr>
              <w:t>Obvezna</w:t>
            </w:r>
            <w:proofErr w:type="spellEnd"/>
            <w:r w:rsidRPr="00DF4CE5">
              <w:rPr>
                <w:rFonts w:ascii="Cambria" w:hAnsi="Cambria" w:cs="Calibri"/>
              </w:rPr>
              <w:t>:</w:t>
            </w:r>
          </w:p>
          <w:p w14:paraId="2ED1F5E2" w14:textId="77777777" w:rsidR="007A75FD" w:rsidRPr="00DF4CE5" w:rsidRDefault="007A75FD" w:rsidP="007A75FD">
            <w:pPr>
              <w:spacing w:before="20" w:after="0"/>
              <w:rPr>
                <w:rFonts w:ascii="Cambria" w:hAnsi="Cambria" w:cs="Calibri"/>
              </w:rPr>
            </w:pPr>
            <w:r w:rsidRPr="00DF4CE5">
              <w:rPr>
                <w:rFonts w:ascii="Cambria" w:hAnsi="Cambria" w:cs="Calibri"/>
              </w:rPr>
              <w:t>1.</w:t>
            </w:r>
            <w:r w:rsidRPr="00DF4CE5">
              <w:rPr>
                <w:rFonts w:ascii="Cambria" w:hAnsi="Cambria" w:cs="Calibri"/>
                <w:i/>
              </w:rPr>
              <w:t xml:space="preserve"> </w:t>
            </w:r>
            <w:r w:rsidRPr="00DF4CE5">
              <w:rPr>
                <w:rFonts w:ascii="Cambria" w:hAnsi="Cambria" w:cs="Calibri"/>
              </w:rPr>
              <w:t>Ellis, R. (1997; 2003). Second Language Acquisition. Oxford: Oxford University Press</w:t>
            </w:r>
          </w:p>
          <w:p w14:paraId="47D29C8B" w14:textId="77777777" w:rsidR="007A75FD" w:rsidRPr="00DF4CE5" w:rsidRDefault="007A75FD" w:rsidP="007A75FD">
            <w:pPr>
              <w:spacing w:before="20" w:after="0"/>
              <w:rPr>
                <w:rFonts w:ascii="Cambria" w:hAnsi="Cambria" w:cs="Calibri"/>
              </w:rPr>
            </w:pPr>
            <w:r w:rsidRPr="00DF4CE5">
              <w:rPr>
                <w:rFonts w:ascii="Cambria" w:hAnsi="Cambria" w:cs="Calibri"/>
              </w:rPr>
              <w:t xml:space="preserve">2. O’Malley, J. M. &amp; Uhl </w:t>
            </w:r>
            <w:proofErr w:type="spellStart"/>
            <w:r w:rsidRPr="00DF4CE5">
              <w:rPr>
                <w:rFonts w:ascii="Cambria" w:hAnsi="Cambria" w:cs="Calibri"/>
              </w:rPr>
              <w:t>Chamot</w:t>
            </w:r>
            <w:proofErr w:type="spellEnd"/>
            <w:r w:rsidRPr="00DF4CE5">
              <w:rPr>
                <w:rFonts w:ascii="Cambria" w:hAnsi="Cambria" w:cs="Calibri"/>
              </w:rPr>
              <w:t>, A. (1990; 1995). Learning Strategies in Second Language Acquisition. Cambridge: Cambridge University Press</w:t>
            </w:r>
          </w:p>
          <w:p w14:paraId="75CC583C" w14:textId="77777777" w:rsidR="007A75FD" w:rsidRPr="00DF4CE5" w:rsidRDefault="007A75FD" w:rsidP="007A75FD">
            <w:pPr>
              <w:spacing w:before="20" w:after="0"/>
              <w:rPr>
                <w:rFonts w:ascii="Cambria" w:hAnsi="Cambria" w:cs="Calibri"/>
              </w:rPr>
            </w:pPr>
            <w:r w:rsidRPr="00DF4CE5">
              <w:rPr>
                <w:rFonts w:ascii="Cambria" w:hAnsi="Cambria" w:cs="Calibri"/>
              </w:rPr>
              <w:t>3. Ur, P. (1999). A Course in Language Teaching. Cambridge: Cambridge University Press</w:t>
            </w:r>
          </w:p>
          <w:p w14:paraId="366F639C" w14:textId="19E26E5B" w:rsidR="007A75FD" w:rsidRPr="00DF4CE5" w:rsidRDefault="007A75FD" w:rsidP="007A75FD">
            <w:pPr>
              <w:spacing w:before="20" w:after="0"/>
              <w:rPr>
                <w:rFonts w:ascii="Cambria" w:hAnsi="Cambria" w:cs="Calibri"/>
              </w:rPr>
            </w:pPr>
            <w:r w:rsidRPr="00DF4CE5">
              <w:rPr>
                <w:rFonts w:ascii="Cambria" w:hAnsi="Cambria" w:cs="Calibri"/>
              </w:rPr>
              <w:t>4.</w:t>
            </w:r>
            <w:r w:rsidR="00B75C29" w:rsidRPr="00DF4CE5">
              <w:rPr>
                <w:rFonts w:ascii="Cambria" w:hAnsi="Cambria" w:cs="Calibri"/>
              </w:rPr>
              <w:t xml:space="preserve"> </w:t>
            </w:r>
            <w:r w:rsidRPr="00DF4CE5">
              <w:rPr>
                <w:rFonts w:ascii="Cambria" w:hAnsi="Cambria" w:cs="Calibri"/>
              </w:rPr>
              <w:t xml:space="preserve">Vilke, M. (1991). </w:t>
            </w:r>
            <w:proofErr w:type="spellStart"/>
            <w:r w:rsidRPr="00DF4CE5">
              <w:rPr>
                <w:rFonts w:ascii="Cambria" w:hAnsi="Cambria" w:cs="Calibri"/>
              </w:rPr>
              <w:t>Vaše</w:t>
            </w:r>
            <w:proofErr w:type="spellEnd"/>
            <w:r w:rsidRPr="00DF4CE5">
              <w:rPr>
                <w:rFonts w:ascii="Cambria" w:hAnsi="Cambria" w:cs="Calibri"/>
              </w:rPr>
              <w:t xml:space="preserve"> </w:t>
            </w:r>
            <w:proofErr w:type="spellStart"/>
            <w:r w:rsidRPr="00DF4CE5">
              <w:rPr>
                <w:rFonts w:ascii="Cambria" w:hAnsi="Cambria" w:cs="Calibri"/>
              </w:rPr>
              <w:t>dijete</w:t>
            </w:r>
            <w:proofErr w:type="spellEnd"/>
            <w:r w:rsidRPr="00DF4CE5">
              <w:rPr>
                <w:rFonts w:ascii="Cambria" w:hAnsi="Cambria" w:cs="Calibri"/>
              </w:rPr>
              <w:t xml:space="preserve"> </w:t>
            </w:r>
            <w:proofErr w:type="spellStart"/>
            <w:r w:rsidRPr="00DF4CE5">
              <w:rPr>
                <w:rFonts w:ascii="Cambria" w:hAnsi="Cambria" w:cs="Calibri"/>
              </w:rPr>
              <w:t>i</w:t>
            </w:r>
            <w:proofErr w:type="spellEnd"/>
            <w:r w:rsidRPr="00DF4CE5">
              <w:rPr>
                <w:rFonts w:ascii="Cambria" w:hAnsi="Cambria" w:cs="Calibri"/>
              </w:rPr>
              <w:t xml:space="preserve"> </w:t>
            </w:r>
            <w:proofErr w:type="spellStart"/>
            <w:r w:rsidRPr="00DF4CE5">
              <w:rPr>
                <w:rFonts w:ascii="Cambria" w:hAnsi="Cambria" w:cs="Calibri"/>
              </w:rPr>
              <w:t>jezik</w:t>
            </w:r>
            <w:proofErr w:type="spellEnd"/>
            <w:r w:rsidRPr="00DF4CE5">
              <w:rPr>
                <w:rFonts w:ascii="Cambria" w:hAnsi="Cambria" w:cs="Calibri"/>
              </w:rPr>
              <w:t xml:space="preserve">. Zagreb: </w:t>
            </w:r>
            <w:proofErr w:type="spellStart"/>
            <w:r w:rsidRPr="00DF4CE5">
              <w:rPr>
                <w:rFonts w:ascii="Cambria" w:hAnsi="Cambria" w:cs="Calibri"/>
              </w:rPr>
              <w:t>Školska</w:t>
            </w:r>
            <w:proofErr w:type="spellEnd"/>
            <w:r w:rsidRPr="00DF4CE5">
              <w:rPr>
                <w:rFonts w:ascii="Cambria" w:hAnsi="Cambria" w:cs="Calibri"/>
              </w:rPr>
              <w:t xml:space="preserve"> </w:t>
            </w:r>
            <w:proofErr w:type="spellStart"/>
            <w:r w:rsidRPr="00DF4CE5">
              <w:rPr>
                <w:rFonts w:ascii="Cambria" w:hAnsi="Cambria" w:cs="Calibri"/>
              </w:rPr>
              <w:t>knjiga</w:t>
            </w:r>
            <w:proofErr w:type="spellEnd"/>
          </w:p>
          <w:p w14:paraId="6A4D2957" w14:textId="77777777" w:rsidR="007A75FD" w:rsidRPr="00DF4CE5" w:rsidRDefault="007A75FD" w:rsidP="007A75FD">
            <w:pPr>
              <w:spacing w:before="20" w:after="0"/>
              <w:rPr>
                <w:rFonts w:ascii="Cambria" w:hAnsi="Cambria" w:cs="Calibri"/>
              </w:rPr>
            </w:pPr>
            <w:proofErr w:type="spellStart"/>
            <w:r w:rsidRPr="00DF4CE5">
              <w:rPr>
                <w:rFonts w:ascii="Cambria" w:hAnsi="Cambria" w:cs="Calibri"/>
              </w:rPr>
              <w:t>Priručna</w:t>
            </w:r>
            <w:proofErr w:type="spellEnd"/>
            <w:r w:rsidRPr="00DF4CE5">
              <w:rPr>
                <w:rFonts w:ascii="Cambria" w:hAnsi="Cambria" w:cs="Calibri"/>
              </w:rPr>
              <w:t>:</w:t>
            </w:r>
          </w:p>
          <w:p w14:paraId="2D37EE5C" w14:textId="77777777" w:rsidR="007A75FD" w:rsidRPr="00DF4CE5" w:rsidRDefault="007A75FD" w:rsidP="007A75FD">
            <w:pPr>
              <w:spacing w:before="20" w:after="0"/>
              <w:rPr>
                <w:rFonts w:ascii="Cambria" w:hAnsi="Cambria" w:cs="Calibri"/>
              </w:rPr>
            </w:pPr>
            <w:proofErr w:type="spellStart"/>
            <w:r w:rsidRPr="00DF4CE5">
              <w:rPr>
                <w:rFonts w:ascii="Cambria" w:hAnsi="Cambria" w:cs="Calibri"/>
              </w:rPr>
              <w:t>Dnevne</w:t>
            </w:r>
            <w:proofErr w:type="spellEnd"/>
            <w:r w:rsidRPr="00DF4CE5">
              <w:rPr>
                <w:rFonts w:ascii="Cambria" w:hAnsi="Cambria" w:cs="Calibri"/>
              </w:rPr>
              <w:t xml:space="preserve"> novine, </w:t>
            </w:r>
            <w:proofErr w:type="spellStart"/>
            <w:r w:rsidRPr="00DF4CE5">
              <w:rPr>
                <w:rFonts w:ascii="Cambria" w:hAnsi="Cambria" w:cs="Calibri"/>
              </w:rPr>
              <w:t>časopisi</w:t>
            </w:r>
            <w:proofErr w:type="spellEnd"/>
            <w:r w:rsidRPr="00DF4CE5">
              <w:rPr>
                <w:rFonts w:ascii="Cambria" w:hAnsi="Cambria" w:cs="Calibri"/>
              </w:rPr>
              <w:t xml:space="preserve">, </w:t>
            </w:r>
            <w:proofErr w:type="spellStart"/>
            <w:r w:rsidRPr="00DF4CE5">
              <w:rPr>
                <w:rFonts w:ascii="Cambria" w:hAnsi="Cambria" w:cs="Calibri"/>
              </w:rPr>
              <w:t>brošure</w:t>
            </w:r>
            <w:proofErr w:type="spellEnd"/>
            <w:r w:rsidRPr="00DF4CE5">
              <w:rPr>
                <w:rFonts w:ascii="Cambria" w:hAnsi="Cambria" w:cs="Calibri"/>
              </w:rPr>
              <w:t xml:space="preserve">, </w:t>
            </w:r>
            <w:proofErr w:type="spellStart"/>
            <w:r w:rsidRPr="00DF4CE5">
              <w:rPr>
                <w:rFonts w:ascii="Cambria" w:hAnsi="Cambria" w:cs="Calibri"/>
              </w:rPr>
              <w:t>vodiči</w:t>
            </w:r>
            <w:proofErr w:type="spellEnd"/>
            <w:r w:rsidRPr="00DF4CE5">
              <w:rPr>
                <w:rFonts w:ascii="Cambria" w:hAnsi="Cambria" w:cs="Calibri"/>
              </w:rPr>
              <w:t xml:space="preserve">, </w:t>
            </w:r>
            <w:proofErr w:type="spellStart"/>
            <w:r w:rsidRPr="00DF4CE5">
              <w:rPr>
                <w:rFonts w:ascii="Cambria" w:hAnsi="Cambria" w:cs="Calibri"/>
              </w:rPr>
              <w:t>enciklopedije</w:t>
            </w:r>
            <w:proofErr w:type="spellEnd"/>
            <w:r w:rsidRPr="00DF4CE5">
              <w:rPr>
                <w:rFonts w:ascii="Cambria" w:hAnsi="Cambria" w:cs="Calibri"/>
              </w:rPr>
              <w:t xml:space="preserve">, </w:t>
            </w:r>
            <w:proofErr w:type="spellStart"/>
            <w:r w:rsidRPr="00DF4CE5">
              <w:rPr>
                <w:rFonts w:ascii="Cambria" w:hAnsi="Cambria" w:cs="Calibri"/>
              </w:rPr>
              <w:t>leksikoni</w:t>
            </w:r>
            <w:proofErr w:type="spellEnd"/>
            <w:r w:rsidRPr="00DF4CE5">
              <w:rPr>
                <w:rFonts w:ascii="Cambria" w:hAnsi="Cambria" w:cs="Calibri"/>
              </w:rPr>
              <w:t xml:space="preserve">, </w:t>
            </w:r>
            <w:proofErr w:type="spellStart"/>
            <w:r w:rsidRPr="00DF4CE5">
              <w:rPr>
                <w:rFonts w:ascii="Cambria" w:hAnsi="Cambria" w:cs="Calibri"/>
              </w:rPr>
              <w:t>mrežne</w:t>
            </w:r>
            <w:proofErr w:type="spellEnd"/>
            <w:r w:rsidRPr="00DF4CE5">
              <w:rPr>
                <w:rFonts w:ascii="Cambria" w:hAnsi="Cambria" w:cs="Calibri"/>
              </w:rPr>
              <w:t xml:space="preserve"> </w:t>
            </w:r>
            <w:proofErr w:type="spellStart"/>
            <w:r w:rsidRPr="00DF4CE5">
              <w:rPr>
                <w:rFonts w:ascii="Cambria" w:hAnsi="Cambria" w:cs="Calibri"/>
              </w:rPr>
              <w:t>stranice</w:t>
            </w:r>
            <w:proofErr w:type="spellEnd"/>
            <w:r w:rsidRPr="00DF4CE5">
              <w:rPr>
                <w:rFonts w:ascii="Cambria" w:hAnsi="Cambria" w:cs="Calibri"/>
              </w:rPr>
              <w:t xml:space="preserve"> </w:t>
            </w:r>
            <w:proofErr w:type="spellStart"/>
            <w:r w:rsidRPr="00DF4CE5">
              <w:rPr>
                <w:rFonts w:ascii="Cambria" w:hAnsi="Cambria" w:cs="Calibri"/>
              </w:rPr>
              <w:t>i</w:t>
            </w:r>
            <w:proofErr w:type="spellEnd"/>
            <w:r w:rsidRPr="00DF4CE5">
              <w:rPr>
                <w:rFonts w:ascii="Cambria" w:hAnsi="Cambria" w:cs="Calibri"/>
              </w:rPr>
              <w:t xml:space="preserve"> </w:t>
            </w:r>
            <w:proofErr w:type="spellStart"/>
            <w:r w:rsidRPr="00DF4CE5">
              <w:rPr>
                <w:rFonts w:ascii="Cambria" w:hAnsi="Cambria" w:cs="Calibri"/>
              </w:rPr>
              <w:t>ostali</w:t>
            </w:r>
            <w:proofErr w:type="spellEnd"/>
            <w:r w:rsidRPr="00DF4CE5">
              <w:rPr>
                <w:rFonts w:ascii="Cambria" w:hAnsi="Cambria" w:cs="Calibri"/>
              </w:rPr>
              <w:t xml:space="preserve"> </w:t>
            </w:r>
            <w:proofErr w:type="spellStart"/>
            <w:r w:rsidRPr="00DF4CE5">
              <w:rPr>
                <w:rFonts w:ascii="Cambria" w:hAnsi="Cambria" w:cs="Calibri"/>
              </w:rPr>
              <w:t>tiskani</w:t>
            </w:r>
            <w:proofErr w:type="spellEnd"/>
            <w:r w:rsidRPr="00DF4CE5">
              <w:rPr>
                <w:rFonts w:ascii="Cambria" w:hAnsi="Cambria" w:cs="Calibri"/>
              </w:rPr>
              <w:t xml:space="preserve"> </w:t>
            </w:r>
            <w:proofErr w:type="spellStart"/>
            <w:r w:rsidRPr="00DF4CE5">
              <w:rPr>
                <w:rFonts w:ascii="Cambria" w:hAnsi="Cambria" w:cs="Calibri"/>
              </w:rPr>
              <w:t>ili</w:t>
            </w:r>
            <w:proofErr w:type="spellEnd"/>
            <w:r w:rsidRPr="00DF4CE5">
              <w:rPr>
                <w:rFonts w:ascii="Cambria" w:hAnsi="Cambria" w:cs="Calibri"/>
              </w:rPr>
              <w:t xml:space="preserve"> </w:t>
            </w:r>
            <w:proofErr w:type="spellStart"/>
            <w:r w:rsidRPr="00DF4CE5">
              <w:rPr>
                <w:rFonts w:ascii="Cambria" w:hAnsi="Cambria" w:cs="Calibri"/>
              </w:rPr>
              <w:t>elektronički</w:t>
            </w:r>
            <w:proofErr w:type="spellEnd"/>
            <w:r w:rsidRPr="00DF4CE5">
              <w:rPr>
                <w:rFonts w:ascii="Cambria" w:hAnsi="Cambria" w:cs="Calibri"/>
              </w:rPr>
              <w:t xml:space="preserve"> </w:t>
            </w:r>
            <w:proofErr w:type="spellStart"/>
            <w:r w:rsidRPr="00DF4CE5">
              <w:rPr>
                <w:rFonts w:ascii="Cambria" w:hAnsi="Cambria" w:cs="Calibri"/>
              </w:rPr>
              <w:t>materijal</w:t>
            </w:r>
            <w:proofErr w:type="spellEnd"/>
            <w:r w:rsidRPr="00DF4CE5">
              <w:rPr>
                <w:rFonts w:ascii="Cambria" w:hAnsi="Cambria" w:cs="Calibri"/>
              </w:rPr>
              <w:t xml:space="preserve"> </w:t>
            </w:r>
          </w:p>
        </w:tc>
      </w:tr>
    </w:tbl>
    <w:p w14:paraId="4797925B" w14:textId="77777777" w:rsidR="00C106A0" w:rsidRPr="00DF4CE5" w:rsidRDefault="00C106A0" w:rsidP="008B34AF">
      <w:pPr>
        <w:jc w:val="both"/>
        <w:rPr>
          <w:rFonts w:ascii="Cambria" w:hAnsi="Cambria"/>
          <w:lang w:val="hr-HR"/>
        </w:rPr>
      </w:pPr>
    </w:p>
    <w:p w14:paraId="1CD682DB" w14:textId="77777777" w:rsidR="00C106A0" w:rsidRPr="00DF4CE5" w:rsidRDefault="00C106A0" w:rsidP="008B34AF">
      <w:pPr>
        <w:jc w:val="both"/>
        <w:rPr>
          <w:rFonts w:ascii="Cambria" w:hAnsi="Cambria"/>
          <w:lang w:val="hr-HR"/>
        </w:rPr>
      </w:pPr>
    </w:p>
    <w:p w14:paraId="7E0F150C" w14:textId="77777777" w:rsidR="002D5B02" w:rsidRPr="00DF4CE5" w:rsidRDefault="002D5B02" w:rsidP="008B34AF">
      <w:pPr>
        <w:jc w:val="both"/>
        <w:rPr>
          <w:rFonts w:ascii="Cambria" w:hAnsi="Cambria"/>
          <w:lang w:val="hr-HR"/>
        </w:rPr>
      </w:pPr>
    </w:p>
    <w:p w14:paraId="23A7592F" w14:textId="77777777" w:rsidR="00120778" w:rsidRPr="00DF4CE5" w:rsidRDefault="00120778" w:rsidP="008B34AF">
      <w:pPr>
        <w:jc w:val="both"/>
        <w:rPr>
          <w:rFonts w:ascii="Cambria" w:hAnsi="Cambria"/>
          <w:lang w:val="hr-HR"/>
        </w:rPr>
      </w:pPr>
    </w:p>
    <w:p w14:paraId="75A4A72F" w14:textId="77777777" w:rsidR="001974E1" w:rsidRPr="00DF4CE5" w:rsidRDefault="001974E1" w:rsidP="008B34AF">
      <w:pPr>
        <w:jc w:val="both"/>
        <w:rPr>
          <w:rFonts w:ascii="Cambria" w:hAnsi="Cambria"/>
          <w:lang w:val="hr-HR"/>
        </w:rPr>
      </w:pPr>
    </w:p>
    <w:p w14:paraId="7079E036" w14:textId="77777777" w:rsidR="001974E1" w:rsidRPr="00DF4CE5" w:rsidRDefault="001974E1" w:rsidP="008B34AF">
      <w:pPr>
        <w:jc w:val="both"/>
        <w:rPr>
          <w:rFonts w:ascii="Cambria" w:hAnsi="Cambria"/>
          <w:lang w:val="hr-HR"/>
        </w:rPr>
      </w:pPr>
    </w:p>
    <w:tbl>
      <w:tblPr>
        <w:tblW w:w="5000" w:type="pct"/>
        <w:tblLayout w:type="fixed"/>
        <w:tblCellMar>
          <w:left w:w="0" w:type="dxa"/>
          <w:right w:w="0" w:type="dxa"/>
        </w:tblCellMar>
        <w:tblLook w:val="0600" w:firstRow="0" w:lastRow="0" w:firstColumn="0" w:lastColumn="0" w:noHBand="1" w:noVBand="1"/>
      </w:tblPr>
      <w:tblGrid>
        <w:gridCol w:w="2623"/>
        <w:gridCol w:w="2487"/>
        <w:gridCol w:w="98"/>
        <w:gridCol w:w="1088"/>
        <w:gridCol w:w="277"/>
        <w:gridCol w:w="438"/>
        <w:gridCol w:w="1011"/>
        <w:gridCol w:w="1318"/>
      </w:tblGrid>
      <w:tr w:rsidR="00F31554" w:rsidRPr="00DF4CE5" w14:paraId="0E396FA5" w14:textId="77777777" w:rsidTr="00DD1ECD">
        <w:tc>
          <w:tcPr>
            <w:tcW w:w="9360"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3E89F71" w14:textId="77777777" w:rsidR="00F31554" w:rsidRPr="00DF4CE5" w:rsidRDefault="00F31554" w:rsidP="00A12846">
            <w:pPr>
              <w:spacing w:after="0" w:line="240" w:lineRule="auto"/>
              <w:jc w:val="right"/>
              <w:rPr>
                <w:rFonts w:ascii="Cambria" w:eastAsia="Times New Roman" w:hAnsi="Cambria" w:cs="Calibri"/>
                <w:b/>
                <w:lang w:val="hr-HR"/>
              </w:rPr>
            </w:pPr>
            <w:r w:rsidRPr="00DF4CE5">
              <w:rPr>
                <w:rFonts w:ascii="Cambria" w:eastAsia="Times New Roman" w:hAnsi="Cambria" w:cs="Calibri"/>
                <w:b/>
                <w:lang w:val="hr-HR"/>
              </w:rPr>
              <w:lastRenderedPageBreak/>
              <w:t>IZVEDBENI PLAN NASTAVE KOLEGIJA</w:t>
            </w:r>
          </w:p>
        </w:tc>
      </w:tr>
      <w:tr w:rsidR="00F31554" w:rsidRPr="00DF4CE5" w14:paraId="703B15B9" w14:textId="77777777" w:rsidTr="00DD1ECD">
        <w:tc>
          <w:tcPr>
            <w:tcW w:w="26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C7CCC41" w14:textId="77777777" w:rsidR="00F31554" w:rsidRPr="00DF4CE5" w:rsidRDefault="00F31554"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Kod i naziv kolegija</w:t>
            </w:r>
          </w:p>
        </w:tc>
        <w:tc>
          <w:tcPr>
            <w:tcW w:w="6731"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AB4C61B" w14:textId="77777777" w:rsidR="00F31554" w:rsidRPr="00DF4CE5" w:rsidRDefault="00F31554" w:rsidP="008B3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mbria" w:eastAsia="Calibri" w:hAnsi="Cambria" w:cs="Calibri"/>
                <w:lang w:val="hr-HR"/>
              </w:rPr>
            </w:pPr>
            <w:r w:rsidRPr="00DF4CE5">
              <w:rPr>
                <w:rFonts w:ascii="Cambria" w:eastAsia="Calibri" w:hAnsi="Cambria" w:cs="Calibri"/>
                <w:lang w:val="hr-HR"/>
              </w:rPr>
              <w:t>118957</w:t>
            </w:r>
          </w:p>
          <w:p w14:paraId="3420FA9D" w14:textId="77777777" w:rsidR="00F31554" w:rsidRPr="00DF4CE5" w:rsidRDefault="00F31554"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Čitanje stručne literature na engleskom jeziku</w:t>
            </w:r>
          </w:p>
        </w:tc>
      </w:tr>
      <w:tr w:rsidR="00F31554" w:rsidRPr="00840765" w14:paraId="31AF33FA" w14:textId="77777777" w:rsidTr="00DD1ECD">
        <w:tc>
          <w:tcPr>
            <w:tcW w:w="26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5BD5F5B" w14:textId="77777777" w:rsidR="00F31554" w:rsidRPr="00DF4CE5" w:rsidRDefault="00F31554"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Nastavnica </w:t>
            </w:r>
          </w:p>
          <w:p w14:paraId="6CFFF75A" w14:textId="1FC7E735" w:rsidR="00F31554" w:rsidRPr="00DF4CE5" w:rsidRDefault="00F31554"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Suradni</w:t>
            </w:r>
            <w:r w:rsidR="00076848">
              <w:rPr>
                <w:rFonts w:ascii="Cambria" w:eastAsia="Times New Roman" w:hAnsi="Cambria" w:cs="Calibri"/>
                <w:lang w:val="hr-HR"/>
              </w:rPr>
              <w:t>ca</w:t>
            </w:r>
          </w:p>
        </w:tc>
        <w:tc>
          <w:tcPr>
            <w:tcW w:w="6731"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5DD15D9" w14:textId="77777777" w:rsidR="00076848" w:rsidRDefault="00076848" w:rsidP="00076848">
            <w:pPr>
              <w:spacing w:after="0" w:line="240" w:lineRule="atLeast"/>
              <w:jc w:val="both"/>
              <w:rPr>
                <w:rFonts w:ascii="Cambria" w:eastAsia="Times New Roman" w:hAnsi="Cambria" w:cs="Calibri"/>
                <w:lang w:val="hr-HR"/>
              </w:rPr>
            </w:pPr>
            <w:hyperlink r:id="rId170" w:history="1">
              <w:r w:rsidRPr="00400BD6">
                <w:rPr>
                  <w:rStyle w:val="Hiperveza"/>
                  <w:rFonts w:ascii="Cambria" w:hAnsi="Cambria"/>
                  <w:bCs/>
                  <w:shd w:val="clear" w:color="auto" w:fill="FFFFFF"/>
                  <w:lang w:val="hr-HR"/>
                </w:rPr>
                <w:t>Naslovna prof. dr. sc. </w:t>
              </w:r>
              <w:r w:rsidRPr="00400BD6">
                <w:rPr>
                  <w:rStyle w:val="Hiperveza"/>
                  <w:rFonts w:ascii="Cambria" w:hAnsi="Cambria"/>
                  <w:shd w:val="clear" w:color="auto" w:fill="FFFFFF"/>
                  <w:lang w:val="hr-HR"/>
                </w:rPr>
                <w:t xml:space="preserve">Silva </w:t>
              </w:r>
              <w:proofErr w:type="spellStart"/>
              <w:r w:rsidRPr="00400BD6">
                <w:rPr>
                  <w:rStyle w:val="Hiperveza"/>
                  <w:rFonts w:ascii="Cambria" w:hAnsi="Cambria"/>
                  <w:shd w:val="clear" w:color="auto" w:fill="FFFFFF"/>
                  <w:lang w:val="hr-HR"/>
                </w:rPr>
                <w:t>Bratož</w:t>
              </w:r>
              <w:proofErr w:type="spellEnd"/>
            </w:hyperlink>
            <w:r w:rsidRPr="00DF4CE5">
              <w:rPr>
                <w:rFonts w:ascii="Cambria" w:eastAsia="Times New Roman" w:hAnsi="Cambria" w:cs="Calibri"/>
                <w:lang w:val="hr-HR"/>
              </w:rPr>
              <w:t xml:space="preserve"> </w:t>
            </w:r>
            <w:r>
              <w:rPr>
                <w:rFonts w:ascii="Cambria" w:eastAsia="Times New Roman" w:hAnsi="Cambria" w:cs="Calibri"/>
                <w:lang w:val="hr-HR"/>
              </w:rPr>
              <w:t>(</w:t>
            </w:r>
            <w:r w:rsidRPr="00DF4CE5">
              <w:rPr>
                <w:rFonts w:ascii="Cambria" w:eastAsia="Times New Roman" w:hAnsi="Cambria" w:cs="Calibri"/>
                <w:lang w:val="hr-HR"/>
              </w:rPr>
              <w:t>nositeljica</w:t>
            </w:r>
            <w:r>
              <w:rPr>
                <w:rFonts w:ascii="Cambria" w:eastAsia="Times New Roman" w:hAnsi="Cambria" w:cs="Calibri"/>
                <w:lang w:val="hr-HR"/>
              </w:rPr>
              <w:t>)</w:t>
            </w:r>
          </w:p>
          <w:p w14:paraId="3A001EED" w14:textId="48ED01B4" w:rsidR="00076848" w:rsidRPr="00DF4CE5" w:rsidRDefault="00076848" w:rsidP="00076848">
            <w:pPr>
              <w:spacing w:after="0" w:line="240" w:lineRule="atLeast"/>
              <w:jc w:val="both"/>
              <w:rPr>
                <w:rFonts w:ascii="Cambria" w:eastAsia="Times New Roman" w:hAnsi="Cambria" w:cs="Calibri"/>
                <w:lang w:val="hr-HR"/>
              </w:rPr>
            </w:pPr>
            <w:hyperlink r:id="rId171" w:history="1">
              <w:r w:rsidRPr="00076848">
                <w:rPr>
                  <w:rStyle w:val="Hiperveza"/>
                  <w:rFonts w:ascii="Cambria" w:eastAsia="Times New Roman" w:hAnsi="Cambria" w:cs="Calibri"/>
                  <w:lang w:val="hr-HR"/>
                </w:rPr>
                <w:t>Jelena Gugić, asistentica</w:t>
              </w:r>
            </w:hyperlink>
          </w:p>
        </w:tc>
      </w:tr>
      <w:tr w:rsidR="00F31554" w:rsidRPr="00D0399C" w14:paraId="3BFE5419" w14:textId="77777777" w:rsidTr="00DD1ECD">
        <w:tc>
          <w:tcPr>
            <w:tcW w:w="26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969DB68" w14:textId="77777777" w:rsidR="00F31554" w:rsidRPr="00DF4CE5" w:rsidRDefault="00F31554"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Studijski program</w:t>
            </w:r>
          </w:p>
        </w:tc>
        <w:tc>
          <w:tcPr>
            <w:tcW w:w="6731"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D12F999" w14:textId="77777777" w:rsidR="00F31554" w:rsidRPr="00DF4CE5" w:rsidRDefault="00BE4D96" w:rsidP="008B34AF">
            <w:pPr>
              <w:spacing w:after="0" w:line="240" w:lineRule="auto"/>
              <w:jc w:val="both"/>
              <w:rPr>
                <w:rFonts w:ascii="Cambria" w:eastAsia="Times New Roman" w:hAnsi="Cambria" w:cs="Calibri"/>
                <w:lang w:val="hr-HR"/>
              </w:rPr>
            </w:pPr>
            <w:r w:rsidRPr="00DF4CE5">
              <w:rPr>
                <w:rFonts w:ascii="Cambria" w:hAnsi="Cambria"/>
                <w:lang w:val="hr-HR"/>
              </w:rPr>
              <w:t>Sveučilišni integrirani prijediplomski i diplomski Učiteljski studij na hrvatskom jeziku</w:t>
            </w:r>
          </w:p>
        </w:tc>
      </w:tr>
      <w:tr w:rsidR="00F31554" w:rsidRPr="00DF4CE5" w14:paraId="63CFA9C8" w14:textId="77777777" w:rsidTr="00DD1ECD">
        <w:tc>
          <w:tcPr>
            <w:tcW w:w="26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6ED240B" w14:textId="77777777" w:rsidR="00F31554" w:rsidRPr="00DF4CE5" w:rsidRDefault="00F31554"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Vrsta kolegija</w:t>
            </w:r>
          </w:p>
        </w:tc>
        <w:tc>
          <w:tcPr>
            <w:tcW w:w="249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28C6F1E" w14:textId="77777777" w:rsidR="00F31554" w:rsidRPr="00DF4CE5" w:rsidRDefault="00F31554"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izborni</w:t>
            </w:r>
          </w:p>
          <w:p w14:paraId="108FC9C9" w14:textId="77777777" w:rsidR="00F31554" w:rsidRPr="00DF4CE5" w:rsidRDefault="00F31554" w:rsidP="008B34AF">
            <w:pPr>
              <w:spacing w:after="0" w:line="240" w:lineRule="auto"/>
              <w:jc w:val="both"/>
              <w:rPr>
                <w:rFonts w:ascii="Cambria" w:eastAsia="Times New Roman" w:hAnsi="Cambria" w:cs="Calibri"/>
                <w:lang w:val="hr-HR"/>
              </w:rPr>
            </w:pPr>
          </w:p>
        </w:tc>
        <w:tc>
          <w:tcPr>
            <w:tcW w:w="1465"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773CEF78" w14:textId="77777777" w:rsidR="00F31554" w:rsidRPr="00DF4CE5" w:rsidRDefault="00F31554"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Razina kolegija</w:t>
            </w:r>
          </w:p>
        </w:tc>
        <w:tc>
          <w:tcPr>
            <w:tcW w:w="2773"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7BBCB6C" w14:textId="77777777" w:rsidR="00F31554" w:rsidRPr="00DF4CE5" w:rsidRDefault="00F31554" w:rsidP="008B34AF">
            <w:pPr>
              <w:spacing w:after="0" w:line="240" w:lineRule="auto"/>
              <w:jc w:val="both"/>
              <w:rPr>
                <w:rFonts w:ascii="Cambria" w:eastAsia="Times New Roman" w:hAnsi="Cambria" w:cs="Calibri"/>
                <w:lang w:val="hr-HR"/>
              </w:rPr>
            </w:pPr>
            <w:proofErr w:type="spellStart"/>
            <w:r w:rsidRPr="00DF4CE5">
              <w:rPr>
                <w:rFonts w:ascii="Cambria" w:eastAsia="Times New Roman" w:hAnsi="Cambria" w:cs="Calibri"/>
              </w:rPr>
              <w:t>integrirani</w:t>
            </w:r>
            <w:proofErr w:type="spellEnd"/>
          </w:p>
          <w:p w14:paraId="7A77DFBF" w14:textId="77777777" w:rsidR="00F31554" w:rsidRPr="00DF4CE5" w:rsidRDefault="00F31554" w:rsidP="008B34AF">
            <w:pPr>
              <w:spacing w:after="0" w:line="240" w:lineRule="auto"/>
              <w:jc w:val="both"/>
              <w:rPr>
                <w:rFonts w:ascii="Cambria" w:eastAsia="Times New Roman" w:hAnsi="Cambria" w:cs="Calibri"/>
                <w:lang w:val="hr-HR"/>
              </w:rPr>
            </w:pPr>
          </w:p>
        </w:tc>
      </w:tr>
      <w:tr w:rsidR="00F31554" w:rsidRPr="00DF4CE5" w14:paraId="5BD5EACD" w14:textId="77777777" w:rsidTr="00DD1ECD">
        <w:tc>
          <w:tcPr>
            <w:tcW w:w="26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0B14030" w14:textId="77777777" w:rsidR="00F31554" w:rsidRPr="00DF4CE5" w:rsidRDefault="00F31554"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Semestar</w:t>
            </w:r>
          </w:p>
        </w:tc>
        <w:tc>
          <w:tcPr>
            <w:tcW w:w="249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AF845CF" w14:textId="77777777" w:rsidR="00F31554" w:rsidRPr="00DF4CE5" w:rsidRDefault="00F31554"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zimski</w:t>
            </w:r>
          </w:p>
          <w:p w14:paraId="419ADDE8" w14:textId="77777777" w:rsidR="00F31554" w:rsidRPr="00DF4CE5" w:rsidRDefault="00F31554" w:rsidP="008B34AF">
            <w:pPr>
              <w:spacing w:after="0" w:line="240" w:lineRule="auto"/>
              <w:jc w:val="both"/>
              <w:rPr>
                <w:rFonts w:ascii="Cambria" w:eastAsia="Times New Roman" w:hAnsi="Cambria" w:cs="Calibri"/>
                <w:lang w:val="hr-HR"/>
              </w:rPr>
            </w:pPr>
          </w:p>
        </w:tc>
        <w:tc>
          <w:tcPr>
            <w:tcW w:w="1465"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6D3FE099" w14:textId="77777777" w:rsidR="00F31554" w:rsidRPr="00DF4CE5" w:rsidRDefault="00F31554"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Godina studija</w:t>
            </w:r>
          </w:p>
        </w:tc>
        <w:tc>
          <w:tcPr>
            <w:tcW w:w="2773"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6984D2F" w14:textId="77777777" w:rsidR="00F31554" w:rsidRPr="00DF4CE5" w:rsidRDefault="00F31554"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V.</w:t>
            </w:r>
          </w:p>
        </w:tc>
      </w:tr>
      <w:tr w:rsidR="00F31554" w:rsidRPr="00DF4CE5" w14:paraId="5513328B" w14:textId="77777777" w:rsidTr="00DD1ECD">
        <w:tc>
          <w:tcPr>
            <w:tcW w:w="26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89D9570" w14:textId="77777777" w:rsidR="00F31554" w:rsidRPr="00DF4CE5" w:rsidRDefault="00F31554" w:rsidP="008B34AF">
            <w:pPr>
              <w:spacing w:after="0" w:line="240" w:lineRule="auto"/>
              <w:jc w:val="both"/>
              <w:rPr>
                <w:rFonts w:ascii="Cambria" w:eastAsia="Times New Roman" w:hAnsi="Cambria" w:cs="Calibri"/>
                <w:lang w:val="hr-HR"/>
              </w:rPr>
            </w:pPr>
            <w:proofErr w:type="spellStart"/>
            <w:r w:rsidRPr="00DF4CE5">
              <w:rPr>
                <w:rFonts w:ascii="Cambria" w:eastAsia="Times New Roman" w:hAnsi="Cambria" w:cs="Calibri"/>
              </w:rPr>
              <w:t>Mjesto</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izvođenja</w:t>
            </w:r>
            <w:proofErr w:type="spellEnd"/>
          </w:p>
        </w:tc>
        <w:tc>
          <w:tcPr>
            <w:tcW w:w="249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07AB0CC" w14:textId="24C738D6" w:rsidR="00F31554" w:rsidRPr="00DF4CE5" w:rsidRDefault="00F31554"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dvorana </w:t>
            </w:r>
          </w:p>
        </w:tc>
        <w:tc>
          <w:tcPr>
            <w:tcW w:w="1465"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4DDD440C" w14:textId="77777777" w:rsidR="00F31554" w:rsidRPr="00DF4CE5" w:rsidRDefault="00F31554" w:rsidP="008B34AF">
            <w:pPr>
              <w:spacing w:after="0" w:line="240" w:lineRule="auto"/>
              <w:jc w:val="both"/>
              <w:rPr>
                <w:rFonts w:ascii="Cambria" w:eastAsia="Times New Roman" w:hAnsi="Cambria" w:cs="Calibri"/>
                <w:lang w:val="hr-HR"/>
              </w:rPr>
            </w:pPr>
            <w:r w:rsidRPr="00DF4CE5">
              <w:rPr>
                <w:rFonts w:ascii="Cambria" w:eastAsia="Times New Roman" w:hAnsi="Cambria" w:cs="Calibri"/>
              </w:rPr>
              <w:t>Jezik</w:t>
            </w:r>
            <w:r w:rsidRPr="00DF4CE5">
              <w:rPr>
                <w:rFonts w:ascii="Cambria" w:eastAsia="Times New Roman" w:hAnsi="Cambria" w:cs="Calibri"/>
                <w:lang w:val="hr-HR"/>
              </w:rPr>
              <w:t xml:space="preserve"> izvođenja </w:t>
            </w:r>
          </w:p>
        </w:tc>
        <w:tc>
          <w:tcPr>
            <w:tcW w:w="2773"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C885434" w14:textId="77777777" w:rsidR="00F31554" w:rsidRPr="00DF4CE5" w:rsidRDefault="00F31554"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engleski</w:t>
            </w:r>
          </w:p>
        </w:tc>
      </w:tr>
      <w:tr w:rsidR="00F31554" w:rsidRPr="00DF4CE5" w14:paraId="68703B04" w14:textId="77777777" w:rsidTr="00DD1ECD">
        <w:tc>
          <w:tcPr>
            <w:tcW w:w="26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C86EEAA" w14:textId="77777777" w:rsidR="00F31554" w:rsidRPr="00DF4CE5" w:rsidRDefault="00F31554"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Broj ECTS bodova</w:t>
            </w:r>
          </w:p>
        </w:tc>
        <w:tc>
          <w:tcPr>
            <w:tcW w:w="249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F7EC660" w14:textId="77777777" w:rsidR="00F31554" w:rsidRPr="00DF4CE5" w:rsidRDefault="00F31554"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2</w:t>
            </w:r>
          </w:p>
        </w:tc>
        <w:tc>
          <w:tcPr>
            <w:tcW w:w="1465"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7D8D29D0" w14:textId="77777777" w:rsidR="00F31554" w:rsidRPr="00DF4CE5" w:rsidRDefault="00F31554"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Broj sati u semestru</w:t>
            </w:r>
          </w:p>
        </w:tc>
        <w:tc>
          <w:tcPr>
            <w:tcW w:w="2773"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B8A01B5" w14:textId="1D866756" w:rsidR="00F31554" w:rsidRPr="00DF4CE5" w:rsidRDefault="00F31554"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0P – </w:t>
            </w:r>
            <w:r w:rsidR="001974E1" w:rsidRPr="00DF4CE5">
              <w:rPr>
                <w:rFonts w:ascii="Cambria" w:eastAsia="Times New Roman" w:hAnsi="Cambria" w:cs="Calibri"/>
                <w:lang w:val="hr-HR"/>
              </w:rPr>
              <w:t>0S</w:t>
            </w:r>
            <w:r w:rsidRPr="00DF4CE5">
              <w:rPr>
                <w:rFonts w:ascii="Cambria" w:eastAsia="Times New Roman" w:hAnsi="Cambria" w:cs="Calibri"/>
                <w:lang w:val="hr-HR"/>
              </w:rPr>
              <w:t xml:space="preserve"> – </w:t>
            </w:r>
            <w:r w:rsidR="001974E1" w:rsidRPr="00DF4CE5">
              <w:rPr>
                <w:rFonts w:ascii="Cambria" w:eastAsia="Times New Roman" w:hAnsi="Cambria" w:cs="Calibri"/>
                <w:lang w:val="hr-HR"/>
              </w:rPr>
              <w:t>30V</w:t>
            </w:r>
            <w:r w:rsidRPr="00DF4CE5">
              <w:rPr>
                <w:rFonts w:ascii="Cambria" w:eastAsia="Times New Roman" w:hAnsi="Cambria" w:cs="Calibri"/>
                <w:lang w:val="hr-HR"/>
              </w:rPr>
              <w:t xml:space="preserve">   </w:t>
            </w:r>
          </w:p>
        </w:tc>
      </w:tr>
      <w:tr w:rsidR="00F31554" w:rsidRPr="00D0399C" w14:paraId="659A61F3" w14:textId="77777777" w:rsidTr="00DD1ECD">
        <w:tc>
          <w:tcPr>
            <w:tcW w:w="26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495067C" w14:textId="77777777" w:rsidR="00F31554" w:rsidRPr="00DF4CE5" w:rsidRDefault="00F31554"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Preduvjeti za upis i za svladavanje</w:t>
            </w:r>
          </w:p>
        </w:tc>
        <w:tc>
          <w:tcPr>
            <w:tcW w:w="6731"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4268A74" w14:textId="77777777" w:rsidR="00F31554" w:rsidRPr="00DF4CE5" w:rsidRDefault="00F31554"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Nema preduvjeta za upis, a za svladavanje je preduvjet mogućnost praćenja literature i vježbi na engleskom jeziku (razina C1).</w:t>
            </w:r>
          </w:p>
        </w:tc>
      </w:tr>
      <w:tr w:rsidR="00F31554" w:rsidRPr="00DF4CE5" w14:paraId="544AC466" w14:textId="77777777" w:rsidTr="00DD1ECD">
        <w:tc>
          <w:tcPr>
            <w:tcW w:w="26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EAC9100" w14:textId="77777777" w:rsidR="00F31554" w:rsidRPr="00DF4CE5" w:rsidRDefault="00F31554" w:rsidP="008B34AF">
            <w:pPr>
              <w:spacing w:after="0" w:line="240" w:lineRule="auto"/>
              <w:jc w:val="both"/>
              <w:rPr>
                <w:rFonts w:ascii="Cambria" w:eastAsia="Times New Roman" w:hAnsi="Cambria" w:cs="Calibri"/>
                <w:lang w:val="hr-HR"/>
              </w:rPr>
            </w:pPr>
            <w:proofErr w:type="spellStart"/>
            <w:r w:rsidRPr="00DF4CE5">
              <w:rPr>
                <w:rFonts w:ascii="Cambria" w:eastAsia="Times New Roman" w:hAnsi="Cambria" w:cs="Calibri"/>
              </w:rPr>
              <w:t>Korelativnost</w:t>
            </w:r>
            <w:proofErr w:type="spellEnd"/>
          </w:p>
        </w:tc>
        <w:tc>
          <w:tcPr>
            <w:tcW w:w="6731"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D439227" w14:textId="77777777" w:rsidR="00F31554" w:rsidRPr="00DF4CE5" w:rsidRDefault="00F31554" w:rsidP="008B34AF">
            <w:pPr>
              <w:spacing w:after="0" w:line="240" w:lineRule="auto"/>
              <w:jc w:val="both"/>
              <w:rPr>
                <w:rFonts w:ascii="Cambria" w:eastAsia="Times New Roman" w:hAnsi="Cambria" w:cs="Calibri"/>
              </w:rPr>
            </w:pPr>
            <w:proofErr w:type="spellStart"/>
            <w:r w:rsidRPr="00DF4CE5">
              <w:rPr>
                <w:rFonts w:ascii="Cambria" w:eastAsia="Times New Roman" w:hAnsi="Cambria" w:cs="Calibri"/>
              </w:rPr>
              <w:t>Metodika</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nastave</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engleskog</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jezika</w:t>
            </w:r>
            <w:proofErr w:type="spellEnd"/>
          </w:p>
        </w:tc>
      </w:tr>
      <w:tr w:rsidR="00F31554" w:rsidRPr="00D0399C" w14:paraId="4BD3F83D" w14:textId="77777777" w:rsidTr="00DD1ECD">
        <w:tc>
          <w:tcPr>
            <w:tcW w:w="26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35D5BFD" w14:textId="77777777" w:rsidR="00F31554" w:rsidRPr="00DF4CE5" w:rsidRDefault="00F31554"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Cilj kolegija </w:t>
            </w:r>
          </w:p>
        </w:tc>
        <w:tc>
          <w:tcPr>
            <w:tcW w:w="6731"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F9ED812" w14:textId="77777777" w:rsidR="00F31554" w:rsidRPr="00DF4CE5" w:rsidRDefault="00F31554"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usavršiti tehnike kritičkog čitanja stručnog teksta radi praćenja najnovije stručne literature i pisanja kvalitetnih osvrta</w:t>
            </w:r>
          </w:p>
        </w:tc>
      </w:tr>
      <w:tr w:rsidR="00F31554" w:rsidRPr="00D0399C" w14:paraId="5C02F22E" w14:textId="77777777" w:rsidTr="00DD1ECD">
        <w:tc>
          <w:tcPr>
            <w:tcW w:w="26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DE723DD" w14:textId="77777777" w:rsidR="00F31554" w:rsidRPr="00DF4CE5" w:rsidRDefault="00F31554"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Ishodi učenja</w:t>
            </w:r>
          </w:p>
        </w:tc>
        <w:tc>
          <w:tcPr>
            <w:tcW w:w="6731"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75797BF" w14:textId="77777777" w:rsidR="00F31554" w:rsidRPr="00DF4CE5" w:rsidRDefault="00F31554"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1. kritički pristupiti čitanju stručne literature</w:t>
            </w:r>
          </w:p>
          <w:p w14:paraId="066558A6" w14:textId="77777777" w:rsidR="00F31554" w:rsidRPr="00DF4CE5" w:rsidRDefault="00F31554"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2. upotrijebiti kritičko mišljenje</w:t>
            </w:r>
          </w:p>
          <w:p w14:paraId="79069F1C" w14:textId="77777777" w:rsidR="00F31554" w:rsidRPr="00DF4CE5" w:rsidRDefault="00F31554"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3. napisati dobar sažetak, uvod, poglavlje, zaključak</w:t>
            </w:r>
          </w:p>
          <w:p w14:paraId="0E12E7F7" w14:textId="77777777" w:rsidR="00F31554" w:rsidRPr="00DF4CE5" w:rsidRDefault="00F31554"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4. pravilno uporabiti pravila u citiranju, parafraziranju autora te u pisanju popisa literature</w:t>
            </w:r>
          </w:p>
          <w:p w14:paraId="0659ACB3" w14:textId="77777777" w:rsidR="00F31554" w:rsidRPr="00DF4CE5" w:rsidRDefault="00F31554"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5. koristiti relevantne baze podataka u svrhu praćenja suvremenih trendova</w:t>
            </w:r>
          </w:p>
          <w:p w14:paraId="39430AD2" w14:textId="77777777" w:rsidR="00F31554" w:rsidRPr="00DF4CE5" w:rsidRDefault="00F31554"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6. analizirati suvremene trendove u odgojno-obrazovnom području na temelju pročitanih tekstova</w:t>
            </w:r>
          </w:p>
        </w:tc>
      </w:tr>
      <w:tr w:rsidR="00F31554" w:rsidRPr="00D0399C" w14:paraId="48A63981" w14:textId="77777777" w:rsidTr="00DD1ECD">
        <w:tc>
          <w:tcPr>
            <w:tcW w:w="2629"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7811AB05" w14:textId="77777777" w:rsidR="00F31554" w:rsidRPr="00DF4CE5" w:rsidRDefault="00F31554"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Sadržaj kolegija</w:t>
            </w:r>
          </w:p>
        </w:tc>
        <w:tc>
          <w:tcPr>
            <w:tcW w:w="6731"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8DAD6A0" w14:textId="77777777" w:rsidR="00F31554" w:rsidRPr="00DF4CE5" w:rsidRDefault="00F31554"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1. </w:t>
            </w:r>
            <w:proofErr w:type="spellStart"/>
            <w:r w:rsidRPr="00DF4CE5">
              <w:rPr>
                <w:rFonts w:ascii="Cambria" w:eastAsia="Times New Roman" w:hAnsi="Cambria" w:cs="Calibri"/>
                <w:lang w:val="hr-HR"/>
              </w:rPr>
              <w:t>Surface</w:t>
            </w:r>
            <w:proofErr w:type="spellEnd"/>
            <w:r w:rsidRPr="00DF4CE5">
              <w:rPr>
                <w:rFonts w:ascii="Cambria" w:eastAsia="Times New Roman" w:hAnsi="Cambria" w:cs="Calibri"/>
                <w:lang w:val="hr-HR"/>
              </w:rPr>
              <w:t xml:space="preserve"> </w:t>
            </w:r>
            <w:proofErr w:type="spellStart"/>
            <w:r w:rsidRPr="00DF4CE5">
              <w:rPr>
                <w:rFonts w:ascii="Cambria" w:eastAsia="Times New Roman" w:hAnsi="Cambria" w:cs="Calibri"/>
                <w:lang w:val="hr-HR"/>
              </w:rPr>
              <w:t>and</w:t>
            </w:r>
            <w:proofErr w:type="spellEnd"/>
            <w:r w:rsidRPr="00DF4CE5">
              <w:rPr>
                <w:rFonts w:ascii="Cambria" w:eastAsia="Times New Roman" w:hAnsi="Cambria" w:cs="Calibri"/>
                <w:lang w:val="hr-HR"/>
              </w:rPr>
              <w:t xml:space="preserve"> </w:t>
            </w:r>
            <w:proofErr w:type="spellStart"/>
            <w:r w:rsidRPr="00DF4CE5">
              <w:rPr>
                <w:rFonts w:ascii="Cambria" w:eastAsia="Times New Roman" w:hAnsi="Cambria" w:cs="Calibri"/>
                <w:lang w:val="hr-HR"/>
              </w:rPr>
              <w:t>deep</w:t>
            </w:r>
            <w:proofErr w:type="spellEnd"/>
            <w:r w:rsidRPr="00DF4CE5">
              <w:rPr>
                <w:rFonts w:ascii="Cambria" w:eastAsia="Times New Roman" w:hAnsi="Cambria" w:cs="Calibri"/>
                <w:lang w:val="hr-HR"/>
              </w:rPr>
              <w:t xml:space="preserve"> </w:t>
            </w:r>
            <w:proofErr w:type="spellStart"/>
            <w:r w:rsidRPr="00DF4CE5">
              <w:rPr>
                <w:rFonts w:ascii="Cambria" w:eastAsia="Times New Roman" w:hAnsi="Cambria" w:cs="Calibri"/>
                <w:lang w:val="hr-HR"/>
              </w:rPr>
              <w:t>approach</w:t>
            </w:r>
            <w:proofErr w:type="spellEnd"/>
            <w:r w:rsidRPr="00DF4CE5">
              <w:rPr>
                <w:rFonts w:ascii="Cambria" w:eastAsia="Times New Roman" w:hAnsi="Cambria" w:cs="Calibri"/>
                <w:lang w:val="hr-HR"/>
              </w:rPr>
              <w:t xml:space="preserve"> to  </w:t>
            </w:r>
            <w:proofErr w:type="spellStart"/>
            <w:r w:rsidRPr="00DF4CE5">
              <w:rPr>
                <w:rFonts w:ascii="Cambria" w:eastAsia="Times New Roman" w:hAnsi="Cambria" w:cs="Calibri"/>
                <w:lang w:val="hr-HR"/>
              </w:rPr>
              <w:t>reading</w:t>
            </w:r>
            <w:proofErr w:type="spellEnd"/>
          </w:p>
          <w:p w14:paraId="5E68A30C" w14:textId="77777777" w:rsidR="00F31554" w:rsidRPr="00DF4CE5" w:rsidRDefault="00F31554"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2. </w:t>
            </w:r>
            <w:proofErr w:type="spellStart"/>
            <w:r w:rsidRPr="00DF4CE5">
              <w:rPr>
                <w:rFonts w:ascii="Cambria" w:eastAsia="Times New Roman" w:hAnsi="Cambria" w:cs="Calibri"/>
                <w:lang w:val="hr-HR"/>
              </w:rPr>
              <w:t>Critical</w:t>
            </w:r>
            <w:proofErr w:type="spellEnd"/>
            <w:r w:rsidRPr="00DF4CE5">
              <w:rPr>
                <w:rFonts w:ascii="Cambria" w:eastAsia="Times New Roman" w:hAnsi="Cambria" w:cs="Calibri"/>
                <w:lang w:val="hr-HR"/>
              </w:rPr>
              <w:t xml:space="preserve"> </w:t>
            </w:r>
            <w:proofErr w:type="spellStart"/>
            <w:r w:rsidRPr="00DF4CE5">
              <w:rPr>
                <w:rFonts w:ascii="Cambria" w:eastAsia="Times New Roman" w:hAnsi="Cambria" w:cs="Calibri"/>
                <w:lang w:val="hr-HR"/>
              </w:rPr>
              <w:t>thinking</w:t>
            </w:r>
            <w:proofErr w:type="spellEnd"/>
            <w:r w:rsidRPr="00DF4CE5">
              <w:rPr>
                <w:rFonts w:ascii="Cambria" w:eastAsia="Times New Roman" w:hAnsi="Cambria" w:cs="Calibri"/>
                <w:lang w:val="hr-HR"/>
              </w:rPr>
              <w:t xml:space="preserve"> </w:t>
            </w:r>
            <w:proofErr w:type="spellStart"/>
            <w:r w:rsidRPr="00DF4CE5">
              <w:rPr>
                <w:rFonts w:ascii="Cambria" w:eastAsia="Times New Roman" w:hAnsi="Cambria" w:cs="Calibri"/>
                <w:lang w:val="hr-HR"/>
              </w:rPr>
              <w:t>and</w:t>
            </w:r>
            <w:proofErr w:type="spellEnd"/>
            <w:r w:rsidRPr="00DF4CE5">
              <w:rPr>
                <w:rFonts w:ascii="Cambria" w:eastAsia="Times New Roman" w:hAnsi="Cambria" w:cs="Calibri"/>
                <w:lang w:val="hr-HR"/>
              </w:rPr>
              <w:t xml:space="preserve"> </w:t>
            </w:r>
            <w:proofErr w:type="spellStart"/>
            <w:r w:rsidRPr="00DF4CE5">
              <w:rPr>
                <w:rFonts w:ascii="Cambria" w:eastAsia="Times New Roman" w:hAnsi="Cambria" w:cs="Calibri"/>
                <w:lang w:val="hr-HR"/>
              </w:rPr>
              <w:t>critical</w:t>
            </w:r>
            <w:proofErr w:type="spellEnd"/>
            <w:r w:rsidRPr="00DF4CE5">
              <w:rPr>
                <w:rFonts w:ascii="Cambria" w:eastAsia="Times New Roman" w:hAnsi="Cambria" w:cs="Calibri"/>
                <w:lang w:val="hr-HR"/>
              </w:rPr>
              <w:t xml:space="preserve"> </w:t>
            </w:r>
            <w:proofErr w:type="spellStart"/>
            <w:r w:rsidRPr="00DF4CE5">
              <w:rPr>
                <w:rFonts w:ascii="Cambria" w:eastAsia="Times New Roman" w:hAnsi="Cambria" w:cs="Calibri"/>
                <w:lang w:val="hr-HR"/>
              </w:rPr>
              <w:t>reading</w:t>
            </w:r>
            <w:proofErr w:type="spellEnd"/>
          </w:p>
          <w:p w14:paraId="6F43E4EA" w14:textId="77777777" w:rsidR="00F31554" w:rsidRPr="00DF4CE5" w:rsidRDefault="00F31554"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3. Tehnike i metode čitanja stručnog teksta s razumijevanjem, '</w:t>
            </w:r>
            <w:proofErr w:type="spellStart"/>
            <w:r w:rsidRPr="00DF4CE5">
              <w:rPr>
                <w:rFonts w:ascii="Cambria" w:eastAsia="Times New Roman" w:hAnsi="Cambria" w:cs="Calibri"/>
                <w:lang w:val="hr-HR"/>
              </w:rPr>
              <w:t>Previewing</w:t>
            </w:r>
            <w:proofErr w:type="spellEnd"/>
            <w:r w:rsidRPr="00DF4CE5">
              <w:rPr>
                <w:rFonts w:ascii="Cambria" w:eastAsia="Times New Roman" w:hAnsi="Cambria" w:cs="Calibri"/>
                <w:lang w:val="hr-HR"/>
              </w:rPr>
              <w:t>', '</w:t>
            </w:r>
            <w:proofErr w:type="spellStart"/>
            <w:r w:rsidRPr="00DF4CE5">
              <w:rPr>
                <w:rFonts w:ascii="Cambria" w:eastAsia="Times New Roman" w:hAnsi="Cambria" w:cs="Calibri"/>
                <w:lang w:val="hr-HR"/>
              </w:rPr>
              <w:t>scanning</w:t>
            </w:r>
            <w:proofErr w:type="spellEnd"/>
            <w:r w:rsidRPr="00DF4CE5">
              <w:rPr>
                <w:rFonts w:ascii="Cambria" w:eastAsia="Times New Roman" w:hAnsi="Cambria" w:cs="Calibri"/>
                <w:lang w:val="hr-HR"/>
              </w:rPr>
              <w:t>', '</w:t>
            </w:r>
            <w:proofErr w:type="spellStart"/>
            <w:r w:rsidRPr="00DF4CE5">
              <w:rPr>
                <w:rFonts w:ascii="Cambria" w:eastAsia="Times New Roman" w:hAnsi="Cambria" w:cs="Calibri"/>
                <w:lang w:val="hr-HR"/>
              </w:rPr>
              <w:t>skimming</w:t>
            </w:r>
            <w:proofErr w:type="spellEnd"/>
            <w:r w:rsidRPr="00DF4CE5">
              <w:rPr>
                <w:rFonts w:ascii="Cambria" w:eastAsia="Times New Roman" w:hAnsi="Cambria" w:cs="Calibri"/>
                <w:lang w:val="hr-HR"/>
              </w:rPr>
              <w:t>', '</w:t>
            </w:r>
            <w:proofErr w:type="spellStart"/>
            <w:r w:rsidRPr="00DF4CE5">
              <w:rPr>
                <w:rFonts w:ascii="Cambria" w:eastAsia="Times New Roman" w:hAnsi="Cambria" w:cs="Calibri"/>
                <w:lang w:val="hr-HR"/>
              </w:rPr>
              <w:t>topicsentence</w:t>
            </w:r>
            <w:proofErr w:type="spellEnd"/>
            <w:r w:rsidRPr="00DF4CE5">
              <w:rPr>
                <w:rFonts w:ascii="Cambria" w:eastAsia="Times New Roman" w:hAnsi="Cambria" w:cs="Calibri"/>
                <w:lang w:val="hr-HR"/>
              </w:rPr>
              <w:t>', '</w:t>
            </w:r>
            <w:proofErr w:type="spellStart"/>
            <w:r w:rsidRPr="00DF4CE5">
              <w:rPr>
                <w:rFonts w:ascii="Cambria" w:eastAsia="Times New Roman" w:hAnsi="Cambria" w:cs="Calibri"/>
                <w:lang w:val="hr-HR"/>
              </w:rPr>
              <w:t>discourse</w:t>
            </w:r>
            <w:proofErr w:type="spellEnd"/>
            <w:r w:rsidRPr="00DF4CE5">
              <w:rPr>
                <w:rFonts w:ascii="Cambria" w:eastAsia="Times New Roman" w:hAnsi="Cambria" w:cs="Calibri"/>
                <w:lang w:val="hr-HR"/>
              </w:rPr>
              <w:t xml:space="preserve">  </w:t>
            </w:r>
            <w:proofErr w:type="spellStart"/>
            <w:r w:rsidRPr="00DF4CE5">
              <w:rPr>
                <w:rFonts w:ascii="Cambria" w:eastAsia="Times New Roman" w:hAnsi="Cambria" w:cs="Calibri"/>
                <w:lang w:val="hr-HR"/>
              </w:rPr>
              <w:t>markers</w:t>
            </w:r>
            <w:proofErr w:type="spellEnd"/>
            <w:r w:rsidRPr="00DF4CE5">
              <w:rPr>
                <w:rFonts w:ascii="Cambria" w:eastAsia="Times New Roman" w:hAnsi="Cambria" w:cs="Calibri"/>
                <w:lang w:val="hr-HR"/>
              </w:rPr>
              <w:t>', '</w:t>
            </w:r>
            <w:proofErr w:type="spellStart"/>
            <w:r w:rsidRPr="00DF4CE5">
              <w:rPr>
                <w:rFonts w:ascii="Cambria" w:eastAsia="Times New Roman" w:hAnsi="Cambria" w:cs="Calibri"/>
                <w:lang w:val="hr-HR"/>
              </w:rPr>
              <w:t>prediction</w:t>
            </w:r>
            <w:proofErr w:type="spellEnd"/>
            <w:r w:rsidRPr="00DF4CE5">
              <w:rPr>
                <w:rFonts w:ascii="Cambria" w:eastAsia="Times New Roman" w:hAnsi="Cambria" w:cs="Calibri"/>
                <w:lang w:val="hr-HR"/>
              </w:rPr>
              <w:t>', '</w:t>
            </w:r>
            <w:proofErr w:type="spellStart"/>
            <w:r w:rsidRPr="00DF4CE5">
              <w:rPr>
                <w:rFonts w:ascii="Cambria" w:eastAsia="Times New Roman" w:hAnsi="Cambria" w:cs="Calibri"/>
                <w:lang w:val="hr-HR"/>
              </w:rPr>
              <w:t>summarizing</w:t>
            </w:r>
            <w:proofErr w:type="spellEnd"/>
            <w:r w:rsidRPr="00DF4CE5">
              <w:rPr>
                <w:rFonts w:ascii="Cambria" w:eastAsia="Times New Roman" w:hAnsi="Cambria" w:cs="Calibri"/>
                <w:lang w:val="hr-HR"/>
              </w:rPr>
              <w:t xml:space="preserve">'. </w:t>
            </w:r>
          </w:p>
          <w:p w14:paraId="1AB1D1E2" w14:textId="77777777" w:rsidR="00F31554" w:rsidRPr="00DF4CE5" w:rsidRDefault="00F31554"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4. Različite vrste stručnih i znanstvenih tekstova</w:t>
            </w:r>
          </w:p>
          <w:p w14:paraId="32CD7BBB" w14:textId="77777777" w:rsidR="00F31554" w:rsidRPr="00DF4CE5" w:rsidRDefault="00F31554"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5. Struktura sažetka, uvoda, poglavlja, zaključka</w:t>
            </w:r>
          </w:p>
          <w:p w14:paraId="10108A5B" w14:textId="77777777" w:rsidR="00F31554" w:rsidRPr="00DF4CE5" w:rsidRDefault="00F31554"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6. Citiranje, parafraziranje, popis literature</w:t>
            </w:r>
          </w:p>
          <w:p w14:paraId="65987B3B" w14:textId="77777777" w:rsidR="00F31554" w:rsidRPr="00DF4CE5" w:rsidRDefault="00F31554"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7. Analiza tekstova vezanih uz rad sa školskom djecom i poduku djece stranom jeziku</w:t>
            </w:r>
          </w:p>
          <w:p w14:paraId="25BC6CCA" w14:textId="77777777" w:rsidR="00F31554" w:rsidRPr="00DF4CE5" w:rsidRDefault="00F31554" w:rsidP="008B34AF">
            <w:pPr>
              <w:spacing w:after="0" w:line="240" w:lineRule="auto"/>
              <w:jc w:val="both"/>
              <w:rPr>
                <w:rFonts w:ascii="Cambria" w:eastAsia="Times New Roman" w:hAnsi="Cambria" w:cs="Times New Roman"/>
                <w:lang w:val="hr-HR"/>
              </w:rPr>
            </w:pPr>
            <w:r w:rsidRPr="00DF4CE5">
              <w:rPr>
                <w:rFonts w:ascii="Cambria" w:eastAsia="Times New Roman" w:hAnsi="Cambria" w:cs="Times New Roman"/>
                <w:lang w:val="hr-HR"/>
              </w:rPr>
              <w:t>8. Trendovi u jezičnoj politici EU</w:t>
            </w:r>
          </w:p>
        </w:tc>
      </w:tr>
      <w:tr w:rsidR="00F31554" w:rsidRPr="00DF4CE5" w14:paraId="3DC69305" w14:textId="77777777" w:rsidTr="00DD1ECD">
        <w:tc>
          <w:tcPr>
            <w:tcW w:w="2629"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hideMark/>
          </w:tcPr>
          <w:p w14:paraId="2BF8E594" w14:textId="77777777" w:rsidR="00F31554" w:rsidRPr="00DF4CE5" w:rsidRDefault="00F31554"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lastRenderedPageBreak/>
              <w:t>Planirane aktivnosti</w:t>
            </w:r>
            <w:r w:rsidRPr="00DF4CE5">
              <w:rPr>
                <w:rFonts w:ascii="Cambria" w:eastAsia="Times New Roman" w:hAnsi="Cambria" w:cs="Calibri"/>
                <w:lang w:val="it-IT"/>
              </w:rPr>
              <w:t>,</w:t>
            </w:r>
          </w:p>
          <w:p w14:paraId="068C1ED5" w14:textId="77777777" w:rsidR="00F31554" w:rsidRPr="00DF4CE5" w:rsidRDefault="00F31554" w:rsidP="00F23CC9">
            <w:pPr>
              <w:spacing w:after="0" w:line="240" w:lineRule="auto"/>
              <w:rPr>
                <w:rFonts w:ascii="Cambria" w:eastAsia="Times New Roman" w:hAnsi="Cambria" w:cs="Calibri"/>
                <w:lang w:val="hr-HR"/>
              </w:rPr>
            </w:pPr>
            <w:proofErr w:type="spellStart"/>
            <w:r w:rsidRPr="00DF4CE5">
              <w:rPr>
                <w:rFonts w:ascii="Cambria" w:eastAsia="Times New Roman" w:hAnsi="Cambria" w:cs="Calibri"/>
                <w:lang w:val="it-IT"/>
              </w:rPr>
              <w:t>metode</w:t>
            </w:r>
            <w:proofErr w:type="spellEnd"/>
            <w:r w:rsidRPr="00DF4CE5">
              <w:rPr>
                <w:rFonts w:ascii="Cambria" w:eastAsia="Times New Roman" w:hAnsi="Cambria" w:cs="Calibri"/>
                <w:lang w:val="it-IT"/>
              </w:rPr>
              <w:t xml:space="preserve"> </w:t>
            </w:r>
            <w:r w:rsidRPr="00DF4CE5">
              <w:rPr>
                <w:rFonts w:ascii="Cambria" w:eastAsia="Times New Roman" w:hAnsi="Cambria" w:cs="Calibri"/>
                <w:lang w:val="hr-HR"/>
              </w:rPr>
              <w:t>učenja i poučavanja i načini vrednovanja</w:t>
            </w:r>
          </w:p>
          <w:p w14:paraId="48879078" w14:textId="77777777" w:rsidR="00F31554" w:rsidRPr="00DF4CE5" w:rsidRDefault="00F31554" w:rsidP="008B34AF">
            <w:pPr>
              <w:spacing w:after="0" w:line="240" w:lineRule="auto"/>
              <w:jc w:val="both"/>
              <w:rPr>
                <w:rFonts w:ascii="Cambria" w:eastAsia="Times New Roman" w:hAnsi="Cambria" w:cs="Calibri"/>
                <w:lang w:val="hr-HR"/>
              </w:rPr>
            </w:pPr>
          </w:p>
        </w:tc>
        <w:tc>
          <w:tcPr>
            <w:tcW w:w="259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3BE2330" w14:textId="77777777" w:rsidR="00F31554" w:rsidRPr="00DF4CE5" w:rsidRDefault="00F31554" w:rsidP="008B34AF">
            <w:pPr>
              <w:spacing w:after="0" w:line="240" w:lineRule="auto"/>
              <w:jc w:val="both"/>
              <w:rPr>
                <w:rFonts w:ascii="Cambria" w:eastAsia="Times New Roman" w:hAnsi="Cambria" w:cs="Calibri"/>
                <w:bCs/>
                <w:lang w:val="hr-HR"/>
              </w:rPr>
            </w:pPr>
          </w:p>
          <w:p w14:paraId="0058A8E1" w14:textId="77777777" w:rsidR="00F31554" w:rsidRPr="00DF4CE5" w:rsidRDefault="00F31554" w:rsidP="008B34AF">
            <w:pPr>
              <w:spacing w:after="0" w:line="240" w:lineRule="auto"/>
              <w:jc w:val="both"/>
              <w:rPr>
                <w:rFonts w:ascii="Cambria" w:eastAsia="Times New Roman" w:hAnsi="Cambria" w:cs="Calibri"/>
                <w:lang w:val="hr-HR"/>
              </w:rPr>
            </w:pPr>
            <w:r w:rsidRPr="00DF4CE5">
              <w:rPr>
                <w:rFonts w:ascii="Cambria" w:eastAsia="Times New Roman" w:hAnsi="Cambria" w:cs="Calibri"/>
                <w:bCs/>
                <w:lang w:val="hr-HR"/>
              </w:rPr>
              <w:t>Obveze</w:t>
            </w:r>
          </w:p>
          <w:p w14:paraId="64537B4E" w14:textId="77777777" w:rsidR="00F31554" w:rsidRPr="00DF4CE5" w:rsidRDefault="00F31554" w:rsidP="008B34AF">
            <w:pPr>
              <w:spacing w:after="0" w:line="240" w:lineRule="auto"/>
              <w:jc w:val="both"/>
              <w:rPr>
                <w:rFonts w:ascii="Cambria" w:eastAsia="Times New Roman" w:hAnsi="Cambria" w:cs="Calibri"/>
                <w:lang w:val="hr-HR"/>
              </w:rPr>
            </w:pPr>
          </w:p>
        </w:tc>
        <w:tc>
          <w:tcPr>
            <w:tcW w:w="109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1AE48AF" w14:textId="77777777" w:rsidR="00F31554" w:rsidRPr="00DF4CE5" w:rsidRDefault="00F31554" w:rsidP="008B34AF">
            <w:pPr>
              <w:spacing w:after="0" w:line="240" w:lineRule="auto"/>
              <w:jc w:val="both"/>
              <w:rPr>
                <w:rFonts w:ascii="Cambria" w:eastAsia="Times New Roman" w:hAnsi="Cambria" w:cs="Calibri"/>
                <w:bCs/>
                <w:lang w:val="hr-HR"/>
              </w:rPr>
            </w:pPr>
          </w:p>
          <w:p w14:paraId="462758A3" w14:textId="77777777" w:rsidR="00F31554" w:rsidRPr="00DF4CE5" w:rsidRDefault="00F31554" w:rsidP="008B34AF">
            <w:pPr>
              <w:spacing w:after="0" w:line="240" w:lineRule="auto"/>
              <w:jc w:val="both"/>
              <w:rPr>
                <w:rFonts w:ascii="Cambria" w:eastAsia="Times New Roman" w:hAnsi="Cambria" w:cs="Calibri"/>
                <w:lang w:val="hr-HR"/>
              </w:rPr>
            </w:pPr>
            <w:r w:rsidRPr="00DF4CE5">
              <w:rPr>
                <w:rFonts w:ascii="Cambria" w:eastAsia="Times New Roman" w:hAnsi="Cambria" w:cs="Calibri"/>
                <w:bCs/>
                <w:lang w:val="hr-HR"/>
              </w:rPr>
              <w:t>Ishodi</w:t>
            </w:r>
          </w:p>
          <w:p w14:paraId="6E8030D1" w14:textId="77777777" w:rsidR="00F31554" w:rsidRPr="00DF4CE5" w:rsidRDefault="00F31554" w:rsidP="008B34AF">
            <w:pPr>
              <w:spacing w:after="0" w:line="240" w:lineRule="auto"/>
              <w:jc w:val="both"/>
              <w:rPr>
                <w:rFonts w:ascii="Cambria" w:eastAsia="Times New Roman" w:hAnsi="Cambria" w:cs="Calibri"/>
                <w:lang w:val="hr-HR"/>
              </w:rPr>
            </w:pPr>
          </w:p>
        </w:tc>
        <w:tc>
          <w:tcPr>
            <w:tcW w:w="71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6DDA654" w14:textId="77777777" w:rsidR="00F31554" w:rsidRPr="00DF4CE5" w:rsidRDefault="00F31554" w:rsidP="008B34AF">
            <w:pPr>
              <w:spacing w:after="0" w:line="240" w:lineRule="auto"/>
              <w:jc w:val="both"/>
              <w:rPr>
                <w:rFonts w:ascii="Cambria" w:eastAsia="Times New Roman" w:hAnsi="Cambria" w:cs="Calibri"/>
                <w:lang w:val="hr-HR"/>
              </w:rPr>
            </w:pPr>
            <w:r w:rsidRPr="00DF4CE5">
              <w:rPr>
                <w:rFonts w:ascii="Cambria" w:eastAsia="Times New Roman" w:hAnsi="Cambria" w:cs="Calibri"/>
                <w:bCs/>
                <w:lang w:val="hr-HR"/>
              </w:rPr>
              <w:t>Sati</w:t>
            </w:r>
          </w:p>
        </w:tc>
        <w:tc>
          <w:tcPr>
            <w:tcW w:w="101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042CDA4" w14:textId="77777777" w:rsidR="00F31554" w:rsidRPr="00DF4CE5" w:rsidRDefault="00F31554" w:rsidP="008B34AF">
            <w:pPr>
              <w:spacing w:after="0" w:line="240" w:lineRule="auto"/>
              <w:jc w:val="both"/>
              <w:rPr>
                <w:rFonts w:ascii="Cambria" w:eastAsia="Times New Roman" w:hAnsi="Cambria" w:cs="Calibri"/>
                <w:lang w:val="hr-HR"/>
              </w:rPr>
            </w:pPr>
            <w:r w:rsidRPr="00DF4CE5">
              <w:rPr>
                <w:rFonts w:ascii="Cambria" w:eastAsia="Times New Roman" w:hAnsi="Cambria" w:cs="Calibri"/>
                <w:bCs/>
                <w:lang w:val="hr-HR"/>
              </w:rPr>
              <w:t>ECTS</w:t>
            </w:r>
          </w:p>
        </w:tc>
        <w:tc>
          <w:tcPr>
            <w:tcW w:w="132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DD7E059" w14:textId="77777777" w:rsidR="00F31554" w:rsidRPr="00DF4CE5" w:rsidRDefault="00F31554" w:rsidP="008B34AF">
            <w:pPr>
              <w:spacing w:after="0" w:line="240" w:lineRule="auto"/>
              <w:jc w:val="both"/>
              <w:rPr>
                <w:rFonts w:ascii="Cambria" w:eastAsia="Times New Roman" w:hAnsi="Cambria" w:cs="Calibri"/>
                <w:lang w:val="hr-HR"/>
              </w:rPr>
            </w:pPr>
            <w:r w:rsidRPr="00DF4CE5">
              <w:rPr>
                <w:rFonts w:ascii="Cambria" w:eastAsia="Times New Roman" w:hAnsi="Cambria" w:cs="Calibri"/>
                <w:bCs/>
                <w:lang w:val="hr-HR"/>
              </w:rPr>
              <w:t>Maksimalni udio u ocjeni</w:t>
            </w:r>
            <w:r w:rsidRPr="00DF4CE5">
              <w:rPr>
                <w:rFonts w:ascii="Cambria" w:eastAsia="Times New Roman" w:hAnsi="Cambria" w:cs="Calibri"/>
                <w:bCs/>
              </w:rPr>
              <w:t xml:space="preserve"> (%)</w:t>
            </w:r>
          </w:p>
        </w:tc>
      </w:tr>
      <w:tr w:rsidR="00F31554" w:rsidRPr="00DF4CE5" w14:paraId="780B4017" w14:textId="77777777" w:rsidTr="00DD1ECD">
        <w:tc>
          <w:tcPr>
            <w:tcW w:w="2629" w:type="dxa"/>
            <w:vMerge/>
            <w:tcBorders>
              <w:left w:val="single" w:sz="8" w:space="0" w:color="000000"/>
              <w:right w:val="single" w:sz="8" w:space="0" w:color="000000"/>
            </w:tcBorders>
            <w:vAlign w:val="center"/>
          </w:tcPr>
          <w:p w14:paraId="0602F4BF" w14:textId="77777777" w:rsidR="00F31554" w:rsidRPr="00DF4CE5" w:rsidRDefault="00F31554" w:rsidP="008B34AF">
            <w:pPr>
              <w:spacing w:after="0" w:line="240" w:lineRule="auto"/>
              <w:jc w:val="both"/>
              <w:rPr>
                <w:rFonts w:ascii="Cambria" w:eastAsia="Times New Roman" w:hAnsi="Cambria" w:cs="Calibri"/>
                <w:lang w:val="hr-HR"/>
              </w:rPr>
            </w:pPr>
          </w:p>
        </w:tc>
        <w:tc>
          <w:tcPr>
            <w:tcW w:w="259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A73F344" w14:textId="5A489BC7" w:rsidR="00F31554" w:rsidRPr="00DF4CE5" w:rsidRDefault="00F31554" w:rsidP="000E5785">
            <w:pPr>
              <w:spacing w:after="0" w:line="240" w:lineRule="auto"/>
              <w:rPr>
                <w:rFonts w:ascii="Cambria" w:eastAsia="Times New Roman" w:hAnsi="Cambria" w:cs="Calibri"/>
                <w:lang w:val="hr-HR"/>
              </w:rPr>
            </w:pPr>
            <w:r w:rsidRPr="00DF4CE5">
              <w:rPr>
                <w:rFonts w:ascii="Cambria" w:eastAsia="Times New Roman" w:hAnsi="Cambria" w:cs="Calibri"/>
                <w:lang w:val="hr-HR"/>
              </w:rPr>
              <w:t xml:space="preserve">aktivnosti u nastavi </w:t>
            </w:r>
            <w:r w:rsidR="00F23CC9">
              <w:rPr>
                <w:rFonts w:ascii="Cambria" w:eastAsia="Times New Roman" w:hAnsi="Cambria" w:cs="Calibri"/>
                <w:lang w:val="hr-HR"/>
              </w:rPr>
              <w:t>(V)</w:t>
            </w:r>
          </w:p>
        </w:tc>
        <w:tc>
          <w:tcPr>
            <w:tcW w:w="109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D48542B" w14:textId="7E0D9BCA" w:rsidR="00F31554" w:rsidRPr="00DF4CE5" w:rsidRDefault="00F31554" w:rsidP="00F23CC9">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1</w:t>
            </w:r>
            <w:r w:rsidR="00F23CC9">
              <w:rPr>
                <w:rFonts w:ascii="Cambria" w:eastAsia="Times New Roman" w:hAnsi="Cambria" w:cs="Calibri"/>
                <w:lang w:val="hr-HR"/>
              </w:rPr>
              <w:t xml:space="preserve">. – </w:t>
            </w:r>
            <w:r w:rsidRPr="00DF4CE5">
              <w:rPr>
                <w:rFonts w:ascii="Cambria" w:eastAsia="Times New Roman" w:hAnsi="Cambria" w:cs="Calibri"/>
                <w:lang w:val="hr-HR"/>
              </w:rPr>
              <w:t>6</w:t>
            </w:r>
            <w:r w:rsidR="00F23CC9">
              <w:rPr>
                <w:rFonts w:ascii="Cambria" w:eastAsia="Times New Roman" w:hAnsi="Cambria" w:cs="Calibri"/>
                <w:lang w:val="hr-HR"/>
              </w:rPr>
              <w:t>.</w:t>
            </w:r>
          </w:p>
        </w:tc>
        <w:tc>
          <w:tcPr>
            <w:tcW w:w="71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AD1AEA5" w14:textId="4EB3295C" w:rsidR="00F31554" w:rsidRPr="00DF4CE5" w:rsidRDefault="00F31554" w:rsidP="00F23CC9">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2</w:t>
            </w:r>
            <w:r w:rsidR="00184090" w:rsidRPr="00DF4CE5">
              <w:rPr>
                <w:rFonts w:ascii="Cambria" w:eastAsia="Times New Roman" w:hAnsi="Cambria" w:cs="Calibri"/>
                <w:lang w:val="hr-HR"/>
              </w:rPr>
              <w:t>3</w:t>
            </w:r>
          </w:p>
        </w:tc>
        <w:tc>
          <w:tcPr>
            <w:tcW w:w="101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925AC2F" w14:textId="77777777" w:rsidR="00F31554" w:rsidRPr="00DF4CE5" w:rsidRDefault="00F31554" w:rsidP="00F23CC9">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0,8</w:t>
            </w:r>
          </w:p>
        </w:tc>
        <w:tc>
          <w:tcPr>
            <w:tcW w:w="132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54B6269" w14:textId="77777777" w:rsidR="00F31554" w:rsidRPr="00DF4CE5" w:rsidRDefault="00F31554" w:rsidP="00F23CC9">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0%</w:t>
            </w:r>
          </w:p>
        </w:tc>
      </w:tr>
      <w:tr w:rsidR="00F31554" w:rsidRPr="00DF4CE5" w14:paraId="533A5E73" w14:textId="77777777" w:rsidTr="00DD1ECD">
        <w:tc>
          <w:tcPr>
            <w:tcW w:w="2629" w:type="dxa"/>
            <w:vMerge/>
            <w:tcBorders>
              <w:left w:val="single" w:sz="8" w:space="0" w:color="000000"/>
              <w:right w:val="single" w:sz="8" w:space="0" w:color="000000"/>
            </w:tcBorders>
            <w:vAlign w:val="center"/>
            <w:hideMark/>
          </w:tcPr>
          <w:p w14:paraId="62A6AC69" w14:textId="77777777" w:rsidR="00F31554" w:rsidRPr="00DF4CE5" w:rsidRDefault="00F31554" w:rsidP="008B34AF">
            <w:pPr>
              <w:spacing w:after="0" w:line="240" w:lineRule="auto"/>
              <w:jc w:val="both"/>
              <w:rPr>
                <w:rFonts w:ascii="Cambria" w:eastAsia="Times New Roman" w:hAnsi="Cambria" w:cs="Calibri"/>
                <w:lang w:val="hr-HR"/>
              </w:rPr>
            </w:pPr>
          </w:p>
        </w:tc>
        <w:tc>
          <w:tcPr>
            <w:tcW w:w="259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F31344D" w14:textId="77777777" w:rsidR="00F31554" w:rsidRPr="00DF4CE5" w:rsidRDefault="00F31554"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referat</w:t>
            </w:r>
          </w:p>
        </w:tc>
        <w:tc>
          <w:tcPr>
            <w:tcW w:w="109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DB046FE" w14:textId="6B1E8FA3" w:rsidR="00F31554" w:rsidRPr="00DF4CE5" w:rsidRDefault="00F23CC9" w:rsidP="00F23CC9">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1</w:t>
            </w:r>
            <w:r>
              <w:rPr>
                <w:rFonts w:ascii="Cambria" w:eastAsia="Times New Roman" w:hAnsi="Cambria" w:cs="Calibri"/>
                <w:lang w:val="hr-HR"/>
              </w:rPr>
              <w:t xml:space="preserve">. – </w:t>
            </w:r>
            <w:r w:rsidRPr="00DF4CE5">
              <w:rPr>
                <w:rFonts w:ascii="Cambria" w:eastAsia="Times New Roman" w:hAnsi="Cambria" w:cs="Calibri"/>
                <w:lang w:val="hr-HR"/>
              </w:rPr>
              <w:t>6</w:t>
            </w:r>
            <w:r>
              <w:rPr>
                <w:rFonts w:ascii="Cambria" w:eastAsia="Times New Roman" w:hAnsi="Cambria" w:cs="Calibri"/>
                <w:lang w:val="hr-HR"/>
              </w:rPr>
              <w:t>.</w:t>
            </w:r>
          </w:p>
        </w:tc>
        <w:tc>
          <w:tcPr>
            <w:tcW w:w="71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EA029A8" w14:textId="77777777" w:rsidR="00F31554" w:rsidRPr="00DF4CE5" w:rsidRDefault="00F31554" w:rsidP="00F23CC9">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12</w:t>
            </w:r>
          </w:p>
        </w:tc>
        <w:tc>
          <w:tcPr>
            <w:tcW w:w="101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16AF264" w14:textId="77777777" w:rsidR="00F31554" w:rsidRPr="00DF4CE5" w:rsidRDefault="00F31554" w:rsidP="00F23CC9">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0,4</w:t>
            </w:r>
          </w:p>
        </w:tc>
        <w:tc>
          <w:tcPr>
            <w:tcW w:w="132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EE1B06F" w14:textId="77777777" w:rsidR="00F31554" w:rsidRPr="00DF4CE5" w:rsidRDefault="00F31554" w:rsidP="00F23CC9">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50%</w:t>
            </w:r>
          </w:p>
        </w:tc>
      </w:tr>
      <w:tr w:rsidR="00F31554" w:rsidRPr="00DF4CE5" w14:paraId="0EDBB590" w14:textId="77777777" w:rsidTr="00DD1ECD">
        <w:tc>
          <w:tcPr>
            <w:tcW w:w="2629" w:type="dxa"/>
            <w:vMerge/>
            <w:tcBorders>
              <w:left w:val="single" w:sz="8" w:space="0" w:color="000000"/>
              <w:right w:val="single" w:sz="8" w:space="0" w:color="000000"/>
            </w:tcBorders>
            <w:vAlign w:val="center"/>
            <w:hideMark/>
          </w:tcPr>
          <w:p w14:paraId="0146509A" w14:textId="77777777" w:rsidR="00F31554" w:rsidRPr="00DF4CE5" w:rsidRDefault="00F31554" w:rsidP="008B34AF">
            <w:pPr>
              <w:spacing w:after="0" w:line="240" w:lineRule="auto"/>
              <w:jc w:val="both"/>
              <w:rPr>
                <w:rFonts w:ascii="Cambria" w:eastAsia="Times New Roman" w:hAnsi="Cambria" w:cs="Calibri"/>
                <w:lang w:val="hr-HR"/>
              </w:rPr>
            </w:pPr>
          </w:p>
        </w:tc>
        <w:tc>
          <w:tcPr>
            <w:tcW w:w="259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18EC9DD" w14:textId="77777777" w:rsidR="00F31554" w:rsidRPr="00DF4CE5" w:rsidRDefault="00F31554"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kolokvij (pisani)</w:t>
            </w:r>
          </w:p>
        </w:tc>
        <w:tc>
          <w:tcPr>
            <w:tcW w:w="109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DE2D350" w14:textId="0E7958C7" w:rsidR="00F31554" w:rsidRPr="00DF4CE5" w:rsidRDefault="00F23CC9" w:rsidP="00F23CC9">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1</w:t>
            </w:r>
            <w:r>
              <w:rPr>
                <w:rFonts w:ascii="Cambria" w:eastAsia="Times New Roman" w:hAnsi="Cambria" w:cs="Calibri"/>
                <w:lang w:val="hr-HR"/>
              </w:rPr>
              <w:t xml:space="preserve">. – </w:t>
            </w:r>
            <w:r w:rsidRPr="00DF4CE5">
              <w:rPr>
                <w:rFonts w:ascii="Cambria" w:eastAsia="Times New Roman" w:hAnsi="Cambria" w:cs="Calibri"/>
                <w:lang w:val="hr-HR"/>
              </w:rPr>
              <w:t>6</w:t>
            </w:r>
            <w:r>
              <w:rPr>
                <w:rFonts w:ascii="Cambria" w:eastAsia="Times New Roman" w:hAnsi="Cambria" w:cs="Calibri"/>
                <w:lang w:val="hr-HR"/>
              </w:rPr>
              <w:t>.</w:t>
            </w:r>
          </w:p>
        </w:tc>
        <w:tc>
          <w:tcPr>
            <w:tcW w:w="71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1D199F5" w14:textId="0F873CC6" w:rsidR="00F31554" w:rsidRPr="00DF4CE5" w:rsidRDefault="00F31554" w:rsidP="00F23CC9">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2</w:t>
            </w:r>
            <w:r w:rsidR="00184090" w:rsidRPr="00DF4CE5">
              <w:rPr>
                <w:rFonts w:ascii="Cambria" w:eastAsia="Times New Roman" w:hAnsi="Cambria" w:cs="Calibri"/>
                <w:lang w:val="hr-HR"/>
              </w:rPr>
              <w:t>5</w:t>
            </w:r>
          </w:p>
        </w:tc>
        <w:tc>
          <w:tcPr>
            <w:tcW w:w="101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10C4131" w14:textId="77777777" w:rsidR="00F31554" w:rsidRPr="00DF4CE5" w:rsidRDefault="00F31554" w:rsidP="00F23CC9">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0,8</w:t>
            </w:r>
          </w:p>
        </w:tc>
        <w:tc>
          <w:tcPr>
            <w:tcW w:w="132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E2DD1F1" w14:textId="77777777" w:rsidR="00F31554" w:rsidRPr="00DF4CE5" w:rsidRDefault="00F31554" w:rsidP="00F23CC9">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50 %</w:t>
            </w:r>
          </w:p>
        </w:tc>
      </w:tr>
      <w:tr w:rsidR="00F31554" w:rsidRPr="00DF4CE5" w14:paraId="116EDF5F" w14:textId="77777777" w:rsidTr="00DD1ECD">
        <w:tc>
          <w:tcPr>
            <w:tcW w:w="2629" w:type="dxa"/>
            <w:vMerge/>
            <w:tcBorders>
              <w:left w:val="single" w:sz="8" w:space="0" w:color="000000"/>
              <w:right w:val="single" w:sz="8" w:space="0" w:color="000000"/>
            </w:tcBorders>
            <w:vAlign w:val="center"/>
            <w:hideMark/>
          </w:tcPr>
          <w:p w14:paraId="1DD112D5" w14:textId="77777777" w:rsidR="00F31554" w:rsidRPr="00DF4CE5" w:rsidRDefault="00F31554" w:rsidP="008B34AF">
            <w:pPr>
              <w:spacing w:after="0" w:line="240" w:lineRule="auto"/>
              <w:jc w:val="both"/>
              <w:rPr>
                <w:rFonts w:ascii="Cambria" w:eastAsia="Times New Roman" w:hAnsi="Cambria" w:cs="Calibri"/>
                <w:lang w:val="hr-HR"/>
              </w:rPr>
            </w:pPr>
          </w:p>
        </w:tc>
        <w:tc>
          <w:tcPr>
            <w:tcW w:w="3681"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8CC2DB9" w14:textId="77777777" w:rsidR="00F31554" w:rsidRPr="00DF4CE5" w:rsidRDefault="00F31554" w:rsidP="008B34AF">
            <w:pPr>
              <w:spacing w:after="0" w:line="240" w:lineRule="auto"/>
              <w:jc w:val="both"/>
              <w:rPr>
                <w:rFonts w:ascii="Cambria" w:eastAsia="Times New Roman" w:hAnsi="Cambria" w:cs="Calibri"/>
                <w:lang w:val="hr-HR"/>
              </w:rPr>
            </w:pPr>
            <w:proofErr w:type="spellStart"/>
            <w:r w:rsidRPr="00DF4CE5">
              <w:rPr>
                <w:rFonts w:ascii="Cambria" w:eastAsia="Times New Roman" w:hAnsi="Cambria" w:cs="Calibri"/>
              </w:rPr>
              <w:t>ukupno</w:t>
            </w:r>
            <w:proofErr w:type="spellEnd"/>
          </w:p>
        </w:tc>
        <w:tc>
          <w:tcPr>
            <w:tcW w:w="71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C0302D3" w14:textId="414C6310" w:rsidR="00F31554" w:rsidRPr="00DF4CE5" w:rsidRDefault="00F31554" w:rsidP="00F23CC9">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6</w:t>
            </w:r>
            <w:r w:rsidR="00184090" w:rsidRPr="00DF4CE5">
              <w:rPr>
                <w:rFonts w:ascii="Cambria" w:eastAsia="Times New Roman" w:hAnsi="Cambria" w:cs="Calibri"/>
                <w:lang w:val="hr-HR"/>
              </w:rPr>
              <w:t>0</w:t>
            </w:r>
          </w:p>
        </w:tc>
        <w:tc>
          <w:tcPr>
            <w:tcW w:w="101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A9032CB" w14:textId="77777777" w:rsidR="00F31554" w:rsidRPr="00DF4CE5" w:rsidRDefault="00F31554" w:rsidP="00F23CC9">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2</w:t>
            </w:r>
          </w:p>
        </w:tc>
        <w:tc>
          <w:tcPr>
            <w:tcW w:w="132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8F95CED" w14:textId="77777777" w:rsidR="00F31554" w:rsidRPr="00DF4CE5" w:rsidRDefault="00F31554" w:rsidP="00F23CC9">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100%</w:t>
            </w:r>
          </w:p>
        </w:tc>
      </w:tr>
      <w:tr w:rsidR="00F31554" w:rsidRPr="00DF4CE5" w14:paraId="36EFBE42" w14:textId="77777777" w:rsidTr="00DD1ECD">
        <w:tc>
          <w:tcPr>
            <w:tcW w:w="26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57BE8F2" w14:textId="77777777" w:rsidR="00F31554" w:rsidRPr="00DF4CE5" w:rsidRDefault="00F31554"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Studentske obveze</w:t>
            </w:r>
          </w:p>
        </w:tc>
        <w:tc>
          <w:tcPr>
            <w:tcW w:w="6731"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DA476E9" w14:textId="77777777" w:rsidR="00F31554" w:rsidRPr="00DF4CE5" w:rsidRDefault="00F31554" w:rsidP="008B34AF">
            <w:pPr>
              <w:spacing w:after="0" w:line="240" w:lineRule="auto"/>
              <w:jc w:val="both"/>
              <w:rPr>
                <w:rFonts w:ascii="Cambria" w:eastAsia="Times New Roman" w:hAnsi="Cambria" w:cs="Times New Roman"/>
                <w:lang w:val="hr-HR"/>
              </w:rPr>
            </w:pPr>
            <w:r w:rsidRPr="00DF4CE5">
              <w:rPr>
                <w:rFonts w:ascii="Cambria" w:eastAsia="Times New Roman" w:hAnsi="Cambria" w:cs="Times New Roman"/>
                <w:lang w:val="hr-HR"/>
              </w:rPr>
              <w:t>Da položi kolegij, student/studentica mora:</w:t>
            </w:r>
          </w:p>
          <w:p w14:paraId="0972B12C" w14:textId="77777777" w:rsidR="00F31554" w:rsidRPr="00DF4CE5" w:rsidRDefault="00F31554" w:rsidP="00A034E3">
            <w:pPr>
              <w:numPr>
                <w:ilvl w:val="0"/>
                <w:numId w:val="43"/>
              </w:numPr>
              <w:spacing w:after="0" w:line="240" w:lineRule="auto"/>
              <w:jc w:val="both"/>
              <w:rPr>
                <w:rFonts w:ascii="Cambria" w:eastAsia="Calibri" w:hAnsi="Cambria" w:cs="Times New Roman"/>
                <w:lang w:val="hr-HR"/>
              </w:rPr>
            </w:pPr>
            <w:r w:rsidRPr="00DF4CE5">
              <w:rPr>
                <w:rFonts w:ascii="Cambria" w:eastAsia="Calibri" w:hAnsi="Cambria" w:cs="Times New Roman"/>
                <w:lang w:val="hr-HR"/>
              </w:rPr>
              <w:t>p</w:t>
            </w:r>
            <w:r w:rsidRPr="00DF4CE5">
              <w:rPr>
                <w:rFonts w:ascii="Cambria" w:eastAsia="Calibri" w:hAnsi="Cambria" w:cs="Times New Roman"/>
                <w:lang w:val="vi-VN"/>
              </w:rPr>
              <w:t>ohađa</w:t>
            </w:r>
            <w:r w:rsidRPr="00DF4CE5">
              <w:rPr>
                <w:rFonts w:ascii="Cambria" w:eastAsia="Calibri" w:hAnsi="Cambria" w:cs="Times New Roman"/>
                <w:lang w:val="hr-HR"/>
              </w:rPr>
              <w:t>ti više od 70 % nastave i aktivno sudjelovati u nastavnom procesu</w:t>
            </w:r>
          </w:p>
          <w:p w14:paraId="1003A760" w14:textId="77777777" w:rsidR="00F31554" w:rsidRPr="00DF4CE5" w:rsidRDefault="00F31554" w:rsidP="00A034E3">
            <w:pPr>
              <w:numPr>
                <w:ilvl w:val="0"/>
                <w:numId w:val="43"/>
              </w:numPr>
              <w:spacing w:after="0" w:line="240" w:lineRule="auto"/>
              <w:jc w:val="both"/>
              <w:rPr>
                <w:rFonts w:ascii="Cambria" w:eastAsia="Calibri" w:hAnsi="Cambria" w:cs="Times New Roman"/>
                <w:lang w:val="hr-HR"/>
              </w:rPr>
            </w:pPr>
            <w:r w:rsidRPr="00DF4CE5">
              <w:rPr>
                <w:rFonts w:ascii="Cambria" w:eastAsia="Calibri" w:hAnsi="Cambria" w:cs="Times New Roman"/>
                <w:lang w:val="hr-HR"/>
              </w:rPr>
              <w:t>napisati jedan esej (referat)</w:t>
            </w:r>
          </w:p>
          <w:p w14:paraId="7738BECD" w14:textId="77777777" w:rsidR="00F31554" w:rsidRPr="00DF4CE5" w:rsidRDefault="00F31554" w:rsidP="00A034E3">
            <w:pPr>
              <w:numPr>
                <w:ilvl w:val="0"/>
                <w:numId w:val="43"/>
              </w:numPr>
              <w:spacing w:after="0" w:line="240" w:lineRule="auto"/>
              <w:jc w:val="both"/>
              <w:rPr>
                <w:rFonts w:ascii="Cambria" w:eastAsia="Calibri" w:hAnsi="Cambria" w:cs="Times New Roman"/>
                <w:lang w:val="hr-HR"/>
              </w:rPr>
            </w:pPr>
            <w:r w:rsidRPr="00DF4CE5">
              <w:rPr>
                <w:rFonts w:ascii="Cambria" w:eastAsia="Calibri" w:hAnsi="Cambria" w:cs="Times New Roman"/>
                <w:lang w:val="hr-HR"/>
              </w:rPr>
              <w:t>predstaviti jedan stručni tekst po izboru</w:t>
            </w:r>
          </w:p>
          <w:p w14:paraId="56FCAFC3" w14:textId="77777777" w:rsidR="00F31554" w:rsidRPr="00DF4CE5" w:rsidRDefault="00F31554" w:rsidP="00A034E3">
            <w:pPr>
              <w:numPr>
                <w:ilvl w:val="0"/>
                <w:numId w:val="43"/>
              </w:numPr>
              <w:spacing w:after="0" w:line="240" w:lineRule="auto"/>
              <w:jc w:val="both"/>
              <w:rPr>
                <w:rFonts w:ascii="Cambria" w:eastAsia="Times New Roman" w:hAnsi="Cambria" w:cs="Times New Roman"/>
                <w:lang w:val="hr-HR"/>
              </w:rPr>
            </w:pPr>
            <w:r w:rsidRPr="00DF4CE5">
              <w:rPr>
                <w:rFonts w:ascii="Cambria" w:eastAsia="Times New Roman" w:hAnsi="Cambria" w:cs="Times New Roman"/>
                <w:lang w:val="hr-HR"/>
              </w:rPr>
              <w:t>položiti pisani kolokvij.</w:t>
            </w:r>
          </w:p>
        </w:tc>
      </w:tr>
      <w:tr w:rsidR="00F31554" w:rsidRPr="00D0399C" w14:paraId="127C2A82" w14:textId="77777777" w:rsidTr="00DD1ECD">
        <w:tc>
          <w:tcPr>
            <w:tcW w:w="26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662AB77" w14:textId="77777777" w:rsidR="00F31554" w:rsidRPr="00DF4CE5" w:rsidRDefault="00F31554" w:rsidP="008B34AF">
            <w:pPr>
              <w:spacing w:after="0" w:line="240" w:lineRule="auto"/>
              <w:jc w:val="both"/>
              <w:rPr>
                <w:rFonts w:ascii="Cambria" w:eastAsia="Times New Roman" w:hAnsi="Cambria" w:cs="Calibri"/>
                <w:lang w:val="hr-HR"/>
              </w:rPr>
            </w:pPr>
            <w:proofErr w:type="spellStart"/>
            <w:r w:rsidRPr="00DF4CE5">
              <w:rPr>
                <w:rFonts w:ascii="Cambria" w:eastAsia="Times New Roman" w:hAnsi="Cambria" w:cs="Calibri"/>
              </w:rPr>
              <w:t>Rokovi</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ispita</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i</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kolokvija</w:t>
            </w:r>
            <w:proofErr w:type="spellEnd"/>
          </w:p>
        </w:tc>
        <w:tc>
          <w:tcPr>
            <w:tcW w:w="6731"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258C4A1" w14:textId="77777777" w:rsidR="00F31554" w:rsidRPr="00DF4CE5" w:rsidRDefault="00F31554"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Daju se na početku akademske godine, objavljuju se na mrežnim stranicama Sveučilišta i u ISVU.</w:t>
            </w:r>
          </w:p>
        </w:tc>
      </w:tr>
      <w:tr w:rsidR="00F31554" w:rsidRPr="00F23CC9" w14:paraId="30CF0575" w14:textId="77777777" w:rsidTr="00DD1ECD">
        <w:tc>
          <w:tcPr>
            <w:tcW w:w="26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07784C9" w14:textId="77777777" w:rsidR="00F31554" w:rsidRPr="00DF4CE5" w:rsidRDefault="00F31554"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Ostale važne činjenice </w:t>
            </w:r>
            <w:proofErr w:type="spellStart"/>
            <w:r w:rsidRPr="00DF4CE5">
              <w:rPr>
                <w:rFonts w:ascii="Cambria" w:eastAsia="Times New Roman" w:hAnsi="Cambria" w:cs="Calibri"/>
                <w:lang w:val="it-IT"/>
              </w:rPr>
              <w:t>vezane</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uz</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kolegij</w:t>
            </w:r>
            <w:proofErr w:type="spellEnd"/>
          </w:p>
        </w:tc>
        <w:tc>
          <w:tcPr>
            <w:tcW w:w="6731"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42DD867" w14:textId="77777777" w:rsidR="00F31554" w:rsidRPr="00DF4CE5" w:rsidRDefault="00F31554"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Detaljan kalendar nastave s nastavnim cjelinama, temama i rokovima studentskih obaveza daju se u obliku uručka prvog sata kolegija.</w:t>
            </w:r>
          </w:p>
          <w:p w14:paraId="2DD3C8E7" w14:textId="0BEF2AE7" w:rsidR="00F31554" w:rsidRPr="00DF4CE5" w:rsidRDefault="00F31554"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U slučaju održavanja nastave na daljinu, moguće je odstupanje u: mjestu izvođenja kolegija, provedbi aktivnosti, metoda tumačenja i poučavanja i načinima vrednovanja, studentskim obvezama i dostupnoj literaturi. O tome će nositeljica kolegija i asistent</w:t>
            </w:r>
            <w:r w:rsidR="00F23CC9">
              <w:rPr>
                <w:rFonts w:ascii="Cambria" w:eastAsia="Times New Roman" w:hAnsi="Cambria" w:cs="Calibri"/>
                <w:lang w:val="hr-HR"/>
              </w:rPr>
              <w:t>ica</w:t>
            </w:r>
            <w:r w:rsidRPr="00DF4CE5">
              <w:rPr>
                <w:rFonts w:ascii="Cambria" w:eastAsia="Times New Roman" w:hAnsi="Cambria" w:cs="Calibri"/>
                <w:lang w:val="hr-HR"/>
              </w:rPr>
              <w:t xml:space="preserve"> obavijestiti studente i studentice kad se nastava na daljinu počne održavati. Ishodi učenja ostaju nepromijenjeni.</w:t>
            </w:r>
          </w:p>
        </w:tc>
      </w:tr>
      <w:tr w:rsidR="00F31554" w:rsidRPr="00D0399C" w14:paraId="46856E40" w14:textId="77777777" w:rsidTr="00DD1ECD">
        <w:trPr>
          <w:trHeight w:val="770"/>
        </w:trPr>
        <w:tc>
          <w:tcPr>
            <w:tcW w:w="26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111348C" w14:textId="77777777" w:rsidR="00F31554" w:rsidRPr="00DF4CE5" w:rsidRDefault="00F31554"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Literatura</w:t>
            </w:r>
          </w:p>
        </w:tc>
        <w:tc>
          <w:tcPr>
            <w:tcW w:w="6731"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5C198692" w14:textId="77777777" w:rsidR="00F31554" w:rsidRPr="00DF4CE5" w:rsidRDefault="00F31554"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Obvezna: </w:t>
            </w:r>
          </w:p>
          <w:p w14:paraId="5A4C7338" w14:textId="24CF68C6" w:rsidR="00F31554" w:rsidRPr="00DF4CE5" w:rsidRDefault="00F31554" w:rsidP="00A034E3">
            <w:pPr>
              <w:numPr>
                <w:ilvl w:val="0"/>
                <w:numId w:val="44"/>
              </w:numPr>
              <w:spacing w:after="0" w:line="240" w:lineRule="auto"/>
              <w:jc w:val="both"/>
              <w:rPr>
                <w:rFonts w:ascii="Cambria" w:eastAsia="Times New Roman" w:hAnsi="Cambria" w:cs="Calibri"/>
                <w:lang w:val="hr-HR"/>
              </w:rPr>
            </w:pPr>
            <w:r w:rsidRPr="00DF4CE5">
              <w:rPr>
                <w:rFonts w:ascii="Cambria" w:eastAsia="Times New Roman" w:hAnsi="Cambria" w:cs="Calibri"/>
                <w:lang w:val="hr-HR"/>
              </w:rPr>
              <w:t>Jordan, M.</w:t>
            </w:r>
            <w:r w:rsidR="00AF0D71">
              <w:rPr>
                <w:rFonts w:ascii="Cambria" w:eastAsia="Times New Roman" w:hAnsi="Cambria" w:cs="Calibri"/>
                <w:lang w:val="hr-HR"/>
              </w:rPr>
              <w:t xml:space="preserve"> </w:t>
            </w:r>
            <w:r w:rsidRPr="00DF4CE5">
              <w:rPr>
                <w:rFonts w:ascii="Cambria" w:eastAsia="Times New Roman" w:hAnsi="Cambria" w:cs="Calibri"/>
                <w:lang w:val="hr-HR"/>
              </w:rPr>
              <w:t xml:space="preserve">K., </w:t>
            </w:r>
            <w:proofErr w:type="spellStart"/>
            <w:r w:rsidRPr="00DF4CE5">
              <w:rPr>
                <w:rFonts w:ascii="Cambria" w:eastAsia="Times New Roman" w:hAnsi="Cambria" w:cs="Calibri"/>
                <w:lang w:val="hr-HR"/>
              </w:rPr>
              <w:t>Plakans</w:t>
            </w:r>
            <w:proofErr w:type="spellEnd"/>
            <w:r w:rsidRPr="00DF4CE5">
              <w:rPr>
                <w:rFonts w:ascii="Cambria" w:eastAsia="Times New Roman" w:hAnsi="Cambria" w:cs="Calibri"/>
                <w:lang w:val="hr-HR"/>
              </w:rPr>
              <w:t xml:space="preserve">, L. (2003). </w:t>
            </w:r>
            <w:proofErr w:type="spellStart"/>
            <w:r w:rsidRPr="00DF4CE5">
              <w:rPr>
                <w:rFonts w:ascii="Cambria" w:eastAsia="Times New Roman" w:hAnsi="Cambria" w:cs="Calibri"/>
                <w:lang w:val="hr-HR"/>
              </w:rPr>
              <w:t>Reading</w:t>
            </w:r>
            <w:proofErr w:type="spellEnd"/>
            <w:r w:rsidRPr="00DF4CE5">
              <w:rPr>
                <w:rFonts w:ascii="Cambria" w:eastAsia="Times New Roman" w:hAnsi="Cambria" w:cs="Calibri"/>
                <w:lang w:val="hr-HR"/>
              </w:rPr>
              <w:t xml:space="preserve"> </w:t>
            </w:r>
            <w:proofErr w:type="spellStart"/>
            <w:r w:rsidRPr="00DF4CE5">
              <w:rPr>
                <w:rFonts w:ascii="Cambria" w:eastAsia="Times New Roman" w:hAnsi="Cambria" w:cs="Calibri"/>
                <w:lang w:val="hr-HR"/>
              </w:rPr>
              <w:t>and</w:t>
            </w:r>
            <w:proofErr w:type="spellEnd"/>
            <w:r w:rsidRPr="00DF4CE5">
              <w:rPr>
                <w:rFonts w:ascii="Cambria" w:eastAsia="Times New Roman" w:hAnsi="Cambria" w:cs="Calibri"/>
                <w:lang w:val="hr-HR"/>
              </w:rPr>
              <w:t xml:space="preserve"> </w:t>
            </w:r>
            <w:proofErr w:type="spellStart"/>
            <w:r w:rsidRPr="00DF4CE5">
              <w:rPr>
                <w:rFonts w:ascii="Cambria" w:eastAsia="Times New Roman" w:hAnsi="Cambria" w:cs="Calibri"/>
                <w:lang w:val="hr-HR"/>
              </w:rPr>
              <w:t>Writing</w:t>
            </w:r>
            <w:proofErr w:type="spellEnd"/>
            <w:r w:rsidRPr="00DF4CE5">
              <w:rPr>
                <w:rFonts w:ascii="Cambria" w:eastAsia="Times New Roman" w:hAnsi="Cambria" w:cs="Calibri"/>
                <w:lang w:val="hr-HR"/>
              </w:rPr>
              <w:t xml:space="preserve"> for </w:t>
            </w:r>
            <w:proofErr w:type="spellStart"/>
            <w:r w:rsidRPr="00DF4CE5">
              <w:rPr>
                <w:rFonts w:ascii="Cambria" w:eastAsia="Times New Roman" w:hAnsi="Cambria" w:cs="Calibri"/>
                <w:lang w:val="hr-HR"/>
              </w:rPr>
              <w:t>Academic</w:t>
            </w:r>
            <w:proofErr w:type="spellEnd"/>
            <w:r w:rsidRPr="00DF4CE5">
              <w:rPr>
                <w:rFonts w:ascii="Cambria" w:eastAsia="Times New Roman" w:hAnsi="Cambria" w:cs="Calibri"/>
                <w:lang w:val="hr-HR"/>
              </w:rPr>
              <w:t xml:space="preserve"> </w:t>
            </w:r>
            <w:proofErr w:type="spellStart"/>
            <w:r w:rsidRPr="00DF4CE5">
              <w:rPr>
                <w:rFonts w:ascii="Cambria" w:eastAsia="Times New Roman" w:hAnsi="Cambria" w:cs="Calibri"/>
                <w:lang w:val="hr-HR"/>
              </w:rPr>
              <w:t>Success</w:t>
            </w:r>
            <w:proofErr w:type="spellEnd"/>
            <w:r w:rsidRPr="00DF4CE5">
              <w:rPr>
                <w:rFonts w:ascii="Cambria" w:eastAsia="Times New Roman" w:hAnsi="Cambria" w:cs="Calibri"/>
                <w:lang w:val="hr-HR"/>
              </w:rPr>
              <w:t xml:space="preserve">, Ann </w:t>
            </w:r>
            <w:proofErr w:type="spellStart"/>
            <w:r w:rsidRPr="00DF4CE5">
              <w:rPr>
                <w:rFonts w:ascii="Cambria" w:eastAsia="Times New Roman" w:hAnsi="Cambria" w:cs="Calibri"/>
                <w:lang w:val="hr-HR"/>
              </w:rPr>
              <w:t>Arbor</w:t>
            </w:r>
            <w:proofErr w:type="spellEnd"/>
            <w:r w:rsidRPr="00DF4CE5">
              <w:rPr>
                <w:rFonts w:ascii="Cambria" w:eastAsia="Times New Roman" w:hAnsi="Cambria" w:cs="Calibri"/>
                <w:lang w:val="hr-HR"/>
              </w:rPr>
              <w:t xml:space="preserve">: University </w:t>
            </w:r>
            <w:proofErr w:type="spellStart"/>
            <w:r w:rsidRPr="00DF4CE5">
              <w:rPr>
                <w:rFonts w:ascii="Cambria" w:eastAsia="Times New Roman" w:hAnsi="Cambria" w:cs="Calibri"/>
                <w:lang w:val="hr-HR"/>
              </w:rPr>
              <w:t>of</w:t>
            </w:r>
            <w:proofErr w:type="spellEnd"/>
            <w:r w:rsidRPr="00DF4CE5">
              <w:rPr>
                <w:rFonts w:ascii="Cambria" w:eastAsia="Times New Roman" w:hAnsi="Cambria" w:cs="Calibri"/>
                <w:lang w:val="hr-HR"/>
              </w:rPr>
              <w:t xml:space="preserve"> Michigan Press</w:t>
            </w:r>
          </w:p>
          <w:p w14:paraId="41ECFF90" w14:textId="77777777" w:rsidR="00F31554" w:rsidRPr="00DF4CE5" w:rsidRDefault="00F31554" w:rsidP="00A034E3">
            <w:pPr>
              <w:numPr>
                <w:ilvl w:val="0"/>
                <w:numId w:val="44"/>
              </w:numPr>
              <w:spacing w:after="0" w:line="240" w:lineRule="auto"/>
              <w:jc w:val="both"/>
              <w:rPr>
                <w:rFonts w:ascii="Cambria" w:eastAsia="Times New Roman" w:hAnsi="Cambria" w:cs="Times New Roman"/>
                <w:lang w:val="hr-HR"/>
              </w:rPr>
            </w:pPr>
            <w:proofErr w:type="spellStart"/>
            <w:r w:rsidRPr="00DF4CE5">
              <w:rPr>
                <w:rFonts w:ascii="Cambria" w:eastAsia="Times New Roman" w:hAnsi="Cambria" w:cs="Times New Roman"/>
                <w:lang w:val="hr-HR"/>
              </w:rPr>
              <w:t>Reppen</w:t>
            </w:r>
            <w:proofErr w:type="spellEnd"/>
            <w:r w:rsidRPr="00DF4CE5">
              <w:rPr>
                <w:rFonts w:ascii="Cambria" w:eastAsia="Times New Roman" w:hAnsi="Cambria" w:cs="Times New Roman"/>
                <w:lang w:val="hr-HR"/>
              </w:rPr>
              <w:t xml:space="preserve">, R. (2011). </w:t>
            </w:r>
            <w:proofErr w:type="spellStart"/>
            <w:r w:rsidRPr="00DF4CE5">
              <w:rPr>
                <w:rFonts w:ascii="Cambria" w:eastAsia="Times New Roman" w:hAnsi="Cambria" w:cs="Times New Roman"/>
                <w:lang w:val="hr-HR"/>
              </w:rPr>
              <w:t>Grammar</w:t>
            </w:r>
            <w:proofErr w:type="spellEnd"/>
            <w:r w:rsidRPr="00DF4CE5">
              <w:rPr>
                <w:rFonts w:ascii="Cambria" w:eastAsia="Times New Roman" w:hAnsi="Cambria" w:cs="Times New Roman"/>
                <w:lang w:val="hr-HR"/>
              </w:rPr>
              <w:t xml:space="preserve"> </w:t>
            </w:r>
            <w:proofErr w:type="spellStart"/>
            <w:r w:rsidRPr="00DF4CE5">
              <w:rPr>
                <w:rFonts w:ascii="Cambria" w:eastAsia="Times New Roman" w:hAnsi="Cambria" w:cs="Times New Roman"/>
                <w:lang w:val="hr-HR"/>
              </w:rPr>
              <w:t>And</w:t>
            </w:r>
            <w:proofErr w:type="spellEnd"/>
            <w:r w:rsidRPr="00DF4CE5">
              <w:rPr>
                <w:rFonts w:ascii="Cambria" w:eastAsia="Times New Roman" w:hAnsi="Cambria" w:cs="Times New Roman"/>
                <w:lang w:val="hr-HR"/>
              </w:rPr>
              <w:t xml:space="preserve"> </w:t>
            </w:r>
            <w:proofErr w:type="spellStart"/>
            <w:r w:rsidRPr="00DF4CE5">
              <w:rPr>
                <w:rFonts w:ascii="Cambria" w:eastAsia="Times New Roman" w:hAnsi="Cambria" w:cs="Times New Roman"/>
                <w:lang w:val="hr-HR"/>
              </w:rPr>
              <w:t>Beyond</w:t>
            </w:r>
            <w:proofErr w:type="spellEnd"/>
            <w:r w:rsidRPr="00DF4CE5">
              <w:rPr>
                <w:rFonts w:ascii="Cambria" w:eastAsia="Times New Roman" w:hAnsi="Cambria" w:cs="Times New Roman"/>
                <w:lang w:val="hr-HR"/>
              </w:rPr>
              <w:t xml:space="preserve">  4 , Cambridge UP</w:t>
            </w:r>
          </w:p>
          <w:p w14:paraId="3C151772" w14:textId="77777777" w:rsidR="00F31554" w:rsidRPr="00DF4CE5" w:rsidRDefault="00F31554" w:rsidP="00A034E3">
            <w:pPr>
              <w:numPr>
                <w:ilvl w:val="0"/>
                <w:numId w:val="44"/>
              </w:num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Council </w:t>
            </w:r>
            <w:proofErr w:type="spellStart"/>
            <w:r w:rsidRPr="00DF4CE5">
              <w:rPr>
                <w:rFonts w:ascii="Cambria" w:eastAsia="Times New Roman" w:hAnsi="Cambria" w:cs="Calibri"/>
                <w:lang w:val="hr-HR"/>
              </w:rPr>
              <w:t>of</w:t>
            </w:r>
            <w:proofErr w:type="spellEnd"/>
            <w:r w:rsidRPr="00DF4CE5">
              <w:rPr>
                <w:rFonts w:ascii="Cambria" w:eastAsia="Times New Roman" w:hAnsi="Cambria" w:cs="Calibri"/>
                <w:lang w:val="hr-HR"/>
              </w:rPr>
              <w:t xml:space="preserve"> Europe (2003). </w:t>
            </w:r>
            <w:proofErr w:type="spellStart"/>
            <w:r w:rsidRPr="00DF4CE5">
              <w:rPr>
                <w:rFonts w:ascii="Cambria" w:eastAsia="Times New Roman" w:hAnsi="Cambria" w:cs="Calibri"/>
                <w:lang w:val="hr-HR"/>
              </w:rPr>
              <w:t>Common</w:t>
            </w:r>
            <w:proofErr w:type="spellEnd"/>
            <w:r w:rsidRPr="00DF4CE5">
              <w:rPr>
                <w:rFonts w:ascii="Cambria" w:eastAsia="Times New Roman" w:hAnsi="Cambria" w:cs="Calibri"/>
                <w:lang w:val="hr-HR"/>
              </w:rPr>
              <w:t xml:space="preserve"> </w:t>
            </w:r>
            <w:proofErr w:type="spellStart"/>
            <w:r w:rsidRPr="00DF4CE5">
              <w:rPr>
                <w:rFonts w:ascii="Cambria" w:eastAsia="Times New Roman" w:hAnsi="Cambria" w:cs="Calibri"/>
                <w:lang w:val="hr-HR"/>
              </w:rPr>
              <w:t>Euopean</w:t>
            </w:r>
            <w:proofErr w:type="spellEnd"/>
            <w:r w:rsidRPr="00DF4CE5">
              <w:rPr>
                <w:rFonts w:ascii="Cambria" w:eastAsia="Times New Roman" w:hAnsi="Cambria" w:cs="Calibri"/>
                <w:lang w:val="hr-HR"/>
              </w:rPr>
              <w:t xml:space="preserve"> Framework </w:t>
            </w:r>
            <w:proofErr w:type="spellStart"/>
            <w:r w:rsidRPr="00DF4CE5">
              <w:rPr>
                <w:rFonts w:ascii="Cambria" w:eastAsia="Times New Roman" w:hAnsi="Cambria" w:cs="Calibri"/>
                <w:lang w:val="hr-HR"/>
              </w:rPr>
              <w:t>of</w:t>
            </w:r>
            <w:proofErr w:type="spellEnd"/>
            <w:r w:rsidRPr="00DF4CE5">
              <w:rPr>
                <w:rFonts w:ascii="Cambria" w:eastAsia="Times New Roman" w:hAnsi="Cambria" w:cs="Calibri"/>
                <w:lang w:val="hr-HR"/>
              </w:rPr>
              <w:t xml:space="preserve"> Reference for </w:t>
            </w:r>
            <w:proofErr w:type="spellStart"/>
            <w:r w:rsidRPr="00DF4CE5">
              <w:rPr>
                <w:rFonts w:ascii="Cambria" w:eastAsia="Times New Roman" w:hAnsi="Cambria" w:cs="Calibri"/>
                <w:lang w:val="hr-HR"/>
              </w:rPr>
              <w:t>Languages</w:t>
            </w:r>
            <w:proofErr w:type="spellEnd"/>
            <w:r w:rsidRPr="00DF4CE5">
              <w:rPr>
                <w:rFonts w:ascii="Cambria" w:eastAsia="Times New Roman" w:hAnsi="Cambria" w:cs="Calibri"/>
                <w:lang w:val="hr-HR"/>
              </w:rPr>
              <w:t xml:space="preserve">: </w:t>
            </w:r>
            <w:proofErr w:type="spellStart"/>
            <w:r w:rsidRPr="00DF4CE5">
              <w:rPr>
                <w:rFonts w:ascii="Cambria" w:eastAsia="Times New Roman" w:hAnsi="Cambria" w:cs="Calibri"/>
                <w:lang w:val="hr-HR"/>
              </w:rPr>
              <w:t>Learning</w:t>
            </w:r>
            <w:proofErr w:type="spellEnd"/>
            <w:r w:rsidRPr="00DF4CE5">
              <w:rPr>
                <w:rFonts w:ascii="Cambria" w:eastAsia="Times New Roman" w:hAnsi="Cambria" w:cs="Calibri"/>
                <w:lang w:val="hr-HR"/>
              </w:rPr>
              <w:t xml:space="preserve">, </w:t>
            </w:r>
            <w:proofErr w:type="spellStart"/>
            <w:r w:rsidRPr="00DF4CE5">
              <w:rPr>
                <w:rFonts w:ascii="Cambria" w:eastAsia="Times New Roman" w:hAnsi="Cambria" w:cs="Calibri"/>
                <w:lang w:val="hr-HR"/>
              </w:rPr>
              <w:t>teaching</w:t>
            </w:r>
            <w:proofErr w:type="spellEnd"/>
            <w:r w:rsidRPr="00DF4CE5">
              <w:rPr>
                <w:rFonts w:ascii="Cambria" w:eastAsia="Times New Roman" w:hAnsi="Cambria" w:cs="Calibri"/>
                <w:lang w:val="hr-HR"/>
              </w:rPr>
              <w:t xml:space="preserve">, </w:t>
            </w:r>
            <w:proofErr w:type="spellStart"/>
            <w:r w:rsidRPr="00DF4CE5">
              <w:rPr>
                <w:rFonts w:ascii="Cambria" w:eastAsia="Times New Roman" w:hAnsi="Cambria" w:cs="Calibri"/>
                <w:lang w:val="hr-HR"/>
              </w:rPr>
              <w:t>assessment</w:t>
            </w:r>
            <w:proofErr w:type="spellEnd"/>
            <w:r w:rsidRPr="00DF4CE5">
              <w:rPr>
                <w:rFonts w:ascii="Cambria" w:eastAsia="Times New Roman" w:hAnsi="Cambria" w:cs="Calibri"/>
                <w:lang w:val="hr-HR"/>
              </w:rPr>
              <w:t xml:space="preserve">, </w:t>
            </w:r>
            <w:proofErr w:type="spellStart"/>
            <w:r w:rsidRPr="00DF4CE5">
              <w:rPr>
                <w:rFonts w:ascii="Cambria" w:eastAsia="Times New Roman" w:hAnsi="Cambria" w:cs="Calibri"/>
                <w:lang w:val="hr-HR"/>
              </w:rPr>
              <w:t>Language</w:t>
            </w:r>
            <w:proofErr w:type="spellEnd"/>
            <w:r w:rsidRPr="00DF4CE5">
              <w:rPr>
                <w:rFonts w:ascii="Cambria" w:eastAsia="Times New Roman" w:hAnsi="Cambria" w:cs="Calibri"/>
                <w:lang w:val="hr-HR"/>
              </w:rPr>
              <w:t xml:space="preserve"> </w:t>
            </w:r>
            <w:proofErr w:type="spellStart"/>
            <w:r w:rsidRPr="00DF4CE5">
              <w:rPr>
                <w:rFonts w:ascii="Cambria" w:eastAsia="Times New Roman" w:hAnsi="Cambria" w:cs="Calibri"/>
                <w:lang w:val="hr-HR"/>
              </w:rPr>
              <w:t>Policy</w:t>
            </w:r>
            <w:proofErr w:type="spellEnd"/>
            <w:r w:rsidRPr="00DF4CE5">
              <w:rPr>
                <w:rFonts w:ascii="Cambria" w:eastAsia="Times New Roman" w:hAnsi="Cambria" w:cs="Calibri"/>
                <w:lang w:val="hr-HR"/>
              </w:rPr>
              <w:t xml:space="preserve"> </w:t>
            </w:r>
            <w:proofErr w:type="spellStart"/>
            <w:r w:rsidRPr="00DF4CE5">
              <w:rPr>
                <w:rFonts w:ascii="Cambria" w:eastAsia="Times New Roman" w:hAnsi="Cambria" w:cs="Calibri"/>
                <w:lang w:val="hr-HR"/>
              </w:rPr>
              <w:t>Division</w:t>
            </w:r>
            <w:proofErr w:type="spellEnd"/>
            <w:r w:rsidRPr="00DF4CE5">
              <w:rPr>
                <w:rFonts w:ascii="Cambria" w:eastAsia="Times New Roman" w:hAnsi="Cambria" w:cs="Calibri"/>
                <w:lang w:val="hr-HR"/>
              </w:rPr>
              <w:t xml:space="preserve">, Council </w:t>
            </w:r>
            <w:proofErr w:type="spellStart"/>
            <w:r w:rsidRPr="00DF4CE5">
              <w:rPr>
                <w:rFonts w:ascii="Cambria" w:eastAsia="Times New Roman" w:hAnsi="Cambria" w:cs="Calibri"/>
                <w:lang w:val="hr-HR"/>
              </w:rPr>
              <w:t>of</w:t>
            </w:r>
            <w:proofErr w:type="spellEnd"/>
            <w:r w:rsidRPr="00DF4CE5">
              <w:rPr>
                <w:rFonts w:ascii="Cambria" w:eastAsia="Times New Roman" w:hAnsi="Cambria" w:cs="Calibri"/>
                <w:lang w:val="hr-HR"/>
              </w:rPr>
              <w:t xml:space="preserve"> Europe, Strasbourg (</w:t>
            </w:r>
            <w:proofErr w:type="spellStart"/>
            <w:r w:rsidRPr="00DF4CE5">
              <w:rPr>
                <w:rFonts w:ascii="Cambria" w:eastAsia="Times New Roman" w:hAnsi="Cambria" w:cs="Calibri"/>
                <w:lang w:val="hr-HR"/>
              </w:rPr>
              <w:t>electronic</w:t>
            </w:r>
            <w:proofErr w:type="spellEnd"/>
            <w:r w:rsidRPr="00DF4CE5">
              <w:rPr>
                <w:rFonts w:ascii="Cambria" w:eastAsia="Times New Roman" w:hAnsi="Cambria" w:cs="Calibri"/>
                <w:lang w:val="hr-HR"/>
              </w:rPr>
              <w:t xml:space="preserve"> </w:t>
            </w:r>
            <w:proofErr w:type="spellStart"/>
            <w:r w:rsidRPr="00DF4CE5">
              <w:rPr>
                <w:rFonts w:ascii="Cambria" w:eastAsia="Times New Roman" w:hAnsi="Cambria" w:cs="Calibri"/>
                <w:lang w:val="hr-HR"/>
              </w:rPr>
              <w:t>version</w:t>
            </w:r>
            <w:proofErr w:type="spellEnd"/>
            <w:r w:rsidRPr="00DF4CE5">
              <w:rPr>
                <w:rFonts w:ascii="Cambria" w:eastAsia="Times New Roman" w:hAnsi="Cambria" w:cs="Calibri"/>
                <w:lang w:val="hr-HR"/>
              </w:rPr>
              <w:t>)</w:t>
            </w:r>
          </w:p>
          <w:p w14:paraId="10314BFB" w14:textId="77777777" w:rsidR="00F31554" w:rsidRPr="00DF4CE5" w:rsidRDefault="00F31554"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Priručna:</w:t>
            </w:r>
          </w:p>
          <w:p w14:paraId="4E3C8E4F" w14:textId="77777777" w:rsidR="00F31554" w:rsidRPr="00DF4CE5" w:rsidRDefault="00F31554" w:rsidP="00A034E3">
            <w:pPr>
              <w:numPr>
                <w:ilvl w:val="0"/>
                <w:numId w:val="45"/>
              </w:numPr>
              <w:spacing w:after="0" w:line="240" w:lineRule="auto"/>
              <w:jc w:val="both"/>
              <w:rPr>
                <w:rFonts w:ascii="Cambria" w:eastAsia="Times New Roman" w:hAnsi="Cambria" w:cs="Calibri"/>
                <w:lang w:val="hr-HR"/>
              </w:rPr>
            </w:pPr>
            <w:r w:rsidRPr="00DF4CE5">
              <w:rPr>
                <w:rFonts w:ascii="Cambria" w:eastAsia="Times New Roman" w:hAnsi="Cambria" w:cs="Calibri"/>
                <w:lang w:val="hr-HR"/>
              </w:rPr>
              <w:t>Razni izvorni tekstovi iz stručne literature</w:t>
            </w:r>
          </w:p>
          <w:p w14:paraId="042C5A66" w14:textId="77777777" w:rsidR="00F31554" w:rsidRPr="00DF4CE5" w:rsidRDefault="00F31554" w:rsidP="00A034E3">
            <w:pPr>
              <w:numPr>
                <w:ilvl w:val="0"/>
                <w:numId w:val="45"/>
              </w:numPr>
              <w:spacing w:after="0" w:line="240" w:lineRule="auto"/>
              <w:jc w:val="both"/>
              <w:rPr>
                <w:rFonts w:ascii="Cambria" w:eastAsia="Times New Roman" w:hAnsi="Cambria" w:cs="Times New Roman"/>
                <w:lang w:val="hr-HR"/>
              </w:rPr>
            </w:pPr>
            <w:r w:rsidRPr="00DF4CE5">
              <w:rPr>
                <w:rFonts w:ascii="Cambria" w:eastAsia="Times New Roman" w:hAnsi="Cambria" w:cs="Times New Roman"/>
                <w:lang w:val="hr-HR"/>
              </w:rPr>
              <w:t>http://www.phrasebank.manchester.ac.uk/</w:t>
            </w:r>
          </w:p>
          <w:p w14:paraId="3494AB89" w14:textId="77777777" w:rsidR="00F31554" w:rsidRPr="00DF4CE5" w:rsidRDefault="00F31554" w:rsidP="008B34AF">
            <w:pPr>
              <w:spacing w:after="0" w:line="240" w:lineRule="auto"/>
              <w:jc w:val="both"/>
              <w:rPr>
                <w:rFonts w:ascii="Cambria" w:eastAsia="Times New Roman" w:hAnsi="Cambria" w:cs="Calibri"/>
                <w:lang w:val="hr-HR"/>
              </w:rPr>
            </w:pPr>
          </w:p>
        </w:tc>
      </w:tr>
    </w:tbl>
    <w:p w14:paraId="07E37208" w14:textId="77777777" w:rsidR="00120778" w:rsidRPr="00DF4CE5" w:rsidRDefault="00120778" w:rsidP="008B34AF">
      <w:pPr>
        <w:jc w:val="both"/>
        <w:rPr>
          <w:rFonts w:ascii="Cambria" w:hAnsi="Cambria"/>
          <w:lang w:val="hr-HR"/>
        </w:rPr>
      </w:pPr>
    </w:p>
    <w:p w14:paraId="02F5A534" w14:textId="2AFFD3A2" w:rsidR="00F31554" w:rsidRPr="00DF4CE5" w:rsidRDefault="00AF0D71" w:rsidP="00830554">
      <w:pPr>
        <w:rPr>
          <w:rFonts w:ascii="Cambria" w:hAnsi="Cambria"/>
          <w:lang w:val="hr-HR"/>
        </w:rPr>
      </w:pPr>
      <w:r>
        <w:rPr>
          <w:rFonts w:ascii="Cambria" w:hAnsi="Cambria"/>
          <w:lang w:val="hr-HR"/>
        </w:rPr>
        <w:br w:type="page"/>
      </w:r>
    </w:p>
    <w:tbl>
      <w:tblPr>
        <w:tblW w:w="5000" w:type="pct"/>
        <w:tblLayout w:type="fixed"/>
        <w:tblCellMar>
          <w:left w:w="0" w:type="dxa"/>
          <w:right w:w="0" w:type="dxa"/>
        </w:tblCellMar>
        <w:tblLook w:val="0600" w:firstRow="0" w:lastRow="0" w:firstColumn="0" w:lastColumn="0" w:noHBand="1" w:noVBand="1"/>
      </w:tblPr>
      <w:tblGrid>
        <w:gridCol w:w="2616"/>
        <w:gridCol w:w="2482"/>
        <w:gridCol w:w="98"/>
        <w:gridCol w:w="1092"/>
        <w:gridCol w:w="280"/>
        <w:gridCol w:w="440"/>
        <w:gridCol w:w="1013"/>
        <w:gridCol w:w="1319"/>
      </w:tblGrid>
      <w:tr w:rsidR="001457BE" w:rsidRPr="00DF4CE5" w14:paraId="1AD3AB6D" w14:textId="77777777" w:rsidTr="00891E8C">
        <w:tc>
          <w:tcPr>
            <w:tcW w:w="9052"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6A95FF9" w14:textId="77777777" w:rsidR="001457BE" w:rsidRPr="00DF4CE5" w:rsidRDefault="001457BE" w:rsidP="00891E8C">
            <w:pPr>
              <w:jc w:val="right"/>
              <w:rPr>
                <w:rFonts w:ascii="Cambria" w:hAnsi="Cambria" w:cs="Calibri"/>
                <w:b/>
              </w:rPr>
            </w:pPr>
            <w:r w:rsidRPr="00DF4CE5">
              <w:rPr>
                <w:rFonts w:ascii="Cambria" w:hAnsi="Cambria" w:cs="Calibri"/>
                <w:b/>
              </w:rPr>
              <w:lastRenderedPageBreak/>
              <w:t>IZVEDBENI PLAN NASTAVE KOLEGIJA</w:t>
            </w:r>
          </w:p>
        </w:tc>
      </w:tr>
      <w:tr w:rsidR="001457BE" w:rsidRPr="00DF4CE5" w14:paraId="74E57C73" w14:textId="77777777" w:rsidTr="00891E8C">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5643FE7" w14:textId="77777777" w:rsidR="001457BE" w:rsidRPr="00DF4CE5" w:rsidRDefault="001457BE" w:rsidP="001974E1">
            <w:pPr>
              <w:spacing w:after="0"/>
              <w:rPr>
                <w:rFonts w:ascii="Cambria" w:hAnsi="Cambria" w:cs="Calibri"/>
              </w:rPr>
            </w:pPr>
            <w:proofErr w:type="spellStart"/>
            <w:r w:rsidRPr="00DF4CE5">
              <w:rPr>
                <w:rFonts w:ascii="Cambria" w:hAnsi="Cambria" w:cs="Calibri"/>
              </w:rPr>
              <w:t>Kod</w:t>
            </w:r>
            <w:proofErr w:type="spellEnd"/>
            <w:r w:rsidRPr="00DF4CE5">
              <w:rPr>
                <w:rFonts w:ascii="Cambria" w:hAnsi="Cambria" w:cs="Calibri"/>
              </w:rPr>
              <w:t xml:space="preserve"> </w:t>
            </w:r>
            <w:proofErr w:type="spellStart"/>
            <w:r w:rsidRPr="00DF4CE5">
              <w:rPr>
                <w:rFonts w:ascii="Cambria" w:hAnsi="Cambria" w:cs="Calibri"/>
              </w:rPr>
              <w:t>i</w:t>
            </w:r>
            <w:proofErr w:type="spellEnd"/>
            <w:r w:rsidRPr="00DF4CE5">
              <w:rPr>
                <w:rFonts w:ascii="Cambria" w:hAnsi="Cambria" w:cs="Calibri"/>
              </w:rPr>
              <w:t xml:space="preserve"> </w:t>
            </w:r>
            <w:proofErr w:type="spellStart"/>
            <w:r w:rsidRPr="00DF4CE5">
              <w:rPr>
                <w:rFonts w:ascii="Cambria" w:hAnsi="Cambria" w:cs="Calibri"/>
              </w:rPr>
              <w:t>naziv</w:t>
            </w:r>
            <w:proofErr w:type="spellEnd"/>
            <w:r w:rsidRPr="00DF4CE5">
              <w:rPr>
                <w:rFonts w:ascii="Cambria" w:hAnsi="Cambria" w:cs="Calibri"/>
              </w:rPr>
              <w:t xml:space="preserve"> </w:t>
            </w:r>
            <w:proofErr w:type="spellStart"/>
            <w:r w:rsidRPr="00DF4CE5">
              <w:rPr>
                <w:rFonts w:ascii="Cambria" w:hAnsi="Cambria" w:cs="Calibri"/>
              </w:rPr>
              <w:t>kolegija</w:t>
            </w:r>
            <w:proofErr w:type="spellEnd"/>
          </w:p>
        </w:tc>
        <w:tc>
          <w:tcPr>
            <w:tcW w:w="651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1F44973" w14:textId="37522D7A" w:rsidR="001457BE" w:rsidRPr="00DF4CE5" w:rsidRDefault="001457BE" w:rsidP="001974E1">
            <w:pPr>
              <w:pStyle w:val="Default"/>
              <w:rPr>
                <w:rFonts w:ascii="Cambria" w:hAnsi="Cambria"/>
                <w:sz w:val="22"/>
                <w:szCs w:val="22"/>
              </w:rPr>
            </w:pPr>
            <w:r w:rsidRPr="00DF4CE5">
              <w:rPr>
                <w:rFonts w:ascii="Cambria" w:hAnsi="Cambria"/>
                <w:sz w:val="22"/>
                <w:szCs w:val="22"/>
              </w:rPr>
              <w:t xml:space="preserve">118958 </w:t>
            </w:r>
          </w:p>
          <w:p w14:paraId="03B29407" w14:textId="6195BE4F" w:rsidR="001457BE" w:rsidRPr="00DF4CE5" w:rsidRDefault="001457BE" w:rsidP="001974E1">
            <w:pPr>
              <w:spacing w:after="0"/>
              <w:rPr>
                <w:rFonts w:ascii="Cambria" w:hAnsi="Cambria" w:cs="Calibri"/>
              </w:rPr>
            </w:pPr>
            <w:proofErr w:type="spellStart"/>
            <w:r w:rsidRPr="00DF4CE5">
              <w:rPr>
                <w:rFonts w:ascii="Cambria" w:hAnsi="Cambria"/>
              </w:rPr>
              <w:t>Metodika</w:t>
            </w:r>
            <w:proofErr w:type="spellEnd"/>
            <w:r w:rsidRPr="00DF4CE5">
              <w:rPr>
                <w:rFonts w:ascii="Cambria" w:hAnsi="Cambria"/>
              </w:rPr>
              <w:t xml:space="preserve"> </w:t>
            </w:r>
            <w:proofErr w:type="spellStart"/>
            <w:r w:rsidRPr="00DF4CE5">
              <w:rPr>
                <w:rFonts w:ascii="Cambria" w:hAnsi="Cambria"/>
              </w:rPr>
              <w:t>nastave</w:t>
            </w:r>
            <w:proofErr w:type="spellEnd"/>
            <w:r w:rsidRPr="00DF4CE5">
              <w:rPr>
                <w:rFonts w:ascii="Cambria" w:hAnsi="Cambria"/>
              </w:rPr>
              <w:t xml:space="preserve"> </w:t>
            </w:r>
            <w:proofErr w:type="spellStart"/>
            <w:r w:rsidRPr="00DF4CE5">
              <w:rPr>
                <w:rFonts w:ascii="Cambria" w:hAnsi="Cambria"/>
              </w:rPr>
              <w:t>informatike</w:t>
            </w:r>
            <w:proofErr w:type="spellEnd"/>
            <w:r w:rsidRPr="00DF4CE5">
              <w:rPr>
                <w:rFonts w:ascii="Cambria" w:hAnsi="Cambria"/>
              </w:rPr>
              <w:t xml:space="preserve"> II</w:t>
            </w:r>
          </w:p>
        </w:tc>
      </w:tr>
      <w:tr w:rsidR="001457BE" w:rsidRPr="00DF4CE5" w14:paraId="33C48B67" w14:textId="77777777" w:rsidTr="00891E8C">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2E4328D" w14:textId="77777777" w:rsidR="001457BE" w:rsidRPr="00DF4CE5" w:rsidRDefault="001457BE" w:rsidP="001974E1">
            <w:pPr>
              <w:spacing w:after="0"/>
              <w:rPr>
                <w:rFonts w:ascii="Cambria" w:hAnsi="Cambria" w:cs="Calibri"/>
              </w:rPr>
            </w:pPr>
            <w:proofErr w:type="spellStart"/>
            <w:r w:rsidRPr="00DF4CE5">
              <w:rPr>
                <w:rFonts w:ascii="Cambria" w:hAnsi="Cambria" w:cs="Calibri"/>
              </w:rPr>
              <w:t>Nastavnica</w:t>
            </w:r>
            <w:proofErr w:type="spellEnd"/>
            <w:r w:rsidRPr="00DF4CE5">
              <w:rPr>
                <w:rFonts w:ascii="Cambria" w:hAnsi="Cambria" w:cs="Calibri"/>
              </w:rPr>
              <w:t xml:space="preserve"> </w:t>
            </w:r>
          </w:p>
          <w:p w14:paraId="27741EEB" w14:textId="77777777" w:rsidR="001457BE" w:rsidRPr="00DF4CE5" w:rsidRDefault="001457BE" w:rsidP="001974E1">
            <w:pPr>
              <w:spacing w:after="0"/>
              <w:rPr>
                <w:rFonts w:ascii="Cambria" w:hAnsi="Cambria" w:cs="Calibri"/>
              </w:rPr>
            </w:pPr>
            <w:proofErr w:type="spellStart"/>
            <w:r w:rsidRPr="00DF4CE5">
              <w:rPr>
                <w:rFonts w:ascii="Cambria" w:hAnsi="Cambria" w:cs="Calibri"/>
              </w:rPr>
              <w:t>Suradnik</w:t>
            </w:r>
            <w:proofErr w:type="spellEnd"/>
          </w:p>
        </w:tc>
        <w:tc>
          <w:tcPr>
            <w:tcW w:w="651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358A915" w14:textId="2FE97D14" w:rsidR="001457BE" w:rsidRPr="00DF4CE5" w:rsidRDefault="00F23CC9" w:rsidP="001974E1">
            <w:pPr>
              <w:spacing w:after="0" w:line="240" w:lineRule="auto"/>
              <w:rPr>
                <w:rFonts w:ascii="Cambria" w:eastAsia="Times New Roman" w:hAnsi="Cambria" w:cs="Times New Roman"/>
                <w:lang w:val="hr-HR"/>
              </w:rPr>
            </w:pPr>
            <w:hyperlink r:id="rId172" w:history="1">
              <w:r w:rsidRPr="00F23CC9">
                <w:rPr>
                  <w:rStyle w:val="Hiperveza"/>
                  <w:rFonts w:ascii="Cambria" w:eastAsia="Times New Roman" w:hAnsi="Cambria" w:cs="Times New Roman"/>
                  <w:lang w:val="hr-HR"/>
                </w:rPr>
                <w:t>P</w:t>
              </w:r>
              <w:r w:rsidR="001457BE" w:rsidRPr="00F23CC9">
                <w:rPr>
                  <w:rStyle w:val="Hiperveza"/>
                  <w:rFonts w:ascii="Cambria" w:eastAsia="Times New Roman" w:hAnsi="Cambria" w:cs="Times New Roman"/>
                  <w:lang w:val="hr-HR"/>
                </w:rPr>
                <w:t>rof. dr. sc. Maja Ružić</w:t>
              </w:r>
            </w:hyperlink>
            <w:r>
              <w:rPr>
                <w:rFonts w:ascii="Cambria" w:eastAsia="Times New Roman" w:hAnsi="Cambria" w:cs="Times New Roman"/>
                <w:lang w:val="hr-HR"/>
              </w:rPr>
              <w:t xml:space="preserve"> (nositeljica) </w:t>
            </w:r>
          </w:p>
          <w:p w14:paraId="2CD2F317" w14:textId="1059D127" w:rsidR="001457BE" w:rsidRPr="00DF4CE5" w:rsidRDefault="001457BE" w:rsidP="001974E1">
            <w:pPr>
              <w:spacing w:after="0"/>
              <w:rPr>
                <w:rFonts w:ascii="Cambria" w:hAnsi="Cambria" w:cs="Calibri"/>
              </w:rPr>
            </w:pPr>
            <w:hyperlink r:id="rId173" w:history="1">
              <w:r w:rsidRPr="00F23CC9">
                <w:rPr>
                  <w:rStyle w:val="Hiperveza"/>
                  <w:rFonts w:ascii="Cambria" w:eastAsia="Calibri" w:hAnsi="Cambria" w:cs="Calibri"/>
                  <w:lang w:val="hr-HR"/>
                </w:rPr>
                <w:t xml:space="preserve">Janko </w:t>
              </w:r>
              <w:proofErr w:type="spellStart"/>
              <w:r w:rsidRPr="00F23CC9">
                <w:rPr>
                  <w:rStyle w:val="Hiperveza"/>
                  <w:rFonts w:ascii="Cambria" w:eastAsia="Calibri" w:hAnsi="Cambria" w:cs="Calibri"/>
                  <w:lang w:val="hr-HR"/>
                </w:rPr>
                <w:t>Žufić</w:t>
              </w:r>
              <w:proofErr w:type="spellEnd"/>
              <w:r w:rsidRPr="00F23CC9">
                <w:rPr>
                  <w:rStyle w:val="Hiperveza"/>
                  <w:rFonts w:ascii="Cambria" w:eastAsia="Calibri" w:hAnsi="Cambria" w:cs="Calibri"/>
                  <w:lang w:val="hr-HR"/>
                </w:rPr>
                <w:t>, v. pred.</w:t>
              </w:r>
            </w:hyperlink>
          </w:p>
        </w:tc>
      </w:tr>
      <w:tr w:rsidR="001457BE" w:rsidRPr="00D0399C" w14:paraId="3F38967D" w14:textId="77777777" w:rsidTr="00891E8C">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624C44A" w14:textId="77777777" w:rsidR="001457BE" w:rsidRPr="00DF4CE5" w:rsidRDefault="001457BE" w:rsidP="001974E1">
            <w:pPr>
              <w:spacing w:after="0"/>
              <w:rPr>
                <w:rFonts w:ascii="Cambria" w:hAnsi="Cambria" w:cs="Calibri"/>
              </w:rPr>
            </w:pPr>
            <w:proofErr w:type="spellStart"/>
            <w:r w:rsidRPr="00DF4CE5">
              <w:rPr>
                <w:rFonts w:ascii="Cambria" w:hAnsi="Cambria" w:cs="Calibri"/>
              </w:rPr>
              <w:t>Studijski</w:t>
            </w:r>
            <w:proofErr w:type="spellEnd"/>
            <w:r w:rsidRPr="00DF4CE5">
              <w:rPr>
                <w:rFonts w:ascii="Cambria" w:hAnsi="Cambria" w:cs="Calibri"/>
              </w:rPr>
              <w:t xml:space="preserve"> program</w:t>
            </w:r>
          </w:p>
        </w:tc>
        <w:tc>
          <w:tcPr>
            <w:tcW w:w="651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B8B0481" w14:textId="6CC83CB2" w:rsidR="001457BE" w:rsidRPr="00DF4CE5" w:rsidRDefault="00F23CC9" w:rsidP="001974E1">
            <w:pPr>
              <w:spacing w:after="0"/>
              <w:rPr>
                <w:rFonts w:ascii="Cambria" w:hAnsi="Cambria" w:cs="Calibri"/>
                <w:lang w:val="it-IT"/>
              </w:rPr>
            </w:pPr>
            <w:proofErr w:type="spellStart"/>
            <w:r>
              <w:rPr>
                <w:rFonts w:ascii="Cambria" w:hAnsi="Cambria" w:cs="Calibri"/>
                <w:lang w:val="it-IT"/>
              </w:rPr>
              <w:t>Sveučilišni</w:t>
            </w:r>
            <w:proofErr w:type="spellEnd"/>
            <w:r>
              <w:rPr>
                <w:rFonts w:ascii="Cambria" w:hAnsi="Cambria" w:cs="Calibri"/>
                <w:lang w:val="it-IT"/>
              </w:rPr>
              <w:t xml:space="preserve"> </w:t>
            </w:r>
            <w:proofErr w:type="spellStart"/>
            <w:r>
              <w:rPr>
                <w:rFonts w:ascii="Cambria" w:hAnsi="Cambria" w:cs="Calibri"/>
                <w:lang w:val="it-IT"/>
              </w:rPr>
              <w:t>i</w:t>
            </w:r>
            <w:r w:rsidR="001457BE" w:rsidRPr="00DF4CE5">
              <w:rPr>
                <w:rFonts w:ascii="Cambria" w:hAnsi="Cambria" w:cs="Calibri"/>
                <w:lang w:val="it-IT"/>
              </w:rPr>
              <w:t>ntegrirani</w:t>
            </w:r>
            <w:proofErr w:type="spellEnd"/>
            <w:r w:rsidR="001457BE" w:rsidRPr="00DF4CE5">
              <w:rPr>
                <w:rFonts w:ascii="Cambria" w:hAnsi="Cambria" w:cs="Calibri"/>
                <w:lang w:val="it-IT"/>
              </w:rPr>
              <w:t xml:space="preserve"> </w:t>
            </w:r>
            <w:proofErr w:type="spellStart"/>
            <w:r w:rsidR="001457BE" w:rsidRPr="00DF4CE5">
              <w:rPr>
                <w:rFonts w:ascii="Cambria" w:hAnsi="Cambria" w:cs="Calibri"/>
                <w:lang w:val="it-IT"/>
              </w:rPr>
              <w:t>preddiplomski</w:t>
            </w:r>
            <w:proofErr w:type="spellEnd"/>
            <w:r w:rsidR="001457BE" w:rsidRPr="00DF4CE5">
              <w:rPr>
                <w:rFonts w:ascii="Cambria" w:hAnsi="Cambria" w:cs="Calibri"/>
                <w:lang w:val="it-IT"/>
              </w:rPr>
              <w:t xml:space="preserve"> i </w:t>
            </w:r>
            <w:proofErr w:type="spellStart"/>
            <w:r w:rsidR="001457BE" w:rsidRPr="00DF4CE5">
              <w:rPr>
                <w:rFonts w:ascii="Cambria" w:hAnsi="Cambria" w:cs="Calibri"/>
                <w:lang w:val="it-IT"/>
              </w:rPr>
              <w:t>diplomski</w:t>
            </w:r>
            <w:proofErr w:type="spellEnd"/>
            <w:r w:rsidR="001457BE" w:rsidRPr="00DF4CE5">
              <w:rPr>
                <w:rFonts w:ascii="Cambria" w:hAnsi="Cambria" w:cs="Calibri"/>
                <w:lang w:val="it-IT"/>
              </w:rPr>
              <w:t xml:space="preserve"> </w:t>
            </w:r>
            <w:proofErr w:type="spellStart"/>
            <w:r w:rsidR="001457BE" w:rsidRPr="00DF4CE5">
              <w:rPr>
                <w:rFonts w:ascii="Cambria" w:hAnsi="Cambria" w:cs="Calibri"/>
                <w:lang w:val="it-IT"/>
              </w:rPr>
              <w:t>sveučilišni</w:t>
            </w:r>
            <w:proofErr w:type="spellEnd"/>
            <w:r w:rsidR="001457BE" w:rsidRPr="00DF4CE5">
              <w:rPr>
                <w:rFonts w:ascii="Cambria" w:hAnsi="Cambria" w:cs="Calibri"/>
                <w:lang w:val="it-IT"/>
              </w:rPr>
              <w:t xml:space="preserve"> </w:t>
            </w:r>
            <w:proofErr w:type="spellStart"/>
            <w:r w:rsidR="001457BE" w:rsidRPr="00DF4CE5">
              <w:rPr>
                <w:rFonts w:ascii="Cambria" w:hAnsi="Cambria" w:cs="Calibri"/>
                <w:lang w:val="it-IT"/>
              </w:rPr>
              <w:t>učiteljski</w:t>
            </w:r>
            <w:proofErr w:type="spellEnd"/>
            <w:r w:rsidR="001457BE" w:rsidRPr="00DF4CE5">
              <w:rPr>
                <w:rFonts w:ascii="Cambria" w:hAnsi="Cambria" w:cs="Calibri"/>
                <w:lang w:val="it-IT"/>
              </w:rPr>
              <w:t xml:space="preserve"> </w:t>
            </w:r>
            <w:proofErr w:type="spellStart"/>
            <w:r w:rsidR="001457BE" w:rsidRPr="00DF4CE5">
              <w:rPr>
                <w:rFonts w:ascii="Cambria" w:hAnsi="Cambria" w:cs="Calibri"/>
                <w:lang w:val="it-IT"/>
              </w:rPr>
              <w:t>studij</w:t>
            </w:r>
            <w:proofErr w:type="spellEnd"/>
          </w:p>
        </w:tc>
      </w:tr>
      <w:tr w:rsidR="001457BE" w:rsidRPr="00DF4CE5" w14:paraId="0A11DF8D" w14:textId="77777777" w:rsidTr="00891E8C">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8F21A24" w14:textId="77777777" w:rsidR="001457BE" w:rsidRPr="00DF4CE5" w:rsidRDefault="001457BE" w:rsidP="001974E1">
            <w:pPr>
              <w:spacing w:after="0"/>
              <w:rPr>
                <w:rFonts w:ascii="Cambria" w:hAnsi="Cambria" w:cs="Calibri"/>
              </w:rPr>
            </w:pPr>
            <w:proofErr w:type="spellStart"/>
            <w:r w:rsidRPr="00DF4CE5">
              <w:rPr>
                <w:rFonts w:ascii="Cambria" w:hAnsi="Cambria" w:cs="Calibri"/>
              </w:rPr>
              <w:t>Vrsta</w:t>
            </w:r>
            <w:proofErr w:type="spellEnd"/>
            <w:r w:rsidRPr="00DF4CE5">
              <w:rPr>
                <w:rFonts w:ascii="Cambria" w:hAnsi="Cambria" w:cs="Calibri"/>
              </w:rPr>
              <w:t xml:space="preserve"> </w:t>
            </w:r>
            <w:proofErr w:type="spellStart"/>
            <w:r w:rsidRPr="00DF4CE5">
              <w:rPr>
                <w:rFonts w:ascii="Cambria" w:hAnsi="Cambria" w:cs="Calibri"/>
              </w:rPr>
              <w:t>kolegija</w:t>
            </w:r>
            <w:proofErr w:type="spellEnd"/>
          </w:p>
        </w:tc>
        <w:tc>
          <w:tcPr>
            <w:tcW w:w="240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AE1C405" w14:textId="77777777" w:rsidR="001457BE" w:rsidRPr="00DF4CE5" w:rsidRDefault="001457BE" w:rsidP="001974E1">
            <w:pPr>
              <w:spacing w:after="0"/>
              <w:rPr>
                <w:rFonts w:ascii="Cambria" w:hAnsi="Cambria" w:cs="Calibri"/>
              </w:rPr>
            </w:pPr>
            <w:proofErr w:type="spellStart"/>
            <w:r w:rsidRPr="00DF4CE5">
              <w:rPr>
                <w:rFonts w:ascii="Cambria" w:hAnsi="Cambria" w:cs="Calibri"/>
              </w:rPr>
              <w:t>obvezan</w:t>
            </w:r>
            <w:proofErr w:type="spellEnd"/>
          </w:p>
        </w:tc>
        <w:tc>
          <w:tcPr>
            <w:tcW w:w="1424"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4229F837" w14:textId="77777777" w:rsidR="001457BE" w:rsidRPr="00DF4CE5" w:rsidRDefault="001457BE" w:rsidP="001974E1">
            <w:pPr>
              <w:spacing w:after="0"/>
              <w:rPr>
                <w:rFonts w:ascii="Cambria" w:hAnsi="Cambria" w:cs="Calibri"/>
              </w:rPr>
            </w:pPr>
            <w:r w:rsidRPr="00DF4CE5">
              <w:rPr>
                <w:rFonts w:ascii="Cambria" w:hAnsi="Cambria" w:cs="Calibri"/>
              </w:rPr>
              <w:t xml:space="preserve">Razina </w:t>
            </w:r>
            <w:proofErr w:type="spellStart"/>
            <w:r w:rsidRPr="00DF4CE5">
              <w:rPr>
                <w:rFonts w:ascii="Cambria" w:hAnsi="Cambria" w:cs="Calibri"/>
              </w:rPr>
              <w:t>kolegija</w:t>
            </w:r>
            <w:proofErr w:type="spellEnd"/>
          </w:p>
        </w:tc>
        <w:tc>
          <w:tcPr>
            <w:tcW w:w="2686"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F242E52" w14:textId="02DC2F6A" w:rsidR="001457BE" w:rsidRPr="00DF4CE5" w:rsidRDefault="001974E1" w:rsidP="001974E1">
            <w:pPr>
              <w:spacing w:after="0"/>
              <w:rPr>
                <w:rFonts w:ascii="Cambria" w:hAnsi="Cambria" w:cs="Calibri"/>
              </w:rPr>
            </w:pPr>
            <w:proofErr w:type="spellStart"/>
            <w:r w:rsidRPr="00DF4CE5">
              <w:rPr>
                <w:rFonts w:ascii="Cambria" w:hAnsi="Cambria" w:cs="Calibri"/>
                <w:lang w:val="de-DE"/>
              </w:rPr>
              <w:t>I</w:t>
            </w:r>
            <w:r w:rsidR="001457BE" w:rsidRPr="00DF4CE5">
              <w:rPr>
                <w:rFonts w:ascii="Cambria" w:hAnsi="Cambria" w:cs="Calibri"/>
                <w:lang w:val="de-DE"/>
              </w:rPr>
              <w:t>ntegrirani</w:t>
            </w:r>
            <w:proofErr w:type="spellEnd"/>
          </w:p>
        </w:tc>
      </w:tr>
      <w:tr w:rsidR="001457BE" w:rsidRPr="00DF4CE5" w14:paraId="6FB4309B" w14:textId="77777777" w:rsidTr="00891E8C">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AB9DCF1" w14:textId="77777777" w:rsidR="001457BE" w:rsidRPr="00DF4CE5" w:rsidRDefault="001457BE" w:rsidP="001974E1">
            <w:pPr>
              <w:spacing w:after="0"/>
              <w:rPr>
                <w:rFonts w:ascii="Cambria" w:hAnsi="Cambria" w:cs="Calibri"/>
              </w:rPr>
            </w:pPr>
            <w:proofErr w:type="spellStart"/>
            <w:r w:rsidRPr="00DF4CE5">
              <w:rPr>
                <w:rFonts w:ascii="Cambria" w:hAnsi="Cambria" w:cs="Calibri"/>
              </w:rPr>
              <w:t>Semestar</w:t>
            </w:r>
            <w:proofErr w:type="spellEnd"/>
          </w:p>
        </w:tc>
        <w:tc>
          <w:tcPr>
            <w:tcW w:w="240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75DF6A5" w14:textId="77777777" w:rsidR="001457BE" w:rsidRPr="00DF4CE5" w:rsidRDefault="001457BE" w:rsidP="001974E1">
            <w:pPr>
              <w:spacing w:after="0"/>
              <w:rPr>
                <w:rFonts w:ascii="Cambria" w:hAnsi="Cambria" w:cs="Calibri"/>
              </w:rPr>
            </w:pPr>
            <w:proofErr w:type="spellStart"/>
            <w:r w:rsidRPr="00DF4CE5">
              <w:rPr>
                <w:rFonts w:ascii="Cambria" w:hAnsi="Cambria" w:cs="Calibri"/>
              </w:rPr>
              <w:t>zimski</w:t>
            </w:r>
            <w:proofErr w:type="spellEnd"/>
          </w:p>
        </w:tc>
        <w:tc>
          <w:tcPr>
            <w:tcW w:w="1424"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6ACC03C3" w14:textId="77777777" w:rsidR="001457BE" w:rsidRPr="00DF4CE5" w:rsidRDefault="001457BE" w:rsidP="001974E1">
            <w:pPr>
              <w:spacing w:after="0"/>
              <w:rPr>
                <w:rFonts w:ascii="Cambria" w:hAnsi="Cambria" w:cs="Calibri"/>
              </w:rPr>
            </w:pPr>
            <w:r w:rsidRPr="00DF4CE5">
              <w:rPr>
                <w:rFonts w:ascii="Cambria" w:hAnsi="Cambria" w:cs="Calibri"/>
              </w:rPr>
              <w:t xml:space="preserve">Godina </w:t>
            </w:r>
            <w:proofErr w:type="spellStart"/>
            <w:r w:rsidRPr="00DF4CE5">
              <w:rPr>
                <w:rFonts w:ascii="Cambria" w:hAnsi="Cambria" w:cs="Calibri"/>
              </w:rPr>
              <w:t>studija</w:t>
            </w:r>
            <w:proofErr w:type="spellEnd"/>
          </w:p>
        </w:tc>
        <w:tc>
          <w:tcPr>
            <w:tcW w:w="2686"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FB9385E" w14:textId="77777777" w:rsidR="001457BE" w:rsidRPr="00DF4CE5" w:rsidRDefault="001457BE" w:rsidP="001974E1">
            <w:pPr>
              <w:spacing w:after="0"/>
              <w:rPr>
                <w:rFonts w:ascii="Cambria" w:hAnsi="Cambria" w:cs="Calibri"/>
              </w:rPr>
            </w:pPr>
            <w:r w:rsidRPr="00DF4CE5">
              <w:rPr>
                <w:rFonts w:ascii="Cambria" w:hAnsi="Cambria" w:cs="Calibri"/>
              </w:rPr>
              <w:t>V.</w:t>
            </w:r>
          </w:p>
        </w:tc>
      </w:tr>
      <w:tr w:rsidR="001457BE" w:rsidRPr="00DF4CE5" w14:paraId="0F53E5B8" w14:textId="77777777" w:rsidTr="00891E8C">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EB9AEEE" w14:textId="77777777" w:rsidR="001457BE" w:rsidRPr="00DF4CE5" w:rsidRDefault="001457BE" w:rsidP="001974E1">
            <w:pPr>
              <w:spacing w:after="0"/>
              <w:rPr>
                <w:rFonts w:ascii="Cambria" w:hAnsi="Cambria" w:cs="Calibri"/>
              </w:rPr>
            </w:pPr>
            <w:proofErr w:type="spellStart"/>
            <w:r w:rsidRPr="00DF4CE5">
              <w:rPr>
                <w:rFonts w:ascii="Cambria" w:hAnsi="Cambria" w:cs="Calibri"/>
              </w:rPr>
              <w:t>Mjesto</w:t>
            </w:r>
            <w:proofErr w:type="spellEnd"/>
            <w:r w:rsidRPr="00DF4CE5">
              <w:rPr>
                <w:rFonts w:ascii="Cambria" w:hAnsi="Cambria" w:cs="Calibri"/>
              </w:rPr>
              <w:t xml:space="preserve"> </w:t>
            </w:r>
            <w:proofErr w:type="spellStart"/>
            <w:r w:rsidRPr="00DF4CE5">
              <w:rPr>
                <w:rFonts w:ascii="Cambria" w:hAnsi="Cambria" w:cs="Calibri"/>
              </w:rPr>
              <w:t>izvođenja</w:t>
            </w:r>
            <w:proofErr w:type="spellEnd"/>
          </w:p>
        </w:tc>
        <w:tc>
          <w:tcPr>
            <w:tcW w:w="240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478CDC8" w14:textId="77777777" w:rsidR="001457BE" w:rsidRPr="00DF4CE5" w:rsidRDefault="001457BE" w:rsidP="001974E1">
            <w:pPr>
              <w:spacing w:after="0"/>
              <w:rPr>
                <w:rFonts w:ascii="Cambria" w:hAnsi="Cambria" w:cs="Calibri"/>
              </w:rPr>
            </w:pPr>
            <w:proofErr w:type="spellStart"/>
            <w:r w:rsidRPr="00DF4CE5">
              <w:rPr>
                <w:rFonts w:ascii="Cambria" w:hAnsi="Cambria" w:cs="Calibri"/>
              </w:rPr>
              <w:t>dvorana</w:t>
            </w:r>
            <w:proofErr w:type="spellEnd"/>
            <w:r w:rsidRPr="00DF4CE5">
              <w:rPr>
                <w:rFonts w:ascii="Cambria" w:hAnsi="Cambria" w:cs="Calibri"/>
              </w:rPr>
              <w:t xml:space="preserve">, </w:t>
            </w:r>
            <w:proofErr w:type="spellStart"/>
            <w:r w:rsidRPr="00DF4CE5">
              <w:rPr>
                <w:rFonts w:ascii="Cambria" w:hAnsi="Cambria" w:cs="Calibri"/>
              </w:rPr>
              <w:t>računalna</w:t>
            </w:r>
            <w:proofErr w:type="spellEnd"/>
            <w:r w:rsidRPr="00DF4CE5">
              <w:rPr>
                <w:rFonts w:ascii="Cambria" w:hAnsi="Cambria" w:cs="Calibri"/>
              </w:rPr>
              <w:t xml:space="preserve"> </w:t>
            </w:r>
            <w:proofErr w:type="spellStart"/>
            <w:r w:rsidRPr="00DF4CE5">
              <w:rPr>
                <w:rFonts w:ascii="Cambria" w:hAnsi="Cambria" w:cs="Calibri"/>
              </w:rPr>
              <w:t>učionica</w:t>
            </w:r>
            <w:proofErr w:type="spellEnd"/>
          </w:p>
        </w:tc>
        <w:tc>
          <w:tcPr>
            <w:tcW w:w="1424"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097B4C19" w14:textId="77777777" w:rsidR="001457BE" w:rsidRPr="00DF4CE5" w:rsidRDefault="001457BE" w:rsidP="001974E1">
            <w:pPr>
              <w:spacing w:after="0"/>
              <w:rPr>
                <w:rFonts w:ascii="Cambria" w:hAnsi="Cambria" w:cs="Calibri"/>
              </w:rPr>
            </w:pPr>
            <w:r w:rsidRPr="00DF4CE5">
              <w:rPr>
                <w:rFonts w:ascii="Cambria" w:hAnsi="Cambria" w:cs="Calibri"/>
              </w:rPr>
              <w:t xml:space="preserve">Jezik </w:t>
            </w:r>
            <w:proofErr w:type="spellStart"/>
            <w:r w:rsidRPr="00DF4CE5">
              <w:rPr>
                <w:rFonts w:ascii="Cambria" w:hAnsi="Cambria" w:cs="Calibri"/>
              </w:rPr>
              <w:t>izvođenja</w:t>
            </w:r>
            <w:proofErr w:type="spellEnd"/>
            <w:r w:rsidRPr="00DF4CE5">
              <w:rPr>
                <w:rFonts w:ascii="Cambria" w:hAnsi="Cambria" w:cs="Calibri"/>
              </w:rPr>
              <w:t xml:space="preserve"> (</w:t>
            </w:r>
            <w:proofErr w:type="spellStart"/>
            <w:r w:rsidRPr="00DF4CE5">
              <w:rPr>
                <w:rFonts w:ascii="Cambria" w:hAnsi="Cambria" w:cs="Calibri"/>
              </w:rPr>
              <w:t>drugi</w:t>
            </w:r>
            <w:proofErr w:type="spellEnd"/>
            <w:r w:rsidRPr="00DF4CE5">
              <w:rPr>
                <w:rFonts w:ascii="Cambria" w:hAnsi="Cambria" w:cs="Calibri"/>
              </w:rPr>
              <w:t xml:space="preserve"> </w:t>
            </w:r>
            <w:proofErr w:type="spellStart"/>
            <w:r w:rsidRPr="00DF4CE5">
              <w:rPr>
                <w:rFonts w:ascii="Cambria" w:hAnsi="Cambria" w:cs="Calibri"/>
              </w:rPr>
              <w:t>jezici</w:t>
            </w:r>
            <w:proofErr w:type="spellEnd"/>
            <w:r w:rsidRPr="00DF4CE5">
              <w:rPr>
                <w:rFonts w:ascii="Cambria" w:hAnsi="Cambria" w:cs="Calibri"/>
              </w:rPr>
              <w:t>)</w:t>
            </w:r>
          </w:p>
        </w:tc>
        <w:tc>
          <w:tcPr>
            <w:tcW w:w="2686"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A2317C6" w14:textId="5AB75005" w:rsidR="001457BE" w:rsidRPr="00DF4CE5" w:rsidRDefault="00F23CC9" w:rsidP="001974E1">
            <w:pPr>
              <w:spacing w:after="0"/>
              <w:rPr>
                <w:rFonts w:ascii="Cambria" w:hAnsi="Cambria" w:cs="Calibri"/>
              </w:rPr>
            </w:pPr>
            <w:proofErr w:type="spellStart"/>
            <w:r>
              <w:rPr>
                <w:rFonts w:ascii="Cambria" w:hAnsi="Cambria" w:cs="Calibri"/>
              </w:rPr>
              <w:t>h</w:t>
            </w:r>
            <w:r w:rsidR="001457BE" w:rsidRPr="00DF4CE5">
              <w:rPr>
                <w:rFonts w:ascii="Cambria" w:hAnsi="Cambria" w:cs="Calibri"/>
              </w:rPr>
              <w:t>rvatski</w:t>
            </w:r>
            <w:proofErr w:type="spellEnd"/>
          </w:p>
        </w:tc>
      </w:tr>
      <w:tr w:rsidR="001457BE" w:rsidRPr="00DF4CE5" w14:paraId="1C56F737" w14:textId="77777777" w:rsidTr="00891E8C">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0A06EB4" w14:textId="77777777" w:rsidR="001457BE" w:rsidRPr="00DF4CE5" w:rsidRDefault="001457BE" w:rsidP="001974E1">
            <w:pPr>
              <w:spacing w:after="0"/>
              <w:rPr>
                <w:rFonts w:ascii="Cambria" w:hAnsi="Cambria" w:cs="Calibri"/>
              </w:rPr>
            </w:pPr>
            <w:proofErr w:type="spellStart"/>
            <w:r w:rsidRPr="00DF4CE5">
              <w:rPr>
                <w:rFonts w:ascii="Cambria" w:hAnsi="Cambria" w:cs="Calibri"/>
              </w:rPr>
              <w:t>Broj</w:t>
            </w:r>
            <w:proofErr w:type="spellEnd"/>
            <w:r w:rsidRPr="00DF4CE5">
              <w:rPr>
                <w:rFonts w:ascii="Cambria" w:hAnsi="Cambria" w:cs="Calibri"/>
              </w:rPr>
              <w:t xml:space="preserve"> ECTS </w:t>
            </w:r>
            <w:proofErr w:type="spellStart"/>
            <w:r w:rsidRPr="00DF4CE5">
              <w:rPr>
                <w:rFonts w:ascii="Cambria" w:hAnsi="Cambria" w:cs="Calibri"/>
              </w:rPr>
              <w:t>bodova</w:t>
            </w:r>
            <w:proofErr w:type="spellEnd"/>
          </w:p>
        </w:tc>
        <w:tc>
          <w:tcPr>
            <w:tcW w:w="240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5C3C555" w14:textId="77777777" w:rsidR="001457BE" w:rsidRPr="00DF4CE5" w:rsidRDefault="001457BE" w:rsidP="001974E1">
            <w:pPr>
              <w:spacing w:after="0"/>
              <w:rPr>
                <w:rFonts w:ascii="Cambria" w:hAnsi="Cambria" w:cs="Calibri"/>
              </w:rPr>
            </w:pPr>
            <w:r w:rsidRPr="00DF4CE5">
              <w:rPr>
                <w:rFonts w:ascii="Cambria" w:hAnsi="Cambria" w:cs="Calibri"/>
              </w:rPr>
              <w:t>4</w:t>
            </w:r>
          </w:p>
        </w:tc>
        <w:tc>
          <w:tcPr>
            <w:tcW w:w="1424"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027634D6" w14:textId="77777777" w:rsidR="001457BE" w:rsidRPr="00DF4CE5" w:rsidRDefault="001457BE" w:rsidP="001974E1">
            <w:pPr>
              <w:spacing w:after="0"/>
              <w:rPr>
                <w:rFonts w:ascii="Cambria" w:hAnsi="Cambria" w:cs="Calibri"/>
              </w:rPr>
            </w:pPr>
            <w:proofErr w:type="spellStart"/>
            <w:r w:rsidRPr="00DF4CE5">
              <w:rPr>
                <w:rFonts w:ascii="Cambria" w:hAnsi="Cambria" w:cs="Calibri"/>
              </w:rPr>
              <w:t>Broj</w:t>
            </w:r>
            <w:proofErr w:type="spellEnd"/>
            <w:r w:rsidRPr="00DF4CE5">
              <w:rPr>
                <w:rFonts w:ascii="Cambria" w:hAnsi="Cambria" w:cs="Calibri"/>
              </w:rPr>
              <w:t xml:space="preserve"> sati u </w:t>
            </w:r>
            <w:proofErr w:type="spellStart"/>
            <w:r w:rsidRPr="00DF4CE5">
              <w:rPr>
                <w:rFonts w:ascii="Cambria" w:hAnsi="Cambria" w:cs="Calibri"/>
              </w:rPr>
              <w:t>semestru</w:t>
            </w:r>
            <w:proofErr w:type="spellEnd"/>
          </w:p>
        </w:tc>
        <w:tc>
          <w:tcPr>
            <w:tcW w:w="2686"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BD598E3" w14:textId="4B35D223" w:rsidR="001457BE" w:rsidRPr="00DF4CE5" w:rsidRDefault="001457BE" w:rsidP="001974E1">
            <w:pPr>
              <w:spacing w:after="0"/>
              <w:rPr>
                <w:rFonts w:ascii="Cambria" w:hAnsi="Cambria" w:cs="Calibri"/>
              </w:rPr>
            </w:pPr>
            <w:r w:rsidRPr="00DF4CE5">
              <w:rPr>
                <w:rFonts w:ascii="Cambria" w:hAnsi="Cambria" w:cs="Calibri"/>
              </w:rPr>
              <w:t xml:space="preserve">15P – </w:t>
            </w:r>
            <w:r w:rsidR="001974E1" w:rsidRPr="00DF4CE5">
              <w:rPr>
                <w:rFonts w:ascii="Cambria" w:hAnsi="Cambria" w:cs="Calibri"/>
              </w:rPr>
              <w:t>0S</w:t>
            </w:r>
            <w:r w:rsidRPr="00DF4CE5">
              <w:rPr>
                <w:rFonts w:ascii="Cambria" w:hAnsi="Cambria" w:cs="Calibri"/>
              </w:rPr>
              <w:t xml:space="preserve"> – </w:t>
            </w:r>
            <w:r w:rsidR="001974E1" w:rsidRPr="00DF4CE5">
              <w:rPr>
                <w:rFonts w:ascii="Cambria" w:hAnsi="Cambria" w:cs="Calibri"/>
              </w:rPr>
              <w:t>45V</w:t>
            </w:r>
          </w:p>
        </w:tc>
      </w:tr>
      <w:tr w:rsidR="001457BE" w:rsidRPr="00D0399C" w14:paraId="4F8A221E" w14:textId="77777777" w:rsidTr="00891E8C">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F56ACAC" w14:textId="77777777" w:rsidR="001457BE" w:rsidRPr="00DF4CE5" w:rsidRDefault="001457BE" w:rsidP="00891E8C">
            <w:pPr>
              <w:rPr>
                <w:rFonts w:ascii="Cambria" w:hAnsi="Cambria" w:cs="Calibri"/>
                <w:lang w:val="it-IT"/>
              </w:rPr>
            </w:pPr>
            <w:proofErr w:type="spellStart"/>
            <w:r w:rsidRPr="00DF4CE5">
              <w:rPr>
                <w:rFonts w:ascii="Cambria" w:hAnsi="Cambria" w:cs="Calibri"/>
                <w:lang w:val="it-IT"/>
              </w:rPr>
              <w:t>Preduvjeti</w:t>
            </w:r>
            <w:proofErr w:type="spellEnd"/>
            <w:r w:rsidRPr="00DF4CE5">
              <w:rPr>
                <w:rFonts w:ascii="Cambria" w:hAnsi="Cambria" w:cs="Calibri"/>
                <w:lang w:val="it-IT"/>
              </w:rPr>
              <w:t xml:space="preserve"> za </w:t>
            </w:r>
            <w:proofErr w:type="spellStart"/>
            <w:r w:rsidRPr="00DF4CE5">
              <w:rPr>
                <w:rFonts w:ascii="Cambria" w:hAnsi="Cambria" w:cs="Calibri"/>
                <w:lang w:val="it-IT"/>
              </w:rPr>
              <w:t>upis</w:t>
            </w:r>
            <w:proofErr w:type="spellEnd"/>
            <w:r w:rsidRPr="00DF4CE5">
              <w:rPr>
                <w:rFonts w:ascii="Cambria" w:hAnsi="Cambria" w:cs="Calibri"/>
                <w:lang w:val="it-IT"/>
              </w:rPr>
              <w:t xml:space="preserve"> i za </w:t>
            </w:r>
            <w:proofErr w:type="spellStart"/>
            <w:r w:rsidRPr="00DF4CE5">
              <w:rPr>
                <w:rFonts w:ascii="Cambria" w:hAnsi="Cambria" w:cs="Calibri"/>
                <w:lang w:val="it-IT"/>
              </w:rPr>
              <w:t>svladavanje</w:t>
            </w:r>
            <w:proofErr w:type="spellEnd"/>
          </w:p>
        </w:tc>
        <w:tc>
          <w:tcPr>
            <w:tcW w:w="651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B2B19D0" w14:textId="77777777" w:rsidR="001457BE" w:rsidRPr="00DF4CE5" w:rsidRDefault="001457BE" w:rsidP="00891E8C">
            <w:pPr>
              <w:rPr>
                <w:rFonts w:ascii="Cambria" w:hAnsi="Cambria" w:cs="Cambria"/>
                <w:lang w:val="it-IT"/>
              </w:rPr>
            </w:pPr>
            <w:proofErr w:type="spellStart"/>
            <w:r w:rsidRPr="00DF4CE5">
              <w:rPr>
                <w:rFonts w:ascii="Cambria" w:hAnsi="Cambria" w:cs="Calibri"/>
                <w:lang w:val="it-IT"/>
              </w:rPr>
              <w:t>Pedagogija</w:t>
            </w:r>
            <w:proofErr w:type="spellEnd"/>
            <w:r w:rsidRPr="00DF4CE5">
              <w:rPr>
                <w:rFonts w:ascii="Cambria" w:hAnsi="Cambria" w:cs="Calibri"/>
                <w:lang w:val="it-IT"/>
              </w:rPr>
              <w:t xml:space="preserve">, </w:t>
            </w:r>
            <w:proofErr w:type="spellStart"/>
            <w:r w:rsidRPr="00DF4CE5">
              <w:rPr>
                <w:rFonts w:ascii="Cambria" w:hAnsi="Cambria" w:cs="Calibri"/>
                <w:lang w:val="it-IT"/>
              </w:rPr>
              <w:t>Didaktika</w:t>
            </w:r>
            <w:proofErr w:type="spellEnd"/>
            <w:r w:rsidRPr="00DF4CE5">
              <w:rPr>
                <w:rFonts w:ascii="Cambria" w:hAnsi="Cambria" w:cs="Calibri"/>
                <w:lang w:val="it-IT"/>
              </w:rPr>
              <w:t xml:space="preserve">, </w:t>
            </w:r>
            <w:proofErr w:type="spellStart"/>
            <w:r w:rsidRPr="00DF4CE5">
              <w:rPr>
                <w:rFonts w:ascii="Cambria" w:hAnsi="Cambria" w:cs="Calibri"/>
                <w:lang w:val="it-IT"/>
              </w:rPr>
              <w:t>Razvojna</w:t>
            </w:r>
            <w:proofErr w:type="spellEnd"/>
            <w:r w:rsidRPr="00DF4CE5">
              <w:rPr>
                <w:rFonts w:ascii="Cambria" w:hAnsi="Cambria" w:cs="Calibri"/>
                <w:lang w:val="it-IT"/>
              </w:rPr>
              <w:t xml:space="preserve"> </w:t>
            </w:r>
            <w:proofErr w:type="spellStart"/>
            <w:r w:rsidRPr="00DF4CE5">
              <w:rPr>
                <w:rFonts w:ascii="Cambria" w:hAnsi="Cambria" w:cs="Calibri"/>
                <w:lang w:val="it-IT"/>
              </w:rPr>
              <w:t>psihologija</w:t>
            </w:r>
            <w:proofErr w:type="spellEnd"/>
            <w:r w:rsidRPr="00DF4CE5">
              <w:rPr>
                <w:rFonts w:ascii="Cambria" w:hAnsi="Cambria" w:cs="Calibri"/>
                <w:lang w:val="it-IT"/>
              </w:rPr>
              <w:t xml:space="preserve">, </w:t>
            </w:r>
            <w:proofErr w:type="spellStart"/>
            <w:r w:rsidRPr="00DF4CE5">
              <w:rPr>
                <w:rFonts w:ascii="Cambria" w:hAnsi="Cambria" w:cs="Calibri"/>
                <w:lang w:val="it-IT"/>
              </w:rPr>
              <w:t>Metodika</w:t>
            </w:r>
            <w:proofErr w:type="spellEnd"/>
            <w:r w:rsidRPr="00DF4CE5">
              <w:rPr>
                <w:rFonts w:ascii="Cambria" w:hAnsi="Cambria" w:cs="Calibri"/>
                <w:lang w:val="it-IT"/>
              </w:rPr>
              <w:t xml:space="preserve"> </w:t>
            </w:r>
            <w:proofErr w:type="spellStart"/>
            <w:r w:rsidRPr="00DF4CE5">
              <w:rPr>
                <w:rFonts w:ascii="Cambria" w:hAnsi="Cambria" w:cs="Calibri"/>
                <w:lang w:val="it-IT"/>
              </w:rPr>
              <w:t>nastave</w:t>
            </w:r>
            <w:proofErr w:type="spellEnd"/>
            <w:r w:rsidRPr="00DF4CE5">
              <w:rPr>
                <w:rFonts w:ascii="Cambria" w:hAnsi="Cambria" w:cs="Calibri"/>
                <w:lang w:val="it-IT"/>
              </w:rPr>
              <w:t xml:space="preserve"> </w:t>
            </w:r>
            <w:proofErr w:type="spellStart"/>
            <w:r w:rsidRPr="00DF4CE5">
              <w:rPr>
                <w:rFonts w:ascii="Cambria" w:hAnsi="Cambria" w:cs="Calibri"/>
                <w:lang w:val="it-IT"/>
              </w:rPr>
              <w:t>informatike</w:t>
            </w:r>
            <w:proofErr w:type="spellEnd"/>
            <w:r w:rsidRPr="00DF4CE5">
              <w:rPr>
                <w:rFonts w:ascii="Cambria" w:hAnsi="Cambria" w:cs="Calibri"/>
                <w:lang w:val="it-IT"/>
              </w:rPr>
              <w:t xml:space="preserve"> I.</w:t>
            </w:r>
          </w:p>
        </w:tc>
      </w:tr>
      <w:tr w:rsidR="001457BE" w:rsidRPr="00DF4CE5" w14:paraId="33197C80" w14:textId="77777777" w:rsidTr="00891E8C">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14BC5C6" w14:textId="77777777" w:rsidR="001457BE" w:rsidRPr="00DF4CE5" w:rsidRDefault="001457BE" w:rsidP="00891E8C">
            <w:pPr>
              <w:rPr>
                <w:rFonts w:ascii="Cambria" w:hAnsi="Cambria" w:cs="Calibri"/>
              </w:rPr>
            </w:pPr>
            <w:proofErr w:type="spellStart"/>
            <w:r w:rsidRPr="00DF4CE5">
              <w:rPr>
                <w:rFonts w:ascii="Cambria" w:hAnsi="Cambria" w:cs="Calibri"/>
              </w:rPr>
              <w:t>Korelativnost</w:t>
            </w:r>
            <w:proofErr w:type="spellEnd"/>
          </w:p>
        </w:tc>
        <w:tc>
          <w:tcPr>
            <w:tcW w:w="651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2EEED7B" w14:textId="77777777" w:rsidR="001457BE" w:rsidRPr="00DF4CE5" w:rsidRDefault="001457BE" w:rsidP="00891E8C">
            <w:pPr>
              <w:rPr>
                <w:rFonts w:ascii="Cambria" w:hAnsi="Cambria" w:cs="Calibri"/>
              </w:rPr>
            </w:pPr>
            <w:proofErr w:type="spellStart"/>
            <w:r w:rsidRPr="00DF4CE5">
              <w:rPr>
                <w:rFonts w:ascii="Cambria" w:hAnsi="Cambria" w:cs="Calibri"/>
              </w:rPr>
              <w:t>Metodika</w:t>
            </w:r>
            <w:proofErr w:type="spellEnd"/>
            <w:r w:rsidRPr="00DF4CE5">
              <w:rPr>
                <w:rFonts w:ascii="Cambria" w:hAnsi="Cambria" w:cs="Calibri"/>
              </w:rPr>
              <w:t xml:space="preserve"> </w:t>
            </w:r>
            <w:proofErr w:type="spellStart"/>
            <w:r w:rsidRPr="00DF4CE5">
              <w:rPr>
                <w:rFonts w:ascii="Cambria" w:hAnsi="Cambria" w:cs="Calibri"/>
              </w:rPr>
              <w:t>nastave</w:t>
            </w:r>
            <w:proofErr w:type="spellEnd"/>
            <w:r w:rsidRPr="00DF4CE5">
              <w:rPr>
                <w:rFonts w:ascii="Cambria" w:hAnsi="Cambria" w:cs="Calibri"/>
              </w:rPr>
              <w:t xml:space="preserve"> </w:t>
            </w:r>
            <w:proofErr w:type="spellStart"/>
            <w:r w:rsidRPr="00DF4CE5">
              <w:rPr>
                <w:rFonts w:ascii="Cambria" w:hAnsi="Cambria" w:cs="Calibri"/>
              </w:rPr>
              <w:t>informatike</w:t>
            </w:r>
            <w:proofErr w:type="spellEnd"/>
            <w:r w:rsidRPr="00DF4CE5">
              <w:rPr>
                <w:rFonts w:ascii="Cambria" w:hAnsi="Cambria" w:cs="Calibri"/>
              </w:rPr>
              <w:t xml:space="preserve"> I.</w:t>
            </w:r>
          </w:p>
        </w:tc>
      </w:tr>
      <w:tr w:rsidR="001457BE" w:rsidRPr="00DF4CE5" w14:paraId="5EB4E5A2" w14:textId="77777777" w:rsidTr="00891E8C">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3CA0041" w14:textId="77777777" w:rsidR="001457BE" w:rsidRPr="00DF4CE5" w:rsidRDefault="001457BE" w:rsidP="00891E8C">
            <w:pPr>
              <w:rPr>
                <w:rFonts w:ascii="Cambria" w:hAnsi="Cambria" w:cs="Calibri"/>
              </w:rPr>
            </w:pPr>
            <w:proofErr w:type="spellStart"/>
            <w:r w:rsidRPr="00DF4CE5">
              <w:rPr>
                <w:rFonts w:ascii="Cambria" w:hAnsi="Cambria" w:cs="Calibri"/>
              </w:rPr>
              <w:t>Cilj</w:t>
            </w:r>
            <w:proofErr w:type="spellEnd"/>
            <w:r w:rsidRPr="00DF4CE5">
              <w:rPr>
                <w:rFonts w:ascii="Cambria" w:hAnsi="Cambria" w:cs="Calibri"/>
              </w:rPr>
              <w:t xml:space="preserve"> </w:t>
            </w:r>
            <w:proofErr w:type="spellStart"/>
            <w:r w:rsidRPr="00DF4CE5">
              <w:rPr>
                <w:rFonts w:ascii="Cambria" w:hAnsi="Cambria" w:cs="Calibri"/>
              </w:rPr>
              <w:t>kolegija</w:t>
            </w:r>
            <w:proofErr w:type="spellEnd"/>
            <w:r w:rsidRPr="00DF4CE5">
              <w:rPr>
                <w:rFonts w:ascii="Cambria" w:hAnsi="Cambria" w:cs="Calibri"/>
              </w:rPr>
              <w:t xml:space="preserve"> </w:t>
            </w:r>
          </w:p>
        </w:tc>
        <w:tc>
          <w:tcPr>
            <w:tcW w:w="651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778C1F0" w14:textId="77777777" w:rsidR="001457BE" w:rsidRPr="00DF4CE5" w:rsidRDefault="001457BE" w:rsidP="00891E8C">
            <w:pPr>
              <w:pStyle w:val="Default"/>
              <w:rPr>
                <w:rFonts w:ascii="Cambria" w:hAnsi="Cambria"/>
                <w:sz w:val="22"/>
                <w:szCs w:val="22"/>
              </w:rPr>
            </w:pPr>
            <w:proofErr w:type="spellStart"/>
            <w:r w:rsidRPr="00DF4CE5">
              <w:rPr>
                <w:rFonts w:ascii="Cambria" w:hAnsi="Cambria"/>
                <w:sz w:val="22"/>
                <w:szCs w:val="22"/>
              </w:rPr>
              <w:t>osposobiti</w:t>
            </w:r>
            <w:proofErr w:type="spellEnd"/>
            <w:r w:rsidRPr="00DF4CE5">
              <w:rPr>
                <w:rFonts w:ascii="Cambria" w:hAnsi="Cambria"/>
                <w:sz w:val="22"/>
                <w:szCs w:val="22"/>
              </w:rPr>
              <w:t xml:space="preserve"> </w:t>
            </w:r>
            <w:proofErr w:type="spellStart"/>
            <w:r w:rsidRPr="00DF4CE5">
              <w:rPr>
                <w:rFonts w:ascii="Cambria" w:hAnsi="Cambria"/>
                <w:sz w:val="22"/>
                <w:szCs w:val="22"/>
              </w:rPr>
              <w:t>studente</w:t>
            </w:r>
            <w:proofErr w:type="spellEnd"/>
            <w:r w:rsidRPr="00DF4CE5">
              <w:rPr>
                <w:rFonts w:ascii="Cambria" w:hAnsi="Cambria"/>
                <w:sz w:val="22"/>
                <w:szCs w:val="22"/>
              </w:rPr>
              <w:t xml:space="preserve"> za </w:t>
            </w:r>
            <w:proofErr w:type="spellStart"/>
            <w:r w:rsidRPr="00DF4CE5">
              <w:rPr>
                <w:rFonts w:ascii="Cambria" w:hAnsi="Cambria"/>
                <w:sz w:val="22"/>
                <w:szCs w:val="22"/>
              </w:rPr>
              <w:t>usvajanje</w:t>
            </w:r>
            <w:proofErr w:type="spellEnd"/>
            <w:r w:rsidRPr="00DF4CE5">
              <w:rPr>
                <w:rFonts w:ascii="Cambria" w:hAnsi="Cambria"/>
                <w:sz w:val="22"/>
                <w:szCs w:val="22"/>
              </w:rPr>
              <w:t xml:space="preserve"> </w:t>
            </w:r>
            <w:proofErr w:type="spellStart"/>
            <w:r w:rsidRPr="00DF4CE5">
              <w:rPr>
                <w:rFonts w:ascii="Cambria" w:hAnsi="Cambria"/>
                <w:sz w:val="22"/>
                <w:szCs w:val="22"/>
              </w:rPr>
              <w:t>znanja</w:t>
            </w:r>
            <w:proofErr w:type="spellEnd"/>
            <w:r w:rsidRPr="00DF4CE5">
              <w:rPr>
                <w:rFonts w:ascii="Cambria" w:hAnsi="Cambria"/>
                <w:sz w:val="22"/>
                <w:szCs w:val="22"/>
              </w:rPr>
              <w:t xml:space="preserve"> </w:t>
            </w:r>
            <w:proofErr w:type="spellStart"/>
            <w:r w:rsidRPr="00DF4CE5">
              <w:rPr>
                <w:rFonts w:ascii="Cambria" w:hAnsi="Cambria"/>
                <w:sz w:val="22"/>
                <w:szCs w:val="22"/>
              </w:rPr>
              <w:t>i</w:t>
            </w:r>
            <w:proofErr w:type="spellEnd"/>
            <w:r w:rsidRPr="00DF4CE5">
              <w:rPr>
                <w:rFonts w:ascii="Cambria" w:hAnsi="Cambria"/>
                <w:sz w:val="22"/>
                <w:szCs w:val="22"/>
              </w:rPr>
              <w:t xml:space="preserve"> </w:t>
            </w:r>
            <w:proofErr w:type="spellStart"/>
            <w:r w:rsidRPr="00DF4CE5">
              <w:rPr>
                <w:rFonts w:ascii="Cambria" w:hAnsi="Cambria"/>
                <w:sz w:val="22"/>
                <w:szCs w:val="22"/>
              </w:rPr>
              <w:t>vještina</w:t>
            </w:r>
            <w:proofErr w:type="spellEnd"/>
            <w:r w:rsidRPr="00DF4CE5">
              <w:rPr>
                <w:rFonts w:ascii="Cambria" w:hAnsi="Cambria"/>
                <w:sz w:val="22"/>
                <w:szCs w:val="22"/>
              </w:rPr>
              <w:t xml:space="preserve"> </w:t>
            </w:r>
            <w:proofErr w:type="spellStart"/>
            <w:r w:rsidRPr="00DF4CE5">
              <w:rPr>
                <w:rFonts w:ascii="Cambria" w:hAnsi="Cambria"/>
                <w:sz w:val="22"/>
                <w:szCs w:val="22"/>
              </w:rPr>
              <w:t>kojima</w:t>
            </w:r>
            <w:proofErr w:type="spellEnd"/>
            <w:r w:rsidRPr="00DF4CE5">
              <w:rPr>
                <w:rFonts w:ascii="Cambria" w:hAnsi="Cambria"/>
                <w:sz w:val="22"/>
                <w:szCs w:val="22"/>
              </w:rPr>
              <w:t xml:space="preserve"> </w:t>
            </w:r>
            <w:proofErr w:type="spellStart"/>
            <w:r w:rsidRPr="00DF4CE5">
              <w:rPr>
                <w:rFonts w:ascii="Cambria" w:hAnsi="Cambria"/>
                <w:sz w:val="22"/>
                <w:szCs w:val="22"/>
              </w:rPr>
              <w:t>će</w:t>
            </w:r>
            <w:proofErr w:type="spellEnd"/>
            <w:r w:rsidRPr="00DF4CE5">
              <w:rPr>
                <w:rFonts w:ascii="Cambria" w:hAnsi="Cambria"/>
                <w:sz w:val="22"/>
                <w:szCs w:val="22"/>
              </w:rPr>
              <w:t xml:space="preserve"> </w:t>
            </w:r>
            <w:proofErr w:type="spellStart"/>
            <w:r w:rsidRPr="00DF4CE5">
              <w:rPr>
                <w:rFonts w:ascii="Cambria" w:hAnsi="Cambria"/>
                <w:sz w:val="22"/>
                <w:szCs w:val="22"/>
              </w:rPr>
              <w:t>postići</w:t>
            </w:r>
            <w:proofErr w:type="spellEnd"/>
            <w:r w:rsidRPr="00DF4CE5">
              <w:rPr>
                <w:rFonts w:ascii="Cambria" w:hAnsi="Cambria"/>
                <w:sz w:val="22"/>
                <w:szCs w:val="22"/>
              </w:rPr>
              <w:t xml:space="preserve"> </w:t>
            </w:r>
            <w:proofErr w:type="spellStart"/>
            <w:r w:rsidRPr="00DF4CE5">
              <w:rPr>
                <w:rFonts w:ascii="Cambria" w:hAnsi="Cambria"/>
                <w:sz w:val="22"/>
                <w:szCs w:val="22"/>
              </w:rPr>
              <w:t>zacrtane</w:t>
            </w:r>
            <w:proofErr w:type="spellEnd"/>
            <w:r w:rsidRPr="00DF4CE5">
              <w:rPr>
                <w:rFonts w:ascii="Cambria" w:hAnsi="Cambria"/>
                <w:sz w:val="22"/>
                <w:szCs w:val="22"/>
              </w:rPr>
              <w:t xml:space="preserve"> </w:t>
            </w:r>
            <w:proofErr w:type="spellStart"/>
            <w:r w:rsidRPr="00DF4CE5">
              <w:rPr>
                <w:rFonts w:ascii="Cambria" w:hAnsi="Cambria"/>
                <w:sz w:val="22"/>
                <w:szCs w:val="22"/>
              </w:rPr>
              <w:t>ishode</w:t>
            </w:r>
            <w:proofErr w:type="spellEnd"/>
            <w:r w:rsidRPr="00DF4CE5">
              <w:rPr>
                <w:rFonts w:ascii="Cambria" w:hAnsi="Cambria"/>
                <w:sz w:val="22"/>
                <w:szCs w:val="22"/>
              </w:rPr>
              <w:t xml:space="preserve"> </w:t>
            </w:r>
            <w:proofErr w:type="spellStart"/>
            <w:r w:rsidRPr="00DF4CE5">
              <w:rPr>
                <w:rFonts w:ascii="Cambria" w:hAnsi="Cambria"/>
                <w:sz w:val="22"/>
                <w:szCs w:val="22"/>
              </w:rPr>
              <w:t>učenja</w:t>
            </w:r>
            <w:proofErr w:type="spellEnd"/>
          </w:p>
        </w:tc>
      </w:tr>
      <w:tr w:rsidR="001457BE" w:rsidRPr="00D0399C" w14:paraId="1774D579" w14:textId="77777777" w:rsidTr="00891E8C">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CDA62B3" w14:textId="77777777" w:rsidR="001457BE" w:rsidRPr="00DF4CE5" w:rsidRDefault="001457BE" w:rsidP="00891E8C">
            <w:pPr>
              <w:rPr>
                <w:rFonts w:ascii="Cambria" w:hAnsi="Cambria" w:cs="Calibri"/>
              </w:rPr>
            </w:pPr>
            <w:proofErr w:type="spellStart"/>
            <w:r w:rsidRPr="00DF4CE5">
              <w:rPr>
                <w:rFonts w:ascii="Cambria" w:hAnsi="Cambria" w:cs="Calibri"/>
              </w:rPr>
              <w:t>Ishodi</w:t>
            </w:r>
            <w:proofErr w:type="spellEnd"/>
            <w:r w:rsidRPr="00DF4CE5">
              <w:rPr>
                <w:rFonts w:ascii="Cambria" w:hAnsi="Cambria" w:cs="Calibri"/>
              </w:rPr>
              <w:t xml:space="preserve"> </w:t>
            </w:r>
            <w:proofErr w:type="spellStart"/>
            <w:r w:rsidRPr="00DF4CE5">
              <w:rPr>
                <w:rFonts w:ascii="Cambria" w:hAnsi="Cambria" w:cs="Calibri"/>
              </w:rPr>
              <w:t>učenja</w:t>
            </w:r>
            <w:proofErr w:type="spellEnd"/>
          </w:p>
        </w:tc>
        <w:tc>
          <w:tcPr>
            <w:tcW w:w="651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109479E" w14:textId="77777777" w:rsidR="001457BE" w:rsidRPr="00DF4CE5" w:rsidRDefault="001457BE" w:rsidP="00891E8C">
            <w:pPr>
              <w:pStyle w:val="Default"/>
              <w:rPr>
                <w:rFonts w:ascii="Cambria" w:hAnsi="Cambria"/>
                <w:sz w:val="22"/>
                <w:szCs w:val="22"/>
                <w:lang w:val="it-IT"/>
              </w:rPr>
            </w:pPr>
            <w:r w:rsidRPr="00DF4CE5">
              <w:rPr>
                <w:rFonts w:ascii="Cambria" w:hAnsi="Cambria"/>
                <w:sz w:val="22"/>
                <w:szCs w:val="22"/>
                <w:lang w:val="it-IT"/>
              </w:rPr>
              <w:t xml:space="preserve">1. </w:t>
            </w:r>
            <w:proofErr w:type="spellStart"/>
            <w:r w:rsidRPr="00DF4CE5">
              <w:rPr>
                <w:rFonts w:ascii="Cambria" w:hAnsi="Cambria"/>
                <w:sz w:val="22"/>
                <w:szCs w:val="22"/>
                <w:lang w:val="it-IT"/>
              </w:rPr>
              <w:t>identificirati</w:t>
            </w:r>
            <w:proofErr w:type="spellEnd"/>
            <w:r w:rsidRPr="00DF4CE5">
              <w:rPr>
                <w:rFonts w:ascii="Cambria" w:hAnsi="Cambria"/>
                <w:sz w:val="22"/>
                <w:szCs w:val="22"/>
                <w:lang w:val="it-IT"/>
              </w:rPr>
              <w:t xml:space="preserve"> </w:t>
            </w:r>
            <w:proofErr w:type="spellStart"/>
            <w:r w:rsidRPr="00DF4CE5">
              <w:rPr>
                <w:rFonts w:ascii="Cambria" w:hAnsi="Cambria"/>
                <w:sz w:val="22"/>
                <w:szCs w:val="22"/>
                <w:lang w:val="it-IT"/>
              </w:rPr>
              <w:t>psihološki</w:t>
            </w:r>
            <w:proofErr w:type="spellEnd"/>
            <w:r w:rsidRPr="00DF4CE5">
              <w:rPr>
                <w:rFonts w:ascii="Cambria" w:hAnsi="Cambria"/>
                <w:sz w:val="22"/>
                <w:szCs w:val="22"/>
                <w:lang w:val="it-IT"/>
              </w:rPr>
              <w:t xml:space="preserve"> </w:t>
            </w:r>
            <w:proofErr w:type="spellStart"/>
            <w:r w:rsidRPr="00DF4CE5">
              <w:rPr>
                <w:rFonts w:ascii="Cambria" w:hAnsi="Cambria"/>
                <w:sz w:val="22"/>
                <w:szCs w:val="22"/>
                <w:lang w:val="it-IT"/>
              </w:rPr>
              <w:t>tip</w:t>
            </w:r>
            <w:proofErr w:type="spellEnd"/>
            <w:r w:rsidRPr="00DF4CE5">
              <w:rPr>
                <w:rFonts w:ascii="Cambria" w:hAnsi="Cambria"/>
                <w:sz w:val="22"/>
                <w:szCs w:val="22"/>
                <w:lang w:val="it-IT"/>
              </w:rPr>
              <w:t xml:space="preserve"> </w:t>
            </w:r>
            <w:proofErr w:type="spellStart"/>
            <w:r w:rsidRPr="00DF4CE5">
              <w:rPr>
                <w:rFonts w:ascii="Cambria" w:hAnsi="Cambria"/>
                <w:sz w:val="22"/>
                <w:szCs w:val="22"/>
                <w:lang w:val="it-IT"/>
              </w:rPr>
              <w:t>učenika</w:t>
            </w:r>
            <w:proofErr w:type="spellEnd"/>
            <w:r w:rsidRPr="00DF4CE5">
              <w:rPr>
                <w:rFonts w:ascii="Cambria" w:hAnsi="Cambria"/>
                <w:sz w:val="22"/>
                <w:szCs w:val="22"/>
                <w:lang w:val="it-IT"/>
              </w:rPr>
              <w:t xml:space="preserve"> </w:t>
            </w:r>
            <w:proofErr w:type="spellStart"/>
            <w:r w:rsidRPr="00DF4CE5">
              <w:rPr>
                <w:rFonts w:ascii="Cambria" w:hAnsi="Cambria"/>
                <w:sz w:val="22"/>
                <w:szCs w:val="22"/>
                <w:lang w:val="it-IT"/>
              </w:rPr>
              <w:t>kao</w:t>
            </w:r>
            <w:proofErr w:type="spellEnd"/>
            <w:r w:rsidRPr="00DF4CE5">
              <w:rPr>
                <w:rFonts w:ascii="Cambria" w:hAnsi="Cambria"/>
                <w:sz w:val="22"/>
                <w:szCs w:val="22"/>
                <w:lang w:val="it-IT"/>
              </w:rPr>
              <w:t xml:space="preserve"> </w:t>
            </w:r>
            <w:proofErr w:type="spellStart"/>
            <w:r w:rsidRPr="00DF4CE5">
              <w:rPr>
                <w:rFonts w:ascii="Cambria" w:hAnsi="Cambria"/>
                <w:sz w:val="22"/>
                <w:szCs w:val="22"/>
                <w:lang w:val="it-IT"/>
              </w:rPr>
              <w:t>uvjet</w:t>
            </w:r>
            <w:proofErr w:type="spellEnd"/>
            <w:r w:rsidRPr="00DF4CE5">
              <w:rPr>
                <w:rFonts w:ascii="Cambria" w:hAnsi="Cambria"/>
                <w:sz w:val="22"/>
                <w:szCs w:val="22"/>
                <w:lang w:val="it-IT"/>
              </w:rPr>
              <w:t xml:space="preserve"> </w:t>
            </w:r>
            <w:proofErr w:type="spellStart"/>
            <w:r w:rsidRPr="00DF4CE5">
              <w:rPr>
                <w:rFonts w:ascii="Cambria" w:hAnsi="Cambria"/>
                <w:sz w:val="22"/>
                <w:szCs w:val="22"/>
                <w:lang w:val="it-IT"/>
              </w:rPr>
              <w:t>dobre</w:t>
            </w:r>
            <w:proofErr w:type="spellEnd"/>
            <w:r w:rsidRPr="00DF4CE5">
              <w:rPr>
                <w:rFonts w:ascii="Cambria" w:hAnsi="Cambria"/>
                <w:sz w:val="22"/>
                <w:szCs w:val="22"/>
                <w:lang w:val="it-IT"/>
              </w:rPr>
              <w:t xml:space="preserve"> </w:t>
            </w:r>
            <w:proofErr w:type="spellStart"/>
            <w:r w:rsidRPr="00DF4CE5">
              <w:rPr>
                <w:rFonts w:ascii="Cambria" w:hAnsi="Cambria"/>
                <w:sz w:val="22"/>
                <w:szCs w:val="22"/>
                <w:lang w:val="it-IT"/>
              </w:rPr>
              <w:t>nastave</w:t>
            </w:r>
            <w:proofErr w:type="spellEnd"/>
          </w:p>
          <w:p w14:paraId="1C0D4308" w14:textId="77777777" w:rsidR="001457BE" w:rsidRPr="00DF4CE5" w:rsidRDefault="001457BE" w:rsidP="00891E8C">
            <w:pPr>
              <w:pStyle w:val="Default"/>
              <w:rPr>
                <w:rFonts w:ascii="Cambria" w:hAnsi="Cambria"/>
                <w:sz w:val="22"/>
                <w:szCs w:val="22"/>
                <w:lang w:val="it-IT"/>
              </w:rPr>
            </w:pPr>
            <w:r w:rsidRPr="00DF4CE5">
              <w:rPr>
                <w:rFonts w:ascii="Cambria" w:hAnsi="Cambria"/>
                <w:sz w:val="22"/>
                <w:szCs w:val="22"/>
                <w:lang w:val="it-IT"/>
              </w:rPr>
              <w:t xml:space="preserve">2. </w:t>
            </w:r>
            <w:proofErr w:type="spellStart"/>
            <w:r w:rsidRPr="00DF4CE5">
              <w:rPr>
                <w:rFonts w:ascii="Cambria" w:hAnsi="Cambria"/>
                <w:sz w:val="22"/>
                <w:szCs w:val="22"/>
                <w:lang w:val="it-IT"/>
              </w:rPr>
              <w:t>identificirati</w:t>
            </w:r>
            <w:proofErr w:type="spellEnd"/>
            <w:r w:rsidRPr="00DF4CE5">
              <w:rPr>
                <w:rFonts w:ascii="Cambria" w:hAnsi="Cambria"/>
                <w:sz w:val="22"/>
                <w:szCs w:val="22"/>
                <w:lang w:val="it-IT"/>
              </w:rPr>
              <w:t xml:space="preserve"> </w:t>
            </w:r>
            <w:proofErr w:type="spellStart"/>
            <w:r w:rsidRPr="00DF4CE5">
              <w:rPr>
                <w:rFonts w:ascii="Cambria" w:hAnsi="Cambria"/>
                <w:sz w:val="22"/>
                <w:szCs w:val="22"/>
                <w:lang w:val="it-IT"/>
              </w:rPr>
              <w:t>različite</w:t>
            </w:r>
            <w:proofErr w:type="spellEnd"/>
            <w:r w:rsidRPr="00DF4CE5">
              <w:rPr>
                <w:rFonts w:ascii="Cambria" w:hAnsi="Cambria"/>
                <w:sz w:val="22"/>
                <w:szCs w:val="22"/>
                <w:lang w:val="it-IT"/>
              </w:rPr>
              <w:t xml:space="preserve"> </w:t>
            </w:r>
            <w:proofErr w:type="spellStart"/>
            <w:r w:rsidRPr="00DF4CE5">
              <w:rPr>
                <w:rFonts w:ascii="Cambria" w:hAnsi="Cambria"/>
                <w:sz w:val="22"/>
                <w:szCs w:val="22"/>
                <w:lang w:val="it-IT"/>
              </w:rPr>
              <w:t>tipove</w:t>
            </w:r>
            <w:proofErr w:type="spellEnd"/>
            <w:r w:rsidRPr="00DF4CE5">
              <w:rPr>
                <w:rFonts w:ascii="Cambria" w:hAnsi="Cambria"/>
                <w:sz w:val="22"/>
                <w:szCs w:val="22"/>
                <w:lang w:val="it-IT"/>
              </w:rPr>
              <w:t xml:space="preserve"> </w:t>
            </w:r>
            <w:proofErr w:type="spellStart"/>
            <w:r w:rsidRPr="00DF4CE5">
              <w:rPr>
                <w:rFonts w:ascii="Cambria" w:hAnsi="Cambria"/>
                <w:sz w:val="22"/>
                <w:szCs w:val="22"/>
                <w:lang w:val="it-IT"/>
              </w:rPr>
              <w:t>informatičke</w:t>
            </w:r>
            <w:proofErr w:type="spellEnd"/>
            <w:r w:rsidRPr="00DF4CE5">
              <w:rPr>
                <w:rFonts w:ascii="Cambria" w:hAnsi="Cambria"/>
                <w:sz w:val="22"/>
                <w:szCs w:val="22"/>
                <w:lang w:val="it-IT"/>
              </w:rPr>
              <w:t xml:space="preserve"> </w:t>
            </w:r>
            <w:proofErr w:type="spellStart"/>
            <w:r w:rsidRPr="00DF4CE5">
              <w:rPr>
                <w:rFonts w:ascii="Cambria" w:hAnsi="Cambria"/>
                <w:sz w:val="22"/>
                <w:szCs w:val="22"/>
                <w:lang w:val="it-IT"/>
              </w:rPr>
              <w:t>tehnologije</w:t>
            </w:r>
            <w:proofErr w:type="spellEnd"/>
            <w:r w:rsidRPr="00DF4CE5">
              <w:rPr>
                <w:rFonts w:ascii="Cambria" w:hAnsi="Cambria"/>
                <w:sz w:val="22"/>
                <w:szCs w:val="22"/>
                <w:lang w:val="it-IT"/>
              </w:rPr>
              <w:t xml:space="preserve"> i </w:t>
            </w:r>
            <w:proofErr w:type="spellStart"/>
            <w:r w:rsidRPr="00DF4CE5">
              <w:rPr>
                <w:rFonts w:ascii="Cambria" w:hAnsi="Cambria"/>
                <w:sz w:val="22"/>
                <w:szCs w:val="22"/>
                <w:lang w:val="it-IT"/>
              </w:rPr>
              <w:t>pristupe</w:t>
            </w:r>
            <w:proofErr w:type="spellEnd"/>
            <w:r w:rsidRPr="00DF4CE5">
              <w:rPr>
                <w:rFonts w:ascii="Cambria" w:hAnsi="Cambria"/>
                <w:sz w:val="22"/>
                <w:szCs w:val="22"/>
                <w:lang w:val="it-IT"/>
              </w:rPr>
              <w:t xml:space="preserve"> za </w:t>
            </w:r>
            <w:proofErr w:type="spellStart"/>
            <w:r w:rsidRPr="00DF4CE5">
              <w:rPr>
                <w:rFonts w:ascii="Cambria" w:hAnsi="Cambria"/>
                <w:sz w:val="22"/>
                <w:szCs w:val="22"/>
                <w:lang w:val="it-IT"/>
              </w:rPr>
              <w:t>njihovo</w:t>
            </w:r>
            <w:proofErr w:type="spellEnd"/>
            <w:r w:rsidRPr="00DF4CE5">
              <w:rPr>
                <w:rFonts w:ascii="Cambria" w:hAnsi="Cambria"/>
                <w:sz w:val="22"/>
                <w:szCs w:val="22"/>
                <w:lang w:val="it-IT"/>
              </w:rPr>
              <w:t xml:space="preserve"> </w:t>
            </w:r>
            <w:proofErr w:type="spellStart"/>
            <w:r w:rsidRPr="00DF4CE5">
              <w:rPr>
                <w:rFonts w:ascii="Cambria" w:hAnsi="Cambria"/>
                <w:sz w:val="22"/>
                <w:szCs w:val="22"/>
                <w:lang w:val="it-IT"/>
              </w:rPr>
              <w:t>korištenje</w:t>
            </w:r>
            <w:proofErr w:type="spellEnd"/>
            <w:r w:rsidRPr="00DF4CE5">
              <w:rPr>
                <w:rFonts w:ascii="Cambria" w:hAnsi="Cambria"/>
                <w:sz w:val="22"/>
                <w:szCs w:val="22"/>
                <w:lang w:val="it-IT"/>
              </w:rPr>
              <w:t xml:space="preserve"> u </w:t>
            </w:r>
            <w:proofErr w:type="spellStart"/>
            <w:r w:rsidRPr="00DF4CE5">
              <w:rPr>
                <w:rFonts w:ascii="Cambria" w:hAnsi="Cambria"/>
                <w:sz w:val="22"/>
                <w:szCs w:val="22"/>
                <w:lang w:val="it-IT"/>
              </w:rPr>
              <w:t>nastavi</w:t>
            </w:r>
            <w:proofErr w:type="spellEnd"/>
            <w:r w:rsidRPr="00DF4CE5">
              <w:rPr>
                <w:rFonts w:ascii="Cambria" w:hAnsi="Cambria"/>
                <w:sz w:val="22"/>
                <w:szCs w:val="22"/>
                <w:lang w:val="it-IT"/>
              </w:rPr>
              <w:t xml:space="preserve"> </w:t>
            </w:r>
            <w:proofErr w:type="spellStart"/>
            <w:r w:rsidRPr="00DF4CE5">
              <w:rPr>
                <w:rFonts w:ascii="Cambria" w:hAnsi="Cambria"/>
                <w:sz w:val="22"/>
                <w:szCs w:val="22"/>
                <w:lang w:val="it-IT"/>
              </w:rPr>
              <w:t>informatike</w:t>
            </w:r>
            <w:proofErr w:type="spellEnd"/>
          </w:p>
          <w:p w14:paraId="43D13A16" w14:textId="77777777" w:rsidR="001457BE" w:rsidRPr="00DF4CE5" w:rsidRDefault="001457BE" w:rsidP="00891E8C">
            <w:pPr>
              <w:pStyle w:val="Default"/>
              <w:rPr>
                <w:rFonts w:ascii="Cambria" w:hAnsi="Cambria"/>
                <w:sz w:val="22"/>
                <w:szCs w:val="22"/>
                <w:lang w:val="it-IT"/>
              </w:rPr>
            </w:pPr>
            <w:r w:rsidRPr="00DF4CE5">
              <w:rPr>
                <w:rFonts w:ascii="Cambria" w:hAnsi="Cambria"/>
                <w:sz w:val="22"/>
                <w:szCs w:val="22"/>
                <w:lang w:val="it-IT"/>
              </w:rPr>
              <w:t xml:space="preserve">3. </w:t>
            </w:r>
            <w:proofErr w:type="spellStart"/>
            <w:r w:rsidRPr="00DF4CE5">
              <w:rPr>
                <w:rFonts w:ascii="Cambria" w:hAnsi="Cambria"/>
                <w:sz w:val="22"/>
                <w:szCs w:val="22"/>
                <w:lang w:val="it-IT"/>
              </w:rPr>
              <w:t>definirati</w:t>
            </w:r>
            <w:proofErr w:type="spellEnd"/>
            <w:r w:rsidRPr="00DF4CE5">
              <w:rPr>
                <w:rFonts w:ascii="Cambria" w:hAnsi="Cambria"/>
                <w:sz w:val="22"/>
                <w:szCs w:val="22"/>
                <w:lang w:val="it-IT"/>
              </w:rPr>
              <w:t xml:space="preserve"> </w:t>
            </w:r>
            <w:proofErr w:type="spellStart"/>
            <w:r w:rsidRPr="00DF4CE5">
              <w:rPr>
                <w:rFonts w:ascii="Cambria" w:hAnsi="Cambria"/>
                <w:sz w:val="22"/>
                <w:szCs w:val="22"/>
                <w:lang w:val="it-IT"/>
              </w:rPr>
              <w:t>što</w:t>
            </w:r>
            <w:proofErr w:type="spellEnd"/>
            <w:r w:rsidRPr="00DF4CE5">
              <w:rPr>
                <w:rFonts w:ascii="Cambria" w:hAnsi="Cambria"/>
                <w:sz w:val="22"/>
                <w:szCs w:val="22"/>
                <w:lang w:val="it-IT"/>
              </w:rPr>
              <w:t xml:space="preserve"> je e-</w:t>
            </w:r>
            <w:proofErr w:type="spellStart"/>
            <w:r w:rsidRPr="00DF4CE5">
              <w:rPr>
                <w:rFonts w:ascii="Cambria" w:hAnsi="Cambria"/>
                <w:sz w:val="22"/>
                <w:szCs w:val="22"/>
                <w:lang w:val="it-IT"/>
              </w:rPr>
              <w:t>obrazovanje</w:t>
            </w:r>
            <w:proofErr w:type="spellEnd"/>
          </w:p>
          <w:p w14:paraId="4CAE2FF7" w14:textId="77777777" w:rsidR="001457BE" w:rsidRPr="00DF4CE5" w:rsidRDefault="001457BE" w:rsidP="00891E8C">
            <w:pPr>
              <w:pStyle w:val="Default"/>
              <w:rPr>
                <w:rFonts w:ascii="Cambria" w:hAnsi="Cambria"/>
                <w:sz w:val="22"/>
                <w:szCs w:val="22"/>
                <w:lang w:val="it-IT"/>
              </w:rPr>
            </w:pPr>
            <w:r w:rsidRPr="00DF4CE5">
              <w:rPr>
                <w:rFonts w:ascii="Cambria" w:hAnsi="Cambria"/>
                <w:sz w:val="22"/>
                <w:szCs w:val="22"/>
                <w:lang w:val="it-IT"/>
              </w:rPr>
              <w:t xml:space="preserve">4. </w:t>
            </w:r>
            <w:proofErr w:type="spellStart"/>
            <w:r w:rsidRPr="00DF4CE5">
              <w:rPr>
                <w:rFonts w:ascii="Cambria" w:hAnsi="Cambria"/>
                <w:sz w:val="22"/>
                <w:szCs w:val="22"/>
                <w:lang w:val="it-IT"/>
              </w:rPr>
              <w:t>analizirati</w:t>
            </w:r>
            <w:proofErr w:type="spellEnd"/>
            <w:r w:rsidRPr="00DF4CE5">
              <w:rPr>
                <w:rFonts w:ascii="Cambria" w:hAnsi="Cambria"/>
                <w:sz w:val="22"/>
                <w:szCs w:val="22"/>
                <w:lang w:val="it-IT"/>
              </w:rPr>
              <w:t xml:space="preserve"> </w:t>
            </w:r>
            <w:proofErr w:type="spellStart"/>
            <w:r w:rsidRPr="00DF4CE5">
              <w:rPr>
                <w:rFonts w:ascii="Cambria" w:hAnsi="Cambria"/>
                <w:sz w:val="22"/>
                <w:szCs w:val="22"/>
                <w:lang w:val="it-IT"/>
              </w:rPr>
              <w:t>različite</w:t>
            </w:r>
            <w:proofErr w:type="spellEnd"/>
            <w:r w:rsidRPr="00DF4CE5">
              <w:rPr>
                <w:rFonts w:ascii="Cambria" w:hAnsi="Cambria"/>
                <w:sz w:val="22"/>
                <w:szCs w:val="22"/>
                <w:lang w:val="it-IT"/>
              </w:rPr>
              <w:t xml:space="preserve"> </w:t>
            </w:r>
            <w:proofErr w:type="spellStart"/>
            <w:r w:rsidRPr="00DF4CE5">
              <w:rPr>
                <w:rFonts w:ascii="Cambria" w:hAnsi="Cambria"/>
                <w:sz w:val="22"/>
                <w:szCs w:val="22"/>
                <w:lang w:val="it-IT"/>
              </w:rPr>
              <w:t>pristupe</w:t>
            </w:r>
            <w:proofErr w:type="spellEnd"/>
            <w:r w:rsidRPr="00DF4CE5">
              <w:rPr>
                <w:rFonts w:ascii="Cambria" w:hAnsi="Cambria"/>
                <w:sz w:val="22"/>
                <w:szCs w:val="22"/>
                <w:lang w:val="it-IT"/>
              </w:rPr>
              <w:t xml:space="preserve"> e-</w:t>
            </w:r>
            <w:proofErr w:type="spellStart"/>
            <w:r w:rsidRPr="00DF4CE5">
              <w:rPr>
                <w:rFonts w:ascii="Cambria" w:hAnsi="Cambria"/>
                <w:sz w:val="22"/>
                <w:szCs w:val="22"/>
                <w:lang w:val="it-IT"/>
              </w:rPr>
              <w:t>obrazovanju</w:t>
            </w:r>
            <w:proofErr w:type="spellEnd"/>
            <w:r w:rsidRPr="00DF4CE5">
              <w:rPr>
                <w:rFonts w:ascii="Cambria" w:hAnsi="Cambria"/>
                <w:sz w:val="22"/>
                <w:szCs w:val="22"/>
                <w:lang w:val="it-IT"/>
              </w:rPr>
              <w:t xml:space="preserve"> radi </w:t>
            </w:r>
            <w:proofErr w:type="spellStart"/>
            <w:r w:rsidRPr="00DF4CE5">
              <w:rPr>
                <w:rFonts w:ascii="Cambria" w:hAnsi="Cambria"/>
                <w:sz w:val="22"/>
                <w:szCs w:val="22"/>
                <w:lang w:val="it-IT"/>
              </w:rPr>
              <w:t>odabira</w:t>
            </w:r>
            <w:proofErr w:type="spellEnd"/>
            <w:r w:rsidRPr="00DF4CE5">
              <w:rPr>
                <w:rFonts w:ascii="Cambria" w:hAnsi="Cambria"/>
                <w:sz w:val="22"/>
                <w:szCs w:val="22"/>
                <w:lang w:val="it-IT"/>
              </w:rPr>
              <w:t xml:space="preserve"> </w:t>
            </w:r>
            <w:proofErr w:type="spellStart"/>
            <w:r w:rsidRPr="00DF4CE5">
              <w:rPr>
                <w:rFonts w:ascii="Cambria" w:hAnsi="Cambria"/>
                <w:sz w:val="22"/>
                <w:szCs w:val="22"/>
                <w:lang w:val="it-IT"/>
              </w:rPr>
              <w:t>najkvalitetnijeg</w:t>
            </w:r>
            <w:proofErr w:type="spellEnd"/>
            <w:r w:rsidRPr="00DF4CE5">
              <w:rPr>
                <w:rFonts w:ascii="Cambria" w:hAnsi="Cambria"/>
                <w:sz w:val="22"/>
                <w:szCs w:val="22"/>
                <w:lang w:val="it-IT"/>
              </w:rPr>
              <w:t xml:space="preserve"> za </w:t>
            </w:r>
            <w:proofErr w:type="spellStart"/>
            <w:r w:rsidRPr="00DF4CE5">
              <w:rPr>
                <w:rFonts w:ascii="Cambria" w:hAnsi="Cambria"/>
                <w:sz w:val="22"/>
                <w:szCs w:val="22"/>
                <w:lang w:val="it-IT"/>
              </w:rPr>
              <w:t>konkretne</w:t>
            </w:r>
            <w:proofErr w:type="spellEnd"/>
            <w:r w:rsidRPr="00DF4CE5">
              <w:rPr>
                <w:rFonts w:ascii="Cambria" w:hAnsi="Cambria"/>
                <w:sz w:val="22"/>
                <w:szCs w:val="22"/>
                <w:lang w:val="it-IT"/>
              </w:rPr>
              <w:t xml:space="preserve"> </w:t>
            </w:r>
            <w:proofErr w:type="spellStart"/>
            <w:r w:rsidRPr="00DF4CE5">
              <w:rPr>
                <w:rFonts w:ascii="Cambria" w:hAnsi="Cambria"/>
                <w:sz w:val="22"/>
                <w:szCs w:val="22"/>
                <w:lang w:val="it-IT"/>
              </w:rPr>
              <w:t>potrebe</w:t>
            </w:r>
            <w:proofErr w:type="spellEnd"/>
          </w:p>
          <w:p w14:paraId="5172E5A1" w14:textId="77777777" w:rsidR="001457BE" w:rsidRPr="00DF4CE5" w:rsidRDefault="001457BE" w:rsidP="00891E8C">
            <w:pPr>
              <w:pStyle w:val="Default"/>
              <w:rPr>
                <w:rFonts w:ascii="Cambria" w:hAnsi="Cambria"/>
                <w:sz w:val="22"/>
                <w:szCs w:val="22"/>
                <w:lang w:val="it-IT"/>
              </w:rPr>
            </w:pPr>
            <w:r w:rsidRPr="00DF4CE5">
              <w:rPr>
                <w:rFonts w:ascii="Cambria" w:hAnsi="Cambria"/>
                <w:sz w:val="22"/>
                <w:szCs w:val="22"/>
                <w:lang w:val="it-IT"/>
              </w:rPr>
              <w:t xml:space="preserve">5. </w:t>
            </w:r>
            <w:proofErr w:type="spellStart"/>
            <w:r w:rsidRPr="00DF4CE5">
              <w:rPr>
                <w:rFonts w:ascii="Cambria" w:hAnsi="Cambria"/>
                <w:sz w:val="22"/>
                <w:szCs w:val="22"/>
                <w:lang w:val="it-IT"/>
              </w:rPr>
              <w:t>razlikovati</w:t>
            </w:r>
            <w:proofErr w:type="spellEnd"/>
            <w:r w:rsidRPr="00DF4CE5">
              <w:rPr>
                <w:rFonts w:ascii="Cambria" w:hAnsi="Cambria"/>
                <w:sz w:val="22"/>
                <w:szCs w:val="22"/>
                <w:lang w:val="it-IT"/>
              </w:rPr>
              <w:t xml:space="preserve"> </w:t>
            </w:r>
            <w:proofErr w:type="spellStart"/>
            <w:r w:rsidRPr="00DF4CE5">
              <w:rPr>
                <w:rFonts w:ascii="Cambria" w:hAnsi="Cambria"/>
                <w:sz w:val="22"/>
                <w:szCs w:val="22"/>
                <w:lang w:val="it-IT"/>
              </w:rPr>
              <w:t>oblike</w:t>
            </w:r>
            <w:proofErr w:type="spellEnd"/>
            <w:r w:rsidRPr="00DF4CE5">
              <w:rPr>
                <w:rFonts w:ascii="Cambria" w:hAnsi="Cambria"/>
                <w:sz w:val="22"/>
                <w:szCs w:val="22"/>
                <w:lang w:val="it-IT"/>
              </w:rPr>
              <w:t xml:space="preserve"> online </w:t>
            </w:r>
            <w:proofErr w:type="spellStart"/>
            <w:r w:rsidRPr="00DF4CE5">
              <w:rPr>
                <w:rFonts w:ascii="Cambria" w:hAnsi="Cambria"/>
                <w:sz w:val="22"/>
                <w:szCs w:val="22"/>
                <w:lang w:val="it-IT"/>
              </w:rPr>
              <w:t>komunikacije</w:t>
            </w:r>
            <w:proofErr w:type="spellEnd"/>
            <w:r w:rsidRPr="00DF4CE5">
              <w:rPr>
                <w:rFonts w:ascii="Cambria" w:hAnsi="Cambria"/>
                <w:sz w:val="22"/>
                <w:szCs w:val="22"/>
                <w:lang w:val="it-IT"/>
              </w:rPr>
              <w:t xml:space="preserve"> i </w:t>
            </w:r>
            <w:proofErr w:type="spellStart"/>
            <w:r w:rsidRPr="00DF4CE5">
              <w:rPr>
                <w:rFonts w:ascii="Cambria" w:hAnsi="Cambria"/>
                <w:sz w:val="22"/>
                <w:szCs w:val="22"/>
                <w:lang w:val="it-IT"/>
              </w:rPr>
              <w:t>provjera</w:t>
            </w:r>
            <w:proofErr w:type="spellEnd"/>
            <w:r w:rsidRPr="00DF4CE5">
              <w:rPr>
                <w:rFonts w:ascii="Cambria" w:hAnsi="Cambria"/>
                <w:sz w:val="22"/>
                <w:szCs w:val="22"/>
                <w:lang w:val="it-IT"/>
              </w:rPr>
              <w:t xml:space="preserve"> </w:t>
            </w:r>
            <w:proofErr w:type="spellStart"/>
            <w:r w:rsidRPr="00DF4CE5">
              <w:rPr>
                <w:rFonts w:ascii="Cambria" w:hAnsi="Cambria"/>
                <w:sz w:val="22"/>
                <w:szCs w:val="22"/>
                <w:lang w:val="it-IT"/>
              </w:rPr>
              <w:t>znanja</w:t>
            </w:r>
            <w:proofErr w:type="spellEnd"/>
          </w:p>
          <w:p w14:paraId="3FE03598" w14:textId="77777777" w:rsidR="001457BE" w:rsidRPr="00DF4CE5" w:rsidRDefault="001457BE" w:rsidP="00891E8C">
            <w:pPr>
              <w:pStyle w:val="Default"/>
              <w:rPr>
                <w:rFonts w:ascii="Cambria" w:hAnsi="Cambria"/>
                <w:sz w:val="22"/>
                <w:szCs w:val="22"/>
                <w:lang w:val="it-IT"/>
              </w:rPr>
            </w:pPr>
            <w:r w:rsidRPr="00DF4CE5">
              <w:rPr>
                <w:rFonts w:ascii="Cambria" w:hAnsi="Cambria"/>
                <w:sz w:val="22"/>
                <w:szCs w:val="22"/>
                <w:lang w:val="it-IT"/>
              </w:rPr>
              <w:t xml:space="preserve">6. </w:t>
            </w:r>
            <w:proofErr w:type="spellStart"/>
            <w:r w:rsidRPr="00DF4CE5">
              <w:rPr>
                <w:rFonts w:ascii="Cambria" w:hAnsi="Cambria"/>
                <w:sz w:val="22"/>
                <w:szCs w:val="22"/>
                <w:lang w:val="it-IT"/>
              </w:rPr>
              <w:t>implementirati</w:t>
            </w:r>
            <w:proofErr w:type="spellEnd"/>
            <w:r w:rsidRPr="00DF4CE5">
              <w:rPr>
                <w:rFonts w:ascii="Cambria" w:hAnsi="Cambria"/>
                <w:sz w:val="22"/>
                <w:szCs w:val="22"/>
                <w:lang w:val="it-IT"/>
              </w:rPr>
              <w:t xml:space="preserve"> </w:t>
            </w:r>
            <w:proofErr w:type="spellStart"/>
            <w:r w:rsidRPr="00DF4CE5">
              <w:rPr>
                <w:rFonts w:ascii="Cambria" w:hAnsi="Cambria"/>
                <w:sz w:val="22"/>
                <w:szCs w:val="22"/>
                <w:lang w:val="it-IT"/>
              </w:rPr>
              <w:t>jednostavnije</w:t>
            </w:r>
            <w:proofErr w:type="spellEnd"/>
            <w:r w:rsidRPr="00DF4CE5">
              <w:rPr>
                <w:rFonts w:ascii="Cambria" w:hAnsi="Cambria"/>
                <w:sz w:val="22"/>
                <w:szCs w:val="22"/>
                <w:lang w:val="it-IT"/>
              </w:rPr>
              <w:t xml:space="preserve"> </w:t>
            </w:r>
            <w:proofErr w:type="spellStart"/>
            <w:r w:rsidRPr="00DF4CE5">
              <w:rPr>
                <w:rFonts w:ascii="Cambria" w:hAnsi="Cambria"/>
                <w:sz w:val="22"/>
                <w:szCs w:val="22"/>
                <w:lang w:val="it-IT"/>
              </w:rPr>
              <w:t>oblike</w:t>
            </w:r>
            <w:proofErr w:type="spellEnd"/>
            <w:r w:rsidRPr="00DF4CE5">
              <w:rPr>
                <w:rFonts w:ascii="Cambria" w:hAnsi="Cambria"/>
                <w:sz w:val="22"/>
                <w:szCs w:val="22"/>
                <w:lang w:val="it-IT"/>
              </w:rPr>
              <w:t xml:space="preserve"> u </w:t>
            </w:r>
            <w:proofErr w:type="spellStart"/>
            <w:r w:rsidRPr="00DF4CE5">
              <w:rPr>
                <w:rFonts w:ascii="Cambria" w:hAnsi="Cambria"/>
                <w:sz w:val="22"/>
                <w:szCs w:val="22"/>
                <w:lang w:val="it-IT"/>
              </w:rPr>
              <w:t>hipermedijsku</w:t>
            </w:r>
            <w:proofErr w:type="spellEnd"/>
            <w:r w:rsidRPr="00DF4CE5">
              <w:rPr>
                <w:rFonts w:ascii="Cambria" w:hAnsi="Cambria"/>
                <w:sz w:val="22"/>
                <w:szCs w:val="22"/>
                <w:lang w:val="it-IT"/>
              </w:rPr>
              <w:t xml:space="preserve"> </w:t>
            </w:r>
            <w:proofErr w:type="spellStart"/>
            <w:r w:rsidRPr="00DF4CE5">
              <w:rPr>
                <w:rFonts w:ascii="Cambria" w:hAnsi="Cambria"/>
                <w:sz w:val="22"/>
                <w:szCs w:val="22"/>
                <w:lang w:val="it-IT"/>
              </w:rPr>
              <w:t>programsku</w:t>
            </w:r>
            <w:proofErr w:type="spellEnd"/>
            <w:r w:rsidRPr="00DF4CE5">
              <w:rPr>
                <w:rFonts w:ascii="Cambria" w:hAnsi="Cambria"/>
                <w:sz w:val="22"/>
                <w:szCs w:val="22"/>
                <w:lang w:val="it-IT"/>
              </w:rPr>
              <w:t xml:space="preserve"> </w:t>
            </w:r>
            <w:proofErr w:type="spellStart"/>
            <w:r w:rsidRPr="00DF4CE5">
              <w:rPr>
                <w:rFonts w:ascii="Cambria" w:hAnsi="Cambria"/>
                <w:sz w:val="22"/>
                <w:szCs w:val="22"/>
                <w:lang w:val="it-IT"/>
              </w:rPr>
              <w:t>potporu</w:t>
            </w:r>
            <w:proofErr w:type="spellEnd"/>
            <w:r w:rsidRPr="00DF4CE5">
              <w:rPr>
                <w:rFonts w:ascii="Cambria" w:hAnsi="Cambria"/>
                <w:sz w:val="22"/>
                <w:szCs w:val="22"/>
                <w:lang w:val="it-IT"/>
              </w:rPr>
              <w:t xml:space="preserve"> za </w:t>
            </w:r>
            <w:proofErr w:type="spellStart"/>
            <w:r w:rsidRPr="00DF4CE5">
              <w:rPr>
                <w:rFonts w:ascii="Cambria" w:hAnsi="Cambria"/>
                <w:sz w:val="22"/>
                <w:szCs w:val="22"/>
                <w:lang w:val="it-IT"/>
              </w:rPr>
              <w:t>učenje</w:t>
            </w:r>
            <w:proofErr w:type="spellEnd"/>
          </w:p>
        </w:tc>
      </w:tr>
      <w:tr w:rsidR="001457BE" w:rsidRPr="00D0399C" w14:paraId="3A125E1C" w14:textId="77777777" w:rsidTr="00891E8C">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782E40D8" w14:textId="77777777" w:rsidR="001457BE" w:rsidRPr="00DF4CE5" w:rsidRDefault="001457BE" w:rsidP="00891E8C">
            <w:pPr>
              <w:pStyle w:val="Default"/>
              <w:rPr>
                <w:rFonts w:ascii="Cambria" w:hAnsi="Cambria"/>
                <w:sz w:val="22"/>
                <w:szCs w:val="22"/>
              </w:rPr>
            </w:pPr>
            <w:proofErr w:type="spellStart"/>
            <w:r w:rsidRPr="00DF4CE5">
              <w:rPr>
                <w:rFonts w:ascii="Cambria" w:hAnsi="Cambria"/>
                <w:sz w:val="22"/>
                <w:szCs w:val="22"/>
              </w:rPr>
              <w:t>Sadržaj</w:t>
            </w:r>
            <w:proofErr w:type="spellEnd"/>
            <w:r w:rsidRPr="00DF4CE5">
              <w:rPr>
                <w:rFonts w:ascii="Cambria" w:hAnsi="Cambria"/>
                <w:sz w:val="22"/>
                <w:szCs w:val="22"/>
              </w:rPr>
              <w:t xml:space="preserve"> </w:t>
            </w:r>
            <w:proofErr w:type="spellStart"/>
            <w:r w:rsidRPr="00DF4CE5">
              <w:rPr>
                <w:rFonts w:ascii="Cambria" w:hAnsi="Cambria"/>
                <w:sz w:val="22"/>
                <w:szCs w:val="22"/>
              </w:rPr>
              <w:t>kolegija</w:t>
            </w:r>
            <w:proofErr w:type="spellEnd"/>
          </w:p>
        </w:tc>
        <w:tc>
          <w:tcPr>
            <w:tcW w:w="6516"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17AA006" w14:textId="158B86F8" w:rsidR="001457BE" w:rsidRPr="00DF4CE5" w:rsidRDefault="001457BE" w:rsidP="00891E8C">
            <w:pPr>
              <w:pStyle w:val="Default"/>
              <w:rPr>
                <w:rFonts w:ascii="Cambria" w:hAnsi="Cambria"/>
                <w:sz w:val="22"/>
                <w:szCs w:val="22"/>
              </w:rPr>
            </w:pPr>
            <w:r w:rsidRPr="00DF4CE5">
              <w:rPr>
                <w:rFonts w:ascii="Cambria" w:hAnsi="Cambria"/>
                <w:sz w:val="22"/>
                <w:szCs w:val="22"/>
              </w:rPr>
              <w:t xml:space="preserve">1. </w:t>
            </w:r>
            <w:proofErr w:type="spellStart"/>
            <w:r w:rsidRPr="00DF4CE5">
              <w:rPr>
                <w:rFonts w:ascii="Cambria" w:hAnsi="Cambria"/>
                <w:sz w:val="22"/>
                <w:szCs w:val="22"/>
              </w:rPr>
              <w:t>Kognitivni</w:t>
            </w:r>
            <w:proofErr w:type="spellEnd"/>
            <w:r w:rsidRPr="00DF4CE5">
              <w:rPr>
                <w:rFonts w:ascii="Cambria" w:hAnsi="Cambria"/>
                <w:sz w:val="22"/>
                <w:szCs w:val="22"/>
              </w:rPr>
              <w:t xml:space="preserve"> </w:t>
            </w:r>
            <w:proofErr w:type="spellStart"/>
            <w:r w:rsidRPr="00DF4CE5">
              <w:rPr>
                <w:rFonts w:ascii="Cambria" w:hAnsi="Cambria"/>
                <w:sz w:val="22"/>
                <w:szCs w:val="22"/>
              </w:rPr>
              <w:t>aspekt</w:t>
            </w:r>
            <w:proofErr w:type="spellEnd"/>
            <w:r w:rsidRPr="00DF4CE5">
              <w:rPr>
                <w:rFonts w:ascii="Cambria" w:hAnsi="Cambria"/>
                <w:sz w:val="22"/>
                <w:szCs w:val="22"/>
              </w:rPr>
              <w:t xml:space="preserve"> </w:t>
            </w:r>
            <w:proofErr w:type="spellStart"/>
            <w:r w:rsidRPr="00DF4CE5">
              <w:rPr>
                <w:rFonts w:ascii="Cambria" w:hAnsi="Cambria"/>
                <w:sz w:val="22"/>
                <w:szCs w:val="22"/>
              </w:rPr>
              <w:t>razvoja</w:t>
            </w:r>
            <w:proofErr w:type="spellEnd"/>
            <w:r w:rsidRPr="00DF4CE5">
              <w:rPr>
                <w:rFonts w:ascii="Cambria" w:hAnsi="Cambria"/>
                <w:sz w:val="22"/>
                <w:szCs w:val="22"/>
              </w:rPr>
              <w:t xml:space="preserve"> </w:t>
            </w:r>
            <w:proofErr w:type="spellStart"/>
            <w:r w:rsidRPr="00DF4CE5">
              <w:rPr>
                <w:rFonts w:ascii="Cambria" w:hAnsi="Cambria"/>
                <w:sz w:val="22"/>
                <w:szCs w:val="22"/>
              </w:rPr>
              <w:t>pri</w:t>
            </w:r>
            <w:proofErr w:type="spellEnd"/>
            <w:r w:rsidRPr="00DF4CE5">
              <w:rPr>
                <w:rFonts w:ascii="Cambria" w:hAnsi="Cambria"/>
                <w:sz w:val="22"/>
                <w:szCs w:val="22"/>
              </w:rPr>
              <w:t xml:space="preserve"> </w:t>
            </w:r>
            <w:proofErr w:type="spellStart"/>
            <w:proofErr w:type="gramStart"/>
            <w:r w:rsidRPr="00DF4CE5">
              <w:rPr>
                <w:rFonts w:ascii="Cambria" w:hAnsi="Cambria"/>
                <w:sz w:val="22"/>
                <w:szCs w:val="22"/>
              </w:rPr>
              <w:t>učenju</w:t>
            </w:r>
            <w:proofErr w:type="spellEnd"/>
            <w:r w:rsidRPr="00DF4CE5">
              <w:rPr>
                <w:rFonts w:ascii="Cambria" w:hAnsi="Cambria"/>
                <w:sz w:val="22"/>
                <w:szCs w:val="22"/>
              </w:rPr>
              <w:t>(</w:t>
            </w:r>
            <w:proofErr w:type="spellStart"/>
            <w:proofErr w:type="gramEnd"/>
            <w:r w:rsidRPr="00DF4CE5">
              <w:rPr>
                <w:rFonts w:ascii="Cambria" w:hAnsi="Cambria"/>
                <w:sz w:val="22"/>
                <w:szCs w:val="22"/>
              </w:rPr>
              <w:t>različite</w:t>
            </w:r>
            <w:proofErr w:type="spellEnd"/>
            <w:r w:rsidRPr="00DF4CE5">
              <w:rPr>
                <w:rFonts w:ascii="Cambria" w:hAnsi="Cambria"/>
                <w:sz w:val="22"/>
                <w:szCs w:val="22"/>
              </w:rPr>
              <w:t xml:space="preserve"> </w:t>
            </w:r>
            <w:proofErr w:type="spellStart"/>
            <w:r w:rsidRPr="00DF4CE5">
              <w:rPr>
                <w:rFonts w:ascii="Cambria" w:hAnsi="Cambria"/>
                <w:sz w:val="22"/>
                <w:szCs w:val="22"/>
              </w:rPr>
              <w:t>škole</w:t>
            </w:r>
            <w:proofErr w:type="spellEnd"/>
            <w:r w:rsidRPr="00DF4CE5">
              <w:rPr>
                <w:rFonts w:ascii="Cambria" w:hAnsi="Cambria"/>
                <w:sz w:val="22"/>
                <w:szCs w:val="22"/>
              </w:rPr>
              <w:t>)</w:t>
            </w:r>
          </w:p>
          <w:p w14:paraId="7859BBE6" w14:textId="73F83EBB" w:rsidR="001457BE" w:rsidRPr="00FB6606" w:rsidRDefault="001457BE" w:rsidP="00891E8C">
            <w:pPr>
              <w:pStyle w:val="Default"/>
              <w:rPr>
                <w:rFonts w:ascii="Cambria" w:hAnsi="Cambria"/>
                <w:sz w:val="22"/>
                <w:szCs w:val="22"/>
              </w:rPr>
            </w:pPr>
            <w:r w:rsidRPr="00FB6606">
              <w:rPr>
                <w:rFonts w:ascii="Cambria" w:hAnsi="Cambria"/>
                <w:sz w:val="22"/>
                <w:szCs w:val="22"/>
              </w:rPr>
              <w:t xml:space="preserve">2. </w:t>
            </w:r>
            <w:proofErr w:type="spellStart"/>
            <w:r w:rsidRPr="00FB6606">
              <w:rPr>
                <w:rFonts w:ascii="Cambria" w:hAnsi="Cambria"/>
                <w:sz w:val="22"/>
                <w:szCs w:val="22"/>
              </w:rPr>
              <w:t>Psihološki</w:t>
            </w:r>
            <w:proofErr w:type="spellEnd"/>
            <w:r w:rsidRPr="00FB6606">
              <w:rPr>
                <w:rFonts w:ascii="Cambria" w:hAnsi="Cambria"/>
                <w:sz w:val="22"/>
                <w:szCs w:val="22"/>
              </w:rPr>
              <w:t xml:space="preserve"> </w:t>
            </w:r>
            <w:proofErr w:type="spellStart"/>
            <w:r w:rsidRPr="00FB6606">
              <w:rPr>
                <w:rFonts w:ascii="Cambria" w:hAnsi="Cambria"/>
                <w:sz w:val="22"/>
                <w:szCs w:val="22"/>
              </w:rPr>
              <w:t>tipovi</w:t>
            </w:r>
            <w:proofErr w:type="spellEnd"/>
            <w:r w:rsidRPr="00FB6606">
              <w:rPr>
                <w:rFonts w:ascii="Cambria" w:hAnsi="Cambria"/>
                <w:sz w:val="22"/>
                <w:szCs w:val="22"/>
              </w:rPr>
              <w:t xml:space="preserve"> </w:t>
            </w:r>
            <w:proofErr w:type="spellStart"/>
            <w:r w:rsidRPr="00FB6606">
              <w:rPr>
                <w:rFonts w:ascii="Cambria" w:hAnsi="Cambria"/>
                <w:sz w:val="22"/>
                <w:szCs w:val="22"/>
              </w:rPr>
              <w:t>i</w:t>
            </w:r>
            <w:proofErr w:type="spellEnd"/>
            <w:r w:rsidRPr="00FB6606">
              <w:rPr>
                <w:rFonts w:ascii="Cambria" w:hAnsi="Cambria"/>
                <w:sz w:val="22"/>
                <w:szCs w:val="22"/>
              </w:rPr>
              <w:t xml:space="preserve"> </w:t>
            </w:r>
            <w:proofErr w:type="spellStart"/>
            <w:r w:rsidRPr="00FB6606">
              <w:rPr>
                <w:rFonts w:ascii="Cambria" w:hAnsi="Cambria"/>
                <w:sz w:val="22"/>
                <w:szCs w:val="22"/>
              </w:rPr>
              <w:t>informatičko</w:t>
            </w:r>
            <w:proofErr w:type="spellEnd"/>
            <w:r w:rsidRPr="00FB6606">
              <w:rPr>
                <w:rFonts w:ascii="Cambria" w:hAnsi="Cambria"/>
                <w:sz w:val="22"/>
                <w:szCs w:val="22"/>
              </w:rPr>
              <w:t xml:space="preserve"> </w:t>
            </w:r>
            <w:proofErr w:type="spellStart"/>
            <w:r w:rsidRPr="00FB6606">
              <w:rPr>
                <w:rFonts w:ascii="Cambria" w:hAnsi="Cambria"/>
                <w:sz w:val="22"/>
                <w:szCs w:val="22"/>
              </w:rPr>
              <w:t>obrazovanje</w:t>
            </w:r>
            <w:proofErr w:type="spellEnd"/>
          </w:p>
          <w:p w14:paraId="258A6FD3" w14:textId="3A33E580" w:rsidR="001457BE" w:rsidRPr="00FB6606" w:rsidRDefault="001457BE" w:rsidP="00891E8C">
            <w:pPr>
              <w:pStyle w:val="Default"/>
              <w:rPr>
                <w:rFonts w:ascii="Cambria" w:hAnsi="Cambria"/>
                <w:sz w:val="22"/>
                <w:szCs w:val="22"/>
              </w:rPr>
            </w:pPr>
            <w:r w:rsidRPr="00FB6606">
              <w:rPr>
                <w:rFonts w:ascii="Cambria" w:hAnsi="Cambria"/>
                <w:sz w:val="22"/>
                <w:szCs w:val="22"/>
              </w:rPr>
              <w:t xml:space="preserve">3. </w:t>
            </w:r>
            <w:proofErr w:type="spellStart"/>
            <w:r w:rsidRPr="00FB6606">
              <w:rPr>
                <w:rFonts w:ascii="Cambria" w:hAnsi="Cambria"/>
                <w:sz w:val="22"/>
                <w:szCs w:val="22"/>
              </w:rPr>
              <w:t>Poteškoće</w:t>
            </w:r>
            <w:proofErr w:type="spellEnd"/>
            <w:r w:rsidRPr="00FB6606">
              <w:rPr>
                <w:rFonts w:ascii="Cambria" w:hAnsi="Cambria"/>
                <w:sz w:val="22"/>
                <w:szCs w:val="22"/>
              </w:rPr>
              <w:t xml:space="preserve"> </w:t>
            </w:r>
            <w:proofErr w:type="spellStart"/>
            <w:r w:rsidRPr="00FB6606">
              <w:rPr>
                <w:rFonts w:ascii="Cambria" w:hAnsi="Cambria"/>
                <w:sz w:val="22"/>
                <w:szCs w:val="22"/>
              </w:rPr>
              <w:t>kod</w:t>
            </w:r>
            <w:proofErr w:type="spellEnd"/>
            <w:r w:rsidRPr="00FB6606">
              <w:rPr>
                <w:rFonts w:ascii="Cambria" w:hAnsi="Cambria"/>
                <w:sz w:val="22"/>
                <w:szCs w:val="22"/>
              </w:rPr>
              <w:t xml:space="preserve"> </w:t>
            </w:r>
            <w:proofErr w:type="spellStart"/>
            <w:r w:rsidRPr="00FB6606">
              <w:rPr>
                <w:rFonts w:ascii="Cambria" w:hAnsi="Cambria"/>
                <w:sz w:val="22"/>
                <w:szCs w:val="22"/>
              </w:rPr>
              <w:t>učenja</w:t>
            </w:r>
            <w:proofErr w:type="spellEnd"/>
            <w:r w:rsidRPr="00FB6606">
              <w:rPr>
                <w:rFonts w:ascii="Cambria" w:hAnsi="Cambria"/>
                <w:sz w:val="22"/>
                <w:szCs w:val="22"/>
              </w:rPr>
              <w:t xml:space="preserve"> </w:t>
            </w:r>
            <w:proofErr w:type="spellStart"/>
            <w:r w:rsidRPr="00FB6606">
              <w:rPr>
                <w:rFonts w:ascii="Cambria" w:hAnsi="Cambria"/>
                <w:sz w:val="22"/>
                <w:szCs w:val="22"/>
              </w:rPr>
              <w:t>informatičkih</w:t>
            </w:r>
            <w:proofErr w:type="spellEnd"/>
            <w:r w:rsidRPr="00FB6606">
              <w:rPr>
                <w:rFonts w:ascii="Cambria" w:hAnsi="Cambria"/>
                <w:sz w:val="22"/>
                <w:szCs w:val="22"/>
              </w:rPr>
              <w:t xml:space="preserve"> </w:t>
            </w:r>
            <w:proofErr w:type="spellStart"/>
            <w:r w:rsidRPr="00FB6606">
              <w:rPr>
                <w:rFonts w:ascii="Cambria" w:hAnsi="Cambria"/>
                <w:sz w:val="22"/>
                <w:szCs w:val="22"/>
              </w:rPr>
              <w:t>sadržaja</w:t>
            </w:r>
            <w:proofErr w:type="spellEnd"/>
            <w:r w:rsidRPr="00FB6606">
              <w:rPr>
                <w:rFonts w:ascii="Cambria" w:hAnsi="Cambria"/>
                <w:sz w:val="22"/>
                <w:szCs w:val="22"/>
              </w:rPr>
              <w:t xml:space="preserve"> </w:t>
            </w:r>
            <w:proofErr w:type="spellStart"/>
            <w:r w:rsidRPr="00FB6606">
              <w:rPr>
                <w:rFonts w:ascii="Cambria" w:hAnsi="Cambria"/>
                <w:sz w:val="22"/>
                <w:szCs w:val="22"/>
              </w:rPr>
              <w:t>i</w:t>
            </w:r>
            <w:proofErr w:type="spellEnd"/>
            <w:r w:rsidRPr="00FB6606">
              <w:rPr>
                <w:rFonts w:ascii="Cambria" w:hAnsi="Cambria"/>
                <w:sz w:val="22"/>
                <w:szCs w:val="22"/>
              </w:rPr>
              <w:t xml:space="preserve"> </w:t>
            </w:r>
            <w:proofErr w:type="spellStart"/>
            <w:r w:rsidRPr="00FB6606">
              <w:rPr>
                <w:rFonts w:ascii="Cambria" w:hAnsi="Cambria"/>
                <w:sz w:val="22"/>
                <w:szCs w:val="22"/>
              </w:rPr>
              <w:t>njihovo</w:t>
            </w:r>
            <w:proofErr w:type="spellEnd"/>
            <w:r w:rsidRPr="00FB6606">
              <w:rPr>
                <w:rFonts w:ascii="Cambria" w:hAnsi="Cambria"/>
                <w:sz w:val="22"/>
                <w:szCs w:val="22"/>
              </w:rPr>
              <w:t xml:space="preserve"> </w:t>
            </w:r>
            <w:proofErr w:type="spellStart"/>
            <w:r w:rsidRPr="00FB6606">
              <w:rPr>
                <w:rFonts w:ascii="Cambria" w:hAnsi="Cambria"/>
                <w:sz w:val="22"/>
                <w:szCs w:val="22"/>
              </w:rPr>
              <w:t>prevladavanje</w:t>
            </w:r>
            <w:proofErr w:type="spellEnd"/>
          </w:p>
          <w:p w14:paraId="4AF0C280" w14:textId="6C9F66B4" w:rsidR="001457BE" w:rsidRPr="00DF4CE5" w:rsidRDefault="001457BE" w:rsidP="00891E8C">
            <w:pPr>
              <w:pStyle w:val="Default"/>
              <w:rPr>
                <w:rFonts w:ascii="Cambria" w:hAnsi="Cambria"/>
                <w:sz w:val="22"/>
                <w:szCs w:val="22"/>
                <w:lang w:val="it-IT"/>
              </w:rPr>
            </w:pPr>
            <w:r w:rsidRPr="00DF4CE5">
              <w:rPr>
                <w:rFonts w:ascii="Cambria" w:hAnsi="Cambria"/>
                <w:sz w:val="22"/>
                <w:szCs w:val="22"/>
                <w:lang w:val="it-IT"/>
              </w:rPr>
              <w:t xml:space="preserve">4. </w:t>
            </w:r>
            <w:proofErr w:type="spellStart"/>
            <w:r w:rsidRPr="00DF4CE5">
              <w:rPr>
                <w:rFonts w:ascii="Cambria" w:hAnsi="Cambria"/>
                <w:sz w:val="22"/>
                <w:szCs w:val="22"/>
                <w:lang w:val="it-IT"/>
              </w:rPr>
              <w:t>Metode</w:t>
            </w:r>
            <w:proofErr w:type="spellEnd"/>
            <w:r w:rsidRPr="00DF4CE5">
              <w:rPr>
                <w:rFonts w:ascii="Cambria" w:hAnsi="Cambria"/>
                <w:sz w:val="22"/>
                <w:szCs w:val="22"/>
                <w:lang w:val="it-IT"/>
              </w:rPr>
              <w:t xml:space="preserve"> </w:t>
            </w:r>
            <w:proofErr w:type="spellStart"/>
            <w:r w:rsidRPr="00DF4CE5">
              <w:rPr>
                <w:rFonts w:ascii="Cambria" w:hAnsi="Cambria"/>
                <w:sz w:val="22"/>
                <w:szCs w:val="22"/>
                <w:lang w:val="it-IT"/>
              </w:rPr>
              <w:t>kojima</w:t>
            </w:r>
            <w:proofErr w:type="spellEnd"/>
            <w:r w:rsidRPr="00DF4CE5">
              <w:rPr>
                <w:rFonts w:ascii="Cambria" w:hAnsi="Cambria"/>
                <w:sz w:val="22"/>
                <w:szCs w:val="22"/>
                <w:lang w:val="it-IT"/>
              </w:rPr>
              <w:t xml:space="preserve"> se </w:t>
            </w:r>
            <w:proofErr w:type="spellStart"/>
            <w:r w:rsidRPr="00DF4CE5">
              <w:rPr>
                <w:rFonts w:ascii="Cambria" w:hAnsi="Cambria"/>
                <w:sz w:val="22"/>
                <w:szCs w:val="22"/>
                <w:lang w:val="it-IT"/>
              </w:rPr>
              <w:t>provjerava</w:t>
            </w:r>
            <w:proofErr w:type="spellEnd"/>
            <w:r w:rsidRPr="00DF4CE5">
              <w:rPr>
                <w:rFonts w:ascii="Cambria" w:hAnsi="Cambria"/>
                <w:sz w:val="22"/>
                <w:szCs w:val="22"/>
                <w:lang w:val="it-IT"/>
              </w:rPr>
              <w:t xml:space="preserve"> </w:t>
            </w:r>
            <w:proofErr w:type="spellStart"/>
            <w:r w:rsidRPr="00DF4CE5">
              <w:rPr>
                <w:rFonts w:ascii="Cambria" w:hAnsi="Cambria"/>
                <w:sz w:val="22"/>
                <w:szCs w:val="22"/>
                <w:lang w:val="it-IT"/>
              </w:rPr>
              <w:t>stupanj</w:t>
            </w:r>
            <w:proofErr w:type="spellEnd"/>
            <w:r w:rsidRPr="00DF4CE5">
              <w:rPr>
                <w:rFonts w:ascii="Cambria" w:hAnsi="Cambria"/>
                <w:sz w:val="22"/>
                <w:szCs w:val="22"/>
                <w:lang w:val="it-IT"/>
              </w:rPr>
              <w:t xml:space="preserve"> </w:t>
            </w:r>
            <w:proofErr w:type="spellStart"/>
            <w:r w:rsidRPr="00DF4CE5">
              <w:rPr>
                <w:rFonts w:ascii="Cambria" w:hAnsi="Cambria"/>
                <w:sz w:val="22"/>
                <w:szCs w:val="22"/>
                <w:lang w:val="it-IT"/>
              </w:rPr>
              <w:t>stečenog</w:t>
            </w:r>
            <w:proofErr w:type="spellEnd"/>
            <w:r w:rsidRPr="00DF4CE5">
              <w:rPr>
                <w:rFonts w:ascii="Cambria" w:hAnsi="Cambria"/>
                <w:sz w:val="22"/>
                <w:szCs w:val="22"/>
                <w:lang w:val="it-IT"/>
              </w:rPr>
              <w:t xml:space="preserve"> </w:t>
            </w:r>
            <w:proofErr w:type="spellStart"/>
            <w:r w:rsidRPr="00DF4CE5">
              <w:rPr>
                <w:rFonts w:ascii="Cambria" w:hAnsi="Cambria"/>
                <w:sz w:val="22"/>
                <w:szCs w:val="22"/>
                <w:lang w:val="it-IT"/>
              </w:rPr>
              <w:t>znanja</w:t>
            </w:r>
            <w:proofErr w:type="spellEnd"/>
            <w:r w:rsidRPr="00DF4CE5">
              <w:rPr>
                <w:rFonts w:ascii="Cambria" w:hAnsi="Cambria"/>
                <w:sz w:val="22"/>
                <w:szCs w:val="22"/>
                <w:lang w:val="it-IT"/>
              </w:rPr>
              <w:t xml:space="preserve"> i prati </w:t>
            </w:r>
            <w:proofErr w:type="spellStart"/>
            <w:r w:rsidRPr="00DF4CE5">
              <w:rPr>
                <w:rFonts w:ascii="Cambria" w:hAnsi="Cambria"/>
                <w:sz w:val="22"/>
                <w:szCs w:val="22"/>
                <w:lang w:val="it-IT"/>
              </w:rPr>
              <w:t>napredak</w:t>
            </w:r>
            <w:proofErr w:type="spellEnd"/>
            <w:r w:rsidRPr="00DF4CE5">
              <w:rPr>
                <w:rFonts w:ascii="Cambria" w:hAnsi="Cambria"/>
                <w:sz w:val="22"/>
                <w:szCs w:val="22"/>
                <w:lang w:val="it-IT"/>
              </w:rPr>
              <w:t xml:space="preserve"> </w:t>
            </w:r>
            <w:proofErr w:type="spellStart"/>
            <w:r w:rsidRPr="00DF4CE5">
              <w:rPr>
                <w:rFonts w:ascii="Cambria" w:hAnsi="Cambria"/>
                <w:sz w:val="22"/>
                <w:szCs w:val="22"/>
                <w:lang w:val="it-IT"/>
              </w:rPr>
              <w:t>učenika</w:t>
            </w:r>
            <w:proofErr w:type="spellEnd"/>
          </w:p>
          <w:p w14:paraId="116281F8" w14:textId="574AD377" w:rsidR="001457BE" w:rsidRPr="00DF4CE5" w:rsidRDefault="001457BE" w:rsidP="00891E8C">
            <w:pPr>
              <w:pStyle w:val="Default"/>
              <w:rPr>
                <w:rFonts w:ascii="Cambria" w:hAnsi="Cambria"/>
                <w:sz w:val="22"/>
                <w:szCs w:val="22"/>
                <w:lang w:val="it-IT"/>
              </w:rPr>
            </w:pPr>
            <w:r w:rsidRPr="00DF4CE5">
              <w:rPr>
                <w:rFonts w:ascii="Cambria" w:hAnsi="Cambria"/>
                <w:sz w:val="22"/>
                <w:szCs w:val="22"/>
                <w:lang w:val="it-IT"/>
              </w:rPr>
              <w:t xml:space="preserve">5. </w:t>
            </w:r>
            <w:proofErr w:type="spellStart"/>
            <w:r w:rsidRPr="00DF4CE5">
              <w:rPr>
                <w:rFonts w:ascii="Cambria" w:hAnsi="Cambria"/>
                <w:sz w:val="22"/>
                <w:szCs w:val="22"/>
                <w:lang w:val="it-IT"/>
              </w:rPr>
              <w:t>Nastava</w:t>
            </w:r>
            <w:proofErr w:type="spellEnd"/>
            <w:r w:rsidRPr="00DF4CE5">
              <w:rPr>
                <w:rFonts w:ascii="Cambria" w:hAnsi="Cambria"/>
                <w:sz w:val="22"/>
                <w:szCs w:val="22"/>
                <w:lang w:val="it-IT"/>
              </w:rPr>
              <w:t xml:space="preserve"> </w:t>
            </w:r>
            <w:proofErr w:type="spellStart"/>
            <w:r w:rsidRPr="00DF4CE5">
              <w:rPr>
                <w:rFonts w:ascii="Cambria" w:hAnsi="Cambria"/>
                <w:sz w:val="22"/>
                <w:szCs w:val="22"/>
                <w:lang w:val="it-IT"/>
              </w:rPr>
              <w:t>pojedinih</w:t>
            </w:r>
            <w:proofErr w:type="spellEnd"/>
            <w:r w:rsidRPr="00DF4CE5">
              <w:rPr>
                <w:rFonts w:ascii="Cambria" w:hAnsi="Cambria"/>
                <w:sz w:val="22"/>
                <w:szCs w:val="22"/>
                <w:lang w:val="it-IT"/>
              </w:rPr>
              <w:t xml:space="preserve"> </w:t>
            </w:r>
            <w:proofErr w:type="spellStart"/>
            <w:r w:rsidRPr="00DF4CE5">
              <w:rPr>
                <w:rFonts w:ascii="Cambria" w:hAnsi="Cambria"/>
                <w:sz w:val="22"/>
                <w:szCs w:val="22"/>
                <w:lang w:val="it-IT"/>
              </w:rPr>
              <w:t>područja</w:t>
            </w:r>
            <w:proofErr w:type="spellEnd"/>
            <w:r w:rsidRPr="00DF4CE5">
              <w:rPr>
                <w:rFonts w:ascii="Cambria" w:hAnsi="Cambria"/>
                <w:sz w:val="22"/>
                <w:szCs w:val="22"/>
                <w:lang w:val="it-IT"/>
              </w:rPr>
              <w:t xml:space="preserve"> </w:t>
            </w:r>
            <w:proofErr w:type="spellStart"/>
            <w:r w:rsidRPr="00DF4CE5">
              <w:rPr>
                <w:rFonts w:ascii="Cambria" w:hAnsi="Cambria"/>
                <w:sz w:val="22"/>
                <w:szCs w:val="22"/>
                <w:lang w:val="it-IT"/>
              </w:rPr>
              <w:t>iz</w:t>
            </w:r>
            <w:proofErr w:type="spellEnd"/>
            <w:r w:rsidRPr="00DF4CE5">
              <w:rPr>
                <w:rFonts w:ascii="Cambria" w:hAnsi="Cambria"/>
                <w:sz w:val="22"/>
                <w:szCs w:val="22"/>
                <w:lang w:val="it-IT"/>
              </w:rPr>
              <w:t xml:space="preserve"> </w:t>
            </w:r>
            <w:proofErr w:type="spellStart"/>
            <w:r w:rsidRPr="00DF4CE5">
              <w:rPr>
                <w:rFonts w:ascii="Cambria" w:hAnsi="Cambria"/>
                <w:sz w:val="22"/>
                <w:szCs w:val="22"/>
                <w:lang w:val="it-IT"/>
              </w:rPr>
              <w:t>informatike</w:t>
            </w:r>
            <w:proofErr w:type="spellEnd"/>
            <w:r w:rsidRPr="00DF4CE5">
              <w:rPr>
                <w:rFonts w:ascii="Cambria" w:hAnsi="Cambria"/>
                <w:sz w:val="22"/>
                <w:szCs w:val="22"/>
                <w:lang w:val="it-IT"/>
              </w:rPr>
              <w:t xml:space="preserve"> u </w:t>
            </w:r>
            <w:proofErr w:type="spellStart"/>
            <w:r w:rsidRPr="00DF4CE5">
              <w:rPr>
                <w:rFonts w:ascii="Cambria" w:hAnsi="Cambria"/>
                <w:sz w:val="22"/>
                <w:szCs w:val="22"/>
                <w:lang w:val="it-IT"/>
              </w:rPr>
              <w:t>osnovnoj</w:t>
            </w:r>
            <w:proofErr w:type="spellEnd"/>
            <w:r w:rsidRPr="00DF4CE5">
              <w:rPr>
                <w:rFonts w:ascii="Cambria" w:hAnsi="Cambria"/>
                <w:sz w:val="22"/>
                <w:szCs w:val="22"/>
                <w:lang w:val="it-IT"/>
              </w:rPr>
              <w:t xml:space="preserve"> i </w:t>
            </w:r>
            <w:proofErr w:type="spellStart"/>
            <w:r w:rsidRPr="00DF4CE5">
              <w:rPr>
                <w:rFonts w:ascii="Cambria" w:hAnsi="Cambria"/>
                <w:sz w:val="22"/>
                <w:szCs w:val="22"/>
                <w:lang w:val="it-IT"/>
              </w:rPr>
              <w:t>srednjoj</w:t>
            </w:r>
            <w:proofErr w:type="spellEnd"/>
            <w:r w:rsidRPr="00DF4CE5">
              <w:rPr>
                <w:rFonts w:ascii="Cambria" w:hAnsi="Cambria"/>
                <w:sz w:val="22"/>
                <w:szCs w:val="22"/>
                <w:lang w:val="it-IT"/>
              </w:rPr>
              <w:t xml:space="preserve"> </w:t>
            </w:r>
            <w:proofErr w:type="spellStart"/>
            <w:r w:rsidRPr="00DF4CE5">
              <w:rPr>
                <w:rFonts w:ascii="Cambria" w:hAnsi="Cambria"/>
                <w:sz w:val="22"/>
                <w:szCs w:val="22"/>
                <w:lang w:val="it-IT"/>
              </w:rPr>
              <w:t>školi</w:t>
            </w:r>
            <w:proofErr w:type="spellEnd"/>
          </w:p>
          <w:p w14:paraId="0B20B5ED" w14:textId="64A98B1D" w:rsidR="001457BE" w:rsidRPr="00DF4CE5" w:rsidRDefault="001457BE" w:rsidP="00891E8C">
            <w:pPr>
              <w:pStyle w:val="Default"/>
              <w:rPr>
                <w:rFonts w:ascii="Cambria" w:hAnsi="Cambria"/>
                <w:sz w:val="22"/>
                <w:szCs w:val="22"/>
                <w:lang w:val="it-IT"/>
              </w:rPr>
            </w:pPr>
            <w:r w:rsidRPr="00DF4CE5">
              <w:rPr>
                <w:rFonts w:ascii="Cambria" w:hAnsi="Cambria"/>
                <w:sz w:val="22"/>
                <w:szCs w:val="22"/>
                <w:lang w:val="it-IT"/>
              </w:rPr>
              <w:lastRenderedPageBreak/>
              <w:t xml:space="preserve">6. </w:t>
            </w:r>
            <w:proofErr w:type="spellStart"/>
            <w:r w:rsidRPr="00DF4CE5">
              <w:rPr>
                <w:rFonts w:ascii="Cambria" w:hAnsi="Cambria"/>
                <w:sz w:val="22"/>
                <w:szCs w:val="22"/>
                <w:lang w:val="it-IT"/>
              </w:rPr>
              <w:t>Informatički</w:t>
            </w:r>
            <w:proofErr w:type="spellEnd"/>
            <w:r w:rsidRPr="00DF4CE5">
              <w:rPr>
                <w:rFonts w:ascii="Cambria" w:hAnsi="Cambria"/>
                <w:sz w:val="22"/>
                <w:szCs w:val="22"/>
                <w:lang w:val="it-IT"/>
              </w:rPr>
              <w:t xml:space="preserve"> </w:t>
            </w:r>
            <w:proofErr w:type="spellStart"/>
            <w:r w:rsidRPr="00DF4CE5">
              <w:rPr>
                <w:rFonts w:ascii="Cambria" w:hAnsi="Cambria"/>
                <w:sz w:val="22"/>
                <w:szCs w:val="22"/>
                <w:lang w:val="it-IT"/>
              </w:rPr>
              <w:t>pristup</w:t>
            </w:r>
            <w:proofErr w:type="spellEnd"/>
            <w:r w:rsidRPr="00DF4CE5">
              <w:rPr>
                <w:rFonts w:ascii="Cambria" w:hAnsi="Cambria"/>
                <w:sz w:val="22"/>
                <w:szCs w:val="22"/>
                <w:lang w:val="it-IT"/>
              </w:rPr>
              <w:t xml:space="preserve"> </w:t>
            </w:r>
            <w:proofErr w:type="spellStart"/>
            <w:r w:rsidRPr="00DF4CE5">
              <w:rPr>
                <w:rFonts w:ascii="Cambria" w:hAnsi="Cambria"/>
                <w:sz w:val="22"/>
                <w:szCs w:val="22"/>
                <w:lang w:val="it-IT"/>
              </w:rPr>
              <w:t>sadržajima</w:t>
            </w:r>
            <w:proofErr w:type="spellEnd"/>
            <w:r w:rsidRPr="00DF4CE5">
              <w:rPr>
                <w:rFonts w:ascii="Cambria" w:hAnsi="Cambria"/>
                <w:sz w:val="22"/>
                <w:szCs w:val="22"/>
                <w:lang w:val="it-IT"/>
              </w:rPr>
              <w:t xml:space="preserve"> </w:t>
            </w:r>
            <w:proofErr w:type="spellStart"/>
            <w:r w:rsidRPr="00DF4CE5">
              <w:rPr>
                <w:rFonts w:ascii="Cambria" w:hAnsi="Cambria"/>
                <w:sz w:val="22"/>
                <w:szCs w:val="22"/>
                <w:lang w:val="it-IT"/>
              </w:rPr>
              <w:t>drugih</w:t>
            </w:r>
            <w:proofErr w:type="spellEnd"/>
            <w:r w:rsidRPr="00DF4CE5">
              <w:rPr>
                <w:rFonts w:ascii="Cambria" w:hAnsi="Cambria"/>
                <w:sz w:val="22"/>
                <w:szCs w:val="22"/>
                <w:lang w:val="it-IT"/>
              </w:rPr>
              <w:t xml:space="preserve"> </w:t>
            </w:r>
            <w:proofErr w:type="spellStart"/>
            <w:r w:rsidRPr="00DF4CE5">
              <w:rPr>
                <w:rFonts w:ascii="Cambria" w:hAnsi="Cambria"/>
                <w:sz w:val="22"/>
                <w:szCs w:val="22"/>
                <w:lang w:val="it-IT"/>
              </w:rPr>
              <w:t>kolegija</w:t>
            </w:r>
            <w:proofErr w:type="spellEnd"/>
          </w:p>
          <w:p w14:paraId="00F00CBC" w14:textId="77777777" w:rsidR="001457BE" w:rsidRPr="00DF4CE5" w:rsidRDefault="001457BE" w:rsidP="00891E8C">
            <w:pPr>
              <w:pStyle w:val="Default"/>
              <w:rPr>
                <w:rFonts w:ascii="Cambria" w:hAnsi="Cambria"/>
                <w:sz w:val="22"/>
                <w:szCs w:val="22"/>
                <w:lang w:val="it-IT"/>
              </w:rPr>
            </w:pPr>
            <w:proofErr w:type="spellStart"/>
            <w:r w:rsidRPr="00DF4CE5">
              <w:rPr>
                <w:rFonts w:ascii="Cambria" w:hAnsi="Cambria"/>
                <w:sz w:val="22"/>
                <w:szCs w:val="22"/>
                <w:lang w:val="it-IT"/>
              </w:rPr>
              <w:t>Vježbe</w:t>
            </w:r>
            <w:proofErr w:type="spellEnd"/>
            <w:r w:rsidRPr="00DF4CE5">
              <w:rPr>
                <w:rFonts w:ascii="Cambria" w:hAnsi="Cambria"/>
                <w:sz w:val="22"/>
                <w:szCs w:val="22"/>
                <w:lang w:val="it-IT"/>
              </w:rPr>
              <w:t>:</w:t>
            </w:r>
          </w:p>
          <w:p w14:paraId="14252E4A" w14:textId="30EBE47E" w:rsidR="001457BE" w:rsidRPr="00DF4CE5" w:rsidRDefault="001457BE" w:rsidP="00891E8C">
            <w:pPr>
              <w:pStyle w:val="Default"/>
              <w:rPr>
                <w:rFonts w:ascii="Cambria" w:hAnsi="Cambria"/>
                <w:sz w:val="22"/>
                <w:szCs w:val="22"/>
                <w:lang w:val="it-IT"/>
              </w:rPr>
            </w:pPr>
            <w:r w:rsidRPr="00DF4CE5">
              <w:rPr>
                <w:rFonts w:ascii="Cambria" w:hAnsi="Cambria"/>
                <w:sz w:val="22"/>
                <w:szCs w:val="22"/>
                <w:lang w:val="it-IT"/>
              </w:rPr>
              <w:t xml:space="preserve">7. </w:t>
            </w:r>
            <w:proofErr w:type="spellStart"/>
            <w:r w:rsidRPr="00DF4CE5">
              <w:rPr>
                <w:rFonts w:ascii="Cambria" w:hAnsi="Cambria"/>
                <w:sz w:val="22"/>
                <w:szCs w:val="22"/>
                <w:lang w:val="it-IT"/>
              </w:rPr>
              <w:t>Nastavni</w:t>
            </w:r>
            <w:proofErr w:type="spellEnd"/>
            <w:r w:rsidRPr="00DF4CE5">
              <w:rPr>
                <w:rFonts w:ascii="Cambria" w:hAnsi="Cambria"/>
                <w:sz w:val="22"/>
                <w:szCs w:val="22"/>
                <w:lang w:val="it-IT"/>
              </w:rPr>
              <w:t xml:space="preserve"> plan i </w:t>
            </w:r>
            <w:proofErr w:type="spellStart"/>
            <w:r w:rsidRPr="00DF4CE5">
              <w:rPr>
                <w:rFonts w:ascii="Cambria" w:hAnsi="Cambria"/>
                <w:sz w:val="22"/>
                <w:szCs w:val="22"/>
                <w:lang w:val="it-IT"/>
              </w:rPr>
              <w:t>program</w:t>
            </w:r>
            <w:proofErr w:type="spellEnd"/>
            <w:r w:rsidRPr="00DF4CE5">
              <w:rPr>
                <w:rFonts w:ascii="Cambria" w:hAnsi="Cambria"/>
                <w:sz w:val="22"/>
                <w:szCs w:val="22"/>
                <w:lang w:val="it-IT"/>
              </w:rPr>
              <w:t xml:space="preserve"> za </w:t>
            </w:r>
            <w:proofErr w:type="spellStart"/>
            <w:r w:rsidRPr="00DF4CE5">
              <w:rPr>
                <w:rFonts w:ascii="Cambria" w:hAnsi="Cambria"/>
                <w:sz w:val="22"/>
                <w:szCs w:val="22"/>
                <w:lang w:val="it-IT"/>
              </w:rPr>
              <w:t>osnovnu</w:t>
            </w:r>
            <w:proofErr w:type="spellEnd"/>
            <w:r w:rsidRPr="00DF4CE5">
              <w:rPr>
                <w:rFonts w:ascii="Cambria" w:hAnsi="Cambria"/>
                <w:sz w:val="22"/>
                <w:szCs w:val="22"/>
                <w:lang w:val="it-IT"/>
              </w:rPr>
              <w:t xml:space="preserve"> </w:t>
            </w:r>
            <w:proofErr w:type="spellStart"/>
            <w:r w:rsidRPr="00DF4CE5">
              <w:rPr>
                <w:rFonts w:ascii="Cambria" w:hAnsi="Cambria"/>
                <w:sz w:val="22"/>
                <w:szCs w:val="22"/>
                <w:lang w:val="it-IT"/>
              </w:rPr>
              <w:t>školu</w:t>
            </w:r>
            <w:proofErr w:type="spellEnd"/>
            <w:r w:rsidRPr="00DF4CE5">
              <w:rPr>
                <w:rFonts w:ascii="Cambria" w:hAnsi="Cambria"/>
                <w:sz w:val="22"/>
                <w:szCs w:val="22"/>
                <w:lang w:val="it-IT"/>
              </w:rPr>
              <w:t xml:space="preserve"> - </w:t>
            </w:r>
            <w:proofErr w:type="spellStart"/>
            <w:r w:rsidRPr="00DF4CE5">
              <w:rPr>
                <w:rFonts w:ascii="Cambria" w:hAnsi="Cambria"/>
                <w:sz w:val="22"/>
                <w:szCs w:val="22"/>
                <w:lang w:val="it-IT"/>
              </w:rPr>
              <w:t>informatika</w:t>
            </w:r>
            <w:proofErr w:type="spellEnd"/>
          </w:p>
          <w:p w14:paraId="716D83E1" w14:textId="712198B2" w:rsidR="001457BE" w:rsidRPr="00DF4CE5" w:rsidRDefault="001457BE" w:rsidP="00891E8C">
            <w:pPr>
              <w:pStyle w:val="Default"/>
              <w:rPr>
                <w:rFonts w:ascii="Cambria" w:hAnsi="Cambria"/>
                <w:sz w:val="22"/>
                <w:szCs w:val="22"/>
                <w:lang w:val="it-IT"/>
              </w:rPr>
            </w:pPr>
            <w:r w:rsidRPr="00DF4CE5">
              <w:rPr>
                <w:rFonts w:ascii="Cambria" w:hAnsi="Cambria"/>
                <w:sz w:val="22"/>
                <w:szCs w:val="22"/>
                <w:lang w:val="it-IT"/>
              </w:rPr>
              <w:t xml:space="preserve">8. </w:t>
            </w:r>
            <w:proofErr w:type="spellStart"/>
            <w:r w:rsidRPr="00DF4CE5">
              <w:rPr>
                <w:rFonts w:ascii="Cambria" w:hAnsi="Cambria"/>
                <w:sz w:val="22"/>
                <w:szCs w:val="22"/>
                <w:lang w:val="it-IT"/>
              </w:rPr>
              <w:t>Pisanje</w:t>
            </w:r>
            <w:proofErr w:type="spellEnd"/>
            <w:r w:rsidRPr="00DF4CE5">
              <w:rPr>
                <w:rFonts w:ascii="Cambria" w:hAnsi="Cambria"/>
                <w:sz w:val="22"/>
                <w:szCs w:val="22"/>
                <w:lang w:val="it-IT"/>
              </w:rPr>
              <w:t xml:space="preserve"> </w:t>
            </w:r>
            <w:proofErr w:type="spellStart"/>
            <w:r w:rsidRPr="00DF4CE5">
              <w:rPr>
                <w:rFonts w:ascii="Cambria" w:hAnsi="Cambria"/>
                <w:sz w:val="22"/>
                <w:szCs w:val="22"/>
                <w:lang w:val="it-IT"/>
              </w:rPr>
              <w:t>priprave</w:t>
            </w:r>
            <w:proofErr w:type="spellEnd"/>
            <w:r w:rsidRPr="00DF4CE5">
              <w:rPr>
                <w:rFonts w:ascii="Cambria" w:hAnsi="Cambria"/>
                <w:sz w:val="22"/>
                <w:szCs w:val="22"/>
                <w:lang w:val="it-IT"/>
              </w:rPr>
              <w:t xml:space="preserve"> za </w:t>
            </w:r>
            <w:proofErr w:type="spellStart"/>
            <w:r w:rsidRPr="00DF4CE5">
              <w:rPr>
                <w:rFonts w:ascii="Cambria" w:hAnsi="Cambria"/>
                <w:sz w:val="22"/>
                <w:szCs w:val="22"/>
                <w:lang w:val="it-IT"/>
              </w:rPr>
              <w:t>izvođenje</w:t>
            </w:r>
            <w:proofErr w:type="spellEnd"/>
            <w:r w:rsidRPr="00DF4CE5">
              <w:rPr>
                <w:rFonts w:ascii="Cambria" w:hAnsi="Cambria"/>
                <w:sz w:val="22"/>
                <w:szCs w:val="22"/>
                <w:lang w:val="it-IT"/>
              </w:rPr>
              <w:t xml:space="preserve"> 2 </w:t>
            </w:r>
            <w:proofErr w:type="spellStart"/>
            <w:r w:rsidRPr="00DF4CE5">
              <w:rPr>
                <w:rFonts w:ascii="Cambria" w:hAnsi="Cambria"/>
                <w:sz w:val="22"/>
                <w:szCs w:val="22"/>
                <w:lang w:val="it-IT"/>
              </w:rPr>
              <w:t>nastavna</w:t>
            </w:r>
            <w:proofErr w:type="spellEnd"/>
            <w:r w:rsidRPr="00DF4CE5">
              <w:rPr>
                <w:rFonts w:ascii="Cambria" w:hAnsi="Cambria"/>
                <w:sz w:val="22"/>
                <w:szCs w:val="22"/>
                <w:lang w:val="it-IT"/>
              </w:rPr>
              <w:t xml:space="preserve"> </w:t>
            </w:r>
            <w:proofErr w:type="spellStart"/>
            <w:r w:rsidRPr="00DF4CE5">
              <w:rPr>
                <w:rFonts w:ascii="Cambria" w:hAnsi="Cambria"/>
                <w:sz w:val="22"/>
                <w:szCs w:val="22"/>
                <w:lang w:val="it-IT"/>
              </w:rPr>
              <w:t>sata</w:t>
            </w:r>
            <w:proofErr w:type="spellEnd"/>
            <w:r w:rsidRPr="00DF4CE5">
              <w:rPr>
                <w:rFonts w:ascii="Cambria" w:hAnsi="Cambria"/>
                <w:sz w:val="22"/>
                <w:szCs w:val="22"/>
                <w:lang w:val="it-IT"/>
              </w:rPr>
              <w:t xml:space="preserve"> </w:t>
            </w:r>
            <w:proofErr w:type="spellStart"/>
            <w:r w:rsidRPr="00DF4CE5">
              <w:rPr>
                <w:rFonts w:ascii="Cambria" w:hAnsi="Cambria"/>
                <w:sz w:val="22"/>
                <w:szCs w:val="22"/>
                <w:lang w:val="it-IT"/>
              </w:rPr>
              <w:t>informatike</w:t>
            </w:r>
            <w:proofErr w:type="spellEnd"/>
          </w:p>
          <w:p w14:paraId="11694085" w14:textId="270475A2" w:rsidR="001457BE" w:rsidRPr="00DF4CE5" w:rsidRDefault="001457BE" w:rsidP="00891E8C">
            <w:pPr>
              <w:pStyle w:val="Default"/>
              <w:rPr>
                <w:rFonts w:ascii="Cambria" w:hAnsi="Cambria"/>
                <w:sz w:val="22"/>
                <w:szCs w:val="22"/>
                <w:lang w:val="it-IT"/>
              </w:rPr>
            </w:pPr>
            <w:r w:rsidRPr="00DF4CE5">
              <w:rPr>
                <w:rFonts w:ascii="Cambria" w:hAnsi="Cambria"/>
                <w:sz w:val="22"/>
                <w:szCs w:val="22"/>
                <w:lang w:val="it-IT"/>
              </w:rPr>
              <w:t xml:space="preserve">9. </w:t>
            </w:r>
            <w:proofErr w:type="spellStart"/>
            <w:r w:rsidRPr="00DF4CE5">
              <w:rPr>
                <w:rFonts w:ascii="Cambria" w:hAnsi="Cambria"/>
                <w:sz w:val="22"/>
                <w:szCs w:val="22"/>
                <w:lang w:val="it-IT"/>
              </w:rPr>
              <w:t>Održavanje</w:t>
            </w:r>
            <w:proofErr w:type="spellEnd"/>
            <w:r w:rsidRPr="00DF4CE5">
              <w:rPr>
                <w:rFonts w:ascii="Cambria" w:hAnsi="Cambria"/>
                <w:sz w:val="22"/>
                <w:szCs w:val="22"/>
                <w:lang w:val="it-IT"/>
              </w:rPr>
              <w:t xml:space="preserve"> </w:t>
            </w:r>
            <w:proofErr w:type="spellStart"/>
            <w:r w:rsidRPr="00DF4CE5">
              <w:rPr>
                <w:rFonts w:ascii="Cambria" w:hAnsi="Cambria"/>
                <w:sz w:val="22"/>
                <w:szCs w:val="22"/>
                <w:lang w:val="it-IT"/>
              </w:rPr>
              <w:t>nastave</w:t>
            </w:r>
            <w:proofErr w:type="spellEnd"/>
            <w:r w:rsidRPr="00DF4CE5">
              <w:rPr>
                <w:rFonts w:ascii="Cambria" w:hAnsi="Cambria"/>
                <w:sz w:val="22"/>
                <w:szCs w:val="22"/>
                <w:lang w:val="it-IT"/>
              </w:rPr>
              <w:t xml:space="preserve"> </w:t>
            </w:r>
            <w:proofErr w:type="spellStart"/>
            <w:r w:rsidRPr="00DF4CE5">
              <w:rPr>
                <w:rFonts w:ascii="Cambria" w:hAnsi="Cambria"/>
                <w:sz w:val="22"/>
                <w:szCs w:val="22"/>
                <w:lang w:val="it-IT"/>
              </w:rPr>
              <w:t>informatike</w:t>
            </w:r>
            <w:proofErr w:type="spellEnd"/>
          </w:p>
          <w:p w14:paraId="6FAC24F2" w14:textId="7113FE02" w:rsidR="001457BE" w:rsidRPr="00DF4CE5" w:rsidRDefault="001457BE" w:rsidP="00891E8C">
            <w:pPr>
              <w:pStyle w:val="Default"/>
              <w:rPr>
                <w:rFonts w:ascii="Cambria" w:hAnsi="Cambria"/>
                <w:sz w:val="22"/>
                <w:szCs w:val="22"/>
                <w:lang w:val="it-IT"/>
              </w:rPr>
            </w:pPr>
            <w:r w:rsidRPr="00DF4CE5">
              <w:rPr>
                <w:rFonts w:ascii="Cambria" w:hAnsi="Cambria"/>
                <w:sz w:val="22"/>
                <w:szCs w:val="22"/>
                <w:lang w:val="it-IT"/>
              </w:rPr>
              <w:t xml:space="preserve">10. </w:t>
            </w:r>
            <w:proofErr w:type="spellStart"/>
            <w:r w:rsidRPr="00DF4CE5">
              <w:rPr>
                <w:rFonts w:ascii="Cambria" w:hAnsi="Cambria"/>
                <w:sz w:val="22"/>
                <w:szCs w:val="22"/>
                <w:lang w:val="it-IT"/>
              </w:rPr>
              <w:t>Analiza</w:t>
            </w:r>
            <w:proofErr w:type="spellEnd"/>
            <w:r w:rsidRPr="00DF4CE5">
              <w:rPr>
                <w:rFonts w:ascii="Cambria" w:hAnsi="Cambria"/>
                <w:sz w:val="22"/>
                <w:szCs w:val="22"/>
                <w:lang w:val="it-IT"/>
              </w:rPr>
              <w:t xml:space="preserve"> </w:t>
            </w:r>
            <w:proofErr w:type="spellStart"/>
            <w:r w:rsidRPr="00DF4CE5">
              <w:rPr>
                <w:rFonts w:ascii="Cambria" w:hAnsi="Cambria"/>
                <w:sz w:val="22"/>
                <w:szCs w:val="22"/>
                <w:lang w:val="it-IT"/>
              </w:rPr>
              <w:t>održanih</w:t>
            </w:r>
            <w:proofErr w:type="spellEnd"/>
            <w:r w:rsidRPr="00DF4CE5">
              <w:rPr>
                <w:rFonts w:ascii="Cambria" w:hAnsi="Cambria"/>
                <w:sz w:val="22"/>
                <w:szCs w:val="22"/>
                <w:lang w:val="it-IT"/>
              </w:rPr>
              <w:t xml:space="preserve"> sati</w:t>
            </w:r>
          </w:p>
        </w:tc>
      </w:tr>
      <w:tr w:rsidR="001457BE" w:rsidRPr="00DF4CE5" w14:paraId="2B3F81DB" w14:textId="77777777" w:rsidTr="00891E8C">
        <w:tc>
          <w:tcPr>
            <w:tcW w:w="2536"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hideMark/>
          </w:tcPr>
          <w:p w14:paraId="43AFD98D" w14:textId="203E196F" w:rsidR="001457BE" w:rsidRPr="00DF4CE5" w:rsidRDefault="001457BE" w:rsidP="00F23CC9">
            <w:pPr>
              <w:rPr>
                <w:rFonts w:ascii="Cambria" w:hAnsi="Cambria" w:cs="Calibri"/>
                <w:lang w:val="it-IT"/>
              </w:rPr>
            </w:pPr>
            <w:proofErr w:type="spellStart"/>
            <w:r w:rsidRPr="00DF4CE5">
              <w:rPr>
                <w:rFonts w:ascii="Cambria" w:hAnsi="Cambria" w:cs="Calibri"/>
                <w:lang w:val="it-IT"/>
              </w:rPr>
              <w:lastRenderedPageBreak/>
              <w:t>Planirane</w:t>
            </w:r>
            <w:proofErr w:type="spellEnd"/>
            <w:r w:rsidRPr="00DF4CE5">
              <w:rPr>
                <w:rFonts w:ascii="Cambria" w:hAnsi="Cambria" w:cs="Calibri"/>
                <w:lang w:val="it-IT"/>
              </w:rPr>
              <w:t xml:space="preserve"> </w:t>
            </w:r>
            <w:proofErr w:type="spellStart"/>
            <w:r w:rsidRPr="00DF4CE5">
              <w:rPr>
                <w:rFonts w:ascii="Cambria" w:hAnsi="Cambria" w:cs="Calibri"/>
                <w:lang w:val="it-IT"/>
              </w:rPr>
              <w:t>aktivnosti</w:t>
            </w:r>
            <w:proofErr w:type="spellEnd"/>
            <w:r w:rsidRPr="00DF4CE5">
              <w:rPr>
                <w:rFonts w:ascii="Cambria" w:hAnsi="Cambria" w:cs="Calibri"/>
                <w:lang w:val="it-IT"/>
              </w:rPr>
              <w:t>,</w:t>
            </w:r>
            <w:r w:rsidR="00F23CC9">
              <w:rPr>
                <w:rFonts w:ascii="Cambria" w:hAnsi="Cambria" w:cs="Calibri"/>
                <w:lang w:val="it-IT"/>
              </w:rPr>
              <w:t xml:space="preserve"> </w:t>
            </w:r>
            <w:proofErr w:type="spellStart"/>
            <w:r w:rsidRPr="00DF4CE5">
              <w:rPr>
                <w:rFonts w:ascii="Cambria" w:hAnsi="Cambria" w:cs="Calibri"/>
                <w:lang w:val="it-IT"/>
              </w:rPr>
              <w:t>metode</w:t>
            </w:r>
            <w:proofErr w:type="spellEnd"/>
            <w:r w:rsidRPr="00DF4CE5">
              <w:rPr>
                <w:rFonts w:ascii="Cambria" w:hAnsi="Cambria" w:cs="Calibri"/>
                <w:lang w:val="it-IT"/>
              </w:rPr>
              <w:t xml:space="preserve"> </w:t>
            </w:r>
            <w:proofErr w:type="spellStart"/>
            <w:r w:rsidRPr="00DF4CE5">
              <w:rPr>
                <w:rFonts w:ascii="Cambria" w:hAnsi="Cambria" w:cs="Calibri"/>
                <w:lang w:val="it-IT"/>
              </w:rPr>
              <w:t>učenja</w:t>
            </w:r>
            <w:proofErr w:type="spellEnd"/>
            <w:r w:rsidRPr="00DF4CE5">
              <w:rPr>
                <w:rFonts w:ascii="Cambria" w:hAnsi="Cambria" w:cs="Calibri"/>
                <w:lang w:val="it-IT"/>
              </w:rPr>
              <w:t xml:space="preserve"> i </w:t>
            </w:r>
            <w:proofErr w:type="spellStart"/>
            <w:r w:rsidRPr="00DF4CE5">
              <w:rPr>
                <w:rFonts w:ascii="Cambria" w:hAnsi="Cambria" w:cs="Calibri"/>
                <w:lang w:val="it-IT"/>
              </w:rPr>
              <w:t>poučavanja</w:t>
            </w:r>
            <w:proofErr w:type="spellEnd"/>
            <w:r w:rsidRPr="00DF4CE5">
              <w:rPr>
                <w:rFonts w:ascii="Cambria" w:hAnsi="Cambria" w:cs="Calibri"/>
                <w:lang w:val="it-IT"/>
              </w:rPr>
              <w:t xml:space="preserve"> i </w:t>
            </w:r>
            <w:proofErr w:type="spellStart"/>
            <w:r w:rsidRPr="00DF4CE5">
              <w:rPr>
                <w:rFonts w:ascii="Cambria" w:hAnsi="Cambria" w:cs="Calibri"/>
                <w:lang w:val="it-IT"/>
              </w:rPr>
              <w:t>načini</w:t>
            </w:r>
            <w:proofErr w:type="spellEnd"/>
            <w:r w:rsidRPr="00DF4CE5">
              <w:rPr>
                <w:rFonts w:ascii="Cambria" w:hAnsi="Cambria" w:cs="Calibri"/>
                <w:lang w:val="it-IT"/>
              </w:rPr>
              <w:t xml:space="preserve"> </w:t>
            </w:r>
            <w:proofErr w:type="spellStart"/>
            <w:r w:rsidRPr="00DF4CE5">
              <w:rPr>
                <w:rFonts w:ascii="Cambria" w:hAnsi="Cambria" w:cs="Calibri"/>
                <w:lang w:val="it-IT"/>
              </w:rPr>
              <w:t>vrednovanja</w:t>
            </w:r>
            <w:proofErr w:type="spellEnd"/>
          </w:p>
        </w:tc>
        <w:tc>
          <w:tcPr>
            <w:tcW w:w="250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C39DE73" w14:textId="77777777" w:rsidR="001457BE" w:rsidRPr="00DF4CE5" w:rsidRDefault="001457BE" w:rsidP="00891E8C">
            <w:pPr>
              <w:pStyle w:val="Default"/>
              <w:rPr>
                <w:rFonts w:ascii="Cambria" w:hAnsi="Cambria"/>
                <w:sz w:val="22"/>
                <w:szCs w:val="22"/>
                <w:lang w:val="it-IT"/>
              </w:rPr>
            </w:pPr>
          </w:p>
        </w:tc>
        <w:tc>
          <w:tcPr>
            <w:tcW w:w="1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317AEA7" w14:textId="77777777" w:rsidR="001457BE" w:rsidRPr="00DF4CE5" w:rsidRDefault="001457BE" w:rsidP="00891E8C">
            <w:pPr>
              <w:pStyle w:val="Default"/>
              <w:rPr>
                <w:rFonts w:ascii="Cambria" w:hAnsi="Cambria"/>
                <w:sz w:val="22"/>
                <w:szCs w:val="22"/>
              </w:rPr>
            </w:pPr>
            <w:proofErr w:type="spellStart"/>
            <w:r w:rsidRPr="00DF4CE5">
              <w:rPr>
                <w:rFonts w:ascii="Cambria" w:hAnsi="Cambria"/>
                <w:sz w:val="22"/>
                <w:szCs w:val="22"/>
              </w:rPr>
              <w:t>Ishodi</w:t>
            </w:r>
            <w:proofErr w:type="spellEnd"/>
          </w:p>
        </w:tc>
        <w:tc>
          <w:tcPr>
            <w:tcW w:w="69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E942472" w14:textId="77777777" w:rsidR="001457BE" w:rsidRPr="00DF4CE5" w:rsidRDefault="001457BE" w:rsidP="00891E8C">
            <w:pPr>
              <w:pStyle w:val="Default"/>
              <w:rPr>
                <w:rFonts w:ascii="Cambria" w:hAnsi="Cambria"/>
                <w:sz w:val="22"/>
                <w:szCs w:val="22"/>
              </w:rPr>
            </w:pPr>
            <w:r w:rsidRPr="00DF4CE5">
              <w:rPr>
                <w:rFonts w:ascii="Cambria" w:hAnsi="Cambria"/>
                <w:sz w:val="22"/>
                <w:szCs w:val="22"/>
              </w:rPr>
              <w:t>Sati</w:t>
            </w:r>
          </w:p>
        </w:tc>
        <w:tc>
          <w:tcPr>
            <w:tcW w:w="9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446F2D8" w14:textId="4585AD7A" w:rsidR="001457BE" w:rsidRPr="00DF4CE5" w:rsidRDefault="001457BE" w:rsidP="00891E8C">
            <w:pPr>
              <w:pStyle w:val="Default"/>
              <w:rPr>
                <w:rFonts w:ascii="Cambria" w:hAnsi="Cambria"/>
                <w:sz w:val="22"/>
                <w:szCs w:val="22"/>
              </w:rPr>
            </w:pPr>
            <w:r w:rsidRPr="00DF4CE5">
              <w:rPr>
                <w:rFonts w:ascii="Cambria" w:hAnsi="Cambria"/>
                <w:sz w:val="22"/>
                <w:szCs w:val="22"/>
              </w:rPr>
              <w:t>ECTS</w:t>
            </w:r>
          </w:p>
        </w:tc>
        <w:tc>
          <w:tcPr>
            <w:tcW w:w="127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0DF229C" w14:textId="77777777" w:rsidR="001457BE" w:rsidRPr="00DF4CE5" w:rsidRDefault="001457BE" w:rsidP="00891E8C">
            <w:pPr>
              <w:pStyle w:val="Default"/>
              <w:jc w:val="center"/>
              <w:rPr>
                <w:rFonts w:ascii="Cambria" w:hAnsi="Cambria"/>
                <w:sz w:val="22"/>
                <w:szCs w:val="22"/>
              </w:rPr>
            </w:pPr>
            <w:proofErr w:type="spellStart"/>
            <w:r w:rsidRPr="00DF4CE5">
              <w:rPr>
                <w:rFonts w:ascii="Cambria" w:hAnsi="Cambria"/>
                <w:sz w:val="22"/>
                <w:szCs w:val="22"/>
              </w:rPr>
              <w:t>Maksimalni</w:t>
            </w:r>
            <w:proofErr w:type="spellEnd"/>
            <w:r w:rsidRPr="00DF4CE5">
              <w:rPr>
                <w:rFonts w:ascii="Cambria" w:hAnsi="Cambria"/>
                <w:sz w:val="22"/>
                <w:szCs w:val="22"/>
              </w:rPr>
              <w:t xml:space="preserve"> </w:t>
            </w:r>
            <w:proofErr w:type="spellStart"/>
            <w:r w:rsidRPr="00DF4CE5">
              <w:rPr>
                <w:rFonts w:ascii="Cambria" w:hAnsi="Cambria"/>
                <w:sz w:val="22"/>
                <w:szCs w:val="22"/>
              </w:rPr>
              <w:t>udio</w:t>
            </w:r>
            <w:proofErr w:type="spellEnd"/>
            <w:r w:rsidRPr="00DF4CE5">
              <w:rPr>
                <w:rFonts w:ascii="Cambria" w:hAnsi="Cambria"/>
                <w:sz w:val="22"/>
                <w:szCs w:val="22"/>
              </w:rPr>
              <w:t xml:space="preserve"> u </w:t>
            </w:r>
            <w:proofErr w:type="spellStart"/>
            <w:r w:rsidRPr="00DF4CE5">
              <w:rPr>
                <w:rFonts w:ascii="Cambria" w:hAnsi="Cambria"/>
                <w:sz w:val="22"/>
                <w:szCs w:val="22"/>
              </w:rPr>
              <w:t>ocjeni</w:t>
            </w:r>
            <w:proofErr w:type="spellEnd"/>
            <w:r w:rsidRPr="00DF4CE5">
              <w:rPr>
                <w:rFonts w:ascii="Cambria" w:hAnsi="Cambria"/>
                <w:sz w:val="22"/>
                <w:szCs w:val="22"/>
              </w:rPr>
              <w:t xml:space="preserve"> (%)</w:t>
            </w:r>
          </w:p>
        </w:tc>
      </w:tr>
      <w:tr w:rsidR="001457BE" w:rsidRPr="00DF4CE5" w14:paraId="3F3C974D" w14:textId="77777777" w:rsidTr="00891E8C">
        <w:tc>
          <w:tcPr>
            <w:tcW w:w="2536" w:type="dxa"/>
            <w:vMerge/>
            <w:tcBorders>
              <w:left w:val="single" w:sz="8" w:space="0" w:color="000000"/>
              <w:right w:val="single" w:sz="8" w:space="0" w:color="000000"/>
            </w:tcBorders>
            <w:vAlign w:val="center"/>
            <w:hideMark/>
          </w:tcPr>
          <w:p w14:paraId="3E657777" w14:textId="77777777" w:rsidR="001457BE" w:rsidRPr="00DF4CE5" w:rsidRDefault="001457BE" w:rsidP="00891E8C">
            <w:pPr>
              <w:rPr>
                <w:rFonts w:ascii="Cambria" w:hAnsi="Cambria" w:cs="Calibri"/>
              </w:rPr>
            </w:pPr>
          </w:p>
        </w:tc>
        <w:tc>
          <w:tcPr>
            <w:tcW w:w="250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5A4DFF4" w14:textId="6B2F16E0" w:rsidR="001457BE" w:rsidRPr="00DF4CE5" w:rsidRDefault="001457BE" w:rsidP="00891E8C">
            <w:pPr>
              <w:pStyle w:val="Default"/>
              <w:rPr>
                <w:rFonts w:ascii="Cambria" w:hAnsi="Cambria"/>
                <w:sz w:val="22"/>
                <w:szCs w:val="22"/>
                <w:lang w:val="it-IT"/>
              </w:rPr>
            </w:pPr>
            <w:proofErr w:type="spellStart"/>
            <w:r w:rsidRPr="00DF4CE5">
              <w:rPr>
                <w:rFonts w:ascii="Cambria" w:hAnsi="Cambria"/>
                <w:sz w:val="22"/>
                <w:szCs w:val="22"/>
                <w:lang w:val="it-IT"/>
              </w:rPr>
              <w:t>aktivnost</w:t>
            </w:r>
            <w:proofErr w:type="spellEnd"/>
            <w:r w:rsidRPr="00DF4CE5">
              <w:rPr>
                <w:rFonts w:ascii="Cambria" w:hAnsi="Cambria"/>
                <w:sz w:val="22"/>
                <w:szCs w:val="22"/>
                <w:lang w:val="it-IT"/>
              </w:rPr>
              <w:t xml:space="preserve"> u </w:t>
            </w:r>
            <w:proofErr w:type="spellStart"/>
            <w:r w:rsidRPr="00DF4CE5">
              <w:rPr>
                <w:rFonts w:ascii="Cambria" w:hAnsi="Cambria"/>
                <w:sz w:val="22"/>
                <w:szCs w:val="22"/>
                <w:lang w:val="it-IT"/>
              </w:rPr>
              <w:t>nastavi</w:t>
            </w:r>
            <w:proofErr w:type="spellEnd"/>
            <w:r w:rsidR="00F23CC9">
              <w:rPr>
                <w:rFonts w:ascii="Cambria" w:hAnsi="Cambria"/>
                <w:sz w:val="22"/>
                <w:szCs w:val="22"/>
                <w:lang w:val="it-IT"/>
              </w:rPr>
              <w:t xml:space="preserve"> (</w:t>
            </w:r>
            <w:r w:rsidRPr="00DF4CE5">
              <w:rPr>
                <w:rFonts w:ascii="Cambria" w:hAnsi="Cambria"/>
                <w:sz w:val="22"/>
                <w:szCs w:val="22"/>
                <w:lang w:val="it-IT"/>
              </w:rPr>
              <w:t>P, V</w:t>
            </w:r>
            <w:r w:rsidR="00F23CC9">
              <w:rPr>
                <w:rFonts w:ascii="Cambria" w:hAnsi="Cambria"/>
                <w:sz w:val="22"/>
                <w:szCs w:val="22"/>
                <w:lang w:val="it-IT"/>
              </w:rPr>
              <w:t>)</w:t>
            </w:r>
          </w:p>
        </w:tc>
        <w:tc>
          <w:tcPr>
            <w:tcW w:w="1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13077AC" w14:textId="6FAED966" w:rsidR="001457BE" w:rsidRPr="00196481" w:rsidRDefault="001457BE" w:rsidP="00F23CC9">
            <w:pPr>
              <w:jc w:val="center"/>
              <w:rPr>
                <w:rFonts w:ascii="Cambria" w:hAnsi="Cambria" w:cs="Cambria"/>
                <w:color w:val="000000"/>
              </w:rPr>
            </w:pPr>
            <w:r w:rsidRPr="00196481">
              <w:rPr>
                <w:rFonts w:ascii="Cambria" w:hAnsi="Cambria"/>
              </w:rPr>
              <w:t>1.</w:t>
            </w:r>
            <w:r w:rsidR="00196481" w:rsidRPr="00196481">
              <w:rPr>
                <w:rFonts w:ascii="Cambria" w:hAnsi="Cambria"/>
              </w:rPr>
              <w:t xml:space="preserve"> </w:t>
            </w:r>
            <w:r w:rsidRPr="00196481">
              <w:rPr>
                <w:rFonts w:ascii="Cambria" w:hAnsi="Cambria"/>
              </w:rPr>
              <w:t>–</w:t>
            </w:r>
            <w:r w:rsidR="00196481" w:rsidRPr="00196481">
              <w:rPr>
                <w:rFonts w:ascii="Cambria" w:hAnsi="Cambria"/>
              </w:rPr>
              <w:t xml:space="preserve"> 6</w:t>
            </w:r>
            <w:r w:rsidRPr="00196481">
              <w:rPr>
                <w:rFonts w:ascii="Cambria" w:hAnsi="Cambria"/>
              </w:rPr>
              <w:t>.</w:t>
            </w:r>
          </w:p>
        </w:tc>
        <w:tc>
          <w:tcPr>
            <w:tcW w:w="69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B6BC7C5" w14:textId="09627FC9" w:rsidR="001457BE" w:rsidRPr="00DF4CE5" w:rsidRDefault="001457BE" w:rsidP="00F23CC9">
            <w:pPr>
              <w:jc w:val="center"/>
              <w:rPr>
                <w:rFonts w:ascii="Cambria" w:hAnsi="Cambria" w:cs="Cambria"/>
                <w:color w:val="000000"/>
              </w:rPr>
            </w:pPr>
            <w:r w:rsidRPr="00DF4CE5">
              <w:rPr>
                <w:rFonts w:ascii="Cambria" w:hAnsi="Cambria"/>
              </w:rPr>
              <w:t>45</w:t>
            </w:r>
          </w:p>
        </w:tc>
        <w:tc>
          <w:tcPr>
            <w:tcW w:w="9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0DB9294" w14:textId="22CCE7EF" w:rsidR="001457BE" w:rsidRPr="00DF4CE5" w:rsidRDefault="001457BE" w:rsidP="00F23CC9">
            <w:pPr>
              <w:jc w:val="center"/>
              <w:rPr>
                <w:rFonts w:ascii="Cambria" w:hAnsi="Cambria" w:cs="Cambria"/>
                <w:color w:val="000000"/>
              </w:rPr>
            </w:pPr>
            <w:r w:rsidRPr="00DF4CE5">
              <w:rPr>
                <w:rFonts w:ascii="Cambria" w:hAnsi="Cambria"/>
              </w:rPr>
              <w:t>1,5</w:t>
            </w:r>
          </w:p>
        </w:tc>
        <w:tc>
          <w:tcPr>
            <w:tcW w:w="127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2931294" w14:textId="29EA9238" w:rsidR="001457BE" w:rsidRPr="00DF4CE5" w:rsidRDefault="001457BE" w:rsidP="00F23CC9">
            <w:pPr>
              <w:pStyle w:val="Default"/>
              <w:jc w:val="center"/>
              <w:rPr>
                <w:rFonts w:ascii="Cambria" w:hAnsi="Cambria"/>
                <w:sz w:val="22"/>
                <w:szCs w:val="22"/>
              </w:rPr>
            </w:pPr>
            <w:r w:rsidRPr="00DF4CE5">
              <w:rPr>
                <w:rFonts w:ascii="Cambria" w:hAnsi="Cambria"/>
                <w:sz w:val="22"/>
                <w:szCs w:val="22"/>
              </w:rPr>
              <w:t>0%</w:t>
            </w:r>
          </w:p>
        </w:tc>
      </w:tr>
      <w:tr w:rsidR="001457BE" w:rsidRPr="00DF4CE5" w14:paraId="23FE4A47" w14:textId="77777777" w:rsidTr="00891E8C">
        <w:trPr>
          <w:trHeight w:val="247"/>
        </w:trPr>
        <w:tc>
          <w:tcPr>
            <w:tcW w:w="2536" w:type="dxa"/>
            <w:vMerge/>
            <w:tcBorders>
              <w:left w:val="single" w:sz="8" w:space="0" w:color="000000"/>
              <w:right w:val="single" w:sz="8" w:space="0" w:color="000000"/>
            </w:tcBorders>
            <w:vAlign w:val="center"/>
            <w:hideMark/>
          </w:tcPr>
          <w:p w14:paraId="12852F28" w14:textId="77777777" w:rsidR="001457BE" w:rsidRPr="00DF4CE5" w:rsidRDefault="001457BE" w:rsidP="00891E8C">
            <w:pPr>
              <w:rPr>
                <w:rFonts w:ascii="Cambria" w:hAnsi="Cambria" w:cs="Calibri"/>
              </w:rPr>
            </w:pPr>
          </w:p>
        </w:tc>
        <w:tc>
          <w:tcPr>
            <w:tcW w:w="250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A6EBE44" w14:textId="3A14AF27" w:rsidR="001457BE" w:rsidRPr="00DF4CE5" w:rsidRDefault="00F23CC9" w:rsidP="00891E8C">
            <w:pPr>
              <w:pStyle w:val="Default"/>
              <w:rPr>
                <w:rFonts w:ascii="Cambria" w:hAnsi="Cambria"/>
                <w:sz w:val="22"/>
                <w:szCs w:val="22"/>
              </w:rPr>
            </w:pPr>
            <w:proofErr w:type="spellStart"/>
            <w:r>
              <w:rPr>
                <w:rFonts w:ascii="Cambria" w:hAnsi="Cambria"/>
                <w:sz w:val="22"/>
                <w:szCs w:val="22"/>
              </w:rPr>
              <w:t>a</w:t>
            </w:r>
            <w:r w:rsidR="001457BE" w:rsidRPr="00DF4CE5">
              <w:rPr>
                <w:rFonts w:ascii="Cambria" w:hAnsi="Cambria"/>
                <w:sz w:val="22"/>
                <w:szCs w:val="22"/>
              </w:rPr>
              <w:t>naliza</w:t>
            </w:r>
            <w:proofErr w:type="spellEnd"/>
            <w:r w:rsidR="001457BE" w:rsidRPr="00DF4CE5">
              <w:rPr>
                <w:rFonts w:ascii="Cambria" w:hAnsi="Cambria"/>
                <w:sz w:val="22"/>
                <w:szCs w:val="22"/>
              </w:rPr>
              <w:t xml:space="preserve"> </w:t>
            </w:r>
            <w:proofErr w:type="spellStart"/>
            <w:r w:rsidR="001457BE" w:rsidRPr="00DF4CE5">
              <w:rPr>
                <w:rFonts w:ascii="Cambria" w:hAnsi="Cambria"/>
                <w:sz w:val="22"/>
                <w:szCs w:val="22"/>
              </w:rPr>
              <w:t>sata</w:t>
            </w:r>
            <w:proofErr w:type="spellEnd"/>
          </w:p>
        </w:tc>
        <w:tc>
          <w:tcPr>
            <w:tcW w:w="1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585FB0A" w14:textId="2C379E20" w:rsidR="001457BE" w:rsidRPr="00196481" w:rsidRDefault="00196481" w:rsidP="00F23CC9">
            <w:pPr>
              <w:pStyle w:val="Default"/>
              <w:jc w:val="center"/>
              <w:rPr>
                <w:rFonts w:ascii="Cambria" w:hAnsi="Cambria"/>
                <w:sz w:val="22"/>
                <w:szCs w:val="22"/>
              </w:rPr>
            </w:pPr>
            <w:r w:rsidRPr="00196481">
              <w:rPr>
                <w:rFonts w:ascii="Cambria" w:hAnsi="Cambria"/>
                <w:sz w:val="22"/>
                <w:szCs w:val="22"/>
              </w:rPr>
              <w:t>1. – 6.</w:t>
            </w:r>
          </w:p>
        </w:tc>
        <w:tc>
          <w:tcPr>
            <w:tcW w:w="69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FFC7B49" w14:textId="77777777" w:rsidR="001457BE" w:rsidRPr="00DF4CE5" w:rsidRDefault="001457BE" w:rsidP="00F23CC9">
            <w:pPr>
              <w:pStyle w:val="Default"/>
              <w:jc w:val="center"/>
              <w:rPr>
                <w:rFonts w:ascii="Cambria" w:hAnsi="Cambria"/>
                <w:sz w:val="22"/>
                <w:szCs w:val="22"/>
              </w:rPr>
            </w:pPr>
            <w:r w:rsidRPr="00DF4CE5">
              <w:rPr>
                <w:rFonts w:ascii="Cambria" w:hAnsi="Cambria"/>
                <w:sz w:val="22"/>
                <w:szCs w:val="22"/>
              </w:rPr>
              <w:t>7,5</w:t>
            </w:r>
          </w:p>
        </w:tc>
        <w:tc>
          <w:tcPr>
            <w:tcW w:w="9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4127264" w14:textId="77777777" w:rsidR="001457BE" w:rsidRPr="00DF4CE5" w:rsidRDefault="001457BE" w:rsidP="00F23CC9">
            <w:pPr>
              <w:pStyle w:val="Default"/>
              <w:jc w:val="center"/>
              <w:rPr>
                <w:rFonts w:ascii="Cambria" w:hAnsi="Cambria"/>
                <w:sz w:val="22"/>
                <w:szCs w:val="22"/>
              </w:rPr>
            </w:pPr>
            <w:r w:rsidRPr="00DF4CE5">
              <w:rPr>
                <w:rFonts w:ascii="Cambria" w:hAnsi="Cambria"/>
                <w:sz w:val="22"/>
                <w:szCs w:val="22"/>
              </w:rPr>
              <w:t>0,5</w:t>
            </w:r>
          </w:p>
        </w:tc>
        <w:tc>
          <w:tcPr>
            <w:tcW w:w="127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2BB3C1F" w14:textId="77777777" w:rsidR="001457BE" w:rsidRPr="00DF4CE5" w:rsidRDefault="001457BE" w:rsidP="00F23CC9">
            <w:pPr>
              <w:pStyle w:val="Default"/>
              <w:jc w:val="center"/>
              <w:rPr>
                <w:rFonts w:ascii="Cambria" w:hAnsi="Cambria"/>
                <w:sz w:val="22"/>
                <w:szCs w:val="22"/>
              </w:rPr>
            </w:pPr>
            <w:r w:rsidRPr="00DF4CE5">
              <w:rPr>
                <w:rFonts w:ascii="Cambria" w:hAnsi="Cambria"/>
                <w:sz w:val="22"/>
                <w:szCs w:val="22"/>
              </w:rPr>
              <w:t>10%</w:t>
            </w:r>
          </w:p>
        </w:tc>
      </w:tr>
      <w:tr w:rsidR="001457BE" w:rsidRPr="00DF4CE5" w14:paraId="518E9D1F" w14:textId="77777777" w:rsidTr="00891E8C">
        <w:trPr>
          <w:trHeight w:val="259"/>
        </w:trPr>
        <w:tc>
          <w:tcPr>
            <w:tcW w:w="2536" w:type="dxa"/>
            <w:vMerge/>
            <w:tcBorders>
              <w:left w:val="single" w:sz="8" w:space="0" w:color="000000"/>
              <w:right w:val="single" w:sz="8" w:space="0" w:color="000000"/>
            </w:tcBorders>
            <w:vAlign w:val="center"/>
          </w:tcPr>
          <w:p w14:paraId="6D74578A" w14:textId="77777777" w:rsidR="001457BE" w:rsidRPr="00DF4CE5" w:rsidRDefault="001457BE" w:rsidP="00891E8C">
            <w:pPr>
              <w:rPr>
                <w:rFonts w:ascii="Cambria" w:hAnsi="Cambria" w:cs="Calibri"/>
              </w:rPr>
            </w:pPr>
          </w:p>
        </w:tc>
        <w:tc>
          <w:tcPr>
            <w:tcW w:w="250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34F297E" w14:textId="77777777" w:rsidR="001457BE" w:rsidRPr="00DF4CE5" w:rsidRDefault="001457BE" w:rsidP="00891E8C">
            <w:pPr>
              <w:pStyle w:val="Default"/>
              <w:rPr>
                <w:rFonts w:ascii="Cambria" w:hAnsi="Cambria"/>
                <w:sz w:val="22"/>
                <w:szCs w:val="22"/>
              </w:rPr>
            </w:pPr>
            <w:proofErr w:type="spellStart"/>
            <w:r w:rsidRPr="00DF4CE5">
              <w:rPr>
                <w:rFonts w:ascii="Cambria" w:hAnsi="Cambria"/>
                <w:sz w:val="22"/>
                <w:szCs w:val="22"/>
              </w:rPr>
              <w:t>priprema</w:t>
            </w:r>
            <w:proofErr w:type="spellEnd"/>
            <w:r w:rsidRPr="00DF4CE5">
              <w:rPr>
                <w:rFonts w:ascii="Cambria" w:hAnsi="Cambria"/>
                <w:sz w:val="22"/>
                <w:szCs w:val="22"/>
              </w:rPr>
              <w:t xml:space="preserve"> </w:t>
            </w:r>
            <w:proofErr w:type="spellStart"/>
            <w:r w:rsidRPr="00DF4CE5">
              <w:rPr>
                <w:rFonts w:ascii="Cambria" w:hAnsi="Cambria"/>
                <w:sz w:val="22"/>
                <w:szCs w:val="22"/>
              </w:rPr>
              <w:t>nastavnog</w:t>
            </w:r>
            <w:proofErr w:type="spellEnd"/>
            <w:r w:rsidRPr="00DF4CE5">
              <w:rPr>
                <w:rFonts w:ascii="Cambria" w:hAnsi="Cambria"/>
                <w:sz w:val="22"/>
                <w:szCs w:val="22"/>
              </w:rPr>
              <w:t xml:space="preserve"> </w:t>
            </w:r>
            <w:proofErr w:type="spellStart"/>
            <w:r w:rsidRPr="00DF4CE5">
              <w:rPr>
                <w:rFonts w:ascii="Cambria" w:hAnsi="Cambria"/>
                <w:sz w:val="22"/>
                <w:szCs w:val="22"/>
              </w:rPr>
              <w:t>sata</w:t>
            </w:r>
            <w:proofErr w:type="spellEnd"/>
            <w:r w:rsidRPr="00DF4CE5">
              <w:rPr>
                <w:rFonts w:ascii="Cambria" w:hAnsi="Cambria"/>
                <w:sz w:val="22"/>
                <w:szCs w:val="22"/>
              </w:rPr>
              <w:t xml:space="preserve"> </w:t>
            </w:r>
          </w:p>
        </w:tc>
        <w:tc>
          <w:tcPr>
            <w:tcW w:w="1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F79107" w14:textId="38E499AB" w:rsidR="001457BE" w:rsidRPr="00196481" w:rsidRDefault="00196481" w:rsidP="00F23CC9">
            <w:pPr>
              <w:pStyle w:val="Default"/>
              <w:jc w:val="center"/>
              <w:rPr>
                <w:rFonts w:ascii="Cambria" w:hAnsi="Cambria"/>
                <w:sz w:val="22"/>
                <w:szCs w:val="22"/>
              </w:rPr>
            </w:pPr>
            <w:r w:rsidRPr="00196481">
              <w:rPr>
                <w:rFonts w:ascii="Cambria" w:hAnsi="Cambria"/>
                <w:sz w:val="22"/>
                <w:szCs w:val="22"/>
              </w:rPr>
              <w:t>1. – 6.</w:t>
            </w:r>
          </w:p>
        </w:tc>
        <w:tc>
          <w:tcPr>
            <w:tcW w:w="69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A83939B" w14:textId="26F83261" w:rsidR="001457BE" w:rsidRPr="00DF4CE5" w:rsidRDefault="001457BE" w:rsidP="00F23CC9">
            <w:pPr>
              <w:pStyle w:val="Default"/>
              <w:jc w:val="center"/>
              <w:rPr>
                <w:rFonts w:ascii="Cambria" w:hAnsi="Cambria"/>
                <w:sz w:val="22"/>
                <w:szCs w:val="22"/>
              </w:rPr>
            </w:pPr>
            <w:r w:rsidRPr="00DF4CE5">
              <w:rPr>
                <w:rFonts w:ascii="Cambria" w:hAnsi="Cambria"/>
                <w:sz w:val="22"/>
                <w:szCs w:val="22"/>
              </w:rPr>
              <w:t>15</w:t>
            </w:r>
          </w:p>
        </w:tc>
        <w:tc>
          <w:tcPr>
            <w:tcW w:w="9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4C287E2" w14:textId="1AB18A62" w:rsidR="001457BE" w:rsidRPr="00DF4CE5" w:rsidRDefault="001457BE" w:rsidP="00F23CC9">
            <w:pPr>
              <w:pStyle w:val="Default"/>
              <w:jc w:val="center"/>
              <w:rPr>
                <w:rFonts w:ascii="Cambria" w:hAnsi="Cambria"/>
                <w:sz w:val="22"/>
                <w:szCs w:val="22"/>
              </w:rPr>
            </w:pPr>
            <w:r w:rsidRPr="00DF4CE5">
              <w:rPr>
                <w:rFonts w:ascii="Cambria" w:hAnsi="Cambria"/>
                <w:sz w:val="22"/>
                <w:szCs w:val="22"/>
              </w:rPr>
              <w:t>0,5</w:t>
            </w:r>
          </w:p>
        </w:tc>
        <w:tc>
          <w:tcPr>
            <w:tcW w:w="127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5E3DC7E" w14:textId="28168E98" w:rsidR="001457BE" w:rsidRPr="00DF4CE5" w:rsidRDefault="001457BE" w:rsidP="00F23CC9">
            <w:pPr>
              <w:pStyle w:val="Default"/>
              <w:jc w:val="center"/>
              <w:rPr>
                <w:rFonts w:ascii="Cambria" w:hAnsi="Cambria"/>
                <w:sz w:val="22"/>
                <w:szCs w:val="22"/>
              </w:rPr>
            </w:pPr>
            <w:r w:rsidRPr="00DF4CE5">
              <w:rPr>
                <w:rFonts w:ascii="Cambria" w:hAnsi="Cambria"/>
                <w:sz w:val="22"/>
                <w:szCs w:val="22"/>
              </w:rPr>
              <w:t>35%</w:t>
            </w:r>
          </w:p>
        </w:tc>
      </w:tr>
      <w:tr w:rsidR="001457BE" w:rsidRPr="00DF4CE5" w14:paraId="1684BD35" w14:textId="77777777" w:rsidTr="00891E8C">
        <w:trPr>
          <w:trHeight w:val="259"/>
        </w:trPr>
        <w:tc>
          <w:tcPr>
            <w:tcW w:w="2536" w:type="dxa"/>
            <w:vMerge/>
            <w:tcBorders>
              <w:left w:val="single" w:sz="8" w:space="0" w:color="000000"/>
              <w:right w:val="single" w:sz="8" w:space="0" w:color="000000"/>
            </w:tcBorders>
            <w:vAlign w:val="center"/>
          </w:tcPr>
          <w:p w14:paraId="672E95D0" w14:textId="77777777" w:rsidR="001457BE" w:rsidRPr="00DF4CE5" w:rsidRDefault="001457BE" w:rsidP="00891E8C">
            <w:pPr>
              <w:rPr>
                <w:rFonts w:ascii="Cambria" w:hAnsi="Cambria" w:cs="Calibri"/>
              </w:rPr>
            </w:pPr>
          </w:p>
        </w:tc>
        <w:tc>
          <w:tcPr>
            <w:tcW w:w="250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1362774" w14:textId="77777777" w:rsidR="001457BE" w:rsidRPr="00DF4CE5" w:rsidRDefault="001457BE" w:rsidP="00891E8C">
            <w:pPr>
              <w:pStyle w:val="Default"/>
              <w:rPr>
                <w:rFonts w:ascii="Cambria" w:hAnsi="Cambria"/>
                <w:sz w:val="22"/>
                <w:szCs w:val="22"/>
              </w:rPr>
            </w:pPr>
            <w:proofErr w:type="spellStart"/>
            <w:r w:rsidRPr="00DF4CE5">
              <w:rPr>
                <w:rFonts w:ascii="Cambria" w:hAnsi="Cambria"/>
                <w:sz w:val="22"/>
                <w:szCs w:val="22"/>
              </w:rPr>
              <w:t>izvedba</w:t>
            </w:r>
            <w:proofErr w:type="spellEnd"/>
            <w:r w:rsidRPr="00DF4CE5">
              <w:rPr>
                <w:rFonts w:ascii="Cambria" w:hAnsi="Cambria"/>
                <w:sz w:val="22"/>
                <w:szCs w:val="22"/>
              </w:rPr>
              <w:t xml:space="preserve"> </w:t>
            </w:r>
            <w:proofErr w:type="spellStart"/>
            <w:r w:rsidRPr="00DF4CE5">
              <w:rPr>
                <w:rFonts w:ascii="Cambria" w:hAnsi="Cambria"/>
                <w:sz w:val="22"/>
                <w:szCs w:val="22"/>
              </w:rPr>
              <w:t>nastavnog</w:t>
            </w:r>
            <w:proofErr w:type="spellEnd"/>
            <w:r w:rsidRPr="00DF4CE5">
              <w:rPr>
                <w:rFonts w:ascii="Cambria" w:hAnsi="Cambria"/>
                <w:sz w:val="22"/>
                <w:szCs w:val="22"/>
              </w:rPr>
              <w:t xml:space="preserve"> </w:t>
            </w:r>
            <w:proofErr w:type="spellStart"/>
            <w:r w:rsidRPr="00DF4CE5">
              <w:rPr>
                <w:rFonts w:ascii="Cambria" w:hAnsi="Cambria"/>
                <w:sz w:val="22"/>
                <w:szCs w:val="22"/>
              </w:rPr>
              <w:t>sata</w:t>
            </w:r>
            <w:proofErr w:type="spellEnd"/>
            <w:r w:rsidRPr="00DF4CE5">
              <w:rPr>
                <w:rFonts w:ascii="Cambria" w:hAnsi="Cambria"/>
                <w:sz w:val="22"/>
                <w:szCs w:val="22"/>
              </w:rPr>
              <w:t xml:space="preserve"> </w:t>
            </w:r>
          </w:p>
        </w:tc>
        <w:tc>
          <w:tcPr>
            <w:tcW w:w="1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5944D48" w14:textId="57E61C6A" w:rsidR="001457BE" w:rsidRPr="00196481" w:rsidRDefault="00196481" w:rsidP="00F23CC9">
            <w:pPr>
              <w:pStyle w:val="Default"/>
              <w:jc w:val="center"/>
              <w:rPr>
                <w:rFonts w:ascii="Cambria" w:hAnsi="Cambria"/>
                <w:sz w:val="22"/>
                <w:szCs w:val="22"/>
              </w:rPr>
            </w:pPr>
            <w:r w:rsidRPr="00196481">
              <w:rPr>
                <w:rFonts w:ascii="Cambria" w:hAnsi="Cambria"/>
                <w:sz w:val="22"/>
                <w:szCs w:val="22"/>
              </w:rPr>
              <w:t>1. – 6.</w:t>
            </w:r>
          </w:p>
        </w:tc>
        <w:tc>
          <w:tcPr>
            <w:tcW w:w="69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5658936" w14:textId="04693184" w:rsidR="001457BE" w:rsidRPr="00DF4CE5" w:rsidRDefault="001457BE" w:rsidP="00F23CC9">
            <w:pPr>
              <w:pStyle w:val="Default"/>
              <w:jc w:val="center"/>
              <w:rPr>
                <w:rFonts w:ascii="Cambria" w:hAnsi="Cambria"/>
                <w:sz w:val="22"/>
                <w:szCs w:val="22"/>
              </w:rPr>
            </w:pPr>
            <w:r w:rsidRPr="00DF4CE5">
              <w:rPr>
                <w:rFonts w:ascii="Cambria" w:hAnsi="Cambria"/>
                <w:sz w:val="22"/>
                <w:szCs w:val="22"/>
              </w:rPr>
              <w:t>15</w:t>
            </w:r>
          </w:p>
        </w:tc>
        <w:tc>
          <w:tcPr>
            <w:tcW w:w="9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34DE1F4" w14:textId="77777777" w:rsidR="001457BE" w:rsidRPr="00DF4CE5" w:rsidRDefault="001457BE" w:rsidP="00F23CC9">
            <w:pPr>
              <w:pStyle w:val="Default"/>
              <w:jc w:val="center"/>
              <w:rPr>
                <w:rFonts w:ascii="Cambria" w:hAnsi="Cambria"/>
                <w:sz w:val="22"/>
                <w:szCs w:val="22"/>
              </w:rPr>
            </w:pPr>
            <w:r w:rsidRPr="00DF4CE5">
              <w:rPr>
                <w:rFonts w:ascii="Cambria" w:hAnsi="Cambria"/>
                <w:sz w:val="22"/>
                <w:szCs w:val="22"/>
              </w:rPr>
              <w:t>0,5</w:t>
            </w:r>
          </w:p>
        </w:tc>
        <w:tc>
          <w:tcPr>
            <w:tcW w:w="127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DE21D23" w14:textId="529D55B1" w:rsidR="001457BE" w:rsidRPr="00DF4CE5" w:rsidRDefault="001457BE" w:rsidP="00F23CC9">
            <w:pPr>
              <w:pStyle w:val="Default"/>
              <w:jc w:val="center"/>
              <w:rPr>
                <w:rFonts w:ascii="Cambria" w:hAnsi="Cambria"/>
                <w:sz w:val="22"/>
                <w:szCs w:val="22"/>
              </w:rPr>
            </w:pPr>
            <w:r w:rsidRPr="00DF4CE5">
              <w:rPr>
                <w:rFonts w:ascii="Cambria" w:hAnsi="Cambria"/>
                <w:sz w:val="22"/>
                <w:szCs w:val="22"/>
              </w:rPr>
              <w:t>35%</w:t>
            </w:r>
          </w:p>
        </w:tc>
      </w:tr>
      <w:tr w:rsidR="001457BE" w:rsidRPr="00DF4CE5" w14:paraId="41130333" w14:textId="77777777" w:rsidTr="00891E8C">
        <w:trPr>
          <w:trHeight w:val="259"/>
        </w:trPr>
        <w:tc>
          <w:tcPr>
            <w:tcW w:w="2536" w:type="dxa"/>
            <w:vMerge/>
            <w:tcBorders>
              <w:left w:val="single" w:sz="8" w:space="0" w:color="000000"/>
              <w:right w:val="single" w:sz="8" w:space="0" w:color="000000"/>
            </w:tcBorders>
            <w:vAlign w:val="center"/>
            <w:hideMark/>
          </w:tcPr>
          <w:p w14:paraId="7D5B4688" w14:textId="77777777" w:rsidR="001457BE" w:rsidRPr="00DF4CE5" w:rsidRDefault="001457BE" w:rsidP="00891E8C">
            <w:pPr>
              <w:rPr>
                <w:rFonts w:ascii="Cambria" w:hAnsi="Cambria" w:cs="Calibri"/>
              </w:rPr>
            </w:pPr>
          </w:p>
        </w:tc>
        <w:tc>
          <w:tcPr>
            <w:tcW w:w="250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1ADDD06" w14:textId="77777777" w:rsidR="001457BE" w:rsidRPr="00DF4CE5" w:rsidRDefault="001457BE" w:rsidP="00891E8C">
            <w:pPr>
              <w:pStyle w:val="Default"/>
              <w:rPr>
                <w:rFonts w:ascii="Cambria" w:hAnsi="Cambria"/>
                <w:sz w:val="22"/>
                <w:szCs w:val="22"/>
              </w:rPr>
            </w:pPr>
            <w:proofErr w:type="spellStart"/>
            <w:r w:rsidRPr="00DF4CE5">
              <w:rPr>
                <w:rFonts w:ascii="Cambria" w:hAnsi="Cambria"/>
                <w:sz w:val="22"/>
                <w:szCs w:val="22"/>
              </w:rPr>
              <w:t>kolokvij</w:t>
            </w:r>
            <w:proofErr w:type="spellEnd"/>
          </w:p>
        </w:tc>
        <w:tc>
          <w:tcPr>
            <w:tcW w:w="1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604EE57" w14:textId="02297740" w:rsidR="001457BE" w:rsidRPr="00196481" w:rsidRDefault="00196481" w:rsidP="00F23CC9">
            <w:pPr>
              <w:pStyle w:val="Default"/>
              <w:jc w:val="center"/>
              <w:rPr>
                <w:rFonts w:ascii="Cambria" w:hAnsi="Cambria"/>
                <w:sz w:val="22"/>
                <w:szCs w:val="22"/>
              </w:rPr>
            </w:pPr>
            <w:r w:rsidRPr="00196481">
              <w:rPr>
                <w:rFonts w:ascii="Cambria" w:hAnsi="Cambria"/>
                <w:sz w:val="22"/>
                <w:szCs w:val="22"/>
              </w:rPr>
              <w:t>1. – 6.</w:t>
            </w:r>
          </w:p>
        </w:tc>
        <w:tc>
          <w:tcPr>
            <w:tcW w:w="69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6388487" w14:textId="78ED3EBD" w:rsidR="001457BE" w:rsidRPr="00DF4CE5" w:rsidRDefault="001457BE" w:rsidP="00F23CC9">
            <w:pPr>
              <w:pStyle w:val="Default"/>
              <w:jc w:val="center"/>
              <w:rPr>
                <w:rFonts w:ascii="Cambria" w:hAnsi="Cambria"/>
                <w:sz w:val="22"/>
                <w:szCs w:val="22"/>
              </w:rPr>
            </w:pPr>
            <w:r w:rsidRPr="00DF4CE5">
              <w:rPr>
                <w:rFonts w:ascii="Cambria" w:hAnsi="Cambria"/>
                <w:sz w:val="22"/>
                <w:szCs w:val="22"/>
              </w:rPr>
              <w:t>30</w:t>
            </w:r>
          </w:p>
        </w:tc>
        <w:tc>
          <w:tcPr>
            <w:tcW w:w="9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14111E0" w14:textId="77777777" w:rsidR="001457BE" w:rsidRPr="00DF4CE5" w:rsidRDefault="001457BE" w:rsidP="00F23CC9">
            <w:pPr>
              <w:pStyle w:val="Default"/>
              <w:jc w:val="center"/>
              <w:rPr>
                <w:rFonts w:ascii="Cambria" w:hAnsi="Cambria"/>
                <w:sz w:val="22"/>
                <w:szCs w:val="22"/>
              </w:rPr>
            </w:pPr>
            <w:r w:rsidRPr="00DF4CE5">
              <w:rPr>
                <w:rFonts w:ascii="Cambria" w:hAnsi="Cambria"/>
                <w:sz w:val="22"/>
                <w:szCs w:val="22"/>
              </w:rPr>
              <w:t>1,0</w:t>
            </w:r>
          </w:p>
        </w:tc>
        <w:tc>
          <w:tcPr>
            <w:tcW w:w="127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8578842" w14:textId="408CD7E4" w:rsidR="001457BE" w:rsidRPr="00DF4CE5" w:rsidRDefault="001457BE" w:rsidP="00F23CC9">
            <w:pPr>
              <w:pStyle w:val="Default"/>
              <w:jc w:val="center"/>
              <w:rPr>
                <w:rFonts w:ascii="Cambria" w:hAnsi="Cambria"/>
                <w:sz w:val="22"/>
                <w:szCs w:val="22"/>
              </w:rPr>
            </w:pPr>
            <w:r w:rsidRPr="00DF4CE5">
              <w:rPr>
                <w:rFonts w:ascii="Cambria" w:hAnsi="Cambria"/>
                <w:sz w:val="22"/>
                <w:szCs w:val="22"/>
              </w:rPr>
              <w:t>20%</w:t>
            </w:r>
          </w:p>
        </w:tc>
      </w:tr>
      <w:tr w:rsidR="001457BE" w:rsidRPr="00DF4CE5" w14:paraId="278DC24C" w14:textId="77777777" w:rsidTr="00891E8C">
        <w:tc>
          <w:tcPr>
            <w:tcW w:w="2536" w:type="dxa"/>
            <w:vMerge/>
            <w:tcBorders>
              <w:left w:val="single" w:sz="8" w:space="0" w:color="000000"/>
              <w:right w:val="single" w:sz="8" w:space="0" w:color="000000"/>
            </w:tcBorders>
            <w:vAlign w:val="center"/>
            <w:hideMark/>
          </w:tcPr>
          <w:p w14:paraId="116E9059" w14:textId="77777777" w:rsidR="001457BE" w:rsidRPr="00DF4CE5" w:rsidRDefault="001457BE" w:rsidP="00891E8C">
            <w:pPr>
              <w:rPr>
                <w:rFonts w:ascii="Cambria" w:hAnsi="Cambria" w:cs="Calibri"/>
              </w:rPr>
            </w:pPr>
          </w:p>
        </w:tc>
        <w:tc>
          <w:tcPr>
            <w:tcW w:w="3559"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9A4717C" w14:textId="77777777" w:rsidR="001457BE" w:rsidRPr="00DF4CE5" w:rsidRDefault="001457BE" w:rsidP="00891E8C">
            <w:pPr>
              <w:pStyle w:val="Default"/>
              <w:rPr>
                <w:rFonts w:ascii="Cambria" w:hAnsi="Cambria"/>
                <w:sz w:val="22"/>
                <w:szCs w:val="22"/>
              </w:rPr>
            </w:pPr>
            <w:proofErr w:type="spellStart"/>
            <w:r w:rsidRPr="00DF4CE5">
              <w:rPr>
                <w:rFonts w:ascii="Cambria" w:hAnsi="Cambria"/>
                <w:sz w:val="22"/>
                <w:szCs w:val="22"/>
              </w:rPr>
              <w:t>ukupno</w:t>
            </w:r>
            <w:proofErr w:type="spellEnd"/>
          </w:p>
        </w:tc>
        <w:tc>
          <w:tcPr>
            <w:tcW w:w="69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4A28302" w14:textId="77777777" w:rsidR="001457BE" w:rsidRPr="00DF4CE5" w:rsidRDefault="001457BE" w:rsidP="00F23CC9">
            <w:pPr>
              <w:pStyle w:val="Default"/>
              <w:jc w:val="center"/>
              <w:rPr>
                <w:rFonts w:ascii="Cambria" w:hAnsi="Cambria"/>
                <w:sz w:val="22"/>
                <w:szCs w:val="22"/>
              </w:rPr>
            </w:pPr>
            <w:r w:rsidRPr="00DF4CE5">
              <w:rPr>
                <w:rFonts w:ascii="Cambria" w:hAnsi="Cambria"/>
                <w:sz w:val="22"/>
                <w:szCs w:val="22"/>
              </w:rPr>
              <w:t>120</w:t>
            </w:r>
          </w:p>
        </w:tc>
        <w:tc>
          <w:tcPr>
            <w:tcW w:w="9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98898DA" w14:textId="77777777" w:rsidR="001457BE" w:rsidRPr="00DF4CE5" w:rsidRDefault="001457BE" w:rsidP="00F23CC9">
            <w:pPr>
              <w:pStyle w:val="Default"/>
              <w:jc w:val="center"/>
              <w:rPr>
                <w:rFonts w:ascii="Cambria" w:hAnsi="Cambria"/>
                <w:sz w:val="22"/>
                <w:szCs w:val="22"/>
              </w:rPr>
            </w:pPr>
            <w:r w:rsidRPr="00DF4CE5">
              <w:rPr>
                <w:rFonts w:ascii="Cambria" w:hAnsi="Cambria"/>
                <w:sz w:val="22"/>
                <w:szCs w:val="22"/>
              </w:rPr>
              <w:t>4</w:t>
            </w:r>
          </w:p>
        </w:tc>
        <w:tc>
          <w:tcPr>
            <w:tcW w:w="127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85CB4B8" w14:textId="77777777" w:rsidR="001457BE" w:rsidRPr="00DF4CE5" w:rsidRDefault="001457BE" w:rsidP="00F23CC9">
            <w:pPr>
              <w:pStyle w:val="Default"/>
              <w:jc w:val="center"/>
              <w:rPr>
                <w:rFonts w:ascii="Cambria" w:hAnsi="Cambria"/>
                <w:sz w:val="22"/>
                <w:szCs w:val="22"/>
              </w:rPr>
            </w:pPr>
            <w:r w:rsidRPr="00DF4CE5">
              <w:rPr>
                <w:rFonts w:ascii="Cambria" w:hAnsi="Cambria"/>
                <w:sz w:val="22"/>
                <w:szCs w:val="22"/>
              </w:rPr>
              <w:t>100%</w:t>
            </w:r>
          </w:p>
        </w:tc>
      </w:tr>
      <w:tr w:rsidR="001457BE" w:rsidRPr="00D0399C" w14:paraId="3152B769" w14:textId="77777777" w:rsidTr="00891E8C">
        <w:trPr>
          <w:trHeight w:val="329"/>
        </w:trPr>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463B415" w14:textId="77777777" w:rsidR="001457BE" w:rsidRPr="00DF4CE5" w:rsidRDefault="001457BE" w:rsidP="00891E8C">
            <w:pPr>
              <w:rPr>
                <w:rFonts w:ascii="Cambria" w:hAnsi="Cambria" w:cs="Calibri"/>
              </w:rPr>
            </w:pPr>
            <w:proofErr w:type="spellStart"/>
            <w:r w:rsidRPr="00DF4CE5">
              <w:rPr>
                <w:rFonts w:ascii="Cambria" w:hAnsi="Cambria" w:cs="Calibri"/>
              </w:rPr>
              <w:t>Studentske</w:t>
            </w:r>
            <w:proofErr w:type="spellEnd"/>
            <w:r w:rsidRPr="00DF4CE5">
              <w:rPr>
                <w:rFonts w:ascii="Cambria" w:hAnsi="Cambria" w:cs="Calibri"/>
              </w:rPr>
              <w:t xml:space="preserve"> </w:t>
            </w:r>
            <w:proofErr w:type="spellStart"/>
            <w:r w:rsidRPr="00DF4CE5">
              <w:rPr>
                <w:rFonts w:ascii="Cambria" w:hAnsi="Cambria" w:cs="Calibri"/>
              </w:rPr>
              <w:t>obveze</w:t>
            </w:r>
            <w:proofErr w:type="spellEnd"/>
          </w:p>
        </w:tc>
        <w:tc>
          <w:tcPr>
            <w:tcW w:w="651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0002E46" w14:textId="77777777" w:rsidR="001457BE" w:rsidRPr="00DF4CE5" w:rsidRDefault="001457BE" w:rsidP="00F23CC9">
            <w:pPr>
              <w:spacing w:after="0" w:line="240" w:lineRule="auto"/>
              <w:rPr>
                <w:rFonts w:ascii="Cambria" w:hAnsi="Cambria" w:cs="Calibri"/>
                <w:lang w:val="it-IT"/>
              </w:rPr>
            </w:pPr>
            <w:r w:rsidRPr="00DF4CE5">
              <w:rPr>
                <w:rFonts w:ascii="Cambria" w:hAnsi="Cambria" w:cs="Calibri"/>
                <w:lang w:val="it-IT"/>
              </w:rPr>
              <w:t xml:space="preserve">Da </w:t>
            </w:r>
            <w:proofErr w:type="spellStart"/>
            <w:r w:rsidRPr="00DF4CE5">
              <w:rPr>
                <w:rFonts w:ascii="Cambria" w:hAnsi="Cambria" w:cs="Calibri"/>
                <w:lang w:val="it-IT"/>
              </w:rPr>
              <w:t>položi</w:t>
            </w:r>
            <w:proofErr w:type="spellEnd"/>
            <w:r w:rsidRPr="00DF4CE5">
              <w:rPr>
                <w:rFonts w:ascii="Cambria" w:hAnsi="Cambria" w:cs="Calibri"/>
                <w:lang w:val="it-IT"/>
              </w:rPr>
              <w:t xml:space="preserve"> </w:t>
            </w:r>
            <w:proofErr w:type="spellStart"/>
            <w:r w:rsidRPr="00DF4CE5">
              <w:rPr>
                <w:rFonts w:ascii="Cambria" w:hAnsi="Cambria" w:cs="Calibri"/>
                <w:lang w:val="it-IT"/>
              </w:rPr>
              <w:t>kolegij</w:t>
            </w:r>
            <w:proofErr w:type="spellEnd"/>
            <w:r w:rsidRPr="00DF4CE5">
              <w:rPr>
                <w:rFonts w:ascii="Cambria" w:hAnsi="Cambria" w:cs="Calibri"/>
                <w:lang w:val="it-IT"/>
              </w:rPr>
              <w:t xml:space="preserve">, </w:t>
            </w:r>
            <w:proofErr w:type="spellStart"/>
            <w:r w:rsidRPr="00DF4CE5">
              <w:rPr>
                <w:rFonts w:ascii="Cambria" w:hAnsi="Cambria" w:cs="Calibri"/>
                <w:lang w:val="it-IT"/>
              </w:rPr>
              <w:t>student</w:t>
            </w:r>
            <w:proofErr w:type="spellEnd"/>
            <w:r w:rsidRPr="00DF4CE5">
              <w:rPr>
                <w:rFonts w:ascii="Cambria" w:hAnsi="Cambria" w:cs="Calibri"/>
                <w:lang w:val="it-IT"/>
              </w:rPr>
              <w:t>/</w:t>
            </w:r>
            <w:proofErr w:type="spellStart"/>
            <w:r w:rsidRPr="00DF4CE5">
              <w:rPr>
                <w:rFonts w:ascii="Cambria" w:hAnsi="Cambria" w:cs="Calibri"/>
                <w:lang w:val="it-IT"/>
              </w:rPr>
              <w:t>studentica</w:t>
            </w:r>
            <w:proofErr w:type="spellEnd"/>
            <w:r w:rsidRPr="00DF4CE5">
              <w:rPr>
                <w:rFonts w:ascii="Cambria" w:hAnsi="Cambria" w:cs="Calibri"/>
                <w:lang w:val="it-IT"/>
              </w:rPr>
              <w:t xml:space="preserve"> mora:</w:t>
            </w:r>
          </w:p>
          <w:p w14:paraId="21FBE017" w14:textId="1110D44E" w:rsidR="001457BE" w:rsidRPr="00FB6606" w:rsidRDefault="00F23CC9" w:rsidP="00F23CC9">
            <w:pPr>
              <w:spacing w:after="0" w:line="240" w:lineRule="auto"/>
              <w:rPr>
                <w:rFonts w:ascii="Cambria" w:hAnsi="Cambria" w:cs="Calibri"/>
                <w:lang w:val="it-IT"/>
              </w:rPr>
            </w:pPr>
            <w:r w:rsidRPr="00F23CC9">
              <w:rPr>
                <w:rFonts w:ascii="Cambria" w:hAnsi="Cambria" w:cs="Calibri"/>
                <w:lang w:val="it-IT"/>
              </w:rPr>
              <w:t>1.</w:t>
            </w:r>
            <w:r>
              <w:rPr>
                <w:rFonts w:ascii="Cambria" w:hAnsi="Cambria" w:cs="Calibri"/>
                <w:lang w:val="it-IT"/>
              </w:rPr>
              <w:t xml:space="preserve"> </w:t>
            </w:r>
            <w:proofErr w:type="spellStart"/>
            <w:r w:rsidR="001457BE" w:rsidRPr="00F23CC9">
              <w:rPr>
                <w:rFonts w:ascii="Cambria" w:hAnsi="Cambria" w:cs="Calibri"/>
                <w:lang w:val="it-IT"/>
              </w:rPr>
              <w:t>prisustvovati</w:t>
            </w:r>
            <w:proofErr w:type="spellEnd"/>
            <w:r w:rsidR="001457BE" w:rsidRPr="00F23CC9">
              <w:rPr>
                <w:rFonts w:ascii="Cambria" w:hAnsi="Cambria" w:cs="Calibri"/>
                <w:lang w:val="it-IT"/>
              </w:rPr>
              <w:t xml:space="preserve"> </w:t>
            </w:r>
            <w:proofErr w:type="spellStart"/>
            <w:r w:rsidR="001457BE" w:rsidRPr="00F23CC9">
              <w:rPr>
                <w:rFonts w:ascii="Cambria" w:hAnsi="Cambria" w:cs="Calibri"/>
                <w:lang w:val="it-IT"/>
              </w:rPr>
              <w:t>predavanjima</w:t>
            </w:r>
            <w:proofErr w:type="spellEnd"/>
            <w:r w:rsidR="001457BE" w:rsidRPr="00F23CC9">
              <w:rPr>
                <w:rFonts w:ascii="Cambria" w:hAnsi="Cambria" w:cs="Calibri"/>
                <w:lang w:val="it-IT"/>
              </w:rPr>
              <w:t xml:space="preserve"> i </w:t>
            </w:r>
            <w:proofErr w:type="spellStart"/>
            <w:r w:rsidR="001457BE" w:rsidRPr="00F23CC9">
              <w:rPr>
                <w:rFonts w:ascii="Cambria" w:hAnsi="Cambria" w:cs="Calibri"/>
                <w:lang w:val="it-IT"/>
              </w:rPr>
              <w:t>seminarima</w:t>
            </w:r>
            <w:proofErr w:type="spellEnd"/>
            <w:r w:rsidR="001457BE" w:rsidRPr="00F23CC9">
              <w:rPr>
                <w:rFonts w:ascii="Cambria" w:hAnsi="Cambria" w:cs="Calibri"/>
                <w:lang w:val="it-IT"/>
              </w:rPr>
              <w:t xml:space="preserve"> </w:t>
            </w:r>
            <w:r>
              <w:rPr>
                <w:rFonts w:ascii="Cambria" w:hAnsi="Cambria" w:cs="Calibri"/>
                <w:lang w:val="it-IT"/>
              </w:rPr>
              <w:t>–</w:t>
            </w:r>
            <w:r w:rsidR="001457BE" w:rsidRPr="00F23CC9">
              <w:rPr>
                <w:rFonts w:ascii="Cambria" w:hAnsi="Cambria" w:cs="Calibri"/>
                <w:lang w:val="it-IT"/>
              </w:rPr>
              <w:t xml:space="preserve"> </w:t>
            </w:r>
            <w:proofErr w:type="spellStart"/>
            <w:r w:rsidR="001457BE" w:rsidRPr="00F23CC9">
              <w:rPr>
                <w:rFonts w:ascii="Cambria" w:hAnsi="Cambria" w:cs="Calibri"/>
                <w:lang w:val="it-IT"/>
              </w:rPr>
              <w:t>najmanje</w:t>
            </w:r>
            <w:proofErr w:type="spellEnd"/>
            <w:r w:rsidR="001457BE" w:rsidRPr="00F23CC9">
              <w:rPr>
                <w:rFonts w:ascii="Cambria" w:hAnsi="Cambria" w:cs="Calibri"/>
                <w:lang w:val="it-IT"/>
              </w:rPr>
              <w:t xml:space="preserve"> 70%, </w:t>
            </w:r>
            <w:proofErr w:type="spellStart"/>
            <w:r w:rsidR="001457BE" w:rsidRPr="00F23CC9">
              <w:rPr>
                <w:rFonts w:ascii="Cambria" w:hAnsi="Cambria" w:cs="Calibri"/>
                <w:lang w:val="it-IT"/>
              </w:rPr>
              <w:t>pripremati</w:t>
            </w:r>
            <w:proofErr w:type="spellEnd"/>
            <w:r w:rsidR="001457BE" w:rsidRPr="00F23CC9">
              <w:rPr>
                <w:rFonts w:ascii="Cambria" w:hAnsi="Cambria" w:cs="Calibri"/>
                <w:lang w:val="it-IT"/>
              </w:rPr>
              <w:t xml:space="preserve"> se za </w:t>
            </w:r>
            <w:proofErr w:type="spellStart"/>
            <w:r w:rsidR="001457BE" w:rsidRPr="00F23CC9">
              <w:rPr>
                <w:rFonts w:ascii="Cambria" w:hAnsi="Cambria" w:cs="Calibri"/>
                <w:lang w:val="it-IT"/>
              </w:rPr>
              <w:t>nastavu</w:t>
            </w:r>
            <w:proofErr w:type="spellEnd"/>
            <w:r w:rsidR="001457BE" w:rsidRPr="00F23CC9">
              <w:rPr>
                <w:rFonts w:ascii="Cambria" w:hAnsi="Cambria" w:cs="Calibri"/>
                <w:lang w:val="it-IT"/>
              </w:rPr>
              <w:t xml:space="preserve"> </w:t>
            </w:r>
            <w:proofErr w:type="spellStart"/>
            <w:r w:rsidR="001457BE" w:rsidRPr="00F23CC9">
              <w:rPr>
                <w:rFonts w:ascii="Cambria" w:hAnsi="Cambria" w:cs="Calibri"/>
                <w:lang w:val="it-IT"/>
              </w:rPr>
              <w:t>svakog</w:t>
            </w:r>
            <w:proofErr w:type="spellEnd"/>
            <w:r w:rsidR="001457BE" w:rsidRPr="00F23CC9">
              <w:rPr>
                <w:rFonts w:ascii="Cambria" w:hAnsi="Cambria" w:cs="Calibri"/>
                <w:lang w:val="it-IT"/>
              </w:rPr>
              <w:t xml:space="preserve"> </w:t>
            </w:r>
            <w:proofErr w:type="spellStart"/>
            <w:r w:rsidR="001457BE" w:rsidRPr="00F23CC9">
              <w:rPr>
                <w:rFonts w:ascii="Cambria" w:hAnsi="Cambria" w:cs="Calibri"/>
                <w:lang w:val="it-IT"/>
              </w:rPr>
              <w:t>tjedna</w:t>
            </w:r>
            <w:proofErr w:type="spellEnd"/>
            <w:r w:rsidR="001457BE" w:rsidRPr="00F23CC9">
              <w:rPr>
                <w:rFonts w:ascii="Cambria" w:hAnsi="Cambria" w:cs="Calibri"/>
                <w:lang w:val="it-IT"/>
              </w:rPr>
              <w:t xml:space="preserve"> </w:t>
            </w:r>
            <w:proofErr w:type="spellStart"/>
            <w:r w:rsidR="001457BE" w:rsidRPr="00F23CC9">
              <w:rPr>
                <w:rFonts w:ascii="Cambria" w:hAnsi="Cambria" w:cs="Calibri"/>
                <w:lang w:val="it-IT"/>
              </w:rPr>
              <w:t>utvrđivanjem</w:t>
            </w:r>
            <w:proofErr w:type="spellEnd"/>
            <w:r w:rsidR="001457BE" w:rsidRPr="00F23CC9">
              <w:rPr>
                <w:rFonts w:ascii="Cambria" w:hAnsi="Cambria" w:cs="Calibri"/>
                <w:lang w:val="it-IT"/>
              </w:rPr>
              <w:t xml:space="preserve"> i </w:t>
            </w:r>
            <w:proofErr w:type="spellStart"/>
            <w:r w:rsidR="001457BE" w:rsidRPr="00F23CC9">
              <w:rPr>
                <w:rFonts w:ascii="Cambria" w:hAnsi="Cambria" w:cs="Calibri"/>
                <w:lang w:val="it-IT"/>
              </w:rPr>
              <w:t>ponavljanjem</w:t>
            </w:r>
            <w:proofErr w:type="spellEnd"/>
            <w:r w:rsidR="001457BE" w:rsidRPr="00F23CC9">
              <w:rPr>
                <w:rFonts w:ascii="Cambria" w:hAnsi="Cambria" w:cs="Calibri"/>
                <w:lang w:val="it-IT"/>
              </w:rPr>
              <w:t xml:space="preserve"> gradiva </w:t>
            </w:r>
            <w:proofErr w:type="spellStart"/>
            <w:r w:rsidR="001457BE" w:rsidRPr="00F23CC9">
              <w:rPr>
                <w:rFonts w:ascii="Cambria" w:hAnsi="Cambria" w:cs="Calibri"/>
                <w:lang w:val="it-IT"/>
              </w:rPr>
              <w:t>iznijetog</w:t>
            </w:r>
            <w:proofErr w:type="spellEnd"/>
            <w:r w:rsidR="001457BE" w:rsidRPr="00F23CC9">
              <w:rPr>
                <w:rFonts w:ascii="Cambria" w:hAnsi="Cambria" w:cs="Calibri"/>
                <w:lang w:val="it-IT"/>
              </w:rPr>
              <w:t xml:space="preserve"> </w:t>
            </w:r>
            <w:proofErr w:type="spellStart"/>
            <w:r w:rsidR="001457BE" w:rsidRPr="00F23CC9">
              <w:rPr>
                <w:rFonts w:ascii="Cambria" w:hAnsi="Cambria" w:cs="Calibri"/>
                <w:lang w:val="it-IT"/>
              </w:rPr>
              <w:t>na</w:t>
            </w:r>
            <w:proofErr w:type="spellEnd"/>
            <w:r w:rsidR="001457BE" w:rsidRPr="00F23CC9">
              <w:rPr>
                <w:rFonts w:ascii="Cambria" w:hAnsi="Cambria" w:cs="Calibri"/>
                <w:lang w:val="it-IT"/>
              </w:rPr>
              <w:t xml:space="preserve"> </w:t>
            </w:r>
            <w:proofErr w:type="spellStart"/>
            <w:r w:rsidR="001457BE" w:rsidRPr="00F23CC9">
              <w:rPr>
                <w:rFonts w:ascii="Cambria" w:hAnsi="Cambria" w:cs="Calibri"/>
                <w:lang w:val="it-IT"/>
              </w:rPr>
              <w:t>predavanjima</w:t>
            </w:r>
            <w:proofErr w:type="spellEnd"/>
            <w:r w:rsidR="001457BE" w:rsidRPr="00F23CC9">
              <w:rPr>
                <w:rFonts w:ascii="Cambria" w:hAnsi="Cambria" w:cs="Calibri"/>
                <w:lang w:val="it-IT"/>
              </w:rPr>
              <w:t xml:space="preserve"> i </w:t>
            </w:r>
            <w:proofErr w:type="spellStart"/>
            <w:r w:rsidR="001457BE" w:rsidRPr="00F23CC9">
              <w:rPr>
                <w:rFonts w:ascii="Cambria" w:hAnsi="Cambria" w:cs="Calibri"/>
                <w:lang w:val="it-IT"/>
              </w:rPr>
              <w:t>seminarima</w:t>
            </w:r>
            <w:proofErr w:type="spellEnd"/>
            <w:r w:rsidR="001457BE" w:rsidRPr="00F23CC9">
              <w:rPr>
                <w:rFonts w:ascii="Cambria" w:hAnsi="Cambria" w:cs="Calibri"/>
                <w:lang w:val="it-IT"/>
              </w:rPr>
              <w:t xml:space="preserve"> </w:t>
            </w:r>
            <w:proofErr w:type="spellStart"/>
            <w:r w:rsidR="001457BE" w:rsidRPr="00F23CC9">
              <w:rPr>
                <w:rFonts w:ascii="Cambria" w:hAnsi="Cambria" w:cs="Calibri"/>
                <w:lang w:val="it-IT"/>
              </w:rPr>
              <w:t>proteklog</w:t>
            </w:r>
            <w:proofErr w:type="spellEnd"/>
            <w:r w:rsidR="001457BE" w:rsidRPr="00F23CC9">
              <w:rPr>
                <w:rFonts w:ascii="Cambria" w:hAnsi="Cambria" w:cs="Calibri"/>
                <w:lang w:val="it-IT"/>
              </w:rPr>
              <w:t xml:space="preserve"> </w:t>
            </w:r>
            <w:proofErr w:type="spellStart"/>
            <w:r w:rsidR="001457BE" w:rsidRPr="00F23CC9">
              <w:rPr>
                <w:rFonts w:ascii="Cambria" w:hAnsi="Cambria" w:cs="Calibri"/>
                <w:lang w:val="it-IT"/>
              </w:rPr>
              <w:t>tjedna</w:t>
            </w:r>
            <w:proofErr w:type="spellEnd"/>
            <w:r w:rsidR="001457BE" w:rsidRPr="00F23CC9">
              <w:rPr>
                <w:rFonts w:ascii="Cambria" w:hAnsi="Cambria" w:cs="Calibri"/>
                <w:lang w:val="it-IT"/>
              </w:rPr>
              <w:t xml:space="preserve">, </w:t>
            </w:r>
            <w:proofErr w:type="spellStart"/>
            <w:r w:rsidR="001457BE" w:rsidRPr="00F23CC9">
              <w:rPr>
                <w:rFonts w:ascii="Cambria" w:hAnsi="Cambria" w:cs="Calibri"/>
                <w:lang w:val="it-IT"/>
              </w:rPr>
              <w:t>aktivno</w:t>
            </w:r>
            <w:proofErr w:type="spellEnd"/>
            <w:r w:rsidR="001457BE" w:rsidRPr="00F23CC9">
              <w:rPr>
                <w:rFonts w:ascii="Cambria" w:hAnsi="Cambria" w:cs="Calibri"/>
                <w:lang w:val="it-IT"/>
              </w:rPr>
              <w:t xml:space="preserve"> se </w:t>
            </w:r>
            <w:proofErr w:type="spellStart"/>
            <w:r w:rsidR="001457BE" w:rsidRPr="00F23CC9">
              <w:rPr>
                <w:rFonts w:ascii="Cambria" w:hAnsi="Cambria" w:cs="Calibri"/>
                <w:lang w:val="it-IT"/>
              </w:rPr>
              <w:t>uključiti</w:t>
            </w:r>
            <w:proofErr w:type="spellEnd"/>
            <w:r w:rsidR="001457BE" w:rsidRPr="00F23CC9">
              <w:rPr>
                <w:rFonts w:ascii="Cambria" w:hAnsi="Cambria" w:cs="Calibri"/>
                <w:lang w:val="it-IT"/>
              </w:rPr>
              <w:t xml:space="preserve"> u </w:t>
            </w:r>
            <w:proofErr w:type="spellStart"/>
            <w:r w:rsidR="001457BE" w:rsidRPr="00F23CC9">
              <w:rPr>
                <w:rFonts w:ascii="Cambria" w:hAnsi="Cambria" w:cs="Calibri"/>
                <w:lang w:val="it-IT"/>
              </w:rPr>
              <w:t>nastavni</w:t>
            </w:r>
            <w:proofErr w:type="spellEnd"/>
            <w:r w:rsidR="001457BE" w:rsidRPr="00F23CC9">
              <w:rPr>
                <w:rFonts w:ascii="Cambria" w:hAnsi="Cambria" w:cs="Calibri"/>
                <w:lang w:val="it-IT"/>
              </w:rPr>
              <w:t xml:space="preserve"> </w:t>
            </w:r>
            <w:proofErr w:type="spellStart"/>
            <w:r w:rsidR="001457BE" w:rsidRPr="00F23CC9">
              <w:rPr>
                <w:rFonts w:ascii="Cambria" w:hAnsi="Cambria" w:cs="Calibri"/>
                <w:lang w:val="it-IT"/>
              </w:rPr>
              <w:t>proces</w:t>
            </w:r>
            <w:proofErr w:type="spellEnd"/>
            <w:r w:rsidR="001457BE" w:rsidRPr="00F23CC9">
              <w:rPr>
                <w:rFonts w:ascii="Cambria" w:hAnsi="Cambria" w:cs="Calibri"/>
                <w:lang w:val="it-IT"/>
              </w:rPr>
              <w:t xml:space="preserve"> </w:t>
            </w:r>
            <w:proofErr w:type="spellStart"/>
            <w:r w:rsidR="001457BE" w:rsidRPr="00F23CC9">
              <w:rPr>
                <w:rFonts w:ascii="Cambria" w:hAnsi="Cambria" w:cs="Calibri"/>
                <w:lang w:val="it-IT"/>
              </w:rPr>
              <w:t>rješavanjem</w:t>
            </w:r>
            <w:proofErr w:type="spellEnd"/>
            <w:r w:rsidR="001457BE" w:rsidRPr="00F23CC9">
              <w:rPr>
                <w:rFonts w:ascii="Cambria" w:hAnsi="Cambria" w:cs="Calibri"/>
                <w:lang w:val="it-IT"/>
              </w:rPr>
              <w:t xml:space="preserve"> </w:t>
            </w:r>
            <w:proofErr w:type="spellStart"/>
            <w:r w:rsidR="001457BE" w:rsidRPr="00F23CC9">
              <w:rPr>
                <w:rFonts w:ascii="Cambria" w:hAnsi="Cambria" w:cs="Calibri"/>
                <w:lang w:val="it-IT"/>
              </w:rPr>
              <w:t>zadataka</w:t>
            </w:r>
            <w:proofErr w:type="spellEnd"/>
            <w:r w:rsidR="001457BE" w:rsidRPr="00F23CC9">
              <w:rPr>
                <w:rFonts w:ascii="Cambria" w:hAnsi="Cambria" w:cs="Calibri"/>
                <w:lang w:val="it-IT"/>
              </w:rPr>
              <w:t xml:space="preserve">, </w:t>
            </w:r>
            <w:proofErr w:type="spellStart"/>
            <w:r w:rsidR="001457BE" w:rsidRPr="00F23CC9">
              <w:rPr>
                <w:rFonts w:ascii="Cambria" w:hAnsi="Cambria" w:cs="Calibri"/>
                <w:lang w:val="it-IT"/>
              </w:rPr>
              <w:t>odgovorima</w:t>
            </w:r>
            <w:proofErr w:type="spellEnd"/>
            <w:r w:rsidR="001457BE" w:rsidRPr="00F23CC9">
              <w:rPr>
                <w:rFonts w:ascii="Cambria" w:hAnsi="Cambria" w:cs="Calibri"/>
                <w:lang w:val="it-IT"/>
              </w:rPr>
              <w:t xml:space="preserve"> </w:t>
            </w:r>
            <w:proofErr w:type="spellStart"/>
            <w:r w:rsidR="001457BE" w:rsidRPr="00F23CC9">
              <w:rPr>
                <w:rFonts w:ascii="Cambria" w:hAnsi="Cambria" w:cs="Calibri"/>
                <w:lang w:val="it-IT"/>
              </w:rPr>
              <w:t>na</w:t>
            </w:r>
            <w:proofErr w:type="spellEnd"/>
            <w:r w:rsidR="001457BE" w:rsidRPr="00F23CC9">
              <w:rPr>
                <w:rFonts w:ascii="Cambria" w:hAnsi="Cambria" w:cs="Calibri"/>
                <w:lang w:val="it-IT"/>
              </w:rPr>
              <w:t xml:space="preserve"> </w:t>
            </w:r>
            <w:proofErr w:type="spellStart"/>
            <w:r w:rsidR="001457BE" w:rsidRPr="00F23CC9">
              <w:rPr>
                <w:rFonts w:ascii="Cambria" w:hAnsi="Cambria" w:cs="Calibri"/>
                <w:lang w:val="it-IT"/>
              </w:rPr>
              <w:t>postavljena</w:t>
            </w:r>
            <w:proofErr w:type="spellEnd"/>
            <w:r w:rsidR="001457BE" w:rsidRPr="00F23CC9">
              <w:rPr>
                <w:rFonts w:ascii="Cambria" w:hAnsi="Cambria" w:cs="Calibri"/>
                <w:lang w:val="it-IT"/>
              </w:rPr>
              <w:t xml:space="preserve"> </w:t>
            </w:r>
            <w:proofErr w:type="spellStart"/>
            <w:r w:rsidR="001457BE" w:rsidRPr="00F23CC9">
              <w:rPr>
                <w:rFonts w:ascii="Cambria" w:hAnsi="Cambria" w:cs="Calibri"/>
                <w:lang w:val="it-IT"/>
              </w:rPr>
              <w:t>pitanja</w:t>
            </w:r>
            <w:proofErr w:type="spellEnd"/>
            <w:r w:rsidR="001457BE" w:rsidRPr="00F23CC9">
              <w:rPr>
                <w:rFonts w:ascii="Cambria" w:hAnsi="Cambria" w:cs="Calibri"/>
                <w:lang w:val="it-IT"/>
              </w:rPr>
              <w:t xml:space="preserve">, </w:t>
            </w:r>
            <w:proofErr w:type="spellStart"/>
            <w:r w:rsidR="001457BE" w:rsidRPr="00F23CC9">
              <w:rPr>
                <w:rFonts w:ascii="Cambria" w:hAnsi="Cambria" w:cs="Calibri"/>
                <w:lang w:val="it-IT"/>
              </w:rPr>
              <w:t>sudjelovanjem</w:t>
            </w:r>
            <w:proofErr w:type="spellEnd"/>
            <w:r w:rsidR="001457BE" w:rsidRPr="00F23CC9">
              <w:rPr>
                <w:rFonts w:ascii="Cambria" w:hAnsi="Cambria" w:cs="Calibri"/>
                <w:lang w:val="it-IT"/>
              </w:rPr>
              <w:t xml:space="preserve"> u </w:t>
            </w:r>
            <w:proofErr w:type="spellStart"/>
            <w:r w:rsidR="001457BE" w:rsidRPr="00F23CC9">
              <w:rPr>
                <w:rFonts w:ascii="Cambria" w:hAnsi="Cambria" w:cs="Calibri"/>
                <w:lang w:val="it-IT"/>
              </w:rPr>
              <w:t>diskusiji</w:t>
            </w:r>
            <w:proofErr w:type="spellEnd"/>
            <w:r w:rsidR="001457BE" w:rsidRPr="00F23CC9">
              <w:rPr>
                <w:rFonts w:ascii="Cambria" w:hAnsi="Cambria" w:cs="Calibri"/>
                <w:lang w:val="it-IT"/>
              </w:rPr>
              <w:t xml:space="preserve"> i </w:t>
            </w:r>
            <w:proofErr w:type="spellStart"/>
            <w:r w:rsidR="001457BE" w:rsidRPr="00F23CC9">
              <w:rPr>
                <w:rFonts w:ascii="Cambria" w:hAnsi="Cambria" w:cs="Calibri"/>
                <w:lang w:val="it-IT"/>
              </w:rPr>
              <w:t>sl</w:t>
            </w:r>
            <w:proofErr w:type="spellEnd"/>
            <w:r w:rsidR="001457BE" w:rsidRPr="00F23CC9">
              <w:rPr>
                <w:rFonts w:ascii="Cambria" w:hAnsi="Cambria" w:cs="Calibri"/>
                <w:lang w:val="it-IT"/>
              </w:rPr>
              <w:t xml:space="preserve">. </w:t>
            </w:r>
            <w:proofErr w:type="spellStart"/>
            <w:r w:rsidR="001457BE" w:rsidRPr="00FB6606">
              <w:rPr>
                <w:rFonts w:ascii="Cambria" w:hAnsi="Cambria" w:cs="Calibri"/>
                <w:lang w:val="it-IT"/>
              </w:rPr>
              <w:t>Svi</w:t>
            </w:r>
            <w:proofErr w:type="spellEnd"/>
            <w:r w:rsidR="001457BE" w:rsidRPr="00FB6606">
              <w:rPr>
                <w:rFonts w:ascii="Cambria" w:hAnsi="Cambria" w:cs="Calibri"/>
                <w:lang w:val="it-IT"/>
              </w:rPr>
              <w:t xml:space="preserve"> studenti </w:t>
            </w:r>
            <w:proofErr w:type="spellStart"/>
            <w:r w:rsidR="001457BE" w:rsidRPr="00FB6606">
              <w:rPr>
                <w:rFonts w:ascii="Cambria" w:hAnsi="Cambria" w:cs="Calibri"/>
                <w:lang w:val="it-IT"/>
              </w:rPr>
              <w:t>moraju</w:t>
            </w:r>
            <w:proofErr w:type="spellEnd"/>
            <w:r w:rsidR="001457BE" w:rsidRPr="00FB6606">
              <w:rPr>
                <w:rFonts w:ascii="Cambria" w:hAnsi="Cambria" w:cs="Calibri"/>
                <w:lang w:val="it-IT"/>
              </w:rPr>
              <w:t xml:space="preserve"> </w:t>
            </w:r>
            <w:proofErr w:type="spellStart"/>
            <w:r w:rsidR="001457BE" w:rsidRPr="00FB6606">
              <w:rPr>
                <w:rFonts w:ascii="Cambria" w:hAnsi="Cambria" w:cs="Calibri"/>
                <w:lang w:val="it-IT"/>
              </w:rPr>
              <w:t>biti</w:t>
            </w:r>
            <w:proofErr w:type="spellEnd"/>
            <w:r w:rsidR="001457BE" w:rsidRPr="00FB6606">
              <w:rPr>
                <w:rFonts w:ascii="Cambria" w:hAnsi="Cambria" w:cs="Calibri"/>
                <w:lang w:val="it-IT"/>
              </w:rPr>
              <w:t xml:space="preserve"> </w:t>
            </w:r>
            <w:proofErr w:type="spellStart"/>
            <w:r w:rsidR="001457BE" w:rsidRPr="00FB6606">
              <w:rPr>
                <w:rFonts w:ascii="Cambria" w:hAnsi="Cambria" w:cs="Calibri"/>
                <w:lang w:val="it-IT"/>
              </w:rPr>
              <w:t>pripremljeni</w:t>
            </w:r>
            <w:proofErr w:type="spellEnd"/>
            <w:r w:rsidR="001457BE" w:rsidRPr="00FB6606">
              <w:rPr>
                <w:rFonts w:ascii="Cambria" w:hAnsi="Cambria" w:cs="Calibri"/>
                <w:lang w:val="it-IT"/>
              </w:rPr>
              <w:t xml:space="preserve"> za </w:t>
            </w:r>
            <w:proofErr w:type="spellStart"/>
            <w:r w:rsidR="001457BE" w:rsidRPr="00FB6606">
              <w:rPr>
                <w:rFonts w:ascii="Cambria" w:hAnsi="Cambria" w:cs="Calibri"/>
                <w:lang w:val="it-IT"/>
              </w:rPr>
              <w:t>svako</w:t>
            </w:r>
            <w:proofErr w:type="spellEnd"/>
            <w:r w:rsidR="001457BE" w:rsidRPr="00FB6606">
              <w:rPr>
                <w:rFonts w:ascii="Cambria" w:hAnsi="Cambria" w:cs="Calibri"/>
                <w:lang w:val="it-IT"/>
              </w:rPr>
              <w:t xml:space="preserve"> </w:t>
            </w:r>
            <w:proofErr w:type="spellStart"/>
            <w:r w:rsidR="001457BE" w:rsidRPr="00FB6606">
              <w:rPr>
                <w:rFonts w:ascii="Cambria" w:hAnsi="Cambria" w:cs="Calibri"/>
                <w:lang w:val="it-IT"/>
              </w:rPr>
              <w:t>predavanje</w:t>
            </w:r>
            <w:proofErr w:type="spellEnd"/>
            <w:r w:rsidR="001457BE" w:rsidRPr="00FB6606">
              <w:rPr>
                <w:rFonts w:ascii="Cambria" w:hAnsi="Cambria" w:cs="Calibri"/>
                <w:lang w:val="it-IT"/>
              </w:rPr>
              <w:t xml:space="preserve">, </w:t>
            </w:r>
            <w:proofErr w:type="spellStart"/>
            <w:r w:rsidR="001457BE" w:rsidRPr="00FB6606">
              <w:rPr>
                <w:rFonts w:ascii="Cambria" w:hAnsi="Cambria" w:cs="Calibri"/>
                <w:lang w:val="it-IT"/>
              </w:rPr>
              <w:t>analizirati</w:t>
            </w:r>
            <w:proofErr w:type="spellEnd"/>
            <w:r w:rsidR="001457BE" w:rsidRPr="00FB6606">
              <w:rPr>
                <w:rFonts w:ascii="Cambria" w:hAnsi="Cambria" w:cs="Calibri"/>
                <w:lang w:val="it-IT"/>
              </w:rPr>
              <w:t xml:space="preserve"> </w:t>
            </w:r>
            <w:proofErr w:type="spellStart"/>
            <w:r w:rsidR="001457BE" w:rsidRPr="00FB6606">
              <w:rPr>
                <w:rFonts w:ascii="Cambria" w:hAnsi="Cambria" w:cs="Calibri"/>
                <w:lang w:val="it-IT"/>
              </w:rPr>
              <w:t>nastavni</w:t>
            </w:r>
            <w:proofErr w:type="spellEnd"/>
            <w:r w:rsidR="001457BE" w:rsidRPr="00FB6606">
              <w:rPr>
                <w:rFonts w:ascii="Cambria" w:hAnsi="Cambria" w:cs="Calibri"/>
                <w:lang w:val="it-IT"/>
              </w:rPr>
              <w:t xml:space="preserve"> </w:t>
            </w:r>
            <w:proofErr w:type="spellStart"/>
            <w:r w:rsidR="001457BE" w:rsidRPr="00FB6606">
              <w:rPr>
                <w:rFonts w:ascii="Cambria" w:hAnsi="Cambria" w:cs="Calibri"/>
                <w:lang w:val="it-IT"/>
              </w:rPr>
              <w:t>sat</w:t>
            </w:r>
            <w:proofErr w:type="spellEnd"/>
            <w:r w:rsidR="001457BE" w:rsidRPr="00FB6606">
              <w:rPr>
                <w:rFonts w:ascii="Cambria" w:hAnsi="Cambria" w:cs="Calibri"/>
                <w:lang w:val="it-IT"/>
              </w:rPr>
              <w:t xml:space="preserve"> </w:t>
            </w:r>
          </w:p>
          <w:p w14:paraId="56D08FB9" w14:textId="6B187DC8" w:rsidR="001457BE" w:rsidRPr="00FB6606" w:rsidRDefault="00F23CC9" w:rsidP="00F23CC9">
            <w:pPr>
              <w:spacing w:after="0" w:line="240" w:lineRule="auto"/>
              <w:rPr>
                <w:rFonts w:ascii="Cambria" w:hAnsi="Cambria" w:cs="Calibri"/>
                <w:lang w:val="it-IT"/>
              </w:rPr>
            </w:pPr>
            <w:r w:rsidRPr="00FB6606">
              <w:rPr>
                <w:rFonts w:ascii="Cambria" w:hAnsi="Cambria" w:cs="Calibri"/>
                <w:lang w:val="it-IT"/>
              </w:rPr>
              <w:t xml:space="preserve">2. </w:t>
            </w:r>
            <w:proofErr w:type="spellStart"/>
            <w:r w:rsidR="001457BE" w:rsidRPr="00FB6606">
              <w:rPr>
                <w:rFonts w:ascii="Cambria" w:hAnsi="Cambria" w:cs="Calibri"/>
                <w:lang w:val="it-IT"/>
              </w:rPr>
              <w:t>izraditi</w:t>
            </w:r>
            <w:proofErr w:type="spellEnd"/>
            <w:r w:rsidR="001457BE" w:rsidRPr="00FB6606">
              <w:rPr>
                <w:rFonts w:ascii="Cambria" w:hAnsi="Cambria" w:cs="Calibri"/>
                <w:lang w:val="it-IT"/>
              </w:rPr>
              <w:t xml:space="preserve"> </w:t>
            </w:r>
            <w:proofErr w:type="spellStart"/>
            <w:r w:rsidR="001457BE" w:rsidRPr="00FB6606">
              <w:rPr>
                <w:rFonts w:ascii="Cambria" w:hAnsi="Cambria" w:cs="Calibri"/>
                <w:lang w:val="it-IT"/>
              </w:rPr>
              <w:t>pripremu</w:t>
            </w:r>
            <w:proofErr w:type="spellEnd"/>
            <w:r w:rsidR="001457BE" w:rsidRPr="00FB6606">
              <w:rPr>
                <w:rFonts w:ascii="Cambria" w:hAnsi="Cambria" w:cs="Calibri"/>
                <w:lang w:val="it-IT"/>
              </w:rPr>
              <w:t xml:space="preserve"> </w:t>
            </w:r>
            <w:proofErr w:type="spellStart"/>
            <w:r w:rsidR="001457BE" w:rsidRPr="00FB6606">
              <w:rPr>
                <w:rFonts w:ascii="Cambria" w:hAnsi="Cambria" w:cs="Calibri"/>
                <w:lang w:val="it-IT"/>
              </w:rPr>
              <w:t>dva</w:t>
            </w:r>
            <w:proofErr w:type="spellEnd"/>
            <w:r w:rsidR="001457BE" w:rsidRPr="00FB6606">
              <w:rPr>
                <w:rFonts w:ascii="Cambria" w:hAnsi="Cambria" w:cs="Calibri"/>
                <w:lang w:val="it-IT"/>
              </w:rPr>
              <w:t xml:space="preserve"> </w:t>
            </w:r>
            <w:proofErr w:type="spellStart"/>
            <w:r w:rsidR="001457BE" w:rsidRPr="00FB6606">
              <w:rPr>
                <w:rFonts w:ascii="Cambria" w:hAnsi="Cambria" w:cs="Calibri"/>
                <w:lang w:val="it-IT"/>
              </w:rPr>
              <w:t>nastavna</w:t>
            </w:r>
            <w:proofErr w:type="spellEnd"/>
            <w:r w:rsidR="001457BE" w:rsidRPr="00FB6606">
              <w:rPr>
                <w:rFonts w:ascii="Cambria" w:hAnsi="Cambria" w:cs="Calibri"/>
                <w:lang w:val="it-IT"/>
              </w:rPr>
              <w:t xml:space="preserve"> </w:t>
            </w:r>
            <w:proofErr w:type="spellStart"/>
            <w:r w:rsidR="001457BE" w:rsidRPr="00FB6606">
              <w:rPr>
                <w:rFonts w:ascii="Cambria" w:hAnsi="Cambria" w:cs="Calibri"/>
                <w:lang w:val="it-IT"/>
              </w:rPr>
              <w:t>sata</w:t>
            </w:r>
            <w:proofErr w:type="spellEnd"/>
            <w:r w:rsidR="001457BE" w:rsidRPr="00FB6606">
              <w:rPr>
                <w:rFonts w:ascii="Cambria" w:hAnsi="Cambria" w:cs="Calibri"/>
                <w:lang w:val="it-IT"/>
              </w:rPr>
              <w:t xml:space="preserve">, predati u </w:t>
            </w:r>
            <w:proofErr w:type="spellStart"/>
            <w:r w:rsidR="001457BE" w:rsidRPr="00FB6606">
              <w:rPr>
                <w:rFonts w:ascii="Cambria" w:hAnsi="Cambria" w:cs="Calibri"/>
                <w:lang w:val="it-IT"/>
              </w:rPr>
              <w:t>roku</w:t>
            </w:r>
            <w:proofErr w:type="spellEnd"/>
            <w:r w:rsidR="001457BE" w:rsidRPr="00FB6606">
              <w:rPr>
                <w:rFonts w:ascii="Cambria" w:hAnsi="Cambria" w:cs="Calibri"/>
                <w:lang w:val="it-IT"/>
              </w:rPr>
              <w:t xml:space="preserve"> </w:t>
            </w:r>
            <w:proofErr w:type="spellStart"/>
            <w:r w:rsidR="001457BE" w:rsidRPr="00FB6606">
              <w:rPr>
                <w:rFonts w:ascii="Cambria" w:hAnsi="Cambria" w:cs="Calibri"/>
                <w:lang w:val="it-IT"/>
              </w:rPr>
              <w:t>koji</w:t>
            </w:r>
            <w:proofErr w:type="spellEnd"/>
            <w:r w:rsidR="001457BE" w:rsidRPr="00FB6606">
              <w:rPr>
                <w:rFonts w:ascii="Cambria" w:hAnsi="Cambria" w:cs="Calibri"/>
                <w:lang w:val="it-IT"/>
              </w:rPr>
              <w:t xml:space="preserve"> </w:t>
            </w:r>
            <w:proofErr w:type="spellStart"/>
            <w:r w:rsidR="001457BE" w:rsidRPr="00FB6606">
              <w:rPr>
                <w:rFonts w:ascii="Cambria" w:hAnsi="Cambria" w:cs="Calibri"/>
                <w:lang w:val="it-IT"/>
              </w:rPr>
              <w:t>utvrdi</w:t>
            </w:r>
            <w:proofErr w:type="spellEnd"/>
            <w:r w:rsidR="001457BE" w:rsidRPr="00FB6606">
              <w:rPr>
                <w:rFonts w:ascii="Cambria" w:hAnsi="Cambria" w:cs="Calibri"/>
                <w:lang w:val="it-IT"/>
              </w:rPr>
              <w:t xml:space="preserve"> </w:t>
            </w:r>
            <w:proofErr w:type="spellStart"/>
            <w:r w:rsidR="001457BE" w:rsidRPr="00FB6606">
              <w:rPr>
                <w:rFonts w:ascii="Cambria" w:hAnsi="Cambria" w:cs="Calibri"/>
                <w:lang w:val="it-IT"/>
              </w:rPr>
              <w:t>predmetni</w:t>
            </w:r>
            <w:proofErr w:type="spellEnd"/>
            <w:r w:rsidR="001457BE" w:rsidRPr="00FB6606">
              <w:rPr>
                <w:rFonts w:ascii="Cambria" w:hAnsi="Cambria" w:cs="Calibri"/>
                <w:lang w:val="it-IT"/>
              </w:rPr>
              <w:t xml:space="preserve"> </w:t>
            </w:r>
            <w:proofErr w:type="spellStart"/>
            <w:r w:rsidR="001457BE" w:rsidRPr="00FB6606">
              <w:rPr>
                <w:rFonts w:ascii="Cambria" w:hAnsi="Cambria" w:cs="Calibri"/>
                <w:lang w:val="it-IT"/>
              </w:rPr>
              <w:t>nastavnik</w:t>
            </w:r>
            <w:proofErr w:type="spellEnd"/>
            <w:r w:rsidR="001457BE" w:rsidRPr="00FB6606">
              <w:rPr>
                <w:rFonts w:ascii="Cambria" w:hAnsi="Cambria" w:cs="Calibri"/>
                <w:lang w:val="it-IT"/>
              </w:rPr>
              <w:t xml:space="preserve"> ili </w:t>
            </w:r>
            <w:proofErr w:type="spellStart"/>
            <w:r w:rsidR="001457BE" w:rsidRPr="00FB6606">
              <w:rPr>
                <w:rFonts w:ascii="Cambria" w:hAnsi="Cambria" w:cs="Calibri"/>
                <w:lang w:val="it-IT"/>
              </w:rPr>
              <w:t>asistent</w:t>
            </w:r>
            <w:proofErr w:type="spellEnd"/>
            <w:r w:rsidR="001457BE" w:rsidRPr="00FB6606">
              <w:rPr>
                <w:rFonts w:ascii="Cambria" w:hAnsi="Cambria" w:cs="Calibri"/>
                <w:lang w:val="it-IT"/>
              </w:rPr>
              <w:t xml:space="preserve"> te </w:t>
            </w:r>
            <w:proofErr w:type="spellStart"/>
            <w:r w:rsidR="001457BE" w:rsidRPr="00FB6606">
              <w:rPr>
                <w:rFonts w:ascii="Cambria" w:hAnsi="Cambria" w:cs="Calibri"/>
                <w:lang w:val="it-IT"/>
              </w:rPr>
              <w:t>održati</w:t>
            </w:r>
            <w:proofErr w:type="spellEnd"/>
            <w:r w:rsidR="001457BE" w:rsidRPr="00FB6606">
              <w:rPr>
                <w:rFonts w:ascii="Cambria" w:hAnsi="Cambria" w:cs="Calibri"/>
                <w:lang w:val="it-IT"/>
              </w:rPr>
              <w:t xml:space="preserve"> </w:t>
            </w:r>
            <w:proofErr w:type="spellStart"/>
            <w:r w:rsidR="001457BE" w:rsidRPr="00FB6606">
              <w:rPr>
                <w:rFonts w:ascii="Cambria" w:hAnsi="Cambria" w:cs="Calibri"/>
                <w:lang w:val="it-IT"/>
              </w:rPr>
              <w:t>sat</w:t>
            </w:r>
            <w:proofErr w:type="spellEnd"/>
            <w:r w:rsidR="001457BE" w:rsidRPr="00FB6606">
              <w:rPr>
                <w:rFonts w:ascii="Cambria" w:hAnsi="Cambria" w:cs="Calibri"/>
                <w:lang w:val="it-IT"/>
              </w:rPr>
              <w:t xml:space="preserve"> prema </w:t>
            </w:r>
            <w:proofErr w:type="spellStart"/>
            <w:r w:rsidR="001457BE" w:rsidRPr="00FB6606">
              <w:rPr>
                <w:rFonts w:ascii="Cambria" w:hAnsi="Cambria" w:cs="Calibri"/>
                <w:lang w:val="it-IT"/>
              </w:rPr>
              <w:t>dogovoru</w:t>
            </w:r>
            <w:proofErr w:type="spellEnd"/>
            <w:r w:rsidR="001457BE" w:rsidRPr="00FB6606">
              <w:rPr>
                <w:rFonts w:ascii="Cambria" w:hAnsi="Cambria" w:cs="Calibri"/>
                <w:lang w:val="it-IT"/>
              </w:rPr>
              <w:t xml:space="preserve"> s </w:t>
            </w:r>
            <w:proofErr w:type="spellStart"/>
            <w:r w:rsidR="001457BE" w:rsidRPr="00FB6606">
              <w:rPr>
                <w:rFonts w:ascii="Cambria" w:hAnsi="Cambria" w:cs="Calibri"/>
                <w:lang w:val="it-IT"/>
              </w:rPr>
              <w:t>predmetnim</w:t>
            </w:r>
            <w:proofErr w:type="spellEnd"/>
            <w:r w:rsidR="001457BE" w:rsidRPr="00FB6606">
              <w:rPr>
                <w:rFonts w:ascii="Cambria" w:hAnsi="Cambria" w:cs="Calibri"/>
                <w:lang w:val="it-IT"/>
              </w:rPr>
              <w:t xml:space="preserve"> </w:t>
            </w:r>
            <w:proofErr w:type="spellStart"/>
            <w:r w:rsidR="001457BE" w:rsidRPr="00FB6606">
              <w:rPr>
                <w:rFonts w:ascii="Cambria" w:hAnsi="Cambria" w:cs="Calibri"/>
                <w:lang w:val="it-IT"/>
              </w:rPr>
              <w:t>nastavnikom</w:t>
            </w:r>
            <w:proofErr w:type="spellEnd"/>
            <w:r w:rsidR="001457BE" w:rsidRPr="00FB6606">
              <w:rPr>
                <w:rFonts w:ascii="Cambria" w:hAnsi="Cambria" w:cs="Calibri"/>
                <w:lang w:val="it-IT"/>
              </w:rPr>
              <w:t>/</w:t>
            </w:r>
            <w:proofErr w:type="spellStart"/>
            <w:r w:rsidR="001457BE" w:rsidRPr="00FB6606">
              <w:rPr>
                <w:rFonts w:ascii="Cambria" w:hAnsi="Cambria" w:cs="Calibri"/>
                <w:lang w:val="it-IT"/>
              </w:rPr>
              <w:t>asistentom</w:t>
            </w:r>
            <w:proofErr w:type="spellEnd"/>
            <w:r w:rsidR="001457BE" w:rsidRPr="00FB6606">
              <w:rPr>
                <w:rFonts w:ascii="Cambria" w:hAnsi="Cambria" w:cs="Calibri"/>
                <w:lang w:val="it-IT"/>
              </w:rPr>
              <w:t>,</w:t>
            </w:r>
          </w:p>
          <w:p w14:paraId="1A268AC5" w14:textId="69F24F17" w:rsidR="001457BE" w:rsidRPr="00F23CC9" w:rsidRDefault="00F23CC9" w:rsidP="00F23CC9">
            <w:pPr>
              <w:spacing w:after="0" w:line="240" w:lineRule="auto"/>
              <w:rPr>
                <w:rFonts w:ascii="Cambria" w:hAnsi="Cambria" w:cs="Calibri"/>
                <w:lang w:val="it-IT"/>
              </w:rPr>
            </w:pPr>
            <w:r w:rsidRPr="00F23CC9">
              <w:rPr>
                <w:rFonts w:ascii="Cambria" w:hAnsi="Cambria" w:cs="Calibri"/>
                <w:lang w:val="it-IT"/>
              </w:rPr>
              <w:t xml:space="preserve">3. </w:t>
            </w:r>
            <w:proofErr w:type="spellStart"/>
            <w:r w:rsidR="001457BE" w:rsidRPr="00F23CC9">
              <w:rPr>
                <w:rFonts w:ascii="Cambria" w:hAnsi="Cambria" w:cs="Calibri"/>
                <w:lang w:val="it-IT"/>
              </w:rPr>
              <w:t>održati</w:t>
            </w:r>
            <w:proofErr w:type="spellEnd"/>
            <w:r w:rsidR="001457BE" w:rsidRPr="00F23CC9">
              <w:rPr>
                <w:rFonts w:ascii="Cambria" w:hAnsi="Cambria" w:cs="Calibri"/>
                <w:lang w:val="it-IT"/>
              </w:rPr>
              <w:t xml:space="preserve"> </w:t>
            </w:r>
            <w:proofErr w:type="spellStart"/>
            <w:r w:rsidR="001457BE" w:rsidRPr="00F23CC9">
              <w:rPr>
                <w:rFonts w:ascii="Cambria" w:hAnsi="Cambria" w:cs="Calibri"/>
                <w:lang w:val="it-IT"/>
              </w:rPr>
              <w:t>dva</w:t>
            </w:r>
            <w:proofErr w:type="spellEnd"/>
            <w:r w:rsidR="001457BE" w:rsidRPr="00F23CC9">
              <w:rPr>
                <w:rFonts w:ascii="Cambria" w:hAnsi="Cambria" w:cs="Calibri"/>
                <w:lang w:val="it-IT"/>
              </w:rPr>
              <w:t xml:space="preserve"> </w:t>
            </w:r>
            <w:proofErr w:type="spellStart"/>
            <w:r w:rsidR="001457BE" w:rsidRPr="00F23CC9">
              <w:rPr>
                <w:rFonts w:ascii="Cambria" w:hAnsi="Cambria" w:cs="Calibri"/>
                <w:lang w:val="it-IT"/>
              </w:rPr>
              <w:t>nastavna</w:t>
            </w:r>
            <w:proofErr w:type="spellEnd"/>
            <w:r w:rsidR="001457BE" w:rsidRPr="00F23CC9">
              <w:rPr>
                <w:rFonts w:ascii="Cambria" w:hAnsi="Cambria" w:cs="Calibri"/>
                <w:lang w:val="it-IT"/>
              </w:rPr>
              <w:t xml:space="preserve"> </w:t>
            </w:r>
            <w:proofErr w:type="spellStart"/>
            <w:r w:rsidR="001457BE" w:rsidRPr="00F23CC9">
              <w:rPr>
                <w:rFonts w:ascii="Cambria" w:hAnsi="Cambria" w:cs="Calibri"/>
                <w:lang w:val="it-IT"/>
              </w:rPr>
              <w:t>sata</w:t>
            </w:r>
            <w:proofErr w:type="spellEnd"/>
          </w:p>
          <w:p w14:paraId="53A663E2" w14:textId="62449C1A" w:rsidR="001457BE" w:rsidRPr="00F23CC9" w:rsidRDefault="00F23CC9" w:rsidP="00F23CC9">
            <w:pPr>
              <w:spacing w:after="0" w:line="240" w:lineRule="auto"/>
              <w:rPr>
                <w:rFonts w:ascii="Cambria" w:hAnsi="Cambria" w:cs="Calibri"/>
                <w:lang w:val="it-IT"/>
              </w:rPr>
            </w:pPr>
            <w:r w:rsidRPr="00F23CC9">
              <w:rPr>
                <w:rFonts w:ascii="Cambria" w:hAnsi="Cambria" w:cs="Calibri"/>
                <w:lang w:val="it-IT"/>
              </w:rPr>
              <w:t xml:space="preserve">4. </w:t>
            </w:r>
            <w:proofErr w:type="spellStart"/>
            <w:r>
              <w:rPr>
                <w:rFonts w:ascii="Cambria" w:hAnsi="Cambria" w:cs="Calibri"/>
                <w:lang w:val="it-IT"/>
              </w:rPr>
              <w:t>p</w:t>
            </w:r>
            <w:r w:rsidR="001457BE" w:rsidRPr="00F23CC9">
              <w:rPr>
                <w:rFonts w:ascii="Cambria" w:hAnsi="Cambria" w:cs="Calibri"/>
                <w:lang w:val="it-IT"/>
              </w:rPr>
              <w:t>ristupiti</w:t>
            </w:r>
            <w:proofErr w:type="spellEnd"/>
            <w:r w:rsidR="001457BE" w:rsidRPr="00F23CC9">
              <w:rPr>
                <w:rFonts w:ascii="Cambria" w:hAnsi="Cambria" w:cs="Calibri"/>
                <w:lang w:val="it-IT"/>
              </w:rPr>
              <w:t xml:space="preserve"> </w:t>
            </w:r>
            <w:proofErr w:type="spellStart"/>
            <w:r w:rsidR="001457BE" w:rsidRPr="00F23CC9">
              <w:rPr>
                <w:rFonts w:ascii="Cambria" w:hAnsi="Cambria" w:cs="Calibri"/>
                <w:lang w:val="it-IT"/>
              </w:rPr>
              <w:t>kolokviju</w:t>
            </w:r>
            <w:proofErr w:type="spellEnd"/>
            <w:r w:rsidR="001457BE" w:rsidRPr="00F23CC9">
              <w:rPr>
                <w:rFonts w:ascii="Cambria" w:hAnsi="Cambria" w:cs="Calibri"/>
                <w:lang w:val="it-IT"/>
              </w:rPr>
              <w:t xml:space="preserve"> i </w:t>
            </w:r>
            <w:proofErr w:type="spellStart"/>
            <w:r w:rsidR="001457BE" w:rsidRPr="00F23CC9">
              <w:rPr>
                <w:rFonts w:ascii="Cambria" w:hAnsi="Cambria" w:cs="Calibri"/>
                <w:lang w:val="it-IT"/>
              </w:rPr>
              <w:t>položiti</w:t>
            </w:r>
            <w:proofErr w:type="spellEnd"/>
            <w:r w:rsidR="001457BE" w:rsidRPr="00F23CC9">
              <w:rPr>
                <w:rFonts w:ascii="Cambria" w:hAnsi="Cambria" w:cs="Calibri"/>
                <w:lang w:val="it-IT"/>
              </w:rPr>
              <w:t xml:space="preserve"> </w:t>
            </w:r>
            <w:proofErr w:type="spellStart"/>
            <w:r w:rsidR="001457BE" w:rsidRPr="00F23CC9">
              <w:rPr>
                <w:rFonts w:ascii="Cambria" w:hAnsi="Cambria" w:cs="Calibri"/>
                <w:lang w:val="it-IT"/>
              </w:rPr>
              <w:t>ga</w:t>
            </w:r>
            <w:proofErr w:type="spellEnd"/>
            <w:r>
              <w:rPr>
                <w:rFonts w:ascii="Cambria" w:hAnsi="Cambria" w:cs="Calibri"/>
                <w:lang w:val="it-IT"/>
              </w:rPr>
              <w:t xml:space="preserve">. </w:t>
            </w:r>
          </w:p>
        </w:tc>
      </w:tr>
      <w:tr w:rsidR="001457BE" w:rsidRPr="00DF4CE5" w14:paraId="56C95538" w14:textId="77777777" w:rsidTr="00891E8C">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D52F69C" w14:textId="77777777" w:rsidR="001457BE" w:rsidRPr="00DF4CE5" w:rsidRDefault="001457BE" w:rsidP="00891E8C">
            <w:pPr>
              <w:rPr>
                <w:rFonts w:ascii="Cambria" w:hAnsi="Cambria" w:cs="Calibri"/>
              </w:rPr>
            </w:pPr>
            <w:proofErr w:type="spellStart"/>
            <w:r w:rsidRPr="00DF4CE5">
              <w:rPr>
                <w:rFonts w:ascii="Cambria" w:hAnsi="Cambria" w:cs="Calibri"/>
              </w:rPr>
              <w:t>Rokovi</w:t>
            </w:r>
            <w:proofErr w:type="spellEnd"/>
            <w:r w:rsidRPr="00DF4CE5">
              <w:rPr>
                <w:rFonts w:ascii="Cambria" w:hAnsi="Cambria" w:cs="Calibri"/>
              </w:rPr>
              <w:t xml:space="preserve"> </w:t>
            </w:r>
            <w:proofErr w:type="spellStart"/>
            <w:r w:rsidRPr="00DF4CE5">
              <w:rPr>
                <w:rFonts w:ascii="Cambria" w:hAnsi="Cambria" w:cs="Calibri"/>
              </w:rPr>
              <w:t>ispita</w:t>
            </w:r>
            <w:proofErr w:type="spellEnd"/>
            <w:r w:rsidRPr="00DF4CE5">
              <w:rPr>
                <w:rFonts w:ascii="Cambria" w:hAnsi="Cambria" w:cs="Calibri"/>
              </w:rPr>
              <w:t xml:space="preserve"> </w:t>
            </w:r>
            <w:proofErr w:type="spellStart"/>
            <w:r w:rsidRPr="00DF4CE5">
              <w:rPr>
                <w:rFonts w:ascii="Cambria" w:hAnsi="Cambria" w:cs="Calibri"/>
              </w:rPr>
              <w:t>i</w:t>
            </w:r>
            <w:proofErr w:type="spellEnd"/>
            <w:r w:rsidRPr="00DF4CE5">
              <w:rPr>
                <w:rFonts w:ascii="Cambria" w:hAnsi="Cambria" w:cs="Calibri"/>
              </w:rPr>
              <w:t xml:space="preserve"> </w:t>
            </w:r>
            <w:proofErr w:type="spellStart"/>
            <w:r w:rsidRPr="00DF4CE5">
              <w:rPr>
                <w:rFonts w:ascii="Cambria" w:hAnsi="Cambria" w:cs="Calibri"/>
              </w:rPr>
              <w:t>kolokvija</w:t>
            </w:r>
            <w:proofErr w:type="spellEnd"/>
          </w:p>
        </w:tc>
        <w:tc>
          <w:tcPr>
            <w:tcW w:w="651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2CB92BF" w14:textId="77777777" w:rsidR="001457BE" w:rsidRPr="00DF4CE5" w:rsidRDefault="001457BE" w:rsidP="00891E8C">
            <w:pPr>
              <w:rPr>
                <w:rFonts w:ascii="Cambria" w:hAnsi="Cambria" w:cs="Calibri"/>
              </w:rPr>
            </w:pPr>
            <w:r w:rsidRPr="00DF4CE5">
              <w:rPr>
                <w:rFonts w:ascii="Cambria" w:hAnsi="Cambria" w:cs="Calibri"/>
              </w:rPr>
              <w:t xml:space="preserve">Daju se </w:t>
            </w:r>
            <w:proofErr w:type="spellStart"/>
            <w:r w:rsidRPr="00DF4CE5">
              <w:rPr>
                <w:rFonts w:ascii="Cambria" w:hAnsi="Cambria" w:cs="Calibri"/>
              </w:rPr>
              <w:t>na</w:t>
            </w:r>
            <w:proofErr w:type="spellEnd"/>
            <w:r w:rsidRPr="00DF4CE5">
              <w:rPr>
                <w:rFonts w:ascii="Cambria" w:hAnsi="Cambria" w:cs="Calibri"/>
              </w:rPr>
              <w:t xml:space="preserve"> </w:t>
            </w:r>
            <w:proofErr w:type="spellStart"/>
            <w:r w:rsidRPr="00DF4CE5">
              <w:rPr>
                <w:rFonts w:ascii="Cambria" w:hAnsi="Cambria" w:cs="Calibri"/>
              </w:rPr>
              <w:t>početku</w:t>
            </w:r>
            <w:proofErr w:type="spellEnd"/>
            <w:r w:rsidRPr="00DF4CE5">
              <w:rPr>
                <w:rFonts w:ascii="Cambria" w:hAnsi="Cambria" w:cs="Calibri"/>
              </w:rPr>
              <w:t xml:space="preserve"> </w:t>
            </w:r>
            <w:proofErr w:type="spellStart"/>
            <w:r w:rsidRPr="00DF4CE5">
              <w:rPr>
                <w:rFonts w:ascii="Cambria" w:hAnsi="Cambria" w:cs="Calibri"/>
              </w:rPr>
              <w:t>akademske</w:t>
            </w:r>
            <w:proofErr w:type="spellEnd"/>
            <w:r w:rsidRPr="00DF4CE5">
              <w:rPr>
                <w:rFonts w:ascii="Cambria" w:hAnsi="Cambria" w:cs="Calibri"/>
              </w:rPr>
              <w:t xml:space="preserve"> </w:t>
            </w:r>
            <w:proofErr w:type="spellStart"/>
            <w:r w:rsidRPr="00DF4CE5">
              <w:rPr>
                <w:rFonts w:ascii="Cambria" w:hAnsi="Cambria" w:cs="Calibri"/>
              </w:rPr>
              <w:t>godine</w:t>
            </w:r>
            <w:proofErr w:type="spellEnd"/>
            <w:r w:rsidRPr="00DF4CE5">
              <w:rPr>
                <w:rFonts w:ascii="Cambria" w:hAnsi="Cambria" w:cs="Calibri"/>
              </w:rPr>
              <w:t xml:space="preserve">, </w:t>
            </w:r>
            <w:proofErr w:type="spellStart"/>
            <w:r w:rsidRPr="00DF4CE5">
              <w:rPr>
                <w:rFonts w:ascii="Cambria" w:hAnsi="Cambria" w:cs="Calibri"/>
              </w:rPr>
              <w:t>objavljuju</w:t>
            </w:r>
            <w:proofErr w:type="spellEnd"/>
            <w:r w:rsidRPr="00DF4CE5">
              <w:rPr>
                <w:rFonts w:ascii="Cambria" w:hAnsi="Cambria" w:cs="Calibri"/>
              </w:rPr>
              <w:t xml:space="preserve"> se </w:t>
            </w:r>
            <w:proofErr w:type="spellStart"/>
            <w:r w:rsidRPr="00DF4CE5">
              <w:rPr>
                <w:rFonts w:ascii="Cambria" w:hAnsi="Cambria" w:cs="Calibri"/>
              </w:rPr>
              <w:t>na</w:t>
            </w:r>
            <w:proofErr w:type="spellEnd"/>
            <w:r w:rsidRPr="00DF4CE5">
              <w:rPr>
                <w:rFonts w:ascii="Cambria" w:hAnsi="Cambria" w:cs="Calibri"/>
              </w:rPr>
              <w:t xml:space="preserve"> </w:t>
            </w:r>
            <w:proofErr w:type="spellStart"/>
            <w:r w:rsidRPr="00DF4CE5">
              <w:rPr>
                <w:rFonts w:ascii="Cambria" w:hAnsi="Cambria" w:cs="Calibri"/>
              </w:rPr>
              <w:t>mrežnim</w:t>
            </w:r>
            <w:proofErr w:type="spellEnd"/>
            <w:r w:rsidRPr="00DF4CE5">
              <w:rPr>
                <w:rFonts w:ascii="Cambria" w:hAnsi="Cambria" w:cs="Calibri"/>
              </w:rPr>
              <w:t xml:space="preserve"> </w:t>
            </w:r>
            <w:proofErr w:type="spellStart"/>
            <w:r w:rsidRPr="00DF4CE5">
              <w:rPr>
                <w:rFonts w:ascii="Cambria" w:hAnsi="Cambria" w:cs="Calibri"/>
              </w:rPr>
              <w:t>stranicama</w:t>
            </w:r>
            <w:proofErr w:type="spellEnd"/>
            <w:r w:rsidRPr="00DF4CE5">
              <w:rPr>
                <w:rFonts w:ascii="Cambria" w:hAnsi="Cambria" w:cs="Calibri"/>
              </w:rPr>
              <w:t xml:space="preserve"> </w:t>
            </w:r>
            <w:proofErr w:type="spellStart"/>
            <w:r w:rsidRPr="00DF4CE5">
              <w:rPr>
                <w:rFonts w:ascii="Cambria" w:hAnsi="Cambria" w:cs="Calibri"/>
              </w:rPr>
              <w:t>Sveučilišta</w:t>
            </w:r>
            <w:proofErr w:type="spellEnd"/>
            <w:r w:rsidRPr="00DF4CE5">
              <w:rPr>
                <w:rFonts w:ascii="Cambria" w:hAnsi="Cambria" w:cs="Calibri"/>
              </w:rPr>
              <w:t xml:space="preserve"> </w:t>
            </w:r>
            <w:proofErr w:type="spellStart"/>
            <w:r w:rsidRPr="00DF4CE5">
              <w:rPr>
                <w:rFonts w:ascii="Cambria" w:hAnsi="Cambria" w:cs="Calibri"/>
              </w:rPr>
              <w:t>i</w:t>
            </w:r>
            <w:proofErr w:type="spellEnd"/>
            <w:r w:rsidRPr="00DF4CE5">
              <w:rPr>
                <w:rFonts w:ascii="Cambria" w:hAnsi="Cambria" w:cs="Calibri"/>
              </w:rPr>
              <w:t xml:space="preserve"> u ISVU. </w:t>
            </w:r>
          </w:p>
        </w:tc>
      </w:tr>
      <w:tr w:rsidR="001457BE" w:rsidRPr="00B30379" w14:paraId="5B9136EB" w14:textId="77777777" w:rsidTr="00891E8C">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4D72928" w14:textId="77777777" w:rsidR="001457BE" w:rsidRPr="00DF4CE5" w:rsidRDefault="001457BE" w:rsidP="00891E8C">
            <w:pPr>
              <w:rPr>
                <w:rFonts w:ascii="Cambria" w:hAnsi="Cambria" w:cs="Calibri"/>
                <w:lang w:val="it-IT"/>
              </w:rPr>
            </w:pPr>
            <w:r w:rsidRPr="00DF4CE5">
              <w:rPr>
                <w:rFonts w:ascii="Cambria" w:hAnsi="Cambria" w:cs="Calibri"/>
                <w:lang w:val="it-IT"/>
              </w:rPr>
              <w:t xml:space="preserve">Ostale </w:t>
            </w:r>
            <w:proofErr w:type="spellStart"/>
            <w:r w:rsidRPr="00DF4CE5">
              <w:rPr>
                <w:rFonts w:ascii="Cambria" w:hAnsi="Cambria" w:cs="Calibri"/>
                <w:lang w:val="it-IT"/>
              </w:rPr>
              <w:t>važne</w:t>
            </w:r>
            <w:proofErr w:type="spellEnd"/>
            <w:r w:rsidRPr="00DF4CE5">
              <w:rPr>
                <w:rFonts w:ascii="Cambria" w:hAnsi="Cambria" w:cs="Calibri"/>
                <w:lang w:val="it-IT"/>
              </w:rPr>
              <w:t xml:space="preserve"> </w:t>
            </w:r>
            <w:proofErr w:type="spellStart"/>
            <w:r w:rsidRPr="00DF4CE5">
              <w:rPr>
                <w:rFonts w:ascii="Cambria" w:hAnsi="Cambria" w:cs="Calibri"/>
                <w:lang w:val="it-IT"/>
              </w:rPr>
              <w:t>činjenice</w:t>
            </w:r>
            <w:proofErr w:type="spellEnd"/>
            <w:r w:rsidRPr="00DF4CE5">
              <w:rPr>
                <w:rFonts w:ascii="Cambria" w:hAnsi="Cambria" w:cs="Calibri"/>
                <w:lang w:val="it-IT"/>
              </w:rPr>
              <w:t xml:space="preserve"> </w:t>
            </w:r>
            <w:proofErr w:type="spellStart"/>
            <w:r w:rsidRPr="00DF4CE5">
              <w:rPr>
                <w:rFonts w:ascii="Cambria" w:hAnsi="Cambria" w:cs="Calibri"/>
                <w:lang w:val="it-IT"/>
              </w:rPr>
              <w:t>vezane</w:t>
            </w:r>
            <w:proofErr w:type="spellEnd"/>
            <w:r w:rsidRPr="00DF4CE5">
              <w:rPr>
                <w:rFonts w:ascii="Cambria" w:hAnsi="Cambria" w:cs="Calibri"/>
                <w:lang w:val="it-IT"/>
              </w:rPr>
              <w:t xml:space="preserve"> </w:t>
            </w:r>
            <w:proofErr w:type="spellStart"/>
            <w:r w:rsidRPr="00DF4CE5">
              <w:rPr>
                <w:rFonts w:ascii="Cambria" w:hAnsi="Cambria" w:cs="Calibri"/>
                <w:lang w:val="it-IT"/>
              </w:rPr>
              <w:t>uz</w:t>
            </w:r>
            <w:proofErr w:type="spellEnd"/>
            <w:r w:rsidRPr="00DF4CE5">
              <w:rPr>
                <w:rFonts w:ascii="Cambria" w:hAnsi="Cambria" w:cs="Calibri"/>
                <w:lang w:val="it-IT"/>
              </w:rPr>
              <w:t xml:space="preserve"> </w:t>
            </w:r>
            <w:proofErr w:type="spellStart"/>
            <w:r w:rsidRPr="00DF4CE5">
              <w:rPr>
                <w:rFonts w:ascii="Cambria" w:hAnsi="Cambria" w:cs="Calibri"/>
                <w:lang w:val="it-IT"/>
              </w:rPr>
              <w:t>kolegij</w:t>
            </w:r>
            <w:proofErr w:type="spellEnd"/>
          </w:p>
        </w:tc>
        <w:tc>
          <w:tcPr>
            <w:tcW w:w="651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D52858C" w14:textId="77777777" w:rsidR="001457BE" w:rsidRPr="00DF4CE5" w:rsidRDefault="001457BE" w:rsidP="00196481">
            <w:pPr>
              <w:spacing w:after="0" w:line="240" w:lineRule="auto"/>
              <w:rPr>
                <w:rFonts w:ascii="Cambria" w:hAnsi="Cambria" w:cs="Calibri"/>
                <w:lang w:val="it-IT"/>
              </w:rPr>
            </w:pPr>
            <w:proofErr w:type="spellStart"/>
            <w:r w:rsidRPr="00DF4CE5">
              <w:rPr>
                <w:rFonts w:ascii="Cambria" w:hAnsi="Cambria" w:cs="Calibri"/>
                <w:lang w:val="it-IT"/>
              </w:rPr>
              <w:t>Bodovi</w:t>
            </w:r>
            <w:proofErr w:type="spellEnd"/>
            <w:r w:rsidRPr="00DF4CE5">
              <w:rPr>
                <w:rFonts w:ascii="Cambria" w:hAnsi="Cambria" w:cs="Calibri"/>
                <w:lang w:val="it-IT"/>
              </w:rPr>
              <w:t xml:space="preserve"> se </w:t>
            </w:r>
            <w:proofErr w:type="spellStart"/>
            <w:r w:rsidRPr="00DF4CE5">
              <w:rPr>
                <w:rFonts w:ascii="Cambria" w:hAnsi="Cambria" w:cs="Calibri"/>
                <w:lang w:val="it-IT"/>
              </w:rPr>
              <w:t>prikupljaju</w:t>
            </w:r>
            <w:proofErr w:type="spellEnd"/>
            <w:r w:rsidRPr="00DF4CE5">
              <w:rPr>
                <w:rFonts w:ascii="Cambria" w:hAnsi="Cambria" w:cs="Calibri"/>
                <w:lang w:val="it-IT"/>
              </w:rPr>
              <w:t xml:space="preserve"> </w:t>
            </w:r>
            <w:proofErr w:type="spellStart"/>
            <w:r w:rsidRPr="00DF4CE5">
              <w:rPr>
                <w:rFonts w:ascii="Cambria" w:hAnsi="Cambria" w:cs="Calibri"/>
                <w:lang w:val="it-IT"/>
              </w:rPr>
              <w:t>tijekom</w:t>
            </w:r>
            <w:proofErr w:type="spellEnd"/>
            <w:r w:rsidRPr="00DF4CE5">
              <w:rPr>
                <w:rFonts w:ascii="Cambria" w:hAnsi="Cambria" w:cs="Calibri"/>
                <w:lang w:val="it-IT"/>
              </w:rPr>
              <w:t xml:space="preserve"> </w:t>
            </w:r>
            <w:proofErr w:type="spellStart"/>
            <w:r w:rsidRPr="00DF4CE5">
              <w:rPr>
                <w:rFonts w:ascii="Cambria" w:hAnsi="Cambria" w:cs="Calibri"/>
                <w:lang w:val="it-IT"/>
              </w:rPr>
              <w:t>nastave</w:t>
            </w:r>
            <w:proofErr w:type="spellEnd"/>
            <w:r w:rsidRPr="00DF4CE5">
              <w:rPr>
                <w:rFonts w:ascii="Cambria" w:hAnsi="Cambria" w:cs="Calibri"/>
                <w:lang w:val="it-IT"/>
              </w:rPr>
              <w:t xml:space="preserve">, </w:t>
            </w:r>
            <w:proofErr w:type="spellStart"/>
            <w:r w:rsidRPr="00DF4CE5">
              <w:rPr>
                <w:rFonts w:ascii="Cambria" w:hAnsi="Cambria" w:cs="Calibri"/>
                <w:lang w:val="it-IT"/>
              </w:rPr>
              <w:t>na</w:t>
            </w:r>
            <w:proofErr w:type="spellEnd"/>
            <w:r w:rsidRPr="00DF4CE5">
              <w:rPr>
                <w:rFonts w:ascii="Cambria" w:hAnsi="Cambria" w:cs="Calibri"/>
                <w:lang w:val="it-IT"/>
              </w:rPr>
              <w:t xml:space="preserve"> </w:t>
            </w:r>
            <w:proofErr w:type="spellStart"/>
            <w:r w:rsidRPr="00DF4CE5">
              <w:rPr>
                <w:rFonts w:ascii="Cambria" w:hAnsi="Cambria" w:cs="Calibri"/>
                <w:lang w:val="it-IT"/>
              </w:rPr>
              <w:t>projektima</w:t>
            </w:r>
            <w:proofErr w:type="spellEnd"/>
            <w:r w:rsidRPr="00DF4CE5">
              <w:rPr>
                <w:rFonts w:ascii="Cambria" w:hAnsi="Cambria" w:cs="Calibri"/>
                <w:lang w:val="it-IT"/>
              </w:rPr>
              <w:t xml:space="preserve"> i </w:t>
            </w:r>
            <w:proofErr w:type="spellStart"/>
            <w:r w:rsidRPr="00DF4CE5">
              <w:rPr>
                <w:rFonts w:ascii="Cambria" w:hAnsi="Cambria" w:cs="Calibri"/>
                <w:lang w:val="it-IT"/>
              </w:rPr>
              <w:t>kolokviju</w:t>
            </w:r>
            <w:proofErr w:type="spellEnd"/>
            <w:r w:rsidRPr="00DF4CE5">
              <w:rPr>
                <w:rFonts w:ascii="Cambria" w:hAnsi="Cambria" w:cs="Calibri"/>
                <w:lang w:val="it-IT"/>
              </w:rPr>
              <w:t>.</w:t>
            </w:r>
          </w:p>
          <w:p w14:paraId="50E30AE2" w14:textId="77777777" w:rsidR="001457BE" w:rsidRDefault="001457BE" w:rsidP="00196481">
            <w:pPr>
              <w:spacing w:after="0" w:line="240" w:lineRule="auto"/>
              <w:rPr>
                <w:rFonts w:ascii="Cambria" w:hAnsi="Cambria" w:cs="Calibri"/>
                <w:lang w:val="it-IT"/>
              </w:rPr>
            </w:pPr>
            <w:proofErr w:type="spellStart"/>
            <w:r w:rsidRPr="00DF4CE5">
              <w:rPr>
                <w:rFonts w:ascii="Cambria" w:hAnsi="Cambria" w:cs="Calibri"/>
                <w:lang w:val="it-IT"/>
              </w:rPr>
              <w:t>Završnom</w:t>
            </w:r>
            <w:proofErr w:type="spellEnd"/>
            <w:r w:rsidRPr="00DF4CE5">
              <w:rPr>
                <w:rFonts w:ascii="Cambria" w:hAnsi="Cambria" w:cs="Calibri"/>
                <w:lang w:val="it-IT"/>
              </w:rPr>
              <w:t xml:space="preserve"> </w:t>
            </w:r>
            <w:proofErr w:type="spellStart"/>
            <w:r w:rsidRPr="00DF4CE5">
              <w:rPr>
                <w:rFonts w:ascii="Cambria" w:hAnsi="Cambria" w:cs="Calibri"/>
                <w:lang w:val="it-IT"/>
              </w:rPr>
              <w:t>ispitu</w:t>
            </w:r>
            <w:proofErr w:type="spellEnd"/>
            <w:r w:rsidRPr="00DF4CE5">
              <w:rPr>
                <w:rFonts w:ascii="Cambria" w:hAnsi="Cambria" w:cs="Calibri"/>
                <w:lang w:val="it-IT"/>
              </w:rPr>
              <w:t xml:space="preserve"> ili </w:t>
            </w:r>
            <w:proofErr w:type="spellStart"/>
            <w:r w:rsidRPr="00DF4CE5">
              <w:rPr>
                <w:rFonts w:ascii="Cambria" w:hAnsi="Cambria" w:cs="Calibri"/>
                <w:lang w:val="it-IT"/>
              </w:rPr>
              <w:t>ispitu</w:t>
            </w:r>
            <w:proofErr w:type="spellEnd"/>
            <w:r w:rsidRPr="00DF4CE5">
              <w:rPr>
                <w:rFonts w:ascii="Cambria" w:hAnsi="Cambria" w:cs="Calibri"/>
                <w:lang w:val="it-IT"/>
              </w:rPr>
              <w:t xml:space="preserve"> se </w:t>
            </w:r>
            <w:proofErr w:type="spellStart"/>
            <w:r w:rsidRPr="00DF4CE5">
              <w:rPr>
                <w:rFonts w:ascii="Cambria" w:hAnsi="Cambria" w:cs="Calibri"/>
                <w:lang w:val="it-IT"/>
              </w:rPr>
              <w:t>pristupa</w:t>
            </w:r>
            <w:proofErr w:type="spellEnd"/>
            <w:r w:rsidRPr="00DF4CE5">
              <w:rPr>
                <w:rFonts w:ascii="Cambria" w:hAnsi="Cambria" w:cs="Calibri"/>
                <w:lang w:val="it-IT"/>
              </w:rPr>
              <w:t xml:space="preserve"> </w:t>
            </w:r>
            <w:proofErr w:type="spellStart"/>
            <w:r w:rsidRPr="00DF4CE5">
              <w:rPr>
                <w:rFonts w:ascii="Cambria" w:hAnsi="Cambria" w:cs="Calibri"/>
                <w:lang w:val="it-IT"/>
              </w:rPr>
              <w:t>isključivo</w:t>
            </w:r>
            <w:proofErr w:type="spellEnd"/>
            <w:r w:rsidRPr="00DF4CE5">
              <w:rPr>
                <w:rFonts w:ascii="Cambria" w:hAnsi="Cambria" w:cs="Calibri"/>
                <w:lang w:val="it-IT"/>
              </w:rPr>
              <w:t xml:space="preserve"> </w:t>
            </w:r>
            <w:proofErr w:type="spellStart"/>
            <w:r w:rsidRPr="00DF4CE5">
              <w:rPr>
                <w:rFonts w:ascii="Cambria" w:hAnsi="Cambria" w:cs="Calibri"/>
                <w:lang w:val="it-IT"/>
              </w:rPr>
              <w:t>ukoliko</w:t>
            </w:r>
            <w:proofErr w:type="spellEnd"/>
            <w:r w:rsidRPr="00DF4CE5">
              <w:rPr>
                <w:rFonts w:ascii="Cambria" w:hAnsi="Cambria" w:cs="Calibri"/>
                <w:lang w:val="it-IT"/>
              </w:rPr>
              <w:t xml:space="preserve"> </w:t>
            </w:r>
            <w:proofErr w:type="spellStart"/>
            <w:r w:rsidRPr="00DF4CE5">
              <w:rPr>
                <w:rFonts w:ascii="Cambria" w:hAnsi="Cambria" w:cs="Calibri"/>
                <w:lang w:val="it-IT"/>
              </w:rPr>
              <w:t>student</w:t>
            </w:r>
            <w:proofErr w:type="spellEnd"/>
            <w:r w:rsidRPr="00DF4CE5">
              <w:rPr>
                <w:rFonts w:ascii="Cambria" w:hAnsi="Cambria" w:cs="Calibri"/>
                <w:lang w:val="it-IT"/>
              </w:rPr>
              <w:t xml:space="preserve"> </w:t>
            </w:r>
            <w:proofErr w:type="spellStart"/>
            <w:r w:rsidRPr="00DF4CE5">
              <w:rPr>
                <w:rFonts w:ascii="Cambria" w:hAnsi="Cambria" w:cs="Calibri"/>
                <w:lang w:val="it-IT"/>
              </w:rPr>
              <w:t>nije</w:t>
            </w:r>
            <w:proofErr w:type="spellEnd"/>
            <w:r w:rsidRPr="00DF4CE5">
              <w:rPr>
                <w:rFonts w:ascii="Cambria" w:hAnsi="Cambria" w:cs="Calibri"/>
                <w:lang w:val="it-IT"/>
              </w:rPr>
              <w:t xml:space="preserve"> </w:t>
            </w:r>
            <w:proofErr w:type="spellStart"/>
            <w:r w:rsidRPr="00DF4CE5">
              <w:rPr>
                <w:rFonts w:ascii="Cambria" w:hAnsi="Cambria" w:cs="Calibri"/>
                <w:lang w:val="it-IT"/>
              </w:rPr>
              <w:t>uspješno</w:t>
            </w:r>
            <w:proofErr w:type="spellEnd"/>
            <w:r w:rsidRPr="00DF4CE5">
              <w:rPr>
                <w:rFonts w:ascii="Cambria" w:hAnsi="Cambria" w:cs="Calibri"/>
                <w:lang w:val="it-IT"/>
              </w:rPr>
              <w:t xml:space="preserve"> </w:t>
            </w:r>
            <w:proofErr w:type="spellStart"/>
            <w:r w:rsidRPr="00DF4CE5">
              <w:rPr>
                <w:rFonts w:ascii="Cambria" w:hAnsi="Cambria" w:cs="Calibri"/>
                <w:lang w:val="it-IT"/>
              </w:rPr>
              <w:t>položio</w:t>
            </w:r>
            <w:proofErr w:type="spellEnd"/>
            <w:r w:rsidRPr="00DF4CE5">
              <w:rPr>
                <w:rFonts w:ascii="Cambria" w:hAnsi="Cambria" w:cs="Calibri"/>
                <w:lang w:val="it-IT"/>
              </w:rPr>
              <w:t xml:space="preserve"> </w:t>
            </w:r>
            <w:proofErr w:type="spellStart"/>
            <w:r w:rsidRPr="00DF4CE5">
              <w:rPr>
                <w:rFonts w:ascii="Cambria" w:hAnsi="Cambria" w:cs="Calibri"/>
                <w:lang w:val="it-IT"/>
              </w:rPr>
              <w:t>neki</w:t>
            </w:r>
            <w:proofErr w:type="spellEnd"/>
            <w:r w:rsidRPr="00DF4CE5">
              <w:rPr>
                <w:rFonts w:ascii="Cambria" w:hAnsi="Cambria" w:cs="Calibri"/>
                <w:lang w:val="it-IT"/>
              </w:rPr>
              <w:t xml:space="preserve"> od </w:t>
            </w:r>
            <w:proofErr w:type="spellStart"/>
            <w:r w:rsidRPr="00DF4CE5">
              <w:rPr>
                <w:rFonts w:ascii="Cambria" w:hAnsi="Cambria" w:cs="Calibri"/>
                <w:lang w:val="it-IT"/>
              </w:rPr>
              <w:t>elemenata</w:t>
            </w:r>
            <w:proofErr w:type="spellEnd"/>
            <w:r w:rsidRPr="00DF4CE5">
              <w:rPr>
                <w:rFonts w:ascii="Cambria" w:hAnsi="Cambria" w:cs="Calibri"/>
                <w:lang w:val="it-IT"/>
              </w:rPr>
              <w:t xml:space="preserve"> </w:t>
            </w:r>
            <w:proofErr w:type="spellStart"/>
            <w:r w:rsidRPr="00DF4CE5">
              <w:rPr>
                <w:rFonts w:ascii="Cambria" w:hAnsi="Cambria" w:cs="Calibri"/>
                <w:lang w:val="it-IT"/>
              </w:rPr>
              <w:t>ocjenjivanja</w:t>
            </w:r>
            <w:proofErr w:type="spellEnd"/>
            <w:r w:rsidRPr="00DF4CE5">
              <w:rPr>
                <w:rFonts w:ascii="Cambria" w:hAnsi="Cambria" w:cs="Calibri"/>
                <w:lang w:val="it-IT"/>
              </w:rPr>
              <w:t>.</w:t>
            </w:r>
          </w:p>
          <w:p w14:paraId="71DA3787" w14:textId="5A2D3AA2" w:rsidR="00196481" w:rsidRPr="00DF4CE5" w:rsidRDefault="00196481" w:rsidP="00196481">
            <w:pPr>
              <w:spacing w:after="0" w:line="240" w:lineRule="auto"/>
              <w:rPr>
                <w:rFonts w:ascii="Cambria" w:hAnsi="Cambria" w:cs="Calibri"/>
                <w:lang w:val="it-IT"/>
              </w:rPr>
            </w:pPr>
            <w:r w:rsidRPr="00196481">
              <w:rPr>
                <w:rFonts w:ascii="Cambria" w:hAnsi="Cambria" w:cs="Calibri"/>
                <w:lang w:val="it-IT"/>
              </w:rPr>
              <w:t xml:space="preserve">U </w:t>
            </w:r>
            <w:proofErr w:type="spellStart"/>
            <w:r w:rsidRPr="00196481">
              <w:rPr>
                <w:rFonts w:ascii="Cambria" w:hAnsi="Cambria" w:cs="Calibri"/>
                <w:lang w:val="it-IT"/>
              </w:rPr>
              <w:t>slučaju</w:t>
            </w:r>
            <w:proofErr w:type="spellEnd"/>
            <w:r w:rsidRPr="00196481">
              <w:rPr>
                <w:rFonts w:ascii="Cambria" w:hAnsi="Cambria" w:cs="Calibri"/>
                <w:lang w:val="it-IT"/>
              </w:rPr>
              <w:t xml:space="preserve"> </w:t>
            </w:r>
            <w:proofErr w:type="spellStart"/>
            <w:r w:rsidRPr="00196481">
              <w:rPr>
                <w:rFonts w:ascii="Cambria" w:hAnsi="Cambria" w:cs="Calibri"/>
                <w:lang w:val="it-IT"/>
              </w:rPr>
              <w:t>održavanja</w:t>
            </w:r>
            <w:proofErr w:type="spellEnd"/>
            <w:r w:rsidRPr="00196481">
              <w:rPr>
                <w:rFonts w:ascii="Cambria" w:hAnsi="Cambria" w:cs="Calibri"/>
                <w:lang w:val="it-IT"/>
              </w:rPr>
              <w:t xml:space="preserve"> </w:t>
            </w:r>
            <w:proofErr w:type="spellStart"/>
            <w:r w:rsidRPr="00196481">
              <w:rPr>
                <w:rFonts w:ascii="Cambria" w:hAnsi="Cambria" w:cs="Calibri"/>
                <w:lang w:val="it-IT"/>
              </w:rPr>
              <w:t>nastave</w:t>
            </w:r>
            <w:proofErr w:type="spellEnd"/>
            <w:r w:rsidRPr="00196481">
              <w:rPr>
                <w:rFonts w:ascii="Cambria" w:hAnsi="Cambria" w:cs="Calibri"/>
                <w:lang w:val="it-IT"/>
              </w:rPr>
              <w:t xml:space="preserve"> </w:t>
            </w:r>
            <w:proofErr w:type="spellStart"/>
            <w:r w:rsidRPr="00196481">
              <w:rPr>
                <w:rFonts w:ascii="Cambria" w:hAnsi="Cambria" w:cs="Calibri"/>
                <w:lang w:val="it-IT"/>
              </w:rPr>
              <w:t>na</w:t>
            </w:r>
            <w:proofErr w:type="spellEnd"/>
            <w:r w:rsidRPr="00196481">
              <w:rPr>
                <w:rFonts w:ascii="Cambria" w:hAnsi="Cambria" w:cs="Calibri"/>
                <w:lang w:val="it-IT"/>
              </w:rPr>
              <w:t xml:space="preserve"> </w:t>
            </w:r>
            <w:proofErr w:type="spellStart"/>
            <w:r w:rsidRPr="00196481">
              <w:rPr>
                <w:rFonts w:ascii="Cambria" w:hAnsi="Cambria" w:cs="Calibri"/>
                <w:lang w:val="it-IT"/>
              </w:rPr>
              <w:t>daljinu</w:t>
            </w:r>
            <w:proofErr w:type="spellEnd"/>
            <w:r w:rsidRPr="00196481">
              <w:rPr>
                <w:rFonts w:ascii="Cambria" w:hAnsi="Cambria" w:cs="Calibri"/>
                <w:lang w:val="it-IT"/>
              </w:rPr>
              <w:t xml:space="preserve">, </w:t>
            </w:r>
            <w:proofErr w:type="spellStart"/>
            <w:r w:rsidRPr="00196481">
              <w:rPr>
                <w:rFonts w:ascii="Cambria" w:hAnsi="Cambria" w:cs="Calibri"/>
                <w:lang w:val="it-IT"/>
              </w:rPr>
              <w:t>moguće</w:t>
            </w:r>
            <w:proofErr w:type="spellEnd"/>
            <w:r w:rsidRPr="00196481">
              <w:rPr>
                <w:rFonts w:ascii="Cambria" w:hAnsi="Cambria" w:cs="Calibri"/>
                <w:lang w:val="it-IT"/>
              </w:rPr>
              <w:t xml:space="preserve"> je </w:t>
            </w:r>
            <w:proofErr w:type="spellStart"/>
            <w:r w:rsidRPr="00196481">
              <w:rPr>
                <w:rFonts w:ascii="Cambria" w:hAnsi="Cambria" w:cs="Calibri"/>
                <w:lang w:val="it-IT"/>
              </w:rPr>
              <w:t>odstupanje</w:t>
            </w:r>
            <w:proofErr w:type="spellEnd"/>
            <w:r w:rsidRPr="00196481">
              <w:rPr>
                <w:rFonts w:ascii="Cambria" w:hAnsi="Cambria" w:cs="Calibri"/>
                <w:lang w:val="it-IT"/>
              </w:rPr>
              <w:t xml:space="preserve"> u: </w:t>
            </w:r>
            <w:proofErr w:type="spellStart"/>
            <w:r w:rsidRPr="00196481">
              <w:rPr>
                <w:rFonts w:ascii="Cambria" w:hAnsi="Cambria" w:cs="Calibri"/>
                <w:lang w:val="it-IT"/>
              </w:rPr>
              <w:t>mjestu</w:t>
            </w:r>
            <w:proofErr w:type="spellEnd"/>
            <w:r w:rsidRPr="00196481">
              <w:rPr>
                <w:rFonts w:ascii="Cambria" w:hAnsi="Cambria" w:cs="Calibri"/>
                <w:lang w:val="it-IT"/>
              </w:rPr>
              <w:t xml:space="preserve"> </w:t>
            </w:r>
            <w:proofErr w:type="spellStart"/>
            <w:r w:rsidRPr="00196481">
              <w:rPr>
                <w:rFonts w:ascii="Cambria" w:hAnsi="Cambria" w:cs="Calibri"/>
                <w:lang w:val="it-IT"/>
              </w:rPr>
              <w:t>izvođenja</w:t>
            </w:r>
            <w:proofErr w:type="spellEnd"/>
            <w:r w:rsidRPr="00196481">
              <w:rPr>
                <w:rFonts w:ascii="Cambria" w:hAnsi="Cambria" w:cs="Calibri"/>
                <w:lang w:val="it-IT"/>
              </w:rPr>
              <w:t xml:space="preserve"> </w:t>
            </w:r>
            <w:proofErr w:type="spellStart"/>
            <w:r w:rsidRPr="00196481">
              <w:rPr>
                <w:rFonts w:ascii="Cambria" w:hAnsi="Cambria" w:cs="Calibri"/>
                <w:lang w:val="it-IT"/>
              </w:rPr>
              <w:t>kolegija</w:t>
            </w:r>
            <w:proofErr w:type="spellEnd"/>
            <w:r w:rsidRPr="00196481">
              <w:rPr>
                <w:rFonts w:ascii="Cambria" w:hAnsi="Cambria" w:cs="Calibri"/>
                <w:lang w:val="it-IT"/>
              </w:rPr>
              <w:t xml:space="preserve">, </w:t>
            </w:r>
            <w:proofErr w:type="spellStart"/>
            <w:r w:rsidRPr="00196481">
              <w:rPr>
                <w:rFonts w:ascii="Cambria" w:hAnsi="Cambria" w:cs="Calibri"/>
                <w:lang w:val="it-IT"/>
              </w:rPr>
              <w:t>provedbi</w:t>
            </w:r>
            <w:proofErr w:type="spellEnd"/>
            <w:r w:rsidRPr="00196481">
              <w:rPr>
                <w:rFonts w:ascii="Cambria" w:hAnsi="Cambria" w:cs="Calibri"/>
                <w:lang w:val="it-IT"/>
              </w:rPr>
              <w:t xml:space="preserve"> </w:t>
            </w:r>
            <w:proofErr w:type="spellStart"/>
            <w:r w:rsidRPr="00196481">
              <w:rPr>
                <w:rFonts w:ascii="Cambria" w:hAnsi="Cambria" w:cs="Calibri"/>
                <w:lang w:val="it-IT"/>
              </w:rPr>
              <w:t>aktivnosti</w:t>
            </w:r>
            <w:proofErr w:type="spellEnd"/>
            <w:r w:rsidRPr="00196481">
              <w:rPr>
                <w:rFonts w:ascii="Cambria" w:hAnsi="Cambria" w:cs="Calibri"/>
                <w:lang w:val="it-IT"/>
              </w:rPr>
              <w:t xml:space="preserve">, </w:t>
            </w:r>
            <w:proofErr w:type="spellStart"/>
            <w:r w:rsidRPr="00196481">
              <w:rPr>
                <w:rFonts w:ascii="Cambria" w:hAnsi="Cambria" w:cs="Calibri"/>
                <w:lang w:val="it-IT"/>
              </w:rPr>
              <w:t>metoda</w:t>
            </w:r>
            <w:proofErr w:type="spellEnd"/>
            <w:r w:rsidRPr="00196481">
              <w:rPr>
                <w:rFonts w:ascii="Cambria" w:hAnsi="Cambria" w:cs="Calibri"/>
                <w:lang w:val="it-IT"/>
              </w:rPr>
              <w:t xml:space="preserve"> </w:t>
            </w:r>
            <w:proofErr w:type="spellStart"/>
            <w:r w:rsidRPr="00196481">
              <w:rPr>
                <w:rFonts w:ascii="Cambria" w:hAnsi="Cambria" w:cs="Calibri"/>
                <w:lang w:val="it-IT"/>
              </w:rPr>
              <w:t>tumačenja</w:t>
            </w:r>
            <w:proofErr w:type="spellEnd"/>
            <w:r w:rsidRPr="00196481">
              <w:rPr>
                <w:rFonts w:ascii="Cambria" w:hAnsi="Cambria" w:cs="Calibri"/>
                <w:lang w:val="it-IT"/>
              </w:rPr>
              <w:t xml:space="preserve"> i </w:t>
            </w:r>
            <w:proofErr w:type="spellStart"/>
            <w:r w:rsidRPr="00196481">
              <w:rPr>
                <w:rFonts w:ascii="Cambria" w:hAnsi="Cambria" w:cs="Calibri"/>
                <w:lang w:val="it-IT"/>
              </w:rPr>
              <w:t>poučavanja</w:t>
            </w:r>
            <w:proofErr w:type="spellEnd"/>
            <w:r w:rsidRPr="00196481">
              <w:rPr>
                <w:rFonts w:ascii="Cambria" w:hAnsi="Cambria" w:cs="Calibri"/>
                <w:lang w:val="it-IT"/>
              </w:rPr>
              <w:t xml:space="preserve"> i </w:t>
            </w:r>
            <w:proofErr w:type="spellStart"/>
            <w:r w:rsidRPr="00196481">
              <w:rPr>
                <w:rFonts w:ascii="Cambria" w:hAnsi="Cambria" w:cs="Calibri"/>
                <w:lang w:val="it-IT"/>
              </w:rPr>
              <w:t>načinima</w:t>
            </w:r>
            <w:proofErr w:type="spellEnd"/>
            <w:r w:rsidRPr="00196481">
              <w:rPr>
                <w:rFonts w:ascii="Cambria" w:hAnsi="Cambria" w:cs="Calibri"/>
                <w:lang w:val="it-IT"/>
              </w:rPr>
              <w:t xml:space="preserve"> </w:t>
            </w:r>
            <w:proofErr w:type="spellStart"/>
            <w:r w:rsidRPr="00196481">
              <w:rPr>
                <w:rFonts w:ascii="Cambria" w:hAnsi="Cambria" w:cs="Calibri"/>
                <w:lang w:val="it-IT"/>
              </w:rPr>
              <w:t>vrednovanja</w:t>
            </w:r>
            <w:proofErr w:type="spellEnd"/>
            <w:r w:rsidRPr="00196481">
              <w:rPr>
                <w:rFonts w:ascii="Cambria" w:hAnsi="Cambria" w:cs="Calibri"/>
                <w:lang w:val="it-IT"/>
              </w:rPr>
              <w:t xml:space="preserve">, </w:t>
            </w:r>
            <w:proofErr w:type="spellStart"/>
            <w:r w:rsidRPr="00196481">
              <w:rPr>
                <w:rFonts w:ascii="Cambria" w:hAnsi="Cambria" w:cs="Calibri"/>
                <w:lang w:val="it-IT"/>
              </w:rPr>
              <w:t>studentskim</w:t>
            </w:r>
            <w:proofErr w:type="spellEnd"/>
            <w:r w:rsidRPr="00196481">
              <w:rPr>
                <w:rFonts w:ascii="Cambria" w:hAnsi="Cambria" w:cs="Calibri"/>
                <w:lang w:val="it-IT"/>
              </w:rPr>
              <w:t xml:space="preserve"> </w:t>
            </w:r>
            <w:proofErr w:type="spellStart"/>
            <w:r w:rsidRPr="00196481">
              <w:rPr>
                <w:rFonts w:ascii="Cambria" w:hAnsi="Cambria" w:cs="Calibri"/>
                <w:lang w:val="it-IT"/>
              </w:rPr>
              <w:t>obvezama</w:t>
            </w:r>
            <w:proofErr w:type="spellEnd"/>
            <w:r w:rsidRPr="00196481">
              <w:rPr>
                <w:rFonts w:ascii="Cambria" w:hAnsi="Cambria" w:cs="Calibri"/>
                <w:lang w:val="it-IT"/>
              </w:rPr>
              <w:t xml:space="preserve"> i </w:t>
            </w:r>
            <w:proofErr w:type="spellStart"/>
            <w:r w:rsidRPr="00196481">
              <w:rPr>
                <w:rFonts w:ascii="Cambria" w:hAnsi="Cambria" w:cs="Calibri"/>
                <w:lang w:val="it-IT"/>
              </w:rPr>
              <w:t>dostupnoj</w:t>
            </w:r>
            <w:proofErr w:type="spellEnd"/>
            <w:r w:rsidRPr="00196481">
              <w:rPr>
                <w:rFonts w:ascii="Cambria" w:hAnsi="Cambria" w:cs="Calibri"/>
                <w:lang w:val="it-IT"/>
              </w:rPr>
              <w:t xml:space="preserve"> </w:t>
            </w:r>
            <w:proofErr w:type="spellStart"/>
            <w:r w:rsidRPr="00196481">
              <w:rPr>
                <w:rFonts w:ascii="Cambria" w:hAnsi="Cambria" w:cs="Calibri"/>
                <w:lang w:val="it-IT"/>
              </w:rPr>
              <w:t>literaturi</w:t>
            </w:r>
            <w:proofErr w:type="spellEnd"/>
            <w:r w:rsidRPr="00196481">
              <w:rPr>
                <w:rFonts w:ascii="Cambria" w:hAnsi="Cambria" w:cs="Calibri"/>
                <w:lang w:val="it-IT"/>
              </w:rPr>
              <w:t xml:space="preserve">. O tome </w:t>
            </w:r>
            <w:proofErr w:type="spellStart"/>
            <w:r w:rsidRPr="00196481">
              <w:rPr>
                <w:rFonts w:ascii="Cambria" w:hAnsi="Cambria" w:cs="Calibri"/>
                <w:lang w:val="it-IT"/>
              </w:rPr>
              <w:t>će</w:t>
            </w:r>
            <w:proofErr w:type="spellEnd"/>
            <w:r w:rsidRPr="00196481">
              <w:rPr>
                <w:rFonts w:ascii="Cambria" w:hAnsi="Cambria" w:cs="Calibri"/>
                <w:lang w:val="it-IT"/>
              </w:rPr>
              <w:t xml:space="preserve"> </w:t>
            </w:r>
            <w:proofErr w:type="spellStart"/>
            <w:r w:rsidRPr="00196481">
              <w:rPr>
                <w:rFonts w:ascii="Cambria" w:hAnsi="Cambria" w:cs="Calibri"/>
                <w:lang w:val="it-IT"/>
              </w:rPr>
              <w:t>nositeljica</w:t>
            </w:r>
            <w:proofErr w:type="spellEnd"/>
            <w:r w:rsidRPr="00196481">
              <w:rPr>
                <w:rFonts w:ascii="Cambria" w:hAnsi="Cambria" w:cs="Calibri"/>
                <w:lang w:val="it-IT"/>
              </w:rPr>
              <w:t xml:space="preserve"> </w:t>
            </w:r>
            <w:proofErr w:type="spellStart"/>
            <w:r w:rsidRPr="00196481">
              <w:rPr>
                <w:rFonts w:ascii="Cambria" w:hAnsi="Cambria" w:cs="Calibri"/>
                <w:lang w:val="it-IT"/>
              </w:rPr>
              <w:t>kolegija</w:t>
            </w:r>
            <w:proofErr w:type="spellEnd"/>
            <w:r w:rsidRPr="00196481">
              <w:rPr>
                <w:rFonts w:ascii="Cambria" w:hAnsi="Cambria" w:cs="Calibri"/>
                <w:lang w:val="it-IT"/>
              </w:rPr>
              <w:t xml:space="preserve"> i </w:t>
            </w:r>
            <w:proofErr w:type="spellStart"/>
            <w:r>
              <w:rPr>
                <w:rFonts w:ascii="Cambria" w:hAnsi="Cambria" w:cs="Calibri"/>
                <w:lang w:val="it-IT"/>
              </w:rPr>
              <w:t>suradnik</w:t>
            </w:r>
            <w:proofErr w:type="spellEnd"/>
            <w:r>
              <w:rPr>
                <w:rFonts w:ascii="Cambria" w:hAnsi="Cambria" w:cs="Calibri"/>
                <w:lang w:val="it-IT"/>
              </w:rPr>
              <w:t xml:space="preserve"> </w:t>
            </w:r>
            <w:proofErr w:type="spellStart"/>
            <w:r>
              <w:rPr>
                <w:rFonts w:ascii="Cambria" w:hAnsi="Cambria" w:cs="Calibri"/>
                <w:lang w:val="it-IT"/>
              </w:rPr>
              <w:t>o</w:t>
            </w:r>
            <w:r w:rsidRPr="00196481">
              <w:rPr>
                <w:rFonts w:ascii="Cambria" w:hAnsi="Cambria" w:cs="Calibri"/>
                <w:lang w:val="it-IT"/>
              </w:rPr>
              <w:t>bavijestiti</w:t>
            </w:r>
            <w:proofErr w:type="spellEnd"/>
            <w:r w:rsidRPr="00196481">
              <w:rPr>
                <w:rFonts w:ascii="Cambria" w:hAnsi="Cambria" w:cs="Calibri"/>
                <w:lang w:val="it-IT"/>
              </w:rPr>
              <w:t xml:space="preserve"> studente i </w:t>
            </w:r>
            <w:proofErr w:type="spellStart"/>
            <w:r w:rsidRPr="00196481">
              <w:rPr>
                <w:rFonts w:ascii="Cambria" w:hAnsi="Cambria" w:cs="Calibri"/>
                <w:lang w:val="it-IT"/>
              </w:rPr>
              <w:t>studentice</w:t>
            </w:r>
            <w:proofErr w:type="spellEnd"/>
            <w:r w:rsidRPr="00196481">
              <w:rPr>
                <w:rFonts w:ascii="Cambria" w:hAnsi="Cambria" w:cs="Calibri"/>
                <w:lang w:val="it-IT"/>
              </w:rPr>
              <w:t xml:space="preserve"> </w:t>
            </w:r>
            <w:proofErr w:type="spellStart"/>
            <w:r w:rsidRPr="00196481">
              <w:rPr>
                <w:rFonts w:ascii="Cambria" w:hAnsi="Cambria" w:cs="Calibri"/>
                <w:lang w:val="it-IT"/>
              </w:rPr>
              <w:t>kad</w:t>
            </w:r>
            <w:proofErr w:type="spellEnd"/>
            <w:r w:rsidRPr="00196481">
              <w:rPr>
                <w:rFonts w:ascii="Cambria" w:hAnsi="Cambria" w:cs="Calibri"/>
                <w:lang w:val="it-IT"/>
              </w:rPr>
              <w:t xml:space="preserve"> se </w:t>
            </w:r>
            <w:proofErr w:type="spellStart"/>
            <w:r w:rsidRPr="00196481">
              <w:rPr>
                <w:rFonts w:ascii="Cambria" w:hAnsi="Cambria" w:cs="Calibri"/>
                <w:lang w:val="it-IT"/>
              </w:rPr>
              <w:t>nastava</w:t>
            </w:r>
            <w:proofErr w:type="spellEnd"/>
            <w:r w:rsidRPr="00196481">
              <w:rPr>
                <w:rFonts w:ascii="Cambria" w:hAnsi="Cambria" w:cs="Calibri"/>
                <w:lang w:val="it-IT"/>
              </w:rPr>
              <w:t xml:space="preserve"> </w:t>
            </w:r>
            <w:proofErr w:type="spellStart"/>
            <w:r w:rsidRPr="00196481">
              <w:rPr>
                <w:rFonts w:ascii="Cambria" w:hAnsi="Cambria" w:cs="Calibri"/>
                <w:lang w:val="it-IT"/>
              </w:rPr>
              <w:t>na</w:t>
            </w:r>
            <w:proofErr w:type="spellEnd"/>
            <w:r w:rsidRPr="00196481">
              <w:rPr>
                <w:rFonts w:ascii="Cambria" w:hAnsi="Cambria" w:cs="Calibri"/>
                <w:lang w:val="it-IT"/>
              </w:rPr>
              <w:t xml:space="preserve"> </w:t>
            </w:r>
            <w:proofErr w:type="spellStart"/>
            <w:r w:rsidRPr="00196481">
              <w:rPr>
                <w:rFonts w:ascii="Cambria" w:hAnsi="Cambria" w:cs="Calibri"/>
                <w:lang w:val="it-IT"/>
              </w:rPr>
              <w:t>daljinu</w:t>
            </w:r>
            <w:proofErr w:type="spellEnd"/>
            <w:r w:rsidRPr="00196481">
              <w:rPr>
                <w:rFonts w:ascii="Cambria" w:hAnsi="Cambria" w:cs="Calibri"/>
                <w:lang w:val="it-IT"/>
              </w:rPr>
              <w:t xml:space="preserve"> </w:t>
            </w:r>
            <w:proofErr w:type="spellStart"/>
            <w:r w:rsidRPr="00196481">
              <w:rPr>
                <w:rFonts w:ascii="Cambria" w:hAnsi="Cambria" w:cs="Calibri"/>
                <w:lang w:val="it-IT"/>
              </w:rPr>
              <w:t>počne</w:t>
            </w:r>
            <w:proofErr w:type="spellEnd"/>
            <w:r w:rsidRPr="00196481">
              <w:rPr>
                <w:rFonts w:ascii="Cambria" w:hAnsi="Cambria" w:cs="Calibri"/>
                <w:lang w:val="it-IT"/>
              </w:rPr>
              <w:t xml:space="preserve"> </w:t>
            </w:r>
            <w:proofErr w:type="spellStart"/>
            <w:r w:rsidRPr="00196481">
              <w:rPr>
                <w:rFonts w:ascii="Cambria" w:hAnsi="Cambria" w:cs="Calibri"/>
                <w:lang w:val="it-IT"/>
              </w:rPr>
              <w:t>održavati</w:t>
            </w:r>
            <w:proofErr w:type="spellEnd"/>
            <w:r w:rsidRPr="00196481">
              <w:rPr>
                <w:rFonts w:ascii="Cambria" w:hAnsi="Cambria" w:cs="Calibri"/>
                <w:lang w:val="it-IT"/>
              </w:rPr>
              <w:t xml:space="preserve">. </w:t>
            </w:r>
            <w:proofErr w:type="spellStart"/>
            <w:r w:rsidRPr="00196481">
              <w:rPr>
                <w:rFonts w:ascii="Cambria" w:hAnsi="Cambria" w:cs="Calibri"/>
                <w:lang w:val="it-IT"/>
              </w:rPr>
              <w:t>Ishodi</w:t>
            </w:r>
            <w:proofErr w:type="spellEnd"/>
            <w:r w:rsidRPr="00196481">
              <w:rPr>
                <w:rFonts w:ascii="Cambria" w:hAnsi="Cambria" w:cs="Calibri"/>
                <w:lang w:val="it-IT"/>
              </w:rPr>
              <w:t xml:space="preserve"> </w:t>
            </w:r>
            <w:proofErr w:type="spellStart"/>
            <w:r w:rsidRPr="00196481">
              <w:rPr>
                <w:rFonts w:ascii="Cambria" w:hAnsi="Cambria" w:cs="Calibri"/>
                <w:lang w:val="it-IT"/>
              </w:rPr>
              <w:t>učenja</w:t>
            </w:r>
            <w:proofErr w:type="spellEnd"/>
            <w:r w:rsidRPr="00196481">
              <w:rPr>
                <w:rFonts w:ascii="Cambria" w:hAnsi="Cambria" w:cs="Calibri"/>
                <w:lang w:val="it-IT"/>
              </w:rPr>
              <w:t xml:space="preserve"> </w:t>
            </w:r>
            <w:proofErr w:type="spellStart"/>
            <w:r w:rsidRPr="00196481">
              <w:rPr>
                <w:rFonts w:ascii="Cambria" w:hAnsi="Cambria" w:cs="Calibri"/>
                <w:lang w:val="it-IT"/>
              </w:rPr>
              <w:t>ostaju</w:t>
            </w:r>
            <w:proofErr w:type="spellEnd"/>
            <w:r w:rsidRPr="00196481">
              <w:rPr>
                <w:rFonts w:ascii="Cambria" w:hAnsi="Cambria" w:cs="Calibri"/>
                <w:lang w:val="it-IT"/>
              </w:rPr>
              <w:t xml:space="preserve"> </w:t>
            </w:r>
            <w:proofErr w:type="spellStart"/>
            <w:r w:rsidRPr="00196481">
              <w:rPr>
                <w:rFonts w:ascii="Cambria" w:hAnsi="Cambria" w:cs="Calibri"/>
                <w:lang w:val="it-IT"/>
              </w:rPr>
              <w:t>nepromijenjeni</w:t>
            </w:r>
            <w:proofErr w:type="spellEnd"/>
            <w:r w:rsidRPr="00196481">
              <w:rPr>
                <w:rFonts w:ascii="Cambria" w:hAnsi="Cambria" w:cs="Calibri"/>
                <w:lang w:val="it-IT"/>
              </w:rPr>
              <w:t>.</w:t>
            </w:r>
          </w:p>
        </w:tc>
      </w:tr>
      <w:tr w:rsidR="001457BE" w:rsidRPr="00D0399C" w14:paraId="731AA409" w14:textId="77777777" w:rsidTr="00891E8C">
        <w:trPr>
          <w:trHeight w:val="273"/>
        </w:trPr>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CF4BF64" w14:textId="77777777" w:rsidR="001457BE" w:rsidRPr="00DF4CE5" w:rsidRDefault="001457BE" w:rsidP="00891E8C">
            <w:pPr>
              <w:rPr>
                <w:rFonts w:ascii="Cambria" w:hAnsi="Cambria" w:cs="Calibri"/>
              </w:rPr>
            </w:pPr>
            <w:proofErr w:type="spellStart"/>
            <w:r w:rsidRPr="00DF4CE5">
              <w:rPr>
                <w:rFonts w:ascii="Cambria" w:hAnsi="Cambria" w:cs="Calibri"/>
              </w:rPr>
              <w:t>Literatura</w:t>
            </w:r>
            <w:proofErr w:type="spellEnd"/>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045F605C" w14:textId="77777777" w:rsidR="001457BE" w:rsidRPr="00DF4CE5" w:rsidRDefault="001457BE" w:rsidP="00196481">
            <w:pPr>
              <w:spacing w:after="0" w:line="240" w:lineRule="auto"/>
              <w:rPr>
                <w:rFonts w:ascii="Cambria" w:hAnsi="Cambria" w:cs="Calibri"/>
              </w:rPr>
            </w:pPr>
            <w:proofErr w:type="spellStart"/>
            <w:r w:rsidRPr="00DF4CE5">
              <w:rPr>
                <w:rFonts w:ascii="Cambria" w:hAnsi="Cambria" w:cs="Calibri"/>
              </w:rPr>
              <w:t>Obavezna</w:t>
            </w:r>
            <w:proofErr w:type="spellEnd"/>
            <w:r w:rsidRPr="00DF4CE5">
              <w:rPr>
                <w:rFonts w:ascii="Cambria" w:hAnsi="Cambria" w:cs="Calibri"/>
              </w:rPr>
              <w:t>:</w:t>
            </w:r>
          </w:p>
          <w:p w14:paraId="5A0054CE" w14:textId="04ECF250" w:rsidR="001457BE" w:rsidRPr="00DF4CE5" w:rsidRDefault="00196481" w:rsidP="00196481">
            <w:pPr>
              <w:spacing w:after="0" w:line="240" w:lineRule="auto"/>
              <w:rPr>
                <w:rFonts w:ascii="Cambria" w:hAnsi="Cambria" w:cs="Calibri"/>
              </w:rPr>
            </w:pPr>
            <w:r>
              <w:rPr>
                <w:rFonts w:ascii="Cambria" w:hAnsi="Cambria" w:cs="Calibri"/>
              </w:rPr>
              <w:t xml:space="preserve">1. </w:t>
            </w:r>
            <w:proofErr w:type="spellStart"/>
            <w:r w:rsidR="001457BE" w:rsidRPr="00DF4CE5">
              <w:rPr>
                <w:rFonts w:ascii="Cambria" w:hAnsi="Cambria" w:cs="Calibri"/>
              </w:rPr>
              <w:t>eSfera</w:t>
            </w:r>
            <w:proofErr w:type="spellEnd"/>
            <w:r w:rsidR="001457BE" w:rsidRPr="00DF4CE5">
              <w:rPr>
                <w:rFonts w:ascii="Cambria" w:hAnsi="Cambria" w:cs="Calibri"/>
              </w:rPr>
              <w:t xml:space="preserve"> – </w:t>
            </w:r>
            <w:proofErr w:type="spellStart"/>
            <w:r w:rsidR="001457BE" w:rsidRPr="00DF4CE5">
              <w:rPr>
                <w:rFonts w:ascii="Cambria" w:hAnsi="Cambria" w:cs="Calibri"/>
              </w:rPr>
              <w:t>Udžbenici</w:t>
            </w:r>
            <w:proofErr w:type="spellEnd"/>
            <w:r w:rsidR="001457BE" w:rsidRPr="00DF4CE5">
              <w:rPr>
                <w:rFonts w:ascii="Cambria" w:hAnsi="Cambria" w:cs="Calibri"/>
              </w:rPr>
              <w:t xml:space="preserve"> za </w:t>
            </w:r>
            <w:proofErr w:type="spellStart"/>
            <w:proofErr w:type="gramStart"/>
            <w:r w:rsidR="001457BE" w:rsidRPr="00DF4CE5">
              <w:rPr>
                <w:rFonts w:ascii="Cambria" w:hAnsi="Cambria" w:cs="Calibri"/>
              </w:rPr>
              <w:t>nastavnu</w:t>
            </w:r>
            <w:proofErr w:type="spellEnd"/>
            <w:r w:rsidR="001457BE" w:rsidRPr="00DF4CE5">
              <w:rPr>
                <w:rFonts w:ascii="Cambria" w:hAnsi="Cambria" w:cs="Calibri"/>
              </w:rPr>
              <w:t xml:space="preserve">  </w:t>
            </w:r>
            <w:proofErr w:type="spellStart"/>
            <w:r w:rsidR="001457BE" w:rsidRPr="00DF4CE5">
              <w:rPr>
                <w:rFonts w:ascii="Cambria" w:hAnsi="Cambria" w:cs="Calibri"/>
              </w:rPr>
              <w:t>informatike</w:t>
            </w:r>
            <w:proofErr w:type="spellEnd"/>
            <w:proofErr w:type="gramEnd"/>
            <w:r w:rsidR="001457BE" w:rsidRPr="00DF4CE5">
              <w:rPr>
                <w:rFonts w:ascii="Cambria" w:hAnsi="Cambria" w:cs="Calibri"/>
              </w:rPr>
              <w:t xml:space="preserve"> (2020)</w:t>
            </w:r>
            <w:r>
              <w:rPr>
                <w:rFonts w:ascii="Cambria" w:hAnsi="Cambria" w:cs="Calibri"/>
              </w:rPr>
              <w:t>.</w:t>
            </w:r>
            <w:r w:rsidR="001457BE" w:rsidRPr="00DF4CE5">
              <w:rPr>
                <w:rFonts w:ascii="Cambria" w:hAnsi="Cambria" w:cs="Calibri"/>
              </w:rPr>
              <w:t xml:space="preserve"> od 1. </w:t>
            </w:r>
            <w:proofErr w:type="spellStart"/>
            <w:r w:rsidR="001457BE" w:rsidRPr="00DF4CE5">
              <w:rPr>
                <w:rFonts w:ascii="Cambria" w:hAnsi="Cambria" w:cs="Calibri"/>
              </w:rPr>
              <w:t>do</w:t>
            </w:r>
            <w:proofErr w:type="spellEnd"/>
            <w:r w:rsidR="001457BE" w:rsidRPr="00DF4CE5">
              <w:rPr>
                <w:rFonts w:ascii="Cambria" w:hAnsi="Cambria" w:cs="Calibri"/>
              </w:rPr>
              <w:t xml:space="preserve"> 8. </w:t>
            </w:r>
            <w:proofErr w:type="spellStart"/>
            <w:r w:rsidR="001457BE" w:rsidRPr="00DF4CE5">
              <w:rPr>
                <w:rFonts w:ascii="Cambria" w:hAnsi="Cambria" w:cs="Calibri"/>
              </w:rPr>
              <w:t>razreda</w:t>
            </w:r>
            <w:proofErr w:type="spellEnd"/>
            <w:r w:rsidR="001457BE" w:rsidRPr="00DF4CE5">
              <w:rPr>
                <w:rFonts w:ascii="Cambria" w:hAnsi="Cambria" w:cs="Calibri"/>
              </w:rPr>
              <w:t xml:space="preserve"> </w:t>
            </w:r>
            <w:proofErr w:type="spellStart"/>
            <w:r w:rsidR="001457BE" w:rsidRPr="00DF4CE5">
              <w:rPr>
                <w:rFonts w:ascii="Cambria" w:hAnsi="Cambria" w:cs="Calibri"/>
              </w:rPr>
              <w:t>osnovne</w:t>
            </w:r>
            <w:proofErr w:type="spellEnd"/>
            <w:r w:rsidR="001457BE" w:rsidRPr="00DF4CE5">
              <w:rPr>
                <w:rFonts w:ascii="Cambria" w:hAnsi="Cambria" w:cs="Calibri"/>
              </w:rPr>
              <w:t xml:space="preserve"> </w:t>
            </w:r>
            <w:proofErr w:type="spellStart"/>
            <w:r w:rsidR="001457BE" w:rsidRPr="00DF4CE5">
              <w:rPr>
                <w:rFonts w:ascii="Cambria" w:hAnsi="Cambria" w:cs="Calibri"/>
              </w:rPr>
              <w:t>škole</w:t>
            </w:r>
            <w:proofErr w:type="spellEnd"/>
            <w:r w:rsidR="001457BE" w:rsidRPr="00DF4CE5">
              <w:rPr>
                <w:rFonts w:ascii="Cambria" w:hAnsi="Cambria" w:cs="Calibri"/>
              </w:rPr>
              <w:t xml:space="preserve">, </w:t>
            </w:r>
            <w:proofErr w:type="spellStart"/>
            <w:r w:rsidR="001457BE" w:rsidRPr="00DF4CE5">
              <w:rPr>
                <w:rFonts w:ascii="Cambria" w:hAnsi="Cambria" w:cs="Calibri"/>
              </w:rPr>
              <w:t>Školska</w:t>
            </w:r>
            <w:proofErr w:type="spellEnd"/>
            <w:r w:rsidR="001457BE" w:rsidRPr="00DF4CE5">
              <w:rPr>
                <w:rFonts w:ascii="Cambria" w:hAnsi="Cambria" w:cs="Calibri"/>
              </w:rPr>
              <w:t xml:space="preserve"> </w:t>
            </w:r>
            <w:proofErr w:type="spellStart"/>
            <w:r w:rsidR="001457BE" w:rsidRPr="00DF4CE5">
              <w:rPr>
                <w:rFonts w:ascii="Cambria" w:hAnsi="Cambria" w:cs="Calibri"/>
              </w:rPr>
              <w:t>knjiga</w:t>
            </w:r>
            <w:proofErr w:type="spellEnd"/>
          </w:p>
          <w:p w14:paraId="59C24331" w14:textId="77777777" w:rsidR="001457BE" w:rsidRPr="00DF4CE5" w:rsidRDefault="001457BE" w:rsidP="00196481">
            <w:pPr>
              <w:spacing w:after="0" w:line="240" w:lineRule="auto"/>
              <w:rPr>
                <w:rFonts w:ascii="Cambria" w:hAnsi="Cambria" w:cs="Calibri"/>
              </w:rPr>
            </w:pPr>
            <w:proofErr w:type="spellStart"/>
            <w:r w:rsidRPr="00DF4CE5">
              <w:rPr>
                <w:rFonts w:ascii="Cambria" w:hAnsi="Cambria" w:cs="Calibri"/>
              </w:rPr>
              <w:t>Izborna</w:t>
            </w:r>
            <w:proofErr w:type="spellEnd"/>
            <w:r w:rsidRPr="00DF4CE5">
              <w:rPr>
                <w:rFonts w:ascii="Cambria" w:hAnsi="Cambria" w:cs="Calibri"/>
              </w:rPr>
              <w:t xml:space="preserve">: </w:t>
            </w:r>
          </w:p>
          <w:p w14:paraId="0C989F46" w14:textId="2E41126B" w:rsidR="001457BE" w:rsidRPr="00DF4CE5" w:rsidRDefault="00196481" w:rsidP="00196481">
            <w:pPr>
              <w:spacing w:after="0" w:line="240" w:lineRule="auto"/>
              <w:rPr>
                <w:rFonts w:ascii="Cambria" w:hAnsi="Cambria" w:cs="Calibri"/>
              </w:rPr>
            </w:pPr>
            <w:r>
              <w:rPr>
                <w:rFonts w:ascii="Cambria" w:hAnsi="Cambria" w:cs="Calibri"/>
              </w:rPr>
              <w:t xml:space="preserve">1. </w:t>
            </w:r>
            <w:proofErr w:type="spellStart"/>
            <w:r w:rsidR="001457BE" w:rsidRPr="00DF4CE5">
              <w:rPr>
                <w:rFonts w:ascii="Cambria" w:hAnsi="Cambria" w:cs="Calibri"/>
              </w:rPr>
              <w:t>Blagus</w:t>
            </w:r>
            <w:proofErr w:type="spellEnd"/>
            <w:r w:rsidR="001457BE" w:rsidRPr="00DF4CE5">
              <w:rPr>
                <w:rFonts w:ascii="Cambria" w:hAnsi="Cambria" w:cs="Calibri"/>
              </w:rPr>
              <w:t>, J. Sokol, G. (2020)</w:t>
            </w:r>
            <w:r>
              <w:rPr>
                <w:rFonts w:ascii="Cambria" w:hAnsi="Cambria" w:cs="Calibri"/>
              </w:rPr>
              <w:t xml:space="preserve">. </w:t>
            </w:r>
            <w:r w:rsidR="001457BE" w:rsidRPr="00DF4CE5">
              <w:rPr>
                <w:rFonts w:ascii="Cambria" w:hAnsi="Cambria" w:cs="Calibri"/>
              </w:rPr>
              <w:t xml:space="preserve">Minecraft – </w:t>
            </w:r>
            <w:proofErr w:type="spellStart"/>
            <w:r w:rsidR="001457BE" w:rsidRPr="00DF4CE5">
              <w:rPr>
                <w:rFonts w:ascii="Cambria" w:hAnsi="Cambria" w:cs="Calibri"/>
              </w:rPr>
              <w:t>priručnik</w:t>
            </w:r>
            <w:proofErr w:type="spellEnd"/>
            <w:r w:rsidR="001457BE" w:rsidRPr="00DF4CE5">
              <w:rPr>
                <w:rFonts w:ascii="Cambria" w:hAnsi="Cambria" w:cs="Calibri"/>
              </w:rPr>
              <w:t xml:space="preserve"> za </w:t>
            </w:r>
            <w:proofErr w:type="spellStart"/>
            <w:r w:rsidR="001457BE" w:rsidRPr="00DF4CE5">
              <w:rPr>
                <w:rFonts w:ascii="Cambria" w:hAnsi="Cambria" w:cs="Calibri"/>
              </w:rPr>
              <w:t>ućenje</w:t>
            </w:r>
            <w:proofErr w:type="spellEnd"/>
            <w:r w:rsidR="001457BE" w:rsidRPr="00DF4CE5">
              <w:rPr>
                <w:rFonts w:ascii="Cambria" w:hAnsi="Cambria" w:cs="Calibri"/>
              </w:rPr>
              <w:t xml:space="preserve"> </w:t>
            </w:r>
            <w:proofErr w:type="spellStart"/>
            <w:r w:rsidR="001457BE" w:rsidRPr="00DF4CE5">
              <w:rPr>
                <w:rFonts w:ascii="Cambria" w:hAnsi="Cambria" w:cs="Calibri"/>
              </w:rPr>
              <w:t>programiranja</w:t>
            </w:r>
            <w:proofErr w:type="spellEnd"/>
            <w:r w:rsidR="001457BE" w:rsidRPr="00DF4CE5">
              <w:rPr>
                <w:rFonts w:ascii="Cambria" w:hAnsi="Cambria" w:cs="Calibri"/>
              </w:rPr>
              <w:t xml:space="preserve">, </w:t>
            </w:r>
            <w:proofErr w:type="spellStart"/>
            <w:r w:rsidR="001457BE" w:rsidRPr="00DF4CE5">
              <w:rPr>
                <w:rFonts w:ascii="Cambria" w:hAnsi="Cambria" w:cs="Calibri"/>
              </w:rPr>
              <w:t>Školska</w:t>
            </w:r>
            <w:proofErr w:type="spellEnd"/>
            <w:r w:rsidR="001457BE" w:rsidRPr="00DF4CE5">
              <w:rPr>
                <w:rFonts w:ascii="Cambria" w:hAnsi="Cambria" w:cs="Calibri"/>
              </w:rPr>
              <w:t xml:space="preserve"> </w:t>
            </w:r>
            <w:proofErr w:type="spellStart"/>
            <w:r w:rsidR="001457BE" w:rsidRPr="00DF4CE5">
              <w:rPr>
                <w:rFonts w:ascii="Cambria" w:hAnsi="Cambria" w:cs="Calibri"/>
              </w:rPr>
              <w:t>knjiga</w:t>
            </w:r>
            <w:proofErr w:type="spellEnd"/>
          </w:p>
          <w:p w14:paraId="5622E631" w14:textId="15F6313E" w:rsidR="001457BE" w:rsidRPr="00DF4CE5" w:rsidRDefault="00196481" w:rsidP="00196481">
            <w:pPr>
              <w:spacing w:after="0" w:line="240" w:lineRule="auto"/>
              <w:rPr>
                <w:rFonts w:ascii="Cambria" w:hAnsi="Cambria" w:cs="Calibri"/>
                <w:lang w:val="it-IT"/>
              </w:rPr>
            </w:pPr>
            <w:r>
              <w:rPr>
                <w:rFonts w:ascii="Cambria" w:hAnsi="Cambria" w:cs="Calibri"/>
                <w:lang w:val="it-IT"/>
              </w:rPr>
              <w:lastRenderedPageBreak/>
              <w:t xml:space="preserve">2. </w:t>
            </w:r>
            <w:r w:rsidR="001457BE" w:rsidRPr="00DF4CE5">
              <w:rPr>
                <w:rFonts w:ascii="Cambria" w:hAnsi="Cambria" w:cs="Calibri"/>
                <w:lang w:val="it-IT"/>
              </w:rPr>
              <w:t xml:space="preserve">Milanović, T. (2020.) </w:t>
            </w:r>
            <w:proofErr w:type="spellStart"/>
            <w:r w:rsidR="001457BE" w:rsidRPr="00DF4CE5">
              <w:rPr>
                <w:rFonts w:ascii="Cambria" w:hAnsi="Cambria" w:cs="Calibri"/>
                <w:lang w:val="it-IT"/>
              </w:rPr>
              <w:t>Programiranje</w:t>
            </w:r>
            <w:proofErr w:type="spellEnd"/>
            <w:r w:rsidR="001457BE" w:rsidRPr="00DF4CE5">
              <w:rPr>
                <w:rFonts w:ascii="Cambria" w:hAnsi="Cambria" w:cs="Calibri"/>
                <w:lang w:val="it-IT"/>
              </w:rPr>
              <w:t xml:space="preserve"> </w:t>
            </w:r>
            <w:proofErr w:type="spellStart"/>
            <w:r w:rsidR="001457BE" w:rsidRPr="00DF4CE5">
              <w:rPr>
                <w:rFonts w:ascii="Cambria" w:hAnsi="Cambria" w:cs="Calibri"/>
                <w:lang w:val="it-IT"/>
              </w:rPr>
              <w:t>mbota</w:t>
            </w:r>
            <w:proofErr w:type="spellEnd"/>
            <w:r w:rsidR="001457BE" w:rsidRPr="00DF4CE5">
              <w:rPr>
                <w:rFonts w:ascii="Cambria" w:hAnsi="Cambria" w:cs="Calibri"/>
                <w:lang w:val="it-IT"/>
              </w:rPr>
              <w:t xml:space="preserve"> – </w:t>
            </w:r>
            <w:proofErr w:type="spellStart"/>
            <w:r w:rsidR="001457BE" w:rsidRPr="00DF4CE5">
              <w:rPr>
                <w:rFonts w:ascii="Cambria" w:hAnsi="Cambria" w:cs="Calibri"/>
                <w:lang w:val="it-IT"/>
              </w:rPr>
              <w:t>priručnik</w:t>
            </w:r>
            <w:proofErr w:type="spellEnd"/>
            <w:r w:rsidR="001457BE" w:rsidRPr="00DF4CE5">
              <w:rPr>
                <w:rFonts w:ascii="Cambria" w:hAnsi="Cambria" w:cs="Calibri"/>
                <w:lang w:val="it-IT"/>
              </w:rPr>
              <w:t xml:space="preserve"> za </w:t>
            </w:r>
            <w:proofErr w:type="spellStart"/>
            <w:r w:rsidR="001457BE" w:rsidRPr="00DF4CE5">
              <w:rPr>
                <w:rFonts w:ascii="Cambria" w:hAnsi="Cambria" w:cs="Calibri"/>
                <w:lang w:val="it-IT"/>
              </w:rPr>
              <w:t>učenje</w:t>
            </w:r>
            <w:proofErr w:type="spellEnd"/>
            <w:r w:rsidR="001457BE" w:rsidRPr="00DF4CE5">
              <w:rPr>
                <w:rFonts w:ascii="Cambria" w:hAnsi="Cambria" w:cs="Calibri"/>
                <w:lang w:val="it-IT"/>
              </w:rPr>
              <w:t xml:space="preserve"> </w:t>
            </w:r>
            <w:proofErr w:type="spellStart"/>
            <w:r w:rsidR="001457BE" w:rsidRPr="00DF4CE5">
              <w:rPr>
                <w:rFonts w:ascii="Cambria" w:hAnsi="Cambria" w:cs="Calibri"/>
                <w:lang w:val="it-IT"/>
              </w:rPr>
              <w:t>programiranja</w:t>
            </w:r>
            <w:proofErr w:type="spellEnd"/>
          </w:p>
          <w:p w14:paraId="13E5D49F" w14:textId="77777777" w:rsidR="001457BE" w:rsidRPr="00DF4CE5" w:rsidRDefault="001457BE" w:rsidP="00891E8C">
            <w:pPr>
              <w:spacing w:after="120"/>
              <w:rPr>
                <w:rFonts w:ascii="Cambria" w:hAnsi="Cambria" w:cs="Cambria"/>
                <w:lang w:val="it-IT"/>
              </w:rPr>
            </w:pPr>
          </w:p>
        </w:tc>
      </w:tr>
    </w:tbl>
    <w:p w14:paraId="1BD420BF" w14:textId="77777777" w:rsidR="001457BE" w:rsidRPr="00DF4CE5" w:rsidRDefault="001457BE" w:rsidP="008B34AF">
      <w:pPr>
        <w:jc w:val="both"/>
        <w:rPr>
          <w:rFonts w:ascii="Cambria" w:hAnsi="Cambria"/>
          <w:lang w:val="hr-HR"/>
        </w:rPr>
      </w:pPr>
    </w:p>
    <w:p w14:paraId="0F83C45D" w14:textId="77777777" w:rsidR="0014341A" w:rsidRPr="00DF4CE5" w:rsidRDefault="0014341A" w:rsidP="008B34AF">
      <w:pPr>
        <w:jc w:val="both"/>
        <w:rPr>
          <w:rFonts w:ascii="Cambria" w:hAnsi="Cambria"/>
          <w:lang w:val="hr-HR"/>
        </w:rPr>
      </w:pPr>
    </w:p>
    <w:p w14:paraId="4D10E340" w14:textId="77777777" w:rsidR="0014341A" w:rsidRPr="00DF4CE5" w:rsidRDefault="0014341A" w:rsidP="008B34AF">
      <w:pPr>
        <w:jc w:val="both"/>
        <w:rPr>
          <w:rFonts w:ascii="Cambria" w:hAnsi="Cambria"/>
          <w:lang w:val="hr-HR"/>
        </w:rPr>
      </w:pPr>
    </w:p>
    <w:p w14:paraId="1BEAE252" w14:textId="77777777" w:rsidR="0014341A" w:rsidRPr="00DF4CE5" w:rsidRDefault="0014341A" w:rsidP="008B34AF">
      <w:pPr>
        <w:jc w:val="both"/>
        <w:rPr>
          <w:rFonts w:ascii="Cambria" w:hAnsi="Cambria"/>
          <w:lang w:val="hr-HR"/>
        </w:rPr>
      </w:pPr>
    </w:p>
    <w:p w14:paraId="1CF935FD" w14:textId="77777777" w:rsidR="0014341A" w:rsidRPr="00DF4CE5" w:rsidRDefault="0014341A" w:rsidP="008B34AF">
      <w:pPr>
        <w:jc w:val="both"/>
        <w:rPr>
          <w:rFonts w:ascii="Cambria" w:hAnsi="Cambria"/>
          <w:lang w:val="hr-HR"/>
        </w:rPr>
      </w:pPr>
    </w:p>
    <w:p w14:paraId="1F98E85B" w14:textId="77777777" w:rsidR="00C106A0" w:rsidRPr="00DF4CE5" w:rsidRDefault="00C106A0" w:rsidP="008B34AF">
      <w:pPr>
        <w:jc w:val="both"/>
        <w:rPr>
          <w:rFonts w:ascii="Cambria" w:hAnsi="Cambria"/>
          <w:lang w:val="hr-HR"/>
        </w:rPr>
      </w:pPr>
    </w:p>
    <w:p w14:paraId="48169C70" w14:textId="77777777" w:rsidR="00C106A0" w:rsidRPr="00DF4CE5" w:rsidRDefault="00C106A0" w:rsidP="008B34AF">
      <w:pPr>
        <w:jc w:val="both"/>
        <w:rPr>
          <w:rFonts w:ascii="Cambria" w:hAnsi="Cambria"/>
          <w:lang w:val="hr-HR"/>
        </w:rPr>
      </w:pPr>
    </w:p>
    <w:p w14:paraId="267C4310" w14:textId="77777777" w:rsidR="00C106A0" w:rsidRPr="00DF4CE5" w:rsidRDefault="00C106A0" w:rsidP="008B34AF">
      <w:pPr>
        <w:jc w:val="both"/>
        <w:rPr>
          <w:rFonts w:ascii="Cambria" w:hAnsi="Cambria"/>
          <w:lang w:val="hr-HR"/>
        </w:rPr>
      </w:pPr>
    </w:p>
    <w:p w14:paraId="08259681" w14:textId="77777777" w:rsidR="00C106A0" w:rsidRPr="00DF4CE5" w:rsidRDefault="00C106A0" w:rsidP="008B34AF">
      <w:pPr>
        <w:jc w:val="both"/>
        <w:rPr>
          <w:rFonts w:ascii="Cambria" w:hAnsi="Cambria"/>
          <w:lang w:val="hr-HR"/>
        </w:rPr>
      </w:pPr>
    </w:p>
    <w:p w14:paraId="250B969A" w14:textId="77777777" w:rsidR="00C106A0" w:rsidRPr="00DF4CE5" w:rsidRDefault="00C106A0" w:rsidP="008B34AF">
      <w:pPr>
        <w:jc w:val="both"/>
        <w:rPr>
          <w:rFonts w:ascii="Cambria" w:hAnsi="Cambria"/>
          <w:lang w:val="hr-HR"/>
        </w:rPr>
      </w:pPr>
    </w:p>
    <w:p w14:paraId="489D4D37" w14:textId="77777777" w:rsidR="00C106A0" w:rsidRPr="00DF4CE5" w:rsidRDefault="00C106A0" w:rsidP="008B34AF">
      <w:pPr>
        <w:jc w:val="both"/>
        <w:rPr>
          <w:rFonts w:ascii="Cambria" w:hAnsi="Cambria"/>
          <w:lang w:val="hr-HR"/>
        </w:rPr>
      </w:pPr>
    </w:p>
    <w:p w14:paraId="55A80475" w14:textId="77777777" w:rsidR="00C106A0" w:rsidRPr="00DF4CE5" w:rsidRDefault="00C106A0" w:rsidP="008B34AF">
      <w:pPr>
        <w:jc w:val="both"/>
        <w:rPr>
          <w:rFonts w:ascii="Cambria" w:hAnsi="Cambria"/>
          <w:lang w:val="hr-HR"/>
        </w:rPr>
      </w:pPr>
    </w:p>
    <w:p w14:paraId="29BFCF4D" w14:textId="77777777" w:rsidR="00C106A0" w:rsidRPr="00DF4CE5" w:rsidRDefault="00C106A0" w:rsidP="008B34AF">
      <w:pPr>
        <w:jc w:val="both"/>
        <w:rPr>
          <w:rFonts w:ascii="Cambria" w:hAnsi="Cambria"/>
          <w:lang w:val="hr-HR"/>
        </w:rPr>
      </w:pPr>
    </w:p>
    <w:p w14:paraId="3E808BCC" w14:textId="77777777" w:rsidR="00C106A0" w:rsidRPr="00DF4CE5" w:rsidRDefault="00C106A0" w:rsidP="008B34AF">
      <w:pPr>
        <w:jc w:val="both"/>
        <w:rPr>
          <w:rFonts w:ascii="Cambria" w:hAnsi="Cambria"/>
          <w:lang w:val="hr-HR"/>
        </w:rPr>
      </w:pPr>
    </w:p>
    <w:p w14:paraId="470670C6" w14:textId="43F34634" w:rsidR="00AF0D71" w:rsidRDefault="00AF0D71">
      <w:pPr>
        <w:rPr>
          <w:rFonts w:ascii="Cambria" w:hAnsi="Cambria"/>
          <w:lang w:val="hr-HR"/>
        </w:rPr>
      </w:pPr>
      <w:r>
        <w:rPr>
          <w:rFonts w:ascii="Cambria" w:hAnsi="Cambria"/>
          <w:lang w:val="hr-HR"/>
        </w:rPr>
        <w:br w:type="page"/>
      </w:r>
    </w:p>
    <w:p w14:paraId="66D9144D" w14:textId="77777777" w:rsidR="0014341A" w:rsidRPr="00DF4CE5" w:rsidRDefault="0014341A" w:rsidP="008B34AF">
      <w:pPr>
        <w:jc w:val="both"/>
        <w:rPr>
          <w:rFonts w:ascii="Cambria" w:hAnsi="Cambria"/>
          <w:lang w:val="hr-HR"/>
        </w:rPr>
      </w:pPr>
    </w:p>
    <w:tbl>
      <w:tblPr>
        <w:tblW w:w="5000" w:type="pct"/>
        <w:tblLayout w:type="fixed"/>
        <w:tblCellMar>
          <w:left w:w="0" w:type="dxa"/>
          <w:right w:w="0" w:type="dxa"/>
        </w:tblCellMar>
        <w:tblLook w:val="0600" w:firstRow="0" w:lastRow="0" w:firstColumn="0" w:lastColumn="0" w:noHBand="1" w:noVBand="1"/>
      </w:tblPr>
      <w:tblGrid>
        <w:gridCol w:w="2623"/>
        <w:gridCol w:w="2487"/>
        <w:gridCol w:w="98"/>
        <w:gridCol w:w="1088"/>
        <w:gridCol w:w="277"/>
        <w:gridCol w:w="438"/>
        <w:gridCol w:w="1011"/>
        <w:gridCol w:w="1318"/>
      </w:tblGrid>
      <w:tr w:rsidR="00FE4704" w:rsidRPr="00DF4CE5" w14:paraId="1981EE1C" w14:textId="77777777" w:rsidTr="00E93B72">
        <w:tc>
          <w:tcPr>
            <w:tcW w:w="9340"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3387F8C" w14:textId="77777777" w:rsidR="00FE4704" w:rsidRPr="00DF4CE5" w:rsidRDefault="00FE4704" w:rsidP="00891E8C">
            <w:pPr>
              <w:jc w:val="right"/>
              <w:rPr>
                <w:rFonts w:ascii="Cambria" w:hAnsi="Cambria" w:cs="Calibri"/>
                <w:b/>
              </w:rPr>
            </w:pPr>
            <w:r w:rsidRPr="00DF4CE5">
              <w:rPr>
                <w:rFonts w:ascii="Cambria" w:hAnsi="Cambria" w:cs="Calibri"/>
                <w:b/>
              </w:rPr>
              <w:t>IZVEDBENI PLAN NASTAVE KOLEGIJA</w:t>
            </w:r>
          </w:p>
        </w:tc>
      </w:tr>
      <w:tr w:rsidR="00FE4704" w:rsidRPr="00DF4CE5" w14:paraId="058CDD9B" w14:textId="77777777" w:rsidTr="00E93B72">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8987041" w14:textId="77777777" w:rsidR="00FE4704" w:rsidRPr="00DF4CE5" w:rsidRDefault="00FE4704" w:rsidP="001974E1">
            <w:pPr>
              <w:spacing w:after="0"/>
              <w:rPr>
                <w:rFonts w:ascii="Cambria" w:hAnsi="Cambria" w:cs="Calibri"/>
              </w:rPr>
            </w:pPr>
            <w:proofErr w:type="spellStart"/>
            <w:r w:rsidRPr="00DF4CE5">
              <w:rPr>
                <w:rFonts w:ascii="Cambria" w:hAnsi="Cambria" w:cs="Calibri"/>
              </w:rPr>
              <w:t>Kod</w:t>
            </w:r>
            <w:proofErr w:type="spellEnd"/>
            <w:r w:rsidRPr="00DF4CE5">
              <w:rPr>
                <w:rFonts w:ascii="Cambria" w:hAnsi="Cambria" w:cs="Calibri"/>
              </w:rPr>
              <w:t xml:space="preserve"> </w:t>
            </w:r>
            <w:proofErr w:type="spellStart"/>
            <w:r w:rsidRPr="00DF4CE5">
              <w:rPr>
                <w:rFonts w:ascii="Cambria" w:hAnsi="Cambria" w:cs="Calibri"/>
              </w:rPr>
              <w:t>i</w:t>
            </w:r>
            <w:proofErr w:type="spellEnd"/>
            <w:r w:rsidRPr="00DF4CE5">
              <w:rPr>
                <w:rFonts w:ascii="Cambria" w:hAnsi="Cambria" w:cs="Calibri"/>
              </w:rPr>
              <w:t xml:space="preserve"> </w:t>
            </w:r>
            <w:proofErr w:type="spellStart"/>
            <w:r w:rsidRPr="00DF4CE5">
              <w:rPr>
                <w:rFonts w:ascii="Cambria" w:hAnsi="Cambria" w:cs="Calibri"/>
              </w:rPr>
              <w:t>naziv</w:t>
            </w:r>
            <w:proofErr w:type="spellEnd"/>
            <w:r w:rsidRPr="00DF4CE5">
              <w:rPr>
                <w:rFonts w:ascii="Cambria" w:hAnsi="Cambria" w:cs="Calibri"/>
              </w:rPr>
              <w:t xml:space="preserve"> </w:t>
            </w:r>
            <w:proofErr w:type="spellStart"/>
            <w:r w:rsidRPr="00DF4CE5">
              <w:rPr>
                <w:rFonts w:ascii="Cambria" w:hAnsi="Cambria" w:cs="Calibri"/>
              </w:rPr>
              <w:t>kolegija</w:t>
            </w:r>
            <w:proofErr w:type="spellEnd"/>
          </w:p>
        </w:tc>
        <w:tc>
          <w:tcPr>
            <w:tcW w:w="671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B173D69" w14:textId="422114E4" w:rsidR="00FE4704" w:rsidRPr="00DF4CE5" w:rsidRDefault="00FE4704" w:rsidP="001974E1">
            <w:pPr>
              <w:pStyle w:val="Default"/>
              <w:rPr>
                <w:rFonts w:ascii="Cambria" w:hAnsi="Cambria"/>
                <w:sz w:val="22"/>
                <w:szCs w:val="22"/>
              </w:rPr>
            </w:pPr>
            <w:r w:rsidRPr="00DF4CE5">
              <w:rPr>
                <w:rFonts w:ascii="Cambria" w:hAnsi="Cambria"/>
                <w:sz w:val="22"/>
                <w:szCs w:val="22"/>
              </w:rPr>
              <w:t xml:space="preserve">118959 </w:t>
            </w:r>
          </w:p>
          <w:p w14:paraId="459BD024" w14:textId="77777777" w:rsidR="00FE4704" w:rsidRPr="00DF4CE5" w:rsidRDefault="00FE4704" w:rsidP="001974E1">
            <w:pPr>
              <w:spacing w:after="0"/>
              <w:rPr>
                <w:rFonts w:ascii="Cambria" w:hAnsi="Cambria" w:cs="Calibri"/>
              </w:rPr>
            </w:pPr>
            <w:proofErr w:type="spellStart"/>
            <w:r w:rsidRPr="00DF4CE5">
              <w:rPr>
                <w:rFonts w:ascii="Cambria" w:hAnsi="Cambria"/>
              </w:rPr>
              <w:t>Računalni</w:t>
            </w:r>
            <w:proofErr w:type="spellEnd"/>
            <w:r w:rsidRPr="00DF4CE5">
              <w:rPr>
                <w:rFonts w:ascii="Cambria" w:hAnsi="Cambria"/>
              </w:rPr>
              <w:t xml:space="preserve"> </w:t>
            </w:r>
            <w:proofErr w:type="spellStart"/>
            <w:r w:rsidRPr="00DF4CE5">
              <w:rPr>
                <w:rFonts w:ascii="Cambria" w:hAnsi="Cambria"/>
              </w:rPr>
              <w:t>praktikum</w:t>
            </w:r>
            <w:proofErr w:type="spellEnd"/>
          </w:p>
        </w:tc>
      </w:tr>
      <w:tr w:rsidR="00FE4704" w:rsidRPr="00DF4CE5" w14:paraId="3D8EADE0" w14:textId="77777777" w:rsidTr="00E93B72">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81E45B3" w14:textId="77777777" w:rsidR="00FE4704" w:rsidRPr="00DF4CE5" w:rsidRDefault="00FE4704" w:rsidP="001974E1">
            <w:pPr>
              <w:spacing w:after="0"/>
              <w:rPr>
                <w:rFonts w:ascii="Cambria" w:hAnsi="Cambria" w:cs="Calibri"/>
              </w:rPr>
            </w:pPr>
            <w:proofErr w:type="spellStart"/>
            <w:r w:rsidRPr="00DF4CE5">
              <w:rPr>
                <w:rFonts w:ascii="Cambria" w:hAnsi="Cambria" w:cs="Calibri"/>
              </w:rPr>
              <w:t>Nastavnica</w:t>
            </w:r>
            <w:proofErr w:type="spellEnd"/>
            <w:r w:rsidRPr="00DF4CE5">
              <w:rPr>
                <w:rFonts w:ascii="Cambria" w:hAnsi="Cambria" w:cs="Calibri"/>
              </w:rPr>
              <w:t xml:space="preserve"> </w:t>
            </w:r>
          </w:p>
          <w:p w14:paraId="0C6494F6" w14:textId="77777777" w:rsidR="00FE4704" w:rsidRPr="00DF4CE5" w:rsidRDefault="00FE4704" w:rsidP="001974E1">
            <w:pPr>
              <w:spacing w:after="0"/>
              <w:rPr>
                <w:rFonts w:ascii="Cambria" w:hAnsi="Cambria" w:cs="Calibri"/>
              </w:rPr>
            </w:pPr>
            <w:proofErr w:type="spellStart"/>
            <w:r w:rsidRPr="00DF4CE5">
              <w:rPr>
                <w:rFonts w:ascii="Cambria" w:hAnsi="Cambria" w:cs="Calibri"/>
              </w:rPr>
              <w:t>Suradnik</w:t>
            </w:r>
            <w:proofErr w:type="spellEnd"/>
          </w:p>
        </w:tc>
        <w:tc>
          <w:tcPr>
            <w:tcW w:w="671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5640068" w14:textId="1C4527C6" w:rsidR="00AF0D71" w:rsidRPr="00727BE6" w:rsidRDefault="00727BE6" w:rsidP="001974E1">
            <w:pPr>
              <w:spacing w:after="0"/>
              <w:rPr>
                <w:rFonts w:ascii="Cambria" w:hAnsi="Cambria"/>
              </w:rPr>
            </w:pPr>
            <w:hyperlink r:id="rId174" w:history="1">
              <w:proofErr w:type="spellStart"/>
              <w:r w:rsidRPr="00727BE6">
                <w:rPr>
                  <w:rStyle w:val="Hiperveza"/>
                  <w:rFonts w:ascii="Cambria" w:hAnsi="Cambria"/>
                </w:rPr>
                <w:t>Naslovna</w:t>
              </w:r>
              <w:proofErr w:type="spellEnd"/>
              <w:r w:rsidRPr="00727BE6">
                <w:rPr>
                  <w:rStyle w:val="Hiperveza"/>
                  <w:rFonts w:ascii="Cambria" w:hAnsi="Cambria"/>
                </w:rPr>
                <w:t xml:space="preserve"> doc. dr. sc. Elena Krelja Kurelović</w:t>
              </w:r>
            </w:hyperlink>
            <w:r w:rsidRPr="00727BE6">
              <w:t xml:space="preserve"> </w:t>
            </w:r>
            <w:r w:rsidR="00AF0D71" w:rsidRPr="00727BE6">
              <w:rPr>
                <w:rFonts w:ascii="Cambria" w:hAnsi="Cambria"/>
              </w:rPr>
              <w:t>(</w:t>
            </w:r>
            <w:proofErr w:type="spellStart"/>
            <w:r w:rsidR="00AF0D71" w:rsidRPr="00727BE6">
              <w:rPr>
                <w:rFonts w:ascii="Cambria" w:hAnsi="Cambria"/>
              </w:rPr>
              <w:t>nositeljica</w:t>
            </w:r>
            <w:proofErr w:type="spellEnd"/>
            <w:r w:rsidR="00AF0D71" w:rsidRPr="00727BE6">
              <w:rPr>
                <w:rFonts w:ascii="Cambria" w:hAnsi="Cambria"/>
              </w:rPr>
              <w:t>)</w:t>
            </w:r>
          </w:p>
          <w:p w14:paraId="09B345F0" w14:textId="30ECBEE4" w:rsidR="00FE4704" w:rsidRPr="00DF4CE5" w:rsidRDefault="00FE4704" w:rsidP="001974E1">
            <w:pPr>
              <w:spacing w:after="0"/>
              <w:rPr>
                <w:rFonts w:ascii="Cambria" w:hAnsi="Cambria" w:cs="Calibri"/>
              </w:rPr>
            </w:pPr>
            <w:hyperlink r:id="rId175" w:history="1">
              <w:r w:rsidRPr="00DF4CE5">
                <w:rPr>
                  <w:rStyle w:val="Hiperveza"/>
                  <w:rFonts w:ascii="Cambria" w:hAnsi="Cambria" w:cs="Calibri"/>
                </w:rPr>
                <w:t xml:space="preserve">Janko Žufić, </w:t>
              </w:r>
              <w:proofErr w:type="spellStart"/>
              <w:r w:rsidRPr="00DF4CE5">
                <w:rPr>
                  <w:rStyle w:val="Hiperveza"/>
                  <w:rFonts w:ascii="Cambria" w:hAnsi="Cambria" w:cs="Calibri"/>
                </w:rPr>
                <w:t>viši</w:t>
              </w:r>
              <w:proofErr w:type="spellEnd"/>
              <w:r w:rsidRPr="00DF4CE5">
                <w:rPr>
                  <w:rStyle w:val="Hiperveza"/>
                  <w:rFonts w:ascii="Cambria" w:hAnsi="Cambria" w:cs="Calibri"/>
                </w:rPr>
                <w:t xml:space="preserve"> </w:t>
              </w:r>
              <w:proofErr w:type="spellStart"/>
              <w:r w:rsidRPr="00DF4CE5">
                <w:rPr>
                  <w:rStyle w:val="Hiperveza"/>
                  <w:rFonts w:ascii="Cambria" w:hAnsi="Cambria" w:cs="Calibri"/>
                </w:rPr>
                <w:t>predavač</w:t>
              </w:r>
              <w:proofErr w:type="spellEnd"/>
            </w:hyperlink>
          </w:p>
        </w:tc>
      </w:tr>
      <w:tr w:rsidR="00FE4704" w:rsidRPr="00D0399C" w14:paraId="52D8109C" w14:textId="77777777" w:rsidTr="00E93B72">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5B1523A" w14:textId="77777777" w:rsidR="00FE4704" w:rsidRPr="00DF4CE5" w:rsidRDefault="00FE4704" w:rsidP="001974E1">
            <w:pPr>
              <w:spacing w:after="0"/>
              <w:rPr>
                <w:rFonts w:ascii="Cambria" w:hAnsi="Cambria" w:cs="Calibri"/>
              </w:rPr>
            </w:pPr>
            <w:proofErr w:type="spellStart"/>
            <w:r w:rsidRPr="00DF4CE5">
              <w:rPr>
                <w:rFonts w:ascii="Cambria" w:hAnsi="Cambria" w:cs="Calibri"/>
              </w:rPr>
              <w:t>Studijski</w:t>
            </w:r>
            <w:proofErr w:type="spellEnd"/>
            <w:r w:rsidRPr="00DF4CE5">
              <w:rPr>
                <w:rFonts w:ascii="Cambria" w:hAnsi="Cambria" w:cs="Calibri"/>
              </w:rPr>
              <w:t xml:space="preserve"> program</w:t>
            </w:r>
          </w:p>
        </w:tc>
        <w:tc>
          <w:tcPr>
            <w:tcW w:w="671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EAC4B79" w14:textId="7F4F8639" w:rsidR="00FE4704" w:rsidRPr="00DF4CE5" w:rsidRDefault="00196481" w:rsidP="001974E1">
            <w:pPr>
              <w:spacing w:after="0"/>
              <w:rPr>
                <w:rFonts w:ascii="Cambria" w:hAnsi="Cambria" w:cs="Calibri"/>
                <w:lang w:val="it-IT"/>
              </w:rPr>
            </w:pPr>
            <w:proofErr w:type="spellStart"/>
            <w:r w:rsidRPr="00196481">
              <w:rPr>
                <w:rFonts w:ascii="Cambria" w:hAnsi="Cambria" w:cs="Calibri"/>
                <w:lang w:val="it-IT"/>
              </w:rPr>
              <w:t>Sv</w:t>
            </w:r>
            <w:r>
              <w:rPr>
                <w:rFonts w:ascii="Cambria" w:hAnsi="Cambria" w:cs="Calibri"/>
                <w:lang w:val="it-IT"/>
              </w:rPr>
              <w:t>eučilišni</w:t>
            </w:r>
            <w:proofErr w:type="spellEnd"/>
            <w:r>
              <w:rPr>
                <w:rFonts w:ascii="Cambria" w:hAnsi="Cambria" w:cs="Calibri"/>
                <w:lang w:val="it-IT"/>
              </w:rPr>
              <w:t xml:space="preserve"> </w:t>
            </w:r>
            <w:proofErr w:type="spellStart"/>
            <w:r>
              <w:rPr>
                <w:rFonts w:ascii="Cambria" w:hAnsi="Cambria" w:cs="Calibri"/>
                <w:lang w:val="it-IT"/>
              </w:rPr>
              <w:t>i</w:t>
            </w:r>
            <w:r w:rsidR="00FE4704" w:rsidRPr="00DF4CE5">
              <w:rPr>
                <w:rFonts w:ascii="Cambria" w:hAnsi="Cambria" w:cs="Calibri"/>
                <w:lang w:val="it-IT"/>
              </w:rPr>
              <w:t>ntegrirani</w:t>
            </w:r>
            <w:proofErr w:type="spellEnd"/>
            <w:r w:rsidR="00FE4704" w:rsidRPr="00DF4CE5">
              <w:rPr>
                <w:rFonts w:ascii="Cambria" w:hAnsi="Cambria" w:cs="Calibri"/>
                <w:lang w:val="it-IT"/>
              </w:rPr>
              <w:t xml:space="preserve"> </w:t>
            </w:r>
            <w:proofErr w:type="spellStart"/>
            <w:r w:rsidR="00FE4704" w:rsidRPr="00DF4CE5">
              <w:rPr>
                <w:rFonts w:ascii="Cambria" w:hAnsi="Cambria" w:cs="Calibri"/>
                <w:lang w:val="it-IT"/>
              </w:rPr>
              <w:t>preddiplomski</w:t>
            </w:r>
            <w:proofErr w:type="spellEnd"/>
            <w:r w:rsidR="00FE4704" w:rsidRPr="00DF4CE5">
              <w:rPr>
                <w:rFonts w:ascii="Cambria" w:hAnsi="Cambria" w:cs="Calibri"/>
                <w:lang w:val="it-IT"/>
              </w:rPr>
              <w:t xml:space="preserve"> i </w:t>
            </w:r>
            <w:proofErr w:type="spellStart"/>
            <w:r w:rsidR="00FE4704" w:rsidRPr="00DF4CE5">
              <w:rPr>
                <w:rFonts w:ascii="Cambria" w:hAnsi="Cambria" w:cs="Calibri"/>
                <w:lang w:val="it-IT"/>
              </w:rPr>
              <w:t>diplomski</w:t>
            </w:r>
            <w:proofErr w:type="spellEnd"/>
            <w:r w:rsidR="00FE4704" w:rsidRPr="00DF4CE5">
              <w:rPr>
                <w:rFonts w:ascii="Cambria" w:hAnsi="Cambria" w:cs="Calibri"/>
                <w:lang w:val="it-IT"/>
              </w:rPr>
              <w:t xml:space="preserve"> </w:t>
            </w:r>
            <w:proofErr w:type="spellStart"/>
            <w:r w:rsidR="00FE4704" w:rsidRPr="00DF4CE5">
              <w:rPr>
                <w:rFonts w:ascii="Cambria" w:hAnsi="Cambria" w:cs="Calibri"/>
                <w:lang w:val="it-IT"/>
              </w:rPr>
              <w:t>sveučilišni</w:t>
            </w:r>
            <w:proofErr w:type="spellEnd"/>
            <w:r w:rsidR="00FE4704" w:rsidRPr="00DF4CE5">
              <w:rPr>
                <w:rFonts w:ascii="Cambria" w:hAnsi="Cambria" w:cs="Calibri"/>
                <w:lang w:val="it-IT"/>
              </w:rPr>
              <w:t xml:space="preserve"> </w:t>
            </w:r>
            <w:proofErr w:type="spellStart"/>
            <w:r w:rsidR="00FE4704" w:rsidRPr="00DF4CE5">
              <w:rPr>
                <w:rFonts w:ascii="Cambria" w:hAnsi="Cambria" w:cs="Calibri"/>
                <w:lang w:val="it-IT"/>
              </w:rPr>
              <w:t>učiteljski</w:t>
            </w:r>
            <w:proofErr w:type="spellEnd"/>
            <w:r w:rsidR="00FE4704" w:rsidRPr="00DF4CE5">
              <w:rPr>
                <w:rFonts w:ascii="Cambria" w:hAnsi="Cambria" w:cs="Calibri"/>
                <w:lang w:val="it-IT"/>
              </w:rPr>
              <w:t xml:space="preserve"> </w:t>
            </w:r>
            <w:proofErr w:type="spellStart"/>
            <w:r w:rsidR="00FE4704" w:rsidRPr="00DF4CE5">
              <w:rPr>
                <w:rFonts w:ascii="Cambria" w:hAnsi="Cambria" w:cs="Calibri"/>
                <w:lang w:val="it-IT"/>
              </w:rPr>
              <w:t>studij</w:t>
            </w:r>
            <w:proofErr w:type="spellEnd"/>
          </w:p>
        </w:tc>
      </w:tr>
      <w:tr w:rsidR="00FE4704" w:rsidRPr="00DF4CE5" w14:paraId="647B0F89" w14:textId="77777777" w:rsidTr="00E93B72">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6021E97" w14:textId="77777777" w:rsidR="00FE4704" w:rsidRPr="00DF4CE5" w:rsidRDefault="00FE4704" w:rsidP="001974E1">
            <w:pPr>
              <w:spacing w:after="0"/>
              <w:rPr>
                <w:rFonts w:ascii="Cambria" w:hAnsi="Cambria" w:cs="Calibri"/>
              </w:rPr>
            </w:pPr>
            <w:proofErr w:type="spellStart"/>
            <w:r w:rsidRPr="00DF4CE5">
              <w:rPr>
                <w:rFonts w:ascii="Cambria" w:hAnsi="Cambria" w:cs="Calibri"/>
              </w:rPr>
              <w:t>Vrsta</w:t>
            </w:r>
            <w:proofErr w:type="spellEnd"/>
            <w:r w:rsidRPr="00DF4CE5">
              <w:rPr>
                <w:rFonts w:ascii="Cambria" w:hAnsi="Cambria" w:cs="Calibri"/>
              </w:rPr>
              <w:t xml:space="preserve"> </w:t>
            </w:r>
            <w:proofErr w:type="spellStart"/>
            <w:r w:rsidRPr="00DF4CE5">
              <w:rPr>
                <w:rFonts w:ascii="Cambria" w:hAnsi="Cambria" w:cs="Calibri"/>
              </w:rPr>
              <w:t>kolegija</w:t>
            </w:r>
            <w:proofErr w:type="spellEnd"/>
          </w:p>
        </w:tc>
        <w:tc>
          <w:tcPr>
            <w:tcW w:w="248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A5C729A" w14:textId="77777777" w:rsidR="00FE4704" w:rsidRPr="00DF4CE5" w:rsidRDefault="00FE4704" w:rsidP="001974E1">
            <w:pPr>
              <w:spacing w:after="0"/>
              <w:rPr>
                <w:rFonts w:ascii="Cambria" w:hAnsi="Cambria" w:cs="Calibri"/>
              </w:rPr>
            </w:pPr>
            <w:proofErr w:type="spellStart"/>
            <w:r w:rsidRPr="00DF4CE5">
              <w:rPr>
                <w:rFonts w:ascii="Cambria" w:hAnsi="Cambria" w:cs="Calibri"/>
              </w:rPr>
              <w:t>obvezan</w:t>
            </w:r>
            <w:proofErr w:type="spellEnd"/>
          </w:p>
        </w:tc>
        <w:tc>
          <w:tcPr>
            <w:tcW w:w="146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27A55F6E" w14:textId="77777777" w:rsidR="00FE4704" w:rsidRPr="00DF4CE5" w:rsidRDefault="00FE4704" w:rsidP="001974E1">
            <w:pPr>
              <w:spacing w:after="0"/>
              <w:rPr>
                <w:rFonts w:ascii="Cambria" w:hAnsi="Cambria" w:cs="Calibri"/>
              </w:rPr>
            </w:pPr>
            <w:r w:rsidRPr="00DF4CE5">
              <w:rPr>
                <w:rFonts w:ascii="Cambria" w:hAnsi="Cambria" w:cs="Calibri"/>
              </w:rPr>
              <w:t xml:space="preserve">Razina </w:t>
            </w:r>
            <w:proofErr w:type="spellStart"/>
            <w:r w:rsidRPr="00DF4CE5">
              <w:rPr>
                <w:rFonts w:ascii="Cambria" w:hAnsi="Cambria" w:cs="Calibri"/>
              </w:rPr>
              <w:t>kolegija</w:t>
            </w:r>
            <w:proofErr w:type="spellEnd"/>
          </w:p>
        </w:tc>
        <w:tc>
          <w:tcPr>
            <w:tcW w:w="2767"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E4ABE81" w14:textId="77777777" w:rsidR="00FE4704" w:rsidRPr="00DF4CE5" w:rsidRDefault="00FE4704" w:rsidP="001974E1">
            <w:pPr>
              <w:spacing w:after="0"/>
              <w:rPr>
                <w:rFonts w:ascii="Cambria" w:hAnsi="Cambria" w:cs="Calibri"/>
              </w:rPr>
            </w:pPr>
            <w:proofErr w:type="spellStart"/>
            <w:r w:rsidRPr="00DF4CE5">
              <w:rPr>
                <w:rFonts w:ascii="Cambria" w:hAnsi="Cambria" w:cs="Calibri"/>
                <w:lang w:val="de-DE"/>
              </w:rPr>
              <w:t>integrirani</w:t>
            </w:r>
            <w:proofErr w:type="spellEnd"/>
          </w:p>
        </w:tc>
      </w:tr>
      <w:tr w:rsidR="00FE4704" w:rsidRPr="00DF4CE5" w14:paraId="1E564E0E" w14:textId="77777777" w:rsidTr="00E93B72">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00FEF35" w14:textId="77777777" w:rsidR="00FE4704" w:rsidRPr="00DF4CE5" w:rsidRDefault="00FE4704" w:rsidP="001974E1">
            <w:pPr>
              <w:spacing w:after="0"/>
              <w:rPr>
                <w:rFonts w:ascii="Cambria" w:hAnsi="Cambria" w:cs="Calibri"/>
              </w:rPr>
            </w:pPr>
            <w:proofErr w:type="spellStart"/>
            <w:r w:rsidRPr="00DF4CE5">
              <w:rPr>
                <w:rFonts w:ascii="Cambria" w:hAnsi="Cambria" w:cs="Calibri"/>
              </w:rPr>
              <w:t>Semestar</w:t>
            </w:r>
            <w:proofErr w:type="spellEnd"/>
          </w:p>
        </w:tc>
        <w:tc>
          <w:tcPr>
            <w:tcW w:w="248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E58A86E" w14:textId="77777777" w:rsidR="00FE4704" w:rsidRPr="00DF4CE5" w:rsidRDefault="00FE4704" w:rsidP="001974E1">
            <w:pPr>
              <w:spacing w:after="0"/>
              <w:rPr>
                <w:rFonts w:ascii="Cambria" w:hAnsi="Cambria" w:cs="Calibri"/>
              </w:rPr>
            </w:pPr>
            <w:proofErr w:type="spellStart"/>
            <w:r w:rsidRPr="00DF4CE5">
              <w:rPr>
                <w:rFonts w:ascii="Cambria" w:hAnsi="Cambria" w:cs="Calibri"/>
              </w:rPr>
              <w:t>ljetni</w:t>
            </w:r>
            <w:proofErr w:type="spellEnd"/>
          </w:p>
        </w:tc>
        <w:tc>
          <w:tcPr>
            <w:tcW w:w="146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0A427E8C" w14:textId="77777777" w:rsidR="00FE4704" w:rsidRPr="00DF4CE5" w:rsidRDefault="00FE4704" w:rsidP="001974E1">
            <w:pPr>
              <w:spacing w:after="0"/>
              <w:rPr>
                <w:rFonts w:ascii="Cambria" w:hAnsi="Cambria" w:cs="Calibri"/>
              </w:rPr>
            </w:pPr>
            <w:r w:rsidRPr="00DF4CE5">
              <w:rPr>
                <w:rFonts w:ascii="Cambria" w:hAnsi="Cambria" w:cs="Calibri"/>
              </w:rPr>
              <w:t xml:space="preserve">Godina </w:t>
            </w:r>
            <w:proofErr w:type="spellStart"/>
            <w:r w:rsidRPr="00DF4CE5">
              <w:rPr>
                <w:rFonts w:ascii="Cambria" w:hAnsi="Cambria" w:cs="Calibri"/>
              </w:rPr>
              <w:t>studija</w:t>
            </w:r>
            <w:proofErr w:type="spellEnd"/>
          </w:p>
        </w:tc>
        <w:tc>
          <w:tcPr>
            <w:tcW w:w="2767"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3FD7AA1" w14:textId="77777777" w:rsidR="00FE4704" w:rsidRPr="00DF4CE5" w:rsidRDefault="00FE4704" w:rsidP="001974E1">
            <w:pPr>
              <w:spacing w:after="0"/>
              <w:rPr>
                <w:rFonts w:ascii="Cambria" w:hAnsi="Cambria" w:cs="Calibri"/>
              </w:rPr>
            </w:pPr>
            <w:r w:rsidRPr="00DF4CE5">
              <w:rPr>
                <w:rFonts w:ascii="Cambria" w:hAnsi="Cambria" w:cs="Calibri"/>
              </w:rPr>
              <w:t>V.</w:t>
            </w:r>
          </w:p>
        </w:tc>
      </w:tr>
      <w:tr w:rsidR="00FE4704" w:rsidRPr="00DF4CE5" w14:paraId="099651C6" w14:textId="77777777" w:rsidTr="00E93B72">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FFD2136" w14:textId="77777777" w:rsidR="00FE4704" w:rsidRPr="00DF4CE5" w:rsidRDefault="00FE4704" w:rsidP="001974E1">
            <w:pPr>
              <w:spacing w:after="0"/>
              <w:rPr>
                <w:rFonts w:ascii="Cambria" w:hAnsi="Cambria" w:cs="Calibri"/>
              </w:rPr>
            </w:pPr>
            <w:proofErr w:type="spellStart"/>
            <w:r w:rsidRPr="00DF4CE5">
              <w:rPr>
                <w:rFonts w:ascii="Cambria" w:hAnsi="Cambria" w:cs="Calibri"/>
              </w:rPr>
              <w:t>Mjesto</w:t>
            </w:r>
            <w:proofErr w:type="spellEnd"/>
            <w:r w:rsidRPr="00DF4CE5">
              <w:rPr>
                <w:rFonts w:ascii="Cambria" w:hAnsi="Cambria" w:cs="Calibri"/>
              </w:rPr>
              <w:t xml:space="preserve"> </w:t>
            </w:r>
            <w:proofErr w:type="spellStart"/>
            <w:r w:rsidRPr="00DF4CE5">
              <w:rPr>
                <w:rFonts w:ascii="Cambria" w:hAnsi="Cambria" w:cs="Calibri"/>
              </w:rPr>
              <w:t>izvođenja</w:t>
            </w:r>
            <w:proofErr w:type="spellEnd"/>
          </w:p>
        </w:tc>
        <w:tc>
          <w:tcPr>
            <w:tcW w:w="248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CF00250" w14:textId="77777777" w:rsidR="00FE4704" w:rsidRPr="00DF4CE5" w:rsidRDefault="00FE4704" w:rsidP="001974E1">
            <w:pPr>
              <w:spacing w:after="0"/>
              <w:rPr>
                <w:rFonts w:ascii="Cambria" w:hAnsi="Cambria" w:cs="Calibri"/>
              </w:rPr>
            </w:pPr>
            <w:proofErr w:type="spellStart"/>
            <w:r w:rsidRPr="00DF4CE5">
              <w:rPr>
                <w:rFonts w:ascii="Cambria" w:hAnsi="Cambria" w:cs="Calibri"/>
              </w:rPr>
              <w:t>dvorana</w:t>
            </w:r>
            <w:proofErr w:type="spellEnd"/>
            <w:r w:rsidRPr="00DF4CE5">
              <w:rPr>
                <w:rFonts w:ascii="Cambria" w:hAnsi="Cambria" w:cs="Calibri"/>
              </w:rPr>
              <w:t xml:space="preserve">, </w:t>
            </w:r>
            <w:proofErr w:type="spellStart"/>
            <w:r w:rsidRPr="00DF4CE5">
              <w:rPr>
                <w:rFonts w:ascii="Cambria" w:hAnsi="Cambria" w:cs="Calibri"/>
              </w:rPr>
              <w:t>računalna</w:t>
            </w:r>
            <w:proofErr w:type="spellEnd"/>
            <w:r w:rsidRPr="00DF4CE5">
              <w:rPr>
                <w:rFonts w:ascii="Cambria" w:hAnsi="Cambria" w:cs="Calibri"/>
              </w:rPr>
              <w:t xml:space="preserve"> </w:t>
            </w:r>
            <w:proofErr w:type="spellStart"/>
            <w:r w:rsidRPr="00DF4CE5">
              <w:rPr>
                <w:rFonts w:ascii="Cambria" w:hAnsi="Cambria" w:cs="Calibri"/>
              </w:rPr>
              <w:t>učionica</w:t>
            </w:r>
            <w:proofErr w:type="spellEnd"/>
          </w:p>
        </w:tc>
        <w:tc>
          <w:tcPr>
            <w:tcW w:w="146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7E958DE7" w14:textId="77777777" w:rsidR="00FE4704" w:rsidRPr="00DF4CE5" w:rsidRDefault="00FE4704" w:rsidP="001974E1">
            <w:pPr>
              <w:spacing w:after="0"/>
              <w:rPr>
                <w:rFonts w:ascii="Cambria" w:hAnsi="Cambria" w:cs="Calibri"/>
              </w:rPr>
            </w:pPr>
            <w:r w:rsidRPr="00DF4CE5">
              <w:rPr>
                <w:rFonts w:ascii="Cambria" w:hAnsi="Cambria" w:cs="Calibri"/>
              </w:rPr>
              <w:t xml:space="preserve">Jezik </w:t>
            </w:r>
            <w:proofErr w:type="spellStart"/>
            <w:r w:rsidRPr="00DF4CE5">
              <w:rPr>
                <w:rFonts w:ascii="Cambria" w:hAnsi="Cambria" w:cs="Calibri"/>
              </w:rPr>
              <w:t>izvođenja</w:t>
            </w:r>
            <w:proofErr w:type="spellEnd"/>
            <w:r w:rsidRPr="00DF4CE5">
              <w:rPr>
                <w:rFonts w:ascii="Cambria" w:hAnsi="Cambria" w:cs="Calibri"/>
              </w:rPr>
              <w:t xml:space="preserve"> (</w:t>
            </w:r>
            <w:proofErr w:type="spellStart"/>
            <w:r w:rsidRPr="00DF4CE5">
              <w:rPr>
                <w:rFonts w:ascii="Cambria" w:hAnsi="Cambria" w:cs="Calibri"/>
              </w:rPr>
              <w:t>drugi</w:t>
            </w:r>
            <w:proofErr w:type="spellEnd"/>
            <w:r w:rsidRPr="00DF4CE5">
              <w:rPr>
                <w:rFonts w:ascii="Cambria" w:hAnsi="Cambria" w:cs="Calibri"/>
              </w:rPr>
              <w:t xml:space="preserve"> </w:t>
            </w:r>
            <w:proofErr w:type="spellStart"/>
            <w:r w:rsidRPr="00DF4CE5">
              <w:rPr>
                <w:rFonts w:ascii="Cambria" w:hAnsi="Cambria" w:cs="Calibri"/>
              </w:rPr>
              <w:t>jezici</w:t>
            </w:r>
            <w:proofErr w:type="spellEnd"/>
            <w:r w:rsidRPr="00DF4CE5">
              <w:rPr>
                <w:rFonts w:ascii="Cambria" w:hAnsi="Cambria" w:cs="Calibri"/>
              </w:rPr>
              <w:t>)</w:t>
            </w:r>
          </w:p>
        </w:tc>
        <w:tc>
          <w:tcPr>
            <w:tcW w:w="2767"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A71C4C3" w14:textId="77777777" w:rsidR="00FE4704" w:rsidRPr="00DF4CE5" w:rsidRDefault="00FE4704" w:rsidP="001974E1">
            <w:pPr>
              <w:spacing w:after="0"/>
              <w:rPr>
                <w:rFonts w:ascii="Cambria" w:hAnsi="Cambria" w:cs="Calibri"/>
              </w:rPr>
            </w:pPr>
            <w:proofErr w:type="spellStart"/>
            <w:r w:rsidRPr="00DF4CE5">
              <w:rPr>
                <w:rFonts w:ascii="Cambria" w:hAnsi="Cambria" w:cs="Calibri"/>
              </w:rPr>
              <w:t>hrvatski</w:t>
            </w:r>
            <w:proofErr w:type="spellEnd"/>
          </w:p>
        </w:tc>
      </w:tr>
      <w:tr w:rsidR="00FE4704" w:rsidRPr="00DF4CE5" w14:paraId="2CC5DA3F" w14:textId="77777777" w:rsidTr="00E93B72">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6CBBFBE" w14:textId="77777777" w:rsidR="00FE4704" w:rsidRPr="00DF4CE5" w:rsidRDefault="00FE4704" w:rsidP="001974E1">
            <w:pPr>
              <w:spacing w:after="0"/>
              <w:rPr>
                <w:rFonts w:ascii="Cambria" w:hAnsi="Cambria" w:cs="Calibri"/>
              </w:rPr>
            </w:pPr>
            <w:proofErr w:type="spellStart"/>
            <w:r w:rsidRPr="00DF4CE5">
              <w:rPr>
                <w:rFonts w:ascii="Cambria" w:hAnsi="Cambria" w:cs="Calibri"/>
              </w:rPr>
              <w:t>Broj</w:t>
            </w:r>
            <w:proofErr w:type="spellEnd"/>
            <w:r w:rsidRPr="00DF4CE5">
              <w:rPr>
                <w:rFonts w:ascii="Cambria" w:hAnsi="Cambria" w:cs="Calibri"/>
              </w:rPr>
              <w:t xml:space="preserve"> ECTS </w:t>
            </w:r>
            <w:proofErr w:type="spellStart"/>
            <w:r w:rsidRPr="00DF4CE5">
              <w:rPr>
                <w:rFonts w:ascii="Cambria" w:hAnsi="Cambria" w:cs="Calibri"/>
              </w:rPr>
              <w:t>bodova</w:t>
            </w:r>
            <w:proofErr w:type="spellEnd"/>
          </w:p>
        </w:tc>
        <w:tc>
          <w:tcPr>
            <w:tcW w:w="248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187B94F" w14:textId="77777777" w:rsidR="00FE4704" w:rsidRPr="00DF4CE5" w:rsidRDefault="00FE4704" w:rsidP="001974E1">
            <w:pPr>
              <w:spacing w:after="0"/>
              <w:rPr>
                <w:rFonts w:ascii="Cambria" w:hAnsi="Cambria" w:cs="Calibri"/>
              </w:rPr>
            </w:pPr>
            <w:r w:rsidRPr="00DF4CE5">
              <w:rPr>
                <w:rFonts w:ascii="Cambria" w:hAnsi="Cambria" w:cs="Calibri"/>
              </w:rPr>
              <w:t>4</w:t>
            </w:r>
          </w:p>
        </w:tc>
        <w:tc>
          <w:tcPr>
            <w:tcW w:w="146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3EDCEB02" w14:textId="77777777" w:rsidR="00FE4704" w:rsidRPr="00DF4CE5" w:rsidRDefault="00FE4704" w:rsidP="001974E1">
            <w:pPr>
              <w:spacing w:after="0"/>
              <w:rPr>
                <w:rFonts w:ascii="Cambria" w:hAnsi="Cambria" w:cs="Calibri"/>
              </w:rPr>
            </w:pPr>
            <w:proofErr w:type="spellStart"/>
            <w:r w:rsidRPr="00DF4CE5">
              <w:rPr>
                <w:rFonts w:ascii="Cambria" w:hAnsi="Cambria" w:cs="Calibri"/>
              </w:rPr>
              <w:t>Broj</w:t>
            </w:r>
            <w:proofErr w:type="spellEnd"/>
            <w:r w:rsidRPr="00DF4CE5">
              <w:rPr>
                <w:rFonts w:ascii="Cambria" w:hAnsi="Cambria" w:cs="Calibri"/>
              </w:rPr>
              <w:t xml:space="preserve"> sati u </w:t>
            </w:r>
            <w:proofErr w:type="spellStart"/>
            <w:r w:rsidRPr="00DF4CE5">
              <w:rPr>
                <w:rFonts w:ascii="Cambria" w:hAnsi="Cambria" w:cs="Calibri"/>
              </w:rPr>
              <w:t>semestru</w:t>
            </w:r>
            <w:proofErr w:type="spellEnd"/>
          </w:p>
        </w:tc>
        <w:tc>
          <w:tcPr>
            <w:tcW w:w="2767"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C30875D" w14:textId="6452F185" w:rsidR="00FE4704" w:rsidRPr="00DF4CE5" w:rsidRDefault="00FE4704" w:rsidP="001974E1">
            <w:pPr>
              <w:spacing w:after="0"/>
              <w:rPr>
                <w:rFonts w:ascii="Cambria" w:hAnsi="Cambria" w:cs="Calibri"/>
              </w:rPr>
            </w:pPr>
            <w:r w:rsidRPr="00DF4CE5">
              <w:rPr>
                <w:rFonts w:ascii="Cambria" w:hAnsi="Cambria" w:cs="Calibri"/>
              </w:rPr>
              <w:t xml:space="preserve">15P – </w:t>
            </w:r>
            <w:r w:rsidR="001974E1" w:rsidRPr="00DF4CE5">
              <w:rPr>
                <w:rFonts w:ascii="Cambria" w:hAnsi="Cambria" w:cs="Calibri"/>
              </w:rPr>
              <w:t>0S</w:t>
            </w:r>
            <w:r w:rsidRPr="00DF4CE5">
              <w:rPr>
                <w:rFonts w:ascii="Cambria" w:hAnsi="Cambria" w:cs="Calibri"/>
              </w:rPr>
              <w:t xml:space="preserve"> – </w:t>
            </w:r>
            <w:r w:rsidR="001974E1" w:rsidRPr="00DF4CE5">
              <w:rPr>
                <w:rFonts w:ascii="Cambria" w:hAnsi="Cambria" w:cs="Calibri"/>
              </w:rPr>
              <w:t>30V</w:t>
            </w:r>
          </w:p>
        </w:tc>
      </w:tr>
      <w:tr w:rsidR="00FE4704" w:rsidRPr="00D0399C" w14:paraId="7B62E1EE" w14:textId="77777777" w:rsidTr="00E93B72">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D526619" w14:textId="77777777" w:rsidR="00FE4704" w:rsidRPr="00DF4CE5" w:rsidRDefault="00FE4704" w:rsidP="001974E1">
            <w:pPr>
              <w:spacing w:after="0"/>
              <w:rPr>
                <w:rFonts w:ascii="Cambria" w:hAnsi="Cambria" w:cs="Calibri"/>
                <w:lang w:val="it-IT"/>
              </w:rPr>
            </w:pPr>
            <w:proofErr w:type="spellStart"/>
            <w:r w:rsidRPr="00DF4CE5">
              <w:rPr>
                <w:rFonts w:ascii="Cambria" w:hAnsi="Cambria" w:cs="Calibri"/>
                <w:lang w:val="it-IT"/>
              </w:rPr>
              <w:t>Preduvjeti</w:t>
            </w:r>
            <w:proofErr w:type="spellEnd"/>
            <w:r w:rsidRPr="00DF4CE5">
              <w:rPr>
                <w:rFonts w:ascii="Cambria" w:hAnsi="Cambria" w:cs="Calibri"/>
                <w:lang w:val="it-IT"/>
              </w:rPr>
              <w:t xml:space="preserve"> za </w:t>
            </w:r>
            <w:proofErr w:type="spellStart"/>
            <w:r w:rsidRPr="00DF4CE5">
              <w:rPr>
                <w:rFonts w:ascii="Cambria" w:hAnsi="Cambria" w:cs="Calibri"/>
                <w:lang w:val="it-IT"/>
              </w:rPr>
              <w:t>upis</w:t>
            </w:r>
            <w:proofErr w:type="spellEnd"/>
            <w:r w:rsidRPr="00DF4CE5">
              <w:rPr>
                <w:rFonts w:ascii="Cambria" w:hAnsi="Cambria" w:cs="Calibri"/>
                <w:lang w:val="it-IT"/>
              </w:rPr>
              <w:t xml:space="preserve"> i za </w:t>
            </w:r>
            <w:proofErr w:type="spellStart"/>
            <w:r w:rsidRPr="00DF4CE5">
              <w:rPr>
                <w:rFonts w:ascii="Cambria" w:hAnsi="Cambria" w:cs="Calibri"/>
                <w:lang w:val="it-IT"/>
              </w:rPr>
              <w:t>svladavanje</w:t>
            </w:r>
            <w:proofErr w:type="spellEnd"/>
          </w:p>
        </w:tc>
        <w:tc>
          <w:tcPr>
            <w:tcW w:w="671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D23A44D" w14:textId="77777777" w:rsidR="00FE4704" w:rsidRPr="00DF4CE5" w:rsidRDefault="00FE4704" w:rsidP="001974E1">
            <w:pPr>
              <w:spacing w:after="0"/>
              <w:rPr>
                <w:rFonts w:ascii="Cambria" w:hAnsi="Cambria" w:cs="Cambria"/>
                <w:lang w:val="it-IT"/>
              </w:rPr>
            </w:pPr>
            <w:proofErr w:type="spellStart"/>
            <w:r w:rsidRPr="00DF4CE5">
              <w:rPr>
                <w:rFonts w:ascii="Cambria" w:hAnsi="Cambria" w:cs="Calibri"/>
                <w:lang w:val="it-IT"/>
              </w:rPr>
              <w:t>Odslušani</w:t>
            </w:r>
            <w:proofErr w:type="spellEnd"/>
            <w:r w:rsidRPr="00DF4CE5">
              <w:rPr>
                <w:rFonts w:ascii="Cambria" w:hAnsi="Cambria" w:cs="Calibri"/>
                <w:lang w:val="it-IT"/>
              </w:rPr>
              <w:t xml:space="preserve"> </w:t>
            </w:r>
            <w:proofErr w:type="spellStart"/>
            <w:r w:rsidRPr="00DF4CE5">
              <w:rPr>
                <w:rFonts w:ascii="Cambria" w:hAnsi="Cambria" w:cs="Calibri"/>
                <w:lang w:val="it-IT"/>
              </w:rPr>
              <w:t>kolegij</w:t>
            </w:r>
            <w:proofErr w:type="spellEnd"/>
            <w:r w:rsidRPr="00DF4CE5">
              <w:rPr>
                <w:rFonts w:ascii="Cambria" w:hAnsi="Cambria" w:cs="Calibri"/>
                <w:lang w:val="it-IT"/>
              </w:rPr>
              <w:t xml:space="preserve"> </w:t>
            </w:r>
            <w:proofErr w:type="spellStart"/>
            <w:r w:rsidRPr="00DF4CE5">
              <w:rPr>
                <w:rFonts w:ascii="Cambria" w:hAnsi="Cambria" w:cs="Calibri"/>
                <w:lang w:val="it-IT"/>
              </w:rPr>
              <w:t>Informatika</w:t>
            </w:r>
            <w:proofErr w:type="spellEnd"/>
            <w:r w:rsidRPr="00DF4CE5">
              <w:rPr>
                <w:rFonts w:ascii="Cambria" w:hAnsi="Cambria" w:cs="Calibri"/>
                <w:lang w:val="it-IT"/>
              </w:rPr>
              <w:t xml:space="preserve">. </w:t>
            </w:r>
            <w:proofErr w:type="spellStart"/>
            <w:r w:rsidRPr="00DF4CE5">
              <w:rPr>
                <w:rFonts w:ascii="Cambria" w:hAnsi="Cambria" w:cs="Calibri"/>
                <w:lang w:val="it-IT"/>
              </w:rPr>
              <w:t>Drugi</w:t>
            </w:r>
            <w:proofErr w:type="spellEnd"/>
            <w:r w:rsidRPr="00DF4CE5">
              <w:rPr>
                <w:rFonts w:ascii="Cambria" w:hAnsi="Cambria" w:cs="Calibri"/>
                <w:lang w:val="it-IT"/>
              </w:rPr>
              <w:t xml:space="preserve"> </w:t>
            </w:r>
            <w:proofErr w:type="spellStart"/>
            <w:r w:rsidRPr="00DF4CE5">
              <w:rPr>
                <w:rFonts w:ascii="Cambria" w:hAnsi="Cambria" w:cs="Calibri"/>
                <w:lang w:val="it-IT"/>
              </w:rPr>
              <w:t>preduvjeti</w:t>
            </w:r>
            <w:proofErr w:type="spellEnd"/>
            <w:r w:rsidRPr="00DF4CE5">
              <w:rPr>
                <w:rFonts w:ascii="Cambria" w:hAnsi="Cambria" w:cs="Calibri"/>
                <w:lang w:val="it-IT"/>
              </w:rPr>
              <w:t xml:space="preserve"> </w:t>
            </w:r>
            <w:proofErr w:type="spellStart"/>
            <w:r w:rsidRPr="00DF4CE5">
              <w:rPr>
                <w:rFonts w:ascii="Cambria" w:hAnsi="Cambria" w:cs="Calibri"/>
                <w:lang w:val="it-IT"/>
              </w:rPr>
              <w:t>nisu</w:t>
            </w:r>
            <w:proofErr w:type="spellEnd"/>
            <w:r w:rsidRPr="00DF4CE5">
              <w:rPr>
                <w:rFonts w:ascii="Cambria" w:hAnsi="Cambria" w:cs="Calibri"/>
                <w:lang w:val="it-IT"/>
              </w:rPr>
              <w:t xml:space="preserve"> </w:t>
            </w:r>
            <w:proofErr w:type="spellStart"/>
            <w:r w:rsidRPr="00DF4CE5">
              <w:rPr>
                <w:rFonts w:ascii="Cambria" w:hAnsi="Cambria" w:cs="Calibri"/>
                <w:lang w:val="it-IT"/>
              </w:rPr>
              <w:t>potrebni</w:t>
            </w:r>
            <w:proofErr w:type="spellEnd"/>
            <w:r w:rsidRPr="00DF4CE5">
              <w:rPr>
                <w:rFonts w:ascii="Cambria" w:hAnsi="Cambria" w:cs="Calibri"/>
                <w:lang w:val="it-IT"/>
              </w:rPr>
              <w:t>.</w:t>
            </w:r>
            <w:r w:rsidRPr="00DF4CE5">
              <w:rPr>
                <w:rFonts w:ascii="Cambria" w:hAnsi="Cambria"/>
                <w:lang w:val="it-IT"/>
              </w:rPr>
              <w:t xml:space="preserve"> </w:t>
            </w:r>
          </w:p>
        </w:tc>
      </w:tr>
      <w:tr w:rsidR="00FE4704" w:rsidRPr="00DF4CE5" w14:paraId="4E20D732" w14:textId="77777777" w:rsidTr="00E93B72">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B825E00" w14:textId="77777777" w:rsidR="00FE4704" w:rsidRPr="00DF4CE5" w:rsidRDefault="00FE4704" w:rsidP="00891E8C">
            <w:pPr>
              <w:rPr>
                <w:rFonts w:ascii="Cambria" w:hAnsi="Cambria" w:cs="Calibri"/>
              </w:rPr>
            </w:pPr>
            <w:proofErr w:type="spellStart"/>
            <w:r w:rsidRPr="00DF4CE5">
              <w:rPr>
                <w:rFonts w:ascii="Cambria" w:hAnsi="Cambria" w:cs="Calibri"/>
              </w:rPr>
              <w:t>Korelativnost</w:t>
            </w:r>
            <w:proofErr w:type="spellEnd"/>
          </w:p>
        </w:tc>
        <w:tc>
          <w:tcPr>
            <w:tcW w:w="671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35CE742" w14:textId="77777777" w:rsidR="00FE4704" w:rsidRPr="00DF4CE5" w:rsidRDefault="00FE4704" w:rsidP="00891E8C">
            <w:pPr>
              <w:rPr>
                <w:rFonts w:ascii="Cambria" w:hAnsi="Cambria" w:cs="Calibri"/>
              </w:rPr>
            </w:pPr>
            <w:proofErr w:type="spellStart"/>
            <w:r w:rsidRPr="00DF4CE5">
              <w:rPr>
                <w:rFonts w:ascii="Cambria" w:hAnsi="Cambria" w:cs="Calibri"/>
              </w:rPr>
              <w:t>Osnove</w:t>
            </w:r>
            <w:proofErr w:type="spellEnd"/>
            <w:r w:rsidRPr="00DF4CE5">
              <w:rPr>
                <w:rFonts w:ascii="Cambria" w:hAnsi="Cambria" w:cs="Calibri"/>
              </w:rPr>
              <w:t xml:space="preserve"> </w:t>
            </w:r>
            <w:proofErr w:type="spellStart"/>
            <w:r w:rsidRPr="00DF4CE5">
              <w:rPr>
                <w:rFonts w:ascii="Cambria" w:hAnsi="Cambria" w:cs="Calibri"/>
              </w:rPr>
              <w:t>informatike</w:t>
            </w:r>
            <w:proofErr w:type="spellEnd"/>
          </w:p>
        </w:tc>
      </w:tr>
      <w:tr w:rsidR="00FE4704" w:rsidRPr="00DF4CE5" w14:paraId="270990FA" w14:textId="77777777" w:rsidTr="00E93B72">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CEC7BB1" w14:textId="77777777" w:rsidR="00FE4704" w:rsidRPr="00DF4CE5" w:rsidRDefault="00FE4704" w:rsidP="00891E8C">
            <w:pPr>
              <w:rPr>
                <w:rFonts w:ascii="Cambria" w:hAnsi="Cambria" w:cs="Calibri"/>
              </w:rPr>
            </w:pPr>
            <w:proofErr w:type="spellStart"/>
            <w:r w:rsidRPr="00DF4CE5">
              <w:rPr>
                <w:rFonts w:ascii="Cambria" w:hAnsi="Cambria" w:cs="Calibri"/>
              </w:rPr>
              <w:t>Cilj</w:t>
            </w:r>
            <w:proofErr w:type="spellEnd"/>
            <w:r w:rsidRPr="00DF4CE5">
              <w:rPr>
                <w:rFonts w:ascii="Cambria" w:hAnsi="Cambria" w:cs="Calibri"/>
              </w:rPr>
              <w:t xml:space="preserve"> </w:t>
            </w:r>
            <w:proofErr w:type="spellStart"/>
            <w:r w:rsidRPr="00DF4CE5">
              <w:rPr>
                <w:rFonts w:ascii="Cambria" w:hAnsi="Cambria" w:cs="Calibri"/>
              </w:rPr>
              <w:t>kolegija</w:t>
            </w:r>
            <w:proofErr w:type="spellEnd"/>
            <w:r w:rsidRPr="00DF4CE5">
              <w:rPr>
                <w:rFonts w:ascii="Cambria" w:hAnsi="Cambria" w:cs="Calibri"/>
              </w:rPr>
              <w:t xml:space="preserve"> </w:t>
            </w:r>
          </w:p>
        </w:tc>
        <w:tc>
          <w:tcPr>
            <w:tcW w:w="671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7523008" w14:textId="55077ABB" w:rsidR="00FE4704" w:rsidRPr="00DF4CE5" w:rsidRDefault="00196481" w:rsidP="00891E8C">
            <w:pPr>
              <w:pStyle w:val="Default"/>
              <w:rPr>
                <w:rFonts w:ascii="Cambria" w:hAnsi="Cambria"/>
                <w:sz w:val="22"/>
                <w:szCs w:val="22"/>
              </w:rPr>
            </w:pPr>
            <w:proofErr w:type="spellStart"/>
            <w:r>
              <w:rPr>
                <w:rFonts w:ascii="Cambria" w:hAnsi="Cambria"/>
                <w:sz w:val="22"/>
                <w:szCs w:val="22"/>
              </w:rPr>
              <w:t>u</w:t>
            </w:r>
            <w:r w:rsidR="00FE4704" w:rsidRPr="00DF4CE5">
              <w:rPr>
                <w:rFonts w:ascii="Cambria" w:hAnsi="Cambria"/>
                <w:sz w:val="22"/>
                <w:szCs w:val="22"/>
              </w:rPr>
              <w:t>svojiti</w:t>
            </w:r>
            <w:proofErr w:type="spellEnd"/>
            <w:r w:rsidR="00FE4704" w:rsidRPr="00DF4CE5">
              <w:rPr>
                <w:rFonts w:ascii="Cambria" w:hAnsi="Cambria"/>
                <w:sz w:val="22"/>
                <w:szCs w:val="22"/>
              </w:rPr>
              <w:t xml:space="preserve"> </w:t>
            </w:r>
            <w:proofErr w:type="spellStart"/>
            <w:r w:rsidR="00FE4704" w:rsidRPr="00DF4CE5">
              <w:rPr>
                <w:rFonts w:ascii="Cambria" w:hAnsi="Cambria"/>
                <w:sz w:val="22"/>
                <w:szCs w:val="22"/>
              </w:rPr>
              <w:t>kompetencije</w:t>
            </w:r>
            <w:proofErr w:type="spellEnd"/>
            <w:r w:rsidR="00FE4704" w:rsidRPr="00DF4CE5">
              <w:rPr>
                <w:rFonts w:ascii="Cambria" w:hAnsi="Cambria"/>
                <w:sz w:val="22"/>
                <w:szCs w:val="22"/>
              </w:rPr>
              <w:t xml:space="preserve"> za </w:t>
            </w:r>
            <w:proofErr w:type="spellStart"/>
            <w:r w:rsidR="00FE4704" w:rsidRPr="00DF4CE5">
              <w:rPr>
                <w:rFonts w:ascii="Cambria" w:hAnsi="Cambria"/>
                <w:sz w:val="22"/>
                <w:szCs w:val="22"/>
              </w:rPr>
              <w:t>korištenje</w:t>
            </w:r>
            <w:proofErr w:type="spellEnd"/>
            <w:r w:rsidR="00FE4704" w:rsidRPr="00DF4CE5">
              <w:rPr>
                <w:rFonts w:ascii="Cambria" w:hAnsi="Cambria"/>
                <w:sz w:val="22"/>
                <w:szCs w:val="22"/>
              </w:rPr>
              <w:t xml:space="preserve"> </w:t>
            </w:r>
            <w:proofErr w:type="spellStart"/>
            <w:r w:rsidR="00FE4704" w:rsidRPr="00DF4CE5">
              <w:rPr>
                <w:rFonts w:ascii="Cambria" w:hAnsi="Cambria"/>
                <w:sz w:val="22"/>
                <w:szCs w:val="22"/>
              </w:rPr>
              <w:t>novijih</w:t>
            </w:r>
            <w:proofErr w:type="spellEnd"/>
            <w:r w:rsidR="00FE4704" w:rsidRPr="00DF4CE5">
              <w:rPr>
                <w:rFonts w:ascii="Cambria" w:hAnsi="Cambria"/>
                <w:sz w:val="22"/>
                <w:szCs w:val="22"/>
              </w:rPr>
              <w:t xml:space="preserve"> </w:t>
            </w:r>
            <w:proofErr w:type="spellStart"/>
            <w:r w:rsidR="00FE4704" w:rsidRPr="00DF4CE5">
              <w:rPr>
                <w:rFonts w:ascii="Cambria" w:hAnsi="Cambria"/>
                <w:sz w:val="22"/>
                <w:szCs w:val="22"/>
              </w:rPr>
              <w:t>aplikacija</w:t>
            </w:r>
            <w:proofErr w:type="spellEnd"/>
            <w:r w:rsidR="00FE4704" w:rsidRPr="00DF4CE5">
              <w:rPr>
                <w:rFonts w:ascii="Cambria" w:hAnsi="Cambria"/>
                <w:sz w:val="22"/>
                <w:szCs w:val="22"/>
              </w:rPr>
              <w:t xml:space="preserve"> a </w:t>
            </w:r>
            <w:proofErr w:type="spellStart"/>
            <w:r w:rsidR="00FE4704" w:rsidRPr="00DF4CE5">
              <w:rPr>
                <w:rFonts w:ascii="Cambria" w:hAnsi="Cambria"/>
                <w:sz w:val="22"/>
                <w:szCs w:val="22"/>
              </w:rPr>
              <w:t>koje</w:t>
            </w:r>
            <w:proofErr w:type="spellEnd"/>
            <w:r w:rsidR="00FE4704" w:rsidRPr="00DF4CE5">
              <w:rPr>
                <w:rFonts w:ascii="Cambria" w:hAnsi="Cambria"/>
                <w:sz w:val="22"/>
                <w:szCs w:val="22"/>
              </w:rPr>
              <w:t xml:space="preserve"> se </w:t>
            </w:r>
            <w:proofErr w:type="spellStart"/>
            <w:r w:rsidR="00FE4704" w:rsidRPr="00DF4CE5">
              <w:rPr>
                <w:rFonts w:ascii="Cambria" w:hAnsi="Cambria"/>
                <w:sz w:val="22"/>
                <w:szCs w:val="22"/>
              </w:rPr>
              <w:t>mogu</w:t>
            </w:r>
            <w:proofErr w:type="spellEnd"/>
            <w:r w:rsidR="00FE4704" w:rsidRPr="00DF4CE5">
              <w:rPr>
                <w:rFonts w:ascii="Cambria" w:hAnsi="Cambria"/>
                <w:sz w:val="22"/>
                <w:szCs w:val="22"/>
              </w:rPr>
              <w:t xml:space="preserve"> </w:t>
            </w:r>
            <w:proofErr w:type="spellStart"/>
            <w:r w:rsidR="00FE4704" w:rsidRPr="00DF4CE5">
              <w:rPr>
                <w:rFonts w:ascii="Cambria" w:hAnsi="Cambria"/>
                <w:sz w:val="22"/>
                <w:szCs w:val="22"/>
              </w:rPr>
              <w:t>primijeniti</w:t>
            </w:r>
            <w:proofErr w:type="spellEnd"/>
            <w:r w:rsidR="00FE4704" w:rsidRPr="00DF4CE5">
              <w:rPr>
                <w:rFonts w:ascii="Cambria" w:hAnsi="Cambria"/>
                <w:sz w:val="22"/>
                <w:szCs w:val="22"/>
              </w:rPr>
              <w:t xml:space="preserve"> u </w:t>
            </w:r>
            <w:proofErr w:type="spellStart"/>
            <w:r w:rsidR="00FE4704" w:rsidRPr="00DF4CE5">
              <w:rPr>
                <w:rFonts w:ascii="Cambria" w:hAnsi="Cambria"/>
                <w:sz w:val="22"/>
                <w:szCs w:val="22"/>
              </w:rPr>
              <w:t>radu</w:t>
            </w:r>
            <w:proofErr w:type="spellEnd"/>
            <w:r w:rsidR="00FE4704" w:rsidRPr="00DF4CE5">
              <w:rPr>
                <w:rFonts w:ascii="Cambria" w:hAnsi="Cambria"/>
                <w:sz w:val="22"/>
                <w:szCs w:val="22"/>
              </w:rPr>
              <w:t xml:space="preserve"> </w:t>
            </w:r>
            <w:proofErr w:type="spellStart"/>
            <w:r w:rsidR="00FE4704" w:rsidRPr="00DF4CE5">
              <w:rPr>
                <w:rFonts w:ascii="Cambria" w:hAnsi="Cambria"/>
                <w:sz w:val="22"/>
                <w:szCs w:val="22"/>
              </w:rPr>
              <w:t>učitelja</w:t>
            </w:r>
            <w:proofErr w:type="spellEnd"/>
            <w:r w:rsidR="00FE4704" w:rsidRPr="00DF4CE5">
              <w:rPr>
                <w:rFonts w:ascii="Cambria" w:hAnsi="Cambria"/>
                <w:sz w:val="22"/>
                <w:szCs w:val="22"/>
              </w:rPr>
              <w:t xml:space="preserve"> u </w:t>
            </w:r>
            <w:proofErr w:type="spellStart"/>
            <w:r w:rsidR="00FE4704" w:rsidRPr="00DF4CE5">
              <w:rPr>
                <w:rFonts w:ascii="Cambria" w:hAnsi="Cambria"/>
                <w:sz w:val="22"/>
                <w:szCs w:val="22"/>
              </w:rPr>
              <w:t>osnovnoj</w:t>
            </w:r>
            <w:proofErr w:type="spellEnd"/>
            <w:r w:rsidR="00FE4704" w:rsidRPr="00DF4CE5">
              <w:rPr>
                <w:rFonts w:ascii="Cambria" w:hAnsi="Cambria"/>
                <w:sz w:val="22"/>
                <w:szCs w:val="22"/>
              </w:rPr>
              <w:t xml:space="preserve"> </w:t>
            </w:r>
            <w:proofErr w:type="spellStart"/>
            <w:r w:rsidR="00FE4704" w:rsidRPr="00DF4CE5">
              <w:rPr>
                <w:rFonts w:ascii="Cambria" w:hAnsi="Cambria"/>
                <w:sz w:val="22"/>
                <w:szCs w:val="22"/>
              </w:rPr>
              <w:t>školi</w:t>
            </w:r>
            <w:proofErr w:type="spellEnd"/>
            <w:r w:rsidR="00FE4704" w:rsidRPr="00DF4CE5">
              <w:rPr>
                <w:rFonts w:ascii="Cambria" w:hAnsi="Cambria"/>
                <w:sz w:val="22"/>
                <w:szCs w:val="22"/>
              </w:rPr>
              <w:t xml:space="preserve"> </w:t>
            </w:r>
            <w:proofErr w:type="spellStart"/>
            <w:r w:rsidR="00FE4704" w:rsidRPr="00DF4CE5">
              <w:rPr>
                <w:rFonts w:ascii="Cambria" w:hAnsi="Cambria"/>
                <w:sz w:val="22"/>
                <w:szCs w:val="22"/>
              </w:rPr>
              <w:t>kao</w:t>
            </w:r>
            <w:proofErr w:type="spellEnd"/>
            <w:r w:rsidR="00FE4704" w:rsidRPr="00DF4CE5">
              <w:rPr>
                <w:rFonts w:ascii="Cambria" w:hAnsi="Cambria"/>
                <w:sz w:val="22"/>
                <w:szCs w:val="22"/>
              </w:rPr>
              <w:t xml:space="preserve"> </w:t>
            </w:r>
            <w:proofErr w:type="spellStart"/>
            <w:r w:rsidR="00FE4704" w:rsidRPr="00DF4CE5">
              <w:rPr>
                <w:rFonts w:ascii="Cambria" w:hAnsi="Cambria"/>
                <w:sz w:val="22"/>
                <w:szCs w:val="22"/>
              </w:rPr>
              <w:t>alat</w:t>
            </w:r>
            <w:proofErr w:type="spellEnd"/>
            <w:r w:rsidR="00FE4704" w:rsidRPr="00DF4CE5">
              <w:rPr>
                <w:rFonts w:ascii="Cambria" w:hAnsi="Cambria"/>
                <w:sz w:val="22"/>
                <w:szCs w:val="22"/>
              </w:rPr>
              <w:t xml:space="preserve"> za </w:t>
            </w:r>
            <w:proofErr w:type="spellStart"/>
            <w:r w:rsidR="00FE4704" w:rsidRPr="00DF4CE5">
              <w:rPr>
                <w:rFonts w:ascii="Cambria" w:hAnsi="Cambria"/>
                <w:sz w:val="22"/>
                <w:szCs w:val="22"/>
              </w:rPr>
              <w:t>primjenu</w:t>
            </w:r>
            <w:proofErr w:type="spellEnd"/>
            <w:r w:rsidR="00FE4704" w:rsidRPr="00DF4CE5">
              <w:rPr>
                <w:rFonts w:ascii="Cambria" w:hAnsi="Cambria"/>
                <w:sz w:val="22"/>
                <w:szCs w:val="22"/>
              </w:rPr>
              <w:t xml:space="preserve"> u </w:t>
            </w:r>
            <w:proofErr w:type="spellStart"/>
            <w:r w:rsidR="00FE4704" w:rsidRPr="00DF4CE5">
              <w:rPr>
                <w:rFonts w:ascii="Cambria" w:hAnsi="Cambria"/>
                <w:sz w:val="22"/>
                <w:szCs w:val="22"/>
              </w:rPr>
              <w:t>nastavi</w:t>
            </w:r>
            <w:proofErr w:type="spellEnd"/>
            <w:r w:rsidR="00FE4704" w:rsidRPr="00DF4CE5">
              <w:rPr>
                <w:rFonts w:ascii="Cambria" w:hAnsi="Cambria"/>
                <w:sz w:val="22"/>
                <w:szCs w:val="22"/>
              </w:rPr>
              <w:t xml:space="preserve">, </w:t>
            </w:r>
            <w:proofErr w:type="spellStart"/>
            <w:r w:rsidR="00FE4704" w:rsidRPr="00DF4CE5">
              <w:rPr>
                <w:rFonts w:ascii="Cambria" w:hAnsi="Cambria"/>
                <w:sz w:val="22"/>
                <w:szCs w:val="22"/>
              </w:rPr>
              <w:t>administraciji</w:t>
            </w:r>
            <w:proofErr w:type="spellEnd"/>
            <w:r w:rsidR="00FE4704" w:rsidRPr="00DF4CE5">
              <w:rPr>
                <w:rFonts w:ascii="Cambria" w:hAnsi="Cambria"/>
                <w:sz w:val="22"/>
                <w:szCs w:val="22"/>
              </w:rPr>
              <w:t xml:space="preserve"> </w:t>
            </w:r>
            <w:proofErr w:type="spellStart"/>
            <w:r w:rsidR="00FE4704" w:rsidRPr="00DF4CE5">
              <w:rPr>
                <w:rFonts w:ascii="Cambria" w:hAnsi="Cambria"/>
                <w:sz w:val="22"/>
                <w:szCs w:val="22"/>
              </w:rPr>
              <w:t>računalne</w:t>
            </w:r>
            <w:proofErr w:type="spellEnd"/>
            <w:r w:rsidR="00FE4704" w:rsidRPr="00DF4CE5">
              <w:rPr>
                <w:rFonts w:ascii="Cambria" w:hAnsi="Cambria"/>
                <w:sz w:val="22"/>
                <w:szCs w:val="22"/>
              </w:rPr>
              <w:t xml:space="preserve"> </w:t>
            </w:r>
            <w:proofErr w:type="spellStart"/>
            <w:r w:rsidR="00FE4704" w:rsidRPr="00DF4CE5">
              <w:rPr>
                <w:rFonts w:ascii="Cambria" w:hAnsi="Cambria"/>
                <w:sz w:val="22"/>
                <w:szCs w:val="22"/>
              </w:rPr>
              <w:t>mreže</w:t>
            </w:r>
            <w:proofErr w:type="spellEnd"/>
            <w:r w:rsidR="00FE4704" w:rsidRPr="00DF4CE5">
              <w:rPr>
                <w:rFonts w:ascii="Cambria" w:hAnsi="Cambria"/>
                <w:sz w:val="22"/>
                <w:szCs w:val="22"/>
              </w:rPr>
              <w:t xml:space="preserve">, </w:t>
            </w:r>
            <w:proofErr w:type="spellStart"/>
            <w:r w:rsidR="00FE4704" w:rsidRPr="00DF4CE5">
              <w:rPr>
                <w:rFonts w:ascii="Cambria" w:hAnsi="Cambria"/>
                <w:sz w:val="22"/>
                <w:szCs w:val="22"/>
              </w:rPr>
              <w:t>istraživanju</w:t>
            </w:r>
            <w:proofErr w:type="spellEnd"/>
            <w:r w:rsidR="00FE4704" w:rsidRPr="00DF4CE5">
              <w:rPr>
                <w:rFonts w:ascii="Cambria" w:hAnsi="Cambria"/>
                <w:sz w:val="22"/>
                <w:szCs w:val="22"/>
              </w:rPr>
              <w:t xml:space="preserve"> </w:t>
            </w:r>
            <w:proofErr w:type="spellStart"/>
            <w:r w:rsidR="00FE4704" w:rsidRPr="00DF4CE5">
              <w:rPr>
                <w:rFonts w:ascii="Cambria" w:hAnsi="Cambria"/>
                <w:sz w:val="22"/>
                <w:szCs w:val="22"/>
              </w:rPr>
              <w:t>ili</w:t>
            </w:r>
            <w:proofErr w:type="spellEnd"/>
            <w:r w:rsidR="00FE4704" w:rsidRPr="00DF4CE5">
              <w:rPr>
                <w:rFonts w:ascii="Cambria" w:hAnsi="Cambria"/>
                <w:sz w:val="22"/>
                <w:szCs w:val="22"/>
              </w:rPr>
              <w:t xml:space="preserve"> </w:t>
            </w:r>
            <w:proofErr w:type="spellStart"/>
            <w:r w:rsidR="00FE4704" w:rsidRPr="00DF4CE5">
              <w:rPr>
                <w:rFonts w:ascii="Cambria" w:hAnsi="Cambria"/>
                <w:sz w:val="22"/>
                <w:szCs w:val="22"/>
              </w:rPr>
              <w:t>nekom</w:t>
            </w:r>
            <w:proofErr w:type="spellEnd"/>
            <w:r w:rsidR="00FE4704" w:rsidRPr="00DF4CE5">
              <w:rPr>
                <w:rFonts w:ascii="Cambria" w:hAnsi="Cambria"/>
                <w:sz w:val="22"/>
                <w:szCs w:val="22"/>
              </w:rPr>
              <w:t xml:space="preserve"> </w:t>
            </w:r>
            <w:proofErr w:type="spellStart"/>
            <w:r w:rsidR="00FE4704" w:rsidRPr="00DF4CE5">
              <w:rPr>
                <w:rFonts w:ascii="Cambria" w:hAnsi="Cambria"/>
                <w:sz w:val="22"/>
                <w:szCs w:val="22"/>
              </w:rPr>
              <w:t>drugom</w:t>
            </w:r>
            <w:proofErr w:type="spellEnd"/>
            <w:r w:rsidR="00FE4704" w:rsidRPr="00DF4CE5">
              <w:rPr>
                <w:rFonts w:ascii="Cambria" w:hAnsi="Cambria"/>
                <w:sz w:val="22"/>
                <w:szCs w:val="22"/>
              </w:rPr>
              <w:t xml:space="preserve"> </w:t>
            </w:r>
            <w:proofErr w:type="spellStart"/>
            <w:r w:rsidR="00FE4704" w:rsidRPr="00DF4CE5">
              <w:rPr>
                <w:rFonts w:ascii="Cambria" w:hAnsi="Cambria"/>
                <w:sz w:val="22"/>
                <w:szCs w:val="22"/>
              </w:rPr>
              <w:t>području</w:t>
            </w:r>
            <w:proofErr w:type="spellEnd"/>
            <w:r w:rsidR="00FE4704" w:rsidRPr="00DF4CE5">
              <w:rPr>
                <w:rFonts w:ascii="Cambria" w:hAnsi="Cambria"/>
                <w:sz w:val="22"/>
                <w:szCs w:val="22"/>
              </w:rPr>
              <w:t xml:space="preserve"> rada </w:t>
            </w:r>
            <w:proofErr w:type="spellStart"/>
            <w:r w:rsidR="00FE4704" w:rsidRPr="00DF4CE5">
              <w:rPr>
                <w:rFonts w:ascii="Cambria" w:hAnsi="Cambria"/>
                <w:sz w:val="22"/>
                <w:szCs w:val="22"/>
              </w:rPr>
              <w:t>učitelja</w:t>
            </w:r>
            <w:proofErr w:type="spellEnd"/>
          </w:p>
        </w:tc>
      </w:tr>
      <w:tr w:rsidR="00FE4704" w:rsidRPr="00D0399C" w14:paraId="30937577" w14:textId="77777777" w:rsidTr="00E93B72">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50B9A37" w14:textId="77777777" w:rsidR="00FE4704" w:rsidRPr="00DF4CE5" w:rsidRDefault="00FE4704" w:rsidP="00891E8C">
            <w:pPr>
              <w:rPr>
                <w:rFonts w:ascii="Cambria" w:hAnsi="Cambria" w:cs="Calibri"/>
              </w:rPr>
            </w:pPr>
            <w:proofErr w:type="spellStart"/>
            <w:r w:rsidRPr="00DF4CE5">
              <w:rPr>
                <w:rFonts w:ascii="Cambria" w:hAnsi="Cambria" w:cs="Calibri"/>
              </w:rPr>
              <w:t>Ishodi</w:t>
            </w:r>
            <w:proofErr w:type="spellEnd"/>
            <w:r w:rsidRPr="00DF4CE5">
              <w:rPr>
                <w:rFonts w:ascii="Cambria" w:hAnsi="Cambria" w:cs="Calibri"/>
              </w:rPr>
              <w:t xml:space="preserve"> </w:t>
            </w:r>
            <w:proofErr w:type="spellStart"/>
            <w:r w:rsidRPr="00DF4CE5">
              <w:rPr>
                <w:rFonts w:ascii="Cambria" w:hAnsi="Cambria" w:cs="Calibri"/>
              </w:rPr>
              <w:t>učenja</w:t>
            </w:r>
            <w:proofErr w:type="spellEnd"/>
          </w:p>
        </w:tc>
        <w:tc>
          <w:tcPr>
            <w:tcW w:w="671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9281031" w14:textId="6E689BA8" w:rsidR="00FE4704" w:rsidRPr="00196481" w:rsidRDefault="00FE4704" w:rsidP="00891E8C">
            <w:pPr>
              <w:pStyle w:val="Default"/>
              <w:rPr>
                <w:rFonts w:ascii="Cambria" w:hAnsi="Cambria"/>
                <w:sz w:val="22"/>
                <w:szCs w:val="22"/>
                <w:lang w:val="it-IT"/>
              </w:rPr>
            </w:pPr>
            <w:r w:rsidRPr="00196481">
              <w:rPr>
                <w:rFonts w:ascii="Cambria" w:hAnsi="Cambria"/>
                <w:sz w:val="22"/>
                <w:szCs w:val="22"/>
                <w:lang w:val="it-IT"/>
              </w:rPr>
              <w:t xml:space="preserve">1. </w:t>
            </w:r>
            <w:proofErr w:type="spellStart"/>
            <w:r w:rsidR="00196481" w:rsidRPr="00196481">
              <w:rPr>
                <w:rFonts w:ascii="Cambria" w:hAnsi="Cambria"/>
                <w:sz w:val="22"/>
                <w:szCs w:val="22"/>
                <w:lang w:val="it-IT"/>
              </w:rPr>
              <w:t>opisati</w:t>
            </w:r>
            <w:proofErr w:type="spellEnd"/>
            <w:r w:rsidR="00196481" w:rsidRPr="00196481">
              <w:rPr>
                <w:rFonts w:ascii="Cambria" w:hAnsi="Cambria"/>
                <w:sz w:val="22"/>
                <w:szCs w:val="22"/>
                <w:lang w:val="it-IT"/>
              </w:rPr>
              <w:t xml:space="preserve"> nove </w:t>
            </w:r>
            <w:proofErr w:type="spellStart"/>
            <w:r w:rsidRPr="00196481">
              <w:rPr>
                <w:rFonts w:ascii="Cambria" w:hAnsi="Cambria"/>
                <w:sz w:val="22"/>
                <w:szCs w:val="22"/>
                <w:lang w:val="it-IT"/>
              </w:rPr>
              <w:t>aplikacij</w:t>
            </w:r>
            <w:r w:rsidR="00196481" w:rsidRPr="00196481">
              <w:rPr>
                <w:rFonts w:ascii="Cambria" w:hAnsi="Cambria"/>
                <w:sz w:val="22"/>
                <w:szCs w:val="22"/>
                <w:lang w:val="it-IT"/>
              </w:rPr>
              <w:t>e</w:t>
            </w:r>
            <w:proofErr w:type="spellEnd"/>
            <w:r w:rsidRPr="00196481">
              <w:rPr>
                <w:rFonts w:ascii="Cambria" w:hAnsi="Cambria"/>
                <w:sz w:val="22"/>
                <w:szCs w:val="22"/>
                <w:lang w:val="it-IT"/>
              </w:rPr>
              <w:t xml:space="preserve"> </w:t>
            </w:r>
            <w:proofErr w:type="spellStart"/>
            <w:r w:rsidRPr="00196481">
              <w:rPr>
                <w:rFonts w:ascii="Cambria" w:hAnsi="Cambria"/>
                <w:sz w:val="22"/>
                <w:szCs w:val="22"/>
                <w:lang w:val="it-IT"/>
              </w:rPr>
              <w:t>korisn</w:t>
            </w:r>
            <w:r w:rsidR="00196481" w:rsidRPr="00196481">
              <w:rPr>
                <w:rFonts w:ascii="Cambria" w:hAnsi="Cambria"/>
                <w:sz w:val="22"/>
                <w:szCs w:val="22"/>
                <w:lang w:val="it-IT"/>
              </w:rPr>
              <w:t>e</w:t>
            </w:r>
            <w:proofErr w:type="spellEnd"/>
            <w:r w:rsidR="00196481" w:rsidRPr="00196481">
              <w:rPr>
                <w:rFonts w:ascii="Cambria" w:hAnsi="Cambria"/>
                <w:sz w:val="22"/>
                <w:szCs w:val="22"/>
                <w:lang w:val="it-IT"/>
              </w:rPr>
              <w:t xml:space="preserve"> </w:t>
            </w:r>
            <w:r w:rsidRPr="00196481">
              <w:rPr>
                <w:rFonts w:ascii="Cambria" w:hAnsi="Cambria"/>
                <w:sz w:val="22"/>
                <w:szCs w:val="22"/>
                <w:lang w:val="it-IT"/>
              </w:rPr>
              <w:t xml:space="preserve">u </w:t>
            </w:r>
            <w:proofErr w:type="spellStart"/>
            <w:r w:rsidRPr="00196481">
              <w:rPr>
                <w:rFonts w:ascii="Cambria" w:hAnsi="Cambria"/>
                <w:sz w:val="22"/>
                <w:szCs w:val="22"/>
                <w:lang w:val="it-IT"/>
              </w:rPr>
              <w:t>radu</w:t>
            </w:r>
            <w:proofErr w:type="spellEnd"/>
            <w:r w:rsidRPr="00196481">
              <w:rPr>
                <w:rFonts w:ascii="Cambria" w:hAnsi="Cambria"/>
                <w:sz w:val="22"/>
                <w:szCs w:val="22"/>
                <w:lang w:val="it-IT"/>
              </w:rPr>
              <w:t xml:space="preserve"> </w:t>
            </w:r>
            <w:proofErr w:type="spellStart"/>
            <w:r w:rsidRPr="00196481">
              <w:rPr>
                <w:rFonts w:ascii="Cambria" w:hAnsi="Cambria"/>
                <w:sz w:val="22"/>
                <w:szCs w:val="22"/>
                <w:lang w:val="it-IT"/>
              </w:rPr>
              <w:t>učitelja</w:t>
            </w:r>
            <w:proofErr w:type="spellEnd"/>
            <w:r w:rsidRPr="00196481">
              <w:rPr>
                <w:rFonts w:ascii="Cambria" w:hAnsi="Cambria"/>
                <w:sz w:val="22"/>
                <w:szCs w:val="22"/>
                <w:lang w:val="it-IT"/>
              </w:rPr>
              <w:t xml:space="preserve"> </w:t>
            </w:r>
          </w:p>
          <w:p w14:paraId="3101E3F8" w14:textId="777D0628" w:rsidR="00FE4704" w:rsidRPr="00196481" w:rsidRDefault="00196481" w:rsidP="00891E8C">
            <w:pPr>
              <w:pStyle w:val="Default"/>
              <w:rPr>
                <w:rFonts w:ascii="Cambria" w:hAnsi="Cambria"/>
                <w:sz w:val="22"/>
                <w:szCs w:val="22"/>
                <w:lang w:val="it-IT"/>
              </w:rPr>
            </w:pPr>
            <w:r>
              <w:rPr>
                <w:rFonts w:ascii="Cambria" w:hAnsi="Cambria"/>
                <w:sz w:val="22"/>
                <w:szCs w:val="22"/>
                <w:lang w:val="it-IT"/>
              </w:rPr>
              <w:t xml:space="preserve">2. </w:t>
            </w:r>
            <w:proofErr w:type="spellStart"/>
            <w:r>
              <w:rPr>
                <w:rFonts w:ascii="Cambria" w:hAnsi="Cambria"/>
                <w:sz w:val="22"/>
                <w:szCs w:val="22"/>
                <w:lang w:val="it-IT"/>
              </w:rPr>
              <w:t>koristiti</w:t>
            </w:r>
            <w:proofErr w:type="spellEnd"/>
            <w:r>
              <w:rPr>
                <w:rFonts w:ascii="Cambria" w:hAnsi="Cambria"/>
                <w:sz w:val="22"/>
                <w:szCs w:val="22"/>
                <w:lang w:val="it-IT"/>
              </w:rPr>
              <w:t xml:space="preserve"> nove </w:t>
            </w:r>
            <w:proofErr w:type="spellStart"/>
            <w:r>
              <w:rPr>
                <w:rFonts w:ascii="Cambria" w:hAnsi="Cambria"/>
                <w:sz w:val="22"/>
                <w:szCs w:val="22"/>
                <w:lang w:val="it-IT"/>
              </w:rPr>
              <w:t>aplikacije</w:t>
            </w:r>
            <w:proofErr w:type="spellEnd"/>
            <w:r>
              <w:rPr>
                <w:rFonts w:ascii="Cambria" w:hAnsi="Cambria"/>
                <w:sz w:val="22"/>
                <w:szCs w:val="22"/>
                <w:lang w:val="it-IT"/>
              </w:rPr>
              <w:t xml:space="preserve"> u </w:t>
            </w:r>
            <w:proofErr w:type="spellStart"/>
            <w:r>
              <w:rPr>
                <w:rFonts w:ascii="Cambria" w:hAnsi="Cambria"/>
                <w:sz w:val="22"/>
                <w:szCs w:val="22"/>
                <w:lang w:val="it-IT"/>
              </w:rPr>
              <w:t>vježbama</w:t>
            </w:r>
            <w:proofErr w:type="spellEnd"/>
          </w:p>
        </w:tc>
      </w:tr>
      <w:tr w:rsidR="00FE4704" w:rsidRPr="00DF4CE5" w14:paraId="78B46AE1" w14:textId="77777777" w:rsidTr="00E93B72">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240E1DF0" w14:textId="77777777" w:rsidR="00FE4704" w:rsidRPr="00DF4CE5" w:rsidRDefault="00FE4704" w:rsidP="00891E8C">
            <w:pPr>
              <w:pStyle w:val="Default"/>
              <w:rPr>
                <w:rFonts w:ascii="Cambria" w:hAnsi="Cambria"/>
                <w:sz w:val="22"/>
                <w:szCs w:val="22"/>
              </w:rPr>
            </w:pPr>
            <w:proofErr w:type="spellStart"/>
            <w:r w:rsidRPr="00DF4CE5">
              <w:rPr>
                <w:rFonts w:ascii="Cambria" w:hAnsi="Cambria"/>
                <w:sz w:val="22"/>
                <w:szCs w:val="22"/>
              </w:rPr>
              <w:t>Sadržaj</w:t>
            </w:r>
            <w:proofErr w:type="spellEnd"/>
            <w:r w:rsidRPr="00DF4CE5">
              <w:rPr>
                <w:rFonts w:ascii="Cambria" w:hAnsi="Cambria"/>
                <w:sz w:val="22"/>
                <w:szCs w:val="22"/>
              </w:rPr>
              <w:t xml:space="preserve"> </w:t>
            </w:r>
            <w:proofErr w:type="spellStart"/>
            <w:r w:rsidRPr="00DF4CE5">
              <w:rPr>
                <w:rFonts w:ascii="Cambria" w:hAnsi="Cambria"/>
                <w:sz w:val="22"/>
                <w:szCs w:val="22"/>
              </w:rPr>
              <w:t>kolegija</w:t>
            </w:r>
            <w:proofErr w:type="spellEnd"/>
          </w:p>
        </w:tc>
        <w:tc>
          <w:tcPr>
            <w:tcW w:w="6717"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C9F5382" w14:textId="0994949A" w:rsidR="00FE4704" w:rsidRPr="00DF4CE5" w:rsidRDefault="00196481" w:rsidP="00891E8C">
            <w:pPr>
              <w:pStyle w:val="Default"/>
              <w:rPr>
                <w:rFonts w:ascii="Cambria" w:hAnsi="Cambria"/>
                <w:sz w:val="22"/>
                <w:szCs w:val="22"/>
              </w:rPr>
            </w:pPr>
            <w:r>
              <w:rPr>
                <w:rFonts w:ascii="Cambria" w:hAnsi="Cambria"/>
                <w:sz w:val="22"/>
                <w:szCs w:val="22"/>
              </w:rPr>
              <w:t xml:space="preserve">1. </w:t>
            </w:r>
            <w:proofErr w:type="spellStart"/>
            <w:r w:rsidR="00FE4704" w:rsidRPr="00DF4CE5">
              <w:rPr>
                <w:rFonts w:ascii="Cambria" w:hAnsi="Cambria"/>
                <w:sz w:val="22"/>
                <w:szCs w:val="22"/>
              </w:rPr>
              <w:t>Pregled</w:t>
            </w:r>
            <w:proofErr w:type="spellEnd"/>
            <w:r w:rsidR="00FE4704" w:rsidRPr="00DF4CE5">
              <w:rPr>
                <w:rFonts w:ascii="Cambria" w:hAnsi="Cambria"/>
                <w:sz w:val="22"/>
                <w:szCs w:val="22"/>
              </w:rPr>
              <w:t xml:space="preserve"> </w:t>
            </w:r>
            <w:proofErr w:type="spellStart"/>
            <w:r w:rsidR="00FE4704" w:rsidRPr="00DF4CE5">
              <w:rPr>
                <w:rFonts w:ascii="Cambria" w:hAnsi="Cambria"/>
                <w:sz w:val="22"/>
                <w:szCs w:val="22"/>
              </w:rPr>
              <w:t>korisnih</w:t>
            </w:r>
            <w:proofErr w:type="spellEnd"/>
            <w:r w:rsidR="00FE4704" w:rsidRPr="00DF4CE5">
              <w:rPr>
                <w:rFonts w:ascii="Cambria" w:hAnsi="Cambria"/>
                <w:sz w:val="22"/>
                <w:szCs w:val="22"/>
              </w:rPr>
              <w:t xml:space="preserve"> </w:t>
            </w:r>
            <w:proofErr w:type="spellStart"/>
            <w:r w:rsidR="00FE4704" w:rsidRPr="00DF4CE5">
              <w:rPr>
                <w:rFonts w:ascii="Cambria" w:hAnsi="Cambria"/>
                <w:sz w:val="22"/>
                <w:szCs w:val="22"/>
              </w:rPr>
              <w:t>aplikacija</w:t>
            </w:r>
            <w:proofErr w:type="spellEnd"/>
            <w:r w:rsidR="00FE4704" w:rsidRPr="00DF4CE5">
              <w:rPr>
                <w:rFonts w:ascii="Cambria" w:hAnsi="Cambria"/>
                <w:sz w:val="22"/>
                <w:szCs w:val="22"/>
              </w:rPr>
              <w:t xml:space="preserve"> </w:t>
            </w:r>
            <w:proofErr w:type="spellStart"/>
            <w:r w:rsidR="00FE4704" w:rsidRPr="00DF4CE5">
              <w:rPr>
                <w:rFonts w:ascii="Cambria" w:hAnsi="Cambria"/>
                <w:sz w:val="22"/>
                <w:szCs w:val="22"/>
              </w:rPr>
              <w:t>koje</w:t>
            </w:r>
            <w:proofErr w:type="spellEnd"/>
            <w:r w:rsidR="00FE4704" w:rsidRPr="00DF4CE5">
              <w:rPr>
                <w:rFonts w:ascii="Cambria" w:hAnsi="Cambria"/>
                <w:sz w:val="22"/>
                <w:szCs w:val="22"/>
              </w:rPr>
              <w:t xml:space="preserve"> </w:t>
            </w:r>
            <w:proofErr w:type="spellStart"/>
            <w:r w:rsidR="00FE4704" w:rsidRPr="00DF4CE5">
              <w:rPr>
                <w:rFonts w:ascii="Cambria" w:hAnsi="Cambria"/>
                <w:sz w:val="22"/>
                <w:szCs w:val="22"/>
              </w:rPr>
              <w:t>će</w:t>
            </w:r>
            <w:proofErr w:type="spellEnd"/>
            <w:r w:rsidR="00FE4704" w:rsidRPr="00DF4CE5">
              <w:rPr>
                <w:rFonts w:ascii="Cambria" w:hAnsi="Cambria"/>
                <w:sz w:val="22"/>
                <w:szCs w:val="22"/>
              </w:rPr>
              <w:t xml:space="preserve"> </w:t>
            </w:r>
            <w:proofErr w:type="spellStart"/>
            <w:r w:rsidR="00FE4704" w:rsidRPr="00DF4CE5">
              <w:rPr>
                <w:rFonts w:ascii="Cambria" w:hAnsi="Cambria"/>
                <w:sz w:val="22"/>
                <w:szCs w:val="22"/>
              </w:rPr>
              <w:t>pomoći</w:t>
            </w:r>
            <w:proofErr w:type="spellEnd"/>
            <w:r w:rsidR="00FE4704" w:rsidRPr="00DF4CE5">
              <w:rPr>
                <w:rFonts w:ascii="Cambria" w:hAnsi="Cambria"/>
                <w:sz w:val="22"/>
                <w:szCs w:val="22"/>
              </w:rPr>
              <w:t xml:space="preserve"> </w:t>
            </w:r>
            <w:proofErr w:type="spellStart"/>
            <w:r w:rsidR="00FE4704" w:rsidRPr="00DF4CE5">
              <w:rPr>
                <w:rFonts w:ascii="Cambria" w:hAnsi="Cambria"/>
                <w:sz w:val="22"/>
                <w:szCs w:val="22"/>
              </w:rPr>
              <w:t>učitelju</w:t>
            </w:r>
            <w:proofErr w:type="spellEnd"/>
            <w:r w:rsidR="00FE4704" w:rsidRPr="00DF4CE5">
              <w:rPr>
                <w:rFonts w:ascii="Cambria" w:hAnsi="Cambria"/>
                <w:sz w:val="22"/>
                <w:szCs w:val="22"/>
              </w:rPr>
              <w:t xml:space="preserve"> u </w:t>
            </w:r>
            <w:proofErr w:type="spellStart"/>
            <w:r w:rsidR="00FE4704" w:rsidRPr="00DF4CE5">
              <w:rPr>
                <w:rFonts w:ascii="Cambria" w:hAnsi="Cambria"/>
                <w:sz w:val="22"/>
                <w:szCs w:val="22"/>
              </w:rPr>
              <w:t>njegovom</w:t>
            </w:r>
            <w:proofErr w:type="spellEnd"/>
            <w:r w:rsidR="00FE4704" w:rsidRPr="00DF4CE5">
              <w:rPr>
                <w:rFonts w:ascii="Cambria" w:hAnsi="Cambria"/>
                <w:sz w:val="22"/>
                <w:szCs w:val="22"/>
              </w:rPr>
              <w:t xml:space="preserve"> </w:t>
            </w:r>
            <w:proofErr w:type="spellStart"/>
            <w:r w:rsidR="00FE4704" w:rsidRPr="00DF4CE5">
              <w:rPr>
                <w:rFonts w:ascii="Cambria" w:hAnsi="Cambria"/>
                <w:sz w:val="22"/>
                <w:szCs w:val="22"/>
              </w:rPr>
              <w:t>radu</w:t>
            </w:r>
            <w:proofErr w:type="spellEnd"/>
            <w:r w:rsidR="00FE4704" w:rsidRPr="00DF4CE5">
              <w:rPr>
                <w:rFonts w:ascii="Cambria" w:hAnsi="Cambria"/>
                <w:sz w:val="22"/>
                <w:szCs w:val="22"/>
              </w:rPr>
              <w:t xml:space="preserve"> u </w:t>
            </w:r>
            <w:proofErr w:type="spellStart"/>
            <w:r w:rsidR="00FE4704" w:rsidRPr="00DF4CE5">
              <w:rPr>
                <w:rFonts w:ascii="Cambria" w:hAnsi="Cambria"/>
                <w:sz w:val="22"/>
                <w:szCs w:val="22"/>
              </w:rPr>
              <w:t>osnovnoj</w:t>
            </w:r>
            <w:proofErr w:type="spellEnd"/>
            <w:r w:rsidR="00FE4704" w:rsidRPr="00DF4CE5">
              <w:rPr>
                <w:rFonts w:ascii="Cambria" w:hAnsi="Cambria"/>
                <w:sz w:val="22"/>
                <w:szCs w:val="22"/>
              </w:rPr>
              <w:t xml:space="preserve"> </w:t>
            </w:r>
            <w:proofErr w:type="spellStart"/>
            <w:r w:rsidR="00FE4704" w:rsidRPr="00DF4CE5">
              <w:rPr>
                <w:rFonts w:ascii="Cambria" w:hAnsi="Cambria"/>
                <w:sz w:val="22"/>
                <w:szCs w:val="22"/>
              </w:rPr>
              <w:t>školi</w:t>
            </w:r>
            <w:proofErr w:type="spellEnd"/>
          </w:p>
          <w:p w14:paraId="17537B78" w14:textId="4ED994F2" w:rsidR="00FE4704" w:rsidRPr="00DF4CE5" w:rsidRDefault="00196481" w:rsidP="00891E8C">
            <w:pPr>
              <w:pStyle w:val="Default"/>
              <w:rPr>
                <w:rFonts w:ascii="Cambria" w:hAnsi="Cambria"/>
                <w:sz w:val="22"/>
                <w:szCs w:val="22"/>
              </w:rPr>
            </w:pPr>
            <w:r>
              <w:rPr>
                <w:rFonts w:ascii="Cambria" w:hAnsi="Cambria"/>
                <w:sz w:val="22"/>
                <w:szCs w:val="22"/>
              </w:rPr>
              <w:t xml:space="preserve">2. </w:t>
            </w:r>
            <w:proofErr w:type="spellStart"/>
            <w:r w:rsidR="00FE4704" w:rsidRPr="00DF4CE5">
              <w:rPr>
                <w:rFonts w:ascii="Cambria" w:hAnsi="Cambria"/>
                <w:sz w:val="22"/>
                <w:szCs w:val="22"/>
              </w:rPr>
              <w:t>Pregled</w:t>
            </w:r>
            <w:proofErr w:type="spellEnd"/>
            <w:r w:rsidR="00FE4704" w:rsidRPr="00DF4CE5">
              <w:rPr>
                <w:rFonts w:ascii="Cambria" w:hAnsi="Cambria"/>
                <w:sz w:val="22"/>
                <w:szCs w:val="22"/>
              </w:rPr>
              <w:t xml:space="preserve"> </w:t>
            </w:r>
            <w:proofErr w:type="spellStart"/>
            <w:r w:rsidR="00FE4704" w:rsidRPr="00DF4CE5">
              <w:rPr>
                <w:rFonts w:ascii="Cambria" w:hAnsi="Cambria"/>
                <w:sz w:val="22"/>
                <w:szCs w:val="22"/>
              </w:rPr>
              <w:t>novih</w:t>
            </w:r>
            <w:proofErr w:type="spellEnd"/>
            <w:r w:rsidR="00FE4704" w:rsidRPr="00DF4CE5">
              <w:rPr>
                <w:rFonts w:ascii="Cambria" w:hAnsi="Cambria"/>
                <w:sz w:val="22"/>
                <w:szCs w:val="22"/>
              </w:rPr>
              <w:t xml:space="preserve"> </w:t>
            </w:r>
            <w:proofErr w:type="spellStart"/>
            <w:r w:rsidR="00FE4704" w:rsidRPr="00DF4CE5">
              <w:rPr>
                <w:rFonts w:ascii="Cambria" w:hAnsi="Cambria"/>
                <w:sz w:val="22"/>
                <w:szCs w:val="22"/>
              </w:rPr>
              <w:t>korisnih</w:t>
            </w:r>
            <w:proofErr w:type="spellEnd"/>
            <w:r w:rsidR="00FE4704" w:rsidRPr="00DF4CE5">
              <w:rPr>
                <w:rFonts w:ascii="Cambria" w:hAnsi="Cambria"/>
                <w:sz w:val="22"/>
                <w:szCs w:val="22"/>
              </w:rPr>
              <w:t xml:space="preserve"> </w:t>
            </w:r>
            <w:proofErr w:type="spellStart"/>
            <w:r w:rsidR="00FE4704" w:rsidRPr="00DF4CE5">
              <w:rPr>
                <w:rFonts w:ascii="Cambria" w:hAnsi="Cambria"/>
                <w:sz w:val="22"/>
                <w:szCs w:val="22"/>
              </w:rPr>
              <w:t>aplikacija</w:t>
            </w:r>
            <w:proofErr w:type="spellEnd"/>
            <w:r w:rsidR="00FE4704" w:rsidRPr="00DF4CE5">
              <w:rPr>
                <w:rFonts w:ascii="Cambria" w:hAnsi="Cambria"/>
                <w:sz w:val="22"/>
                <w:szCs w:val="22"/>
              </w:rPr>
              <w:t xml:space="preserve"> </w:t>
            </w:r>
            <w:proofErr w:type="spellStart"/>
            <w:r w:rsidR="00FE4704" w:rsidRPr="00DF4CE5">
              <w:rPr>
                <w:rFonts w:ascii="Cambria" w:hAnsi="Cambria"/>
                <w:sz w:val="22"/>
                <w:szCs w:val="22"/>
              </w:rPr>
              <w:t>koje</w:t>
            </w:r>
            <w:proofErr w:type="spellEnd"/>
            <w:r w:rsidR="00FE4704" w:rsidRPr="00DF4CE5">
              <w:rPr>
                <w:rFonts w:ascii="Cambria" w:hAnsi="Cambria"/>
                <w:sz w:val="22"/>
                <w:szCs w:val="22"/>
              </w:rPr>
              <w:t xml:space="preserve"> </w:t>
            </w:r>
            <w:proofErr w:type="spellStart"/>
            <w:r w:rsidR="00FE4704" w:rsidRPr="00DF4CE5">
              <w:rPr>
                <w:rFonts w:ascii="Cambria" w:hAnsi="Cambria"/>
                <w:sz w:val="22"/>
                <w:szCs w:val="22"/>
              </w:rPr>
              <w:t>će</w:t>
            </w:r>
            <w:proofErr w:type="spellEnd"/>
            <w:r w:rsidR="00FE4704" w:rsidRPr="00DF4CE5">
              <w:rPr>
                <w:rFonts w:ascii="Cambria" w:hAnsi="Cambria"/>
                <w:sz w:val="22"/>
                <w:szCs w:val="22"/>
              </w:rPr>
              <w:t xml:space="preserve"> </w:t>
            </w:r>
            <w:proofErr w:type="spellStart"/>
            <w:r w:rsidR="00FE4704" w:rsidRPr="00DF4CE5">
              <w:rPr>
                <w:rFonts w:ascii="Cambria" w:hAnsi="Cambria"/>
                <w:sz w:val="22"/>
                <w:szCs w:val="22"/>
              </w:rPr>
              <w:t>pomoći</w:t>
            </w:r>
            <w:proofErr w:type="spellEnd"/>
            <w:r w:rsidR="00FE4704" w:rsidRPr="00DF4CE5">
              <w:rPr>
                <w:rFonts w:ascii="Cambria" w:hAnsi="Cambria"/>
                <w:sz w:val="22"/>
                <w:szCs w:val="22"/>
              </w:rPr>
              <w:t xml:space="preserve"> </w:t>
            </w:r>
            <w:proofErr w:type="spellStart"/>
            <w:r w:rsidR="00FE4704" w:rsidRPr="00DF4CE5">
              <w:rPr>
                <w:rFonts w:ascii="Cambria" w:hAnsi="Cambria"/>
                <w:sz w:val="22"/>
                <w:szCs w:val="22"/>
              </w:rPr>
              <w:t>učitelju</w:t>
            </w:r>
            <w:proofErr w:type="spellEnd"/>
            <w:r w:rsidR="00FE4704" w:rsidRPr="00DF4CE5">
              <w:rPr>
                <w:rFonts w:ascii="Cambria" w:hAnsi="Cambria"/>
                <w:sz w:val="22"/>
                <w:szCs w:val="22"/>
              </w:rPr>
              <w:t xml:space="preserve"> u </w:t>
            </w:r>
            <w:proofErr w:type="spellStart"/>
            <w:r w:rsidR="00FE4704" w:rsidRPr="00DF4CE5">
              <w:rPr>
                <w:rFonts w:ascii="Cambria" w:hAnsi="Cambria"/>
                <w:sz w:val="22"/>
                <w:szCs w:val="22"/>
              </w:rPr>
              <w:t>njegovom</w:t>
            </w:r>
            <w:proofErr w:type="spellEnd"/>
            <w:r w:rsidR="00FE4704" w:rsidRPr="00DF4CE5">
              <w:rPr>
                <w:rFonts w:ascii="Cambria" w:hAnsi="Cambria"/>
                <w:sz w:val="22"/>
                <w:szCs w:val="22"/>
              </w:rPr>
              <w:t xml:space="preserve"> </w:t>
            </w:r>
            <w:proofErr w:type="spellStart"/>
            <w:r w:rsidR="00FE4704" w:rsidRPr="00DF4CE5">
              <w:rPr>
                <w:rFonts w:ascii="Cambria" w:hAnsi="Cambria"/>
                <w:sz w:val="22"/>
                <w:szCs w:val="22"/>
              </w:rPr>
              <w:t>radu</w:t>
            </w:r>
            <w:proofErr w:type="spellEnd"/>
            <w:r w:rsidR="00FE4704" w:rsidRPr="00DF4CE5">
              <w:rPr>
                <w:rFonts w:ascii="Cambria" w:hAnsi="Cambria"/>
                <w:sz w:val="22"/>
                <w:szCs w:val="22"/>
              </w:rPr>
              <w:t xml:space="preserve"> u </w:t>
            </w:r>
            <w:proofErr w:type="spellStart"/>
            <w:r w:rsidR="00FE4704" w:rsidRPr="00DF4CE5">
              <w:rPr>
                <w:rFonts w:ascii="Cambria" w:hAnsi="Cambria"/>
                <w:sz w:val="22"/>
                <w:szCs w:val="22"/>
              </w:rPr>
              <w:t>osnovnoj</w:t>
            </w:r>
            <w:proofErr w:type="spellEnd"/>
            <w:r w:rsidR="00FE4704" w:rsidRPr="00DF4CE5">
              <w:rPr>
                <w:rFonts w:ascii="Cambria" w:hAnsi="Cambria"/>
                <w:sz w:val="22"/>
                <w:szCs w:val="22"/>
              </w:rPr>
              <w:t xml:space="preserve"> </w:t>
            </w:r>
            <w:proofErr w:type="spellStart"/>
            <w:r w:rsidR="00FE4704" w:rsidRPr="00DF4CE5">
              <w:rPr>
                <w:rFonts w:ascii="Cambria" w:hAnsi="Cambria"/>
                <w:sz w:val="22"/>
                <w:szCs w:val="22"/>
              </w:rPr>
              <w:t>školi</w:t>
            </w:r>
            <w:proofErr w:type="spellEnd"/>
          </w:p>
        </w:tc>
      </w:tr>
      <w:tr w:rsidR="00FE4704" w:rsidRPr="00DF4CE5" w14:paraId="2A403D46" w14:textId="77777777" w:rsidTr="00E93B72">
        <w:tc>
          <w:tcPr>
            <w:tcW w:w="2623"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hideMark/>
          </w:tcPr>
          <w:p w14:paraId="3C753419" w14:textId="77777777" w:rsidR="00FE4704" w:rsidRPr="00DF4CE5" w:rsidRDefault="00FE4704" w:rsidP="00891E8C">
            <w:pPr>
              <w:rPr>
                <w:rFonts w:ascii="Cambria" w:hAnsi="Cambria" w:cs="Calibri"/>
                <w:lang w:val="it-IT"/>
              </w:rPr>
            </w:pPr>
            <w:proofErr w:type="spellStart"/>
            <w:r w:rsidRPr="00DF4CE5">
              <w:rPr>
                <w:rFonts w:ascii="Cambria" w:hAnsi="Cambria" w:cs="Calibri"/>
                <w:lang w:val="it-IT"/>
              </w:rPr>
              <w:t>Planirane</w:t>
            </w:r>
            <w:proofErr w:type="spellEnd"/>
            <w:r w:rsidRPr="00DF4CE5">
              <w:rPr>
                <w:rFonts w:ascii="Cambria" w:hAnsi="Cambria" w:cs="Calibri"/>
                <w:lang w:val="it-IT"/>
              </w:rPr>
              <w:t xml:space="preserve"> </w:t>
            </w:r>
            <w:proofErr w:type="spellStart"/>
            <w:r w:rsidRPr="00DF4CE5">
              <w:rPr>
                <w:rFonts w:ascii="Cambria" w:hAnsi="Cambria" w:cs="Calibri"/>
                <w:lang w:val="it-IT"/>
              </w:rPr>
              <w:t>aktivnosti</w:t>
            </w:r>
            <w:proofErr w:type="spellEnd"/>
            <w:r w:rsidRPr="00DF4CE5">
              <w:rPr>
                <w:rFonts w:ascii="Cambria" w:hAnsi="Cambria" w:cs="Calibri"/>
                <w:lang w:val="it-IT"/>
              </w:rPr>
              <w:t>,</w:t>
            </w:r>
          </w:p>
          <w:p w14:paraId="775C6E62" w14:textId="77777777" w:rsidR="00FE4704" w:rsidRPr="00DF4CE5" w:rsidRDefault="00FE4704" w:rsidP="00891E8C">
            <w:pPr>
              <w:rPr>
                <w:rFonts w:ascii="Cambria" w:hAnsi="Cambria" w:cs="Calibri"/>
                <w:lang w:val="it-IT"/>
              </w:rPr>
            </w:pPr>
            <w:proofErr w:type="spellStart"/>
            <w:r w:rsidRPr="00DF4CE5">
              <w:rPr>
                <w:rFonts w:ascii="Cambria" w:hAnsi="Cambria" w:cs="Calibri"/>
                <w:lang w:val="it-IT"/>
              </w:rPr>
              <w:t>metode</w:t>
            </w:r>
            <w:proofErr w:type="spellEnd"/>
            <w:r w:rsidRPr="00DF4CE5">
              <w:rPr>
                <w:rFonts w:ascii="Cambria" w:hAnsi="Cambria" w:cs="Calibri"/>
                <w:lang w:val="it-IT"/>
              </w:rPr>
              <w:t xml:space="preserve"> </w:t>
            </w:r>
            <w:proofErr w:type="spellStart"/>
            <w:r w:rsidRPr="00DF4CE5">
              <w:rPr>
                <w:rFonts w:ascii="Cambria" w:hAnsi="Cambria" w:cs="Calibri"/>
                <w:lang w:val="it-IT"/>
              </w:rPr>
              <w:t>učenja</w:t>
            </w:r>
            <w:proofErr w:type="spellEnd"/>
            <w:r w:rsidRPr="00DF4CE5">
              <w:rPr>
                <w:rFonts w:ascii="Cambria" w:hAnsi="Cambria" w:cs="Calibri"/>
                <w:lang w:val="it-IT"/>
              </w:rPr>
              <w:t xml:space="preserve"> i </w:t>
            </w:r>
            <w:proofErr w:type="spellStart"/>
            <w:r w:rsidRPr="00DF4CE5">
              <w:rPr>
                <w:rFonts w:ascii="Cambria" w:hAnsi="Cambria" w:cs="Calibri"/>
                <w:lang w:val="it-IT"/>
              </w:rPr>
              <w:t>poučavanja</w:t>
            </w:r>
            <w:proofErr w:type="spellEnd"/>
            <w:r w:rsidRPr="00DF4CE5">
              <w:rPr>
                <w:rFonts w:ascii="Cambria" w:hAnsi="Cambria" w:cs="Calibri"/>
                <w:lang w:val="it-IT"/>
              </w:rPr>
              <w:t xml:space="preserve"> i </w:t>
            </w:r>
            <w:proofErr w:type="spellStart"/>
            <w:r w:rsidRPr="00DF4CE5">
              <w:rPr>
                <w:rFonts w:ascii="Cambria" w:hAnsi="Cambria" w:cs="Calibri"/>
                <w:lang w:val="it-IT"/>
              </w:rPr>
              <w:t>načini</w:t>
            </w:r>
            <w:proofErr w:type="spellEnd"/>
            <w:r w:rsidRPr="00DF4CE5">
              <w:rPr>
                <w:rFonts w:ascii="Cambria" w:hAnsi="Cambria" w:cs="Calibri"/>
                <w:lang w:val="it-IT"/>
              </w:rPr>
              <w:t xml:space="preserve"> </w:t>
            </w:r>
            <w:proofErr w:type="spellStart"/>
            <w:r w:rsidRPr="00DF4CE5">
              <w:rPr>
                <w:rFonts w:ascii="Cambria" w:hAnsi="Cambria" w:cs="Calibri"/>
                <w:lang w:val="it-IT"/>
              </w:rPr>
              <w:t>vrednovanja</w:t>
            </w:r>
            <w:proofErr w:type="spellEnd"/>
          </w:p>
        </w:tc>
        <w:tc>
          <w:tcPr>
            <w:tcW w:w="258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003947F" w14:textId="77777777" w:rsidR="00FE4704" w:rsidRPr="00DF4CE5" w:rsidRDefault="00FE4704" w:rsidP="00891E8C">
            <w:pPr>
              <w:pStyle w:val="Default"/>
              <w:rPr>
                <w:rFonts w:ascii="Cambria" w:hAnsi="Cambria"/>
                <w:sz w:val="22"/>
                <w:szCs w:val="22"/>
              </w:rPr>
            </w:pPr>
            <w:proofErr w:type="spellStart"/>
            <w:r w:rsidRPr="00DF4CE5">
              <w:rPr>
                <w:rFonts w:ascii="Cambria" w:hAnsi="Cambria"/>
                <w:sz w:val="22"/>
                <w:szCs w:val="22"/>
              </w:rPr>
              <w:t>Obveze</w:t>
            </w:r>
            <w:proofErr w:type="spellEnd"/>
          </w:p>
        </w:tc>
        <w:tc>
          <w:tcPr>
            <w:tcW w:w="10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4649F63" w14:textId="77777777" w:rsidR="00FE4704" w:rsidRPr="00DF4CE5" w:rsidRDefault="00FE4704" w:rsidP="00891E8C">
            <w:pPr>
              <w:pStyle w:val="Default"/>
              <w:rPr>
                <w:rFonts w:ascii="Cambria" w:hAnsi="Cambria"/>
                <w:sz w:val="22"/>
                <w:szCs w:val="22"/>
              </w:rPr>
            </w:pPr>
            <w:proofErr w:type="spellStart"/>
            <w:r w:rsidRPr="00DF4CE5">
              <w:rPr>
                <w:rFonts w:ascii="Cambria" w:hAnsi="Cambria"/>
                <w:sz w:val="22"/>
                <w:szCs w:val="22"/>
              </w:rPr>
              <w:t>Ishodi</w:t>
            </w:r>
            <w:proofErr w:type="spellEnd"/>
          </w:p>
        </w:tc>
        <w:tc>
          <w:tcPr>
            <w:tcW w:w="71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34344DF" w14:textId="77777777" w:rsidR="00FE4704" w:rsidRPr="00DF4CE5" w:rsidRDefault="00FE4704" w:rsidP="00891E8C">
            <w:pPr>
              <w:pStyle w:val="Default"/>
              <w:rPr>
                <w:rFonts w:ascii="Cambria" w:hAnsi="Cambria"/>
                <w:sz w:val="22"/>
                <w:szCs w:val="22"/>
              </w:rPr>
            </w:pPr>
            <w:r w:rsidRPr="00DF4CE5">
              <w:rPr>
                <w:rFonts w:ascii="Cambria" w:hAnsi="Cambria"/>
                <w:sz w:val="22"/>
                <w:szCs w:val="22"/>
              </w:rPr>
              <w:t>Sati</w:t>
            </w:r>
          </w:p>
        </w:tc>
        <w:tc>
          <w:tcPr>
            <w:tcW w:w="101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6B609C8" w14:textId="382E9C03" w:rsidR="00FE4704" w:rsidRPr="00DF4CE5" w:rsidRDefault="00FE4704" w:rsidP="00891E8C">
            <w:pPr>
              <w:pStyle w:val="Default"/>
              <w:rPr>
                <w:rFonts w:ascii="Cambria" w:hAnsi="Cambria"/>
                <w:sz w:val="22"/>
                <w:szCs w:val="22"/>
              </w:rPr>
            </w:pPr>
            <w:r w:rsidRPr="00DF4CE5">
              <w:rPr>
                <w:rFonts w:ascii="Cambria" w:hAnsi="Cambria"/>
                <w:sz w:val="22"/>
                <w:szCs w:val="22"/>
              </w:rPr>
              <w:t>ECTS</w:t>
            </w:r>
          </w:p>
        </w:tc>
        <w:tc>
          <w:tcPr>
            <w:tcW w:w="131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0A237B7" w14:textId="77777777" w:rsidR="00FE4704" w:rsidRPr="00DF4CE5" w:rsidRDefault="00FE4704" w:rsidP="00891E8C">
            <w:pPr>
              <w:pStyle w:val="Default"/>
              <w:jc w:val="center"/>
              <w:rPr>
                <w:rFonts w:ascii="Cambria" w:hAnsi="Cambria"/>
                <w:sz w:val="22"/>
                <w:szCs w:val="22"/>
              </w:rPr>
            </w:pPr>
            <w:proofErr w:type="spellStart"/>
            <w:r w:rsidRPr="00DF4CE5">
              <w:rPr>
                <w:rFonts w:ascii="Cambria" w:hAnsi="Cambria"/>
                <w:sz w:val="22"/>
                <w:szCs w:val="22"/>
              </w:rPr>
              <w:t>Maksimalni</w:t>
            </w:r>
            <w:proofErr w:type="spellEnd"/>
            <w:r w:rsidRPr="00DF4CE5">
              <w:rPr>
                <w:rFonts w:ascii="Cambria" w:hAnsi="Cambria"/>
                <w:sz w:val="22"/>
                <w:szCs w:val="22"/>
              </w:rPr>
              <w:t xml:space="preserve"> </w:t>
            </w:r>
            <w:proofErr w:type="spellStart"/>
            <w:r w:rsidRPr="00DF4CE5">
              <w:rPr>
                <w:rFonts w:ascii="Cambria" w:hAnsi="Cambria"/>
                <w:sz w:val="22"/>
                <w:szCs w:val="22"/>
              </w:rPr>
              <w:t>udio</w:t>
            </w:r>
            <w:proofErr w:type="spellEnd"/>
            <w:r w:rsidRPr="00DF4CE5">
              <w:rPr>
                <w:rFonts w:ascii="Cambria" w:hAnsi="Cambria"/>
                <w:sz w:val="22"/>
                <w:szCs w:val="22"/>
              </w:rPr>
              <w:t xml:space="preserve"> u </w:t>
            </w:r>
            <w:proofErr w:type="spellStart"/>
            <w:r w:rsidRPr="00DF4CE5">
              <w:rPr>
                <w:rFonts w:ascii="Cambria" w:hAnsi="Cambria"/>
                <w:sz w:val="22"/>
                <w:szCs w:val="22"/>
              </w:rPr>
              <w:t>ocjeni</w:t>
            </w:r>
            <w:proofErr w:type="spellEnd"/>
            <w:r w:rsidRPr="00DF4CE5">
              <w:rPr>
                <w:rFonts w:ascii="Cambria" w:hAnsi="Cambria"/>
                <w:sz w:val="22"/>
                <w:szCs w:val="22"/>
              </w:rPr>
              <w:t xml:space="preserve"> (%)</w:t>
            </w:r>
          </w:p>
        </w:tc>
      </w:tr>
      <w:tr w:rsidR="00FE4704" w:rsidRPr="00DF4CE5" w14:paraId="21B034A8" w14:textId="77777777" w:rsidTr="00E93B72">
        <w:tc>
          <w:tcPr>
            <w:tcW w:w="2623" w:type="dxa"/>
            <w:vMerge/>
            <w:tcBorders>
              <w:left w:val="single" w:sz="8" w:space="0" w:color="000000"/>
              <w:right w:val="single" w:sz="8" w:space="0" w:color="000000"/>
            </w:tcBorders>
            <w:vAlign w:val="center"/>
            <w:hideMark/>
          </w:tcPr>
          <w:p w14:paraId="7D7B7F71" w14:textId="77777777" w:rsidR="00FE4704" w:rsidRPr="00DF4CE5" w:rsidRDefault="00FE4704" w:rsidP="00891E8C">
            <w:pPr>
              <w:rPr>
                <w:rFonts w:ascii="Cambria" w:hAnsi="Cambria" w:cs="Calibri"/>
              </w:rPr>
            </w:pPr>
          </w:p>
        </w:tc>
        <w:tc>
          <w:tcPr>
            <w:tcW w:w="258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5D50A2A" w14:textId="2A102443" w:rsidR="00FE4704" w:rsidRPr="00196481" w:rsidRDefault="00196481" w:rsidP="00891E8C">
            <w:pPr>
              <w:pStyle w:val="Default"/>
              <w:rPr>
                <w:rFonts w:ascii="Cambria" w:hAnsi="Cambria"/>
                <w:sz w:val="22"/>
                <w:szCs w:val="22"/>
                <w:lang w:val="it-IT"/>
              </w:rPr>
            </w:pPr>
            <w:proofErr w:type="spellStart"/>
            <w:r w:rsidRPr="00196481">
              <w:rPr>
                <w:rFonts w:ascii="Cambria" w:hAnsi="Cambria"/>
                <w:sz w:val="22"/>
                <w:szCs w:val="22"/>
                <w:lang w:val="it-IT"/>
              </w:rPr>
              <w:t>aktivnosti</w:t>
            </w:r>
            <w:proofErr w:type="spellEnd"/>
            <w:r w:rsidRPr="00196481">
              <w:rPr>
                <w:rFonts w:ascii="Cambria" w:hAnsi="Cambria"/>
                <w:sz w:val="22"/>
                <w:szCs w:val="22"/>
                <w:lang w:val="it-IT"/>
              </w:rPr>
              <w:t xml:space="preserve"> </w:t>
            </w:r>
            <w:proofErr w:type="spellStart"/>
            <w:r w:rsidRPr="00196481">
              <w:rPr>
                <w:rFonts w:ascii="Cambria" w:hAnsi="Cambria"/>
                <w:sz w:val="22"/>
                <w:szCs w:val="22"/>
                <w:lang w:val="it-IT"/>
              </w:rPr>
              <w:t>na</w:t>
            </w:r>
            <w:proofErr w:type="spellEnd"/>
            <w:r w:rsidRPr="00196481">
              <w:rPr>
                <w:rFonts w:ascii="Cambria" w:hAnsi="Cambria"/>
                <w:sz w:val="22"/>
                <w:szCs w:val="22"/>
                <w:lang w:val="it-IT"/>
              </w:rPr>
              <w:t xml:space="preserve"> </w:t>
            </w:r>
            <w:proofErr w:type="spellStart"/>
            <w:r w:rsidRPr="00196481">
              <w:rPr>
                <w:rFonts w:ascii="Cambria" w:hAnsi="Cambria"/>
                <w:sz w:val="22"/>
                <w:szCs w:val="22"/>
                <w:lang w:val="it-IT"/>
              </w:rPr>
              <w:t>nastavu</w:t>
            </w:r>
            <w:proofErr w:type="spellEnd"/>
            <w:r w:rsidR="00FE4704" w:rsidRPr="00196481">
              <w:rPr>
                <w:rFonts w:ascii="Cambria" w:hAnsi="Cambria"/>
                <w:sz w:val="22"/>
                <w:szCs w:val="22"/>
                <w:lang w:val="it-IT"/>
              </w:rPr>
              <w:t xml:space="preserve"> </w:t>
            </w:r>
            <w:r w:rsidRPr="00196481">
              <w:rPr>
                <w:rFonts w:ascii="Cambria" w:hAnsi="Cambria"/>
                <w:sz w:val="22"/>
                <w:szCs w:val="22"/>
                <w:lang w:val="it-IT"/>
              </w:rPr>
              <w:t>(</w:t>
            </w:r>
            <w:r w:rsidR="00FE4704" w:rsidRPr="00196481">
              <w:rPr>
                <w:rFonts w:ascii="Cambria" w:hAnsi="Cambria"/>
                <w:sz w:val="22"/>
                <w:szCs w:val="22"/>
                <w:lang w:val="it-IT"/>
              </w:rPr>
              <w:t>P,</w:t>
            </w:r>
            <w:r w:rsidRPr="00196481">
              <w:rPr>
                <w:rFonts w:ascii="Cambria" w:hAnsi="Cambria"/>
                <w:sz w:val="22"/>
                <w:szCs w:val="22"/>
                <w:lang w:val="it-IT"/>
              </w:rPr>
              <w:t xml:space="preserve"> </w:t>
            </w:r>
            <w:r w:rsidR="00FE4704" w:rsidRPr="00196481">
              <w:rPr>
                <w:rFonts w:ascii="Cambria" w:hAnsi="Cambria"/>
                <w:sz w:val="22"/>
                <w:szCs w:val="22"/>
                <w:lang w:val="it-IT"/>
              </w:rPr>
              <w:t>V</w:t>
            </w:r>
            <w:r w:rsidRPr="00196481">
              <w:rPr>
                <w:rFonts w:ascii="Cambria" w:hAnsi="Cambria"/>
                <w:sz w:val="22"/>
                <w:szCs w:val="22"/>
                <w:lang w:val="it-IT"/>
              </w:rPr>
              <w:t>)</w:t>
            </w:r>
            <w:r w:rsidR="00FE4704" w:rsidRPr="00196481">
              <w:rPr>
                <w:rFonts w:ascii="Cambria" w:hAnsi="Cambria"/>
                <w:sz w:val="22"/>
                <w:szCs w:val="22"/>
                <w:lang w:val="it-IT"/>
              </w:rPr>
              <w:t xml:space="preserve"> </w:t>
            </w:r>
          </w:p>
        </w:tc>
        <w:tc>
          <w:tcPr>
            <w:tcW w:w="10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8F3A753" w14:textId="77777777" w:rsidR="00FE4704" w:rsidRPr="00DF4CE5" w:rsidRDefault="00FE4704" w:rsidP="00196481">
            <w:pPr>
              <w:jc w:val="center"/>
              <w:rPr>
                <w:rFonts w:ascii="Cambria" w:hAnsi="Cambria" w:cs="Cambria"/>
                <w:color w:val="000000"/>
              </w:rPr>
            </w:pPr>
            <w:r w:rsidRPr="00DF4CE5">
              <w:rPr>
                <w:rFonts w:ascii="Cambria" w:hAnsi="Cambria" w:cs="Cambria"/>
                <w:color w:val="000000"/>
              </w:rPr>
              <w:t>1. – 2.</w:t>
            </w:r>
          </w:p>
        </w:tc>
        <w:tc>
          <w:tcPr>
            <w:tcW w:w="71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6671297" w14:textId="093EF07C" w:rsidR="00FE4704" w:rsidRPr="00DF4CE5" w:rsidRDefault="00196481" w:rsidP="00196481">
            <w:pPr>
              <w:jc w:val="center"/>
              <w:rPr>
                <w:rFonts w:ascii="Cambria" w:hAnsi="Cambria" w:cs="Cambria"/>
                <w:color w:val="000000"/>
              </w:rPr>
            </w:pPr>
            <w:r w:rsidRPr="00196481">
              <w:rPr>
                <w:rFonts w:ascii="Cambria" w:hAnsi="Cambria" w:cs="Cambria"/>
                <w:color w:val="000000"/>
              </w:rPr>
              <w:t>34</w:t>
            </w:r>
          </w:p>
        </w:tc>
        <w:tc>
          <w:tcPr>
            <w:tcW w:w="101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B40F2DD" w14:textId="225529BA" w:rsidR="00FE4704" w:rsidRPr="00DF4CE5" w:rsidRDefault="00FE4704" w:rsidP="00196481">
            <w:pPr>
              <w:jc w:val="center"/>
              <w:rPr>
                <w:rFonts w:ascii="Cambria" w:hAnsi="Cambria" w:cs="Cambria"/>
                <w:color w:val="000000"/>
              </w:rPr>
            </w:pPr>
            <w:r w:rsidRPr="00DF4CE5">
              <w:rPr>
                <w:rFonts w:ascii="Cambria" w:hAnsi="Cambria" w:cs="Cambria"/>
                <w:color w:val="000000"/>
              </w:rPr>
              <w:t>1,</w:t>
            </w:r>
            <w:r w:rsidR="00196481">
              <w:rPr>
                <w:rFonts w:ascii="Cambria" w:hAnsi="Cambria" w:cs="Cambria"/>
                <w:color w:val="000000"/>
              </w:rPr>
              <w:t>1</w:t>
            </w:r>
          </w:p>
        </w:tc>
        <w:tc>
          <w:tcPr>
            <w:tcW w:w="131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5B1D11D" w14:textId="77777777" w:rsidR="00FE4704" w:rsidRPr="00DF4CE5" w:rsidRDefault="00FE4704" w:rsidP="00196481">
            <w:pPr>
              <w:pStyle w:val="Default"/>
              <w:jc w:val="center"/>
              <w:rPr>
                <w:rFonts w:ascii="Cambria" w:hAnsi="Cambria"/>
                <w:sz w:val="22"/>
                <w:szCs w:val="22"/>
              </w:rPr>
            </w:pPr>
            <w:r w:rsidRPr="00DF4CE5">
              <w:rPr>
                <w:rFonts w:ascii="Cambria" w:hAnsi="Cambria"/>
                <w:sz w:val="22"/>
                <w:szCs w:val="22"/>
              </w:rPr>
              <w:t>0%</w:t>
            </w:r>
          </w:p>
        </w:tc>
      </w:tr>
      <w:tr w:rsidR="00FE4704" w:rsidRPr="00DF4CE5" w14:paraId="56625E03" w14:textId="77777777" w:rsidTr="00E93B72">
        <w:trPr>
          <w:trHeight w:val="247"/>
        </w:trPr>
        <w:tc>
          <w:tcPr>
            <w:tcW w:w="2623" w:type="dxa"/>
            <w:vMerge/>
            <w:tcBorders>
              <w:left w:val="single" w:sz="8" w:space="0" w:color="000000"/>
              <w:right w:val="single" w:sz="8" w:space="0" w:color="000000"/>
            </w:tcBorders>
            <w:vAlign w:val="center"/>
            <w:hideMark/>
          </w:tcPr>
          <w:p w14:paraId="7FE0D2D1" w14:textId="77777777" w:rsidR="00FE4704" w:rsidRPr="00DF4CE5" w:rsidRDefault="00FE4704" w:rsidP="00891E8C">
            <w:pPr>
              <w:rPr>
                <w:rFonts w:ascii="Cambria" w:hAnsi="Cambria" w:cs="Calibri"/>
              </w:rPr>
            </w:pPr>
          </w:p>
        </w:tc>
        <w:tc>
          <w:tcPr>
            <w:tcW w:w="258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F048832" w14:textId="3B6BA000" w:rsidR="00FE4704" w:rsidRPr="00DF4CE5" w:rsidRDefault="00196481" w:rsidP="00891E8C">
            <w:pPr>
              <w:pStyle w:val="Default"/>
              <w:rPr>
                <w:rFonts w:ascii="Cambria" w:hAnsi="Cambria"/>
                <w:sz w:val="22"/>
                <w:szCs w:val="22"/>
              </w:rPr>
            </w:pPr>
            <w:proofErr w:type="spellStart"/>
            <w:r>
              <w:rPr>
                <w:rFonts w:ascii="Cambria" w:hAnsi="Cambria"/>
                <w:sz w:val="22"/>
                <w:szCs w:val="22"/>
              </w:rPr>
              <w:t>i</w:t>
            </w:r>
            <w:r w:rsidR="00FE4704" w:rsidRPr="00DF4CE5">
              <w:rPr>
                <w:rFonts w:ascii="Cambria" w:hAnsi="Cambria"/>
                <w:sz w:val="22"/>
                <w:szCs w:val="22"/>
              </w:rPr>
              <w:t>zrada</w:t>
            </w:r>
            <w:proofErr w:type="spellEnd"/>
            <w:r w:rsidR="00FE4704" w:rsidRPr="00DF4CE5">
              <w:rPr>
                <w:rFonts w:ascii="Cambria" w:hAnsi="Cambria"/>
                <w:sz w:val="22"/>
                <w:szCs w:val="22"/>
              </w:rPr>
              <w:t xml:space="preserve"> 2 </w:t>
            </w:r>
            <w:proofErr w:type="spellStart"/>
            <w:r w:rsidR="00FE4704" w:rsidRPr="00DF4CE5">
              <w:rPr>
                <w:rFonts w:ascii="Cambria" w:hAnsi="Cambria"/>
                <w:sz w:val="22"/>
                <w:szCs w:val="22"/>
              </w:rPr>
              <w:t>projekta</w:t>
            </w:r>
            <w:proofErr w:type="spellEnd"/>
            <w:r w:rsidR="00FE4704" w:rsidRPr="00DF4CE5">
              <w:rPr>
                <w:rFonts w:ascii="Cambria" w:hAnsi="Cambria"/>
                <w:sz w:val="22"/>
                <w:szCs w:val="22"/>
              </w:rPr>
              <w:t xml:space="preserve">: a) </w:t>
            </w:r>
            <w:proofErr w:type="spellStart"/>
            <w:r w:rsidR="00FE4704" w:rsidRPr="00DF4CE5">
              <w:rPr>
                <w:rFonts w:ascii="Cambria" w:hAnsi="Cambria"/>
                <w:sz w:val="22"/>
                <w:szCs w:val="22"/>
              </w:rPr>
              <w:t>korištenje</w:t>
            </w:r>
            <w:proofErr w:type="spellEnd"/>
            <w:r w:rsidR="00FE4704" w:rsidRPr="00DF4CE5">
              <w:rPr>
                <w:rFonts w:ascii="Cambria" w:hAnsi="Cambria"/>
                <w:sz w:val="22"/>
                <w:szCs w:val="22"/>
              </w:rPr>
              <w:t xml:space="preserve"> </w:t>
            </w:r>
            <w:proofErr w:type="spellStart"/>
            <w:r w:rsidR="00FE4704" w:rsidRPr="00DF4CE5">
              <w:rPr>
                <w:rFonts w:ascii="Cambria" w:hAnsi="Cambria"/>
                <w:sz w:val="22"/>
                <w:szCs w:val="22"/>
              </w:rPr>
              <w:t>korisne</w:t>
            </w:r>
            <w:proofErr w:type="spellEnd"/>
            <w:r w:rsidR="00FE4704" w:rsidRPr="00DF4CE5">
              <w:rPr>
                <w:rFonts w:ascii="Cambria" w:hAnsi="Cambria"/>
                <w:sz w:val="22"/>
                <w:szCs w:val="22"/>
              </w:rPr>
              <w:t xml:space="preserve"> </w:t>
            </w:r>
            <w:proofErr w:type="spellStart"/>
            <w:r w:rsidR="00FE4704" w:rsidRPr="00DF4CE5">
              <w:rPr>
                <w:rFonts w:ascii="Cambria" w:hAnsi="Cambria"/>
                <w:sz w:val="22"/>
                <w:szCs w:val="22"/>
              </w:rPr>
              <w:lastRenderedPageBreak/>
              <w:t>aplikacije</w:t>
            </w:r>
            <w:proofErr w:type="spellEnd"/>
            <w:r w:rsidR="00FE4704" w:rsidRPr="00DF4CE5">
              <w:rPr>
                <w:rFonts w:ascii="Cambria" w:hAnsi="Cambria"/>
                <w:sz w:val="22"/>
                <w:szCs w:val="22"/>
              </w:rPr>
              <w:t xml:space="preserve"> </w:t>
            </w:r>
            <w:proofErr w:type="spellStart"/>
            <w:r w:rsidR="00FE4704" w:rsidRPr="00DF4CE5">
              <w:rPr>
                <w:rFonts w:ascii="Cambria" w:hAnsi="Cambria"/>
                <w:sz w:val="22"/>
                <w:szCs w:val="22"/>
              </w:rPr>
              <w:t>i</w:t>
            </w:r>
            <w:proofErr w:type="spellEnd"/>
            <w:r w:rsidR="00FE4704" w:rsidRPr="00DF4CE5">
              <w:rPr>
                <w:rFonts w:ascii="Cambria" w:hAnsi="Cambria"/>
                <w:sz w:val="22"/>
                <w:szCs w:val="22"/>
              </w:rPr>
              <w:t xml:space="preserve"> b) </w:t>
            </w:r>
            <w:proofErr w:type="spellStart"/>
            <w:r w:rsidR="00FE4704" w:rsidRPr="00DF4CE5">
              <w:rPr>
                <w:rFonts w:ascii="Cambria" w:hAnsi="Cambria"/>
                <w:sz w:val="22"/>
                <w:szCs w:val="22"/>
              </w:rPr>
              <w:t>korištenje</w:t>
            </w:r>
            <w:proofErr w:type="spellEnd"/>
            <w:r w:rsidR="00FE4704" w:rsidRPr="00DF4CE5">
              <w:rPr>
                <w:rFonts w:ascii="Cambria" w:hAnsi="Cambria"/>
                <w:sz w:val="22"/>
                <w:szCs w:val="22"/>
              </w:rPr>
              <w:t xml:space="preserve"> </w:t>
            </w:r>
            <w:proofErr w:type="spellStart"/>
            <w:r w:rsidR="00FE4704" w:rsidRPr="00DF4CE5">
              <w:rPr>
                <w:rFonts w:ascii="Cambria" w:hAnsi="Cambria"/>
                <w:sz w:val="22"/>
                <w:szCs w:val="22"/>
              </w:rPr>
              <w:t>nove</w:t>
            </w:r>
            <w:proofErr w:type="spellEnd"/>
            <w:r w:rsidR="00FE4704" w:rsidRPr="00DF4CE5">
              <w:rPr>
                <w:rFonts w:ascii="Cambria" w:hAnsi="Cambria"/>
                <w:sz w:val="22"/>
                <w:szCs w:val="22"/>
              </w:rPr>
              <w:t xml:space="preserve"> </w:t>
            </w:r>
            <w:proofErr w:type="spellStart"/>
            <w:r w:rsidR="00FE4704" w:rsidRPr="00DF4CE5">
              <w:rPr>
                <w:rFonts w:ascii="Cambria" w:hAnsi="Cambria"/>
                <w:sz w:val="22"/>
                <w:szCs w:val="22"/>
              </w:rPr>
              <w:t>aplikacije</w:t>
            </w:r>
            <w:proofErr w:type="spellEnd"/>
          </w:p>
        </w:tc>
        <w:tc>
          <w:tcPr>
            <w:tcW w:w="10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BE9D223" w14:textId="280C7510" w:rsidR="00FE4704" w:rsidRPr="00DF4CE5" w:rsidRDefault="00FE4704" w:rsidP="00196481">
            <w:pPr>
              <w:pStyle w:val="Default"/>
              <w:jc w:val="center"/>
              <w:rPr>
                <w:rFonts w:ascii="Cambria" w:hAnsi="Cambria"/>
                <w:sz w:val="22"/>
                <w:szCs w:val="22"/>
              </w:rPr>
            </w:pPr>
            <w:r w:rsidRPr="00DF4CE5">
              <w:rPr>
                <w:rFonts w:ascii="Cambria" w:hAnsi="Cambria"/>
                <w:sz w:val="22"/>
                <w:szCs w:val="22"/>
              </w:rPr>
              <w:lastRenderedPageBreak/>
              <w:t>1.</w:t>
            </w:r>
            <w:r w:rsidR="00196481">
              <w:rPr>
                <w:rFonts w:ascii="Cambria" w:hAnsi="Cambria"/>
                <w:sz w:val="22"/>
                <w:szCs w:val="22"/>
              </w:rPr>
              <w:t xml:space="preserve"> – </w:t>
            </w:r>
            <w:r w:rsidRPr="00DF4CE5">
              <w:rPr>
                <w:rFonts w:ascii="Cambria" w:hAnsi="Cambria"/>
                <w:sz w:val="22"/>
                <w:szCs w:val="22"/>
              </w:rPr>
              <w:t>2</w:t>
            </w:r>
            <w:r w:rsidR="00196481">
              <w:rPr>
                <w:rFonts w:ascii="Cambria" w:hAnsi="Cambria"/>
                <w:sz w:val="22"/>
                <w:szCs w:val="22"/>
              </w:rPr>
              <w:t>.</w:t>
            </w:r>
          </w:p>
        </w:tc>
        <w:tc>
          <w:tcPr>
            <w:tcW w:w="71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42F58CF" w14:textId="6E316E18" w:rsidR="00FE4704" w:rsidRPr="00DF4CE5" w:rsidRDefault="00FE4704" w:rsidP="00196481">
            <w:pPr>
              <w:pStyle w:val="Default"/>
              <w:jc w:val="center"/>
              <w:rPr>
                <w:rFonts w:ascii="Cambria" w:hAnsi="Cambria"/>
                <w:sz w:val="22"/>
                <w:szCs w:val="22"/>
              </w:rPr>
            </w:pPr>
            <w:r w:rsidRPr="00DF4CE5">
              <w:rPr>
                <w:rFonts w:ascii="Cambria" w:hAnsi="Cambria"/>
                <w:sz w:val="22"/>
                <w:szCs w:val="22"/>
              </w:rPr>
              <w:t>5</w:t>
            </w:r>
            <w:r w:rsidR="00196481">
              <w:rPr>
                <w:rFonts w:ascii="Cambria" w:hAnsi="Cambria"/>
                <w:sz w:val="22"/>
                <w:szCs w:val="22"/>
              </w:rPr>
              <w:t>6</w:t>
            </w:r>
          </w:p>
        </w:tc>
        <w:tc>
          <w:tcPr>
            <w:tcW w:w="101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76F0412" w14:textId="51EC35D0" w:rsidR="00FE4704" w:rsidRPr="00DF4CE5" w:rsidRDefault="00FE4704" w:rsidP="00196481">
            <w:pPr>
              <w:pStyle w:val="Default"/>
              <w:jc w:val="center"/>
              <w:rPr>
                <w:rFonts w:ascii="Cambria" w:hAnsi="Cambria"/>
                <w:sz w:val="22"/>
                <w:szCs w:val="22"/>
              </w:rPr>
            </w:pPr>
            <w:r w:rsidRPr="00DF4CE5">
              <w:rPr>
                <w:rFonts w:ascii="Cambria" w:hAnsi="Cambria"/>
                <w:sz w:val="22"/>
                <w:szCs w:val="22"/>
              </w:rPr>
              <w:t>1,</w:t>
            </w:r>
            <w:r w:rsidR="00196481">
              <w:rPr>
                <w:rFonts w:ascii="Cambria" w:hAnsi="Cambria"/>
                <w:sz w:val="22"/>
                <w:szCs w:val="22"/>
              </w:rPr>
              <w:t>9</w:t>
            </w:r>
          </w:p>
        </w:tc>
        <w:tc>
          <w:tcPr>
            <w:tcW w:w="131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8FBFE94" w14:textId="77777777" w:rsidR="00FE4704" w:rsidRPr="00DF4CE5" w:rsidRDefault="00FE4704" w:rsidP="00196481">
            <w:pPr>
              <w:pStyle w:val="Default"/>
              <w:jc w:val="center"/>
              <w:rPr>
                <w:rFonts w:ascii="Cambria" w:hAnsi="Cambria"/>
                <w:sz w:val="22"/>
                <w:szCs w:val="22"/>
              </w:rPr>
            </w:pPr>
            <w:r w:rsidRPr="00DF4CE5">
              <w:rPr>
                <w:rFonts w:ascii="Cambria" w:hAnsi="Cambria"/>
                <w:sz w:val="22"/>
                <w:szCs w:val="22"/>
              </w:rPr>
              <w:t>70%</w:t>
            </w:r>
          </w:p>
        </w:tc>
      </w:tr>
      <w:tr w:rsidR="00FE4704" w:rsidRPr="00DF4CE5" w14:paraId="51ABB949" w14:textId="77777777" w:rsidTr="00E93B72">
        <w:trPr>
          <w:trHeight w:val="259"/>
        </w:trPr>
        <w:tc>
          <w:tcPr>
            <w:tcW w:w="2623" w:type="dxa"/>
            <w:vMerge/>
            <w:tcBorders>
              <w:left w:val="single" w:sz="8" w:space="0" w:color="000000"/>
              <w:right w:val="single" w:sz="8" w:space="0" w:color="000000"/>
            </w:tcBorders>
            <w:vAlign w:val="center"/>
            <w:hideMark/>
          </w:tcPr>
          <w:p w14:paraId="16BD88A9" w14:textId="77777777" w:rsidR="00FE4704" w:rsidRPr="00DF4CE5" w:rsidRDefault="00FE4704" w:rsidP="00891E8C">
            <w:pPr>
              <w:rPr>
                <w:rFonts w:ascii="Cambria" w:hAnsi="Cambria" w:cs="Calibri"/>
              </w:rPr>
            </w:pPr>
          </w:p>
        </w:tc>
        <w:tc>
          <w:tcPr>
            <w:tcW w:w="258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03080A2" w14:textId="40C8C88E" w:rsidR="00FE4704" w:rsidRPr="00DF4CE5" w:rsidRDefault="00196481" w:rsidP="00891E8C">
            <w:pPr>
              <w:pStyle w:val="Default"/>
              <w:rPr>
                <w:rFonts w:ascii="Cambria" w:hAnsi="Cambria"/>
                <w:sz w:val="22"/>
                <w:szCs w:val="22"/>
              </w:rPr>
            </w:pPr>
            <w:proofErr w:type="spellStart"/>
            <w:r>
              <w:rPr>
                <w:rFonts w:ascii="Cambria" w:hAnsi="Cambria"/>
                <w:sz w:val="22"/>
                <w:szCs w:val="22"/>
              </w:rPr>
              <w:t>ko</w:t>
            </w:r>
            <w:r w:rsidR="00FE4704" w:rsidRPr="00DF4CE5">
              <w:rPr>
                <w:rFonts w:ascii="Cambria" w:hAnsi="Cambria"/>
                <w:sz w:val="22"/>
                <w:szCs w:val="22"/>
              </w:rPr>
              <w:t>lokvij</w:t>
            </w:r>
            <w:proofErr w:type="spellEnd"/>
          </w:p>
        </w:tc>
        <w:tc>
          <w:tcPr>
            <w:tcW w:w="10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FC37408" w14:textId="70BDDF61" w:rsidR="00FE4704" w:rsidRPr="00DF4CE5" w:rsidRDefault="00196481" w:rsidP="00196481">
            <w:pPr>
              <w:pStyle w:val="Default"/>
              <w:jc w:val="center"/>
              <w:rPr>
                <w:rFonts w:ascii="Cambria" w:hAnsi="Cambria"/>
                <w:sz w:val="22"/>
                <w:szCs w:val="22"/>
              </w:rPr>
            </w:pPr>
            <w:r w:rsidRPr="00DF4CE5">
              <w:rPr>
                <w:rFonts w:ascii="Cambria" w:hAnsi="Cambria"/>
                <w:sz w:val="22"/>
                <w:szCs w:val="22"/>
              </w:rPr>
              <w:t>1.</w:t>
            </w:r>
            <w:r>
              <w:rPr>
                <w:rFonts w:ascii="Cambria" w:hAnsi="Cambria"/>
                <w:sz w:val="22"/>
                <w:szCs w:val="22"/>
              </w:rPr>
              <w:t xml:space="preserve"> – </w:t>
            </w:r>
            <w:r w:rsidRPr="00DF4CE5">
              <w:rPr>
                <w:rFonts w:ascii="Cambria" w:hAnsi="Cambria"/>
                <w:sz w:val="22"/>
                <w:szCs w:val="22"/>
              </w:rPr>
              <w:t>2</w:t>
            </w:r>
            <w:r>
              <w:rPr>
                <w:rFonts w:ascii="Cambria" w:hAnsi="Cambria"/>
                <w:sz w:val="22"/>
                <w:szCs w:val="22"/>
              </w:rPr>
              <w:t>.</w:t>
            </w:r>
          </w:p>
        </w:tc>
        <w:tc>
          <w:tcPr>
            <w:tcW w:w="71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847450D" w14:textId="77777777" w:rsidR="00FE4704" w:rsidRPr="00DF4CE5" w:rsidRDefault="00FE4704" w:rsidP="00196481">
            <w:pPr>
              <w:pStyle w:val="Default"/>
              <w:jc w:val="center"/>
              <w:rPr>
                <w:rFonts w:ascii="Cambria" w:hAnsi="Cambria"/>
                <w:sz w:val="22"/>
                <w:szCs w:val="22"/>
              </w:rPr>
            </w:pPr>
            <w:r w:rsidRPr="00DF4CE5">
              <w:rPr>
                <w:rFonts w:ascii="Cambria" w:hAnsi="Cambria"/>
                <w:sz w:val="22"/>
                <w:szCs w:val="22"/>
              </w:rPr>
              <w:t>30</w:t>
            </w:r>
          </w:p>
        </w:tc>
        <w:tc>
          <w:tcPr>
            <w:tcW w:w="101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130EC67" w14:textId="45A7D57C" w:rsidR="00FE4704" w:rsidRPr="00DF4CE5" w:rsidRDefault="00FE4704" w:rsidP="00196481">
            <w:pPr>
              <w:pStyle w:val="Default"/>
              <w:jc w:val="center"/>
              <w:rPr>
                <w:rFonts w:ascii="Cambria" w:hAnsi="Cambria"/>
                <w:sz w:val="22"/>
                <w:szCs w:val="22"/>
              </w:rPr>
            </w:pPr>
            <w:r w:rsidRPr="00DF4CE5">
              <w:rPr>
                <w:rFonts w:ascii="Cambria" w:hAnsi="Cambria"/>
                <w:sz w:val="22"/>
                <w:szCs w:val="22"/>
              </w:rPr>
              <w:t>1</w:t>
            </w:r>
          </w:p>
        </w:tc>
        <w:tc>
          <w:tcPr>
            <w:tcW w:w="131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CE9D561" w14:textId="77777777" w:rsidR="00FE4704" w:rsidRPr="00DF4CE5" w:rsidRDefault="00FE4704" w:rsidP="00196481">
            <w:pPr>
              <w:pStyle w:val="Default"/>
              <w:jc w:val="center"/>
              <w:rPr>
                <w:rFonts w:ascii="Cambria" w:hAnsi="Cambria"/>
                <w:sz w:val="22"/>
                <w:szCs w:val="22"/>
              </w:rPr>
            </w:pPr>
            <w:r w:rsidRPr="00DF4CE5">
              <w:rPr>
                <w:rFonts w:ascii="Cambria" w:hAnsi="Cambria"/>
                <w:sz w:val="22"/>
                <w:szCs w:val="22"/>
              </w:rPr>
              <w:t>30%</w:t>
            </w:r>
          </w:p>
        </w:tc>
      </w:tr>
      <w:tr w:rsidR="00FE4704" w:rsidRPr="00DF4CE5" w14:paraId="47A157F5" w14:textId="77777777" w:rsidTr="00E93B72">
        <w:tc>
          <w:tcPr>
            <w:tcW w:w="2623" w:type="dxa"/>
            <w:vMerge/>
            <w:tcBorders>
              <w:left w:val="single" w:sz="8" w:space="0" w:color="000000"/>
              <w:right w:val="single" w:sz="8" w:space="0" w:color="000000"/>
            </w:tcBorders>
            <w:vAlign w:val="center"/>
            <w:hideMark/>
          </w:tcPr>
          <w:p w14:paraId="43F0178F" w14:textId="77777777" w:rsidR="00FE4704" w:rsidRPr="00DF4CE5" w:rsidRDefault="00FE4704" w:rsidP="00891E8C">
            <w:pPr>
              <w:rPr>
                <w:rFonts w:ascii="Cambria" w:hAnsi="Cambria" w:cs="Calibri"/>
              </w:rPr>
            </w:pPr>
          </w:p>
        </w:tc>
        <w:tc>
          <w:tcPr>
            <w:tcW w:w="3673"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CC4B452" w14:textId="5A56F984" w:rsidR="00FE4704" w:rsidRPr="00DF4CE5" w:rsidRDefault="00196481" w:rsidP="00891E8C">
            <w:pPr>
              <w:pStyle w:val="Default"/>
              <w:rPr>
                <w:rFonts w:ascii="Cambria" w:hAnsi="Cambria"/>
                <w:sz w:val="22"/>
                <w:szCs w:val="22"/>
              </w:rPr>
            </w:pPr>
            <w:proofErr w:type="spellStart"/>
            <w:r>
              <w:rPr>
                <w:rFonts w:ascii="Cambria" w:hAnsi="Cambria"/>
                <w:sz w:val="22"/>
                <w:szCs w:val="22"/>
              </w:rPr>
              <w:t>u</w:t>
            </w:r>
            <w:r w:rsidR="00FE4704" w:rsidRPr="00DF4CE5">
              <w:rPr>
                <w:rFonts w:ascii="Cambria" w:hAnsi="Cambria"/>
                <w:sz w:val="22"/>
                <w:szCs w:val="22"/>
              </w:rPr>
              <w:t>kupno</w:t>
            </w:r>
            <w:proofErr w:type="spellEnd"/>
          </w:p>
        </w:tc>
        <w:tc>
          <w:tcPr>
            <w:tcW w:w="71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14692CB" w14:textId="77777777" w:rsidR="00FE4704" w:rsidRPr="00DF4CE5" w:rsidRDefault="00FE4704" w:rsidP="00196481">
            <w:pPr>
              <w:pStyle w:val="Default"/>
              <w:jc w:val="center"/>
              <w:rPr>
                <w:rFonts w:ascii="Cambria" w:hAnsi="Cambria"/>
                <w:sz w:val="22"/>
                <w:szCs w:val="22"/>
              </w:rPr>
            </w:pPr>
            <w:r w:rsidRPr="00DF4CE5">
              <w:rPr>
                <w:rFonts w:ascii="Cambria" w:hAnsi="Cambria"/>
                <w:sz w:val="22"/>
                <w:szCs w:val="22"/>
              </w:rPr>
              <w:t>120</w:t>
            </w:r>
          </w:p>
        </w:tc>
        <w:tc>
          <w:tcPr>
            <w:tcW w:w="101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B7A49E5" w14:textId="77777777" w:rsidR="00FE4704" w:rsidRPr="00DF4CE5" w:rsidRDefault="00FE4704" w:rsidP="00196481">
            <w:pPr>
              <w:pStyle w:val="Default"/>
              <w:jc w:val="center"/>
              <w:rPr>
                <w:rFonts w:ascii="Cambria" w:hAnsi="Cambria"/>
                <w:sz w:val="22"/>
                <w:szCs w:val="22"/>
              </w:rPr>
            </w:pPr>
            <w:r w:rsidRPr="00DF4CE5">
              <w:rPr>
                <w:rFonts w:ascii="Cambria" w:hAnsi="Cambria"/>
                <w:sz w:val="22"/>
                <w:szCs w:val="22"/>
              </w:rPr>
              <w:t>4</w:t>
            </w:r>
          </w:p>
        </w:tc>
        <w:tc>
          <w:tcPr>
            <w:tcW w:w="131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D7188FE" w14:textId="77777777" w:rsidR="00FE4704" w:rsidRPr="00DF4CE5" w:rsidRDefault="00FE4704" w:rsidP="00196481">
            <w:pPr>
              <w:pStyle w:val="Default"/>
              <w:jc w:val="center"/>
              <w:rPr>
                <w:rFonts w:ascii="Cambria" w:hAnsi="Cambria"/>
                <w:sz w:val="22"/>
                <w:szCs w:val="22"/>
              </w:rPr>
            </w:pPr>
            <w:r w:rsidRPr="00DF4CE5">
              <w:rPr>
                <w:rFonts w:ascii="Cambria" w:hAnsi="Cambria"/>
                <w:sz w:val="22"/>
                <w:szCs w:val="22"/>
              </w:rPr>
              <w:t>100%</w:t>
            </w:r>
          </w:p>
        </w:tc>
      </w:tr>
      <w:tr w:rsidR="00FE4704" w:rsidRPr="00DF4CE5" w14:paraId="61E0A88E" w14:textId="77777777" w:rsidTr="00E93B72">
        <w:trPr>
          <w:trHeight w:val="329"/>
        </w:trPr>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3B82A1F" w14:textId="77777777" w:rsidR="00FE4704" w:rsidRPr="00DF4CE5" w:rsidRDefault="00FE4704" w:rsidP="00891E8C">
            <w:pPr>
              <w:rPr>
                <w:rFonts w:ascii="Cambria" w:hAnsi="Cambria" w:cs="Calibri"/>
              </w:rPr>
            </w:pPr>
            <w:proofErr w:type="spellStart"/>
            <w:r w:rsidRPr="00DF4CE5">
              <w:rPr>
                <w:rFonts w:ascii="Cambria" w:hAnsi="Cambria" w:cs="Calibri"/>
              </w:rPr>
              <w:t>Studentske</w:t>
            </w:r>
            <w:proofErr w:type="spellEnd"/>
            <w:r w:rsidRPr="00DF4CE5">
              <w:rPr>
                <w:rFonts w:ascii="Cambria" w:hAnsi="Cambria" w:cs="Calibri"/>
              </w:rPr>
              <w:t xml:space="preserve"> </w:t>
            </w:r>
            <w:proofErr w:type="spellStart"/>
            <w:r w:rsidRPr="00DF4CE5">
              <w:rPr>
                <w:rFonts w:ascii="Cambria" w:hAnsi="Cambria" w:cs="Calibri"/>
              </w:rPr>
              <w:t>obveze</w:t>
            </w:r>
            <w:proofErr w:type="spellEnd"/>
          </w:p>
        </w:tc>
        <w:tc>
          <w:tcPr>
            <w:tcW w:w="671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B34B21E" w14:textId="77777777" w:rsidR="00FE4704" w:rsidRPr="00DF4CE5" w:rsidRDefault="00FE4704" w:rsidP="00196481">
            <w:pPr>
              <w:spacing w:after="0" w:line="240" w:lineRule="auto"/>
              <w:rPr>
                <w:rFonts w:ascii="Cambria" w:hAnsi="Cambria" w:cs="Calibri"/>
                <w:lang w:val="it-IT"/>
              </w:rPr>
            </w:pPr>
            <w:r w:rsidRPr="00DF4CE5">
              <w:rPr>
                <w:rFonts w:ascii="Cambria" w:hAnsi="Cambria" w:cs="Calibri"/>
                <w:lang w:val="it-IT"/>
              </w:rPr>
              <w:t xml:space="preserve">Da </w:t>
            </w:r>
            <w:proofErr w:type="spellStart"/>
            <w:r w:rsidRPr="00DF4CE5">
              <w:rPr>
                <w:rFonts w:ascii="Cambria" w:hAnsi="Cambria" w:cs="Calibri"/>
                <w:lang w:val="it-IT"/>
              </w:rPr>
              <w:t>položi</w:t>
            </w:r>
            <w:proofErr w:type="spellEnd"/>
            <w:r w:rsidRPr="00DF4CE5">
              <w:rPr>
                <w:rFonts w:ascii="Cambria" w:hAnsi="Cambria" w:cs="Calibri"/>
                <w:lang w:val="it-IT"/>
              </w:rPr>
              <w:t xml:space="preserve"> </w:t>
            </w:r>
            <w:proofErr w:type="spellStart"/>
            <w:r w:rsidRPr="00DF4CE5">
              <w:rPr>
                <w:rFonts w:ascii="Cambria" w:hAnsi="Cambria" w:cs="Calibri"/>
                <w:lang w:val="it-IT"/>
              </w:rPr>
              <w:t>kolegij</w:t>
            </w:r>
            <w:proofErr w:type="spellEnd"/>
            <w:r w:rsidRPr="00DF4CE5">
              <w:rPr>
                <w:rFonts w:ascii="Cambria" w:hAnsi="Cambria" w:cs="Calibri"/>
                <w:lang w:val="it-IT"/>
              </w:rPr>
              <w:t xml:space="preserve">, </w:t>
            </w:r>
            <w:proofErr w:type="spellStart"/>
            <w:r w:rsidRPr="00DF4CE5">
              <w:rPr>
                <w:rFonts w:ascii="Cambria" w:hAnsi="Cambria" w:cs="Calibri"/>
                <w:lang w:val="it-IT"/>
              </w:rPr>
              <w:t>student</w:t>
            </w:r>
            <w:proofErr w:type="spellEnd"/>
            <w:r w:rsidRPr="00DF4CE5">
              <w:rPr>
                <w:rFonts w:ascii="Cambria" w:hAnsi="Cambria" w:cs="Calibri"/>
                <w:lang w:val="it-IT"/>
              </w:rPr>
              <w:t>/</w:t>
            </w:r>
            <w:proofErr w:type="spellStart"/>
            <w:r w:rsidRPr="00DF4CE5">
              <w:rPr>
                <w:rFonts w:ascii="Cambria" w:hAnsi="Cambria" w:cs="Calibri"/>
                <w:lang w:val="it-IT"/>
              </w:rPr>
              <w:t>studentica</w:t>
            </w:r>
            <w:proofErr w:type="spellEnd"/>
            <w:r w:rsidRPr="00DF4CE5">
              <w:rPr>
                <w:rFonts w:ascii="Cambria" w:hAnsi="Cambria" w:cs="Calibri"/>
                <w:lang w:val="it-IT"/>
              </w:rPr>
              <w:t xml:space="preserve"> mora:</w:t>
            </w:r>
          </w:p>
          <w:p w14:paraId="4FA1EDFB" w14:textId="3DBB12ED" w:rsidR="00FE4704" w:rsidRPr="00196481" w:rsidRDefault="00196481" w:rsidP="00196481">
            <w:pPr>
              <w:spacing w:after="0" w:line="240" w:lineRule="auto"/>
              <w:rPr>
                <w:rFonts w:ascii="Cambria" w:hAnsi="Cambria" w:cs="Calibri"/>
                <w:lang w:val="it-IT"/>
              </w:rPr>
            </w:pPr>
            <w:r w:rsidRPr="00196481">
              <w:rPr>
                <w:rFonts w:ascii="Cambria" w:hAnsi="Cambria" w:cs="Calibri"/>
                <w:lang w:val="it-IT"/>
              </w:rPr>
              <w:t xml:space="preserve">1. </w:t>
            </w:r>
            <w:proofErr w:type="spellStart"/>
            <w:r w:rsidRPr="00196481">
              <w:rPr>
                <w:rFonts w:ascii="Cambria" w:hAnsi="Cambria" w:cs="Calibri"/>
                <w:lang w:val="it-IT"/>
              </w:rPr>
              <w:t>p</w:t>
            </w:r>
            <w:r w:rsidR="00FE4704" w:rsidRPr="00196481">
              <w:rPr>
                <w:rFonts w:ascii="Cambria" w:hAnsi="Cambria" w:cs="Calibri"/>
                <w:lang w:val="it-IT"/>
              </w:rPr>
              <w:t>rezentirati</w:t>
            </w:r>
            <w:proofErr w:type="spellEnd"/>
            <w:r w:rsidR="00FE4704" w:rsidRPr="00196481">
              <w:rPr>
                <w:rFonts w:ascii="Cambria" w:hAnsi="Cambria" w:cs="Calibri"/>
                <w:lang w:val="it-IT"/>
              </w:rPr>
              <w:t xml:space="preserve"> oba </w:t>
            </w:r>
            <w:proofErr w:type="spellStart"/>
            <w:r w:rsidR="00FE4704" w:rsidRPr="00196481">
              <w:rPr>
                <w:rFonts w:ascii="Cambria" w:hAnsi="Cambria" w:cs="Calibri"/>
                <w:lang w:val="it-IT"/>
              </w:rPr>
              <w:t>projekta</w:t>
            </w:r>
            <w:proofErr w:type="spellEnd"/>
            <w:r w:rsidR="00FE4704" w:rsidRPr="00196481">
              <w:rPr>
                <w:rFonts w:ascii="Cambria" w:hAnsi="Cambria" w:cs="Calibri"/>
                <w:lang w:val="it-IT"/>
              </w:rPr>
              <w:t xml:space="preserve"> i </w:t>
            </w:r>
            <w:proofErr w:type="spellStart"/>
            <w:r w:rsidR="00FE4704" w:rsidRPr="00196481">
              <w:rPr>
                <w:rFonts w:ascii="Cambria" w:hAnsi="Cambria" w:cs="Calibri"/>
                <w:lang w:val="it-IT"/>
              </w:rPr>
              <w:t>obraniti</w:t>
            </w:r>
            <w:proofErr w:type="spellEnd"/>
            <w:r w:rsidR="00FE4704" w:rsidRPr="00196481">
              <w:rPr>
                <w:rFonts w:ascii="Cambria" w:hAnsi="Cambria" w:cs="Calibri"/>
                <w:lang w:val="it-IT"/>
              </w:rPr>
              <w:t xml:space="preserve"> ih </w:t>
            </w:r>
            <w:proofErr w:type="spellStart"/>
            <w:r w:rsidR="00FE4704" w:rsidRPr="00196481">
              <w:rPr>
                <w:rFonts w:ascii="Cambria" w:hAnsi="Cambria" w:cs="Calibri"/>
                <w:lang w:val="it-IT"/>
              </w:rPr>
              <w:t>pred</w:t>
            </w:r>
            <w:proofErr w:type="spellEnd"/>
            <w:r w:rsidR="00FE4704" w:rsidRPr="00196481">
              <w:rPr>
                <w:rFonts w:ascii="Cambria" w:hAnsi="Cambria" w:cs="Calibri"/>
                <w:lang w:val="it-IT"/>
              </w:rPr>
              <w:t xml:space="preserve"> </w:t>
            </w:r>
            <w:proofErr w:type="spellStart"/>
            <w:r w:rsidR="00FE4704" w:rsidRPr="00196481">
              <w:rPr>
                <w:rFonts w:ascii="Cambria" w:hAnsi="Cambria" w:cs="Calibri"/>
                <w:lang w:val="it-IT"/>
              </w:rPr>
              <w:t>nastavnikom</w:t>
            </w:r>
            <w:proofErr w:type="spellEnd"/>
          </w:p>
          <w:p w14:paraId="1233A229" w14:textId="512A701E" w:rsidR="00FE4704" w:rsidRPr="00196481" w:rsidRDefault="00196481" w:rsidP="00196481">
            <w:pPr>
              <w:spacing w:after="0" w:line="240" w:lineRule="auto"/>
              <w:rPr>
                <w:rFonts w:ascii="Cambria" w:hAnsi="Cambria" w:cs="Calibri"/>
              </w:rPr>
            </w:pPr>
            <w:r>
              <w:rPr>
                <w:rFonts w:ascii="Cambria" w:hAnsi="Cambria" w:cs="Calibri"/>
              </w:rPr>
              <w:t xml:space="preserve">2. </w:t>
            </w:r>
            <w:proofErr w:type="spellStart"/>
            <w:r w:rsidRPr="00196481">
              <w:rPr>
                <w:rFonts w:ascii="Cambria" w:hAnsi="Cambria" w:cs="Calibri"/>
              </w:rPr>
              <w:t>p</w:t>
            </w:r>
            <w:r w:rsidR="00FE4704" w:rsidRPr="00196481">
              <w:rPr>
                <w:rFonts w:ascii="Cambria" w:hAnsi="Cambria" w:cs="Calibri"/>
              </w:rPr>
              <w:t>oložiti</w:t>
            </w:r>
            <w:proofErr w:type="spellEnd"/>
            <w:r w:rsidR="00FE4704" w:rsidRPr="00196481">
              <w:rPr>
                <w:rFonts w:ascii="Cambria" w:hAnsi="Cambria" w:cs="Calibri"/>
              </w:rPr>
              <w:t xml:space="preserve"> </w:t>
            </w:r>
            <w:proofErr w:type="spellStart"/>
            <w:r w:rsidR="00FE4704" w:rsidRPr="00196481">
              <w:rPr>
                <w:rFonts w:ascii="Cambria" w:hAnsi="Cambria" w:cs="Calibri"/>
              </w:rPr>
              <w:t>kolokvij</w:t>
            </w:r>
            <w:proofErr w:type="spellEnd"/>
            <w:r w:rsidRPr="00196481">
              <w:rPr>
                <w:rFonts w:ascii="Cambria" w:hAnsi="Cambria" w:cs="Calibri"/>
              </w:rPr>
              <w:t>.</w:t>
            </w:r>
          </w:p>
        </w:tc>
      </w:tr>
      <w:tr w:rsidR="00FE4704" w:rsidRPr="00DF4CE5" w14:paraId="132AE4E6" w14:textId="77777777" w:rsidTr="00E93B72">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2AF2921" w14:textId="77777777" w:rsidR="00FE4704" w:rsidRPr="00DF4CE5" w:rsidRDefault="00FE4704" w:rsidP="00891E8C">
            <w:pPr>
              <w:rPr>
                <w:rFonts w:ascii="Cambria" w:hAnsi="Cambria" w:cs="Calibri"/>
              </w:rPr>
            </w:pPr>
            <w:proofErr w:type="spellStart"/>
            <w:r w:rsidRPr="00DF4CE5">
              <w:rPr>
                <w:rFonts w:ascii="Cambria" w:hAnsi="Cambria" w:cs="Calibri"/>
              </w:rPr>
              <w:t>Rokovi</w:t>
            </w:r>
            <w:proofErr w:type="spellEnd"/>
            <w:r w:rsidRPr="00DF4CE5">
              <w:rPr>
                <w:rFonts w:ascii="Cambria" w:hAnsi="Cambria" w:cs="Calibri"/>
              </w:rPr>
              <w:t xml:space="preserve"> </w:t>
            </w:r>
            <w:proofErr w:type="spellStart"/>
            <w:r w:rsidRPr="00DF4CE5">
              <w:rPr>
                <w:rFonts w:ascii="Cambria" w:hAnsi="Cambria" w:cs="Calibri"/>
              </w:rPr>
              <w:t>ispita</w:t>
            </w:r>
            <w:proofErr w:type="spellEnd"/>
            <w:r w:rsidRPr="00DF4CE5">
              <w:rPr>
                <w:rFonts w:ascii="Cambria" w:hAnsi="Cambria" w:cs="Calibri"/>
              </w:rPr>
              <w:t xml:space="preserve"> </w:t>
            </w:r>
            <w:proofErr w:type="spellStart"/>
            <w:r w:rsidRPr="00DF4CE5">
              <w:rPr>
                <w:rFonts w:ascii="Cambria" w:hAnsi="Cambria" w:cs="Calibri"/>
              </w:rPr>
              <w:t>i</w:t>
            </w:r>
            <w:proofErr w:type="spellEnd"/>
            <w:r w:rsidRPr="00DF4CE5">
              <w:rPr>
                <w:rFonts w:ascii="Cambria" w:hAnsi="Cambria" w:cs="Calibri"/>
              </w:rPr>
              <w:t xml:space="preserve"> </w:t>
            </w:r>
            <w:proofErr w:type="spellStart"/>
            <w:r w:rsidRPr="00DF4CE5">
              <w:rPr>
                <w:rFonts w:ascii="Cambria" w:hAnsi="Cambria" w:cs="Calibri"/>
              </w:rPr>
              <w:t>kolokvija</w:t>
            </w:r>
            <w:proofErr w:type="spellEnd"/>
          </w:p>
        </w:tc>
        <w:tc>
          <w:tcPr>
            <w:tcW w:w="671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4C98CCA" w14:textId="77777777" w:rsidR="00FE4704" w:rsidRPr="00DF4CE5" w:rsidRDefault="00FE4704" w:rsidP="00891E8C">
            <w:pPr>
              <w:rPr>
                <w:rFonts w:ascii="Cambria" w:hAnsi="Cambria" w:cs="Calibri"/>
              </w:rPr>
            </w:pPr>
            <w:r w:rsidRPr="00DF4CE5">
              <w:rPr>
                <w:rFonts w:ascii="Cambria" w:hAnsi="Cambria" w:cs="Calibri"/>
              </w:rPr>
              <w:t xml:space="preserve">Daju se </w:t>
            </w:r>
            <w:proofErr w:type="spellStart"/>
            <w:r w:rsidRPr="00DF4CE5">
              <w:rPr>
                <w:rFonts w:ascii="Cambria" w:hAnsi="Cambria" w:cs="Calibri"/>
              </w:rPr>
              <w:t>na</w:t>
            </w:r>
            <w:proofErr w:type="spellEnd"/>
            <w:r w:rsidRPr="00DF4CE5">
              <w:rPr>
                <w:rFonts w:ascii="Cambria" w:hAnsi="Cambria" w:cs="Calibri"/>
              </w:rPr>
              <w:t xml:space="preserve"> </w:t>
            </w:r>
            <w:proofErr w:type="spellStart"/>
            <w:r w:rsidRPr="00DF4CE5">
              <w:rPr>
                <w:rFonts w:ascii="Cambria" w:hAnsi="Cambria" w:cs="Calibri"/>
              </w:rPr>
              <w:t>početku</w:t>
            </w:r>
            <w:proofErr w:type="spellEnd"/>
            <w:r w:rsidRPr="00DF4CE5">
              <w:rPr>
                <w:rFonts w:ascii="Cambria" w:hAnsi="Cambria" w:cs="Calibri"/>
              </w:rPr>
              <w:t xml:space="preserve"> </w:t>
            </w:r>
            <w:proofErr w:type="spellStart"/>
            <w:r w:rsidRPr="00DF4CE5">
              <w:rPr>
                <w:rFonts w:ascii="Cambria" w:hAnsi="Cambria" w:cs="Calibri"/>
              </w:rPr>
              <w:t>akademske</w:t>
            </w:r>
            <w:proofErr w:type="spellEnd"/>
            <w:r w:rsidRPr="00DF4CE5">
              <w:rPr>
                <w:rFonts w:ascii="Cambria" w:hAnsi="Cambria" w:cs="Calibri"/>
              </w:rPr>
              <w:t xml:space="preserve"> </w:t>
            </w:r>
            <w:proofErr w:type="spellStart"/>
            <w:r w:rsidRPr="00DF4CE5">
              <w:rPr>
                <w:rFonts w:ascii="Cambria" w:hAnsi="Cambria" w:cs="Calibri"/>
              </w:rPr>
              <w:t>godine</w:t>
            </w:r>
            <w:proofErr w:type="spellEnd"/>
            <w:r w:rsidRPr="00DF4CE5">
              <w:rPr>
                <w:rFonts w:ascii="Cambria" w:hAnsi="Cambria" w:cs="Calibri"/>
              </w:rPr>
              <w:t xml:space="preserve">, </w:t>
            </w:r>
            <w:proofErr w:type="spellStart"/>
            <w:r w:rsidRPr="00DF4CE5">
              <w:rPr>
                <w:rFonts w:ascii="Cambria" w:hAnsi="Cambria" w:cs="Calibri"/>
              </w:rPr>
              <w:t>objavljuju</w:t>
            </w:r>
            <w:proofErr w:type="spellEnd"/>
            <w:r w:rsidRPr="00DF4CE5">
              <w:rPr>
                <w:rFonts w:ascii="Cambria" w:hAnsi="Cambria" w:cs="Calibri"/>
              </w:rPr>
              <w:t xml:space="preserve"> se </w:t>
            </w:r>
            <w:proofErr w:type="spellStart"/>
            <w:r w:rsidRPr="00DF4CE5">
              <w:rPr>
                <w:rFonts w:ascii="Cambria" w:hAnsi="Cambria" w:cs="Calibri"/>
              </w:rPr>
              <w:t>na</w:t>
            </w:r>
            <w:proofErr w:type="spellEnd"/>
            <w:r w:rsidRPr="00DF4CE5">
              <w:rPr>
                <w:rFonts w:ascii="Cambria" w:hAnsi="Cambria" w:cs="Calibri"/>
              </w:rPr>
              <w:t xml:space="preserve"> </w:t>
            </w:r>
            <w:proofErr w:type="spellStart"/>
            <w:r w:rsidRPr="00DF4CE5">
              <w:rPr>
                <w:rFonts w:ascii="Cambria" w:hAnsi="Cambria" w:cs="Calibri"/>
              </w:rPr>
              <w:t>mrežnim</w:t>
            </w:r>
            <w:proofErr w:type="spellEnd"/>
            <w:r w:rsidRPr="00DF4CE5">
              <w:rPr>
                <w:rFonts w:ascii="Cambria" w:hAnsi="Cambria" w:cs="Calibri"/>
              </w:rPr>
              <w:t xml:space="preserve"> </w:t>
            </w:r>
            <w:proofErr w:type="spellStart"/>
            <w:r w:rsidRPr="00DF4CE5">
              <w:rPr>
                <w:rFonts w:ascii="Cambria" w:hAnsi="Cambria" w:cs="Calibri"/>
              </w:rPr>
              <w:t>stranicama</w:t>
            </w:r>
            <w:proofErr w:type="spellEnd"/>
            <w:r w:rsidRPr="00DF4CE5">
              <w:rPr>
                <w:rFonts w:ascii="Cambria" w:hAnsi="Cambria" w:cs="Calibri"/>
              </w:rPr>
              <w:t xml:space="preserve"> </w:t>
            </w:r>
            <w:proofErr w:type="spellStart"/>
            <w:r w:rsidRPr="00DF4CE5">
              <w:rPr>
                <w:rFonts w:ascii="Cambria" w:hAnsi="Cambria" w:cs="Calibri"/>
              </w:rPr>
              <w:t>Sveučilišta</w:t>
            </w:r>
            <w:proofErr w:type="spellEnd"/>
            <w:r w:rsidRPr="00DF4CE5">
              <w:rPr>
                <w:rFonts w:ascii="Cambria" w:hAnsi="Cambria" w:cs="Calibri"/>
              </w:rPr>
              <w:t xml:space="preserve"> </w:t>
            </w:r>
            <w:proofErr w:type="spellStart"/>
            <w:r w:rsidRPr="00DF4CE5">
              <w:rPr>
                <w:rFonts w:ascii="Cambria" w:hAnsi="Cambria" w:cs="Calibri"/>
              </w:rPr>
              <w:t>i</w:t>
            </w:r>
            <w:proofErr w:type="spellEnd"/>
            <w:r w:rsidRPr="00DF4CE5">
              <w:rPr>
                <w:rFonts w:ascii="Cambria" w:hAnsi="Cambria" w:cs="Calibri"/>
              </w:rPr>
              <w:t xml:space="preserve"> u ISVU. </w:t>
            </w:r>
          </w:p>
        </w:tc>
      </w:tr>
      <w:tr w:rsidR="00FE4704" w:rsidRPr="00B30379" w14:paraId="2A6E9144" w14:textId="77777777" w:rsidTr="00E93B72">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F9C08EB" w14:textId="77777777" w:rsidR="00FE4704" w:rsidRPr="00DF4CE5" w:rsidRDefault="00FE4704" w:rsidP="00891E8C">
            <w:pPr>
              <w:rPr>
                <w:rFonts w:ascii="Cambria" w:hAnsi="Cambria" w:cs="Calibri"/>
                <w:lang w:val="it-IT"/>
              </w:rPr>
            </w:pPr>
            <w:r w:rsidRPr="00DF4CE5">
              <w:rPr>
                <w:rFonts w:ascii="Cambria" w:hAnsi="Cambria" w:cs="Calibri"/>
                <w:lang w:val="it-IT"/>
              </w:rPr>
              <w:t xml:space="preserve">Ostale </w:t>
            </w:r>
            <w:proofErr w:type="spellStart"/>
            <w:r w:rsidRPr="00DF4CE5">
              <w:rPr>
                <w:rFonts w:ascii="Cambria" w:hAnsi="Cambria" w:cs="Calibri"/>
                <w:lang w:val="it-IT"/>
              </w:rPr>
              <w:t>važne</w:t>
            </w:r>
            <w:proofErr w:type="spellEnd"/>
            <w:r w:rsidRPr="00DF4CE5">
              <w:rPr>
                <w:rFonts w:ascii="Cambria" w:hAnsi="Cambria" w:cs="Calibri"/>
                <w:lang w:val="it-IT"/>
              </w:rPr>
              <w:t xml:space="preserve"> </w:t>
            </w:r>
            <w:proofErr w:type="spellStart"/>
            <w:r w:rsidRPr="00DF4CE5">
              <w:rPr>
                <w:rFonts w:ascii="Cambria" w:hAnsi="Cambria" w:cs="Calibri"/>
                <w:lang w:val="it-IT"/>
              </w:rPr>
              <w:t>činjenice</w:t>
            </w:r>
            <w:proofErr w:type="spellEnd"/>
            <w:r w:rsidRPr="00DF4CE5">
              <w:rPr>
                <w:rFonts w:ascii="Cambria" w:hAnsi="Cambria" w:cs="Calibri"/>
                <w:lang w:val="it-IT"/>
              </w:rPr>
              <w:t xml:space="preserve"> </w:t>
            </w:r>
            <w:proofErr w:type="spellStart"/>
            <w:r w:rsidRPr="00DF4CE5">
              <w:rPr>
                <w:rFonts w:ascii="Cambria" w:hAnsi="Cambria" w:cs="Calibri"/>
                <w:lang w:val="it-IT"/>
              </w:rPr>
              <w:t>vezane</w:t>
            </w:r>
            <w:proofErr w:type="spellEnd"/>
            <w:r w:rsidRPr="00DF4CE5">
              <w:rPr>
                <w:rFonts w:ascii="Cambria" w:hAnsi="Cambria" w:cs="Calibri"/>
                <w:lang w:val="it-IT"/>
              </w:rPr>
              <w:t xml:space="preserve"> </w:t>
            </w:r>
            <w:proofErr w:type="spellStart"/>
            <w:r w:rsidRPr="00DF4CE5">
              <w:rPr>
                <w:rFonts w:ascii="Cambria" w:hAnsi="Cambria" w:cs="Calibri"/>
                <w:lang w:val="it-IT"/>
              </w:rPr>
              <w:t>uz</w:t>
            </w:r>
            <w:proofErr w:type="spellEnd"/>
            <w:r w:rsidRPr="00DF4CE5">
              <w:rPr>
                <w:rFonts w:ascii="Cambria" w:hAnsi="Cambria" w:cs="Calibri"/>
                <w:lang w:val="it-IT"/>
              </w:rPr>
              <w:t xml:space="preserve"> </w:t>
            </w:r>
            <w:proofErr w:type="spellStart"/>
            <w:r w:rsidRPr="00DF4CE5">
              <w:rPr>
                <w:rFonts w:ascii="Cambria" w:hAnsi="Cambria" w:cs="Calibri"/>
                <w:lang w:val="it-IT"/>
              </w:rPr>
              <w:t>kolegij</w:t>
            </w:r>
            <w:proofErr w:type="spellEnd"/>
          </w:p>
        </w:tc>
        <w:tc>
          <w:tcPr>
            <w:tcW w:w="671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00F1682" w14:textId="77777777" w:rsidR="00FE4704" w:rsidRPr="00DF4CE5" w:rsidRDefault="00FE4704" w:rsidP="00196481">
            <w:pPr>
              <w:spacing w:after="0" w:line="240" w:lineRule="auto"/>
              <w:rPr>
                <w:rFonts w:ascii="Cambria" w:hAnsi="Cambria" w:cs="Calibri"/>
                <w:lang w:val="it-IT"/>
              </w:rPr>
            </w:pPr>
            <w:proofErr w:type="spellStart"/>
            <w:r w:rsidRPr="00DF4CE5">
              <w:rPr>
                <w:rFonts w:ascii="Cambria" w:hAnsi="Cambria" w:cs="Calibri"/>
                <w:lang w:val="it-IT"/>
              </w:rPr>
              <w:t>Bodovi</w:t>
            </w:r>
            <w:proofErr w:type="spellEnd"/>
            <w:r w:rsidRPr="00DF4CE5">
              <w:rPr>
                <w:rFonts w:ascii="Cambria" w:hAnsi="Cambria" w:cs="Calibri"/>
                <w:lang w:val="it-IT"/>
              </w:rPr>
              <w:t xml:space="preserve"> se </w:t>
            </w:r>
            <w:proofErr w:type="spellStart"/>
            <w:r w:rsidRPr="00DF4CE5">
              <w:rPr>
                <w:rFonts w:ascii="Cambria" w:hAnsi="Cambria" w:cs="Calibri"/>
                <w:lang w:val="it-IT"/>
              </w:rPr>
              <w:t>prikupljaju</w:t>
            </w:r>
            <w:proofErr w:type="spellEnd"/>
            <w:r w:rsidRPr="00DF4CE5">
              <w:rPr>
                <w:rFonts w:ascii="Cambria" w:hAnsi="Cambria" w:cs="Calibri"/>
                <w:lang w:val="it-IT"/>
              </w:rPr>
              <w:t xml:space="preserve"> </w:t>
            </w:r>
            <w:proofErr w:type="spellStart"/>
            <w:r w:rsidRPr="00DF4CE5">
              <w:rPr>
                <w:rFonts w:ascii="Cambria" w:hAnsi="Cambria" w:cs="Calibri"/>
                <w:lang w:val="it-IT"/>
              </w:rPr>
              <w:t>tijekom</w:t>
            </w:r>
            <w:proofErr w:type="spellEnd"/>
            <w:r w:rsidRPr="00DF4CE5">
              <w:rPr>
                <w:rFonts w:ascii="Cambria" w:hAnsi="Cambria" w:cs="Calibri"/>
                <w:lang w:val="it-IT"/>
              </w:rPr>
              <w:t xml:space="preserve"> </w:t>
            </w:r>
            <w:proofErr w:type="spellStart"/>
            <w:r w:rsidRPr="00DF4CE5">
              <w:rPr>
                <w:rFonts w:ascii="Cambria" w:hAnsi="Cambria" w:cs="Calibri"/>
                <w:lang w:val="it-IT"/>
              </w:rPr>
              <w:t>nastave</w:t>
            </w:r>
            <w:proofErr w:type="spellEnd"/>
            <w:r w:rsidRPr="00DF4CE5">
              <w:rPr>
                <w:rFonts w:ascii="Cambria" w:hAnsi="Cambria" w:cs="Calibri"/>
                <w:lang w:val="it-IT"/>
              </w:rPr>
              <w:t xml:space="preserve">, </w:t>
            </w:r>
            <w:proofErr w:type="spellStart"/>
            <w:r w:rsidRPr="00DF4CE5">
              <w:rPr>
                <w:rFonts w:ascii="Cambria" w:hAnsi="Cambria" w:cs="Calibri"/>
                <w:lang w:val="it-IT"/>
              </w:rPr>
              <w:t>na</w:t>
            </w:r>
            <w:proofErr w:type="spellEnd"/>
            <w:r w:rsidRPr="00DF4CE5">
              <w:rPr>
                <w:rFonts w:ascii="Cambria" w:hAnsi="Cambria" w:cs="Calibri"/>
                <w:lang w:val="it-IT"/>
              </w:rPr>
              <w:t xml:space="preserve"> </w:t>
            </w:r>
            <w:proofErr w:type="spellStart"/>
            <w:r w:rsidRPr="00DF4CE5">
              <w:rPr>
                <w:rFonts w:ascii="Cambria" w:hAnsi="Cambria" w:cs="Calibri"/>
                <w:lang w:val="it-IT"/>
              </w:rPr>
              <w:t>projektima</w:t>
            </w:r>
            <w:proofErr w:type="spellEnd"/>
            <w:r w:rsidRPr="00DF4CE5">
              <w:rPr>
                <w:rFonts w:ascii="Cambria" w:hAnsi="Cambria" w:cs="Calibri"/>
                <w:lang w:val="it-IT"/>
              </w:rPr>
              <w:t xml:space="preserve"> i </w:t>
            </w:r>
            <w:proofErr w:type="spellStart"/>
            <w:r w:rsidRPr="00DF4CE5">
              <w:rPr>
                <w:rFonts w:ascii="Cambria" w:hAnsi="Cambria" w:cs="Calibri"/>
                <w:lang w:val="it-IT"/>
              </w:rPr>
              <w:t>kolokviju</w:t>
            </w:r>
            <w:proofErr w:type="spellEnd"/>
            <w:r w:rsidRPr="00DF4CE5">
              <w:rPr>
                <w:rFonts w:ascii="Cambria" w:hAnsi="Cambria" w:cs="Calibri"/>
                <w:lang w:val="it-IT"/>
              </w:rPr>
              <w:t>.</w:t>
            </w:r>
          </w:p>
          <w:p w14:paraId="5A3458F6" w14:textId="77777777" w:rsidR="00FE4704" w:rsidRDefault="00FE4704" w:rsidP="00196481">
            <w:pPr>
              <w:spacing w:after="0" w:line="240" w:lineRule="auto"/>
              <w:rPr>
                <w:rFonts w:ascii="Cambria" w:hAnsi="Cambria" w:cs="Calibri"/>
                <w:lang w:val="it-IT"/>
              </w:rPr>
            </w:pPr>
            <w:proofErr w:type="spellStart"/>
            <w:r w:rsidRPr="00DF4CE5">
              <w:rPr>
                <w:rFonts w:ascii="Cambria" w:hAnsi="Cambria" w:cs="Calibri"/>
                <w:lang w:val="it-IT"/>
              </w:rPr>
              <w:t>Završnom</w:t>
            </w:r>
            <w:proofErr w:type="spellEnd"/>
            <w:r w:rsidRPr="00DF4CE5">
              <w:rPr>
                <w:rFonts w:ascii="Cambria" w:hAnsi="Cambria" w:cs="Calibri"/>
                <w:lang w:val="it-IT"/>
              </w:rPr>
              <w:t xml:space="preserve"> </w:t>
            </w:r>
            <w:proofErr w:type="spellStart"/>
            <w:r w:rsidRPr="00DF4CE5">
              <w:rPr>
                <w:rFonts w:ascii="Cambria" w:hAnsi="Cambria" w:cs="Calibri"/>
                <w:lang w:val="it-IT"/>
              </w:rPr>
              <w:t>ispitu</w:t>
            </w:r>
            <w:proofErr w:type="spellEnd"/>
            <w:r w:rsidRPr="00DF4CE5">
              <w:rPr>
                <w:rFonts w:ascii="Cambria" w:hAnsi="Cambria" w:cs="Calibri"/>
                <w:lang w:val="it-IT"/>
              </w:rPr>
              <w:t xml:space="preserve"> ili </w:t>
            </w:r>
            <w:proofErr w:type="spellStart"/>
            <w:r w:rsidRPr="00DF4CE5">
              <w:rPr>
                <w:rFonts w:ascii="Cambria" w:hAnsi="Cambria" w:cs="Calibri"/>
                <w:lang w:val="it-IT"/>
              </w:rPr>
              <w:t>ispitu</w:t>
            </w:r>
            <w:proofErr w:type="spellEnd"/>
            <w:r w:rsidRPr="00DF4CE5">
              <w:rPr>
                <w:rFonts w:ascii="Cambria" w:hAnsi="Cambria" w:cs="Calibri"/>
                <w:lang w:val="it-IT"/>
              </w:rPr>
              <w:t xml:space="preserve"> se </w:t>
            </w:r>
            <w:proofErr w:type="spellStart"/>
            <w:r w:rsidRPr="00DF4CE5">
              <w:rPr>
                <w:rFonts w:ascii="Cambria" w:hAnsi="Cambria" w:cs="Calibri"/>
                <w:lang w:val="it-IT"/>
              </w:rPr>
              <w:t>pristupa</w:t>
            </w:r>
            <w:proofErr w:type="spellEnd"/>
            <w:r w:rsidRPr="00DF4CE5">
              <w:rPr>
                <w:rFonts w:ascii="Cambria" w:hAnsi="Cambria" w:cs="Calibri"/>
                <w:lang w:val="it-IT"/>
              </w:rPr>
              <w:t xml:space="preserve"> </w:t>
            </w:r>
            <w:proofErr w:type="spellStart"/>
            <w:r w:rsidRPr="00DF4CE5">
              <w:rPr>
                <w:rFonts w:ascii="Cambria" w:hAnsi="Cambria" w:cs="Calibri"/>
                <w:lang w:val="it-IT"/>
              </w:rPr>
              <w:t>isključivo</w:t>
            </w:r>
            <w:proofErr w:type="spellEnd"/>
            <w:r w:rsidRPr="00DF4CE5">
              <w:rPr>
                <w:rFonts w:ascii="Cambria" w:hAnsi="Cambria" w:cs="Calibri"/>
                <w:lang w:val="it-IT"/>
              </w:rPr>
              <w:t xml:space="preserve"> </w:t>
            </w:r>
            <w:proofErr w:type="spellStart"/>
            <w:r w:rsidRPr="00DF4CE5">
              <w:rPr>
                <w:rFonts w:ascii="Cambria" w:hAnsi="Cambria" w:cs="Calibri"/>
                <w:lang w:val="it-IT"/>
              </w:rPr>
              <w:t>ukoliko</w:t>
            </w:r>
            <w:proofErr w:type="spellEnd"/>
            <w:r w:rsidRPr="00DF4CE5">
              <w:rPr>
                <w:rFonts w:ascii="Cambria" w:hAnsi="Cambria" w:cs="Calibri"/>
                <w:lang w:val="it-IT"/>
              </w:rPr>
              <w:t xml:space="preserve"> </w:t>
            </w:r>
            <w:proofErr w:type="spellStart"/>
            <w:r w:rsidRPr="00DF4CE5">
              <w:rPr>
                <w:rFonts w:ascii="Cambria" w:hAnsi="Cambria" w:cs="Calibri"/>
                <w:lang w:val="it-IT"/>
              </w:rPr>
              <w:t>student</w:t>
            </w:r>
            <w:proofErr w:type="spellEnd"/>
            <w:r w:rsidRPr="00DF4CE5">
              <w:rPr>
                <w:rFonts w:ascii="Cambria" w:hAnsi="Cambria" w:cs="Calibri"/>
                <w:lang w:val="it-IT"/>
              </w:rPr>
              <w:t xml:space="preserve"> </w:t>
            </w:r>
            <w:proofErr w:type="spellStart"/>
            <w:r w:rsidRPr="00DF4CE5">
              <w:rPr>
                <w:rFonts w:ascii="Cambria" w:hAnsi="Cambria" w:cs="Calibri"/>
                <w:lang w:val="it-IT"/>
              </w:rPr>
              <w:t>nije</w:t>
            </w:r>
            <w:proofErr w:type="spellEnd"/>
            <w:r w:rsidRPr="00DF4CE5">
              <w:rPr>
                <w:rFonts w:ascii="Cambria" w:hAnsi="Cambria" w:cs="Calibri"/>
                <w:lang w:val="it-IT"/>
              </w:rPr>
              <w:t xml:space="preserve"> </w:t>
            </w:r>
            <w:proofErr w:type="spellStart"/>
            <w:r w:rsidRPr="00DF4CE5">
              <w:rPr>
                <w:rFonts w:ascii="Cambria" w:hAnsi="Cambria" w:cs="Calibri"/>
                <w:lang w:val="it-IT"/>
              </w:rPr>
              <w:t>uspješno</w:t>
            </w:r>
            <w:proofErr w:type="spellEnd"/>
            <w:r w:rsidRPr="00DF4CE5">
              <w:rPr>
                <w:rFonts w:ascii="Cambria" w:hAnsi="Cambria" w:cs="Calibri"/>
                <w:lang w:val="it-IT"/>
              </w:rPr>
              <w:t xml:space="preserve"> </w:t>
            </w:r>
            <w:proofErr w:type="spellStart"/>
            <w:r w:rsidRPr="00DF4CE5">
              <w:rPr>
                <w:rFonts w:ascii="Cambria" w:hAnsi="Cambria" w:cs="Calibri"/>
                <w:lang w:val="it-IT"/>
              </w:rPr>
              <w:t>obranio</w:t>
            </w:r>
            <w:proofErr w:type="spellEnd"/>
            <w:r w:rsidRPr="00DF4CE5">
              <w:rPr>
                <w:rFonts w:ascii="Cambria" w:hAnsi="Cambria" w:cs="Calibri"/>
                <w:lang w:val="it-IT"/>
              </w:rPr>
              <w:t xml:space="preserve"> </w:t>
            </w:r>
            <w:proofErr w:type="spellStart"/>
            <w:r w:rsidRPr="00DF4CE5">
              <w:rPr>
                <w:rFonts w:ascii="Cambria" w:hAnsi="Cambria" w:cs="Calibri"/>
                <w:lang w:val="it-IT"/>
              </w:rPr>
              <w:t>projekte</w:t>
            </w:r>
            <w:proofErr w:type="spellEnd"/>
            <w:r w:rsidRPr="00DF4CE5">
              <w:rPr>
                <w:rFonts w:ascii="Cambria" w:hAnsi="Cambria" w:cs="Calibri"/>
                <w:lang w:val="it-IT"/>
              </w:rPr>
              <w:t xml:space="preserve"> ili </w:t>
            </w:r>
            <w:proofErr w:type="spellStart"/>
            <w:r w:rsidRPr="00DF4CE5">
              <w:rPr>
                <w:rFonts w:ascii="Cambria" w:hAnsi="Cambria" w:cs="Calibri"/>
                <w:lang w:val="it-IT"/>
              </w:rPr>
              <w:t>nije</w:t>
            </w:r>
            <w:proofErr w:type="spellEnd"/>
            <w:r w:rsidRPr="00DF4CE5">
              <w:rPr>
                <w:rFonts w:ascii="Cambria" w:hAnsi="Cambria" w:cs="Calibri"/>
                <w:lang w:val="it-IT"/>
              </w:rPr>
              <w:t xml:space="preserve"> </w:t>
            </w:r>
            <w:proofErr w:type="spellStart"/>
            <w:r w:rsidRPr="00DF4CE5">
              <w:rPr>
                <w:rFonts w:ascii="Cambria" w:hAnsi="Cambria" w:cs="Calibri"/>
                <w:lang w:val="it-IT"/>
              </w:rPr>
              <w:t>uspješno</w:t>
            </w:r>
            <w:proofErr w:type="spellEnd"/>
            <w:r w:rsidRPr="00DF4CE5">
              <w:rPr>
                <w:rFonts w:ascii="Cambria" w:hAnsi="Cambria" w:cs="Calibri"/>
                <w:lang w:val="it-IT"/>
              </w:rPr>
              <w:t xml:space="preserve"> </w:t>
            </w:r>
            <w:proofErr w:type="spellStart"/>
            <w:r w:rsidRPr="00DF4CE5">
              <w:rPr>
                <w:rFonts w:ascii="Cambria" w:hAnsi="Cambria" w:cs="Calibri"/>
                <w:lang w:val="it-IT"/>
              </w:rPr>
              <w:t>položio</w:t>
            </w:r>
            <w:proofErr w:type="spellEnd"/>
            <w:r w:rsidRPr="00DF4CE5">
              <w:rPr>
                <w:rFonts w:ascii="Cambria" w:hAnsi="Cambria" w:cs="Calibri"/>
                <w:lang w:val="it-IT"/>
              </w:rPr>
              <w:t xml:space="preserve"> </w:t>
            </w:r>
            <w:proofErr w:type="spellStart"/>
            <w:r w:rsidRPr="00DF4CE5">
              <w:rPr>
                <w:rFonts w:ascii="Cambria" w:hAnsi="Cambria" w:cs="Calibri"/>
                <w:lang w:val="it-IT"/>
              </w:rPr>
              <w:t>kolokvij</w:t>
            </w:r>
            <w:proofErr w:type="spellEnd"/>
            <w:r w:rsidRPr="00DF4CE5">
              <w:rPr>
                <w:rFonts w:ascii="Cambria" w:hAnsi="Cambria" w:cs="Calibri"/>
                <w:lang w:val="it-IT"/>
              </w:rPr>
              <w:t>.</w:t>
            </w:r>
          </w:p>
          <w:p w14:paraId="6DDF4BDF" w14:textId="739599A8" w:rsidR="00196481" w:rsidRPr="00DF4CE5" w:rsidRDefault="00196481" w:rsidP="00196481">
            <w:pPr>
              <w:spacing w:after="0" w:line="240" w:lineRule="auto"/>
              <w:rPr>
                <w:rFonts w:ascii="Cambria" w:hAnsi="Cambria" w:cs="Calibri"/>
                <w:lang w:val="it-IT"/>
              </w:rPr>
            </w:pPr>
            <w:r w:rsidRPr="00196481">
              <w:rPr>
                <w:rFonts w:ascii="Cambria" w:hAnsi="Cambria" w:cs="Calibri"/>
                <w:lang w:val="it-IT"/>
              </w:rPr>
              <w:t xml:space="preserve">U </w:t>
            </w:r>
            <w:proofErr w:type="spellStart"/>
            <w:r w:rsidRPr="00196481">
              <w:rPr>
                <w:rFonts w:ascii="Cambria" w:hAnsi="Cambria" w:cs="Calibri"/>
                <w:lang w:val="it-IT"/>
              </w:rPr>
              <w:t>slučaju</w:t>
            </w:r>
            <w:proofErr w:type="spellEnd"/>
            <w:r w:rsidRPr="00196481">
              <w:rPr>
                <w:rFonts w:ascii="Cambria" w:hAnsi="Cambria" w:cs="Calibri"/>
                <w:lang w:val="it-IT"/>
              </w:rPr>
              <w:t xml:space="preserve"> </w:t>
            </w:r>
            <w:proofErr w:type="spellStart"/>
            <w:r w:rsidRPr="00196481">
              <w:rPr>
                <w:rFonts w:ascii="Cambria" w:hAnsi="Cambria" w:cs="Calibri"/>
                <w:lang w:val="it-IT"/>
              </w:rPr>
              <w:t>održavanja</w:t>
            </w:r>
            <w:proofErr w:type="spellEnd"/>
            <w:r w:rsidRPr="00196481">
              <w:rPr>
                <w:rFonts w:ascii="Cambria" w:hAnsi="Cambria" w:cs="Calibri"/>
                <w:lang w:val="it-IT"/>
              </w:rPr>
              <w:t xml:space="preserve"> </w:t>
            </w:r>
            <w:proofErr w:type="spellStart"/>
            <w:r w:rsidRPr="00196481">
              <w:rPr>
                <w:rFonts w:ascii="Cambria" w:hAnsi="Cambria" w:cs="Calibri"/>
                <w:lang w:val="it-IT"/>
              </w:rPr>
              <w:t>nastave</w:t>
            </w:r>
            <w:proofErr w:type="spellEnd"/>
            <w:r w:rsidRPr="00196481">
              <w:rPr>
                <w:rFonts w:ascii="Cambria" w:hAnsi="Cambria" w:cs="Calibri"/>
                <w:lang w:val="it-IT"/>
              </w:rPr>
              <w:t xml:space="preserve"> </w:t>
            </w:r>
            <w:proofErr w:type="spellStart"/>
            <w:r w:rsidRPr="00196481">
              <w:rPr>
                <w:rFonts w:ascii="Cambria" w:hAnsi="Cambria" w:cs="Calibri"/>
                <w:lang w:val="it-IT"/>
              </w:rPr>
              <w:t>na</w:t>
            </w:r>
            <w:proofErr w:type="spellEnd"/>
            <w:r w:rsidRPr="00196481">
              <w:rPr>
                <w:rFonts w:ascii="Cambria" w:hAnsi="Cambria" w:cs="Calibri"/>
                <w:lang w:val="it-IT"/>
              </w:rPr>
              <w:t xml:space="preserve"> </w:t>
            </w:r>
            <w:proofErr w:type="spellStart"/>
            <w:r w:rsidRPr="00196481">
              <w:rPr>
                <w:rFonts w:ascii="Cambria" w:hAnsi="Cambria" w:cs="Calibri"/>
                <w:lang w:val="it-IT"/>
              </w:rPr>
              <w:t>daljinu</w:t>
            </w:r>
            <w:proofErr w:type="spellEnd"/>
            <w:r w:rsidRPr="00196481">
              <w:rPr>
                <w:rFonts w:ascii="Cambria" w:hAnsi="Cambria" w:cs="Calibri"/>
                <w:lang w:val="it-IT"/>
              </w:rPr>
              <w:t xml:space="preserve">, </w:t>
            </w:r>
            <w:proofErr w:type="spellStart"/>
            <w:r w:rsidRPr="00196481">
              <w:rPr>
                <w:rFonts w:ascii="Cambria" w:hAnsi="Cambria" w:cs="Calibri"/>
                <w:lang w:val="it-IT"/>
              </w:rPr>
              <w:t>moguće</w:t>
            </w:r>
            <w:proofErr w:type="spellEnd"/>
            <w:r w:rsidRPr="00196481">
              <w:rPr>
                <w:rFonts w:ascii="Cambria" w:hAnsi="Cambria" w:cs="Calibri"/>
                <w:lang w:val="it-IT"/>
              </w:rPr>
              <w:t xml:space="preserve"> je </w:t>
            </w:r>
            <w:proofErr w:type="spellStart"/>
            <w:r w:rsidRPr="00196481">
              <w:rPr>
                <w:rFonts w:ascii="Cambria" w:hAnsi="Cambria" w:cs="Calibri"/>
                <w:lang w:val="it-IT"/>
              </w:rPr>
              <w:t>odstupanje</w:t>
            </w:r>
            <w:proofErr w:type="spellEnd"/>
            <w:r w:rsidRPr="00196481">
              <w:rPr>
                <w:rFonts w:ascii="Cambria" w:hAnsi="Cambria" w:cs="Calibri"/>
                <w:lang w:val="it-IT"/>
              </w:rPr>
              <w:t xml:space="preserve"> u: </w:t>
            </w:r>
            <w:proofErr w:type="spellStart"/>
            <w:r w:rsidRPr="00196481">
              <w:rPr>
                <w:rFonts w:ascii="Cambria" w:hAnsi="Cambria" w:cs="Calibri"/>
                <w:lang w:val="it-IT"/>
              </w:rPr>
              <w:t>mjestu</w:t>
            </w:r>
            <w:proofErr w:type="spellEnd"/>
            <w:r w:rsidRPr="00196481">
              <w:rPr>
                <w:rFonts w:ascii="Cambria" w:hAnsi="Cambria" w:cs="Calibri"/>
                <w:lang w:val="it-IT"/>
              </w:rPr>
              <w:t xml:space="preserve"> </w:t>
            </w:r>
            <w:proofErr w:type="spellStart"/>
            <w:r w:rsidRPr="00196481">
              <w:rPr>
                <w:rFonts w:ascii="Cambria" w:hAnsi="Cambria" w:cs="Calibri"/>
                <w:lang w:val="it-IT"/>
              </w:rPr>
              <w:t>izvođenja</w:t>
            </w:r>
            <w:proofErr w:type="spellEnd"/>
            <w:r w:rsidRPr="00196481">
              <w:rPr>
                <w:rFonts w:ascii="Cambria" w:hAnsi="Cambria" w:cs="Calibri"/>
                <w:lang w:val="it-IT"/>
              </w:rPr>
              <w:t xml:space="preserve"> </w:t>
            </w:r>
            <w:proofErr w:type="spellStart"/>
            <w:r w:rsidRPr="00196481">
              <w:rPr>
                <w:rFonts w:ascii="Cambria" w:hAnsi="Cambria" w:cs="Calibri"/>
                <w:lang w:val="it-IT"/>
              </w:rPr>
              <w:t>kolegija</w:t>
            </w:r>
            <w:proofErr w:type="spellEnd"/>
            <w:r w:rsidRPr="00196481">
              <w:rPr>
                <w:rFonts w:ascii="Cambria" w:hAnsi="Cambria" w:cs="Calibri"/>
                <w:lang w:val="it-IT"/>
              </w:rPr>
              <w:t xml:space="preserve">, </w:t>
            </w:r>
            <w:proofErr w:type="spellStart"/>
            <w:r w:rsidRPr="00196481">
              <w:rPr>
                <w:rFonts w:ascii="Cambria" w:hAnsi="Cambria" w:cs="Calibri"/>
                <w:lang w:val="it-IT"/>
              </w:rPr>
              <w:t>provedbi</w:t>
            </w:r>
            <w:proofErr w:type="spellEnd"/>
            <w:r w:rsidRPr="00196481">
              <w:rPr>
                <w:rFonts w:ascii="Cambria" w:hAnsi="Cambria" w:cs="Calibri"/>
                <w:lang w:val="it-IT"/>
              </w:rPr>
              <w:t xml:space="preserve"> </w:t>
            </w:r>
            <w:proofErr w:type="spellStart"/>
            <w:r w:rsidRPr="00196481">
              <w:rPr>
                <w:rFonts w:ascii="Cambria" w:hAnsi="Cambria" w:cs="Calibri"/>
                <w:lang w:val="it-IT"/>
              </w:rPr>
              <w:t>aktivnosti</w:t>
            </w:r>
            <w:proofErr w:type="spellEnd"/>
            <w:r w:rsidRPr="00196481">
              <w:rPr>
                <w:rFonts w:ascii="Cambria" w:hAnsi="Cambria" w:cs="Calibri"/>
                <w:lang w:val="it-IT"/>
              </w:rPr>
              <w:t xml:space="preserve">, </w:t>
            </w:r>
            <w:proofErr w:type="spellStart"/>
            <w:r w:rsidRPr="00196481">
              <w:rPr>
                <w:rFonts w:ascii="Cambria" w:hAnsi="Cambria" w:cs="Calibri"/>
                <w:lang w:val="it-IT"/>
              </w:rPr>
              <w:t>metoda</w:t>
            </w:r>
            <w:proofErr w:type="spellEnd"/>
            <w:r w:rsidRPr="00196481">
              <w:rPr>
                <w:rFonts w:ascii="Cambria" w:hAnsi="Cambria" w:cs="Calibri"/>
                <w:lang w:val="it-IT"/>
              </w:rPr>
              <w:t xml:space="preserve"> </w:t>
            </w:r>
            <w:proofErr w:type="spellStart"/>
            <w:r w:rsidRPr="00196481">
              <w:rPr>
                <w:rFonts w:ascii="Cambria" w:hAnsi="Cambria" w:cs="Calibri"/>
                <w:lang w:val="it-IT"/>
              </w:rPr>
              <w:t>tumačenja</w:t>
            </w:r>
            <w:proofErr w:type="spellEnd"/>
            <w:r w:rsidRPr="00196481">
              <w:rPr>
                <w:rFonts w:ascii="Cambria" w:hAnsi="Cambria" w:cs="Calibri"/>
                <w:lang w:val="it-IT"/>
              </w:rPr>
              <w:t xml:space="preserve"> i </w:t>
            </w:r>
            <w:proofErr w:type="spellStart"/>
            <w:r w:rsidRPr="00196481">
              <w:rPr>
                <w:rFonts w:ascii="Cambria" w:hAnsi="Cambria" w:cs="Calibri"/>
                <w:lang w:val="it-IT"/>
              </w:rPr>
              <w:t>poučavanja</w:t>
            </w:r>
            <w:proofErr w:type="spellEnd"/>
            <w:r w:rsidRPr="00196481">
              <w:rPr>
                <w:rFonts w:ascii="Cambria" w:hAnsi="Cambria" w:cs="Calibri"/>
                <w:lang w:val="it-IT"/>
              </w:rPr>
              <w:t xml:space="preserve"> i </w:t>
            </w:r>
            <w:proofErr w:type="spellStart"/>
            <w:r w:rsidRPr="00196481">
              <w:rPr>
                <w:rFonts w:ascii="Cambria" w:hAnsi="Cambria" w:cs="Calibri"/>
                <w:lang w:val="it-IT"/>
              </w:rPr>
              <w:t>načinima</w:t>
            </w:r>
            <w:proofErr w:type="spellEnd"/>
            <w:r w:rsidRPr="00196481">
              <w:rPr>
                <w:rFonts w:ascii="Cambria" w:hAnsi="Cambria" w:cs="Calibri"/>
                <w:lang w:val="it-IT"/>
              </w:rPr>
              <w:t xml:space="preserve"> </w:t>
            </w:r>
            <w:proofErr w:type="spellStart"/>
            <w:r w:rsidRPr="00196481">
              <w:rPr>
                <w:rFonts w:ascii="Cambria" w:hAnsi="Cambria" w:cs="Calibri"/>
                <w:lang w:val="it-IT"/>
              </w:rPr>
              <w:t>vrednovanja</w:t>
            </w:r>
            <w:proofErr w:type="spellEnd"/>
            <w:r w:rsidRPr="00196481">
              <w:rPr>
                <w:rFonts w:ascii="Cambria" w:hAnsi="Cambria" w:cs="Calibri"/>
                <w:lang w:val="it-IT"/>
              </w:rPr>
              <w:t xml:space="preserve">, </w:t>
            </w:r>
            <w:proofErr w:type="spellStart"/>
            <w:r w:rsidRPr="00196481">
              <w:rPr>
                <w:rFonts w:ascii="Cambria" w:hAnsi="Cambria" w:cs="Calibri"/>
                <w:lang w:val="it-IT"/>
              </w:rPr>
              <w:t>studentskim</w:t>
            </w:r>
            <w:proofErr w:type="spellEnd"/>
            <w:r w:rsidRPr="00196481">
              <w:rPr>
                <w:rFonts w:ascii="Cambria" w:hAnsi="Cambria" w:cs="Calibri"/>
                <w:lang w:val="it-IT"/>
              </w:rPr>
              <w:t xml:space="preserve"> </w:t>
            </w:r>
            <w:proofErr w:type="spellStart"/>
            <w:r w:rsidRPr="00196481">
              <w:rPr>
                <w:rFonts w:ascii="Cambria" w:hAnsi="Cambria" w:cs="Calibri"/>
                <w:lang w:val="it-IT"/>
              </w:rPr>
              <w:t>obvezama</w:t>
            </w:r>
            <w:proofErr w:type="spellEnd"/>
            <w:r w:rsidRPr="00196481">
              <w:rPr>
                <w:rFonts w:ascii="Cambria" w:hAnsi="Cambria" w:cs="Calibri"/>
                <w:lang w:val="it-IT"/>
              </w:rPr>
              <w:t xml:space="preserve"> i </w:t>
            </w:r>
            <w:proofErr w:type="spellStart"/>
            <w:r w:rsidRPr="00196481">
              <w:rPr>
                <w:rFonts w:ascii="Cambria" w:hAnsi="Cambria" w:cs="Calibri"/>
                <w:lang w:val="it-IT"/>
              </w:rPr>
              <w:t>dostupnoj</w:t>
            </w:r>
            <w:proofErr w:type="spellEnd"/>
            <w:r w:rsidRPr="00196481">
              <w:rPr>
                <w:rFonts w:ascii="Cambria" w:hAnsi="Cambria" w:cs="Calibri"/>
                <w:lang w:val="it-IT"/>
              </w:rPr>
              <w:t xml:space="preserve"> </w:t>
            </w:r>
            <w:proofErr w:type="spellStart"/>
            <w:r w:rsidRPr="00196481">
              <w:rPr>
                <w:rFonts w:ascii="Cambria" w:hAnsi="Cambria" w:cs="Calibri"/>
                <w:lang w:val="it-IT"/>
              </w:rPr>
              <w:t>literaturi</w:t>
            </w:r>
            <w:proofErr w:type="spellEnd"/>
            <w:r w:rsidRPr="00196481">
              <w:rPr>
                <w:rFonts w:ascii="Cambria" w:hAnsi="Cambria" w:cs="Calibri"/>
                <w:lang w:val="it-IT"/>
              </w:rPr>
              <w:t xml:space="preserve">. O tome </w:t>
            </w:r>
            <w:proofErr w:type="spellStart"/>
            <w:r w:rsidRPr="00196481">
              <w:rPr>
                <w:rFonts w:ascii="Cambria" w:hAnsi="Cambria" w:cs="Calibri"/>
                <w:lang w:val="it-IT"/>
              </w:rPr>
              <w:t>će</w:t>
            </w:r>
            <w:proofErr w:type="spellEnd"/>
            <w:r w:rsidRPr="00196481">
              <w:rPr>
                <w:rFonts w:ascii="Cambria" w:hAnsi="Cambria" w:cs="Calibri"/>
                <w:lang w:val="it-IT"/>
              </w:rPr>
              <w:t xml:space="preserve"> </w:t>
            </w:r>
            <w:proofErr w:type="spellStart"/>
            <w:r w:rsidRPr="00196481">
              <w:rPr>
                <w:rFonts w:ascii="Cambria" w:hAnsi="Cambria" w:cs="Calibri"/>
                <w:lang w:val="it-IT"/>
              </w:rPr>
              <w:t>nositeljica</w:t>
            </w:r>
            <w:proofErr w:type="spellEnd"/>
            <w:r w:rsidRPr="00196481">
              <w:rPr>
                <w:rFonts w:ascii="Cambria" w:hAnsi="Cambria" w:cs="Calibri"/>
                <w:lang w:val="it-IT"/>
              </w:rPr>
              <w:t xml:space="preserve"> </w:t>
            </w:r>
            <w:proofErr w:type="spellStart"/>
            <w:r w:rsidRPr="00196481">
              <w:rPr>
                <w:rFonts w:ascii="Cambria" w:hAnsi="Cambria" w:cs="Calibri"/>
                <w:lang w:val="it-IT"/>
              </w:rPr>
              <w:t>kolegija</w:t>
            </w:r>
            <w:proofErr w:type="spellEnd"/>
            <w:r w:rsidRPr="00196481">
              <w:rPr>
                <w:rFonts w:ascii="Cambria" w:hAnsi="Cambria" w:cs="Calibri"/>
                <w:lang w:val="it-IT"/>
              </w:rPr>
              <w:t xml:space="preserve"> i </w:t>
            </w:r>
            <w:proofErr w:type="spellStart"/>
            <w:r w:rsidRPr="00196481">
              <w:rPr>
                <w:rFonts w:ascii="Cambria" w:hAnsi="Cambria" w:cs="Calibri"/>
                <w:lang w:val="it-IT"/>
              </w:rPr>
              <w:t>suradnik</w:t>
            </w:r>
            <w:proofErr w:type="spellEnd"/>
            <w:r w:rsidRPr="00196481">
              <w:rPr>
                <w:rFonts w:ascii="Cambria" w:hAnsi="Cambria" w:cs="Calibri"/>
                <w:lang w:val="it-IT"/>
              </w:rPr>
              <w:t xml:space="preserve"> </w:t>
            </w:r>
            <w:proofErr w:type="spellStart"/>
            <w:r w:rsidRPr="00196481">
              <w:rPr>
                <w:rFonts w:ascii="Cambria" w:hAnsi="Cambria" w:cs="Calibri"/>
                <w:lang w:val="it-IT"/>
              </w:rPr>
              <w:t>obavijestiti</w:t>
            </w:r>
            <w:proofErr w:type="spellEnd"/>
            <w:r w:rsidRPr="00196481">
              <w:rPr>
                <w:rFonts w:ascii="Cambria" w:hAnsi="Cambria" w:cs="Calibri"/>
                <w:lang w:val="it-IT"/>
              </w:rPr>
              <w:t xml:space="preserve"> studente i </w:t>
            </w:r>
            <w:proofErr w:type="spellStart"/>
            <w:r w:rsidRPr="00196481">
              <w:rPr>
                <w:rFonts w:ascii="Cambria" w:hAnsi="Cambria" w:cs="Calibri"/>
                <w:lang w:val="it-IT"/>
              </w:rPr>
              <w:t>studentice</w:t>
            </w:r>
            <w:proofErr w:type="spellEnd"/>
            <w:r w:rsidRPr="00196481">
              <w:rPr>
                <w:rFonts w:ascii="Cambria" w:hAnsi="Cambria" w:cs="Calibri"/>
                <w:lang w:val="it-IT"/>
              </w:rPr>
              <w:t xml:space="preserve"> </w:t>
            </w:r>
            <w:proofErr w:type="spellStart"/>
            <w:r w:rsidRPr="00196481">
              <w:rPr>
                <w:rFonts w:ascii="Cambria" w:hAnsi="Cambria" w:cs="Calibri"/>
                <w:lang w:val="it-IT"/>
              </w:rPr>
              <w:t>kad</w:t>
            </w:r>
            <w:proofErr w:type="spellEnd"/>
            <w:r w:rsidRPr="00196481">
              <w:rPr>
                <w:rFonts w:ascii="Cambria" w:hAnsi="Cambria" w:cs="Calibri"/>
                <w:lang w:val="it-IT"/>
              </w:rPr>
              <w:t xml:space="preserve"> se </w:t>
            </w:r>
            <w:proofErr w:type="spellStart"/>
            <w:r w:rsidRPr="00196481">
              <w:rPr>
                <w:rFonts w:ascii="Cambria" w:hAnsi="Cambria" w:cs="Calibri"/>
                <w:lang w:val="it-IT"/>
              </w:rPr>
              <w:t>nastava</w:t>
            </w:r>
            <w:proofErr w:type="spellEnd"/>
            <w:r w:rsidRPr="00196481">
              <w:rPr>
                <w:rFonts w:ascii="Cambria" w:hAnsi="Cambria" w:cs="Calibri"/>
                <w:lang w:val="it-IT"/>
              </w:rPr>
              <w:t xml:space="preserve"> </w:t>
            </w:r>
            <w:proofErr w:type="spellStart"/>
            <w:r w:rsidRPr="00196481">
              <w:rPr>
                <w:rFonts w:ascii="Cambria" w:hAnsi="Cambria" w:cs="Calibri"/>
                <w:lang w:val="it-IT"/>
              </w:rPr>
              <w:t>na</w:t>
            </w:r>
            <w:proofErr w:type="spellEnd"/>
            <w:r w:rsidRPr="00196481">
              <w:rPr>
                <w:rFonts w:ascii="Cambria" w:hAnsi="Cambria" w:cs="Calibri"/>
                <w:lang w:val="it-IT"/>
              </w:rPr>
              <w:t xml:space="preserve"> </w:t>
            </w:r>
            <w:proofErr w:type="spellStart"/>
            <w:r w:rsidRPr="00196481">
              <w:rPr>
                <w:rFonts w:ascii="Cambria" w:hAnsi="Cambria" w:cs="Calibri"/>
                <w:lang w:val="it-IT"/>
              </w:rPr>
              <w:t>daljinu</w:t>
            </w:r>
            <w:proofErr w:type="spellEnd"/>
            <w:r w:rsidRPr="00196481">
              <w:rPr>
                <w:rFonts w:ascii="Cambria" w:hAnsi="Cambria" w:cs="Calibri"/>
                <w:lang w:val="it-IT"/>
              </w:rPr>
              <w:t xml:space="preserve"> </w:t>
            </w:r>
            <w:proofErr w:type="spellStart"/>
            <w:r w:rsidRPr="00196481">
              <w:rPr>
                <w:rFonts w:ascii="Cambria" w:hAnsi="Cambria" w:cs="Calibri"/>
                <w:lang w:val="it-IT"/>
              </w:rPr>
              <w:t>počne</w:t>
            </w:r>
            <w:proofErr w:type="spellEnd"/>
            <w:r w:rsidRPr="00196481">
              <w:rPr>
                <w:rFonts w:ascii="Cambria" w:hAnsi="Cambria" w:cs="Calibri"/>
                <w:lang w:val="it-IT"/>
              </w:rPr>
              <w:t xml:space="preserve"> </w:t>
            </w:r>
            <w:proofErr w:type="spellStart"/>
            <w:r w:rsidRPr="00196481">
              <w:rPr>
                <w:rFonts w:ascii="Cambria" w:hAnsi="Cambria" w:cs="Calibri"/>
                <w:lang w:val="it-IT"/>
              </w:rPr>
              <w:t>održavati</w:t>
            </w:r>
            <w:proofErr w:type="spellEnd"/>
            <w:r w:rsidRPr="00196481">
              <w:rPr>
                <w:rFonts w:ascii="Cambria" w:hAnsi="Cambria" w:cs="Calibri"/>
                <w:lang w:val="it-IT"/>
              </w:rPr>
              <w:t xml:space="preserve">. </w:t>
            </w:r>
            <w:proofErr w:type="spellStart"/>
            <w:r w:rsidRPr="00196481">
              <w:rPr>
                <w:rFonts w:ascii="Cambria" w:hAnsi="Cambria" w:cs="Calibri"/>
                <w:lang w:val="it-IT"/>
              </w:rPr>
              <w:t>Ishodi</w:t>
            </w:r>
            <w:proofErr w:type="spellEnd"/>
            <w:r w:rsidRPr="00196481">
              <w:rPr>
                <w:rFonts w:ascii="Cambria" w:hAnsi="Cambria" w:cs="Calibri"/>
                <w:lang w:val="it-IT"/>
              </w:rPr>
              <w:t xml:space="preserve"> </w:t>
            </w:r>
            <w:proofErr w:type="spellStart"/>
            <w:r w:rsidRPr="00196481">
              <w:rPr>
                <w:rFonts w:ascii="Cambria" w:hAnsi="Cambria" w:cs="Calibri"/>
                <w:lang w:val="it-IT"/>
              </w:rPr>
              <w:t>učenja</w:t>
            </w:r>
            <w:proofErr w:type="spellEnd"/>
            <w:r w:rsidRPr="00196481">
              <w:rPr>
                <w:rFonts w:ascii="Cambria" w:hAnsi="Cambria" w:cs="Calibri"/>
                <w:lang w:val="it-IT"/>
              </w:rPr>
              <w:t xml:space="preserve"> </w:t>
            </w:r>
            <w:proofErr w:type="spellStart"/>
            <w:r w:rsidRPr="00196481">
              <w:rPr>
                <w:rFonts w:ascii="Cambria" w:hAnsi="Cambria" w:cs="Calibri"/>
                <w:lang w:val="it-IT"/>
              </w:rPr>
              <w:t>ostaju</w:t>
            </w:r>
            <w:proofErr w:type="spellEnd"/>
            <w:r w:rsidRPr="00196481">
              <w:rPr>
                <w:rFonts w:ascii="Cambria" w:hAnsi="Cambria" w:cs="Calibri"/>
                <w:lang w:val="it-IT"/>
              </w:rPr>
              <w:t xml:space="preserve"> </w:t>
            </w:r>
            <w:proofErr w:type="spellStart"/>
            <w:r w:rsidRPr="00196481">
              <w:rPr>
                <w:rFonts w:ascii="Cambria" w:hAnsi="Cambria" w:cs="Calibri"/>
                <w:lang w:val="it-IT"/>
              </w:rPr>
              <w:t>nepromijenjeni</w:t>
            </w:r>
            <w:proofErr w:type="spellEnd"/>
            <w:r w:rsidRPr="00196481">
              <w:rPr>
                <w:rFonts w:ascii="Cambria" w:hAnsi="Cambria" w:cs="Calibri"/>
                <w:lang w:val="it-IT"/>
              </w:rPr>
              <w:t>.</w:t>
            </w:r>
          </w:p>
        </w:tc>
      </w:tr>
      <w:tr w:rsidR="00FE4704" w:rsidRPr="00B30379" w14:paraId="495EACC6" w14:textId="77777777" w:rsidTr="00E93B72">
        <w:trPr>
          <w:trHeight w:val="273"/>
        </w:trPr>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EC79CDD" w14:textId="77777777" w:rsidR="00FE4704" w:rsidRPr="00DF4CE5" w:rsidRDefault="00FE4704" w:rsidP="00891E8C">
            <w:pPr>
              <w:rPr>
                <w:rFonts w:ascii="Cambria" w:hAnsi="Cambria" w:cs="Calibri"/>
              </w:rPr>
            </w:pPr>
            <w:proofErr w:type="spellStart"/>
            <w:r w:rsidRPr="00DF4CE5">
              <w:rPr>
                <w:rFonts w:ascii="Cambria" w:hAnsi="Cambria" w:cs="Calibri"/>
              </w:rPr>
              <w:t>Literatura</w:t>
            </w:r>
            <w:proofErr w:type="spellEnd"/>
          </w:p>
        </w:tc>
        <w:tc>
          <w:tcPr>
            <w:tcW w:w="6717"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7AD9CF34" w14:textId="77777777" w:rsidR="00FE4704" w:rsidRPr="00DF4CE5" w:rsidRDefault="00FE4704" w:rsidP="00310484">
            <w:pPr>
              <w:spacing w:after="0" w:line="240" w:lineRule="auto"/>
              <w:rPr>
                <w:rFonts w:ascii="Cambria" w:hAnsi="Cambria" w:cs="Calibri"/>
              </w:rPr>
            </w:pPr>
            <w:proofErr w:type="spellStart"/>
            <w:r w:rsidRPr="00DF4CE5">
              <w:rPr>
                <w:rFonts w:ascii="Cambria" w:hAnsi="Cambria" w:cs="Calibri"/>
              </w:rPr>
              <w:t>Obavezna</w:t>
            </w:r>
            <w:proofErr w:type="spellEnd"/>
            <w:r w:rsidRPr="00DF4CE5">
              <w:rPr>
                <w:rFonts w:ascii="Cambria" w:hAnsi="Cambria" w:cs="Calibri"/>
              </w:rPr>
              <w:t>:</w:t>
            </w:r>
          </w:p>
          <w:p w14:paraId="10EF0716" w14:textId="70613B4E" w:rsidR="00FE4704" w:rsidRPr="00DF4CE5" w:rsidRDefault="00310484" w:rsidP="00310484">
            <w:pPr>
              <w:spacing w:after="0" w:line="240" w:lineRule="auto"/>
              <w:rPr>
                <w:rFonts w:ascii="Cambria" w:hAnsi="Cambria" w:cs="Calibri"/>
              </w:rPr>
            </w:pPr>
            <w:r>
              <w:rPr>
                <w:rFonts w:ascii="Cambria" w:hAnsi="Cambria" w:cs="Calibri"/>
              </w:rPr>
              <w:t xml:space="preserve">1. </w:t>
            </w:r>
            <w:proofErr w:type="spellStart"/>
            <w:r w:rsidR="00FE4704" w:rsidRPr="00DF4CE5">
              <w:rPr>
                <w:rFonts w:ascii="Cambria" w:hAnsi="Cambria" w:cs="Calibri"/>
              </w:rPr>
              <w:t>Blagus</w:t>
            </w:r>
            <w:proofErr w:type="spellEnd"/>
            <w:r w:rsidR="00FE4704" w:rsidRPr="00DF4CE5">
              <w:rPr>
                <w:rFonts w:ascii="Cambria" w:hAnsi="Cambria" w:cs="Calibri"/>
              </w:rPr>
              <w:t>, J.</w:t>
            </w:r>
            <w:r>
              <w:rPr>
                <w:rFonts w:ascii="Cambria" w:hAnsi="Cambria" w:cs="Calibri"/>
              </w:rPr>
              <w:t xml:space="preserve">, </w:t>
            </w:r>
            <w:r w:rsidR="00FE4704" w:rsidRPr="00DF4CE5">
              <w:rPr>
                <w:rFonts w:ascii="Cambria" w:hAnsi="Cambria" w:cs="Calibri"/>
              </w:rPr>
              <w:t>Sokol, G. (2020)</w:t>
            </w:r>
            <w:r>
              <w:rPr>
                <w:rFonts w:ascii="Cambria" w:hAnsi="Cambria" w:cs="Calibri"/>
              </w:rPr>
              <w:t xml:space="preserve">. </w:t>
            </w:r>
            <w:r w:rsidR="00FE4704" w:rsidRPr="00DF4CE5">
              <w:rPr>
                <w:rFonts w:ascii="Cambria" w:hAnsi="Cambria" w:cs="Calibri"/>
              </w:rPr>
              <w:t xml:space="preserve">Minecraft – </w:t>
            </w:r>
            <w:proofErr w:type="spellStart"/>
            <w:r w:rsidR="00FE4704" w:rsidRPr="00DF4CE5">
              <w:rPr>
                <w:rFonts w:ascii="Cambria" w:hAnsi="Cambria" w:cs="Calibri"/>
              </w:rPr>
              <w:t>priručnik</w:t>
            </w:r>
            <w:proofErr w:type="spellEnd"/>
            <w:r w:rsidR="00FE4704" w:rsidRPr="00DF4CE5">
              <w:rPr>
                <w:rFonts w:ascii="Cambria" w:hAnsi="Cambria" w:cs="Calibri"/>
              </w:rPr>
              <w:t xml:space="preserve"> za </w:t>
            </w:r>
            <w:proofErr w:type="spellStart"/>
            <w:r w:rsidR="00FE4704" w:rsidRPr="00DF4CE5">
              <w:rPr>
                <w:rFonts w:ascii="Cambria" w:hAnsi="Cambria" w:cs="Calibri"/>
              </w:rPr>
              <w:t>u</w:t>
            </w:r>
            <w:r w:rsidR="00DF3BF1">
              <w:rPr>
                <w:rFonts w:ascii="Cambria" w:hAnsi="Cambria" w:cs="Calibri"/>
              </w:rPr>
              <w:t>č</w:t>
            </w:r>
            <w:r w:rsidR="00FE4704" w:rsidRPr="00DF4CE5">
              <w:rPr>
                <w:rFonts w:ascii="Cambria" w:hAnsi="Cambria" w:cs="Calibri"/>
              </w:rPr>
              <w:t>enje</w:t>
            </w:r>
            <w:proofErr w:type="spellEnd"/>
            <w:r w:rsidR="00FE4704" w:rsidRPr="00DF4CE5">
              <w:rPr>
                <w:rFonts w:ascii="Cambria" w:hAnsi="Cambria" w:cs="Calibri"/>
              </w:rPr>
              <w:t xml:space="preserve"> </w:t>
            </w:r>
            <w:proofErr w:type="spellStart"/>
            <w:r w:rsidR="00FE4704" w:rsidRPr="00DF4CE5">
              <w:rPr>
                <w:rFonts w:ascii="Cambria" w:hAnsi="Cambria" w:cs="Calibri"/>
              </w:rPr>
              <w:t>programiranja</w:t>
            </w:r>
            <w:proofErr w:type="spellEnd"/>
            <w:r w:rsidR="00DF3BF1">
              <w:rPr>
                <w:rFonts w:ascii="Cambria" w:hAnsi="Cambria" w:cs="Calibri"/>
              </w:rPr>
              <w:t>.</w:t>
            </w:r>
            <w:r w:rsidR="00FE4704" w:rsidRPr="00DF4CE5">
              <w:rPr>
                <w:rFonts w:ascii="Cambria" w:hAnsi="Cambria" w:cs="Calibri"/>
              </w:rPr>
              <w:t xml:space="preserve"> </w:t>
            </w:r>
            <w:proofErr w:type="spellStart"/>
            <w:r w:rsidR="00FE4704" w:rsidRPr="00DF4CE5">
              <w:rPr>
                <w:rFonts w:ascii="Cambria" w:hAnsi="Cambria" w:cs="Calibri"/>
              </w:rPr>
              <w:t>Školska</w:t>
            </w:r>
            <w:proofErr w:type="spellEnd"/>
            <w:r w:rsidR="00FE4704" w:rsidRPr="00DF4CE5">
              <w:rPr>
                <w:rFonts w:ascii="Cambria" w:hAnsi="Cambria" w:cs="Calibri"/>
              </w:rPr>
              <w:t xml:space="preserve"> </w:t>
            </w:r>
            <w:proofErr w:type="spellStart"/>
            <w:r w:rsidR="00FE4704" w:rsidRPr="00DF4CE5">
              <w:rPr>
                <w:rFonts w:ascii="Cambria" w:hAnsi="Cambria" w:cs="Calibri"/>
              </w:rPr>
              <w:t>knjiga</w:t>
            </w:r>
            <w:proofErr w:type="spellEnd"/>
          </w:p>
          <w:p w14:paraId="12057259" w14:textId="61E5E7E9" w:rsidR="00DF3BF1" w:rsidRDefault="00310484" w:rsidP="00310484">
            <w:pPr>
              <w:spacing w:after="0" w:line="240" w:lineRule="auto"/>
              <w:rPr>
                <w:rFonts w:ascii="Cambria" w:hAnsi="Cambria" w:cs="Calibri"/>
                <w:lang w:val="it-IT"/>
              </w:rPr>
            </w:pPr>
            <w:r w:rsidRPr="00FB6606">
              <w:rPr>
                <w:rFonts w:ascii="Cambria" w:hAnsi="Cambria" w:cs="Calibri"/>
              </w:rPr>
              <w:t xml:space="preserve">2. </w:t>
            </w:r>
            <w:r w:rsidR="00FE4704" w:rsidRPr="00FB6606">
              <w:rPr>
                <w:rFonts w:ascii="Cambria" w:hAnsi="Cambria" w:cs="Calibri"/>
              </w:rPr>
              <w:t>Milanović, T. (2020)</w:t>
            </w:r>
            <w:r w:rsidRPr="00FB6606">
              <w:rPr>
                <w:rFonts w:ascii="Cambria" w:hAnsi="Cambria" w:cs="Calibri"/>
              </w:rPr>
              <w:t>.</w:t>
            </w:r>
            <w:r w:rsidR="00FE4704" w:rsidRPr="00FB6606">
              <w:rPr>
                <w:rFonts w:ascii="Cambria" w:hAnsi="Cambria" w:cs="Calibri"/>
              </w:rPr>
              <w:t xml:space="preserve"> </w:t>
            </w:r>
            <w:proofErr w:type="spellStart"/>
            <w:r w:rsidR="00DF3BF1" w:rsidRPr="00FB6606">
              <w:rPr>
                <w:rFonts w:ascii="Cambria" w:hAnsi="Cambria" w:cs="Calibri"/>
              </w:rPr>
              <w:t>Programiranje</w:t>
            </w:r>
            <w:proofErr w:type="spellEnd"/>
            <w:r w:rsidR="00DF3BF1" w:rsidRPr="00FB6606">
              <w:rPr>
                <w:rFonts w:ascii="Cambria" w:hAnsi="Cambria" w:cs="Calibri"/>
              </w:rPr>
              <w:t xml:space="preserve"> </w:t>
            </w:r>
            <w:proofErr w:type="spellStart"/>
            <w:r w:rsidR="00DF3BF1" w:rsidRPr="00FB6606">
              <w:rPr>
                <w:rFonts w:ascii="Cambria" w:hAnsi="Cambria" w:cs="Calibri"/>
              </w:rPr>
              <w:t>mBot</w:t>
            </w:r>
            <w:proofErr w:type="spellEnd"/>
            <w:r w:rsidR="00DF3BF1" w:rsidRPr="00FB6606">
              <w:rPr>
                <w:rFonts w:ascii="Cambria" w:hAnsi="Cambria" w:cs="Calibri"/>
              </w:rPr>
              <w:t xml:space="preserve"> </w:t>
            </w:r>
            <w:proofErr w:type="spellStart"/>
            <w:r w:rsidR="00DF3BF1" w:rsidRPr="00FB6606">
              <w:rPr>
                <w:rFonts w:ascii="Cambria" w:hAnsi="Cambria" w:cs="Calibri"/>
              </w:rPr>
              <w:t>robota</w:t>
            </w:r>
            <w:proofErr w:type="spellEnd"/>
            <w:r w:rsidR="00DF3BF1" w:rsidRPr="00FB6606">
              <w:rPr>
                <w:rFonts w:ascii="Cambria" w:hAnsi="Cambria" w:cs="Calibri"/>
              </w:rPr>
              <w:t xml:space="preserve"> - </w:t>
            </w:r>
            <w:proofErr w:type="spellStart"/>
            <w:r w:rsidR="00DF3BF1" w:rsidRPr="00FB6606">
              <w:rPr>
                <w:rFonts w:ascii="Cambria" w:hAnsi="Cambria" w:cs="Calibri"/>
              </w:rPr>
              <w:t>priručnik</w:t>
            </w:r>
            <w:proofErr w:type="spellEnd"/>
            <w:r w:rsidR="00DF3BF1" w:rsidRPr="00FB6606">
              <w:rPr>
                <w:rFonts w:ascii="Cambria" w:hAnsi="Cambria" w:cs="Calibri"/>
              </w:rPr>
              <w:t xml:space="preserve"> za </w:t>
            </w:r>
            <w:proofErr w:type="spellStart"/>
            <w:r w:rsidR="00DF3BF1" w:rsidRPr="00FB6606">
              <w:rPr>
                <w:rFonts w:ascii="Cambria" w:hAnsi="Cambria" w:cs="Calibri"/>
              </w:rPr>
              <w:t>učenje</w:t>
            </w:r>
            <w:proofErr w:type="spellEnd"/>
            <w:r w:rsidR="00DF3BF1" w:rsidRPr="00FB6606">
              <w:rPr>
                <w:rFonts w:ascii="Cambria" w:hAnsi="Cambria" w:cs="Calibri"/>
              </w:rPr>
              <w:t xml:space="preserve"> </w:t>
            </w:r>
            <w:proofErr w:type="spellStart"/>
            <w:r w:rsidR="00DF3BF1" w:rsidRPr="00FB6606">
              <w:rPr>
                <w:rFonts w:ascii="Cambria" w:hAnsi="Cambria" w:cs="Calibri"/>
              </w:rPr>
              <w:t>programiranja</w:t>
            </w:r>
            <w:proofErr w:type="spellEnd"/>
            <w:r w:rsidR="00DF3BF1" w:rsidRPr="00FB6606">
              <w:rPr>
                <w:rFonts w:ascii="Cambria" w:hAnsi="Cambria" w:cs="Calibri"/>
              </w:rPr>
              <w:t xml:space="preserve">. </w:t>
            </w:r>
            <w:proofErr w:type="spellStart"/>
            <w:r w:rsidR="00DF3BF1">
              <w:rPr>
                <w:rFonts w:ascii="Cambria" w:hAnsi="Cambria" w:cs="Calibri"/>
                <w:lang w:val="it-IT"/>
              </w:rPr>
              <w:t>Školska</w:t>
            </w:r>
            <w:proofErr w:type="spellEnd"/>
            <w:r w:rsidR="00DF3BF1">
              <w:rPr>
                <w:rFonts w:ascii="Cambria" w:hAnsi="Cambria" w:cs="Calibri"/>
                <w:lang w:val="it-IT"/>
              </w:rPr>
              <w:t xml:space="preserve"> </w:t>
            </w:r>
            <w:proofErr w:type="spellStart"/>
            <w:r w:rsidR="00DF3BF1">
              <w:rPr>
                <w:rFonts w:ascii="Cambria" w:hAnsi="Cambria" w:cs="Calibri"/>
                <w:lang w:val="it-IT"/>
              </w:rPr>
              <w:t>knjiga</w:t>
            </w:r>
            <w:proofErr w:type="spellEnd"/>
          </w:p>
          <w:p w14:paraId="4FFE4878" w14:textId="0803BA0E" w:rsidR="00FE4704" w:rsidRPr="00DF4CE5" w:rsidRDefault="00FE4704" w:rsidP="00310484">
            <w:pPr>
              <w:spacing w:after="0" w:line="240" w:lineRule="auto"/>
              <w:rPr>
                <w:rFonts w:ascii="Cambria" w:hAnsi="Cambria" w:cs="Calibri"/>
                <w:lang w:val="it-IT"/>
              </w:rPr>
            </w:pPr>
            <w:proofErr w:type="spellStart"/>
            <w:r w:rsidRPr="00DF4CE5">
              <w:rPr>
                <w:rFonts w:ascii="Cambria" w:hAnsi="Cambria" w:cs="Calibri"/>
                <w:lang w:val="it-IT"/>
              </w:rPr>
              <w:t>Izborna</w:t>
            </w:r>
            <w:proofErr w:type="spellEnd"/>
            <w:r w:rsidRPr="00DF4CE5">
              <w:rPr>
                <w:rFonts w:ascii="Cambria" w:hAnsi="Cambria" w:cs="Calibri"/>
                <w:lang w:val="it-IT"/>
              </w:rPr>
              <w:t xml:space="preserve">: </w:t>
            </w:r>
          </w:p>
          <w:p w14:paraId="692EF44A" w14:textId="55C6DAAC" w:rsidR="00FE4704" w:rsidRPr="00DF4CE5" w:rsidRDefault="00310484" w:rsidP="00310484">
            <w:pPr>
              <w:spacing w:after="0" w:line="240" w:lineRule="auto"/>
              <w:rPr>
                <w:rFonts w:ascii="Cambria" w:hAnsi="Cambria" w:cs="Cambria"/>
                <w:lang w:val="it-IT"/>
              </w:rPr>
            </w:pPr>
            <w:r>
              <w:rPr>
                <w:rFonts w:ascii="Cambria" w:hAnsi="Cambria" w:cs="Calibri"/>
                <w:lang w:val="it-IT"/>
              </w:rPr>
              <w:t xml:space="preserve">1. </w:t>
            </w:r>
            <w:proofErr w:type="spellStart"/>
            <w:r w:rsidR="00FE4704" w:rsidRPr="00DF4CE5">
              <w:rPr>
                <w:rFonts w:ascii="Cambria" w:hAnsi="Cambria" w:cs="Calibri"/>
                <w:lang w:val="it-IT"/>
              </w:rPr>
              <w:t>Literaura</w:t>
            </w:r>
            <w:proofErr w:type="spellEnd"/>
            <w:r w:rsidR="00FE4704" w:rsidRPr="00DF4CE5">
              <w:rPr>
                <w:rFonts w:ascii="Cambria" w:hAnsi="Cambria" w:cs="Calibri"/>
                <w:lang w:val="it-IT"/>
              </w:rPr>
              <w:t xml:space="preserve"> o </w:t>
            </w:r>
            <w:proofErr w:type="spellStart"/>
            <w:r w:rsidR="00FE4704" w:rsidRPr="00DF4CE5">
              <w:rPr>
                <w:rFonts w:ascii="Cambria" w:hAnsi="Cambria" w:cs="Calibri"/>
                <w:lang w:val="it-IT"/>
              </w:rPr>
              <w:t>novim</w:t>
            </w:r>
            <w:proofErr w:type="spellEnd"/>
            <w:r w:rsidR="00FE4704" w:rsidRPr="00DF4CE5">
              <w:rPr>
                <w:rFonts w:ascii="Cambria" w:hAnsi="Cambria" w:cs="Calibri"/>
                <w:lang w:val="it-IT"/>
              </w:rPr>
              <w:t xml:space="preserve"> </w:t>
            </w:r>
            <w:proofErr w:type="spellStart"/>
            <w:r w:rsidR="00FE4704" w:rsidRPr="00DF4CE5">
              <w:rPr>
                <w:rFonts w:ascii="Cambria" w:hAnsi="Cambria" w:cs="Calibri"/>
                <w:lang w:val="it-IT"/>
              </w:rPr>
              <w:t>programima</w:t>
            </w:r>
            <w:proofErr w:type="spellEnd"/>
          </w:p>
        </w:tc>
      </w:tr>
    </w:tbl>
    <w:p w14:paraId="5D2128F4" w14:textId="77777777" w:rsidR="0014341A" w:rsidRPr="00DF4CE5" w:rsidRDefault="0014341A" w:rsidP="008B34AF">
      <w:pPr>
        <w:jc w:val="both"/>
        <w:rPr>
          <w:rFonts w:ascii="Cambria" w:hAnsi="Cambria"/>
          <w:lang w:val="hr-HR"/>
        </w:rPr>
      </w:pPr>
    </w:p>
    <w:p w14:paraId="0DA94727" w14:textId="77777777" w:rsidR="0014341A" w:rsidRPr="00DF4CE5" w:rsidRDefault="0014341A" w:rsidP="008B34AF">
      <w:pPr>
        <w:jc w:val="both"/>
        <w:rPr>
          <w:rFonts w:ascii="Cambria" w:hAnsi="Cambria"/>
          <w:lang w:val="hr-HR"/>
        </w:rPr>
      </w:pPr>
    </w:p>
    <w:p w14:paraId="1AA95212" w14:textId="77777777" w:rsidR="001974E1" w:rsidRPr="00DF4CE5" w:rsidRDefault="001974E1" w:rsidP="008B34AF">
      <w:pPr>
        <w:jc w:val="both"/>
        <w:rPr>
          <w:rFonts w:ascii="Cambria" w:hAnsi="Cambria"/>
          <w:lang w:val="hr-HR"/>
        </w:rPr>
      </w:pPr>
    </w:p>
    <w:p w14:paraId="5ADF919C" w14:textId="77777777" w:rsidR="001974E1" w:rsidRPr="00DF4CE5" w:rsidRDefault="001974E1" w:rsidP="008B34AF">
      <w:pPr>
        <w:jc w:val="both"/>
        <w:rPr>
          <w:rFonts w:ascii="Cambria" w:hAnsi="Cambria"/>
          <w:lang w:val="hr-HR"/>
        </w:rPr>
      </w:pPr>
    </w:p>
    <w:p w14:paraId="341DD7E3" w14:textId="780F4A68" w:rsidR="001974E1" w:rsidRPr="00DF4CE5" w:rsidRDefault="00AF0D71" w:rsidP="00D74364">
      <w:pPr>
        <w:rPr>
          <w:rFonts w:ascii="Cambria" w:hAnsi="Cambria"/>
          <w:lang w:val="hr-HR"/>
        </w:rPr>
      </w:pPr>
      <w:r>
        <w:rPr>
          <w:rFonts w:ascii="Cambria" w:hAnsi="Cambria"/>
          <w:lang w:val="hr-HR"/>
        </w:rPr>
        <w:br w:type="page"/>
      </w:r>
    </w:p>
    <w:p w14:paraId="26EF8DF4" w14:textId="77777777" w:rsidR="001974E1" w:rsidRPr="00DF4CE5" w:rsidRDefault="001974E1" w:rsidP="008B34AF">
      <w:pPr>
        <w:jc w:val="both"/>
        <w:rPr>
          <w:rFonts w:ascii="Cambria" w:hAnsi="Cambria"/>
          <w:lang w:val="hr-HR"/>
        </w:rPr>
      </w:pPr>
    </w:p>
    <w:tbl>
      <w:tblPr>
        <w:tblW w:w="5000" w:type="pct"/>
        <w:tblLayout w:type="fixed"/>
        <w:tblCellMar>
          <w:left w:w="0" w:type="dxa"/>
          <w:right w:w="0" w:type="dxa"/>
        </w:tblCellMar>
        <w:tblLook w:val="0600" w:firstRow="0" w:lastRow="0" w:firstColumn="0" w:lastColumn="0" w:noHBand="1" w:noVBand="1"/>
      </w:tblPr>
      <w:tblGrid>
        <w:gridCol w:w="2616"/>
        <w:gridCol w:w="2482"/>
        <w:gridCol w:w="98"/>
        <w:gridCol w:w="1092"/>
        <w:gridCol w:w="280"/>
        <w:gridCol w:w="440"/>
        <w:gridCol w:w="1013"/>
        <w:gridCol w:w="1319"/>
      </w:tblGrid>
      <w:tr w:rsidR="0014341A" w:rsidRPr="00DF4CE5" w14:paraId="60EB662D" w14:textId="77777777" w:rsidTr="00C106A0">
        <w:tc>
          <w:tcPr>
            <w:tcW w:w="9340"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21B6B2D" w14:textId="77777777" w:rsidR="0014341A" w:rsidRPr="00DF4CE5" w:rsidRDefault="0014341A" w:rsidP="00001BA9">
            <w:pPr>
              <w:spacing w:after="0" w:line="240" w:lineRule="auto"/>
              <w:jc w:val="right"/>
              <w:rPr>
                <w:rFonts w:ascii="Cambria" w:eastAsia="Times New Roman" w:hAnsi="Cambria" w:cs="Calibri"/>
                <w:b/>
                <w:lang w:val="hr-HR"/>
              </w:rPr>
            </w:pPr>
            <w:r w:rsidRPr="00DF4CE5">
              <w:rPr>
                <w:rFonts w:ascii="Cambria" w:eastAsia="Times New Roman" w:hAnsi="Cambria" w:cs="Calibri"/>
                <w:b/>
                <w:lang w:val="hr-HR"/>
              </w:rPr>
              <w:t>IZVEDBENI PLAN NASTAVE KOLEGIJA</w:t>
            </w:r>
          </w:p>
        </w:tc>
      </w:tr>
      <w:tr w:rsidR="0014341A" w:rsidRPr="00D0399C" w14:paraId="1AE5F420" w14:textId="77777777" w:rsidTr="00C106A0">
        <w:tc>
          <w:tcPr>
            <w:tcW w:w="261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1BBBB77" w14:textId="77777777" w:rsidR="0014341A" w:rsidRPr="00DF4CE5" w:rsidRDefault="0014341A"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Kod i naziv kolegija</w:t>
            </w:r>
          </w:p>
        </w:tc>
        <w:tc>
          <w:tcPr>
            <w:tcW w:w="672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A13AC61" w14:textId="77777777" w:rsidR="0014341A" w:rsidRPr="00DF4CE5" w:rsidRDefault="0014341A"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118961 </w:t>
            </w:r>
          </w:p>
          <w:p w14:paraId="3FC8F183" w14:textId="7EBEEA98" w:rsidR="0014341A" w:rsidRPr="00DF4CE5" w:rsidRDefault="0014341A" w:rsidP="008B34AF">
            <w:pPr>
              <w:spacing w:after="0" w:line="240" w:lineRule="auto"/>
              <w:jc w:val="both"/>
              <w:rPr>
                <w:rFonts w:ascii="Cambria" w:eastAsia="Times New Roman" w:hAnsi="Cambria" w:cs="Calibri"/>
                <w:lang w:val="hr-HR"/>
              </w:rPr>
            </w:pPr>
            <w:r w:rsidRPr="00DF4CE5">
              <w:rPr>
                <w:rFonts w:ascii="Cambria" w:eastAsia="Times New Roman" w:hAnsi="Cambria" w:cs="Times New Roman"/>
                <w:lang w:val="hr-HR"/>
              </w:rPr>
              <w:t xml:space="preserve">Metodika nastave prirode i društva </w:t>
            </w:r>
            <w:r w:rsidRPr="00DF4CE5">
              <w:rPr>
                <w:rFonts w:ascii="Cambria" w:eastAsia="Times New Roman" w:hAnsi="Cambria" w:cs="Calibri"/>
                <w:lang w:val="hr-HR"/>
              </w:rPr>
              <w:t>III</w:t>
            </w:r>
          </w:p>
        </w:tc>
      </w:tr>
      <w:tr w:rsidR="0014341A" w:rsidRPr="00D0399C" w14:paraId="3A782F7E" w14:textId="77777777" w:rsidTr="00C106A0">
        <w:trPr>
          <w:trHeight w:val="534"/>
        </w:trPr>
        <w:tc>
          <w:tcPr>
            <w:tcW w:w="261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C3248DE" w14:textId="17FD1C3E" w:rsidR="0014341A" w:rsidRPr="00DF4CE5" w:rsidRDefault="0014341A"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Nastavnica </w:t>
            </w:r>
          </w:p>
        </w:tc>
        <w:tc>
          <w:tcPr>
            <w:tcW w:w="672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4018C82" w14:textId="1F29ED01" w:rsidR="0014341A" w:rsidRPr="00727BE6" w:rsidRDefault="0039661B" w:rsidP="00727BE6">
            <w:pPr>
              <w:keepNext/>
              <w:snapToGrid w:val="0"/>
              <w:spacing w:after="0" w:line="240" w:lineRule="atLeast"/>
              <w:jc w:val="both"/>
              <w:outlineLvl w:val="0"/>
              <w:rPr>
                <w:rFonts w:ascii="Cambria" w:eastAsia="Times New Roman" w:hAnsi="Cambria" w:cs="Calibri"/>
                <w:bCs/>
                <w:color w:val="0000FF"/>
                <w:kern w:val="32"/>
                <w:u w:val="single"/>
                <w:lang w:val="hr-HR" w:eastAsia="hr-HR"/>
              </w:rPr>
            </w:pPr>
            <w:hyperlink r:id="rId176" w:history="1">
              <w:r w:rsidRPr="006F12A5">
                <w:rPr>
                  <w:rStyle w:val="Hiperveza"/>
                  <w:rFonts w:ascii="Cambria" w:eastAsia="Times New Roman" w:hAnsi="Cambria" w:cs="Calibri"/>
                  <w:bCs/>
                  <w:kern w:val="32"/>
                  <w:lang w:val="hr-HR" w:eastAsia="hr-HR"/>
                </w:rPr>
                <w:t>Izv. prof. dr. sc. Ines Kovačić</w:t>
              </w:r>
            </w:hyperlink>
            <w:r>
              <w:rPr>
                <w:rFonts w:ascii="Cambria" w:eastAsia="Times New Roman" w:hAnsi="Cambria" w:cs="Calibri"/>
                <w:bCs/>
                <w:kern w:val="32"/>
                <w:lang w:val="hr-HR" w:eastAsia="hr-HR"/>
              </w:rPr>
              <w:t xml:space="preserve"> </w:t>
            </w:r>
            <w:r>
              <w:rPr>
                <w:rFonts w:ascii="Cambria" w:eastAsia="Times New Roman" w:hAnsi="Cambria" w:cs="Calibri"/>
                <w:lang w:val="hr-HR"/>
              </w:rPr>
              <w:t>(nositeljica)</w:t>
            </w:r>
          </w:p>
        </w:tc>
      </w:tr>
      <w:tr w:rsidR="0014341A" w:rsidRPr="00D0399C" w14:paraId="589BE4AC" w14:textId="77777777" w:rsidTr="00C106A0">
        <w:tc>
          <w:tcPr>
            <w:tcW w:w="261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FC2CD91" w14:textId="77777777" w:rsidR="0014341A" w:rsidRPr="00DF4CE5" w:rsidRDefault="0014341A"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Studijski program</w:t>
            </w:r>
          </w:p>
        </w:tc>
        <w:tc>
          <w:tcPr>
            <w:tcW w:w="672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F54F084" w14:textId="77777777" w:rsidR="0014341A" w:rsidRPr="00DF4CE5" w:rsidRDefault="00BE4D96" w:rsidP="008B34AF">
            <w:pPr>
              <w:spacing w:after="0" w:line="240" w:lineRule="auto"/>
              <w:jc w:val="both"/>
              <w:rPr>
                <w:rFonts w:ascii="Cambria" w:eastAsia="Times New Roman" w:hAnsi="Cambria" w:cs="Calibri"/>
                <w:lang w:val="hr-HR"/>
              </w:rPr>
            </w:pPr>
            <w:r w:rsidRPr="00DF4CE5">
              <w:rPr>
                <w:rFonts w:ascii="Cambria" w:hAnsi="Cambria"/>
                <w:lang w:val="hr-HR"/>
              </w:rPr>
              <w:t>Sveučilišni integrirani prijediplomski i diplomski Učiteljski studij na hrvatskom jeziku</w:t>
            </w:r>
          </w:p>
        </w:tc>
      </w:tr>
      <w:tr w:rsidR="0014341A" w:rsidRPr="00DF4CE5" w14:paraId="299B6833" w14:textId="77777777" w:rsidTr="00C106A0">
        <w:tc>
          <w:tcPr>
            <w:tcW w:w="261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FA089D3" w14:textId="77777777" w:rsidR="0014341A" w:rsidRPr="00DF4CE5" w:rsidRDefault="0014341A"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Vrsta kolegija</w:t>
            </w:r>
          </w:p>
        </w:tc>
        <w:tc>
          <w:tcPr>
            <w:tcW w:w="248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CD460B4" w14:textId="77777777" w:rsidR="0014341A" w:rsidRPr="00DF4CE5" w:rsidRDefault="0014341A"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obvezan </w:t>
            </w:r>
          </w:p>
        </w:tc>
        <w:tc>
          <w:tcPr>
            <w:tcW w:w="1470"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7A8EDFBC" w14:textId="77777777" w:rsidR="0014341A" w:rsidRPr="00DF4CE5" w:rsidRDefault="0014341A"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Razina kolegija</w:t>
            </w:r>
          </w:p>
        </w:tc>
        <w:tc>
          <w:tcPr>
            <w:tcW w:w="2772"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62A235C" w14:textId="77777777" w:rsidR="0014341A" w:rsidRPr="00DF4CE5" w:rsidRDefault="0014341A" w:rsidP="008B34AF">
            <w:pPr>
              <w:spacing w:after="0" w:line="240" w:lineRule="auto"/>
              <w:jc w:val="both"/>
              <w:rPr>
                <w:rFonts w:ascii="Cambria" w:eastAsia="Times New Roman" w:hAnsi="Cambria" w:cs="Calibri"/>
                <w:lang w:val="hr-HR"/>
              </w:rPr>
            </w:pPr>
            <w:proofErr w:type="spellStart"/>
            <w:r w:rsidRPr="00DF4CE5">
              <w:rPr>
                <w:rFonts w:ascii="Cambria" w:eastAsia="Times New Roman" w:hAnsi="Cambria" w:cs="Calibri"/>
              </w:rPr>
              <w:t>integrirani</w:t>
            </w:r>
            <w:proofErr w:type="spellEnd"/>
          </w:p>
        </w:tc>
      </w:tr>
      <w:tr w:rsidR="0014341A" w:rsidRPr="00DF4CE5" w14:paraId="6F541572" w14:textId="77777777" w:rsidTr="00C106A0">
        <w:tc>
          <w:tcPr>
            <w:tcW w:w="261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9F935F5" w14:textId="77777777" w:rsidR="0014341A" w:rsidRPr="00DF4CE5" w:rsidRDefault="0014341A"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Semestar</w:t>
            </w:r>
          </w:p>
        </w:tc>
        <w:tc>
          <w:tcPr>
            <w:tcW w:w="248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897D224" w14:textId="77777777" w:rsidR="0014341A" w:rsidRPr="00DF4CE5" w:rsidRDefault="0014341A"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zimski</w:t>
            </w:r>
          </w:p>
        </w:tc>
        <w:tc>
          <w:tcPr>
            <w:tcW w:w="1470"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73659C9F" w14:textId="77777777" w:rsidR="0014341A" w:rsidRPr="00DF4CE5" w:rsidRDefault="0014341A"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Godina studija</w:t>
            </w:r>
          </w:p>
        </w:tc>
        <w:tc>
          <w:tcPr>
            <w:tcW w:w="2772"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C366F2F" w14:textId="77777777" w:rsidR="0014341A" w:rsidRPr="00DF4CE5" w:rsidRDefault="0014341A"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V.</w:t>
            </w:r>
          </w:p>
        </w:tc>
      </w:tr>
      <w:tr w:rsidR="0014341A" w:rsidRPr="00DF4CE5" w14:paraId="2147F828" w14:textId="77777777" w:rsidTr="00C106A0">
        <w:tc>
          <w:tcPr>
            <w:tcW w:w="261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7C7992C" w14:textId="77777777" w:rsidR="0014341A" w:rsidRPr="00DF4CE5" w:rsidRDefault="0014341A" w:rsidP="008B34AF">
            <w:pPr>
              <w:spacing w:after="0" w:line="240" w:lineRule="auto"/>
              <w:jc w:val="both"/>
              <w:rPr>
                <w:rFonts w:ascii="Cambria" w:eastAsia="Times New Roman" w:hAnsi="Cambria" w:cs="Calibri"/>
                <w:lang w:val="hr-HR"/>
              </w:rPr>
            </w:pPr>
            <w:proofErr w:type="spellStart"/>
            <w:r w:rsidRPr="00DF4CE5">
              <w:rPr>
                <w:rFonts w:ascii="Cambria" w:eastAsia="Times New Roman" w:hAnsi="Cambria" w:cs="Calibri"/>
              </w:rPr>
              <w:t>Mjesto</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izvođenja</w:t>
            </w:r>
            <w:proofErr w:type="spellEnd"/>
          </w:p>
        </w:tc>
        <w:tc>
          <w:tcPr>
            <w:tcW w:w="248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F4BF00C" w14:textId="283A2494" w:rsidR="0014341A" w:rsidRPr="00DF4CE5" w:rsidRDefault="001974E1"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učionica</w:t>
            </w:r>
          </w:p>
        </w:tc>
        <w:tc>
          <w:tcPr>
            <w:tcW w:w="1470"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6F44C5A3" w14:textId="77777777" w:rsidR="0014341A" w:rsidRPr="00DF4CE5" w:rsidRDefault="0014341A" w:rsidP="008B34AF">
            <w:pPr>
              <w:spacing w:after="0" w:line="240" w:lineRule="auto"/>
              <w:jc w:val="both"/>
              <w:rPr>
                <w:rFonts w:ascii="Cambria" w:eastAsia="Times New Roman" w:hAnsi="Cambria" w:cs="Calibri"/>
                <w:lang w:val="hr-HR"/>
              </w:rPr>
            </w:pPr>
            <w:r w:rsidRPr="00DF4CE5">
              <w:rPr>
                <w:rFonts w:ascii="Cambria" w:eastAsia="Times New Roman" w:hAnsi="Cambria" w:cs="Calibri"/>
              </w:rPr>
              <w:t>Jezik</w:t>
            </w:r>
            <w:r w:rsidRPr="00DF4CE5">
              <w:rPr>
                <w:rFonts w:ascii="Cambria" w:eastAsia="Times New Roman" w:hAnsi="Cambria" w:cs="Calibri"/>
                <w:lang w:val="hr-HR"/>
              </w:rPr>
              <w:t xml:space="preserve"> izvođenja (drugi jezici)</w:t>
            </w:r>
          </w:p>
        </w:tc>
        <w:tc>
          <w:tcPr>
            <w:tcW w:w="2772"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C5EF0C8" w14:textId="77777777" w:rsidR="0014341A" w:rsidRPr="00DF4CE5" w:rsidRDefault="0014341A"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hrvatski</w:t>
            </w:r>
          </w:p>
        </w:tc>
      </w:tr>
      <w:tr w:rsidR="0014341A" w:rsidRPr="00DF4CE5" w14:paraId="790D7790" w14:textId="77777777" w:rsidTr="00C106A0">
        <w:tc>
          <w:tcPr>
            <w:tcW w:w="261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107E5A7" w14:textId="77777777" w:rsidR="0014341A" w:rsidRPr="00DF4CE5" w:rsidRDefault="0014341A"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Broj ECTS bodova</w:t>
            </w:r>
          </w:p>
        </w:tc>
        <w:tc>
          <w:tcPr>
            <w:tcW w:w="248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70230AE" w14:textId="77777777" w:rsidR="0014341A" w:rsidRPr="00DF4CE5" w:rsidRDefault="0014341A"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4</w:t>
            </w:r>
          </w:p>
        </w:tc>
        <w:tc>
          <w:tcPr>
            <w:tcW w:w="1470"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7A124418" w14:textId="77777777" w:rsidR="0014341A" w:rsidRPr="00DF4CE5" w:rsidRDefault="0014341A"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Broj sati u semestru</w:t>
            </w:r>
          </w:p>
        </w:tc>
        <w:tc>
          <w:tcPr>
            <w:tcW w:w="2772"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9CB5876" w14:textId="284A8F8B" w:rsidR="0014341A" w:rsidRPr="00DF4CE5" w:rsidRDefault="0014341A"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15P –</w:t>
            </w:r>
            <w:r w:rsidR="00AF0D71">
              <w:rPr>
                <w:rFonts w:ascii="Cambria" w:eastAsia="Times New Roman" w:hAnsi="Cambria" w:cs="Calibri"/>
                <w:lang w:val="hr-HR"/>
              </w:rPr>
              <w:t xml:space="preserve"> </w:t>
            </w:r>
            <w:r w:rsidR="001974E1" w:rsidRPr="00DF4CE5">
              <w:rPr>
                <w:rFonts w:ascii="Cambria" w:eastAsia="Times New Roman" w:hAnsi="Cambria" w:cs="Calibri"/>
                <w:lang w:val="hr-HR"/>
              </w:rPr>
              <w:t>0S</w:t>
            </w:r>
            <w:r w:rsidRPr="00DF4CE5">
              <w:rPr>
                <w:rFonts w:ascii="Cambria" w:eastAsia="Times New Roman" w:hAnsi="Cambria" w:cs="Calibri"/>
                <w:lang w:val="hr-HR"/>
              </w:rPr>
              <w:t xml:space="preserve"> – </w:t>
            </w:r>
            <w:r w:rsidR="001974E1" w:rsidRPr="00DF4CE5">
              <w:rPr>
                <w:rFonts w:ascii="Cambria" w:eastAsia="Times New Roman" w:hAnsi="Cambria" w:cs="Calibri"/>
                <w:lang w:val="hr-HR"/>
              </w:rPr>
              <w:t>45V</w:t>
            </w:r>
            <w:r w:rsidRPr="00DF4CE5">
              <w:rPr>
                <w:rFonts w:ascii="Cambria" w:eastAsia="Times New Roman" w:hAnsi="Cambria" w:cs="Calibri"/>
                <w:lang w:val="hr-HR"/>
              </w:rPr>
              <w:t xml:space="preserve">   </w:t>
            </w:r>
          </w:p>
        </w:tc>
      </w:tr>
      <w:tr w:rsidR="0014341A" w:rsidRPr="00DF4CE5" w14:paraId="3ECEEE66" w14:textId="77777777" w:rsidTr="00C106A0">
        <w:tc>
          <w:tcPr>
            <w:tcW w:w="261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4B0C135" w14:textId="77777777" w:rsidR="0014341A" w:rsidRPr="00DF4CE5" w:rsidRDefault="0014341A"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Preduvjeti za upis i za svladavanje</w:t>
            </w:r>
          </w:p>
        </w:tc>
        <w:tc>
          <w:tcPr>
            <w:tcW w:w="672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BF0C553" w14:textId="77777777" w:rsidR="0014341A" w:rsidRPr="00DF4CE5" w:rsidRDefault="0014341A"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w:t>
            </w:r>
          </w:p>
        </w:tc>
      </w:tr>
      <w:tr w:rsidR="0014341A" w:rsidRPr="00D0399C" w14:paraId="01C8EAED" w14:textId="77777777" w:rsidTr="00C106A0">
        <w:tc>
          <w:tcPr>
            <w:tcW w:w="261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39C9274" w14:textId="77777777" w:rsidR="0014341A" w:rsidRPr="00DF4CE5" w:rsidRDefault="0014341A" w:rsidP="008B34AF">
            <w:pPr>
              <w:spacing w:after="0" w:line="240" w:lineRule="auto"/>
              <w:jc w:val="both"/>
              <w:rPr>
                <w:rFonts w:ascii="Cambria" w:eastAsia="Times New Roman" w:hAnsi="Cambria" w:cs="Calibri"/>
                <w:lang w:val="hr-HR"/>
              </w:rPr>
            </w:pPr>
            <w:proofErr w:type="spellStart"/>
            <w:r w:rsidRPr="00DF4CE5">
              <w:rPr>
                <w:rFonts w:ascii="Cambria" w:eastAsia="Times New Roman" w:hAnsi="Cambria" w:cs="Calibri"/>
              </w:rPr>
              <w:t>Korelativnost</w:t>
            </w:r>
            <w:proofErr w:type="spellEnd"/>
          </w:p>
        </w:tc>
        <w:tc>
          <w:tcPr>
            <w:tcW w:w="672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8AB25FC" w14:textId="77777777" w:rsidR="0014341A" w:rsidRPr="00DF4CE5" w:rsidRDefault="0014341A"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Prirodoslovlje, Osnove ekologije, Geografija, Povijest, Psihologija,</w:t>
            </w:r>
          </w:p>
          <w:p w14:paraId="68DD1713" w14:textId="77777777" w:rsidR="0014341A" w:rsidRPr="00DF4CE5" w:rsidRDefault="0014341A"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Pedagogija, Didaktika, Metodika nastave prirode i društva II,</w:t>
            </w:r>
          </w:p>
          <w:p w14:paraId="04CB2EA4" w14:textId="77777777" w:rsidR="0014341A" w:rsidRPr="00DF4CE5" w:rsidRDefault="0014341A"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Metodika nastave prirode i društva III</w:t>
            </w:r>
          </w:p>
        </w:tc>
      </w:tr>
      <w:tr w:rsidR="0014341A" w:rsidRPr="00D0399C" w14:paraId="013362D0" w14:textId="77777777" w:rsidTr="00C106A0">
        <w:tc>
          <w:tcPr>
            <w:tcW w:w="261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3E9330F" w14:textId="77777777" w:rsidR="0014341A" w:rsidRPr="00DF4CE5" w:rsidRDefault="0014341A"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Cilj kolegija </w:t>
            </w:r>
          </w:p>
        </w:tc>
        <w:tc>
          <w:tcPr>
            <w:tcW w:w="672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4587953" w14:textId="77777777" w:rsidR="0014341A" w:rsidRPr="00DF4CE5" w:rsidRDefault="0014341A" w:rsidP="008B34AF">
            <w:pPr>
              <w:spacing w:after="0" w:line="240" w:lineRule="auto"/>
              <w:jc w:val="both"/>
              <w:rPr>
                <w:rFonts w:ascii="Cambria" w:eastAsia="Times New Roman" w:hAnsi="Cambria" w:cs="Calibri"/>
                <w:lang w:val="hr-HR"/>
              </w:rPr>
            </w:pPr>
            <w:r w:rsidRPr="00DF4CE5">
              <w:rPr>
                <w:rFonts w:ascii="Cambria" w:eastAsia="Times New Roman" w:hAnsi="Cambria" w:cs="Calibri"/>
                <w:bCs/>
                <w:lang w:val="hr-HR"/>
              </w:rPr>
              <w:t>Razviti kompetencije za suvremenu nastavu,  usvojiti ekološke i građanske navike i sposobnosti cjeloživotnog obrazovanja.</w:t>
            </w:r>
          </w:p>
        </w:tc>
      </w:tr>
      <w:tr w:rsidR="0014341A" w:rsidRPr="00D0399C" w14:paraId="5151F715" w14:textId="77777777" w:rsidTr="00C106A0">
        <w:tc>
          <w:tcPr>
            <w:tcW w:w="261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B626A34" w14:textId="77777777" w:rsidR="0014341A" w:rsidRPr="00DF4CE5" w:rsidRDefault="0014341A"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Ishodi učenja</w:t>
            </w:r>
          </w:p>
        </w:tc>
        <w:tc>
          <w:tcPr>
            <w:tcW w:w="672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F821CE0" w14:textId="0103C40D" w:rsidR="0014341A" w:rsidRPr="00DF4CE5" w:rsidRDefault="00A10F70" w:rsidP="00A10F70">
            <w:pPr>
              <w:spacing w:before="20" w:after="20" w:line="240" w:lineRule="auto"/>
              <w:jc w:val="both"/>
              <w:rPr>
                <w:rFonts w:ascii="Cambria" w:eastAsia="Times New Roman" w:hAnsi="Cambria" w:cs="Calibri"/>
                <w:bCs/>
                <w:lang w:val="hr-HR"/>
              </w:rPr>
            </w:pPr>
            <w:r>
              <w:rPr>
                <w:rFonts w:ascii="Cambria" w:eastAsia="Times New Roman" w:hAnsi="Cambria" w:cs="Calibri"/>
                <w:lang w:val="hr-HR"/>
              </w:rPr>
              <w:t xml:space="preserve">1. </w:t>
            </w:r>
            <w:r w:rsidR="0014341A" w:rsidRPr="00DF4CE5">
              <w:rPr>
                <w:rFonts w:ascii="Cambria" w:eastAsia="Times New Roman" w:hAnsi="Cambria" w:cs="Calibri"/>
                <w:bCs/>
                <w:lang w:val="hr-HR"/>
              </w:rPr>
              <w:t>kritički analizirati didaktičko</w:t>
            </w:r>
            <w:r>
              <w:rPr>
                <w:rFonts w:ascii="Cambria" w:eastAsia="Times New Roman" w:hAnsi="Cambria" w:cs="Calibri"/>
                <w:bCs/>
                <w:lang w:val="hr-HR"/>
              </w:rPr>
              <w:t>-</w:t>
            </w:r>
            <w:r w:rsidR="0014341A" w:rsidRPr="00DF4CE5">
              <w:rPr>
                <w:rFonts w:ascii="Cambria" w:eastAsia="Times New Roman" w:hAnsi="Cambria" w:cs="Calibri"/>
                <w:bCs/>
                <w:lang w:val="hr-HR"/>
              </w:rPr>
              <w:t>metodičke priručnike i udžbenike za učitelje i učenike u prva četiri razreda iz Prirode i društva</w:t>
            </w:r>
          </w:p>
          <w:p w14:paraId="4D9A9CE8" w14:textId="0884CC44" w:rsidR="0014341A" w:rsidRPr="00DF4CE5" w:rsidRDefault="00A10F70" w:rsidP="00A10F70">
            <w:pPr>
              <w:spacing w:before="20" w:after="20" w:line="240" w:lineRule="auto"/>
              <w:jc w:val="both"/>
              <w:rPr>
                <w:rFonts w:ascii="Cambria" w:eastAsia="Times New Roman" w:hAnsi="Cambria" w:cs="Calibri"/>
                <w:bCs/>
                <w:lang w:val="hr-HR"/>
              </w:rPr>
            </w:pPr>
            <w:r>
              <w:rPr>
                <w:rFonts w:ascii="Cambria" w:eastAsia="Times New Roman" w:hAnsi="Cambria" w:cs="Calibri"/>
                <w:bCs/>
                <w:lang w:val="hr-HR"/>
              </w:rPr>
              <w:t xml:space="preserve">2. </w:t>
            </w:r>
            <w:r w:rsidR="0014341A" w:rsidRPr="00DF4CE5">
              <w:rPr>
                <w:rFonts w:ascii="Cambria" w:eastAsia="Times New Roman" w:hAnsi="Cambria" w:cs="Calibri"/>
                <w:bCs/>
                <w:lang w:val="hr-HR"/>
              </w:rPr>
              <w:t>operacionalizirati ciljeve nastave iz pozicije učenika uvažavati pritom njihovu različitost (razinu sposobnosti, znanja, iskustava)</w:t>
            </w:r>
          </w:p>
          <w:p w14:paraId="3F8260D3" w14:textId="2630EE96" w:rsidR="0014341A" w:rsidRPr="00DF4CE5" w:rsidRDefault="00A10F70" w:rsidP="00A10F70">
            <w:pPr>
              <w:spacing w:before="20" w:after="20" w:line="240" w:lineRule="auto"/>
              <w:jc w:val="both"/>
              <w:rPr>
                <w:rFonts w:ascii="Cambria" w:eastAsia="Times New Roman" w:hAnsi="Cambria" w:cs="Calibri"/>
                <w:bCs/>
                <w:lang w:val="hr-HR"/>
              </w:rPr>
            </w:pPr>
            <w:r>
              <w:rPr>
                <w:rFonts w:ascii="Cambria" w:eastAsia="Times New Roman" w:hAnsi="Cambria" w:cs="Calibri"/>
                <w:bCs/>
                <w:lang w:val="hr-HR"/>
              </w:rPr>
              <w:t xml:space="preserve">3. </w:t>
            </w:r>
            <w:r w:rsidR="0014341A" w:rsidRPr="00DF4CE5">
              <w:rPr>
                <w:rFonts w:ascii="Cambria" w:eastAsia="Times New Roman" w:hAnsi="Cambria" w:cs="Calibri"/>
                <w:bCs/>
                <w:lang w:val="hr-HR"/>
              </w:rPr>
              <w:t xml:space="preserve">metodički kompetentno ovladati umijećima praktičnog izvođenja nastave prirode i društva procesima evaluacije i </w:t>
            </w:r>
            <w:proofErr w:type="spellStart"/>
            <w:r w:rsidR="0014341A" w:rsidRPr="00DF4CE5">
              <w:rPr>
                <w:rFonts w:ascii="Cambria" w:eastAsia="Times New Roman" w:hAnsi="Cambria" w:cs="Calibri"/>
                <w:bCs/>
                <w:lang w:val="hr-HR"/>
              </w:rPr>
              <w:t>samoevaluacije</w:t>
            </w:r>
            <w:proofErr w:type="spellEnd"/>
            <w:r w:rsidR="0014341A" w:rsidRPr="00DF4CE5">
              <w:rPr>
                <w:rFonts w:ascii="Cambria" w:eastAsia="Times New Roman" w:hAnsi="Cambria" w:cs="Calibri"/>
                <w:bCs/>
                <w:lang w:val="hr-HR"/>
              </w:rPr>
              <w:t xml:space="preserve"> rada u praktičnoj izvedbi svojih i tuđih metodičkih vježbi, te </w:t>
            </w:r>
            <w:r>
              <w:rPr>
                <w:rFonts w:ascii="Cambria" w:eastAsia="Times New Roman" w:hAnsi="Cambria" w:cs="Calibri"/>
                <w:bCs/>
                <w:lang w:val="hr-HR"/>
              </w:rPr>
              <w:t xml:space="preserve">navedeno </w:t>
            </w:r>
            <w:r w:rsidR="0014341A" w:rsidRPr="00DF4CE5">
              <w:rPr>
                <w:rFonts w:ascii="Cambria" w:eastAsia="Times New Roman" w:hAnsi="Cambria" w:cs="Calibri"/>
                <w:bCs/>
                <w:lang w:val="hr-HR"/>
              </w:rPr>
              <w:t xml:space="preserve">izložiti u pisanom obliku </w:t>
            </w:r>
          </w:p>
          <w:p w14:paraId="07C951C0" w14:textId="3E3DBA26" w:rsidR="0014341A" w:rsidRPr="00DF4CE5" w:rsidRDefault="00A10F70" w:rsidP="00A10F70">
            <w:pPr>
              <w:spacing w:before="20" w:after="20" w:line="240" w:lineRule="auto"/>
              <w:jc w:val="both"/>
              <w:rPr>
                <w:rFonts w:ascii="Cambria" w:eastAsia="Times New Roman" w:hAnsi="Cambria" w:cs="Calibri"/>
                <w:bCs/>
                <w:lang w:val="hr-HR"/>
              </w:rPr>
            </w:pPr>
            <w:r>
              <w:rPr>
                <w:rFonts w:ascii="Cambria" w:eastAsia="Times New Roman" w:hAnsi="Cambria" w:cs="Calibri"/>
                <w:bCs/>
                <w:lang w:val="hr-HR"/>
              </w:rPr>
              <w:t xml:space="preserve">4. </w:t>
            </w:r>
            <w:r w:rsidR="0014341A" w:rsidRPr="00DF4CE5">
              <w:rPr>
                <w:rFonts w:ascii="Cambria" w:eastAsia="Times New Roman" w:hAnsi="Cambria" w:cs="Calibri"/>
                <w:bCs/>
                <w:lang w:val="hr-HR"/>
              </w:rPr>
              <w:t xml:space="preserve">realizirati </w:t>
            </w:r>
            <w:proofErr w:type="spellStart"/>
            <w:r w:rsidR="0014341A" w:rsidRPr="00DF4CE5">
              <w:rPr>
                <w:rFonts w:ascii="Cambria" w:eastAsia="Times New Roman" w:hAnsi="Cambria" w:cs="Calibri"/>
                <w:bCs/>
                <w:lang w:val="hr-HR"/>
              </w:rPr>
              <w:t>ocjenski</w:t>
            </w:r>
            <w:proofErr w:type="spellEnd"/>
            <w:r w:rsidR="0014341A" w:rsidRPr="00DF4CE5">
              <w:rPr>
                <w:rFonts w:ascii="Cambria" w:eastAsia="Times New Roman" w:hAnsi="Cambria" w:cs="Calibri"/>
                <w:bCs/>
                <w:lang w:val="hr-HR"/>
              </w:rPr>
              <w:t xml:space="preserve"> sat u metodičkoj vježbaonici</w:t>
            </w:r>
          </w:p>
        </w:tc>
      </w:tr>
      <w:tr w:rsidR="0014341A" w:rsidRPr="00D0399C" w14:paraId="22905E86" w14:textId="77777777" w:rsidTr="00C106A0">
        <w:tc>
          <w:tcPr>
            <w:tcW w:w="2616"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5080D3A5" w14:textId="77777777" w:rsidR="0014341A" w:rsidRPr="00DF4CE5" w:rsidRDefault="0014341A"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Sadržaj kolegija</w:t>
            </w:r>
          </w:p>
        </w:tc>
        <w:tc>
          <w:tcPr>
            <w:tcW w:w="6724"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94433CF" w14:textId="77777777" w:rsidR="0014341A" w:rsidRPr="00DF4CE5" w:rsidRDefault="0014341A" w:rsidP="008B34AF">
            <w:pPr>
              <w:spacing w:before="20" w:after="20" w:line="240" w:lineRule="auto"/>
              <w:jc w:val="both"/>
              <w:rPr>
                <w:rFonts w:ascii="Cambria" w:eastAsia="Times New Roman" w:hAnsi="Cambria" w:cs="Calibri"/>
                <w:iCs/>
                <w:lang w:val="hr-HR"/>
              </w:rPr>
            </w:pPr>
            <w:r w:rsidRPr="00DF4CE5">
              <w:rPr>
                <w:rFonts w:ascii="Cambria" w:eastAsia="Times New Roman" w:hAnsi="Cambria" w:cs="Calibri"/>
                <w:iCs/>
                <w:lang w:val="hr-HR"/>
              </w:rPr>
              <w:t xml:space="preserve">1. Kritičko praćenje realizacije sadržaja kurikuluma predmeta Priroda i društvo od prvog do četvrtog razreda u svezi dnevnog i tjednog opterećenja učenika (intenziteta i </w:t>
            </w:r>
            <w:proofErr w:type="spellStart"/>
            <w:r w:rsidRPr="00DF4CE5">
              <w:rPr>
                <w:rFonts w:ascii="Cambria" w:eastAsia="Times New Roman" w:hAnsi="Cambria" w:cs="Calibri"/>
                <w:iCs/>
                <w:lang w:val="hr-HR"/>
              </w:rPr>
              <w:t>ekstenziteta</w:t>
            </w:r>
            <w:proofErr w:type="spellEnd"/>
            <w:r w:rsidRPr="00DF4CE5">
              <w:rPr>
                <w:rFonts w:ascii="Cambria" w:eastAsia="Times New Roman" w:hAnsi="Cambria" w:cs="Calibri"/>
                <w:iCs/>
                <w:lang w:val="hr-HR"/>
              </w:rPr>
              <w:t xml:space="preserve"> znanja) </w:t>
            </w:r>
          </w:p>
          <w:p w14:paraId="4884885B" w14:textId="77777777" w:rsidR="0014341A" w:rsidRPr="00DF4CE5" w:rsidRDefault="0014341A" w:rsidP="008B34AF">
            <w:pPr>
              <w:spacing w:before="20" w:after="20" w:line="240" w:lineRule="auto"/>
              <w:jc w:val="both"/>
              <w:rPr>
                <w:rFonts w:ascii="Cambria" w:eastAsia="Times New Roman" w:hAnsi="Cambria" w:cs="Calibri"/>
                <w:iCs/>
                <w:lang w:val="hr-HR"/>
              </w:rPr>
            </w:pPr>
            <w:r w:rsidRPr="00DF4CE5">
              <w:rPr>
                <w:rFonts w:ascii="Cambria" w:eastAsia="Times New Roman" w:hAnsi="Cambria" w:cs="Calibri"/>
                <w:iCs/>
                <w:lang w:val="hr-HR"/>
              </w:rPr>
              <w:t xml:space="preserve">2. Mogućnosti realizacije </w:t>
            </w:r>
            <w:proofErr w:type="spellStart"/>
            <w:r w:rsidRPr="00DF4CE5">
              <w:rPr>
                <w:rFonts w:ascii="Cambria" w:eastAsia="Times New Roman" w:hAnsi="Cambria" w:cs="Calibri"/>
                <w:iCs/>
                <w:lang w:val="hr-HR"/>
              </w:rPr>
              <w:t>međupredmetne</w:t>
            </w:r>
            <w:proofErr w:type="spellEnd"/>
            <w:r w:rsidRPr="00DF4CE5">
              <w:rPr>
                <w:rFonts w:ascii="Cambria" w:eastAsia="Times New Roman" w:hAnsi="Cambria" w:cs="Calibri"/>
                <w:iCs/>
                <w:lang w:val="hr-HR"/>
              </w:rPr>
              <w:t xml:space="preserve"> teme Održivi razvoj i Zdravlje kao sadržaje u programu nastavnog predmeta Priroda i društvo u korelaciji s ostalim nastavnim predmetima </w:t>
            </w:r>
          </w:p>
          <w:p w14:paraId="1F6FE427" w14:textId="77777777" w:rsidR="0014341A" w:rsidRPr="00DF4CE5" w:rsidRDefault="0014341A" w:rsidP="008B34AF">
            <w:pPr>
              <w:spacing w:before="20" w:after="20" w:line="240" w:lineRule="auto"/>
              <w:jc w:val="both"/>
              <w:rPr>
                <w:rFonts w:ascii="Cambria" w:eastAsia="Times New Roman" w:hAnsi="Cambria" w:cs="Calibri"/>
                <w:iCs/>
                <w:lang w:val="hr-HR"/>
              </w:rPr>
            </w:pPr>
            <w:r w:rsidRPr="00DF4CE5">
              <w:rPr>
                <w:rFonts w:ascii="Cambria" w:eastAsia="Times New Roman" w:hAnsi="Cambria" w:cs="Calibri"/>
                <w:iCs/>
                <w:lang w:val="hr-HR"/>
              </w:rPr>
              <w:lastRenderedPageBreak/>
              <w:t xml:space="preserve">3. Prijedlog  programa  „Škola u prirodi“. </w:t>
            </w:r>
          </w:p>
        </w:tc>
      </w:tr>
      <w:tr w:rsidR="0014341A" w:rsidRPr="00DF4CE5" w14:paraId="4975AC3A" w14:textId="77777777" w:rsidTr="00C106A0">
        <w:tc>
          <w:tcPr>
            <w:tcW w:w="2616"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hideMark/>
          </w:tcPr>
          <w:p w14:paraId="1786F08E" w14:textId="77777777" w:rsidR="0014341A" w:rsidRPr="00DF4CE5" w:rsidRDefault="0014341A"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lastRenderedPageBreak/>
              <w:t>Planirane aktivnosti</w:t>
            </w:r>
            <w:r w:rsidRPr="00DF4CE5">
              <w:rPr>
                <w:rFonts w:ascii="Cambria" w:eastAsia="Times New Roman" w:hAnsi="Cambria" w:cs="Calibri"/>
                <w:lang w:val="it-IT"/>
              </w:rPr>
              <w:t>,</w:t>
            </w:r>
          </w:p>
          <w:p w14:paraId="2EC74211" w14:textId="77777777" w:rsidR="0014341A" w:rsidRPr="00DF4CE5" w:rsidRDefault="0014341A" w:rsidP="00A10F70">
            <w:pPr>
              <w:spacing w:after="0" w:line="240" w:lineRule="auto"/>
              <w:rPr>
                <w:rFonts w:ascii="Cambria" w:eastAsia="Times New Roman" w:hAnsi="Cambria" w:cs="Calibri"/>
                <w:lang w:val="hr-HR"/>
              </w:rPr>
            </w:pPr>
            <w:proofErr w:type="spellStart"/>
            <w:r w:rsidRPr="00DF4CE5">
              <w:rPr>
                <w:rFonts w:ascii="Cambria" w:eastAsia="Times New Roman" w:hAnsi="Cambria" w:cs="Calibri"/>
                <w:lang w:val="it-IT"/>
              </w:rPr>
              <w:t>metode</w:t>
            </w:r>
            <w:proofErr w:type="spellEnd"/>
            <w:r w:rsidRPr="00DF4CE5">
              <w:rPr>
                <w:rFonts w:ascii="Cambria" w:eastAsia="Times New Roman" w:hAnsi="Cambria" w:cs="Calibri"/>
                <w:lang w:val="it-IT"/>
              </w:rPr>
              <w:t xml:space="preserve"> </w:t>
            </w:r>
            <w:r w:rsidRPr="00DF4CE5">
              <w:rPr>
                <w:rFonts w:ascii="Cambria" w:eastAsia="Times New Roman" w:hAnsi="Cambria" w:cs="Calibri"/>
                <w:lang w:val="hr-HR"/>
              </w:rPr>
              <w:t>učenja i poučavanja i načini vrednovanja</w:t>
            </w:r>
          </w:p>
        </w:tc>
        <w:tc>
          <w:tcPr>
            <w:tcW w:w="258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D3E4EC8" w14:textId="77777777" w:rsidR="0014341A" w:rsidRPr="00DF4CE5" w:rsidRDefault="0014341A" w:rsidP="008B34AF">
            <w:pPr>
              <w:spacing w:after="0" w:line="240" w:lineRule="auto"/>
              <w:jc w:val="both"/>
              <w:rPr>
                <w:rFonts w:ascii="Cambria" w:eastAsia="Times New Roman" w:hAnsi="Cambria" w:cs="Calibri"/>
                <w:lang w:val="hr-HR"/>
              </w:rPr>
            </w:pPr>
            <w:r w:rsidRPr="00DF4CE5">
              <w:rPr>
                <w:rFonts w:ascii="Cambria" w:eastAsia="Times New Roman" w:hAnsi="Cambria" w:cs="Calibri"/>
                <w:bCs/>
                <w:lang w:val="hr-HR"/>
              </w:rPr>
              <w:t>Obveze</w:t>
            </w:r>
          </w:p>
        </w:tc>
        <w:tc>
          <w:tcPr>
            <w:tcW w:w="10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A6128DF" w14:textId="77777777" w:rsidR="0014341A" w:rsidRPr="00DF4CE5" w:rsidRDefault="0014341A" w:rsidP="008B34AF">
            <w:pPr>
              <w:spacing w:after="0" w:line="240" w:lineRule="auto"/>
              <w:jc w:val="both"/>
              <w:rPr>
                <w:rFonts w:ascii="Cambria" w:eastAsia="Times New Roman" w:hAnsi="Cambria" w:cs="Calibri"/>
                <w:lang w:val="hr-HR"/>
              </w:rPr>
            </w:pPr>
            <w:r w:rsidRPr="00DF4CE5">
              <w:rPr>
                <w:rFonts w:ascii="Cambria" w:eastAsia="Times New Roman" w:hAnsi="Cambria" w:cs="Calibri"/>
                <w:bCs/>
                <w:lang w:val="hr-HR"/>
              </w:rPr>
              <w:t>Ishodi</w:t>
            </w:r>
          </w:p>
        </w:tc>
        <w:tc>
          <w:tcPr>
            <w:tcW w:w="72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C69C12A" w14:textId="77777777" w:rsidR="0014341A" w:rsidRPr="00DF4CE5" w:rsidRDefault="0014341A" w:rsidP="008B34AF">
            <w:pPr>
              <w:spacing w:after="0" w:line="240" w:lineRule="auto"/>
              <w:jc w:val="both"/>
              <w:rPr>
                <w:rFonts w:ascii="Cambria" w:eastAsia="Times New Roman" w:hAnsi="Cambria" w:cs="Calibri"/>
                <w:lang w:val="hr-HR"/>
              </w:rPr>
            </w:pPr>
            <w:r w:rsidRPr="00DF4CE5">
              <w:rPr>
                <w:rFonts w:ascii="Cambria" w:eastAsia="Times New Roman" w:hAnsi="Cambria" w:cs="Calibri"/>
                <w:bCs/>
                <w:lang w:val="hr-HR"/>
              </w:rPr>
              <w:t>Sati</w:t>
            </w:r>
          </w:p>
        </w:tc>
        <w:tc>
          <w:tcPr>
            <w:tcW w:w="101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0242D0B" w14:textId="77777777" w:rsidR="0014341A" w:rsidRPr="00DF4CE5" w:rsidRDefault="0014341A" w:rsidP="008B34AF">
            <w:pPr>
              <w:spacing w:after="0" w:line="240" w:lineRule="auto"/>
              <w:jc w:val="both"/>
              <w:rPr>
                <w:rFonts w:ascii="Cambria" w:eastAsia="Times New Roman" w:hAnsi="Cambria" w:cs="Calibri"/>
                <w:lang w:val="hr-HR"/>
              </w:rPr>
            </w:pPr>
            <w:r w:rsidRPr="00DF4CE5">
              <w:rPr>
                <w:rFonts w:ascii="Cambria" w:eastAsia="Times New Roman" w:hAnsi="Cambria" w:cs="Calibri"/>
                <w:bCs/>
                <w:lang w:val="hr-HR"/>
              </w:rPr>
              <w:t>ECTS</w:t>
            </w:r>
          </w:p>
        </w:tc>
        <w:tc>
          <w:tcPr>
            <w:tcW w:w="13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6E0CF19" w14:textId="77777777" w:rsidR="0014341A" w:rsidRPr="00DF4CE5" w:rsidRDefault="0014341A" w:rsidP="008B34AF">
            <w:pPr>
              <w:spacing w:after="0" w:line="240" w:lineRule="auto"/>
              <w:jc w:val="both"/>
              <w:rPr>
                <w:rFonts w:ascii="Cambria" w:eastAsia="Times New Roman" w:hAnsi="Cambria" w:cs="Calibri"/>
                <w:lang w:val="hr-HR"/>
              </w:rPr>
            </w:pPr>
            <w:r w:rsidRPr="00DF4CE5">
              <w:rPr>
                <w:rFonts w:ascii="Cambria" w:eastAsia="Times New Roman" w:hAnsi="Cambria" w:cs="Calibri"/>
                <w:bCs/>
                <w:lang w:val="hr-HR"/>
              </w:rPr>
              <w:t>Maksimalni udio u ocjeni</w:t>
            </w:r>
            <w:r w:rsidRPr="00DF4CE5">
              <w:rPr>
                <w:rFonts w:ascii="Cambria" w:eastAsia="Times New Roman" w:hAnsi="Cambria" w:cs="Calibri"/>
                <w:bCs/>
              </w:rPr>
              <w:t xml:space="preserve"> (%)</w:t>
            </w:r>
          </w:p>
        </w:tc>
      </w:tr>
      <w:tr w:rsidR="0014341A" w:rsidRPr="00DF4CE5" w14:paraId="75A1014A" w14:textId="77777777" w:rsidTr="00C106A0">
        <w:tc>
          <w:tcPr>
            <w:tcW w:w="2616" w:type="dxa"/>
            <w:vMerge/>
            <w:tcBorders>
              <w:left w:val="single" w:sz="8" w:space="0" w:color="000000"/>
              <w:right w:val="single" w:sz="8" w:space="0" w:color="000000"/>
            </w:tcBorders>
            <w:vAlign w:val="center"/>
            <w:hideMark/>
          </w:tcPr>
          <w:p w14:paraId="425D051C" w14:textId="77777777" w:rsidR="0014341A" w:rsidRPr="00DF4CE5" w:rsidRDefault="0014341A" w:rsidP="008B34AF">
            <w:pPr>
              <w:spacing w:after="0" w:line="240" w:lineRule="auto"/>
              <w:jc w:val="both"/>
              <w:rPr>
                <w:rFonts w:ascii="Cambria" w:eastAsia="Times New Roman" w:hAnsi="Cambria" w:cs="Calibri"/>
                <w:lang w:val="hr-HR"/>
              </w:rPr>
            </w:pPr>
          </w:p>
        </w:tc>
        <w:tc>
          <w:tcPr>
            <w:tcW w:w="258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599ED6D" w14:textId="61A43DE7" w:rsidR="0014341A" w:rsidRPr="00DF4CE5" w:rsidRDefault="0014341A" w:rsidP="008B34AF">
            <w:pPr>
              <w:spacing w:after="0" w:line="240" w:lineRule="auto"/>
              <w:jc w:val="both"/>
              <w:rPr>
                <w:rFonts w:ascii="Cambria" w:eastAsia="Times New Roman" w:hAnsi="Cambria" w:cs="Calibri"/>
                <w:lang w:val="hr-HR"/>
              </w:rPr>
            </w:pPr>
            <w:proofErr w:type="spellStart"/>
            <w:r w:rsidRPr="00DF4CE5">
              <w:rPr>
                <w:rFonts w:ascii="Cambria" w:eastAsia="Times New Roman" w:hAnsi="Cambria" w:cs="Calibri"/>
                <w:lang w:val="it-IT"/>
              </w:rPr>
              <w:t>aktivnost</w:t>
            </w:r>
            <w:proofErr w:type="spellEnd"/>
            <w:r w:rsidRPr="00DF4CE5">
              <w:rPr>
                <w:rFonts w:ascii="Cambria" w:eastAsia="Times New Roman" w:hAnsi="Cambria" w:cs="Calibri"/>
                <w:lang w:val="it-IT"/>
              </w:rPr>
              <w:t xml:space="preserve"> u</w:t>
            </w:r>
            <w:r w:rsidRPr="00DF4CE5">
              <w:rPr>
                <w:rFonts w:ascii="Cambria" w:eastAsia="Times New Roman" w:hAnsi="Cambria" w:cs="Calibri"/>
                <w:lang w:val="hr-HR"/>
              </w:rPr>
              <w:t xml:space="preserve"> nastavi (P</w:t>
            </w:r>
            <w:r w:rsidR="00A10F70">
              <w:rPr>
                <w:rFonts w:ascii="Cambria" w:eastAsia="Times New Roman" w:hAnsi="Cambria" w:cs="Calibri"/>
                <w:lang w:val="hr-HR"/>
              </w:rPr>
              <w:t xml:space="preserve">, </w:t>
            </w:r>
            <w:r w:rsidRPr="00DF4CE5">
              <w:rPr>
                <w:rFonts w:ascii="Cambria" w:eastAsia="Times New Roman" w:hAnsi="Cambria" w:cs="Calibri"/>
                <w:lang w:val="hr-HR"/>
              </w:rPr>
              <w:t>V)</w:t>
            </w:r>
          </w:p>
        </w:tc>
        <w:tc>
          <w:tcPr>
            <w:tcW w:w="10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D361170" w14:textId="626A4E5E" w:rsidR="0014341A" w:rsidRPr="00DF4CE5" w:rsidRDefault="0014341A"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w:t>
            </w:r>
            <w:r w:rsidR="00A10F70" w:rsidRPr="00A10F70">
              <w:rPr>
                <w:rFonts w:ascii="Cambria" w:eastAsia="Times New Roman" w:hAnsi="Cambria" w:cs="Calibri"/>
                <w:lang w:val="hr-HR"/>
              </w:rPr>
              <w:t xml:space="preserve">1. – </w:t>
            </w:r>
            <w:r w:rsidR="00A10F70">
              <w:rPr>
                <w:rFonts w:ascii="Cambria" w:eastAsia="Times New Roman" w:hAnsi="Cambria" w:cs="Calibri"/>
                <w:lang w:val="hr-HR"/>
              </w:rPr>
              <w:t>4</w:t>
            </w:r>
            <w:r w:rsidR="00A10F70" w:rsidRPr="00A10F70">
              <w:rPr>
                <w:rFonts w:ascii="Cambria" w:eastAsia="Times New Roman" w:hAnsi="Cambria" w:cs="Calibri"/>
                <w:lang w:val="hr-HR"/>
              </w:rPr>
              <w:t>.</w:t>
            </w:r>
          </w:p>
        </w:tc>
        <w:tc>
          <w:tcPr>
            <w:tcW w:w="72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E47E149" w14:textId="04F51616" w:rsidR="0014341A" w:rsidRPr="00DF4CE5" w:rsidRDefault="0014341A" w:rsidP="00A10F70">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45</w:t>
            </w:r>
          </w:p>
        </w:tc>
        <w:tc>
          <w:tcPr>
            <w:tcW w:w="101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69A8111" w14:textId="495CEFC1" w:rsidR="0014341A" w:rsidRPr="00DF4CE5" w:rsidRDefault="0014341A" w:rsidP="00A10F70">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1,</w:t>
            </w:r>
            <w:r w:rsidR="00184090" w:rsidRPr="00DF4CE5">
              <w:rPr>
                <w:rFonts w:ascii="Cambria" w:eastAsia="Times New Roman" w:hAnsi="Cambria" w:cs="Calibri"/>
                <w:lang w:val="hr-HR"/>
              </w:rPr>
              <w:t>5</w:t>
            </w:r>
          </w:p>
        </w:tc>
        <w:tc>
          <w:tcPr>
            <w:tcW w:w="13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05630F5" w14:textId="0D66ADF0" w:rsidR="0014341A" w:rsidRPr="00DF4CE5" w:rsidRDefault="0014341A" w:rsidP="00A10F70">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0%</w:t>
            </w:r>
          </w:p>
        </w:tc>
      </w:tr>
      <w:tr w:rsidR="0014341A" w:rsidRPr="00DF4CE5" w14:paraId="7C5E9511" w14:textId="77777777" w:rsidTr="00C106A0">
        <w:tc>
          <w:tcPr>
            <w:tcW w:w="2616" w:type="dxa"/>
            <w:vMerge/>
            <w:tcBorders>
              <w:left w:val="single" w:sz="8" w:space="0" w:color="000000"/>
              <w:right w:val="single" w:sz="8" w:space="0" w:color="000000"/>
            </w:tcBorders>
            <w:vAlign w:val="center"/>
            <w:hideMark/>
          </w:tcPr>
          <w:p w14:paraId="3CBB6F5D" w14:textId="77777777" w:rsidR="0014341A" w:rsidRPr="00DF4CE5" w:rsidRDefault="0014341A" w:rsidP="008B34AF">
            <w:pPr>
              <w:spacing w:after="0" w:line="240" w:lineRule="auto"/>
              <w:jc w:val="both"/>
              <w:rPr>
                <w:rFonts w:ascii="Cambria" w:eastAsia="Times New Roman" w:hAnsi="Cambria" w:cs="Calibri"/>
                <w:lang w:val="hr-HR"/>
              </w:rPr>
            </w:pPr>
          </w:p>
        </w:tc>
        <w:tc>
          <w:tcPr>
            <w:tcW w:w="258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DAC29CF" w14:textId="77777777" w:rsidR="0014341A" w:rsidRPr="00DF4CE5" w:rsidRDefault="0014341A" w:rsidP="00A10F70">
            <w:pPr>
              <w:spacing w:after="0" w:line="240" w:lineRule="auto"/>
              <w:rPr>
                <w:rFonts w:ascii="Cambria" w:eastAsia="Times New Roman" w:hAnsi="Cambria" w:cs="Calibri"/>
                <w:lang w:val="hr-HR"/>
              </w:rPr>
            </w:pPr>
            <w:r w:rsidRPr="00DF4CE5">
              <w:rPr>
                <w:rFonts w:ascii="Cambria" w:eastAsia="Times New Roman" w:hAnsi="Cambria" w:cs="Calibri"/>
                <w:lang w:val="hr-HR"/>
              </w:rPr>
              <w:t>samostalni zadatak iz vježbi</w:t>
            </w:r>
          </w:p>
        </w:tc>
        <w:tc>
          <w:tcPr>
            <w:tcW w:w="10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0CCE109" w14:textId="06EFF062" w:rsidR="0014341A" w:rsidRPr="00DF4CE5" w:rsidRDefault="0014341A"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w:t>
            </w:r>
            <w:r w:rsidR="00A10F70" w:rsidRPr="00A10F70">
              <w:rPr>
                <w:rFonts w:ascii="Cambria" w:eastAsia="Times New Roman" w:hAnsi="Cambria" w:cs="Calibri"/>
                <w:lang w:val="hr-HR"/>
              </w:rPr>
              <w:t>1. – 4.</w:t>
            </w:r>
          </w:p>
        </w:tc>
        <w:tc>
          <w:tcPr>
            <w:tcW w:w="72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EE1F367" w14:textId="372B761A" w:rsidR="0014341A" w:rsidRPr="00DF4CE5" w:rsidRDefault="00184090" w:rsidP="00A10F70">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60</w:t>
            </w:r>
          </w:p>
        </w:tc>
        <w:tc>
          <w:tcPr>
            <w:tcW w:w="101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D43AE28" w14:textId="195E99D7" w:rsidR="0014341A" w:rsidRPr="00DF4CE5" w:rsidRDefault="0014341A" w:rsidP="00A10F70">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2</w:t>
            </w:r>
          </w:p>
        </w:tc>
        <w:tc>
          <w:tcPr>
            <w:tcW w:w="13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87CF20C" w14:textId="5D409124" w:rsidR="0014341A" w:rsidRPr="00DF4CE5" w:rsidRDefault="0014341A" w:rsidP="00A10F70">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60%</w:t>
            </w:r>
          </w:p>
        </w:tc>
      </w:tr>
      <w:tr w:rsidR="0014341A" w:rsidRPr="00DF4CE5" w14:paraId="5812E97F" w14:textId="77777777" w:rsidTr="00C106A0">
        <w:tc>
          <w:tcPr>
            <w:tcW w:w="2616" w:type="dxa"/>
            <w:vMerge/>
            <w:tcBorders>
              <w:left w:val="single" w:sz="8" w:space="0" w:color="000000"/>
              <w:right w:val="single" w:sz="8" w:space="0" w:color="000000"/>
            </w:tcBorders>
            <w:vAlign w:val="center"/>
            <w:hideMark/>
          </w:tcPr>
          <w:p w14:paraId="53899DCB" w14:textId="77777777" w:rsidR="0014341A" w:rsidRPr="00DF4CE5" w:rsidRDefault="0014341A" w:rsidP="008B34AF">
            <w:pPr>
              <w:spacing w:after="0" w:line="240" w:lineRule="auto"/>
              <w:jc w:val="both"/>
              <w:rPr>
                <w:rFonts w:ascii="Cambria" w:eastAsia="Times New Roman" w:hAnsi="Cambria" w:cs="Calibri"/>
                <w:lang w:val="hr-HR"/>
              </w:rPr>
            </w:pPr>
          </w:p>
        </w:tc>
        <w:tc>
          <w:tcPr>
            <w:tcW w:w="258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1774EE2" w14:textId="43B327E4" w:rsidR="0014341A" w:rsidRPr="00DF4CE5" w:rsidRDefault="00A10F70" w:rsidP="00A10F70">
            <w:pPr>
              <w:spacing w:after="0" w:line="240" w:lineRule="auto"/>
              <w:rPr>
                <w:rFonts w:ascii="Cambria" w:eastAsia="Times New Roman" w:hAnsi="Cambria" w:cs="Calibri"/>
                <w:lang w:val="hr-HR"/>
              </w:rPr>
            </w:pPr>
            <w:proofErr w:type="spellStart"/>
            <w:r>
              <w:rPr>
                <w:rFonts w:ascii="Cambria" w:eastAsia="Times New Roman" w:hAnsi="Cambria" w:cs="Calibri"/>
                <w:lang w:val="it-IT"/>
              </w:rPr>
              <w:t>p</w:t>
            </w:r>
            <w:r w:rsidR="0014341A" w:rsidRPr="00DF4CE5">
              <w:rPr>
                <w:rFonts w:ascii="Cambria" w:eastAsia="Times New Roman" w:hAnsi="Cambria" w:cs="Calibri"/>
                <w:lang w:val="it-IT"/>
              </w:rPr>
              <w:t>riprema</w:t>
            </w:r>
            <w:proofErr w:type="spellEnd"/>
            <w:r w:rsidR="0014341A" w:rsidRPr="00DF4CE5">
              <w:rPr>
                <w:rFonts w:ascii="Cambria" w:eastAsia="Times New Roman" w:hAnsi="Cambria" w:cs="Calibri"/>
                <w:lang w:val="it-IT"/>
              </w:rPr>
              <w:t xml:space="preserve"> i </w:t>
            </w:r>
            <w:proofErr w:type="spellStart"/>
            <w:r w:rsidR="0014341A" w:rsidRPr="00DF4CE5">
              <w:rPr>
                <w:rFonts w:ascii="Cambria" w:eastAsia="Times New Roman" w:hAnsi="Cambria" w:cs="Calibri"/>
                <w:lang w:val="it-IT"/>
              </w:rPr>
              <w:t>prezentacija</w:t>
            </w:r>
            <w:proofErr w:type="spellEnd"/>
            <w:r w:rsidR="0014341A" w:rsidRPr="00DF4CE5">
              <w:rPr>
                <w:rFonts w:ascii="Cambria" w:eastAsia="Times New Roman" w:hAnsi="Cambria" w:cs="Calibri"/>
                <w:lang w:val="it-IT"/>
              </w:rPr>
              <w:t xml:space="preserve"> </w:t>
            </w:r>
            <w:proofErr w:type="spellStart"/>
            <w:r w:rsidR="0014341A" w:rsidRPr="00DF4CE5">
              <w:rPr>
                <w:rFonts w:ascii="Cambria" w:eastAsia="Times New Roman" w:hAnsi="Cambria" w:cs="Calibri"/>
                <w:lang w:val="it-IT"/>
              </w:rPr>
              <w:t>seminarskog</w:t>
            </w:r>
            <w:proofErr w:type="spellEnd"/>
            <w:r w:rsidR="0014341A" w:rsidRPr="00DF4CE5">
              <w:rPr>
                <w:rFonts w:ascii="Cambria" w:eastAsia="Times New Roman" w:hAnsi="Cambria" w:cs="Calibri"/>
                <w:lang w:val="it-IT"/>
              </w:rPr>
              <w:t xml:space="preserve"> rada</w:t>
            </w:r>
          </w:p>
        </w:tc>
        <w:tc>
          <w:tcPr>
            <w:tcW w:w="10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91A21A6" w14:textId="39A18842" w:rsidR="0014341A" w:rsidRPr="00DF4CE5" w:rsidRDefault="0014341A"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w:t>
            </w:r>
            <w:r w:rsidR="00A10F70" w:rsidRPr="00A10F70">
              <w:rPr>
                <w:rFonts w:ascii="Cambria" w:eastAsia="Times New Roman" w:hAnsi="Cambria" w:cs="Calibri"/>
                <w:lang w:val="hr-HR"/>
              </w:rPr>
              <w:t>1. – 4.</w:t>
            </w:r>
          </w:p>
        </w:tc>
        <w:tc>
          <w:tcPr>
            <w:tcW w:w="72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A89A636" w14:textId="5813B7EE" w:rsidR="0014341A" w:rsidRPr="00DF4CE5" w:rsidRDefault="0014341A" w:rsidP="00A10F70">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1</w:t>
            </w:r>
            <w:r w:rsidR="00184090" w:rsidRPr="00DF4CE5">
              <w:rPr>
                <w:rFonts w:ascii="Cambria" w:eastAsia="Times New Roman" w:hAnsi="Cambria" w:cs="Calibri"/>
                <w:lang w:val="hr-HR"/>
              </w:rPr>
              <w:t>5</w:t>
            </w:r>
          </w:p>
        </w:tc>
        <w:tc>
          <w:tcPr>
            <w:tcW w:w="101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DBA3557" w14:textId="110CE939" w:rsidR="0014341A" w:rsidRPr="00DF4CE5" w:rsidRDefault="0014341A" w:rsidP="00A10F70">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0,</w:t>
            </w:r>
            <w:r w:rsidR="00184090" w:rsidRPr="00DF4CE5">
              <w:rPr>
                <w:rFonts w:ascii="Cambria" w:eastAsia="Times New Roman" w:hAnsi="Cambria" w:cs="Calibri"/>
                <w:lang w:val="hr-HR"/>
              </w:rPr>
              <w:t>5</w:t>
            </w:r>
          </w:p>
        </w:tc>
        <w:tc>
          <w:tcPr>
            <w:tcW w:w="13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B9D2EA2" w14:textId="375BECB3" w:rsidR="0014341A" w:rsidRPr="00DF4CE5" w:rsidRDefault="0014341A" w:rsidP="00A10F70">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40%</w:t>
            </w:r>
          </w:p>
        </w:tc>
      </w:tr>
      <w:tr w:rsidR="0014341A" w:rsidRPr="00DF4CE5" w14:paraId="6833BC1C" w14:textId="77777777" w:rsidTr="00C106A0">
        <w:tc>
          <w:tcPr>
            <w:tcW w:w="2616" w:type="dxa"/>
            <w:vMerge/>
            <w:tcBorders>
              <w:left w:val="single" w:sz="8" w:space="0" w:color="000000"/>
              <w:right w:val="single" w:sz="8" w:space="0" w:color="000000"/>
            </w:tcBorders>
            <w:vAlign w:val="center"/>
            <w:hideMark/>
          </w:tcPr>
          <w:p w14:paraId="689495A9" w14:textId="77777777" w:rsidR="0014341A" w:rsidRPr="00DF4CE5" w:rsidRDefault="0014341A" w:rsidP="008B34AF">
            <w:pPr>
              <w:spacing w:after="0" w:line="240" w:lineRule="auto"/>
              <w:jc w:val="both"/>
              <w:rPr>
                <w:rFonts w:ascii="Cambria" w:eastAsia="Times New Roman" w:hAnsi="Cambria" w:cs="Calibri"/>
                <w:lang w:val="hr-HR"/>
              </w:rPr>
            </w:pPr>
          </w:p>
        </w:tc>
        <w:tc>
          <w:tcPr>
            <w:tcW w:w="3672"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73E5D25" w14:textId="77777777" w:rsidR="0014341A" w:rsidRPr="00DF4CE5" w:rsidRDefault="0014341A" w:rsidP="008B34AF">
            <w:pPr>
              <w:spacing w:after="0" w:line="240" w:lineRule="auto"/>
              <w:jc w:val="both"/>
              <w:rPr>
                <w:rFonts w:ascii="Cambria" w:eastAsia="Times New Roman" w:hAnsi="Cambria" w:cs="Calibri"/>
                <w:lang w:val="hr-HR"/>
              </w:rPr>
            </w:pPr>
            <w:proofErr w:type="spellStart"/>
            <w:r w:rsidRPr="00DF4CE5">
              <w:rPr>
                <w:rFonts w:ascii="Cambria" w:eastAsia="Times New Roman" w:hAnsi="Cambria" w:cs="Calibri"/>
              </w:rPr>
              <w:t>ukupno</w:t>
            </w:r>
            <w:proofErr w:type="spellEnd"/>
          </w:p>
        </w:tc>
        <w:tc>
          <w:tcPr>
            <w:tcW w:w="72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E882BBC" w14:textId="71A053B5" w:rsidR="0014341A" w:rsidRPr="00DF4CE5" w:rsidRDefault="0014341A" w:rsidP="00A10F70">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12</w:t>
            </w:r>
            <w:r w:rsidR="00184090" w:rsidRPr="00DF4CE5">
              <w:rPr>
                <w:rFonts w:ascii="Cambria" w:eastAsia="Times New Roman" w:hAnsi="Cambria" w:cs="Calibri"/>
                <w:lang w:val="hr-HR"/>
              </w:rPr>
              <w:t>0</w:t>
            </w:r>
          </w:p>
        </w:tc>
        <w:tc>
          <w:tcPr>
            <w:tcW w:w="101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9029639" w14:textId="77777777" w:rsidR="0014341A" w:rsidRPr="00DF4CE5" w:rsidRDefault="0014341A" w:rsidP="00A10F70">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4</w:t>
            </w:r>
          </w:p>
        </w:tc>
        <w:tc>
          <w:tcPr>
            <w:tcW w:w="13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349FB20" w14:textId="77777777" w:rsidR="0014341A" w:rsidRPr="00DF4CE5" w:rsidRDefault="0014341A" w:rsidP="00A10F70">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100%</w:t>
            </w:r>
          </w:p>
        </w:tc>
      </w:tr>
      <w:tr w:rsidR="0014341A" w:rsidRPr="00D0399C" w14:paraId="154F39EE" w14:textId="77777777" w:rsidTr="00C106A0">
        <w:tc>
          <w:tcPr>
            <w:tcW w:w="2616" w:type="dxa"/>
            <w:vMerge/>
            <w:tcBorders>
              <w:left w:val="single" w:sz="8" w:space="0" w:color="000000"/>
              <w:bottom w:val="single" w:sz="8" w:space="0" w:color="000000"/>
              <w:right w:val="single" w:sz="8" w:space="0" w:color="000000"/>
            </w:tcBorders>
            <w:vAlign w:val="center"/>
          </w:tcPr>
          <w:p w14:paraId="23C474EF" w14:textId="77777777" w:rsidR="0014341A" w:rsidRPr="00DF4CE5" w:rsidRDefault="0014341A" w:rsidP="008B34AF">
            <w:pPr>
              <w:spacing w:after="0" w:line="240" w:lineRule="auto"/>
              <w:jc w:val="both"/>
              <w:rPr>
                <w:rFonts w:ascii="Cambria" w:eastAsia="Times New Roman" w:hAnsi="Cambria" w:cs="Calibri"/>
                <w:lang w:val="hr-HR"/>
              </w:rPr>
            </w:pPr>
          </w:p>
        </w:tc>
        <w:tc>
          <w:tcPr>
            <w:tcW w:w="6724"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2C6CAD8" w14:textId="77777777" w:rsidR="0014341A" w:rsidRPr="00DF4CE5" w:rsidRDefault="0014341A"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Dodatna pojašnjenja:</w:t>
            </w:r>
          </w:p>
          <w:p w14:paraId="5F608806" w14:textId="77777777" w:rsidR="0014341A" w:rsidRPr="00DF4CE5" w:rsidRDefault="0014341A" w:rsidP="00A10F7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Za uspješan završetak kolegija student iz samostalnog zadatka treba ostvariti najmanje polovinu predviđenih bodova.</w:t>
            </w:r>
          </w:p>
        </w:tc>
      </w:tr>
      <w:tr w:rsidR="0014341A" w:rsidRPr="00D0399C" w14:paraId="620EB140" w14:textId="77777777" w:rsidTr="00C106A0">
        <w:tc>
          <w:tcPr>
            <w:tcW w:w="261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B6E1A95" w14:textId="77777777" w:rsidR="0014341A" w:rsidRPr="00DF4CE5" w:rsidRDefault="0014341A"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Studentske obveze</w:t>
            </w:r>
          </w:p>
        </w:tc>
        <w:tc>
          <w:tcPr>
            <w:tcW w:w="672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9FE85AA" w14:textId="77777777" w:rsidR="0014341A" w:rsidRPr="00DF4CE5" w:rsidRDefault="0014341A"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Da položi kolegij, student/studentica mora: </w:t>
            </w:r>
          </w:p>
          <w:p w14:paraId="645ACC28" w14:textId="49A679F5" w:rsidR="0014341A" w:rsidRPr="00DF4CE5" w:rsidRDefault="0014341A" w:rsidP="008B34AF">
            <w:pPr>
              <w:spacing w:after="0" w:line="240" w:lineRule="auto"/>
              <w:ind w:left="206" w:hanging="206"/>
              <w:jc w:val="both"/>
              <w:rPr>
                <w:rFonts w:ascii="Cambria" w:eastAsia="Times New Roman" w:hAnsi="Cambria" w:cs="Calibri"/>
                <w:lang w:val="hr-HR"/>
              </w:rPr>
            </w:pPr>
            <w:r w:rsidRPr="00DF4CE5">
              <w:rPr>
                <w:rFonts w:ascii="Cambria" w:eastAsia="Times New Roman" w:hAnsi="Cambria" w:cs="Calibri"/>
                <w:lang w:val="hr-HR"/>
              </w:rPr>
              <w:t>1. redovito pohađati i aktivno sudjelovati u svim oblicima nastave</w:t>
            </w:r>
            <w:r w:rsidR="00A10F70">
              <w:rPr>
                <w:rFonts w:ascii="Cambria" w:eastAsia="Times New Roman" w:hAnsi="Cambria" w:cs="Calibri"/>
                <w:lang w:val="hr-HR"/>
              </w:rPr>
              <w:t xml:space="preserve"> (t</w:t>
            </w:r>
            <w:r w:rsidRPr="00DF4CE5">
              <w:rPr>
                <w:rFonts w:ascii="Cambria" w:eastAsia="Times New Roman" w:hAnsi="Cambria" w:cs="Calibri"/>
                <w:lang w:val="hr-HR"/>
              </w:rPr>
              <w:t>erenska nastava je obavezna</w:t>
            </w:r>
            <w:r w:rsidR="00A10F70">
              <w:rPr>
                <w:rFonts w:ascii="Cambria" w:eastAsia="Times New Roman" w:hAnsi="Cambria" w:cs="Calibri"/>
                <w:lang w:val="hr-HR"/>
              </w:rPr>
              <w:t>; t</w:t>
            </w:r>
            <w:r w:rsidRPr="00DF4CE5">
              <w:rPr>
                <w:rFonts w:ascii="Cambria" w:eastAsia="Times New Roman" w:hAnsi="Cambria" w:cs="Calibri"/>
                <w:lang w:val="hr-HR"/>
              </w:rPr>
              <w:t>oleriraju se izostanci do 30% satnice (posebno za svaki oblik nastave)</w:t>
            </w:r>
            <w:r w:rsidR="00A10F70">
              <w:rPr>
                <w:rFonts w:ascii="Cambria" w:eastAsia="Times New Roman" w:hAnsi="Cambria" w:cs="Calibri"/>
                <w:lang w:val="hr-HR"/>
              </w:rPr>
              <w:t>)</w:t>
            </w:r>
          </w:p>
          <w:p w14:paraId="0A570EF9" w14:textId="7B374423" w:rsidR="0014341A" w:rsidRPr="00DF4CE5" w:rsidRDefault="0014341A" w:rsidP="008B34AF">
            <w:pPr>
              <w:spacing w:after="0" w:line="240" w:lineRule="auto"/>
              <w:ind w:left="206" w:hanging="206"/>
              <w:jc w:val="both"/>
              <w:rPr>
                <w:rFonts w:ascii="Cambria" w:eastAsia="Times New Roman" w:hAnsi="Cambria" w:cs="Calibri"/>
                <w:lang w:val="hr-HR"/>
              </w:rPr>
            </w:pPr>
            <w:r w:rsidRPr="00DF4CE5">
              <w:rPr>
                <w:rFonts w:ascii="Cambria" w:eastAsia="Times New Roman" w:hAnsi="Cambria" w:cs="Calibri"/>
                <w:lang w:val="hr-HR"/>
              </w:rPr>
              <w:t xml:space="preserve">2. u skupini izraditi i prezentirati aktivnost u sklopu Festivala znanosti </w:t>
            </w:r>
            <w:r w:rsidR="00FD56D8" w:rsidRPr="00DF4CE5">
              <w:rPr>
                <w:rFonts w:ascii="Cambria" w:eastAsia="Times New Roman" w:hAnsi="Cambria" w:cs="Calibri"/>
                <w:lang w:val="hr-HR"/>
              </w:rPr>
              <w:t xml:space="preserve">ili Monte </w:t>
            </w:r>
            <w:proofErr w:type="spellStart"/>
            <w:r w:rsidR="00FD56D8" w:rsidRPr="00DF4CE5">
              <w:rPr>
                <w:rFonts w:ascii="Cambria" w:eastAsia="Times New Roman" w:hAnsi="Cambria" w:cs="Calibri"/>
                <w:lang w:val="hr-HR"/>
              </w:rPr>
              <w:t>Librića</w:t>
            </w:r>
            <w:proofErr w:type="spellEnd"/>
          </w:p>
          <w:p w14:paraId="48E62446" w14:textId="77777777" w:rsidR="0014341A" w:rsidRPr="00DF4CE5" w:rsidRDefault="0014341A" w:rsidP="008B34AF">
            <w:pPr>
              <w:spacing w:after="0" w:line="240" w:lineRule="auto"/>
              <w:ind w:left="206" w:hanging="206"/>
              <w:jc w:val="both"/>
              <w:rPr>
                <w:rFonts w:ascii="Cambria" w:eastAsia="Times New Roman" w:hAnsi="Cambria" w:cs="Calibri"/>
                <w:lang w:val="hr-HR"/>
              </w:rPr>
            </w:pPr>
            <w:r w:rsidRPr="00DF4CE5">
              <w:rPr>
                <w:rFonts w:ascii="Cambria" w:eastAsia="Times New Roman" w:hAnsi="Cambria" w:cs="Calibri"/>
                <w:lang w:val="hr-HR"/>
              </w:rPr>
              <w:t>3. samostalno pripremiti i izložiti temu vezano za izvođenje terenske nastave</w:t>
            </w:r>
          </w:p>
          <w:p w14:paraId="400A65A6" w14:textId="77777777" w:rsidR="0014341A" w:rsidRPr="00DF4CE5" w:rsidRDefault="0014341A" w:rsidP="008B34AF">
            <w:pPr>
              <w:spacing w:after="0" w:line="240" w:lineRule="auto"/>
              <w:ind w:left="206" w:hanging="206"/>
              <w:jc w:val="both"/>
              <w:rPr>
                <w:rFonts w:ascii="Cambria" w:eastAsia="Times New Roman" w:hAnsi="Cambria" w:cs="Calibri"/>
                <w:lang w:val="hr-HR"/>
              </w:rPr>
            </w:pPr>
            <w:r w:rsidRPr="00DF4CE5">
              <w:rPr>
                <w:rFonts w:ascii="Cambria" w:eastAsia="Times New Roman" w:hAnsi="Cambria" w:cs="Calibri"/>
                <w:lang w:val="hr-HR"/>
              </w:rPr>
              <w:t>4. samostalno izraditi dnevnu pripremu za nastavni sat i održati javno predavanje u metodičkoj vježbaonici.</w:t>
            </w:r>
          </w:p>
          <w:p w14:paraId="69EA716F" w14:textId="77777777" w:rsidR="0014341A" w:rsidRPr="00DF4CE5" w:rsidRDefault="0014341A" w:rsidP="008B34AF">
            <w:pPr>
              <w:spacing w:after="0" w:line="240" w:lineRule="auto"/>
              <w:ind w:left="206" w:hanging="206"/>
              <w:jc w:val="both"/>
              <w:rPr>
                <w:rFonts w:ascii="Cambria" w:eastAsia="Times New Roman" w:hAnsi="Cambria" w:cs="Calibri"/>
                <w:lang w:val="hr-HR"/>
              </w:rPr>
            </w:pPr>
            <w:r w:rsidRPr="00DF4CE5">
              <w:rPr>
                <w:rFonts w:ascii="Cambria" w:eastAsia="Times New Roman" w:hAnsi="Cambria" w:cs="Calibri"/>
                <w:lang w:val="hr-HR"/>
              </w:rPr>
              <w:t>5. ukupno sakupiti više od 50% bodova iz svih oblika nastave.</w:t>
            </w:r>
          </w:p>
        </w:tc>
      </w:tr>
      <w:tr w:rsidR="0014341A" w:rsidRPr="00D0399C" w14:paraId="05B855E8" w14:textId="77777777" w:rsidTr="00C106A0">
        <w:tc>
          <w:tcPr>
            <w:tcW w:w="261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8B2BCBD" w14:textId="77777777" w:rsidR="0014341A" w:rsidRPr="00DF4CE5" w:rsidRDefault="0014341A" w:rsidP="008B34AF">
            <w:pPr>
              <w:spacing w:after="0" w:line="240" w:lineRule="auto"/>
              <w:jc w:val="both"/>
              <w:rPr>
                <w:rFonts w:ascii="Cambria" w:eastAsia="Times New Roman" w:hAnsi="Cambria" w:cs="Calibri"/>
                <w:lang w:val="hr-HR"/>
              </w:rPr>
            </w:pPr>
            <w:proofErr w:type="spellStart"/>
            <w:r w:rsidRPr="00DF4CE5">
              <w:rPr>
                <w:rFonts w:ascii="Cambria" w:eastAsia="Times New Roman" w:hAnsi="Cambria" w:cs="Calibri"/>
              </w:rPr>
              <w:t>Rokovi</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ispita</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i</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kolokvija</w:t>
            </w:r>
            <w:proofErr w:type="spellEnd"/>
          </w:p>
        </w:tc>
        <w:tc>
          <w:tcPr>
            <w:tcW w:w="672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BFF8C5B" w14:textId="77777777" w:rsidR="0014341A" w:rsidRPr="00DF4CE5" w:rsidRDefault="0014341A"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Određuju se na početku akademske godine, objavljuju se na mrežnim stranicama Sveučilišta i u ISVU sustavu</w:t>
            </w:r>
          </w:p>
        </w:tc>
      </w:tr>
      <w:tr w:rsidR="0014341A" w:rsidRPr="00A10F70" w14:paraId="0E37C5B7" w14:textId="77777777" w:rsidTr="00C106A0">
        <w:tc>
          <w:tcPr>
            <w:tcW w:w="261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BC44667" w14:textId="77777777" w:rsidR="0014341A" w:rsidRPr="00DF4CE5" w:rsidRDefault="0014341A"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Ostale važne činjenice </w:t>
            </w:r>
            <w:proofErr w:type="spellStart"/>
            <w:r w:rsidRPr="00DF4CE5">
              <w:rPr>
                <w:rFonts w:ascii="Cambria" w:eastAsia="Times New Roman" w:hAnsi="Cambria" w:cs="Calibri"/>
                <w:lang w:val="it-IT"/>
              </w:rPr>
              <w:t>vezane</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uz</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kolegij</w:t>
            </w:r>
            <w:proofErr w:type="spellEnd"/>
          </w:p>
        </w:tc>
        <w:tc>
          <w:tcPr>
            <w:tcW w:w="672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3CD9BD6" w14:textId="77777777" w:rsidR="0014341A" w:rsidRPr="00DF4CE5" w:rsidRDefault="0014341A"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Materijali za nastavu postavljeni su na e-učenje.</w:t>
            </w:r>
          </w:p>
          <w:p w14:paraId="01E01FFC" w14:textId="3155D053" w:rsidR="0014341A" w:rsidRPr="00DF4CE5" w:rsidRDefault="0014341A"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U slučaju održavanja nastave na daljinu, moguće je odstupanje u: mjestu izvođenja kolegija, provedbi aktivnosti, metoda tumačenja i poučavanja i načinima vrednovanja, studentskim obvezama i dostupnoj literaturi. O tome će nositeljica kolegija i </w:t>
            </w:r>
            <w:r w:rsidR="00A10F70">
              <w:rPr>
                <w:rFonts w:ascii="Cambria" w:eastAsia="Times New Roman" w:hAnsi="Cambria" w:cs="Calibri"/>
                <w:lang w:val="hr-HR"/>
              </w:rPr>
              <w:t>suradnica</w:t>
            </w:r>
            <w:r w:rsidRPr="00DF4CE5">
              <w:rPr>
                <w:rFonts w:ascii="Cambria" w:eastAsia="Times New Roman" w:hAnsi="Cambria" w:cs="Calibri"/>
                <w:lang w:val="hr-HR"/>
              </w:rPr>
              <w:t xml:space="preserve"> obavijestiti studente i studentice kad se nastava na daljinu počne održavati. Ishodi učenja ostaju nepromijenjeni.</w:t>
            </w:r>
          </w:p>
        </w:tc>
      </w:tr>
      <w:tr w:rsidR="0014341A" w:rsidRPr="00DF4CE5" w14:paraId="35A49F80" w14:textId="77777777" w:rsidTr="00C106A0">
        <w:trPr>
          <w:trHeight w:val="770"/>
        </w:trPr>
        <w:tc>
          <w:tcPr>
            <w:tcW w:w="261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CA8B5AF" w14:textId="77777777" w:rsidR="0014341A" w:rsidRPr="00DF4CE5" w:rsidRDefault="0014341A"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Literatura</w:t>
            </w:r>
          </w:p>
        </w:tc>
        <w:tc>
          <w:tcPr>
            <w:tcW w:w="6724"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3F4EA788" w14:textId="77777777" w:rsidR="0014341A" w:rsidRPr="00DF4CE5" w:rsidRDefault="0014341A" w:rsidP="008B34AF">
            <w:pPr>
              <w:snapToGrid w:val="0"/>
              <w:spacing w:after="0" w:line="240" w:lineRule="auto"/>
              <w:ind w:left="431" w:hanging="431"/>
              <w:jc w:val="both"/>
              <w:rPr>
                <w:rFonts w:ascii="Cambria" w:eastAsia="Times New Roman" w:hAnsi="Cambria" w:cs="Calibri"/>
                <w:lang w:val="hr-HR"/>
              </w:rPr>
            </w:pPr>
            <w:r w:rsidRPr="00DF4CE5">
              <w:rPr>
                <w:rFonts w:ascii="Cambria" w:eastAsia="Times New Roman" w:hAnsi="Cambria" w:cs="Calibri"/>
                <w:lang w:val="hr-HR"/>
              </w:rPr>
              <w:t>Obvezna:</w:t>
            </w:r>
          </w:p>
          <w:p w14:paraId="43DFD198" w14:textId="24E7E7DB" w:rsidR="0014341A" w:rsidRPr="00DF4CE5" w:rsidRDefault="00A10F70" w:rsidP="00A10F70">
            <w:pPr>
              <w:spacing w:after="0" w:line="240" w:lineRule="auto"/>
              <w:jc w:val="both"/>
              <w:rPr>
                <w:rFonts w:ascii="Cambria" w:eastAsia="Times New Roman" w:hAnsi="Cambria" w:cs="Calibri"/>
                <w:lang w:val="hr-HR"/>
              </w:rPr>
            </w:pPr>
            <w:r>
              <w:rPr>
                <w:rFonts w:ascii="Cambria" w:eastAsia="Times New Roman" w:hAnsi="Cambria" w:cs="Calibri"/>
                <w:lang w:val="hr-HR"/>
              </w:rPr>
              <w:t xml:space="preserve">1. </w:t>
            </w:r>
            <w:r w:rsidR="0014341A" w:rsidRPr="00DF4CE5">
              <w:rPr>
                <w:rFonts w:ascii="Cambria" w:eastAsia="Times New Roman" w:hAnsi="Cambria" w:cs="Calibri"/>
                <w:lang w:val="hr-HR"/>
              </w:rPr>
              <w:t xml:space="preserve">De </w:t>
            </w:r>
            <w:proofErr w:type="spellStart"/>
            <w:r w:rsidR="0014341A" w:rsidRPr="00DF4CE5">
              <w:rPr>
                <w:rFonts w:ascii="Cambria" w:eastAsia="Times New Roman" w:hAnsi="Cambria" w:cs="Calibri"/>
                <w:lang w:val="hr-HR"/>
              </w:rPr>
              <w:t>Zan</w:t>
            </w:r>
            <w:proofErr w:type="spellEnd"/>
            <w:r w:rsidR="0014341A" w:rsidRPr="00DF4CE5">
              <w:rPr>
                <w:rFonts w:ascii="Cambria" w:eastAsia="Times New Roman" w:hAnsi="Cambria" w:cs="Calibri"/>
                <w:lang w:val="hr-HR"/>
              </w:rPr>
              <w:t xml:space="preserve">, I. (2005) Metodika nastave prirode i društva. Zagreb: Školska knjiga (Poglavlja 10 i 12.) . </w:t>
            </w:r>
          </w:p>
          <w:p w14:paraId="7C788836" w14:textId="77777777" w:rsidR="0014341A" w:rsidRPr="00DF4CE5" w:rsidRDefault="0014341A" w:rsidP="008B34AF">
            <w:pPr>
              <w:spacing w:after="0" w:line="240" w:lineRule="auto"/>
              <w:ind w:left="431" w:hanging="431"/>
              <w:jc w:val="both"/>
              <w:rPr>
                <w:rFonts w:ascii="Cambria" w:eastAsia="Times New Roman" w:hAnsi="Cambria" w:cs="Calibri"/>
                <w:lang w:val="hr-HR"/>
              </w:rPr>
            </w:pPr>
            <w:r w:rsidRPr="00DF4CE5">
              <w:rPr>
                <w:rFonts w:ascii="Cambria" w:eastAsia="Times New Roman" w:hAnsi="Cambria" w:cs="Calibri"/>
                <w:lang w:val="hr-HR"/>
              </w:rPr>
              <w:t>Izborna:</w:t>
            </w:r>
          </w:p>
          <w:p w14:paraId="370E7136" w14:textId="5719240B" w:rsidR="0014341A" w:rsidRPr="00DF4CE5" w:rsidRDefault="00A10F70" w:rsidP="00A10F70">
            <w:pPr>
              <w:spacing w:after="0" w:line="240" w:lineRule="auto"/>
              <w:jc w:val="both"/>
              <w:rPr>
                <w:rFonts w:ascii="Cambria" w:eastAsia="Times New Roman" w:hAnsi="Cambria" w:cs="Calibri"/>
                <w:lang w:val="hr-HR"/>
              </w:rPr>
            </w:pPr>
            <w:r>
              <w:rPr>
                <w:rFonts w:ascii="Cambria" w:eastAsia="Times New Roman" w:hAnsi="Cambria" w:cs="Calibri"/>
                <w:lang w:val="hr-HR"/>
              </w:rPr>
              <w:t xml:space="preserve">1. </w:t>
            </w:r>
            <w:r w:rsidR="0014341A" w:rsidRPr="00DF4CE5">
              <w:rPr>
                <w:rFonts w:ascii="Cambria" w:eastAsia="Times New Roman" w:hAnsi="Cambria" w:cs="Calibri"/>
                <w:lang w:val="hr-HR"/>
              </w:rPr>
              <w:t xml:space="preserve">Anderson, L. W. &amp; David R. </w:t>
            </w:r>
            <w:proofErr w:type="spellStart"/>
            <w:r w:rsidR="0014341A" w:rsidRPr="00DF4CE5">
              <w:rPr>
                <w:rFonts w:ascii="Cambria" w:eastAsia="Times New Roman" w:hAnsi="Cambria" w:cs="Calibri"/>
                <w:lang w:val="hr-HR"/>
              </w:rPr>
              <w:t>Krathwohl</w:t>
            </w:r>
            <w:proofErr w:type="spellEnd"/>
            <w:r w:rsidR="0014341A" w:rsidRPr="00DF4CE5">
              <w:rPr>
                <w:rFonts w:ascii="Cambria" w:eastAsia="Times New Roman" w:hAnsi="Cambria" w:cs="Calibri"/>
                <w:lang w:val="hr-HR"/>
              </w:rPr>
              <w:t>, D. R.(</w:t>
            </w:r>
            <w:proofErr w:type="spellStart"/>
            <w:r w:rsidR="0014341A" w:rsidRPr="00DF4CE5">
              <w:rPr>
                <w:rFonts w:ascii="Cambria" w:eastAsia="Times New Roman" w:hAnsi="Cambria" w:cs="Calibri"/>
                <w:lang w:val="hr-HR"/>
              </w:rPr>
              <w:t>Eds</w:t>
            </w:r>
            <w:proofErr w:type="spellEnd"/>
            <w:r w:rsidR="0014341A" w:rsidRPr="00DF4CE5">
              <w:rPr>
                <w:rFonts w:ascii="Cambria" w:eastAsia="Times New Roman" w:hAnsi="Cambria" w:cs="Calibri"/>
                <w:lang w:val="hr-HR"/>
              </w:rPr>
              <w:t xml:space="preserve">.) (2001). A </w:t>
            </w:r>
            <w:proofErr w:type="spellStart"/>
            <w:r w:rsidR="0014341A" w:rsidRPr="00DF4CE5">
              <w:rPr>
                <w:rFonts w:ascii="Cambria" w:eastAsia="Times New Roman" w:hAnsi="Cambria" w:cs="Calibri"/>
                <w:lang w:val="hr-HR"/>
              </w:rPr>
              <w:t>Taxonomy</w:t>
            </w:r>
            <w:proofErr w:type="spellEnd"/>
            <w:r w:rsidR="0014341A" w:rsidRPr="00DF4CE5">
              <w:rPr>
                <w:rFonts w:ascii="Cambria" w:eastAsia="Times New Roman" w:hAnsi="Cambria" w:cs="Calibri"/>
                <w:lang w:val="hr-HR"/>
              </w:rPr>
              <w:t xml:space="preserve"> for </w:t>
            </w:r>
            <w:proofErr w:type="spellStart"/>
            <w:r w:rsidR="0014341A" w:rsidRPr="00DF4CE5">
              <w:rPr>
                <w:rFonts w:ascii="Cambria" w:eastAsia="Times New Roman" w:hAnsi="Cambria" w:cs="Calibri"/>
                <w:lang w:val="hr-HR"/>
              </w:rPr>
              <w:t>Learning</w:t>
            </w:r>
            <w:proofErr w:type="spellEnd"/>
            <w:r w:rsidR="0014341A" w:rsidRPr="00DF4CE5">
              <w:rPr>
                <w:rFonts w:ascii="Cambria" w:eastAsia="Times New Roman" w:hAnsi="Cambria" w:cs="Calibri"/>
                <w:lang w:val="hr-HR"/>
              </w:rPr>
              <w:t xml:space="preserve">, </w:t>
            </w:r>
            <w:proofErr w:type="spellStart"/>
            <w:r w:rsidR="0014341A" w:rsidRPr="00DF4CE5">
              <w:rPr>
                <w:rFonts w:ascii="Cambria" w:eastAsia="Times New Roman" w:hAnsi="Cambria" w:cs="Calibri"/>
                <w:lang w:val="hr-HR"/>
              </w:rPr>
              <w:t>Teaching</w:t>
            </w:r>
            <w:proofErr w:type="spellEnd"/>
            <w:r w:rsidR="0014341A" w:rsidRPr="00DF4CE5">
              <w:rPr>
                <w:rFonts w:ascii="Cambria" w:eastAsia="Times New Roman" w:hAnsi="Cambria" w:cs="Calibri"/>
                <w:lang w:val="hr-HR"/>
              </w:rPr>
              <w:t xml:space="preserve">, </w:t>
            </w:r>
            <w:proofErr w:type="spellStart"/>
            <w:r w:rsidR="0014341A" w:rsidRPr="00DF4CE5">
              <w:rPr>
                <w:rFonts w:ascii="Cambria" w:eastAsia="Times New Roman" w:hAnsi="Cambria" w:cs="Calibri"/>
                <w:lang w:val="hr-HR"/>
              </w:rPr>
              <w:t>and</w:t>
            </w:r>
            <w:proofErr w:type="spellEnd"/>
            <w:r w:rsidR="0014341A" w:rsidRPr="00DF4CE5">
              <w:rPr>
                <w:rFonts w:ascii="Cambria" w:eastAsia="Times New Roman" w:hAnsi="Cambria" w:cs="Calibri"/>
                <w:lang w:val="hr-HR"/>
              </w:rPr>
              <w:t xml:space="preserve"> </w:t>
            </w:r>
            <w:proofErr w:type="spellStart"/>
            <w:r w:rsidR="0014341A" w:rsidRPr="00DF4CE5">
              <w:rPr>
                <w:rFonts w:ascii="Cambria" w:eastAsia="Times New Roman" w:hAnsi="Cambria" w:cs="Calibri"/>
                <w:lang w:val="hr-HR"/>
              </w:rPr>
              <w:t>Assessing</w:t>
            </w:r>
            <w:proofErr w:type="spellEnd"/>
            <w:r w:rsidR="0014341A" w:rsidRPr="00DF4CE5">
              <w:rPr>
                <w:rFonts w:ascii="Cambria" w:eastAsia="Times New Roman" w:hAnsi="Cambria" w:cs="Calibri"/>
                <w:lang w:val="hr-HR"/>
              </w:rPr>
              <w:t xml:space="preserve">: A </w:t>
            </w:r>
            <w:proofErr w:type="spellStart"/>
            <w:r w:rsidR="0014341A" w:rsidRPr="00DF4CE5">
              <w:rPr>
                <w:rFonts w:ascii="Cambria" w:eastAsia="Times New Roman" w:hAnsi="Cambria" w:cs="Calibri"/>
                <w:lang w:val="hr-HR"/>
              </w:rPr>
              <w:t>Revision</w:t>
            </w:r>
            <w:proofErr w:type="spellEnd"/>
            <w:r w:rsidR="0014341A" w:rsidRPr="00DF4CE5">
              <w:rPr>
                <w:rFonts w:ascii="Cambria" w:eastAsia="Times New Roman" w:hAnsi="Cambria" w:cs="Calibri"/>
                <w:lang w:val="hr-HR"/>
              </w:rPr>
              <w:t xml:space="preserve"> </w:t>
            </w:r>
            <w:proofErr w:type="spellStart"/>
            <w:r w:rsidR="0014341A" w:rsidRPr="00DF4CE5">
              <w:rPr>
                <w:rFonts w:ascii="Cambria" w:eastAsia="Times New Roman" w:hAnsi="Cambria" w:cs="Calibri"/>
                <w:lang w:val="hr-HR"/>
              </w:rPr>
              <w:t>of</w:t>
            </w:r>
            <w:proofErr w:type="spellEnd"/>
            <w:r w:rsidR="0014341A" w:rsidRPr="00DF4CE5">
              <w:rPr>
                <w:rFonts w:ascii="Cambria" w:eastAsia="Times New Roman" w:hAnsi="Cambria" w:cs="Calibri"/>
                <w:lang w:val="hr-HR"/>
              </w:rPr>
              <w:t xml:space="preserve"> </w:t>
            </w:r>
            <w:proofErr w:type="spellStart"/>
            <w:r w:rsidR="0014341A" w:rsidRPr="00DF4CE5">
              <w:rPr>
                <w:rFonts w:ascii="Cambria" w:eastAsia="Times New Roman" w:hAnsi="Cambria" w:cs="Calibri"/>
                <w:lang w:val="hr-HR"/>
              </w:rPr>
              <w:t>Bloom's</w:t>
            </w:r>
            <w:proofErr w:type="spellEnd"/>
            <w:r w:rsidR="0014341A" w:rsidRPr="00DF4CE5">
              <w:rPr>
                <w:rFonts w:ascii="Cambria" w:eastAsia="Times New Roman" w:hAnsi="Cambria" w:cs="Calibri"/>
                <w:lang w:val="hr-HR"/>
              </w:rPr>
              <w:t xml:space="preserve"> </w:t>
            </w:r>
            <w:proofErr w:type="spellStart"/>
            <w:r w:rsidR="0014341A" w:rsidRPr="00DF4CE5">
              <w:rPr>
                <w:rFonts w:ascii="Cambria" w:eastAsia="Times New Roman" w:hAnsi="Cambria" w:cs="Calibri"/>
                <w:lang w:val="hr-HR"/>
              </w:rPr>
              <w:t>Taxonomy</w:t>
            </w:r>
            <w:proofErr w:type="spellEnd"/>
            <w:r w:rsidR="0014341A" w:rsidRPr="00DF4CE5">
              <w:rPr>
                <w:rFonts w:ascii="Cambria" w:eastAsia="Times New Roman" w:hAnsi="Cambria" w:cs="Calibri"/>
                <w:lang w:val="hr-HR"/>
              </w:rPr>
              <w:t xml:space="preserve"> </w:t>
            </w:r>
            <w:proofErr w:type="spellStart"/>
            <w:r w:rsidR="0014341A" w:rsidRPr="00DF4CE5">
              <w:rPr>
                <w:rFonts w:ascii="Cambria" w:eastAsia="Times New Roman" w:hAnsi="Cambria" w:cs="Calibri"/>
                <w:lang w:val="hr-HR"/>
              </w:rPr>
              <w:t>of</w:t>
            </w:r>
            <w:proofErr w:type="spellEnd"/>
            <w:r w:rsidR="0014341A" w:rsidRPr="00DF4CE5">
              <w:rPr>
                <w:rFonts w:ascii="Cambria" w:eastAsia="Times New Roman" w:hAnsi="Cambria" w:cs="Calibri"/>
                <w:lang w:val="hr-HR"/>
              </w:rPr>
              <w:t xml:space="preserve"> </w:t>
            </w:r>
            <w:proofErr w:type="spellStart"/>
            <w:r w:rsidR="0014341A" w:rsidRPr="00DF4CE5">
              <w:rPr>
                <w:rFonts w:ascii="Cambria" w:eastAsia="Times New Roman" w:hAnsi="Cambria" w:cs="Calibri"/>
                <w:lang w:val="hr-HR"/>
              </w:rPr>
              <w:t>Educational</w:t>
            </w:r>
            <w:proofErr w:type="spellEnd"/>
            <w:r w:rsidR="0014341A" w:rsidRPr="00DF4CE5">
              <w:rPr>
                <w:rFonts w:ascii="Cambria" w:eastAsia="Times New Roman" w:hAnsi="Cambria" w:cs="Calibri"/>
                <w:lang w:val="hr-HR"/>
              </w:rPr>
              <w:t xml:space="preserve"> </w:t>
            </w:r>
            <w:proofErr w:type="spellStart"/>
            <w:r w:rsidR="0014341A" w:rsidRPr="00DF4CE5">
              <w:rPr>
                <w:rFonts w:ascii="Cambria" w:eastAsia="Times New Roman" w:hAnsi="Cambria" w:cs="Calibri"/>
                <w:lang w:val="hr-HR"/>
              </w:rPr>
              <w:t>Objectives</w:t>
            </w:r>
            <w:proofErr w:type="spellEnd"/>
            <w:r w:rsidR="0014341A" w:rsidRPr="00DF4CE5">
              <w:rPr>
                <w:rFonts w:ascii="Cambria" w:eastAsia="Times New Roman" w:hAnsi="Cambria" w:cs="Calibri"/>
                <w:lang w:val="hr-HR"/>
              </w:rPr>
              <w:t xml:space="preserve">. </w:t>
            </w:r>
            <w:proofErr w:type="spellStart"/>
            <w:r w:rsidR="0014341A" w:rsidRPr="00DF4CE5">
              <w:rPr>
                <w:rFonts w:ascii="Cambria" w:eastAsia="Times New Roman" w:hAnsi="Cambria" w:cs="Calibri"/>
                <w:lang w:val="hr-HR"/>
              </w:rPr>
              <w:t>Allyn</w:t>
            </w:r>
            <w:proofErr w:type="spellEnd"/>
            <w:r w:rsidR="0014341A" w:rsidRPr="00DF4CE5">
              <w:rPr>
                <w:rFonts w:ascii="Cambria" w:eastAsia="Times New Roman" w:hAnsi="Cambria" w:cs="Calibri"/>
                <w:lang w:val="hr-HR"/>
              </w:rPr>
              <w:t xml:space="preserve"> &amp; Bacon. Boston, MA   </w:t>
            </w:r>
          </w:p>
          <w:p w14:paraId="4019E62E" w14:textId="59245067" w:rsidR="0014341A" w:rsidRPr="00DF4CE5" w:rsidRDefault="00A10F70" w:rsidP="00A10F70">
            <w:pPr>
              <w:spacing w:after="0" w:line="240" w:lineRule="auto"/>
              <w:jc w:val="both"/>
              <w:rPr>
                <w:rFonts w:ascii="Cambria" w:eastAsia="Times New Roman" w:hAnsi="Cambria" w:cs="Calibri"/>
                <w:lang w:val="hr-HR"/>
              </w:rPr>
            </w:pPr>
            <w:r>
              <w:rPr>
                <w:rFonts w:ascii="Cambria" w:eastAsia="Times New Roman" w:hAnsi="Cambria" w:cs="Calibri"/>
                <w:lang w:val="hr-HR"/>
              </w:rPr>
              <w:t xml:space="preserve">2. </w:t>
            </w:r>
            <w:proofErr w:type="spellStart"/>
            <w:r w:rsidR="0014341A" w:rsidRPr="00DF4CE5">
              <w:rPr>
                <w:rFonts w:ascii="Cambria" w:eastAsia="Times New Roman" w:hAnsi="Cambria" w:cs="Calibri"/>
                <w:lang w:val="hr-HR"/>
              </w:rPr>
              <w:t>Beere</w:t>
            </w:r>
            <w:proofErr w:type="spellEnd"/>
            <w:r w:rsidR="0014341A" w:rsidRPr="00DF4CE5">
              <w:rPr>
                <w:rFonts w:ascii="Cambria" w:eastAsia="Times New Roman" w:hAnsi="Cambria" w:cs="Calibri"/>
                <w:lang w:val="hr-HR"/>
              </w:rPr>
              <w:t xml:space="preserve">, J. (2010). </w:t>
            </w:r>
            <w:proofErr w:type="spellStart"/>
            <w:r w:rsidR="0014341A" w:rsidRPr="00DF4CE5">
              <w:rPr>
                <w:rFonts w:ascii="Cambria" w:eastAsia="Times New Roman" w:hAnsi="Cambria" w:cs="Calibri"/>
                <w:lang w:val="hr-HR"/>
              </w:rPr>
              <w:t>The</w:t>
            </w:r>
            <w:proofErr w:type="spellEnd"/>
            <w:r w:rsidR="0014341A" w:rsidRPr="00DF4CE5">
              <w:rPr>
                <w:rFonts w:ascii="Cambria" w:eastAsia="Times New Roman" w:hAnsi="Cambria" w:cs="Calibri"/>
                <w:lang w:val="hr-HR"/>
              </w:rPr>
              <w:t xml:space="preserve"> </w:t>
            </w:r>
            <w:proofErr w:type="spellStart"/>
            <w:r w:rsidR="0014341A" w:rsidRPr="00DF4CE5">
              <w:rPr>
                <w:rFonts w:ascii="Cambria" w:eastAsia="Times New Roman" w:hAnsi="Cambria" w:cs="Calibri"/>
                <w:lang w:val="hr-HR"/>
              </w:rPr>
              <w:t>primary</w:t>
            </w:r>
            <w:proofErr w:type="spellEnd"/>
            <w:r w:rsidR="0014341A" w:rsidRPr="00DF4CE5">
              <w:rPr>
                <w:rFonts w:ascii="Cambria" w:eastAsia="Times New Roman" w:hAnsi="Cambria" w:cs="Calibri"/>
                <w:lang w:val="hr-HR"/>
              </w:rPr>
              <w:t xml:space="preserve"> </w:t>
            </w:r>
            <w:proofErr w:type="spellStart"/>
            <w:r w:rsidR="0014341A" w:rsidRPr="00DF4CE5">
              <w:rPr>
                <w:rFonts w:ascii="Cambria" w:eastAsia="Times New Roman" w:hAnsi="Cambria" w:cs="Calibri"/>
                <w:lang w:val="hr-HR"/>
              </w:rPr>
              <w:t>learner's</w:t>
            </w:r>
            <w:proofErr w:type="spellEnd"/>
            <w:r w:rsidR="0014341A" w:rsidRPr="00DF4CE5">
              <w:rPr>
                <w:rFonts w:ascii="Cambria" w:eastAsia="Times New Roman" w:hAnsi="Cambria" w:cs="Calibri"/>
                <w:lang w:val="hr-HR"/>
              </w:rPr>
              <w:t xml:space="preserve"> </w:t>
            </w:r>
            <w:proofErr w:type="spellStart"/>
            <w:r w:rsidR="0014341A" w:rsidRPr="00DF4CE5">
              <w:rPr>
                <w:rFonts w:ascii="Cambria" w:eastAsia="Times New Roman" w:hAnsi="Cambria" w:cs="Calibri"/>
                <w:lang w:val="hr-HR"/>
              </w:rPr>
              <w:t>toolkit</w:t>
            </w:r>
            <w:proofErr w:type="spellEnd"/>
            <w:r w:rsidR="0014341A" w:rsidRPr="00DF4CE5">
              <w:rPr>
                <w:rFonts w:ascii="Cambria" w:eastAsia="Times New Roman" w:hAnsi="Cambria" w:cs="Calibri"/>
                <w:lang w:val="hr-HR"/>
              </w:rPr>
              <w:t xml:space="preserve">. </w:t>
            </w:r>
            <w:proofErr w:type="spellStart"/>
            <w:r w:rsidR="0014341A" w:rsidRPr="00DF4CE5">
              <w:rPr>
                <w:rFonts w:ascii="Cambria" w:eastAsia="Times New Roman" w:hAnsi="Cambria" w:cs="Calibri"/>
                <w:lang w:val="hr-HR"/>
              </w:rPr>
              <w:t>Crown</w:t>
            </w:r>
            <w:proofErr w:type="spellEnd"/>
            <w:r w:rsidR="0014341A" w:rsidRPr="00DF4CE5">
              <w:rPr>
                <w:rFonts w:ascii="Cambria" w:eastAsia="Times New Roman" w:hAnsi="Cambria" w:cs="Calibri"/>
                <w:lang w:val="hr-HR"/>
              </w:rPr>
              <w:t xml:space="preserve"> House </w:t>
            </w:r>
            <w:proofErr w:type="spellStart"/>
            <w:r w:rsidR="0014341A" w:rsidRPr="00DF4CE5">
              <w:rPr>
                <w:rFonts w:ascii="Cambria" w:eastAsia="Times New Roman" w:hAnsi="Cambria" w:cs="Calibri"/>
                <w:lang w:val="hr-HR"/>
              </w:rPr>
              <w:t>Publishing</w:t>
            </w:r>
            <w:proofErr w:type="spellEnd"/>
            <w:r w:rsidR="0014341A" w:rsidRPr="00DF4CE5">
              <w:rPr>
                <w:rFonts w:ascii="Cambria" w:eastAsia="Times New Roman" w:hAnsi="Cambria" w:cs="Calibri"/>
                <w:lang w:val="hr-HR"/>
              </w:rPr>
              <w:t xml:space="preserve"> Jensen </w:t>
            </w:r>
          </w:p>
          <w:p w14:paraId="6C46B329" w14:textId="612D6ED6" w:rsidR="0014341A" w:rsidRPr="00DF4CE5" w:rsidRDefault="0014341A" w:rsidP="00A10F7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3. Jensen, E.: (2003.), Super-nastava, ″Educa″, Zagreb.</w:t>
            </w:r>
          </w:p>
          <w:p w14:paraId="6F541A30" w14:textId="77777777" w:rsidR="0014341A" w:rsidRPr="00DF4CE5" w:rsidRDefault="0014341A" w:rsidP="00A10F7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Priručna:</w:t>
            </w:r>
          </w:p>
          <w:p w14:paraId="087D8BAB" w14:textId="77777777" w:rsidR="0014341A" w:rsidRPr="00DF4CE5" w:rsidRDefault="0014341A" w:rsidP="00A10F7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lastRenderedPageBreak/>
              <w:t>1. Udžbenici prirode i društva od 1.- 4. razreda, radne bilježnice i metodički priručnici za učitelje</w:t>
            </w:r>
          </w:p>
          <w:p w14:paraId="5363C5B5" w14:textId="77777777" w:rsidR="0014341A" w:rsidRPr="00DF4CE5" w:rsidRDefault="0014341A" w:rsidP="00A10F70">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2. Ministarstvo znanosti i obrazovanja (2019) Kurikulum za nastavni predmet Priroda i društvo. Zagreb </w:t>
            </w:r>
          </w:p>
        </w:tc>
      </w:tr>
    </w:tbl>
    <w:p w14:paraId="0787B6D0" w14:textId="77777777" w:rsidR="0014341A" w:rsidRPr="00DF4CE5" w:rsidRDefault="0014341A" w:rsidP="008B34AF">
      <w:pPr>
        <w:jc w:val="both"/>
        <w:rPr>
          <w:rFonts w:ascii="Cambria" w:hAnsi="Cambria"/>
          <w:lang w:val="hr-HR"/>
        </w:rPr>
      </w:pPr>
    </w:p>
    <w:p w14:paraId="7C7CFDB6" w14:textId="77777777" w:rsidR="0014341A" w:rsidRPr="00DF4CE5" w:rsidRDefault="0014341A" w:rsidP="008B34AF">
      <w:pPr>
        <w:jc w:val="both"/>
        <w:rPr>
          <w:rFonts w:ascii="Cambria" w:hAnsi="Cambria"/>
          <w:lang w:val="hr-HR"/>
        </w:rPr>
      </w:pPr>
    </w:p>
    <w:p w14:paraId="621E1924" w14:textId="77777777" w:rsidR="0014341A" w:rsidRPr="00DF4CE5" w:rsidRDefault="0014341A" w:rsidP="008B34AF">
      <w:pPr>
        <w:jc w:val="both"/>
        <w:rPr>
          <w:rFonts w:ascii="Cambria" w:hAnsi="Cambria"/>
          <w:lang w:val="hr-HR"/>
        </w:rPr>
      </w:pPr>
    </w:p>
    <w:p w14:paraId="37B754D1" w14:textId="77777777" w:rsidR="0014341A" w:rsidRPr="00DF4CE5" w:rsidRDefault="0014341A" w:rsidP="008B34AF">
      <w:pPr>
        <w:jc w:val="both"/>
        <w:rPr>
          <w:rFonts w:ascii="Cambria" w:hAnsi="Cambria"/>
          <w:lang w:val="hr-HR"/>
        </w:rPr>
      </w:pPr>
    </w:p>
    <w:p w14:paraId="0F3DAE7F" w14:textId="77777777" w:rsidR="0014341A" w:rsidRPr="00DF4CE5" w:rsidRDefault="0014341A" w:rsidP="008B34AF">
      <w:pPr>
        <w:jc w:val="both"/>
        <w:rPr>
          <w:rFonts w:ascii="Cambria" w:hAnsi="Cambria"/>
          <w:lang w:val="hr-HR"/>
        </w:rPr>
      </w:pPr>
    </w:p>
    <w:p w14:paraId="4C5BE613" w14:textId="77777777" w:rsidR="0014341A" w:rsidRPr="00DF4CE5" w:rsidRDefault="0014341A" w:rsidP="008B34AF">
      <w:pPr>
        <w:jc w:val="both"/>
        <w:rPr>
          <w:rFonts w:ascii="Cambria" w:hAnsi="Cambria"/>
          <w:lang w:val="hr-HR"/>
        </w:rPr>
      </w:pPr>
    </w:p>
    <w:p w14:paraId="7C96399F" w14:textId="77777777" w:rsidR="0014341A" w:rsidRPr="00DF4CE5" w:rsidRDefault="0014341A" w:rsidP="008B34AF">
      <w:pPr>
        <w:jc w:val="both"/>
        <w:rPr>
          <w:rFonts w:ascii="Cambria" w:hAnsi="Cambria"/>
          <w:lang w:val="hr-HR"/>
        </w:rPr>
      </w:pPr>
    </w:p>
    <w:p w14:paraId="2A2D76FC" w14:textId="77777777" w:rsidR="0014341A" w:rsidRPr="00DF4CE5" w:rsidRDefault="0014341A" w:rsidP="008B34AF">
      <w:pPr>
        <w:jc w:val="both"/>
        <w:rPr>
          <w:rFonts w:ascii="Cambria" w:hAnsi="Cambria"/>
          <w:lang w:val="hr-HR"/>
        </w:rPr>
      </w:pPr>
    </w:p>
    <w:p w14:paraId="2D3A5C84" w14:textId="77777777" w:rsidR="0014341A" w:rsidRPr="00DF4CE5" w:rsidRDefault="0014341A" w:rsidP="008B34AF">
      <w:pPr>
        <w:jc w:val="both"/>
        <w:rPr>
          <w:rFonts w:ascii="Cambria" w:hAnsi="Cambria"/>
          <w:lang w:val="hr-HR"/>
        </w:rPr>
      </w:pPr>
    </w:p>
    <w:p w14:paraId="32FC0BEC" w14:textId="77777777" w:rsidR="0014341A" w:rsidRPr="00DF4CE5" w:rsidRDefault="0014341A" w:rsidP="008B34AF">
      <w:pPr>
        <w:jc w:val="both"/>
        <w:rPr>
          <w:rFonts w:ascii="Cambria" w:hAnsi="Cambria"/>
          <w:lang w:val="hr-HR"/>
        </w:rPr>
      </w:pPr>
    </w:p>
    <w:p w14:paraId="0A6219A8" w14:textId="77777777" w:rsidR="0014341A" w:rsidRPr="00DF4CE5" w:rsidRDefault="0014341A" w:rsidP="008B34AF">
      <w:pPr>
        <w:jc w:val="both"/>
        <w:rPr>
          <w:rFonts w:ascii="Cambria" w:hAnsi="Cambria"/>
          <w:lang w:val="hr-HR"/>
        </w:rPr>
      </w:pPr>
    </w:p>
    <w:p w14:paraId="707EE8FE" w14:textId="77777777" w:rsidR="0014341A" w:rsidRPr="00DF4CE5" w:rsidRDefault="0014341A" w:rsidP="008B34AF">
      <w:pPr>
        <w:jc w:val="both"/>
        <w:rPr>
          <w:rFonts w:ascii="Cambria" w:hAnsi="Cambria"/>
          <w:lang w:val="hr-HR"/>
        </w:rPr>
      </w:pPr>
    </w:p>
    <w:p w14:paraId="4FBD437F" w14:textId="77777777" w:rsidR="0014341A" w:rsidRPr="00DF4CE5" w:rsidRDefault="0014341A" w:rsidP="008B34AF">
      <w:pPr>
        <w:jc w:val="both"/>
        <w:rPr>
          <w:rFonts w:ascii="Cambria" w:hAnsi="Cambria"/>
          <w:lang w:val="hr-HR"/>
        </w:rPr>
      </w:pPr>
    </w:p>
    <w:p w14:paraId="2AD33648" w14:textId="77777777" w:rsidR="0014341A" w:rsidRPr="00DF4CE5" w:rsidRDefault="0014341A" w:rsidP="008B34AF">
      <w:pPr>
        <w:jc w:val="both"/>
        <w:rPr>
          <w:rFonts w:ascii="Cambria" w:hAnsi="Cambria"/>
          <w:lang w:val="hr-HR"/>
        </w:rPr>
      </w:pPr>
    </w:p>
    <w:p w14:paraId="03D62527" w14:textId="77777777" w:rsidR="0014341A" w:rsidRPr="00DF4CE5" w:rsidRDefault="0014341A" w:rsidP="008B34AF">
      <w:pPr>
        <w:jc w:val="both"/>
        <w:rPr>
          <w:rFonts w:ascii="Cambria" w:hAnsi="Cambria"/>
          <w:lang w:val="hr-HR"/>
        </w:rPr>
      </w:pPr>
    </w:p>
    <w:p w14:paraId="5466FC00" w14:textId="0DDE73EE" w:rsidR="0014341A" w:rsidRPr="00DF4CE5" w:rsidRDefault="00AF0D71" w:rsidP="00AF0D71">
      <w:pPr>
        <w:rPr>
          <w:rFonts w:ascii="Cambria" w:hAnsi="Cambria"/>
          <w:lang w:val="hr-HR"/>
        </w:rPr>
      </w:pPr>
      <w:r>
        <w:rPr>
          <w:rFonts w:ascii="Cambria" w:hAnsi="Cambria"/>
          <w:lang w:val="hr-HR"/>
        </w:rPr>
        <w:br w:type="page"/>
      </w:r>
    </w:p>
    <w:tbl>
      <w:tblPr>
        <w:tblW w:w="5000" w:type="pct"/>
        <w:tblLayout w:type="fixed"/>
        <w:tblCellMar>
          <w:left w:w="0" w:type="dxa"/>
          <w:right w:w="0" w:type="dxa"/>
        </w:tblCellMar>
        <w:tblLook w:val="0600" w:firstRow="0" w:lastRow="0" w:firstColumn="0" w:lastColumn="0" w:noHBand="1" w:noVBand="1"/>
      </w:tblPr>
      <w:tblGrid>
        <w:gridCol w:w="2623"/>
        <w:gridCol w:w="2487"/>
        <w:gridCol w:w="98"/>
        <w:gridCol w:w="1088"/>
        <w:gridCol w:w="277"/>
        <w:gridCol w:w="438"/>
        <w:gridCol w:w="1011"/>
        <w:gridCol w:w="1318"/>
      </w:tblGrid>
      <w:tr w:rsidR="008345F3" w:rsidRPr="00963BC1" w14:paraId="1625247F" w14:textId="77777777" w:rsidTr="008345F3">
        <w:tc>
          <w:tcPr>
            <w:tcW w:w="9340"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10E8C32" w14:textId="77777777" w:rsidR="008345F3" w:rsidRPr="00727BE6" w:rsidRDefault="008345F3" w:rsidP="008345F3">
            <w:pPr>
              <w:spacing w:after="0" w:line="240" w:lineRule="atLeast"/>
              <w:jc w:val="right"/>
              <w:rPr>
                <w:rFonts w:ascii="Cambria" w:eastAsia="Calibri" w:hAnsi="Cambria" w:cs="Calibri"/>
                <w:b/>
              </w:rPr>
            </w:pPr>
            <w:r w:rsidRPr="00727BE6">
              <w:rPr>
                <w:rFonts w:ascii="Cambria" w:eastAsia="Calibri" w:hAnsi="Cambria" w:cs="Calibri"/>
                <w:b/>
              </w:rPr>
              <w:lastRenderedPageBreak/>
              <w:t>IZVEDBENI PLAN NASTAVE KOLEGIJA</w:t>
            </w:r>
          </w:p>
        </w:tc>
      </w:tr>
      <w:tr w:rsidR="008345F3" w:rsidRPr="00963BC1" w14:paraId="69320521" w14:textId="77777777" w:rsidTr="008345F3">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9F5D6CF" w14:textId="77777777" w:rsidR="008345F3" w:rsidRPr="00727BE6" w:rsidRDefault="008345F3" w:rsidP="008345F3">
            <w:pPr>
              <w:spacing w:after="0" w:line="240" w:lineRule="atLeast"/>
              <w:jc w:val="both"/>
              <w:rPr>
                <w:rFonts w:ascii="Cambria" w:eastAsia="Calibri" w:hAnsi="Cambria" w:cs="Calibri"/>
              </w:rPr>
            </w:pPr>
            <w:proofErr w:type="spellStart"/>
            <w:r w:rsidRPr="00727BE6">
              <w:rPr>
                <w:rFonts w:ascii="Cambria" w:eastAsia="Calibri" w:hAnsi="Cambria" w:cs="Calibri"/>
              </w:rPr>
              <w:t>Kod</w:t>
            </w:r>
            <w:proofErr w:type="spellEnd"/>
            <w:r w:rsidRPr="00727BE6">
              <w:rPr>
                <w:rFonts w:ascii="Cambria" w:eastAsia="Calibri" w:hAnsi="Cambria" w:cs="Calibri"/>
              </w:rPr>
              <w:t xml:space="preserve"> </w:t>
            </w:r>
            <w:proofErr w:type="spellStart"/>
            <w:r w:rsidRPr="00727BE6">
              <w:rPr>
                <w:rFonts w:ascii="Cambria" w:eastAsia="Calibri" w:hAnsi="Cambria" w:cs="Calibri"/>
              </w:rPr>
              <w:t>i</w:t>
            </w:r>
            <w:proofErr w:type="spellEnd"/>
            <w:r w:rsidRPr="00727BE6">
              <w:rPr>
                <w:rFonts w:ascii="Cambria" w:eastAsia="Calibri" w:hAnsi="Cambria" w:cs="Calibri"/>
              </w:rPr>
              <w:t xml:space="preserve"> </w:t>
            </w:r>
            <w:proofErr w:type="spellStart"/>
            <w:r w:rsidRPr="00727BE6">
              <w:rPr>
                <w:rFonts w:ascii="Cambria" w:eastAsia="Calibri" w:hAnsi="Cambria" w:cs="Calibri"/>
              </w:rPr>
              <w:t>naziv</w:t>
            </w:r>
            <w:proofErr w:type="spellEnd"/>
            <w:r w:rsidRPr="00727BE6">
              <w:rPr>
                <w:rFonts w:ascii="Cambria" w:eastAsia="Calibri" w:hAnsi="Cambria" w:cs="Calibri"/>
              </w:rPr>
              <w:t xml:space="preserve"> </w:t>
            </w:r>
            <w:proofErr w:type="spellStart"/>
            <w:r w:rsidRPr="00727BE6">
              <w:rPr>
                <w:rFonts w:ascii="Cambria" w:eastAsia="Calibri" w:hAnsi="Cambria" w:cs="Calibri"/>
              </w:rPr>
              <w:t>kolegija</w:t>
            </w:r>
            <w:proofErr w:type="spellEnd"/>
          </w:p>
        </w:tc>
        <w:tc>
          <w:tcPr>
            <w:tcW w:w="671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73E7F4A" w14:textId="77777777" w:rsidR="008345F3" w:rsidRPr="00727BE6" w:rsidRDefault="008345F3" w:rsidP="008345F3">
            <w:pPr>
              <w:spacing w:after="0" w:line="240" w:lineRule="atLeast"/>
              <w:jc w:val="both"/>
              <w:rPr>
                <w:rFonts w:ascii="Cambria" w:eastAsia="Calibri" w:hAnsi="Cambria" w:cs="Calibri"/>
              </w:rPr>
            </w:pPr>
            <w:r w:rsidRPr="00727BE6">
              <w:rPr>
                <w:rFonts w:ascii="Cambria" w:eastAsia="Calibri" w:hAnsi="Cambria" w:cs="Calibri"/>
              </w:rPr>
              <w:t>118963</w:t>
            </w:r>
          </w:p>
          <w:p w14:paraId="13A62DA6" w14:textId="7D3AC286" w:rsidR="008345F3" w:rsidRPr="00727BE6" w:rsidRDefault="008345F3" w:rsidP="008345F3">
            <w:pPr>
              <w:spacing w:after="0" w:line="240" w:lineRule="atLeast"/>
              <w:jc w:val="both"/>
              <w:rPr>
                <w:rFonts w:ascii="Cambria" w:eastAsia="Calibri" w:hAnsi="Cambria" w:cs="Calibri"/>
                <w:b/>
              </w:rPr>
            </w:pPr>
            <w:proofErr w:type="spellStart"/>
            <w:r w:rsidRPr="00727BE6">
              <w:rPr>
                <w:rFonts w:ascii="Cambria" w:eastAsia="Calibri" w:hAnsi="Cambria" w:cs="Calibri"/>
              </w:rPr>
              <w:t>Kineziološka</w:t>
            </w:r>
            <w:proofErr w:type="spellEnd"/>
            <w:r w:rsidRPr="00727BE6">
              <w:rPr>
                <w:rFonts w:ascii="Cambria" w:eastAsia="Calibri" w:hAnsi="Cambria" w:cs="Calibri"/>
              </w:rPr>
              <w:t xml:space="preserve"> </w:t>
            </w:r>
            <w:proofErr w:type="spellStart"/>
            <w:r w:rsidRPr="00727BE6">
              <w:rPr>
                <w:rFonts w:ascii="Cambria" w:eastAsia="Calibri" w:hAnsi="Cambria" w:cs="Calibri"/>
              </w:rPr>
              <w:t>metodika</w:t>
            </w:r>
            <w:proofErr w:type="spellEnd"/>
            <w:r w:rsidRPr="00727BE6">
              <w:rPr>
                <w:rFonts w:ascii="Cambria" w:eastAsia="Calibri" w:hAnsi="Cambria" w:cs="Calibri"/>
              </w:rPr>
              <w:t xml:space="preserve"> III</w:t>
            </w:r>
          </w:p>
        </w:tc>
      </w:tr>
      <w:tr w:rsidR="008345F3" w:rsidRPr="00963BC1" w14:paraId="3F8C80E7" w14:textId="77777777" w:rsidTr="008345F3">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A738C5F" w14:textId="608629AA" w:rsidR="008345F3" w:rsidRPr="00727BE6" w:rsidRDefault="00A10F70" w:rsidP="008345F3">
            <w:pPr>
              <w:spacing w:after="0" w:line="240" w:lineRule="atLeast"/>
              <w:jc w:val="both"/>
              <w:rPr>
                <w:rFonts w:ascii="Cambria" w:eastAsia="Calibri" w:hAnsi="Cambria" w:cs="Calibri"/>
              </w:rPr>
            </w:pPr>
            <w:proofErr w:type="spellStart"/>
            <w:r w:rsidRPr="00727BE6">
              <w:rPr>
                <w:rFonts w:ascii="Cambria" w:eastAsia="Calibri" w:hAnsi="Cambria" w:cs="Calibri"/>
              </w:rPr>
              <w:t>N</w:t>
            </w:r>
            <w:r w:rsidR="008345F3" w:rsidRPr="00727BE6">
              <w:rPr>
                <w:rFonts w:ascii="Cambria" w:eastAsia="Calibri" w:hAnsi="Cambria" w:cs="Calibri"/>
              </w:rPr>
              <w:t>astavnica</w:t>
            </w:r>
            <w:proofErr w:type="spellEnd"/>
            <w:r w:rsidR="008345F3" w:rsidRPr="00727BE6">
              <w:rPr>
                <w:rFonts w:ascii="Cambria" w:eastAsia="Calibri" w:hAnsi="Cambria" w:cs="Calibri"/>
              </w:rPr>
              <w:t xml:space="preserve"> </w:t>
            </w:r>
          </w:p>
        </w:tc>
        <w:tc>
          <w:tcPr>
            <w:tcW w:w="671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DDCED68" w14:textId="38B25AB9" w:rsidR="008345F3" w:rsidRPr="00727BE6" w:rsidRDefault="00A10F70" w:rsidP="008345F3">
            <w:pPr>
              <w:spacing w:after="0" w:line="240" w:lineRule="atLeast"/>
              <w:jc w:val="both"/>
              <w:rPr>
                <w:rFonts w:ascii="Cambria" w:eastAsia="Calibri" w:hAnsi="Cambria" w:cs="Calibri"/>
              </w:rPr>
            </w:pPr>
            <w:hyperlink r:id="rId177" w:history="1">
              <w:r w:rsidRPr="00727BE6">
                <w:rPr>
                  <w:rStyle w:val="Hiperveza"/>
                  <w:rFonts w:ascii="Cambria" w:eastAsia="Calibri" w:hAnsi="Cambria" w:cs="Calibri"/>
                </w:rPr>
                <w:t>P</w:t>
              </w:r>
              <w:r w:rsidR="008345F3" w:rsidRPr="00727BE6">
                <w:rPr>
                  <w:rStyle w:val="Hiperveza"/>
                  <w:rFonts w:ascii="Cambria" w:eastAsia="Calibri" w:hAnsi="Cambria" w:cs="Calibri"/>
                </w:rPr>
                <w:t>rof. dr. sc. Iva Blažević</w:t>
              </w:r>
            </w:hyperlink>
            <w:r w:rsidR="008345F3" w:rsidRPr="00727BE6">
              <w:rPr>
                <w:rFonts w:ascii="Cambria" w:eastAsia="Calibri" w:hAnsi="Cambria" w:cs="Calibri"/>
              </w:rPr>
              <w:t xml:space="preserve"> </w:t>
            </w:r>
            <w:r w:rsidRPr="00727BE6">
              <w:rPr>
                <w:rFonts w:ascii="Cambria" w:eastAsia="Calibri" w:hAnsi="Cambria" w:cs="Calibri"/>
              </w:rPr>
              <w:t>(</w:t>
            </w:r>
            <w:proofErr w:type="spellStart"/>
            <w:r w:rsidR="008345F3" w:rsidRPr="00727BE6">
              <w:rPr>
                <w:rFonts w:ascii="Cambria" w:eastAsia="Calibri" w:hAnsi="Cambria" w:cs="Calibri"/>
              </w:rPr>
              <w:t>nositeljica</w:t>
            </w:r>
            <w:proofErr w:type="spellEnd"/>
            <w:r w:rsidRPr="00727BE6">
              <w:rPr>
                <w:rFonts w:ascii="Cambria" w:eastAsia="Calibri" w:hAnsi="Cambria" w:cs="Calibri"/>
              </w:rPr>
              <w:t>)</w:t>
            </w:r>
          </w:p>
        </w:tc>
      </w:tr>
      <w:tr w:rsidR="008345F3" w:rsidRPr="00963BC1" w14:paraId="1A00D9D3" w14:textId="77777777" w:rsidTr="008345F3">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C39FAC2" w14:textId="77777777" w:rsidR="008345F3" w:rsidRPr="00727BE6" w:rsidRDefault="008345F3" w:rsidP="008345F3">
            <w:pPr>
              <w:spacing w:after="0" w:line="240" w:lineRule="atLeast"/>
              <w:jc w:val="both"/>
              <w:rPr>
                <w:rFonts w:ascii="Cambria" w:eastAsia="Calibri" w:hAnsi="Cambria" w:cs="Calibri"/>
              </w:rPr>
            </w:pPr>
            <w:proofErr w:type="spellStart"/>
            <w:r w:rsidRPr="00727BE6">
              <w:rPr>
                <w:rFonts w:ascii="Cambria" w:eastAsia="Calibri" w:hAnsi="Cambria" w:cs="Calibri"/>
              </w:rPr>
              <w:t>Studijski</w:t>
            </w:r>
            <w:proofErr w:type="spellEnd"/>
            <w:r w:rsidRPr="00727BE6">
              <w:rPr>
                <w:rFonts w:ascii="Cambria" w:eastAsia="Calibri" w:hAnsi="Cambria" w:cs="Calibri"/>
              </w:rPr>
              <w:t xml:space="preserve"> program</w:t>
            </w:r>
          </w:p>
        </w:tc>
        <w:tc>
          <w:tcPr>
            <w:tcW w:w="671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75599FA" w14:textId="77777777" w:rsidR="008345F3" w:rsidRPr="00727BE6" w:rsidRDefault="008345F3" w:rsidP="008345F3">
            <w:pPr>
              <w:spacing w:after="0" w:line="240" w:lineRule="atLeast"/>
              <w:jc w:val="both"/>
              <w:rPr>
                <w:rFonts w:ascii="Cambria" w:eastAsia="Calibri" w:hAnsi="Cambria" w:cs="Calibri"/>
              </w:rPr>
            </w:pPr>
            <w:proofErr w:type="spellStart"/>
            <w:r w:rsidRPr="00727BE6">
              <w:rPr>
                <w:rFonts w:ascii="Cambria" w:eastAsia="Calibri" w:hAnsi="Cambria" w:cs="Times New Roman"/>
              </w:rPr>
              <w:t>Sveučilišni</w:t>
            </w:r>
            <w:proofErr w:type="spellEnd"/>
            <w:r w:rsidRPr="00727BE6">
              <w:rPr>
                <w:rFonts w:ascii="Cambria" w:eastAsia="Calibri" w:hAnsi="Cambria" w:cs="Times New Roman"/>
              </w:rPr>
              <w:t xml:space="preserve"> </w:t>
            </w:r>
            <w:proofErr w:type="spellStart"/>
            <w:r w:rsidRPr="00727BE6">
              <w:rPr>
                <w:rFonts w:ascii="Cambria" w:eastAsia="Calibri" w:hAnsi="Cambria" w:cs="Times New Roman"/>
              </w:rPr>
              <w:t>integrirani</w:t>
            </w:r>
            <w:proofErr w:type="spellEnd"/>
            <w:r w:rsidRPr="00727BE6">
              <w:rPr>
                <w:rFonts w:ascii="Cambria" w:eastAsia="Calibri" w:hAnsi="Cambria" w:cs="Times New Roman"/>
              </w:rPr>
              <w:t xml:space="preserve"> </w:t>
            </w:r>
            <w:proofErr w:type="spellStart"/>
            <w:r w:rsidRPr="00727BE6">
              <w:rPr>
                <w:rFonts w:ascii="Cambria" w:eastAsia="Calibri" w:hAnsi="Cambria" w:cs="Times New Roman"/>
              </w:rPr>
              <w:t>prijediplomski</w:t>
            </w:r>
            <w:proofErr w:type="spellEnd"/>
            <w:r w:rsidRPr="00727BE6">
              <w:rPr>
                <w:rFonts w:ascii="Cambria" w:eastAsia="Calibri" w:hAnsi="Cambria" w:cs="Times New Roman"/>
              </w:rPr>
              <w:t xml:space="preserve"> </w:t>
            </w:r>
            <w:proofErr w:type="spellStart"/>
            <w:r w:rsidRPr="00727BE6">
              <w:rPr>
                <w:rFonts w:ascii="Cambria" w:eastAsia="Calibri" w:hAnsi="Cambria" w:cs="Times New Roman"/>
              </w:rPr>
              <w:t>i</w:t>
            </w:r>
            <w:proofErr w:type="spellEnd"/>
            <w:r w:rsidRPr="00727BE6">
              <w:rPr>
                <w:rFonts w:ascii="Cambria" w:eastAsia="Calibri" w:hAnsi="Cambria" w:cs="Times New Roman"/>
              </w:rPr>
              <w:t xml:space="preserve"> </w:t>
            </w:r>
            <w:proofErr w:type="spellStart"/>
            <w:r w:rsidRPr="00727BE6">
              <w:rPr>
                <w:rFonts w:ascii="Cambria" w:eastAsia="Calibri" w:hAnsi="Cambria" w:cs="Times New Roman"/>
              </w:rPr>
              <w:t>diplomski</w:t>
            </w:r>
            <w:proofErr w:type="spellEnd"/>
            <w:r w:rsidRPr="00727BE6">
              <w:rPr>
                <w:rFonts w:ascii="Cambria" w:eastAsia="Calibri" w:hAnsi="Cambria" w:cs="Times New Roman"/>
              </w:rPr>
              <w:t xml:space="preserve"> </w:t>
            </w:r>
            <w:proofErr w:type="spellStart"/>
            <w:r w:rsidRPr="00727BE6">
              <w:rPr>
                <w:rFonts w:ascii="Cambria" w:eastAsia="Calibri" w:hAnsi="Cambria" w:cs="Times New Roman"/>
              </w:rPr>
              <w:t>Učiteljski</w:t>
            </w:r>
            <w:proofErr w:type="spellEnd"/>
            <w:r w:rsidRPr="00727BE6">
              <w:rPr>
                <w:rFonts w:ascii="Cambria" w:eastAsia="Calibri" w:hAnsi="Cambria" w:cs="Times New Roman"/>
              </w:rPr>
              <w:t xml:space="preserve"> </w:t>
            </w:r>
            <w:proofErr w:type="spellStart"/>
            <w:r w:rsidRPr="00727BE6">
              <w:rPr>
                <w:rFonts w:ascii="Cambria" w:eastAsia="Calibri" w:hAnsi="Cambria" w:cs="Times New Roman"/>
              </w:rPr>
              <w:t>studij</w:t>
            </w:r>
            <w:proofErr w:type="spellEnd"/>
            <w:r w:rsidRPr="00727BE6">
              <w:rPr>
                <w:rFonts w:ascii="Cambria" w:eastAsia="Calibri" w:hAnsi="Cambria" w:cs="Times New Roman"/>
              </w:rPr>
              <w:t xml:space="preserve"> </w:t>
            </w:r>
            <w:proofErr w:type="spellStart"/>
            <w:r w:rsidRPr="00727BE6">
              <w:rPr>
                <w:rFonts w:ascii="Cambria" w:eastAsia="Calibri" w:hAnsi="Cambria" w:cs="Times New Roman"/>
              </w:rPr>
              <w:t>na</w:t>
            </w:r>
            <w:proofErr w:type="spellEnd"/>
            <w:r w:rsidRPr="00727BE6">
              <w:rPr>
                <w:rFonts w:ascii="Cambria" w:eastAsia="Calibri" w:hAnsi="Cambria" w:cs="Times New Roman"/>
              </w:rPr>
              <w:t xml:space="preserve"> </w:t>
            </w:r>
            <w:proofErr w:type="spellStart"/>
            <w:r w:rsidRPr="00727BE6">
              <w:rPr>
                <w:rFonts w:ascii="Cambria" w:eastAsia="Calibri" w:hAnsi="Cambria" w:cs="Times New Roman"/>
              </w:rPr>
              <w:t>hrvatskom</w:t>
            </w:r>
            <w:proofErr w:type="spellEnd"/>
            <w:r w:rsidRPr="00727BE6">
              <w:rPr>
                <w:rFonts w:ascii="Cambria" w:eastAsia="Calibri" w:hAnsi="Cambria" w:cs="Times New Roman"/>
              </w:rPr>
              <w:t xml:space="preserve"> </w:t>
            </w:r>
            <w:proofErr w:type="spellStart"/>
            <w:r w:rsidRPr="00727BE6">
              <w:rPr>
                <w:rFonts w:ascii="Cambria" w:eastAsia="Calibri" w:hAnsi="Cambria" w:cs="Times New Roman"/>
              </w:rPr>
              <w:t>jeziku</w:t>
            </w:r>
            <w:proofErr w:type="spellEnd"/>
          </w:p>
        </w:tc>
      </w:tr>
      <w:tr w:rsidR="008345F3" w:rsidRPr="00963BC1" w14:paraId="6B996EB5" w14:textId="77777777" w:rsidTr="008345F3">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DB12A80" w14:textId="77777777" w:rsidR="008345F3" w:rsidRPr="00727BE6" w:rsidRDefault="008345F3" w:rsidP="008345F3">
            <w:pPr>
              <w:spacing w:after="0" w:line="240" w:lineRule="atLeast"/>
              <w:jc w:val="both"/>
              <w:rPr>
                <w:rFonts w:ascii="Cambria" w:eastAsia="Calibri" w:hAnsi="Cambria" w:cs="Calibri"/>
              </w:rPr>
            </w:pPr>
            <w:proofErr w:type="spellStart"/>
            <w:r w:rsidRPr="00727BE6">
              <w:rPr>
                <w:rFonts w:ascii="Cambria" w:eastAsia="Calibri" w:hAnsi="Cambria" w:cs="Calibri"/>
              </w:rPr>
              <w:t>Vrsta</w:t>
            </w:r>
            <w:proofErr w:type="spellEnd"/>
            <w:r w:rsidRPr="00727BE6">
              <w:rPr>
                <w:rFonts w:ascii="Cambria" w:eastAsia="Calibri" w:hAnsi="Cambria" w:cs="Calibri"/>
              </w:rPr>
              <w:t xml:space="preserve"> </w:t>
            </w:r>
            <w:proofErr w:type="spellStart"/>
            <w:r w:rsidRPr="00727BE6">
              <w:rPr>
                <w:rFonts w:ascii="Cambria" w:eastAsia="Calibri" w:hAnsi="Cambria" w:cs="Calibri"/>
              </w:rPr>
              <w:t>kolegija</w:t>
            </w:r>
            <w:proofErr w:type="spellEnd"/>
          </w:p>
        </w:tc>
        <w:tc>
          <w:tcPr>
            <w:tcW w:w="248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0B848D8" w14:textId="77777777" w:rsidR="008345F3" w:rsidRPr="00727BE6" w:rsidRDefault="008345F3" w:rsidP="008345F3">
            <w:pPr>
              <w:spacing w:after="0" w:line="240" w:lineRule="atLeast"/>
              <w:jc w:val="both"/>
              <w:rPr>
                <w:rFonts w:ascii="Cambria" w:eastAsia="Calibri" w:hAnsi="Cambria" w:cs="Calibri"/>
              </w:rPr>
            </w:pPr>
            <w:proofErr w:type="spellStart"/>
            <w:r w:rsidRPr="00727BE6">
              <w:rPr>
                <w:rFonts w:ascii="Cambria" w:eastAsia="Calibri" w:hAnsi="Cambria" w:cs="Calibri"/>
              </w:rPr>
              <w:t>obvezan</w:t>
            </w:r>
            <w:proofErr w:type="spellEnd"/>
          </w:p>
        </w:tc>
        <w:tc>
          <w:tcPr>
            <w:tcW w:w="146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38CF3FDD" w14:textId="77777777" w:rsidR="008345F3" w:rsidRPr="00727BE6" w:rsidRDefault="008345F3" w:rsidP="008345F3">
            <w:pPr>
              <w:spacing w:after="0" w:line="240" w:lineRule="atLeast"/>
              <w:jc w:val="both"/>
              <w:rPr>
                <w:rFonts w:ascii="Cambria" w:eastAsia="Calibri" w:hAnsi="Cambria" w:cs="Calibri"/>
              </w:rPr>
            </w:pPr>
            <w:r w:rsidRPr="00727BE6">
              <w:rPr>
                <w:rFonts w:ascii="Cambria" w:eastAsia="Calibri" w:hAnsi="Cambria" w:cs="Calibri"/>
              </w:rPr>
              <w:t xml:space="preserve">Razina </w:t>
            </w:r>
            <w:proofErr w:type="spellStart"/>
            <w:r w:rsidRPr="00727BE6">
              <w:rPr>
                <w:rFonts w:ascii="Cambria" w:eastAsia="Calibri" w:hAnsi="Cambria" w:cs="Calibri"/>
              </w:rPr>
              <w:t>kolegija</w:t>
            </w:r>
            <w:proofErr w:type="spellEnd"/>
          </w:p>
        </w:tc>
        <w:tc>
          <w:tcPr>
            <w:tcW w:w="2767"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1D1E060" w14:textId="77777777" w:rsidR="008345F3" w:rsidRPr="00727BE6" w:rsidRDefault="008345F3" w:rsidP="008345F3">
            <w:pPr>
              <w:spacing w:after="0" w:line="240" w:lineRule="atLeast"/>
              <w:jc w:val="both"/>
              <w:rPr>
                <w:rFonts w:ascii="Cambria" w:eastAsia="Calibri" w:hAnsi="Cambria" w:cs="Calibri"/>
              </w:rPr>
            </w:pPr>
            <w:proofErr w:type="spellStart"/>
            <w:r w:rsidRPr="00727BE6">
              <w:rPr>
                <w:rFonts w:ascii="Cambria" w:eastAsia="Calibri" w:hAnsi="Cambria" w:cs="Calibri"/>
              </w:rPr>
              <w:t>integrirani</w:t>
            </w:r>
            <w:proofErr w:type="spellEnd"/>
          </w:p>
        </w:tc>
      </w:tr>
      <w:tr w:rsidR="008345F3" w:rsidRPr="00963BC1" w14:paraId="05DCDE37" w14:textId="77777777" w:rsidTr="008345F3">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838F98F" w14:textId="77777777" w:rsidR="008345F3" w:rsidRPr="00727BE6" w:rsidRDefault="008345F3" w:rsidP="008345F3">
            <w:pPr>
              <w:spacing w:after="0" w:line="240" w:lineRule="atLeast"/>
              <w:jc w:val="both"/>
              <w:rPr>
                <w:rFonts w:ascii="Cambria" w:eastAsia="Calibri" w:hAnsi="Cambria" w:cs="Calibri"/>
              </w:rPr>
            </w:pPr>
            <w:proofErr w:type="spellStart"/>
            <w:r w:rsidRPr="00727BE6">
              <w:rPr>
                <w:rFonts w:ascii="Cambria" w:eastAsia="Calibri" w:hAnsi="Cambria" w:cs="Calibri"/>
              </w:rPr>
              <w:t>Semestar</w:t>
            </w:r>
            <w:proofErr w:type="spellEnd"/>
          </w:p>
        </w:tc>
        <w:tc>
          <w:tcPr>
            <w:tcW w:w="248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CCAD1C5" w14:textId="77777777" w:rsidR="008345F3" w:rsidRPr="00727BE6" w:rsidRDefault="008345F3" w:rsidP="008345F3">
            <w:pPr>
              <w:spacing w:after="0" w:line="240" w:lineRule="atLeast"/>
              <w:jc w:val="both"/>
              <w:rPr>
                <w:rFonts w:ascii="Cambria" w:eastAsia="Calibri" w:hAnsi="Cambria" w:cs="Calibri"/>
              </w:rPr>
            </w:pPr>
            <w:proofErr w:type="spellStart"/>
            <w:r w:rsidRPr="00727BE6">
              <w:rPr>
                <w:rFonts w:ascii="Cambria" w:eastAsia="Calibri" w:hAnsi="Cambria" w:cs="Calibri"/>
              </w:rPr>
              <w:t>ljetni</w:t>
            </w:r>
            <w:proofErr w:type="spellEnd"/>
          </w:p>
        </w:tc>
        <w:tc>
          <w:tcPr>
            <w:tcW w:w="146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4BDE3EEB" w14:textId="77777777" w:rsidR="008345F3" w:rsidRPr="00727BE6" w:rsidRDefault="008345F3" w:rsidP="008345F3">
            <w:pPr>
              <w:spacing w:after="0" w:line="240" w:lineRule="atLeast"/>
              <w:jc w:val="both"/>
              <w:rPr>
                <w:rFonts w:ascii="Cambria" w:eastAsia="Calibri" w:hAnsi="Cambria" w:cs="Calibri"/>
              </w:rPr>
            </w:pPr>
            <w:r w:rsidRPr="00727BE6">
              <w:rPr>
                <w:rFonts w:ascii="Cambria" w:eastAsia="Calibri" w:hAnsi="Cambria" w:cs="Calibri"/>
              </w:rPr>
              <w:t xml:space="preserve">Godina </w:t>
            </w:r>
            <w:proofErr w:type="spellStart"/>
            <w:r w:rsidRPr="00727BE6">
              <w:rPr>
                <w:rFonts w:ascii="Cambria" w:eastAsia="Calibri" w:hAnsi="Cambria" w:cs="Calibri"/>
              </w:rPr>
              <w:t>studija</w:t>
            </w:r>
            <w:proofErr w:type="spellEnd"/>
          </w:p>
        </w:tc>
        <w:tc>
          <w:tcPr>
            <w:tcW w:w="2767"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8209ABC" w14:textId="77777777" w:rsidR="008345F3" w:rsidRPr="00727BE6" w:rsidRDefault="008345F3" w:rsidP="008345F3">
            <w:pPr>
              <w:spacing w:after="0" w:line="240" w:lineRule="atLeast"/>
              <w:jc w:val="both"/>
              <w:rPr>
                <w:rFonts w:ascii="Cambria" w:eastAsia="Calibri" w:hAnsi="Cambria" w:cs="Calibri"/>
              </w:rPr>
            </w:pPr>
            <w:r w:rsidRPr="00727BE6">
              <w:rPr>
                <w:rFonts w:ascii="Cambria" w:eastAsia="Calibri" w:hAnsi="Cambria" w:cs="Calibri"/>
              </w:rPr>
              <w:t>V.</w:t>
            </w:r>
          </w:p>
        </w:tc>
      </w:tr>
      <w:tr w:rsidR="008345F3" w:rsidRPr="00963BC1" w14:paraId="41BAF3C7" w14:textId="77777777" w:rsidTr="008345F3">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5459523" w14:textId="77777777" w:rsidR="008345F3" w:rsidRPr="00727BE6" w:rsidRDefault="008345F3" w:rsidP="008345F3">
            <w:pPr>
              <w:spacing w:after="0" w:line="240" w:lineRule="atLeast"/>
              <w:jc w:val="both"/>
              <w:rPr>
                <w:rFonts w:ascii="Cambria" w:eastAsia="Calibri" w:hAnsi="Cambria" w:cs="Calibri"/>
              </w:rPr>
            </w:pPr>
            <w:proofErr w:type="spellStart"/>
            <w:r w:rsidRPr="00727BE6">
              <w:rPr>
                <w:rFonts w:ascii="Cambria" w:eastAsia="Calibri" w:hAnsi="Cambria" w:cs="Calibri"/>
              </w:rPr>
              <w:t>Mjesto</w:t>
            </w:r>
            <w:proofErr w:type="spellEnd"/>
            <w:r w:rsidRPr="00727BE6">
              <w:rPr>
                <w:rFonts w:ascii="Cambria" w:eastAsia="Calibri" w:hAnsi="Cambria" w:cs="Calibri"/>
              </w:rPr>
              <w:t xml:space="preserve"> </w:t>
            </w:r>
            <w:proofErr w:type="spellStart"/>
            <w:r w:rsidRPr="00727BE6">
              <w:rPr>
                <w:rFonts w:ascii="Cambria" w:eastAsia="Calibri" w:hAnsi="Cambria" w:cs="Calibri"/>
              </w:rPr>
              <w:t>izvođenja</w:t>
            </w:r>
            <w:proofErr w:type="spellEnd"/>
          </w:p>
        </w:tc>
        <w:tc>
          <w:tcPr>
            <w:tcW w:w="248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977192F" w14:textId="7FD05ABA" w:rsidR="008345F3" w:rsidRPr="00727BE6" w:rsidRDefault="008345F3" w:rsidP="000053D1">
            <w:pPr>
              <w:spacing w:after="0" w:line="240" w:lineRule="atLeast"/>
              <w:rPr>
                <w:rFonts w:ascii="Cambria" w:eastAsia="Calibri" w:hAnsi="Cambria" w:cs="Calibri"/>
                <w:lang w:val="it-IT"/>
              </w:rPr>
            </w:pPr>
            <w:proofErr w:type="spellStart"/>
            <w:r w:rsidRPr="00727BE6">
              <w:rPr>
                <w:rFonts w:ascii="Cambria" w:eastAsia="Calibri" w:hAnsi="Cambria" w:cs="Calibri"/>
                <w:lang w:val="it-IT"/>
              </w:rPr>
              <w:t>dvorana</w:t>
            </w:r>
            <w:proofErr w:type="spellEnd"/>
            <w:r w:rsidRPr="00727BE6">
              <w:rPr>
                <w:rFonts w:ascii="Cambria" w:eastAsia="Calibri" w:hAnsi="Cambria" w:cs="Calibri"/>
                <w:lang w:val="it-IT"/>
              </w:rPr>
              <w:t xml:space="preserve"> i </w:t>
            </w:r>
            <w:proofErr w:type="spellStart"/>
            <w:r w:rsidRPr="00727BE6">
              <w:rPr>
                <w:rFonts w:ascii="Cambria" w:eastAsia="Calibri" w:hAnsi="Cambria" w:cs="Calibri"/>
                <w:lang w:val="it-IT"/>
              </w:rPr>
              <w:t>sportska</w:t>
            </w:r>
            <w:proofErr w:type="spellEnd"/>
            <w:r w:rsidRPr="00727BE6">
              <w:rPr>
                <w:rFonts w:ascii="Cambria" w:eastAsia="Calibri" w:hAnsi="Cambria" w:cs="Calibri"/>
                <w:lang w:val="it-IT"/>
              </w:rPr>
              <w:t xml:space="preserve"> </w:t>
            </w:r>
            <w:proofErr w:type="spellStart"/>
            <w:r w:rsidRPr="00727BE6">
              <w:rPr>
                <w:rFonts w:ascii="Cambria" w:eastAsia="Calibri" w:hAnsi="Cambria" w:cs="Calibri"/>
                <w:lang w:val="it-IT"/>
              </w:rPr>
              <w:t>dvorana</w:t>
            </w:r>
            <w:proofErr w:type="spellEnd"/>
            <w:r w:rsidRPr="00727BE6">
              <w:rPr>
                <w:rFonts w:ascii="Cambria" w:eastAsia="Calibri" w:hAnsi="Cambria" w:cs="Calibri"/>
                <w:lang w:val="it-IT"/>
              </w:rPr>
              <w:t xml:space="preserve"> (</w:t>
            </w:r>
            <w:proofErr w:type="spellStart"/>
            <w:r w:rsidRPr="00727BE6">
              <w:rPr>
                <w:rFonts w:ascii="Cambria" w:eastAsia="Calibri" w:hAnsi="Cambria" w:cs="Calibri"/>
                <w:lang w:val="it-IT"/>
              </w:rPr>
              <w:t>Ronjgova</w:t>
            </w:r>
            <w:proofErr w:type="spellEnd"/>
            <w:r w:rsidRPr="00727BE6">
              <w:rPr>
                <w:rFonts w:ascii="Cambria" w:eastAsia="Calibri" w:hAnsi="Cambria" w:cs="Calibri"/>
                <w:lang w:val="it-IT"/>
              </w:rPr>
              <w:t xml:space="preserve"> </w:t>
            </w:r>
            <w:proofErr w:type="gramStart"/>
            <w:r w:rsidRPr="00727BE6">
              <w:rPr>
                <w:rFonts w:ascii="Cambria" w:eastAsia="Calibri" w:hAnsi="Cambria" w:cs="Calibri"/>
                <w:lang w:val="it-IT"/>
              </w:rPr>
              <w:t>i u</w:t>
            </w:r>
            <w:proofErr w:type="gramEnd"/>
            <w:r w:rsidRPr="00727BE6">
              <w:rPr>
                <w:rFonts w:ascii="Cambria" w:eastAsia="Calibri" w:hAnsi="Cambria" w:cs="Calibri"/>
                <w:lang w:val="it-IT"/>
              </w:rPr>
              <w:t xml:space="preserve"> </w:t>
            </w:r>
            <w:proofErr w:type="spellStart"/>
            <w:r w:rsidRPr="00727BE6">
              <w:rPr>
                <w:rFonts w:ascii="Cambria" w:eastAsia="Calibri" w:hAnsi="Cambria" w:cs="Calibri"/>
                <w:lang w:val="it-IT"/>
              </w:rPr>
              <w:t>školi</w:t>
            </w:r>
            <w:proofErr w:type="spellEnd"/>
            <w:r w:rsidRPr="00727BE6">
              <w:rPr>
                <w:rFonts w:ascii="Cambria" w:eastAsia="Calibri" w:hAnsi="Cambria" w:cs="Calibri"/>
                <w:lang w:val="it-IT"/>
              </w:rPr>
              <w:t>)</w:t>
            </w:r>
          </w:p>
        </w:tc>
        <w:tc>
          <w:tcPr>
            <w:tcW w:w="146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490E0620" w14:textId="77777777" w:rsidR="008345F3" w:rsidRPr="00727BE6" w:rsidRDefault="008345F3" w:rsidP="008345F3">
            <w:pPr>
              <w:spacing w:after="0" w:line="240" w:lineRule="atLeast"/>
              <w:jc w:val="both"/>
              <w:rPr>
                <w:rFonts w:ascii="Cambria" w:eastAsia="Calibri" w:hAnsi="Cambria" w:cs="Calibri"/>
              </w:rPr>
            </w:pPr>
            <w:r w:rsidRPr="00727BE6">
              <w:rPr>
                <w:rFonts w:ascii="Cambria" w:eastAsia="Calibri" w:hAnsi="Cambria" w:cs="Calibri"/>
              </w:rPr>
              <w:t xml:space="preserve">Jezik </w:t>
            </w:r>
            <w:proofErr w:type="spellStart"/>
            <w:r w:rsidRPr="00727BE6">
              <w:rPr>
                <w:rFonts w:ascii="Cambria" w:eastAsia="Calibri" w:hAnsi="Cambria" w:cs="Calibri"/>
              </w:rPr>
              <w:t>izvođenja</w:t>
            </w:r>
            <w:proofErr w:type="spellEnd"/>
            <w:r w:rsidRPr="00727BE6">
              <w:rPr>
                <w:rFonts w:ascii="Cambria" w:eastAsia="Calibri" w:hAnsi="Cambria" w:cs="Calibri"/>
              </w:rPr>
              <w:t xml:space="preserve"> </w:t>
            </w:r>
          </w:p>
        </w:tc>
        <w:tc>
          <w:tcPr>
            <w:tcW w:w="2767"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A0DE29A" w14:textId="77777777" w:rsidR="008345F3" w:rsidRPr="00727BE6" w:rsidRDefault="008345F3" w:rsidP="008345F3">
            <w:pPr>
              <w:spacing w:after="0" w:line="240" w:lineRule="atLeast"/>
              <w:jc w:val="both"/>
              <w:rPr>
                <w:rFonts w:ascii="Cambria" w:eastAsia="Calibri" w:hAnsi="Cambria" w:cs="Calibri"/>
              </w:rPr>
            </w:pPr>
            <w:proofErr w:type="spellStart"/>
            <w:r w:rsidRPr="00727BE6">
              <w:rPr>
                <w:rFonts w:ascii="Cambria" w:eastAsia="Calibri" w:hAnsi="Cambria" w:cs="Calibri"/>
              </w:rPr>
              <w:t>hrvatski</w:t>
            </w:r>
            <w:proofErr w:type="spellEnd"/>
            <w:r w:rsidRPr="00727BE6">
              <w:rPr>
                <w:rFonts w:ascii="Cambria" w:eastAsia="Calibri" w:hAnsi="Cambria" w:cs="Calibri"/>
              </w:rPr>
              <w:t xml:space="preserve"> (</w:t>
            </w:r>
            <w:proofErr w:type="spellStart"/>
            <w:r w:rsidRPr="00727BE6">
              <w:rPr>
                <w:rFonts w:ascii="Cambria" w:eastAsia="Calibri" w:hAnsi="Cambria" w:cs="Calibri"/>
              </w:rPr>
              <w:t>engleski</w:t>
            </w:r>
            <w:proofErr w:type="spellEnd"/>
            <w:r w:rsidRPr="00727BE6">
              <w:rPr>
                <w:rFonts w:ascii="Cambria" w:eastAsia="Calibri" w:hAnsi="Cambria" w:cs="Calibri"/>
              </w:rPr>
              <w:t>)</w:t>
            </w:r>
          </w:p>
        </w:tc>
      </w:tr>
      <w:tr w:rsidR="008345F3" w:rsidRPr="00963BC1" w14:paraId="622FFE11" w14:textId="77777777" w:rsidTr="008345F3">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C26FE39" w14:textId="77777777" w:rsidR="008345F3" w:rsidRPr="00727BE6" w:rsidRDefault="008345F3" w:rsidP="008345F3">
            <w:pPr>
              <w:spacing w:after="0" w:line="240" w:lineRule="atLeast"/>
              <w:jc w:val="both"/>
              <w:rPr>
                <w:rFonts w:ascii="Cambria" w:eastAsia="Calibri" w:hAnsi="Cambria" w:cs="Calibri"/>
              </w:rPr>
            </w:pPr>
            <w:proofErr w:type="spellStart"/>
            <w:r w:rsidRPr="00727BE6">
              <w:rPr>
                <w:rFonts w:ascii="Cambria" w:eastAsia="Calibri" w:hAnsi="Cambria" w:cs="Calibri"/>
              </w:rPr>
              <w:t>Broj</w:t>
            </w:r>
            <w:proofErr w:type="spellEnd"/>
            <w:r w:rsidRPr="00727BE6">
              <w:rPr>
                <w:rFonts w:ascii="Cambria" w:eastAsia="Calibri" w:hAnsi="Cambria" w:cs="Calibri"/>
              </w:rPr>
              <w:t xml:space="preserve"> ECTS </w:t>
            </w:r>
            <w:proofErr w:type="spellStart"/>
            <w:r w:rsidRPr="00727BE6">
              <w:rPr>
                <w:rFonts w:ascii="Cambria" w:eastAsia="Calibri" w:hAnsi="Cambria" w:cs="Calibri"/>
              </w:rPr>
              <w:t>bodova</w:t>
            </w:r>
            <w:proofErr w:type="spellEnd"/>
          </w:p>
        </w:tc>
        <w:tc>
          <w:tcPr>
            <w:tcW w:w="248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EF39DE2" w14:textId="77777777" w:rsidR="008345F3" w:rsidRPr="00727BE6" w:rsidRDefault="008345F3" w:rsidP="008345F3">
            <w:pPr>
              <w:spacing w:after="0" w:line="240" w:lineRule="atLeast"/>
              <w:jc w:val="both"/>
              <w:rPr>
                <w:rFonts w:ascii="Cambria" w:eastAsia="Calibri" w:hAnsi="Cambria" w:cs="Calibri"/>
              </w:rPr>
            </w:pPr>
            <w:r w:rsidRPr="00727BE6">
              <w:rPr>
                <w:rFonts w:ascii="Cambria" w:eastAsia="Calibri" w:hAnsi="Cambria" w:cs="Calibri"/>
              </w:rPr>
              <w:t>3</w:t>
            </w:r>
          </w:p>
        </w:tc>
        <w:tc>
          <w:tcPr>
            <w:tcW w:w="146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22FCC464" w14:textId="77777777" w:rsidR="008345F3" w:rsidRPr="00727BE6" w:rsidRDefault="008345F3" w:rsidP="008345F3">
            <w:pPr>
              <w:spacing w:after="0" w:line="240" w:lineRule="atLeast"/>
              <w:jc w:val="both"/>
              <w:rPr>
                <w:rFonts w:ascii="Cambria" w:eastAsia="Calibri" w:hAnsi="Cambria" w:cs="Calibri"/>
              </w:rPr>
            </w:pPr>
            <w:proofErr w:type="spellStart"/>
            <w:r w:rsidRPr="00727BE6">
              <w:rPr>
                <w:rFonts w:ascii="Cambria" w:eastAsia="Calibri" w:hAnsi="Cambria" w:cs="Calibri"/>
              </w:rPr>
              <w:t>Broj</w:t>
            </w:r>
            <w:proofErr w:type="spellEnd"/>
            <w:r w:rsidRPr="00727BE6">
              <w:rPr>
                <w:rFonts w:ascii="Cambria" w:eastAsia="Calibri" w:hAnsi="Cambria" w:cs="Calibri"/>
              </w:rPr>
              <w:t xml:space="preserve"> sati u </w:t>
            </w:r>
            <w:proofErr w:type="spellStart"/>
            <w:r w:rsidRPr="00727BE6">
              <w:rPr>
                <w:rFonts w:ascii="Cambria" w:eastAsia="Calibri" w:hAnsi="Cambria" w:cs="Calibri"/>
              </w:rPr>
              <w:t>semestru</w:t>
            </w:r>
            <w:proofErr w:type="spellEnd"/>
          </w:p>
        </w:tc>
        <w:tc>
          <w:tcPr>
            <w:tcW w:w="2767"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606E946" w14:textId="3BC9DF80" w:rsidR="008345F3" w:rsidRPr="00727BE6" w:rsidRDefault="008345F3" w:rsidP="008345F3">
            <w:pPr>
              <w:spacing w:after="0" w:line="240" w:lineRule="atLeast"/>
              <w:jc w:val="both"/>
              <w:rPr>
                <w:rFonts w:ascii="Cambria" w:eastAsia="Calibri" w:hAnsi="Cambria" w:cs="Calibri"/>
              </w:rPr>
            </w:pPr>
            <w:r w:rsidRPr="00727BE6">
              <w:rPr>
                <w:rFonts w:ascii="Cambria" w:eastAsia="Calibri" w:hAnsi="Cambria" w:cs="Calibri"/>
              </w:rPr>
              <w:t xml:space="preserve">15P – </w:t>
            </w:r>
            <w:r w:rsidR="000053D1" w:rsidRPr="00727BE6">
              <w:rPr>
                <w:rFonts w:ascii="Cambria" w:eastAsia="Calibri" w:hAnsi="Cambria" w:cs="Calibri"/>
              </w:rPr>
              <w:t xml:space="preserve">0S – </w:t>
            </w:r>
            <w:r w:rsidRPr="00727BE6">
              <w:rPr>
                <w:rFonts w:ascii="Cambria" w:eastAsia="Calibri" w:hAnsi="Cambria" w:cs="Calibri"/>
              </w:rPr>
              <w:t xml:space="preserve">45V </w:t>
            </w:r>
          </w:p>
        </w:tc>
      </w:tr>
      <w:tr w:rsidR="008345F3" w:rsidRPr="00D0399C" w14:paraId="363995D1" w14:textId="77777777" w:rsidTr="008345F3">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632B1A2" w14:textId="77777777" w:rsidR="008345F3" w:rsidRPr="00727BE6" w:rsidRDefault="008345F3" w:rsidP="008345F3">
            <w:pPr>
              <w:spacing w:after="0" w:line="240" w:lineRule="atLeast"/>
              <w:jc w:val="both"/>
              <w:rPr>
                <w:rFonts w:ascii="Cambria" w:eastAsia="Calibri" w:hAnsi="Cambria" w:cs="Calibri"/>
                <w:lang w:val="it-IT"/>
              </w:rPr>
            </w:pPr>
            <w:proofErr w:type="spellStart"/>
            <w:r w:rsidRPr="00727BE6">
              <w:rPr>
                <w:rFonts w:ascii="Cambria" w:eastAsia="Calibri" w:hAnsi="Cambria" w:cs="Calibri"/>
                <w:lang w:val="it-IT"/>
              </w:rPr>
              <w:t>Preduvjeti</w:t>
            </w:r>
            <w:proofErr w:type="spellEnd"/>
            <w:r w:rsidRPr="00727BE6">
              <w:rPr>
                <w:rFonts w:ascii="Cambria" w:eastAsia="Calibri" w:hAnsi="Cambria" w:cs="Calibri"/>
                <w:lang w:val="it-IT"/>
              </w:rPr>
              <w:t xml:space="preserve"> za </w:t>
            </w:r>
            <w:proofErr w:type="spellStart"/>
            <w:r w:rsidRPr="00727BE6">
              <w:rPr>
                <w:rFonts w:ascii="Cambria" w:eastAsia="Calibri" w:hAnsi="Cambria" w:cs="Calibri"/>
                <w:lang w:val="it-IT"/>
              </w:rPr>
              <w:t>upis</w:t>
            </w:r>
            <w:proofErr w:type="spellEnd"/>
            <w:r w:rsidRPr="00727BE6">
              <w:rPr>
                <w:rFonts w:ascii="Cambria" w:eastAsia="Calibri" w:hAnsi="Cambria" w:cs="Calibri"/>
                <w:lang w:val="it-IT"/>
              </w:rPr>
              <w:t xml:space="preserve"> i za </w:t>
            </w:r>
            <w:proofErr w:type="spellStart"/>
            <w:r w:rsidRPr="00727BE6">
              <w:rPr>
                <w:rFonts w:ascii="Cambria" w:eastAsia="Calibri" w:hAnsi="Cambria" w:cs="Calibri"/>
                <w:lang w:val="it-IT"/>
              </w:rPr>
              <w:t>svladavanje</w:t>
            </w:r>
            <w:proofErr w:type="spellEnd"/>
          </w:p>
        </w:tc>
        <w:tc>
          <w:tcPr>
            <w:tcW w:w="671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1D57D6D" w14:textId="77777777" w:rsidR="008345F3" w:rsidRPr="00727BE6" w:rsidRDefault="008345F3" w:rsidP="008345F3">
            <w:pPr>
              <w:spacing w:after="0" w:line="240" w:lineRule="atLeast"/>
              <w:jc w:val="both"/>
              <w:rPr>
                <w:rFonts w:ascii="Cambria" w:eastAsia="Calibri" w:hAnsi="Cambria" w:cs="Calibri"/>
                <w:lang w:val="it-IT"/>
              </w:rPr>
            </w:pPr>
            <w:proofErr w:type="spellStart"/>
            <w:r w:rsidRPr="00727BE6">
              <w:rPr>
                <w:rFonts w:ascii="Cambria" w:eastAsia="Calibri" w:hAnsi="Cambria" w:cs="Calibri"/>
                <w:lang w:val="it-IT"/>
              </w:rPr>
              <w:t>Odslušan</w:t>
            </w:r>
            <w:proofErr w:type="spellEnd"/>
            <w:r w:rsidRPr="00727BE6">
              <w:rPr>
                <w:rFonts w:ascii="Cambria" w:eastAsia="Calibri" w:hAnsi="Cambria" w:cs="Calibri"/>
                <w:lang w:val="it-IT"/>
              </w:rPr>
              <w:t xml:space="preserve"> </w:t>
            </w:r>
            <w:proofErr w:type="spellStart"/>
            <w:r w:rsidRPr="00727BE6">
              <w:rPr>
                <w:rFonts w:ascii="Cambria" w:eastAsia="Calibri" w:hAnsi="Cambria" w:cs="Calibri"/>
                <w:lang w:val="it-IT"/>
              </w:rPr>
              <w:t>kolegij</w:t>
            </w:r>
            <w:proofErr w:type="spellEnd"/>
            <w:r w:rsidRPr="00727BE6">
              <w:rPr>
                <w:rFonts w:ascii="Cambria" w:eastAsia="Calibri" w:hAnsi="Cambria" w:cs="Calibri"/>
                <w:lang w:val="it-IT"/>
              </w:rPr>
              <w:t xml:space="preserve"> </w:t>
            </w:r>
            <w:proofErr w:type="spellStart"/>
            <w:r w:rsidRPr="00727BE6">
              <w:rPr>
                <w:rFonts w:ascii="Cambria" w:eastAsia="Calibri" w:hAnsi="Cambria" w:cs="Calibri"/>
                <w:lang w:val="it-IT"/>
              </w:rPr>
              <w:t>Kineziologija</w:t>
            </w:r>
            <w:proofErr w:type="spellEnd"/>
            <w:r w:rsidRPr="00727BE6">
              <w:rPr>
                <w:rFonts w:ascii="Cambria" w:eastAsia="Calibri" w:hAnsi="Cambria" w:cs="Calibri"/>
                <w:lang w:val="it-IT"/>
              </w:rPr>
              <w:t xml:space="preserve">, </w:t>
            </w:r>
            <w:proofErr w:type="spellStart"/>
            <w:r w:rsidRPr="00727BE6">
              <w:rPr>
                <w:rFonts w:ascii="Cambria" w:eastAsia="Calibri" w:hAnsi="Cambria" w:cs="Calibri"/>
                <w:lang w:val="it-IT"/>
              </w:rPr>
              <w:t>Kineziološka</w:t>
            </w:r>
            <w:proofErr w:type="spellEnd"/>
            <w:r w:rsidRPr="00727BE6">
              <w:rPr>
                <w:rFonts w:ascii="Cambria" w:eastAsia="Calibri" w:hAnsi="Cambria" w:cs="Calibri"/>
                <w:lang w:val="it-IT"/>
              </w:rPr>
              <w:t xml:space="preserve"> </w:t>
            </w:r>
            <w:proofErr w:type="spellStart"/>
            <w:r w:rsidRPr="00727BE6">
              <w:rPr>
                <w:rFonts w:ascii="Cambria" w:eastAsia="Calibri" w:hAnsi="Cambria" w:cs="Calibri"/>
                <w:lang w:val="it-IT"/>
              </w:rPr>
              <w:t>metodika</w:t>
            </w:r>
            <w:proofErr w:type="spellEnd"/>
            <w:r w:rsidRPr="00727BE6">
              <w:rPr>
                <w:rFonts w:ascii="Cambria" w:eastAsia="Calibri" w:hAnsi="Cambria" w:cs="Calibri"/>
                <w:lang w:val="it-IT"/>
              </w:rPr>
              <w:t xml:space="preserve"> I. i </w:t>
            </w:r>
            <w:proofErr w:type="spellStart"/>
            <w:r w:rsidRPr="00727BE6">
              <w:rPr>
                <w:rFonts w:ascii="Cambria" w:eastAsia="Calibri" w:hAnsi="Cambria" w:cs="Calibri"/>
                <w:lang w:val="it-IT"/>
              </w:rPr>
              <w:t>Kineziološka</w:t>
            </w:r>
            <w:proofErr w:type="spellEnd"/>
            <w:r w:rsidRPr="00727BE6">
              <w:rPr>
                <w:rFonts w:ascii="Cambria" w:eastAsia="Calibri" w:hAnsi="Cambria" w:cs="Calibri"/>
                <w:lang w:val="it-IT"/>
              </w:rPr>
              <w:t xml:space="preserve"> </w:t>
            </w:r>
            <w:proofErr w:type="spellStart"/>
            <w:r w:rsidRPr="00727BE6">
              <w:rPr>
                <w:rFonts w:ascii="Cambria" w:eastAsia="Calibri" w:hAnsi="Cambria" w:cs="Calibri"/>
                <w:lang w:val="it-IT"/>
              </w:rPr>
              <w:t>metodika</w:t>
            </w:r>
            <w:proofErr w:type="spellEnd"/>
            <w:r w:rsidRPr="00727BE6">
              <w:rPr>
                <w:rFonts w:ascii="Cambria" w:eastAsia="Calibri" w:hAnsi="Cambria" w:cs="Calibri"/>
                <w:lang w:val="it-IT"/>
              </w:rPr>
              <w:t xml:space="preserve"> II. </w:t>
            </w:r>
            <w:proofErr w:type="spellStart"/>
            <w:r w:rsidRPr="00727BE6">
              <w:rPr>
                <w:rFonts w:ascii="Cambria" w:eastAsia="Calibri" w:hAnsi="Cambria" w:cs="Calibri"/>
                <w:lang w:val="it-IT"/>
              </w:rPr>
              <w:t>Završnom</w:t>
            </w:r>
            <w:proofErr w:type="spellEnd"/>
            <w:r w:rsidRPr="00727BE6">
              <w:rPr>
                <w:rFonts w:ascii="Cambria" w:eastAsia="Calibri" w:hAnsi="Cambria" w:cs="Calibri"/>
                <w:lang w:val="it-IT"/>
              </w:rPr>
              <w:t xml:space="preserve"> </w:t>
            </w:r>
            <w:proofErr w:type="spellStart"/>
            <w:r w:rsidRPr="00727BE6">
              <w:rPr>
                <w:rFonts w:ascii="Cambria" w:eastAsia="Calibri" w:hAnsi="Cambria" w:cs="Calibri"/>
                <w:lang w:val="it-IT"/>
              </w:rPr>
              <w:t>ispitu</w:t>
            </w:r>
            <w:proofErr w:type="spellEnd"/>
            <w:r w:rsidRPr="00727BE6">
              <w:rPr>
                <w:rFonts w:ascii="Cambria" w:eastAsia="Calibri" w:hAnsi="Cambria" w:cs="Calibri"/>
                <w:lang w:val="it-IT"/>
              </w:rPr>
              <w:t xml:space="preserve"> </w:t>
            </w:r>
            <w:proofErr w:type="spellStart"/>
            <w:r w:rsidRPr="00727BE6">
              <w:rPr>
                <w:rFonts w:ascii="Cambria" w:eastAsia="Calibri" w:hAnsi="Cambria" w:cs="Calibri"/>
                <w:lang w:val="it-IT"/>
              </w:rPr>
              <w:t>mogu</w:t>
            </w:r>
            <w:proofErr w:type="spellEnd"/>
            <w:r w:rsidRPr="00727BE6">
              <w:rPr>
                <w:rFonts w:ascii="Cambria" w:eastAsia="Calibri" w:hAnsi="Cambria" w:cs="Calibri"/>
                <w:lang w:val="it-IT"/>
              </w:rPr>
              <w:t xml:space="preserve"> </w:t>
            </w:r>
            <w:proofErr w:type="spellStart"/>
            <w:r w:rsidRPr="00727BE6">
              <w:rPr>
                <w:rFonts w:ascii="Cambria" w:eastAsia="Calibri" w:hAnsi="Cambria" w:cs="Calibri"/>
                <w:lang w:val="it-IT"/>
              </w:rPr>
              <w:t>pristupiti</w:t>
            </w:r>
            <w:proofErr w:type="spellEnd"/>
            <w:r w:rsidRPr="00727BE6">
              <w:rPr>
                <w:rFonts w:ascii="Cambria" w:eastAsia="Calibri" w:hAnsi="Cambria" w:cs="Calibri"/>
                <w:lang w:val="it-IT"/>
              </w:rPr>
              <w:t xml:space="preserve"> studenti </w:t>
            </w:r>
            <w:proofErr w:type="spellStart"/>
            <w:r w:rsidRPr="00727BE6">
              <w:rPr>
                <w:rFonts w:ascii="Cambria" w:eastAsia="Calibri" w:hAnsi="Cambria" w:cs="Calibri"/>
                <w:lang w:val="it-IT"/>
              </w:rPr>
              <w:t>koji</w:t>
            </w:r>
            <w:proofErr w:type="spellEnd"/>
            <w:r w:rsidRPr="00727BE6">
              <w:rPr>
                <w:rFonts w:ascii="Cambria" w:eastAsia="Calibri" w:hAnsi="Cambria" w:cs="Calibri"/>
                <w:lang w:val="it-IT"/>
              </w:rPr>
              <w:t xml:space="preserve"> su </w:t>
            </w:r>
            <w:proofErr w:type="spellStart"/>
            <w:r w:rsidRPr="00727BE6">
              <w:rPr>
                <w:rFonts w:ascii="Cambria" w:eastAsia="Calibri" w:hAnsi="Cambria" w:cs="Calibri"/>
                <w:lang w:val="it-IT"/>
              </w:rPr>
              <w:t>položili</w:t>
            </w:r>
            <w:proofErr w:type="spellEnd"/>
            <w:r w:rsidRPr="00727BE6">
              <w:rPr>
                <w:rFonts w:ascii="Cambria" w:eastAsia="Calibri" w:hAnsi="Cambria" w:cs="Calibri"/>
                <w:lang w:val="it-IT"/>
              </w:rPr>
              <w:t xml:space="preserve"> </w:t>
            </w:r>
            <w:proofErr w:type="spellStart"/>
            <w:r w:rsidRPr="00727BE6">
              <w:rPr>
                <w:rFonts w:ascii="Cambria" w:eastAsia="Calibri" w:hAnsi="Cambria" w:cs="Calibri"/>
                <w:lang w:val="it-IT"/>
              </w:rPr>
              <w:t>kolegij</w:t>
            </w:r>
            <w:proofErr w:type="spellEnd"/>
            <w:r w:rsidRPr="00727BE6">
              <w:rPr>
                <w:rFonts w:ascii="Cambria" w:eastAsia="Calibri" w:hAnsi="Cambria" w:cs="Calibri"/>
                <w:lang w:val="it-IT"/>
              </w:rPr>
              <w:t xml:space="preserve"> </w:t>
            </w:r>
            <w:proofErr w:type="spellStart"/>
            <w:r w:rsidRPr="00727BE6">
              <w:rPr>
                <w:rFonts w:ascii="Cambria" w:eastAsia="Calibri" w:hAnsi="Cambria" w:cs="Calibri"/>
                <w:lang w:val="it-IT"/>
              </w:rPr>
              <w:t>Kineziologija</w:t>
            </w:r>
            <w:proofErr w:type="spellEnd"/>
            <w:r w:rsidRPr="00727BE6">
              <w:rPr>
                <w:rFonts w:ascii="Cambria" w:eastAsia="Calibri" w:hAnsi="Cambria" w:cs="Calibri"/>
                <w:lang w:val="it-IT"/>
              </w:rPr>
              <w:t xml:space="preserve">, </w:t>
            </w:r>
            <w:proofErr w:type="spellStart"/>
            <w:r w:rsidRPr="00727BE6">
              <w:rPr>
                <w:rFonts w:ascii="Cambria" w:eastAsia="Calibri" w:hAnsi="Cambria" w:cs="Calibri"/>
                <w:lang w:val="it-IT"/>
              </w:rPr>
              <w:t>Kineziološka</w:t>
            </w:r>
            <w:proofErr w:type="spellEnd"/>
            <w:r w:rsidRPr="00727BE6">
              <w:rPr>
                <w:rFonts w:ascii="Cambria" w:eastAsia="Calibri" w:hAnsi="Cambria" w:cs="Calibri"/>
                <w:lang w:val="it-IT"/>
              </w:rPr>
              <w:t xml:space="preserve"> </w:t>
            </w:r>
            <w:proofErr w:type="spellStart"/>
            <w:r w:rsidRPr="00727BE6">
              <w:rPr>
                <w:rFonts w:ascii="Cambria" w:eastAsia="Calibri" w:hAnsi="Cambria" w:cs="Calibri"/>
                <w:lang w:val="it-IT"/>
              </w:rPr>
              <w:t>metodika</w:t>
            </w:r>
            <w:proofErr w:type="spellEnd"/>
            <w:r w:rsidRPr="00727BE6">
              <w:rPr>
                <w:rFonts w:ascii="Cambria" w:eastAsia="Calibri" w:hAnsi="Cambria" w:cs="Calibri"/>
                <w:lang w:val="it-IT"/>
              </w:rPr>
              <w:t xml:space="preserve"> I. i </w:t>
            </w:r>
            <w:proofErr w:type="spellStart"/>
            <w:r w:rsidRPr="00727BE6">
              <w:rPr>
                <w:rFonts w:ascii="Cambria" w:eastAsia="Calibri" w:hAnsi="Cambria" w:cs="Calibri"/>
                <w:lang w:val="it-IT"/>
              </w:rPr>
              <w:t>Kineziološka</w:t>
            </w:r>
            <w:proofErr w:type="spellEnd"/>
            <w:r w:rsidRPr="00727BE6">
              <w:rPr>
                <w:rFonts w:ascii="Cambria" w:eastAsia="Calibri" w:hAnsi="Cambria" w:cs="Calibri"/>
                <w:lang w:val="it-IT"/>
              </w:rPr>
              <w:t xml:space="preserve"> </w:t>
            </w:r>
            <w:proofErr w:type="spellStart"/>
            <w:r w:rsidRPr="00727BE6">
              <w:rPr>
                <w:rFonts w:ascii="Cambria" w:eastAsia="Calibri" w:hAnsi="Cambria" w:cs="Calibri"/>
                <w:lang w:val="it-IT"/>
              </w:rPr>
              <w:t>metodika</w:t>
            </w:r>
            <w:proofErr w:type="spellEnd"/>
            <w:r w:rsidRPr="00727BE6">
              <w:rPr>
                <w:rFonts w:ascii="Cambria" w:eastAsia="Calibri" w:hAnsi="Cambria" w:cs="Calibri"/>
                <w:lang w:val="it-IT"/>
              </w:rPr>
              <w:t xml:space="preserve"> II.</w:t>
            </w:r>
          </w:p>
        </w:tc>
      </w:tr>
      <w:tr w:rsidR="008345F3" w:rsidRPr="00963BC1" w14:paraId="5545BEB1" w14:textId="77777777" w:rsidTr="008345F3">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A3536E2" w14:textId="77777777" w:rsidR="008345F3" w:rsidRPr="00727BE6" w:rsidRDefault="008345F3" w:rsidP="008345F3">
            <w:pPr>
              <w:spacing w:after="0" w:line="240" w:lineRule="atLeast"/>
              <w:jc w:val="both"/>
              <w:rPr>
                <w:rFonts w:ascii="Cambria" w:eastAsia="Calibri" w:hAnsi="Cambria" w:cs="Calibri"/>
              </w:rPr>
            </w:pPr>
            <w:proofErr w:type="spellStart"/>
            <w:r w:rsidRPr="00727BE6">
              <w:rPr>
                <w:rFonts w:ascii="Cambria" w:eastAsia="Calibri" w:hAnsi="Cambria" w:cs="Calibri"/>
              </w:rPr>
              <w:t>Korelativnost</w:t>
            </w:r>
            <w:proofErr w:type="spellEnd"/>
          </w:p>
        </w:tc>
        <w:tc>
          <w:tcPr>
            <w:tcW w:w="671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68772A3" w14:textId="77777777" w:rsidR="008345F3" w:rsidRPr="00727BE6" w:rsidRDefault="008345F3" w:rsidP="008345F3">
            <w:pPr>
              <w:spacing w:after="0" w:line="240" w:lineRule="atLeast"/>
              <w:jc w:val="both"/>
              <w:rPr>
                <w:rFonts w:ascii="Cambria" w:eastAsia="Calibri" w:hAnsi="Cambria" w:cs="Calibri"/>
              </w:rPr>
            </w:pPr>
            <w:r w:rsidRPr="00727BE6">
              <w:rPr>
                <w:rFonts w:ascii="Cambria" w:eastAsia="Calibri" w:hAnsi="Cambria" w:cs="Calibri"/>
                <w:lang w:val="pl-PL"/>
              </w:rPr>
              <w:t>Kineziološka kultura, Kineziologija, Kineziološka metodika I., Kineziološka metodika II., Pedagogija, Didaktika, Sociologija obrazovanja, Razvojna psihologija, Edukacijska psihologija, Socijalna pedagogija</w:t>
            </w:r>
          </w:p>
        </w:tc>
      </w:tr>
      <w:tr w:rsidR="008345F3" w:rsidRPr="00963BC1" w14:paraId="61A7A5DA" w14:textId="77777777" w:rsidTr="008345F3">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FB16038" w14:textId="77777777" w:rsidR="008345F3" w:rsidRPr="00727BE6" w:rsidRDefault="008345F3" w:rsidP="008345F3">
            <w:pPr>
              <w:spacing w:after="0" w:line="240" w:lineRule="atLeast"/>
              <w:jc w:val="both"/>
              <w:rPr>
                <w:rFonts w:ascii="Cambria" w:eastAsia="Calibri" w:hAnsi="Cambria" w:cs="Calibri"/>
              </w:rPr>
            </w:pPr>
            <w:proofErr w:type="spellStart"/>
            <w:r w:rsidRPr="00727BE6">
              <w:rPr>
                <w:rFonts w:ascii="Cambria" w:eastAsia="Calibri" w:hAnsi="Cambria" w:cs="Calibri"/>
              </w:rPr>
              <w:t>Cilj</w:t>
            </w:r>
            <w:proofErr w:type="spellEnd"/>
            <w:r w:rsidRPr="00727BE6">
              <w:rPr>
                <w:rFonts w:ascii="Cambria" w:eastAsia="Calibri" w:hAnsi="Cambria" w:cs="Calibri"/>
              </w:rPr>
              <w:t xml:space="preserve"> </w:t>
            </w:r>
            <w:proofErr w:type="spellStart"/>
            <w:r w:rsidRPr="00727BE6">
              <w:rPr>
                <w:rFonts w:ascii="Cambria" w:eastAsia="Calibri" w:hAnsi="Cambria" w:cs="Calibri"/>
              </w:rPr>
              <w:t>kolegija</w:t>
            </w:r>
            <w:proofErr w:type="spellEnd"/>
            <w:r w:rsidRPr="00727BE6">
              <w:rPr>
                <w:rFonts w:ascii="Cambria" w:eastAsia="Calibri" w:hAnsi="Cambria" w:cs="Calibri"/>
              </w:rPr>
              <w:t xml:space="preserve"> </w:t>
            </w:r>
          </w:p>
        </w:tc>
        <w:tc>
          <w:tcPr>
            <w:tcW w:w="671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2C52EF9" w14:textId="77777777" w:rsidR="008345F3" w:rsidRPr="00727BE6" w:rsidRDefault="008345F3" w:rsidP="008345F3">
            <w:pPr>
              <w:spacing w:after="0" w:line="240" w:lineRule="atLeast"/>
              <w:jc w:val="both"/>
              <w:rPr>
                <w:rFonts w:ascii="Cambria" w:eastAsia="Calibri" w:hAnsi="Cambria" w:cs="Calibri"/>
              </w:rPr>
            </w:pPr>
            <w:proofErr w:type="spellStart"/>
            <w:r w:rsidRPr="00727BE6">
              <w:rPr>
                <w:rFonts w:ascii="Cambria" w:eastAsia="Calibri" w:hAnsi="Cambria" w:cs="Calibri Light"/>
              </w:rPr>
              <w:t>o</w:t>
            </w:r>
            <w:r w:rsidRPr="00727BE6">
              <w:rPr>
                <w:rFonts w:ascii="Cambria" w:eastAsia="Calibri" w:hAnsi="Cambria" w:cs="Calibri"/>
              </w:rPr>
              <w:t>vladati</w:t>
            </w:r>
            <w:proofErr w:type="spellEnd"/>
            <w:r w:rsidRPr="00727BE6">
              <w:rPr>
                <w:rFonts w:ascii="Cambria" w:eastAsia="Calibri" w:hAnsi="Cambria" w:cs="Calibri"/>
              </w:rPr>
              <w:t xml:space="preserve"> </w:t>
            </w:r>
            <w:proofErr w:type="spellStart"/>
            <w:r w:rsidRPr="00727BE6">
              <w:rPr>
                <w:rFonts w:ascii="Cambria" w:eastAsia="Calibri" w:hAnsi="Cambria" w:cs="Calibri"/>
              </w:rPr>
              <w:t>zakonitostima</w:t>
            </w:r>
            <w:proofErr w:type="spellEnd"/>
            <w:r w:rsidRPr="00727BE6">
              <w:rPr>
                <w:rFonts w:ascii="Cambria" w:eastAsia="Calibri" w:hAnsi="Cambria" w:cs="Calibri"/>
              </w:rPr>
              <w:t xml:space="preserve"> </w:t>
            </w:r>
            <w:proofErr w:type="spellStart"/>
            <w:r w:rsidRPr="00727BE6">
              <w:rPr>
                <w:rFonts w:ascii="Cambria" w:eastAsia="Calibri" w:hAnsi="Cambria" w:cs="Calibri"/>
              </w:rPr>
              <w:t>planiranja</w:t>
            </w:r>
            <w:proofErr w:type="spellEnd"/>
            <w:r w:rsidRPr="00727BE6">
              <w:rPr>
                <w:rFonts w:ascii="Cambria" w:eastAsia="Calibri" w:hAnsi="Cambria" w:cs="Calibri"/>
              </w:rPr>
              <w:t xml:space="preserve"> </w:t>
            </w:r>
            <w:proofErr w:type="spellStart"/>
            <w:r w:rsidRPr="00727BE6">
              <w:rPr>
                <w:rFonts w:ascii="Cambria" w:eastAsia="Calibri" w:hAnsi="Cambria" w:cs="Calibri"/>
              </w:rPr>
              <w:t>i</w:t>
            </w:r>
            <w:proofErr w:type="spellEnd"/>
            <w:r w:rsidRPr="00727BE6">
              <w:rPr>
                <w:rFonts w:ascii="Cambria" w:eastAsia="Calibri" w:hAnsi="Cambria" w:cs="Calibri"/>
              </w:rPr>
              <w:t xml:space="preserve"> </w:t>
            </w:r>
            <w:proofErr w:type="spellStart"/>
            <w:r w:rsidRPr="00727BE6">
              <w:rPr>
                <w:rFonts w:ascii="Cambria" w:eastAsia="Calibri" w:hAnsi="Cambria" w:cs="Calibri"/>
              </w:rPr>
              <w:t>programiranja</w:t>
            </w:r>
            <w:proofErr w:type="spellEnd"/>
            <w:r w:rsidRPr="00727BE6">
              <w:rPr>
                <w:rFonts w:ascii="Cambria" w:eastAsia="Calibri" w:hAnsi="Cambria" w:cs="Calibri"/>
              </w:rPr>
              <w:t xml:space="preserve"> </w:t>
            </w:r>
            <w:proofErr w:type="spellStart"/>
            <w:r w:rsidRPr="00727BE6">
              <w:rPr>
                <w:rFonts w:ascii="Cambria" w:eastAsia="Calibri" w:hAnsi="Cambria" w:cs="Calibri"/>
              </w:rPr>
              <w:t>nastavnog</w:t>
            </w:r>
            <w:proofErr w:type="spellEnd"/>
            <w:r w:rsidRPr="00727BE6">
              <w:rPr>
                <w:rFonts w:ascii="Cambria" w:eastAsia="Calibri" w:hAnsi="Cambria" w:cs="Calibri"/>
              </w:rPr>
              <w:t xml:space="preserve"> </w:t>
            </w:r>
            <w:proofErr w:type="spellStart"/>
            <w:r w:rsidRPr="00727BE6">
              <w:rPr>
                <w:rFonts w:ascii="Cambria" w:eastAsia="Calibri" w:hAnsi="Cambria" w:cs="Calibri"/>
              </w:rPr>
              <w:t>procesa</w:t>
            </w:r>
            <w:proofErr w:type="spellEnd"/>
            <w:r w:rsidRPr="00727BE6">
              <w:rPr>
                <w:rFonts w:ascii="Cambria" w:eastAsia="Calibri" w:hAnsi="Cambria" w:cs="Calibri"/>
              </w:rPr>
              <w:t xml:space="preserve"> u </w:t>
            </w:r>
            <w:proofErr w:type="spellStart"/>
            <w:r w:rsidRPr="00727BE6">
              <w:rPr>
                <w:rFonts w:ascii="Cambria" w:eastAsia="Calibri" w:hAnsi="Cambria" w:cs="Calibri"/>
              </w:rPr>
              <w:t>tjelesnom</w:t>
            </w:r>
            <w:proofErr w:type="spellEnd"/>
            <w:r w:rsidRPr="00727BE6">
              <w:rPr>
                <w:rFonts w:ascii="Cambria" w:eastAsia="Calibri" w:hAnsi="Cambria" w:cs="Calibri"/>
              </w:rPr>
              <w:t xml:space="preserve"> </w:t>
            </w:r>
            <w:proofErr w:type="spellStart"/>
            <w:r w:rsidRPr="00727BE6">
              <w:rPr>
                <w:rFonts w:ascii="Cambria" w:eastAsia="Calibri" w:hAnsi="Cambria" w:cs="Calibri"/>
              </w:rPr>
              <w:t>i</w:t>
            </w:r>
            <w:proofErr w:type="spellEnd"/>
            <w:r w:rsidRPr="00727BE6">
              <w:rPr>
                <w:rFonts w:ascii="Cambria" w:eastAsia="Calibri" w:hAnsi="Cambria" w:cs="Calibri"/>
              </w:rPr>
              <w:t xml:space="preserve"> </w:t>
            </w:r>
            <w:proofErr w:type="spellStart"/>
            <w:r w:rsidRPr="00727BE6">
              <w:rPr>
                <w:rFonts w:ascii="Cambria" w:eastAsia="Calibri" w:hAnsi="Cambria" w:cs="Calibri"/>
              </w:rPr>
              <w:t>zdravstvenom</w:t>
            </w:r>
            <w:proofErr w:type="spellEnd"/>
            <w:r w:rsidRPr="00727BE6">
              <w:rPr>
                <w:rFonts w:ascii="Cambria" w:eastAsia="Calibri" w:hAnsi="Cambria" w:cs="Calibri"/>
              </w:rPr>
              <w:t xml:space="preserve"> </w:t>
            </w:r>
            <w:proofErr w:type="spellStart"/>
            <w:r w:rsidRPr="00727BE6">
              <w:rPr>
                <w:rFonts w:ascii="Cambria" w:eastAsia="Calibri" w:hAnsi="Cambria" w:cs="Calibri"/>
              </w:rPr>
              <w:t>području</w:t>
            </w:r>
            <w:proofErr w:type="spellEnd"/>
            <w:r w:rsidRPr="00727BE6">
              <w:rPr>
                <w:rFonts w:ascii="Cambria" w:eastAsia="Calibri" w:hAnsi="Cambria" w:cs="Calibri"/>
              </w:rPr>
              <w:t xml:space="preserve"> </w:t>
            </w:r>
            <w:proofErr w:type="spellStart"/>
            <w:r w:rsidRPr="00727BE6">
              <w:rPr>
                <w:rFonts w:ascii="Cambria" w:eastAsia="Calibri" w:hAnsi="Cambria" w:cs="Calibri"/>
              </w:rPr>
              <w:t>te</w:t>
            </w:r>
            <w:proofErr w:type="spellEnd"/>
            <w:r w:rsidRPr="00727BE6">
              <w:rPr>
                <w:rFonts w:ascii="Cambria" w:eastAsia="Calibri" w:hAnsi="Cambria" w:cs="Calibri"/>
              </w:rPr>
              <w:t xml:space="preserve"> </w:t>
            </w:r>
            <w:proofErr w:type="spellStart"/>
            <w:r w:rsidRPr="00727BE6">
              <w:rPr>
                <w:rFonts w:ascii="Cambria" w:eastAsia="Calibri" w:hAnsi="Cambria" w:cs="Calibri"/>
              </w:rPr>
              <w:t>izradom</w:t>
            </w:r>
            <w:proofErr w:type="spellEnd"/>
            <w:r w:rsidRPr="00727BE6">
              <w:rPr>
                <w:rFonts w:ascii="Cambria" w:eastAsia="Calibri" w:hAnsi="Cambria" w:cs="Calibri"/>
              </w:rPr>
              <w:t xml:space="preserve"> plana </w:t>
            </w:r>
            <w:proofErr w:type="spellStart"/>
            <w:r w:rsidRPr="00727BE6">
              <w:rPr>
                <w:rFonts w:ascii="Cambria" w:eastAsia="Calibri" w:hAnsi="Cambria" w:cs="Calibri"/>
              </w:rPr>
              <w:t>i</w:t>
            </w:r>
            <w:proofErr w:type="spellEnd"/>
            <w:r w:rsidRPr="00727BE6">
              <w:rPr>
                <w:rFonts w:ascii="Cambria" w:eastAsia="Calibri" w:hAnsi="Cambria" w:cs="Calibri"/>
              </w:rPr>
              <w:t xml:space="preserve"> </w:t>
            </w:r>
            <w:proofErr w:type="spellStart"/>
            <w:r w:rsidRPr="00727BE6">
              <w:rPr>
                <w:rFonts w:ascii="Cambria" w:eastAsia="Calibri" w:hAnsi="Cambria" w:cs="Calibri"/>
              </w:rPr>
              <w:t>programa</w:t>
            </w:r>
            <w:proofErr w:type="spellEnd"/>
            <w:r w:rsidRPr="00727BE6">
              <w:rPr>
                <w:rFonts w:ascii="Cambria" w:eastAsia="Calibri" w:hAnsi="Cambria" w:cs="Calibri"/>
              </w:rPr>
              <w:t xml:space="preserve"> </w:t>
            </w:r>
            <w:proofErr w:type="spellStart"/>
            <w:r w:rsidRPr="00727BE6">
              <w:rPr>
                <w:rFonts w:ascii="Cambria" w:eastAsia="Calibri" w:hAnsi="Cambria" w:cs="Calibri"/>
              </w:rPr>
              <w:t>i</w:t>
            </w:r>
            <w:proofErr w:type="spellEnd"/>
            <w:r w:rsidRPr="00727BE6">
              <w:rPr>
                <w:rFonts w:ascii="Cambria" w:eastAsia="Calibri" w:hAnsi="Cambria" w:cs="Calibri"/>
              </w:rPr>
              <w:t xml:space="preserve"> </w:t>
            </w:r>
            <w:proofErr w:type="spellStart"/>
            <w:r w:rsidRPr="00727BE6">
              <w:rPr>
                <w:rFonts w:ascii="Cambria" w:eastAsia="Calibri" w:hAnsi="Cambria" w:cs="Calibri"/>
              </w:rPr>
              <w:t>pripreme</w:t>
            </w:r>
            <w:proofErr w:type="spellEnd"/>
            <w:r w:rsidRPr="00727BE6">
              <w:rPr>
                <w:rFonts w:ascii="Cambria" w:eastAsia="Calibri" w:hAnsi="Cambria" w:cs="Calibri"/>
              </w:rPr>
              <w:t xml:space="preserve"> za sat </w:t>
            </w:r>
            <w:proofErr w:type="spellStart"/>
            <w:r w:rsidRPr="00727BE6">
              <w:rPr>
                <w:rFonts w:ascii="Cambria" w:eastAsia="Calibri" w:hAnsi="Cambria" w:cs="Calibri"/>
              </w:rPr>
              <w:t>tjelesne</w:t>
            </w:r>
            <w:proofErr w:type="spellEnd"/>
            <w:r w:rsidRPr="00727BE6">
              <w:rPr>
                <w:rFonts w:ascii="Cambria" w:eastAsia="Calibri" w:hAnsi="Cambria" w:cs="Calibri"/>
              </w:rPr>
              <w:t xml:space="preserve"> </w:t>
            </w:r>
            <w:proofErr w:type="spellStart"/>
            <w:r w:rsidRPr="00727BE6">
              <w:rPr>
                <w:rFonts w:ascii="Cambria" w:eastAsia="Calibri" w:hAnsi="Cambria" w:cs="Calibri"/>
              </w:rPr>
              <w:t>i</w:t>
            </w:r>
            <w:proofErr w:type="spellEnd"/>
            <w:r w:rsidRPr="00727BE6">
              <w:rPr>
                <w:rFonts w:ascii="Cambria" w:eastAsia="Calibri" w:hAnsi="Cambria" w:cs="Calibri"/>
              </w:rPr>
              <w:t xml:space="preserve"> </w:t>
            </w:r>
            <w:proofErr w:type="spellStart"/>
            <w:r w:rsidRPr="00727BE6">
              <w:rPr>
                <w:rFonts w:ascii="Cambria" w:eastAsia="Calibri" w:hAnsi="Cambria" w:cs="Calibri"/>
              </w:rPr>
              <w:t>zdravstvene</w:t>
            </w:r>
            <w:proofErr w:type="spellEnd"/>
            <w:r w:rsidRPr="00727BE6">
              <w:rPr>
                <w:rFonts w:ascii="Cambria" w:eastAsia="Calibri" w:hAnsi="Cambria" w:cs="Calibri"/>
              </w:rPr>
              <w:t xml:space="preserve"> </w:t>
            </w:r>
            <w:proofErr w:type="spellStart"/>
            <w:r w:rsidRPr="00727BE6">
              <w:rPr>
                <w:rFonts w:ascii="Cambria" w:eastAsia="Calibri" w:hAnsi="Cambria" w:cs="Calibri"/>
              </w:rPr>
              <w:t>kulture</w:t>
            </w:r>
            <w:proofErr w:type="spellEnd"/>
          </w:p>
        </w:tc>
      </w:tr>
      <w:tr w:rsidR="008345F3" w:rsidRPr="00963BC1" w14:paraId="0B213956" w14:textId="77777777" w:rsidTr="008345F3">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7927A28" w14:textId="77777777" w:rsidR="008345F3" w:rsidRPr="00727BE6" w:rsidRDefault="008345F3" w:rsidP="008345F3">
            <w:pPr>
              <w:spacing w:after="0" w:line="240" w:lineRule="atLeast"/>
              <w:jc w:val="both"/>
              <w:rPr>
                <w:rFonts w:ascii="Cambria" w:eastAsia="Calibri" w:hAnsi="Cambria" w:cs="Calibri"/>
              </w:rPr>
            </w:pPr>
            <w:proofErr w:type="spellStart"/>
            <w:r w:rsidRPr="00727BE6">
              <w:rPr>
                <w:rFonts w:ascii="Cambria" w:eastAsia="Calibri" w:hAnsi="Cambria" w:cs="Calibri"/>
              </w:rPr>
              <w:t>Ishodi</w:t>
            </w:r>
            <w:proofErr w:type="spellEnd"/>
            <w:r w:rsidRPr="00727BE6">
              <w:rPr>
                <w:rFonts w:ascii="Cambria" w:eastAsia="Calibri" w:hAnsi="Cambria" w:cs="Calibri"/>
              </w:rPr>
              <w:t xml:space="preserve"> </w:t>
            </w:r>
            <w:proofErr w:type="spellStart"/>
            <w:r w:rsidRPr="00727BE6">
              <w:rPr>
                <w:rFonts w:ascii="Cambria" w:eastAsia="Calibri" w:hAnsi="Cambria" w:cs="Calibri"/>
              </w:rPr>
              <w:t>učenja</w:t>
            </w:r>
            <w:proofErr w:type="spellEnd"/>
          </w:p>
        </w:tc>
        <w:tc>
          <w:tcPr>
            <w:tcW w:w="671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96538D5" w14:textId="77777777" w:rsidR="008345F3" w:rsidRPr="00727BE6" w:rsidRDefault="008345F3" w:rsidP="008345F3">
            <w:pPr>
              <w:spacing w:after="0" w:line="240" w:lineRule="atLeast"/>
              <w:jc w:val="both"/>
              <w:rPr>
                <w:rFonts w:ascii="Cambria" w:eastAsia="Calibri" w:hAnsi="Cambria" w:cs="Calibri"/>
                <w:lang w:val="it-IT"/>
              </w:rPr>
            </w:pPr>
            <w:r w:rsidRPr="00727BE6">
              <w:rPr>
                <w:rFonts w:ascii="Cambria" w:eastAsia="Calibri" w:hAnsi="Cambria" w:cs="Calibri"/>
                <w:lang w:val="it-IT"/>
              </w:rPr>
              <w:t xml:space="preserve">1. </w:t>
            </w:r>
            <w:proofErr w:type="spellStart"/>
            <w:r w:rsidRPr="00727BE6">
              <w:rPr>
                <w:rFonts w:ascii="Cambria" w:eastAsia="Calibri" w:hAnsi="Cambria" w:cs="Calibri"/>
                <w:lang w:val="it-IT"/>
              </w:rPr>
              <w:t>izraditi</w:t>
            </w:r>
            <w:proofErr w:type="spellEnd"/>
            <w:r w:rsidRPr="00727BE6">
              <w:rPr>
                <w:rFonts w:ascii="Cambria" w:eastAsia="Calibri" w:hAnsi="Cambria" w:cs="Calibri"/>
                <w:lang w:val="it-IT"/>
              </w:rPr>
              <w:t xml:space="preserve"> </w:t>
            </w:r>
            <w:proofErr w:type="spellStart"/>
            <w:r w:rsidRPr="00727BE6">
              <w:rPr>
                <w:rFonts w:ascii="Cambria" w:eastAsia="Calibri" w:hAnsi="Cambria" w:cs="Calibri"/>
                <w:lang w:val="it-IT"/>
              </w:rPr>
              <w:t>pripremu</w:t>
            </w:r>
            <w:proofErr w:type="spellEnd"/>
            <w:r w:rsidRPr="00727BE6">
              <w:rPr>
                <w:rFonts w:ascii="Cambria" w:eastAsia="Calibri" w:hAnsi="Cambria" w:cs="Calibri"/>
                <w:lang w:val="it-IT"/>
              </w:rPr>
              <w:t xml:space="preserve"> za </w:t>
            </w:r>
            <w:proofErr w:type="spellStart"/>
            <w:r w:rsidRPr="00727BE6">
              <w:rPr>
                <w:rFonts w:ascii="Cambria" w:eastAsia="Calibri" w:hAnsi="Cambria" w:cs="Calibri"/>
                <w:lang w:val="it-IT"/>
              </w:rPr>
              <w:t>sat</w:t>
            </w:r>
            <w:proofErr w:type="spellEnd"/>
            <w:r w:rsidRPr="00727BE6">
              <w:rPr>
                <w:rFonts w:ascii="Cambria" w:eastAsia="Calibri" w:hAnsi="Cambria" w:cs="Calibri"/>
                <w:lang w:val="it-IT"/>
              </w:rPr>
              <w:t xml:space="preserve"> </w:t>
            </w:r>
            <w:proofErr w:type="spellStart"/>
            <w:r w:rsidRPr="00727BE6">
              <w:rPr>
                <w:rFonts w:ascii="Cambria" w:eastAsia="Calibri" w:hAnsi="Cambria" w:cs="Calibri"/>
                <w:lang w:val="it-IT"/>
              </w:rPr>
              <w:t>tjelesne</w:t>
            </w:r>
            <w:proofErr w:type="spellEnd"/>
            <w:r w:rsidRPr="00727BE6">
              <w:rPr>
                <w:rFonts w:ascii="Cambria" w:eastAsia="Calibri" w:hAnsi="Cambria" w:cs="Calibri"/>
                <w:lang w:val="it-IT"/>
              </w:rPr>
              <w:t xml:space="preserve"> i </w:t>
            </w:r>
            <w:proofErr w:type="spellStart"/>
            <w:r w:rsidRPr="00727BE6">
              <w:rPr>
                <w:rFonts w:ascii="Cambria" w:eastAsia="Calibri" w:hAnsi="Cambria" w:cs="Calibri"/>
                <w:lang w:val="it-IT"/>
              </w:rPr>
              <w:t>zdravstvene</w:t>
            </w:r>
            <w:proofErr w:type="spellEnd"/>
            <w:r w:rsidRPr="00727BE6">
              <w:rPr>
                <w:rFonts w:ascii="Cambria" w:eastAsia="Calibri" w:hAnsi="Cambria" w:cs="Calibri"/>
                <w:lang w:val="it-IT"/>
              </w:rPr>
              <w:t xml:space="preserve"> </w:t>
            </w:r>
            <w:proofErr w:type="spellStart"/>
            <w:r w:rsidRPr="00727BE6">
              <w:rPr>
                <w:rFonts w:ascii="Cambria" w:eastAsia="Calibri" w:hAnsi="Cambria" w:cs="Calibri"/>
                <w:lang w:val="it-IT"/>
              </w:rPr>
              <w:t>kulture</w:t>
            </w:r>
            <w:proofErr w:type="spellEnd"/>
            <w:r w:rsidRPr="00727BE6">
              <w:rPr>
                <w:rFonts w:ascii="Cambria" w:eastAsia="Calibri" w:hAnsi="Cambria" w:cs="Calibri"/>
                <w:lang w:val="it-IT"/>
              </w:rPr>
              <w:t xml:space="preserve"> i GIK-a </w:t>
            </w:r>
            <w:proofErr w:type="spellStart"/>
            <w:r w:rsidRPr="00727BE6">
              <w:rPr>
                <w:rFonts w:ascii="Cambria" w:eastAsia="Calibri" w:hAnsi="Cambria" w:cs="Calibri"/>
                <w:lang w:val="it-IT"/>
              </w:rPr>
              <w:t>tjelesne</w:t>
            </w:r>
            <w:proofErr w:type="spellEnd"/>
            <w:r w:rsidRPr="00727BE6">
              <w:rPr>
                <w:rFonts w:ascii="Cambria" w:eastAsia="Calibri" w:hAnsi="Cambria" w:cs="Calibri"/>
                <w:lang w:val="it-IT"/>
              </w:rPr>
              <w:t xml:space="preserve"> i </w:t>
            </w:r>
            <w:proofErr w:type="spellStart"/>
            <w:r w:rsidRPr="00727BE6">
              <w:rPr>
                <w:rFonts w:ascii="Cambria" w:eastAsia="Calibri" w:hAnsi="Cambria" w:cs="Calibri"/>
                <w:lang w:val="it-IT"/>
              </w:rPr>
              <w:t>zdravstvene</w:t>
            </w:r>
            <w:proofErr w:type="spellEnd"/>
            <w:r w:rsidRPr="00727BE6">
              <w:rPr>
                <w:rFonts w:ascii="Cambria" w:eastAsia="Calibri" w:hAnsi="Cambria" w:cs="Calibri"/>
                <w:lang w:val="it-IT"/>
              </w:rPr>
              <w:t xml:space="preserve"> </w:t>
            </w:r>
            <w:proofErr w:type="spellStart"/>
            <w:r w:rsidRPr="00727BE6">
              <w:rPr>
                <w:rFonts w:ascii="Cambria" w:eastAsia="Calibri" w:hAnsi="Cambria" w:cs="Calibri"/>
                <w:lang w:val="it-IT"/>
              </w:rPr>
              <w:t>kulture</w:t>
            </w:r>
            <w:proofErr w:type="spellEnd"/>
          </w:p>
          <w:p w14:paraId="4B421739" w14:textId="77777777" w:rsidR="008345F3" w:rsidRPr="00727BE6" w:rsidRDefault="008345F3" w:rsidP="008345F3">
            <w:pPr>
              <w:spacing w:after="0" w:line="240" w:lineRule="atLeast"/>
              <w:jc w:val="both"/>
              <w:rPr>
                <w:rFonts w:ascii="Cambria" w:eastAsia="Calibri" w:hAnsi="Cambria" w:cs="Calibri"/>
                <w:lang w:val="it-IT"/>
              </w:rPr>
            </w:pPr>
            <w:r w:rsidRPr="00727BE6">
              <w:rPr>
                <w:rFonts w:ascii="Cambria" w:eastAsia="Calibri" w:hAnsi="Cambria" w:cs="Calibri"/>
                <w:lang w:val="it-IT"/>
              </w:rPr>
              <w:t xml:space="preserve">2. </w:t>
            </w:r>
            <w:proofErr w:type="spellStart"/>
            <w:r w:rsidRPr="00727BE6">
              <w:rPr>
                <w:rFonts w:ascii="Cambria" w:eastAsia="Calibri" w:hAnsi="Cambria" w:cs="Calibri"/>
                <w:lang w:val="it-IT"/>
              </w:rPr>
              <w:t>interpretirati</w:t>
            </w:r>
            <w:proofErr w:type="spellEnd"/>
            <w:r w:rsidRPr="00727BE6">
              <w:rPr>
                <w:rFonts w:ascii="Cambria" w:eastAsia="Calibri" w:hAnsi="Cambria" w:cs="Calibri"/>
                <w:lang w:val="it-IT"/>
              </w:rPr>
              <w:t xml:space="preserve"> </w:t>
            </w:r>
            <w:proofErr w:type="spellStart"/>
            <w:r w:rsidRPr="00727BE6">
              <w:rPr>
                <w:rFonts w:ascii="Cambria" w:eastAsia="Calibri" w:hAnsi="Cambria" w:cs="Calibri"/>
                <w:lang w:val="it-IT"/>
              </w:rPr>
              <w:t>elemente</w:t>
            </w:r>
            <w:proofErr w:type="spellEnd"/>
            <w:r w:rsidRPr="00727BE6">
              <w:rPr>
                <w:rFonts w:ascii="Cambria" w:eastAsia="Calibri" w:hAnsi="Cambria" w:cs="Calibri"/>
                <w:lang w:val="it-IT"/>
              </w:rPr>
              <w:t xml:space="preserve"> GIK-a </w:t>
            </w:r>
            <w:proofErr w:type="spellStart"/>
            <w:r w:rsidRPr="00727BE6">
              <w:rPr>
                <w:rFonts w:ascii="Cambria" w:eastAsia="Calibri" w:hAnsi="Cambria" w:cs="Calibri"/>
                <w:lang w:val="it-IT"/>
              </w:rPr>
              <w:t>tjelesne</w:t>
            </w:r>
            <w:proofErr w:type="spellEnd"/>
            <w:r w:rsidRPr="00727BE6">
              <w:rPr>
                <w:rFonts w:ascii="Cambria" w:eastAsia="Calibri" w:hAnsi="Cambria" w:cs="Calibri"/>
                <w:lang w:val="it-IT"/>
              </w:rPr>
              <w:t xml:space="preserve"> i </w:t>
            </w:r>
            <w:proofErr w:type="spellStart"/>
            <w:r w:rsidRPr="00727BE6">
              <w:rPr>
                <w:rFonts w:ascii="Cambria" w:eastAsia="Calibri" w:hAnsi="Cambria" w:cs="Calibri"/>
                <w:lang w:val="it-IT"/>
              </w:rPr>
              <w:t>zdravstvene</w:t>
            </w:r>
            <w:proofErr w:type="spellEnd"/>
            <w:r w:rsidRPr="00727BE6">
              <w:rPr>
                <w:rFonts w:ascii="Cambria" w:eastAsia="Calibri" w:hAnsi="Cambria" w:cs="Calibri"/>
                <w:lang w:val="it-IT"/>
              </w:rPr>
              <w:t xml:space="preserve"> </w:t>
            </w:r>
            <w:proofErr w:type="spellStart"/>
            <w:r w:rsidRPr="00727BE6">
              <w:rPr>
                <w:rFonts w:ascii="Cambria" w:eastAsia="Calibri" w:hAnsi="Cambria" w:cs="Calibri"/>
                <w:lang w:val="it-IT"/>
              </w:rPr>
              <w:t>kulture</w:t>
            </w:r>
            <w:proofErr w:type="spellEnd"/>
          </w:p>
          <w:p w14:paraId="4181C95D" w14:textId="77777777" w:rsidR="008345F3" w:rsidRPr="00727BE6" w:rsidRDefault="008345F3" w:rsidP="008345F3">
            <w:pPr>
              <w:spacing w:after="0" w:line="240" w:lineRule="atLeast"/>
              <w:jc w:val="both"/>
              <w:rPr>
                <w:rFonts w:ascii="Cambria" w:eastAsia="Calibri" w:hAnsi="Cambria" w:cs="Calibri"/>
                <w:lang w:val="it-IT"/>
              </w:rPr>
            </w:pPr>
            <w:r w:rsidRPr="00727BE6">
              <w:rPr>
                <w:rFonts w:ascii="Cambria" w:eastAsia="Calibri" w:hAnsi="Cambria" w:cs="Calibri"/>
                <w:lang w:val="it-IT"/>
              </w:rPr>
              <w:t xml:space="preserve">3. </w:t>
            </w:r>
            <w:proofErr w:type="spellStart"/>
            <w:r w:rsidRPr="00727BE6">
              <w:rPr>
                <w:rFonts w:ascii="Cambria" w:eastAsia="Calibri" w:hAnsi="Cambria" w:cs="Calibri"/>
                <w:lang w:val="it-IT"/>
              </w:rPr>
              <w:t>analizirati</w:t>
            </w:r>
            <w:proofErr w:type="spellEnd"/>
            <w:r w:rsidRPr="00727BE6">
              <w:rPr>
                <w:rFonts w:ascii="Cambria" w:eastAsia="Calibri" w:hAnsi="Cambria" w:cs="Calibri"/>
                <w:lang w:val="it-IT"/>
              </w:rPr>
              <w:t xml:space="preserve"> </w:t>
            </w:r>
            <w:proofErr w:type="spellStart"/>
            <w:r w:rsidRPr="00727BE6">
              <w:rPr>
                <w:rFonts w:ascii="Cambria" w:eastAsia="Calibri" w:hAnsi="Cambria" w:cs="Calibri"/>
                <w:lang w:val="it-IT"/>
              </w:rPr>
              <w:t>pripremu</w:t>
            </w:r>
            <w:proofErr w:type="spellEnd"/>
            <w:r w:rsidRPr="00727BE6">
              <w:rPr>
                <w:rFonts w:ascii="Cambria" w:eastAsia="Calibri" w:hAnsi="Cambria" w:cs="Calibri"/>
                <w:lang w:val="it-IT"/>
              </w:rPr>
              <w:t xml:space="preserve"> za </w:t>
            </w:r>
            <w:proofErr w:type="spellStart"/>
            <w:r w:rsidRPr="00727BE6">
              <w:rPr>
                <w:rFonts w:ascii="Cambria" w:eastAsia="Calibri" w:hAnsi="Cambria" w:cs="Calibri"/>
                <w:lang w:val="it-IT"/>
              </w:rPr>
              <w:t>sat</w:t>
            </w:r>
            <w:proofErr w:type="spellEnd"/>
            <w:r w:rsidRPr="00727BE6">
              <w:rPr>
                <w:rFonts w:ascii="Cambria" w:eastAsia="Calibri" w:hAnsi="Cambria" w:cs="Calibri"/>
                <w:lang w:val="it-IT"/>
              </w:rPr>
              <w:t xml:space="preserve"> </w:t>
            </w:r>
            <w:proofErr w:type="spellStart"/>
            <w:r w:rsidRPr="00727BE6">
              <w:rPr>
                <w:rFonts w:ascii="Cambria" w:eastAsia="Calibri" w:hAnsi="Cambria" w:cs="Calibri"/>
                <w:lang w:val="it-IT"/>
              </w:rPr>
              <w:t>tjelesne</w:t>
            </w:r>
            <w:proofErr w:type="spellEnd"/>
            <w:r w:rsidRPr="00727BE6">
              <w:rPr>
                <w:rFonts w:ascii="Cambria" w:eastAsia="Calibri" w:hAnsi="Cambria" w:cs="Calibri"/>
                <w:lang w:val="it-IT"/>
              </w:rPr>
              <w:t xml:space="preserve"> i </w:t>
            </w:r>
            <w:proofErr w:type="spellStart"/>
            <w:r w:rsidRPr="00727BE6">
              <w:rPr>
                <w:rFonts w:ascii="Cambria" w:eastAsia="Calibri" w:hAnsi="Cambria" w:cs="Calibri"/>
                <w:lang w:val="it-IT"/>
              </w:rPr>
              <w:t>zdravstvene</w:t>
            </w:r>
            <w:proofErr w:type="spellEnd"/>
            <w:r w:rsidRPr="00727BE6">
              <w:rPr>
                <w:rFonts w:ascii="Cambria" w:eastAsia="Calibri" w:hAnsi="Cambria" w:cs="Calibri"/>
                <w:lang w:val="it-IT"/>
              </w:rPr>
              <w:t xml:space="preserve"> </w:t>
            </w:r>
            <w:proofErr w:type="spellStart"/>
            <w:r w:rsidRPr="00727BE6">
              <w:rPr>
                <w:rFonts w:ascii="Cambria" w:eastAsia="Calibri" w:hAnsi="Cambria" w:cs="Calibri"/>
                <w:lang w:val="it-IT"/>
              </w:rPr>
              <w:t>kulture</w:t>
            </w:r>
            <w:proofErr w:type="spellEnd"/>
          </w:p>
          <w:p w14:paraId="2B16BE97" w14:textId="77777777" w:rsidR="008345F3" w:rsidRPr="00727BE6" w:rsidRDefault="008345F3" w:rsidP="008345F3">
            <w:pPr>
              <w:spacing w:after="0" w:line="240" w:lineRule="atLeast"/>
              <w:jc w:val="both"/>
              <w:rPr>
                <w:rFonts w:ascii="Cambria" w:eastAsia="Calibri" w:hAnsi="Cambria" w:cs="Calibri"/>
                <w:lang w:val="it-IT"/>
              </w:rPr>
            </w:pPr>
            <w:r w:rsidRPr="00727BE6">
              <w:rPr>
                <w:rFonts w:ascii="Cambria" w:eastAsia="Calibri" w:hAnsi="Cambria" w:cs="Calibri"/>
                <w:lang w:val="it-IT"/>
              </w:rPr>
              <w:t xml:space="preserve">4. </w:t>
            </w:r>
            <w:proofErr w:type="spellStart"/>
            <w:r w:rsidRPr="00727BE6">
              <w:rPr>
                <w:rFonts w:ascii="Cambria" w:eastAsia="Calibri" w:hAnsi="Cambria" w:cs="Calibri"/>
                <w:lang w:val="it-IT"/>
              </w:rPr>
              <w:t>analizirati</w:t>
            </w:r>
            <w:proofErr w:type="spellEnd"/>
            <w:r w:rsidRPr="00727BE6">
              <w:rPr>
                <w:rFonts w:ascii="Cambria" w:eastAsia="Calibri" w:hAnsi="Cambria" w:cs="Calibri"/>
                <w:lang w:val="it-IT"/>
              </w:rPr>
              <w:t xml:space="preserve"> </w:t>
            </w:r>
            <w:proofErr w:type="spellStart"/>
            <w:r w:rsidRPr="00727BE6">
              <w:rPr>
                <w:rFonts w:ascii="Cambria" w:eastAsia="Calibri" w:hAnsi="Cambria" w:cs="Calibri"/>
                <w:lang w:val="it-IT"/>
              </w:rPr>
              <w:t>sastavnice</w:t>
            </w:r>
            <w:proofErr w:type="spellEnd"/>
            <w:r w:rsidRPr="00727BE6">
              <w:rPr>
                <w:rFonts w:ascii="Cambria" w:eastAsia="Calibri" w:hAnsi="Cambria" w:cs="Calibri"/>
                <w:lang w:val="it-IT"/>
              </w:rPr>
              <w:t xml:space="preserve"> </w:t>
            </w:r>
            <w:proofErr w:type="spellStart"/>
            <w:r w:rsidRPr="00727BE6">
              <w:rPr>
                <w:rFonts w:ascii="Cambria" w:eastAsia="Calibri" w:hAnsi="Cambria" w:cs="Calibri"/>
                <w:lang w:val="it-IT"/>
              </w:rPr>
              <w:t>vrednovanja</w:t>
            </w:r>
            <w:proofErr w:type="spellEnd"/>
            <w:r w:rsidRPr="00727BE6">
              <w:rPr>
                <w:rFonts w:ascii="Cambria" w:eastAsia="Calibri" w:hAnsi="Cambria" w:cs="Calibri"/>
                <w:lang w:val="it-IT"/>
              </w:rPr>
              <w:t xml:space="preserve"> u </w:t>
            </w:r>
            <w:proofErr w:type="spellStart"/>
            <w:r w:rsidRPr="00727BE6">
              <w:rPr>
                <w:rFonts w:ascii="Cambria" w:eastAsia="Calibri" w:hAnsi="Cambria" w:cs="Calibri"/>
                <w:lang w:val="it-IT"/>
              </w:rPr>
              <w:t>tjelesnoj</w:t>
            </w:r>
            <w:proofErr w:type="spellEnd"/>
            <w:r w:rsidRPr="00727BE6">
              <w:rPr>
                <w:rFonts w:ascii="Cambria" w:eastAsia="Calibri" w:hAnsi="Cambria" w:cs="Calibri"/>
                <w:lang w:val="it-IT"/>
              </w:rPr>
              <w:t xml:space="preserve"> i </w:t>
            </w:r>
            <w:proofErr w:type="spellStart"/>
            <w:r w:rsidRPr="00727BE6">
              <w:rPr>
                <w:rFonts w:ascii="Cambria" w:eastAsia="Calibri" w:hAnsi="Cambria" w:cs="Calibri"/>
                <w:lang w:val="it-IT"/>
              </w:rPr>
              <w:t>zdravstvenoj</w:t>
            </w:r>
            <w:proofErr w:type="spellEnd"/>
            <w:r w:rsidRPr="00727BE6">
              <w:rPr>
                <w:rFonts w:ascii="Cambria" w:eastAsia="Calibri" w:hAnsi="Cambria" w:cs="Calibri"/>
                <w:lang w:val="it-IT"/>
              </w:rPr>
              <w:t xml:space="preserve"> </w:t>
            </w:r>
            <w:proofErr w:type="spellStart"/>
            <w:r w:rsidRPr="00727BE6">
              <w:rPr>
                <w:rFonts w:ascii="Cambria" w:eastAsia="Calibri" w:hAnsi="Cambria" w:cs="Calibri"/>
                <w:lang w:val="it-IT"/>
              </w:rPr>
              <w:t>kulturi</w:t>
            </w:r>
            <w:proofErr w:type="spellEnd"/>
          </w:p>
          <w:p w14:paraId="229A7D7A" w14:textId="77777777" w:rsidR="008345F3" w:rsidRPr="00727BE6" w:rsidRDefault="008345F3" w:rsidP="008345F3">
            <w:pPr>
              <w:spacing w:after="0" w:line="240" w:lineRule="atLeast"/>
              <w:jc w:val="both"/>
              <w:rPr>
                <w:rFonts w:ascii="Cambria" w:eastAsia="Calibri" w:hAnsi="Cambria" w:cs="Calibri"/>
                <w:lang w:val="it-IT"/>
              </w:rPr>
            </w:pPr>
            <w:r w:rsidRPr="00727BE6">
              <w:rPr>
                <w:rFonts w:ascii="Cambria" w:eastAsia="Calibri" w:hAnsi="Cambria" w:cs="Calibri"/>
                <w:lang w:val="it-IT"/>
              </w:rPr>
              <w:t xml:space="preserve">5. </w:t>
            </w:r>
            <w:proofErr w:type="spellStart"/>
            <w:r w:rsidRPr="00727BE6">
              <w:rPr>
                <w:rFonts w:ascii="Cambria" w:eastAsia="Calibri" w:hAnsi="Cambria" w:cs="Calibri"/>
                <w:lang w:val="it-IT"/>
              </w:rPr>
              <w:t>opisati</w:t>
            </w:r>
            <w:proofErr w:type="spellEnd"/>
            <w:r w:rsidRPr="00727BE6">
              <w:rPr>
                <w:rFonts w:ascii="Cambria" w:eastAsia="Calibri" w:hAnsi="Cambria" w:cs="Calibri"/>
                <w:lang w:val="it-IT"/>
              </w:rPr>
              <w:t xml:space="preserve"> </w:t>
            </w:r>
            <w:proofErr w:type="spellStart"/>
            <w:r w:rsidRPr="00727BE6">
              <w:rPr>
                <w:rFonts w:ascii="Cambria" w:eastAsia="Calibri" w:hAnsi="Cambria" w:cs="Calibri"/>
                <w:lang w:val="it-IT"/>
              </w:rPr>
              <w:t>uporabu</w:t>
            </w:r>
            <w:proofErr w:type="spellEnd"/>
            <w:r w:rsidRPr="00727BE6">
              <w:rPr>
                <w:rFonts w:ascii="Cambria" w:eastAsia="Calibri" w:hAnsi="Cambria" w:cs="Calibri"/>
                <w:lang w:val="it-IT"/>
              </w:rPr>
              <w:t xml:space="preserve"> </w:t>
            </w:r>
            <w:proofErr w:type="spellStart"/>
            <w:r w:rsidRPr="00727BE6">
              <w:rPr>
                <w:rFonts w:ascii="Cambria" w:eastAsia="Calibri" w:hAnsi="Cambria" w:cs="Calibri"/>
                <w:lang w:val="it-IT"/>
              </w:rPr>
              <w:t>različitih</w:t>
            </w:r>
            <w:proofErr w:type="spellEnd"/>
            <w:r w:rsidRPr="00727BE6">
              <w:rPr>
                <w:rFonts w:ascii="Cambria" w:eastAsia="Calibri" w:hAnsi="Cambria" w:cs="Calibri"/>
                <w:lang w:val="it-IT"/>
              </w:rPr>
              <w:t xml:space="preserve"> </w:t>
            </w:r>
            <w:proofErr w:type="spellStart"/>
            <w:r w:rsidRPr="00727BE6">
              <w:rPr>
                <w:rFonts w:ascii="Cambria" w:eastAsia="Calibri" w:hAnsi="Cambria" w:cs="Calibri"/>
                <w:lang w:val="it-IT"/>
              </w:rPr>
              <w:t>prostora</w:t>
            </w:r>
            <w:proofErr w:type="spellEnd"/>
            <w:r w:rsidRPr="00727BE6">
              <w:rPr>
                <w:rFonts w:ascii="Cambria" w:eastAsia="Calibri" w:hAnsi="Cambria" w:cs="Calibri"/>
                <w:lang w:val="it-IT"/>
              </w:rPr>
              <w:t xml:space="preserve"> i </w:t>
            </w:r>
            <w:proofErr w:type="spellStart"/>
            <w:r w:rsidRPr="00727BE6">
              <w:rPr>
                <w:rFonts w:ascii="Cambria" w:eastAsia="Calibri" w:hAnsi="Cambria" w:cs="Calibri"/>
                <w:lang w:val="it-IT"/>
              </w:rPr>
              <w:t>opreme</w:t>
            </w:r>
            <w:proofErr w:type="spellEnd"/>
            <w:r w:rsidRPr="00727BE6">
              <w:rPr>
                <w:rFonts w:ascii="Cambria" w:eastAsia="Calibri" w:hAnsi="Cambria" w:cs="Calibri"/>
                <w:lang w:val="it-IT"/>
              </w:rPr>
              <w:t xml:space="preserve"> za rad</w:t>
            </w:r>
          </w:p>
          <w:p w14:paraId="1BCC63E6" w14:textId="77777777" w:rsidR="008345F3" w:rsidRPr="00727BE6" w:rsidRDefault="008345F3" w:rsidP="008345F3">
            <w:pPr>
              <w:spacing w:after="0" w:line="240" w:lineRule="atLeast"/>
              <w:jc w:val="both"/>
              <w:rPr>
                <w:rFonts w:ascii="Cambria" w:eastAsia="Calibri" w:hAnsi="Cambria" w:cs="Calibri"/>
              </w:rPr>
            </w:pPr>
            <w:r w:rsidRPr="00727BE6">
              <w:rPr>
                <w:rFonts w:ascii="Cambria" w:eastAsia="Calibri" w:hAnsi="Cambria" w:cs="Calibri"/>
              </w:rPr>
              <w:t xml:space="preserve">6. </w:t>
            </w:r>
            <w:proofErr w:type="spellStart"/>
            <w:r w:rsidRPr="00727BE6">
              <w:rPr>
                <w:rFonts w:ascii="Cambria" w:eastAsia="Calibri" w:hAnsi="Cambria" w:cs="Calibri"/>
              </w:rPr>
              <w:t>samostalno</w:t>
            </w:r>
            <w:proofErr w:type="spellEnd"/>
            <w:r w:rsidRPr="00727BE6">
              <w:rPr>
                <w:rFonts w:ascii="Cambria" w:eastAsia="Calibri" w:hAnsi="Cambria" w:cs="Calibri"/>
              </w:rPr>
              <w:t xml:space="preserve"> </w:t>
            </w:r>
            <w:proofErr w:type="spellStart"/>
            <w:r w:rsidRPr="00727BE6">
              <w:rPr>
                <w:rFonts w:ascii="Cambria" w:eastAsia="Calibri" w:hAnsi="Cambria" w:cs="Calibri"/>
              </w:rPr>
              <w:t>izvesti</w:t>
            </w:r>
            <w:proofErr w:type="spellEnd"/>
            <w:r w:rsidRPr="00727BE6">
              <w:rPr>
                <w:rFonts w:ascii="Cambria" w:eastAsia="Calibri" w:hAnsi="Cambria" w:cs="Calibri"/>
              </w:rPr>
              <w:t xml:space="preserve"> sat </w:t>
            </w:r>
            <w:proofErr w:type="spellStart"/>
            <w:r w:rsidRPr="00727BE6">
              <w:rPr>
                <w:rFonts w:ascii="Cambria" w:eastAsia="Calibri" w:hAnsi="Cambria" w:cs="Calibri"/>
              </w:rPr>
              <w:t>tjelesne</w:t>
            </w:r>
            <w:proofErr w:type="spellEnd"/>
            <w:r w:rsidRPr="00727BE6">
              <w:rPr>
                <w:rFonts w:ascii="Cambria" w:eastAsia="Calibri" w:hAnsi="Cambria" w:cs="Calibri"/>
              </w:rPr>
              <w:t xml:space="preserve"> </w:t>
            </w:r>
            <w:proofErr w:type="spellStart"/>
            <w:r w:rsidRPr="00727BE6">
              <w:rPr>
                <w:rFonts w:ascii="Cambria" w:eastAsia="Calibri" w:hAnsi="Cambria" w:cs="Calibri"/>
              </w:rPr>
              <w:t>i</w:t>
            </w:r>
            <w:proofErr w:type="spellEnd"/>
            <w:r w:rsidRPr="00727BE6">
              <w:rPr>
                <w:rFonts w:ascii="Cambria" w:eastAsia="Calibri" w:hAnsi="Cambria" w:cs="Calibri"/>
              </w:rPr>
              <w:t xml:space="preserve"> </w:t>
            </w:r>
            <w:proofErr w:type="spellStart"/>
            <w:r w:rsidRPr="00727BE6">
              <w:rPr>
                <w:rFonts w:ascii="Cambria" w:eastAsia="Calibri" w:hAnsi="Cambria" w:cs="Calibri"/>
              </w:rPr>
              <w:t>zdravstvene</w:t>
            </w:r>
            <w:proofErr w:type="spellEnd"/>
            <w:r w:rsidRPr="00727BE6">
              <w:rPr>
                <w:rFonts w:ascii="Cambria" w:eastAsia="Calibri" w:hAnsi="Cambria" w:cs="Calibri"/>
              </w:rPr>
              <w:t xml:space="preserve"> </w:t>
            </w:r>
            <w:proofErr w:type="spellStart"/>
            <w:r w:rsidRPr="00727BE6">
              <w:rPr>
                <w:rFonts w:ascii="Cambria" w:eastAsia="Calibri" w:hAnsi="Cambria" w:cs="Calibri"/>
              </w:rPr>
              <w:t>kulture</w:t>
            </w:r>
            <w:proofErr w:type="spellEnd"/>
            <w:r w:rsidRPr="00727BE6">
              <w:rPr>
                <w:rFonts w:ascii="Cambria" w:eastAsia="Calibri" w:hAnsi="Cambria" w:cs="Calibri"/>
              </w:rPr>
              <w:t xml:space="preserve"> s </w:t>
            </w:r>
            <w:proofErr w:type="spellStart"/>
            <w:r w:rsidRPr="00727BE6">
              <w:rPr>
                <w:rFonts w:ascii="Cambria" w:eastAsia="Calibri" w:hAnsi="Cambria" w:cs="Calibri"/>
              </w:rPr>
              <w:t>djecom</w:t>
            </w:r>
            <w:proofErr w:type="spellEnd"/>
            <w:r w:rsidRPr="00727BE6">
              <w:rPr>
                <w:rFonts w:ascii="Cambria" w:eastAsia="Calibri" w:hAnsi="Cambria" w:cs="Calibri"/>
              </w:rPr>
              <w:t>.</w:t>
            </w:r>
          </w:p>
        </w:tc>
      </w:tr>
      <w:tr w:rsidR="008345F3" w:rsidRPr="00D0399C" w14:paraId="1FA6AE6F" w14:textId="77777777" w:rsidTr="008345F3">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14A1565C" w14:textId="77777777" w:rsidR="008345F3" w:rsidRPr="00727BE6" w:rsidRDefault="008345F3" w:rsidP="008345F3">
            <w:pPr>
              <w:spacing w:after="0" w:line="240" w:lineRule="atLeast"/>
              <w:jc w:val="both"/>
              <w:rPr>
                <w:rFonts w:ascii="Cambria" w:eastAsia="Calibri" w:hAnsi="Cambria" w:cs="Calibri"/>
              </w:rPr>
            </w:pPr>
            <w:proofErr w:type="spellStart"/>
            <w:r w:rsidRPr="00727BE6">
              <w:rPr>
                <w:rFonts w:ascii="Cambria" w:eastAsia="Calibri" w:hAnsi="Cambria" w:cs="Calibri"/>
              </w:rPr>
              <w:t>Sadržaj</w:t>
            </w:r>
            <w:proofErr w:type="spellEnd"/>
            <w:r w:rsidRPr="00727BE6">
              <w:rPr>
                <w:rFonts w:ascii="Cambria" w:eastAsia="Calibri" w:hAnsi="Cambria" w:cs="Calibri"/>
              </w:rPr>
              <w:t xml:space="preserve"> </w:t>
            </w:r>
            <w:proofErr w:type="spellStart"/>
            <w:r w:rsidRPr="00727BE6">
              <w:rPr>
                <w:rFonts w:ascii="Cambria" w:eastAsia="Calibri" w:hAnsi="Cambria" w:cs="Calibri"/>
              </w:rPr>
              <w:t>kolegija</w:t>
            </w:r>
            <w:proofErr w:type="spellEnd"/>
          </w:p>
        </w:tc>
        <w:tc>
          <w:tcPr>
            <w:tcW w:w="6717"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C7AD128" w14:textId="77777777" w:rsidR="008345F3" w:rsidRPr="00727BE6" w:rsidRDefault="008345F3" w:rsidP="008345F3">
            <w:pPr>
              <w:spacing w:after="0" w:line="240" w:lineRule="atLeast"/>
              <w:jc w:val="both"/>
              <w:rPr>
                <w:rFonts w:ascii="Cambria" w:eastAsia="Calibri" w:hAnsi="Cambria" w:cs="Calibri"/>
                <w:lang w:val="it-IT"/>
              </w:rPr>
            </w:pPr>
            <w:r w:rsidRPr="00727BE6">
              <w:rPr>
                <w:rFonts w:ascii="Cambria" w:eastAsia="Calibri" w:hAnsi="Cambria" w:cs="Calibri"/>
                <w:lang w:val="it-IT"/>
              </w:rPr>
              <w:t xml:space="preserve">1. </w:t>
            </w:r>
            <w:proofErr w:type="spellStart"/>
            <w:r w:rsidRPr="00727BE6">
              <w:rPr>
                <w:rFonts w:ascii="Cambria" w:eastAsia="Calibri" w:hAnsi="Cambria" w:cs="Calibri"/>
                <w:lang w:val="it-IT"/>
              </w:rPr>
              <w:t>Pripremanje</w:t>
            </w:r>
            <w:proofErr w:type="spellEnd"/>
            <w:r w:rsidRPr="00727BE6">
              <w:rPr>
                <w:rFonts w:ascii="Cambria" w:eastAsia="Calibri" w:hAnsi="Cambria" w:cs="Calibri"/>
                <w:lang w:val="it-IT"/>
              </w:rPr>
              <w:t xml:space="preserve"> </w:t>
            </w:r>
            <w:proofErr w:type="spellStart"/>
            <w:r w:rsidRPr="00727BE6">
              <w:rPr>
                <w:rFonts w:ascii="Cambria" w:eastAsia="Calibri" w:hAnsi="Cambria" w:cs="Calibri"/>
                <w:lang w:val="it-IT"/>
              </w:rPr>
              <w:t>nastavnog</w:t>
            </w:r>
            <w:proofErr w:type="spellEnd"/>
            <w:r w:rsidRPr="00727BE6">
              <w:rPr>
                <w:rFonts w:ascii="Cambria" w:eastAsia="Calibri" w:hAnsi="Cambria" w:cs="Calibri"/>
                <w:lang w:val="it-IT"/>
              </w:rPr>
              <w:t xml:space="preserve"> </w:t>
            </w:r>
            <w:proofErr w:type="spellStart"/>
            <w:r w:rsidRPr="00727BE6">
              <w:rPr>
                <w:rFonts w:ascii="Cambria" w:eastAsia="Calibri" w:hAnsi="Cambria" w:cs="Calibri"/>
                <w:lang w:val="it-IT"/>
              </w:rPr>
              <w:t>procesa</w:t>
            </w:r>
            <w:proofErr w:type="spellEnd"/>
            <w:r w:rsidRPr="00727BE6">
              <w:rPr>
                <w:rFonts w:ascii="Cambria" w:eastAsia="Calibri" w:hAnsi="Cambria" w:cs="Calibri"/>
                <w:lang w:val="it-IT"/>
              </w:rPr>
              <w:t xml:space="preserve">: </w:t>
            </w:r>
            <w:proofErr w:type="spellStart"/>
            <w:r w:rsidRPr="00727BE6">
              <w:rPr>
                <w:rFonts w:ascii="Cambria" w:eastAsia="Calibri" w:hAnsi="Cambria" w:cs="Calibri"/>
                <w:lang w:val="it-IT"/>
              </w:rPr>
              <w:t>posebnosti</w:t>
            </w:r>
            <w:proofErr w:type="spellEnd"/>
            <w:r w:rsidRPr="00727BE6">
              <w:rPr>
                <w:rFonts w:ascii="Cambria" w:eastAsia="Calibri" w:hAnsi="Cambria" w:cs="Calibri"/>
                <w:lang w:val="it-IT"/>
              </w:rPr>
              <w:t xml:space="preserve"> rada </w:t>
            </w:r>
            <w:proofErr w:type="spellStart"/>
            <w:r w:rsidRPr="00727BE6">
              <w:rPr>
                <w:rFonts w:ascii="Cambria" w:eastAsia="Calibri" w:hAnsi="Cambria" w:cs="Calibri"/>
                <w:lang w:val="it-IT"/>
              </w:rPr>
              <w:t>na</w:t>
            </w:r>
            <w:proofErr w:type="spellEnd"/>
            <w:r w:rsidRPr="00727BE6">
              <w:rPr>
                <w:rFonts w:ascii="Cambria" w:eastAsia="Calibri" w:hAnsi="Cambria" w:cs="Calibri"/>
                <w:lang w:val="it-IT"/>
              </w:rPr>
              <w:t xml:space="preserve"> </w:t>
            </w:r>
            <w:proofErr w:type="spellStart"/>
            <w:r w:rsidRPr="00727BE6">
              <w:rPr>
                <w:rFonts w:ascii="Cambria" w:eastAsia="Calibri" w:hAnsi="Cambria" w:cs="Calibri"/>
                <w:lang w:val="it-IT"/>
              </w:rPr>
              <w:t>satovima</w:t>
            </w:r>
            <w:proofErr w:type="spellEnd"/>
            <w:r w:rsidRPr="00727BE6">
              <w:rPr>
                <w:rFonts w:ascii="Cambria" w:eastAsia="Calibri" w:hAnsi="Cambria" w:cs="Calibri"/>
                <w:lang w:val="it-IT"/>
              </w:rPr>
              <w:t xml:space="preserve"> </w:t>
            </w:r>
            <w:proofErr w:type="spellStart"/>
            <w:r w:rsidRPr="00727BE6">
              <w:rPr>
                <w:rFonts w:ascii="Cambria" w:eastAsia="Calibri" w:hAnsi="Cambria" w:cs="Calibri"/>
                <w:lang w:val="it-IT"/>
              </w:rPr>
              <w:t>tjelesne</w:t>
            </w:r>
            <w:proofErr w:type="spellEnd"/>
            <w:r w:rsidRPr="00727BE6">
              <w:rPr>
                <w:rFonts w:ascii="Cambria" w:eastAsia="Calibri" w:hAnsi="Cambria" w:cs="Calibri"/>
                <w:lang w:val="it-IT"/>
              </w:rPr>
              <w:t xml:space="preserve"> i </w:t>
            </w:r>
            <w:proofErr w:type="spellStart"/>
            <w:r w:rsidRPr="00727BE6">
              <w:rPr>
                <w:rFonts w:ascii="Cambria" w:eastAsia="Calibri" w:hAnsi="Cambria" w:cs="Calibri"/>
                <w:lang w:val="it-IT"/>
              </w:rPr>
              <w:t>zdravstvene</w:t>
            </w:r>
            <w:proofErr w:type="spellEnd"/>
            <w:r w:rsidRPr="00727BE6">
              <w:rPr>
                <w:rFonts w:ascii="Cambria" w:eastAsia="Calibri" w:hAnsi="Cambria" w:cs="Calibri"/>
                <w:lang w:val="it-IT"/>
              </w:rPr>
              <w:t xml:space="preserve"> </w:t>
            </w:r>
            <w:proofErr w:type="spellStart"/>
            <w:r w:rsidRPr="00727BE6">
              <w:rPr>
                <w:rFonts w:ascii="Cambria" w:eastAsia="Calibri" w:hAnsi="Cambria" w:cs="Calibri"/>
                <w:lang w:val="it-IT"/>
              </w:rPr>
              <w:t>kulture</w:t>
            </w:r>
            <w:proofErr w:type="spellEnd"/>
            <w:r w:rsidRPr="00727BE6">
              <w:rPr>
                <w:rFonts w:ascii="Cambria" w:eastAsia="Calibri" w:hAnsi="Cambria" w:cs="Calibri"/>
                <w:lang w:val="it-IT"/>
              </w:rPr>
              <w:t xml:space="preserve"> </w:t>
            </w:r>
          </w:p>
          <w:p w14:paraId="5EB694D1" w14:textId="77777777" w:rsidR="008345F3" w:rsidRPr="00727BE6" w:rsidRDefault="008345F3" w:rsidP="008345F3">
            <w:pPr>
              <w:spacing w:after="0" w:line="240" w:lineRule="atLeast"/>
              <w:jc w:val="both"/>
              <w:rPr>
                <w:rFonts w:ascii="Cambria" w:eastAsia="Calibri" w:hAnsi="Cambria" w:cs="Calibri"/>
                <w:lang w:val="it-IT"/>
              </w:rPr>
            </w:pPr>
            <w:r w:rsidRPr="00727BE6">
              <w:rPr>
                <w:rFonts w:ascii="Cambria" w:eastAsia="Calibri" w:hAnsi="Cambria" w:cs="Calibri"/>
                <w:lang w:val="it-IT"/>
              </w:rPr>
              <w:t xml:space="preserve">2. </w:t>
            </w:r>
            <w:proofErr w:type="spellStart"/>
            <w:r w:rsidRPr="00727BE6">
              <w:rPr>
                <w:rFonts w:ascii="Cambria" w:eastAsia="Calibri" w:hAnsi="Cambria" w:cs="Calibri"/>
                <w:lang w:val="it-IT"/>
              </w:rPr>
              <w:t>Planiranje</w:t>
            </w:r>
            <w:proofErr w:type="spellEnd"/>
            <w:r w:rsidRPr="00727BE6">
              <w:rPr>
                <w:rFonts w:ascii="Cambria" w:eastAsia="Calibri" w:hAnsi="Cambria" w:cs="Calibri"/>
                <w:lang w:val="it-IT"/>
              </w:rPr>
              <w:t xml:space="preserve"> i </w:t>
            </w:r>
            <w:proofErr w:type="spellStart"/>
            <w:r w:rsidRPr="00727BE6">
              <w:rPr>
                <w:rFonts w:ascii="Cambria" w:eastAsia="Calibri" w:hAnsi="Cambria" w:cs="Calibri"/>
                <w:lang w:val="it-IT"/>
              </w:rPr>
              <w:t>programiranje</w:t>
            </w:r>
            <w:proofErr w:type="spellEnd"/>
            <w:r w:rsidRPr="00727BE6">
              <w:rPr>
                <w:rFonts w:ascii="Cambria" w:eastAsia="Calibri" w:hAnsi="Cambria" w:cs="Calibri"/>
                <w:lang w:val="it-IT"/>
              </w:rPr>
              <w:t xml:space="preserve"> </w:t>
            </w:r>
            <w:proofErr w:type="spellStart"/>
            <w:r w:rsidRPr="00727BE6">
              <w:rPr>
                <w:rFonts w:ascii="Cambria" w:eastAsia="Calibri" w:hAnsi="Cambria" w:cs="Calibri"/>
                <w:lang w:val="it-IT"/>
              </w:rPr>
              <w:t>nastavnog</w:t>
            </w:r>
            <w:proofErr w:type="spellEnd"/>
            <w:r w:rsidRPr="00727BE6">
              <w:rPr>
                <w:rFonts w:ascii="Cambria" w:eastAsia="Calibri" w:hAnsi="Cambria" w:cs="Calibri"/>
                <w:lang w:val="it-IT"/>
              </w:rPr>
              <w:t xml:space="preserve"> </w:t>
            </w:r>
            <w:proofErr w:type="spellStart"/>
            <w:r w:rsidRPr="00727BE6">
              <w:rPr>
                <w:rFonts w:ascii="Cambria" w:eastAsia="Calibri" w:hAnsi="Cambria" w:cs="Calibri"/>
                <w:lang w:val="it-IT"/>
              </w:rPr>
              <w:t>procesa</w:t>
            </w:r>
            <w:proofErr w:type="spellEnd"/>
          </w:p>
          <w:p w14:paraId="1D77F2FD" w14:textId="77777777" w:rsidR="008345F3" w:rsidRPr="00727BE6" w:rsidRDefault="008345F3" w:rsidP="008345F3">
            <w:pPr>
              <w:spacing w:after="0" w:line="240" w:lineRule="atLeast"/>
              <w:jc w:val="both"/>
              <w:rPr>
                <w:rFonts w:ascii="Cambria" w:eastAsia="Calibri" w:hAnsi="Cambria" w:cs="Calibri"/>
                <w:lang w:val="it-IT"/>
              </w:rPr>
            </w:pPr>
            <w:r w:rsidRPr="00727BE6">
              <w:rPr>
                <w:rFonts w:ascii="Cambria" w:eastAsia="Calibri" w:hAnsi="Cambria" w:cs="Calibri"/>
                <w:lang w:val="it-IT"/>
              </w:rPr>
              <w:t xml:space="preserve">3. </w:t>
            </w:r>
            <w:proofErr w:type="spellStart"/>
            <w:r w:rsidRPr="00727BE6">
              <w:rPr>
                <w:rFonts w:ascii="Cambria" w:eastAsia="Calibri" w:hAnsi="Cambria" w:cs="Calibri"/>
                <w:lang w:val="it-IT"/>
              </w:rPr>
              <w:t>Izrada</w:t>
            </w:r>
            <w:proofErr w:type="spellEnd"/>
            <w:r w:rsidRPr="00727BE6">
              <w:rPr>
                <w:rFonts w:ascii="Cambria" w:eastAsia="Calibri" w:hAnsi="Cambria" w:cs="Calibri"/>
                <w:lang w:val="it-IT"/>
              </w:rPr>
              <w:t xml:space="preserve"> </w:t>
            </w:r>
            <w:proofErr w:type="spellStart"/>
            <w:r w:rsidRPr="00727BE6">
              <w:rPr>
                <w:rFonts w:ascii="Cambria" w:eastAsia="Calibri" w:hAnsi="Cambria" w:cs="Calibri"/>
                <w:lang w:val="it-IT"/>
              </w:rPr>
              <w:t>izvedbenog</w:t>
            </w:r>
            <w:proofErr w:type="spellEnd"/>
            <w:r w:rsidRPr="00727BE6">
              <w:rPr>
                <w:rFonts w:ascii="Cambria" w:eastAsia="Calibri" w:hAnsi="Cambria" w:cs="Calibri"/>
                <w:lang w:val="it-IT"/>
              </w:rPr>
              <w:t xml:space="preserve"> </w:t>
            </w:r>
            <w:proofErr w:type="spellStart"/>
            <w:r w:rsidRPr="00727BE6">
              <w:rPr>
                <w:rFonts w:ascii="Cambria" w:eastAsia="Calibri" w:hAnsi="Cambria" w:cs="Calibri"/>
                <w:lang w:val="it-IT"/>
              </w:rPr>
              <w:t>nastavnog</w:t>
            </w:r>
            <w:proofErr w:type="spellEnd"/>
            <w:r w:rsidRPr="00727BE6">
              <w:rPr>
                <w:rFonts w:ascii="Cambria" w:eastAsia="Calibri" w:hAnsi="Cambria" w:cs="Calibri"/>
                <w:lang w:val="it-IT"/>
              </w:rPr>
              <w:t xml:space="preserve"> plana i </w:t>
            </w:r>
            <w:proofErr w:type="spellStart"/>
            <w:r w:rsidRPr="00727BE6">
              <w:rPr>
                <w:rFonts w:ascii="Cambria" w:eastAsia="Calibri" w:hAnsi="Cambria" w:cs="Calibri"/>
                <w:lang w:val="it-IT"/>
              </w:rPr>
              <w:t>programa</w:t>
            </w:r>
            <w:proofErr w:type="spellEnd"/>
            <w:r w:rsidRPr="00727BE6">
              <w:rPr>
                <w:rFonts w:ascii="Cambria" w:eastAsia="Calibri" w:hAnsi="Cambria" w:cs="Calibri"/>
                <w:lang w:val="it-IT"/>
              </w:rPr>
              <w:t xml:space="preserve"> </w:t>
            </w:r>
          </w:p>
          <w:p w14:paraId="1DB19E51" w14:textId="77777777" w:rsidR="008345F3" w:rsidRPr="00727BE6" w:rsidRDefault="008345F3" w:rsidP="008345F3">
            <w:pPr>
              <w:spacing w:after="0" w:line="240" w:lineRule="atLeast"/>
              <w:jc w:val="both"/>
              <w:rPr>
                <w:rFonts w:ascii="Cambria" w:eastAsia="Calibri" w:hAnsi="Cambria" w:cs="Calibri"/>
                <w:lang w:val="it-IT"/>
              </w:rPr>
            </w:pPr>
            <w:r w:rsidRPr="00727BE6">
              <w:rPr>
                <w:rFonts w:ascii="Cambria" w:eastAsia="Calibri" w:hAnsi="Cambria" w:cs="Calibri"/>
                <w:lang w:val="it-IT"/>
              </w:rPr>
              <w:t xml:space="preserve">4. </w:t>
            </w:r>
            <w:proofErr w:type="spellStart"/>
            <w:r w:rsidRPr="00727BE6">
              <w:rPr>
                <w:rFonts w:ascii="Cambria" w:eastAsia="Calibri" w:hAnsi="Cambria" w:cs="Calibri"/>
                <w:lang w:val="it-IT"/>
              </w:rPr>
              <w:t>Dnevna</w:t>
            </w:r>
            <w:proofErr w:type="spellEnd"/>
            <w:r w:rsidRPr="00727BE6">
              <w:rPr>
                <w:rFonts w:ascii="Cambria" w:eastAsia="Calibri" w:hAnsi="Cambria" w:cs="Calibri"/>
                <w:lang w:val="it-IT"/>
              </w:rPr>
              <w:t xml:space="preserve"> </w:t>
            </w:r>
            <w:proofErr w:type="spellStart"/>
            <w:r w:rsidRPr="00727BE6">
              <w:rPr>
                <w:rFonts w:ascii="Cambria" w:eastAsia="Calibri" w:hAnsi="Cambria" w:cs="Calibri"/>
                <w:lang w:val="it-IT"/>
              </w:rPr>
              <w:t>priprema</w:t>
            </w:r>
            <w:proofErr w:type="spellEnd"/>
            <w:r w:rsidRPr="00727BE6">
              <w:rPr>
                <w:rFonts w:ascii="Cambria" w:eastAsia="Calibri" w:hAnsi="Cambria" w:cs="Calibri"/>
                <w:lang w:val="it-IT"/>
              </w:rPr>
              <w:t xml:space="preserve"> za </w:t>
            </w:r>
            <w:proofErr w:type="spellStart"/>
            <w:r w:rsidRPr="00727BE6">
              <w:rPr>
                <w:rFonts w:ascii="Cambria" w:eastAsia="Calibri" w:hAnsi="Cambria" w:cs="Calibri"/>
                <w:lang w:val="it-IT"/>
              </w:rPr>
              <w:t>sat</w:t>
            </w:r>
            <w:proofErr w:type="spellEnd"/>
            <w:r w:rsidRPr="00727BE6">
              <w:rPr>
                <w:rFonts w:ascii="Cambria" w:eastAsia="Calibri" w:hAnsi="Cambria" w:cs="Calibri"/>
                <w:lang w:val="it-IT"/>
              </w:rPr>
              <w:t xml:space="preserve"> </w:t>
            </w:r>
            <w:proofErr w:type="spellStart"/>
            <w:r w:rsidRPr="00727BE6">
              <w:rPr>
                <w:rFonts w:ascii="Cambria" w:eastAsia="Calibri" w:hAnsi="Cambria" w:cs="Calibri"/>
                <w:lang w:val="it-IT"/>
              </w:rPr>
              <w:t>tjelesne</w:t>
            </w:r>
            <w:proofErr w:type="spellEnd"/>
            <w:r w:rsidRPr="00727BE6">
              <w:rPr>
                <w:rFonts w:ascii="Cambria" w:eastAsia="Calibri" w:hAnsi="Cambria" w:cs="Calibri"/>
                <w:lang w:val="it-IT"/>
              </w:rPr>
              <w:t xml:space="preserve"> i </w:t>
            </w:r>
            <w:proofErr w:type="spellStart"/>
            <w:r w:rsidRPr="00727BE6">
              <w:rPr>
                <w:rFonts w:ascii="Cambria" w:eastAsia="Calibri" w:hAnsi="Cambria" w:cs="Calibri"/>
                <w:lang w:val="it-IT"/>
              </w:rPr>
              <w:t>zdravstvene</w:t>
            </w:r>
            <w:proofErr w:type="spellEnd"/>
            <w:r w:rsidRPr="00727BE6">
              <w:rPr>
                <w:rFonts w:ascii="Cambria" w:eastAsia="Calibri" w:hAnsi="Cambria" w:cs="Calibri"/>
                <w:lang w:val="it-IT"/>
              </w:rPr>
              <w:t xml:space="preserve"> </w:t>
            </w:r>
            <w:proofErr w:type="spellStart"/>
            <w:r w:rsidRPr="00727BE6">
              <w:rPr>
                <w:rFonts w:ascii="Cambria" w:eastAsia="Calibri" w:hAnsi="Cambria" w:cs="Calibri"/>
                <w:lang w:val="it-IT"/>
              </w:rPr>
              <w:t>kulture</w:t>
            </w:r>
            <w:proofErr w:type="spellEnd"/>
          </w:p>
          <w:p w14:paraId="42134B10" w14:textId="77777777" w:rsidR="008345F3" w:rsidRPr="00727BE6" w:rsidRDefault="008345F3" w:rsidP="008345F3">
            <w:pPr>
              <w:spacing w:after="0" w:line="240" w:lineRule="atLeast"/>
              <w:jc w:val="both"/>
              <w:rPr>
                <w:rFonts w:ascii="Cambria" w:eastAsia="Calibri" w:hAnsi="Cambria" w:cs="Calibri"/>
                <w:lang w:val="it-IT"/>
              </w:rPr>
            </w:pPr>
            <w:r w:rsidRPr="00727BE6">
              <w:rPr>
                <w:rFonts w:ascii="Cambria" w:eastAsia="Calibri" w:hAnsi="Cambria" w:cs="Calibri"/>
                <w:lang w:val="it-IT"/>
              </w:rPr>
              <w:t xml:space="preserve">5. </w:t>
            </w:r>
            <w:proofErr w:type="spellStart"/>
            <w:r w:rsidRPr="00727BE6">
              <w:rPr>
                <w:rFonts w:ascii="Cambria" w:eastAsia="Calibri" w:hAnsi="Cambria" w:cs="Calibri"/>
                <w:lang w:val="it-IT"/>
              </w:rPr>
              <w:t>Stručna</w:t>
            </w:r>
            <w:proofErr w:type="spellEnd"/>
            <w:r w:rsidRPr="00727BE6">
              <w:rPr>
                <w:rFonts w:ascii="Cambria" w:eastAsia="Calibri" w:hAnsi="Cambria" w:cs="Calibri"/>
                <w:lang w:val="it-IT"/>
              </w:rPr>
              <w:t xml:space="preserve"> </w:t>
            </w:r>
            <w:proofErr w:type="spellStart"/>
            <w:r w:rsidRPr="00727BE6">
              <w:rPr>
                <w:rFonts w:ascii="Cambria" w:eastAsia="Calibri" w:hAnsi="Cambria" w:cs="Calibri"/>
                <w:lang w:val="it-IT"/>
              </w:rPr>
              <w:t>dokumentacija</w:t>
            </w:r>
            <w:proofErr w:type="spellEnd"/>
            <w:r w:rsidRPr="00727BE6">
              <w:rPr>
                <w:rFonts w:ascii="Cambria" w:eastAsia="Calibri" w:hAnsi="Cambria" w:cs="Calibri"/>
                <w:lang w:val="it-IT"/>
              </w:rPr>
              <w:t xml:space="preserve"> te </w:t>
            </w:r>
            <w:proofErr w:type="spellStart"/>
            <w:r w:rsidRPr="00727BE6">
              <w:rPr>
                <w:rFonts w:ascii="Cambria" w:eastAsia="Calibri" w:hAnsi="Cambria" w:cs="Calibri"/>
                <w:lang w:val="it-IT"/>
              </w:rPr>
              <w:t>vrednovanje</w:t>
            </w:r>
            <w:proofErr w:type="spellEnd"/>
            <w:r w:rsidRPr="00727BE6">
              <w:rPr>
                <w:rFonts w:ascii="Cambria" w:eastAsia="Calibri" w:hAnsi="Cambria" w:cs="Calibri"/>
                <w:lang w:val="it-IT"/>
              </w:rPr>
              <w:t xml:space="preserve"> </w:t>
            </w:r>
            <w:proofErr w:type="spellStart"/>
            <w:r w:rsidRPr="00727BE6">
              <w:rPr>
                <w:rFonts w:ascii="Cambria" w:eastAsia="Calibri" w:hAnsi="Cambria" w:cs="Calibri"/>
                <w:lang w:val="it-IT"/>
              </w:rPr>
              <w:t>odgojno-obrazovnog</w:t>
            </w:r>
            <w:proofErr w:type="spellEnd"/>
            <w:r w:rsidRPr="00727BE6">
              <w:rPr>
                <w:rFonts w:ascii="Cambria" w:eastAsia="Calibri" w:hAnsi="Cambria" w:cs="Calibri"/>
                <w:lang w:val="it-IT"/>
              </w:rPr>
              <w:t xml:space="preserve"> rada</w:t>
            </w:r>
          </w:p>
          <w:p w14:paraId="79338325" w14:textId="77777777" w:rsidR="008345F3" w:rsidRPr="00727BE6" w:rsidRDefault="008345F3" w:rsidP="008345F3">
            <w:pPr>
              <w:spacing w:after="0" w:line="240" w:lineRule="atLeast"/>
              <w:jc w:val="both"/>
              <w:rPr>
                <w:rFonts w:ascii="Cambria" w:eastAsia="Calibri" w:hAnsi="Cambria" w:cs="Calibri"/>
                <w:lang w:val="it-IT"/>
              </w:rPr>
            </w:pPr>
            <w:r w:rsidRPr="00727BE6">
              <w:rPr>
                <w:rFonts w:ascii="Cambria" w:eastAsia="Calibri" w:hAnsi="Cambria" w:cs="Calibri"/>
                <w:lang w:val="it-IT"/>
              </w:rPr>
              <w:t xml:space="preserve">6. </w:t>
            </w:r>
            <w:proofErr w:type="spellStart"/>
            <w:r w:rsidRPr="00727BE6">
              <w:rPr>
                <w:rFonts w:ascii="Cambria" w:eastAsia="Calibri" w:hAnsi="Cambria" w:cs="Calibri"/>
                <w:lang w:val="it-IT"/>
              </w:rPr>
              <w:t>Praćenje</w:t>
            </w:r>
            <w:proofErr w:type="spellEnd"/>
            <w:r w:rsidRPr="00727BE6">
              <w:rPr>
                <w:rFonts w:ascii="Cambria" w:eastAsia="Calibri" w:hAnsi="Cambria" w:cs="Calibri"/>
                <w:lang w:val="it-IT"/>
              </w:rPr>
              <w:t xml:space="preserve"> i </w:t>
            </w:r>
            <w:proofErr w:type="spellStart"/>
            <w:r w:rsidRPr="00727BE6">
              <w:rPr>
                <w:rFonts w:ascii="Cambria" w:eastAsia="Calibri" w:hAnsi="Cambria" w:cs="Calibri"/>
                <w:lang w:val="it-IT"/>
              </w:rPr>
              <w:t>provjeravanje</w:t>
            </w:r>
            <w:proofErr w:type="spellEnd"/>
            <w:r w:rsidRPr="00727BE6">
              <w:rPr>
                <w:rFonts w:ascii="Cambria" w:eastAsia="Calibri" w:hAnsi="Cambria" w:cs="Calibri"/>
                <w:lang w:val="it-IT"/>
              </w:rPr>
              <w:t xml:space="preserve"> </w:t>
            </w:r>
            <w:proofErr w:type="spellStart"/>
            <w:r w:rsidRPr="00727BE6">
              <w:rPr>
                <w:rFonts w:ascii="Cambria" w:eastAsia="Calibri" w:hAnsi="Cambria" w:cs="Calibri"/>
                <w:lang w:val="it-IT"/>
              </w:rPr>
              <w:t>učenikovog</w:t>
            </w:r>
            <w:proofErr w:type="spellEnd"/>
            <w:r w:rsidRPr="00727BE6">
              <w:rPr>
                <w:rFonts w:ascii="Cambria" w:eastAsia="Calibri" w:hAnsi="Cambria" w:cs="Calibri"/>
                <w:lang w:val="it-IT"/>
              </w:rPr>
              <w:t xml:space="preserve"> </w:t>
            </w:r>
            <w:proofErr w:type="spellStart"/>
            <w:r w:rsidRPr="00727BE6">
              <w:rPr>
                <w:rFonts w:ascii="Cambria" w:eastAsia="Calibri" w:hAnsi="Cambria" w:cs="Calibri"/>
                <w:lang w:val="it-IT"/>
              </w:rPr>
              <w:t>odgojno-obrazovnog</w:t>
            </w:r>
            <w:proofErr w:type="spellEnd"/>
            <w:r w:rsidRPr="00727BE6">
              <w:rPr>
                <w:rFonts w:ascii="Cambria" w:eastAsia="Calibri" w:hAnsi="Cambria" w:cs="Calibri"/>
                <w:lang w:val="it-IT"/>
              </w:rPr>
              <w:t xml:space="preserve"> rada</w:t>
            </w:r>
          </w:p>
          <w:p w14:paraId="483B1695" w14:textId="77777777" w:rsidR="008345F3" w:rsidRPr="00727BE6" w:rsidRDefault="008345F3" w:rsidP="008345F3">
            <w:pPr>
              <w:spacing w:after="0" w:line="240" w:lineRule="atLeast"/>
              <w:jc w:val="both"/>
              <w:rPr>
                <w:rFonts w:ascii="Cambria" w:eastAsia="Calibri" w:hAnsi="Cambria" w:cs="Calibri"/>
                <w:lang w:val="it-IT"/>
              </w:rPr>
            </w:pPr>
            <w:r w:rsidRPr="00727BE6">
              <w:rPr>
                <w:rFonts w:ascii="Cambria" w:eastAsia="Calibri" w:hAnsi="Cambria" w:cs="Calibri"/>
                <w:lang w:val="it-IT"/>
              </w:rPr>
              <w:t xml:space="preserve">7. </w:t>
            </w:r>
            <w:proofErr w:type="spellStart"/>
            <w:r w:rsidRPr="00727BE6">
              <w:rPr>
                <w:rFonts w:ascii="Cambria" w:eastAsia="Calibri" w:hAnsi="Cambria" w:cs="Calibri"/>
                <w:lang w:val="it-IT"/>
              </w:rPr>
              <w:t>Ocjenjivanje</w:t>
            </w:r>
            <w:proofErr w:type="spellEnd"/>
            <w:r w:rsidRPr="00727BE6">
              <w:rPr>
                <w:rFonts w:ascii="Cambria" w:eastAsia="Calibri" w:hAnsi="Cambria" w:cs="Calibri"/>
                <w:lang w:val="it-IT"/>
              </w:rPr>
              <w:t xml:space="preserve">: elementi </w:t>
            </w:r>
            <w:proofErr w:type="spellStart"/>
            <w:r w:rsidRPr="00727BE6">
              <w:rPr>
                <w:rFonts w:ascii="Cambria" w:eastAsia="Calibri" w:hAnsi="Cambria" w:cs="Calibri"/>
                <w:lang w:val="it-IT"/>
              </w:rPr>
              <w:t>provjeravanja</w:t>
            </w:r>
            <w:proofErr w:type="spellEnd"/>
            <w:r w:rsidRPr="00727BE6">
              <w:rPr>
                <w:rFonts w:ascii="Cambria" w:eastAsia="Calibri" w:hAnsi="Cambria" w:cs="Calibri"/>
                <w:lang w:val="it-IT"/>
              </w:rPr>
              <w:t xml:space="preserve"> i </w:t>
            </w:r>
            <w:proofErr w:type="spellStart"/>
            <w:r w:rsidRPr="00727BE6">
              <w:rPr>
                <w:rFonts w:ascii="Cambria" w:eastAsia="Calibri" w:hAnsi="Cambria" w:cs="Calibri"/>
                <w:lang w:val="it-IT"/>
              </w:rPr>
              <w:t>ocjenjivanja</w:t>
            </w:r>
            <w:proofErr w:type="spellEnd"/>
          </w:p>
          <w:p w14:paraId="1DDE1A96" w14:textId="77777777" w:rsidR="008345F3" w:rsidRPr="00727BE6" w:rsidRDefault="008345F3" w:rsidP="008345F3">
            <w:pPr>
              <w:spacing w:after="0" w:line="240" w:lineRule="atLeast"/>
              <w:jc w:val="both"/>
              <w:rPr>
                <w:rFonts w:ascii="Cambria" w:eastAsia="Calibri" w:hAnsi="Cambria" w:cs="Calibri"/>
                <w:lang w:val="it-IT"/>
              </w:rPr>
            </w:pPr>
            <w:r w:rsidRPr="00727BE6">
              <w:rPr>
                <w:rFonts w:ascii="Cambria" w:eastAsia="Calibri" w:hAnsi="Cambria" w:cs="Calibri"/>
                <w:lang w:val="it-IT"/>
              </w:rPr>
              <w:t xml:space="preserve">8. </w:t>
            </w:r>
            <w:proofErr w:type="spellStart"/>
            <w:r w:rsidRPr="00727BE6">
              <w:rPr>
                <w:rFonts w:ascii="Cambria" w:eastAsia="Calibri" w:hAnsi="Cambria" w:cs="Calibri"/>
                <w:lang w:val="it-IT"/>
              </w:rPr>
              <w:t>Učenici</w:t>
            </w:r>
            <w:proofErr w:type="spellEnd"/>
            <w:r w:rsidRPr="00727BE6">
              <w:rPr>
                <w:rFonts w:ascii="Cambria" w:eastAsia="Calibri" w:hAnsi="Cambria" w:cs="Calibri"/>
                <w:lang w:val="it-IT"/>
              </w:rPr>
              <w:t xml:space="preserve"> s </w:t>
            </w:r>
            <w:proofErr w:type="spellStart"/>
            <w:r w:rsidRPr="00727BE6">
              <w:rPr>
                <w:rFonts w:ascii="Cambria" w:eastAsia="Calibri" w:hAnsi="Cambria" w:cs="Calibri"/>
                <w:lang w:val="it-IT"/>
              </w:rPr>
              <w:t>posebnim</w:t>
            </w:r>
            <w:proofErr w:type="spellEnd"/>
            <w:r w:rsidRPr="00727BE6">
              <w:rPr>
                <w:rFonts w:ascii="Cambria" w:eastAsia="Calibri" w:hAnsi="Cambria" w:cs="Calibri"/>
                <w:lang w:val="it-IT"/>
              </w:rPr>
              <w:t xml:space="preserve"> </w:t>
            </w:r>
            <w:proofErr w:type="spellStart"/>
            <w:r w:rsidRPr="00727BE6">
              <w:rPr>
                <w:rFonts w:ascii="Cambria" w:eastAsia="Calibri" w:hAnsi="Cambria" w:cs="Calibri"/>
                <w:lang w:val="it-IT"/>
              </w:rPr>
              <w:t>odgojno-obrazovnim</w:t>
            </w:r>
            <w:proofErr w:type="spellEnd"/>
            <w:r w:rsidRPr="00727BE6">
              <w:rPr>
                <w:rFonts w:ascii="Cambria" w:eastAsia="Calibri" w:hAnsi="Cambria" w:cs="Calibri"/>
                <w:lang w:val="it-IT"/>
              </w:rPr>
              <w:t xml:space="preserve"> </w:t>
            </w:r>
            <w:proofErr w:type="spellStart"/>
            <w:r w:rsidRPr="00727BE6">
              <w:rPr>
                <w:rFonts w:ascii="Cambria" w:eastAsia="Calibri" w:hAnsi="Cambria" w:cs="Calibri"/>
                <w:lang w:val="it-IT"/>
              </w:rPr>
              <w:t>potrebama</w:t>
            </w:r>
            <w:proofErr w:type="spellEnd"/>
            <w:r w:rsidRPr="00727BE6">
              <w:rPr>
                <w:rFonts w:ascii="Cambria" w:eastAsia="Calibri" w:hAnsi="Cambria" w:cs="Calibri"/>
                <w:lang w:val="it-IT"/>
              </w:rPr>
              <w:t xml:space="preserve"> </w:t>
            </w:r>
          </w:p>
          <w:p w14:paraId="6CAEB8C4" w14:textId="77777777" w:rsidR="008345F3" w:rsidRPr="00727BE6" w:rsidRDefault="008345F3" w:rsidP="008345F3">
            <w:pPr>
              <w:spacing w:after="0" w:line="240" w:lineRule="atLeast"/>
              <w:jc w:val="both"/>
              <w:rPr>
                <w:rFonts w:ascii="Cambria" w:eastAsia="Calibri" w:hAnsi="Cambria" w:cs="Calibri"/>
                <w:lang w:val="it-IT"/>
              </w:rPr>
            </w:pPr>
            <w:r w:rsidRPr="00727BE6">
              <w:rPr>
                <w:rFonts w:ascii="Cambria" w:eastAsia="Calibri" w:hAnsi="Cambria" w:cs="Calibri"/>
                <w:lang w:val="it-IT"/>
              </w:rPr>
              <w:lastRenderedPageBreak/>
              <w:t xml:space="preserve">9. </w:t>
            </w:r>
            <w:proofErr w:type="spellStart"/>
            <w:r w:rsidRPr="00727BE6">
              <w:rPr>
                <w:rFonts w:ascii="Cambria" w:eastAsia="Calibri" w:hAnsi="Cambria" w:cs="Calibri"/>
                <w:lang w:val="it-IT"/>
              </w:rPr>
              <w:t>Kineziološke</w:t>
            </w:r>
            <w:proofErr w:type="spellEnd"/>
            <w:r w:rsidRPr="00727BE6">
              <w:rPr>
                <w:rFonts w:ascii="Cambria" w:eastAsia="Calibri" w:hAnsi="Cambria" w:cs="Calibri"/>
                <w:lang w:val="it-IT"/>
              </w:rPr>
              <w:t xml:space="preserve"> </w:t>
            </w:r>
            <w:proofErr w:type="spellStart"/>
            <w:r w:rsidRPr="00727BE6">
              <w:rPr>
                <w:rFonts w:ascii="Cambria" w:eastAsia="Calibri" w:hAnsi="Cambria" w:cs="Calibri"/>
                <w:lang w:val="it-IT"/>
              </w:rPr>
              <w:t>posebnosti</w:t>
            </w:r>
            <w:proofErr w:type="spellEnd"/>
            <w:r w:rsidRPr="00727BE6">
              <w:rPr>
                <w:rFonts w:ascii="Cambria" w:eastAsia="Calibri" w:hAnsi="Cambria" w:cs="Calibri"/>
                <w:lang w:val="it-IT"/>
              </w:rPr>
              <w:t xml:space="preserve"> </w:t>
            </w:r>
            <w:proofErr w:type="spellStart"/>
            <w:r w:rsidRPr="00727BE6">
              <w:rPr>
                <w:rFonts w:ascii="Cambria" w:eastAsia="Calibri" w:hAnsi="Cambria" w:cs="Calibri"/>
                <w:lang w:val="it-IT"/>
              </w:rPr>
              <w:t>odgojnog</w:t>
            </w:r>
            <w:proofErr w:type="spellEnd"/>
            <w:r w:rsidRPr="00727BE6">
              <w:rPr>
                <w:rFonts w:ascii="Cambria" w:eastAsia="Calibri" w:hAnsi="Cambria" w:cs="Calibri"/>
                <w:lang w:val="it-IT"/>
              </w:rPr>
              <w:t xml:space="preserve"> rada</w:t>
            </w:r>
          </w:p>
          <w:p w14:paraId="05F333F6" w14:textId="77777777" w:rsidR="008345F3" w:rsidRPr="00727BE6" w:rsidRDefault="008345F3" w:rsidP="008345F3">
            <w:pPr>
              <w:spacing w:after="0" w:line="240" w:lineRule="atLeast"/>
              <w:jc w:val="both"/>
              <w:rPr>
                <w:rFonts w:ascii="Cambria" w:eastAsia="Calibri" w:hAnsi="Cambria" w:cs="Calibri"/>
                <w:lang w:val="it-IT"/>
              </w:rPr>
            </w:pPr>
            <w:r w:rsidRPr="00727BE6">
              <w:rPr>
                <w:rFonts w:ascii="Cambria" w:eastAsia="Calibri" w:hAnsi="Cambria" w:cs="Calibri"/>
                <w:lang w:val="it-IT"/>
              </w:rPr>
              <w:t xml:space="preserve">10. </w:t>
            </w:r>
            <w:proofErr w:type="spellStart"/>
            <w:r w:rsidRPr="00727BE6">
              <w:rPr>
                <w:rFonts w:ascii="Cambria" w:eastAsia="Calibri" w:hAnsi="Cambria" w:cs="Calibri"/>
                <w:lang w:val="it-IT"/>
              </w:rPr>
              <w:t>Prostori</w:t>
            </w:r>
            <w:proofErr w:type="spellEnd"/>
            <w:r w:rsidRPr="00727BE6">
              <w:rPr>
                <w:rFonts w:ascii="Cambria" w:eastAsia="Calibri" w:hAnsi="Cambria" w:cs="Calibri"/>
                <w:lang w:val="it-IT"/>
              </w:rPr>
              <w:t xml:space="preserve"> i </w:t>
            </w:r>
            <w:proofErr w:type="spellStart"/>
            <w:r w:rsidRPr="00727BE6">
              <w:rPr>
                <w:rFonts w:ascii="Cambria" w:eastAsia="Calibri" w:hAnsi="Cambria" w:cs="Calibri"/>
                <w:lang w:val="it-IT"/>
              </w:rPr>
              <w:t>oprema</w:t>
            </w:r>
            <w:proofErr w:type="spellEnd"/>
            <w:r w:rsidRPr="00727BE6">
              <w:rPr>
                <w:rFonts w:ascii="Cambria" w:eastAsia="Calibri" w:hAnsi="Cambria" w:cs="Calibri"/>
                <w:lang w:val="it-IT"/>
              </w:rPr>
              <w:t xml:space="preserve"> za </w:t>
            </w:r>
            <w:proofErr w:type="spellStart"/>
            <w:r w:rsidRPr="00727BE6">
              <w:rPr>
                <w:rFonts w:ascii="Cambria" w:eastAsia="Calibri" w:hAnsi="Cambria" w:cs="Calibri"/>
                <w:lang w:val="it-IT"/>
              </w:rPr>
              <w:t>tjelesnu</w:t>
            </w:r>
            <w:proofErr w:type="spellEnd"/>
            <w:r w:rsidRPr="00727BE6">
              <w:rPr>
                <w:rFonts w:ascii="Cambria" w:eastAsia="Calibri" w:hAnsi="Cambria" w:cs="Calibri"/>
                <w:lang w:val="it-IT"/>
              </w:rPr>
              <w:t xml:space="preserve"> i </w:t>
            </w:r>
            <w:proofErr w:type="spellStart"/>
            <w:r w:rsidRPr="00727BE6">
              <w:rPr>
                <w:rFonts w:ascii="Cambria" w:eastAsia="Calibri" w:hAnsi="Cambria" w:cs="Calibri"/>
                <w:lang w:val="it-IT"/>
              </w:rPr>
              <w:t>zdravstvenu</w:t>
            </w:r>
            <w:proofErr w:type="spellEnd"/>
            <w:r w:rsidRPr="00727BE6">
              <w:rPr>
                <w:rFonts w:ascii="Cambria" w:eastAsia="Calibri" w:hAnsi="Cambria" w:cs="Calibri"/>
                <w:lang w:val="it-IT"/>
              </w:rPr>
              <w:t xml:space="preserve"> </w:t>
            </w:r>
            <w:proofErr w:type="spellStart"/>
            <w:r w:rsidRPr="00727BE6">
              <w:rPr>
                <w:rFonts w:ascii="Cambria" w:eastAsia="Calibri" w:hAnsi="Cambria" w:cs="Calibri"/>
                <w:lang w:val="it-IT"/>
              </w:rPr>
              <w:t>kulturu</w:t>
            </w:r>
            <w:proofErr w:type="spellEnd"/>
            <w:r w:rsidRPr="00727BE6">
              <w:rPr>
                <w:rFonts w:ascii="Cambria" w:eastAsia="Calibri" w:hAnsi="Cambria" w:cs="Calibri"/>
                <w:lang w:val="it-IT"/>
              </w:rPr>
              <w:t xml:space="preserve"> </w:t>
            </w:r>
          </w:p>
          <w:p w14:paraId="5E1D287A" w14:textId="77777777" w:rsidR="008345F3" w:rsidRPr="00727BE6" w:rsidRDefault="008345F3" w:rsidP="008345F3">
            <w:pPr>
              <w:spacing w:after="0" w:line="240" w:lineRule="atLeast"/>
              <w:jc w:val="both"/>
              <w:rPr>
                <w:rFonts w:ascii="Cambria" w:eastAsia="Calibri" w:hAnsi="Cambria" w:cs="Calibri"/>
                <w:lang w:val="it-IT"/>
              </w:rPr>
            </w:pPr>
            <w:r w:rsidRPr="00727BE6">
              <w:rPr>
                <w:rFonts w:ascii="Cambria" w:eastAsia="Calibri" w:hAnsi="Cambria" w:cs="Calibri"/>
                <w:lang w:val="it-IT"/>
              </w:rPr>
              <w:t xml:space="preserve">11. </w:t>
            </w:r>
            <w:proofErr w:type="spellStart"/>
            <w:r w:rsidRPr="00727BE6">
              <w:rPr>
                <w:rFonts w:ascii="Cambria" w:eastAsia="Calibri" w:hAnsi="Cambria" w:cs="Calibri"/>
                <w:lang w:val="it-IT"/>
              </w:rPr>
              <w:t>Izrada</w:t>
            </w:r>
            <w:proofErr w:type="spellEnd"/>
            <w:r w:rsidRPr="00727BE6">
              <w:rPr>
                <w:rFonts w:ascii="Cambria" w:eastAsia="Calibri" w:hAnsi="Cambria" w:cs="Calibri"/>
                <w:lang w:val="it-IT"/>
              </w:rPr>
              <w:t xml:space="preserve"> </w:t>
            </w:r>
            <w:proofErr w:type="spellStart"/>
            <w:r w:rsidRPr="00727BE6">
              <w:rPr>
                <w:rFonts w:ascii="Cambria" w:eastAsia="Calibri" w:hAnsi="Cambria" w:cs="Calibri"/>
                <w:lang w:val="it-IT"/>
              </w:rPr>
              <w:t>izvedbenog</w:t>
            </w:r>
            <w:proofErr w:type="spellEnd"/>
            <w:r w:rsidRPr="00727BE6">
              <w:rPr>
                <w:rFonts w:ascii="Cambria" w:eastAsia="Calibri" w:hAnsi="Cambria" w:cs="Calibri"/>
                <w:lang w:val="it-IT"/>
              </w:rPr>
              <w:t xml:space="preserve"> plana i </w:t>
            </w:r>
            <w:proofErr w:type="spellStart"/>
            <w:r w:rsidRPr="00727BE6">
              <w:rPr>
                <w:rFonts w:ascii="Cambria" w:eastAsia="Calibri" w:hAnsi="Cambria" w:cs="Calibri"/>
                <w:lang w:val="it-IT"/>
              </w:rPr>
              <w:t>programa</w:t>
            </w:r>
            <w:proofErr w:type="spellEnd"/>
            <w:r w:rsidRPr="00727BE6">
              <w:rPr>
                <w:rFonts w:ascii="Cambria" w:eastAsia="Calibri" w:hAnsi="Cambria" w:cs="Calibri"/>
                <w:lang w:val="it-IT"/>
              </w:rPr>
              <w:t xml:space="preserve"> </w:t>
            </w:r>
            <w:proofErr w:type="spellStart"/>
            <w:r w:rsidRPr="00727BE6">
              <w:rPr>
                <w:rFonts w:ascii="Cambria" w:eastAsia="Calibri" w:hAnsi="Cambria" w:cs="Calibri"/>
                <w:lang w:val="it-IT"/>
              </w:rPr>
              <w:t>tjelesne</w:t>
            </w:r>
            <w:proofErr w:type="spellEnd"/>
            <w:r w:rsidRPr="00727BE6">
              <w:rPr>
                <w:rFonts w:ascii="Cambria" w:eastAsia="Calibri" w:hAnsi="Cambria" w:cs="Calibri"/>
                <w:lang w:val="it-IT"/>
              </w:rPr>
              <w:t xml:space="preserve"> i </w:t>
            </w:r>
            <w:proofErr w:type="spellStart"/>
            <w:r w:rsidRPr="00727BE6">
              <w:rPr>
                <w:rFonts w:ascii="Cambria" w:eastAsia="Calibri" w:hAnsi="Cambria" w:cs="Calibri"/>
                <w:lang w:val="it-IT"/>
              </w:rPr>
              <w:t>zdravstvene</w:t>
            </w:r>
            <w:proofErr w:type="spellEnd"/>
            <w:r w:rsidRPr="00727BE6">
              <w:rPr>
                <w:rFonts w:ascii="Cambria" w:eastAsia="Calibri" w:hAnsi="Cambria" w:cs="Calibri"/>
                <w:lang w:val="it-IT"/>
              </w:rPr>
              <w:t xml:space="preserve"> </w:t>
            </w:r>
            <w:proofErr w:type="spellStart"/>
            <w:r w:rsidRPr="00727BE6">
              <w:rPr>
                <w:rFonts w:ascii="Cambria" w:eastAsia="Calibri" w:hAnsi="Cambria" w:cs="Calibri"/>
                <w:lang w:val="it-IT"/>
              </w:rPr>
              <w:t>kulture</w:t>
            </w:r>
            <w:proofErr w:type="spellEnd"/>
            <w:r w:rsidRPr="00727BE6">
              <w:rPr>
                <w:rFonts w:ascii="Cambria" w:eastAsia="Calibri" w:hAnsi="Cambria" w:cs="Calibri"/>
                <w:lang w:val="it-IT"/>
              </w:rPr>
              <w:t xml:space="preserve"> za </w:t>
            </w:r>
            <w:proofErr w:type="spellStart"/>
            <w:r w:rsidRPr="00727BE6">
              <w:rPr>
                <w:rFonts w:ascii="Cambria" w:eastAsia="Calibri" w:hAnsi="Cambria" w:cs="Calibri"/>
                <w:lang w:val="it-IT"/>
              </w:rPr>
              <w:t>jedan</w:t>
            </w:r>
            <w:proofErr w:type="spellEnd"/>
            <w:r w:rsidRPr="00727BE6">
              <w:rPr>
                <w:rFonts w:ascii="Cambria" w:eastAsia="Calibri" w:hAnsi="Cambria" w:cs="Calibri"/>
                <w:lang w:val="it-IT"/>
              </w:rPr>
              <w:t xml:space="preserve"> </w:t>
            </w:r>
            <w:proofErr w:type="spellStart"/>
            <w:r w:rsidRPr="00727BE6">
              <w:rPr>
                <w:rFonts w:ascii="Cambria" w:eastAsia="Calibri" w:hAnsi="Cambria" w:cs="Calibri"/>
                <w:lang w:val="it-IT"/>
              </w:rPr>
              <w:t>razred</w:t>
            </w:r>
            <w:proofErr w:type="spellEnd"/>
            <w:r w:rsidRPr="00727BE6">
              <w:rPr>
                <w:rFonts w:ascii="Cambria" w:eastAsia="Calibri" w:hAnsi="Cambria" w:cs="Calibri"/>
                <w:lang w:val="it-IT"/>
              </w:rPr>
              <w:t xml:space="preserve"> </w:t>
            </w:r>
            <w:proofErr w:type="spellStart"/>
            <w:r w:rsidRPr="00727BE6">
              <w:rPr>
                <w:rFonts w:ascii="Cambria" w:eastAsia="Calibri" w:hAnsi="Cambria" w:cs="Calibri"/>
                <w:lang w:val="it-IT"/>
              </w:rPr>
              <w:t>osnovne</w:t>
            </w:r>
            <w:proofErr w:type="spellEnd"/>
            <w:r w:rsidRPr="00727BE6">
              <w:rPr>
                <w:rFonts w:ascii="Cambria" w:eastAsia="Calibri" w:hAnsi="Cambria" w:cs="Calibri"/>
                <w:lang w:val="it-IT"/>
              </w:rPr>
              <w:t xml:space="preserve"> </w:t>
            </w:r>
            <w:proofErr w:type="spellStart"/>
            <w:r w:rsidRPr="00727BE6">
              <w:rPr>
                <w:rFonts w:ascii="Cambria" w:eastAsia="Calibri" w:hAnsi="Cambria" w:cs="Calibri"/>
                <w:lang w:val="it-IT"/>
              </w:rPr>
              <w:t>škole</w:t>
            </w:r>
            <w:proofErr w:type="spellEnd"/>
          </w:p>
        </w:tc>
      </w:tr>
      <w:tr w:rsidR="008345F3" w:rsidRPr="00963BC1" w14:paraId="22FB49CC" w14:textId="77777777" w:rsidTr="008345F3">
        <w:tc>
          <w:tcPr>
            <w:tcW w:w="2623"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hideMark/>
          </w:tcPr>
          <w:p w14:paraId="587E9132" w14:textId="77777777" w:rsidR="008345F3" w:rsidRPr="00727BE6" w:rsidRDefault="008345F3" w:rsidP="008345F3">
            <w:pPr>
              <w:spacing w:after="0" w:line="240" w:lineRule="atLeast"/>
              <w:jc w:val="both"/>
              <w:rPr>
                <w:rFonts w:ascii="Cambria" w:eastAsia="Calibri" w:hAnsi="Cambria" w:cs="Calibri"/>
                <w:lang w:val="it-IT"/>
              </w:rPr>
            </w:pPr>
            <w:proofErr w:type="spellStart"/>
            <w:r w:rsidRPr="00727BE6">
              <w:rPr>
                <w:rFonts w:ascii="Cambria" w:eastAsia="Calibri" w:hAnsi="Cambria" w:cs="Calibri"/>
                <w:lang w:val="it-IT"/>
              </w:rPr>
              <w:lastRenderedPageBreak/>
              <w:t>Planirane</w:t>
            </w:r>
            <w:proofErr w:type="spellEnd"/>
            <w:r w:rsidRPr="00727BE6">
              <w:rPr>
                <w:rFonts w:ascii="Cambria" w:eastAsia="Calibri" w:hAnsi="Cambria" w:cs="Calibri"/>
                <w:lang w:val="it-IT"/>
              </w:rPr>
              <w:t xml:space="preserve"> </w:t>
            </w:r>
            <w:proofErr w:type="spellStart"/>
            <w:r w:rsidRPr="00727BE6">
              <w:rPr>
                <w:rFonts w:ascii="Cambria" w:eastAsia="Calibri" w:hAnsi="Cambria" w:cs="Calibri"/>
                <w:lang w:val="it-IT"/>
              </w:rPr>
              <w:t>aktivnosti</w:t>
            </w:r>
            <w:proofErr w:type="spellEnd"/>
            <w:r w:rsidRPr="00727BE6">
              <w:rPr>
                <w:rFonts w:ascii="Cambria" w:eastAsia="Calibri" w:hAnsi="Cambria" w:cs="Calibri"/>
                <w:lang w:val="it-IT"/>
              </w:rPr>
              <w:t>,</w:t>
            </w:r>
          </w:p>
          <w:p w14:paraId="0A94FFD6" w14:textId="77777777" w:rsidR="008345F3" w:rsidRPr="00727BE6" w:rsidRDefault="008345F3" w:rsidP="000053D1">
            <w:pPr>
              <w:spacing w:after="0" w:line="240" w:lineRule="atLeast"/>
              <w:rPr>
                <w:rFonts w:ascii="Cambria" w:eastAsia="Calibri" w:hAnsi="Cambria" w:cs="Calibri"/>
                <w:lang w:val="it-IT"/>
              </w:rPr>
            </w:pPr>
            <w:proofErr w:type="spellStart"/>
            <w:r w:rsidRPr="00727BE6">
              <w:rPr>
                <w:rFonts w:ascii="Cambria" w:eastAsia="Calibri" w:hAnsi="Cambria" w:cs="Calibri"/>
                <w:lang w:val="it-IT"/>
              </w:rPr>
              <w:t>metode</w:t>
            </w:r>
            <w:proofErr w:type="spellEnd"/>
            <w:r w:rsidRPr="00727BE6">
              <w:rPr>
                <w:rFonts w:ascii="Cambria" w:eastAsia="Calibri" w:hAnsi="Cambria" w:cs="Calibri"/>
                <w:lang w:val="it-IT"/>
              </w:rPr>
              <w:t xml:space="preserve"> </w:t>
            </w:r>
            <w:proofErr w:type="spellStart"/>
            <w:r w:rsidRPr="00727BE6">
              <w:rPr>
                <w:rFonts w:ascii="Cambria" w:eastAsia="Calibri" w:hAnsi="Cambria" w:cs="Calibri"/>
                <w:lang w:val="it-IT"/>
              </w:rPr>
              <w:t>učenja</w:t>
            </w:r>
            <w:proofErr w:type="spellEnd"/>
            <w:r w:rsidRPr="00727BE6">
              <w:rPr>
                <w:rFonts w:ascii="Cambria" w:eastAsia="Calibri" w:hAnsi="Cambria" w:cs="Calibri"/>
                <w:lang w:val="it-IT"/>
              </w:rPr>
              <w:t xml:space="preserve"> i </w:t>
            </w:r>
            <w:proofErr w:type="spellStart"/>
            <w:r w:rsidRPr="00727BE6">
              <w:rPr>
                <w:rFonts w:ascii="Cambria" w:eastAsia="Calibri" w:hAnsi="Cambria" w:cs="Calibri"/>
                <w:lang w:val="it-IT"/>
              </w:rPr>
              <w:t>poučavanja</w:t>
            </w:r>
            <w:proofErr w:type="spellEnd"/>
            <w:r w:rsidRPr="00727BE6">
              <w:rPr>
                <w:rFonts w:ascii="Cambria" w:eastAsia="Calibri" w:hAnsi="Cambria" w:cs="Calibri"/>
                <w:lang w:val="it-IT"/>
              </w:rPr>
              <w:t xml:space="preserve"> i </w:t>
            </w:r>
            <w:proofErr w:type="spellStart"/>
            <w:r w:rsidRPr="00727BE6">
              <w:rPr>
                <w:rFonts w:ascii="Cambria" w:eastAsia="Calibri" w:hAnsi="Cambria" w:cs="Calibri"/>
                <w:lang w:val="it-IT"/>
              </w:rPr>
              <w:t>načini</w:t>
            </w:r>
            <w:proofErr w:type="spellEnd"/>
            <w:r w:rsidRPr="00727BE6">
              <w:rPr>
                <w:rFonts w:ascii="Cambria" w:eastAsia="Calibri" w:hAnsi="Cambria" w:cs="Calibri"/>
                <w:lang w:val="it-IT"/>
              </w:rPr>
              <w:t xml:space="preserve"> </w:t>
            </w:r>
            <w:proofErr w:type="spellStart"/>
            <w:r w:rsidRPr="00727BE6">
              <w:rPr>
                <w:rFonts w:ascii="Cambria" w:eastAsia="Calibri" w:hAnsi="Cambria" w:cs="Calibri"/>
                <w:lang w:val="it-IT"/>
              </w:rPr>
              <w:t>vrednovanja</w:t>
            </w:r>
            <w:proofErr w:type="spellEnd"/>
          </w:p>
          <w:p w14:paraId="112771F6" w14:textId="77777777" w:rsidR="008345F3" w:rsidRPr="00727BE6" w:rsidRDefault="008345F3" w:rsidP="008345F3">
            <w:pPr>
              <w:spacing w:after="0" w:line="240" w:lineRule="atLeast"/>
              <w:jc w:val="both"/>
              <w:rPr>
                <w:rFonts w:ascii="Cambria" w:eastAsia="Calibri" w:hAnsi="Cambria" w:cs="Calibri"/>
                <w:lang w:val="it-IT"/>
              </w:rPr>
            </w:pPr>
          </w:p>
        </w:tc>
        <w:tc>
          <w:tcPr>
            <w:tcW w:w="258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14BAD34" w14:textId="77777777" w:rsidR="008345F3" w:rsidRPr="00727BE6" w:rsidRDefault="008345F3" w:rsidP="008345F3">
            <w:pPr>
              <w:spacing w:after="0" w:line="240" w:lineRule="atLeast"/>
              <w:jc w:val="both"/>
              <w:rPr>
                <w:rFonts w:ascii="Cambria" w:eastAsia="Calibri" w:hAnsi="Cambria" w:cs="Calibri"/>
              </w:rPr>
            </w:pPr>
            <w:proofErr w:type="spellStart"/>
            <w:r w:rsidRPr="00727BE6">
              <w:rPr>
                <w:rFonts w:ascii="Cambria" w:eastAsia="Calibri" w:hAnsi="Cambria" w:cs="Calibri"/>
              </w:rPr>
              <w:t>Obveze</w:t>
            </w:r>
            <w:proofErr w:type="spellEnd"/>
          </w:p>
        </w:tc>
        <w:tc>
          <w:tcPr>
            <w:tcW w:w="10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F407EA1" w14:textId="77777777" w:rsidR="008345F3" w:rsidRPr="00727BE6" w:rsidRDefault="008345F3" w:rsidP="008345F3">
            <w:pPr>
              <w:spacing w:after="0" w:line="240" w:lineRule="atLeast"/>
              <w:jc w:val="center"/>
              <w:rPr>
                <w:rFonts w:ascii="Cambria" w:eastAsia="Calibri" w:hAnsi="Cambria" w:cs="Calibri"/>
              </w:rPr>
            </w:pPr>
            <w:proofErr w:type="spellStart"/>
            <w:r w:rsidRPr="00727BE6">
              <w:rPr>
                <w:rFonts w:ascii="Cambria" w:eastAsia="Calibri" w:hAnsi="Cambria" w:cs="Calibri"/>
              </w:rPr>
              <w:t>Ishodi</w:t>
            </w:r>
            <w:proofErr w:type="spellEnd"/>
          </w:p>
        </w:tc>
        <w:tc>
          <w:tcPr>
            <w:tcW w:w="71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846BF0E" w14:textId="77777777" w:rsidR="008345F3" w:rsidRPr="00727BE6" w:rsidRDefault="008345F3" w:rsidP="008345F3">
            <w:pPr>
              <w:spacing w:after="0" w:line="240" w:lineRule="atLeast"/>
              <w:jc w:val="center"/>
              <w:rPr>
                <w:rFonts w:ascii="Cambria" w:eastAsia="Calibri" w:hAnsi="Cambria" w:cs="Calibri"/>
              </w:rPr>
            </w:pPr>
            <w:r w:rsidRPr="00727BE6">
              <w:rPr>
                <w:rFonts w:ascii="Cambria" w:eastAsia="Calibri" w:hAnsi="Cambria" w:cs="Calibri"/>
              </w:rPr>
              <w:t>Sati</w:t>
            </w:r>
          </w:p>
        </w:tc>
        <w:tc>
          <w:tcPr>
            <w:tcW w:w="101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D1C4A63" w14:textId="77777777" w:rsidR="008345F3" w:rsidRPr="00727BE6" w:rsidRDefault="008345F3" w:rsidP="008345F3">
            <w:pPr>
              <w:spacing w:after="0" w:line="240" w:lineRule="atLeast"/>
              <w:jc w:val="center"/>
              <w:rPr>
                <w:rFonts w:ascii="Cambria" w:eastAsia="Calibri" w:hAnsi="Cambria" w:cs="Calibri"/>
              </w:rPr>
            </w:pPr>
            <w:r w:rsidRPr="00727BE6">
              <w:rPr>
                <w:rFonts w:ascii="Cambria" w:eastAsia="Calibri" w:hAnsi="Cambria" w:cs="Calibri"/>
              </w:rPr>
              <w:t>ECTS</w:t>
            </w:r>
          </w:p>
        </w:tc>
        <w:tc>
          <w:tcPr>
            <w:tcW w:w="131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15E8AB1" w14:textId="77777777" w:rsidR="008345F3" w:rsidRPr="00727BE6" w:rsidRDefault="008345F3" w:rsidP="008345F3">
            <w:pPr>
              <w:spacing w:after="0" w:line="240" w:lineRule="atLeast"/>
              <w:jc w:val="center"/>
              <w:rPr>
                <w:rFonts w:ascii="Cambria" w:eastAsia="Calibri" w:hAnsi="Cambria" w:cs="Calibri"/>
              </w:rPr>
            </w:pPr>
            <w:proofErr w:type="spellStart"/>
            <w:r w:rsidRPr="00727BE6">
              <w:rPr>
                <w:rFonts w:ascii="Cambria" w:eastAsia="Calibri" w:hAnsi="Cambria" w:cs="Calibri"/>
              </w:rPr>
              <w:t>Maksimalni</w:t>
            </w:r>
            <w:proofErr w:type="spellEnd"/>
            <w:r w:rsidRPr="00727BE6">
              <w:rPr>
                <w:rFonts w:ascii="Cambria" w:eastAsia="Calibri" w:hAnsi="Cambria" w:cs="Calibri"/>
              </w:rPr>
              <w:t xml:space="preserve"> </w:t>
            </w:r>
            <w:proofErr w:type="spellStart"/>
            <w:r w:rsidRPr="00727BE6">
              <w:rPr>
                <w:rFonts w:ascii="Cambria" w:eastAsia="Calibri" w:hAnsi="Cambria" w:cs="Calibri"/>
              </w:rPr>
              <w:t>udio</w:t>
            </w:r>
            <w:proofErr w:type="spellEnd"/>
            <w:r w:rsidRPr="00727BE6">
              <w:rPr>
                <w:rFonts w:ascii="Cambria" w:eastAsia="Calibri" w:hAnsi="Cambria" w:cs="Calibri"/>
              </w:rPr>
              <w:t xml:space="preserve"> u </w:t>
            </w:r>
            <w:proofErr w:type="spellStart"/>
            <w:r w:rsidRPr="00727BE6">
              <w:rPr>
                <w:rFonts w:ascii="Cambria" w:eastAsia="Calibri" w:hAnsi="Cambria" w:cs="Calibri"/>
              </w:rPr>
              <w:t>ocjeni</w:t>
            </w:r>
            <w:proofErr w:type="spellEnd"/>
            <w:r w:rsidRPr="00727BE6">
              <w:rPr>
                <w:rFonts w:ascii="Cambria" w:eastAsia="Calibri" w:hAnsi="Cambria" w:cs="Calibri"/>
              </w:rPr>
              <w:t xml:space="preserve"> (%)</w:t>
            </w:r>
          </w:p>
        </w:tc>
      </w:tr>
      <w:tr w:rsidR="008345F3" w:rsidRPr="00963BC1" w14:paraId="5559F639" w14:textId="77777777" w:rsidTr="008345F3">
        <w:tc>
          <w:tcPr>
            <w:tcW w:w="2623" w:type="dxa"/>
            <w:vMerge/>
            <w:tcBorders>
              <w:left w:val="single" w:sz="8" w:space="0" w:color="000000"/>
              <w:right w:val="single" w:sz="8" w:space="0" w:color="000000"/>
            </w:tcBorders>
            <w:vAlign w:val="center"/>
            <w:hideMark/>
          </w:tcPr>
          <w:p w14:paraId="1D4AD202" w14:textId="77777777" w:rsidR="008345F3" w:rsidRPr="00727BE6" w:rsidRDefault="008345F3" w:rsidP="008345F3">
            <w:pPr>
              <w:spacing w:after="0" w:line="240" w:lineRule="atLeast"/>
              <w:jc w:val="both"/>
              <w:rPr>
                <w:rFonts w:ascii="Cambria" w:eastAsia="Calibri" w:hAnsi="Cambria" w:cs="Calibri"/>
              </w:rPr>
            </w:pPr>
          </w:p>
        </w:tc>
        <w:tc>
          <w:tcPr>
            <w:tcW w:w="258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A674CDC" w14:textId="46896D88" w:rsidR="008345F3" w:rsidRPr="00727BE6" w:rsidRDefault="000053D1" w:rsidP="008345F3">
            <w:pPr>
              <w:spacing w:after="0" w:line="240" w:lineRule="atLeast"/>
              <w:rPr>
                <w:rFonts w:ascii="Cambria" w:eastAsia="Calibri" w:hAnsi="Cambria" w:cs="Calibri"/>
                <w:lang w:val="it-IT"/>
              </w:rPr>
            </w:pPr>
            <w:proofErr w:type="spellStart"/>
            <w:r w:rsidRPr="00727BE6">
              <w:rPr>
                <w:rFonts w:ascii="Cambria" w:eastAsia="Calibri" w:hAnsi="Cambria" w:cs="Calibri"/>
                <w:lang w:val="it-IT"/>
              </w:rPr>
              <w:t>a</w:t>
            </w:r>
            <w:r w:rsidR="008345F3" w:rsidRPr="00727BE6">
              <w:rPr>
                <w:rFonts w:ascii="Cambria" w:eastAsia="Calibri" w:hAnsi="Cambria" w:cs="Calibri"/>
                <w:lang w:val="it-IT"/>
              </w:rPr>
              <w:t>ktivnost</w:t>
            </w:r>
            <w:proofErr w:type="spellEnd"/>
            <w:r w:rsidR="008345F3" w:rsidRPr="00727BE6">
              <w:rPr>
                <w:rFonts w:ascii="Cambria" w:eastAsia="Calibri" w:hAnsi="Cambria" w:cs="Calibri"/>
                <w:lang w:val="it-IT"/>
              </w:rPr>
              <w:t xml:space="preserve"> </w:t>
            </w:r>
            <w:proofErr w:type="spellStart"/>
            <w:r w:rsidR="008345F3" w:rsidRPr="00727BE6">
              <w:rPr>
                <w:rFonts w:ascii="Cambria" w:eastAsia="Calibri" w:hAnsi="Cambria" w:cs="Calibri"/>
                <w:lang w:val="it-IT"/>
              </w:rPr>
              <w:t>na</w:t>
            </w:r>
            <w:proofErr w:type="spellEnd"/>
            <w:r w:rsidR="008345F3" w:rsidRPr="00727BE6">
              <w:rPr>
                <w:rFonts w:ascii="Cambria" w:eastAsia="Calibri" w:hAnsi="Cambria" w:cs="Calibri"/>
                <w:lang w:val="it-IT"/>
              </w:rPr>
              <w:t xml:space="preserve"> </w:t>
            </w:r>
            <w:proofErr w:type="spellStart"/>
            <w:r w:rsidR="008345F3" w:rsidRPr="00727BE6">
              <w:rPr>
                <w:rFonts w:ascii="Cambria" w:eastAsia="Calibri" w:hAnsi="Cambria" w:cs="Calibri"/>
                <w:lang w:val="it-IT"/>
              </w:rPr>
              <w:t>nastavi</w:t>
            </w:r>
            <w:proofErr w:type="spellEnd"/>
            <w:r w:rsidR="008345F3" w:rsidRPr="00727BE6">
              <w:rPr>
                <w:rFonts w:ascii="Cambria" w:eastAsia="Calibri" w:hAnsi="Cambria" w:cs="Calibri"/>
                <w:lang w:val="it-IT"/>
              </w:rPr>
              <w:t xml:space="preserve"> </w:t>
            </w:r>
            <w:r w:rsidRPr="00727BE6">
              <w:rPr>
                <w:rFonts w:ascii="Cambria" w:eastAsia="Calibri" w:hAnsi="Cambria" w:cs="Calibri"/>
                <w:lang w:val="it-IT"/>
              </w:rPr>
              <w:t>(</w:t>
            </w:r>
            <w:r w:rsidR="008345F3" w:rsidRPr="00727BE6">
              <w:rPr>
                <w:rFonts w:ascii="Cambria" w:eastAsia="Calibri" w:hAnsi="Cambria" w:cs="Calibri"/>
                <w:lang w:val="it-IT"/>
              </w:rPr>
              <w:t xml:space="preserve">P, V </w:t>
            </w:r>
            <w:proofErr w:type="spellStart"/>
            <w:r w:rsidR="008345F3" w:rsidRPr="00727BE6">
              <w:rPr>
                <w:rFonts w:ascii="Cambria" w:eastAsia="Calibri" w:hAnsi="Cambria" w:cs="Calibri"/>
                <w:lang w:val="it-IT"/>
              </w:rPr>
              <w:t>dvorana</w:t>
            </w:r>
            <w:proofErr w:type="spellEnd"/>
            <w:r w:rsidR="008345F3" w:rsidRPr="00727BE6">
              <w:rPr>
                <w:rFonts w:ascii="Cambria" w:eastAsia="Calibri" w:hAnsi="Cambria" w:cs="Calibri"/>
                <w:lang w:val="it-IT"/>
              </w:rPr>
              <w:t>)</w:t>
            </w:r>
          </w:p>
        </w:tc>
        <w:tc>
          <w:tcPr>
            <w:tcW w:w="10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7FC89F9" w14:textId="6CD11201" w:rsidR="008345F3" w:rsidRPr="00727BE6" w:rsidRDefault="008345F3" w:rsidP="008345F3">
            <w:pPr>
              <w:spacing w:after="0" w:line="240" w:lineRule="atLeast"/>
              <w:jc w:val="center"/>
              <w:rPr>
                <w:rFonts w:ascii="Cambria" w:eastAsia="Calibri" w:hAnsi="Cambria" w:cs="Calibri"/>
              </w:rPr>
            </w:pPr>
            <w:r w:rsidRPr="00727BE6">
              <w:rPr>
                <w:rFonts w:ascii="Cambria" w:eastAsia="Calibri" w:hAnsi="Cambria" w:cs="Calibri"/>
              </w:rPr>
              <w:t>1.</w:t>
            </w:r>
            <w:r w:rsidR="000053D1" w:rsidRPr="00727BE6">
              <w:rPr>
                <w:rFonts w:ascii="Cambria" w:eastAsia="Calibri" w:hAnsi="Cambria" w:cs="Calibri"/>
              </w:rPr>
              <w:t xml:space="preserve"> – </w:t>
            </w:r>
            <w:r w:rsidRPr="00727BE6">
              <w:rPr>
                <w:rFonts w:ascii="Cambria" w:eastAsia="Calibri" w:hAnsi="Cambria" w:cs="Calibri"/>
              </w:rPr>
              <w:t>6.</w:t>
            </w:r>
          </w:p>
        </w:tc>
        <w:tc>
          <w:tcPr>
            <w:tcW w:w="71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E45E2C9" w14:textId="77777777" w:rsidR="008345F3" w:rsidRPr="00727BE6" w:rsidRDefault="008345F3" w:rsidP="008345F3">
            <w:pPr>
              <w:spacing w:after="0" w:line="240" w:lineRule="atLeast"/>
              <w:jc w:val="center"/>
              <w:rPr>
                <w:rFonts w:ascii="Cambria" w:eastAsia="Calibri" w:hAnsi="Cambria" w:cs="Calibri"/>
              </w:rPr>
            </w:pPr>
            <w:r w:rsidRPr="00727BE6">
              <w:rPr>
                <w:rFonts w:ascii="Cambria" w:eastAsia="Calibri" w:hAnsi="Cambria" w:cs="Calibri"/>
              </w:rPr>
              <w:t>45</w:t>
            </w:r>
          </w:p>
        </w:tc>
        <w:tc>
          <w:tcPr>
            <w:tcW w:w="101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A19FDE2" w14:textId="77777777" w:rsidR="008345F3" w:rsidRPr="00727BE6" w:rsidRDefault="008345F3" w:rsidP="008345F3">
            <w:pPr>
              <w:spacing w:after="0" w:line="240" w:lineRule="atLeast"/>
              <w:jc w:val="center"/>
              <w:rPr>
                <w:rFonts w:ascii="Cambria" w:eastAsia="Calibri" w:hAnsi="Cambria" w:cs="Calibri"/>
              </w:rPr>
            </w:pPr>
            <w:r w:rsidRPr="00727BE6">
              <w:rPr>
                <w:rFonts w:ascii="Cambria" w:eastAsia="Calibri" w:hAnsi="Cambria" w:cs="Calibri"/>
              </w:rPr>
              <w:t>1,5</w:t>
            </w:r>
          </w:p>
        </w:tc>
        <w:tc>
          <w:tcPr>
            <w:tcW w:w="131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22D77CD" w14:textId="77777777" w:rsidR="008345F3" w:rsidRPr="00727BE6" w:rsidRDefault="008345F3" w:rsidP="008345F3">
            <w:pPr>
              <w:spacing w:after="0" w:line="240" w:lineRule="atLeast"/>
              <w:jc w:val="center"/>
              <w:rPr>
                <w:rFonts w:ascii="Cambria" w:eastAsia="Calibri" w:hAnsi="Cambria" w:cs="Calibri"/>
              </w:rPr>
            </w:pPr>
            <w:r w:rsidRPr="00727BE6">
              <w:rPr>
                <w:rFonts w:ascii="Cambria" w:eastAsia="Calibri" w:hAnsi="Cambria" w:cs="Calibri"/>
              </w:rPr>
              <w:t>10%</w:t>
            </w:r>
          </w:p>
        </w:tc>
      </w:tr>
      <w:tr w:rsidR="008345F3" w:rsidRPr="00963BC1" w14:paraId="1B2D4524" w14:textId="77777777" w:rsidTr="008345F3">
        <w:tc>
          <w:tcPr>
            <w:tcW w:w="2623" w:type="dxa"/>
            <w:vMerge/>
            <w:tcBorders>
              <w:left w:val="single" w:sz="8" w:space="0" w:color="000000"/>
              <w:right w:val="single" w:sz="8" w:space="0" w:color="000000"/>
            </w:tcBorders>
            <w:vAlign w:val="center"/>
            <w:hideMark/>
          </w:tcPr>
          <w:p w14:paraId="7747C132" w14:textId="77777777" w:rsidR="008345F3" w:rsidRPr="00727BE6" w:rsidRDefault="008345F3" w:rsidP="008345F3">
            <w:pPr>
              <w:spacing w:after="0" w:line="240" w:lineRule="atLeast"/>
              <w:jc w:val="both"/>
              <w:rPr>
                <w:rFonts w:ascii="Cambria" w:eastAsia="Calibri" w:hAnsi="Cambria" w:cs="Calibri"/>
              </w:rPr>
            </w:pPr>
          </w:p>
        </w:tc>
        <w:tc>
          <w:tcPr>
            <w:tcW w:w="258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6CB88DD" w14:textId="0D08808E" w:rsidR="008345F3" w:rsidRPr="00727BE6" w:rsidRDefault="000053D1" w:rsidP="008345F3">
            <w:pPr>
              <w:spacing w:after="0" w:line="240" w:lineRule="atLeast"/>
              <w:rPr>
                <w:rFonts w:ascii="Cambria" w:eastAsia="Calibri" w:hAnsi="Cambria" w:cs="Calibri"/>
              </w:rPr>
            </w:pPr>
            <w:proofErr w:type="spellStart"/>
            <w:r w:rsidRPr="00727BE6">
              <w:rPr>
                <w:rFonts w:ascii="Cambria" w:eastAsia="Calibri" w:hAnsi="Cambria" w:cs="Calibri"/>
              </w:rPr>
              <w:t>s</w:t>
            </w:r>
            <w:r w:rsidR="008345F3" w:rsidRPr="00727BE6">
              <w:rPr>
                <w:rFonts w:ascii="Cambria" w:eastAsia="Calibri" w:hAnsi="Cambria" w:cs="Calibri"/>
              </w:rPr>
              <w:t>amostalni</w:t>
            </w:r>
            <w:proofErr w:type="spellEnd"/>
            <w:r w:rsidR="008345F3" w:rsidRPr="00727BE6">
              <w:rPr>
                <w:rFonts w:ascii="Cambria" w:eastAsia="Calibri" w:hAnsi="Cambria" w:cs="Calibri"/>
              </w:rPr>
              <w:t xml:space="preserve"> </w:t>
            </w:r>
            <w:proofErr w:type="spellStart"/>
            <w:r w:rsidR="008345F3" w:rsidRPr="00727BE6">
              <w:rPr>
                <w:rFonts w:ascii="Cambria" w:eastAsia="Calibri" w:hAnsi="Cambria" w:cs="Calibri"/>
              </w:rPr>
              <w:t>zadaci</w:t>
            </w:r>
            <w:proofErr w:type="spellEnd"/>
            <w:r w:rsidR="008345F3" w:rsidRPr="00727BE6">
              <w:rPr>
                <w:rFonts w:ascii="Cambria" w:eastAsia="Calibri" w:hAnsi="Cambria" w:cs="Calibri"/>
              </w:rPr>
              <w:t xml:space="preserve"> (</w:t>
            </w:r>
            <w:proofErr w:type="spellStart"/>
            <w:r w:rsidR="008345F3" w:rsidRPr="00727BE6">
              <w:rPr>
                <w:rFonts w:ascii="Cambria" w:eastAsia="Calibri" w:hAnsi="Cambria" w:cs="Calibri"/>
              </w:rPr>
              <w:t>praktični</w:t>
            </w:r>
            <w:proofErr w:type="spellEnd"/>
            <w:r w:rsidR="008345F3" w:rsidRPr="00727BE6">
              <w:rPr>
                <w:rFonts w:ascii="Cambria" w:eastAsia="Calibri" w:hAnsi="Cambria" w:cs="Calibri"/>
              </w:rPr>
              <w:t xml:space="preserve"> rad)</w:t>
            </w:r>
          </w:p>
        </w:tc>
        <w:tc>
          <w:tcPr>
            <w:tcW w:w="10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94E36C4" w14:textId="49885AF7" w:rsidR="008345F3" w:rsidRPr="00727BE6" w:rsidRDefault="000053D1" w:rsidP="008345F3">
            <w:pPr>
              <w:spacing w:after="0" w:line="240" w:lineRule="atLeast"/>
              <w:jc w:val="center"/>
              <w:rPr>
                <w:rFonts w:ascii="Cambria" w:eastAsia="Calibri" w:hAnsi="Cambria" w:cs="Calibri"/>
              </w:rPr>
            </w:pPr>
            <w:r w:rsidRPr="00727BE6">
              <w:rPr>
                <w:rFonts w:ascii="Cambria" w:eastAsia="Calibri" w:hAnsi="Cambria" w:cs="Calibri"/>
              </w:rPr>
              <w:t>1. – 6.</w:t>
            </w:r>
          </w:p>
        </w:tc>
        <w:tc>
          <w:tcPr>
            <w:tcW w:w="71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897C4AF" w14:textId="77777777" w:rsidR="008345F3" w:rsidRPr="00727BE6" w:rsidRDefault="008345F3" w:rsidP="008345F3">
            <w:pPr>
              <w:spacing w:after="0" w:line="240" w:lineRule="atLeast"/>
              <w:jc w:val="center"/>
              <w:rPr>
                <w:rFonts w:ascii="Cambria" w:eastAsia="Calibri" w:hAnsi="Cambria" w:cs="Calibri"/>
              </w:rPr>
            </w:pPr>
            <w:r w:rsidRPr="00727BE6">
              <w:rPr>
                <w:rFonts w:ascii="Cambria" w:eastAsia="Calibri" w:hAnsi="Cambria" w:cs="Calibri"/>
              </w:rPr>
              <w:t>21</w:t>
            </w:r>
          </w:p>
        </w:tc>
        <w:tc>
          <w:tcPr>
            <w:tcW w:w="101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161525B" w14:textId="77777777" w:rsidR="008345F3" w:rsidRPr="00727BE6" w:rsidRDefault="008345F3" w:rsidP="008345F3">
            <w:pPr>
              <w:spacing w:after="0" w:line="240" w:lineRule="atLeast"/>
              <w:jc w:val="center"/>
              <w:rPr>
                <w:rFonts w:ascii="Cambria" w:eastAsia="Calibri" w:hAnsi="Cambria" w:cs="Calibri"/>
              </w:rPr>
            </w:pPr>
            <w:r w:rsidRPr="00727BE6">
              <w:rPr>
                <w:rFonts w:ascii="Cambria" w:eastAsia="Calibri" w:hAnsi="Cambria" w:cs="Calibri"/>
              </w:rPr>
              <w:t>0,7</w:t>
            </w:r>
          </w:p>
        </w:tc>
        <w:tc>
          <w:tcPr>
            <w:tcW w:w="131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DA12C4D" w14:textId="77777777" w:rsidR="008345F3" w:rsidRPr="00727BE6" w:rsidRDefault="008345F3" w:rsidP="008345F3">
            <w:pPr>
              <w:spacing w:after="0" w:line="240" w:lineRule="atLeast"/>
              <w:jc w:val="center"/>
              <w:rPr>
                <w:rFonts w:ascii="Cambria" w:eastAsia="Calibri" w:hAnsi="Cambria" w:cs="Calibri"/>
              </w:rPr>
            </w:pPr>
            <w:r w:rsidRPr="00727BE6">
              <w:rPr>
                <w:rFonts w:ascii="Cambria" w:eastAsia="Calibri" w:hAnsi="Cambria" w:cs="Calibri"/>
              </w:rPr>
              <w:t>40%</w:t>
            </w:r>
          </w:p>
        </w:tc>
      </w:tr>
      <w:tr w:rsidR="008345F3" w:rsidRPr="00963BC1" w14:paraId="59B42ABC" w14:textId="77777777" w:rsidTr="008345F3">
        <w:tc>
          <w:tcPr>
            <w:tcW w:w="2623" w:type="dxa"/>
            <w:vMerge/>
            <w:tcBorders>
              <w:left w:val="single" w:sz="8" w:space="0" w:color="000000"/>
              <w:right w:val="single" w:sz="8" w:space="0" w:color="000000"/>
            </w:tcBorders>
            <w:vAlign w:val="center"/>
            <w:hideMark/>
          </w:tcPr>
          <w:p w14:paraId="32C22E47" w14:textId="77777777" w:rsidR="008345F3" w:rsidRPr="00727BE6" w:rsidRDefault="008345F3" w:rsidP="008345F3">
            <w:pPr>
              <w:spacing w:after="0" w:line="240" w:lineRule="atLeast"/>
              <w:jc w:val="both"/>
              <w:rPr>
                <w:rFonts w:ascii="Cambria" w:eastAsia="Calibri" w:hAnsi="Cambria" w:cs="Calibri"/>
              </w:rPr>
            </w:pPr>
          </w:p>
        </w:tc>
        <w:tc>
          <w:tcPr>
            <w:tcW w:w="258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E76161C" w14:textId="77777777" w:rsidR="008345F3" w:rsidRPr="00727BE6" w:rsidRDefault="008345F3" w:rsidP="008345F3">
            <w:pPr>
              <w:spacing w:after="0" w:line="240" w:lineRule="atLeast"/>
              <w:jc w:val="both"/>
              <w:rPr>
                <w:rFonts w:ascii="Cambria" w:eastAsia="Calibri" w:hAnsi="Cambria" w:cs="Calibri"/>
              </w:rPr>
            </w:pPr>
            <w:proofErr w:type="spellStart"/>
            <w:r w:rsidRPr="00727BE6">
              <w:rPr>
                <w:rFonts w:ascii="Cambria" w:eastAsia="Calibri" w:hAnsi="Cambria" w:cs="Calibri"/>
              </w:rPr>
              <w:t>ispit</w:t>
            </w:r>
            <w:proofErr w:type="spellEnd"/>
            <w:r w:rsidRPr="00727BE6">
              <w:rPr>
                <w:rFonts w:ascii="Cambria" w:eastAsia="Calibri" w:hAnsi="Cambria" w:cs="Calibri"/>
              </w:rPr>
              <w:t xml:space="preserve"> (</w:t>
            </w:r>
            <w:proofErr w:type="spellStart"/>
            <w:r w:rsidRPr="00727BE6">
              <w:rPr>
                <w:rFonts w:ascii="Cambria" w:eastAsia="Calibri" w:hAnsi="Cambria" w:cs="Calibri"/>
              </w:rPr>
              <w:t>usmeni</w:t>
            </w:r>
            <w:proofErr w:type="spellEnd"/>
            <w:r w:rsidRPr="00727BE6">
              <w:rPr>
                <w:rFonts w:ascii="Cambria" w:eastAsia="Calibri" w:hAnsi="Cambria" w:cs="Calibri"/>
              </w:rPr>
              <w:t>)</w:t>
            </w:r>
          </w:p>
        </w:tc>
        <w:tc>
          <w:tcPr>
            <w:tcW w:w="10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33B127A" w14:textId="3537CCDA" w:rsidR="008345F3" w:rsidRPr="00727BE6" w:rsidRDefault="000053D1" w:rsidP="008345F3">
            <w:pPr>
              <w:spacing w:after="0" w:line="240" w:lineRule="atLeast"/>
              <w:jc w:val="center"/>
              <w:rPr>
                <w:rFonts w:ascii="Cambria" w:eastAsia="Calibri" w:hAnsi="Cambria" w:cs="Calibri"/>
              </w:rPr>
            </w:pPr>
            <w:r w:rsidRPr="00727BE6">
              <w:rPr>
                <w:rFonts w:ascii="Cambria" w:eastAsia="Calibri" w:hAnsi="Cambria" w:cs="Calibri"/>
              </w:rPr>
              <w:t>1. – 6.</w:t>
            </w:r>
          </w:p>
        </w:tc>
        <w:tc>
          <w:tcPr>
            <w:tcW w:w="71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C40B826" w14:textId="77777777" w:rsidR="008345F3" w:rsidRPr="00727BE6" w:rsidRDefault="008345F3" w:rsidP="008345F3">
            <w:pPr>
              <w:spacing w:after="0" w:line="240" w:lineRule="atLeast"/>
              <w:jc w:val="center"/>
              <w:rPr>
                <w:rFonts w:ascii="Cambria" w:eastAsia="Calibri" w:hAnsi="Cambria" w:cs="Calibri"/>
              </w:rPr>
            </w:pPr>
            <w:r w:rsidRPr="00727BE6">
              <w:rPr>
                <w:rFonts w:ascii="Cambria" w:eastAsia="Calibri" w:hAnsi="Cambria" w:cs="Calibri"/>
              </w:rPr>
              <w:t>24</w:t>
            </w:r>
          </w:p>
        </w:tc>
        <w:tc>
          <w:tcPr>
            <w:tcW w:w="101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9E55DF4" w14:textId="77777777" w:rsidR="008345F3" w:rsidRPr="00727BE6" w:rsidRDefault="008345F3" w:rsidP="008345F3">
            <w:pPr>
              <w:spacing w:after="0" w:line="240" w:lineRule="atLeast"/>
              <w:jc w:val="center"/>
              <w:rPr>
                <w:rFonts w:ascii="Cambria" w:eastAsia="Calibri" w:hAnsi="Cambria" w:cs="Calibri"/>
              </w:rPr>
            </w:pPr>
            <w:r w:rsidRPr="00727BE6">
              <w:rPr>
                <w:rFonts w:ascii="Cambria" w:eastAsia="Calibri" w:hAnsi="Cambria" w:cs="Calibri"/>
              </w:rPr>
              <w:t>0,8</w:t>
            </w:r>
          </w:p>
        </w:tc>
        <w:tc>
          <w:tcPr>
            <w:tcW w:w="131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F520C72" w14:textId="77777777" w:rsidR="008345F3" w:rsidRPr="00727BE6" w:rsidRDefault="008345F3" w:rsidP="008345F3">
            <w:pPr>
              <w:spacing w:after="0" w:line="240" w:lineRule="atLeast"/>
              <w:jc w:val="center"/>
              <w:rPr>
                <w:rFonts w:ascii="Cambria" w:eastAsia="Calibri" w:hAnsi="Cambria" w:cs="Calibri"/>
              </w:rPr>
            </w:pPr>
            <w:r w:rsidRPr="00727BE6">
              <w:rPr>
                <w:rFonts w:ascii="Cambria" w:eastAsia="Calibri" w:hAnsi="Cambria" w:cs="Calibri"/>
              </w:rPr>
              <w:t>50%</w:t>
            </w:r>
          </w:p>
        </w:tc>
      </w:tr>
      <w:tr w:rsidR="008345F3" w:rsidRPr="00963BC1" w14:paraId="2A7C7E81" w14:textId="77777777" w:rsidTr="008345F3">
        <w:tc>
          <w:tcPr>
            <w:tcW w:w="2623" w:type="dxa"/>
            <w:vMerge/>
            <w:tcBorders>
              <w:left w:val="single" w:sz="8" w:space="0" w:color="000000"/>
              <w:right w:val="single" w:sz="8" w:space="0" w:color="000000"/>
            </w:tcBorders>
            <w:vAlign w:val="center"/>
            <w:hideMark/>
          </w:tcPr>
          <w:p w14:paraId="6FD84669" w14:textId="77777777" w:rsidR="008345F3" w:rsidRPr="00727BE6" w:rsidRDefault="008345F3" w:rsidP="008345F3">
            <w:pPr>
              <w:spacing w:after="0" w:line="240" w:lineRule="atLeast"/>
              <w:jc w:val="both"/>
              <w:rPr>
                <w:rFonts w:ascii="Cambria" w:eastAsia="Calibri" w:hAnsi="Cambria" w:cs="Calibri"/>
              </w:rPr>
            </w:pPr>
          </w:p>
        </w:tc>
        <w:tc>
          <w:tcPr>
            <w:tcW w:w="3673"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7121B5C" w14:textId="77777777" w:rsidR="008345F3" w:rsidRPr="00727BE6" w:rsidRDefault="008345F3" w:rsidP="008345F3">
            <w:pPr>
              <w:spacing w:after="0" w:line="240" w:lineRule="atLeast"/>
              <w:jc w:val="both"/>
              <w:rPr>
                <w:rFonts w:ascii="Cambria" w:eastAsia="Calibri" w:hAnsi="Cambria" w:cs="Calibri"/>
              </w:rPr>
            </w:pPr>
            <w:proofErr w:type="spellStart"/>
            <w:r w:rsidRPr="00727BE6">
              <w:rPr>
                <w:rFonts w:ascii="Cambria" w:eastAsia="Calibri" w:hAnsi="Cambria" w:cs="Calibri"/>
              </w:rPr>
              <w:t>ukupno</w:t>
            </w:r>
            <w:proofErr w:type="spellEnd"/>
          </w:p>
        </w:tc>
        <w:tc>
          <w:tcPr>
            <w:tcW w:w="71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CB083F1" w14:textId="77777777" w:rsidR="008345F3" w:rsidRPr="00727BE6" w:rsidRDefault="008345F3" w:rsidP="008345F3">
            <w:pPr>
              <w:spacing w:after="0" w:line="240" w:lineRule="atLeast"/>
              <w:jc w:val="center"/>
              <w:rPr>
                <w:rFonts w:ascii="Cambria" w:eastAsia="Calibri" w:hAnsi="Cambria" w:cs="Calibri"/>
              </w:rPr>
            </w:pPr>
            <w:r w:rsidRPr="00727BE6">
              <w:rPr>
                <w:rFonts w:ascii="Cambria" w:eastAsia="Calibri" w:hAnsi="Cambria" w:cs="Calibri"/>
              </w:rPr>
              <w:t>90</w:t>
            </w:r>
          </w:p>
        </w:tc>
        <w:tc>
          <w:tcPr>
            <w:tcW w:w="101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AC2A77E" w14:textId="77777777" w:rsidR="008345F3" w:rsidRPr="00727BE6" w:rsidRDefault="008345F3" w:rsidP="008345F3">
            <w:pPr>
              <w:spacing w:after="0" w:line="240" w:lineRule="atLeast"/>
              <w:jc w:val="center"/>
              <w:rPr>
                <w:rFonts w:ascii="Cambria" w:eastAsia="Calibri" w:hAnsi="Cambria" w:cs="Calibri"/>
              </w:rPr>
            </w:pPr>
            <w:r w:rsidRPr="00727BE6">
              <w:rPr>
                <w:rFonts w:ascii="Cambria" w:eastAsia="Calibri" w:hAnsi="Cambria" w:cs="Calibri"/>
              </w:rPr>
              <w:t>3</w:t>
            </w:r>
          </w:p>
        </w:tc>
        <w:tc>
          <w:tcPr>
            <w:tcW w:w="131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8A058D4" w14:textId="77777777" w:rsidR="008345F3" w:rsidRPr="00727BE6" w:rsidRDefault="008345F3" w:rsidP="008345F3">
            <w:pPr>
              <w:spacing w:after="0" w:line="240" w:lineRule="atLeast"/>
              <w:jc w:val="center"/>
              <w:rPr>
                <w:rFonts w:ascii="Cambria" w:eastAsia="Calibri" w:hAnsi="Cambria" w:cs="Calibri"/>
              </w:rPr>
            </w:pPr>
            <w:r w:rsidRPr="00727BE6">
              <w:rPr>
                <w:rFonts w:ascii="Cambria" w:eastAsia="Calibri" w:hAnsi="Cambria" w:cs="Calibri"/>
              </w:rPr>
              <w:t>100%</w:t>
            </w:r>
          </w:p>
        </w:tc>
      </w:tr>
      <w:tr w:rsidR="008345F3" w:rsidRPr="00963BC1" w14:paraId="6E9DDD36" w14:textId="77777777" w:rsidTr="008345F3">
        <w:tc>
          <w:tcPr>
            <w:tcW w:w="2623" w:type="dxa"/>
            <w:vMerge/>
            <w:tcBorders>
              <w:left w:val="single" w:sz="8" w:space="0" w:color="000000"/>
              <w:bottom w:val="single" w:sz="8" w:space="0" w:color="000000"/>
              <w:right w:val="single" w:sz="8" w:space="0" w:color="000000"/>
            </w:tcBorders>
            <w:vAlign w:val="center"/>
          </w:tcPr>
          <w:p w14:paraId="050DEB44" w14:textId="77777777" w:rsidR="008345F3" w:rsidRPr="00727BE6" w:rsidRDefault="008345F3" w:rsidP="008345F3">
            <w:pPr>
              <w:spacing w:after="0" w:line="240" w:lineRule="atLeast"/>
              <w:jc w:val="both"/>
              <w:rPr>
                <w:rFonts w:ascii="Cambria" w:eastAsia="Calibri" w:hAnsi="Cambria" w:cs="Calibri"/>
              </w:rPr>
            </w:pPr>
          </w:p>
        </w:tc>
        <w:tc>
          <w:tcPr>
            <w:tcW w:w="6717"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2073F5D" w14:textId="77777777" w:rsidR="008345F3" w:rsidRPr="00727BE6" w:rsidRDefault="008345F3" w:rsidP="008345F3">
            <w:pPr>
              <w:spacing w:after="0" w:line="240" w:lineRule="atLeast"/>
              <w:jc w:val="both"/>
              <w:rPr>
                <w:rFonts w:ascii="Cambria" w:eastAsia="Calibri" w:hAnsi="Cambria" w:cs="Calibri"/>
              </w:rPr>
            </w:pPr>
            <w:proofErr w:type="spellStart"/>
            <w:r w:rsidRPr="00727BE6">
              <w:rPr>
                <w:rFonts w:ascii="Cambria" w:eastAsia="Calibri" w:hAnsi="Cambria" w:cs="Calibri"/>
              </w:rPr>
              <w:t>Dodatna</w:t>
            </w:r>
            <w:proofErr w:type="spellEnd"/>
            <w:r w:rsidRPr="00727BE6">
              <w:rPr>
                <w:rFonts w:ascii="Cambria" w:eastAsia="Calibri" w:hAnsi="Cambria" w:cs="Calibri"/>
              </w:rPr>
              <w:t xml:space="preserve"> </w:t>
            </w:r>
            <w:proofErr w:type="spellStart"/>
            <w:r w:rsidRPr="00727BE6">
              <w:rPr>
                <w:rFonts w:ascii="Cambria" w:eastAsia="Calibri" w:hAnsi="Cambria" w:cs="Calibri"/>
              </w:rPr>
              <w:t>pojašnjenja</w:t>
            </w:r>
            <w:proofErr w:type="spellEnd"/>
            <w:r w:rsidRPr="00727BE6">
              <w:rPr>
                <w:rFonts w:ascii="Cambria" w:eastAsia="Calibri" w:hAnsi="Cambria" w:cs="Calibri"/>
              </w:rPr>
              <w:t xml:space="preserve"> (</w:t>
            </w:r>
            <w:proofErr w:type="spellStart"/>
            <w:r w:rsidRPr="00727BE6">
              <w:rPr>
                <w:rFonts w:ascii="Cambria" w:eastAsia="Calibri" w:hAnsi="Cambria" w:cs="Calibri"/>
              </w:rPr>
              <w:t>kriteriji</w:t>
            </w:r>
            <w:proofErr w:type="spellEnd"/>
            <w:r w:rsidRPr="00727BE6">
              <w:rPr>
                <w:rFonts w:ascii="Cambria" w:eastAsia="Calibri" w:hAnsi="Cambria" w:cs="Calibri"/>
              </w:rPr>
              <w:t xml:space="preserve"> </w:t>
            </w:r>
            <w:proofErr w:type="spellStart"/>
            <w:r w:rsidRPr="00727BE6">
              <w:rPr>
                <w:rFonts w:ascii="Cambria" w:eastAsia="Calibri" w:hAnsi="Cambria" w:cs="Calibri"/>
              </w:rPr>
              <w:t>ocjenjivanja</w:t>
            </w:r>
            <w:proofErr w:type="spellEnd"/>
            <w:r w:rsidRPr="00727BE6">
              <w:rPr>
                <w:rFonts w:ascii="Cambria" w:eastAsia="Calibri" w:hAnsi="Cambria" w:cs="Calibri"/>
              </w:rPr>
              <w:t>):</w:t>
            </w:r>
          </w:p>
          <w:p w14:paraId="6B1673FA" w14:textId="77777777" w:rsidR="008345F3" w:rsidRPr="00727BE6" w:rsidRDefault="008345F3" w:rsidP="008345F3">
            <w:pPr>
              <w:spacing w:after="0" w:line="240" w:lineRule="atLeast"/>
              <w:jc w:val="both"/>
              <w:rPr>
                <w:rFonts w:ascii="Cambria" w:eastAsia="Calibri" w:hAnsi="Cambria" w:cs="Calibri"/>
              </w:rPr>
            </w:pPr>
            <w:proofErr w:type="spellStart"/>
            <w:r w:rsidRPr="00727BE6">
              <w:rPr>
                <w:rFonts w:ascii="Cambria" w:eastAsia="Calibri" w:hAnsi="Cambria" w:cs="Calibri"/>
                <w:bCs/>
              </w:rPr>
              <w:t>Pohađanje</w:t>
            </w:r>
            <w:proofErr w:type="spellEnd"/>
            <w:r w:rsidRPr="00727BE6">
              <w:rPr>
                <w:rFonts w:ascii="Cambria" w:eastAsia="Calibri" w:hAnsi="Cambria" w:cs="Calibri"/>
                <w:bCs/>
              </w:rPr>
              <w:t xml:space="preserve"> </w:t>
            </w:r>
            <w:proofErr w:type="spellStart"/>
            <w:r w:rsidRPr="00727BE6">
              <w:rPr>
                <w:rFonts w:ascii="Cambria" w:eastAsia="Calibri" w:hAnsi="Cambria" w:cs="Calibri"/>
                <w:bCs/>
              </w:rPr>
              <w:t>nastave</w:t>
            </w:r>
            <w:proofErr w:type="spellEnd"/>
            <w:r w:rsidRPr="00727BE6">
              <w:rPr>
                <w:rFonts w:ascii="Cambria" w:eastAsia="Calibri" w:hAnsi="Cambria" w:cs="Calibri"/>
              </w:rPr>
              <w:t xml:space="preserve"> je </w:t>
            </w:r>
            <w:proofErr w:type="spellStart"/>
            <w:r w:rsidRPr="00727BE6">
              <w:rPr>
                <w:rFonts w:ascii="Cambria" w:eastAsia="Calibri" w:hAnsi="Cambria" w:cs="Calibri"/>
              </w:rPr>
              <w:t>obvezno</w:t>
            </w:r>
            <w:proofErr w:type="spellEnd"/>
            <w:r w:rsidRPr="00727BE6">
              <w:rPr>
                <w:rFonts w:ascii="Cambria" w:eastAsia="Calibri" w:hAnsi="Cambria" w:cs="Calibri"/>
              </w:rPr>
              <w:t xml:space="preserve">. </w:t>
            </w:r>
            <w:proofErr w:type="spellStart"/>
            <w:r w:rsidRPr="00727BE6">
              <w:rPr>
                <w:rFonts w:ascii="Cambria" w:eastAsia="Calibri" w:hAnsi="Cambria" w:cs="Calibri"/>
                <w:lang w:val="it-IT"/>
              </w:rPr>
              <w:t>Tolerira</w:t>
            </w:r>
            <w:proofErr w:type="spellEnd"/>
            <w:r w:rsidRPr="00727BE6">
              <w:rPr>
                <w:rFonts w:ascii="Cambria" w:eastAsia="Calibri" w:hAnsi="Cambria" w:cs="Calibri"/>
                <w:lang w:val="it-IT"/>
              </w:rPr>
              <w:t xml:space="preserve"> se 30% </w:t>
            </w:r>
            <w:proofErr w:type="spellStart"/>
            <w:r w:rsidRPr="00727BE6">
              <w:rPr>
                <w:rFonts w:ascii="Cambria" w:eastAsia="Calibri" w:hAnsi="Cambria" w:cs="Calibri"/>
                <w:lang w:val="it-IT"/>
              </w:rPr>
              <w:t>izostanaka</w:t>
            </w:r>
            <w:proofErr w:type="spellEnd"/>
            <w:r w:rsidRPr="00727BE6">
              <w:rPr>
                <w:rFonts w:ascii="Cambria" w:eastAsia="Calibri" w:hAnsi="Cambria" w:cs="Calibri"/>
                <w:lang w:val="it-IT"/>
              </w:rPr>
              <w:t xml:space="preserve"> (4 </w:t>
            </w:r>
            <w:proofErr w:type="spellStart"/>
            <w:r w:rsidRPr="00727BE6">
              <w:rPr>
                <w:rFonts w:ascii="Cambria" w:eastAsia="Calibri" w:hAnsi="Cambria" w:cs="Calibri"/>
                <w:lang w:val="it-IT"/>
              </w:rPr>
              <w:t>izostanka</w:t>
            </w:r>
            <w:proofErr w:type="spellEnd"/>
            <w:r w:rsidRPr="00727BE6">
              <w:rPr>
                <w:rFonts w:ascii="Cambria" w:eastAsia="Calibri" w:hAnsi="Cambria" w:cs="Calibri"/>
                <w:lang w:val="it-IT"/>
              </w:rPr>
              <w:t xml:space="preserve">) i </w:t>
            </w:r>
            <w:proofErr w:type="spellStart"/>
            <w:r w:rsidRPr="00727BE6">
              <w:rPr>
                <w:rFonts w:ascii="Cambria" w:eastAsia="Calibri" w:hAnsi="Cambria" w:cs="Calibri"/>
                <w:lang w:val="it-IT"/>
              </w:rPr>
              <w:t>njih</w:t>
            </w:r>
            <w:proofErr w:type="spellEnd"/>
            <w:r w:rsidRPr="00727BE6">
              <w:rPr>
                <w:rFonts w:ascii="Cambria" w:eastAsia="Calibri" w:hAnsi="Cambria" w:cs="Calibri"/>
                <w:lang w:val="it-IT"/>
              </w:rPr>
              <w:t xml:space="preserve"> </w:t>
            </w:r>
            <w:proofErr w:type="spellStart"/>
            <w:r w:rsidRPr="00727BE6">
              <w:rPr>
                <w:rFonts w:ascii="Cambria" w:eastAsia="Calibri" w:hAnsi="Cambria" w:cs="Calibri"/>
                <w:lang w:val="it-IT"/>
              </w:rPr>
              <w:t>nije</w:t>
            </w:r>
            <w:proofErr w:type="spellEnd"/>
            <w:r w:rsidRPr="00727BE6">
              <w:rPr>
                <w:rFonts w:ascii="Cambria" w:eastAsia="Calibri" w:hAnsi="Cambria" w:cs="Calibri"/>
                <w:lang w:val="it-IT"/>
              </w:rPr>
              <w:t xml:space="preserve"> </w:t>
            </w:r>
            <w:proofErr w:type="spellStart"/>
            <w:r w:rsidRPr="00727BE6">
              <w:rPr>
                <w:rFonts w:ascii="Cambria" w:eastAsia="Calibri" w:hAnsi="Cambria" w:cs="Calibri"/>
                <w:lang w:val="it-IT"/>
              </w:rPr>
              <w:t>potrebno</w:t>
            </w:r>
            <w:proofErr w:type="spellEnd"/>
            <w:r w:rsidRPr="00727BE6">
              <w:rPr>
                <w:rFonts w:ascii="Cambria" w:eastAsia="Calibri" w:hAnsi="Cambria" w:cs="Calibri"/>
                <w:lang w:val="it-IT"/>
              </w:rPr>
              <w:t xml:space="preserve"> </w:t>
            </w:r>
            <w:proofErr w:type="spellStart"/>
            <w:r w:rsidRPr="00727BE6">
              <w:rPr>
                <w:rFonts w:ascii="Cambria" w:eastAsia="Calibri" w:hAnsi="Cambria" w:cs="Calibri"/>
                <w:lang w:val="it-IT"/>
              </w:rPr>
              <w:t>opravdati</w:t>
            </w:r>
            <w:proofErr w:type="spellEnd"/>
            <w:r w:rsidRPr="00727BE6">
              <w:rPr>
                <w:rFonts w:ascii="Cambria" w:eastAsia="Calibri" w:hAnsi="Cambria" w:cs="Calibri"/>
                <w:lang w:val="it-IT"/>
              </w:rPr>
              <w:t xml:space="preserve">. </w:t>
            </w:r>
            <w:proofErr w:type="spellStart"/>
            <w:r w:rsidRPr="00727BE6">
              <w:rPr>
                <w:rFonts w:ascii="Cambria" w:eastAsia="Calibri" w:hAnsi="Cambria" w:cs="Calibri"/>
                <w:lang w:val="it-IT"/>
              </w:rPr>
              <w:t>Praćenje</w:t>
            </w:r>
            <w:proofErr w:type="spellEnd"/>
            <w:r w:rsidRPr="00727BE6">
              <w:rPr>
                <w:rFonts w:ascii="Cambria" w:eastAsia="Calibri" w:hAnsi="Cambria" w:cs="Calibri"/>
                <w:lang w:val="it-IT"/>
              </w:rPr>
              <w:t xml:space="preserve"> i </w:t>
            </w:r>
            <w:proofErr w:type="spellStart"/>
            <w:r w:rsidRPr="00727BE6">
              <w:rPr>
                <w:rFonts w:ascii="Cambria" w:eastAsia="Calibri" w:hAnsi="Cambria" w:cs="Calibri"/>
                <w:lang w:val="it-IT"/>
              </w:rPr>
              <w:t>ocjenjivanje</w:t>
            </w:r>
            <w:proofErr w:type="spellEnd"/>
            <w:r w:rsidRPr="00727BE6">
              <w:rPr>
                <w:rFonts w:ascii="Cambria" w:eastAsia="Calibri" w:hAnsi="Cambria" w:cs="Calibri"/>
                <w:lang w:val="it-IT"/>
              </w:rPr>
              <w:t xml:space="preserve"> </w:t>
            </w:r>
            <w:proofErr w:type="spellStart"/>
            <w:r w:rsidRPr="00727BE6">
              <w:rPr>
                <w:rFonts w:ascii="Cambria" w:eastAsia="Calibri" w:hAnsi="Cambria" w:cs="Calibri"/>
                <w:lang w:val="it-IT"/>
              </w:rPr>
              <w:t>studenata</w:t>
            </w:r>
            <w:proofErr w:type="spellEnd"/>
            <w:r w:rsidRPr="00727BE6">
              <w:rPr>
                <w:rFonts w:ascii="Cambria" w:eastAsia="Calibri" w:hAnsi="Cambria" w:cs="Calibri"/>
                <w:lang w:val="it-IT"/>
              </w:rPr>
              <w:t xml:space="preserve"> </w:t>
            </w:r>
            <w:proofErr w:type="spellStart"/>
            <w:r w:rsidRPr="00727BE6">
              <w:rPr>
                <w:rFonts w:ascii="Cambria" w:eastAsia="Calibri" w:hAnsi="Cambria" w:cs="Calibri"/>
                <w:lang w:val="it-IT"/>
              </w:rPr>
              <w:t>izvodi</w:t>
            </w:r>
            <w:proofErr w:type="spellEnd"/>
            <w:r w:rsidRPr="00727BE6">
              <w:rPr>
                <w:rFonts w:ascii="Cambria" w:eastAsia="Calibri" w:hAnsi="Cambria" w:cs="Calibri"/>
                <w:lang w:val="it-IT"/>
              </w:rPr>
              <w:t xml:space="preserve"> se </w:t>
            </w:r>
            <w:proofErr w:type="spellStart"/>
            <w:r w:rsidRPr="00727BE6">
              <w:rPr>
                <w:rFonts w:ascii="Cambria" w:eastAsia="Calibri" w:hAnsi="Cambria" w:cs="Calibri"/>
                <w:lang w:val="it-IT"/>
              </w:rPr>
              <w:t>tijekom</w:t>
            </w:r>
            <w:proofErr w:type="spellEnd"/>
            <w:r w:rsidRPr="00727BE6">
              <w:rPr>
                <w:rFonts w:ascii="Cambria" w:eastAsia="Calibri" w:hAnsi="Cambria" w:cs="Calibri"/>
                <w:lang w:val="it-IT"/>
              </w:rPr>
              <w:t xml:space="preserve"> </w:t>
            </w:r>
            <w:proofErr w:type="spellStart"/>
            <w:r w:rsidRPr="00727BE6">
              <w:rPr>
                <w:rFonts w:ascii="Cambria" w:eastAsia="Calibri" w:hAnsi="Cambria" w:cs="Calibri"/>
                <w:lang w:val="it-IT"/>
              </w:rPr>
              <w:t>nastave</w:t>
            </w:r>
            <w:proofErr w:type="spellEnd"/>
            <w:r w:rsidRPr="00727BE6">
              <w:rPr>
                <w:rFonts w:ascii="Cambria" w:eastAsia="Calibri" w:hAnsi="Cambria" w:cs="Calibri"/>
                <w:lang w:val="it-IT"/>
              </w:rPr>
              <w:t xml:space="preserve"> i </w:t>
            </w:r>
            <w:proofErr w:type="spellStart"/>
            <w:r w:rsidRPr="00727BE6">
              <w:rPr>
                <w:rFonts w:ascii="Cambria" w:eastAsia="Calibri" w:hAnsi="Cambria" w:cs="Calibri"/>
                <w:lang w:val="it-IT"/>
              </w:rPr>
              <w:t>na</w:t>
            </w:r>
            <w:proofErr w:type="spellEnd"/>
            <w:r w:rsidRPr="00727BE6">
              <w:rPr>
                <w:rFonts w:ascii="Cambria" w:eastAsia="Calibri" w:hAnsi="Cambria" w:cs="Calibri"/>
                <w:lang w:val="it-IT"/>
              </w:rPr>
              <w:t xml:space="preserve"> </w:t>
            </w:r>
            <w:proofErr w:type="spellStart"/>
            <w:r w:rsidRPr="00727BE6">
              <w:rPr>
                <w:rFonts w:ascii="Cambria" w:eastAsia="Calibri" w:hAnsi="Cambria" w:cs="Calibri"/>
                <w:lang w:val="it-IT"/>
              </w:rPr>
              <w:t>završnom</w:t>
            </w:r>
            <w:proofErr w:type="spellEnd"/>
            <w:r w:rsidRPr="00727BE6">
              <w:rPr>
                <w:rFonts w:ascii="Cambria" w:eastAsia="Calibri" w:hAnsi="Cambria" w:cs="Calibri"/>
                <w:lang w:val="it-IT"/>
              </w:rPr>
              <w:t xml:space="preserve"> </w:t>
            </w:r>
            <w:proofErr w:type="spellStart"/>
            <w:r w:rsidRPr="00727BE6">
              <w:rPr>
                <w:rFonts w:ascii="Cambria" w:eastAsia="Calibri" w:hAnsi="Cambria" w:cs="Calibri"/>
                <w:lang w:val="it-IT"/>
              </w:rPr>
              <w:t>ispitu</w:t>
            </w:r>
            <w:proofErr w:type="spellEnd"/>
            <w:r w:rsidRPr="00727BE6">
              <w:rPr>
                <w:rFonts w:ascii="Cambria" w:eastAsia="Calibri" w:hAnsi="Cambria" w:cs="Calibri"/>
                <w:lang w:val="it-IT"/>
              </w:rPr>
              <w:t xml:space="preserve">. </w:t>
            </w:r>
            <w:proofErr w:type="spellStart"/>
            <w:r w:rsidRPr="00727BE6">
              <w:rPr>
                <w:rFonts w:ascii="Cambria" w:eastAsia="Calibri" w:hAnsi="Cambria" w:cs="Calibri"/>
              </w:rPr>
              <w:t>Praktični</w:t>
            </w:r>
            <w:proofErr w:type="spellEnd"/>
            <w:r w:rsidRPr="00727BE6">
              <w:rPr>
                <w:rFonts w:ascii="Cambria" w:eastAsia="Calibri" w:hAnsi="Cambria" w:cs="Calibri"/>
              </w:rPr>
              <w:t xml:space="preserve"> rad (</w:t>
            </w:r>
            <w:proofErr w:type="spellStart"/>
            <w:r w:rsidRPr="00727BE6">
              <w:rPr>
                <w:rFonts w:ascii="Cambria" w:eastAsia="Calibri" w:hAnsi="Cambria" w:cs="Calibri"/>
              </w:rPr>
              <w:t>javni</w:t>
            </w:r>
            <w:proofErr w:type="spellEnd"/>
            <w:r w:rsidRPr="00727BE6">
              <w:rPr>
                <w:rFonts w:ascii="Cambria" w:eastAsia="Calibri" w:hAnsi="Cambria" w:cs="Calibri"/>
              </w:rPr>
              <w:t xml:space="preserve"> sat) je student </w:t>
            </w:r>
            <w:proofErr w:type="spellStart"/>
            <w:r w:rsidRPr="00727BE6">
              <w:rPr>
                <w:rFonts w:ascii="Cambria" w:eastAsia="Calibri" w:hAnsi="Cambria" w:cs="Calibri"/>
              </w:rPr>
              <w:t>obavezan</w:t>
            </w:r>
            <w:proofErr w:type="spellEnd"/>
            <w:r w:rsidRPr="00727BE6">
              <w:rPr>
                <w:rFonts w:ascii="Cambria" w:eastAsia="Calibri" w:hAnsi="Cambria" w:cs="Calibri"/>
              </w:rPr>
              <w:t xml:space="preserve"> </w:t>
            </w:r>
            <w:proofErr w:type="spellStart"/>
            <w:r w:rsidRPr="00727BE6">
              <w:rPr>
                <w:rFonts w:ascii="Cambria" w:eastAsia="Calibri" w:hAnsi="Cambria" w:cs="Calibri"/>
              </w:rPr>
              <w:t>održati</w:t>
            </w:r>
            <w:proofErr w:type="spellEnd"/>
            <w:r w:rsidRPr="00727BE6">
              <w:rPr>
                <w:rFonts w:ascii="Cambria" w:eastAsia="Calibri" w:hAnsi="Cambria" w:cs="Calibri"/>
              </w:rPr>
              <w:t xml:space="preserve"> s </w:t>
            </w:r>
            <w:proofErr w:type="spellStart"/>
            <w:r w:rsidRPr="00727BE6">
              <w:rPr>
                <w:rFonts w:ascii="Cambria" w:eastAsia="Calibri" w:hAnsi="Cambria" w:cs="Calibri"/>
              </w:rPr>
              <w:t>minimalnim</w:t>
            </w:r>
            <w:proofErr w:type="spellEnd"/>
            <w:r w:rsidRPr="00727BE6">
              <w:rPr>
                <w:rFonts w:ascii="Cambria" w:eastAsia="Calibri" w:hAnsi="Cambria" w:cs="Calibri"/>
              </w:rPr>
              <w:t xml:space="preserve"> </w:t>
            </w:r>
            <w:proofErr w:type="spellStart"/>
            <w:r w:rsidRPr="00727BE6">
              <w:rPr>
                <w:rFonts w:ascii="Cambria" w:eastAsia="Calibri" w:hAnsi="Cambria" w:cs="Calibri"/>
              </w:rPr>
              <w:t>postotkom</w:t>
            </w:r>
            <w:proofErr w:type="spellEnd"/>
            <w:r w:rsidRPr="00727BE6">
              <w:rPr>
                <w:rFonts w:ascii="Cambria" w:eastAsia="Calibri" w:hAnsi="Cambria" w:cs="Calibri"/>
              </w:rPr>
              <w:t xml:space="preserve"> od 10%. </w:t>
            </w:r>
            <w:proofErr w:type="spellStart"/>
            <w:r w:rsidRPr="00727BE6">
              <w:rPr>
                <w:rFonts w:ascii="Cambria" w:eastAsia="Calibri" w:hAnsi="Cambria" w:cs="Calibri"/>
              </w:rPr>
              <w:t>Tijekom</w:t>
            </w:r>
            <w:proofErr w:type="spellEnd"/>
            <w:r w:rsidRPr="00727BE6">
              <w:rPr>
                <w:rFonts w:ascii="Cambria" w:eastAsia="Calibri" w:hAnsi="Cambria" w:cs="Calibri"/>
              </w:rPr>
              <w:t xml:space="preserve"> </w:t>
            </w:r>
            <w:proofErr w:type="spellStart"/>
            <w:r w:rsidRPr="00727BE6">
              <w:rPr>
                <w:rFonts w:ascii="Cambria" w:eastAsia="Calibri" w:hAnsi="Cambria" w:cs="Calibri"/>
              </w:rPr>
              <w:t>nastave</w:t>
            </w:r>
            <w:proofErr w:type="spellEnd"/>
            <w:r w:rsidRPr="00727BE6">
              <w:rPr>
                <w:rFonts w:ascii="Cambria" w:eastAsia="Calibri" w:hAnsi="Cambria" w:cs="Calibri"/>
              </w:rPr>
              <w:t xml:space="preserve"> student </w:t>
            </w:r>
            <w:proofErr w:type="spellStart"/>
            <w:r w:rsidRPr="00727BE6">
              <w:rPr>
                <w:rFonts w:ascii="Cambria" w:eastAsia="Calibri" w:hAnsi="Cambria" w:cs="Calibri"/>
              </w:rPr>
              <w:t>ostvaruje</w:t>
            </w:r>
            <w:proofErr w:type="spellEnd"/>
            <w:r w:rsidRPr="00727BE6">
              <w:rPr>
                <w:rFonts w:ascii="Cambria" w:eastAsia="Calibri" w:hAnsi="Cambria" w:cs="Calibri"/>
              </w:rPr>
              <w:t xml:space="preserve"> 50% </w:t>
            </w:r>
            <w:proofErr w:type="spellStart"/>
            <w:r w:rsidRPr="00727BE6">
              <w:rPr>
                <w:rFonts w:ascii="Cambria" w:eastAsia="Calibri" w:hAnsi="Cambria" w:cs="Calibri"/>
              </w:rPr>
              <w:t>ocjene</w:t>
            </w:r>
            <w:proofErr w:type="spellEnd"/>
            <w:r w:rsidRPr="00727BE6">
              <w:rPr>
                <w:rFonts w:ascii="Cambria" w:eastAsia="Calibri" w:hAnsi="Cambria" w:cs="Calibri"/>
              </w:rPr>
              <w:t xml:space="preserve">, a </w:t>
            </w:r>
            <w:proofErr w:type="spellStart"/>
            <w:r w:rsidRPr="00727BE6">
              <w:rPr>
                <w:rFonts w:ascii="Cambria" w:eastAsia="Calibri" w:hAnsi="Cambria" w:cs="Calibri"/>
              </w:rPr>
              <w:t>na</w:t>
            </w:r>
            <w:proofErr w:type="spellEnd"/>
            <w:r w:rsidRPr="00727BE6">
              <w:rPr>
                <w:rFonts w:ascii="Cambria" w:eastAsia="Calibri" w:hAnsi="Cambria" w:cs="Calibri"/>
              </w:rPr>
              <w:t xml:space="preserve"> </w:t>
            </w:r>
            <w:proofErr w:type="spellStart"/>
            <w:r w:rsidRPr="00727BE6">
              <w:rPr>
                <w:rFonts w:ascii="Cambria" w:eastAsia="Calibri" w:hAnsi="Cambria" w:cs="Calibri"/>
              </w:rPr>
              <w:t>završnom</w:t>
            </w:r>
            <w:proofErr w:type="spellEnd"/>
            <w:r w:rsidRPr="00727BE6">
              <w:rPr>
                <w:rFonts w:ascii="Cambria" w:eastAsia="Calibri" w:hAnsi="Cambria" w:cs="Calibri"/>
              </w:rPr>
              <w:t xml:space="preserve"> </w:t>
            </w:r>
            <w:proofErr w:type="spellStart"/>
            <w:r w:rsidRPr="00727BE6">
              <w:rPr>
                <w:rFonts w:ascii="Cambria" w:eastAsia="Calibri" w:hAnsi="Cambria" w:cs="Calibri"/>
              </w:rPr>
              <w:t>ispitu</w:t>
            </w:r>
            <w:proofErr w:type="spellEnd"/>
            <w:r w:rsidRPr="00727BE6">
              <w:rPr>
                <w:rFonts w:ascii="Cambria" w:eastAsia="Calibri" w:hAnsi="Cambria" w:cs="Calibri"/>
              </w:rPr>
              <w:t xml:space="preserve"> 30% </w:t>
            </w:r>
            <w:proofErr w:type="spellStart"/>
            <w:r w:rsidRPr="00727BE6">
              <w:rPr>
                <w:rFonts w:ascii="Cambria" w:eastAsia="Calibri" w:hAnsi="Cambria" w:cs="Calibri"/>
              </w:rPr>
              <w:t>ocjene</w:t>
            </w:r>
            <w:proofErr w:type="spellEnd"/>
            <w:r w:rsidRPr="00727BE6">
              <w:rPr>
                <w:rFonts w:ascii="Cambria" w:eastAsia="Calibri" w:hAnsi="Cambria" w:cs="Calibri"/>
              </w:rPr>
              <w:t>.</w:t>
            </w:r>
          </w:p>
          <w:p w14:paraId="576C2992" w14:textId="77777777" w:rsidR="008345F3" w:rsidRPr="00727BE6" w:rsidRDefault="008345F3" w:rsidP="008345F3">
            <w:pPr>
              <w:spacing w:after="0" w:line="240" w:lineRule="atLeast"/>
              <w:jc w:val="both"/>
              <w:rPr>
                <w:rFonts w:ascii="Cambria" w:eastAsia="Calibri" w:hAnsi="Cambria" w:cs="Calibri"/>
              </w:rPr>
            </w:pPr>
            <w:proofErr w:type="spellStart"/>
            <w:r w:rsidRPr="00727BE6">
              <w:rPr>
                <w:rFonts w:ascii="Cambria" w:eastAsia="Calibri" w:hAnsi="Cambria" w:cs="Calibri"/>
                <w:bCs/>
              </w:rPr>
              <w:t>Praktični</w:t>
            </w:r>
            <w:proofErr w:type="spellEnd"/>
            <w:r w:rsidRPr="00727BE6">
              <w:rPr>
                <w:rFonts w:ascii="Cambria" w:eastAsia="Calibri" w:hAnsi="Cambria" w:cs="Calibri"/>
                <w:bCs/>
              </w:rPr>
              <w:t xml:space="preserve"> rad (</w:t>
            </w:r>
            <w:proofErr w:type="spellStart"/>
            <w:r w:rsidRPr="00727BE6">
              <w:rPr>
                <w:rFonts w:ascii="Cambria" w:eastAsia="Calibri" w:hAnsi="Cambria" w:cs="Calibri"/>
              </w:rPr>
              <w:t>javni</w:t>
            </w:r>
            <w:proofErr w:type="spellEnd"/>
            <w:r w:rsidRPr="00727BE6">
              <w:rPr>
                <w:rFonts w:ascii="Cambria" w:eastAsia="Calibri" w:hAnsi="Cambria" w:cs="Calibri"/>
              </w:rPr>
              <w:t xml:space="preserve"> sat) </w:t>
            </w:r>
            <w:proofErr w:type="spellStart"/>
            <w:r w:rsidRPr="00727BE6">
              <w:rPr>
                <w:rFonts w:ascii="Cambria" w:eastAsia="Calibri" w:hAnsi="Cambria" w:cs="Calibri"/>
              </w:rPr>
              <w:t>odnosi</w:t>
            </w:r>
            <w:proofErr w:type="spellEnd"/>
            <w:r w:rsidRPr="00727BE6">
              <w:rPr>
                <w:rFonts w:ascii="Cambria" w:eastAsia="Calibri" w:hAnsi="Cambria" w:cs="Calibri"/>
              </w:rPr>
              <w:t xml:space="preserve"> se </w:t>
            </w:r>
            <w:proofErr w:type="spellStart"/>
            <w:r w:rsidRPr="00727BE6">
              <w:rPr>
                <w:rFonts w:ascii="Cambria" w:eastAsia="Calibri" w:hAnsi="Cambria" w:cs="Calibri"/>
              </w:rPr>
              <w:t>na</w:t>
            </w:r>
            <w:proofErr w:type="spellEnd"/>
            <w:r w:rsidRPr="00727BE6">
              <w:rPr>
                <w:rFonts w:ascii="Cambria" w:eastAsia="Calibri" w:hAnsi="Cambria" w:cs="Calibri"/>
              </w:rPr>
              <w:t xml:space="preserve"> </w:t>
            </w:r>
            <w:proofErr w:type="spellStart"/>
            <w:r w:rsidRPr="00727BE6">
              <w:rPr>
                <w:rFonts w:ascii="Cambria" w:eastAsia="Calibri" w:hAnsi="Cambria" w:cs="Calibri"/>
              </w:rPr>
              <w:t>izradu</w:t>
            </w:r>
            <w:proofErr w:type="spellEnd"/>
            <w:r w:rsidRPr="00727BE6">
              <w:rPr>
                <w:rFonts w:ascii="Cambria" w:eastAsia="Calibri" w:hAnsi="Cambria" w:cs="Calibri"/>
              </w:rPr>
              <w:t xml:space="preserve"> </w:t>
            </w:r>
            <w:proofErr w:type="spellStart"/>
            <w:r w:rsidRPr="00727BE6">
              <w:rPr>
                <w:rFonts w:ascii="Cambria" w:eastAsia="Calibri" w:hAnsi="Cambria" w:cs="Calibri"/>
              </w:rPr>
              <w:t>pripreme</w:t>
            </w:r>
            <w:proofErr w:type="spellEnd"/>
            <w:r w:rsidRPr="00727BE6">
              <w:rPr>
                <w:rFonts w:ascii="Cambria" w:eastAsia="Calibri" w:hAnsi="Cambria" w:cs="Calibri"/>
              </w:rPr>
              <w:t xml:space="preserve"> </w:t>
            </w:r>
            <w:proofErr w:type="spellStart"/>
            <w:r w:rsidRPr="00727BE6">
              <w:rPr>
                <w:rFonts w:ascii="Cambria" w:eastAsia="Calibri" w:hAnsi="Cambria" w:cs="Calibri"/>
              </w:rPr>
              <w:t>i</w:t>
            </w:r>
            <w:proofErr w:type="spellEnd"/>
            <w:r w:rsidRPr="00727BE6">
              <w:rPr>
                <w:rFonts w:ascii="Cambria" w:eastAsia="Calibri" w:hAnsi="Cambria" w:cs="Calibri"/>
              </w:rPr>
              <w:t xml:space="preserve"> </w:t>
            </w:r>
            <w:proofErr w:type="spellStart"/>
            <w:r w:rsidRPr="00727BE6">
              <w:rPr>
                <w:rFonts w:ascii="Cambria" w:eastAsia="Calibri" w:hAnsi="Cambria" w:cs="Calibri"/>
              </w:rPr>
              <w:t>provođenje</w:t>
            </w:r>
            <w:proofErr w:type="spellEnd"/>
            <w:r w:rsidRPr="00727BE6">
              <w:rPr>
                <w:rFonts w:ascii="Cambria" w:eastAsia="Calibri" w:hAnsi="Cambria" w:cs="Calibri"/>
              </w:rPr>
              <w:t xml:space="preserve"> </w:t>
            </w:r>
            <w:proofErr w:type="spellStart"/>
            <w:r w:rsidRPr="00727BE6">
              <w:rPr>
                <w:rFonts w:ascii="Cambria" w:eastAsia="Calibri" w:hAnsi="Cambria" w:cs="Calibri"/>
              </w:rPr>
              <w:t>jednog</w:t>
            </w:r>
            <w:proofErr w:type="spellEnd"/>
            <w:r w:rsidRPr="00727BE6">
              <w:rPr>
                <w:rFonts w:ascii="Cambria" w:eastAsia="Calibri" w:hAnsi="Cambria" w:cs="Calibri"/>
              </w:rPr>
              <w:t xml:space="preserve"> </w:t>
            </w:r>
            <w:proofErr w:type="spellStart"/>
            <w:r w:rsidRPr="00727BE6">
              <w:rPr>
                <w:rFonts w:ascii="Cambria" w:eastAsia="Calibri" w:hAnsi="Cambria" w:cs="Calibri"/>
              </w:rPr>
              <w:t>sata</w:t>
            </w:r>
            <w:proofErr w:type="spellEnd"/>
            <w:r w:rsidRPr="00727BE6">
              <w:rPr>
                <w:rFonts w:ascii="Cambria" w:eastAsia="Calibri" w:hAnsi="Cambria" w:cs="Calibri"/>
              </w:rPr>
              <w:t xml:space="preserve"> </w:t>
            </w:r>
            <w:proofErr w:type="spellStart"/>
            <w:r w:rsidRPr="00727BE6">
              <w:rPr>
                <w:rFonts w:ascii="Cambria" w:eastAsia="Calibri" w:hAnsi="Cambria" w:cs="Calibri"/>
              </w:rPr>
              <w:t>tjelesne</w:t>
            </w:r>
            <w:proofErr w:type="spellEnd"/>
            <w:r w:rsidRPr="00727BE6">
              <w:rPr>
                <w:rFonts w:ascii="Cambria" w:eastAsia="Calibri" w:hAnsi="Cambria" w:cs="Calibri"/>
              </w:rPr>
              <w:t xml:space="preserve"> </w:t>
            </w:r>
            <w:proofErr w:type="spellStart"/>
            <w:r w:rsidRPr="00727BE6">
              <w:rPr>
                <w:rFonts w:ascii="Cambria" w:eastAsia="Calibri" w:hAnsi="Cambria" w:cs="Calibri"/>
              </w:rPr>
              <w:t>i</w:t>
            </w:r>
            <w:proofErr w:type="spellEnd"/>
            <w:r w:rsidRPr="00727BE6">
              <w:rPr>
                <w:rFonts w:ascii="Cambria" w:eastAsia="Calibri" w:hAnsi="Cambria" w:cs="Calibri"/>
              </w:rPr>
              <w:t xml:space="preserve"> </w:t>
            </w:r>
            <w:proofErr w:type="spellStart"/>
            <w:r w:rsidRPr="00727BE6">
              <w:rPr>
                <w:rFonts w:ascii="Cambria" w:eastAsia="Calibri" w:hAnsi="Cambria" w:cs="Calibri"/>
              </w:rPr>
              <w:t>zdravstvene</w:t>
            </w:r>
            <w:proofErr w:type="spellEnd"/>
            <w:r w:rsidRPr="00727BE6">
              <w:rPr>
                <w:rFonts w:ascii="Cambria" w:eastAsia="Calibri" w:hAnsi="Cambria" w:cs="Calibri"/>
              </w:rPr>
              <w:t xml:space="preserve"> </w:t>
            </w:r>
            <w:proofErr w:type="spellStart"/>
            <w:r w:rsidRPr="00727BE6">
              <w:rPr>
                <w:rFonts w:ascii="Cambria" w:eastAsia="Calibri" w:hAnsi="Cambria" w:cs="Calibri"/>
              </w:rPr>
              <w:t>kulture</w:t>
            </w:r>
            <w:proofErr w:type="spellEnd"/>
            <w:r w:rsidRPr="00727BE6">
              <w:rPr>
                <w:rFonts w:ascii="Cambria" w:eastAsia="Calibri" w:hAnsi="Cambria" w:cs="Calibri"/>
              </w:rPr>
              <w:t xml:space="preserve"> u </w:t>
            </w:r>
            <w:proofErr w:type="spellStart"/>
            <w:r w:rsidRPr="00727BE6">
              <w:rPr>
                <w:rFonts w:ascii="Cambria" w:eastAsia="Calibri" w:hAnsi="Cambria" w:cs="Calibri"/>
              </w:rPr>
              <w:t>dvorani</w:t>
            </w:r>
            <w:proofErr w:type="spellEnd"/>
            <w:r w:rsidRPr="00727BE6">
              <w:rPr>
                <w:rFonts w:ascii="Cambria" w:eastAsia="Calibri" w:hAnsi="Cambria" w:cs="Calibri"/>
              </w:rPr>
              <w:t xml:space="preserve"> </w:t>
            </w:r>
            <w:proofErr w:type="spellStart"/>
            <w:r w:rsidRPr="00727BE6">
              <w:rPr>
                <w:rFonts w:ascii="Cambria" w:eastAsia="Calibri" w:hAnsi="Cambria" w:cs="Calibri"/>
              </w:rPr>
              <w:t>i</w:t>
            </w:r>
            <w:proofErr w:type="spellEnd"/>
            <w:r w:rsidRPr="00727BE6">
              <w:rPr>
                <w:rFonts w:ascii="Cambria" w:eastAsia="Calibri" w:hAnsi="Cambria" w:cs="Calibri"/>
              </w:rPr>
              <w:t xml:space="preserve"> </w:t>
            </w:r>
            <w:proofErr w:type="spellStart"/>
            <w:r w:rsidRPr="00727BE6">
              <w:rPr>
                <w:rFonts w:ascii="Cambria" w:eastAsia="Calibri" w:hAnsi="Cambria" w:cs="Calibri"/>
              </w:rPr>
              <w:t>ocjenjuje</w:t>
            </w:r>
            <w:proofErr w:type="spellEnd"/>
            <w:r w:rsidRPr="00727BE6">
              <w:rPr>
                <w:rFonts w:ascii="Cambria" w:eastAsia="Calibri" w:hAnsi="Cambria" w:cs="Calibri"/>
              </w:rPr>
              <w:t xml:space="preserve"> se </w:t>
            </w:r>
            <w:proofErr w:type="spellStart"/>
            <w:r w:rsidRPr="00727BE6">
              <w:rPr>
                <w:rFonts w:ascii="Cambria" w:eastAsia="Calibri" w:hAnsi="Cambria" w:cs="Calibri"/>
              </w:rPr>
              <w:t>na</w:t>
            </w:r>
            <w:proofErr w:type="spellEnd"/>
            <w:r w:rsidRPr="00727BE6">
              <w:rPr>
                <w:rFonts w:ascii="Cambria" w:eastAsia="Calibri" w:hAnsi="Cambria" w:cs="Calibri"/>
              </w:rPr>
              <w:t xml:space="preserve"> </w:t>
            </w:r>
            <w:proofErr w:type="spellStart"/>
            <w:r w:rsidRPr="00727BE6">
              <w:rPr>
                <w:rFonts w:ascii="Cambria" w:eastAsia="Calibri" w:hAnsi="Cambria" w:cs="Calibri"/>
              </w:rPr>
              <w:t>slijedeći</w:t>
            </w:r>
            <w:proofErr w:type="spellEnd"/>
            <w:r w:rsidRPr="00727BE6">
              <w:rPr>
                <w:rFonts w:ascii="Cambria" w:eastAsia="Calibri" w:hAnsi="Cambria" w:cs="Calibri"/>
              </w:rPr>
              <w:t xml:space="preserve"> </w:t>
            </w:r>
            <w:proofErr w:type="spellStart"/>
            <w:r w:rsidRPr="00727BE6">
              <w:rPr>
                <w:rFonts w:ascii="Cambria" w:eastAsia="Calibri" w:hAnsi="Cambria" w:cs="Calibri"/>
              </w:rPr>
              <w:t>način</w:t>
            </w:r>
            <w:proofErr w:type="spellEnd"/>
            <w:r w:rsidRPr="00727BE6">
              <w:rPr>
                <w:rFonts w:ascii="Cambria" w:eastAsia="Calibri" w:hAnsi="Cambria" w:cs="Calibri"/>
              </w:rPr>
              <w:t>:</w:t>
            </w:r>
          </w:p>
          <w:p w14:paraId="6B83983C" w14:textId="77777777" w:rsidR="008345F3" w:rsidRPr="00727BE6" w:rsidRDefault="008345F3" w:rsidP="008345F3">
            <w:pPr>
              <w:spacing w:after="0" w:line="240" w:lineRule="atLeast"/>
              <w:jc w:val="both"/>
              <w:rPr>
                <w:rFonts w:ascii="Cambria" w:eastAsia="Calibri" w:hAnsi="Cambria" w:cs="Calibri"/>
                <w:lang w:val="it-IT"/>
              </w:rPr>
            </w:pPr>
            <w:r w:rsidRPr="00727BE6">
              <w:rPr>
                <w:rFonts w:ascii="Cambria" w:eastAsia="Calibri" w:hAnsi="Cambria" w:cs="Calibri"/>
                <w:lang w:val="it-IT"/>
              </w:rPr>
              <w:t xml:space="preserve">0% = </w:t>
            </w:r>
            <w:r w:rsidRPr="00727BE6">
              <w:rPr>
                <w:rFonts w:ascii="Cambria" w:eastAsia="Calibri" w:hAnsi="Cambria" w:cs="Calibri"/>
                <w:lang w:val="pl-PL"/>
              </w:rPr>
              <w:t>Nije izrađen i proveden praktični rad</w:t>
            </w:r>
            <w:r w:rsidRPr="00727BE6">
              <w:rPr>
                <w:rFonts w:ascii="Cambria" w:eastAsia="Calibri" w:hAnsi="Cambria" w:cs="Calibri"/>
                <w:lang w:val="it-IT"/>
              </w:rPr>
              <w:t>.</w:t>
            </w:r>
          </w:p>
          <w:p w14:paraId="3274199A" w14:textId="77777777" w:rsidR="008345F3" w:rsidRPr="00727BE6" w:rsidRDefault="008345F3" w:rsidP="008345F3">
            <w:pPr>
              <w:spacing w:after="0" w:line="240" w:lineRule="atLeast"/>
              <w:jc w:val="both"/>
              <w:rPr>
                <w:rFonts w:ascii="Cambria" w:eastAsia="Calibri" w:hAnsi="Cambria" w:cs="Calibri"/>
                <w:lang w:val="it-IT"/>
              </w:rPr>
            </w:pPr>
            <w:r w:rsidRPr="00727BE6">
              <w:rPr>
                <w:rFonts w:ascii="Cambria" w:eastAsia="Calibri" w:hAnsi="Cambria" w:cs="Calibri"/>
                <w:lang w:val="it-IT"/>
              </w:rPr>
              <w:t xml:space="preserve">10% = </w:t>
            </w:r>
            <w:proofErr w:type="spellStart"/>
            <w:r w:rsidRPr="00727BE6">
              <w:rPr>
                <w:rFonts w:ascii="Cambria" w:eastAsia="Calibri" w:hAnsi="Cambria" w:cs="Calibri"/>
                <w:lang w:val="it-IT"/>
              </w:rPr>
              <w:t>Praktični</w:t>
            </w:r>
            <w:proofErr w:type="spellEnd"/>
            <w:r w:rsidRPr="00727BE6">
              <w:rPr>
                <w:rFonts w:ascii="Cambria" w:eastAsia="Calibri" w:hAnsi="Cambria" w:cs="Calibri"/>
                <w:lang w:val="it-IT"/>
              </w:rPr>
              <w:t xml:space="preserve"> je rad </w:t>
            </w:r>
            <w:proofErr w:type="spellStart"/>
            <w:r w:rsidRPr="00727BE6">
              <w:rPr>
                <w:rFonts w:ascii="Cambria" w:eastAsia="Calibri" w:hAnsi="Cambria" w:cs="Calibri"/>
                <w:lang w:val="it-IT"/>
              </w:rPr>
              <w:t>izrađen</w:t>
            </w:r>
            <w:proofErr w:type="spellEnd"/>
            <w:r w:rsidRPr="00727BE6">
              <w:rPr>
                <w:rFonts w:ascii="Cambria" w:eastAsia="Calibri" w:hAnsi="Cambria" w:cs="Calibri"/>
                <w:lang w:val="it-IT"/>
              </w:rPr>
              <w:t xml:space="preserve"> i </w:t>
            </w:r>
            <w:proofErr w:type="spellStart"/>
            <w:r w:rsidRPr="00727BE6">
              <w:rPr>
                <w:rFonts w:ascii="Cambria" w:eastAsia="Calibri" w:hAnsi="Cambria" w:cs="Calibri"/>
                <w:lang w:val="it-IT"/>
              </w:rPr>
              <w:t>proveden</w:t>
            </w:r>
            <w:proofErr w:type="spellEnd"/>
            <w:r w:rsidRPr="00727BE6">
              <w:rPr>
                <w:rFonts w:ascii="Cambria" w:eastAsia="Calibri" w:hAnsi="Cambria" w:cs="Calibri"/>
                <w:lang w:val="it-IT"/>
              </w:rPr>
              <w:t xml:space="preserve"> </w:t>
            </w:r>
            <w:proofErr w:type="spellStart"/>
            <w:r w:rsidRPr="00727BE6">
              <w:rPr>
                <w:rFonts w:ascii="Cambria" w:eastAsia="Calibri" w:hAnsi="Cambria" w:cs="Calibri"/>
                <w:lang w:val="it-IT"/>
              </w:rPr>
              <w:t>uz</w:t>
            </w:r>
            <w:proofErr w:type="spellEnd"/>
            <w:r w:rsidRPr="00727BE6">
              <w:rPr>
                <w:rFonts w:ascii="Cambria" w:eastAsia="Calibri" w:hAnsi="Cambria" w:cs="Calibri"/>
                <w:lang w:val="it-IT"/>
              </w:rPr>
              <w:t xml:space="preserve"> </w:t>
            </w:r>
            <w:proofErr w:type="spellStart"/>
            <w:r w:rsidRPr="00727BE6">
              <w:rPr>
                <w:rFonts w:ascii="Cambria" w:eastAsia="Calibri" w:hAnsi="Cambria" w:cs="Calibri"/>
                <w:lang w:val="it-IT"/>
              </w:rPr>
              <w:t>velike</w:t>
            </w:r>
            <w:proofErr w:type="spellEnd"/>
            <w:r w:rsidRPr="00727BE6">
              <w:rPr>
                <w:rFonts w:ascii="Cambria" w:eastAsia="Calibri" w:hAnsi="Cambria" w:cs="Calibri"/>
                <w:lang w:val="it-IT"/>
              </w:rPr>
              <w:t xml:space="preserve"> </w:t>
            </w:r>
            <w:proofErr w:type="spellStart"/>
            <w:r w:rsidRPr="00727BE6">
              <w:rPr>
                <w:rFonts w:ascii="Cambria" w:eastAsia="Calibri" w:hAnsi="Cambria" w:cs="Calibri"/>
                <w:lang w:val="it-IT"/>
              </w:rPr>
              <w:t>nedostatke</w:t>
            </w:r>
            <w:proofErr w:type="spellEnd"/>
            <w:r w:rsidRPr="00727BE6">
              <w:rPr>
                <w:rFonts w:ascii="Cambria" w:eastAsia="Calibri" w:hAnsi="Cambria" w:cs="Calibri"/>
                <w:lang w:val="it-IT"/>
              </w:rPr>
              <w:t>.</w:t>
            </w:r>
          </w:p>
          <w:p w14:paraId="2B0700B0" w14:textId="77777777" w:rsidR="008345F3" w:rsidRPr="00727BE6" w:rsidRDefault="008345F3" w:rsidP="008345F3">
            <w:pPr>
              <w:spacing w:after="0" w:line="240" w:lineRule="atLeast"/>
              <w:jc w:val="both"/>
              <w:rPr>
                <w:rFonts w:ascii="Cambria" w:eastAsia="Calibri" w:hAnsi="Cambria" w:cs="Calibri"/>
                <w:lang w:val="it-IT"/>
              </w:rPr>
            </w:pPr>
            <w:r w:rsidRPr="00727BE6">
              <w:rPr>
                <w:rFonts w:ascii="Cambria" w:eastAsia="Calibri" w:hAnsi="Cambria" w:cs="Calibri"/>
                <w:lang w:val="it-IT"/>
              </w:rPr>
              <w:t xml:space="preserve">15% = </w:t>
            </w:r>
            <w:proofErr w:type="spellStart"/>
            <w:r w:rsidRPr="00727BE6">
              <w:rPr>
                <w:rFonts w:ascii="Cambria" w:eastAsia="Calibri" w:hAnsi="Cambria" w:cs="Calibri"/>
                <w:lang w:val="it-IT"/>
              </w:rPr>
              <w:t>Praktični</w:t>
            </w:r>
            <w:proofErr w:type="spellEnd"/>
            <w:r w:rsidRPr="00727BE6">
              <w:rPr>
                <w:rFonts w:ascii="Cambria" w:eastAsia="Calibri" w:hAnsi="Cambria" w:cs="Calibri"/>
                <w:lang w:val="it-IT"/>
              </w:rPr>
              <w:t xml:space="preserve"> je rad </w:t>
            </w:r>
            <w:proofErr w:type="spellStart"/>
            <w:r w:rsidRPr="00727BE6">
              <w:rPr>
                <w:rFonts w:ascii="Cambria" w:eastAsia="Calibri" w:hAnsi="Cambria" w:cs="Calibri"/>
                <w:lang w:val="it-IT"/>
              </w:rPr>
              <w:t>izrađen</w:t>
            </w:r>
            <w:proofErr w:type="spellEnd"/>
            <w:r w:rsidRPr="00727BE6">
              <w:rPr>
                <w:rFonts w:ascii="Cambria" w:eastAsia="Calibri" w:hAnsi="Cambria" w:cs="Calibri"/>
                <w:lang w:val="it-IT"/>
              </w:rPr>
              <w:t xml:space="preserve"> i </w:t>
            </w:r>
            <w:proofErr w:type="spellStart"/>
            <w:r w:rsidRPr="00727BE6">
              <w:rPr>
                <w:rFonts w:ascii="Cambria" w:eastAsia="Calibri" w:hAnsi="Cambria" w:cs="Calibri"/>
                <w:lang w:val="it-IT"/>
              </w:rPr>
              <w:t>proveden</w:t>
            </w:r>
            <w:proofErr w:type="spellEnd"/>
            <w:r w:rsidRPr="00727BE6">
              <w:rPr>
                <w:rFonts w:ascii="Cambria" w:eastAsia="Calibri" w:hAnsi="Cambria" w:cs="Calibri"/>
                <w:lang w:val="it-IT"/>
              </w:rPr>
              <w:t xml:space="preserve"> </w:t>
            </w:r>
            <w:proofErr w:type="spellStart"/>
            <w:r w:rsidRPr="00727BE6">
              <w:rPr>
                <w:rFonts w:ascii="Cambria" w:eastAsia="Calibri" w:hAnsi="Cambria" w:cs="Calibri"/>
                <w:lang w:val="it-IT"/>
              </w:rPr>
              <w:t>uz</w:t>
            </w:r>
            <w:proofErr w:type="spellEnd"/>
            <w:r w:rsidRPr="00727BE6">
              <w:rPr>
                <w:rFonts w:ascii="Cambria" w:eastAsia="Calibri" w:hAnsi="Cambria" w:cs="Calibri"/>
                <w:lang w:val="it-IT"/>
              </w:rPr>
              <w:t xml:space="preserve"> </w:t>
            </w:r>
            <w:proofErr w:type="spellStart"/>
            <w:r w:rsidRPr="00727BE6">
              <w:rPr>
                <w:rFonts w:ascii="Cambria" w:eastAsia="Calibri" w:hAnsi="Cambria" w:cs="Calibri"/>
                <w:lang w:val="it-IT"/>
              </w:rPr>
              <w:t>veće</w:t>
            </w:r>
            <w:proofErr w:type="spellEnd"/>
            <w:r w:rsidRPr="00727BE6">
              <w:rPr>
                <w:rFonts w:ascii="Cambria" w:eastAsia="Calibri" w:hAnsi="Cambria" w:cs="Calibri"/>
                <w:lang w:val="it-IT"/>
              </w:rPr>
              <w:t xml:space="preserve"> </w:t>
            </w:r>
            <w:proofErr w:type="spellStart"/>
            <w:r w:rsidRPr="00727BE6">
              <w:rPr>
                <w:rFonts w:ascii="Cambria" w:eastAsia="Calibri" w:hAnsi="Cambria" w:cs="Calibri"/>
                <w:lang w:val="it-IT"/>
              </w:rPr>
              <w:t>nedostatke</w:t>
            </w:r>
            <w:proofErr w:type="spellEnd"/>
            <w:r w:rsidRPr="00727BE6">
              <w:rPr>
                <w:rFonts w:ascii="Cambria" w:eastAsia="Calibri" w:hAnsi="Cambria" w:cs="Calibri"/>
                <w:lang w:val="it-IT"/>
              </w:rPr>
              <w:t>.</w:t>
            </w:r>
          </w:p>
          <w:p w14:paraId="46B22E50" w14:textId="77777777" w:rsidR="008345F3" w:rsidRPr="00727BE6" w:rsidRDefault="008345F3" w:rsidP="008345F3">
            <w:pPr>
              <w:spacing w:after="0" w:line="240" w:lineRule="atLeast"/>
              <w:jc w:val="both"/>
              <w:rPr>
                <w:rFonts w:ascii="Cambria" w:eastAsia="Calibri" w:hAnsi="Cambria" w:cs="Calibri"/>
                <w:lang w:val="it-IT"/>
              </w:rPr>
            </w:pPr>
            <w:r w:rsidRPr="00727BE6">
              <w:rPr>
                <w:rFonts w:ascii="Cambria" w:eastAsia="Calibri" w:hAnsi="Cambria" w:cs="Calibri"/>
                <w:lang w:val="it-IT"/>
              </w:rPr>
              <w:t xml:space="preserve">20% = </w:t>
            </w:r>
            <w:proofErr w:type="spellStart"/>
            <w:r w:rsidRPr="00727BE6">
              <w:rPr>
                <w:rFonts w:ascii="Cambria" w:eastAsia="Calibri" w:hAnsi="Cambria" w:cs="Calibri"/>
                <w:lang w:val="it-IT"/>
              </w:rPr>
              <w:t>Praktični</w:t>
            </w:r>
            <w:proofErr w:type="spellEnd"/>
            <w:r w:rsidRPr="00727BE6">
              <w:rPr>
                <w:rFonts w:ascii="Cambria" w:eastAsia="Calibri" w:hAnsi="Cambria" w:cs="Calibri"/>
                <w:lang w:val="it-IT"/>
              </w:rPr>
              <w:t xml:space="preserve"> je rad </w:t>
            </w:r>
            <w:proofErr w:type="spellStart"/>
            <w:r w:rsidRPr="00727BE6">
              <w:rPr>
                <w:rFonts w:ascii="Cambria" w:eastAsia="Calibri" w:hAnsi="Cambria" w:cs="Calibri"/>
                <w:lang w:val="it-IT"/>
              </w:rPr>
              <w:t>izrađen</w:t>
            </w:r>
            <w:proofErr w:type="spellEnd"/>
            <w:r w:rsidRPr="00727BE6">
              <w:rPr>
                <w:rFonts w:ascii="Cambria" w:eastAsia="Calibri" w:hAnsi="Cambria" w:cs="Calibri"/>
                <w:lang w:val="it-IT"/>
              </w:rPr>
              <w:t xml:space="preserve"> </w:t>
            </w:r>
            <w:proofErr w:type="spellStart"/>
            <w:r w:rsidRPr="00727BE6">
              <w:rPr>
                <w:rFonts w:ascii="Cambria" w:eastAsia="Calibri" w:hAnsi="Cambria" w:cs="Calibri"/>
                <w:lang w:val="it-IT"/>
              </w:rPr>
              <w:t>uz</w:t>
            </w:r>
            <w:proofErr w:type="spellEnd"/>
            <w:r w:rsidRPr="00727BE6">
              <w:rPr>
                <w:rFonts w:ascii="Cambria" w:eastAsia="Calibri" w:hAnsi="Cambria" w:cs="Calibri"/>
                <w:lang w:val="it-IT"/>
              </w:rPr>
              <w:t xml:space="preserve"> </w:t>
            </w:r>
            <w:proofErr w:type="spellStart"/>
            <w:r w:rsidRPr="00727BE6">
              <w:rPr>
                <w:rFonts w:ascii="Cambria" w:eastAsia="Calibri" w:hAnsi="Cambria" w:cs="Calibri"/>
                <w:lang w:val="it-IT"/>
              </w:rPr>
              <w:t>veće</w:t>
            </w:r>
            <w:proofErr w:type="spellEnd"/>
            <w:r w:rsidRPr="00727BE6">
              <w:rPr>
                <w:rFonts w:ascii="Cambria" w:eastAsia="Calibri" w:hAnsi="Cambria" w:cs="Calibri"/>
                <w:lang w:val="it-IT"/>
              </w:rPr>
              <w:t xml:space="preserve"> </w:t>
            </w:r>
            <w:proofErr w:type="spellStart"/>
            <w:r w:rsidRPr="00727BE6">
              <w:rPr>
                <w:rFonts w:ascii="Cambria" w:eastAsia="Calibri" w:hAnsi="Cambria" w:cs="Calibri"/>
                <w:lang w:val="it-IT"/>
              </w:rPr>
              <w:t>nedostatke</w:t>
            </w:r>
            <w:proofErr w:type="spellEnd"/>
            <w:r w:rsidRPr="00727BE6">
              <w:rPr>
                <w:rFonts w:ascii="Cambria" w:eastAsia="Calibri" w:hAnsi="Cambria" w:cs="Calibri"/>
                <w:lang w:val="it-IT"/>
              </w:rPr>
              <w:t xml:space="preserve"> i </w:t>
            </w:r>
            <w:proofErr w:type="spellStart"/>
            <w:r w:rsidRPr="00727BE6">
              <w:rPr>
                <w:rFonts w:ascii="Cambria" w:eastAsia="Calibri" w:hAnsi="Cambria" w:cs="Calibri"/>
                <w:lang w:val="it-IT"/>
              </w:rPr>
              <w:t>proveden</w:t>
            </w:r>
            <w:proofErr w:type="spellEnd"/>
            <w:r w:rsidRPr="00727BE6">
              <w:rPr>
                <w:rFonts w:ascii="Cambria" w:eastAsia="Calibri" w:hAnsi="Cambria" w:cs="Calibri"/>
                <w:lang w:val="it-IT"/>
              </w:rPr>
              <w:t xml:space="preserve"> </w:t>
            </w:r>
            <w:proofErr w:type="spellStart"/>
            <w:r w:rsidRPr="00727BE6">
              <w:rPr>
                <w:rFonts w:ascii="Cambria" w:eastAsia="Calibri" w:hAnsi="Cambria" w:cs="Calibri"/>
                <w:lang w:val="it-IT"/>
              </w:rPr>
              <w:t>uz</w:t>
            </w:r>
            <w:proofErr w:type="spellEnd"/>
            <w:r w:rsidRPr="00727BE6">
              <w:rPr>
                <w:rFonts w:ascii="Cambria" w:eastAsia="Calibri" w:hAnsi="Cambria" w:cs="Calibri"/>
                <w:lang w:val="it-IT"/>
              </w:rPr>
              <w:t xml:space="preserve"> </w:t>
            </w:r>
            <w:proofErr w:type="spellStart"/>
            <w:r w:rsidRPr="00727BE6">
              <w:rPr>
                <w:rFonts w:ascii="Cambria" w:eastAsia="Calibri" w:hAnsi="Cambria" w:cs="Calibri"/>
                <w:lang w:val="it-IT"/>
              </w:rPr>
              <w:t>manje</w:t>
            </w:r>
            <w:proofErr w:type="spellEnd"/>
            <w:r w:rsidRPr="00727BE6">
              <w:rPr>
                <w:rFonts w:ascii="Cambria" w:eastAsia="Calibri" w:hAnsi="Cambria" w:cs="Calibri"/>
                <w:lang w:val="it-IT"/>
              </w:rPr>
              <w:t xml:space="preserve"> </w:t>
            </w:r>
            <w:proofErr w:type="spellStart"/>
            <w:r w:rsidRPr="00727BE6">
              <w:rPr>
                <w:rFonts w:ascii="Cambria" w:eastAsia="Calibri" w:hAnsi="Cambria" w:cs="Calibri"/>
                <w:lang w:val="it-IT"/>
              </w:rPr>
              <w:t>nedostatke</w:t>
            </w:r>
            <w:proofErr w:type="spellEnd"/>
            <w:r w:rsidRPr="00727BE6">
              <w:rPr>
                <w:rFonts w:ascii="Cambria" w:eastAsia="Calibri" w:hAnsi="Cambria" w:cs="Calibri"/>
                <w:lang w:val="it-IT"/>
              </w:rPr>
              <w:t>.</w:t>
            </w:r>
          </w:p>
          <w:p w14:paraId="3CA78CC1" w14:textId="77777777" w:rsidR="008345F3" w:rsidRPr="00727BE6" w:rsidRDefault="008345F3" w:rsidP="008345F3">
            <w:pPr>
              <w:spacing w:after="0" w:line="240" w:lineRule="atLeast"/>
              <w:jc w:val="both"/>
              <w:rPr>
                <w:rFonts w:ascii="Cambria" w:eastAsia="Calibri" w:hAnsi="Cambria" w:cs="Calibri"/>
                <w:lang w:val="it-IT"/>
              </w:rPr>
            </w:pPr>
            <w:r w:rsidRPr="00727BE6">
              <w:rPr>
                <w:rFonts w:ascii="Cambria" w:eastAsia="Calibri" w:hAnsi="Cambria" w:cs="Calibri"/>
                <w:lang w:val="it-IT"/>
              </w:rPr>
              <w:t xml:space="preserve">25% = </w:t>
            </w:r>
            <w:proofErr w:type="spellStart"/>
            <w:r w:rsidRPr="00727BE6">
              <w:rPr>
                <w:rFonts w:ascii="Cambria" w:eastAsia="Calibri" w:hAnsi="Cambria" w:cs="Calibri"/>
                <w:lang w:val="it-IT"/>
              </w:rPr>
              <w:t>Praktični</w:t>
            </w:r>
            <w:proofErr w:type="spellEnd"/>
            <w:r w:rsidRPr="00727BE6">
              <w:rPr>
                <w:rFonts w:ascii="Cambria" w:eastAsia="Calibri" w:hAnsi="Cambria" w:cs="Calibri"/>
                <w:lang w:val="it-IT"/>
              </w:rPr>
              <w:t xml:space="preserve"> je rad </w:t>
            </w:r>
            <w:proofErr w:type="spellStart"/>
            <w:r w:rsidRPr="00727BE6">
              <w:rPr>
                <w:rFonts w:ascii="Cambria" w:eastAsia="Calibri" w:hAnsi="Cambria" w:cs="Calibri"/>
                <w:lang w:val="it-IT"/>
              </w:rPr>
              <w:t>izrađen</w:t>
            </w:r>
            <w:proofErr w:type="spellEnd"/>
            <w:r w:rsidRPr="00727BE6">
              <w:rPr>
                <w:rFonts w:ascii="Cambria" w:eastAsia="Calibri" w:hAnsi="Cambria" w:cs="Calibri"/>
                <w:lang w:val="it-IT"/>
              </w:rPr>
              <w:t xml:space="preserve"> i </w:t>
            </w:r>
            <w:proofErr w:type="spellStart"/>
            <w:r w:rsidRPr="00727BE6">
              <w:rPr>
                <w:rFonts w:ascii="Cambria" w:eastAsia="Calibri" w:hAnsi="Cambria" w:cs="Calibri"/>
                <w:lang w:val="it-IT"/>
              </w:rPr>
              <w:t>proveden</w:t>
            </w:r>
            <w:proofErr w:type="spellEnd"/>
            <w:r w:rsidRPr="00727BE6">
              <w:rPr>
                <w:rFonts w:ascii="Cambria" w:eastAsia="Calibri" w:hAnsi="Cambria" w:cs="Calibri"/>
                <w:lang w:val="it-IT"/>
              </w:rPr>
              <w:t xml:space="preserve"> </w:t>
            </w:r>
            <w:proofErr w:type="spellStart"/>
            <w:r w:rsidRPr="00727BE6">
              <w:rPr>
                <w:rFonts w:ascii="Cambria" w:eastAsia="Calibri" w:hAnsi="Cambria" w:cs="Calibri"/>
                <w:lang w:val="it-IT"/>
              </w:rPr>
              <w:t>uz</w:t>
            </w:r>
            <w:proofErr w:type="spellEnd"/>
            <w:r w:rsidRPr="00727BE6">
              <w:rPr>
                <w:rFonts w:ascii="Cambria" w:eastAsia="Calibri" w:hAnsi="Cambria" w:cs="Calibri"/>
                <w:lang w:val="it-IT"/>
              </w:rPr>
              <w:t xml:space="preserve"> </w:t>
            </w:r>
            <w:proofErr w:type="spellStart"/>
            <w:r w:rsidRPr="00727BE6">
              <w:rPr>
                <w:rFonts w:ascii="Cambria" w:eastAsia="Calibri" w:hAnsi="Cambria" w:cs="Calibri"/>
                <w:lang w:val="it-IT"/>
              </w:rPr>
              <w:t>manje</w:t>
            </w:r>
            <w:proofErr w:type="spellEnd"/>
            <w:r w:rsidRPr="00727BE6">
              <w:rPr>
                <w:rFonts w:ascii="Cambria" w:eastAsia="Calibri" w:hAnsi="Cambria" w:cs="Calibri"/>
                <w:lang w:val="it-IT"/>
              </w:rPr>
              <w:t xml:space="preserve"> </w:t>
            </w:r>
            <w:proofErr w:type="spellStart"/>
            <w:r w:rsidRPr="00727BE6">
              <w:rPr>
                <w:rFonts w:ascii="Cambria" w:eastAsia="Calibri" w:hAnsi="Cambria" w:cs="Calibri"/>
                <w:lang w:val="it-IT"/>
              </w:rPr>
              <w:t>nedostatke</w:t>
            </w:r>
            <w:proofErr w:type="spellEnd"/>
            <w:r w:rsidRPr="00727BE6">
              <w:rPr>
                <w:rFonts w:ascii="Cambria" w:eastAsia="Calibri" w:hAnsi="Cambria" w:cs="Calibri"/>
                <w:lang w:val="it-IT"/>
              </w:rPr>
              <w:t>.</w:t>
            </w:r>
          </w:p>
          <w:p w14:paraId="02CF8BDA" w14:textId="77777777" w:rsidR="008345F3" w:rsidRPr="00727BE6" w:rsidRDefault="008345F3" w:rsidP="008345F3">
            <w:pPr>
              <w:spacing w:after="0" w:line="240" w:lineRule="atLeast"/>
              <w:jc w:val="both"/>
              <w:rPr>
                <w:rFonts w:ascii="Cambria" w:eastAsia="Calibri" w:hAnsi="Cambria" w:cs="Calibri"/>
                <w:lang w:val="it-IT"/>
              </w:rPr>
            </w:pPr>
            <w:r w:rsidRPr="00727BE6">
              <w:rPr>
                <w:rFonts w:ascii="Cambria" w:eastAsia="Calibri" w:hAnsi="Cambria" w:cs="Calibri"/>
                <w:lang w:val="it-IT"/>
              </w:rPr>
              <w:t xml:space="preserve">30% = </w:t>
            </w:r>
            <w:proofErr w:type="spellStart"/>
            <w:r w:rsidRPr="00727BE6">
              <w:rPr>
                <w:rFonts w:ascii="Cambria" w:eastAsia="Calibri" w:hAnsi="Cambria" w:cs="Calibri"/>
                <w:lang w:val="it-IT"/>
              </w:rPr>
              <w:t>Praktični</w:t>
            </w:r>
            <w:proofErr w:type="spellEnd"/>
            <w:r w:rsidRPr="00727BE6">
              <w:rPr>
                <w:rFonts w:ascii="Cambria" w:eastAsia="Calibri" w:hAnsi="Cambria" w:cs="Calibri"/>
                <w:lang w:val="it-IT"/>
              </w:rPr>
              <w:t xml:space="preserve"> je rad </w:t>
            </w:r>
            <w:proofErr w:type="spellStart"/>
            <w:r w:rsidRPr="00727BE6">
              <w:rPr>
                <w:rFonts w:ascii="Cambria" w:eastAsia="Calibri" w:hAnsi="Cambria" w:cs="Calibri"/>
                <w:lang w:val="it-IT"/>
              </w:rPr>
              <w:t>kvalitetno</w:t>
            </w:r>
            <w:proofErr w:type="spellEnd"/>
            <w:r w:rsidRPr="00727BE6">
              <w:rPr>
                <w:rFonts w:ascii="Cambria" w:eastAsia="Calibri" w:hAnsi="Cambria" w:cs="Calibri"/>
                <w:lang w:val="it-IT"/>
              </w:rPr>
              <w:t xml:space="preserve"> </w:t>
            </w:r>
            <w:proofErr w:type="spellStart"/>
            <w:r w:rsidRPr="00727BE6">
              <w:rPr>
                <w:rFonts w:ascii="Cambria" w:eastAsia="Calibri" w:hAnsi="Cambria" w:cs="Calibri"/>
                <w:lang w:val="it-IT"/>
              </w:rPr>
              <w:t>izrađen</w:t>
            </w:r>
            <w:proofErr w:type="spellEnd"/>
            <w:r w:rsidRPr="00727BE6">
              <w:rPr>
                <w:rFonts w:ascii="Cambria" w:eastAsia="Calibri" w:hAnsi="Cambria" w:cs="Calibri"/>
                <w:lang w:val="it-IT"/>
              </w:rPr>
              <w:t xml:space="preserve"> i </w:t>
            </w:r>
            <w:proofErr w:type="spellStart"/>
            <w:r w:rsidRPr="00727BE6">
              <w:rPr>
                <w:rFonts w:ascii="Cambria" w:eastAsia="Calibri" w:hAnsi="Cambria" w:cs="Calibri"/>
                <w:lang w:val="it-IT"/>
              </w:rPr>
              <w:t>proveden</w:t>
            </w:r>
            <w:proofErr w:type="spellEnd"/>
            <w:r w:rsidRPr="00727BE6">
              <w:rPr>
                <w:rFonts w:ascii="Cambria" w:eastAsia="Calibri" w:hAnsi="Cambria" w:cs="Calibri"/>
                <w:lang w:val="it-IT"/>
              </w:rPr>
              <w:t xml:space="preserve"> </w:t>
            </w:r>
            <w:proofErr w:type="spellStart"/>
            <w:r w:rsidRPr="00727BE6">
              <w:rPr>
                <w:rFonts w:ascii="Cambria" w:eastAsia="Calibri" w:hAnsi="Cambria" w:cs="Calibri"/>
                <w:lang w:val="it-IT"/>
              </w:rPr>
              <w:t>uz</w:t>
            </w:r>
            <w:proofErr w:type="spellEnd"/>
            <w:r w:rsidRPr="00727BE6">
              <w:rPr>
                <w:rFonts w:ascii="Cambria" w:eastAsia="Calibri" w:hAnsi="Cambria" w:cs="Calibri"/>
                <w:lang w:val="it-IT"/>
              </w:rPr>
              <w:t xml:space="preserve"> </w:t>
            </w:r>
            <w:proofErr w:type="spellStart"/>
            <w:r w:rsidRPr="00727BE6">
              <w:rPr>
                <w:rFonts w:ascii="Cambria" w:eastAsia="Calibri" w:hAnsi="Cambria" w:cs="Calibri"/>
                <w:lang w:val="it-IT"/>
              </w:rPr>
              <w:t>manje</w:t>
            </w:r>
            <w:proofErr w:type="spellEnd"/>
            <w:r w:rsidRPr="00727BE6">
              <w:rPr>
                <w:rFonts w:ascii="Cambria" w:eastAsia="Calibri" w:hAnsi="Cambria" w:cs="Calibri"/>
                <w:lang w:val="it-IT"/>
              </w:rPr>
              <w:t xml:space="preserve"> </w:t>
            </w:r>
            <w:proofErr w:type="spellStart"/>
            <w:r w:rsidRPr="00727BE6">
              <w:rPr>
                <w:rFonts w:ascii="Cambria" w:eastAsia="Calibri" w:hAnsi="Cambria" w:cs="Calibri"/>
                <w:lang w:val="it-IT"/>
              </w:rPr>
              <w:t>nedostatke</w:t>
            </w:r>
            <w:proofErr w:type="spellEnd"/>
            <w:r w:rsidRPr="00727BE6">
              <w:rPr>
                <w:rFonts w:ascii="Cambria" w:eastAsia="Calibri" w:hAnsi="Cambria" w:cs="Calibri"/>
                <w:lang w:val="it-IT"/>
              </w:rPr>
              <w:t>.</w:t>
            </w:r>
          </w:p>
          <w:p w14:paraId="6F34E576" w14:textId="77777777" w:rsidR="008345F3" w:rsidRPr="00727BE6" w:rsidRDefault="008345F3" w:rsidP="008345F3">
            <w:pPr>
              <w:spacing w:after="0" w:line="240" w:lineRule="atLeast"/>
              <w:jc w:val="both"/>
              <w:rPr>
                <w:rFonts w:ascii="Cambria" w:eastAsia="Calibri" w:hAnsi="Cambria" w:cs="Calibri"/>
                <w:lang w:val="it-IT"/>
              </w:rPr>
            </w:pPr>
            <w:r w:rsidRPr="00727BE6">
              <w:rPr>
                <w:rFonts w:ascii="Cambria" w:eastAsia="Calibri" w:hAnsi="Cambria" w:cs="Calibri"/>
                <w:lang w:val="it-IT"/>
              </w:rPr>
              <w:t xml:space="preserve">35% = </w:t>
            </w:r>
            <w:r w:rsidRPr="00727BE6">
              <w:rPr>
                <w:rFonts w:ascii="Cambria" w:eastAsia="Calibri" w:hAnsi="Cambria" w:cs="Calibri"/>
                <w:lang w:val="pl-PL"/>
              </w:rPr>
              <w:t>Kvalitetno izrađen i proveden praktični rad.</w:t>
            </w:r>
          </w:p>
          <w:p w14:paraId="5B53D3B5" w14:textId="77777777" w:rsidR="008345F3" w:rsidRPr="00727BE6" w:rsidRDefault="008345F3" w:rsidP="008345F3">
            <w:pPr>
              <w:spacing w:after="0" w:line="240" w:lineRule="atLeast"/>
              <w:jc w:val="both"/>
              <w:rPr>
                <w:rFonts w:ascii="Cambria" w:eastAsia="Calibri" w:hAnsi="Cambria" w:cs="Calibri"/>
                <w:lang w:val="pl-PL"/>
              </w:rPr>
            </w:pPr>
            <w:r w:rsidRPr="00727BE6">
              <w:rPr>
                <w:rFonts w:ascii="Cambria" w:eastAsia="Calibri" w:hAnsi="Cambria" w:cs="Calibri"/>
                <w:lang w:val="pl-PL"/>
              </w:rPr>
              <w:t>40% = Vrlo kvalitetno izrađen i proveden praktični rad.</w:t>
            </w:r>
          </w:p>
          <w:p w14:paraId="39EDB0A1" w14:textId="77777777" w:rsidR="008345F3" w:rsidRPr="00727BE6" w:rsidRDefault="008345F3" w:rsidP="008345F3">
            <w:pPr>
              <w:spacing w:after="0" w:line="240" w:lineRule="atLeast"/>
              <w:jc w:val="both"/>
              <w:rPr>
                <w:rFonts w:ascii="Cambria" w:eastAsia="Calibri" w:hAnsi="Cambria" w:cs="Calibri"/>
                <w:lang w:eastAsia="hr-HR"/>
              </w:rPr>
            </w:pPr>
            <w:r w:rsidRPr="00727BE6">
              <w:rPr>
                <w:rFonts w:ascii="Cambria" w:eastAsia="Calibri" w:hAnsi="Cambria" w:cs="Calibri"/>
                <w:bCs/>
                <w:lang w:val="pl-PL" w:eastAsia="hr-HR"/>
              </w:rPr>
              <w:t>Usmeni ispit</w:t>
            </w:r>
            <w:r w:rsidRPr="00727BE6">
              <w:rPr>
                <w:rFonts w:ascii="Cambria" w:eastAsia="Calibri" w:hAnsi="Cambria" w:cs="Calibri"/>
                <w:lang w:val="pl-PL" w:eastAsia="hr-HR"/>
              </w:rPr>
              <w:t xml:space="preserve"> je svojevrsna rekapitulacija svega naučenog tijekom semestra i odražava opću pripremljenost i spremnost za primjenu naučenih sadržaja kolegija. </w:t>
            </w:r>
            <w:proofErr w:type="spellStart"/>
            <w:r w:rsidRPr="00727BE6">
              <w:rPr>
                <w:rFonts w:ascii="Cambria" w:eastAsia="Calibri" w:hAnsi="Cambria" w:cs="Calibri"/>
                <w:lang w:eastAsia="hr-HR"/>
              </w:rPr>
              <w:t>Usmeni</w:t>
            </w:r>
            <w:proofErr w:type="spellEnd"/>
            <w:r w:rsidRPr="00727BE6">
              <w:rPr>
                <w:rFonts w:ascii="Cambria" w:eastAsia="Calibri" w:hAnsi="Cambria" w:cs="Calibri"/>
                <w:lang w:eastAsia="hr-HR"/>
              </w:rPr>
              <w:t xml:space="preserve"> </w:t>
            </w:r>
            <w:proofErr w:type="spellStart"/>
            <w:r w:rsidRPr="00727BE6">
              <w:rPr>
                <w:rFonts w:ascii="Cambria" w:eastAsia="Calibri" w:hAnsi="Cambria" w:cs="Calibri"/>
                <w:lang w:eastAsia="hr-HR"/>
              </w:rPr>
              <w:t>ispit</w:t>
            </w:r>
            <w:proofErr w:type="spellEnd"/>
            <w:r w:rsidRPr="00727BE6">
              <w:rPr>
                <w:rFonts w:ascii="Cambria" w:eastAsia="Calibri" w:hAnsi="Cambria" w:cs="Calibri"/>
                <w:lang w:eastAsia="hr-HR"/>
              </w:rPr>
              <w:t xml:space="preserve"> </w:t>
            </w:r>
            <w:proofErr w:type="spellStart"/>
            <w:r w:rsidRPr="00727BE6">
              <w:rPr>
                <w:rFonts w:ascii="Cambria" w:eastAsia="Calibri" w:hAnsi="Cambria" w:cs="Calibri"/>
                <w:lang w:eastAsia="hr-HR"/>
              </w:rPr>
              <w:t>sastoji</w:t>
            </w:r>
            <w:proofErr w:type="spellEnd"/>
            <w:r w:rsidRPr="00727BE6">
              <w:rPr>
                <w:rFonts w:ascii="Cambria" w:eastAsia="Calibri" w:hAnsi="Cambria" w:cs="Calibri"/>
                <w:lang w:eastAsia="hr-HR"/>
              </w:rPr>
              <w:t xml:space="preserve"> se od tri </w:t>
            </w:r>
            <w:proofErr w:type="spellStart"/>
            <w:r w:rsidRPr="00727BE6">
              <w:rPr>
                <w:rFonts w:ascii="Cambria" w:eastAsia="Calibri" w:hAnsi="Cambria" w:cs="Calibri"/>
                <w:lang w:eastAsia="hr-HR"/>
              </w:rPr>
              <w:t>pitanja</w:t>
            </w:r>
            <w:proofErr w:type="spellEnd"/>
            <w:r w:rsidRPr="00727BE6">
              <w:rPr>
                <w:rFonts w:ascii="Cambria" w:eastAsia="Calibri" w:hAnsi="Cambria" w:cs="Calibri"/>
                <w:lang w:eastAsia="hr-HR"/>
              </w:rPr>
              <w:t>.</w:t>
            </w:r>
          </w:p>
        </w:tc>
      </w:tr>
      <w:tr w:rsidR="008345F3" w:rsidRPr="00963BC1" w14:paraId="58B8A6C9" w14:textId="77777777" w:rsidTr="008345F3">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93C60D2" w14:textId="77777777" w:rsidR="008345F3" w:rsidRPr="00727BE6" w:rsidRDefault="008345F3" w:rsidP="008345F3">
            <w:pPr>
              <w:spacing w:after="0" w:line="240" w:lineRule="atLeast"/>
              <w:jc w:val="both"/>
              <w:rPr>
                <w:rFonts w:ascii="Cambria" w:eastAsia="Calibri" w:hAnsi="Cambria" w:cs="Calibri"/>
              </w:rPr>
            </w:pPr>
            <w:proofErr w:type="spellStart"/>
            <w:r w:rsidRPr="00727BE6">
              <w:rPr>
                <w:rFonts w:ascii="Cambria" w:eastAsia="Calibri" w:hAnsi="Cambria" w:cs="Calibri"/>
              </w:rPr>
              <w:t>Studentske</w:t>
            </w:r>
            <w:proofErr w:type="spellEnd"/>
            <w:r w:rsidRPr="00727BE6">
              <w:rPr>
                <w:rFonts w:ascii="Cambria" w:eastAsia="Calibri" w:hAnsi="Cambria" w:cs="Calibri"/>
              </w:rPr>
              <w:t xml:space="preserve"> </w:t>
            </w:r>
            <w:proofErr w:type="spellStart"/>
            <w:r w:rsidRPr="00727BE6">
              <w:rPr>
                <w:rFonts w:ascii="Cambria" w:eastAsia="Calibri" w:hAnsi="Cambria" w:cs="Calibri"/>
              </w:rPr>
              <w:t>obveze</w:t>
            </w:r>
            <w:proofErr w:type="spellEnd"/>
          </w:p>
        </w:tc>
        <w:tc>
          <w:tcPr>
            <w:tcW w:w="671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C5B2A09" w14:textId="77777777" w:rsidR="008345F3" w:rsidRPr="00727BE6" w:rsidRDefault="008345F3" w:rsidP="008345F3">
            <w:pPr>
              <w:spacing w:after="0" w:line="240" w:lineRule="atLeast"/>
              <w:jc w:val="both"/>
              <w:rPr>
                <w:rFonts w:ascii="Cambria" w:eastAsia="Calibri" w:hAnsi="Cambria" w:cs="Calibri"/>
                <w:lang w:val="it-IT"/>
              </w:rPr>
            </w:pPr>
            <w:r w:rsidRPr="00727BE6">
              <w:rPr>
                <w:rFonts w:ascii="Cambria" w:eastAsia="Calibri" w:hAnsi="Cambria" w:cs="Calibri"/>
                <w:lang w:val="it-IT"/>
              </w:rPr>
              <w:t xml:space="preserve">Da </w:t>
            </w:r>
            <w:proofErr w:type="spellStart"/>
            <w:r w:rsidRPr="00727BE6">
              <w:rPr>
                <w:rFonts w:ascii="Cambria" w:eastAsia="Calibri" w:hAnsi="Cambria" w:cs="Calibri"/>
                <w:lang w:val="it-IT"/>
              </w:rPr>
              <w:t>položi</w:t>
            </w:r>
            <w:proofErr w:type="spellEnd"/>
            <w:r w:rsidRPr="00727BE6">
              <w:rPr>
                <w:rFonts w:ascii="Cambria" w:eastAsia="Calibri" w:hAnsi="Cambria" w:cs="Calibri"/>
                <w:lang w:val="it-IT"/>
              </w:rPr>
              <w:t xml:space="preserve"> </w:t>
            </w:r>
            <w:proofErr w:type="spellStart"/>
            <w:r w:rsidRPr="00727BE6">
              <w:rPr>
                <w:rFonts w:ascii="Cambria" w:eastAsia="Calibri" w:hAnsi="Cambria" w:cs="Calibri"/>
                <w:lang w:val="it-IT"/>
              </w:rPr>
              <w:t>kolegij</w:t>
            </w:r>
            <w:proofErr w:type="spellEnd"/>
            <w:r w:rsidRPr="00727BE6">
              <w:rPr>
                <w:rFonts w:ascii="Cambria" w:eastAsia="Calibri" w:hAnsi="Cambria" w:cs="Calibri"/>
                <w:lang w:val="it-IT"/>
              </w:rPr>
              <w:t xml:space="preserve">, </w:t>
            </w:r>
            <w:proofErr w:type="spellStart"/>
            <w:r w:rsidRPr="00727BE6">
              <w:rPr>
                <w:rFonts w:ascii="Cambria" w:eastAsia="Calibri" w:hAnsi="Cambria" w:cs="Calibri"/>
                <w:lang w:val="it-IT"/>
              </w:rPr>
              <w:t>student</w:t>
            </w:r>
            <w:proofErr w:type="spellEnd"/>
            <w:r w:rsidRPr="00727BE6">
              <w:rPr>
                <w:rFonts w:ascii="Cambria" w:eastAsia="Calibri" w:hAnsi="Cambria" w:cs="Calibri"/>
                <w:lang w:val="it-IT"/>
              </w:rPr>
              <w:t xml:space="preserve"> mora: </w:t>
            </w:r>
          </w:p>
          <w:p w14:paraId="30687BA1" w14:textId="072BA014" w:rsidR="008345F3" w:rsidRPr="00727BE6" w:rsidRDefault="008345F3" w:rsidP="008345F3">
            <w:pPr>
              <w:spacing w:after="0" w:line="240" w:lineRule="atLeast"/>
              <w:jc w:val="both"/>
              <w:rPr>
                <w:rFonts w:ascii="Cambria" w:eastAsia="Calibri" w:hAnsi="Cambria" w:cs="Calibri"/>
                <w:lang w:val="it-IT"/>
              </w:rPr>
            </w:pPr>
            <w:r w:rsidRPr="00727BE6">
              <w:rPr>
                <w:rFonts w:ascii="Cambria" w:eastAsia="Calibri" w:hAnsi="Cambria" w:cs="Calibri"/>
                <w:lang w:val="it-IT"/>
              </w:rPr>
              <w:t xml:space="preserve">1. </w:t>
            </w:r>
            <w:r w:rsidR="000053D1" w:rsidRPr="00727BE6">
              <w:rPr>
                <w:rFonts w:ascii="Cambria" w:eastAsia="Calibri" w:hAnsi="Cambria" w:cs="Calibri"/>
                <w:lang w:val="hr-HR"/>
              </w:rPr>
              <w:t>p</w:t>
            </w:r>
            <w:r w:rsidRPr="00727BE6">
              <w:rPr>
                <w:rFonts w:ascii="Cambria" w:eastAsia="Calibri" w:hAnsi="Cambria" w:cs="Calibri"/>
                <w:lang w:val="vi-VN"/>
              </w:rPr>
              <w:t>ohađa</w:t>
            </w:r>
            <w:r w:rsidRPr="00727BE6">
              <w:rPr>
                <w:rFonts w:ascii="Cambria" w:eastAsia="Calibri" w:hAnsi="Cambria" w:cs="Calibri"/>
                <w:lang w:val="it-IT"/>
              </w:rPr>
              <w:t xml:space="preserve">ti </w:t>
            </w:r>
            <w:proofErr w:type="spellStart"/>
            <w:r w:rsidRPr="00727BE6">
              <w:rPr>
                <w:rFonts w:ascii="Cambria" w:eastAsia="Calibri" w:hAnsi="Cambria" w:cs="Calibri"/>
                <w:lang w:val="it-IT"/>
              </w:rPr>
              <w:t>više</w:t>
            </w:r>
            <w:proofErr w:type="spellEnd"/>
            <w:r w:rsidRPr="00727BE6">
              <w:rPr>
                <w:rFonts w:ascii="Cambria" w:eastAsia="Calibri" w:hAnsi="Cambria" w:cs="Calibri"/>
                <w:lang w:val="it-IT"/>
              </w:rPr>
              <w:t xml:space="preserve"> </w:t>
            </w:r>
            <w:proofErr w:type="gramStart"/>
            <w:r w:rsidRPr="00727BE6">
              <w:rPr>
                <w:rFonts w:ascii="Cambria" w:eastAsia="Calibri" w:hAnsi="Cambria" w:cs="Calibri"/>
                <w:lang w:val="it-IT"/>
              </w:rPr>
              <w:t>od</w:t>
            </w:r>
            <w:proofErr w:type="gramEnd"/>
            <w:r w:rsidRPr="00727BE6">
              <w:rPr>
                <w:rFonts w:ascii="Cambria" w:eastAsia="Calibri" w:hAnsi="Cambria" w:cs="Calibri"/>
                <w:lang w:val="it-IT"/>
              </w:rPr>
              <w:t xml:space="preserve"> 70 % </w:t>
            </w:r>
            <w:proofErr w:type="spellStart"/>
            <w:r w:rsidRPr="00727BE6">
              <w:rPr>
                <w:rFonts w:ascii="Cambria" w:eastAsia="Calibri" w:hAnsi="Cambria" w:cs="Calibri"/>
                <w:lang w:val="it-IT"/>
              </w:rPr>
              <w:t>nastave</w:t>
            </w:r>
            <w:proofErr w:type="spellEnd"/>
            <w:r w:rsidRPr="00727BE6">
              <w:rPr>
                <w:rFonts w:ascii="Cambria" w:eastAsia="Calibri" w:hAnsi="Cambria" w:cs="Calibri"/>
                <w:lang w:val="it-IT"/>
              </w:rPr>
              <w:t xml:space="preserve">. </w:t>
            </w:r>
            <w:r w:rsidRPr="00727BE6">
              <w:rPr>
                <w:rFonts w:ascii="Cambria" w:eastAsia="Calibri" w:hAnsi="Cambria" w:cs="Calibri"/>
                <w:lang w:val="vi-VN"/>
              </w:rPr>
              <w:t xml:space="preserve">Ako student izostane </w:t>
            </w:r>
            <w:r w:rsidRPr="00727BE6">
              <w:rPr>
                <w:rFonts w:ascii="Cambria" w:eastAsia="Calibri" w:hAnsi="Cambria" w:cs="Calibri"/>
                <w:lang w:val="it-IT"/>
              </w:rPr>
              <w:t xml:space="preserve">od 30% do 50% </w:t>
            </w:r>
            <w:proofErr w:type="spellStart"/>
            <w:r w:rsidRPr="00727BE6">
              <w:rPr>
                <w:rFonts w:ascii="Cambria" w:eastAsia="Calibri" w:hAnsi="Cambria" w:cs="Calibri"/>
                <w:lang w:val="it-IT"/>
              </w:rPr>
              <w:t>nastave</w:t>
            </w:r>
            <w:proofErr w:type="spellEnd"/>
            <w:r w:rsidRPr="00727BE6">
              <w:rPr>
                <w:rFonts w:ascii="Cambria" w:eastAsia="Calibri" w:hAnsi="Cambria" w:cs="Calibri"/>
                <w:lang w:val="vi-VN"/>
              </w:rPr>
              <w:t xml:space="preserve">, trebat će izvršiti dodatne zadatke, odnosno ako izostane više </w:t>
            </w:r>
            <w:r w:rsidRPr="00727BE6">
              <w:rPr>
                <w:rFonts w:ascii="Cambria" w:eastAsia="Calibri" w:hAnsi="Cambria" w:cs="Calibri"/>
                <w:lang w:val="it-IT"/>
              </w:rPr>
              <w:t>od 50%</w:t>
            </w:r>
            <w:r w:rsidRPr="00727BE6">
              <w:rPr>
                <w:rFonts w:ascii="Cambria" w:eastAsia="Calibri" w:hAnsi="Cambria" w:cs="Calibri"/>
                <w:lang w:val="vi-VN"/>
              </w:rPr>
              <w:t xml:space="preserve">, uskratit će mu se pravo na potpis, ispit i upis </w:t>
            </w:r>
            <w:proofErr w:type="spellStart"/>
            <w:r w:rsidRPr="00727BE6">
              <w:rPr>
                <w:rFonts w:ascii="Cambria" w:eastAsia="Calibri" w:hAnsi="Cambria" w:cs="Calibri"/>
                <w:lang w:val="it-IT"/>
              </w:rPr>
              <w:t>bodova</w:t>
            </w:r>
            <w:proofErr w:type="spellEnd"/>
            <w:r w:rsidRPr="00727BE6">
              <w:rPr>
                <w:rFonts w:ascii="Cambria" w:eastAsia="Calibri" w:hAnsi="Cambria" w:cs="Calibri"/>
                <w:lang w:val="vi-VN"/>
              </w:rPr>
              <w:t>.</w:t>
            </w:r>
          </w:p>
          <w:p w14:paraId="335B9998" w14:textId="7B252F22" w:rsidR="008345F3" w:rsidRPr="00727BE6" w:rsidRDefault="008345F3" w:rsidP="008345F3">
            <w:pPr>
              <w:spacing w:after="0" w:line="240" w:lineRule="atLeast"/>
              <w:jc w:val="both"/>
              <w:rPr>
                <w:rFonts w:ascii="Cambria" w:eastAsia="Calibri" w:hAnsi="Cambria" w:cs="Calibri"/>
                <w:lang w:val="it-IT"/>
              </w:rPr>
            </w:pPr>
            <w:r w:rsidRPr="00727BE6">
              <w:rPr>
                <w:rFonts w:ascii="Cambria" w:eastAsia="Calibri" w:hAnsi="Cambria" w:cs="Calibri"/>
                <w:lang w:val="it-IT"/>
              </w:rPr>
              <w:t xml:space="preserve">2. </w:t>
            </w:r>
            <w:proofErr w:type="spellStart"/>
            <w:r w:rsidR="000053D1" w:rsidRPr="00727BE6">
              <w:rPr>
                <w:rFonts w:ascii="Cambria" w:eastAsia="Calibri" w:hAnsi="Cambria" w:cs="Calibri"/>
                <w:lang w:val="it-IT"/>
              </w:rPr>
              <w:t>p</w:t>
            </w:r>
            <w:r w:rsidRPr="00727BE6">
              <w:rPr>
                <w:rFonts w:ascii="Cambria" w:eastAsia="Calibri" w:hAnsi="Cambria" w:cs="Calibri"/>
                <w:lang w:val="it-IT"/>
              </w:rPr>
              <w:t>ripremiti</w:t>
            </w:r>
            <w:proofErr w:type="spellEnd"/>
            <w:r w:rsidRPr="00727BE6">
              <w:rPr>
                <w:rFonts w:ascii="Cambria" w:eastAsia="Calibri" w:hAnsi="Cambria" w:cs="Calibri"/>
                <w:lang w:val="it-IT"/>
              </w:rPr>
              <w:t xml:space="preserve"> i </w:t>
            </w:r>
            <w:proofErr w:type="spellStart"/>
            <w:r w:rsidRPr="00727BE6">
              <w:rPr>
                <w:rFonts w:ascii="Cambria" w:eastAsia="Calibri" w:hAnsi="Cambria" w:cs="Calibri"/>
                <w:lang w:val="it-IT"/>
              </w:rPr>
              <w:t>provesti</w:t>
            </w:r>
            <w:proofErr w:type="spellEnd"/>
            <w:r w:rsidRPr="00727BE6">
              <w:rPr>
                <w:rFonts w:ascii="Cambria" w:eastAsia="Calibri" w:hAnsi="Cambria" w:cs="Calibri"/>
                <w:lang w:val="it-IT"/>
              </w:rPr>
              <w:t xml:space="preserve"> </w:t>
            </w:r>
            <w:proofErr w:type="spellStart"/>
            <w:r w:rsidRPr="00727BE6">
              <w:rPr>
                <w:rFonts w:ascii="Cambria" w:eastAsia="Calibri" w:hAnsi="Cambria" w:cs="Calibri"/>
                <w:lang w:val="it-IT"/>
              </w:rPr>
              <w:t>sat</w:t>
            </w:r>
            <w:proofErr w:type="spellEnd"/>
            <w:r w:rsidRPr="00727BE6">
              <w:rPr>
                <w:rFonts w:ascii="Cambria" w:eastAsia="Calibri" w:hAnsi="Cambria" w:cs="Calibri"/>
                <w:lang w:val="it-IT"/>
              </w:rPr>
              <w:t xml:space="preserve"> </w:t>
            </w:r>
            <w:proofErr w:type="spellStart"/>
            <w:r w:rsidRPr="00727BE6">
              <w:rPr>
                <w:rFonts w:ascii="Cambria" w:eastAsia="Calibri" w:hAnsi="Cambria" w:cs="Calibri"/>
                <w:lang w:val="it-IT"/>
              </w:rPr>
              <w:t>tjelesne</w:t>
            </w:r>
            <w:proofErr w:type="spellEnd"/>
            <w:r w:rsidRPr="00727BE6">
              <w:rPr>
                <w:rFonts w:ascii="Cambria" w:eastAsia="Calibri" w:hAnsi="Cambria" w:cs="Calibri"/>
                <w:lang w:val="it-IT"/>
              </w:rPr>
              <w:t xml:space="preserve"> i </w:t>
            </w:r>
            <w:proofErr w:type="spellStart"/>
            <w:r w:rsidRPr="00727BE6">
              <w:rPr>
                <w:rFonts w:ascii="Cambria" w:eastAsia="Calibri" w:hAnsi="Cambria" w:cs="Calibri"/>
                <w:lang w:val="it-IT"/>
              </w:rPr>
              <w:t>zdravstvene</w:t>
            </w:r>
            <w:proofErr w:type="spellEnd"/>
            <w:r w:rsidRPr="00727BE6">
              <w:rPr>
                <w:rFonts w:ascii="Cambria" w:eastAsia="Calibri" w:hAnsi="Cambria" w:cs="Calibri"/>
                <w:lang w:val="it-IT"/>
              </w:rPr>
              <w:t xml:space="preserve"> </w:t>
            </w:r>
            <w:proofErr w:type="spellStart"/>
            <w:r w:rsidRPr="00727BE6">
              <w:rPr>
                <w:rFonts w:ascii="Cambria" w:eastAsia="Calibri" w:hAnsi="Cambria" w:cs="Calibri"/>
                <w:lang w:val="it-IT"/>
              </w:rPr>
              <w:t>kulture</w:t>
            </w:r>
            <w:proofErr w:type="spellEnd"/>
            <w:r w:rsidRPr="00727BE6">
              <w:rPr>
                <w:rFonts w:ascii="Cambria" w:eastAsia="Calibri" w:hAnsi="Cambria" w:cs="Calibri"/>
                <w:lang w:val="it-IT"/>
              </w:rPr>
              <w:t xml:space="preserve"> s </w:t>
            </w:r>
            <w:proofErr w:type="spellStart"/>
            <w:r w:rsidRPr="00727BE6">
              <w:rPr>
                <w:rFonts w:ascii="Cambria" w:eastAsia="Calibri" w:hAnsi="Cambria" w:cs="Calibri"/>
                <w:lang w:val="it-IT"/>
              </w:rPr>
              <w:t>učenicima</w:t>
            </w:r>
            <w:proofErr w:type="spellEnd"/>
            <w:r w:rsidRPr="00727BE6">
              <w:rPr>
                <w:rFonts w:ascii="Cambria" w:eastAsia="Calibri" w:hAnsi="Cambria" w:cs="Calibri"/>
                <w:lang w:val="it-IT"/>
              </w:rPr>
              <w:t xml:space="preserve"> u </w:t>
            </w:r>
            <w:proofErr w:type="spellStart"/>
            <w:r w:rsidRPr="00727BE6">
              <w:rPr>
                <w:rFonts w:ascii="Cambria" w:eastAsia="Calibri" w:hAnsi="Cambria" w:cs="Calibri"/>
                <w:lang w:val="it-IT"/>
              </w:rPr>
              <w:t>vježbaonici</w:t>
            </w:r>
            <w:proofErr w:type="spellEnd"/>
            <w:r w:rsidRPr="00727BE6">
              <w:rPr>
                <w:rFonts w:ascii="Cambria" w:eastAsia="Calibri" w:hAnsi="Cambria" w:cs="Calibri"/>
                <w:lang w:val="it-IT"/>
              </w:rPr>
              <w:t xml:space="preserve"> prema </w:t>
            </w:r>
            <w:proofErr w:type="spellStart"/>
            <w:r w:rsidRPr="00727BE6">
              <w:rPr>
                <w:rFonts w:ascii="Cambria" w:eastAsia="Calibri" w:hAnsi="Cambria" w:cs="Calibri"/>
                <w:lang w:val="it-IT"/>
              </w:rPr>
              <w:t>dogovorenim</w:t>
            </w:r>
            <w:proofErr w:type="spellEnd"/>
            <w:r w:rsidRPr="00727BE6">
              <w:rPr>
                <w:rFonts w:ascii="Cambria" w:eastAsia="Calibri" w:hAnsi="Cambria" w:cs="Calibri"/>
                <w:lang w:val="it-IT"/>
              </w:rPr>
              <w:t xml:space="preserve"> </w:t>
            </w:r>
            <w:proofErr w:type="spellStart"/>
            <w:r w:rsidRPr="00727BE6">
              <w:rPr>
                <w:rFonts w:ascii="Cambria" w:eastAsia="Calibri" w:hAnsi="Cambria" w:cs="Calibri"/>
                <w:lang w:val="it-IT"/>
              </w:rPr>
              <w:t>rokovima</w:t>
            </w:r>
            <w:proofErr w:type="spellEnd"/>
            <w:r w:rsidRPr="00727BE6">
              <w:rPr>
                <w:rFonts w:ascii="Cambria" w:eastAsia="Calibri" w:hAnsi="Cambria" w:cs="Calibri"/>
                <w:lang w:val="it-IT"/>
              </w:rPr>
              <w:t xml:space="preserve"> u </w:t>
            </w:r>
            <w:proofErr w:type="spellStart"/>
            <w:r w:rsidRPr="00727BE6">
              <w:rPr>
                <w:rFonts w:ascii="Cambria" w:eastAsia="Calibri" w:hAnsi="Cambria" w:cs="Calibri"/>
                <w:lang w:val="it-IT"/>
              </w:rPr>
              <w:t>semestru</w:t>
            </w:r>
            <w:proofErr w:type="spellEnd"/>
            <w:r w:rsidRPr="00727BE6">
              <w:rPr>
                <w:rFonts w:ascii="Cambria" w:eastAsia="Calibri" w:hAnsi="Cambria" w:cs="Calibri"/>
                <w:lang w:val="it-IT"/>
              </w:rPr>
              <w:t xml:space="preserve">. </w:t>
            </w:r>
          </w:p>
          <w:p w14:paraId="5C202858" w14:textId="51894207" w:rsidR="008345F3" w:rsidRPr="00727BE6" w:rsidRDefault="008345F3" w:rsidP="008345F3">
            <w:pPr>
              <w:spacing w:after="0" w:line="240" w:lineRule="atLeast"/>
              <w:jc w:val="both"/>
              <w:rPr>
                <w:rFonts w:ascii="Cambria" w:eastAsia="Calibri" w:hAnsi="Cambria" w:cs="Calibri"/>
              </w:rPr>
            </w:pPr>
            <w:r w:rsidRPr="00727BE6">
              <w:rPr>
                <w:rFonts w:ascii="Cambria" w:eastAsia="Calibri" w:hAnsi="Cambria" w:cs="Calibri"/>
              </w:rPr>
              <w:t xml:space="preserve">3. </w:t>
            </w:r>
            <w:proofErr w:type="spellStart"/>
            <w:r w:rsidR="000053D1" w:rsidRPr="00727BE6">
              <w:rPr>
                <w:rFonts w:ascii="Cambria" w:eastAsia="Calibri" w:hAnsi="Cambria" w:cs="Calibri"/>
              </w:rPr>
              <w:t>p</w:t>
            </w:r>
            <w:r w:rsidRPr="00727BE6">
              <w:rPr>
                <w:rFonts w:ascii="Cambria" w:eastAsia="Calibri" w:hAnsi="Cambria" w:cs="Calibri"/>
              </w:rPr>
              <w:t>oložiti</w:t>
            </w:r>
            <w:proofErr w:type="spellEnd"/>
            <w:r w:rsidRPr="00727BE6">
              <w:rPr>
                <w:rFonts w:ascii="Cambria" w:eastAsia="Calibri" w:hAnsi="Cambria" w:cs="Calibri"/>
              </w:rPr>
              <w:t xml:space="preserve"> </w:t>
            </w:r>
            <w:proofErr w:type="spellStart"/>
            <w:r w:rsidRPr="00727BE6">
              <w:rPr>
                <w:rFonts w:ascii="Cambria" w:eastAsia="Calibri" w:hAnsi="Cambria" w:cs="Calibri"/>
              </w:rPr>
              <w:t>usmeni</w:t>
            </w:r>
            <w:proofErr w:type="spellEnd"/>
            <w:r w:rsidRPr="00727BE6">
              <w:rPr>
                <w:rFonts w:ascii="Cambria" w:eastAsia="Calibri" w:hAnsi="Cambria" w:cs="Calibri"/>
              </w:rPr>
              <w:t xml:space="preserve"> </w:t>
            </w:r>
            <w:proofErr w:type="spellStart"/>
            <w:r w:rsidRPr="00727BE6">
              <w:rPr>
                <w:rFonts w:ascii="Cambria" w:eastAsia="Calibri" w:hAnsi="Cambria" w:cs="Calibri"/>
              </w:rPr>
              <w:t>ispit</w:t>
            </w:r>
            <w:proofErr w:type="spellEnd"/>
            <w:r w:rsidRPr="00727BE6">
              <w:rPr>
                <w:rFonts w:ascii="Cambria" w:eastAsia="Calibri" w:hAnsi="Cambria" w:cs="Calibri"/>
              </w:rPr>
              <w:t>.</w:t>
            </w:r>
          </w:p>
        </w:tc>
      </w:tr>
      <w:tr w:rsidR="008345F3" w:rsidRPr="00D0399C" w14:paraId="40C6856B" w14:textId="77777777" w:rsidTr="008345F3">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EE35FA9" w14:textId="77777777" w:rsidR="008345F3" w:rsidRPr="00727BE6" w:rsidRDefault="008345F3" w:rsidP="000053D1">
            <w:pPr>
              <w:spacing w:after="0" w:line="240" w:lineRule="atLeast"/>
              <w:rPr>
                <w:rFonts w:ascii="Cambria" w:eastAsia="Calibri" w:hAnsi="Cambria" w:cs="Calibri"/>
              </w:rPr>
            </w:pPr>
            <w:proofErr w:type="spellStart"/>
            <w:r w:rsidRPr="00727BE6">
              <w:rPr>
                <w:rFonts w:ascii="Cambria" w:eastAsia="Calibri" w:hAnsi="Cambria" w:cs="Calibri"/>
              </w:rPr>
              <w:t>Rokovi</w:t>
            </w:r>
            <w:proofErr w:type="spellEnd"/>
            <w:r w:rsidRPr="00727BE6">
              <w:rPr>
                <w:rFonts w:ascii="Cambria" w:eastAsia="Calibri" w:hAnsi="Cambria" w:cs="Calibri"/>
              </w:rPr>
              <w:t xml:space="preserve"> </w:t>
            </w:r>
            <w:proofErr w:type="spellStart"/>
            <w:r w:rsidRPr="00727BE6">
              <w:rPr>
                <w:rFonts w:ascii="Cambria" w:eastAsia="Calibri" w:hAnsi="Cambria" w:cs="Calibri"/>
              </w:rPr>
              <w:t>ispita</w:t>
            </w:r>
            <w:proofErr w:type="spellEnd"/>
            <w:r w:rsidRPr="00727BE6">
              <w:rPr>
                <w:rFonts w:ascii="Cambria" w:eastAsia="Calibri" w:hAnsi="Cambria" w:cs="Calibri"/>
              </w:rPr>
              <w:t xml:space="preserve"> </w:t>
            </w:r>
            <w:proofErr w:type="spellStart"/>
            <w:r w:rsidRPr="00727BE6">
              <w:rPr>
                <w:rFonts w:ascii="Cambria" w:eastAsia="Calibri" w:hAnsi="Cambria" w:cs="Calibri"/>
              </w:rPr>
              <w:t>i</w:t>
            </w:r>
            <w:proofErr w:type="spellEnd"/>
            <w:r w:rsidRPr="00727BE6">
              <w:rPr>
                <w:rFonts w:ascii="Cambria" w:eastAsia="Calibri" w:hAnsi="Cambria" w:cs="Calibri"/>
              </w:rPr>
              <w:t xml:space="preserve"> </w:t>
            </w:r>
            <w:proofErr w:type="spellStart"/>
            <w:r w:rsidRPr="00727BE6">
              <w:rPr>
                <w:rFonts w:ascii="Cambria" w:eastAsia="Calibri" w:hAnsi="Cambria" w:cs="Calibri"/>
              </w:rPr>
              <w:t>kolokvija</w:t>
            </w:r>
            <w:proofErr w:type="spellEnd"/>
          </w:p>
        </w:tc>
        <w:tc>
          <w:tcPr>
            <w:tcW w:w="671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3D9ACCA" w14:textId="77777777" w:rsidR="008345F3" w:rsidRPr="00727BE6" w:rsidRDefault="008345F3" w:rsidP="008345F3">
            <w:pPr>
              <w:spacing w:after="0" w:line="240" w:lineRule="atLeast"/>
              <w:jc w:val="both"/>
              <w:rPr>
                <w:rFonts w:ascii="Cambria" w:eastAsia="Calibri" w:hAnsi="Cambria" w:cs="Calibri"/>
                <w:lang w:val="it-IT"/>
              </w:rPr>
            </w:pPr>
            <w:proofErr w:type="spellStart"/>
            <w:r w:rsidRPr="00727BE6">
              <w:rPr>
                <w:rFonts w:ascii="Cambria" w:eastAsia="Calibri" w:hAnsi="Cambria" w:cs="Calibri"/>
                <w:lang w:val="it-IT"/>
              </w:rPr>
              <w:t>Daju</w:t>
            </w:r>
            <w:proofErr w:type="spellEnd"/>
            <w:r w:rsidRPr="00727BE6">
              <w:rPr>
                <w:rFonts w:ascii="Cambria" w:eastAsia="Calibri" w:hAnsi="Cambria" w:cs="Calibri"/>
                <w:lang w:val="it-IT"/>
              </w:rPr>
              <w:t xml:space="preserve"> se </w:t>
            </w:r>
            <w:proofErr w:type="spellStart"/>
            <w:r w:rsidRPr="00727BE6">
              <w:rPr>
                <w:rFonts w:ascii="Cambria" w:eastAsia="Calibri" w:hAnsi="Cambria" w:cs="Calibri"/>
                <w:lang w:val="it-IT"/>
              </w:rPr>
              <w:t>na</w:t>
            </w:r>
            <w:proofErr w:type="spellEnd"/>
            <w:r w:rsidRPr="00727BE6">
              <w:rPr>
                <w:rFonts w:ascii="Cambria" w:eastAsia="Calibri" w:hAnsi="Cambria" w:cs="Calibri"/>
                <w:lang w:val="it-IT"/>
              </w:rPr>
              <w:t xml:space="preserve"> </w:t>
            </w:r>
            <w:proofErr w:type="spellStart"/>
            <w:r w:rsidRPr="00727BE6">
              <w:rPr>
                <w:rFonts w:ascii="Cambria" w:eastAsia="Calibri" w:hAnsi="Cambria" w:cs="Calibri"/>
                <w:lang w:val="it-IT"/>
              </w:rPr>
              <w:t>početku</w:t>
            </w:r>
            <w:proofErr w:type="spellEnd"/>
            <w:r w:rsidRPr="00727BE6">
              <w:rPr>
                <w:rFonts w:ascii="Cambria" w:eastAsia="Calibri" w:hAnsi="Cambria" w:cs="Calibri"/>
                <w:lang w:val="it-IT"/>
              </w:rPr>
              <w:t xml:space="preserve"> </w:t>
            </w:r>
            <w:proofErr w:type="spellStart"/>
            <w:r w:rsidRPr="00727BE6">
              <w:rPr>
                <w:rFonts w:ascii="Cambria" w:eastAsia="Calibri" w:hAnsi="Cambria" w:cs="Calibri"/>
                <w:lang w:val="it-IT"/>
              </w:rPr>
              <w:t>akademske</w:t>
            </w:r>
            <w:proofErr w:type="spellEnd"/>
            <w:r w:rsidRPr="00727BE6">
              <w:rPr>
                <w:rFonts w:ascii="Cambria" w:eastAsia="Calibri" w:hAnsi="Cambria" w:cs="Calibri"/>
                <w:lang w:val="it-IT"/>
              </w:rPr>
              <w:t xml:space="preserve"> godine i </w:t>
            </w:r>
            <w:proofErr w:type="spellStart"/>
            <w:r w:rsidRPr="00727BE6">
              <w:rPr>
                <w:rFonts w:ascii="Cambria" w:eastAsia="Calibri" w:hAnsi="Cambria" w:cs="Calibri"/>
                <w:lang w:val="it-IT"/>
              </w:rPr>
              <w:t>objavljuju</w:t>
            </w:r>
            <w:proofErr w:type="spellEnd"/>
            <w:r w:rsidRPr="00727BE6">
              <w:rPr>
                <w:rFonts w:ascii="Cambria" w:eastAsia="Calibri" w:hAnsi="Cambria" w:cs="Calibri"/>
                <w:lang w:val="it-IT"/>
              </w:rPr>
              <w:t xml:space="preserve"> se u ISVU. </w:t>
            </w:r>
          </w:p>
        </w:tc>
      </w:tr>
      <w:tr w:rsidR="008345F3" w:rsidRPr="000053D1" w14:paraId="3DB826DB" w14:textId="77777777" w:rsidTr="008345F3">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AF93104" w14:textId="77777777" w:rsidR="008345F3" w:rsidRPr="00727BE6" w:rsidRDefault="008345F3" w:rsidP="008345F3">
            <w:pPr>
              <w:spacing w:after="0" w:line="240" w:lineRule="atLeast"/>
              <w:jc w:val="both"/>
              <w:rPr>
                <w:rFonts w:ascii="Cambria" w:eastAsia="Calibri" w:hAnsi="Cambria" w:cs="Calibri"/>
                <w:lang w:val="it-IT"/>
              </w:rPr>
            </w:pPr>
            <w:r w:rsidRPr="00727BE6">
              <w:rPr>
                <w:rFonts w:ascii="Cambria" w:eastAsia="Calibri" w:hAnsi="Cambria" w:cs="Calibri"/>
                <w:lang w:val="it-IT"/>
              </w:rPr>
              <w:t xml:space="preserve">Ostale </w:t>
            </w:r>
            <w:proofErr w:type="spellStart"/>
            <w:r w:rsidRPr="00727BE6">
              <w:rPr>
                <w:rFonts w:ascii="Cambria" w:eastAsia="Calibri" w:hAnsi="Cambria" w:cs="Calibri"/>
                <w:lang w:val="it-IT"/>
              </w:rPr>
              <w:t>važne</w:t>
            </w:r>
            <w:proofErr w:type="spellEnd"/>
            <w:r w:rsidRPr="00727BE6">
              <w:rPr>
                <w:rFonts w:ascii="Cambria" w:eastAsia="Calibri" w:hAnsi="Cambria" w:cs="Calibri"/>
                <w:lang w:val="it-IT"/>
              </w:rPr>
              <w:t xml:space="preserve"> </w:t>
            </w:r>
            <w:proofErr w:type="spellStart"/>
            <w:r w:rsidRPr="00727BE6">
              <w:rPr>
                <w:rFonts w:ascii="Cambria" w:eastAsia="Calibri" w:hAnsi="Cambria" w:cs="Calibri"/>
                <w:lang w:val="it-IT"/>
              </w:rPr>
              <w:t>činjenice</w:t>
            </w:r>
            <w:proofErr w:type="spellEnd"/>
            <w:r w:rsidRPr="00727BE6">
              <w:rPr>
                <w:rFonts w:ascii="Cambria" w:eastAsia="Calibri" w:hAnsi="Cambria" w:cs="Calibri"/>
                <w:lang w:val="it-IT"/>
              </w:rPr>
              <w:t xml:space="preserve"> </w:t>
            </w:r>
            <w:proofErr w:type="spellStart"/>
            <w:r w:rsidRPr="00727BE6">
              <w:rPr>
                <w:rFonts w:ascii="Cambria" w:eastAsia="Calibri" w:hAnsi="Cambria" w:cs="Calibri"/>
                <w:lang w:val="it-IT"/>
              </w:rPr>
              <w:t>vezane</w:t>
            </w:r>
            <w:proofErr w:type="spellEnd"/>
            <w:r w:rsidRPr="00727BE6">
              <w:rPr>
                <w:rFonts w:ascii="Cambria" w:eastAsia="Calibri" w:hAnsi="Cambria" w:cs="Calibri"/>
                <w:lang w:val="it-IT"/>
              </w:rPr>
              <w:t xml:space="preserve"> </w:t>
            </w:r>
            <w:proofErr w:type="spellStart"/>
            <w:r w:rsidRPr="00727BE6">
              <w:rPr>
                <w:rFonts w:ascii="Cambria" w:eastAsia="Calibri" w:hAnsi="Cambria" w:cs="Calibri"/>
                <w:lang w:val="it-IT"/>
              </w:rPr>
              <w:t>uz</w:t>
            </w:r>
            <w:proofErr w:type="spellEnd"/>
            <w:r w:rsidRPr="00727BE6">
              <w:rPr>
                <w:rFonts w:ascii="Cambria" w:eastAsia="Calibri" w:hAnsi="Cambria" w:cs="Calibri"/>
                <w:lang w:val="it-IT"/>
              </w:rPr>
              <w:t xml:space="preserve"> </w:t>
            </w:r>
            <w:proofErr w:type="spellStart"/>
            <w:r w:rsidRPr="00727BE6">
              <w:rPr>
                <w:rFonts w:ascii="Cambria" w:eastAsia="Calibri" w:hAnsi="Cambria" w:cs="Calibri"/>
                <w:lang w:val="it-IT"/>
              </w:rPr>
              <w:t>kolegij</w:t>
            </w:r>
            <w:proofErr w:type="spellEnd"/>
          </w:p>
        </w:tc>
        <w:tc>
          <w:tcPr>
            <w:tcW w:w="671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4DA2371" w14:textId="77777777" w:rsidR="008345F3" w:rsidRPr="00727BE6" w:rsidRDefault="008345F3" w:rsidP="008345F3">
            <w:pPr>
              <w:spacing w:after="0" w:line="240" w:lineRule="atLeast"/>
              <w:jc w:val="both"/>
              <w:rPr>
                <w:rFonts w:ascii="Cambria" w:eastAsia="Calibri" w:hAnsi="Cambria" w:cs="Calibri"/>
                <w:lang w:val="it-IT"/>
              </w:rPr>
            </w:pPr>
            <w:proofErr w:type="spellStart"/>
            <w:r w:rsidRPr="00727BE6">
              <w:rPr>
                <w:rFonts w:ascii="Cambria" w:eastAsia="Calibri" w:hAnsi="Cambria" w:cs="Calibri"/>
                <w:lang w:val="it-IT"/>
              </w:rPr>
              <w:t>Materijali</w:t>
            </w:r>
            <w:proofErr w:type="spellEnd"/>
            <w:r w:rsidRPr="00727BE6">
              <w:rPr>
                <w:rFonts w:ascii="Cambria" w:eastAsia="Calibri" w:hAnsi="Cambria" w:cs="Calibri"/>
                <w:lang w:val="it-IT"/>
              </w:rPr>
              <w:t xml:space="preserve"> za </w:t>
            </w:r>
            <w:proofErr w:type="spellStart"/>
            <w:r w:rsidRPr="00727BE6">
              <w:rPr>
                <w:rFonts w:ascii="Cambria" w:eastAsia="Calibri" w:hAnsi="Cambria" w:cs="Calibri"/>
                <w:lang w:val="it-IT"/>
              </w:rPr>
              <w:t>predavanja</w:t>
            </w:r>
            <w:proofErr w:type="spellEnd"/>
            <w:r w:rsidRPr="00727BE6">
              <w:rPr>
                <w:rFonts w:ascii="Cambria" w:eastAsia="Calibri" w:hAnsi="Cambria" w:cs="Calibri"/>
                <w:lang w:val="it-IT"/>
              </w:rPr>
              <w:t xml:space="preserve"> </w:t>
            </w:r>
            <w:proofErr w:type="gramStart"/>
            <w:r w:rsidRPr="00727BE6">
              <w:rPr>
                <w:rFonts w:ascii="Cambria" w:eastAsia="Calibri" w:hAnsi="Cambria" w:cs="Calibri"/>
                <w:lang w:val="it-IT"/>
              </w:rPr>
              <w:t>i seminare</w:t>
            </w:r>
            <w:proofErr w:type="gramEnd"/>
            <w:r w:rsidRPr="00727BE6">
              <w:rPr>
                <w:rFonts w:ascii="Cambria" w:eastAsia="Calibri" w:hAnsi="Cambria" w:cs="Calibri"/>
                <w:lang w:val="it-IT"/>
              </w:rPr>
              <w:t xml:space="preserve"> </w:t>
            </w:r>
            <w:proofErr w:type="spellStart"/>
            <w:r w:rsidRPr="00727BE6">
              <w:rPr>
                <w:rFonts w:ascii="Cambria" w:eastAsia="Calibri" w:hAnsi="Cambria" w:cs="Calibri"/>
                <w:lang w:val="it-IT"/>
              </w:rPr>
              <w:t>objavljuju</w:t>
            </w:r>
            <w:proofErr w:type="spellEnd"/>
            <w:r w:rsidRPr="00727BE6">
              <w:rPr>
                <w:rFonts w:ascii="Cambria" w:eastAsia="Calibri" w:hAnsi="Cambria" w:cs="Calibri"/>
                <w:lang w:val="it-IT"/>
              </w:rPr>
              <w:t xml:space="preserve"> se </w:t>
            </w:r>
            <w:proofErr w:type="spellStart"/>
            <w:r w:rsidRPr="00727BE6">
              <w:rPr>
                <w:rFonts w:ascii="Cambria" w:eastAsia="Calibri" w:hAnsi="Cambria" w:cs="Calibri"/>
                <w:lang w:val="it-IT"/>
              </w:rPr>
              <w:t>na</w:t>
            </w:r>
            <w:proofErr w:type="spellEnd"/>
            <w:r w:rsidRPr="00727BE6">
              <w:rPr>
                <w:rFonts w:ascii="Cambria" w:eastAsia="Calibri" w:hAnsi="Cambria" w:cs="Calibri"/>
                <w:lang w:val="it-IT"/>
              </w:rPr>
              <w:t xml:space="preserve"> e-</w:t>
            </w:r>
            <w:proofErr w:type="spellStart"/>
            <w:r w:rsidRPr="00727BE6">
              <w:rPr>
                <w:rFonts w:ascii="Cambria" w:eastAsia="Calibri" w:hAnsi="Cambria" w:cs="Calibri"/>
                <w:lang w:val="it-IT"/>
              </w:rPr>
              <w:t>učenju</w:t>
            </w:r>
            <w:proofErr w:type="spellEnd"/>
            <w:r w:rsidRPr="00727BE6">
              <w:rPr>
                <w:rFonts w:ascii="Cambria" w:eastAsia="Calibri" w:hAnsi="Cambria" w:cs="Calibri"/>
                <w:lang w:val="it-IT"/>
              </w:rPr>
              <w:t>.</w:t>
            </w:r>
          </w:p>
          <w:p w14:paraId="1F8EA0B6" w14:textId="62C00BBE" w:rsidR="008345F3" w:rsidRPr="00727BE6" w:rsidRDefault="008345F3" w:rsidP="008345F3">
            <w:pPr>
              <w:spacing w:after="0" w:line="240" w:lineRule="atLeast"/>
              <w:jc w:val="both"/>
              <w:rPr>
                <w:rFonts w:ascii="Cambria" w:eastAsia="Calibri" w:hAnsi="Cambria" w:cs="Calibri"/>
                <w:lang w:val="it-IT"/>
              </w:rPr>
            </w:pPr>
            <w:r w:rsidRPr="00727BE6">
              <w:rPr>
                <w:rFonts w:ascii="Cambria" w:eastAsia="Calibri" w:hAnsi="Cambria" w:cs="Calibri"/>
                <w:lang w:val="it-IT"/>
              </w:rPr>
              <w:lastRenderedPageBreak/>
              <w:t xml:space="preserve">U </w:t>
            </w:r>
            <w:proofErr w:type="spellStart"/>
            <w:r w:rsidRPr="00727BE6">
              <w:rPr>
                <w:rFonts w:ascii="Cambria" w:eastAsia="Calibri" w:hAnsi="Cambria" w:cs="Calibri"/>
                <w:lang w:val="it-IT"/>
              </w:rPr>
              <w:t>slučaju</w:t>
            </w:r>
            <w:proofErr w:type="spellEnd"/>
            <w:r w:rsidRPr="00727BE6">
              <w:rPr>
                <w:rFonts w:ascii="Cambria" w:eastAsia="Calibri" w:hAnsi="Cambria" w:cs="Calibri"/>
                <w:lang w:val="it-IT"/>
              </w:rPr>
              <w:t xml:space="preserve"> </w:t>
            </w:r>
            <w:proofErr w:type="spellStart"/>
            <w:r w:rsidRPr="00727BE6">
              <w:rPr>
                <w:rFonts w:ascii="Cambria" w:eastAsia="Calibri" w:hAnsi="Cambria" w:cs="Calibri"/>
                <w:lang w:val="it-IT"/>
              </w:rPr>
              <w:t>održavanja</w:t>
            </w:r>
            <w:proofErr w:type="spellEnd"/>
            <w:r w:rsidRPr="00727BE6">
              <w:rPr>
                <w:rFonts w:ascii="Cambria" w:eastAsia="Calibri" w:hAnsi="Cambria" w:cs="Calibri"/>
                <w:lang w:val="it-IT"/>
              </w:rPr>
              <w:t xml:space="preserve"> </w:t>
            </w:r>
            <w:proofErr w:type="spellStart"/>
            <w:r w:rsidRPr="00727BE6">
              <w:rPr>
                <w:rFonts w:ascii="Cambria" w:eastAsia="Calibri" w:hAnsi="Cambria" w:cs="Calibri"/>
                <w:lang w:val="it-IT"/>
              </w:rPr>
              <w:t>nastave</w:t>
            </w:r>
            <w:proofErr w:type="spellEnd"/>
            <w:r w:rsidRPr="00727BE6">
              <w:rPr>
                <w:rFonts w:ascii="Cambria" w:eastAsia="Calibri" w:hAnsi="Cambria" w:cs="Calibri"/>
                <w:lang w:val="it-IT"/>
              </w:rPr>
              <w:t xml:space="preserve"> </w:t>
            </w:r>
            <w:proofErr w:type="spellStart"/>
            <w:r w:rsidRPr="00727BE6">
              <w:rPr>
                <w:rFonts w:ascii="Cambria" w:eastAsia="Calibri" w:hAnsi="Cambria" w:cs="Calibri"/>
                <w:lang w:val="it-IT"/>
              </w:rPr>
              <w:t>na</w:t>
            </w:r>
            <w:proofErr w:type="spellEnd"/>
            <w:r w:rsidRPr="00727BE6">
              <w:rPr>
                <w:rFonts w:ascii="Cambria" w:eastAsia="Calibri" w:hAnsi="Cambria" w:cs="Calibri"/>
                <w:lang w:val="it-IT"/>
              </w:rPr>
              <w:t xml:space="preserve"> </w:t>
            </w:r>
            <w:proofErr w:type="spellStart"/>
            <w:r w:rsidRPr="00727BE6">
              <w:rPr>
                <w:rFonts w:ascii="Cambria" w:eastAsia="Calibri" w:hAnsi="Cambria" w:cs="Calibri"/>
                <w:lang w:val="it-IT"/>
              </w:rPr>
              <w:t>daljinu</w:t>
            </w:r>
            <w:proofErr w:type="spellEnd"/>
            <w:r w:rsidRPr="00727BE6">
              <w:rPr>
                <w:rFonts w:ascii="Cambria" w:eastAsia="Calibri" w:hAnsi="Cambria" w:cs="Calibri"/>
                <w:lang w:val="it-IT"/>
              </w:rPr>
              <w:t xml:space="preserve">, </w:t>
            </w:r>
            <w:proofErr w:type="spellStart"/>
            <w:r w:rsidRPr="00727BE6">
              <w:rPr>
                <w:rFonts w:ascii="Cambria" w:eastAsia="Calibri" w:hAnsi="Cambria" w:cs="Calibri"/>
                <w:lang w:val="it-IT"/>
              </w:rPr>
              <w:t>moguće</w:t>
            </w:r>
            <w:proofErr w:type="spellEnd"/>
            <w:r w:rsidRPr="00727BE6">
              <w:rPr>
                <w:rFonts w:ascii="Cambria" w:eastAsia="Calibri" w:hAnsi="Cambria" w:cs="Calibri"/>
                <w:lang w:val="it-IT"/>
              </w:rPr>
              <w:t xml:space="preserve"> je </w:t>
            </w:r>
            <w:proofErr w:type="spellStart"/>
            <w:r w:rsidRPr="00727BE6">
              <w:rPr>
                <w:rFonts w:ascii="Cambria" w:eastAsia="Calibri" w:hAnsi="Cambria" w:cs="Calibri"/>
                <w:lang w:val="it-IT"/>
              </w:rPr>
              <w:t>odstupanje</w:t>
            </w:r>
            <w:proofErr w:type="spellEnd"/>
            <w:r w:rsidRPr="00727BE6">
              <w:rPr>
                <w:rFonts w:ascii="Cambria" w:eastAsia="Calibri" w:hAnsi="Cambria" w:cs="Calibri"/>
                <w:lang w:val="it-IT"/>
              </w:rPr>
              <w:t xml:space="preserve"> u: </w:t>
            </w:r>
            <w:proofErr w:type="spellStart"/>
            <w:r w:rsidRPr="00727BE6">
              <w:rPr>
                <w:rFonts w:ascii="Cambria" w:eastAsia="Calibri" w:hAnsi="Cambria" w:cs="Calibri"/>
                <w:lang w:val="it-IT"/>
              </w:rPr>
              <w:t>mjestu</w:t>
            </w:r>
            <w:proofErr w:type="spellEnd"/>
            <w:r w:rsidRPr="00727BE6">
              <w:rPr>
                <w:rFonts w:ascii="Cambria" w:eastAsia="Calibri" w:hAnsi="Cambria" w:cs="Calibri"/>
                <w:lang w:val="it-IT"/>
              </w:rPr>
              <w:t xml:space="preserve"> </w:t>
            </w:r>
            <w:proofErr w:type="spellStart"/>
            <w:r w:rsidRPr="00727BE6">
              <w:rPr>
                <w:rFonts w:ascii="Cambria" w:eastAsia="Calibri" w:hAnsi="Cambria" w:cs="Calibri"/>
                <w:lang w:val="it-IT"/>
              </w:rPr>
              <w:t>izvođenja</w:t>
            </w:r>
            <w:proofErr w:type="spellEnd"/>
            <w:r w:rsidRPr="00727BE6">
              <w:rPr>
                <w:rFonts w:ascii="Cambria" w:eastAsia="Calibri" w:hAnsi="Cambria" w:cs="Calibri"/>
                <w:lang w:val="it-IT"/>
              </w:rPr>
              <w:t xml:space="preserve"> </w:t>
            </w:r>
            <w:proofErr w:type="spellStart"/>
            <w:r w:rsidRPr="00727BE6">
              <w:rPr>
                <w:rFonts w:ascii="Cambria" w:eastAsia="Calibri" w:hAnsi="Cambria" w:cs="Calibri"/>
                <w:lang w:val="it-IT"/>
              </w:rPr>
              <w:t>kolegija</w:t>
            </w:r>
            <w:proofErr w:type="spellEnd"/>
            <w:r w:rsidRPr="00727BE6">
              <w:rPr>
                <w:rFonts w:ascii="Cambria" w:eastAsia="Calibri" w:hAnsi="Cambria" w:cs="Calibri"/>
                <w:lang w:val="it-IT"/>
              </w:rPr>
              <w:t xml:space="preserve">, </w:t>
            </w:r>
            <w:proofErr w:type="spellStart"/>
            <w:r w:rsidRPr="00727BE6">
              <w:rPr>
                <w:rFonts w:ascii="Cambria" w:eastAsia="Calibri" w:hAnsi="Cambria" w:cs="Calibri"/>
                <w:lang w:val="it-IT"/>
              </w:rPr>
              <w:t>provedbi</w:t>
            </w:r>
            <w:proofErr w:type="spellEnd"/>
            <w:r w:rsidRPr="00727BE6">
              <w:rPr>
                <w:rFonts w:ascii="Cambria" w:eastAsia="Calibri" w:hAnsi="Cambria" w:cs="Calibri"/>
                <w:lang w:val="it-IT"/>
              </w:rPr>
              <w:t xml:space="preserve"> </w:t>
            </w:r>
            <w:proofErr w:type="spellStart"/>
            <w:r w:rsidRPr="00727BE6">
              <w:rPr>
                <w:rFonts w:ascii="Cambria" w:eastAsia="Calibri" w:hAnsi="Cambria" w:cs="Calibri"/>
                <w:lang w:val="it-IT"/>
              </w:rPr>
              <w:t>aktivnosti</w:t>
            </w:r>
            <w:proofErr w:type="spellEnd"/>
            <w:r w:rsidRPr="00727BE6">
              <w:rPr>
                <w:rFonts w:ascii="Cambria" w:eastAsia="Calibri" w:hAnsi="Cambria" w:cs="Calibri"/>
                <w:lang w:val="it-IT"/>
              </w:rPr>
              <w:t xml:space="preserve">, </w:t>
            </w:r>
            <w:proofErr w:type="spellStart"/>
            <w:r w:rsidRPr="00727BE6">
              <w:rPr>
                <w:rFonts w:ascii="Cambria" w:eastAsia="Calibri" w:hAnsi="Cambria" w:cs="Calibri"/>
                <w:lang w:val="it-IT"/>
              </w:rPr>
              <w:t>metoda</w:t>
            </w:r>
            <w:proofErr w:type="spellEnd"/>
            <w:r w:rsidRPr="00727BE6">
              <w:rPr>
                <w:rFonts w:ascii="Cambria" w:eastAsia="Calibri" w:hAnsi="Cambria" w:cs="Calibri"/>
                <w:lang w:val="it-IT"/>
              </w:rPr>
              <w:t xml:space="preserve"> </w:t>
            </w:r>
            <w:proofErr w:type="spellStart"/>
            <w:r w:rsidRPr="00727BE6">
              <w:rPr>
                <w:rFonts w:ascii="Cambria" w:eastAsia="Calibri" w:hAnsi="Cambria" w:cs="Calibri"/>
                <w:lang w:val="it-IT"/>
              </w:rPr>
              <w:t>tumačenja</w:t>
            </w:r>
            <w:proofErr w:type="spellEnd"/>
            <w:r w:rsidRPr="00727BE6">
              <w:rPr>
                <w:rFonts w:ascii="Cambria" w:eastAsia="Calibri" w:hAnsi="Cambria" w:cs="Calibri"/>
                <w:lang w:val="it-IT"/>
              </w:rPr>
              <w:t xml:space="preserve"> i </w:t>
            </w:r>
            <w:proofErr w:type="spellStart"/>
            <w:r w:rsidRPr="00727BE6">
              <w:rPr>
                <w:rFonts w:ascii="Cambria" w:eastAsia="Calibri" w:hAnsi="Cambria" w:cs="Calibri"/>
                <w:lang w:val="it-IT"/>
              </w:rPr>
              <w:t>poučavanja</w:t>
            </w:r>
            <w:proofErr w:type="spellEnd"/>
            <w:r w:rsidRPr="00727BE6">
              <w:rPr>
                <w:rFonts w:ascii="Cambria" w:eastAsia="Calibri" w:hAnsi="Cambria" w:cs="Calibri"/>
                <w:lang w:val="it-IT"/>
              </w:rPr>
              <w:t xml:space="preserve"> i </w:t>
            </w:r>
            <w:proofErr w:type="spellStart"/>
            <w:r w:rsidRPr="00727BE6">
              <w:rPr>
                <w:rFonts w:ascii="Cambria" w:eastAsia="Calibri" w:hAnsi="Cambria" w:cs="Calibri"/>
                <w:lang w:val="it-IT"/>
              </w:rPr>
              <w:t>načinima</w:t>
            </w:r>
            <w:proofErr w:type="spellEnd"/>
            <w:r w:rsidRPr="00727BE6">
              <w:rPr>
                <w:rFonts w:ascii="Cambria" w:eastAsia="Calibri" w:hAnsi="Cambria" w:cs="Calibri"/>
                <w:lang w:val="it-IT"/>
              </w:rPr>
              <w:t xml:space="preserve"> </w:t>
            </w:r>
            <w:proofErr w:type="spellStart"/>
            <w:r w:rsidRPr="00727BE6">
              <w:rPr>
                <w:rFonts w:ascii="Cambria" w:eastAsia="Calibri" w:hAnsi="Cambria" w:cs="Calibri"/>
                <w:lang w:val="it-IT"/>
              </w:rPr>
              <w:t>vrednovanja</w:t>
            </w:r>
            <w:proofErr w:type="spellEnd"/>
            <w:r w:rsidRPr="00727BE6">
              <w:rPr>
                <w:rFonts w:ascii="Cambria" w:eastAsia="Calibri" w:hAnsi="Cambria" w:cs="Calibri"/>
                <w:lang w:val="it-IT"/>
              </w:rPr>
              <w:t xml:space="preserve">, </w:t>
            </w:r>
            <w:proofErr w:type="spellStart"/>
            <w:r w:rsidRPr="00727BE6">
              <w:rPr>
                <w:rFonts w:ascii="Cambria" w:eastAsia="Calibri" w:hAnsi="Cambria" w:cs="Calibri"/>
                <w:lang w:val="it-IT"/>
              </w:rPr>
              <w:t>studentskim</w:t>
            </w:r>
            <w:proofErr w:type="spellEnd"/>
            <w:r w:rsidRPr="00727BE6">
              <w:rPr>
                <w:rFonts w:ascii="Cambria" w:eastAsia="Calibri" w:hAnsi="Cambria" w:cs="Calibri"/>
                <w:lang w:val="it-IT"/>
              </w:rPr>
              <w:t xml:space="preserve"> </w:t>
            </w:r>
            <w:proofErr w:type="spellStart"/>
            <w:r w:rsidRPr="00727BE6">
              <w:rPr>
                <w:rFonts w:ascii="Cambria" w:eastAsia="Calibri" w:hAnsi="Cambria" w:cs="Calibri"/>
                <w:lang w:val="it-IT"/>
              </w:rPr>
              <w:t>obvezama</w:t>
            </w:r>
            <w:proofErr w:type="spellEnd"/>
            <w:r w:rsidRPr="00727BE6">
              <w:rPr>
                <w:rFonts w:ascii="Cambria" w:eastAsia="Calibri" w:hAnsi="Cambria" w:cs="Calibri"/>
                <w:lang w:val="it-IT"/>
              </w:rPr>
              <w:t xml:space="preserve"> i </w:t>
            </w:r>
            <w:proofErr w:type="spellStart"/>
            <w:r w:rsidRPr="00727BE6">
              <w:rPr>
                <w:rFonts w:ascii="Cambria" w:eastAsia="Calibri" w:hAnsi="Cambria" w:cs="Calibri"/>
                <w:lang w:val="it-IT"/>
              </w:rPr>
              <w:t>dostupnoj</w:t>
            </w:r>
            <w:proofErr w:type="spellEnd"/>
            <w:r w:rsidRPr="00727BE6">
              <w:rPr>
                <w:rFonts w:ascii="Cambria" w:eastAsia="Calibri" w:hAnsi="Cambria" w:cs="Calibri"/>
                <w:lang w:val="it-IT"/>
              </w:rPr>
              <w:t xml:space="preserve"> </w:t>
            </w:r>
            <w:proofErr w:type="spellStart"/>
            <w:r w:rsidRPr="00727BE6">
              <w:rPr>
                <w:rFonts w:ascii="Cambria" w:eastAsia="Calibri" w:hAnsi="Cambria" w:cs="Calibri"/>
                <w:lang w:val="it-IT"/>
              </w:rPr>
              <w:t>literaturi</w:t>
            </w:r>
            <w:proofErr w:type="spellEnd"/>
            <w:r w:rsidRPr="00727BE6">
              <w:rPr>
                <w:rFonts w:ascii="Cambria" w:eastAsia="Calibri" w:hAnsi="Cambria" w:cs="Calibri"/>
                <w:lang w:val="it-IT"/>
              </w:rPr>
              <w:t xml:space="preserve">. O tome </w:t>
            </w:r>
            <w:proofErr w:type="spellStart"/>
            <w:r w:rsidRPr="00727BE6">
              <w:rPr>
                <w:rFonts w:ascii="Cambria" w:eastAsia="Calibri" w:hAnsi="Cambria" w:cs="Calibri"/>
                <w:lang w:val="it-IT"/>
              </w:rPr>
              <w:t>će</w:t>
            </w:r>
            <w:proofErr w:type="spellEnd"/>
            <w:r w:rsidRPr="00727BE6">
              <w:rPr>
                <w:rFonts w:ascii="Cambria" w:eastAsia="Calibri" w:hAnsi="Cambria" w:cs="Calibri"/>
                <w:lang w:val="it-IT"/>
              </w:rPr>
              <w:t xml:space="preserve"> </w:t>
            </w:r>
            <w:proofErr w:type="spellStart"/>
            <w:r w:rsidRPr="00727BE6">
              <w:rPr>
                <w:rFonts w:ascii="Cambria" w:eastAsia="Calibri" w:hAnsi="Cambria" w:cs="Calibri"/>
                <w:lang w:val="it-IT"/>
              </w:rPr>
              <w:t>nositeljica</w:t>
            </w:r>
            <w:proofErr w:type="spellEnd"/>
            <w:r w:rsidRPr="00727BE6">
              <w:rPr>
                <w:rFonts w:ascii="Cambria" w:eastAsia="Calibri" w:hAnsi="Cambria" w:cs="Calibri"/>
                <w:lang w:val="it-IT"/>
              </w:rPr>
              <w:t xml:space="preserve"> </w:t>
            </w:r>
            <w:proofErr w:type="spellStart"/>
            <w:r w:rsidRPr="00727BE6">
              <w:rPr>
                <w:rFonts w:ascii="Cambria" w:eastAsia="Calibri" w:hAnsi="Cambria" w:cs="Calibri"/>
                <w:lang w:val="it-IT"/>
              </w:rPr>
              <w:t>kolegija</w:t>
            </w:r>
            <w:proofErr w:type="spellEnd"/>
            <w:r w:rsidRPr="00727BE6">
              <w:rPr>
                <w:rFonts w:ascii="Cambria" w:eastAsia="Calibri" w:hAnsi="Cambria" w:cs="Calibri"/>
                <w:lang w:val="it-IT"/>
              </w:rPr>
              <w:t xml:space="preserve"> </w:t>
            </w:r>
            <w:proofErr w:type="spellStart"/>
            <w:r w:rsidRPr="00727BE6">
              <w:rPr>
                <w:rFonts w:ascii="Cambria" w:eastAsia="Calibri" w:hAnsi="Cambria" w:cs="Calibri"/>
                <w:lang w:val="it-IT"/>
              </w:rPr>
              <w:t>obavijestiti</w:t>
            </w:r>
            <w:proofErr w:type="spellEnd"/>
            <w:r w:rsidRPr="00727BE6">
              <w:rPr>
                <w:rFonts w:ascii="Cambria" w:eastAsia="Calibri" w:hAnsi="Cambria" w:cs="Calibri"/>
                <w:lang w:val="it-IT"/>
              </w:rPr>
              <w:t xml:space="preserve"> studente i </w:t>
            </w:r>
            <w:proofErr w:type="spellStart"/>
            <w:r w:rsidRPr="00727BE6">
              <w:rPr>
                <w:rFonts w:ascii="Cambria" w:eastAsia="Calibri" w:hAnsi="Cambria" w:cs="Calibri"/>
                <w:lang w:val="it-IT"/>
              </w:rPr>
              <w:t>studentice</w:t>
            </w:r>
            <w:proofErr w:type="spellEnd"/>
            <w:r w:rsidRPr="00727BE6">
              <w:rPr>
                <w:rFonts w:ascii="Cambria" w:eastAsia="Calibri" w:hAnsi="Cambria" w:cs="Calibri"/>
                <w:lang w:val="it-IT"/>
              </w:rPr>
              <w:t xml:space="preserve"> </w:t>
            </w:r>
            <w:proofErr w:type="spellStart"/>
            <w:r w:rsidRPr="00727BE6">
              <w:rPr>
                <w:rFonts w:ascii="Cambria" w:eastAsia="Calibri" w:hAnsi="Cambria" w:cs="Calibri"/>
                <w:lang w:val="it-IT"/>
              </w:rPr>
              <w:t>kad</w:t>
            </w:r>
            <w:proofErr w:type="spellEnd"/>
            <w:r w:rsidRPr="00727BE6">
              <w:rPr>
                <w:rFonts w:ascii="Cambria" w:eastAsia="Calibri" w:hAnsi="Cambria" w:cs="Calibri"/>
                <w:lang w:val="it-IT"/>
              </w:rPr>
              <w:t xml:space="preserve"> se </w:t>
            </w:r>
            <w:proofErr w:type="spellStart"/>
            <w:r w:rsidRPr="00727BE6">
              <w:rPr>
                <w:rFonts w:ascii="Cambria" w:eastAsia="Calibri" w:hAnsi="Cambria" w:cs="Calibri"/>
                <w:lang w:val="it-IT"/>
              </w:rPr>
              <w:t>nastava</w:t>
            </w:r>
            <w:proofErr w:type="spellEnd"/>
            <w:r w:rsidRPr="00727BE6">
              <w:rPr>
                <w:rFonts w:ascii="Cambria" w:eastAsia="Calibri" w:hAnsi="Cambria" w:cs="Calibri"/>
                <w:lang w:val="it-IT"/>
              </w:rPr>
              <w:t xml:space="preserve"> </w:t>
            </w:r>
            <w:proofErr w:type="spellStart"/>
            <w:r w:rsidRPr="00727BE6">
              <w:rPr>
                <w:rFonts w:ascii="Cambria" w:eastAsia="Calibri" w:hAnsi="Cambria" w:cs="Calibri"/>
                <w:lang w:val="it-IT"/>
              </w:rPr>
              <w:t>na</w:t>
            </w:r>
            <w:proofErr w:type="spellEnd"/>
            <w:r w:rsidRPr="00727BE6">
              <w:rPr>
                <w:rFonts w:ascii="Cambria" w:eastAsia="Calibri" w:hAnsi="Cambria" w:cs="Calibri"/>
                <w:lang w:val="it-IT"/>
              </w:rPr>
              <w:t xml:space="preserve"> </w:t>
            </w:r>
            <w:proofErr w:type="spellStart"/>
            <w:r w:rsidRPr="00727BE6">
              <w:rPr>
                <w:rFonts w:ascii="Cambria" w:eastAsia="Calibri" w:hAnsi="Cambria" w:cs="Calibri"/>
                <w:lang w:val="it-IT"/>
              </w:rPr>
              <w:t>daljinu</w:t>
            </w:r>
            <w:proofErr w:type="spellEnd"/>
            <w:r w:rsidRPr="00727BE6">
              <w:rPr>
                <w:rFonts w:ascii="Cambria" w:eastAsia="Calibri" w:hAnsi="Cambria" w:cs="Calibri"/>
                <w:lang w:val="it-IT"/>
              </w:rPr>
              <w:t xml:space="preserve"> </w:t>
            </w:r>
            <w:proofErr w:type="spellStart"/>
            <w:r w:rsidRPr="00727BE6">
              <w:rPr>
                <w:rFonts w:ascii="Cambria" w:eastAsia="Calibri" w:hAnsi="Cambria" w:cs="Calibri"/>
                <w:lang w:val="it-IT"/>
              </w:rPr>
              <w:t>počne</w:t>
            </w:r>
            <w:proofErr w:type="spellEnd"/>
            <w:r w:rsidRPr="00727BE6">
              <w:rPr>
                <w:rFonts w:ascii="Cambria" w:eastAsia="Calibri" w:hAnsi="Cambria" w:cs="Calibri"/>
                <w:lang w:val="it-IT"/>
              </w:rPr>
              <w:t xml:space="preserve"> </w:t>
            </w:r>
            <w:proofErr w:type="spellStart"/>
            <w:r w:rsidRPr="00727BE6">
              <w:rPr>
                <w:rFonts w:ascii="Cambria" w:eastAsia="Calibri" w:hAnsi="Cambria" w:cs="Calibri"/>
                <w:lang w:val="it-IT"/>
              </w:rPr>
              <w:t>održavati</w:t>
            </w:r>
            <w:proofErr w:type="spellEnd"/>
            <w:r w:rsidRPr="00727BE6">
              <w:rPr>
                <w:rFonts w:ascii="Cambria" w:eastAsia="Calibri" w:hAnsi="Cambria" w:cs="Calibri"/>
                <w:lang w:val="it-IT"/>
              </w:rPr>
              <w:t xml:space="preserve">. </w:t>
            </w:r>
            <w:proofErr w:type="spellStart"/>
            <w:r w:rsidRPr="00727BE6">
              <w:rPr>
                <w:rFonts w:ascii="Cambria" w:eastAsia="Calibri" w:hAnsi="Cambria" w:cs="Calibri"/>
                <w:lang w:val="it-IT"/>
              </w:rPr>
              <w:t>Ishodi</w:t>
            </w:r>
            <w:proofErr w:type="spellEnd"/>
            <w:r w:rsidRPr="00727BE6">
              <w:rPr>
                <w:rFonts w:ascii="Cambria" w:eastAsia="Calibri" w:hAnsi="Cambria" w:cs="Calibri"/>
                <w:lang w:val="it-IT"/>
              </w:rPr>
              <w:t xml:space="preserve"> </w:t>
            </w:r>
            <w:proofErr w:type="spellStart"/>
            <w:r w:rsidRPr="00727BE6">
              <w:rPr>
                <w:rFonts w:ascii="Cambria" w:eastAsia="Calibri" w:hAnsi="Cambria" w:cs="Calibri"/>
                <w:lang w:val="it-IT"/>
              </w:rPr>
              <w:t>učenja</w:t>
            </w:r>
            <w:proofErr w:type="spellEnd"/>
            <w:r w:rsidRPr="00727BE6">
              <w:rPr>
                <w:rFonts w:ascii="Cambria" w:eastAsia="Calibri" w:hAnsi="Cambria" w:cs="Calibri"/>
                <w:lang w:val="it-IT"/>
              </w:rPr>
              <w:t xml:space="preserve"> </w:t>
            </w:r>
            <w:proofErr w:type="spellStart"/>
            <w:r w:rsidRPr="00727BE6">
              <w:rPr>
                <w:rFonts w:ascii="Cambria" w:eastAsia="Calibri" w:hAnsi="Cambria" w:cs="Calibri"/>
                <w:lang w:val="it-IT"/>
              </w:rPr>
              <w:t>ostaju</w:t>
            </w:r>
            <w:proofErr w:type="spellEnd"/>
            <w:r w:rsidRPr="00727BE6">
              <w:rPr>
                <w:rFonts w:ascii="Cambria" w:eastAsia="Calibri" w:hAnsi="Cambria" w:cs="Calibri"/>
                <w:lang w:val="it-IT"/>
              </w:rPr>
              <w:t xml:space="preserve"> </w:t>
            </w:r>
            <w:proofErr w:type="spellStart"/>
            <w:r w:rsidRPr="00727BE6">
              <w:rPr>
                <w:rFonts w:ascii="Cambria" w:eastAsia="Calibri" w:hAnsi="Cambria" w:cs="Calibri"/>
                <w:lang w:val="it-IT"/>
              </w:rPr>
              <w:t>nepromijenjeni</w:t>
            </w:r>
            <w:proofErr w:type="spellEnd"/>
            <w:r w:rsidRPr="00727BE6">
              <w:rPr>
                <w:rFonts w:ascii="Cambria" w:eastAsia="Calibri" w:hAnsi="Cambria" w:cs="Calibri"/>
                <w:lang w:val="it-IT"/>
              </w:rPr>
              <w:t>.</w:t>
            </w:r>
          </w:p>
        </w:tc>
      </w:tr>
      <w:tr w:rsidR="008345F3" w:rsidRPr="00963BC1" w14:paraId="7DA566F0" w14:textId="77777777" w:rsidTr="008345F3">
        <w:trPr>
          <w:trHeight w:val="770"/>
        </w:trPr>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CB77700" w14:textId="77777777" w:rsidR="008345F3" w:rsidRPr="00727BE6" w:rsidRDefault="008345F3" w:rsidP="008345F3">
            <w:pPr>
              <w:spacing w:after="0" w:line="240" w:lineRule="atLeast"/>
              <w:jc w:val="both"/>
              <w:rPr>
                <w:rFonts w:ascii="Cambria" w:eastAsia="Calibri" w:hAnsi="Cambria" w:cs="Calibri"/>
              </w:rPr>
            </w:pPr>
            <w:proofErr w:type="spellStart"/>
            <w:r w:rsidRPr="00727BE6">
              <w:rPr>
                <w:rFonts w:ascii="Cambria" w:eastAsia="Calibri" w:hAnsi="Cambria" w:cs="Calibri"/>
              </w:rPr>
              <w:lastRenderedPageBreak/>
              <w:t>Literatura</w:t>
            </w:r>
            <w:proofErr w:type="spellEnd"/>
          </w:p>
        </w:tc>
        <w:tc>
          <w:tcPr>
            <w:tcW w:w="6717"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055D13DE" w14:textId="77777777" w:rsidR="008345F3" w:rsidRPr="00727BE6" w:rsidRDefault="008345F3" w:rsidP="008345F3">
            <w:pPr>
              <w:tabs>
                <w:tab w:val="left" w:pos="408"/>
              </w:tabs>
              <w:spacing w:after="0"/>
              <w:ind w:left="66"/>
              <w:jc w:val="both"/>
              <w:outlineLvl w:val="2"/>
              <w:rPr>
                <w:rFonts w:ascii="Cambria" w:eastAsia="Times New Roman" w:hAnsi="Cambria" w:cs="Times New Roman"/>
                <w:bCs/>
                <w:lang w:eastAsia="hr-HR"/>
              </w:rPr>
            </w:pPr>
            <w:proofErr w:type="spellStart"/>
            <w:r w:rsidRPr="00727BE6">
              <w:rPr>
                <w:rFonts w:ascii="Cambria" w:eastAsia="Times New Roman" w:hAnsi="Cambria" w:cs="Times New Roman"/>
                <w:bCs/>
                <w:lang w:eastAsia="hr-HR"/>
              </w:rPr>
              <w:t>Obvezna</w:t>
            </w:r>
            <w:proofErr w:type="spellEnd"/>
            <w:r w:rsidRPr="00727BE6">
              <w:rPr>
                <w:rFonts w:ascii="Cambria" w:eastAsia="Times New Roman" w:hAnsi="Cambria" w:cs="Times New Roman"/>
                <w:bCs/>
                <w:lang w:eastAsia="hr-HR"/>
              </w:rPr>
              <w:t>:</w:t>
            </w:r>
          </w:p>
          <w:p w14:paraId="5ECFEF75" w14:textId="77777777" w:rsidR="008345F3" w:rsidRPr="00727BE6" w:rsidRDefault="008345F3" w:rsidP="00A034E3">
            <w:pPr>
              <w:numPr>
                <w:ilvl w:val="0"/>
                <w:numId w:val="72"/>
              </w:numPr>
              <w:tabs>
                <w:tab w:val="left" w:pos="408"/>
              </w:tabs>
              <w:spacing w:after="0"/>
              <w:ind w:left="66" w:firstLine="0"/>
              <w:jc w:val="both"/>
              <w:rPr>
                <w:rFonts w:ascii="Cambria" w:eastAsia="Times New Roman" w:hAnsi="Cambria" w:cs="Times New Roman"/>
                <w:lang w:eastAsia="hr-HR"/>
              </w:rPr>
            </w:pPr>
            <w:proofErr w:type="spellStart"/>
            <w:r w:rsidRPr="00727BE6">
              <w:rPr>
                <w:rFonts w:ascii="Cambria" w:eastAsia="Times New Roman" w:hAnsi="Cambria" w:cs="Times New Roman"/>
                <w:lang w:val="it-IT" w:eastAsia="hr-HR"/>
              </w:rPr>
              <w:t>Findak</w:t>
            </w:r>
            <w:proofErr w:type="spellEnd"/>
            <w:r w:rsidRPr="00727BE6">
              <w:rPr>
                <w:rFonts w:ascii="Cambria" w:eastAsia="Times New Roman" w:hAnsi="Cambria" w:cs="Times New Roman"/>
                <w:lang w:val="it-IT" w:eastAsia="hr-HR"/>
              </w:rPr>
              <w:t xml:space="preserve">, V. (2003). </w:t>
            </w:r>
            <w:proofErr w:type="spellStart"/>
            <w:r w:rsidRPr="00727BE6">
              <w:rPr>
                <w:rFonts w:ascii="Cambria" w:eastAsia="Times New Roman" w:hAnsi="Cambria" w:cs="Times New Roman"/>
                <w:i/>
                <w:iCs/>
                <w:lang w:val="it-IT" w:eastAsia="hr-HR"/>
              </w:rPr>
              <w:t>Metodika</w:t>
            </w:r>
            <w:proofErr w:type="spellEnd"/>
            <w:r w:rsidRPr="00727BE6">
              <w:rPr>
                <w:rFonts w:ascii="Cambria" w:eastAsia="Times New Roman" w:hAnsi="Cambria" w:cs="Times New Roman"/>
                <w:i/>
                <w:iCs/>
                <w:lang w:val="it-IT" w:eastAsia="hr-HR"/>
              </w:rPr>
              <w:t xml:space="preserve"> </w:t>
            </w:r>
            <w:proofErr w:type="spellStart"/>
            <w:r w:rsidRPr="00727BE6">
              <w:rPr>
                <w:rFonts w:ascii="Cambria" w:eastAsia="Times New Roman" w:hAnsi="Cambria" w:cs="Times New Roman"/>
                <w:i/>
                <w:iCs/>
                <w:lang w:val="it-IT" w:eastAsia="hr-HR"/>
              </w:rPr>
              <w:t>tjelesne</w:t>
            </w:r>
            <w:proofErr w:type="spellEnd"/>
            <w:r w:rsidRPr="00727BE6">
              <w:rPr>
                <w:rFonts w:ascii="Cambria" w:eastAsia="Times New Roman" w:hAnsi="Cambria" w:cs="Times New Roman"/>
                <w:i/>
                <w:iCs/>
                <w:lang w:val="it-IT" w:eastAsia="hr-HR"/>
              </w:rPr>
              <w:t xml:space="preserve"> i </w:t>
            </w:r>
            <w:proofErr w:type="spellStart"/>
            <w:r w:rsidRPr="00727BE6">
              <w:rPr>
                <w:rFonts w:ascii="Cambria" w:eastAsia="Times New Roman" w:hAnsi="Cambria" w:cs="Times New Roman"/>
                <w:i/>
                <w:iCs/>
                <w:lang w:val="it-IT" w:eastAsia="hr-HR"/>
              </w:rPr>
              <w:t>zdravstvene</w:t>
            </w:r>
            <w:proofErr w:type="spellEnd"/>
            <w:r w:rsidRPr="00727BE6">
              <w:rPr>
                <w:rFonts w:ascii="Cambria" w:eastAsia="Times New Roman" w:hAnsi="Cambria" w:cs="Times New Roman"/>
                <w:i/>
                <w:iCs/>
                <w:lang w:val="it-IT" w:eastAsia="hr-HR"/>
              </w:rPr>
              <w:t xml:space="preserve"> </w:t>
            </w:r>
            <w:proofErr w:type="spellStart"/>
            <w:r w:rsidRPr="00727BE6">
              <w:rPr>
                <w:rFonts w:ascii="Cambria" w:eastAsia="Times New Roman" w:hAnsi="Cambria" w:cs="Times New Roman"/>
                <w:i/>
                <w:iCs/>
                <w:lang w:val="it-IT" w:eastAsia="hr-HR"/>
              </w:rPr>
              <w:t>kulture</w:t>
            </w:r>
            <w:proofErr w:type="spellEnd"/>
            <w:r w:rsidRPr="00727BE6">
              <w:rPr>
                <w:rFonts w:ascii="Cambria" w:eastAsia="Times New Roman" w:hAnsi="Cambria" w:cs="Times New Roman"/>
                <w:lang w:val="it-IT" w:eastAsia="hr-HR"/>
              </w:rPr>
              <w:t xml:space="preserve">. </w:t>
            </w:r>
            <w:r w:rsidRPr="00727BE6">
              <w:rPr>
                <w:rFonts w:ascii="Cambria" w:eastAsia="Times New Roman" w:hAnsi="Cambria" w:cs="Times New Roman"/>
                <w:lang w:eastAsia="hr-HR"/>
              </w:rPr>
              <w:t xml:space="preserve">Zagreb: </w:t>
            </w:r>
            <w:proofErr w:type="spellStart"/>
            <w:r w:rsidRPr="00727BE6">
              <w:rPr>
                <w:rFonts w:ascii="Cambria" w:eastAsia="Times New Roman" w:hAnsi="Cambria" w:cs="Times New Roman"/>
                <w:lang w:eastAsia="hr-HR"/>
              </w:rPr>
              <w:t>Školska</w:t>
            </w:r>
            <w:proofErr w:type="spellEnd"/>
            <w:r w:rsidRPr="00727BE6">
              <w:rPr>
                <w:rFonts w:ascii="Cambria" w:eastAsia="Times New Roman" w:hAnsi="Cambria" w:cs="Times New Roman"/>
                <w:lang w:eastAsia="hr-HR"/>
              </w:rPr>
              <w:t xml:space="preserve"> </w:t>
            </w:r>
            <w:proofErr w:type="spellStart"/>
            <w:r w:rsidRPr="00727BE6">
              <w:rPr>
                <w:rFonts w:ascii="Cambria" w:eastAsia="Times New Roman" w:hAnsi="Cambria" w:cs="Times New Roman"/>
                <w:lang w:eastAsia="hr-HR"/>
              </w:rPr>
              <w:t>knjiga</w:t>
            </w:r>
            <w:proofErr w:type="spellEnd"/>
            <w:r w:rsidRPr="00727BE6">
              <w:rPr>
                <w:rFonts w:ascii="Cambria" w:eastAsia="Times New Roman" w:hAnsi="Cambria" w:cs="Times New Roman"/>
                <w:lang w:eastAsia="hr-HR"/>
              </w:rPr>
              <w:t>.</w:t>
            </w:r>
          </w:p>
          <w:p w14:paraId="6A22441A" w14:textId="77777777" w:rsidR="008345F3" w:rsidRPr="00727BE6" w:rsidRDefault="008345F3" w:rsidP="00A034E3">
            <w:pPr>
              <w:numPr>
                <w:ilvl w:val="0"/>
                <w:numId w:val="72"/>
              </w:numPr>
              <w:tabs>
                <w:tab w:val="left" w:pos="408"/>
              </w:tabs>
              <w:spacing w:after="0"/>
              <w:ind w:left="66" w:firstLine="0"/>
              <w:jc w:val="both"/>
              <w:rPr>
                <w:rFonts w:ascii="Cambria" w:eastAsia="Times New Roman" w:hAnsi="Cambria" w:cs="Times New Roman"/>
                <w:lang w:eastAsia="hr-HR"/>
              </w:rPr>
            </w:pPr>
            <w:proofErr w:type="spellStart"/>
            <w:r w:rsidRPr="00727BE6">
              <w:rPr>
                <w:rFonts w:ascii="Cambria" w:eastAsia="Times New Roman" w:hAnsi="Cambria" w:cs="Times New Roman"/>
                <w:lang w:val="it-IT" w:eastAsia="hr-HR"/>
              </w:rPr>
              <w:t>Neljak</w:t>
            </w:r>
            <w:proofErr w:type="spellEnd"/>
            <w:r w:rsidRPr="00727BE6">
              <w:rPr>
                <w:rFonts w:ascii="Cambria" w:eastAsia="Times New Roman" w:hAnsi="Cambria" w:cs="Times New Roman"/>
                <w:lang w:val="it-IT" w:eastAsia="hr-HR"/>
              </w:rPr>
              <w:t xml:space="preserve">, B., i </w:t>
            </w:r>
            <w:proofErr w:type="spellStart"/>
            <w:r w:rsidRPr="00727BE6">
              <w:rPr>
                <w:rFonts w:ascii="Cambria" w:eastAsia="Times New Roman" w:hAnsi="Cambria" w:cs="Times New Roman"/>
                <w:lang w:val="it-IT" w:eastAsia="hr-HR"/>
              </w:rPr>
              <w:t>suradnici</w:t>
            </w:r>
            <w:proofErr w:type="spellEnd"/>
            <w:r w:rsidRPr="00727BE6">
              <w:rPr>
                <w:rFonts w:ascii="Cambria" w:eastAsia="Times New Roman" w:hAnsi="Cambria" w:cs="Times New Roman"/>
                <w:lang w:val="it-IT" w:eastAsia="hr-HR"/>
              </w:rPr>
              <w:t xml:space="preserve">. (2008). </w:t>
            </w:r>
            <w:proofErr w:type="spellStart"/>
            <w:r w:rsidRPr="00727BE6">
              <w:rPr>
                <w:rFonts w:ascii="Cambria" w:eastAsia="Times New Roman" w:hAnsi="Cambria" w:cs="Times New Roman"/>
                <w:i/>
                <w:iCs/>
                <w:lang w:val="it-IT" w:eastAsia="hr-HR"/>
              </w:rPr>
              <w:t>Vježbajmo</w:t>
            </w:r>
            <w:proofErr w:type="spellEnd"/>
            <w:r w:rsidRPr="00727BE6">
              <w:rPr>
                <w:rFonts w:ascii="Cambria" w:eastAsia="Times New Roman" w:hAnsi="Cambria" w:cs="Times New Roman"/>
                <w:i/>
                <w:iCs/>
                <w:lang w:val="it-IT" w:eastAsia="hr-HR"/>
              </w:rPr>
              <w:t xml:space="preserve"> </w:t>
            </w:r>
            <w:proofErr w:type="spellStart"/>
            <w:r w:rsidRPr="00727BE6">
              <w:rPr>
                <w:rFonts w:ascii="Cambria" w:eastAsia="Times New Roman" w:hAnsi="Cambria" w:cs="Times New Roman"/>
                <w:i/>
                <w:iCs/>
                <w:lang w:val="it-IT" w:eastAsia="hr-HR"/>
              </w:rPr>
              <w:t>zajedno</w:t>
            </w:r>
            <w:proofErr w:type="spellEnd"/>
            <w:r w:rsidRPr="00727BE6">
              <w:rPr>
                <w:rFonts w:ascii="Cambria" w:eastAsia="Times New Roman" w:hAnsi="Cambria" w:cs="Times New Roman"/>
                <w:i/>
                <w:iCs/>
                <w:lang w:val="it-IT" w:eastAsia="hr-HR"/>
              </w:rPr>
              <w:t xml:space="preserve"> 1, 2, 3 i 4</w:t>
            </w:r>
            <w:r w:rsidRPr="00727BE6">
              <w:rPr>
                <w:rFonts w:ascii="Cambria" w:eastAsia="Times New Roman" w:hAnsi="Cambria" w:cs="Times New Roman"/>
                <w:lang w:val="it-IT" w:eastAsia="hr-HR"/>
              </w:rPr>
              <w:t xml:space="preserve">. </w:t>
            </w:r>
            <w:r w:rsidRPr="00727BE6">
              <w:rPr>
                <w:rFonts w:ascii="Cambria" w:eastAsia="Times New Roman" w:hAnsi="Cambria" w:cs="Times New Roman"/>
                <w:lang w:eastAsia="hr-HR"/>
              </w:rPr>
              <w:t xml:space="preserve">Zagreb: </w:t>
            </w:r>
            <w:proofErr w:type="spellStart"/>
            <w:r w:rsidRPr="00727BE6">
              <w:rPr>
                <w:rFonts w:ascii="Cambria" w:eastAsia="Times New Roman" w:hAnsi="Cambria" w:cs="Times New Roman"/>
                <w:lang w:eastAsia="hr-HR"/>
              </w:rPr>
              <w:t>Profil</w:t>
            </w:r>
            <w:proofErr w:type="spellEnd"/>
            <w:r w:rsidRPr="00727BE6">
              <w:rPr>
                <w:rFonts w:ascii="Cambria" w:eastAsia="Times New Roman" w:hAnsi="Cambria" w:cs="Times New Roman"/>
                <w:lang w:eastAsia="hr-HR"/>
              </w:rPr>
              <w:t>.</w:t>
            </w:r>
          </w:p>
          <w:p w14:paraId="3F9B892A" w14:textId="77777777" w:rsidR="008345F3" w:rsidRPr="00727BE6" w:rsidRDefault="008345F3" w:rsidP="00A034E3">
            <w:pPr>
              <w:numPr>
                <w:ilvl w:val="0"/>
                <w:numId w:val="72"/>
              </w:numPr>
              <w:tabs>
                <w:tab w:val="left" w:pos="408"/>
              </w:tabs>
              <w:spacing w:after="0"/>
              <w:ind w:left="66" w:firstLine="0"/>
              <w:jc w:val="both"/>
              <w:rPr>
                <w:rFonts w:ascii="Cambria" w:eastAsia="Times New Roman" w:hAnsi="Cambria" w:cs="Times New Roman"/>
                <w:lang w:eastAsia="hr-HR"/>
              </w:rPr>
            </w:pPr>
            <w:r w:rsidRPr="00727BE6">
              <w:rPr>
                <w:rFonts w:ascii="Cambria" w:eastAsia="Times New Roman" w:hAnsi="Cambria" w:cs="Times New Roman"/>
                <w:lang w:eastAsia="hr-HR"/>
              </w:rPr>
              <w:t xml:space="preserve">Pejčić, A., &amp; Trajkovski, B. (2018). </w:t>
            </w:r>
            <w:proofErr w:type="spellStart"/>
            <w:r w:rsidRPr="00727BE6">
              <w:rPr>
                <w:rFonts w:ascii="Cambria" w:eastAsia="Times New Roman" w:hAnsi="Cambria" w:cs="Times New Roman"/>
                <w:i/>
                <w:iCs/>
                <w:lang w:eastAsia="hr-HR"/>
              </w:rPr>
              <w:t>Što</w:t>
            </w:r>
            <w:proofErr w:type="spellEnd"/>
            <w:r w:rsidRPr="00727BE6">
              <w:rPr>
                <w:rFonts w:ascii="Cambria" w:eastAsia="Times New Roman" w:hAnsi="Cambria" w:cs="Times New Roman"/>
                <w:i/>
                <w:iCs/>
                <w:lang w:eastAsia="hr-HR"/>
              </w:rPr>
              <w:t xml:space="preserve"> </w:t>
            </w:r>
            <w:proofErr w:type="spellStart"/>
            <w:r w:rsidRPr="00727BE6">
              <w:rPr>
                <w:rFonts w:ascii="Cambria" w:eastAsia="Times New Roman" w:hAnsi="Cambria" w:cs="Times New Roman"/>
                <w:i/>
                <w:iCs/>
                <w:lang w:eastAsia="hr-HR"/>
              </w:rPr>
              <w:t>i</w:t>
            </w:r>
            <w:proofErr w:type="spellEnd"/>
            <w:r w:rsidRPr="00727BE6">
              <w:rPr>
                <w:rFonts w:ascii="Cambria" w:eastAsia="Times New Roman" w:hAnsi="Cambria" w:cs="Times New Roman"/>
                <w:i/>
                <w:iCs/>
                <w:lang w:eastAsia="hr-HR"/>
              </w:rPr>
              <w:t xml:space="preserve"> </w:t>
            </w:r>
            <w:proofErr w:type="spellStart"/>
            <w:r w:rsidRPr="00727BE6">
              <w:rPr>
                <w:rFonts w:ascii="Cambria" w:eastAsia="Times New Roman" w:hAnsi="Cambria" w:cs="Times New Roman"/>
                <w:i/>
                <w:iCs/>
                <w:lang w:eastAsia="hr-HR"/>
              </w:rPr>
              <w:t>kako</w:t>
            </w:r>
            <w:proofErr w:type="spellEnd"/>
            <w:r w:rsidRPr="00727BE6">
              <w:rPr>
                <w:rFonts w:ascii="Cambria" w:eastAsia="Times New Roman" w:hAnsi="Cambria" w:cs="Times New Roman"/>
                <w:i/>
                <w:iCs/>
                <w:lang w:eastAsia="hr-HR"/>
              </w:rPr>
              <w:t xml:space="preserve"> </w:t>
            </w:r>
            <w:proofErr w:type="spellStart"/>
            <w:r w:rsidRPr="00727BE6">
              <w:rPr>
                <w:rFonts w:ascii="Cambria" w:eastAsia="Times New Roman" w:hAnsi="Cambria" w:cs="Times New Roman"/>
                <w:i/>
                <w:iCs/>
                <w:lang w:eastAsia="hr-HR"/>
              </w:rPr>
              <w:t>vježbati</w:t>
            </w:r>
            <w:proofErr w:type="spellEnd"/>
            <w:r w:rsidRPr="00727BE6">
              <w:rPr>
                <w:rFonts w:ascii="Cambria" w:eastAsia="Times New Roman" w:hAnsi="Cambria" w:cs="Times New Roman"/>
                <w:i/>
                <w:iCs/>
                <w:lang w:eastAsia="hr-HR"/>
              </w:rPr>
              <w:t xml:space="preserve"> s </w:t>
            </w:r>
            <w:proofErr w:type="spellStart"/>
            <w:r w:rsidRPr="00727BE6">
              <w:rPr>
                <w:rFonts w:ascii="Cambria" w:eastAsia="Times New Roman" w:hAnsi="Cambria" w:cs="Times New Roman"/>
                <w:i/>
                <w:iCs/>
                <w:lang w:eastAsia="hr-HR"/>
              </w:rPr>
              <w:t>djecom</w:t>
            </w:r>
            <w:proofErr w:type="spellEnd"/>
            <w:r w:rsidRPr="00727BE6">
              <w:rPr>
                <w:rFonts w:ascii="Cambria" w:eastAsia="Times New Roman" w:hAnsi="Cambria" w:cs="Times New Roman"/>
                <w:i/>
                <w:iCs/>
                <w:lang w:eastAsia="hr-HR"/>
              </w:rPr>
              <w:t xml:space="preserve"> u </w:t>
            </w:r>
            <w:proofErr w:type="spellStart"/>
            <w:r w:rsidRPr="00727BE6">
              <w:rPr>
                <w:rFonts w:ascii="Cambria" w:eastAsia="Times New Roman" w:hAnsi="Cambria" w:cs="Times New Roman"/>
                <w:i/>
                <w:iCs/>
                <w:lang w:eastAsia="hr-HR"/>
              </w:rPr>
              <w:t>vrtiću</w:t>
            </w:r>
            <w:proofErr w:type="spellEnd"/>
            <w:r w:rsidRPr="00727BE6">
              <w:rPr>
                <w:rFonts w:ascii="Cambria" w:eastAsia="Times New Roman" w:hAnsi="Cambria" w:cs="Times New Roman"/>
                <w:i/>
                <w:iCs/>
                <w:lang w:eastAsia="hr-HR"/>
              </w:rPr>
              <w:t xml:space="preserve"> </w:t>
            </w:r>
            <w:proofErr w:type="spellStart"/>
            <w:r w:rsidRPr="00727BE6">
              <w:rPr>
                <w:rFonts w:ascii="Cambria" w:eastAsia="Times New Roman" w:hAnsi="Cambria" w:cs="Times New Roman"/>
                <w:i/>
                <w:iCs/>
                <w:lang w:eastAsia="hr-HR"/>
              </w:rPr>
              <w:t>i</w:t>
            </w:r>
            <w:proofErr w:type="spellEnd"/>
            <w:r w:rsidRPr="00727BE6">
              <w:rPr>
                <w:rFonts w:ascii="Cambria" w:eastAsia="Times New Roman" w:hAnsi="Cambria" w:cs="Times New Roman"/>
                <w:i/>
                <w:iCs/>
                <w:lang w:eastAsia="hr-HR"/>
              </w:rPr>
              <w:t xml:space="preserve"> </w:t>
            </w:r>
            <w:proofErr w:type="spellStart"/>
            <w:r w:rsidRPr="00727BE6">
              <w:rPr>
                <w:rFonts w:ascii="Cambria" w:eastAsia="Times New Roman" w:hAnsi="Cambria" w:cs="Times New Roman"/>
                <w:i/>
                <w:iCs/>
                <w:lang w:eastAsia="hr-HR"/>
              </w:rPr>
              <w:t>školi</w:t>
            </w:r>
            <w:proofErr w:type="spellEnd"/>
            <w:r w:rsidRPr="00727BE6">
              <w:rPr>
                <w:rFonts w:ascii="Cambria" w:eastAsia="Times New Roman" w:hAnsi="Cambria" w:cs="Times New Roman"/>
                <w:lang w:eastAsia="hr-HR"/>
              </w:rPr>
              <w:t xml:space="preserve">. Rijeka: </w:t>
            </w:r>
            <w:proofErr w:type="spellStart"/>
            <w:r w:rsidRPr="00727BE6">
              <w:rPr>
                <w:rFonts w:ascii="Cambria" w:eastAsia="Times New Roman" w:hAnsi="Cambria" w:cs="Times New Roman"/>
                <w:lang w:eastAsia="hr-HR"/>
              </w:rPr>
              <w:t>Učiteljski</w:t>
            </w:r>
            <w:proofErr w:type="spellEnd"/>
            <w:r w:rsidRPr="00727BE6">
              <w:rPr>
                <w:rFonts w:ascii="Cambria" w:eastAsia="Times New Roman" w:hAnsi="Cambria" w:cs="Times New Roman"/>
                <w:lang w:eastAsia="hr-HR"/>
              </w:rPr>
              <w:t xml:space="preserve"> </w:t>
            </w:r>
            <w:proofErr w:type="spellStart"/>
            <w:r w:rsidRPr="00727BE6">
              <w:rPr>
                <w:rFonts w:ascii="Cambria" w:eastAsia="Times New Roman" w:hAnsi="Cambria" w:cs="Times New Roman"/>
                <w:lang w:eastAsia="hr-HR"/>
              </w:rPr>
              <w:t>fakultet</w:t>
            </w:r>
            <w:proofErr w:type="spellEnd"/>
            <w:r w:rsidRPr="00727BE6">
              <w:rPr>
                <w:rFonts w:ascii="Cambria" w:eastAsia="Times New Roman" w:hAnsi="Cambria" w:cs="Times New Roman"/>
                <w:lang w:eastAsia="hr-HR"/>
              </w:rPr>
              <w:t xml:space="preserve"> </w:t>
            </w:r>
            <w:proofErr w:type="spellStart"/>
            <w:r w:rsidRPr="00727BE6">
              <w:rPr>
                <w:rFonts w:ascii="Cambria" w:eastAsia="Times New Roman" w:hAnsi="Cambria" w:cs="Times New Roman"/>
                <w:lang w:eastAsia="hr-HR"/>
              </w:rPr>
              <w:t>Sveučilišta</w:t>
            </w:r>
            <w:proofErr w:type="spellEnd"/>
            <w:r w:rsidRPr="00727BE6">
              <w:rPr>
                <w:rFonts w:ascii="Cambria" w:eastAsia="Times New Roman" w:hAnsi="Cambria" w:cs="Times New Roman"/>
                <w:lang w:eastAsia="hr-HR"/>
              </w:rPr>
              <w:t xml:space="preserve"> u </w:t>
            </w:r>
            <w:proofErr w:type="spellStart"/>
            <w:r w:rsidRPr="00727BE6">
              <w:rPr>
                <w:rFonts w:ascii="Cambria" w:eastAsia="Times New Roman" w:hAnsi="Cambria" w:cs="Times New Roman"/>
                <w:lang w:eastAsia="hr-HR"/>
              </w:rPr>
              <w:t>Rijeci</w:t>
            </w:r>
            <w:proofErr w:type="spellEnd"/>
            <w:r w:rsidRPr="00727BE6">
              <w:rPr>
                <w:rFonts w:ascii="Cambria" w:eastAsia="Times New Roman" w:hAnsi="Cambria" w:cs="Times New Roman"/>
                <w:lang w:eastAsia="hr-HR"/>
              </w:rPr>
              <w:t>.</w:t>
            </w:r>
          </w:p>
          <w:p w14:paraId="4CE9E36E" w14:textId="77777777" w:rsidR="008345F3" w:rsidRPr="00727BE6" w:rsidRDefault="008345F3" w:rsidP="008345F3">
            <w:pPr>
              <w:tabs>
                <w:tab w:val="left" w:pos="408"/>
              </w:tabs>
              <w:spacing w:after="0"/>
              <w:ind w:left="66"/>
              <w:jc w:val="both"/>
              <w:outlineLvl w:val="2"/>
              <w:rPr>
                <w:rFonts w:ascii="Cambria" w:eastAsia="Times New Roman" w:hAnsi="Cambria" w:cs="Times New Roman"/>
                <w:bCs/>
                <w:lang w:eastAsia="hr-HR"/>
              </w:rPr>
            </w:pPr>
            <w:proofErr w:type="spellStart"/>
            <w:r w:rsidRPr="00727BE6">
              <w:rPr>
                <w:rFonts w:ascii="Cambria" w:eastAsia="Times New Roman" w:hAnsi="Cambria" w:cs="Times New Roman"/>
                <w:bCs/>
                <w:lang w:eastAsia="hr-HR"/>
              </w:rPr>
              <w:t>Izborna</w:t>
            </w:r>
            <w:proofErr w:type="spellEnd"/>
            <w:r w:rsidRPr="00727BE6">
              <w:rPr>
                <w:rFonts w:ascii="Cambria" w:eastAsia="Times New Roman" w:hAnsi="Cambria" w:cs="Times New Roman"/>
                <w:bCs/>
                <w:lang w:eastAsia="hr-HR"/>
              </w:rPr>
              <w:t>:</w:t>
            </w:r>
          </w:p>
          <w:p w14:paraId="43C6BE44" w14:textId="77777777" w:rsidR="008345F3" w:rsidRPr="00727BE6" w:rsidRDefault="008345F3" w:rsidP="00A034E3">
            <w:pPr>
              <w:numPr>
                <w:ilvl w:val="0"/>
                <w:numId w:val="73"/>
              </w:numPr>
              <w:tabs>
                <w:tab w:val="left" w:pos="408"/>
              </w:tabs>
              <w:spacing w:after="0"/>
              <w:ind w:left="66" w:firstLine="0"/>
              <w:jc w:val="both"/>
              <w:rPr>
                <w:rFonts w:ascii="Cambria" w:eastAsia="Times New Roman" w:hAnsi="Cambria" w:cs="Times New Roman"/>
                <w:lang w:eastAsia="hr-HR"/>
              </w:rPr>
            </w:pPr>
            <w:proofErr w:type="spellStart"/>
            <w:r w:rsidRPr="00727BE6">
              <w:rPr>
                <w:rFonts w:ascii="Cambria" w:eastAsia="Times New Roman" w:hAnsi="Cambria" w:cs="Times New Roman"/>
                <w:lang w:eastAsia="hr-HR"/>
              </w:rPr>
              <w:t>Findak</w:t>
            </w:r>
            <w:proofErr w:type="spellEnd"/>
            <w:r w:rsidRPr="00727BE6">
              <w:rPr>
                <w:rFonts w:ascii="Cambria" w:eastAsia="Times New Roman" w:hAnsi="Cambria" w:cs="Times New Roman"/>
                <w:lang w:eastAsia="hr-HR"/>
              </w:rPr>
              <w:t xml:space="preserve">, V., Metikoš, D., </w:t>
            </w:r>
            <w:proofErr w:type="spellStart"/>
            <w:r w:rsidRPr="00727BE6">
              <w:rPr>
                <w:rFonts w:ascii="Cambria" w:eastAsia="Times New Roman" w:hAnsi="Cambria" w:cs="Times New Roman"/>
                <w:lang w:eastAsia="hr-HR"/>
              </w:rPr>
              <w:t>Mraković</w:t>
            </w:r>
            <w:proofErr w:type="spellEnd"/>
            <w:r w:rsidRPr="00727BE6">
              <w:rPr>
                <w:rFonts w:ascii="Cambria" w:eastAsia="Times New Roman" w:hAnsi="Cambria" w:cs="Times New Roman"/>
                <w:lang w:eastAsia="hr-HR"/>
              </w:rPr>
              <w:t xml:space="preserve">, M., </w:t>
            </w:r>
            <w:proofErr w:type="spellStart"/>
            <w:r w:rsidRPr="00727BE6">
              <w:rPr>
                <w:rFonts w:ascii="Cambria" w:eastAsia="Times New Roman" w:hAnsi="Cambria" w:cs="Times New Roman"/>
                <w:lang w:eastAsia="hr-HR"/>
              </w:rPr>
              <w:t>Neljak</w:t>
            </w:r>
            <w:proofErr w:type="spellEnd"/>
            <w:r w:rsidRPr="00727BE6">
              <w:rPr>
                <w:rFonts w:ascii="Cambria" w:eastAsia="Times New Roman" w:hAnsi="Cambria" w:cs="Times New Roman"/>
                <w:lang w:eastAsia="hr-HR"/>
              </w:rPr>
              <w:t xml:space="preserve">, B., &amp; Prot, F. (2000). </w:t>
            </w:r>
            <w:r w:rsidRPr="00727BE6">
              <w:rPr>
                <w:rFonts w:ascii="Cambria" w:eastAsia="Times New Roman" w:hAnsi="Cambria" w:cs="Times New Roman"/>
                <w:i/>
                <w:iCs/>
                <w:lang w:eastAsia="hr-HR"/>
              </w:rPr>
              <w:t xml:space="preserve">Motorička </w:t>
            </w:r>
            <w:proofErr w:type="spellStart"/>
            <w:r w:rsidRPr="00727BE6">
              <w:rPr>
                <w:rFonts w:ascii="Cambria" w:eastAsia="Times New Roman" w:hAnsi="Cambria" w:cs="Times New Roman"/>
                <w:i/>
                <w:iCs/>
                <w:lang w:eastAsia="hr-HR"/>
              </w:rPr>
              <w:t>znanja</w:t>
            </w:r>
            <w:proofErr w:type="spellEnd"/>
            <w:r w:rsidRPr="00727BE6">
              <w:rPr>
                <w:rFonts w:ascii="Cambria" w:eastAsia="Times New Roman" w:hAnsi="Cambria" w:cs="Times New Roman"/>
                <w:lang w:eastAsia="hr-HR"/>
              </w:rPr>
              <w:t>.</w:t>
            </w:r>
          </w:p>
          <w:p w14:paraId="3A7DFF3C" w14:textId="77777777" w:rsidR="008345F3" w:rsidRPr="00727BE6" w:rsidRDefault="008345F3" w:rsidP="00A034E3">
            <w:pPr>
              <w:numPr>
                <w:ilvl w:val="0"/>
                <w:numId w:val="73"/>
              </w:numPr>
              <w:tabs>
                <w:tab w:val="left" w:pos="408"/>
              </w:tabs>
              <w:spacing w:after="0"/>
              <w:ind w:left="66" w:firstLine="0"/>
              <w:jc w:val="both"/>
              <w:rPr>
                <w:rFonts w:ascii="Cambria" w:eastAsia="Times New Roman" w:hAnsi="Cambria" w:cs="Times New Roman"/>
                <w:lang w:eastAsia="hr-HR"/>
              </w:rPr>
            </w:pPr>
            <w:proofErr w:type="spellStart"/>
            <w:r w:rsidRPr="00727BE6">
              <w:rPr>
                <w:rFonts w:ascii="Cambria" w:eastAsia="Times New Roman" w:hAnsi="Cambria" w:cs="Times New Roman"/>
                <w:lang w:eastAsia="hr-HR"/>
              </w:rPr>
              <w:t>Findak</w:t>
            </w:r>
            <w:proofErr w:type="spellEnd"/>
            <w:r w:rsidRPr="00727BE6">
              <w:rPr>
                <w:rFonts w:ascii="Cambria" w:eastAsia="Times New Roman" w:hAnsi="Cambria" w:cs="Times New Roman"/>
                <w:lang w:eastAsia="hr-HR"/>
              </w:rPr>
              <w:t xml:space="preserve">, V., Metikoš, D., </w:t>
            </w:r>
            <w:proofErr w:type="spellStart"/>
            <w:r w:rsidRPr="00727BE6">
              <w:rPr>
                <w:rFonts w:ascii="Cambria" w:eastAsia="Times New Roman" w:hAnsi="Cambria" w:cs="Times New Roman"/>
                <w:lang w:eastAsia="hr-HR"/>
              </w:rPr>
              <w:t>Mraković</w:t>
            </w:r>
            <w:proofErr w:type="spellEnd"/>
            <w:r w:rsidRPr="00727BE6">
              <w:rPr>
                <w:rFonts w:ascii="Cambria" w:eastAsia="Times New Roman" w:hAnsi="Cambria" w:cs="Times New Roman"/>
                <w:lang w:eastAsia="hr-HR"/>
              </w:rPr>
              <w:t xml:space="preserve">, M., &amp; </w:t>
            </w:r>
            <w:proofErr w:type="spellStart"/>
            <w:r w:rsidRPr="00727BE6">
              <w:rPr>
                <w:rFonts w:ascii="Cambria" w:eastAsia="Times New Roman" w:hAnsi="Cambria" w:cs="Times New Roman"/>
                <w:lang w:eastAsia="hr-HR"/>
              </w:rPr>
              <w:t>Neljak</w:t>
            </w:r>
            <w:proofErr w:type="spellEnd"/>
            <w:r w:rsidRPr="00727BE6">
              <w:rPr>
                <w:rFonts w:ascii="Cambria" w:eastAsia="Times New Roman" w:hAnsi="Cambria" w:cs="Times New Roman"/>
                <w:lang w:eastAsia="hr-HR"/>
              </w:rPr>
              <w:t xml:space="preserve">, B. (1996). </w:t>
            </w:r>
            <w:proofErr w:type="spellStart"/>
            <w:r w:rsidRPr="00727BE6">
              <w:rPr>
                <w:rFonts w:ascii="Cambria" w:eastAsia="Times New Roman" w:hAnsi="Cambria" w:cs="Times New Roman"/>
                <w:i/>
                <w:iCs/>
                <w:lang w:eastAsia="hr-HR"/>
              </w:rPr>
              <w:t>Primijenjena</w:t>
            </w:r>
            <w:proofErr w:type="spellEnd"/>
            <w:r w:rsidRPr="00727BE6">
              <w:rPr>
                <w:rFonts w:ascii="Cambria" w:eastAsia="Times New Roman" w:hAnsi="Cambria" w:cs="Times New Roman"/>
                <w:i/>
                <w:iCs/>
                <w:lang w:eastAsia="hr-HR"/>
              </w:rPr>
              <w:t xml:space="preserve"> </w:t>
            </w:r>
            <w:proofErr w:type="spellStart"/>
            <w:r w:rsidRPr="00727BE6">
              <w:rPr>
                <w:rFonts w:ascii="Cambria" w:eastAsia="Times New Roman" w:hAnsi="Cambria" w:cs="Times New Roman"/>
                <w:i/>
                <w:iCs/>
                <w:lang w:eastAsia="hr-HR"/>
              </w:rPr>
              <w:t>kineziologija</w:t>
            </w:r>
            <w:proofErr w:type="spellEnd"/>
            <w:r w:rsidRPr="00727BE6">
              <w:rPr>
                <w:rFonts w:ascii="Cambria" w:eastAsia="Times New Roman" w:hAnsi="Cambria" w:cs="Times New Roman"/>
                <w:i/>
                <w:iCs/>
                <w:lang w:eastAsia="hr-HR"/>
              </w:rPr>
              <w:t xml:space="preserve"> u </w:t>
            </w:r>
            <w:proofErr w:type="spellStart"/>
            <w:r w:rsidRPr="00727BE6">
              <w:rPr>
                <w:rFonts w:ascii="Cambria" w:eastAsia="Times New Roman" w:hAnsi="Cambria" w:cs="Times New Roman"/>
                <w:i/>
                <w:iCs/>
                <w:lang w:eastAsia="hr-HR"/>
              </w:rPr>
              <w:t>školstvu</w:t>
            </w:r>
            <w:proofErr w:type="spellEnd"/>
            <w:r w:rsidRPr="00727BE6">
              <w:rPr>
                <w:rFonts w:ascii="Cambria" w:eastAsia="Times New Roman" w:hAnsi="Cambria" w:cs="Times New Roman"/>
                <w:i/>
                <w:iCs/>
                <w:lang w:eastAsia="hr-HR"/>
              </w:rPr>
              <w:t xml:space="preserve">: </w:t>
            </w:r>
            <w:proofErr w:type="spellStart"/>
            <w:r w:rsidRPr="00727BE6">
              <w:rPr>
                <w:rFonts w:ascii="Cambria" w:eastAsia="Times New Roman" w:hAnsi="Cambria" w:cs="Times New Roman"/>
                <w:i/>
                <w:iCs/>
                <w:lang w:eastAsia="hr-HR"/>
              </w:rPr>
              <w:t>Norme</w:t>
            </w:r>
            <w:proofErr w:type="spellEnd"/>
            <w:r w:rsidRPr="00727BE6">
              <w:rPr>
                <w:rFonts w:ascii="Cambria" w:eastAsia="Times New Roman" w:hAnsi="Cambria" w:cs="Times New Roman"/>
                <w:lang w:eastAsia="hr-HR"/>
              </w:rPr>
              <w:t xml:space="preserve">. Zagreb: Hrvatski </w:t>
            </w:r>
            <w:proofErr w:type="spellStart"/>
            <w:r w:rsidRPr="00727BE6">
              <w:rPr>
                <w:rFonts w:ascii="Cambria" w:eastAsia="Times New Roman" w:hAnsi="Cambria" w:cs="Times New Roman"/>
                <w:lang w:eastAsia="hr-HR"/>
              </w:rPr>
              <w:t>pedagoško-književni</w:t>
            </w:r>
            <w:proofErr w:type="spellEnd"/>
            <w:r w:rsidRPr="00727BE6">
              <w:rPr>
                <w:rFonts w:ascii="Cambria" w:eastAsia="Times New Roman" w:hAnsi="Cambria" w:cs="Times New Roman"/>
                <w:lang w:eastAsia="hr-HR"/>
              </w:rPr>
              <w:t xml:space="preserve"> </w:t>
            </w:r>
            <w:proofErr w:type="spellStart"/>
            <w:r w:rsidRPr="00727BE6">
              <w:rPr>
                <w:rFonts w:ascii="Cambria" w:eastAsia="Times New Roman" w:hAnsi="Cambria" w:cs="Times New Roman"/>
                <w:lang w:eastAsia="hr-HR"/>
              </w:rPr>
              <w:t>zbor</w:t>
            </w:r>
            <w:proofErr w:type="spellEnd"/>
            <w:r w:rsidRPr="00727BE6">
              <w:rPr>
                <w:rFonts w:ascii="Cambria" w:eastAsia="Times New Roman" w:hAnsi="Cambria" w:cs="Times New Roman"/>
                <w:lang w:eastAsia="hr-HR"/>
              </w:rPr>
              <w:t xml:space="preserve">, </w:t>
            </w:r>
            <w:proofErr w:type="spellStart"/>
            <w:r w:rsidRPr="00727BE6">
              <w:rPr>
                <w:rFonts w:ascii="Cambria" w:eastAsia="Times New Roman" w:hAnsi="Cambria" w:cs="Times New Roman"/>
                <w:lang w:eastAsia="hr-HR"/>
              </w:rPr>
              <w:t>Fakultet</w:t>
            </w:r>
            <w:proofErr w:type="spellEnd"/>
            <w:r w:rsidRPr="00727BE6">
              <w:rPr>
                <w:rFonts w:ascii="Cambria" w:eastAsia="Times New Roman" w:hAnsi="Cambria" w:cs="Times New Roman"/>
                <w:lang w:eastAsia="hr-HR"/>
              </w:rPr>
              <w:t xml:space="preserve"> za </w:t>
            </w:r>
            <w:proofErr w:type="spellStart"/>
            <w:r w:rsidRPr="00727BE6">
              <w:rPr>
                <w:rFonts w:ascii="Cambria" w:eastAsia="Times New Roman" w:hAnsi="Cambria" w:cs="Times New Roman"/>
                <w:lang w:eastAsia="hr-HR"/>
              </w:rPr>
              <w:t>fizičku</w:t>
            </w:r>
            <w:proofErr w:type="spellEnd"/>
            <w:r w:rsidRPr="00727BE6">
              <w:rPr>
                <w:rFonts w:ascii="Cambria" w:eastAsia="Times New Roman" w:hAnsi="Cambria" w:cs="Times New Roman"/>
                <w:lang w:eastAsia="hr-HR"/>
              </w:rPr>
              <w:t xml:space="preserve"> </w:t>
            </w:r>
            <w:proofErr w:type="spellStart"/>
            <w:r w:rsidRPr="00727BE6">
              <w:rPr>
                <w:rFonts w:ascii="Cambria" w:eastAsia="Times New Roman" w:hAnsi="Cambria" w:cs="Times New Roman"/>
                <w:lang w:eastAsia="hr-HR"/>
              </w:rPr>
              <w:t>kulturu</w:t>
            </w:r>
            <w:proofErr w:type="spellEnd"/>
            <w:r w:rsidRPr="00727BE6">
              <w:rPr>
                <w:rFonts w:ascii="Cambria" w:eastAsia="Times New Roman" w:hAnsi="Cambria" w:cs="Times New Roman"/>
                <w:lang w:eastAsia="hr-HR"/>
              </w:rPr>
              <w:t xml:space="preserve"> </w:t>
            </w:r>
            <w:proofErr w:type="spellStart"/>
            <w:r w:rsidRPr="00727BE6">
              <w:rPr>
                <w:rFonts w:ascii="Cambria" w:eastAsia="Times New Roman" w:hAnsi="Cambria" w:cs="Times New Roman"/>
                <w:lang w:eastAsia="hr-HR"/>
              </w:rPr>
              <w:t>Sveučilišta</w:t>
            </w:r>
            <w:proofErr w:type="spellEnd"/>
            <w:r w:rsidRPr="00727BE6">
              <w:rPr>
                <w:rFonts w:ascii="Cambria" w:eastAsia="Times New Roman" w:hAnsi="Cambria" w:cs="Times New Roman"/>
                <w:lang w:eastAsia="hr-HR"/>
              </w:rPr>
              <w:t xml:space="preserve"> u </w:t>
            </w:r>
            <w:proofErr w:type="spellStart"/>
            <w:r w:rsidRPr="00727BE6">
              <w:rPr>
                <w:rFonts w:ascii="Cambria" w:eastAsia="Times New Roman" w:hAnsi="Cambria" w:cs="Times New Roman"/>
                <w:lang w:eastAsia="hr-HR"/>
              </w:rPr>
              <w:t>Zagrebu</w:t>
            </w:r>
            <w:proofErr w:type="spellEnd"/>
            <w:r w:rsidRPr="00727BE6">
              <w:rPr>
                <w:rFonts w:ascii="Cambria" w:eastAsia="Times New Roman" w:hAnsi="Cambria" w:cs="Times New Roman"/>
                <w:lang w:eastAsia="hr-HR"/>
              </w:rPr>
              <w:t>.</w:t>
            </w:r>
          </w:p>
          <w:p w14:paraId="0EB5740C" w14:textId="77777777" w:rsidR="008345F3" w:rsidRPr="00727BE6" w:rsidRDefault="008345F3" w:rsidP="00A034E3">
            <w:pPr>
              <w:numPr>
                <w:ilvl w:val="0"/>
                <w:numId w:val="73"/>
              </w:numPr>
              <w:tabs>
                <w:tab w:val="left" w:pos="408"/>
              </w:tabs>
              <w:spacing w:after="0"/>
              <w:ind w:left="66" w:firstLine="0"/>
              <w:jc w:val="both"/>
              <w:rPr>
                <w:rFonts w:ascii="Cambria" w:eastAsia="Times New Roman" w:hAnsi="Cambria" w:cs="Times New Roman"/>
                <w:lang w:eastAsia="hr-HR"/>
              </w:rPr>
            </w:pPr>
            <w:proofErr w:type="spellStart"/>
            <w:r w:rsidRPr="00727BE6">
              <w:rPr>
                <w:rFonts w:ascii="Cambria" w:eastAsia="Times New Roman" w:hAnsi="Cambria" w:cs="Times New Roman"/>
                <w:i/>
                <w:iCs/>
                <w:lang w:eastAsia="hr-HR"/>
              </w:rPr>
              <w:t>Zbornici</w:t>
            </w:r>
            <w:proofErr w:type="spellEnd"/>
            <w:r w:rsidRPr="00727BE6">
              <w:rPr>
                <w:rFonts w:ascii="Cambria" w:eastAsia="Times New Roman" w:hAnsi="Cambria" w:cs="Times New Roman"/>
                <w:i/>
                <w:iCs/>
                <w:lang w:eastAsia="hr-HR"/>
              </w:rPr>
              <w:t xml:space="preserve"> </w:t>
            </w:r>
            <w:proofErr w:type="spellStart"/>
            <w:r w:rsidRPr="00727BE6">
              <w:rPr>
                <w:rFonts w:ascii="Cambria" w:eastAsia="Times New Roman" w:hAnsi="Cambria" w:cs="Times New Roman"/>
                <w:i/>
                <w:iCs/>
                <w:lang w:eastAsia="hr-HR"/>
              </w:rPr>
              <w:t>radova</w:t>
            </w:r>
            <w:proofErr w:type="spellEnd"/>
            <w:r w:rsidRPr="00727BE6">
              <w:rPr>
                <w:rFonts w:ascii="Cambria" w:eastAsia="Times New Roman" w:hAnsi="Cambria" w:cs="Times New Roman"/>
                <w:i/>
                <w:iCs/>
                <w:lang w:eastAsia="hr-HR"/>
              </w:rPr>
              <w:t xml:space="preserve"> </w:t>
            </w:r>
            <w:proofErr w:type="spellStart"/>
            <w:r w:rsidRPr="00727BE6">
              <w:rPr>
                <w:rFonts w:ascii="Cambria" w:eastAsia="Times New Roman" w:hAnsi="Cambria" w:cs="Times New Roman"/>
                <w:i/>
                <w:iCs/>
                <w:lang w:eastAsia="hr-HR"/>
              </w:rPr>
              <w:t>Ljetne</w:t>
            </w:r>
            <w:proofErr w:type="spellEnd"/>
            <w:r w:rsidRPr="00727BE6">
              <w:rPr>
                <w:rFonts w:ascii="Cambria" w:eastAsia="Times New Roman" w:hAnsi="Cambria" w:cs="Times New Roman"/>
                <w:i/>
                <w:iCs/>
                <w:lang w:eastAsia="hr-HR"/>
              </w:rPr>
              <w:t xml:space="preserve"> </w:t>
            </w:r>
            <w:proofErr w:type="spellStart"/>
            <w:r w:rsidRPr="00727BE6">
              <w:rPr>
                <w:rFonts w:ascii="Cambria" w:eastAsia="Times New Roman" w:hAnsi="Cambria" w:cs="Times New Roman"/>
                <w:i/>
                <w:iCs/>
                <w:lang w:eastAsia="hr-HR"/>
              </w:rPr>
              <w:t>škole</w:t>
            </w:r>
            <w:proofErr w:type="spellEnd"/>
            <w:r w:rsidRPr="00727BE6">
              <w:rPr>
                <w:rFonts w:ascii="Cambria" w:eastAsia="Times New Roman" w:hAnsi="Cambria" w:cs="Times New Roman"/>
                <w:i/>
                <w:iCs/>
                <w:lang w:eastAsia="hr-HR"/>
              </w:rPr>
              <w:t xml:space="preserve"> </w:t>
            </w:r>
            <w:proofErr w:type="spellStart"/>
            <w:r w:rsidRPr="00727BE6">
              <w:rPr>
                <w:rFonts w:ascii="Cambria" w:eastAsia="Times New Roman" w:hAnsi="Cambria" w:cs="Times New Roman"/>
                <w:i/>
                <w:iCs/>
                <w:lang w:eastAsia="hr-HR"/>
              </w:rPr>
              <w:t>kineziologa</w:t>
            </w:r>
            <w:proofErr w:type="spellEnd"/>
            <w:r w:rsidRPr="00727BE6">
              <w:rPr>
                <w:rFonts w:ascii="Cambria" w:eastAsia="Times New Roman" w:hAnsi="Cambria" w:cs="Times New Roman"/>
                <w:i/>
                <w:iCs/>
                <w:lang w:eastAsia="hr-HR"/>
              </w:rPr>
              <w:t xml:space="preserve"> </w:t>
            </w:r>
            <w:proofErr w:type="spellStart"/>
            <w:r w:rsidRPr="00727BE6">
              <w:rPr>
                <w:rFonts w:ascii="Cambria" w:eastAsia="Times New Roman" w:hAnsi="Cambria" w:cs="Times New Roman"/>
                <w:i/>
                <w:iCs/>
                <w:lang w:eastAsia="hr-HR"/>
              </w:rPr>
              <w:t>Republike</w:t>
            </w:r>
            <w:proofErr w:type="spellEnd"/>
            <w:r w:rsidRPr="00727BE6">
              <w:rPr>
                <w:rFonts w:ascii="Cambria" w:eastAsia="Times New Roman" w:hAnsi="Cambria" w:cs="Times New Roman"/>
                <w:i/>
                <w:iCs/>
                <w:lang w:eastAsia="hr-HR"/>
              </w:rPr>
              <w:t xml:space="preserve"> </w:t>
            </w:r>
            <w:proofErr w:type="spellStart"/>
            <w:r w:rsidRPr="00727BE6">
              <w:rPr>
                <w:rFonts w:ascii="Cambria" w:eastAsia="Times New Roman" w:hAnsi="Cambria" w:cs="Times New Roman"/>
                <w:i/>
                <w:iCs/>
                <w:lang w:eastAsia="hr-HR"/>
              </w:rPr>
              <w:t>Hrvatske</w:t>
            </w:r>
            <w:proofErr w:type="spellEnd"/>
            <w:r w:rsidRPr="00727BE6">
              <w:rPr>
                <w:rFonts w:ascii="Cambria" w:eastAsia="Times New Roman" w:hAnsi="Cambria" w:cs="Times New Roman"/>
                <w:lang w:eastAsia="hr-HR"/>
              </w:rPr>
              <w:t xml:space="preserve"> (2003–2019).</w:t>
            </w:r>
          </w:p>
          <w:p w14:paraId="62319C44" w14:textId="77777777" w:rsidR="008345F3" w:rsidRPr="00727BE6" w:rsidRDefault="008345F3" w:rsidP="008345F3">
            <w:pPr>
              <w:tabs>
                <w:tab w:val="left" w:pos="408"/>
              </w:tabs>
              <w:spacing w:after="0"/>
              <w:ind w:left="66"/>
              <w:jc w:val="both"/>
              <w:outlineLvl w:val="2"/>
              <w:rPr>
                <w:rFonts w:ascii="Cambria" w:eastAsia="Times New Roman" w:hAnsi="Cambria" w:cs="Times New Roman"/>
                <w:bCs/>
                <w:lang w:eastAsia="hr-HR"/>
              </w:rPr>
            </w:pPr>
            <w:proofErr w:type="spellStart"/>
            <w:r w:rsidRPr="00727BE6">
              <w:rPr>
                <w:rFonts w:ascii="Cambria" w:eastAsia="Times New Roman" w:hAnsi="Cambria" w:cs="Times New Roman"/>
                <w:bCs/>
                <w:lang w:eastAsia="hr-HR"/>
              </w:rPr>
              <w:t>Priručna</w:t>
            </w:r>
            <w:proofErr w:type="spellEnd"/>
            <w:r w:rsidRPr="00727BE6">
              <w:rPr>
                <w:rFonts w:ascii="Cambria" w:eastAsia="Times New Roman" w:hAnsi="Cambria" w:cs="Times New Roman"/>
                <w:bCs/>
                <w:lang w:eastAsia="hr-HR"/>
              </w:rPr>
              <w:t>:</w:t>
            </w:r>
          </w:p>
          <w:p w14:paraId="2444C77A" w14:textId="77777777" w:rsidR="008345F3" w:rsidRPr="00727BE6" w:rsidRDefault="008345F3" w:rsidP="00A034E3">
            <w:pPr>
              <w:numPr>
                <w:ilvl w:val="0"/>
                <w:numId w:val="74"/>
              </w:numPr>
              <w:tabs>
                <w:tab w:val="left" w:pos="408"/>
              </w:tabs>
              <w:spacing w:after="0"/>
              <w:ind w:left="66" w:firstLine="0"/>
              <w:jc w:val="both"/>
              <w:rPr>
                <w:rFonts w:ascii="Cambria" w:eastAsia="Times New Roman" w:hAnsi="Cambria" w:cs="Times New Roman"/>
                <w:lang w:eastAsia="hr-HR"/>
              </w:rPr>
            </w:pPr>
            <w:proofErr w:type="spellStart"/>
            <w:r w:rsidRPr="00727BE6">
              <w:rPr>
                <w:rFonts w:ascii="Cambria" w:eastAsia="Times New Roman" w:hAnsi="Cambria" w:cs="Times New Roman"/>
                <w:lang w:val="it-IT" w:eastAsia="hr-HR"/>
              </w:rPr>
              <w:t>Ministarstvo</w:t>
            </w:r>
            <w:proofErr w:type="spellEnd"/>
            <w:r w:rsidRPr="00727BE6">
              <w:rPr>
                <w:rFonts w:ascii="Cambria" w:eastAsia="Times New Roman" w:hAnsi="Cambria" w:cs="Times New Roman"/>
                <w:lang w:val="it-IT" w:eastAsia="hr-HR"/>
              </w:rPr>
              <w:t xml:space="preserve"> </w:t>
            </w:r>
            <w:proofErr w:type="spellStart"/>
            <w:r w:rsidRPr="00727BE6">
              <w:rPr>
                <w:rFonts w:ascii="Cambria" w:eastAsia="Times New Roman" w:hAnsi="Cambria" w:cs="Times New Roman"/>
                <w:lang w:val="it-IT" w:eastAsia="hr-HR"/>
              </w:rPr>
              <w:t>znanosti</w:t>
            </w:r>
            <w:proofErr w:type="spellEnd"/>
            <w:r w:rsidRPr="00727BE6">
              <w:rPr>
                <w:rFonts w:ascii="Cambria" w:eastAsia="Times New Roman" w:hAnsi="Cambria" w:cs="Times New Roman"/>
                <w:lang w:val="it-IT" w:eastAsia="hr-HR"/>
              </w:rPr>
              <w:t xml:space="preserve">, </w:t>
            </w:r>
            <w:proofErr w:type="spellStart"/>
            <w:r w:rsidRPr="00727BE6">
              <w:rPr>
                <w:rFonts w:ascii="Cambria" w:eastAsia="Times New Roman" w:hAnsi="Cambria" w:cs="Times New Roman"/>
                <w:lang w:val="it-IT" w:eastAsia="hr-HR"/>
              </w:rPr>
              <w:t>obrazovanja</w:t>
            </w:r>
            <w:proofErr w:type="spellEnd"/>
            <w:r w:rsidRPr="00727BE6">
              <w:rPr>
                <w:rFonts w:ascii="Cambria" w:eastAsia="Times New Roman" w:hAnsi="Cambria" w:cs="Times New Roman"/>
                <w:lang w:val="it-IT" w:eastAsia="hr-HR"/>
              </w:rPr>
              <w:t xml:space="preserve"> </w:t>
            </w:r>
            <w:proofErr w:type="gramStart"/>
            <w:r w:rsidRPr="00727BE6">
              <w:rPr>
                <w:rFonts w:ascii="Cambria" w:eastAsia="Times New Roman" w:hAnsi="Cambria" w:cs="Times New Roman"/>
                <w:lang w:val="it-IT" w:eastAsia="hr-HR"/>
              </w:rPr>
              <w:t>i sporta</w:t>
            </w:r>
            <w:proofErr w:type="gramEnd"/>
            <w:r w:rsidRPr="00727BE6">
              <w:rPr>
                <w:rFonts w:ascii="Cambria" w:eastAsia="Times New Roman" w:hAnsi="Cambria" w:cs="Times New Roman"/>
                <w:lang w:val="it-IT" w:eastAsia="hr-HR"/>
              </w:rPr>
              <w:t xml:space="preserve">. </w:t>
            </w:r>
            <w:r w:rsidRPr="00727BE6">
              <w:rPr>
                <w:rFonts w:ascii="Cambria" w:eastAsia="Times New Roman" w:hAnsi="Cambria" w:cs="Times New Roman"/>
                <w:lang w:eastAsia="hr-HR"/>
              </w:rPr>
              <w:t xml:space="preserve">(2019). </w:t>
            </w:r>
            <w:proofErr w:type="spellStart"/>
            <w:r w:rsidRPr="00727BE6">
              <w:rPr>
                <w:rFonts w:ascii="Cambria" w:eastAsia="Times New Roman" w:hAnsi="Cambria" w:cs="Times New Roman"/>
                <w:i/>
                <w:iCs/>
                <w:lang w:eastAsia="hr-HR"/>
              </w:rPr>
              <w:t>Predmetni</w:t>
            </w:r>
            <w:proofErr w:type="spellEnd"/>
            <w:r w:rsidRPr="00727BE6">
              <w:rPr>
                <w:rFonts w:ascii="Cambria" w:eastAsia="Times New Roman" w:hAnsi="Cambria" w:cs="Times New Roman"/>
                <w:i/>
                <w:iCs/>
                <w:lang w:eastAsia="hr-HR"/>
              </w:rPr>
              <w:t xml:space="preserve"> </w:t>
            </w:r>
            <w:proofErr w:type="spellStart"/>
            <w:r w:rsidRPr="00727BE6">
              <w:rPr>
                <w:rFonts w:ascii="Cambria" w:eastAsia="Times New Roman" w:hAnsi="Cambria" w:cs="Times New Roman"/>
                <w:i/>
                <w:iCs/>
                <w:lang w:eastAsia="hr-HR"/>
              </w:rPr>
              <w:t>kurikulum</w:t>
            </w:r>
            <w:proofErr w:type="spellEnd"/>
            <w:r w:rsidRPr="00727BE6">
              <w:rPr>
                <w:rFonts w:ascii="Cambria" w:eastAsia="Times New Roman" w:hAnsi="Cambria" w:cs="Times New Roman"/>
                <w:lang w:eastAsia="hr-HR"/>
              </w:rPr>
              <w:t>. Zagreb: MZOS.</w:t>
            </w:r>
          </w:p>
        </w:tc>
      </w:tr>
    </w:tbl>
    <w:p w14:paraId="6823612E" w14:textId="200D2E62" w:rsidR="00727BE6" w:rsidRDefault="00727BE6" w:rsidP="008B34AF">
      <w:pPr>
        <w:jc w:val="both"/>
        <w:rPr>
          <w:rFonts w:ascii="Cambria" w:hAnsi="Cambria"/>
          <w:lang w:val="hr-HR"/>
        </w:rPr>
      </w:pPr>
    </w:p>
    <w:p w14:paraId="34B93B05" w14:textId="77777777" w:rsidR="00727BE6" w:rsidRDefault="00727BE6">
      <w:pPr>
        <w:rPr>
          <w:rFonts w:ascii="Cambria" w:hAnsi="Cambria"/>
          <w:lang w:val="hr-HR"/>
        </w:rPr>
      </w:pPr>
      <w:r>
        <w:rPr>
          <w:rFonts w:ascii="Cambria" w:hAnsi="Cambria"/>
          <w:lang w:val="hr-HR"/>
        </w:rPr>
        <w:br w:type="page"/>
      </w:r>
    </w:p>
    <w:p w14:paraId="4FA8F6B4" w14:textId="77777777" w:rsidR="0014341A" w:rsidRPr="00DF4CE5" w:rsidRDefault="0014341A" w:rsidP="008B34AF">
      <w:pPr>
        <w:jc w:val="both"/>
        <w:rPr>
          <w:rFonts w:ascii="Cambria" w:hAnsi="Cambria"/>
          <w:lang w:val="hr-HR"/>
        </w:rPr>
      </w:pPr>
    </w:p>
    <w:p w14:paraId="1AE91BF7" w14:textId="77777777" w:rsidR="007A75FD" w:rsidRPr="00DF4CE5" w:rsidRDefault="007A75FD" w:rsidP="008B34AF">
      <w:pPr>
        <w:jc w:val="both"/>
        <w:rPr>
          <w:rFonts w:ascii="Cambria" w:hAnsi="Cambria"/>
          <w:lang w:val="hr-HR"/>
        </w:rPr>
      </w:pPr>
    </w:p>
    <w:tbl>
      <w:tblPr>
        <w:tblW w:w="5000" w:type="pct"/>
        <w:tblLayout w:type="fixed"/>
        <w:tblCellMar>
          <w:left w:w="0" w:type="dxa"/>
          <w:right w:w="0" w:type="dxa"/>
        </w:tblCellMar>
        <w:tblLook w:val="0600" w:firstRow="0" w:lastRow="0" w:firstColumn="0" w:lastColumn="0" w:noHBand="1" w:noVBand="1"/>
      </w:tblPr>
      <w:tblGrid>
        <w:gridCol w:w="2616"/>
        <w:gridCol w:w="2482"/>
        <w:gridCol w:w="98"/>
        <w:gridCol w:w="1092"/>
        <w:gridCol w:w="280"/>
        <w:gridCol w:w="440"/>
        <w:gridCol w:w="1013"/>
        <w:gridCol w:w="1319"/>
      </w:tblGrid>
      <w:tr w:rsidR="0014341A" w:rsidRPr="00DF4CE5" w14:paraId="73441AD5" w14:textId="77777777" w:rsidTr="00C106A0">
        <w:tc>
          <w:tcPr>
            <w:tcW w:w="9340"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CA86554" w14:textId="77777777" w:rsidR="0014341A" w:rsidRPr="00DF4CE5" w:rsidRDefault="0014341A" w:rsidP="00001BA9">
            <w:pPr>
              <w:spacing w:after="0" w:line="240" w:lineRule="auto"/>
              <w:jc w:val="right"/>
              <w:rPr>
                <w:rFonts w:ascii="Cambria" w:eastAsia="Times New Roman" w:hAnsi="Cambria" w:cs="Calibri"/>
                <w:b/>
                <w:lang w:val="hr-HR"/>
              </w:rPr>
            </w:pPr>
            <w:r w:rsidRPr="00DF4CE5">
              <w:rPr>
                <w:rFonts w:ascii="Cambria" w:eastAsia="Times New Roman" w:hAnsi="Cambria" w:cs="Calibri"/>
                <w:b/>
                <w:lang w:val="hr-HR"/>
              </w:rPr>
              <w:t>IZVEDBENI PLAN NASTAVE KOLEGIJA</w:t>
            </w:r>
          </w:p>
        </w:tc>
      </w:tr>
      <w:tr w:rsidR="0014341A" w:rsidRPr="00D0399C" w14:paraId="32DC5FC8" w14:textId="77777777" w:rsidTr="00C106A0">
        <w:tc>
          <w:tcPr>
            <w:tcW w:w="261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6C65CFC" w14:textId="77777777" w:rsidR="0014341A" w:rsidRPr="00DF4CE5" w:rsidRDefault="0014341A"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Kod i naziv kolegija</w:t>
            </w:r>
          </w:p>
        </w:tc>
        <w:tc>
          <w:tcPr>
            <w:tcW w:w="672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2E9EFE9" w14:textId="77777777" w:rsidR="0014341A" w:rsidRPr="00DF4CE5" w:rsidRDefault="0014341A" w:rsidP="008B34AF">
            <w:pPr>
              <w:spacing w:after="0" w:line="240" w:lineRule="auto"/>
              <w:jc w:val="both"/>
              <w:rPr>
                <w:rFonts w:ascii="Cambria" w:eastAsia="Times New Roman" w:hAnsi="Cambria" w:cs="Calibri"/>
                <w:color w:val="000000"/>
                <w:lang w:val="hr-HR"/>
              </w:rPr>
            </w:pPr>
            <w:r w:rsidRPr="00DF4CE5">
              <w:rPr>
                <w:rFonts w:ascii="Cambria" w:eastAsia="Times New Roman" w:hAnsi="Cambria" w:cs="Calibri"/>
                <w:color w:val="000000"/>
                <w:lang w:val="hr-HR"/>
              </w:rPr>
              <w:t>118974</w:t>
            </w:r>
          </w:p>
          <w:p w14:paraId="73A5989B" w14:textId="77777777" w:rsidR="0014341A" w:rsidRPr="00DF4CE5" w:rsidRDefault="0014341A" w:rsidP="008B34AF">
            <w:pPr>
              <w:spacing w:after="0" w:line="240" w:lineRule="auto"/>
              <w:jc w:val="both"/>
              <w:rPr>
                <w:rFonts w:ascii="Cambria" w:eastAsia="Times New Roman" w:hAnsi="Cambria" w:cs="Calibri"/>
                <w:b/>
                <w:lang w:val="hr-HR"/>
              </w:rPr>
            </w:pPr>
            <w:r w:rsidRPr="00DF4CE5">
              <w:rPr>
                <w:rFonts w:ascii="Cambria" w:eastAsia="Times New Roman" w:hAnsi="Cambria" w:cs="Calibri"/>
                <w:lang w:val="hr-HR"/>
              </w:rPr>
              <w:t>Metodika nastave engleskog jezika III</w:t>
            </w:r>
          </w:p>
        </w:tc>
      </w:tr>
      <w:tr w:rsidR="0014341A" w:rsidRPr="00DF4CE5" w14:paraId="4257AD0A" w14:textId="77777777" w:rsidTr="00C106A0">
        <w:tc>
          <w:tcPr>
            <w:tcW w:w="261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B533DAB" w14:textId="11259D64" w:rsidR="0014341A" w:rsidRPr="00DF4CE5" w:rsidRDefault="0014341A"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Nastavni</w:t>
            </w:r>
            <w:r w:rsidR="000404D6" w:rsidRPr="00DF4CE5">
              <w:rPr>
                <w:rFonts w:ascii="Cambria" w:eastAsia="Times New Roman" w:hAnsi="Cambria" w:cs="Calibri"/>
                <w:lang w:val="hr-HR"/>
              </w:rPr>
              <w:t>c</w:t>
            </w:r>
            <w:r w:rsidR="00727BE6">
              <w:rPr>
                <w:rFonts w:ascii="Cambria" w:eastAsia="Times New Roman" w:hAnsi="Cambria" w:cs="Calibri"/>
                <w:lang w:val="hr-HR"/>
              </w:rPr>
              <w:t>a</w:t>
            </w:r>
          </w:p>
          <w:p w14:paraId="5371A3EF" w14:textId="6EDB26AB" w:rsidR="0014341A" w:rsidRPr="00DF4CE5" w:rsidRDefault="0014341A"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Suradnic</w:t>
            </w:r>
            <w:r w:rsidR="0009020E" w:rsidRPr="00DF4CE5">
              <w:rPr>
                <w:rFonts w:ascii="Cambria" w:eastAsia="Times New Roman" w:hAnsi="Cambria" w:cs="Calibri"/>
                <w:lang w:val="hr-HR"/>
              </w:rPr>
              <w:t>a</w:t>
            </w:r>
          </w:p>
        </w:tc>
        <w:tc>
          <w:tcPr>
            <w:tcW w:w="672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1F56B84" w14:textId="3AB3FA3D" w:rsidR="000053D1" w:rsidRPr="00727BE6" w:rsidRDefault="000053D1" w:rsidP="000053D1">
            <w:pPr>
              <w:spacing w:after="0"/>
              <w:rPr>
                <w:rFonts w:ascii="Cambria" w:hAnsi="Cambria"/>
                <w:lang w:val="hr-HR"/>
              </w:rPr>
            </w:pPr>
            <w:hyperlink r:id="rId178" w:history="1">
              <w:r w:rsidRPr="00727BE6">
                <w:rPr>
                  <w:rStyle w:val="Hiperveza"/>
                  <w:rFonts w:ascii="Cambria" w:hAnsi="Cambria"/>
                  <w:lang w:val="hr-HR"/>
                </w:rPr>
                <w:t>N</w:t>
              </w:r>
              <w:r w:rsidRPr="00727BE6">
                <w:rPr>
                  <w:rStyle w:val="Hiperveza"/>
                  <w:rFonts w:ascii="Cambria" w:hAnsi="Cambria" w:cs="Calibri"/>
                  <w:lang w:val="hr-HR"/>
                </w:rPr>
                <w:t xml:space="preserve">aslovna doc. dr. sc. Marina Jajić </w:t>
              </w:r>
              <w:proofErr w:type="spellStart"/>
              <w:r w:rsidRPr="00727BE6">
                <w:rPr>
                  <w:rStyle w:val="Hiperveza"/>
                  <w:rFonts w:ascii="Cambria" w:hAnsi="Cambria" w:cs="Calibri"/>
                  <w:lang w:val="hr-HR"/>
                </w:rPr>
                <w:t>Novogradec</w:t>
              </w:r>
              <w:proofErr w:type="spellEnd"/>
            </w:hyperlink>
            <w:r w:rsidR="00727BE6" w:rsidRPr="001421C4">
              <w:rPr>
                <w:rStyle w:val="Hiperveza"/>
                <w:rFonts w:ascii="Cambria" w:hAnsi="Cambria" w:cs="Calibri"/>
                <w:lang w:val="hr-HR"/>
              </w:rPr>
              <w:t xml:space="preserve"> </w:t>
            </w:r>
            <w:r w:rsidR="00727BE6" w:rsidRPr="00727BE6">
              <w:rPr>
                <w:rFonts w:ascii="Cambria" w:hAnsi="Cambria"/>
                <w:lang w:val="hr-HR"/>
              </w:rPr>
              <w:t>(nositeljica)</w:t>
            </w:r>
          </w:p>
          <w:p w14:paraId="3C7A7E9A" w14:textId="4F2A84FD" w:rsidR="0014341A" w:rsidRPr="00DF4CE5" w:rsidRDefault="000053D1" w:rsidP="000053D1">
            <w:pPr>
              <w:spacing w:after="0" w:line="240" w:lineRule="auto"/>
              <w:jc w:val="both"/>
              <w:rPr>
                <w:rFonts w:ascii="Cambria" w:eastAsia="Times New Roman" w:hAnsi="Cambria" w:cs="Calibri"/>
                <w:lang w:val="hr-HR"/>
              </w:rPr>
            </w:pPr>
            <w:hyperlink r:id="rId179" w:history="1">
              <w:r w:rsidRPr="00727BE6">
                <w:rPr>
                  <w:rStyle w:val="Hiperveza"/>
                  <w:rFonts w:ascii="Cambria" w:hAnsi="Cambria" w:cs="Calibri"/>
                  <w:lang w:val="it-IT"/>
                </w:rPr>
                <w:t xml:space="preserve">Jelena </w:t>
              </w:r>
              <w:proofErr w:type="spellStart"/>
              <w:r w:rsidRPr="00727BE6">
                <w:rPr>
                  <w:rStyle w:val="Hiperveza"/>
                  <w:rFonts w:ascii="Cambria" w:hAnsi="Cambria" w:cs="Calibri"/>
                  <w:lang w:val="it-IT"/>
                </w:rPr>
                <w:t>Gugić</w:t>
              </w:r>
              <w:proofErr w:type="spellEnd"/>
              <w:r w:rsidRPr="00727BE6">
                <w:rPr>
                  <w:rStyle w:val="Hiperveza"/>
                  <w:rFonts w:ascii="Cambria" w:hAnsi="Cambria" w:cs="Calibri"/>
                  <w:lang w:val="it-IT"/>
                </w:rPr>
                <w:t xml:space="preserve">, </w:t>
              </w:r>
              <w:proofErr w:type="spellStart"/>
              <w:r w:rsidRPr="00727BE6">
                <w:rPr>
                  <w:rStyle w:val="Hiperveza"/>
                  <w:rFonts w:ascii="Cambria" w:hAnsi="Cambria" w:cs="Calibri"/>
                  <w:lang w:val="it-IT"/>
                </w:rPr>
                <w:t>asistentica</w:t>
              </w:r>
              <w:proofErr w:type="spellEnd"/>
            </w:hyperlink>
          </w:p>
        </w:tc>
      </w:tr>
      <w:tr w:rsidR="0014341A" w:rsidRPr="00D0399C" w14:paraId="182F9448" w14:textId="77777777" w:rsidTr="00C106A0">
        <w:tc>
          <w:tcPr>
            <w:tcW w:w="261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8964355" w14:textId="77777777" w:rsidR="0014341A" w:rsidRPr="00DF4CE5" w:rsidRDefault="0014341A"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Studijski program</w:t>
            </w:r>
          </w:p>
        </w:tc>
        <w:tc>
          <w:tcPr>
            <w:tcW w:w="672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7A1E087" w14:textId="77777777" w:rsidR="0014341A" w:rsidRPr="00DF4CE5" w:rsidRDefault="00BE4D96" w:rsidP="008B34AF">
            <w:pPr>
              <w:spacing w:after="0" w:line="240" w:lineRule="auto"/>
              <w:jc w:val="both"/>
              <w:rPr>
                <w:rFonts w:ascii="Cambria" w:eastAsia="Times New Roman" w:hAnsi="Cambria" w:cs="Calibri"/>
                <w:lang w:val="hr-HR"/>
              </w:rPr>
            </w:pPr>
            <w:r w:rsidRPr="00DF4CE5">
              <w:rPr>
                <w:rFonts w:ascii="Cambria" w:hAnsi="Cambria"/>
                <w:lang w:val="hr-HR"/>
              </w:rPr>
              <w:t>Sveučilišni integrirani prijediplomski i diplomski Učiteljski studij na hrvatskom jeziku</w:t>
            </w:r>
          </w:p>
        </w:tc>
      </w:tr>
      <w:tr w:rsidR="0014341A" w:rsidRPr="00DF4CE5" w14:paraId="3CACCAE0" w14:textId="77777777" w:rsidTr="00C106A0">
        <w:tc>
          <w:tcPr>
            <w:tcW w:w="261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4583DBC" w14:textId="77777777" w:rsidR="0014341A" w:rsidRPr="00DF4CE5" w:rsidRDefault="0014341A"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Vrsta kolegija</w:t>
            </w:r>
          </w:p>
        </w:tc>
        <w:tc>
          <w:tcPr>
            <w:tcW w:w="248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8453C3F" w14:textId="77777777" w:rsidR="0014341A" w:rsidRPr="00DF4CE5" w:rsidRDefault="0014341A"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obvezan </w:t>
            </w:r>
          </w:p>
          <w:p w14:paraId="13252CE8" w14:textId="77777777" w:rsidR="0014341A" w:rsidRPr="00DF4CE5" w:rsidRDefault="0014341A" w:rsidP="008B34AF">
            <w:pPr>
              <w:spacing w:after="0" w:line="240" w:lineRule="auto"/>
              <w:jc w:val="both"/>
              <w:rPr>
                <w:rFonts w:ascii="Cambria" w:eastAsia="Times New Roman" w:hAnsi="Cambria" w:cs="Calibri"/>
                <w:lang w:val="hr-HR"/>
              </w:rPr>
            </w:pPr>
          </w:p>
        </w:tc>
        <w:tc>
          <w:tcPr>
            <w:tcW w:w="1470"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1438890A" w14:textId="77777777" w:rsidR="0014341A" w:rsidRPr="00DF4CE5" w:rsidRDefault="0014341A"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Razina kolegija</w:t>
            </w:r>
          </w:p>
        </w:tc>
        <w:tc>
          <w:tcPr>
            <w:tcW w:w="2772"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7EE066B" w14:textId="77777777" w:rsidR="0014341A" w:rsidRPr="00DF4CE5" w:rsidRDefault="0014341A" w:rsidP="008B34AF">
            <w:pPr>
              <w:spacing w:after="0" w:line="240" w:lineRule="auto"/>
              <w:jc w:val="both"/>
              <w:rPr>
                <w:rFonts w:ascii="Cambria" w:eastAsia="Times New Roman" w:hAnsi="Cambria" w:cs="Calibri"/>
                <w:lang w:val="hr-HR"/>
              </w:rPr>
            </w:pPr>
          </w:p>
          <w:p w14:paraId="61792324" w14:textId="77777777" w:rsidR="0014341A" w:rsidRPr="00DF4CE5" w:rsidRDefault="0014341A" w:rsidP="008B34AF">
            <w:pPr>
              <w:spacing w:after="0" w:line="240" w:lineRule="auto"/>
              <w:jc w:val="both"/>
              <w:rPr>
                <w:rFonts w:ascii="Cambria" w:eastAsia="Times New Roman" w:hAnsi="Cambria" w:cs="Calibri"/>
                <w:lang w:val="hr-HR"/>
              </w:rPr>
            </w:pPr>
            <w:proofErr w:type="spellStart"/>
            <w:r w:rsidRPr="00DF4CE5">
              <w:rPr>
                <w:rFonts w:ascii="Cambria" w:eastAsia="Times New Roman" w:hAnsi="Cambria" w:cs="Calibri"/>
                <w:lang w:val="it-IT"/>
              </w:rPr>
              <w:t>integrirani</w:t>
            </w:r>
            <w:proofErr w:type="spellEnd"/>
          </w:p>
          <w:p w14:paraId="7F4607F9" w14:textId="77777777" w:rsidR="0014341A" w:rsidRPr="00DF4CE5" w:rsidRDefault="0014341A" w:rsidP="008B34AF">
            <w:pPr>
              <w:spacing w:after="0" w:line="240" w:lineRule="auto"/>
              <w:jc w:val="both"/>
              <w:rPr>
                <w:rFonts w:ascii="Cambria" w:eastAsia="Times New Roman" w:hAnsi="Cambria" w:cs="Calibri"/>
                <w:lang w:val="hr-HR"/>
              </w:rPr>
            </w:pPr>
          </w:p>
        </w:tc>
      </w:tr>
      <w:tr w:rsidR="0014341A" w:rsidRPr="00DF4CE5" w14:paraId="6C38EC0E" w14:textId="77777777" w:rsidTr="00C106A0">
        <w:tc>
          <w:tcPr>
            <w:tcW w:w="261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BEFD11C" w14:textId="77777777" w:rsidR="0014341A" w:rsidRPr="00DF4CE5" w:rsidRDefault="0014341A"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Semestar</w:t>
            </w:r>
          </w:p>
        </w:tc>
        <w:tc>
          <w:tcPr>
            <w:tcW w:w="248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A3601ED" w14:textId="77777777" w:rsidR="0014341A" w:rsidRPr="00DF4CE5" w:rsidRDefault="0014341A"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ljetni</w:t>
            </w:r>
          </w:p>
          <w:p w14:paraId="14F4CA60" w14:textId="77777777" w:rsidR="0014341A" w:rsidRPr="00DF4CE5" w:rsidRDefault="0014341A" w:rsidP="008B34AF">
            <w:pPr>
              <w:spacing w:after="0" w:line="240" w:lineRule="auto"/>
              <w:jc w:val="both"/>
              <w:rPr>
                <w:rFonts w:ascii="Cambria" w:eastAsia="Times New Roman" w:hAnsi="Cambria" w:cs="Calibri"/>
                <w:lang w:val="hr-HR"/>
              </w:rPr>
            </w:pPr>
          </w:p>
        </w:tc>
        <w:tc>
          <w:tcPr>
            <w:tcW w:w="1470"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0E048039" w14:textId="77777777" w:rsidR="0014341A" w:rsidRPr="00DF4CE5" w:rsidRDefault="0014341A"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Godina studija</w:t>
            </w:r>
          </w:p>
        </w:tc>
        <w:tc>
          <w:tcPr>
            <w:tcW w:w="2772"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DB7B8C9" w14:textId="77777777" w:rsidR="0014341A" w:rsidRPr="00DF4CE5" w:rsidRDefault="0014341A"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V.</w:t>
            </w:r>
          </w:p>
        </w:tc>
      </w:tr>
      <w:tr w:rsidR="0014341A" w:rsidRPr="00DF4CE5" w14:paraId="452C0FFE" w14:textId="77777777" w:rsidTr="00C106A0">
        <w:tc>
          <w:tcPr>
            <w:tcW w:w="261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EC4CAA6" w14:textId="77777777" w:rsidR="0014341A" w:rsidRPr="00DF4CE5" w:rsidRDefault="0014341A" w:rsidP="008B34AF">
            <w:pPr>
              <w:spacing w:after="0" w:line="240" w:lineRule="auto"/>
              <w:jc w:val="both"/>
              <w:rPr>
                <w:rFonts w:ascii="Cambria" w:eastAsia="Times New Roman" w:hAnsi="Cambria" w:cs="Calibri"/>
                <w:lang w:val="hr-HR"/>
              </w:rPr>
            </w:pPr>
            <w:proofErr w:type="spellStart"/>
            <w:r w:rsidRPr="00DF4CE5">
              <w:rPr>
                <w:rFonts w:ascii="Cambria" w:eastAsia="Times New Roman" w:hAnsi="Cambria" w:cs="Calibri"/>
              </w:rPr>
              <w:t>Mjesto</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izvođenja</w:t>
            </w:r>
            <w:proofErr w:type="spellEnd"/>
          </w:p>
        </w:tc>
        <w:tc>
          <w:tcPr>
            <w:tcW w:w="248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E9F1BFF" w14:textId="08136907" w:rsidR="0014341A" w:rsidRPr="00DF4CE5" w:rsidRDefault="001974E1"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u</w:t>
            </w:r>
            <w:r w:rsidR="0014341A" w:rsidRPr="00DF4CE5">
              <w:rPr>
                <w:rFonts w:ascii="Cambria" w:eastAsia="Times New Roman" w:hAnsi="Cambria" w:cs="Calibri"/>
                <w:lang w:val="hr-HR"/>
              </w:rPr>
              <w:t>čionica</w:t>
            </w:r>
          </w:p>
        </w:tc>
        <w:tc>
          <w:tcPr>
            <w:tcW w:w="1470"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7901C95E" w14:textId="77777777" w:rsidR="0014341A" w:rsidRPr="00DF4CE5" w:rsidRDefault="0014341A" w:rsidP="008B34AF">
            <w:pPr>
              <w:spacing w:after="0" w:line="240" w:lineRule="auto"/>
              <w:jc w:val="both"/>
              <w:rPr>
                <w:rFonts w:ascii="Cambria" w:eastAsia="Times New Roman" w:hAnsi="Cambria" w:cs="Calibri"/>
                <w:lang w:val="hr-HR"/>
              </w:rPr>
            </w:pPr>
            <w:r w:rsidRPr="00DF4CE5">
              <w:rPr>
                <w:rFonts w:ascii="Cambria" w:eastAsia="Times New Roman" w:hAnsi="Cambria" w:cs="Calibri"/>
              </w:rPr>
              <w:t>Jezik</w:t>
            </w:r>
            <w:r w:rsidRPr="00DF4CE5">
              <w:rPr>
                <w:rFonts w:ascii="Cambria" w:eastAsia="Times New Roman" w:hAnsi="Cambria" w:cs="Calibri"/>
                <w:lang w:val="hr-HR"/>
              </w:rPr>
              <w:t xml:space="preserve"> izvođenja (drugi jezici)</w:t>
            </w:r>
          </w:p>
        </w:tc>
        <w:tc>
          <w:tcPr>
            <w:tcW w:w="2772"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4972324" w14:textId="0D25B524" w:rsidR="0014341A" w:rsidRPr="00DF4CE5" w:rsidRDefault="000053D1" w:rsidP="008B34AF">
            <w:pPr>
              <w:spacing w:after="0" w:line="240" w:lineRule="auto"/>
              <w:jc w:val="both"/>
              <w:rPr>
                <w:rFonts w:ascii="Cambria" w:eastAsia="Times New Roman" w:hAnsi="Cambria" w:cs="Calibri"/>
                <w:lang w:val="hr-HR"/>
              </w:rPr>
            </w:pPr>
            <w:r>
              <w:rPr>
                <w:rFonts w:ascii="Cambria" w:eastAsia="Times New Roman" w:hAnsi="Cambria" w:cs="Calibri"/>
                <w:lang w:val="hr-HR"/>
              </w:rPr>
              <w:t>e</w:t>
            </w:r>
            <w:r w:rsidR="0014341A" w:rsidRPr="00DF4CE5">
              <w:rPr>
                <w:rFonts w:ascii="Cambria" w:eastAsia="Times New Roman" w:hAnsi="Cambria" w:cs="Calibri"/>
                <w:lang w:val="hr-HR"/>
              </w:rPr>
              <w:t>ngleski</w:t>
            </w:r>
          </w:p>
        </w:tc>
      </w:tr>
      <w:tr w:rsidR="0014341A" w:rsidRPr="00DF4CE5" w14:paraId="6B642701" w14:textId="77777777" w:rsidTr="00C106A0">
        <w:tc>
          <w:tcPr>
            <w:tcW w:w="261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66E5D0A" w14:textId="77777777" w:rsidR="0014341A" w:rsidRPr="00DF4CE5" w:rsidRDefault="0014341A"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Broj ECTS bodova</w:t>
            </w:r>
          </w:p>
        </w:tc>
        <w:tc>
          <w:tcPr>
            <w:tcW w:w="248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2F41357" w14:textId="77777777" w:rsidR="0014341A" w:rsidRPr="00DF4CE5" w:rsidRDefault="0014341A"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4</w:t>
            </w:r>
          </w:p>
        </w:tc>
        <w:tc>
          <w:tcPr>
            <w:tcW w:w="1470"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3896A7C1" w14:textId="77777777" w:rsidR="0014341A" w:rsidRPr="00DF4CE5" w:rsidRDefault="0014341A"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Broj sati u semestru</w:t>
            </w:r>
          </w:p>
        </w:tc>
        <w:tc>
          <w:tcPr>
            <w:tcW w:w="2772"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6AE64F8" w14:textId="4340CB4D" w:rsidR="0014341A" w:rsidRPr="00DF4CE5" w:rsidRDefault="0014341A"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15P – </w:t>
            </w:r>
            <w:r w:rsidR="001974E1" w:rsidRPr="00DF4CE5">
              <w:rPr>
                <w:rFonts w:ascii="Cambria" w:eastAsia="Times New Roman" w:hAnsi="Cambria" w:cs="Calibri"/>
                <w:lang w:val="hr-HR"/>
              </w:rPr>
              <w:t>0S</w:t>
            </w:r>
            <w:r w:rsidRPr="00DF4CE5">
              <w:rPr>
                <w:rFonts w:ascii="Cambria" w:eastAsia="Times New Roman" w:hAnsi="Cambria" w:cs="Calibri"/>
                <w:lang w:val="hr-HR"/>
              </w:rPr>
              <w:t xml:space="preserve"> – </w:t>
            </w:r>
            <w:r w:rsidR="001974E1" w:rsidRPr="00DF4CE5">
              <w:rPr>
                <w:rFonts w:ascii="Cambria" w:eastAsia="Times New Roman" w:hAnsi="Cambria" w:cs="Calibri"/>
                <w:lang w:val="hr-HR"/>
              </w:rPr>
              <w:t>3</w:t>
            </w:r>
            <w:r w:rsidRPr="00DF4CE5">
              <w:rPr>
                <w:rFonts w:ascii="Cambria" w:eastAsia="Times New Roman" w:hAnsi="Cambria" w:cs="Calibri"/>
                <w:lang w:val="hr-HR"/>
              </w:rPr>
              <w:t>0</w:t>
            </w:r>
            <w:r w:rsidR="001974E1" w:rsidRPr="00DF4CE5">
              <w:rPr>
                <w:rFonts w:ascii="Cambria" w:eastAsia="Times New Roman" w:hAnsi="Cambria" w:cs="Calibri"/>
                <w:lang w:val="hr-HR"/>
              </w:rPr>
              <w:t>V</w:t>
            </w:r>
            <w:r w:rsidRPr="00DF4CE5">
              <w:rPr>
                <w:rFonts w:ascii="Cambria" w:eastAsia="Times New Roman" w:hAnsi="Cambria" w:cs="Calibri"/>
                <w:lang w:val="hr-HR"/>
              </w:rPr>
              <w:t xml:space="preserve">  </w:t>
            </w:r>
          </w:p>
        </w:tc>
      </w:tr>
      <w:tr w:rsidR="0014341A" w:rsidRPr="00D0399C" w14:paraId="182CF6CF" w14:textId="77777777" w:rsidTr="00C106A0">
        <w:tc>
          <w:tcPr>
            <w:tcW w:w="261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C3931F1" w14:textId="77777777" w:rsidR="0014341A" w:rsidRPr="00DF4CE5" w:rsidRDefault="0014341A"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Preduvjeti za upis i za svladavanje</w:t>
            </w:r>
          </w:p>
        </w:tc>
        <w:tc>
          <w:tcPr>
            <w:tcW w:w="672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93DF000" w14:textId="77777777" w:rsidR="0014341A" w:rsidRPr="00DF4CE5" w:rsidRDefault="0014341A"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Odslušani kolegiji Metodika nastave engleskog jezika I </w:t>
            </w:r>
            <w:proofErr w:type="spellStart"/>
            <w:r w:rsidRPr="00DF4CE5">
              <w:rPr>
                <w:rFonts w:ascii="Cambria" w:eastAsia="Times New Roman" w:hAnsi="Cambria" w:cs="Calibri"/>
                <w:lang w:val="hr-HR"/>
              </w:rPr>
              <w:t>i</w:t>
            </w:r>
            <w:proofErr w:type="spellEnd"/>
            <w:r w:rsidRPr="00DF4CE5">
              <w:rPr>
                <w:rFonts w:ascii="Cambria" w:eastAsia="Times New Roman" w:hAnsi="Cambria" w:cs="Calibri"/>
                <w:lang w:val="hr-HR"/>
              </w:rPr>
              <w:t xml:space="preserve"> II.</w:t>
            </w:r>
          </w:p>
        </w:tc>
      </w:tr>
      <w:tr w:rsidR="0014341A" w:rsidRPr="00D0399C" w14:paraId="43F392D0" w14:textId="77777777" w:rsidTr="00C106A0">
        <w:tc>
          <w:tcPr>
            <w:tcW w:w="261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0052FA1" w14:textId="77777777" w:rsidR="0014341A" w:rsidRPr="00DF4CE5" w:rsidRDefault="0014341A" w:rsidP="008B34AF">
            <w:pPr>
              <w:spacing w:after="0" w:line="240" w:lineRule="auto"/>
              <w:jc w:val="both"/>
              <w:rPr>
                <w:rFonts w:ascii="Cambria" w:eastAsia="Times New Roman" w:hAnsi="Cambria" w:cs="Calibri"/>
                <w:lang w:val="hr-HR"/>
              </w:rPr>
            </w:pPr>
            <w:proofErr w:type="spellStart"/>
            <w:r w:rsidRPr="00DF4CE5">
              <w:rPr>
                <w:rFonts w:ascii="Cambria" w:eastAsia="Times New Roman" w:hAnsi="Cambria" w:cs="Calibri"/>
              </w:rPr>
              <w:t>Korelativnost</w:t>
            </w:r>
            <w:proofErr w:type="spellEnd"/>
          </w:p>
        </w:tc>
        <w:tc>
          <w:tcPr>
            <w:tcW w:w="672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36D92880" w14:textId="47A2A0F9" w:rsidR="0014341A" w:rsidRPr="00DF4CE5" w:rsidRDefault="0014341A" w:rsidP="008B34AF">
            <w:pPr>
              <w:spacing w:before="20" w:after="20" w:line="240" w:lineRule="auto"/>
              <w:jc w:val="both"/>
              <w:rPr>
                <w:rFonts w:ascii="Cambria" w:eastAsia="Times New Roman" w:hAnsi="Cambria" w:cs="Calibri"/>
                <w:lang w:val="hr-HR"/>
              </w:rPr>
            </w:pPr>
            <w:r w:rsidRPr="00DF4CE5">
              <w:rPr>
                <w:rFonts w:ascii="Cambria" w:eastAsia="Times New Roman" w:hAnsi="Cambria" w:cs="Calibri"/>
                <w:lang w:val="hr-HR"/>
              </w:rPr>
              <w:t>Metodika nastave engleskog jezika I, II</w:t>
            </w:r>
            <w:r w:rsidR="000053D1">
              <w:rPr>
                <w:rFonts w:ascii="Cambria" w:eastAsia="Times New Roman" w:hAnsi="Cambria" w:cs="Calibri"/>
                <w:lang w:val="hr-HR"/>
              </w:rPr>
              <w:t xml:space="preserve">; </w:t>
            </w:r>
            <w:r w:rsidRPr="00DF4CE5">
              <w:rPr>
                <w:rFonts w:ascii="Cambria" w:eastAsia="Times New Roman" w:hAnsi="Cambria" w:cs="Calibri"/>
                <w:lang w:val="hr-HR"/>
              </w:rPr>
              <w:t>Engleski jezik I – II</w:t>
            </w:r>
            <w:r w:rsidR="000053D1">
              <w:rPr>
                <w:rFonts w:ascii="Cambria" w:eastAsia="Times New Roman" w:hAnsi="Cambria" w:cs="Calibri"/>
                <w:lang w:val="hr-HR"/>
              </w:rPr>
              <w:t xml:space="preserve">; </w:t>
            </w:r>
            <w:r w:rsidRPr="00DF4CE5">
              <w:rPr>
                <w:rFonts w:ascii="Cambria" w:eastAsia="Times New Roman" w:hAnsi="Cambria" w:cs="Calibri"/>
                <w:lang w:val="hr-HR"/>
              </w:rPr>
              <w:t>Govorne vježbe I – IV</w:t>
            </w:r>
          </w:p>
        </w:tc>
      </w:tr>
      <w:tr w:rsidR="0014341A" w:rsidRPr="00D0399C" w14:paraId="6B3E5C23" w14:textId="77777777" w:rsidTr="00C106A0">
        <w:tc>
          <w:tcPr>
            <w:tcW w:w="261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2540702" w14:textId="77777777" w:rsidR="0014341A" w:rsidRPr="00DF4CE5" w:rsidRDefault="0014341A"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Cilj kolegija </w:t>
            </w:r>
          </w:p>
        </w:tc>
        <w:tc>
          <w:tcPr>
            <w:tcW w:w="672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1C9DC294" w14:textId="5E9FBDE6" w:rsidR="0014341A" w:rsidRPr="00DF4CE5" w:rsidRDefault="0014341A" w:rsidP="008B34AF">
            <w:pPr>
              <w:spacing w:before="20" w:after="20" w:line="240" w:lineRule="auto"/>
              <w:jc w:val="both"/>
              <w:rPr>
                <w:rFonts w:ascii="Cambria" w:eastAsia="Times New Roman" w:hAnsi="Cambria" w:cs="Calibri"/>
                <w:lang w:val="hr-HR"/>
              </w:rPr>
            </w:pPr>
            <w:r w:rsidRPr="00DF4CE5">
              <w:rPr>
                <w:rFonts w:ascii="Cambria" w:eastAsia="Times New Roman" w:hAnsi="Cambria" w:cs="Calibri"/>
                <w:lang w:val="hr-HR"/>
              </w:rPr>
              <w:t>primijeniti ključne postavke metodike engleskog kao stranog jezika putem konkretnih zadataka i nastavnih tehnika</w:t>
            </w:r>
          </w:p>
        </w:tc>
      </w:tr>
      <w:tr w:rsidR="0014341A" w:rsidRPr="00D0399C" w14:paraId="707D01E4" w14:textId="77777777" w:rsidTr="00C106A0">
        <w:tc>
          <w:tcPr>
            <w:tcW w:w="261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261A9A5" w14:textId="77777777" w:rsidR="0014341A" w:rsidRPr="00DF4CE5" w:rsidRDefault="0014341A"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Ishodi učenja</w:t>
            </w:r>
          </w:p>
        </w:tc>
        <w:tc>
          <w:tcPr>
            <w:tcW w:w="672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7B5ED65" w14:textId="77777777" w:rsidR="0014341A" w:rsidRPr="00DF4CE5" w:rsidRDefault="0014341A"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1. argumentirano analizirati metodičke aspekte različitih tipova nastavnog sata engleskog jezika u nižim razredima osnovne škole</w:t>
            </w:r>
          </w:p>
          <w:p w14:paraId="6960F5FC" w14:textId="77777777" w:rsidR="0014341A" w:rsidRPr="00DF4CE5" w:rsidRDefault="0014341A"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2. usporediti metodičku literaturu za rano učenje engleskog kao stranog jezika (domaćih i inozemnih autora i izdavača)</w:t>
            </w:r>
          </w:p>
          <w:p w14:paraId="47C9AA86" w14:textId="77777777" w:rsidR="0014341A" w:rsidRPr="00DF4CE5" w:rsidRDefault="0014341A"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3. analizirati </w:t>
            </w:r>
            <w:proofErr w:type="spellStart"/>
            <w:r w:rsidRPr="00DF4CE5">
              <w:rPr>
                <w:rFonts w:ascii="Cambria" w:eastAsia="Times New Roman" w:hAnsi="Cambria" w:cs="Calibri"/>
                <w:lang w:val="hr-HR"/>
              </w:rPr>
              <w:t>mgućnosti</w:t>
            </w:r>
            <w:proofErr w:type="spellEnd"/>
            <w:r w:rsidRPr="00DF4CE5">
              <w:rPr>
                <w:rFonts w:ascii="Cambria" w:eastAsia="Times New Roman" w:hAnsi="Cambria" w:cs="Calibri"/>
                <w:lang w:val="hr-HR"/>
              </w:rPr>
              <w:t xml:space="preserve"> povezivanja sadržaja u sklopu nastave engleskog jezika s ostalim nastavnim sadržajima</w:t>
            </w:r>
          </w:p>
          <w:p w14:paraId="1E9FB8B0" w14:textId="77777777" w:rsidR="0014341A" w:rsidRPr="00DF4CE5" w:rsidRDefault="0014341A"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4. održati nastavni sat u realnom školskom okruženju (niži razred osnovne škole)</w:t>
            </w:r>
          </w:p>
        </w:tc>
      </w:tr>
      <w:tr w:rsidR="0014341A" w:rsidRPr="00DF4CE5" w14:paraId="02D7FEDE" w14:textId="77777777" w:rsidTr="00C106A0">
        <w:tc>
          <w:tcPr>
            <w:tcW w:w="2616"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06BE6C63" w14:textId="77777777" w:rsidR="0014341A" w:rsidRPr="00DF4CE5" w:rsidRDefault="0014341A"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Sadržaj kolegija</w:t>
            </w:r>
          </w:p>
        </w:tc>
        <w:tc>
          <w:tcPr>
            <w:tcW w:w="6724"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250BC73" w14:textId="77777777" w:rsidR="0014341A" w:rsidRPr="00DF4CE5" w:rsidRDefault="0014341A" w:rsidP="008B34AF">
            <w:pPr>
              <w:spacing w:before="20" w:after="20" w:line="240" w:lineRule="auto"/>
              <w:jc w:val="both"/>
              <w:rPr>
                <w:rFonts w:ascii="Cambria" w:eastAsia="Times New Roman" w:hAnsi="Cambria" w:cs="Calibri"/>
                <w:lang w:val="hr-HR"/>
              </w:rPr>
            </w:pPr>
            <w:r w:rsidRPr="00DF4CE5">
              <w:rPr>
                <w:rFonts w:ascii="Cambria" w:eastAsia="Times New Roman" w:hAnsi="Cambria" w:cs="Calibri"/>
                <w:lang w:val="hr-HR"/>
              </w:rPr>
              <w:t>1. Godišnji izvedbeni kurikulum engleskog jezika</w:t>
            </w:r>
          </w:p>
          <w:p w14:paraId="7E5A613D" w14:textId="77777777" w:rsidR="0014341A" w:rsidRPr="00DF4CE5" w:rsidRDefault="0014341A" w:rsidP="008B34AF">
            <w:pPr>
              <w:spacing w:before="20" w:after="20" w:line="240" w:lineRule="auto"/>
              <w:jc w:val="both"/>
              <w:rPr>
                <w:rFonts w:ascii="Cambria" w:eastAsia="Times New Roman" w:hAnsi="Cambria" w:cs="Calibri"/>
                <w:lang w:val="hr-HR"/>
              </w:rPr>
            </w:pPr>
            <w:r w:rsidRPr="00DF4CE5">
              <w:rPr>
                <w:rFonts w:ascii="Cambria" w:eastAsia="Times New Roman" w:hAnsi="Cambria" w:cs="Calibri"/>
                <w:lang w:val="hr-HR"/>
              </w:rPr>
              <w:t>2. Kompetencije učitelja 21. stoljeća</w:t>
            </w:r>
          </w:p>
          <w:p w14:paraId="6C515CB7" w14:textId="77777777" w:rsidR="0014341A" w:rsidRPr="00DF4CE5" w:rsidRDefault="0014341A" w:rsidP="008B34AF">
            <w:pPr>
              <w:spacing w:before="20" w:after="20" w:line="240" w:lineRule="auto"/>
              <w:jc w:val="both"/>
              <w:rPr>
                <w:rFonts w:ascii="Cambria" w:eastAsia="Times New Roman" w:hAnsi="Cambria" w:cs="Calibri"/>
                <w:lang w:val="hr-HR"/>
              </w:rPr>
            </w:pPr>
            <w:r w:rsidRPr="00DF4CE5">
              <w:rPr>
                <w:rFonts w:ascii="Cambria" w:eastAsia="Times New Roman" w:hAnsi="Cambria" w:cs="Calibri"/>
                <w:lang w:val="hr-HR"/>
              </w:rPr>
              <w:t>3. Ishodi učenja</w:t>
            </w:r>
          </w:p>
          <w:p w14:paraId="085EC68E" w14:textId="77777777" w:rsidR="0014341A" w:rsidRPr="00DF4CE5" w:rsidRDefault="0014341A" w:rsidP="008B34AF">
            <w:pPr>
              <w:spacing w:before="20" w:after="20" w:line="240" w:lineRule="auto"/>
              <w:jc w:val="both"/>
              <w:rPr>
                <w:rFonts w:ascii="Cambria" w:eastAsia="Times New Roman" w:hAnsi="Cambria" w:cs="Calibri"/>
                <w:lang w:val="hr-HR"/>
              </w:rPr>
            </w:pPr>
            <w:r w:rsidRPr="00DF4CE5">
              <w:rPr>
                <w:rFonts w:ascii="Cambria" w:eastAsia="Times New Roman" w:hAnsi="Cambria" w:cs="Calibri"/>
                <w:lang w:val="hr-HR"/>
              </w:rPr>
              <w:t>4. Metodičko oblikovanje nastave u ranom učenju stranih jezika</w:t>
            </w:r>
          </w:p>
          <w:p w14:paraId="36F3E29E" w14:textId="77777777" w:rsidR="0014341A" w:rsidRPr="00DF4CE5" w:rsidRDefault="0014341A" w:rsidP="008B34AF">
            <w:pPr>
              <w:spacing w:before="20" w:after="20" w:line="240" w:lineRule="auto"/>
              <w:jc w:val="both"/>
              <w:rPr>
                <w:rFonts w:ascii="Cambria" w:eastAsia="Times New Roman" w:hAnsi="Cambria" w:cs="Calibri"/>
                <w:lang w:val="hr-HR"/>
              </w:rPr>
            </w:pPr>
            <w:r w:rsidRPr="00DF4CE5">
              <w:rPr>
                <w:rFonts w:ascii="Cambria" w:eastAsia="Times New Roman" w:hAnsi="Cambria" w:cs="Calibri"/>
                <w:lang w:val="hr-HR"/>
              </w:rPr>
              <w:t>5. Pisana priprava za nastavni sat</w:t>
            </w:r>
          </w:p>
          <w:p w14:paraId="4549A79B" w14:textId="77777777" w:rsidR="0014341A" w:rsidRPr="00DF4CE5" w:rsidRDefault="0014341A" w:rsidP="008B34AF">
            <w:pPr>
              <w:spacing w:before="20" w:after="20" w:line="240" w:lineRule="auto"/>
              <w:jc w:val="both"/>
              <w:rPr>
                <w:rFonts w:ascii="Cambria" w:eastAsia="Times New Roman" w:hAnsi="Cambria" w:cs="Calibri"/>
                <w:lang w:val="hr-HR"/>
              </w:rPr>
            </w:pPr>
            <w:r w:rsidRPr="00DF4CE5">
              <w:rPr>
                <w:rFonts w:ascii="Cambria" w:eastAsia="Times New Roman" w:hAnsi="Cambria" w:cs="Calibri"/>
                <w:lang w:val="hr-HR"/>
              </w:rPr>
              <w:t>6. Vizualna nastavna sredstva u nastavi engleskog jezika</w:t>
            </w:r>
          </w:p>
          <w:p w14:paraId="35AFC7D7" w14:textId="77777777" w:rsidR="0014341A" w:rsidRPr="00DF4CE5" w:rsidRDefault="0014341A" w:rsidP="008B34AF">
            <w:pPr>
              <w:spacing w:before="20" w:after="20" w:line="240" w:lineRule="auto"/>
              <w:jc w:val="both"/>
              <w:rPr>
                <w:rFonts w:ascii="Cambria" w:eastAsia="Times New Roman" w:hAnsi="Cambria" w:cs="Calibri"/>
                <w:lang w:val="hr-HR"/>
              </w:rPr>
            </w:pPr>
            <w:r w:rsidRPr="00DF4CE5">
              <w:rPr>
                <w:rFonts w:ascii="Cambria" w:eastAsia="Times New Roman" w:hAnsi="Cambria" w:cs="Calibri"/>
                <w:lang w:val="hr-HR"/>
              </w:rPr>
              <w:lastRenderedPageBreak/>
              <w:t>7. Pričanje priča u ranom učenju stranih jezika</w:t>
            </w:r>
          </w:p>
          <w:p w14:paraId="3392577A" w14:textId="77777777" w:rsidR="0014341A" w:rsidRPr="00DF4CE5" w:rsidRDefault="0014341A" w:rsidP="008B34AF">
            <w:pPr>
              <w:spacing w:before="20" w:after="20" w:line="240" w:lineRule="auto"/>
              <w:jc w:val="both"/>
              <w:rPr>
                <w:rFonts w:ascii="Cambria" w:eastAsia="Times New Roman" w:hAnsi="Cambria" w:cs="Calibri"/>
                <w:lang w:val="hr-HR"/>
              </w:rPr>
            </w:pPr>
            <w:r w:rsidRPr="00DF4CE5">
              <w:rPr>
                <w:rFonts w:ascii="Cambria" w:eastAsia="Times New Roman" w:hAnsi="Cambria" w:cs="Calibri"/>
                <w:lang w:val="hr-HR"/>
              </w:rPr>
              <w:t>8. Poučavanje gramatike u ranom učenju stranih jezika</w:t>
            </w:r>
          </w:p>
          <w:p w14:paraId="1032AB08" w14:textId="77777777" w:rsidR="0014341A" w:rsidRPr="00DF4CE5" w:rsidRDefault="0014341A" w:rsidP="008B34AF">
            <w:pPr>
              <w:spacing w:before="20" w:after="20" w:line="240" w:lineRule="auto"/>
              <w:jc w:val="both"/>
              <w:rPr>
                <w:rFonts w:ascii="Cambria" w:eastAsia="Times New Roman" w:hAnsi="Cambria" w:cs="Calibri"/>
                <w:lang w:val="hr-HR"/>
              </w:rPr>
            </w:pPr>
            <w:r w:rsidRPr="00DF4CE5">
              <w:rPr>
                <w:rFonts w:ascii="Cambria" w:eastAsia="Times New Roman" w:hAnsi="Cambria" w:cs="Calibri"/>
                <w:lang w:val="hr-HR"/>
              </w:rPr>
              <w:t xml:space="preserve">9. </w:t>
            </w:r>
            <w:proofErr w:type="spellStart"/>
            <w:r w:rsidRPr="00DF4CE5">
              <w:rPr>
                <w:rFonts w:ascii="Cambria" w:eastAsia="Times New Roman" w:hAnsi="Cambria" w:cs="Calibri"/>
                <w:lang w:val="hr-HR"/>
              </w:rPr>
              <w:t>Ocjenski</w:t>
            </w:r>
            <w:proofErr w:type="spellEnd"/>
            <w:r w:rsidRPr="00DF4CE5">
              <w:rPr>
                <w:rFonts w:ascii="Cambria" w:eastAsia="Times New Roman" w:hAnsi="Cambria" w:cs="Calibri"/>
                <w:lang w:val="hr-HR"/>
              </w:rPr>
              <w:t xml:space="preserve"> sati studenata</w:t>
            </w:r>
          </w:p>
        </w:tc>
      </w:tr>
      <w:tr w:rsidR="0014341A" w:rsidRPr="00DF4CE5" w14:paraId="39E2F563" w14:textId="77777777" w:rsidTr="00C106A0">
        <w:tc>
          <w:tcPr>
            <w:tcW w:w="2616"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33593D87" w14:textId="77777777" w:rsidR="0014341A" w:rsidRPr="00DF4CE5" w:rsidRDefault="0014341A"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lastRenderedPageBreak/>
              <w:t>Planirane aktivnosti,</w:t>
            </w:r>
          </w:p>
          <w:p w14:paraId="019A2457" w14:textId="77777777" w:rsidR="0014341A" w:rsidRPr="00DF4CE5" w:rsidRDefault="0014341A" w:rsidP="008B34AF">
            <w:pPr>
              <w:spacing w:after="0" w:line="240" w:lineRule="auto"/>
              <w:jc w:val="both"/>
              <w:rPr>
                <w:rFonts w:ascii="Cambria" w:eastAsia="Times New Roman" w:hAnsi="Cambria" w:cs="Calibri"/>
                <w:lang w:val="hr-HR"/>
              </w:rPr>
            </w:pPr>
            <w:proofErr w:type="spellStart"/>
            <w:r w:rsidRPr="00DF4CE5">
              <w:rPr>
                <w:rFonts w:ascii="Cambria" w:eastAsia="Times New Roman" w:hAnsi="Cambria" w:cs="Calibri"/>
                <w:lang w:val="it-IT"/>
              </w:rPr>
              <w:t>metode</w:t>
            </w:r>
            <w:proofErr w:type="spellEnd"/>
            <w:r w:rsidRPr="00DF4CE5">
              <w:rPr>
                <w:rFonts w:ascii="Cambria" w:eastAsia="Times New Roman" w:hAnsi="Cambria" w:cs="Calibri"/>
                <w:lang w:val="hr-HR"/>
              </w:rPr>
              <w:t xml:space="preserve"> učenja i poučavanja i načini vrednovanja</w:t>
            </w:r>
          </w:p>
          <w:p w14:paraId="1170BBE1" w14:textId="77777777" w:rsidR="0014341A" w:rsidRPr="00DF4CE5" w:rsidRDefault="0014341A" w:rsidP="008B34AF">
            <w:pPr>
              <w:spacing w:after="0" w:line="240" w:lineRule="auto"/>
              <w:jc w:val="both"/>
              <w:rPr>
                <w:rFonts w:ascii="Cambria" w:eastAsia="Times New Roman" w:hAnsi="Cambria" w:cs="Calibri"/>
                <w:lang w:val="hr-HR"/>
              </w:rPr>
            </w:pPr>
          </w:p>
        </w:tc>
        <w:tc>
          <w:tcPr>
            <w:tcW w:w="258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0867FF7" w14:textId="77777777" w:rsidR="000053D1" w:rsidRDefault="000053D1" w:rsidP="008B34AF">
            <w:pPr>
              <w:spacing w:after="0" w:line="240" w:lineRule="auto"/>
              <w:jc w:val="both"/>
              <w:rPr>
                <w:rFonts w:ascii="Cambria" w:eastAsia="Times New Roman" w:hAnsi="Cambria" w:cs="Calibri"/>
                <w:bCs/>
                <w:lang w:val="hr-HR"/>
              </w:rPr>
            </w:pPr>
          </w:p>
          <w:p w14:paraId="2CE468E7" w14:textId="2E14D6F0" w:rsidR="0014341A" w:rsidRPr="00DF4CE5" w:rsidRDefault="0014341A" w:rsidP="008B34AF">
            <w:pPr>
              <w:spacing w:after="0" w:line="240" w:lineRule="auto"/>
              <w:jc w:val="both"/>
              <w:rPr>
                <w:rFonts w:ascii="Cambria" w:eastAsia="Times New Roman" w:hAnsi="Cambria" w:cs="Calibri"/>
                <w:lang w:val="hr-HR"/>
              </w:rPr>
            </w:pPr>
            <w:r w:rsidRPr="00DF4CE5">
              <w:rPr>
                <w:rFonts w:ascii="Cambria" w:eastAsia="Times New Roman" w:hAnsi="Cambria" w:cs="Calibri"/>
                <w:bCs/>
                <w:lang w:val="hr-HR"/>
              </w:rPr>
              <w:t>Obveze</w:t>
            </w:r>
          </w:p>
          <w:p w14:paraId="519933CE" w14:textId="77777777" w:rsidR="0014341A" w:rsidRPr="00DF4CE5" w:rsidRDefault="0014341A" w:rsidP="008B34AF">
            <w:pPr>
              <w:spacing w:after="0" w:line="240" w:lineRule="auto"/>
              <w:jc w:val="both"/>
              <w:rPr>
                <w:rFonts w:ascii="Cambria" w:eastAsia="Times New Roman" w:hAnsi="Cambria" w:cs="Calibri"/>
                <w:lang w:val="hr-HR"/>
              </w:rPr>
            </w:pPr>
          </w:p>
        </w:tc>
        <w:tc>
          <w:tcPr>
            <w:tcW w:w="10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70A380C" w14:textId="77777777" w:rsidR="000053D1" w:rsidRDefault="000053D1" w:rsidP="008B34AF">
            <w:pPr>
              <w:spacing w:after="0" w:line="240" w:lineRule="auto"/>
              <w:jc w:val="both"/>
              <w:rPr>
                <w:rFonts w:ascii="Cambria" w:eastAsia="Times New Roman" w:hAnsi="Cambria" w:cs="Calibri"/>
                <w:bCs/>
                <w:lang w:val="hr-HR"/>
              </w:rPr>
            </w:pPr>
          </w:p>
          <w:p w14:paraId="7D654BC6" w14:textId="6B3C6561" w:rsidR="0014341A" w:rsidRPr="00DF4CE5" w:rsidRDefault="0014341A" w:rsidP="008B34AF">
            <w:pPr>
              <w:spacing w:after="0" w:line="240" w:lineRule="auto"/>
              <w:jc w:val="both"/>
              <w:rPr>
                <w:rFonts w:ascii="Cambria" w:eastAsia="Times New Roman" w:hAnsi="Cambria" w:cs="Calibri"/>
                <w:lang w:val="hr-HR"/>
              </w:rPr>
            </w:pPr>
            <w:r w:rsidRPr="00DF4CE5">
              <w:rPr>
                <w:rFonts w:ascii="Cambria" w:eastAsia="Times New Roman" w:hAnsi="Cambria" w:cs="Calibri"/>
                <w:bCs/>
                <w:lang w:val="hr-HR"/>
              </w:rPr>
              <w:t>Ishodi</w:t>
            </w:r>
          </w:p>
          <w:p w14:paraId="3218DCAC" w14:textId="77777777" w:rsidR="0014341A" w:rsidRPr="00DF4CE5" w:rsidRDefault="0014341A" w:rsidP="008B34AF">
            <w:pPr>
              <w:spacing w:after="0" w:line="240" w:lineRule="auto"/>
              <w:jc w:val="both"/>
              <w:rPr>
                <w:rFonts w:ascii="Cambria" w:eastAsia="Times New Roman" w:hAnsi="Cambria" w:cs="Calibri"/>
                <w:lang w:val="hr-HR"/>
              </w:rPr>
            </w:pPr>
          </w:p>
        </w:tc>
        <w:tc>
          <w:tcPr>
            <w:tcW w:w="72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ED68221" w14:textId="77777777" w:rsidR="0014341A" w:rsidRPr="00DF4CE5" w:rsidRDefault="0014341A" w:rsidP="008B34AF">
            <w:pPr>
              <w:spacing w:after="0" w:line="240" w:lineRule="auto"/>
              <w:jc w:val="both"/>
              <w:rPr>
                <w:rFonts w:ascii="Cambria" w:eastAsia="Times New Roman" w:hAnsi="Cambria" w:cs="Calibri"/>
                <w:lang w:val="hr-HR"/>
              </w:rPr>
            </w:pPr>
            <w:r w:rsidRPr="00DF4CE5">
              <w:rPr>
                <w:rFonts w:ascii="Cambria" w:eastAsia="Times New Roman" w:hAnsi="Cambria" w:cs="Calibri"/>
                <w:bCs/>
                <w:lang w:val="hr-HR"/>
              </w:rPr>
              <w:t>Sati</w:t>
            </w:r>
          </w:p>
        </w:tc>
        <w:tc>
          <w:tcPr>
            <w:tcW w:w="101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64B2F6B" w14:textId="12C002E9" w:rsidR="0014341A" w:rsidRPr="00DF4CE5" w:rsidRDefault="0014341A" w:rsidP="008B34AF">
            <w:pPr>
              <w:spacing w:after="0" w:line="240" w:lineRule="auto"/>
              <w:jc w:val="both"/>
              <w:rPr>
                <w:rFonts w:ascii="Cambria" w:eastAsia="Times New Roman" w:hAnsi="Cambria" w:cs="Calibri"/>
                <w:lang w:val="hr-HR"/>
              </w:rPr>
            </w:pPr>
            <w:r w:rsidRPr="00DF4CE5">
              <w:rPr>
                <w:rFonts w:ascii="Cambria" w:eastAsia="Times New Roman" w:hAnsi="Cambria" w:cs="Calibri"/>
                <w:bCs/>
                <w:lang w:val="hr-HR"/>
              </w:rPr>
              <w:t>ECTS</w:t>
            </w:r>
          </w:p>
        </w:tc>
        <w:tc>
          <w:tcPr>
            <w:tcW w:w="13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D66C011" w14:textId="77777777" w:rsidR="0014341A" w:rsidRPr="00DF4CE5" w:rsidRDefault="0014341A" w:rsidP="000053D1">
            <w:pPr>
              <w:spacing w:after="0" w:line="240" w:lineRule="auto"/>
              <w:rPr>
                <w:rFonts w:ascii="Cambria" w:eastAsia="Times New Roman" w:hAnsi="Cambria" w:cs="Calibri"/>
                <w:lang w:val="hr-HR"/>
              </w:rPr>
            </w:pPr>
            <w:r w:rsidRPr="00DF4CE5">
              <w:rPr>
                <w:rFonts w:ascii="Cambria" w:eastAsia="Times New Roman" w:hAnsi="Cambria" w:cs="Calibri"/>
                <w:bCs/>
                <w:lang w:val="hr-HR"/>
              </w:rPr>
              <w:t>Maksimalni udio u ocjeni</w:t>
            </w:r>
            <w:r w:rsidRPr="00DF4CE5">
              <w:rPr>
                <w:rFonts w:ascii="Cambria" w:eastAsia="Times New Roman" w:hAnsi="Cambria" w:cs="Calibri"/>
                <w:bCs/>
              </w:rPr>
              <w:t xml:space="preserve"> (%)</w:t>
            </w:r>
          </w:p>
        </w:tc>
      </w:tr>
      <w:tr w:rsidR="00772FCB" w:rsidRPr="00DF4CE5" w14:paraId="0D9024A5" w14:textId="77777777" w:rsidTr="00C106A0">
        <w:tc>
          <w:tcPr>
            <w:tcW w:w="2616" w:type="dxa"/>
            <w:vMerge/>
            <w:tcBorders>
              <w:left w:val="single" w:sz="8" w:space="0" w:color="000000"/>
              <w:right w:val="single" w:sz="8" w:space="0" w:color="000000"/>
            </w:tcBorders>
            <w:vAlign w:val="center"/>
          </w:tcPr>
          <w:p w14:paraId="52ECAD0E" w14:textId="77777777" w:rsidR="00772FCB" w:rsidRPr="00DF4CE5" w:rsidRDefault="00772FCB" w:rsidP="00772FCB">
            <w:pPr>
              <w:spacing w:after="0" w:line="240" w:lineRule="auto"/>
              <w:jc w:val="both"/>
              <w:rPr>
                <w:rFonts w:ascii="Cambria" w:eastAsia="Times New Roman" w:hAnsi="Cambria" w:cs="Calibri"/>
                <w:lang w:val="hr-HR"/>
              </w:rPr>
            </w:pPr>
          </w:p>
        </w:tc>
        <w:tc>
          <w:tcPr>
            <w:tcW w:w="258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B7E6F9" w14:textId="2ABB4651" w:rsidR="00772FCB" w:rsidRPr="00DF4CE5" w:rsidRDefault="00772FCB" w:rsidP="00772FCB">
            <w:pPr>
              <w:spacing w:after="0" w:line="240" w:lineRule="auto"/>
              <w:jc w:val="both"/>
              <w:rPr>
                <w:rFonts w:ascii="Cambria" w:eastAsia="Times New Roman" w:hAnsi="Cambria" w:cs="Calibri"/>
                <w:lang w:val="hr-HR"/>
              </w:rPr>
            </w:pPr>
            <w:proofErr w:type="spellStart"/>
            <w:r w:rsidRPr="00DF4CE5">
              <w:rPr>
                <w:rFonts w:ascii="Cambria" w:eastAsia="Times New Roman" w:hAnsi="Cambria" w:cs="Calibri"/>
              </w:rPr>
              <w:t>aktivnost</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na</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nastavi</w:t>
            </w:r>
            <w:proofErr w:type="spellEnd"/>
          </w:p>
        </w:tc>
        <w:tc>
          <w:tcPr>
            <w:tcW w:w="10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624C616" w14:textId="381BFFEB" w:rsidR="00772FCB" w:rsidRPr="00DF4CE5" w:rsidRDefault="00772FCB" w:rsidP="000053D1">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1.</w:t>
            </w:r>
            <w:r w:rsidR="000053D1">
              <w:rPr>
                <w:rFonts w:ascii="Cambria" w:eastAsia="Times New Roman" w:hAnsi="Cambria" w:cs="Calibri"/>
                <w:lang w:val="hr-HR"/>
              </w:rPr>
              <w:t xml:space="preserve"> –</w:t>
            </w:r>
            <w:r w:rsidRPr="00DF4CE5">
              <w:rPr>
                <w:rFonts w:ascii="Cambria" w:eastAsia="Times New Roman" w:hAnsi="Cambria" w:cs="Calibri"/>
                <w:lang w:val="hr-HR"/>
              </w:rPr>
              <w:t xml:space="preserve"> 4.</w:t>
            </w:r>
          </w:p>
        </w:tc>
        <w:tc>
          <w:tcPr>
            <w:tcW w:w="72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BCFF57D" w14:textId="77777777" w:rsidR="00772FCB" w:rsidRPr="00DF4CE5" w:rsidRDefault="00772FCB" w:rsidP="000053D1">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34</w:t>
            </w:r>
          </w:p>
        </w:tc>
        <w:tc>
          <w:tcPr>
            <w:tcW w:w="101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409786E" w14:textId="7B8E71D9" w:rsidR="00772FCB" w:rsidRPr="00DF4CE5" w:rsidRDefault="00772FCB" w:rsidP="000053D1">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1,1</w:t>
            </w:r>
          </w:p>
        </w:tc>
        <w:tc>
          <w:tcPr>
            <w:tcW w:w="13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A5DDA65" w14:textId="77777777" w:rsidR="00772FCB" w:rsidRPr="00DF4CE5" w:rsidRDefault="00772FCB" w:rsidP="000053D1">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10%</w:t>
            </w:r>
          </w:p>
        </w:tc>
      </w:tr>
      <w:tr w:rsidR="00772FCB" w:rsidRPr="00DF4CE5" w14:paraId="56F7F448" w14:textId="77777777" w:rsidTr="00C106A0">
        <w:tc>
          <w:tcPr>
            <w:tcW w:w="2616" w:type="dxa"/>
            <w:vMerge/>
            <w:tcBorders>
              <w:left w:val="single" w:sz="8" w:space="0" w:color="000000"/>
              <w:right w:val="single" w:sz="8" w:space="0" w:color="000000"/>
            </w:tcBorders>
            <w:vAlign w:val="center"/>
          </w:tcPr>
          <w:p w14:paraId="6DDA7A26" w14:textId="77777777" w:rsidR="00772FCB" w:rsidRPr="00DF4CE5" w:rsidRDefault="00772FCB" w:rsidP="00772FCB">
            <w:pPr>
              <w:spacing w:after="0" w:line="240" w:lineRule="auto"/>
              <w:jc w:val="both"/>
              <w:rPr>
                <w:rFonts w:ascii="Cambria" w:eastAsia="Times New Roman" w:hAnsi="Cambria" w:cs="Calibri"/>
                <w:lang w:val="hr-HR"/>
              </w:rPr>
            </w:pPr>
          </w:p>
        </w:tc>
        <w:tc>
          <w:tcPr>
            <w:tcW w:w="258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8CE416" w14:textId="77777777" w:rsidR="00772FCB" w:rsidRPr="00DF4CE5" w:rsidRDefault="00772FCB" w:rsidP="00772FCB">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vježba (probni sat)</w:t>
            </w:r>
          </w:p>
        </w:tc>
        <w:tc>
          <w:tcPr>
            <w:tcW w:w="10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5170991" w14:textId="07FBC657" w:rsidR="00772FCB" w:rsidRPr="00DF4CE5" w:rsidRDefault="000053D1" w:rsidP="000053D1">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1.</w:t>
            </w:r>
            <w:r>
              <w:rPr>
                <w:rFonts w:ascii="Cambria" w:eastAsia="Times New Roman" w:hAnsi="Cambria" w:cs="Calibri"/>
                <w:lang w:val="hr-HR"/>
              </w:rPr>
              <w:t xml:space="preserve"> –</w:t>
            </w:r>
            <w:r w:rsidRPr="00DF4CE5">
              <w:rPr>
                <w:rFonts w:ascii="Cambria" w:eastAsia="Times New Roman" w:hAnsi="Cambria" w:cs="Calibri"/>
                <w:lang w:val="hr-HR"/>
              </w:rPr>
              <w:t xml:space="preserve"> 4.</w:t>
            </w:r>
          </w:p>
        </w:tc>
        <w:tc>
          <w:tcPr>
            <w:tcW w:w="72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FD6D6F8" w14:textId="2BE1B5CC" w:rsidR="00772FCB" w:rsidRPr="00DF4CE5" w:rsidRDefault="00772FCB" w:rsidP="000053D1">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9</w:t>
            </w:r>
          </w:p>
        </w:tc>
        <w:tc>
          <w:tcPr>
            <w:tcW w:w="101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001B306" w14:textId="77777777" w:rsidR="00772FCB" w:rsidRPr="00DF4CE5" w:rsidRDefault="00772FCB" w:rsidP="000053D1">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0,3</w:t>
            </w:r>
          </w:p>
        </w:tc>
        <w:tc>
          <w:tcPr>
            <w:tcW w:w="13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C3DB93C" w14:textId="77777777" w:rsidR="00772FCB" w:rsidRPr="00DF4CE5" w:rsidRDefault="00772FCB" w:rsidP="000053D1">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10%</w:t>
            </w:r>
          </w:p>
        </w:tc>
      </w:tr>
      <w:tr w:rsidR="00772FCB" w:rsidRPr="00DF4CE5" w14:paraId="2264EACB" w14:textId="77777777" w:rsidTr="00C106A0">
        <w:tc>
          <w:tcPr>
            <w:tcW w:w="2616" w:type="dxa"/>
            <w:vMerge/>
            <w:tcBorders>
              <w:left w:val="single" w:sz="8" w:space="0" w:color="000000"/>
              <w:right w:val="single" w:sz="8" w:space="0" w:color="000000"/>
            </w:tcBorders>
            <w:vAlign w:val="center"/>
          </w:tcPr>
          <w:p w14:paraId="016364EC" w14:textId="77777777" w:rsidR="00772FCB" w:rsidRPr="00DF4CE5" w:rsidRDefault="00772FCB" w:rsidP="00772FCB">
            <w:pPr>
              <w:spacing w:after="0" w:line="240" w:lineRule="auto"/>
              <w:jc w:val="both"/>
              <w:rPr>
                <w:rFonts w:ascii="Cambria" w:eastAsia="Times New Roman" w:hAnsi="Cambria" w:cs="Calibri"/>
                <w:lang w:val="hr-HR"/>
              </w:rPr>
            </w:pPr>
          </w:p>
        </w:tc>
        <w:tc>
          <w:tcPr>
            <w:tcW w:w="258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D236163" w14:textId="77777777" w:rsidR="00772FCB" w:rsidRPr="00DF4CE5" w:rsidRDefault="00772FCB" w:rsidP="00772FCB">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ispit (održani sat)</w:t>
            </w:r>
          </w:p>
        </w:tc>
        <w:tc>
          <w:tcPr>
            <w:tcW w:w="10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15C00E3" w14:textId="2535A680" w:rsidR="00772FCB" w:rsidRPr="00DF4CE5" w:rsidRDefault="000053D1" w:rsidP="000053D1">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1.</w:t>
            </w:r>
            <w:r>
              <w:rPr>
                <w:rFonts w:ascii="Cambria" w:eastAsia="Times New Roman" w:hAnsi="Cambria" w:cs="Calibri"/>
                <w:lang w:val="hr-HR"/>
              </w:rPr>
              <w:t xml:space="preserve"> –</w:t>
            </w:r>
            <w:r w:rsidRPr="00DF4CE5">
              <w:rPr>
                <w:rFonts w:ascii="Cambria" w:eastAsia="Times New Roman" w:hAnsi="Cambria" w:cs="Calibri"/>
                <w:lang w:val="hr-HR"/>
              </w:rPr>
              <w:t xml:space="preserve"> 4.</w:t>
            </w:r>
          </w:p>
        </w:tc>
        <w:tc>
          <w:tcPr>
            <w:tcW w:w="72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19AD550" w14:textId="72EC75E4" w:rsidR="00772FCB" w:rsidRPr="00DF4CE5" w:rsidRDefault="00772FCB" w:rsidP="000053D1">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47</w:t>
            </w:r>
          </w:p>
        </w:tc>
        <w:tc>
          <w:tcPr>
            <w:tcW w:w="101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BF63788" w14:textId="3737796A" w:rsidR="00772FCB" w:rsidRPr="00DF4CE5" w:rsidRDefault="00772FCB" w:rsidP="000053D1">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1,6</w:t>
            </w:r>
          </w:p>
        </w:tc>
        <w:tc>
          <w:tcPr>
            <w:tcW w:w="13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FBD0B3C" w14:textId="77777777" w:rsidR="00772FCB" w:rsidRPr="00DF4CE5" w:rsidRDefault="00772FCB" w:rsidP="000053D1">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50%</w:t>
            </w:r>
          </w:p>
        </w:tc>
      </w:tr>
      <w:tr w:rsidR="00772FCB" w:rsidRPr="00DF4CE5" w14:paraId="19B71A4C" w14:textId="77777777" w:rsidTr="00C106A0">
        <w:tc>
          <w:tcPr>
            <w:tcW w:w="2616" w:type="dxa"/>
            <w:vMerge/>
            <w:tcBorders>
              <w:left w:val="single" w:sz="8" w:space="0" w:color="000000"/>
              <w:right w:val="single" w:sz="8" w:space="0" w:color="000000"/>
            </w:tcBorders>
            <w:vAlign w:val="center"/>
          </w:tcPr>
          <w:p w14:paraId="14903A1A" w14:textId="77777777" w:rsidR="00772FCB" w:rsidRPr="00DF4CE5" w:rsidRDefault="00772FCB" w:rsidP="00772FCB">
            <w:pPr>
              <w:spacing w:after="0" w:line="240" w:lineRule="auto"/>
              <w:jc w:val="both"/>
              <w:rPr>
                <w:rFonts w:ascii="Cambria" w:eastAsia="Times New Roman" w:hAnsi="Cambria" w:cs="Calibri"/>
                <w:lang w:val="hr-HR"/>
              </w:rPr>
            </w:pPr>
          </w:p>
        </w:tc>
        <w:tc>
          <w:tcPr>
            <w:tcW w:w="258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C11AE70" w14:textId="77777777" w:rsidR="00772FCB" w:rsidRPr="00DF4CE5" w:rsidRDefault="00772FCB" w:rsidP="00772FCB">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usmeni ispit</w:t>
            </w:r>
          </w:p>
        </w:tc>
        <w:tc>
          <w:tcPr>
            <w:tcW w:w="10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5E0B54" w14:textId="2CD31010" w:rsidR="00772FCB" w:rsidRPr="00DF4CE5" w:rsidRDefault="000053D1" w:rsidP="000053D1">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1.</w:t>
            </w:r>
            <w:r>
              <w:rPr>
                <w:rFonts w:ascii="Cambria" w:eastAsia="Times New Roman" w:hAnsi="Cambria" w:cs="Calibri"/>
                <w:lang w:val="hr-HR"/>
              </w:rPr>
              <w:t xml:space="preserve"> –</w:t>
            </w:r>
            <w:r w:rsidRPr="00DF4CE5">
              <w:rPr>
                <w:rFonts w:ascii="Cambria" w:eastAsia="Times New Roman" w:hAnsi="Cambria" w:cs="Calibri"/>
                <w:lang w:val="hr-HR"/>
              </w:rPr>
              <w:t xml:space="preserve"> 4.</w:t>
            </w:r>
          </w:p>
        </w:tc>
        <w:tc>
          <w:tcPr>
            <w:tcW w:w="72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BE56D1C" w14:textId="1415B7E4" w:rsidR="00772FCB" w:rsidRPr="00DF4CE5" w:rsidRDefault="00772FCB" w:rsidP="000053D1">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30</w:t>
            </w:r>
          </w:p>
        </w:tc>
        <w:tc>
          <w:tcPr>
            <w:tcW w:w="101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B978B9D" w14:textId="77777777" w:rsidR="00772FCB" w:rsidRPr="00DF4CE5" w:rsidRDefault="00772FCB" w:rsidP="000053D1">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1</w:t>
            </w:r>
          </w:p>
        </w:tc>
        <w:tc>
          <w:tcPr>
            <w:tcW w:w="13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FD3C19B" w14:textId="77777777" w:rsidR="00772FCB" w:rsidRPr="00DF4CE5" w:rsidRDefault="00772FCB" w:rsidP="000053D1">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30%</w:t>
            </w:r>
          </w:p>
        </w:tc>
      </w:tr>
      <w:tr w:rsidR="00772FCB" w:rsidRPr="00DF4CE5" w14:paraId="3974E9FB" w14:textId="77777777" w:rsidTr="00C106A0">
        <w:tc>
          <w:tcPr>
            <w:tcW w:w="2616" w:type="dxa"/>
            <w:vMerge/>
            <w:tcBorders>
              <w:left w:val="single" w:sz="8" w:space="0" w:color="000000"/>
              <w:right w:val="single" w:sz="8" w:space="0" w:color="000000"/>
            </w:tcBorders>
            <w:vAlign w:val="center"/>
          </w:tcPr>
          <w:p w14:paraId="207897EC" w14:textId="77777777" w:rsidR="00772FCB" w:rsidRPr="00DF4CE5" w:rsidRDefault="00772FCB" w:rsidP="00772FCB">
            <w:pPr>
              <w:spacing w:after="0" w:line="240" w:lineRule="auto"/>
              <w:jc w:val="both"/>
              <w:rPr>
                <w:rFonts w:ascii="Cambria" w:eastAsia="Times New Roman" w:hAnsi="Cambria" w:cs="Calibri"/>
                <w:lang w:val="hr-HR"/>
              </w:rPr>
            </w:pPr>
          </w:p>
        </w:tc>
        <w:tc>
          <w:tcPr>
            <w:tcW w:w="258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D69090F" w14:textId="42F8504E" w:rsidR="00772FCB" w:rsidRPr="00DF4CE5" w:rsidRDefault="000053D1" w:rsidP="00772FCB">
            <w:pPr>
              <w:spacing w:after="0" w:line="240" w:lineRule="auto"/>
              <w:jc w:val="both"/>
              <w:rPr>
                <w:rFonts w:ascii="Cambria" w:eastAsia="Times New Roman" w:hAnsi="Cambria" w:cs="Calibri"/>
                <w:lang w:val="hr-HR"/>
              </w:rPr>
            </w:pPr>
            <w:proofErr w:type="spellStart"/>
            <w:r>
              <w:rPr>
                <w:rFonts w:ascii="Cambria" w:eastAsia="Times New Roman" w:hAnsi="Cambria" w:cs="Calibri"/>
              </w:rPr>
              <w:t>u</w:t>
            </w:r>
            <w:r w:rsidR="00772FCB" w:rsidRPr="00DF4CE5">
              <w:rPr>
                <w:rFonts w:ascii="Cambria" w:eastAsia="Times New Roman" w:hAnsi="Cambria" w:cs="Calibri"/>
              </w:rPr>
              <w:t>kupno</w:t>
            </w:r>
            <w:proofErr w:type="spellEnd"/>
          </w:p>
        </w:tc>
        <w:tc>
          <w:tcPr>
            <w:tcW w:w="10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18D537F" w14:textId="77777777" w:rsidR="00772FCB" w:rsidRPr="00DF4CE5" w:rsidRDefault="00772FCB" w:rsidP="00772FCB">
            <w:pPr>
              <w:spacing w:after="0" w:line="240" w:lineRule="auto"/>
              <w:jc w:val="both"/>
              <w:rPr>
                <w:rFonts w:ascii="Cambria" w:eastAsia="Times New Roman" w:hAnsi="Cambria" w:cs="Calibri"/>
                <w:lang w:val="hr-HR"/>
              </w:rPr>
            </w:pPr>
          </w:p>
        </w:tc>
        <w:tc>
          <w:tcPr>
            <w:tcW w:w="72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5C9212E" w14:textId="3A020196" w:rsidR="00772FCB" w:rsidRPr="00DF4CE5" w:rsidRDefault="00772FCB" w:rsidP="000053D1">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120</w:t>
            </w:r>
          </w:p>
        </w:tc>
        <w:tc>
          <w:tcPr>
            <w:tcW w:w="101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00AA6B9" w14:textId="77777777" w:rsidR="00772FCB" w:rsidRPr="00DF4CE5" w:rsidRDefault="00772FCB" w:rsidP="000053D1">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4</w:t>
            </w:r>
          </w:p>
        </w:tc>
        <w:tc>
          <w:tcPr>
            <w:tcW w:w="1319" w:type="dxa"/>
            <w:tcBorders>
              <w:top w:val="single" w:sz="8" w:space="0" w:color="000000"/>
              <w:right w:val="single" w:sz="4" w:space="0" w:color="auto"/>
            </w:tcBorders>
            <w:tcMar>
              <w:top w:w="15" w:type="dxa"/>
              <w:left w:w="108" w:type="dxa"/>
              <w:bottom w:w="0" w:type="dxa"/>
              <w:right w:w="108" w:type="dxa"/>
            </w:tcMar>
            <w:vAlign w:val="center"/>
          </w:tcPr>
          <w:p w14:paraId="33AAC5D9" w14:textId="77777777" w:rsidR="00772FCB" w:rsidRPr="00DF4CE5" w:rsidRDefault="00772FCB" w:rsidP="000053D1">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100%</w:t>
            </w:r>
          </w:p>
        </w:tc>
      </w:tr>
      <w:tr w:rsidR="00772FCB" w:rsidRPr="00D0399C" w14:paraId="40973079" w14:textId="77777777" w:rsidTr="00C106A0">
        <w:tc>
          <w:tcPr>
            <w:tcW w:w="261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541029F" w14:textId="77777777" w:rsidR="00772FCB" w:rsidRPr="00DF4CE5" w:rsidRDefault="00772FCB" w:rsidP="00772FCB">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Studentske obveze</w:t>
            </w:r>
          </w:p>
        </w:tc>
        <w:tc>
          <w:tcPr>
            <w:tcW w:w="6724"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14:paraId="3A0E6FB2" w14:textId="77777777" w:rsidR="00772FCB" w:rsidRPr="00DF4CE5" w:rsidRDefault="00772FCB" w:rsidP="00772FCB">
            <w:pPr>
              <w:spacing w:before="20" w:after="20" w:line="240" w:lineRule="auto"/>
              <w:jc w:val="both"/>
              <w:rPr>
                <w:rFonts w:ascii="Cambria" w:eastAsia="Times New Roman" w:hAnsi="Cambria" w:cs="Calibri"/>
                <w:lang w:val="hr-HR"/>
              </w:rPr>
            </w:pPr>
            <w:r w:rsidRPr="00DF4CE5">
              <w:rPr>
                <w:rFonts w:ascii="Cambria" w:eastAsia="Times New Roman" w:hAnsi="Cambria" w:cs="Calibri"/>
                <w:lang w:val="hr-HR"/>
              </w:rPr>
              <w:t>Da položi kolegij, student/studentica mora:</w:t>
            </w:r>
          </w:p>
          <w:p w14:paraId="56DFC2A6" w14:textId="77777777" w:rsidR="00772FCB" w:rsidRPr="00DF4CE5" w:rsidRDefault="00772FCB" w:rsidP="00772FCB">
            <w:pPr>
              <w:spacing w:before="20" w:after="20" w:line="240" w:lineRule="auto"/>
              <w:jc w:val="both"/>
              <w:rPr>
                <w:rFonts w:ascii="Cambria" w:eastAsia="Times New Roman" w:hAnsi="Cambria" w:cs="Calibri"/>
                <w:lang w:val="hr-HR"/>
              </w:rPr>
            </w:pPr>
            <w:r w:rsidRPr="00DF4CE5">
              <w:rPr>
                <w:rFonts w:ascii="Cambria" w:eastAsia="Times New Roman" w:hAnsi="Cambria" w:cs="Calibri"/>
                <w:lang w:val="hr-HR"/>
              </w:rPr>
              <w:t>1. redovito pohađati nastavu (do 30% izostanaka)</w:t>
            </w:r>
          </w:p>
          <w:p w14:paraId="613B42FA" w14:textId="77777777" w:rsidR="00772FCB" w:rsidRPr="00DF4CE5" w:rsidRDefault="00772FCB" w:rsidP="00772FCB">
            <w:pPr>
              <w:spacing w:before="20" w:after="20" w:line="240" w:lineRule="auto"/>
              <w:jc w:val="both"/>
              <w:rPr>
                <w:rFonts w:ascii="Cambria" w:eastAsia="Times New Roman" w:hAnsi="Cambria" w:cs="Calibri"/>
                <w:lang w:val="hr-HR"/>
              </w:rPr>
            </w:pPr>
            <w:r w:rsidRPr="00DF4CE5">
              <w:rPr>
                <w:rFonts w:ascii="Cambria" w:eastAsia="Times New Roman" w:hAnsi="Cambria" w:cs="Calibri"/>
                <w:lang w:val="hr-HR"/>
              </w:rPr>
              <w:t>2. izvršavati zadatke (priprema i izvođenje probnog sata)</w:t>
            </w:r>
          </w:p>
          <w:p w14:paraId="39856782" w14:textId="77777777" w:rsidR="00772FCB" w:rsidRPr="00DF4CE5" w:rsidRDefault="00772FCB" w:rsidP="00772FCB">
            <w:pPr>
              <w:tabs>
                <w:tab w:val="center" w:pos="4536"/>
                <w:tab w:val="right" w:pos="9072"/>
              </w:tabs>
              <w:spacing w:before="20" w:after="20" w:line="240" w:lineRule="auto"/>
              <w:jc w:val="both"/>
              <w:rPr>
                <w:rFonts w:ascii="Cambria" w:eastAsia="Calibri" w:hAnsi="Cambria" w:cs="Calibri"/>
                <w:lang w:val="hr-HR"/>
              </w:rPr>
            </w:pPr>
            <w:r w:rsidRPr="00DF4CE5">
              <w:rPr>
                <w:rFonts w:ascii="Cambria" w:eastAsia="Times New Roman" w:hAnsi="Cambria" w:cs="Calibri"/>
                <w:lang w:val="hr-HR" w:eastAsia="hr-HR"/>
              </w:rPr>
              <w:t xml:space="preserve">3. </w:t>
            </w:r>
            <w:r w:rsidRPr="00DF4CE5">
              <w:rPr>
                <w:rFonts w:ascii="Cambria" w:eastAsia="Calibri" w:hAnsi="Cambria" w:cs="Calibri"/>
                <w:lang w:val="hr-HR"/>
              </w:rPr>
              <w:t>održati sat u realnom okruženju</w:t>
            </w:r>
          </w:p>
          <w:p w14:paraId="4DE0B546" w14:textId="2EEDA5EB" w:rsidR="00772FCB" w:rsidRPr="00DF4CE5" w:rsidRDefault="00772FCB" w:rsidP="00772FCB">
            <w:pPr>
              <w:tabs>
                <w:tab w:val="center" w:pos="4536"/>
                <w:tab w:val="right" w:pos="9072"/>
              </w:tabs>
              <w:spacing w:before="20" w:after="20" w:line="240" w:lineRule="auto"/>
              <w:jc w:val="both"/>
              <w:rPr>
                <w:rFonts w:ascii="Cambria" w:eastAsia="Times New Roman" w:hAnsi="Cambria" w:cs="Calibri"/>
                <w:lang w:val="hr-HR" w:eastAsia="hr-HR"/>
              </w:rPr>
            </w:pPr>
            <w:r w:rsidRPr="00DF4CE5">
              <w:rPr>
                <w:rFonts w:ascii="Cambria" w:eastAsia="Times New Roman" w:hAnsi="Cambria" w:cs="Calibri"/>
                <w:lang w:val="hr-HR" w:eastAsia="hr-HR"/>
              </w:rPr>
              <w:t>4. položiti usmeni ispit</w:t>
            </w:r>
            <w:r w:rsidR="000404D6" w:rsidRPr="00DF4CE5">
              <w:rPr>
                <w:rFonts w:ascii="Cambria" w:eastAsia="Times New Roman" w:hAnsi="Cambria" w:cs="Calibri"/>
                <w:lang w:val="hr-HR" w:eastAsia="hr-HR"/>
              </w:rPr>
              <w:t>.</w:t>
            </w:r>
          </w:p>
        </w:tc>
      </w:tr>
      <w:tr w:rsidR="00772FCB" w:rsidRPr="00D0399C" w14:paraId="0A3ECE73" w14:textId="77777777" w:rsidTr="00C106A0">
        <w:tc>
          <w:tcPr>
            <w:tcW w:w="261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32B56F8" w14:textId="77777777" w:rsidR="00772FCB" w:rsidRPr="00DF4CE5" w:rsidRDefault="00772FCB" w:rsidP="00772FCB">
            <w:pPr>
              <w:spacing w:after="0" w:line="240" w:lineRule="auto"/>
              <w:jc w:val="both"/>
              <w:rPr>
                <w:rFonts w:ascii="Cambria" w:eastAsia="Times New Roman" w:hAnsi="Cambria" w:cs="Calibri"/>
                <w:lang w:val="hr-HR"/>
              </w:rPr>
            </w:pPr>
            <w:proofErr w:type="spellStart"/>
            <w:r w:rsidRPr="00DF4CE5">
              <w:rPr>
                <w:rFonts w:ascii="Cambria" w:eastAsia="Times New Roman" w:hAnsi="Cambria" w:cs="Calibri"/>
              </w:rPr>
              <w:t>Rokovi</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ispita</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i</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kolokvija</w:t>
            </w:r>
            <w:proofErr w:type="spellEnd"/>
          </w:p>
        </w:tc>
        <w:tc>
          <w:tcPr>
            <w:tcW w:w="672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0B426BC" w14:textId="6E02FEFD" w:rsidR="00772FCB" w:rsidRPr="00DF4CE5" w:rsidRDefault="00772FCB" w:rsidP="00772FCB">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Definiraju se na početku akademske godine, objavljuju se na mrežnim stranicama Sveučilišta i u ISVU.</w:t>
            </w:r>
          </w:p>
        </w:tc>
      </w:tr>
      <w:tr w:rsidR="00772FCB" w:rsidRPr="000053D1" w14:paraId="3CC31493" w14:textId="77777777" w:rsidTr="00C106A0">
        <w:tc>
          <w:tcPr>
            <w:tcW w:w="261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682B538" w14:textId="77777777" w:rsidR="00772FCB" w:rsidRPr="00DF4CE5" w:rsidRDefault="00772FCB" w:rsidP="00772FCB">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Ostale važne činjenice </w:t>
            </w:r>
            <w:proofErr w:type="spellStart"/>
            <w:r w:rsidRPr="00DF4CE5">
              <w:rPr>
                <w:rFonts w:ascii="Cambria" w:eastAsia="Times New Roman" w:hAnsi="Cambria" w:cs="Calibri"/>
                <w:lang w:val="it-IT"/>
              </w:rPr>
              <w:t>vezane</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uz</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kolegij</w:t>
            </w:r>
            <w:proofErr w:type="spellEnd"/>
          </w:p>
        </w:tc>
        <w:tc>
          <w:tcPr>
            <w:tcW w:w="6724"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14:paraId="7F6EFBF5" w14:textId="77777777" w:rsidR="00772FCB" w:rsidRPr="00DF4CE5" w:rsidRDefault="00772FCB" w:rsidP="00772FCB">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Dodatna pojašnjenja (kriteriji ocjenjivanja):</w:t>
            </w:r>
          </w:p>
          <w:p w14:paraId="5FC4E54E" w14:textId="77777777" w:rsidR="00772FCB" w:rsidRPr="00DF4CE5" w:rsidRDefault="00772FCB" w:rsidP="00772FCB">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Pohađanje nastave je obavezno. Studenti su dužni pripremiti jedan probni nastavni sat na temu različitu od one koja će im biti dodijeljena za </w:t>
            </w:r>
            <w:proofErr w:type="spellStart"/>
            <w:r w:rsidRPr="00DF4CE5">
              <w:rPr>
                <w:rFonts w:ascii="Cambria" w:eastAsia="Times New Roman" w:hAnsi="Cambria" w:cs="Calibri"/>
                <w:lang w:val="hr-HR"/>
              </w:rPr>
              <w:t>ocjenski</w:t>
            </w:r>
            <w:proofErr w:type="spellEnd"/>
            <w:r w:rsidRPr="00DF4CE5">
              <w:rPr>
                <w:rFonts w:ascii="Cambria" w:eastAsia="Times New Roman" w:hAnsi="Cambria" w:cs="Calibri"/>
                <w:lang w:val="hr-HR"/>
              </w:rPr>
              <w:t xml:space="preserve"> sat te za isti napisati pripremu. Svaki je student dužan održati najmanje jedan nastavni sat u školi, dok je njihovo pohađanje obvezatno za sve studente, kao i njihova zajednička analiza nakon svakog održanog sata.</w:t>
            </w:r>
          </w:p>
          <w:p w14:paraId="1F9DD28E" w14:textId="77777777" w:rsidR="00772FCB" w:rsidRPr="00DF4CE5" w:rsidRDefault="00772FCB" w:rsidP="00772FCB">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Praktični rad (</w:t>
            </w:r>
            <w:proofErr w:type="spellStart"/>
            <w:r w:rsidRPr="00DF4CE5">
              <w:rPr>
                <w:rFonts w:ascii="Cambria" w:eastAsia="Times New Roman" w:hAnsi="Cambria" w:cs="Calibri"/>
                <w:lang w:val="hr-HR"/>
              </w:rPr>
              <w:t>ocjenski</w:t>
            </w:r>
            <w:proofErr w:type="spellEnd"/>
            <w:r w:rsidRPr="00DF4CE5">
              <w:rPr>
                <w:rFonts w:ascii="Cambria" w:eastAsia="Times New Roman" w:hAnsi="Cambria" w:cs="Calibri"/>
                <w:lang w:val="hr-HR"/>
              </w:rPr>
              <w:t xml:space="preserve"> sat) odnosi se na izradu pripreme i provođenje jednog sata engleskog jezika u nižim razredima osnovne škole. Ocjenjuju se sljedeći elementi, od kojih svaki donosi po 5% ukupne ocjene:</w:t>
            </w:r>
          </w:p>
          <w:p w14:paraId="04A356AC" w14:textId="77777777" w:rsidR="00772FCB" w:rsidRPr="00DF4CE5" w:rsidRDefault="00772FCB" w:rsidP="00772FCB">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-planiranje i priprema nastave</w:t>
            </w:r>
          </w:p>
          <w:p w14:paraId="0940CA19" w14:textId="77777777" w:rsidR="00772FCB" w:rsidRPr="00DF4CE5" w:rsidRDefault="00772FCB" w:rsidP="00772FCB">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-vođenje i tijek nastavnog sata (uvod, glavni dio i zaključak)</w:t>
            </w:r>
          </w:p>
          <w:p w14:paraId="1595CABF" w14:textId="77777777" w:rsidR="00772FCB" w:rsidRPr="00DF4CE5" w:rsidRDefault="00772FCB" w:rsidP="00772FCB">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-uspostavljanje discipline</w:t>
            </w:r>
          </w:p>
          <w:p w14:paraId="2E8FB490" w14:textId="77777777" w:rsidR="00772FCB" w:rsidRPr="00DF4CE5" w:rsidRDefault="00772FCB" w:rsidP="00772FCB">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-najava teme</w:t>
            </w:r>
          </w:p>
          <w:p w14:paraId="5A0ED479" w14:textId="77777777" w:rsidR="00772FCB" w:rsidRPr="00DF4CE5" w:rsidRDefault="00772FCB" w:rsidP="00772FCB">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-povezivanje s prethodnim aktivnostima</w:t>
            </w:r>
          </w:p>
          <w:p w14:paraId="05FA0FD6" w14:textId="77777777" w:rsidR="00772FCB" w:rsidRPr="00DF4CE5" w:rsidRDefault="00772FCB" w:rsidP="00772FCB">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-davanje uputa / vođenje aktivnosti</w:t>
            </w:r>
          </w:p>
          <w:p w14:paraId="653E2B1B" w14:textId="77777777" w:rsidR="00772FCB" w:rsidRPr="00DF4CE5" w:rsidRDefault="00772FCB" w:rsidP="00772FCB">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-pohvale učenicima</w:t>
            </w:r>
          </w:p>
          <w:p w14:paraId="1D0884A6" w14:textId="77777777" w:rsidR="00772FCB" w:rsidRPr="00DF4CE5" w:rsidRDefault="00772FCB" w:rsidP="00772FCB">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-razredna disciplina</w:t>
            </w:r>
          </w:p>
          <w:p w14:paraId="6AD5A5F9" w14:textId="77777777" w:rsidR="00772FCB" w:rsidRPr="00DF4CE5" w:rsidRDefault="00772FCB" w:rsidP="00772FCB">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-ugođaj u razredu</w:t>
            </w:r>
          </w:p>
          <w:p w14:paraId="214D4136" w14:textId="77777777" w:rsidR="00772FCB" w:rsidRPr="00DF4CE5" w:rsidRDefault="00772FCB" w:rsidP="00772FCB">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-pravilna uporaba engleskog jezika</w:t>
            </w:r>
          </w:p>
          <w:p w14:paraId="2BCB82EB" w14:textId="77777777" w:rsidR="00772FCB" w:rsidRPr="00DF4CE5" w:rsidRDefault="00772FCB" w:rsidP="00772FCB">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Završni – usmeni ispit - student/</w:t>
            </w:r>
            <w:proofErr w:type="spellStart"/>
            <w:r w:rsidRPr="00DF4CE5">
              <w:rPr>
                <w:rFonts w:ascii="Cambria" w:eastAsia="Times New Roman" w:hAnsi="Cambria" w:cs="Calibri"/>
                <w:lang w:val="hr-HR"/>
              </w:rPr>
              <w:t>ica</w:t>
            </w:r>
            <w:proofErr w:type="spellEnd"/>
            <w:r w:rsidRPr="00DF4CE5">
              <w:rPr>
                <w:rFonts w:ascii="Cambria" w:eastAsia="Times New Roman" w:hAnsi="Cambria" w:cs="Calibri"/>
                <w:lang w:val="hr-HR"/>
              </w:rPr>
              <w:t xml:space="preserve"> dobiva tri pitanja i najveći mogući ostvarivi postotak je trideset posto. Ocjenjuje se točnost i tečnost u usmenom izražavanju te sveobuhvatnost odgovora (potpuno i detaljno odgovara te daje vlastite primjere; odgovara opsežno, ali nedostaju pojedini dijelovi, daje vlastite primjere; pokazuje solidno poznavanje gradiva, ali ne može potkrijepiti primjerima; imenuje i definira samo osnovne pojmove, bez vlastitih primjera).</w:t>
            </w:r>
          </w:p>
          <w:p w14:paraId="396A4418" w14:textId="4D73EAAD" w:rsidR="00772FCB" w:rsidRPr="00DF4CE5" w:rsidRDefault="00772FCB" w:rsidP="00772FCB">
            <w:pPr>
              <w:spacing w:after="0" w:line="240" w:lineRule="auto"/>
              <w:jc w:val="both"/>
              <w:rPr>
                <w:rFonts w:ascii="Cambria" w:eastAsia="Times New Roman" w:hAnsi="Cambria" w:cs="Calibri"/>
                <w:lang w:val="hr-HR"/>
              </w:rPr>
            </w:pPr>
            <w:r w:rsidRPr="00DF4CE5">
              <w:rPr>
                <w:rFonts w:ascii="Cambria" w:eastAsia="Times New Roman" w:hAnsi="Cambria" w:cs="Calibri"/>
                <w:lang w:val="hr-HR"/>
              </w:rPr>
              <w:lastRenderedPageBreak/>
              <w:t xml:space="preserve">U slučaju održavanja nastave na daljinu, moguće je odstupanje u: mjestu izvođenja kolegija, provedbi aktivnosti, metoda tumačenja i poučavanja i načinima vrednovanja, studentskim obvezama i dostupnoj literaturi. O tome će nositeljica kolegija i </w:t>
            </w:r>
            <w:r w:rsidR="000053D1">
              <w:rPr>
                <w:rFonts w:ascii="Cambria" w:eastAsia="Times New Roman" w:hAnsi="Cambria" w:cs="Calibri"/>
                <w:lang w:val="hr-HR"/>
              </w:rPr>
              <w:t>suradnice</w:t>
            </w:r>
            <w:r w:rsidRPr="00DF4CE5">
              <w:rPr>
                <w:rFonts w:ascii="Cambria" w:eastAsia="Times New Roman" w:hAnsi="Cambria" w:cs="Calibri"/>
                <w:lang w:val="hr-HR"/>
              </w:rPr>
              <w:t xml:space="preserve"> obavijestiti studente i studentice kad se nastava na daljinu počne održavati. Ishodi učenja ostaju nepromijenjeni</w:t>
            </w:r>
            <w:r w:rsidR="000404D6" w:rsidRPr="00DF4CE5">
              <w:rPr>
                <w:rFonts w:ascii="Cambria" w:eastAsia="Times New Roman" w:hAnsi="Cambria" w:cs="Calibri"/>
                <w:lang w:val="hr-HR"/>
              </w:rPr>
              <w:t>.</w:t>
            </w:r>
          </w:p>
        </w:tc>
      </w:tr>
      <w:tr w:rsidR="00772FCB" w:rsidRPr="00D0399C" w14:paraId="6A5BC87B" w14:textId="77777777" w:rsidTr="000404D6">
        <w:trPr>
          <w:trHeight w:val="617"/>
        </w:trPr>
        <w:tc>
          <w:tcPr>
            <w:tcW w:w="261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2F92CA9" w14:textId="77777777" w:rsidR="00772FCB" w:rsidRPr="00DF4CE5" w:rsidRDefault="00772FCB" w:rsidP="00772FCB">
            <w:pPr>
              <w:spacing w:after="0" w:line="240" w:lineRule="auto"/>
              <w:jc w:val="both"/>
              <w:rPr>
                <w:rFonts w:ascii="Cambria" w:eastAsia="Times New Roman" w:hAnsi="Cambria" w:cs="Calibri"/>
                <w:lang w:val="hr-HR"/>
              </w:rPr>
            </w:pPr>
            <w:r w:rsidRPr="00DF4CE5">
              <w:rPr>
                <w:rFonts w:ascii="Cambria" w:eastAsia="Times New Roman" w:hAnsi="Cambria" w:cs="Calibri"/>
                <w:lang w:val="hr-HR"/>
              </w:rPr>
              <w:lastRenderedPageBreak/>
              <w:t>Literatura</w:t>
            </w:r>
          </w:p>
        </w:tc>
        <w:tc>
          <w:tcPr>
            <w:tcW w:w="6724"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14:paraId="4C332064" w14:textId="77777777" w:rsidR="00772FCB" w:rsidRPr="00DF4CE5" w:rsidRDefault="00772FCB" w:rsidP="00772FCB">
            <w:pPr>
              <w:tabs>
                <w:tab w:val="center" w:pos="4536"/>
                <w:tab w:val="right" w:pos="9072"/>
              </w:tabs>
              <w:spacing w:before="20" w:after="20" w:line="240" w:lineRule="auto"/>
              <w:jc w:val="both"/>
              <w:rPr>
                <w:rFonts w:ascii="Cambria" w:eastAsia="Times New Roman" w:hAnsi="Cambria" w:cs="Calibri"/>
                <w:lang w:val="hr-HR" w:eastAsia="hr-HR"/>
              </w:rPr>
            </w:pPr>
            <w:r w:rsidRPr="00DF4CE5">
              <w:rPr>
                <w:rFonts w:ascii="Cambria" w:eastAsia="Times New Roman" w:hAnsi="Cambria" w:cs="Calibri"/>
                <w:lang w:val="hr-HR" w:eastAsia="hr-HR"/>
              </w:rPr>
              <w:t>Obvezna:</w:t>
            </w:r>
          </w:p>
          <w:p w14:paraId="0AC069E3" w14:textId="72FEBC8C" w:rsidR="00772FCB" w:rsidRPr="00DF4CE5" w:rsidRDefault="00772FCB" w:rsidP="00772FCB">
            <w:pPr>
              <w:tabs>
                <w:tab w:val="center" w:pos="4536"/>
                <w:tab w:val="right" w:pos="9072"/>
              </w:tabs>
              <w:spacing w:before="20" w:after="20" w:line="240" w:lineRule="auto"/>
              <w:jc w:val="both"/>
              <w:rPr>
                <w:rFonts w:ascii="Cambria" w:eastAsia="Times New Roman" w:hAnsi="Cambria" w:cs="Calibri"/>
                <w:lang w:val="hr-HR" w:eastAsia="hr-HR"/>
              </w:rPr>
            </w:pPr>
            <w:r w:rsidRPr="00DF4CE5">
              <w:rPr>
                <w:rFonts w:ascii="Cambria" w:eastAsia="Times New Roman" w:hAnsi="Cambria" w:cs="Calibri"/>
                <w:lang w:val="hr-HR" w:eastAsia="hr-HR"/>
              </w:rPr>
              <w:t>1.</w:t>
            </w:r>
            <w:r w:rsidR="000404D6" w:rsidRPr="00DF4CE5">
              <w:rPr>
                <w:rFonts w:ascii="Cambria" w:eastAsia="Times New Roman" w:hAnsi="Cambria" w:cs="Calibri"/>
                <w:lang w:val="hr-HR" w:eastAsia="hr-HR"/>
              </w:rPr>
              <w:t xml:space="preserve"> </w:t>
            </w:r>
            <w:r w:rsidRPr="00DF4CE5">
              <w:rPr>
                <w:rFonts w:ascii="Cambria" w:eastAsia="Times New Roman" w:hAnsi="Cambria" w:cs="Calibri"/>
                <w:lang w:val="hr-HR" w:eastAsia="hr-HR"/>
              </w:rPr>
              <w:t xml:space="preserve">J. </w:t>
            </w:r>
            <w:proofErr w:type="spellStart"/>
            <w:r w:rsidRPr="00DF4CE5">
              <w:rPr>
                <w:rFonts w:ascii="Cambria" w:eastAsia="Times New Roman" w:hAnsi="Cambria" w:cs="Calibri"/>
                <w:lang w:val="hr-HR" w:eastAsia="hr-HR"/>
              </w:rPr>
              <w:t>Brewster</w:t>
            </w:r>
            <w:proofErr w:type="spellEnd"/>
            <w:r w:rsidRPr="00DF4CE5">
              <w:rPr>
                <w:rFonts w:ascii="Cambria" w:eastAsia="Times New Roman" w:hAnsi="Cambria" w:cs="Calibri"/>
                <w:lang w:val="hr-HR" w:eastAsia="hr-HR"/>
              </w:rPr>
              <w:t xml:space="preserve">, G. Ellis, D. </w:t>
            </w:r>
            <w:proofErr w:type="spellStart"/>
            <w:r w:rsidRPr="00DF4CE5">
              <w:rPr>
                <w:rFonts w:ascii="Cambria" w:eastAsia="Times New Roman" w:hAnsi="Cambria" w:cs="Calibri"/>
                <w:lang w:val="hr-HR" w:eastAsia="hr-HR"/>
              </w:rPr>
              <w:t>Girard</w:t>
            </w:r>
            <w:proofErr w:type="spellEnd"/>
            <w:r w:rsidRPr="00DF4CE5">
              <w:rPr>
                <w:rFonts w:ascii="Cambria" w:eastAsia="Times New Roman" w:hAnsi="Cambria" w:cs="Calibri"/>
                <w:lang w:val="hr-HR" w:eastAsia="hr-HR"/>
              </w:rPr>
              <w:t xml:space="preserve"> (1991). </w:t>
            </w:r>
            <w:proofErr w:type="spellStart"/>
            <w:r w:rsidRPr="00DF4CE5">
              <w:rPr>
                <w:rFonts w:ascii="Cambria" w:eastAsia="Times New Roman" w:hAnsi="Cambria" w:cs="Calibri"/>
                <w:iCs/>
                <w:lang w:val="hr-HR" w:eastAsia="hr-HR"/>
              </w:rPr>
              <w:t>The</w:t>
            </w:r>
            <w:proofErr w:type="spellEnd"/>
            <w:r w:rsidRPr="00DF4CE5">
              <w:rPr>
                <w:rFonts w:ascii="Cambria" w:eastAsia="Times New Roman" w:hAnsi="Cambria" w:cs="Calibri"/>
                <w:iCs/>
                <w:lang w:val="hr-HR" w:eastAsia="hr-HR"/>
              </w:rPr>
              <w:t xml:space="preserve"> </w:t>
            </w:r>
            <w:proofErr w:type="spellStart"/>
            <w:r w:rsidRPr="00DF4CE5">
              <w:rPr>
                <w:rFonts w:ascii="Cambria" w:eastAsia="Times New Roman" w:hAnsi="Cambria" w:cs="Calibri"/>
                <w:iCs/>
                <w:lang w:val="hr-HR" w:eastAsia="hr-HR"/>
              </w:rPr>
              <w:t>Primary</w:t>
            </w:r>
            <w:proofErr w:type="spellEnd"/>
            <w:r w:rsidRPr="00DF4CE5">
              <w:rPr>
                <w:rFonts w:ascii="Cambria" w:eastAsia="Times New Roman" w:hAnsi="Cambria" w:cs="Calibri"/>
                <w:iCs/>
                <w:lang w:val="hr-HR" w:eastAsia="hr-HR"/>
              </w:rPr>
              <w:t xml:space="preserve"> English </w:t>
            </w:r>
            <w:proofErr w:type="spellStart"/>
            <w:r w:rsidRPr="00DF4CE5">
              <w:rPr>
                <w:rFonts w:ascii="Cambria" w:eastAsia="Times New Roman" w:hAnsi="Cambria" w:cs="Calibri"/>
                <w:iCs/>
                <w:lang w:val="hr-HR" w:eastAsia="hr-HR"/>
              </w:rPr>
              <w:t>Teacher's</w:t>
            </w:r>
            <w:proofErr w:type="spellEnd"/>
            <w:r w:rsidRPr="00DF4CE5">
              <w:rPr>
                <w:rFonts w:ascii="Cambria" w:eastAsia="Times New Roman" w:hAnsi="Cambria" w:cs="Calibri"/>
                <w:iCs/>
                <w:lang w:val="hr-HR" w:eastAsia="hr-HR"/>
              </w:rPr>
              <w:t xml:space="preserve"> </w:t>
            </w:r>
            <w:proofErr w:type="spellStart"/>
            <w:r w:rsidRPr="00DF4CE5">
              <w:rPr>
                <w:rFonts w:ascii="Cambria" w:eastAsia="Times New Roman" w:hAnsi="Cambria" w:cs="Calibri"/>
                <w:iCs/>
                <w:lang w:val="hr-HR" w:eastAsia="hr-HR"/>
              </w:rPr>
              <w:t>Guide</w:t>
            </w:r>
            <w:proofErr w:type="spellEnd"/>
            <w:r w:rsidRPr="00DF4CE5">
              <w:rPr>
                <w:rFonts w:ascii="Cambria" w:eastAsia="Times New Roman" w:hAnsi="Cambria" w:cs="Calibri"/>
                <w:lang w:val="hr-HR" w:eastAsia="hr-HR"/>
              </w:rPr>
              <w:t xml:space="preserve">, </w:t>
            </w:r>
            <w:proofErr w:type="spellStart"/>
            <w:r w:rsidRPr="00DF4CE5">
              <w:rPr>
                <w:rFonts w:ascii="Cambria" w:eastAsia="Times New Roman" w:hAnsi="Cambria" w:cs="Calibri"/>
                <w:lang w:val="hr-HR" w:eastAsia="hr-HR"/>
              </w:rPr>
              <w:t>Penguin</w:t>
            </w:r>
            <w:proofErr w:type="spellEnd"/>
            <w:r w:rsidRPr="00DF4CE5">
              <w:rPr>
                <w:rFonts w:ascii="Cambria" w:eastAsia="Times New Roman" w:hAnsi="Cambria" w:cs="Calibri"/>
                <w:lang w:val="hr-HR" w:eastAsia="hr-HR"/>
              </w:rPr>
              <w:t xml:space="preserve"> English</w:t>
            </w:r>
          </w:p>
          <w:p w14:paraId="12AAF1D9" w14:textId="77777777" w:rsidR="00772FCB" w:rsidRPr="00DF4CE5" w:rsidRDefault="00772FCB" w:rsidP="00772FCB">
            <w:pPr>
              <w:tabs>
                <w:tab w:val="center" w:pos="4536"/>
                <w:tab w:val="right" w:pos="9072"/>
              </w:tabs>
              <w:spacing w:before="20" w:after="20" w:line="240" w:lineRule="auto"/>
              <w:jc w:val="both"/>
              <w:rPr>
                <w:rFonts w:ascii="Cambria" w:eastAsia="Times New Roman" w:hAnsi="Cambria" w:cs="Calibri"/>
                <w:lang w:val="hr-HR" w:eastAsia="hr-HR"/>
              </w:rPr>
            </w:pPr>
            <w:r w:rsidRPr="00DF4CE5">
              <w:rPr>
                <w:rFonts w:ascii="Cambria" w:eastAsia="Times New Roman" w:hAnsi="Cambria" w:cs="Calibri"/>
                <w:lang w:val="hr-HR" w:eastAsia="hr-HR"/>
              </w:rPr>
              <w:t xml:space="preserve">Izborna: </w:t>
            </w:r>
          </w:p>
          <w:p w14:paraId="430CD724" w14:textId="77777777" w:rsidR="00772FCB" w:rsidRPr="00DF4CE5" w:rsidRDefault="00772FCB" w:rsidP="00772FCB">
            <w:pPr>
              <w:tabs>
                <w:tab w:val="center" w:pos="4536"/>
                <w:tab w:val="right" w:pos="9072"/>
              </w:tabs>
              <w:spacing w:before="20" w:after="20" w:line="240" w:lineRule="auto"/>
              <w:jc w:val="both"/>
              <w:rPr>
                <w:rFonts w:ascii="Cambria" w:eastAsia="Times New Roman" w:hAnsi="Cambria" w:cs="Calibri"/>
                <w:lang w:val="hr-HR" w:eastAsia="hr-HR"/>
              </w:rPr>
            </w:pPr>
            <w:r w:rsidRPr="00DF4CE5">
              <w:rPr>
                <w:rFonts w:ascii="Cambria" w:eastAsia="Times New Roman" w:hAnsi="Cambria" w:cs="Calibri"/>
                <w:lang w:val="hr-HR" w:eastAsia="hr-HR"/>
              </w:rPr>
              <w:t xml:space="preserve">1. Ellis, G. &amp; </w:t>
            </w:r>
            <w:proofErr w:type="spellStart"/>
            <w:r w:rsidRPr="00DF4CE5">
              <w:rPr>
                <w:rFonts w:ascii="Cambria" w:eastAsia="Times New Roman" w:hAnsi="Cambria" w:cs="Calibri"/>
                <w:lang w:val="hr-HR" w:eastAsia="hr-HR"/>
              </w:rPr>
              <w:t>Brewster</w:t>
            </w:r>
            <w:proofErr w:type="spellEnd"/>
            <w:r w:rsidRPr="00DF4CE5">
              <w:rPr>
                <w:rFonts w:ascii="Cambria" w:eastAsia="Times New Roman" w:hAnsi="Cambria" w:cs="Calibri"/>
                <w:lang w:val="hr-HR" w:eastAsia="hr-HR"/>
              </w:rPr>
              <w:t xml:space="preserve">, J. (1991), </w:t>
            </w:r>
            <w:proofErr w:type="spellStart"/>
            <w:r w:rsidRPr="00DF4CE5">
              <w:rPr>
                <w:rFonts w:ascii="Cambria" w:eastAsia="Times New Roman" w:hAnsi="Cambria" w:cs="Calibri"/>
                <w:lang w:val="hr-HR" w:eastAsia="hr-HR"/>
              </w:rPr>
              <w:t>The</w:t>
            </w:r>
            <w:proofErr w:type="spellEnd"/>
            <w:r w:rsidRPr="00DF4CE5">
              <w:rPr>
                <w:rFonts w:ascii="Cambria" w:eastAsia="Times New Roman" w:hAnsi="Cambria" w:cs="Calibri"/>
                <w:lang w:val="hr-HR" w:eastAsia="hr-HR"/>
              </w:rPr>
              <w:t xml:space="preserve"> </w:t>
            </w:r>
            <w:proofErr w:type="spellStart"/>
            <w:r w:rsidRPr="00DF4CE5">
              <w:rPr>
                <w:rFonts w:ascii="Cambria" w:eastAsia="Times New Roman" w:hAnsi="Cambria" w:cs="Calibri"/>
                <w:lang w:val="hr-HR" w:eastAsia="hr-HR"/>
              </w:rPr>
              <w:t>Storytelling</w:t>
            </w:r>
            <w:proofErr w:type="spellEnd"/>
            <w:r w:rsidRPr="00DF4CE5">
              <w:rPr>
                <w:rFonts w:ascii="Cambria" w:eastAsia="Times New Roman" w:hAnsi="Cambria" w:cs="Calibri"/>
                <w:lang w:val="hr-HR" w:eastAsia="hr-HR"/>
              </w:rPr>
              <w:t xml:space="preserve"> </w:t>
            </w:r>
            <w:proofErr w:type="spellStart"/>
            <w:r w:rsidRPr="00DF4CE5">
              <w:rPr>
                <w:rFonts w:ascii="Cambria" w:eastAsia="Times New Roman" w:hAnsi="Cambria" w:cs="Calibri"/>
                <w:lang w:val="hr-HR" w:eastAsia="hr-HR"/>
              </w:rPr>
              <w:t>Handbook</w:t>
            </w:r>
            <w:proofErr w:type="spellEnd"/>
            <w:r w:rsidRPr="00DF4CE5">
              <w:rPr>
                <w:rFonts w:ascii="Cambria" w:eastAsia="Times New Roman" w:hAnsi="Cambria" w:cs="Calibri"/>
                <w:lang w:val="hr-HR" w:eastAsia="hr-HR"/>
              </w:rPr>
              <w:t xml:space="preserve"> for </w:t>
            </w:r>
            <w:proofErr w:type="spellStart"/>
            <w:r w:rsidRPr="00DF4CE5">
              <w:rPr>
                <w:rFonts w:ascii="Cambria" w:eastAsia="Times New Roman" w:hAnsi="Cambria" w:cs="Calibri"/>
                <w:lang w:val="hr-HR" w:eastAsia="hr-HR"/>
              </w:rPr>
              <w:t>Primary</w:t>
            </w:r>
            <w:proofErr w:type="spellEnd"/>
            <w:r w:rsidRPr="00DF4CE5">
              <w:rPr>
                <w:rFonts w:ascii="Cambria" w:eastAsia="Times New Roman" w:hAnsi="Cambria" w:cs="Calibri"/>
                <w:lang w:val="hr-HR" w:eastAsia="hr-HR"/>
              </w:rPr>
              <w:t xml:space="preserve"> </w:t>
            </w:r>
            <w:proofErr w:type="spellStart"/>
            <w:r w:rsidRPr="00DF4CE5">
              <w:rPr>
                <w:rFonts w:ascii="Cambria" w:eastAsia="Times New Roman" w:hAnsi="Cambria" w:cs="Calibri"/>
                <w:lang w:val="hr-HR" w:eastAsia="hr-HR"/>
              </w:rPr>
              <w:t>Teachers</w:t>
            </w:r>
            <w:proofErr w:type="spellEnd"/>
            <w:r w:rsidRPr="00DF4CE5">
              <w:rPr>
                <w:rFonts w:ascii="Cambria" w:eastAsia="Times New Roman" w:hAnsi="Cambria" w:cs="Calibri"/>
                <w:lang w:val="hr-HR" w:eastAsia="hr-HR"/>
              </w:rPr>
              <w:t xml:space="preserve">. London: </w:t>
            </w:r>
            <w:proofErr w:type="spellStart"/>
            <w:r w:rsidRPr="00DF4CE5">
              <w:rPr>
                <w:rFonts w:ascii="Cambria" w:eastAsia="Times New Roman" w:hAnsi="Cambria" w:cs="Calibri"/>
                <w:lang w:val="hr-HR" w:eastAsia="hr-HR"/>
              </w:rPr>
              <w:t>Penguin</w:t>
            </w:r>
            <w:proofErr w:type="spellEnd"/>
            <w:r w:rsidRPr="00DF4CE5">
              <w:rPr>
                <w:rFonts w:ascii="Cambria" w:eastAsia="Times New Roman" w:hAnsi="Cambria" w:cs="Calibri"/>
                <w:lang w:val="hr-HR" w:eastAsia="hr-HR"/>
              </w:rPr>
              <w:t xml:space="preserve"> English</w:t>
            </w:r>
          </w:p>
          <w:p w14:paraId="5EA65A97" w14:textId="77777777" w:rsidR="00772FCB" w:rsidRPr="00DF4CE5" w:rsidRDefault="00772FCB" w:rsidP="00772FCB">
            <w:pPr>
              <w:tabs>
                <w:tab w:val="center" w:pos="4536"/>
                <w:tab w:val="right" w:pos="9072"/>
              </w:tabs>
              <w:spacing w:before="20" w:after="20" w:line="240" w:lineRule="auto"/>
              <w:jc w:val="both"/>
              <w:rPr>
                <w:rFonts w:ascii="Cambria" w:eastAsia="Times New Roman" w:hAnsi="Cambria" w:cs="Calibri"/>
                <w:lang w:val="hr-HR" w:eastAsia="hr-HR"/>
              </w:rPr>
            </w:pPr>
            <w:r w:rsidRPr="00DF4CE5">
              <w:rPr>
                <w:rFonts w:ascii="Cambria" w:eastAsia="Times New Roman" w:hAnsi="Cambria" w:cs="Calibri"/>
                <w:lang w:val="hr-HR" w:eastAsia="hr-HR"/>
              </w:rPr>
              <w:t xml:space="preserve">2. </w:t>
            </w:r>
            <w:proofErr w:type="spellStart"/>
            <w:r w:rsidRPr="00DF4CE5">
              <w:rPr>
                <w:rFonts w:ascii="Cambria" w:eastAsia="Times New Roman" w:hAnsi="Cambria" w:cs="Calibri"/>
                <w:lang w:val="hr-HR" w:eastAsia="hr-HR"/>
              </w:rPr>
              <w:t>Linse</w:t>
            </w:r>
            <w:proofErr w:type="spellEnd"/>
            <w:r w:rsidRPr="00DF4CE5">
              <w:rPr>
                <w:rFonts w:ascii="Cambria" w:eastAsia="Times New Roman" w:hAnsi="Cambria" w:cs="Calibri"/>
                <w:lang w:val="hr-HR" w:eastAsia="hr-HR"/>
              </w:rPr>
              <w:t xml:space="preserve">, C. (1983). </w:t>
            </w:r>
            <w:proofErr w:type="spellStart"/>
            <w:r w:rsidRPr="00DF4CE5">
              <w:rPr>
                <w:rFonts w:ascii="Cambria" w:eastAsia="Times New Roman" w:hAnsi="Cambria" w:cs="Calibri"/>
                <w:lang w:val="hr-HR" w:eastAsia="hr-HR"/>
              </w:rPr>
              <w:t>The</w:t>
            </w:r>
            <w:proofErr w:type="spellEnd"/>
            <w:r w:rsidRPr="00DF4CE5">
              <w:rPr>
                <w:rFonts w:ascii="Cambria" w:eastAsia="Times New Roman" w:hAnsi="Cambria" w:cs="Calibri"/>
                <w:lang w:val="hr-HR" w:eastAsia="hr-HR"/>
              </w:rPr>
              <w:t xml:space="preserve"> </w:t>
            </w:r>
            <w:proofErr w:type="spellStart"/>
            <w:r w:rsidRPr="00DF4CE5">
              <w:rPr>
                <w:rFonts w:ascii="Cambria" w:eastAsia="Times New Roman" w:hAnsi="Cambria" w:cs="Calibri"/>
                <w:lang w:val="hr-HR" w:eastAsia="hr-HR"/>
              </w:rPr>
              <w:t>Children's</w:t>
            </w:r>
            <w:proofErr w:type="spellEnd"/>
            <w:r w:rsidRPr="00DF4CE5">
              <w:rPr>
                <w:rFonts w:ascii="Cambria" w:eastAsia="Times New Roman" w:hAnsi="Cambria" w:cs="Calibri"/>
                <w:lang w:val="hr-HR" w:eastAsia="hr-HR"/>
              </w:rPr>
              <w:t xml:space="preserve"> </w:t>
            </w:r>
            <w:proofErr w:type="spellStart"/>
            <w:r w:rsidRPr="00DF4CE5">
              <w:rPr>
                <w:rFonts w:ascii="Cambria" w:eastAsia="Times New Roman" w:hAnsi="Cambria" w:cs="Calibri"/>
                <w:lang w:val="hr-HR" w:eastAsia="hr-HR"/>
              </w:rPr>
              <w:t>Response</w:t>
            </w:r>
            <w:proofErr w:type="spellEnd"/>
            <w:r w:rsidRPr="00DF4CE5">
              <w:rPr>
                <w:rFonts w:ascii="Cambria" w:eastAsia="Times New Roman" w:hAnsi="Cambria" w:cs="Calibri"/>
                <w:lang w:val="hr-HR" w:eastAsia="hr-HR"/>
              </w:rPr>
              <w:t xml:space="preserve"> – TPR </w:t>
            </w:r>
            <w:proofErr w:type="spellStart"/>
            <w:r w:rsidRPr="00DF4CE5">
              <w:rPr>
                <w:rFonts w:ascii="Cambria" w:eastAsia="Times New Roman" w:hAnsi="Cambria" w:cs="Calibri"/>
                <w:lang w:val="hr-HR" w:eastAsia="hr-HR"/>
              </w:rPr>
              <w:t>and</w:t>
            </w:r>
            <w:proofErr w:type="spellEnd"/>
            <w:r w:rsidRPr="00DF4CE5">
              <w:rPr>
                <w:rFonts w:ascii="Cambria" w:eastAsia="Times New Roman" w:hAnsi="Cambria" w:cs="Calibri"/>
                <w:lang w:val="hr-HR" w:eastAsia="hr-HR"/>
              </w:rPr>
              <w:t xml:space="preserve"> </w:t>
            </w:r>
            <w:proofErr w:type="spellStart"/>
            <w:r w:rsidRPr="00DF4CE5">
              <w:rPr>
                <w:rFonts w:ascii="Cambria" w:eastAsia="Times New Roman" w:hAnsi="Cambria" w:cs="Calibri"/>
                <w:lang w:val="hr-HR" w:eastAsia="hr-HR"/>
              </w:rPr>
              <w:t>Beyond</w:t>
            </w:r>
            <w:proofErr w:type="spellEnd"/>
            <w:r w:rsidRPr="00DF4CE5">
              <w:rPr>
                <w:rFonts w:ascii="Cambria" w:eastAsia="Times New Roman" w:hAnsi="Cambria" w:cs="Calibri"/>
                <w:lang w:val="hr-HR" w:eastAsia="hr-HR"/>
              </w:rPr>
              <w:t xml:space="preserve"> </w:t>
            </w:r>
            <w:proofErr w:type="spellStart"/>
            <w:r w:rsidRPr="00DF4CE5">
              <w:rPr>
                <w:rFonts w:ascii="Cambria" w:eastAsia="Times New Roman" w:hAnsi="Cambria" w:cs="Calibri"/>
                <w:lang w:val="hr-HR" w:eastAsia="hr-HR"/>
              </w:rPr>
              <w:t>toward</w:t>
            </w:r>
            <w:proofErr w:type="spellEnd"/>
            <w:r w:rsidRPr="00DF4CE5">
              <w:rPr>
                <w:rFonts w:ascii="Cambria" w:eastAsia="Times New Roman" w:hAnsi="Cambria" w:cs="Calibri"/>
                <w:lang w:val="hr-HR" w:eastAsia="hr-HR"/>
              </w:rPr>
              <w:t xml:space="preserve"> </w:t>
            </w:r>
            <w:proofErr w:type="spellStart"/>
            <w:r w:rsidRPr="00DF4CE5">
              <w:rPr>
                <w:rFonts w:ascii="Cambria" w:eastAsia="Times New Roman" w:hAnsi="Cambria" w:cs="Calibri"/>
                <w:lang w:val="hr-HR" w:eastAsia="hr-HR"/>
              </w:rPr>
              <w:t>Writing</w:t>
            </w:r>
            <w:proofErr w:type="spellEnd"/>
            <w:r w:rsidRPr="00DF4CE5">
              <w:rPr>
                <w:rFonts w:ascii="Cambria" w:eastAsia="Times New Roman" w:hAnsi="Cambria" w:cs="Calibri"/>
                <w:lang w:val="hr-HR" w:eastAsia="hr-HR"/>
              </w:rPr>
              <w:t xml:space="preserve">. </w:t>
            </w:r>
            <w:proofErr w:type="spellStart"/>
            <w:r w:rsidRPr="00DF4CE5">
              <w:rPr>
                <w:rFonts w:ascii="Cambria" w:eastAsia="Times New Roman" w:hAnsi="Cambria" w:cs="Calibri"/>
                <w:lang w:val="hr-HR" w:eastAsia="hr-HR"/>
              </w:rPr>
              <w:t>Alemany</w:t>
            </w:r>
            <w:proofErr w:type="spellEnd"/>
            <w:r w:rsidRPr="00DF4CE5">
              <w:rPr>
                <w:rFonts w:ascii="Cambria" w:eastAsia="Times New Roman" w:hAnsi="Cambria" w:cs="Calibri"/>
                <w:lang w:val="hr-HR" w:eastAsia="hr-HR"/>
              </w:rPr>
              <w:t xml:space="preserve"> Press – </w:t>
            </w:r>
            <w:proofErr w:type="spellStart"/>
            <w:r w:rsidRPr="00DF4CE5">
              <w:rPr>
                <w:rFonts w:ascii="Cambria" w:eastAsia="Times New Roman" w:hAnsi="Cambria" w:cs="Calibri"/>
                <w:lang w:val="hr-HR" w:eastAsia="hr-HR"/>
              </w:rPr>
              <w:t>Prentice</w:t>
            </w:r>
            <w:proofErr w:type="spellEnd"/>
            <w:r w:rsidRPr="00DF4CE5">
              <w:rPr>
                <w:rFonts w:ascii="Cambria" w:eastAsia="Times New Roman" w:hAnsi="Cambria" w:cs="Calibri"/>
                <w:lang w:val="hr-HR" w:eastAsia="hr-HR"/>
              </w:rPr>
              <w:t>-Hall International</w:t>
            </w:r>
          </w:p>
          <w:p w14:paraId="2EEE3CE1" w14:textId="77777777" w:rsidR="00772FCB" w:rsidRPr="00DF4CE5" w:rsidRDefault="00772FCB" w:rsidP="00772FCB">
            <w:pPr>
              <w:tabs>
                <w:tab w:val="center" w:pos="4536"/>
                <w:tab w:val="right" w:pos="9072"/>
              </w:tabs>
              <w:spacing w:before="20" w:after="20" w:line="240" w:lineRule="auto"/>
              <w:jc w:val="both"/>
              <w:rPr>
                <w:rFonts w:ascii="Cambria" w:eastAsia="Times New Roman" w:hAnsi="Cambria" w:cs="Calibri"/>
                <w:lang w:val="hr-HR" w:eastAsia="hr-HR"/>
              </w:rPr>
            </w:pPr>
            <w:r w:rsidRPr="00DF4CE5">
              <w:rPr>
                <w:rFonts w:ascii="Cambria" w:eastAsia="Times New Roman" w:hAnsi="Cambria" w:cs="Calibri"/>
                <w:lang w:val="hr-HR" w:eastAsia="hr-HR"/>
              </w:rPr>
              <w:t xml:space="preserve">Phillips, S. (2001), Drama </w:t>
            </w:r>
            <w:proofErr w:type="spellStart"/>
            <w:r w:rsidRPr="00DF4CE5">
              <w:rPr>
                <w:rFonts w:ascii="Cambria" w:eastAsia="Times New Roman" w:hAnsi="Cambria" w:cs="Calibri"/>
                <w:lang w:val="hr-HR" w:eastAsia="hr-HR"/>
              </w:rPr>
              <w:t>with</w:t>
            </w:r>
            <w:proofErr w:type="spellEnd"/>
            <w:r w:rsidRPr="00DF4CE5">
              <w:rPr>
                <w:rFonts w:ascii="Cambria" w:eastAsia="Times New Roman" w:hAnsi="Cambria" w:cs="Calibri"/>
                <w:lang w:val="hr-HR" w:eastAsia="hr-HR"/>
              </w:rPr>
              <w:t xml:space="preserve"> </w:t>
            </w:r>
            <w:proofErr w:type="spellStart"/>
            <w:r w:rsidRPr="00DF4CE5">
              <w:rPr>
                <w:rFonts w:ascii="Cambria" w:eastAsia="Times New Roman" w:hAnsi="Cambria" w:cs="Calibri"/>
                <w:lang w:val="hr-HR" w:eastAsia="hr-HR"/>
              </w:rPr>
              <w:t>Children</w:t>
            </w:r>
            <w:proofErr w:type="spellEnd"/>
            <w:r w:rsidRPr="00DF4CE5">
              <w:rPr>
                <w:rFonts w:ascii="Cambria" w:eastAsia="Times New Roman" w:hAnsi="Cambria" w:cs="Calibri"/>
                <w:lang w:val="hr-HR" w:eastAsia="hr-HR"/>
              </w:rPr>
              <w:t>. Oxford: Oxford University Press</w:t>
            </w:r>
          </w:p>
          <w:p w14:paraId="04A25E68" w14:textId="77777777" w:rsidR="00772FCB" w:rsidRPr="00DF4CE5" w:rsidRDefault="00772FCB" w:rsidP="00772FCB">
            <w:pPr>
              <w:tabs>
                <w:tab w:val="center" w:pos="4536"/>
                <w:tab w:val="right" w:pos="9072"/>
              </w:tabs>
              <w:spacing w:before="20" w:after="20" w:line="240" w:lineRule="auto"/>
              <w:jc w:val="both"/>
              <w:rPr>
                <w:rFonts w:ascii="Cambria" w:eastAsia="Times New Roman" w:hAnsi="Cambria" w:cs="Calibri"/>
                <w:lang w:val="hr-HR" w:eastAsia="hr-HR"/>
              </w:rPr>
            </w:pPr>
            <w:r w:rsidRPr="00DF4CE5">
              <w:rPr>
                <w:rFonts w:ascii="Cambria" w:eastAsia="Times New Roman" w:hAnsi="Cambria" w:cs="Calibri"/>
                <w:lang w:val="hr-HR" w:eastAsia="hr-HR"/>
              </w:rPr>
              <w:t xml:space="preserve">3. Phillips, S. (2001). Young </w:t>
            </w:r>
            <w:proofErr w:type="spellStart"/>
            <w:r w:rsidRPr="00DF4CE5">
              <w:rPr>
                <w:rFonts w:ascii="Cambria" w:eastAsia="Times New Roman" w:hAnsi="Cambria" w:cs="Calibri"/>
                <w:lang w:val="hr-HR" w:eastAsia="hr-HR"/>
              </w:rPr>
              <w:t>Learners</w:t>
            </w:r>
            <w:proofErr w:type="spellEnd"/>
            <w:r w:rsidRPr="00DF4CE5">
              <w:rPr>
                <w:rFonts w:ascii="Cambria" w:eastAsia="Times New Roman" w:hAnsi="Cambria" w:cs="Calibri"/>
                <w:lang w:val="hr-HR" w:eastAsia="hr-HR"/>
              </w:rPr>
              <w:t>. Oxford: Oxford University Press</w:t>
            </w:r>
          </w:p>
          <w:p w14:paraId="640C6703" w14:textId="77777777" w:rsidR="00772FCB" w:rsidRPr="00DF4CE5" w:rsidRDefault="00772FCB" w:rsidP="00772FCB">
            <w:pPr>
              <w:tabs>
                <w:tab w:val="center" w:pos="4536"/>
                <w:tab w:val="right" w:pos="9072"/>
              </w:tabs>
              <w:spacing w:before="20" w:after="20" w:line="240" w:lineRule="auto"/>
              <w:jc w:val="both"/>
              <w:rPr>
                <w:rFonts w:ascii="Cambria" w:eastAsia="Times New Roman" w:hAnsi="Cambria" w:cs="Calibri"/>
                <w:lang w:val="hr-HR" w:eastAsia="hr-HR"/>
              </w:rPr>
            </w:pPr>
            <w:r w:rsidRPr="00DF4CE5">
              <w:rPr>
                <w:rFonts w:ascii="Cambria" w:eastAsia="Times New Roman" w:hAnsi="Cambria" w:cs="Calibri"/>
                <w:lang w:val="hr-HR" w:eastAsia="hr-HR"/>
              </w:rPr>
              <w:t xml:space="preserve">4. Phillips, S. &amp; </w:t>
            </w:r>
            <w:proofErr w:type="spellStart"/>
            <w:r w:rsidRPr="00DF4CE5">
              <w:rPr>
                <w:rFonts w:ascii="Cambria" w:eastAsia="Times New Roman" w:hAnsi="Cambria" w:cs="Calibri"/>
                <w:lang w:val="hr-HR" w:eastAsia="hr-HR"/>
              </w:rPr>
              <w:t>Burwood</w:t>
            </w:r>
            <w:proofErr w:type="spellEnd"/>
            <w:r w:rsidRPr="00DF4CE5">
              <w:rPr>
                <w:rFonts w:ascii="Cambria" w:eastAsia="Times New Roman" w:hAnsi="Cambria" w:cs="Calibri"/>
                <w:lang w:val="hr-HR" w:eastAsia="hr-HR"/>
              </w:rPr>
              <w:t xml:space="preserve">, S. &amp; </w:t>
            </w:r>
            <w:proofErr w:type="spellStart"/>
            <w:r w:rsidRPr="00DF4CE5">
              <w:rPr>
                <w:rFonts w:ascii="Cambria" w:eastAsia="Times New Roman" w:hAnsi="Cambria" w:cs="Calibri"/>
                <w:lang w:val="hr-HR" w:eastAsia="hr-HR"/>
              </w:rPr>
              <w:t>Dunford</w:t>
            </w:r>
            <w:proofErr w:type="spellEnd"/>
            <w:r w:rsidRPr="00DF4CE5">
              <w:rPr>
                <w:rFonts w:ascii="Cambria" w:eastAsia="Times New Roman" w:hAnsi="Cambria" w:cs="Calibri"/>
                <w:lang w:val="hr-HR" w:eastAsia="hr-HR"/>
              </w:rPr>
              <w:t xml:space="preserve">, H (2001). </w:t>
            </w:r>
            <w:proofErr w:type="spellStart"/>
            <w:r w:rsidRPr="00DF4CE5">
              <w:rPr>
                <w:rFonts w:ascii="Cambria" w:eastAsia="Times New Roman" w:hAnsi="Cambria" w:cs="Calibri"/>
                <w:lang w:val="hr-HR" w:eastAsia="hr-HR"/>
              </w:rPr>
              <w:t>Projects</w:t>
            </w:r>
            <w:proofErr w:type="spellEnd"/>
            <w:r w:rsidRPr="00DF4CE5">
              <w:rPr>
                <w:rFonts w:ascii="Cambria" w:eastAsia="Times New Roman" w:hAnsi="Cambria" w:cs="Calibri"/>
                <w:lang w:val="hr-HR" w:eastAsia="hr-HR"/>
              </w:rPr>
              <w:t xml:space="preserve"> </w:t>
            </w:r>
            <w:proofErr w:type="spellStart"/>
            <w:r w:rsidRPr="00DF4CE5">
              <w:rPr>
                <w:rFonts w:ascii="Cambria" w:eastAsia="Times New Roman" w:hAnsi="Cambria" w:cs="Calibri"/>
                <w:lang w:val="hr-HR" w:eastAsia="hr-HR"/>
              </w:rPr>
              <w:t>with</w:t>
            </w:r>
            <w:proofErr w:type="spellEnd"/>
            <w:r w:rsidRPr="00DF4CE5">
              <w:rPr>
                <w:rFonts w:ascii="Cambria" w:eastAsia="Times New Roman" w:hAnsi="Cambria" w:cs="Calibri"/>
                <w:lang w:val="hr-HR" w:eastAsia="hr-HR"/>
              </w:rPr>
              <w:t xml:space="preserve"> Young </w:t>
            </w:r>
            <w:proofErr w:type="spellStart"/>
            <w:r w:rsidRPr="00DF4CE5">
              <w:rPr>
                <w:rFonts w:ascii="Cambria" w:eastAsia="Times New Roman" w:hAnsi="Cambria" w:cs="Calibri"/>
                <w:lang w:val="hr-HR" w:eastAsia="hr-HR"/>
              </w:rPr>
              <w:t>Learners</w:t>
            </w:r>
            <w:proofErr w:type="spellEnd"/>
            <w:r w:rsidRPr="00DF4CE5">
              <w:rPr>
                <w:rFonts w:ascii="Cambria" w:eastAsia="Times New Roman" w:hAnsi="Cambria" w:cs="Calibri"/>
                <w:lang w:val="hr-HR" w:eastAsia="hr-HR"/>
              </w:rPr>
              <w:t>. Oxford: Oxford University Press</w:t>
            </w:r>
          </w:p>
          <w:p w14:paraId="4AD8D6E0" w14:textId="77777777" w:rsidR="00772FCB" w:rsidRPr="00DF4CE5" w:rsidRDefault="00772FCB" w:rsidP="00772FCB">
            <w:pPr>
              <w:tabs>
                <w:tab w:val="center" w:pos="4536"/>
                <w:tab w:val="right" w:pos="9072"/>
              </w:tabs>
              <w:spacing w:before="20" w:after="20" w:line="240" w:lineRule="auto"/>
              <w:jc w:val="both"/>
              <w:rPr>
                <w:rFonts w:ascii="Cambria" w:eastAsia="Times New Roman" w:hAnsi="Cambria" w:cs="Calibri"/>
                <w:lang w:val="hr-HR" w:eastAsia="hr-HR"/>
              </w:rPr>
            </w:pPr>
            <w:r w:rsidRPr="00DF4CE5">
              <w:rPr>
                <w:rFonts w:ascii="Cambria" w:eastAsia="Times New Roman" w:hAnsi="Cambria" w:cs="Calibri"/>
                <w:lang w:val="hr-HR" w:eastAsia="hr-HR"/>
              </w:rPr>
              <w:t xml:space="preserve">5. </w:t>
            </w:r>
            <w:proofErr w:type="spellStart"/>
            <w:r w:rsidRPr="00DF4CE5">
              <w:rPr>
                <w:rFonts w:ascii="Cambria" w:eastAsia="Times New Roman" w:hAnsi="Cambria" w:cs="Calibri"/>
                <w:lang w:val="hr-HR" w:eastAsia="hr-HR"/>
              </w:rPr>
              <w:t>Reilly</w:t>
            </w:r>
            <w:proofErr w:type="spellEnd"/>
            <w:r w:rsidRPr="00DF4CE5">
              <w:rPr>
                <w:rFonts w:ascii="Cambria" w:eastAsia="Times New Roman" w:hAnsi="Cambria" w:cs="Calibri"/>
                <w:lang w:val="hr-HR" w:eastAsia="hr-HR"/>
              </w:rPr>
              <w:t xml:space="preserve">, V. &amp; </w:t>
            </w:r>
            <w:proofErr w:type="spellStart"/>
            <w:r w:rsidRPr="00DF4CE5">
              <w:rPr>
                <w:rFonts w:ascii="Cambria" w:eastAsia="Times New Roman" w:hAnsi="Cambria" w:cs="Calibri"/>
                <w:lang w:val="hr-HR" w:eastAsia="hr-HR"/>
              </w:rPr>
              <w:t>McWard</w:t>
            </w:r>
            <w:proofErr w:type="spellEnd"/>
            <w:r w:rsidRPr="00DF4CE5">
              <w:rPr>
                <w:rFonts w:ascii="Cambria" w:eastAsia="Times New Roman" w:hAnsi="Cambria" w:cs="Calibri"/>
                <w:lang w:val="hr-HR" w:eastAsia="hr-HR"/>
              </w:rPr>
              <w:t xml:space="preserve">, S. (2000). </w:t>
            </w:r>
            <w:proofErr w:type="spellStart"/>
            <w:r w:rsidRPr="00DF4CE5">
              <w:rPr>
                <w:rFonts w:ascii="Cambria" w:eastAsia="Times New Roman" w:hAnsi="Cambria" w:cs="Calibri"/>
                <w:lang w:val="hr-HR" w:eastAsia="hr-HR"/>
              </w:rPr>
              <w:t>Very</w:t>
            </w:r>
            <w:proofErr w:type="spellEnd"/>
            <w:r w:rsidRPr="00DF4CE5">
              <w:rPr>
                <w:rFonts w:ascii="Cambria" w:eastAsia="Times New Roman" w:hAnsi="Cambria" w:cs="Calibri"/>
                <w:lang w:val="hr-HR" w:eastAsia="hr-HR"/>
              </w:rPr>
              <w:t xml:space="preserve"> Young </w:t>
            </w:r>
            <w:proofErr w:type="spellStart"/>
            <w:r w:rsidRPr="00DF4CE5">
              <w:rPr>
                <w:rFonts w:ascii="Cambria" w:eastAsia="Times New Roman" w:hAnsi="Cambria" w:cs="Calibri"/>
                <w:lang w:val="hr-HR" w:eastAsia="hr-HR"/>
              </w:rPr>
              <w:t>Learners</w:t>
            </w:r>
            <w:proofErr w:type="spellEnd"/>
            <w:r w:rsidRPr="00DF4CE5">
              <w:rPr>
                <w:rFonts w:ascii="Cambria" w:eastAsia="Times New Roman" w:hAnsi="Cambria" w:cs="Calibri"/>
                <w:lang w:val="hr-HR" w:eastAsia="hr-HR"/>
              </w:rPr>
              <w:t>. Oxford: Oxford University Press</w:t>
            </w:r>
          </w:p>
          <w:p w14:paraId="61F28195" w14:textId="31942E90" w:rsidR="00772FCB" w:rsidRPr="00DF4CE5" w:rsidRDefault="00772FCB" w:rsidP="00772FCB">
            <w:pPr>
              <w:tabs>
                <w:tab w:val="center" w:pos="4536"/>
                <w:tab w:val="right" w:pos="9072"/>
              </w:tabs>
              <w:spacing w:before="20" w:after="20" w:line="240" w:lineRule="auto"/>
              <w:jc w:val="both"/>
              <w:rPr>
                <w:rFonts w:ascii="Cambria" w:eastAsia="Times New Roman" w:hAnsi="Cambria" w:cs="Calibri"/>
                <w:lang w:val="hr-HR" w:eastAsia="hr-HR"/>
              </w:rPr>
            </w:pPr>
            <w:r w:rsidRPr="00DF4CE5">
              <w:rPr>
                <w:rFonts w:ascii="Cambria" w:eastAsia="Times New Roman" w:hAnsi="Cambria" w:cs="Calibri"/>
                <w:lang w:val="hr-HR" w:eastAsia="hr-HR"/>
              </w:rPr>
              <w:t xml:space="preserve">6. Wright, A. (1997). </w:t>
            </w:r>
            <w:proofErr w:type="spellStart"/>
            <w:r w:rsidRPr="00DF4CE5">
              <w:rPr>
                <w:rFonts w:ascii="Cambria" w:eastAsia="Times New Roman" w:hAnsi="Cambria" w:cs="Calibri"/>
                <w:lang w:val="hr-HR" w:eastAsia="hr-HR"/>
              </w:rPr>
              <w:t>Creating</w:t>
            </w:r>
            <w:proofErr w:type="spellEnd"/>
            <w:r w:rsidRPr="00DF4CE5">
              <w:rPr>
                <w:rFonts w:ascii="Cambria" w:eastAsia="Times New Roman" w:hAnsi="Cambria" w:cs="Calibri"/>
                <w:lang w:val="hr-HR" w:eastAsia="hr-HR"/>
              </w:rPr>
              <w:t xml:space="preserve"> </w:t>
            </w:r>
            <w:proofErr w:type="spellStart"/>
            <w:r w:rsidRPr="00DF4CE5">
              <w:rPr>
                <w:rFonts w:ascii="Cambria" w:eastAsia="Times New Roman" w:hAnsi="Cambria" w:cs="Calibri"/>
                <w:lang w:val="hr-HR" w:eastAsia="hr-HR"/>
              </w:rPr>
              <w:t>Stories</w:t>
            </w:r>
            <w:proofErr w:type="spellEnd"/>
            <w:r w:rsidRPr="00DF4CE5">
              <w:rPr>
                <w:rFonts w:ascii="Cambria" w:eastAsia="Times New Roman" w:hAnsi="Cambria" w:cs="Calibri"/>
                <w:lang w:val="hr-HR" w:eastAsia="hr-HR"/>
              </w:rPr>
              <w:t xml:space="preserve"> </w:t>
            </w:r>
            <w:proofErr w:type="spellStart"/>
            <w:r w:rsidRPr="00DF4CE5">
              <w:rPr>
                <w:rFonts w:ascii="Cambria" w:eastAsia="Times New Roman" w:hAnsi="Cambria" w:cs="Calibri"/>
                <w:lang w:val="hr-HR" w:eastAsia="hr-HR"/>
              </w:rPr>
              <w:t>with</w:t>
            </w:r>
            <w:proofErr w:type="spellEnd"/>
            <w:r w:rsidRPr="00DF4CE5">
              <w:rPr>
                <w:rFonts w:ascii="Cambria" w:eastAsia="Times New Roman" w:hAnsi="Cambria" w:cs="Calibri"/>
                <w:lang w:val="hr-HR" w:eastAsia="hr-HR"/>
              </w:rPr>
              <w:t xml:space="preserve"> </w:t>
            </w:r>
            <w:proofErr w:type="spellStart"/>
            <w:r w:rsidRPr="00DF4CE5">
              <w:rPr>
                <w:rFonts w:ascii="Cambria" w:eastAsia="Times New Roman" w:hAnsi="Cambria" w:cs="Calibri"/>
                <w:lang w:val="hr-HR" w:eastAsia="hr-HR"/>
              </w:rPr>
              <w:t>Children</w:t>
            </w:r>
            <w:proofErr w:type="spellEnd"/>
            <w:r w:rsidRPr="00DF4CE5">
              <w:rPr>
                <w:rFonts w:ascii="Cambria" w:eastAsia="Times New Roman" w:hAnsi="Cambria" w:cs="Calibri"/>
                <w:lang w:val="hr-HR" w:eastAsia="hr-HR"/>
              </w:rPr>
              <w:t>. Oxford: Oxford University Press</w:t>
            </w:r>
          </w:p>
          <w:p w14:paraId="2F622724" w14:textId="77777777" w:rsidR="00772FCB" w:rsidRPr="00DF4CE5" w:rsidRDefault="00772FCB" w:rsidP="00772FCB">
            <w:pPr>
              <w:tabs>
                <w:tab w:val="center" w:pos="4536"/>
                <w:tab w:val="right" w:pos="9072"/>
              </w:tabs>
              <w:spacing w:before="20" w:after="20" w:line="240" w:lineRule="auto"/>
              <w:jc w:val="both"/>
              <w:rPr>
                <w:rFonts w:ascii="Cambria" w:eastAsia="Times New Roman" w:hAnsi="Cambria" w:cs="Calibri"/>
                <w:lang w:val="hr-HR" w:eastAsia="hr-HR"/>
              </w:rPr>
            </w:pPr>
            <w:r w:rsidRPr="00DF4CE5">
              <w:rPr>
                <w:rFonts w:ascii="Cambria" w:eastAsia="Times New Roman" w:hAnsi="Cambria" w:cs="Calibri"/>
                <w:lang w:val="hr-HR" w:eastAsia="hr-HR"/>
              </w:rPr>
              <w:t>Priručna:</w:t>
            </w:r>
          </w:p>
          <w:p w14:paraId="63846D23" w14:textId="77777777" w:rsidR="00772FCB" w:rsidRPr="00DF4CE5" w:rsidRDefault="00772FCB" w:rsidP="00772FCB">
            <w:pPr>
              <w:tabs>
                <w:tab w:val="center" w:pos="4536"/>
                <w:tab w:val="right" w:pos="9072"/>
              </w:tabs>
              <w:spacing w:before="20" w:after="20" w:line="240" w:lineRule="auto"/>
              <w:jc w:val="both"/>
              <w:rPr>
                <w:rFonts w:ascii="Cambria" w:eastAsia="Times New Roman" w:hAnsi="Cambria" w:cs="Calibri"/>
                <w:lang w:val="hr-HR" w:eastAsia="hr-HR"/>
              </w:rPr>
            </w:pPr>
            <w:r w:rsidRPr="00DF4CE5">
              <w:rPr>
                <w:rFonts w:ascii="Cambria" w:eastAsia="Times New Roman" w:hAnsi="Cambria" w:cs="Calibri"/>
                <w:lang w:val="hr-HR" w:eastAsia="hr-HR"/>
              </w:rPr>
              <w:t>Udžbenici namijenjeni ranom učenju engleskog kao stranog jezika, razni hrvatski i britanski izdavači (osobito oni koji su propisani uredbom Ministarstva znanosti i obrazovanja te preporučeni u hrvatskim osnovnim školama).</w:t>
            </w:r>
          </w:p>
        </w:tc>
      </w:tr>
    </w:tbl>
    <w:p w14:paraId="5E26FEAF" w14:textId="77777777" w:rsidR="0014341A" w:rsidRPr="00DF4CE5" w:rsidRDefault="0014341A" w:rsidP="008B34AF">
      <w:pPr>
        <w:jc w:val="both"/>
        <w:rPr>
          <w:rFonts w:ascii="Cambria" w:hAnsi="Cambria"/>
          <w:lang w:val="hr-HR"/>
        </w:rPr>
      </w:pPr>
    </w:p>
    <w:p w14:paraId="3FD99F4D" w14:textId="7DA672B3" w:rsidR="0014341A" w:rsidRPr="00DF4CE5" w:rsidRDefault="00AF0D71" w:rsidP="00D74364">
      <w:pPr>
        <w:rPr>
          <w:rFonts w:ascii="Cambria" w:hAnsi="Cambria"/>
          <w:lang w:val="hr-HR"/>
        </w:rPr>
      </w:pPr>
      <w:r>
        <w:rPr>
          <w:rFonts w:ascii="Cambria" w:hAnsi="Cambria"/>
          <w:lang w:val="hr-HR"/>
        </w:rPr>
        <w:br w:type="page"/>
      </w:r>
    </w:p>
    <w:tbl>
      <w:tblPr>
        <w:tblW w:w="5000" w:type="pct"/>
        <w:tblLayout w:type="fixed"/>
        <w:tblCellMar>
          <w:left w:w="0" w:type="dxa"/>
          <w:right w:w="0" w:type="dxa"/>
        </w:tblCellMar>
        <w:tblLook w:val="0600" w:firstRow="0" w:lastRow="0" w:firstColumn="0" w:lastColumn="0" w:noHBand="1" w:noVBand="1"/>
      </w:tblPr>
      <w:tblGrid>
        <w:gridCol w:w="2616"/>
        <w:gridCol w:w="2482"/>
        <w:gridCol w:w="98"/>
        <w:gridCol w:w="1092"/>
        <w:gridCol w:w="280"/>
        <w:gridCol w:w="440"/>
        <w:gridCol w:w="812"/>
        <w:gridCol w:w="1520"/>
      </w:tblGrid>
      <w:tr w:rsidR="0014341A" w:rsidRPr="00DF4CE5" w14:paraId="0EA1D48B" w14:textId="77777777" w:rsidTr="00C106A0">
        <w:tc>
          <w:tcPr>
            <w:tcW w:w="9340"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DF0816B" w14:textId="77777777" w:rsidR="0014341A" w:rsidRPr="00DF4CE5" w:rsidRDefault="0014341A" w:rsidP="00001BA9">
            <w:pPr>
              <w:spacing w:after="0" w:line="240" w:lineRule="auto"/>
              <w:jc w:val="right"/>
              <w:rPr>
                <w:rFonts w:ascii="Cambria" w:eastAsia="Times New Roman" w:hAnsi="Cambria" w:cs="Calibri"/>
                <w:b/>
                <w:lang w:val="hr-HR"/>
              </w:rPr>
            </w:pPr>
            <w:r w:rsidRPr="00DF4CE5">
              <w:rPr>
                <w:rFonts w:ascii="Cambria" w:eastAsia="Times New Roman" w:hAnsi="Cambria" w:cs="Calibri"/>
                <w:b/>
                <w:lang w:val="hr-HR"/>
              </w:rPr>
              <w:lastRenderedPageBreak/>
              <w:t>IZVEDBENI PLAN NASTAVE KOLEGIJA</w:t>
            </w:r>
          </w:p>
        </w:tc>
      </w:tr>
      <w:tr w:rsidR="0014341A" w:rsidRPr="00DF4CE5" w14:paraId="3E3A3D11" w14:textId="77777777" w:rsidTr="00C106A0">
        <w:tc>
          <w:tcPr>
            <w:tcW w:w="261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16396E9" w14:textId="77777777" w:rsidR="0014341A" w:rsidRPr="00DF4CE5" w:rsidRDefault="0014341A"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Kod i naziv kolegija</w:t>
            </w:r>
          </w:p>
        </w:tc>
        <w:tc>
          <w:tcPr>
            <w:tcW w:w="672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4A14E40" w14:textId="77777777" w:rsidR="0014341A" w:rsidRPr="00DF4CE5" w:rsidRDefault="0014341A"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169173</w:t>
            </w:r>
          </w:p>
          <w:p w14:paraId="0B43AC6B" w14:textId="77777777" w:rsidR="0014341A" w:rsidRPr="00DF4CE5" w:rsidRDefault="0014341A"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Temelji lingvistike engleskog jezika</w:t>
            </w:r>
          </w:p>
        </w:tc>
      </w:tr>
      <w:tr w:rsidR="0014341A" w:rsidRPr="00840765" w14:paraId="714BF2A7" w14:textId="77777777" w:rsidTr="00C106A0">
        <w:trPr>
          <w:trHeight w:val="624"/>
        </w:trPr>
        <w:tc>
          <w:tcPr>
            <w:tcW w:w="261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B4597DB" w14:textId="77777777" w:rsidR="0014341A" w:rsidRPr="00DF4CE5" w:rsidRDefault="0014341A"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Nastavnica </w:t>
            </w:r>
          </w:p>
          <w:p w14:paraId="17DF8EDE" w14:textId="77777777" w:rsidR="0014341A" w:rsidRPr="00DF4CE5" w:rsidRDefault="0014341A"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Suradnik</w:t>
            </w:r>
          </w:p>
        </w:tc>
        <w:tc>
          <w:tcPr>
            <w:tcW w:w="672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14CAC9C" w14:textId="77777777" w:rsidR="000053D1" w:rsidRPr="00DF4CE5" w:rsidRDefault="000053D1" w:rsidP="000053D1">
            <w:pPr>
              <w:spacing w:after="0" w:line="240" w:lineRule="atLeast"/>
              <w:jc w:val="both"/>
              <w:rPr>
                <w:rFonts w:ascii="Cambria" w:eastAsia="Calibri" w:hAnsi="Cambria" w:cs="Calibri"/>
                <w:lang w:val="hr-HR"/>
              </w:rPr>
            </w:pPr>
            <w:hyperlink r:id="rId180" w:history="1">
              <w:r>
                <w:rPr>
                  <w:rStyle w:val="Hiperveza"/>
                  <w:rFonts w:ascii="Cambria" w:eastAsia="Calibri" w:hAnsi="Cambria" w:cs="Calibri"/>
                  <w:lang w:val="hr-HR"/>
                </w:rPr>
                <w:t>N</w:t>
              </w:r>
              <w:r w:rsidRPr="0036703C">
                <w:rPr>
                  <w:rStyle w:val="Hiperveza"/>
                  <w:rFonts w:ascii="Cambria" w:eastAsia="Calibri" w:hAnsi="Cambria" w:cs="Calibri"/>
                  <w:lang w:val="hr-HR"/>
                </w:rPr>
                <w:t xml:space="preserve">aslovna prof. dr. sc. Silva </w:t>
              </w:r>
              <w:proofErr w:type="spellStart"/>
              <w:r w:rsidRPr="0036703C">
                <w:rPr>
                  <w:rStyle w:val="Hiperveza"/>
                  <w:rFonts w:ascii="Cambria" w:eastAsia="Calibri" w:hAnsi="Cambria" w:cs="Calibri"/>
                  <w:lang w:val="hr-HR"/>
                </w:rPr>
                <w:t>Bratož</w:t>
              </w:r>
              <w:proofErr w:type="spellEnd"/>
            </w:hyperlink>
            <w:r w:rsidRPr="00DF4CE5">
              <w:rPr>
                <w:rFonts w:ascii="Cambria" w:eastAsia="Calibri" w:hAnsi="Cambria" w:cs="Calibri"/>
                <w:lang w:val="hr-HR"/>
              </w:rPr>
              <w:t xml:space="preserve"> (nositeljica)</w:t>
            </w:r>
          </w:p>
          <w:p w14:paraId="0BBD1E9C" w14:textId="1425FA1F" w:rsidR="0014341A" w:rsidRPr="00DF4CE5" w:rsidRDefault="0014341A" w:rsidP="008B34AF">
            <w:pPr>
              <w:spacing w:after="0" w:line="240" w:lineRule="auto"/>
              <w:jc w:val="both"/>
              <w:rPr>
                <w:rFonts w:ascii="Cambria" w:eastAsia="Times New Roman" w:hAnsi="Cambria" w:cs="Calibri"/>
                <w:lang w:val="hr-HR"/>
              </w:rPr>
            </w:pPr>
            <w:hyperlink r:id="rId181" w:history="1">
              <w:r w:rsidRPr="000053D1">
                <w:rPr>
                  <w:rStyle w:val="Hiperveza"/>
                  <w:rFonts w:ascii="Cambria" w:eastAsia="Times New Roman" w:hAnsi="Cambria" w:cs="Calibri"/>
                  <w:lang w:val="hr-HR"/>
                </w:rPr>
                <w:t xml:space="preserve">Viktor Vojnić, </w:t>
              </w:r>
              <w:r w:rsidR="00BD37A1" w:rsidRPr="000053D1">
                <w:rPr>
                  <w:rStyle w:val="Hiperveza"/>
                  <w:rFonts w:ascii="Cambria" w:eastAsia="Times New Roman" w:hAnsi="Cambria" w:cs="Calibri"/>
                  <w:lang w:val="hr-HR"/>
                </w:rPr>
                <w:t>naslovni pred.</w:t>
              </w:r>
            </w:hyperlink>
          </w:p>
        </w:tc>
      </w:tr>
      <w:tr w:rsidR="0014341A" w:rsidRPr="00D0399C" w14:paraId="139F39CF" w14:textId="77777777" w:rsidTr="00C106A0">
        <w:tc>
          <w:tcPr>
            <w:tcW w:w="261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9A8E26A" w14:textId="77777777" w:rsidR="0014341A" w:rsidRPr="00DF4CE5" w:rsidRDefault="0014341A"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Studijski program</w:t>
            </w:r>
          </w:p>
        </w:tc>
        <w:tc>
          <w:tcPr>
            <w:tcW w:w="672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F02A5CB" w14:textId="77777777" w:rsidR="0014341A" w:rsidRPr="00DF4CE5" w:rsidRDefault="00BE4D96" w:rsidP="008B34AF">
            <w:pPr>
              <w:spacing w:after="0" w:line="240" w:lineRule="auto"/>
              <w:jc w:val="both"/>
              <w:rPr>
                <w:rFonts w:ascii="Cambria" w:eastAsia="Times New Roman" w:hAnsi="Cambria" w:cs="Calibri"/>
                <w:lang w:val="hr-HR"/>
              </w:rPr>
            </w:pPr>
            <w:r w:rsidRPr="00DF4CE5">
              <w:rPr>
                <w:rFonts w:ascii="Cambria" w:hAnsi="Cambria"/>
                <w:lang w:val="hr-HR"/>
              </w:rPr>
              <w:t>Sveučilišni integrirani prijediplomski i diplomski Učiteljski studij na hrvatskom jeziku</w:t>
            </w:r>
          </w:p>
        </w:tc>
      </w:tr>
      <w:tr w:rsidR="0014341A" w:rsidRPr="00DF4CE5" w14:paraId="3A28ED5E" w14:textId="77777777" w:rsidTr="00C106A0">
        <w:tc>
          <w:tcPr>
            <w:tcW w:w="261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E79849A" w14:textId="77777777" w:rsidR="0014341A" w:rsidRPr="00DF4CE5" w:rsidRDefault="0014341A"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Vrsta kolegija</w:t>
            </w:r>
          </w:p>
        </w:tc>
        <w:tc>
          <w:tcPr>
            <w:tcW w:w="248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6E0EFF1" w14:textId="77777777" w:rsidR="0014341A" w:rsidRPr="00DF4CE5" w:rsidRDefault="0014341A"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obvezan </w:t>
            </w:r>
          </w:p>
          <w:p w14:paraId="2E61F540" w14:textId="77777777" w:rsidR="0014341A" w:rsidRPr="00DF4CE5" w:rsidRDefault="0014341A" w:rsidP="008B34AF">
            <w:pPr>
              <w:spacing w:after="0" w:line="240" w:lineRule="auto"/>
              <w:jc w:val="both"/>
              <w:rPr>
                <w:rFonts w:ascii="Cambria" w:eastAsia="Times New Roman" w:hAnsi="Cambria" w:cs="Calibri"/>
                <w:lang w:val="hr-HR"/>
              </w:rPr>
            </w:pPr>
          </w:p>
        </w:tc>
        <w:tc>
          <w:tcPr>
            <w:tcW w:w="1470"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7F0A6619" w14:textId="77777777" w:rsidR="0014341A" w:rsidRPr="00DF4CE5" w:rsidRDefault="0014341A"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Razina kolegija</w:t>
            </w:r>
          </w:p>
        </w:tc>
        <w:tc>
          <w:tcPr>
            <w:tcW w:w="2772"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CFBC2B8" w14:textId="77777777" w:rsidR="0014341A" w:rsidRPr="00DF4CE5" w:rsidRDefault="0014341A" w:rsidP="008B34AF">
            <w:pPr>
              <w:spacing w:after="0" w:line="240" w:lineRule="auto"/>
              <w:jc w:val="both"/>
              <w:rPr>
                <w:rFonts w:ascii="Cambria" w:eastAsia="Times New Roman" w:hAnsi="Cambria" w:cs="Calibri"/>
                <w:lang w:val="hr-HR"/>
              </w:rPr>
            </w:pPr>
          </w:p>
          <w:p w14:paraId="7169ED93" w14:textId="77777777" w:rsidR="0014341A" w:rsidRPr="00DF4CE5" w:rsidRDefault="0014341A" w:rsidP="008B34AF">
            <w:pPr>
              <w:spacing w:after="0" w:line="240" w:lineRule="auto"/>
              <w:jc w:val="both"/>
              <w:rPr>
                <w:rFonts w:ascii="Cambria" w:eastAsia="Times New Roman" w:hAnsi="Cambria" w:cs="Calibri"/>
                <w:lang w:val="hr-HR"/>
              </w:rPr>
            </w:pPr>
            <w:proofErr w:type="spellStart"/>
            <w:r w:rsidRPr="00DF4CE5">
              <w:rPr>
                <w:rFonts w:ascii="Cambria" w:eastAsia="Times New Roman" w:hAnsi="Cambria" w:cs="Calibri"/>
                <w:lang w:val="it-IT"/>
              </w:rPr>
              <w:t>integrirani</w:t>
            </w:r>
            <w:proofErr w:type="spellEnd"/>
          </w:p>
          <w:p w14:paraId="07CC0D5A" w14:textId="77777777" w:rsidR="0014341A" w:rsidRPr="00DF4CE5" w:rsidRDefault="0014341A" w:rsidP="008B34AF">
            <w:pPr>
              <w:spacing w:after="0" w:line="240" w:lineRule="auto"/>
              <w:jc w:val="both"/>
              <w:rPr>
                <w:rFonts w:ascii="Cambria" w:eastAsia="Times New Roman" w:hAnsi="Cambria" w:cs="Calibri"/>
                <w:lang w:val="hr-HR"/>
              </w:rPr>
            </w:pPr>
          </w:p>
        </w:tc>
      </w:tr>
      <w:tr w:rsidR="0014341A" w:rsidRPr="00DF4CE5" w14:paraId="37AB9631" w14:textId="77777777" w:rsidTr="00C106A0">
        <w:tc>
          <w:tcPr>
            <w:tcW w:w="261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F27076A" w14:textId="77777777" w:rsidR="0014341A" w:rsidRPr="00DF4CE5" w:rsidRDefault="0014341A"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Semestar</w:t>
            </w:r>
          </w:p>
        </w:tc>
        <w:tc>
          <w:tcPr>
            <w:tcW w:w="248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754464D" w14:textId="77777777" w:rsidR="0014341A" w:rsidRPr="00DF4CE5" w:rsidRDefault="0014341A"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ljetni</w:t>
            </w:r>
          </w:p>
          <w:p w14:paraId="6719B4D0" w14:textId="77777777" w:rsidR="0014341A" w:rsidRPr="00DF4CE5" w:rsidRDefault="0014341A" w:rsidP="008B34AF">
            <w:pPr>
              <w:spacing w:after="0" w:line="240" w:lineRule="auto"/>
              <w:jc w:val="both"/>
              <w:rPr>
                <w:rFonts w:ascii="Cambria" w:eastAsia="Times New Roman" w:hAnsi="Cambria" w:cs="Calibri"/>
                <w:lang w:val="hr-HR"/>
              </w:rPr>
            </w:pPr>
          </w:p>
        </w:tc>
        <w:tc>
          <w:tcPr>
            <w:tcW w:w="1470"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603A7C48" w14:textId="77777777" w:rsidR="0014341A" w:rsidRPr="00DF4CE5" w:rsidRDefault="0014341A"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Godina studija</w:t>
            </w:r>
          </w:p>
        </w:tc>
        <w:tc>
          <w:tcPr>
            <w:tcW w:w="2772"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EBEC580" w14:textId="77777777" w:rsidR="0014341A" w:rsidRPr="00DF4CE5" w:rsidRDefault="0014341A"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V.</w:t>
            </w:r>
          </w:p>
        </w:tc>
      </w:tr>
      <w:tr w:rsidR="0014341A" w:rsidRPr="00DF4CE5" w14:paraId="5B2FD47A" w14:textId="77777777" w:rsidTr="00C106A0">
        <w:tc>
          <w:tcPr>
            <w:tcW w:w="261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CADB5B5" w14:textId="77777777" w:rsidR="0014341A" w:rsidRPr="00DF4CE5" w:rsidRDefault="0014341A" w:rsidP="008B34AF">
            <w:pPr>
              <w:spacing w:after="0" w:line="240" w:lineRule="auto"/>
              <w:jc w:val="both"/>
              <w:rPr>
                <w:rFonts w:ascii="Cambria" w:eastAsia="Times New Roman" w:hAnsi="Cambria" w:cs="Calibri"/>
                <w:lang w:val="hr-HR"/>
              </w:rPr>
            </w:pPr>
            <w:proofErr w:type="spellStart"/>
            <w:r w:rsidRPr="00DF4CE5">
              <w:rPr>
                <w:rFonts w:ascii="Cambria" w:eastAsia="Times New Roman" w:hAnsi="Cambria" w:cs="Calibri"/>
              </w:rPr>
              <w:t>Mjesto</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izvođenja</w:t>
            </w:r>
            <w:proofErr w:type="spellEnd"/>
          </w:p>
        </w:tc>
        <w:tc>
          <w:tcPr>
            <w:tcW w:w="248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F20CDC6" w14:textId="73F256E1" w:rsidR="0014341A" w:rsidRPr="00DF4CE5" w:rsidRDefault="0014341A"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dvorana </w:t>
            </w:r>
          </w:p>
        </w:tc>
        <w:tc>
          <w:tcPr>
            <w:tcW w:w="1470"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688309C8" w14:textId="77777777" w:rsidR="0014341A" w:rsidRPr="00DF4CE5" w:rsidRDefault="0014341A" w:rsidP="008B34AF">
            <w:pPr>
              <w:spacing w:after="0" w:line="240" w:lineRule="auto"/>
              <w:jc w:val="both"/>
              <w:rPr>
                <w:rFonts w:ascii="Cambria" w:eastAsia="Times New Roman" w:hAnsi="Cambria" w:cs="Calibri"/>
                <w:lang w:val="hr-HR"/>
              </w:rPr>
            </w:pPr>
            <w:r w:rsidRPr="00DF4CE5">
              <w:rPr>
                <w:rFonts w:ascii="Cambria" w:eastAsia="Times New Roman" w:hAnsi="Cambria" w:cs="Calibri"/>
              </w:rPr>
              <w:t>Jezik</w:t>
            </w:r>
            <w:r w:rsidRPr="00DF4CE5">
              <w:rPr>
                <w:rFonts w:ascii="Cambria" w:eastAsia="Times New Roman" w:hAnsi="Cambria" w:cs="Calibri"/>
                <w:lang w:val="hr-HR"/>
              </w:rPr>
              <w:t xml:space="preserve"> izvođenja (drugi jezici)</w:t>
            </w:r>
          </w:p>
        </w:tc>
        <w:tc>
          <w:tcPr>
            <w:tcW w:w="2772"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61B2A3B" w14:textId="77777777" w:rsidR="0014341A" w:rsidRPr="00DF4CE5" w:rsidRDefault="0014341A"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engleski</w:t>
            </w:r>
          </w:p>
        </w:tc>
      </w:tr>
      <w:tr w:rsidR="0014341A" w:rsidRPr="00DF4CE5" w14:paraId="62CE2A43" w14:textId="77777777" w:rsidTr="00C106A0">
        <w:tc>
          <w:tcPr>
            <w:tcW w:w="261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4F72B41" w14:textId="77777777" w:rsidR="0014341A" w:rsidRPr="00DF4CE5" w:rsidRDefault="0014341A"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Broj ECTS bodova</w:t>
            </w:r>
          </w:p>
        </w:tc>
        <w:tc>
          <w:tcPr>
            <w:tcW w:w="248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9433BC6" w14:textId="77777777" w:rsidR="0014341A" w:rsidRPr="00DF4CE5" w:rsidRDefault="0014341A"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3</w:t>
            </w:r>
          </w:p>
        </w:tc>
        <w:tc>
          <w:tcPr>
            <w:tcW w:w="1470"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1358E8A2" w14:textId="77777777" w:rsidR="0014341A" w:rsidRPr="00DF4CE5" w:rsidRDefault="0014341A"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Broj sati u semestru</w:t>
            </w:r>
          </w:p>
        </w:tc>
        <w:tc>
          <w:tcPr>
            <w:tcW w:w="2772"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4E15030" w14:textId="2B3A3AE6" w:rsidR="0014341A" w:rsidRPr="00DF4CE5" w:rsidRDefault="0014341A"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30P – </w:t>
            </w:r>
            <w:r w:rsidR="001974E1" w:rsidRPr="00DF4CE5">
              <w:rPr>
                <w:rFonts w:ascii="Cambria" w:eastAsia="Times New Roman" w:hAnsi="Cambria" w:cs="Calibri"/>
                <w:lang w:val="hr-HR"/>
              </w:rPr>
              <w:t>15S</w:t>
            </w:r>
            <w:r w:rsidRPr="00DF4CE5">
              <w:rPr>
                <w:rFonts w:ascii="Cambria" w:eastAsia="Times New Roman" w:hAnsi="Cambria" w:cs="Calibri"/>
                <w:lang w:val="hr-HR"/>
              </w:rPr>
              <w:t xml:space="preserve"> –</w:t>
            </w:r>
            <w:r w:rsidR="001974E1" w:rsidRPr="00DF4CE5">
              <w:rPr>
                <w:rFonts w:ascii="Cambria" w:eastAsia="Times New Roman" w:hAnsi="Cambria" w:cs="Calibri"/>
                <w:lang w:val="hr-HR"/>
              </w:rPr>
              <w:t>0V</w:t>
            </w:r>
            <w:r w:rsidRPr="00DF4CE5">
              <w:rPr>
                <w:rFonts w:ascii="Cambria" w:eastAsia="Times New Roman" w:hAnsi="Cambria" w:cs="Calibri"/>
                <w:lang w:val="hr-HR"/>
              </w:rPr>
              <w:t xml:space="preserve">  </w:t>
            </w:r>
          </w:p>
        </w:tc>
      </w:tr>
      <w:tr w:rsidR="0014341A" w:rsidRPr="00D0399C" w14:paraId="2CA6E48B" w14:textId="77777777" w:rsidTr="00C106A0">
        <w:tc>
          <w:tcPr>
            <w:tcW w:w="261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A382A9A" w14:textId="77777777" w:rsidR="0014341A" w:rsidRPr="00DF4CE5" w:rsidRDefault="0014341A"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Preduvjeti za upis i za svladavanje</w:t>
            </w:r>
          </w:p>
        </w:tc>
        <w:tc>
          <w:tcPr>
            <w:tcW w:w="672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77C71CC0" w14:textId="77777777" w:rsidR="0014341A" w:rsidRPr="00DF4CE5" w:rsidRDefault="0014341A"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Nema preduvjeta za upis, a za svladavanje je preduvjet mogućnost praćenja literature i vježbi na  engleskom jeziku (razina C1).</w:t>
            </w:r>
          </w:p>
        </w:tc>
      </w:tr>
      <w:tr w:rsidR="0014341A" w:rsidRPr="00DF4CE5" w14:paraId="30368112" w14:textId="77777777" w:rsidTr="00C106A0">
        <w:tc>
          <w:tcPr>
            <w:tcW w:w="261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99A6677" w14:textId="77777777" w:rsidR="0014341A" w:rsidRPr="00DF4CE5" w:rsidRDefault="0014341A" w:rsidP="008B34AF">
            <w:pPr>
              <w:spacing w:after="0" w:line="240" w:lineRule="auto"/>
              <w:jc w:val="both"/>
              <w:rPr>
                <w:rFonts w:ascii="Cambria" w:eastAsia="Times New Roman" w:hAnsi="Cambria" w:cs="Calibri"/>
                <w:lang w:val="hr-HR"/>
              </w:rPr>
            </w:pPr>
            <w:proofErr w:type="spellStart"/>
            <w:r w:rsidRPr="00DF4CE5">
              <w:rPr>
                <w:rFonts w:ascii="Cambria" w:eastAsia="Times New Roman" w:hAnsi="Cambria" w:cs="Calibri"/>
              </w:rPr>
              <w:t>Korelativnost</w:t>
            </w:r>
            <w:proofErr w:type="spellEnd"/>
          </w:p>
        </w:tc>
        <w:tc>
          <w:tcPr>
            <w:tcW w:w="672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53599F06" w14:textId="77777777" w:rsidR="0014341A" w:rsidRPr="00DF4CE5" w:rsidRDefault="0014341A"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Fonetika i fonologija engleskog jezika I. i II., Suvremeni engleski jezik I., II. III. I IV.</w:t>
            </w:r>
          </w:p>
        </w:tc>
      </w:tr>
      <w:tr w:rsidR="0014341A" w:rsidRPr="00D0399C" w14:paraId="40F88D6D" w14:textId="77777777" w:rsidTr="00C106A0">
        <w:tc>
          <w:tcPr>
            <w:tcW w:w="261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6026BDA" w14:textId="77777777" w:rsidR="0014341A" w:rsidRPr="00DF4CE5" w:rsidRDefault="0014341A"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Cilj kolegija </w:t>
            </w:r>
          </w:p>
        </w:tc>
        <w:tc>
          <w:tcPr>
            <w:tcW w:w="672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15F05BA5" w14:textId="77777777" w:rsidR="0014341A" w:rsidRPr="00DF4CE5" w:rsidRDefault="0014341A"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opisati osobine engleskog jezika, i pojma jezika općenito, kroz različite discipline </w:t>
            </w:r>
          </w:p>
        </w:tc>
      </w:tr>
      <w:tr w:rsidR="0014341A" w:rsidRPr="00D0399C" w14:paraId="2A2D04FB" w14:textId="77777777" w:rsidTr="00C106A0">
        <w:tc>
          <w:tcPr>
            <w:tcW w:w="261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A566930" w14:textId="77777777" w:rsidR="0014341A" w:rsidRPr="00DF4CE5" w:rsidRDefault="0014341A"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Ishodi učenja</w:t>
            </w:r>
          </w:p>
        </w:tc>
        <w:tc>
          <w:tcPr>
            <w:tcW w:w="672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00E2112" w14:textId="77777777" w:rsidR="0014341A" w:rsidRPr="00DF4CE5" w:rsidRDefault="0014341A"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1. primijeniti temeljne teorijske i praktične spoznaje iz primijenjene lingvistike u zadacima</w:t>
            </w:r>
          </w:p>
          <w:p w14:paraId="39175FB8" w14:textId="77777777" w:rsidR="0014341A" w:rsidRPr="00DF4CE5" w:rsidRDefault="0014341A"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2. razviti </w:t>
            </w:r>
            <w:proofErr w:type="spellStart"/>
            <w:r w:rsidRPr="00DF4CE5">
              <w:rPr>
                <w:rFonts w:ascii="Cambria" w:eastAsia="Times New Roman" w:hAnsi="Cambria" w:cs="Calibri"/>
                <w:lang w:val="hr-HR"/>
              </w:rPr>
              <w:t>interdisiplinarni</w:t>
            </w:r>
            <w:proofErr w:type="spellEnd"/>
            <w:r w:rsidRPr="00DF4CE5">
              <w:rPr>
                <w:rFonts w:ascii="Cambria" w:eastAsia="Times New Roman" w:hAnsi="Cambria" w:cs="Calibri"/>
                <w:lang w:val="hr-HR"/>
              </w:rPr>
              <w:t xml:space="preserve"> pristup analiziranja pojmova jezika i govora</w:t>
            </w:r>
          </w:p>
          <w:p w14:paraId="50BFE7D1" w14:textId="77777777" w:rsidR="0014341A" w:rsidRPr="00DF4CE5" w:rsidRDefault="0014341A"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3. usporediti društvene jezične aspekte i jezične varijante </w:t>
            </w:r>
          </w:p>
          <w:p w14:paraId="6D2D1976" w14:textId="77777777" w:rsidR="0014341A" w:rsidRPr="00DF4CE5" w:rsidRDefault="0014341A"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4. primijeniti pravilan jezični izričaj u zadacima</w:t>
            </w:r>
          </w:p>
          <w:p w14:paraId="7636AA37" w14:textId="77777777" w:rsidR="0014341A" w:rsidRPr="00DF4CE5" w:rsidRDefault="0014341A"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5. analizirati kako primijeniti suvremene spoznaje o usvajanju jezika u nastavnome radu</w:t>
            </w:r>
          </w:p>
        </w:tc>
      </w:tr>
      <w:tr w:rsidR="0014341A" w:rsidRPr="00DF4CE5" w14:paraId="29CB37B9" w14:textId="77777777" w:rsidTr="00C106A0">
        <w:tc>
          <w:tcPr>
            <w:tcW w:w="2616"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1C24D48C" w14:textId="77777777" w:rsidR="0014341A" w:rsidRPr="00DF4CE5" w:rsidRDefault="0014341A"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Sadržaj kolegija</w:t>
            </w:r>
          </w:p>
        </w:tc>
        <w:tc>
          <w:tcPr>
            <w:tcW w:w="6724"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BFABDA6" w14:textId="77777777" w:rsidR="0014341A" w:rsidRPr="00DF4CE5" w:rsidRDefault="0014341A" w:rsidP="000053D1">
            <w:pPr>
              <w:spacing w:before="20" w:after="20" w:line="240" w:lineRule="auto"/>
              <w:rPr>
                <w:rFonts w:ascii="Cambria" w:eastAsia="Times New Roman" w:hAnsi="Cambria" w:cs="Calibri"/>
                <w:lang w:val="hr-HR"/>
              </w:rPr>
            </w:pPr>
            <w:r w:rsidRPr="00DF4CE5">
              <w:rPr>
                <w:rFonts w:ascii="Cambria" w:eastAsia="Times New Roman" w:hAnsi="Cambria" w:cs="Calibri"/>
                <w:lang w:val="hr-HR"/>
              </w:rPr>
              <w:t>1.</w:t>
            </w:r>
            <w:r w:rsidRPr="00DF4CE5">
              <w:rPr>
                <w:rFonts w:ascii="Cambria" w:eastAsia="Times New Roman" w:hAnsi="Cambria" w:cs="Times New Roman"/>
                <w:lang w:val="hr-HR"/>
              </w:rPr>
              <w:t xml:space="preserve"> </w:t>
            </w:r>
            <w:r w:rsidRPr="00DF4CE5">
              <w:rPr>
                <w:rFonts w:ascii="Cambria" w:eastAsia="Times New Roman" w:hAnsi="Cambria" w:cs="Calibri"/>
                <w:lang w:val="hr-HR"/>
              </w:rPr>
              <w:t>Osnovne informacije o razvoju jezika (povijesna i suvremena perspektiva)</w:t>
            </w:r>
          </w:p>
          <w:p w14:paraId="6D4A6B62" w14:textId="77777777" w:rsidR="0014341A" w:rsidRPr="00DF4CE5" w:rsidRDefault="0014341A" w:rsidP="000053D1">
            <w:pPr>
              <w:spacing w:before="20" w:after="20" w:line="240" w:lineRule="auto"/>
              <w:rPr>
                <w:rFonts w:ascii="Cambria" w:eastAsia="Times New Roman" w:hAnsi="Cambria" w:cs="Calibri"/>
                <w:lang w:val="hr-HR"/>
              </w:rPr>
            </w:pPr>
            <w:r w:rsidRPr="00DF4CE5">
              <w:rPr>
                <w:rFonts w:ascii="Cambria" w:eastAsia="Times New Roman" w:hAnsi="Cambria" w:cs="Calibri"/>
                <w:lang w:val="hr-HR"/>
              </w:rPr>
              <w:t>2. Suvremena istraživanja jezika i govora</w:t>
            </w:r>
          </w:p>
          <w:p w14:paraId="5B0685E3" w14:textId="77777777" w:rsidR="0014341A" w:rsidRPr="00DF4CE5" w:rsidRDefault="0014341A" w:rsidP="000053D1">
            <w:pPr>
              <w:spacing w:before="20" w:after="20" w:line="240" w:lineRule="auto"/>
              <w:rPr>
                <w:rFonts w:ascii="Cambria" w:eastAsia="Times New Roman" w:hAnsi="Cambria" w:cs="Calibri"/>
                <w:lang w:val="hr-HR"/>
              </w:rPr>
            </w:pPr>
            <w:r w:rsidRPr="00DF4CE5">
              <w:rPr>
                <w:rFonts w:ascii="Cambria" w:eastAsia="Times New Roman" w:hAnsi="Cambria" w:cs="Calibri"/>
                <w:lang w:val="hr-HR"/>
              </w:rPr>
              <w:t xml:space="preserve">3. Usvajanje prvog i drugog jezika </w:t>
            </w:r>
          </w:p>
          <w:p w14:paraId="244B35E6" w14:textId="77777777" w:rsidR="0014341A" w:rsidRPr="00DF4CE5" w:rsidRDefault="0014341A" w:rsidP="000053D1">
            <w:pPr>
              <w:spacing w:before="20" w:after="20" w:line="240" w:lineRule="auto"/>
              <w:rPr>
                <w:rFonts w:ascii="Cambria" w:eastAsia="Times New Roman" w:hAnsi="Cambria" w:cs="Calibri"/>
                <w:lang w:val="hr-HR"/>
              </w:rPr>
            </w:pPr>
            <w:r w:rsidRPr="00DF4CE5">
              <w:rPr>
                <w:rFonts w:ascii="Cambria" w:eastAsia="Times New Roman" w:hAnsi="Cambria" w:cs="Calibri"/>
                <w:lang w:val="hr-HR"/>
              </w:rPr>
              <w:t>4. Znakovni jezik</w:t>
            </w:r>
          </w:p>
          <w:p w14:paraId="745F89A0" w14:textId="77777777" w:rsidR="0014341A" w:rsidRPr="00DF4CE5" w:rsidRDefault="0014341A" w:rsidP="000053D1">
            <w:pPr>
              <w:spacing w:before="20" w:after="20" w:line="240" w:lineRule="auto"/>
              <w:rPr>
                <w:rFonts w:ascii="Cambria" w:eastAsia="Times New Roman" w:hAnsi="Cambria" w:cs="Calibri"/>
                <w:lang w:val="hr-HR"/>
              </w:rPr>
            </w:pPr>
            <w:r w:rsidRPr="00DF4CE5">
              <w:rPr>
                <w:rFonts w:ascii="Cambria" w:eastAsia="Times New Roman" w:hAnsi="Cambria" w:cs="Calibri"/>
                <w:lang w:val="hr-HR"/>
              </w:rPr>
              <w:t>5.  Gramatički  jezični aspekti: Temelji fonetike i fonologije, morfologije (gramatičke strukture i tvorba riječi), sintakse (sintaktička struktura, kategorije…) i semantike (semantička svojstva riječi, semantičko polje, tipovi rječnika…)</w:t>
            </w:r>
          </w:p>
          <w:p w14:paraId="102FAD7F" w14:textId="77777777" w:rsidR="0014341A" w:rsidRPr="00DF4CE5" w:rsidRDefault="0014341A" w:rsidP="000053D1">
            <w:pPr>
              <w:spacing w:before="20" w:after="20" w:line="240" w:lineRule="auto"/>
              <w:rPr>
                <w:rFonts w:ascii="Cambria" w:eastAsia="Times New Roman" w:hAnsi="Cambria" w:cs="Calibri"/>
                <w:lang w:val="hr-HR"/>
              </w:rPr>
            </w:pPr>
            <w:r w:rsidRPr="00DF4CE5">
              <w:rPr>
                <w:rFonts w:ascii="Cambria" w:eastAsia="Times New Roman" w:hAnsi="Cambria" w:cs="Calibri"/>
                <w:lang w:val="hr-HR"/>
              </w:rPr>
              <w:lastRenderedPageBreak/>
              <w:t xml:space="preserve">6. Društveni jezični aspekt i jezične varijante: Standardni jezik nasuprot dijalektima, stilovi i registri, </w:t>
            </w:r>
            <w:proofErr w:type="spellStart"/>
            <w:r w:rsidRPr="00DF4CE5">
              <w:rPr>
                <w:rFonts w:ascii="Cambria" w:eastAsia="Times New Roman" w:hAnsi="Cambria" w:cs="Calibri"/>
                <w:lang w:val="hr-HR"/>
              </w:rPr>
              <w:t>slang</w:t>
            </w:r>
            <w:proofErr w:type="spellEnd"/>
            <w:r w:rsidRPr="00DF4CE5">
              <w:rPr>
                <w:rFonts w:ascii="Cambria" w:eastAsia="Times New Roman" w:hAnsi="Cambria" w:cs="Calibri"/>
                <w:lang w:val="hr-HR"/>
              </w:rPr>
              <w:t>, žargon, jezični tabui.</w:t>
            </w:r>
          </w:p>
          <w:p w14:paraId="101FAA0C" w14:textId="77777777" w:rsidR="0014341A" w:rsidRPr="00DF4CE5" w:rsidRDefault="0014341A" w:rsidP="000053D1">
            <w:pPr>
              <w:spacing w:before="20" w:after="20" w:line="240" w:lineRule="auto"/>
              <w:rPr>
                <w:rFonts w:ascii="Cambria" w:eastAsia="Times New Roman" w:hAnsi="Cambria" w:cs="Calibri"/>
                <w:lang w:val="hr-HR"/>
              </w:rPr>
            </w:pPr>
            <w:r w:rsidRPr="00DF4CE5">
              <w:rPr>
                <w:rFonts w:ascii="Cambria" w:eastAsia="Times New Roman" w:hAnsi="Cambria" w:cs="Calibri"/>
                <w:lang w:val="hr-HR"/>
              </w:rPr>
              <w:t>7. Kognitivni jezični aspekt</w:t>
            </w:r>
          </w:p>
        </w:tc>
      </w:tr>
      <w:tr w:rsidR="0014341A" w:rsidRPr="00DF4CE5" w14:paraId="61BB8F15" w14:textId="77777777" w:rsidTr="00BD2EC1">
        <w:tc>
          <w:tcPr>
            <w:tcW w:w="2616"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742571DF" w14:textId="77777777" w:rsidR="0014341A" w:rsidRPr="00DF4CE5" w:rsidRDefault="0014341A"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lastRenderedPageBreak/>
              <w:t>Planirane aktivnosti,</w:t>
            </w:r>
          </w:p>
          <w:p w14:paraId="5B8E64A8" w14:textId="77777777" w:rsidR="0014341A" w:rsidRPr="00DF4CE5" w:rsidRDefault="0014341A" w:rsidP="008B34AF">
            <w:pPr>
              <w:spacing w:after="0" w:line="240" w:lineRule="auto"/>
              <w:jc w:val="both"/>
              <w:rPr>
                <w:rFonts w:ascii="Cambria" w:eastAsia="Times New Roman" w:hAnsi="Cambria" w:cs="Calibri"/>
                <w:lang w:val="hr-HR"/>
              </w:rPr>
            </w:pPr>
            <w:proofErr w:type="spellStart"/>
            <w:r w:rsidRPr="00DF4CE5">
              <w:rPr>
                <w:rFonts w:ascii="Cambria" w:eastAsia="Times New Roman" w:hAnsi="Cambria" w:cs="Calibri"/>
                <w:lang w:val="it-IT"/>
              </w:rPr>
              <w:t>metode</w:t>
            </w:r>
            <w:proofErr w:type="spellEnd"/>
            <w:r w:rsidRPr="00DF4CE5">
              <w:rPr>
                <w:rFonts w:ascii="Cambria" w:eastAsia="Times New Roman" w:hAnsi="Cambria" w:cs="Calibri"/>
                <w:lang w:val="hr-HR"/>
              </w:rPr>
              <w:t xml:space="preserve"> učenja i poučavanja i načini vrednovanja</w:t>
            </w:r>
          </w:p>
          <w:p w14:paraId="00B8698F" w14:textId="77777777" w:rsidR="0014341A" w:rsidRPr="00DF4CE5" w:rsidRDefault="0014341A" w:rsidP="008B34AF">
            <w:pPr>
              <w:spacing w:after="0" w:line="240" w:lineRule="auto"/>
              <w:jc w:val="both"/>
              <w:rPr>
                <w:rFonts w:ascii="Cambria" w:eastAsia="Times New Roman" w:hAnsi="Cambria" w:cs="Calibri"/>
                <w:lang w:val="hr-HR"/>
              </w:rPr>
            </w:pPr>
          </w:p>
        </w:tc>
        <w:tc>
          <w:tcPr>
            <w:tcW w:w="258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DB65556" w14:textId="77777777" w:rsidR="0014341A" w:rsidRPr="00DF4CE5" w:rsidRDefault="0014341A" w:rsidP="008B34AF">
            <w:pPr>
              <w:spacing w:after="0" w:line="240" w:lineRule="auto"/>
              <w:jc w:val="both"/>
              <w:rPr>
                <w:rFonts w:ascii="Cambria" w:eastAsia="Times New Roman" w:hAnsi="Cambria" w:cs="Calibri"/>
                <w:lang w:val="hr-HR"/>
              </w:rPr>
            </w:pPr>
            <w:r w:rsidRPr="00DF4CE5">
              <w:rPr>
                <w:rFonts w:ascii="Cambria" w:eastAsia="Times New Roman" w:hAnsi="Cambria" w:cs="Calibri"/>
                <w:bCs/>
                <w:lang w:val="hr-HR"/>
              </w:rPr>
              <w:t xml:space="preserve">Obveze </w:t>
            </w:r>
          </w:p>
          <w:p w14:paraId="16F49B8A" w14:textId="77777777" w:rsidR="0014341A" w:rsidRPr="00DF4CE5" w:rsidRDefault="0014341A" w:rsidP="008B34AF">
            <w:pPr>
              <w:spacing w:after="0" w:line="240" w:lineRule="auto"/>
              <w:jc w:val="both"/>
              <w:rPr>
                <w:rFonts w:ascii="Cambria" w:eastAsia="Times New Roman" w:hAnsi="Cambria" w:cs="Calibri"/>
                <w:lang w:val="hr-HR"/>
              </w:rPr>
            </w:pPr>
          </w:p>
        </w:tc>
        <w:tc>
          <w:tcPr>
            <w:tcW w:w="10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0FFAD2A" w14:textId="77777777" w:rsidR="0014341A" w:rsidRPr="00DF4CE5" w:rsidRDefault="0014341A" w:rsidP="008B34AF">
            <w:pPr>
              <w:spacing w:after="0" w:line="240" w:lineRule="auto"/>
              <w:jc w:val="both"/>
              <w:rPr>
                <w:rFonts w:ascii="Cambria" w:eastAsia="Times New Roman" w:hAnsi="Cambria" w:cs="Calibri"/>
                <w:lang w:val="hr-HR"/>
              </w:rPr>
            </w:pPr>
            <w:r w:rsidRPr="00DF4CE5">
              <w:rPr>
                <w:rFonts w:ascii="Cambria" w:eastAsia="Times New Roman" w:hAnsi="Cambria" w:cs="Calibri"/>
                <w:bCs/>
                <w:lang w:val="hr-HR"/>
              </w:rPr>
              <w:t>Ishodi</w:t>
            </w:r>
          </w:p>
        </w:tc>
        <w:tc>
          <w:tcPr>
            <w:tcW w:w="72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BA2E84B" w14:textId="77777777" w:rsidR="0014341A" w:rsidRPr="00DF4CE5" w:rsidRDefault="0014341A" w:rsidP="008B34AF">
            <w:pPr>
              <w:spacing w:after="0" w:line="240" w:lineRule="auto"/>
              <w:jc w:val="both"/>
              <w:rPr>
                <w:rFonts w:ascii="Cambria" w:eastAsia="Times New Roman" w:hAnsi="Cambria" w:cs="Calibri"/>
                <w:lang w:val="hr-HR"/>
              </w:rPr>
            </w:pPr>
            <w:r w:rsidRPr="00DF4CE5">
              <w:rPr>
                <w:rFonts w:ascii="Cambria" w:eastAsia="Times New Roman" w:hAnsi="Cambria" w:cs="Calibri"/>
                <w:bCs/>
                <w:lang w:val="hr-HR"/>
              </w:rPr>
              <w:t>Sati</w:t>
            </w:r>
          </w:p>
        </w:tc>
        <w:tc>
          <w:tcPr>
            <w:tcW w:w="81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3B65C64" w14:textId="77777777" w:rsidR="0014341A" w:rsidRPr="00DF4CE5" w:rsidRDefault="0014341A" w:rsidP="008B34AF">
            <w:pPr>
              <w:spacing w:after="0" w:line="240" w:lineRule="auto"/>
              <w:jc w:val="both"/>
              <w:rPr>
                <w:rFonts w:ascii="Cambria" w:eastAsia="Times New Roman" w:hAnsi="Cambria" w:cs="Calibri"/>
                <w:lang w:val="hr-HR"/>
              </w:rPr>
            </w:pPr>
            <w:r w:rsidRPr="00DF4CE5">
              <w:rPr>
                <w:rFonts w:ascii="Cambria" w:eastAsia="Times New Roman" w:hAnsi="Cambria" w:cs="Calibri"/>
                <w:bCs/>
                <w:lang w:val="hr-HR"/>
              </w:rPr>
              <w:t>ECTS</w:t>
            </w:r>
          </w:p>
        </w:tc>
        <w:tc>
          <w:tcPr>
            <w:tcW w:w="152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6032552" w14:textId="77777777" w:rsidR="0014341A" w:rsidRPr="00DF4CE5" w:rsidRDefault="0014341A" w:rsidP="008B34AF">
            <w:pPr>
              <w:spacing w:after="0" w:line="240" w:lineRule="auto"/>
              <w:jc w:val="both"/>
              <w:rPr>
                <w:rFonts w:ascii="Cambria" w:eastAsia="Times New Roman" w:hAnsi="Cambria" w:cs="Calibri"/>
                <w:lang w:val="hr-HR"/>
              </w:rPr>
            </w:pPr>
            <w:r w:rsidRPr="00DF4CE5">
              <w:rPr>
                <w:rFonts w:ascii="Cambria" w:eastAsia="Times New Roman" w:hAnsi="Cambria" w:cs="Calibri"/>
                <w:bCs/>
                <w:lang w:val="hr-HR"/>
              </w:rPr>
              <w:t>Maksimalni udio u ocjeni</w:t>
            </w:r>
            <w:r w:rsidRPr="00DF4CE5">
              <w:rPr>
                <w:rFonts w:ascii="Cambria" w:eastAsia="Times New Roman" w:hAnsi="Cambria" w:cs="Calibri"/>
                <w:bCs/>
              </w:rPr>
              <w:t xml:space="preserve"> (%)</w:t>
            </w:r>
          </w:p>
        </w:tc>
      </w:tr>
      <w:tr w:rsidR="0014341A" w:rsidRPr="00DF4CE5" w14:paraId="2ECCC88C" w14:textId="77777777" w:rsidTr="00BD2EC1">
        <w:tc>
          <w:tcPr>
            <w:tcW w:w="2616" w:type="dxa"/>
            <w:vMerge/>
            <w:tcBorders>
              <w:left w:val="single" w:sz="8" w:space="0" w:color="000000"/>
              <w:right w:val="single" w:sz="8" w:space="0" w:color="000000"/>
            </w:tcBorders>
            <w:vAlign w:val="center"/>
          </w:tcPr>
          <w:p w14:paraId="736CFFBA" w14:textId="77777777" w:rsidR="0014341A" w:rsidRPr="00DF4CE5" w:rsidRDefault="0014341A" w:rsidP="008B34AF">
            <w:pPr>
              <w:spacing w:after="0" w:line="240" w:lineRule="auto"/>
              <w:jc w:val="both"/>
              <w:rPr>
                <w:rFonts w:ascii="Cambria" w:eastAsia="Times New Roman" w:hAnsi="Cambria" w:cs="Calibri"/>
                <w:lang w:val="hr-HR"/>
              </w:rPr>
            </w:pPr>
          </w:p>
        </w:tc>
        <w:tc>
          <w:tcPr>
            <w:tcW w:w="258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79B8060" w14:textId="5B627B1C" w:rsidR="0014341A" w:rsidRPr="00DF4CE5" w:rsidRDefault="007A75FD" w:rsidP="00E41F45">
            <w:pPr>
              <w:spacing w:after="0" w:line="240" w:lineRule="auto"/>
              <w:rPr>
                <w:rFonts w:ascii="Cambria" w:eastAsia="Times New Roman" w:hAnsi="Cambria" w:cs="Calibri"/>
                <w:lang w:val="hr-HR"/>
              </w:rPr>
            </w:pPr>
            <w:proofErr w:type="spellStart"/>
            <w:r w:rsidRPr="00DF4CE5">
              <w:rPr>
                <w:rFonts w:ascii="Cambria" w:eastAsia="Times New Roman" w:hAnsi="Cambria" w:cs="Calibri"/>
                <w:lang w:val="it-IT"/>
              </w:rPr>
              <w:t>aktivnost</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na</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nastavi</w:t>
            </w:r>
            <w:proofErr w:type="spellEnd"/>
            <w:r w:rsidR="0014341A" w:rsidRPr="00DF4CE5">
              <w:rPr>
                <w:rFonts w:ascii="Cambria" w:eastAsia="Times New Roman" w:hAnsi="Cambria" w:cs="Calibri"/>
                <w:lang w:val="hr-HR"/>
              </w:rPr>
              <w:t xml:space="preserve"> </w:t>
            </w:r>
            <w:r w:rsidR="00E41F45">
              <w:rPr>
                <w:rFonts w:ascii="Cambria" w:eastAsia="Times New Roman" w:hAnsi="Cambria" w:cs="Calibri"/>
                <w:lang w:val="hr-HR"/>
              </w:rPr>
              <w:t>(</w:t>
            </w:r>
            <w:r w:rsidR="0014341A" w:rsidRPr="00DF4CE5">
              <w:rPr>
                <w:rFonts w:ascii="Cambria" w:eastAsia="Times New Roman" w:hAnsi="Cambria" w:cs="Calibri"/>
                <w:lang w:val="hr-HR"/>
              </w:rPr>
              <w:t>P, S</w:t>
            </w:r>
            <w:r w:rsidR="00E41F45">
              <w:rPr>
                <w:rFonts w:ascii="Cambria" w:eastAsia="Times New Roman" w:hAnsi="Cambria" w:cs="Calibri"/>
                <w:lang w:val="hr-HR"/>
              </w:rPr>
              <w:t>)</w:t>
            </w:r>
          </w:p>
        </w:tc>
        <w:tc>
          <w:tcPr>
            <w:tcW w:w="10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398BBD0" w14:textId="1131AF49" w:rsidR="0014341A" w:rsidRPr="00DF4CE5" w:rsidRDefault="0014341A" w:rsidP="00E41F45">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1.</w:t>
            </w:r>
            <w:r w:rsidR="00E41F45">
              <w:rPr>
                <w:rFonts w:ascii="Cambria" w:eastAsia="Times New Roman" w:hAnsi="Cambria" w:cs="Calibri"/>
                <w:lang w:val="hr-HR"/>
              </w:rPr>
              <w:t xml:space="preserve"> – 5.</w:t>
            </w:r>
          </w:p>
        </w:tc>
        <w:tc>
          <w:tcPr>
            <w:tcW w:w="72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56A0BB4" w14:textId="3A1E48FB" w:rsidR="0014341A" w:rsidRPr="00DF4CE5" w:rsidRDefault="0014341A" w:rsidP="00E41F45">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34</w:t>
            </w:r>
          </w:p>
        </w:tc>
        <w:tc>
          <w:tcPr>
            <w:tcW w:w="81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04FDCE0" w14:textId="36E28745" w:rsidR="0014341A" w:rsidRPr="00DF4CE5" w:rsidRDefault="0014341A" w:rsidP="00E41F45">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1,</w:t>
            </w:r>
            <w:r w:rsidR="00295AA9" w:rsidRPr="00DF4CE5">
              <w:rPr>
                <w:rFonts w:ascii="Cambria" w:eastAsia="Times New Roman" w:hAnsi="Cambria" w:cs="Calibri"/>
                <w:lang w:val="hr-HR"/>
              </w:rPr>
              <w:t>1</w:t>
            </w:r>
          </w:p>
        </w:tc>
        <w:tc>
          <w:tcPr>
            <w:tcW w:w="152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2D920D2" w14:textId="2B6C43D9" w:rsidR="0014341A" w:rsidRPr="00DF4CE5" w:rsidRDefault="0014341A" w:rsidP="00E41F45">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0%</w:t>
            </w:r>
          </w:p>
        </w:tc>
      </w:tr>
      <w:tr w:rsidR="0014341A" w:rsidRPr="00DF4CE5" w14:paraId="708C8918" w14:textId="77777777" w:rsidTr="00BD2EC1">
        <w:tc>
          <w:tcPr>
            <w:tcW w:w="2616" w:type="dxa"/>
            <w:vMerge/>
            <w:tcBorders>
              <w:left w:val="single" w:sz="8" w:space="0" w:color="000000"/>
              <w:right w:val="single" w:sz="8" w:space="0" w:color="000000"/>
            </w:tcBorders>
            <w:vAlign w:val="center"/>
          </w:tcPr>
          <w:p w14:paraId="013663CF" w14:textId="77777777" w:rsidR="0014341A" w:rsidRPr="00DF4CE5" w:rsidRDefault="0014341A" w:rsidP="008B34AF">
            <w:pPr>
              <w:spacing w:after="0" w:line="240" w:lineRule="auto"/>
              <w:jc w:val="both"/>
              <w:rPr>
                <w:rFonts w:ascii="Cambria" w:eastAsia="Times New Roman" w:hAnsi="Cambria" w:cs="Calibri"/>
                <w:lang w:val="hr-HR"/>
              </w:rPr>
            </w:pPr>
          </w:p>
        </w:tc>
        <w:tc>
          <w:tcPr>
            <w:tcW w:w="258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E9FA3B0" w14:textId="77777777" w:rsidR="0014341A" w:rsidRPr="00DF4CE5" w:rsidRDefault="0014341A"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seminar/javno izlaganje</w:t>
            </w:r>
          </w:p>
        </w:tc>
        <w:tc>
          <w:tcPr>
            <w:tcW w:w="10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D576636" w14:textId="7373B73E" w:rsidR="0014341A" w:rsidRPr="00DF4CE5" w:rsidRDefault="00E41F45" w:rsidP="00E41F45">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1.</w:t>
            </w:r>
            <w:r>
              <w:rPr>
                <w:rFonts w:ascii="Cambria" w:eastAsia="Times New Roman" w:hAnsi="Cambria" w:cs="Calibri"/>
                <w:lang w:val="hr-HR"/>
              </w:rPr>
              <w:t xml:space="preserve"> – 5.</w:t>
            </w:r>
          </w:p>
        </w:tc>
        <w:tc>
          <w:tcPr>
            <w:tcW w:w="72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CF911B3" w14:textId="3949B671" w:rsidR="0014341A" w:rsidRPr="00DF4CE5" w:rsidRDefault="0014341A" w:rsidP="00E41F45">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2</w:t>
            </w:r>
            <w:r w:rsidR="00295AA9" w:rsidRPr="00DF4CE5">
              <w:rPr>
                <w:rFonts w:ascii="Cambria" w:eastAsia="Times New Roman" w:hAnsi="Cambria" w:cs="Calibri"/>
                <w:lang w:val="hr-HR"/>
              </w:rPr>
              <w:t>6</w:t>
            </w:r>
          </w:p>
        </w:tc>
        <w:tc>
          <w:tcPr>
            <w:tcW w:w="81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A28EDCD" w14:textId="5BE8DCB3" w:rsidR="0014341A" w:rsidRPr="00DF4CE5" w:rsidRDefault="0014341A" w:rsidP="00E41F45">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0,8</w:t>
            </w:r>
            <w:r w:rsidR="00295AA9" w:rsidRPr="00DF4CE5">
              <w:rPr>
                <w:rFonts w:ascii="Cambria" w:eastAsia="Times New Roman" w:hAnsi="Cambria" w:cs="Calibri"/>
                <w:lang w:val="hr-HR"/>
              </w:rPr>
              <w:t>5</w:t>
            </w:r>
          </w:p>
        </w:tc>
        <w:tc>
          <w:tcPr>
            <w:tcW w:w="152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F3788EB" w14:textId="0F679C17" w:rsidR="0014341A" w:rsidRPr="00DF4CE5" w:rsidRDefault="0014341A" w:rsidP="00E41F45">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50%</w:t>
            </w:r>
          </w:p>
        </w:tc>
      </w:tr>
      <w:tr w:rsidR="0014341A" w:rsidRPr="00DF4CE5" w14:paraId="57EBEC3C" w14:textId="77777777" w:rsidTr="00BD2EC1">
        <w:tc>
          <w:tcPr>
            <w:tcW w:w="2616" w:type="dxa"/>
            <w:vMerge/>
            <w:tcBorders>
              <w:left w:val="single" w:sz="8" w:space="0" w:color="000000"/>
              <w:right w:val="single" w:sz="8" w:space="0" w:color="000000"/>
            </w:tcBorders>
            <w:vAlign w:val="center"/>
          </w:tcPr>
          <w:p w14:paraId="5A7442DF" w14:textId="77777777" w:rsidR="0014341A" w:rsidRPr="00DF4CE5" w:rsidRDefault="0014341A" w:rsidP="008B34AF">
            <w:pPr>
              <w:spacing w:after="0" w:line="240" w:lineRule="auto"/>
              <w:jc w:val="both"/>
              <w:rPr>
                <w:rFonts w:ascii="Cambria" w:eastAsia="Times New Roman" w:hAnsi="Cambria" w:cs="Calibri"/>
                <w:lang w:val="hr-HR"/>
              </w:rPr>
            </w:pPr>
          </w:p>
        </w:tc>
        <w:tc>
          <w:tcPr>
            <w:tcW w:w="258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936473E" w14:textId="77777777" w:rsidR="0014341A" w:rsidRPr="00DF4CE5" w:rsidRDefault="0014341A" w:rsidP="008B34AF">
            <w:pPr>
              <w:spacing w:after="0" w:line="240" w:lineRule="auto"/>
              <w:jc w:val="both"/>
              <w:rPr>
                <w:rFonts w:ascii="Cambria" w:eastAsia="Times New Roman" w:hAnsi="Cambria" w:cs="Calibri"/>
                <w:lang w:val="hr-HR"/>
              </w:rPr>
            </w:pPr>
            <w:proofErr w:type="gramStart"/>
            <w:r w:rsidRPr="00DF4CE5">
              <w:rPr>
                <w:rFonts w:ascii="Cambria" w:eastAsia="Times New Roman" w:hAnsi="Cambria" w:cs="Calibri"/>
              </w:rPr>
              <w:t>k</w:t>
            </w:r>
            <w:proofErr w:type="spellStart"/>
            <w:r w:rsidRPr="00DF4CE5">
              <w:rPr>
                <w:rFonts w:ascii="Cambria" w:eastAsia="Times New Roman" w:hAnsi="Cambria" w:cs="Calibri"/>
                <w:lang w:val="hr-HR"/>
              </w:rPr>
              <w:t>olokvij</w:t>
            </w:r>
            <w:proofErr w:type="spellEnd"/>
            <w:r w:rsidRPr="00DF4CE5">
              <w:rPr>
                <w:rFonts w:ascii="Cambria" w:eastAsia="Times New Roman" w:hAnsi="Cambria" w:cs="Calibri"/>
              </w:rPr>
              <w:t xml:space="preserve">  (</w:t>
            </w:r>
            <w:proofErr w:type="spellStart"/>
            <w:proofErr w:type="gramEnd"/>
            <w:r w:rsidRPr="00DF4CE5">
              <w:rPr>
                <w:rFonts w:ascii="Cambria" w:eastAsia="Times New Roman" w:hAnsi="Cambria" w:cs="Calibri"/>
              </w:rPr>
              <w:t>dva</w:t>
            </w:r>
            <w:proofErr w:type="spellEnd"/>
            <w:r w:rsidRPr="00DF4CE5">
              <w:rPr>
                <w:rFonts w:ascii="Cambria" w:eastAsia="Times New Roman" w:hAnsi="Cambria" w:cs="Calibri"/>
              </w:rPr>
              <w:t>)</w:t>
            </w:r>
          </w:p>
        </w:tc>
        <w:tc>
          <w:tcPr>
            <w:tcW w:w="10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257F461" w14:textId="14DBE8C3" w:rsidR="0014341A" w:rsidRPr="00DF4CE5" w:rsidRDefault="00E41F45" w:rsidP="00E41F45">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1.</w:t>
            </w:r>
            <w:r>
              <w:rPr>
                <w:rFonts w:ascii="Cambria" w:eastAsia="Times New Roman" w:hAnsi="Cambria" w:cs="Calibri"/>
                <w:lang w:val="hr-HR"/>
              </w:rPr>
              <w:t xml:space="preserve"> – 5.</w:t>
            </w:r>
          </w:p>
        </w:tc>
        <w:tc>
          <w:tcPr>
            <w:tcW w:w="72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3472BCB" w14:textId="537D427A" w:rsidR="0014341A" w:rsidRPr="00DF4CE5" w:rsidRDefault="00295AA9" w:rsidP="00E41F45">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30</w:t>
            </w:r>
          </w:p>
        </w:tc>
        <w:tc>
          <w:tcPr>
            <w:tcW w:w="81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C67DCA4" w14:textId="076C20A9" w:rsidR="0014341A" w:rsidRPr="00DF4CE5" w:rsidRDefault="0014341A" w:rsidP="00E41F45">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1</w:t>
            </w:r>
            <w:r w:rsidR="00295AA9" w:rsidRPr="00DF4CE5">
              <w:rPr>
                <w:rFonts w:ascii="Cambria" w:eastAsia="Times New Roman" w:hAnsi="Cambria" w:cs="Calibri"/>
                <w:lang w:val="hr-HR"/>
              </w:rPr>
              <w:t>,05</w:t>
            </w:r>
          </w:p>
        </w:tc>
        <w:tc>
          <w:tcPr>
            <w:tcW w:w="152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7886DDF" w14:textId="5A2D9ACE" w:rsidR="0014341A" w:rsidRPr="00DF4CE5" w:rsidRDefault="0014341A" w:rsidP="00E41F45">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25% + 25%</w:t>
            </w:r>
          </w:p>
        </w:tc>
      </w:tr>
      <w:tr w:rsidR="0014341A" w:rsidRPr="00DF4CE5" w14:paraId="2FEEF031" w14:textId="77777777" w:rsidTr="00BD2EC1">
        <w:tc>
          <w:tcPr>
            <w:tcW w:w="2616" w:type="dxa"/>
            <w:vMerge/>
            <w:tcBorders>
              <w:left w:val="single" w:sz="8" w:space="0" w:color="000000"/>
              <w:right w:val="single" w:sz="8" w:space="0" w:color="000000"/>
            </w:tcBorders>
            <w:vAlign w:val="center"/>
          </w:tcPr>
          <w:p w14:paraId="10D2AD0A" w14:textId="77777777" w:rsidR="0014341A" w:rsidRPr="00DF4CE5" w:rsidRDefault="0014341A" w:rsidP="008B34AF">
            <w:pPr>
              <w:spacing w:after="0" w:line="240" w:lineRule="auto"/>
              <w:jc w:val="both"/>
              <w:rPr>
                <w:rFonts w:ascii="Cambria" w:eastAsia="Times New Roman" w:hAnsi="Cambria" w:cs="Calibri"/>
                <w:lang w:val="hr-HR"/>
              </w:rPr>
            </w:pPr>
          </w:p>
        </w:tc>
        <w:tc>
          <w:tcPr>
            <w:tcW w:w="3672"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D451A0B" w14:textId="55F155E1" w:rsidR="0014341A" w:rsidRPr="00DF4CE5" w:rsidRDefault="007A75FD" w:rsidP="008B34AF">
            <w:pPr>
              <w:spacing w:after="0" w:line="240" w:lineRule="auto"/>
              <w:jc w:val="both"/>
              <w:rPr>
                <w:rFonts w:ascii="Cambria" w:eastAsia="Times New Roman" w:hAnsi="Cambria" w:cs="Calibri"/>
                <w:lang w:val="hr-HR"/>
              </w:rPr>
            </w:pPr>
            <w:proofErr w:type="spellStart"/>
            <w:r w:rsidRPr="00DF4CE5">
              <w:rPr>
                <w:rFonts w:ascii="Cambria" w:eastAsia="Times New Roman" w:hAnsi="Cambria" w:cs="Calibri"/>
              </w:rPr>
              <w:t>U</w:t>
            </w:r>
            <w:r w:rsidR="0014341A" w:rsidRPr="00DF4CE5">
              <w:rPr>
                <w:rFonts w:ascii="Cambria" w:eastAsia="Times New Roman" w:hAnsi="Cambria" w:cs="Calibri"/>
              </w:rPr>
              <w:t>kupno</w:t>
            </w:r>
            <w:proofErr w:type="spellEnd"/>
          </w:p>
        </w:tc>
        <w:tc>
          <w:tcPr>
            <w:tcW w:w="72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F0507CA" w14:textId="2298BF82" w:rsidR="0014341A" w:rsidRPr="00DF4CE5" w:rsidRDefault="00295AA9" w:rsidP="00E41F45">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90</w:t>
            </w:r>
          </w:p>
        </w:tc>
        <w:tc>
          <w:tcPr>
            <w:tcW w:w="81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F08AA85" w14:textId="58F79C91" w:rsidR="0014341A" w:rsidRPr="00DF4CE5" w:rsidRDefault="0014341A" w:rsidP="00E41F45">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3</w:t>
            </w:r>
          </w:p>
        </w:tc>
        <w:tc>
          <w:tcPr>
            <w:tcW w:w="152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A829DDC" w14:textId="77777777" w:rsidR="0014341A" w:rsidRPr="00DF4CE5" w:rsidRDefault="0014341A" w:rsidP="00E41F45">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100%</w:t>
            </w:r>
          </w:p>
        </w:tc>
      </w:tr>
      <w:tr w:rsidR="0014341A" w:rsidRPr="00D0399C" w14:paraId="45ECD84D" w14:textId="77777777" w:rsidTr="00C106A0">
        <w:tc>
          <w:tcPr>
            <w:tcW w:w="2616" w:type="dxa"/>
            <w:vMerge/>
            <w:tcBorders>
              <w:left w:val="single" w:sz="8" w:space="0" w:color="000000"/>
              <w:bottom w:val="single" w:sz="8" w:space="0" w:color="000000"/>
              <w:right w:val="single" w:sz="8" w:space="0" w:color="000000"/>
            </w:tcBorders>
            <w:vAlign w:val="center"/>
          </w:tcPr>
          <w:p w14:paraId="7C815785" w14:textId="77777777" w:rsidR="0014341A" w:rsidRPr="00DF4CE5" w:rsidRDefault="0014341A" w:rsidP="008B34AF">
            <w:pPr>
              <w:spacing w:after="0" w:line="240" w:lineRule="auto"/>
              <w:jc w:val="both"/>
              <w:rPr>
                <w:rFonts w:ascii="Cambria" w:eastAsia="Times New Roman" w:hAnsi="Cambria" w:cs="Calibri"/>
                <w:lang w:val="hr-HR"/>
              </w:rPr>
            </w:pPr>
          </w:p>
        </w:tc>
        <w:tc>
          <w:tcPr>
            <w:tcW w:w="6724"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90793B6" w14:textId="77777777" w:rsidR="0014341A" w:rsidRPr="00DF4CE5" w:rsidRDefault="0014341A"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Dodatna pojašnjenja (kriteriji ocjenjivanja):</w:t>
            </w:r>
          </w:p>
          <w:p w14:paraId="02BA737B" w14:textId="77777777" w:rsidR="0014341A" w:rsidRPr="00DF4CE5" w:rsidRDefault="0014341A" w:rsidP="00E41F45">
            <w:pPr>
              <w:spacing w:after="0" w:line="240" w:lineRule="auto"/>
              <w:rPr>
                <w:rFonts w:ascii="Cambria" w:eastAsia="Times New Roman" w:hAnsi="Cambria" w:cs="Calibri"/>
                <w:lang w:val="pl-PL"/>
              </w:rPr>
            </w:pPr>
            <w:r w:rsidRPr="00DF4CE5">
              <w:rPr>
                <w:rFonts w:ascii="Cambria" w:eastAsia="Times New Roman" w:hAnsi="Cambria" w:cs="Calibri"/>
                <w:lang w:val="hr-HR"/>
              </w:rPr>
              <w:t xml:space="preserve">Pohađanje je nastave obvezno. Toleriraju se tri (3) izostanka. Da bi se pristupilo kolokviju, studenti moraju zadovoljiti sve obveze, a naročito redovito pohađati  nastavu  i aktivno sudjelovati u nastavnom  procesu, jer sama struktura kolegija zahtijeva redovitu prisutnost na predavanjima i seminarima. Studenti su dužni izraditi domaće uratke (analiza i usporedba zadanog materijala). </w:t>
            </w:r>
            <w:r w:rsidRPr="00DF4CE5">
              <w:rPr>
                <w:rFonts w:ascii="Cambria" w:eastAsia="Times New Roman" w:hAnsi="Cambria" w:cs="Calibri"/>
                <w:lang w:val="pl-PL"/>
              </w:rPr>
              <w:t>U semestru se pi</w:t>
            </w:r>
            <w:r w:rsidRPr="00DF4CE5">
              <w:rPr>
                <w:rFonts w:ascii="Cambria" w:eastAsia="Times New Roman" w:hAnsi="Cambria" w:cs="Calibri"/>
                <w:lang w:val="hr-HR"/>
              </w:rPr>
              <w:t>š</w:t>
            </w:r>
            <w:r w:rsidRPr="00DF4CE5">
              <w:rPr>
                <w:rFonts w:ascii="Cambria" w:eastAsia="Times New Roman" w:hAnsi="Cambria" w:cs="Calibri"/>
                <w:lang w:val="pl-PL"/>
              </w:rPr>
              <w:t xml:space="preserve">u </w:t>
            </w:r>
            <w:r w:rsidRPr="00DF4CE5">
              <w:rPr>
                <w:rFonts w:ascii="Cambria" w:eastAsia="Times New Roman" w:hAnsi="Cambria" w:cs="Calibri"/>
                <w:lang w:val="hr-HR"/>
              </w:rPr>
              <w:t xml:space="preserve">2 </w:t>
            </w:r>
            <w:r w:rsidRPr="00DF4CE5">
              <w:rPr>
                <w:rFonts w:ascii="Cambria" w:eastAsia="Times New Roman" w:hAnsi="Cambria" w:cs="Calibri"/>
                <w:lang w:val="pl-PL"/>
              </w:rPr>
              <w:t>kolokvija.</w:t>
            </w:r>
            <w:r w:rsidRPr="00DF4CE5">
              <w:rPr>
                <w:rFonts w:ascii="Cambria" w:eastAsia="Times New Roman" w:hAnsi="Cambria" w:cs="Calibri"/>
                <w:lang w:val="hr-HR"/>
              </w:rPr>
              <w:t xml:space="preserve"> Studenti imaju obavezu napisati i prezentirati seminar (individualni rad) koji se predaju u tiskanom i elektroničkom obliku. U posljednjem tjednu svibnja održat će se popravni kolokvij za studente koji iz opravdanih razloga nisu pristupili ili nisu zadovoljili na redovnom kolokviju. </w:t>
            </w:r>
            <w:r w:rsidRPr="00DF4CE5">
              <w:rPr>
                <w:rFonts w:ascii="Cambria" w:eastAsia="Times New Roman" w:hAnsi="Cambria" w:cs="Calibri"/>
                <w:lang w:val="pl-PL"/>
              </w:rPr>
              <w:t>U kona</w:t>
            </w:r>
            <w:r w:rsidRPr="00DF4CE5">
              <w:rPr>
                <w:rFonts w:ascii="Cambria" w:eastAsia="Times New Roman" w:hAnsi="Cambria" w:cs="Calibri"/>
                <w:lang w:val="hr-HR"/>
              </w:rPr>
              <w:t>č</w:t>
            </w:r>
            <w:r w:rsidRPr="00DF4CE5">
              <w:rPr>
                <w:rFonts w:ascii="Cambria" w:eastAsia="Times New Roman" w:hAnsi="Cambria" w:cs="Calibri"/>
                <w:lang w:val="pl-PL"/>
              </w:rPr>
              <w:t>nu ocjenu ulaze rezultati kolokvija</w:t>
            </w:r>
            <w:r w:rsidRPr="00DF4CE5">
              <w:rPr>
                <w:rFonts w:ascii="Cambria" w:eastAsia="Times New Roman" w:hAnsi="Cambria" w:cs="Calibri"/>
                <w:lang w:val="hr-HR"/>
              </w:rPr>
              <w:t xml:space="preserve">, </w:t>
            </w:r>
            <w:r w:rsidRPr="00DF4CE5">
              <w:rPr>
                <w:rFonts w:ascii="Cambria" w:eastAsia="Times New Roman" w:hAnsi="Cambria" w:cs="Calibri"/>
                <w:lang w:val="pl-PL"/>
              </w:rPr>
              <w:t xml:space="preserve">ocjena </w:t>
            </w:r>
            <w:r w:rsidRPr="00DF4CE5">
              <w:rPr>
                <w:rFonts w:ascii="Cambria" w:eastAsia="Times New Roman" w:hAnsi="Cambria" w:cs="Calibri"/>
                <w:lang w:val="hr-HR"/>
              </w:rPr>
              <w:t xml:space="preserve">seminara/projekta </w:t>
            </w:r>
            <w:r w:rsidRPr="00DF4CE5">
              <w:rPr>
                <w:rFonts w:ascii="Cambria" w:eastAsia="Times New Roman" w:hAnsi="Cambria" w:cs="Calibri"/>
                <w:lang w:val="pl-PL"/>
              </w:rPr>
              <w:t>te pohađanje nastave.</w:t>
            </w:r>
          </w:p>
        </w:tc>
      </w:tr>
      <w:tr w:rsidR="0014341A" w:rsidRPr="00DF4CE5" w14:paraId="3A6E32FB" w14:textId="77777777" w:rsidTr="00C106A0">
        <w:tc>
          <w:tcPr>
            <w:tcW w:w="261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A32D8AB" w14:textId="77777777" w:rsidR="0014341A" w:rsidRPr="00DF4CE5" w:rsidRDefault="0014341A"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Studentske obveze</w:t>
            </w:r>
          </w:p>
        </w:tc>
        <w:tc>
          <w:tcPr>
            <w:tcW w:w="672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7BAEE8AA" w14:textId="77777777" w:rsidR="0014341A" w:rsidRPr="00DF4CE5" w:rsidRDefault="0014341A"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Da položi kolegij, student/studentica mora:</w:t>
            </w:r>
          </w:p>
          <w:p w14:paraId="0020CC14" w14:textId="357B0D7B" w:rsidR="0014341A" w:rsidRPr="00DF4CE5" w:rsidRDefault="0014341A"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1. </w:t>
            </w:r>
            <w:r w:rsidR="00E41F45">
              <w:rPr>
                <w:rFonts w:ascii="Cambria" w:eastAsia="Times New Roman" w:hAnsi="Cambria" w:cs="Calibri"/>
                <w:lang w:val="hr-HR"/>
              </w:rPr>
              <w:t>r</w:t>
            </w:r>
            <w:r w:rsidRPr="00DF4CE5">
              <w:rPr>
                <w:rFonts w:ascii="Cambria" w:eastAsia="Times New Roman" w:hAnsi="Cambria" w:cs="Calibri"/>
                <w:lang w:val="hr-HR"/>
              </w:rPr>
              <w:t>edovito pohađati nastavu i aktivno sudjelovati u nastavnom procesu</w:t>
            </w:r>
          </w:p>
          <w:p w14:paraId="0541DABC" w14:textId="2483B66C" w:rsidR="0014341A" w:rsidRPr="00DF4CE5" w:rsidRDefault="0014341A"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2. </w:t>
            </w:r>
            <w:r w:rsidR="00E41F45">
              <w:rPr>
                <w:rFonts w:ascii="Cambria" w:eastAsia="Times New Roman" w:hAnsi="Cambria" w:cs="Calibri"/>
                <w:lang w:val="hr-HR"/>
              </w:rPr>
              <w:t>r</w:t>
            </w:r>
            <w:r w:rsidRPr="00DF4CE5">
              <w:rPr>
                <w:rFonts w:ascii="Cambria" w:eastAsia="Times New Roman" w:hAnsi="Cambria" w:cs="Calibri"/>
                <w:lang w:val="hr-HR"/>
              </w:rPr>
              <w:t xml:space="preserve">edovito donositi propisani materijale te pisati domaće zadaće </w:t>
            </w:r>
          </w:p>
          <w:p w14:paraId="4A710C01" w14:textId="7264477E" w:rsidR="0014341A" w:rsidRPr="00DF4CE5" w:rsidRDefault="0014341A"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3. </w:t>
            </w:r>
            <w:r w:rsidR="00E41F45">
              <w:rPr>
                <w:rFonts w:ascii="Cambria" w:eastAsia="Times New Roman" w:hAnsi="Cambria" w:cs="Calibri"/>
                <w:lang w:val="hr-HR"/>
              </w:rPr>
              <w:t>i</w:t>
            </w:r>
            <w:r w:rsidRPr="00DF4CE5">
              <w:rPr>
                <w:rFonts w:ascii="Cambria" w:eastAsia="Times New Roman" w:hAnsi="Cambria" w:cs="Calibri"/>
                <w:lang w:val="hr-HR"/>
              </w:rPr>
              <w:t>zlagati seminar</w:t>
            </w:r>
          </w:p>
          <w:p w14:paraId="6DE662EE" w14:textId="2EA39D9A" w:rsidR="0014341A" w:rsidRPr="00DF4CE5" w:rsidRDefault="0014341A"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4. </w:t>
            </w:r>
            <w:r w:rsidR="00E41F45">
              <w:rPr>
                <w:rFonts w:ascii="Cambria" w:eastAsia="Times New Roman" w:hAnsi="Cambria" w:cs="Calibri"/>
                <w:lang w:val="hr-HR"/>
              </w:rPr>
              <w:t>p</w:t>
            </w:r>
            <w:r w:rsidRPr="00DF4CE5">
              <w:rPr>
                <w:rFonts w:ascii="Cambria" w:eastAsia="Times New Roman" w:hAnsi="Cambria" w:cs="Calibri"/>
                <w:lang w:val="hr-HR"/>
              </w:rPr>
              <w:t>olagati kolokvije</w:t>
            </w:r>
            <w:r w:rsidR="00E41F45">
              <w:rPr>
                <w:rFonts w:ascii="Cambria" w:eastAsia="Times New Roman" w:hAnsi="Cambria" w:cs="Calibri"/>
                <w:lang w:val="hr-HR"/>
              </w:rPr>
              <w:t xml:space="preserve">. </w:t>
            </w:r>
          </w:p>
        </w:tc>
      </w:tr>
      <w:tr w:rsidR="0014341A" w:rsidRPr="00D0399C" w14:paraId="1403DCF6" w14:textId="77777777" w:rsidTr="00C106A0">
        <w:tc>
          <w:tcPr>
            <w:tcW w:w="261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0A69E07" w14:textId="77777777" w:rsidR="0014341A" w:rsidRPr="00DF4CE5" w:rsidRDefault="0014341A" w:rsidP="008B34AF">
            <w:pPr>
              <w:spacing w:after="0" w:line="240" w:lineRule="auto"/>
              <w:jc w:val="both"/>
              <w:rPr>
                <w:rFonts w:ascii="Cambria" w:eastAsia="Times New Roman" w:hAnsi="Cambria" w:cs="Calibri"/>
                <w:lang w:val="hr-HR"/>
              </w:rPr>
            </w:pPr>
            <w:proofErr w:type="spellStart"/>
            <w:r w:rsidRPr="00DF4CE5">
              <w:rPr>
                <w:rFonts w:ascii="Cambria" w:eastAsia="Times New Roman" w:hAnsi="Cambria" w:cs="Calibri"/>
              </w:rPr>
              <w:t>Rokovi</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ispita</w:t>
            </w:r>
            <w:proofErr w:type="spellEnd"/>
            <w:r w:rsidRPr="00DF4CE5">
              <w:rPr>
                <w:rFonts w:ascii="Cambria" w:eastAsia="Times New Roman" w:hAnsi="Cambria" w:cs="Calibri"/>
              </w:rPr>
              <w:t xml:space="preserve"> I </w:t>
            </w:r>
            <w:proofErr w:type="spellStart"/>
            <w:r w:rsidRPr="00DF4CE5">
              <w:rPr>
                <w:rFonts w:ascii="Cambria" w:eastAsia="Times New Roman" w:hAnsi="Cambria" w:cs="Calibri"/>
              </w:rPr>
              <w:t>kolokvija</w:t>
            </w:r>
            <w:proofErr w:type="spellEnd"/>
          </w:p>
        </w:tc>
        <w:tc>
          <w:tcPr>
            <w:tcW w:w="672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3093A07" w14:textId="77777777" w:rsidR="0014341A" w:rsidRPr="00DF4CE5" w:rsidRDefault="0014341A"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Definiraju se na početku akademske godine, objavljuju se na mrežnim stranicama Sveučilišta i u ISVU .</w:t>
            </w:r>
          </w:p>
        </w:tc>
      </w:tr>
      <w:tr w:rsidR="0014341A" w:rsidRPr="00DF4CE5" w14:paraId="161AEF75" w14:textId="77777777" w:rsidTr="00C106A0">
        <w:tc>
          <w:tcPr>
            <w:tcW w:w="261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340889B" w14:textId="77777777" w:rsidR="0014341A" w:rsidRPr="00DF4CE5" w:rsidRDefault="0014341A"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Ostale važne činjenice </w:t>
            </w:r>
            <w:proofErr w:type="spellStart"/>
            <w:r w:rsidRPr="00DF4CE5">
              <w:rPr>
                <w:rFonts w:ascii="Cambria" w:eastAsia="Times New Roman" w:hAnsi="Cambria" w:cs="Calibri"/>
                <w:lang w:val="it-IT"/>
              </w:rPr>
              <w:t>vezane</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uz</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kolegij</w:t>
            </w:r>
            <w:proofErr w:type="spellEnd"/>
          </w:p>
        </w:tc>
        <w:tc>
          <w:tcPr>
            <w:tcW w:w="672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DC59ED8" w14:textId="77777777" w:rsidR="0014341A" w:rsidRPr="00DF4CE5" w:rsidRDefault="0014341A"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Materijali za predavanja objavljuju se na e-učenju.</w:t>
            </w:r>
          </w:p>
          <w:p w14:paraId="716B73BF" w14:textId="77777777" w:rsidR="0014341A" w:rsidRPr="00DF4CE5" w:rsidRDefault="0014341A"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U slučaju održavanja nastave na daljinu, moguće je odstupanje u:</w:t>
            </w:r>
          </w:p>
          <w:p w14:paraId="424457D4" w14:textId="77777777" w:rsidR="0014341A" w:rsidRPr="00DF4CE5" w:rsidRDefault="0014341A"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mjestu izvođenja kolegija</w:t>
            </w:r>
          </w:p>
          <w:p w14:paraId="52EA3A27" w14:textId="77777777" w:rsidR="0014341A" w:rsidRPr="00DF4CE5" w:rsidRDefault="0014341A"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provedbi aktivnosti, metodama tumačenja i poučavanja i načinima vrednovanja</w:t>
            </w:r>
          </w:p>
          <w:p w14:paraId="7EC5D7B6" w14:textId="77777777" w:rsidR="0014341A" w:rsidRPr="00DF4CE5" w:rsidRDefault="0014341A"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studentskim obvezama</w:t>
            </w:r>
          </w:p>
          <w:p w14:paraId="06F15064" w14:textId="77777777" w:rsidR="0014341A" w:rsidRPr="00DF4CE5" w:rsidRDefault="0014341A"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dostupnoj literaturi.</w:t>
            </w:r>
          </w:p>
          <w:p w14:paraId="72A5B5C3" w14:textId="4708E7E5" w:rsidR="0014341A" w:rsidRPr="00DF4CE5" w:rsidRDefault="0014341A"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O tome će nositeljica kolegija i </w:t>
            </w:r>
            <w:r w:rsidR="00E41F45">
              <w:rPr>
                <w:rFonts w:ascii="Cambria" w:eastAsia="Times New Roman" w:hAnsi="Cambria" w:cs="Calibri"/>
                <w:lang w:val="hr-HR"/>
              </w:rPr>
              <w:t>suradnik</w:t>
            </w:r>
            <w:r w:rsidRPr="00DF4CE5">
              <w:rPr>
                <w:rFonts w:ascii="Cambria" w:eastAsia="Times New Roman" w:hAnsi="Cambria" w:cs="Calibri"/>
                <w:lang w:val="hr-HR"/>
              </w:rPr>
              <w:t xml:space="preserve"> obavijestiti</w:t>
            </w:r>
          </w:p>
          <w:p w14:paraId="5A3AE4D6" w14:textId="77777777" w:rsidR="0014341A" w:rsidRPr="00DF4CE5" w:rsidRDefault="0014341A"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studente i studentice kad se nastava na daljinu počne održavati.</w:t>
            </w:r>
          </w:p>
          <w:p w14:paraId="2069CE45" w14:textId="77777777" w:rsidR="0014341A" w:rsidRPr="00DF4CE5" w:rsidRDefault="0014341A"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Ishodi učenja ostaju nepromijenjeni.</w:t>
            </w:r>
          </w:p>
        </w:tc>
      </w:tr>
      <w:tr w:rsidR="0014341A" w:rsidRPr="00DF4CE5" w14:paraId="0BEE6B85" w14:textId="77777777" w:rsidTr="00C106A0">
        <w:trPr>
          <w:trHeight w:val="770"/>
        </w:trPr>
        <w:tc>
          <w:tcPr>
            <w:tcW w:w="261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2610C6F" w14:textId="77777777" w:rsidR="0014341A" w:rsidRPr="00DF4CE5" w:rsidRDefault="0014341A"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Literatura</w:t>
            </w:r>
          </w:p>
        </w:tc>
        <w:tc>
          <w:tcPr>
            <w:tcW w:w="6724"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14:paraId="0026C942" w14:textId="77777777" w:rsidR="0014341A" w:rsidRPr="00DF4CE5" w:rsidRDefault="0014341A"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Obvezna: </w:t>
            </w:r>
          </w:p>
          <w:p w14:paraId="6B038EAA" w14:textId="77777777" w:rsidR="0014341A" w:rsidRPr="00DF4CE5" w:rsidRDefault="0014341A"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1. </w:t>
            </w:r>
            <w:proofErr w:type="spellStart"/>
            <w:r w:rsidRPr="00DF4CE5">
              <w:rPr>
                <w:rFonts w:ascii="Cambria" w:eastAsia="Times New Roman" w:hAnsi="Cambria" w:cs="Calibri"/>
                <w:lang w:val="hr-HR"/>
              </w:rPr>
              <w:t>Yule</w:t>
            </w:r>
            <w:proofErr w:type="spellEnd"/>
            <w:r w:rsidRPr="00DF4CE5">
              <w:rPr>
                <w:rFonts w:ascii="Cambria" w:eastAsia="Times New Roman" w:hAnsi="Cambria" w:cs="Calibri"/>
                <w:lang w:val="hr-HR"/>
              </w:rPr>
              <w:t xml:space="preserve">, G. (2006). </w:t>
            </w:r>
            <w:proofErr w:type="spellStart"/>
            <w:r w:rsidRPr="00DF4CE5">
              <w:rPr>
                <w:rFonts w:ascii="Cambria" w:eastAsia="Times New Roman" w:hAnsi="Cambria" w:cs="Calibri"/>
                <w:lang w:val="hr-HR"/>
              </w:rPr>
              <w:t>The</w:t>
            </w:r>
            <w:proofErr w:type="spellEnd"/>
            <w:r w:rsidRPr="00DF4CE5">
              <w:rPr>
                <w:rFonts w:ascii="Cambria" w:eastAsia="Times New Roman" w:hAnsi="Cambria" w:cs="Calibri"/>
                <w:lang w:val="hr-HR"/>
              </w:rPr>
              <w:t xml:space="preserve"> </w:t>
            </w:r>
            <w:proofErr w:type="spellStart"/>
            <w:r w:rsidRPr="00DF4CE5">
              <w:rPr>
                <w:rFonts w:ascii="Cambria" w:eastAsia="Times New Roman" w:hAnsi="Cambria" w:cs="Calibri"/>
                <w:lang w:val="hr-HR"/>
              </w:rPr>
              <w:t>Study</w:t>
            </w:r>
            <w:proofErr w:type="spellEnd"/>
            <w:r w:rsidRPr="00DF4CE5">
              <w:rPr>
                <w:rFonts w:ascii="Cambria" w:eastAsia="Times New Roman" w:hAnsi="Cambria" w:cs="Calibri"/>
                <w:lang w:val="hr-HR"/>
              </w:rPr>
              <w:t xml:space="preserve"> </w:t>
            </w:r>
            <w:proofErr w:type="spellStart"/>
            <w:r w:rsidRPr="00DF4CE5">
              <w:rPr>
                <w:rFonts w:ascii="Cambria" w:eastAsia="Times New Roman" w:hAnsi="Cambria" w:cs="Calibri"/>
                <w:lang w:val="hr-HR"/>
              </w:rPr>
              <w:t>of</w:t>
            </w:r>
            <w:proofErr w:type="spellEnd"/>
            <w:r w:rsidRPr="00DF4CE5">
              <w:rPr>
                <w:rFonts w:ascii="Cambria" w:eastAsia="Times New Roman" w:hAnsi="Cambria" w:cs="Calibri"/>
                <w:lang w:val="hr-HR"/>
              </w:rPr>
              <w:t xml:space="preserve"> </w:t>
            </w:r>
            <w:proofErr w:type="spellStart"/>
            <w:r w:rsidRPr="00DF4CE5">
              <w:rPr>
                <w:rFonts w:ascii="Cambria" w:eastAsia="Times New Roman" w:hAnsi="Cambria" w:cs="Calibri"/>
                <w:lang w:val="hr-HR"/>
              </w:rPr>
              <w:t>Language</w:t>
            </w:r>
            <w:proofErr w:type="spellEnd"/>
            <w:r w:rsidRPr="00DF4CE5">
              <w:rPr>
                <w:rFonts w:ascii="Cambria" w:eastAsia="Times New Roman" w:hAnsi="Cambria" w:cs="Calibri"/>
                <w:lang w:val="hr-HR"/>
              </w:rPr>
              <w:t>, Cambridge University Press</w:t>
            </w:r>
          </w:p>
          <w:p w14:paraId="0284F79D" w14:textId="77777777" w:rsidR="0014341A" w:rsidRPr="00DF4CE5" w:rsidRDefault="0014341A"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Izborna:</w:t>
            </w:r>
          </w:p>
          <w:p w14:paraId="421BFA75" w14:textId="77777777" w:rsidR="0014341A" w:rsidRPr="00DF4CE5" w:rsidRDefault="0014341A"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lastRenderedPageBreak/>
              <w:t xml:space="preserve">1.  </w:t>
            </w:r>
            <w:proofErr w:type="spellStart"/>
            <w:r w:rsidRPr="00DF4CE5">
              <w:rPr>
                <w:rFonts w:ascii="Cambria" w:eastAsia="Times New Roman" w:hAnsi="Cambria" w:cs="Calibri"/>
                <w:lang w:val="hr-HR"/>
              </w:rPr>
              <w:t>Widdowson</w:t>
            </w:r>
            <w:proofErr w:type="spellEnd"/>
            <w:r w:rsidRPr="00DF4CE5">
              <w:rPr>
                <w:rFonts w:ascii="Cambria" w:eastAsia="Times New Roman" w:hAnsi="Cambria" w:cs="Calibri"/>
                <w:lang w:val="hr-HR"/>
              </w:rPr>
              <w:t xml:space="preserve">,  H.G. (2009). </w:t>
            </w:r>
            <w:proofErr w:type="spellStart"/>
            <w:r w:rsidRPr="00DF4CE5">
              <w:rPr>
                <w:rFonts w:ascii="Cambria" w:eastAsia="Times New Roman" w:hAnsi="Cambria" w:cs="Calibri"/>
                <w:lang w:val="hr-HR"/>
              </w:rPr>
              <w:t>Linguistics</w:t>
            </w:r>
            <w:proofErr w:type="spellEnd"/>
            <w:r w:rsidRPr="00DF4CE5">
              <w:rPr>
                <w:rFonts w:ascii="Cambria" w:eastAsia="Times New Roman" w:hAnsi="Cambria" w:cs="Calibri"/>
                <w:lang w:val="hr-HR"/>
              </w:rPr>
              <w:t xml:space="preserve">, Oxford University press, Oxford </w:t>
            </w:r>
            <w:proofErr w:type="spellStart"/>
            <w:r w:rsidRPr="00DF4CE5">
              <w:rPr>
                <w:rFonts w:ascii="Cambria" w:eastAsia="Times New Roman" w:hAnsi="Cambria" w:cs="Calibri"/>
                <w:lang w:val="hr-HR"/>
              </w:rPr>
              <w:t>and</w:t>
            </w:r>
            <w:proofErr w:type="spellEnd"/>
            <w:r w:rsidRPr="00DF4CE5">
              <w:rPr>
                <w:rFonts w:ascii="Cambria" w:eastAsia="Times New Roman" w:hAnsi="Cambria" w:cs="Calibri"/>
                <w:lang w:val="hr-HR"/>
              </w:rPr>
              <w:t xml:space="preserve"> New York  </w:t>
            </w:r>
          </w:p>
          <w:p w14:paraId="46642BBA" w14:textId="77777777" w:rsidR="0014341A" w:rsidRPr="00DF4CE5" w:rsidRDefault="0014341A"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2. </w:t>
            </w:r>
            <w:proofErr w:type="spellStart"/>
            <w:r w:rsidRPr="00DF4CE5">
              <w:rPr>
                <w:rFonts w:ascii="Cambria" w:eastAsia="Times New Roman" w:hAnsi="Cambria" w:cs="Calibri"/>
                <w:lang w:val="hr-HR"/>
              </w:rPr>
              <w:t>Mc</w:t>
            </w:r>
            <w:proofErr w:type="spellEnd"/>
            <w:r w:rsidRPr="00DF4CE5">
              <w:rPr>
                <w:rFonts w:ascii="Cambria" w:eastAsia="Times New Roman" w:hAnsi="Cambria" w:cs="Calibri"/>
                <w:lang w:val="hr-HR"/>
              </w:rPr>
              <w:t xml:space="preserve"> Arthur, T. (2005), Oxford </w:t>
            </w:r>
            <w:proofErr w:type="spellStart"/>
            <w:r w:rsidRPr="00DF4CE5">
              <w:rPr>
                <w:rFonts w:ascii="Cambria" w:eastAsia="Times New Roman" w:hAnsi="Cambria" w:cs="Calibri"/>
                <w:lang w:val="hr-HR"/>
              </w:rPr>
              <w:t>Concise</w:t>
            </w:r>
            <w:proofErr w:type="spellEnd"/>
            <w:r w:rsidRPr="00DF4CE5">
              <w:rPr>
                <w:rFonts w:ascii="Cambria" w:eastAsia="Times New Roman" w:hAnsi="Cambria" w:cs="Calibri"/>
                <w:lang w:val="hr-HR"/>
              </w:rPr>
              <w:t xml:space="preserve"> </w:t>
            </w:r>
            <w:proofErr w:type="spellStart"/>
            <w:r w:rsidRPr="00DF4CE5">
              <w:rPr>
                <w:rFonts w:ascii="Cambria" w:eastAsia="Times New Roman" w:hAnsi="Cambria" w:cs="Calibri"/>
                <w:lang w:val="hr-HR"/>
              </w:rPr>
              <w:t>Companion</w:t>
            </w:r>
            <w:proofErr w:type="spellEnd"/>
            <w:r w:rsidRPr="00DF4CE5">
              <w:rPr>
                <w:rFonts w:ascii="Cambria" w:eastAsia="Times New Roman" w:hAnsi="Cambria" w:cs="Calibri"/>
                <w:lang w:val="hr-HR"/>
              </w:rPr>
              <w:t xml:space="preserve"> to English </w:t>
            </w:r>
            <w:proofErr w:type="spellStart"/>
            <w:r w:rsidRPr="00DF4CE5">
              <w:rPr>
                <w:rFonts w:ascii="Cambria" w:eastAsia="Times New Roman" w:hAnsi="Cambria" w:cs="Calibri"/>
                <w:lang w:val="hr-HR"/>
              </w:rPr>
              <w:t>Language</w:t>
            </w:r>
            <w:proofErr w:type="spellEnd"/>
            <w:r w:rsidRPr="00DF4CE5">
              <w:rPr>
                <w:rFonts w:ascii="Cambria" w:eastAsia="Times New Roman" w:hAnsi="Cambria" w:cs="Calibri"/>
                <w:lang w:val="hr-HR"/>
              </w:rPr>
              <w:t>, OUP (</w:t>
            </w:r>
            <w:proofErr w:type="spellStart"/>
            <w:r w:rsidRPr="00DF4CE5">
              <w:rPr>
                <w:rFonts w:ascii="Cambria" w:eastAsia="Times New Roman" w:hAnsi="Cambria" w:cs="Calibri"/>
                <w:lang w:val="hr-HR"/>
              </w:rPr>
              <w:t>selected</w:t>
            </w:r>
            <w:proofErr w:type="spellEnd"/>
            <w:r w:rsidRPr="00DF4CE5">
              <w:rPr>
                <w:rFonts w:ascii="Cambria" w:eastAsia="Times New Roman" w:hAnsi="Cambria" w:cs="Calibri"/>
                <w:lang w:val="hr-HR"/>
              </w:rPr>
              <w:t>)</w:t>
            </w:r>
          </w:p>
        </w:tc>
      </w:tr>
    </w:tbl>
    <w:p w14:paraId="549F84D6" w14:textId="77777777" w:rsidR="0014341A" w:rsidRPr="00DF4CE5" w:rsidRDefault="0014341A" w:rsidP="008B34AF">
      <w:pPr>
        <w:jc w:val="both"/>
        <w:rPr>
          <w:rFonts w:ascii="Cambria" w:hAnsi="Cambria"/>
          <w:lang w:val="hr-HR"/>
        </w:rPr>
      </w:pPr>
    </w:p>
    <w:p w14:paraId="06B7F670" w14:textId="77777777" w:rsidR="0014341A" w:rsidRPr="00DF4CE5" w:rsidRDefault="0014341A" w:rsidP="008B34AF">
      <w:pPr>
        <w:jc w:val="both"/>
        <w:rPr>
          <w:rFonts w:ascii="Cambria" w:hAnsi="Cambria"/>
          <w:lang w:val="hr-HR"/>
        </w:rPr>
      </w:pPr>
    </w:p>
    <w:p w14:paraId="5A75E15B" w14:textId="77777777" w:rsidR="0014341A" w:rsidRPr="00DF4CE5" w:rsidRDefault="0014341A" w:rsidP="008B34AF">
      <w:pPr>
        <w:jc w:val="both"/>
        <w:rPr>
          <w:rFonts w:ascii="Cambria" w:hAnsi="Cambria"/>
          <w:lang w:val="hr-HR"/>
        </w:rPr>
      </w:pPr>
    </w:p>
    <w:p w14:paraId="77534283" w14:textId="77777777" w:rsidR="0014341A" w:rsidRPr="00DF4CE5" w:rsidRDefault="0014341A" w:rsidP="008B34AF">
      <w:pPr>
        <w:jc w:val="both"/>
        <w:rPr>
          <w:rFonts w:ascii="Cambria" w:hAnsi="Cambria"/>
          <w:lang w:val="hr-HR"/>
        </w:rPr>
      </w:pPr>
    </w:p>
    <w:p w14:paraId="502B8F5A" w14:textId="77777777" w:rsidR="0014341A" w:rsidRPr="00DF4CE5" w:rsidRDefault="0014341A" w:rsidP="008B34AF">
      <w:pPr>
        <w:jc w:val="both"/>
        <w:rPr>
          <w:rFonts w:ascii="Cambria" w:hAnsi="Cambria"/>
          <w:lang w:val="hr-HR"/>
        </w:rPr>
      </w:pPr>
    </w:p>
    <w:p w14:paraId="322761F6" w14:textId="77777777" w:rsidR="0014341A" w:rsidRPr="00DF4CE5" w:rsidRDefault="0014341A" w:rsidP="008B34AF">
      <w:pPr>
        <w:jc w:val="both"/>
        <w:rPr>
          <w:rFonts w:ascii="Cambria" w:hAnsi="Cambria"/>
          <w:lang w:val="hr-HR"/>
        </w:rPr>
      </w:pPr>
    </w:p>
    <w:p w14:paraId="2BE5F448" w14:textId="77777777" w:rsidR="0014341A" w:rsidRPr="00DF4CE5" w:rsidRDefault="0014341A" w:rsidP="008B34AF">
      <w:pPr>
        <w:jc w:val="both"/>
        <w:rPr>
          <w:rFonts w:ascii="Cambria" w:hAnsi="Cambria"/>
          <w:lang w:val="hr-HR"/>
        </w:rPr>
      </w:pPr>
    </w:p>
    <w:p w14:paraId="2FD946CC" w14:textId="77777777" w:rsidR="0014341A" w:rsidRPr="00DF4CE5" w:rsidRDefault="0014341A" w:rsidP="008B34AF">
      <w:pPr>
        <w:jc w:val="both"/>
        <w:rPr>
          <w:rFonts w:ascii="Cambria" w:hAnsi="Cambria"/>
          <w:lang w:val="hr-HR"/>
        </w:rPr>
      </w:pPr>
    </w:p>
    <w:p w14:paraId="3D7DD561" w14:textId="77777777" w:rsidR="0014341A" w:rsidRPr="00DF4CE5" w:rsidRDefault="0014341A" w:rsidP="008B34AF">
      <w:pPr>
        <w:jc w:val="both"/>
        <w:rPr>
          <w:rFonts w:ascii="Cambria" w:hAnsi="Cambria"/>
          <w:lang w:val="hr-HR"/>
        </w:rPr>
      </w:pPr>
    </w:p>
    <w:p w14:paraId="1F6FB8D7" w14:textId="77777777" w:rsidR="0014341A" w:rsidRPr="00DF4CE5" w:rsidRDefault="0014341A" w:rsidP="008B34AF">
      <w:pPr>
        <w:jc w:val="both"/>
        <w:rPr>
          <w:rFonts w:ascii="Cambria" w:hAnsi="Cambria"/>
          <w:lang w:val="hr-HR"/>
        </w:rPr>
      </w:pPr>
    </w:p>
    <w:p w14:paraId="1C12D857" w14:textId="77777777" w:rsidR="0014341A" w:rsidRPr="00DF4CE5" w:rsidRDefault="0014341A" w:rsidP="008B34AF">
      <w:pPr>
        <w:jc w:val="both"/>
        <w:rPr>
          <w:rFonts w:ascii="Cambria" w:hAnsi="Cambria"/>
          <w:lang w:val="hr-HR"/>
        </w:rPr>
      </w:pPr>
    </w:p>
    <w:p w14:paraId="1A0238FB" w14:textId="77777777" w:rsidR="0014341A" w:rsidRPr="00DF4CE5" w:rsidRDefault="0014341A" w:rsidP="008B34AF">
      <w:pPr>
        <w:jc w:val="both"/>
        <w:rPr>
          <w:rFonts w:ascii="Cambria" w:hAnsi="Cambria"/>
          <w:lang w:val="hr-HR"/>
        </w:rPr>
      </w:pPr>
    </w:p>
    <w:p w14:paraId="6250B193" w14:textId="77777777" w:rsidR="0014341A" w:rsidRPr="00DF4CE5" w:rsidRDefault="0014341A" w:rsidP="008B34AF">
      <w:pPr>
        <w:jc w:val="both"/>
        <w:rPr>
          <w:rFonts w:ascii="Cambria" w:hAnsi="Cambria"/>
          <w:lang w:val="hr-HR"/>
        </w:rPr>
      </w:pPr>
    </w:p>
    <w:p w14:paraId="72DFFFCB" w14:textId="758B2972" w:rsidR="00BD2EC1" w:rsidRPr="00DF4CE5" w:rsidRDefault="00AF0D71" w:rsidP="00D74364">
      <w:pPr>
        <w:rPr>
          <w:rFonts w:ascii="Cambria" w:hAnsi="Cambria"/>
          <w:lang w:val="hr-HR"/>
        </w:rPr>
      </w:pPr>
      <w:r>
        <w:rPr>
          <w:rFonts w:ascii="Cambria" w:hAnsi="Cambria"/>
          <w:lang w:val="hr-HR"/>
        </w:rPr>
        <w:br w:type="page"/>
      </w:r>
    </w:p>
    <w:tbl>
      <w:tblPr>
        <w:tblW w:w="5000" w:type="pct"/>
        <w:tblLayout w:type="fixed"/>
        <w:tblCellMar>
          <w:left w:w="0" w:type="dxa"/>
          <w:right w:w="0" w:type="dxa"/>
        </w:tblCellMar>
        <w:tblLook w:val="0600" w:firstRow="0" w:lastRow="0" w:firstColumn="0" w:lastColumn="0" w:noHBand="1" w:noVBand="1"/>
      </w:tblPr>
      <w:tblGrid>
        <w:gridCol w:w="2616"/>
        <w:gridCol w:w="2482"/>
        <w:gridCol w:w="98"/>
        <w:gridCol w:w="1092"/>
        <w:gridCol w:w="280"/>
        <w:gridCol w:w="440"/>
        <w:gridCol w:w="1013"/>
        <w:gridCol w:w="1319"/>
      </w:tblGrid>
      <w:tr w:rsidR="00A44D99" w:rsidRPr="00DF4CE5" w14:paraId="67BAA2E9" w14:textId="77777777" w:rsidTr="00891E8C">
        <w:tc>
          <w:tcPr>
            <w:tcW w:w="9052"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BF74263" w14:textId="77777777" w:rsidR="00A44D99" w:rsidRPr="00DF4CE5" w:rsidRDefault="00A44D99" w:rsidP="00891E8C">
            <w:pPr>
              <w:jc w:val="right"/>
              <w:rPr>
                <w:rFonts w:ascii="Cambria" w:hAnsi="Cambria" w:cs="Calibri"/>
                <w:b/>
              </w:rPr>
            </w:pPr>
            <w:r w:rsidRPr="00DF4CE5">
              <w:rPr>
                <w:rFonts w:ascii="Cambria" w:hAnsi="Cambria" w:cs="Calibri"/>
                <w:b/>
              </w:rPr>
              <w:lastRenderedPageBreak/>
              <w:t>IZVEDBENI PLAN NASTAVE KOLEGIJA</w:t>
            </w:r>
          </w:p>
        </w:tc>
      </w:tr>
      <w:tr w:rsidR="00A44D99" w:rsidRPr="00127501" w14:paraId="79004BCC" w14:textId="77777777" w:rsidTr="00891E8C">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E08A167" w14:textId="77777777" w:rsidR="00A44D99" w:rsidRPr="00DF4CE5" w:rsidRDefault="00A44D99" w:rsidP="001974E1">
            <w:pPr>
              <w:spacing w:after="0"/>
              <w:rPr>
                <w:rFonts w:ascii="Cambria" w:hAnsi="Cambria" w:cs="Calibri"/>
              </w:rPr>
            </w:pPr>
            <w:proofErr w:type="spellStart"/>
            <w:r w:rsidRPr="00DF4CE5">
              <w:rPr>
                <w:rFonts w:ascii="Cambria" w:hAnsi="Cambria" w:cs="Calibri"/>
              </w:rPr>
              <w:t>Kod</w:t>
            </w:r>
            <w:proofErr w:type="spellEnd"/>
            <w:r w:rsidRPr="00DF4CE5">
              <w:rPr>
                <w:rFonts w:ascii="Cambria" w:hAnsi="Cambria" w:cs="Calibri"/>
              </w:rPr>
              <w:t xml:space="preserve"> </w:t>
            </w:r>
            <w:proofErr w:type="spellStart"/>
            <w:r w:rsidRPr="00DF4CE5">
              <w:rPr>
                <w:rFonts w:ascii="Cambria" w:hAnsi="Cambria" w:cs="Calibri"/>
              </w:rPr>
              <w:t>i</w:t>
            </w:r>
            <w:proofErr w:type="spellEnd"/>
            <w:r w:rsidRPr="00DF4CE5">
              <w:rPr>
                <w:rFonts w:ascii="Cambria" w:hAnsi="Cambria" w:cs="Calibri"/>
              </w:rPr>
              <w:t xml:space="preserve"> </w:t>
            </w:r>
            <w:proofErr w:type="spellStart"/>
            <w:r w:rsidRPr="00DF4CE5">
              <w:rPr>
                <w:rFonts w:ascii="Cambria" w:hAnsi="Cambria" w:cs="Calibri"/>
              </w:rPr>
              <w:t>naziv</w:t>
            </w:r>
            <w:proofErr w:type="spellEnd"/>
            <w:r w:rsidRPr="00DF4CE5">
              <w:rPr>
                <w:rFonts w:ascii="Cambria" w:hAnsi="Cambria" w:cs="Calibri"/>
              </w:rPr>
              <w:t xml:space="preserve"> </w:t>
            </w:r>
            <w:proofErr w:type="spellStart"/>
            <w:r w:rsidRPr="00DF4CE5">
              <w:rPr>
                <w:rFonts w:ascii="Cambria" w:hAnsi="Cambria" w:cs="Calibri"/>
              </w:rPr>
              <w:t>kolegija</w:t>
            </w:r>
            <w:proofErr w:type="spellEnd"/>
          </w:p>
        </w:tc>
        <w:tc>
          <w:tcPr>
            <w:tcW w:w="651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C24E7AD" w14:textId="77777777" w:rsidR="00A44D99" w:rsidRPr="00127501" w:rsidRDefault="00A44D99" w:rsidP="001974E1">
            <w:pPr>
              <w:spacing w:after="0"/>
              <w:rPr>
                <w:rFonts w:ascii="Cambria" w:hAnsi="Cambria" w:cs="Cambria"/>
                <w:color w:val="000000"/>
                <w:lang w:val="it-IT"/>
              </w:rPr>
            </w:pPr>
            <w:r w:rsidRPr="00127501">
              <w:rPr>
                <w:rFonts w:ascii="Cambria" w:hAnsi="Cambria" w:cs="Cambria"/>
                <w:color w:val="000000"/>
                <w:lang w:val="it-IT"/>
              </w:rPr>
              <w:t>132980</w:t>
            </w:r>
          </w:p>
          <w:p w14:paraId="1ED8AA0C" w14:textId="337BD879" w:rsidR="00A44D99" w:rsidRPr="00127501" w:rsidRDefault="00A44D99" w:rsidP="001974E1">
            <w:pPr>
              <w:spacing w:after="0"/>
              <w:rPr>
                <w:rFonts w:ascii="Cambria" w:hAnsi="Cambria" w:cs="Calibri"/>
                <w:lang w:val="it-IT"/>
              </w:rPr>
            </w:pPr>
            <w:proofErr w:type="spellStart"/>
            <w:r w:rsidRPr="00127501">
              <w:rPr>
                <w:rFonts w:ascii="Cambria" w:hAnsi="Cambria"/>
                <w:lang w:val="it-IT"/>
              </w:rPr>
              <w:t>Metodika</w:t>
            </w:r>
            <w:proofErr w:type="spellEnd"/>
            <w:r w:rsidRPr="00127501">
              <w:rPr>
                <w:rFonts w:ascii="Cambria" w:hAnsi="Cambria"/>
                <w:lang w:val="it-IT"/>
              </w:rPr>
              <w:t xml:space="preserve"> </w:t>
            </w:r>
            <w:proofErr w:type="spellStart"/>
            <w:r w:rsidRPr="00127501">
              <w:rPr>
                <w:rFonts w:ascii="Cambria" w:hAnsi="Cambria"/>
                <w:lang w:val="it-IT"/>
              </w:rPr>
              <w:t>nastave</w:t>
            </w:r>
            <w:proofErr w:type="spellEnd"/>
            <w:r w:rsidRPr="00127501">
              <w:rPr>
                <w:rFonts w:ascii="Cambria" w:hAnsi="Cambria"/>
                <w:lang w:val="it-IT"/>
              </w:rPr>
              <w:t xml:space="preserve"> </w:t>
            </w:r>
            <w:proofErr w:type="spellStart"/>
            <w:r w:rsidRPr="00127501">
              <w:rPr>
                <w:rFonts w:ascii="Cambria" w:hAnsi="Cambria"/>
                <w:lang w:val="it-IT"/>
              </w:rPr>
              <w:t>informatike</w:t>
            </w:r>
            <w:proofErr w:type="spellEnd"/>
            <w:r w:rsidRPr="00127501">
              <w:rPr>
                <w:rFonts w:ascii="Cambria" w:hAnsi="Cambria"/>
                <w:lang w:val="it-IT"/>
              </w:rPr>
              <w:t xml:space="preserve"> III</w:t>
            </w:r>
            <w:r w:rsidR="00127501" w:rsidRPr="00127501">
              <w:rPr>
                <w:rFonts w:ascii="Cambria" w:hAnsi="Cambria"/>
                <w:lang w:val="it-IT"/>
              </w:rPr>
              <w:t xml:space="preserve"> </w:t>
            </w:r>
          </w:p>
        </w:tc>
      </w:tr>
      <w:tr w:rsidR="00A44D99" w:rsidRPr="002B1E8D" w14:paraId="199D7661" w14:textId="77777777" w:rsidTr="00891E8C">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B68CF37" w14:textId="77777777" w:rsidR="00A44D99" w:rsidRPr="00DF4CE5" w:rsidRDefault="00A44D99" w:rsidP="001974E1">
            <w:pPr>
              <w:spacing w:after="0"/>
              <w:rPr>
                <w:rFonts w:ascii="Cambria" w:hAnsi="Cambria" w:cs="Calibri"/>
              </w:rPr>
            </w:pPr>
            <w:proofErr w:type="spellStart"/>
            <w:r w:rsidRPr="00DF4CE5">
              <w:rPr>
                <w:rFonts w:ascii="Cambria" w:hAnsi="Cambria" w:cs="Calibri"/>
              </w:rPr>
              <w:t>Nastavnica</w:t>
            </w:r>
            <w:proofErr w:type="spellEnd"/>
            <w:r w:rsidRPr="00DF4CE5">
              <w:rPr>
                <w:rFonts w:ascii="Cambria" w:hAnsi="Cambria" w:cs="Calibri"/>
              </w:rPr>
              <w:t xml:space="preserve"> </w:t>
            </w:r>
          </w:p>
          <w:p w14:paraId="1EE23F6F" w14:textId="77777777" w:rsidR="00A44D99" w:rsidRPr="00DF4CE5" w:rsidRDefault="00A44D99" w:rsidP="001974E1">
            <w:pPr>
              <w:spacing w:after="0"/>
              <w:rPr>
                <w:rFonts w:ascii="Cambria" w:hAnsi="Cambria" w:cs="Calibri"/>
              </w:rPr>
            </w:pPr>
            <w:proofErr w:type="spellStart"/>
            <w:r w:rsidRPr="00DF4CE5">
              <w:rPr>
                <w:rFonts w:ascii="Cambria" w:hAnsi="Cambria" w:cs="Calibri"/>
              </w:rPr>
              <w:t>Suradnik</w:t>
            </w:r>
            <w:proofErr w:type="spellEnd"/>
          </w:p>
        </w:tc>
        <w:tc>
          <w:tcPr>
            <w:tcW w:w="651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FC3F738" w14:textId="0FA87EB3" w:rsidR="0039661B" w:rsidRPr="00727BE6" w:rsidRDefault="00727BE6" w:rsidP="0039661B">
            <w:pPr>
              <w:spacing w:after="0" w:line="240" w:lineRule="auto"/>
              <w:rPr>
                <w:rFonts w:ascii="Cambria" w:hAnsi="Cambria" w:cs="Calibri"/>
              </w:rPr>
            </w:pPr>
            <w:hyperlink r:id="rId182" w:history="1">
              <w:r w:rsidRPr="00727BE6">
                <w:rPr>
                  <w:rStyle w:val="Hiperveza"/>
                  <w:rFonts w:ascii="Cambria" w:hAnsi="Cambria"/>
                </w:rPr>
                <w:t>Prof. dr. sc. Maja Ružić</w:t>
              </w:r>
            </w:hyperlink>
            <w:r w:rsidR="00127501">
              <w:rPr>
                <w:rStyle w:val="Hiperveza"/>
                <w:rFonts w:ascii="Cambria" w:hAnsi="Cambria"/>
              </w:rPr>
              <w:t xml:space="preserve"> </w:t>
            </w:r>
            <w:r w:rsidR="00127501" w:rsidRPr="004E73E5">
              <w:rPr>
                <w:rFonts w:ascii="Cambria" w:hAnsi="Cambria"/>
              </w:rPr>
              <w:t>(</w:t>
            </w:r>
            <w:proofErr w:type="spellStart"/>
            <w:r w:rsidR="00127501" w:rsidRPr="004E73E5">
              <w:rPr>
                <w:rFonts w:ascii="Cambria" w:hAnsi="Cambria"/>
              </w:rPr>
              <w:t>nositeljica</w:t>
            </w:r>
            <w:proofErr w:type="spellEnd"/>
            <w:r w:rsidR="00127501" w:rsidRPr="004E73E5">
              <w:rPr>
                <w:rFonts w:ascii="Cambria" w:hAnsi="Cambria"/>
              </w:rPr>
              <w:t>)</w:t>
            </w:r>
          </w:p>
          <w:p w14:paraId="68A83F9E" w14:textId="70AA3388" w:rsidR="00A44D99" w:rsidRPr="00DF4CE5" w:rsidRDefault="0039661B" w:rsidP="0039661B">
            <w:pPr>
              <w:spacing w:after="0"/>
              <w:rPr>
                <w:rFonts w:ascii="Cambria" w:hAnsi="Cambria" w:cs="Calibri"/>
                <w:lang w:val="hr-HR"/>
              </w:rPr>
            </w:pPr>
            <w:hyperlink r:id="rId183" w:history="1">
              <w:r w:rsidRPr="00DF4CE5">
                <w:rPr>
                  <w:rStyle w:val="Hiperveza"/>
                  <w:rFonts w:ascii="Cambria" w:hAnsi="Cambria" w:cs="Calibri"/>
                </w:rPr>
                <w:t>Janko Žufić, v</w:t>
              </w:r>
              <w:r>
                <w:rPr>
                  <w:rStyle w:val="Hiperveza"/>
                  <w:rFonts w:ascii="Cambria" w:hAnsi="Cambria" w:cs="Calibri"/>
                </w:rPr>
                <w:t>.</w:t>
              </w:r>
              <w:r w:rsidRPr="00DF4CE5">
                <w:rPr>
                  <w:rStyle w:val="Hiperveza"/>
                  <w:rFonts w:ascii="Cambria" w:hAnsi="Cambria" w:cs="Calibri"/>
                </w:rPr>
                <w:t xml:space="preserve"> pred</w:t>
              </w:r>
              <w:r>
                <w:rPr>
                  <w:rStyle w:val="Hiperveza"/>
                  <w:rFonts w:ascii="Cambria" w:hAnsi="Cambria" w:cs="Calibri"/>
                </w:rPr>
                <w:t>.</w:t>
              </w:r>
            </w:hyperlink>
          </w:p>
        </w:tc>
      </w:tr>
      <w:tr w:rsidR="00A44D99" w:rsidRPr="00D0399C" w14:paraId="53D1B7A4" w14:textId="77777777" w:rsidTr="00891E8C">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8D322E2" w14:textId="77777777" w:rsidR="00A44D99" w:rsidRPr="00DF4CE5" w:rsidRDefault="00A44D99" w:rsidP="001974E1">
            <w:pPr>
              <w:spacing w:after="0"/>
              <w:rPr>
                <w:rFonts w:ascii="Cambria" w:hAnsi="Cambria" w:cs="Calibri"/>
              </w:rPr>
            </w:pPr>
            <w:proofErr w:type="spellStart"/>
            <w:r w:rsidRPr="00DF4CE5">
              <w:rPr>
                <w:rFonts w:ascii="Cambria" w:hAnsi="Cambria" w:cs="Calibri"/>
              </w:rPr>
              <w:t>Studijski</w:t>
            </w:r>
            <w:proofErr w:type="spellEnd"/>
            <w:r w:rsidRPr="00DF4CE5">
              <w:rPr>
                <w:rFonts w:ascii="Cambria" w:hAnsi="Cambria" w:cs="Calibri"/>
              </w:rPr>
              <w:t xml:space="preserve"> program</w:t>
            </w:r>
          </w:p>
        </w:tc>
        <w:tc>
          <w:tcPr>
            <w:tcW w:w="651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6EE020E" w14:textId="77777777" w:rsidR="00A44D99" w:rsidRPr="00DF4CE5" w:rsidRDefault="00A44D99" w:rsidP="001974E1">
            <w:pPr>
              <w:spacing w:after="0"/>
              <w:rPr>
                <w:rFonts w:ascii="Cambria" w:hAnsi="Cambria" w:cs="Calibri"/>
                <w:lang w:val="it-IT"/>
              </w:rPr>
            </w:pPr>
            <w:proofErr w:type="spellStart"/>
            <w:r w:rsidRPr="00DF4CE5">
              <w:rPr>
                <w:rFonts w:ascii="Cambria" w:hAnsi="Cambria" w:cs="Calibri"/>
                <w:lang w:val="it-IT"/>
              </w:rPr>
              <w:t>Integrirani</w:t>
            </w:r>
            <w:proofErr w:type="spellEnd"/>
            <w:r w:rsidRPr="00DF4CE5">
              <w:rPr>
                <w:rFonts w:ascii="Cambria" w:hAnsi="Cambria" w:cs="Calibri"/>
                <w:lang w:val="it-IT"/>
              </w:rPr>
              <w:t xml:space="preserve"> </w:t>
            </w:r>
            <w:proofErr w:type="spellStart"/>
            <w:r w:rsidRPr="00DF4CE5">
              <w:rPr>
                <w:rFonts w:ascii="Cambria" w:hAnsi="Cambria" w:cs="Calibri"/>
                <w:lang w:val="it-IT"/>
              </w:rPr>
              <w:t>preddiplomski</w:t>
            </w:r>
            <w:proofErr w:type="spellEnd"/>
            <w:r w:rsidRPr="00DF4CE5">
              <w:rPr>
                <w:rFonts w:ascii="Cambria" w:hAnsi="Cambria" w:cs="Calibri"/>
                <w:lang w:val="it-IT"/>
              </w:rPr>
              <w:t xml:space="preserve"> i </w:t>
            </w:r>
            <w:proofErr w:type="spellStart"/>
            <w:r w:rsidRPr="00DF4CE5">
              <w:rPr>
                <w:rFonts w:ascii="Cambria" w:hAnsi="Cambria" w:cs="Calibri"/>
                <w:lang w:val="it-IT"/>
              </w:rPr>
              <w:t>diplomski</w:t>
            </w:r>
            <w:proofErr w:type="spellEnd"/>
            <w:r w:rsidRPr="00DF4CE5">
              <w:rPr>
                <w:rFonts w:ascii="Cambria" w:hAnsi="Cambria" w:cs="Calibri"/>
                <w:lang w:val="it-IT"/>
              </w:rPr>
              <w:t xml:space="preserve"> </w:t>
            </w:r>
            <w:proofErr w:type="spellStart"/>
            <w:r w:rsidRPr="00DF4CE5">
              <w:rPr>
                <w:rFonts w:ascii="Cambria" w:hAnsi="Cambria" w:cs="Calibri"/>
                <w:lang w:val="it-IT"/>
              </w:rPr>
              <w:t>sveučilišni</w:t>
            </w:r>
            <w:proofErr w:type="spellEnd"/>
            <w:r w:rsidRPr="00DF4CE5">
              <w:rPr>
                <w:rFonts w:ascii="Cambria" w:hAnsi="Cambria" w:cs="Calibri"/>
                <w:lang w:val="it-IT"/>
              </w:rPr>
              <w:t xml:space="preserve"> </w:t>
            </w:r>
            <w:proofErr w:type="spellStart"/>
            <w:r w:rsidRPr="00DF4CE5">
              <w:rPr>
                <w:rFonts w:ascii="Cambria" w:hAnsi="Cambria" w:cs="Calibri"/>
                <w:lang w:val="it-IT"/>
              </w:rPr>
              <w:t>učiteljski</w:t>
            </w:r>
            <w:proofErr w:type="spellEnd"/>
            <w:r w:rsidRPr="00DF4CE5">
              <w:rPr>
                <w:rFonts w:ascii="Cambria" w:hAnsi="Cambria" w:cs="Calibri"/>
                <w:lang w:val="it-IT"/>
              </w:rPr>
              <w:t xml:space="preserve"> </w:t>
            </w:r>
            <w:proofErr w:type="spellStart"/>
            <w:r w:rsidRPr="00DF4CE5">
              <w:rPr>
                <w:rFonts w:ascii="Cambria" w:hAnsi="Cambria" w:cs="Calibri"/>
                <w:lang w:val="it-IT"/>
              </w:rPr>
              <w:t>studij</w:t>
            </w:r>
            <w:proofErr w:type="spellEnd"/>
          </w:p>
        </w:tc>
      </w:tr>
      <w:tr w:rsidR="00A44D99" w:rsidRPr="00DF4CE5" w14:paraId="18AC780A" w14:textId="77777777" w:rsidTr="00891E8C">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F7EDF47" w14:textId="77777777" w:rsidR="00A44D99" w:rsidRPr="00DF4CE5" w:rsidRDefault="00A44D99" w:rsidP="001974E1">
            <w:pPr>
              <w:spacing w:after="0"/>
              <w:rPr>
                <w:rFonts w:ascii="Cambria" w:hAnsi="Cambria" w:cs="Calibri"/>
              </w:rPr>
            </w:pPr>
            <w:proofErr w:type="spellStart"/>
            <w:r w:rsidRPr="00DF4CE5">
              <w:rPr>
                <w:rFonts w:ascii="Cambria" w:hAnsi="Cambria" w:cs="Calibri"/>
              </w:rPr>
              <w:t>Vrsta</w:t>
            </w:r>
            <w:proofErr w:type="spellEnd"/>
            <w:r w:rsidRPr="00DF4CE5">
              <w:rPr>
                <w:rFonts w:ascii="Cambria" w:hAnsi="Cambria" w:cs="Calibri"/>
              </w:rPr>
              <w:t xml:space="preserve"> </w:t>
            </w:r>
            <w:proofErr w:type="spellStart"/>
            <w:r w:rsidRPr="00DF4CE5">
              <w:rPr>
                <w:rFonts w:ascii="Cambria" w:hAnsi="Cambria" w:cs="Calibri"/>
              </w:rPr>
              <w:t>kolegija</w:t>
            </w:r>
            <w:proofErr w:type="spellEnd"/>
          </w:p>
        </w:tc>
        <w:tc>
          <w:tcPr>
            <w:tcW w:w="240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1487252" w14:textId="2D883DAA" w:rsidR="00A44D99" w:rsidRPr="00DF4CE5" w:rsidRDefault="00E41F45" w:rsidP="001974E1">
            <w:pPr>
              <w:spacing w:after="0"/>
              <w:rPr>
                <w:rFonts w:ascii="Cambria" w:hAnsi="Cambria" w:cs="Calibri"/>
              </w:rPr>
            </w:pPr>
            <w:proofErr w:type="spellStart"/>
            <w:r>
              <w:rPr>
                <w:rFonts w:ascii="Cambria" w:hAnsi="Cambria" w:cs="Calibri"/>
              </w:rPr>
              <w:t>o</w:t>
            </w:r>
            <w:r w:rsidR="00A44D99" w:rsidRPr="00DF4CE5">
              <w:rPr>
                <w:rFonts w:ascii="Cambria" w:hAnsi="Cambria" w:cs="Calibri"/>
              </w:rPr>
              <w:t>bvezan</w:t>
            </w:r>
            <w:proofErr w:type="spellEnd"/>
          </w:p>
        </w:tc>
        <w:tc>
          <w:tcPr>
            <w:tcW w:w="1424"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4356913A" w14:textId="77777777" w:rsidR="00A44D99" w:rsidRPr="00DF4CE5" w:rsidRDefault="00A44D99" w:rsidP="001974E1">
            <w:pPr>
              <w:spacing w:after="0"/>
              <w:rPr>
                <w:rFonts w:ascii="Cambria" w:hAnsi="Cambria" w:cs="Calibri"/>
              </w:rPr>
            </w:pPr>
            <w:r w:rsidRPr="00DF4CE5">
              <w:rPr>
                <w:rFonts w:ascii="Cambria" w:hAnsi="Cambria" w:cs="Calibri"/>
              </w:rPr>
              <w:t xml:space="preserve">Razina </w:t>
            </w:r>
            <w:proofErr w:type="spellStart"/>
            <w:r w:rsidRPr="00DF4CE5">
              <w:rPr>
                <w:rFonts w:ascii="Cambria" w:hAnsi="Cambria" w:cs="Calibri"/>
              </w:rPr>
              <w:t>kolegija</w:t>
            </w:r>
            <w:proofErr w:type="spellEnd"/>
          </w:p>
        </w:tc>
        <w:tc>
          <w:tcPr>
            <w:tcW w:w="2686"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B0E24F3" w14:textId="77777777" w:rsidR="00A44D99" w:rsidRPr="00DF4CE5" w:rsidRDefault="00A44D99" w:rsidP="001974E1">
            <w:pPr>
              <w:spacing w:after="0"/>
              <w:rPr>
                <w:rFonts w:ascii="Cambria" w:hAnsi="Cambria" w:cs="Calibri"/>
              </w:rPr>
            </w:pPr>
            <w:proofErr w:type="spellStart"/>
            <w:r w:rsidRPr="00DF4CE5">
              <w:rPr>
                <w:rFonts w:ascii="Cambria" w:hAnsi="Cambria" w:cs="Calibri"/>
                <w:lang w:val="de-DE"/>
              </w:rPr>
              <w:t>integrirani</w:t>
            </w:r>
            <w:proofErr w:type="spellEnd"/>
          </w:p>
        </w:tc>
      </w:tr>
      <w:tr w:rsidR="00A44D99" w:rsidRPr="00DF4CE5" w14:paraId="48CFBE4A" w14:textId="77777777" w:rsidTr="00891E8C">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B85D18E" w14:textId="77777777" w:rsidR="00A44D99" w:rsidRPr="00DF4CE5" w:rsidRDefault="00A44D99" w:rsidP="001974E1">
            <w:pPr>
              <w:spacing w:after="0"/>
              <w:rPr>
                <w:rFonts w:ascii="Cambria" w:hAnsi="Cambria" w:cs="Calibri"/>
              </w:rPr>
            </w:pPr>
            <w:proofErr w:type="spellStart"/>
            <w:r w:rsidRPr="00DF4CE5">
              <w:rPr>
                <w:rFonts w:ascii="Cambria" w:hAnsi="Cambria" w:cs="Calibri"/>
              </w:rPr>
              <w:t>Semestar</w:t>
            </w:r>
            <w:proofErr w:type="spellEnd"/>
          </w:p>
        </w:tc>
        <w:tc>
          <w:tcPr>
            <w:tcW w:w="240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7C4F7B9" w14:textId="7FD8D175" w:rsidR="00A44D99" w:rsidRPr="00DF4CE5" w:rsidRDefault="00E41F45" w:rsidP="001974E1">
            <w:pPr>
              <w:spacing w:after="0"/>
              <w:rPr>
                <w:rFonts w:ascii="Cambria" w:hAnsi="Cambria" w:cs="Calibri"/>
              </w:rPr>
            </w:pPr>
            <w:proofErr w:type="spellStart"/>
            <w:r>
              <w:rPr>
                <w:rFonts w:ascii="Cambria" w:hAnsi="Cambria" w:cs="Calibri"/>
              </w:rPr>
              <w:t>z</w:t>
            </w:r>
            <w:r w:rsidR="00A44D99" w:rsidRPr="00DF4CE5">
              <w:rPr>
                <w:rFonts w:ascii="Cambria" w:hAnsi="Cambria" w:cs="Calibri"/>
              </w:rPr>
              <w:t>imski</w:t>
            </w:r>
            <w:proofErr w:type="spellEnd"/>
          </w:p>
        </w:tc>
        <w:tc>
          <w:tcPr>
            <w:tcW w:w="1424"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6A604474" w14:textId="77777777" w:rsidR="00A44D99" w:rsidRPr="00DF4CE5" w:rsidRDefault="00A44D99" w:rsidP="001974E1">
            <w:pPr>
              <w:spacing w:after="0"/>
              <w:rPr>
                <w:rFonts w:ascii="Cambria" w:hAnsi="Cambria" w:cs="Calibri"/>
              </w:rPr>
            </w:pPr>
            <w:r w:rsidRPr="00DF4CE5">
              <w:rPr>
                <w:rFonts w:ascii="Cambria" w:hAnsi="Cambria" w:cs="Calibri"/>
              </w:rPr>
              <w:t xml:space="preserve">Godina </w:t>
            </w:r>
            <w:proofErr w:type="spellStart"/>
            <w:r w:rsidRPr="00DF4CE5">
              <w:rPr>
                <w:rFonts w:ascii="Cambria" w:hAnsi="Cambria" w:cs="Calibri"/>
              </w:rPr>
              <w:t>studija</w:t>
            </w:r>
            <w:proofErr w:type="spellEnd"/>
          </w:p>
        </w:tc>
        <w:tc>
          <w:tcPr>
            <w:tcW w:w="2686"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A2F0497" w14:textId="77777777" w:rsidR="00A44D99" w:rsidRPr="00DF4CE5" w:rsidRDefault="00A44D99" w:rsidP="001974E1">
            <w:pPr>
              <w:spacing w:after="0"/>
              <w:rPr>
                <w:rFonts w:ascii="Cambria" w:hAnsi="Cambria" w:cs="Calibri"/>
              </w:rPr>
            </w:pPr>
            <w:r w:rsidRPr="00DF4CE5">
              <w:rPr>
                <w:rFonts w:ascii="Cambria" w:hAnsi="Cambria" w:cs="Calibri"/>
              </w:rPr>
              <w:t>V.</w:t>
            </w:r>
          </w:p>
        </w:tc>
      </w:tr>
      <w:tr w:rsidR="00A44D99" w:rsidRPr="00DF4CE5" w14:paraId="3615D24F" w14:textId="77777777" w:rsidTr="00891E8C">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4C407E1" w14:textId="77777777" w:rsidR="00A44D99" w:rsidRPr="00DF4CE5" w:rsidRDefault="00A44D99" w:rsidP="001974E1">
            <w:pPr>
              <w:spacing w:after="0"/>
              <w:rPr>
                <w:rFonts w:ascii="Cambria" w:hAnsi="Cambria" w:cs="Calibri"/>
              </w:rPr>
            </w:pPr>
            <w:proofErr w:type="spellStart"/>
            <w:r w:rsidRPr="00DF4CE5">
              <w:rPr>
                <w:rFonts w:ascii="Cambria" w:hAnsi="Cambria" w:cs="Calibri"/>
              </w:rPr>
              <w:t>Mjesto</w:t>
            </w:r>
            <w:proofErr w:type="spellEnd"/>
            <w:r w:rsidRPr="00DF4CE5">
              <w:rPr>
                <w:rFonts w:ascii="Cambria" w:hAnsi="Cambria" w:cs="Calibri"/>
              </w:rPr>
              <w:t xml:space="preserve"> </w:t>
            </w:r>
            <w:proofErr w:type="spellStart"/>
            <w:r w:rsidRPr="00DF4CE5">
              <w:rPr>
                <w:rFonts w:ascii="Cambria" w:hAnsi="Cambria" w:cs="Calibri"/>
              </w:rPr>
              <w:t>izvođenja</w:t>
            </w:r>
            <w:proofErr w:type="spellEnd"/>
          </w:p>
        </w:tc>
        <w:tc>
          <w:tcPr>
            <w:tcW w:w="240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F6F2B43" w14:textId="77777777" w:rsidR="00A44D99" w:rsidRPr="00DF4CE5" w:rsidRDefault="00A44D99" w:rsidP="001974E1">
            <w:pPr>
              <w:spacing w:after="0"/>
              <w:rPr>
                <w:rFonts w:ascii="Cambria" w:hAnsi="Cambria" w:cs="Calibri"/>
              </w:rPr>
            </w:pPr>
            <w:proofErr w:type="spellStart"/>
            <w:r w:rsidRPr="00DF4CE5">
              <w:rPr>
                <w:rFonts w:ascii="Cambria" w:hAnsi="Cambria" w:cs="Calibri"/>
              </w:rPr>
              <w:t>dvorana</w:t>
            </w:r>
            <w:proofErr w:type="spellEnd"/>
            <w:r w:rsidRPr="00DF4CE5">
              <w:rPr>
                <w:rFonts w:ascii="Cambria" w:hAnsi="Cambria" w:cs="Calibri"/>
              </w:rPr>
              <w:t xml:space="preserve">, </w:t>
            </w:r>
            <w:proofErr w:type="spellStart"/>
            <w:r w:rsidRPr="00DF4CE5">
              <w:rPr>
                <w:rFonts w:ascii="Cambria" w:hAnsi="Cambria" w:cs="Calibri"/>
              </w:rPr>
              <w:t>računalna</w:t>
            </w:r>
            <w:proofErr w:type="spellEnd"/>
            <w:r w:rsidRPr="00DF4CE5">
              <w:rPr>
                <w:rFonts w:ascii="Cambria" w:hAnsi="Cambria" w:cs="Calibri"/>
              </w:rPr>
              <w:t xml:space="preserve"> </w:t>
            </w:r>
            <w:proofErr w:type="spellStart"/>
            <w:r w:rsidRPr="00DF4CE5">
              <w:rPr>
                <w:rFonts w:ascii="Cambria" w:hAnsi="Cambria" w:cs="Calibri"/>
              </w:rPr>
              <w:t>učionica</w:t>
            </w:r>
            <w:proofErr w:type="spellEnd"/>
          </w:p>
        </w:tc>
        <w:tc>
          <w:tcPr>
            <w:tcW w:w="1424"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76DB9216" w14:textId="77777777" w:rsidR="00A44D99" w:rsidRPr="00DF4CE5" w:rsidRDefault="00A44D99" w:rsidP="001974E1">
            <w:pPr>
              <w:spacing w:after="0"/>
              <w:rPr>
                <w:rFonts w:ascii="Cambria" w:hAnsi="Cambria" w:cs="Calibri"/>
              </w:rPr>
            </w:pPr>
            <w:r w:rsidRPr="00DF4CE5">
              <w:rPr>
                <w:rFonts w:ascii="Cambria" w:hAnsi="Cambria" w:cs="Calibri"/>
              </w:rPr>
              <w:t xml:space="preserve">Jezik </w:t>
            </w:r>
            <w:proofErr w:type="spellStart"/>
            <w:r w:rsidRPr="00DF4CE5">
              <w:rPr>
                <w:rFonts w:ascii="Cambria" w:hAnsi="Cambria" w:cs="Calibri"/>
              </w:rPr>
              <w:t>izvođenja</w:t>
            </w:r>
            <w:proofErr w:type="spellEnd"/>
            <w:r w:rsidRPr="00DF4CE5">
              <w:rPr>
                <w:rFonts w:ascii="Cambria" w:hAnsi="Cambria" w:cs="Calibri"/>
              </w:rPr>
              <w:t xml:space="preserve"> (</w:t>
            </w:r>
            <w:proofErr w:type="spellStart"/>
            <w:r w:rsidRPr="00DF4CE5">
              <w:rPr>
                <w:rFonts w:ascii="Cambria" w:hAnsi="Cambria" w:cs="Calibri"/>
              </w:rPr>
              <w:t>drugi</w:t>
            </w:r>
            <w:proofErr w:type="spellEnd"/>
            <w:r w:rsidRPr="00DF4CE5">
              <w:rPr>
                <w:rFonts w:ascii="Cambria" w:hAnsi="Cambria" w:cs="Calibri"/>
              </w:rPr>
              <w:t xml:space="preserve"> </w:t>
            </w:r>
            <w:proofErr w:type="spellStart"/>
            <w:r w:rsidRPr="00DF4CE5">
              <w:rPr>
                <w:rFonts w:ascii="Cambria" w:hAnsi="Cambria" w:cs="Calibri"/>
              </w:rPr>
              <w:t>jezici</w:t>
            </w:r>
            <w:proofErr w:type="spellEnd"/>
            <w:r w:rsidRPr="00DF4CE5">
              <w:rPr>
                <w:rFonts w:ascii="Cambria" w:hAnsi="Cambria" w:cs="Calibri"/>
              </w:rPr>
              <w:t>)</w:t>
            </w:r>
          </w:p>
        </w:tc>
        <w:tc>
          <w:tcPr>
            <w:tcW w:w="2686"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08053A5" w14:textId="77777777" w:rsidR="00A44D99" w:rsidRPr="00DF4CE5" w:rsidRDefault="00A44D99" w:rsidP="001974E1">
            <w:pPr>
              <w:spacing w:after="0"/>
              <w:rPr>
                <w:rFonts w:ascii="Cambria" w:hAnsi="Cambria" w:cs="Calibri"/>
              </w:rPr>
            </w:pPr>
            <w:proofErr w:type="spellStart"/>
            <w:r w:rsidRPr="00DF4CE5">
              <w:rPr>
                <w:rFonts w:ascii="Cambria" w:hAnsi="Cambria" w:cs="Calibri"/>
              </w:rPr>
              <w:t>hrvatski</w:t>
            </w:r>
            <w:proofErr w:type="spellEnd"/>
          </w:p>
        </w:tc>
      </w:tr>
      <w:tr w:rsidR="00A44D99" w:rsidRPr="00DF4CE5" w14:paraId="5C493AAC" w14:textId="77777777" w:rsidTr="00891E8C">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E31F3B7" w14:textId="77777777" w:rsidR="00A44D99" w:rsidRPr="00DF4CE5" w:rsidRDefault="00A44D99" w:rsidP="001974E1">
            <w:pPr>
              <w:spacing w:after="0"/>
              <w:rPr>
                <w:rFonts w:ascii="Cambria" w:hAnsi="Cambria" w:cs="Calibri"/>
              </w:rPr>
            </w:pPr>
            <w:proofErr w:type="spellStart"/>
            <w:r w:rsidRPr="00DF4CE5">
              <w:rPr>
                <w:rFonts w:ascii="Cambria" w:hAnsi="Cambria" w:cs="Calibri"/>
              </w:rPr>
              <w:t>Broj</w:t>
            </w:r>
            <w:proofErr w:type="spellEnd"/>
            <w:r w:rsidRPr="00DF4CE5">
              <w:rPr>
                <w:rFonts w:ascii="Cambria" w:hAnsi="Cambria" w:cs="Calibri"/>
              </w:rPr>
              <w:t xml:space="preserve"> ECTS </w:t>
            </w:r>
            <w:proofErr w:type="spellStart"/>
            <w:r w:rsidRPr="00DF4CE5">
              <w:rPr>
                <w:rFonts w:ascii="Cambria" w:hAnsi="Cambria" w:cs="Calibri"/>
              </w:rPr>
              <w:t>bodova</w:t>
            </w:r>
            <w:proofErr w:type="spellEnd"/>
          </w:p>
        </w:tc>
        <w:tc>
          <w:tcPr>
            <w:tcW w:w="240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D5FBD92" w14:textId="1E9D8683" w:rsidR="00A44D99" w:rsidRPr="00DF4CE5" w:rsidRDefault="00AF0D71" w:rsidP="001974E1">
            <w:pPr>
              <w:spacing w:after="0"/>
              <w:rPr>
                <w:rFonts w:ascii="Cambria" w:hAnsi="Cambria" w:cs="Calibri"/>
              </w:rPr>
            </w:pPr>
            <w:r>
              <w:rPr>
                <w:rFonts w:ascii="Cambria" w:hAnsi="Cambria" w:cs="Calibri"/>
              </w:rPr>
              <w:t>5</w:t>
            </w:r>
          </w:p>
        </w:tc>
        <w:tc>
          <w:tcPr>
            <w:tcW w:w="1424"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3CF88140" w14:textId="77777777" w:rsidR="00A44D99" w:rsidRPr="00DF4CE5" w:rsidRDefault="00A44D99" w:rsidP="001974E1">
            <w:pPr>
              <w:spacing w:after="0"/>
              <w:rPr>
                <w:rFonts w:ascii="Cambria" w:hAnsi="Cambria" w:cs="Calibri"/>
              </w:rPr>
            </w:pPr>
            <w:proofErr w:type="spellStart"/>
            <w:r w:rsidRPr="00DF4CE5">
              <w:rPr>
                <w:rFonts w:ascii="Cambria" w:hAnsi="Cambria" w:cs="Calibri"/>
              </w:rPr>
              <w:t>Broj</w:t>
            </w:r>
            <w:proofErr w:type="spellEnd"/>
            <w:r w:rsidRPr="00DF4CE5">
              <w:rPr>
                <w:rFonts w:ascii="Cambria" w:hAnsi="Cambria" w:cs="Calibri"/>
              </w:rPr>
              <w:t xml:space="preserve"> sati u </w:t>
            </w:r>
            <w:proofErr w:type="spellStart"/>
            <w:r w:rsidRPr="00DF4CE5">
              <w:rPr>
                <w:rFonts w:ascii="Cambria" w:hAnsi="Cambria" w:cs="Calibri"/>
              </w:rPr>
              <w:t>semestru</w:t>
            </w:r>
            <w:proofErr w:type="spellEnd"/>
          </w:p>
        </w:tc>
        <w:tc>
          <w:tcPr>
            <w:tcW w:w="2686"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4834DB7" w14:textId="5755169D" w:rsidR="00A44D99" w:rsidRPr="00DF4CE5" w:rsidRDefault="00A44D99" w:rsidP="001974E1">
            <w:pPr>
              <w:spacing w:after="0"/>
              <w:rPr>
                <w:rFonts w:ascii="Cambria" w:hAnsi="Cambria" w:cs="Calibri"/>
              </w:rPr>
            </w:pPr>
            <w:r w:rsidRPr="00DF4CE5">
              <w:rPr>
                <w:rFonts w:ascii="Cambria" w:hAnsi="Cambria" w:cs="Calibri"/>
              </w:rPr>
              <w:t xml:space="preserve">15P – </w:t>
            </w:r>
            <w:r w:rsidR="001974E1" w:rsidRPr="00DF4CE5">
              <w:rPr>
                <w:rFonts w:ascii="Cambria" w:hAnsi="Cambria" w:cs="Calibri"/>
              </w:rPr>
              <w:t>0S</w:t>
            </w:r>
            <w:r w:rsidRPr="00DF4CE5">
              <w:rPr>
                <w:rFonts w:ascii="Cambria" w:hAnsi="Cambria" w:cs="Calibri"/>
              </w:rPr>
              <w:t xml:space="preserve"> – </w:t>
            </w:r>
            <w:r w:rsidR="001974E1" w:rsidRPr="00DF4CE5">
              <w:rPr>
                <w:rFonts w:ascii="Cambria" w:hAnsi="Cambria" w:cs="Calibri"/>
              </w:rPr>
              <w:t>45V</w:t>
            </w:r>
          </w:p>
        </w:tc>
      </w:tr>
      <w:tr w:rsidR="00A44D99" w:rsidRPr="00D0399C" w14:paraId="192E1BA2" w14:textId="77777777" w:rsidTr="00891E8C">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05CC67C" w14:textId="77777777" w:rsidR="00A44D99" w:rsidRPr="00DF4CE5" w:rsidRDefault="00A44D99" w:rsidP="001974E1">
            <w:pPr>
              <w:spacing w:after="0"/>
              <w:rPr>
                <w:rFonts w:ascii="Cambria" w:hAnsi="Cambria" w:cs="Calibri"/>
                <w:lang w:val="it-IT"/>
              </w:rPr>
            </w:pPr>
            <w:proofErr w:type="spellStart"/>
            <w:r w:rsidRPr="00DF4CE5">
              <w:rPr>
                <w:rFonts w:ascii="Cambria" w:hAnsi="Cambria" w:cs="Calibri"/>
                <w:lang w:val="it-IT"/>
              </w:rPr>
              <w:t>Preduvjeti</w:t>
            </w:r>
            <w:proofErr w:type="spellEnd"/>
            <w:r w:rsidRPr="00DF4CE5">
              <w:rPr>
                <w:rFonts w:ascii="Cambria" w:hAnsi="Cambria" w:cs="Calibri"/>
                <w:lang w:val="it-IT"/>
              </w:rPr>
              <w:t xml:space="preserve"> za </w:t>
            </w:r>
            <w:proofErr w:type="spellStart"/>
            <w:r w:rsidRPr="00DF4CE5">
              <w:rPr>
                <w:rFonts w:ascii="Cambria" w:hAnsi="Cambria" w:cs="Calibri"/>
                <w:lang w:val="it-IT"/>
              </w:rPr>
              <w:t>upis</w:t>
            </w:r>
            <w:proofErr w:type="spellEnd"/>
            <w:r w:rsidRPr="00DF4CE5">
              <w:rPr>
                <w:rFonts w:ascii="Cambria" w:hAnsi="Cambria" w:cs="Calibri"/>
                <w:lang w:val="it-IT"/>
              </w:rPr>
              <w:t xml:space="preserve"> i za </w:t>
            </w:r>
            <w:proofErr w:type="spellStart"/>
            <w:r w:rsidRPr="00DF4CE5">
              <w:rPr>
                <w:rFonts w:ascii="Cambria" w:hAnsi="Cambria" w:cs="Calibri"/>
                <w:lang w:val="it-IT"/>
              </w:rPr>
              <w:t>svladavanje</w:t>
            </w:r>
            <w:proofErr w:type="spellEnd"/>
          </w:p>
        </w:tc>
        <w:tc>
          <w:tcPr>
            <w:tcW w:w="651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237290A" w14:textId="77777777" w:rsidR="00A44D99" w:rsidRPr="00DF4CE5" w:rsidRDefault="00A44D99" w:rsidP="001974E1">
            <w:pPr>
              <w:spacing w:after="0"/>
              <w:rPr>
                <w:rFonts w:ascii="Cambria" w:hAnsi="Cambria" w:cs="Cambria"/>
                <w:lang w:val="it-IT"/>
              </w:rPr>
            </w:pPr>
            <w:proofErr w:type="spellStart"/>
            <w:r w:rsidRPr="00DF4CE5">
              <w:rPr>
                <w:rFonts w:ascii="Cambria" w:hAnsi="Cambria" w:cs="Calibri"/>
                <w:lang w:val="it-IT"/>
              </w:rPr>
              <w:t>Pedagogija</w:t>
            </w:r>
            <w:proofErr w:type="spellEnd"/>
            <w:r w:rsidRPr="00DF4CE5">
              <w:rPr>
                <w:rFonts w:ascii="Cambria" w:hAnsi="Cambria" w:cs="Calibri"/>
                <w:lang w:val="it-IT"/>
              </w:rPr>
              <w:t xml:space="preserve">, </w:t>
            </w:r>
            <w:proofErr w:type="spellStart"/>
            <w:r w:rsidRPr="00DF4CE5">
              <w:rPr>
                <w:rFonts w:ascii="Cambria" w:hAnsi="Cambria" w:cs="Calibri"/>
                <w:lang w:val="it-IT"/>
              </w:rPr>
              <w:t>Didaktika</w:t>
            </w:r>
            <w:proofErr w:type="spellEnd"/>
            <w:r w:rsidRPr="00DF4CE5">
              <w:rPr>
                <w:rFonts w:ascii="Cambria" w:hAnsi="Cambria" w:cs="Calibri"/>
                <w:lang w:val="it-IT"/>
              </w:rPr>
              <w:t xml:space="preserve">, </w:t>
            </w:r>
            <w:proofErr w:type="spellStart"/>
            <w:r w:rsidRPr="00DF4CE5">
              <w:rPr>
                <w:rFonts w:ascii="Cambria" w:hAnsi="Cambria" w:cs="Calibri"/>
                <w:lang w:val="it-IT"/>
              </w:rPr>
              <w:t>Razvojna</w:t>
            </w:r>
            <w:proofErr w:type="spellEnd"/>
            <w:r w:rsidRPr="00DF4CE5">
              <w:rPr>
                <w:rFonts w:ascii="Cambria" w:hAnsi="Cambria" w:cs="Calibri"/>
                <w:lang w:val="it-IT"/>
              </w:rPr>
              <w:t xml:space="preserve"> </w:t>
            </w:r>
            <w:proofErr w:type="spellStart"/>
            <w:r w:rsidRPr="00DF4CE5">
              <w:rPr>
                <w:rFonts w:ascii="Cambria" w:hAnsi="Cambria" w:cs="Calibri"/>
                <w:lang w:val="it-IT"/>
              </w:rPr>
              <w:t>psihologija</w:t>
            </w:r>
            <w:proofErr w:type="spellEnd"/>
            <w:r w:rsidRPr="00DF4CE5">
              <w:rPr>
                <w:rFonts w:ascii="Cambria" w:hAnsi="Cambria" w:cs="Calibri"/>
                <w:lang w:val="it-IT"/>
              </w:rPr>
              <w:t xml:space="preserve">, </w:t>
            </w:r>
            <w:proofErr w:type="spellStart"/>
            <w:r w:rsidRPr="00DF4CE5">
              <w:rPr>
                <w:rFonts w:ascii="Cambria" w:hAnsi="Cambria" w:cs="Calibri"/>
                <w:lang w:val="it-IT"/>
              </w:rPr>
              <w:t>Metodika</w:t>
            </w:r>
            <w:proofErr w:type="spellEnd"/>
            <w:r w:rsidRPr="00DF4CE5">
              <w:rPr>
                <w:rFonts w:ascii="Cambria" w:hAnsi="Cambria" w:cs="Calibri"/>
                <w:lang w:val="it-IT"/>
              </w:rPr>
              <w:t xml:space="preserve"> </w:t>
            </w:r>
            <w:proofErr w:type="spellStart"/>
            <w:r w:rsidRPr="00DF4CE5">
              <w:rPr>
                <w:rFonts w:ascii="Cambria" w:hAnsi="Cambria" w:cs="Calibri"/>
                <w:lang w:val="it-IT"/>
              </w:rPr>
              <w:t>nastave</w:t>
            </w:r>
            <w:proofErr w:type="spellEnd"/>
            <w:r w:rsidRPr="00DF4CE5">
              <w:rPr>
                <w:rFonts w:ascii="Cambria" w:hAnsi="Cambria" w:cs="Calibri"/>
                <w:lang w:val="it-IT"/>
              </w:rPr>
              <w:t xml:space="preserve"> </w:t>
            </w:r>
            <w:proofErr w:type="spellStart"/>
            <w:r w:rsidRPr="00DF4CE5">
              <w:rPr>
                <w:rFonts w:ascii="Cambria" w:hAnsi="Cambria" w:cs="Calibri"/>
                <w:lang w:val="it-IT"/>
              </w:rPr>
              <w:t>informatike</w:t>
            </w:r>
            <w:proofErr w:type="spellEnd"/>
            <w:r w:rsidRPr="00DF4CE5">
              <w:rPr>
                <w:rFonts w:ascii="Cambria" w:hAnsi="Cambria" w:cs="Calibri"/>
                <w:lang w:val="it-IT"/>
              </w:rPr>
              <w:t xml:space="preserve"> I.</w:t>
            </w:r>
          </w:p>
        </w:tc>
      </w:tr>
      <w:tr w:rsidR="00A44D99" w:rsidRPr="00D0399C" w14:paraId="4494CF23" w14:textId="77777777" w:rsidTr="00891E8C">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8E6E425" w14:textId="77777777" w:rsidR="00A44D99" w:rsidRPr="00DF4CE5" w:rsidRDefault="00A44D99" w:rsidP="001974E1">
            <w:pPr>
              <w:spacing w:after="0"/>
              <w:rPr>
                <w:rFonts w:ascii="Cambria" w:hAnsi="Cambria" w:cs="Calibri"/>
              </w:rPr>
            </w:pPr>
            <w:proofErr w:type="spellStart"/>
            <w:r w:rsidRPr="00DF4CE5">
              <w:rPr>
                <w:rFonts w:ascii="Cambria" w:hAnsi="Cambria" w:cs="Calibri"/>
              </w:rPr>
              <w:t>Korelativnost</w:t>
            </w:r>
            <w:proofErr w:type="spellEnd"/>
          </w:p>
        </w:tc>
        <w:tc>
          <w:tcPr>
            <w:tcW w:w="651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CCB0BE9" w14:textId="77777777" w:rsidR="00A44D99" w:rsidRPr="00DF4CE5" w:rsidRDefault="00A44D99" w:rsidP="001974E1">
            <w:pPr>
              <w:spacing w:after="0"/>
              <w:rPr>
                <w:rFonts w:ascii="Cambria" w:hAnsi="Cambria" w:cs="Calibri"/>
                <w:lang w:val="it-IT"/>
              </w:rPr>
            </w:pPr>
            <w:proofErr w:type="spellStart"/>
            <w:r w:rsidRPr="00DF4CE5">
              <w:rPr>
                <w:rFonts w:ascii="Cambria" w:hAnsi="Cambria" w:cs="Calibri"/>
                <w:lang w:val="it-IT"/>
              </w:rPr>
              <w:t>Metodika</w:t>
            </w:r>
            <w:proofErr w:type="spellEnd"/>
            <w:r w:rsidRPr="00DF4CE5">
              <w:rPr>
                <w:rFonts w:ascii="Cambria" w:hAnsi="Cambria" w:cs="Calibri"/>
                <w:lang w:val="it-IT"/>
              </w:rPr>
              <w:t xml:space="preserve"> </w:t>
            </w:r>
            <w:proofErr w:type="spellStart"/>
            <w:r w:rsidRPr="00DF4CE5">
              <w:rPr>
                <w:rFonts w:ascii="Cambria" w:hAnsi="Cambria" w:cs="Calibri"/>
                <w:lang w:val="it-IT"/>
              </w:rPr>
              <w:t>nastave</w:t>
            </w:r>
            <w:proofErr w:type="spellEnd"/>
            <w:r w:rsidRPr="00DF4CE5">
              <w:rPr>
                <w:rFonts w:ascii="Cambria" w:hAnsi="Cambria" w:cs="Calibri"/>
                <w:lang w:val="it-IT"/>
              </w:rPr>
              <w:t xml:space="preserve"> </w:t>
            </w:r>
            <w:proofErr w:type="spellStart"/>
            <w:r w:rsidRPr="00DF4CE5">
              <w:rPr>
                <w:rFonts w:ascii="Cambria" w:hAnsi="Cambria" w:cs="Calibri"/>
                <w:lang w:val="it-IT"/>
              </w:rPr>
              <w:t>informatike</w:t>
            </w:r>
            <w:proofErr w:type="spellEnd"/>
            <w:r w:rsidRPr="00DF4CE5">
              <w:rPr>
                <w:rFonts w:ascii="Cambria" w:hAnsi="Cambria" w:cs="Calibri"/>
                <w:lang w:val="it-IT"/>
              </w:rPr>
              <w:t xml:space="preserve"> I. i II.</w:t>
            </w:r>
          </w:p>
        </w:tc>
      </w:tr>
      <w:tr w:rsidR="00A44D99" w:rsidRPr="00DF4CE5" w14:paraId="3B464364" w14:textId="77777777" w:rsidTr="00891E8C">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BDB39B9" w14:textId="77777777" w:rsidR="00A44D99" w:rsidRPr="00DF4CE5" w:rsidRDefault="00A44D99" w:rsidP="00891E8C">
            <w:pPr>
              <w:rPr>
                <w:rFonts w:ascii="Cambria" w:hAnsi="Cambria" w:cs="Calibri"/>
              </w:rPr>
            </w:pPr>
            <w:proofErr w:type="spellStart"/>
            <w:r w:rsidRPr="00DF4CE5">
              <w:rPr>
                <w:rFonts w:ascii="Cambria" w:hAnsi="Cambria" w:cs="Calibri"/>
              </w:rPr>
              <w:t>Cilj</w:t>
            </w:r>
            <w:proofErr w:type="spellEnd"/>
            <w:r w:rsidRPr="00DF4CE5">
              <w:rPr>
                <w:rFonts w:ascii="Cambria" w:hAnsi="Cambria" w:cs="Calibri"/>
              </w:rPr>
              <w:t xml:space="preserve"> </w:t>
            </w:r>
            <w:proofErr w:type="spellStart"/>
            <w:r w:rsidRPr="00DF4CE5">
              <w:rPr>
                <w:rFonts w:ascii="Cambria" w:hAnsi="Cambria" w:cs="Calibri"/>
              </w:rPr>
              <w:t>kolegija</w:t>
            </w:r>
            <w:proofErr w:type="spellEnd"/>
            <w:r w:rsidRPr="00DF4CE5">
              <w:rPr>
                <w:rFonts w:ascii="Cambria" w:hAnsi="Cambria" w:cs="Calibri"/>
              </w:rPr>
              <w:t xml:space="preserve"> </w:t>
            </w:r>
          </w:p>
        </w:tc>
        <w:tc>
          <w:tcPr>
            <w:tcW w:w="651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442370A" w14:textId="77777777" w:rsidR="00A44D99" w:rsidRPr="00DF4CE5" w:rsidRDefault="00A44D99" w:rsidP="00891E8C">
            <w:pPr>
              <w:pStyle w:val="Default"/>
              <w:rPr>
                <w:rFonts w:ascii="Cambria" w:hAnsi="Cambria"/>
                <w:sz w:val="22"/>
                <w:szCs w:val="22"/>
              </w:rPr>
            </w:pPr>
            <w:proofErr w:type="spellStart"/>
            <w:r w:rsidRPr="00DF4CE5">
              <w:rPr>
                <w:rFonts w:ascii="Cambria" w:hAnsi="Cambria"/>
                <w:sz w:val="22"/>
                <w:szCs w:val="22"/>
              </w:rPr>
              <w:t>osposobiti</w:t>
            </w:r>
            <w:proofErr w:type="spellEnd"/>
            <w:r w:rsidRPr="00DF4CE5">
              <w:rPr>
                <w:rFonts w:ascii="Cambria" w:hAnsi="Cambria"/>
                <w:sz w:val="22"/>
                <w:szCs w:val="22"/>
              </w:rPr>
              <w:t xml:space="preserve"> </w:t>
            </w:r>
            <w:proofErr w:type="spellStart"/>
            <w:r w:rsidRPr="00DF4CE5">
              <w:rPr>
                <w:rFonts w:ascii="Cambria" w:hAnsi="Cambria"/>
                <w:sz w:val="22"/>
                <w:szCs w:val="22"/>
              </w:rPr>
              <w:t>studente</w:t>
            </w:r>
            <w:proofErr w:type="spellEnd"/>
            <w:r w:rsidRPr="00DF4CE5">
              <w:rPr>
                <w:rFonts w:ascii="Cambria" w:hAnsi="Cambria"/>
                <w:sz w:val="22"/>
                <w:szCs w:val="22"/>
              </w:rPr>
              <w:t xml:space="preserve"> </w:t>
            </w:r>
            <w:proofErr w:type="spellStart"/>
            <w:r w:rsidRPr="00DF4CE5">
              <w:rPr>
                <w:rFonts w:ascii="Cambria" w:hAnsi="Cambria"/>
                <w:sz w:val="22"/>
                <w:szCs w:val="22"/>
              </w:rPr>
              <w:t>kvalitetnom</w:t>
            </w:r>
            <w:proofErr w:type="spellEnd"/>
            <w:r w:rsidRPr="00DF4CE5">
              <w:rPr>
                <w:rFonts w:ascii="Cambria" w:hAnsi="Cambria"/>
                <w:sz w:val="22"/>
                <w:szCs w:val="22"/>
              </w:rPr>
              <w:t xml:space="preserve"> </w:t>
            </w:r>
            <w:proofErr w:type="spellStart"/>
            <w:r w:rsidRPr="00DF4CE5">
              <w:rPr>
                <w:rFonts w:ascii="Cambria" w:hAnsi="Cambria"/>
                <w:sz w:val="22"/>
                <w:szCs w:val="22"/>
              </w:rPr>
              <w:t>planiranju</w:t>
            </w:r>
            <w:proofErr w:type="spellEnd"/>
            <w:r w:rsidRPr="00DF4CE5">
              <w:rPr>
                <w:rFonts w:ascii="Cambria" w:hAnsi="Cambria"/>
                <w:sz w:val="22"/>
                <w:szCs w:val="22"/>
              </w:rPr>
              <w:t xml:space="preserve">, </w:t>
            </w:r>
            <w:proofErr w:type="spellStart"/>
            <w:r w:rsidRPr="00DF4CE5">
              <w:rPr>
                <w:rFonts w:ascii="Cambria" w:hAnsi="Cambria"/>
                <w:sz w:val="22"/>
                <w:szCs w:val="22"/>
              </w:rPr>
              <w:t>pripremi</w:t>
            </w:r>
            <w:proofErr w:type="spellEnd"/>
            <w:r w:rsidRPr="00DF4CE5">
              <w:rPr>
                <w:rFonts w:ascii="Cambria" w:hAnsi="Cambria"/>
                <w:sz w:val="22"/>
                <w:szCs w:val="22"/>
              </w:rPr>
              <w:t xml:space="preserve"> </w:t>
            </w:r>
            <w:proofErr w:type="spellStart"/>
            <w:r w:rsidRPr="00DF4CE5">
              <w:rPr>
                <w:rFonts w:ascii="Cambria" w:hAnsi="Cambria"/>
                <w:sz w:val="22"/>
                <w:szCs w:val="22"/>
              </w:rPr>
              <w:t>i</w:t>
            </w:r>
            <w:proofErr w:type="spellEnd"/>
            <w:r w:rsidRPr="00DF4CE5">
              <w:rPr>
                <w:rFonts w:ascii="Cambria" w:hAnsi="Cambria"/>
                <w:sz w:val="22"/>
                <w:szCs w:val="22"/>
              </w:rPr>
              <w:t xml:space="preserve"> </w:t>
            </w:r>
            <w:proofErr w:type="spellStart"/>
            <w:r w:rsidRPr="00DF4CE5">
              <w:rPr>
                <w:rFonts w:ascii="Cambria" w:hAnsi="Cambria"/>
                <w:sz w:val="22"/>
                <w:szCs w:val="22"/>
              </w:rPr>
              <w:t>procijeni</w:t>
            </w:r>
            <w:proofErr w:type="spellEnd"/>
            <w:r w:rsidRPr="00DF4CE5">
              <w:rPr>
                <w:rFonts w:ascii="Cambria" w:hAnsi="Cambria"/>
                <w:sz w:val="22"/>
                <w:szCs w:val="22"/>
              </w:rPr>
              <w:t xml:space="preserve"> </w:t>
            </w:r>
            <w:proofErr w:type="spellStart"/>
            <w:r w:rsidRPr="00DF4CE5">
              <w:rPr>
                <w:rFonts w:ascii="Cambria" w:hAnsi="Cambria"/>
                <w:sz w:val="22"/>
                <w:szCs w:val="22"/>
              </w:rPr>
              <w:t>nastave</w:t>
            </w:r>
            <w:proofErr w:type="spellEnd"/>
            <w:r w:rsidRPr="00DF4CE5">
              <w:rPr>
                <w:rFonts w:ascii="Cambria" w:hAnsi="Cambria"/>
                <w:sz w:val="22"/>
                <w:szCs w:val="22"/>
              </w:rPr>
              <w:t xml:space="preserve"> </w:t>
            </w:r>
            <w:proofErr w:type="spellStart"/>
            <w:r w:rsidRPr="00DF4CE5">
              <w:rPr>
                <w:rFonts w:ascii="Cambria" w:hAnsi="Cambria"/>
                <w:sz w:val="22"/>
                <w:szCs w:val="22"/>
              </w:rPr>
              <w:t>informatičkih</w:t>
            </w:r>
            <w:proofErr w:type="spellEnd"/>
            <w:r w:rsidRPr="00DF4CE5">
              <w:rPr>
                <w:rFonts w:ascii="Cambria" w:hAnsi="Cambria"/>
                <w:sz w:val="22"/>
                <w:szCs w:val="22"/>
              </w:rPr>
              <w:t xml:space="preserve"> </w:t>
            </w:r>
            <w:proofErr w:type="spellStart"/>
            <w:r w:rsidRPr="00DF4CE5">
              <w:rPr>
                <w:rFonts w:ascii="Cambria" w:hAnsi="Cambria"/>
                <w:sz w:val="22"/>
                <w:szCs w:val="22"/>
              </w:rPr>
              <w:t>predmeta</w:t>
            </w:r>
            <w:proofErr w:type="spellEnd"/>
            <w:r w:rsidRPr="00DF4CE5">
              <w:rPr>
                <w:rFonts w:ascii="Cambria" w:hAnsi="Cambria"/>
                <w:sz w:val="22"/>
                <w:szCs w:val="22"/>
              </w:rPr>
              <w:t xml:space="preserve">, </w:t>
            </w:r>
            <w:proofErr w:type="spellStart"/>
            <w:r w:rsidRPr="00DF4CE5">
              <w:rPr>
                <w:rFonts w:ascii="Cambria" w:hAnsi="Cambria"/>
                <w:sz w:val="22"/>
                <w:szCs w:val="22"/>
              </w:rPr>
              <w:t>te</w:t>
            </w:r>
            <w:proofErr w:type="spellEnd"/>
            <w:r w:rsidRPr="00DF4CE5">
              <w:rPr>
                <w:rFonts w:ascii="Cambria" w:hAnsi="Cambria"/>
                <w:sz w:val="22"/>
                <w:szCs w:val="22"/>
              </w:rPr>
              <w:t xml:space="preserve"> </w:t>
            </w:r>
            <w:proofErr w:type="spellStart"/>
            <w:r w:rsidRPr="00DF4CE5">
              <w:rPr>
                <w:rFonts w:ascii="Cambria" w:hAnsi="Cambria"/>
                <w:sz w:val="22"/>
                <w:szCs w:val="22"/>
              </w:rPr>
              <w:t>primijeni</w:t>
            </w:r>
            <w:proofErr w:type="spellEnd"/>
            <w:r w:rsidRPr="00DF4CE5">
              <w:rPr>
                <w:rFonts w:ascii="Cambria" w:hAnsi="Cambria"/>
                <w:sz w:val="22"/>
                <w:szCs w:val="22"/>
              </w:rPr>
              <w:t xml:space="preserve"> </w:t>
            </w:r>
            <w:proofErr w:type="spellStart"/>
            <w:r w:rsidRPr="00DF4CE5">
              <w:rPr>
                <w:rFonts w:ascii="Cambria" w:hAnsi="Cambria"/>
                <w:sz w:val="22"/>
                <w:szCs w:val="22"/>
              </w:rPr>
              <w:t>informacijske</w:t>
            </w:r>
            <w:proofErr w:type="spellEnd"/>
            <w:r w:rsidRPr="00DF4CE5">
              <w:rPr>
                <w:rFonts w:ascii="Cambria" w:hAnsi="Cambria"/>
                <w:sz w:val="22"/>
                <w:szCs w:val="22"/>
              </w:rPr>
              <w:t xml:space="preserve"> </w:t>
            </w:r>
            <w:proofErr w:type="spellStart"/>
            <w:r w:rsidRPr="00DF4CE5">
              <w:rPr>
                <w:rFonts w:ascii="Cambria" w:hAnsi="Cambria"/>
                <w:sz w:val="22"/>
                <w:szCs w:val="22"/>
              </w:rPr>
              <w:t>i</w:t>
            </w:r>
            <w:proofErr w:type="spellEnd"/>
            <w:r w:rsidRPr="00DF4CE5">
              <w:rPr>
                <w:rFonts w:ascii="Cambria" w:hAnsi="Cambria"/>
                <w:sz w:val="22"/>
                <w:szCs w:val="22"/>
              </w:rPr>
              <w:t xml:space="preserve"> </w:t>
            </w:r>
            <w:proofErr w:type="spellStart"/>
            <w:r w:rsidRPr="00DF4CE5">
              <w:rPr>
                <w:rFonts w:ascii="Cambria" w:hAnsi="Cambria"/>
                <w:sz w:val="22"/>
                <w:szCs w:val="22"/>
              </w:rPr>
              <w:t>komunikacijske</w:t>
            </w:r>
            <w:proofErr w:type="spellEnd"/>
            <w:r w:rsidRPr="00DF4CE5">
              <w:rPr>
                <w:rFonts w:ascii="Cambria" w:hAnsi="Cambria"/>
                <w:sz w:val="22"/>
                <w:szCs w:val="22"/>
              </w:rPr>
              <w:t xml:space="preserve"> </w:t>
            </w:r>
            <w:proofErr w:type="spellStart"/>
            <w:r w:rsidRPr="00DF4CE5">
              <w:rPr>
                <w:rFonts w:ascii="Cambria" w:hAnsi="Cambria"/>
                <w:sz w:val="22"/>
                <w:szCs w:val="22"/>
              </w:rPr>
              <w:t>tehnologije</w:t>
            </w:r>
            <w:proofErr w:type="spellEnd"/>
            <w:r w:rsidRPr="00DF4CE5">
              <w:rPr>
                <w:rFonts w:ascii="Cambria" w:hAnsi="Cambria"/>
                <w:sz w:val="22"/>
                <w:szCs w:val="22"/>
              </w:rPr>
              <w:t xml:space="preserve"> u </w:t>
            </w:r>
            <w:proofErr w:type="spellStart"/>
            <w:r w:rsidRPr="00DF4CE5">
              <w:rPr>
                <w:rFonts w:ascii="Cambria" w:hAnsi="Cambria"/>
                <w:sz w:val="22"/>
                <w:szCs w:val="22"/>
              </w:rPr>
              <w:t>obrazovanju</w:t>
            </w:r>
            <w:proofErr w:type="spellEnd"/>
          </w:p>
        </w:tc>
      </w:tr>
      <w:tr w:rsidR="00A44D99" w:rsidRPr="00D0399C" w14:paraId="5EE0529E" w14:textId="77777777" w:rsidTr="00891E8C">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194151E" w14:textId="77777777" w:rsidR="00A44D99" w:rsidRPr="00DF4CE5" w:rsidRDefault="00A44D99" w:rsidP="00891E8C">
            <w:pPr>
              <w:rPr>
                <w:rFonts w:ascii="Cambria" w:hAnsi="Cambria" w:cs="Calibri"/>
              </w:rPr>
            </w:pPr>
            <w:proofErr w:type="spellStart"/>
            <w:r w:rsidRPr="00DF4CE5">
              <w:rPr>
                <w:rFonts w:ascii="Cambria" w:hAnsi="Cambria" w:cs="Calibri"/>
              </w:rPr>
              <w:t>Ishodi</w:t>
            </w:r>
            <w:proofErr w:type="spellEnd"/>
            <w:r w:rsidRPr="00DF4CE5">
              <w:rPr>
                <w:rFonts w:ascii="Cambria" w:hAnsi="Cambria" w:cs="Calibri"/>
              </w:rPr>
              <w:t xml:space="preserve"> </w:t>
            </w:r>
            <w:proofErr w:type="spellStart"/>
            <w:r w:rsidRPr="00DF4CE5">
              <w:rPr>
                <w:rFonts w:ascii="Cambria" w:hAnsi="Cambria" w:cs="Calibri"/>
              </w:rPr>
              <w:t>učenja</w:t>
            </w:r>
            <w:proofErr w:type="spellEnd"/>
          </w:p>
        </w:tc>
        <w:tc>
          <w:tcPr>
            <w:tcW w:w="651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8FAE5CE" w14:textId="77777777" w:rsidR="00A44D99" w:rsidRPr="00DF4CE5" w:rsidRDefault="00A44D99" w:rsidP="00891E8C">
            <w:pPr>
              <w:pStyle w:val="Default"/>
              <w:rPr>
                <w:rFonts w:ascii="Cambria" w:hAnsi="Cambria"/>
                <w:sz w:val="22"/>
                <w:szCs w:val="22"/>
                <w:lang w:val="it-IT"/>
              </w:rPr>
            </w:pPr>
            <w:r w:rsidRPr="00DF4CE5">
              <w:rPr>
                <w:rFonts w:ascii="Cambria" w:hAnsi="Cambria"/>
                <w:sz w:val="22"/>
                <w:szCs w:val="22"/>
                <w:lang w:val="it-IT"/>
              </w:rPr>
              <w:t xml:space="preserve">1. </w:t>
            </w:r>
            <w:proofErr w:type="spellStart"/>
            <w:r w:rsidRPr="00DF4CE5">
              <w:rPr>
                <w:rFonts w:ascii="Cambria" w:hAnsi="Cambria"/>
                <w:sz w:val="22"/>
                <w:szCs w:val="22"/>
                <w:lang w:val="it-IT"/>
              </w:rPr>
              <w:t>identificirati</w:t>
            </w:r>
            <w:proofErr w:type="spellEnd"/>
            <w:r w:rsidRPr="00DF4CE5">
              <w:rPr>
                <w:rFonts w:ascii="Cambria" w:hAnsi="Cambria"/>
                <w:sz w:val="22"/>
                <w:szCs w:val="22"/>
                <w:lang w:val="it-IT"/>
              </w:rPr>
              <w:t xml:space="preserve"> </w:t>
            </w:r>
            <w:proofErr w:type="spellStart"/>
            <w:r w:rsidRPr="00DF4CE5">
              <w:rPr>
                <w:rFonts w:ascii="Cambria" w:hAnsi="Cambria"/>
                <w:sz w:val="22"/>
                <w:szCs w:val="22"/>
                <w:lang w:val="it-IT"/>
              </w:rPr>
              <w:t>psihološki</w:t>
            </w:r>
            <w:proofErr w:type="spellEnd"/>
            <w:r w:rsidRPr="00DF4CE5">
              <w:rPr>
                <w:rFonts w:ascii="Cambria" w:hAnsi="Cambria"/>
                <w:sz w:val="22"/>
                <w:szCs w:val="22"/>
                <w:lang w:val="it-IT"/>
              </w:rPr>
              <w:t xml:space="preserve"> </w:t>
            </w:r>
            <w:proofErr w:type="spellStart"/>
            <w:r w:rsidRPr="00DF4CE5">
              <w:rPr>
                <w:rFonts w:ascii="Cambria" w:hAnsi="Cambria"/>
                <w:sz w:val="22"/>
                <w:szCs w:val="22"/>
                <w:lang w:val="it-IT"/>
              </w:rPr>
              <w:t>tip</w:t>
            </w:r>
            <w:proofErr w:type="spellEnd"/>
            <w:r w:rsidRPr="00DF4CE5">
              <w:rPr>
                <w:rFonts w:ascii="Cambria" w:hAnsi="Cambria"/>
                <w:sz w:val="22"/>
                <w:szCs w:val="22"/>
                <w:lang w:val="it-IT"/>
              </w:rPr>
              <w:t xml:space="preserve"> </w:t>
            </w:r>
            <w:proofErr w:type="spellStart"/>
            <w:r w:rsidRPr="00DF4CE5">
              <w:rPr>
                <w:rFonts w:ascii="Cambria" w:hAnsi="Cambria"/>
                <w:sz w:val="22"/>
                <w:szCs w:val="22"/>
                <w:lang w:val="it-IT"/>
              </w:rPr>
              <w:t>učenika</w:t>
            </w:r>
            <w:proofErr w:type="spellEnd"/>
            <w:r w:rsidRPr="00DF4CE5">
              <w:rPr>
                <w:rFonts w:ascii="Cambria" w:hAnsi="Cambria"/>
                <w:sz w:val="22"/>
                <w:szCs w:val="22"/>
                <w:lang w:val="it-IT"/>
              </w:rPr>
              <w:t xml:space="preserve"> </w:t>
            </w:r>
            <w:proofErr w:type="spellStart"/>
            <w:r w:rsidRPr="00DF4CE5">
              <w:rPr>
                <w:rFonts w:ascii="Cambria" w:hAnsi="Cambria"/>
                <w:sz w:val="22"/>
                <w:szCs w:val="22"/>
                <w:lang w:val="it-IT"/>
              </w:rPr>
              <w:t>kao</w:t>
            </w:r>
            <w:proofErr w:type="spellEnd"/>
            <w:r w:rsidRPr="00DF4CE5">
              <w:rPr>
                <w:rFonts w:ascii="Cambria" w:hAnsi="Cambria"/>
                <w:sz w:val="22"/>
                <w:szCs w:val="22"/>
                <w:lang w:val="it-IT"/>
              </w:rPr>
              <w:t xml:space="preserve"> </w:t>
            </w:r>
            <w:proofErr w:type="spellStart"/>
            <w:r w:rsidRPr="00DF4CE5">
              <w:rPr>
                <w:rFonts w:ascii="Cambria" w:hAnsi="Cambria"/>
                <w:sz w:val="22"/>
                <w:szCs w:val="22"/>
                <w:lang w:val="it-IT"/>
              </w:rPr>
              <w:t>uvjet</w:t>
            </w:r>
            <w:proofErr w:type="spellEnd"/>
            <w:r w:rsidRPr="00DF4CE5">
              <w:rPr>
                <w:rFonts w:ascii="Cambria" w:hAnsi="Cambria"/>
                <w:sz w:val="22"/>
                <w:szCs w:val="22"/>
                <w:lang w:val="it-IT"/>
              </w:rPr>
              <w:t xml:space="preserve"> </w:t>
            </w:r>
            <w:proofErr w:type="spellStart"/>
            <w:r w:rsidRPr="00DF4CE5">
              <w:rPr>
                <w:rFonts w:ascii="Cambria" w:hAnsi="Cambria"/>
                <w:sz w:val="22"/>
                <w:szCs w:val="22"/>
                <w:lang w:val="it-IT"/>
              </w:rPr>
              <w:t>dobre</w:t>
            </w:r>
            <w:proofErr w:type="spellEnd"/>
            <w:r w:rsidRPr="00DF4CE5">
              <w:rPr>
                <w:rFonts w:ascii="Cambria" w:hAnsi="Cambria"/>
                <w:sz w:val="22"/>
                <w:szCs w:val="22"/>
                <w:lang w:val="it-IT"/>
              </w:rPr>
              <w:t xml:space="preserve"> </w:t>
            </w:r>
            <w:proofErr w:type="spellStart"/>
            <w:r w:rsidRPr="00DF4CE5">
              <w:rPr>
                <w:rFonts w:ascii="Cambria" w:hAnsi="Cambria"/>
                <w:sz w:val="22"/>
                <w:szCs w:val="22"/>
                <w:lang w:val="it-IT"/>
              </w:rPr>
              <w:t>nastave</w:t>
            </w:r>
            <w:proofErr w:type="spellEnd"/>
          </w:p>
          <w:p w14:paraId="4C4EFBBB" w14:textId="77777777" w:rsidR="00A44D99" w:rsidRPr="00DF4CE5" w:rsidRDefault="00A44D99" w:rsidP="00891E8C">
            <w:pPr>
              <w:pStyle w:val="Default"/>
              <w:rPr>
                <w:rFonts w:ascii="Cambria" w:hAnsi="Cambria"/>
                <w:sz w:val="22"/>
                <w:szCs w:val="22"/>
                <w:lang w:val="it-IT"/>
              </w:rPr>
            </w:pPr>
            <w:r w:rsidRPr="00DF4CE5">
              <w:rPr>
                <w:rFonts w:ascii="Cambria" w:hAnsi="Cambria"/>
                <w:sz w:val="22"/>
                <w:szCs w:val="22"/>
                <w:lang w:val="it-IT"/>
              </w:rPr>
              <w:t xml:space="preserve">2. </w:t>
            </w:r>
            <w:proofErr w:type="spellStart"/>
            <w:r w:rsidRPr="00DF4CE5">
              <w:rPr>
                <w:rFonts w:ascii="Cambria" w:hAnsi="Cambria"/>
                <w:sz w:val="22"/>
                <w:szCs w:val="22"/>
                <w:lang w:val="it-IT"/>
              </w:rPr>
              <w:t>identificirati</w:t>
            </w:r>
            <w:proofErr w:type="spellEnd"/>
            <w:r w:rsidRPr="00DF4CE5">
              <w:rPr>
                <w:rFonts w:ascii="Cambria" w:hAnsi="Cambria"/>
                <w:sz w:val="22"/>
                <w:szCs w:val="22"/>
                <w:lang w:val="it-IT"/>
              </w:rPr>
              <w:t xml:space="preserve"> </w:t>
            </w:r>
            <w:proofErr w:type="spellStart"/>
            <w:r w:rsidRPr="00DF4CE5">
              <w:rPr>
                <w:rFonts w:ascii="Cambria" w:hAnsi="Cambria"/>
                <w:sz w:val="22"/>
                <w:szCs w:val="22"/>
                <w:lang w:val="it-IT"/>
              </w:rPr>
              <w:t>različite</w:t>
            </w:r>
            <w:proofErr w:type="spellEnd"/>
            <w:r w:rsidRPr="00DF4CE5">
              <w:rPr>
                <w:rFonts w:ascii="Cambria" w:hAnsi="Cambria"/>
                <w:sz w:val="22"/>
                <w:szCs w:val="22"/>
                <w:lang w:val="it-IT"/>
              </w:rPr>
              <w:t xml:space="preserve"> </w:t>
            </w:r>
            <w:proofErr w:type="spellStart"/>
            <w:r w:rsidRPr="00DF4CE5">
              <w:rPr>
                <w:rFonts w:ascii="Cambria" w:hAnsi="Cambria"/>
                <w:sz w:val="22"/>
                <w:szCs w:val="22"/>
                <w:lang w:val="it-IT"/>
              </w:rPr>
              <w:t>tipove</w:t>
            </w:r>
            <w:proofErr w:type="spellEnd"/>
            <w:r w:rsidRPr="00DF4CE5">
              <w:rPr>
                <w:rFonts w:ascii="Cambria" w:hAnsi="Cambria"/>
                <w:sz w:val="22"/>
                <w:szCs w:val="22"/>
                <w:lang w:val="it-IT"/>
              </w:rPr>
              <w:t xml:space="preserve"> </w:t>
            </w:r>
            <w:proofErr w:type="spellStart"/>
            <w:r w:rsidRPr="00DF4CE5">
              <w:rPr>
                <w:rFonts w:ascii="Cambria" w:hAnsi="Cambria"/>
                <w:sz w:val="22"/>
                <w:szCs w:val="22"/>
                <w:lang w:val="it-IT"/>
              </w:rPr>
              <w:t>informatičke</w:t>
            </w:r>
            <w:proofErr w:type="spellEnd"/>
            <w:r w:rsidRPr="00DF4CE5">
              <w:rPr>
                <w:rFonts w:ascii="Cambria" w:hAnsi="Cambria"/>
                <w:sz w:val="22"/>
                <w:szCs w:val="22"/>
                <w:lang w:val="it-IT"/>
              </w:rPr>
              <w:t xml:space="preserve"> </w:t>
            </w:r>
            <w:proofErr w:type="spellStart"/>
            <w:r w:rsidRPr="00DF4CE5">
              <w:rPr>
                <w:rFonts w:ascii="Cambria" w:hAnsi="Cambria"/>
                <w:sz w:val="22"/>
                <w:szCs w:val="22"/>
                <w:lang w:val="it-IT"/>
              </w:rPr>
              <w:t>tehnologije</w:t>
            </w:r>
            <w:proofErr w:type="spellEnd"/>
            <w:r w:rsidRPr="00DF4CE5">
              <w:rPr>
                <w:rFonts w:ascii="Cambria" w:hAnsi="Cambria"/>
                <w:sz w:val="22"/>
                <w:szCs w:val="22"/>
                <w:lang w:val="it-IT"/>
              </w:rPr>
              <w:t xml:space="preserve"> i </w:t>
            </w:r>
            <w:proofErr w:type="spellStart"/>
            <w:r w:rsidRPr="00DF4CE5">
              <w:rPr>
                <w:rFonts w:ascii="Cambria" w:hAnsi="Cambria"/>
                <w:sz w:val="22"/>
                <w:szCs w:val="22"/>
                <w:lang w:val="it-IT"/>
              </w:rPr>
              <w:t>pristupe</w:t>
            </w:r>
            <w:proofErr w:type="spellEnd"/>
            <w:r w:rsidRPr="00DF4CE5">
              <w:rPr>
                <w:rFonts w:ascii="Cambria" w:hAnsi="Cambria"/>
                <w:sz w:val="22"/>
                <w:szCs w:val="22"/>
                <w:lang w:val="it-IT"/>
              </w:rPr>
              <w:t xml:space="preserve"> za </w:t>
            </w:r>
            <w:proofErr w:type="spellStart"/>
            <w:r w:rsidRPr="00DF4CE5">
              <w:rPr>
                <w:rFonts w:ascii="Cambria" w:hAnsi="Cambria"/>
                <w:sz w:val="22"/>
                <w:szCs w:val="22"/>
                <w:lang w:val="it-IT"/>
              </w:rPr>
              <w:t>njihovo</w:t>
            </w:r>
            <w:proofErr w:type="spellEnd"/>
            <w:r w:rsidRPr="00DF4CE5">
              <w:rPr>
                <w:rFonts w:ascii="Cambria" w:hAnsi="Cambria"/>
                <w:sz w:val="22"/>
                <w:szCs w:val="22"/>
                <w:lang w:val="it-IT"/>
              </w:rPr>
              <w:t xml:space="preserve"> </w:t>
            </w:r>
            <w:proofErr w:type="spellStart"/>
            <w:r w:rsidRPr="00DF4CE5">
              <w:rPr>
                <w:rFonts w:ascii="Cambria" w:hAnsi="Cambria"/>
                <w:sz w:val="22"/>
                <w:szCs w:val="22"/>
                <w:lang w:val="it-IT"/>
              </w:rPr>
              <w:t>korištenje</w:t>
            </w:r>
            <w:proofErr w:type="spellEnd"/>
            <w:r w:rsidRPr="00DF4CE5">
              <w:rPr>
                <w:rFonts w:ascii="Cambria" w:hAnsi="Cambria"/>
                <w:sz w:val="22"/>
                <w:szCs w:val="22"/>
                <w:lang w:val="it-IT"/>
              </w:rPr>
              <w:t xml:space="preserve"> u </w:t>
            </w:r>
            <w:proofErr w:type="spellStart"/>
            <w:r w:rsidRPr="00DF4CE5">
              <w:rPr>
                <w:rFonts w:ascii="Cambria" w:hAnsi="Cambria"/>
                <w:sz w:val="22"/>
                <w:szCs w:val="22"/>
                <w:lang w:val="it-IT"/>
              </w:rPr>
              <w:t>nastavi</w:t>
            </w:r>
            <w:proofErr w:type="spellEnd"/>
            <w:r w:rsidRPr="00DF4CE5">
              <w:rPr>
                <w:rFonts w:ascii="Cambria" w:hAnsi="Cambria"/>
                <w:sz w:val="22"/>
                <w:szCs w:val="22"/>
                <w:lang w:val="it-IT"/>
              </w:rPr>
              <w:t xml:space="preserve"> </w:t>
            </w:r>
            <w:proofErr w:type="spellStart"/>
            <w:r w:rsidRPr="00DF4CE5">
              <w:rPr>
                <w:rFonts w:ascii="Cambria" w:hAnsi="Cambria"/>
                <w:sz w:val="22"/>
                <w:szCs w:val="22"/>
                <w:lang w:val="it-IT"/>
              </w:rPr>
              <w:t>informatike</w:t>
            </w:r>
            <w:proofErr w:type="spellEnd"/>
          </w:p>
          <w:p w14:paraId="0D1C245B" w14:textId="77777777" w:rsidR="00A44D99" w:rsidRPr="00DF4CE5" w:rsidRDefault="00A44D99" w:rsidP="00891E8C">
            <w:pPr>
              <w:pStyle w:val="Default"/>
              <w:rPr>
                <w:rFonts w:ascii="Cambria" w:hAnsi="Cambria"/>
                <w:sz w:val="22"/>
                <w:szCs w:val="22"/>
                <w:lang w:val="it-IT"/>
              </w:rPr>
            </w:pPr>
            <w:r w:rsidRPr="00DF4CE5">
              <w:rPr>
                <w:rFonts w:ascii="Cambria" w:hAnsi="Cambria"/>
                <w:sz w:val="22"/>
                <w:szCs w:val="22"/>
                <w:lang w:val="it-IT"/>
              </w:rPr>
              <w:t xml:space="preserve">3. </w:t>
            </w:r>
            <w:proofErr w:type="spellStart"/>
            <w:r w:rsidRPr="00DF4CE5">
              <w:rPr>
                <w:rFonts w:ascii="Cambria" w:hAnsi="Cambria"/>
                <w:sz w:val="22"/>
                <w:szCs w:val="22"/>
                <w:lang w:val="it-IT"/>
              </w:rPr>
              <w:t>definirati</w:t>
            </w:r>
            <w:proofErr w:type="spellEnd"/>
            <w:r w:rsidRPr="00DF4CE5">
              <w:rPr>
                <w:rFonts w:ascii="Cambria" w:hAnsi="Cambria"/>
                <w:sz w:val="22"/>
                <w:szCs w:val="22"/>
                <w:lang w:val="it-IT"/>
              </w:rPr>
              <w:t xml:space="preserve"> </w:t>
            </w:r>
            <w:proofErr w:type="spellStart"/>
            <w:r w:rsidRPr="00DF4CE5">
              <w:rPr>
                <w:rFonts w:ascii="Cambria" w:hAnsi="Cambria"/>
                <w:sz w:val="22"/>
                <w:szCs w:val="22"/>
                <w:lang w:val="it-IT"/>
              </w:rPr>
              <w:t>što</w:t>
            </w:r>
            <w:proofErr w:type="spellEnd"/>
            <w:r w:rsidRPr="00DF4CE5">
              <w:rPr>
                <w:rFonts w:ascii="Cambria" w:hAnsi="Cambria"/>
                <w:sz w:val="22"/>
                <w:szCs w:val="22"/>
                <w:lang w:val="it-IT"/>
              </w:rPr>
              <w:t xml:space="preserve"> je e-</w:t>
            </w:r>
            <w:proofErr w:type="spellStart"/>
            <w:r w:rsidRPr="00DF4CE5">
              <w:rPr>
                <w:rFonts w:ascii="Cambria" w:hAnsi="Cambria"/>
                <w:sz w:val="22"/>
                <w:szCs w:val="22"/>
                <w:lang w:val="it-IT"/>
              </w:rPr>
              <w:t>obrazovanje</w:t>
            </w:r>
            <w:proofErr w:type="spellEnd"/>
          </w:p>
          <w:p w14:paraId="0BAB6E5C" w14:textId="77777777" w:rsidR="00A44D99" w:rsidRPr="00DF4CE5" w:rsidRDefault="00A44D99" w:rsidP="00891E8C">
            <w:pPr>
              <w:pStyle w:val="Default"/>
              <w:rPr>
                <w:rFonts w:ascii="Cambria" w:hAnsi="Cambria"/>
                <w:sz w:val="22"/>
                <w:szCs w:val="22"/>
                <w:lang w:val="it-IT"/>
              </w:rPr>
            </w:pPr>
            <w:r w:rsidRPr="00DF4CE5">
              <w:rPr>
                <w:rFonts w:ascii="Cambria" w:hAnsi="Cambria"/>
                <w:sz w:val="22"/>
                <w:szCs w:val="22"/>
                <w:lang w:val="it-IT"/>
              </w:rPr>
              <w:t xml:space="preserve">4. </w:t>
            </w:r>
            <w:proofErr w:type="spellStart"/>
            <w:r w:rsidRPr="00DF4CE5">
              <w:rPr>
                <w:rFonts w:ascii="Cambria" w:hAnsi="Cambria"/>
                <w:sz w:val="22"/>
                <w:szCs w:val="22"/>
                <w:lang w:val="it-IT"/>
              </w:rPr>
              <w:t>analizirati</w:t>
            </w:r>
            <w:proofErr w:type="spellEnd"/>
            <w:r w:rsidRPr="00DF4CE5">
              <w:rPr>
                <w:rFonts w:ascii="Cambria" w:hAnsi="Cambria"/>
                <w:sz w:val="22"/>
                <w:szCs w:val="22"/>
                <w:lang w:val="it-IT"/>
              </w:rPr>
              <w:t xml:space="preserve"> </w:t>
            </w:r>
            <w:proofErr w:type="spellStart"/>
            <w:r w:rsidRPr="00DF4CE5">
              <w:rPr>
                <w:rFonts w:ascii="Cambria" w:hAnsi="Cambria"/>
                <w:sz w:val="22"/>
                <w:szCs w:val="22"/>
                <w:lang w:val="it-IT"/>
              </w:rPr>
              <w:t>različite</w:t>
            </w:r>
            <w:proofErr w:type="spellEnd"/>
            <w:r w:rsidRPr="00DF4CE5">
              <w:rPr>
                <w:rFonts w:ascii="Cambria" w:hAnsi="Cambria"/>
                <w:sz w:val="22"/>
                <w:szCs w:val="22"/>
                <w:lang w:val="it-IT"/>
              </w:rPr>
              <w:t xml:space="preserve"> </w:t>
            </w:r>
            <w:proofErr w:type="spellStart"/>
            <w:r w:rsidRPr="00DF4CE5">
              <w:rPr>
                <w:rFonts w:ascii="Cambria" w:hAnsi="Cambria"/>
                <w:sz w:val="22"/>
                <w:szCs w:val="22"/>
                <w:lang w:val="it-IT"/>
              </w:rPr>
              <w:t>pristupe</w:t>
            </w:r>
            <w:proofErr w:type="spellEnd"/>
            <w:r w:rsidRPr="00DF4CE5">
              <w:rPr>
                <w:rFonts w:ascii="Cambria" w:hAnsi="Cambria"/>
                <w:sz w:val="22"/>
                <w:szCs w:val="22"/>
                <w:lang w:val="it-IT"/>
              </w:rPr>
              <w:t xml:space="preserve"> e-</w:t>
            </w:r>
            <w:proofErr w:type="spellStart"/>
            <w:r w:rsidRPr="00DF4CE5">
              <w:rPr>
                <w:rFonts w:ascii="Cambria" w:hAnsi="Cambria"/>
                <w:sz w:val="22"/>
                <w:szCs w:val="22"/>
                <w:lang w:val="it-IT"/>
              </w:rPr>
              <w:t>obrazovanju</w:t>
            </w:r>
            <w:proofErr w:type="spellEnd"/>
            <w:r w:rsidRPr="00DF4CE5">
              <w:rPr>
                <w:rFonts w:ascii="Cambria" w:hAnsi="Cambria"/>
                <w:sz w:val="22"/>
                <w:szCs w:val="22"/>
                <w:lang w:val="it-IT"/>
              </w:rPr>
              <w:t xml:space="preserve"> radi </w:t>
            </w:r>
            <w:proofErr w:type="spellStart"/>
            <w:r w:rsidRPr="00DF4CE5">
              <w:rPr>
                <w:rFonts w:ascii="Cambria" w:hAnsi="Cambria"/>
                <w:sz w:val="22"/>
                <w:szCs w:val="22"/>
                <w:lang w:val="it-IT"/>
              </w:rPr>
              <w:t>odabira</w:t>
            </w:r>
            <w:proofErr w:type="spellEnd"/>
            <w:r w:rsidRPr="00DF4CE5">
              <w:rPr>
                <w:rFonts w:ascii="Cambria" w:hAnsi="Cambria"/>
                <w:sz w:val="22"/>
                <w:szCs w:val="22"/>
                <w:lang w:val="it-IT"/>
              </w:rPr>
              <w:t xml:space="preserve"> </w:t>
            </w:r>
            <w:proofErr w:type="spellStart"/>
            <w:r w:rsidRPr="00DF4CE5">
              <w:rPr>
                <w:rFonts w:ascii="Cambria" w:hAnsi="Cambria"/>
                <w:sz w:val="22"/>
                <w:szCs w:val="22"/>
                <w:lang w:val="it-IT"/>
              </w:rPr>
              <w:t>najkvalitetnijeg</w:t>
            </w:r>
            <w:proofErr w:type="spellEnd"/>
            <w:r w:rsidRPr="00DF4CE5">
              <w:rPr>
                <w:rFonts w:ascii="Cambria" w:hAnsi="Cambria"/>
                <w:sz w:val="22"/>
                <w:szCs w:val="22"/>
                <w:lang w:val="it-IT"/>
              </w:rPr>
              <w:t xml:space="preserve"> za </w:t>
            </w:r>
            <w:proofErr w:type="spellStart"/>
            <w:r w:rsidRPr="00DF4CE5">
              <w:rPr>
                <w:rFonts w:ascii="Cambria" w:hAnsi="Cambria"/>
                <w:sz w:val="22"/>
                <w:szCs w:val="22"/>
                <w:lang w:val="it-IT"/>
              </w:rPr>
              <w:t>konkretne</w:t>
            </w:r>
            <w:proofErr w:type="spellEnd"/>
            <w:r w:rsidRPr="00DF4CE5">
              <w:rPr>
                <w:rFonts w:ascii="Cambria" w:hAnsi="Cambria"/>
                <w:sz w:val="22"/>
                <w:szCs w:val="22"/>
                <w:lang w:val="it-IT"/>
              </w:rPr>
              <w:t xml:space="preserve"> </w:t>
            </w:r>
            <w:proofErr w:type="spellStart"/>
            <w:r w:rsidRPr="00DF4CE5">
              <w:rPr>
                <w:rFonts w:ascii="Cambria" w:hAnsi="Cambria"/>
                <w:sz w:val="22"/>
                <w:szCs w:val="22"/>
                <w:lang w:val="it-IT"/>
              </w:rPr>
              <w:t>potrebe</w:t>
            </w:r>
            <w:proofErr w:type="spellEnd"/>
          </w:p>
          <w:p w14:paraId="4AB574D8" w14:textId="77777777" w:rsidR="00A44D99" w:rsidRPr="00DF4CE5" w:rsidRDefault="00A44D99" w:rsidP="00891E8C">
            <w:pPr>
              <w:pStyle w:val="Default"/>
              <w:rPr>
                <w:rFonts w:ascii="Cambria" w:hAnsi="Cambria"/>
                <w:sz w:val="22"/>
                <w:szCs w:val="22"/>
                <w:lang w:val="it-IT"/>
              </w:rPr>
            </w:pPr>
            <w:r w:rsidRPr="00DF4CE5">
              <w:rPr>
                <w:rFonts w:ascii="Cambria" w:hAnsi="Cambria"/>
                <w:sz w:val="22"/>
                <w:szCs w:val="22"/>
                <w:lang w:val="it-IT"/>
              </w:rPr>
              <w:t xml:space="preserve">5. </w:t>
            </w:r>
            <w:proofErr w:type="spellStart"/>
            <w:r w:rsidRPr="00DF4CE5">
              <w:rPr>
                <w:rFonts w:ascii="Cambria" w:hAnsi="Cambria"/>
                <w:sz w:val="22"/>
                <w:szCs w:val="22"/>
                <w:lang w:val="it-IT"/>
              </w:rPr>
              <w:t>razlikovati</w:t>
            </w:r>
            <w:proofErr w:type="spellEnd"/>
            <w:r w:rsidRPr="00DF4CE5">
              <w:rPr>
                <w:rFonts w:ascii="Cambria" w:hAnsi="Cambria"/>
                <w:sz w:val="22"/>
                <w:szCs w:val="22"/>
                <w:lang w:val="it-IT"/>
              </w:rPr>
              <w:t xml:space="preserve"> </w:t>
            </w:r>
            <w:proofErr w:type="spellStart"/>
            <w:r w:rsidRPr="00DF4CE5">
              <w:rPr>
                <w:rFonts w:ascii="Cambria" w:hAnsi="Cambria"/>
                <w:sz w:val="22"/>
                <w:szCs w:val="22"/>
                <w:lang w:val="it-IT"/>
              </w:rPr>
              <w:t>oblike</w:t>
            </w:r>
            <w:proofErr w:type="spellEnd"/>
            <w:r w:rsidRPr="00DF4CE5">
              <w:rPr>
                <w:rFonts w:ascii="Cambria" w:hAnsi="Cambria"/>
                <w:sz w:val="22"/>
                <w:szCs w:val="22"/>
                <w:lang w:val="it-IT"/>
              </w:rPr>
              <w:t xml:space="preserve"> online </w:t>
            </w:r>
            <w:proofErr w:type="spellStart"/>
            <w:r w:rsidRPr="00DF4CE5">
              <w:rPr>
                <w:rFonts w:ascii="Cambria" w:hAnsi="Cambria"/>
                <w:sz w:val="22"/>
                <w:szCs w:val="22"/>
                <w:lang w:val="it-IT"/>
              </w:rPr>
              <w:t>komunikacije</w:t>
            </w:r>
            <w:proofErr w:type="spellEnd"/>
            <w:r w:rsidRPr="00DF4CE5">
              <w:rPr>
                <w:rFonts w:ascii="Cambria" w:hAnsi="Cambria"/>
                <w:sz w:val="22"/>
                <w:szCs w:val="22"/>
                <w:lang w:val="it-IT"/>
              </w:rPr>
              <w:t xml:space="preserve"> i </w:t>
            </w:r>
            <w:proofErr w:type="spellStart"/>
            <w:r w:rsidRPr="00DF4CE5">
              <w:rPr>
                <w:rFonts w:ascii="Cambria" w:hAnsi="Cambria"/>
                <w:sz w:val="22"/>
                <w:szCs w:val="22"/>
                <w:lang w:val="it-IT"/>
              </w:rPr>
              <w:t>provjera</w:t>
            </w:r>
            <w:proofErr w:type="spellEnd"/>
            <w:r w:rsidRPr="00DF4CE5">
              <w:rPr>
                <w:rFonts w:ascii="Cambria" w:hAnsi="Cambria"/>
                <w:sz w:val="22"/>
                <w:szCs w:val="22"/>
                <w:lang w:val="it-IT"/>
              </w:rPr>
              <w:t xml:space="preserve"> </w:t>
            </w:r>
            <w:proofErr w:type="spellStart"/>
            <w:r w:rsidRPr="00DF4CE5">
              <w:rPr>
                <w:rFonts w:ascii="Cambria" w:hAnsi="Cambria"/>
                <w:sz w:val="22"/>
                <w:szCs w:val="22"/>
                <w:lang w:val="it-IT"/>
              </w:rPr>
              <w:t>znanja</w:t>
            </w:r>
            <w:proofErr w:type="spellEnd"/>
          </w:p>
          <w:p w14:paraId="2E506FDE" w14:textId="77777777" w:rsidR="00A44D99" w:rsidRPr="00DF4CE5" w:rsidRDefault="00A44D99" w:rsidP="00891E8C">
            <w:pPr>
              <w:pStyle w:val="Default"/>
              <w:rPr>
                <w:rFonts w:ascii="Cambria" w:hAnsi="Cambria"/>
                <w:sz w:val="22"/>
                <w:szCs w:val="22"/>
                <w:lang w:val="it-IT"/>
              </w:rPr>
            </w:pPr>
            <w:r w:rsidRPr="00DF4CE5">
              <w:rPr>
                <w:rFonts w:ascii="Cambria" w:hAnsi="Cambria"/>
                <w:sz w:val="22"/>
                <w:szCs w:val="22"/>
                <w:lang w:val="it-IT"/>
              </w:rPr>
              <w:t xml:space="preserve">6. </w:t>
            </w:r>
            <w:proofErr w:type="spellStart"/>
            <w:r w:rsidRPr="00DF4CE5">
              <w:rPr>
                <w:rFonts w:ascii="Cambria" w:hAnsi="Cambria"/>
                <w:sz w:val="22"/>
                <w:szCs w:val="22"/>
                <w:lang w:val="it-IT"/>
              </w:rPr>
              <w:t>implementirati</w:t>
            </w:r>
            <w:proofErr w:type="spellEnd"/>
            <w:r w:rsidRPr="00DF4CE5">
              <w:rPr>
                <w:rFonts w:ascii="Cambria" w:hAnsi="Cambria"/>
                <w:sz w:val="22"/>
                <w:szCs w:val="22"/>
                <w:lang w:val="it-IT"/>
              </w:rPr>
              <w:t xml:space="preserve"> </w:t>
            </w:r>
            <w:proofErr w:type="spellStart"/>
            <w:r w:rsidRPr="00DF4CE5">
              <w:rPr>
                <w:rFonts w:ascii="Cambria" w:hAnsi="Cambria"/>
                <w:sz w:val="22"/>
                <w:szCs w:val="22"/>
                <w:lang w:val="it-IT"/>
              </w:rPr>
              <w:t>jednostavnije</w:t>
            </w:r>
            <w:proofErr w:type="spellEnd"/>
            <w:r w:rsidRPr="00DF4CE5">
              <w:rPr>
                <w:rFonts w:ascii="Cambria" w:hAnsi="Cambria"/>
                <w:sz w:val="22"/>
                <w:szCs w:val="22"/>
                <w:lang w:val="it-IT"/>
              </w:rPr>
              <w:t xml:space="preserve"> </w:t>
            </w:r>
            <w:proofErr w:type="spellStart"/>
            <w:r w:rsidRPr="00DF4CE5">
              <w:rPr>
                <w:rFonts w:ascii="Cambria" w:hAnsi="Cambria"/>
                <w:sz w:val="22"/>
                <w:szCs w:val="22"/>
                <w:lang w:val="it-IT"/>
              </w:rPr>
              <w:t>oblike</w:t>
            </w:r>
            <w:proofErr w:type="spellEnd"/>
            <w:r w:rsidRPr="00DF4CE5">
              <w:rPr>
                <w:rFonts w:ascii="Cambria" w:hAnsi="Cambria"/>
                <w:sz w:val="22"/>
                <w:szCs w:val="22"/>
                <w:lang w:val="it-IT"/>
              </w:rPr>
              <w:t xml:space="preserve"> u </w:t>
            </w:r>
            <w:proofErr w:type="spellStart"/>
            <w:r w:rsidRPr="00DF4CE5">
              <w:rPr>
                <w:rFonts w:ascii="Cambria" w:hAnsi="Cambria"/>
                <w:sz w:val="22"/>
                <w:szCs w:val="22"/>
                <w:lang w:val="it-IT"/>
              </w:rPr>
              <w:t>hipermedijsku</w:t>
            </w:r>
            <w:proofErr w:type="spellEnd"/>
            <w:r w:rsidRPr="00DF4CE5">
              <w:rPr>
                <w:rFonts w:ascii="Cambria" w:hAnsi="Cambria"/>
                <w:sz w:val="22"/>
                <w:szCs w:val="22"/>
                <w:lang w:val="it-IT"/>
              </w:rPr>
              <w:t xml:space="preserve"> </w:t>
            </w:r>
            <w:proofErr w:type="spellStart"/>
            <w:r w:rsidRPr="00DF4CE5">
              <w:rPr>
                <w:rFonts w:ascii="Cambria" w:hAnsi="Cambria"/>
                <w:sz w:val="22"/>
                <w:szCs w:val="22"/>
                <w:lang w:val="it-IT"/>
              </w:rPr>
              <w:t>programsku</w:t>
            </w:r>
            <w:proofErr w:type="spellEnd"/>
            <w:r w:rsidRPr="00DF4CE5">
              <w:rPr>
                <w:rFonts w:ascii="Cambria" w:hAnsi="Cambria"/>
                <w:sz w:val="22"/>
                <w:szCs w:val="22"/>
                <w:lang w:val="it-IT"/>
              </w:rPr>
              <w:t xml:space="preserve"> </w:t>
            </w:r>
            <w:proofErr w:type="spellStart"/>
            <w:r w:rsidRPr="00DF4CE5">
              <w:rPr>
                <w:rFonts w:ascii="Cambria" w:hAnsi="Cambria"/>
                <w:sz w:val="22"/>
                <w:szCs w:val="22"/>
                <w:lang w:val="it-IT"/>
              </w:rPr>
              <w:t>potporu</w:t>
            </w:r>
            <w:proofErr w:type="spellEnd"/>
            <w:r w:rsidRPr="00DF4CE5">
              <w:rPr>
                <w:rFonts w:ascii="Cambria" w:hAnsi="Cambria"/>
                <w:sz w:val="22"/>
                <w:szCs w:val="22"/>
                <w:lang w:val="it-IT"/>
              </w:rPr>
              <w:t xml:space="preserve"> za </w:t>
            </w:r>
            <w:proofErr w:type="spellStart"/>
            <w:r w:rsidRPr="00DF4CE5">
              <w:rPr>
                <w:rFonts w:ascii="Cambria" w:hAnsi="Cambria"/>
                <w:sz w:val="22"/>
                <w:szCs w:val="22"/>
                <w:lang w:val="it-IT"/>
              </w:rPr>
              <w:t>učenje</w:t>
            </w:r>
            <w:proofErr w:type="spellEnd"/>
          </w:p>
        </w:tc>
      </w:tr>
      <w:tr w:rsidR="00A44D99" w:rsidRPr="00D0399C" w14:paraId="6B02F7F1" w14:textId="77777777" w:rsidTr="00891E8C">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5ECE4F5D" w14:textId="77777777" w:rsidR="00A44D99" w:rsidRPr="00DF4CE5" w:rsidRDefault="00A44D99" w:rsidP="00891E8C">
            <w:pPr>
              <w:pStyle w:val="Default"/>
              <w:rPr>
                <w:rFonts w:ascii="Cambria" w:hAnsi="Cambria"/>
                <w:sz w:val="22"/>
                <w:szCs w:val="22"/>
              </w:rPr>
            </w:pPr>
            <w:proofErr w:type="spellStart"/>
            <w:r w:rsidRPr="00DF4CE5">
              <w:rPr>
                <w:rFonts w:ascii="Cambria" w:hAnsi="Cambria"/>
                <w:sz w:val="22"/>
                <w:szCs w:val="22"/>
              </w:rPr>
              <w:t>Sadržaj</w:t>
            </w:r>
            <w:proofErr w:type="spellEnd"/>
            <w:r w:rsidRPr="00DF4CE5">
              <w:rPr>
                <w:rFonts w:ascii="Cambria" w:hAnsi="Cambria"/>
                <w:sz w:val="22"/>
                <w:szCs w:val="22"/>
              </w:rPr>
              <w:t xml:space="preserve"> </w:t>
            </w:r>
            <w:proofErr w:type="spellStart"/>
            <w:r w:rsidRPr="00DF4CE5">
              <w:rPr>
                <w:rFonts w:ascii="Cambria" w:hAnsi="Cambria"/>
                <w:sz w:val="22"/>
                <w:szCs w:val="22"/>
              </w:rPr>
              <w:t>kolegija</w:t>
            </w:r>
            <w:proofErr w:type="spellEnd"/>
          </w:p>
        </w:tc>
        <w:tc>
          <w:tcPr>
            <w:tcW w:w="6516"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BC78611" w14:textId="77777777" w:rsidR="00A44D99" w:rsidRPr="00DF4CE5" w:rsidRDefault="00A44D99" w:rsidP="00891E8C">
            <w:pPr>
              <w:pStyle w:val="Default"/>
              <w:rPr>
                <w:rFonts w:ascii="Cambria" w:hAnsi="Cambria"/>
                <w:sz w:val="22"/>
                <w:szCs w:val="22"/>
              </w:rPr>
            </w:pPr>
            <w:r w:rsidRPr="00DF4CE5">
              <w:rPr>
                <w:rFonts w:ascii="Cambria" w:hAnsi="Cambria"/>
                <w:sz w:val="22"/>
                <w:szCs w:val="22"/>
              </w:rPr>
              <w:t xml:space="preserve">1. </w:t>
            </w:r>
            <w:proofErr w:type="spellStart"/>
            <w:r w:rsidRPr="00DF4CE5">
              <w:rPr>
                <w:rFonts w:ascii="Cambria" w:hAnsi="Cambria"/>
                <w:sz w:val="22"/>
                <w:szCs w:val="22"/>
              </w:rPr>
              <w:t>Kognitivni</w:t>
            </w:r>
            <w:proofErr w:type="spellEnd"/>
            <w:r w:rsidRPr="00DF4CE5">
              <w:rPr>
                <w:rFonts w:ascii="Cambria" w:hAnsi="Cambria"/>
                <w:sz w:val="22"/>
                <w:szCs w:val="22"/>
              </w:rPr>
              <w:t xml:space="preserve"> </w:t>
            </w:r>
            <w:proofErr w:type="spellStart"/>
            <w:r w:rsidRPr="00DF4CE5">
              <w:rPr>
                <w:rFonts w:ascii="Cambria" w:hAnsi="Cambria"/>
                <w:sz w:val="22"/>
                <w:szCs w:val="22"/>
              </w:rPr>
              <w:t>aspekt</w:t>
            </w:r>
            <w:proofErr w:type="spellEnd"/>
            <w:r w:rsidRPr="00DF4CE5">
              <w:rPr>
                <w:rFonts w:ascii="Cambria" w:hAnsi="Cambria"/>
                <w:sz w:val="22"/>
                <w:szCs w:val="22"/>
              </w:rPr>
              <w:t xml:space="preserve"> </w:t>
            </w:r>
            <w:proofErr w:type="spellStart"/>
            <w:r w:rsidRPr="00DF4CE5">
              <w:rPr>
                <w:rFonts w:ascii="Cambria" w:hAnsi="Cambria"/>
                <w:sz w:val="22"/>
                <w:szCs w:val="22"/>
              </w:rPr>
              <w:t>razvoja</w:t>
            </w:r>
            <w:proofErr w:type="spellEnd"/>
            <w:r w:rsidRPr="00DF4CE5">
              <w:rPr>
                <w:rFonts w:ascii="Cambria" w:hAnsi="Cambria"/>
                <w:sz w:val="22"/>
                <w:szCs w:val="22"/>
              </w:rPr>
              <w:t xml:space="preserve"> </w:t>
            </w:r>
            <w:proofErr w:type="spellStart"/>
            <w:r w:rsidRPr="00DF4CE5">
              <w:rPr>
                <w:rFonts w:ascii="Cambria" w:hAnsi="Cambria"/>
                <w:sz w:val="22"/>
                <w:szCs w:val="22"/>
              </w:rPr>
              <w:t>pri</w:t>
            </w:r>
            <w:proofErr w:type="spellEnd"/>
            <w:r w:rsidRPr="00DF4CE5">
              <w:rPr>
                <w:rFonts w:ascii="Cambria" w:hAnsi="Cambria"/>
                <w:sz w:val="22"/>
                <w:szCs w:val="22"/>
              </w:rPr>
              <w:t xml:space="preserve"> </w:t>
            </w:r>
            <w:proofErr w:type="spellStart"/>
            <w:proofErr w:type="gramStart"/>
            <w:r w:rsidRPr="00DF4CE5">
              <w:rPr>
                <w:rFonts w:ascii="Cambria" w:hAnsi="Cambria"/>
                <w:sz w:val="22"/>
                <w:szCs w:val="22"/>
              </w:rPr>
              <w:t>učenju</w:t>
            </w:r>
            <w:proofErr w:type="spellEnd"/>
            <w:r w:rsidRPr="00DF4CE5">
              <w:rPr>
                <w:rFonts w:ascii="Cambria" w:hAnsi="Cambria"/>
                <w:sz w:val="22"/>
                <w:szCs w:val="22"/>
              </w:rPr>
              <w:t>(</w:t>
            </w:r>
            <w:proofErr w:type="spellStart"/>
            <w:proofErr w:type="gramEnd"/>
            <w:r w:rsidRPr="00DF4CE5">
              <w:rPr>
                <w:rFonts w:ascii="Cambria" w:hAnsi="Cambria"/>
                <w:sz w:val="22"/>
                <w:szCs w:val="22"/>
              </w:rPr>
              <w:t>različite</w:t>
            </w:r>
            <w:proofErr w:type="spellEnd"/>
            <w:r w:rsidRPr="00DF4CE5">
              <w:rPr>
                <w:rFonts w:ascii="Cambria" w:hAnsi="Cambria"/>
                <w:sz w:val="22"/>
                <w:szCs w:val="22"/>
              </w:rPr>
              <w:t xml:space="preserve"> </w:t>
            </w:r>
            <w:proofErr w:type="spellStart"/>
            <w:r w:rsidRPr="00DF4CE5">
              <w:rPr>
                <w:rFonts w:ascii="Cambria" w:hAnsi="Cambria"/>
                <w:sz w:val="22"/>
                <w:szCs w:val="22"/>
              </w:rPr>
              <w:t>škole</w:t>
            </w:r>
            <w:proofErr w:type="spellEnd"/>
            <w:r w:rsidRPr="00DF4CE5">
              <w:rPr>
                <w:rFonts w:ascii="Cambria" w:hAnsi="Cambria"/>
                <w:sz w:val="22"/>
                <w:szCs w:val="22"/>
              </w:rPr>
              <w:t>).</w:t>
            </w:r>
          </w:p>
          <w:p w14:paraId="206F0781" w14:textId="77777777" w:rsidR="00A44D99" w:rsidRPr="00DF4CE5" w:rsidRDefault="00A44D99" w:rsidP="00891E8C">
            <w:pPr>
              <w:pStyle w:val="Default"/>
              <w:rPr>
                <w:rFonts w:ascii="Cambria" w:hAnsi="Cambria"/>
                <w:sz w:val="22"/>
                <w:szCs w:val="22"/>
                <w:lang w:val="it-IT"/>
              </w:rPr>
            </w:pPr>
            <w:r w:rsidRPr="00DF4CE5">
              <w:rPr>
                <w:rFonts w:ascii="Cambria" w:hAnsi="Cambria"/>
                <w:sz w:val="22"/>
                <w:szCs w:val="22"/>
                <w:lang w:val="it-IT"/>
              </w:rPr>
              <w:t xml:space="preserve">2. </w:t>
            </w:r>
            <w:proofErr w:type="spellStart"/>
            <w:r w:rsidRPr="00DF4CE5">
              <w:rPr>
                <w:rFonts w:ascii="Cambria" w:hAnsi="Cambria"/>
                <w:sz w:val="22"/>
                <w:szCs w:val="22"/>
                <w:lang w:val="it-IT"/>
              </w:rPr>
              <w:t>Psihološki</w:t>
            </w:r>
            <w:proofErr w:type="spellEnd"/>
            <w:r w:rsidRPr="00DF4CE5">
              <w:rPr>
                <w:rFonts w:ascii="Cambria" w:hAnsi="Cambria"/>
                <w:sz w:val="22"/>
                <w:szCs w:val="22"/>
                <w:lang w:val="it-IT"/>
              </w:rPr>
              <w:t xml:space="preserve"> </w:t>
            </w:r>
            <w:proofErr w:type="spellStart"/>
            <w:r w:rsidRPr="00DF4CE5">
              <w:rPr>
                <w:rFonts w:ascii="Cambria" w:hAnsi="Cambria"/>
                <w:sz w:val="22"/>
                <w:szCs w:val="22"/>
                <w:lang w:val="it-IT"/>
              </w:rPr>
              <w:t>tipovi</w:t>
            </w:r>
            <w:proofErr w:type="spellEnd"/>
            <w:r w:rsidRPr="00DF4CE5">
              <w:rPr>
                <w:rFonts w:ascii="Cambria" w:hAnsi="Cambria"/>
                <w:sz w:val="22"/>
                <w:szCs w:val="22"/>
                <w:lang w:val="it-IT"/>
              </w:rPr>
              <w:t xml:space="preserve"> i </w:t>
            </w:r>
            <w:proofErr w:type="spellStart"/>
            <w:r w:rsidRPr="00DF4CE5">
              <w:rPr>
                <w:rFonts w:ascii="Cambria" w:hAnsi="Cambria"/>
                <w:sz w:val="22"/>
                <w:szCs w:val="22"/>
                <w:lang w:val="it-IT"/>
              </w:rPr>
              <w:t>informatičko</w:t>
            </w:r>
            <w:proofErr w:type="spellEnd"/>
            <w:r w:rsidRPr="00DF4CE5">
              <w:rPr>
                <w:rFonts w:ascii="Cambria" w:hAnsi="Cambria"/>
                <w:sz w:val="22"/>
                <w:szCs w:val="22"/>
                <w:lang w:val="it-IT"/>
              </w:rPr>
              <w:t xml:space="preserve"> </w:t>
            </w:r>
            <w:proofErr w:type="spellStart"/>
            <w:r w:rsidRPr="00DF4CE5">
              <w:rPr>
                <w:rFonts w:ascii="Cambria" w:hAnsi="Cambria"/>
                <w:sz w:val="22"/>
                <w:szCs w:val="22"/>
                <w:lang w:val="it-IT"/>
              </w:rPr>
              <w:t>obrazovanje</w:t>
            </w:r>
            <w:proofErr w:type="spellEnd"/>
            <w:r w:rsidRPr="00DF4CE5">
              <w:rPr>
                <w:rFonts w:ascii="Cambria" w:hAnsi="Cambria"/>
                <w:sz w:val="22"/>
                <w:szCs w:val="22"/>
                <w:lang w:val="it-IT"/>
              </w:rPr>
              <w:t>.</w:t>
            </w:r>
          </w:p>
          <w:p w14:paraId="5E7FA4B9" w14:textId="77777777" w:rsidR="00A44D99" w:rsidRPr="00DF4CE5" w:rsidRDefault="00A44D99" w:rsidP="00891E8C">
            <w:pPr>
              <w:pStyle w:val="Default"/>
              <w:rPr>
                <w:rFonts w:ascii="Cambria" w:hAnsi="Cambria"/>
                <w:sz w:val="22"/>
                <w:szCs w:val="22"/>
                <w:lang w:val="it-IT"/>
              </w:rPr>
            </w:pPr>
            <w:r w:rsidRPr="00DF4CE5">
              <w:rPr>
                <w:rFonts w:ascii="Cambria" w:hAnsi="Cambria"/>
                <w:sz w:val="22"/>
                <w:szCs w:val="22"/>
                <w:lang w:val="it-IT"/>
              </w:rPr>
              <w:t xml:space="preserve">3. </w:t>
            </w:r>
            <w:proofErr w:type="spellStart"/>
            <w:r w:rsidRPr="00DF4CE5">
              <w:rPr>
                <w:rFonts w:ascii="Cambria" w:hAnsi="Cambria"/>
                <w:sz w:val="22"/>
                <w:szCs w:val="22"/>
                <w:lang w:val="it-IT"/>
              </w:rPr>
              <w:t>Poteškoće</w:t>
            </w:r>
            <w:proofErr w:type="spellEnd"/>
            <w:r w:rsidRPr="00DF4CE5">
              <w:rPr>
                <w:rFonts w:ascii="Cambria" w:hAnsi="Cambria"/>
                <w:sz w:val="22"/>
                <w:szCs w:val="22"/>
                <w:lang w:val="it-IT"/>
              </w:rPr>
              <w:t xml:space="preserve"> </w:t>
            </w:r>
            <w:proofErr w:type="spellStart"/>
            <w:r w:rsidRPr="00DF4CE5">
              <w:rPr>
                <w:rFonts w:ascii="Cambria" w:hAnsi="Cambria"/>
                <w:sz w:val="22"/>
                <w:szCs w:val="22"/>
                <w:lang w:val="it-IT"/>
              </w:rPr>
              <w:t>kod</w:t>
            </w:r>
            <w:proofErr w:type="spellEnd"/>
            <w:r w:rsidRPr="00DF4CE5">
              <w:rPr>
                <w:rFonts w:ascii="Cambria" w:hAnsi="Cambria"/>
                <w:sz w:val="22"/>
                <w:szCs w:val="22"/>
                <w:lang w:val="it-IT"/>
              </w:rPr>
              <w:t xml:space="preserve"> </w:t>
            </w:r>
            <w:proofErr w:type="spellStart"/>
            <w:r w:rsidRPr="00DF4CE5">
              <w:rPr>
                <w:rFonts w:ascii="Cambria" w:hAnsi="Cambria"/>
                <w:sz w:val="22"/>
                <w:szCs w:val="22"/>
                <w:lang w:val="it-IT"/>
              </w:rPr>
              <w:t>učenja</w:t>
            </w:r>
            <w:proofErr w:type="spellEnd"/>
            <w:r w:rsidRPr="00DF4CE5">
              <w:rPr>
                <w:rFonts w:ascii="Cambria" w:hAnsi="Cambria"/>
                <w:sz w:val="22"/>
                <w:szCs w:val="22"/>
                <w:lang w:val="it-IT"/>
              </w:rPr>
              <w:t xml:space="preserve"> </w:t>
            </w:r>
            <w:proofErr w:type="spellStart"/>
            <w:r w:rsidRPr="00DF4CE5">
              <w:rPr>
                <w:rFonts w:ascii="Cambria" w:hAnsi="Cambria"/>
                <w:sz w:val="22"/>
                <w:szCs w:val="22"/>
                <w:lang w:val="it-IT"/>
              </w:rPr>
              <w:t>informatičkih</w:t>
            </w:r>
            <w:proofErr w:type="spellEnd"/>
            <w:r w:rsidRPr="00DF4CE5">
              <w:rPr>
                <w:rFonts w:ascii="Cambria" w:hAnsi="Cambria"/>
                <w:sz w:val="22"/>
                <w:szCs w:val="22"/>
                <w:lang w:val="it-IT"/>
              </w:rPr>
              <w:t xml:space="preserve"> </w:t>
            </w:r>
            <w:proofErr w:type="spellStart"/>
            <w:r w:rsidRPr="00DF4CE5">
              <w:rPr>
                <w:rFonts w:ascii="Cambria" w:hAnsi="Cambria"/>
                <w:sz w:val="22"/>
                <w:szCs w:val="22"/>
                <w:lang w:val="it-IT"/>
              </w:rPr>
              <w:t>sadržaja</w:t>
            </w:r>
            <w:proofErr w:type="spellEnd"/>
            <w:r w:rsidRPr="00DF4CE5">
              <w:rPr>
                <w:rFonts w:ascii="Cambria" w:hAnsi="Cambria"/>
                <w:sz w:val="22"/>
                <w:szCs w:val="22"/>
                <w:lang w:val="it-IT"/>
              </w:rPr>
              <w:t xml:space="preserve"> i </w:t>
            </w:r>
            <w:proofErr w:type="spellStart"/>
            <w:r w:rsidRPr="00DF4CE5">
              <w:rPr>
                <w:rFonts w:ascii="Cambria" w:hAnsi="Cambria"/>
                <w:sz w:val="22"/>
                <w:szCs w:val="22"/>
                <w:lang w:val="it-IT"/>
              </w:rPr>
              <w:t>njihovo</w:t>
            </w:r>
            <w:proofErr w:type="spellEnd"/>
            <w:r w:rsidRPr="00DF4CE5">
              <w:rPr>
                <w:rFonts w:ascii="Cambria" w:hAnsi="Cambria"/>
                <w:sz w:val="22"/>
                <w:szCs w:val="22"/>
                <w:lang w:val="it-IT"/>
              </w:rPr>
              <w:t xml:space="preserve"> </w:t>
            </w:r>
            <w:proofErr w:type="spellStart"/>
            <w:r w:rsidRPr="00DF4CE5">
              <w:rPr>
                <w:rFonts w:ascii="Cambria" w:hAnsi="Cambria"/>
                <w:sz w:val="22"/>
                <w:szCs w:val="22"/>
                <w:lang w:val="it-IT"/>
              </w:rPr>
              <w:t>prevladavanje</w:t>
            </w:r>
            <w:proofErr w:type="spellEnd"/>
            <w:r w:rsidRPr="00DF4CE5">
              <w:rPr>
                <w:rFonts w:ascii="Cambria" w:hAnsi="Cambria"/>
                <w:sz w:val="22"/>
                <w:szCs w:val="22"/>
                <w:lang w:val="it-IT"/>
              </w:rPr>
              <w:t>.</w:t>
            </w:r>
          </w:p>
          <w:p w14:paraId="61DF2446" w14:textId="77777777" w:rsidR="00A44D99" w:rsidRPr="00DF4CE5" w:rsidRDefault="00A44D99" w:rsidP="00891E8C">
            <w:pPr>
              <w:pStyle w:val="Default"/>
              <w:rPr>
                <w:rFonts w:ascii="Cambria" w:hAnsi="Cambria"/>
                <w:sz w:val="22"/>
                <w:szCs w:val="22"/>
                <w:lang w:val="it-IT"/>
              </w:rPr>
            </w:pPr>
            <w:r w:rsidRPr="00DF4CE5">
              <w:rPr>
                <w:rFonts w:ascii="Cambria" w:hAnsi="Cambria"/>
                <w:sz w:val="22"/>
                <w:szCs w:val="22"/>
                <w:lang w:val="it-IT"/>
              </w:rPr>
              <w:t xml:space="preserve">4. </w:t>
            </w:r>
            <w:proofErr w:type="spellStart"/>
            <w:r w:rsidRPr="00DF4CE5">
              <w:rPr>
                <w:rFonts w:ascii="Cambria" w:hAnsi="Cambria"/>
                <w:sz w:val="22"/>
                <w:szCs w:val="22"/>
                <w:lang w:val="it-IT"/>
              </w:rPr>
              <w:t>Metode</w:t>
            </w:r>
            <w:proofErr w:type="spellEnd"/>
            <w:r w:rsidRPr="00DF4CE5">
              <w:rPr>
                <w:rFonts w:ascii="Cambria" w:hAnsi="Cambria"/>
                <w:sz w:val="22"/>
                <w:szCs w:val="22"/>
                <w:lang w:val="it-IT"/>
              </w:rPr>
              <w:t xml:space="preserve"> </w:t>
            </w:r>
            <w:proofErr w:type="spellStart"/>
            <w:r w:rsidRPr="00DF4CE5">
              <w:rPr>
                <w:rFonts w:ascii="Cambria" w:hAnsi="Cambria"/>
                <w:sz w:val="22"/>
                <w:szCs w:val="22"/>
                <w:lang w:val="it-IT"/>
              </w:rPr>
              <w:t>kojima</w:t>
            </w:r>
            <w:proofErr w:type="spellEnd"/>
            <w:r w:rsidRPr="00DF4CE5">
              <w:rPr>
                <w:rFonts w:ascii="Cambria" w:hAnsi="Cambria"/>
                <w:sz w:val="22"/>
                <w:szCs w:val="22"/>
                <w:lang w:val="it-IT"/>
              </w:rPr>
              <w:t xml:space="preserve"> se </w:t>
            </w:r>
            <w:proofErr w:type="spellStart"/>
            <w:r w:rsidRPr="00DF4CE5">
              <w:rPr>
                <w:rFonts w:ascii="Cambria" w:hAnsi="Cambria"/>
                <w:sz w:val="22"/>
                <w:szCs w:val="22"/>
                <w:lang w:val="it-IT"/>
              </w:rPr>
              <w:t>provjerava</w:t>
            </w:r>
            <w:proofErr w:type="spellEnd"/>
            <w:r w:rsidRPr="00DF4CE5">
              <w:rPr>
                <w:rFonts w:ascii="Cambria" w:hAnsi="Cambria"/>
                <w:sz w:val="22"/>
                <w:szCs w:val="22"/>
                <w:lang w:val="it-IT"/>
              </w:rPr>
              <w:t xml:space="preserve"> </w:t>
            </w:r>
            <w:proofErr w:type="spellStart"/>
            <w:r w:rsidRPr="00DF4CE5">
              <w:rPr>
                <w:rFonts w:ascii="Cambria" w:hAnsi="Cambria"/>
                <w:sz w:val="22"/>
                <w:szCs w:val="22"/>
                <w:lang w:val="it-IT"/>
              </w:rPr>
              <w:t>stupanj</w:t>
            </w:r>
            <w:proofErr w:type="spellEnd"/>
            <w:r w:rsidRPr="00DF4CE5">
              <w:rPr>
                <w:rFonts w:ascii="Cambria" w:hAnsi="Cambria"/>
                <w:sz w:val="22"/>
                <w:szCs w:val="22"/>
                <w:lang w:val="it-IT"/>
              </w:rPr>
              <w:t xml:space="preserve"> </w:t>
            </w:r>
            <w:proofErr w:type="spellStart"/>
            <w:r w:rsidRPr="00DF4CE5">
              <w:rPr>
                <w:rFonts w:ascii="Cambria" w:hAnsi="Cambria"/>
                <w:sz w:val="22"/>
                <w:szCs w:val="22"/>
                <w:lang w:val="it-IT"/>
              </w:rPr>
              <w:t>stečenog</w:t>
            </w:r>
            <w:proofErr w:type="spellEnd"/>
            <w:r w:rsidRPr="00DF4CE5">
              <w:rPr>
                <w:rFonts w:ascii="Cambria" w:hAnsi="Cambria"/>
                <w:sz w:val="22"/>
                <w:szCs w:val="22"/>
                <w:lang w:val="it-IT"/>
              </w:rPr>
              <w:t xml:space="preserve"> </w:t>
            </w:r>
            <w:proofErr w:type="spellStart"/>
            <w:r w:rsidRPr="00DF4CE5">
              <w:rPr>
                <w:rFonts w:ascii="Cambria" w:hAnsi="Cambria"/>
                <w:sz w:val="22"/>
                <w:szCs w:val="22"/>
                <w:lang w:val="it-IT"/>
              </w:rPr>
              <w:t>znanja</w:t>
            </w:r>
            <w:proofErr w:type="spellEnd"/>
            <w:r w:rsidRPr="00DF4CE5">
              <w:rPr>
                <w:rFonts w:ascii="Cambria" w:hAnsi="Cambria"/>
                <w:sz w:val="22"/>
                <w:szCs w:val="22"/>
                <w:lang w:val="it-IT"/>
              </w:rPr>
              <w:t xml:space="preserve"> i prati </w:t>
            </w:r>
            <w:proofErr w:type="spellStart"/>
            <w:r w:rsidRPr="00DF4CE5">
              <w:rPr>
                <w:rFonts w:ascii="Cambria" w:hAnsi="Cambria"/>
                <w:sz w:val="22"/>
                <w:szCs w:val="22"/>
                <w:lang w:val="it-IT"/>
              </w:rPr>
              <w:t>napredak</w:t>
            </w:r>
            <w:proofErr w:type="spellEnd"/>
            <w:r w:rsidRPr="00DF4CE5">
              <w:rPr>
                <w:rFonts w:ascii="Cambria" w:hAnsi="Cambria"/>
                <w:sz w:val="22"/>
                <w:szCs w:val="22"/>
                <w:lang w:val="it-IT"/>
              </w:rPr>
              <w:t xml:space="preserve"> </w:t>
            </w:r>
            <w:proofErr w:type="spellStart"/>
            <w:r w:rsidRPr="00DF4CE5">
              <w:rPr>
                <w:rFonts w:ascii="Cambria" w:hAnsi="Cambria"/>
                <w:sz w:val="22"/>
                <w:szCs w:val="22"/>
                <w:lang w:val="it-IT"/>
              </w:rPr>
              <w:t>učenika</w:t>
            </w:r>
            <w:proofErr w:type="spellEnd"/>
            <w:r w:rsidRPr="00DF4CE5">
              <w:rPr>
                <w:rFonts w:ascii="Cambria" w:hAnsi="Cambria"/>
                <w:sz w:val="22"/>
                <w:szCs w:val="22"/>
                <w:lang w:val="it-IT"/>
              </w:rPr>
              <w:t>.</w:t>
            </w:r>
          </w:p>
          <w:p w14:paraId="487F6DD1" w14:textId="77777777" w:rsidR="00A44D99" w:rsidRPr="00DF4CE5" w:rsidRDefault="00A44D99" w:rsidP="00891E8C">
            <w:pPr>
              <w:pStyle w:val="Default"/>
              <w:rPr>
                <w:rFonts w:ascii="Cambria" w:hAnsi="Cambria"/>
                <w:sz w:val="22"/>
                <w:szCs w:val="22"/>
                <w:lang w:val="it-IT"/>
              </w:rPr>
            </w:pPr>
            <w:r w:rsidRPr="00DF4CE5">
              <w:rPr>
                <w:rFonts w:ascii="Cambria" w:hAnsi="Cambria"/>
                <w:sz w:val="22"/>
                <w:szCs w:val="22"/>
                <w:lang w:val="it-IT"/>
              </w:rPr>
              <w:t xml:space="preserve">5. </w:t>
            </w:r>
            <w:proofErr w:type="spellStart"/>
            <w:r w:rsidRPr="00DF4CE5">
              <w:rPr>
                <w:rFonts w:ascii="Cambria" w:hAnsi="Cambria"/>
                <w:sz w:val="22"/>
                <w:szCs w:val="22"/>
                <w:lang w:val="it-IT"/>
              </w:rPr>
              <w:t>Nastava</w:t>
            </w:r>
            <w:proofErr w:type="spellEnd"/>
            <w:r w:rsidRPr="00DF4CE5">
              <w:rPr>
                <w:rFonts w:ascii="Cambria" w:hAnsi="Cambria"/>
                <w:sz w:val="22"/>
                <w:szCs w:val="22"/>
                <w:lang w:val="it-IT"/>
              </w:rPr>
              <w:t xml:space="preserve"> </w:t>
            </w:r>
            <w:proofErr w:type="spellStart"/>
            <w:r w:rsidRPr="00DF4CE5">
              <w:rPr>
                <w:rFonts w:ascii="Cambria" w:hAnsi="Cambria"/>
                <w:sz w:val="22"/>
                <w:szCs w:val="22"/>
                <w:lang w:val="it-IT"/>
              </w:rPr>
              <w:t>pojedinih</w:t>
            </w:r>
            <w:proofErr w:type="spellEnd"/>
            <w:r w:rsidRPr="00DF4CE5">
              <w:rPr>
                <w:rFonts w:ascii="Cambria" w:hAnsi="Cambria"/>
                <w:sz w:val="22"/>
                <w:szCs w:val="22"/>
                <w:lang w:val="it-IT"/>
              </w:rPr>
              <w:t xml:space="preserve"> </w:t>
            </w:r>
            <w:proofErr w:type="spellStart"/>
            <w:r w:rsidRPr="00DF4CE5">
              <w:rPr>
                <w:rFonts w:ascii="Cambria" w:hAnsi="Cambria"/>
                <w:sz w:val="22"/>
                <w:szCs w:val="22"/>
                <w:lang w:val="it-IT"/>
              </w:rPr>
              <w:t>područja</w:t>
            </w:r>
            <w:proofErr w:type="spellEnd"/>
            <w:r w:rsidRPr="00DF4CE5">
              <w:rPr>
                <w:rFonts w:ascii="Cambria" w:hAnsi="Cambria"/>
                <w:sz w:val="22"/>
                <w:szCs w:val="22"/>
                <w:lang w:val="it-IT"/>
              </w:rPr>
              <w:t xml:space="preserve"> </w:t>
            </w:r>
            <w:proofErr w:type="spellStart"/>
            <w:r w:rsidRPr="00DF4CE5">
              <w:rPr>
                <w:rFonts w:ascii="Cambria" w:hAnsi="Cambria"/>
                <w:sz w:val="22"/>
                <w:szCs w:val="22"/>
                <w:lang w:val="it-IT"/>
              </w:rPr>
              <w:t>iz</w:t>
            </w:r>
            <w:proofErr w:type="spellEnd"/>
            <w:r w:rsidRPr="00DF4CE5">
              <w:rPr>
                <w:rFonts w:ascii="Cambria" w:hAnsi="Cambria"/>
                <w:sz w:val="22"/>
                <w:szCs w:val="22"/>
                <w:lang w:val="it-IT"/>
              </w:rPr>
              <w:t xml:space="preserve"> </w:t>
            </w:r>
            <w:proofErr w:type="spellStart"/>
            <w:r w:rsidRPr="00DF4CE5">
              <w:rPr>
                <w:rFonts w:ascii="Cambria" w:hAnsi="Cambria"/>
                <w:sz w:val="22"/>
                <w:szCs w:val="22"/>
                <w:lang w:val="it-IT"/>
              </w:rPr>
              <w:t>informatike</w:t>
            </w:r>
            <w:proofErr w:type="spellEnd"/>
            <w:r w:rsidRPr="00DF4CE5">
              <w:rPr>
                <w:rFonts w:ascii="Cambria" w:hAnsi="Cambria"/>
                <w:sz w:val="22"/>
                <w:szCs w:val="22"/>
                <w:lang w:val="it-IT"/>
              </w:rPr>
              <w:t xml:space="preserve"> u </w:t>
            </w:r>
            <w:proofErr w:type="spellStart"/>
            <w:r w:rsidRPr="00DF4CE5">
              <w:rPr>
                <w:rFonts w:ascii="Cambria" w:hAnsi="Cambria"/>
                <w:sz w:val="22"/>
                <w:szCs w:val="22"/>
                <w:lang w:val="it-IT"/>
              </w:rPr>
              <w:t>osnovnoj</w:t>
            </w:r>
            <w:proofErr w:type="spellEnd"/>
            <w:r w:rsidRPr="00DF4CE5">
              <w:rPr>
                <w:rFonts w:ascii="Cambria" w:hAnsi="Cambria"/>
                <w:sz w:val="22"/>
                <w:szCs w:val="22"/>
                <w:lang w:val="it-IT"/>
              </w:rPr>
              <w:t xml:space="preserve"> i </w:t>
            </w:r>
            <w:proofErr w:type="spellStart"/>
            <w:r w:rsidRPr="00DF4CE5">
              <w:rPr>
                <w:rFonts w:ascii="Cambria" w:hAnsi="Cambria"/>
                <w:sz w:val="22"/>
                <w:szCs w:val="22"/>
                <w:lang w:val="it-IT"/>
              </w:rPr>
              <w:t>srednjoj</w:t>
            </w:r>
            <w:proofErr w:type="spellEnd"/>
            <w:r w:rsidRPr="00DF4CE5">
              <w:rPr>
                <w:rFonts w:ascii="Cambria" w:hAnsi="Cambria"/>
                <w:sz w:val="22"/>
                <w:szCs w:val="22"/>
                <w:lang w:val="it-IT"/>
              </w:rPr>
              <w:t xml:space="preserve"> </w:t>
            </w:r>
            <w:proofErr w:type="spellStart"/>
            <w:r w:rsidRPr="00DF4CE5">
              <w:rPr>
                <w:rFonts w:ascii="Cambria" w:hAnsi="Cambria"/>
                <w:sz w:val="22"/>
                <w:szCs w:val="22"/>
                <w:lang w:val="it-IT"/>
              </w:rPr>
              <w:t>školi</w:t>
            </w:r>
            <w:proofErr w:type="spellEnd"/>
            <w:r w:rsidRPr="00DF4CE5">
              <w:rPr>
                <w:rFonts w:ascii="Cambria" w:hAnsi="Cambria"/>
                <w:sz w:val="22"/>
                <w:szCs w:val="22"/>
                <w:lang w:val="it-IT"/>
              </w:rPr>
              <w:t>.</w:t>
            </w:r>
          </w:p>
          <w:p w14:paraId="5BA4C357" w14:textId="77777777" w:rsidR="00A44D99" w:rsidRPr="00DF4CE5" w:rsidRDefault="00A44D99" w:rsidP="00891E8C">
            <w:pPr>
              <w:pStyle w:val="Default"/>
              <w:rPr>
                <w:rFonts w:ascii="Cambria" w:hAnsi="Cambria"/>
                <w:sz w:val="22"/>
                <w:szCs w:val="22"/>
                <w:lang w:val="it-IT"/>
              </w:rPr>
            </w:pPr>
            <w:r w:rsidRPr="00DF4CE5">
              <w:rPr>
                <w:rFonts w:ascii="Cambria" w:hAnsi="Cambria"/>
                <w:sz w:val="22"/>
                <w:szCs w:val="22"/>
                <w:lang w:val="it-IT"/>
              </w:rPr>
              <w:t xml:space="preserve">6. </w:t>
            </w:r>
            <w:proofErr w:type="spellStart"/>
            <w:r w:rsidRPr="00DF4CE5">
              <w:rPr>
                <w:rFonts w:ascii="Cambria" w:hAnsi="Cambria"/>
                <w:sz w:val="22"/>
                <w:szCs w:val="22"/>
                <w:lang w:val="it-IT"/>
              </w:rPr>
              <w:t>Informatički</w:t>
            </w:r>
            <w:proofErr w:type="spellEnd"/>
            <w:r w:rsidRPr="00DF4CE5">
              <w:rPr>
                <w:rFonts w:ascii="Cambria" w:hAnsi="Cambria"/>
                <w:sz w:val="22"/>
                <w:szCs w:val="22"/>
                <w:lang w:val="it-IT"/>
              </w:rPr>
              <w:t xml:space="preserve"> </w:t>
            </w:r>
            <w:proofErr w:type="spellStart"/>
            <w:r w:rsidRPr="00DF4CE5">
              <w:rPr>
                <w:rFonts w:ascii="Cambria" w:hAnsi="Cambria"/>
                <w:sz w:val="22"/>
                <w:szCs w:val="22"/>
                <w:lang w:val="it-IT"/>
              </w:rPr>
              <w:t>pristup</w:t>
            </w:r>
            <w:proofErr w:type="spellEnd"/>
            <w:r w:rsidRPr="00DF4CE5">
              <w:rPr>
                <w:rFonts w:ascii="Cambria" w:hAnsi="Cambria"/>
                <w:sz w:val="22"/>
                <w:szCs w:val="22"/>
                <w:lang w:val="it-IT"/>
              </w:rPr>
              <w:t xml:space="preserve"> </w:t>
            </w:r>
            <w:proofErr w:type="spellStart"/>
            <w:r w:rsidRPr="00DF4CE5">
              <w:rPr>
                <w:rFonts w:ascii="Cambria" w:hAnsi="Cambria"/>
                <w:sz w:val="22"/>
                <w:szCs w:val="22"/>
                <w:lang w:val="it-IT"/>
              </w:rPr>
              <w:t>sadržajima</w:t>
            </w:r>
            <w:proofErr w:type="spellEnd"/>
            <w:r w:rsidRPr="00DF4CE5">
              <w:rPr>
                <w:rFonts w:ascii="Cambria" w:hAnsi="Cambria"/>
                <w:sz w:val="22"/>
                <w:szCs w:val="22"/>
                <w:lang w:val="it-IT"/>
              </w:rPr>
              <w:t xml:space="preserve"> </w:t>
            </w:r>
            <w:proofErr w:type="spellStart"/>
            <w:r w:rsidRPr="00DF4CE5">
              <w:rPr>
                <w:rFonts w:ascii="Cambria" w:hAnsi="Cambria"/>
                <w:sz w:val="22"/>
                <w:szCs w:val="22"/>
                <w:lang w:val="it-IT"/>
              </w:rPr>
              <w:t>drugih</w:t>
            </w:r>
            <w:proofErr w:type="spellEnd"/>
            <w:r w:rsidRPr="00DF4CE5">
              <w:rPr>
                <w:rFonts w:ascii="Cambria" w:hAnsi="Cambria"/>
                <w:sz w:val="22"/>
                <w:szCs w:val="22"/>
                <w:lang w:val="it-IT"/>
              </w:rPr>
              <w:t xml:space="preserve"> </w:t>
            </w:r>
            <w:proofErr w:type="spellStart"/>
            <w:r w:rsidRPr="00DF4CE5">
              <w:rPr>
                <w:rFonts w:ascii="Cambria" w:hAnsi="Cambria"/>
                <w:sz w:val="22"/>
                <w:szCs w:val="22"/>
                <w:lang w:val="it-IT"/>
              </w:rPr>
              <w:t>kolegija</w:t>
            </w:r>
            <w:proofErr w:type="spellEnd"/>
            <w:r w:rsidRPr="00DF4CE5">
              <w:rPr>
                <w:rFonts w:ascii="Cambria" w:hAnsi="Cambria"/>
                <w:sz w:val="22"/>
                <w:szCs w:val="22"/>
                <w:lang w:val="it-IT"/>
              </w:rPr>
              <w:t>.</w:t>
            </w:r>
          </w:p>
          <w:p w14:paraId="5AE6C755" w14:textId="77777777" w:rsidR="00A44D99" w:rsidRPr="00DF4CE5" w:rsidRDefault="00A44D99" w:rsidP="00891E8C">
            <w:pPr>
              <w:pStyle w:val="Default"/>
              <w:rPr>
                <w:rFonts w:ascii="Cambria" w:hAnsi="Cambria"/>
                <w:sz w:val="22"/>
                <w:szCs w:val="22"/>
                <w:lang w:val="it-IT"/>
              </w:rPr>
            </w:pPr>
            <w:proofErr w:type="spellStart"/>
            <w:r w:rsidRPr="00DF4CE5">
              <w:rPr>
                <w:rFonts w:ascii="Cambria" w:hAnsi="Cambria"/>
                <w:sz w:val="22"/>
                <w:szCs w:val="22"/>
                <w:lang w:val="it-IT"/>
              </w:rPr>
              <w:lastRenderedPageBreak/>
              <w:t>Vježbe</w:t>
            </w:r>
            <w:proofErr w:type="spellEnd"/>
            <w:r w:rsidRPr="00DF4CE5">
              <w:rPr>
                <w:rFonts w:ascii="Cambria" w:hAnsi="Cambria"/>
                <w:sz w:val="22"/>
                <w:szCs w:val="22"/>
                <w:lang w:val="it-IT"/>
              </w:rPr>
              <w:t>:</w:t>
            </w:r>
          </w:p>
          <w:p w14:paraId="6279E2D7" w14:textId="77777777" w:rsidR="00A44D99" w:rsidRPr="00DF4CE5" w:rsidRDefault="00A44D99" w:rsidP="00891E8C">
            <w:pPr>
              <w:pStyle w:val="Default"/>
              <w:rPr>
                <w:rFonts w:ascii="Cambria" w:hAnsi="Cambria"/>
                <w:sz w:val="22"/>
                <w:szCs w:val="22"/>
                <w:lang w:val="it-IT"/>
              </w:rPr>
            </w:pPr>
            <w:r w:rsidRPr="00DF4CE5">
              <w:rPr>
                <w:rFonts w:ascii="Cambria" w:hAnsi="Cambria"/>
                <w:sz w:val="22"/>
                <w:szCs w:val="22"/>
                <w:lang w:val="it-IT"/>
              </w:rPr>
              <w:t xml:space="preserve">7. </w:t>
            </w:r>
            <w:proofErr w:type="spellStart"/>
            <w:r w:rsidRPr="00DF4CE5">
              <w:rPr>
                <w:rFonts w:ascii="Cambria" w:hAnsi="Cambria"/>
                <w:sz w:val="22"/>
                <w:szCs w:val="22"/>
                <w:lang w:val="it-IT"/>
              </w:rPr>
              <w:t>Nastavni</w:t>
            </w:r>
            <w:proofErr w:type="spellEnd"/>
            <w:r w:rsidRPr="00DF4CE5">
              <w:rPr>
                <w:rFonts w:ascii="Cambria" w:hAnsi="Cambria"/>
                <w:sz w:val="22"/>
                <w:szCs w:val="22"/>
                <w:lang w:val="it-IT"/>
              </w:rPr>
              <w:t xml:space="preserve"> plan i </w:t>
            </w:r>
            <w:proofErr w:type="spellStart"/>
            <w:r w:rsidRPr="00DF4CE5">
              <w:rPr>
                <w:rFonts w:ascii="Cambria" w:hAnsi="Cambria"/>
                <w:sz w:val="22"/>
                <w:szCs w:val="22"/>
                <w:lang w:val="it-IT"/>
              </w:rPr>
              <w:t>program</w:t>
            </w:r>
            <w:proofErr w:type="spellEnd"/>
            <w:r w:rsidRPr="00DF4CE5">
              <w:rPr>
                <w:rFonts w:ascii="Cambria" w:hAnsi="Cambria"/>
                <w:sz w:val="22"/>
                <w:szCs w:val="22"/>
                <w:lang w:val="it-IT"/>
              </w:rPr>
              <w:t xml:space="preserve"> za </w:t>
            </w:r>
            <w:proofErr w:type="spellStart"/>
            <w:r w:rsidRPr="00DF4CE5">
              <w:rPr>
                <w:rFonts w:ascii="Cambria" w:hAnsi="Cambria"/>
                <w:sz w:val="22"/>
                <w:szCs w:val="22"/>
                <w:lang w:val="it-IT"/>
              </w:rPr>
              <w:t>osnovnu</w:t>
            </w:r>
            <w:proofErr w:type="spellEnd"/>
            <w:r w:rsidRPr="00DF4CE5">
              <w:rPr>
                <w:rFonts w:ascii="Cambria" w:hAnsi="Cambria"/>
                <w:sz w:val="22"/>
                <w:szCs w:val="22"/>
                <w:lang w:val="it-IT"/>
              </w:rPr>
              <w:t xml:space="preserve"> </w:t>
            </w:r>
            <w:proofErr w:type="spellStart"/>
            <w:r w:rsidRPr="00DF4CE5">
              <w:rPr>
                <w:rFonts w:ascii="Cambria" w:hAnsi="Cambria"/>
                <w:sz w:val="22"/>
                <w:szCs w:val="22"/>
                <w:lang w:val="it-IT"/>
              </w:rPr>
              <w:t>školu</w:t>
            </w:r>
            <w:proofErr w:type="spellEnd"/>
            <w:r w:rsidRPr="00DF4CE5">
              <w:rPr>
                <w:rFonts w:ascii="Cambria" w:hAnsi="Cambria"/>
                <w:sz w:val="22"/>
                <w:szCs w:val="22"/>
                <w:lang w:val="it-IT"/>
              </w:rPr>
              <w:t xml:space="preserve"> - </w:t>
            </w:r>
            <w:proofErr w:type="spellStart"/>
            <w:r w:rsidRPr="00DF4CE5">
              <w:rPr>
                <w:rFonts w:ascii="Cambria" w:hAnsi="Cambria"/>
                <w:sz w:val="22"/>
                <w:szCs w:val="22"/>
                <w:lang w:val="it-IT"/>
              </w:rPr>
              <w:t>informatika</w:t>
            </w:r>
            <w:proofErr w:type="spellEnd"/>
            <w:r w:rsidRPr="00DF4CE5">
              <w:rPr>
                <w:rFonts w:ascii="Cambria" w:hAnsi="Cambria"/>
                <w:sz w:val="22"/>
                <w:szCs w:val="22"/>
                <w:lang w:val="it-IT"/>
              </w:rPr>
              <w:t>.</w:t>
            </w:r>
          </w:p>
          <w:p w14:paraId="79003F93" w14:textId="77777777" w:rsidR="00A44D99" w:rsidRPr="00DF4CE5" w:rsidRDefault="00A44D99" w:rsidP="00891E8C">
            <w:pPr>
              <w:pStyle w:val="Default"/>
              <w:rPr>
                <w:rFonts w:ascii="Cambria" w:hAnsi="Cambria"/>
                <w:sz w:val="22"/>
                <w:szCs w:val="22"/>
                <w:lang w:val="it-IT"/>
              </w:rPr>
            </w:pPr>
            <w:r w:rsidRPr="00DF4CE5">
              <w:rPr>
                <w:rFonts w:ascii="Cambria" w:hAnsi="Cambria"/>
                <w:sz w:val="22"/>
                <w:szCs w:val="22"/>
                <w:lang w:val="it-IT"/>
              </w:rPr>
              <w:t xml:space="preserve">8. </w:t>
            </w:r>
            <w:proofErr w:type="spellStart"/>
            <w:r w:rsidRPr="00DF4CE5">
              <w:rPr>
                <w:rFonts w:ascii="Cambria" w:hAnsi="Cambria"/>
                <w:sz w:val="22"/>
                <w:szCs w:val="22"/>
                <w:lang w:val="it-IT"/>
              </w:rPr>
              <w:t>Pisanje</w:t>
            </w:r>
            <w:proofErr w:type="spellEnd"/>
            <w:r w:rsidRPr="00DF4CE5">
              <w:rPr>
                <w:rFonts w:ascii="Cambria" w:hAnsi="Cambria"/>
                <w:sz w:val="22"/>
                <w:szCs w:val="22"/>
                <w:lang w:val="it-IT"/>
              </w:rPr>
              <w:t xml:space="preserve"> </w:t>
            </w:r>
            <w:proofErr w:type="spellStart"/>
            <w:r w:rsidRPr="00DF4CE5">
              <w:rPr>
                <w:rFonts w:ascii="Cambria" w:hAnsi="Cambria"/>
                <w:sz w:val="22"/>
                <w:szCs w:val="22"/>
                <w:lang w:val="it-IT"/>
              </w:rPr>
              <w:t>priprave</w:t>
            </w:r>
            <w:proofErr w:type="spellEnd"/>
            <w:r w:rsidRPr="00DF4CE5">
              <w:rPr>
                <w:rFonts w:ascii="Cambria" w:hAnsi="Cambria"/>
                <w:sz w:val="22"/>
                <w:szCs w:val="22"/>
                <w:lang w:val="it-IT"/>
              </w:rPr>
              <w:t xml:space="preserve"> za </w:t>
            </w:r>
            <w:proofErr w:type="spellStart"/>
            <w:r w:rsidRPr="00DF4CE5">
              <w:rPr>
                <w:rFonts w:ascii="Cambria" w:hAnsi="Cambria"/>
                <w:sz w:val="22"/>
                <w:szCs w:val="22"/>
                <w:lang w:val="it-IT"/>
              </w:rPr>
              <w:t>izvođenje</w:t>
            </w:r>
            <w:proofErr w:type="spellEnd"/>
            <w:r w:rsidRPr="00DF4CE5">
              <w:rPr>
                <w:rFonts w:ascii="Cambria" w:hAnsi="Cambria"/>
                <w:sz w:val="22"/>
                <w:szCs w:val="22"/>
                <w:lang w:val="it-IT"/>
              </w:rPr>
              <w:t xml:space="preserve"> 2 </w:t>
            </w:r>
            <w:proofErr w:type="spellStart"/>
            <w:r w:rsidRPr="00DF4CE5">
              <w:rPr>
                <w:rFonts w:ascii="Cambria" w:hAnsi="Cambria"/>
                <w:sz w:val="22"/>
                <w:szCs w:val="22"/>
                <w:lang w:val="it-IT"/>
              </w:rPr>
              <w:t>nastavna</w:t>
            </w:r>
            <w:proofErr w:type="spellEnd"/>
            <w:r w:rsidRPr="00DF4CE5">
              <w:rPr>
                <w:rFonts w:ascii="Cambria" w:hAnsi="Cambria"/>
                <w:sz w:val="22"/>
                <w:szCs w:val="22"/>
                <w:lang w:val="it-IT"/>
              </w:rPr>
              <w:t xml:space="preserve"> </w:t>
            </w:r>
            <w:proofErr w:type="spellStart"/>
            <w:r w:rsidRPr="00DF4CE5">
              <w:rPr>
                <w:rFonts w:ascii="Cambria" w:hAnsi="Cambria"/>
                <w:sz w:val="22"/>
                <w:szCs w:val="22"/>
                <w:lang w:val="it-IT"/>
              </w:rPr>
              <w:t>sata</w:t>
            </w:r>
            <w:proofErr w:type="spellEnd"/>
            <w:r w:rsidRPr="00DF4CE5">
              <w:rPr>
                <w:rFonts w:ascii="Cambria" w:hAnsi="Cambria"/>
                <w:sz w:val="22"/>
                <w:szCs w:val="22"/>
                <w:lang w:val="it-IT"/>
              </w:rPr>
              <w:t xml:space="preserve"> </w:t>
            </w:r>
            <w:proofErr w:type="spellStart"/>
            <w:r w:rsidRPr="00DF4CE5">
              <w:rPr>
                <w:rFonts w:ascii="Cambria" w:hAnsi="Cambria"/>
                <w:sz w:val="22"/>
                <w:szCs w:val="22"/>
                <w:lang w:val="it-IT"/>
              </w:rPr>
              <w:t>informatike</w:t>
            </w:r>
            <w:proofErr w:type="spellEnd"/>
            <w:r w:rsidRPr="00DF4CE5">
              <w:rPr>
                <w:rFonts w:ascii="Cambria" w:hAnsi="Cambria"/>
                <w:sz w:val="22"/>
                <w:szCs w:val="22"/>
                <w:lang w:val="it-IT"/>
              </w:rPr>
              <w:t>.</w:t>
            </w:r>
          </w:p>
          <w:p w14:paraId="1993D2B5" w14:textId="77777777" w:rsidR="00A44D99" w:rsidRPr="00DF4CE5" w:rsidRDefault="00A44D99" w:rsidP="00891E8C">
            <w:pPr>
              <w:pStyle w:val="Default"/>
              <w:rPr>
                <w:rFonts w:ascii="Cambria" w:hAnsi="Cambria"/>
                <w:sz w:val="22"/>
                <w:szCs w:val="22"/>
                <w:lang w:val="it-IT"/>
              </w:rPr>
            </w:pPr>
            <w:r w:rsidRPr="00DF4CE5">
              <w:rPr>
                <w:rFonts w:ascii="Cambria" w:hAnsi="Cambria"/>
                <w:sz w:val="22"/>
                <w:szCs w:val="22"/>
                <w:lang w:val="it-IT"/>
              </w:rPr>
              <w:t xml:space="preserve">9. </w:t>
            </w:r>
            <w:proofErr w:type="spellStart"/>
            <w:r w:rsidRPr="00DF4CE5">
              <w:rPr>
                <w:rFonts w:ascii="Cambria" w:hAnsi="Cambria"/>
                <w:sz w:val="22"/>
                <w:szCs w:val="22"/>
                <w:lang w:val="it-IT"/>
              </w:rPr>
              <w:t>Održavanje</w:t>
            </w:r>
            <w:proofErr w:type="spellEnd"/>
            <w:r w:rsidRPr="00DF4CE5">
              <w:rPr>
                <w:rFonts w:ascii="Cambria" w:hAnsi="Cambria"/>
                <w:sz w:val="22"/>
                <w:szCs w:val="22"/>
                <w:lang w:val="it-IT"/>
              </w:rPr>
              <w:t xml:space="preserve"> </w:t>
            </w:r>
            <w:proofErr w:type="spellStart"/>
            <w:r w:rsidRPr="00DF4CE5">
              <w:rPr>
                <w:rFonts w:ascii="Cambria" w:hAnsi="Cambria"/>
                <w:sz w:val="22"/>
                <w:szCs w:val="22"/>
                <w:lang w:val="it-IT"/>
              </w:rPr>
              <w:t>nastave</w:t>
            </w:r>
            <w:proofErr w:type="spellEnd"/>
            <w:r w:rsidRPr="00DF4CE5">
              <w:rPr>
                <w:rFonts w:ascii="Cambria" w:hAnsi="Cambria"/>
                <w:sz w:val="22"/>
                <w:szCs w:val="22"/>
                <w:lang w:val="it-IT"/>
              </w:rPr>
              <w:t xml:space="preserve"> </w:t>
            </w:r>
            <w:proofErr w:type="spellStart"/>
            <w:r w:rsidRPr="00DF4CE5">
              <w:rPr>
                <w:rFonts w:ascii="Cambria" w:hAnsi="Cambria"/>
                <w:sz w:val="22"/>
                <w:szCs w:val="22"/>
                <w:lang w:val="it-IT"/>
              </w:rPr>
              <w:t>informatike</w:t>
            </w:r>
            <w:proofErr w:type="spellEnd"/>
            <w:r w:rsidRPr="00DF4CE5">
              <w:rPr>
                <w:rFonts w:ascii="Cambria" w:hAnsi="Cambria"/>
                <w:sz w:val="22"/>
                <w:szCs w:val="22"/>
                <w:lang w:val="it-IT"/>
              </w:rPr>
              <w:t>.</w:t>
            </w:r>
          </w:p>
          <w:p w14:paraId="5707173C" w14:textId="77777777" w:rsidR="00A44D99" w:rsidRPr="00DF4CE5" w:rsidRDefault="00A44D99" w:rsidP="00891E8C">
            <w:pPr>
              <w:pStyle w:val="Default"/>
              <w:rPr>
                <w:rFonts w:ascii="Cambria" w:hAnsi="Cambria"/>
                <w:sz w:val="22"/>
                <w:szCs w:val="22"/>
                <w:lang w:val="it-IT"/>
              </w:rPr>
            </w:pPr>
            <w:r w:rsidRPr="00DF4CE5">
              <w:rPr>
                <w:rFonts w:ascii="Cambria" w:hAnsi="Cambria"/>
                <w:sz w:val="22"/>
                <w:szCs w:val="22"/>
                <w:lang w:val="it-IT"/>
              </w:rPr>
              <w:t xml:space="preserve">10. </w:t>
            </w:r>
            <w:proofErr w:type="spellStart"/>
            <w:r w:rsidRPr="00DF4CE5">
              <w:rPr>
                <w:rFonts w:ascii="Cambria" w:hAnsi="Cambria"/>
                <w:sz w:val="22"/>
                <w:szCs w:val="22"/>
                <w:lang w:val="it-IT"/>
              </w:rPr>
              <w:t>Analiza</w:t>
            </w:r>
            <w:proofErr w:type="spellEnd"/>
            <w:r w:rsidRPr="00DF4CE5">
              <w:rPr>
                <w:rFonts w:ascii="Cambria" w:hAnsi="Cambria"/>
                <w:sz w:val="22"/>
                <w:szCs w:val="22"/>
                <w:lang w:val="it-IT"/>
              </w:rPr>
              <w:t xml:space="preserve"> </w:t>
            </w:r>
            <w:proofErr w:type="spellStart"/>
            <w:r w:rsidRPr="00DF4CE5">
              <w:rPr>
                <w:rFonts w:ascii="Cambria" w:hAnsi="Cambria"/>
                <w:sz w:val="22"/>
                <w:szCs w:val="22"/>
                <w:lang w:val="it-IT"/>
              </w:rPr>
              <w:t>održanih</w:t>
            </w:r>
            <w:proofErr w:type="spellEnd"/>
            <w:r w:rsidRPr="00DF4CE5">
              <w:rPr>
                <w:rFonts w:ascii="Cambria" w:hAnsi="Cambria"/>
                <w:sz w:val="22"/>
                <w:szCs w:val="22"/>
                <w:lang w:val="it-IT"/>
              </w:rPr>
              <w:t xml:space="preserve"> sati.</w:t>
            </w:r>
          </w:p>
          <w:p w14:paraId="46133C74" w14:textId="77777777" w:rsidR="00A44D99" w:rsidRPr="00DF4CE5" w:rsidRDefault="00A44D99" w:rsidP="00891E8C">
            <w:pPr>
              <w:pStyle w:val="Default"/>
              <w:rPr>
                <w:rFonts w:ascii="Cambria" w:hAnsi="Cambria"/>
                <w:sz w:val="22"/>
                <w:szCs w:val="22"/>
                <w:lang w:val="it-IT"/>
              </w:rPr>
            </w:pPr>
          </w:p>
        </w:tc>
      </w:tr>
      <w:tr w:rsidR="00A44D99" w:rsidRPr="00DF4CE5" w14:paraId="5FAFBB73" w14:textId="77777777" w:rsidTr="00891E8C">
        <w:tc>
          <w:tcPr>
            <w:tcW w:w="2536"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hideMark/>
          </w:tcPr>
          <w:p w14:paraId="44829B59" w14:textId="55F2C49D" w:rsidR="00A44D99" w:rsidRPr="00DF4CE5" w:rsidRDefault="00A44D99" w:rsidP="00E41F45">
            <w:pPr>
              <w:rPr>
                <w:rFonts w:ascii="Cambria" w:hAnsi="Cambria" w:cs="Calibri"/>
                <w:lang w:val="it-IT"/>
              </w:rPr>
            </w:pPr>
            <w:proofErr w:type="spellStart"/>
            <w:r w:rsidRPr="00DF4CE5">
              <w:rPr>
                <w:rFonts w:ascii="Cambria" w:hAnsi="Cambria" w:cs="Calibri"/>
                <w:lang w:val="it-IT"/>
              </w:rPr>
              <w:lastRenderedPageBreak/>
              <w:t>Planirane</w:t>
            </w:r>
            <w:proofErr w:type="spellEnd"/>
            <w:r w:rsidRPr="00DF4CE5">
              <w:rPr>
                <w:rFonts w:ascii="Cambria" w:hAnsi="Cambria" w:cs="Calibri"/>
                <w:lang w:val="it-IT"/>
              </w:rPr>
              <w:t xml:space="preserve"> </w:t>
            </w:r>
            <w:proofErr w:type="spellStart"/>
            <w:r w:rsidRPr="00DF4CE5">
              <w:rPr>
                <w:rFonts w:ascii="Cambria" w:hAnsi="Cambria" w:cs="Calibri"/>
                <w:lang w:val="it-IT"/>
              </w:rPr>
              <w:t>aktivnosti</w:t>
            </w:r>
            <w:proofErr w:type="spellEnd"/>
            <w:r w:rsidRPr="00DF4CE5">
              <w:rPr>
                <w:rFonts w:ascii="Cambria" w:hAnsi="Cambria" w:cs="Calibri"/>
                <w:lang w:val="it-IT"/>
              </w:rPr>
              <w:t>,</w:t>
            </w:r>
            <w:r w:rsidR="00E41F45">
              <w:rPr>
                <w:rFonts w:ascii="Cambria" w:hAnsi="Cambria" w:cs="Calibri"/>
                <w:lang w:val="it-IT"/>
              </w:rPr>
              <w:t xml:space="preserve"> </w:t>
            </w:r>
            <w:proofErr w:type="spellStart"/>
            <w:r w:rsidRPr="00DF4CE5">
              <w:rPr>
                <w:rFonts w:ascii="Cambria" w:hAnsi="Cambria" w:cs="Calibri"/>
                <w:lang w:val="it-IT"/>
              </w:rPr>
              <w:t>metode</w:t>
            </w:r>
            <w:proofErr w:type="spellEnd"/>
            <w:r w:rsidRPr="00DF4CE5">
              <w:rPr>
                <w:rFonts w:ascii="Cambria" w:hAnsi="Cambria" w:cs="Calibri"/>
                <w:lang w:val="it-IT"/>
              </w:rPr>
              <w:t xml:space="preserve"> </w:t>
            </w:r>
            <w:proofErr w:type="spellStart"/>
            <w:r w:rsidRPr="00DF4CE5">
              <w:rPr>
                <w:rFonts w:ascii="Cambria" w:hAnsi="Cambria" w:cs="Calibri"/>
                <w:lang w:val="it-IT"/>
              </w:rPr>
              <w:t>učenja</w:t>
            </w:r>
            <w:proofErr w:type="spellEnd"/>
            <w:r w:rsidRPr="00DF4CE5">
              <w:rPr>
                <w:rFonts w:ascii="Cambria" w:hAnsi="Cambria" w:cs="Calibri"/>
                <w:lang w:val="it-IT"/>
              </w:rPr>
              <w:t xml:space="preserve"> i </w:t>
            </w:r>
            <w:proofErr w:type="spellStart"/>
            <w:r w:rsidRPr="00DF4CE5">
              <w:rPr>
                <w:rFonts w:ascii="Cambria" w:hAnsi="Cambria" w:cs="Calibri"/>
                <w:lang w:val="it-IT"/>
              </w:rPr>
              <w:t>poučavanja</w:t>
            </w:r>
            <w:proofErr w:type="spellEnd"/>
            <w:r w:rsidRPr="00DF4CE5">
              <w:rPr>
                <w:rFonts w:ascii="Cambria" w:hAnsi="Cambria" w:cs="Calibri"/>
                <w:lang w:val="it-IT"/>
              </w:rPr>
              <w:t xml:space="preserve"> i </w:t>
            </w:r>
            <w:proofErr w:type="spellStart"/>
            <w:r w:rsidRPr="00DF4CE5">
              <w:rPr>
                <w:rFonts w:ascii="Cambria" w:hAnsi="Cambria" w:cs="Calibri"/>
                <w:lang w:val="it-IT"/>
              </w:rPr>
              <w:t>načini</w:t>
            </w:r>
            <w:proofErr w:type="spellEnd"/>
            <w:r w:rsidRPr="00DF4CE5">
              <w:rPr>
                <w:rFonts w:ascii="Cambria" w:hAnsi="Cambria" w:cs="Calibri"/>
                <w:lang w:val="it-IT"/>
              </w:rPr>
              <w:t xml:space="preserve"> </w:t>
            </w:r>
            <w:proofErr w:type="spellStart"/>
            <w:r w:rsidRPr="00DF4CE5">
              <w:rPr>
                <w:rFonts w:ascii="Cambria" w:hAnsi="Cambria" w:cs="Calibri"/>
                <w:lang w:val="it-IT"/>
              </w:rPr>
              <w:t>vrednovanja</w:t>
            </w:r>
            <w:proofErr w:type="spellEnd"/>
          </w:p>
        </w:tc>
        <w:tc>
          <w:tcPr>
            <w:tcW w:w="250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18E702F" w14:textId="61E9DAAA" w:rsidR="00A44D99" w:rsidRPr="00DF4CE5" w:rsidRDefault="00E41F45" w:rsidP="00891E8C">
            <w:pPr>
              <w:pStyle w:val="Default"/>
              <w:rPr>
                <w:rFonts w:ascii="Cambria" w:hAnsi="Cambria"/>
                <w:sz w:val="22"/>
                <w:szCs w:val="22"/>
                <w:lang w:val="it-IT"/>
              </w:rPr>
            </w:pPr>
            <w:proofErr w:type="spellStart"/>
            <w:r>
              <w:rPr>
                <w:rFonts w:ascii="Cambria" w:hAnsi="Cambria"/>
                <w:sz w:val="22"/>
                <w:szCs w:val="22"/>
                <w:lang w:val="it-IT"/>
              </w:rPr>
              <w:t>Obveze</w:t>
            </w:r>
            <w:proofErr w:type="spellEnd"/>
          </w:p>
        </w:tc>
        <w:tc>
          <w:tcPr>
            <w:tcW w:w="1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072A686" w14:textId="77777777" w:rsidR="00A44D99" w:rsidRPr="00DF4CE5" w:rsidRDefault="00A44D99" w:rsidP="00891E8C">
            <w:pPr>
              <w:pStyle w:val="Default"/>
              <w:rPr>
                <w:rFonts w:ascii="Cambria" w:hAnsi="Cambria"/>
                <w:sz w:val="22"/>
                <w:szCs w:val="22"/>
              </w:rPr>
            </w:pPr>
            <w:proofErr w:type="spellStart"/>
            <w:r w:rsidRPr="00DF4CE5">
              <w:rPr>
                <w:rFonts w:ascii="Cambria" w:hAnsi="Cambria"/>
                <w:sz w:val="22"/>
                <w:szCs w:val="22"/>
              </w:rPr>
              <w:t>Ishodi</w:t>
            </w:r>
            <w:proofErr w:type="spellEnd"/>
          </w:p>
        </w:tc>
        <w:tc>
          <w:tcPr>
            <w:tcW w:w="69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96B284A" w14:textId="77777777" w:rsidR="00A44D99" w:rsidRPr="00DF4CE5" w:rsidRDefault="00A44D99" w:rsidP="00891E8C">
            <w:pPr>
              <w:pStyle w:val="Default"/>
              <w:rPr>
                <w:rFonts w:ascii="Cambria" w:hAnsi="Cambria"/>
                <w:sz w:val="22"/>
                <w:szCs w:val="22"/>
              </w:rPr>
            </w:pPr>
            <w:r w:rsidRPr="00DF4CE5">
              <w:rPr>
                <w:rFonts w:ascii="Cambria" w:hAnsi="Cambria"/>
                <w:sz w:val="22"/>
                <w:szCs w:val="22"/>
              </w:rPr>
              <w:t>Sati</w:t>
            </w:r>
          </w:p>
        </w:tc>
        <w:tc>
          <w:tcPr>
            <w:tcW w:w="9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EF56EE8" w14:textId="3BE87B40" w:rsidR="00A44D99" w:rsidRPr="00DF4CE5" w:rsidRDefault="00A44D99" w:rsidP="00891E8C">
            <w:pPr>
              <w:pStyle w:val="Default"/>
              <w:rPr>
                <w:rFonts w:ascii="Cambria" w:hAnsi="Cambria"/>
                <w:sz w:val="22"/>
                <w:szCs w:val="22"/>
              </w:rPr>
            </w:pPr>
            <w:r w:rsidRPr="00DF4CE5">
              <w:rPr>
                <w:rFonts w:ascii="Cambria" w:hAnsi="Cambria"/>
                <w:sz w:val="22"/>
                <w:szCs w:val="22"/>
              </w:rPr>
              <w:t>ECTS</w:t>
            </w:r>
          </w:p>
        </w:tc>
        <w:tc>
          <w:tcPr>
            <w:tcW w:w="127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8AC93D3" w14:textId="77777777" w:rsidR="00A44D99" w:rsidRPr="00DF4CE5" w:rsidRDefault="00A44D99" w:rsidP="00891E8C">
            <w:pPr>
              <w:pStyle w:val="Default"/>
              <w:jc w:val="center"/>
              <w:rPr>
                <w:rFonts w:ascii="Cambria" w:hAnsi="Cambria"/>
                <w:sz w:val="22"/>
                <w:szCs w:val="22"/>
              </w:rPr>
            </w:pPr>
            <w:proofErr w:type="spellStart"/>
            <w:r w:rsidRPr="00DF4CE5">
              <w:rPr>
                <w:rFonts w:ascii="Cambria" w:hAnsi="Cambria"/>
                <w:sz w:val="22"/>
                <w:szCs w:val="22"/>
              </w:rPr>
              <w:t>Maksimalni</w:t>
            </w:r>
            <w:proofErr w:type="spellEnd"/>
            <w:r w:rsidRPr="00DF4CE5">
              <w:rPr>
                <w:rFonts w:ascii="Cambria" w:hAnsi="Cambria"/>
                <w:sz w:val="22"/>
                <w:szCs w:val="22"/>
              </w:rPr>
              <w:t xml:space="preserve"> </w:t>
            </w:r>
            <w:proofErr w:type="spellStart"/>
            <w:r w:rsidRPr="00DF4CE5">
              <w:rPr>
                <w:rFonts w:ascii="Cambria" w:hAnsi="Cambria"/>
                <w:sz w:val="22"/>
                <w:szCs w:val="22"/>
              </w:rPr>
              <w:t>udio</w:t>
            </w:r>
            <w:proofErr w:type="spellEnd"/>
            <w:r w:rsidRPr="00DF4CE5">
              <w:rPr>
                <w:rFonts w:ascii="Cambria" w:hAnsi="Cambria"/>
                <w:sz w:val="22"/>
                <w:szCs w:val="22"/>
              </w:rPr>
              <w:t xml:space="preserve"> u </w:t>
            </w:r>
            <w:proofErr w:type="spellStart"/>
            <w:r w:rsidRPr="00DF4CE5">
              <w:rPr>
                <w:rFonts w:ascii="Cambria" w:hAnsi="Cambria"/>
                <w:sz w:val="22"/>
                <w:szCs w:val="22"/>
              </w:rPr>
              <w:t>ocjeni</w:t>
            </w:r>
            <w:proofErr w:type="spellEnd"/>
            <w:r w:rsidRPr="00DF4CE5">
              <w:rPr>
                <w:rFonts w:ascii="Cambria" w:hAnsi="Cambria"/>
                <w:sz w:val="22"/>
                <w:szCs w:val="22"/>
              </w:rPr>
              <w:t xml:space="preserve"> (%)</w:t>
            </w:r>
          </w:p>
        </w:tc>
      </w:tr>
      <w:tr w:rsidR="00A44D99" w:rsidRPr="00DF4CE5" w14:paraId="5DE17CBA" w14:textId="77777777" w:rsidTr="00891E8C">
        <w:tc>
          <w:tcPr>
            <w:tcW w:w="2536" w:type="dxa"/>
            <w:vMerge/>
            <w:tcBorders>
              <w:left w:val="single" w:sz="8" w:space="0" w:color="000000"/>
              <w:right w:val="single" w:sz="8" w:space="0" w:color="000000"/>
            </w:tcBorders>
            <w:vAlign w:val="center"/>
            <w:hideMark/>
          </w:tcPr>
          <w:p w14:paraId="73B714A6" w14:textId="77777777" w:rsidR="00A44D99" w:rsidRPr="00DF4CE5" w:rsidRDefault="00A44D99" w:rsidP="00891E8C">
            <w:pPr>
              <w:rPr>
                <w:rFonts w:ascii="Cambria" w:hAnsi="Cambria" w:cs="Calibri"/>
              </w:rPr>
            </w:pPr>
          </w:p>
        </w:tc>
        <w:tc>
          <w:tcPr>
            <w:tcW w:w="250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1A01765" w14:textId="48BAF217" w:rsidR="00A44D99" w:rsidRPr="00DF4CE5" w:rsidRDefault="00AF0D71" w:rsidP="00E41F45">
            <w:pPr>
              <w:pStyle w:val="Default"/>
              <w:rPr>
                <w:rFonts w:ascii="Cambria" w:hAnsi="Cambria"/>
                <w:sz w:val="22"/>
                <w:szCs w:val="22"/>
                <w:lang w:val="it-IT"/>
              </w:rPr>
            </w:pPr>
            <w:proofErr w:type="spellStart"/>
            <w:r>
              <w:rPr>
                <w:rFonts w:ascii="Cambria" w:hAnsi="Cambria"/>
                <w:sz w:val="22"/>
                <w:szCs w:val="22"/>
                <w:lang w:val="it-IT"/>
              </w:rPr>
              <w:t>aktivnost</w:t>
            </w:r>
            <w:proofErr w:type="spellEnd"/>
            <w:r>
              <w:rPr>
                <w:rFonts w:ascii="Cambria" w:hAnsi="Cambria"/>
                <w:sz w:val="22"/>
                <w:szCs w:val="22"/>
                <w:lang w:val="it-IT"/>
              </w:rPr>
              <w:t xml:space="preserve"> u </w:t>
            </w:r>
            <w:proofErr w:type="spellStart"/>
            <w:r>
              <w:rPr>
                <w:rFonts w:ascii="Cambria" w:hAnsi="Cambria"/>
                <w:sz w:val="22"/>
                <w:szCs w:val="22"/>
                <w:lang w:val="it-IT"/>
              </w:rPr>
              <w:t>nastavi</w:t>
            </w:r>
            <w:proofErr w:type="spellEnd"/>
            <w:r w:rsidR="00E41F45">
              <w:rPr>
                <w:rFonts w:ascii="Cambria" w:hAnsi="Cambria"/>
                <w:sz w:val="22"/>
                <w:szCs w:val="22"/>
                <w:lang w:val="it-IT"/>
              </w:rPr>
              <w:t xml:space="preserve"> (</w:t>
            </w:r>
            <w:r w:rsidR="00A44D99" w:rsidRPr="00DF4CE5">
              <w:rPr>
                <w:rFonts w:ascii="Cambria" w:hAnsi="Cambria"/>
                <w:sz w:val="22"/>
                <w:szCs w:val="22"/>
                <w:lang w:val="it-IT"/>
              </w:rPr>
              <w:t>P, V</w:t>
            </w:r>
            <w:r w:rsidR="00E41F45">
              <w:rPr>
                <w:rFonts w:ascii="Cambria" w:hAnsi="Cambria"/>
                <w:sz w:val="22"/>
                <w:szCs w:val="22"/>
                <w:lang w:val="it-IT"/>
              </w:rPr>
              <w:t>)</w:t>
            </w:r>
          </w:p>
        </w:tc>
        <w:tc>
          <w:tcPr>
            <w:tcW w:w="1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5AE5789" w14:textId="1CFD9DD3" w:rsidR="00A44D99" w:rsidRPr="00E41F45" w:rsidRDefault="00A44D99" w:rsidP="00E41F45">
            <w:pPr>
              <w:spacing w:after="0" w:line="240" w:lineRule="auto"/>
              <w:jc w:val="center"/>
              <w:rPr>
                <w:rFonts w:ascii="Cambria" w:hAnsi="Cambria" w:cs="Cambria"/>
                <w:color w:val="000000"/>
              </w:rPr>
            </w:pPr>
            <w:r w:rsidRPr="00E41F45">
              <w:rPr>
                <w:rFonts w:ascii="Cambria" w:hAnsi="Cambria"/>
              </w:rPr>
              <w:t>1.</w:t>
            </w:r>
            <w:r w:rsidR="00E41F45" w:rsidRPr="00E41F45">
              <w:rPr>
                <w:rFonts w:ascii="Cambria" w:hAnsi="Cambria"/>
              </w:rPr>
              <w:t xml:space="preserve"> </w:t>
            </w:r>
            <w:r w:rsidRPr="00E41F45">
              <w:rPr>
                <w:rFonts w:ascii="Cambria" w:hAnsi="Cambria"/>
              </w:rPr>
              <w:t>–</w:t>
            </w:r>
            <w:r w:rsidR="00E41F45" w:rsidRPr="00E41F45">
              <w:rPr>
                <w:rFonts w:ascii="Cambria" w:hAnsi="Cambria"/>
              </w:rPr>
              <w:t xml:space="preserve"> 6</w:t>
            </w:r>
            <w:r w:rsidRPr="00E41F45">
              <w:rPr>
                <w:rFonts w:ascii="Cambria" w:hAnsi="Cambria"/>
              </w:rPr>
              <w:t>.</w:t>
            </w:r>
          </w:p>
        </w:tc>
        <w:tc>
          <w:tcPr>
            <w:tcW w:w="69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C60CE15" w14:textId="60A23134" w:rsidR="00A44D99" w:rsidRPr="00DF4CE5" w:rsidRDefault="00A44D99" w:rsidP="00E41F45">
            <w:pPr>
              <w:spacing w:after="0" w:line="240" w:lineRule="auto"/>
              <w:jc w:val="center"/>
              <w:rPr>
                <w:rFonts w:ascii="Cambria" w:hAnsi="Cambria" w:cs="Cambria"/>
                <w:color w:val="000000"/>
              </w:rPr>
            </w:pPr>
            <w:r w:rsidRPr="00DF4CE5">
              <w:rPr>
                <w:rFonts w:ascii="Cambria" w:hAnsi="Cambria"/>
              </w:rPr>
              <w:t>45</w:t>
            </w:r>
          </w:p>
        </w:tc>
        <w:tc>
          <w:tcPr>
            <w:tcW w:w="9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8CEAEA7" w14:textId="49468775" w:rsidR="00A44D99" w:rsidRPr="00DF4CE5" w:rsidRDefault="00A44D99" w:rsidP="00E41F45">
            <w:pPr>
              <w:spacing w:after="0" w:line="240" w:lineRule="auto"/>
              <w:jc w:val="center"/>
              <w:rPr>
                <w:rFonts w:ascii="Cambria" w:hAnsi="Cambria" w:cs="Cambria"/>
                <w:color w:val="000000"/>
              </w:rPr>
            </w:pPr>
            <w:r w:rsidRPr="00DF4CE5">
              <w:rPr>
                <w:rFonts w:ascii="Cambria" w:hAnsi="Cambria"/>
              </w:rPr>
              <w:t>1,5</w:t>
            </w:r>
          </w:p>
        </w:tc>
        <w:tc>
          <w:tcPr>
            <w:tcW w:w="127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C0F3142" w14:textId="31C77F1A" w:rsidR="00A44D99" w:rsidRPr="00DF4CE5" w:rsidRDefault="00A44D99" w:rsidP="00E41F45">
            <w:pPr>
              <w:pStyle w:val="Default"/>
              <w:jc w:val="center"/>
              <w:rPr>
                <w:rFonts w:ascii="Cambria" w:hAnsi="Cambria"/>
                <w:sz w:val="22"/>
                <w:szCs w:val="22"/>
              </w:rPr>
            </w:pPr>
            <w:r w:rsidRPr="00DF4CE5">
              <w:rPr>
                <w:rFonts w:ascii="Cambria" w:hAnsi="Cambria"/>
                <w:sz w:val="22"/>
                <w:szCs w:val="22"/>
              </w:rPr>
              <w:t>0%</w:t>
            </w:r>
          </w:p>
        </w:tc>
      </w:tr>
      <w:tr w:rsidR="00A44D99" w:rsidRPr="00DF4CE5" w14:paraId="69441D82" w14:textId="77777777" w:rsidTr="00891E8C">
        <w:trPr>
          <w:trHeight w:val="247"/>
        </w:trPr>
        <w:tc>
          <w:tcPr>
            <w:tcW w:w="2536" w:type="dxa"/>
            <w:vMerge/>
            <w:tcBorders>
              <w:left w:val="single" w:sz="8" w:space="0" w:color="000000"/>
              <w:right w:val="single" w:sz="8" w:space="0" w:color="000000"/>
            </w:tcBorders>
            <w:vAlign w:val="center"/>
            <w:hideMark/>
          </w:tcPr>
          <w:p w14:paraId="2E7ADDEA" w14:textId="77777777" w:rsidR="00A44D99" w:rsidRPr="00DF4CE5" w:rsidRDefault="00A44D99" w:rsidP="00891E8C">
            <w:pPr>
              <w:rPr>
                <w:rFonts w:ascii="Cambria" w:hAnsi="Cambria" w:cs="Calibri"/>
              </w:rPr>
            </w:pPr>
          </w:p>
        </w:tc>
        <w:tc>
          <w:tcPr>
            <w:tcW w:w="250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AA01487" w14:textId="06A8983A" w:rsidR="00A44D99" w:rsidRPr="00DF4CE5" w:rsidRDefault="00AF0D71" w:rsidP="00E41F45">
            <w:pPr>
              <w:pStyle w:val="Default"/>
              <w:rPr>
                <w:rFonts w:ascii="Cambria" w:hAnsi="Cambria"/>
                <w:sz w:val="22"/>
                <w:szCs w:val="22"/>
              </w:rPr>
            </w:pPr>
            <w:proofErr w:type="spellStart"/>
            <w:r>
              <w:rPr>
                <w:rFonts w:ascii="Cambria" w:hAnsi="Cambria"/>
                <w:sz w:val="22"/>
                <w:szCs w:val="22"/>
              </w:rPr>
              <w:t>a</w:t>
            </w:r>
            <w:r w:rsidR="00A44D99" w:rsidRPr="00DF4CE5">
              <w:rPr>
                <w:rFonts w:ascii="Cambria" w:hAnsi="Cambria"/>
                <w:sz w:val="22"/>
                <w:szCs w:val="22"/>
              </w:rPr>
              <w:t>naliza</w:t>
            </w:r>
            <w:proofErr w:type="spellEnd"/>
            <w:r w:rsidR="00A44D99" w:rsidRPr="00DF4CE5">
              <w:rPr>
                <w:rFonts w:ascii="Cambria" w:hAnsi="Cambria"/>
                <w:sz w:val="22"/>
                <w:szCs w:val="22"/>
              </w:rPr>
              <w:t xml:space="preserve"> </w:t>
            </w:r>
            <w:proofErr w:type="spellStart"/>
            <w:r w:rsidR="00A44D99" w:rsidRPr="00DF4CE5">
              <w:rPr>
                <w:rFonts w:ascii="Cambria" w:hAnsi="Cambria"/>
                <w:sz w:val="22"/>
                <w:szCs w:val="22"/>
              </w:rPr>
              <w:t>sata</w:t>
            </w:r>
            <w:proofErr w:type="spellEnd"/>
          </w:p>
        </w:tc>
        <w:tc>
          <w:tcPr>
            <w:tcW w:w="1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A405390" w14:textId="45BD6394" w:rsidR="00A44D99" w:rsidRPr="00E41F45" w:rsidRDefault="00E41F45" w:rsidP="00E41F45">
            <w:pPr>
              <w:pStyle w:val="Default"/>
              <w:jc w:val="center"/>
              <w:rPr>
                <w:rFonts w:ascii="Cambria" w:hAnsi="Cambria"/>
                <w:sz w:val="22"/>
                <w:szCs w:val="22"/>
              </w:rPr>
            </w:pPr>
            <w:r w:rsidRPr="00E41F45">
              <w:rPr>
                <w:rFonts w:ascii="Cambria" w:hAnsi="Cambria"/>
                <w:sz w:val="22"/>
                <w:szCs w:val="22"/>
              </w:rPr>
              <w:t>1. – 6.</w:t>
            </w:r>
          </w:p>
        </w:tc>
        <w:tc>
          <w:tcPr>
            <w:tcW w:w="69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0D290F6" w14:textId="77777777" w:rsidR="00A44D99" w:rsidRPr="00DF4CE5" w:rsidRDefault="00A44D99" w:rsidP="00E41F45">
            <w:pPr>
              <w:pStyle w:val="Default"/>
              <w:jc w:val="center"/>
              <w:rPr>
                <w:rFonts w:ascii="Cambria" w:hAnsi="Cambria"/>
                <w:sz w:val="22"/>
                <w:szCs w:val="22"/>
              </w:rPr>
            </w:pPr>
            <w:r w:rsidRPr="00DF4CE5">
              <w:rPr>
                <w:rFonts w:ascii="Cambria" w:hAnsi="Cambria"/>
                <w:sz w:val="22"/>
                <w:szCs w:val="22"/>
              </w:rPr>
              <w:t>15</w:t>
            </w:r>
          </w:p>
        </w:tc>
        <w:tc>
          <w:tcPr>
            <w:tcW w:w="9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90FD215" w14:textId="77777777" w:rsidR="00A44D99" w:rsidRPr="00DF4CE5" w:rsidRDefault="00A44D99" w:rsidP="00E41F45">
            <w:pPr>
              <w:pStyle w:val="Default"/>
              <w:jc w:val="center"/>
              <w:rPr>
                <w:rFonts w:ascii="Cambria" w:hAnsi="Cambria"/>
                <w:sz w:val="22"/>
                <w:szCs w:val="22"/>
              </w:rPr>
            </w:pPr>
            <w:r w:rsidRPr="00DF4CE5">
              <w:rPr>
                <w:rFonts w:ascii="Cambria" w:hAnsi="Cambria"/>
                <w:sz w:val="22"/>
                <w:szCs w:val="22"/>
              </w:rPr>
              <w:t>0,5</w:t>
            </w:r>
          </w:p>
        </w:tc>
        <w:tc>
          <w:tcPr>
            <w:tcW w:w="127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EFB499E" w14:textId="77777777" w:rsidR="00A44D99" w:rsidRPr="00DF4CE5" w:rsidRDefault="00A44D99" w:rsidP="00E41F45">
            <w:pPr>
              <w:pStyle w:val="Default"/>
              <w:jc w:val="center"/>
              <w:rPr>
                <w:rFonts w:ascii="Cambria" w:hAnsi="Cambria"/>
                <w:sz w:val="22"/>
                <w:szCs w:val="22"/>
              </w:rPr>
            </w:pPr>
            <w:r w:rsidRPr="00DF4CE5">
              <w:rPr>
                <w:rFonts w:ascii="Cambria" w:hAnsi="Cambria"/>
                <w:sz w:val="22"/>
                <w:szCs w:val="22"/>
              </w:rPr>
              <w:t>10%</w:t>
            </w:r>
          </w:p>
        </w:tc>
      </w:tr>
      <w:tr w:rsidR="00A44D99" w:rsidRPr="00DF4CE5" w14:paraId="0038B9A0" w14:textId="77777777" w:rsidTr="00891E8C">
        <w:trPr>
          <w:trHeight w:val="259"/>
        </w:trPr>
        <w:tc>
          <w:tcPr>
            <w:tcW w:w="2536" w:type="dxa"/>
            <w:vMerge/>
            <w:tcBorders>
              <w:left w:val="single" w:sz="8" w:space="0" w:color="000000"/>
              <w:right w:val="single" w:sz="8" w:space="0" w:color="000000"/>
            </w:tcBorders>
            <w:vAlign w:val="center"/>
          </w:tcPr>
          <w:p w14:paraId="752CE3FB" w14:textId="77777777" w:rsidR="00A44D99" w:rsidRPr="00DF4CE5" w:rsidRDefault="00A44D99" w:rsidP="00891E8C">
            <w:pPr>
              <w:rPr>
                <w:rFonts w:ascii="Cambria" w:hAnsi="Cambria" w:cs="Calibri"/>
              </w:rPr>
            </w:pPr>
          </w:p>
        </w:tc>
        <w:tc>
          <w:tcPr>
            <w:tcW w:w="250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63319A1" w14:textId="4D63DBFD" w:rsidR="00A44D99" w:rsidRPr="00DF4CE5" w:rsidRDefault="00A44D99" w:rsidP="00E41F45">
            <w:pPr>
              <w:pStyle w:val="Default"/>
              <w:rPr>
                <w:rFonts w:ascii="Cambria" w:hAnsi="Cambria"/>
                <w:sz w:val="22"/>
                <w:szCs w:val="22"/>
              </w:rPr>
            </w:pPr>
            <w:proofErr w:type="spellStart"/>
            <w:r w:rsidRPr="00DF4CE5">
              <w:rPr>
                <w:rFonts w:ascii="Cambria" w:hAnsi="Cambria"/>
                <w:sz w:val="22"/>
                <w:szCs w:val="22"/>
              </w:rPr>
              <w:t>priprema</w:t>
            </w:r>
            <w:proofErr w:type="spellEnd"/>
            <w:r w:rsidRPr="00DF4CE5">
              <w:rPr>
                <w:rFonts w:ascii="Cambria" w:hAnsi="Cambria"/>
                <w:sz w:val="22"/>
                <w:szCs w:val="22"/>
              </w:rPr>
              <w:t xml:space="preserve"> </w:t>
            </w:r>
            <w:proofErr w:type="spellStart"/>
            <w:r w:rsidRPr="00DF4CE5">
              <w:rPr>
                <w:rFonts w:ascii="Cambria" w:hAnsi="Cambria"/>
                <w:sz w:val="22"/>
                <w:szCs w:val="22"/>
              </w:rPr>
              <w:t>nastavnog</w:t>
            </w:r>
            <w:proofErr w:type="spellEnd"/>
            <w:r w:rsidRPr="00DF4CE5">
              <w:rPr>
                <w:rFonts w:ascii="Cambria" w:hAnsi="Cambria"/>
                <w:sz w:val="22"/>
                <w:szCs w:val="22"/>
              </w:rPr>
              <w:t xml:space="preserve"> </w:t>
            </w:r>
            <w:proofErr w:type="spellStart"/>
            <w:r w:rsidRPr="00DF4CE5">
              <w:rPr>
                <w:rFonts w:ascii="Cambria" w:hAnsi="Cambria"/>
                <w:sz w:val="22"/>
                <w:szCs w:val="22"/>
              </w:rPr>
              <w:t>sata</w:t>
            </w:r>
            <w:proofErr w:type="spellEnd"/>
          </w:p>
        </w:tc>
        <w:tc>
          <w:tcPr>
            <w:tcW w:w="1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16B22AA" w14:textId="0DA1FFCF" w:rsidR="00A44D99" w:rsidRPr="00E41F45" w:rsidRDefault="00E41F45" w:rsidP="00E41F45">
            <w:pPr>
              <w:pStyle w:val="Default"/>
              <w:jc w:val="center"/>
              <w:rPr>
                <w:rFonts w:ascii="Cambria" w:hAnsi="Cambria"/>
                <w:sz w:val="22"/>
                <w:szCs w:val="22"/>
              </w:rPr>
            </w:pPr>
            <w:r w:rsidRPr="00E41F45">
              <w:rPr>
                <w:rFonts w:ascii="Cambria" w:hAnsi="Cambria"/>
                <w:sz w:val="22"/>
                <w:szCs w:val="22"/>
              </w:rPr>
              <w:t>1. – 6.</w:t>
            </w:r>
          </w:p>
        </w:tc>
        <w:tc>
          <w:tcPr>
            <w:tcW w:w="69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61D79D3" w14:textId="77777777" w:rsidR="00A44D99" w:rsidRPr="00DF4CE5" w:rsidRDefault="00A44D99" w:rsidP="00E41F45">
            <w:pPr>
              <w:pStyle w:val="Default"/>
              <w:jc w:val="center"/>
              <w:rPr>
                <w:rFonts w:ascii="Cambria" w:hAnsi="Cambria"/>
                <w:sz w:val="22"/>
                <w:szCs w:val="22"/>
              </w:rPr>
            </w:pPr>
            <w:r w:rsidRPr="00DF4CE5">
              <w:rPr>
                <w:rFonts w:ascii="Cambria" w:hAnsi="Cambria"/>
                <w:sz w:val="22"/>
                <w:szCs w:val="22"/>
              </w:rPr>
              <w:t>30</w:t>
            </w:r>
          </w:p>
        </w:tc>
        <w:tc>
          <w:tcPr>
            <w:tcW w:w="9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3D7519F" w14:textId="3756CF8D" w:rsidR="00A44D99" w:rsidRPr="00DF4CE5" w:rsidRDefault="00A44D99" w:rsidP="00E41F45">
            <w:pPr>
              <w:pStyle w:val="Default"/>
              <w:jc w:val="center"/>
              <w:rPr>
                <w:rFonts w:ascii="Cambria" w:hAnsi="Cambria"/>
                <w:sz w:val="22"/>
                <w:szCs w:val="22"/>
              </w:rPr>
            </w:pPr>
            <w:r w:rsidRPr="00DF4CE5">
              <w:rPr>
                <w:rFonts w:ascii="Cambria" w:hAnsi="Cambria"/>
                <w:sz w:val="22"/>
                <w:szCs w:val="22"/>
              </w:rPr>
              <w:t>1</w:t>
            </w:r>
          </w:p>
        </w:tc>
        <w:tc>
          <w:tcPr>
            <w:tcW w:w="127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663080D" w14:textId="69AD5E5F" w:rsidR="00A44D99" w:rsidRPr="00DF4CE5" w:rsidRDefault="00A44D99" w:rsidP="00E41F45">
            <w:pPr>
              <w:pStyle w:val="Default"/>
              <w:jc w:val="center"/>
              <w:rPr>
                <w:rFonts w:ascii="Cambria" w:hAnsi="Cambria"/>
                <w:sz w:val="22"/>
                <w:szCs w:val="22"/>
              </w:rPr>
            </w:pPr>
            <w:r w:rsidRPr="00DF4CE5">
              <w:rPr>
                <w:rFonts w:ascii="Cambria" w:hAnsi="Cambria"/>
                <w:sz w:val="22"/>
                <w:szCs w:val="22"/>
              </w:rPr>
              <w:t>35%</w:t>
            </w:r>
          </w:p>
        </w:tc>
      </w:tr>
      <w:tr w:rsidR="00A44D99" w:rsidRPr="00DF4CE5" w14:paraId="7DBBCC98" w14:textId="77777777" w:rsidTr="00891E8C">
        <w:trPr>
          <w:trHeight w:val="259"/>
        </w:trPr>
        <w:tc>
          <w:tcPr>
            <w:tcW w:w="2536" w:type="dxa"/>
            <w:vMerge/>
            <w:tcBorders>
              <w:left w:val="single" w:sz="8" w:space="0" w:color="000000"/>
              <w:right w:val="single" w:sz="8" w:space="0" w:color="000000"/>
            </w:tcBorders>
            <w:vAlign w:val="center"/>
          </w:tcPr>
          <w:p w14:paraId="1B35D14B" w14:textId="77777777" w:rsidR="00A44D99" w:rsidRPr="00DF4CE5" w:rsidRDefault="00A44D99" w:rsidP="00891E8C">
            <w:pPr>
              <w:rPr>
                <w:rFonts w:ascii="Cambria" w:hAnsi="Cambria" w:cs="Calibri"/>
              </w:rPr>
            </w:pPr>
          </w:p>
        </w:tc>
        <w:tc>
          <w:tcPr>
            <w:tcW w:w="250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AAAFD7D" w14:textId="3B0A5DFF" w:rsidR="00A44D99" w:rsidRPr="00DF4CE5" w:rsidRDefault="00A44D99" w:rsidP="00E41F45">
            <w:pPr>
              <w:pStyle w:val="Default"/>
              <w:rPr>
                <w:rFonts w:ascii="Cambria" w:hAnsi="Cambria"/>
                <w:sz w:val="22"/>
                <w:szCs w:val="22"/>
              </w:rPr>
            </w:pPr>
            <w:proofErr w:type="spellStart"/>
            <w:r w:rsidRPr="00DF4CE5">
              <w:rPr>
                <w:rFonts w:ascii="Cambria" w:hAnsi="Cambria"/>
                <w:sz w:val="22"/>
                <w:szCs w:val="22"/>
              </w:rPr>
              <w:t>izvedba</w:t>
            </w:r>
            <w:proofErr w:type="spellEnd"/>
            <w:r w:rsidRPr="00DF4CE5">
              <w:rPr>
                <w:rFonts w:ascii="Cambria" w:hAnsi="Cambria"/>
                <w:sz w:val="22"/>
                <w:szCs w:val="22"/>
              </w:rPr>
              <w:t xml:space="preserve"> </w:t>
            </w:r>
            <w:proofErr w:type="spellStart"/>
            <w:r w:rsidRPr="00DF4CE5">
              <w:rPr>
                <w:rFonts w:ascii="Cambria" w:hAnsi="Cambria"/>
                <w:sz w:val="22"/>
                <w:szCs w:val="22"/>
              </w:rPr>
              <w:t>nastavnog</w:t>
            </w:r>
            <w:proofErr w:type="spellEnd"/>
            <w:r w:rsidRPr="00DF4CE5">
              <w:rPr>
                <w:rFonts w:ascii="Cambria" w:hAnsi="Cambria"/>
                <w:sz w:val="22"/>
                <w:szCs w:val="22"/>
              </w:rPr>
              <w:t xml:space="preserve"> </w:t>
            </w:r>
            <w:proofErr w:type="spellStart"/>
            <w:r w:rsidRPr="00DF4CE5">
              <w:rPr>
                <w:rFonts w:ascii="Cambria" w:hAnsi="Cambria"/>
                <w:sz w:val="22"/>
                <w:szCs w:val="22"/>
              </w:rPr>
              <w:t>sata</w:t>
            </w:r>
            <w:proofErr w:type="spellEnd"/>
          </w:p>
        </w:tc>
        <w:tc>
          <w:tcPr>
            <w:tcW w:w="1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CCBAB6F" w14:textId="1ADF4FEA" w:rsidR="00A44D99" w:rsidRPr="00E41F45" w:rsidRDefault="00E41F45" w:rsidP="00E41F45">
            <w:pPr>
              <w:pStyle w:val="Default"/>
              <w:jc w:val="center"/>
              <w:rPr>
                <w:rFonts w:ascii="Cambria" w:hAnsi="Cambria"/>
                <w:sz w:val="22"/>
                <w:szCs w:val="22"/>
              </w:rPr>
            </w:pPr>
            <w:r w:rsidRPr="00E41F45">
              <w:rPr>
                <w:rFonts w:ascii="Cambria" w:hAnsi="Cambria"/>
                <w:sz w:val="22"/>
                <w:szCs w:val="22"/>
              </w:rPr>
              <w:t>1. – 6.</w:t>
            </w:r>
          </w:p>
        </w:tc>
        <w:tc>
          <w:tcPr>
            <w:tcW w:w="69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C7C8116" w14:textId="72121A71" w:rsidR="00A44D99" w:rsidRPr="00DF4CE5" w:rsidRDefault="00A44D99" w:rsidP="00E41F45">
            <w:pPr>
              <w:pStyle w:val="Default"/>
              <w:jc w:val="center"/>
              <w:rPr>
                <w:rFonts w:ascii="Cambria" w:hAnsi="Cambria"/>
                <w:sz w:val="22"/>
                <w:szCs w:val="22"/>
              </w:rPr>
            </w:pPr>
            <w:r w:rsidRPr="00DF4CE5">
              <w:rPr>
                <w:rFonts w:ascii="Cambria" w:hAnsi="Cambria"/>
                <w:sz w:val="22"/>
                <w:szCs w:val="22"/>
              </w:rPr>
              <w:t>15</w:t>
            </w:r>
          </w:p>
        </w:tc>
        <w:tc>
          <w:tcPr>
            <w:tcW w:w="9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F7118EF" w14:textId="77777777" w:rsidR="00A44D99" w:rsidRPr="00DF4CE5" w:rsidRDefault="00A44D99" w:rsidP="00E41F45">
            <w:pPr>
              <w:pStyle w:val="Default"/>
              <w:jc w:val="center"/>
              <w:rPr>
                <w:rFonts w:ascii="Cambria" w:hAnsi="Cambria"/>
                <w:sz w:val="22"/>
                <w:szCs w:val="22"/>
              </w:rPr>
            </w:pPr>
            <w:r w:rsidRPr="00DF4CE5">
              <w:rPr>
                <w:rFonts w:ascii="Cambria" w:hAnsi="Cambria"/>
                <w:sz w:val="22"/>
                <w:szCs w:val="22"/>
              </w:rPr>
              <w:t>0,5</w:t>
            </w:r>
          </w:p>
        </w:tc>
        <w:tc>
          <w:tcPr>
            <w:tcW w:w="127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0D6710D" w14:textId="3B8D6467" w:rsidR="00A44D99" w:rsidRPr="00DF4CE5" w:rsidRDefault="00A44D99" w:rsidP="00E41F45">
            <w:pPr>
              <w:pStyle w:val="Default"/>
              <w:jc w:val="center"/>
              <w:rPr>
                <w:rFonts w:ascii="Cambria" w:hAnsi="Cambria"/>
                <w:sz w:val="22"/>
                <w:szCs w:val="22"/>
              </w:rPr>
            </w:pPr>
            <w:r w:rsidRPr="00DF4CE5">
              <w:rPr>
                <w:rFonts w:ascii="Cambria" w:hAnsi="Cambria"/>
                <w:sz w:val="22"/>
                <w:szCs w:val="22"/>
              </w:rPr>
              <w:t>35%</w:t>
            </w:r>
          </w:p>
        </w:tc>
      </w:tr>
      <w:tr w:rsidR="00A44D99" w:rsidRPr="00DF4CE5" w14:paraId="094ADD6E" w14:textId="77777777" w:rsidTr="00891E8C">
        <w:trPr>
          <w:trHeight w:val="259"/>
        </w:trPr>
        <w:tc>
          <w:tcPr>
            <w:tcW w:w="2536" w:type="dxa"/>
            <w:vMerge/>
            <w:tcBorders>
              <w:left w:val="single" w:sz="8" w:space="0" w:color="000000"/>
              <w:right w:val="single" w:sz="8" w:space="0" w:color="000000"/>
            </w:tcBorders>
            <w:vAlign w:val="center"/>
            <w:hideMark/>
          </w:tcPr>
          <w:p w14:paraId="28A4F15C" w14:textId="77777777" w:rsidR="00A44D99" w:rsidRPr="00DF4CE5" w:rsidRDefault="00A44D99" w:rsidP="00891E8C">
            <w:pPr>
              <w:rPr>
                <w:rFonts w:ascii="Cambria" w:hAnsi="Cambria" w:cs="Calibri"/>
              </w:rPr>
            </w:pPr>
          </w:p>
        </w:tc>
        <w:tc>
          <w:tcPr>
            <w:tcW w:w="250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ACC1FED" w14:textId="126FE6C8" w:rsidR="00A44D99" w:rsidRPr="00DF4CE5" w:rsidRDefault="00E41F45" w:rsidP="00E41F45">
            <w:pPr>
              <w:pStyle w:val="Default"/>
              <w:rPr>
                <w:rFonts w:ascii="Cambria" w:hAnsi="Cambria"/>
                <w:sz w:val="22"/>
                <w:szCs w:val="22"/>
              </w:rPr>
            </w:pPr>
            <w:proofErr w:type="spellStart"/>
            <w:r>
              <w:rPr>
                <w:rFonts w:ascii="Cambria" w:hAnsi="Cambria"/>
                <w:sz w:val="22"/>
                <w:szCs w:val="22"/>
              </w:rPr>
              <w:t>k</w:t>
            </w:r>
            <w:r w:rsidR="00A44D99" w:rsidRPr="00DF4CE5">
              <w:rPr>
                <w:rFonts w:ascii="Cambria" w:hAnsi="Cambria"/>
                <w:sz w:val="22"/>
                <w:szCs w:val="22"/>
              </w:rPr>
              <w:t>olokvij</w:t>
            </w:r>
            <w:proofErr w:type="spellEnd"/>
          </w:p>
        </w:tc>
        <w:tc>
          <w:tcPr>
            <w:tcW w:w="1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3F1A834" w14:textId="040981D4" w:rsidR="00A44D99" w:rsidRPr="00E41F45" w:rsidRDefault="00E41F45" w:rsidP="00E41F45">
            <w:pPr>
              <w:pStyle w:val="Default"/>
              <w:jc w:val="center"/>
              <w:rPr>
                <w:rFonts w:ascii="Cambria" w:hAnsi="Cambria"/>
                <w:sz w:val="22"/>
                <w:szCs w:val="22"/>
              </w:rPr>
            </w:pPr>
            <w:r w:rsidRPr="00E41F45">
              <w:rPr>
                <w:rFonts w:ascii="Cambria" w:hAnsi="Cambria"/>
                <w:sz w:val="22"/>
                <w:szCs w:val="22"/>
              </w:rPr>
              <w:t>1. – 6.</w:t>
            </w:r>
          </w:p>
        </w:tc>
        <w:tc>
          <w:tcPr>
            <w:tcW w:w="69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8CEBC51" w14:textId="64B22530" w:rsidR="00A44D99" w:rsidRPr="00DF4CE5" w:rsidRDefault="00A44D99" w:rsidP="00E41F45">
            <w:pPr>
              <w:pStyle w:val="Default"/>
              <w:jc w:val="center"/>
              <w:rPr>
                <w:rFonts w:ascii="Cambria" w:hAnsi="Cambria"/>
                <w:sz w:val="22"/>
                <w:szCs w:val="22"/>
              </w:rPr>
            </w:pPr>
            <w:r w:rsidRPr="00DF4CE5">
              <w:rPr>
                <w:rFonts w:ascii="Cambria" w:hAnsi="Cambria"/>
                <w:sz w:val="22"/>
                <w:szCs w:val="22"/>
              </w:rPr>
              <w:t>15</w:t>
            </w:r>
          </w:p>
        </w:tc>
        <w:tc>
          <w:tcPr>
            <w:tcW w:w="9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E1B38B5" w14:textId="77777777" w:rsidR="00A44D99" w:rsidRPr="00DF4CE5" w:rsidRDefault="00A44D99" w:rsidP="00E41F45">
            <w:pPr>
              <w:pStyle w:val="Default"/>
              <w:jc w:val="center"/>
              <w:rPr>
                <w:rFonts w:ascii="Cambria" w:hAnsi="Cambria"/>
                <w:sz w:val="22"/>
                <w:szCs w:val="22"/>
              </w:rPr>
            </w:pPr>
            <w:r w:rsidRPr="00DF4CE5">
              <w:rPr>
                <w:rFonts w:ascii="Cambria" w:hAnsi="Cambria"/>
                <w:sz w:val="22"/>
                <w:szCs w:val="22"/>
              </w:rPr>
              <w:t>0,5</w:t>
            </w:r>
          </w:p>
        </w:tc>
        <w:tc>
          <w:tcPr>
            <w:tcW w:w="127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55B43F5" w14:textId="21497C47" w:rsidR="00A44D99" w:rsidRPr="00DF4CE5" w:rsidRDefault="00A44D99" w:rsidP="00E41F45">
            <w:pPr>
              <w:pStyle w:val="Default"/>
              <w:jc w:val="center"/>
              <w:rPr>
                <w:rFonts w:ascii="Cambria" w:hAnsi="Cambria"/>
                <w:sz w:val="22"/>
                <w:szCs w:val="22"/>
              </w:rPr>
            </w:pPr>
            <w:r w:rsidRPr="00DF4CE5">
              <w:rPr>
                <w:rFonts w:ascii="Cambria" w:hAnsi="Cambria"/>
                <w:sz w:val="22"/>
                <w:szCs w:val="22"/>
              </w:rPr>
              <w:t>20%</w:t>
            </w:r>
          </w:p>
        </w:tc>
      </w:tr>
      <w:tr w:rsidR="00A44D99" w:rsidRPr="00DF4CE5" w14:paraId="2F76D6DF" w14:textId="77777777" w:rsidTr="00891E8C">
        <w:tc>
          <w:tcPr>
            <w:tcW w:w="2536" w:type="dxa"/>
            <w:vMerge/>
            <w:tcBorders>
              <w:left w:val="single" w:sz="8" w:space="0" w:color="000000"/>
              <w:right w:val="single" w:sz="8" w:space="0" w:color="000000"/>
            </w:tcBorders>
            <w:vAlign w:val="center"/>
            <w:hideMark/>
          </w:tcPr>
          <w:p w14:paraId="181D8D1F" w14:textId="77777777" w:rsidR="00A44D99" w:rsidRPr="00DF4CE5" w:rsidRDefault="00A44D99" w:rsidP="00891E8C">
            <w:pPr>
              <w:rPr>
                <w:rFonts w:ascii="Cambria" w:hAnsi="Cambria" w:cs="Calibri"/>
              </w:rPr>
            </w:pPr>
          </w:p>
        </w:tc>
        <w:tc>
          <w:tcPr>
            <w:tcW w:w="3559"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0BB8EAA" w14:textId="030B5644" w:rsidR="00A44D99" w:rsidRPr="00DF4CE5" w:rsidRDefault="00E41F45" w:rsidP="00891E8C">
            <w:pPr>
              <w:pStyle w:val="Default"/>
              <w:rPr>
                <w:rFonts w:ascii="Cambria" w:hAnsi="Cambria"/>
                <w:sz w:val="22"/>
                <w:szCs w:val="22"/>
              </w:rPr>
            </w:pPr>
            <w:proofErr w:type="spellStart"/>
            <w:r>
              <w:rPr>
                <w:rFonts w:ascii="Cambria" w:hAnsi="Cambria"/>
                <w:sz w:val="22"/>
                <w:szCs w:val="22"/>
              </w:rPr>
              <w:t>u</w:t>
            </w:r>
            <w:r w:rsidR="00A44D99" w:rsidRPr="00DF4CE5">
              <w:rPr>
                <w:rFonts w:ascii="Cambria" w:hAnsi="Cambria"/>
                <w:sz w:val="22"/>
                <w:szCs w:val="22"/>
              </w:rPr>
              <w:t>kupno</w:t>
            </w:r>
            <w:proofErr w:type="spellEnd"/>
          </w:p>
        </w:tc>
        <w:tc>
          <w:tcPr>
            <w:tcW w:w="69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65CF6A2" w14:textId="249873A3" w:rsidR="00A44D99" w:rsidRPr="00E41F45" w:rsidRDefault="00A44D99" w:rsidP="00E41F45">
            <w:pPr>
              <w:pStyle w:val="Default"/>
              <w:jc w:val="center"/>
              <w:rPr>
                <w:rFonts w:ascii="Cambria" w:hAnsi="Cambria"/>
                <w:sz w:val="22"/>
                <w:szCs w:val="22"/>
              </w:rPr>
            </w:pPr>
            <w:r w:rsidRPr="00E41F45">
              <w:rPr>
                <w:rFonts w:ascii="Cambria" w:hAnsi="Cambria"/>
                <w:sz w:val="22"/>
                <w:szCs w:val="22"/>
              </w:rPr>
              <w:t>1</w:t>
            </w:r>
            <w:r w:rsidR="00E41F45" w:rsidRPr="00E41F45">
              <w:rPr>
                <w:rFonts w:ascii="Cambria" w:hAnsi="Cambria"/>
                <w:sz w:val="22"/>
                <w:szCs w:val="22"/>
              </w:rPr>
              <w:t>50</w:t>
            </w:r>
          </w:p>
        </w:tc>
        <w:tc>
          <w:tcPr>
            <w:tcW w:w="9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76E8DC0" w14:textId="39A814C4" w:rsidR="00A44D99" w:rsidRPr="00E41F45" w:rsidRDefault="00E41F45" w:rsidP="00E41F45">
            <w:pPr>
              <w:pStyle w:val="Default"/>
              <w:jc w:val="center"/>
              <w:rPr>
                <w:rFonts w:ascii="Cambria" w:hAnsi="Cambria"/>
                <w:sz w:val="22"/>
                <w:szCs w:val="22"/>
              </w:rPr>
            </w:pPr>
            <w:r w:rsidRPr="00E41F45">
              <w:rPr>
                <w:rFonts w:ascii="Cambria" w:hAnsi="Cambria"/>
                <w:sz w:val="22"/>
                <w:szCs w:val="22"/>
              </w:rPr>
              <w:t>5</w:t>
            </w:r>
          </w:p>
        </w:tc>
        <w:tc>
          <w:tcPr>
            <w:tcW w:w="127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740E3FB" w14:textId="77777777" w:rsidR="00A44D99" w:rsidRPr="00DF4CE5" w:rsidRDefault="00A44D99" w:rsidP="00891E8C">
            <w:pPr>
              <w:pStyle w:val="Default"/>
              <w:jc w:val="center"/>
              <w:rPr>
                <w:rFonts w:ascii="Cambria" w:hAnsi="Cambria"/>
                <w:sz w:val="22"/>
                <w:szCs w:val="22"/>
              </w:rPr>
            </w:pPr>
            <w:r w:rsidRPr="00DF4CE5">
              <w:rPr>
                <w:rFonts w:ascii="Cambria" w:hAnsi="Cambria"/>
                <w:sz w:val="22"/>
                <w:szCs w:val="22"/>
              </w:rPr>
              <w:t>100%</w:t>
            </w:r>
          </w:p>
        </w:tc>
      </w:tr>
      <w:tr w:rsidR="00A44D99" w:rsidRPr="00D0399C" w14:paraId="707252E0" w14:textId="77777777" w:rsidTr="00891E8C">
        <w:trPr>
          <w:trHeight w:val="329"/>
        </w:trPr>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D1DF5CF" w14:textId="77777777" w:rsidR="00A44D99" w:rsidRPr="00DF4CE5" w:rsidRDefault="00A44D99" w:rsidP="00891E8C">
            <w:pPr>
              <w:rPr>
                <w:rFonts w:ascii="Cambria" w:hAnsi="Cambria" w:cs="Calibri"/>
              </w:rPr>
            </w:pPr>
            <w:proofErr w:type="spellStart"/>
            <w:r w:rsidRPr="00DF4CE5">
              <w:rPr>
                <w:rFonts w:ascii="Cambria" w:hAnsi="Cambria" w:cs="Calibri"/>
              </w:rPr>
              <w:t>Studentske</w:t>
            </w:r>
            <w:proofErr w:type="spellEnd"/>
            <w:r w:rsidRPr="00DF4CE5">
              <w:rPr>
                <w:rFonts w:ascii="Cambria" w:hAnsi="Cambria" w:cs="Calibri"/>
              </w:rPr>
              <w:t xml:space="preserve"> </w:t>
            </w:r>
            <w:proofErr w:type="spellStart"/>
            <w:r w:rsidRPr="00DF4CE5">
              <w:rPr>
                <w:rFonts w:ascii="Cambria" w:hAnsi="Cambria" w:cs="Calibri"/>
              </w:rPr>
              <w:t>obveze</w:t>
            </w:r>
            <w:proofErr w:type="spellEnd"/>
          </w:p>
        </w:tc>
        <w:tc>
          <w:tcPr>
            <w:tcW w:w="651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16C0D60" w14:textId="77777777" w:rsidR="00A44D99" w:rsidRPr="00DF4CE5" w:rsidRDefault="00A44D99" w:rsidP="00E41F45">
            <w:pPr>
              <w:spacing w:after="0" w:line="240" w:lineRule="auto"/>
              <w:rPr>
                <w:rFonts w:ascii="Cambria" w:hAnsi="Cambria" w:cs="Calibri"/>
                <w:lang w:val="it-IT"/>
              </w:rPr>
            </w:pPr>
            <w:r w:rsidRPr="00DF4CE5">
              <w:rPr>
                <w:rFonts w:ascii="Cambria" w:hAnsi="Cambria" w:cs="Calibri"/>
                <w:lang w:val="it-IT"/>
              </w:rPr>
              <w:t xml:space="preserve">Da </w:t>
            </w:r>
            <w:proofErr w:type="spellStart"/>
            <w:r w:rsidRPr="00DF4CE5">
              <w:rPr>
                <w:rFonts w:ascii="Cambria" w:hAnsi="Cambria" w:cs="Calibri"/>
                <w:lang w:val="it-IT"/>
              </w:rPr>
              <w:t>položi</w:t>
            </w:r>
            <w:proofErr w:type="spellEnd"/>
            <w:r w:rsidRPr="00DF4CE5">
              <w:rPr>
                <w:rFonts w:ascii="Cambria" w:hAnsi="Cambria" w:cs="Calibri"/>
                <w:lang w:val="it-IT"/>
              </w:rPr>
              <w:t xml:space="preserve"> </w:t>
            </w:r>
            <w:proofErr w:type="spellStart"/>
            <w:r w:rsidRPr="00DF4CE5">
              <w:rPr>
                <w:rFonts w:ascii="Cambria" w:hAnsi="Cambria" w:cs="Calibri"/>
                <w:lang w:val="it-IT"/>
              </w:rPr>
              <w:t>kolegij</w:t>
            </w:r>
            <w:proofErr w:type="spellEnd"/>
            <w:r w:rsidRPr="00DF4CE5">
              <w:rPr>
                <w:rFonts w:ascii="Cambria" w:hAnsi="Cambria" w:cs="Calibri"/>
                <w:lang w:val="it-IT"/>
              </w:rPr>
              <w:t xml:space="preserve">, </w:t>
            </w:r>
            <w:proofErr w:type="spellStart"/>
            <w:r w:rsidRPr="00DF4CE5">
              <w:rPr>
                <w:rFonts w:ascii="Cambria" w:hAnsi="Cambria" w:cs="Calibri"/>
                <w:lang w:val="it-IT"/>
              </w:rPr>
              <w:t>student</w:t>
            </w:r>
            <w:proofErr w:type="spellEnd"/>
            <w:r w:rsidRPr="00DF4CE5">
              <w:rPr>
                <w:rFonts w:ascii="Cambria" w:hAnsi="Cambria" w:cs="Calibri"/>
                <w:lang w:val="it-IT"/>
              </w:rPr>
              <w:t>/</w:t>
            </w:r>
            <w:proofErr w:type="spellStart"/>
            <w:r w:rsidRPr="00DF4CE5">
              <w:rPr>
                <w:rFonts w:ascii="Cambria" w:hAnsi="Cambria" w:cs="Calibri"/>
                <w:lang w:val="it-IT"/>
              </w:rPr>
              <w:t>studentica</w:t>
            </w:r>
            <w:proofErr w:type="spellEnd"/>
            <w:r w:rsidRPr="00DF4CE5">
              <w:rPr>
                <w:rFonts w:ascii="Cambria" w:hAnsi="Cambria" w:cs="Calibri"/>
                <w:lang w:val="it-IT"/>
              </w:rPr>
              <w:t xml:space="preserve"> mora:</w:t>
            </w:r>
          </w:p>
          <w:p w14:paraId="7D8D4080" w14:textId="77777777" w:rsidR="00E41F45" w:rsidRPr="00E41F45" w:rsidRDefault="00E41F45" w:rsidP="00E41F45">
            <w:pPr>
              <w:spacing w:after="0" w:line="240" w:lineRule="auto"/>
              <w:rPr>
                <w:rFonts w:ascii="Cambria" w:hAnsi="Cambria" w:cs="Calibri"/>
                <w:lang w:val="it-IT"/>
              </w:rPr>
            </w:pPr>
            <w:r w:rsidRPr="00E41F45">
              <w:rPr>
                <w:rFonts w:ascii="Cambria" w:hAnsi="Cambria" w:cs="Calibri"/>
                <w:lang w:val="it-IT"/>
              </w:rPr>
              <w:t>1.</w:t>
            </w:r>
            <w:r>
              <w:rPr>
                <w:rFonts w:ascii="Cambria" w:hAnsi="Cambria" w:cs="Calibri"/>
                <w:lang w:val="it-IT"/>
              </w:rPr>
              <w:t xml:space="preserve"> </w:t>
            </w:r>
            <w:proofErr w:type="spellStart"/>
            <w:r w:rsidR="00A44D99" w:rsidRPr="00E41F45">
              <w:rPr>
                <w:rFonts w:ascii="Cambria" w:hAnsi="Cambria" w:cs="Calibri"/>
                <w:lang w:val="it-IT"/>
              </w:rPr>
              <w:t>prisustvovati</w:t>
            </w:r>
            <w:proofErr w:type="spellEnd"/>
            <w:r w:rsidR="00A44D99" w:rsidRPr="00E41F45">
              <w:rPr>
                <w:rFonts w:ascii="Cambria" w:hAnsi="Cambria" w:cs="Calibri"/>
                <w:lang w:val="it-IT"/>
              </w:rPr>
              <w:t xml:space="preserve"> </w:t>
            </w:r>
            <w:proofErr w:type="spellStart"/>
            <w:r w:rsidR="00A44D99" w:rsidRPr="00E41F45">
              <w:rPr>
                <w:rFonts w:ascii="Cambria" w:hAnsi="Cambria" w:cs="Calibri"/>
                <w:lang w:val="it-IT"/>
              </w:rPr>
              <w:t>predavanjima</w:t>
            </w:r>
            <w:proofErr w:type="spellEnd"/>
            <w:r w:rsidR="00A44D99" w:rsidRPr="00E41F45">
              <w:rPr>
                <w:rFonts w:ascii="Cambria" w:hAnsi="Cambria" w:cs="Calibri"/>
                <w:lang w:val="it-IT"/>
              </w:rPr>
              <w:t xml:space="preserve"> i </w:t>
            </w:r>
            <w:proofErr w:type="spellStart"/>
            <w:r w:rsidR="00A44D99" w:rsidRPr="00E41F45">
              <w:rPr>
                <w:rFonts w:ascii="Cambria" w:hAnsi="Cambria" w:cs="Calibri"/>
                <w:lang w:val="it-IT"/>
              </w:rPr>
              <w:t>seminarima</w:t>
            </w:r>
            <w:proofErr w:type="spellEnd"/>
            <w:r w:rsidR="00A44D99" w:rsidRPr="00E41F45">
              <w:rPr>
                <w:rFonts w:ascii="Cambria" w:hAnsi="Cambria" w:cs="Calibri"/>
                <w:lang w:val="it-IT"/>
              </w:rPr>
              <w:t xml:space="preserve"> - </w:t>
            </w:r>
            <w:proofErr w:type="spellStart"/>
            <w:r w:rsidR="00A44D99" w:rsidRPr="00E41F45">
              <w:rPr>
                <w:rFonts w:ascii="Cambria" w:hAnsi="Cambria" w:cs="Calibri"/>
                <w:lang w:val="it-IT"/>
              </w:rPr>
              <w:t>najmanje</w:t>
            </w:r>
            <w:proofErr w:type="spellEnd"/>
            <w:r w:rsidR="00A44D99" w:rsidRPr="00E41F45">
              <w:rPr>
                <w:rFonts w:ascii="Cambria" w:hAnsi="Cambria" w:cs="Calibri"/>
                <w:lang w:val="it-IT"/>
              </w:rPr>
              <w:t xml:space="preserve"> 70%, </w:t>
            </w:r>
            <w:proofErr w:type="spellStart"/>
            <w:r w:rsidR="00A44D99" w:rsidRPr="00E41F45">
              <w:rPr>
                <w:rFonts w:ascii="Cambria" w:hAnsi="Cambria" w:cs="Calibri"/>
                <w:lang w:val="it-IT"/>
              </w:rPr>
              <w:t>pripremati</w:t>
            </w:r>
            <w:proofErr w:type="spellEnd"/>
            <w:r w:rsidR="00A44D99" w:rsidRPr="00E41F45">
              <w:rPr>
                <w:rFonts w:ascii="Cambria" w:hAnsi="Cambria" w:cs="Calibri"/>
                <w:lang w:val="it-IT"/>
              </w:rPr>
              <w:t xml:space="preserve"> se za </w:t>
            </w:r>
            <w:proofErr w:type="spellStart"/>
            <w:r w:rsidR="00A44D99" w:rsidRPr="00E41F45">
              <w:rPr>
                <w:rFonts w:ascii="Cambria" w:hAnsi="Cambria" w:cs="Calibri"/>
                <w:lang w:val="it-IT"/>
              </w:rPr>
              <w:t>nastavu</w:t>
            </w:r>
            <w:proofErr w:type="spellEnd"/>
            <w:r w:rsidR="00A44D99" w:rsidRPr="00E41F45">
              <w:rPr>
                <w:rFonts w:ascii="Cambria" w:hAnsi="Cambria" w:cs="Calibri"/>
                <w:lang w:val="it-IT"/>
              </w:rPr>
              <w:t xml:space="preserve"> </w:t>
            </w:r>
            <w:proofErr w:type="spellStart"/>
            <w:r w:rsidR="00A44D99" w:rsidRPr="00E41F45">
              <w:rPr>
                <w:rFonts w:ascii="Cambria" w:hAnsi="Cambria" w:cs="Calibri"/>
                <w:lang w:val="it-IT"/>
              </w:rPr>
              <w:t>svakog</w:t>
            </w:r>
            <w:proofErr w:type="spellEnd"/>
            <w:r w:rsidR="00A44D99" w:rsidRPr="00E41F45">
              <w:rPr>
                <w:rFonts w:ascii="Cambria" w:hAnsi="Cambria" w:cs="Calibri"/>
                <w:lang w:val="it-IT"/>
              </w:rPr>
              <w:t xml:space="preserve"> </w:t>
            </w:r>
            <w:proofErr w:type="spellStart"/>
            <w:r w:rsidR="00A44D99" w:rsidRPr="00E41F45">
              <w:rPr>
                <w:rFonts w:ascii="Cambria" w:hAnsi="Cambria" w:cs="Calibri"/>
                <w:lang w:val="it-IT"/>
              </w:rPr>
              <w:t>tjedna</w:t>
            </w:r>
            <w:proofErr w:type="spellEnd"/>
            <w:r w:rsidR="00A44D99" w:rsidRPr="00E41F45">
              <w:rPr>
                <w:rFonts w:ascii="Cambria" w:hAnsi="Cambria" w:cs="Calibri"/>
                <w:lang w:val="it-IT"/>
              </w:rPr>
              <w:t xml:space="preserve"> </w:t>
            </w:r>
            <w:proofErr w:type="spellStart"/>
            <w:r w:rsidR="00A44D99" w:rsidRPr="00E41F45">
              <w:rPr>
                <w:rFonts w:ascii="Cambria" w:hAnsi="Cambria" w:cs="Calibri"/>
                <w:lang w:val="it-IT"/>
              </w:rPr>
              <w:t>utvrđivanjem</w:t>
            </w:r>
            <w:proofErr w:type="spellEnd"/>
            <w:r w:rsidR="00A44D99" w:rsidRPr="00E41F45">
              <w:rPr>
                <w:rFonts w:ascii="Cambria" w:hAnsi="Cambria" w:cs="Calibri"/>
                <w:lang w:val="it-IT"/>
              </w:rPr>
              <w:t xml:space="preserve"> i </w:t>
            </w:r>
            <w:proofErr w:type="spellStart"/>
            <w:r w:rsidR="00A44D99" w:rsidRPr="00E41F45">
              <w:rPr>
                <w:rFonts w:ascii="Cambria" w:hAnsi="Cambria" w:cs="Calibri"/>
                <w:lang w:val="it-IT"/>
              </w:rPr>
              <w:t>ponavljanjem</w:t>
            </w:r>
            <w:proofErr w:type="spellEnd"/>
            <w:r w:rsidR="00A44D99" w:rsidRPr="00E41F45">
              <w:rPr>
                <w:rFonts w:ascii="Cambria" w:hAnsi="Cambria" w:cs="Calibri"/>
                <w:lang w:val="it-IT"/>
              </w:rPr>
              <w:t xml:space="preserve"> gradiva </w:t>
            </w:r>
            <w:proofErr w:type="spellStart"/>
            <w:r w:rsidR="00A44D99" w:rsidRPr="00E41F45">
              <w:rPr>
                <w:rFonts w:ascii="Cambria" w:hAnsi="Cambria" w:cs="Calibri"/>
                <w:lang w:val="it-IT"/>
              </w:rPr>
              <w:t>iznijetog</w:t>
            </w:r>
            <w:proofErr w:type="spellEnd"/>
            <w:r w:rsidR="00A44D99" w:rsidRPr="00E41F45">
              <w:rPr>
                <w:rFonts w:ascii="Cambria" w:hAnsi="Cambria" w:cs="Calibri"/>
                <w:lang w:val="it-IT"/>
              </w:rPr>
              <w:t xml:space="preserve"> </w:t>
            </w:r>
            <w:proofErr w:type="spellStart"/>
            <w:r w:rsidR="00A44D99" w:rsidRPr="00E41F45">
              <w:rPr>
                <w:rFonts w:ascii="Cambria" w:hAnsi="Cambria" w:cs="Calibri"/>
                <w:lang w:val="it-IT"/>
              </w:rPr>
              <w:t>na</w:t>
            </w:r>
            <w:proofErr w:type="spellEnd"/>
            <w:r w:rsidR="00A44D99" w:rsidRPr="00E41F45">
              <w:rPr>
                <w:rFonts w:ascii="Cambria" w:hAnsi="Cambria" w:cs="Calibri"/>
                <w:lang w:val="it-IT"/>
              </w:rPr>
              <w:t xml:space="preserve"> </w:t>
            </w:r>
            <w:proofErr w:type="spellStart"/>
            <w:r w:rsidR="00A44D99" w:rsidRPr="00E41F45">
              <w:rPr>
                <w:rFonts w:ascii="Cambria" w:hAnsi="Cambria" w:cs="Calibri"/>
                <w:lang w:val="it-IT"/>
              </w:rPr>
              <w:t>predavanjima</w:t>
            </w:r>
            <w:proofErr w:type="spellEnd"/>
            <w:r w:rsidR="00A44D99" w:rsidRPr="00E41F45">
              <w:rPr>
                <w:rFonts w:ascii="Cambria" w:hAnsi="Cambria" w:cs="Calibri"/>
                <w:lang w:val="it-IT"/>
              </w:rPr>
              <w:t xml:space="preserve"> i </w:t>
            </w:r>
            <w:proofErr w:type="spellStart"/>
            <w:r w:rsidR="00A44D99" w:rsidRPr="00E41F45">
              <w:rPr>
                <w:rFonts w:ascii="Cambria" w:hAnsi="Cambria" w:cs="Calibri"/>
                <w:lang w:val="it-IT"/>
              </w:rPr>
              <w:t>seminarima</w:t>
            </w:r>
            <w:proofErr w:type="spellEnd"/>
            <w:r w:rsidR="00A44D99" w:rsidRPr="00E41F45">
              <w:rPr>
                <w:rFonts w:ascii="Cambria" w:hAnsi="Cambria" w:cs="Calibri"/>
                <w:lang w:val="it-IT"/>
              </w:rPr>
              <w:t xml:space="preserve"> </w:t>
            </w:r>
            <w:proofErr w:type="spellStart"/>
            <w:r w:rsidR="00A44D99" w:rsidRPr="00E41F45">
              <w:rPr>
                <w:rFonts w:ascii="Cambria" w:hAnsi="Cambria" w:cs="Calibri"/>
                <w:lang w:val="it-IT"/>
              </w:rPr>
              <w:t>proteklog</w:t>
            </w:r>
            <w:proofErr w:type="spellEnd"/>
            <w:r w:rsidR="00A44D99" w:rsidRPr="00E41F45">
              <w:rPr>
                <w:rFonts w:ascii="Cambria" w:hAnsi="Cambria" w:cs="Calibri"/>
                <w:lang w:val="it-IT"/>
              </w:rPr>
              <w:t xml:space="preserve"> </w:t>
            </w:r>
            <w:proofErr w:type="spellStart"/>
            <w:r w:rsidR="00A44D99" w:rsidRPr="00E41F45">
              <w:rPr>
                <w:rFonts w:ascii="Cambria" w:hAnsi="Cambria" w:cs="Calibri"/>
                <w:lang w:val="it-IT"/>
              </w:rPr>
              <w:t>tjedna</w:t>
            </w:r>
            <w:proofErr w:type="spellEnd"/>
            <w:r w:rsidR="00A44D99" w:rsidRPr="00E41F45">
              <w:rPr>
                <w:rFonts w:ascii="Cambria" w:hAnsi="Cambria" w:cs="Calibri"/>
                <w:lang w:val="it-IT"/>
              </w:rPr>
              <w:t xml:space="preserve">, </w:t>
            </w:r>
            <w:proofErr w:type="spellStart"/>
            <w:r w:rsidR="00A44D99" w:rsidRPr="00E41F45">
              <w:rPr>
                <w:rFonts w:ascii="Cambria" w:hAnsi="Cambria" w:cs="Calibri"/>
                <w:lang w:val="it-IT"/>
              </w:rPr>
              <w:t>aktivno</w:t>
            </w:r>
            <w:proofErr w:type="spellEnd"/>
            <w:r w:rsidR="00A44D99" w:rsidRPr="00E41F45">
              <w:rPr>
                <w:rFonts w:ascii="Cambria" w:hAnsi="Cambria" w:cs="Calibri"/>
                <w:lang w:val="it-IT"/>
              </w:rPr>
              <w:t xml:space="preserve"> se </w:t>
            </w:r>
            <w:proofErr w:type="spellStart"/>
            <w:r w:rsidR="00A44D99" w:rsidRPr="00E41F45">
              <w:rPr>
                <w:rFonts w:ascii="Cambria" w:hAnsi="Cambria" w:cs="Calibri"/>
                <w:lang w:val="it-IT"/>
              </w:rPr>
              <w:t>uključiti</w:t>
            </w:r>
            <w:proofErr w:type="spellEnd"/>
            <w:r w:rsidR="00A44D99" w:rsidRPr="00E41F45">
              <w:rPr>
                <w:rFonts w:ascii="Cambria" w:hAnsi="Cambria" w:cs="Calibri"/>
                <w:lang w:val="it-IT"/>
              </w:rPr>
              <w:t xml:space="preserve"> u </w:t>
            </w:r>
            <w:proofErr w:type="spellStart"/>
            <w:r w:rsidR="00A44D99" w:rsidRPr="00E41F45">
              <w:rPr>
                <w:rFonts w:ascii="Cambria" w:hAnsi="Cambria" w:cs="Calibri"/>
                <w:lang w:val="it-IT"/>
              </w:rPr>
              <w:t>nastavni</w:t>
            </w:r>
            <w:proofErr w:type="spellEnd"/>
            <w:r w:rsidR="00A44D99" w:rsidRPr="00E41F45">
              <w:rPr>
                <w:rFonts w:ascii="Cambria" w:hAnsi="Cambria" w:cs="Calibri"/>
                <w:lang w:val="it-IT"/>
              </w:rPr>
              <w:t xml:space="preserve"> </w:t>
            </w:r>
            <w:proofErr w:type="spellStart"/>
            <w:r w:rsidR="00A44D99" w:rsidRPr="00E41F45">
              <w:rPr>
                <w:rFonts w:ascii="Cambria" w:hAnsi="Cambria" w:cs="Calibri"/>
                <w:lang w:val="it-IT"/>
              </w:rPr>
              <w:t>proces</w:t>
            </w:r>
            <w:proofErr w:type="spellEnd"/>
            <w:r w:rsidR="00A44D99" w:rsidRPr="00E41F45">
              <w:rPr>
                <w:rFonts w:ascii="Cambria" w:hAnsi="Cambria" w:cs="Calibri"/>
                <w:lang w:val="it-IT"/>
              </w:rPr>
              <w:t xml:space="preserve"> </w:t>
            </w:r>
            <w:proofErr w:type="spellStart"/>
            <w:r w:rsidR="00A44D99" w:rsidRPr="00E41F45">
              <w:rPr>
                <w:rFonts w:ascii="Cambria" w:hAnsi="Cambria" w:cs="Calibri"/>
                <w:lang w:val="it-IT"/>
              </w:rPr>
              <w:t>rješavanjem</w:t>
            </w:r>
            <w:proofErr w:type="spellEnd"/>
            <w:r w:rsidR="00A44D99" w:rsidRPr="00E41F45">
              <w:rPr>
                <w:rFonts w:ascii="Cambria" w:hAnsi="Cambria" w:cs="Calibri"/>
                <w:lang w:val="it-IT"/>
              </w:rPr>
              <w:t xml:space="preserve"> </w:t>
            </w:r>
            <w:proofErr w:type="spellStart"/>
            <w:r w:rsidR="00A44D99" w:rsidRPr="00E41F45">
              <w:rPr>
                <w:rFonts w:ascii="Cambria" w:hAnsi="Cambria" w:cs="Calibri"/>
                <w:lang w:val="it-IT"/>
              </w:rPr>
              <w:t>zadataka</w:t>
            </w:r>
            <w:proofErr w:type="spellEnd"/>
            <w:r w:rsidR="00A44D99" w:rsidRPr="00E41F45">
              <w:rPr>
                <w:rFonts w:ascii="Cambria" w:hAnsi="Cambria" w:cs="Calibri"/>
                <w:lang w:val="it-IT"/>
              </w:rPr>
              <w:t xml:space="preserve">, </w:t>
            </w:r>
            <w:proofErr w:type="spellStart"/>
            <w:r w:rsidR="00A44D99" w:rsidRPr="00E41F45">
              <w:rPr>
                <w:rFonts w:ascii="Cambria" w:hAnsi="Cambria" w:cs="Calibri"/>
                <w:lang w:val="it-IT"/>
              </w:rPr>
              <w:t>odgovorima</w:t>
            </w:r>
            <w:proofErr w:type="spellEnd"/>
            <w:r w:rsidR="00A44D99" w:rsidRPr="00E41F45">
              <w:rPr>
                <w:rFonts w:ascii="Cambria" w:hAnsi="Cambria" w:cs="Calibri"/>
                <w:lang w:val="it-IT"/>
              </w:rPr>
              <w:t xml:space="preserve"> </w:t>
            </w:r>
            <w:proofErr w:type="spellStart"/>
            <w:r w:rsidR="00A44D99" w:rsidRPr="00E41F45">
              <w:rPr>
                <w:rFonts w:ascii="Cambria" w:hAnsi="Cambria" w:cs="Calibri"/>
                <w:lang w:val="it-IT"/>
              </w:rPr>
              <w:t>na</w:t>
            </w:r>
            <w:proofErr w:type="spellEnd"/>
            <w:r w:rsidR="00A44D99" w:rsidRPr="00E41F45">
              <w:rPr>
                <w:rFonts w:ascii="Cambria" w:hAnsi="Cambria" w:cs="Calibri"/>
                <w:lang w:val="it-IT"/>
              </w:rPr>
              <w:t xml:space="preserve"> </w:t>
            </w:r>
            <w:proofErr w:type="spellStart"/>
            <w:r w:rsidR="00A44D99" w:rsidRPr="00E41F45">
              <w:rPr>
                <w:rFonts w:ascii="Cambria" w:hAnsi="Cambria" w:cs="Calibri"/>
                <w:lang w:val="it-IT"/>
              </w:rPr>
              <w:t>postavljena</w:t>
            </w:r>
            <w:proofErr w:type="spellEnd"/>
            <w:r w:rsidR="00A44D99" w:rsidRPr="00E41F45">
              <w:rPr>
                <w:rFonts w:ascii="Cambria" w:hAnsi="Cambria" w:cs="Calibri"/>
                <w:lang w:val="it-IT"/>
              </w:rPr>
              <w:t xml:space="preserve"> </w:t>
            </w:r>
            <w:proofErr w:type="spellStart"/>
            <w:r w:rsidR="00A44D99" w:rsidRPr="00E41F45">
              <w:rPr>
                <w:rFonts w:ascii="Cambria" w:hAnsi="Cambria" w:cs="Calibri"/>
                <w:lang w:val="it-IT"/>
              </w:rPr>
              <w:t>pitanja</w:t>
            </w:r>
            <w:proofErr w:type="spellEnd"/>
            <w:r w:rsidR="00A44D99" w:rsidRPr="00E41F45">
              <w:rPr>
                <w:rFonts w:ascii="Cambria" w:hAnsi="Cambria" w:cs="Calibri"/>
                <w:lang w:val="it-IT"/>
              </w:rPr>
              <w:t xml:space="preserve">, </w:t>
            </w:r>
            <w:proofErr w:type="spellStart"/>
            <w:r w:rsidR="00A44D99" w:rsidRPr="00E41F45">
              <w:rPr>
                <w:rFonts w:ascii="Cambria" w:hAnsi="Cambria" w:cs="Calibri"/>
                <w:lang w:val="it-IT"/>
              </w:rPr>
              <w:t>sudjelovanjem</w:t>
            </w:r>
            <w:proofErr w:type="spellEnd"/>
            <w:r w:rsidR="00A44D99" w:rsidRPr="00E41F45">
              <w:rPr>
                <w:rFonts w:ascii="Cambria" w:hAnsi="Cambria" w:cs="Calibri"/>
                <w:lang w:val="it-IT"/>
              </w:rPr>
              <w:t xml:space="preserve"> u </w:t>
            </w:r>
            <w:proofErr w:type="spellStart"/>
            <w:r w:rsidR="00A44D99" w:rsidRPr="00E41F45">
              <w:rPr>
                <w:rFonts w:ascii="Cambria" w:hAnsi="Cambria" w:cs="Calibri"/>
                <w:lang w:val="it-IT"/>
              </w:rPr>
              <w:t>diskusiji</w:t>
            </w:r>
            <w:proofErr w:type="spellEnd"/>
            <w:r w:rsidR="00A44D99" w:rsidRPr="00E41F45">
              <w:rPr>
                <w:rFonts w:ascii="Cambria" w:hAnsi="Cambria" w:cs="Calibri"/>
                <w:lang w:val="it-IT"/>
              </w:rPr>
              <w:t xml:space="preserve"> i </w:t>
            </w:r>
            <w:proofErr w:type="spellStart"/>
            <w:r w:rsidR="00A44D99" w:rsidRPr="00E41F45">
              <w:rPr>
                <w:rFonts w:ascii="Cambria" w:hAnsi="Cambria" w:cs="Calibri"/>
                <w:lang w:val="it-IT"/>
              </w:rPr>
              <w:t>sl</w:t>
            </w:r>
            <w:proofErr w:type="spellEnd"/>
            <w:r w:rsidR="00A44D99" w:rsidRPr="00E41F45">
              <w:rPr>
                <w:rFonts w:ascii="Cambria" w:hAnsi="Cambria" w:cs="Calibri"/>
                <w:lang w:val="it-IT"/>
              </w:rPr>
              <w:t xml:space="preserve">. </w:t>
            </w:r>
            <w:proofErr w:type="spellStart"/>
            <w:r w:rsidR="00A44D99" w:rsidRPr="00E41F45">
              <w:rPr>
                <w:rFonts w:ascii="Cambria" w:hAnsi="Cambria" w:cs="Calibri"/>
                <w:lang w:val="it-IT"/>
              </w:rPr>
              <w:t>Svi</w:t>
            </w:r>
            <w:proofErr w:type="spellEnd"/>
            <w:r w:rsidR="00A44D99" w:rsidRPr="00E41F45">
              <w:rPr>
                <w:rFonts w:ascii="Cambria" w:hAnsi="Cambria" w:cs="Calibri"/>
                <w:lang w:val="it-IT"/>
              </w:rPr>
              <w:t xml:space="preserve"> studenti </w:t>
            </w:r>
            <w:proofErr w:type="spellStart"/>
            <w:r w:rsidR="00A44D99" w:rsidRPr="00E41F45">
              <w:rPr>
                <w:rFonts w:ascii="Cambria" w:hAnsi="Cambria" w:cs="Calibri"/>
                <w:lang w:val="it-IT"/>
              </w:rPr>
              <w:t>moraju</w:t>
            </w:r>
            <w:proofErr w:type="spellEnd"/>
            <w:r w:rsidR="00A44D99" w:rsidRPr="00E41F45">
              <w:rPr>
                <w:rFonts w:ascii="Cambria" w:hAnsi="Cambria" w:cs="Calibri"/>
                <w:lang w:val="it-IT"/>
              </w:rPr>
              <w:t xml:space="preserve"> </w:t>
            </w:r>
            <w:proofErr w:type="spellStart"/>
            <w:r w:rsidR="00A44D99" w:rsidRPr="00E41F45">
              <w:rPr>
                <w:rFonts w:ascii="Cambria" w:hAnsi="Cambria" w:cs="Calibri"/>
                <w:lang w:val="it-IT"/>
              </w:rPr>
              <w:t>biti</w:t>
            </w:r>
            <w:proofErr w:type="spellEnd"/>
            <w:r w:rsidR="00A44D99" w:rsidRPr="00E41F45">
              <w:rPr>
                <w:rFonts w:ascii="Cambria" w:hAnsi="Cambria" w:cs="Calibri"/>
                <w:lang w:val="it-IT"/>
              </w:rPr>
              <w:t xml:space="preserve"> </w:t>
            </w:r>
            <w:proofErr w:type="spellStart"/>
            <w:r w:rsidR="00A44D99" w:rsidRPr="00E41F45">
              <w:rPr>
                <w:rFonts w:ascii="Cambria" w:hAnsi="Cambria" w:cs="Calibri"/>
                <w:lang w:val="it-IT"/>
              </w:rPr>
              <w:t>pripremljeni</w:t>
            </w:r>
            <w:proofErr w:type="spellEnd"/>
            <w:r w:rsidR="00A44D99" w:rsidRPr="00E41F45">
              <w:rPr>
                <w:rFonts w:ascii="Cambria" w:hAnsi="Cambria" w:cs="Calibri"/>
                <w:lang w:val="it-IT"/>
              </w:rPr>
              <w:t xml:space="preserve"> za </w:t>
            </w:r>
            <w:proofErr w:type="spellStart"/>
            <w:r w:rsidR="00A44D99" w:rsidRPr="00E41F45">
              <w:rPr>
                <w:rFonts w:ascii="Cambria" w:hAnsi="Cambria" w:cs="Calibri"/>
                <w:lang w:val="it-IT"/>
              </w:rPr>
              <w:t>svako</w:t>
            </w:r>
            <w:proofErr w:type="spellEnd"/>
            <w:r w:rsidR="00A44D99" w:rsidRPr="00E41F45">
              <w:rPr>
                <w:rFonts w:ascii="Cambria" w:hAnsi="Cambria" w:cs="Calibri"/>
                <w:lang w:val="it-IT"/>
              </w:rPr>
              <w:t xml:space="preserve"> </w:t>
            </w:r>
            <w:proofErr w:type="spellStart"/>
            <w:r w:rsidR="00A44D99" w:rsidRPr="00E41F45">
              <w:rPr>
                <w:rFonts w:ascii="Cambria" w:hAnsi="Cambria" w:cs="Calibri"/>
                <w:lang w:val="it-IT"/>
              </w:rPr>
              <w:t>predavanje</w:t>
            </w:r>
            <w:proofErr w:type="spellEnd"/>
            <w:r w:rsidR="00A44D99" w:rsidRPr="00E41F45">
              <w:rPr>
                <w:rFonts w:ascii="Cambria" w:hAnsi="Cambria" w:cs="Calibri"/>
                <w:lang w:val="it-IT"/>
              </w:rPr>
              <w:t xml:space="preserve">, </w:t>
            </w:r>
            <w:proofErr w:type="spellStart"/>
            <w:r w:rsidR="00A44D99" w:rsidRPr="00E41F45">
              <w:rPr>
                <w:rFonts w:ascii="Cambria" w:hAnsi="Cambria" w:cs="Calibri"/>
                <w:lang w:val="it-IT"/>
              </w:rPr>
              <w:t>analizirati</w:t>
            </w:r>
            <w:proofErr w:type="spellEnd"/>
            <w:r w:rsidR="00A44D99" w:rsidRPr="00E41F45">
              <w:rPr>
                <w:rFonts w:ascii="Cambria" w:hAnsi="Cambria" w:cs="Calibri"/>
                <w:lang w:val="it-IT"/>
              </w:rPr>
              <w:t xml:space="preserve"> </w:t>
            </w:r>
            <w:proofErr w:type="spellStart"/>
            <w:r w:rsidR="00A44D99" w:rsidRPr="00E41F45">
              <w:rPr>
                <w:rFonts w:ascii="Cambria" w:hAnsi="Cambria" w:cs="Calibri"/>
                <w:lang w:val="it-IT"/>
              </w:rPr>
              <w:t>nastavni</w:t>
            </w:r>
            <w:proofErr w:type="spellEnd"/>
            <w:r w:rsidR="00A44D99" w:rsidRPr="00E41F45">
              <w:rPr>
                <w:rFonts w:ascii="Cambria" w:hAnsi="Cambria" w:cs="Calibri"/>
                <w:lang w:val="it-IT"/>
              </w:rPr>
              <w:t xml:space="preserve"> </w:t>
            </w:r>
            <w:proofErr w:type="spellStart"/>
            <w:r w:rsidR="00A44D99" w:rsidRPr="00E41F45">
              <w:rPr>
                <w:rFonts w:ascii="Cambria" w:hAnsi="Cambria" w:cs="Calibri"/>
                <w:lang w:val="it-IT"/>
              </w:rPr>
              <w:t>sat</w:t>
            </w:r>
            <w:proofErr w:type="spellEnd"/>
            <w:r w:rsidR="00A44D99" w:rsidRPr="00E41F45">
              <w:rPr>
                <w:rFonts w:ascii="Cambria" w:hAnsi="Cambria" w:cs="Calibri"/>
                <w:lang w:val="it-IT"/>
              </w:rPr>
              <w:t xml:space="preserve"> </w:t>
            </w:r>
          </w:p>
          <w:p w14:paraId="5228F824" w14:textId="77777777" w:rsidR="00E41F45" w:rsidRDefault="00E41F45" w:rsidP="00E41F45">
            <w:pPr>
              <w:spacing w:after="0" w:line="240" w:lineRule="auto"/>
              <w:rPr>
                <w:rFonts w:ascii="Cambria" w:hAnsi="Cambria" w:cs="Calibri"/>
                <w:lang w:val="it-IT"/>
              </w:rPr>
            </w:pPr>
            <w:r>
              <w:rPr>
                <w:rFonts w:ascii="Cambria" w:hAnsi="Cambria" w:cs="Calibri"/>
                <w:lang w:val="it-IT"/>
              </w:rPr>
              <w:t xml:space="preserve">2. </w:t>
            </w:r>
            <w:proofErr w:type="spellStart"/>
            <w:r w:rsidR="00A44D99" w:rsidRPr="00E41F45">
              <w:rPr>
                <w:rFonts w:ascii="Cambria" w:hAnsi="Cambria" w:cs="Calibri"/>
                <w:lang w:val="it-IT"/>
              </w:rPr>
              <w:t>izraditi</w:t>
            </w:r>
            <w:proofErr w:type="spellEnd"/>
            <w:r w:rsidR="00A44D99" w:rsidRPr="00E41F45">
              <w:rPr>
                <w:rFonts w:ascii="Cambria" w:hAnsi="Cambria" w:cs="Calibri"/>
                <w:lang w:val="it-IT"/>
              </w:rPr>
              <w:t xml:space="preserve"> </w:t>
            </w:r>
            <w:proofErr w:type="spellStart"/>
            <w:r w:rsidR="00A44D99" w:rsidRPr="00E41F45">
              <w:rPr>
                <w:rFonts w:ascii="Cambria" w:hAnsi="Cambria" w:cs="Calibri"/>
                <w:lang w:val="it-IT"/>
              </w:rPr>
              <w:t>pripremu</w:t>
            </w:r>
            <w:proofErr w:type="spellEnd"/>
            <w:r w:rsidR="00A44D99" w:rsidRPr="00E41F45">
              <w:rPr>
                <w:rFonts w:ascii="Cambria" w:hAnsi="Cambria" w:cs="Calibri"/>
                <w:lang w:val="it-IT"/>
              </w:rPr>
              <w:t xml:space="preserve"> </w:t>
            </w:r>
            <w:proofErr w:type="spellStart"/>
            <w:r w:rsidR="00A44D99" w:rsidRPr="00E41F45">
              <w:rPr>
                <w:rFonts w:ascii="Cambria" w:hAnsi="Cambria" w:cs="Calibri"/>
                <w:lang w:val="it-IT"/>
              </w:rPr>
              <w:t>dva</w:t>
            </w:r>
            <w:proofErr w:type="spellEnd"/>
            <w:r w:rsidR="00A44D99" w:rsidRPr="00E41F45">
              <w:rPr>
                <w:rFonts w:ascii="Cambria" w:hAnsi="Cambria" w:cs="Calibri"/>
                <w:lang w:val="it-IT"/>
              </w:rPr>
              <w:t xml:space="preserve"> </w:t>
            </w:r>
            <w:proofErr w:type="spellStart"/>
            <w:r w:rsidR="00A44D99" w:rsidRPr="00E41F45">
              <w:rPr>
                <w:rFonts w:ascii="Cambria" w:hAnsi="Cambria" w:cs="Calibri"/>
                <w:lang w:val="it-IT"/>
              </w:rPr>
              <w:t>nastavna</w:t>
            </w:r>
            <w:proofErr w:type="spellEnd"/>
            <w:r w:rsidR="00A44D99" w:rsidRPr="00E41F45">
              <w:rPr>
                <w:rFonts w:ascii="Cambria" w:hAnsi="Cambria" w:cs="Calibri"/>
                <w:lang w:val="it-IT"/>
              </w:rPr>
              <w:t xml:space="preserve"> </w:t>
            </w:r>
            <w:proofErr w:type="spellStart"/>
            <w:r w:rsidR="00A44D99" w:rsidRPr="00E41F45">
              <w:rPr>
                <w:rFonts w:ascii="Cambria" w:hAnsi="Cambria" w:cs="Calibri"/>
                <w:lang w:val="it-IT"/>
              </w:rPr>
              <w:t>sata</w:t>
            </w:r>
            <w:proofErr w:type="spellEnd"/>
            <w:r w:rsidR="00A44D99" w:rsidRPr="00E41F45">
              <w:rPr>
                <w:rFonts w:ascii="Cambria" w:hAnsi="Cambria" w:cs="Calibri"/>
                <w:lang w:val="it-IT"/>
              </w:rPr>
              <w:t xml:space="preserve">, predati u </w:t>
            </w:r>
            <w:proofErr w:type="spellStart"/>
            <w:r w:rsidR="00A44D99" w:rsidRPr="00E41F45">
              <w:rPr>
                <w:rFonts w:ascii="Cambria" w:hAnsi="Cambria" w:cs="Calibri"/>
                <w:lang w:val="it-IT"/>
              </w:rPr>
              <w:t>roku</w:t>
            </w:r>
            <w:proofErr w:type="spellEnd"/>
            <w:r w:rsidR="00A44D99" w:rsidRPr="00E41F45">
              <w:rPr>
                <w:rFonts w:ascii="Cambria" w:hAnsi="Cambria" w:cs="Calibri"/>
                <w:lang w:val="it-IT"/>
              </w:rPr>
              <w:t xml:space="preserve"> </w:t>
            </w:r>
            <w:proofErr w:type="spellStart"/>
            <w:r w:rsidR="00A44D99" w:rsidRPr="00E41F45">
              <w:rPr>
                <w:rFonts w:ascii="Cambria" w:hAnsi="Cambria" w:cs="Calibri"/>
                <w:lang w:val="it-IT"/>
              </w:rPr>
              <w:t>koji</w:t>
            </w:r>
            <w:proofErr w:type="spellEnd"/>
            <w:r w:rsidR="00A44D99" w:rsidRPr="00E41F45">
              <w:rPr>
                <w:rFonts w:ascii="Cambria" w:hAnsi="Cambria" w:cs="Calibri"/>
                <w:lang w:val="it-IT"/>
              </w:rPr>
              <w:t xml:space="preserve"> </w:t>
            </w:r>
            <w:proofErr w:type="spellStart"/>
            <w:r w:rsidR="00A44D99" w:rsidRPr="00E41F45">
              <w:rPr>
                <w:rFonts w:ascii="Cambria" w:hAnsi="Cambria" w:cs="Calibri"/>
                <w:lang w:val="it-IT"/>
              </w:rPr>
              <w:t>utvrdi</w:t>
            </w:r>
            <w:proofErr w:type="spellEnd"/>
            <w:r w:rsidR="00A44D99" w:rsidRPr="00E41F45">
              <w:rPr>
                <w:rFonts w:ascii="Cambria" w:hAnsi="Cambria" w:cs="Calibri"/>
                <w:lang w:val="it-IT"/>
              </w:rPr>
              <w:t xml:space="preserve"> </w:t>
            </w:r>
            <w:proofErr w:type="spellStart"/>
            <w:r w:rsidR="00A44D99" w:rsidRPr="00E41F45">
              <w:rPr>
                <w:rFonts w:ascii="Cambria" w:hAnsi="Cambria" w:cs="Calibri"/>
                <w:lang w:val="it-IT"/>
              </w:rPr>
              <w:t>predmetni</w:t>
            </w:r>
            <w:proofErr w:type="spellEnd"/>
            <w:r w:rsidR="00A44D99" w:rsidRPr="00E41F45">
              <w:rPr>
                <w:rFonts w:ascii="Cambria" w:hAnsi="Cambria" w:cs="Calibri"/>
                <w:lang w:val="it-IT"/>
              </w:rPr>
              <w:t xml:space="preserve"> </w:t>
            </w:r>
            <w:proofErr w:type="spellStart"/>
            <w:r w:rsidR="00A44D99" w:rsidRPr="00E41F45">
              <w:rPr>
                <w:rFonts w:ascii="Cambria" w:hAnsi="Cambria" w:cs="Calibri"/>
                <w:lang w:val="it-IT"/>
              </w:rPr>
              <w:t>nastavnik</w:t>
            </w:r>
            <w:proofErr w:type="spellEnd"/>
            <w:r w:rsidR="00A44D99" w:rsidRPr="00E41F45">
              <w:rPr>
                <w:rFonts w:ascii="Cambria" w:hAnsi="Cambria" w:cs="Calibri"/>
                <w:lang w:val="it-IT"/>
              </w:rPr>
              <w:t xml:space="preserve"> ili </w:t>
            </w:r>
            <w:proofErr w:type="spellStart"/>
            <w:r w:rsidR="00A44D99" w:rsidRPr="00E41F45">
              <w:rPr>
                <w:rFonts w:ascii="Cambria" w:hAnsi="Cambria" w:cs="Calibri"/>
                <w:lang w:val="it-IT"/>
              </w:rPr>
              <w:t>asistent</w:t>
            </w:r>
            <w:proofErr w:type="spellEnd"/>
            <w:r w:rsidR="00A44D99" w:rsidRPr="00E41F45">
              <w:rPr>
                <w:rFonts w:ascii="Cambria" w:hAnsi="Cambria" w:cs="Calibri"/>
                <w:lang w:val="it-IT"/>
              </w:rPr>
              <w:t xml:space="preserve"> te </w:t>
            </w:r>
            <w:proofErr w:type="spellStart"/>
            <w:r w:rsidR="00A44D99" w:rsidRPr="00E41F45">
              <w:rPr>
                <w:rFonts w:ascii="Cambria" w:hAnsi="Cambria" w:cs="Calibri"/>
                <w:lang w:val="it-IT"/>
              </w:rPr>
              <w:t>održati</w:t>
            </w:r>
            <w:proofErr w:type="spellEnd"/>
            <w:r w:rsidR="00A44D99" w:rsidRPr="00E41F45">
              <w:rPr>
                <w:rFonts w:ascii="Cambria" w:hAnsi="Cambria" w:cs="Calibri"/>
                <w:lang w:val="it-IT"/>
              </w:rPr>
              <w:t xml:space="preserve"> </w:t>
            </w:r>
            <w:proofErr w:type="spellStart"/>
            <w:r w:rsidR="00A44D99" w:rsidRPr="00E41F45">
              <w:rPr>
                <w:rFonts w:ascii="Cambria" w:hAnsi="Cambria" w:cs="Calibri"/>
                <w:lang w:val="it-IT"/>
              </w:rPr>
              <w:t>sat</w:t>
            </w:r>
            <w:proofErr w:type="spellEnd"/>
            <w:r w:rsidR="00A44D99" w:rsidRPr="00E41F45">
              <w:rPr>
                <w:rFonts w:ascii="Cambria" w:hAnsi="Cambria" w:cs="Calibri"/>
                <w:lang w:val="it-IT"/>
              </w:rPr>
              <w:t xml:space="preserve"> prema </w:t>
            </w:r>
            <w:proofErr w:type="spellStart"/>
            <w:r w:rsidR="00A44D99" w:rsidRPr="00E41F45">
              <w:rPr>
                <w:rFonts w:ascii="Cambria" w:hAnsi="Cambria" w:cs="Calibri"/>
                <w:lang w:val="it-IT"/>
              </w:rPr>
              <w:t>dogovoru</w:t>
            </w:r>
            <w:proofErr w:type="spellEnd"/>
            <w:r w:rsidR="00A44D99" w:rsidRPr="00E41F45">
              <w:rPr>
                <w:rFonts w:ascii="Cambria" w:hAnsi="Cambria" w:cs="Calibri"/>
                <w:lang w:val="it-IT"/>
              </w:rPr>
              <w:t xml:space="preserve"> s </w:t>
            </w:r>
            <w:proofErr w:type="spellStart"/>
            <w:r w:rsidR="00A44D99" w:rsidRPr="00E41F45">
              <w:rPr>
                <w:rFonts w:ascii="Cambria" w:hAnsi="Cambria" w:cs="Calibri"/>
                <w:lang w:val="it-IT"/>
              </w:rPr>
              <w:t>predmetnim</w:t>
            </w:r>
            <w:proofErr w:type="spellEnd"/>
            <w:r w:rsidR="00A44D99" w:rsidRPr="00E41F45">
              <w:rPr>
                <w:rFonts w:ascii="Cambria" w:hAnsi="Cambria" w:cs="Calibri"/>
                <w:lang w:val="it-IT"/>
              </w:rPr>
              <w:t xml:space="preserve"> </w:t>
            </w:r>
            <w:proofErr w:type="spellStart"/>
            <w:r w:rsidR="00A44D99" w:rsidRPr="00E41F45">
              <w:rPr>
                <w:rFonts w:ascii="Cambria" w:hAnsi="Cambria" w:cs="Calibri"/>
                <w:lang w:val="it-IT"/>
              </w:rPr>
              <w:t>nastavnikom</w:t>
            </w:r>
            <w:proofErr w:type="spellEnd"/>
            <w:r w:rsidR="00A44D99" w:rsidRPr="00E41F45">
              <w:rPr>
                <w:rFonts w:ascii="Cambria" w:hAnsi="Cambria" w:cs="Calibri"/>
                <w:lang w:val="it-IT"/>
              </w:rPr>
              <w:t>/</w:t>
            </w:r>
            <w:proofErr w:type="spellStart"/>
            <w:r w:rsidR="00A44D99" w:rsidRPr="00E41F45">
              <w:rPr>
                <w:rFonts w:ascii="Cambria" w:hAnsi="Cambria" w:cs="Calibri"/>
                <w:lang w:val="it-IT"/>
              </w:rPr>
              <w:t>asistentom</w:t>
            </w:r>
            <w:proofErr w:type="spellEnd"/>
          </w:p>
          <w:p w14:paraId="68EBDFD5" w14:textId="77777777" w:rsidR="00E41F45" w:rsidRDefault="00E41F45" w:rsidP="00E41F45">
            <w:pPr>
              <w:spacing w:after="0" w:line="240" w:lineRule="auto"/>
              <w:rPr>
                <w:rFonts w:ascii="Cambria" w:hAnsi="Cambria" w:cs="Calibri"/>
                <w:lang w:val="it-IT"/>
              </w:rPr>
            </w:pPr>
            <w:r>
              <w:rPr>
                <w:rFonts w:ascii="Cambria" w:hAnsi="Cambria" w:cs="Calibri"/>
                <w:lang w:val="it-IT"/>
              </w:rPr>
              <w:t xml:space="preserve">3. </w:t>
            </w:r>
            <w:proofErr w:type="spellStart"/>
            <w:r w:rsidR="00A44D99" w:rsidRPr="00E41F45">
              <w:rPr>
                <w:rFonts w:ascii="Cambria" w:hAnsi="Cambria" w:cs="Calibri"/>
                <w:lang w:val="it-IT"/>
              </w:rPr>
              <w:t>održati</w:t>
            </w:r>
            <w:proofErr w:type="spellEnd"/>
            <w:r w:rsidR="00A44D99" w:rsidRPr="00E41F45">
              <w:rPr>
                <w:rFonts w:ascii="Cambria" w:hAnsi="Cambria" w:cs="Calibri"/>
                <w:lang w:val="it-IT"/>
              </w:rPr>
              <w:t xml:space="preserve"> </w:t>
            </w:r>
            <w:proofErr w:type="spellStart"/>
            <w:r w:rsidR="00A44D99" w:rsidRPr="00E41F45">
              <w:rPr>
                <w:rFonts w:ascii="Cambria" w:hAnsi="Cambria" w:cs="Calibri"/>
                <w:lang w:val="it-IT"/>
              </w:rPr>
              <w:t>dva</w:t>
            </w:r>
            <w:proofErr w:type="spellEnd"/>
            <w:r w:rsidR="00A44D99" w:rsidRPr="00E41F45">
              <w:rPr>
                <w:rFonts w:ascii="Cambria" w:hAnsi="Cambria" w:cs="Calibri"/>
                <w:lang w:val="it-IT"/>
              </w:rPr>
              <w:t xml:space="preserve"> </w:t>
            </w:r>
            <w:proofErr w:type="spellStart"/>
            <w:r w:rsidR="00A44D99" w:rsidRPr="00E41F45">
              <w:rPr>
                <w:rFonts w:ascii="Cambria" w:hAnsi="Cambria" w:cs="Calibri"/>
                <w:lang w:val="it-IT"/>
              </w:rPr>
              <w:t>nastavna</w:t>
            </w:r>
            <w:proofErr w:type="spellEnd"/>
            <w:r w:rsidR="00A44D99" w:rsidRPr="00E41F45">
              <w:rPr>
                <w:rFonts w:ascii="Cambria" w:hAnsi="Cambria" w:cs="Calibri"/>
                <w:lang w:val="it-IT"/>
              </w:rPr>
              <w:t xml:space="preserve"> </w:t>
            </w:r>
            <w:proofErr w:type="spellStart"/>
            <w:r w:rsidR="00A44D99" w:rsidRPr="00E41F45">
              <w:rPr>
                <w:rFonts w:ascii="Cambria" w:hAnsi="Cambria" w:cs="Calibri"/>
                <w:lang w:val="it-IT"/>
              </w:rPr>
              <w:t>sata</w:t>
            </w:r>
            <w:proofErr w:type="spellEnd"/>
          </w:p>
          <w:p w14:paraId="52A07340" w14:textId="11565B41" w:rsidR="00A44D99" w:rsidRPr="00E41F45" w:rsidRDefault="00E41F45" w:rsidP="00E41F45">
            <w:pPr>
              <w:spacing w:after="0" w:line="240" w:lineRule="auto"/>
              <w:rPr>
                <w:rFonts w:ascii="Cambria" w:hAnsi="Cambria" w:cs="Calibri"/>
                <w:lang w:val="it-IT"/>
              </w:rPr>
            </w:pPr>
            <w:r w:rsidRPr="00E41F45">
              <w:rPr>
                <w:rFonts w:ascii="Cambria" w:hAnsi="Cambria" w:cs="Calibri"/>
                <w:lang w:val="it-IT"/>
              </w:rPr>
              <w:t xml:space="preserve">4. </w:t>
            </w:r>
            <w:proofErr w:type="spellStart"/>
            <w:r>
              <w:rPr>
                <w:rFonts w:ascii="Cambria" w:hAnsi="Cambria" w:cs="Calibri"/>
                <w:lang w:val="it-IT"/>
              </w:rPr>
              <w:t>p</w:t>
            </w:r>
            <w:r w:rsidR="00A44D99" w:rsidRPr="00E41F45">
              <w:rPr>
                <w:rFonts w:ascii="Cambria" w:hAnsi="Cambria" w:cs="Calibri"/>
                <w:lang w:val="it-IT"/>
              </w:rPr>
              <w:t>ristupiti</w:t>
            </w:r>
            <w:proofErr w:type="spellEnd"/>
            <w:r w:rsidR="00A44D99" w:rsidRPr="00E41F45">
              <w:rPr>
                <w:rFonts w:ascii="Cambria" w:hAnsi="Cambria" w:cs="Calibri"/>
                <w:lang w:val="it-IT"/>
              </w:rPr>
              <w:t xml:space="preserve"> </w:t>
            </w:r>
            <w:proofErr w:type="spellStart"/>
            <w:r w:rsidR="00A44D99" w:rsidRPr="00E41F45">
              <w:rPr>
                <w:rFonts w:ascii="Cambria" w:hAnsi="Cambria" w:cs="Calibri"/>
                <w:lang w:val="it-IT"/>
              </w:rPr>
              <w:t>kolokviju</w:t>
            </w:r>
            <w:proofErr w:type="spellEnd"/>
            <w:r w:rsidR="00A44D99" w:rsidRPr="00E41F45">
              <w:rPr>
                <w:rFonts w:ascii="Cambria" w:hAnsi="Cambria" w:cs="Calibri"/>
                <w:lang w:val="it-IT"/>
              </w:rPr>
              <w:t xml:space="preserve"> i </w:t>
            </w:r>
            <w:proofErr w:type="spellStart"/>
            <w:r w:rsidR="00A44D99" w:rsidRPr="00E41F45">
              <w:rPr>
                <w:rFonts w:ascii="Cambria" w:hAnsi="Cambria" w:cs="Calibri"/>
                <w:lang w:val="it-IT"/>
              </w:rPr>
              <w:t>položiti</w:t>
            </w:r>
            <w:proofErr w:type="spellEnd"/>
            <w:r w:rsidR="00A44D99" w:rsidRPr="00E41F45">
              <w:rPr>
                <w:rFonts w:ascii="Cambria" w:hAnsi="Cambria" w:cs="Calibri"/>
                <w:lang w:val="it-IT"/>
              </w:rPr>
              <w:t xml:space="preserve"> </w:t>
            </w:r>
            <w:proofErr w:type="spellStart"/>
            <w:r w:rsidR="00A44D99" w:rsidRPr="00E41F45">
              <w:rPr>
                <w:rFonts w:ascii="Cambria" w:hAnsi="Cambria" w:cs="Calibri"/>
                <w:lang w:val="it-IT"/>
              </w:rPr>
              <w:t>ga</w:t>
            </w:r>
            <w:proofErr w:type="spellEnd"/>
            <w:r>
              <w:rPr>
                <w:rFonts w:ascii="Cambria" w:hAnsi="Cambria" w:cs="Calibri"/>
                <w:lang w:val="it-IT"/>
              </w:rPr>
              <w:t xml:space="preserve">. </w:t>
            </w:r>
          </w:p>
        </w:tc>
      </w:tr>
      <w:tr w:rsidR="00A44D99" w:rsidRPr="00DF4CE5" w14:paraId="256A414D" w14:textId="77777777" w:rsidTr="00891E8C">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CE23DD4" w14:textId="77777777" w:rsidR="00A44D99" w:rsidRPr="00DF4CE5" w:rsidRDefault="00A44D99" w:rsidP="00891E8C">
            <w:pPr>
              <w:rPr>
                <w:rFonts w:ascii="Cambria" w:hAnsi="Cambria" w:cs="Calibri"/>
              </w:rPr>
            </w:pPr>
            <w:proofErr w:type="spellStart"/>
            <w:r w:rsidRPr="00DF4CE5">
              <w:rPr>
                <w:rFonts w:ascii="Cambria" w:hAnsi="Cambria" w:cs="Calibri"/>
              </w:rPr>
              <w:t>Rokovi</w:t>
            </w:r>
            <w:proofErr w:type="spellEnd"/>
            <w:r w:rsidRPr="00DF4CE5">
              <w:rPr>
                <w:rFonts w:ascii="Cambria" w:hAnsi="Cambria" w:cs="Calibri"/>
              </w:rPr>
              <w:t xml:space="preserve"> </w:t>
            </w:r>
            <w:proofErr w:type="spellStart"/>
            <w:r w:rsidRPr="00DF4CE5">
              <w:rPr>
                <w:rFonts w:ascii="Cambria" w:hAnsi="Cambria" w:cs="Calibri"/>
              </w:rPr>
              <w:t>ispita</w:t>
            </w:r>
            <w:proofErr w:type="spellEnd"/>
            <w:r w:rsidRPr="00DF4CE5">
              <w:rPr>
                <w:rFonts w:ascii="Cambria" w:hAnsi="Cambria" w:cs="Calibri"/>
              </w:rPr>
              <w:t xml:space="preserve"> </w:t>
            </w:r>
            <w:proofErr w:type="spellStart"/>
            <w:r w:rsidRPr="00DF4CE5">
              <w:rPr>
                <w:rFonts w:ascii="Cambria" w:hAnsi="Cambria" w:cs="Calibri"/>
              </w:rPr>
              <w:t>i</w:t>
            </w:r>
            <w:proofErr w:type="spellEnd"/>
            <w:r w:rsidRPr="00DF4CE5">
              <w:rPr>
                <w:rFonts w:ascii="Cambria" w:hAnsi="Cambria" w:cs="Calibri"/>
              </w:rPr>
              <w:t xml:space="preserve"> </w:t>
            </w:r>
            <w:proofErr w:type="spellStart"/>
            <w:r w:rsidRPr="00DF4CE5">
              <w:rPr>
                <w:rFonts w:ascii="Cambria" w:hAnsi="Cambria" w:cs="Calibri"/>
              </w:rPr>
              <w:t>kolokvija</w:t>
            </w:r>
            <w:proofErr w:type="spellEnd"/>
          </w:p>
        </w:tc>
        <w:tc>
          <w:tcPr>
            <w:tcW w:w="651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E6AE1EE" w14:textId="77777777" w:rsidR="00A44D99" w:rsidRPr="00DF4CE5" w:rsidRDefault="00A44D99" w:rsidP="00E41F45">
            <w:pPr>
              <w:spacing w:after="0" w:line="240" w:lineRule="auto"/>
              <w:rPr>
                <w:rFonts w:ascii="Cambria" w:hAnsi="Cambria" w:cs="Calibri"/>
              </w:rPr>
            </w:pPr>
            <w:r w:rsidRPr="00DF4CE5">
              <w:rPr>
                <w:rFonts w:ascii="Cambria" w:hAnsi="Cambria" w:cs="Calibri"/>
              </w:rPr>
              <w:t xml:space="preserve">Daju se </w:t>
            </w:r>
            <w:proofErr w:type="spellStart"/>
            <w:r w:rsidRPr="00DF4CE5">
              <w:rPr>
                <w:rFonts w:ascii="Cambria" w:hAnsi="Cambria" w:cs="Calibri"/>
              </w:rPr>
              <w:t>na</w:t>
            </w:r>
            <w:proofErr w:type="spellEnd"/>
            <w:r w:rsidRPr="00DF4CE5">
              <w:rPr>
                <w:rFonts w:ascii="Cambria" w:hAnsi="Cambria" w:cs="Calibri"/>
              </w:rPr>
              <w:t xml:space="preserve"> </w:t>
            </w:r>
            <w:proofErr w:type="spellStart"/>
            <w:r w:rsidRPr="00DF4CE5">
              <w:rPr>
                <w:rFonts w:ascii="Cambria" w:hAnsi="Cambria" w:cs="Calibri"/>
              </w:rPr>
              <w:t>početku</w:t>
            </w:r>
            <w:proofErr w:type="spellEnd"/>
            <w:r w:rsidRPr="00DF4CE5">
              <w:rPr>
                <w:rFonts w:ascii="Cambria" w:hAnsi="Cambria" w:cs="Calibri"/>
              </w:rPr>
              <w:t xml:space="preserve"> </w:t>
            </w:r>
            <w:proofErr w:type="spellStart"/>
            <w:r w:rsidRPr="00DF4CE5">
              <w:rPr>
                <w:rFonts w:ascii="Cambria" w:hAnsi="Cambria" w:cs="Calibri"/>
              </w:rPr>
              <w:t>akademske</w:t>
            </w:r>
            <w:proofErr w:type="spellEnd"/>
            <w:r w:rsidRPr="00DF4CE5">
              <w:rPr>
                <w:rFonts w:ascii="Cambria" w:hAnsi="Cambria" w:cs="Calibri"/>
              </w:rPr>
              <w:t xml:space="preserve"> </w:t>
            </w:r>
            <w:proofErr w:type="spellStart"/>
            <w:r w:rsidRPr="00DF4CE5">
              <w:rPr>
                <w:rFonts w:ascii="Cambria" w:hAnsi="Cambria" w:cs="Calibri"/>
              </w:rPr>
              <w:t>godine</w:t>
            </w:r>
            <w:proofErr w:type="spellEnd"/>
            <w:r w:rsidRPr="00DF4CE5">
              <w:rPr>
                <w:rFonts w:ascii="Cambria" w:hAnsi="Cambria" w:cs="Calibri"/>
              </w:rPr>
              <w:t xml:space="preserve">, </w:t>
            </w:r>
            <w:proofErr w:type="spellStart"/>
            <w:r w:rsidRPr="00DF4CE5">
              <w:rPr>
                <w:rFonts w:ascii="Cambria" w:hAnsi="Cambria" w:cs="Calibri"/>
              </w:rPr>
              <w:t>objavljuju</w:t>
            </w:r>
            <w:proofErr w:type="spellEnd"/>
            <w:r w:rsidRPr="00DF4CE5">
              <w:rPr>
                <w:rFonts w:ascii="Cambria" w:hAnsi="Cambria" w:cs="Calibri"/>
              </w:rPr>
              <w:t xml:space="preserve"> se </w:t>
            </w:r>
            <w:proofErr w:type="spellStart"/>
            <w:r w:rsidRPr="00DF4CE5">
              <w:rPr>
                <w:rFonts w:ascii="Cambria" w:hAnsi="Cambria" w:cs="Calibri"/>
              </w:rPr>
              <w:t>na</w:t>
            </w:r>
            <w:proofErr w:type="spellEnd"/>
            <w:r w:rsidRPr="00DF4CE5">
              <w:rPr>
                <w:rFonts w:ascii="Cambria" w:hAnsi="Cambria" w:cs="Calibri"/>
              </w:rPr>
              <w:t xml:space="preserve"> </w:t>
            </w:r>
            <w:proofErr w:type="spellStart"/>
            <w:r w:rsidRPr="00DF4CE5">
              <w:rPr>
                <w:rFonts w:ascii="Cambria" w:hAnsi="Cambria" w:cs="Calibri"/>
              </w:rPr>
              <w:t>mrežnim</w:t>
            </w:r>
            <w:proofErr w:type="spellEnd"/>
            <w:r w:rsidRPr="00DF4CE5">
              <w:rPr>
                <w:rFonts w:ascii="Cambria" w:hAnsi="Cambria" w:cs="Calibri"/>
              </w:rPr>
              <w:t xml:space="preserve"> </w:t>
            </w:r>
            <w:proofErr w:type="spellStart"/>
            <w:r w:rsidRPr="00DF4CE5">
              <w:rPr>
                <w:rFonts w:ascii="Cambria" w:hAnsi="Cambria" w:cs="Calibri"/>
              </w:rPr>
              <w:t>stranicama</w:t>
            </w:r>
            <w:proofErr w:type="spellEnd"/>
            <w:r w:rsidRPr="00DF4CE5">
              <w:rPr>
                <w:rFonts w:ascii="Cambria" w:hAnsi="Cambria" w:cs="Calibri"/>
              </w:rPr>
              <w:t xml:space="preserve"> </w:t>
            </w:r>
            <w:proofErr w:type="spellStart"/>
            <w:r w:rsidRPr="00DF4CE5">
              <w:rPr>
                <w:rFonts w:ascii="Cambria" w:hAnsi="Cambria" w:cs="Calibri"/>
              </w:rPr>
              <w:t>Sveučilišta</w:t>
            </w:r>
            <w:proofErr w:type="spellEnd"/>
            <w:r w:rsidRPr="00DF4CE5">
              <w:rPr>
                <w:rFonts w:ascii="Cambria" w:hAnsi="Cambria" w:cs="Calibri"/>
              </w:rPr>
              <w:t xml:space="preserve"> </w:t>
            </w:r>
            <w:proofErr w:type="spellStart"/>
            <w:r w:rsidRPr="00DF4CE5">
              <w:rPr>
                <w:rFonts w:ascii="Cambria" w:hAnsi="Cambria" w:cs="Calibri"/>
              </w:rPr>
              <w:t>i</w:t>
            </w:r>
            <w:proofErr w:type="spellEnd"/>
            <w:r w:rsidRPr="00DF4CE5">
              <w:rPr>
                <w:rFonts w:ascii="Cambria" w:hAnsi="Cambria" w:cs="Calibri"/>
              </w:rPr>
              <w:t xml:space="preserve"> u ISVU. </w:t>
            </w:r>
          </w:p>
        </w:tc>
      </w:tr>
      <w:tr w:rsidR="00A44D99" w:rsidRPr="00D0399C" w14:paraId="747C796E" w14:textId="77777777" w:rsidTr="00891E8C">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857F8A4" w14:textId="77777777" w:rsidR="00A44D99" w:rsidRPr="00DF4CE5" w:rsidRDefault="00A44D99" w:rsidP="00891E8C">
            <w:pPr>
              <w:rPr>
                <w:rFonts w:ascii="Cambria" w:hAnsi="Cambria" w:cs="Calibri"/>
                <w:lang w:val="it-IT"/>
              </w:rPr>
            </w:pPr>
            <w:r w:rsidRPr="00DF4CE5">
              <w:rPr>
                <w:rFonts w:ascii="Cambria" w:hAnsi="Cambria" w:cs="Calibri"/>
                <w:lang w:val="it-IT"/>
              </w:rPr>
              <w:t xml:space="preserve">Ostale </w:t>
            </w:r>
            <w:proofErr w:type="spellStart"/>
            <w:r w:rsidRPr="00DF4CE5">
              <w:rPr>
                <w:rFonts w:ascii="Cambria" w:hAnsi="Cambria" w:cs="Calibri"/>
                <w:lang w:val="it-IT"/>
              </w:rPr>
              <w:t>važne</w:t>
            </w:r>
            <w:proofErr w:type="spellEnd"/>
            <w:r w:rsidRPr="00DF4CE5">
              <w:rPr>
                <w:rFonts w:ascii="Cambria" w:hAnsi="Cambria" w:cs="Calibri"/>
                <w:lang w:val="it-IT"/>
              </w:rPr>
              <w:t xml:space="preserve"> </w:t>
            </w:r>
            <w:proofErr w:type="spellStart"/>
            <w:r w:rsidRPr="00DF4CE5">
              <w:rPr>
                <w:rFonts w:ascii="Cambria" w:hAnsi="Cambria" w:cs="Calibri"/>
                <w:lang w:val="it-IT"/>
              </w:rPr>
              <w:t>činjenice</w:t>
            </w:r>
            <w:proofErr w:type="spellEnd"/>
            <w:r w:rsidRPr="00DF4CE5">
              <w:rPr>
                <w:rFonts w:ascii="Cambria" w:hAnsi="Cambria" w:cs="Calibri"/>
                <w:lang w:val="it-IT"/>
              </w:rPr>
              <w:t xml:space="preserve"> </w:t>
            </w:r>
            <w:proofErr w:type="spellStart"/>
            <w:r w:rsidRPr="00DF4CE5">
              <w:rPr>
                <w:rFonts w:ascii="Cambria" w:hAnsi="Cambria" w:cs="Calibri"/>
                <w:lang w:val="it-IT"/>
              </w:rPr>
              <w:t>vezane</w:t>
            </w:r>
            <w:proofErr w:type="spellEnd"/>
            <w:r w:rsidRPr="00DF4CE5">
              <w:rPr>
                <w:rFonts w:ascii="Cambria" w:hAnsi="Cambria" w:cs="Calibri"/>
                <w:lang w:val="it-IT"/>
              </w:rPr>
              <w:t xml:space="preserve"> </w:t>
            </w:r>
            <w:proofErr w:type="spellStart"/>
            <w:r w:rsidRPr="00DF4CE5">
              <w:rPr>
                <w:rFonts w:ascii="Cambria" w:hAnsi="Cambria" w:cs="Calibri"/>
                <w:lang w:val="it-IT"/>
              </w:rPr>
              <w:t>uz</w:t>
            </w:r>
            <w:proofErr w:type="spellEnd"/>
            <w:r w:rsidRPr="00DF4CE5">
              <w:rPr>
                <w:rFonts w:ascii="Cambria" w:hAnsi="Cambria" w:cs="Calibri"/>
                <w:lang w:val="it-IT"/>
              </w:rPr>
              <w:t xml:space="preserve"> </w:t>
            </w:r>
            <w:proofErr w:type="spellStart"/>
            <w:r w:rsidRPr="00DF4CE5">
              <w:rPr>
                <w:rFonts w:ascii="Cambria" w:hAnsi="Cambria" w:cs="Calibri"/>
                <w:lang w:val="it-IT"/>
              </w:rPr>
              <w:t>kolegij</w:t>
            </w:r>
            <w:proofErr w:type="spellEnd"/>
          </w:p>
        </w:tc>
        <w:tc>
          <w:tcPr>
            <w:tcW w:w="651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1EAAB54" w14:textId="77777777" w:rsidR="00A44D99" w:rsidRPr="00DF4CE5" w:rsidRDefault="00A44D99" w:rsidP="00E41F45">
            <w:pPr>
              <w:spacing w:after="0" w:line="240" w:lineRule="auto"/>
              <w:rPr>
                <w:rFonts w:ascii="Cambria" w:hAnsi="Cambria" w:cs="Calibri"/>
                <w:lang w:val="it-IT"/>
              </w:rPr>
            </w:pPr>
            <w:proofErr w:type="spellStart"/>
            <w:r w:rsidRPr="00DF4CE5">
              <w:rPr>
                <w:rFonts w:ascii="Cambria" w:hAnsi="Cambria" w:cs="Calibri"/>
                <w:lang w:val="it-IT"/>
              </w:rPr>
              <w:t>Bodovi</w:t>
            </w:r>
            <w:proofErr w:type="spellEnd"/>
            <w:r w:rsidRPr="00DF4CE5">
              <w:rPr>
                <w:rFonts w:ascii="Cambria" w:hAnsi="Cambria" w:cs="Calibri"/>
                <w:lang w:val="it-IT"/>
              </w:rPr>
              <w:t xml:space="preserve"> se </w:t>
            </w:r>
            <w:proofErr w:type="spellStart"/>
            <w:r w:rsidRPr="00DF4CE5">
              <w:rPr>
                <w:rFonts w:ascii="Cambria" w:hAnsi="Cambria" w:cs="Calibri"/>
                <w:lang w:val="it-IT"/>
              </w:rPr>
              <w:t>prikupljaju</w:t>
            </w:r>
            <w:proofErr w:type="spellEnd"/>
            <w:r w:rsidRPr="00DF4CE5">
              <w:rPr>
                <w:rFonts w:ascii="Cambria" w:hAnsi="Cambria" w:cs="Calibri"/>
                <w:lang w:val="it-IT"/>
              </w:rPr>
              <w:t xml:space="preserve"> </w:t>
            </w:r>
            <w:proofErr w:type="spellStart"/>
            <w:r w:rsidRPr="00DF4CE5">
              <w:rPr>
                <w:rFonts w:ascii="Cambria" w:hAnsi="Cambria" w:cs="Calibri"/>
                <w:lang w:val="it-IT"/>
              </w:rPr>
              <w:t>tijekom</w:t>
            </w:r>
            <w:proofErr w:type="spellEnd"/>
            <w:r w:rsidRPr="00DF4CE5">
              <w:rPr>
                <w:rFonts w:ascii="Cambria" w:hAnsi="Cambria" w:cs="Calibri"/>
                <w:lang w:val="it-IT"/>
              </w:rPr>
              <w:t xml:space="preserve"> </w:t>
            </w:r>
            <w:proofErr w:type="spellStart"/>
            <w:r w:rsidRPr="00DF4CE5">
              <w:rPr>
                <w:rFonts w:ascii="Cambria" w:hAnsi="Cambria" w:cs="Calibri"/>
                <w:lang w:val="it-IT"/>
              </w:rPr>
              <w:t>nastave</w:t>
            </w:r>
            <w:proofErr w:type="spellEnd"/>
            <w:r w:rsidRPr="00DF4CE5">
              <w:rPr>
                <w:rFonts w:ascii="Cambria" w:hAnsi="Cambria" w:cs="Calibri"/>
                <w:lang w:val="it-IT"/>
              </w:rPr>
              <w:t xml:space="preserve">, </w:t>
            </w:r>
            <w:proofErr w:type="spellStart"/>
            <w:r w:rsidRPr="00DF4CE5">
              <w:rPr>
                <w:rFonts w:ascii="Cambria" w:hAnsi="Cambria" w:cs="Calibri"/>
                <w:lang w:val="it-IT"/>
              </w:rPr>
              <w:t>na</w:t>
            </w:r>
            <w:proofErr w:type="spellEnd"/>
            <w:r w:rsidRPr="00DF4CE5">
              <w:rPr>
                <w:rFonts w:ascii="Cambria" w:hAnsi="Cambria" w:cs="Calibri"/>
                <w:lang w:val="it-IT"/>
              </w:rPr>
              <w:t xml:space="preserve"> </w:t>
            </w:r>
            <w:proofErr w:type="spellStart"/>
            <w:r w:rsidRPr="00DF4CE5">
              <w:rPr>
                <w:rFonts w:ascii="Cambria" w:hAnsi="Cambria" w:cs="Calibri"/>
                <w:lang w:val="it-IT"/>
              </w:rPr>
              <w:t>projektima</w:t>
            </w:r>
            <w:proofErr w:type="spellEnd"/>
            <w:r w:rsidRPr="00DF4CE5">
              <w:rPr>
                <w:rFonts w:ascii="Cambria" w:hAnsi="Cambria" w:cs="Calibri"/>
                <w:lang w:val="it-IT"/>
              </w:rPr>
              <w:t xml:space="preserve"> i </w:t>
            </w:r>
            <w:proofErr w:type="spellStart"/>
            <w:r w:rsidRPr="00DF4CE5">
              <w:rPr>
                <w:rFonts w:ascii="Cambria" w:hAnsi="Cambria" w:cs="Calibri"/>
                <w:lang w:val="it-IT"/>
              </w:rPr>
              <w:t>kolokviju</w:t>
            </w:r>
            <w:proofErr w:type="spellEnd"/>
            <w:r w:rsidRPr="00DF4CE5">
              <w:rPr>
                <w:rFonts w:ascii="Cambria" w:hAnsi="Cambria" w:cs="Calibri"/>
                <w:lang w:val="it-IT"/>
              </w:rPr>
              <w:t>.</w:t>
            </w:r>
          </w:p>
          <w:p w14:paraId="02BBAA2F" w14:textId="77777777" w:rsidR="00A44D99" w:rsidRPr="00DF4CE5" w:rsidRDefault="00A44D99" w:rsidP="00E41F45">
            <w:pPr>
              <w:spacing w:after="0" w:line="240" w:lineRule="auto"/>
              <w:rPr>
                <w:rFonts w:ascii="Cambria" w:hAnsi="Cambria" w:cs="Calibri"/>
                <w:lang w:val="it-IT"/>
              </w:rPr>
            </w:pPr>
            <w:proofErr w:type="spellStart"/>
            <w:r w:rsidRPr="00DF4CE5">
              <w:rPr>
                <w:rFonts w:ascii="Cambria" w:hAnsi="Cambria" w:cs="Calibri"/>
                <w:lang w:val="it-IT"/>
              </w:rPr>
              <w:t>Završnom</w:t>
            </w:r>
            <w:proofErr w:type="spellEnd"/>
            <w:r w:rsidRPr="00DF4CE5">
              <w:rPr>
                <w:rFonts w:ascii="Cambria" w:hAnsi="Cambria" w:cs="Calibri"/>
                <w:lang w:val="it-IT"/>
              </w:rPr>
              <w:t xml:space="preserve"> </w:t>
            </w:r>
            <w:proofErr w:type="spellStart"/>
            <w:r w:rsidRPr="00DF4CE5">
              <w:rPr>
                <w:rFonts w:ascii="Cambria" w:hAnsi="Cambria" w:cs="Calibri"/>
                <w:lang w:val="it-IT"/>
              </w:rPr>
              <w:t>ispitu</w:t>
            </w:r>
            <w:proofErr w:type="spellEnd"/>
            <w:r w:rsidRPr="00DF4CE5">
              <w:rPr>
                <w:rFonts w:ascii="Cambria" w:hAnsi="Cambria" w:cs="Calibri"/>
                <w:lang w:val="it-IT"/>
              </w:rPr>
              <w:t xml:space="preserve"> ili </w:t>
            </w:r>
            <w:proofErr w:type="spellStart"/>
            <w:r w:rsidRPr="00DF4CE5">
              <w:rPr>
                <w:rFonts w:ascii="Cambria" w:hAnsi="Cambria" w:cs="Calibri"/>
                <w:lang w:val="it-IT"/>
              </w:rPr>
              <w:t>ispitu</w:t>
            </w:r>
            <w:proofErr w:type="spellEnd"/>
            <w:r w:rsidRPr="00DF4CE5">
              <w:rPr>
                <w:rFonts w:ascii="Cambria" w:hAnsi="Cambria" w:cs="Calibri"/>
                <w:lang w:val="it-IT"/>
              </w:rPr>
              <w:t xml:space="preserve"> se </w:t>
            </w:r>
            <w:proofErr w:type="spellStart"/>
            <w:r w:rsidRPr="00DF4CE5">
              <w:rPr>
                <w:rFonts w:ascii="Cambria" w:hAnsi="Cambria" w:cs="Calibri"/>
                <w:lang w:val="it-IT"/>
              </w:rPr>
              <w:t>pristupa</w:t>
            </w:r>
            <w:proofErr w:type="spellEnd"/>
            <w:r w:rsidRPr="00DF4CE5">
              <w:rPr>
                <w:rFonts w:ascii="Cambria" w:hAnsi="Cambria" w:cs="Calibri"/>
                <w:lang w:val="it-IT"/>
              </w:rPr>
              <w:t xml:space="preserve"> </w:t>
            </w:r>
            <w:proofErr w:type="spellStart"/>
            <w:r w:rsidRPr="00DF4CE5">
              <w:rPr>
                <w:rFonts w:ascii="Cambria" w:hAnsi="Cambria" w:cs="Calibri"/>
                <w:lang w:val="it-IT"/>
              </w:rPr>
              <w:t>isključivo</w:t>
            </w:r>
            <w:proofErr w:type="spellEnd"/>
            <w:r w:rsidRPr="00DF4CE5">
              <w:rPr>
                <w:rFonts w:ascii="Cambria" w:hAnsi="Cambria" w:cs="Calibri"/>
                <w:lang w:val="it-IT"/>
              </w:rPr>
              <w:t xml:space="preserve"> </w:t>
            </w:r>
            <w:proofErr w:type="spellStart"/>
            <w:r w:rsidRPr="00DF4CE5">
              <w:rPr>
                <w:rFonts w:ascii="Cambria" w:hAnsi="Cambria" w:cs="Calibri"/>
                <w:lang w:val="it-IT"/>
              </w:rPr>
              <w:t>ukoliko</w:t>
            </w:r>
            <w:proofErr w:type="spellEnd"/>
            <w:r w:rsidRPr="00DF4CE5">
              <w:rPr>
                <w:rFonts w:ascii="Cambria" w:hAnsi="Cambria" w:cs="Calibri"/>
                <w:lang w:val="it-IT"/>
              </w:rPr>
              <w:t xml:space="preserve"> </w:t>
            </w:r>
            <w:proofErr w:type="spellStart"/>
            <w:r w:rsidRPr="00DF4CE5">
              <w:rPr>
                <w:rFonts w:ascii="Cambria" w:hAnsi="Cambria" w:cs="Calibri"/>
                <w:lang w:val="it-IT"/>
              </w:rPr>
              <w:t>student</w:t>
            </w:r>
            <w:proofErr w:type="spellEnd"/>
            <w:r w:rsidRPr="00DF4CE5">
              <w:rPr>
                <w:rFonts w:ascii="Cambria" w:hAnsi="Cambria" w:cs="Calibri"/>
                <w:lang w:val="it-IT"/>
              </w:rPr>
              <w:t xml:space="preserve"> </w:t>
            </w:r>
            <w:proofErr w:type="spellStart"/>
            <w:r w:rsidRPr="00DF4CE5">
              <w:rPr>
                <w:rFonts w:ascii="Cambria" w:hAnsi="Cambria" w:cs="Calibri"/>
                <w:lang w:val="it-IT"/>
              </w:rPr>
              <w:t>nije</w:t>
            </w:r>
            <w:proofErr w:type="spellEnd"/>
            <w:r w:rsidRPr="00DF4CE5">
              <w:rPr>
                <w:rFonts w:ascii="Cambria" w:hAnsi="Cambria" w:cs="Calibri"/>
                <w:lang w:val="it-IT"/>
              </w:rPr>
              <w:t xml:space="preserve"> </w:t>
            </w:r>
            <w:proofErr w:type="spellStart"/>
            <w:r w:rsidRPr="00DF4CE5">
              <w:rPr>
                <w:rFonts w:ascii="Cambria" w:hAnsi="Cambria" w:cs="Calibri"/>
                <w:lang w:val="it-IT"/>
              </w:rPr>
              <w:t>uspješno</w:t>
            </w:r>
            <w:proofErr w:type="spellEnd"/>
            <w:r w:rsidRPr="00DF4CE5">
              <w:rPr>
                <w:rFonts w:ascii="Cambria" w:hAnsi="Cambria" w:cs="Calibri"/>
                <w:lang w:val="it-IT"/>
              </w:rPr>
              <w:t xml:space="preserve"> </w:t>
            </w:r>
            <w:proofErr w:type="spellStart"/>
            <w:r w:rsidRPr="00DF4CE5">
              <w:rPr>
                <w:rFonts w:ascii="Cambria" w:hAnsi="Cambria" w:cs="Calibri"/>
                <w:lang w:val="it-IT"/>
              </w:rPr>
              <w:t>položio</w:t>
            </w:r>
            <w:proofErr w:type="spellEnd"/>
            <w:r w:rsidRPr="00DF4CE5">
              <w:rPr>
                <w:rFonts w:ascii="Cambria" w:hAnsi="Cambria" w:cs="Calibri"/>
                <w:lang w:val="it-IT"/>
              </w:rPr>
              <w:t xml:space="preserve"> </w:t>
            </w:r>
            <w:proofErr w:type="spellStart"/>
            <w:r w:rsidRPr="00DF4CE5">
              <w:rPr>
                <w:rFonts w:ascii="Cambria" w:hAnsi="Cambria" w:cs="Calibri"/>
                <w:lang w:val="it-IT"/>
              </w:rPr>
              <w:t>neki</w:t>
            </w:r>
            <w:proofErr w:type="spellEnd"/>
            <w:r w:rsidRPr="00DF4CE5">
              <w:rPr>
                <w:rFonts w:ascii="Cambria" w:hAnsi="Cambria" w:cs="Calibri"/>
                <w:lang w:val="it-IT"/>
              </w:rPr>
              <w:t xml:space="preserve"> od </w:t>
            </w:r>
            <w:proofErr w:type="spellStart"/>
            <w:r w:rsidRPr="00DF4CE5">
              <w:rPr>
                <w:rFonts w:ascii="Cambria" w:hAnsi="Cambria" w:cs="Calibri"/>
                <w:lang w:val="it-IT"/>
              </w:rPr>
              <w:t>elemenata</w:t>
            </w:r>
            <w:proofErr w:type="spellEnd"/>
            <w:r w:rsidRPr="00DF4CE5">
              <w:rPr>
                <w:rFonts w:ascii="Cambria" w:hAnsi="Cambria" w:cs="Calibri"/>
                <w:lang w:val="it-IT"/>
              </w:rPr>
              <w:t xml:space="preserve"> </w:t>
            </w:r>
            <w:proofErr w:type="spellStart"/>
            <w:r w:rsidRPr="00DF4CE5">
              <w:rPr>
                <w:rFonts w:ascii="Cambria" w:hAnsi="Cambria" w:cs="Calibri"/>
                <w:lang w:val="it-IT"/>
              </w:rPr>
              <w:t>ocjenjivanja</w:t>
            </w:r>
            <w:proofErr w:type="spellEnd"/>
            <w:r w:rsidRPr="00DF4CE5">
              <w:rPr>
                <w:rFonts w:ascii="Cambria" w:hAnsi="Cambria" w:cs="Calibri"/>
                <w:lang w:val="it-IT"/>
              </w:rPr>
              <w:t>.</w:t>
            </w:r>
          </w:p>
        </w:tc>
      </w:tr>
      <w:tr w:rsidR="00A44D99" w:rsidRPr="00B30379" w14:paraId="05474FC2" w14:textId="77777777" w:rsidTr="00891E8C">
        <w:trPr>
          <w:trHeight w:val="273"/>
        </w:trPr>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64B5F2E" w14:textId="77777777" w:rsidR="00A44D99" w:rsidRPr="00DF4CE5" w:rsidRDefault="00A44D99" w:rsidP="00891E8C">
            <w:pPr>
              <w:rPr>
                <w:rFonts w:ascii="Cambria" w:hAnsi="Cambria" w:cs="Calibri"/>
              </w:rPr>
            </w:pPr>
            <w:proofErr w:type="spellStart"/>
            <w:r w:rsidRPr="00DF4CE5">
              <w:rPr>
                <w:rFonts w:ascii="Cambria" w:hAnsi="Cambria" w:cs="Calibri"/>
              </w:rPr>
              <w:t>Literatura</w:t>
            </w:r>
            <w:proofErr w:type="spellEnd"/>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748F5FF8" w14:textId="77777777" w:rsidR="00A44D99" w:rsidRPr="00DF4CE5" w:rsidRDefault="00A44D99" w:rsidP="00E41F45">
            <w:pPr>
              <w:spacing w:after="0" w:line="240" w:lineRule="auto"/>
              <w:rPr>
                <w:rFonts w:ascii="Cambria" w:hAnsi="Cambria" w:cs="Calibri"/>
              </w:rPr>
            </w:pPr>
            <w:proofErr w:type="spellStart"/>
            <w:r w:rsidRPr="00DF4CE5">
              <w:rPr>
                <w:rFonts w:ascii="Cambria" w:hAnsi="Cambria" w:cs="Calibri"/>
              </w:rPr>
              <w:t>Obavezna</w:t>
            </w:r>
            <w:proofErr w:type="spellEnd"/>
            <w:r w:rsidRPr="00DF4CE5">
              <w:rPr>
                <w:rFonts w:ascii="Cambria" w:hAnsi="Cambria" w:cs="Calibri"/>
              </w:rPr>
              <w:t>:</w:t>
            </w:r>
          </w:p>
          <w:p w14:paraId="3B619B64" w14:textId="10B10361" w:rsidR="00A44D99" w:rsidRPr="00E46651" w:rsidRDefault="00E41F45" w:rsidP="00E41F45">
            <w:pPr>
              <w:spacing w:after="0" w:line="240" w:lineRule="auto"/>
              <w:rPr>
                <w:rFonts w:ascii="Cambria" w:hAnsi="Cambria" w:cs="Calibri"/>
                <w:lang w:val="it-IT"/>
              </w:rPr>
            </w:pPr>
            <w:r>
              <w:rPr>
                <w:rFonts w:ascii="Cambria" w:hAnsi="Cambria" w:cs="Calibri"/>
              </w:rPr>
              <w:t xml:space="preserve">1. </w:t>
            </w:r>
            <w:r w:rsidR="00A44D99" w:rsidRPr="00DF4CE5">
              <w:rPr>
                <w:rFonts w:ascii="Cambria" w:hAnsi="Cambria" w:cs="Calibri"/>
              </w:rPr>
              <w:t>Bakić Tomić, LJ., Dumančić, M</w:t>
            </w:r>
            <w:r w:rsidR="00E46651">
              <w:rPr>
                <w:rFonts w:ascii="Cambria" w:hAnsi="Cambria" w:cs="Calibri"/>
              </w:rPr>
              <w:t xml:space="preserve"> (2012).</w:t>
            </w:r>
            <w:r w:rsidR="00A44D99" w:rsidRPr="00DF4CE5">
              <w:rPr>
                <w:rFonts w:ascii="Cambria" w:hAnsi="Cambria" w:cs="Calibri"/>
              </w:rPr>
              <w:t xml:space="preserve"> </w:t>
            </w:r>
            <w:proofErr w:type="spellStart"/>
            <w:r w:rsidR="00A44D99" w:rsidRPr="00E46651">
              <w:rPr>
                <w:rFonts w:ascii="Cambria" w:hAnsi="Cambria" w:cs="Calibri"/>
                <w:lang w:val="it-IT"/>
              </w:rPr>
              <w:t>Odabrana</w:t>
            </w:r>
            <w:proofErr w:type="spellEnd"/>
            <w:r w:rsidR="00A44D99" w:rsidRPr="00E46651">
              <w:rPr>
                <w:rFonts w:ascii="Cambria" w:hAnsi="Cambria" w:cs="Calibri"/>
                <w:lang w:val="it-IT"/>
              </w:rPr>
              <w:t xml:space="preserve"> </w:t>
            </w:r>
            <w:proofErr w:type="spellStart"/>
            <w:r w:rsidR="00A44D99" w:rsidRPr="00E46651">
              <w:rPr>
                <w:rFonts w:ascii="Cambria" w:hAnsi="Cambria" w:cs="Calibri"/>
                <w:lang w:val="it-IT"/>
              </w:rPr>
              <w:t>poglavlja</w:t>
            </w:r>
            <w:proofErr w:type="spellEnd"/>
            <w:r w:rsidR="00A44D99" w:rsidRPr="00E46651">
              <w:rPr>
                <w:rFonts w:ascii="Cambria" w:hAnsi="Cambria" w:cs="Calibri"/>
                <w:lang w:val="it-IT"/>
              </w:rPr>
              <w:t xml:space="preserve"> </w:t>
            </w:r>
            <w:proofErr w:type="spellStart"/>
            <w:r w:rsidR="00A44D99" w:rsidRPr="00E46651">
              <w:rPr>
                <w:rFonts w:ascii="Cambria" w:hAnsi="Cambria" w:cs="Calibri"/>
                <w:lang w:val="it-IT"/>
              </w:rPr>
              <w:t>iz</w:t>
            </w:r>
            <w:proofErr w:type="spellEnd"/>
            <w:r w:rsidR="00A44D99" w:rsidRPr="00E46651">
              <w:rPr>
                <w:rFonts w:ascii="Cambria" w:hAnsi="Cambria" w:cs="Calibri"/>
                <w:lang w:val="it-IT"/>
              </w:rPr>
              <w:t xml:space="preserve"> </w:t>
            </w:r>
            <w:proofErr w:type="spellStart"/>
            <w:r w:rsidR="00A44D99" w:rsidRPr="00E46651">
              <w:rPr>
                <w:rFonts w:ascii="Cambria" w:hAnsi="Cambria" w:cs="Calibri"/>
                <w:lang w:val="it-IT"/>
              </w:rPr>
              <w:t>metodike</w:t>
            </w:r>
            <w:proofErr w:type="spellEnd"/>
            <w:r w:rsidR="00A44D99" w:rsidRPr="00E46651">
              <w:rPr>
                <w:rFonts w:ascii="Cambria" w:hAnsi="Cambria" w:cs="Calibri"/>
                <w:lang w:val="it-IT"/>
              </w:rPr>
              <w:t xml:space="preserve"> </w:t>
            </w:r>
            <w:proofErr w:type="spellStart"/>
            <w:r w:rsidR="00A44D99" w:rsidRPr="00E46651">
              <w:rPr>
                <w:rFonts w:ascii="Cambria" w:hAnsi="Cambria" w:cs="Calibri"/>
                <w:lang w:val="it-IT"/>
              </w:rPr>
              <w:t>nastave</w:t>
            </w:r>
            <w:proofErr w:type="spellEnd"/>
            <w:r w:rsidR="00A44D99" w:rsidRPr="00E46651">
              <w:rPr>
                <w:rFonts w:ascii="Cambria" w:hAnsi="Cambria" w:cs="Calibri"/>
                <w:lang w:val="it-IT"/>
              </w:rPr>
              <w:t xml:space="preserve"> </w:t>
            </w:r>
            <w:proofErr w:type="spellStart"/>
            <w:r w:rsidR="00A44D99" w:rsidRPr="00E46651">
              <w:rPr>
                <w:rFonts w:ascii="Cambria" w:hAnsi="Cambria" w:cs="Calibri"/>
                <w:lang w:val="it-IT"/>
              </w:rPr>
              <w:t>informatike</w:t>
            </w:r>
            <w:proofErr w:type="spellEnd"/>
            <w:r w:rsidR="00E46651" w:rsidRPr="00E46651">
              <w:rPr>
                <w:rFonts w:ascii="Cambria" w:hAnsi="Cambria" w:cs="Calibri"/>
                <w:lang w:val="it-IT"/>
              </w:rPr>
              <w:t xml:space="preserve">. </w:t>
            </w:r>
            <w:proofErr w:type="spellStart"/>
            <w:r w:rsidR="00A44D99" w:rsidRPr="00E46651">
              <w:rPr>
                <w:rFonts w:ascii="Cambria" w:hAnsi="Cambria" w:cs="Calibri"/>
                <w:lang w:val="it-IT"/>
              </w:rPr>
              <w:t>Sveučilište</w:t>
            </w:r>
            <w:proofErr w:type="spellEnd"/>
            <w:r w:rsidR="00A44D99" w:rsidRPr="00E46651">
              <w:rPr>
                <w:rFonts w:ascii="Cambria" w:hAnsi="Cambria" w:cs="Calibri"/>
                <w:lang w:val="it-IT"/>
              </w:rPr>
              <w:t xml:space="preserve"> u </w:t>
            </w:r>
            <w:proofErr w:type="spellStart"/>
            <w:r w:rsidR="00A44D99" w:rsidRPr="00E46651">
              <w:rPr>
                <w:rFonts w:ascii="Cambria" w:hAnsi="Cambria" w:cs="Calibri"/>
                <w:lang w:val="it-IT"/>
              </w:rPr>
              <w:t>Zagrebu</w:t>
            </w:r>
            <w:proofErr w:type="spellEnd"/>
            <w:r w:rsidR="00A44D99" w:rsidRPr="00E46651">
              <w:rPr>
                <w:rFonts w:ascii="Cambria" w:hAnsi="Cambria" w:cs="Calibri"/>
                <w:lang w:val="it-IT"/>
              </w:rPr>
              <w:t xml:space="preserve">, UFZG, </w:t>
            </w:r>
            <w:proofErr w:type="spellStart"/>
            <w:r w:rsidR="00A44D99" w:rsidRPr="00E46651">
              <w:rPr>
                <w:rFonts w:ascii="Cambria" w:hAnsi="Cambria" w:cs="Calibri"/>
                <w:lang w:val="it-IT"/>
              </w:rPr>
              <w:t>Skripta</w:t>
            </w:r>
            <w:proofErr w:type="spellEnd"/>
          </w:p>
          <w:p w14:paraId="2A930D31" w14:textId="7C457BF3" w:rsidR="00A44D99" w:rsidRPr="00E46651" w:rsidRDefault="00E46651" w:rsidP="00E41F45">
            <w:pPr>
              <w:spacing w:after="0" w:line="240" w:lineRule="auto"/>
              <w:rPr>
                <w:rFonts w:ascii="Cambria" w:hAnsi="Cambria" w:cs="Calibri"/>
                <w:lang w:val="it-IT"/>
              </w:rPr>
            </w:pPr>
            <w:r w:rsidRPr="00E46651">
              <w:rPr>
                <w:rFonts w:ascii="Cambria" w:hAnsi="Cambria" w:cs="Calibri"/>
                <w:lang w:val="it-IT"/>
              </w:rPr>
              <w:t xml:space="preserve">2. </w:t>
            </w:r>
            <w:proofErr w:type="spellStart"/>
            <w:r w:rsidR="00A44D99" w:rsidRPr="00E46651">
              <w:rPr>
                <w:rFonts w:ascii="Cambria" w:hAnsi="Cambria" w:cs="Calibri"/>
                <w:lang w:val="it-IT"/>
              </w:rPr>
              <w:t>eSfera</w:t>
            </w:r>
            <w:proofErr w:type="spellEnd"/>
            <w:r w:rsidR="00A44D99" w:rsidRPr="00E46651">
              <w:rPr>
                <w:rFonts w:ascii="Cambria" w:hAnsi="Cambria" w:cs="Calibri"/>
                <w:lang w:val="it-IT"/>
              </w:rPr>
              <w:t xml:space="preserve"> – </w:t>
            </w:r>
            <w:proofErr w:type="spellStart"/>
            <w:r w:rsidR="00A44D99" w:rsidRPr="00E46651">
              <w:rPr>
                <w:rFonts w:ascii="Cambria" w:hAnsi="Cambria" w:cs="Calibri"/>
                <w:lang w:val="it-IT"/>
              </w:rPr>
              <w:t>Udžbenici</w:t>
            </w:r>
            <w:proofErr w:type="spellEnd"/>
            <w:r w:rsidR="00A44D99" w:rsidRPr="00E46651">
              <w:rPr>
                <w:rFonts w:ascii="Cambria" w:hAnsi="Cambria" w:cs="Calibri"/>
                <w:lang w:val="it-IT"/>
              </w:rPr>
              <w:t xml:space="preserve"> za </w:t>
            </w:r>
            <w:proofErr w:type="spellStart"/>
            <w:proofErr w:type="gramStart"/>
            <w:r w:rsidR="00A44D99" w:rsidRPr="00E46651">
              <w:rPr>
                <w:rFonts w:ascii="Cambria" w:hAnsi="Cambria" w:cs="Calibri"/>
                <w:lang w:val="it-IT"/>
              </w:rPr>
              <w:t>nastavnu</w:t>
            </w:r>
            <w:proofErr w:type="spellEnd"/>
            <w:r w:rsidR="00A44D99" w:rsidRPr="00E46651">
              <w:rPr>
                <w:rFonts w:ascii="Cambria" w:hAnsi="Cambria" w:cs="Calibri"/>
                <w:lang w:val="it-IT"/>
              </w:rPr>
              <w:t xml:space="preserve">  </w:t>
            </w:r>
            <w:proofErr w:type="spellStart"/>
            <w:r w:rsidR="00A44D99" w:rsidRPr="00E46651">
              <w:rPr>
                <w:rFonts w:ascii="Cambria" w:hAnsi="Cambria" w:cs="Calibri"/>
                <w:lang w:val="it-IT"/>
              </w:rPr>
              <w:t>informatike</w:t>
            </w:r>
            <w:proofErr w:type="spellEnd"/>
            <w:proofErr w:type="gramEnd"/>
            <w:r w:rsidR="00A44D99" w:rsidRPr="00E46651">
              <w:rPr>
                <w:rFonts w:ascii="Cambria" w:hAnsi="Cambria" w:cs="Calibri"/>
                <w:lang w:val="it-IT"/>
              </w:rPr>
              <w:t xml:space="preserve"> (2020)</w:t>
            </w:r>
            <w:r w:rsidRPr="00E46651">
              <w:rPr>
                <w:rFonts w:ascii="Cambria" w:hAnsi="Cambria" w:cs="Calibri"/>
                <w:lang w:val="it-IT"/>
              </w:rPr>
              <w:t>.</w:t>
            </w:r>
            <w:r w:rsidR="00A44D99" w:rsidRPr="00E46651">
              <w:rPr>
                <w:rFonts w:ascii="Cambria" w:hAnsi="Cambria" w:cs="Calibri"/>
                <w:lang w:val="it-IT"/>
              </w:rPr>
              <w:t xml:space="preserve"> od 1. do 8. </w:t>
            </w:r>
            <w:proofErr w:type="spellStart"/>
            <w:r w:rsidR="00A44D99" w:rsidRPr="00E46651">
              <w:rPr>
                <w:rFonts w:ascii="Cambria" w:hAnsi="Cambria" w:cs="Calibri"/>
                <w:lang w:val="it-IT"/>
              </w:rPr>
              <w:t>razreda</w:t>
            </w:r>
            <w:proofErr w:type="spellEnd"/>
            <w:r w:rsidR="00A44D99" w:rsidRPr="00E46651">
              <w:rPr>
                <w:rFonts w:ascii="Cambria" w:hAnsi="Cambria" w:cs="Calibri"/>
                <w:lang w:val="it-IT"/>
              </w:rPr>
              <w:t xml:space="preserve"> </w:t>
            </w:r>
            <w:proofErr w:type="spellStart"/>
            <w:r w:rsidR="00A44D99" w:rsidRPr="00E46651">
              <w:rPr>
                <w:rFonts w:ascii="Cambria" w:hAnsi="Cambria" w:cs="Calibri"/>
                <w:lang w:val="it-IT"/>
              </w:rPr>
              <w:t>osnovne</w:t>
            </w:r>
            <w:proofErr w:type="spellEnd"/>
            <w:r w:rsidR="00A44D99" w:rsidRPr="00E46651">
              <w:rPr>
                <w:rFonts w:ascii="Cambria" w:hAnsi="Cambria" w:cs="Calibri"/>
                <w:lang w:val="it-IT"/>
              </w:rPr>
              <w:t xml:space="preserve"> </w:t>
            </w:r>
            <w:proofErr w:type="spellStart"/>
            <w:r w:rsidR="00A44D99" w:rsidRPr="00E46651">
              <w:rPr>
                <w:rFonts w:ascii="Cambria" w:hAnsi="Cambria" w:cs="Calibri"/>
                <w:lang w:val="it-IT"/>
              </w:rPr>
              <w:t>škole</w:t>
            </w:r>
            <w:proofErr w:type="spellEnd"/>
            <w:r w:rsidR="00A44D99" w:rsidRPr="00E46651">
              <w:rPr>
                <w:rFonts w:ascii="Cambria" w:hAnsi="Cambria" w:cs="Calibri"/>
                <w:lang w:val="it-IT"/>
              </w:rPr>
              <w:t xml:space="preserve">, </w:t>
            </w:r>
            <w:proofErr w:type="spellStart"/>
            <w:r w:rsidR="00A44D99" w:rsidRPr="00E46651">
              <w:rPr>
                <w:rFonts w:ascii="Cambria" w:hAnsi="Cambria" w:cs="Calibri"/>
                <w:lang w:val="it-IT"/>
              </w:rPr>
              <w:t>Školska</w:t>
            </w:r>
            <w:proofErr w:type="spellEnd"/>
            <w:r w:rsidR="00A44D99" w:rsidRPr="00E46651">
              <w:rPr>
                <w:rFonts w:ascii="Cambria" w:hAnsi="Cambria" w:cs="Calibri"/>
                <w:lang w:val="it-IT"/>
              </w:rPr>
              <w:t xml:space="preserve"> </w:t>
            </w:r>
            <w:proofErr w:type="spellStart"/>
            <w:r w:rsidR="00A44D99" w:rsidRPr="00E46651">
              <w:rPr>
                <w:rFonts w:ascii="Cambria" w:hAnsi="Cambria" w:cs="Calibri"/>
                <w:lang w:val="it-IT"/>
              </w:rPr>
              <w:t>knjiga</w:t>
            </w:r>
            <w:proofErr w:type="spellEnd"/>
          </w:p>
          <w:p w14:paraId="666DDDAD" w14:textId="77777777" w:rsidR="00A44D99" w:rsidRPr="00F73829" w:rsidRDefault="00A44D99" w:rsidP="00E41F45">
            <w:pPr>
              <w:spacing w:after="0" w:line="240" w:lineRule="auto"/>
              <w:rPr>
                <w:rFonts w:ascii="Cambria" w:hAnsi="Cambria" w:cs="Calibri"/>
                <w:lang w:val="it-IT"/>
              </w:rPr>
            </w:pPr>
            <w:proofErr w:type="spellStart"/>
            <w:r w:rsidRPr="00F73829">
              <w:rPr>
                <w:rFonts w:ascii="Cambria" w:hAnsi="Cambria" w:cs="Calibri"/>
                <w:lang w:val="it-IT"/>
              </w:rPr>
              <w:t>Izborna</w:t>
            </w:r>
            <w:proofErr w:type="spellEnd"/>
            <w:r w:rsidRPr="00F73829">
              <w:rPr>
                <w:rFonts w:ascii="Cambria" w:hAnsi="Cambria" w:cs="Calibri"/>
                <w:lang w:val="it-IT"/>
              </w:rPr>
              <w:t xml:space="preserve">: </w:t>
            </w:r>
          </w:p>
          <w:p w14:paraId="1FDE1DA0" w14:textId="53FD1521" w:rsidR="00A44D99" w:rsidRPr="00F73829" w:rsidRDefault="00E46651" w:rsidP="00E41F45">
            <w:pPr>
              <w:spacing w:after="0" w:line="240" w:lineRule="auto"/>
              <w:rPr>
                <w:rFonts w:ascii="Cambria" w:hAnsi="Cambria" w:cs="Calibri"/>
                <w:lang w:val="it-IT"/>
              </w:rPr>
            </w:pPr>
            <w:r w:rsidRPr="00F73829">
              <w:rPr>
                <w:rFonts w:ascii="Cambria" w:hAnsi="Cambria" w:cs="Calibri"/>
                <w:lang w:val="it-IT"/>
              </w:rPr>
              <w:t xml:space="preserve">1. </w:t>
            </w:r>
            <w:proofErr w:type="spellStart"/>
            <w:r w:rsidR="00A44D99" w:rsidRPr="00F73829">
              <w:rPr>
                <w:rFonts w:ascii="Cambria" w:hAnsi="Cambria" w:cs="Calibri"/>
                <w:lang w:val="it-IT"/>
              </w:rPr>
              <w:t>Blagus</w:t>
            </w:r>
            <w:proofErr w:type="spellEnd"/>
            <w:r w:rsidR="00A44D99" w:rsidRPr="00F73829">
              <w:rPr>
                <w:rFonts w:ascii="Cambria" w:hAnsi="Cambria" w:cs="Calibri"/>
                <w:lang w:val="it-IT"/>
              </w:rPr>
              <w:t>, J.</w:t>
            </w:r>
            <w:r w:rsidRPr="00F73829">
              <w:rPr>
                <w:rFonts w:ascii="Cambria" w:hAnsi="Cambria" w:cs="Calibri"/>
                <w:lang w:val="it-IT"/>
              </w:rPr>
              <w:t xml:space="preserve">, </w:t>
            </w:r>
            <w:r w:rsidR="00A44D99" w:rsidRPr="00F73829">
              <w:rPr>
                <w:rFonts w:ascii="Cambria" w:hAnsi="Cambria" w:cs="Calibri"/>
                <w:lang w:val="it-IT"/>
              </w:rPr>
              <w:t>Sokol, G. (2020)</w:t>
            </w:r>
            <w:r w:rsidRPr="00F73829">
              <w:rPr>
                <w:rFonts w:ascii="Cambria" w:hAnsi="Cambria" w:cs="Calibri"/>
                <w:lang w:val="it-IT"/>
              </w:rPr>
              <w:t xml:space="preserve">. </w:t>
            </w:r>
            <w:r w:rsidR="00A44D99" w:rsidRPr="00F73829">
              <w:rPr>
                <w:rFonts w:ascii="Cambria" w:hAnsi="Cambria" w:cs="Calibri"/>
                <w:lang w:val="it-IT"/>
              </w:rPr>
              <w:t xml:space="preserve">Minecraft – </w:t>
            </w:r>
            <w:proofErr w:type="spellStart"/>
            <w:r w:rsidR="00A44D99" w:rsidRPr="00F73829">
              <w:rPr>
                <w:rFonts w:ascii="Cambria" w:hAnsi="Cambria" w:cs="Calibri"/>
                <w:lang w:val="it-IT"/>
              </w:rPr>
              <w:t>priručnik</w:t>
            </w:r>
            <w:proofErr w:type="spellEnd"/>
            <w:r w:rsidR="00A44D99" w:rsidRPr="00F73829">
              <w:rPr>
                <w:rFonts w:ascii="Cambria" w:hAnsi="Cambria" w:cs="Calibri"/>
                <w:lang w:val="it-IT"/>
              </w:rPr>
              <w:t xml:space="preserve"> za </w:t>
            </w:r>
            <w:proofErr w:type="spellStart"/>
            <w:r w:rsidR="00A44D99" w:rsidRPr="00F73829">
              <w:rPr>
                <w:rFonts w:ascii="Cambria" w:hAnsi="Cambria" w:cs="Calibri"/>
                <w:lang w:val="it-IT"/>
              </w:rPr>
              <w:t>ućenje</w:t>
            </w:r>
            <w:proofErr w:type="spellEnd"/>
            <w:r w:rsidR="00A44D99" w:rsidRPr="00F73829">
              <w:rPr>
                <w:rFonts w:ascii="Cambria" w:hAnsi="Cambria" w:cs="Calibri"/>
                <w:lang w:val="it-IT"/>
              </w:rPr>
              <w:t xml:space="preserve"> </w:t>
            </w:r>
            <w:proofErr w:type="spellStart"/>
            <w:r w:rsidR="00A44D99" w:rsidRPr="00F73829">
              <w:rPr>
                <w:rFonts w:ascii="Cambria" w:hAnsi="Cambria" w:cs="Calibri"/>
                <w:lang w:val="it-IT"/>
              </w:rPr>
              <w:t>programiranja</w:t>
            </w:r>
            <w:proofErr w:type="spellEnd"/>
            <w:r w:rsidR="00A44D99" w:rsidRPr="00F73829">
              <w:rPr>
                <w:rFonts w:ascii="Cambria" w:hAnsi="Cambria" w:cs="Calibri"/>
                <w:lang w:val="it-IT"/>
              </w:rPr>
              <w:t xml:space="preserve">, </w:t>
            </w:r>
            <w:proofErr w:type="spellStart"/>
            <w:r w:rsidR="00A44D99" w:rsidRPr="00F73829">
              <w:rPr>
                <w:rFonts w:ascii="Cambria" w:hAnsi="Cambria" w:cs="Calibri"/>
                <w:lang w:val="it-IT"/>
              </w:rPr>
              <w:t>Školska</w:t>
            </w:r>
            <w:proofErr w:type="spellEnd"/>
            <w:r w:rsidR="00A44D99" w:rsidRPr="00F73829">
              <w:rPr>
                <w:rFonts w:ascii="Cambria" w:hAnsi="Cambria" w:cs="Calibri"/>
                <w:lang w:val="it-IT"/>
              </w:rPr>
              <w:t xml:space="preserve"> </w:t>
            </w:r>
            <w:proofErr w:type="spellStart"/>
            <w:r w:rsidR="00A44D99" w:rsidRPr="00F73829">
              <w:rPr>
                <w:rFonts w:ascii="Cambria" w:hAnsi="Cambria" w:cs="Calibri"/>
                <w:lang w:val="it-IT"/>
              </w:rPr>
              <w:t>knjiga</w:t>
            </w:r>
            <w:proofErr w:type="spellEnd"/>
          </w:p>
          <w:p w14:paraId="27234C8E" w14:textId="14230911" w:rsidR="00A44D99" w:rsidRPr="00DF4CE5" w:rsidRDefault="00E46651" w:rsidP="00E41F45">
            <w:pPr>
              <w:spacing w:after="0" w:line="240" w:lineRule="auto"/>
              <w:rPr>
                <w:rFonts w:ascii="Cambria" w:hAnsi="Cambria" w:cs="Calibri"/>
                <w:lang w:val="it-IT"/>
              </w:rPr>
            </w:pPr>
            <w:r>
              <w:rPr>
                <w:rFonts w:ascii="Cambria" w:hAnsi="Cambria" w:cs="Calibri"/>
                <w:lang w:val="it-IT"/>
              </w:rPr>
              <w:t xml:space="preserve">2. </w:t>
            </w:r>
            <w:r w:rsidR="00F857AC" w:rsidRPr="00F857AC">
              <w:rPr>
                <w:rFonts w:ascii="Cambria" w:hAnsi="Cambria" w:cs="Calibri"/>
                <w:lang w:val="it-IT"/>
              </w:rPr>
              <w:t xml:space="preserve">Milanović, T. (2020). </w:t>
            </w:r>
            <w:proofErr w:type="spellStart"/>
            <w:r w:rsidR="00F857AC" w:rsidRPr="00F857AC">
              <w:rPr>
                <w:rFonts w:ascii="Cambria" w:hAnsi="Cambria" w:cs="Calibri"/>
                <w:lang w:val="it-IT"/>
              </w:rPr>
              <w:t>Programiranje</w:t>
            </w:r>
            <w:proofErr w:type="spellEnd"/>
            <w:r w:rsidR="00F857AC" w:rsidRPr="00F857AC">
              <w:rPr>
                <w:rFonts w:ascii="Cambria" w:hAnsi="Cambria" w:cs="Calibri"/>
                <w:lang w:val="it-IT"/>
              </w:rPr>
              <w:t xml:space="preserve"> </w:t>
            </w:r>
            <w:proofErr w:type="spellStart"/>
            <w:r w:rsidR="00F857AC" w:rsidRPr="00F857AC">
              <w:rPr>
                <w:rFonts w:ascii="Cambria" w:hAnsi="Cambria" w:cs="Calibri"/>
                <w:lang w:val="it-IT"/>
              </w:rPr>
              <w:t>mBot</w:t>
            </w:r>
            <w:proofErr w:type="spellEnd"/>
            <w:r w:rsidR="00F857AC" w:rsidRPr="00F857AC">
              <w:rPr>
                <w:rFonts w:ascii="Cambria" w:hAnsi="Cambria" w:cs="Calibri"/>
                <w:lang w:val="it-IT"/>
              </w:rPr>
              <w:t xml:space="preserve"> </w:t>
            </w:r>
            <w:proofErr w:type="spellStart"/>
            <w:r w:rsidR="00F857AC" w:rsidRPr="00F857AC">
              <w:rPr>
                <w:rFonts w:ascii="Cambria" w:hAnsi="Cambria" w:cs="Calibri"/>
                <w:lang w:val="it-IT"/>
              </w:rPr>
              <w:t>robota</w:t>
            </w:r>
            <w:proofErr w:type="spellEnd"/>
            <w:r w:rsidR="00F857AC" w:rsidRPr="00F857AC">
              <w:rPr>
                <w:rFonts w:ascii="Cambria" w:hAnsi="Cambria" w:cs="Calibri"/>
                <w:lang w:val="it-IT"/>
              </w:rPr>
              <w:t xml:space="preserve"> - </w:t>
            </w:r>
            <w:proofErr w:type="spellStart"/>
            <w:r w:rsidR="00F857AC" w:rsidRPr="00F857AC">
              <w:rPr>
                <w:rFonts w:ascii="Cambria" w:hAnsi="Cambria" w:cs="Calibri"/>
                <w:lang w:val="it-IT"/>
              </w:rPr>
              <w:t>priručnik</w:t>
            </w:r>
            <w:proofErr w:type="spellEnd"/>
            <w:r w:rsidR="00F857AC" w:rsidRPr="00F857AC">
              <w:rPr>
                <w:rFonts w:ascii="Cambria" w:hAnsi="Cambria" w:cs="Calibri"/>
                <w:lang w:val="it-IT"/>
              </w:rPr>
              <w:t xml:space="preserve"> za </w:t>
            </w:r>
            <w:proofErr w:type="spellStart"/>
            <w:r w:rsidR="00F857AC" w:rsidRPr="00F857AC">
              <w:rPr>
                <w:rFonts w:ascii="Cambria" w:hAnsi="Cambria" w:cs="Calibri"/>
                <w:lang w:val="it-IT"/>
              </w:rPr>
              <w:t>učenje</w:t>
            </w:r>
            <w:proofErr w:type="spellEnd"/>
            <w:r w:rsidR="00F857AC" w:rsidRPr="00F857AC">
              <w:rPr>
                <w:rFonts w:ascii="Cambria" w:hAnsi="Cambria" w:cs="Calibri"/>
                <w:lang w:val="it-IT"/>
              </w:rPr>
              <w:t xml:space="preserve"> </w:t>
            </w:r>
            <w:proofErr w:type="spellStart"/>
            <w:r w:rsidR="00F857AC" w:rsidRPr="00F857AC">
              <w:rPr>
                <w:rFonts w:ascii="Cambria" w:hAnsi="Cambria" w:cs="Calibri"/>
                <w:lang w:val="it-IT"/>
              </w:rPr>
              <w:t>programiranja</w:t>
            </w:r>
            <w:proofErr w:type="spellEnd"/>
            <w:r w:rsidR="00F857AC" w:rsidRPr="00F857AC">
              <w:rPr>
                <w:rFonts w:ascii="Cambria" w:hAnsi="Cambria" w:cs="Calibri"/>
                <w:lang w:val="it-IT"/>
              </w:rPr>
              <w:t xml:space="preserve">. </w:t>
            </w:r>
            <w:proofErr w:type="spellStart"/>
            <w:r w:rsidR="00F857AC" w:rsidRPr="00F857AC">
              <w:rPr>
                <w:rFonts w:ascii="Cambria" w:hAnsi="Cambria" w:cs="Calibri"/>
                <w:lang w:val="it-IT"/>
              </w:rPr>
              <w:t>Školska</w:t>
            </w:r>
            <w:proofErr w:type="spellEnd"/>
            <w:r w:rsidR="00F857AC" w:rsidRPr="00F857AC">
              <w:rPr>
                <w:rFonts w:ascii="Cambria" w:hAnsi="Cambria" w:cs="Calibri"/>
                <w:lang w:val="it-IT"/>
              </w:rPr>
              <w:t xml:space="preserve"> </w:t>
            </w:r>
            <w:proofErr w:type="spellStart"/>
            <w:r w:rsidR="00F857AC" w:rsidRPr="00F857AC">
              <w:rPr>
                <w:rFonts w:ascii="Cambria" w:hAnsi="Cambria" w:cs="Calibri"/>
                <w:lang w:val="it-IT"/>
              </w:rPr>
              <w:t>knjiga</w:t>
            </w:r>
            <w:proofErr w:type="spellEnd"/>
          </w:p>
          <w:p w14:paraId="103CBDBA" w14:textId="77777777" w:rsidR="00A44D99" w:rsidRPr="00DF4CE5" w:rsidRDefault="00A44D99" w:rsidP="00891E8C">
            <w:pPr>
              <w:spacing w:after="120"/>
              <w:rPr>
                <w:rFonts w:ascii="Cambria" w:hAnsi="Cambria" w:cs="Cambria"/>
                <w:lang w:val="it-IT"/>
              </w:rPr>
            </w:pPr>
          </w:p>
        </w:tc>
      </w:tr>
    </w:tbl>
    <w:p w14:paraId="7D45E63D" w14:textId="0BE546BA" w:rsidR="00727BE6" w:rsidRDefault="00727BE6" w:rsidP="00E46651">
      <w:pPr>
        <w:rPr>
          <w:rFonts w:ascii="Cambria" w:eastAsia="Calibri" w:hAnsi="Cambria" w:cs="Times New Roman"/>
          <w:lang w:val="hr-HR"/>
        </w:rPr>
      </w:pPr>
    </w:p>
    <w:p w14:paraId="75D70D8E" w14:textId="77777777" w:rsidR="00727BE6" w:rsidRDefault="00727BE6">
      <w:pPr>
        <w:rPr>
          <w:rFonts w:ascii="Cambria" w:eastAsia="Calibri" w:hAnsi="Cambria" w:cs="Times New Roman"/>
          <w:lang w:val="hr-HR"/>
        </w:rPr>
      </w:pPr>
      <w:r>
        <w:rPr>
          <w:rFonts w:ascii="Cambria" w:eastAsia="Calibri" w:hAnsi="Cambria" w:cs="Times New Roman"/>
          <w:lang w:val="hr-HR"/>
        </w:rPr>
        <w:br w:type="page"/>
      </w:r>
    </w:p>
    <w:p w14:paraId="36F90FF0" w14:textId="77777777" w:rsidR="006B2BBC" w:rsidRPr="00DF4CE5" w:rsidRDefault="006B2BBC" w:rsidP="00E46651">
      <w:pPr>
        <w:rPr>
          <w:rFonts w:ascii="Cambria" w:eastAsia="Calibri" w:hAnsi="Cambria" w:cs="Times New Roman"/>
          <w:lang w:val="hr-HR"/>
        </w:rPr>
      </w:pPr>
    </w:p>
    <w:tbl>
      <w:tblPr>
        <w:tblW w:w="5000" w:type="pct"/>
        <w:tblLayout w:type="fixed"/>
        <w:tblCellMar>
          <w:left w:w="0" w:type="dxa"/>
          <w:right w:w="0" w:type="dxa"/>
        </w:tblCellMar>
        <w:tblLook w:val="04A0" w:firstRow="1" w:lastRow="0" w:firstColumn="1" w:lastColumn="0" w:noHBand="0" w:noVBand="1"/>
      </w:tblPr>
      <w:tblGrid>
        <w:gridCol w:w="2616"/>
        <w:gridCol w:w="2482"/>
        <w:gridCol w:w="98"/>
        <w:gridCol w:w="1092"/>
        <w:gridCol w:w="280"/>
        <w:gridCol w:w="440"/>
        <w:gridCol w:w="1013"/>
        <w:gridCol w:w="1319"/>
      </w:tblGrid>
      <w:tr w:rsidR="006B2BBC" w:rsidRPr="00DF4CE5" w14:paraId="08EF6275" w14:textId="77777777" w:rsidTr="00C106A0">
        <w:tc>
          <w:tcPr>
            <w:tcW w:w="9340"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32CCE34" w14:textId="77777777" w:rsidR="006B2BBC" w:rsidRPr="00DF4CE5" w:rsidRDefault="006B2BBC" w:rsidP="00001BA9">
            <w:pPr>
              <w:spacing w:after="0" w:line="240" w:lineRule="atLeast"/>
              <w:jc w:val="right"/>
              <w:rPr>
                <w:rFonts w:ascii="Cambria" w:eastAsia="Calibri" w:hAnsi="Cambria" w:cs="Calibri"/>
                <w:b/>
                <w:lang w:val="hr-HR"/>
              </w:rPr>
            </w:pPr>
            <w:r w:rsidRPr="00DF4CE5">
              <w:rPr>
                <w:rFonts w:ascii="Cambria" w:eastAsia="Calibri" w:hAnsi="Cambria" w:cs="Calibri"/>
                <w:b/>
                <w:lang w:val="hr-HR"/>
              </w:rPr>
              <w:t>IZVEDBENI PLAN NASTAVE KOLEGIJA</w:t>
            </w:r>
          </w:p>
        </w:tc>
      </w:tr>
      <w:tr w:rsidR="006B2BBC" w:rsidRPr="00DF4CE5" w14:paraId="1F882AD0" w14:textId="77777777" w:rsidTr="00C106A0">
        <w:tc>
          <w:tcPr>
            <w:tcW w:w="261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2A0D381" w14:textId="77777777" w:rsidR="006B2BBC" w:rsidRPr="00DF4CE5" w:rsidRDefault="006B2BBC" w:rsidP="008B34AF">
            <w:pPr>
              <w:spacing w:after="0" w:line="240" w:lineRule="atLeast"/>
              <w:jc w:val="both"/>
              <w:rPr>
                <w:rFonts w:ascii="Cambria" w:eastAsia="Calibri" w:hAnsi="Cambria" w:cs="Calibri"/>
                <w:lang w:val="hr-HR"/>
              </w:rPr>
            </w:pPr>
            <w:r w:rsidRPr="00DF4CE5">
              <w:rPr>
                <w:rFonts w:ascii="Cambria" w:eastAsia="Calibri" w:hAnsi="Cambria" w:cs="Calibri"/>
                <w:lang w:val="hr-HR"/>
              </w:rPr>
              <w:t>Kod i naziv kolegija</w:t>
            </w:r>
          </w:p>
        </w:tc>
        <w:tc>
          <w:tcPr>
            <w:tcW w:w="672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EDEF41F" w14:textId="77777777" w:rsidR="006B2BBC" w:rsidRPr="00DF4CE5" w:rsidRDefault="006B2BBC" w:rsidP="008B34AF">
            <w:pPr>
              <w:spacing w:after="0" w:line="240" w:lineRule="atLeast"/>
              <w:jc w:val="both"/>
              <w:rPr>
                <w:rFonts w:ascii="Cambria" w:eastAsia="Calibri" w:hAnsi="Cambria" w:cs="Calibri"/>
              </w:rPr>
            </w:pPr>
            <w:r w:rsidRPr="00DF4CE5">
              <w:rPr>
                <w:rFonts w:ascii="Cambria" w:eastAsia="Calibri" w:hAnsi="Cambria" w:cs="Calibri"/>
              </w:rPr>
              <w:t xml:space="preserve">145493 </w:t>
            </w:r>
          </w:p>
          <w:p w14:paraId="5A48378E" w14:textId="164D934D" w:rsidR="006B2BBC" w:rsidRPr="00DF4CE5" w:rsidRDefault="006B2BBC" w:rsidP="008B34AF">
            <w:pPr>
              <w:spacing w:after="0" w:line="240" w:lineRule="atLeast"/>
              <w:jc w:val="both"/>
              <w:rPr>
                <w:rFonts w:ascii="Cambria" w:eastAsia="Calibri" w:hAnsi="Cambria" w:cs="Calibri"/>
                <w:b/>
              </w:rPr>
            </w:pPr>
            <w:r w:rsidRPr="00DF4CE5">
              <w:rPr>
                <w:rFonts w:ascii="Cambria" w:eastAsia="Calibri" w:hAnsi="Cambria" w:cs="Calibri"/>
              </w:rPr>
              <w:t xml:space="preserve">Web 2.0 </w:t>
            </w:r>
            <w:proofErr w:type="spellStart"/>
            <w:r w:rsidRPr="00DF4CE5">
              <w:rPr>
                <w:rFonts w:ascii="Cambria" w:eastAsia="Calibri" w:hAnsi="Cambria" w:cs="Calibri"/>
              </w:rPr>
              <w:t>alati</w:t>
            </w:r>
            <w:proofErr w:type="spellEnd"/>
            <w:r w:rsidR="0039661B">
              <w:rPr>
                <w:rFonts w:ascii="Cambria" w:eastAsia="Calibri" w:hAnsi="Cambria" w:cs="Calibri"/>
              </w:rPr>
              <w:t xml:space="preserve"> </w:t>
            </w:r>
          </w:p>
        </w:tc>
      </w:tr>
      <w:tr w:rsidR="006B2BBC" w:rsidRPr="000B2D2C" w14:paraId="4F067FF3" w14:textId="77777777" w:rsidTr="00775193">
        <w:trPr>
          <w:trHeight w:val="497"/>
        </w:trPr>
        <w:tc>
          <w:tcPr>
            <w:tcW w:w="261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5C056E4" w14:textId="77777777" w:rsidR="0039661B" w:rsidRDefault="0039661B" w:rsidP="008B34AF">
            <w:pPr>
              <w:spacing w:after="0" w:line="240" w:lineRule="atLeast"/>
              <w:jc w:val="both"/>
              <w:rPr>
                <w:rFonts w:ascii="Cambria" w:eastAsia="Calibri" w:hAnsi="Cambria" w:cs="Calibri"/>
                <w:lang w:val="hr-HR"/>
              </w:rPr>
            </w:pPr>
            <w:r>
              <w:rPr>
                <w:rFonts w:ascii="Cambria" w:eastAsia="Calibri" w:hAnsi="Cambria" w:cs="Calibri"/>
                <w:lang w:val="hr-HR"/>
              </w:rPr>
              <w:t>Nastavnica</w:t>
            </w:r>
          </w:p>
          <w:p w14:paraId="1FD1C277" w14:textId="33028134" w:rsidR="00727BE6" w:rsidRPr="00DF4CE5" w:rsidRDefault="00727BE6" w:rsidP="008B34AF">
            <w:pPr>
              <w:spacing w:after="0" w:line="240" w:lineRule="atLeast"/>
              <w:jc w:val="both"/>
              <w:rPr>
                <w:rFonts w:ascii="Cambria" w:eastAsia="Calibri" w:hAnsi="Cambria" w:cs="Calibri"/>
                <w:lang w:val="hr-HR"/>
              </w:rPr>
            </w:pPr>
            <w:r>
              <w:rPr>
                <w:rFonts w:ascii="Cambria" w:eastAsia="Calibri" w:hAnsi="Cambria" w:cs="Calibri"/>
                <w:lang w:val="hr-HR"/>
              </w:rPr>
              <w:t>Suradnik</w:t>
            </w:r>
          </w:p>
        </w:tc>
        <w:tc>
          <w:tcPr>
            <w:tcW w:w="672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A667741" w14:textId="66F24530" w:rsidR="0039661B" w:rsidRPr="00727BE6" w:rsidRDefault="0039661B" w:rsidP="0039661B">
            <w:pPr>
              <w:spacing w:after="0" w:line="240" w:lineRule="auto"/>
              <w:rPr>
                <w:rFonts w:ascii="Cambria" w:hAnsi="Cambria" w:cs="Calibri"/>
                <w:lang w:val="hr-HR"/>
              </w:rPr>
            </w:pPr>
            <w:hyperlink r:id="rId184" w:history="1">
              <w:r w:rsidRPr="00727BE6">
                <w:rPr>
                  <w:rStyle w:val="Hiperveza"/>
                  <w:rFonts w:ascii="Cambria" w:hAnsi="Cambria"/>
                  <w:lang w:val="hr-HR"/>
                </w:rPr>
                <w:t>Naslovna d</w:t>
              </w:r>
              <w:r w:rsidRPr="00727BE6">
                <w:rPr>
                  <w:rStyle w:val="Hiperveza"/>
                  <w:rFonts w:ascii="Cambria" w:hAnsi="Cambria" w:cs="Calibri"/>
                  <w:lang w:val="hr-HR"/>
                </w:rPr>
                <w:t xml:space="preserve">oc. dr. sc. Elena </w:t>
              </w:r>
              <w:proofErr w:type="spellStart"/>
              <w:r w:rsidRPr="00727BE6">
                <w:rPr>
                  <w:rStyle w:val="Hiperveza"/>
                  <w:rFonts w:ascii="Cambria" w:hAnsi="Cambria" w:cs="Calibri"/>
                  <w:lang w:val="hr-HR"/>
                </w:rPr>
                <w:t>Krelja</w:t>
              </w:r>
              <w:proofErr w:type="spellEnd"/>
              <w:r w:rsidRPr="00727BE6">
                <w:rPr>
                  <w:rStyle w:val="Hiperveza"/>
                  <w:rFonts w:ascii="Cambria" w:hAnsi="Cambria" w:cs="Calibri"/>
                  <w:lang w:val="hr-HR"/>
                </w:rPr>
                <w:t xml:space="preserve"> </w:t>
              </w:r>
              <w:proofErr w:type="spellStart"/>
              <w:r w:rsidRPr="00727BE6">
                <w:rPr>
                  <w:rStyle w:val="Hiperveza"/>
                  <w:rFonts w:ascii="Cambria" w:hAnsi="Cambria" w:cs="Calibri"/>
                  <w:lang w:val="hr-HR"/>
                </w:rPr>
                <w:t>Kurelović</w:t>
              </w:r>
              <w:proofErr w:type="spellEnd"/>
            </w:hyperlink>
            <w:r w:rsidRPr="00727BE6">
              <w:rPr>
                <w:rFonts w:ascii="Cambria" w:hAnsi="Cambria" w:cs="Calibri"/>
                <w:lang w:val="hr-HR"/>
              </w:rPr>
              <w:t xml:space="preserve"> </w:t>
            </w:r>
            <w:r w:rsidRPr="00B30379">
              <w:rPr>
                <w:rFonts w:ascii="Cambria" w:eastAsia="Calibri" w:hAnsi="Cambria" w:cs="Calibri"/>
                <w:lang w:val="hr-HR"/>
              </w:rPr>
              <w:t>(nositeljica)</w:t>
            </w:r>
          </w:p>
          <w:p w14:paraId="16A4E589" w14:textId="5FE6F352" w:rsidR="0039661B" w:rsidRPr="0039661B" w:rsidRDefault="00727BE6" w:rsidP="003966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mbria" w:hAnsi="Cambria" w:cs="Calibri"/>
                <w:color w:val="0000FF"/>
                <w:u w:val="single"/>
                <w:lang w:val="hr-HR"/>
              </w:rPr>
            </w:pPr>
            <w:hyperlink r:id="rId185" w:history="1">
              <w:r w:rsidRPr="00127501">
                <w:rPr>
                  <w:rStyle w:val="Hiperveza"/>
                  <w:rFonts w:ascii="Cambria" w:hAnsi="Cambria"/>
                </w:rPr>
                <w:t>Janko Žufić, v. pred.</w:t>
              </w:r>
            </w:hyperlink>
            <w:r>
              <w:rPr>
                <w:rFonts w:ascii="Cambria" w:hAnsi="Cambria"/>
              </w:rPr>
              <w:t xml:space="preserve"> </w:t>
            </w:r>
          </w:p>
        </w:tc>
      </w:tr>
      <w:tr w:rsidR="006B2BBC" w:rsidRPr="00D0399C" w14:paraId="7531F628" w14:textId="77777777" w:rsidTr="00C106A0">
        <w:tc>
          <w:tcPr>
            <w:tcW w:w="261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7677C8C" w14:textId="77777777" w:rsidR="006B2BBC" w:rsidRPr="00DF4CE5" w:rsidRDefault="006B2BBC" w:rsidP="008B34AF">
            <w:pPr>
              <w:spacing w:after="0" w:line="240" w:lineRule="atLeast"/>
              <w:jc w:val="both"/>
              <w:rPr>
                <w:rFonts w:ascii="Cambria" w:eastAsia="Calibri" w:hAnsi="Cambria" w:cs="Calibri"/>
                <w:lang w:val="hr-HR"/>
              </w:rPr>
            </w:pPr>
            <w:r w:rsidRPr="00DF4CE5">
              <w:rPr>
                <w:rFonts w:ascii="Cambria" w:eastAsia="Calibri" w:hAnsi="Cambria" w:cs="Calibri"/>
                <w:lang w:val="hr-HR"/>
              </w:rPr>
              <w:t>Studijski program</w:t>
            </w:r>
          </w:p>
        </w:tc>
        <w:tc>
          <w:tcPr>
            <w:tcW w:w="672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821D695" w14:textId="77777777" w:rsidR="006B2BBC" w:rsidRPr="00DF4CE5" w:rsidRDefault="00BE4D96" w:rsidP="008B34AF">
            <w:pPr>
              <w:spacing w:after="0" w:line="240" w:lineRule="atLeast"/>
              <w:jc w:val="both"/>
              <w:rPr>
                <w:rFonts w:ascii="Cambria" w:eastAsia="Calibri" w:hAnsi="Cambria" w:cs="Calibri"/>
                <w:lang w:val="hr-HR"/>
              </w:rPr>
            </w:pPr>
            <w:r w:rsidRPr="00DF4CE5">
              <w:rPr>
                <w:rFonts w:ascii="Cambria" w:hAnsi="Cambria"/>
                <w:lang w:val="hr-HR"/>
              </w:rPr>
              <w:t>Sveučilišni integrirani prijediplomski i diplomski Učiteljski studij na hrvatskom jeziku</w:t>
            </w:r>
          </w:p>
        </w:tc>
      </w:tr>
      <w:tr w:rsidR="006B2BBC" w:rsidRPr="00DF4CE5" w14:paraId="5D59B55A" w14:textId="77777777" w:rsidTr="00C106A0">
        <w:tc>
          <w:tcPr>
            <w:tcW w:w="261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8BD492E" w14:textId="77777777" w:rsidR="006B2BBC" w:rsidRPr="00DF4CE5" w:rsidRDefault="006B2BBC" w:rsidP="008B34AF">
            <w:pPr>
              <w:spacing w:after="0" w:line="240" w:lineRule="atLeast"/>
              <w:jc w:val="both"/>
              <w:rPr>
                <w:rFonts w:ascii="Cambria" w:eastAsia="Calibri" w:hAnsi="Cambria" w:cs="Calibri"/>
                <w:lang w:val="hr-HR"/>
              </w:rPr>
            </w:pPr>
            <w:r w:rsidRPr="00DF4CE5">
              <w:rPr>
                <w:rFonts w:ascii="Cambria" w:eastAsia="Calibri" w:hAnsi="Cambria" w:cs="Calibri"/>
                <w:lang w:val="hr-HR"/>
              </w:rPr>
              <w:t>Vrsta kolegija</w:t>
            </w:r>
          </w:p>
        </w:tc>
        <w:tc>
          <w:tcPr>
            <w:tcW w:w="248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0AD2BE0" w14:textId="53B82B01" w:rsidR="006B2BBC" w:rsidRPr="00DF4CE5" w:rsidRDefault="00E46651" w:rsidP="008B34AF">
            <w:pPr>
              <w:spacing w:after="0" w:line="240" w:lineRule="atLeast"/>
              <w:jc w:val="both"/>
              <w:rPr>
                <w:rFonts w:ascii="Cambria" w:eastAsia="Calibri" w:hAnsi="Cambria" w:cs="Calibri"/>
                <w:lang w:val="hr-HR"/>
              </w:rPr>
            </w:pPr>
            <w:r>
              <w:rPr>
                <w:rFonts w:ascii="Cambria" w:eastAsia="Calibri" w:hAnsi="Cambria" w:cs="Calibri"/>
                <w:lang w:val="hr-HR"/>
              </w:rPr>
              <w:t>i</w:t>
            </w:r>
            <w:r w:rsidR="006B2BBC" w:rsidRPr="00DF4CE5">
              <w:rPr>
                <w:rFonts w:ascii="Cambria" w:eastAsia="Calibri" w:hAnsi="Cambria" w:cs="Calibri"/>
                <w:lang w:val="hr-HR"/>
              </w:rPr>
              <w:t>zborni</w:t>
            </w:r>
          </w:p>
        </w:tc>
        <w:tc>
          <w:tcPr>
            <w:tcW w:w="1470"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7E78F2C2" w14:textId="77777777" w:rsidR="006B2BBC" w:rsidRPr="00DF4CE5" w:rsidRDefault="006B2BBC" w:rsidP="008B34AF">
            <w:pPr>
              <w:spacing w:after="0" w:line="240" w:lineRule="atLeast"/>
              <w:jc w:val="both"/>
              <w:rPr>
                <w:rFonts w:ascii="Cambria" w:eastAsia="Calibri" w:hAnsi="Cambria" w:cs="Calibri"/>
                <w:lang w:val="hr-HR"/>
              </w:rPr>
            </w:pPr>
            <w:r w:rsidRPr="00DF4CE5">
              <w:rPr>
                <w:rFonts w:ascii="Cambria" w:eastAsia="Calibri" w:hAnsi="Cambria" w:cs="Calibri"/>
                <w:lang w:val="hr-HR"/>
              </w:rPr>
              <w:t>Razina kolegija</w:t>
            </w:r>
          </w:p>
        </w:tc>
        <w:tc>
          <w:tcPr>
            <w:tcW w:w="2772"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105FA23" w14:textId="77777777" w:rsidR="006B2BBC" w:rsidRPr="00DF4CE5" w:rsidRDefault="006B2BBC" w:rsidP="008B34AF">
            <w:pPr>
              <w:spacing w:after="0" w:line="240" w:lineRule="atLeast"/>
              <w:jc w:val="both"/>
              <w:rPr>
                <w:rFonts w:ascii="Cambria" w:eastAsia="Calibri" w:hAnsi="Cambria" w:cs="Calibri"/>
                <w:lang w:val="hr-HR"/>
              </w:rPr>
            </w:pPr>
            <w:r w:rsidRPr="00DF4CE5">
              <w:rPr>
                <w:rFonts w:ascii="Cambria" w:eastAsia="Calibri" w:hAnsi="Cambria" w:cs="Calibri"/>
                <w:lang w:val="hr-HR"/>
              </w:rPr>
              <w:t>integrirani studij</w:t>
            </w:r>
          </w:p>
        </w:tc>
      </w:tr>
      <w:tr w:rsidR="006B2BBC" w:rsidRPr="00DF4CE5" w14:paraId="795FA1C9" w14:textId="77777777" w:rsidTr="00C106A0">
        <w:tc>
          <w:tcPr>
            <w:tcW w:w="261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58F3714" w14:textId="77777777" w:rsidR="006B2BBC" w:rsidRPr="00DF4CE5" w:rsidRDefault="006B2BBC" w:rsidP="008B34AF">
            <w:pPr>
              <w:spacing w:after="0" w:line="240" w:lineRule="atLeast"/>
              <w:jc w:val="both"/>
              <w:rPr>
                <w:rFonts w:ascii="Cambria" w:eastAsia="Calibri" w:hAnsi="Cambria" w:cs="Calibri"/>
                <w:lang w:val="hr-HR"/>
              </w:rPr>
            </w:pPr>
            <w:r w:rsidRPr="00DF4CE5">
              <w:rPr>
                <w:rFonts w:ascii="Cambria" w:eastAsia="Calibri" w:hAnsi="Cambria" w:cs="Calibri"/>
                <w:lang w:val="hr-HR"/>
              </w:rPr>
              <w:t>Semestar</w:t>
            </w:r>
          </w:p>
        </w:tc>
        <w:tc>
          <w:tcPr>
            <w:tcW w:w="248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240E975" w14:textId="246E67D7" w:rsidR="006B2BBC" w:rsidRPr="00DF4CE5" w:rsidRDefault="00E46651" w:rsidP="008B34AF">
            <w:pPr>
              <w:spacing w:after="0" w:line="240" w:lineRule="atLeast"/>
              <w:jc w:val="both"/>
              <w:rPr>
                <w:rFonts w:ascii="Cambria" w:eastAsia="Calibri" w:hAnsi="Cambria" w:cs="Calibri"/>
                <w:lang w:val="hr-HR"/>
              </w:rPr>
            </w:pPr>
            <w:r>
              <w:rPr>
                <w:rFonts w:ascii="Cambria" w:eastAsia="Calibri" w:hAnsi="Cambria" w:cs="Calibri"/>
                <w:lang w:val="hr-HR"/>
              </w:rPr>
              <w:t>l</w:t>
            </w:r>
            <w:r w:rsidR="006B2BBC" w:rsidRPr="00DF4CE5">
              <w:rPr>
                <w:rFonts w:ascii="Cambria" w:eastAsia="Calibri" w:hAnsi="Cambria" w:cs="Calibri"/>
                <w:lang w:val="hr-HR"/>
              </w:rPr>
              <w:t>jetni</w:t>
            </w:r>
          </w:p>
        </w:tc>
        <w:tc>
          <w:tcPr>
            <w:tcW w:w="1470"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3F491C9F" w14:textId="77777777" w:rsidR="006B2BBC" w:rsidRPr="00DF4CE5" w:rsidRDefault="006B2BBC" w:rsidP="008B34AF">
            <w:pPr>
              <w:spacing w:after="0" w:line="240" w:lineRule="atLeast"/>
              <w:jc w:val="both"/>
              <w:rPr>
                <w:rFonts w:ascii="Cambria" w:eastAsia="Calibri" w:hAnsi="Cambria" w:cs="Calibri"/>
                <w:lang w:val="hr-HR"/>
              </w:rPr>
            </w:pPr>
            <w:r w:rsidRPr="00DF4CE5">
              <w:rPr>
                <w:rFonts w:ascii="Cambria" w:eastAsia="Calibri" w:hAnsi="Cambria" w:cs="Calibri"/>
                <w:lang w:val="hr-HR"/>
              </w:rPr>
              <w:t>Godina studija</w:t>
            </w:r>
          </w:p>
        </w:tc>
        <w:tc>
          <w:tcPr>
            <w:tcW w:w="2772"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2DBE7FC" w14:textId="77777777" w:rsidR="006B2BBC" w:rsidRPr="00DF4CE5" w:rsidRDefault="006B2BBC" w:rsidP="008B34AF">
            <w:pPr>
              <w:spacing w:after="0" w:line="240" w:lineRule="atLeast"/>
              <w:jc w:val="both"/>
              <w:rPr>
                <w:rFonts w:ascii="Cambria" w:eastAsia="Calibri" w:hAnsi="Cambria" w:cs="Calibri"/>
                <w:lang w:val="hr-HR"/>
              </w:rPr>
            </w:pPr>
            <w:r w:rsidRPr="00DF4CE5">
              <w:rPr>
                <w:rFonts w:ascii="Cambria" w:eastAsia="Calibri" w:hAnsi="Cambria" w:cs="Calibri"/>
                <w:lang w:val="hr-HR"/>
              </w:rPr>
              <w:t xml:space="preserve">V. </w:t>
            </w:r>
          </w:p>
        </w:tc>
      </w:tr>
      <w:tr w:rsidR="006B2BBC" w:rsidRPr="00DF4CE5" w14:paraId="784E9B74" w14:textId="77777777" w:rsidTr="00C106A0">
        <w:tc>
          <w:tcPr>
            <w:tcW w:w="261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4CE83F1" w14:textId="77777777" w:rsidR="006B2BBC" w:rsidRPr="00DF4CE5" w:rsidRDefault="006B2BBC" w:rsidP="008B34AF">
            <w:pPr>
              <w:spacing w:after="0" w:line="240" w:lineRule="atLeast"/>
              <w:jc w:val="both"/>
              <w:rPr>
                <w:rFonts w:ascii="Cambria" w:eastAsia="Calibri" w:hAnsi="Cambria" w:cs="Calibri"/>
                <w:lang w:val="hr-HR"/>
              </w:rPr>
            </w:pPr>
            <w:proofErr w:type="spellStart"/>
            <w:r w:rsidRPr="00DF4CE5">
              <w:rPr>
                <w:rFonts w:ascii="Cambria" w:eastAsia="Calibri" w:hAnsi="Cambria" w:cs="Calibri"/>
              </w:rPr>
              <w:t>Mjesto</w:t>
            </w:r>
            <w:proofErr w:type="spellEnd"/>
            <w:r w:rsidRPr="00DF4CE5">
              <w:rPr>
                <w:rFonts w:ascii="Cambria" w:eastAsia="Calibri" w:hAnsi="Cambria" w:cs="Calibri"/>
              </w:rPr>
              <w:t xml:space="preserve"> </w:t>
            </w:r>
            <w:proofErr w:type="spellStart"/>
            <w:r w:rsidRPr="00DF4CE5">
              <w:rPr>
                <w:rFonts w:ascii="Cambria" w:eastAsia="Calibri" w:hAnsi="Cambria" w:cs="Calibri"/>
              </w:rPr>
              <w:t>izvođenja</w:t>
            </w:r>
            <w:proofErr w:type="spellEnd"/>
          </w:p>
        </w:tc>
        <w:tc>
          <w:tcPr>
            <w:tcW w:w="248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1A8B25B" w14:textId="51F6CE9E" w:rsidR="006B2BBC" w:rsidRPr="00DF4CE5" w:rsidRDefault="006B2BBC" w:rsidP="008B34AF">
            <w:pPr>
              <w:spacing w:after="0" w:line="240" w:lineRule="atLeast"/>
              <w:jc w:val="both"/>
              <w:rPr>
                <w:rFonts w:ascii="Cambria" w:eastAsia="Calibri" w:hAnsi="Cambria" w:cs="Calibri"/>
                <w:lang w:val="hr-HR"/>
              </w:rPr>
            </w:pPr>
            <w:r w:rsidRPr="00DF4CE5">
              <w:rPr>
                <w:rFonts w:ascii="Cambria" w:eastAsia="Calibri" w:hAnsi="Cambria" w:cs="Calibri"/>
                <w:lang w:val="hr-HR"/>
              </w:rPr>
              <w:t>d</w:t>
            </w:r>
            <w:proofErr w:type="spellStart"/>
            <w:r w:rsidRPr="00DF4CE5">
              <w:rPr>
                <w:rFonts w:ascii="Cambria" w:eastAsia="Calibri" w:hAnsi="Cambria" w:cs="Calibri"/>
              </w:rPr>
              <w:t>vorana</w:t>
            </w:r>
            <w:proofErr w:type="spellEnd"/>
            <w:r w:rsidRPr="00DF4CE5">
              <w:rPr>
                <w:rFonts w:ascii="Cambria" w:eastAsia="Calibri" w:hAnsi="Cambria" w:cs="Calibri"/>
              </w:rPr>
              <w:t xml:space="preserve">, </w:t>
            </w:r>
            <w:proofErr w:type="spellStart"/>
            <w:r w:rsidR="001974E1" w:rsidRPr="00DF4CE5">
              <w:rPr>
                <w:rFonts w:ascii="Cambria" w:eastAsia="Calibri" w:hAnsi="Cambria" w:cs="Calibri"/>
              </w:rPr>
              <w:t>ka</w:t>
            </w:r>
            <w:r w:rsidR="007A75FD" w:rsidRPr="00DF4CE5">
              <w:rPr>
                <w:rFonts w:ascii="Cambria" w:eastAsia="Calibri" w:hAnsi="Cambria" w:cs="Calibri"/>
              </w:rPr>
              <w:t>binet</w:t>
            </w:r>
            <w:proofErr w:type="spellEnd"/>
          </w:p>
        </w:tc>
        <w:tc>
          <w:tcPr>
            <w:tcW w:w="1470"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1FCF25ED" w14:textId="77777777" w:rsidR="006B2BBC" w:rsidRPr="00DF4CE5" w:rsidRDefault="006B2BBC" w:rsidP="008B34AF">
            <w:pPr>
              <w:spacing w:after="0" w:line="240" w:lineRule="atLeast"/>
              <w:jc w:val="both"/>
              <w:rPr>
                <w:rFonts w:ascii="Cambria" w:eastAsia="Calibri" w:hAnsi="Cambria" w:cs="Calibri"/>
                <w:lang w:val="hr-HR"/>
              </w:rPr>
            </w:pPr>
            <w:r w:rsidRPr="00DF4CE5">
              <w:rPr>
                <w:rFonts w:ascii="Cambria" w:eastAsia="Calibri" w:hAnsi="Cambria" w:cs="Calibri"/>
              </w:rPr>
              <w:t>Jezik</w:t>
            </w:r>
            <w:r w:rsidRPr="00DF4CE5">
              <w:rPr>
                <w:rFonts w:ascii="Cambria" w:eastAsia="Calibri" w:hAnsi="Cambria" w:cs="Calibri"/>
                <w:lang w:val="hr-HR"/>
              </w:rPr>
              <w:t xml:space="preserve"> izvođenja (drugi jezici)</w:t>
            </w:r>
          </w:p>
        </w:tc>
        <w:tc>
          <w:tcPr>
            <w:tcW w:w="2772"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8EEB8E8" w14:textId="7252B2C5" w:rsidR="006B2BBC" w:rsidRPr="00DF4CE5" w:rsidRDefault="00E46651" w:rsidP="008B34AF">
            <w:pPr>
              <w:spacing w:after="0" w:line="240" w:lineRule="atLeast"/>
              <w:jc w:val="both"/>
              <w:rPr>
                <w:rFonts w:ascii="Cambria" w:eastAsia="Calibri" w:hAnsi="Cambria" w:cs="Calibri"/>
                <w:lang w:val="hr-HR"/>
              </w:rPr>
            </w:pPr>
            <w:r>
              <w:rPr>
                <w:rFonts w:ascii="Cambria" w:eastAsia="Calibri" w:hAnsi="Cambria" w:cs="Calibri"/>
                <w:lang w:val="hr-HR"/>
              </w:rPr>
              <w:t>h</w:t>
            </w:r>
            <w:proofErr w:type="spellStart"/>
            <w:r w:rsidR="006B2BBC" w:rsidRPr="00DF4CE5">
              <w:rPr>
                <w:rFonts w:ascii="Cambria" w:eastAsia="Calibri" w:hAnsi="Cambria" w:cs="Calibri"/>
              </w:rPr>
              <w:t>rvatski</w:t>
            </w:r>
            <w:proofErr w:type="spellEnd"/>
            <w:r>
              <w:rPr>
                <w:rFonts w:ascii="Cambria" w:eastAsia="Calibri" w:hAnsi="Cambria" w:cs="Calibri"/>
                <w:lang w:val="hr-HR"/>
              </w:rPr>
              <w:t xml:space="preserve">, </w:t>
            </w:r>
          </w:p>
          <w:p w14:paraId="293884E2" w14:textId="3432BFD8" w:rsidR="006B2BBC" w:rsidRPr="00DF4CE5" w:rsidRDefault="006B2BBC" w:rsidP="008B34AF">
            <w:pPr>
              <w:spacing w:after="0" w:line="240" w:lineRule="atLeast"/>
              <w:jc w:val="both"/>
              <w:rPr>
                <w:rFonts w:ascii="Cambria" w:eastAsia="Calibri" w:hAnsi="Cambria" w:cs="Calibri"/>
                <w:lang w:val="hr-HR"/>
              </w:rPr>
            </w:pPr>
            <w:r w:rsidRPr="00DF4CE5">
              <w:rPr>
                <w:rFonts w:ascii="Cambria" w:eastAsia="Calibri" w:hAnsi="Cambria" w:cs="Calibri"/>
                <w:lang w:val="hr-HR"/>
              </w:rPr>
              <w:t>e</w:t>
            </w:r>
            <w:proofErr w:type="spellStart"/>
            <w:r w:rsidRPr="00DF4CE5">
              <w:rPr>
                <w:rFonts w:ascii="Cambria" w:eastAsia="Calibri" w:hAnsi="Cambria" w:cs="Calibri"/>
              </w:rPr>
              <w:t>ngleski</w:t>
            </w:r>
            <w:proofErr w:type="spellEnd"/>
            <w:r w:rsidRPr="00DF4CE5">
              <w:rPr>
                <w:rFonts w:ascii="Cambria" w:eastAsia="Calibri" w:hAnsi="Cambria" w:cs="Calibri"/>
                <w:lang w:val="hr-HR"/>
              </w:rPr>
              <w:t xml:space="preserve"> </w:t>
            </w:r>
          </w:p>
        </w:tc>
      </w:tr>
      <w:tr w:rsidR="006B2BBC" w:rsidRPr="00DF4CE5" w14:paraId="5041A9FF" w14:textId="77777777" w:rsidTr="00C106A0">
        <w:tc>
          <w:tcPr>
            <w:tcW w:w="261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AAEAAAC" w14:textId="77777777" w:rsidR="006B2BBC" w:rsidRPr="00DF4CE5" w:rsidRDefault="006B2BBC" w:rsidP="008B34AF">
            <w:pPr>
              <w:spacing w:after="0" w:line="240" w:lineRule="atLeast"/>
              <w:jc w:val="both"/>
              <w:rPr>
                <w:rFonts w:ascii="Cambria" w:eastAsia="Calibri" w:hAnsi="Cambria" w:cs="Calibri"/>
                <w:lang w:val="hr-HR"/>
              </w:rPr>
            </w:pPr>
            <w:r w:rsidRPr="00DF4CE5">
              <w:rPr>
                <w:rFonts w:ascii="Cambria" w:eastAsia="Calibri" w:hAnsi="Cambria" w:cs="Calibri"/>
                <w:lang w:val="hr-HR"/>
              </w:rPr>
              <w:t>Broj ECTS bodova</w:t>
            </w:r>
          </w:p>
        </w:tc>
        <w:tc>
          <w:tcPr>
            <w:tcW w:w="248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9D67A4E" w14:textId="77777777" w:rsidR="006B2BBC" w:rsidRPr="00DF4CE5" w:rsidRDefault="006B2BBC" w:rsidP="008B34AF">
            <w:pPr>
              <w:spacing w:after="0" w:line="240" w:lineRule="atLeast"/>
              <w:jc w:val="both"/>
              <w:rPr>
                <w:rFonts w:ascii="Cambria" w:eastAsia="Calibri" w:hAnsi="Cambria" w:cs="Calibri"/>
                <w:lang w:val="hr-HR"/>
              </w:rPr>
            </w:pPr>
            <w:r w:rsidRPr="00DF4CE5">
              <w:rPr>
                <w:rFonts w:ascii="Cambria" w:eastAsia="Calibri" w:hAnsi="Cambria" w:cs="Calibri"/>
                <w:lang w:val="hr-HR"/>
              </w:rPr>
              <w:t>2</w:t>
            </w:r>
          </w:p>
        </w:tc>
        <w:tc>
          <w:tcPr>
            <w:tcW w:w="1470"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541EB284" w14:textId="77777777" w:rsidR="006B2BBC" w:rsidRPr="00DF4CE5" w:rsidRDefault="006B2BBC" w:rsidP="008B34AF">
            <w:pPr>
              <w:spacing w:after="0" w:line="240" w:lineRule="atLeast"/>
              <w:jc w:val="both"/>
              <w:rPr>
                <w:rFonts w:ascii="Cambria" w:eastAsia="Calibri" w:hAnsi="Cambria" w:cs="Calibri"/>
                <w:lang w:val="hr-HR"/>
              </w:rPr>
            </w:pPr>
            <w:r w:rsidRPr="00DF4CE5">
              <w:rPr>
                <w:rFonts w:ascii="Cambria" w:eastAsia="Calibri" w:hAnsi="Cambria" w:cs="Calibri"/>
                <w:lang w:val="hr-HR"/>
              </w:rPr>
              <w:t>Broj sati u semestru</w:t>
            </w:r>
          </w:p>
        </w:tc>
        <w:tc>
          <w:tcPr>
            <w:tcW w:w="2772"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8B343ED" w14:textId="0880E0EB" w:rsidR="006B2BBC" w:rsidRPr="00DF4CE5" w:rsidRDefault="006B2BBC" w:rsidP="008B34AF">
            <w:pPr>
              <w:spacing w:after="0" w:line="240" w:lineRule="atLeast"/>
              <w:jc w:val="both"/>
              <w:rPr>
                <w:rFonts w:ascii="Cambria" w:eastAsia="Calibri" w:hAnsi="Cambria" w:cs="Calibri"/>
                <w:lang w:val="hr-HR"/>
              </w:rPr>
            </w:pPr>
            <w:r w:rsidRPr="00DF4CE5">
              <w:rPr>
                <w:rFonts w:ascii="Cambria" w:eastAsia="Calibri" w:hAnsi="Cambria" w:cs="Calibri"/>
                <w:lang w:val="hr-HR"/>
              </w:rPr>
              <w:t>15P –</w:t>
            </w:r>
            <w:r w:rsidR="001974E1" w:rsidRPr="00DF4CE5">
              <w:rPr>
                <w:rFonts w:ascii="Cambria" w:eastAsia="Calibri" w:hAnsi="Cambria" w:cs="Calibri"/>
                <w:lang w:val="hr-HR"/>
              </w:rPr>
              <w:t>15S</w:t>
            </w:r>
            <w:r w:rsidRPr="00DF4CE5">
              <w:rPr>
                <w:rFonts w:ascii="Cambria" w:eastAsia="Calibri" w:hAnsi="Cambria" w:cs="Calibri"/>
                <w:lang w:val="hr-HR"/>
              </w:rPr>
              <w:t xml:space="preserve"> – </w:t>
            </w:r>
            <w:r w:rsidR="001974E1" w:rsidRPr="00DF4CE5">
              <w:rPr>
                <w:rFonts w:ascii="Cambria" w:eastAsia="Calibri" w:hAnsi="Cambria" w:cs="Calibri"/>
                <w:lang w:val="hr-HR"/>
              </w:rPr>
              <w:t>0V</w:t>
            </w:r>
          </w:p>
        </w:tc>
      </w:tr>
      <w:tr w:rsidR="006B2BBC" w:rsidRPr="00D0399C" w14:paraId="3D1B86B0" w14:textId="77777777" w:rsidTr="00C106A0">
        <w:tc>
          <w:tcPr>
            <w:tcW w:w="261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2237FBF" w14:textId="77777777" w:rsidR="006B2BBC" w:rsidRPr="00DF4CE5" w:rsidRDefault="006B2BBC" w:rsidP="008B34AF">
            <w:pPr>
              <w:spacing w:after="0" w:line="240" w:lineRule="atLeast"/>
              <w:jc w:val="both"/>
              <w:rPr>
                <w:rFonts w:ascii="Cambria" w:eastAsia="Calibri" w:hAnsi="Cambria" w:cs="Calibri"/>
                <w:lang w:val="hr-HR"/>
              </w:rPr>
            </w:pPr>
            <w:r w:rsidRPr="00DF4CE5">
              <w:rPr>
                <w:rFonts w:ascii="Cambria" w:eastAsia="Calibri" w:hAnsi="Cambria" w:cs="Calibri"/>
                <w:lang w:val="hr-HR"/>
              </w:rPr>
              <w:t>Preduvjeti za upis i za svladavanje</w:t>
            </w:r>
          </w:p>
        </w:tc>
        <w:tc>
          <w:tcPr>
            <w:tcW w:w="672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6E86947" w14:textId="77777777" w:rsidR="006B2BBC" w:rsidRPr="00DF4CE5" w:rsidRDefault="006B2BBC" w:rsidP="008B34AF">
            <w:pPr>
              <w:spacing w:after="0" w:line="240" w:lineRule="atLeast"/>
              <w:jc w:val="both"/>
              <w:rPr>
                <w:rFonts w:ascii="Cambria" w:eastAsia="Calibri" w:hAnsi="Cambria" w:cs="Calibri"/>
                <w:lang w:val="hr-HR"/>
              </w:rPr>
            </w:pPr>
            <w:r w:rsidRPr="00DF4CE5">
              <w:rPr>
                <w:rFonts w:ascii="Cambria" w:eastAsia="Calibri" w:hAnsi="Cambria" w:cs="Calibri"/>
                <w:lang w:val="hr-HR"/>
              </w:rPr>
              <w:t xml:space="preserve">Odslušani kolegiji Informatika, Osnove oblikovanja teksta i slike i Obrada slike i stolno izdavaštvo, Sustavi i alati za e-obrazovanje.  </w:t>
            </w:r>
          </w:p>
        </w:tc>
      </w:tr>
      <w:tr w:rsidR="006B2BBC" w:rsidRPr="00D0399C" w14:paraId="328C1991" w14:textId="77777777" w:rsidTr="00C106A0">
        <w:tc>
          <w:tcPr>
            <w:tcW w:w="261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40AD9C3" w14:textId="77777777" w:rsidR="006B2BBC" w:rsidRPr="00DF4CE5" w:rsidRDefault="006B2BBC" w:rsidP="008B34AF">
            <w:pPr>
              <w:spacing w:after="0" w:line="240" w:lineRule="atLeast"/>
              <w:jc w:val="both"/>
              <w:rPr>
                <w:rFonts w:ascii="Cambria" w:eastAsia="Calibri" w:hAnsi="Cambria" w:cs="Calibri"/>
                <w:lang w:val="hr-HR"/>
              </w:rPr>
            </w:pPr>
            <w:proofErr w:type="spellStart"/>
            <w:r w:rsidRPr="00DF4CE5">
              <w:rPr>
                <w:rFonts w:ascii="Cambria" w:eastAsia="Calibri" w:hAnsi="Cambria" w:cs="Calibri"/>
              </w:rPr>
              <w:t>Korelativnost</w:t>
            </w:r>
            <w:proofErr w:type="spellEnd"/>
          </w:p>
        </w:tc>
        <w:tc>
          <w:tcPr>
            <w:tcW w:w="672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F510727" w14:textId="77777777" w:rsidR="006B2BBC" w:rsidRPr="00DF4CE5" w:rsidRDefault="006B2BBC" w:rsidP="008B34AF">
            <w:pPr>
              <w:spacing w:after="0" w:line="240" w:lineRule="atLeast"/>
              <w:jc w:val="both"/>
              <w:rPr>
                <w:rFonts w:ascii="Cambria" w:eastAsia="Calibri" w:hAnsi="Cambria" w:cs="Calibri"/>
                <w:lang w:val="hr-HR"/>
              </w:rPr>
            </w:pPr>
            <w:r w:rsidRPr="00DF4CE5">
              <w:rPr>
                <w:rFonts w:ascii="Cambria" w:eastAsia="Calibri" w:hAnsi="Cambria" w:cs="Calibri"/>
                <w:lang w:val="hr-HR"/>
              </w:rPr>
              <w:t>Osnove  informatike, Osnove oblikovanja teksta i slike, Obrada slike i stolno izdavaštvo,  Sustavi i alati za e-obrazovanje</w:t>
            </w:r>
          </w:p>
        </w:tc>
      </w:tr>
      <w:tr w:rsidR="006B2BBC" w:rsidRPr="00D0399C" w14:paraId="6DC99461" w14:textId="77777777" w:rsidTr="00C106A0">
        <w:tc>
          <w:tcPr>
            <w:tcW w:w="261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3BDA492" w14:textId="77777777" w:rsidR="006B2BBC" w:rsidRPr="00DF4CE5" w:rsidRDefault="006B2BBC" w:rsidP="008B34AF">
            <w:pPr>
              <w:spacing w:after="0" w:line="240" w:lineRule="atLeast"/>
              <w:jc w:val="both"/>
              <w:rPr>
                <w:rFonts w:ascii="Cambria" w:eastAsia="Calibri" w:hAnsi="Cambria" w:cs="Calibri"/>
                <w:lang w:val="hr-HR"/>
              </w:rPr>
            </w:pPr>
            <w:r w:rsidRPr="00DF4CE5">
              <w:rPr>
                <w:rFonts w:ascii="Cambria" w:eastAsia="Calibri" w:hAnsi="Cambria" w:cs="Calibri"/>
                <w:lang w:val="hr-HR"/>
              </w:rPr>
              <w:t xml:space="preserve">Cilj kolegija </w:t>
            </w:r>
          </w:p>
        </w:tc>
        <w:tc>
          <w:tcPr>
            <w:tcW w:w="672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A68491C" w14:textId="5DB189A9" w:rsidR="006B2BBC" w:rsidRPr="00DF4CE5" w:rsidRDefault="00E46651" w:rsidP="002B2FEE">
            <w:pPr>
              <w:spacing w:after="0" w:line="240" w:lineRule="atLeast"/>
              <w:contextualSpacing/>
              <w:jc w:val="both"/>
              <w:rPr>
                <w:rFonts w:ascii="Cambria" w:eastAsia="Calibri" w:hAnsi="Cambria" w:cs="Calibri"/>
                <w:lang w:val="hr-HR"/>
              </w:rPr>
            </w:pPr>
            <w:r>
              <w:rPr>
                <w:rFonts w:ascii="Cambria" w:eastAsia="Calibri" w:hAnsi="Cambria" w:cs="Calibri"/>
                <w:lang w:val="hr-HR"/>
              </w:rPr>
              <w:t xml:space="preserve">usvojiti </w:t>
            </w:r>
            <w:r w:rsidR="002B2FEE">
              <w:rPr>
                <w:rFonts w:ascii="Cambria" w:eastAsia="Calibri" w:hAnsi="Cambria" w:cs="Calibri"/>
                <w:lang w:val="hr-HR"/>
              </w:rPr>
              <w:t xml:space="preserve">kompetencije za korištenje terminologije i izbor potrebnih alata </w:t>
            </w:r>
          </w:p>
        </w:tc>
      </w:tr>
      <w:tr w:rsidR="006B2BBC" w:rsidRPr="00D0399C" w14:paraId="23DF531C" w14:textId="77777777" w:rsidTr="00C106A0">
        <w:tc>
          <w:tcPr>
            <w:tcW w:w="261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94E4BF1" w14:textId="77777777" w:rsidR="006B2BBC" w:rsidRPr="00DF4CE5" w:rsidRDefault="006B2BBC" w:rsidP="008B34AF">
            <w:pPr>
              <w:spacing w:after="0" w:line="240" w:lineRule="atLeast"/>
              <w:jc w:val="both"/>
              <w:rPr>
                <w:rFonts w:ascii="Cambria" w:eastAsia="Calibri" w:hAnsi="Cambria" w:cs="Calibri"/>
                <w:lang w:val="hr-HR"/>
              </w:rPr>
            </w:pPr>
            <w:r w:rsidRPr="00DF4CE5">
              <w:rPr>
                <w:rFonts w:ascii="Cambria" w:eastAsia="Calibri" w:hAnsi="Cambria" w:cs="Calibri"/>
                <w:lang w:val="hr-HR"/>
              </w:rPr>
              <w:t>Ishodi učenja</w:t>
            </w:r>
          </w:p>
        </w:tc>
        <w:tc>
          <w:tcPr>
            <w:tcW w:w="672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6376980" w14:textId="77777777" w:rsidR="00E46651" w:rsidRDefault="00E46651" w:rsidP="00E46651">
            <w:pPr>
              <w:spacing w:after="0" w:line="240" w:lineRule="atLeast"/>
              <w:contextualSpacing/>
              <w:jc w:val="both"/>
              <w:rPr>
                <w:rFonts w:ascii="Cambria" w:eastAsia="Calibri" w:hAnsi="Cambria" w:cs="Calibri"/>
                <w:lang w:val="hr-HR"/>
              </w:rPr>
            </w:pPr>
            <w:r>
              <w:rPr>
                <w:rFonts w:ascii="Cambria" w:eastAsia="Calibri" w:hAnsi="Cambria" w:cs="Calibri"/>
                <w:lang w:val="hr-HR"/>
              </w:rPr>
              <w:t>1. n</w:t>
            </w:r>
            <w:r w:rsidR="006B2BBC" w:rsidRPr="00DF4CE5">
              <w:rPr>
                <w:rFonts w:ascii="Cambria" w:eastAsia="Calibri" w:hAnsi="Cambria" w:cs="Calibri"/>
                <w:lang w:val="hr-HR"/>
              </w:rPr>
              <w:t xml:space="preserve">abrojiti osnovne termine </w:t>
            </w:r>
            <w:proofErr w:type="spellStart"/>
            <w:r w:rsidR="006B2BBC" w:rsidRPr="00DF4CE5">
              <w:rPr>
                <w:rFonts w:ascii="Cambria" w:eastAsia="Calibri" w:hAnsi="Cambria" w:cs="Calibri"/>
                <w:lang w:val="hr-HR"/>
              </w:rPr>
              <w:t>eObrazovanja</w:t>
            </w:r>
            <w:proofErr w:type="spellEnd"/>
          </w:p>
          <w:p w14:paraId="43F624A2" w14:textId="77777777" w:rsidR="00E46651" w:rsidRDefault="00E46651" w:rsidP="00E46651">
            <w:pPr>
              <w:spacing w:after="0" w:line="240" w:lineRule="atLeast"/>
              <w:contextualSpacing/>
              <w:jc w:val="both"/>
              <w:rPr>
                <w:rFonts w:ascii="Cambria" w:eastAsia="Calibri" w:hAnsi="Cambria" w:cs="Calibri"/>
                <w:lang w:val="hr-HR"/>
              </w:rPr>
            </w:pPr>
            <w:r>
              <w:rPr>
                <w:rFonts w:ascii="Cambria" w:eastAsia="Calibri" w:hAnsi="Cambria" w:cs="Calibri"/>
                <w:lang w:val="hr-HR"/>
              </w:rPr>
              <w:t>2. a</w:t>
            </w:r>
            <w:r w:rsidR="006B2BBC" w:rsidRPr="00DF4CE5">
              <w:rPr>
                <w:rFonts w:ascii="Cambria" w:eastAsia="Calibri" w:hAnsi="Cambria" w:cs="Calibri"/>
                <w:lang w:val="hr-HR"/>
              </w:rPr>
              <w:t>nalizirati  nastavni sadržaj s aspekta potrebnih alata</w:t>
            </w:r>
          </w:p>
          <w:p w14:paraId="6CC9A808" w14:textId="77777777" w:rsidR="00E46651" w:rsidRDefault="00E46651" w:rsidP="00E46651">
            <w:pPr>
              <w:spacing w:after="0" w:line="240" w:lineRule="atLeast"/>
              <w:contextualSpacing/>
              <w:jc w:val="both"/>
              <w:rPr>
                <w:rFonts w:ascii="Cambria" w:eastAsia="Calibri" w:hAnsi="Cambria" w:cs="Calibri"/>
                <w:lang w:val="hr-HR"/>
              </w:rPr>
            </w:pPr>
            <w:r>
              <w:rPr>
                <w:rFonts w:ascii="Cambria" w:eastAsia="Calibri" w:hAnsi="Cambria" w:cs="Calibri"/>
                <w:lang w:val="hr-HR"/>
              </w:rPr>
              <w:t xml:space="preserve">3. </w:t>
            </w:r>
            <w:proofErr w:type="spellStart"/>
            <w:r w:rsidR="006B2BBC" w:rsidRPr="00DF4CE5">
              <w:rPr>
                <w:rFonts w:ascii="Cambria" w:eastAsia="Calibri" w:hAnsi="Cambria" w:cs="Calibri"/>
                <w:lang w:val="hr-HR"/>
              </w:rPr>
              <w:t>intetizirati</w:t>
            </w:r>
            <w:proofErr w:type="spellEnd"/>
            <w:r w:rsidR="006B2BBC" w:rsidRPr="00DF4CE5">
              <w:rPr>
                <w:rFonts w:ascii="Cambria" w:eastAsia="Calibri" w:hAnsi="Cambria" w:cs="Calibri"/>
                <w:lang w:val="hr-HR"/>
              </w:rPr>
              <w:t xml:space="preserve"> nastavne sadržaje i pripremiti za primjenu pojedinih alata</w:t>
            </w:r>
          </w:p>
          <w:p w14:paraId="5434A12C" w14:textId="77777777" w:rsidR="00E46651" w:rsidRDefault="00E46651" w:rsidP="00E46651">
            <w:pPr>
              <w:spacing w:after="0" w:line="240" w:lineRule="atLeast"/>
              <w:contextualSpacing/>
              <w:jc w:val="both"/>
              <w:rPr>
                <w:rFonts w:ascii="Cambria" w:eastAsia="Calibri" w:hAnsi="Cambria" w:cs="Calibri"/>
                <w:lang w:val="hr-HR"/>
              </w:rPr>
            </w:pPr>
            <w:r>
              <w:rPr>
                <w:rFonts w:ascii="Cambria" w:eastAsia="Calibri" w:hAnsi="Cambria" w:cs="Calibri"/>
                <w:lang w:val="hr-HR"/>
              </w:rPr>
              <w:t>4. k</w:t>
            </w:r>
            <w:r w:rsidR="006B2BBC" w:rsidRPr="00DF4CE5">
              <w:rPr>
                <w:rFonts w:ascii="Cambria" w:eastAsia="Calibri" w:hAnsi="Cambria" w:cs="Calibri"/>
                <w:lang w:val="hr-HR"/>
              </w:rPr>
              <w:t xml:space="preserve">oristiti i kombinirati  neke od Web 2.0 alata </w:t>
            </w:r>
          </w:p>
          <w:p w14:paraId="3DC8093B" w14:textId="77777777" w:rsidR="00E46651" w:rsidRDefault="00E46651" w:rsidP="00E46651">
            <w:pPr>
              <w:spacing w:after="0" w:line="240" w:lineRule="atLeast"/>
              <w:contextualSpacing/>
              <w:jc w:val="both"/>
              <w:rPr>
                <w:rFonts w:ascii="Cambria" w:eastAsia="Calibri" w:hAnsi="Cambria" w:cs="Calibri"/>
                <w:lang w:val="hr-HR"/>
              </w:rPr>
            </w:pPr>
            <w:r>
              <w:rPr>
                <w:rFonts w:ascii="Cambria" w:eastAsia="Calibri" w:hAnsi="Cambria" w:cs="Calibri"/>
                <w:lang w:val="hr-HR"/>
              </w:rPr>
              <w:t>5. p</w:t>
            </w:r>
            <w:r w:rsidR="006B2BBC" w:rsidRPr="00DF4CE5">
              <w:rPr>
                <w:rFonts w:ascii="Cambria" w:eastAsia="Calibri" w:hAnsi="Cambria" w:cs="Calibri"/>
                <w:lang w:val="hr-HR"/>
              </w:rPr>
              <w:t xml:space="preserve">lanirati i dizajnirati nastavu uz pomoć </w:t>
            </w:r>
            <w:proofErr w:type="spellStart"/>
            <w:r w:rsidR="006B2BBC" w:rsidRPr="00DF4CE5">
              <w:rPr>
                <w:rFonts w:ascii="Cambria" w:eastAsia="Calibri" w:hAnsi="Cambria" w:cs="Calibri"/>
                <w:lang w:val="hr-HR"/>
              </w:rPr>
              <w:t>eAlata</w:t>
            </w:r>
            <w:proofErr w:type="spellEnd"/>
          </w:p>
          <w:p w14:paraId="0C794882" w14:textId="6A839673" w:rsidR="006B2BBC" w:rsidRPr="00DF4CE5" w:rsidRDefault="00E46651" w:rsidP="00E46651">
            <w:pPr>
              <w:spacing w:after="0" w:line="240" w:lineRule="atLeast"/>
              <w:contextualSpacing/>
              <w:jc w:val="both"/>
              <w:rPr>
                <w:rFonts w:ascii="Cambria" w:eastAsia="Calibri" w:hAnsi="Cambria" w:cs="Calibri"/>
                <w:lang w:val="hr-HR"/>
              </w:rPr>
            </w:pPr>
            <w:r>
              <w:rPr>
                <w:rFonts w:ascii="Cambria" w:eastAsia="Calibri" w:hAnsi="Cambria" w:cs="Calibri"/>
                <w:lang w:val="hr-HR"/>
              </w:rPr>
              <w:t>6. k</w:t>
            </w:r>
            <w:r w:rsidR="006B2BBC" w:rsidRPr="00DF4CE5">
              <w:rPr>
                <w:rFonts w:ascii="Cambria" w:eastAsia="Calibri" w:hAnsi="Cambria" w:cs="Calibri"/>
                <w:lang w:val="hr-HR"/>
              </w:rPr>
              <w:t xml:space="preserve">oristiti </w:t>
            </w:r>
            <w:proofErr w:type="spellStart"/>
            <w:r w:rsidR="006B2BBC" w:rsidRPr="00DF4CE5">
              <w:rPr>
                <w:rFonts w:ascii="Cambria" w:eastAsia="Calibri" w:hAnsi="Cambria" w:cs="Calibri"/>
                <w:lang w:val="hr-HR"/>
              </w:rPr>
              <w:t>eAlate</w:t>
            </w:r>
            <w:proofErr w:type="spellEnd"/>
            <w:r w:rsidR="006B2BBC" w:rsidRPr="00DF4CE5">
              <w:rPr>
                <w:rFonts w:ascii="Cambria" w:eastAsia="Calibri" w:hAnsi="Cambria" w:cs="Calibri"/>
                <w:lang w:val="hr-HR"/>
              </w:rPr>
              <w:t xml:space="preserve"> u </w:t>
            </w:r>
            <w:proofErr w:type="spellStart"/>
            <w:r w:rsidR="006B2BBC" w:rsidRPr="00DF4CE5">
              <w:rPr>
                <w:rFonts w:ascii="Cambria" w:eastAsia="Calibri" w:hAnsi="Cambria" w:cs="Calibri"/>
                <w:lang w:val="hr-HR"/>
              </w:rPr>
              <w:t>komunikacijis</w:t>
            </w:r>
            <w:proofErr w:type="spellEnd"/>
            <w:r w:rsidR="006B2BBC" w:rsidRPr="00DF4CE5">
              <w:rPr>
                <w:rFonts w:ascii="Cambria" w:eastAsia="Calibri" w:hAnsi="Cambria" w:cs="Calibri"/>
                <w:lang w:val="hr-HR"/>
              </w:rPr>
              <w:t xml:space="preserve"> učesnicima u nastavi</w:t>
            </w:r>
          </w:p>
        </w:tc>
      </w:tr>
      <w:tr w:rsidR="006B2BBC" w:rsidRPr="00D0399C" w14:paraId="4E1AD04E" w14:textId="77777777" w:rsidTr="00C106A0">
        <w:tc>
          <w:tcPr>
            <w:tcW w:w="2616"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49840F45" w14:textId="77777777" w:rsidR="006B2BBC" w:rsidRPr="00DF4CE5" w:rsidRDefault="006B2BBC" w:rsidP="008B34AF">
            <w:pPr>
              <w:spacing w:after="0" w:line="240" w:lineRule="atLeast"/>
              <w:jc w:val="both"/>
              <w:rPr>
                <w:rFonts w:ascii="Cambria" w:eastAsia="Calibri" w:hAnsi="Cambria" w:cs="Calibri"/>
                <w:lang w:val="hr-HR"/>
              </w:rPr>
            </w:pPr>
            <w:r w:rsidRPr="00DF4CE5">
              <w:rPr>
                <w:rFonts w:ascii="Cambria" w:eastAsia="Calibri" w:hAnsi="Cambria" w:cs="Calibri"/>
                <w:lang w:val="hr-HR"/>
              </w:rPr>
              <w:t>Sadržaj kolegija</w:t>
            </w:r>
          </w:p>
        </w:tc>
        <w:tc>
          <w:tcPr>
            <w:tcW w:w="6724"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A4AA973" w14:textId="77777777" w:rsidR="006B2BBC" w:rsidRPr="00DF4CE5" w:rsidRDefault="006B2BBC" w:rsidP="008B34AF">
            <w:pPr>
              <w:spacing w:after="0" w:line="240" w:lineRule="atLeast"/>
              <w:jc w:val="both"/>
              <w:rPr>
                <w:rFonts w:ascii="Cambria" w:eastAsia="Calibri" w:hAnsi="Cambria" w:cs="Calibri"/>
                <w:lang w:val="hr-HR"/>
              </w:rPr>
            </w:pPr>
            <w:r w:rsidRPr="00DF4CE5">
              <w:rPr>
                <w:rFonts w:ascii="Cambria" w:eastAsia="Calibri" w:hAnsi="Cambria" w:cs="Calibri"/>
                <w:lang w:val="hr-HR"/>
              </w:rPr>
              <w:t>Predavanja i seminari:</w:t>
            </w:r>
          </w:p>
          <w:p w14:paraId="4D538362" w14:textId="18898D14" w:rsidR="006B2BBC" w:rsidRPr="00DF4CE5" w:rsidRDefault="00E46651" w:rsidP="00E46651">
            <w:pPr>
              <w:spacing w:after="0" w:line="240" w:lineRule="atLeast"/>
              <w:contextualSpacing/>
              <w:jc w:val="both"/>
              <w:rPr>
                <w:rFonts w:ascii="Cambria" w:eastAsia="Calibri" w:hAnsi="Cambria" w:cs="Calibri"/>
                <w:lang w:val="hr-HR"/>
              </w:rPr>
            </w:pPr>
            <w:r>
              <w:rPr>
                <w:rFonts w:ascii="Cambria" w:eastAsia="Calibri" w:hAnsi="Cambria" w:cs="Calibri"/>
                <w:lang w:val="hr-HR"/>
              </w:rPr>
              <w:t xml:space="preserve">1. </w:t>
            </w:r>
            <w:r w:rsidR="006B2BBC" w:rsidRPr="00DF4CE5">
              <w:rPr>
                <w:rFonts w:ascii="Cambria" w:eastAsia="Calibri" w:hAnsi="Cambria" w:cs="Calibri"/>
                <w:lang w:val="hr-HR"/>
              </w:rPr>
              <w:t>Web 1.0 – konzumerizam.</w:t>
            </w:r>
          </w:p>
          <w:p w14:paraId="17E421F1" w14:textId="586106D1" w:rsidR="006B2BBC" w:rsidRPr="00DF4CE5" w:rsidRDefault="00E46651" w:rsidP="00E46651">
            <w:pPr>
              <w:spacing w:after="0" w:line="240" w:lineRule="atLeast"/>
              <w:contextualSpacing/>
              <w:jc w:val="both"/>
              <w:rPr>
                <w:rFonts w:ascii="Cambria" w:eastAsia="Calibri" w:hAnsi="Cambria" w:cs="Calibri"/>
                <w:lang w:val="hr-HR"/>
              </w:rPr>
            </w:pPr>
            <w:r>
              <w:rPr>
                <w:rFonts w:ascii="Cambria" w:eastAsia="Calibri" w:hAnsi="Cambria" w:cs="Calibri"/>
                <w:lang w:val="hr-HR"/>
              </w:rPr>
              <w:t xml:space="preserve">2. </w:t>
            </w:r>
            <w:r w:rsidR="006B2BBC" w:rsidRPr="00DF4CE5">
              <w:rPr>
                <w:rFonts w:ascii="Cambria" w:eastAsia="Calibri" w:hAnsi="Cambria" w:cs="Calibri"/>
                <w:lang w:val="hr-HR"/>
              </w:rPr>
              <w:t>O alatima za e-obrazovanje. Podjela.</w:t>
            </w:r>
          </w:p>
          <w:p w14:paraId="25F6DE23" w14:textId="2311F5A9" w:rsidR="006B2BBC" w:rsidRPr="00DF4CE5" w:rsidRDefault="00E46651" w:rsidP="00E46651">
            <w:pPr>
              <w:spacing w:after="0" w:line="240" w:lineRule="atLeast"/>
              <w:contextualSpacing/>
              <w:jc w:val="both"/>
              <w:rPr>
                <w:rFonts w:ascii="Cambria" w:eastAsia="Calibri" w:hAnsi="Cambria" w:cs="Calibri"/>
                <w:lang w:val="hr-HR"/>
              </w:rPr>
            </w:pPr>
            <w:r>
              <w:rPr>
                <w:rFonts w:ascii="Cambria" w:eastAsia="Calibri" w:hAnsi="Cambria" w:cs="Calibri"/>
                <w:lang w:val="hr-HR"/>
              </w:rPr>
              <w:t xml:space="preserve">3. </w:t>
            </w:r>
            <w:r w:rsidR="006B2BBC" w:rsidRPr="00DF4CE5">
              <w:rPr>
                <w:rFonts w:ascii="Cambria" w:eastAsia="Calibri" w:hAnsi="Cambria" w:cs="Calibri"/>
                <w:lang w:val="hr-HR"/>
              </w:rPr>
              <w:t xml:space="preserve">Društveni i suradnički prostori: Facebook; Google+; LinkedIn; </w:t>
            </w:r>
            <w:proofErr w:type="spellStart"/>
            <w:r w:rsidR="006B2BBC" w:rsidRPr="00DF4CE5">
              <w:rPr>
                <w:rFonts w:ascii="Cambria" w:eastAsia="Calibri" w:hAnsi="Cambria" w:cs="Calibri"/>
                <w:lang w:val="hr-HR"/>
              </w:rPr>
              <w:t>Twiter</w:t>
            </w:r>
            <w:proofErr w:type="spellEnd"/>
            <w:r w:rsidR="006B2BBC" w:rsidRPr="00DF4CE5">
              <w:rPr>
                <w:rFonts w:ascii="Cambria" w:eastAsia="Calibri" w:hAnsi="Cambria" w:cs="Calibri"/>
                <w:lang w:val="hr-HR"/>
              </w:rPr>
              <w:t xml:space="preserve">; </w:t>
            </w:r>
            <w:proofErr w:type="spellStart"/>
            <w:r w:rsidR="006B2BBC" w:rsidRPr="00DF4CE5">
              <w:rPr>
                <w:rFonts w:ascii="Cambria" w:eastAsia="Calibri" w:hAnsi="Cambria" w:cs="Calibri"/>
                <w:lang w:val="hr-HR"/>
              </w:rPr>
              <w:t>Yammer</w:t>
            </w:r>
            <w:proofErr w:type="spellEnd"/>
            <w:r w:rsidR="006B2BBC" w:rsidRPr="00DF4CE5">
              <w:rPr>
                <w:rFonts w:ascii="Cambria" w:eastAsia="Calibri" w:hAnsi="Cambria" w:cs="Calibri"/>
                <w:lang w:val="hr-HR"/>
              </w:rPr>
              <w:t xml:space="preserve">; </w:t>
            </w:r>
            <w:proofErr w:type="spellStart"/>
            <w:r w:rsidR="006B2BBC" w:rsidRPr="00DF4CE5">
              <w:rPr>
                <w:rFonts w:ascii="Cambria" w:eastAsia="Calibri" w:hAnsi="Cambria" w:cs="Calibri"/>
                <w:lang w:val="hr-HR"/>
              </w:rPr>
              <w:t>Buddypress</w:t>
            </w:r>
            <w:proofErr w:type="spellEnd"/>
          </w:p>
          <w:p w14:paraId="0AB4B86A" w14:textId="1681330C" w:rsidR="006B2BBC" w:rsidRPr="00DF4CE5" w:rsidRDefault="00E46651" w:rsidP="00E46651">
            <w:pPr>
              <w:spacing w:after="0" w:line="240" w:lineRule="atLeast"/>
              <w:contextualSpacing/>
              <w:jc w:val="both"/>
              <w:rPr>
                <w:rFonts w:ascii="Cambria" w:eastAsia="Calibri" w:hAnsi="Cambria" w:cs="Calibri"/>
                <w:lang w:val="hr-HR"/>
              </w:rPr>
            </w:pPr>
            <w:r>
              <w:rPr>
                <w:rFonts w:ascii="Cambria" w:eastAsia="Calibri" w:hAnsi="Cambria" w:cs="Calibri"/>
                <w:lang w:val="hr-HR"/>
              </w:rPr>
              <w:t xml:space="preserve">4. </w:t>
            </w:r>
            <w:r w:rsidR="006B2BBC" w:rsidRPr="00DF4CE5">
              <w:rPr>
                <w:rFonts w:ascii="Cambria" w:eastAsia="Calibri" w:hAnsi="Cambria" w:cs="Calibri"/>
                <w:lang w:val="hr-HR"/>
              </w:rPr>
              <w:t xml:space="preserve">Alati za web sastanke, konferencije i virtualizaciju: Big Blue </w:t>
            </w:r>
            <w:proofErr w:type="spellStart"/>
            <w:r w:rsidR="006B2BBC" w:rsidRPr="00DF4CE5">
              <w:rPr>
                <w:rFonts w:ascii="Cambria" w:eastAsia="Calibri" w:hAnsi="Cambria" w:cs="Calibri"/>
                <w:lang w:val="hr-HR"/>
              </w:rPr>
              <w:t>Button</w:t>
            </w:r>
            <w:proofErr w:type="spellEnd"/>
            <w:r w:rsidR="006B2BBC" w:rsidRPr="00DF4CE5">
              <w:rPr>
                <w:rFonts w:ascii="Cambria" w:eastAsia="Calibri" w:hAnsi="Cambria" w:cs="Calibri"/>
                <w:lang w:val="hr-HR"/>
              </w:rPr>
              <w:t xml:space="preserve">; </w:t>
            </w:r>
            <w:proofErr w:type="spellStart"/>
            <w:r w:rsidR="006B2BBC" w:rsidRPr="00DF4CE5">
              <w:rPr>
                <w:rFonts w:ascii="Cambria" w:eastAsia="Calibri" w:hAnsi="Cambria" w:cs="Calibri"/>
                <w:lang w:val="hr-HR"/>
              </w:rPr>
              <w:t>Ustream</w:t>
            </w:r>
            <w:proofErr w:type="spellEnd"/>
            <w:r w:rsidR="006B2BBC" w:rsidRPr="00DF4CE5">
              <w:rPr>
                <w:rFonts w:ascii="Cambria" w:eastAsia="Calibri" w:hAnsi="Cambria" w:cs="Calibri"/>
                <w:lang w:val="hr-HR"/>
              </w:rPr>
              <w:t xml:space="preserve">; </w:t>
            </w:r>
            <w:proofErr w:type="spellStart"/>
            <w:r w:rsidR="006B2BBC" w:rsidRPr="00DF4CE5">
              <w:rPr>
                <w:rFonts w:ascii="Cambria" w:eastAsia="Calibri" w:hAnsi="Cambria" w:cs="Calibri"/>
                <w:lang w:val="hr-HR"/>
              </w:rPr>
              <w:t>Edusim</w:t>
            </w:r>
            <w:proofErr w:type="spellEnd"/>
          </w:p>
          <w:p w14:paraId="521369DD" w14:textId="4A2B9FD9" w:rsidR="006B2BBC" w:rsidRPr="00DF4CE5" w:rsidRDefault="00E46651" w:rsidP="00E46651">
            <w:pPr>
              <w:spacing w:after="0" w:line="240" w:lineRule="atLeast"/>
              <w:contextualSpacing/>
              <w:jc w:val="both"/>
              <w:rPr>
                <w:rFonts w:ascii="Cambria" w:eastAsia="Calibri" w:hAnsi="Cambria" w:cs="Calibri"/>
                <w:lang w:val="hr-HR"/>
              </w:rPr>
            </w:pPr>
            <w:r>
              <w:rPr>
                <w:rFonts w:ascii="Cambria" w:eastAsia="Calibri" w:hAnsi="Cambria" w:cs="Calibri"/>
                <w:lang w:val="hr-HR"/>
              </w:rPr>
              <w:t xml:space="preserve">5. </w:t>
            </w:r>
            <w:r w:rsidR="006B2BBC" w:rsidRPr="00DF4CE5">
              <w:rPr>
                <w:rFonts w:ascii="Cambria" w:eastAsia="Calibri" w:hAnsi="Cambria" w:cs="Calibri"/>
                <w:lang w:val="hr-HR"/>
              </w:rPr>
              <w:t xml:space="preserve">Web 2.0 - </w:t>
            </w:r>
            <w:proofErr w:type="spellStart"/>
            <w:r w:rsidR="006B2BBC" w:rsidRPr="00DF4CE5">
              <w:rPr>
                <w:rFonts w:ascii="Cambria" w:eastAsia="Calibri" w:hAnsi="Cambria" w:cs="Calibri"/>
                <w:lang w:val="hr-HR"/>
              </w:rPr>
              <w:t>prosumerizam</w:t>
            </w:r>
            <w:proofErr w:type="spellEnd"/>
          </w:p>
          <w:p w14:paraId="0E6982CC" w14:textId="77777777" w:rsidR="00E46651" w:rsidRDefault="00E46651" w:rsidP="00E46651">
            <w:pPr>
              <w:spacing w:after="0" w:line="240" w:lineRule="atLeast"/>
              <w:contextualSpacing/>
              <w:jc w:val="both"/>
              <w:rPr>
                <w:rFonts w:ascii="Cambria" w:eastAsia="Calibri" w:hAnsi="Cambria" w:cs="Calibri"/>
                <w:lang w:val="hr-HR"/>
              </w:rPr>
            </w:pPr>
            <w:r>
              <w:rPr>
                <w:rFonts w:ascii="Cambria" w:eastAsia="Calibri" w:hAnsi="Cambria" w:cs="Calibri"/>
                <w:lang w:val="hr-HR"/>
              </w:rPr>
              <w:lastRenderedPageBreak/>
              <w:t>6. O</w:t>
            </w:r>
            <w:r w:rsidR="006B2BBC" w:rsidRPr="00DF4CE5">
              <w:rPr>
                <w:rFonts w:ascii="Cambria" w:eastAsia="Calibri" w:hAnsi="Cambria" w:cs="Calibri"/>
                <w:lang w:val="hr-HR"/>
              </w:rPr>
              <w:t xml:space="preserve">stali alati za kolaboraciju i dijeljenje: </w:t>
            </w:r>
            <w:proofErr w:type="spellStart"/>
            <w:r w:rsidR="006B2BBC" w:rsidRPr="00DF4CE5">
              <w:rPr>
                <w:rFonts w:ascii="Cambria" w:eastAsia="Calibri" w:hAnsi="Cambria" w:cs="Calibri"/>
                <w:lang w:val="hr-HR"/>
              </w:rPr>
              <w:t>Delicious</w:t>
            </w:r>
            <w:proofErr w:type="spellEnd"/>
            <w:r w:rsidR="006B2BBC" w:rsidRPr="00DF4CE5">
              <w:rPr>
                <w:rFonts w:ascii="Cambria" w:eastAsia="Calibri" w:hAnsi="Cambria" w:cs="Calibri"/>
                <w:lang w:val="hr-HR"/>
              </w:rPr>
              <w:t xml:space="preserve">; </w:t>
            </w:r>
            <w:proofErr w:type="spellStart"/>
            <w:r w:rsidR="006B2BBC" w:rsidRPr="00DF4CE5">
              <w:rPr>
                <w:rFonts w:ascii="Cambria" w:eastAsia="Calibri" w:hAnsi="Cambria" w:cs="Calibri"/>
                <w:lang w:val="hr-HR"/>
              </w:rPr>
              <w:t>Diigo</w:t>
            </w:r>
            <w:proofErr w:type="spellEnd"/>
            <w:r w:rsidR="006B2BBC" w:rsidRPr="00DF4CE5">
              <w:rPr>
                <w:rFonts w:ascii="Cambria" w:eastAsia="Calibri" w:hAnsi="Cambria" w:cs="Calibri"/>
                <w:lang w:val="hr-HR"/>
              </w:rPr>
              <w:t xml:space="preserve">; </w:t>
            </w:r>
            <w:proofErr w:type="spellStart"/>
            <w:r w:rsidR="006B2BBC" w:rsidRPr="00DF4CE5">
              <w:rPr>
                <w:rFonts w:ascii="Cambria" w:eastAsia="Calibri" w:hAnsi="Cambria" w:cs="Calibri"/>
                <w:lang w:val="hr-HR"/>
              </w:rPr>
              <w:t>Paper.li</w:t>
            </w:r>
            <w:proofErr w:type="spellEnd"/>
            <w:r w:rsidR="006B2BBC" w:rsidRPr="00DF4CE5">
              <w:rPr>
                <w:rFonts w:ascii="Cambria" w:eastAsia="Calibri" w:hAnsi="Cambria" w:cs="Calibri"/>
                <w:lang w:val="hr-HR"/>
              </w:rPr>
              <w:t xml:space="preserve">; Scoop.it; </w:t>
            </w:r>
            <w:proofErr w:type="spellStart"/>
            <w:r w:rsidR="006B2BBC" w:rsidRPr="00DF4CE5">
              <w:rPr>
                <w:rFonts w:ascii="Cambria" w:eastAsia="Calibri" w:hAnsi="Cambria" w:cs="Calibri"/>
                <w:lang w:val="hr-HR"/>
              </w:rPr>
              <w:t>Storify</w:t>
            </w:r>
            <w:proofErr w:type="spellEnd"/>
            <w:r w:rsidR="006B2BBC" w:rsidRPr="00DF4CE5">
              <w:rPr>
                <w:rFonts w:ascii="Cambria" w:eastAsia="Calibri" w:hAnsi="Cambria" w:cs="Calibri"/>
                <w:lang w:val="hr-HR"/>
              </w:rPr>
              <w:t xml:space="preserve">; </w:t>
            </w:r>
            <w:proofErr w:type="spellStart"/>
            <w:r w:rsidR="006B2BBC" w:rsidRPr="00DF4CE5">
              <w:rPr>
                <w:rFonts w:ascii="Cambria" w:eastAsia="Calibri" w:hAnsi="Cambria" w:cs="Calibri"/>
                <w:lang w:val="hr-HR"/>
              </w:rPr>
              <w:t>Remember</w:t>
            </w:r>
            <w:proofErr w:type="spellEnd"/>
            <w:r w:rsidR="006B2BBC" w:rsidRPr="00DF4CE5">
              <w:rPr>
                <w:rFonts w:ascii="Cambria" w:eastAsia="Calibri" w:hAnsi="Cambria" w:cs="Calibri"/>
                <w:lang w:val="hr-HR"/>
              </w:rPr>
              <w:t xml:space="preserve"> </w:t>
            </w:r>
            <w:proofErr w:type="spellStart"/>
            <w:r w:rsidR="006B2BBC" w:rsidRPr="00DF4CE5">
              <w:rPr>
                <w:rFonts w:ascii="Cambria" w:eastAsia="Calibri" w:hAnsi="Cambria" w:cs="Calibri"/>
                <w:lang w:val="hr-HR"/>
              </w:rPr>
              <w:t>the</w:t>
            </w:r>
            <w:proofErr w:type="spellEnd"/>
            <w:r w:rsidR="006B2BBC" w:rsidRPr="00DF4CE5">
              <w:rPr>
                <w:rFonts w:ascii="Cambria" w:eastAsia="Calibri" w:hAnsi="Cambria" w:cs="Calibri"/>
                <w:lang w:val="hr-HR"/>
              </w:rPr>
              <w:t xml:space="preserve"> </w:t>
            </w:r>
            <w:proofErr w:type="spellStart"/>
            <w:r w:rsidR="006B2BBC" w:rsidRPr="00DF4CE5">
              <w:rPr>
                <w:rFonts w:ascii="Cambria" w:eastAsia="Calibri" w:hAnsi="Cambria" w:cs="Calibri"/>
                <w:lang w:val="hr-HR"/>
              </w:rPr>
              <w:t>Milk</w:t>
            </w:r>
            <w:proofErr w:type="spellEnd"/>
            <w:r w:rsidR="006B2BBC" w:rsidRPr="00DF4CE5">
              <w:rPr>
                <w:rFonts w:ascii="Cambria" w:eastAsia="Calibri" w:hAnsi="Cambria" w:cs="Calibri"/>
                <w:lang w:val="hr-HR"/>
              </w:rPr>
              <w:t xml:space="preserve">; Lino.it; </w:t>
            </w:r>
            <w:proofErr w:type="spellStart"/>
            <w:r w:rsidR="006B2BBC" w:rsidRPr="00DF4CE5">
              <w:rPr>
                <w:rFonts w:ascii="Cambria" w:eastAsia="Calibri" w:hAnsi="Cambria" w:cs="Calibri"/>
                <w:lang w:val="hr-HR"/>
              </w:rPr>
              <w:t>WallWisher</w:t>
            </w:r>
            <w:proofErr w:type="spellEnd"/>
            <w:r w:rsidR="006B2BBC" w:rsidRPr="00DF4CE5">
              <w:rPr>
                <w:rFonts w:ascii="Cambria" w:eastAsia="Calibri" w:hAnsi="Cambria" w:cs="Calibri"/>
                <w:lang w:val="hr-HR"/>
              </w:rPr>
              <w:t xml:space="preserve">; Bubbl.us; </w:t>
            </w:r>
            <w:proofErr w:type="spellStart"/>
            <w:r w:rsidR="006B2BBC" w:rsidRPr="00DF4CE5">
              <w:rPr>
                <w:rFonts w:ascii="Cambria" w:eastAsia="Calibri" w:hAnsi="Cambria" w:cs="Calibri"/>
                <w:lang w:val="hr-HR"/>
              </w:rPr>
              <w:t>Mindmeister</w:t>
            </w:r>
            <w:proofErr w:type="spellEnd"/>
            <w:r w:rsidR="006B2BBC" w:rsidRPr="00DF4CE5">
              <w:rPr>
                <w:rFonts w:ascii="Cambria" w:eastAsia="Calibri" w:hAnsi="Cambria" w:cs="Calibri"/>
                <w:lang w:val="hr-HR"/>
              </w:rPr>
              <w:t xml:space="preserve">; Google </w:t>
            </w:r>
            <w:proofErr w:type="spellStart"/>
            <w:r w:rsidR="006B2BBC" w:rsidRPr="00DF4CE5">
              <w:rPr>
                <w:rFonts w:ascii="Cambria" w:eastAsia="Calibri" w:hAnsi="Cambria" w:cs="Calibri"/>
                <w:lang w:val="hr-HR"/>
              </w:rPr>
              <w:t>Maps</w:t>
            </w:r>
            <w:proofErr w:type="spellEnd"/>
            <w:r w:rsidR="006B2BBC" w:rsidRPr="00DF4CE5">
              <w:rPr>
                <w:rFonts w:ascii="Cambria" w:eastAsia="Calibri" w:hAnsi="Cambria" w:cs="Calibri"/>
                <w:lang w:val="hr-HR"/>
              </w:rPr>
              <w:t xml:space="preserve">; </w:t>
            </w:r>
            <w:proofErr w:type="spellStart"/>
            <w:r w:rsidR="006B2BBC" w:rsidRPr="00DF4CE5">
              <w:rPr>
                <w:rFonts w:ascii="Cambria" w:eastAsia="Calibri" w:hAnsi="Cambria" w:cs="Calibri"/>
                <w:lang w:val="hr-HR"/>
              </w:rPr>
              <w:t>Dropbox</w:t>
            </w:r>
            <w:proofErr w:type="spellEnd"/>
            <w:r w:rsidR="006B2BBC" w:rsidRPr="00DF4CE5">
              <w:rPr>
                <w:rFonts w:ascii="Cambria" w:eastAsia="Calibri" w:hAnsi="Cambria" w:cs="Calibri"/>
                <w:lang w:val="hr-HR"/>
              </w:rPr>
              <w:t xml:space="preserve">; </w:t>
            </w:r>
            <w:proofErr w:type="spellStart"/>
            <w:r w:rsidR="006B2BBC" w:rsidRPr="00DF4CE5">
              <w:rPr>
                <w:rFonts w:ascii="Cambria" w:eastAsia="Calibri" w:hAnsi="Cambria" w:cs="Calibri"/>
                <w:lang w:val="hr-HR"/>
              </w:rPr>
              <w:t>Livebinders</w:t>
            </w:r>
            <w:proofErr w:type="spellEnd"/>
          </w:p>
          <w:p w14:paraId="692C33BF" w14:textId="047E65A3" w:rsidR="006B2BBC" w:rsidRPr="00DF4CE5" w:rsidRDefault="00E46651" w:rsidP="00E46651">
            <w:pPr>
              <w:spacing w:after="0" w:line="240" w:lineRule="atLeast"/>
              <w:contextualSpacing/>
              <w:jc w:val="both"/>
              <w:rPr>
                <w:rFonts w:ascii="Cambria" w:eastAsia="Calibri" w:hAnsi="Cambria" w:cs="Calibri"/>
                <w:lang w:val="hr-HR"/>
              </w:rPr>
            </w:pPr>
            <w:r>
              <w:rPr>
                <w:rFonts w:ascii="Cambria" w:eastAsia="Calibri" w:hAnsi="Cambria" w:cs="Calibri"/>
                <w:lang w:val="hr-HR"/>
              </w:rPr>
              <w:t>7. O</w:t>
            </w:r>
            <w:r w:rsidR="006B2BBC" w:rsidRPr="00DF4CE5">
              <w:rPr>
                <w:rFonts w:ascii="Cambria" w:eastAsia="Calibri" w:hAnsi="Cambria" w:cs="Calibri"/>
                <w:lang w:val="hr-HR"/>
              </w:rPr>
              <w:t xml:space="preserve">sobni alati: </w:t>
            </w:r>
            <w:proofErr w:type="spellStart"/>
            <w:r w:rsidR="006B2BBC" w:rsidRPr="00DF4CE5">
              <w:rPr>
                <w:rFonts w:ascii="Cambria" w:eastAsia="Calibri" w:hAnsi="Cambria" w:cs="Calibri"/>
                <w:lang w:val="hr-HR"/>
              </w:rPr>
              <w:t>Zotero</w:t>
            </w:r>
            <w:proofErr w:type="spellEnd"/>
            <w:r w:rsidR="006B2BBC" w:rsidRPr="00DF4CE5">
              <w:rPr>
                <w:rFonts w:ascii="Cambria" w:eastAsia="Calibri" w:hAnsi="Cambria" w:cs="Calibri"/>
                <w:lang w:val="hr-HR"/>
              </w:rPr>
              <w:t xml:space="preserve">; </w:t>
            </w:r>
            <w:proofErr w:type="spellStart"/>
            <w:r w:rsidR="006B2BBC" w:rsidRPr="00DF4CE5">
              <w:rPr>
                <w:rFonts w:ascii="Cambria" w:eastAsia="Calibri" w:hAnsi="Cambria" w:cs="Calibri"/>
                <w:lang w:val="hr-HR"/>
              </w:rPr>
              <w:t>ReadItLater</w:t>
            </w:r>
            <w:proofErr w:type="spellEnd"/>
            <w:r w:rsidR="006B2BBC" w:rsidRPr="00DF4CE5">
              <w:rPr>
                <w:rFonts w:ascii="Cambria" w:eastAsia="Calibri" w:hAnsi="Cambria" w:cs="Calibri"/>
                <w:lang w:val="hr-HR"/>
              </w:rPr>
              <w:t xml:space="preserve">; </w:t>
            </w:r>
            <w:proofErr w:type="spellStart"/>
            <w:r w:rsidR="006B2BBC" w:rsidRPr="00DF4CE5">
              <w:rPr>
                <w:rFonts w:ascii="Cambria" w:eastAsia="Calibri" w:hAnsi="Cambria" w:cs="Calibri"/>
                <w:lang w:val="hr-HR"/>
              </w:rPr>
              <w:t>Evernote</w:t>
            </w:r>
            <w:proofErr w:type="spellEnd"/>
            <w:r w:rsidR="006B2BBC" w:rsidRPr="00DF4CE5">
              <w:rPr>
                <w:rFonts w:ascii="Cambria" w:eastAsia="Calibri" w:hAnsi="Cambria" w:cs="Calibri"/>
                <w:lang w:val="hr-HR"/>
              </w:rPr>
              <w:t xml:space="preserve">; Google </w:t>
            </w:r>
            <w:proofErr w:type="spellStart"/>
            <w:r w:rsidR="006B2BBC" w:rsidRPr="00DF4CE5">
              <w:rPr>
                <w:rFonts w:ascii="Cambria" w:eastAsia="Calibri" w:hAnsi="Cambria" w:cs="Calibri"/>
                <w:lang w:val="hr-HR"/>
              </w:rPr>
              <w:t>Calendar</w:t>
            </w:r>
            <w:proofErr w:type="spellEnd"/>
            <w:r w:rsidR="006B2BBC" w:rsidRPr="00DF4CE5">
              <w:rPr>
                <w:rFonts w:ascii="Cambria" w:eastAsia="Calibri" w:hAnsi="Cambria" w:cs="Calibri"/>
                <w:lang w:val="hr-HR"/>
              </w:rPr>
              <w:t xml:space="preserve">; </w:t>
            </w:r>
            <w:proofErr w:type="spellStart"/>
            <w:r w:rsidR="006B2BBC" w:rsidRPr="00DF4CE5">
              <w:rPr>
                <w:rFonts w:ascii="Cambria" w:eastAsia="Calibri" w:hAnsi="Cambria" w:cs="Calibri"/>
                <w:lang w:val="hr-HR"/>
              </w:rPr>
              <w:t>Wordle</w:t>
            </w:r>
            <w:proofErr w:type="spellEnd"/>
          </w:p>
          <w:p w14:paraId="5FCA065E" w14:textId="5E90239B" w:rsidR="006B2BBC" w:rsidRPr="00DF4CE5" w:rsidRDefault="00E46651" w:rsidP="00E46651">
            <w:pPr>
              <w:spacing w:after="0" w:line="240" w:lineRule="atLeast"/>
              <w:contextualSpacing/>
              <w:jc w:val="both"/>
              <w:rPr>
                <w:rFonts w:ascii="Cambria" w:eastAsia="Calibri" w:hAnsi="Cambria" w:cs="Calibri"/>
                <w:lang w:val="hr-HR"/>
              </w:rPr>
            </w:pPr>
            <w:r>
              <w:rPr>
                <w:rFonts w:ascii="Cambria" w:eastAsia="Calibri" w:hAnsi="Cambria" w:cs="Calibri"/>
                <w:lang w:val="hr-HR"/>
              </w:rPr>
              <w:t xml:space="preserve">8. </w:t>
            </w:r>
            <w:r w:rsidR="006B2BBC" w:rsidRPr="00DF4CE5">
              <w:rPr>
                <w:rFonts w:ascii="Cambria" w:eastAsia="Calibri" w:hAnsi="Cambria" w:cs="Calibri"/>
                <w:lang w:val="hr-HR"/>
              </w:rPr>
              <w:t>Twitter aplikacije</w:t>
            </w:r>
          </w:p>
          <w:p w14:paraId="64633823" w14:textId="210C574C" w:rsidR="006B2BBC" w:rsidRPr="00DF4CE5" w:rsidRDefault="00E46651" w:rsidP="00E46651">
            <w:pPr>
              <w:spacing w:after="0" w:line="240" w:lineRule="atLeast"/>
              <w:contextualSpacing/>
              <w:jc w:val="both"/>
              <w:rPr>
                <w:rFonts w:ascii="Cambria" w:eastAsia="Calibri" w:hAnsi="Cambria" w:cs="Calibri"/>
                <w:lang w:val="hr-HR"/>
              </w:rPr>
            </w:pPr>
            <w:r>
              <w:rPr>
                <w:rFonts w:ascii="Cambria" w:eastAsia="Calibri" w:hAnsi="Cambria" w:cs="Calibri"/>
                <w:lang w:val="hr-HR"/>
              </w:rPr>
              <w:t xml:space="preserve">9. </w:t>
            </w:r>
            <w:r w:rsidR="006B2BBC" w:rsidRPr="00DF4CE5">
              <w:rPr>
                <w:rFonts w:ascii="Cambria" w:eastAsia="Calibri" w:hAnsi="Cambria" w:cs="Calibri"/>
                <w:lang w:val="hr-HR"/>
              </w:rPr>
              <w:t>Web 3.0 – semantički web.</w:t>
            </w:r>
          </w:p>
          <w:p w14:paraId="4D6D7772" w14:textId="77777777" w:rsidR="006B2BBC" w:rsidRPr="00DF4CE5" w:rsidRDefault="006B2BBC" w:rsidP="008B34AF">
            <w:pPr>
              <w:spacing w:after="0" w:line="240" w:lineRule="atLeast"/>
              <w:jc w:val="both"/>
              <w:rPr>
                <w:rFonts w:ascii="Cambria" w:eastAsia="Calibri" w:hAnsi="Cambria" w:cs="Calibri"/>
                <w:lang w:val="hr-HR"/>
              </w:rPr>
            </w:pPr>
            <w:r w:rsidRPr="00DF4CE5">
              <w:rPr>
                <w:rFonts w:ascii="Cambria" w:eastAsia="Calibri" w:hAnsi="Cambria" w:cs="Calibri"/>
                <w:lang w:val="hr-HR"/>
              </w:rPr>
              <w:t xml:space="preserve">Seminari: </w:t>
            </w:r>
          </w:p>
          <w:p w14:paraId="7B8C3D5B" w14:textId="47E2FA3F" w:rsidR="006B2BBC" w:rsidRPr="00DF4CE5" w:rsidRDefault="00E46651" w:rsidP="00E46651">
            <w:pPr>
              <w:spacing w:after="0" w:line="240" w:lineRule="atLeast"/>
              <w:contextualSpacing/>
              <w:jc w:val="both"/>
              <w:rPr>
                <w:rFonts w:ascii="Cambria" w:eastAsia="Calibri" w:hAnsi="Cambria" w:cs="Calibri"/>
                <w:lang w:val="hr-HR"/>
              </w:rPr>
            </w:pPr>
            <w:r>
              <w:rPr>
                <w:rFonts w:ascii="Cambria" w:eastAsia="Calibri" w:hAnsi="Cambria" w:cs="Calibri"/>
                <w:lang w:val="hr-HR"/>
              </w:rPr>
              <w:t xml:space="preserve">1. </w:t>
            </w:r>
            <w:r w:rsidR="006B2BBC" w:rsidRPr="00DF4CE5">
              <w:rPr>
                <w:rFonts w:ascii="Cambria" w:eastAsia="Calibri" w:hAnsi="Cambria" w:cs="Calibri"/>
                <w:lang w:val="hr-HR"/>
              </w:rPr>
              <w:t xml:space="preserve">Izrada dva seminara  </w:t>
            </w:r>
          </w:p>
        </w:tc>
      </w:tr>
      <w:tr w:rsidR="006B2BBC" w:rsidRPr="00DF4CE5" w14:paraId="3ECF48B7" w14:textId="77777777" w:rsidTr="00C106A0">
        <w:tc>
          <w:tcPr>
            <w:tcW w:w="2616"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75B6311A" w14:textId="77777777" w:rsidR="006B2BBC" w:rsidRPr="00DF4CE5" w:rsidRDefault="006B2BBC" w:rsidP="008B34AF">
            <w:pPr>
              <w:spacing w:after="0" w:line="240" w:lineRule="atLeast"/>
              <w:jc w:val="both"/>
              <w:rPr>
                <w:rFonts w:ascii="Cambria" w:eastAsia="Calibri" w:hAnsi="Cambria" w:cs="Calibri"/>
                <w:lang w:val="hr-HR"/>
              </w:rPr>
            </w:pPr>
            <w:r w:rsidRPr="00DF4CE5">
              <w:rPr>
                <w:rFonts w:ascii="Cambria" w:eastAsia="Calibri" w:hAnsi="Cambria" w:cs="Calibri"/>
                <w:lang w:val="hr-HR"/>
              </w:rPr>
              <w:lastRenderedPageBreak/>
              <w:t>Planirane aktivnosti</w:t>
            </w:r>
            <w:r w:rsidRPr="00DF4CE5">
              <w:rPr>
                <w:rFonts w:ascii="Cambria" w:eastAsia="Calibri" w:hAnsi="Cambria" w:cs="Calibri"/>
                <w:lang w:val="it-IT"/>
              </w:rPr>
              <w:t>,</w:t>
            </w:r>
            <w:r w:rsidRPr="00DF4CE5">
              <w:rPr>
                <w:rFonts w:ascii="Cambria" w:eastAsia="Calibri" w:hAnsi="Cambria" w:cs="Calibri"/>
                <w:lang w:val="hr-HR"/>
              </w:rPr>
              <w:t xml:space="preserve"> metode učenja i poučavanja i načini vrednovanja</w:t>
            </w:r>
          </w:p>
          <w:p w14:paraId="69869A72" w14:textId="77777777" w:rsidR="006B2BBC" w:rsidRPr="00DF4CE5" w:rsidRDefault="006B2BBC" w:rsidP="008B34AF">
            <w:pPr>
              <w:spacing w:after="0" w:line="240" w:lineRule="atLeast"/>
              <w:jc w:val="both"/>
              <w:rPr>
                <w:rFonts w:ascii="Cambria" w:eastAsia="Calibri" w:hAnsi="Cambria" w:cs="Calibri"/>
                <w:lang w:val="hr-HR"/>
              </w:rPr>
            </w:pPr>
          </w:p>
        </w:tc>
        <w:tc>
          <w:tcPr>
            <w:tcW w:w="258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BDFE5BF" w14:textId="77777777" w:rsidR="006B2BBC" w:rsidRPr="00DF4CE5" w:rsidRDefault="006B2BBC" w:rsidP="008B34AF">
            <w:pPr>
              <w:spacing w:after="0" w:line="240" w:lineRule="atLeast"/>
              <w:jc w:val="both"/>
              <w:rPr>
                <w:rFonts w:ascii="Cambria" w:eastAsia="Calibri" w:hAnsi="Cambria" w:cs="Calibri"/>
                <w:lang w:val="hr-HR"/>
              </w:rPr>
            </w:pPr>
            <w:r w:rsidRPr="00DF4CE5">
              <w:rPr>
                <w:rFonts w:ascii="Cambria" w:eastAsia="Calibri" w:hAnsi="Cambria" w:cs="Calibri"/>
                <w:lang w:val="hr-HR"/>
              </w:rPr>
              <w:t>Obveze</w:t>
            </w:r>
          </w:p>
        </w:tc>
        <w:tc>
          <w:tcPr>
            <w:tcW w:w="10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77DC488" w14:textId="77777777" w:rsidR="006B2BBC" w:rsidRPr="00DF4CE5" w:rsidRDefault="006B2BBC" w:rsidP="008B34AF">
            <w:pPr>
              <w:spacing w:after="0" w:line="240" w:lineRule="atLeast"/>
              <w:jc w:val="both"/>
              <w:rPr>
                <w:rFonts w:ascii="Cambria" w:eastAsia="Calibri" w:hAnsi="Cambria" w:cs="Calibri"/>
                <w:lang w:val="hr-HR"/>
              </w:rPr>
            </w:pPr>
            <w:r w:rsidRPr="00DF4CE5">
              <w:rPr>
                <w:rFonts w:ascii="Cambria" w:eastAsia="Calibri" w:hAnsi="Cambria" w:cs="Calibri"/>
                <w:lang w:val="hr-HR"/>
              </w:rPr>
              <w:t>Ishodi</w:t>
            </w:r>
          </w:p>
        </w:tc>
        <w:tc>
          <w:tcPr>
            <w:tcW w:w="72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EE9377F" w14:textId="77777777" w:rsidR="006B2BBC" w:rsidRPr="00DF4CE5" w:rsidRDefault="006B2BBC" w:rsidP="008B34AF">
            <w:pPr>
              <w:spacing w:after="0" w:line="240" w:lineRule="atLeast"/>
              <w:jc w:val="both"/>
              <w:rPr>
                <w:rFonts w:ascii="Cambria" w:eastAsia="Calibri" w:hAnsi="Cambria" w:cs="Calibri"/>
                <w:lang w:val="hr-HR"/>
              </w:rPr>
            </w:pPr>
            <w:r w:rsidRPr="00DF4CE5">
              <w:rPr>
                <w:rFonts w:ascii="Cambria" w:eastAsia="Calibri" w:hAnsi="Cambria" w:cs="Calibri"/>
                <w:lang w:val="hr-HR"/>
              </w:rPr>
              <w:t>Sati</w:t>
            </w:r>
          </w:p>
        </w:tc>
        <w:tc>
          <w:tcPr>
            <w:tcW w:w="101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402F5C7" w14:textId="77777777" w:rsidR="006B2BBC" w:rsidRPr="00DF4CE5" w:rsidRDefault="006B2BBC" w:rsidP="008B34AF">
            <w:pPr>
              <w:spacing w:after="0" w:line="240" w:lineRule="atLeast"/>
              <w:jc w:val="both"/>
              <w:rPr>
                <w:rFonts w:ascii="Cambria" w:eastAsia="Calibri" w:hAnsi="Cambria" w:cs="Calibri"/>
                <w:lang w:val="hr-HR"/>
              </w:rPr>
            </w:pPr>
            <w:r w:rsidRPr="00DF4CE5">
              <w:rPr>
                <w:rFonts w:ascii="Cambria" w:eastAsia="Calibri" w:hAnsi="Cambria" w:cs="Calibri"/>
                <w:lang w:val="hr-HR"/>
              </w:rPr>
              <w:t>ECTS</w:t>
            </w:r>
          </w:p>
        </w:tc>
        <w:tc>
          <w:tcPr>
            <w:tcW w:w="13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09BA9D7" w14:textId="77777777" w:rsidR="006B2BBC" w:rsidRPr="00DF4CE5" w:rsidRDefault="006B2BBC" w:rsidP="008B34AF">
            <w:pPr>
              <w:spacing w:after="0" w:line="240" w:lineRule="atLeast"/>
              <w:jc w:val="both"/>
              <w:rPr>
                <w:rFonts w:ascii="Cambria" w:eastAsia="Calibri" w:hAnsi="Cambria" w:cs="Calibri"/>
                <w:lang w:val="hr-HR"/>
              </w:rPr>
            </w:pPr>
            <w:r w:rsidRPr="00DF4CE5">
              <w:rPr>
                <w:rFonts w:ascii="Cambria" w:eastAsia="Calibri" w:hAnsi="Cambria" w:cs="Calibri"/>
                <w:lang w:val="hr-HR"/>
              </w:rPr>
              <w:t>Maksimalni udio u ocjeni</w:t>
            </w:r>
            <w:r w:rsidRPr="00DF4CE5">
              <w:rPr>
                <w:rFonts w:ascii="Cambria" w:eastAsia="Calibri" w:hAnsi="Cambria" w:cs="Calibri"/>
              </w:rPr>
              <w:t xml:space="preserve"> (%)</w:t>
            </w:r>
          </w:p>
        </w:tc>
      </w:tr>
      <w:tr w:rsidR="00772FCB" w:rsidRPr="00DF4CE5" w14:paraId="1752D424" w14:textId="77777777" w:rsidTr="00C106A0">
        <w:tc>
          <w:tcPr>
            <w:tcW w:w="2616" w:type="dxa"/>
            <w:vMerge/>
            <w:tcBorders>
              <w:left w:val="single" w:sz="8" w:space="0" w:color="000000"/>
              <w:right w:val="single" w:sz="8" w:space="0" w:color="000000"/>
            </w:tcBorders>
            <w:vAlign w:val="center"/>
          </w:tcPr>
          <w:p w14:paraId="31256362" w14:textId="77777777" w:rsidR="00772FCB" w:rsidRPr="00DF4CE5" w:rsidRDefault="00772FCB" w:rsidP="00772FCB">
            <w:pPr>
              <w:spacing w:after="0" w:line="240" w:lineRule="atLeast"/>
              <w:jc w:val="both"/>
              <w:rPr>
                <w:rFonts w:ascii="Cambria" w:eastAsia="Calibri" w:hAnsi="Cambria" w:cs="Calibri"/>
                <w:lang w:val="hr-HR"/>
              </w:rPr>
            </w:pPr>
          </w:p>
        </w:tc>
        <w:tc>
          <w:tcPr>
            <w:tcW w:w="258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2626459" w14:textId="417CDB26" w:rsidR="00772FCB" w:rsidRPr="00775193" w:rsidRDefault="00772FCB" w:rsidP="00772FCB">
            <w:pPr>
              <w:spacing w:after="0" w:line="240" w:lineRule="atLeast"/>
              <w:jc w:val="both"/>
              <w:rPr>
                <w:rFonts w:ascii="Cambria" w:eastAsia="Calibri" w:hAnsi="Cambria" w:cs="Calibri"/>
                <w:lang w:val="it-IT"/>
              </w:rPr>
            </w:pPr>
            <w:proofErr w:type="spellStart"/>
            <w:r w:rsidRPr="00775193">
              <w:rPr>
                <w:rFonts w:ascii="Cambria" w:eastAsia="Times New Roman" w:hAnsi="Cambria" w:cs="Calibri"/>
                <w:lang w:val="it-IT"/>
              </w:rPr>
              <w:t>aktivnost</w:t>
            </w:r>
            <w:proofErr w:type="spellEnd"/>
            <w:r w:rsidRPr="00775193">
              <w:rPr>
                <w:rFonts w:ascii="Cambria" w:eastAsia="Times New Roman" w:hAnsi="Cambria" w:cs="Calibri"/>
                <w:lang w:val="it-IT"/>
              </w:rPr>
              <w:t xml:space="preserve"> </w:t>
            </w:r>
            <w:proofErr w:type="spellStart"/>
            <w:r w:rsidRPr="00775193">
              <w:rPr>
                <w:rFonts w:ascii="Cambria" w:eastAsia="Times New Roman" w:hAnsi="Cambria" w:cs="Calibri"/>
                <w:lang w:val="it-IT"/>
              </w:rPr>
              <w:t>na</w:t>
            </w:r>
            <w:proofErr w:type="spellEnd"/>
            <w:r w:rsidRPr="00775193">
              <w:rPr>
                <w:rFonts w:ascii="Cambria" w:eastAsia="Times New Roman" w:hAnsi="Cambria" w:cs="Calibri"/>
                <w:lang w:val="it-IT"/>
              </w:rPr>
              <w:t xml:space="preserve"> </w:t>
            </w:r>
            <w:proofErr w:type="spellStart"/>
            <w:r w:rsidRPr="00775193">
              <w:rPr>
                <w:rFonts w:ascii="Cambria" w:eastAsia="Times New Roman" w:hAnsi="Cambria" w:cs="Calibri"/>
                <w:lang w:val="it-IT"/>
              </w:rPr>
              <w:t>nastavi</w:t>
            </w:r>
            <w:proofErr w:type="spellEnd"/>
            <w:r w:rsidR="00775193" w:rsidRPr="00775193">
              <w:rPr>
                <w:rFonts w:ascii="Cambria" w:eastAsia="Times New Roman" w:hAnsi="Cambria" w:cs="Calibri"/>
                <w:lang w:val="it-IT"/>
              </w:rPr>
              <w:t xml:space="preserve"> (P, S</w:t>
            </w:r>
            <w:r w:rsidR="00775193">
              <w:rPr>
                <w:rFonts w:ascii="Cambria" w:eastAsia="Times New Roman" w:hAnsi="Cambria" w:cs="Calibri"/>
                <w:lang w:val="it-IT"/>
              </w:rPr>
              <w:t>)</w:t>
            </w:r>
          </w:p>
        </w:tc>
        <w:tc>
          <w:tcPr>
            <w:tcW w:w="10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3B05139" w14:textId="77777777" w:rsidR="00772FCB" w:rsidRPr="00DF4CE5" w:rsidRDefault="00772FCB" w:rsidP="00E46651">
            <w:pPr>
              <w:spacing w:after="0" w:line="240" w:lineRule="atLeast"/>
              <w:jc w:val="center"/>
              <w:rPr>
                <w:rFonts w:ascii="Cambria" w:eastAsia="Calibri" w:hAnsi="Cambria" w:cs="Calibri"/>
                <w:lang w:val="hr-HR"/>
              </w:rPr>
            </w:pPr>
            <w:r w:rsidRPr="00DF4CE5">
              <w:rPr>
                <w:rFonts w:ascii="Cambria" w:eastAsia="Calibri" w:hAnsi="Cambria" w:cs="Calibri"/>
                <w:lang w:val="hr-HR"/>
              </w:rPr>
              <w:t>1. – 6.</w:t>
            </w:r>
          </w:p>
        </w:tc>
        <w:tc>
          <w:tcPr>
            <w:tcW w:w="72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E28B599" w14:textId="20CEDFFC" w:rsidR="00772FCB" w:rsidRPr="00DF4CE5" w:rsidRDefault="00772FCB" w:rsidP="00E46651">
            <w:pPr>
              <w:spacing w:after="0" w:line="240" w:lineRule="atLeast"/>
              <w:jc w:val="center"/>
              <w:rPr>
                <w:rFonts w:ascii="Cambria" w:eastAsia="Calibri" w:hAnsi="Cambria" w:cs="Calibri"/>
                <w:lang w:val="hr-HR"/>
              </w:rPr>
            </w:pPr>
            <w:r w:rsidRPr="00DF4CE5">
              <w:rPr>
                <w:rFonts w:ascii="Cambria" w:eastAsia="Calibri" w:hAnsi="Cambria" w:cs="Calibri"/>
                <w:lang w:val="hr-HR"/>
              </w:rPr>
              <w:t>2</w:t>
            </w:r>
            <w:r w:rsidR="00AF0D71">
              <w:rPr>
                <w:rFonts w:ascii="Cambria" w:eastAsia="Calibri" w:hAnsi="Cambria" w:cs="Calibri"/>
                <w:lang w:val="hr-HR"/>
              </w:rPr>
              <w:t>3</w:t>
            </w:r>
          </w:p>
        </w:tc>
        <w:tc>
          <w:tcPr>
            <w:tcW w:w="101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ACBA0C6" w14:textId="77777777" w:rsidR="00772FCB" w:rsidRPr="00DF4CE5" w:rsidRDefault="00772FCB" w:rsidP="00E46651">
            <w:pPr>
              <w:spacing w:after="0" w:line="240" w:lineRule="atLeast"/>
              <w:jc w:val="center"/>
              <w:rPr>
                <w:rFonts w:ascii="Cambria" w:eastAsia="Calibri" w:hAnsi="Cambria" w:cs="Calibri"/>
                <w:lang w:val="hr-HR"/>
              </w:rPr>
            </w:pPr>
            <w:r w:rsidRPr="00DF4CE5">
              <w:rPr>
                <w:rFonts w:ascii="Cambria" w:eastAsia="Calibri" w:hAnsi="Cambria" w:cs="Calibri"/>
                <w:lang w:val="hr-HR"/>
              </w:rPr>
              <w:t>0,8</w:t>
            </w:r>
          </w:p>
        </w:tc>
        <w:tc>
          <w:tcPr>
            <w:tcW w:w="13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0E39EE0" w14:textId="77777777" w:rsidR="00772FCB" w:rsidRPr="00DF4CE5" w:rsidRDefault="00772FCB" w:rsidP="00E46651">
            <w:pPr>
              <w:spacing w:after="0" w:line="240" w:lineRule="atLeast"/>
              <w:jc w:val="center"/>
              <w:rPr>
                <w:rFonts w:ascii="Cambria" w:eastAsia="Calibri" w:hAnsi="Cambria" w:cs="Calibri"/>
                <w:lang w:val="hr-HR"/>
              </w:rPr>
            </w:pPr>
            <w:r w:rsidRPr="00DF4CE5">
              <w:rPr>
                <w:rFonts w:ascii="Cambria" w:eastAsia="Calibri" w:hAnsi="Cambria" w:cs="Calibri"/>
                <w:lang w:val="hr-HR"/>
              </w:rPr>
              <w:t>5%</w:t>
            </w:r>
          </w:p>
        </w:tc>
      </w:tr>
      <w:tr w:rsidR="00772FCB" w:rsidRPr="00DF4CE5" w14:paraId="2FA1204B" w14:textId="77777777" w:rsidTr="00C106A0">
        <w:tc>
          <w:tcPr>
            <w:tcW w:w="2616" w:type="dxa"/>
            <w:vMerge/>
            <w:tcBorders>
              <w:left w:val="single" w:sz="8" w:space="0" w:color="000000"/>
              <w:right w:val="single" w:sz="8" w:space="0" w:color="000000"/>
            </w:tcBorders>
            <w:vAlign w:val="center"/>
          </w:tcPr>
          <w:p w14:paraId="5FA1179B" w14:textId="77777777" w:rsidR="00772FCB" w:rsidRPr="00DF4CE5" w:rsidRDefault="00772FCB" w:rsidP="00772FCB">
            <w:pPr>
              <w:spacing w:after="0" w:line="240" w:lineRule="atLeast"/>
              <w:jc w:val="both"/>
              <w:rPr>
                <w:rFonts w:ascii="Cambria" w:eastAsia="Calibri" w:hAnsi="Cambria" w:cs="Calibri"/>
                <w:lang w:val="hr-HR"/>
              </w:rPr>
            </w:pPr>
          </w:p>
        </w:tc>
        <w:tc>
          <w:tcPr>
            <w:tcW w:w="258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2138DCB" w14:textId="77777777" w:rsidR="00772FCB" w:rsidRPr="00DF4CE5" w:rsidRDefault="00772FCB" w:rsidP="0016407B">
            <w:pPr>
              <w:spacing w:after="0" w:line="240" w:lineRule="atLeast"/>
              <w:rPr>
                <w:rFonts w:ascii="Cambria" w:eastAsia="Calibri" w:hAnsi="Cambria" w:cs="Calibri"/>
                <w:lang w:val="hr-HR"/>
              </w:rPr>
            </w:pPr>
            <w:r w:rsidRPr="00DF4CE5">
              <w:rPr>
                <w:rFonts w:ascii="Cambria" w:eastAsia="Calibri" w:hAnsi="Cambria" w:cs="Calibri"/>
                <w:lang w:val="hr-HR"/>
              </w:rPr>
              <w:t>aktivnosti  tijekom nastave</w:t>
            </w:r>
          </w:p>
        </w:tc>
        <w:tc>
          <w:tcPr>
            <w:tcW w:w="10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3338196" w14:textId="77777777" w:rsidR="00772FCB" w:rsidRPr="00DF4CE5" w:rsidRDefault="00772FCB" w:rsidP="00E46651">
            <w:pPr>
              <w:spacing w:after="0" w:line="240" w:lineRule="atLeast"/>
              <w:jc w:val="center"/>
              <w:rPr>
                <w:rFonts w:ascii="Cambria" w:eastAsia="Calibri" w:hAnsi="Cambria" w:cs="Calibri"/>
                <w:lang w:val="hr-HR"/>
              </w:rPr>
            </w:pPr>
            <w:r w:rsidRPr="00DF4CE5">
              <w:rPr>
                <w:rFonts w:ascii="Cambria" w:eastAsia="Calibri" w:hAnsi="Cambria" w:cs="Calibri"/>
                <w:lang w:val="hr-HR"/>
              </w:rPr>
              <w:t>1. – 6.</w:t>
            </w:r>
          </w:p>
        </w:tc>
        <w:tc>
          <w:tcPr>
            <w:tcW w:w="72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9FF0CFD" w14:textId="510E66A0" w:rsidR="00772FCB" w:rsidRPr="00DF4CE5" w:rsidRDefault="00772FCB" w:rsidP="00E46651">
            <w:pPr>
              <w:spacing w:after="0" w:line="240" w:lineRule="atLeast"/>
              <w:jc w:val="center"/>
              <w:rPr>
                <w:rFonts w:ascii="Cambria" w:eastAsia="Calibri" w:hAnsi="Cambria" w:cs="Calibri"/>
                <w:lang w:val="hr-HR"/>
              </w:rPr>
            </w:pPr>
            <w:r w:rsidRPr="00DF4CE5">
              <w:rPr>
                <w:rFonts w:ascii="Cambria" w:eastAsia="Calibri" w:hAnsi="Cambria" w:cs="Calibri"/>
                <w:lang w:val="hr-HR"/>
              </w:rPr>
              <w:t>6</w:t>
            </w:r>
          </w:p>
        </w:tc>
        <w:tc>
          <w:tcPr>
            <w:tcW w:w="101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8A23A46" w14:textId="77777777" w:rsidR="00772FCB" w:rsidRPr="00DF4CE5" w:rsidRDefault="00772FCB" w:rsidP="00E46651">
            <w:pPr>
              <w:spacing w:after="0" w:line="240" w:lineRule="atLeast"/>
              <w:jc w:val="center"/>
              <w:rPr>
                <w:rFonts w:ascii="Cambria" w:eastAsia="Calibri" w:hAnsi="Cambria" w:cs="Calibri"/>
                <w:lang w:val="hr-HR"/>
              </w:rPr>
            </w:pPr>
            <w:r w:rsidRPr="00DF4CE5">
              <w:rPr>
                <w:rFonts w:ascii="Cambria" w:eastAsia="Calibri" w:hAnsi="Cambria" w:cs="Calibri"/>
                <w:lang w:val="hr-HR"/>
              </w:rPr>
              <w:t>0,2</w:t>
            </w:r>
          </w:p>
        </w:tc>
        <w:tc>
          <w:tcPr>
            <w:tcW w:w="13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2A283A6" w14:textId="77777777" w:rsidR="00772FCB" w:rsidRPr="00DF4CE5" w:rsidRDefault="00772FCB" w:rsidP="00E46651">
            <w:pPr>
              <w:spacing w:after="0" w:line="240" w:lineRule="atLeast"/>
              <w:jc w:val="center"/>
              <w:rPr>
                <w:rFonts w:ascii="Cambria" w:eastAsia="Calibri" w:hAnsi="Cambria" w:cs="Calibri"/>
                <w:lang w:val="hr-HR"/>
              </w:rPr>
            </w:pPr>
            <w:r w:rsidRPr="00DF4CE5">
              <w:rPr>
                <w:rFonts w:ascii="Cambria" w:eastAsia="Calibri" w:hAnsi="Cambria" w:cs="Calibri"/>
                <w:lang w:val="hr-HR"/>
              </w:rPr>
              <w:t>10%</w:t>
            </w:r>
          </w:p>
        </w:tc>
      </w:tr>
      <w:tr w:rsidR="00772FCB" w:rsidRPr="00DF4CE5" w14:paraId="306EF2BA" w14:textId="77777777" w:rsidTr="00C106A0">
        <w:tc>
          <w:tcPr>
            <w:tcW w:w="2616" w:type="dxa"/>
            <w:vMerge/>
            <w:tcBorders>
              <w:left w:val="single" w:sz="8" w:space="0" w:color="000000"/>
              <w:right w:val="single" w:sz="8" w:space="0" w:color="000000"/>
            </w:tcBorders>
            <w:vAlign w:val="center"/>
          </w:tcPr>
          <w:p w14:paraId="53609E6F" w14:textId="77777777" w:rsidR="00772FCB" w:rsidRPr="00DF4CE5" w:rsidRDefault="00772FCB" w:rsidP="00772FCB">
            <w:pPr>
              <w:spacing w:after="0" w:line="240" w:lineRule="atLeast"/>
              <w:jc w:val="both"/>
              <w:rPr>
                <w:rFonts w:ascii="Cambria" w:eastAsia="Calibri" w:hAnsi="Cambria" w:cs="Calibri"/>
                <w:lang w:val="hr-HR"/>
              </w:rPr>
            </w:pPr>
          </w:p>
        </w:tc>
        <w:tc>
          <w:tcPr>
            <w:tcW w:w="258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AAFA37" w14:textId="7C0A8203" w:rsidR="00772FCB" w:rsidRPr="00DF4CE5" w:rsidRDefault="0016407B" w:rsidP="00772FCB">
            <w:pPr>
              <w:spacing w:after="0" w:line="240" w:lineRule="atLeast"/>
              <w:jc w:val="both"/>
              <w:rPr>
                <w:rFonts w:ascii="Cambria" w:eastAsia="Calibri" w:hAnsi="Cambria" w:cs="Calibri"/>
                <w:lang w:val="hr-HR"/>
              </w:rPr>
            </w:pPr>
            <w:r>
              <w:rPr>
                <w:rFonts w:ascii="Cambria" w:eastAsia="Calibri" w:hAnsi="Cambria" w:cs="Calibri"/>
                <w:lang w:val="hr-HR"/>
              </w:rPr>
              <w:t>i</w:t>
            </w:r>
            <w:r w:rsidR="00772FCB" w:rsidRPr="00DF4CE5">
              <w:rPr>
                <w:rFonts w:ascii="Cambria" w:eastAsia="Calibri" w:hAnsi="Cambria" w:cs="Calibri"/>
                <w:lang w:val="hr-HR"/>
              </w:rPr>
              <w:t>zrada seminara I</w:t>
            </w:r>
          </w:p>
        </w:tc>
        <w:tc>
          <w:tcPr>
            <w:tcW w:w="10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64DED6B" w14:textId="13E1198F" w:rsidR="00772FCB" w:rsidRPr="00DF4CE5" w:rsidRDefault="00772FCB" w:rsidP="00E46651">
            <w:pPr>
              <w:spacing w:after="0" w:line="240" w:lineRule="atLeast"/>
              <w:jc w:val="center"/>
              <w:rPr>
                <w:rFonts w:ascii="Cambria" w:eastAsia="Calibri" w:hAnsi="Cambria" w:cs="Calibri"/>
                <w:lang w:val="hr-HR"/>
              </w:rPr>
            </w:pPr>
            <w:r w:rsidRPr="00DF4CE5">
              <w:rPr>
                <w:rFonts w:ascii="Cambria" w:eastAsia="Calibri" w:hAnsi="Cambria" w:cs="Calibri"/>
                <w:lang w:val="hr-HR"/>
              </w:rPr>
              <w:t xml:space="preserve">4. </w:t>
            </w:r>
            <w:r w:rsidR="00E46651">
              <w:rPr>
                <w:rFonts w:ascii="Cambria" w:eastAsia="Calibri" w:hAnsi="Cambria" w:cs="Calibri"/>
                <w:lang w:val="hr-HR"/>
              </w:rPr>
              <w:t>–</w:t>
            </w:r>
            <w:r w:rsidRPr="00DF4CE5">
              <w:rPr>
                <w:rFonts w:ascii="Cambria" w:eastAsia="Calibri" w:hAnsi="Cambria" w:cs="Calibri"/>
                <w:lang w:val="hr-HR"/>
              </w:rPr>
              <w:t xml:space="preserve"> 5.</w:t>
            </w:r>
          </w:p>
        </w:tc>
        <w:tc>
          <w:tcPr>
            <w:tcW w:w="72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699E8C0" w14:textId="75797B3F" w:rsidR="00772FCB" w:rsidRPr="00DF4CE5" w:rsidRDefault="00772FCB" w:rsidP="00E46651">
            <w:pPr>
              <w:spacing w:after="0" w:line="240" w:lineRule="atLeast"/>
              <w:jc w:val="center"/>
              <w:rPr>
                <w:rFonts w:ascii="Cambria" w:eastAsia="Calibri" w:hAnsi="Cambria" w:cs="Calibri"/>
                <w:lang w:val="hr-HR"/>
              </w:rPr>
            </w:pPr>
            <w:r w:rsidRPr="00DF4CE5">
              <w:rPr>
                <w:rFonts w:ascii="Cambria" w:eastAsia="Calibri" w:hAnsi="Cambria" w:cs="Calibri"/>
                <w:lang w:val="hr-HR"/>
              </w:rPr>
              <w:t>13</w:t>
            </w:r>
          </w:p>
        </w:tc>
        <w:tc>
          <w:tcPr>
            <w:tcW w:w="101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9830783" w14:textId="77777777" w:rsidR="00772FCB" w:rsidRPr="00DF4CE5" w:rsidRDefault="00772FCB" w:rsidP="00E46651">
            <w:pPr>
              <w:spacing w:after="0" w:line="240" w:lineRule="atLeast"/>
              <w:jc w:val="center"/>
              <w:rPr>
                <w:rFonts w:ascii="Cambria" w:eastAsia="Calibri" w:hAnsi="Cambria" w:cs="Calibri"/>
                <w:lang w:val="hr-HR"/>
              </w:rPr>
            </w:pPr>
            <w:r w:rsidRPr="00DF4CE5">
              <w:rPr>
                <w:rFonts w:ascii="Cambria" w:eastAsia="Calibri" w:hAnsi="Cambria" w:cs="Calibri"/>
                <w:lang w:val="hr-HR"/>
              </w:rPr>
              <w:t>0,4</w:t>
            </w:r>
          </w:p>
        </w:tc>
        <w:tc>
          <w:tcPr>
            <w:tcW w:w="13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2C3E683" w14:textId="77777777" w:rsidR="00772FCB" w:rsidRPr="00DF4CE5" w:rsidRDefault="00772FCB" w:rsidP="00E46651">
            <w:pPr>
              <w:spacing w:after="0" w:line="240" w:lineRule="atLeast"/>
              <w:jc w:val="center"/>
              <w:rPr>
                <w:rFonts w:ascii="Cambria" w:eastAsia="Calibri" w:hAnsi="Cambria" w:cs="Calibri"/>
                <w:lang w:val="hr-HR"/>
              </w:rPr>
            </w:pPr>
            <w:r w:rsidRPr="00DF4CE5">
              <w:rPr>
                <w:rFonts w:ascii="Cambria" w:eastAsia="Calibri" w:hAnsi="Cambria" w:cs="Calibri"/>
                <w:lang w:val="hr-HR"/>
              </w:rPr>
              <w:t>35%</w:t>
            </w:r>
          </w:p>
        </w:tc>
      </w:tr>
      <w:tr w:rsidR="00772FCB" w:rsidRPr="00DF4CE5" w14:paraId="0643642A" w14:textId="77777777" w:rsidTr="00C106A0">
        <w:tc>
          <w:tcPr>
            <w:tcW w:w="2616" w:type="dxa"/>
            <w:vMerge/>
            <w:tcBorders>
              <w:left w:val="single" w:sz="8" w:space="0" w:color="000000"/>
              <w:right w:val="single" w:sz="8" w:space="0" w:color="000000"/>
            </w:tcBorders>
            <w:vAlign w:val="center"/>
          </w:tcPr>
          <w:p w14:paraId="2B6299D3" w14:textId="77777777" w:rsidR="00772FCB" w:rsidRPr="00DF4CE5" w:rsidRDefault="00772FCB" w:rsidP="00772FCB">
            <w:pPr>
              <w:spacing w:after="0" w:line="240" w:lineRule="atLeast"/>
              <w:jc w:val="both"/>
              <w:rPr>
                <w:rFonts w:ascii="Cambria" w:eastAsia="Calibri" w:hAnsi="Cambria" w:cs="Calibri"/>
                <w:lang w:val="hr-HR"/>
              </w:rPr>
            </w:pPr>
          </w:p>
        </w:tc>
        <w:tc>
          <w:tcPr>
            <w:tcW w:w="258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0B3EC61" w14:textId="0F306B7C" w:rsidR="00772FCB" w:rsidRPr="00DF4CE5" w:rsidRDefault="0016407B" w:rsidP="00772FCB">
            <w:pPr>
              <w:spacing w:after="0" w:line="240" w:lineRule="atLeast"/>
              <w:jc w:val="both"/>
              <w:rPr>
                <w:rFonts w:ascii="Cambria" w:eastAsia="Calibri" w:hAnsi="Cambria" w:cs="Calibri"/>
                <w:lang w:val="hr-HR"/>
              </w:rPr>
            </w:pPr>
            <w:r>
              <w:rPr>
                <w:rFonts w:ascii="Cambria" w:eastAsia="Calibri" w:hAnsi="Cambria" w:cs="Calibri"/>
                <w:lang w:val="hr-HR"/>
              </w:rPr>
              <w:t>i</w:t>
            </w:r>
            <w:r w:rsidR="00772FCB" w:rsidRPr="00DF4CE5">
              <w:rPr>
                <w:rFonts w:ascii="Cambria" w:eastAsia="Calibri" w:hAnsi="Cambria" w:cs="Calibri"/>
                <w:lang w:val="hr-HR"/>
              </w:rPr>
              <w:t>zrada seminara II</w:t>
            </w:r>
          </w:p>
        </w:tc>
        <w:tc>
          <w:tcPr>
            <w:tcW w:w="10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17FE59C" w14:textId="77777777" w:rsidR="00772FCB" w:rsidRPr="00DF4CE5" w:rsidRDefault="00772FCB" w:rsidP="00E46651">
            <w:pPr>
              <w:spacing w:after="0" w:line="240" w:lineRule="atLeast"/>
              <w:jc w:val="center"/>
              <w:rPr>
                <w:rFonts w:ascii="Cambria" w:eastAsia="Calibri" w:hAnsi="Cambria" w:cs="Calibri"/>
                <w:lang w:val="hr-HR"/>
              </w:rPr>
            </w:pPr>
            <w:r w:rsidRPr="00DF4CE5">
              <w:rPr>
                <w:rFonts w:ascii="Cambria" w:eastAsia="Calibri" w:hAnsi="Cambria" w:cs="Calibri"/>
                <w:lang w:val="hr-HR"/>
              </w:rPr>
              <w:t>4. – 5.</w:t>
            </w:r>
          </w:p>
        </w:tc>
        <w:tc>
          <w:tcPr>
            <w:tcW w:w="72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2985721" w14:textId="503C53FC" w:rsidR="00772FCB" w:rsidRPr="00DF4CE5" w:rsidRDefault="00772FCB" w:rsidP="00E46651">
            <w:pPr>
              <w:spacing w:after="0" w:line="240" w:lineRule="atLeast"/>
              <w:jc w:val="center"/>
              <w:rPr>
                <w:rFonts w:ascii="Cambria" w:eastAsia="Calibri" w:hAnsi="Cambria" w:cs="Calibri"/>
                <w:lang w:val="hr-HR"/>
              </w:rPr>
            </w:pPr>
            <w:r w:rsidRPr="00DF4CE5">
              <w:rPr>
                <w:rFonts w:ascii="Cambria" w:eastAsia="Calibri" w:hAnsi="Cambria" w:cs="Calibri"/>
                <w:lang w:val="hr-HR"/>
              </w:rPr>
              <w:t>13</w:t>
            </w:r>
          </w:p>
        </w:tc>
        <w:tc>
          <w:tcPr>
            <w:tcW w:w="101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95380F0" w14:textId="77777777" w:rsidR="00772FCB" w:rsidRPr="00DF4CE5" w:rsidRDefault="00772FCB" w:rsidP="00E46651">
            <w:pPr>
              <w:spacing w:after="0" w:line="240" w:lineRule="atLeast"/>
              <w:jc w:val="center"/>
              <w:rPr>
                <w:rFonts w:ascii="Cambria" w:eastAsia="Calibri" w:hAnsi="Cambria" w:cs="Calibri"/>
                <w:lang w:val="hr-HR"/>
              </w:rPr>
            </w:pPr>
            <w:r w:rsidRPr="00DF4CE5">
              <w:rPr>
                <w:rFonts w:ascii="Cambria" w:eastAsia="Calibri" w:hAnsi="Cambria" w:cs="Calibri"/>
                <w:lang w:val="hr-HR"/>
              </w:rPr>
              <w:t>0,4</w:t>
            </w:r>
          </w:p>
        </w:tc>
        <w:tc>
          <w:tcPr>
            <w:tcW w:w="13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38667A7" w14:textId="77777777" w:rsidR="00772FCB" w:rsidRPr="00DF4CE5" w:rsidRDefault="00772FCB" w:rsidP="00E46651">
            <w:pPr>
              <w:spacing w:after="0" w:line="240" w:lineRule="atLeast"/>
              <w:jc w:val="center"/>
              <w:rPr>
                <w:rFonts w:ascii="Cambria" w:eastAsia="Calibri" w:hAnsi="Cambria" w:cs="Calibri"/>
                <w:lang w:val="hr-HR"/>
              </w:rPr>
            </w:pPr>
            <w:r w:rsidRPr="00DF4CE5">
              <w:rPr>
                <w:rFonts w:ascii="Cambria" w:eastAsia="Calibri" w:hAnsi="Cambria" w:cs="Calibri"/>
                <w:lang w:val="hr-HR"/>
              </w:rPr>
              <w:t>35%</w:t>
            </w:r>
          </w:p>
        </w:tc>
      </w:tr>
      <w:tr w:rsidR="00772FCB" w:rsidRPr="00DF4CE5" w14:paraId="2BE7B8EC" w14:textId="77777777" w:rsidTr="00C106A0">
        <w:tc>
          <w:tcPr>
            <w:tcW w:w="2616" w:type="dxa"/>
            <w:vMerge/>
            <w:tcBorders>
              <w:left w:val="single" w:sz="8" w:space="0" w:color="000000"/>
              <w:right w:val="single" w:sz="8" w:space="0" w:color="000000"/>
            </w:tcBorders>
            <w:vAlign w:val="center"/>
          </w:tcPr>
          <w:p w14:paraId="62664159" w14:textId="77777777" w:rsidR="00772FCB" w:rsidRPr="00DF4CE5" w:rsidRDefault="00772FCB" w:rsidP="00772FCB">
            <w:pPr>
              <w:spacing w:after="0" w:line="240" w:lineRule="atLeast"/>
              <w:jc w:val="both"/>
              <w:rPr>
                <w:rFonts w:ascii="Cambria" w:eastAsia="Calibri" w:hAnsi="Cambria" w:cs="Calibri"/>
                <w:lang w:val="hr-HR"/>
              </w:rPr>
            </w:pPr>
          </w:p>
        </w:tc>
        <w:tc>
          <w:tcPr>
            <w:tcW w:w="258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7E5E5FA" w14:textId="1E3C0E4E" w:rsidR="00772FCB" w:rsidRPr="00DF4CE5" w:rsidRDefault="0016407B" w:rsidP="00772FCB">
            <w:pPr>
              <w:spacing w:after="0" w:line="240" w:lineRule="atLeast"/>
              <w:jc w:val="both"/>
              <w:rPr>
                <w:rFonts w:ascii="Cambria" w:eastAsia="Calibri" w:hAnsi="Cambria" w:cs="Calibri"/>
                <w:lang w:val="hr-HR"/>
              </w:rPr>
            </w:pPr>
            <w:r>
              <w:rPr>
                <w:rFonts w:ascii="Cambria" w:eastAsia="Calibri" w:hAnsi="Cambria" w:cs="Calibri"/>
                <w:lang w:val="hr-HR"/>
              </w:rPr>
              <w:t>z</w:t>
            </w:r>
            <w:r w:rsidR="00772FCB" w:rsidRPr="00DF4CE5">
              <w:rPr>
                <w:rFonts w:ascii="Cambria" w:eastAsia="Calibri" w:hAnsi="Cambria" w:cs="Calibri"/>
                <w:lang w:val="hr-HR"/>
              </w:rPr>
              <w:t>avršni ispit (pismeni)</w:t>
            </w:r>
          </w:p>
        </w:tc>
        <w:tc>
          <w:tcPr>
            <w:tcW w:w="10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9B457DA" w14:textId="77777777" w:rsidR="00772FCB" w:rsidRPr="00DF4CE5" w:rsidRDefault="00772FCB" w:rsidP="00E46651">
            <w:pPr>
              <w:spacing w:after="0" w:line="240" w:lineRule="atLeast"/>
              <w:jc w:val="center"/>
              <w:rPr>
                <w:rFonts w:ascii="Cambria" w:eastAsia="Calibri" w:hAnsi="Cambria" w:cs="Calibri"/>
                <w:lang w:val="hr-HR"/>
              </w:rPr>
            </w:pPr>
            <w:r w:rsidRPr="00DF4CE5">
              <w:rPr>
                <w:rFonts w:ascii="Cambria" w:eastAsia="Calibri" w:hAnsi="Cambria" w:cs="Calibri"/>
                <w:lang w:val="hr-HR"/>
              </w:rPr>
              <w:t>1. – 6.</w:t>
            </w:r>
          </w:p>
        </w:tc>
        <w:tc>
          <w:tcPr>
            <w:tcW w:w="72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69B0A3B" w14:textId="313206FC" w:rsidR="00772FCB" w:rsidRPr="00DF4CE5" w:rsidRDefault="00775193" w:rsidP="00E46651">
            <w:pPr>
              <w:spacing w:after="0" w:line="240" w:lineRule="atLeast"/>
              <w:jc w:val="center"/>
              <w:rPr>
                <w:rFonts w:ascii="Cambria" w:eastAsia="Calibri" w:hAnsi="Cambria" w:cs="Calibri"/>
                <w:lang w:val="hr-HR"/>
              </w:rPr>
            </w:pPr>
            <w:r>
              <w:rPr>
                <w:rFonts w:ascii="Cambria" w:eastAsia="Calibri" w:hAnsi="Cambria" w:cs="Calibri"/>
                <w:lang w:val="hr-HR"/>
              </w:rPr>
              <w:t>5</w:t>
            </w:r>
          </w:p>
        </w:tc>
        <w:tc>
          <w:tcPr>
            <w:tcW w:w="101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4E45093" w14:textId="77777777" w:rsidR="00772FCB" w:rsidRPr="00DF4CE5" w:rsidRDefault="00772FCB" w:rsidP="00E46651">
            <w:pPr>
              <w:spacing w:after="0" w:line="240" w:lineRule="atLeast"/>
              <w:jc w:val="center"/>
              <w:rPr>
                <w:rFonts w:ascii="Cambria" w:eastAsia="Calibri" w:hAnsi="Cambria" w:cs="Calibri"/>
                <w:lang w:val="hr-HR"/>
              </w:rPr>
            </w:pPr>
            <w:r w:rsidRPr="00DF4CE5">
              <w:rPr>
                <w:rFonts w:ascii="Cambria" w:eastAsia="Calibri" w:hAnsi="Cambria" w:cs="Calibri"/>
                <w:lang w:val="hr-HR"/>
              </w:rPr>
              <w:t>0,2</w:t>
            </w:r>
          </w:p>
        </w:tc>
        <w:tc>
          <w:tcPr>
            <w:tcW w:w="13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5F3FAC1" w14:textId="77777777" w:rsidR="00772FCB" w:rsidRPr="00DF4CE5" w:rsidRDefault="00772FCB" w:rsidP="00E46651">
            <w:pPr>
              <w:spacing w:after="0" w:line="240" w:lineRule="atLeast"/>
              <w:jc w:val="center"/>
              <w:rPr>
                <w:rFonts w:ascii="Cambria" w:eastAsia="Calibri" w:hAnsi="Cambria" w:cs="Calibri"/>
                <w:lang w:val="hr-HR"/>
              </w:rPr>
            </w:pPr>
            <w:r w:rsidRPr="00DF4CE5">
              <w:rPr>
                <w:rFonts w:ascii="Cambria" w:eastAsia="Calibri" w:hAnsi="Cambria" w:cs="Calibri"/>
                <w:lang w:val="hr-HR"/>
              </w:rPr>
              <w:t>15%</w:t>
            </w:r>
          </w:p>
        </w:tc>
      </w:tr>
      <w:tr w:rsidR="00772FCB" w:rsidRPr="00DF4CE5" w14:paraId="4B9AB03D" w14:textId="77777777" w:rsidTr="00C106A0">
        <w:tc>
          <w:tcPr>
            <w:tcW w:w="2616" w:type="dxa"/>
            <w:vMerge/>
            <w:tcBorders>
              <w:left w:val="single" w:sz="8" w:space="0" w:color="000000"/>
              <w:right w:val="single" w:sz="8" w:space="0" w:color="000000"/>
            </w:tcBorders>
            <w:vAlign w:val="center"/>
          </w:tcPr>
          <w:p w14:paraId="73AE047B" w14:textId="77777777" w:rsidR="00772FCB" w:rsidRPr="00DF4CE5" w:rsidRDefault="00772FCB" w:rsidP="00772FCB">
            <w:pPr>
              <w:spacing w:after="0" w:line="240" w:lineRule="atLeast"/>
              <w:jc w:val="both"/>
              <w:rPr>
                <w:rFonts w:ascii="Cambria" w:eastAsia="Calibri" w:hAnsi="Cambria" w:cs="Calibri"/>
                <w:lang w:val="hr-HR"/>
              </w:rPr>
            </w:pPr>
          </w:p>
        </w:tc>
        <w:tc>
          <w:tcPr>
            <w:tcW w:w="3672"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5EEDF36" w14:textId="26AA3A2E" w:rsidR="00772FCB" w:rsidRPr="00DF4CE5" w:rsidRDefault="00A675B4" w:rsidP="00772FCB">
            <w:pPr>
              <w:spacing w:after="0" w:line="240" w:lineRule="atLeast"/>
              <w:jc w:val="both"/>
              <w:rPr>
                <w:rFonts w:ascii="Cambria" w:eastAsia="Calibri" w:hAnsi="Cambria" w:cs="Calibri"/>
                <w:lang w:val="hr-HR"/>
              </w:rPr>
            </w:pPr>
            <w:proofErr w:type="spellStart"/>
            <w:r>
              <w:rPr>
                <w:rFonts w:ascii="Cambria" w:eastAsia="Calibri" w:hAnsi="Cambria" w:cs="Calibri"/>
              </w:rPr>
              <w:t>u</w:t>
            </w:r>
            <w:r w:rsidR="00772FCB" w:rsidRPr="00DF4CE5">
              <w:rPr>
                <w:rFonts w:ascii="Cambria" w:eastAsia="Calibri" w:hAnsi="Cambria" w:cs="Calibri"/>
              </w:rPr>
              <w:t>kupno</w:t>
            </w:r>
            <w:proofErr w:type="spellEnd"/>
          </w:p>
        </w:tc>
        <w:tc>
          <w:tcPr>
            <w:tcW w:w="72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7F6169F" w14:textId="43CC519A" w:rsidR="00772FCB" w:rsidRPr="00DF4CE5" w:rsidRDefault="00772FCB" w:rsidP="00E46651">
            <w:pPr>
              <w:spacing w:after="0" w:line="240" w:lineRule="atLeast"/>
              <w:jc w:val="center"/>
              <w:rPr>
                <w:rFonts w:ascii="Cambria" w:eastAsia="Calibri" w:hAnsi="Cambria" w:cs="Calibri"/>
                <w:lang w:val="hr-HR"/>
              </w:rPr>
            </w:pPr>
            <w:r w:rsidRPr="00DF4CE5">
              <w:rPr>
                <w:rFonts w:ascii="Cambria" w:eastAsia="Calibri" w:hAnsi="Cambria" w:cs="Calibri"/>
                <w:lang w:val="hr-HR"/>
              </w:rPr>
              <w:t>60</w:t>
            </w:r>
          </w:p>
        </w:tc>
        <w:tc>
          <w:tcPr>
            <w:tcW w:w="101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6CEC347" w14:textId="77777777" w:rsidR="00772FCB" w:rsidRPr="00DF4CE5" w:rsidRDefault="00772FCB" w:rsidP="00E46651">
            <w:pPr>
              <w:spacing w:after="0" w:line="240" w:lineRule="atLeast"/>
              <w:jc w:val="center"/>
              <w:rPr>
                <w:rFonts w:ascii="Cambria" w:eastAsia="Calibri" w:hAnsi="Cambria" w:cs="Calibri"/>
                <w:lang w:val="hr-HR"/>
              </w:rPr>
            </w:pPr>
            <w:r w:rsidRPr="00DF4CE5">
              <w:rPr>
                <w:rFonts w:ascii="Cambria" w:eastAsia="Calibri" w:hAnsi="Cambria" w:cs="Calibri"/>
                <w:lang w:val="hr-HR"/>
              </w:rPr>
              <w:t>2</w:t>
            </w:r>
          </w:p>
        </w:tc>
        <w:tc>
          <w:tcPr>
            <w:tcW w:w="13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5265BC1" w14:textId="77777777" w:rsidR="00772FCB" w:rsidRPr="00DF4CE5" w:rsidRDefault="00772FCB" w:rsidP="00E46651">
            <w:pPr>
              <w:spacing w:after="0" w:line="240" w:lineRule="atLeast"/>
              <w:jc w:val="center"/>
              <w:rPr>
                <w:rFonts w:ascii="Cambria" w:eastAsia="Calibri" w:hAnsi="Cambria" w:cs="Calibri"/>
                <w:lang w:val="hr-HR"/>
              </w:rPr>
            </w:pPr>
            <w:r w:rsidRPr="00DF4CE5">
              <w:rPr>
                <w:rFonts w:ascii="Cambria" w:eastAsia="Calibri" w:hAnsi="Cambria" w:cs="Calibri"/>
                <w:lang w:val="hr-HR"/>
              </w:rPr>
              <w:t>100%</w:t>
            </w:r>
          </w:p>
        </w:tc>
      </w:tr>
      <w:tr w:rsidR="00772FCB" w:rsidRPr="00D0399C" w14:paraId="02AF730A" w14:textId="77777777" w:rsidTr="00C106A0">
        <w:tc>
          <w:tcPr>
            <w:tcW w:w="2616" w:type="dxa"/>
            <w:vMerge/>
            <w:tcBorders>
              <w:left w:val="single" w:sz="8" w:space="0" w:color="000000"/>
              <w:bottom w:val="single" w:sz="8" w:space="0" w:color="000000"/>
              <w:right w:val="single" w:sz="8" w:space="0" w:color="000000"/>
            </w:tcBorders>
            <w:vAlign w:val="center"/>
          </w:tcPr>
          <w:p w14:paraId="0867E5B0" w14:textId="77777777" w:rsidR="00772FCB" w:rsidRPr="00DF4CE5" w:rsidRDefault="00772FCB" w:rsidP="00772FCB">
            <w:pPr>
              <w:spacing w:after="0" w:line="240" w:lineRule="atLeast"/>
              <w:jc w:val="both"/>
              <w:rPr>
                <w:rFonts w:ascii="Cambria" w:eastAsia="Calibri" w:hAnsi="Cambria" w:cs="Calibri"/>
                <w:lang w:val="hr-HR"/>
              </w:rPr>
            </w:pPr>
          </w:p>
        </w:tc>
        <w:tc>
          <w:tcPr>
            <w:tcW w:w="6724"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4E33608" w14:textId="77777777" w:rsidR="00772FCB" w:rsidRPr="00DF4CE5" w:rsidRDefault="00772FCB" w:rsidP="00772FCB">
            <w:pPr>
              <w:spacing w:after="0" w:line="240" w:lineRule="atLeast"/>
              <w:jc w:val="both"/>
              <w:rPr>
                <w:rFonts w:ascii="Cambria" w:eastAsia="Calibri" w:hAnsi="Cambria" w:cs="Calibri"/>
                <w:bCs/>
                <w:lang w:val="hr-HR"/>
              </w:rPr>
            </w:pPr>
            <w:r w:rsidRPr="00DF4CE5">
              <w:rPr>
                <w:rFonts w:ascii="Cambria" w:eastAsia="Calibri" w:hAnsi="Cambria" w:cs="Calibri"/>
                <w:bCs/>
                <w:lang w:val="hr-HR"/>
              </w:rPr>
              <w:t>Dodatna pojašnjenja (kriteriji ocjenjivanja):</w:t>
            </w:r>
          </w:p>
          <w:p w14:paraId="6B9C8102" w14:textId="77777777" w:rsidR="00772FCB" w:rsidRPr="00DF4CE5" w:rsidRDefault="00772FCB" w:rsidP="00772FCB">
            <w:pPr>
              <w:spacing w:after="0" w:line="240" w:lineRule="atLeast"/>
              <w:jc w:val="both"/>
              <w:rPr>
                <w:rFonts w:ascii="Cambria" w:eastAsia="Calibri" w:hAnsi="Cambria" w:cs="Calibri"/>
                <w:lang w:val="hr-HR"/>
              </w:rPr>
            </w:pPr>
            <w:r w:rsidRPr="00DF4CE5">
              <w:rPr>
                <w:rFonts w:ascii="Cambria" w:eastAsia="Calibri" w:hAnsi="Cambria" w:cs="Calibri"/>
                <w:lang w:val="hr-HR"/>
              </w:rPr>
              <w:t>Pohađanje i aktivnost u nastavi: student je dužan prisustvovati na najmanje 70% nastavnih sati,.</w:t>
            </w:r>
          </w:p>
          <w:p w14:paraId="6E0E1B17" w14:textId="77777777" w:rsidR="00772FCB" w:rsidRPr="00DF4CE5" w:rsidRDefault="00772FCB" w:rsidP="00772FCB">
            <w:pPr>
              <w:spacing w:after="0" w:line="240" w:lineRule="atLeast"/>
              <w:jc w:val="both"/>
              <w:rPr>
                <w:rFonts w:ascii="Cambria" w:eastAsia="Calibri" w:hAnsi="Cambria" w:cs="Calibri"/>
                <w:lang w:val="hr-HR"/>
              </w:rPr>
            </w:pPr>
            <w:r w:rsidRPr="00DF4CE5">
              <w:rPr>
                <w:rFonts w:ascii="Cambria" w:eastAsia="Calibri" w:hAnsi="Cambria" w:cs="Calibri"/>
                <w:lang w:val="hr-HR"/>
              </w:rPr>
              <w:t xml:space="preserve">Teme  za izradu seminara  dodjeljuje asistent, a student seminare priprema  i predaje na pregled. U slučaju ozbiljnijih nedostataka, materijal  se vraća studentu na ispravak po danim uputama. Time ostvaruje maksimalno 35% po svakom seminaru. </w:t>
            </w:r>
          </w:p>
          <w:p w14:paraId="2E323AD1" w14:textId="77777777" w:rsidR="00772FCB" w:rsidRPr="00DF4CE5" w:rsidRDefault="00772FCB" w:rsidP="00772FCB">
            <w:pPr>
              <w:spacing w:after="0" w:line="240" w:lineRule="atLeast"/>
              <w:jc w:val="both"/>
              <w:rPr>
                <w:rFonts w:ascii="Cambria" w:eastAsia="Calibri" w:hAnsi="Cambria" w:cs="Calibri"/>
                <w:lang w:val="hr-HR"/>
              </w:rPr>
            </w:pPr>
            <w:r w:rsidRPr="00DF4CE5">
              <w:rPr>
                <w:rFonts w:ascii="Cambria" w:eastAsia="Calibri" w:hAnsi="Cambria" w:cs="Calibri"/>
                <w:lang w:val="hr-HR"/>
              </w:rPr>
              <w:t>Završna provjera teorijskih sadržaja se obavlja ispitom na kraju predavanja.</w:t>
            </w:r>
          </w:p>
          <w:p w14:paraId="58072856" w14:textId="6742AC5D" w:rsidR="00772FCB" w:rsidRPr="00DF4CE5" w:rsidRDefault="00772FCB" w:rsidP="00772FCB">
            <w:pPr>
              <w:spacing w:after="0" w:line="240" w:lineRule="atLeast"/>
              <w:jc w:val="both"/>
              <w:rPr>
                <w:rFonts w:ascii="Cambria" w:eastAsia="Calibri" w:hAnsi="Cambria" w:cs="Calibri"/>
                <w:lang w:val="hr-HR"/>
              </w:rPr>
            </w:pPr>
            <w:r w:rsidRPr="00DF4CE5">
              <w:rPr>
                <w:rFonts w:ascii="Cambria" w:eastAsia="Calibri" w:hAnsi="Cambria" w:cs="Calibri"/>
                <w:lang w:val="hr-HR"/>
              </w:rPr>
              <w:t xml:space="preserve">Položenim ispitom smatra se ispit na kojem je student ostvario najmanje 50% od ukupnog broja bodova.  </w:t>
            </w:r>
          </w:p>
          <w:p w14:paraId="25A33EDD" w14:textId="77777777" w:rsidR="00772FCB" w:rsidRPr="00DF4CE5" w:rsidRDefault="00772FCB" w:rsidP="00772FCB">
            <w:pPr>
              <w:spacing w:after="0" w:line="240" w:lineRule="atLeast"/>
              <w:jc w:val="both"/>
              <w:rPr>
                <w:rFonts w:ascii="Cambria" w:eastAsia="Calibri" w:hAnsi="Cambria" w:cs="Calibri"/>
                <w:lang w:val="hr-HR"/>
              </w:rPr>
            </w:pPr>
            <w:r w:rsidRPr="00DF4CE5">
              <w:rPr>
                <w:rFonts w:ascii="Cambria" w:eastAsia="Calibri" w:hAnsi="Cambria" w:cs="Calibri"/>
                <w:lang w:val="hr-HR"/>
              </w:rPr>
              <w:t>Sve realizirane aktivnosti  u tekućoj akademskoj godini priznaju se najdulje do isteka sljedeće akademske godine.</w:t>
            </w:r>
          </w:p>
        </w:tc>
      </w:tr>
      <w:tr w:rsidR="00772FCB" w:rsidRPr="00D0399C" w14:paraId="46DBDACD" w14:textId="77777777" w:rsidTr="00C106A0">
        <w:tc>
          <w:tcPr>
            <w:tcW w:w="261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FDCF670" w14:textId="77777777" w:rsidR="00772FCB" w:rsidRPr="00DF4CE5" w:rsidRDefault="00772FCB" w:rsidP="00772FCB">
            <w:pPr>
              <w:spacing w:after="0" w:line="240" w:lineRule="atLeast"/>
              <w:jc w:val="both"/>
              <w:rPr>
                <w:rFonts w:ascii="Cambria" w:eastAsia="Calibri" w:hAnsi="Cambria" w:cs="Calibri"/>
                <w:lang w:val="hr-HR"/>
              </w:rPr>
            </w:pPr>
            <w:r w:rsidRPr="00DF4CE5">
              <w:rPr>
                <w:rFonts w:ascii="Cambria" w:eastAsia="Calibri" w:hAnsi="Cambria" w:cs="Calibri"/>
                <w:lang w:val="hr-HR"/>
              </w:rPr>
              <w:t>Studentske obveze</w:t>
            </w:r>
          </w:p>
        </w:tc>
        <w:tc>
          <w:tcPr>
            <w:tcW w:w="672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AE6FC2E" w14:textId="77777777" w:rsidR="00772FCB" w:rsidRPr="00DF4CE5" w:rsidRDefault="00772FCB" w:rsidP="00772FCB">
            <w:pPr>
              <w:spacing w:after="0" w:line="240" w:lineRule="atLeast"/>
              <w:jc w:val="both"/>
              <w:rPr>
                <w:rFonts w:ascii="Cambria" w:eastAsia="Calibri" w:hAnsi="Cambria" w:cs="Calibri"/>
                <w:lang w:val="hr-HR"/>
              </w:rPr>
            </w:pPr>
            <w:r w:rsidRPr="00DF4CE5">
              <w:rPr>
                <w:rFonts w:ascii="Cambria" w:eastAsia="Calibri" w:hAnsi="Cambria" w:cs="Calibri"/>
                <w:lang w:val="hr-HR"/>
              </w:rPr>
              <w:t xml:space="preserve">Da položi kolegij, student/studentica mora: </w:t>
            </w:r>
          </w:p>
          <w:p w14:paraId="0A656B39" w14:textId="1EE3776B" w:rsidR="00772FCB" w:rsidRPr="00DF4CE5" w:rsidRDefault="00775193" w:rsidP="00775193">
            <w:pPr>
              <w:spacing w:after="0" w:line="240" w:lineRule="atLeast"/>
              <w:contextualSpacing/>
              <w:jc w:val="both"/>
              <w:rPr>
                <w:rFonts w:ascii="Cambria" w:eastAsia="Calibri" w:hAnsi="Cambria" w:cs="Calibri"/>
                <w:lang w:val="hr-HR"/>
              </w:rPr>
            </w:pPr>
            <w:r>
              <w:rPr>
                <w:rFonts w:ascii="Cambria" w:eastAsia="Calibri" w:hAnsi="Cambria" w:cs="Calibri"/>
                <w:lang w:val="hr-HR"/>
              </w:rPr>
              <w:t>1. p</w:t>
            </w:r>
            <w:r w:rsidR="00772FCB" w:rsidRPr="00DF4CE5">
              <w:rPr>
                <w:rFonts w:ascii="Cambria" w:eastAsia="Calibri" w:hAnsi="Cambria" w:cs="Calibri"/>
                <w:lang w:val="hr-HR"/>
              </w:rPr>
              <w:t xml:space="preserve">risustvovati predavanjima i vježbama </w:t>
            </w:r>
            <w:r>
              <w:rPr>
                <w:rFonts w:ascii="Cambria" w:eastAsia="Calibri" w:hAnsi="Cambria" w:cs="Calibri"/>
                <w:lang w:val="hr-HR"/>
              </w:rPr>
              <w:t>–</w:t>
            </w:r>
            <w:r w:rsidR="00772FCB" w:rsidRPr="00DF4CE5">
              <w:rPr>
                <w:rFonts w:ascii="Cambria" w:eastAsia="Calibri" w:hAnsi="Cambria" w:cs="Calibri"/>
                <w:lang w:val="hr-HR"/>
              </w:rPr>
              <w:t xml:space="preserve"> najmanje 70%, pripremati se za nastavu svakog tjedna utvrđivanjem i ponavljanjem gradiva iznijetog na predavanjima i seminarima proteklog tjedna, aktivno se uključiti u nastavni proces rješavanjem zadataka, odgovorima na postavljena pitanja, sudjelovanjem u diskusiji i sl.</w:t>
            </w:r>
            <w:r>
              <w:rPr>
                <w:rFonts w:ascii="Cambria" w:eastAsia="Calibri" w:hAnsi="Cambria" w:cs="Calibri"/>
                <w:lang w:val="hr-HR"/>
              </w:rPr>
              <w:t>; s</w:t>
            </w:r>
            <w:r w:rsidR="00772FCB" w:rsidRPr="00DF4CE5">
              <w:rPr>
                <w:rFonts w:ascii="Cambria" w:eastAsia="Calibri" w:hAnsi="Cambria" w:cs="Calibri"/>
                <w:lang w:val="hr-HR"/>
              </w:rPr>
              <w:t>vi studenti moraju biti pripremljeni za svako predavanje i seminar</w:t>
            </w:r>
          </w:p>
          <w:p w14:paraId="6FCF1C95" w14:textId="50D99188" w:rsidR="00772FCB" w:rsidRPr="00DF4CE5" w:rsidRDefault="00775193" w:rsidP="00775193">
            <w:pPr>
              <w:spacing w:after="0" w:line="240" w:lineRule="atLeast"/>
              <w:contextualSpacing/>
              <w:jc w:val="both"/>
              <w:rPr>
                <w:rFonts w:ascii="Cambria" w:eastAsia="Calibri" w:hAnsi="Cambria" w:cs="Calibri"/>
                <w:lang w:val="hr-HR"/>
              </w:rPr>
            </w:pPr>
            <w:r>
              <w:rPr>
                <w:rFonts w:ascii="Cambria" w:eastAsia="Calibri" w:hAnsi="Cambria" w:cs="Calibri"/>
                <w:lang w:val="hr-HR"/>
              </w:rPr>
              <w:t>2. i</w:t>
            </w:r>
            <w:r w:rsidR="00772FCB" w:rsidRPr="00DF4CE5">
              <w:rPr>
                <w:rFonts w:ascii="Cambria" w:eastAsia="Calibri" w:hAnsi="Cambria" w:cs="Calibri"/>
                <w:lang w:val="hr-HR"/>
              </w:rPr>
              <w:t>zraditi zadane tečajeve, predati ih u roku koji utvrdi predmetni nastavnik ili asistent te održati njihovu prezentaciju u dogovoru s predmetnim nastavnikom/asistentom</w:t>
            </w:r>
          </w:p>
          <w:p w14:paraId="778866C7" w14:textId="27012EF6" w:rsidR="00772FCB" w:rsidRPr="00DF4CE5" w:rsidRDefault="00775193" w:rsidP="00775193">
            <w:pPr>
              <w:spacing w:after="0" w:line="240" w:lineRule="atLeast"/>
              <w:contextualSpacing/>
              <w:jc w:val="both"/>
              <w:rPr>
                <w:rFonts w:ascii="Cambria" w:eastAsia="Calibri" w:hAnsi="Cambria" w:cs="Calibri"/>
                <w:lang w:val="hr-HR"/>
              </w:rPr>
            </w:pPr>
            <w:r>
              <w:rPr>
                <w:rFonts w:ascii="Cambria" w:eastAsia="Calibri" w:hAnsi="Cambria" w:cs="Calibri"/>
                <w:lang w:val="hr-HR"/>
              </w:rPr>
              <w:t>3. p</w:t>
            </w:r>
            <w:r w:rsidR="00772FCB" w:rsidRPr="00DF4CE5">
              <w:rPr>
                <w:rFonts w:ascii="Cambria" w:eastAsia="Calibri" w:hAnsi="Cambria" w:cs="Calibri"/>
                <w:lang w:val="hr-HR"/>
              </w:rPr>
              <w:t>ristupiti završnoj provjeri znanja prema planu izvedbe kojeg objavi predmetni nastavnik po realizaciji ukupne satnice predavanja.</w:t>
            </w:r>
          </w:p>
        </w:tc>
      </w:tr>
      <w:tr w:rsidR="00772FCB" w:rsidRPr="00D0399C" w14:paraId="702770B5" w14:textId="77777777" w:rsidTr="00C106A0">
        <w:tc>
          <w:tcPr>
            <w:tcW w:w="261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B65C3B5" w14:textId="77777777" w:rsidR="00772FCB" w:rsidRPr="00DF4CE5" w:rsidRDefault="00772FCB" w:rsidP="00772FCB">
            <w:pPr>
              <w:spacing w:after="0" w:line="240" w:lineRule="atLeast"/>
              <w:jc w:val="both"/>
              <w:rPr>
                <w:rFonts w:ascii="Cambria" w:eastAsia="Calibri" w:hAnsi="Cambria" w:cs="Calibri"/>
                <w:lang w:val="hr-HR"/>
              </w:rPr>
            </w:pPr>
            <w:proofErr w:type="spellStart"/>
            <w:r w:rsidRPr="00DF4CE5">
              <w:rPr>
                <w:rFonts w:ascii="Cambria" w:eastAsia="Calibri" w:hAnsi="Cambria" w:cs="Calibri"/>
              </w:rPr>
              <w:t>Rokovi</w:t>
            </w:r>
            <w:proofErr w:type="spellEnd"/>
            <w:r w:rsidRPr="00DF4CE5">
              <w:rPr>
                <w:rFonts w:ascii="Cambria" w:eastAsia="Calibri" w:hAnsi="Cambria" w:cs="Calibri"/>
              </w:rPr>
              <w:t xml:space="preserve"> </w:t>
            </w:r>
            <w:proofErr w:type="spellStart"/>
            <w:r w:rsidRPr="00DF4CE5">
              <w:rPr>
                <w:rFonts w:ascii="Cambria" w:eastAsia="Calibri" w:hAnsi="Cambria" w:cs="Calibri"/>
              </w:rPr>
              <w:t>ispita</w:t>
            </w:r>
            <w:proofErr w:type="spellEnd"/>
            <w:r w:rsidRPr="00DF4CE5">
              <w:rPr>
                <w:rFonts w:ascii="Cambria" w:eastAsia="Calibri" w:hAnsi="Cambria" w:cs="Calibri"/>
              </w:rPr>
              <w:t xml:space="preserve"> </w:t>
            </w:r>
            <w:proofErr w:type="spellStart"/>
            <w:r w:rsidRPr="00DF4CE5">
              <w:rPr>
                <w:rFonts w:ascii="Cambria" w:eastAsia="Calibri" w:hAnsi="Cambria" w:cs="Calibri"/>
              </w:rPr>
              <w:t>i</w:t>
            </w:r>
            <w:proofErr w:type="spellEnd"/>
            <w:r w:rsidRPr="00DF4CE5">
              <w:rPr>
                <w:rFonts w:ascii="Cambria" w:eastAsia="Calibri" w:hAnsi="Cambria" w:cs="Calibri"/>
              </w:rPr>
              <w:t xml:space="preserve"> </w:t>
            </w:r>
            <w:proofErr w:type="spellStart"/>
            <w:r w:rsidRPr="00DF4CE5">
              <w:rPr>
                <w:rFonts w:ascii="Cambria" w:eastAsia="Calibri" w:hAnsi="Cambria" w:cs="Calibri"/>
              </w:rPr>
              <w:t>kolokvija</w:t>
            </w:r>
            <w:proofErr w:type="spellEnd"/>
          </w:p>
        </w:tc>
        <w:tc>
          <w:tcPr>
            <w:tcW w:w="672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A1203C6" w14:textId="77777777" w:rsidR="00772FCB" w:rsidRPr="00DF4CE5" w:rsidRDefault="00772FCB" w:rsidP="00772FCB">
            <w:pPr>
              <w:spacing w:after="0" w:line="240" w:lineRule="atLeast"/>
              <w:jc w:val="both"/>
              <w:rPr>
                <w:rFonts w:ascii="Cambria" w:eastAsia="Calibri" w:hAnsi="Cambria" w:cs="Calibri"/>
                <w:lang w:val="hr-HR"/>
              </w:rPr>
            </w:pPr>
            <w:r w:rsidRPr="00DF4CE5">
              <w:rPr>
                <w:rFonts w:ascii="Cambria" w:eastAsia="Calibri" w:hAnsi="Cambria" w:cs="Calibri"/>
                <w:lang w:val="hr-HR"/>
              </w:rPr>
              <w:t>Objavljuju se na početku akademske godine u ISVU.</w:t>
            </w:r>
          </w:p>
        </w:tc>
      </w:tr>
      <w:tr w:rsidR="00772FCB" w:rsidRPr="00775193" w14:paraId="36FCB558" w14:textId="77777777" w:rsidTr="00C106A0">
        <w:tc>
          <w:tcPr>
            <w:tcW w:w="261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41BCF48" w14:textId="77777777" w:rsidR="00772FCB" w:rsidRPr="00DF4CE5" w:rsidRDefault="00772FCB" w:rsidP="00772FCB">
            <w:pPr>
              <w:spacing w:after="0" w:line="240" w:lineRule="atLeast"/>
              <w:jc w:val="both"/>
              <w:rPr>
                <w:rFonts w:ascii="Cambria" w:eastAsia="Calibri" w:hAnsi="Cambria" w:cs="Calibri"/>
                <w:lang w:val="hr-HR"/>
              </w:rPr>
            </w:pPr>
            <w:r w:rsidRPr="00DF4CE5">
              <w:rPr>
                <w:rFonts w:ascii="Cambria" w:eastAsia="Calibri" w:hAnsi="Cambria" w:cs="Calibri"/>
                <w:lang w:val="hr-HR"/>
              </w:rPr>
              <w:lastRenderedPageBreak/>
              <w:t>Ostale važne činjenice vezane uz kolegij</w:t>
            </w:r>
          </w:p>
        </w:tc>
        <w:tc>
          <w:tcPr>
            <w:tcW w:w="672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9EBDCFE" w14:textId="77777777" w:rsidR="00772FCB" w:rsidRPr="00DF4CE5" w:rsidRDefault="00772FCB" w:rsidP="00772FCB">
            <w:pPr>
              <w:spacing w:after="0" w:line="240" w:lineRule="atLeast"/>
              <w:jc w:val="both"/>
              <w:rPr>
                <w:rFonts w:ascii="Cambria" w:eastAsia="Calibri" w:hAnsi="Cambria" w:cs="Calibri"/>
                <w:lang w:val="hr-HR"/>
              </w:rPr>
            </w:pPr>
            <w:r w:rsidRPr="00DF4CE5">
              <w:rPr>
                <w:rFonts w:ascii="Cambria" w:eastAsia="Calibri" w:hAnsi="Cambria" w:cs="Calibri"/>
                <w:lang w:val="hr-HR"/>
              </w:rPr>
              <w:t xml:space="preserve">Dio nastave vezan za pripreme seminara i rasprave pojedinih nastavnih tema će se izvoditi on-line kroz </w:t>
            </w:r>
            <w:proofErr w:type="spellStart"/>
            <w:r w:rsidRPr="00DF4CE5">
              <w:rPr>
                <w:rFonts w:ascii="Cambria" w:eastAsia="Calibri" w:hAnsi="Cambria" w:cs="Calibri"/>
                <w:lang w:val="hr-HR"/>
              </w:rPr>
              <w:t>Moodle</w:t>
            </w:r>
            <w:proofErr w:type="spellEnd"/>
            <w:r w:rsidRPr="00DF4CE5">
              <w:rPr>
                <w:rFonts w:ascii="Cambria" w:eastAsia="Calibri" w:hAnsi="Cambria" w:cs="Calibri"/>
                <w:lang w:val="hr-HR"/>
              </w:rPr>
              <w:t xml:space="preserve"> verziju kolegija. (</w:t>
            </w:r>
            <w:proofErr w:type="spellStart"/>
            <w:r w:rsidRPr="00DF4CE5">
              <w:rPr>
                <w:rFonts w:ascii="Cambria" w:eastAsia="Calibri" w:hAnsi="Cambria" w:cs="Calibri"/>
                <w:lang w:val="hr-HR"/>
              </w:rPr>
              <w:t>max</w:t>
            </w:r>
            <w:proofErr w:type="spellEnd"/>
            <w:r w:rsidRPr="00DF4CE5">
              <w:rPr>
                <w:rFonts w:ascii="Cambria" w:eastAsia="Calibri" w:hAnsi="Cambria" w:cs="Calibri"/>
                <w:lang w:val="hr-HR"/>
              </w:rPr>
              <w:t xml:space="preserve">.  10 sati). Virtualna nazočnost je obvezna i pratit će se kroz </w:t>
            </w:r>
            <w:proofErr w:type="spellStart"/>
            <w:r w:rsidRPr="00DF4CE5">
              <w:rPr>
                <w:rFonts w:ascii="Cambria" w:eastAsia="Calibri" w:hAnsi="Cambria" w:cs="Calibri"/>
                <w:lang w:val="hr-HR"/>
              </w:rPr>
              <w:t>Moodle</w:t>
            </w:r>
            <w:proofErr w:type="spellEnd"/>
            <w:r w:rsidRPr="00DF4CE5">
              <w:rPr>
                <w:rFonts w:ascii="Cambria" w:eastAsia="Calibri" w:hAnsi="Cambria" w:cs="Calibri"/>
                <w:lang w:val="hr-HR"/>
              </w:rPr>
              <w:t xml:space="preserve"> alate.</w:t>
            </w:r>
          </w:p>
          <w:p w14:paraId="5889BBF6" w14:textId="2276B475" w:rsidR="00772FCB" w:rsidRPr="00DF4CE5" w:rsidRDefault="00772FCB" w:rsidP="00772FCB">
            <w:pPr>
              <w:spacing w:after="0" w:line="240" w:lineRule="atLeast"/>
              <w:jc w:val="both"/>
              <w:rPr>
                <w:rFonts w:ascii="Cambria" w:eastAsia="Calibri" w:hAnsi="Cambria" w:cs="Calibri"/>
                <w:lang w:val="hr-HR"/>
              </w:rPr>
            </w:pPr>
            <w:r w:rsidRPr="00DF4CE5">
              <w:rPr>
                <w:rFonts w:ascii="Cambria" w:eastAsia="Calibri" w:hAnsi="Cambria" w:cs="Calibri"/>
                <w:lang w:val="hr-HR"/>
              </w:rPr>
              <w:t>U slučaju održavanja nastave na daljinu, moguće je odstupanje u: mjestu izvođenja kolegija, provedbi aktivnosti, metoda tumačenja i poučavanja i načinima vrednovanja, studentskim obvezama i dostupnoj literaturi. O tome će nositelj</w:t>
            </w:r>
            <w:r w:rsidR="00775193">
              <w:rPr>
                <w:rFonts w:ascii="Cambria" w:eastAsia="Calibri" w:hAnsi="Cambria" w:cs="Calibri"/>
                <w:lang w:val="hr-HR"/>
              </w:rPr>
              <w:t>ica kolegija</w:t>
            </w:r>
            <w:r w:rsidRPr="00DF4CE5">
              <w:rPr>
                <w:rFonts w:ascii="Cambria" w:eastAsia="Calibri" w:hAnsi="Cambria" w:cs="Calibri"/>
                <w:lang w:val="hr-HR"/>
              </w:rPr>
              <w:t xml:space="preserve"> obavijestiti studente i studentice kad se nastava na daljinu počne održavati. Ishodi učenja ostaju nepromijenjeni.</w:t>
            </w:r>
          </w:p>
        </w:tc>
      </w:tr>
      <w:tr w:rsidR="00772FCB" w:rsidRPr="00DF4CE5" w14:paraId="70EDABC2" w14:textId="77777777" w:rsidTr="00C106A0">
        <w:trPr>
          <w:trHeight w:val="770"/>
        </w:trPr>
        <w:tc>
          <w:tcPr>
            <w:tcW w:w="261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7C5B6CE" w14:textId="77777777" w:rsidR="00772FCB" w:rsidRPr="00DF4CE5" w:rsidRDefault="00772FCB" w:rsidP="00772FCB">
            <w:pPr>
              <w:spacing w:after="0" w:line="240" w:lineRule="atLeast"/>
              <w:jc w:val="both"/>
              <w:rPr>
                <w:rFonts w:ascii="Cambria" w:eastAsia="Calibri" w:hAnsi="Cambria" w:cs="Calibri"/>
                <w:lang w:val="hr-HR"/>
              </w:rPr>
            </w:pPr>
            <w:r w:rsidRPr="00DF4CE5">
              <w:rPr>
                <w:rFonts w:ascii="Cambria" w:eastAsia="Calibri" w:hAnsi="Cambria" w:cs="Calibri"/>
                <w:lang w:val="hr-HR"/>
              </w:rPr>
              <w:t>Literatura</w:t>
            </w:r>
          </w:p>
        </w:tc>
        <w:tc>
          <w:tcPr>
            <w:tcW w:w="6724"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1702BB67" w14:textId="77777777" w:rsidR="00772FCB" w:rsidRPr="00DF4CE5" w:rsidRDefault="00772FCB" w:rsidP="00772FCB">
            <w:pPr>
              <w:autoSpaceDE w:val="0"/>
              <w:autoSpaceDN w:val="0"/>
              <w:adjustRightInd w:val="0"/>
              <w:spacing w:after="0" w:line="240" w:lineRule="atLeast"/>
              <w:jc w:val="both"/>
              <w:rPr>
                <w:rFonts w:ascii="Cambria" w:eastAsia="Calibri" w:hAnsi="Cambria" w:cs="Calibri"/>
                <w:lang w:val="hr-HR"/>
              </w:rPr>
            </w:pPr>
            <w:r w:rsidRPr="00DF4CE5">
              <w:rPr>
                <w:rFonts w:ascii="Cambria" w:eastAsia="Calibri" w:hAnsi="Cambria" w:cs="Calibri"/>
                <w:lang w:val="hr-HR"/>
              </w:rPr>
              <w:t>Obvezna:</w:t>
            </w:r>
          </w:p>
          <w:p w14:paraId="5EDC2B98" w14:textId="77777777" w:rsidR="00772FCB" w:rsidRPr="00DF4CE5" w:rsidRDefault="00772FCB" w:rsidP="00A034E3">
            <w:pPr>
              <w:numPr>
                <w:ilvl w:val="0"/>
                <w:numId w:val="39"/>
              </w:numPr>
              <w:autoSpaceDE w:val="0"/>
              <w:autoSpaceDN w:val="0"/>
              <w:adjustRightInd w:val="0"/>
              <w:spacing w:after="0" w:line="240" w:lineRule="atLeast"/>
              <w:rPr>
                <w:rFonts w:ascii="Cambria" w:eastAsia="Calibri" w:hAnsi="Cambria" w:cs="Calibri"/>
                <w:lang w:val="hr-HR"/>
              </w:rPr>
            </w:pPr>
            <w:r w:rsidRPr="00DF4CE5">
              <w:rPr>
                <w:rFonts w:ascii="Cambria" w:eastAsia="Calibri" w:hAnsi="Cambria" w:cs="Calibri"/>
                <w:lang w:val="hr-HR"/>
              </w:rPr>
              <w:t>http://c4lpt.co.uk/top100tools/</w:t>
            </w:r>
          </w:p>
          <w:p w14:paraId="5D078B2C" w14:textId="1E7636D2" w:rsidR="00772FCB" w:rsidRPr="00775193" w:rsidRDefault="00772FCB" w:rsidP="00A034E3">
            <w:pPr>
              <w:numPr>
                <w:ilvl w:val="0"/>
                <w:numId w:val="39"/>
              </w:numPr>
              <w:autoSpaceDE w:val="0"/>
              <w:autoSpaceDN w:val="0"/>
              <w:adjustRightInd w:val="0"/>
              <w:spacing w:after="0" w:line="240" w:lineRule="atLeast"/>
              <w:rPr>
                <w:rFonts w:ascii="Cambria" w:eastAsia="Calibri" w:hAnsi="Cambria" w:cs="Calibri"/>
                <w:lang w:val="hr-HR"/>
              </w:rPr>
            </w:pPr>
            <w:hyperlink r:id="rId186" w:history="1">
              <w:r w:rsidRPr="00DF4CE5">
                <w:rPr>
                  <w:rFonts w:ascii="Cambria" w:eastAsia="Calibri" w:hAnsi="Cambria" w:cs="Calibri"/>
                  <w:color w:val="0000FF"/>
                  <w:u w:val="single"/>
                  <w:lang w:val="hr-HR"/>
                </w:rPr>
                <w:t>http://www.edudemic.com/50-education-technology-tools-every-teacher-should-know-about/</w:t>
              </w:r>
            </w:hyperlink>
          </w:p>
          <w:p w14:paraId="0572F2A0" w14:textId="77777777" w:rsidR="00772FCB" w:rsidRPr="00DF4CE5" w:rsidRDefault="00772FCB" w:rsidP="00775193">
            <w:pPr>
              <w:autoSpaceDE w:val="0"/>
              <w:autoSpaceDN w:val="0"/>
              <w:adjustRightInd w:val="0"/>
              <w:spacing w:after="0" w:line="240" w:lineRule="atLeast"/>
              <w:rPr>
                <w:rFonts w:ascii="Cambria" w:eastAsia="Calibri" w:hAnsi="Cambria" w:cs="Calibri"/>
                <w:lang w:val="hr-HR"/>
              </w:rPr>
            </w:pPr>
            <w:r w:rsidRPr="00DF4CE5">
              <w:rPr>
                <w:rFonts w:ascii="Cambria" w:eastAsia="Calibri" w:hAnsi="Cambria" w:cs="Calibri"/>
                <w:lang w:val="hr-HR"/>
              </w:rPr>
              <w:t>Izborna:</w:t>
            </w:r>
          </w:p>
          <w:p w14:paraId="25D29D39" w14:textId="77777777" w:rsidR="00772FCB" w:rsidRPr="00DF4CE5" w:rsidRDefault="00772FCB" w:rsidP="00A034E3">
            <w:pPr>
              <w:numPr>
                <w:ilvl w:val="0"/>
                <w:numId w:val="40"/>
              </w:numPr>
              <w:autoSpaceDE w:val="0"/>
              <w:autoSpaceDN w:val="0"/>
              <w:adjustRightInd w:val="0"/>
              <w:spacing w:after="0" w:line="240" w:lineRule="atLeast"/>
              <w:ind w:left="360"/>
              <w:contextualSpacing/>
              <w:rPr>
                <w:rFonts w:ascii="Cambria" w:eastAsia="Calibri" w:hAnsi="Cambria" w:cs="Calibri"/>
                <w:lang w:val="hr-HR"/>
              </w:rPr>
            </w:pPr>
            <w:proofErr w:type="spellStart"/>
            <w:r w:rsidRPr="00DF4CE5">
              <w:rPr>
                <w:rFonts w:ascii="Cambria" w:eastAsia="Calibri" w:hAnsi="Cambria" w:cs="Calibri"/>
                <w:lang w:val="hr-HR"/>
              </w:rPr>
              <w:t>Prensky</w:t>
            </w:r>
            <w:proofErr w:type="spellEnd"/>
            <w:r w:rsidRPr="00DF4CE5">
              <w:rPr>
                <w:rFonts w:ascii="Cambria" w:eastAsia="Calibri" w:hAnsi="Cambria" w:cs="Calibri"/>
                <w:lang w:val="hr-HR"/>
              </w:rPr>
              <w:t xml:space="preserve">, M. Digitalni urođenici, digitalni pridošlice, </w:t>
            </w:r>
            <w:proofErr w:type="spellStart"/>
            <w:r w:rsidRPr="00DF4CE5">
              <w:rPr>
                <w:rFonts w:ascii="Cambria" w:eastAsia="Calibri" w:hAnsi="Cambria" w:cs="Calibri"/>
                <w:lang w:val="hr-HR"/>
              </w:rPr>
              <w:t>Edupoint</w:t>
            </w:r>
            <w:proofErr w:type="spellEnd"/>
            <w:r w:rsidRPr="00DF4CE5">
              <w:rPr>
                <w:rFonts w:ascii="Cambria" w:eastAsia="Calibri" w:hAnsi="Cambria" w:cs="Calibri"/>
                <w:lang w:val="hr-HR"/>
              </w:rPr>
              <w:t>, 40 (V). 2005. http://www.carnet.hr/casopis/40/clanci/3</w:t>
            </w:r>
          </w:p>
          <w:p w14:paraId="1BE656EC" w14:textId="77777777" w:rsidR="00772FCB" w:rsidRPr="00DF4CE5" w:rsidRDefault="00772FCB" w:rsidP="00A034E3">
            <w:pPr>
              <w:numPr>
                <w:ilvl w:val="0"/>
                <w:numId w:val="40"/>
              </w:numPr>
              <w:autoSpaceDE w:val="0"/>
              <w:autoSpaceDN w:val="0"/>
              <w:adjustRightInd w:val="0"/>
              <w:spacing w:after="0" w:line="240" w:lineRule="atLeast"/>
              <w:ind w:left="360"/>
              <w:contextualSpacing/>
              <w:rPr>
                <w:rFonts w:ascii="Cambria" w:eastAsia="Calibri" w:hAnsi="Cambria" w:cs="Calibri"/>
                <w:lang w:val="hr-HR"/>
              </w:rPr>
            </w:pPr>
            <w:r w:rsidRPr="00DF4CE5">
              <w:rPr>
                <w:rFonts w:ascii="Cambria" w:eastAsia="Calibri" w:hAnsi="Cambria" w:cs="Calibri"/>
                <w:lang w:val="hr-HR"/>
              </w:rPr>
              <w:t xml:space="preserve">Ljubić </w:t>
            </w:r>
            <w:proofErr w:type="spellStart"/>
            <w:r w:rsidRPr="00DF4CE5">
              <w:rPr>
                <w:rFonts w:ascii="Cambria" w:eastAsia="Calibri" w:hAnsi="Cambria" w:cs="Calibri"/>
                <w:lang w:val="hr-HR"/>
              </w:rPr>
              <w:t>Klemše</w:t>
            </w:r>
            <w:proofErr w:type="spellEnd"/>
            <w:r w:rsidRPr="00DF4CE5">
              <w:rPr>
                <w:rFonts w:ascii="Cambria" w:eastAsia="Calibri" w:hAnsi="Cambria" w:cs="Calibri"/>
                <w:lang w:val="hr-HR"/>
              </w:rPr>
              <w:t>, N. Web 2.0 alati i e-učenje u primarnom obrazovanju, Pogled kroz prozor, 2010. http://pogledkrozprozor.wordpress.com/2010/11/27/web-2-0-alati-i-e-ucenje-u-primarnom-obrazovanju</w:t>
            </w:r>
          </w:p>
          <w:p w14:paraId="6EA14C96" w14:textId="77777777" w:rsidR="00772FCB" w:rsidRPr="00DF4CE5" w:rsidRDefault="00772FCB" w:rsidP="00A034E3">
            <w:pPr>
              <w:numPr>
                <w:ilvl w:val="0"/>
                <w:numId w:val="40"/>
              </w:numPr>
              <w:autoSpaceDE w:val="0"/>
              <w:autoSpaceDN w:val="0"/>
              <w:adjustRightInd w:val="0"/>
              <w:spacing w:after="0" w:line="240" w:lineRule="atLeast"/>
              <w:ind w:left="360"/>
              <w:contextualSpacing/>
              <w:rPr>
                <w:rFonts w:ascii="Cambria" w:eastAsia="Calibri" w:hAnsi="Cambria" w:cs="Calibri"/>
                <w:lang w:val="hr-HR"/>
              </w:rPr>
            </w:pPr>
            <w:r w:rsidRPr="00DF4CE5">
              <w:rPr>
                <w:rFonts w:ascii="Cambria" w:eastAsia="Calibri" w:hAnsi="Cambria" w:cs="Calibri"/>
                <w:lang w:val="hr-HR"/>
              </w:rPr>
              <w:t xml:space="preserve">Elliott, M. i </w:t>
            </w:r>
            <w:proofErr w:type="spellStart"/>
            <w:r w:rsidRPr="00DF4CE5">
              <w:rPr>
                <w:rFonts w:ascii="Cambria" w:eastAsia="Calibri" w:hAnsi="Cambria" w:cs="Calibri"/>
                <w:lang w:val="hr-HR"/>
              </w:rPr>
              <w:t>McGreal</w:t>
            </w:r>
            <w:proofErr w:type="spellEnd"/>
            <w:r w:rsidRPr="00DF4CE5">
              <w:rPr>
                <w:rFonts w:ascii="Cambria" w:eastAsia="Calibri" w:hAnsi="Cambria" w:cs="Calibri"/>
                <w:lang w:val="hr-HR"/>
              </w:rPr>
              <w:t>, R. Tehnologije online učenja (e-</w:t>
            </w:r>
            <w:proofErr w:type="spellStart"/>
            <w:r w:rsidRPr="00DF4CE5">
              <w:rPr>
                <w:rFonts w:ascii="Cambria" w:eastAsia="Calibri" w:hAnsi="Cambria" w:cs="Calibri"/>
                <w:lang w:val="hr-HR"/>
              </w:rPr>
              <w:t>learning</w:t>
            </w:r>
            <w:proofErr w:type="spellEnd"/>
            <w:r w:rsidRPr="00DF4CE5">
              <w:rPr>
                <w:rFonts w:ascii="Cambria" w:eastAsia="Calibri" w:hAnsi="Cambria" w:cs="Calibri"/>
                <w:lang w:val="hr-HR"/>
              </w:rPr>
              <w:t xml:space="preserve">), </w:t>
            </w:r>
            <w:proofErr w:type="spellStart"/>
            <w:r w:rsidRPr="00DF4CE5">
              <w:rPr>
                <w:rFonts w:ascii="Cambria" w:eastAsia="Calibri" w:hAnsi="Cambria" w:cs="Calibri"/>
                <w:lang w:val="hr-HR"/>
              </w:rPr>
              <w:t>Edupoint</w:t>
            </w:r>
            <w:proofErr w:type="spellEnd"/>
            <w:r w:rsidRPr="00DF4CE5">
              <w:rPr>
                <w:rFonts w:ascii="Cambria" w:eastAsia="Calibri" w:hAnsi="Cambria" w:cs="Calibri"/>
                <w:lang w:val="hr-HR"/>
              </w:rPr>
              <w:t xml:space="preserve"> 37 (V). 2005 http://edupoint.carnet.hr/casopis/37/clanci/4.html</w:t>
            </w:r>
          </w:p>
          <w:p w14:paraId="3D0400D1" w14:textId="77777777" w:rsidR="00772FCB" w:rsidRPr="00DF4CE5" w:rsidRDefault="00772FCB" w:rsidP="00A034E3">
            <w:pPr>
              <w:numPr>
                <w:ilvl w:val="0"/>
                <w:numId w:val="40"/>
              </w:numPr>
              <w:autoSpaceDE w:val="0"/>
              <w:autoSpaceDN w:val="0"/>
              <w:adjustRightInd w:val="0"/>
              <w:spacing w:after="0" w:line="240" w:lineRule="atLeast"/>
              <w:ind w:left="360"/>
              <w:contextualSpacing/>
              <w:rPr>
                <w:rFonts w:ascii="Cambria" w:eastAsia="Calibri" w:hAnsi="Cambria" w:cs="Calibri"/>
                <w:lang w:val="hr-HR"/>
              </w:rPr>
            </w:pPr>
            <w:proofErr w:type="spellStart"/>
            <w:r w:rsidRPr="00DF4CE5">
              <w:rPr>
                <w:rFonts w:ascii="Cambria" w:eastAsia="Calibri" w:hAnsi="Cambria" w:cs="Calibri"/>
                <w:lang w:val="hr-HR"/>
              </w:rPr>
              <w:t>Blažić</w:t>
            </w:r>
            <w:proofErr w:type="spellEnd"/>
            <w:r w:rsidRPr="00DF4CE5">
              <w:rPr>
                <w:rFonts w:ascii="Cambria" w:eastAsia="Calibri" w:hAnsi="Cambria" w:cs="Calibri"/>
                <w:lang w:val="hr-HR"/>
              </w:rPr>
              <w:t xml:space="preserve">, A. </w:t>
            </w:r>
            <w:proofErr w:type="spellStart"/>
            <w:r w:rsidRPr="00DF4CE5">
              <w:rPr>
                <w:rFonts w:ascii="Cambria" w:eastAsia="Calibri" w:hAnsi="Cambria" w:cs="Calibri"/>
                <w:lang w:val="hr-HR"/>
              </w:rPr>
              <w:t>Glogster</w:t>
            </w:r>
            <w:proofErr w:type="spellEnd"/>
            <w:r w:rsidRPr="00DF4CE5">
              <w:rPr>
                <w:rFonts w:ascii="Cambria" w:eastAsia="Calibri" w:hAnsi="Cambria" w:cs="Calibri"/>
                <w:lang w:val="hr-HR"/>
              </w:rPr>
              <w:t xml:space="preserve">, </w:t>
            </w:r>
            <w:proofErr w:type="spellStart"/>
            <w:r w:rsidRPr="00DF4CE5">
              <w:rPr>
                <w:rFonts w:ascii="Cambria" w:eastAsia="Calibri" w:hAnsi="Cambria" w:cs="Calibri"/>
                <w:lang w:val="hr-HR"/>
              </w:rPr>
              <w:t>Twiterova</w:t>
            </w:r>
            <w:proofErr w:type="spellEnd"/>
            <w:r w:rsidRPr="00DF4CE5">
              <w:rPr>
                <w:rFonts w:ascii="Cambria" w:eastAsia="Calibri" w:hAnsi="Cambria" w:cs="Calibri"/>
                <w:lang w:val="hr-HR"/>
              </w:rPr>
              <w:t xml:space="preserve"> družina – nove tehnologije u nastavi. 2010. http://twitterovadruzina.wordpress.com/2010/01/04/glogste</w:t>
            </w:r>
          </w:p>
          <w:p w14:paraId="5DA0222C" w14:textId="77777777" w:rsidR="00772FCB" w:rsidRPr="00DF4CE5" w:rsidRDefault="00772FCB" w:rsidP="00775193">
            <w:pPr>
              <w:autoSpaceDE w:val="0"/>
              <w:autoSpaceDN w:val="0"/>
              <w:adjustRightInd w:val="0"/>
              <w:spacing w:after="0" w:line="240" w:lineRule="atLeast"/>
              <w:rPr>
                <w:rFonts w:ascii="Cambria" w:eastAsia="Calibri" w:hAnsi="Cambria" w:cs="Calibri"/>
                <w:lang w:val="hr-HR"/>
              </w:rPr>
            </w:pPr>
            <w:r w:rsidRPr="00DF4CE5">
              <w:rPr>
                <w:rFonts w:ascii="Cambria" w:eastAsia="Calibri" w:hAnsi="Cambria" w:cs="Calibri"/>
                <w:lang w:val="hr-HR"/>
              </w:rPr>
              <w:t>Priručna:</w:t>
            </w:r>
          </w:p>
          <w:p w14:paraId="634BE06D" w14:textId="77777777" w:rsidR="00772FCB" w:rsidRPr="00DF4CE5" w:rsidRDefault="00772FCB" w:rsidP="00775193">
            <w:pPr>
              <w:spacing w:after="0" w:line="240" w:lineRule="atLeast"/>
              <w:rPr>
                <w:rFonts w:ascii="Cambria" w:eastAsia="Calibri" w:hAnsi="Cambria" w:cs="Calibri"/>
                <w:lang w:val="hr-HR"/>
              </w:rPr>
            </w:pPr>
            <w:r w:rsidRPr="00DF4CE5">
              <w:rPr>
                <w:rFonts w:ascii="Cambria" w:eastAsia="Calibri" w:hAnsi="Cambria" w:cs="Calibri"/>
                <w:lang w:val="hr-HR"/>
              </w:rPr>
              <w:t>sve preporučene internetske poveznice aktualne u određenom trenutku</w:t>
            </w:r>
          </w:p>
        </w:tc>
      </w:tr>
    </w:tbl>
    <w:p w14:paraId="68E31C79" w14:textId="77777777" w:rsidR="006B2BBC" w:rsidRPr="00DF4CE5" w:rsidRDefault="006B2BBC" w:rsidP="008B34AF">
      <w:pPr>
        <w:jc w:val="both"/>
        <w:rPr>
          <w:rFonts w:ascii="Cambria" w:eastAsia="Calibri" w:hAnsi="Cambria" w:cs="Times New Roman"/>
          <w:lang w:val="hr-HR"/>
        </w:rPr>
      </w:pPr>
    </w:p>
    <w:p w14:paraId="6BC8367B" w14:textId="1F8A2E58" w:rsidR="006B2FC6" w:rsidRPr="00DF4CE5" w:rsidRDefault="006B2FC6">
      <w:pPr>
        <w:rPr>
          <w:rFonts w:ascii="Cambria" w:eastAsia="Calibri" w:hAnsi="Cambria" w:cs="Times New Roman"/>
          <w:lang w:val="hr-HR"/>
        </w:rPr>
      </w:pPr>
      <w:r w:rsidRPr="00DF4CE5">
        <w:rPr>
          <w:rFonts w:ascii="Cambria" w:eastAsia="Calibri" w:hAnsi="Cambria" w:cs="Times New Roman"/>
          <w:lang w:val="hr-HR"/>
        </w:rPr>
        <w:br w:type="page"/>
      </w:r>
    </w:p>
    <w:tbl>
      <w:tblPr>
        <w:tblW w:w="5000" w:type="pct"/>
        <w:tblLayout w:type="fixed"/>
        <w:tblCellMar>
          <w:left w:w="0" w:type="dxa"/>
          <w:right w:w="0" w:type="dxa"/>
        </w:tblCellMar>
        <w:tblLook w:val="0600" w:firstRow="0" w:lastRow="0" w:firstColumn="0" w:lastColumn="0" w:noHBand="1" w:noVBand="1"/>
      </w:tblPr>
      <w:tblGrid>
        <w:gridCol w:w="2623"/>
        <w:gridCol w:w="2487"/>
        <w:gridCol w:w="98"/>
        <w:gridCol w:w="1088"/>
        <w:gridCol w:w="277"/>
        <w:gridCol w:w="438"/>
        <w:gridCol w:w="1011"/>
        <w:gridCol w:w="1318"/>
      </w:tblGrid>
      <w:tr w:rsidR="006B2FC6" w:rsidRPr="00DF4CE5" w14:paraId="08A7B6A9" w14:textId="77777777" w:rsidTr="006B2FC6">
        <w:tc>
          <w:tcPr>
            <w:tcW w:w="9340"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8BAFDCF" w14:textId="77777777" w:rsidR="006B2FC6" w:rsidRPr="00DF4CE5" w:rsidRDefault="006B2FC6" w:rsidP="006B2FC6">
            <w:pPr>
              <w:spacing w:after="0" w:line="240" w:lineRule="auto"/>
              <w:jc w:val="right"/>
              <w:rPr>
                <w:rFonts w:ascii="Cambria" w:eastAsia="Times New Roman" w:hAnsi="Cambria" w:cs="Calibri"/>
                <w:b/>
                <w:lang w:val="hr-HR"/>
              </w:rPr>
            </w:pPr>
            <w:r w:rsidRPr="00DF4CE5">
              <w:rPr>
                <w:rFonts w:ascii="Cambria" w:eastAsia="Times New Roman" w:hAnsi="Cambria" w:cs="Calibri"/>
                <w:b/>
                <w:lang w:val="hr-HR"/>
              </w:rPr>
              <w:lastRenderedPageBreak/>
              <w:t>IZVEDBENI PLAN NASTAVE KOLEGIJA</w:t>
            </w:r>
          </w:p>
        </w:tc>
      </w:tr>
      <w:tr w:rsidR="006B2FC6" w:rsidRPr="00DF4CE5" w14:paraId="27477742" w14:textId="77777777" w:rsidTr="006B2FC6">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517174F" w14:textId="77777777" w:rsidR="006B2FC6" w:rsidRPr="00DF4CE5" w:rsidRDefault="006B2FC6" w:rsidP="006B2FC6">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Kod i naziv kolegija</w:t>
            </w:r>
          </w:p>
        </w:tc>
        <w:tc>
          <w:tcPr>
            <w:tcW w:w="671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1E60818" w14:textId="77777777" w:rsidR="006B2FC6" w:rsidRPr="00DF4CE5" w:rsidRDefault="006B2FC6" w:rsidP="006B2FC6">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118970</w:t>
            </w:r>
          </w:p>
          <w:p w14:paraId="70D144C0" w14:textId="77777777" w:rsidR="006B2FC6" w:rsidRPr="00DF4CE5" w:rsidRDefault="006B2FC6" w:rsidP="006B2FC6">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Trening socijalnih vještina</w:t>
            </w:r>
          </w:p>
        </w:tc>
      </w:tr>
      <w:tr w:rsidR="006B2FC6" w:rsidRPr="00D0399C" w14:paraId="546FE98B" w14:textId="77777777" w:rsidTr="006B2FC6">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49405B0" w14:textId="12F0ECBD" w:rsidR="006B2FC6" w:rsidRPr="00DF4CE5" w:rsidRDefault="006B2FC6" w:rsidP="006B2FC6">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Nastavnica</w:t>
            </w:r>
          </w:p>
        </w:tc>
        <w:tc>
          <w:tcPr>
            <w:tcW w:w="6717" w:type="dxa"/>
            <w:gridSpan w:val="7"/>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tcPr>
          <w:p w14:paraId="1225EFDF" w14:textId="353BA202" w:rsidR="006B2FC6" w:rsidRPr="006D2DC3" w:rsidRDefault="006B2FC6" w:rsidP="006B2FC6">
            <w:pPr>
              <w:spacing w:after="0" w:line="240" w:lineRule="auto"/>
              <w:jc w:val="both"/>
              <w:rPr>
                <w:rFonts w:ascii="Cambria" w:eastAsia="Times New Roman" w:hAnsi="Cambria" w:cs="Calibri"/>
                <w:color w:val="000000" w:themeColor="text1"/>
                <w:lang w:val="hr-HR"/>
              </w:rPr>
            </w:pPr>
            <w:hyperlink r:id="rId187" w:history="1">
              <w:r w:rsidRPr="00DF4CE5">
                <w:rPr>
                  <w:rStyle w:val="Hiperveza"/>
                  <w:rFonts w:ascii="Cambria" w:eastAsia="Times New Roman" w:hAnsi="Cambria" w:cs="Calibri"/>
                  <w:lang w:val="hr-HR"/>
                </w:rPr>
                <w:t xml:space="preserve">Prof. dr. sc. Mirjana </w:t>
              </w:r>
              <w:proofErr w:type="spellStart"/>
              <w:r w:rsidRPr="00DF4CE5">
                <w:rPr>
                  <w:rStyle w:val="Hiperveza"/>
                  <w:rFonts w:ascii="Cambria" w:eastAsia="Times New Roman" w:hAnsi="Cambria" w:cs="Times New Roman"/>
                  <w:lang w:val="hr-HR"/>
                </w:rPr>
                <w:t>Radetić</w:t>
              </w:r>
              <w:proofErr w:type="spellEnd"/>
              <w:r w:rsidRPr="00DF4CE5">
                <w:rPr>
                  <w:rStyle w:val="Hiperveza"/>
                  <w:rFonts w:ascii="Cambria" w:eastAsia="Times New Roman" w:hAnsi="Cambria" w:cs="Times New Roman"/>
                  <w:lang w:val="hr-HR"/>
                </w:rPr>
                <w:t xml:space="preserve"> Paić</w:t>
              </w:r>
            </w:hyperlink>
            <w:r w:rsidRPr="00DF4CE5">
              <w:rPr>
                <w:rFonts w:ascii="Cambria" w:eastAsia="Times New Roman" w:hAnsi="Cambria" w:cs="Times New Roman"/>
                <w:color w:val="000000" w:themeColor="text1"/>
                <w:lang w:val="hr-HR"/>
              </w:rPr>
              <w:t xml:space="preserve"> (nositeljica)</w:t>
            </w:r>
          </w:p>
        </w:tc>
      </w:tr>
      <w:tr w:rsidR="006B2FC6" w:rsidRPr="00D0399C" w14:paraId="7974658C" w14:textId="77777777" w:rsidTr="006B2FC6">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45F67CA" w14:textId="77777777" w:rsidR="006B2FC6" w:rsidRPr="00DF4CE5" w:rsidRDefault="006B2FC6" w:rsidP="006B2FC6">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Studijski program</w:t>
            </w:r>
          </w:p>
        </w:tc>
        <w:tc>
          <w:tcPr>
            <w:tcW w:w="671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B1D989C" w14:textId="77777777" w:rsidR="006B2FC6" w:rsidRPr="00DF4CE5" w:rsidRDefault="006B2FC6" w:rsidP="006B2FC6">
            <w:pPr>
              <w:spacing w:after="0" w:line="240" w:lineRule="auto"/>
              <w:jc w:val="both"/>
              <w:rPr>
                <w:rFonts w:ascii="Cambria" w:eastAsia="Times New Roman" w:hAnsi="Cambria" w:cs="Calibri"/>
                <w:lang w:val="hr-HR"/>
              </w:rPr>
            </w:pPr>
            <w:r w:rsidRPr="00DF4CE5">
              <w:rPr>
                <w:rFonts w:ascii="Cambria" w:hAnsi="Cambria"/>
                <w:lang w:val="hr-HR"/>
              </w:rPr>
              <w:t>Sveučilišni integrirani prijediplomski i diplomski Učiteljski studij na hrvatskom jeziku</w:t>
            </w:r>
          </w:p>
        </w:tc>
      </w:tr>
      <w:tr w:rsidR="006B2FC6" w:rsidRPr="00DF4CE5" w14:paraId="6AD0FC31" w14:textId="77777777" w:rsidTr="006B2FC6">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16893A4" w14:textId="77777777" w:rsidR="006B2FC6" w:rsidRPr="00DF4CE5" w:rsidRDefault="006B2FC6" w:rsidP="006B2FC6">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Vrsta kolegija</w:t>
            </w:r>
          </w:p>
        </w:tc>
        <w:tc>
          <w:tcPr>
            <w:tcW w:w="248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3F49DB9" w14:textId="77777777" w:rsidR="006B2FC6" w:rsidRPr="00DF4CE5" w:rsidRDefault="006B2FC6" w:rsidP="006B2FC6">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izborni</w:t>
            </w:r>
          </w:p>
          <w:p w14:paraId="7A537CF3" w14:textId="77777777" w:rsidR="006B2FC6" w:rsidRPr="00DF4CE5" w:rsidRDefault="006B2FC6" w:rsidP="006B2FC6">
            <w:pPr>
              <w:spacing w:after="0" w:line="240" w:lineRule="auto"/>
              <w:jc w:val="both"/>
              <w:rPr>
                <w:rFonts w:ascii="Cambria" w:eastAsia="Times New Roman" w:hAnsi="Cambria" w:cs="Calibri"/>
                <w:lang w:val="hr-HR"/>
              </w:rPr>
            </w:pPr>
          </w:p>
        </w:tc>
        <w:tc>
          <w:tcPr>
            <w:tcW w:w="146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6FED6B33" w14:textId="77777777" w:rsidR="006B2FC6" w:rsidRPr="00DF4CE5" w:rsidRDefault="006B2FC6" w:rsidP="006B2FC6">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Razina kolegija</w:t>
            </w:r>
          </w:p>
        </w:tc>
        <w:tc>
          <w:tcPr>
            <w:tcW w:w="2767"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23681EF" w14:textId="77777777" w:rsidR="006B2FC6" w:rsidRPr="00DF4CE5" w:rsidRDefault="006B2FC6" w:rsidP="006B2FC6">
            <w:pPr>
              <w:spacing w:after="0" w:line="240" w:lineRule="auto"/>
              <w:jc w:val="both"/>
              <w:rPr>
                <w:rFonts w:ascii="Cambria" w:eastAsia="Times New Roman" w:hAnsi="Cambria" w:cs="Calibri"/>
                <w:lang w:val="hr-HR"/>
              </w:rPr>
            </w:pPr>
            <w:proofErr w:type="spellStart"/>
            <w:r w:rsidRPr="00DF4CE5">
              <w:rPr>
                <w:rFonts w:ascii="Cambria" w:eastAsia="Times New Roman" w:hAnsi="Cambria" w:cs="Calibri"/>
              </w:rPr>
              <w:t>integrirani</w:t>
            </w:r>
            <w:proofErr w:type="spellEnd"/>
          </w:p>
          <w:p w14:paraId="002371CA" w14:textId="77777777" w:rsidR="006B2FC6" w:rsidRPr="00DF4CE5" w:rsidRDefault="006B2FC6" w:rsidP="006B2FC6">
            <w:pPr>
              <w:spacing w:after="0" w:line="240" w:lineRule="auto"/>
              <w:jc w:val="both"/>
              <w:rPr>
                <w:rFonts w:ascii="Cambria" w:eastAsia="Times New Roman" w:hAnsi="Cambria" w:cs="Calibri"/>
                <w:lang w:val="hr-HR"/>
              </w:rPr>
            </w:pPr>
          </w:p>
        </w:tc>
      </w:tr>
      <w:tr w:rsidR="006B2FC6" w:rsidRPr="00DF4CE5" w14:paraId="41609EA8" w14:textId="77777777" w:rsidTr="006B2FC6">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E67E246" w14:textId="77777777" w:rsidR="006B2FC6" w:rsidRPr="00DF4CE5" w:rsidRDefault="006B2FC6" w:rsidP="006B2FC6">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Semestar</w:t>
            </w:r>
          </w:p>
        </w:tc>
        <w:tc>
          <w:tcPr>
            <w:tcW w:w="248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2607877" w14:textId="77777777" w:rsidR="006B2FC6" w:rsidRPr="00DF4CE5" w:rsidRDefault="006B2FC6" w:rsidP="006B2FC6">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zimski</w:t>
            </w:r>
          </w:p>
          <w:p w14:paraId="69FA2965" w14:textId="77777777" w:rsidR="006B2FC6" w:rsidRPr="00DF4CE5" w:rsidRDefault="006B2FC6" w:rsidP="006B2FC6">
            <w:pPr>
              <w:spacing w:after="0" w:line="240" w:lineRule="auto"/>
              <w:jc w:val="both"/>
              <w:rPr>
                <w:rFonts w:ascii="Cambria" w:eastAsia="Times New Roman" w:hAnsi="Cambria" w:cs="Calibri"/>
                <w:lang w:val="hr-HR"/>
              </w:rPr>
            </w:pPr>
          </w:p>
        </w:tc>
        <w:tc>
          <w:tcPr>
            <w:tcW w:w="146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3D13026D" w14:textId="77777777" w:rsidR="006B2FC6" w:rsidRPr="00DF4CE5" w:rsidRDefault="006B2FC6" w:rsidP="006B2FC6">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Godina studija</w:t>
            </w:r>
          </w:p>
        </w:tc>
        <w:tc>
          <w:tcPr>
            <w:tcW w:w="2767"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D50D74E" w14:textId="77777777" w:rsidR="006B2FC6" w:rsidRPr="00DF4CE5" w:rsidRDefault="006B2FC6" w:rsidP="006B2FC6">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V.</w:t>
            </w:r>
          </w:p>
        </w:tc>
      </w:tr>
      <w:tr w:rsidR="006B2FC6" w:rsidRPr="00DF4CE5" w14:paraId="6CCB6C33" w14:textId="77777777" w:rsidTr="006B2FC6">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2B36C46" w14:textId="77777777" w:rsidR="006B2FC6" w:rsidRPr="00DF4CE5" w:rsidRDefault="006B2FC6" w:rsidP="006B2FC6">
            <w:pPr>
              <w:spacing w:after="0" w:line="240" w:lineRule="auto"/>
              <w:jc w:val="both"/>
              <w:rPr>
                <w:rFonts w:ascii="Cambria" w:eastAsia="Times New Roman" w:hAnsi="Cambria" w:cs="Calibri"/>
                <w:lang w:val="hr-HR"/>
              </w:rPr>
            </w:pPr>
            <w:proofErr w:type="spellStart"/>
            <w:r w:rsidRPr="00DF4CE5">
              <w:rPr>
                <w:rFonts w:ascii="Cambria" w:eastAsia="Times New Roman" w:hAnsi="Cambria" w:cs="Calibri"/>
              </w:rPr>
              <w:t>Mjesto</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izvođenja</w:t>
            </w:r>
            <w:proofErr w:type="spellEnd"/>
          </w:p>
        </w:tc>
        <w:tc>
          <w:tcPr>
            <w:tcW w:w="248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84D79B8" w14:textId="693E9D97" w:rsidR="006B2FC6" w:rsidRPr="00DF4CE5" w:rsidRDefault="006B2FC6" w:rsidP="006B2FC6">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dvorana </w:t>
            </w:r>
          </w:p>
        </w:tc>
        <w:tc>
          <w:tcPr>
            <w:tcW w:w="146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3F435BD7" w14:textId="77777777" w:rsidR="006B2FC6" w:rsidRPr="00DF4CE5" w:rsidRDefault="006B2FC6" w:rsidP="006B2FC6">
            <w:pPr>
              <w:spacing w:after="0" w:line="240" w:lineRule="auto"/>
              <w:jc w:val="both"/>
              <w:rPr>
                <w:rFonts w:ascii="Cambria" w:eastAsia="Times New Roman" w:hAnsi="Cambria" w:cs="Calibri"/>
                <w:lang w:val="hr-HR"/>
              </w:rPr>
            </w:pPr>
            <w:r w:rsidRPr="00DF4CE5">
              <w:rPr>
                <w:rFonts w:ascii="Cambria" w:eastAsia="Times New Roman" w:hAnsi="Cambria" w:cs="Calibri"/>
              </w:rPr>
              <w:t>Jezik</w:t>
            </w:r>
            <w:r w:rsidRPr="00DF4CE5">
              <w:rPr>
                <w:rFonts w:ascii="Cambria" w:eastAsia="Times New Roman" w:hAnsi="Cambria" w:cs="Calibri"/>
                <w:lang w:val="hr-HR"/>
              </w:rPr>
              <w:t xml:space="preserve"> izvođenja (drugi jezici)</w:t>
            </w:r>
          </w:p>
        </w:tc>
        <w:tc>
          <w:tcPr>
            <w:tcW w:w="2767"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6271256" w14:textId="77777777" w:rsidR="006B2FC6" w:rsidRPr="00DF4CE5" w:rsidRDefault="006B2FC6" w:rsidP="006B2FC6">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hrvatski </w:t>
            </w:r>
          </w:p>
          <w:p w14:paraId="73F72ECD" w14:textId="77777777" w:rsidR="006B2FC6" w:rsidRPr="00DF4CE5" w:rsidRDefault="006B2FC6" w:rsidP="006B2FC6">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(talijanski i engleski)</w:t>
            </w:r>
          </w:p>
        </w:tc>
      </w:tr>
      <w:tr w:rsidR="006B2FC6" w:rsidRPr="00DF4CE5" w14:paraId="5CEDD631" w14:textId="77777777" w:rsidTr="006B2FC6">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302D8F0" w14:textId="77777777" w:rsidR="006B2FC6" w:rsidRPr="00DF4CE5" w:rsidRDefault="006B2FC6" w:rsidP="006B2FC6">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Broj ECTS bodova</w:t>
            </w:r>
          </w:p>
        </w:tc>
        <w:tc>
          <w:tcPr>
            <w:tcW w:w="248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F494522" w14:textId="77777777" w:rsidR="006B2FC6" w:rsidRPr="00DF4CE5" w:rsidRDefault="006B2FC6" w:rsidP="006B2FC6">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2</w:t>
            </w:r>
          </w:p>
        </w:tc>
        <w:tc>
          <w:tcPr>
            <w:tcW w:w="146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28EDE9F1" w14:textId="77777777" w:rsidR="006B2FC6" w:rsidRPr="00DF4CE5" w:rsidRDefault="006B2FC6" w:rsidP="006B2FC6">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Broj sati u semestru</w:t>
            </w:r>
          </w:p>
        </w:tc>
        <w:tc>
          <w:tcPr>
            <w:tcW w:w="2767"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A348C0E" w14:textId="7EE48256" w:rsidR="006B2FC6" w:rsidRPr="00DF4CE5" w:rsidRDefault="006B2FC6" w:rsidP="006B2FC6">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15P – 0S – 15V </w:t>
            </w:r>
          </w:p>
        </w:tc>
      </w:tr>
      <w:tr w:rsidR="006B2FC6" w:rsidRPr="00DF4CE5" w14:paraId="59BCD1E5" w14:textId="77777777" w:rsidTr="006B2FC6">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B3EFF3A" w14:textId="77777777" w:rsidR="006B2FC6" w:rsidRPr="00DF4CE5" w:rsidRDefault="006B2FC6" w:rsidP="006B2FC6">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Preduvjeti za upis i za svladavanje</w:t>
            </w:r>
          </w:p>
        </w:tc>
        <w:tc>
          <w:tcPr>
            <w:tcW w:w="671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AD21D5A" w14:textId="77777777" w:rsidR="006B2FC6" w:rsidRPr="00DF4CE5" w:rsidRDefault="006B2FC6" w:rsidP="006B2FC6">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Nema preduvjeta za upis.  </w:t>
            </w:r>
          </w:p>
        </w:tc>
      </w:tr>
      <w:tr w:rsidR="006B2FC6" w:rsidRPr="00D0399C" w14:paraId="772A9C5F" w14:textId="77777777" w:rsidTr="006B2FC6">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BCD33FB" w14:textId="77777777" w:rsidR="006B2FC6" w:rsidRPr="00DF4CE5" w:rsidRDefault="006B2FC6" w:rsidP="006B2FC6">
            <w:pPr>
              <w:spacing w:after="0" w:line="240" w:lineRule="auto"/>
              <w:jc w:val="both"/>
              <w:rPr>
                <w:rFonts w:ascii="Cambria" w:eastAsia="Times New Roman" w:hAnsi="Cambria" w:cs="Calibri"/>
                <w:lang w:val="hr-HR"/>
              </w:rPr>
            </w:pPr>
            <w:proofErr w:type="spellStart"/>
            <w:r w:rsidRPr="00DF4CE5">
              <w:rPr>
                <w:rFonts w:ascii="Cambria" w:eastAsia="Times New Roman" w:hAnsi="Cambria" w:cs="Calibri"/>
              </w:rPr>
              <w:t>Korelativnost</w:t>
            </w:r>
            <w:proofErr w:type="spellEnd"/>
          </w:p>
        </w:tc>
        <w:tc>
          <w:tcPr>
            <w:tcW w:w="671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A4FEC57" w14:textId="77777777" w:rsidR="006B2FC6" w:rsidRPr="00DF4CE5" w:rsidRDefault="006B2FC6" w:rsidP="006B2FC6">
            <w:pPr>
              <w:spacing w:after="0" w:line="240" w:lineRule="auto"/>
              <w:rPr>
                <w:rFonts w:ascii="Cambria" w:eastAsia="Times New Roman" w:hAnsi="Cambria" w:cs="Calibri"/>
                <w:lang w:val="hr-HR"/>
              </w:rPr>
            </w:pPr>
            <w:r w:rsidRPr="00DF4CE5">
              <w:rPr>
                <w:rFonts w:ascii="Cambria" w:eastAsia="Times New Roman" w:hAnsi="Cambria" w:cs="Calibri"/>
                <w:lang w:val="hr-HR"/>
              </w:rPr>
              <w:t xml:space="preserve">Opća psihologija, Razvojna psihologija, Psihologija predškolske dobi </w:t>
            </w:r>
          </w:p>
        </w:tc>
      </w:tr>
      <w:tr w:rsidR="006B2FC6" w:rsidRPr="00D0399C" w14:paraId="32537063" w14:textId="77777777" w:rsidTr="006B2FC6">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8BDCF64" w14:textId="77777777" w:rsidR="006B2FC6" w:rsidRPr="00DF4CE5" w:rsidRDefault="006B2FC6" w:rsidP="006B2FC6">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Cilj kolegija </w:t>
            </w:r>
          </w:p>
        </w:tc>
        <w:tc>
          <w:tcPr>
            <w:tcW w:w="671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4C9F1F0" w14:textId="77777777" w:rsidR="006B2FC6" w:rsidRPr="00DF4CE5" w:rsidRDefault="006B2FC6" w:rsidP="006B2FC6">
            <w:pPr>
              <w:spacing w:after="0" w:line="240" w:lineRule="auto"/>
              <w:rPr>
                <w:rFonts w:ascii="Cambria" w:eastAsia="Times New Roman" w:hAnsi="Cambria" w:cs="Calibri"/>
                <w:lang w:val="hr-HR"/>
              </w:rPr>
            </w:pPr>
            <w:r w:rsidRPr="00DF4CE5">
              <w:rPr>
                <w:rFonts w:ascii="Cambria" w:eastAsia="Times New Roman" w:hAnsi="Cambria" w:cs="Calibri"/>
                <w:lang w:val="hr-HR"/>
              </w:rPr>
              <w:t>usvojiti kompetencije potrebne za poticanje i poučavanje socijalnih vještina kod djece</w:t>
            </w:r>
          </w:p>
        </w:tc>
      </w:tr>
      <w:tr w:rsidR="006B2FC6" w:rsidRPr="00D0399C" w14:paraId="0ADBCCC6" w14:textId="77777777" w:rsidTr="006B2FC6">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60B4488" w14:textId="77777777" w:rsidR="006B2FC6" w:rsidRPr="00DF4CE5" w:rsidRDefault="006B2FC6" w:rsidP="006B2FC6">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Ishodi učenja</w:t>
            </w:r>
          </w:p>
        </w:tc>
        <w:tc>
          <w:tcPr>
            <w:tcW w:w="671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950E295" w14:textId="5B7FC8EF" w:rsidR="006B2FC6" w:rsidRPr="00DF4CE5" w:rsidRDefault="005245F6" w:rsidP="005245F6">
            <w:pPr>
              <w:spacing w:after="0" w:line="240" w:lineRule="auto"/>
              <w:contextualSpacing/>
              <w:rPr>
                <w:rFonts w:ascii="Cambria" w:eastAsia="Calibri" w:hAnsi="Cambria" w:cs="Calibri"/>
                <w:lang w:val="hr-HR"/>
              </w:rPr>
            </w:pPr>
            <w:r>
              <w:rPr>
                <w:rFonts w:ascii="Cambria" w:eastAsia="Calibri" w:hAnsi="Cambria" w:cs="Calibri"/>
                <w:lang w:val="hr-HR"/>
              </w:rPr>
              <w:t xml:space="preserve">1. </w:t>
            </w:r>
            <w:r w:rsidR="006B2FC6" w:rsidRPr="00DF4CE5">
              <w:rPr>
                <w:rFonts w:ascii="Cambria" w:eastAsia="Calibri" w:hAnsi="Cambria" w:cs="Calibri"/>
                <w:lang w:val="hr-HR"/>
              </w:rPr>
              <w:t xml:space="preserve">pravilno interpretirati verbalne i neverbalne znakove komunikacije </w:t>
            </w:r>
          </w:p>
          <w:p w14:paraId="6F114B69" w14:textId="4846E2A1" w:rsidR="006B2FC6" w:rsidRPr="00DF4CE5" w:rsidRDefault="002B2FEE" w:rsidP="002B2FEE">
            <w:pPr>
              <w:spacing w:after="0" w:line="240" w:lineRule="auto"/>
              <w:contextualSpacing/>
              <w:rPr>
                <w:rFonts w:ascii="Cambria" w:eastAsia="Calibri" w:hAnsi="Cambria" w:cs="Calibri"/>
                <w:lang w:val="hr-HR"/>
              </w:rPr>
            </w:pPr>
            <w:r>
              <w:rPr>
                <w:rFonts w:ascii="Cambria" w:eastAsia="Calibri" w:hAnsi="Cambria" w:cs="Calibri"/>
                <w:lang w:val="hr-HR"/>
              </w:rPr>
              <w:t xml:space="preserve">2. </w:t>
            </w:r>
            <w:r w:rsidR="006B2FC6" w:rsidRPr="00DF4CE5">
              <w:rPr>
                <w:rFonts w:ascii="Cambria" w:eastAsia="Calibri" w:hAnsi="Cambria" w:cs="Calibri"/>
                <w:lang w:val="hr-HR"/>
              </w:rPr>
              <w:t xml:space="preserve">analizirati  različite individualne i grupne aspekte socijalne interakcije </w:t>
            </w:r>
            <w:r w:rsidR="006B2FC6" w:rsidRPr="00DF4CE5">
              <w:rPr>
                <w:rFonts w:ascii="Cambria" w:eastAsia="Calibri" w:hAnsi="Cambria" w:cs="Calibri"/>
                <w:lang w:val="hr-HR"/>
              </w:rPr>
              <w:tab/>
            </w:r>
          </w:p>
          <w:p w14:paraId="53D40F26" w14:textId="77777777" w:rsidR="002B2FEE" w:rsidRDefault="002B2FEE" w:rsidP="002B2FEE">
            <w:pPr>
              <w:spacing w:after="0" w:line="240" w:lineRule="auto"/>
              <w:contextualSpacing/>
              <w:rPr>
                <w:rFonts w:ascii="Cambria" w:eastAsia="Calibri" w:hAnsi="Cambria" w:cs="Calibri"/>
                <w:lang w:val="hr-HR"/>
              </w:rPr>
            </w:pPr>
            <w:r>
              <w:rPr>
                <w:rFonts w:ascii="Cambria" w:eastAsia="Calibri" w:hAnsi="Cambria" w:cs="Calibri"/>
                <w:lang w:val="hr-HR"/>
              </w:rPr>
              <w:t xml:space="preserve">3. </w:t>
            </w:r>
            <w:r w:rsidR="006B2FC6" w:rsidRPr="00DF4CE5">
              <w:rPr>
                <w:rFonts w:ascii="Cambria" w:eastAsia="Calibri" w:hAnsi="Cambria" w:cs="Calibri"/>
                <w:lang w:val="hr-HR"/>
              </w:rPr>
              <w:t>primijeniti tehnike konstruktivnog i kreativnog rješavanja sukoba</w:t>
            </w:r>
          </w:p>
          <w:p w14:paraId="27372D91" w14:textId="4364786B" w:rsidR="006B2FC6" w:rsidRPr="00DF4CE5" w:rsidRDefault="002B2FEE" w:rsidP="002B2FEE">
            <w:pPr>
              <w:spacing w:after="0" w:line="240" w:lineRule="auto"/>
              <w:contextualSpacing/>
              <w:rPr>
                <w:rFonts w:ascii="Cambria" w:eastAsia="Calibri" w:hAnsi="Cambria" w:cs="Calibri"/>
                <w:lang w:val="hr-HR"/>
              </w:rPr>
            </w:pPr>
            <w:r>
              <w:rPr>
                <w:rFonts w:ascii="Cambria" w:eastAsia="Calibri" w:hAnsi="Cambria" w:cs="Calibri"/>
                <w:lang w:val="hr-HR"/>
              </w:rPr>
              <w:t xml:space="preserve">4. </w:t>
            </w:r>
            <w:r w:rsidR="006B2FC6" w:rsidRPr="00DF4CE5">
              <w:rPr>
                <w:rFonts w:ascii="Cambria" w:eastAsia="Calibri" w:hAnsi="Cambria" w:cs="Calibri"/>
                <w:lang w:val="hr-HR"/>
              </w:rPr>
              <w:t>osmisliti načine poučavanja i poticanja socijalnih vještina</w:t>
            </w:r>
          </w:p>
        </w:tc>
      </w:tr>
      <w:tr w:rsidR="006B2FC6" w:rsidRPr="00DF4CE5" w14:paraId="2501E6B1" w14:textId="77777777" w:rsidTr="006B2FC6">
        <w:tc>
          <w:tcPr>
            <w:tcW w:w="2623"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108" w:type="dxa"/>
              <w:bottom w:w="0" w:type="dxa"/>
              <w:right w:w="108" w:type="dxa"/>
            </w:tcMar>
            <w:vAlign w:val="center"/>
            <w:hideMark/>
          </w:tcPr>
          <w:p w14:paraId="2D4B8B24" w14:textId="77777777" w:rsidR="006B2FC6" w:rsidRPr="00DF4CE5" w:rsidRDefault="006B2FC6" w:rsidP="006B2FC6">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Sadržaj kolegija</w:t>
            </w:r>
          </w:p>
        </w:tc>
        <w:tc>
          <w:tcPr>
            <w:tcW w:w="6717" w:type="dxa"/>
            <w:gridSpan w:val="7"/>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8" w:type="dxa"/>
              <w:bottom w:w="0" w:type="dxa"/>
              <w:right w:w="108" w:type="dxa"/>
            </w:tcMar>
            <w:vAlign w:val="center"/>
          </w:tcPr>
          <w:p w14:paraId="4625BB4B" w14:textId="287D5EA2" w:rsidR="006B2FC6" w:rsidRPr="00DF4CE5" w:rsidRDefault="006B2FC6" w:rsidP="006B2FC6">
            <w:pPr>
              <w:shd w:val="clear" w:color="auto" w:fill="FFFFFF" w:themeFill="background1"/>
              <w:tabs>
                <w:tab w:val="left" w:pos="242"/>
              </w:tabs>
              <w:spacing w:after="0" w:line="240" w:lineRule="auto"/>
              <w:rPr>
                <w:rFonts w:ascii="Cambria" w:eastAsia="Times New Roman" w:hAnsi="Cambria" w:cs="Calibri"/>
                <w:lang w:val="hr-HR"/>
              </w:rPr>
            </w:pPr>
            <w:r w:rsidRPr="00DF4CE5">
              <w:rPr>
                <w:rFonts w:ascii="Cambria" w:eastAsia="Times New Roman" w:hAnsi="Cambria" w:cs="Calibri"/>
                <w:lang w:val="hr-HR"/>
              </w:rPr>
              <w:t>1. percepcija i interpretacija verbalnih i neverbalnih znakova komunikacije</w:t>
            </w:r>
          </w:p>
          <w:p w14:paraId="308F1692" w14:textId="6698643E" w:rsidR="006B2FC6" w:rsidRPr="00DF4CE5" w:rsidRDefault="006B2FC6" w:rsidP="006B2FC6">
            <w:pPr>
              <w:shd w:val="clear" w:color="auto" w:fill="FFFFFF" w:themeFill="background1"/>
              <w:tabs>
                <w:tab w:val="left" w:pos="242"/>
              </w:tabs>
              <w:spacing w:after="0" w:line="240" w:lineRule="auto"/>
              <w:rPr>
                <w:rFonts w:ascii="Cambria" w:eastAsia="Times New Roman" w:hAnsi="Cambria" w:cs="Calibri"/>
                <w:lang w:val="hr-HR"/>
              </w:rPr>
            </w:pPr>
            <w:r w:rsidRPr="00DF4CE5">
              <w:rPr>
                <w:rFonts w:ascii="Cambria" w:eastAsia="Times New Roman" w:hAnsi="Cambria" w:cs="Calibri"/>
                <w:lang w:val="hr-HR"/>
              </w:rPr>
              <w:t>2. interakcija, komunikacija i međuljudski odnosi</w:t>
            </w:r>
          </w:p>
          <w:p w14:paraId="7C61AF35" w14:textId="2B21BA6E" w:rsidR="006B2FC6" w:rsidRPr="00DF4CE5" w:rsidRDefault="006B2FC6" w:rsidP="006B2FC6">
            <w:pPr>
              <w:shd w:val="clear" w:color="auto" w:fill="FFFFFF" w:themeFill="background1"/>
              <w:tabs>
                <w:tab w:val="left" w:pos="242"/>
              </w:tabs>
              <w:spacing w:after="0" w:line="240" w:lineRule="auto"/>
              <w:rPr>
                <w:rFonts w:ascii="Cambria" w:eastAsia="Times New Roman" w:hAnsi="Cambria" w:cs="Calibri"/>
                <w:lang w:val="hr-HR"/>
              </w:rPr>
            </w:pPr>
            <w:r w:rsidRPr="00DF4CE5">
              <w:rPr>
                <w:rFonts w:ascii="Cambria" w:eastAsia="Times New Roman" w:hAnsi="Cambria" w:cs="Calibri"/>
                <w:lang w:val="hr-HR"/>
              </w:rPr>
              <w:t>3. razumijevanje komunikacijskog procesa</w:t>
            </w:r>
          </w:p>
          <w:p w14:paraId="4A8B9218" w14:textId="7254C1DC" w:rsidR="006B2FC6" w:rsidRPr="00DF4CE5" w:rsidRDefault="006B2FC6" w:rsidP="006B2FC6">
            <w:pPr>
              <w:shd w:val="clear" w:color="auto" w:fill="FFFFFF" w:themeFill="background1"/>
              <w:tabs>
                <w:tab w:val="left" w:pos="242"/>
              </w:tabs>
              <w:spacing w:after="0" w:line="240" w:lineRule="auto"/>
              <w:ind w:left="242" w:hanging="242"/>
              <w:rPr>
                <w:rFonts w:ascii="Cambria" w:eastAsia="Times New Roman" w:hAnsi="Cambria" w:cs="Calibri"/>
                <w:lang w:val="hr-HR"/>
              </w:rPr>
            </w:pPr>
            <w:r w:rsidRPr="00DF4CE5">
              <w:rPr>
                <w:rFonts w:ascii="Cambria" w:eastAsia="Times New Roman" w:hAnsi="Cambria" w:cs="Calibri"/>
                <w:lang w:val="hr-HR"/>
              </w:rPr>
              <w:t>4. konflikti kao komunikacijski problemi/konstruktivno</w:t>
            </w:r>
          </w:p>
          <w:p w14:paraId="677076B6" w14:textId="77777777" w:rsidR="006B2FC6" w:rsidRPr="00DF4CE5" w:rsidRDefault="006B2FC6" w:rsidP="006B2FC6">
            <w:pPr>
              <w:shd w:val="clear" w:color="auto" w:fill="FFFFFF" w:themeFill="background1"/>
              <w:tabs>
                <w:tab w:val="left" w:pos="242"/>
              </w:tabs>
              <w:spacing w:after="0" w:line="240" w:lineRule="auto"/>
              <w:ind w:left="242" w:hanging="242"/>
              <w:rPr>
                <w:rFonts w:ascii="Cambria" w:eastAsia="Times New Roman" w:hAnsi="Cambria" w:cs="Calibri"/>
                <w:lang w:val="hr-HR"/>
              </w:rPr>
            </w:pPr>
            <w:r w:rsidRPr="00DF4CE5">
              <w:rPr>
                <w:rFonts w:ascii="Cambria" w:eastAsia="Times New Roman" w:hAnsi="Cambria" w:cs="Calibri"/>
                <w:lang w:val="hr-HR"/>
              </w:rPr>
              <w:t>rješavanje konflikta</w:t>
            </w:r>
          </w:p>
          <w:p w14:paraId="608715B5" w14:textId="101EF20D" w:rsidR="006B2FC6" w:rsidRPr="00DF4CE5" w:rsidRDefault="006B2FC6" w:rsidP="006B2FC6">
            <w:pPr>
              <w:shd w:val="clear" w:color="auto" w:fill="FFFFFF" w:themeFill="background1"/>
              <w:tabs>
                <w:tab w:val="left" w:pos="242"/>
              </w:tabs>
              <w:spacing w:after="0" w:line="240" w:lineRule="auto"/>
              <w:rPr>
                <w:rFonts w:ascii="Cambria" w:eastAsia="Times New Roman" w:hAnsi="Cambria" w:cs="Calibri"/>
                <w:lang w:val="hr-HR"/>
              </w:rPr>
            </w:pPr>
            <w:r w:rsidRPr="00DF4CE5">
              <w:rPr>
                <w:rFonts w:ascii="Cambria" w:eastAsia="Times New Roman" w:hAnsi="Cambria" w:cs="Calibri"/>
                <w:lang w:val="hr-HR"/>
              </w:rPr>
              <w:t>5. suradnja/natjecanje</w:t>
            </w:r>
          </w:p>
          <w:p w14:paraId="3958A8AE" w14:textId="6FE9179A" w:rsidR="006B2FC6" w:rsidRPr="00DF4CE5" w:rsidRDefault="006B2FC6" w:rsidP="006B2FC6">
            <w:pPr>
              <w:shd w:val="clear" w:color="auto" w:fill="FFFFFF" w:themeFill="background1"/>
              <w:tabs>
                <w:tab w:val="left" w:pos="242"/>
              </w:tabs>
              <w:spacing w:after="0" w:line="240" w:lineRule="auto"/>
              <w:rPr>
                <w:rFonts w:ascii="Cambria" w:eastAsia="Times New Roman" w:hAnsi="Cambria" w:cs="Calibri"/>
                <w:lang w:val="hr-HR"/>
              </w:rPr>
            </w:pPr>
            <w:r w:rsidRPr="00DF4CE5">
              <w:rPr>
                <w:rFonts w:ascii="Cambria" w:eastAsia="Times New Roman" w:hAnsi="Cambria" w:cs="Calibri"/>
                <w:lang w:val="hr-HR"/>
              </w:rPr>
              <w:t>6. empatija</w:t>
            </w:r>
          </w:p>
          <w:p w14:paraId="194BF294" w14:textId="630DAF5A" w:rsidR="006B2FC6" w:rsidRPr="00DF4CE5" w:rsidRDefault="006B2FC6" w:rsidP="006B2FC6">
            <w:pPr>
              <w:tabs>
                <w:tab w:val="left" w:pos="242"/>
              </w:tabs>
              <w:spacing w:after="0" w:line="240" w:lineRule="auto"/>
              <w:rPr>
                <w:rFonts w:ascii="Cambria" w:eastAsia="Times New Roman" w:hAnsi="Cambria" w:cs="Calibri"/>
                <w:lang w:val="hr-HR"/>
              </w:rPr>
            </w:pPr>
            <w:r w:rsidRPr="00DF4CE5">
              <w:rPr>
                <w:rFonts w:ascii="Cambria" w:eastAsia="Times New Roman" w:hAnsi="Cambria" w:cs="Calibri"/>
                <w:lang w:val="hr-HR"/>
              </w:rPr>
              <w:t xml:space="preserve">7. </w:t>
            </w:r>
            <w:proofErr w:type="spellStart"/>
            <w:r w:rsidRPr="00DF4CE5">
              <w:rPr>
                <w:rFonts w:ascii="Cambria" w:eastAsia="Times New Roman" w:hAnsi="Cambria" w:cs="Calibri"/>
                <w:lang w:val="hr-HR"/>
              </w:rPr>
              <w:t>samoprezentacija</w:t>
            </w:r>
            <w:proofErr w:type="spellEnd"/>
            <w:r w:rsidRPr="00DF4CE5">
              <w:rPr>
                <w:rFonts w:ascii="Cambria" w:eastAsia="Times New Roman" w:hAnsi="Cambria" w:cs="Calibri"/>
                <w:lang w:val="hr-HR"/>
              </w:rPr>
              <w:t xml:space="preserve"> i samopoštovanje</w:t>
            </w:r>
          </w:p>
          <w:p w14:paraId="11A5E9AA" w14:textId="49003851" w:rsidR="006B2FC6" w:rsidRPr="00DF4CE5" w:rsidRDefault="006B2FC6" w:rsidP="006B2FC6">
            <w:pPr>
              <w:tabs>
                <w:tab w:val="left" w:pos="242"/>
              </w:tabs>
              <w:spacing w:after="0" w:line="240" w:lineRule="auto"/>
              <w:rPr>
                <w:rFonts w:ascii="Cambria" w:eastAsia="Times New Roman" w:hAnsi="Cambria" w:cs="Calibri"/>
                <w:lang w:val="hr-HR"/>
              </w:rPr>
            </w:pPr>
            <w:r w:rsidRPr="00DF4CE5">
              <w:rPr>
                <w:rFonts w:ascii="Cambria" w:eastAsia="Times New Roman" w:hAnsi="Cambria" w:cs="Calibri"/>
                <w:lang w:val="hr-HR"/>
              </w:rPr>
              <w:t xml:space="preserve">8. medijacija </w:t>
            </w:r>
          </w:p>
        </w:tc>
      </w:tr>
      <w:tr w:rsidR="006B2FC6" w:rsidRPr="00DF4CE5" w14:paraId="23CEA9C3" w14:textId="77777777" w:rsidTr="006B2FC6">
        <w:tc>
          <w:tcPr>
            <w:tcW w:w="2623"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hideMark/>
          </w:tcPr>
          <w:p w14:paraId="54FBD629" w14:textId="3DA544CF" w:rsidR="006B2FC6" w:rsidRPr="00DF4CE5" w:rsidRDefault="006B2FC6" w:rsidP="006B2FC6">
            <w:pPr>
              <w:spacing w:after="0" w:line="240" w:lineRule="auto"/>
              <w:rPr>
                <w:rFonts w:ascii="Cambria" w:eastAsia="Times New Roman" w:hAnsi="Cambria" w:cs="Calibri"/>
                <w:lang w:val="hr-HR"/>
              </w:rPr>
            </w:pPr>
            <w:r w:rsidRPr="00DF4CE5">
              <w:rPr>
                <w:rFonts w:ascii="Cambria" w:eastAsia="Times New Roman" w:hAnsi="Cambria" w:cs="Calibri"/>
                <w:lang w:val="hr-HR"/>
              </w:rPr>
              <w:t xml:space="preserve">Planirane </w:t>
            </w:r>
            <w:proofErr w:type="spellStart"/>
            <w:r w:rsidRPr="00DF4CE5">
              <w:rPr>
                <w:rFonts w:ascii="Cambria" w:eastAsia="Times New Roman" w:hAnsi="Cambria" w:cs="Calibri"/>
                <w:lang w:val="hr-HR"/>
              </w:rPr>
              <w:t>aktivnosti,</w:t>
            </w:r>
            <w:r w:rsidR="00E074DB" w:rsidRPr="00DF4CE5">
              <w:rPr>
                <w:rFonts w:ascii="Cambria" w:eastAsia="Times New Roman" w:hAnsi="Cambria" w:cs="Calibri"/>
                <w:lang w:val="hr-HR"/>
              </w:rPr>
              <w:t>k</w:t>
            </w:r>
            <w:proofErr w:type="spellEnd"/>
          </w:p>
          <w:p w14:paraId="5C53D622" w14:textId="77777777" w:rsidR="006B2FC6" w:rsidRPr="00DF4CE5" w:rsidRDefault="006B2FC6" w:rsidP="006B2FC6">
            <w:pPr>
              <w:spacing w:after="0" w:line="240" w:lineRule="auto"/>
              <w:rPr>
                <w:rFonts w:ascii="Cambria" w:eastAsia="Times New Roman" w:hAnsi="Cambria" w:cs="Calibri"/>
                <w:lang w:val="hr-HR"/>
              </w:rPr>
            </w:pPr>
            <w:r w:rsidRPr="00DF4CE5">
              <w:rPr>
                <w:rFonts w:ascii="Cambria" w:eastAsia="Times New Roman" w:hAnsi="Cambria" w:cs="Calibri"/>
                <w:lang w:val="hr-HR"/>
              </w:rPr>
              <w:t>metode učenja i poučavanja i načini vrednovanja</w:t>
            </w:r>
          </w:p>
          <w:p w14:paraId="174ABE21" w14:textId="77777777" w:rsidR="006B2FC6" w:rsidRPr="00DF4CE5" w:rsidRDefault="006B2FC6" w:rsidP="006B2FC6">
            <w:pPr>
              <w:spacing w:after="0" w:line="240" w:lineRule="auto"/>
              <w:jc w:val="both"/>
              <w:rPr>
                <w:rFonts w:ascii="Cambria" w:eastAsia="Times New Roman" w:hAnsi="Cambria" w:cs="Calibri"/>
                <w:lang w:val="hr-HR"/>
              </w:rPr>
            </w:pPr>
          </w:p>
        </w:tc>
        <w:tc>
          <w:tcPr>
            <w:tcW w:w="258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96CC16B" w14:textId="77777777" w:rsidR="006B2FC6" w:rsidRPr="00DF4CE5" w:rsidRDefault="006B2FC6" w:rsidP="006B2FC6">
            <w:pPr>
              <w:spacing w:after="0" w:line="240" w:lineRule="auto"/>
              <w:jc w:val="both"/>
              <w:rPr>
                <w:rFonts w:ascii="Cambria" w:eastAsia="Times New Roman" w:hAnsi="Cambria" w:cs="Calibri"/>
                <w:lang w:val="hr-HR"/>
              </w:rPr>
            </w:pPr>
            <w:r w:rsidRPr="00DF4CE5">
              <w:rPr>
                <w:rFonts w:ascii="Cambria" w:eastAsia="Times New Roman" w:hAnsi="Cambria" w:cs="Calibri"/>
                <w:bCs/>
                <w:lang w:val="hr-HR"/>
              </w:rPr>
              <w:t>Obveze</w:t>
            </w:r>
          </w:p>
        </w:tc>
        <w:tc>
          <w:tcPr>
            <w:tcW w:w="10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C450002" w14:textId="77777777" w:rsidR="006B2FC6" w:rsidRPr="00DF4CE5" w:rsidRDefault="006B2FC6" w:rsidP="006B2FC6">
            <w:pPr>
              <w:spacing w:after="0" w:line="240" w:lineRule="auto"/>
              <w:jc w:val="both"/>
              <w:rPr>
                <w:rFonts w:ascii="Cambria" w:eastAsia="Times New Roman" w:hAnsi="Cambria" w:cs="Calibri"/>
                <w:lang w:val="hr-HR"/>
              </w:rPr>
            </w:pPr>
            <w:r w:rsidRPr="00DF4CE5">
              <w:rPr>
                <w:rFonts w:ascii="Cambria" w:eastAsia="Times New Roman" w:hAnsi="Cambria" w:cs="Calibri"/>
                <w:bCs/>
                <w:lang w:val="hr-HR"/>
              </w:rPr>
              <w:t>Ishodi</w:t>
            </w:r>
          </w:p>
        </w:tc>
        <w:tc>
          <w:tcPr>
            <w:tcW w:w="71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E1E3A46" w14:textId="77777777" w:rsidR="006B2FC6" w:rsidRPr="00DF4CE5" w:rsidRDefault="006B2FC6" w:rsidP="006B2FC6">
            <w:pPr>
              <w:spacing w:after="0" w:line="240" w:lineRule="auto"/>
              <w:jc w:val="both"/>
              <w:rPr>
                <w:rFonts w:ascii="Cambria" w:eastAsia="Times New Roman" w:hAnsi="Cambria" w:cs="Calibri"/>
                <w:lang w:val="hr-HR"/>
              </w:rPr>
            </w:pPr>
            <w:r w:rsidRPr="00DF4CE5">
              <w:rPr>
                <w:rFonts w:ascii="Cambria" w:eastAsia="Times New Roman" w:hAnsi="Cambria" w:cs="Calibri"/>
                <w:bCs/>
                <w:lang w:val="hr-HR"/>
              </w:rPr>
              <w:t>Sati</w:t>
            </w:r>
          </w:p>
        </w:tc>
        <w:tc>
          <w:tcPr>
            <w:tcW w:w="101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8AE5856" w14:textId="77777777" w:rsidR="006B2FC6" w:rsidRPr="00DF4CE5" w:rsidRDefault="006B2FC6" w:rsidP="006B2FC6">
            <w:pPr>
              <w:spacing w:after="0" w:line="240" w:lineRule="auto"/>
              <w:jc w:val="both"/>
              <w:rPr>
                <w:rFonts w:ascii="Cambria" w:eastAsia="Times New Roman" w:hAnsi="Cambria" w:cs="Calibri"/>
                <w:lang w:val="hr-HR"/>
              </w:rPr>
            </w:pPr>
            <w:r w:rsidRPr="00DF4CE5">
              <w:rPr>
                <w:rFonts w:ascii="Cambria" w:eastAsia="Times New Roman" w:hAnsi="Cambria" w:cs="Calibri"/>
                <w:bCs/>
                <w:lang w:val="hr-HR"/>
              </w:rPr>
              <w:t>ECTS</w:t>
            </w:r>
          </w:p>
        </w:tc>
        <w:tc>
          <w:tcPr>
            <w:tcW w:w="131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37FAAF8" w14:textId="77777777" w:rsidR="006B2FC6" w:rsidRPr="00DF4CE5" w:rsidRDefault="006B2FC6" w:rsidP="00BA5BF3">
            <w:pPr>
              <w:spacing w:after="0" w:line="240" w:lineRule="auto"/>
              <w:rPr>
                <w:rFonts w:ascii="Cambria" w:eastAsia="Times New Roman" w:hAnsi="Cambria" w:cs="Calibri"/>
                <w:lang w:val="hr-HR"/>
              </w:rPr>
            </w:pPr>
            <w:r w:rsidRPr="00DF4CE5">
              <w:rPr>
                <w:rFonts w:ascii="Cambria" w:eastAsia="Times New Roman" w:hAnsi="Cambria" w:cs="Calibri"/>
                <w:bCs/>
                <w:lang w:val="hr-HR"/>
              </w:rPr>
              <w:t>Maksimalni udio u ocjeni</w:t>
            </w:r>
            <w:r w:rsidRPr="00DF4CE5">
              <w:rPr>
                <w:rFonts w:ascii="Cambria" w:eastAsia="Times New Roman" w:hAnsi="Cambria" w:cs="Calibri"/>
                <w:bCs/>
              </w:rPr>
              <w:t xml:space="preserve"> (%)</w:t>
            </w:r>
          </w:p>
        </w:tc>
      </w:tr>
      <w:tr w:rsidR="006B2FC6" w:rsidRPr="00DF4CE5" w14:paraId="187AEFAB" w14:textId="77777777" w:rsidTr="006B2FC6">
        <w:tc>
          <w:tcPr>
            <w:tcW w:w="2623" w:type="dxa"/>
            <w:vMerge/>
            <w:tcBorders>
              <w:left w:val="single" w:sz="8" w:space="0" w:color="000000"/>
              <w:right w:val="single" w:sz="8" w:space="0" w:color="000000"/>
            </w:tcBorders>
            <w:vAlign w:val="center"/>
            <w:hideMark/>
          </w:tcPr>
          <w:p w14:paraId="4A53641F" w14:textId="77777777" w:rsidR="006B2FC6" w:rsidRPr="00DF4CE5" w:rsidRDefault="006B2FC6" w:rsidP="006B2FC6">
            <w:pPr>
              <w:spacing w:after="0" w:line="240" w:lineRule="auto"/>
              <w:jc w:val="both"/>
              <w:rPr>
                <w:rFonts w:ascii="Cambria" w:eastAsia="Times New Roman" w:hAnsi="Cambria" w:cs="Calibri"/>
                <w:lang w:val="hr-HR"/>
              </w:rPr>
            </w:pPr>
          </w:p>
        </w:tc>
        <w:tc>
          <w:tcPr>
            <w:tcW w:w="2585"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8" w:type="dxa"/>
              <w:bottom w:w="0" w:type="dxa"/>
              <w:right w:w="108" w:type="dxa"/>
            </w:tcMar>
            <w:hideMark/>
          </w:tcPr>
          <w:p w14:paraId="7C34E1A2" w14:textId="1DE2AB51" w:rsidR="006B2FC6" w:rsidRPr="00DF4CE5" w:rsidRDefault="006B2FC6" w:rsidP="006B2FC6">
            <w:pPr>
              <w:spacing w:after="0" w:line="240" w:lineRule="auto"/>
              <w:rPr>
                <w:rFonts w:ascii="Cambria" w:eastAsia="Times New Roman" w:hAnsi="Cambria" w:cs="Calibri"/>
                <w:lang w:val="it-IT"/>
              </w:rPr>
            </w:pPr>
            <w:proofErr w:type="spellStart"/>
            <w:r w:rsidRPr="00DF4CE5">
              <w:rPr>
                <w:rFonts w:ascii="Cambria" w:eastAsia="Times New Roman" w:hAnsi="Cambria" w:cs="Calibri"/>
                <w:lang w:val="it-IT"/>
              </w:rPr>
              <w:t>aktivnost</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na</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nastavi</w:t>
            </w:r>
            <w:proofErr w:type="spellEnd"/>
            <w:r w:rsidR="00BA5BF3" w:rsidRPr="00DF4CE5">
              <w:rPr>
                <w:rFonts w:ascii="Cambria" w:eastAsia="Times New Roman" w:hAnsi="Cambria" w:cs="Calibri"/>
                <w:lang w:val="it-IT"/>
              </w:rPr>
              <w:t xml:space="preserve"> (P, V)</w:t>
            </w:r>
          </w:p>
        </w:tc>
        <w:tc>
          <w:tcPr>
            <w:tcW w:w="108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8" w:type="dxa"/>
              <w:bottom w:w="0" w:type="dxa"/>
              <w:right w:w="108" w:type="dxa"/>
            </w:tcMar>
            <w:vAlign w:val="center"/>
            <w:hideMark/>
          </w:tcPr>
          <w:p w14:paraId="13C10508" w14:textId="21204E8D" w:rsidR="006B2FC6" w:rsidRPr="00DF4CE5" w:rsidRDefault="006B2FC6" w:rsidP="00BA5BF3">
            <w:pPr>
              <w:spacing w:after="200" w:line="276" w:lineRule="auto"/>
              <w:contextualSpacing/>
              <w:jc w:val="center"/>
              <w:rPr>
                <w:rFonts w:ascii="Cambria" w:eastAsia="Calibri" w:hAnsi="Cambria" w:cs="Calibri"/>
                <w:lang w:val="hr-HR"/>
              </w:rPr>
            </w:pPr>
            <w:r w:rsidRPr="00DF4CE5">
              <w:rPr>
                <w:rFonts w:ascii="Cambria" w:eastAsia="Calibri" w:hAnsi="Cambria" w:cs="Calibri"/>
                <w:lang w:val="hr-HR"/>
              </w:rPr>
              <w:t xml:space="preserve">1. – </w:t>
            </w:r>
            <w:r w:rsidR="00E074DB" w:rsidRPr="00DF4CE5">
              <w:rPr>
                <w:rFonts w:ascii="Cambria" w:eastAsia="Calibri" w:hAnsi="Cambria" w:cs="Calibri"/>
                <w:lang w:val="hr-HR"/>
              </w:rPr>
              <w:t>4</w:t>
            </w:r>
            <w:r w:rsidRPr="00DF4CE5">
              <w:rPr>
                <w:rFonts w:ascii="Cambria" w:eastAsia="Calibri" w:hAnsi="Cambria" w:cs="Calibri"/>
                <w:lang w:val="hr-HR"/>
              </w:rPr>
              <w:t>.</w:t>
            </w:r>
          </w:p>
        </w:tc>
        <w:tc>
          <w:tcPr>
            <w:tcW w:w="71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EEABD13" w14:textId="77777777" w:rsidR="006B2FC6" w:rsidRPr="00DF4CE5" w:rsidRDefault="006B2FC6" w:rsidP="00BA5BF3">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23</w:t>
            </w:r>
          </w:p>
        </w:tc>
        <w:tc>
          <w:tcPr>
            <w:tcW w:w="101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E647272" w14:textId="5CECB6B1" w:rsidR="006B2FC6" w:rsidRPr="00DF4CE5" w:rsidRDefault="006B2FC6" w:rsidP="00BA5BF3">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0,8</w:t>
            </w:r>
          </w:p>
        </w:tc>
        <w:tc>
          <w:tcPr>
            <w:tcW w:w="131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E8752A9" w14:textId="77777777" w:rsidR="006B2FC6" w:rsidRPr="00DF4CE5" w:rsidRDefault="006B2FC6" w:rsidP="00BA5BF3">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10%</w:t>
            </w:r>
          </w:p>
        </w:tc>
      </w:tr>
      <w:tr w:rsidR="006B2FC6" w:rsidRPr="00DF4CE5" w14:paraId="6E6F104B" w14:textId="77777777" w:rsidTr="006B2FC6">
        <w:tc>
          <w:tcPr>
            <w:tcW w:w="2623" w:type="dxa"/>
            <w:vMerge/>
            <w:tcBorders>
              <w:left w:val="single" w:sz="8" w:space="0" w:color="000000"/>
              <w:right w:val="single" w:sz="8" w:space="0" w:color="000000"/>
            </w:tcBorders>
            <w:vAlign w:val="center"/>
            <w:hideMark/>
          </w:tcPr>
          <w:p w14:paraId="3F493788" w14:textId="77777777" w:rsidR="006B2FC6" w:rsidRPr="00DF4CE5" w:rsidRDefault="006B2FC6" w:rsidP="006B2FC6">
            <w:pPr>
              <w:spacing w:after="0" w:line="240" w:lineRule="auto"/>
              <w:jc w:val="both"/>
              <w:rPr>
                <w:rFonts w:ascii="Cambria" w:eastAsia="Times New Roman" w:hAnsi="Cambria" w:cs="Calibri"/>
                <w:lang w:val="hr-HR"/>
              </w:rPr>
            </w:pPr>
          </w:p>
        </w:tc>
        <w:tc>
          <w:tcPr>
            <w:tcW w:w="2585"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8" w:type="dxa"/>
              <w:bottom w:w="0" w:type="dxa"/>
              <w:right w:w="108" w:type="dxa"/>
            </w:tcMar>
            <w:hideMark/>
          </w:tcPr>
          <w:p w14:paraId="76E43006" w14:textId="7EEA8F18" w:rsidR="006B2FC6" w:rsidRPr="00DF4CE5" w:rsidRDefault="006B2FC6" w:rsidP="006B2FC6">
            <w:pPr>
              <w:spacing w:after="0" w:line="240" w:lineRule="auto"/>
              <w:rPr>
                <w:rFonts w:ascii="Cambria" w:eastAsia="Times New Roman" w:hAnsi="Cambria" w:cs="Calibri"/>
                <w:lang w:val="hr-HR"/>
              </w:rPr>
            </w:pPr>
            <w:r w:rsidRPr="00DF4CE5">
              <w:rPr>
                <w:rFonts w:ascii="Cambria" w:eastAsia="Times New Roman" w:hAnsi="Cambria" w:cs="Calibri"/>
                <w:shd w:val="clear" w:color="auto" w:fill="FFFFFF" w:themeFill="background1"/>
              </w:rPr>
              <w:t>s</w:t>
            </w:r>
            <w:proofErr w:type="spellStart"/>
            <w:r w:rsidRPr="00DF4CE5">
              <w:rPr>
                <w:rFonts w:ascii="Cambria" w:eastAsia="Times New Roman" w:hAnsi="Cambria" w:cs="Calibri"/>
                <w:shd w:val="clear" w:color="auto" w:fill="FFFFFF" w:themeFill="background1"/>
                <w:lang w:val="hr-HR"/>
              </w:rPr>
              <w:t>amostalni</w:t>
            </w:r>
            <w:proofErr w:type="spellEnd"/>
            <w:r w:rsidRPr="00DF4CE5">
              <w:rPr>
                <w:rFonts w:ascii="Cambria" w:eastAsia="Times New Roman" w:hAnsi="Cambria" w:cs="Calibri"/>
                <w:shd w:val="clear" w:color="auto" w:fill="FFFFFF" w:themeFill="background1"/>
                <w:lang w:val="hr-HR"/>
              </w:rPr>
              <w:t xml:space="preserve"> zadaci</w:t>
            </w:r>
            <w:r w:rsidRPr="00DF4CE5">
              <w:rPr>
                <w:rFonts w:ascii="Cambria" w:eastAsia="Times New Roman" w:hAnsi="Cambria" w:cs="Calibri"/>
                <w:lang w:val="hr-HR"/>
              </w:rPr>
              <w:t xml:space="preserve"> </w:t>
            </w:r>
          </w:p>
        </w:tc>
        <w:tc>
          <w:tcPr>
            <w:tcW w:w="108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8" w:type="dxa"/>
              <w:bottom w:w="0" w:type="dxa"/>
              <w:right w:w="108" w:type="dxa"/>
            </w:tcMar>
            <w:vAlign w:val="center"/>
            <w:hideMark/>
          </w:tcPr>
          <w:p w14:paraId="2B134B4B" w14:textId="0010B9E7" w:rsidR="006B2FC6" w:rsidRPr="00DF4CE5" w:rsidRDefault="00E074DB" w:rsidP="00BA5BF3">
            <w:pPr>
              <w:spacing w:after="200" w:line="276" w:lineRule="auto"/>
              <w:contextualSpacing/>
              <w:jc w:val="center"/>
              <w:rPr>
                <w:rFonts w:ascii="Cambria" w:eastAsia="Calibri" w:hAnsi="Cambria" w:cs="Calibri"/>
                <w:lang w:val="hr-HR"/>
              </w:rPr>
            </w:pPr>
            <w:r w:rsidRPr="00DF4CE5">
              <w:rPr>
                <w:rFonts w:ascii="Cambria" w:eastAsia="Calibri" w:hAnsi="Cambria" w:cs="Calibri"/>
                <w:lang w:val="hr-HR"/>
              </w:rPr>
              <w:t>1. – 4.</w:t>
            </w:r>
          </w:p>
        </w:tc>
        <w:tc>
          <w:tcPr>
            <w:tcW w:w="71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E3C527E" w14:textId="77777777" w:rsidR="006B2FC6" w:rsidRPr="00DF4CE5" w:rsidRDefault="006B2FC6" w:rsidP="00BA5BF3">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7</w:t>
            </w:r>
          </w:p>
        </w:tc>
        <w:tc>
          <w:tcPr>
            <w:tcW w:w="101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B3561E0" w14:textId="00299BBE" w:rsidR="006B2FC6" w:rsidRPr="00DF4CE5" w:rsidRDefault="006B2FC6" w:rsidP="00BA5BF3">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0,2</w:t>
            </w:r>
          </w:p>
        </w:tc>
        <w:tc>
          <w:tcPr>
            <w:tcW w:w="131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9F88766" w14:textId="77777777" w:rsidR="006B2FC6" w:rsidRPr="00DF4CE5" w:rsidRDefault="006B2FC6" w:rsidP="00BA5BF3">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40%</w:t>
            </w:r>
          </w:p>
        </w:tc>
      </w:tr>
      <w:tr w:rsidR="006B2FC6" w:rsidRPr="00DF4CE5" w14:paraId="4EEF0E79" w14:textId="77777777" w:rsidTr="006B2FC6">
        <w:tc>
          <w:tcPr>
            <w:tcW w:w="2623" w:type="dxa"/>
            <w:vMerge/>
            <w:tcBorders>
              <w:left w:val="single" w:sz="8" w:space="0" w:color="000000"/>
              <w:right w:val="single" w:sz="8" w:space="0" w:color="000000"/>
            </w:tcBorders>
            <w:vAlign w:val="center"/>
            <w:hideMark/>
          </w:tcPr>
          <w:p w14:paraId="35D10EF3" w14:textId="77777777" w:rsidR="006B2FC6" w:rsidRPr="00DF4CE5" w:rsidRDefault="006B2FC6" w:rsidP="006B2FC6">
            <w:pPr>
              <w:spacing w:after="0" w:line="240" w:lineRule="auto"/>
              <w:jc w:val="both"/>
              <w:rPr>
                <w:rFonts w:ascii="Cambria" w:eastAsia="Times New Roman" w:hAnsi="Cambria" w:cs="Calibri"/>
                <w:lang w:val="hr-HR"/>
              </w:rPr>
            </w:pPr>
          </w:p>
        </w:tc>
        <w:tc>
          <w:tcPr>
            <w:tcW w:w="2585"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8" w:type="dxa"/>
              <w:bottom w:w="0" w:type="dxa"/>
              <w:right w:w="108" w:type="dxa"/>
            </w:tcMar>
            <w:hideMark/>
          </w:tcPr>
          <w:p w14:paraId="303743F0" w14:textId="77777777" w:rsidR="006B2FC6" w:rsidRPr="00DF4CE5" w:rsidRDefault="006B2FC6" w:rsidP="006B2FC6">
            <w:pPr>
              <w:spacing w:after="0" w:line="240" w:lineRule="auto"/>
              <w:rPr>
                <w:rFonts w:ascii="Cambria" w:eastAsia="Times New Roman" w:hAnsi="Cambria" w:cs="Calibri"/>
                <w:lang w:val="hr-HR"/>
              </w:rPr>
            </w:pPr>
            <w:r w:rsidRPr="00DF4CE5">
              <w:rPr>
                <w:rFonts w:ascii="Cambria" w:eastAsia="Times New Roman" w:hAnsi="Cambria" w:cs="Calibri"/>
                <w:lang w:val="hr-HR"/>
              </w:rPr>
              <w:t>ispit (usmeni)</w:t>
            </w:r>
          </w:p>
        </w:tc>
        <w:tc>
          <w:tcPr>
            <w:tcW w:w="108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8" w:type="dxa"/>
              <w:bottom w:w="0" w:type="dxa"/>
              <w:right w:w="108" w:type="dxa"/>
            </w:tcMar>
            <w:vAlign w:val="center"/>
            <w:hideMark/>
          </w:tcPr>
          <w:p w14:paraId="533628DA" w14:textId="5EB79158" w:rsidR="006B2FC6" w:rsidRPr="00DF4CE5" w:rsidRDefault="00E074DB" w:rsidP="00BA5BF3">
            <w:pPr>
              <w:spacing w:after="200" w:line="276" w:lineRule="auto"/>
              <w:contextualSpacing/>
              <w:jc w:val="center"/>
              <w:rPr>
                <w:rFonts w:ascii="Cambria" w:eastAsia="Calibri" w:hAnsi="Cambria" w:cs="Calibri"/>
                <w:lang w:val="hr-HR"/>
              </w:rPr>
            </w:pPr>
            <w:r w:rsidRPr="00DF4CE5">
              <w:rPr>
                <w:rFonts w:ascii="Cambria" w:eastAsia="Calibri" w:hAnsi="Cambria" w:cs="Calibri"/>
                <w:lang w:val="hr-HR"/>
              </w:rPr>
              <w:t>1. – 3.</w:t>
            </w:r>
          </w:p>
        </w:tc>
        <w:tc>
          <w:tcPr>
            <w:tcW w:w="71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FCA04CA" w14:textId="77777777" w:rsidR="006B2FC6" w:rsidRPr="00DF4CE5" w:rsidRDefault="006B2FC6" w:rsidP="00BA5BF3">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30</w:t>
            </w:r>
          </w:p>
        </w:tc>
        <w:tc>
          <w:tcPr>
            <w:tcW w:w="101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426B22A" w14:textId="77777777" w:rsidR="006B2FC6" w:rsidRPr="00DF4CE5" w:rsidRDefault="006B2FC6" w:rsidP="00BA5BF3">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1</w:t>
            </w:r>
          </w:p>
        </w:tc>
        <w:tc>
          <w:tcPr>
            <w:tcW w:w="131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B8DEDF8" w14:textId="77777777" w:rsidR="006B2FC6" w:rsidRPr="00DF4CE5" w:rsidRDefault="006B2FC6" w:rsidP="00BA5BF3">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50%</w:t>
            </w:r>
          </w:p>
        </w:tc>
      </w:tr>
      <w:tr w:rsidR="006B2FC6" w:rsidRPr="00DF4CE5" w14:paraId="487B97AA" w14:textId="77777777" w:rsidTr="006B2FC6">
        <w:tc>
          <w:tcPr>
            <w:tcW w:w="2623" w:type="dxa"/>
            <w:vMerge/>
            <w:tcBorders>
              <w:left w:val="single" w:sz="8" w:space="0" w:color="000000"/>
              <w:right w:val="single" w:sz="8" w:space="0" w:color="000000"/>
            </w:tcBorders>
            <w:vAlign w:val="center"/>
            <w:hideMark/>
          </w:tcPr>
          <w:p w14:paraId="440B0775" w14:textId="77777777" w:rsidR="006B2FC6" w:rsidRPr="00DF4CE5" w:rsidRDefault="006B2FC6" w:rsidP="006B2FC6">
            <w:pPr>
              <w:spacing w:after="0" w:line="240" w:lineRule="auto"/>
              <w:jc w:val="both"/>
              <w:rPr>
                <w:rFonts w:ascii="Cambria" w:eastAsia="Times New Roman" w:hAnsi="Cambria" w:cs="Calibri"/>
                <w:lang w:val="hr-HR"/>
              </w:rPr>
            </w:pPr>
          </w:p>
        </w:tc>
        <w:tc>
          <w:tcPr>
            <w:tcW w:w="3673"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629E2A0" w14:textId="77777777" w:rsidR="006B2FC6" w:rsidRPr="00DF4CE5" w:rsidRDefault="006B2FC6" w:rsidP="006B2FC6">
            <w:pPr>
              <w:spacing w:after="0" w:line="240" w:lineRule="auto"/>
              <w:rPr>
                <w:rFonts w:ascii="Cambria" w:eastAsia="Times New Roman" w:hAnsi="Cambria" w:cs="Calibri"/>
                <w:lang w:val="hr-HR"/>
              </w:rPr>
            </w:pPr>
            <w:proofErr w:type="spellStart"/>
            <w:r w:rsidRPr="00DF4CE5">
              <w:rPr>
                <w:rFonts w:ascii="Cambria" w:eastAsia="Times New Roman" w:hAnsi="Cambria" w:cs="Calibri"/>
              </w:rPr>
              <w:t>ukupno</w:t>
            </w:r>
            <w:proofErr w:type="spellEnd"/>
          </w:p>
        </w:tc>
        <w:tc>
          <w:tcPr>
            <w:tcW w:w="71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FE80D22" w14:textId="77777777" w:rsidR="006B2FC6" w:rsidRPr="00DF4CE5" w:rsidRDefault="006B2FC6" w:rsidP="00BA5BF3">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60</w:t>
            </w:r>
          </w:p>
        </w:tc>
        <w:tc>
          <w:tcPr>
            <w:tcW w:w="101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44CB8AE" w14:textId="77777777" w:rsidR="006B2FC6" w:rsidRPr="00DF4CE5" w:rsidRDefault="006B2FC6" w:rsidP="00BA5BF3">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2</w:t>
            </w:r>
          </w:p>
        </w:tc>
        <w:tc>
          <w:tcPr>
            <w:tcW w:w="131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E55B132" w14:textId="77777777" w:rsidR="006B2FC6" w:rsidRPr="00DF4CE5" w:rsidRDefault="006B2FC6" w:rsidP="00BA5BF3">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100%</w:t>
            </w:r>
          </w:p>
        </w:tc>
      </w:tr>
      <w:tr w:rsidR="006B2FC6" w:rsidRPr="00D0399C" w14:paraId="66D526B7" w14:textId="77777777" w:rsidTr="00495A93">
        <w:tc>
          <w:tcPr>
            <w:tcW w:w="2623" w:type="dxa"/>
            <w:vMerge/>
            <w:tcBorders>
              <w:left w:val="single" w:sz="8" w:space="0" w:color="000000"/>
              <w:bottom w:val="single" w:sz="8" w:space="0" w:color="000000"/>
              <w:right w:val="single" w:sz="8" w:space="0" w:color="000000"/>
            </w:tcBorders>
            <w:vAlign w:val="center"/>
          </w:tcPr>
          <w:p w14:paraId="4876400E" w14:textId="77777777" w:rsidR="006B2FC6" w:rsidRPr="00DF4CE5" w:rsidRDefault="006B2FC6" w:rsidP="006B2FC6">
            <w:pPr>
              <w:spacing w:after="0" w:line="240" w:lineRule="auto"/>
              <w:jc w:val="both"/>
              <w:rPr>
                <w:rFonts w:ascii="Cambria" w:eastAsia="Times New Roman" w:hAnsi="Cambria" w:cs="Calibri"/>
                <w:lang w:val="hr-HR"/>
              </w:rPr>
            </w:pPr>
          </w:p>
        </w:tc>
        <w:tc>
          <w:tcPr>
            <w:tcW w:w="6717" w:type="dxa"/>
            <w:gridSpan w:val="7"/>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8" w:type="dxa"/>
              <w:bottom w:w="0" w:type="dxa"/>
              <w:right w:w="108" w:type="dxa"/>
            </w:tcMar>
          </w:tcPr>
          <w:p w14:paraId="7B84371E" w14:textId="77777777" w:rsidR="006B2FC6" w:rsidRPr="00DF4CE5" w:rsidRDefault="006B2FC6" w:rsidP="006B2FC6">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Dodatna pojašnjenja (kriteriji ocjenjivanja):</w:t>
            </w:r>
          </w:p>
          <w:p w14:paraId="1A437888" w14:textId="77777777" w:rsidR="006B2FC6" w:rsidRPr="00DF4CE5" w:rsidRDefault="006B2FC6" w:rsidP="006B2FC6">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Aktivnost u nastavi ocjenjuje se na sljedeći način: </w:t>
            </w:r>
          </w:p>
          <w:p w14:paraId="2973ABFC" w14:textId="77777777" w:rsidR="006B2FC6" w:rsidRPr="00DF4CE5" w:rsidRDefault="006B2FC6" w:rsidP="006B2FC6">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0% = izostanci premašuju dozvoljenih 30% </w:t>
            </w:r>
          </w:p>
          <w:p w14:paraId="5599AD53" w14:textId="77777777" w:rsidR="006B2FC6" w:rsidRPr="00DF4CE5" w:rsidRDefault="006B2FC6" w:rsidP="006B2FC6">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5% = student/studentica koncentrirano prati nastavni proces te ponekad samoinicijativno sudjeluje u radu </w:t>
            </w:r>
          </w:p>
          <w:p w14:paraId="73326994" w14:textId="0EDEB44A" w:rsidR="006B2FC6" w:rsidRPr="00DF4CE5" w:rsidRDefault="006B2FC6" w:rsidP="00495A93">
            <w:pPr>
              <w:spacing w:after="0" w:line="240" w:lineRule="auto"/>
              <w:jc w:val="both"/>
              <w:rPr>
                <w:rFonts w:ascii="Cambria" w:eastAsia="Times New Roman" w:hAnsi="Cambria" w:cs="Calibri"/>
                <w:shd w:val="clear" w:color="auto" w:fill="FFFF00"/>
                <w:lang w:val="hr-HR"/>
              </w:rPr>
            </w:pPr>
            <w:r w:rsidRPr="00DF4CE5">
              <w:rPr>
                <w:rFonts w:ascii="Cambria" w:eastAsia="Times New Roman" w:hAnsi="Cambria" w:cs="Calibri"/>
                <w:lang w:val="hr-HR"/>
              </w:rPr>
              <w:t xml:space="preserve">10% = pripremljeno dolazi na nastavu i aktivno sudjeluje u nastavnom procesu te izražava visoki stupanj motiviranosti u nastavi, konzultira relevantnu literaturu, redovito ispunjava dogovorene obveze, daje konstruktivne prijedloge i originalne ideje u </w:t>
            </w:r>
            <w:r w:rsidRPr="00DF4CE5">
              <w:rPr>
                <w:rFonts w:ascii="Cambria" w:eastAsia="Times New Roman" w:hAnsi="Cambria" w:cs="Calibri"/>
                <w:shd w:val="clear" w:color="auto" w:fill="FFFFFF" w:themeFill="background1"/>
                <w:lang w:val="hr-HR"/>
              </w:rPr>
              <w:t>vezi tema kolegija.</w:t>
            </w:r>
          </w:p>
          <w:p w14:paraId="700948C6" w14:textId="77777777" w:rsidR="006B2FC6" w:rsidRPr="00DF4CE5" w:rsidRDefault="006B2FC6" w:rsidP="006B2FC6">
            <w:pPr>
              <w:spacing w:after="0" w:line="240" w:lineRule="auto"/>
              <w:rPr>
                <w:rFonts w:ascii="Cambria" w:eastAsia="Times New Roman" w:hAnsi="Cambria" w:cs="Calibri"/>
                <w:lang w:val="hr-HR"/>
              </w:rPr>
            </w:pPr>
            <w:r w:rsidRPr="00DF4CE5">
              <w:rPr>
                <w:rFonts w:ascii="Cambria" w:eastAsia="Times New Roman" w:hAnsi="Cambria" w:cs="Calibri"/>
                <w:lang w:val="hr-HR"/>
              </w:rPr>
              <w:t>Praktični rad se sastoji od 4 zadatka. Svaki se ocjenjuje na sljedeći način:</w:t>
            </w:r>
          </w:p>
          <w:p w14:paraId="2F39D76E" w14:textId="77777777" w:rsidR="006B2FC6" w:rsidRPr="00DF4CE5" w:rsidRDefault="006B2FC6" w:rsidP="006B2FC6">
            <w:pPr>
              <w:spacing w:after="0" w:line="240" w:lineRule="auto"/>
              <w:rPr>
                <w:rFonts w:ascii="Cambria" w:eastAsia="Times New Roman" w:hAnsi="Cambria" w:cs="Calibri"/>
                <w:lang w:val="hr-HR"/>
              </w:rPr>
            </w:pPr>
            <w:r w:rsidRPr="00DF4CE5">
              <w:rPr>
                <w:rFonts w:ascii="Cambria" w:eastAsia="Times New Roman" w:hAnsi="Cambria" w:cs="Calibri"/>
                <w:lang w:val="hr-HR"/>
              </w:rPr>
              <w:t xml:space="preserve">0%  = zadatak nije izvršen </w:t>
            </w:r>
          </w:p>
          <w:p w14:paraId="590A6868" w14:textId="77777777" w:rsidR="006B2FC6" w:rsidRPr="00DF4CE5" w:rsidRDefault="006B2FC6" w:rsidP="006B2FC6">
            <w:pPr>
              <w:spacing w:after="0" w:line="240" w:lineRule="auto"/>
              <w:rPr>
                <w:rFonts w:ascii="Cambria" w:eastAsia="Times New Roman" w:hAnsi="Cambria" w:cs="Calibri"/>
                <w:lang w:val="hr-HR"/>
              </w:rPr>
            </w:pPr>
            <w:r w:rsidRPr="00DF4CE5">
              <w:rPr>
                <w:rFonts w:ascii="Cambria" w:eastAsia="Times New Roman" w:hAnsi="Cambria" w:cs="Calibri"/>
                <w:lang w:val="hr-HR"/>
              </w:rPr>
              <w:t>1% = zadatak ne ogledava zadane upute</w:t>
            </w:r>
          </w:p>
          <w:p w14:paraId="7F5448A0" w14:textId="77777777" w:rsidR="006B2FC6" w:rsidRPr="00DF4CE5" w:rsidRDefault="006B2FC6" w:rsidP="006B2FC6">
            <w:pPr>
              <w:spacing w:after="0" w:line="240" w:lineRule="auto"/>
              <w:rPr>
                <w:rFonts w:ascii="Cambria" w:eastAsia="Times New Roman" w:hAnsi="Cambria" w:cs="Calibri"/>
                <w:lang w:val="hr-HR"/>
              </w:rPr>
            </w:pPr>
            <w:r w:rsidRPr="00DF4CE5">
              <w:rPr>
                <w:rFonts w:ascii="Cambria" w:eastAsia="Times New Roman" w:hAnsi="Cambria" w:cs="Calibri"/>
                <w:lang w:val="hr-HR"/>
              </w:rPr>
              <w:t xml:space="preserve">2,5% = zadatak ogledava zadane upute, ali sadrži mnogo lingvističkih i sadržajnih grešaka, te nije adekvatno organiziran i </w:t>
            </w:r>
            <w:proofErr w:type="spellStart"/>
            <w:r w:rsidRPr="00DF4CE5">
              <w:rPr>
                <w:rFonts w:ascii="Cambria" w:eastAsia="Times New Roman" w:hAnsi="Cambria" w:cs="Calibri"/>
                <w:lang w:val="hr-HR"/>
              </w:rPr>
              <w:t>koerentan</w:t>
            </w:r>
            <w:proofErr w:type="spellEnd"/>
          </w:p>
          <w:p w14:paraId="5F732313" w14:textId="77777777" w:rsidR="006B2FC6" w:rsidRPr="00DF4CE5" w:rsidRDefault="006B2FC6" w:rsidP="006B2FC6">
            <w:pPr>
              <w:spacing w:after="0" w:line="240" w:lineRule="auto"/>
              <w:rPr>
                <w:rFonts w:ascii="Cambria" w:eastAsia="Times New Roman" w:hAnsi="Cambria" w:cs="Calibri"/>
                <w:lang w:val="hr-HR"/>
              </w:rPr>
            </w:pPr>
            <w:r w:rsidRPr="00DF4CE5">
              <w:rPr>
                <w:rFonts w:ascii="Cambria" w:eastAsia="Times New Roman" w:hAnsi="Cambria" w:cs="Calibri"/>
                <w:lang w:val="hr-HR"/>
              </w:rPr>
              <w:t xml:space="preserve">5% = zadatak ogledava zadane upute, ali ima poneke lingvističke i sadržajne greške, dok je adekvatno organiziran i </w:t>
            </w:r>
            <w:proofErr w:type="spellStart"/>
            <w:r w:rsidRPr="00DF4CE5">
              <w:rPr>
                <w:rFonts w:ascii="Cambria" w:eastAsia="Times New Roman" w:hAnsi="Cambria" w:cs="Calibri"/>
                <w:lang w:val="hr-HR"/>
              </w:rPr>
              <w:t>koerentan</w:t>
            </w:r>
            <w:proofErr w:type="spellEnd"/>
          </w:p>
          <w:p w14:paraId="5F1580F8" w14:textId="77777777" w:rsidR="006B2FC6" w:rsidRPr="00DF4CE5" w:rsidRDefault="006B2FC6" w:rsidP="006B2FC6">
            <w:pPr>
              <w:spacing w:after="0" w:line="240" w:lineRule="auto"/>
              <w:rPr>
                <w:rFonts w:ascii="Cambria" w:eastAsia="Times New Roman" w:hAnsi="Cambria" w:cs="Calibri"/>
                <w:lang w:val="hr-HR"/>
              </w:rPr>
            </w:pPr>
            <w:r w:rsidRPr="00DF4CE5">
              <w:rPr>
                <w:rFonts w:ascii="Cambria" w:eastAsia="Times New Roman" w:hAnsi="Cambria" w:cs="Calibri"/>
                <w:lang w:val="hr-HR"/>
              </w:rPr>
              <w:t>7,5% = zadatak ogledava zadane upute, sadržajno i lingvistički je korektan ali nema osobnog doprinosa studenta</w:t>
            </w:r>
          </w:p>
          <w:p w14:paraId="5701879A" w14:textId="77777777" w:rsidR="006B2FC6" w:rsidRPr="00DF4CE5" w:rsidRDefault="006B2FC6" w:rsidP="00495A93">
            <w:pPr>
              <w:shd w:val="clear" w:color="auto" w:fill="FFFFFF" w:themeFill="background1"/>
              <w:spacing w:after="0" w:line="240" w:lineRule="auto"/>
              <w:rPr>
                <w:rFonts w:ascii="Cambria" w:eastAsia="Times New Roman" w:hAnsi="Cambria" w:cs="Calibri"/>
                <w:lang w:val="hr-HR"/>
              </w:rPr>
            </w:pPr>
            <w:r w:rsidRPr="00DF4CE5">
              <w:rPr>
                <w:rFonts w:ascii="Cambria" w:eastAsia="Times New Roman" w:hAnsi="Cambria" w:cs="Calibri"/>
                <w:lang w:val="hr-HR"/>
              </w:rPr>
              <w:t xml:space="preserve">10% = zadatak je sukladan zadanim uputama, gramatički i lingvistički korektan te sadrži kritički doprinos  studenta. </w:t>
            </w:r>
          </w:p>
          <w:p w14:paraId="70BC1328" w14:textId="77777777" w:rsidR="006B2FC6" w:rsidRPr="00DF4CE5" w:rsidRDefault="006B2FC6" w:rsidP="00495A93">
            <w:pPr>
              <w:shd w:val="clear" w:color="auto" w:fill="FFFFFF" w:themeFill="background1"/>
              <w:spacing w:after="0" w:line="240" w:lineRule="auto"/>
              <w:rPr>
                <w:rFonts w:ascii="Cambria" w:eastAsia="Times New Roman" w:hAnsi="Cambria" w:cs="Calibri"/>
                <w:lang w:val="hr-HR"/>
              </w:rPr>
            </w:pPr>
            <w:r w:rsidRPr="00DF4CE5">
              <w:rPr>
                <w:rFonts w:ascii="Cambria" w:eastAsia="Times New Roman" w:hAnsi="Cambria" w:cs="Calibri"/>
                <w:lang w:val="hr-HR"/>
              </w:rPr>
              <w:t>Student/studentica može dobiti sve postotke od 0-10%.</w:t>
            </w:r>
          </w:p>
          <w:p w14:paraId="4BDFE15A" w14:textId="0FEE265D" w:rsidR="006B2FC6" w:rsidRPr="00DF4CE5" w:rsidRDefault="006B2FC6" w:rsidP="00495A93">
            <w:pPr>
              <w:shd w:val="clear" w:color="auto" w:fill="FFFFFF" w:themeFill="background1"/>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Usmeni ispit se sastoji od 5 pitanja = </w:t>
            </w:r>
            <w:proofErr w:type="spellStart"/>
            <w:r w:rsidRPr="00DF4CE5">
              <w:rPr>
                <w:rFonts w:ascii="Cambria" w:eastAsia="Times New Roman" w:hAnsi="Cambria" w:cs="Calibri"/>
                <w:lang w:val="hr-HR"/>
              </w:rPr>
              <w:t>max</w:t>
            </w:r>
            <w:proofErr w:type="spellEnd"/>
            <w:r w:rsidRPr="00DF4CE5">
              <w:rPr>
                <w:rFonts w:ascii="Cambria" w:eastAsia="Times New Roman" w:hAnsi="Cambria" w:cs="Calibri"/>
                <w:lang w:val="hr-HR"/>
              </w:rPr>
              <w:t>. 50% (svako pitanje nosi</w:t>
            </w:r>
            <w:r w:rsidR="00495A93" w:rsidRPr="00DF4CE5">
              <w:rPr>
                <w:rFonts w:ascii="Cambria" w:eastAsia="Times New Roman" w:hAnsi="Cambria" w:cs="Calibri"/>
                <w:lang w:val="hr-HR"/>
              </w:rPr>
              <w:t xml:space="preserve"> </w:t>
            </w:r>
            <w:r w:rsidRPr="00DF4CE5">
              <w:rPr>
                <w:rFonts w:ascii="Cambria" w:eastAsia="Times New Roman" w:hAnsi="Cambria" w:cs="Calibri"/>
                <w:lang w:val="hr-HR"/>
              </w:rPr>
              <w:t xml:space="preserve">10%). </w:t>
            </w:r>
            <w:r w:rsidR="00495A93" w:rsidRPr="00DF4CE5">
              <w:rPr>
                <w:rFonts w:ascii="Cambria" w:eastAsia="Times New Roman" w:hAnsi="Cambria" w:cs="Calibri"/>
                <w:lang w:val="hr-HR"/>
              </w:rPr>
              <w:t xml:space="preserve">Da bi položio </w:t>
            </w:r>
            <w:r w:rsidRPr="00DF4CE5">
              <w:rPr>
                <w:rFonts w:ascii="Cambria" w:eastAsia="Times New Roman" w:hAnsi="Cambria" w:cs="Calibri"/>
                <w:lang w:val="hr-HR"/>
              </w:rPr>
              <w:t>usmeni ispit</w:t>
            </w:r>
            <w:r w:rsidR="00495A93" w:rsidRPr="00DF4CE5">
              <w:rPr>
                <w:rFonts w:ascii="Cambria" w:eastAsia="Times New Roman" w:hAnsi="Cambria" w:cs="Calibri"/>
                <w:lang w:val="hr-HR"/>
              </w:rPr>
              <w:t>,</w:t>
            </w:r>
            <w:r w:rsidRPr="00DF4CE5">
              <w:rPr>
                <w:rFonts w:ascii="Cambria" w:eastAsia="Times New Roman" w:hAnsi="Cambria" w:cs="Calibri"/>
                <w:lang w:val="hr-HR"/>
              </w:rPr>
              <w:t xml:space="preserve"> student/studentica mora točno odgovoriti na barem 50% pitanja.</w:t>
            </w:r>
          </w:p>
        </w:tc>
      </w:tr>
      <w:tr w:rsidR="006B2FC6" w:rsidRPr="00D0399C" w14:paraId="4FA4BAB3" w14:textId="77777777" w:rsidTr="006B2FC6">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A3B1F56" w14:textId="77777777" w:rsidR="006B2FC6" w:rsidRPr="00DF4CE5" w:rsidRDefault="006B2FC6" w:rsidP="006B2FC6">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Studentske obveze</w:t>
            </w:r>
          </w:p>
        </w:tc>
        <w:tc>
          <w:tcPr>
            <w:tcW w:w="671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92DEC73" w14:textId="77777777" w:rsidR="006B2FC6" w:rsidRPr="00DF4CE5" w:rsidRDefault="006B2FC6" w:rsidP="006B2FC6">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Da položi kolegij, student/studentica mora:</w:t>
            </w:r>
          </w:p>
          <w:p w14:paraId="21D4D930" w14:textId="4D1341C8" w:rsidR="006B2FC6" w:rsidRPr="00DF4CE5" w:rsidRDefault="00A675B4" w:rsidP="00A675B4">
            <w:pPr>
              <w:shd w:val="clear" w:color="auto" w:fill="FFFFFF" w:themeFill="background1"/>
              <w:tabs>
                <w:tab w:val="left" w:pos="206"/>
              </w:tabs>
              <w:spacing w:after="0" w:line="240" w:lineRule="auto"/>
              <w:contextualSpacing/>
              <w:jc w:val="both"/>
              <w:rPr>
                <w:rFonts w:ascii="Cambria" w:eastAsia="Calibri" w:hAnsi="Cambria" w:cs="Calibri"/>
                <w:lang w:val="hr-HR"/>
              </w:rPr>
            </w:pPr>
            <w:r>
              <w:rPr>
                <w:rFonts w:ascii="Cambria" w:eastAsia="Calibri" w:hAnsi="Cambria" w:cs="Calibri"/>
                <w:lang w:val="hr-HR"/>
              </w:rPr>
              <w:t xml:space="preserve">1. </w:t>
            </w:r>
            <w:r w:rsidR="00495A93" w:rsidRPr="00DF4CE5">
              <w:rPr>
                <w:rFonts w:ascii="Cambria" w:eastAsia="Calibri" w:hAnsi="Cambria" w:cs="Calibri"/>
                <w:lang w:val="hr-HR"/>
              </w:rPr>
              <w:t>p</w:t>
            </w:r>
            <w:r w:rsidR="006B2FC6" w:rsidRPr="00DF4CE5">
              <w:rPr>
                <w:rFonts w:ascii="Cambria" w:eastAsia="Calibri" w:hAnsi="Cambria" w:cs="Calibri"/>
                <w:lang w:val="hr-HR"/>
              </w:rPr>
              <w:t>ohađati</w:t>
            </w:r>
            <w:r w:rsidR="006B2FC6" w:rsidRPr="00DF4CE5">
              <w:rPr>
                <w:rFonts w:ascii="Cambria" w:eastAsia="Calibri" w:hAnsi="Cambria" w:cs="Calibri"/>
                <w:shd w:val="clear" w:color="auto" w:fill="FFFFFF" w:themeFill="background1"/>
                <w:lang w:val="hr-HR"/>
              </w:rPr>
              <w:t xml:space="preserve"> najmanje</w:t>
            </w:r>
            <w:r w:rsidR="006B2FC6" w:rsidRPr="00DF4CE5">
              <w:rPr>
                <w:rFonts w:ascii="Cambria" w:eastAsia="Calibri" w:hAnsi="Cambria" w:cs="Calibri"/>
                <w:lang w:val="hr-HR"/>
              </w:rPr>
              <w:t xml:space="preserve"> 70% nastave te aktivno sudjelovati u nastavnom procesu</w:t>
            </w:r>
          </w:p>
          <w:p w14:paraId="7D9CBF01" w14:textId="4F9DD1BF" w:rsidR="006B2FC6" w:rsidRPr="00DF4CE5" w:rsidRDefault="006B2FC6" w:rsidP="00495A93">
            <w:pPr>
              <w:shd w:val="clear" w:color="auto" w:fill="FFFFFF" w:themeFill="background1"/>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2. </w:t>
            </w:r>
            <w:r w:rsidR="00495A93" w:rsidRPr="00DF4CE5">
              <w:rPr>
                <w:rFonts w:ascii="Cambria" w:eastAsia="Times New Roman" w:hAnsi="Cambria" w:cs="Calibri"/>
                <w:shd w:val="clear" w:color="auto" w:fill="FFFFFF" w:themeFill="background1"/>
                <w:lang w:val="hr-HR"/>
              </w:rPr>
              <w:t>p</w:t>
            </w:r>
            <w:r w:rsidRPr="00DF4CE5">
              <w:rPr>
                <w:rFonts w:ascii="Cambria" w:eastAsia="Times New Roman" w:hAnsi="Cambria" w:cs="Calibri"/>
                <w:shd w:val="clear" w:color="auto" w:fill="FFFFFF" w:themeFill="background1"/>
                <w:lang w:val="hr-HR"/>
              </w:rPr>
              <w:t>redati u zadanom terminu samostalne zadatke koji trebaju zadovoljavati minimalne kriterije</w:t>
            </w:r>
          </w:p>
          <w:p w14:paraId="01588EE4" w14:textId="5C09CC2C" w:rsidR="006B2FC6" w:rsidRPr="00DF4CE5" w:rsidRDefault="006B2FC6" w:rsidP="00495A93">
            <w:pPr>
              <w:shd w:val="clear" w:color="auto" w:fill="FFFFFF" w:themeFill="background1"/>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3. </w:t>
            </w:r>
            <w:r w:rsidR="00495A93" w:rsidRPr="00DF4CE5">
              <w:rPr>
                <w:rFonts w:ascii="Cambria" w:eastAsia="Times New Roman" w:hAnsi="Cambria" w:cs="Calibri"/>
                <w:lang w:val="hr-HR"/>
              </w:rPr>
              <w:t>p</w:t>
            </w:r>
            <w:r w:rsidRPr="00DF4CE5">
              <w:rPr>
                <w:rFonts w:ascii="Cambria" w:eastAsia="Times New Roman" w:hAnsi="Cambria" w:cs="Calibri"/>
                <w:lang w:val="hr-HR"/>
              </w:rPr>
              <w:t>oložiti usmeni ispit</w:t>
            </w:r>
            <w:r w:rsidR="00BA5BF3" w:rsidRPr="00DF4CE5">
              <w:rPr>
                <w:rFonts w:ascii="Cambria" w:eastAsia="Times New Roman" w:hAnsi="Cambria" w:cs="Calibri"/>
                <w:lang w:val="hr-HR"/>
              </w:rPr>
              <w:t>.</w:t>
            </w:r>
          </w:p>
          <w:p w14:paraId="3D6E6851" w14:textId="69A0E1F8" w:rsidR="006B2FC6" w:rsidRPr="00DF4CE5" w:rsidRDefault="00BA5BF3" w:rsidP="007828F8">
            <w:pPr>
              <w:spacing w:after="0" w:line="240" w:lineRule="auto"/>
              <w:rPr>
                <w:rFonts w:ascii="Cambria" w:eastAsia="Times New Roman" w:hAnsi="Cambria" w:cs="Calibri"/>
                <w:lang w:val="hr-HR"/>
              </w:rPr>
            </w:pPr>
            <w:bookmarkStart w:id="108" w:name="_Hlk187139467"/>
            <w:r w:rsidRPr="00DF4CE5">
              <w:rPr>
                <w:rFonts w:ascii="Cambria" w:hAnsi="Cambria"/>
                <w:bCs/>
                <w:lang w:val="hr-HR"/>
              </w:rPr>
              <w:t xml:space="preserve">Napomena: </w:t>
            </w:r>
            <w:r w:rsidR="00D41DC9" w:rsidRPr="00DF4CE5">
              <w:rPr>
                <w:rFonts w:ascii="Cambria" w:hAnsi="Cambria"/>
                <w:bCs/>
                <w:lang w:val="hr-HR"/>
              </w:rPr>
              <w:t>Ako student/studentica ne izvrši prethodno navedene</w:t>
            </w:r>
            <w:r w:rsidR="00D41DC9" w:rsidRPr="00DF4CE5">
              <w:rPr>
                <w:rFonts w:ascii="Cambria" w:hAnsi="Cambria"/>
                <w:bCs/>
                <w:shd w:val="clear" w:color="auto" w:fill="FFFFFF" w:themeFill="background1"/>
                <w:lang w:val="hr-HR"/>
              </w:rPr>
              <w:t xml:space="preserve"> </w:t>
            </w:r>
            <w:r w:rsidR="006B2FC6" w:rsidRPr="00DF4CE5">
              <w:rPr>
                <w:rFonts w:ascii="Cambria" w:hAnsi="Cambria"/>
                <w:bCs/>
                <w:shd w:val="clear" w:color="auto" w:fill="FFFFFF" w:themeFill="background1"/>
                <w:lang w:val="hr-HR"/>
              </w:rPr>
              <w:t>studensk</w:t>
            </w:r>
            <w:r w:rsidR="00D41DC9" w:rsidRPr="00DF4CE5">
              <w:rPr>
                <w:rFonts w:ascii="Cambria" w:hAnsi="Cambria"/>
                <w:bCs/>
                <w:shd w:val="clear" w:color="auto" w:fill="FFFFFF" w:themeFill="background1"/>
                <w:lang w:val="hr-HR"/>
              </w:rPr>
              <w:t>e</w:t>
            </w:r>
            <w:r w:rsidR="006B2FC6" w:rsidRPr="00DF4CE5">
              <w:rPr>
                <w:rFonts w:ascii="Cambria" w:hAnsi="Cambria"/>
                <w:bCs/>
                <w:shd w:val="clear" w:color="auto" w:fill="FFFFFF" w:themeFill="background1"/>
                <w:lang w:val="hr-HR"/>
              </w:rPr>
              <w:t xml:space="preserve"> obvez</w:t>
            </w:r>
            <w:r w:rsidR="00D41DC9" w:rsidRPr="00DF4CE5">
              <w:rPr>
                <w:rFonts w:ascii="Cambria" w:hAnsi="Cambria"/>
                <w:bCs/>
                <w:shd w:val="clear" w:color="auto" w:fill="FFFFFF" w:themeFill="background1"/>
                <w:lang w:val="hr-HR"/>
              </w:rPr>
              <w:t xml:space="preserve">e, </w:t>
            </w:r>
            <w:r w:rsidRPr="00DF4CE5">
              <w:rPr>
                <w:rFonts w:ascii="Cambria" w:hAnsi="Cambria"/>
                <w:bCs/>
                <w:shd w:val="clear" w:color="auto" w:fill="FFFFFF" w:themeFill="background1"/>
                <w:lang w:val="hr-HR"/>
              </w:rPr>
              <w:t xml:space="preserve">morat će ponovno upisati kolegij sljedeće akademske godine. </w:t>
            </w:r>
            <w:bookmarkEnd w:id="108"/>
          </w:p>
        </w:tc>
      </w:tr>
      <w:tr w:rsidR="006B2FC6" w:rsidRPr="00D0399C" w14:paraId="7C9B52AE" w14:textId="77777777" w:rsidTr="006B2FC6">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D9B5112" w14:textId="77777777" w:rsidR="006B2FC6" w:rsidRPr="00DF4CE5" w:rsidRDefault="006B2FC6" w:rsidP="006B2FC6">
            <w:pPr>
              <w:spacing w:after="0" w:line="240" w:lineRule="auto"/>
              <w:rPr>
                <w:rFonts w:ascii="Cambria" w:eastAsia="Times New Roman" w:hAnsi="Cambria" w:cs="Calibri"/>
                <w:lang w:val="hr-HR"/>
              </w:rPr>
            </w:pPr>
            <w:proofErr w:type="spellStart"/>
            <w:r w:rsidRPr="00DF4CE5">
              <w:rPr>
                <w:rFonts w:ascii="Cambria" w:eastAsia="Times New Roman" w:hAnsi="Cambria" w:cs="Calibri"/>
              </w:rPr>
              <w:t>Rokovi</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ispita</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i</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kolokvija</w:t>
            </w:r>
            <w:proofErr w:type="spellEnd"/>
          </w:p>
        </w:tc>
        <w:tc>
          <w:tcPr>
            <w:tcW w:w="671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A821CE5" w14:textId="77777777" w:rsidR="006B2FC6" w:rsidRPr="00DF4CE5" w:rsidRDefault="006B2FC6" w:rsidP="006B2FC6">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Daju se na početku akademske godine, objavljuju se na mrežnim stranicama Sveučilišta i u ISVU.</w:t>
            </w:r>
          </w:p>
        </w:tc>
      </w:tr>
      <w:tr w:rsidR="006B2FC6" w:rsidRPr="00DF4CE5" w14:paraId="7D820311" w14:textId="77777777" w:rsidTr="006B2FC6">
        <w:trPr>
          <w:trHeight w:val="343"/>
        </w:trPr>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DBFE714" w14:textId="77777777" w:rsidR="006B2FC6" w:rsidRPr="00DF4CE5" w:rsidRDefault="006B2FC6" w:rsidP="006B2FC6">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Ostale važne činjenice vezane uz kolegij</w:t>
            </w:r>
          </w:p>
        </w:tc>
        <w:tc>
          <w:tcPr>
            <w:tcW w:w="671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610CC7E" w14:textId="0CFFD653" w:rsidR="006B2FC6" w:rsidRPr="00DF4CE5" w:rsidRDefault="006B2FC6" w:rsidP="006B2FC6">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U slučaju održavanja nastave na daljinu, moguće je odstupanje u: mjestu izvođenja kolegija, provedbi aktivnosti, metoda tumačenja i poučavanja i načinima vrednovanja, studentskim obvezama i dostupnoj literaturi</w:t>
            </w:r>
            <w:r w:rsidRPr="00DF4CE5">
              <w:rPr>
                <w:rFonts w:ascii="Cambria" w:eastAsia="Times New Roman" w:hAnsi="Cambria" w:cs="Calibri"/>
                <w:shd w:val="clear" w:color="auto" w:fill="FFFFFF" w:themeFill="background1"/>
                <w:lang w:val="hr-HR"/>
              </w:rPr>
              <w:t>.</w:t>
            </w:r>
            <w:r w:rsidR="00495A93" w:rsidRPr="00DF4CE5">
              <w:rPr>
                <w:rFonts w:ascii="Cambria" w:hAnsi="Cambria"/>
                <w:shd w:val="clear" w:color="auto" w:fill="FFFFFF" w:themeFill="background1"/>
                <w:lang w:val="hr-HR"/>
              </w:rPr>
              <w:t xml:space="preserve"> </w:t>
            </w:r>
            <w:r w:rsidRPr="00DF4CE5">
              <w:rPr>
                <w:rFonts w:ascii="Cambria" w:hAnsi="Cambria"/>
                <w:shd w:val="clear" w:color="auto" w:fill="FFFFFF" w:themeFill="background1"/>
                <w:lang w:val="hr-HR"/>
              </w:rPr>
              <w:t>Nositeljica kolegija</w:t>
            </w:r>
            <w:r w:rsidR="00495A93" w:rsidRPr="00DF4CE5">
              <w:rPr>
                <w:rFonts w:ascii="Cambria" w:hAnsi="Cambria"/>
                <w:shd w:val="clear" w:color="auto" w:fill="FFFFFF" w:themeFill="background1"/>
                <w:lang w:val="hr-HR"/>
              </w:rPr>
              <w:t xml:space="preserve"> i </w:t>
            </w:r>
            <w:r w:rsidRPr="00DF4CE5">
              <w:rPr>
                <w:rFonts w:ascii="Cambria" w:hAnsi="Cambria"/>
                <w:shd w:val="clear" w:color="auto" w:fill="FFFFFF" w:themeFill="background1"/>
                <w:lang w:val="hr-HR"/>
              </w:rPr>
              <w:t xml:space="preserve"> predavačica obavijestit će studente i studentice o navedenom prilikom početka održavanja nastave.</w:t>
            </w:r>
            <w:r w:rsidRPr="00DF4CE5">
              <w:rPr>
                <w:rFonts w:ascii="Cambria" w:eastAsia="Times New Roman" w:hAnsi="Cambria" w:cs="Calibri"/>
                <w:lang w:val="hr-HR"/>
              </w:rPr>
              <w:t xml:space="preserve"> Ishodi učenja ostaju nepromijenjeni.</w:t>
            </w:r>
          </w:p>
        </w:tc>
      </w:tr>
      <w:tr w:rsidR="00131F52" w:rsidRPr="00DF4CE5" w14:paraId="78756ECC" w14:textId="77777777" w:rsidTr="006B2FC6">
        <w:trPr>
          <w:trHeight w:val="343"/>
        </w:trPr>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B37CF56" w14:textId="190122D4" w:rsidR="00131F52" w:rsidRPr="00DF4CE5" w:rsidRDefault="00131F52" w:rsidP="006B2FC6">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Literatura</w:t>
            </w:r>
          </w:p>
        </w:tc>
        <w:tc>
          <w:tcPr>
            <w:tcW w:w="671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908AC3E" w14:textId="77777777" w:rsidR="00131F52" w:rsidRPr="00DF4CE5" w:rsidRDefault="00131F52" w:rsidP="00131F52">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Obvezna: </w:t>
            </w:r>
          </w:p>
          <w:p w14:paraId="2CC487DD" w14:textId="73DD757A" w:rsidR="00131F52" w:rsidRPr="00DF4CE5" w:rsidRDefault="00131F52" w:rsidP="00131F52">
            <w:pPr>
              <w:spacing w:after="0" w:line="240" w:lineRule="auto"/>
              <w:jc w:val="both"/>
              <w:rPr>
                <w:rFonts w:ascii="Cambria" w:eastAsia="Times New Roman" w:hAnsi="Cambria" w:cs="Calibri"/>
                <w:lang w:val="hr-HR"/>
              </w:rPr>
            </w:pPr>
            <w:r w:rsidRPr="00DF4CE5">
              <w:rPr>
                <w:rFonts w:ascii="Cambria" w:eastAsia="Times New Roman" w:hAnsi="Cambria" w:cs="Calibri"/>
                <w:lang w:val="hr-HR"/>
              </w:rPr>
              <w:lastRenderedPageBreak/>
              <w:t xml:space="preserve">1. Ajduković, M., &amp; </w:t>
            </w:r>
            <w:proofErr w:type="spellStart"/>
            <w:r w:rsidRPr="00DF4CE5">
              <w:rPr>
                <w:rFonts w:ascii="Cambria" w:eastAsia="Times New Roman" w:hAnsi="Cambria" w:cs="Calibri"/>
                <w:lang w:val="hr-HR"/>
              </w:rPr>
              <w:t>Pečnik</w:t>
            </w:r>
            <w:proofErr w:type="spellEnd"/>
            <w:r w:rsidRPr="00DF4CE5">
              <w:rPr>
                <w:rFonts w:ascii="Cambria" w:eastAsia="Times New Roman" w:hAnsi="Cambria" w:cs="Calibri"/>
                <w:lang w:val="hr-HR"/>
              </w:rPr>
              <w:t xml:space="preserve">, N. (1993). Nenasilno rješavanje sukoba. Zagreb: Alineja (9-74). </w:t>
            </w:r>
          </w:p>
          <w:p w14:paraId="0A9CEBC0" w14:textId="5B259159" w:rsidR="00131F52" w:rsidRPr="00DF4CE5" w:rsidRDefault="00131F52" w:rsidP="00131F52">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2. Bašić, </w:t>
            </w:r>
            <w:proofErr w:type="spellStart"/>
            <w:r w:rsidRPr="00DF4CE5">
              <w:rPr>
                <w:rFonts w:ascii="Cambria" w:eastAsia="Times New Roman" w:hAnsi="Cambria" w:cs="Calibri"/>
                <w:lang w:val="hr-HR"/>
              </w:rPr>
              <w:t>J.Hudina</w:t>
            </w:r>
            <w:proofErr w:type="spellEnd"/>
            <w:r w:rsidRPr="00DF4CE5">
              <w:rPr>
                <w:rFonts w:ascii="Cambria" w:eastAsia="Times New Roman" w:hAnsi="Cambria" w:cs="Calibri"/>
                <w:lang w:val="hr-HR"/>
              </w:rPr>
              <w:t xml:space="preserve">, B., </w:t>
            </w:r>
            <w:proofErr w:type="spellStart"/>
            <w:r w:rsidRPr="00DF4CE5">
              <w:rPr>
                <w:rFonts w:ascii="Cambria" w:eastAsia="Times New Roman" w:hAnsi="Cambria" w:cs="Calibri"/>
                <w:lang w:val="hr-HR"/>
              </w:rPr>
              <w:t>Koller-Trbović</w:t>
            </w:r>
            <w:proofErr w:type="spellEnd"/>
            <w:r w:rsidRPr="00DF4CE5">
              <w:rPr>
                <w:rFonts w:ascii="Cambria" w:eastAsia="Times New Roman" w:hAnsi="Cambria" w:cs="Calibri"/>
                <w:lang w:val="hr-HR"/>
              </w:rPr>
              <w:t xml:space="preserve">, N., &amp; Žižak, A. (2005). Integralna metoda‒priručnik za odgajatelje i stručne suradnike u predškolskim ustanovama.  Zagreb: Alineja poglavlja 2 (37-44), 3 (47-58), 4 (61-76), 5 (79-86), 6 (89-94), 9 (121-124), 10 (127-136), 13 (157-167), 15 (181-185), 16 (189- 198), 18 (209-219). </w:t>
            </w:r>
          </w:p>
          <w:p w14:paraId="410CDCA6" w14:textId="52960EE8" w:rsidR="00131F52" w:rsidRPr="00DF4CE5" w:rsidRDefault="00131F52" w:rsidP="00131F52">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3. Rijavec, M, &amp; Miljković, D. (2002). Neverbalna komunikacija. Zagreb: IEP, VERN (1-74).</w:t>
            </w:r>
          </w:p>
          <w:p w14:paraId="2579931D" w14:textId="77777777" w:rsidR="00131F52" w:rsidRPr="00DF4CE5" w:rsidRDefault="00131F52" w:rsidP="00131F52">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Izborna:</w:t>
            </w:r>
          </w:p>
          <w:p w14:paraId="440D8BF6" w14:textId="1E3E0358" w:rsidR="00131F52" w:rsidRPr="00DF4CE5" w:rsidRDefault="00131F52" w:rsidP="00131F52">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1. Bašić, J., </w:t>
            </w:r>
            <w:proofErr w:type="spellStart"/>
            <w:r w:rsidRPr="00DF4CE5">
              <w:rPr>
                <w:rFonts w:ascii="Cambria" w:eastAsia="Times New Roman" w:hAnsi="Cambria" w:cs="Calibri"/>
                <w:lang w:val="hr-HR"/>
              </w:rPr>
              <w:t>Koller-Trbović</w:t>
            </w:r>
            <w:proofErr w:type="spellEnd"/>
            <w:r w:rsidRPr="00DF4CE5">
              <w:rPr>
                <w:rFonts w:ascii="Cambria" w:eastAsia="Times New Roman" w:hAnsi="Cambria" w:cs="Calibri"/>
                <w:lang w:val="hr-HR"/>
              </w:rPr>
              <w:t xml:space="preserve">, N., &amp; Žižak, A. (1994). Integralna metoda – priručnik za odgajatelje. Zagreb: </w:t>
            </w:r>
            <w:proofErr w:type="spellStart"/>
            <w:r w:rsidRPr="00DF4CE5">
              <w:rPr>
                <w:rFonts w:ascii="Cambria" w:eastAsia="Times New Roman" w:hAnsi="Cambria" w:cs="Calibri"/>
                <w:lang w:val="hr-HR"/>
              </w:rPr>
              <w:t>Alinea</w:t>
            </w:r>
            <w:proofErr w:type="spellEnd"/>
            <w:r w:rsidRPr="00DF4CE5">
              <w:rPr>
                <w:rFonts w:ascii="Cambria" w:eastAsia="Times New Roman" w:hAnsi="Cambria" w:cs="Calibri"/>
                <w:lang w:val="hr-HR"/>
              </w:rPr>
              <w:t>.</w:t>
            </w:r>
          </w:p>
          <w:p w14:paraId="56BF40B2" w14:textId="0EF39B07" w:rsidR="00131F52" w:rsidRPr="00DF4CE5" w:rsidRDefault="00131F52" w:rsidP="00131F52">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2. Bašić, J., </w:t>
            </w:r>
            <w:proofErr w:type="spellStart"/>
            <w:r w:rsidRPr="00DF4CE5">
              <w:rPr>
                <w:rFonts w:ascii="Cambria" w:eastAsia="Times New Roman" w:hAnsi="Cambria" w:cs="Calibri"/>
                <w:lang w:val="hr-HR"/>
              </w:rPr>
              <w:t>Koller-Trbović</w:t>
            </w:r>
            <w:proofErr w:type="spellEnd"/>
            <w:r w:rsidRPr="00DF4CE5">
              <w:rPr>
                <w:rFonts w:ascii="Cambria" w:eastAsia="Times New Roman" w:hAnsi="Cambria" w:cs="Calibri"/>
                <w:lang w:val="hr-HR"/>
              </w:rPr>
              <w:t xml:space="preserve">, N., &amp; Žižak, A. (1994). Integralna metoda u radu s predškolskom djecom i njihovim roditeljima. Zagreb: </w:t>
            </w:r>
            <w:proofErr w:type="spellStart"/>
            <w:r w:rsidRPr="00DF4CE5">
              <w:rPr>
                <w:rFonts w:ascii="Cambria" w:eastAsia="Times New Roman" w:hAnsi="Cambria" w:cs="Calibri"/>
                <w:lang w:val="hr-HR"/>
              </w:rPr>
              <w:t>Alinea</w:t>
            </w:r>
            <w:proofErr w:type="spellEnd"/>
            <w:r w:rsidRPr="00DF4CE5">
              <w:rPr>
                <w:rFonts w:ascii="Cambria" w:eastAsia="Times New Roman" w:hAnsi="Cambria" w:cs="Calibri"/>
                <w:lang w:val="hr-HR"/>
              </w:rPr>
              <w:t>.</w:t>
            </w:r>
          </w:p>
          <w:p w14:paraId="0221CED3" w14:textId="38B27CC9" w:rsidR="00131F52" w:rsidRPr="00DF4CE5" w:rsidRDefault="00131F52" w:rsidP="00131F52">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3. Brajša, P. (1993.). Pedagoška komunikacija. Zagreb: Školske novine.</w:t>
            </w:r>
          </w:p>
          <w:p w14:paraId="6608262E" w14:textId="28579CF3" w:rsidR="00131F52" w:rsidRPr="00DF4CE5" w:rsidRDefault="00131F52" w:rsidP="00131F52">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4. Bunčić, K., Ivković, Đ., Janković, J.,  &amp; Penava, A. (1994). Igrom do sebe. Zagreb: </w:t>
            </w:r>
            <w:proofErr w:type="spellStart"/>
            <w:r w:rsidRPr="00DF4CE5">
              <w:rPr>
                <w:rFonts w:ascii="Cambria" w:eastAsia="Times New Roman" w:hAnsi="Cambria" w:cs="Calibri"/>
                <w:lang w:val="hr-HR"/>
              </w:rPr>
              <w:t>Alinea</w:t>
            </w:r>
            <w:proofErr w:type="spellEnd"/>
            <w:r w:rsidRPr="00DF4CE5">
              <w:rPr>
                <w:rFonts w:ascii="Cambria" w:eastAsia="Times New Roman" w:hAnsi="Cambria" w:cs="Calibri"/>
                <w:lang w:val="hr-HR"/>
              </w:rPr>
              <w:t>.</w:t>
            </w:r>
          </w:p>
          <w:p w14:paraId="61AD8F06" w14:textId="07DCC4EA" w:rsidR="00131F52" w:rsidRPr="00DF4CE5" w:rsidRDefault="00131F52" w:rsidP="00131F52">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5. Janković, J. (1994). Sukob ili suradnja. Zagreb: </w:t>
            </w:r>
            <w:proofErr w:type="spellStart"/>
            <w:r w:rsidRPr="00DF4CE5">
              <w:rPr>
                <w:rFonts w:ascii="Cambria" w:eastAsia="Times New Roman" w:hAnsi="Cambria" w:cs="Calibri"/>
                <w:lang w:val="hr-HR"/>
              </w:rPr>
              <w:t>Alinea</w:t>
            </w:r>
            <w:proofErr w:type="spellEnd"/>
            <w:r w:rsidRPr="00DF4CE5">
              <w:rPr>
                <w:rFonts w:ascii="Cambria" w:eastAsia="Times New Roman" w:hAnsi="Cambria" w:cs="Calibri"/>
                <w:lang w:val="hr-HR"/>
              </w:rPr>
              <w:t xml:space="preserve">. </w:t>
            </w:r>
          </w:p>
          <w:p w14:paraId="3719EBBC" w14:textId="5A54C1A1" w:rsidR="00131F52" w:rsidRPr="00DF4CE5" w:rsidRDefault="00131F52" w:rsidP="00131F52">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Uzelac, M., Bognar, L., &amp; Bagić, A. (1994). Budimo prijatelji. Zagreb: Slon.</w:t>
            </w:r>
          </w:p>
        </w:tc>
      </w:tr>
    </w:tbl>
    <w:p w14:paraId="4CD42056" w14:textId="77777777" w:rsidR="006B2BBC" w:rsidRPr="00DF4CE5" w:rsidRDefault="006B2BBC" w:rsidP="008B34AF">
      <w:pPr>
        <w:jc w:val="both"/>
        <w:rPr>
          <w:rFonts w:ascii="Cambria" w:eastAsia="Calibri" w:hAnsi="Cambria" w:cs="Times New Roman"/>
          <w:lang w:val="hr-HR"/>
        </w:rPr>
      </w:pPr>
    </w:p>
    <w:p w14:paraId="473FBFD6" w14:textId="5BA1D51D" w:rsidR="00131F52" w:rsidRPr="00DF4CE5" w:rsidRDefault="00131F52">
      <w:pPr>
        <w:rPr>
          <w:rFonts w:ascii="Cambria" w:hAnsi="Cambria"/>
          <w:lang w:val="hr-HR"/>
        </w:rPr>
      </w:pPr>
      <w:r w:rsidRPr="00DF4CE5">
        <w:rPr>
          <w:rFonts w:ascii="Cambria" w:hAnsi="Cambria"/>
          <w:lang w:val="hr-HR"/>
        </w:rPr>
        <w:br w:type="page"/>
      </w:r>
    </w:p>
    <w:p w14:paraId="6A7998EB" w14:textId="77777777" w:rsidR="00C72659" w:rsidRPr="00DF4CE5" w:rsidRDefault="00C72659">
      <w:pPr>
        <w:rPr>
          <w:rFonts w:ascii="Cambria" w:hAnsi="Cambria"/>
          <w:lang w:val="hr-HR"/>
        </w:rPr>
      </w:pPr>
    </w:p>
    <w:tbl>
      <w:tblPr>
        <w:tblW w:w="5000" w:type="pct"/>
        <w:tblLayout w:type="fixed"/>
        <w:tblCellMar>
          <w:left w:w="0" w:type="dxa"/>
          <w:right w:w="0" w:type="dxa"/>
        </w:tblCellMar>
        <w:tblLook w:val="0600" w:firstRow="0" w:lastRow="0" w:firstColumn="0" w:lastColumn="0" w:noHBand="1" w:noVBand="1"/>
      </w:tblPr>
      <w:tblGrid>
        <w:gridCol w:w="2623"/>
        <w:gridCol w:w="2487"/>
        <w:gridCol w:w="98"/>
        <w:gridCol w:w="1088"/>
        <w:gridCol w:w="277"/>
        <w:gridCol w:w="438"/>
        <w:gridCol w:w="1011"/>
        <w:gridCol w:w="1318"/>
      </w:tblGrid>
      <w:tr w:rsidR="00B77450" w:rsidRPr="00DF4CE5" w14:paraId="1106B815" w14:textId="77777777" w:rsidTr="00891E8C">
        <w:tc>
          <w:tcPr>
            <w:tcW w:w="9340"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0FEFB97" w14:textId="6D7BF3AA" w:rsidR="00B77450" w:rsidRPr="00DF4CE5" w:rsidRDefault="00B77450" w:rsidP="00891E8C">
            <w:pPr>
              <w:spacing w:after="0" w:line="240" w:lineRule="atLeast"/>
              <w:jc w:val="right"/>
              <w:rPr>
                <w:rFonts w:ascii="Cambria" w:eastAsia="Calibri" w:hAnsi="Cambria" w:cs="Times New Roman"/>
                <w:b/>
                <w:lang w:val="hr-HR"/>
              </w:rPr>
            </w:pPr>
            <w:r w:rsidRPr="00DF4CE5">
              <w:rPr>
                <w:rFonts w:ascii="Cambria" w:eastAsia="Calibri" w:hAnsi="Cambria" w:cs="Times New Roman"/>
                <w:b/>
                <w:lang w:val="hr-HR"/>
              </w:rPr>
              <w:t>IZVEDBENI PLAN NASTAVE KOLEGIJA</w:t>
            </w:r>
          </w:p>
        </w:tc>
      </w:tr>
      <w:tr w:rsidR="00B77450" w:rsidRPr="00D0399C" w14:paraId="6CECFDDD" w14:textId="77777777" w:rsidTr="00891E8C">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9D0CA81" w14:textId="77777777" w:rsidR="00B77450" w:rsidRPr="00DF4CE5" w:rsidRDefault="00B77450" w:rsidP="00891E8C">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t>Kod i naziv kolegija</w:t>
            </w:r>
          </w:p>
        </w:tc>
        <w:tc>
          <w:tcPr>
            <w:tcW w:w="671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9F59EA3" w14:textId="77777777" w:rsidR="00B77450" w:rsidRPr="00DF4CE5" w:rsidRDefault="00B77450" w:rsidP="00891E8C">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t>212639</w:t>
            </w:r>
          </w:p>
          <w:p w14:paraId="0ED3C303" w14:textId="77777777" w:rsidR="00B77450" w:rsidRPr="00DF4CE5" w:rsidRDefault="00B77450" w:rsidP="00891E8C">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t>Odgoj i obrazovanje za ljudska prava</w:t>
            </w:r>
          </w:p>
        </w:tc>
      </w:tr>
      <w:tr w:rsidR="00B77450" w:rsidRPr="00D0399C" w14:paraId="7184DA55" w14:textId="77777777" w:rsidTr="00891E8C">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AD3F4D4" w14:textId="3EE5799F" w:rsidR="00B77450" w:rsidRPr="00DF4CE5" w:rsidRDefault="00B77450" w:rsidP="00891E8C">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t>Nastavnic</w:t>
            </w:r>
            <w:r w:rsidR="00A675B4">
              <w:rPr>
                <w:rFonts w:ascii="Cambria" w:eastAsia="Calibri" w:hAnsi="Cambria" w:cs="Times New Roman"/>
                <w:lang w:val="hr-HR"/>
              </w:rPr>
              <w:t>e</w:t>
            </w:r>
            <w:r w:rsidRPr="00DF4CE5">
              <w:rPr>
                <w:rFonts w:ascii="Cambria" w:eastAsia="Calibri" w:hAnsi="Cambria" w:cs="Times New Roman"/>
                <w:lang w:val="hr-HR"/>
              </w:rPr>
              <w:t xml:space="preserve"> </w:t>
            </w:r>
          </w:p>
        </w:tc>
        <w:tc>
          <w:tcPr>
            <w:tcW w:w="671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0645870" w14:textId="3E1DF09B" w:rsidR="00B77450" w:rsidRPr="00DF4CE5" w:rsidRDefault="00495A93" w:rsidP="00891E8C">
            <w:pPr>
              <w:spacing w:after="0" w:line="240" w:lineRule="atLeast"/>
              <w:jc w:val="both"/>
              <w:rPr>
                <w:rFonts w:ascii="Cambria" w:eastAsia="Calibri" w:hAnsi="Cambria" w:cs="Times New Roman"/>
                <w:lang w:val="hr-HR"/>
              </w:rPr>
            </w:pPr>
            <w:hyperlink r:id="rId188" w:history="1">
              <w:r w:rsidRPr="00DF4CE5">
                <w:rPr>
                  <w:rFonts w:ascii="Cambria" w:eastAsia="Calibri" w:hAnsi="Cambria" w:cs="Times New Roman"/>
                  <w:color w:val="0000FF"/>
                  <w:u w:val="single"/>
                  <w:lang w:val="hr-HR"/>
                </w:rPr>
                <w:t>I</w:t>
              </w:r>
              <w:r w:rsidR="00B77450" w:rsidRPr="00DF4CE5">
                <w:rPr>
                  <w:rFonts w:ascii="Cambria" w:eastAsia="Calibri" w:hAnsi="Cambria" w:cs="Times New Roman"/>
                  <w:color w:val="0000FF"/>
                  <w:u w:val="single"/>
                  <w:lang w:val="hr-HR"/>
                </w:rPr>
                <w:t xml:space="preserve">zv. prof. dr. sc. Marina </w:t>
              </w:r>
              <w:proofErr w:type="spellStart"/>
              <w:r w:rsidR="00B77450" w:rsidRPr="00DF4CE5">
                <w:rPr>
                  <w:rFonts w:ascii="Cambria" w:eastAsia="Calibri" w:hAnsi="Cambria" w:cs="Times New Roman"/>
                  <w:color w:val="0000FF"/>
                  <w:u w:val="single"/>
                  <w:lang w:val="hr-HR"/>
                </w:rPr>
                <w:t>Diković</w:t>
              </w:r>
              <w:proofErr w:type="spellEnd"/>
            </w:hyperlink>
            <w:r w:rsidR="00B77450" w:rsidRPr="00DF4CE5">
              <w:rPr>
                <w:rFonts w:ascii="Cambria" w:eastAsia="Calibri" w:hAnsi="Cambria" w:cs="Times New Roman"/>
                <w:lang w:val="hr-HR"/>
              </w:rPr>
              <w:t xml:space="preserve"> (nositeljica)    </w:t>
            </w:r>
          </w:p>
          <w:p w14:paraId="74A177FB" w14:textId="4272707E" w:rsidR="00B77450" w:rsidRPr="00DF4CE5" w:rsidRDefault="00495A93" w:rsidP="00891E8C">
            <w:pPr>
              <w:spacing w:after="0" w:line="240" w:lineRule="atLeast"/>
              <w:jc w:val="both"/>
              <w:rPr>
                <w:rFonts w:ascii="Cambria" w:eastAsia="Calibri" w:hAnsi="Cambria" w:cs="Times New Roman"/>
                <w:lang w:val="hr-HR"/>
              </w:rPr>
            </w:pPr>
            <w:hyperlink r:id="rId189" w:history="1">
              <w:r w:rsidRPr="00DF4CE5">
                <w:rPr>
                  <w:rFonts w:ascii="Cambria" w:eastAsia="Calibri" w:hAnsi="Cambria" w:cs="Times New Roman"/>
                  <w:color w:val="0000FF"/>
                  <w:u w:val="single"/>
                  <w:lang w:val="hr-HR"/>
                </w:rPr>
                <w:t>D</w:t>
              </w:r>
              <w:r w:rsidR="00B77450" w:rsidRPr="00DF4CE5">
                <w:rPr>
                  <w:rFonts w:ascii="Cambria" w:eastAsia="Calibri" w:hAnsi="Cambria" w:cs="Times New Roman"/>
                  <w:color w:val="0000FF"/>
                  <w:u w:val="single"/>
                  <w:lang w:val="hr-HR"/>
                </w:rPr>
                <w:t xml:space="preserve">oc. dr. sc. </w:t>
              </w:r>
              <w:proofErr w:type="spellStart"/>
              <w:r w:rsidR="00B77450" w:rsidRPr="00DF4CE5">
                <w:rPr>
                  <w:rFonts w:ascii="Cambria" w:eastAsia="Calibri" w:hAnsi="Cambria" w:cs="Times New Roman"/>
                  <w:color w:val="0000FF"/>
                  <w:u w:val="single"/>
                  <w:lang w:val="hr-HR"/>
                </w:rPr>
                <w:t>Marlena</w:t>
              </w:r>
              <w:proofErr w:type="spellEnd"/>
              <w:r w:rsidR="00B77450" w:rsidRPr="00DF4CE5">
                <w:rPr>
                  <w:rFonts w:ascii="Cambria" w:eastAsia="Calibri" w:hAnsi="Cambria" w:cs="Times New Roman"/>
                  <w:color w:val="0000FF"/>
                  <w:u w:val="single"/>
                  <w:lang w:val="hr-HR"/>
                </w:rPr>
                <w:t xml:space="preserve"> Plavšić</w:t>
              </w:r>
            </w:hyperlink>
            <w:r w:rsidR="00B77450" w:rsidRPr="00DF4CE5">
              <w:rPr>
                <w:rFonts w:ascii="Cambria" w:eastAsia="Calibri" w:hAnsi="Cambria" w:cs="Times New Roman"/>
                <w:lang w:val="hr-HR"/>
              </w:rPr>
              <w:t xml:space="preserve"> (nositeljica)                  </w:t>
            </w:r>
          </w:p>
        </w:tc>
      </w:tr>
      <w:tr w:rsidR="00B77450" w:rsidRPr="00D0399C" w14:paraId="18753C92" w14:textId="77777777" w:rsidTr="00891E8C">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0B8DC5A" w14:textId="77777777" w:rsidR="00B77450" w:rsidRPr="00DF4CE5" w:rsidRDefault="00B77450" w:rsidP="00891E8C">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t>Studijski program</w:t>
            </w:r>
          </w:p>
        </w:tc>
        <w:tc>
          <w:tcPr>
            <w:tcW w:w="671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EEA2AB6" w14:textId="77777777" w:rsidR="00B77450" w:rsidRPr="00DF4CE5" w:rsidRDefault="00B77450" w:rsidP="00891E8C">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t>Sveučilišni integrirani prijediplomski i diplomski Učiteljski studij na hrvatskom jeziku</w:t>
            </w:r>
          </w:p>
        </w:tc>
      </w:tr>
      <w:tr w:rsidR="00B77450" w:rsidRPr="00DF4CE5" w14:paraId="25B71C19" w14:textId="77777777" w:rsidTr="00891E8C">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4A16635" w14:textId="77777777" w:rsidR="00B77450" w:rsidRPr="00DF4CE5" w:rsidRDefault="00B77450" w:rsidP="00891E8C">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t>Vrsta kolegija</w:t>
            </w:r>
          </w:p>
        </w:tc>
        <w:tc>
          <w:tcPr>
            <w:tcW w:w="248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EDAEFCC" w14:textId="391AB60F" w:rsidR="00B77450" w:rsidRPr="00DF4CE5" w:rsidRDefault="00C72659" w:rsidP="00891E8C">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t>i</w:t>
            </w:r>
            <w:r w:rsidR="00B77450" w:rsidRPr="00DF4CE5">
              <w:rPr>
                <w:rFonts w:ascii="Cambria" w:eastAsia="Calibri" w:hAnsi="Cambria" w:cs="Times New Roman"/>
                <w:lang w:val="hr-HR"/>
              </w:rPr>
              <w:t>zborni</w:t>
            </w:r>
          </w:p>
          <w:p w14:paraId="502E3834" w14:textId="77777777" w:rsidR="00B77450" w:rsidRPr="00DF4CE5" w:rsidRDefault="00B77450" w:rsidP="00891E8C">
            <w:pPr>
              <w:spacing w:after="0" w:line="240" w:lineRule="atLeast"/>
              <w:jc w:val="both"/>
              <w:rPr>
                <w:rFonts w:ascii="Cambria" w:eastAsia="Calibri" w:hAnsi="Cambria" w:cs="Times New Roman"/>
                <w:lang w:val="hr-HR"/>
              </w:rPr>
            </w:pPr>
          </w:p>
        </w:tc>
        <w:tc>
          <w:tcPr>
            <w:tcW w:w="146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182F0D97" w14:textId="77777777" w:rsidR="00B77450" w:rsidRPr="00DF4CE5" w:rsidRDefault="00B77450" w:rsidP="00891E8C">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t>Razina kolegija</w:t>
            </w:r>
          </w:p>
        </w:tc>
        <w:tc>
          <w:tcPr>
            <w:tcW w:w="2767"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0292681" w14:textId="77777777" w:rsidR="00B77450" w:rsidRPr="00DF4CE5" w:rsidRDefault="00B77450" w:rsidP="00891E8C">
            <w:pPr>
              <w:spacing w:after="0" w:line="240" w:lineRule="atLeast"/>
              <w:jc w:val="both"/>
              <w:rPr>
                <w:rFonts w:ascii="Cambria" w:eastAsia="Calibri" w:hAnsi="Cambria" w:cs="Times New Roman"/>
                <w:lang w:val="it-IT"/>
              </w:rPr>
            </w:pPr>
            <w:proofErr w:type="spellStart"/>
            <w:r w:rsidRPr="00DF4CE5">
              <w:rPr>
                <w:rFonts w:ascii="Cambria" w:eastAsia="Calibri" w:hAnsi="Cambria" w:cs="Times New Roman"/>
                <w:lang w:val="it-IT"/>
              </w:rPr>
              <w:t>integrirani</w:t>
            </w:r>
            <w:proofErr w:type="spellEnd"/>
            <w:r w:rsidRPr="00DF4CE5">
              <w:rPr>
                <w:rFonts w:ascii="Cambria" w:eastAsia="Calibri" w:hAnsi="Cambria" w:cs="Times New Roman"/>
                <w:lang w:val="it-IT"/>
              </w:rPr>
              <w:t xml:space="preserve"> </w:t>
            </w:r>
          </w:p>
        </w:tc>
      </w:tr>
      <w:tr w:rsidR="00B77450" w:rsidRPr="00DF4CE5" w14:paraId="347E768B" w14:textId="77777777" w:rsidTr="00891E8C">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CBDC0DF" w14:textId="77777777" w:rsidR="00B77450" w:rsidRPr="00DF4CE5" w:rsidRDefault="00B77450" w:rsidP="00891E8C">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t>Semestar</w:t>
            </w:r>
          </w:p>
        </w:tc>
        <w:tc>
          <w:tcPr>
            <w:tcW w:w="248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69D2A65" w14:textId="070B1343" w:rsidR="00B77450" w:rsidRPr="00DF4CE5" w:rsidRDefault="00C72659" w:rsidP="00891E8C">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t>z</w:t>
            </w:r>
            <w:r w:rsidR="00B77450" w:rsidRPr="00DF4CE5">
              <w:rPr>
                <w:rFonts w:ascii="Cambria" w:eastAsia="Calibri" w:hAnsi="Cambria" w:cs="Times New Roman"/>
                <w:lang w:val="hr-HR"/>
              </w:rPr>
              <w:t>imski</w:t>
            </w:r>
          </w:p>
          <w:p w14:paraId="26701014" w14:textId="77777777" w:rsidR="00B77450" w:rsidRPr="00DF4CE5" w:rsidRDefault="00B77450" w:rsidP="00891E8C">
            <w:pPr>
              <w:spacing w:after="0" w:line="240" w:lineRule="atLeast"/>
              <w:jc w:val="both"/>
              <w:rPr>
                <w:rFonts w:ascii="Cambria" w:eastAsia="Calibri" w:hAnsi="Cambria" w:cs="Times New Roman"/>
                <w:lang w:val="hr-HR"/>
              </w:rPr>
            </w:pPr>
          </w:p>
        </w:tc>
        <w:tc>
          <w:tcPr>
            <w:tcW w:w="146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34258943" w14:textId="77777777" w:rsidR="00B77450" w:rsidRPr="00DF4CE5" w:rsidRDefault="00B77450" w:rsidP="00891E8C">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t>Godina studija</w:t>
            </w:r>
          </w:p>
        </w:tc>
        <w:tc>
          <w:tcPr>
            <w:tcW w:w="2767"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F0F9972" w14:textId="77777777" w:rsidR="00B77450" w:rsidRPr="00DF4CE5" w:rsidRDefault="00B77450" w:rsidP="00891E8C">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t>V.</w:t>
            </w:r>
          </w:p>
        </w:tc>
      </w:tr>
      <w:tr w:rsidR="00B77450" w:rsidRPr="00DF4CE5" w14:paraId="242B06BC" w14:textId="77777777" w:rsidTr="00891E8C">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2967AF3" w14:textId="77777777" w:rsidR="00B77450" w:rsidRPr="00DF4CE5" w:rsidRDefault="00B77450" w:rsidP="00891E8C">
            <w:pPr>
              <w:spacing w:after="0" w:line="240" w:lineRule="atLeast"/>
              <w:jc w:val="both"/>
              <w:rPr>
                <w:rFonts w:ascii="Cambria" w:eastAsia="Calibri" w:hAnsi="Cambria" w:cs="Times New Roman"/>
                <w:lang w:val="hr-HR"/>
              </w:rPr>
            </w:pPr>
            <w:proofErr w:type="spellStart"/>
            <w:r w:rsidRPr="00DF4CE5">
              <w:rPr>
                <w:rFonts w:ascii="Cambria" w:eastAsia="Calibri" w:hAnsi="Cambria" w:cs="Times New Roman"/>
              </w:rPr>
              <w:t>Mjesto</w:t>
            </w:r>
            <w:proofErr w:type="spellEnd"/>
            <w:r w:rsidRPr="00DF4CE5">
              <w:rPr>
                <w:rFonts w:ascii="Cambria" w:eastAsia="Calibri" w:hAnsi="Cambria" w:cs="Times New Roman"/>
              </w:rPr>
              <w:t xml:space="preserve"> </w:t>
            </w:r>
            <w:proofErr w:type="spellStart"/>
            <w:r w:rsidRPr="00DF4CE5">
              <w:rPr>
                <w:rFonts w:ascii="Cambria" w:eastAsia="Calibri" w:hAnsi="Cambria" w:cs="Times New Roman"/>
              </w:rPr>
              <w:t>izvođenja</w:t>
            </w:r>
            <w:proofErr w:type="spellEnd"/>
          </w:p>
        </w:tc>
        <w:tc>
          <w:tcPr>
            <w:tcW w:w="248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1F7AEEC" w14:textId="79BEE0BD" w:rsidR="00B77450" w:rsidRPr="00DF4CE5" w:rsidRDefault="00B77450" w:rsidP="00A675B4">
            <w:pPr>
              <w:spacing w:after="0" w:line="240" w:lineRule="atLeast"/>
              <w:rPr>
                <w:rFonts w:ascii="Cambria" w:eastAsia="Calibri" w:hAnsi="Cambria" w:cs="Times New Roman"/>
                <w:lang w:val="hr-HR"/>
              </w:rPr>
            </w:pPr>
            <w:r w:rsidRPr="00DF4CE5">
              <w:rPr>
                <w:rFonts w:ascii="Cambria" w:eastAsia="Calibri" w:hAnsi="Cambria" w:cs="Times New Roman"/>
                <w:lang w:val="hr-HR"/>
              </w:rPr>
              <w:t>dvorana, škole, organizacija civilnog društva</w:t>
            </w:r>
          </w:p>
        </w:tc>
        <w:tc>
          <w:tcPr>
            <w:tcW w:w="146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65FE43E9" w14:textId="77777777" w:rsidR="00B77450" w:rsidRPr="00DF4CE5" w:rsidRDefault="00B77450" w:rsidP="00891E8C">
            <w:pPr>
              <w:spacing w:after="0" w:line="240" w:lineRule="atLeast"/>
              <w:jc w:val="both"/>
              <w:rPr>
                <w:rFonts w:ascii="Cambria" w:eastAsia="Calibri" w:hAnsi="Cambria" w:cs="Times New Roman"/>
                <w:lang w:val="hr-HR"/>
              </w:rPr>
            </w:pPr>
            <w:r w:rsidRPr="00DF4CE5">
              <w:rPr>
                <w:rFonts w:ascii="Cambria" w:eastAsia="Calibri" w:hAnsi="Cambria" w:cs="Times New Roman"/>
              </w:rPr>
              <w:t>Jezik</w:t>
            </w:r>
            <w:r w:rsidRPr="00DF4CE5">
              <w:rPr>
                <w:rFonts w:ascii="Cambria" w:eastAsia="Calibri" w:hAnsi="Cambria" w:cs="Times New Roman"/>
                <w:lang w:val="hr-HR"/>
              </w:rPr>
              <w:t xml:space="preserve"> izvođenja (drugi jezici)</w:t>
            </w:r>
          </w:p>
        </w:tc>
        <w:tc>
          <w:tcPr>
            <w:tcW w:w="2767"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68039FA" w14:textId="77777777" w:rsidR="00B77450" w:rsidRPr="00DF4CE5" w:rsidRDefault="00B77450" w:rsidP="00891E8C">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t xml:space="preserve">hrvatski </w:t>
            </w:r>
          </w:p>
          <w:p w14:paraId="603D2115" w14:textId="77777777" w:rsidR="00B77450" w:rsidRPr="00DF4CE5" w:rsidRDefault="00B77450" w:rsidP="00891E8C">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t>(talijanski i engleski)</w:t>
            </w:r>
          </w:p>
        </w:tc>
      </w:tr>
      <w:tr w:rsidR="00B77450" w:rsidRPr="00DF4CE5" w14:paraId="3AD99E48" w14:textId="77777777" w:rsidTr="00891E8C">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1AE278D" w14:textId="77777777" w:rsidR="00B77450" w:rsidRPr="00DF4CE5" w:rsidRDefault="00B77450" w:rsidP="00891E8C">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t>Broj ECTS bodova</w:t>
            </w:r>
          </w:p>
        </w:tc>
        <w:tc>
          <w:tcPr>
            <w:tcW w:w="248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1300A1D" w14:textId="77777777" w:rsidR="00B77450" w:rsidRPr="00DF4CE5" w:rsidRDefault="00B77450" w:rsidP="00891E8C">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t>3</w:t>
            </w:r>
          </w:p>
        </w:tc>
        <w:tc>
          <w:tcPr>
            <w:tcW w:w="146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1B00D5BA" w14:textId="77777777" w:rsidR="00B77450" w:rsidRPr="00DF4CE5" w:rsidRDefault="00B77450" w:rsidP="00891E8C">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t>Broj sati u semestru</w:t>
            </w:r>
          </w:p>
        </w:tc>
        <w:tc>
          <w:tcPr>
            <w:tcW w:w="2767"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A13F639" w14:textId="31DC21EF" w:rsidR="00B77450" w:rsidRPr="00DF4CE5" w:rsidRDefault="00B77450" w:rsidP="00891E8C">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t xml:space="preserve">15P – </w:t>
            </w:r>
            <w:r w:rsidR="00C72659" w:rsidRPr="00DF4CE5">
              <w:rPr>
                <w:rFonts w:ascii="Cambria" w:eastAsia="Calibri" w:hAnsi="Cambria" w:cs="Times New Roman"/>
                <w:lang w:val="hr-HR"/>
              </w:rPr>
              <w:t>15S</w:t>
            </w:r>
            <w:r w:rsidRPr="00DF4CE5">
              <w:rPr>
                <w:rFonts w:ascii="Cambria" w:eastAsia="Calibri" w:hAnsi="Cambria" w:cs="Times New Roman"/>
                <w:lang w:val="hr-HR"/>
              </w:rPr>
              <w:t xml:space="preserve"> – </w:t>
            </w:r>
            <w:r w:rsidR="00C72659" w:rsidRPr="00DF4CE5">
              <w:rPr>
                <w:rFonts w:ascii="Cambria" w:eastAsia="Calibri" w:hAnsi="Cambria" w:cs="Times New Roman"/>
                <w:lang w:val="hr-HR"/>
              </w:rPr>
              <w:t>0V</w:t>
            </w:r>
            <w:r w:rsidRPr="00DF4CE5">
              <w:rPr>
                <w:rFonts w:ascii="Cambria" w:eastAsia="Calibri" w:hAnsi="Cambria" w:cs="Times New Roman"/>
                <w:lang w:val="hr-HR"/>
              </w:rPr>
              <w:t xml:space="preserve">  </w:t>
            </w:r>
          </w:p>
        </w:tc>
      </w:tr>
      <w:tr w:rsidR="00B77450" w:rsidRPr="00DF4CE5" w14:paraId="4987C632" w14:textId="77777777" w:rsidTr="00891E8C">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99A0520" w14:textId="77777777" w:rsidR="00B77450" w:rsidRPr="00DF4CE5" w:rsidRDefault="00B77450" w:rsidP="00891E8C">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t>Preduvjeti za upis i za svladavanje</w:t>
            </w:r>
          </w:p>
        </w:tc>
        <w:tc>
          <w:tcPr>
            <w:tcW w:w="671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4C375B7" w14:textId="77777777" w:rsidR="00B77450" w:rsidRPr="00DF4CE5" w:rsidRDefault="00B77450" w:rsidP="00891E8C">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t xml:space="preserve">Nema preduvjeta. </w:t>
            </w:r>
          </w:p>
        </w:tc>
      </w:tr>
      <w:tr w:rsidR="00B77450" w:rsidRPr="00D0399C" w14:paraId="48A97D4F" w14:textId="77777777" w:rsidTr="00891E8C">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8CB4866" w14:textId="77777777" w:rsidR="00B77450" w:rsidRPr="00DF4CE5" w:rsidRDefault="00B77450" w:rsidP="00891E8C">
            <w:pPr>
              <w:spacing w:after="0" w:line="240" w:lineRule="atLeast"/>
              <w:jc w:val="both"/>
              <w:rPr>
                <w:rFonts w:ascii="Cambria" w:eastAsia="Calibri" w:hAnsi="Cambria" w:cs="Times New Roman"/>
                <w:lang w:val="hr-HR"/>
              </w:rPr>
            </w:pPr>
            <w:proofErr w:type="spellStart"/>
            <w:r w:rsidRPr="00DF4CE5">
              <w:rPr>
                <w:rFonts w:ascii="Cambria" w:eastAsia="Calibri" w:hAnsi="Cambria" w:cs="Times New Roman"/>
              </w:rPr>
              <w:t>Korelativnost</w:t>
            </w:r>
            <w:proofErr w:type="spellEnd"/>
          </w:p>
        </w:tc>
        <w:tc>
          <w:tcPr>
            <w:tcW w:w="671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9A561E6" w14:textId="77777777" w:rsidR="00B77450" w:rsidRPr="00DF4CE5" w:rsidRDefault="00B77450" w:rsidP="00891E8C">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t>Filozofija odgoja, Sociologija odgoja i obrazovanja, Psihologija učenja i nastave, Psihologija komuniciranja, Pedagogija, Opća pedagogija, Didaktika, Opća didaktika, metodike nastave predmeta, Radionička nastava</w:t>
            </w:r>
          </w:p>
        </w:tc>
      </w:tr>
      <w:tr w:rsidR="00B77450" w:rsidRPr="00D0399C" w14:paraId="62037D57" w14:textId="77777777" w:rsidTr="00891E8C">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93927DA" w14:textId="77777777" w:rsidR="00B77450" w:rsidRPr="00DF4CE5" w:rsidRDefault="00B77450" w:rsidP="00891E8C">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t xml:space="preserve">Cilj kolegija </w:t>
            </w:r>
          </w:p>
        </w:tc>
        <w:tc>
          <w:tcPr>
            <w:tcW w:w="671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0BA9C1B" w14:textId="77777777" w:rsidR="00B77450" w:rsidRPr="00DF4CE5" w:rsidRDefault="00B77450" w:rsidP="00891E8C">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t xml:space="preserve">usvojiti potrebne kompetencije za građansko djelovanje i poučavanje temeljeno na načelima ljudskih prava, nediskriminacije, kulturnog pluralizma i vladavine prava u sklopu cjeloživotnog učenja </w:t>
            </w:r>
          </w:p>
        </w:tc>
      </w:tr>
      <w:tr w:rsidR="00B77450" w:rsidRPr="00D0399C" w14:paraId="71954BDC" w14:textId="77777777" w:rsidTr="00891E8C">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AEC6206" w14:textId="77777777" w:rsidR="00B77450" w:rsidRPr="00DF4CE5" w:rsidRDefault="00B77450" w:rsidP="00891E8C">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t>Ishodi učenja</w:t>
            </w:r>
          </w:p>
        </w:tc>
        <w:tc>
          <w:tcPr>
            <w:tcW w:w="671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9795DD8" w14:textId="77777777" w:rsidR="00B77450" w:rsidRPr="00DF4CE5" w:rsidRDefault="00B77450" w:rsidP="00A675B4">
            <w:pPr>
              <w:spacing w:after="0" w:line="240" w:lineRule="atLeast"/>
              <w:rPr>
                <w:rFonts w:ascii="Cambria" w:eastAsia="Calibri" w:hAnsi="Cambria" w:cs="Times New Roman"/>
                <w:lang w:val="hr-HR"/>
              </w:rPr>
            </w:pPr>
            <w:r w:rsidRPr="00DF4CE5">
              <w:rPr>
                <w:rFonts w:ascii="Cambria" w:eastAsia="Calibri" w:hAnsi="Cambria" w:cs="Times New Roman"/>
                <w:lang w:val="hr-HR"/>
              </w:rPr>
              <w:t xml:space="preserve">1. upotrijebiti temeljne pojmove iz područja demokracije, vladavine prava, ljudskih prava  te kulture i međukulturalnih odnosa u aktivnostima  </w:t>
            </w:r>
          </w:p>
          <w:p w14:paraId="6011DCE4" w14:textId="77777777" w:rsidR="00B77450" w:rsidRPr="00DF4CE5" w:rsidRDefault="00B77450" w:rsidP="00A675B4">
            <w:pPr>
              <w:spacing w:after="0" w:line="240" w:lineRule="atLeast"/>
              <w:rPr>
                <w:rFonts w:ascii="Cambria" w:eastAsia="Calibri" w:hAnsi="Cambria" w:cs="Times New Roman"/>
                <w:lang w:val="hr-HR"/>
              </w:rPr>
            </w:pPr>
            <w:r w:rsidRPr="00DF4CE5">
              <w:rPr>
                <w:rFonts w:ascii="Cambria" w:eastAsia="Calibri" w:hAnsi="Cambria" w:cs="Times New Roman"/>
                <w:lang w:val="hr-HR"/>
              </w:rPr>
              <w:t>2. kritički analizirati bitna obilježja ljudskih prava te najznačajnije generacije ljudskih prava</w:t>
            </w:r>
          </w:p>
          <w:p w14:paraId="2854043A" w14:textId="77777777" w:rsidR="00B77450" w:rsidRPr="00DF4CE5" w:rsidRDefault="00B77450" w:rsidP="00A675B4">
            <w:pPr>
              <w:spacing w:after="0" w:line="240" w:lineRule="atLeast"/>
              <w:rPr>
                <w:rFonts w:ascii="Cambria" w:eastAsia="Calibri" w:hAnsi="Cambria" w:cs="Times New Roman"/>
                <w:lang w:val="hr-HR"/>
              </w:rPr>
            </w:pPr>
            <w:r w:rsidRPr="00DF4CE5">
              <w:rPr>
                <w:rFonts w:ascii="Cambria" w:eastAsia="Calibri" w:hAnsi="Cambria" w:cs="Times New Roman"/>
                <w:lang w:val="hr-HR"/>
              </w:rPr>
              <w:t>3. objasniti važnost i međusobnu uvjetovanost europskog i hrvatskog konteksta za razvoj aktivnog/odgovornog/demokratskog građanstva kao i temeljne hrvatske i europske dokumente iz područja ljudskih prava i odgoja i obrazovanja za građanstvo</w:t>
            </w:r>
          </w:p>
          <w:p w14:paraId="3A32E00A" w14:textId="77777777" w:rsidR="00B77450" w:rsidRPr="00DF4CE5" w:rsidRDefault="00B77450" w:rsidP="00A675B4">
            <w:pPr>
              <w:spacing w:after="0" w:line="240" w:lineRule="atLeast"/>
              <w:rPr>
                <w:rFonts w:ascii="Cambria" w:eastAsia="Calibri" w:hAnsi="Cambria" w:cs="Times New Roman"/>
                <w:lang w:val="hr-HR"/>
              </w:rPr>
            </w:pPr>
            <w:r w:rsidRPr="00DF4CE5">
              <w:rPr>
                <w:rFonts w:ascii="Cambria" w:eastAsia="Calibri" w:hAnsi="Cambria" w:cs="Times New Roman"/>
                <w:lang w:val="hr-HR"/>
              </w:rPr>
              <w:t xml:space="preserve">4. analizirati temeljne elemente (cilj, svrhu, ishode, strukturu) kurikuluma građanskog odgoja i obrazovanja </w:t>
            </w:r>
          </w:p>
          <w:p w14:paraId="4CC9B799" w14:textId="77777777" w:rsidR="00B77450" w:rsidRPr="00DF4CE5" w:rsidRDefault="00B77450" w:rsidP="00891E8C">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t xml:space="preserve">5. provesti radionicu iz odgoja i obrazovanja za ljudska prava </w:t>
            </w:r>
          </w:p>
        </w:tc>
      </w:tr>
      <w:tr w:rsidR="00B77450" w:rsidRPr="00DF4CE5" w14:paraId="15FA36F0" w14:textId="77777777" w:rsidTr="00891E8C">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078C2A9D" w14:textId="77777777" w:rsidR="00B77450" w:rsidRPr="00DF4CE5" w:rsidRDefault="00B77450" w:rsidP="00891E8C">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t>Sadržaj kolegija</w:t>
            </w:r>
          </w:p>
        </w:tc>
        <w:tc>
          <w:tcPr>
            <w:tcW w:w="6717"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74B8DE5" w14:textId="77777777" w:rsidR="00B77450" w:rsidRPr="00DF4CE5" w:rsidRDefault="00B77450" w:rsidP="00891E8C">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t>1. Uvod u ljudska prava.</w:t>
            </w:r>
          </w:p>
          <w:p w14:paraId="188F6143" w14:textId="77777777" w:rsidR="00B77450" w:rsidRPr="00DF4CE5" w:rsidRDefault="00B77450" w:rsidP="00891E8C">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t>2. Bitna obilježja, područja i generacije ljudskih prava.</w:t>
            </w:r>
          </w:p>
          <w:p w14:paraId="4F92FD5D" w14:textId="77777777" w:rsidR="00B77450" w:rsidRPr="00DF4CE5" w:rsidRDefault="00B77450" w:rsidP="00891E8C">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lastRenderedPageBreak/>
              <w:t>3. Potreba i načini političkoga i društvenoga sudjelovanja građana u demokratskom društvu.</w:t>
            </w:r>
          </w:p>
          <w:p w14:paraId="550EB133" w14:textId="77777777" w:rsidR="00B77450" w:rsidRPr="00DF4CE5" w:rsidRDefault="00B77450" w:rsidP="00891E8C">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t>4. Struktura i funkcije građanskoga društva.</w:t>
            </w:r>
          </w:p>
          <w:p w14:paraId="2FB0D841" w14:textId="77777777" w:rsidR="00B77450" w:rsidRPr="00DF4CE5" w:rsidRDefault="00B77450" w:rsidP="00891E8C">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t>5. Odgoj i obrazovanje za ljudska prava i druga srodna područja.</w:t>
            </w:r>
          </w:p>
          <w:p w14:paraId="2E651094" w14:textId="77777777" w:rsidR="00B77450" w:rsidRPr="00DF4CE5" w:rsidRDefault="00B77450" w:rsidP="00891E8C">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t xml:space="preserve">6. Građanski odgoj i obrazovanje. </w:t>
            </w:r>
          </w:p>
          <w:p w14:paraId="7639C4DF" w14:textId="77777777" w:rsidR="00B77450" w:rsidRPr="00DF4CE5" w:rsidRDefault="00B77450" w:rsidP="00891E8C">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t>7. Razvoj međunarodnih smjernica i programa u odgoju i obrazovanju za ljudska prava.</w:t>
            </w:r>
          </w:p>
          <w:p w14:paraId="21428750" w14:textId="77777777" w:rsidR="00B77450" w:rsidRPr="00DF4CE5" w:rsidRDefault="00B77450" w:rsidP="00891E8C">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t>8. Kompetencije dionika u odgoju i obrazovanju za ljudska prava.</w:t>
            </w:r>
          </w:p>
          <w:p w14:paraId="104DDBE9" w14:textId="77777777" w:rsidR="00B77450" w:rsidRPr="00DF4CE5" w:rsidRDefault="00B77450" w:rsidP="00891E8C">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t>9. Struktura i provedba radionice.</w:t>
            </w:r>
          </w:p>
        </w:tc>
      </w:tr>
      <w:tr w:rsidR="00B77450" w:rsidRPr="00DF4CE5" w14:paraId="4485A9FF" w14:textId="77777777" w:rsidTr="00891E8C">
        <w:tc>
          <w:tcPr>
            <w:tcW w:w="2623" w:type="dxa"/>
            <w:vMerge w:val="restart"/>
            <w:tcBorders>
              <w:top w:val="single" w:sz="8" w:space="0" w:color="000000"/>
              <w:left w:val="single" w:sz="8" w:space="0" w:color="000000"/>
              <w:right w:val="single" w:sz="8" w:space="0" w:color="000000"/>
            </w:tcBorders>
            <w:shd w:val="clear" w:color="auto" w:fill="F2F2F2"/>
            <w:tcMar>
              <w:top w:w="15" w:type="dxa"/>
              <w:left w:w="108" w:type="dxa"/>
              <w:bottom w:w="0" w:type="dxa"/>
              <w:right w:w="108" w:type="dxa"/>
            </w:tcMar>
            <w:vAlign w:val="center"/>
            <w:hideMark/>
          </w:tcPr>
          <w:p w14:paraId="3B1A5EFE" w14:textId="77777777" w:rsidR="00B77450" w:rsidRPr="00DF4CE5" w:rsidRDefault="00B77450" w:rsidP="00891E8C">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lastRenderedPageBreak/>
              <w:t>Planirane aktivnosti</w:t>
            </w:r>
            <w:r w:rsidRPr="00DF4CE5">
              <w:rPr>
                <w:rFonts w:ascii="Cambria" w:eastAsia="Calibri" w:hAnsi="Cambria" w:cs="Times New Roman"/>
                <w:lang w:val="it-IT"/>
              </w:rPr>
              <w:t>,</w:t>
            </w:r>
          </w:p>
          <w:p w14:paraId="7DBB0CE3" w14:textId="77777777" w:rsidR="00B77450" w:rsidRPr="00DF4CE5" w:rsidRDefault="00B77450" w:rsidP="00891E8C">
            <w:pPr>
              <w:spacing w:after="0" w:line="240" w:lineRule="atLeast"/>
              <w:jc w:val="both"/>
              <w:rPr>
                <w:rFonts w:ascii="Cambria" w:eastAsia="Calibri" w:hAnsi="Cambria" w:cs="Times New Roman"/>
                <w:lang w:val="hr-HR"/>
              </w:rPr>
            </w:pPr>
            <w:proofErr w:type="spellStart"/>
            <w:r w:rsidRPr="00DF4CE5">
              <w:rPr>
                <w:rFonts w:ascii="Cambria" w:eastAsia="Calibri" w:hAnsi="Cambria" w:cs="Times New Roman"/>
                <w:lang w:val="it-IT"/>
              </w:rPr>
              <w:t>metode</w:t>
            </w:r>
            <w:proofErr w:type="spellEnd"/>
            <w:r w:rsidRPr="00DF4CE5">
              <w:rPr>
                <w:rFonts w:ascii="Cambria" w:eastAsia="Calibri" w:hAnsi="Cambria" w:cs="Times New Roman"/>
                <w:lang w:val="it-IT"/>
              </w:rPr>
              <w:t xml:space="preserve"> </w:t>
            </w:r>
            <w:r w:rsidRPr="00DF4CE5">
              <w:rPr>
                <w:rFonts w:ascii="Cambria" w:eastAsia="Calibri" w:hAnsi="Cambria" w:cs="Times New Roman"/>
                <w:lang w:val="hr-HR"/>
              </w:rPr>
              <w:t>učenja i poučavanja i načini vrednovanja</w:t>
            </w:r>
          </w:p>
          <w:p w14:paraId="0BEA5FC6" w14:textId="77777777" w:rsidR="00B77450" w:rsidRPr="00DF4CE5" w:rsidRDefault="00B77450" w:rsidP="00891E8C">
            <w:pPr>
              <w:spacing w:after="0" w:line="240" w:lineRule="atLeast"/>
              <w:jc w:val="both"/>
              <w:rPr>
                <w:rFonts w:ascii="Cambria" w:eastAsia="Calibri" w:hAnsi="Cambria" w:cs="Times New Roman"/>
                <w:lang w:val="hr-HR"/>
              </w:rPr>
            </w:pPr>
          </w:p>
        </w:tc>
        <w:tc>
          <w:tcPr>
            <w:tcW w:w="258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968D36C" w14:textId="77777777" w:rsidR="00B77450" w:rsidRPr="00DF4CE5" w:rsidRDefault="00B77450" w:rsidP="00891E8C">
            <w:pPr>
              <w:spacing w:after="0" w:line="240" w:lineRule="atLeast"/>
              <w:jc w:val="both"/>
              <w:rPr>
                <w:rFonts w:ascii="Cambria" w:eastAsia="Calibri" w:hAnsi="Cambria" w:cs="Times New Roman"/>
                <w:lang w:val="hr-HR"/>
              </w:rPr>
            </w:pPr>
            <w:r w:rsidRPr="00DF4CE5">
              <w:rPr>
                <w:rFonts w:ascii="Cambria" w:eastAsia="Calibri" w:hAnsi="Cambria" w:cs="Times New Roman"/>
                <w:bCs/>
                <w:lang w:val="hr-HR"/>
              </w:rPr>
              <w:t>Obveze</w:t>
            </w:r>
          </w:p>
        </w:tc>
        <w:tc>
          <w:tcPr>
            <w:tcW w:w="10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5839B52" w14:textId="77777777" w:rsidR="00B77450" w:rsidRPr="00DF4CE5" w:rsidRDefault="00B77450" w:rsidP="00891E8C">
            <w:pPr>
              <w:spacing w:after="0" w:line="240" w:lineRule="atLeast"/>
              <w:jc w:val="both"/>
              <w:rPr>
                <w:rFonts w:ascii="Cambria" w:eastAsia="Calibri" w:hAnsi="Cambria" w:cs="Times New Roman"/>
                <w:lang w:val="hr-HR"/>
              </w:rPr>
            </w:pPr>
            <w:r w:rsidRPr="00DF4CE5">
              <w:rPr>
                <w:rFonts w:ascii="Cambria" w:eastAsia="Calibri" w:hAnsi="Cambria" w:cs="Times New Roman"/>
                <w:bCs/>
                <w:lang w:val="hr-HR"/>
              </w:rPr>
              <w:t>Ishodi</w:t>
            </w:r>
          </w:p>
        </w:tc>
        <w:tc>
          <w:tcPr>
            <w:tcW w:w="71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4EA5E66" w14:textId="77777777" w:rsidR="00B77450" w:rsidRPr="00DF4CE5" w:rsidRDefault="00B77450" w:rsidP="00891E8C">
            <w:pPr>
              <w:spacing w:after="0" w:line="240" w:lineRule="atLeast"/>
              <w:jc w:val="both"/>
              <w:rPr>
                <w:rFonts w:ascii="Cambria" w:eastAsia="Calibri" w:hAnsi="Cambria" w:cs="Times New Roman"/>
                <w:lang w:val="hr-HR"/>
              </w:rPr>
            </w:pPr>
            <w:r w:rsidRPr="00DF4CE5">
              <w:rPr>
                <w:rFonts w:ascii="Cambria" w:eastAsia="Calibri" w:hAnsi="Cambria" w:cs="Times New Roman"/>
                <w:bCs/>
                <w:lang w:val="hr-HR"/>
              </w:rPr>
              <w:t>Sati</w:t>
            </w:r>
          </w:p>
        </w:tc>
        <w:tc>
          <w:tcPr>
            <w:tcW w:w="101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E343F14" w14:textId="77777777" w:rsidR="00B77450" w:rsidRPr="00DF4CE5" w:rsidRDefault="00B77450" w:rsidP="00891E8C">
            <w:pPr>
              <w:spacing w:after="0" w:line="240" w:lineRule="atLeast"/>
              <w:jc w:val="both"/>
              <w:rPr>
                <w:rFonts w:ascii="Cambria" w:eastAsia="Calibri" w:hAnsi="Cambria" w:cs="Times New Roman"/>
                <w:lang w:val="hr-HR"/>
              </w:rPr>
            </w:pPr>
            <w:r w:rsidRPr="00DF4CE5">
              <w:rPr>
                <w:rFonts w:ascii="Cambria" w:eastAsia="Calibri" w:hAnsi="Cambria" w:cs="Times New Roman"/>
                <w:bCs/>
                <w:lang w:val="hr-HR"/>
              </w:rPr>
              <w:t>ECTS</w:t>
            </w:r>
          </w:p>
        </w:tc>
        <w:tc>
          <w:tcPr>
            <w:tcW w:w="131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564BBCE" w14:textId="77777777" w:rsidR="00B77450" w:rsidRPr="00DF4CE5" w:rsidRDefault="00B77450" w:rsidP="00A675B4">
            <w:pPr>
              <w:spacing w:after="0" w:line="240" w:lineRule="atLeast"/>
              <w:rPr>
                <w:rFonts w:ascii="Cambria" w:eastAsia="Calibri" w:hAnsi="Cambria" w:cs="Times New Roman"/>
                <w:lang w:val="hr-HR"/>
              </w:rPr>
            </w:pPr>
            <w:r w:rsidRPr="00DF4CE5">
              <w:rPr>
                <w:rFonts w:ascii="Cambria" w:eastAsia="Calibri" w:hAnsi="Cambria" w:cs="Times New Roman"/>
                <w:bCs/>
                <w:lang w:val="hr-HR"/>
              </w:rPr>
              <w:t>Maksimalni udio u ocjeni</w:t>
            </w:r>
            <w:r w:rsidRPr="00DF4CE5">
              <w:rPr>
                <w:rFonts w:ascii="Cambria" w:eastAsia="Calibri" w:hAnsi="Cambria" w:cs="Times New Roman"/>
                <w:bCs/>
              </w:rPr>
              <w:t xml:space="preserve"> (%)</w:t>
            </w:r>
          </w:p>
        </w:tc>
      </w:tr>
      <w:tr w:rsidR="00B77450" w:rsidRPr="00DF4CE5" w14:paraId="5A0B4236" w14:textId="77777777" w:rsidTr="00891E8C">
        <w:tc>
          <w:tcPr>
            <w:tcW w:w="2623" w:type="dxa"/>
            <w:vMerge/>
            <w:tcBorders>
              <w:left w:val="single" w:sz="8" w:space="0" w:color="000000"/>
              <w:right w:val="single" w:sz="8" w:space="0" w:color="000000"/>
            </w:tcBorders>
            <w:shd w:val="clear" w:color="auto" w:fill="F2F2F2"/>
            <w:vAlign w:val="center"/>
            <w:hideMark/>
          </w:tcPr>
          <w:p w14:paraId="56D78582" w14:textId="77777777" w:rsidR="00B77450" w:rsidRPr="00DF4CE5" w:rsidRDefault="00B77450" w:rsidP="00891E8C">
            <w:pPr>
              <w:spacing w:after="0" w:line="240" w:lineRule="atLeast"/>
              <w:jc w:val="both"/>
              <w:rPr>
                <w:rFonts w:ascii="Cambria" w:eastAsia="Calibri" w:hAnsi="Cambria" w:cs="Times New Roman"/>
                <w:lang w:val="hr-HR"/>
              </w:rPr>
            </w:pPr>
          </w:p>
        </w:tc>
        <w:tc>
          <w:tcPr>
            <w:tcW w:w="258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529BF52" w14:textId="77777777" w:rsidR="00B77450" w:rsidRPr="00DF4CE5" w:rsidRDefault="00B77450" w:rsidP="00A675B4">
            <w:pPr>
              <w:spacing w:after="0" w:line="240" w:lineRule="atLeast"/>
              <w:rPr>
                <w:rFonts w:ascii="Cambria" w:eastAsia="Calibri" w:hAnsi="Cambria" w:cs="Times New Roman"/>
                <w:lang w:val="hr-HR"/>
              </w:rPr>
            </w:pPr>
            <w:proofErr w:type="spellStart"/>
            <w:r w:rsidRPr="00DF4CE5">
              <w:rPr>
                <w:rFonts w:ascii="Cambria" w:eastAsia="Calibri" w:hAnsi="Cambria" w:cs="Times New Roman"/>
              </w:rPr>
              <w:t>interaktivne</w:t>
            </w:r>
            <w:proofErr w:type="spellEnd"/>
            <w:r w:rsidRPr="00DF4CE5">
              <w:rPr>
                <w:rFonts w:ascii="Cambria" w:eastAsia="Calibri" w:hAnsi="Cambria" w:cs="Times New Roman"/>
              </w:rPr>
              <w:t xml:space="preserve"> </w:t>
            </w:r>
            <w:proofErr w:type="spellStart"/>
            <w:r w:rsidRPr="00DF4CE5">
              <w:rPr>
                <w:rFonts w:ascii="Cambria" w:eastAsia="Calibri" w:hAnsi="Cambria" w:cs="Times New Roman"/>
              </w:rPr>
              <w:t>aktivnosti</w:t>
            </w:r>
            <w:proofErr w:type="spellEnd"/>
            <w:r w:rsidRPr="00DF4CE5">
              <w:rPr>
                <w:rFonts w:ascii="Cambria" w:eastAsia="Calibri" w:hAnsi="Cambria" w:cs="Times New Roman"/>
              </w:rPr>
              <w:t xml:space="preserve"> </w:t>
            </w:r>
            <w:proofErr w:type="spellStart"/>
            <w:r w:rsidRPr="00DF4CE5">
              <w:rPr>
                <w:rFonts w:ascii="Cambria" w:eastAsia="Calibri" w:hAnsi="Cambria" w:cs="Times New Roman"/>
              </w:rPr>
              <w:t>na</w:t>
            </w:r>
            <w:proofErr w:type="spellEnd"/>
            <w:r w:rsidRPr="00DF4CE5">
              <w:rPr>
                <w:rFonts w:ascii="Cambria" w:eastAsia="Calibri" w:hAnsi="Cambria" w:cs="Times New Roman"/>
              </w:rPr>
              <w:t xml:space="preserve"> </w:t>
            </w:r>
            <w:proofErr w:type="spellStart"/>
            <w:r w:rsidRPr="00DF4CE5">
              <w:rPr>
                <w:rFonts w:ascii="Cambria" w:eastAsia="Calibri" w:hAnsi="Cambria" w:cs="Times New Roman"/>
              </w:rPr>
              <w:t>nastavi</w:t>
            </w:r>
            <w:proofErr w:type="spellEnd"/>
          </w:p>
        </w:tc>
        <w:tc>
          <w:tcPr>
            <w:tcW w:w="10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D9D6044" w14:textId="77777777" w:rsidR="00B77450" w:rsidRPr="00DF4CE5" w:rsidRDefault="00B77450" w:rsidP="00A675B4">
            <w:pPr>
              <w:spacing w:after="0" w:line="240" w:lineRule="atLeast"/>
              <w:jc w:val="center"/>
              <w:rPr>
                <w:rFonts w:ascii="Cambria" w:eastAsia="Calibri" w:hAnsi="Cambria" w:cs="Times New Roman"/>
                <w:lang w:val="hr-HR"/>
              </w:rPr>
            </w:pPr>
            <w:r w:rsidRPr="00DF4CE5">
              <w:rPr>
                <w:rFonts w:ascii="Cambria" w:eastAsia="Calibri" w:hAnsi="Cambria" w:cs="Times New Roman"/>
                <w:lang w:val="hr-HR"/>
              </w:rPr>
              <w:t>1. – 5.</w:t>
            </w:r>
          </w:p>
        </w:tc>
        <w:tc>
          <w:tcPr>
            <w:tcW w:w="71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982E260" w14:textId="3AECBD37" w:rsidR="00B77450" w:rsidRPr="00DF4CE5" w:rsidRDefault="00B77450" w:rsidP="00A675B4">
            <w:pPr>
              <w:spacing w:after="0" w:line="240" w:lineRule="atLeast"/>
              <w:jc w:val="center"/>
              <w:rPr>
                <w:rFonts w:ascii="Cambria" w:eastAsia="Calibri" w:hAnsi="Cambria" w:cs="Times New Roman"/>
                <w:lang w:val="hr-HR"/>
              </w:rPr>
            </w:pPr>
            <w:r w:rsidRPr="00DF4CE5">
              <w:rPr>
                <w:rFonts w:ascii="Cambria" w:eastAsia="Calibri" w:hAnsi="Cambria" w:cs="Times New Roman"/>
                <w:lang w:val="hr-HR"/>
              </w:rPr>
              <w:t>2</w:t>
            </w:r>
            <w:r w:rsidR="00AF0D71">
              <w:rPr>
                <w:rFonts w:ascii="Cambria" w:eastAsia="Calibri" w:hAnsi="Cambria" w:cs="Times New Roman"/>
                <w:lang w:val="hr-HR"/>
              </w:rPr>
              <w:t>3</w:t>
            </w:r>
          </w:p>
        </w:tc>
        <w:tc>
          <w:tcPr>
            <w:tcW w:w="101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D335644" w14:textId="77777777" w:rsidR="00B77450" w:rsidRPr="00DF4CE5" w:rsidRDefault="00B77450" w:rsidP="00A675B4">
            <w:pPr>
              <w:spacing w:after="0" w:line="240" w:lineRule="atLeast"/>
              <w:jc w:val="center"/>
              <w:rPr>
                <w:rFonts w:ascii="Cambria" w:eastAsia="Calibri" w:hAnsi="Cambria" w:cs="Times New Roman"/>
                <w:lang w:val="hr-HR"/>
              </w:rPr>
            </w:pPr>
            <w:r w:rsidRPr="00DF4CE5">
              <w:rPr>
                <w:rFonts w:ascii="Cambria" w:eastAsia="Calibri" w:hAnsi="Cambria" w:cs="Times New Roman"/>
                <w:lang w:val="hr-HR"/>
              </w:rPr>
              <w:t>0,8</w:t>
            </w:r>
          </w:p>
        </w:tc>
        <w:tc>
          <w:tcPr>
            <w:tcW w:w="131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5813CED" w14:textId="77777777" w:rsidR="00B77450" w:rsidRPr="00DF4CE5" w:rsidRDefault="00B77450" w:rsidP="00A675B4">
            <w:pPr>
              <w:spacing w:after="0" w:line="240" w:lineRule="atLeast"/>
              <w:jc w:val="center"/>
              <w:rPr>
                <w:rFonts w:ascii="Cambria" w:eastAsia="Calibri" w:hAnsi="Cambria" w:cs="Times New Roman"/>
                <w:lang w:val="hr-HR"/>
              </w:rPr>
            </w:pPr>
            <w:r w:rsidRPr="00DF4CE5">
              <w:rPr>
                <w:rFonts w:ascii="Cambria" w:eastAsia="Calibri" w:hAnsi="Cambria" w:cs="Times New Roman"/>
                <w:lang w:val="hr-HR"/>
              </w:rPr>
              <w:t>0%</w:t>
            </w:r>
          </w:p>
        </w:tc>
      </w:tr>
      <w:tr w:rsidR="00B77450" w:rsidRPr="00DF4CE5" w14:paraId="1D4360B3" w14:textId="77777777" w:rsidTr="00891E8C">
        <w:tc>
          <w:tcPr>
            <w:tcW w:w="2623" w:type="dxa"/>
            <w:vMerge/>
            <w:tcBorders>
              <w:left w:val="single" w:sz="8" w:space="0" w:color="000000"/>
              <w:right w:val="single" w:sz="8" w:space="0" w:color="000000"/>
            </w:tcBorders>
            <w:shd w:val="clear" w:color="auto" w:fill="F2F2F2"/>
            <w:vAlign w:val="center"/>
            <w:hideMark/>
          </w:tcPr>
          <w:p w14:paraId="7CF803F4" w14:textId="77777777" w:rsidR="00B77450" w:rsidRPr="00DF4CE5" w:rsidRDefault="00B77450" w:rsidP="00891E8C">
            <w:pPr>
              <w:spacing w:after="0" w:line="240" w:lineRule="atLeast"/>
              <w:jc w:val="both"/>
              <w:rPr>
                <w:rFonts w:ascii="Cambria" w:eastAsia="Calibri" w:hAnsi="Cambria" w:cs="Times New Roman"/>
                <w:lang w:val="hr-HR"/>
              </w:rPr>
            </w:pPr>
          </w:p>
        </w:tc>
        <w:tc>
          <w:tcPr>
            <w:tcW w:w="258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1BCAEE3" w14:textId="682D8B8C" w:rsidR="00B77450" w:rsidRPr="00DF4CE5" w:rsidRDefault="00B77450" w:rsidP="00A675B4">
            <w:pPr>
              <w:spacing w:after="0" w:line="240" w:lineRule="atLeast"/>
              <w:rPr>
                <w:rFonts w:ascii="Cambria" w:eastAsia="Calibri" w:hAnsi="Cambria" w:cs="Times New Roman"/>
                <w:lang w:val="hr-HR"/>
              </w:rPr>
            </w:pPr>
            <w:r w:rsidRPr="00DF4CE5">
              <w:rPr>
                <w:rFonts w:ascii="Cambria" w:eastAsia="Calibri" w:hAnsi="Cambria" w:cs="Times New Roman"/>
                <w:lang w:val="hr-HR"/>
              </w:rPr>
              <w:t>samostalni zadaci (istraživanje)</w:t>
            </w:r>
          </w:p>
        </w:tc>
        <w:tc>
          <w:tcPr>
            <w:tcW w:w="10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E8E0F0F" w14:textId="77777777" w:rsidR="00B77450" w:rsidRPr="00DF4CE5" w:rsidRDefault="00B77450" w:rsidP="00A675B4">
            <w:pPr>
              <w:spacing w:after="0" w:line="240" w:lineRule="atLeast"/>
              <w:jc w:val="center"/>
              <w:rPr>
                <w:rFonts w:ascii="Cambria" w:eastAsia="Calibri" w:hAnsi="Cambria" w:cs="Times New Roman"/>
                <w:lang w:val="hr-HR"/>
              </w:rPr>
            </w:pPr>
            <w:r w:rsidRPr="00DF4CE5">
              <w:rPr>
                <w:rFonts w:ascii="Cambria" w:eastAsia="Calibri" w:hAnsi="Cambria" w:cs="Times New Roman"/>
                <w:lang w:val="hr-HR"/>
              </w:rPr>
              <w:t>2., 3.</w:t>
            </w:r>
          </w:p>
        </w:tc>
        <w:tc>
          <w:tcPr>
            <w:tcW w:w="71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AE48F10" w14:textId="7BD9A8CC" w:rsidR="00B77450" w:rsidRPr="00DF4CE5" w:rsidRDefault="00B77450" w:rsidP="00A675B4">
            <w:pPr>
              <w:spacing w:after="0" w:line="240" w:lineRule="atLeast"/>
              <w:jc w:val="center"/>
              <w:rPr>
                <w:rFonts w:ascii="Cambria" w:eastAsia="Calibri" w:hAnsi="Cambria" w:cs="Times New Roman"/>
                <w:lang w:val="hr-HR"/>
              </w:rPr>
            </w:pPr>
            <w:r w:rsidRPr="00DF4CE5">
              <w:rPr>
                <w:rFonts w:ascii="Cambria" w:eastAsia="Calibri" w:hAnsi="Cambria" w:cs="Times New Roman"/>
                <w:lang w:val="hr-HR"/>
              </w:rPr>
              <w:t>3</w:t>
            </w:r>
            <w:r w:rsidR="00A675B4">
              <w:rPr>
                <w:rFonts w:ascii="Cambria" w:eastAsia="Calibri" w:hAnsi="Cambria" w:cs="Times New Roman"/>
                <w:lang w:val="hr-HR"/>
              </w:rPr>
              <w:t>7</w:t>
            </w:r>
          </w:p>
        </w:tc>
        <w:tc>
          <w:tcPr>
            <w:tcW w:w="101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D511FC4" w14:textId="77777777" w:rsidR="00B77450" w:rsidRPr="00DF4CE5" w:rsidRDefault="00B77450" w:rsidP="00A675B4">
            <w:pPr>
              <w:spacing w:after="0" w:line="240" w:lineRule="atLeast"/>
              <w:jc w:val="center"/>
              <w:rPr>
                <w:rFonts w:ascii="Cambria" w:eastAsia="Calibri" w:hAnsi="Cambria" w:cs="Times New Roman"/>
                <w:lang w:val="hr-HR"/>
              </w:rPr>
            </w:pPr>
            <w:r w:rsidRPr="00DF4CE5">
              <w:rPr>
                <w:rFonts w:ascii="Cambria" w:eastAsia="Calibri" w:hAnsi="Cambria" w:cs="Times New Roman"/>
                <w:lang w:val="hr-HR"/>
              </w:rPr>
              <w:t>1,2</w:t>
            </w:r>
          </w:p>
        </w:tc>
        <w:tc>
          <w:tcPr>
            <w:tcW w:w="131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C3CA2EE" w14:textId="77777777" w:rsidR="00B77450" w:rsidRPr="00DF4CE5" w:rsidRDefault="00B77450" w:rsidP="00A675B4">
            <w:pPr>
              <w:spacing w:after="0" w:line="240" w:lineRule="atLeast"/>
              <w:jc w:val="center"/>
              <w:rPr>
                <w:rFonts w:ascii="Cambria" w:eastAsia="Calibri" w:hAnsi="Cambria" w:cs="Times New Roman"/>
                <w:lang w:val="hr-HR"/>
              </w:rPr>
            </w:pPr>
            <w:r w:rsidRPr="00DF4CE5">
              <w:rPr>
                <w:rFonts w:ascii="Cambria" w:eastAsia="Calibri" w:hAnsi="Cambria" w:cs="Times New Roman"/>
                <w:lang w:val="hr-HR"/>
              </w:rPr>
              <w:t>50%</w:t>
            </w:r>
          </w:p>
        </w:tc>
      </w:tr>
      <w:tr w:rsidR="00B77450" w:rsidRPr="00DF4CE5" w14:paraId="68064A42" w14:textId="77777777" w:rsidTr="00891E8C">
        <w:tc>
          <w:tcPr>
            <w:tcW w:w="2623" w:type="dxa"/>
            <w:vMerge/>
            <w:tcBorders>
              <w:left w:val="single" w:sz="8" w:space="0" w:color="000000"/>
              <w:right w:val="single" w:sz="8" w:space="0" w:color="000000"/>
            </w:tcBorders>
            <w:shd w:val="clear" w:color="auto" w:fill="F2F2F2"/>
            <w:vAlign w:val="center"/>
            <w:hideMark/>
          </w:tcPr>
          <w:p w14:paraId="3CE17D82" w14:textId="77777777" w:rsidR="00B77450" w:rsidRPr="00DF4CE5" w:rsidRDefault="00B77450" w:rsidP="00891E8C">
            <w:pPr>
              <w:spacing w:after="0" w:line="240" w:lineRule="atLeast"/>
              <w:jc w:val="both"/>
              <w:rPr>
                <w:rFonts w:ascii="Cambria" w:eastAsia="Calibri" w:hAnsi="Cambria" w:cs="Times New Roman"/>
                <w:lang w:val="hr-HR"/>
              </w:rPr>
            </w:pPr>
          </w:p>
        </w:tc>
        <w:tc>
          <w:tcPr>
            <w:tcW w:w="258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198ACD5" w14:textId="77777777" w:rsidR="00B77450" w:rsidRPr="00DF4CE5" w:rsidRDefault="00B77450" w:rsidP="00891E8C">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t>ispit (pismeni)</w:t>
            </w:r>
          </w:p>
        </w:tc>
        <w:tc>
          <w:tcPr>
            <w:tcW w:w="10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92B4198" w14:textId="364F7A5D" w:rsidR="00B77450" w:rsidRPr="00DF4CE5" w:rsidRDefault="00B77450" w:rsidP="00A675B4">
            <w:pPr>
              <w:spacing w:after="0" w:line="240" w:lineRule="atLeast"/>
              <w:jc w:val="center"/>
              <w:rPr>
                <w:rFonts w:ascii="Cambria" w:eastAsia="Calibri" w:hAnsi="Cambria" w:cs="Times New Roman"/>
                <w:lang w:val="hr-HR"/>
              </w:rPr>
            </w:pPr>
            <w:r w:rsidRPr="00DF4CE5">
              <w:rPr>
                <w:rFonts w:ascii="Cambria" w:eastAsia="Calibri" w:hAnsi="Cambria" w:cs="Times New Roman"/>
                <w:lang w:val="hr-HR"/>
              </w:rPr>
              <w:t>1. – 5.</w:t>
            </w:r>
          </w:p>
        </w:tc>
        <w:tc>
          <w:tcPr>
            <w:tcW w:w="71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B80325F" w14:textId="77777777" w:rsidR="00B77450" w:rsidRPr="00DF4CE5" w:rsidRDefault="00B77450" w:rsidP="00A675B4">
            <w:pPr>
              <w:spacing w:after="0" w:line="240" w:lineRule="atLeast"/>
              <w:jc w:val="center"/>
              <w:rPr>
                <w:rFonts w:ascii="Cambria" w:eastAsia="Calibri" w:hAnsi="Cambria" w:cs="Times New Roman"/>
                <w:lang w:val="hr-HR"/>
              </w:rPr>
            </w:pPr>
            <w:r w:rsidRPr="00DF4CE5">
              <w:rPr>
                <w:rFonts w:ascii="Cambria" w:eastAsia="Calibri" w:hAnsi="Cambria" w:cs="Times New Roman"/>
                <w:lang w:val="hr-HR"/>
              </w:rPr>
              <w:t>30</w:t>
            </w:r>
          </w:p>
        </w:tc>
        <w:tc>
          <w:tcPr>
            <w:tcW w:w="101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0192B4C" w14:textId="77777777" w:rsidR="00B77450" w:rsidRPr="00DF4CE5" w:rsidRDefault="00B77450" w:rsidP="00A675B4">
            <w:pPr>
              <w:spacing w:after="0" w:line="240" w:lineRule="atLeast"/>
              <w:jc w:val="center"/>
              <w:rPr>
                <w:rFonts w:ascii="Cambria" w:eastAsia="Calibri" w:hAnsi="Cambria" w:cs="Times New Roman"/>
                <w:lang w:val="hr-HR"/>
              </w:rPr>
            </w:pPr>
            <w:r w:rsidRPr="00DF4CE5">
              <w:rPr>
                <w:rFonts w:ascii="Cambria" w:eastAsia="Calibri" w:hAnsi="Cambria" w:cs="Times New Roman"/>
                <w:lang w:val="hr-HR"/>
              </w:rPr>
              <w:t>1</w:t>
            </w:r>
          </w:p>
        </w:tc>
        <w:tc>
          <w:tcPr>
            <w:tcW w:w="131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09ED2B6" w14:textId="77777777" w:rsidR="00B77450" w:rsidRPr="00DF4CE5" w:rsidRDefault="00B77450" w:rsidP="00A675B4">
            <w:pPr>
              <w:spacing w:after="0" w:line="240" w:lineRule="atLeast"/>
              <w:jc w:val="center"/>
              <w:rPr>
                <w:rFonts w:ascii="Cambria" w:eastAsia="Calibri" w:hAnsi="Cambria" w:cs="Times New Roman"/>
                <w:lang w:val="hr-HR"/>
              </w:rPr>
            </w:pPr>
            <w:r w:rsidRPr="00DF4CE5">
              <w:rPr>
                <w:rFonts w:ascii="Cambria" w:eastAsia="Calibri" w:hAnsi="Cambria" w:cs="Times New Roman"/>
                <w:lang w:val="hr-HR"/>
              </w:rPr>
              <w:t>50%</w:t>
            </w:r>
          </w:p>
        </w:tc>
      </w:tr>
      <w:tr w:rsidR="00B77450" w:rsidRPr="00DF4CE5" w14:paraId="69AAA74A" w14:textId="77777777" w:rsidTr="00891E8C">
        <w:tc>
          <w:tcPr>
            <w:tcW w:w="2623" w:type="dxa"/>
            <w:vMerge/>
            <w:tcBorders>
              <w:left w:val="single" w:sz="8" w:space="0" w:color="000000"/>
              <w:right w:val="single" w:sz="8" w:space="0" w:color="000000"/>
            </w:tcBorders>
            <w:shd w:val="clear" w:color="auto" w:fill="F2F2F2"/>
            <w:vAlign w:val="center"/>
            <w:hideMark/>
          </w:tcPr>
          <w:p w14:paraId="545BC461" w14:textId="77777777" w:rsidR="00B77450" w:rsidRPr="00DF4CE5" w:rsidRDefault="00B77450" w:rsidP="00891E8C">
            <w:pPr>
              <w:spacing w:after="0" w:line="240" w:lineRule="atLeast"/>
              <w:jc w:val="both"/>
              <w:rPr>
                <w:rFonts w:ascii="Cambria" w:eastAsia="Calibri" w:hAnsi="Cambria" w:cs="Times New Roman"/>
                <w:lang w:val="hr-HR"/>
              </w:rPr>
            </w:pPr>
          </w:p>
        </w:tc>
        <w:tc>
          <w:tcPr>
            <w:tcW w:w="3673"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F89B2F3" w14:textId="77777777" w:rsidR="00B77450" w:rsidRPr="00DF4CE5" w:rsidRDefault="00B77450" w:rsidP="00891E8C">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t>ukupno</w:t>
            </w:r>
          </w:p>
        </w:tc>
        <w:tc>
          <w:tcPr>
            <w:tcW w:w="71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0A2FBD4" w14:textId="77777777" w:rsidR="00B77450" w:rsidRPr="00DF4CE5" w:rsidRDefault="00B77450" w:rsidP="00A675B4">
            <w:pPr>
              <w:spacing w:after="0" w:line="240" w:lineRule="atLeast"/>
              <w:jc w:val="center"/>
              <w:rPr>
                <w:rFonts w:ascii="Cambria" w:eastAsia="Calibri" w:hAnsi="Cambria" w:cs="Times New Roman"/>
                <w:lang w:val="hr-HR"/>
              </w:rPr>
            </w:pPr>
            <w:r w:rsidRPr="00DF4CE5">
              <w:rPr>
                <w:rFonts w:ascii="Cambria" w:eastAsia="Calibri" w:hAnsi="Cambria" w:cs="Times New Roman"/>
                <w:lang w:val="hr-HR"/>
              </w:rPr>
              <w:t>90</w:t>
            </w:r>
          </w:p>
        </w:tc>
        <w:tc>
          <w:tcPr>
            <w:tcW w:w="101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7A3CEE7" w14:textId="77777777" w:rsidR="00B77450" w:rsidRPr="00DF4CE5" w:rsidRDefault="00B77450" w:rsidP="00A675B4">
            <w:pPr>
              <w:spacing w:after="0" w:line="240" w:lineRule="atLeast"/>
              <w:jc w:val="center"/>
              <w:rPr>
                <w:rFonts w:ascii="Cambria" w:eastAsia="Calibri" w:hAnsi="Cambria" w:cs="Times New Roman"/>
                <w:lang w:val="hr-HR"/>
              </w:rPr>
            </w:pPr>
            <w:r w:rsidRPr="00DF4CE5">
              <w:rPr>
                <w:rFonts w:ascii="Cambria" w:eastAsia="Calibri" w:hAnsi="Cambria" w:cs="Times New Roman"/>
                <w:lang w:val="hr-HR"/>
              </w:rPr>
              <w:t>3</w:t>
            </w:r>
          </w:p>
        </w:tc>
        <w:tc>
          <w:tcPr>
            <w:tcW w:w="131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2455A6B" w14:textId="77777777" w:rsidR="00B77450" w:rsidRPr="00DF4CE5" w:rsidRDefault="00B77450" w:rsidP="00A675B4">
            <w:pPr>
              <w:spacing w:after="0" w:line="240" w:lineRule="atLeast"/>
              <w:jc w:val="center"/>
              <w:rPr>
                <w:rFonts w:ascii="Cambria" w:eastAsia="Calibri" w:hAnsi="Cambria" w:cs="Times New Roman"/>
                <w:lang w:val="hr-HR"/>
              </w:rPr>
            </w:pPr>
            <w:r w:rsidRPr="00DF4CE5">
              <w:rPr>
                <w:rFonts w:ascii="Cambria" w:eastAsia="Calibri" w:hAnsi="Cambria" w:cs="Times New Roman"/>
                <w:lang w:val="hr-HR"/>
              </w:rPr>
              <w:t>100%</w:t>
            </w:r>
          </w:p>
        </w:tc>
      </w:tr>
      <w:tr w:rsidR="00B77450" w:rsidRPr="00D0399C" w14:paraId="15AAD641" w14:textId="77777777" w:rsidTr="00891E8C">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2E0BBCA" w14:textId="77777777" w:rsidR="00B77450" w:rsidRPr="00DF4CE5" w:rsidRDefault="00B77450" w:rsidP="00891E8C">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t>Studentske obveze</w:t>
            </w:r>
          </w:p>
        </w:tc>
        <w:tc>
          <w:tcPr>
            <w:tcW w:w="671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2912288" w14:textId="77777777" w:rsidR="00B77450" w:rsidRPr="00DF4CE5" w:rsidRDefault="00B77450" w:rsidP="00891E8C">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t xml:space="preserve">Da položi kolegij, student/studentica mora: </w:t>
            </w:r>
          </w:p>
          <w:p w14:paraId="64E66F54" w14:textId="77777777" w:rsidR="00B77450" w:rsidRPr="00DF4CE5" w:rsidRDefault="00B77450" w:rsidP="00A675B4">
            <w:pPr>
              <w:spacing w:after="0" w:line="240" w:lineRule="atLeast"/>
              <w:rPr>
                <w:rFonts w:ascii="Cambria" w:eastAsia="Calibri" w:hAnsi="Cambria" w:cs="Times New Roman"/>
                <w:lang w:val="hr-HR"/>
              </w:rPr>
            </w:pPr>
            <w:r w:rsidRPr="00DF4CE5">
              <w:rPr>
                <w:rFonts w:ascii="Cambria" w:eastAsia="Calibri" w:hAnsi="Cambria" w:cs="Times New Roman"/>
                <w:lang w:val="hr-HR"/>
              </w:rPr>
              <w:t>1. aktivno sudjelovati u interaktivnim aktivnostima na nastavi</w:t>
            </w:r>
          </w:p>
          <w:p w14:paraId="7749E4FF" w14:textId="77777777" w:rsidR="00B77450" w:rsidRPr="00DF4CE5" w:rsidRDefault="00B77450" w:rsidP="00A675B4">
            <w:pPr>
              <w:spacing w:after="0" w:line="240" w:lineRule="atLeast"/>
              <w:rPr>
                <w:rFonts w:ascii="Cambria" w:eastAsia="Calibri" w:hAnsi="Cambria" w:cs="Times New Roman"/>
                <w:lang w:val="hr-HR"/>
              </w:rPr>
            </w:pPr>
            <w:r w:rsidRPr="00DF4CE5">
              <w:rPr>
                <w:rFonts w:ascii="Cambria" w:eastAsia="Calibri" w:hAnsi="Cambria" w:cs="Times New Roman"/>
                <w:lang w:val="hr-HR"/>
              </w:rPr>
              <w:t>(pedagoške radionice, vježbe i sl.)</w:t>
            </w:r>
          </w:p>
          <w:p w14:paraId="68E2F1A9" w14:textId="77777777" w:rsidR="00B77450" w:rsidRPr="00DF4CE5" w:rsidRDefault="00B77450" w:rsidP="00A675B4">
            <w:pPr>
              <w:spacing w:after="0" w:line="240" w:lineRule="atLeast"/>
              <w:rPr>
                <w:rFonts w:ascii="Cambria" w:eastAsia="Calibri" w:hAnsi="Cambria" w:cs="Times New Roman"/>
                <w:lang w:val="hr-HR"/>
              </w:rPr>
            </w:pPr>
            <w:r w:rsidRPr="00DF4CE5">
              <w:rPr>
                <w:rFonts w:ascii="Cambria" w:eastAsia="Calibri" w:hAnsi="Cambria" w:cs="Times New Roman"/>
                <w:lang w:val="hr-HR"/>
              </w:rPr>
              <w:t>2. obaviti samostalan zadatak prema uputama koje će studenti/studentice dobiti na nastavi i predati na temelju zadanog roka</w:t>
            </w:r>
          </w:p>
          <w:p w14:paraId="655DD74E" w14:textId="77777777" w:rsidR="00B77450" w:rsidRPr="00DF4CE5" w:rsidRDefault="00B77450" w:rsidP="00A675B4">
            <w:pPr>
              <w:spacing w:after="0" w:line="240" w:lineRule="atLeast"/>
              <w:rPr>
                <w:rFonts w:ascii="Cambria" w:eastAsia="Calibri" w:hAnsi="Cambria" w:cs="Times New Roman"/>
                <w:lang w:val="hr-HR"/>
              </w:rPr>
            </w:pPr>
            <w:r w:rsidRPr="00DF4CE5">
              <w:rPr>
                <w:rFonts w:ascii="Cambria" w:eastAsia="Calibri" w:hAnsi="Cambria" w:cs="Times New Roman"/>
                <w:lang w:val="hr-HR"/>
              </w:rPr>
              <w:t>3. osmisliti i provesti radionicu iz odgoja i obrazovanja za ljudska prava</w:t>
            </w:r>
          </w:p>
          <w:p w14:paraId="5C19AF4A" w14:textId="77777777" w:rsidR="00B77450" w:rsidRPr="00DF4CE5" w:rsidRDefault="00B77450" w:rsidP="00A675B4">
            <w:pPr>
              <w:spacing w:after="0" w:line="240" w:lineRule="atLeast"/>
              <w:rPr>
                <w:rFonts w:ascii="Cambria" w:eastAsia="Calibri" w:hAnsi="Cambria" w:cs="Times New Roman"/>
                <w:lang w:val="hr-HR"/>
              </w:rPr>
            </w:pPr>
            <w:r w:rsidRPr="00DF4CE5">
              <w:rPr>
                <w:rFonts w:ascii="Cambria" w:eastAsia="Calibri" w:hAnsi="Cambria" w:cs="Times New Roman"/>
                <w:lang w:val="hr-HR"/>
              </w:rPr>
              <w:t>4. položiti pismeni ispit.</w:t>
            </w:r>
          </w:p>
          <w:p w14:paraId="290DE8DB" w14:textId="55D6C33C" w:rsidR="00B77450" w:rsidRPr="00DF4CE5" w:rsidRDefault="00B77450" w:rsidP="00A675B4">
            <w:pPr>
              <w:spacing w:after="0" w:line="240" w:lineRule="atLeast"/>
              <w:rPr>
                <w:rFonts w:ascii="Cambria" w:eastAsia="Calibri" w:hAnsi="Cambria" w:cs="Times New Roman"/>
                <w:lang w:val="hr-HR"/>
              </w:rPr>
            </w:pPr>
            <w:r w:rsidRPr="00DF4CE5">
              <w:rPr>
                <w:rFonts w:ascii="Cambria" w:eastAsia="Calibri" w:hAnsi="Cambria" w:cs="Times New Roman"/>
                <w:lang w:val="hr-HR"/>
              </w:rPr>
              <w:t>Napomena (uz točku 1.): Student/studentica treba aktivno sudjelovati u</w:t>
            </w:r>
            <w:r w:rsidR="00A675B4">
              <w:rPr>
                <w:rFonts w:ascii="Cambria" w:eastAsia="Calibri" w:hAnsi="Cambria" w:cs="Times New Roman"/>
                <w:lang w:val="hr-HR"/>
              </w:rPr>
              <w:t xml:space="preserve"> </w:t>
            </w:r>
            <w:r w:rsidRPr="00DF4CE5">
              <w:rPr>
                <w:rFonts w:ascii="Cambria" w:eastAsia="Calibri" w:hAnsi="Cambria" w:cs="Times New Roman"/>
                <w:lang w:val="hr-HR"/>
              </w:rPr>
              <w:t>interaktivnim aktivnostima na nastavi predavanja i seminara najmanje</w:t>
            </w:r>
            <w:r w:rsidR="00A675B4">
              <w:rPr>
                <w:rFonts w:ascii="Cambria" w:eastAsia="Calibri" w:hAnsi="Cambria" w:cs="Times New Roman"/>
                <w:lang w:val="hr-HR"/>
              </w:rPr>
              <w:t xml:space="preserve"> </w:t>
            </w:r>
            <w:r w:rsidRPr="00DF4CE5">
              <w:rPr>
                <w:rFonts w:ascii="Cambria" w:eastAsia="Calibri" w:hAnsi="Cambria" w:cs="Times New Roman"/>
                <w:lang w:val="hr-HR"/>
              </w:rPr>
              <w:t>70%.</w:t>
            </w:r>
          </w:p>
        </w:tc>
      </w:tr>
      <w:tr w:rsidR="00B77450" w:rsidRPr="00D0399C" w14:paraId="32C7CDB8" w14:textId="77777777" w:rsidTr="00891E8C">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5EA3409" w14:textId="77777777" w:rsidR="00B77450" w:rsidRPr="00DF4CE5" w:rsidRDefault="00B77450" w:rsidP="00891E8C">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t>Rokovi ispita i kolokvija</w:t>
            </w:r>
          </w:p>
        </w:tc>
        <w:tc>
          <w:tcPr>
            <w:tcW w:w="671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4DB0E7F" w14:textId="77777777" w:rsidR="00B77450" w:rsidRPr="00DF4CE5" w:rsidRDefault="00B77450" w:rsidP="00891E8C">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t>Daju se na početku akademske godine, objavljuju se na mrežnim stranicama Sveučilišta i u ISVU.</w:t>
            </w:r>
          </w:p>
        </w:tc>
      </w:tr>
      <w:tr w:rsidR="00B77450" w:rsidRPr="00DF4CE5" w14:paraId="1DF9718D" w14:textId="77777777" w:rsidTr="00891E8C">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62BCC6F" w14:textId="77777777" w:rsidR="00B77450" w:rsidRPr="00DF4CE5" w:rsidRDefault="00B77450" w:rsidP="00891E8C">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t xml:space="preserve">Ostale važne činjenice </w:t>
            </w:r>
            <w:proofErr w:type="spellStart"/>
            <w:r w:rsidRPr="00DF4CE5">
              <w:rPr>
                <w:rFonts w:ascii="Cambria" w:eastAsia="Calibri" w:hAnsi="Cambria" w:cs="Times New Roman"/>
                <w:lang w:val="it-IT"/>
              </w:rPr>
              <w:t>vezane</w:t>
            </w:r>
            <w:proofErr w:type="spellEnd"/>
            <w:r w:rsidRPr="00DF4CE5">
              <w:rPr>
                <w:rFonts w:ascii="Cambria" w:eastAsia="Calibri" w:hAnsi="Cambria" w:cs="Times New Roman"/>
                <w:lang w:val="it-IT"/>
              </w:rPr>
              <w:t xml:space="preserve"> </w:t>
            </w:r>
            <w:proofErr w:type="spellStart"/>
            <w:r w:rsidRPr="00DF4CE5">
              <w:rPr>
                <w:rFonts w:ascii="Cambria" w:eastAsia="Calibri" w:hAnsi="Cambria" w:cs="Times New Roman"/>
                <w:lang w:val="it-IT"/>
              </w:rPr>
              <w:t>uz</w:t>
            </w:r>
            <w:proofErr w:type="spellEnd"/>
            <w:r w:rsidRPr="00DF4CE5">
              <w:rPr>
                <w:rFonts w:ascii="Cambria" w:eastAsia="Calibri" w:hAnsi="Cambria" w:cs="Times New Roman"/>
                <w:lang w:val="it-IT"/>
              </w:rPr>
              <w:t xml:space="preserve"> </w:t>
            </w:r>
            <w:proofErr w:type="spellStart"/>
            <w:r w:rsidRPr="00DF4CE5">
              <w:rPr>
                <w:rFonts w:ascii="Cambria" w:eastAsia="Calibri" w:hAnsi="Cambria" w:cs="Times New Roman"/>
                <w:lang w:val="it-IT"/>
              </w:rPr>
              <w:t>kolegij</w:t>
            </w:r>
            <w:proofErr w:type="spellEnd"/>
          </w:p>
        </w:tc>
        <w:tc>
          <w:tcPr>
            <w:tcW w:w="671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94E87D4" w14:textId="77777777" w:rsidR="00B77450" w:rsidRPr="00DF4CE5" w:rsidRDefault="00B77450" w:rsidP="00891E8C">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t>Materijali za predavanja i seminare objavljuju se na e-učenju.</w:t>
            </w:r>
          </w:p>
          <w:p w14:paraId="64BDB11F" w14:textId="77777777" w:rsidR="00B77450" w:rsidRPr="00DF4CE5" w:rsidRDefault="00B77450" w:rsidP="00891E8C">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t>U slučaju održavanja nastave na daljinu, moguće je odstupanje u:</w:t>
            </w:r>
          </w:p>
          <w:p w14:paraId="5C40DBAF" w14:textId="77777777" w:rsidR="00B77450" w:rsidRPr="00DF4CE5" w:rsidRDefault="00B77450" w:rsidP="00891E8C">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t>- mjestu izvođenja kolegija</w:t>
            </w:r>
          </w:p>
          <w:p w14:paraId="3F38B838" w14:textId="77777777" w:rsidR="00B77450" w:rsidRPr="00DF4CE5" w:rsidRDefault="00B77450" w:rsidP="00891E8C">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t>- provedbi aktivnosti, metodama tumačenja i poučavanja i načinima</w:t>
            </w:r>
          </w:p>
          <w:p w14:paraId="7E00088B" w14:textId="77777777" w:rsidR="00B77450" w:rsidRPr="00DF4CE5" w:rsidRDefault="00B77450" w:rsidP="00891E8C">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t>vrednovanja</w:t>
            </w:r>
          </w:p>
          <w:p w14:paraId="6254B248" w14:textId="77777777" w:rsidR="00B77450" w:rsidRPr="00DF4CE5" w:rsidRDefault="00B77450" w:rsidP="00891E8C">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t>- studentskim obvezama</w:t>
            </w:r>
          </w:p>
          <w:p w14:paraId="664862AC" w14:textId="77777777" w:rsidR="00B77450" w:rsidRPr="00DF4CE5" w:rsidRDefault="00B77450" w:rsidP="00891E8C">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t>- dostupnoj literaturi.</w:t>
            </w:r>
          </w:p>
          <w:p w14:paraId="01FE5D9E" w14:textId="77777777" w:rsidR="00B77450" w:rsidRPr="00DF4CE5" w:rsidRDefault="00B77450" w:rsidP="00891E8C">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t>O tome će nositeljice kolegija obavijestiti studente i studentice kad se nastava na daljinu počne održavati.</w:t>
            </w:r>
          </w:p>
          <w:p w14:paraId="165A36EA" w14:textId="77777777" w:rsidR="00B77450" w:rsidRPr="00DF4CE5" w:rsidRDefault="00B77450" w:rsidP="00891E8C">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t>Ishodi učenja ostaju nepromijenjeni.</w:t>
            </w:r>
          </w:p>
        </w:tc>
      </w:tr>
      <w:tr w:rsidR="00B77450" w:rsidRPr="00D0399C" w14:paraId="77904F28" w14:textId="77777777" w:rsidTr="00891E8C">
        <w:trPr>
          <w:trHeight w:val="770"/>
        </w:trPr>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585DDBB" w14:textId="77777777" w:rsidR="00B77450" w:rsidRPr="00DF4CE5" w:rsidRDefault="00B77450" w:rsidP="00891E8C">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t>Literatura</w:t>
            </w:r>
          </w:p>
        </w:tc>
        <w:tc>
          <w:tcPr>
            <w:tcW w:w="6717"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7B98088D" w14:textId="77777777" w:rsidR="00B77450" w:rsidRPr="00DF4CE5" w:rsidRDefault="00B77450" w:rsidP="00891E8C">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t>Obvezna:</w:t>
            </w:r>
          </w:p>
          <w:p w14:paraId="128CFD37" w14:textId="77777777" w:rsidR="00B77450" w:rsidRPr="00DF4CE5" w:rsidRDefault="00B77450" w:rsidP="00A675B4">
            <w:pPr>
              <w:spacing w:after="0" w:line="240" w:lineRule="atLeast"/>
              <w:rPr>
                <w:rFonts w:ascii="Cambria" w:eastAsia="Calibri" w:hAnsi="Cambria" w:cs="Times New Roman"/>
                <w:lang w:val="hr-HR"/>
              </w:rPr>
            </w:pPr>
            <w:r w:rsidRPr="00DF4CE5">
              <w:rPr>
                <w:rFonts w:ascii="Cambria" w:eastAsia="Calibri" w:hAnsi="Cambria" w:cs="Times New Roman"/>
                <w:lang w:val="hr-HR"/>
              </w:rPr>
              <w:t xml:space="preserve">1. Batarelo, I., </w:t>
            </w:r>
            <w:proofErr w:type="spellStart"/>
            <w:r w:rsidRPr="00DF4CE5">
              <w:rPr>
                <w:rFonts w:ascii="Cambria" w:eastAsia="Calibri" w:hAnsi="Cambria" w:cs="Times New Roman"/>
                <w:lang w:val="hr-HR"/>
              </w:rPr>
              <w:t>Čulig</w:t>
            </w:r>
            <w:proofErr w:type="spellEnd"/>
            <w:r w:rsidRPr="00DF4CE5">
              <w:rPr>
                <w:rFonts w:ascii="Cambria" w:eastAsia="Calibri" w:hAnsi="Cambria" w:cs="Times New Roman"/>
                <w:lang w:val="hr-HR"/>
              </w:rPr>
              <w:t xml:space="preserve">, B., Novak, J., </w:t>
            </w:r>
            <w:proofErr w:type="spellStart"/>
            <w:r w:rsidRPr="00DF4CE5">
              <w:rPr>
                <w:rFonts w:ascii="Cambria" w:eastAsia="Calibri" w:hAnsi="Cambria" w:cs="Times New Roman"/>
                <w:lang w:val="hr-HR"/>
              </w:rPr>
              <w:t>Reškovac</w:t>
            </w:r>
            <w:proofErr w:type="spellEnd"/>
            <w:r w:rsidRPr="00DF4CE5">
              <w:rPr>
                <w:rFonts w:ascii="Cambria" w:eastAsia="Calibri" w:hAnsi="Cambria" w:cs="Times New Roman"/>
                <w:lang w:val="hr-HR"/>
              </w:rPr>
              <w:t>, T., Spajić-</w:t>
            </w:r>
            <w:proofErr w:type="spellStart"/>
            <w:r w:rsidRPr="00DF4CE5">
              <w:rPr>
                <w:rFonts w:ascii="Cambria" w:eastAsia="Calibri" w:hAnsi="Cambria" w:cs="Times New Roman"/>
                <w:lang w:val="hr-HR"/>
              </w:rPr>
              <w:t>Vrkaš</w:t>
            </w:r>
            <w:proofErr w:type="spellEnd"/>
            <w:r w:rsidRPr="00DF4CE5">
              <w:rPr>
                <w:rFonts w:ascii="Cambria" w:eastAsia="Calibri" w:hAnsi="Cambria" w:cs="Times New Roman"/>
                <w:lang w:val="hr-HR"/>
              </w:rPr>
              <w:t xml:space="preserve">, V. (2010). Demokracija i ljudska prava u OŠ: Teorija i praksa. Zagreb: Centar za ljudska prava. Dostupno na: </w:t>
            </w:r>
            <w:r w:rsidRPr="00DF4CE5">
              <w:rPr>
                <w:rFonts w:ascii="Cambria" w:eastAsia="Calibri" w:hAnsi="Cambria" w:cs="Times New Roman"/>
                <w:lang w:val="hr-HR"/>
              </w:rPr>
              <w:lastRenderedPageBreak/>
              <w:t>https://zaklada.civilnodrustvo.hr/upload/File/hr/izdavastvo/digitalna_zbirka/dem_i_ludska_prava_u_os.pdf</w:t>
            </w:r>
          </w:p>
          <w:p w14:paraId="45DAE159" w14:textId="77777777" w:rsidR="00B77450" w:rsidRPr="00DF4CE5" w:rsidRDefault="00B77450" w:rsidP="00891E8C">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t xml:space="preserve">2. </w:t>
            </w:r>
            <w:proofErr w:type="spellStart"/>
            <w:r w:rsidRPr="00DF4CE5">
              <w:rPr>
                <w:rFonts w:ascii="Cambria" w:eastAsia="Calibri" w:hAnsi="Cambria" w:cs="Times New Roman"/>
                <w:lang w:val="hr-HR"/>
              </w:rPr>
              <w:t>Diković</w:t>
            </w:r>
            <w:proofErr w:type="spellEnd"/>
            <w:r w:rsidRPr="00DF4CE5">
              <w:rPr>
                <w:rFonts w:ascii="Cambria" w:eastAsia="Calibri" w:hAnsi="Cambria" w:cs="Times New Roman"/>
                <w:lang w:val="hr-HR"/>
              </w:rPr>
              <w:t>, M. (2011). Osposobljavanje nastavnika za promicanje i provođenje odgoja i obrazovanja za građanstvo. Život i škola, 26, 2/2011, 11-24. Dostupno na: https://hrcak.srce.hr/file/114726</w:t>
            </w:r>
          </w:p>
          <w:p w14:paraId="79040046" w14:textId="77777777" w:rsidR="00B77450" w:rsidRPr="00DF4CE5" w:rsidRDefault="00B77450" w:rsidP="00891E8C">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t xml:space="preserve">3. European </w:t>
            </w:r>
            <w:proofErr w:type="spellStart"/>
            <w:r w:rsidRPr="00DF4CE5">
              <w:rPr>
                <w:rFonts w:ascii="Cambria" w:eastAsia="Calibri" w:hAnsi="Cambria" w:cs="Times New Roman"/>
                <w:lang w:val="hr-HR"/>
              </w:rPr>
              <w:t>Commission</w:t>
            </w:r>
            <w:proofErr w:type="spellEnd"/>
            <w:r w:rsidRPr="00DF4CE5">
              <w:rPr>
                <w:rFonts w:ascii="Cambria" w:eastAsia="Calibri" w:hAnsi="Cambria" w:cs="Times New Roman"/>
                <w:lang w:val="hr-HR"/>
              </w:rPr>
              <w:t xml:space="preserve">. (2017). Građanski odgoj i obrazovanje u školama u Europi. </w:t>
            </w:r>
            <w:proofErr w:type="spellStart"/>
            <w:r w:rsidRPr="00DF4CE5">
              <w:rPr>
                <w:rFonts w:ascii="Cambria" w:eastAsia="Calibri" w:hAnsi="Cambria" w:cs="Times New Roman"/>
                <w:lang w:val="hr-HR"/>
              </w:rPr>
              <w:t>Brussels</w:t>
            </w:r>
            <w:proofErr w:type="spellEnd"/>
            <w:r w:rsidRPr="00DF4CE5">
              <w:rPr>
                <w:rFonts w:ascii="Cambria" w:eastAsia="Calibri" w:hAnsi="Cambria" w:cs="Times New Roman"/>
                <w:lang w:val="hr-HR"/>
              </w:rPr>
              <w:t xml:space="preserve">: </w:t>
            </w:r>
            <w:proofErr w:type="spellStart"/>
            <w:r w:rsidRPr="00DF4CE5">
              <w:rPr>
                <w:rFonts w:ascii="Cambria" w:eastAsia="Calibri" w:hAnsi="Cambria" w:cs="Times New Roman"/>
                <w:lang w:val="hr-HR"/>
              </w:rPr>
              <w:t>Eurydice</w:t>
            </w:r>
            <w:proofErr w:type="spellEnd"/>
            <w:r w:rsidRPr="00DF4CE5">
              <w:rPr>
                <w:rFonts w:ascii="Cambria" w:eastAsia="Calibri" w:hAnsi="Cambria" w:cs="Times New Roman"/>
                <w:lang w:val="hr-HR"/>
              </w:rPr>
              <w:t xml:space="preserve"> European </w:t>
            </w:r>
            <w:proofErr w:type="spellStart"/>
            <w:r w:rsidRPr="00DF4CE5">
              <w:rPr>
                <w:rFonts w:ascii="Cambria" w:eastAsia="Calibri" w:hAnsi="Cambria" w:cs="Times New Roman"/>
                <w:lang w:val="hr-HR"/>
              </w:rPr>
              <w:t>Unit</w:t>
            </w:r>
            <w:proofErr w:type="spellEnd"/>
            <w:r w:rsidRPr="00DF4CE5">
              <w:rPr>
                <w:rFonts w:ascii="Cambria" w:eastAsia="Calibri" w:hAnsi="Cambria" w:cs="Times New Roman"/>
                <w:lang w:val="hr-HR"/>
              </w:rPr>
              <w:t>. Dostupno na: https://op.europa.eu/hr/publication-detail/-/publication/6b50c5b0-d651-11e7-a506-01aa75ed71a1/language-hr</w:t>
            </w:r>
          </w:p>
          <w:p w14:paraId="298B81AE" w14:textId="77777777" w:rsidR="00B77450" w:rsidRPr="00DF4CE5" w:rsidRDefault="00B77450" w:rsidP="00891E8C">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t>4. Kesić Kiš, M., Plavšić, M. (2020). Veli Jože: To se može! Pula: Sveučilište Jurja Dobrile u Puli i Udruga Suncokret – Pula. (Poglavlje: Radionički pristup doživljavanju, stvaranju i učenju, 5-8.)</w:t>
            </w:r>
          </w:p>
          <w:p w14:paraId="67FABA9D" w14:textId="77777777" w:rsidR="00B77450" w:rsidRPr="00DF4CE5" w:rsidRDefault="00B77450" w:rsidP="00891E8C">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t>5. Spajić-</w:t>
            </w:r>
            <w:proofErr w:type="spellStart"/>
            <w:r w:rsidRPr="00DF4CE5">
              <w:rPr>
                <w:rFonts w:ascii="Cambria" w:eastAsia="Calibri" w:hAnsi="Cambria" w:cs="Times New Roman"/>
                <w:lang w:val="hr-HR"/>
              </w:rPr>
              <w:t>Vrkaš</w:t>
            </w:r>
            <w:proofErr w:type="spellEnd"/>
            <w:r w:rsidRPr="00DF4CE5">
              <w:rPr>
                <w:rFonts w:ascii="Cambria" w:eastAsia="Calibri" w:hAnsi="Cambria" w:cs="Times New Roman"/>
                <w:lang w:val="hr-HR"/>
              </w:rPr>
              <w:t>, V. (2014). Znam, razmišljam, sudjelujem: projekt. Novo doba ljudskih prava i demokracije u školama: eksperimentalna provedba kurikuluma građanskog odgoja i obrazovanja: istraživački izvještaj. Zagreb: Mreža mladih Hrvatske. (Poglavlja: „Stvaranje” građana odgojem i obrazovanjem, 8-23.; Osvrt na rezultate istraživanja, 147-161.; Diskusija i zaključci, 162-177.; Preporuke, 178-179.)</w:t>
            </w:r>
          </w:p>
          <w:p w14:paraId="64F2949A" w14:textId="2B0CC172" w:rsidR="00B77450" w:rsidRPr="00DF4CE5" w:rsidRDefault="00B77450" w:rsidP="00891E8C">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t>6. Spajić-</w:t>
            </w:r>
            <w:proofErr w:type="spellStart"/>
            <w:r w:rsidRPr="00DF4CE5">
              <w:rPr>
                <w:rFonts w:ascii="Cambria" w:eastAsia="Calibri" w:hAnsi="Cambria" w:cs="Times New Roman"/>
                <w:lang w:val="hr-HR"/>
              </w:rPr>
              <w:t>Vrkaš</w:t>
            </w:r>
            <w:proofErr w:type="spellEnd"/>
            <w:r w:rsidRPr="00DF4CE5">
              <w:rPr>
                <w:rFonts w:ascii="Cambria" w:eastAsia="Calibri" w:hAnsi="Cambria" w:cs="Times New Roman"/>
                <w:lang w:val="hr-HR"/>
              </w:rPr>
              <w:t>, V., Stričević, I., Maleš, D., Matijević, M. (2004). Poučavati prava i slobode. Priručnik za učitelje osnovne škole. Zagreb: Istraživačko-obrazovni centar za ljudska prava i demokratsko građanstvo i Filozofski fakultet Sveučilišta u Zagrebu. (Poglavlja: Što su ljudska prava? 15-23.; Bitna obilježja i podjele ljudskih prava, 91-106.; Obrazovanje za ljudska prava, 121-135.; Obrazovanje za ljudska prava i druga srodna područja, 162-178.; Učitelj i obrazovanje za ljudska prava, 193-198.) Dostupno na: https://wp.ffzg.unizg.hr/hre-edc/publikacije-2/izvori-za-nastavnikece/poucavati-prava-i-slobode-prirucnik-za-ucitelje-osnovne-skole/</w:t>
            </w:r>
          </w:p>
          <w:p w14:paraId="493BCC15" w14:textId="77777777" w:rsidR="00B77450" w:rsidRPr="00DF4CE5" w:rsidRDefault="00B77450" w:rsidP="00891E8C">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t>Izborna:</w:t>
            </w:r>
          </w:p>
          <w:p w14:paraId="1611304D" w14:textId="77777777" w:rsidR="00B77450" w:rsidRPr="00DF4CE5" w:rsidRDefault="00B77450" w:rsidP="00891E8C">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t xml:space="preserve">1. </w:t>
            </w:r>
            <w:proofErr w:type="spellStart"/>
            <w:r w:rsidRPr="00DF4CE5">
              <w:rPr>
                <w:rFonts w:ascii="Cambria" w:eastAsia="Calibri" w:hAnsi="Cambria" w:cs="Times New Roman"/>
                <w:lang w:val="hr-HR"/>
              </w:rPr>
              <w:t>Diković</w:t>
            </w:r>
            <w:proofErr w:type="spellEnd"/>
            <w:r w:rsidRPr="00DF4CE5">
              <w:rPr>
                <w:rFonts w:ascii="Cambria" w:eastAsia="Calibri" w:hAnsi="Cambria" w:cs="Times New Roman"/>
                <w:lang w:val="hr-HR"/>
              </w:rPr>
              <w:t xml:space="preserve">, M. (2010). Odgoj i obrazovanje za građanstvo kao sastavnica zaštite ljudskih prava. </w:t>
            </w:r>
            <w:proofErr w:type="spellStart"/>
            <w:r w:rsidRPr="00DF4CE5">
              <w:rPr>
                <w:rFonts w:ascii="Cambria" w:eastAsia="Calibri" w:hAnsi="Cambria" w:cs="Times New Roman"/>
                <w:lang w:val="hr-HR"/>
              </w:rPr>
              <w:t>Tabula</w:t>
            </w:r>
            <w:proofErr w:type="spellEnd"/>
            <w:r w:rsidRPr="00DF4CE5">
              <w:rPr>
                <w:rFonts w:ascii="Cambria" w:eastAsia="Calibri" w:hAnsi="Cambria" w:cs="Times New Roman"/>
                <w:lang w:val="hr-HR"/>
              </w:rPr>
              <w:t xml:space="preserve"> 8, 112-123.</w:t>
            </w:r>
          </w:p>
          <w:p w14:paraId="2C76B851" w14:textId="77777777" w:rsidR="00B77450" w:rsidRPr="00DF4CE5" w:rsidRDefault="00B77450" w:rsidP="00891E8C">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t xml:space="preserve">2. </w:t>
            </w:r>
            <w:proofErr w:type="spellStart"/>
            <w:r w:rsidRPr="00DF4CE5">
              <w:rPr>
                <w:rFonts w:ascii="Cambria" w:eastAsia="Calibri" w:hAnsi="Cambria" w:cs="Times New Roman"/>
                <w:lang w:val="hr-HR"/>
              </w:rPr>
              <w:t>Diković</w:t>
            </w:r>
            <w:proofErr w:type="spellEnd"/>
            <w:r w:rsidRPr="00DF4CE5">
              <w:rPr>
                <w:rFonts w:ascii="Cambria" w:eastAsia="Calibri" w:hAnsi="Cambria" w:cs="Times New Roman"/>
                <w:lang w:val="hr-HR"/>
              </w:rPr>
              <w:t xml:space="preserve">, M. (2014). </w:t>
            </w:r>
            <w:proofErr w:type="spellStart"/>
            <w:r w:rsidRPr="00DF4CE5">
              <w:rPr>
                <w:rFonts w:ascii="Cambria" w:eastAsia="Calibri" w:hAnsi="Cambria" w:cs="Times New Roman"/>
                <w:lang w:val="hr-HR"/>
              </w:rPr>
              <w:t>Interculturalism</w:t>
            </w:r>
            <w:proofErr w:type="spellEnd"/>
            <w:r w:rsidRPr="00DF4CE5">
              <w:rPr>
                <w:rFonts w:ascii="Cambria" w:eastAsia="Calibri" w:hAnsi="Cambria" w:cs="Times New Roman"/>
                <w:lang w:val="hr-HR"/>
              </w:rPr>
              <w:t xml:space="preserve">, Human Rights </w:t>
            </w:r>
            <w:proofErr w:type="spellStart"/>
            <w:r w:rsidRPr="00DF4CE5">
              <w:rPr>
                <w:rFonts w:ascii="Cambria" w:eastAsia="Calibri" w:hAnsi="Cambria" w:cs="Times New Roman"/>
                <w:lang w:val="hr-HR"/>
              </w:rPr>
              <w:t>and</w:t>
            </w:r>
            <w:proofErr w:type="spellEnd"/>
            <w:r w:rsidRPr="00DF4CE5">
              <w:rPr>
                <w:rFonts w:ascii="Cambria" w:eastAsia="Calibri" w:hAnsi="Cambria" w:cs="Times New Roman"/>
                <w:lang w:val="hr-HR"/>
              </w:rPr>
              <w:t xml:space="preserve"> </w:t>
            </w:r>
            <w:proofErr w:type="spellStart"/>
            <w:r w:rsidRPr="00DF4CE5">
              <w:rPr>
                <w:rFonts w:ascii="Cambria" w:eastAsia="Calibri" w:hAnsi="Cambria" w:cs="Times New Roman"/>
                <w:lang w:val="hr-HR"/>
              </w:rPr>
              <w:t>Citizenship</w:t>
            </w:r>
            <w:proofErr w:type="spellEnd"/>
            <w:r w:rsidRPr="00DF4CE5">
              <w:rPr>
                <w:rFonts w:ascii="Cambria" w:eastAsia="Calibri" w:hAnsi="Cambria" w:cs="Times New Roman"/>
                <w:lang w:val="hr-HR"/>
              </w:rPr>
              <w:t xml:space="preserve"> </w:t>
            </w:r>
            <w:proofErr w:type="spellStart"/>
            <w:r w:rsidRPr="00DF4CE5">
              <w:rPr>
                <w:rFonts w:ascii="Cambria" w:eastAsia="Calibri" w:hAnsi="Cambria" w:cs="Times New Roman"/>
                <w:lang w:val="hr-HR"/>
              </w:rPr>
              <w:t>in</w:t>
            </w:r>
            <w:proofErr w:type="spellEnd"/>
            <w:r w:rsidRPr="00DF4CE5">
              <w:rPr>
                <w:rFonts w:ascii="Cambria" w:eastAsia="Calibri" w:hAnsi="Cambria" w:cs="Times New Roman"/>
                <w:lang w:val="hr-HR"/>
              </w:rPr>
              <w:t xml:space="preserve"> </w:t>
            </w:r>
            <w:proofErr w:type="spellStart"/>
            <w:r w:rsidRPr="00DF4CE5">
              <w:rPr>
                <w:rFonts w:ascii="Cambria" w:eastAsia="Calibri" w:hAnsi="Cambria" w:cs="Times New Roman"/>
                <w:lang w:val="hr-HR"/>
              </w:rPr>
              <w:t>Compulsory</w:t>
            </w:r>
            <w:proofErr w:type="spellEnd"/>
            <w:r w:rsidRPr="00DF4CE5">
              <w:rPr>
                <w:rFonts w:ascii="Cambria" w:eastAsia="Calibri" w:hAnsi="Cambria" w:cs="Times New Roman"/>
                <w:lang w:val="hr-HR"/>
              </w:rPr>
              <w:t xml:space="preserve"> </w:t>
            </w:r>
            <w:proofErr w:type="spellStart"/>
            <w:r w:rsidRPr="00DF4CE5">
              <w:rPr>
                <w:rFonts w:ascii="Cambria" w:eastAsia="Calibri" w:hAnsi="Cambria" w:cs="Times New Roman"/>
                <w:lang w:val="hr-HR"/>
              </w:rPr>
              <w:t>Education</w:t>
            </w:r>
            <w:proofErr w:type="spellEnd"/>
            <w:r w:rsidRPr="00DF4CE5">
              <w:rPr>
                <w:rFonts w:ascii="Cambria" w:eastAsia="Calibri" w:hAnsi="Cambria" w:cs="Times New Roman"/>
                <w:lang w:val="hr-HR"/>
              </w:rPr>
              <w:t xml:space="preserve"> </w:t>
            </w:r>
            <w:proofErr w:type="spellStart"/>
            <w:r w:rsidRPr="00DF4CE5">
              <w:rPr>
                <w:rFonts w:ascii="Cambria" w:eastAsia="Calibri" w:hAnsi="Cambria" w:cs="Times New Roman"/>
                <w:lang w:val="hr-HR"/>
              </w:rPr>
              <w:t>in</w:t>
            </w:r>
            <w:proofErr w:type="spellEnd"/>
            <w:r w:rsidRPr="00DF4CE5">
              <w:rPr>
                <w:rFonts w:ascii="Cambria" w:eastAsia="Calibri" w:hAnsi="Cambria" w:cs="Times New Roman"/>
                <w:lang w:val="hr-HR"/>
              </w:rPr>
              <w:t xml:space="preserve"> </w:t>
            </w:r>
            <w:proofErr w:type="spellStart"/>
            <w:r w:rsidRPr="00DF4CE5">
              <w:rPr>
                <w:rFonts w:ascii="Cambria" w:eastAsia="Calibri" w:hAnsi="Cambria" w:cs="Times New Roman"/>
                <w:lang w:val="hr-HR"/>
              </w:rPr>
              <w:t>the</w:t>
            </w:r>
            <w:proofErr w:type="spellEnd"/>
            <w:r w:rsidRPr="00DF4CE5">
              <w:rPr>
                <w:rFonts w:ascii="Cambria" w:eastAsia="Calibri" w:hAnsi="Cambria" w:cs="Times New Roman"/>
                <w:lang w:val="hr-HR"/>
              </w:rPr>
              <w:t xml:space="preserve"> </w:t>
            </w:r>
            <w:proofErr w:type="spellStart"/>
            <w:r w:rsidRPr="00DF4CE5">
              <w:rPr>
                <w:rFonts w:ascii="Cambria" w:eastAsia="Calibri" w:hAnsi="Cambria" w:cs="Times New Roman"/>
                <w:lang w:val="hr-HR"/>
              </w:rPr>
              <w:t>South</w:t>
            </w:r>
            <w:proofErr w:type="spellEnd"/>
            <w:r w:rsidRPr="00DF4CE5">
              <w:rPr>
                <w:rFonts w:ascii="Cambria" w:eastAsia="Calibri" w:hAnsi="Cambria" w:cs="Times New Roman"/>
                <w:lang w:val="hr-HR"/>
              </w:rPr>
              <w:t xml:space="preserve"> </w:t>
            </w:r>
            <w:proofErr w:type="spellStart"/>
            <w:r w:rsidRPr="00DF4CE5">
              <w:rPr>
                <w:rFonts w:ascii="Cambria" w:eastAsia="Calibri" w:hAnsi="Cambria" w:cs="Times New Roman"/>
                <w:lang w:val="hr-HR"/>
              </w:rPr>
              <w:t>Eastern</w:t>
            </w:r>
            <w:proofErr w:type="spellEnd"/>
            <w:r w:rsidRPr="00DF4CE5">
              <w:rPr>
                <w:rFonts w:ascii="Cambria" w:eastAsia="Calibri" w:hAnsi="Cambria" w:cs="Times New Roman"/>
                <w:lang w:val="hr-HR"/>
              </w:rPr>
              <w:t xml:space="preserve"> Europe. U: Bartulović, M., </w:t>
            </w:r>
            <w:proofErr w:type="spellStart"/>
            <w:r w:rsidRPr="00DF4CE5">
              <w:rPr>
                <w:rFonts w:ascii="Cambria" w:eastAsia="Calibri" w:hAnsi="Cambria" w:cs="Times New Roman"/>
                <w:lang w:val="hr-HR"/>
              </w:rPr>
              <w:t>Bash</w:t>
            </w:r>
            <w:proofErr w:type="spellEnd"/>
            <w:r w:rsidRPr="00DF4CE5">
              <w:rPr>
                <w:rFonts w:ascii="Cambria" w:eastAsia="Calibri" w:hAnsi="Cambria" w:cs="Times New Roman"/>
                <w:lang w:val="hr-HR"/>
              </w:rPr>
              <w:t>, L., Spajić-</w:t>
            </w:r>
            <w:proofErr w:type="spellStart"/>
            <w:r w:rsidRPr="00DF4CE5">
              <w:rPr>
                <w:rFonts w:ascii="Cambria" w:eastAsia="Calibri" w:hAnsi="Cambria" w:cs="Times New Roman"/>
                <w:lang w:val="hr-HR"/>
              </w:rPr>
              <w:t>Vrkaš</w:t>
            </w:r>
            <w:proofErr w:type="spellEnd"/>
            <w:r w:rsidRPr="00DF4CE5">
              <w:rPr>
                <w:rFonts w:ascii="Cambria" w:eastAsia="Calibri" w:hAnsi="Cambria" w:cs="Times New Roman"/>
                <w:lang w:val="hr-HR"/>
              </w:rPr>
              <w:t>, V. (</w:t>
            </w:r>
            <w:proofErr w:type="spellStart"/>
            <w:r w:rsidRPr="00DF4CE5">
              <w:rPr>
                <w:rFonts w:ascii="Cambria" w:eastAsia="Calibri" w:hAnsi="Cambria" w:cs="Times New Roman"/>
                <w:lang w:val="hr-HR"/>
              </w:rPr>
              <w:t>ur</w:t>
            </w:r>
            <w:proofErr w:type="spellEnd"/>
            <w:r w:rsidRPr="00DF4CE5">
              <w:rPr>
                <w:rFonts w:ascii="Cambria" w:eastAsia="Calibri" w:hAnsi="Cambria" w:cs="Times New Roman"/>
                <w:lang w:val="hr-HR"/>
              </w:rPr>
              <w:t xml:space="preserve">.), IAIE Zagreb 2013: </w:t>
            </w:r>
            <w:proofErr w:type="spellStart"/>
            <w:r w:rsidRPr="00DF4CE5">
              <w:rPr>
                <w:rFonts w:ascii="Cambria" w:eastAsia="Calibri" w:hAnsi="Cambria" w:cs="Times New Roman"/>
                <w:lang w:val="hr-HR"/>
              </w:rPr>
              <w:t>Unity</w:t>
            </w:r>
            <w:proofErr w:type="spellEnd"/>
            <w:r w:rsidRPr="00DF4CE5">
              <w:rPr>
                <w:rFonts w:ascii="Cambria" w:eastAsia="Calibri" w:hAnsi="Cambria" w:cs="Times New Roman"/>
                <w:lang w:val="hr-HR"/>
              </w:rPr>
              <w:t xml:space="preserve"> </w:t>
            </w:r>
            <w:proofErr w:type="spellStart"/>
            <w:r w:rsidRPr="00DF4CE5">
              <w:rPr>
                <w:rFonts w:ascii="Cambria" w:eastAsia="Calibri" w:hAnsi="Cambria" w:cs="Times New Roman"/>
                <w:lang w:val="hr-HR"/>
              </w:rPr>
              <w:t>and</w:t>
            </w:r>
            <w:proofErr w:type="spellEnd"/>
            <w:r w:rsidRPr="00DF4CE5">
              <w:rPr>
                <w:rFonts w:ascii="Cambria" w:eastAsia="Calibri" w:hAnsi="Cambria" w:cs="Times New Roman"/>
                <w:lang w:val="hr-HR"/>
              </w:rPr>
              <w:t xml:space="preserve"> </w:t>
            </w:r>
            <w:proofErr w:type="spellStart"/>
            <w:r w:rsidRPr="00DF4CE5">
              <w:rPr>
                <w:rFonts w:ascii="Cambria" w:eastAsia="Calibri" w:hAnsi="Cambria" w:cs="Times New Roman"/>
                <w:lang w:val="hr-HR"/>
              </w:rPr>
              <w:t>disunity</w:t>
            </w:r>
            <w:proofErr w:type="spellEnd"/>
            <w:r w:rsidRPr="00DF4CE5">
              <w:rPr>
                <w:rFonts w:ascii="Cambria" w:eastAsia="Calibri" w:hAnsi="Cambria" w:cs="Times New Roman"/>
                <w:lang w:val="hr-HR"/>
              </w:rPr>
              <w:t xml:space="preserve">, </w:t>
            </w:r>
            <w:proofErr w:type="spellStart"/>
            <w:r w:rsidRPr="00DF4CE5">
              <w:rPr>
                <w:rFonts w:ascii="Cambria" w:eastAsia="Calibri" w:hAnsi="Cambria" w:cs="Times New Roman"/>
                <w:lang w:val="hr-HR"/>
              </w:rPr>
              <w:t>connections</w:t>
            </w:r>
            <w:proofErr w:type="spellEnd"/>
            <w:r w:rsidRPr="00DF4CE5">
              <w:rPr>
                <w:rFonts w:ascii="Cambria" w:eastAsia="Calibri" w:hAnsi="Cambria" w:cs="Times New Roman"/>
                <w:lang w:val="hr-HR"/>
              </w:rPr>
              <w:t xml:space="preserve"> </w:t>
            </w:r>
            <w:proofErr w:type="spellStart"/>
            <w:r w:rsidRPr="00DF4CE5">
              <w:rPr>
                <w:rFonts w:ascii="Cambria" w:eastAsia="Calibri" w:hAnsi="Cambria" w:cs="Times New Roman"/>
                <w:lang w:val="hr-HR"/>
              </w:rPr>
              <w:t>and</w:t>
            </w:r>
            <w:proofErr w:type="spellEnd"/>
            <w:r w:rsidRPr="00DF4CE5">
              <w:rPr>
                <w:rFonts w:ascii="Cambria" w:eastAsia="Calibri" w:hAnsi="Cambria" w:cs="Times New Roman"/>
                <w:lang w:val="hr-HR"/>
              </w:rPr>
              <w:t xml:space="preserve"> </w:t>
            </w:r>
            <w:proofErr w:type="spellStart"/>
            <w:r w:rsidRPr="00DF4CE5">
              <w:rPr>
                <w:rFonts w:ascii="Cambria" w:eastAsia="Calibri" w:hAnsi="Cambria" w:cs="Times New Roman"/>
                <w:lang w:val="hr-HR"/>
              </w:rPr>
              <w:t>separations</w:t>
            </w:r>
            <w:proofErr w:type="spellEnd"/>
            <w:r w:rsidRPr="00DF4CE5">
              <w:rPr>
                <w:rFonts w:ascii="Cambria" w:eastAsia="Calibri" w:hAnsi="Cambria" w:cs="Times New Roman"/>
                <w:lang w:val="hr-HR"/>
              </w:rPr>
              <w:t xml:space="preserve">: </w:t>
            </w:r>
            <w:proofErr w:type="spellStart"/>
            <w:r w:rsidRPr="00DF4CE5">
              <w:rPr>
                <w:rFonts w:ascii="Cambria" w:eastAsia="Calibri" w:hAnsi="Cambria" w:cs="Times New Roman"/>
                <w:lang w:val="hr-HR"/>
              </w:rPr>
              <w:t>intercultural</w:t>
            </w:r>
            <w:proofErr w:type="spellEnd"/>
            <w:r w:rsidRPr="00DF4CE5">
              <w:rPr>
                <w:rFonts w:ascii="Cambria" w:eastAsia="Calibri" w:hAnsi="Cambria" w:cs="Times New Roman"/>
                <w:lang w:val="hr-HR"/>
              </w:rPr>
              <w:t xml:space="preserve"> </w:t>
            </w:r>
            <w:proofErr w:type="spellStart"/>
            <w:r w:rsidRPr="00DF4CE5">
              <w:rPr>
                <w:rFonts w:ascii="Cambria" w:eastAsia="Calibri" w:hAnsi="Cambria" w:cs="Times New Roman"/>
                <w:lang w:val="hr-HR"/>
              </w:rPr>
              <w:t>education</w:t>
            </w:r>
            <w:proofErr w:type="spellEnd"/>
            <w:r w:rsidRPr="00DF4CE5">
              <w:rPr>
                <w:rFonts w:ascii="Cambria" w:eastAsia="Calibri" w:hAnsi="Cambria" w:cs="Times New Roman"/>
                <w:lang w:val="hr-HR"/>
              </w:rPr>
              <w:t xml:space="preserve"> as a </w:t>
            </w:r>
            <w:proofErr w:type="spellStart"/>
            <w:r w:rsidRPr="00DF4CE5">
              <w:rPr>
                <w:rFonts w:ascii="Cambria" w:eastAsia="Calibri" w:hAnsi="Cambria" w:cs="Times New Roman"/>
                <w:lang w:val="hr-HR"/>
              </w:rPr>
              <w:t>movement</w:t>
            </w:r>
            <w:proofErr w:type="spellEnd"/>
            <w:r w:rsidRPr="00DF4CE5">
              <w:rPr>
                <w:rFonts w:ascii="Cambria" w:eastAsia="Calibri" w:hAnsi="Cambria" w:cs="Times New Roman"/>
                <w:lang w:val="hr-HR"/>
              </w:rPr>
              <w:t xml:space="preserve"> for </w:t>
            </w:r>
            <w:proofErr w:type="spellStart"/>
            <w:r w:rsidRPr="00DF4CE5">
              <w:rPr>
                <w:rFonts w:ascii="Cambria" w:eastAsia="Calibri" w:hAnsi="Cambria" w:cs="Times New Roman"/>
                <w:lang w:val="hr-HR"/>
              </w:rPr>
              <w:t>promoting</w:t>
            </w:r>
            <w:proofErr w:type="spellEnd"/>
            <w:r w:rsidRPr="00DF4CE5">
              <w:rPr>
                <w:rFonts w:ascii="Cambria" w:eastAsia="Calibri" w:hAnsi="Cambria" w:cs="Times New Roman"/>
                <w:lang w:val="hr-HR"/>
              </w:rPr>
              <w:t xml:space="preserve"> </w:t>
            </w:r>
            <w:proofErr w:type="spellStart"/>
            <w:r w:rsidRPr="00DF4CE5">
              <w:rPr>
                <w:rFonts w:ascii="Cambria" w:eastAsia="Calibri" w:hAnsi="Cambria" w:cs="Times New Roman"/>
                <w:lang w:val="hr-HR"/>
              </w:rPr>
              <w:t>multiple</w:t>
            </w:r>
            <w:proofErr w:type="spellEnd"/>
            <w:r w:rsidRPr="00DF4CE5">
              <w:rPr>
                <w:rFonts w:ascii="Cambria" w:eastAsia="Calibri" w:hAnsi="Cambria" w:cs="Times New Roman"/>
                <w:lang w:val="hr-HR"/>
              </w:rPr>
              <w:t xml:space="preserve"> </w:t>
            </w:r>
            <w:proofErr w:type="spellStart"/>
            <w:r w:rsidRPr="00DF4CE5">
              <w:rPr>
                <w:rFonts w:ascii="Cambria" w:eastAsia="Calibri" w:hAnsi="Cambria" w:cs="Times New Roman"/>
                <w:lang w:val="hr-HR"/>
              </w:rPr>
              <w:t>identities</w:t>
            </w:r>
            <w:proofErr w:type="spellEnd"/>
            <w:r w:rsidRPr="00DF4CE5">
              <w:rPr>
                <w:rFonts w:ascii="Cambria" w:eastAsia="Calibri" w:hAnsi="Cambria" w:cs="Times New Roman"/>
                <w:lang w:val="hr-HR"/>
              </w:rPr>
              <w:t xml:space="preserve">, </w:t>
            </w:r>
            <w:proofErr w:type="spellStart"/>
            <w:r w:rsidRPr="00DF4CE5">
              <w:rPr>
                <w:rFonts w:ascii="Cambria" w:eastAsia="Calibri" w:hAnsi="Cambria" w:cs="Times New Roman"/>
                <w:lang w:val="hr-HR"/>
              </w:rPr>
              <w:t>social</w:t>
            </w:r>
            <w:proofErr w:type="spellEnd"/>
            <w:r w:rsidRPr="00DF4CE5">
              <w:rPr>
                <w:rFonts w:ascii="Cambria" w:eastAsia="Calibri" w:hAnsi="Cambria" w:cs="Times New Roman"/>
                <w:lang w:val="hr-HR"/>
              </w:rPr>
              <w:t xml:space="preserve"> </w:t>
            </w:r>
            <w:proofErr w:type="spellStart"/>
            <w:r w:rsidRPr="00DF4CE5">
              <w:rPr>
                <w:rFonts w:ascii="Cambria" w:eastAsia="Calibri" w:hAnsi="Cambria" w:cs="Times New Roman"/>
                <w:lang w:val="hr-HR"/>
              </w:rPr>
              <w:t>inclusion</w:t>
            </w:r>
            <w:proofErr w:type="spellEnd"/>
            <w:r w:rsidRPr="00DF4CE5">
              <w:rPr>
                <w:rFonts w:ascii="Cambria" w:eastAsia="Calibri" w:hAnsi="Cambria" w:cs="Times New Roman"/>
                <w:lang w:val="hr-HR"/>
              </w:rPr>
              <w:t xml:space="preserve"> </w:t>
            </w:r>
            <w:proofErr w:type="spellStart"/>
            <w:r w:rsidRPr="00DF4CE5">
              <w:rPr>
                <w:rFonts w:ascii="Cambria" w:eastAsia="Calibri" w:hAnsi="Cambria" w:cs="Times New Roman"/>
                <w:lang w:val="hr-HR"/>
              </w:rPr>
              <w:t>and</w:t>
            </w:r>
            <w:proofErr w:type="spellEnd"/>
            <w:r w:rsidRPr="00DF4CE5">
              <w:rPr>
                <w:rFonts w:ascii="Cambria" w:eastAsia="Calibri" w:hAnsi="Cambria" w:cs="Times New Roman"/>
                <w:lang w:val="hr-HR"/>
              </w:rPr>
              <w:t xml:space="preserve"> </w:t>
            </w:r>
            <w:proofErr w:type="spellStart"/>
            <w:r w:rsidRPr="00DF4CE5">
              <w:rPr>
                <w:rFonts w:ascii="Cambria" w:eastAsia="Calibri" w:hAnsi="Cambria" w:cs="Times New Roman"/>
                <w:lang w:val="hr-HR"/>
              </w:rPr>
              <w:t>transformation</w:t>
            </w:r>
            <w:proofErr w:type="spellEnd"/>
            <w:r w:rsidRPr="00DF4CE5">
              <w:rPr>
                <w:rFonts w:ascii="Cambria" w:eastAsia="Calibri" w:hAnsi="Cambria" w:cs="Times New Roman"/>
                <w:lang w:val="hr-HR"/>
              </w:rPr>
              <w:t xml:space="preserve">, </w:t>
            </w:r>
            <w:proofErr w:type="spellStart"/>
            <w:r w:rsidRPr="00DF4CE5">
              <w:rPr>
                <w:rFonts w:ascii="Cambria" w:eastAsia="Calibri" w:hAnsi="Cambria" w:cs="Times New Roman"/>
                <w:lang w:val="hr-HR"/>
              </w:rPr>
              <w:t>Conference</w:t>
            </w:r>
            <w:proofErr w:type="spellEnd"/>
            <w:r w:rsidRPr="00DF4CE5">
              <w:rPr>
                <w:rFonts w:ascii="Cambria" w:eastAsia="Calibri" w:hAnsi="Cambria" w:cs="Times New Roman"/>
                <w:lang w:val="hr-HR"/>
              </w:rPr>
              <w:t xml:space="preserve"> </w:t>
            </w:r>
            <w:proofErr w:type="spellStart"/>
            <w:r w:rsidRPr="00DF4CE5">
              <w:rPr>
                <w:rFonts w:ascii="Cambria" w:eastAsia="Calibri" w:hAnsi="Cambria" w:cs="Times New Roman"/>
                <w:lang w:val="hr-HR"/>
              </w:rPr>
              <w:t>proceedings</w:t>
            </w:r>
            <w:proofErr w:type="spellEnd"/>
            <w:r w:rsidRPr="00DF4CE5">
              <w:rPr>
                <w:rFonts w:ascii="Cambria" w:eastAsia="Calibri" w:hAnsi="Cambria" w:cs="Times New Roman"/>
                <w:lang w:val="hr-HR"/>
              </w:rPr>
              <w:t xml:space="preserve">. Zagreb: </w:t>
            </w:r>
            <w:proofErr w:type="spellStart"/>
            <w:r w:rsidRPr="00DF4CE5">
              <w:rPr>
                <w:rFonts w:ascii="Cambria" w:eastAsia="Calibri" w:hAnsi="Cambria" w:cs="Times New Roman"/>
                <w:lang w:val="hr-HR"/>
              </w:rPr>
              <w:t>Interkultura</w:t>
            </w:r>
            <w:proofErr w:type="spellEnd"/>
            <w:r w:rsidRPr="00DF4CE5">
              <w:rPr>
                <w:rFonts w:ascii="Cambria" w:eastAsia="Calibri" w:hAnsi="Cambria" w:cs="Times New Roman"/>
                <w:lang w:val="hr-HR"/>
              </w:rPr>
              <w:t xml:space="preserve"> / IAIE, 247-258.</w:t>
            </w:r>
          </w:p>
          <w:p w14:paraId="6189B3B2" w14:textId="77777777" w:rsidR="00B77450" w:rsidRPr="00DF4CE5" w:rsidRDefault="00B77450" w:rsidP="00891E8C">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t xml:space="preserve">3. </w:t>
            </w:r>
            <w:proofErr w:type="spellStart"/>
            <w:r w:rsidRPr="00DF4CE5">
              <w:rPr>
                <w:rFonts w:ascii="Cambria" w:eastAsia="Calibri" w:hAnsi="Cambria" w:cs="Times New Roman"/>
                <w:lang w:val="hr-HR"/>
              </w:rPr>
              <w:t>Diković</w:t>
            </w:r>
            <w:proofErr w:type="spellEnd"/>
            <w:r w:rsidRPr="00DF4CE5">
              <w:rPr>
                <w:rFonts w:ascii="Cambria" w:eastAsia="Calibri" w:hAnsi="Cambria" w:cs="Times New Roman"/>
                <w:lang w:val="hr-HR"/>
              </w:rPr>
              <w:t xml:space="preserve">, M., Piršl, E. (2014). Interkulturalizam, ljudska prava i građanstvo u inicijalnom obrazovanju nastavnika. U: Hrvatić, N., </w:t>
            </w:r>
            <w:proofErr w:type="spellStart"/>
            <w:r w:rsidRPr="00DF4CE5">
              <w:rPr>
                <w:rFonts w:ascii="Cambria" w:eastAsia="Calibri" w:hAnsi="Cambria" w:cs="Times New Roman"/>
                <w:lang w:val="hr-HR"/>
              </w:rPr>
              <w:t>Lukenda</w:t>
            </w:r>
            <w:proofErr w:type="spellEnd"/>
            <w:r w:rsidRPr="00DF4CE5">
              <w:rPr>
                <w:rFonts w:ascii="Cambria" w:eastAsia="Calibri" w:hAnsi="Cambria" w:cs="Times New Roman"/>
                <w:lang w:val="hr-HR"/>
              </w:rPr>
              <w:t>, A., Pavlović, S., Spajić-</w:t>
            </w:r>
            <w:proofErr w:type="spellStart"/>
            <w:r w:rsidRPr="00DF4CE5">
              <w:rPr>
                <w:rFonts w:ascii="Cambria" w:eastAsia="Calibri" w:hAnsi="Cambria" w:cs="Times New Roman"/>
                <w:lang w:val="hr-HR"/>
              </w:rPr>
              <w:t>Vrkaš</w:t>
            </w:r>
            <w:proofErr w:type="spellEnd"/>
            <w:r w:rsidRPr="00DF4CE5">
              <w:rPr>
                <w:rFonts w:ascii="Cambria" w:eastAsia="Calibri" w:hAnsi="Cambria" w:cs="Times New Roman"/>
                <w:lang w:val="hr-HR"/>
              </w:rPr>
              <w:t>, V., Vasilj, M. (</w:t>
            </w:r>
            <w:proofErr w:type="spellStart"/>
            <w:r w:rsidRPr="00DF4CE5">
              <w:rPr>
                <w:rFonts w:ascii="Cambria" w:eastAsia="Calibri" w:hAnsi="Cambria" w:cs="Times New Roman"/>
                <w:lang w:val="hr-HR"/>
              </w:rPr>
              <w:t>ur</w:t>
            </w:r>
            <w:proofErr w:type="spellEnd"/>
            <w:r w:rsidRPr="00DF4CE5">
              <w:rPr>
                <w:rFonts w:ascii="Cambria" w:eastAsia="Calibri" w:hAnsi="Cambria" w:cs="Times New Roman"/>
                <w:lang w:val="hr-HR"/>
              </w:rPr>
              <w:t>.), Pedagogija, obrazovanje i nastava, Zbornik radova 2. međunarodne znanstvene konferencije, Mostar, 21. - 23. ožujka 2013., Mostar: Fakultet prirodoslovno-matematičkih i odgojnih znanosti Sveučilišta u Mostaru, 195-203.</w:t>
            </w:r>
          </w:p>
          <w:p w14:paraId="7ABF9D4F" w14:textId="77777777" w:rsidR="00B77450" w:rsidRPr="00DF4CE5" w:rsidRDefault="00B77450" w:rsidP="00891E8C">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lastRenderedPageBreak/>
              <w:t xml:space="preserve">4. </w:t>
            </w:r>
            <w:proofErr w:type="spellStart"/>
            <w:r w:rsidRPr="00DF4CE5">
              <w:rPr>
                <w:rFonts w:ascii="Cambria" w:eastAsia="Calibri" w:hAnsi="Cambria" w:cs="Times New Roman"/>
                <w:lang w:val="hr-HR"/>
              </w:rPr>
              <w:t>Dürr</w:t>
            </w:r>
            <w:proofErr w:type="spellEnd"/>
            <w:r w:rsidRPr="00DF4CE5">
              <w:rPr>
                <w:rFonts w:ascii="Cambria" w:eastAsia="Calibri" w:hAnsi="Cambria" w:cs="Times New Roman"/>
                <w:lang w:val="hr-HR"/>
              </w:rPr>
              <w:t>, K., Spajić-</w:t>
            </w:r>
            <w:proofErr w:type="spellStart"/>
            <w:r w:rsidRPr="00DF4CE5">
              <w:rPr>
                <w:rFonts w:ascii="Cambria" w:eastAsia="Calibri" w:hAnsi="Cambria" w:cs="Times New Roman"/>
                <w:lang w:val="hr-HR"/>
              </w:rPr>
              <w:t>Vrkaš</w:t>
            </w:r>
            <w:proofErr w:type="spellEnd"/>
            <w:r w:rsidRPr="00DF4CE5">
              <w:rPr>
                <w:rFonts w:ascii="Cambria" w:eastAsia="Calibri" w:hAnsi="Cambria" w:cs="Times New Roman"/>
                <w:lang w:val="hr-HR"/>
              </w:rPr>
              <w:t xml:space="preserve">, V., </w:t>
            </w:r>
            <w:proofErr w:type="spellStart"/>
            <w:r w:rsidRPr="00DF4CE5">
              <w:rPr>
                <w:rFonts w:ascii="Cambria" w:eastAsia="Calibri" w:hAnsi="Cambria" w:cs="Times New Roman"/>
                <w:lang w:val="hr-HR"/>
              </w:rPr>
              <w:t>Ferreira</w:t>
            </w:r>
            <w:proofErr w:type="spellEnd"/>
            <w:r w:rsidRPr="00DF4CE5">
              <w:rPr>
                <w:rFonts w:ascii="Cambria" w:eastAsia="Calibri" w:hAnsi="Cambria" w:cs="Times New Roman"/>
                <w:lang w:val="hr-HR"/>
              </w:rPr>
              <w:t xml:space="preserve"> </w:t>
            </w:r>
            <w:proofErr w:type="spellStart"/>
            <w:r w:rsidRPr="00DF4CE5">
              <w:rPr>
                <w:rFonts w:ascii="Cambria" w:eastAsia="Calibri" w:hAnsi="Cambria" w:cs="Times New Roman"/>
                <w:lang w:val="hr-HR"/>
              </w:rPr>
              <w:t>Martins</w:t>
            </w:r>
            <w:proofErr w:type="spellEnd"/>
            <w:r w:rsidRPr="00DF4CE5">
              <w:rPr>
                <w:rFonts w:ascii="Cambria" w:eastAsia="Calibri" w:hAnsi="Cambria" w:cs="Times New Roman"/>
                <w:lang w:val="hr-HR"/>
              </w:rPr>
              <w:t>, I. (2002). Učenje za demokratsko građanstvo u Europi. Zagreb: Centar za istraživanje, izobrazbu i dokumentaciju u obrazovanju za ljudska prava i demokratsko građanstvo i Filozofski fakultet Sveučilišta u Zagrebu.</w:t>
            </w:r>
          </w:p>
          <w:p w14:paraId="2402E440" w14:textId="77777777" w:rsidR="00B77450" w:rsidRPr="00DF4CE5" w:rsidRDefault="00B77450" w:rsidP="00891E8C">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t xml:space="preserve">5. European </w:t>
            </w:r>
            <w:proofErr w:type="spellStart"/>
            <w:r w:rsidRPr="00DF4CE5">
              <w:rPr>
                <w:rFonts w:ascii="Cambria" w:eastAsia="Calibri" w:hAnsi="Cambria" w:cs="Times New Roman"/>
                <w:lang w:val="hr-HR"/>
              </w:rPr>
              <w:t>Commission</w:t>
            </w:r>
            <w:proofErr w:type="spellEnd"/>
            <w:r w:rsidRPr="00DF4CE5">
              <w:rPr>
                <w:rFonts w:ascii="Cambria" w:eastAsia="Calibri" w:hAnsi="Cambria" w:cs="Times New Roman"/>
                <w:lang w:val="hr-HR"/>
              </w:rPr>
              <w:t xml:space="preserve">. (2017). </w:t>
            </w:r>
            <w:proofErr w:type="spellStart"/>
            <w:r w:rsidRPr="00DF4CE5">
              <w:rPr>
                <w:rFonts w:ascii="Cambria" w:eastAsia="Calibri" w:hAnsi="Cambria" w:cs="Times New Roman"/>
                <w:lang w:val="hr-HR"/>
              </w:rPr>
              <w:t>Citizenship</w:t>
            </w:r>
            <w:proofErr w:type="spellEnd"/>
            <w:r w:rsidRPr="00DF4CE5">
              <w:rPr>
                <w:rFonts w:ascii="Cambria" w:eastAsia="Calibri" w:hAnsi="Cambria" w:cs="Times New Roman"/>
                <w:lang w:val="hr-HR"/>
              </w:rPr>
              <w:t xml:space="preserve"> </w:t>
            </w:r>
            <w:proofErr w:type="spellStart"/>
            <w:r w:rsidRPr="00DF4CE5">
              <w:rPr>
                <w:rFonts w:ascii="Cambria" w:eastAsia="Calibri" w:hAnsi="Cambria" w:cs="Times New Roman"/>
                <w:lang w:val="hr-HR"/>
              </w:rPr>
              <w:t>Education</w:t>
            </w:r>
            <w:proofErr w:type="spellEnd"/>
            <w:r w:rsidRPr="00DF4CE5">
              <w:rPr>
                <w:rFonts w:ascii="Cambria" w:eastAsia="Calibri" w:hAnsi="Cambria" w:cs="Times New Roman"/>
                <w:lang w:val="hr-HR"/>
              </w:rPr>
              <w:t xml:space="preserve"> at </w:t>
            </w:r>
            <w:proofErr w:type="spellStart"/>
            <w:r w:rsidRPr="00DF4CE5">
              <w:rPr>
                <w:rFonts w:ascii="Cambria" w:eastAsia="Calibri" w:hAnsi="Cambria" w:cs="Times New Roman"/>
                <w:lang w:val="hr-HR"/>
              </w:rPr>
              <w:t>School</w:t>
            </w:r>
            <w:proofErr w:type="spellEnd"/>
            <w:r w:rsidRPr="00DF4CE5">
              <w:rPr>
                <w:rFonts w:ascii="Cambria" w:eastAsia="Calibri" w:hAnsi="Cambria" w:cs="Times New Roman"/>
                <w:lang w:val="hr-HR"/>
              </w:rPr>
              <w:t xml:space="preserve"> </w:t>
            </w:r>
            <w:proofErr w:type="spellStart"/>
            <w:r w:rsidRPr="00DF4CE5">
              <w:rPr>
                <w:rFonts w:ascii="Cambria" w:eastAsia="Calibri" w:hAnsi="Cambria" w:cs="Times New Roman"/>
                <w:lang w:val="hr-HR"/>
              </w:rPr>
              <w:t>in</w:t>
            </w:r>
            <w:proofErr w:type="spellEnd"/>
            <w:r w:rsidRPr="00DF4CE5">
              <w:rPr>
                <w:rFonts w:ascii="Cambria" w:eastAsia="Calibri" w:hAnsi="Cambria" w:cs="Times New Roman"/>
                <w:lang w:val="hr-HR"/>
              </w:rPr>
              <w:t xml:space="preserve"> Europe. </w:t>
            </w:r>
            <w:proofErr w:type="spellStart"/>
            <w:r w:rsidRPr="00DF4CE5">
              <w:rPr>
                <w:rFonts w:ascii="Cambria" w:eastAsia="Calibri" w:hAnsi="Cambria" w:cs="Times New Roman"/>
                <w:lang w:val="hr-HR"/>
              </w:rPr>
              <w:t>Brussels</w:t>
            </w:r>
            <w:proofErr w:type="spellEnd"/>
            <w:r w:rsidRPr="00DF4CE5">
              <w:rPr>
                <w:rFonts w:ascii="Cambria" w:eastAsia="Calibri" w:hAnsi="Cambria" w:cs="Times New Roman"/>
                <w:lang w:val="hr-HR"/>
              </w:rPr>
              <w:t xml:space="preserve">: </w:t>
            </w:r>
            <w:proofErr w:type="spellStart"/>
            <w:r w:rsidRPr="00DF4CE5">
              <w:rPr>
                <w:rFonts w:ascii="Cambria" w:eastAsia="Calibri" w:hAnsi="Cambria" w:cs="Times New Roman"/>
                <w:lang w:val="hr-HR"/>
              </w:rPr>
              <w:t>Eurydice</w:t>
            </w:r>
            <w:proofErr w:type="spellEnd"/>
            <w:r w:rsidRPr="00DF4CE5">
              <w:rPr>
                <w:rFonts w:ascii="Cambria" w:eastAsia="Calibri" w:hAnsi="Cambria" w:cs="Times New Roman"/>
                <w:lang w:val="hr-HR"/>
              </w:rPr>
              <w:t xml:space="preserve"> European </w:t>
            </w:r>
            <w:proofErr w:type="spellStart"/>
            <w:r w:rsidRPr="00DF4CE5">
              <w:rPr>
                <w:rFonts w:ascii="Cambria" w:eastAsia="Calibri" w:hAnsi="Cambria" w:cs="Times New Roman"/>
                <w:lang w:val="hr-HR"/>
              </w:rPr>
              <w:t>Unit</w:t>
            </w:r>
            <w:proofErr w:type="spellEnd"/>
            <w:r w:rsidRPr="00DF4CE5">
              <w:rPr>
                <w:rFonts w:ascii="Cambria" w:eastAsia="Calibri" w:hAnsi="Cambria" w:cs="Times New Roman"/>
                <w:lang w:val="hr-HR"/>
              </w:rPr>
              <w:t xml:space="preserve">. </w:t>
            </w:r>
          </w:p>
          <w:p w14:paraId="1DFB2B2B" w14:textId="77777777" w:rsidR="00B77450" w:rsidRPr="00DF4CE5" w:rsidRDefault="00B77450" w:rsidP="00891E8C">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t xml:space="preserve">6. Golja, T., Plavšić, M., </w:t>
            </w:r>
            <w:proofErr w:type="spellStart"/>
            <w:r w:rsidRPr="00DF4CE5">
              <w:rPr>
                <w:rFonts w:ascii="Cambria" w:eastAsia="Calibri" w:hAnsi="Cambria" w:cs="Times New Roman"/>
                <w:lang w:val="hr-HR"/>
              </w:rPr>
              <w:t>Slivar</w:t>
            </w:r>
            <w:proofErr w:type="spellEnd"/>
            <w:r w:rsidRPr="00DF4CE5">
              <w:rPr>
                <w:rFonts w:ascii="Cambria" w:eastAsia="Calibri" w:hAnsi="Cambria" w:cs="Times New Roman"/>
                <w:lang w:val="hr-HR"/>
              </w:rPr>
              <w:t xml:space="preserve">, I. (2019). </w:t>
            </w:r>
            <w:proofErr w:type="spellStart"/>
            <w:r w:rsidRPr="00DF4CE5">
              <w:rPr>
                <w:rFonts w:ascii="Cambria" w:eastAsia="Calibri" w:hAnsi="Cambria" w:cs="Times New Roman"/>
                <w:lang w:val="hr-HR"/>
              </w:rPr>
              <w:t>Collaborative</w:t>
            </w:r>
            <w:proofErr w:type="spellEnd"/>
            <w:r w:rsidRPr="00DF4CE5">
              <w:rPr>
                <w:rFonts w:ascii="Cambria" w:eastAsia="Calibri" w:hAnsi="Cambria" w:cs="Times New Roman"/>
                <w:lang w:val="hr-HR"/>
              </w:rPr>
              <w:t xml:space="preserve"> </w:t>
            </w:r>
            <w:proofErr w:type="spellStart"/>
            <w:r w:rsidRPr="00DF4CE5">
              <w:rPr>
                <w:rFonts w:ascii="Cambria" w:eastAsia="Calibri" w:hAnsi="Cambria" w:cs="Times New Roman"/>
                <w:lang w:val="hr-HR"/>
              </w:rPr>
              <w:t>learning</w:t>
            </w:r>
            <w:proofErr w:type="spellEnd"/>
            <w:r w:rsidRPr="00DF4CE5">
              <w:rPr>
                <w:rFonts w:ascii="Cambria" w:eastAsia="Calibri" w:hAnsi="Cambria" w:cs="Times New Roman"/>
                <w:lang w:val="hr-HR"/>
              </w:rPr>
              <w:t xml:space="preserve"> </w:t>
            </w:r>
            <w:proofErr w:type="spellStart"/>
            <w:r w:rsidRPr="00DF4CE5">
              <w:rPr>
                <w:rFonts w:ascii="Cambria" w:eastAsia="Calibri" w:hAnsi="Cambria" w:cs="Times New Roman"/>
                <w:lang w:val="hr-HR"/>
              </w:rPr>
              <w:t>guidelines</w:t>
            </w:r>
            <w:proofErr w:type="spellEnd"/>
            <w:r w:rsidRPr="00DF4CE5">
              <w:rPr>
                <w:rFonts w:ascii="Cambria" w:eastAsia="Calibri" w:hAnsi="Cambria" w:cs="Times New Roman"/>
                <w:lang w:val="hr-HR"/>
              </w:rPr>
              <w:t>. Pula: Sveučilište Jurja Dobrile u Puli.</w:t>
            </w:r>
          </w:p>
          <w:p w14:paraId="47B3C1C6" w14:textId="77777777" w:rsidR="00B77450" w:rsidRPr="00DF4CE5" w:rsidRDefault="00B77450" w:rsidP="00891E8C">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t xml:space="preserve">7. </w:t>
            </w:r>
            <w:proofErr w:type="spellStart"/>
            <w:r w:rsidRPr="00DF4CE5">
              <w:rPr>
                <w:rFonts w:ascii="Cambria" w:eastAsia="Calibri" w:hAnsi="Cambria" w:cs="Times New Roman"/>
                <w:lang w:val="hr-HR"/>
              </w:rPr>
              <w:t>Hagenaars</w:t>
            </w:r>
            <w:proofErr w:type="spellEnd"/>
            <w:r w:rsidRPr="00DF4CE5">
              <w:rPr>
                <w:rFonts w:ascii="Cambria" w:eastAsia="Calibri" w:hAnsi="Cambria" w:cs="Times New Roman"/>
                <w:lang w:val="hr-HR"/>
              </w:rPr>
              <w:t xml:space="preserve">, P., Plavšić, M., </w:t>
            </w:r>
            <w:proofErr w:type="spellStart"/>
            <w:r w:rsidRPr="00DF4CE5">
              <w:rPr>
                <w:rFonts w:ascii="Cambria" w:eastAsia="Calibri" w:hAnsi="Cambria" w:cs="Times New Roman"/>
                <w:lang w:val="hr-HR"/>
              </w:rPr>
              <w:t>Sveaass</w:t>
            </w:r>
            <w:proofErr w:type="spellEnd"/>
            <w:r w:rsidRPr="00DF4CE5">
              <w:rPr>
                <w:rFonts w:ascii="Cambria" w:eastAsia="Calibri" w:hAnsi="Cambria" w:cs="Times New Roman"/>
                <w:lang w:val="hr-HR"/>
              </w:rPr>
              <w:t xml:space="preserve">, N., </w:t>
            </w:r>
            <w:proofErr w:type="spellStart"/>
            <w:r w:rsidRPr="00DF4CE5">
              <w:rPr>
                <w:rFonts w:ascii="Cambria" w:eastAsia="Calibri" w:hAnsi="Cambria" w:cs="Times New Roman"/>
                <w:lang w:val="hr-HR"/>
              </w:rPr>
              <w:t>Wainwright</w:t>
            </w:r>
            <w:proofErr w:type="spellEnd"/>
            <w:r w:rsidRPr="00DF4CE5">
              <w:rPr>
                <w:rFonts w:ascii="Cambria" w:eastAsia="Calibri" w:hAnsi="Cambria" w:cs="Times New Roman"/>
                <w:lang w:val="hr-HR"/>
              </w:rPr>
              <w:t>, T. (</w:t>
            </w:r>
            <w:proofErr w:type="spellStart"/>
            <w:r w:rsidRPr="00DF4CE5">
              <w:rPr>
                <w:rFonts w:ascii="Cambria" w:eastAsia="Calibri" w:hAnsi="Cambria" w:cs="Times New Roman"/>
                <w:lang w:val="hr-HR"/>
              </w:rPr>
              <w:t>ur</w:t>
            </w:r>
            <w:proofErr w:type="spellEnd"/>
            <w:r w:rsidRPr="00DF4CE5">
              <w:rPr>
                <w:rFonts w:ascii="Cambria" w:eastAsia="Calibri" w:hAnsi="Cambria" w:cs="Times New Roman"/>
                <w:lang w:val="hr-HR"/>
              </w:rPr>
              <w:t xml:space="preserve">.) (2020). Human </w:t>
            </w:r>
            <w:proofErr w:type="spellStart"/>
            <w:r w:rsidRPr="00DF4CE5">
              <w:rPr>
                <w:rFonts w:ascii="Cambria" w:eastAsia="Calibri" w:hAnsi="Cambria" w:cs="Times New Roman"/>
                <w:lang w:val="hr-HR"/>
              </w:rPr>
              <w:t>rights</w:t>
            </w:r>
            <w:proofErr w:type="spellEnd"/>
            <w:r w:rsidRPr="00DF4CE5">
              <w:rPr>
                <w:rFonts w:ascii="Cambria" w:eastAsia="Calibri" w:hAnsi="Cambria" w:cs="Times New Roman"/>
                <w:lang w:val="hr-HR"/>
              </w:rPr>
              <w:t xml:space="preserve"> </w:t>
            </w:r>
            <w:proofErr w:type="spellStart"/>
            <w:r w:rsidRPr="00DF4CE5">
              <w:rPr>
                <w:rFonts w:ascii="Cambria" w:eastAsia="Calibri" w:hAnsi="Cambria" w:cs="Times New Roman"/>
                <w:lang w:val="hr-HR"/>
              </w:rPr>
              <w:t>education</w:t>
            </w:r>
            <w:proofErr w:type="spellEnd"/>
            <w:r w:rsidRPr="00DF4CE5">
              <w:rPr>
                <w:rFonts w:ascii="Cambria" w:eastAsia="Calibri" w:hAnsi="Cambria" w:cs="Times New Roman"/>
                <w:lang w:val="hr-HR"/>
              </w:rPr>
              <w:t xml:space="preserve"> for </w:t>
            </w:r>
            <w:proofErr w:type="spellStart"/>
            <w:r w:rsidRPr="00DF4CE5">
              <w:rPr>
                <w:rFonts w:ascii="Cambria" w:eastAsia="Calibri" w:hAnsi="Cambria" w:cs="Times New Roman"/>
                <w:lang w:val="hr-HR"/>
              </w:rPr>
              <w:t>psychologists</w:t>
            </w:r>
            <w:proofErr w:type="spellEnd"/>
            <w:r w:rsidRPr="00DF4CE5">
              <w:rPr>
                <w:rFonts w:ascii="Cambria" w:eastAsia="Calibri" w:hAnsi="Cambria" w:cs="Times New Roman"/>
                <w:lang w:val="hr-HR"/>
              </w:rPr>
              <w:t xml:space="preserve">. </w:t>
            </w:r>
            <w:proofErr w:type="spellStart"/>
            <w:r w:rsidRPr="00DF4CE5">
              <w:rPr>
                <w:rFonts w:ascii="Cambria" w:eastAsia="Calibri" w:hAnsi="Cambria" w:cs="Times New Roman"/>
                <w:lang w:val="hr-HR"/>
              </w:rPr>
              <w:t>Oxon</w:t>
            </w:r>
            <w:proofErr w:type="spellEnd"/>
            <w:r w:rsidRPr="00DF4CE5">
              <w:rPr>
                <w:rFonts w:ascii="Cambria" w:eastAsia="Calibri" w:hAnsi="Cambria" w:cs="Times New Roman"/>
                <w:lang w:val="hr-HR"/>
              </w:rPr>
              <w:t xml:space="preserve">: </w:t>
            </w:r>
            <w:proofErr w:type="spellStart"/>
            <w:r w:rsidRPr="00DF4CE5">
              <w:rPr>
                <w:rFonts w:ascii="Cambria" w:eastAsia="Calibri" w:hAnsi="Cambria" w:cs="Times New Roman"/>
                <w:lang w:val="hr-HR"/>
              </w:rPr>
              <w:t>Routledge</w:t>
            </w:r>
            <w:proofErr w:type="spellEnd"/>
            <w:r w:rsidRPr="00DF4CE5">
              <w:rPr>
                <w:rFonts w:ascii="Cambria" w:eastAsia="Calibri" w:hAnsi="Cambria" w:cs="Times New Roman"/>
                <w:lang w:val="hr-HR"/>
              </w:rPr>
              <w:t>.</w:t>
            </w:r>
          </w:p>
          <w:p w14:paraId="561DA8C3" w14:textId="77777777" w:rsidR="00B77450" w:rsidRPr="00DF4CE5" w:rsidRDefault="00B77450" w:rsidP="00891E8C">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t xml:space="preserve">8. Piršl, E. (2002). </w:t>
            </w:r>
            <w:proofErr w:type="spellStart"/>
            <w:r w:rsidRPr="00DF4CE5">
              <w:rPr>
                <w:rFonts w:ascii="Cambria" w:eastAsia="Calibri" w:hAnsi="Cambria" w:cs="Times New Roman"/>
                <w:lang w:val="hr-HR"/>
              </w:rPr>
              <w:t>Cooperation</w:t>
            </w:r>
            <w:proofErr w:type="spellEnd"/>
            <w:r w:rsidRPr="00DF4CE5">
              <w:rPr>
                <w:rFonts w:ascii="Cambria" w:eastAsia="Calibri" w:hAnsi="Cambria" w:cs="Times New Roman"/>
                <w:lang w:val="hr-HR"/>
              </w:rPr>
              <w:t xml:space="preserve"> </w:t>
            </w:r>
            <w:proofErr w:type="spellStart"/>
            <w:r w:rsidRPr="00DF4CE5">
              <w:rPr>
                <w:rFonts w:ascii="Cambria" w:eastAsia="Calibri" w:hAnsi="Cambria" w:cs="Times New Roman"/>
                <w:lang w:val="hr-HR"/>
              </w:rPr>
              <w:t>of</w:t>
            </w:r>
            <w:proofErr w:type="spellEnd"/>
            <w:r w:rsidRPr="00DF4CE5">
              <w:rPr>
                <w:rFonts w:ascii="Cambria" w:eastAsia="Calibri" w:hAnsi="Cambria" w:cs="Times New Roman"/>
                <w:lang w:val="hr-HR"/>
              </w:rPr>
              <w:t xml:space="preserve"> </w:t>
            </w:r>
            <w:proofErr w:type="spellStart"/>
            <w:r w:rsidRPr="00DF4CE5">
              <w:rPr>
                <w:rFonts w:ascii="Cambria" w:eastAsia="Calibri" w:hAnsi="Cambria" w:cs="Times New Roman"/>
                <w:lang w:val="hr-HR"/>
              </w:rPr>
              <w:t>Schools</w:t>
            </w:r>
            <w:proofErr w:type="spellEnd"/>
            <w:r w:rsidRPr="00DF4CE5">
              <w:rPr>
                <w:rFonts w:ascii="Cambria" w:eastAsia="Calibri" w:hAnsi="Cambria" w:cs="Times New Roman"/>
                <w:lang w:val="hr-HR"/>
              </w:rPr>
              <w:t xml:space="preserve"> </w:t>
            </w:r>
            <w:proofErr w:type="spellStart"/>
            <w:r w:rsidRPr="00DF4CE5">
              <w:rPr>
                <w:rFonts w:ascii="Cambria" w:eastAsia="Calibri" w:hAnsi="Cambria" w:cs="Times New Roman"/>
                <w:lang w:val="hr-HR"/>
              </w:rPr>
              <w:t>and</w:t>
            </w:r>
            <w:proofErr w:type="spellEnd"/>
            <w:r w:rsidRPr="00DF4CE5">
              <w:rPr>
                <w:rFonts w:ascii="Cambria" w:eastAsia="Calibri" w:hAnsi="Cambria" w:cs="Times New Roman"/>
                <w:lang w:val="hr-HR"/>
              </w:rPr>
              <w:t xml:space="preserve"> </w:t>
            </w:r>
            <w:proofErr w:type="spellStart"/>
            <w:r w:rsidRPr="00DF4CE5">
              <w:rPr>
                <w:rFonts w:ascii="Cambria" w:eastAsia="Calibri" w:hAnsi="Cambria" w:cs="Times New Roman"/>
                <w:lang w:val="hr-HR"/>
              </w:rPr>
              <w:t>NGOs</w:t>
            </w:r>
            <w:proofErr w:type="spellEnd"/>
            <w:r w:rsidRPr="00DF4CE5">
              <w:rPr>
                <w:rFonts w:ascii="Cambria" w:eastAsia="Calibri" w:hAnsi="Cambria" w:cs="Times New Roman"/>
                <w:lang w:val="hr-HR"/>
              </w:rPr>
              <w:t xml:space="preserve"> </w:t>
            </w:r>
            <w:proofErr w:type="spellStart"/>
            <w:r w:rsidRPr="00DF4CE5">
              <w:rPr>
                <w:rFonts w:ascii="Cambria" w:eastAsia="Calibri" w:hAnsi="Cambria" w:cs="Times New Roman"/>
                <w:lang w:val="hr-HR"/>
              </w:rPr>
              <w:t>in</w:t>
            </w:r>
            <w:proofErr w:type="spellEnd"/>
            <w:r w:rsidRPr="00DF4CE5">
              <w:rPr>
                <w:rFonts w:ascii="Cambria" w:eastAsia="Calibri" w:hAnsi="Cambria" w:cs="Times New Roman"/>
                <w:lang w:val="hr-HR"/>
              </w:rPr>
              <w:t xml:space="preserve"> </w:t>
            </w:r>
            <w:proofErr w:type="spellStart"/>
            <w:r w:rsidRPr="00DF4CE5">
              <w:rPr>
                <w:rFonts w:ascii="Cambria" w:eastAsia="Calibri" w:hAnsi="Cambria" w:cs="Times New Roman"/>
                <w:lang w:val="hr-HR"/>
              </w:rPr>
              <w:t>Intercultural</w:t>
            </w:r>
            <w:proofErr w:type="spellEnd"/>
            <w:r w:rsidRPr="00DF4CE5">
              <w:rPr>
                <w:rFonts w:ascii="Cambria" w:eastAsia="Calibri" w:hAnsi="Cambria" w:cs="Times New Roman"/>
                <w:lang w:val="hr-HR"/>
              </w:rPr>
              <w:t xml:space="preserve"> </w:t>
            </w:r>
            <w:proofErr w:type="spellStart"/>
            <w:r w:rsidRPr="00DF4CE5">
              <w:rPr>
                <w:rFonts w:ascii="Cambria" w:eastAsia="Calibri" w:hAnsi="Cambria" w:cs="Times New Roman"/>
                <w:lang w:val="hr-HR"/>
              </w:rPr>
              <w:t>Education</w:t>
            </w:r>
            <w:proofErr w:type="spellEnd"/>
            <w:r w:rsidRPr="00DF4CE5">
              <w:rPr>
                <w:rFonts w:ascii="Cambria" w:eastAsia="Calibri" w:hAnsi="Cambria" w:cs="Times New Roman"/>
                <w:lang w:val="hr-HR"/>
              </w:rPr>
              <w:t>. http://www.ffzg.hr/hre-edc/Zd-Sem-Report_ENG.htm</w:t>
            </w:r>
          </w:p>
          <w:p w14:paraId="4AE026E4" w14:textId="77777777" w:rsidR="00B77450" w:rsidRPr="00DF4CE5" w:rsidRDefault="00B77450" w:rsidP="00891E8C">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t>9. Spajić-</w:t>
            </w:r>
            <w:proofErr w:type="spellStart"/>
            <w:r w:rsidRPr="00DF4CE5">
              <w:rPr>
                <w:rFonts w:ascii="Cambria" w:eastAsia="Calibri" w:hAnsi="Cambria" w:cs="Times New Roman"/>
                <w:lang w:val="hr-HR"/>
              </w:rPr>
              <w:t>Vrkaš</w:t>
            </w:r>
            <w:proofErr w:type="spellEnd"/>
            <w:r w:rsidRPr="00DF4CE5">
              <w:rPr>
                <w:rFonts w:ascii="Cambria" w:eastAsia="Calibri" w:hAnsi="Cambria" w:cs="Times New Roman"/>
                <w:lang w:val="hr-HR"/>
              </w:rPr>
              <w:t>, V. (2002). Odgoj i obrazovanje za demokratsko građanstvo u Hrvatskoj – izvješće. Zagreb: Centar za istraživanje, izobrazbu i dokumentaciju u obrazovanju za ljudska prava i demokratsko građanstvo i Filozofski fakultet Sveučilišta u Zagrebu.</w:t>
            </w:r>
          </w:p>
          <w:p w14:paraId="1440E1CE" w14:textId="77777777" w:rsidR="00B77450" w:rsidRPr="00DF4CE5" w:rsidRDefault="00B77450" w:rsidP="00891E8C">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t>10. Spajić-</w:t>
            </w:r>
            <w:proofErr w:type="spellStart"/>
            <w:r w:rsidRPr="00DF4CE5">
              <w:rPr>
                <w:rFonts w:ascii="Cambria" w:eastAsia="Calibri" w:hAnsi="Cambria" w:cs="Times New Roman"/>
                <w:lang w:val="hr-HR"/>
              </w:rPr>
              <w:t>Vrkaš</w:t>
            </w:r>
            <w:proofErr w:type="spellEnd"/>
            <w:r w:rsidRPr="00DF4CE5">
              <w:rPr>
                <w:rFonts w:ascii="Cambria" w:eastAsia="Calibri" w:hAnsi="Cambria" w:cs="Times New Roman"/>
                <w:lang w:val="hr-HR"/>
              </w:rPr>
              <w:t xml:space="preserve">, V., Božić, J., Piršl, E. (2003). Project </w:t>
            </w:r>
            <w:proofErr w:type="spellStart"/>
            <w:r w:rsidRPr="00DF4CE5">
              <w:rPr>
                <w:rFonts w:ascii="Cambria" w:eastAsia="Calibri" w:hAnsi="Cambria" w:cs="Times New Roman"/>
                <w:lang w:val="hr-HR"/>
              </w:rPr>
              <w:t>Education</w:t>
            </w:r>
            <w:proofErr w:type="spellEnd"/>
            <w:r w:rsidRPr="00DF4CE5">
              <w:rPr>
                <w:rFonts w:ascii="Cambria" w:eastAsia="Calibri" w:hAnsi="Cambria" w:cs="Times New Roman"/>
                <w:lang w:val="hr-HR"/>
              </w:rPr>
              <w:t xml:space="preserve"> for </w:t>
            </w:r>
            <w:proofErr w:type="spellStart"/>
            <w:r w:rsidRPr="00DF4CE5">
              <w:rPr>
                <w:rFonts w:ascii="Cambria" w:eastAsia="Calibri" w:hAnsi="Cambria" w:cs="Times New Roman"/>
                <w:lang w:val="hr-HR"/>
              </w:rPr>
              <w:t>Democratic</w:t>
            </w:r>
            <w:proofErr w:type="spellEnd"/>
            <w:r w:rsidRPr="00DF4CE5">
              <w:rPr>
                <w:rFonts w:ascii="Cambria" w:eastAsia="Calibri" w:hAnsi="Cambria" w:cs="Times New Roman"/>
                <w:lang w:val="hr-HR"/>
              </w:rPr>
              <w:t xml:space="preserve"> </w:t>
            </w:r>
            <w:proofErr w:type="spellStart"/>
            <w:r w:rsidRPr="00DF4CE5">
              <w:rPr>
                <w:rFonts w:ascii="Cambria" w:eastAsia="Calibri" w:hAnsi="Cambria" w:cs="Times New Roman"/>
                <w:lang w:val="hr-HR"/>
              </w:rPr>
              <w:t>Citizenship</w:t>
            </w:r>
            <w:proofErr w:type="spellEnd"/>
            <w:r w:rsidRPr="00DF4CE5">
              <w:rPr>
                <w:rFonts w:ascii="Cambria" w:eastAsia="Calibri" w:hAnsi="Cambria" w:cs="Times New Roman"/>
                <w:lang w:val="hr-HR"/>
              </w:rPr>
              <w:t xml:space="preserve">: </w:t>
            </w:r>
            <w:proofErr w:type="spellStart"/>
            <w:r w:rsidRPr="00DF4CE5">
              <w:rPr>
                <w:rFonts w:ascii="Cambria" w:eastAsia="Calibri" w:hAnsi="Cambria" w:cs="Times New Roman"/>
                <w:lang w:val="hr-HR"/>
              </w:rPr>
              <w:t>From</w:t>
            </w:r>
            <w:proofErr w:type="spellEnd"/>
            <w:r w:rsidRPr="00DF4CE5">
              <w:rPr>
                <w:rFonts w:ascii="Cambria" w:eastAsia="Calibri" w:hAnsi="Cambria" w:cs="Times New Roman"/>
                <w:lang w:val="hr-HR"/>
              </w:rPr>
              <w:t xml:space="preserve"> </w:t>
            </w:r>
            <w:proofErr w:type="spellStart"/>
            <w:r w:rsidRPr="00DF4CE5">
              <w:rPr>
                <w:rFonts w:ascii="Cambria" w:eastAsia="Calibri" w:hAnsi="Cambria" w:cs="Times New Roman"/>
                <w:lang w:val="hr-HR"/>
              </w:rPr>
              <w:t>Policy</w:t>
            </w:r>
            <w:proofErr w:type="spellEnd"/>
            <w:r w:rsidRPr="00DF4CE5">
              <w:rPr>
                <w:rFonts w:ascii="Cambria" w:eastAsia="Calibri" w:hAnsi="Cambria" w:cs="Times New Roman"/>
                <w:lang w:val="hr-HR"/>
              </w:rPr>
              <w:t xml:space="preserve"> to </w:t>
            </w:r>
            <w:proofErr w:type="spellStart"/>
            <w:r w:rsidRPr="00DF4CE5">
              <w:rPr>
                <w:rFonts w:ascii="Cambria" w:eastAsia="Calibri" w:hAnsi="Cambria" w:cs="Times New Roman"/>
                <w:lang w:val="hr-HR"/>
              </w:rPr>
              <w:t>Effective</w:t>
            </w:r>
            <w:proofErr w:type="spellEnd"/>
            <w:r w:rsidRPr="00DF4CE5">
              <w:rPr>
                <w:rFonts w:ascii="Cambria" w:eastAsia="Calibri" w:hAnsi="Cambria" w:cs="Times New Roman"/>
                <w:lang w:val="hr-HR"/>
              </w:rPr>
              <w:t xml:space="preserve"> </w:t>
            </w:r>
            <w:proofErr w:type="spellStart"/>
            <w:r w:rsidRPr="00DF4CE5">
              <w:rPr>
                <w:rFonts w:ascii="Cambria" w:eastAsia="Calibri" w:hAnsi="Cambria" w:cs="Times New Roman"/>
                <w:lang w:val="hr-HR"/>
              </w:rPr>
              <w:t>Practice</w:t>
            </w:r>
            <w:proofErr w:type="spellEnd"/>
            <w:r w:rsidRPr="00DF4CE5">
              <w:rPr>
                <w:rFonts w:ascii="Cambria" w:eastAsia="Calibri" w:hAnsi="Cambria" w:cs="Times New Roman"/>
                <w:lang w:val="hr-HR"/>
              </w:rPr>
              <w:t xml:space="preserve"> </w:t>
            </w:r>
            <w:proofErr w:type="spellStart"/>
            <w:r w:rsidRPr="00DF4CE5">
              <w:rPr>
                <w:rFonts w:ascii="Cambria" w:eastAsia="Calibri" w:hAnsi="Cambria" w:cs="Times New Roman"/>
                <w:lang w:val="hr-HR"/>
              </w:rPr>
              <w:t>Through</w:t>
            </w:r>
            <w:proofErr w:type="spellEnd"/>
            <w:r w:rsidRPr="00DF4CE5">
              <w:rPr>
                <w:rFonts w:ascii="Cambria" w:eastAsia="Calibri" w:hAnsi="Cambria" w:cs="Times New Roman"/>
                <w:lang w:val="hr-HR"/>
              </w:rPr>
              <w:t xml:space="preserve"> </w:t>
            </w:r>
            <w:proofErr w:type="spellStart"/>
            <w:r w:rsidRPr="00DF4CE5">
              <w:rPr>
                <w:rFonts w:ascii="Cambria" w:eastAsia="Calibri" w:hAnsi="Cambria" w:cs="Times New Roman"/>
                <w:lang w:val="hr-HR"/>
              </w:rPr>
              <w:t>Quality</w:t>
            </w:r>
            <w:proofErr w:type="spellEnd"/>
            <w:r w:rsidRPr="00DF4CE5">
              <w:rPr>
                <w:rFonts w:ascii="Cambria" w:eastAsia="Calibri" w:hAnsi="Cambria" w:cs="Times New Roman"/>
                <w:lang w:val="hr-HR"/>
              </w:rPr>
              <w:t xml:space="preserve"> </w:t>
            </w:r>
            <w:proofErr w:type="spellStart"/>
            <w:r w:rsidRPr="00DF4CE5">
              <w:rPr>
                <w:rFonts w:ascii="Cambria" w:eastAsia="Calibri" w:hAnsi="Cambria" w:cs="Times New Roman"/>
                <w:lang w:val="hr-HR"/>
              </w:rPr>
              <w:t>Assurance</w:t>
            </w:r>
            <w:proofErr w:type="spellEnd"/>
            <w:r w:rsidRPr="00DF4CE5">
              <w:rPr>
                <w:rFonts w:ascii="Cambria" w:eastAsia="Calibri" w:hAnsi="Cambria" w:cs="Times New Roman"/>
                <w:lang w:val="hr-HR"/>
              </w:rPr>
              <w:t xml:space="preserve"> (EDC-QA Project). </w:t>
            </w:r>
            <w:proofErr w:type="spellStart"/>
            <w:r w:rsidRPr="00DF4CE5">
              <w:rPr>
                <w:rFonts w:ascii="Cambria" w:eastAsia="Calibri" w:hAnsi="Cambria" w:cs="Times New Roman"/>
                <w:lang w:val="hr-HR"/>
              </w:rPr>
              <w:t>Stocktaking</w:t>
            </w:r>
            <w:proofErr w:type="spellEnd"/>
            <w:r w:rsidRPr="00DF4CE5">
              <w:rPr>
                <w:rFonts w:ascii="Cambria" w:eastAsia="Calibri" w:hAnsi="Cambria" w:cs="Times New Roman"/>
                <w:lang w:val="hr-HR"/>
              </w:rPr>
              <w:t xml:space="preserve"> </w:t>
            </w:r>
            <w:proofErr w:type="spellStart"/>
            <w:r w:rsidRPr="00DF4CE5">
              <w:rPr>
                <w:rFonts w:ascii="Cambria" w:eastAsia="Calibri" w:hAnsi="Cambria" w:cs="Times New Roman"/>
                <w:lang w:val="hr-HR"/>
              </w:rPr>
              <w:t>in</w:t>
            </w:r>
            <w:proofErr w:type="spellEnd"/>
            <w:r w:rsidRPr="00DF4CE5">
              <w:rPr>
                <w:rFonts w:ascii="Cambria" w:eastAsia="Calibri" w:hAnsi="Cambria" w:cs="Times New Roman"/>
                <w:lang w:val="hr-HR"/>
              </w:rPr>
              <w:t xml:space="preserve"> </w:t>
            </w:r>
            <w:proofErr w:type="spellStart"/>
            <w:r w:rsidRPr="00DF4CE5">
              <w:rPr>
                <w:rFonts w:ascii="Cambria" w:eastAsia="Calibri" w:hAnsi="Cambria" w:cs="Times New Roman"/>
                <w:lang w:val="hr-HR"/>
              </w:rPr>
              <w:t>Southeast</w:t>
            </w:r>
            <w:proofErr w:type="spellEnd"/>
            <w:r w:rsidRPr="00DF4CE5">
              <w:rPr>
                <w:rFonts w:ascii="Cambria" w:eastAsia="Calibri" w:hAnsi="Cambria" w:cs="Times New Roman"/>
                <w:lang w:val="hr-HR"/>
              </w:rPr>
              <w:t xml:space="preserve"> Europe – </w:t>
            </w:r>
            <w:proofErr w:type="spellStart"/>
            <w:r w:rsidRPr="00DF4CE5">
              <w:rPr>
                <w:rFonts w:ascii="Cambria" w:eastAsia="Calibri" w:hAnsi="Cambria" w:cs="Times New Roman"/>
                <w:lang w:val="hr-HR"/>
              </w:rPr>
              <w:t>Country</w:t>
            </w:r>
            <w:proofErr w:type="spellEnd"/>
            <w:r w:rsidRPr="00DF4CE5">
              <w:rPr>
                <w:rFonts w:ascii="Cambria" w:eastAsia="Calibri" w:hAnsi="Cambria" w:cs="Times New Roman"/>
                <w:lang w:val="hr-HR"/>
              </w:rPr>
              <w:t xml:space="preserve"> </w:t>
            </w:r>
            <w:proofErr w:type="spellStart"/>
            <w:r w:rsidRPr="00DF4CE5">
              <w:rPr>
                <w:rFonts w:ascii="Cambria" w:eastAsia="Calibri" w:hAnsi="Cambria" w:cs="Times New Roman"/>
                <w:lang w:val="hr-HR"/>
              </w:rPr>
              <w:t>Report</w:t>
            </w:r>
            <w:proofErr w:type="spellEnd"/>
            <w:r w:rsidRPr="00DF4CE5">
              <w:rPr>
                <w:rFonts w:ascii="Cambria" w:eastAsia="Calibri" w:hAnsi="Cambria" w:cs="Times New Roman"/>
                <w:lang w:val="hr-HR"/>
              </w:rPr>
              <w:t xml:space="preserve">: Croatia. Zagreb: Research </w:t>
            </w:r>
            <w:proofErr w:type="spellStart"/>
            <w:r w:rsidRPr="00DF4CE5">
              <w:rPr>
                <w:rFonts w:ascii="Cambria" w:eastAsia="Calibri" w:hAnsi="Cambria" w:cs="Times New Roman"/>
                <w:lang w:val="hr-HR"/>
              </w:rPr>
              <w:t>and</w:t>
            </w:r>
            <w:proofErr w:type="spellEnd"/>
            <w:r w:rsidRPr="00DF4CE5">
              <w:rPr>
                <w:rFonts w:ascii="Cambria" w:eastAsia="Calibri" w:hAnsi="Cambria" w:cs="Times New Roman"/>
                <w:lang w:val="hr-HR"/>
              </w:rPr>
              <w:t xml:space="preserve"> Training Centre for Human Rights </w:t>
            </w:r>
            <w:proofErr w:type="spellStart"/>
            <w:r w:rsidRPr="00DF4CE5">
              <w:rPr>
                <w:rFonts w:ascii="Cambria" w:eastAsia="Calibri" w:hAnsi="Cambria" w:cs="Times New Roman"/>
                <w:lang w:val="hr-HR"/>
              </w:rPr>
              <w:t>and</w:t>
            </w:r>
            <w:proofErr w:type="spellEnd"/>
            <w:r w:rsidRPr="00DF4CE5">
              <w:rPr>
                <w:rFonts w:ascii="Cambria" w:eastAsia="Calibri" w:hAnsi="Cambria" w:cs="Times New Roman"/>
                <w:lang w:val="hr-HR"/>
              </w:rPr>
              <w:t xml:space="preserve"> </w:t>
            </w:r>
            <w:proofErr w:type="spellStart"/>
            <w:r w:rsidRPr="00DF4CE5">
              <w:rPr>
                <w:rFonts w:ascii="Cambria" w:eastAsia="Calibri" w:hAnsi="Cambria" w:cs="Times New Roman"/>
                <w:lang w:val="hr-HR"/>
              </w:rPr>
              <w:t>Democratic</w:t>
            </w:r>
            <w:proofErr w:type="spellEnd"/>
            <w:r w:rsidRPr="00DF4CE5">
              <w:rPr>
                <w:rFonts w:ascii="Cambria" w:eastAsia="Calibri" w:hAnsi="Cambria" w:cs="Times New Roman"/>
                <w:lang w:val="hr-HR"/>
              </w:rPr>
              <w:t xml:space="preserve"> </w:t>
            </w:r>
            <w:proofErr w:type="spellStart"/>
            <w:r w:rsidRPr="00DF4CE5">
              <w:rPr>
                <w:rFonts w:ascii="Cambria" w:eastAsia="Calibri" w:hAnsi="Cambria" w:cs="Times New Roman"/>
                <w:lang w:val="hr-HR"/>
              </w:rPr>
              <w:t>Citizenship</w:t>
            </w:r>
            <w:proofErr w:type="spellEnd"/>
            <w:r w:rsidRPr="00DF4CE5">
              <w:rPr>
                <w:rFonts w:ascii="Cambria" w:eastAsia="Calibri" w:hAnsi="Cambria" w:cs="Times New Roman"/>
                <w:lang w:val="hr-HR"/>
              </w:rPr>
              <w:t xml:space="preserve"> </w:t>
            </w:r>
            <w:proofErr w:type="spellStart"/>
            <w:r w:rsidRPr="00DF4CE5">
              <w:rPr>
                <w:rFonts w:ascii="Cambria" w:eastAsia="Calibri" w:hAnsi="Cambria" w:cs="Times New Roman"/>
                <w:lang w:val="hr-HR"/>
              </w:rPr>
              <w:t>and</w:t>
            </w:r>
            <w:proofErr w:type="spellEnd"/>
            <w:r w:rsidRPr="00DF4CE5">
              <w:rPr>
                <w:rFonts w:ascii="Cambria" w:eastAsia="Calibri" w:hAnsi="Cambria" w:cs="Times New Roman"/>
                <w:lang w:val="hr-HR"/>
              </w:rPr>
              <w:t xml:space="preserve"> </w:t>
            </w:r>
            <w:proofErr w:type="spellStart"/>
            <w:r w:rsidRPr="00DF4CE5">
              <w:rPr>
                <w:rFonts w:ascii="Cambria" w:eastAsia="Calibri" w:hAnsi="Cambria" w:cs="Times New Roman"/>
                <w:lang w:val="hr-HR"/>
              </w:rPr>
              <w:t>Faculty</w:t>
            </w:r>
            <w:proofErr w:type="spellEnd"/>
            <w:r w:rsidRPr="00DF4CE5">
              <w:rPr>
                <w:rFonts w:ascii="Cambria" w:eastAsia="Calibri" w:hAnsi="Cambria" w:cs="Times New Roman"/>
                <w:lang w:val="hr-HR"/>
              </w:rPr>
              <w:t xml:space="preserve"> </w:t>
            </w:r>
            <w:proofErr w:type="spellStart"/>
            <w:r w:rsidRPr="00DF4CE5">
              <w:rPr>
                <w:rFonts w:ascii="Cambria" w:eastAsia="Calibri" w:hAnsi="Cambria" w:cs="Times New Roman"/>
                <w:lang w:val="hr-HR"/>
              </w:rPr>
              <w:t>of</w:t>
            </w:r>
            <w:proofErr w:type="spellEnd"/>
            <w:r w:rsidRPr="00DF4CE5">
              <w:rPr>
                <w:rFonts w:ascii="Cambria" w:eastAsia="Calibri" w:hAnsi="Cambria" w:cs="Times New Roman"/>
                <w:lang w:val="hr-HR"/>
              </w:rPr>
              <w:t xml:space="preserve"> </w:t>
            </w:r>
            <w:proofErr w:type="spellStart"/>
            <w:r w:rsidRPr="00DF4CE5">
              <w:rPr>
                <w:rFonts w:ascii="Cambria" w:eastAsia="Calibri" w:hAnsi="Cambria" w:cs="Times New Roman"/>
                <w:lang w:val="hr-HR"/>
              </w:rPr>
              <w:t>Philosophy</w:t>
            </w:r>
            <w:proofErr w:type="spellEnd"/>
            <w:r w:rsidRPr="00DF4CE5">
              <w:rPr>
                <w:rFonts w:ascii="Cambria" w:eastAsia="Calibri" w:hAnsi="Cambria" w:cs="Times New Roman"/>
                <w:lang w:val="hr-HR"/>
              </w:rPr>
              <w:t xml:space="preserve"> University </w:t>
            </w:r>
            <w:proofErr w:type="spellStart"/>
            <w:r w:rsidRPr="00DF4CE5">
              <w:rPr>
                <w:rFonts w:ascii="Cambria" w:eastAsia="Calibri" w:hAnsi="Cambria" w:cs="Times New Roman"/>
                <w:lang w:val="hr-HR"/>
              </w:rPr>
              <w:t>of</w:t>
            </w:r>
            <w:proofErr w:type="spellEnd"/>
            <w:r w:rsidRPr="00DF4CE5">
              <w:rPr>
                <w:rFonts w:ascii="Cambria" w:eastAsia="Calibri" w:hAnsi="Cambria" w:cs="Times New Roman"/>
                <w:lang w:val="hr-HR"/>
              </w:rPr>
              <w:t xml:space="preserve"> Zagreb.</w:t>
            </w:r>
          </w:p>
          <w:p w14:paraId="182361AC" w14:textId="77777777" w:rsidR="00B77450" w:rsidRPr="00DF4CE5" w:rsidRDefault="00B77450" w:rsidP="00891E8C">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t>11. Spajić-</w:t>
            </w:r>
            <w:proofErr w:type="spellStart"/>
            <w:r w:rsidRPr="00DF4CE5">
              <w:rPr>
                <w:rFonts w:ascii="Cambria" w:eastAsia="Calibri" w:hAnsi="Cambria" w:cs="Times New Roman"/>
                <w:lang w:val="hr-HR"/>
              </w:rPr>
              <w:t>Vrkaš</w:t>
            </w:r>
            <w:proofErr w:type="spellEnd"/>
            <w:r w:rsidRPr="00DF4CE5">
              <w:rPr>
                <w:rFonts w:ascii="Cambria" w:eastAsia="Calibri" w:hAnsi="Cambria" w:cs="Times New Roman"/>
                <w:lang w:val="hr-HR"/>
              </w:rPr>
              <w:t>, V. (2015). (Ne)moć građanskog odgoja i obrazovanja. Zagreb: Nacionalni centar za vanjsko vrednovanje obrazovanja i Istraživačko-obrazovni centar za ljudska prava i demokratsko građanstvo Filozofskoga fakulteta Sveučilišta u Zagrebu.</w:t>
            </w:r>
          </w:p>
          <w:p w14:paraId="212F39E7" w14:textId="2365F46E" w:rsidR="00B77450" w:rsidRPr="00DF4CE5" w:rsidRDefault="00B77450" w:rsidP="00891E8C">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t xml:space="preserve">12. </w:t>
            </w:r>
            <w:proofErr w:type="spellStart"/>
            <w:r w:rsidRPr="00DF4CE5">
              <w:rPr>
                <w:rFonts w:ascii="Cambria" w:eastAsia="Calibri" w:hAnsi="Cambria" w:cs="Times New Roman"/>
                <w:lang w:val="hr-HR"/>
              </w:rPr>
              <w:t>Tatković</w:t>
            </w:r>
            <w:proofErr w:type="spellEnd"/>
            <w:r w:rsidRPr="00DF4CE5">
              <w:rPr>
                <w:rFonts w:ascii="Cambria" w:eastAsia="Calibri" w:hAnsi="Cambria" w:cs="Times New Roman"/>
                <w:lang w:val="hr-HR"/>
              </w:rPr>
              <w:t xml:space="preserve">, N., </w:t>
            </w:r>
            <w:proofErr w:type="spellStart"/>
            <w:r w:rsidRPr="00DF4CE5">
              <w:rPr>
                <w:rFonts w:ascii="Cambria" w:eastAsia="Calibri" w:hAnsi="Cambria" w:cs="Times New Roman"/>
                <w:lang w:val="hr-HR"/>
              </w:rPr>
              <w:t>Diković</w:t>
            </w:r>
            <w:proofErr w:type="spellEnd"/>
            <w:r w:rsidRPr="00DF4CE5">
              <w:rPr>
                <w:rFonts w:ascii="Cambria" w:eastAsia="Calibri" w:hAnsi="Cambria" w:cs="Times New Roman"/>
                <w:lang w:val="hr-HR"/>
              </w:rPr>
              <w:t xml:space="preserve">, M., </w:t>
            </w:r>
            <w:proofErr w:type="spellStart"/>
            <w:r w:rsidRPr="00DF4CE5">
              <w:rPr>
                <w:rFonts w:ascii="Cambria" w:eastAsia="Calibri" w:hAnsi="Cambria" w:cs="Times New Roman"/>
                <w:lang w:val="hr-HR"/>
              </w:rPr>
              <w:t>Štifanić</w:t>
            </w:r>
            <w:proofErr w:type="spellEnd"/>
            <w:r w:rsidRPr="00DF4CE5">
              <w:rPr>
                <w:rFonts w:ascii="Cambria" w:eastAsia="Calibri" w:hAnsi="Cambria" w:cs="Times New Roman"/>
                <w:lang w:val="hr-HR"/>
              </w:rPr>
              <w:t>, M. (2015). Odgoj i obrazovanje za razvoj danas i sutra. Ekološke i društvene paradigme. Pula: Sveučilište Jurja Dobrile u Puli.</w:t>
            </w:r>
          </w:p>
          <w:p w14:paraId="2BCD09D8" w14:textId="77777777" w:rsidR="00B77450" w:rsidRPr="00DF4CE5" w:rsidRDefault="00B77450" w:rsidP="00891E8C">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t>Priručna:</w:t>
            </w:r>
          </w:p>
          <w:p w14:paraId="73FF5C69" w14:textId="77777777" w:rsidR="00B77450" w:rsidRPr="00DF4CE5" w:rsidRDefault="00B77450" w:rsidP="00891E8C">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t>1. Kurikulum građanskog odgoja i obrazovanja. (2012). Zagreb: Ministarstvo znanosti, obrazovanja i sporta i Agencija za odgoj i obrazovanje.</w:t>
            </w:r>
          </w:p>
          <w:p w14:paraId="26892A26" w14:textId="77777777" w:rsidR="00B77450" w:rsidRPr="00DF4CE5" w:rsidRDefault="00B77450" w:rsidP="00891E8C">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t xml:space="preserve">2. Program </w:t>
            </w:r>
            <w:proofErr w:type="spellStart"/>
            <w:r w:rsidRPr="00DF4CE5">
              <w:rPr>
                <w:rFonts w:ascii="Cambria" w:eastAsia="Calibri" w:hAnsi="Cambria" w:cs="Times New Roman"/>
                <w:lang w:val="hr-HR"/>
              </w:rPr>
              <w:t>međupredmetnih</w:t>
            </w:r>
            <w:proofErr w:type="spellEnd"/>
            <w:r w:rsidRPr="00DF4CE5">
              <w:rPr>
                <w:rFonts w:ascii="Cambria" w:eastAsia="Calibri" w:hAnsi="Cambria" w:cs="Times New Roman"/>
                <w:lang w:val="hr-HR"/>
              </w:rPr>
              <w:t xml:space="preserve"> i interdisciplinarnih sadržaja građanskog odgoja i obrazovanja za osnovne i srednje škole. (2014). Zagreb: Ministarstvo znanosti i obrazovanja.</w:t>
            </w:r>
          </w:p>
          <w:p w14:paraId="7722ACF9" w14:textId="77777777" w:rsidR="00B77450" w:rsidRPr="00DF4CE5" w:rsidRDefault="00B77450" w:rsidP="00891E8C">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t xml:space="preserve">3. Nacionalni Kurikulum </w:t>
            </w:r>
            <w:proofErr w:type="spellStart"/>
            <w:r w:rsidRPr="00DF4CE5">
              <w:rPr>
                <w:rFonts w:ascii="Cambria" w:eastAsia="Calibri" w:hAnsi="Cambria" w:cs="Times New Roman"/>
                <w:lang w:val="hr-HR"/>
              </w:rPr>
              <w:t>međupredmetne</w:t>
            </w:r>
            <w:proofErr w:type="spellEnd"/>
            <w:r w:rsidRPr="00DF4CE5">
              <w:rPr>
                <w:rFonts w:ascii="Cambria" w:eastAsia="Calibri" w:hAnsi="Cambria" w:cs="Times New Roman"/>
                <w:lang w:val="hr-HR"/>
              </w:rPr>
              <w:t xml:space="preserve"> teme – Građanski odgoj i obrazovanje. (2019). Zagreb: Ministarstvo znanosti i obrazovanja (NN 10/2019).</w:t>
            </w:r>
          </w:p>
          <w:p w14:paraId="0852BD01" w14:textId="77777777" w:rsidR="00B77450" w:rsidRPr="00DF4CE5" w:rsidRDefault="00B77450" w:rsidP="00891E8C">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t>4. Spajić-</w:t>
            </w:r>
            <w:proofErr w:type="spellStart"/>
            <w:r w:rsidRPr="00DF4CE5">
              <w:rPr>
                <w:rFonts w:ascii="Cambria" w:eastAsia="Calibri" w:hAnsi="Cambria" w:cs="Times New Roman"/>
                <w:lang w:val="hr-HR"/>
              </w:rPr>
              <w:t>Vrkaš</w:t>
            </w:r>
            <w:proofErr w:type="spellEnd"/>
            <w:r w:rsidRPr="00DF4CE5">
              <w:rPr>
                <w:rFonts w:ascii="Cambria" w:eastAsia="Calibri" w:hAnsi="Cambria" w:cs="Times New Roman"/>
                <w:lang w:val="hr-HR"/>
              </w:rPr>
              <w:t>, V. (1999). Temeljni međunarodni dokumenti iz područja odgoja i obrazovanja za ljudska prava. Zagreb: Vlada Republike Hrvatske.</w:t>
            </w:r>
          </w:p>
          <w:p w14:paraId="69297C3E" w14:textId="77777777" w:rsidR="00B77450" w:rsidRPr="00DF4CE5" w:rsidRDefault="00B77450" w:rsidP="00891E8C">
            <w:pPr>
              <w:spacing w:after="0" w:line="240" w:lineRule="atLeast"/>
              <w:jc w:val="both"/>
              <w:rPr>
                <w:rFonts w:ascii="Cambria" w:eastAsia="Calibri" w:hAnsi="Cambria" w:cs="Times New Roman"/>
                <w:lang w:val="hr-HR"/>
              </w:rPr>
            </w:pPr>
            <w:r w:rsidRPr="00DF4CE5">
              <w:rPr>
                <w:rFonts w:ascii="Cambria" w:eastAsia="Calibri" w:hAnsi="Cambria" w:cs="Times New Roman"/>
                <w:lang w:val="hr-HR"/>
              </w:rPr>
              <w:t>5. Spajić-</w:t>
            </w:r>
            <w:proofErr w:type="spellStart"/>
            <w:r w:rsidRPr="00DF4CE5">
              <w:rPr>
                <w:rFonts w:ascii="Cambria" w:eastAsia="Calibri" w:hAnsi="Cambria" w:cs="Times New Roman"/>
                <w:lang w:val="hr-HR"/>
              </w:rPr>
              <w:t>Vrkaš</w:t>
            </w:r>
            <w:proofErr w:type="spellEnd"/>
            <w:r w:rsidRPr="00DF4CE5">
              <w:rPr>
                <w:rFonts w:ascii="Cambria" w:eastAsia="Calibri" w:hAnsi="Cambria" w:cs="Times New Roman"/>
                <w:lang w:val="hr-HR"/>
              </w:rPr>
              <w:t>, V., Kukoč, M., Bašić, S. (2001). Obrazovanje za ljudska prava i demokraciju: Interdisciplinarni rječnik. Zagreb: Hrvatska komisija za UNESCO i Projekt „Obrazovanje za mir i ljudska prava za hrvatske osnovne škole“.</w:t>
            </w:r>
          </w:p>
        </w:tc>
      </w:tr>
    </w:tbl>
    <w:p w14:paraId="462A4348" w14:textId="3A118B73" w:rsidR="006D2DC3" w:rsidRDefault="006D2DC3">
      <w:pPr>
        <w:rPr>
          <w:rFonts w:ascii="Cambria" w:eastAsia="Calibri" w:hAnsi="Cambria" w:cs="Times New Roman"/>
          <w:lang w:val="hr-HR"/>
        </w:rPr>
      </w:pPr>
    </w:p>
    <w:tbl>
      <w:tblPr>
        <w:tblW w:w="5000" w:type="pct"/>
        <w:tblLayout w:type="fixed"/>
        <w:tblCellMar>
          <w:left w:w="0" w:type="dxa"/>
          <w:right w:w="0" w:type="dxa"/>
        </w:tblCellMar>
        <w:tblLook w:val="0000" w:firstRow="0" w:lastRow="0" w:firstColumn="0" w:lastColumn="0" w:noHBand="0" w:noVBand="0"/>
      </w:tblPr>
      <w:tblGrid>
        <w:gridCol w:w="2120"/>
        <w:gridCol w:w="2978"/>
        <w:gridCol w:w="98"/>
        <w:gridCol w:w="1092"/>
        <w:gridCol w:w="280"/>
        <w:gridCol w:w="440"/>
        <w:gridCol w:w="1013"/>
        <w:gridCol w:w="1319"/>
      </w:tblGrid>
      <w:tr w:rsidR="006D2DC3" w:rsidRPr="005C2363" w14:paraId="3F07FEA2" w14:textId="77777777" w:rsidTr="00450B7A">
        <w:tc>
          <w:tcPr>
            <w:tcW w:w="9052"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E640B07" w14:textId="77777777" w:rsidR="006D2DC3" w:rsidRPr="005C2363" w:rsidRDefault="006D2DC3" w:rsidP="00450B7A">
            <w:pPr>
              <w:spacing w:after="0" w:line="240" w:lineRule="auto"/>
              <w:jc w:val="right"/>
              <w:rPr>
                <w:rFonts w:ascii="Cambria" w:eastAsia="Times New Roman" w:hAnsi="Cambria" w:cs="Calibri"/>
                <w:b/>
                <w:lang w:val="hr-HR"/>
              </w:rPr>
            </w:pPr>
            <w:r w:rsidRPr="005C2363">
              <w:rPr>
                <w:rFonts w:ascii="Cambria" w:eastAsia="Times New Roman" w:hAnsi="Cambria" w:cs="Calibri"/>
                <w:b/>
                <w:lang w:val="hr-HR"/>
              </w:rPr>
              <w:lastRenderedPageBreak/>
              <w:t>IZVEDBENI PLAN NASTAVE KOLEGIJA</w:t>
            </w:r>
          </w:p>
        </w:tc>
      </w:tr>
      <w:tr w:rsidR="006D2DC3" w:rsidRPr="00DF4CE5" w14:paraId="3BC4DAD9" w14:textId="77777777" w:rsidTr="00450B7A">
        <w:tc>
          <w:tcPr>
            <w:tcW w:w="2056" w:type="dxa"/>
            <w:tcBorders>
              <w:top w:val="single" w:sz="8" w:space="0" w:color="000000"/>
              <w:left w:val="single" w:sz="8" w:space="0" w:color="000000"/>
              <w:bottom w:val="single" w:sz="8" w:space="0" w:color="000000"/>
              <w:right w:val="single" w:sz="4" w:space="0" w:color="auto"/>
            </w:tcBorders>
            <w:shd w:val="clear" w:color="auto" w:fill="F3F3F3"/>
            <w:tcMar>
              <w:top w:w="72" w:type="dxa"/>
              <w:left w:w="144" w:type="dxa"/>
              <w:bottom w:w="72" w:type="dxa"/>
              <w:right w:w="144" w:type="dxa"/>
            </w:tcMar>
            <w:vAlign w:val="center"/>
          </w:tcPr>
          <w:p w14:paraId="30C066B1" w14:textId="77777777" w:rsidR="006D2DC3" w:rsidRPr="005C2363" w:rsidRDefault="006D2DC3" w:rsidP="00450B7A">
            <w:pPr>
              <w:spacing w:after="0" w:line="240" w:lineRule="auto"/>
              <w:rPr>
                <w:rFonts w:ascii="Cambria" w:eastAsia="Times New Roman" w:hAnsi="Cambria" w:cs="Calibri"/>
                <w:lang w:val="hr-HR"/>
              </w:rPr>
            </w:pPr>
            <w:r w:rsidRPr="005C2363">
              <w:rPr>
                <w:rFonts w:ascii="Cambria" w:eastAsia="Times New Roman" w:hAnsi="Cambria" w:cs="Calibri"/>
                <w:lang w:val="hr-HR"/>
              </w:rPr>
              <w:t>Kod i naziv kolegija</w:t>
            </w:r>
          </w:p>
        </w:tc>
        <w:tc>
          <w:tcPr>
            <w:tcW w:w="699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03065F9" w14:textId="77777777" w:rsidR="006D2DC3" w:rsidRPr="00DF4CE5" w:rsidRDefault="006D2DC3" w:rsidP="00450B7A">
            <w:pPr>
              <w:spacing w:after="0" w:line="240" w:lineRule="auto"/>
              <w:jc w:val="both"/>
              <w:rPr>
                <w:rFonts w:ascii="Cambria" w:eastAsia="Times New Roman" w:hAnsi="Cambria" w:cs="Times New Roman"/>
                <w:lang w:val="hr-HR"/>
              </w:rPr>
            </w:pPr>
            <w:r w:rsidRPr="00DF4CE5">
              <w:rPr>
                <w:rFonts w:ascii="Cambria" w:eastAsia="Times New Roman" w:hAnsi="Cambria" w:cs="Times New Roman"/>
                <w:lang w:val="hr-HR"/>
              </w:rPr>
              <w:t>Usmena zavičajna baština</w:t>
            </w:r>
          </w:p>
        </w:tc>
      </w:tr>
      <w:tr w:rsidR="006D2DC3" w:rsidRPr="004E3FDC" w14:paraId="083302DF" w14:textId="77777777" w:rsidTr="00450B7A">
        <w:tc>
          <w:tcPr>
            <w:tcW w:w="2056" w:type="dxa"/>
            <w:tcBorders>
              <w:top w:val="single" w:sz="8" w:space="0" w:color="000000"/>
              <w:left w:val="single" w:sz="8" w:space="0" w:color="000000"/>
              <w:bottom w:val="single" w:sz="8" w:space="0" w:color="000000"/>
              <w:right w:val="single" w:sz="4" w:space="0" w:color="auto"/>
            </w:tcBorders>
            <w:shd w:val="clear" w:color="auto" w:fill="F3F3F3"/>
            <w:tcMar>
              <w:top w:w="72" w:type="dxa"/>
              <w:left w:w="144" w:type="dxa"/>
              <w:bottom w:w="72" w:type="dxa"/>
              <w:right w:w="144" w:type="dxa"/>
            </w:tcMar>
            <w:vAlign w:val="center"/>
          </w:tcPr>
          <w:p w14:paraId="24AE9F2E" w14:textId="77777777" w:rsidR="006D2DC3" w:rsidRDefault="006D2DC3" w:rsidP="00450B7A">
            <w:pPr>
              <w:spacing w:after="0" w:line="240" w:lineRule="auto"/>
              <w:rPr>
                <w:rFonts w:ascii="Cambria" w:eastAsia="Times New Roman" w:hAnsi="Cambria" w:cs="Calibri"/>
                <w:lang w:val="hr-HR"/>
              </w:rPr>
            </w:pPr>
            <w:r w:rsidRPr="005C2363">
              <w:rPr>
                <w:rFonts w:ascii="Cambria" w:eastAsia="Times New Roman" w:hAnsi="Cambria" w:cs="Calibri"/>
                <w:lang w:val="hr-HR"/>
              </w:rPr>
              <w:t xml:space="preserve">Nastavnica </w:t>
            </w:r>
          </w:p>
          <w:p w14:paraId="0A0C8510" w14:textId="253DF71E" w:rsidR="00127501" w:rsidRPr="005C2363" w:rsidRDefault="00127501" w:rsidP="00450B7A">
            <w:pPr>
              <w:spacing w:after="0" w:line="240" w:lineRule="auto"/>
              <w:rPr>
                <w:rFonts w:ascii="Cambria" w:eastAsia="Times New Roman" w:hAnsi="Cambria" w:cs="Calibri"/>
                <w:lang w:val="hr-HR"/>
              </w:rPr>
            </w:pPr>
            <w:r>
              <w:rPr>
                <w:rFonts w:ascii="Cambria" w:eastAsia="Times New Roman" w:hAnsi="Cambria" w:cs="Calibri"/>
                <w:lang w:val="hr-HR"/>
              </w:rPr>
              <w:t>Suradnik</w:t>
            </w:r>
          </w:p>
        </w:tc>
        <w:tc>
          <w:tcPr>
            <w:tcW w:w="699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8D24E65" w14:textId="77777777" w:rsidR="006D2DC3" w:rsidRDefault="006D2DC3" w:rsidP="00450B7A">
            <w:pPr>
              <w:snapToGrid w:val="0"/>
              <w:spacing w:after="0" w:line="240" w:lineRule="auto"/>
              <w:jc w:val="both"/>
              <w:rPr>
                <w:rFonts w:ascii="Cambria" w:eastAsia="Times New Roman" w:hAnsi="Cambria" w:cs="Times New Roman"/>
                <w:lang w:val="hr-HR"/>
              </w:rPr>
            </w:pPr>
            <w:hyperlink r:id="rId190" w:history="1">
              <w:r w:rsidRPr="00DF4CE5">
                <w:rPr>
                  <w:rFonts w:ascii="Cambria" w:eastAsia="Times New Roman" w:hAnsi="Cambria" w:cs="Times New Roman"/>
                  <w:color w:val="0000FF"/>
                  <w:u w:val="single"/>
                  <w:lang w:val="hr-HR"/>
                </w:rPr>
                <w:t>Prof. dr. sc. Vjekoslava Jurdana</w:t>
              </w:r>
            </w:hyperlink>
            <w:r w:rsidRPr="00DF4CE5">
              <w:rPr>
                <w:rFonts w:ascii="Cambria" w:eastAsia="Times New Roman" w:hAnsi="Cambria" w:cs="Times New Roman"/>
                <w:color w:val="0000FF"/>
                <w:u w:val="single"/>
                <w:lang w:val="hr-HR"/>
              </w:rPr>
              <w:t xml:space="preserve"> </w:t>
            </w:r>
            <w:r w:rsidRPr="00DF4CE5">
              <w:rPr>
                <w:rFonts w:ascii="Cambria" w:eastAsia="Times New Roman" w:hAnsi="Cambria" w:cs="Times New Roman"/>
                <w:lang w:val="hr-HR"/>
              </w:rPr>
              <w:t>(nositeljica)</w:t>
            </w:r>
          </w:p>
          <w:p w14:paraId="1D595C34" w14:textId="3D983A66" w:rsidR="00127501" w:rsidRPr="00DF4CE5" w:rsidRDefault="00127501" w:rsidP="00450B7A">
            <w:pPr>
              <w:snapToGrid w:val="0"/>
              <w:spacing w:after="0" w:line="240" w:lineRule="auto"/>
              <w:jc w:val="both"/>
              <w:rPr>
                <w:rFonts w:ascii="Cambria" w:eastAsia="Times New Roman" w:hAnsi="Cambria" w:cs="Times New Roman"/>
                <w:lang w:val="hr-HR"/>
              </w:rPr>
            </w:pPr>
            <w:r>
              <w:rPr>
                <w:rFonts w:ascii="Cambria" w:eastAsia="Times New Roman" w:hAnsi="Cambria" w:cs="Times New Roman"/>
                <w:lang w:val="hr-HR"/>
              </w:rPr>
              <w:t xml:space="preserve">Alen </w:t>
            </w:r>
            <w:proofErr w:type="spellStart"/>
            <w:r>
              <w:rPr>
                <w:rFonts w:ascii="Cambria" w:eastAsia="Times New Roman" w:hAnsi="Cambria" w:cs="Times New Roman"/>
                <w:lang w:val="hr-HR"/>
              </w:rPr>
              <w:t>Klančar</w:t>
            </w:r>
            <w:proofErr w:type="spellEnd"/>
            <w:r>
              <w:rPr>
                <w:rFonts w:ascii="Cambria" w:eastAsia="Times New Roman" w:hAnsi="Cambria" w:cs="Times New Roman"/>
                <w:lang w:val="hr-HR"/>
              </w:rPr>
              <w:t>, naslovni asistent</w:t>
            </w:r>
          </w:p>
        </w:tc>
      </w:tr>
      <w:tr w:rsidR="006D2DC3" w:rsidRPr="00D0399C" w14:paraId="1039B1BE" w14:textId="77777777" w:rsidTr="00450B7A">
        <w:trPr>
          <w:trHeight w:val="652"/>
        </w:trPr>
        <w:tc>
          <w:tcPr>
            <w:tcW w:w="2056" w:type="dxa"/>
            <w:tcBorders>
              <w:top w:val="single" w:sz="8" w:space="0" w:color="000000"/>
              <w:left w:val="single" w:sz="8" w:space="0" w:color="000000"/>
              <w:bottom w:val="single" w:sz="8" w:space="0" w:color="000000"/>
              <w:right w:val="single" w:sz="4" w:space="0" w:color="auto"/>
            </w:tcBorders>
            <w:shd w:val="clear" w:color="auto" w:fill="F3F3F3"/>
            <w:tcMar>
              <w:top w:w="72" w:type="dxa"/>
              <w:left w:w="144" w:type="dxa"/>
              <w:bottom w:w="72" w:type="dxa"/>
              <w:right w:w="144" w:type="dxa"/>
            </w:tcMar>
            <w:vAlign w:val="center"/>
          </w:tcPr>
          <w:p w14:paraId="2801DF88" w14:textId="77777777" w:rsidR="006D2DC3" w:rsidRPr="005C2363" w:rsidRDefault="006D2DC3" w:rsidP="00450B7A">
            <w:pPr>
              <w:spacing w:after="0" w:line="240" w:lineRule="auto"/>
              <w:rPr>
                <w:rFonts w:ascii="Cambria" w:eastAsia="Times New Roman" w:hAnsi="Cambria" w:cs="Calibri"/>
                <w:lang w:val="hr-HR"/>
              </w:rPr>
            </w:pPr>
            <w:r w:rsidRPr="005C2363">
              <w:rPr>
                <w:rFonts w:ascii="Cambria" w:eastAsia="Times New Roman" w:hAnsi="Cambria" w:cs="Calibri"/>
                <w:lang w:val="hr-HR"/>
              </w:rPr>
              <w:t>Studijski program</w:t>
            </w:r>
          </w:p>
        </w:tc>
        <w:tc>
          <w:tcPr>
            <w:tcW w:w="699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AE938EC" w14:textId="77777777" w:rsidR="006D2DC3" w:rsidRPr="00DF4CE5" w:rsidRDefault="006D2DC3" w:rsidP="00450B7A">
            <w:pPr>
              <w:shd w:val="clear" w:color="auto" w:fill="FFFFFF"/>
              <w:spacing w:before="330" w:after="165" w:line="240" w:lineRule="auto"/>
              <w:jc w:val="both"/>
              <w:outlineLvl w:val="1"/>
              <w:rPr>
                <w:rFonts w:ascii="Cambria" w:eastAsia="Times New Roman" w:hAnsi="Cambria" w:cs="Calibri"/>
                <w:lang w:val="hr-HR" w:eastAsia="hr-HR"/>
              </w:rPr>
            </w:pPr>
            <w:r w:rsidRPr="00DF4CE5">
              <w:rPr>
                <w:rFonts w:ascii="Cambria" w:eastAsia="Times New Roman" w:hAnsi="Cambria" w:cs="Calibri"/>
                <w:lang w:val="hr-HR"/>
              </w:rPr>
              <w:t>Sveučilišni integrirani prijediplomski i diplomski Učiteljski studij na hrvatskom jeziku</w:t>
            </w:r>
          </w:p>
        </w:tc>
      </w:tr>
      <w:tr w:rsidR="006D2DC3" w:rsidRPr="00DF4CE5" w14:paraId="0DCAB8AD" w14:textId="77777777" w:rsidTr="00450B7A">
        <w:tc>
          <w:tcPr>
            <w:tcW w:w="205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064912E" w14:textId="77777777" w:rsidR="006D2DC3" w:rsidRPr="005C2363" w:rsidRDefault="006D2DC3" w:rsidP="00450B7A">
            <w:pPr>
              <w:spacing w:after="0" w:line="240" w:lineRule="auto"/>
              <w:rPr>
                <w:rFonts w:ascii="Cambria" w:eastAsia="Times New Roman" w:hAnsi="Cambria" w:cs="Calibri"/>
                <w:lang w:val="hr-HR"/>
              </w:rPr>
            </w:pPr>
            <w:r w:rsidRPr="005C2363">
              <w:rPr>
                <w:rFonts w:ascii="Cambria" w:eastAsia="Times New Roman" w:hAnsi="Cambria" w:cs="Calibri"/>
                <w:lang w:val="hr-HR"/>
              </w:rPr>
              <w:t>Vrsta kolegija</w:t>
            </w:r>
          </w:p>
        </w:tc>
        <w:tc>
          <w:tcPr>
            <w:tcW w:w="2886" w:type="dxa"/>
            <w:tcBorders>
              <w:top w:val="single" w:sz="8" w:space="0" w:color="000000"/>
              <w:left w:val="single" w:sz="8" w:space="0" w:color="000000"/>
              <w:bottom w:val="single" w:sz="8" w:space="0" w:color="000000"/>
            </w:tcBorders>
            <w:tcMar>
              <w:top w:w="72" w:type="dxa"/>
              <w:left w:w="144" w:type="dxa"/>
              <w:bottom w:w="72" w:type="dxa"/>
              <w:right w:w="144" w:type="dxa"/>
            </w:tcMar>
            <w:vAlign w:val="center"/>
          </w:tcPr>
          <w:p w14:paraId="7D224C4D" w14:textId="77777777" w:rsidR="006D2DC3" w:rsidRPr="00DF4CE5" w:rsidRDefault="006D2DC3" w:rsidP="00450B7A">
            <w:pPr>
              <w:snapToGrid w:val="0"/>
              <w:spacing w:after="0" w:line="240" w:lineRule="auto"/>
              <w:jc w:val="both"/>
              <w:rPr>
                <w:rFonts w:ascii="Cambria" w:eastAsia="Times New Roman" w:hAnsi="Cambria" w:cs="Times New Roman"/>
                <w:lang w:val="hr-HR"/>
              </w:rPr>
            </w:pPr>
            <w:r w:rsidRPr="00DF4CE5">
              <w:rPr>
                <w:rFonts w:ascii="Cambria" w:eastAsia="Times New Roman" w:hAnsi="Cambria" w:cs="Times New Roman"/>
                <w:lang w:val="hr-HR"/>
              </w:rPr>
              <w:t xml:space="preserve">izborni </w:t>
            </w:r>
          </w:p>
        </w:tc>
        <w:tc>
          <w:tcPr>
            <w:tcW w:w="1424" w:type="dxa"/>
            <w:gridSpan w:val="3"/>
            <w:tcBorders>
              <w:top w:val="single" w:sz="4" w:space="0" w:color="auto"/>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27D627D3" w14:textId="77777777" w:rsidR="006D2DC3" w:rsidRPr="005C2363" w:rsidRDefault="006D2DC3" w:rsidP="00450B7A">
            <w:pPr>
              <w:spacing w:after="0" w:line="240" w:lineRule="auto"/>
              <w:rPr>
                <w:rFonts w:ascii="Cambria" w:eastAsia="Times New Roman" w:hAnsi="Cambria" w:cs="Calibri"/>
                <w:lang w:val="hr-HR"/>
              </w:rPr>
            </w:pPr>
            <w:r w:rsidRPr="005C2363">
              <w:rPr>
                <w:rFonts w:ascii="Cambria" w:eastAsia="Times New Roman" w:hAnsi="Cambria" w:cs="Calibri"/>
                <w:lang w:val="hr-HR"/>
              </w:rPr>
              <w:t>Razina kolegija</w:t>
            </w:r>
          </w:p>
        </w:tc>
        <w:tc>
          <w:tcPr>
            <w:tcW w:w="2686"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DC29B3F" w14:textId="77777777" w:rsidR="006D2DC3" w:rsidRPr="00DF4CE5" w:rsidRDefault="006D2DC3" w:rsidP="00450B7A">
            <w:pPr>
              <w:snapToGrid w:val="0"/>
              <w:spacing w:after="0" w:line="240" w:lineRule="auto"/>
              <w:jc w:val="both"/>
              <w:rPr>
                <w:rFonts w:ascii="Cambria" w:eastAsia="Times New Roman" w:hAnsi="Cambria" w:cs="Times New Roman"/>
                <w:lang w:val="hr-HR"/>
              </w:rPr>
            </w:pPr>
            <w:proofErr w:type="spellStart"/>
            <w:r w:rsidRPr="00DF4CE5">
              <w:rPr>
                <w:rFonts w:ascii="Cambria" w:eastAsia="Times New Roman" w:hAnsi="Cambria" w:cs="Times New Roman"/>
                <w:lang w:val="it-IT"/>
              </w:rPr>
              <w:t>integrirani</w:t>
            </w:r>
            <w:proofErr w:type="spellEnd"/>
          </w:p>
        </w:tc>
      </w:tr>
      <w:tr w:rsidR="006D2DC3" w:rsidRPr="00DF4CE5" w14:paraId="6E39AE6E" w14:textId="77777777" w:rsidTr="00450B7A">
        <w:tc>
          <w:tcPr>
            <w:tcW w:w="205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51B70D5" w14:textId="77777777" w:rsidR="006D2DC3" w:rsidRPr="005C2363" w:rsidRDefault="006D2DC3" w:rsidP="00450B7A">
            <w:pPr>
              <w:spacing w:after="0" w:line="240" w:lineRule="auto"/>
              <w:rPr>
                <w:rFonts w:ascii="Cambria" w:eastAsia="Times New Roman" w:hAnsi="Cambria" w:cs="Calibri"/>
                <w:lang w:val="hr-HR"/>
              </w:rPr>
            </w:pPr>
            <w:r w:rsidRPr="005C2363">
              <w:rPr>
                <w:rFonts w:ascii="Cambria" w:eastAsia="Times New Roman" w:hAnsi="Cambria" w:cs="Calibri"/>
                <w:lang w:val="hr-HR"/>
              </w:rPr>
              <w:t>Semestar</w:t>
            </w:r>
          </w:p>
        </w:tc>
        <w:tc>
          <w:tcPr>
            <w:tcW w:w="2886" w:type="dxa"/>
            <w:tcBorders>
              <w:top w:val="single" w:sz="8" w:space="0" w:color="000000"/>
              <w:left w:val="single" w:sz="8" w:space="0" w:color="000000"/>
              <w:bottom w:val="single" w:sz="8" w:space="0" w:color="000000"/>
            </w:tcBorders>
            <w:tcMar>
              <w:top w:w="72" w:type="dxa"/>
              <w:left w:w="144" w:type="dxa"/>
              <w:bottom w:w="72" w:type="dxa"/>
              <w:right w:w="144" w:type="dxa"/>
            </w:tcMar>
            <w:vAlign w:val="center"/>
          </w:tcPr>
          <w:p w14:paraId="78C466C1" w14:textId="77777777" w:rsidR="006D2DC3" w:rsidRPr="00DF4CE5" w:rsidRDefault="006D2DC3" w:rsidP="00450B7A">
            <w:pPr>
              <w:snapToGrid w:val="0"/>
              <w:spacing w:after="0" w:line="240" w:lineRule="auto"/>
              <w:jc w:val="both"/>
              <w:rPr>
                <w:rFonts w:ascii="Cambria" w:eastAsia="Times New Roman" w:hAnsi="Cambria" w:cs="Times New Roman"/>
                <w:lang w:val="hr-HR"/>
              </w:rPr>
            </w:pPr>
            <w:r>
              <w:rPr>
                <w:rFonts w:ascii="Cambria" w:eastAsia="Times New Roman" w:hAnsi="Cambria" w:cs="Times New Roman"/>
                <w:lang w:val="hr-HR"/>
              </w:rPr>
              <w:t>z</w:t>
            </w:r>
            <w:r w:rsidRPr="00DF4CE5">
              <w:rPr>
                <w:rFonts w:ascii="Cambria" w:eastAsia="Times New Roman" w:hAnsi="Cambria" w:cs="Times New Roman"/>
                <w:lang w:val="hr-HR"/>
              </w:rPr>
              <w:t>imski</w:t>
            </w:r>
          </w:p>
        </w:tc>
        <w:tc>
          <w:tcPr>
            <w:tcW w:w="1424"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21A6EFFA" w14:textId="77777777" w:rsidR="006D2DC3" w:rsidRPr="005C2363" w:rsidRDefault="006D2DC3" w:rsidP="00450B7A">
            <w:pPr>
              <w:spacing w:after="0" w:line="240" w:lineRule="auto"/>
              <w:rPr>
                <w:rFonts w:ascii="Cambria" w:eastAsia="Times New Roman" w:hAnsi="Cambria" w:cs="Calibri"/>
                <w:lang w:val="hr-HR"/>
              </w:rPr>
            </w:pPr>
            <w:r w:rsidRPr="005C2363">
              <w:rPr>
                <w:rFonts w:ascii="Cambria" w:eastAsia="Times New Roman" w:hAnsi="Cambria" w:cs="Calibri"/>
                <w:lang w:val="hr-HR"/>
              </w:rPr>
              <w:t>Godina studija</w:t>
            </w:r>
          </w:p>
        </w:tc>
        <w:tc>
          <w:tcPr>
            <w:tcW w:w="2686"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C511906" w14:textId="04631015" w:rsidR="006D2DC3" w:rsidRPr="00DF4CE5" w:rsidRDefault="006D2DC3" w:rsidP="00450B7A">
            <w:pPr>
              <w:snapToGrid w:val="0"/>
              <w:spacing w:after="0" w:line="240" w:lineRule="auto"/>
              <w:jc w:val="both"/>
              <w:rPr>
                <w:rFonts w:ascii="Cambria" w:eastAsia="Times New Roman" w:hAnsi="Cambria" w:cs="Times New Roman"/>
                <w:lang w:val="hr-HR"/>
              </w:rPr>
            </w:pPr>
            <w:r>
              <w:rPr>
                <w:rFonts w:ascii="Cambria" w:eastAsia="Times New Roman" w:hAnsi="Cambria" w:cs="Times New Roman"/>
                <w:lang w:val="hr-HR"/>
              </w:rPr>
              <w:t xml:space="preserve">V. </w:t>
            </w:r>
            <w:r w:rsidRPr="00DF4CE5">
              <w:rPr>
                <w:rFonts w:ascii="Cambria" w:eastAsia="Times New Roman" w:hAnsi="Cambria" w:cs="Times New Roman"/>
                <w:lang w:val="hr-HR"/>
              </w:rPr>
              <w:t xml:space="preserve"> </w:t>
            </w:r>
          </w:p>
        </w:tc>
      </w:tr>
      <w:tr w:rsidR="006D2DC3" w:rsidRPr="00DF4CE5" w14:paraId="4D4F8E05" w14:textId="77777777" w:rsidTr="00450B7A">
        <w:tc>
          <w:tcPr>
            <w:tcW w:w="205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5E59518" w14:textId="77777777" w:rsidR="006D2DC3" w:rsidRPr="005C2363" w:rsidRDefault="006D2DC3" w:rsidP="00450B7A">
            <w:pPr>
              <w:spacing w:after="0" w:line="240" w:lineRule="auto"/>
              <w:rPr>
                <w:rFonts w:ascii="Cambria" w:eastAsia="Times New Roman" w:hAnsi="Cambria" w:cs="Calibri"/>
                <w:lang w:val="hr-HR"/>
              </w:rPr>
            </w:pPr>
            <w:r w:rsidRPr="005C2363">
              <w:rPr>
                <w:rFonts w:ascii="Cambria" w:eastAsia="Times New Roman" w:hAnsi="Cambria" w:cs="Calibri"/>
                <w:lang w:val="hr-HR"/>
              </w:rPr>
              <w:t>Mjesto izvođenja</w:t>
            </w:r>
          </w:p>
        </w:tc>
        <w:tc>
          <w:tcPr>
            <w:tcW w:w="2886" w:type="dxa"/>
            <w:tcBorders>
              <w:top w:val="single" w:sz="8" w:space="0" w:color="000000"/>
              <w:left w:val="single" w:sz="8" w:space="0" w:color="000000"/>
              <w:bottom w:val="single" w:sz="8" w:space="0" w:color="000000"/>
            </w:tcBorders>
            <w:tcMar>
              <w:top w:w="72" w:type="dxa"/>
              <w:left w:w="144" w:type="dxa"/>
              <w:bottom w:w="72" w:type="dxa"/>
              <w:right w:w="144" w:type="dxa"/>
            </w:tcMar>
            <w:vAlign w:val="center"/>
          </w:tcPr>
          <w:p w14:paraId="4395792F" w14:textId="77777777" w:rsidR="006D2DC3" w:rsidRPr="00DF4CE5" w:rsidRDefault="006D2DC3" w:rsidP="00450B7A">
            <w:pPr>
              <w:snapToGrid w:val="0"/>
              <w:spacing w:after="0" w:line="240" w:lineRule="auto"/>
              <w:jc w:val="both"/>
              <w:rPr>
                <w:rFonts w:ascii="Cambria" w:eastAsia="Times New Roman" w:hAnsi="Cambria" w:cs="Times New Roman"/>
                <w:lang w:val="hr-HR"/>
              </w:rPr>
            </w:pPr>
            <w:r w:rsidRPr="00DF4CE5">
              <w:rPr>
                <w:rFonts w:ascii="Cambria" w:eastAsia="Times New Roman" w:hAnsi="Cambria" w:cs="Times New Roman"/>
                <w:lang w:val="hr-HR"/>
              </w:rPr>
              <w:t xml:space="preserve">dvorana </w:t>
            </w:r>
          </w:p>
        </w:tc>
        <w:tc>
          <w:tcPr>
            <w:tcW w:w="1424"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5856D425" w14:textId="77777777" w:rsidR="006D2DC3" w:rsidRPr="005C2363" w:rsidRDefault="006D2DC3" w:rsidP="00450B7A">
            <w:pPr>
              <w:spacing w:after="0" w:line="240" w:lineRule="auto"/>
              <w:rPr>
                <w:rFonts w:ascii="Cambria" w:eastAsia="Times New Roman" w:hAnsi="Cambria" w:cs="Calibri"/>
                <w:lang w:val="hr-HR"/>
              </w:rPr>
            </w:pPr>
            <w:r w:rsidRPr="005C2363">
              <w:rPr>
                <w:rFonts w:ascii="Cambria" w:eastAsia="Times New Roman" w:hAnsi="Cambria" w:cs="Calibri"/>
                <w:lang w:val="hr-HR"/>
              </w:rPr>
              <w:t xml:space="preserve">Jezik izvođenja </w:t>
            </w:r>
          </w:p>
        </w:tc>
        <w:tc>
          <w:tcPr>
            <w:tcW w:w="2686"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61561A4" w14:textId="77777777" w:rsidR="006D2DC3" w:rsidRPr="00DF4CE5" w:rsidRDefault="006D2DC3" w:rsidP="00450B7A">
            <w:pPr>
              <w:snapToGrid w:val="0"/>
              <w:spacing w:after="0" w:line="240" w:lineRule="auto"/>
              <w:jc w:val="both"/>
              <w:rPr>
                <w:rFonts w:ascii="Cambria" w:eastAsia="Times New Roman" w:hAnsi="Cambria" w:cs="Times New Roman"/>
                <w:lang w:val="hr-HR"/>
              </w:rPr>
            </w:pPr>
            <w:r w:rsidRPr="00DF4CE5">
              <w:rPr>
                <w:rFonts w:ascii="Cambria" w:eastAsia="Times New Roman" w:hAnsi="Cambria" w:cs="Times New Roman"/>
                <w:lang w:val="hr-HR"/>
              </w:rPr>
              <w:t xml:space="preserve">hrvatski </w:t>
            </w:r>
          </w:p>
        </w:tc>
      </w:tr>
      <w:tr w:rsidR="006D2DC3" w:rsidRPr="00DF4CE5" w14:paraId="43A368FC" w14:textId="77777777" w:rsidTr="00450B7A">
        <w:tc>
          <w:tcPr>
            <w:tcW w:w="205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0082D90" w14:textId="77777777" w:rsidR="006D2DC3" w:rsidRPr="005C2363" w:rsidRDefault="006D2DC3" w:rsidP="00450B7A">
            <w:pPr>
              <w:spacing w:after="0" w:line="240" w:lineRule="auto"/>
              <w:rPr>
                <w:rFonts w:ascii="Cambria" w:eastAsia="Times New Roman" w:hAnsi="Cambria" w:cs="Calibri"/>
                <w:lang w:val="hr-HR"/>
              </w:rPr>
            </w:pPr>
            <w:r w:rsidRPr="005C2363">
              <w:rPr>
                <w:rFonts w:ascii="Cambria" w:eastAsia="Times New Roman" w:hAnsi="Cambria" w:cs="Calibri"/>
                <w:lang w:val="hr-HR"/>
              </w:rPr>
              <w:t>Broj ECTS bodova</w:t>
            </w:r>
          </w:p>
        </w:tc>
        <w:tc>
          <w:tcPr>
            <w:tcW w:w="2886" w:type="dxa"/>
            <w:tcBorders>
              <w:top w:val="single" w:sz="8" w:space="0" w:color="000000"/>
              <w:left w:val="single" w:sz="8" w:space="0" w:color="000000"/>
              <w:bottom w:val="single" w:sz="8" w:space="0" w:color="000000"/>
            </w:tcBorders>
            <w:tcMar>
              <w:top w:w="72" w:type="dxa"/>
              <w:left w:w="144" w:type="dxa"/>
              <w:bottom w:w="72" w:type="dxa"/>
              <w:right w:w="144" w:type="dxa"/>
            </w:tcMar>
            <w:vAlign w:val="center"/>
          </w:tcPr>
          <w:p w14:paraId="54C89553" w14:textId="77777777" w:rsidR="006D2DC3" w:rsidRPr="00DF4CE5" w:rsidRDefault="006D2DC3" w:rsidP="00450B7A">
            <w:pPr>
              <w:snapToGrid w:val="0"/>
              <w:spacing w:after="0" w:line="240" w:lineRule="auto"/>
              <w:jc w:val="both"/>
              <w:rPr>
                <w:rFonts w:ascii="Cambria" w:eastAsia="Times New Roman" w:hAnsi="Cambria" w:cs="Times New Roman"/>
                <w:lang w:val="hr-HR"/>
              </w:rPr>
            </w:pPr>
            <w:r w:rsidRPr="00DF4CE5">
              <w:rPr>
                <w:rFonts w:ascii="Cambria" w:eastAsia="Times New Roman" w:hAnsi="Cambria" w:cs="Times New Roman"/>
                <w:lang w:val="hr-HR"/>
              </w:rPr>
              <w:t>2</w:t>
            </w:r>
          </w:p>
        </w:tc>
        <w:tc>
          <w:tcPr>
            <w:tcW w:w="1424"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2E156AD8" w14:textId="77777777" w:rsidR="006D2DC3" w:rsidRPr="005C2363" w:rsidRDefault="006D2DC3" w:rsidP="00450B7A">
            <w:pPr>
              <w:spacing w:after="0" w:line="240" w:lineRule="auto"/>
              <w:rPr>
                <w:rFonts w:ascii="Cambria" w:eastAsia="Times New Roman" w:hAnsi="Cambria" w:cs="Calibri"/>
                <w:lang w:val="hr-HR"/>
              </w:rPr>
            </w:pPr>
            <w:r w:rsidRPr="005C2363">
              <w:rPr>
                <w:rFonts w:ascii="Cambria" w:eastAsia="Times New Roman" w:hAnsi="Cambria" w:cs="Calibri"/>
                <w:lang w:val="hr-HR"/>
              </w:rPr>
              <w:t>Broj sati u semestru</w:t>
            </w:r>
          </w:p>
        </w:tc>
        <w:tc>
          <w:tcPr>
            <w:tcW w:w="2686"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6B0B1D8" w14:textId="77777777" w:rsidR="006D2DC3" w:rsidRPr="00DF4CE5" w:rsidRDefault="006D2DC3" w:rsidP="00450B7A">
            <w:pPr>
              <w:snapToGrid w:val="0"/>
              <w:spacing w:after="0" w:line="240" w:lineRule="auto"/>
              <w:jc w:val="both"/>
              <w:rPr>
                <w:rFonts w:ascii="Cambria" w:eastAsia="Times New Roman" w:hAnsi="Cambria" w:cs="Times New Roman"/>
                <w:lang w:val="hr-HR"/>
              </w:rPr>
            </w:pPr>
            <w:r w:rsidRPr="00DF4CE5">
              <w:rPr>
                <w:rFonts w:ascii="Cambria" w:eastAsia="Times New Roman" w:hAnsi="Cambria" w:cs="Times New Roman"/>
                <w:lang w:val="hr-HR"/>
              </w:rPr>
              <w:t xml:space="preserve">15P –15S– 0V   </w:t>
            </w:r>
          </w:p>
        </w:tc>
      </w:tr>
      <w:tr w:rsidR="006D2DC3" w:rsidRPr="00DF4CE5" w14:paraId="1DF32193" w14:textId="77777777" w:rsidTr="00450B7A">
        <w:tc>
          <w:tcPr>
            <w:tcW w:w="205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EFF6A41" w14:textId="77777777" w:rsidR="006D2DC3" w:rsidRPr="005C2363" w:rsidRDefault="006D2DC3" w:rsidP="00450B7A">
            <w:pPr>
              <w:spacing w:after="0" w:line="240" w:lineRule="auto"/>
              <w:rPr>
                <w:rFonts w:ascii="Cambria" w:eastAsia="Times New Roman" w:hAnsi="Cambria" w:cs="Calibri"/>
                <w:lang w:val="hr-HR"/>
              </w:rPr>
            </w:pPr>
            <w:r w:rsidRPr="005C2363">
              <w:rPr>
                <w:rFonts w:ascii="Cambria" w:eastAsia="Times New Roman" w:hAnsi="Cambria" w:cs="Calibri"/>
                <w:lang w:val="hr-HR"/>
              </w:rPr>
              <w:t>Preduvjeti za upis i za svladavanje</w:t>
            </w:r>
          </w:p>
        </w:tc>
        <w:tc>
          <w:tcPr>
            <w:tcW w:w="699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79C303B" w14:textId="77777777" w:rsidR="006D2DC3" w:rsidRPr="00DF4CE5" w:rsidRDefault="006D2DC3" w:rsidP="00450B7A">
            <w:pPr>
              <w:snapToGrid w:val="0"/>
              <w:spacing w:after="0" w:line="240" w:lineRule="auto"/>
              <w:jc w:val="both"/>
              <w:rPr>
                <w:rFonts w:ascii="Cambria" w:eastAsia="Times New Roman" w:hAnsi="Cambria" w:cs="Times New Roman"/>
                <w:lang w:val="hr-HR"/>
              </w:rPr>
            </w:pPr>
            <w:r w:rsidRPr="00DF4CE5">
              <w:rPr>
                <w:rFonts w:ascii="Cambria" w:eastAsia="Times New Roman" w:hAnsi="Cambria" w:cs="Times New Roman"/>
                <w:lang w:val="hr-HR"/>
              </w:rPr>
              <w:t>Nema preduvjeta.</w:t>
            </w:r>
          </w:p>
        </w:tc>
      </w:tr>
      <w:tr w:rsidR="006D2DC3" w:rsidRPr="00D0399C" w14:paraId="1FCED2C8" w14:textId="77777777" w:rsidTr="00450B7A">
        <w:tc>
          <w:tcPr>
            <w:tcW w:w="205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35BCB96" w14:textId="77777777" w:rsidR="006D2DC3" w:rsidRPr="005C2363" w:rsidRDefault="006D2DC3" w:rsidP="00450B7A">
            <w:pPr>
              <w:spacing w:after="0" w:line="240" w:lineRule="auto"/>
              <w:rPr>
                <w:rFonts w:ascii="Cambria" w:eastAsia="Times New Roman" w:hAnsi="Cambria" w:cs="Calibri"/>
                <w:lang w:val="hr-HR"/>
              </w:rPr>
            </w:pPr>
            <w:proofErr w:type="spellStart"/>
            <w:r w:rsidRPr="005C2363">
              <w:rPr>
                <w:rFonts w:ascii="Cambria" w:eastAsia="Times New Roman" w:hAnsi="Cambria" w:cs="Calibri"/>
                <w:lang w:val="hr-HR"/>
              </w:rPr>
              <w:t>Korelativnost</w:t>
            </w:r>
            <w:proofErr w:type="spellEnd"/>
          </w:p>
        </w:tc>
        <w:tc>
          <w:tcPr>
            <w:tcW w:w="699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39E0266" w14:textId="77777777" w:rsidR="006D2DC3" w:rsidRPr="00DF4CE5" w:rsidRDefault="006D2DC3" w:rsidP="00450B7A">
            <w:pPr>
              <w:snapToGrid w:val="0"/>
              <w:spacing w:after="0" w:line="240" w:lineRule="auto"/>
              <w:jc w:val="both"/>
              <w:rPr>
                <w:rFonts w:ascii="Cambria" w:eastAsia="Times New Roman" w:hAnsi="Cambria" w:cs="Times New Roman"/>
                <w:lang w:val="hr-HR"/>
              </w:rPr>
            </w:pPr>
            <w:r w:rsidRPr="00DF4CE5">
              <w:rPr>
                <w:rFonts w:ascii="Cambria" w:eastAsia="Times New Roman" w:hAnsi="Cambria" w:cs="Times New Roman"/>
                <w:lang w:val="hr-HR"/>
              </w:rPr>
              <w:t>Dječja književnost, Metodika nastave hrvatskog jezika, Medijska kultura, Likovna kultura, Glazbena kultura, Hrvatski jezik</w:t>
            </w:r>
          </w:p>
        </w:tc>
      </w:tr>
      <w:tr w:rsidR="006D2DC3" w:rsidRPr="00D0399C" w14:paraId="214B28B4" w14:textId="77777777" w:rsidTr="00450B7A">
        <w:tc>
          <w:tcPr>
            <w:tcW w:w="205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C790052" w14:textId="77777777" w:rsidR="006D2DC3" w:rsidRPr="005C2363" w:rsidRDefault="006D2DC3" w:rsidP="00450B7A">
            <w:pPr>
              <w:spacing w:after="0" w:line="240" w:lineRule="auto"/>
              <w:rPr>
                <w:rFonts w:ascii="Cambria" w:eastAsia="Times New Roman" w:hAnsi="Cambria" w:cs="Calibri"/>
                <w:lang w:val="hr-HR"/>
              </w:rPr>
            </w:pPr>
            <w:r w:rsidRPr="005C2363">
              <w:rPr>
                <w:rFonts w:ascii="Cambria" w:eastAsia="Times New Roman" w:hAnsi="Cambria" w:cs="Calibri"/>
                <w:lang w:val="hr-HR"/>
              </w:rPr>
              <w:t xml:space="preserve">Cilj kolegija </w:t>
            </w:r>
          </w:p>
        </w:tc>
        <w:tc>
          <w:tcPr>
            <w:tcW w:w="699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90E3670" w14:textId="77777777" w:rsidR="006D2DC3" w:rsidRPr="00DF4CE5" w:rsidRDefault="006D2DC3" w:rsidP="00450B7A">
            <w:pPr>
              <w:snapToGrid w:val="0"/>
              <w:spacing w:after="0" w:line="240" w:lineRule="auto"/>
              <w:jc w:val="both"/>
              <w:rPr>
                <w:rFonts w:ascii="Cambria" w:eastAsia="Times New Roman" w:hAnsi="Cambria" w:cs="Times New Roman"/>
                <w:lang w:val="hr-HR"/>
              </w:rPr>
            </w:pPr>
            <w:r w:rsidRPr="00DF4CE5">
              <w:rPr>
                <w:rFonts w:ascii="Cambria" w:eastAsia="Times New Roman" w:hAnsi="Cambria" w:cs="Times New Roman"/>
                <w:lang w:val="hr-HR"/>
              </w:rPr>
              <w:t>upoznati bogatu usmenu baštinu Istre i svoga zavičaja te ulogu njegovanja te baštine u primarnom obrazovanju</w:t>
            </w:r>
          </w:p>
        </w:tc>
      </w:tr>
      <w:tr w:rsidR="006D2DC3" w:rsidRPr="00D0399C" w14:paraId="46F65450" w14:textId="77777777" w:rsidTr="00450B7A">
        <w:tc>
          <w:tcPr>
            <w:tcW w:w="205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B6535D7" w14:textId="77777777" w:rsidR="006D2DC3" w:rsidRPr="005C2363" w:rsidRDefault="006D2DC3" w:rsidP="00450B7A">
            <w:pPr>
              <w:spacing w:after="0" w:line="240" w:lineRule="auto"/>
              <w:rPr>
                <w:rFonts w:ascii="Cambria" w:eastAsia="Times New Roman" w:hAnsi="Cambria" w:cs="Calibri"/>
                <w:lang w:val="hr-HR"/>
              </w:rPr>
            </w:pPr>
            <w:r w:rsidRPr="005C2363">
              <w:rPr>
                <w:rFonts w:ascii="Cambria" w:eastAsia="Times New Roman" w:hAnsi="Cambria" w:cs="Calibri"/>
                <w:lang w:val="hr-HR"/>
              </w:rPr>
              <w:t>Ishodi učenja</w:t>
            </w:r>
          </w:p>
        </w:tc>
        <w:tc>
          <w:tcPr>
            <w:tcW w:w="699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4CF58A3" w14:textId="77777777" w:rsidR="006D2DC3" w:rsidRPr="00DF4CE5" w:rsidRDefault="006D2DC3" w:rsidP="00450B7A">
            <w:pPr>
              <w:suppressAutoHyphens/>
              <w:snapToGrid w:val="0"/>
              <w:spacing w:after="0" w:line="240" w:lineRule="auto"/>
              <w:jc w:val="both"/>
              <w:rPr>
                <w:rFonts w:ascii="Cambria" w:eastAsia="Times New Roman" w:hAnsi="Cambria" w:cs="Times New Roman"/>
                <w:lang w:val="hr-HR"/>
              </w:rPr>
            </w:pPr>
            <w:r>
              <w:rPr>
                <w:rFonts w:ascii="Cambria" w:eastAsia="Times New Roman" w:hAnsi="Cambria" w:cs="Times New Roman"/>
                <w:lang w:val="hr-HR"/>
              </w:rPr>
              <w:t xml:space="preserve">1. </w:t>
            </w:r>
            <w:r w:rsidRPr="00DF4CE5">
              <w:rPr>
                <w:rFonts w:ascii="Cambria" w:eastAsia="Times New Roman" w:hAnsi="Cambria" w:cs="Times New Roman"/>
                <w:lang w:val="hr-HR"/>
              </w:rPr>
              <w:t>pravilno tumačiti i interpretirati usmenu baštinu Istre i svoga zavičaja</w:t>
            </w:r>
          </w:p>
          <w:p w14:paraId="318855C2" w14:textId="77777777" w:rsidR="006D2DC3" w:rsidRPr="00DF4CE5" w:rsidRDefault="006D2DC3" w:rsidP="00450B7A">
            <w:pPr>
              <w:suppressAutoHyphens/>
              <w:snapToGrid w:val="0"/>
              <w:spacing w:after="0" w:line="240" w:lineRule="auto"/>
              <w:jc w:val="both"/>
              <w:rPr>
                <w:rFonts w:ascii="Cambria" w:eastAsia="Times New Roman" w:hAnsi="Cambria" w:cs="Times New Roman"/>
                <w:lang w:val="hr-HR"/>
              </w:rPr>
            </w:pPr>
            <w:r>
              <w:rPr>
                <w:rFonts w:ascii="Cambria" w:eastAsia="Times New Roman" w:hAnsi="Cambria" w:cs="Times New Roman"/>
                <w:lang w:val="hr-HR"/>
              </w:rPr>
              <w:t xml:space="preserve">2. </w:t>
            </w:r>
            <w:r w:rsidRPr="00DF4CE5">
              <w:rPr>
                <w:rFonts w:ascii="Cambria" w:eastAsia="Times New Roman" w:hAnsi="Cambria" w:cs="Times New Roman"/>
                <w:lang w:val="hr-HR"/>
              </w:rPr>
              <w:t>primijeniti konkretna iskustva o njegovanju zavičajne baštine u terenskoj nastavi</w:t>
            </w:r>
          </w:p>
          <w:p w14:paraId="564EC692" w14:textId="77777777" w:rsidR="006D2DC3" w:rsidRDefault="006D2DC3" w:rsidP="00450B7A">
            <w:pPr>
              <w:suppressAutoHyphens/>
              <w:spacing w:after="0" w:line="240" w:lineRule="auto"/>
              <w:jc w:val="both"/>
              <w:rPr>
                <w:rFonts w:ascii="Cambria" w:eastAsia="Times New Roman" w:hAnsi="Cambria" w:cs="Times New Roman"/>
                <w:lang w:val="hr-HR"/>
              </w:rPr>
            </w:pPr>
            <w:r>
              <w:rPr>
                <w:rFonts w:ascii="Cambria" w:eastAsia="Times New Roman" w:hAnsi="Cambria" w:cs="Times New Roman"/>
                <w:lang w:val="hr-HR"/>
              </w:rPr>
              <w:t xml:space="preserve">3. </w:t>
            </w:r>
            <w:r w:rsidRPr="00DF4CE5">
              <w:rPr>
                <w:rFonts w:ascii="Cambria" w:eastAsia="Times New Roman" w:hAnsi="Cambria" w:cs="Times New Roman"/>
                <w:lang w:val="hr-HR"/>
              </w:rPr>
              <w:t xml:space="preserve">koristiti stručnu i znanstvenu literaturu </w:t>
            </w:r>
          </w:p>
          <w:p w14:paraId="2724B9BD" w14:textId="77777777" w:rsidR="006D2DC3" w:rsidRPr="00F857AC" w:rsidRDefault="006D2DC3" w:rsidP="00450B7A">
            <w:pPr>
              <w:suppressAutoHyphens/>
              <w:spacing w:after="0" w:line="240" w:lineRule="auto"/>
              <w:jc w:val="both"/>
              <w:rPr>
                <w:rFonts w:ascii="Cambria" w:eastAsia="Times New Roman" w:hAnsi="Cambria" w:cs="Times New Roman"/>
                <w:lang w:val="hr-HR"/>
              </w:rPr>
            </w:pPr>
            <w:r>
              <w:rPr>
                <w:rFonts w:ascii="Cambria" w:eastAsia="Times New Roman" w:hAnsi="Cambria" w:cs="Times New Roman"/>
                <w:lang w:val="hr-HR"/>
              </w:rPr>
              <w:t xml:space="preserve">4. </w:t>
            </w:r>
            <w:r w:rsidRPr="00DF4CE5">
              <w:rPr>
                <w:rFonts w:ascii="Cambria" w:eastAsia="Times New Roman" w:hAnsi="Cambria" w:cs="Times New Roman"/>
                <w:lang w:val="hr-HR"/>
              </w:rPr>
              <w:t>primjenjujući stečene spoznaje kreativno osmisliti konkretan odgojno-obrazovni model s usmenom baštinom u radu s učenikom u primarnom obrazovanju</w:t>
            </w:r>
          </w:p>
        </w:tc>
      </w:tr>
      <w:tr w:rsidR="006D2DC3" w:rsidRPr="00D0399C" w14:paraId="5F501C27" w14:textId="77777777" w:rsidTr="00450B7A">
        <w:tc>
          <w:tcPr>
            <w:tcW w:w="2056"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730D53EE" w14:textId="77777777" w:rsidR="006D2DC3" w:rsidRPr="005C2363" w:rsidRDefault="006D2DC3" w:rsidP="00450B7A">
            <w:pPr>
              <w:spacing w:after="0" w:line="240" w:lineRule="auto"/>
              <w:rPr>
                <w:rFonts w:ascii="Cambria" w:eastAsia="Times New Roman" w:hAnsi="Cambria" w:cs="Calibri"/>
                <w:lang w:val="hr-HR"/>
              </w:rPr>
            </w:pPr>
            <w:r w:rsidRPr="005C2363">
              <w:rPr>
                <w:rFonts w:ascii="Cambria" w:eastAsia="Times New Roman" w:hAnsi="Cambria" w:cs="Calibri"/>
                <w:lang w:val="hr-HR"/>
              </w:rPr>
              <w:t>Sadržaj kolegija</w:t>
            </w:r>
          </w:p>
        </w:tc>
        <w:tc>
          <w:tcPr>
            <w:tcW w:w="6996"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159CD9E" w14:textId="77777777" w:rsidR="006D2DC3" w:rsidRDefault="006D2DC3" w:rsidP="00450B7A">
            <w:pPr>
              <w:suppressAutoHyphens/>
              <w:spacing w:after="0" w:line="240" w:lineRule="auto"/>
              <w:jc w:val="both"/>
              <w:rPr>
                <w:rFonts w:ascii="Cambria" w:eastAsia="Times New Roman" w:hAnsi="Cambria" w:cs="Times New Roman"/>
                <w:lang w:val="hr-HR"/>
              </w:rPr>
            </w:pPr>
            <w:r w:rsidRPr="00F857AC">
              <w:rPr>
                <w:rFonts w:ascii="Cambria" w:eastAsia="Times New Roman" w:hAnsi="Cambria" w:cs="Times New Roman"/>
                <w:lang w:val="hr-HR"/>
              </w:rPr>
              <w:t xml:space="preserve">1. </w:t>
            </w:r>
            <w:r w:rsidRPr="00DF4CE5">
              <w:rPr>
                <w:rFonts w:ascii="Cambria" w:eastAsia="Times New Roman" w:hAnsi="Cambria" w:cs="Times New Roman"/>
                <w:lang w:val="hr-HR"/>
              </w:rPr>
              <w:t>Usmena zavičajna baština: pojam, zapisivanje,  veza s dugim oblicima folklora</w:t>
            </w:r>
          </w:p>
          <w:p w14:paraId="4D31FF7D" w14:textId="77777777" w:rsidR="006D2DC3" w:rsidRDefault="006D2DC3" w:rsidP="00450B7A">
            <w:pPr>
              <w:suppressAutoHyphens/>
              <w:spacing w:after="0" w:line="240" w:lineRule="auto"/>
              <w:jc w:val="both"/>
              <w:rPr>
                <w:rFonts w:ascii="Cambria" w:eastAsia="Times New Roman" w:hAnsi="Cambria" w:cs="Times New Roman"/>
                <w:lang w:val="hr-HR"/>
              </w:rPr>
            </w:pPr>
            <w:r>
              <w:rPr>
                <w:rFonts w:ascii="Cambria" w:eastAsia="Times New Roman" w:hAnsi="Cambria" w:cs="Times New Roman"/>
                <w:lang w:val="hr-HR"/>
              </w:rPr>
              <w:t xml:space="preserve">2. </w:t>
            </w:r>
            <w:r w:rsidRPr="00DF4CE5">
              <w:rPr>
                <w:rFonts w:ascii="Cambria" w:eastAsia="Times New Roman" w:hAnsi="Cambria" w:cs="Times New Roman"/>
                <w:lang w:val="hr-HR"/>
              </w:rPr>
              <w:t>Vrste u stihu</w:t>
            </w:r>
          </w:p>
          <w:p w14:paraId="12233721" w14:textId="77777777" w:rsidR="006D2DC3" w:rsidRDefault="006D2DC3" w:rsidP="00450B7A">
            <w:pPr>
              <w:suppressAutoHyphens/>
              <w:spacing w:after="0" w:line="240" w:lineRule="auto"/>
              <w:jc w:val="both"/>
              <w:rPr>
                <w:rFonts w:ascii="Cambria" w:eastAsia="Times New Roman" w:hAnsi="Cambria" w:cs="Times New Roman"/>
                <w:lang w:val="hr-HR"/>
              </w:rPr>
            </w:pPr>
            <w:r>
              <w:rPr>
                <w:rFonts w:ascii="Cambria" w:eastAsia="Times New Roman" w:hAnsi="Cambria" w:cs="Times New Roman"/>
                <w:lang w:val="hr-HR"/>
              </w:rPr>
              <w:t xml:space="preserve">3. </w:t>
            </w:r>
            <w:r w:rsidRPr="00DF4CE5">
              <w:rPr>
                <w:rFonts w:ascii="Cambria" w:eastAsia="Times New Roman" w:hAnsi="Cambria" w:cs="Times New Roman"/>
                <w:lang w:val="hr-HR"/>
              </w:rPr>
              <w:t>Vrste u prozi</w:t>
            </w:r>
          </w:p>
          <w:p w14:paraId="6C06A2DC" w14:textId="77777777" w:rsidR="006D2DC3" w:rsidRDefault="006D2DC3" w:rsidP="00450B7A">
            <w:pPr>
              <w:suppressAutoHyphens/>
              <w:spacing w:after="0" w:line="240" w:lineRule="auto"/>
              <w:jc w:val="both"/>
              <w:rPr>
                <w:rFonts w:ascii="Cambria" w:eastAsia="Times New Roman" w:hAnsi="Cambria" w:cs="Times New Roman"/>
                <w:lang w:val="hr-HR"/>
              </w:rPr>
            </w:pPr>
            <w:r>
              <w:rPr>
                <w:rFonts w:ascii="Cambria" w:eastAsia="Times New Roman" w:hAnsi="Cambria" w:cs="Times New Roman"/>
                <w:lang w:val="hr-HR"/>
              </w:rPr>
              <w:t xml:space="preserve">4. </w:t>
            </w:r>
            <w:r w:rsidRPr="00DF4CE5">
              <w:rPr>
                <w:rFonts w:ascii="Cambria" w:eastAsia="Times New Roman" w:hAnsi="Cambria" w:cs="Times New Roman"/>
                <w:lang w:val="hr-HR"/>
              </w:rPr>
              <w:t>Dramski oblici</w:t>
            </w:r>
          </w:p>
          <w:p w14:paraId="55A2C2C3" w14:textId="77777777" w:rsidR="006D2DC3" w:rsidRDefault="006D2DC3" w:rsidP="00450B7A">
            <w:pPr>
              <w:suppressAutoHyphens/>
              <w:spacing w:after="0" w:line="240" w:lineRule="auto"/>
              <w:jc w:val="both"/>
              <w:rPr>
                <w:rFonts w:ascii="Cambria" w:eastAsia="Times New Roman" w:hAnsi="Cambria" w:cs="Times New Roman"/>
                <w:lang w:val="hr-HR"/>
              </w:rPr>
            </w:pPr>
            <w:r>
              <w:rPr>
                <w:rFonts w:ascii="Cambria" w:eastAsia="Times New Roman" w:hAnsi="Cambria" w:cs="Times New Roman"/>
                <w:lang w:val="hr-HR"/>
              </w:rPr>
              <w:t xml:space="preserve">5. </w:t>
            </w:r>
            <w:r w:rsidRPr="00DF4CE5">
              <w:rPr>
                <w:rFonts w:ascii="Cambria" w:eastAsia="Times New Roman" w:hAnsi="Cambria" w:cs="Times New Roman"/>
                <w:lang w:val="hr-HR"/>
              </w:rPr>
              <w:t>Zapisi usmene književnosti u Istri</w:t>
            </w:r>
          </w:p>
          <w:p w14:paraId="6016A1F5" w14:textId="77777777" w:rsidR="006D2DC3" w:rsidRPr="00DF4CE5" w:rsidRDefault="006D2DC3" w:rsidP="00450B7A">
            <w:pPr>
              <w:suppressAutoHyphens/>
              <w:spacing w:after="0" w:line="240" w:lineRule="auto"/>
              <w:jc w:val="both"/>
              <w:rPr>
                <w:rFonts w:ascii="Cambria" w:eastAsia="Times New Roman" w:hAnsi="Cambria" w:cs="Times New Roman"/>
                <w:lang w:val="hr-HR"/>
              </w:rPr>
            </w:pPr>
            <w:r>
              <w:rPr>
                <w:rFonts w:ascii="Cambria" w:eastAsia="Times New Roman" w:hAnsi="Cambria" w:cs="Times New Roman"/>
                <w:lang w:val="hr-HR"/>
              </w:rPr>
              <w:t xml:space="preserve">6. </w:t>
            </w:r>
            <w:r w:rsidRPr="00DF4CE5">
              <w:rPr>
                <w:rFonts w:ascii="Cambria" w:eastAsia="Times New Roman" w:hAnsi="Cambria" w:cs="Times New Roman"/>
                <w:lang w:val="hr-HR"/>
              </w:rPr>
              <w:t xml:space="preserve">Usmeni motivi u pisanoj književnosti </w:t>
            </w:r>
          </w:p>
        </w:tc>
      </w:tr>
      <w:tr w:rsidR="006D2DC3" w:rsidRPr="005C2363" w14:paraId="7821C9D0" w14:textId="77777777" w:rsidTr="00450B7A">
        <w:tc>
          <w:tcPr>
            <w:tcW w:w="2056"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1F54F071" w14:textId="77777777" w:rsidR="006D2DC3" w:rsidRPr="005C2363" w:rsidRDefault="006D2DC3" w:rsidP="00450B7A">
            <w:pPr>
              <w:spacing w:after="0" w:line="240" w:lineRule="auto"/>
              <w:rPr>
                <w:rFonts w:ascii="Cambria" w:eastAsia="Times New Roman" w:hAnsi="Cambria" w:cs="Calibri"/>
                <w:lang w:val="hr-HR"/>
              </w:rPr>
            </w:pPr>
            <w:r w:rsidRPr="005C2363">
              <w:rPr>
                <w:rFonts w:ascii="Cambria" w:eastAsia="Times New Roman" w:hAnsi="Cambria" w:cs="Calibri"/>
                <w:lang w:val="hr-HR"/>
              </w:rPr>
              <w:t>Planirane aktivnosti,</w:t>
            </w:r>
          </w:p>
          <w:p w14:paraId="1898E496" w14:textId="77777777" w:rsidR="006D2DC3" w:rsidRPr="005C2363" w:rsidRDefault="006D2DC3" w:rsidP="00450B7A">
            <w:pPr>
              <w:spacing w:after="0" w:line="240" w:lineRule="auto"/>
              <w:rPr>
                <w:rFonts w:ascii="Cambria" w:eastAsia="Times New Roman" w:hAnsi="Cambria" w:cs="Calibri"/>
                <w:lang w:val="hr-HR"/>
              </w:rPr>
            </w:pPr>
            <w:r w:rsidRPr="005C2363">
              <w:rPr>
                <w:rFonts w:ascii="Cambria" w:eastAsia="Times New Roman" w:hAnsi="Cambria" w:cs="Calibri"/>
                <w:lang w:val="hr-HR"/>
              </w:rPr>
              <w:t>metode učenja i poučavanja i načini vrednovanja</w:t>
            </w:r>
          </w:p>
          <w:p w14:paraId="3C86178C" w14:textId="77777777" w:rsidR="006D2DC3" w:rsidRPr="005C2363" w:rsidRDefault="006D2DC3" w:rsidP="00450B7A">
            <w:pPr>
              <w:spacing w:after="0" w:line="240" w:lineRule="auto"/>
              <w:rPr>
                <w:rFonts w:ascii="Cambria" w:eastAsia="Times New Roman" w:hAnsi="Cambria" w:cs="Calibri"/>
                <w:lang w:val="hr-HR"/>
              </w:rPr>
            </w:pPr>
          </w:p>
        </w:tc>
        <w:tc>
          <w:tcPr>
            <w:tcW w:w="298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F423384" w14:textId="77777777" w:rsidR="006D2DC3" w:rsidRPr="005C2363" w:rsidRDefault="006D2DC3" w:rsidP="00450B7A">
            <w:pPr>
              <w:spacing w:after="0" w:line="240" w:lineRule="auto"/>
              <w:jc w:val="center"/>
              <w:rPr>
                <w:rFonts w:ascii="Cambria" w:eastAsia="Times New Roman" w:hAnsi="Cambria" w:cs="Calibri"/>
                <w:lang w:val="hr-HR"/>
              </w:rPr>
            </w:pPr>
            <w:r w:rsidRPr="005C2363">
              <w:rPr>
                <w:rFonts w:ascii="Cambria" w:eastAsia="Times New Roman" w:hAnsi="Cambria" w:cs="Calibri"/>
                <w:bCs/>
                <w:lang w:val="hr-HR"/>
              </w:rPr>
              <w:lastRenderedPageBreak/>
              <w:t>Obveze</w:t>
            </w:r>
          </w:p>
        </w:tc>
        <w:tc>
          <w:tcPr>
            <w:tcW w:w="1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9BF511B" w14:textId="77777777" w:rsidR="006D2DC3" w:rsidRPr="005C2363" w:rsidRDefault="006D2DC3" w:rsidP="00450B7A">
            <w:pPr>
              <w:spacing w:after="0" w:line="240" w:lineRule="auto"/>
              <w:jc w:val="center"/>
              <w:rPr>
                <w:rFonts w:ascii="Cambria" w:eastAsia="Times New Roman" w:hAnsi="Cambria" w:cs="Calibri"/>
                <w:bCs/>
                <w:lang w:val="hr-HR"/>
              </w:rPr>
            </w:pPr>
          </w:p>
          <w:p w14:paraId="2B973FEB" w14:textId="77777777" w:rsidR="006D2DC3" w:rsidRPr="005C2363" w:rsidRDefault="006D2DC3" w:rsidP="00450B7A">
            <w:pPr>
              <w:spacing w:after="0" w:line="240" w:lineRule="auto"/>
              <w:jc w:val="center"/>
              <w:rPr>
                <w:rFonts w:ascii="Cambria" w:eastAsia="Times New Roman" w:hAnsi="Cambria" w:cs="Calibri"/>
                <w:lang w:val="hr-HR"/>
              </w:rPr>
            </w:pPr>
            <w:r w:rsidRPr="005C2363">
              <w:rPr>
                <w:rFonts w:ascii="Cambria" w:eastAsia="Times New Roman" w:hAnsi="Cambria" w:cs="Calibri"/>
                <w:bCs/>
                <w:lang w:val="hr-HR"/>
              </w:rPr>
              <w:t>Ishodi</w:t>
            </w:r>
          </w:p>
          <w:p w14:paraId="647BDC4E" w14:textId="77777777" w:rsidR="006D2DC3" w:rsidRPr="005C2363" w:rsidRDefault="006D2DC3" w:rsidP="00450B7A">
            <w:pPr>
              <w:spacing w:after="0" w:line="240" w:lineRule="auto"/>
              <w:jc w:val="center"/>
              <w:rPr>
                <w:rFonts w:ascii="Cambria" w:eastAsia="Times New Roman" w:hAnsi="Cambria" w:cs="Calibri"/>
                <w:lang w:val="hr-HR"/>
              </w:rPr>
            </w:pPr>
          </w:p>
        </w:tc>
        <w:tc>
          <w:tcPr>
            <w:tcW w:w="69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EBF968A" w14:textId="77777777" w:rsidR="006D2DC3" w:rsidRPr="005C2363" w:rsidRDefault="006D2DC3" w:rsidP="00450B7A">
            <w:pPr>
              <w:spacing w:after="0" w:line="240" w:lineRule="auto"/>
              <w:jc w:val="center"/>
              <w:rPr>
                <w:rFonts w:ascii="Cambria" w:eastAsia="Times New Roman" w:hAnsi="Cambria" w:cs="Calibri"/>
                <w:vertAlign w:val="superscript"/>
                <w:lang w:val="hr-HR"/>
              </w:rPr>
            </w:pPr>
            <w:r w:rsidRPr="005C2363">
              <w:rPr>
                <w:rFonts w:ascii="Cambria" w:eastAsia="Times New Roman" w:hAnsi="Cambria" w:cs="Calibri"/>
                <w:bCs/>
                <w:lang w:val="hr-HR"/>
              </w:rPr>
              <w:t>Sati</w:t>
            </w:r>
          </w:p>
        </w:tc>
        <w:tc>
          <w:tcPr>
            <w:tcW w:w="9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6FF3627" w14:textId="77777777" w:rsidR="006D2DC3" w:rsidRPr="005C2363" w:rsidRDefault="006D2DC3" w:rsidP="00450B7A">
            <w:pPr>
              <w:spacing w:after="0" w:line="240" w:lineRule="auto"/>
              <w:jc w:val="center"/>
              <w:rPr>
                <w:rFonts w:ascii="Cambria" w:eastAsia="Times New Roman" w:hAnsi="Cambria" w:cs="Calibri"/>
                <w:lang w:val="hr-HR"/>
              </w:rPr>
            </w:pPr>
            <w:r w:rsidRPr="005C2363">
              <w:rPr>
                <w:rFonts w:ascii="Cambria" w:eastAsia="Times New Roman" w:hAnsi="Cambria" w:cs="Calibri"/>
                <w:bCs/>
                <w:lang w:val="hr-HR"/>
              </w:rPr>
              <w:t>ECTS</w:t>
            </w:r>
          </w:p>
        </w:tc>
        <w:tc>
          <w:tcPr>
            <w:tcW w:w="127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7CD401F" w14:textId="77777777" w:rsidR="006D2DC3" w:rsidRPr="005C2363" w:rsidRDefault="006D2DC3" w:rsidP="00450B7A">
            <w:pPr>
              <w:spacing w:after="0" w:line="240" w:lineRule="auto"/>
              <w:jc w:val="center"/>
              <w:rPr>
                <w:rFonts w:ascii="Cambria" w:eastAsia="Times New Roman" w:hAnsi="Cambria" w:cs="Calibri"/>
                <w:lang w:val="hr-HR"/>
              </w:rPr>
            </w:pPr>
            <w:r w:rsidRPr="005C2363">
              <w:rPr>
                <w:rFonts w:ascii="Cambria" w:eastAsia="Times New Roman" w:hAnsi="Cambria" w:cs="Calibri"/>
                <w:bCs/>
                <w:lang w:val="hr-HR"/>
              </w:rPr>
              <w:t>Maksimalni udio u ocjeni (%)</w:t>
            </w:r>
          </w:p>
        </w:tc>
      </w:tr>
      <w:tr w:rsidR="006D2DC3" w:rsidRPr="00DF4CE5" w14:paraId="0BD5BB74" w14:textId="77777777" w:rsidTr="00450B7A">
        <w:tc>
          <w:tcPr>
            <w:tcW w:w="2056" w:type="dxa"/>
            <w:vMerge/>
            <w:tcBorders>
              <w:left w:val="single" w:sz="8" w:space="0" w:color="000000"/>
              <w:right w:val="single" w:sz="8" w:space="0" w:color="000000"/>
            </w:tcBorders>
            <w:vAlign w:val="center"/>
          </w:tcPr>
          <w:p w14:paraId="434827A0" w14:textId="77777777" w:rsidR="006D2DC3" w:rsidRPr="005C2363" w:rsidRDefault="006D2DC3" w:rsidP="00450B7A">
            <w:pPr>
              <w:spacing w:after="0" w:line="240" w:lineRule="auto"/>
              <w:rPr>
                <w:rFonts w:ascii="Cambria" w:eastAsia="Times New Roman" w:hAnsi="Cambria" w:cs="Calibri"/>
                <w:lang w:val="hr-HR"/>
              </w:rPr>
            </w:pPr>
          </w:p>
        </w:tc>
        <w:tc>
          <w:tcPr>
            <w:tcW w:w="2981" w:type="dxa"/>
            <w:gridSpan w:val="2"/>
            <w:tcBorders>
              <w:top w:val="single" w:sz="8" w:space="0" w:color="000000"/>
              <w:left w:val="single" w:sz="8" w:space="0" w:color="000000"/>
              <w:bottom w:val="single" w:sz="8" w:space="0" w:color="000000"/>
            </w:tcBorders>
            <w:tcMar>
              <w:top w:w="15" w:type="dxa"/>
              <w:left w:w="108" w:type="dxa"/>
              <w:bottom w:w="0" w:type="dxa"/>
              <w:right w:w="108" w:type="dxa"/>
            </w:tcMar>
          </w:tcPr>
          <w:p w14:paraId="4224F0BA" w14:textId="77777777" w:rsidR="006D2DC3" w:rsidRPr="00DF4CE5" w:rsidRDefault="006D2DC3" w:rsidP="00450B7A">
            <w:pPr>
              <w:snapToGrid w:val="0"/>
              <w:spacing w:after="0" w:line="240" w:lineRule="auto"/>
              <w:jc w:val="both"/>
              <w:rPr>
                <w:rFonts w:ascii="Cambria" w:eastAsia="Times New Roman" w:hAnsi="Cambria" w:cs="Times New Roman"/>
                <w:lang w:val="hr-HR"/>
              </w:rPr>
            </w:pPr>
            <w:proofErr w:type="spellStart"/>
            <w:r w:rsidRPr="00DF4CE5">
              <w:rPr>
                <w:rFonts w:ascii="Cambria" w:eastAsia="Times New Roman" w:hAnsi="Cambria" w:cs="Calibri"/>
              </w:rPr>
              <w:t>aktivnost</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na</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nastavi</w:t>
            </w:r>
            <w:proofErr w:type="spellEnd"/>
          </w:p>
        </w:tc>
        <w:tc>
          <w:tcPr>
            <w:tcW w:w="1058" w:type="dxa"/>
            <w:tcBorders>
              <w:top w:val="single" w:sz="8" w:space="0" w:color="000000"/>
              <w:left w:val="single" w:sz="8" w:space="0" w:color="000000"/>
              <w:bottom w:val="single" w:sz="8" w:space="0" w:color="000000"/>
            </w:tcBorders>
            <w:tcMar>
              <w:top w:w="15" w:type="dxa"/>
              <w:left w:w="108" w:type="dxa"/>
              <w:bottom w:w="0" w:type="dxa"/>
              <w:right w:w="108" w:type="dxa"/>
            </w:tcMar>
            <w:vAlign w:val="center"/>
          </w:tcPr>
          <w:p w14:paraId="1E33F3FA" w14:textId="77777777" w:rsidR="006D2DC3" w:rsidRPr="00DF4CE5" w:rsidRDefault="006D2DC3" w:rsidP="00450B7A">
            <w:pPr>
              <w:snapToGrid w:val="0"/>
              <w:spacing w:after="0" w:line="240" w:lineRule="auto"/>
              <w:jc w:val="center"/>
              <w:rPr>
                <w:rFonts w:ascii="Cambria" w:eastAsia="Times New Roman" w:hAnsi="Cambria" w:cs="Times New Roman"/>
                <w:lang w:val="hr-HR"/>
              </w:rPr>
            </w:pPr>
            <w:r w:rsidRPr="00DF4CE5">
              <w:rPr>
                <w:rFonts w:ascii="Cambria" w:eastAsia="Times New Roman" w:hAnsi="Cambria" w:cs="Times New Roman"/>
                <w:lang w:val="hr-HR"/>
              </w:rPr>
              <w:t xml:space="preserve">1. </w:t>
            </w:r>
            <w:r>
              <w:rPr>
                <w:rFonts w:ascii="Cambria" w:eastAsia="Times New Roman" w:hAnsi="Cambria" w:cs="Times New Roman"/>
                <w:lang w:val="hr-HR"/>
              </w:rPr>
              <w:t>–</w:t>
            </w:r>
            <w:r w:rsidRPr="00DF4CE5">
              <w:rPr>
                <w:rFonts w:ascii="Cambria" w:eastAsia="Times New Roman" w:hAnsi="Cambria" w:cs="Times New Roman"/>
                <w:lang w:val="hr-HR"/>
              </w:rPr>
              <w:t xml:space="preserve"> 4.</w:t>
            </w:r>
          </w:p>
        </w:tc>
        <w:tc>
          <w:tcPr>
            <w:tcW w:w="697" w:type="dxa"/>
            <w:gridSpan w:val="2"/>
            <w:tcBorders>
              <w:top w:val="single" w:sz="8" w:space="0" w:color="000000"/>
              <w:left w:val="single" w:sz="8" w:space="0" w:color="000000"/>
              <w:bottom w:val="single" w:sz="8" w:space="0" w:color="000000"/>
            </w:tcBorders>
            <w:tcMar>
              <w:top w:w="15" w:type="dxa"/>
              <w:left w:w="108" w:type="dxa"/>
              <w:bottom w:w="0" w:type="dxa"/>
              <w:right w:w="108" w:type="dxa"/>
            </w:tcMar>
            <w:vAlign w:val="center"/>
          </w:tcPr>
          <w:p w14:paraId="4A238095" w14:textId="77777777" w:rsidR="006D2DC3" w:rsidRPr="00DF4CE5" w:rsidRDefault="006D2DC3" w:rsidP="00450B7A">
            <w:pPr>
              <w:snapToGrid w:val="0"/>
              <w:spacing w:after="0" w:line="240" w:lineRule="auto"/>
              <w:jc w:val="center"/>
              <w:rPr>
                <w:rFonts w:ascii="Cambria" w:eastAsia="Times New Roman" w:hAnsi="Cambria" w:cs="Times New Roman"/>
                <w:lang w:val="hr-HR"/>
              </w:rPr>
            </w:pPr>
            <w:r w:rsidRPr="00DF4CE5">
              <w:rPr>
                <w:rFonts w:ascii="Cambria" w:eastAsia="Times New Roman" w:hAnsi="Cambria" w:cs="Times New Roman"/>
                <w:lang w:val="hr-HR"/>
              </w:rPr>
              <w:t>2</w:t>
            </w:r>
            <w:r>
              <w:rPr>
                <w:rFonts w:ascii="Cambria" w:eastAsia="Times New Roman" w:hAnsi="Cambria" w:cs="Times New Roman"/>
                <w:lang w:val="hr-HR"/>
              </w:rPr>
              <w:t>3</w:t>
            </w:r>
          </w:p>
        </w:tc>
        <w:tc>
          <w:tcPr>
            <w:tcW w:w="982" w:type="dxa"/>
            <w:tcBorders>
              <w:top w:val="single" w:sz="8" w:space="0" w:color="000000"/>
              <w:left w:val="single" w:sz="8" w:space="0" w:color="000000"/>
              <w:bottom w:val="single" w:sz="8" w:space="0" w:color="000000"/>
            </w:tcBorders>
            <w:tcMar>
              <w:top w:w="15" w:type="dxa"/>
              <w:left w:w="108" w:type="dxa"/>
              <w:bottom w:w="0" w:type="dxa"/>
              <w:right w:w="108" w:type="dxa"/>
            </w:tcMar>
            <w:vAlign w:val="center"/>
          </w:tcPr>
          <w:p w14:paraId="4F08A7E6" w14:textId="77777777" w:rsidR="006D2DC3" w:rsidRPr="00DF4CE5" w:rsidRDefault="006D2DC3" w:rsidP="00450B7A">
            <w:pPr>
              <w:snapToGrid w:val="0"/>
              <w:spacing w:after="0" w:line="240" w:lineRule="auto"/>
              <w:jc w:val="center"/>
              <w:rPr>
                <w:rFonts w:ascii="Cambria" w:eastAsia="Times New Roman" w:hAnsi="Cambria" w:cs="Times New Roman"/>
                <w:lang w:val="hr-HR"/>
              </w:rPr>
            </w:pPr>
            <w:r w:rsidRPr="00DF4CE5">
              <w:rPr>
                <w:rFonts w:ascii="Cambria" w:eastAsia="Times New Roman" w:hAnsi="Cambria" w:cs="Times New Roman"/>
                <w:lang w:val="hr-HR"/>
              </w:rPr>
              <w:t>0,8</w:t>
            </w:r>
          </w:p>
        </w:tc>
        <w:tc>
          <w:tcPr>
            <w:tcW w:w="127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A1DFF3E" w14:textId="77777777" w:rsidR="006D2DC3" w:rsidRPr="00DF4CE5" w:rsidRDefault="006D2DC3" w:rsidP="00450B7A">
            <w:pPr>
              <w:snapToGrid w:val="0"/>
              <w:spacing w:after="0" w:line="240" w:lineRule="auto"/>
              <w:jc w:val="center"/>
              <w:rPr>
                <w:rFonts w:ascii="Cambria" w:eastAsia="Times New Roman" w:hAnsi="Cambria" w:cs="Times New Roman"/>
                <w:lang w:val="hr-HR"/>
              </w:rPr>
            </w:pPr>
            <w:r w:rsidRPr="00DF4CE5">
              <w:rPr>
                <w:rFonts w:ascii="Cambria" w:eastAsia="Times New Roman" w:hAnsi="Cambria" w:cs="Times New Roman"/>
                <w:lang w:val="hr-HR"/>
              </w:rPr>
              <w:t>10 %</w:t>
            </w:r>
          </w:p>
        </w:tc>
      </w:tr>
      <w:tr w:rsidR="006D2DC3" w:rsidRPr="00DF4CE5" w14:paraId="3FC2DFCD" w14:textId="77777777" w:rsidTr="00450B7A">
        <w:tc>
          <w:tcPr>
            <w:tcW w:w="2056" w:type="dxa"/>
            <w:vMerge/>
            <w:tcBorders>
              <w:left w:val="single" w:sz="8" w:space="0" w:color="000000"/>
              <w:right w:val="single" w:sz="8" w:space="0" w:color="000000"/>
            </w:tcBorders>
            <w:vAlign w:val="center"/>
          </w:tcPr>
          <w:p w14:paraId="21850106" w14:textId="77777777" w:rsidR="006D2DC3" w:rsidRPr="005C2363" w:rsidRDefault="006D2DC3" w:rsidP="00450B7A">
            <w:pPr>
              <w:spacing w:after="0" w:line="240" w:lineRule="auto"/>
              <w:rPr>
                <w:rFonts w:ascii="Cambria" w:eastAsia="Times New Roman" w:hAnsi="Cambria" w:cs="Calibri"/>
                <w:lang w:val="hr-HR"/>
              </w:rPr>
            </w:pPr>
          </w:p>
        </w:tc>
        <w:tc>
          <w:tcPr>
            <w:tcW w:w="2981" w:type="dxa"/>
            <w:gridSpan w:val="2"/>
            <w:tcBorders>
              <w:top w:val="single" w:sz="8" w:space="0" w:color="000000"/>
              <w:left w:val="single" w:sz="8" w:space="0" w:color="000000"/>
              <w:bottom w:val="single" w:sz="8" w:space="0" w:color="000000"/>
            </w:tcBorders>
            <w:tcMar>
              <w:top w:w="15" w:type="dxa"/>
              <w:left w:w="108" w:type="dxa"/>
              <w:bottom w:w="0" w:type="dxa"/>
              <w:right w:w="108" w:type="dxa"/>
            </w:tcMar>
          </w:tcPr>
          <w:p w14:paraId="0684F948" w14:textId="77777777" w:rsidR="006D2DC3" w:rsidRPr="00DF4CE5" w:rsidRDefault="006D2DC3" w:rsidP="00450B7A">
            <w:pPr>
              <w:snapToGrid w:val="0"/>
              <w:spacing w:after="0" w:line="240" w:lineRule="auto"/>
              <w:jc w:val="both"/>
              <w:rPr>
                <w:rFonts w:ascii="Cambria" w:eastAsia="Times New Roman" w:hAnsi="Cambria" w:cs="Times New Roman"/>
                <w:lang w:val="hr-HR"/>
              </w:rPr>
            </w:pPr>
            <w:r w:rsidRPr="00DF4CE5">
              <w:rPr>
                <w:rFonts w:ascii="Cambria" w:eastAsia="Times New Roman" w:hAnsi="Cambria" w:cs="Times New Roman"/>
                <w:lang w:val="hr-HR"/>
              </w:rPr>
              <w:t>terenska nastava</w:t>
            </w:r>
          </w:p>
        </w:tc>
        <w:tc>
          <w:tcPr>
            <w:tcW w:w="1058" w:type="dxa"/>
            <w:tcBorders>
              <w:top w:val="single" w:sz="8" w:space="0" w:color="000000"/>
              <w:left w:val="single" w:sz="8" w:space="0" w:color="000000"/>
              <w:bottom w:val="single" w:sz="8" w:space="0" w:color="000000"/>
            </w:tcBorders>
            <w:tcMar>
              <w:top w:w="15" w:type="dxa"/>
              <w:left w:w="108" w:type="dxa"/>
              <w:bottom w:w="0" w:type="dxa"/>
              <w:right w:w="108" w:type="dxa"/>
            </w:tcMar>
            <w:vAlign w:val="center"/>
          </w:tcPr>
          <w:p w14:paraId="365BF82D" w14:textId="77777777" w:rsidR="006D2DC3" w:rsidRPr="00DF4CE5" w:rsidRDefault="006D2DC3" w:rsidP="00450B7A">
            <w:pPr>
              <w:snapToGrid w:val="0"/>
              <w:spacing w:after="0" w:line="240" w:lineRule="auto"/>
              <w:jc w:val="center"/>
              <w:rPr>
                <w:rFonts w:ascii="Cambria" w:eastAsia="Times New Roman" w:hAnsi="Cambria" w:cs="Times New Roman"/>
                <w:lang w:val="hr-HR"/>
              </w:rPr>
            </w:pPr>
            <w:r w:rsidRPr="00DF4CE5">
              <w:rPr>
                <w:rFonts w:ascii="Cambria" w:eastAsia="Times New Roman" w:hAnsi="Cambria" w:cs="Times New Roman"/>
                <w:lang w:val="hr-HR"/>
              </w:rPr>
              <w:t>2.</w:t>
            </w:r>
          </w:p>
        </w:tc>
        <w:tc>
          <w:tcPr>
            <w:tcW w:w="697" w:type="dxa"/>
            <w:gridSpan w:val="2"/>
            <w:tcBorders>
              <w:top w:val="single" w:sz="8" w:space="0" w:color="000000"/>
              <w:left w:val="single" w:sz="8" w:space="0" w:color="000000"/>
              <w:bottom w:val="single" w:sz="8" w:space="0" w:color="000000"/>
            </w:tcBorders>
            <w:tcMar>
              <w:top w:w="15" w:type="dxa"/>
              <w:left w:w="108" w:type="dxa"/>
              <w:bottom w:w="0" w:type="dxa"/>
              <w:right w:w="108" w:type="dxa"/>
            </w:tcMar>
            <w:vAlign w:val="center"/>
          </w:tcPr>
          <w:p w14:paraId="014CB8F5" w14:textId="77777777" w:rsidR="006D2DC3" w:rsidRPr="00DF4CE5" w:rsidRDefault="006D2DC3" w:rsidP="00450B7A">
            <w:pPr>
              <w:snapToGrid w:val="0"/>
              <w:spacing w:after="0" w:line="240" w:lineRule="auto"/>
              <w:jc w:val="center"/>
              <w:rPr>
                <w:rFonts w:ascii="Cambria" w:eastAsia="Times New Roman" w:hAnsi="Cambria" w:cs="Times New Roman"/>
                <w:lang w:val="hr-HR"/>
              </w:rPr>
            </w:pPr>
            <w:r>
              <w:rPr>
                <w:rFonts w:ascii="Cambria" w:eastAsia="Times New Roman" w:hAnsi="Cambria" w:cs="Times New Roman"/>
                <w:lang w:val="hr-HR"/>
              </w:rPr>
              <w:t>4</w:t>
            </w:r>
          </w:p>
        </w:tc>
        <w:tc>
          <w:tcPr>
            <w:tcW w:w="982" w:type="dxa"/>
            <w:tcBorders>
              <w:top w:val="single" w:sz="8" w:space="0" w:color="000000"/>
              <w:left w:val="single" w:sz="8" w:space="0" w:color="000000"/>
              <w:bottom w:val="single" w:sz="8" w:space="0" w:color="000000"/>
            </w:tcBorders>
            <w:tcMar>
              <w:top w:w="15" w:type="dxa"/>
              <w:left w:w="108" w:type="dxa"/>
              <w:bottom w:w="0" w:type="dxa"/>
              <w:right w:w="108" w:type="dxa"/>
            </w:tcMar>
            <w:vAlign w:val="center"/>
          </w:tcPr>
          <w:p w14:paraId="776043FA" w14:textId="77777777" w:rsidR="006D2DC3" w:rsidRPr="00DF4CE5" w:rsidRDefault="006D2DC3" w:rsidP="00450B7A">
            <w:pPr>
              <w:snapToGrid w:val="0"/>
              <w:spacing w:after="0" w:line="240" w:lineRule="auto"/>
              <w:jc w:val="center"/>
              <w:rPr>
                <w:rFonts w:ascii="Cambria" w:eastAsia="Times New Roman" w:hAnsi="Cambria" w:cs="Times New Roman"/>
                <w:lang w:val="hr-HR"/>
              </w:rPr>
            </w:pPr>
            <w:r w:rsidRPr="00DF4CE5">
              <w:rPr>
                <w:rFonts w:ascii="Cambria" w:eastAsia="Times New Roman" w:hAnsi="Cambria" w:cs="Times New Roman"/>
                <w:lang w:val="hr-HR"/>
              </w:rPr>
              <w:t>0,</w:t>
            </w:r>
            <w:r>
              <w:rPr>
                <w:rFonts w:ascii="Cambria" w:eastAsia="Times New Roman" w:hAnsi="Cambria" w:cs="Times New Roman"/>
                <w:lang w:val="hr-HR"/>
              </w:rPr>
              <w:t>1</w:t>
            </w:r>
          </w:p>
        </w:tc>
        <w:tc>
          <w:tcPr>
            <w:tcW w:w="127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31CB7C5" w14:textId="77777777" w:rsidR="006D2DC3" w:rsidRPr="00DF4CE5" w:rsidRDefault="006D2DC3" w:rsidP="00450B7A">
            <w:pPr>
              <w:snapToGrid w:val="0"/>
              <w:spacing w:after="0" w:line="240" w:lineRule="auto"/>
              <w:jc w:val="center"/>
              <w:rPr>
                <w:rFonts w:ascii="Cambria" w:eastAsia="Times New Roman" w:hAnsi="Cambria" w:cs="Times New Roman"/>
                <w:lang w:val="hr-HR"/>
              </w:rPr>
            </w:pPr>
            <w:r w:rsidRPr="00DF4CE5">
              <w:rPr>
                <w:rFonts w:ascii="Cambria" w:eastAsia="Times New Roman" w:hAnsi="Cambria" w:cs="Times New Roman"/>
                <w:lang w:val="hr-HR"/>
              </w:rPr>
              <w:t>0 %</w:t>
            </w:r>
          </w:p>
        </w:tc>
      </w:tr>
      <w:tr w:rsidR="006D2DC3" w:rsidRPr="00DF4CE5" w14:paraId="2EBAD267" w14:textId="77777777" w:rsidTr="00450B7A">
        <w:tc>
          <w:tcPr>
            <w:tcW w:w="2056" w:type="dxa"/>
            <w:vMerge/>
            <w:tcBorders>
              <w:left w:val="single" w:sz="8" w:space="0" w:color="000000"/>
              <w:right w:val="single" w:sz="8" w:space="0" w:color="000000"/>
            </w:tcBorders>
            <w:vAlign w:val="center"/>
          </w:tcPr>
          <w:p w14:paraId="32109025" w14:textId="77777777" w:rsidR="006D2DC3" w:rsidRPr="005C2363" w:rsidRDefault="006D2DC3" w:rsidP="00450B7A">
            <w:pPr>
              <w:spacing w:after="0" w:line="240" w:lineRule="auto"/>
              <w:rPr>
                <w:rFonts w:ascii="Cambria" w:eastAsia="Times New Roman" w:hAnsi="Cambria" w:cs="Calibri"/>
                <w:lang w:val="hr-HR"/>
              </w:rPr>
            </w:pPr>
          </w:p>
        </w:tc>
        <w:tc>
          <w:tcPr>
            <w:tcW w:w="2981" w:type="dxa"/>
            <w:gridSpan w:val="2"/>
            <w:tcBorders>
              <w:top w:val="single" w:sz="8" w:space="0" w:color="000000"/>
              <w:left w:val="single" w:sz="8" w:space="0" w:color="000000"/>
              <w:bottom w:val="single" w:sz="8" w:space="0" w:color="000000"/>
            </w:tcBorders>
            <w:tcMar>
              <w:top w:w="15" w:type="dxa"/>
              <w:left w:w="108" w:type="dxa"/>
              <w:bottom w:w="0" w:type="dxa"/>
              <w:right w:w="108" w:type="dxa"/>
            </w:tcMar>
          </w:tcPr>
          <w:p w14:paraId="407698A8" w14:textId="77777777" w:rsidR="006D2DC3" w:rsidRPr="00DF4CE5" w:rsidRDefault="006D2DC3" w:rsidP="00450B7A">
            <w:pPr>
              <w:snapToGrid w:val="0"/>
              <w:spacing w:after="0" w:line="240" w:lineRule="auto"/>
              <w:jc w:val="both"/>
              <w:rPr>
                <w:rFonts w:ascii="Cambria" w:eastAsia="Times New Roman" w:hAnsi="Cambria" w:cs="Times New Roman"/>
                <w:lang w:val="hr-HR"/>
              </w:rPr>
            </w:pPr>
            <w:r w:rsidRPr="00DF4CE5">
              <w:rPr>
                <w:rFonts w:ascii="Cambria" w:eastAsia="Times New Roman" w:hAnsi="Cambria" w:cs="Times New Roman"/>
                <w:lang w:val="hr-HR"/>
              </w:rPr>
              <w:t xml:space="preserve">istraživanje </w:t>
            </w:r>
          </w:p>
        </w:tc>
        <w:tc>
          <w:tcPr>
            <w:tcW w:w="1058" w:type="dxa"/>
            <w:tcBorders>
              <w:top w:val="single" w:sz="8" w:space="0" w:color="000000"/>
              <w:left w:val="single" w:sz="8" w:space="0" w:color="000000"/>
              <w:bottom w:val="single" w:sz="8" w:space="0" w:color="000000"/>
            </w:tcBorders>
            <w:tcMar>
              <w:top w:w="15" w:type="dxa"/>
              <w:left w:w="108" w:type="dxa"/>
              <w:bottom w:w="0" w:type="dxa"/>
              <w:right w:w="108" w:type="dxa"/>
            </w:tcMar>
            <w:vAlign w:val="center"/>
          </w:tcPr>
          <w:p w14:paraId="20CB4E3C" w14:textId="77777777" w:rsidR="006D2DC3" w:rsidRPr="00DF4CE5" w:rsidRDefault="006D2DC3" w:rsidP="00450B7A">
            <w:pPr>
              <w:snapToGrid w:val="0"/>
              <w:spacing w:after="0" w:line="240" w:lineRule="auto"/>
              <w:jc w:val="center"/>
              <w:rPr>
                <w:rFonts w:ascii="Cambria" w:eastAsia="Times New Roman" w:hAnsi="Cambria" w:cs="Times New Roman"/>
                <w:lang w:val="hr-HR"/>
              </w:rPr>
            </w:pPr>
            <w:r w:rsidRPr="00DF4CE5">
              <w:rPr>
                <w:rFonts w:ascii="Cambria" w:eastAsia="Times New Roman" w:hAnsi="Cambria" w:cs="Times New Roman"/>
                <w:lang w:val="hr-HR"/>
              </w:rPr>
              <w:t>3.</w:t>
            </w:r>
          </w:p>
        </w:tc>
        <w:tc>
          <w:tcPr>
            <w:tcW w:w="697" w:type="dxa"/>
            <w:gridSpan w:val="2"/>
            <w:tcBorders>
              <w:top w:val="single" w:sz="8" w:space="0" w:color="000000"/>
              <w:left w:val="single" w:sz="8" w:space="0" w:color="000000"/>
              <w:bottom w:val="single" w:sz="8" w:space="0" w:color="000000"/>
            </w:tcBorders>
            <w:tcMar>
              <w:top w:w="15" w:type="dxa"/>
              <w:left w:w="108" w:type="dxa"/>
              <w:bottom w:w="0" w:type="dxa"/>
              <w:right w:w="108" w:type="dxa"/>
            </w:tcMar>
            <w:vAlign w:val="center"/>
          </w:tcPr>
          <w:p w14:paraId="3285082C" w14:textId="77777777" w:rsidR="006D2DC3" w:rsidRPr="00DF4CE5" w:rsidRDefault="006D2DC3" w:rsidP="00450B7A">
            <w:pPr>
              <w:snapToGrid w:val="0"/>
              <w:spacing w:after="0" w:line="240" w:lineRule="auto"/>
              <w:jc w:val="center"/>
              <w:rPr>
                <w:rFonts w:ascii="Cambria" w:eastAsia="Times New Roman" w:hAnsi="Cambria" w:cs="Times New Roman"/>
                <w:lang w:val="hr-HR"/>
              </w:rPr>
            </w:pPr>
            <w:r>
              <w:rPr>
                <w:rFonts w:ascii="Cambria" w:eastAsia="Times New Roman" w:hAnsi="Cambria" w:cs="Times New Roman"/>
                <w:lang w:val="hr-HR"/>
              </w:rPr>
              <w:t>18</w:t>
            </w:r>
          </w:p>
        </w:tc>
        <w:tc>
          <w:tcPr>
            <w:tcW w:w="982" w:type="dxa"/>
            <w:tcBorders>
              <w:top w:val="single" w:sz="8" w:space="0" w:color="000000"/>
              <w:left w:val="single" w:sz="8" w:space="0" w:color="000000"/>
              <w:bottom w:val="single" w:sz="8" w:space="0" w:color="000000"/>
            </w:tcBorders>
            <w:tcMar>
              <w:top w:w="15" w:type="dxa"/>
              <w:left w:w="108" w:type="dxa"/>
              <w:bottom w:w="0" w:type="dxa"/>
              <w:right w:w="108" w:type="dxa"/>
            </w:tcMar>
            <w:vAlign w:val="center"/>
          </w:tcPr>
          <w:p w14:paraId="3497588D" w14:textId="77777777" w:rsidR="006D2DC3" w:rsidRPr="00DF4CE5" w:rsidRDefault="006D2DC3" w:rsidP="00450B7A">
            <w:pPr>
              <w:snapToGrid w:val="0"/>
              <w:spacing w:after="0" w:line="240" w:lineRule="auto"/>
              <w:jc w:val="center"/>
              <w:rPr>
                <w:rFonts w:ascii="Cambria" w:eastAsia="Times New Roman" w:hAnsi="Cambria" w:cs="Times New Roman"/>
                <w:lang w:val="hr-HR"/>
              </w:rPr>
            </w:pPr>
            <w:r w:rsidRPr="00DF4CE5">
              <w:rPr>
                <w:rFonts w:ascii="Cambria" w:eastAsia="Times New Roman" w:hAnsi="Cambria" w:cs="Times New Roman"/>
                <w:lang w:val="hr-HR"/>
              </w:rPr>
              <w:t>0,6</w:t>
            </w:r>
          </w:p>
        </w:tc>
        <w:tc>
          <w:tcPr>
            <w:tcW w:w="127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2CE786" w14:textId="77777777" w:rsidR="006D2DC3" w:rsidRPr="00DF4CE5" w:rsidRDefault="006D2DC3" w:rsidP="00450B7A">
            <w:pPr>
              <w:snapToGrid w:val="0"/>
              <w:spacing w:after="0" w:line="240" w:lineRule="auto"/>
              <w:jc w:val="center"/>
              <w:rPr>
                <w:rFonts w:ascii="Cambria" w:eastAsia="Times New Roman" w:hAnsi="Cambria" w:cs="Times New Roman"/>
                <w:lang w:val="hr-HR"/>
              </w:rPr>
            </w:pPr>
            <w:r w:rsidRPr="00DF4CE5">
              <w:rPr>
                <w:rFonts w:ascii="Cambria" w:eastAsia="Times New Roman" w:hAnsi="Cambria" w:cs="Times New Roman"/>
                <w:lang w:val="hr-HR"/>
              </w:rPr>
              <w:t>60 %</w:t>
            </w:r>
          </w:p>
        </w:tc>
      </w:tr>
      <w:tr w:rsidR="006D2DC3" w:rsidRPr="00DF4CE5" w14:paraId="105F34D4" w14:textId="77777777" w:rsidTr="00450B7A">
        <w:tc>
          <w:tcPr>
            <w:tcW w:w="2056" w:type="dxa"/>
            <w:vMerge/>
            <w:tcBorders>
              <w:left w:val="single" w:sz="8" w:space="0" w:color="000000"/>
              <w:right w:val="single" w:sz="8" w:space="0" w:color="000000"/>
            </w:tcBorders>
            <w:vAlign w:val="center"/>
          </w:tcPr>
          <w:p w14:paraId="50268146" w14:textId="77777777" w:rsidR="006D2DC3" w:rsidRPr="005C2363" w:rsidRDefault="006D2DC3" w:rsidP="00450B7A">
            <w:pPr>
              <w:spacing w:after="0" w:line="240" w:lineRule="auto"/>
              <w:rPr>
                <w:rFonts w:ascii="Cambria" w:eastAsia="Times New Roman" w:hAnsi="Cambria" w:cs="Calibri"/>
                <w:lang w:val="hr-HR"/>
              </w:rPr>
            </w:pPr>
          </w:p>
        </w:tc>
        <w:tc>
          <w:tcPr>
            <w:tcW w:w="2981" w:type="dxa"/>
            <w:gridSpan w:val="2"/>
            <w:tcBorders>
              <w:top w:val="single" w:sz="8" w:space="0" w:color="000000"/>
              <w:left w:val="single" w:sz="8" w:space="0" w:color="000000"/>
              <w:bottom w:val="single" w:sz="8" w:space="0" w:color="000000"/>
            </w:tcBorders>
            <w:tcMar>
              <w:top w:w="15" w:type="dxa"/>
              <w:left w:w="108" w:type="dxa"/>
              <w:bottom w:w="0" w:type="dxa"/>
              <w:right w:w="108" w:type="dxa"/>
            </w:tcMar>
          </w:tcPr>
          <w:p w14:paraId="703A3BAF" w14:textId="77777777" w:rsidR="006D2DC3" w:rsidRPr="00DF4CE5" w:rsidRDefault="006D2DC3" w:rsidP="00450B7A">
            <w:pPr>
              <w:snapToGrid w:val="0"/>
              <w:spacing w:after="0" w:line="240" w:lineRule="auto"/>
              <w:jc w:val="both"/>
              <w:rPr>
                <w:rFonts w:ascii="Cambria" w:eastAsia="Times New Roman" w:hAnsi="Cambria" w:cs="Times New Roman"/>
                <w:lang w:val="hr-HR"/>
              </w:rPr>
            </w:pPr>
            <w:r w:rsidRPr="00DF4CE5">
              <w:rPr>
                <w:rFonts w:ascii="Cambria" w:eastAsia="Times New Roman" w:hAnsi="Cambria" w:cs="Times New Roman"/>
                <w:lang w:val="hr-HR"/>
              </w:rPr>
              <w:t>ispit (usmeni)</w:t>
            </w:r>
          </w:p>
        </w:tc>
        <w:tc>
          <w:tcPr>
            <w:tcW w:w="1058" w:type="dxa"/>
            <w:tcBorders>
              <w:top w:val="single" w:sz="8" w:space="0" w:color="000000"/>
              <w:left w:val="single" w:sz="8" w:space="0" w:color="000000"/>
              <w:bottom w:val="single" w:sz="8" w:space="0" w:color="000000"/>
            </w:tcBorders>
            <w:tcMar>
              <w:top w:w="15" w:type="dxa"/>
              <w:left w:w="108" w:type="dxa"/>
              <w:bottom w:w="0" w:type="dxa"/>
              <w:right w:w="108" w:type="dxa"/>
            </w:tcMar>
            <w:vAlign w:val="center"/>
          </w:tcPr>
          <w:p w14:paraId="05109FF0" w14:textId="77777777" w:rsidR="006D2DC3" w:rsidRPr="00DF4CE5" w:rsidRDefault="006D2DC3" w:rsidP="00450B7A">
            <w:pPr>
              <w:snapToGrid w:val="0"/>
              <w:spacing w:after="0" w:line="240" w:lineRule="auto"/>
              <w:jc w:val="center"/>
              <w:rPr>
                <w:rFonts w:ascii="Cambria" w:eastAsia="Times New Roman" w:hAnsi="Cambria" w:cs="Times New Roman"/>
                <w:lang w:val="hr-HR"/>
              </w:rPr>
            </w:pPr>
            <w:r w:rsidRPr="00DF4CE5">
              <w:rPr>
                <w:rFonts w:ascii="Cambria" w:eastAsia="Times New Roman" w:hAnsi="Cambria" w:cs="Times New Roman"/>
                <w:lang w:val="hr-HR"/>
              </w:rPr>
              <w:t xml:space="preserve">1. </w:t>
            </w:r>
            <w:r>
              <w:rPr>
                <w:rFonts w:ascii="Cambria" w:eastAsia="Times New Roman" w:hAnsi="Cambria" w:cs="Times New Roman"/>
                <w:lang w:val="hr-HR"/>
              </w:rPr>
              <w:t>–</w:t>
            </w:r>
            <w:r w:rsidRPr="00DF4CE5">
              <w:rPr>
                <w:rFonts w:ascii="Cambria" w:eastAsia="Times New Roman" w:hAnsi="Cambria" w:cs="Times New Roman"/>
                <w:lang w:val="hr-HR"/>
              </w:rPr>
              <w:t xml:space="preserve"> 4.</w:t>
            </w:r>
          </w:p>
        </w:tc>
        <w:tc>
          <w:tcPr>
            <w:tcW w:w="697" w:type="dxa"/>
            <w:gridSpan w:val="2"/>
            <w:tcBorders>
              <w:top w:val="single" w:sz="8" w:space="0" w:color="000000"/>
              <w:left w:val="single" w:sz="8" w:space="0" w:color="000000"/>
              <w:bottom w:val="single" w:sz="8" w:space="0" w:color="000000"/>
            </w:tcBorders>
            <w:tcMar>
              <w:top w:w="15" w:type="dxa"/>
              <w:left w:w="108" w:type="dxa"/>
              <w:bottom w:w="0" w:type="dxa"/>
              <w:right w:w="108" w:type="dxa"/>
            </w:tcMar>
            <w:vAlign w:val="center"/>
          </w:tcPr>
          <w:p w14:paraId="69D47B4C" w14:textId="77777777" w:rsidR="006D2DC3" w:rsidRPr="00DF4CE5" w:rsidRDefault="006D2DC3" w:rsidP="00450B7A">
            <w:pPr>
              <w:snapToGrid w:val="0"/>
              <w:spacing w:after="0" w:line="240" w:lineRule="auto"/>
              <w:jc w:val="center"/>
              <w:rPr>
                <w:rFonts w:ascii="Cambria" w:eastAsia="Times New Roman" w:hAnsi="Cambria" w:cs="Times New Roman"/>
                <w:lang w:val="hr-HR"/>
              </w:rPr>
            </w:pPr>
            <w:r w:rsidRPr="00DF4CE5">
              <w:rPr>
                <w:rFonts w:ascii="Cambria" w:eastAsia="Times New Roman" w:hAnsi="Cambria" w:cs="Times New Roman"/>
                <w:lang w:val="hr-HR"/>
              </w:rPr>
              <w:t>15</w:t>
            </w:r>
          </w:p>
        </w:tc>
        <w:tc>
          <w:tcPr>
            <w:tcW w:w="982" w:type="dxa"/>
            <w:tcBorders>
              <w:top w:val="single" w:sz="8" w:space="0" w:color="000000"/>
              <w:left w:val="single" w:sz="8" w:space="0" w:color="000000"/>
              <w:bottom w:val="single" w:sz="8" w:space="0" w:color="000000"/>
            </w:tcBorders>
            <w:tcMar>
              <w:top w:w="15" w:type="dxa"/>
              <w:left w:w="108" w:type="dxa"/>
              <w:bottom w:w="0" w:type="dxa"/>
              <w:right w:w="108" w:type="dxa"/>
            </w:tcMar>
            <w:vAlign w:val="center"/>
          </w:tcPr>
          <w:p w14:paraId="178B0CE5" w14:textId="77777777" w:rsidR="006D2DC3" w:rsidRPr="00DF4CE5" w:rsidRDefault="006D2DC3" w:rsidP="00450B7A">
            <w:pPr>
              <w:snapToGrid w:val="0"/>
              <w:spacing w:after="0" w:line="240" w:lineRule="auto"/>
              <w:jc w:val="center"/>
              <w:rPr>
                <w:rFonts w:ascii="Cambria" w:eastAsia="Times New Roman" w:hAnsi="Cambria" w:cs="Times New Roman"/>
                <w:lang w:val="hr-HR"/>
              </w:rPr>
            </w:pPr>
            <w:r w:rsidRPr="00DF4CE5">
              <w:rPr>
                <w:rFonts w:ascii="Cambria" w:eastAsia="Times New Roman" w:hAnsi="Cambria" w:cs="Times New Roman"/>
                <w:lang w:val="hr-HR"/>
              </w:rPr>
              <w:t>0,5</w:t>
            </w:r>
          </w:p>
        </w:tc>
        <w:tc>
          <w:tcPr>
            <w:tcW w:w="127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C7A7173" w14:textId="77777777" w:rsidR="006D2DC3" w:rsidRPr="00DF4CE5" w:rsidRDefault="006D2DC3" w:rsidP="00450B7A">
            <w:pPr>
              <w:snapToGrid w:val="0"/>
              <w:spacing w:after="0" w:line="240" w:lineRule="auto"/>
              <w:jc w:val="center"/>
              <w:rPr>
                <w:rFonts w:ascii="Cambria" w:eastAsia="Times New Roman" w:hAnsi="Cambria" w:cs="Times New Roman"/>
                <w:lang w:val="hr-HR"/>
              </w:rPr>
            </w:pPr>
            <w:r w:rsidRPr="00DF4CE5">
              <w:rPr>
                <w:rFonts w:ascii="Cambria" w:eastAsia="Times New Roman" w:hAnsi="Cambria" w:cs="Times New Roman"/>
                <w:lang w:val="hr-HR"/>
              </w:rPr>
              <w:t>30 %</w:t>
            </w:r>
          </w:p>
        </w:tc>
      </w:tr>
      <w:tr w:rsidR="006D2DC3" w:rsidRPr="005C2363" w14:paraId="4A062F36" w14:textId="77777777" w:rsidTr="00450B7A">
        <w:tc>
          <w:tcPr>
            <w:tcW w:w="2056" w:type="dxa"/>
            <w:vMerge/>
            <w:tcBorders>
              <w:left w:val="single" w:sz="8" w:space="0" w:color="000000"/>
              <w:right w:val="single" w:sz="8" w:space="0" w:color="000000"/>
            </w:tcBorders>
            <w:vAlign w:val="center"/>
          </w:tcPr>
          <w:p w14:paraId="2F7A59A5" w14:textId="77777777" w:rsidR="006D2DC3" w:rsidRPr="005C2363" w:rsidRDefault="006D2DC3" w:rsidP="00450B7A">
            <w:pPr>
              <w:spacing w:after="0" w:line="240" w:lineRule="auto"/>
              <w:rPr>
                <w:rFonts w:ascii="Cambria" w:eastAsia="Times New Roman" w:hAnsi="Cambria" w:cs="Calibri"/>
                <w:lang w:val="hr-HR"/>
              </w:rPr>
            </w:pPr>
          </w:p>
        </w:tc>
        <w:tc>
          <w:tcPr>
            <w:tcW w:w="4039"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3CDE45D" w14:textId="77777777" w:rsidR="006D2DC3" w:rsidRPr="005C2363" w:rsidRDefault="006D2DC3" w:rsidP="00450B7A">
            <w:pPr>
              <w:spacing w:after="0" w:line="240" w:lineRule="auto"/>
              <w:rPr>
                <w:rFonts w:ascii="Cambria" w:eastAsia="Times New Roman" w:hAnsi="Cambria" w:cs="Calibri"/>
                <w:lang w:val="hr-HR"/>
              </w:rPr>
            </w:pPr>
            <w:r w:rsidRPr="005C2363">
              <w:rPr>
                <w:rFonts w:ascii="Cambria" w:eastAsia="Times New Roman" w:hAnsi="Cambria" w:cs="Calibri"/>
                <w:lang w:val="hr-HR"/>
              </w:rPr>
              <w:t>ukupno</w:t>
            </w:r>
          </w:p>
        </w:tc>
        <w:tc>
          <w:tcPr>
            <w:tcW w:w="69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CBE79F6" w14:textId="77777777" w:rsidR="006D2DC3" w:rsidRPr="005C2363" w:rsidRDefault="006D2DC3" w:rsidP="00450B7A">
            <w:pPr>
              <w:spacing w:after="0" w:line="240" w:lineRule="auto"/>
              <w:jc w:val="center"/>
              <w:rPr>
                <w:rFonts w:ascii="Cambria" w:eastAsia="Times New Roman" w:hAnsi="Cambria" w:cs="Calibri"/>
                <w:lang w:val="hr-HR"/>
              </w:rPr>
            </w:pPr>
            <w:r>
              <w:rPr>
                <w:rFonts w:ascii="Cambria" w:eastAsia="Times New Roman" w:hAnsi="Cambria" w:cs="Calibri"/>
                <w:lang w:val="hr-HR"/>
              </w:rPr>
              <w:t>60</w:t>
            </w:r>
          </w:p>
        </w:tc>
        <w:tc>
          <w:tcPr>
            <w:tcW w:w="9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259925C" w14:textId="77777777" w:rsidR="006D2DC3" w:rsidRPr="005C2363" w:rsidRDefault="006D2DC3" w:rsidP="00450B7A">
            <w:pPr>
              <w:spacing w:after="0" w:line="240" w:lineRule="auto"/>
              <w:jc w:val="center"/>
              <w:rPr>
                <w:rFonts w:ascii="Cambria" w:eastAsia="Times New Roman" w:hAnsi="Cambria" w:cs="Calibri"/>
                <w:lang w:val="hr-HR"/>
              </w:rPr>
            </w:pPr>
            <w:r>
              <w:rPr>
                <w:rFonts w:ascii="Cambria" w:eastAsia="Times New Roman" w:hAnsi="Cambria" w:cs="Calibri"/>
                <w:lang w:val="hr-HR"/>
              </w:rPr>
              <w:t>2</w:t>
            </w:r>
          </w:p>
        </w:tc>
        <w:tc>
          <w:tcPr>
            <w:tcW w:w="127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1508B8B" w14:textId="77777777" w:rsidR="006D2DC3" w:rsidRPr="005C2363" w:rsidRDefault="006D2DC3" w:rsidP="00450B7A">
            <w:pPr>
              <w:spacing w:after="0" w:line="240" w:lineRule="auto"/>
              <w:jc w:val="center"/>
              <w:rPr>
                <w:rFonts w:ascii="Cambria" w:eastAsia="Times New Roman" w:hAnsi="Cambria" w:cs="Calibri"/>
                <w:lang w:val="hr-HR"/>
              </w:rPr>
            </w:pPr>
            <w:r>
              <w:rPr>
                <w:rFonts w:ascii="Cambria" w:eastAsia="Times New Roman" w:hAnsi="Cambria" w:cs="Calibri"/>
                <w:lang w:val="hr-HR"/>
              </w:rPr>
              <w:t>100%</w:t>
            </w:r>
          </w:p>
        </w:tc>
      </w:tr>
      <w:tr w:rsidR="006D2DC3" w:rsidRPr="00347571" w14:paraId="43F2A7D9" w14:textId="77777777" w:rsidTr="00450B7A">
        <w:tc>
          <w:tcPr>
            <w:tcW w:w="205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A4E01AE" w14:textId="77777777" w:rsidR="006D2DC3" w:rsidRPr="005C2363" w:rsidRDefault="006D2DC3" w:rsidP="00450B7A">
            <w:pPr>
              <w:spacing w:after="0" w:line="240" w:lineRule="auto"/>
              <w:rPr>
                <w:rFonts w:ascii="Cambria" w:eastAsia="Times New Roman" w:hAnsi="Cambria" w:cs="Calibri"/>
                <w:lang w:val="hr-HR"/>
              </w:rPr>
            </w:pPr>
            <w:r w:rsidRPr="005C2363">
              <w:rPr>
                <w:rFonts w:ascii="Cambria" w:eastAsia="Times New Roman" w:hAnsi="Cambria" w:cs="Calibri"/>
                <w:lang w:val="hr-HR"/>
              </w:rPr>
              <w:t>Studentske obveze</w:t>
            </w:r>
          </w:p>
        </w:tc>
        <w:tc>
          <w:tcPr>
            <w:tcW w:w="6996"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4DA372F6" w14:textId="77777777" w:rsidR="006D2DC3" w:rsidRPr="003341BD" w:rsidRDefault="006D2DC3" w:rsidP="00450B7A">
            <w:pPr>
              <w:widowControl w:val="0"/>
              <w:autoSpaceDE w:val="0"/>
              <w:autoSpaceDN w:val="0"/>
              <w:spacing w:after="0" w:line="240" w:lineRule="auto"/>
              <w:rPr>
                <w:rFonts w:ascii="Cambria" w:eastAsia="Cambria" w:hAnsi="Cambria" w:cs="Cambria"/>
                <w:lang w:val="hr-HR"/>
              </w:rPr>
            </w:pPr>
            <w:r w:rsidRPr="003341BD">
              <w:rPr>
                <w:rFonts w:ascii="Cambria" w:eastAsia="Cambria" w:hAnsi="Cambria" w:cs="Cambria"/>
                <w:lang w:val="hr-HR"/>
              </w:rPr>
              <w:t xml:space="preserve">Da položi kolegij, student/studentica mora: </w:t>
            </w:r>
          </w:p>
          <w:p w14:paraId="127E1FC9" w14:textId="77777777" w:rsidR="006D2DC3" w:rsidRPr="003341BD" w:rsidRDefault="006D2DC3" w:rsidP="00450B7A">
            <w:pPr>
              <w:widowControl w:val="0"/>
              <w:autoSpaceDE w:val="0"/>
              <w:autoSpaceDN w:val="0"/>
              <w:spacing w:after="0" w:line="240" w:lineRule="auto"/>
              <w:rPr>
                <w:rFonts w:ascii="Cambria" w:eastAsia="Cambria" w:hAnsi="Cambria" w:cs="Cambria"/>
                <w:lang w:val="hr-HR"/>
              </w:rPr>
            </w:pPr>
            <w:r w:rsidRPr="003341BD">
              <w:rPr>
                <w:rFonts w:ascii="Cambria" w:eastAsia="Cambria" w:hAnsi="Cambria" w:cs="Cambria"/>
                <w:lang w:val="hr-HR"/>
              </w:rPr>
              <w:t>1.</w:t>
            </w:r>
            <w:r>
              <w:rPr>
                <w:rFonts w:ascii="Cambria" w:eastAsia="Cambria" w:hAnsi="Cambria" w:cs="Cambria"/>
                <w:lang w:val="hr-HR"/>
              </w:rPr>
              <w:t xml:space="preserve"> </w:t>
            </w:r>
            <w:r w:rsidRPr="003341BD">
              <w:rPr>
                <w:rFonts w:ascii="Cambria" w:eastAsia="Cambria" w:hAnsi="Cambria" w:cs="Cambria"/>
                <w:lang w:val="hr-HR"/>
              </w:rPr>
              <w:t>pohađati nastavu i aktivno sudjelovati na predavanjima i seminarima</w:t>
            </w:r>
          </w:p>
          <w:p w14:paraId="0B962263" w14:textId="77777777" w:rsidR="006D2DC3" w:rsidRPr="003341BD" w:rsidRDefault="006D2DC3" w:rsidP="00450B7A">
            <w:pPr>
              <w:widowControl w:val="0"/>
              <w:autoSpaceDE w:val="0"/>
              <w:autoSpaceDN w:val="0"/>
              <w:spacing w:after="0" w:line="240" w:lineRule="auto"/>
              <w:rPr>
                <w:rFonts w:ascii="Cambria" w:eastAsia="Cambria" w:hAnsi="Cambria" w:cs="Cambria"/>
                <w:lang w:val="hr-HR"/>
              </w:rPr>
            </w:pPr>
            <w:r w:rsidRPr="003341BD">
              <w:rPr>
                <w:rFonts w:ascii="Cambria" w:eastAsia="Cambria" w:hAnsi="Cambria" w:cs="Cambria"/>
                <w:lang w:val="hr-HR"/>
              </w:rPr>
              <w:t>2.</w:t>
            </w:r>
            <w:r>
              <w:rPr>
                <w:rFonts w:ascii="Cambria" w:eastAsia="Cambria" w:hAnsi="Cambria" w:cs="Cambria"/>
                <w:lang w:val="hr-HR"/>
              </w:rPr>
              <w:t xml:space="preserve"> </w:t>
            </w:r>
            <w:r w:rsidRPr="003341BD">
              <w:rPr>
                <w:rFonts w:ascii="Cambria" w:eastAsia="Cambria" w:hAnsi="Cambria" w:cs="Cambria"/>
                <w:lang w:val="hr-HR"/>
              </w:rPr>
              <w:t>u skladu s postulatima teorije recepcije aktivno i kontinuirano sudjelovati u praćenju i vrjednovanju seminarskih radova.</w:t>
            </w:r>
          </w:p>
          <w:p w14:paraId="19B1E491" w14:textId="77777777" w:rsidR="006D2DC3" w:rsidRPr="003341BD" w:rsidRDefault="006D2DC3" w:rsidP="00450B7A">
            <w:pPr>
              <w:widowControl w:val="0"/>
              <w:autoSpaceDE w:val="0"/>
              <w:autoSpaceDN w:val="0"/>
              <w:spacing w:after="0" w:line="240" w:lineRule="auto"/>
              <w:rPr>
                <w:rFonts w:ascii="Cambria" w:eastAsia="Cambria" w:hAnsi="Cambria" w:cs="Cambria"/>
                <w:lang w:val="hr-HR"/>
              </w:rPr>
            </w:pPr>
            <w:r w:rsidRPr="003341BD">
              <w:rPr>
                <w:rFonts w:ascii="Cambria" w:eastAsia="Cambria" w:hAnsi="Cambria" w:cs="Cambria"/>
                <w:lang w:val="hr-HR"/>
              </w:rPr>
              <w:t xml:space="preserve">3. aktivno sudjelovati u terenskoj nastavi: Sajam knjiga u istri; Monte </w:t>
            </w:r>
            <w:proofErr w:type="spellStart"/>
            <w:r w:rsidRPr="003341BD">
              <w:rPr>
                <w:rFonts w:ascii="Cambria" w:eastAsia="Cambria" w:hAnsi="Cambria" w:cs="Cambria"/>
                <w:lang w:val="hr-HR"/>
              </w:rPr>
              <w:t>Librić</w:t>
            </w:r>
            <w:proofErr w:type="spellEnd"/>
            <w:r w:rsidRPr="003341BD">
              <w:rPr>
                <w:rFonts w:ascii="Cambria" w:eastAsia="Cambria" w:hAnsi="Cambria" w:cs="Cambria"/>
                <w:lang w:val="hr-HR"/>
              </w:rPr>
              <w:t xml:space="preserve"> te pojedinim zavičajnim manifestacijama.</w:t>
            </w:r>
          </w:p>
          <w:p w14:paraId="589A55C8" w14:textId="77777777" w:rsidR="006D2DC3" w:rsidRPr="003341BD" w:rsidRDefault="006D2DC3" w:rsidP="00450B7A">
            <w:pPr>
              <w:widowControl w:val="0"/>
              <w:autoSpaceDE w:val="0"/>
              <w:autoSpaceDN w:val="0"/>
              <w:spacing w:after="0" w:line="240" w:lineRule="auto"/>
              <w:rPr>
                <w:rFonts w:ascii="Cambria" w:eastAsia="Cambria" w:hAnsi="Cambria" w:cs="Cambria"/>
                <w:lang w:val="hr-HR"/>
              </w:rPr>
            </w:pPr>
            <w:r w:rsidRPr="003341BD">
              <w:rPr>
                <w:rFonts w:ascii="Cambria" w:eastAsia="Cambria" w:hAnsi="Cambria" w:cs="Cambria"/>
                <w:lang w:val="hr-HR"/>
              </w:rPr>
              <w:t xml:space="preserve">4. proučiti teorijsku literaturu i primijeniti je u radu s mlađim školskim djetetom pri osmišljavanju konkretnoga modela rada. </w:t>
            </w:r>
          </w:p>
          <w:p w14:paraId="33D9C1F5" w14:textId="77777777" w:rsidR="006D2DC3" w:rsidRPr="00347571" w:rsidRDefault="006D2DC3" w:rsidP="00450B7A">
            <w:pPr>
              <w:widowControl w:val="0"/>
              <w:autoSpaceDE w:val="0"/>
              <w:autoSpaceDN w:val="0"/>
              <w:spacing w:after="0" w:line="240" w:lineRule="auto"/>
              <w:rPr>
                <w:rFonts w:ascii="Cambria" w:eastAsia="Cambria" w:hAnsi="Cambria" w:cs="Cambria"/>
                <w:lang w:val="hr-HR"/>
              </w:rPr>
            </w:pPr>
            <w:r w:rsidRPr="003341BD">
              <w:rPr>
                <w:rFonts w:ascii="Cambria" w:eastAsia="Cambria" w:hAnsi="Cambria" w:cs="Cambria"/>
                <w:lang w:val="hr-HR"/>
              </w:rPr>
              <w:t>5. položiti usmeni ispit.</w:t>
            </w:r>
          </w:p>
        </w:tc>
      </w:tr>
      <w:tr w:rsidR="006D2DC3" w:rsidRPr="00D0399C" w14:paraId="22EA509A" w14:textId="77777777" w:rsidTr="00450B7A">
        <w:tc>
          <w:tcPr>
            <w:tcW w:w="205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F1E137C" w14:textId="77777777" w:rsidR="006D2DC3" w:rsidRPr="005C2363" w:rsidRDefault="006D2DC3" w:rsidP="00450B7A">
            <w:pPr>
              <w:spacing w:after="0" w:line="240" w:lineRule="auto"/>
              <w:rPr>
                <w:rFonts w:ascii="Cambria" w:eastAsia="Times New Roman" w:hAnsi="Cambria" w:cs="Calibri"/>
                <w:lang w:val="hr-HR"/>
              </w:rPr>
            </w:pPr>
            <w:r w:rsidRPr="005C2363">
              <w:rPr>
                <w:rFonts w:ascii="Cambria" w:eastAsia="Times New Roman" w:hAnsi="Cambria" w:cs="Calibri"/>
                <w:lang w:val="hr-HR"/>
              </w:rPr>
              <w:t>Rokovi ispita i kolokvija</w:t>
            </w:r>
          </w:p>
        </w:tc>
        <w:tc>
          <w:tcPr>
            <w:tcW w:w="699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FDE6C37" w14:textId="77777777" w:rsidR="006D2DC3" w:rsidRPr="00DF4CE5" w:rsidRDefault="006D2DC3" w:rsidP="00450B7A">
            <w:pPr>
              <w:snapToGrid w:val="0"/>
              <w:spacing w:after="0" w:line="240" w:lineRule="auto"/>
              <w:jc w:val="both"/>
              <w:rPr>
                <w:rFonts w:ascii="Cambria" w:eastAsia="Times New Roman" w:hAnsi="Cambria" w:cs="Times New Roman"/>
                <w:lang w:val="hr-HR"/>
              </w:rPr>
            </w:pPr>
            <w:r w:rsidRPr="00DF4CE5">
              <w:rPr>
                <w:rFonts w:ascii="Cambria" w:eastAsia="Times New Roman" w:hAnsi="Cambria" w:cs="Times New Roman"/>
                <w:lang w:val="hr-HR"/>
              </w:rPr>
              <w:t xml:space="preserve">Daju se na početku akademske godine, objavljuju se na mrežnim stranicama Sveučilišta i u ISVU. </w:t>
            </w:r>
          </w:p>
        </w:tc>
      </w:tr>
      <w:tr w:rsidR="006D2DC3" w:rsidRPr="00DF4CE5" w14:paraId="5F980E46" w14:textId="77777777" w:rsidTr="00450B7A">
        <w:tc>
          <w:tcPr>
            <w:tcW w:w="205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222D686" w14:textId="77777777" w:rsidR="006D2DC3" w:rsidRPr="005C2363" w:rsidRDefault="006D2DC3" w:rsidP="00450B7A">
            <w:pPr>
              <w:spacing w:after="0" w:line="240" w:lineRule="auto"/>
              <w:rPr>
                <w:rFonts w:ascii="Cambria" w:eastAsia="Times New Roman" w:hAnsi="Cambria" w:cs="Calibri"/>
                <w:lang w:val="hr-HR"/>
              </w:rPr>
            </w:pPr>
            <w:r w:rsidRPr="005C2363">
              <w:rPr>
                <w:rFonts w:ascii="Cambria" w:eastAsia="Times New Roman" w:hAnsi="Cambria" w:cs="Calibri"/>
                <w:lang w:val="hr-HR"/>
              </w:rPr>
              <w:t>Ostale važne činjenice vezane uz kolegij</w:t>
            </w:r>
          </w:p>
        </w:tc>
        <w:tc>
          <w:tcPr>
            <w:tcW w:w="699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D8C9D75" w14:textId="77777777" w:rsidR="006D2DC3" w:rsidRPr="00DF4CE5" w:rsidRDefault="006D2DC3" w:rsidP="00450B7A">
            <w:pPr>
              <w:snapToGrid w:val="0"/>
              <w:spacing w:after="0" w:line="240" w:lineRule="auto"/>
              <w:jc w:val="both"/>
              <w:rPr>
                <w:rFonts w:ascii="Cambria" w:eastAsia="Times New Roman" w:hAnsi="Cambria" w:cs="Times New Roman"/>
                <w:lang w:val="hr-HR"/>
              </w:rPr>
            </w:pPr>
            <w:r w:rsidRPr="00DF4CE5">
              <w:rPr>
                <w:rFonts w:ascii="Cambria" w:eastAsia="Times New Roman" w:hAnsi="Cambria" w:cs="Times New Roman"/>
                <w:lang w:val="hr-HR"/>
              </w:rPr>
              <w:t>Materijali za predavanja i seminare objavljuju se na e-učenju.</w:t>
            </w:r>
          </w:p>
          <w:p w14:paraId="768175FB" w14:textId="77777777" w:rsidR="006D2DC3" w:rsidRPr="00DF4CE5" w:rsidRDefault="006D2DC3" w:rsidP="00450B7A">
            <w:pPr>
              <w:snapToGrid w:val="0"/>
              <w:spacing w:after="0" w:line="240" w:lineRule="auto"/>
              <w:jc w:val="both"/>
              <w:rPr>
                <w:rFonts w:ascii="Cambria" w:eastAsia="Times New Roman" w:hAnsi="Cambria" w:cs="Times New Roman"/>
                <w:lang w:val="hr-HR"/>
              </w:rPr>
            </w:pPr>
            <w:r w:rsidRPr="00DF4CE5">
              <w:rPr>
                <w:rFonts w:ascii="Cambria" w:eastAsia="Times New Roman" w:hAnsi="Cambria" w:cs="Times New Roman"/>
                <w:lang w:val="hr-HR"/>
              </w:rPr>
              <w:t>U slučaju održavanja nastave na daljinu, moguće je odstupanje u: mjestu izvođenja kolegija, provedbi aktivnosti, metoda tumačenja i poučavanja i načinima vrednovanja, studentskim obvezama i dostupnoj literaturi. O tome će nositeljica kolegija obavijestiti studente i studentice kad se nastava na daljinu počne održavati. Ishodi učenja ostaju nepromijenjeni.</w:t>
            </w:r>
          </w:p>
        </w:tc>
      </w:tr>
      <w:tr w:rsidR="006D2DC3" w:rsidRPr="00D0399C" w14:paraId="65109286" w14:textId="77777777" w:rsidTr="00450B7A">
        <w:tc>
          <w:tcPr>
            <w:tcW w:w="205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7688971" w14:textId="77777777" w:rsidR="006D2DC3" w:rsidRPr="005C2363" w:rsidRDefault="006D2DC3" w:rsidP="00450B7A">
            <w:pPr>
              <w:spacing w:after="0" w:line="240" w:lineRule="auto"/>
              <w:rPr>
                <w:rFonts w:ascii="Cambria" w:eastAsia="Times New Roman" w:hAnsi="Cambria" w:cs="Calibri"/>
                <w:lang w:val="hr-HR"/>
              </w:rPr>
            </w:pPr>
            <w:r>
              <w:rPr>
                <w:rFonts w:ascii="Cambria" w:eastAsia="Times New Roman" w:hAnsi="Cambria" w:cs="Calibri"/>
                <w:lang w:val="hr-HR"/>
              </w:rPr>
              <w:t>Literatura</w:t>
            </w:r>
          </w:p>
        </w:tc>
        <w:tc>
          <w:tcPr>
            <w:tcW w:w="699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06D911D" w14:textId="77777777" w:rsidR="006D2DC3" w:rsidRPr="003341BD" w:rsidRDefault="006D2DC3" w:rsidP="00450B7A">
            <w:pPr>
              <w:snapToGrid w:val="0"/>
              <w:spacing w:after="0" w:line="240" w:lineRule="auto"/>
              <w:jc w:val="both"/>
              <w:rPr>
                <w:rFonts w:ascii="Cambria" w:eastAsia="Times New Roman" w:hAnsi="Cambria" w:cs="Calibri"/>
                <w:lang w:val="hr-HR"/>
              </w:rPr>
            </w:pPr>
            <w:r w:rsidRPr="003341BD">
              <w:rPr>
                <w:rFonts w:ascii="Cambria" w:eastAsia="Times New Roman" w:hAnsi="Cambria" w:cs="Calibri"/>
                <w:lang w:val="hr-HR"/>
              </w:rPr>
              <w:t xml:space="preserve">Obvezna: </w:t>
            </w:r>
          </w:p>
          <w:p w14:paraId="7664CFF0" w14:textId="77777777" w:rsidR="006D2DC3" w:rsidRPr="003341BD" w:rsidRDefault="006D2DC3" w:rsidP="00450B7A">
            <w:pPr>
              <w:snapToGrid w:val="0"/>
              <w:spacing w:after="0" w:line="240" w:lineRule="auto"/>
              <w:jc w:val="both"/>
              <w:rPr>
                <w:rFonts w:ascii="Cambria" w:eastAsia="Times New Roman" w:hAnsi="Cambria" w:cs="Calibri"/>
                <w:lang w:val="hr-HR"/>
              </w:rPr>
            </w:pPr>
            <w:r w:rsidRPr="003341BD">
              <w:rPr>
                <w:rFonts w:ascii="Cambria" w:eastAsia="Times New Roman" w:hAnsi="Cambria" w:cs="Calibri"/>
                <w:lang w:val="hr-HR"/>
              </w:rPr>
              <w:t xml:space="preserve">1.Bonifačić </w:t>
            </w:r>
            <w:proofErr w:type="spellStart"/>
            <w:r w:rsidRPr="003341BD">
              <w:rPr>
                <w:rFonts w:ascii="Cambria" w:eastAsia="Times New Roman" w:hAnsi="Cambria" w:cs="Calibri"/>
                <w:lang w:val="hr-HR"/>
              </w:rPr>
              <w:t>Rožin</w:t>
            </w:r>
            <w:proofErr w:type="spellEnd"/>
            <w:r w:rsidRPr="003341BD">
              <w:rPr>
                <w:rFonts w:ascii="Cambria" w:eastAsia="Times New Roman" w:hAnsi="Cambria" w:cs="Calibri"/>
                <w:lang w:val="hr-HR"/>
              </w:rPr>
              <w:t>, N. (1963). Narodne drame, poslovice i zagonetke, PSHK, knjiga 27, MH i Zora, Zagreb.</w:t>
            </w:r>
          </w:p>
          <w:p w14:paraId="148A1231" w14:textId="77777777" w:rsidR="006D2DC3" w:rsidRPr="003341BD" w:rsidRDefault="006D2DC3" w:rsidP="00450B7A">
            <w:pPr>
              <w:snapToGrid w:val="0"/>
              <w:spacing w:after="0" w:line="240" w:lineRule="auto"/>
              <w:jc w:val="both"/>
              <w:rPr>
                <w:rFonts w:ascii="Cambria" w:eastAsia="Times New Roman" w:hAnsi="Cambria" w:cs="Calibri"/>
                <w:lang w:val="hr-HR"/>
              </w:rPr>
            </w:pPr>
            <w:r w:rsidRPr="003341BD">
              <w:rPr>
                <w:rFonts w:ascii="Cambria" w:eastAsia="Times New Roman" w:hAnsi="Cambria" w:cs="Calibri"/>
                <w:lang w:val="hr-HR"/>
              </w:rPr>
              <w:t>2. Bošković-</w:t>
            </w:r>
            <w:proofErr w:type="spellStart"/>
            <w:r w:rsidRPr="003341BD">
              <w:rPr>
                <w:rFonts w:ascii="Cambria" w:eastAsia="Times New Roman" w:hAnsi="Cambria" w:cs="Calibri"/>
                <w:lang w:val="hr-HR"/>
              </w:rPr>
              <w:t>Stulli</w:t>
            </w:r>
            <w:proofErr w:type="spellEnd"/>
            <w:r w:rsidRPr="003341BD">
              <w:rPr>
                <w:rFonts w:ascii="Cambria" w:eastAsia="Times New Roman" w:hAnsi="Cambria" w:cs="Calibri"/>
                <w:lang w:val="hr-HR"/>
              </w:rPr>
              <w:t>, M. (1986). Zakopano zlato, Hrvatske usmene pripovijetke, predaje i legende iz Istre, Istra kroz stoljeća, Pula/Rijeka.</w:t>
            </w:r>
          </w:p>
          <w:p w14:paraId="0FE899C7" w14:textId="77777777" w:rsidR="006D2DC3" w:rsidRPr="003341BD" w:rsidRDefault="006D2DC3" w:rsidP="00450B7A">
            <w:pPr>
              <w:snapToGrid w:val="0"/>
              <w:spacing w:after="0" w:line="240" w:lineRule="auto"/>
              <w:jc w:val="both"/>
              <w:rPr>
                <w:rFonts w:ascii="Cambria" w:eastAsia="Times New Roman" w:hAnsi="Cambria" w:cs="Calibri"/>
                <w:lang w:val="hr-HR"/>
              </w:rPr>
            </w:pPr>
            <w:r w:rsidRPr="003341BD">
              <w:rPr>
                <w:rFonts w:ascii="Cambria" w:eastAsia="Times New Roman" w:hAnsi="Cambria" w:cs="Calibri"/>
                <w:lang w:val="hr-HR"/>
              </w:rPr>
              <w:t xml:space="preserve">3. Botica, S. ( 1995). Hrvatska </w:t>
            </w:r>
            <w:proofErr w:type="spellStart"/>
            <w:r w:rsidRPr="003341BD">
              <w:rPr>
                <w:rFonts w:ascii="Cambria" w:eastAsia="Times New Roman" w:hAnsi="Cambria" w:cs="Calibri"/>
                <w:lang w:val="hr-HR"/>
              </w:rPr>
              <w:t>usmenoknjiževna</w:t>
            </w:r>
            <w:proofErr w:type="spellEnd"/>
            <w:r w:rsidRPr="003341BD">
              <w:rPr>
                <w:rFonts w:ascii="Cambria" w:eastAsia="Times New Roman" w:hAnsi="Cambria" w:cs="Calibri"/>
                <w:lang w:val="hr-HR"/>
              </w:rPr>
              <w:t xml:space="preserve"> čitanka, Školska knjiga, Zagreb.</w:t>
            </w:r>
          </w:p>
          <w:p w14:paraId="69600EB4" w14:textId="77777777" w:rsidR="006D2DC3" w:rsidRPr="003341BD" w:rsidRDefault="006D2DC3" w:rsidP="00450B7A">
            <w:pPr>
              <w:snapToGrid w:val="0"/>
              <w:spacing w:after="0" w:line="240" w:lineRule="auto"/>
              <w:jc w:val="both"/>
              <w:rPr>
                <w:rFonts w:ascii="Cambria" w:eastAsia="Times New Roman" w:hAnsi="Cambria" w:cs="Calibri"/>
                <w:lang w:val="hr-HR"/>
              </w:rPr>
            </w:pPr>
            <w:r w:rsidRPr="003341BD">
              <w:rPr>
                <w:rFonts w:ascii="Cambria" w:eastAsia="Times New Roman" w:hAnsi="Cambria" w:cs="Calibri"/>
                <w:lang w:val="hr-HR"/>
              </w:rPr>
              <w:t>4. Botica, S.</w:t>
            </w:r>
            <w:r>
              <w:rPr>
                <w:rFonts w:ascii="Cambria" w:eastAsia="Times New Roman" w:hAnsi="Cambria" w:cs="Calibri"/>
                <w:lang w:val="hr-HR"/>
              </w:rPr>
              <w:t xml:space="preserve"> </w:t>
            </w:r>
            <w:r w:rsidRPr="003341BD">
              <w:rPr>
                <w:rFonts w:ascii="Cambria" w:eastAsia="Times New Roman" w:hAnsi="Cambria" w:cs="Calibri"/>
                <w:lang w:val="hr-HR"/>
              </w:rPr>
              <w:t>(2013). Povijest hrvatske usmene književnosti, Školska knjiga, Zagreb.</w:t>
            </w:r>
          </w:p>
          <w:p w14:paraId="2520FE10" w14:textId="77777777" w:rsidR="006D2DC3" w:rsidRPr="003341BD" w:rsidRDefault="006D2DC3" w:rsidP="00450B7A">
            <w:pPr>
              <w:snapToGrid w:val="0"/>
              <w:spacing w:after="0" w:line="240" w:lineRule="auto"/>
              <w:jc w:val="both"/>
              <w:rPr>
                <w:rFonts w:ascii="Cambria" w:eastAsia="Times New Roman" w:hAnsi="Cambria" w:cs="Calibri"/>
                <w:lang w:val="hr-HR"/>
              </w:rPr>
            </w:pPr>
            <w:r w:rsidRPr="003341BD">
              <w:rPr>
                <w:rFonts w:ascii="Cambria" w:eastAsia="Times New Roman" w:hAnsi="Cambria" w:cs="Calibri"/>
                <w:lang w:val="hr-HR"/>
              </w:rPr>
              <w:t xml:space="preserve">5. Hrvatske narodne pjesme što se pjevaju u Istri i na Kvarnerskih </w:t>
            </w:r>
            <w:proofErr w:type="spellStart"/>
            <w:r w:rsidRPr="003341BD">
              <w:rPr>
                <w:rFonts w:ascii="Cambria" w:eastAsia="Times New Roman" w:hAnsi="Cambria" w:cs="Calibri"/>
                <w:lang w:val="hr-HR"/>
              </w:rPr>
              <w:t>otocih</w:t>
            </w:r>
            <w:proofErr w:type="spellEnd"/>
            <w:r w:rsidRPr="003341BD">
              <w:rPr>
                <w:rFonts w:ascii="Cambria" w:eastAsia="Times New Roman" w:hAnsi="Cambria" w:cs="Calibri"/>
                <w:lang w:val="hr-HR"/>
              </w:rPr>
              <w:t xml:space="preserve"> (1880), pretisak 1997.</w:t>
            </w:r>
            <w:r>
              <w:rPr>
                <w:rFonts w:ascii="Cambria" w:eastAsia="Times New Roman" w:hAnsi="Cambria" w:cs="Calibri"/>
                <w:lang w:val="hr-HR"/>
              </w:rPr>
              <w:t xml:space="preserve"> </w:t>
            </w:r>
            <w:r w:rsidRPr="003341BD">
              <w:rPr>
                <w:rFonts w:ascii="Cambria" w:eastAsia="Times New Roman" w:hAnsi="Cambria" w:cs="Calibri"/>
                <w:lang w:val="hr-HR"/>
              </w:rPr>
              <w:t>Istarsko književno društvo „Juraj Dobrila“, Pazin.</w:t>
            </w:r>
          </w:p>
          <w:p w14:paraId="7DBF6A26" w14:textId="77777777" w:rsidR="006D2DC3" w:rsidRPr="003341BD" w:rsidRDefault="006D2DC3" w:rsidP="00450B7A">
            <w:pPr>
              <w:snapToGrid w:val="0"/>
              <w:spacing w:after="0" w:line="240" w:lineRule="auto"/>
              <w:jc w:val="both"/>
              <w:rPr>
                <w:rFonts w:ascii="Cambria" w:eastAsia="Times New Roman" w:hAnsi="Cambria" w:cs="Calibri"/>
                <w:lang w:val="hr-HR"/>
              </w:rPr>
            </w:pPr>
            <w:r w:rsidRPr="003341BD">
              <w:rPr>
                <w:rFonts w:ascii="Cambria" w:eastAsia="Times New Roman" w:hAnsi="Cambria" w:cs="Calibri"/>
                <w:lang w:val="hr-HR"/>
              </w:rPr>
              <w:t>6. Jurdana, V. (2015). Igri. Mala zavičajna čitanka, Sveučilište Jurja Dobrile u Puli/ Ustanova „Ivan Matetić Ronjgov“ Viškovo.</w:t>
            </w:r>
          </w:p>
          <w:p w14:paraId="335838CE" w14:textId="77777777" w:rsidR="006D2DC3" w:rsidRPr="003341BD" w:rsidRDefault="006D2DC3" w:rsidP="00450B7A">
            <w:pPr>
              <w:snapToGrid w:val="0"/>
              <w:spacing w:after="0" w:line="240" w:lineRule="auto"/>
              <w:jc w:val="both"/>
              <w:rPr>
                <w:rFonts w:ascii="Cambria" w:eastAsia="Times New Roman" w:hAnsi="Cambria" w:cs="Calibri"/>
                <w:lang w:val="hr-HR"/>
              </w:rPr>
            </w:pPr>
            <w:r w:rsidRPr="003341BD">
              <w:rPr>
                <w:rFonts w:ascii="Cambria" w:eastAsia="Times New Roman" w:hAnsi="Cambria" w:cs="Calibri"/>
                <w:lang w:val="hr-HR"/>
              </w:rPr>
              <w:t>7. Kekez, J. (1998). Usmena književnost, u: Uvod u književnost, Globus, Zagreb.</w:t>
            </w:r>
          </w:p>
          <w:p w14:paraId="5A87FA32" w14:textId="77777777" w:rsidR="006D2DC3" w:rsidRPr="003341BD" w:rsidRDefault="006D2DC3" w:rsidP="00450B7A">
            <w:pPr>
              <w:snapToGrid w:val="0"/>
              <w:spacing w:after="0" w:line="240" w:lineRule="auto"/>
              <w:jc w:val="both"/>
              <w:rPr>
                <w:rFonts w:ascii="Cambria" w:eastAsia="Times New Roman" w:hAnsi="Cambria" w:cs="Calibri"/>
                <w:lang w:val="hr-HR"/>
              </w:rPr>
            </w:pPr>
            <w:r w:rsidRPr="003341BD">
              <w:rPr>
                <w:rFonts w:ascii="Cambria" w:eastAsia="Times New Roman" w:hAnsi="Cambria" w:cs="Calibri"/>
                <w:lang w:val="hr-HR"/>
              </w:rPr>
              <w:t>Izborna:</w:t>
            </w:r>
          </w:p>
          <w:p w14:paraId="2D963552" w14:textId="77777777" w:rsidR="006D2DC3" w:rsidRPr="003341BD" w:rsidRDefault="006D2DC3" w:rsidP="00450B7A">
            <w:pPr>
              <w:snapToGrid w:val="0"/>
              <w:spacing w:after="0" w:line="240" w:lineRule="auto"/>
              <w:jc w:val="both"/>
              <w:rPr>
                <w:rFonts w:ascii="Cambria" w:eastAsia="Times New Roman" w:hAnsi="Cambria" w:cs="Calibri"/>
                <w:lang w:val="hr-HR"/>
              </w:rPr>
            </w:pPr>
            <w:r w:rsidRPr="003341BD">
              <w:rPr>
                <w:rFonts w:ascii="Cambria" w:eastAsia="Times New Roman" w:hAnsi="Cambria" w:cs="Calibri"/>
                <w:lang w:val="hr-HR"/>
              </w:rPr>
              <w:t>1.Delorko, O. (1960). Istarske narodne pjesme, Institut za narodnu umjetnost, Zagreb.</w:t>
            </w:r>
          </w:p>
          <w:p w14:paraId="76884681" w14:textId="77777777" w:rsidR="006D2DC3" w:rsidRPr="003341BD" w:rsidRDefault="006D2DC3" w:rsidP="00450B7A">
            <w:pPr>
              <w:snapToGrid w:val="0"/>
              <w:spacing w:after="0" w:line="240" w:lineRule="auto"/>
              <w:jc w:val="both"/>
              <w:rPr>
                <w:rFonts w:ascii="Cambria" w:eastAsia="Times New Roman" w:hAnsi="Cambria" w:cs="Calibri"/>
                <w:lang w:val="hr-HR"/>
              </w:rPr>
            </w:pPr>
            <w:r w:rsidRPr="003341BD">
              <w:rPr>
                <w:rFonts w:ascii="Cambria" w:eastAsia="Times New Roman" w:hAnsi="Cambria" w:cs="Calibri"/>
                <w:lang w:val="hr-HR"/>
              </w:rPr>
              <w:t xml:space="preserve">2.Mikac, J. (1997). Istarska </w:t>
            </w:r>
            <w:proofErr w:type="spellStart"/>
            <w:r w:rsidRPr="003341BD">
              <w:rPr>
                <w:rFonts w:ascii="Cambria" w:eastAsia="Times New Roman" w:hAnsi="Cambria" w:cs="Calibri"/>
                <w:lang w:val="hr-HR"/>
              </w:rPr>
              <w:t>škrinjica</w:t>
            </w:r>
            <w:proofErr w:type="spellEnd"/>
            <w:r w:rsidRPr="003341BD">
              <w:rPr>
                <w:rFonts w:ascii="Cambria" w:eastAsia="Times New Roman" w:hAnsi="Cambria" w:cs="Calibri"/>
                <w:lang w:val="hr-HR"/>
              </w:rPr>
              <w:t>, MH, Zagreb.</w:t>
            </w:r>
          </w:p>
          <w:p w14:paraId="6505BA26" w14:textId="77777777" w:rsidR="006D2DC3" w:rsidRPr="003341BD" w:rsidRDefault="006D2DC3" w:rsidP="00450B7A">
            <w:pPr>
              <w:snapToGrid w:val="0"/>
              <w:spacing w:after="0" w:line="240" w:lineRule="auto"/>
              <w:jc w:val="both"/>
              <w:rPr>
                <w:rFonts w:ascii="Cambria" w:eastAsia="Times New Roman" w:hAnsi="Cambria" w:cs="Calibri"/>
                <w:lang w:val="hr-HR"/>
              </w:rPr>
            </w:pPr>
            <w:r w:rsidRPr="003341BD">
              <w:rPr>
                <w:rFonts w:ascii="Cambria" w:eastAsia="Times New Roman" w:hAnsi="Cambria" w:cs="Calibri"/>
                <w:lang w:val="hr-HR"/>
              </w:rPr>
              <w:t xml:space="preserve">3. Orlić, D. (2005). Istarske narodne poslovice, </w:t>
            </w:r>
            <w:proofErr w:type="spellStart"/>
            <w:r w:rsidRPr="003341BD">
              <w:rPr>
                <w:rFonts w:ascii="Cambria" w:eastAsia="Times New Roman" w:hAnsi="Cambria" w:cs="Calibri"/>
                <w:lang w:val="hr-HR"/>
              </w:rPr>
              <w:t>Errata</w:t>
            </w:r>
            <w:proofErr w:type="spellEnd"/>
            <w:r w:rsidRPr="003341BD">
              <w:rPr>
                <w:rFonts w:ascii="Cambria" w:eastAsia="Times New Roman" w:hAnsi="Cambria" w:cs="Calibri"/>
                <w:lang w:val="hr-HR"/>
              </w:rPr>
              <w:t xml:space="preserve"> </w:t>
            </w:r>
            <w:proofErr w:type="spellStart"/>
            <w:r w:rsidRPr="003341BD">
              <w:rPr>
                <w:rFonts w:ascii="Cambria" w:eastAsia="Times New Roman" w:hAnsi="Cambria" w:cs="Calibri"/>
                <w:lang w:val="hr-HR"/>
              </w:rPr>
              <w:t>corrige</w:t>
            </w:r>
            <w:proofErr w:type="spellEnd"/>
            <w:r w:rsidRPr="003341BD">
              <w:rPr>
                <w:rFonts w:ascii="Cambria" w:eastAsia="Times New Roman" w:hAnsi="Cambria" w:cs="Calibri"/>
                <w:lang w:val="hr-HR"/>
              </w:rPr>
              <w:t>, Poreč.</w:t>
            </w:r>
          </w:p>
          <w:p w14:paraId="27C3243D" w14:textId="77777777" w:rsidR="006D2DC3" w:rsidRPr="003341BD" w:rsidRDefault="006D2DC3" w:rsidP="00450B7A">
            <w:pPr>
              <w:snapToGrid w:val="0"/>
              <w:spacing w:after="0" w:line="240" w:lineRule="auto"/>
              <w:jc w:val="both"/>
              <w:rPr>
                <w:rFonts w:ascii="Cambria" w:eastAsia="Times New Roman" w:hAnsi="Cambria" w:cs="Calibri"/>
                <w:lang w:val="hr-HR"/>
              </w:rPr>
            </w:pPr>
            <w:r w:rsidRPr="003341BD">
              <w:rPr>
                <w:rFonts w:ascii="Cambria" w:eastAsia="Times New Roman" w:hAnsi="Cambria" w:cs="Calibri"/>
                <w:lang w:val="hr-HR"/>
              </w:rPr>
              <w:t>4. Rudan, E. (2005). Usmena književnost, u: Istarska enciklopedija, Leksikografski zavod Miroslav Krleža, Zagreb.</w:t>
            </w:r>
          </w:p>
          <w:p w14:paraId="0452093D" w14:textId="77777777" w:rsidR="006D2DC3" w:rsidRPr="003341BD" w:rsidRDefault="006D2DC3" w:rsidP="00450B7A">
            <w:pPr>
              <w:snapToGrid w:val="0"/>
              <w:spacing w:after="0" w:line="240" w:lineRule="auto"/>
              <w:jc w:val="both"/>
              <w:rPr>
                <w:rFonts w:ascii="Cambria" w:eastAsia="Times New Roman" w:hAnsi="Cambria" w:cs="Calibri"/>
                <w:lang w:val="hr-HR"/>
              </w:rPr>
            </w:pPr>
            <w:r w:rsidRPr="003341BD">
              <w:rPr>
                <w:rFonts w:ascii="Cambria" w:eastAsia="Times New Roman" w:hAnsi="Cambria" w:cs="Calibri"/>
                <w:lang w:val="hr-HR"/>
              </w:rPr>
              <w:t>Priručna:</w:t>
            </w:r>
          </w:p>
          <w:p w14:paraId="5A390ACD" w14:textId="77777777" w:rsidR="006D2DC3" w:rsidRPr="003341BD" w:rsidRDefault="006D2DC3" w:rsidP="00450B7A">
            <w:pPr>
              <w:snapToGrid w:val="0"/>
              <w:spacing w:after="0" w:line="240" w:lineRule="auto"/>
              <w:jc w:val="both"/>
              <w:rPr>
                <w:rFonts w:ascii="Cambria" w:eastAsia="Times New Roman" w:hAnsi="Cambria" w:cs="Calibri"/>
                <w:lang w:val="hr-HR"/>
              </w:rPr>
            </w:pPr>
            <w:r w:rsidRPr="003341BD">
              <w:rPr>
                <w:rFonts w:ascii="Cambria" w:eastAsia="Times New Roman" w:hAnsi="Cambria" w:cs="Calibri"/>
                <w:lang w:val="hr-HR"/>
              </w:rPr>
              <w:t xml:space="preserve">1.Odabrani primjerci Zavičajne zbirke Sveučilišne knjižnice u Puli ili koje druge zavičajne zbirke. </w:t>
            </w:r>
          </w:p>
          <w:p w14:paraId="596049AA" w14:textId="77777777" w:rsidR="006D2DC3" w:rsidRPr="003341BD" w:rsidRDefault="006D2DC3" w:rsidP="00450B7A">
            <w:pPr>
              <w:snapToGrid w:val="0"/>
              <w:spacing w:after="0" w:line="240" w:lineRule="auto"/>
              <w:jc w:val="both"/>
              <w:rPr>
                <w:rFonts w:ascii="Cambria" w:eastAsia="Times New Roman" w:hAnsi="Cambria" w:cs="Calibri"/>
                <w:lang w:val="hr-HR"/>
              </w:rPr>
            </w:pPr>
            <w:r w:rsidRPr="003341BD">
              <w:rPr>
                <w:rFonts w:ascii="Cambria" w:eastAsia="Times New Roman" w:hAnsi="Cambria" w:cs="Calibri"/>
                <w:lang w:val="hr-HR"/>
              </w:rPr>
              <w:t xml:space="preserve">2. </w:t>
            </w:r>
            <w:proofErr w:type="spellStart"/>
            <w:r w:rsidRPr="003341BD">
              <w:rPr>
                <w:rFonts w:ascii="Cambria" w:eastAsia="Times New Roman" w:hAnsi="Cambria" w:cs="Calibri"/>
                <w:lang w:val="hr-HR"/>
              </w:rPr>
              <w:t>Hameršak</w:t>
            </w:r>
            <w:proofErr w:type="spellEnd"/>
            <w:r w:rsidRPr="003341BD">
              <w:rPr>
                <w:rFonts w:ascii="Cambria" w:eastAsia="Times New Roman" w:hAnsi="Cambria" w:cs="Calibri"/>
                <w:lang w:val="hr-HR"/>
              </w:rPr>
              <w:t>, M.</w:t>
            </w:r>
            <w:r>
              <w:rPr>
                <w:rFonts w:ascii="Cambria" w:eastAsia="Times New Roman" w:hAnsi="Cambria" w:cs="Calibri"/>
                <w:lang w:val="hr-HR"/>
              </w:rPr>
              <w:t xml:space="preserve"> </w:t>
            </w:r>
            <w:r w:rsidRPr="003341BD">
              <w:rPr>
                <w:rFonts w:ascii="Cambria" w:eastAsia="Times New Roman" w:hAnsi="Cambria" w:cs="Calibri"/>
                <w:lang w:val="hr-HR"/>
              </w:rPr>
              <w:t xml:space="preserve">(2009). Usmenost za djecu u hrvatskoj etnologiji i folkloristici, </w:t>
            </w:r>
            <w:proofErr w:type="spellStart"/>
            <w:r w:rsidRPr="003341BD">
              <w:rPr>
                <w:rFonts w:ascii="Cambria" w:eastAsia="Times New Roman" w:hAnsi="Cambria" w:cs="Calibri"/>
                <w:lang w:val="hr-HR"/>
              </w:rPr>
              <w:t>Studia</w:t>
            </w:r>
            <w:proofErr w:type="spellEnd"/>
            <w:r w:rsidRPr="003341BD">
              <w:rPr>
                <w:rFonts w:ascii="Cambria" w:eastAsia="Times New Roman" w:hAnsi="Cambria" w:cs="Calibri"/>
                <w:lang w:val="hr-HR"/>
              </w:rPr>
              <w:t xml:space="preserve"> </w:t>
            </w:r>
            <w:proofErr w:type="spellStart"/>
            <w:r w:rsidRPr="003341BD">
              <w:rPr>
                <w:rFonts w:ascii="Cambria" w:eastAsia="Times New Roman" w:hAnsi="Cambria" w:cs="Calibri"/>
                <w:lang w:val="hr-HR"/>
              </w:rPr>
              <w:t>ethnologica</w:t>
            </w:r>
            <w:proofErr w:type="spellEnd"/>
            <w:r w:rsidRPr="003341BD">
              <w:rPr>
                <w:rFonts w:ascii="Cambria" w:eastAsia="Times New Roman" w:hAnsi="Cambria" w:cs="Calibri"/>
                <w:lang w:val="hr-HR"/>
              </w:rPr>
              <w:t xml:space="preserve"> </w:t>
            </w:r>
            <w:proofErr w:type="spellStart"/>
            <w:r w:rsidRPr="003341BD">
              <w:rPr>
                <w:rFonts w:ascii="Cambria" w:eastAsia="Times New Roman" w:hAnsi="Cambria" w:cs="Calibri"/>
                <w:lang w:val="hr-HR"/>
              </w:rPr>
              <w:t>Croatica</w:t>
            </w:r>
            <w:proofErr w:type="spellEnd"/>
            <w:r w:rsidRPr="003341BD">
              <w:rPr>
                <w:rFonts w:ascii="Cambria" w:eastAsia="Times New Roman" w:hAnsi="Cambria" w:cs="Calibri"/>
                <w:lang w:val="hr-HR"/>
              </w:rPr>
              <w:t>, vol.21 No.1 (2009), str.233.-254.</w:t>
            </w:r>
          </w:p>
          <w:p w14:paraId="5DF6EDE0" w14:textId="77777777" w:rsidR="006D2DC3" w:rsidRPr="00DF4CE5" w:rsidRDefault="006D2DC3" w:rsidP="00450B7A">
            <w:pPr>
              <w:snapToGrid w:val="0"/>
              <w:spacing w:after="0" w:line="240" w:lineRule="auto"/>
              <w:jc w:val="both"/>
              <w:rPr>
                <w:rFonts w:ascii="Cambria" w:eastAsia="Times New Roman" w:hAnsi="Cambria" w:cs="Calibri"/>
                <w:lang w:val="hr-HR"/>
              </w:rPr>
            </w:pPr>
            <w:r w:rsidRPr="003341BD">
              <w:rPr>
                <w:rFonts w:ascii="Cambria" w:eastAsia="Times New Roman" w:hAnsi="Cambria" w:cs="Calibri"/>
                <w:lang w:val="hr-HR"/>
              </w:rPr>
              <w:lastRenderedPageBreak/>
              <w:t xml:space="preserve">3.  </w:t>
            </w:r>
            <w:proofErr w:type="spellStart"/>
            <w:r w:rsidRPr="003341BD">
              <w:rPr>
                <w:rFonts w:ascii="Cambria" w:eastAsia="Times New Roman" w:hAnsi="Cambria" w:cs="Calibri"/>
                <w:lang w:val="hr-HR"/>
              </w:rPr>
              <w:t>Matoković</w:t>
            </w:r>
            <w:proofErr w:type="spellEnd"/>
            <w:r w:rsidRPr="003341BD">
              <w:rPr>
                <w:rFonts w:ascii="Cambria" w:eastAsia="Times New Roman" w:hAnsi="Cambria" w:cs="Calibri"/>
                <w:lang w:val="hr-HR"/>
              </w:rPr>
              <w:t>, D.</w:t>
            </w:r>
            <w:r>
              <w:rPr>
                <w:rFonts w:ascii="Cambria" w:eastAsia="Times New Roman" w:hAnsi="Cambria" w:cs="Calibri"/>
                <w:lang w:val="hr-HR"/>
              </w:rPr>
              <w:t xml:space="preserve"> </w:t>
            </w:r>
            <w:r w:rsidRPr="003341BD">
              <w:rPr>
                <w:rFonts w:ascii="Cambria" w:eastAsia="Times New Roman" w:hAnsi="Cambria" w:cs="Calibri"/>
                <w:lang w:val="hr-HR"/>
              </w:rPr>
              <w:t>(2004). Dječji svijet, Etnološka istraživanja, No.2 (2004), str. 53.-64.</w:t>
            </w:r>
          </w:p>
        </w:tc>
      </w:tr>
    </w:tbl>
    <w:p w14:paraId="1488EAA7" w14:textId="546873AB" w:rsidR="006B2BBC" w:rsidRPr="00DF4CE5" w:rsidRDefault="00AF0D71" w:rsidP="00D74364">
      <w:pPr>
        <w:rPr>
          <w:rFonts w:ascii="Cambria" w:eastAsia="Calibri" w:hAnsi="Cambria" w:cs="Times New Roman"/>
          <w:lang w:val="hr-HR"/>
        </w:rPr>
      </w:pPr>
      <w:r>
        <w:rPr>
          <w:rFonts w:ascii="Cambria" w:eastAsia="Calibri" w:hAnsi="Cambria" w:cs="Times New Roman"/>
          <w:lang w:val="hr-HR"/>
        </w:rPr>
        <w:lastRenderedPageBreak/>
        <w:br w:type="page"/>
      </w:r>
    </w:p>
    <w:tbl>
      <w:tblPr>
        <w:tblW w:w="5000" w:type="pct"/>
        <w:tblLayout w:type="fixed"/>
        <w:tblCellMar>
          <w:left w:w="0" w:type="dxa"/>
          <w:right w:w="0" w:type="dxa"/>
        </w:tblCellMar>
        <w:tblLook w:val="0600" w:firstRow="0" w:lastRow="0" w:firstColumn="0" w:lastColumn="0" w:noHBand="1" w:noVBand="1"/>
      </w:tblPr>
      <w:tblGrid>
        <w:gridCol w:w="2623"/>
        <w:gridCol w:w="2487"/>
        <w:gridCol w:w="98"/>
        <w:gridCol w:w="1088"/>
        <w:gridCol w:w="277"/>
        <w:gridCol w:w="438"/>
        <w:gridCol w:w="1011"/>
        <w:gridCol w:w="1318"/>
      </w:tblGrid>
      <w:tr w:rsidR="006B2BBC" w:rsidRPr="00DF4CE5" w14:paraId="5F14418A" w14:textId="77777777" w:rsidTr="00C106A0">
        <w:tc>
          <w:tcPr>
            <w:tcW w:w="9340"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39ED312" w14:textId="77777777" w:rsidR="006B2BBC" w:rsidRPr="00DF4CE5" w:rsidRDefault="006B2BBC" w:rsidP="00001BA9">
            <w:pPr>
              <w:spacing w:after="0" w:line="240" w:lineRule="auto"/>
              <w:jc w:val="right"/>
              <w:rPr>
                <w:rFonts w:ascii="Cambria" w:eastAsia="Calibri" w:hAnsi="Cambria" w:cs="Times New Roman"/>
                <w:b/>
                <w:lang w:val="hr-HR"/>
              </w:rPr>
            </w:pPr>
            <w:r w:rsidRPr="00DF4CE5">
              <w:rPr>
                <w:rFonts w:ascii="Cambria" w:eastAsia="Calibri" w:hAnsi="Cambria" w:cs="Times New Roman"/>
                <w:b/>
                <w:lang w:val="hr-HR"/>
              </w:rPr>
              <w:lastRenderedPageBreak/>
              <w:t>IZVEDBENI PLAN NASTAVE KOLEGIJA</w:t>
            </w:r>
          </w:p>
        </w:tc>
      </w:tr>
      <w:tr w:rsidR="006B2BBC" w:rsidRPr="00D0399C" w14:paraId="79DD48A0" w14:textId="77777777" w:rsidTr="00C106A0">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7232978" w14:textId="77777777" w:rsidR="006B2BBC" w:rsidRPr="00DF4CE5" w:rsidRDefault="006B2BBC" w:rsidP="008B34AF">
            <w:pPr>
              <w:spacing w:after="0" w:line="240" w:lineRule="auto"/>
              <w:jc w:val="both"/>
              <w:rPr>
                <w:rFonts w:ascii="Cambria" w:eastAsia="Calibri" w:hAnsi="Cambria" w:cs="Times New Roman"/>
                <w:lang w:val="hr-HR"/>
              </w:rPr>
            </w:pPr>
            <w:r w:rsidRPr="00DF4CE5">
              <w:rPr>
                <w:rFonts w:ascii="Cambria" w:eastAsia="Calibri" w:hAnsi="Cambria" w:cs="Times New Roman"/>
                <w:lang w:val="hr-HR"/>
              </w:rPr>
              <w:t>Kod i naziv kolegija</w:t>
            </w:r>
          </w:p>
        </w:tc>
        <w:tc>
          <w:tcPr>
            <w:tcW w:w="671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E003AD1" w14:textId="6B0002D2" w:rsidR="006B2BBC" w:rsidRPr="00DF4CE5" w:rsidRDefault="006D2DC3" w:rsidP="008B34AF">
            <w:pPr>
              <w:spacing w:after="0" w:line="240" w:lineRule="auto"/>
              <w:jc w:val="both"/>
              <w:rPr>
                <w:rFonts w:ascii="Cambria" w:eastAsia="Calibri" w:hAnsi="Cambria" w:cs="Times New Roman"/>
                <w:lang w:val="hr-HR"/>
              </w:rPr>
            </w:pPr>
            <w:r>
              <w:rPr>
                <w:rFonts w:ascii="Cambria" w:eastAsia="Calibri" w:hAnsi="Cambria" w:cs="Times New Roman"/>
                <w:lang w:val="hr-HR"/>
              </w:rPr>
              <w:t>Stručni izrazi u razrednoj nastavi</w:t>
            </w:r>
          </w:p>
        </w:tc>
      </w:tr>
      <w:tr w:rsidR="006B2BBC" w:rsidRPr="00D0399C" w14:paraId="4BADFE1C" w14:textId="77777777" w:rsidTr="00C106A0">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9382720" w14:textId="77777777" w:rsidR="006B2BBC" w:rsidRPr="00DF4CE5" w:rsidRDefault="006B2BBC" w:rsidP="008B34AF">
            <w:pPr>
              <w:spacing w:after="0" w:line="240" w:lineRule="auto"/>
              <w:jc w:val="both"/>
              <w:rPr>
                <w:rFonts w:ascii="Cambria" w:eastAsia="Calibri" w:hAnsi="Cambria" w:cs="Times New Roman"/>
                <w:lang w:val="hr-HR"/>
              </w:rPr>
            </w:pPr>
            <w:r w:rsidRPr="00DF4CE5">
              <w:rPr>
                <w:rFonts w:ascii="Cambria" w:eastAsia="Calibri" w:hAnsi="Cambria" w:cs="Times New Roman"/>
                <w:lang w:val="hr-HR"/>
              </w:rPr>
              <w:t xml:space="preserve">Nastavnica </w:t>
            </w:r>
          </w:p>
        </w:tc>
        <w:tc>
          <w:tcPr>
            <w:tcW w:w="671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688DDB4" w14:textId="553DFE9B" w:rsidR="006B2BBC" w:rsidRPr="00127501" w:rsidRDefault="00AB127E" w:rsidP="00127501">
            <w:pPr>
              <w:spacing w:after="0"/>
              <w:jc w:val="both"/>
              <w:rPr>
                <w:rFonts w:ascii="Cambria" w:eastAsia="Calibri" w:hAnsi="Cambria" w:cs="Calibri"/>
                <w:lang w:val="hr-HR" w:eastAsia="hr-HR"/>
              </w:rPr>
            </w:pPr>
            <w:hyperlink r:id="rId191" w:history="1">
              <w:r>
                <w:rPr>
                  <w:rStyle w:val="Hiperveza"/>
                  <w:rFonts w:ascii="Cambria" w:eastAsia="Calibri" w:hAnsi="Cambria" w:cs="Calibri"/>
                  <w:lang w:val="hr-HR" w:eastAsia="hr-HR"/>
                </w:rPr>
                <w:t>I</w:t>
              </w:r>
              <w:r w:rsidR="006B2BBC" w:rsidRPr="00AB127E">
                <w:rPr>
                  <w:rStyle w:val="Hiperveza"/>
                  <w:rFonts w:ascii="Cambria" w:eastAsia="Calibri" w:hAnsi="Cambria" w:cs="Calibri"/>
                  <w:lang w:val="hr-HR" w:eastAsia="hr-HR"/>
                </w:rPr>
                <w:t>zv. prof. dr. sc. Helena Pavletić</w:t>
              </w:r>
            </w:hyperlink>
            <w:r w:rsidR="006B2BBC" w:rsidRPr="00AB127E">
              <w:rPr>
                <w:rFonts w:ascii="Cambria" w:eastAsia="Calibri" w:hAnsi="Cambria" w:cs="Calibri"/>
                <w:lang w:val="hr-HR" w:eastAsia="hr-HR"/>
              </w:rPr>
              <w:t xml:space="preserve"> </w:t>
            </w:r>
            <w:r w:rsidR="006B2BBC" w:rsidRPr="00DF4CE5">
              <w:rPr>
                <w:rFonts w:ascii="Cambria" w:eastAsia="Calibri" w:hAnsi="Cambria" w:cs="Calibri"/>
                <w:lang w:val="hr-HR" w:eastAsia="hr-HR"/>
              </w:rPr>
              <w:t>(nositeljica)</w:t>
            </w:r>
          </w:p>
        </w:tc>
      </w:tr>
      <w:tr w:rsidR="006B2BBC" w:rsidRPr="00D0399C" w14:paraId="316CEF51" w14:textId="77777777" w:rsidTr="00C106A0">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CFA4918" w14:textId="77777777" w:rsidR="006B2BBC" w:rsidRPr="00DF4CE5" w:rsidRDefault="006B2BBC" w:rsidP="008B34AF">
            <w:pPr>
              <w:spacing w:after="0" w:line="240" w:lineRule="auto"/>
              <w:jc w:val="both"/>
              <w:rPr>
                <w:rFonts w:ascii="Cambria" w:eastAsia="Calibri" w:hAnsi="Cambria" w:cs="Times New Roman"/>
                <w:lang w:val="hr-HR"/>
              </w:rPr>
            </w:pPr>
            <w:r w:rsidRPr="00DF4CE5">
              <w:rPr>
                <w:rFonts w:ascii="Cambria" w:eastAsia="Calibri" w:hAnsi="Cambria" w:cs="Times New Roman"/>
                <w:lang w:val="hr-HR"/>
              </w:rPr>
              <w:t>Studijski program</w:t>
            </w:r>
          </w:p>
        </w:tc>
        <w:tc>
          <w:tcPr>
            <w:tcW w:w="671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8D2FE26" w14:textId="77777777" w:rsidR="006B2BBC" w:rsidRPr="00DF4CE5" w:rsidRDefault="00BE4D96" w:rsidP="008B34AF">
            <w:pPr>
              <w:spacing w:after="0" w:line="240" w:lineRule="auto"/>
              <w:jc w:val="both"/>
              <w:rPr>
                <w:rFonts w:ascii="Cambria" w:eastAsia="Calibri" w:hAnsi="Cambria" w:cs="Times New Roman"/>
                <w:lang w:val="hr-HR"/>
              </w:rPr>
            </w:pPr>
            <w:r w:rsidRPr="00DF4CE5">
              <w:rPr>
                <w:rFonts w:ascii="Cambria" w:hAnsi="Cambria"/>
                <w:lang w:val="hr-HR"/>
              </w:rPr>
              <w:t>Sveučilišni integrirani prijediplomski i diplomski Učiteljski studij na hrvatskom jeziku</w:t>
            </w:r>
          </w:p>
        </w:tc>
      </w:tr>
      <w:tr w:rsidR="006B2BBC" w:rsidRPr="00DF4CE5" w14:paraId="682D15A2" w14:textId="77777777" w:rsidTr="00C106A0">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B25C567" w14:textId="77777777" w:rsidR="006B2BBC" w:rsidRPr="00DF4CE5" w:rsidRDefault="006B2BBC" w:rsidP="008B34AF">
            <w:pPr>
              <w:spacing w:after="0" w:line="240" w:lineRule="auto"/>
              <w:jc w:val="both"/>
              <w:rPr>
                <w:rFonts w:ascii="Cambria" w:eastAsia="Calibri" w:hAnsi="Cambria" w:cs="Times New Roman"/>
                <w:lang w:val="hr-HR"/>
              </w:rPr>
            </w:pPr>
            <w:r w:rsidRPr="00DF4CE5">
              <w:rPr>
                <w:rFonts w:ascii="Cambria" w:eastAsia="Calibri" w:hAnsi="Cambria" w:cs="Times New Roman"/>
                <w:lang w:val="hr-HR"/>
              </w:rPr>
              <w:t>Vrsta kolegija</w:t>
            </w:r>
          </w:p>
        </w:tc>
        <w:tc>
          <w:tcPr>
            <w:tcW w:w="248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312C521" w14:textId="77777777" w:rsidR="006B2BBC" w:rsidRPr="00DF4CE5" w:rsidRDefault="006B2BBC" w:rsidP="008B34AF">
            <w:pPr>
              <w:spacing w:after="0" w:line="240" w:lineRule="auto"/>
              <w:jc w:val="both"/>
              <w:rPr>
                <w:rFonts w:ascii="Cambria" w:eastAsia="Calibri" w:hAnsi="Cambria" w:cs="Times New Roman"/>
                <w:lang w:val="hr-HR"/>
              </w:rPr>
            </w:pPr>
            <w:r w:rsidRPr="00DF4CE5">
              <w:rPr>
                <w:rFonts w:ascii="Cambria" w:eastAsia="Calibri" w:hAnsi="Cambria" w:cs="Times New Roman"/>
                <w:lang w:val="hr-HR"/>
              </w:rPr>
              <w:t>izborni</w:t>
            </w:r>
          </w:p>
          <w:p w14:paraId="72214C1E" w14:textId="77777777" w:rsidR="006B2BBC" w:rsidRPr="00DF4CE5" w:rsidRDefault="006B2BBC" w:rsidP="008B34AF">
            <w:pPr>
              <w:spacing w:after="0" w:line="240" w:lineRule="auto"/>
              <w:jc w:val="both"/>
              <w:rPr>
                <w:rFonts w:ascii="Cambria" w:eastAsia="Calibri" w:hAnsi="Cambria" w:cs="Times New Roman"/>
                <w:lang w:val="hr-HR"/>
              </w:rPr>
            </w:pPr>
          </w:p>
        </w:tc>
        <w:tc>
          <w:tcPr>
            <w:tcW w:w="146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0271FF88" w14:textId="77777777" w:rsidR="006B2BBC" w:rsidRPr="00DF4CE5" w:rsidRDefault="006B2BBC" w:rsidP="008B34AF">
            <w:pPr>
              <w:spacing w:after="0" w:line="240" w:lineRule="auto"/>
              <w:jc w:val="both"/>
              <w:rPr>
                <w:rFonts w:ascii="Cambria" w:eastAsia="Calibri" w:hAnsi="Cambria" w:cs="Times New Roman"/>
                <w:lang w:val="hr-HR"/>
              </w:rPr>
            </w:pPr>
            <w:r w:rsidRPr="00DF4CE5">
              <w:rPr>
                <w:rFonts w:ascii="Cambria" w:eastAsia="Calibri" w:hAnsi="Cambria" w:cs="Times New Roman"/>
                <w:lang w:val="hr-HR"/>
              </w:rPr>
              <w:t>Razina kolegija</w:t>
            </w:r>
          </w:p>
        </w:tc>
        <w:tc>
          <w:tcPr>
            <w:tcW w:w="2767"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A64B5C8" w14:textId="77777777" w:rsidR="006B2BBC" w:rsidRPr="00DF4CE5" w:rsidRDefault="006B2BBC" w:rsidP="008B34AF">
            <w:pPr>
              <w:spacing w:after="0" w:line="240" w:lineRule="auto"/>
              <w:jc w:val="both"/>
              <w:rPr>
                <w:rFonts w:ascii="Cambria" w:eastAsia="Calibri" w:hAnsi="Cambria" w:cs="Times New Roman"/>
                <w:lang w:val="hr-HR"/>
              </w:rPr>
            </w:pPr>
          </w:p>
          <w:p w14:paraId="349EAE66" w14:textId="77777777" w:rsidR="006B2BBC" w:rsidRPr="00DF4CE5" w:rsidRDefault="006B2BBC" w:rsidP="008B34AF">
            <w:pPr>
              <w:spacing w:after="0" w:line="240" w:lineRule="auto"/>
              <w:jc w:val="both"/>
              <w:rPr>
                <w:rFonts w:ascii="Cambria" w:eastAsia="Calibri" w:hAnsi="Cambria" w:cs="Times New Roman"/>
                <w:lang w:val="hr-HR"/>
              </w:rPr>
            </w:pPr>
            <w:proofErr w:type="spellStart"/>
            <w:r w:rsidRPr="00DF4CE5">
              <w:rPr>
                <w:rFonts w:ascii="Cambria" w:eastAsia="Calibri" w:hAnsi="Cambria" w:cs="Times New Roman"/>
              </w:rPr>
              <w:t>integrirani</w:t>
            </w:r>
            <w:proofErr w:type="spellEnd"/>
          </w:p>
          <w:p w14:paraId="46954962" w14:textId="77777777" w:rsidR="006B2BBC" w:rsidRPr="00DF4CE5" w:rsidRDefault="006B2BBC" w:rsidP="008B34AF">
            <w:pPr>
              <w:spacing w:after="0" w:line="240" w:lineRule="auto"/>
              <w:jc w:val="both"/>
              <w:rPr>
                <w:rFonts w:ascii="Cambria" w:eastAsia="Calibri" w:hAnsi="Cambria" w:cs="Times New Roman"/>
                <w:lang w:val="hr-HR"/>
              </w:rPr>
            </w:pPr>
          </w:p>
        </w:tc>
      </w:tr>
      <w:tr w:rsidR="006B2BBC" w:rsidRPr="00DF4CE5" w14:paraId="2872671D" w14:textId="77777777" w:rsidTr="00C106A0">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4A3CA4F" w14:textId="77777777" w:rsidR="006B2BBC" w:rsidRPr="00DF4CE5" w:rsidRDefault="006B2BBC" w:rsidP="008B34AF">
            <w:pPr>
              <w:spacing w:after="0" w:line="240" w:lineRule="auto"/>
              <w:jc w:val="both"/>
              <w:rPr>
                <w:rFonts w:ascii="Cambria" w:eastAsia="Calibri" w:hAnsi="Cambria" w:cs="Times New Roman"/>
                <w:lang w:val="hr-HR"/>
              </w:rPr>
            </w:pPr>
            <w:r w:rsidRPr="00DF4CE5">
              <w:rPr>
                <w:rFonts w:ascii="Cambria" w:eastAsia="Calibri" w:hAnsi="Cambria" w:cs="Times New Roman"/>
                <w:lang w:val="hr-HR"/>
              </w:rPr>
              <w:t>Semestar</w:t>
            </w:r>
          </w:p>
        </w:tc>
        <w:tc>
          <w:tcPr>
            <w:tcW w:w="248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A95061A" w14:textId="77777777" w:rsidR="006B2BBC" w:rsidRPr="00DF4CE5" w:rsidRDefault="006B2BBC" w:rsidP="008B34AF">
            <w:pPr>
              <w:spacing w:after="0" w:line="240" w:lineRule="auto"/>
              <w:jc w:val="both"/>
              <w:rPr>
                <w:rFonts w:ascii="Cambria" w:eastAsia="Calibri" w:hAnsi="Cambria" w:cs="Times New Roman"/>
                <w:lang w:val="hr-HR"/>
              </w:rPr>
            </w:pPr>
            <w:r w:rsidRPr="00DF4CE5">
              <w:rPr>
                <w:rFonts w:ascii="Cambria" w:eastAsia="Calibri" w:hAnsi="Cambria" w:cs="Times New Roman"/>
                <w:lang w:val="hr-HR"/>
              </w:rPr>
              <w:t>zimski</w:t>
            </w:r>
          </w:p>
          <w:p w14:paraId="0217DF47" w14:textId="77777777" w:rsidR="006B2BBC" w:rsidRPr="00DF4CE5" w:rsidRDefault="006B2BBC" w:rsidP="008B34AF">
            <w:pPr>
              <w:spacing w:after="0" w:line="240" w:lineRule="auto"/>
              <w:jc w:val="both"/>
              <w:rPr>
                <w:rFonts w:ascii="Cambria" w:eastAsia="Calibri" w:hAnsi="Cambria" w:cs="Times New Roman"/>
                <w:lang w:val="hr-HR"/>
              </w:rPr>
            </w:pPr>
          </w:p>
        </w:tc>
        <w:tc>
          <w:tcPr>
            <w:tcW w:w="146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68DD5360" w14:textId="77777777" w:rsidR="006B2BBC" w:rsidRPr="00DF4CE5" w:rsidRDefault="006B2BBC" w:rsidP="008B34AF">
            <w:pPr>
              <w:spacing w:after="0" w:line="240" w:lineRule="auto"/>
              <w:jc w:val="both"/>
              <w:rPr>
                <w:rFonts w:ascii="Cambria" w:eastAsia="Calibri" w:hAnsi="Cambria" w:cs="Times New Roman"/>
                <w:lang w:val="hr-HR"/>
              </w:rPr>
            </w:pPr>
            <w:r w:rsidRPr="00DF4CE5">
              <w:rPr>
                <w:rFonts w:ascii="Cambria" w:eastAsia="Calibri" w:hAnsi="Cambria" w:cs="Times New Roman"/>
                <w:lang w:val="hr-HR"/>
              </w:rPr>
              <w:t>Godina studija</w:t>
            </w:r>
          </w:p>
        </w:tc>
        <w:tc>
          <w:tcPr>
            <w:tcW w:w="2767"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DD466A4" w14:textId="77777777" w:rsidR="006B2BBC" w:rsidRPr="00DF4CE5" w:rsidRDefault="006B2BBC" w:rsidP="008B34AF">
            <w:pPr>
              <w:spacing w:after="0" w:line="240" w:lineRule="auto"/>
              <w:jc w:val="both"/>
              <w:rPr>
                <w:rFonts w:ascii="Cambria" w:eastAsia="Calibri" w:hAnsi="Cambria" w:cs="Times New Roman"/>
                <w:lang w:val="hr-HR"/>
              </w:rPr>
            </w:pPr>
            <w:r w:rsidRPr="00DF4CE5">
              <w:rPr>
                <w:rFonts w:ascii="Cambria" w:eastAsia="Calibri" w:hAnsi="Cambria" w:cs="Times New Roman"/>
                <w:lang w:val="hr-HR"/>
              </w:rPr>
              <w:t xml:space="preserve">V. </w:t>
            </w:r>
          </w:p>
        </w:tc>
      </w:tr>
      <w:tr w:rsidR="006B2BBC" w:rsidRPr="00DF4CE5" w14:paraId="4B73F76B" w14:textId="77777777" w:rsidTr="00C106A0">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7EA8C97" w14:textId="77777777" w:rsidR="006B2BBC" w:rsidRPr="00DF4CE5" w:rsidRDefault="006B2BBC" w:rsidP="008B34AF">
            <w:pPr>
              <w:spacing w:after="0" w:line="240" w:lineRule="auto"/>
              <w:jc w:val="both"/>
              <w:rPr>
                <w:rFonts w:ascii="Cambria" w:eastAsia="Calibri" w:hAnsi="Cambria" w:cs="Times New Roman"/>
                <w:lang w:val="hr-HR"/>
              </w:rPr>
            </w:pPr>
            <w:proofErr w:type="spellStart"/>
            <w:r w:rsidRPr="00DF4CE5">
              <w:rPr>
                <w:rFonts w:ascii="Cambria" w:eastAsia="Calibri" w:hAnsi="Cambria" w:cs="Times New Roman"/>
              </w:rPr>
              <w:t>Mjesto</w:t>
            </w:r>
            <w:proofErr w:type="spellEnd"/>
            <w:r w:rsidRPr="00DF4CE5">
              <w:rPr>
                <w:rFonts w:ascii="Cambria" w:eastAsia="Calibri" w:hAnsi="Cambria" w:cs="Times New Roman"/>
              </w:rPr>
              <w:t xml:space="preserve"> </w:t>
            </w:r>
            <w:proofErr w:type="spellStart"/>
            <w:r w:rsidRPr="00DF4CE5">
              <w:rPr>
                <w:rFonts w:ascii="Cambria" w:eastAsia="Calibri" w:hAnsi="Cambria" w:cs="Times New Roman"/>
              </w:rPr>
              <w:t>izvođenja</w:t>
            </w:r>
            <w:proofErr w:type="spellEnd"/>
          </w:p>
        </w:tc>
        <w:tc>
          <w:tcPr>
            <w:tcW w:w="248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C205A85" w14:textId="0CBC4BED" w:rsidR="006B2BBC" w:rsidRPr="00DF4CE5" w:rsidRDefault="006B2BBC" w:rsidP="008B34AF">
            <w:pPr>
              <w:spacing w:after="0" w:line="240" w:lineRule="auto"/>
              <w:jc w:val="both"/>
              <w:rPr>
                <w:rFonts w:ascii="Cambria" w:eastAsia="Calibri" w:hAnsi="Cambria" w:cs="Times New Roman"/>
                <w:lang w:val="hr-HR"/>
              </w:rPr>
            </w:pPr>
            <w:r w:rsidRPr="00DF4CE5">
              <w:rPr>
                <w:rFonts w:ascii="Cambria" w:eastAsia="Calibri" w:hAnsi="Cambria" w:cs="Times New Roman"/>
                <w:lang w:val="hr-HR"/>
              </w:rPr>
              <w:t xml:space="preserve">učionica </w:t>
            </w:r>
          </w:p>
        </w:tc>
        <w:tc>
          <w:tcPr>
            <w:tcW w:w="146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503D55BD" w14:textId="77777777" w:rsidR="006B2BBC" w:rsidRPr="00DF4CE5" w:rsidRDefault="006B2BBC" w:rsidP="008B34AF">
            <w:pPr>
              <w:spacing w:after="0" w:line="240" w:lineRule="auto"/>
              <w:jc w:val="both"/>
              <w:rPr>
                <w:rFonts w:ascii="Cambria" w:eastAsia="Calibri" w:hAnsi="Cambria" w:cs="Times New Roman"/>
                <w:lang w:val="hr-HR"/>
              </w:rPr>
            </w:pPr>
            <w:r w:rsidRPr="00DF4CE5">
              <w:rPr>
                <w:rFonts w:ascii="Cambria" w:eastAsia="Calibri" w:hAnsi="Cambria" w:cs="Times New Roman"/>
              </w:rPr>
              <w:t>Jezik</w:t>
            </w:r>
            <w:r w:rsidRPr="00DF4CE5">
              <w:rPr>
                <w:rFonts w:ascii="Cambria" w:eastAsia="Calibri" w:hAnsi="Cambria" w:cs="Times New Roman"/>
                <w:lang w:val="hr-HR"/>
              </w:rPr>
              <w:t xml:space="preserve"> izvođenja</w:t>
            </w:r>
          </w:p>
        </w:tc>
        <w:tc>
          <w:tcPr>
            <w:tcW w:w="2767"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C0F210E" w14:textId="77777777" w:rsidR="006B2BBC" w:rsidRPr="00DF4CE5" w:rsidRDefault="006B2BBC" w:rsidP="008B34AF">
            <w:pPr>
              <w:spacing w:after="0" w:line="240" w:lineRule="auto"/>
              <w:jc w:val="both"/>
              <w:rPr>
                <w:rFonts w:ascii="Cambria" w:eastAsia="Calibri" w:hAnsi="Cambria" w:cs="Times New Roman"/>
                <w:lang w:val="hr-HR"/>
              </w:rPr>
            </w:pPr>
            <w:r w:rsidRPr="00DF4CE5">
              <w:rPr>
                <w:rFonts w:ascii="Cambria" w:eastAsia="Calibri" w:hAnsi="Cambria" w:cs="Times New Roman"/>
                <w:lang w:val="hr-HR"/>
              </w:rPr>
              <w:t>hrvatski</w:t>
            </w:r>
          </w:p>
        </w:tc>
      </w:tr>
      <w:tr w:rsidR="006B2BBC" w:rsidRPr="00DF4CE5" w14:paraId="63EB420F" w14:textId="77777777" w:rsidTr="00C106A0">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AE79BD6" w14:textId="77777777" w:rsidR="006B2BBC" w:rsidRPr="00DF4CE5" w:rsidRDefault="006B2BBC" w:rsidP="008B34AF">
            <w:pPr>
              <w:spacing w:after="0" w:line="240" w:lineRule="auto"/>
              <w:jc w:val="both"/>
              <w:rPr>
                <w:rFonts w:ascii="Cambria" w:eastAsia="Calibri" w:hAnsi="Cambria" w:cs="Times New Roman"/>
                <w:lang w:val="hr-HR"/>
              </w:rPr>
            </w:pPr>
            <w:r w:rsidRPr="00DF4CE5">
              <w:rPr>
                <w:rFonts w:ascii="Cambria" w:eastAsia="Calibri" w:hAnsi="Cambria" w:cs="Times New Roman"/>
                <w:lang w:val="hr-HR"/>
              </w:rPr>
              <w:t>Broj ECTS bodova</w:t>
            </w:r>
          </w:p>
        </w:tc>
        <w:tc>
          <w:tcPr>
            <w:tcW w:w="248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2524405" w14:textId="77777777" w:rsidR="006B2BBC" w:rsidRPr="00DF4CE5" w:rsidRDefault="006B2BBC" w:rsidP="008B34AF">
            <w:pPr>
              <w:spacing w:after="0" w:line="240" w:lineRule="auto"/>
              <w:jc w:val="both"/>
              <w:rPr>
                <w:rFonts w:ascii="Cambria" w:eastAsia="Calibri" w:hAnsi="Cambria" w:cs="Times New Roman"/>
                <w:lang w:val="hr-HR"/>
              </w:rPr>
            </w:pPr>
            <w:r w:rsidRPr="00DF4CE5">
              <w:rPr>
                <w:rFonts w:ascii="Cambria" w:eastAsia="Calibri" w:hAnsi="Cambria" w:cs="Times New Roman"/>
                <w:lang w:val="hr-HR"/>
              </w:rPr>
              <w:t>2</w:t>
            </w:r>
          </w:p>
        </w:tc>
        <w:tc>
          <w:tcPr>
            <w:tcW w:w="146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09086782" w14:textId="77777777" w:rsidR="006B2BBC" w:rsidRPr="00DF4CE5" w:rsidRDefault="006B2BBC" w:rsidP="008B34AF">
            <w:pPr>
              <w:spacing w:after="0" w:line="240" w:lineRule="auto"/>
              <w:jc w:val="both"/>
              <w:rPr>
                <w:rFonts w:ascii="Cambria" w:eastAsia="Calibri" w:hAnsi="Cambria" w:cs="Times New Roman"/>
                <w:lang w:val="hr-HR"/>
              </w:rPr>
            </w:pPr>
            <w:r w:rsidRPr="00DF4CE5">
              <w:rPr>
                <w:rFonts w:ascii="Cambria" w:eastAsia="Calibri" w:hAnsi="Cambria" w:cs="Times New Roman"/>
                <w:lang w:val="hr-HR"/>
              </w:rPr>
              <w:t>Broj sati u semestru</w:t>
            </w:r>
          </w:p>
        </w:tc>
        <w:tc>
          <w:tcPr>
            <w:tcW w:w="2767"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277AB16" w14:textId="06B005E7" w:rsidR="006B2BBC" w:rsidRPr="00DF4CE5" w:rsidRDefault="006B2BBC" w:rsidP="008B34AF">
            <w:pPr>
              <w:spacing w:after="0" w:line="240" w:lineRule="auto"/>
              <w:jc w:val="both"/>
              <w:rPr>
                <w:rFonts w:ascii="Cambria" w:eastAsia="Calibri" w:hAnsi="Cambria" w:cs="Times New Roman"/>
                <w:lang w:val="hr-HR"/>
              </w:rPr>
            </w:pPr>
            <w:r w:rsidRPr="00DF4CE5">
              <w:rPr>
                <w:rFonts w:ascii="Cambria" w:eastAsia="Calibri" w:hAnsi="Cambria" w:cs="Times New Roman"/>
                <w:lang w:val="hr-HR"/>
              </w:rPr>
              <w:t xml:space="preserve">15P – </w:t>
            </w:r>
            <w:r w:rsidR="00C72659" w:rsidRPr="00DF4CE5">
              <w:rPr>
                <w:rFonts w:ascii="Cambria" w:eastAsia="Calibri" w:hAnsi="Cambria" w:cs="Times New Roman"/>
                <w:lang w:val="hr-HR"/>
              </w:rPr>
              <w:t>15S</w:t>
            </w:r>
            <w:r w:rsidRPr="00DF4CE5">
              <w:rPr>
                <w:rFonts w:ascii="Cambria" w:eastAsia="Calibri" w:hAnsi="Cambria" w:cs="Times New Roman"/>
                <w:lang w:val="hr-HR"/>
              </w:rPr>
              <w:t xml:space="preserve"> – </w:t>
            </w:r>
            <w:r w:rsidR="00C72659" w:rsidRPr="00DF4CE5">
              <w:rPr>
                <w:rFonts w:ascii="Cambria" w:eastAsia="Calibri" w:hAnsi="Cambria" w:cs="Times New Roman"/>
                <w:lang w:val="hr-HR"/>
              </w:rPr>
              <w:t>0V</w:t>
            </w:r>
            <w:r w:rsidRPr="00DF4CE5">
              <w:rPr>
                <w:rFonts w:ascii="Cambria" w:eastAsia="Calibri" w:hAnsi="Cambria" w:cs="Times New Roman"/>
                <w:lang w:val="hr-HR"/>
              </w:rPr>
              <w:t xml:space="preserve">   </w:t>
            </w:r>
          </w:p>
        </w:tc>
      </w:tr>
      <w:tr w:rsidR="006B2BBC" w:rsidRPr="00D0399C" w14:paraId="55136442" w14:textId="77777777" w:rsidTr="00C106A0">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35215D6" w14:textId="77777777" w:rsidR="006B2BBC" w:rsidRPr="00DF4CE5" w:rsidRDefault="006B2BBC" w:rsidP="008B34AF">
            <w:pPr>
              <w:spacing w:after="0" w:line="240" w:lineRule="auto"/>
              <w:jc w:val="both"/>
              <w:rPr>
                <w:rFonts w:ascii="Cambria" w:eastAsia="Calibri" w:hAnsi="Cambria" w:cs="Times New Roman"/>
                <w:lang w:val="hr-HR"/>
              </w:rPr>
            </w:pPr>
            <w:r w:rsidRPr="00DF4CE5">
              <w:rPr>
                <w:rFonts w:ascii="Cambria" w:eastAsia="Calibri" w:hAnsi="Cambria" w:cs="Times New Roman"/>
                <w:lang w:val="hr-HR"/>
              </w:rPr>
              <w:t>Preduvjeti za upis i za svladavanje</w:t>
            </w:r>
          </w:p>
        </w:tc>
        <w:tc>
          <w:tcPr>
            <w:tcW w:w="671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F1C8B29" w14:textId="77777777" w:rsidR="006B2BBC" w:rsidRPr="00DF4CE5" w:rsidRDefault="006B2BBC" w:rsidP="008B34AF">
            <w:pPr>
              <w:spacing w:after="0" w:line="240" w:lineRule="auto"/>
              <w:jc w:val="both"/>
              <w:rPr>
                <w:rFonts w:ascii="Cambria" w:eastAsia="Calibri" w:hAnsi="Cambria" w:cs="Times New Roman"/>
                <w:lang w:val="hr-HR"/>
              </w:rPr>
            </w:pPr>
            <w:r w:rsidRPr="00DF4CE5">
              <w:rPr>
                <w:rFonts w:ascii="Cambria" w:eastAsia="Calibri" w:hAnsi="Cambria" w:cs="Times New Roman"/>
                <w:lang w:val="hr-HR"/>
              </w:rPr>
              <w:t xml:space="preserve">Preduvjet  za upis je položen ispit iz kolegija Hrvatski jezik 1 i Hrvatski jezik 2 ili završen preddiplomski studij humanističkoga usmjerenja.  </w:t>
            </w:r>
          </w:p>
        </w:tc>
      </w:tr>
      <w:tr w:rsidR="006B2BBC" w:rsidRPr="00DF4CE5" w14:paraId="4A630B55" w14:textId="77777777" w:rsidTr="00C106A0">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3FA12F0" w14:textId="77777777" w:rsidR="006B2BBC" w:rsidRPr="00DF4CE5" w:rsidRDefault="006B2BBC" w:rsidP="008B34AF">
            <w:pPr>
              <w:spacing w:after="0" w:line="240" w:lineRule="auto"/>
              <w:jc w:val="both"/>
              <w:rPr>
                <w:rFonts w:ascii="Cambria" w:eastAsia="Calibri" w:hAnsi="Cambria" w:cs="Times New Roman"/>
                <w:lang w:val="hr-HR"/>
              </w:rPr>
            </w:pPr>
            <w:proofErr w:type="spellStart"/>
            <w:r w:rsidRPr="00DF4CE5">
              <w:rPr>
                <w:rFonts w:ascii="Cambria" w:eastAsia="Calibri" w:hAnsi="Cambria" w:cs="Times New Roman"/>
              </w:rPr>
              <w:t>Korelativnost</w:t>
            </w:r>
            <w:proofErr w:type="spellEnd"/>
          </w:p>
        </w:tc>
        <w:tc>
          <w:tcPr>
            <w:tcW w:w="671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BB56EA9" w14:textId="77777777" w:rsidR="006B2BBC" w:rsidRPr="00DF4CE5" w:rsidRDefault="006B2BBC" w:rsidP="008B34AF">
            <w:pPr>
              <w:spacing w:after="0" w:line="240" w:lineRule="auto"/>
              <w:jc w:val="both"/>
              <w:rPr>
                <w:rFonts w:ascii="Cambria" w:eastAsia="Calibri" w:hAnsi="Cambria" w:cs="Times New Roman"/>
                <w:lang w:val="hr-HR"/>
              </w:rPr>
            </w:pPr>
            <w:r w:rsidRPr="00DF4CE5">
              <w:rPr>
                <w:rFonts w:ascii="Cambria" w:eastAsia="Calibri" w:hAnsi="Cambria" w:cs="Times New Roman"/>
                <w:lang w:val="hr-HR"/>
              </w:rPr>
              <w:t xml:space="preserve">Program je </w:t>
            </w:r>
            <w:proofErr w:type="spellStart"/>
            <w:r w:rsidRPr="00DF4CE5">
              <w:rPr>
                <w:rFonts w:ascii="Cambria" w:eastAsia="Calibri" w:hAnsi="Cambria" w:cs="Times New Roman"/>
                <w:lang w:val="hr-HR"/>
              </w:rPr>
              <w:t>korelativan</w:t>
            </w:r>
            <w:proofErr w:type="spellEnd"/>
            <w:r w:rsidRPr="00DF4CE5">
              <w:rPr>
                <w:rFonts w:ascii="Cambria" w:eastAsia="Calibri" w:hAnsi="Cambria" w:cs="Times New Roman"/>
                <w:lang w:val="hr-HR"/>
              </w:rPr>
              <w:t xml:space="preserve"> s programima jezičnih kolegija.</w:t>
            </w:r>
          </w:p>
        </w:tc>
      </w:tr>
      <w:tr w:rsidR="006B2BBC" w:rsidRPr="00D0399C" w14:paraId="2184D80D" w14:textId="77777777" w:rsidTr="00C106A0">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4B68FB9" w14:textId="77777777" w:rsidR="006B2BBC" w:rsidRPr="00DF4CE5" w:rsidRDefault="006B2BBC" w:rsidP="008B34AF">
            <w:pPr>
              <w:spacing w:after="0" w:line="240" w:lineRule="auto"/>
              <w:jc w:val="both"/>
              <w:rPr>
                <w:rFonts w:ascii="Cambria" w:eastAsia="Calibri" w:hAnsi="Cambria" w:cs="Times New Roman"/>
                <w:lang w:val="hr-HR"/>
              </w:rPr>
            </w:pPr>
            <w:r w:rsidRPr="00DF4CE5">
              <w:rPr>
                <w:rFonts w:ascii="Cambria" w:eastAsia="Calibri" w:hAnsi="Cambria" w:cs="Times New Roman"/>
                <w:lang w:val="hr-HR"/>
              </w:rPr>
              <w:t xml:space="preserve">Cilj kolegija </w:t>
            </w:r>
          </w:p>
        </w:tc>
        <w:tc>
          <w:tcPr>
            <w:tcW w:w="671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AB48FDC" w14:textId="77777777" w:rsidR="006B2BBC" w:rsidRPr="00DF4CE5" w:rsidRDefault="006B2BBC" w:rsidP="008B34AF">
            <w:pPr>
              <w:keepNext/>
              <w:spacing w:after="0" w:line="240" w:lineRule="auto"/>
              <w:jc w:val="both"/>
              <w:outlineLvl w:val="0"/>
              <w:rPr>
                <w:rFonts w:ascii="Cambria" w:eastAsia="Times New Roman" w:hAnsi="Cambria" w:cs="SloMinion"/>
                <w:bCs/>
                <w:lang w:val="hr-HR" w:eastAsia="hr-HR"/>
              </w:rPr>
            </w:pPr>
            <w:r w:rsidRPr="00DF4CE5">
              <w:rPr>
                <w:rFonts w:ascii="Cambria" w:eastAsia="Calibri" w:hAnsi="Cambria" w:cs="Calibri"/>
                <w:bCs/>
                <w:lang w:val="hr-HR" w:eastAsia="hr-HR"/>
              </w:rPr>
              <w:t>usvojiti kompetencije za uporabu figurativnih jezičnih izraza</w:t>
            </w:r>
          </w:p>
          <w:p w14:paraId="7BFFDB16" w14:textId="77777777" w:rsidR="006B2BBC" w:rsidRPr="00DF4CE5" w:rsidRDefault="006B2BBC" w:rsidP="008B34AF">
            <w:pPr>
              <w:spacing w:after="0" w:line="240" w:lineRule="auto"/>
              <w:jc w:val="both"/>
              <w:rPr>
                <w:rFonts w:ascii="Cambria" w:eastAsia="Times New Roman" w:hAnsi="Cambria" w:cs="Times New Roman"/>
                <w:lang w:val="hr-HR"/>
              </w:rPr>
            </w:pPr>
          </w:p>
        </w:tc>
      </w:tr>
      <w:tr w:rsidR="006B2BBC" w:rsidRPr="00D0399C" w14:paraId="58391ED2" w14:textId="77777777" w:rsidTr="00C106A0">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0612459" w14:textId="77777777" w:rsidR="006B2BBC" w:rsidRPr="00DF4CE5" w:rsidRDefault="006B2BBC" w:rsidP="008B34AF">
            <w:pPr>
              <w:spacing w:after="0" w:line="240" w:lineRule="auto"/>
              <w:jc w:val="both"/>
              <w:rPr>
                <w:rFonts w:ascii="Cambria" w:eastAsia="Calibri" w:hAnsi="Cambria" w:cs="Times New Roman"/>
                <w:lang w:val="hr-HR"/>
              </w:rPr>
            </w:pPr>
            <w:r w:rsidRPr="00DF4CE5">
              <w:rPr>
                <w:rFonts w:ascii="Cambria" w:eastAsia="Calibri" w:hAnsi="Cambria" w:cs="Times New Roman"/>
                <w:lang w:val="hr-HR"/>
              </w:rPr>
              <w:t>Ishodi učenja</w:t>
            </w:r>
          </w:p>
        </w:tc>
        <w:tc>
          <w:tcPr>
            <w:tcW w:w="671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9BC1199" w14:textId="77777777" w:rsidR="006B2BBC" w:rsidRPr="00DF4CE5" w:rsidRDefault="006B2BBC" w:rsidP="008B34AF">
            <w:pPr>
              <w:spacing w:after="0" w:line="240" w:lineRule="auto"/>
              <w:jc w:val="both"/>
              <w:rPr>
                <w:rFonts w:ascii="Cambria" w:eastAsia="Calibri" w:hAnsi="Cambria" w:cs="Times New Roman"/>
                <w:lang w:val="hr-HR"/>
              </w:rPr>
            </w:pPr>
            <w:r w:rsidRPr="00DF4CE5">
              <w:rPr>
                <w:rFonts w:ascii="Cambria" w:eastAsia="Calibri" w:hAnsi="Cambria" w:cs="Times New Roman"/>
                <w:lang w:val="hr-HR"/>
              </w:rPr>
              <w:t xml:space="preserve">1. definirati frazeologiju i frazem </w:t>
            </w:r>
          </w:p>
          <w:p w14:paraId="2EFBD4F4" w14:textId="77777777" w:rsidR="006B2BBC" w:rsidRPr="00DF4CE5" w:rsidRDefault="006B2BBC" w:rsidP="008B34AF">
            <w:pPr>
              <w:spacing w:after="0" w:line="240" w:lineRule="auto"/>
              <w:jc w:val="both"/>
              <w:rPr>
                <w:rFonts w:ascii="Cambria" w:eastAsia="Calibri" w:hAnsi="Cambria" w:cs="Times New Roman"/>
                <w:lang w:val="hr-HR"/>
              </w:rPr>
            </w:pPr>
            <w:r w:rsidRPr="00DF4CE5">
              <w:rPr>
                <w:rFonts w:ascii="Cambria" w:eastAsia="Calibri" w:hAnsi="Cambria" w:cs="Times New Roman"/>
                <w:lang w:val="hr-HR"/>
              </w:rPr>
              <w:t xml:space="preserve">2. razlikovati </w:t>
            </w:r>
            <w:r w:rsidRPr="00DF4CE5">
              <w:rPr>
                <w:rFonts w:ascii="Cambria" w:eastAsia="Calibri" w:hAnsi="Cambria" w:cs="Times New Roman"/>
                <w:color w:val="000000"/>
                <w:lang w:val="hr-HR"/>
              </w:rPr>
              <w:t>funkcionalne</w:t>
            </w:r>
            <w:r w:rsidRPr="00DF4CE5">
              <w:rPr>
                <w:rFonts w:ascii="Cambria" w:eastAsia="Calibri" w:hAnsi="Cambria" w:cs="Times New Roman"/>
                <w:color w:val="FF0000"/>
                <w:lang w:val="hr-HR"/>
              </w:rPr>
              <w:t xml:space="preserve"> </w:t>
            </w:r>
            <w:r w:rsidRPr="00DF4CE5">
              <w:rPr>
                <w:rFonts w:ascii="Cambria" w:eastAsia="Calibri" w:hAnsi="Cambria" w:cs="Times New Roman"/>
                <w:lang w:val="hr-HR"/>
              </w:rPr>
              <w:t>jezične jedinice (frazemi, nazivi) od slobodnih sveza općega jezika</w:t>
            </w:r>
          </w:p>
          <w:p w14:paraId="0E25699D" w14:textId="77777777" w:rsidR="006B2BBC" w:rsidRPr="00DF4CE5" w:rsidRDefault="006B2BBC" w:rsidP="008B34AF">
            <w:pPr>
              <w:spacing w:after="0" w:line="240" w:lineRule="auto"/>
              <w:jc w:val="both"/>
              <w:rPr>
                <w:rFonts w:ascii="Cambria" w:eastAsia="Calibri" w:hAnsi="Cambria" w:cs="Times New Roman"/>
                <w:lang w:val="hr-HR"/>
              </w:rPr>
            </w:pPr>
            <w:r w:rsidRPr="00DF4CE5">
              <w:rPr>
                <w:rFonts w:ascii="Cambria" w:eastAsia="Calibri" w:hAnsi="Cambria" w:cs="Times New Roman"/>
                <w:lang w:val="hr-HR"/>
              </w:rPr>
              <w:t>3. usporediti različite pristupe analizi frazema</w:t>
            </w:r>
          </w:p>
          <w:p w14:paraId="4C515EC3" w14:textId="77777777" w:rsidR="006B2BBC" w:rsidRPr="00DF4CE5" w:rsidRDefault="006B2BBC" w:rsidP="008B34AF">
            <w:pPr>
              <w:spacing w:after="0" w:line="240" w:lineRule="auto"/>
              <w:jc w:val="both"/>
              <w:rPr>
                <w:rFonts w:ascii="Cambria" w:eastAsia="Calibri" w:hAnsi="Cambria" w:cs="Times New Roman"/>
                <w:lang w:val="hr-HR"/>
              </w:rPr>
            </w:pPr>
            <w:r w:rsidRPr="00DF4CE5">
              <w:rPr>
                <w:rFonts w:ascii="Cambria" w:eastAsia="Calibri" w:hAnsi="Cambria" w:cs="Times New Roman"/>
                <w:lang w:val="hr-HR"/>
              </w:rPr>
              <w:t>4. uočavati obilježenost značenja pojedinih sastavnica frazema</w:t>
            </w:r>
          </w:p>
          <w:p w14:paraId="68AD378E" w14:textId="77777777" w:rsidR="006B2BBC" w:rsidRPr="00DF4CE5" w:rsidRDefault="006B2BBC" w:rsidP="008B34AF">
            <w:pPr>
              <w:spacing w:after="0" w:line="240" w:lineRule="auto"/>
              <w:jc w:val="both"/>
              <w:rPr>
                <w:rFonts w:ascii="Cambria" w:eastAsia="Calibri" w:hAnsi="Cambria" w:cs="Times New Roman"/>
                <w:lang w:val="hr-HR"/>
              </w:rPr>
            </w:pPr>
            <w:r w:rsidRPr="00DF4CE5">
              <w:rPr>
                <w:rFonts w:ascii="Cambria" w:eastAsia="Calibri" w:hAnsi="Cambria" w:cs="Times New Roman"/>
                <w:lang w:val="hr-HR"/>
              </w:rPr>
              <w:t xml:space="preserve">5. primjenjivati stečena znanja u lingvističkoj analizi </w:t>
            </w:r>
          </w:p>
        </w:tc>
      </w:tr>
      <w:tr w:rsidR="006B2BBC" w:rsidRPr="00DF4CE5" w14:paraId="0170397B" w14:textId="77777777" w:rsidTr="00C106A0">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22604F22" w14:textId="77777777" w:rsidR="006B2BBC" w:rsidRPr="00DF4CE5" w:rsidRDefault="006B2BBC" w:rsidP="008B34AF">
            <w:pPr>
              <w:spacing w:after="0" w:line="240" w:lineRule="auto"/>
              <w:jc w:val="both"/>
              <w:rPr>
                <w:rFonts w:ascii="Cambria" w:eastAsia="Calibri" w:hAnsi="Cambria" w:cs="Times New Roman"/>
                <w:lang w:val="hr-HR"/>
              </w:rPr>
            </w:pPr>
            <w:r w:rsidRPr="00DF4CE5">
              <w:rPr>
                <w:rFonts w:ascii="Cambria" w:eastAsia="Calibri" w:hAnsi="Cambria" w:cs="Times New Roman"/>
                <w:lang w:val="hr-HR"/>
              </w:rPr>
              <w:t>Sadržaj kolegija</w:t>
            </w:r>
          </w:p>
        </w:tc>
        <w:tc>
          <w:tcPr>
            <w:tcW w:w="6717"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3C893F5" w14:textId="77777777" w:rsidR="006B2BBC" w:rsidRPr="00DF4CE5" w:rsidRDefault="006B2BBC" w:rsidP="008B34AF">
            <w:pPr>
              <w:spacing w:after="0" w:line="240" w:lineRule="auto"/>
              <w:jc w:val="both"/>
              <w:rPr>
                <w:rFonts w:ascii="Cambria" w:eastAsia="Times New Roman" w:hAnsi="Cambria" w:cs="Times New Roman"/>
                <w:lang w:val="hr-HR"/>
              </w:rPr>
            </w:pPr>
            <w:r w:rsidRPr="00DF4CE5">
              <w:rPr>
                <w:rFonts w:ascii="Cambria" w:eastAsia="Times New Roman" w:hAnsi="Cambria" w:cs="Times New Roman"/>
                <w:lang w:val="hr-HR"/>
              </w:rPr>
              <w:t>1. Frazeologija, frazem</w:t>
            </w:r>
          </w:p>
          <w:p w14:paraId="20E0F838" w14:textId="77777777" w:rsidR="006B2BBC" w:rsidRPr="00DF4CE5" w:rsidRDefault="006B2BBC" w:rsidP="008B34AF">
            <w:pPr>
              <w:spacing w:after="0" w:line="240" w:lineRule="auto"/>
              <w:jc w:val="both"/>
              <w:rPr>
                <w:rFonts w:ascii="Cambria" w:eastAsia="Times New Roman" w:hAnsi="Cambria" w:cs="Times New Roman"/>
                <w:lang w:val="hr-HR"/>
              </w:rPr>
            </w:pPr>
            <w:r w:rsidRPr="00DF4CE5">
              <w:rPr>
                <w:rFonts w:ascii="Cambria" w:eastAsia="Times New Roman" w:hAnsi="Cambria" w:cs="Times New Roman"/>
                <w:lang w:val="hr-HR"/>
              </w:rPr>
              <w:t xml:space="preserve">2. </w:t>
            </w:r>
            <w:proofErr w:type="spellStart"/>
            <w:r w:rsidRPr="00DF4CE5">
              <w:rPr>
                <w:rFonts w:ascii="Cambria" w:eastAsia="Times New Roman" w:hAnsi="Cambria" w:cs="Times New Roman"/>
                <w:lang w:val="hr-HR"/>
              </w:rPr>
              <w:t>Višerječne</w:t>
            </w:r>
            <w:proofErr w:type="spellEnd"/>
            <w:r w:rsidRPr="00DF4CE5">
              <w:rPr>
                <w:rFonts w:ascii="Cambria" w:eastAsia="Times New Roman" w:hAnsi="Cambria" w:cs="Times New Roman"/>
                <w:lang w:val="hr-HR"/>
              </w:rPr>
              <w:t xml:space="preserve"> sveze (frazem, </w:t>
            </w:r>
            <w:proofErr w:type="spellStart"/>
            <w:r w:rsidRPr="00DF4CE5">
              <w:rPr>
                <w:rFonts w:ascii="Cambria" w:eastAsia="Times New Roman" w:hAnsi="Cambria" w:cs="Times New Roman"/>
                <w:lang w:val="hr-HR"/>
              </w:rPr>
              <w:t>kolokacija</w:t>
            </w:r>
            <w:proofErr w:type="spellEnd"/>
            <w:r w:rsidRPr="00DF4CE5">
              <w:rPr>
                <w:rFonts w:ascii="Cambria" w:eastAsia="Times New Roman" w:hAnsi="Cambria" w:cs="Times New Roman"/>
                <w:lang w:val="hr-HR"/>
              </w:rPr>
              <w:t>, naziv, onim)</w:t>
            </w:r>
          </w:p>
          <w:p w14:paraId="719F4A7E" w14:textId="77777777" w:rsidR="006B2BBC" w:rsidRPr="00DF4CE5" w:rsidRDefault="006B2BBC" w:rsidP="008B34AF">
            <w:pPr>
              <w:spacing w:after="0" w:line="240" w:lineRule="auto"/>
              <w:jc w:val="both"/>
              <w:rPr>
                <w:rFonts w:ascii="Cambria" w:eastAsia="Times New Roman" w:hAnsi="Cambria" w:cs="Times New Roman"/>
                <w:lang w:val="hr-HR"/>
              </w:rPr>
            </w:pPr>
            <w:r w:rsidRPr="00DF4CE5">
              <w:rPr>
                <w:rFonts w:ascii="Cambria" w:eastAsia="Times New Roman" w:hAnsi="Cambria" w:cs="Times New Roman"/>
                <w:lang w:val="hr-HR"/>
              </w:rPr>
              <w:t>3. Značenjski odnosi leksičkih jedinica</w:t>
            </w:r>
          </w:p>
          <w:p w14:paraId="06F9AEED" w14:textId="77777777" w:rsidR="006B2BBC" w:rsidRPr="00DF4CE5" w:rsidRDefault="006B2BBC" w:rsidP="008B34AF">
            <w:pPr>
              <w:spacing w:after="0" w:line="240" w:lineRule="auto"/>
              <w:jc w:val="both"/>
              <w:rPr>
                <w:rFonts w:ascii="Cambria" w:eastAsia="Times New Roman" w:hAnsi="Cambria" w:cs="Times New Roman"/>
                <w:lang w:val="hr-HR"/>
              </w:rPr>
            </w:pPr>
            <w:r w:rsidRPr="00DF4CE5">
              <w:rPr>
                <w:rFonts w:ascii="Cambria" w:eastAsia="Times New Roman" w:hAnsi="Cambria" w:cs="Times New Roman"/>
                <w:lang w:val="hr-HR"/>
              </w:rPr>
              <w:t>4. Struktura frazema</w:t>
            </w:r>
          </w:p>
          <w:p w14:paraId="33B863FC" w14:textId="77777777" w:rsidR="006B2BBC" w:rsidRPr="00DF4CE5" w:rsidRDefault="006B2BBC" w:rsidP="008B34AF">
            <w:pPr>
              <w:spacing w:after="0" w:line="240" w:lineRule="auto"/>
              <w:jc w:val="both"/>
              <w:rPr>
                <w:rFonts w:ascii="Cambria" w:eastAsia="Times New Roman" w:hAnsi="Cambria" w:cs="Times New Roman"/>
                <w:lang w:val="hr-HR"/>
              </w:rPr>
            </w:pPr>
            <w:r w:rsidRPr="00DF4CE5">
              <w:rPr>
                <w:rFonts w:ascii="Cambria" w:eastAsia="Times New Roman" w:hAnsi="Cambria" w:cs="Times New Roman"/>
                <w:lang w:val="hr-HR"/>
              </w:rPr>
              <w:t>5. Semantika frazema</w:t>
            </w:r>
          </w:p>
          <w:p w14:paraId="43E082A1" w14:textId="77777777" w:rsidR="006B2BBC" w:rsidRPr="00DF4CE5" w:rsidRDefault="006B2BBC" w:rsidP="008B34AF">
            <w:pPr>
              <w:spacing w:after="0" w:line="240" w:lineRule="auto"/>
              <w:jc w:val="both"/>
              <w:rPr>
                <w:rFonts w:ascii="Cambria" w:eastAsia="Times New Roman" w:hAnsi="Cambria" w:cs="Times New Roman"/>
                <w:lang w:val="hr-HR"/>
              </w:rPr>
            </w:pPr>
            <w:r w:rsidRPr="00DF4CE5">
              <w:rPr>
                <w:rFonts w:ascii="Cambria" w:eastAsia="Times New Roman" w:hAnsi="Cambria" w:cs="Times New Roman"/>
                <w:lang w:val="hr-HR"/>
              </w:rPr>
              <w:t>6. Frazemi i prikaz pojmova</w:t>
            </w:r>
          </w:p>
          <w:p w14:paraId="17002A4A" w14:textId="77777777" w:rsidR="006B2BBC" w:rsidRPr="00DF4CE5" w:rsidRDefault="006B2BBC" w:rsidP="008B34AF">
            <w:pPr>
              <w:spacing w:after="0" w:line="240" w:lineRule="auto"/>
              <w:jc w:val="both"/>
              <w:rPr>
                <w:rFonts w:ascii="Cambria" w:eastAsia="Times New Roman" w:hAnsi="Cambria" w:cs="Times New Roman"/>
                <w:lang w:val="hr-HR"/>
              </w:rPr>
            </w:pPr>
            <w:r w:rsidRPr="00DF4CE5">
              <w:rPr>
                <w:rFonts w:ascii="Cambria" w:eastAsia="Times New Roman" w:hAnsi="Cambria" w:cs="Times New Roman"/>
                <w:lang w:val="hr-HR"/>
              </w:rPr>
              <w:t>7. Frazemske inačice</w:t>
            </w:r>
          </w:p>
          <w:p w14:paraId="7C631D84" w14:textId="77777777" w:rsidR="006B2BBC" w:rsidRPr="00DF4CE5" w:rsidRDefault="006B2BBC" w:rsidP="008B34AF">
            <w:pPr>
              <w:spacing w:after="0" w:line="240" w:lineRule="auto"/>
              <w:jc w:val="both"/>
              <w:rPr>
                <w:rFonts w:ascii="Cambria" w:eastAsia="Times New Roman" w:hAnsi="Cambria" w:cs="Times New Roman"/>
                <w:lang w:val="hr-HR"/>
              </w:rPr>
            </w:pPr>
            <w:r w:rsidRPr="00DF4CE5">
              <w:rPr>
                <w:rFonts w:ascii="Cambria" w:eastAsia="Times New Roman" w:hAnsi="Cambria" w:cs="Times New Roman"/>
                <w:lang w:val="hr-HR"/>
              </w:rPr>
              <w:t xml:space="preserve">8. </w:t>
            </w:r>
            <w:proofErr w:type="spellStart"/>
            <w:r w:rsidRPr="00DF4CE5">
              <w:rPr>
                <w:rFonts w:ascii="Cambria" w:eastAsia="Times New Roman" w:hAnsi="Cambria" w:cs="Times New Roman"/>
                <w:lang w:val="hr-HR"/>
              </w:rPr>
              <w:t>Frazeografija</w:t>
            </w:r>
            <w:proofErr w:type="spellEnd"/>
          </w:p>
        </w:tc>
      </w:tr>
      <w:tr w:rsidR="006B2BBC" w:rsidRPr="00DF4CE5" w14:paraId="7F4BF65A" w14:textId="77777777" w:rsidTr="00C106A0">
        <w:tc>
          <w:tcPr>
            <w:tcW w:w="2623"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hideMark/>
          </w:tcPr>
          <w:p w14:paraId="4959E625" w14:textId="77777777" w:rsidR="006B2BBC" w:rsidRPr="00DF4CE5" w:rsidRDefault="006B2BBC" w:rsidP="008B34AF">
            <w:pPr>
              <w:spacing w:after="0" w:line="240" w:lineRule="auto"/>
              <w:jc w:val="both"/>
              <w:rPr>
                <w:rFonts w:ascii="Cambria" w:eastAsia="Calibri" w:hAnsi="Cambria" w:cs="Times New Roman"/>
                <w:lang w:val="hr-HR"/>
              </w:rPr>
            </w:pPr>
            <w:r w:rsidRPr="00DF4CE5">
              <w:rPr>
                <w:rFonts w:ascii="Cambria" w:eastAsia="Calibri" w:hAnsi="Cambria" w:cs="Times New Roman"/>
                <w:lang w:val="hr-HR"/>
              </w:rPr>
              <w:t>Planirane aktivnosti</w:t>
            </w:r>
            <w:r w:rsidRPr="00DF4CE5">
              <w:rPr>
                <w:rFonts w:ascii="Cambria" w:eastAsia="Calibri" w:hAnsi="Cambria" w:cs="Times New Roman"/>
                <w:lang w:val="it-IT"/>
              </w:rPr>
              <w:t>,</w:t>
            </w:r>
          </w:p>
          <w:p w14:paraId="18DEF7B5" w14:textId="77777777" w:rsidR="006B2BBC" w:rsidRPr="00DF4CE5" w:rsidRDefault="006B2BBC" w:rsidP="00AB127E">
            <w:pPr>
              <w:spacing w:after="0" w:line="240" w:lineRule="auto"/>
              <w:rPr>
                <w:rFonts w:ascii="Cambria" w:eastAsia="Calibri" w:hAnsi="Cambria" w:cs="Times New Roman"/>
                <w:lang w:val="hr-HR"/>
              </w:rPr>
            </w:pPr>
            <w:proofErr w:type="spellStart"/>
            <w:r w:rsidRPr="00DF4CE5">
              <w:rPr>
                <w:rFonts w:ascii="Cambria" w:eastAsia="Calibri" w:hAnsi="Cambria" w:cs="Times New Roman"/>
                <w:lang w:val="it-IT"/>
              </w:rPr>
              <w:t>metode</w:t>
            </w:r>
            <w:proofErr w:type="spellEnd"/>
            <w:r w:rsidRPr="00DF4CE5">
              <w:rPr>
                <w:rFonts w:ascii="Cambria" w:eastAsia="Calibri" w:hAnsi="Cambria" w:cs="Times New Roman"/>
                <w:lang w:val="it-IT"/>
              </w:rPr>
              <w:t xml:space="preserve"> </w:t>
            </w:r>
            <w:r w:rsidRPr="00DF4CE5">
              <w:rPr>
                <w:rFonts w:ascii="Cambria" w:eastAsia="Calibri" w:hAnsi="Cambria" w:cs="Times New Roman"/>
                <w:lang w:val="hr-HR"/>
              </w:rPr>
              <w:t>učenja i poučavanja i načini vrednovanja</w:t>
            </w:r>
          </w:p>
          <w:p w14:paraId="3CD186AA" w14:textId="77777777" w:rsidR="006B2BBC" w:rsidRPr="00DF4CE5" w:rsidRDefault="006B2BBC" w:rsidP="008B34AF">
            <w:pPr>
              <w:spacing w:after="0" w:line="240" w:lineRule="auto"/>
              <w:jc w:val="both"/>
              <w:rPr>
                <w:rFonts w:ascii="Cambria" w:eastAsia="Calibri" w:hAnsi="Cambria" w:cs="Times New Roman"/>
                <w:lang w:val="hr-HR"/>
              </w:rPr>
            </w:pPr>
          </w:p>
        </w:tc>
        <w:tc>
          <w:tcPr>
            <w:tcW w:w="258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D27EC2B" w14:textId="77777777" w:rsidR="006B2BBC" w:rsidRPr="00DF4CE5" w:rsidRDefault="006B2BBC" w:rsidP="008B34AF">
            <w:pPr>
              <w:spacing w:after="0" w:line="240" w:lineRule="auto"/>
              <w:jc w:val="both"/>
              <w:rPr>
                <w:rFonts w:ascii="Cambria" w:eastAsia="Calibri" w:hAnsi="Cambria" w:cs="Times New Roman"/>
                <w:lang w:val="hr-HR"/>
              </w:rPr>
            </w:pPr>
            <w:r w:rsidRPr="00DF4CE5">
              <w:rPr>
                <w:rFonts w:ascii="Cambria" w:eastAsia="Calibri" w:hAnsi="Cambria" w:cs="Times New Roman"/>
                <w:bCs/>
                <w:lang w:val="hr-HR"/>
              </w:rPr>
              <w:t>Obveze</w:t>
            </w:r>
            <w:r w:rsidRPr="00DF4CE5">
              <w:rPr>
                <w:rFonts w:ascii="Cambria" w:eastAsia="Calibri" w:hAnsi="Cambria" w:cs="Times New Roman"/>
                <w:bCs/>
              </w:rPr>
              <w:t xml:space="preserve"> </w:t>
            </w:r>
          </w:p>
          <w:p w14:paraId="0F9C013F" w14:textId="77777777" w:rsidR="006B2BBC" w:rsidRPr="00DF4CE5" w:rsidRDefault="006B2BBC" w:rsidP="008B34AF">
            <w:pPr>
              <w:spacing w:after="0" w:line="240" w:lineRule="auto"/>
              <w:jc w:val="both"/>
              <w:rPr>
                <w:rFonts w:ascii="Cambria" w:eastAsia="Calibri" w:hAnsi="Cambria" w:cs="Times New Roman"/>
                <w:lang w:val="hr-HR"/>
              </w:rPr>
            </w:pPr>
          </w:p>
        </w:tc>
        <w:tc>
          <w:tcPr>
            <w:tcW w:w="10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EE87645" w14:textId="77777777" w:rsidR="006B2BBC" w:rsidRPr="00DF4CE5" w:rsidRDefault="006B2BBC" w:rsidP="008B34AF">
            <w:pPr>
              <w:spacing w:after="0" w:line="240" w:lineRule="auto"/>
              <w:jc w:val="both"/>
              <w:rPr>
                <w:rFonts w:ascii="Cambria" w:eastAsia="Calibri" w:hAnsi="Cambria" w:cs="Times New Roman"/>
                <w:lang w:val="hr-HR"/>
              </w:rPr>
            </w:pPr>
            <w:r w:rsidRPr="00DF4CE5">
              <w:rPr>
                <w:rFonts w:ascii="Cambria" w:eastAsia="Calibri" w:hAnsi="Cambria" w:cs="Times New Roman"/>
                <w:bCs/>
                <w:lang w:val="hr-HR"/>
              </w:rPr>
              <w:t>Ishodi</w:t>
            </w:r>
          </w:p>
          <w:p w14:paraId="670E3198" w14:textId="77777777" w:rsidR="006B2BBC" w:rsidRPr="00DF4CE5" w:rsidRDefault="006B2BBC" w:rsidP="008B34AF">
            <w:pPr>
              <w:spacing w:after="0" w:line="240" w:lineRule="auto"/>
              <w:jc w:val="both"/>
              <w:rPr>
                <w:rFonts w:ascii="Cambria" w:eastAsia="Calibri" w:hAnsi="Cambria" w:cs="Times New Roman"/>
                <w:lang w:val="hr-HR"/>
              </w:rPr>
            </w:pPr>
          </w:p>
        </w:tc>
        <w:tc>
          <w:tcPr>
            <w:tcW w:w="71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691903A" w14:textId="77777777" w:rsidR="006B2BBC" w:rsidRPr="00DF4CE5" w:rsidRDefault="006B2BBC" w:rsidP="008B34AF">
            <w:pPr>
              <w:spacing w:after="0" w:line="240" w:lineRule="auto"/>
              <w:jc w:val="both"/>
              <w:rPr>
                <w:rFonts w:ascii="Cambria" w:eastAsia="Calibri" w:hAnsi="Cambria" w:cs="Times New Roman"/>
                <w:lang w:val="hr-HR"/>
              </w:rPr>
            </w:pPr>
            <w:r w:rsidRPr="00DF4CE5">
              <w:rPr>
                <w:rFonts w:ascii="Cambria" w:eastAsia="Calibri" w:hAnsi="Cambria" w:cs="Times New Roman"/>
                <w:bCs/>
                <w:lang w:val="hr-HR"/>
              </w:rPr>
              <w:t>Sati</w:t>
            </w:r>
          </w:p>
        </w:tc>
        <w:tc>
          <w:tcPr>
            <w:tcW w:w="101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956CC26" w14:textId="1B72DED9" w:rsidR="006B2BBC" w:rsidRPr="00DF4CE5" w:rsidRDefault="006B2BBC" w:rsidP="008B34AF">
            <w:pPr>
              <w:spacing w:after="0" w:line="240" w:lineRule="auto"/>
              <w:jc w:val="both"/>
              <w:rPr>
                <w:rFonts w:ascii="Cambria" w:eastAsia="Calibri" w:hAnsi="Cambria" w:cs="Times New Roman"/>
                <w:lang w:val="hr-HR"/>
              </w:rPr>
            </w:pPr>
            <w:r w:rsidRPr="00DF4CE5">
              <w:rPr>
                <w:rFonts w:ascii="Cambria" w:eastAsia="Calibri" w:hAnsi="Cambria" w:cs="Times New Roman"/>
                <w:bCs/>
                <w:lang w:val="hr-HR"/>
              </w:rPr>
              <w:t>ECTS</w:t>
            </w:r>
          </w:p>
        </w:tc>
        <w:tc>
          <w:tcPr>
            <w:tcW w:w="131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1E2A7CB" w14:textId="77777777" w:rsidR="006B2BBC" w:rsidRPr="00DF4CE5" w:rsidRDefault="006B2BBC" w:rsidP="00AB127E">
            <w:pPr>
              <w:spacing w:after="0" w:line="240" w:lineRule="auto"/>
              <w:rPr>
                <w:rFonts w:ascii="Cambria" w:eastAsia="Calibri" w:hAnsi="Cambria" w:cs="Times New Roman"/>
                <w:lang w:val="hr-HR"/>
              </w:rPr>
            </w:pPr>
            <w:r w:rsidRPr="00DF4CE5">
              <w:rPr>
                <w:rFonts w:ascii="Cambria" w:eastAsia="Calibri" w:hAnsi="Cambria" w:cs="Times New Roman"/>
                <w:bCs/>
                <w:lang w:val="hr-HR"/>
              </w:rPr>
              <w:t>Maksimalni udio u ocjeni</w:t>
            </w:r>
            <w:r w:rsidRPr="00DF4CE5">
              <w:rPr>
                <w:rFonts w:ascii="Cambria" w:eastAsia="Calibri" w:hAnsi="Cambria" w:cs="Times New Roman"/>
                <w:bCs/>
              </w:rPr>
              <w:t xml:space="preserve"> (%)</w:t>
            </w:r>
          </w:p>
        </w:tc>
      </w:tr>
      <w:tr w:rsidR="005005C3" w:rsidRPr="00DF4CE5" w14:paraId="5C6863DD" w14:textId="77777777" w:rsidTr="00C106A0">
        <w:tc>
          <w:tcPr>
            <w:tcW w:w="2623" w:type="dxa"/>
            <w:vMerge/>
            <w:tcBorders>
              <w:left w:val="single" w:sz="8" w:space="0" w:color="000000"/>
              <w:right w:val="single" w:sz="8" w:space="0" w:color="000000"/>
            </w:tcBorders>
            <w:vAlign w:val="center"/>
            <w:hideMark/>
          </w:tcPr>
          <w:p w14:paraId="2036D235" w14:textId="77777777" w:rsidR="005005C3" w:rsidRPr="00DF4CE5" w:rsidRDefault="005005C3" w:rsidP="005005C3">
            <w:pPr>
              <w:spacing w:after="0" w:line="240" w:lineRule="auto"/>
              <w:jc w:val="both"/>
              <w:rPr>
                <w:rFonts w:ascii="Cambria" w:eastAsia="Calibri" w:hAnsi="Cambria" w:cs="Times New Roman"/>
                <w:lang w:val="hr-HR"/>
              </w:rPr>
            </w:pPr>
          </w:p>
        </w:tc>
        <w:tc>
          <w:tcPr>
            <w:tcW w:w="258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22B0A4D" w14:textId="73834AD5" w:rsidR="005005C3" w:rsidRPr="00DF4CE5" w:rsidRDefault="005005C3" w:rsidP="005005C3">
            <w:pPr>
              <w:spacing w:after="0" w:line="240" w:lineRule="auto"/>
              <w:jc w:val="both"/>
              <w:rPr>
                <w:rFonts w:ascii="Cambria" w:eastAsia="Calibri" w:hAnsi="Cambria" w:cs="Times New Roman"/>
                <w:lang w:val="hr-HR"/>
              </w:rPr>
            </w:pPr>
            <w:proofErr w:type="spellStart"/>
            <w:r w:rsidRPr="00DF4CE5">
              <w:rPr>
                <w:rFonts w:ascii="Cambria" w:eastAsia="Times New Roman" w:hAnsi="Cambria" w:cs="Calibri"/>
              </w:rPr>
              <w:t>aktivnost</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na</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nastavi</w:t>
            </w:r>
            <w:proofErr w:type="spellEnd"/>
          </w:p>
        </w:tc>
        <w:tc>
          <w:tcPr>
            <w:tcW w:w="10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8371E03" w14:textId="17AB286D" w:rsidR="005005C3" w:rsidRPr="00DF4CE5" w:rsidRDefault="005005C3" w:rsidP="00AB127E">
            <w:pPr>
              <w:spacing w:after="0" w:line="240" w:lineRule="auto"/>
              <w:jc w:val="center"/>
              <w:rPr>
                <w:rFonts w:ascii="Cambria" w:eastAsia="Calibri" w:hAnsi="Cambria" w:cs="Times New Roman"/>
                <w:lang w:val="hr-HR"/>
              </w:rPr>
            </w:pPr>
            <w:r w:rsidRPr="00DF4CE5">
              <w:rPr>
                <w:rFonts w:ascii="Cambria" w:eastAsia="Calibri" w:hAnsi="Cambria" w:cs="Calibri"/>
                <w:lang w:val="hr-HR"/>
              </w:rPr>
              <w:t>1. ‒ 4.</w:t>
            </w:r>
          </w:p>
        </w:tc>
        <w:tc>
          <w:tcPr>
            <w:tcW w:w="71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587449C" w14:textId="417A02ED" w:rsidR="005005C3" w:rsidRPr="00DF4CE5" w:rsidRDefault="005005C3" w:rsidP="00AB127E">
            <w:pPr>
              <w:spacing w:after="0" w:line="240" w:lineRule="auto"/>
              <w:jc w:val="center"/>
              <w:rPr>
                <w:rFonts w:ascii="Cambria" w:eastAsia="Calibri" w:hAnsi="Cambria" w:cs="Times New Roman"/>
                <w:lang w:val="hr-HR"/>
              </w:rPr>
            </w:pPr>
            <w:r w:rsidRPr="00DF4CE5">
              <w:rPr>
                <w:rFonts w:ascii="Cambria" w:eastAsia="Calibri" w:hAnsi="Cambria" w:cs="Times New Roman"/>
                <w:lang w:val="hr-HR"/>
              </w:rPr>
              <w:t>2</w:t>
            </w:r>
            <w:r w:rsidR="00AB127E">
              <w:rPr>
                <w:rFonts w:ascii="Cambria" w:eastAsia="Calibri" w:hAnsi="Cambria" w:cs="Times New Roman"/>
                <w:lang w:val="hr-HR"/>
              </w:rPr>
              <w:t>3</w:t>
            </w:r>
          </w:p>
        </w:tc>
        <w:tc>
          <w:tcPr>
            <w:tcW w:w="101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16007AF" w14:textId="5528B9A5" w:rsidR="005005C3" w:rsidRPr="00DF4CE5" w:rsidRDefault="005005C3" w:rsidP="00AB127E">
            <w:pPr>
              <w:spacing w:after="0" w:line="240" w:lineRule="auto"/>
              <w:jc w:val="center"/>
              <w:rPr>
                <w:rFonts w:ascii="Cambria" w:eastAsia="Calibri" w:hAnsi="Cambria" w:cs="Times New Roman"/>
                <w:lang w:val="hr-HR"/>
              </w:rPr>
            </w:pPr>
            <w:r w:rsidRPr="00DF4CE5">
              <w:rPr>
                <w:rFonts w:ascii="Cambria" w:eastAsia="Calibri" w:hAnsi="Cambria" w:cs="Times New Roman"/>
                <w:lang w:val="hr-HR"/>
              </w:rPr>
              <w:t>0,8</w:t>
            </w:r>
          </w:p>
        </w:tc>
        <w:tc>
          <w:tcPr>
            <w:tcW w:w="131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C13BDE2" w14:textId="2D1D57AF" w:rsidR="005005C3" w:rsidRPr="00DF4CE5" w:rsidRDefault="005005C3" w:rsidP="00AB127E">
            <w:pPr>
              <w:spacing w:after="0" w:line="240" w:lineRule="auto"/>
              <w:jc w:val="center"/>
              <w:rPr>
                <w:rFonts w:ascii="Cambria" w:eastAsia="Calibri" w:hAnsi="Cambria" w:cs="Times New Roman"/>
                <w:lang w:val="hr-HR"/>
              </w:rPr>
            </w:pPr>
            <w:r w:rsidRPr="00DF4CE5">
              <w:rPr>
                <w:rFonts w:ascii="Cambria" w:eastAsia="Calibri" w:hAnsi="Cambria" w:cs="Times New Roman"/>
                <w:lang w:val="hr-HR"/>
              </w:rPr>
              <w:t>20%</w:t>
            </w:r>
          </w:p>
        </w:tc>
      </w:tr>
      <w:tr w:rsidR="005005C3" w:rsidRPr="00DF4CE5" w14:paraId="254DD82E" w14:textId="77777777" w:rsidTr="00C106A0">
        <w:tc>
          <w:tcPr>
            <w:tcW w:w="2623" w:type="dxa"/>
            <w:vMerge/>
            <w:tcBorders>
              <w:left w:val="single" w:sz="8" w:space="0" w:color="000000"/>
              <w:right w:val="single" w:sz="8" w:space="0" w:color="000000"/>
            </w:tcBorders>
            <w:vAlign w:val="center"/>
            <w:hideMark/>
          </w:tcPr>
          <w:p w14:paraId="2BCBEA2E" w14:textId="77777777" w:rsidR="005005C3" w:rsidRPr="00DF4CE5" w:rsidRDefault="005005C3" w:rsidP="005005C3">
            <w:pPr>
              <w:spacing w:after="0" w:line="240" w:lineRule="auto"/>
              <w:jc w:val="both"/>
              <w:rPr>
                <w:rFonts w:ascii="Cambria" w:eastAsia="Calibri" w:hAnsi="Cambria" w:cs="Times New Roman"/>
                <w:lang w:val="hr-HR"/>
              </w:rPr>
            </w:pPr>
          </w:p>
        </w:tc>
        <w:tc>
          <w:tcPr>
            <w:tcW w:w="258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8E3B8D5" w14:textId="77777777" w:rsidR="005005C3" w:rsidRPr="00DF4CE5" w:rsidRDefault="005005C3" w:rsidP="005005C3">
            <w:pPr>
              <w:spacing w:after="0" w:line="240" w:lineRule="auto"/>
              <w:jc w:val="both"/>
              <w:rPr>
                <w:rFonts w:ascii="Cambria" w:eastAsia="Calibri" w:hAnsi="Cambria" w:cs="Times New Roman"/>
                <w:lang w:val="hr-HR"/>
              </w:rPr>
            </w:pPr>
            <w:r w:rsidRPr="00DF4CE5">
              <w:rPr>
                <w:rFonts w:ascii="Cambria" w:eastAsia="Calibri" w:hAnsi="Cambria" w:cs="Times New Roman"/>
                <w:lang w:val="hr-HR"/>
              </w:rPr>
              <w:t>istraživački zadatak</w:t>
            </w:r>
          </w:p>
        </w:tc>
        <w:tc>
          <w:tcPr>
            <w:tcW w:w="10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336A037" w14:textId="1C3A9AAB" w:rsidR="005005C3" w:rsidRPr="00DF4CE5" w:rsidRDefault="005005C3" w:rsidP="00AB127E">
            <w:pPr>
              <w:spacing w:after="0" w:line="240" w:lineRule="auto"/>
              <w:jc w:val="center"/>
              <w:rPr>
                <w:rFonts w:ascii="Cambria" w:eastAsia="Calibri" w:hAnsi="Cambria" w:cs="Times New Roman"/>
                <w:lang w:val="hr-HR"/>
              </w:rPr>
            </w:pPr>
            <w:r w:rsidRPr="00DF4CE5">
              <w:rPr>
                <w:rFonts w:ascii="Cambria" w:eastAsia="Calibri" w:hAnsi="Cambria" w:cs="Calibri"/>
                <w:lang w:val="hr-HR"/>
              </w:rPr>
              <w:t>1. ‒ 6.</w:t>
            </w:r>
          </w:p>
        </w:tc>
        <w:tc>
          <w:tcPr>
            <w:tcW w:w="71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1AD39D8" w14:textId="2329AB9F" w:rsidR="005005C3" w:rsidRPr="00DF4CE5" w:rsidRDefault="005005C3" w:rsidP="00AB127E">
            <w:pPr>
              <w:spacing w:after="0" w:line="240" w:lineRule="auto"/>
              <w:jc w:val="center"/>
              <w:rPr>
                <w:rFonts w:ascii="Cambria" w:eastAsia="Calibri" w:hAnsi="Cambria" w:cs="Times New Roman"/>
                <w:lang w:val="hr-HR"/>
              </w:rPr>
            </w:pPr>
            <w:r w:rsidRPr="00DF4CE5">
              <w:rPr>
                <w:rFonts w:ascii="Cambria" w:eastAsia="Calibri" w:hAnsi="Cambria" w:cs="Times New Roman"/>
                <w:lang w:val="hr-HR"/>
              </w:rPr>
              <w:t>2</w:t>
            </w:r>
            <w:r w:rsidR="00AB127E">
              <w:rPr>
                <w:rFonts w:ascii="Cambria" w:eastAsia="Calibri" w:hAnsi="Cambria" w:cs="Times New Roman"/>
                <w:lang w:val="hr-HR"/>
              </w:rPr>
              <w:t>4</w:t>
            </w:r>
          </w:p>
        </w:tc>
        <w:tc>
          <w:tcPr>
            <w:tcW w:w="101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D90E178" w14:textId="4D079DE8" w:rsidR="005005C3" w:rsidRPr="00DF4CE5" w:rsidRDefault="005005C3" w:rsidP="00AB127E">
            <w:pPr>
              <w:spacing w:after="0" w:line="240" w:lineRule="auto"/>
              <w:jc w:val="center"/>
              <w:rPr>
                <w:rFonts w:ascii="Cambria" w:eastAsia="Calibri" w:hAnsi="Cambria" w:cs="Times New Roman"/>
                <w:lang w:val="hr-HR"/>
              </w:rPr>
            </w:pPr>
            <w:r w:rsidRPr="00DF4CE5">
              <w:rPr>
                <w:rFonts w:ascii="Cambria" w:eastAsia="Calibri" w:hAnsi="Cambria" w:cs="Times New Roman"/>
                <w:lang w:val="hr-HR"/>
              </w:rPr>
              <w:t>0,8</w:t>
            </w:r>
          </w:p>
        </w:tc>
        <w:tc>
          <w:tcPr>
            <w:tcW w:w="131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A2695CE" w14:textId="41CCBC8B" w:rsidR="005005C3" w:rsidRPr="00DF4CE5" w:rsidRDefault="005005C3" w:rsidP="00AB127E">
            <w:pPr>
              <w:spacing w:after="0" w:line="240" w:lineRule="auto"/>
              <w:jc w:val="center"/>
              <w:rPr>
                <w:rFonts w:ascii="Cambria" w:eastAsia="Calibri" w:hAnsi="Cambria" w:cs="Times New Roman"/>
                <w:lang w:val="hr-HR"/>
              </w:rPr>
            </w:pPr>
            <w:r w:rsidRPr="00DF4CE5">
              <w:rPr>
                <w:rFonts w:ascii="Cambria" w:eastAsia="Calibri" w:hAnsi="Cambria" w:cs="Times New Roman"/>
                <w:lang w:val="hr-HR"/>
              </w:rPr>
              <w:t>50%</w:t>
            </w:r>
          </w:p>
        </w:tc>
      </w:tr>
      <w:tr w:rsidR="005005C3" w:rsidRPr="00DF4CE5" w14:paraId="1DC5E923" w14:textId="77777777" w:rsidTr="00C106A0">
        <w:tc>
          <w:tcPr>
            <w:tcW w:w="2623" w:type="dxa"/>
            <w:vMerge/>
            <w:tcBorders>
              <w:left w:val="single" w:sz="8" w:space="0" w:color="000000"/>
              <w:right w:val="single" w:sz="8" w:space="0" w:color="000000"/>
            </w:tcBorders>
            <w:vAlign w:val="center"/>
            <w:hideMark/>
          </w:tcPr>
          <w:p w14:paraId="366B161B" w14:textId="77777777" w:rsidR="005005C3" w:rsidRPr="00DF4CE5" w:rsidRDefault="005005C3" w:rsidP="005005C3">
            <w:pPr>
              <w:spacing w:after="0" w:line="240" w:lineRule="auto"/>
              <w:jc w:val="both"/>
              <w:rPr>
                <w:rFonts w:ascii="Cambria" w:eastAsia="Calibri" w:hAnsi="Cambria" w:cs="Times New Roman"/>
                <w:lang w:val="hr-HR"/>
              </w:rPr>
            </w:pPr>
          </w:p>
        </w:tc>
        <w:tc>
          <w:tcPr>
            <w:tcW w:w="258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53BE8E5" w14:textId="77777777" w:rsidR="005005C3" w:rsidRPr="00DF4CE5" w:rsidRDefault="005005C3" w:rsidP="005005C3">
            <w:pPr>
              <w:spacing w:after="0" w:line="240" w:lineRule="auto"/>
              <w:jc w:val="both"/>
              <w:rPr>
                <w:rFonts w:ascii="Cambria" w:eastAsia="Calibri" w:hAnsi="Cambria" w:cs="Times New Roman"/>
                <w:lang w:val="hr-HR"/>
              </w:rPr>
            </w:pPr>
            <w:r w:rsidRPr="00DF4CE5">
              <w:rPr>
                <w:rFonts w:ascii="Cambria" w:eastAsia="Calibri" w:hAnsi="Cambria" w:cs="Times New Roman"/>
                <w:lang w:val="hr-HR"/>
              </w:rPr>
              <w:t>ispit (usmeni)</w:t>
            </w:r>
          </w:p>
        </w:tc>
        <w:tc>
          <w:tcPr>
            <w:tcW w:w="10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6625FED" w14:textId="0F4C4706" w:rsidR="005005C3" w:rsidRPr="00DF4CE5" w:rsidRDefault="005005C3" w:rsidP="00AB127E">
            <w:pPr>
              <w:spacing w:after="0" w:line="240" w:lineRule="auto"/>
              <w:jc w:val="center"/>
              <w:rPr>
                <w:rFonts w:ascii="Cambria" w:eastAsia="Calibri" w:hAnsi="Cambria" w:cs="Times New Roman"/>
                <w:lang w:val="hr-HR"/>
              </w:rPr>
            </w:pPr>
            <w:r w:rsidRPr="00DF4CE5">
              <w:rPr>
                <w:rFonts w:ascii="Cambria" w:eastAsia="Calibri" w:hAnsi="Cambria" w:cs="Calibri"/>
                <w:lang w:val="hr-HR"/>
              </w:rPr>
              <w:t>1. ‒ 5.</w:t>
            </w:r>
          </w:p>
        </w:tc>
        <w:tc>
          <w:tcPr>
            <w:tcW w:w="71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706CC8F" w14:textId="666A03A0" w:rsidR="005005C3" w:rsidRPr="00DF4CE5" w:rsidRDefault="005005C3" w:rsidP="00AB127E">
            <w:pPr>
              <w:spacing w:after="0" w:line="240" w:lineRule="auto"/>
              <w:jc w:val="center"/>
              <w:rPr>
                <w:rFonts w:ascii="Cambria" w:eastAsia="Calibri" w:hAnsi="Cambria" w:cs="Times New Roman"/>
                <w:lang w:val="hr-HR"/>
              </w:rPr>
            </w:pPr>
            <w:r w:rsidRPr="00DF4CE5">
              <w:rPr>
                <w:rFonts w:ascii="Cambria" w:eastAsia="Calibri" w:hAnsi="Cambria" w:cs="Times New Roman"/>
                <w:lang w:val="hr-HR"/>
              </w:rPr>
              <w:t>13</w:t>
            </w:r>
          </w:p>
        </w:tc>
        <w:tc>
          <w:tcPr>
            <w:tcW w:w="101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AE24C09" w14:textId="47B858D3" w:rsidR="005005C3" w:rsidRPr="00DF4CE5" w:rsidRDefault="005005C3" w:rsidP="00AB127E">
            <w:pPr>
              <w:spacing w:after="0" w:line="240" w:lineRule="auto"/>
              <w:jc w:val="center"/>
              <w:rPr>
                <w:rFonts w:ascii="Cambria" w:eastAsia="Calibri" w:hAnsi="Cambria" w:cs="Times New Roman"/>
                <w:lang w:val="hr-HR"/>
              </w:rPr>
            </w:pPr>
            <w:r w:rsidRPr="00DF4CE5">
              <w:rPr>
                <w:rFonts w:ascii="Cambria" w:eastAsia="Calibri" w:hAnsi="Cambria" w:cs="Times New Roman"/>
                <w:lang w:val="hr-HR"/>
              </w:rPr>
              <w:t>0,4</w:t>
            </w:r>
          </w:p>
        </w:tc>
        <w:tc>
          <w:tcPr>
            <w:tcW w:w="131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68BD70D" w14:textId="0C19F6E2" w:rsidR="005005C3" w:rsidRPr="00DF4CE5" w:rsidRDefault="005005C3" w:rsidP="00AB127E">
            <w:pPr>
              <w:spacing w:after="0" w:line="240" w:lineRule="auto"/>
              <w:jc w:val="center"/>
              <w:rPr>
                <w:rFonts w:ascii="Cambria" w:eastAsia="Calibri" w:hAnsi="Cambria" w:cs="Times New Roman"/>
                <w:lang w:val="hr-HR"/>
              </w:rPr>
            </w:pPr>
            <w:r w:rsidRPr="00DF4CE5">
              <w:rPr>
                <w:rFonts w:ascii="Cambria" w:eastAsia="Calibri" w:hAnsi="Cambria" w:cs="Times New Roman"/>
                <w:lang w:val="hr-HR"/>
              </w:rPr>
              <w:t>30%</w:t>
            </w:r>
          </w:p>
        </w:tc>
      </w:tr>
      <w:tr w:rsidR="005005C3" w:rsidRPr="00DF4CE5" w14:paraId="7515D270" w14:textId="77777777" w:rsidTr="00C106A0">
        <w:tc>
          <w:tcPr>
            <w:tcW w:w="2623" w:type="dxa"/>
            <w:vMerge/>
            <w:tcBorders>
              <w:left w:val="single" w:sz="8" w:space="0" w:color="000000"/>
              <w:right w:val="single" w:sz="8" w:space="0" w:color="000000"/>
            </w:tcBorders>
            <w:vAlign w:val="center"/>
            <w:hideMark/>
          </w:tcPr>
          <w:p w14:paraId="4C8DAE45" w14:textId="77777777" w:rsidR="005005C3" w:rsidRPr="00DF4CE5" w:rsidRDefault="005005C3" w:rsidP="005005C3">
            <w:pPr>
              <w:spacing w:after="0" w:line="240" w:lineRule="auto"/>
              <w:jc w:val="both"/>
              <w:rPr>
                <w:rFonts w:ascii="Cambria" w:eastAsia="Calibri" w:hAnsi="Cambria" w:cs="Times New Roman"/>
                <w:lang w:val="hr-HR"/>
              </w:rPr>
            </w:pPr>
          </w:p>
        </w:tc>
        <w:tc>
          <w:tcPr>
            <w:tcW w:w="3673"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2635CA3" w14:textId="77777777" w:rsidR="005005C3" w:rsidRPr="00DF4CE5" w:rsidRDefault="005005C3" w:rsidP="005005C3">
            <w:pPr>
              <w:spacing w:after="0" w:line="240" w:lineRule="auto"/>
              <w:jc w:val="both"/>
              <w:rPr>
                <w:rFonts w:ascii="Cambria" w:eastAsia="Calibri" w:hAnsi="Cambria" w:cs="Times New Roman"/>
                <w:lang w:val="hr-HR"/>
              </w:rPr>
            </w:pPr>
            <w:r w:rsidRPr="00DF4CE5">
              <w:rPr>
                <w:rFonts w:ascii="Cambria" w:eastAsia="Calibri" w:hAnsi="Cambria" w:cs="Times New Roman"/>
                <w:lang w:val="hr-HR"/>
              </w:rPr>
              <w:t>ukupno</w:t>
            </w:r>
          </w:p>
        </w:tc>
        <w:tc>
          <w:tcPr>
            <w:tcW w:w="71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8E5D5AB" w14:textId="5B20E2D7" w:rsidR="005005C3" w:rsidRPr="00DF4CE5" w:rsidRDefault="005005C3" w:rsidP="00AB127E">
            <w:pPr>
              <w:spacing w:after="0" w:line="240" w:lineRule="auto"/>
              <w:jc w:val="center"/>
              <w:rPr>
                <w:rFonts w:ascii="Cambria" w:eastAsia="Calibri" w:hAnsi="Cambria" w:cs="Times New Roman"/>
                <w:lang w:val="hr-HR"/>
              </w:rPr>
            </w:pPr>
            <w:r w:rsidRPr="00DF4CE5">
              <w:rPr>
                <w:rFonts w:ascii="Cambria" w:eastAsia="Calibri" w:hAnsi="Cambria" w:cs="Times New Roman"/>
                <w:lang w:val="hr-HR"/>
              </w:rPr>
              <w:t>60</w:t>
            </w:r>
          </w:p>
        </w:tc>
        <w:tc>
          <w:tcPr>
            <w:tcW w:w="101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442F615" w14:textId="77777777" w:rsidR="005005C3" w:rsidRPr="00DF4CE5" w:rsidRDefault="005005C3" w:rsidP="00AB127E">
            <w:pPr>
              <w:spacing w:after="0" w:line="240" w:lineRule="auto"/>
              <w:jc w:val="center"/>
              <w:rPr>
                <w:rFonts w:ascii="Cambria" w:eastAsia="Calibri" w:hAnsi="Cambria" w:cs="Times New Roman"/>
                <w:lang w:val="hr-HR"/>
              </w:rPr>
            </w:pPr>
            <w:r w:rsidRPr="00DF4CE5">
              <w:rPr>
                <w:rFonts w:ascii="Cambria" w:eastAsia="Calibri" w:hAnsi="Cambria" w:cs="Times New Roman"/>
                <w:lang w:val="hr-HR"/>
              </w:rPr>
              <w:t>2</w:t>
            </w:r>
          </w:p>
        </w:tc>
        <w:tc>
          <w:tcPr>
            <w:tcW w:w="131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7E7723A" w14:textId="77777777" w:rsidR="005005C3" w:rsidRPr="00DF4CE5" w:rsidRDefault="005005C3" w:rsidP="00AB127E">
            <w:pPr>
              <w:spacing w:after="0" w:line="240" w:lineRule="auto"/>
              <w:jc w:val="center"/>
              <w:rPr>
                <w:rFonts w:ascii="Cambria" w:eastAsia="Calibri" w:hAnsi="Cambria" w:cs="Times New Roman"/>
                <w:lang w:val="hr-HR"/>
              </w:rPr>
            </w:pPr>
            <w:r w:rsidRPr="00DF4CE5">
              <w:rPr>
                <w:rFonts w:ascii="Cambria" w:eastAsia="Calibri" w:hAnsi="Cambria" w:cs="Times New Roman"/>
                <w:lang w:val="hr-HR"/>
              </w:rPr>
              <w:t>100%</w:t>
            </w:r>
          </w:p>
        </w:tc>
      </w:tr>
      <w:tr w:rsidR="005005C3" w:rsidRPr="00D0399C" w14:paraId="0E769B7F" w14:textId="77777777" w:rsidTr="00C106A0">
        <w:tc>
          <w:tcPr>
            <w:tcW w:w="2623" w:type="dxa"/>
            <w:vMerge/>
            <w:tcBorders>
              <w:left w:val="single" w:sz="8" w:space="0" w:color="000000"/>
              <w:bottom w:val="single" w:sz="8" w:space="0" w:color="000000"/>
              <w:right w:val="single" w:sz="8" w:space="0" w:color="000000"/>
            </w:tcBorders>
            <w:vAlign w:val="center"/>
          </w:tcPr>
          <w:p w14:paraId="61371BCE" w14:textId="77777777" w:rsidR="005005C3" w:rsidRPr="00DF4CE5" w:rsidRDefault="005005C3" w:rsidP="005005C3">
            <w:pPr>
              <w:spacing w:after="0" w:line="240" w:lineRule="auto"/>
              <w:jc w:val="both"/>
              <w:rPr>
                <w:rFonts w:ascii="Cambria" w:eastAsia="Calibri" w:hAnsi="Cambria" w:cs="Times New Roman"/>
                <w:lang w:val="hr-HR"/>
              </w:rPr>
            </w:pPr>
          </w:p>
        </w:tc>
        <w:tc>
          <w:tcPr>
            <w:tcW w:w="6717"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1E1AE9F" w14:textId="10A9B6E0" w:rsidR="005005C3" w:rsidRPr="00DF4CE5" w:rsidRDefault="005005C3" w:rsidP="005005C3">
            <w:pPr>
              <w:spacing w:after="0" w:line="240" w:lineRule="auto"/>
              <w:jc w:val="both"/>
              <w:rPr>
                <w:rFonts w:ascii="Cambria" w:eastAsia="Calibri" w:hAnsi="Cambria" w:cs="Times New Roman"/>
                <w:lang w:val="hr-HR"/>
              </w:rPr>
            </w:pPr>
            <w:r w:rsidRPr="00DF4CE5">
              <w:rPr>
                <w:rFonts w:ascii="Cambria" w:eastAsia="Calibri" w:hAnsi="Cambria" w:cs="Times New Roman"/>
                <w:lang w:val="hr-HR"/>
              </w:rPr>
              <w:t>Dodatna pojašnjenja (kriteriji ocjenjivanja):</w:t>
            </w:r>
          </w:p>
          <w:p w14:paraId="69F4D5F6" w14:textId="77777777" w:rsidR="005005C3" w:rsidRPr="00DF4CE5" w:rsidRDefault="005005C3" w:rsidP="005005C3">
            <w:pPr>
              <w:spacing w:after="0" w:line="240" w:lineRule="auto"/>
              <w:jc w:val="both"/>
              <w:rPr>
                <w:rFonts w:ascii="Cambria" w:eastAsia="Calibri" w:hAnsi="Cambria" w:cs="Times New Roman"/>
                <w:lang w:val="hr-HR"/>
              </w:rPr>
            </w:pPr>
            <w:r w:rsidRPr="00DF4CE5">
              <w:rPr>
                <w:rFonts w:ascii="Cambria" w:eastAsia="Calibri" w:hAnsi="Cambria" w:cs="Times New Roman"/>
                <w:lang w:val="hr-HR"/>
              </w:rPr>
              <w:lastRenderedPageBreak/>
              <w:t>Prisutnost na nastavi</w:t>
            </w:r>
          </w:p>
          <w:p w14:paraId="70C13427" w14:textId="77777777" w:rsidR="005005C3" w:rsidRPr="00DF4CE5" w:rsidRDefault="005005C3" w:rsidP="005005C3">
            <w:pPr>
              <w:autoSpaceDE w:val="0"/>
              <w:autoSpaceDN w:val="0"/>
              <w:adjustRightInd w:val="0"/>
              <w:spacing w:after="0"/>
              <w:jc w:val="both"/>
              <w:rPr>
                <w:rFonts w:ascii="Cambria" w:eastAsia="Calibri" w:hAnsi="Cambria" w:cs="Times New Roman"/>
                <w:lang w:val="hr-HR"/>
              </w:rPr>
            </w:pPr>
            <w:r w:rsidRPr="00DF4CE5">
              <w:rPr>
                <w:rFonts w:ascii="Cambria" w:eastAsia="Calibri" w:hAnsi="Cambria" w:cs="Arial"/>
                <w:lang w:val="hr-HR"/>
              </w:rPr>
              <w:t xml:space="preserve">Obavezna je prisutnost na nastavi, a tolerira se 30% izostanaka. </w:t>
            </w:r>
          </w:p>
          <w:p w14:paraId="3EFAAAB0" w14:textId="77777777" w:rsidR="005005C3" w:rsidRPr="00DF4CE5" w:rsidRDefault="005005C3" w:rsidP="005005C3">
            <w:pPr>
              <w:autoSpaceDE w:val="0"/>
              <w:autoSpaceDN w:val="0"/>
              <w:adjustRightInd w:val="0"/>
              <w:spacing w:after="0"/>
              <w:jc w:val="both"/>
              <w:rPr>
                <w:rFonts w:ascii="Cambria" w:eastAsia="Calibri" w:hAnsi="Cambria" w:cs="Arial"/>
                <w:lang w:val="hr-HR"/>
              </w:rPr>
            </w:pPr>
            <w:r w:rsidRPr="00DF4CE5">
              <w:rPr>
                <w:rFonts w:ascii="Cambria" w:eastAsia="Calibri" w:hAnsi="Cambria" w:cs="Times New Roman"/>
                <w:lang w:val="hr-HR"/>
              </w:rPr>
              <w:t>Samostalno istraživanje</w:t>
            </w:r>
          </w:p>
          <w:p w14:paraId="3172F8C8" w14:textId="77777777" w:rsidR="005005C3" w:rsidRPr="00DF4CE5" w:rsidRDefault="005005C3" w:rsidP="005005C3">
            <w:pPr>
              <w:spacing w:after="0" w:line="240" w:lineRule="auto"/>
              <w:jc w:val="both"/>
              <w:rPr>
                <w:rFonts w:ascii="Cambria" w:eastAsia="Calibri" w:hAnsi="Cambria" w:cs="Times New Roman"/>
                <w:lang w:val="hr-HR"/>
              </w:rPr>
            </w:pPr>
            <w:r w:rsidRPr="00DF4CE5">
              <w:rPr>
                <w:rFonts w:ascii="Cambria" w:eastAsia="Calibri" w:hAnsi="Cambria" w:cs="Times New Roman"/>
                <w:lang w:val="hr-HR"/>
              </w:rPr>
              <w:t xml:space="preserve">Da položi kolegij, student/studentica mora izraditi dijelove zadanog istraživanja tijekom nastave, odnosno cjelokupno istraživanje zaključno sa završetkom semestra. </w:t>
            </w:r>
          </w:p>
          <w:p w14:paraId="22BED824" w14:textId="77777777" w:rsidR="005005C3" w:rsidRPr="00DF4CE5" w:rsidRDefault="005005C3" w:rsidP="005005C3">
            <w:pPr>
              <w:spacing w:line="240" w:lineRule="auto"/>
              <w:jc w:val="both"/>
              <w:rPr>
                <w:rFonts w:ascii="Cambria" w:eastAsia="Calibri" w:hAnsi="Cambria" w:cs="Times New Roman"/>
                <w:lang w:val="hr-HR"/>
              </w:rPr>
            </w:pPr>
            <w:r w:rsidRPr="00DF4CE5">
              <w:rPr>
                <w:rFonts w:ascii="Cambria" w:eastAsia="Calibri" w:hAnsi="Cambria" w:cs="Times New Roman"/>
                <w:lang w:val="hr-HR"/>
              </w:rPr>
              <w:t>Usmeni završni ispit</w:t>
            </w:r>
            <w:r w:rsidRPr="00DF4CE5">
              <w:rPr>
                <w:rFonts w:ascii="Cambria" w:eastAsia="Calibri" w:hAnsi="Cambria" w:cs="Times New Roman"/>
                <w:b/>
                <w:lang w:val="hr-HR"/>
              </w:rPr>
              <w:t xml:space="preserve"> </w:t>
            </w:r>
            <w:r w:rsidRPr="00DF4CE5">
              <w:rPr>
                <w:rFonts w:ascii="Cambria" w:eastAsia="Calibri" w:hAnsi="Cambria" w:cs="Times New Roman"/>
                <w:lang w:val="hr-HR"/>
              </w:rPr>
              <w:t>ocjenjuje se s  0%,  10%,  20% i 30% ocjene.</w:t>
            </w:r>
          </w:p>
        </w:tc>
      </w:tr>
      <w:tr w:rsidR="005005C3" w:rsidRPr="00D0399C" w14:paraId="61C82C9B" w14:textId="77777777" w:rsidTr="00AB127E">
        <w:trPr>
          <w:trHeight w:val="1116"/>
        </w:trPr>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7381660" w14:textId="77777777" w:rsidR="005005C3" w:rsidRPr="00DF4CE5" w:rsidRDefault="005005C3" w:rsidP="005005C3">
            <w:pPr>
              <w:spacing w:after="0" w:line="240" w:lineRule="auto"/>
              <w:jc w:val="both"/>
              <w:rPr>
                <w:rFonts w:ascii="Cambria" w:eastAsia="Calibri" w:hAnsi="Cambria" w:cs="Times New Roman"/>
                <w:lang w:val="hr-HR"/>
              </w:rPr>
            </w:pPr>
            <w:r w:rsidRPr="00DF4CE5">
              <w:rPr>
                <w:rFonts w:ascii="Cambria" w:eastAsia="Calibri" w:hAnsi="Cambria" w:cs="Times New Roman"/>
                <w:lang w:val="hr-HR"/>
              </w:rPr>
              <w:lastRenderedPageBreak/>
              <w:t>Studentske obveze</w:t>
            </w:r>
          </w:p>
        </w:tc>
        <w:tc>
          <w:tcPr>
            <w:tcW w:w="671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DBF4667" w14:textId="77777777" w:rsidR="005005C3" w:rsidRPr="00DF4CE5" w:rsidRDefault="005005C3" w:rsidP="005005C3">
            <w:pPr>
              <w:spacing w:after="0" w:line="240" w:lineRule="auto"/>
              <w:jc w:val="both"/>
              <w:rPr>
                <w:rFonts w:ascii="Cambria" w:eastAsia="Calibri" w:hAnsi="Cambria" w:cs="Times New Roman"/>
                <w:lang w:val="hr-HR"/>
              </w:rPr>
            </w:pPr>
            <w:r w:rsidRPr="00DF4CE5">
              <w:rPr>
                <w:rFonts w:ascii="Cambria" w:eastAsia="Calibri" w:hAnsi="Cambria" w:cs="Times New Roman"/>
                <w:lang w:val="hr-HR"/>
              </w:rPr>
              <w:t>Da položi kolegij, student/studentica mora:</w:t>
            </w:r>
          </w:p>
          <w:p w14:paraId="6DFCBC0D" w14:textId="1495DC7B" w:rsidR="005005C3" w:rsidRPr="00DF4CE5" w:rsidRDefault="005005C3" w:rsidP="005005C3">
            <w:pPr>
              <w:spacing w:after="0" w:line="240" w:lineRule="auto"/>
              <w:jc w:val="both"/>
              <w:rPr>
                <w:rFonts w:ascii="Cambria" w:eastAsia="Calibri" w:hAnsi="Cambria" w:cs="Times New Roman"/>
                <w:lang w:val="hr-HR"/>
              </w:rPr>
            </w:pPr>
            <w:r w:rsidRPr="00DF4CE5">
              <w:rPr>
                <w:rFonts w:ascii="Cambria" w:eastAsia="Calibri" w:hAnsi="Cambria" w:cs="Times New Roman"/>
                <w:lang w:val="hr-HR"/>
              </w:rPr>
              <w:t xml:space="preserve">1. </w:t>
            </w:r>
            <w:r w:rsidR="00AB127E">
              <w:rPr>
                <w:rFonts w:ascii="Cambria" w:eastAsia="Calibri" w:hAnsi="Cambria" w:cs="Times New Roman"/>
                <w:lang w:val="hr-HR"/>
              </w:rPr>
              <w:t>p</w:t>
            </w:r>
            <w:r w:rsidRPr="00DF4CE5">
              <w:rPr>
                <w:rFonts w:ascii="Cambria" w:eastAsia="Calibri" w:hAnsi="Cambria" w:cs="Times New Roman"/>
                <w:lang w:val="hr-HR"/>
              </w:rPr>
              <w:t>ohađati nastavu</w:t>
            </w:r>
          </w:p>
          <w:p w14:paraId="13C72860" w14:textId="5D813BBB" w:rsidR="005005C3" w:rsidRPr="00DF4CE5" w:rsidRDefault="005005C3" w:rsidP="005005C3">
            <w:pPr>
              <w:spacing w:after="0" w:line="240" w:lineRule="auto"/>
              <w:jc w:val="both"/>
              <w:rPr>
                <w:rFonts w:ascii="Cambria" w:eastAsia="Calibri" w:hAnsi="Cambria" w:cs="Times New Roman"/>
                <w:lang w:val="hr-HR"/>
              </w:rPr>
            </w:pPr>
            <w:r w:rsidRPr="00DF4CE5">
              <w:rPr>
                <w:rFonts w:ascii="Cambria" w:eastAsia="Calibri" w:hAnsi="Cambria" w:cs="Times New Roman"/>
                <w:lang w:val="hr-HR"/>
              </w:rPr>
              <w:t xml:space="preserve">3. </w:t>
            </w:r>
            <w:r w:rsidR="00AB127E">
              <w:rPr>
                <w:rFonts w:ascii="Cambria" w:eastAsia="Calibri" w:hAnsi="Cambria" w:cs="Times New Roman"/>
                <w:lang w:val="hr-HR"/>
              </w:rPr>
              <w:t>i</w:t>
            </w:r>
            <w:r w:rsidRPr="00DF4CE5">
              <w:rPr>
                <w:rFonts w:ascii="Cambria" w:eastAsia="Calibri" w:hAnsi="Cambria" w:cs="Times New Roman"/>
                <w:lang w:val="hr-HR"/>
              </w:rPr>
              <w:t>zraditi istraživački zadatak</w:t>
            </w:r>
          </w:p>
          <w:p w14:paraId="5A64A2D8" w14:textId="64E1340B" w:rsidR="005005C3" w:rsidRPr="00DF4CE5" w:rsidRDefault="005005C3" w:rsidP="005005C3">
            <w:pPr>
              <w:spacing w:line="240" w:lineRule="auto"/>
              <w:jc w:val="both"/>
              <w:rPr>
                <w:rFonts w:ascii="Cambria" w:eastAsia="Calibri" w:hAnsi="Cambria" w:cs="Times New Roman"/>
                <w:lang w:val="hr-HR"/>
              </w:rPr>
            </w:pPr>
            <w:r w:rsidRPr="00DF4CE5">
              <w:rPr>
                <w:rFonts w:ascii="Cambria" w:eastAsia="Calibri" w:hAnsi="Cambria" w:cs="Times New Roman"/>
                <w:lang w:val="hr-HR"/>
              </w:rPr>
              <w:t xml:space="preserve">4. </w:t>
            </w:r>
            <w:r w:rsidR="00AB127E">
              <w:rPr>
                <w:rFonts w:ascii="Cambria" w:eastAsia="Calibri" w:hAnsi="Cambria" w:cs="Times New Roman"/>
                <w:lang w:val="hr-HR"/>
              </w:rPr>
              <w:t>p</w:t>
            </w:r>
            <w:r w:rsidRPr="00DF4CE5">
              <w:rPr>
                <w:rFonts w:ascii="Cambria" w:eastAsia="Calibri" w:hAnsi="Cambria" w:cs="Times New Roman"/>
                <w:lang w:val="hr-HR"/>
              </w:rPr>
              <w:t>oložiti usmeni ispit.</w:t>
            </w:r>
          </w:p>
        </w:tc>
      </w:tr>
      <w:tr w:rsidR="005005C3" w:rsidRPr="00D0399C" w14:paraId="5E224650" w14:textId="77777777" w:rsidTr="00C106A0">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76424FA" w14:textId="77777777" w:rsidR="005005C3" w:rsidRPr="00DF4CE5" w:rsidRDefault="005005C3" w:rsidP="005005C3">
            <w:pPr>
              <w:spacing w:after="0" w:line="240" w:lineRule="auto"/>
              <w:jc w:val="both"/>
              <w:rPr>
                <w:rFonts w:ascii="Cambria" w:eastAsia="Calibri" w:hAnsi="Cambria" w:cs="Times New Roman"/>
                <w:lang w:val="hr-HR"/>
              </w:rPr>
            </w:pPr>
            <w:proofErr w:type="spellStart"/>
            <w:r w:rsidRPr="00DF4CE5">
              <w:rPr>
                <w:rFonts w:ascii="Cambria" w:eastAsia="Calibri" w:hAnsi="Cambria" w:cs="Times New Roman"/>
              </w:rPr>
              <w:t>Rokovi</w:t>
            </w:r>
            <w:proofErr w:type="spellEnd"/>
            <w:r w:rsidRPr="00DF4CE5">
              <w:rPr>
                <w:rFonts w:ascii="Cambria" w:eastAsia="Calibri" w:hAnsi="Cambria" w:cs="Times New Roman"/>
              </w:rPr>
              <w:t xml:space="preserve"> </w:t>
            </w:r>
            <w:proofErr w:type="spellStart"/>
            <w:r w:rsidRPr="00DF4CE5">
              <w:rPr>
                <w:rFonts w:ascii="Cambria" w:eastAsia="Calibri" w:hAnsi="Cambria" w:cs="Times New Roman"/>
              </w:rPr>
              <w:t>ispita</w:t>
            </w:r>
            <w:proofErr w:type="spellEnd"/>
            <w:r w:rsidRPr="00DF4CE5">
              <w:rPr>
                <w:rFonts w:ascii="Cambria" w:eastAsia="Calibri" w:hAnsi="Cambria" w:cs="Times New Roman"/>
              </w:rPr>
              <w:t xml:space="preserve"> </w:t>
            </w:r>
            <w:proofErr w:type="spellStart"/>
            <w:r w:rsidRPr="00DF4CE5">
              <w:rPr>
                <w:rFonts w:ascii="Cambria" w:eastAsia="Calibri" w:hAnsi="Cambria" w:cs="Times New Roman"/>
              </w:rPr>
              <w:t>i</w:t>
            </w:r>
            <w:proofErr w:type="spellEnd"/>
            <w:r w:rsidRPr="00DF4CE5">
              <w:rPr>
                <w:rFonts w:ascii="Cambria" w:eastAsia="Calibri" w:hAnsi="Cambria" w:cs="Times New Roman"/>
              </w:rPr>
              <w:t xml:space="preserve"> </w:t>
            </w:r>
            <w:proofErr w:type="spellStart"/>
            <w:r w:rsidRPr="00DF4CE5">
              <w:rPr>
                <w:rFonts w:ascii="Cambria" w:eastAsia="Calibri" w:hAnsi="Cambria" w:cs="Times New Roman"/>
              </w:rPr>
              <w:t>kolokvija</w:t>
            </w:r>
            <w:proofErr w:type="spellEnd"/>
          </w:p>
        </w:tc>
        <w:tc>
          <w:tcPr>
            <w:tcW w:w="671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7EB6F86" w14:textId="77777777" w:rsidR="005005C3" w:rsidRPr="00DF4CE5" w:rsidRDefault="005005C3" w:rsidP="005005C3">
            <w:pPr>
              <w:spacing w:after="0" w:line="240" w:lineRule="auto"/>
              <w:jc w:val="both"/>
              <w:rPr>
                <w:rFonts w:ascii="Cambria" w:eastAsia="Calibri" w:hAnsi="Cambria" w:cs="Times New Roman"/>
                <w:lang w:val="hr-HR"/>
              </w:rPr>
            </w:pPr>
            <w:r w:rsidRPr="00DF4CE5">
              <w:rPr>
                <w:rFonts w:ascii="Cambria" w:eastAsia="Calibri" w:hAnsi="Cambria" w:cs="Calibri"/>
                <w:lang w:val="hr-HR"/>
              </w:rPr>
              <w:t xml:space="preserve">Objavljuju se u ISVU sustavu i u </w:t>
            </w:r>
            <w:proofErr w:type="spellStart"/>
            <w:r w:rsidRPr="00DF4CE5">
              <w:rPr>
                <w:rFonts w:ascii="Cambria" w:eastAsia="Calibri" w:hAnsi="Cambria" w:cs="Calibri"/>
                <w:lang w:val="hr-HR"/>
              </w:rPr>
              <w:t>Studomatu</w:t>
            </w:r>
            <w:proofErr w:type="spellEnd"/>
            <w:r w:rsidRPr="00DF4CE5">
              <w:rPr>
                <w:rFonts w:ascii="Cambria" w:eastAsia="Calibri" w:hAnsi="Cambria" w:cs="Calibri"/>
                <w:lang w:val="hr-HR"/>
              </w:rPr>
              <w:t>.</w:t>
            </w:r>
          </w:p>
        </w:tc>
      </w:tr>
      <w:tr w:rsidR="005005C3" w:rsidRPr="00B30379" w14:paraId="55FE26E5" w14:textId="77777777" w:rsidTr="00C106A0">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3F054B6" w14:textId="77777777" w:rsidR="005005C3" w:rsidRPr="00DF4CE5" w:rsidRDefault="005005C3" w:rsidP="005005C3">
            <w:pPr>
              <w:spacing w:after="0" w:line="240" w:lineRule="auto"/>
              <w:jc w:val="both"/>
              <w:rPr>
                <w:rFonts w:ascii="Cambria" w:eastAsia="Calibri" w:hAnsi="Cambria" w:cs="Times New Roman"/>
                <w:lang w:val="hr-HR"/>
              </w:rPr>
            </w:pPr>
            <w:r w:rsidRPr="00DF4CE5">
              <w:rPr>
                <w:rFonts w:ascii="Cambria" w:eastAsia="Calibri" w:hAnsi="Cambria" w:cs="Times New Roman"/>
                <w:lang w:val="hr-HR"/>
              </w:rPr>
              <w:t xml:space="preserve">Ostale važne činjenice </w:t>
            </w:r>
            <w:proofErr w:type="spellStart"/>
            <w:r w:rsidRPr="00DF4CE5">
              <w:rPr>
                <w:rFonts w:ascii="Cambria" w:eastAsia="Calibri" w:hAnsi="Cambria" w:cs="Times New Roman"/>
                <w:lang w:val="it-IT"/>
              </w:rPr>
              <w:t>vezane</w:t>
            </w:r>
            <w:proofErr w:type="spellEnd"/>
            <w:r w:rsidRPr="00DF4CE5">
              <w:rPr>
                <w:rFonts w:ascii="Cambria" w:eastAsia="Calibri" w:hAnsi="Cambria" w:cs="Times New Roman"/>
                <w:lang w:val="it-IT"/>
              </w:rPr>
              <w:t xml:space="preserve"> </w:t>
            </w:r>
            <w:proofErr w:type="spellStart"/>
            <w:r w:rsidRPr="00DF4CE5">
              <w:rPr>
                <w:rFonts w:ascii="Cambria" w:eastAsia="Calibri" w:hAnsi="Cambria" w:cs="Times New Roman"/>
                <w:lang w:val="it-IT"/>
              </w:rPr>
              <w:t>uz</w:t>
            </w:r>
            <w:proofErr w:type="spellEnd"/>
            <w:r w:rsidRPr="00DF4CE5">
              <w:rPr>
                <w:rFonts w:ascii="Cambria" w:eastAsia="Calibri" w:hAnsi="Cambria" w:cs="Times New Roman"/>
                <w:lang w:val="it-IT"/>
              </w:rPr>
              <w:t xml:space="preserve"> </w:t>
            </w:r>
            <w:proofErr w:type="spellStart"/>
            <w:r w:rsidRPr="00DF4CE5">
              <w:rPr>
                <w:rFonts w:ascii="Cambria" w:eastAsia="Calibri" w:hAnsi="Cambria" w:cs="Times New Roman"/>
                <w:lang w:val="it-IT"/>
              </w:rPr>
              <w:t>kolegij</w:t>
            </w:r>
            <w:proofErr w:type="spellEnd"/>
          </w:p>
        </w:tc>
        <w:tc>
          <w:tcPr>
            <w:tcW w:w="671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5EEA84E" w14:textId="77777777" w:rsidR="005005C3" w:rsidRPr="00DF4CE5" w:rsidRDefault="005005C3" w:rsidP="005005C3">
            <w:pPr>
              <w:spacing w:after="0" w:line="240" w:lineRule="auto"/>
              <w:jc w:val="both"/>
              <w:rPr>
                <w:rFonts w:ascii="Cambria" w:eastAsia="Calibri" w:hAnsi="Cambria" w:cs="Times New Roman"/>
                <w:lang w:val="hr-HR"/>
              </w:rPr>
            </w:pPr>
            <w:r w:rsidRPr="00DF4CE5">
              <w:rPr>
                <w:rFonts w:ascii="Cambria" w:eastAsia="Calibri" w:hAnsi="Cambria" w:cs="Times New Roman"/>
                <w:lang w:val="hr-HR"/>
              </w:rPr>
              <w:t>Materijali za predavanja, izlaganja i izradu samostalnog zadatka objavljuju se na portalu za udaljeno učenje (e-učenju).</w:t>
            </w:r>
          </w:p>
          <w:p w14:paraId="30578EE3" w14:textId="77777777" w:rsidR="005005C3" w:rsidRDefault="005005C3" w:rsidP="005005C3">
            <w:pPr>
              <w:spacing w:after="0" w:line="240" w:lineRule="auto"/>
              <w:jc w:val="both"/>
              <w:rPr>
                <w:rFonts w:ascii="Cambria" w:eastAsia="Calibri" w:hAnsi="Cambria" w:cs="Times New Roman"/>
                <w:lang w:val="hr-HR"/>
              </w:rPr>
            </w:pPr>
            <w:r w:rsidRPr="00DF4CE5">
              <w:rPr>
                <w:rFonts w:ascii="Cambria" w:eastAsia="Calibri" w:hAnsi="Cambria" w:cs="Times New Roman"/>
                <w:lang w:val="hr-HR"/>
              </w:rPr>
              <w:t>Bodovi koje student/studentica postigne izvršavanjem zadataka vrijede najduže godinu dana nakon odslušanog kolegija.</w:t>
            </w:r>
          </w:p>
          <w:p w14:paraId="7FBB782C" w14:textId="493E0975" w:rsidR="00AB127E" w:rsidRPr="00DF4CE5" w:rsidRDefault="00AB127E" w:rsidP="005005C3">
            <w:pPr>
              <w:spacing w:after="0" w:line="240" w:lineRule="auto"/>
              <w:jc w:val="both"/>
              <w:rPr>
                <w:rFonts w:ascii="Cambria" w:eastAsia="Calibri" w:hAnsi="Cambria" w:cs="Times New Roman"/>
                <w:lang w:val="hr-HR"/>
              </w:rPr>
            </w:pPr>
            <w:r w:rsidRPr="00DF4CE5">
              <w:rPr>
                <w:rFonts w:ascii="Cambria" w:eastAsia="Times New Roman" w:hAnsi="Cambria" w:cs="Times New Roman"/>
                <w:lang w:val="hr-HR"/>
              </w:rPr>
              <w:t>U slučaju održavanja nastave na daljinu, moguće je odstupanje u: mjestu izvođenja kolegija, provedbi aktivnosti, metoda tumačenja i poučavanja i načinima vrednovanja, studentskim obvezama i dostupnoj literaturi. O tome će nositeljica kolegija obavijestiti studente i studentice kad se nastava na daljinu počne održavati. Ishodi učenja ostaju nepromijenjeni.</w:t>
            </w:r>
          </w:p>
        </w:tc>
      </w:tr>
      <w:tr w:rsidR="005005C3" w:rsidRPr="00DF4CE5" w14:paraId="0E6D5B73" w14:textId="77777777" w:rsidTr="00C106A0">
        <w:trPr>
          <w:trHeight w:val="770"/>
        </w:trPr>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2270339" w14:textId="77777777" w:rsidR="005005C3" w:rsidRPr="00DF4CE5" w:rsidRDefault="005005C3" w:rsidP="005005C3">
            <w:pPr>
              <w:spacing w:after="0" w:line="240" w:lineRule="auto"/>
              <w:jc w:val="both"/>
              <w:rPr>
                <w:rFonts w:ascii="Cambria" w:eastAsia="Calibri" w:hAnsi="Cambria" w:cs="Times New Roman"/>
                <w:lang w:val="hr-HR"/>
              </w:rPr>
            </w:pPr>
            <w:r w:rsidRPr="00DF4CE5">
              <w:rPr>
                <w:rFonts w:ascii="Cambria" w:eastAsia="Calibri" w:hAnsi="Cambria" w:cs="Times New Roman"/>
                <w:lang w:val="hr-HR"/>
              </w:rPr>
              <w:t>Literatura</w:t>
            </w:r>
          </w:p>
        </w:tc>
        <w:tc>
          <w:tcPr>
            <w:tcW w:w="6717"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7DB367FD" w14:textId="77777777" w:rsidR="005005C3" w:rsidRPr="00DF4CE5" w:rsidRDefault="005005C3" w:rsidP="005005C3">
            <w:pPr>
              <w:spacing w:after="0" w:line="240" w:lineRule="auto"/>
              <w:jc w:val="both"/>
              <w:rPr>
                <w:rFonts w:ascii="Cambria" w:eastAsia="Calibri" w:hAnsi="Cambria" w:cs="Times New Roman"/>
                <w:lang w:val="hr-HR"/>
              </w:rPr>
            </w:pPr>
            <w:r w:rsidRPr="00DF4CE5">
              <w:rPr>
                <w:rFonts w:ascii="Cambria" w:eastAsia="Calibri" w:hAnsi="Cambria" w:cs="Times New Roman"/>
                <w:lang w:val="hr-HR"/>
              </w:rPr>
              <w:t xml:space="preserve">Obvezna: </w:t>
            </w:r>
          </w:p>
          <w:p w14:paraId="66A93D49" w14:textId="77777777" w:rsidR="005005C3" w:rsidRPr="00DF4CE5" w:rsidRDefault="005005C3" w:rsidP="005005C3">
            <w:pPr>
              <w:spacing w:after="0" w:line="240" w:lineRule="auto"/>
              <w:jc w:val="both"/>
              <w:rPr>
                <w:rFonts w:ascii="Cambria" w:eastAsia="Calibri" w:hAnsi="Cambria" w:cs="Times New Roman"/>
                <w:lang w:val="hr-HR"/>
              </w:rPr>
            </w:pPr>
            <w:r w:rsidRPr="00DF4CE5">
              <w:rPr>
                <w:rFonts w:ascii="Cambria" w:eastAsia="Calibri" w:hAnsi="Cambria" w:cs="Times New Roman"/>
                <w:lang w:val="hr-HR"/>
              </w:rPr>
              <w:t>1. Kovačević, B. 2012. Hrvatski frazemi od glave do pete, Zagreb: Institut za hrvatski jezik i jezikoslovlje.</w:t>
            </w:r>
          </w:p>
          <w:p w14:paraId="05A0F469" w14:textId="77777777" w:rsidR="005005C3" w:rsidRPr="00DF4CE5" w:rsidRDefault="005005C3" w:rsidP="005005C3">
            <w:pPr>
              <w:spacing w:after="0" w:line="240" w:lineRule="auto"/>
              <w:jc w:val="both"/>
              <w:rPr>
                <w:rFonts w:ascii="Cambria" w:eastAsia="Calibri" w:hAnsi="Cambria" w:cs="Times New Roman"/>
                <w:lang w:val="hr-HR"/>
              </w:rPr>
            </w:pPr>
            <w:r w:rsidRPr="00DF4CE5">
              <w:rPr>
                <w:rFonts w:ascii="Cambria" w:eastAsia="Calibri" w:hAnsi="Cambria" w:cs="Times New Roman"/>
                <w:lang w:val="hr-HR"/>
              </w:rPr>
              <w:t>2. Matešić, J. 1982. Frazeološki rječnik hrvatskoga ili srpskoga jezika. Zagreb: Školska knjiga.</w:t>
            </w:r>
          </w:p>
          <w:p w14:paraId="0ACD2049" w14:textId="77777777" w:rsidR="005005C3" w:rsidRPr="00DF4CE5" w:rsidRDefault="005005C3" w:rsidP="005005C3">
            <w:pPr>
              <w:spacing w:after="0" w:line="240" w:lineRule="auto"/>
              <w:jc w:val="both"/>
              <w:rPr>
                <w:rFonts w:ascii="Cambria" w:eastAsia="Calibri" w:hAnsi="Cambria" w:cs="Times New Roman"/>
                <w:lang w:val="hr-HR"/>
              </w:rPr>
            </w:pPr>
            <w:r w:rsidRPr="00DF4CE5">
              <w:rPr>
                <w:rFonts w:ascii="Cambria" w:eastAsia="Calibri" w:hAnsi="Cambria" w:cs="Times New Roman"/>
                <w:lang w:val="hr-HR"/>
              </w:rPr>
              <w:t xml:space="preserve">3. </w:t>
            </w:r>
            <w:proofErr w:type="spellStart"/>
            <w:r w:rsidRPr="00DF4CE5">
              <w:rPr>
                <w:rFonts w:ascii="Cambria" w:eastAsia="Calibri" w:hAnsi="Cambria" w:cs="Times New Roman"/>
                <w:lang w:val="hr-HR"/>
              </w:rPr>
              <w:t>Menac</w:t>
            </w:r>
            <w:proofErr w:type="spellEnd"/>
            <w:r w:rsidRPr="00DF4CE5">
              <w:rPr>
                <w:rFonts w:ascii="Cambria" w:eastAsia="Calibri" w:hAnsi="Cambria" w:cs="Times New Roman"/>
                <w:lang w:val="hr-HR"/>
              </w:rPr>
              <w:t xml:space="preserve">, A.  2007. Hrvatska frazeologija. Zagreb: </w:t>
            </w:r>
            <w:proofErr w:type="spellStart"/>
            <w:r w:rsidRPr="00DF4CE5">
              <w:rPr>
                <w:rFonts w:ascii="Cambria" w:eastAsia="Calibri" w:hAnsi="Cambria" w:cs="Times New Roman"/>
                <w:lang w:val="hr-HR"/>
              </w:rPr>
              <w:t>Knjigra</w:t>
            </w:r>
            <w:proofErr w:type="spellEnd"/>
            <w:r w:rsidRPr="00DF4CE5">
              <w:rPr>
                <w:rFonts w:ascii="Cambria" w:eastAsia="Calibri" w:hAnsi="Cambria" w:cs="Times New Roman"/>
                <w:lang w:val="hr-HR"/>
              </w:rPr>
              <w:t>.</w:t>
            </w:r>
          </w:p>
          <w:p w14:paraId="43723F3C" w14:textId="6BFD9FEC" w:rsidR="005005C3" w:rsidRPr="00DF4CE5" w:rsidRDefault="005005C3" w:rsidP="005005C3">
            <w:pPr>
              <w:spacing w:after="0" w:line="240" w:lineRule="auto"/>
              <w:jc w:val="both"/>
              <w:rPr>
                <w:rFonts w:ascii="Cambria" w:eastAsia="Calibri" w:hAnsi="Cambria" w:cs="Times New Roman"/>
                <w:lang w:val="hr-HR"/>
              </w:rPr>
            </w:pPr>
            <w:r w:rsidRPr="00DF4CE5">
              <w:rPr>
                <w:rFonts w:ascii="Cambria" w:eastAsia="Calibri" w:hAnsi="Cambria" w:cs="Times New Roman"/>
                <w:lang w:val="hr-HR"/>
              </w:rPr>
              <w:t xml:space="preserve">4. </w:t>
            </w:r>
            <w:proofErr w:type="spellStart"/>
            <w:r w:rsidRPr="00DF4CE5">
              <w:rPr>
                <w:rFonts w:ascii="Cambria" w:eastAsia="Calibri" w:hAnsi="Cambria" w:cs="Times New Roman"/>
                <w:lang w:val="hr-HR"/>
              </w:rPr>
              <w:t>Menac</w:t>
            </w:r>
            <w:proofErr w:type="spellEnd"/>
            <w:r w:rsidRPr="00DF4CE5">
              <w:rPr>
                <w:rFonts w:ascii="Cambria" w:eastAsia="Calibri" w:hAnsi="Cambria" w:cs="Times New Roman"/>
                <w:lang w:val="hr-HR"/>
              </w:rPr>
              <w:t xml:space="preserve">, A.; </w:t>
            </w:r>
            <w:proofErr w:type="spellStart"/>
            <w:r w:rsidRPr="00DF4CE5">
              <w:rPr>
                <w:rFonts w:ascii="Cambria" w:eastAsia="Calibri" w:hAnsi="Cambria" w:cs="Times New Roman"/>
                <w:lang w:val="hr-HR"/>
              </w:rPr>
              <w:t>Fink</w:t>
            </w:r>
            <w:proofErr w:type="spellEnd"/>
            <w:r w:rsidRPr="00DF4CE5">
              <w:rPr>
                <w:rFonts w:ascii="Cambria" w:eastAsia="Calibri" w:hAnsi="Cambria" w:cs="Times New Roman"/>
                <w:lang w:val="hr-HR"/>
              </w:rPr>
              <w:t xml:space="preserve"> </w:t>
            </w:r>
            <w:proofErr w:type="spellStart"/>
            <w:r w:rsidRPr="00DF4CE5">
              <w:rPr>
                <w:rFonts w:ascii="Cambria" w:eastAsia="Calibri" w:hAnsi="Cambria" w:cs="Times New Roman"/>
                <w:lang w:val="hr-HR"/>
              </w:rPr>
              <w:t>Arsovski</w:t>
            </w:r>
            <w:proofErr w:type="spellEnd"/>
            <w:r w:rsidRPr="00DF4CE5">
              <w:rPr>
                <w:rFonts w:ascii="Cambria" w:eastAsia="Calibri" w:hAnsi="Cambria" w:cs="Times New Roman"/>
                <w:lang w:val="hr-HR"/>
              </w:rPr>
              <w:t xml:space="preserve">, Ž.; </w:t>
            </w:r>
            <w:proofErr w:type="spellStart"/>
            <w:r w:rsidRPr="00DF4CE5">
              <w:rPr>
                <w:rFonts w:ascii="Cambria" w:eastAsia="Calibri" w:hAnsi="Cambria" w:cs="Times New Roman"/>
                <w:lang w:val="hr-HR"/>
              </w:rPr>
              <w:t>Venturin</w:t>
            </w:r>
            <w:proofErr w:type="spellEnd"/>
            <w:r w:rsidRPr="00DF4CE5">
              <w:rPr>
                <w:rFonts w:ascii="Cambria" w:eastAsia="Calibri" w:hAnsi="Cambria" w:cs="Times New Roman"/>
                <w:lang w:val="hr-HR"/>
              </w:rPr>
              <w:t>, R. 2003. Hrvatski frazeološki rječnik. Zagreb: Naklada Ljevak.</w:t>
            </w:r>
          </w:p>
          <w:p w14:paraId="10F0C820" w14:textId="77777777" w:rsidR="005005C3" w:rsidRPr="00DF4CE5" w:rsidRDefault="005005C3" w:rsidP="005005C3">
            <w:pPr>
              <w:spacing w:after="0" w:line="240" w:lineRule="auto"/>
              <w:jc w:val="both"/>
              <w:rPr>
                <w:rFonts w:ascii="Cambria" w:eastAsia="Calibri" w:hAnsi="Cambria" w:cs="Times New Roman"/>
                <w:lang w:val="hr-HR"/>
              </w:rPr>
            </w:pPr>
            <w:r w:rsidRPr="00DF4CE5">
              <w:rPr>
                <w:rFonts w:ascii="Cambria" w:eastAsia="Calibri" w:hAnsi="Cambria" w:cs="Times New Roman"/>
                <w:lang w:val="hr-HR"/>
              </w:rPr>
              <w:t>Izborna:</w:t>
            </w:r>
          </w:p>
          <w:p w14:paraId="003A399D" w14:textId="77777777" w:rsidR="005005C3" w:rsidRPr="00DF4CE5" w:rsidRDefault="005005C3" w:rsidP="005005C3">
            <w:pPr>
              <w:spacing w:after="0" w:line="240" w:lineRule="auto"/>
              <w:jc w:val="both"/>
              <w:rPr>
                <w:rFonts w:ascii="Cambria" w:eastAsia="Calibri" w:hAnsi="Cambria" w:cs="Times New Roman"/>
                <w:lang w:val="hr-HR"/>
              </w:rPr>
            </w:pPr>
            <w:r w:rsidRPr="00DF4CE5">
              <w:rPr>
                <w:rFonts w:ascii="Cambria" w:eastAsia="Calibri" w:hAnsi="Cambria" w:cs="Times New Roman"/>
                <w:lang w:val="hr-HR"/>
              </w:rPr>
              <w:t xml:space="preserve">1. </w:t>
            </w:r>
            <w:proofErr w:type="spellStart"/>
            <w:r w:rsidRPr="00DF4CE5">
              <w:rPr>
                <w:rFonts w:ascii="Cambria" w:eastAsia="Calibri" w:hAnsi="Cambria" w:cs="Times New Roman"/>
                <w:lang w:val="hr-HR"/>
              </w:rPr>
              <w:t>Barčot</w:t>
            </w:r>
            <w:proofErr w:type="spellEnd"/>
            <w:r w:rsidRPr="00DF4CE5">
              <w:rPr>
                <w:rFonts w:ascii="Cambria" w:eastAsia="Calibri" w:hAnsi="Cambria" w:cs="Times New Roman"/>
                <w:lang w:val="hr-HR"/>
              </w:rPr>
              <w:t xml:space="preserve">, B. 2017. </w:t>
            </w:r>
            <w:proofErr w:type="spellStart"/>
            <w:r w:rsidRPr="00DF4CE5">
              <w:rPr>
                <w:rFonts w:ascii="Cambria" w:eastAsia="Calibri" w:hAnsi="Cambria" w:cs="Times New Roman"/>
                <w:lang w:val="hr-HR"/>
              </w:rPr>
              <w:t>Lingvokulturologija</w:t>
            </w:r>
            <w:proofErr w:type="spellEnd"/>
            <w:r w:rsidRPr="00DF4CE5">
              <w:rPr>
                <w:rFonts w:ascii="Cambria" w:eastAsia="Calibri" w:hAnsi="Cambria" w:cs="Times New Roman"/>
                <w:lang w:val="hr-HR"/>
              </w:rPr>
              <w:t xml:space="preserve"> i </w:t>
            </w:r>
            <w:proofErr w:type="spellStart"/>
            <w:r w:rsidRPr="00DF4CE5">
              <w:rPr>
                <w:rFonts w:ascii="Cambria" w:eastAsia="Calibri" w:hAnsi="Cambria" w:cs="Times New Roman"/>
                <w:lang w:val="hr-HR"/>
              </w:rPr>
              <w:t>zoonimska</w:t>
            </w:r>
            <w:proofErr w:type="spellEnd"/>
            <w:r w:rsidRPr="00DF4CE5">
              <w:rPr>
                <w:rFonts w:ascii="Cambria" w:eastAsia="Calibri" w:hAnsi="Cambria" w:cs="Times New Roman"/>
                <w:lang w:val="hr-HR"/>
              </w:rPr>
              <w:t xml:space="preserve"> frazeologija. Zagreb: Hrvatska sveučilišna naklada.</w:t>
            </w:r>
          </w:p>
          <w:p w14:paraId="54C0E22C" w14:textId="77777777" w:rsidR="005005C3" w:rsidRPr="00DF4CE5" w:rsidRDefault="005005C3" w:rsidP="005005C3">
            <w:pPr>
              <w:spacing w:after="0" w:line="240" w:lineRule="auto"/>
              <w:jc w:val="both"/>
              <w:rPr>
                <w:rFonts w:ascii="Cambria" w:eastAsia="Calibri" w:hAnsi="Cambria" w:cs="Times New Roman"/>
                <w:lang w:val="hr-HR"/>
              </w:rPr>
            </w:pPr>
            <w:r w:rsidRPr="00DF4CE5">
              <w:rPr>
                <w:rFonts w:ascii="Cambria" w:eastAsia="Calibri" w:hAnsi="Cambria" w:cs="Times New Roman"/>
                <w:lang w:val="hr-HR"/>
              </w:rPr>
              <w:t>2. Filipović Petrović, I. 2018. Kada se sretnu leksikografija i frazeologija. O statusu frazema u rječniku. Zagreb: Srednja Europa.</w:t>
            </w:r>
          </w:p>
          <w:p w14:paraId="06B19D49" w14:textId="77777777" w:rsidR="005005C3" w:rsidRPr="00DF4CE5" w:rsidRDefault="005005C3" w:rsidP="005005C3">
            <w:pPr>
              <w:spacing w:after="0" w:line="240" w:lineRule="auto"/>
              <w:jc w:val="both"/>
              <w:rPr>
                <w:rFonts w:ascii="Cambria" w:eastAsia="Calibri" w:hAnsi="Cambria" w:cs="Times New Roman"/>
                <w:lang w:val="hr-HR"/>
              </w:rPr>
            </w:pPr>
            <w:r w:rsidRPr="00DF4CE5">
              <w:rPr>
                <w:rFonts w:ascii="Cambria" w:eastAsia="Calibri" w:hAnsi="Cambria" w:cs="Times New Roman"/>
                <w:lang w:val="hr-HR"/>
              </w:rPr>
              <w:t xml:space="preserve">3. </w:t>
            </w:r>
            <w:proofErr w:type="spellStart"/>
            <w:r w:rsidRPr="00DF4CE5">
              <w:rPr>
                <w:rFonts w:ascii="Cambria" w:eastAsia="Calibri" w:hAnsi="Cambria" w:cs="Times New Roman"/>
                <w:lang w:val="hr-HR"/>
              </w:rPr>
              <w:t>Fink-Arsovski</w:t>
            </w:r>
            <w:proofErr w:type="spellEnd"/>
            <w:r w:rsidRPr="00DF4CE5">
              <w:rPr>
                <w:rFonts w:ascii="Cambria" w:eastAsia="Calibri" w:hAnsi="Cambria" w:cs="Times New Roman"/>
                <w:lang w:val="hr-HR"/>
              </w:rPr>
              <w:t>, Ž. 2002. Poredbena frazeologija: pogled izvana i iznutra. Zagreb: Filozofski fakultet.</w:t>
            </w:r>
          </w:p>
          <w:p w14:paraId="66EBBF93" w14:textId="77777777" w:rsidR="005005C3" w:rsidRPr="00DF4CE5" w:rsidRDefault="005005C3" w:rsidP="005005C3">
            <w:pPr>
              <w:spacing w:after="0" w:line="240" w:lineRule="auto"/>
              <w:jc w:val="both"/>
              <w:rPr>
                <w:rFonts w:ascii="Cambria" w:eastAsia="Calibri" w:hAnsi="Cambria" w:cs="Times New Roman"/>
                <w:lang w:val="hr-HR"/>
              </w:rPr>
            </w:pPr>
            <w:r w:rsidRPr="00DF4CE5">
              <w:rPr>
                <w:rFonts w:ascii="Cambria" w:eastAsia="Calibri" w:hAnsi="Cambria" w:cs="Times New Roman"/>
                <w:lang w:val="hr-HR"/>
              </w:rPr>
              <w:t xml:space="preserve">4. </w:t>
            </w:r>
            <w:proofErr w:type="spellStart"/>
            <w:r w:rsidRPr="00DF4CE5">
              <w:rPr>
                <w:rFonts w:ascii="Cambria" w:eastAsia="Calibri" w:hAnsi="Cambria" w:cs="Times New Roman"/>
                <w:lang w:val="hr-HR"/>
              </w:rPr>
              <w:t>Hrnjak</w:t>
            </w:r>
            <w:proofErr w:type="spellEnd"/>
            <w:r w:rsidRPr="00DF4CE5">
              <w:rPr>
                <w:rFonts w:ascii="Cambria" w:eastAsia="Calibri" w:hAnsi="Cambria" w:cs="Times New Roman"/>
                <w:lang w:val="hr-HR"/>
              </w:rPr>
              <w:t xml:space="preserve">, A. 2017. Frazeologija u rodnome okviru: rodni elementi u hrvatskoj i ruskoj  frazeologiji. Zagreb: </w:t>
            </w:r>
            <w:proofErr w:type="spellStart"/>
            <w:r w:rsidRPr="00DF4CE5">
              <w:rPr>
                <w:rFonts w:ascii="Cambria" w:eastAsia="Calibri" w:hAnsi="Cambria" w:cs="Times New Roman"/>
                <w:lang w:val="hr-HR"/>
              </w:rPr>
              <w:t>Knjigra</w:t>
            </w:r>
            <w:proofErr w:type="spellEnd"/>
            <w:r w:rsidRPr="00DF4CE5">
              <w:rPr>
                <w:rFonts w:ascii="Cambria" w:eastAsia="Calibri" w:hAnsi="Cambria" w:cs="Times New Roman"/>
                <w:lang w:val="hr-HR"/>
              </w:rPr>
              <w:t>.</w:t>
            </w:r>
          </w:p>
          <w:p w14:paraId="7D21643B" w14:textId="77777777" w:rsidR="005005C3" w:rsidRPr="00DF4CE5" w:rsidRDefault="005005C3" w:rsidP="005005C3">
            <w:pPr>
              <w:spacing w:after="0" w:line="240" w:lineRule="auto"/>
              <w:jc w:val="both"/>
              <w:rPr>
                <w:rFonts w:ascii="Cambria" w:eastAsia="Calibri" w:hAnsi="Cambria" w:cs="Times New Roman"/>
                <w:lang w:val="hr-HR"/>
              </w:rPr>
            </w:pPr>
            <w:r w:rsidRPr="00DF4CE5">
              <w:rPr>
                <w:rFonts w:ascii="Cambria" w:eastAsia="Calibri" w:hAnsi="Cambria" w:cs="Times New Roman"/>
                <w:lang w:val="hr-HR"/>
              </w:rPr>
              <w:t xml:space="preserve">5. </w:t>
            </w:r>
            <w:proofErr w:type="spellStart"/>
            <w:r w:rsidRPr="00DF4CE5">
              <w:rPr>
                <w:rFonts w:ascii="Cambria" w:eastAsia="Calibri" w:hAnsi="Cambria" w:cs="Times New Roman"/>
                <w:lang w:val="hr-HR"/>
              </w:rPr>
              <w:t>Menac</w:t>
            </w:r>
            <w:proofErr w:type="spellEnd"/>
            <w:r w:rsidRPr="00DF4CE5">
              <w:rPr>
                <w:rFonts w:ascii="Cambria" w:eastAsia="Calibri" w:hAnsi="Cambria" w:cs="Times New Roman"/>
                <w:lang w:val="hr-HR"/>
              </w:rPr>
              <w:t>-Mihalić, M. 2011. Frazeologija splitskoga govora s rječnicima, Zagreb: Institut za hrvatski jezik i jezikoslovlje.</w:t>
            </w:r>
          </w:p>
          <w:p w14:paraId="050F38FA" w14:textId="77777777" w:rsidR="005005C3" w:rsidRPr="00DF4CE5" w:rsidRDefault="005005C3" w:rsidP="005005C3">
            <w:pPr>
              <w:spacing w:after="0" w:line="240" w:lineRule="auto"/>
              <w:jc w:val="both"/>
              <w:rPr>
                <w:rFonts w:ascii="Cambria" w:eastAsia="Calibri" w:hAnsi="Cambria" w:cs="Times New Roman"/>
                <w:lang w:val="hr-HR"/>
              </w:rPr>
            </w:pPr>
            <w:r w:rsidRPr="00DF4CE5">
              <w:rPr>
                <w:rFonts w:ascii="Cambria" w:eastAsia="Calibri" w:hAnsi="Cambria" w:cs="Times New Roman"/>
                <w:lang w:val="hr-HR"/>
              </w:rPr>
              <w:t xml:space="preserve">6. Vidović </w:t>
            </w:r>
            <w:proofErr w:type="spellStart"/>
            <w:r w:rsidRPr="00DF4CE5">
              <w:rPr>
                <w:rFonts w:ascii="Cambria" w:eastAsia="Calibri" w:hAnsi="Cambria" w:cs="Times New Roman"/>
                <w:lang w:val="hr-HR"/>
              </w:rPr>
              <w:t>Bolt</w:t>
            </w:r>
            <w:proofErr w:type="spellEnd"/>
            <w:r w:rsidRPr="00DF4CE5">
              <w:rPr>
                <w:rFonts w:ascii="Cambria" w:eastAsia="Calibri" w:hAnsi="Cambria" w:cs="Times New Roman"/>
                <w:lang w:val="hr-HR"/>
              </w:rPr>
              <w:t>, I. 2011. Životinjski svijetu hrvatskoj i poljskoj frazeologiji. Zagreb: Hrvatska sveučilišna naklada.</w:t>
            </w:r>
          </w:p>
          <w:p w14:paraId="6C8AA743" w14:textId="63E61C30" w:rsidR="005005C3" w:rsidRPr="00DF4CE5" w:rsidRDefault="005005C3" w:rsidP="005005C3">
            <w:pPr>
              <w:spacing w:after="0" w:line="240" w:lineRule="auto"/>
              <w:jc w:val="both"/>
              <w:rPr>
                <w:rFonts w:ascii="Cambria" w:eastAsia="Calibri" w:hAnsi="Cambria" w:cs="Times New Roman"/>
                <w:lang w:val="hr-HR"/>
              </w:rPr>
            </w:pPr>
            <w:r w:rsidRPr="00DF4CE5">
              <w:rPr>
                <w:rFonts w:ascii="Cambria" w:eastAsia="Calibri" w:hAnsi="Cambria" w:cs="Times New Roman"/>
                <w:lang w:val="hr-HR"/>
              </w:rPr>
              <w:t xml:space="preserve">7. Vidović </w:t>
            </w:r>
            <w:proofErr w:type="spellStart"/>
            <w:r w:rsidRPr="00DF4CE5">
              <w:rPr>
                <w:rFonts w:ascii="Cambria" w:eastAsia="Calibri" w:hAnsi="Cambria" w:cs="Times New Roman"/>
                <w:lang w:val="hr-HR"/>
              </w:rPr>
              <w:t>Bolt</w:t>
            </w:r>
            <w:proofErr w:type="spellEnd"/>
            <w:r w:rsidRPr="00DF4CE5">
              <w:rPr>
                <w:rFonts w:ascii="Cambria" w:eastAsia="Calibri" w:hAnsi="Cambria" w:cs="Times New Roman"/>
                <w:lang w:val="hr-HR"/>
              </w:rPr>
              <w:t>, I. (i dr.). 2017. Rječnik hrvatskih</w:t>
            </w:r>
            <w:r w:rsidR="00AB127E">
              <w:rPr>
                <w:rFonts w:ascii="Cambria" w:eastAsia="Calibri" w:hAnsi="Cambria" w:cs="Times New Roman"/>
                <w:lang w:val="hr-HR"/>
              </w:rPr>
              <w:t xml:space="preserve"> </w:t>
            </w:r>
            <w:r w:rsidRPr="00DF4CE5">
              <w:rPr>
                <w:rFonts w:ascii="Cambria" w:eastAsia="Calibri" w:hAnsi="Cambria" w:cs="Times New Roman"/>
                <w:lang w:val="hr-HR"/>
              </w:rPr>
              <w:t>animalističkih frazema. Zagreb: Školska knjiga.</w:t>
            </w:r>
          </w:p>
          <w:p w14:paraId="1E3F9BC5" w14:textId="77777777" w:rsidR="005005C3" w:rsidRPr="00DF4CE5" w:rsidRDefault="005005C3" w:rsidP="005005C3">
            <w:pPr>
              <w:spacing w:after="0" w:line="240" w:lineRule="auto"/>
              <w:jc w:val="both"/>
              <w:rPr>
                <w:rFonts w:ascii="Cambria" w:eastAsia="Calibri" w:hAnsi="Cambria" w:cs="Times New Roman"/>
                <w:lang w:val="hr-HR"/>
              </w:rPr>
            </w:pPr>
            <w:r w:rsidRPr="00DF4CE5">
              <w:rPr>
                <w:rFonts w:ascii="Cambria" w:eastAsia="Calibri" w:hAnsi="Cambria" w:cs="Times New Roman"/>
                <w:lang w:val="hr-HR"/>
              </w:rPr>
              <w:t>Priručna:</w:t>
            </w:r>
          </w:p>
          <w:p w14:paraId="094793BC" w14:textId="77777777" w:rsidR="005005C3" w:rsidRPr="00DF4CE5" w:rsidRDefault="005005C3" w:rsidP="00A034E3">
            <w:pPr>
              <w:numPr>
                <w:ilvl w:val="0"/>
                <w:numId w:val="41"/>
              </w:numPr>
              <w:spacing w:after="0" w:line="240" w:lineRule="auto"/>
              <w:ind w:left="360"/>
              <w:contextualSpacing/>
              <w:jc w:val="both"/>
              <w:rPr>
                <w:rFonts w:ascii="Cambria" w:eastAsia="Calibri" w:hAnsi="Cambria" w:cs="Times New Roman"/>
                <w:lang w:val="hr-HR"/>
              </w:rPr>
            </w:pPr>
            <w:r w:rsidRPr="00DF4CE5">
              <w:rPr>
                <w:rFonts w:ascii="Cambria" w:eastAsia="Calibri" w:hAnsi="Cambria" w:cs="Times New Roman"/>
                <w:lang w:val="hr-HR"/>
              </w:rPr>
              <w:lastRenderedPageBreak/>
              <w:t>jednojezični i dvojezični frazeološki rječnici</w:t>
            </w:r>
          </w:p>
          <w:p w14:paraId="19FB4B7F" w14:textId="77777777" w:rsidR="005005C3" w:rsidRPr="00DF4CE5" w:rsidRDefault="005005C3" w:rsidP="00A034E3">
            <w:pPr>
              <w:numPr>
                <w:ilvl w:val="0"/>
                <w:numId w:val="41"/>
              </w:numPr>
              <w:spacing w:after="0" w:line="240" w:lineRule="auto"/>
              <w:ind w:left="360"/>
              <w:contextualSpacing/>
              <w:jc w:val="both"/>
              <w:rPr>
                <w:rFonts w:ascii="Cambria" w:eastAsia="Calibri" w:hAnsi="Cambria" w:cs="Times New Roman"/>
                <w:lang w:val="hr-HR"/>
              </w:rPr>
            </w:pPr>
            <w:r w:rsidRPr="00DF4CE5">
              <w:rPr>
                <w:rFonts w:ascii="Cambria" w:eastAsia="Calibri" w:hAnsi="Cambria" w:cs="Times New Roman"/>
                <w:lang w:val="hr-HR"/>
              </w:rPr>
              <w:t>frazemi.ihjj.hr</w:t>
            </w:r>
          </w:p>
          <w:p w14:paraId="588C0374" w14:textId="77777777" w:rsidR="005005C3" w:rsidRPr="00DF4CE5" w:rsidRDefault="005005C3" w:rsidP="005005C3">
            <w:pPr>
              <w:spacing w:after="0" w:line="240" w:lineRule="auto"/>
              <w:jc w:val="both"/>
              <w:rPr>
                <w:rFonts w:ascii="Cambria" w:eastAsia="Calibri" w:hAnsi="Cambria" w:cs="Times New Roman"/>
                <w:lang w:val="hr-HR"/>
              </w:rPr>
            </w:pPr>
          </w:p>
        </w:tc>
      </w:tr>
    </w:tbl>
    <w:p w14:paraId="145A0A3F" w14:textId="77777777" w:rsidR="006B2BBC" w:rsidRPr="00DF4CE5" w:rsidRDefault="006B2BBC" w:rsidP="008B34AF">
      <w:pPr>
        <w:jc w:val="both"/>
        <w:rPr>
          <w:rFonts w:ascii="Cambria" w:eastAsia="Calibri" w:hAnsi="Cambria" w:cs="Times New Roman"/>
          <w:lang w:val="hr-HR"/>
        </w:rPr>
      </w:pPr>
    </w:p>
    <w:p w14:paraId="5D47C097" w14:textId="77777777" w:rsidR="006B2BBC" w:rsidRPr="00DF4CE5" w:rsidRDefault="006B2BBC" w:rsidP="008B34AF">
      <w:pPr>
        <w:jc w:val="both"/>
        <w:rPr>
          <w:rFonts w:ascii="Cambria" w:eastAsia="Calibri" w:hAnsi="Cambria" w:cs="Times New Roman"/>
          <w:lang w:val="hr-HR"/>
        </w:rPr>
      </w:pPr>
    </w:p>
    <w:p w14:paraId="24B4596B" w14:textId="77777777" w:rsidR="006B2BBC" w:rsidRPr="00DF4CE5" w:rsidRDefault="006B2BBC" w:rsidP="008B34AF">
      <w:pPr>
        <w:jc w:val="both"/>
        <w:rPr>
          <w:rFonts w:ascii="Cambria" w:eastAsia="Calibri" w:hAnsi="Cambria" w:cs="Times New Roman"/>
          <w:lang w:val="hr-HR"/>
        </w:rPr>
      </w:pPr>
    </w:p>
    <w:p w14:paraId="35D71B50" w14:textId="77777777" w:rsidR="006B2BBC" w:rsidRPr="00DF4CE5" w:rsidRDefault="006B2BBC" w:rsidP="008B34AF">
      <w:pPr>
        <w:jc w:val="both"/>
        <w:rPr>
          <w:rFonts w:ascii="Cambria" w:eastAsia="Calibri" w:hAnsi="Cambria" w:cs="Times New Roman"/>
          <w:lang w:val="hr-HR"/>
        </w:rPr>
      </w:pPr>
    </w:p>
    <w:p w14:paraId="183FA3CE" w14:textId="77777777" w:rsidR="006B2BBC" w:rsidRPr="00DF4CE5" w:rsidRDefault="006B2BBC" w:rsidP="008B34AF">
      <w:pPr>
        <w:jc w:val="both"/>
        <w:rPr>
          <w:rFonts w:ascii="Cambria" w:eastAsia="Calibri" w:hAnsi="Cambria" w:cs="Times New Roman"/>
          <w:lang w:val="hr-HR"/>
        </w:rPr>
      </w:pPr>
    </w:p>
    <w:p w14:paraId="5C7BE436" w14:textId="77777777" w:rsidR="006B2BBC" w:rsidRPr="00DF4CE5" w:rsidRDefault="006B2BBC" w:rsidP="008B34AF">
      <w:pPr>
        <w:jc w:val="both"/>
        <w:rPr>
          <w:rFonts w:ascii="Cambria" w:eastAsia="Calibri" w:hAnsi="Cambria" w:cs="Times New Roman"/>
          <w:lang w:val="hr-HR"/>
        </w:rPr>
      </w:pPr>
    </w:p>
    <w:p w14:paraId="17EEC54F" w14:textId="77777777" w:rsidR="006B2BBC" w:rsidRPr="00DF4CE5" w:rsidRDefault="006B2BBC" w:rsidP="008B34AF">
      <w:pPr>
        <w:jc w:val="both"/>
        <w:rPr>
          <w:rFonts w:ascii="Cambria" w:eastAsia="Calibri" w:hAnsi="Cambria" w:cs="Times New Roman"/>
          <w:lang w:val="hr-HR"/>
        </w:rPr>
      </w:pPr>
    </w:p>
    <w:p w14:paraId="3E142B6F" w14:textId="77777777" w:rsidR="006B2BBC" w:rsidRPr="00DF4CE5" w:rsidRDefault="006B2BBC" w:rsidP="008B34AF">
      <w:pPr>
        <w:jc w:val="both"/>
        <w:rPr>
          <w:rFonts w:ascii="Cambria" w:eastAsia="Calibri" w:hAnsi="Cambria" w:cs="Times New Roman"/>
          <w:lang w:val="hr-HR"/>
        </w:rPr>
      </w:pPr>
    </w:p>
    <w:p w14:paraId="26D322F5" w14:textId="77777777" w:rsidR="006B2BBC" w:rsidRPr="00DF4CE5" w:rsidRDefault="006B2BBC" w:rsidP="008B34AF">
      <w:pPr>
        <w:jc w:val="both"/>
        <w:rPr>
          <w:rFonts w:ascii="Cambria" w:eastAsia="Calibri" w:hAnsi="Cambria" w:cs="Times New Roman"/>
          <w:lang w:val="hr-HR"/>
        </w:rPr>
      </w:pPr>
    </w:p>
    <w:p w14:paraId="0CF0DE7C" w14:textId="77777777" w:rsidR="006B2BBC" w:rsidRPr="00DF4CE5" w:rsidRDefault="006B2BBC" w:rsidP="008B34AF">
      <w:pPr>
        <w:jc w:val="both"/>
        <w:rPr>
          <w:rFonts w:ascii="Cambria" w:eastAsia="Calibri" w:hAnsi="Cambria" w:cs="Times New Roman"/>
          <w:lang w:val="hr-HR"/>
        </w:rPr>
      </w:pPr>
    </w:p>
    <w:p w14:paraId="0F93E77C" w14:textId="77777777" w:rsidR="006B2BBC" w:rsidRPr="00DF4CE5" w:rsidRDefault="006B2BBC" w:rsidP="008B34AF">
      <w:pPr>
        <w:jc w:val="both"/>
        <w:rPr>
          <w:rFonts w:ascii="Cambria" w:eastAsia="Calibri" w:hAnsi="Cambria" w:cs="Times New Roman"/>
          <w:lang w:val="hr-HR"/>
        </w:rPr>
      </w:pPr>
    </w:p>
    <w:p w14:paraId="38242882" w14:textId="77777777" w:rsidR="006B2BBC" w:rsidRPr="00DF4CE5" w:rsidRDefault="006B2BBC" w:rsidP="008B34AF">
      <w:pPr>
        <w:jc w:val="both"/>
        <w:rPr>
          <w:rFonts w:ascii="Cambria" w:eastAsia="Calibri" w:hAnsi="Cambria" w:cs="Times New Roman"/>
          <w:lang w:val="hr-HR"/>
        </w:rPr>
      </w:pPr>
    </w:p>
    <w:p w14:paraId="5E32E05C" w14:textId="77777777" w:rsidR="006B2BBC" w:rsidRPr="00DF4CE5" w:rsidRDefault="006B2BBC" w:rsidP="008B34AF">
      <w:pPr>
        <w:jc w:val="both"/>
        <w:rPr>
          <w:rFonts w:ascii="Cambria" w:eastAsia="Calibri" w:hAnsi="Cambria" w:cs="Times New Roman"/>
          <w:lang w:val="hr-HR"/>
        </w:rPr>
      </w:pPr>
    </w:p>
    <w:p w14:paraId="60D62128" w14:textId="77777777" w:rsidR="006B2BBC" w:rsidRPr="00DF4CE5" w:rsidRDefault="006B2BBC" w:rsidP="008B34AF">
      <w:pPr>
        <w:jc w:val="both"/>
        <w:rPr>
          <w:rFonts w:ascii="Cambria" w:eastAsia="Calibri" w:hAnsi="Cambria" w:cs="Times New Roman"/>
          <w:lang w:val="hr-HR"/>
        </w:rPr>
      </w:pPr>
    </w:p>
    <w:p w14:paraId="11C2DF6A" w14:textId="77777777" w:rsidR="006B2BBC" w:rsidRPr="00DF4CE5" w:rsidRDefault="006B2BBC" w:rsidP="008B34AF">
      <w:pPr>
        <w:jc w:val="both"/>
        <w:rPr>
          <w:rFonts w:ascii="Cambria" w:eastAsia="Calibri" w:hAnsi="Cambria" w:cs="Times New Roman"/>
          <w:lang w:val="hr-HR"/>
        </w:rPr>
      </w:pPr>
    </w:p>
    <w:p w14:paraId="7C019DDA" w14:textId="77777777" w:rsidR="006B2BBC" w:rsidRPr="00DF4CE5" w:rsidRDefault="006B2BBC" w:rsidP="008B34AF">
      <w:pPr>
        <w:jc w:val="both"/>
        <w:rPr>
          <w:rFonts w:ascii="Cambria" w:eastAsia="Calibri" w:hAnsi="Cambria" w:cs="Times New Roman"/>
          <w:lang w:val="hr-HR"/>
        </w:rPr>
      </w:pPr>
    </w:p>
    <w:p w14:paraId="6511A4D0" w14:textId="77777777" w:rsidR="006B2BBC" w:rsidRPr="00DF4CE5" w:rsidRDefault="006B2BBC" w:rsidP="008B34AF">
      <w:pPr>
        <w:jc w:val="both"/>
        <w:rPr>
          <w:rFonts w:ascii="Cambria" w:eastAsia="Calibri" w:hAnsi="Cambria" w:cs="Times New Roman"/>
          <w:lang w:val="hr-HR"/>
        </w:rPr>
      </w:pPr>
    </w:p>
    <w:p w14:paraId="70EC99B3" w14:textId="77777777" w:rsidR="006B2BBC" w:rsidRPr="00DF4CE5" w:rsidRDefault="006B2BBC" w:rsidP="008B34AF">
      <w:pPr>
        <w:jc w:val="both"/>
        <w:rPr>
          <w:rFonts w:ascii="Cambria" w:eastAsia="Calibri" w:hAnsi="Cambria" w:cs="Times New Roman"/>
          <w:lang w:val="hr-HR"/>
        </w:rPr>
      </w:pPr>
    </w:p>
    <w:p w14:paraId="41DFD30C" w14:textId="77777777" w:rsidR="00B63FDF" w:rsidRPr="00DF4CE5" w:rsidRDefault="00B63FDF" w:rsidP="008B34AF">
      <w:pPr>
        <w:jc w:val="both"/>
        <w:rPr>
          <w:rFonts w:ascii="Cambria" w:eastAsia="Calibri" w:hAnsi="Cambria" w:cs="Times New Roman"/>
          <w:lang w:val="hr-HR"/>
        </w:rPr>
      </w:pPr>
    </w:p>
    <w:p w14:paraId="010CE983" w14:textId="77777777" w:rsidR="00B63FDF" w:rsidRPr="00DF4CE5" w:rsidRDefault="00B63FDF" w:rsidP="008B34AF">
      <w:pPr>
        <w:jc w:val="both"/>
        <w:rPr>
          <w:rFonts w:ascii="Cambria" w:eastAsia="Calibri" w:hAnsi="Cambria" w:cs="Times New Roman"/>
          <w:lang w:val="hr-HR"/>
        </w:rPr>
      </w:pPr>
    </w:p>
    <w:p w14:paraId="3BAE4074" w14:textId="09C6DC03" w:rsidR="006B2BBC" w:rsidRPr="00DF4CE5" w:rsidRDefault="00AF0D71" w:rsidP="00D74364">
      <w:pPr>
        <w:rPr>
          <w:rFonts w:ascii="Cambria" w:eastAsia="Calibri" w:hAnsi="Cambria" w:cs="Times New Roman"/>
          <w:lang w:val="hr-HR"/>
        </w:rPr>
      </w:pPr>
      <w:r>
        <w:rPr>
          <w:rFonts w:ascii="Cambria" w:eastAsia="Calibri" w:hAnsi="Cambria" w:cs="Times New Roman"/>
          <w:lang w:val="hr-HR"/>
        </w:rPr>
        <w:br w:type="page"/>
      </w:r>
    </w:p>
    <w:tbl>
      <w:tblPr>
        <w:tblW w:w="5000" w:type="pct"/>
        <w:tblLayout w:type="fixed"/>
        <w:tblCellMar>
          <w:left w:w="0" w:type="dxa"/>
          <w:right w:w="0" w:type="dxa"/>
        </w:tblCellMar>
        <w:tblLook w:val="0600" w:firstRow="0" w:lastRow="0" w:firstColumn="0" w:lastColumn="0" w:noHBand="1" w:noVBand="1"/>
      </w:tblPr>
      <w:tblGrid>
        <w:gridCol w:w="2623"/>
        <w:gridCol w:w="2486"/>
        <w:gridCol w:w="97"/>
        <w:gridCol w:w="1088"/>
        <w:gridCol w:w="277"/>
        <w:gridCol w:w="439"/>
        <w:gridCol w:w="1011"/>
        <w:gridCol w:w="1319"/>
      </w:tblGrid>
      <w:tr w:rsidR="006B2BBC" w:rsidRPr="00DF4CE5" w14:paraId="33C0B32A" w14:textId="77777777" w:rsidTr="00C106A0">
        <w:tc>
          <w:tcPr>
            <w:tcW w:w="9340"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CCCB175" w14:textId="77777777" w:rsidR="006B2BBC" w:rsidRPr="00DF4CE5" w:rsidRDefault="006B2BBC" w:rsidP="00001BA9">
            <w:pPr>
              <w:spacing w:after="0" w:line="240" w:lineRule="auto"/>
              <w:jc w:val="right"/>
              <w:rPr>
                <w:rFonts w:ascii="Cambria" w:eastAsia="Times New Roman" w:hAnsi="Cambria" w:cs="Calibri"/>
                <w:b/>
                <w:lang w:val="hr-HR" w:eastAsia="en-GB"/>
              </w:rPr>
            </w:pPr>
            <w:r w:rsidRPr="00DF4CE5">
              <w:rPr>
                <w:rFonts w:ascii="Cambria" w:eastAsia="Times New Roman" w:hAnsi="Cambria" w:cs="Calibri"/>
                <w:b/>
                <w:lang w:val="hr-HR" w:eastAsia="en-GB"/>
              </w:rPr>
              <w:lastRenderedPageBreak/>
              <w:t>IZVEDBENI PLAN NASTAVE KOLEGIJA</w:t>
            </w:r>
          </w:p>
        </w:tc>
      </w:tr>
      <w:tr w:rsidR="006B2BBC" w:rsidRPr="00DF4CE5" w14:paraId="103ADC5E" w14:textId="77777777" w:rsidTr="00C106A0">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2A62E0D" w14:textId="77777777" w:rsidR="006B2BBC" w:rsidRPr="00DF4CE5" w:rsidRDefault="006B2BBC" w:rsidP="008B34AF">
            <w:pPr>
              <w:spacing w:after="0" w:line="240" w:lineRule="auto"/>
              <w:jc w:val="both"/>
              <w:rPr>
                <w:rFonts w:ascii="Cambria" w:eastAsia="Times New Roman" w:hAnsi="Cambria" w:cs="Calibri"/>
                <w:lang w:val="hr-HR" w:eastAsia="en-GB"/>
              </w:rPr>
            </w:pPr>
            <w:r w:rsidRPr="00DF4CE5">
              <w:rPr>
                <w:rFonts w:ascii="Cambria" w:eastAsia="Times New Roman" w:hAnsi="Cambria" w:cs="Calibri"/>
                <w:lang w:val="hr-HR" w:eastAsia="en-GB"/>
              </w:rPr>
              <w:t>Kod i naziv kolegija</w:t>
            </w:r>
          </w:p>
        </w:tc>
        <w:tc>
          <w:tcPr>
            <w:tcW w:w="671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C414964" w14:textId="500DF635" w:rsidR="006B2BBC" w:rsidRPr="00DF4CE5" w:rsidRDefault="006E5E48" w:rsidP="008B34AF">
            <w:pPr>
              <w:spacing w:after="0" w:line="240" w:lineRule="auto"/>
              <w:jc w:val="both"/>
              <w:rPr>
                <w:rFonts w:ascii="Cambria" w:eastAsia="Times New Roman" w:hAnsi="Cambria" w:cs="Calibri"/>
                <w:bCs/>
                <w:lang w:eastAsia="en-GB"/>
              </w:rPr>
            </w:pPr>
            <w:r w:rsidRPr="00DF4CE5">
              <w:rPr>
                <w:rFonts w:ascii="Cambria" w:eastAsia="Times New Roman" w:hAnsi="Cambria" w:cs="Calibri"/>
                <w:bCs/>
                <w:lang w:eastAsia="en-GB"/>
              </w:rPr>
              <w:t>200035</w:t>
            </w:r>
          </w:p>
          <w:p w14:paraId="2FA962AA" w14:textId="77777777" w:rsidR="006B2BBC" w:rsidRPr="00DF4CE5" w:rsidRDefault="006B2BBC" w:rsidP="008B34AF">
            <w:pPr>
              <w:spacing w:after="0" w:line="240" w:lineRule="auto"/>
              <w:jc w:val="both"/>
              <w:rPr>
                <w:rFonts w:ascii="Cambria" w:eastAsia="Times New Roman" w:hAnsi="Cambria" w:cs="Calibri"/>
                <w:lang w:val="hr-HR" w:eastAsia="en-GB"/>
              </w:rPr>
            </w:pPr>
            <w:proofErr w:type="spellStart"/>
            <w:r w:rsidRPr="00DF4CE5">
              <w:rPr>
                <w:rFonts w:ascii="Cambria" w:eastAsia="Times New Roman" w:hAnsi="Cambria" w:cs="Calibri"/>
                <w:lang w:eastAsia="en-GB"/>
              </w:rPr>
              <w:t>Kreativna</w:t>
            </w:r>
            <w:proofErr w:type="spellEnd"/>
            <w:r w:rsidRPr="00DF4CE5">
              <w:rPr>
                <w:rFonts w:ascii="Cambria" w:eastAsia="Times New Roman" w:hAnsi="Cambria" w:cs="Calibri"/>
                <w:lang w:eastAsia="en-GB"/>
              </w:rPr>
              <w:t xml:space="preserve"> </w:t>
            </w:r>
            <w:proofErr w:type="spellStart"/>
            <w:r w:rsidRPr="00DF4CE5">
              <w:rPr>
                <w:rFonts w:ascii="Cambria" w:eastAsia="Times New Roman" w:hAnsi="Cambria" w:cs="Calibri"/>
                <w:lang w:eastAsia="en-GB"/>
              </w:rPr>
              <w:t>glazbena</w:t>
            </w:r>
            <w:proofErr w:type="spellEnd"/>
            <w:r w:rsidRPr="00DF4CE5">
              <w:rPr>
                <w:rFonts w:ascii="Cambria" w:eastAsia="Times New Roman" w:hAnsi="Cambria" w:cs="Calibri"/>
                <w:lang w:eastAsia="en-GB"/>
              </w:rPr>
              <w:t xml:space="preserve"> </w:t>
            </w:r>
            <w:proofErr w:type="spellStart"/>
            <w:r w:rsidRPr="00DF4CE5">
              <w:rPr>
                <w:rFonts w:ascii="Cambria" w:eastAsia="Times New Roman" w:hAnsi="Cambria" w:cs="Calibri"/>
                <w:lang w:eastAsia="en-GB"/>
              </w:rPr>
              <w:t>radionica</w:t>
            </w:r>
            <w:proofErr w:type="spellEnd"/>
          </w:p>
        </w:tc>
      </w:tr>
      <w:tr w:rsidR="006B2BBC" w:rsidRPr="00DF4CE5" w14:paraId="75842B2A" w14:textId="77777777" w:rsidTr="00C106A0">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D24B600" w14:textId="77777777" w:rsidR="006B2BBC" w:rsidRPr="00DF4CE5" w:rsidRDefault="006B2BBC" w:rsidP="008B34AF">
            <w:pPr>
              <w:spacing w:after="0" w:line="240" w:lineRule="auto"/>
              <w:jc w:val="both"/>
              <w:rPr>
                <w:rFonts w:ascii="Cambria" w:eastAsia="Times New Roman" w:hAnsi="Cambria" w:cs="Calibri"/>
                <w:lang w:val="hr-HR" w:eastAsia="en-GB"/>
              </w:rPr>
            </w:pPr>
            <w:r w:rsidRPr="00DF4CE5">
              <w:rPr>
                <w:rFonts w:ascii="Cambria" w:eastAsia="Times New Roman" w:hAnsi="Cambria" w:cs="Calibri"/>
                <w:lang w:val="hr-HR" w:eastAsia="en-GB"/>
              </w:rPr>
              <w:t xml:space="preserve">Nastavnica </w:t>
            </w:r>
          </w:p>
          <w:p w14:paraId="4466EC26" w14:textId="77777777" w:rsidR="006B2BBC" w:rsidRPr="00DF4CE5" w:rsidRDefault="006B2BBC" w:rsidP="008B34AF">
            <w:pPr>
              <w:spacing w:after="0" w:line="240" w:lineRule="auto"/>
              <w:jc w:val="both"/>
              <w:rPr>
                <w:rFonts w:ascii="Cambria" w:eastAsia="Times New Roman" w:hAnsi="Cambria" w:cs="Calibri"/>
                <w:lang w:val="hr-HR" w:eastAsia="en-GB"/>
              </w:rPr>
            </w:pPr>
            <w:r w:rsidRPr="00DF4CE5">
              <w:rPr>
                <w:rFonts w:ascii="Cambria" w:eastAsia="Times New Roman" w:hAnsi="Cambria" w:cs="Calibri"/>
                <w:lang w:val="hr-HR" w:eastAsia="en-GB"/>
              </w:rPr>
              <w:t>Suradnik</w:t>
            </w:r>
          </w:p>
        </w:tc>
        <w:tc>
          <w:tcPr>
            <w:tcW w:w="671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B7E58F4" w14:textId="21B447B2" w:rsidR="006B2BBC" w:rsidRPr="00DF4CE5" w:rsidRDefault="00EB7E2C" w:rsidP="008B34AF">
            <w:pPr>
              <w:spacing w:after="0" w:line="240" w:lineRule="auto"/>
              <w:jc w:val="both"/>
              <w:rPr>
                <w:rFonts w:ascii="Cambria" w:eastAsia="Times New Roman" w:hAnsi="Cambria" w:cs="Times New Roman"/>
                <w:lang w:val="hr-HR"/>
              </w:rPr>
            </w:pPr>
            <w:hyperlink r:id="rId192" w:history="1">
              <w:r w:rsidRPr="00DF4CE5">
                <w:rPr>
                  <w:rFonts w:ascii="Cambria" w:eastAsia="Times New Roman" w:hAnsi="Cambria" w:cs="Times New Roman"/>
                  <w:color w:val="0000FF"/>
                  <w:u w:val="single"/>
                  <w:lang w:val="hr-HR"/>
                </w:rPr>
                <w:t>P</w:t>
              </w:r>
              <w:r w:rsidR="006B2BBC" w:rsidRPr="00DF4CE5">
                <w:rPr>
                  <w:rFonts w:ascii="Cambria" w:eastAsia="Times New Roman" w:hAnsi="Cambria" w:cs="Times New Roman"/>
                  <w:color w:val="0000FF"/>
                  <w:u w:val="single"/>
                  <w:lang w:val="hr-HR"/>
                </w:rPr>
                <w:t>rof. dr. sc. Ivana Paula Gortan-Carlin</w:t>
              </w:r>
            </w:hyperlink>
            <w:r w:rsidR="006B2BBC" w:rsidRPr="00DF4CE5">
              <w:rPr>
                <w:rFonts w:ascii="Cambria" w:eastAsia="Times New Roman" w:hAnsi="Cambria" w:cs="Times New Roman"/>
                <w:lang w:val="hr-HR"/>
              </w:rPr>
              <w:t xml:space="preserve"> (nositeljica)</w:t>
            </w:r>
          </w:p>
          <w:p w14:paraId="792758BC" w14:textId="5BFDCE90" w:rsidR="006B2BBC" w:rsidRPr="00DF4CE5" w:rsidRDefault="00EB7E2C" w:rsidP="008B34AF">
            <w:pPr>
              <w:spacing w:after="0" w:line="240" w:lineRule="auto"/>
              <w:jc w:val="both"/>
              <w:rPr>
                <w:rFonts w:ascii="Cambria" w:eastAsia="Times New Roman" w:hAnsi="Cambria" w:cs="Calibri"/>
                <w:lang w:val="hr-HR" w:eastAsia="en-GB"/>
              </w:rPr>
            </w:pPr>
            <w:hyperlink r:id="rId193" w:history="1">
              <w:r w:rsidRPr="00DF4CE5">
                <w:rPr>
                  <w:rFonts w:ascii="Cambria" w:eastAsia="Times New Roman" w:hAnsi="Cambria" w:cs="Times New Roman"/>
                  <w:color w:val="0000FF"/>
                  <w:u w:val="single"/>
                  <w:lang w:val="hr-HR"/>
                </w:rPr>
                <w:t>M</w:t>
              </w:r>
              <w:r w:rsidR="006B2BBC" w:rsidRPr="00DF4CE5">
                <w:rPr>
                  <w:rFonts w:ascii="Cambria" w:eastAsia="Times New Roman" w:hAnsi="Cambria" w:cs="Times New Roman"/>
                  <w:color w:val="0000FF"/>
                  <w:u w:val="single"/>
                  <w:lang w:val="hr-HR"/>
                </w:rPr>
                <w:t>r. sc. Branko Radić, pred.</w:t>
              </w:r>
            </w:hyperlink>
          </w:p>
        </w:tc>
      </w:tr>
      <w:tr w:rsidR="006B2BBC" w:rsidRPr="00D0399C" w14:paraId="1950B405" w14:textId="77777777" w:rsidTr="00C106A0">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A78E8A9" w14:textId="77777777" w:rsidR="006B2BBC" w:rsidRPr="00DF4CE5" w:rsidRDefault="006B2BBC" w:rsidP="008B34AF">
            <w:pPr>
              <w:spacing w:after="0" w:line="240" w:lineRule="auto"/>
              <w:jc w:val="both"/>
              <w:rPr>
                <w:rFonts w:ascii="Cambria" w:eastAsia="Times New Roman" w:hAnsi="Cambria" w:cs="Calibri"/>
                <w:lang w:val="hr-HR" w:eastAsia="en-GB"/>
              </w:rPr>
            </w:pPr>
            <w:r w:rsidRPr="00DF4CE5">
              <w:rPr>
                <w:rFonts w:ascii="Cambria" w:eastAsia="Times New Roman" w:hAnsi="Cambria" w:cs="Calibri"/>
                <w:lang w:val="hr-HR" w:eastAsia="en-GB"/>
              </w:rPr>
              <w:t>Studijski program</w:t>
            </w:r>
          </w:p>
        </w:tc>
        <w:tc>
          <w:tcPr>
            <w:tcW w:w="671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B8285B8" w14:textId="77777777" w:rsidR="006B2BBC" w:rsidRPr="00DF4CE5" w:rsidRDefault="006B2BBC" w:rsidP="008B34AF">
            <w:pPr>
              <w:spacing w:after="0" w:line="240" w:lineRule="auto"/>
              <w:jc w:val="both"/>
              <w:rPr>
                <w:rFonts w:ascii="Cambria" w:eastAsia="Times New Roman" w:hAnsi="Cambria" w:cs="Calibri"/>
                <w:lang w:val="hr-HR" w:eastAsia="en-GB"/>
              </w:rPr>
            </w:pPr>
            <w:r w:rsidRPr="00DF4CE5">
              <w:rPr>
                <w:rFonts w:ascii="Cambria" w:eastAsia="Times New Roman" w:hAnsi="Cambria" w:cs="Calibri"/>
                <w:lang w:val="hr-HR"/>
              </w:rPr>
              <w:t>Sveučilišni integrirani prijediplomski i diplomski Učiteljski studij na hrvatskom jeziku</w:t>
            </w:r>
          </w:p>
        </w:tc>
      </w:tr>
      <w:tr w:rsidR="006B2BBC" w:rsidRPr="00DF4CE5" w14:paraId="78D25D15" w14:textId="77777777" w:rsidTr="00C106A0">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816E4EE" w14:textId="77777777" w:rsidR="006B2BBC" w:rsidRPr="00DF4CE5" w:rsidRDefault="006B2BBC" w:rsidP="008B34AF">
            <w:pPr>
              <w:spacing w:after="0" w:line="240" w:lineRule="auto"/>
              <w:jc w:val="both"/>
              <w:rPr>
                <w:rFonts w:ascii="Cambria" w:eastAsia="Times New Roman" w:hAnsi="Cambria" w:cs="Calibri"/>
                <w:lang w:val="hr-HR" w:eastAsia="en-GB"/>
              </w:rPr>
            </w:pPr>
            <w:r w:rsidRPr="00DF4CE5">
              <w:rPr>
                <w:rFonts w:ascii="Cambria" w:eastAsia="Times New Roman" w:hAnsi="Cambria" w:cs="Calibri"/>
                <w:lang w:val="hr-HR" w:eastAsia="en-GB"/>
              </w:rPr>
              <w:t>Vrsta kolegija</w:t>
            </w:r>
          </w:p>
        </w:tc>
        <w:tc>
          <w:tcPr>
            <w:tcW w:w="248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1595262" w14:textId="77777777" w:rsidR="006B2BBC" w:rsidRPr="00DF4CE5" w:rsidRDefault="006B2BBC" w:rsidP="008B34AF">
            <w:pPr>
              <w:spacing w:after="0" w:line="240" w:lineRule="auto"/>
              <w:jc w:val="both"/>
              <w:rPr>
                <w:rFonts w:ascii="Cambria" w:eastAsia="Times New Roman" w:hAnsi="Cambria" w:cs="Calibri"/>
                <w:lang w:val="hr-HR" w:eastAsia="en-GB"/>
              </w:rPr>
            </w:pPr>
            <w:r w:rsidRPr="00DF4CE5">
              <w:rPr>
                <w:rFonts w:ascii="Cambria" w:eastAsia="Times New Roman" w:hAnsi="Cambria" w:cs="Calibri"/>
                <w:lang w:val="hr-HR" w:eastAsia="en-GB"/>
              </w:rPr>
              <w:t>izborni</w:t>
            </w:r>
          </w:p>
        </w:tc>
        <w:tc>
          <w:tcPr>
            <w:tcW w:w="1462"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4ABA3DDC" w14:textId="77777777" w:rsidR="006B2BBC" w:rsidRPr="00DF4CE5" w:rsidRDefault="006B2BBC" w:rsidP="008B34AF">
            <w:pPr>
              <w:spacing w:after="0" w:line="240" w:lineRule="auto"/>
              <w:jc w:val="both"/>
              <w:rPr>
                <w:rFonts w:ascii="Cambria" w:eastAsia="Times New Roman" w:hAnsi="Cambria" w:cs="Calibri"/>
                <w:lang w:val="hr-HR" w:eastAsia="en-GB"/>
              </w:rPr>
            </w:pPr>
            <w:r w:rsidRPr="00DF4CE5">
              <w:rPr>
                <w:rFonts w:ascii="Cambria" w:eastAsia="Times New Roman" w:hAnsi="Cambria" w:cs="Calibri"/>
                <w:lang w:val="hr-HR" w:eastAsia="en-GB"/>
              </w:rPr>
              <w:t>Razina kolegija</w:t>
            </w:r>
          </w:p>
        </w:tc>
        <w:tc>
          <w:tcPr>
            <w:tcW w:w="2769"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5E40CF7" w14:textId="77777777" w:rsidR="006B2BBC" w:rsidRPr="00DF4CE5" w:rsidRDefault="006B2BBC" w:rsidP="008B34AF">
            <w:pPr>
              <w:spacing w:after="0" w:line="240" w:lineRule="auto"/>
              <w:jc w:val="both"/>
              <w:rPr>
                <w:rFonts w:ascii="Cambria" w:eastAsia="Times New Roman" w:hAnsi="Cambria" w:cs="Calibri"/>
                <w:lang w:val="hr-HR" w:eastAsia="en-GB"/>
              </w:rPr>
            </w:pPr>
            <w:r w:rsidRPr="00DF4CE5">
              <w:rPr>
                <w:rFonts w:ascii="Cambria" w:eastAsia="Times New Roman" w:hAnsi="Cambria" w:cs="Calibri"/>
                <w:lang w:val="hr-HR" w:eastAsia="en-GB"/>
              </w:rPr>
              <w:t xml:space="preserve">integrirani </w:t>
            </w:r>
          </w:p>
        </w:tc>
      </w:tr>
      <w:tr w:rsidR="006B2BBC" w:rsidRPr="00DF4CE5" w14:paraId="5AD65AD2" w14:textId="77777777" w:rsidTr="00C106A0">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949EA69" w14:textId="77777777" w:rsidR="006B2BBC" w:rsidRPr="00DF4CE5" w:rsidRDefault="006B2BBC" w:rsidP="008B34AF">
            <w:pPr>
              <w:spacing w:after="0" w:line="240" w:lineRule="auto"/>
              <w:jc w:val="both"/>
              <w:rPr>
                <w:rFonts w:ascii="Cambria" w:eastAsia="Times New Roman" w:hAnsi="Cambria" w:cs="Calibri"/>
                <w:lang w:val="hr-HR" w:eastAsia="en-GB"/>
              </w:rPr>
            </w:pPr>
            <w:r w:rsidRPr="00DF4CE5">
              <w:rPr>
                <w:rFonts w:ascii="Cambria" w:eastAsia="Times New Roman" w:hAnsi="Cambria" w:cs="Calibri"/>
                <w:lang w:val="hr-HR" w:eastAsia="en-GB"/>
              </w:rPr>
              <w:t>Semestar</w:t>
            </w:r>
          </w:p>
        </w:tc>
        <w:tc>
          <w:tcPr>
            <w:tcW w:w="248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3B29AAE" w14:textId="723A2D50" w:rsidR="006B2BBC" w:rsidRPr="00DF4CE5" w:rsidRDefault="00B63FDF" w:rsidP="008B34AF">
            <w:pPr>
              <w:spacing w:after="0" w:line="240" w:lineRule="auto"/>
              <w:jc w:val="both"/>
              <w:rPr>
                <w:rFonts w:ascii="Cambria" w:eastAsia="Times New Roman" w:hAnsi="Cambria" w:cs="Calibri"/>
                <w:lang w:val="hr-HR" w:eastAsia="en-GB"/>
              </w:rPr>
            </w:pPr>
            <w:r w:rsidRPr="00DF4CE5">
              <w:rPr>
                <w:rFonts w:ascii="Cambria" w:eastAsia="Times New Roman" w:hAnsi="Cambria" w:cs="Calibri"/>
                <w:lang w:val="hr-HR" w:eastAsia="en-GB"/>
              </w:rPr>
              <w:t>z</w:t>
            </w:r>
            <w:r w:rsidR="006B2BBC" w:rsidRPr="00DF4CE5">
              <w:rPr>
                <w:rFonts w:ascii="Cambria" w:eastAsia="Times New Roman" w:hAnsi="Cambria" w:cs="Calibri"/>
                <w:lang w:val="hr-HR" w:eastAsia="en-GB"/>
              </w:rPr>
              <w:t>imski</w:t>
            </w:r>
          </w:p>
        </w:tc>
        <w:tc>
          <w:tcPr>
            <w:tcW w:w="1462"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55E4EB90" w14:textId="77777777" w:rsidR="006B2BBC" w:rsidRPr="00DF4CE5" w:rsidRDefault="006B2BBC" w:rsidP="008B34AF">
            <w:pPr>
              <w:spacing w:after="0" w:line="240" w:lineRule="auto"/>
              <w:jc w:val="both"/>
              <w:rPr>
                <w:rFonts w:ascii="Cambria" w:eastAsia="Times New Roman" w:hAnsi="Cambria" w:cs="Calibri"/>
                <w:lang w:val="hr-HR" w:eastAsia="en-GB"/>
              </w:rPr>
            </w:pPr>
            <w:r w:rsidRPr="00DF4CE5">
              <w:rPr>
                <w:rFonts w:ascii="Cambria" w:eastAsia="Times New Roman" w:hAnsi="Cambria" w:cs="Calibri"/>
                <w:lang w:val="hr-HR" w:eastAsia="en-GB"/>
              </w:rPr>
              <w:t>Godina studija</w:t>
            </w:r>
          </w:p>
        </w:tc>
        <w:tc>
          <w:tcPr>
            <w:tcW w:w="2769"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A2DD1CC" w14:textId="77777777" w:rsidR="006B2BBC" w:rsidRPr="00DF4CE5" w:rsidRDefault="006B2BBC" w:rsidP="008B34AF">
            <w:pPr>
              <w:spacing w:after="0" w:line="240" w:lineRule="auto"/>
              <w:jc w:val="both"/>
              <w:rPr>
                <w:rFonts w:ascii="Cambria" w:eastAsia="Times New Roman" w:hAnsi="Cambria" w:cs="Calibri"/>
                <w:lang w:val="hr-HR" w:eastAsia="en-GB"/>
              </w:rPr>
            </w:pPr>
            <w:r w:rsidRPr="00DF4CE5">
              <w:rPr>
                <w:rFonts w:ascii="Cambria" w:eastAsia="Times New Roman" w:hAnsi="Cambria" w:cs="Calibri"/>
                <w:lang w:val="hr-HR" w:eastAsia="en-GB"/>
              </w:rPr>
              <w:t xml:space="preserve">V. </w:t>
            </w:r>
          </w:p>
        </w:tc>
      </w:tr>
      <w:tr w:rsidR="006B2BBC" w:rsidRPr="00DF4CE5" w14:paraId="18E58C3F" w14:textId="77777777" w:rsidTr="00C106A0">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C6710B7" w14:textId="77777777" w:rsidR="006B2BBC" w:rsidRPr="00DF4CE5" w:rsidRDefault="006B2BBC" w:rsidP="008B34AF">
            <w:pPr>
              <w:spacing w:after="0" w:line="240" w:lineRule="auto"/>
              <w:jc w:val="both"/>
              <w:rPr>
                <w:rFonts w:ascii="Cambria" w:eastAsia="Times New Roman" w:hAnsi="Cambria" w:cs="Calibri"/>
                <w:lang w:val="hr-HR" w:eastAsia="en-GB"/>
              </w:rPr>
            </w:pPr>
            <w:proofErr w:type="spellStart"/>
            <w:r w:rsidRPr="00DF4CE5">
              <w:rPr>
                <w:rFonts w:ascii="Cambria" w:eastAsia="Times New Roman" w:hAnsi="Cambria" w:cs="Calibri"/>
                <w:lang w:eastAsia="en-GB"/>
              </w:rPr>
              <w:t>Mjesto</w:t>
            </w:r>
            <w:proofErr w:type="spellEnd"/>
            <w:r w:rsidRPr="00DF4CE5">
              <w:rPr>
                <w:rFonts w:ascii="Cambria" w:eastAsia="Times New Roman" w:hAnsi="Cambria" w:cs="Calibri"/>
                <w:lang w:eastAsia="en-GB"/>
              </w:rPr>
              <w:t xml:space="preserve"> </w:t>
            </w:r>
            <w:proofErr w:type="spellStart"/>
            <w:r w:rsidRPr="00DF4CE5">
              <w:rPr>
                <w:rFonts w:ascii="Cambria" w:eastAsia="Times New Roman" w:hAnsi="Cambria" w:cs="Calibri"/>
                <w:lang w:eastAsia="en-GB"/>
              </w:rPr>
              <w:t>izvođenja</w:t>
            </w:r>
            <w:proofErr w:type="spellEnd"/>
          </w:p>
        </w:tc>
        <w:tc>
          <w:tcPr>
            <w:tcW w:w="248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8F921EF" w14:textId="77777777" w:rsidR="006B2BBC" w:rsidRPr="00DF4CE5" w:rsidRDefault="006B2BBC" w:rsidP="00AB127E">
            <w:pPr>
              <w:spacing w:after="0" w:line="240" w:lineRule="auto"/>
              <w:rPr>
                <w:rFonts w:ascii="Cambria" w:eastAsia="Times New Roman" w:hAnsi="Cambria" w:cs="Calibri"/>
                <w:lang w:val="hr-HR" w:eastAsia="en-GB"/>
              </w:rPr>
            </w:pPr>
            <w:proofErr w:type="spellStart"/>
            <w:r w:rsidRPr="00DF4CE5">
              <w:rPr>
                <w:rFonts w:ascii="Cambria" w:eastAsia="Times New Roman" w:hAnsi="Cambria" w:cs="Calibri"/>
                <w:lang w:val="it-IT" w:eastAsia="en-GB"/>
              </w:rPr>
              <w:t>učionica</w:t>
            </w:r>
            <w:proofErr w:type="spellEnd"/>
            <w:r w:rsidRPr="00DF4CE5">
              <w:rPr>
                <w:rFonts w:ascii="Cambria" w:eastAsia="Times New Roman" w:hAnsi="Cambria" w:cs="Calibri"/>
                <w:lang w:val="it-IT" w:eastAsia="en-GB"/>
              </w:rPr>
              <w:t xml:space="preserve">, </w:t>
            </w:r>
            <w:proofErr w:type="spellStart"/>
            <w:r w:rsidRPr="00DF4CE5">
              <w:rPr>
                <w:rFonts w:ascii="Cambria" w:eastAsia="Times New Roman" w:hAnsi="Cambria" w:cs="Calibri"/>
                <w:lang w:val="it-IT" w:eastAsia="en-GB"/>
              </w:rPr>
              <w:t>izvanučionična</w:t>
            </w:r>
            <w:proofErr w:type="spellEnd"/>
            <w:r w:rsidRPr="00DF4CE5">
              <w:rPr>
                <w:rFonts w:ascii="Cambria" w:eastAsia="Times New Roman" w:hAnsi="Cambria" w:cs="Calibri"/>
                <w:lang w:val="it-IT" w:eastAsia="en-GB"/>
              </w:rPr>
              <w:t xml:space="preserve"> </w:t>
            </w:r>
            <w:proofErr w:type="spellStart"/>
            <w:r w:rsidRPr="00DF4CE5">
              <w:rPr>
                <w:rFonts w:ascii="Cambria" w:eastAsia="Times New Roman" w:hAnsi="Cambria" w:cs="Calibri"/>
                <w:lang w:val="it-IT" w:eastAsia="en-GB"/>
              </w:rPr>
              <w:t>nastava</w:t>
            </w:r>
            <w:proofErr w:type="spellEnd"/>
            <w:r w:rsidRPr="00DF4CE5">
              <w:rPr>
                <w:rFonts w:ascii="Cambria" w:eastAsia="Times New Roman" w:hAnsi="Cambria" w:cs="Calibri"/>
                <w:lang w:val="it-IT" w:eastAsia="en-GB"/>
              </w:rPr>
              <w:t xml:space="preserve"> u </w:t>
            </w:r>
            <w:proofErr w:type="spellStart"/>
            <w:r w:rsidRPr="00DF4CE5">
              <w:rPr>
                <w:rFonts w:ascii="Cambria" w:eastAsia="Times New Roman" w:hAnsi="Cambria" w:cs="Calibri"/>
                <w:lang w:val="it-IT" w:eastAsia="en-GB"/>
              </w:rPr>
              <w:t>prirodi</w:t>
            </w:r>
            <w:proofErr w:type="spellEnd"/>
            <w:r w:rsidRPr="00DF4CE5">
              <w:rPr>
                <w:rFonts w:ascii="Cambria" w:eastAsia="Times New Roman" w:hAnsi="Cambria" w:cs="Calibri"/>
                <w:lang w:val="it-IT" w:eastAsia="en-GB"/>
              </w:rPr>
              <w:t xml:space="preserve">, </w:t>
            </w:r>
            <w:proofErr w:type="spellStart"/>
            <w:r w:rsidRPr="00DF4CE5">
              <w:rPr>
                <w:rFonts w:ascii="Cambria" w:eastAsia="Times New Roman" w:hAnsi="Cambria" w:cs="Calibri"/>
                <w:lang w:val="it-IT" w:eastAsia="en-GB"/>
              </w:rPr>
              <w:t>alternativne</w:t>
            </w:r>
            <w:proofErr w:type="spellEnd"/>
            <w:r w:rsidRPr="00DF4CE5">
              <w:rPr>
                <w:rFonts w:ascii="Cambria" w:eastAsia="Times New Roman" w:hAnsi="Cambria" w:cs="Calibri"/>
                <w:lang w:val="it-IT" w:eastAsia="en-GB"/>
              </w:rPr>
              <w:t xml:space="preserve"> sale (</w:t>
            </w:r>
            <w:proofErr w:type="spellStart"/>
            <w:r w:rsidRPr="00DF4CE5">
              <w:rPr>
                <w:rFonts w:ascii="Cambria" w:eastAsia="Times New Roman" w:hAnsi="Cambria" w:cs="Calibri"/>
                <w:lang w:val="it-IT" w:eastAsia="en-GB"/>
              </w:rPr>
              <w:t>koncertne</w:t>
            </w:r>
            <w:proofErr w:type="spellEnd"/>
            <w:r w:rsidRPr="00DF4CE5">
              <w:rPr>
                <w:rFonts w:ascii="Cambria" w:eastAsia="Times New Roman" w:hAnsi="Cambria" w:cs="Calibri"/>
                <w:lang w:val="it-IT" w:eastAsia="en-GB"/>
              </w:rPr>
              <w:t xml:space="preserve">, </w:t>
            </w:r>
            <w:proofErr w:type="spellStart"/>
            <w:r w:rsidRPr="00DF4CE5">
              <w:rPr>
                <w:rFonts w:ascii="Cambria" w:eastAsia="Times New Roman" w:hAnsi="Cambria" w:cs="Calibri"/>
                <w:lang w:val="it-IT" w:eastAsia="en-GB"/>
              </w:rPr>
              <w:t>kazališne</w:t>
            </w:r>
            <w:proofErr w:type="spellEnd"/>
            <w:r w:rsidRPr="00DF4CE5">
              <w:rPr>
                <w:rFonts w:ascii="Cambria" w:eastAsia="Times New Roman" w:hAnsi="Cambria" w:cs="Calibri"/>
                <w:lang w:val="it-IT" w:eastAsia="en-GB"/>
              </w:rPr>
              <w:t xml:space="preserve">) </w:t>
            </w:r>
          </w:p>
        </w:tc>
        <w:tc>
          <w:tcPr>
            <w:tcW w:w="1462"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1897A591" w14:textId="77777777" w:rsidR="006B2BBC" w:rsidRPr="00DF4CE5" w:rsidRDefault="006B2BBC" w:rsidP="008B34AF">
            <w:pPr>
              <w:spacing w:after="0" w:line="240" w:lineRule="auto"/>
              <w:jc w:val="both"/>
              <w:rPr>
                <w:rFonts w:ascii="Cambria" w:eastAsia="Times New Roman" w:hAnsi="Cambria" w:cs="Calibri"/>
                <w:lang w:val="hr-HR" w:eastAsia="en-GB"/>
              </w:rPr>
            </w:pPr>
            <w:r w:rsidRPr="00DF4CE5">
              <w:rPr>
                <w:rFonts w:ascii="Cambria" w:eastAsia="Times New Roman" w:hAnsi="Cambria" w:cs="Calibri"/>
                <w:lang w:eastAsia="en-GB"/>
              </w:rPr>
              <w:t>Jezik</w:t>
            </w:r>
            <w:r w:rsidRPr="00DF4CE5">
              <w:rPr>
                <w:rFonts w:ascii="Cambria" w:eastAsia="Times New Roman" w:hAnsi="Cambria" w:cs="Calibri"/>
                <w:lang w:val="hr-HR" w:eastAsia="en-GB"/>
              </w:rPr>
              <w:t xml:space="preserve"> izvođenja (drugi jezici)</w:t>
            </w:r>
          </w:p>
        </w:tc>
        <w:tc>
          <w:tcPr>
            <w:tcW w:w="2769"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CB77A0E" w14:textId="77777777" w:rsidR="006B2BBC" w:rsidRPr="00DF4CE5" w:rsidRDefault="006B2BBC" w:rsidP="008B34AF">
            <w:pPr>
              <w:spacing w:after="0" w:line="240" w:lineRule="auto"/>
              <w:jc w:val="both"/>
              <w:rPr>
                <w:rFonts w:ascii="Cambria" w:eastAsia="Times New Roman" w:hAnsi="Cambria" w:cs="Calibri"/>
                <w:lang w:eastAsia="en-GB"/>
              </w:rPr>
            </w:pPr>
            <w:proofErr w:type="spellStart"/>
            <w:r w:rsidRPr="00DF4CE5">
              <w:rPr>
                <w:rFonts w:ascii="Cambria" w:eastAsia="Times New Roman" w:hAnsi="Cambria" w:cs="Calibri"/>
                <w:lang w:eastAsia="en-GB"/>
              </w:rPr>
              <w:t>hrvatski</w:t>
            </w:r>
            <w:proofErr w:type="spellEnd"/>
            <w:r w:rsidRPr="00DF4CE5">
              <w:rPr>
                <w:rFonts w:ascii="Cambria" w:eastAsia="Times New Roman" w:hAnsi="Cambria" w:cs="Calibri"/>
                <w:lang w:eastAsia="en-GB"/>
              </w:rPr>
              <w:t xml:space="preserve"> </w:t>
            </w:r>
          </w:p>
          <w:p w14:paraId="75D21E69" w14:textId="77777777" w:rsidR="006B2BBC" w:rsidRPr="00DF4CE5" w:rsidRDefault="006B2BBC" w:rsidP="008B34AF">
            <w:pPr>
              <w:spacing w:after="0" w:line="240" w:lineRule="auto"/>
              <w:jc w:val="both"/>
              <w:rPr>
                <w:rFonts w:ascii="Cambria" w:eastAsia="Times New Roman" w:hAnsi="Cambria" w:cs="Calibri"/>
                <w:lang w:val="hr-HR" w:eastAsia="en-GB"/>
              </w:rPr>
            </w:pPr>
            <w:r w:rsidRPr="00DF4CE5">
              <w:rPr>
                <w:rFonts w:ascii="Cambria" w:eastAsia="Times New Roman" w:hAnsi="Cambria" w:cs="Calibri"/>
                <w:lang w:eastAsia="en-GB"/>
              </w:rPr>
              <w:t>(</w:t>
            </w:r>
            <w:proofErr w:type="spellStart"/>
            <w:r w:rsidRPr="00DF4CE5">
              <w:rPr>
                <w:rFonts w:ascii="Cambria" w:eastAsia="Times New Roman" w:hAnsi="Cambria" w:cs="Calibri"/>
                <w:lang w:eastAsia="en-GB"/>
              </w:rPr>
              <w:t>slovenski</w:t>
            </w:r>
            <w:proofErr w:type="spellEnd"/>
            <w:r w:rsidRPr="00DF4CE5">
              <w:rPr>
                <w:rFonts w:ascii="Cambria" w:eastAsia="Times New Roman" w:hAnsi="Cambria" w:cs="Calibri"/>
                <w:lang w:eastAsia="en-GB"/>
              </w:rPr>
              <w:t xml:space="preserve">, </w:t>
            </w:r>
            <w:proofErr w:type="spellStart"/>
            <w:r w:rsidRPr="00DF4CE5">
              <w:rPr>
                <w:rFonts w:ascii="Cambria" w:eastAsia="Times New Roman" w:hAnsi="Cambria" w:cs="Calibri"/>
                <w:lang w:eastAsia="en-GB"/>
              </w:rPr>
              <w:t>talijanski</w:t>
            </w:r>
            <w:proofErr w:type="spellEnd"/>
            <w:r w:rsidRPr="00DF4CE5">
              <w:rPr>
                <w:rFonts w:ascii="Cambria" w:eastAsia="Times New Roman" w:hAnsi="Cambria" w:cs="Calibri"/>
                <w:lang w:eastAsia="en-GB"/>
              </w:rPr>
              <w:t>)</w:t>
            </w:r>
          </w:p>
        </w:tc>
      </w:tr>
      <w:tr w:rsidR="006B2BBC" w:rsidRPr="00DF4CE5" w14:paraId="10D38401" w14:textId="77777777" w:rsidTr="00C106A0">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9420828" w14:textId="77777777" w:rsidR="006B2BBC" w:rsidRPr="00DF4CE5" w:rsidRDefault="006B2BBC" w:rsidP="008B34AF">
            <w:pPr>
              <w:spacing w:after="0" w:line="240" w:lineRule="auto"/>
              <w:jc w:val="both"/>
              <w:rPr>
                <w:rFonts w:ascii="Cambria" w:eastAsia="Times New Roman" w:hAnsi="Cambria" w:cs="Calibri"/>
                <w:lang w:val="hr-HR" w:eastAsia="en-GB"/>
              </w:rPr>
            </w:pPr>
            <w:r w:rsidRPr="00DF4CE5">
              <w:rPr>
                <w:rFonts w:ascii="Cambria" w:eastAsia="Times New Roman" w:hAnsi="Cambria" w:cs="Calibri"/>
                <w:lang w:val="hr-HR" w:eastAsia="en-GB"/>
              </w:rPr>
              <w:t>Broj ECTS bodova</w:t>
            </w:r>
          </w:p>
        </w:tc>
        <w:tc>
          <w:tcPr>
            <w:tcW w:w="248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53FB402" w14:textId="77777777" w:rsidR="006B2BBC" w:rsidRPr="00DF4CE5" w:rsidRDefault="006B2BBC" w:rsidP="008B34AF">
            <w:pPr>
              <w:spacing w:after="0" w:line="240" w:lineRule="auto"/>
              <w:jc w:val="both"/>
              <w:rPr>
                <w:rFonts w:ascii="Cambria" w:eastAsia="Times New Roman" w:hAnsi="Cambria" w:cs="Calibri"/>
                <w:lang w:val="hr-HR" w:eastAsia="en-GB"/>
              </w:rPr>
            </w:pPr>
            <w:r w:rsidRPr="00DF4CE5">
              <w:rPr>
                <w:rFonts w:ascii="Cambria" w:eastAsia="Times New Roman" w:hAnsi="Cambria" w:cs="Calibri"/>
                <w:lang w:val="hr-HR" w:eastAsia="en-GB"/>
              </w:rPr>
              <w:t>2</w:t>
            </w:r>
          </w:p>
        </w:tc>
        <w:tc>
          <w:tcPr>
            <w:tcW w:w="1462"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67E98385" w14:textId="77777777" w:rsidR="006B2BBC" w:rsidRPr="00DF4CE5" w:rsidRDefault="006B2BBC" w:rsidP="008B34AF">
            <w:pPr>
              <w:spacing w:after="0" w:line="240" w:lineRule="auto"/>
              <w:jc w:val="both"/>
              <w:rPr>
                <w:rFonts w:ascii="Cambria" w:eastAsia="Times New Roman" w:hAnsi="Cambria" w:cs="Calibri"/>
                <w:lang w:val="hr-HR" w:eastAsia="en-GB"/>
              </w:rPr>
            </w:pPr>
            <w:r w:rsidRPr="00DF4CE5">
              <w:rPr>
                <w:rFonts w:ascii="Cambria" w:eastAsia="Times New Roman" w:hAnsi="Cambria" w:cs="Calibri"/>
                <w:lang w:val="hr-HR" w:eastAsia="en-GB"/>
              </w:rPr>
              <w:t>Broj sati u semestru</w:t>
            </w:r>
          </w:p>
        </w:tc>
        <w:tc>
          <w:tcPr>
            <w:tcW w:w="2769"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4677A82" w14:textId="77777777" w:rsidR="006B2BBC" w:rsidRPr="00DF4CE5" w:rsidRDefault="006B2BBC" w:rsidP="008B34AF">
            <w:pPr>
              <w:spacing w:after="0" w:line="240" w:lineRule="auto"/>
              <w:jc w:val="both"/>
              <w:rPr>
                <w:rFonts w:ascii="Cambria" w:eastAsia="Times New Roman" w:hAnsi="Cambria" w:cs="Calibri"/>
                <w:lang w:val="hr-HR" w:eastAsia="en-GB"/>
              </w:rPr>
            </w:pPr>
            <w:r w:rsidRPr="00DF4CE5">
              <w:rPr>
                <w:rFonts w:ascii="Cambria" w:eastAsia="Times New Roman" w:hAnsi="Cambria" w:cs="Calibri"/>
                <w:lang w:val="hr-HR" w:eastAsia="en-GB"/>
              </w:rPr>
              <w:t>15P – 0S – 15V</w:t>
            </w:r>
          </w:p>
        </w:tc>
      </w:tr>
      <w:tr w:rsidR="006B2BBC" w:rsidRPr="00DF4CE5" w14:paraId="7C552809" w14:textId="77777777" w:rsidTr="00C106A0">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D7BC560" w14:textId="77777777" w:rsidR="006B2BBC" w:rsidRPr="00DF4CE5" w:rsidRDefault="006B2BBC" w:rsidP="008B34AF">
            <w:pPr>
              <w:spacing w:after="0" w:line="240" w:lineRule="auto"/>
              <w:jc w:val="both"/>
              <w:rPr>
                <w:rFonts w:ascii="Cambria" w:eastAsia="Times New Roman" w:hAnsi="Cambria" w:cs="Calibri"/>
                <w:lang w:val="hr-HR" w:eastAsia="en-GB"/>
              </w:rPr>
            </w:pPr>
            <w:r w:rsidRPr="00DF4CE5">
              <w:rPr>
                <w:rFonts w:ascii="Cambria" w:eastAsia="Times New Roman" w:hAnsi="Cambria" w:cs="Calibri"/>
                <w:lang w:val="hr-HR" w:eastAsia="en-GB"/>
              </w:rPr>
              <w:t>Preduvjeti za upis i/ili za svladavanje</w:t>
            </w:r>
          </w:p>
        </w:tc>
        <w:tc>
          <w:tcPr>
            <w:tcW w:w="671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04FB164" w14:textId="77777777" w:rsidR="006B2BBC" w:rsidRPr="00DF4CE5" w:rsidRDefault="006B2BBC" w:rsidP="008B34AF">
            <w:pPr>
              <w:spacing w:after="0" w:line="240" w:lineRule="auto"/>
              <w:jc w:val="both"/>
              <w:rPr>
                <w:rFonts w:ascii="Cambria" w:eastAsia="Times New Roman" w:hAnsi="Cambria" w:cs="Calibri"/>
                <w:lang w:val="hr-HR" w:eastAsia="en-GB"/>
              </w:rPr>
            </w:pPr>
            <w:r w:rsidRPr="00DF4CE5">
              <w:rPr>
                <w:rFonts w:ascii="Cambria" w:eastAsia="Times New Roman" w:hAnsi="Cambria" w:cs="Calibri"/>
                <w:lang w:eastAsia="en-GB"/>
              </w:rPr>
              <w:t xml:space="preserve">Nema </w:t>
            </w:r>
            <w:proofErr w:type="spellStart"/>
            <w:r w:rsidRPr="00DF4CE5">
              <w:rPr>
                <w:rFonts w:ascii="Cambria" w:eastAsia="Times New Roman" w:hAnsi="Cambria" w:cs="Calibri"/>
                <w:lang w:eastAsia="en-GB"/>
              </w:rPr>
              <w:t>preduvjeta</w:t>
            </w:r>
            <w:proofErr w:type="spellEnd"/>
          </w:p>
        </w:tc>
      </w:tr>
      <w:tr w:rsidR="006B2BBC" w:rsidRPr="00D0399C" w14:paraId="1E24C07E" w14:textId="77777777" w:rsidTr="00C106A0">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9EDD1E2" w14:textId="77777777" w:rsidR="006B2BBC" w:rsidRPr="00DF4CE5" w:rsidRDefault="006B2BBC" w:rsidP="008B34AF">
            <w:pPr>
              <w:spacing w:after="0" w:line="240" w:lineRule="auto"/>
              <w:jc w:val="both"/>
              <w:rPr>
                <w:rFonts w:ascii="Cambria" w:eastAsia="Times New Roman" w:hAnsi="Cambria" w:cs="Calibri"/>
                <w:lang w:val="hr-HR" w:eastAsia="en-GB"/>
              </w:rPr>
            </w:pPr>
            <w:proofErr w:type="spellStart"/>
            <w:r w:rsidRPr="00DF4CE5">
              <w:rPr>
                <w:rFonts w:ascii="Cambria" w:eastAsia="Times New Roman" w:hAnsi="Cambria" w:cs="Calibri"/>
                <w:lang w:eastAsia="en-GB"/>
              </w:rPr>
              <w:t>Korelativnost</w:t>
            </w:r>
            <w:proofErr w:type="spellEnd"/>
          </w:p>
        </w:tc>
        <w:tc>
          <w:tcPr>
            <w:tcW w:w="671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399CB9A" w14:textId="77777777" w:rsidR="006B2BBC" w:rsidRPr="00DF4CE5" w:rsidRDefault="006B2BBC" w:rsidP="008B34AF">
            <w:pPr>
              <w:spacing w:after="0" w:line="240" w:lineRule="auto"/>
              <w:jc w:val="both"/>
              <w:rPr>
                <w:rFonts w:ascii="Cambria" w:eastAsia="Times New Roman" w:hAnsi="Cambria" w:cs="Calibri"/>
                <w:lang w:val="hr-HR" w:eastAsia="en-GB"/>
              </w:rPr>
            </w:pPr>
            <w:r w:rsidRPr="00DF4CE5">
              <w:rPr>
                <w:rFonts w:ascii="Cambria" w:eastAsia="Times New Roman" w:hAnsi="Cambria" w:cs="Calibri"/>
                <w:lang w:val="hr-HR" w:eastAsia="en-GB"/>
              </w:rPr>
              <w:t xml:space="preserve">Sviranje, Metodika glazbene kulture, Dječja književnost, Metodika likovne kulture, </w:t>
            </w:r>
            <w:proofErr w:type="spellStart"/>
            <w:r w:rsidRPr="00DF4CE5">
              <w:rPr>
                <w:rFonts w:ascii="Cambria" w:eastAsia="Times New Roman" w:hAnsi="Cambria" w:cs="Calibri"/>
                <w:lang w:val="hr-HR" w:eastAsia="en-GB"/>
              </w:rPr>
              <w:t>Lutkarstvo</w:t>
            </w:r>
            <w:proofErr w:type="spellEnd"/>
            <w:r w:rsidRPr="00DF4CE5">
              <w:rPr>
                <w:rFonts w:ascii="Cambria" w:eastAsia="Times New Roman" w:hAnsi="Cambria" w:cs="Calibri"/>
                <w:lang w:val="hr-HR" w:eastAsia="en-GB"/>
              </w:rPr>
              <w:t xml:space="preserve"> i scenska kultura, Metodikom kineziološke kulture.</w:t>
            </w:r>
          </w:p>
        </w:tc>
      </w:tr>
      <w:tr w:rsidR="006B2BBC" w:rsidRPr="00D0399C" w14:paraId="4CF308DB" w14:textId="77777777" w:rsidTr="00C106A0">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2F96AAF" w14:textId="77777777" w:rsidR="006B2BBC" w:rsidRPr="00DF4CE5" w:rsidRDefault="006B2BBC" w:rsidP="008B34AF">
            <w:pPr>
              <w:spacing w:after="0" w:line="240" w:lineRule="auto"/>
              <w:jc w:val="both"/>
              <w:rPr>
                <w:rFonts w:ascii="Cambria" w:eastAsia="Times New Roman" w:hAnsi="Cambria" w:cs="Calibri"/>
                <w:lang w:val="hr-HR" w:eastAsia="en-GB"/>
              </w:rPr>
            </w:pPr>
            <w:r w:rsidRPr="00DF4CE5">
              <w:rPr>
                <w:rFonts w:ascii="Cambria" w:eastAsia="Times New Roman" w:hAnsi="Cambria" w:cs="Calibri"/>
                <w:lang w:val="hr-HR" w:eastAsia="en-GB"/>
              </w:rPr>
              <w:t xml:space="preserve">Cilj kolegija </w:t>
            </w:r>
          </w:p>
        </w:tc>
        <w:tc>
          <w:tcPr>
            <w:tcW w:w="671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57E64F0" w14:textId="77777777" w:rsidR="006B2BBC" w:rsidRPr="00DF4CE5" w:rsidRDefault="006B2BBC" w:rsidP="008B34AF">
            <w:pPr>
              <w:spacing w:after="0" w:line="240" w:lineRule="auto"/>
              <w:jc w:val="both"/>
              <w:rPr>
                <w:rFonts w:ascii="Cambria" w:eastAsia="Times New Roman" w:hAnsi="Cambria" w:cs="Calibri"/>
                <w:lang w:val="hr-HR" w:eastAsia="en-GB"/>
              </w:rPr>
            </w:pPr>
            <w:r w:rsidRPr="00DF4CE5">
              <w:rPr>
                <w:rFonts w:ascii="Cambria" w:eastAsia="Times New Roman" w:hAnsi="Cambria" w:cs="Calibri"/>
                <w:lang w:val="hr-HR" w:eastAsia="en-GB"/>
              </w:rPr>
              <w:t>osuvremeniti pristup glazbenim sadržajima i vještinama kreativnim rješenjima</w:t>
            </w:r>
          </w:p>
        </w:tc>
      </w:tr>
      <w:tr w:rsidR="006B2BBC" w:rsidRPr="00D0399C" w14:paraId="2FABD450" w14:textId="77777777" w:rsidTr="00C106A0">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2A796D9" w14:textId="77777777" w:rsidR="006B2BBC" w:rsidRPr="00DF4CE5" w:rsidRDefault="006B2BBC" w:rsidP="008B34AF">
            <w:pPr>
              <w:spacing w:after="0" w:line="240" w:lineRule="auto"/>
              <w:jc w:val="both"/>
              <w:rPr>
                <w:rFonts w:ascii="Cambria" w:eastAsia="Times New Roman" w:hAnsi="Cambria" w:cs="Calibri"/>
                <w:lang w:val="hr-HR" w:eastAsia="en-GB"/>
              </w:rPr>
            </w:pPr>
            <w:r w:rsidRPr="00DF4CE5">
              <w:rPr>
                <w:rFonts w:ascii="Cambria" w:eastAsia="Times New Roman" w:hAnsi="Cambria" w:cs="Calibri"/>
                <w:lang w:val="hr-HR" w:eastAsia="en-GB"/>
              </w:rPr>
              <w:t>Ishodi učenja</w:t>
            </w:r>
          </w:p>
        </w:tc>
        <w:tc>
          <w:tcPr>
            <w:tcW w:w="671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252BBC8" w14:textId="77777777" w:rsidR="006B2BBC" w:rsidRPr="00DF4CE5" w:rsidRDefault="006B2BBC" w:rsidP="008B34AF">
            <w:pPr>
              <w:spacing w:after="0" w:line="240" w:lineRule="auto"/>
              <w:jc w:val="both"/>
              <w:rPr>
                <w:rFonts w:ascii="Cambria" w:eastAsia="Times New Roman" w:hAnsi="Cambria" w:cs="Times New Roman"/>
                <w:lang w:val="hr-HR"/>
              </w:rPr>
            </w:pPr>
            <w:r w:rsidRPr="00DF4CE5">
              <w:rPr>
                <w:rFonts w:ascii="Cambria" w:eastAsia="Times New Roman" w:hAnsi="Cambria" w:cs="Calibri"/>
                <w:lang w:val="it-IT" w:eastAsia="en-GB"/>
              </w:rPr>
              <w:t xml:space="preserve">1. </w:t>
            </w:r>
            <w:r w:rsidRPr="00DF4CE5">
              <w:rPr>
                <w:rFonts w:ascii="Cambria" w:eastAsia="Times New Roman" w:hAnsi="Cambria" w:cs="Times New Roman"/>
                <w:lang w:val="hr-HR"/>
              </w:rPr>
              <w:t>osmisliti kvalitetan glazbeni sadržaj za rad s učenicima razredne nastave</w:t>
            </w:r>
          </w:p>
          <w:p w14:paraId="0AFA9CEF" w14:textId="77777777" w:rsidR="006B2BBC" w:rsidRPr="00DF4CE5" w:rsidRDefault="006B2BBC" w:rsidP="008B34AF">
            <w:pPr>
              <w:spacing w:after="0" w:line="240" w:lineRule="auto"/>
              <w:jc w:val="both"/>
              <w:rPr>
                <w:rFonts w:ascii="Cambria" w:eastAsia="Times New Roman" w:hAnsi="Cambria" w:cs="Calibri"/>
                <w:lang w:val="it-IT" w:eastAsia="en-GB"/>
              </w:rPr>
            </w:pPr>
            <w:r w:rsidRPr="00DF4CE5">
              <w:rPr>
                <w:rFonts w:ascii="Cambria" w:eastAsia="Times New Roman" w:hAnsi="Cambria" w:cs="Calibri"/>
                <w:lang w:val="it-IT" w:eastAsia="en-GB"/>
              </w:rPr>
              <w:t xml:space="preserve">2. </w:t>
            </w:r>
            <w:proofErr w:type="spellStart"/>
            <w:r w:rsidRPr="00DF4CE5">
              <w:rPr>
                <w:rFonts w:ascii="Cambria" w:eastAsia="Times New Roman" w:hAnsi="Cambria" w:cs="Calibri"/>
                <w:lang w:val="it-IT" w:eastAsia="en-GB"/>
              </w:rPr>
              <w:t>osmisliti</w:t>
            </w:r>
            <w:proofErr w:type="spellEnd"/>
            <w:r w:rsidRPr="00DF4CE5">
              <w:rPr>
                <w:rFonts w:ascii="Cambria" w:eastAsia="Times New Roman" w:hAnsi="Cambria" w:cs="Calibri"/>
                <w:lang w:val="it-IT" w:eastAsia="en-GB"/>
              </w:rPr>
              <w:t xml:space="preserve"> </w:t>
            </w:r>
            <w:proofErr w:type="spellStart"/>
            <w:r w:rsidRPr="00DF4CE5">
              <w:rPr>
                <w:rFonts w:ascii="Cambria" w:eastAsia="Times New Roman" w:hAnsi="Cambria" w:cs="Calibri"/>
                <w:lang w:val="it-IT" w:eastAsia="en-GB"/>
              </w:rPr>
              <w:t>ritamsku</w:t>
            </w:r>
            <w:proofErr w:type="spellEnd"/>
            <w:r w:rsidRPr="00DF4CE5">
              <w:rPr>
                <w:rFonts w:ascii="Cambria" w:eastAsia="Times New Roman" w:hAnsi="Cambria" w:cs="Calibri"/>
                <w:lang w:val="it-IT" w:eastAsia="en-GB"/>
              </w:rPr>
              <w:t xml:space="preserve"> </w:t>
            </w:r>
            <w:proofErr w:type="spellStart"/>
            <w:r w:rsidRPr="00DF4CE5">
              <w:rPr>
                <w:rFonts w:ascii="Cambria" w:eastAsia="Times New Roman" w:hAnsi="Cambria" w:cs="Calibri"/>
                <w:lang w:val="it-IT" w:eastAsia="en-GB"/>
              </w:rPr>
              <w:t>pratnju</w:t>
            </w:r>
            <w:proofErr w:type="spellEnd"/>
            <w:r w:rsidRPr="00DF4CE5">
              <w:rPr>
                <w:rFonts w:ascii="Cambria" w:eastAsia="Times New Roman" w:hAnsi="Cambria" w:cs="Calibri"/>
                <w:lang w:val="it-IT" w:eastAsia="en-GB"/>
              </w:rPr>
              <w:t xml:space="preserve"> </w:t>
            </w:r>
            <w:proofErr w:type="spellStart"/>
            <w:r w:rsidRPr="00DF4CE5">
              <w:rPr>
                <w:rFonts w:ascii="Cambria" w:eastAsia="Times New Roman" w:hAnsi="Cambria" w:cs="Calibri"/>
                <w:lang w:val="it-IT" w:eastAsia="en-GB"/>
              </w:rPr>
              <w:t>pjesmi</w:t>
            </w:r>
            <w:proofErr w:type="spellEnd"/>
          </w:p>
          <w:p w14:paraId="4B6335EB" w14:textId="77777777" w:rsidR="006B2BBC" w:rsidRPr="00DF4CE5" w:rsidRDefault="006B2BBC" w:rsidP="008B34AF">
            <w:pPr>
              <w:spacing w:after="0" w:line="240" w:lineRule="auto"/>
              <w:jc w:val="both"/>
              <w:rPr>
                <w:rFonts w:ascii="Cambria" w:eastAsia="Times New Roman" w:hAnsi="Cambria" w:cs="Calibri"/>
                <w:lang w:val="it-IT" w:eastAsia="en-GB"/>
              </w:rPr>
            </w:pPr>
            <w:r w:rsidRPr="00DF4CE5">
              <w:rPr>
                <w:rFonts w:ascii="Cambria" w:eastAsia="Times New Roman" w:hAnsi="Cambria" w:cs="Calibri"/>
                <w:lang w:val="it-IT" w:eastAsia="en-GB"/>
              </w:rPr>
              <w:t xml:space="preserve">3. </w:t>
            </w:r>
            <w:proofErr w:type="spellStart"/>
            <w:r w:rsidRPr="00DF4CE5">
              <w:rPr>
                <w:rFonts w:ascii="Cambria" w:eastAsia="Times New Roman" w:hAnsi="Cambria" w:cs="Calibri"/>
                <w:lang w:val="it-IT" w:eastAsia="en-GB"/>
              </w:rPr>
              <w:t>osmisliti</w:t>
            </w:r>
            <w:proofErr w:type="spellEnd"/>
            <w:r w:rsidRPr="00DF4CE5">
              <w:rPr>
                <w:rFonts w:ascii="Cambria" w:eastAsia="Times New Roman" w:hAnsi="Cambria" w:cs="Calibri"/>
                <w:lang w:val="it-IT" w:eastAsia="en-GB"/>
              </w:rPr>
              <w:t xml:space="preserve"> </w:t>
            </w:r>
            <w:proofErr w:type="spellStart"/>
            <w:r w:rsidRPr="00DF4CE5">
              <w:rPr>
                <w:rFonts w:ascii="Cambria" w:eastAsia="Times New Roman" w:hAnsi="Cambria" w:cs="Calibri"/>
                <w:lang w:val="it-IT" w:eastAsia="en-GB"/>
              </w:rPr>
              <w:t>glazbenu</w:t>
            </w:r>
            <w:proofErr w:type="spellEnd"/>
            <w:r w:rsidRPr="00DF4CE5">
              <w:rPr>
                <w:rFonts w:ascii="Cambria" w:eastAsia="Times New Roman" w:hAnsi="Cambria" w:cs="Calibri"/>
                <w:lang w:val="it-IT" w:eastAsia="en-GB"/>
              </w:rPr>
              <w:t xml:space="preserve"> </w:t>
            </w:r>
            <w:proofErr w:type="spellStart"/>
            <w:r w:rsidRPr="00DF4CE5">
              <w:rPr>
                <w:rFonts w:ascii="Cambria" w:eastAsia="Times New Roman" w:hAnsi="Cambria" w:cs="Calibri"/>
                <w:lang w:val="it-IT" w:eastAsia="en-GB"/>
              </w:rPr>
              <w:t>melodiju</w:t>
            </w:r>
            <w:proofErr w:type="spellEnd"/>
          </w:p>
          <w:p w14:paraId="381861F2" w14:textId="77777777" w:rsidR="006B2BBC" w:rsidRPr="00DF4CE5" w:rsidRDefault="006B2BBC" w:rsidP="008B34AF">
            <w:pPr>
              <w:spacing w:after="0" w:line="240" w:lineRule="auto"/>
              <w:jc w:val="both"/>
              <w:rPr>
                <w:rFonts w:ascii="Cambria" w:eastAsia="Times New Roman" w:hAnsi="Cambria" w:cs="Calibri"/>
                <w:lang w:val="it-IT" w:eastAsia="en-GB"/>
              </w:rPr>
            </w:pPr>
            <w:r w:rsidRPr="00DF4CE5">
              <w:rPr>
                <w:rFonts w:ascii="Cambria" w:eastAsia="Times New Roman" w:hAnsi="Cambria" w:cs="Calibri"/>
                <w:lang w:val="it-IT" w:eastAsia="en-GB"/>
              </w:rPr>
              <w:t xml:space="preserve">4. </w:t>
            </w:r>
            <w:proofErr w:type="spellStart"/>
            <w:r w:rsidRPr="00DF4CE5">
              <w:rPr>
                <w:rFonts w:ascii="Cambria" w:eastAsia="Times New Roman" w:hAnsi="Cambria" w:cs="Calibri"/>
                <w:lang w:val="it-IT" w:eastAsia="en-GB"/>
              </w:rPr>
              <w:t>osmisliti</w:t>
            </w:r>
            <w:proofErr w:type="spellEnd"/>
            <w:r w:rsidRPr="00DF4CE5">
              <w:rPr>
                <w:rFonts w:ascii="Cambria" w:eastAsia="Times New Roman" w:hAnsi="Cambria" w:cs="Calibri"/>
                <w:lang w:val="it-IT" w:eastAsia="en-GB"/>
              </w:rPr>
              <w:t xml:space="preserve"> </w:t>
            </w:r>
            <w:proofErr w:type="spellStart"/>
            <w:r w:rsidRPr="00DF4CE5">
              <w:rPr>
                <w:rFonts w:ascii="Cambria" w:eastAsia="Times New Roman" w:hAnsi="Cambria" w:cs="Calibri"/>
                <w:lang w:val="it-IT" w:eastAsia="en-GB"/>
              </w:rPr>
              <w:t>glazbenu</w:t>
            </w:r>
            <w:proofErr w:type="spellEnd"/>
            <w:r w:rsidRPr="00DF4CE5">
              <w:rPr>
                <w:rFonts w:ascii="Cambria" w:eastAsia="Times New Roman" w:hAnsi="Cambria" w:cs="Calibri"/>
                <w:lang w:val="it-IT" w:eastAsia="en-GB"/>
              </w:rPr>
              <w:t xml:space="preserve"> </w:t>
            </w:r>
            <w:proofErr w:type="spellStart"/>
            <w:r w:rsidRPr="00DF4CE5">
              <w:rPr>
                <w:rFonts w:ascii="Cambria" w:eastAsia="Times New Roman" w:hAnsi="Cambria" w:cs="Calibri"/>
                <w:lang w:val="it-IT" w:eastAsia="en-GB"/>
              </w:rPr>
              <w:t>igru</w:t>
            </w:r>
            <w:proofErr w:type="spellEnd"/>
          </w:p>
          <w:p w14:paraId="1A725822" w14:textId="77777777" w:rsidR="006B2BBC" w:rsidRPr="00DF4CE5" w:rsidRDefault="006B2BBC" w:rsidP="008B34AF">
            <w:pPr>
              <w:spacing w:after="0" w:line="240" w:lineRule="auto"/>
              <w:jc w:val="both"/>
              <w:rPr>
                <w:rFonts w:ascii="Cambria" w:eastAsia="Times New Roman" w:hAnsi="Cambria" w:cs="Calibri"/>
                <w:lang w:val="it-IT" w:eastAsia="en-GB"/>
              </w:rPr>
            </w:pPr>
            <w:r w:rsidRPr="00DF4CE5">
              <w:rPr>
                <w:rFonts w:ascii="Cambria" w:eastAsia="Times New Roman" w:hAnsi="Cambria" w:cs="Calibri"/>
                <w:lang w:val="it-IT" w:eastAsia="en-GB"/>
              </w:rPr>
              <w:t xml:space="preserve">5. </w:t>
            </w:r>
            <w:proofErr w:type="spellStart"/>
            <w:r w:rsidRPr="00DF4CE5">
              <w:rPr>
                <w:rFonts w:ascii="Cambria" w:eastAsia="Times New Roman" w:hAnsi="Cambria" w:cs="Calibri"/>
                <w:lang w:val="it-IT" w:eastAsia="en-GB"/>
              </w:rPr>
              <w:t>ozvučiti</w:t>
            </w:r>
            <w:proofErr w:type="spellEnd"/>
            <w:r w:rsidRPr="00DF4CE5">
              <w:rPr>
                <w:rFonts w:ascii="Cambria" w:eastAsia="Times New Roman" w:hAnsi="Cambria" w:cs="Calibri"/>
                <w:lang w:val="it-IT" w:eastAsia="en-GB"/>
              </w:rPr>
              <w:t xml:space="preserve"> </w:t>
            </w:r>
            <w:proofErr w:type="spellStart"/>
            <w:r w:rsidRPr="00DF4CE5">
              <w:rPr>
                <w:rFonts w:ascii="Cambria" w:eastAsia="Times New Roman" w:hAnsi="Cambria" w:cs="Calibri"/>
                <w:lang w:val="it-IT" w:eastAsia="en-GB"/>
              </w:rPr>
              <w:t>literarne</w:t>
            </w:r>
            <w:proofErr w:type="spellEnd"/>
            <w:r w:rsidRPr="00DF4CE5">
              <w:rPr>
                <w:rFonts w:ascii="Cambria" w:eastAsia="Times New Roman" w:hAnsi="Cambria" w:cs="Calibri"/>
                <w:lang w:val="it-IT" w:eastAsia="en-GB"/>
              </w:rPr>
              <w:t xml:space="preserve"> ili </w:t>
            </w:r>
            <w:proofErr w:type="spellStart"/>
            <w:r w:rsidRPr="00DF4CE5">
              <w:rPr>
                <w:rFonts w:ascii="Cambria" w:eastAsia="Times New Roman" w:hAnsi="Cambria" w:cs="Calibri"/>
                <w:lang w:val="it-IT" w:eastAsia="en-GB"/>
              </w:rPr>
              <w:t>scenske</w:t>
            </w:r>
            <w:proofErr w:type="spellEnd"/>
            <w:r w:rsidRPr="00DF4CE5">
              <w:rPr>
                <w:rFonts w:ascii="Cambria" w:eastAsia="Times New Roman" w:hAnsi="Cambria" w:cs="Calibri"/>
                <w:lang w:val="it-IT" w:eastAsia="en-GB"/>
              </w:rPr>
              <w:t xml:space="preserve"> </w:t>
            </w:r>
            <w:proofErr w:type="spellStart"/>
            <w:r w:rsidRPr="00DF4CE5">
              <w:rPr>
                <w:rFonts w:ascii="Cambria" w:eastAsia="Times New Roman" w:hAnsi="Cambria" w:cs="Calibri"/>
                <w:lang w:val="it-IT" w:eastAsia="en-GB"/>
              </w:rPr>
              <w:t>sadržaje</w:t>
            </w:r>
            <w:proofErr w:type="spellEnd"/>
          </w:p>
        </w:tc>
      </w:tr>
      <w:tr w:rsidR="006B2BBC" w:rsidRPr="00D0399C" w14:paraId="726ABE48" w14:textId="77777777" w:rsidTr="00C106A0">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6DFCD13C" w14:textId="77777777" w:rsidR="006B2BBC" w:rsidRPr="00DF4CE5" w:rsidRDefault="006B2BBC" w:rsidP="008B34AF">
            <w:pPr>
              <w:spacing w:after="0" w:line="240" w:lineRule="auto"/>
              <w:jc w:val="both"/>
              <w:rPr>
                <w:rFonts w:ascii="Cambria" w:eastAsia="Times New Roman" w:hAnsi="Cambria" w:cs="Calibri"/>
                <w:lang w:val="hr-HR" w:eastAsia="en-GB"/>
              </w:rPr>
            </w:pPr>
            <w:r w:rsidRPr="00DF4CE5">
              <w:rPr>
                <w:rFonts w:ascii="Cambria" w:eastAsia="Times New Roman" w:hAnsi="Cambria" w:cs="Calibri"/>
                <w:lang w:val="hr-HR" w:eastAsia="en-GB"/>
              </w:rPr>
              <w:t>Sadržaj kolegija</w:t>
            </w:r>
          </w:p>
        </w:tc>
        <w:tc>
          <w:tcPr>
            <w:tcW w:w="6717"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6F3D247" w14:textId="77777777" w:rsidR="006B2BBC" w:rsidRPr="00DF4CE5" w:rsidRDefault="006B2BBC" w:rsidP="008B34AF">
            <w:pPr>
              <w:spacing w:after="0" w:line="240" w:lineRule="auto"/>
              <w:jc w:val="both"/>
              <w:rPr>
                <w:rFonts w:ascii="Cambria" w:eastAsia="Times New Roman" w:hAnsi="Cambria" w:cs="Calibri"/>
                <w:lang w:val="hr-HR" w:eastAsia="en-GB"/>
              </w:rPr>
            </w:pPr>
            <w:r w:rsidRPr="00DF4CE5">
              <w:rPr>
                <w:rFonts w:ascii="Cambria" w:eastAsia="Times New Roman" w:hAnsi="Cambria" w:cs="Calibri"/>
                <w:lang w:val="hr-HR" w:eastAsia="en-GB"/>
              </w:rPr>
              <w:t>1. Zvuk – ton, šum</w:t>
            </w:r>
          </w:p>
          <w:p w14:paraId="22D69B6D" w14:textId="77777777" w:rsidR="006B2BBC" w:rsidRPr="00DF4CE5" w:rsidRDefault="006B2BBC" w:rsidP="008B34AF">
            <w:pPr>
              <w:spacing w:after="0" w:line="240" w:lineRule="auto"/>
              <w:jc w:val="both"/>
              <w:rPr>
                <w:rFonts w:ascii="Cambria" w:eastAsia="Times New Roman" w:hAnsi="Cambria" w:cs="Calibri"/>
                <w:lang w:val="hr-HR" w:eastAsia="en-GB"/>
              </w:rPr>
            </w:pPr>
            <w:r w:rsidRPr="00DF4CE5">
              <w:rPr>
                <w:rFonts w:ascii="Cambria" w:eastAsia="Times New Roman" w:hAnsi="Cambria" w:cs="Calibri"/>
                <w:lang w:val="hr-HR" w:eastAsia="en-GB"/>
              </w:rPr>
              <w:t>2. Glazbeni doživljaj</w:t>
            </w:r>
          </w:p>
          <w:p w14:paraId="1E156FD4" w14:textId="77777777" w:rsidR="006B2BBC" w:rsidRPr="00DF4CE5" w:rsidRDefault="006B2BBC" w:rsidP="008B34AF">
            <w:pPr>
              <w:spacing w:after="0" w:line="240" w:lineRule="auto"/>
              <w:jc w:val="both"/>
              <w:rPr>
                <w:rFonts w:ascii="Cambria" w:eastAsia="Times New Roman" w:hAnsi="Cambria" w:cs="Calibri"/>
                <w:lang w:val="hr-HR" w:eastAsia="en-GB"/>
              </w:rPr>
            </w:pPr>
            <w:r w:rsidRPr="00DF4CE5">
              <w:rPr>
                <w:rFonts w:ascii="Cambria" w:eastAsia="Times New Roman" w:hAnsi="Cambria" w:cs="Calibri"/>
                <w:lang w:val="hr-HR" w:eastAsia="en-GB"/>
              </w:rPr>
              <w:t>3. Glazbena literatura (glazbena slušaonica)</w:t>
            </w:r>
          </w:p>
          <w:p w14:paraId="376FD994" w14:textId="77777777" w:rsidR="006B2BBC" w:rsidRPr="00DF4CE5" w:rsidRDefault="006B2BBC" w:rsidP="008B34AF">
            <w:pPr>
              <w:spacing w:after="0" w:line="240" w:lineRule="auto"/>
              <w:jc w:val="both"/>
              <w:rPr>
                <w:rFonts w:ascii="Cambria" w:eastAsia="Times New Roman" w:hAnsi="Cambria" w:cs="Calibri"/>
                <w:lang w:val="it-IT" w:eastAsia="en-GB"/>
              </w:rPr>
            </w:pPr>
            <w:r w:rsidRPr="00DF4CE5">
              <w:rPr>
                <w:rFonts w:ascii="Cambria" w:eastAsia="Times New Roman" w:hAnsi="Cambria" w:cs="Calibri"/>
                <w:lang w:val="it-IT" w:eastAsia="en-GB"/>
              </w:rPr>
              <w:t xml:space="preserve">4. </w:t>
            </w:r>
            <w:proofErr w:type="spellStart"/>
            <w:r w:rsidRPr="00DF4CE5">
              <w:rPr>
                <w:rFonts w:ascii="Cambria" w:eastAsia="Times New Roman" w:hAnsi="Cambria" w:cs="Calibri"/>
                <w:lang w:val="it-IT" w:eastAsia="en-GB"/>
              </w:rPr>
              <w:t>Jednostavni</w:t>
            </w:r>
            <w:proofErr w:type="spellEnd"/>
            <w:r w:rsidRPr="00DF4CE5">
              <w:rPr>
                <w:rFonts w:ascii="Cambria" w:eastAsia="Times New Roman" w:hAnsi="Cambria" w:cs="Calibri"/>
                <w:lang w:val="it-IT" w:eastAsia="en-GB"/>
              </w:rPr>
              <w:t xml:space="preserve"> </w:t>
            </w:r>
            <w:proofErr w:type="spellStart"/>
            <w:r w:rsidRPr="00DF4CE5">
              <w:rPr>
                <w:rFonts w:ascii="Cambria" w:eastAsia="Times New Roman" w:hAnsi="Cambria" w:cs="Calibri"/>
                <w:lang w:val="it-IT" w:eastAsia="en-GB"/>
              </w:rPr>
              <w:t>oblici</w:t>
            </w:r>
            <w:proofErr w:type="spellEnd"/>
            <w:r w:rsidRPr="00DF4CE5">
              <w:rPr>
                <w:rFonts w:ascii="Cambria" w:eastAsia="Times New Roman" w:hAnsi="Cambria" w:cs="Calibri"/>
                <w:lang w:val="it-IT" w:eastAsia="en-GB"/>
              </w:rPr>
              <w:t xml:space="preserve"> </w:t>
            </w:r>
            <w:proofErr w:type="spellStart"/>
            <w:r w:rsidRPr="00DF4CE5">
              <w:rPr>
                <w:rFonts w:ascii="Cambria" w:eastAsia="Times New Roman" w:hAnsi="Cambria" w:cs="Calibri"/>
                <w:lang w:val="it-IT" w:eastAsia="en-GB"/>
              </w:rPr>
              <w:t>glazbenoga</w:t>
            </w:r>
            <w:proofErr w:type="spellEnd"/>
            <w:r w:rsidRPr="00DF4CE5">
              <w:rPr>
                <w:rFonts w:ascii="Cambria" w:eastAsia="Times New Roman" w:hAnsi="Cambria" w:cs="Calibri"/>
                <w:lang w:val="it-IT" w:eastAsia="en-GB"/>
              </w:rPr>
              <w:t xml:space="preserve"> </w:t>
            </w:r>
            <w:proofErr w:type="spellStart"/>
            <w:r w:rsidRPr="00DF4CE5">
              <w:rPr>
                <w:rFonts w:ascii="Cambria" w:eastAsia="Times New Roman" w:hAnsi="Cambria" w:cs="Calibri"/>
                <w:lang w:val="it-IT" w:eastAsia="en-GB"/>
              </w:rPr>
              <w:t>djela</w:t>
            </w:r>
            <w:proofErr w:type="spellEnd"/>
          </w:p>
          <w:p w14:paraId="58FADA21" w14:textId="77777777" w:rsidR="006B2BBC" w:rsidRPr="00DF4CE5" w:rsidRDefault="006B2BBC" w:rsidP="008B34AF">
            <w:pPr>
              <w:spacing w:after="0" w:line="240" w:lineRule="auto"/>
              <w:jc w:val="both"/>
              <w:rPr>
                <w:rFonts w:ascii="Cambria" w:eastAsia="Times New Roman" w:hAnsi="Cambria" w:cs="Calibri"/>
                <w:lang w:val="it-IT" w:eastAsia="en-GB"/>
              </w:rPr>
            </w:pPr>
            <w:r w:rsidRPr="00DF4CE5">
              <w:rPr>
                <w:rFonts w:ascii="Cambria" w:eastAsia="Times New Roman" w:hAnsi="Cambria" w:cs="Calibri"/>
                <w:lang w:val="it-IT" w:eastAsia="en-GB"/>
              </w:rPr>
              <w:t xml:space="preserve">5. </w:t>
            </w:r>
            <w:proofErr w:type="spellStart"/>
            <w:r w:rsidRPr="00DF4CE5">
              <w:rPr>
                <w:rFonts w:ascii="Cambria" w:eastAsia="Times New Roman" w:hAnsi="Cambria" w:cs="Calibri"/>
                <w:lang w:val="it-IT" w:eastAsia="en-GB"/>
              </w:rPr>
              <w:t>Glazbeno-scenska</w:t>
            </w:r>
            <w:proofErr w:type="spellEnd"/>
            <w:r w:rsidRPr="00DF4CE5">
              <w:rPr>
                <w:rFonts w:ascii="Cambria" w:eastAsia="Times New Roman" w:hAnsi="Cambria" w:cs="Calibri"/>
                <w:lang w:val="it-IT" w:eastAsia="en-GB"/>
              </w:rPr>
              <w:t xml:space="preserve"> </w:t>
            </w:r>
            <w:proofErr w:type="spellStart"/>
            <w:r w:rsidRPr="00DF4CE5">
              <w:rPr>
                <w:rFonts w:ascii="Cambria" w:eastAsia="Times New Roman" w:hAnsi="Cambria" w:cs="Calibri"/>
                <w:lang w:val="it-IT" w:eastAsia="en-GB"/>
              </w:rPr>
              <w:t>glazba</w:t>
            </w:r>
            <w:proofErr w:type="spellEnd"/>
          </w:p>
          <w:p w14:paraId="2A8F1C40" w14:textId="77777777" w:rsidR="006B2BBC" w:rsidRPr="00DF4CE5" w:rsidRDefault="006B2BBC" w:rsidP="008B34AF">
            <w:pPr>
              <w:spacing w:after="0" w:line="240" w:lineRule="auto"/>
              <w:jc w:val="both"/>
              <w:rPr>
                <w:rFonts w:ascii="Cambria" w:eastAsia="Times New Roman" w:hAnsi="Cambria" w:cs="Calibri"/>
                <w:lang w:val="it-IT" w:eastAsia="en-GB"/>
              </w:rPr>
            </w:pPr>
            <w:r w:rsidRPr="00DF4CE5">
              <w:rPr>
                <w:rFonts w:ascii="Cambria" w:eastAsia="Times New Roman" w:hAnsi="Cambria" w:cs="Calibri"/>
                <w:lang w:val="it-IT" w:eastAsia="en-GB"/>
              </w:rPr>
              <w:t xml:space="preserve">6. </w:t>
            </w:r>
            <w:proofErr w:type="spellStart"/>
            <w:r w:rsidRPr="00DF4CE5">
              <w:rPr>
                <w:rFonts w:ascii="Cambria" w:eastAsia="Times New Roman" w:hAnsi="Cambria" w:cs="Calibri"/>
                <w:lang w:val="it-IT" w:eastAsia="en-GB"/>
              </w:rPr>
              <w:t>Ozbiljna</w:t>
            </w:r>
            <w:proofErr w:type="spellEnd"/>
            <w:r w:rsidRPr="00DF4CE5">
              <w:rPr>
                <w:rFonts w:ascii="Cambria" w:eastAsia="Times New Roman" w:hAnsi="Cambria" w:cs="Calibri"/>
                <w:lang w:val="it-IT" w:eastAsia="en-GB"/>
              </w:rPr>
              <w:t xml:space="preserve"> i </w:t>
            </w:r>
            <w:proofErr w:type="spellStart"/>
            <w:r w:rsidRPr="00DF4CE5">
              <w:rPr>
                <w:rFonts w:ascii="Cambria" w:eastAsia="Times New Roman" w:hAnsi="Cambria" w:cs="Calibri"/>
                <w:lang w:val="it-IT" w:eastAsia="en-GB"/>
              </w:rPr>
              <w:t>zabavna</w:t>
            </w:r>
            <w:proofErr w:type="spellEnd"/>
            <w:r w:rsidRPr="00DF4CE5">
              <w:rPr>
                <w:rFonts w:ascii="Cambria" w:eastAsia="Times New Roman" w:hAnsi="Cambria" w:cs="Calibri"/>
                <w:lang w:val="it-IT" w:eastAsia="en-GB"/>
              </w:rPr>
              <w:t xml:space="preserve"> </w:t>
            </w:r>
            <w:proofErr w:type="spellStart"/>
            <w:r w:rsidRPr="00DF4CE5">
              <w:rPr>
                <w:rFonts w:ascii="Cambria" w:eastAsia="Times New Roman" w:hAnsi="Cambria" w:cs="Calibri"/>
                <w:lang w:val="it-IT" w:eastAsia="en-GB"/>
              </w:rPr>
              <w:t>glazba</w:t>
            </w:r>
            <w:proofErr w:type="spellEnd"/>
          </w:p>
          <w:p w14:paraId="4F3B8B2E" w14:textId="77777777" w:rsidR="006B2BBC" w:rsidRPr="00DF4CE5" w:rsidRDefault="006B2BBC" w:rsidP="008B34AF">
            <w:pPr>
              <w:spacing w:after="0" w:line="240" w:lineRule="auto"/>
              <w:jc w:val="both"/>
              <w:rPr>
                <w:rFonts w:ascii="Cambria" w:eastAsia="Times New Roman" w:hAnsi="Cambria" w:cs="Calibri"/>
                <w:lang w:val="it-IT" w:eastAsia="en-GB"/>
              </w:rPr>
            </w:pPr>
            <w:r w:rsidRPr="00DF4CE5">
              <w:rPr>
                <w:rFonts w:ascii="Cambria" w:eastAsia="Times New Roman" w:hAnsi="Cambria" w:cs="Calibri"/>
                <w:lang w:val="it-IT" w:eastAsia="en-GB"/>
              </w:rPr>
              <w:t xml:space="preserve">7. </w:t>
            </w:r>
            <w:proofErr w:type="spellStart"/>
            <w:r w:rsidRPr="00DF4CE5">
              <w:rPr>
                <w:rFonts w:ascii="Cambria" w:eastAsia="Times New Roman" w:hAnsi="Cambria" w:cs="Calibri"/>
                <w:lang w:val="it-IT" w:eastAsia="en-GB"/>
              </w:rPr>
              <w:t>Improvizacija</w:t>
            </w:r>
            <w:proofErr w:type="spellEnd"/>
            <w:r w:rsidRPr="00DF4CE5">
              <w:rPr>
                <w:rFonts w:ascii="Cambria" w:eastAsia="Times New Roman" w:hAnsi="Cambria" w:cs="Calibri"/>
                <w:lang w:val="it-IT" w:eastAsia="en-GB"/>
              </w:rPr>
              <w:t xml:space="preserve"> - </w:t>
            </w:r>
            <w:proofErr w:type="spellStart"/>
            <w:r w:rsidRPr="00DF4CE5">
              <w:rPr>
                <w:rFonts w:ascii="Cambria" w:eastAsia="Times New Roman" w:hAnsi="Cambria" w:cs="Calibri"/>
                <w:lang w:val="it-IT" w:eastAsia="en-GB"/>
              </w:rPr>
              <w:t>Kreativnost</w:t>
            </w:r>
            <w:proofErr w:type="spellEnd"/>
          </w:p>
          <w:p w14:paraId="3A574BF0" w14:textId="77777777" w:rsidR="006B2BBC" w:rsidRPr="00DF4CE5" w:rsidRDefault="006B2BBC" w:rsidP="008B34AF">
            <w:pPr>
              <w:spacing w:after="0" w:line="240" w:lineRule="auto"/>
              <w:jc w:val="both"/>
              <w:rPr>
                <w:rFonts w:ascii="Cambria" w:eastAsia="Times New Roman" w:hAnsi="Cambria" w:cs="Calibri"/>
                <w:lang w:val="it-IT" w:eastAsia="en-GB"/>
              </w:rPr>
            </w:pPr>
            <w:r w:rsidRPr="00DF4CE5">
              <w:rPr>
                <w:rFonts w:ascii="Cambria" w:eastAsia="Times New Roman" w:hAnsi="Cambria" w:cs="Calibri"/>
                <w:lang w:val="it-IT" w:eastAsia="en-GB"/>
              </w:rPr>
              <w:t xml:space="preserve">8. </w:t>
            </w:r>
            <w:proofErr w:type="spellStart"/>
            <w:r w:rsidRPr="00DF4CE5">
              <w:rPr>
                <w:rFonts w:ascii="Cambria" w:eastAsia="Times New Roman" w:hAnsi="Cambria" w:cs="Calibri"/>
                <w:lang w:val="it-IT" w:eastAsia="en-GB"/>
              </w:rPr>
              <w:t>Skladanje</w:t>
            </w:r>
            <w:proofErr w:type="spellEnd"/>
            <w:r w:rsidRPr="00DF4CE5">
              <w:rPr>
                <w:rFonts w:ascii="Cambria" w:eastAsia="Times New Roman" w:hAnsi="Cambria" w:cs="Calibri"/>
                <w:lang w:val="it-IT" w:eastAsia="en-GB"/>
              </w:rPr>
              <w:t xml:space="preserve"> - </w:t>
            </w:r>
            <w:proofErr w:type="spellStart"/>
            <w:r w:rsidRPr="00DF4CE5">
              <w:rPr>
                <w:rFonts w:ascii="Cambria" w:eastAsia="Times New Roman" w:hAnsi="Cambria" w:cs="Calibri"/>
                <w:lang w:val="it-IT" w:eastAsia="en-GB"/>
              </w:rPr>
              <w:t>Kreativnost</w:t>
            </w:r>
            <w:proofErr w:type="spellEnd"/>
          </w:p>
          <w:p w14:paraId="42090310" w14:textId="77777777" w:rsidR="006B2BBC" w:rsidRPr="00DF4CE5" w:rsidRDefault="006B2BBC" w:rsidP="008B34AF">
            <w:pPr>
              <w:spacing w:after="0" w:line="240" w:lineRule="auto"/>
              <w:jc w:val="both"/>
              <w:rPr>
                <w:rFonts w:ascii="Cambria" w:eastAsia="Times New Roman" w:hAnsi="Cambria" w:cs="Calibri"/>
                <w:lang w:val="it-IT" w:eastAsia="en-GB"/>
              </w:rPr>
            </w:pPr>
            <w:r w:rsidRPr="00DF4CE5">
              <w:rPr>
                <w:rFonts w:ascii="Cambria" w:eastAsia="Times New Roman" w:hAnsi="Cambria" w:cs="Calibri"/>
                <w:lang w:val="it-IT" w:eastAsia="en-GB"/>
              </w:rPr>
              <w:t xml:space="preserve">9. </w:t>
            </w:r>
            <w:proofErr w:type="spellStart"/>
            <w:r w:rsidRPr="00DF4CE5">
              <w:rPr>
                <w:rFonts w:ascii="Cambria" w:eastAsia="Times New Roman" w:hAnsi="Cambria" w:cs="Calibri"/>
                <w:lang w:val="it-IT" w:eastAsia="en-GB"/>
              </w:rPr>
              <w:t>Glazbena</w:t>
            </w:r>
            <w:proofErr w:type="spellEnd"/>
            <w:r w:rsidRPr="00DF4CE5">
              <w:rPr>
                <w:rFonts w:ascii="Cambria" w:eastAsia="Times New Roman" w:hAnsi="Cambria" w:cs="Calibri"/>
                <w:lang w:val="it-IT" w:eastAsia="en-GB"/>
              </w:rPr>
              <w:t xml:space="preserve"> </w:t>
            </w:r>
            <w:proofErr w:type="spellStart"/>
            <w:r w:rsidRPr="00DF4CE5">
              <w:rPr>
                <w:rFonts w:ascii="Cambria" w:eastAsia="Times New Roman" w:hAnsi="Cambria" w:cs="Calibri"/>
                <w:lang w:val="it-IT" w:eastAsia="en-GB"/>
              </w:rPr>
              <w:t>zbirka</w:t>
            </w:r>
            <w:proofErr w:type="spellEnd"/>
            <w:r w:rsidRPr="00DF4CE5">
              <w:rPr>
                <w:rFonts w:ascii="Cambria" w:eastAsia="Times New Roman" w:hAnsi="Cambria" w:cs="Calibri"/>
                <w:lang w:val="it-IT" w:eastAsia="en-GB"/>
              </w:rPr>
              <w:t>/</w:t>
            </w:r>
            <w:proofErr w:type="spellStart"/>
            <w:r w:rsidRPr="00DF4CE5">
              <w:rPr>
                <w:rFonts w:ascii="Cambria" w:eastAsia="Times New Roman" w:hAnsi="Cambria" w:cs="Calibri"/>
                <w:lang w:val="it-IT" w:eastAsia="en-GB"/>
              </w:rPr>
              <w:t>slikovnica</w:t>
            </w:r>
            <w:proofErr w:type="spellEnd"/>
          </w:p>
          <w:p w14:paraId="6EC76496" w14:textId="77777777" w:rsidR="006B2BBC" w:rsidRPr="00DF4CE5" w:rsidRDefault="006B2BBC" w:rsidP="008B34AF">
            <w:pPr>
              <w:spacing w:after="0" w:line="240" w:lineRule="auto"/>
              <w:jc w:val="both"/>
              <w:rPr>
                <w:rFonts w:ascii="Cambria" w:eastAsia="Times New Roman" w:hAnsi="Cambria" w:cs="Calibri"/>
                <w:lang w:val="hr-HR" w:eastAsia="en-GB"/>
              </w:rPr>
            </w:pPr>
            <w:r w:rsidRPr="00DF4CE5">
              <w:rPr>
                <w:rFonts w:ascii="Cambria" w:eastAsia="Times New Roman" w:hAnsi="Cambria" w:cs="Calibri"/>
                <w:lang w:val="it-IT" w:eastAsia="en-GB"/>
              </w:rPr>
              <w:t xml:space="preserve">10. </w:t>
            </w:r>
            <w:proofErr w:type="spellStart"/>
            <w:r w:rsidRPr="00DF4CE5">
              <w:rPr>
                <w:rFonts w:ascii="Cambria" w:eastAsia="Times New Roman" w:hAnsi="Cambria" w:cs="Calibri"/>
                <w:lang w:val="it-IT" w:eastAsia="en-GB"/>
              </w:rPr>
              <w:t>Terenska</w:t>
            </w:r>
            <w:proofErr w:type="spellEnd"/>
            <w:r w:rsidRPr="00DF4CE5">
              <w:rPr>
                <w:rFonts w:ascii="Cambria" w:eastAsia="Times New Roman" w:hAnsi="Cambria" w:cs="Calibri"/>
                <w:lang w:val="it-IT" w:eastAsia="en-GB"/>
              </w:rPr>
              <w:t xml:space="preserve"> </w:t>
            </w:r>
            <w:proofErr w:type="spellStart"/>
            <w:r w:rsidRPr="00DF4CE5">
              <w:rPr>
                <w:rFonts w:ascii="Cambria" w:eastAsia="Times New Roman" w:hAnsi="Cambria" w:cs="Calibri"/>
                <w:lang w:val="it-IT" w:eastAsia="en-GB"/>
              </w:rPr>
              <w:t>nastava</w:t>
            </w:r>
            <w:proofErr w:type="spellEnd"/>
            <w:r w:rsidRPr="00DF4CE5">
              <w:rPr>
                <w:rFonts w:ascii="Cambria" w:eastAsia="Times New Roman" w:hAnsi="Cambria" w:cs="Calibri"/>
                <w:lang w:val="it-IT" w:eastAsia="en-GB"/>
              </w:rPr>
              <w:t xml:space="preserve"> (</w:t>
            </w:r>
            <w:proofErr w:type="spellStart"/>
            <w:r w:rsidRPr="00DF4CE5">
              <w:rPr>
                <w:rFonts w:ascii="Cambria" w:eastAsia="Times New Roman" w:hAnsi="Cambria" w:cs="Calibri"/>
                <w:lang w:val="it-IT" w:eastAsia="en-GB"/>
              </w:rPr>
              <w:t>koncert</w:t>
            </w:r>
            <w:proofErr w:type="spellEnd"/>
            <w:r w:rsidRPr="00DF4CE5">
              <w:rPr>
                <w:rFonts w:ascii="Cambria" w:eastAsia="Times New Roman" w:hAnsi="Cambria" w:cs="Calibri"/>
                <w:lang w:val="it-IT" w:eastAsia="en-GB"/>
              </w:rPr>
              <w:t xml:space="preserve">, </w:t>
            </w:r>
            <w:proofErr w:type="spellStart"/>
            <w:r w:rsidRPr="00DF4CE5">
              <w:rPr>
                <w:rFonts w:ascii="Cambria" w:eastAsia="Times New Roman" w:hAnsi="Cambria" w:cs="Calibri"/>
                <w:lang w:val="it-IT" w:eastAsia="en-GB"/>
              </w:rPr>
              <w:t>zvuci</w:t>
            </w:r>
            <w:proofErr w:type="spellEnd"/>
            <w:r w:rsidRPr="00DF4CE5">
              <w:rPr>
                <w:rFonts w:ascii="Cambria" w:eastAsia="Times New Roman" w:hAnsi="Cambria" w:cs="Calibri"/>
                <w:lang w:val="it-IT" w:eastAsia="en-GB"/>
              </w:rPr>
              <w:t xml:space="preserve"> u </w:t>
            </w:r>
            <w:proofErr w:type="spellStart"/>
            <w:r w:rsidRPr="00DF4CE5">
              <w:rPr>
                <w:rFonts w:ascii="Cambria" w:eastAsia="Times New Roman" w:hAnsi="Cambria" w:cs="Calibri"/>
                <w:lang w:val="it-IT" w:eastAsia="en-GB"/>
              </w:rPr>
              <w:t>prirodi</w:t>
            </w:r>
            <w:proofErr w:type="spellEnd"/>
            <w:r w:rsidRPr="00DF4CE5">
              <w:rPr>
                <w:rFonts w:ascii="Cambria" w:eastAsia="Times New Roman" w:hAnsi="Cambria" w:cs="Calibri"/>
                <w:lang w:val="it-IT" w:eastAsia="en-GB"/>
              </w:rPr>
              <w:t>)</w:t>
            </w:r>
          </w:p>
        </w:tc>
      </w:tr>
      <w:tr w:rsidR="006B2BBC" w:rsidRPr="00DF4CE5" w14:paraId="0F1DFCAC" w14:textId="77777777" w:rsidTr="00C106A0">
        <w:tc>
          <w:tcPr>
            <w:tcW w:w="2623"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hideMark/>
          </w:tcPr>
          <w:p w14:paraId="0412D0AA" w14:textId="77777777" w:rsidR="006B2BBC" w:rsidRPr="00DF4CE5" w:rsidRDefault="006B2BBC" w:rsidP="008B34AF">
            <w:pPr>
              <w:spacing w:after="0" w:line="240" w:lineRule="auto"/>
              <w:jc w:val="both"/>
              <w:rPr>
                <w:rFonts w:ascii="Cambria" w:eastAsia="Times New Roman" w:hAnsi="Cambria" w:cs="Calibri"/>
                <w:lang w:val="hr-HR" w:eastAsia="en-GB"/>
              </w:rPr>
            </w:pPr>
            <w:r w:rsidRPr="00DF4CE5">
              <w:rPr>
                <w:rFonts w:ascii="Cambria" w:eastAsia="Times New Roman" w:hAnsi="Cambria" w:cs="Calibri"/>
                <w:lang w:val="hr-HR" w:eastAsia="en-GB"/>
              </w:rPr>
              <w:lastRenderedPageBreak/>
              <w:t>Planirane aktivnosti</w:t>
            </w:r>
            <w:r w:rsidRPr="00DF4CE5">
              <w:rPr>
                <w:rFonts w:ascii="Cambria" w:eastAsia="Times New Roman" w:hAnsi="Cambria" w:cs="Calibri"/>
                <w:lang w:val="it-IT" w:eastAsia="en-GB"/>
              </w:rPr>
              <w:t>,</w:t>
            </w:r>
          </w:p>
          <w:p w14:paraId="60DBAAA6" w14:textId="77777777" w:rsidR="006B2BBC" w:rsidRPr="00DF4CE5" w:rsidRDefault="006B2BBC" w:rsidP="00D74364">
            <w:pPr>
              <w:spacing w:after="0" w:line="240" w:lineRule="auto"/>
              <w:rPr>
                <w:rFonts w:ascii="Cambria" w:eastAsia="Times New Roman" w:hAnsi="Cambria" w:cs="Calibri"/>
                <w:lang w:val="hr-HR" w:eastAsia="en-GB"/>
              </w:rPr>
            </w:pPr>
            <w:proofErr w:type="spellStart"/>
            <w:r w:rsidRPr="00DF4CE5">
              <w:rPr>
                <w:rFonts w:ascii="Cambria" w:eastAsia="Times New Roman" w:hAnsi="Cambria" w:cs="Calibri"/>
                <w:lang w:val="it-IT" w:eastAsia="en-GB"/>
              </w:rPr>
              <w:t>metode</w:t>
            </w:r>
            <w:proofErr w:type="spellEnd"/>
            <w:r w:rsidRPr="00DF4CE5">
              <w:rPr>
                <w:rFonts w:ascii="Cambria" w:eastAsia="Times New Roman" w:hAnsi="Cambria" w:cs="Calibri"/>
                <w:lang w:val="it-IT" w:eastAsia="en-GB"/>
              </w:rPr>
              <w:t xml:space="preserve"> </w:t>
            </w:r>
            <w:r w:rsidRPr="00DF4CE5">
              <w:rPr>
                <w:rFonts w:ascii="Cambria" w:eastAsia="Times New Roman" w:hAnsi="Cambria" w:cs="Calibri"/>
                <w:lang w:val="hr-HR" w:eastAsia="en-GB"/>
              </w:rPr>
              <w:t>učenja i poučavanja i načini vrednovanja</w:t>
            </w:r>
          </w:p>
        </w:tc>
        <w:tc>
          <w:tcPr>
            <w:tcW w:w="258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62E988A" w14:textId="77777777" w:rsidR="006B2BBC" w:rsidRPr="00DF4CE5" w:rsidRDefault="006B2BBC" w:rsidP="008B34AF">
            <w:pPr>
              <w:spacing w:after="0" w:line="240" w:lineRule="auto"/>
              <w:jc w:val="both"/>
              <w:rPr>
                <w:rFonts w:ascii="Cambria" w:eastAsia="Times New Roman" w:hAnsi="Cambria" w:cs="Calibri"/>
                <w:lang w:val="hr-HR" w:eastAsia="en-GB"/>
              </w:rPr>
            </w:pPr>
            <w:r w:rsidRPr="00DF4CE5">
              <w:rPr>
                <w:rFonts w:ascii="Cambria" w:eastAsia="Times New Roman" w:hAnsi="Cambria" w:cs="Calibri"/>
                <w:bCs/>
                <w:lang w:val="hr-HR" w:eastAsia="en-GB"/>
              </w:rPr>
              <w:t>Obveze</w:t>
            </w:r>
            <w:r w:rsidRPr="00DF4CE5">
              <w:rPr>
                <w:rFonts w:ascii="Cambria" w:eastAsia="Times New Roman" w:hAnsi="Cambria" w:cs="Calibri"/>
                <w:bCs/>
                <w:lang w:eastAsia="en-GB"/>
              </w:rPr>
              <w:t xml:space="preserve"> </w:t>
            </w:r>
          </w:p>
        </w:tc>
        <w:tc>
          <w:tcPr>
            <w:tcW w:w="10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49ED81A" w14:textId="77777777" w:rsidR="006B2BBC" w:rsidRPr="00DF4CE5" w:rsidRDefault="006B2BBC" w:rsidP="008B34AF">
            <w:pPr>
              <w:spacing w:after="0" w:line="240" w:lineRule="auto"/>
              <w:jc w:val="both"/>
              <w:rPr>
                <w:rFonts w:ascii="Cambria" w:eastAsia="Times New Roman" w:hAnsi="Cambria" w:cs="Calibri"/>
                <w:lang w:val="hr-HR" w:eastAsia="en-GB"/>
              </w:rPr>
            </w:pPr>
            <w:r w:rsidRPr="00DF4CE5">
              <w:rPr>
                <w:rFonts w:ascii="Cambria" w:eastAsia="Times New Roman" w:hAnsi="Cambria" w:cs="Calibri"/>
                <w:bCs/>
                <w:lang w:val="hr-HR" w:eastAsia="en-GB"/>
              </w:rPr>
              <w:t>Ishodi</w:t>
            </w:r>
          </w:p>
        </w:tc>
        <w:tc>
          <w:tcPr>
            <w:tcW w:w="71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CD51B7C" w14:textId="77777777" w:rsidR="006B2BBC" w:rsidRPr="00DF4CE5" w:rsidRDefault="006B2BBC" w:rsidP="008B34AF">
            <w:pPr>
              <w:spacing w:after="0" w:line="240" w:lineRule="auto"/>
              <w:jc w:val="both"/>
              <w:rPr>
                <w:rFonts w:ascii="Cambria" w:eastAsia="Times New Roman" w:hAnsi="Cambria" w:cs="Calibri"/>
                <w:lang w:val="hr-HR" w:eastAsia="en-GB"/>
              </w:rPr>
            </w:pPr>
            <w:r w:rsidRPr="00DF4CE5">
              <w:rPr>
                <w:rFonts w:ascii="Cambria" w:eastAsia="Times New Roman" w:hAnsi="Cambria" w:cs="Calibri"/>
                <w:bCs/>
                <w:lang w:val="hr-HR" w:eastAsia="en-GB"/>
              </w:rPr>
              <w:t>Sati</w:t>
            </w:r>
          </w:p>
        </w:tc>
        <w:tc>
          <w:tcPr>
            <w:tcW w:w="101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68C4D2D" w14:textId="77777777" w:rsidR="006B2BBC" w:rsidRPr="00DF4CE5" w:rsidRDefault="006B2BBC" w:rsidP="008B34AF">
            <w:pPr>
              <w:spacing w:after="0" w:line="240" w:lineRule="auto"/>
              <w:jc w:val="both"/>
              <w:rPr>
                <w:rFonts w:ascii="Cambria" w:eastAsia="Times New Roman" w:hAnsi="Cambria" w:cs="Calibri"/>
                <w:lang w:val="hr-HR" w:eastAsia="en-GB"/>
              </w:rPr>
            </w:pPr>
            <w:r w:rsidRPr="00DF4CE5">
              <w:rPr>
                <w:rFonts w:ascii="Cambria" w:eastAsia="Times New Roman" w:hAnsi="Cambria" w:cs="Calibri"/>
                <w:bCs/>
                <w:lang w:val="hr-HR" w:eastAsia="en-GB"/>
              </w:rPr>
              <w:t>ECTS</w:t>
            </w:r>
          </w:p>
        </w:tc>
        <w:tc>
          <w:tcPr>
            <w:tcW w:w="13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F7964D5" w14:textId="77777777" w:rsidR="006B2BBC" w:rsidRPr="00DF4CE5" w:rsidRDefault="006B2BBC" w:rsidP="00AB127E">
            <w:pPr>
              <w:spacing w:after="0" w:line="240" w:lineRule="auto"/>
              <w:rPr>
                <w:rFonts w:ascii="Cambria" w:eastAsia="Times New Roman" w:hAnsi="Cambria" w:cs="Calibri"/>
                <w:lang w:val="hr-HR" w:eastAsia="en-GB"/>
              </w:rPr>
            </w:pPr>
            <w:r w:rsidRPr="00DF4CE5">
              <w:rPr>
                <w:rFonts w:ascii="Cambria" w:eastAsia="Times New Roman" w:hAnsi="Cambria" w:cs="Calibri"/>
                <w:bCs/>
                <w:lang w:val="hr-HR" w:eastAsia="en-GB"/>
              </w:rPr>
              <w:t>Maksimalni udio u ocjeni</w:t>
            </w:r>
            <w:r w:rsidRPr="00DF4CE5">
              <w:rPr>
                <w:rFonts w:ascii="Cambria" w:eastAsia="Times New Roman" w:hAnsi="Cambria" w:cs="Calibri"/>
                <w:bCs/>
                <w:lang w:eastAsia="en-GB"/>
              </w:rPr>
              <w:t xml:space="preserve"> (%)</w:t>
            </w:r>
          </w:p>
        </w:tc>
      </w:tr>
      <w:tr w:rsidR="005005C3" w:rsidRPr="00DF4CE5" w14:paraId="3EDC2B4C" w14:textId="77777777" w:rsidTr="00C106A0">
        <w:tc>
          <w:tcPr>
            <w:tcW w:w="2623" w:type="dxa"/>
            <w:vMerge/>
            <w:tcBorders>
              <w:left w:val="single" w:sz="8" w:space="0" w:color="000000"/>
              <w:right w:val="single" w:sz="8" w:space="0" w:color="000000"/>
            </w:tcBorders>
            <w:vAlign w:val="center"/>
            <w:hideMark/>
          </w:tcPr>
          <w:p w14:paraId="0C731C4B" w14:textId="77777777" w:rsidR="005005C3" w:rsidRPr="00DF4CE5" w:rsidRDefault="005005C3" w:rsidP="005005C3">
            <w:pPr>
              <w:spacing w:after="0" w:line="240" w:lineRule="auto"/>
              <w:jc w:val="both"/>
              <w:rPr>
                <w:rFonts w:ascii="Cambria" w:eastAsia="Times New Roman" w:hAnsi="Cambria" w:cs="Calibri"/>
                <w:lang w:val="hr-HR" w:eastAsia="en-GB"/>
              </w:rPr>
            </w:pPr>
          </w:p>
        </w:tc>
        <w:tc>
          <w:tcPr>
            <w:tcW w:w="258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7111980" w14:textId="6C569D0A" w:rsidR="005005C3" w:rsidRPr="00AB127E" w:rsidRDefault="005005C3" w:rsidP="00514D36">
            <w:pPr>
              <w:spacing w:after="0" w:line="240" w:lineRule="auto"/>
              <w:rPr>
                <w:rFonts w:ascii="Cambria" w:eastAsia="Times New Roman" w:hAnsi="Cambria" w:cs="Calibri"/>
                <w:lang w:val="it-IT" w:eastAsia="en-GB"/>
              </w:rPr>
            </w:pPr>
            <w:proofErr w:type="spellStart"/>
            <w:r w:rsidRPr="00AB127E">
              <w:rPr>
                <w:rFonts w:ascii="Cambria" w:eastAsia="Times New Roman" w:hAnsi="Cambria" w:cs="Calibri"/>
                <w:lang w:val="it-IT"/>
              </w:rPr>
              <w:t>aktivnost</w:t>
            </w:r>
            <w:proofErr w:type="spellEnd"/>
            <w:r w:rsidRPr="00AB127E">
              <w:rPr>
                <w:rFonts w:ascii="Cambria" w:eastAsia="Times New Roman" w:hAnsi="Cambria" w:cs="Calibri"/>
                <w:lang w:val="it-IT"/>
              </w:rPr>
              <w:t xml:space="preserve"> </w:t>
            </w:r>
            <w:proofErr w:type="spellStart"/>
            <w:r w:rsidRPr="00AB127E">
              <w:rPr>
                <w:rFonts w:ascii="Cambria" w:eastAsia="Times New Roman" w:hAnsi="Cambria" w:cs="Calibri"/>
                <w:lang w:val="it-IT"/>
              </w:rPr>
              <w:t>na</w:t>
            </w:r>
            <w:proofErr w:type="spellEnd"/>
            <w:r w:rsidRPr="00AB127E">
              <w:rPr>
                <w:rFonts w:ascii="Cambria" w:eastAsia="Times New Roman" w:hAnsi="Cambria" w:cs="Calibri"/>
                <w:lang w:val="it-IT"/>
              </w:rPr>
              <w:t xml:space="preserve"> </w:t>
            </w:r>
            <w:proofErr w:type="spellStart"/>
            <w:r w:rsidRPr="00AB127E">
              <w:rPr>
                <w:rFonts w:ascii="Cambria" w:eastAsia="Times New Roman" w:hAnsi="Cambria" w:cs="Calibri"/>
                <w:lang w:val="it-IT"/>
              </w:rPr>
              <w:t>nastavi</w:t>
            </w:r>
            <w:proofErr w:type="spellEnd"/>
            <w:r w:rsidR="00AB127E" w:rsidRPr="00AB127E">
              <w:rPr>
                <w:rFonts w:ascii="Cambria" w:eastAsia="Times New Roman" w:hAnsi="Cambria" w:cs="Calibri"/>
                <w:lang w:val="it-IT"/>
              </w:rPr>
              <w:t xml:space="preserve"> (P, V</w:t>
            </w:r>
            <w:r w:rsidR="00AB127E">
              <w:rPr>
                <w:rFonts w:ascii="Cambria" w:eastAsia="Times New Roman" w:hAnsi="Cambria" w:cs="Calibri"/>
                <w:lang w:val="it-IT"/>
              </w:rPr>
              <w:t>)</w:t>
            </w:r>
          </w:p>
        </w:tc>
        <w:tc>
          <w:tcPr>
            <w:tcW w:w="10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60C1C71" w14:textId="39501AF6" w:rsidR="005005C3" w:rsidRPr="00DF4CE5" w:rsidRDefault="005005C3" w:rsidP="00514D36">
            <w:pPr>
              <w:spacing w:after="0" w:line="240" w:lineRule="auto"/>
              <w:jc w:val="center"/>
              <w:rPr>
                <w:rFonts w:ascii="Cambria" w:eastAsia="Times New Roman" w:hAnsi="Cambria" w:cs="Calibri"/>
                <w:lang w:val="hr-HR" w:eastAsia="en-GB"/>
              </w:rPr>
            </w:pPr>
            <w:r w:rsidRPr="00DF4CE5">
              <w:rPr>
                <w:rFonts w:ascii="Cambria" w:eastAsia="Times New Roman" w:hAnsi="Cambria" w:cs="Calibri"/>
                <w:lang w:val="hr-HR" w:eastAsia="en-GB"/>
              </w:rPr>
              <w:t xml:space="preserve">1. </w:t>
            </w:r>
            <w:r w:rsidR="00514D36">
              <w:rPr>
                <w:rFonts w:ascii="Cambria" w:eastAsia="Times New Roman" w:hAnsi="Cambria" w:cs="Calibri"/>
                <w:lang w:val="hr-HR" w:eastAsia="en-GB"/>
              </w:rPr>
              <w:t>–</w:t>
            </w:r>
            <w:r w:rsidRPr="00DF4CE5">
              <w:rPr>
                <w:rFonts w:ascii="Cambria" w:eastAsia="Times New Roman" w:hAnsi="Cambria" w:cs="Calibri"/>
                <w:lang w:val="hr-HR" w:eastAsia="en-GB"/>
              </w:rPr>
              <w:t xml:space="preserve"> 5.</w:t>
            </w:r>
          </w:p>
        </w:tc>
        <w:tc>
          <w:tcPr>
            <w:tcW w:w="71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9ABE5D4" w14:textId="51273246" w:rsidR="005005C3" w:rsidRPr="00DF4CE5" w:rsidRDefault="005005C3" w:rsidP="00514D36">
            <w:pPr>
              <w:spacing w:after="0" w:line="240" w:lineRule="auto"/>
              <w:jc w:val="center"/>
              <w:rPr>
                <w:rFonts w:ascii="Cambria" w:eastAsia="Times New Roman" w:hAnsi="Cambria" w:cs="Calibri"/>
                <w:lang w:val="hr-HR" w:eastAsia="en-GB"/>
              </w:rPr>
            </w:pPr>
            <w:r w:rsidRPr="00DF4CE5">
              <w:rPr>
                <w:rFonts w:ascii="Cambria" w:eastAsia="Times New Roman" w:hAnsi="Cambria" w:cs="Calibri"/>
                <w:lang w:val="hr-HR" w:eastAsia="en-GB"/>
              </w:rPr>
              <w:t>23</w:t>
            </w:r>
          </w:p>
        </w:tc>
        <w:tc>
          <w:tcPr>
            <w:tcW w:w="101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29CDA7F" w14:textId="67C07846" w:rsidR="005005C3" w:rsidRPr="00DF4CE5" w:rsidRDefault="005005C3" w:rsidP="00514D36">
            <w:pPr>
              <w:spacing w:after="0" w:line="240" w:lineRule="auto"/>
              <w:jc w:val="center"/>
              <w:rPr>
                <w:rFonts w:ascii="Cambria" w:eastAsia="Times New Roman" w:hAnsi="Cambria" w:cs="Calibri"/>
                <w:lang w:val="hr-HR" w:eastAsia="en-GB"/>
              </w:rPr>
            </w:pPr>
            <w:r w:rsidRPr="00DF4CE5">
              <w:rPr>
                <w:rFonts w:ascii="Cambria" w:eastAsia="Times New Roman" w:hAnsi="Cambria" w:cs="Calibri"/>
                <w:lang w:val="hr-HR" w:eastAsia="en-GB"/>
              </w:rPr>
              <w:t>0,8</w:t>
            </w:r>
          </w:p>
        </w:tc>
        <w:tc>
          <w:tcPr>
            <w:tcW w:w="13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67703DE" w14:textId="5DD31541" w:rsidR="005005C3" w:rsidRPr="00DF4CE5" w:rsidRDefault="005005C3" w:rsidP="00514D36">
            <w:pPr>
              <w:spacing w:after="0" w:line="240" w:lineRule="auto"/>
              <w:jc w:val="center"/>
              <w:rPr>
                <w:rFonts w:ascii="Cambria" w:eastAsia="Times New Roman" w:hAnsi="Cambria" w:cs="Calibri"/>
                <w:lang w:val="hr-HR" w:eastAsia="en-GB"/>
              </w:rPr>
            </w:pPr>
            <w:r w:rsidRPr="00DF4CE5">
              <w:rPr>
                <w:rFonts w:ascii="Cambria" w:eastAsia="Times New Roman" w:hAnsi="Cambria" w:cs="Calibri"/>
                <w:lang w:val="hr-HR" w:eastAsia="en-GB"/>
              </w:rPr>
              <w:t>10 %</w:t>
            </w:r>
          </w:p>
        </w:tc>
      </w:tr>
      <w:tr w:rsidR="005005C3" w:rsidRPr="00DF4CE5" w14:paraId="59AE461E" w14:textId="77777777" w:rsidTr="00C106A0">
        <w:tc>
          <w:tcPr>
            <w:tcW w:w="2623" w:type="dxa"/>
            <w:vMerge/>
            <w:tcBorders>
              <w:left w:val="single" w:sz="8" w:space="0" w:color="000000"/>
              <w:right w:val="single" w:sz="8" w:space="0" w:color="000000"/>
            </w:tcBorders>
            <w:vAlign w:val="center"/>
            <w:hideMark/>
          </w:tcPr>
          <w:p w14:paraId="1F75DFAC" w14:textId="77777777" w:rsidR="005005C3" w:rsidRPr="00DF4CE5" w:rsidRDefault="005005C3" w:rsidP="005005C3">
            <w:pPr>
              <w:spacing w:after="0" w:line="240" w:lineRule="auto"/>
              <w:jc w:val="both"/>
              <w:rPr>
                <w:rFonts w:ascii="Cambria" w:eastAsia="Times New Roman" w:hAnsi="Cambria" w:cs="Calibri"/>
                <w:lang w:val="hr-HR" w:eastAsia="en-GB"/>
              </w:rPr>
            </w:pPr>
          </w:p>
        </w:tc>
        <w:tc>
          <w:tcPr>
            <w:tcW w:w="258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81293E4" w14:textId="77777777" w:rsidR="005005C3" w:rsidRPr="00DF4CE5" w:rsidRDefault="005005C3" w:rsidP="005005C3">
            <w:pPr>
              <w:spacing w:after="0" w:line="240" w:lineRule="auto"/>
              <w:jc w:val="both"/>
              <w:rPr>
                <w:rFonts w:ascii="Cambria" w:eastAsia="Times New Roman" w:hAnsi="Cambria" w:cs="Calibri"/>
                <w:lang w:val="hr-HR" w:eastAsia="en-GB"/>
              </w:rPr>
            </w:pPr>
            <w:r w:rsidRPr="00DF4CE5">
              <w:rPr>
                <w:rFonts w:ascii="Cambria" w:eastAsia="Times New Roman" w:hAnsi="Cambria" w:cs="Calibri"/>
                <w:lang w:val="hr-HR" w:eastAsia="en-GB"/>
              </w:rPr>
              <w:t>terenska nastava</w:t>
            </w:r>
          </w:p>
        </w:tc>
        <w:tc>
          <w:tcPr>
            <w:tcW w:w="10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BC05377" w14:textId="77777777" w:rsidR="005005C3" w:rsidRPr="00DF4CE5" w:rsidRDefault="005005C3" w:rsidP="00514D36">
            <w:pPr>
              <w:spacing w:after="0" w:line="240" w:lineRule="auto"/>
              <w:jc w:val="center"/>
              <w:rPr>
                <w:rFonts w:ascii="Cambria" w:eastAsia="Times New Roman" w:hAnsi="Cambria" w:cs="Calibri"/>
                <w:lang w:val="hr-HR" w:eastAsia="en-GB"/>
              </w:rPr>
            </w:pPr>
            <w:r w:rsidRPr="00DF4CE5">
              <w:rPr>
                <w:rFonts w:ascii="Cambria" w:eastAsia="Times New Roman" w:hAnsi="Cambria" w:cs="Calibri"/>
                <w:lang w:val="hr-HR" w:eastAsia="en-GB"/>
              </w:rPr>
              <w:t>1. - 5.</w:t>
            </w:r>
          </w:p>
        </w:tc>
        <w:tc>
          <w:tcPr>
            <w:tcW w:w="71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C4EDA91" w14:textId="05E35A2D" w:rsidR="005005C3" w:rsidRPr="00DF4CE5" w:rsidRDefault="005005C3" w:rsidP="00514D36">
            <w:pPr>
              <w:spacing w:after="0" w:line="240" w:lineRule="auto"/>
              <w:jc w:val="center"/>
              <w:rPr>
                <w:rFonts w:ascii="Cambria" w:eastAsia="Times New Roman" w:hAnsi="Cambria" w:cs="Calibri"/>
                <w:lang w:val="hr-HR" w:eastAsia="en-GB"/>
              </w:rPr>
            </w:pPr>
            <w:r w:rsidRPr="00DF4CE5">
              <w:rPr>
                <w:rFonts w:ascii="Cambria" w:eastAsia="Times New Roman" w:hAnsi="Cambria" w:cs="Calibri"/>
                <w:lang w:val="hr-HR" w:eastAsia="en-GB"/>
              </w:rPr>
              <w:t>6</w:t>
            </w:r>
          </w:p>
        </w:tc>
        <w:tc>
          <w:tcPr>
            <w:tcW w:w="101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823BA73" w14:textId="7E07119D" w:rsidR="005005C3" w:rsidRPr="00DF4CE5" w:rsidRDefault="005005C3" w:rsidP="00514D36">
            <w:pPr>
              <w:spacing w:after="0" w:line="240" w:lineRule="auto"/>
              <w:jc w:val="center"/>
              <w:rPr>
                <w:rFonts w:ascii="Cambria" w:eastAsia="Times New Roman" w:hAnsi="Cambria" w:cs="Calibri"/>
                <w:lang w:val="hr-HR" w:eastAsia="en-GB"/>
              </w:rPr>
            </w:pPr>
            <w:r w:rsidRPr="00DF4CE5">
              <w:rPr>
                <w:rFonts w:ascii="Cambria" w:eastAsia="Times New Roman" w:hAnsi="Cambria" w:cs="Calibri"/>
                <w:lang w:val="hr-HR" w:eastAsia="en-GB"/>
              </w:rPr>
              <w:t>0,2</w:t>
            </w:r>
          </w:p>
        </w:tc>
        <w:tc>
          <w:tcPr>
            <w:tcW w:w="13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DB4BC72" w14:textId="703BA6BF" w:rsidR="005005C3" w:rsidRPr="00DF4CE5" w:rsidRDefault="005005C3" w:rsidP="00514D36">
            <w:pPr>
              <w:spacing w:after="0" w:line="240" w:lineRule="auto"/>
              <w:jc w:val="center"/>
              <w:rPr>
                <w:rFonts w:ascii="Cambria" w:eastAsia="Times New Roman" w:hAnsi="Cambria" w:cs="Calibri"/>
                <w:lang w:val="hr-HR" w:eastAsia="en-GB"/>
              </w:rPr>
            </w:pPr>
            <w:r w:rsidRPr="00DF4CE5">
              <w:rPr>
                <w:rFonts w:ascii="Cambria" w:eastAsia="Times New Roman" w:hAnsi="Cambria" w:cs="Calibri"/>
                <w:lang w:val="hr-HR" w:eastAsia="en-GB"/>
              </w:rPr>
              <w:t>10 %</w:t>
            </w:r>
          </w:p>
        </w:tc>
      </w:tr>
      <w:tr w:rsidR="005005C3" w:rsidRPr="00DF4CE5" w14:paraId="06E50A97" w14:textId="77777777" w:rsidTr="00C106A0">
        <w:tc>
          <w:tcPr>
            <w:tcW w:w="2623" w:type="dxa"/>
            <w:vMerge/>
            <w:tcBorders>
              <w:left w:val="single" w:sz="8" w:space="0" w:color="000000"/>
              <w:right w:val="single" w:sz="8" w:space="0" w:color="000000"/>
            </w:tcBorders>
            <w:vAlign w:val="center"/>
            <w:hideMark/>
          </w:tcPr>
          <w:p w14:paraId="0DC4CB89" w14:textId="77777777" w:rsidR="005005C3" w:rsidRPr="00DF4CE5" w:rsidRDefault="005005C3" w:rsidP="005005C3">
            <w:pPr>
              <w:spacing w:after="0" w:line="240" w:lineRule="auto"/>
              <w:jc w:val="both"/>
              <w:rPr>
                <w:rFonts w:ascii="Cambria" w:eastAsia="Times New Roman" w:hAnsi="Cambria" w:cs="Calibri"/>
                <w:lang w:val="hr-HR" w:eastAsia="en-GB"/>
              </w:rPr>
            </w:pPr>
          </w:p>
        </w:tc>
        <w:tc>
          <w:tcPr>
            <w:tcW w:w="258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1C10A0E" w14:textId="77777777" w:rsidR="005005C3" w:rsidRPr="00DF4CE5" w:rsidRDefault="005005C3" w:rsidP="00AB127E">
            <w:pPr>
              <w:spacing w:after="0" w:line="240" w:lineRule="auto"/>
              <w:rPr>
                <w:rFonts w:ascii="Cambria" w:eastAsia="Times New Roman" w:hAnsi="Cambria" w:cs="Calibri"/>
                <w:lang w:val="hr-HR" w:eastAsia="en-GB"/>
              </w:rPr>
            </w:pPr>
            <w:r w:rsidRPr="00DF4CE5">
              <w:rPr>
                <w:rFonts w:ascii="Cambria" w:eastAsia="Times New Roman" w:hAnsi="Cambria" w:cs="Calibri"/>
                <w:lang w:val="hr-HR" w:eastAsia="en-GB"/>
              </w:rPr>
              <w:t>samostalni zadaci (domaća zadaća, istraživanje, sviranje, pjevanje, glazbena bilježnica)</w:t>
            </w:r>
          </w:p>
        </w:tc>
        <w:tc>
          <w:tcPr>
            <w:tcW w:w="10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5AB9945" w14:textId="3B78F130" w:rsidR="005005C3" w:rsidRPr="00DF4CE5" w:rsidRDefault="005005C3" w:rsidP="00514D36">
            <w:pPr>
              <w:spacing w:after="0" w:line="240" w:lineRule="auto"/>
              <w:jc w:val="center"/>
              <w:rPr>
                <w:rFonts w:ascii="Cambria" w:eastAsia="Times New Roman" w:hAnsi="Cambria" w:cs="Calibri"/>
                <w:lang w:val="hr-HR" w:eastAsia="en-GB"/>
              </w:rPr>
            </w:pPr>
            <w:r w:rsidRPr="00DF4CE5">
              <w:rPr>
                <w:rFonts w:ascii="Cambria" w:eastAsia="Times New Roman" w:hAnsi="Cambria" w:cs="Calibri"/>
                <w:lang w:val="hr-HR" w:eastAsia="en-GB"/>
              </w:rPr>
              <w:t>1. - 5.</w:t>
            </w:r>
          </w:p>
        </w:tc>
        <w:tc>
          <w:tcPr>
            <w:tcW w:w="71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323D245" w14:textId="424D8C25" w:rsidR="005005C3" w:rsidRPr="00DF4CE5" w:rsidRDefault="005005C3" w:rsidP="00514D36">
            <w:pPr>
              <w:spacing w:after="0" w:line="240" w:lineRule="auto"/>
              <w:jc w:val="center"/>
              <w:rPr>
                <w:rFonts w:ascii="Cambria" w:eastAsia="Times New Roman" w:hAnsi="Cambria" w:cs="Calibri"/>
                <w:lang w:val="hr-HR" w:eastAsia="en-GB"/>
              </w:rPr>
            </w:pPr>
            <w:r w:rsidRPr="00DF4CE5">
              <w:rPr>
                <w:rFonts w:ascii="Cambria" w:eastAsia="Times New Roman" w:hAnsi="Cambria" w:cs="Calibri"/>
                <w:lang w:val="hr-HR" w:eastAsia="en-GB"/>
              </w:rPr>
              <w:t>22</w:t>
            </w:r>
          </w:p>
        </w:tc>
        <w:tc>
          <w:tcPr>
            <w:tcW w:w="101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046719E" w14:textId="77777777" w:rsidR="005005C3" w:rsidRPr="00DF4CE5" w:rsidRDefault="005005C3" w:rsidP="00514D36">
            <w:pPr>
              <w:spacing w:after="0" w:line="240" w:lineRule="auto"/>
              <w:jc w:val="center"/>
              <w:rPr>
                <w:rFonts w:ascii="Cambria" w:eastAsia="Times New Roman" w:hAnsi="Cambria" w:cs="Calibri"/>
                <w:lang w:val="hr-HR" w:eastAsia="en-GB"/>
              </w:rPr>
            </w:pPr>
            <w:r w:rsidRPr="00DF4CE5">
              <w:rPr>
                <w:rFonts w:ascii="Cambria" w:eastAsia="Times New Roman" w:hAnsi="Cambria" w:cs="Calibri"/>
                <w:lang w:val="hr-HR" w:eastAsia="en-GB"/>
              </w:rPr>
              <w:t>0,7</w:t>
            </w:r>
          </w:p>
        </w:tc>
        <w:tc>
          <w:tcPr>
            <w:tcW w:w="13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98177FD" w14:textId="29C98565" w:rsidR="005005C3" w:rsidRPr="00DF4CE5" w:rsidRDefault="005005C3" w:rsidP="00514D36">
            <w:pPr>
              <w:spacing w:after="0" w:line="240" w:lineRule="auto"/>
              <w:jc w:val="center"/>
              <w:rPr>
                <w:rFonts w:ascii="Cambria" w:eastAsia="Times New Roman" w:hAnsi="Cambria" w:cs="Calibri"/>
                <w:lang w:val="hr-HR" w:eastAsia="en-GB"/>
              </w:rPr>
            </w:pPr>
            <w:r w:rsidRPr="00DF4CE5">
              <w:rPr>
                <w:rFonts w:ascii="Cambria" w:eastAsia="Times New Roman" w:hAnsi="Cambria" w:cs="Calibri"/>
                <w:lang w:val="hr-HR" w:eastAsia="en-GB"/>
              </w:rPr>
              <w:t>60 %</w:t>
            </w:r>
          </w:p>
        </w:tc>
      </w:tr>
      <w:tr w:rsidR="005005C3" w:rsidRPr="00DF4CE5" w14:paraId="09030D03" w14:textId="77777777" w:rsidTr="00C106A0">
        <w:tc>
          <w:tcPr>
            <w:tcW w:w="2623" w:type="dxa"/>
            <w:vMerge/>
            <w:tcBorders>
              <w:left w:val="single" w:sz="8" w:space="0" w:color="000000"/>
              <w:right w:val="single" w:sz="8" w:space="0" w:color="000000"/>
            </w:tcBorders>
            <w:vAlign w:val="center"/>
            <w:hideMark/>
          </w:tcPr>
          <w:p w14:paraId="1BD408FE" w14:textId="77777777" w:rsidR="005005C3" w:rsidRPr="00DF4CE5" w:rsidRDefault="005005C3" w:rsidP="005005C3">
            <w:pPr>
              <w:spacing w:after="0" w:line="240" w:lineRule="auto"/>
              <w:jc w:val="both"/>
              <w:rPr>
                <w:rFonts w:ascii="Cambria" w:eastAsia="Times New Roman" w:hAnsi="Cambria" w:cs="Calibri"/>
                <w:lang w:val="hr-HR" w:eastAsia="en-GB"/>
              </w:rPr>
            </w:pPr>
          </w:p>
        </w:tc>
        <w:tc>
          <w:tcPr>
            <w:tcW w:w="258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069AC5A" w14:textId="77777777" w:rsidR="005005C3" w:rsidRPr="00DF4CE5" w:rsidRDefault="005005C3" w:rsidP="00514D36">
            <w:pPr>
              <w:spacing w:after="0" w:line="240" w:lineRule="auto"/>
              <w:rPr>
                <w:rFonts w:ascii="Cambria" w:eastAsia="Times New Roman" w:hAnsi="Cambria" w:cs="Calibri"/>
                <w:lang w:val="hr-HR" w:eastAsia="en-GB"/>
              </w:rPr>
            </w:pPr>
            <w:r w:rsidRPr="00DF4CE5">
              <w:rPr>
                <w:rFonts w:ascii="Cambria" w:eastAsia="Times New Roman" w:hAnsi="Cambria" w:cs="Calibri"/>
                <w:lang w:val="hr-HR" w:eastAsia="en-GB"/>
              </w:rPr>
              <w:t>predstavljanje glazbeno kreiranog proizvoda</w:t>
            </w:r>
          </w:p>
        </w:tc>
        <w:tc>
          <w:tcPr>
            <w:tcW w:w="10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105B563" w14:textId="330F4E0E" w:rsidR="005005C3" w:rsidRPr="00DF4CE5" w:rsidRDefault="005005C3" w:rsidP="00514D36">
            <w:pPr>
              <w:spacing w:after="0" w:line="240" w:lineRule="auto"/>
              <w:jc w:val="center"/>
              <w:rPr>
                <w:rFonts w:ascii="Cambria" w:eastAsia="Times New Roman" w:hAnsi="Cambria" w:cs="Calibri"/>
                <w:lang w:val="hr-HR" w:eastAsia="en-GB"/>
              </w:rPr>
            </w:pPr>
            <w:r w:rsidRPr="00DF4CE5">
              <w:rPr>
                <w:rFonts w:ascii="Cambria" w:eastAsia="Times New Roman" w:hAnsi="Cambria" w:cs="Calibri"/>
                <w:lang w:val="hr-HR" w:eastAsia="en-GB"/>
              </w:rPr>
              <w:t>1. - 5.</w:t>
            </w:r>
          </w:p>
        </w:tc>
        <w:tc>
          <w:tcPr>
            <w:tcW w:w="71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30C75C0" w14:textId="6D324B2C" w:rsidR="005005C3" w:rsidRPr="00DF4CE5" w:rsidRDefault="005005C3" w:rsidP="00514D36">
            <w:pPr>
              <w:spacing w:after="0" w:line="240" w:lineRule="auto"/>
              <w:jc w:val="center"/>
              <w:rPr>
                <w:rFonts w:ascii="Cambria" w:eastAsia="Times New Roman" w:hAnsi="Cambria" w:cs="Calibri"/>
                <w:lang w:val="hr-HR" w:eastAsia="en-GB"/>
              </w:rPr>
            </w:pPr>
            <w:r w:rsidRPr="00DF4CE5">
              <w:rPr>
                <w:rFonts w:ascii="Cambria" w:eastAsia="Times New Roman" w:hAnsi="Cambria" w:cs="Calibri"/>
                <w:lang w:val="hr-HR" w:eastAsia="en-GB"/>
              </w:rPr>
              <w:t>9</w:t>
            </w:r>
          </w:p>
        </w:tc>
        <w:tc>
          <w:tcPr>
            <w:tcW w:w="101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00E17FA" w14:textId="3D7AB9E4" w:rsidR="005005C3" w:rsidRPr="00DF4CE5" w:rsidRDefault="005005C3" w:rsidP="00514D36">
            <w:pPr>
              <w:spacing w:after="0" w:line="240" w:lineRule="auto"/>
              <w:jc w:val="center"/>
              <w:rPr>
                <w:rFonts w:ascii="Cambria" w:eastAsia="Times New Roman" w:hAnsi="Cambria" w:cs="Calibri"/>
                <w:lang w:val="hr-HR" w:eastAsia="en-GB"/>
              </w:rPr>
            </w:pPr>
            <w:r w:rsidRPr="00DF4CE5">
              <w:rPr>
                <w:rFonts w:ascii="Cambria" w:eastAsia="Times New Roman" w:hAnsi="Cambria" w:cs="Calibri"/>
                <w:lang w:val="hr-HR" w:eastAsia="en-GB"/>
              </w:rPr>
              <w:t>0,3</w:t>
            </w:r>
          </w:p>
        </w:tc>
        <w:tc>
          <w:tcPr>
            <w:tcW w:w="13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7BA8167" w14:textId="283A30AD" w:rsidR="005005C3" w:rsidRPr="00DF4CE5" w:rsidRDefault="005005C3" w:rsidP="00514D36">
            <w:pPr>
              <w:spacing w:after="0" w:line="240" w:lineRule="auto"/>
              <w:jc w:val="center"/>
              <w:rPr>
                <w:rFonts w:ascii="Cambria" w:eastAsia="Times New Roman" w:hAnsi="Cambria" w:cs="Calibri"/>
                <w:lang w:val="hr-HR" w:eastAsia="en-GB"/>
              </w:rPr>
            </w:pPr>
            <w:r w:rsidRPr="00DF4CE5">
              <w:rPr>
                <w:rFonts w:ascii="Cambria" w:eastAsia="Times New Roman" w:hAnsi="Cambria" w:cs="Calibri"/>
                <w:lang w:val="hr-HR" w:eastAsia="en-GB"/>
              </w:rPr>
              <w:t>20 %</w:t>
            </w:r>
          </w:p>
        </w:tc>
      </w:tr>
      <w:tr w:rsidR="005005C3" w:rsidRPr="00DF4CE5" w14:paraId="06E401B1" w14:textId="77777777" w:rsidTr="00C106A0">
        <w:tc>
          <w:tcPr>
            <w:tcW w:w="2623" w:type="dxa"/>
            <w:vMerge/>
            <w:tcBorders>
              <w:left w:val="single" w:sz="8" w:space="0" w:color="000000"/>
              <w:right w:val="single" w:sz="8" w:space="0" w:color="000000"/>
            </w:tcBorders>
            <w:vAlign w:val="center"/>
            <w:hideMark/>
          </w:tcPr>
          <w:p w14:paraId="5516DCDE" w14:textId="77777777" w:rsidR="005005C3" w:rsidRPr="00DF4CE5" w:rsidRDefault="005005C3" w:rsidP="005005C3">
            <w:pPr>
              <w:spacing w:after="0" w:line="240" w:lineRule="auto"/>
              <w:jc w:val="both"/>
              <w:rPr>
                <w:rFonts w:ascii="Cambria" w:eastAsia="Times New Roman" w:hAnsi="Cambria" w:cs="Calibri"/>
                <w:lang w:val="hr-HR" w:eastAsia="en-GB"/>
              </w:rPr>
            </w:pPr>
          </w:p>
        </w:tc>
        <w:tc>
          <w:tcPr>
            <w:tcW w:w="3671"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9241400" w14:textId="08862C9B" w:rsidR="005005C3" w:rsidRPr="00DF4CE5" w:rsidRDefault="007A75FD" w:rsidP="005005C3">
            <w:pPr>
              <w:spacing w:after="0" w:line="240" w:lineRule="auto"/>
              <w:jc w:val="both"/>
              <w:rPr>
                <w:rFonts w:ascii="Cambria" w:eastAsia="Times New Roman" w:hAnsi="Cambria" w:cs="Calibri"/>
                <w:lang w:val="hr-HR" w:eastAsia="en-GB"/>
              </w:rPr>
            </w:pPr>
            <w:proofErr w:type="spellStart"/>
            <w:r w:rsidRPr="00DF4CE5">
              <w:rPr>
                <w:rFonts w:ascii="Cambria" w:eastAsia="Times New Roman" w:hAnsi="Cambria" w:cs="Calibri"/>
                <w:lang w:eastAsia="en-GB"/>
              </w:rPr>
              <w:t>U</w:t>
            </w:r>
            <w:r w:rsidR="005005C3" w:rsidRPr="00DF4CE5">
              <w:rPr>
                <w:rFonts w:ascii="Cambria" w:eastAsia="Times New Roman" w:hAnsi="Cambria" w:cs="Calibri"/>
                <w:lang w:eastAsia="en-GB"/>
              </w:rPr>
              <w:t>kupno</w:t>
            </w:r>
            <w:proofErr w:type="spellEnd"/>
          </w:p>
        </w:tc>
        <w:tc>
          <w:tcPr>
            <w:tcW w:w="71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8203EA9" w14:textId="25B8AF5C" w:rsidR="005005C3" w:rsidRPr="00DF4CE5" w:rsidRDefault="005005C3" w:rsidP="00514D36">
            <w:pPr>
              <w:spacing w:after="0" w:line="240" w:lineRule="auto"/>
              <w:jc w:val="center"/>
              <w:rPr>
                <w:rFonts w:ascii="Cambria" w:eastAsia="Times New Roman" w:hAnsi="Cambria" w:cs="Calibri"/>
                <w:lang w:val="hr-HR" w:eastAsia="en-GB"/>
              </w:rPr>
            </w:pPr>
            <w:r w:rsidRPr="00DF4CE5">
              <w:rPr>
                <w:rFonts w:ascii="Cambria" w:eastAsia="Times New Roman" w:hAnsi="Cambria" w:cs="Calibri"/>
                <w:lang w:val="hr-HR" w:eastAsia="en-GB"/>
              </w:rPr>
              <w:t>60</w:t>
            </w:r>
          </w:p>
        </w:tc>
        <w:tc>
          <w:tcPr>
            <w:tcW w:w="101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8109A21" w14:textId="77777777" w:rsidR="005005C3" w:rsidRPr="00DF4CE5" w:rsidRDefault="005005C3" w:rsidP="00514D36">
            <w:pPr>
              <w:spacing w:after="0" w:line="240" w:lineRule="auto"/>
              <w:jc w:val="center"/>
              <w:rPr>
                <w:rFonts w:ascii="Cambria" w:eastAsia="Times New Roman" w:hAnsi="Cambria" w:cs="Calibri"/>
                <w:lang w:val="hr-HR" w:eastAsia="en-GB"/>
              </w:rPr>
            </w:pPr>
            <w:r w:rsidRPr="00DF4CE5">
              <w:rPr>
                <w:rFonts w:ascii="Cambria" w:eastAsia="Times New Roman" w:hAnsi="Cambria" w:cs="Calibri"/>
                <w:lang w:val="hr-HR" w:eastAsia="en-GB"/>
              </w:rPr>
              <w:t>2</w:t>
            </w:r>
          </w:p>
        </w:tc>
        <w:tc>
          <w:tcPr>
            <w:tcW w:w="13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FF5E1CB" w14:textId="77777777" w:rsidR="005005C3" w:rsidRPr="00DF4CE5" w:rsidRDefault="005005C3" w:rsidP="00514D36">
            <w:pPr>
              <w:spacing w:after="0" w:line="240" w:lineRule="auto"/>
              <w:jc w:val="center"/>
              <w:rPr>
                <w:rFonts w:ascii="Cambria" w:eastAsia="Times New Roman" w:hAnsi="Cambria" w:cs="Calibri"/>
                <w:lang w:val="hr-HR" w:eastAsia="en-GB"/>
              </w:rPr>
            </w:pPr>
            <w:r w:rsidRPr="00DF4CE5">
              <w:rPr>
                <w:rFonts w:ascii="Cambria" w:eastAsia="Times New Roman" w:hAnsi="Cambria" w:cs="Calibri"/>
                <w:lang w:val="hr-HR" w:eastAsia="en-GB"/>
              </w:rPr>
              <w:t>100 %</w:t>
            </w:r>
          </w:p>
        </w:tc>
      </w:tr>
      <w:tr w:rsidR="005005C3" w:rsidRPr="00D0399C" w14:paraId="740EAD34" w14:textId="77777777" w:rsidTr="00C106A0">
        <w:tc>
          <w:tcPr>
            <w:tcW w:w="2623" w:type="dxa"/>
            <w:vMerge/>
            <w:tcBorders>
              <w:left w:val="single" w:sz="8" w:space="0" w:color="000000"/>
              <w:bottom w:val="single" w:sz="8" w:space="0" w:color="000000"/>
              <w:right w:val="single" w:sz="8" w:space="0" w:color="000000"/>
            </w:tcBorders>
            <w:vAlign w:val="center"/>
          </w:tcPr>
          <w:p w14:paraId="742187B7" w14:textId="77777777" w:rsidR="005005C3" w:rsidRPr="00DF4CE5" w:rsidRDefault="005005C3" w:rsidP="005005C3">
            <w:pPr>
              <w:spacing w:after="0" w:line="240" w:lineRule="auto"/>
              <w:jc w:val="both"/>
              <w:rPr>
                <w:rFonts w:ascii="Cambria" w:eastAsia="Times New Roman" w:hAnsi="Cambria" w:cs="Calibri"/>
                <w:lang w:val="hr-HR" w:eastAsia="en-GB"/>
              </w:rPr>
            </w:pPr>
          </w:p>
        </w:tc>
        <w:tc>
          <w:tcPr>
            <w:tcW w:w="6717"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5605BF6" w14:textId="77777777" w:rsidR="005005C3" w:rsidRPr="00DF4CE5" w:rsidRDefault="005005C3" w:rsidP="005005C3">
            <w:pPr>
              <w:spacing w:after="0" w:line="240" w:lineRule="auto"/>
              <w:jc w:val="both"/>
              <w:rPr>
                <w:rFonts w:ascii="Cambria" w:eastAsia="Times New Roman" w:hAnsi="Cambria" w:cs="Calibri"/>
                <w:lang w:val="hr-HR" w:eastAsia="en-GB"/>
              </w:rPr>
            </w:pPr>
            <w:r w:rsidRPr="00DF4CE5">
              <w:rPr>
                <w:rFonts w:ascii="Cambria" w:eastAsia="Times New Roman" w:hAnsi="Cambria" w:cs="Calibri"/>
                <w:lang w:val="hr-HR" w:eastAsia="en-GB"/>
              </w:rPr>
              <w:t>Dodatna pojašnjenja (kriteriji ocjenjivanja):</w:t>
            </w:r>
          </w:p>
          <w:p w14:paraId="1CB4B62D" w14:textId="77777777" w:rsidR="005005C3" w:rsidRPr="00DF4CE5" w:rsidRDefault="005005C3" w:rsidP="005005C3">
            <w:pPr>
              <w:spacing w:after="0" w:line="240" w:lineRule="auto"/>
              <w:jc w:val="both"/>
              <w:rPr>
                <w:rFonts w:ascii="Cambria" w:eastAsia="Times New Roman" w:hAnsi="Cambria" w:cs="Calibri"/>
                <w:lang w:val="it-IT" w:eastAsia="en-GB"/>
              </w:rPr>
            </w:pPr>
            <w:r w:rsidRPr="00DF4CE5">
              <w:rPr>
                <w:rFonts w:ascii="Cambria" w:eastAsia="Times New Roman" w:hAnsi="Cambria" w:cs="Calibri"/>
                <w:lang w:val="hr-HR" w:eastAsia="en-GB"/>
              </w:rPr>
              <w:t xml:space="preserve">Pohađanje nastave je obvezno. </w:t>
            </w:r>
            <w:proofErr w:type="spellStart"/>
            <w:r w:rsidRPr="00DF4CE5">
              <w:rPr>
                <w:rFonts w:ascii="Cambria" w:eastAsia="Times New Roman" w:hAnsi="Cambria" w:cs="Calibri"/>
                <w:lang w:val="it-IT" w:eastAsia="en-GB"/>
              </w:rPr>
              <w:t>Tolerira</w:t>
            </w:r>
            <w:proofErr w:type="spellEnd"/>
            <w:r w:rsidRPr="00DF4CE5">
              <w:rPr>
                <w:rFonts w:ascii="Cambria" w:eastAsia="Times New Roman" w:hAnsi="Cambria" w:cs="Calibri"/>
                <w:lang w:val="it-IT" w:eastAsia="en-GB"/>
              </w:rPr>
              <w:t xml:space="preserve"> se 30 % </w:t>
            </w:r>
            <w:proofErr w:type="spellStart"/>
            <w:r w:rsidRPr="00DF4CE5">
              <w:rPr>
                <w:rFonts w:ascii="Cambria" w:eastAsia="Times New Roman" w:hAnsi="Cambria" w:cs="Calibri"/>
                <w:lang w:val="it-IT" w:eastAsia="en-GB"/>
              </w:rPr>
              <w:t>izostanaka</w:t>
            </w:r>
            <w:proofErr w:type="spellEnd"/>
            <w:r w:rsidRPr="00DF4CE5">
              <w:rPr>
                <w:rFonts w:ascii="Cambria" w:eastAsia="Times New Roman" w:hAnsi="Cambria" w:cs="Calibri"/>
                <w:lang w:val="it-IT" w:eastAsia="en-GB"/>
              </w:rPr>
              <w:t xml:space="preserve"> i </w:t>
            </w:r>
            <w:proofErr w:type="spellStart"/>
            <w:r w:rsidRPr="00DF4CE5">
              <w:rPr>
                <w:rFonts w:ascii="Cambria" w:eastAsia="Times New Roman" w:hAnsi="Cambria" w:cs="Calibri"/>
                <w:lang w:val="it-IT" w:eastAsia="en-GB"/>
              </w:rPr>
              <w:t>njih</w:t>
            </w:r>
            <w:proofErr w:type="spellEnd"/>
            <w:r w:rsidRPr="00DF4CE5">
              <w:rPr>
                <w:rFonts w:ascii="Cambria" w:eastAsia="Times New Roman" w:hAnsi="Cambria" w:cs="Calibri"/>
                <w:lang w:val="it-IT" w:eastAsia="en-GB"/>
              </w:rPr>
              <w:t xml:space="preserve"> </w:t>
            </w:r>
            <w:proofErr w:type="spellStart"/>
            <w:r w:rsidRPr="00DF4CE5">
              <w:rPr>
                <w:rFonts w:ascii="Cambria" w:eastAsia="Times New Roman" w:hAnsi="Cambria" w:cs="Calibri"/>
                <w:lang w:val="it-IT" w:eastAsia="en-GB"/>
              </w:rPr>
              <w:t>nije</w:t>
            </w:r>
            <w:proofErr w:type="spellEnd"/>
            <w:r w:rsidRPr="00DF4CE5">
              <w:rPr>
                <w:rFonts w:ascii="Cambria" w:eastAsia="Times New Roman" w:hAnsi="Cambria" w:cs="Calibri"/>
                <w:lang w:val="it-IT" w:eastAsia="en-GB"/>
              </w:rPr>
              <w:t xml:space="preserve"> </w:t>
            </w:r>
            <w:proofErr w:type="spellStart"/>
            <w:r w:rsidRPr="00DF4CE5">
              <w:rPr>
                <w:rFonts w:ascii="Cambria" w:eastAsia="Times New Roman" w:hAnsi="Cambria" w:cs="Calibri"/>
                <w:lang w:val="it-IT" w:eastAsia="en-GB"/>
              </w:rPr>
              <w:t>potrebno</w:t>
            </w:r>
            <w:proofErr w:type="spellEnd"/>
            <w:r w:rsidRPr="00DF4CE5">
              <w:rPr>
                <w:rFonts w:ascii="Cambria" w:eastAsia="Times New Roman" w:hAnsi="Cambria" w:cs="Calibri"/>
                <w:lang w:val="it-IT" w:eastAsia="en-GB"/>
              </w:rPr>
              <w:t xml:space="preserve"> </w:t>
            </w:r>
            <w:proofErr w:type="spellStart"/>
            <w:r w:rsidRPr="00DF4CE5">
              <w:rPr>
                <w:rFonts w:ascii="Cambria" w:eastAsia="Times New Roman" w:hAnsi="Cambria" w:cs="Calibri"/>
                <w:lang w:val="it-IT" w:eastAsia="en-GB"/>
              </w:rPr>
              <w:t>opravdati</w:t>
            </w:r>
            <w:proofErr w:type="spellEnd"/>
            <w:r w:rsidRPr="00DF4CE5">
              <w:rPr>
                <w:rFonts w:ascii="Cambria" w:eastAsia="Times New Roman" w:hAnsi="Cambria" w:cs="Calibri"/>
                <w:lang w:val="it-IT" w:eastAsia="en-GB"/>
              </w:rPr>
              <w:t>.</w:t>
            </w:r>
          </w:p>
          <w:p w14:paraId="5BBD8C9A" w14:textId="77777777" w:rsidR="005005C3" w:rsidRPr="00DF4CE5" w:rsidRDefault="005005C3" w:rsidP="005005C3">
            <w:pPr>
              <w:spacing w:after="0" w:line="240" w:lineRule="auto"/>
              <w:jc w:val="both"/>
              <w:rPr>
                <w:rFonts w:ascii="Cambria" w:eastAsia="Times New Roman" w:hAnsi="Cambria" w:cs="Calibri"/>
                <w:lang w:val="it-IT" w:eastAsia="en-GB"/>
              </w:rPr>
            </w:pPr>
            <w:proofErr w:type="spellStart"/>
            <w:r w:rsidRPr="00DF4CE5">
              <w:rPr>
                <w:rFonts w:ascii="Cambria" w:eastAsia="Times New Roman" w:hAnsi="Cambria" w:cs="Calibri"/>
                <w:lang w:val="it-IT" w:eastAsia="en-GB"/>
              </w:rPr>
              <w:t>Odlazak</w:t>
            </w:r>
            <w:proofErr w:type="spellEnd"/>
            <w:r w:rsidRPr="00DF4CE5">
              <w:rPr>
                <w:rFonts w:ascii="Cambria" w:eastAsia="Times New Roman" w:hAnsi="Cambria" w:cs="Calibri"/>
                <w:lang w:val="it-IT" w:eastAsia="en-GB"/>
              </w:rPr>
              <w:t xml:space="preserve"> </w:t>
            </w:r>
            <w:proofErr w:type="spellStart"/>
            <w:r w:rsidRPr="00DF4CE5">
              <w:rPr>
                <w:rFonts w:ascii="Cambria" w:eastAsia="Times New Roman" w:hAnsi="Cambria" w:cs="Calibri"/>
                <w:lang w:val="it-IT" w:eastAsia="en-GB"/>
              </w:rPr>
              <w:t>na</w:t>
            </w:r>
            <w:proofErr w:type="spellEnd"/>
            <w:r w:rsidRPr="00DF4CE5">
              <w:rPr>
                <w:rFonts w:ascii="Cambria" w:eastAsia="Times New Roman" w:hAnsi="Cambria" w:cs="Calibri"/>
                <w:lang w:val="it-IT" w:eastAsia="en-GB"/>
              </w:rPr>
              <w:t xml:space="preserve"> </w:t>
            </w:r>
            <w:proofErr w:type="spellStart"/>
            <w:r w:rsidRPr="00DF4CE5">
              <w:rPr>
                <w:rFonts w:ascii="Cambria" w:eastAsia="Times New Roman" w:hAnsi="Cambria" w:cs="Calibri"/>
                <w:lang w:val="it-IT" w:eastAsia="en-GB"/>
              </w:rPr>
              <w:t>terensku</w:t>
            </w:r>
            <w:proofErr w:type="spellEnd"/>
            <w:r w:rsidRPr="00DF4CE5">
              <w:rPr>
                <w:rFonts w:ascii="Cambria" w:eastAsia="Times New Roman" w:hAnsi="Cambria" w:cs="Calibri"/>
                <w:lang w:val="it-IT" w:eastAsia="en-GB"/>
              </w:rPr>
              <w:t xml:space="preserve"> </w:t>
            </w:r>
            <w:proofErr w:type="spellStart"/>
            <w:r w:rsidRPr="00DF4CE5">
              <w:rPr>
                <w:rFonts w:ascii="Cambria" w:eastAsia="Times New Roman" w:hAnsi="Cambria" w:cs="Calibri"/>
                <w:lang w:val="it-IT" w:eastAsia="en-GB"/>
              </w:rPr>
              <w:t>nastavu</w:t>
            </w:r>
            <w:proofErr w:type="spellEnd"/>
            <w:r w:rsidRPr="00DF4CE5">
              <w:rPr>
                <w:rFonts w:ascii="Cambria" w:eastAsia="Times New Roman" w:hAnsi="Cambria" w:cs="Calibri"/>
                <w:lang w:val="it-IT" w:eastAsia="en-GB"/>
              </w:rPr>
              <w:t xml:space="preserve"> i </w:t>
            </w:r>
            <w:proofErr w:type="spellStart"/>
            <w:r w:rsidRPr="00DF4CE5">
              <w:rPr>
                <w:rFonts w:ascii="Cambria" w:eastAsia="Times New Roman" w:hAnsi="Cambria" w:cs="Calibri"/>
                <w:lang w:val="it-IT" w:eastAsia="en-GB"/>
              </w:rPr>
              <w:t>analiza</w:t>
            </w:r>
            <w:proofErr w:type="spellEnd"/>
            <w:r w:rsidRPr="00DF4CE5">
              <w:rPr>
                <w:rFonts w:ascii="Cambria" w:eastAsia="Times New Roman" w:hAnsi="Cambria" w:cs="Calibri"/>
                <w:lang w:val="it-IT" w:eastAsia="en-GB"/>
              </w:rPr>
              <w:t xml:space="preserve"> </w:t>
            </w:r>
            <w:proofErr w:type="spellStart"/>
            <w:r w:rsidRPr="00DF4CE5">
              <w:rPr>
                <w:rFonts w:ascii="Cambria" w:eastAsia="Times New Roman" w:hAnsi="Cambria" w:cs="Calibri"/>
                <w:lang w:val="it-IT" w:eastAsia="en-GB"/>
              </w:rPr>
              <w:t>kreativnog</w:t>
            </w:r>
            <w:proofErr w:type="spellEnd"/>
            <w:r w:rsidRPr="00DF4CE5">
              <w:rPr>
                <w:rFonts w:ascii="Cambria" w:eastAsia="Times New Roman" w:hAnsi="Cambria" w:cs="Calibri"/>
                <w:lang w:val="it-IT" w:eastAsia="en-GB"/>
              </w:rPr>
              <w:t xml:space="preserve"> </w:t>
            </w:r>
            <w:proofErr w:type="spellStart"/>
            <w:r w:rsidRPr="00DF4CE5">
              <w:rPr>
                <w:rFonts w:ascii="Cambria" w:eastAsia="Times New Roman" w:hAnsi="Cambria" w:cs="Calibri"/>
                <w:lang w:val="it-IT" w:eastAsia="en-GB"/>
              </w:rPr>
              <w:t>slušanja</w:t>
            </w:r>
            <w:proofErr w:type="spellEnd"/>
            <w:r w:rsidRPr="00DF4CE5">
              <w:rPr>
                <w:rFonts w:ascii="Cambria" w:eastAsia="Times New Roman" w:hAnsi="Cambria" w:cs="Calibri"/>
                <w:lang w:val="it-IT" w:eastAsia="en-GB"/>
              </w:rPr>
              <w:t xml:space="preserve"> – 10 %</w:t>
            </w:r>
          </w:p>
          <w:p w14:paraId="11C7C8E3" w14:textId="77777777" w:rsidR="005005C3" w:rsidRPr="00DF4CE5" w:rsidRDefault="005005C3" w:rsidP="005005C3">
            <w:pPr>
              <w:spacing w:after="0" w:line="240" w:lineRule="auto"/>
              <w:jc w:val="both"/>
              <w:rPr>
                <w:rFonts w:ascii="Cambria" w:eastAsia="Times New Roman" w:hAnsi="Cambria" w:cs="Calibri"/>
                <w:lang w:val="it-IT" w:eastAsia="en-GB"/>
              </w:rPr>
            </w:pPr>
            <w:proofErr w:type="spellStart"/>
            <w:r w:rsidRPr="00DF4CE5">
              <w:rPr>
                <w:rFonts w:ascii="Cambria" w:eastAsia="Times New Roman" w:hAnsi="Cambria" w:cs="Calibri"/>
                <w:lang w:val="it-IT" w:eastAsia="en-GB"/>
              </w:rPr>
              <w:t>Samostalni</w:t>
            </w:r>
            <w:proofErr w:type="spellEnd"/>
            <w:r w:rsidRPr="00DF4CE5">
              <w:rPr>
                <w:rFonts w:ascii="Cambria" w:eastAsia="Times New Roman" w:hAnsi="Cambria" w:cs="Calibri"/>
                <w:lang w:val="it-IT" w:eastAsia="en-GB"/>
              </w:rPr>
              <w:t xml:space="preserve"> </w:t>
            </w:r>
            <w:proofErr w:type="spellStart"/>
            <w:r w:rsidRPr="00DF4CE5">
              <w:rPr>
                <w:rFonts w:ascii="Cambria" w:eastAsia="Times New Roman" w:hAnsi="Cambria" w:cs="Calibri"/>
                <w:lang w:val="it-IT" w:eastAsia="en-GB"/>
              </w:rPr>
              <w:t>zadaci</w:t>
            </w:r>
            <w:proofErr w:type="spellEnd"/>
            <w:r w:rsidRPr="00DF4CE5">
              <w:rPr>
                <w:rFonts w:ascii="Cambria" w:eastAsia="Times New Roman" w:hAnsi="Cambria" w:cs="Calibri"/>
                <w:lang w:val="it-IT" w:eastAsia="en-GB"/>
              </w:rPr>
              <w:t>:</w:t>
            </w:r>
          </w:p>
          <w:p w14:paraId="3872773E" w14:textId="77777777" w:rsidR="005005C3" w:rsidRPr="00DF4CE5" w:rsidRDefault="005005C3" w:rsidP="005005C3">
            <w:pPr>
              <w:spacing w:after="0" w:line="240" w:lineRule="auto"/>
              <w:jc w:val="both"/>
              <w:rPr>
                <w:rFonts w:ascii="Cambria" w:eastAsia="Times New Roman" w:hAnsi="Cambria" w:cs="Calibri"/>
                <w:lang w:val="it-IT" w:eastAsia="en-GB"/>
              </w:rPr>
            </w:pPr>
            <w:proofErr w:type="spellStart"/>
            <w:r w:rsidRPr="00DF4CE5">
              <w:rPr>
                <w:rFonts w:ascii="Cambria" w:eastAsia="Times New Roman" w:hAnsi="Cambria" w:cs="Calibri"/>
                <w:lang w:val="it-IT" w:eastAsia="en-GB"/>
              </w:rPr>
              <w:t>Projektni</w:t>
            </w:r>
            <w:proofErr w:type="spellEnd"/>
            <w:r w:rsidRPr="00DF4CE5">
              <w:rPr>
                <w:rFonts w:ascii="Cambria" w:eastAsia="Times New Roman" w:hAnsi="Cambria" w:cs="Calibri"/>
                <w:lang w:val="it-IT" w:eastAsia="en-GB"/>
              </w:rPr>
              <w:t xml:space="preserve"> </w:t>
            </w:r>
            <w:proofErr w:type="spellStart"/>
            <w:r w:rsidRPr="00DF4CE5">
              <w:rPr>
                <w:rFonts w:ascii="Cambria" w:eastAsia="Times New Roman" w:hAnsi="Cambria" w:cs="Calibri"/>
                <w:lang w:val="it-IT" w:eastAsia="en-GB"/>
              </w:rPr>
              <w:t>zadatak</w:t>
            </w:r>
            <w:proofErr w:type="spellEnd"/>
            <w:r w:rsidRPr="00DF4CE5">
              <w:rPr>
                <w:rFonts w:ascii="Cambria" w:eastAsia="Times New Roman" w:hAnsi="Cambria" w:cs="Calibri"/>
                <w:lang w:val="it-IT" w:eastAsia="en-GB"/>
              </w:rPr>
              <w:t xml:space="preserve"> se </w:t>
            </w:r>
            <w:proofErr w:type="spellStart"/>
            <w:r w:rsidRPr="00DF4CE5">
              <w:rPr>
                <w:rFonts w:ascii="Cambria" w:eastAsia="Times New Roman" w:hAnsi="Cambria" w:cs="Calibri"/>
                <w:lang w:val="it-IT" w:eastAsia="en-GB"/>
              </w:rPr>
              <w:t>odabire</w:t>
            </w:r>
            <w:proofErr w:type="spellEnd"/>
            <w:r w:rsidRPr="00DF4CE5">
              <w:rPr>
                <w:rFonts w:ascii="Cambria" w:eastAsia="Times New Roman" w:hAnsi="Cambria" w:cs="Calibri"/>
                <w:lang w:val="it-IT" w:eastAsia="en-GB"/>
              </w:rPr>
              <w:t xml:space="preserve"> </w:t>
            </w:r>
            <w:proofErr w:type="spellStart"/>
            <w:r w:rsidRPr="00DF4CE5">
              <w:rPr>
                <w:rFonts w:ascii="Cambria" w:eastAsia="Times New Roman" w:hAnsi="Cambria" w:cs="Calibri"/>
                <w:lang w:val="it-IT" w:eastAsia="en-GB"/>
              </w:rPr>
              <w:t>na</w:t>
            </w:r>
            <w:proofErr w:type="spellEnd"/>
            <w:r w:rsidRPr="00DF4CE5">
              <w:rPr>
                <w:rFonts w:ascii="Cambria" w:eastAsia="Times New Roman" w:hAnsi="Cambria" w:cs="Calibri"/>
                <w:lang w:val="it-IT" w:eastAsia="en-GB"/>
              </w:rPr>
              <w:t xml:space="preserve"> </w:t>
            </w:r>
            <w:proofErr w:type="spellStart"/>
            <w:r w:rsidRPr="00DF4CE5">
              <w:rPr>
                <w:rFonts w:ascii="Cambria" w:eastAsia="Times New Roman" w:hAnsi="Cambria" w:cs="Calibri"/>
                <w:lang w:val="it-IT" w:eastAsia="en-GB"/>
              </w:rPr>
              <w:t>prvom</w:t>
            </w:r>
            <w:proofErr w:type="spellEnd"/>
            <w:r w:rsidRPr="00DF4CE5">
              <w:rPr>
                <w:rFonts w:ascii="Cambria" w:eastAsia="Times New Roman" w:hAnsi="Cambria" w:cs="Calibri"/>
                <w:lang w:val="it-IT" w:eastAsia="en-GB"/>
              </w:rPr>
              <w:t xml:space="preserve"> </w:t>
            </w:r>
            <w:proofErr w:type="spellStart"/>
            <w:r w:rsidRPr="00DF4CE5">
              <w:rPr>
                <w:rFonts w:ascii="Cambria" w:eastAsia="Times New Roman" w:hAnsi="Cambria" w:cs="Calibri"/>
                <w:lang w:val="it-IT" w:eastAsia="en-GB"/>
              </w:rPr>
              <w:t>satu</w:t>
            </w:r>
            <w:proofErr w:type="spellEnd"/>
            <w:r w:rsidRPr="00DF4CE5">
              <w:rPr>
                <w:rFonts w:ascii="Cambria" w:eastAsia="Times New Roman" w:hAnsi="Cambria" w:cs="Calibri"/>
                <w:lang w:val="it-IT" w:eastAsia="en-GB"/>
              </w:rPr>
              <w:t xml:space="preserve"> i </w:t>
            </w:r>
            <w:proofErr w:type="spellStart"/>
            <w:r w:rsidRPr="00DF4CE5">
              <w:rPr>
                <w:rFonts w:ascii="Cambria" w:eastAsia="Times New Roman" w:hAnsi="Cambria" w:cs="Calibri"/>
                <w:lang w:val="it-IT" w:eastAsia="en-GB"/>
              </w:rPr>
              <w:t>zadaju</w:t>
            </w:r>
            <w:proofErr w:type="spellEnd"/>
            <w:r w:rsidRPr="00DF4CE5">
              <w:rPr>
                <w:rFonts w:ascii="Cambria" w:eastAsia="Times New Roman" w:hAnsi="Cambria" w:cs="Calibri"/>
                <w:lang w:val="it-IT" w:eastAsia="en-GB"/>
              </w:rPr>
              <w:t xml:space="preserve"> se </w:t>
            </w:r>
            <w:proofErr w:type="spellStart"/>
            <w:r w:rsidRPr="00DF4CE5">
              <w:rPr>
                <w:rFonts w:ascii="Cambria" w:eastAsia="Times New Roman" w:hAnsi="Cambria" w:cs="Calibri"/>
                <w:lang w:val="it-IT" w:eastAsia="en-GB"/>
              </w:rPr>
              <w:t>okvirni</w:t>
            </w:r>
            <w:proofErr w:type="spellEnd"/>
            <w:r w:rsidRPr="00DF4CE5">
              <w:rPr>
                <w:rFonts w:ascii="Cambria" w:eastAsia="Times New Roman" w:hAnsi="Cambria" w:cs="Calibri"/>
                <w:lang w:val="it-IT" w:eastAsia="en-GB"/>
              </w:rPr>
              <w:t xml:space="preserve"> </w:t>
            </w:r>
            <w:proofErr w:type="spellStart"/>
            <w:r w:rsidRPr="00DF4CE5">
              <w:rPr>
                <w:rFonts w:ascii="Cambria" w:eastAsia="Times New Roman" w:hAnsi="Cambria" w:cs="Calibri"/>
                <w:lang w:val="it-IT" w:eastAsia="en-GB"/>
              </w:rPr>
              <w:t>grupni</w:t>
            </w:r>
            <w:proofErr w:type="spellEnd"/>
            <w:r w:rsidRPr="00DF4CE5">
              <w:rPr>
                <w:rFonts w:ascii="Cambria" w:eastAsia="Times New Roman" w:hAnsi="Cambria" w:cs="Calibri"/>
                <w:lang w:val="it-IT" w:eastAsia="en-GB"/>
              </w:rPr>
              <w:t xml:space="preserve"> i </w:t>
            </w:r>
            <w:proofErr w:type="spellStart"/>
            <w:r w:rsidRPr="00DF4CE5">
              <w:rPr>
                <w:rFonts w:ascii="Cambria" w:eastAsia="Times New Roman" w:hAnsi="Cambria" w:cs="Calibri"/>
                <w:lang w:val="it-IT" w:eastAsia="en-GB"/>
              </w:rPr>
              <w:t>pojedinačni</w:t>
            </w:r>
            <w:proofErr w:type="spellEnd"/>
            <w:r w:rsidRPr="00DF4CE5">
              <w:rPr>
                <w:rFonts w:ascii="Cambria" w:eastAsia="Times New Roman" w:hAnsi="Cambria" w:cs="Calibri"/>
                <w:lang w:val="it-IT" w:eastAsia="en-GB"/>
              </w:rPr>
              <w:t xml:space="preserve"> </w:t>
            </w:r>
            <w:proofErr w:type="spellStart"/>
            <w:r w:rsidRPr="00DF4CE5">
              <w:rPr>
                <w:rFonts w:ascii="Cambria" w:eastAsia="Times New Roman" w:hAnsi="Cambria" w:cs="Calibri"/>
                <w:lang w:val="it-IT" w:eastAsia="en-GB"/>
              </w:rPr>
              <w:t>zadaci</w:t>
            </w:r>
            <w:proofErr w:type="spellEnd"/>
            <w:r w:rsidRPr="00DF4CE5">
              <w:rPr>
                <w:rFonts w:ascii="Cambria" w:eastAsia="Times New Roman" w:hAnsi="Cambria" w:cs="Calibri"/>
                <w:lang w:val="it-IT" w:eastAsia="en-GB"/>
              </w:rPr>
              <w:t>.</w:t>
            </w:r>
          </w:p>
          <w:p w14:paraId="1A556A01" w14:textId="77777777" w:rsidR="005005C3" w:rsidRPr="00DF4CE5" w:rsidRDefault="005005C3" w:rsidP="005005C3">
            <w:pPr>
              <w:spacing w:after="0" w:line="240" w:lineRule="auto"/>
              <w:jc w:val="both"/>
              <w:rPr>
                <w:rFonts w:ascii="Cambria" w:eastAsia="Times New Roman" w:hAnsi="Cambria" w:cs="Calibri"/>
                <w:lang w:val="it-IT" w:eastAsia="en-GB"/>
              </w:rPr>
            </w:pPr>
            <w:r w:rsidRPr="00DF4CE5">
              <w:rPr>
                <w:rFonts w:ascii="Cambria" w:eastAsia="Times New Roman" w:hAnsi="Cambria" w:cs="Calibri"/>
                <w:lang w:val="it-IT" w:eastAsia="en-GB"/>
              </w:rPr>
              <w:t xml:space="preserve">Na </w:t>
            </w:r>
            <w:proofErr w:type="spellStart"/>
            <w:r w:rsidRPr="00DF4CE5">
              <w:rPr>
                <w:rFonts w:ascii="Cambria" w:eastAsia="Times New Roman" w:hAnsi="Cambria" w:cs="Calibri"/>
                <w:lang w:val="it-IT" w:eastAsia="en-GB"/>
              </w:rPr>
              <w:t>temelju</w:t>
            </w:r>
            <w:proofErr w:type="spellEnd"/>
            <w:r w:rsidRPr="00DF4CE5">
              <w:rPr>
                <w:rFonts w:ascii="Cambria" w:eastAsia="Times New Roman" w:hAnsi="Cambria" w:cs="Calibri"/>
                <w:lang w:val="it-IT" w:eastAsia="en-GB"/>
              </w:rPr>
              <w:t xml:space="preserve"> </w:t>
            </w:r>
            <w:proofErr w:type="spellStart"/>
            <w:r w:rsidRPr="00DF4CE5">
              <w:rPr>
                <w:rFonts w:ascii="Cambria" w:eastAsia="Times New Roman" w:hAnsi="Cambria" w:cs="Calibri"/>
                <w:lang w:val="it-IT" w:eastAsia="en-GB"/>
              </w:rPr>
              <w:t>aktivnosti</w:t>
            </w:r>
            <w:proofErr w:type="spellEnd"/>
            <w:r w:rsidRPr="00DF4CE5">
              <w:rPr>
                <w:rFonts w:ascii="Cambria" w:eastAsia="Times New Roman" w:hAnsi="Cambria" w:cs="Calibri"/>
                <w:lang w:val="it-IT" w:eastAsia="en-GB"/>
              </w:rPr>
              <w:t xml:space="preserve"> </w:t>
            </w:r>
            <w:proofErr w:type="spellStart"/>
            <w:r w:rsidRPr="00DF4CE5">
              <w:rPr>
                <w:rFonts w:ascii="Cambria" w:eastAsia="Times New Roman" w:hAnsi="Cambria" w:cs="Calibri"/>
                <w:lang w:val="it-IT" w:eastAsia="en-GB"/>
              </w:rPr>
              <w:t>na</w:t>
            </w:r>
            <w:proofErr w:type="spellEnd"/>
            <w:r w:rsidRPr="00DF4CE5">
              <w:rPr>
                <w:rFonts w:ascii="Cambria" w:eastAsia="Times New Roman" w:hAnsi="Cambria" w:cs="Calibri"/>
                <w:lang w:val="it-IT" w:eastAsia="en-GB"/>
              </w:rPr>
              <w:t xml:space="preserve"> </w:t>
            </w:r>
            <w:proofErr w:type="spellStart"/>
            <w:r w:rsidRPr="00DF4CE5">
              <w:rPr>
                <w:rFonts w:ascii="Cambria" w:eastAsia="Times New Roman" w:hAnsi="Cambria" w:cs="Calibri"/>
                <w:lang w:val="it-IT" w:eastAsia="en-GB"/>
              </w:rPr>
              <w:t>predavanjima</w:t>
            </w:r>
            <w:proofErr w:type="spellEnd"/>
            <w:r w:rsidRPr="00DF4CE5">
              <w:rPr>
                <w:rFonts w:ascii="Cambria" w:eastAsia="Times New Roman" w:hAnsi="Cambria" w:cs="Calibri"/>
                <w:lang w:val="it-IT" w:eastAsia="en-GB"/>
              </w:rPr>
              <w:t xml:space="preserve"> </w:t>
            </w:r>
            <w:proofErr w:type="spellStart"/>
            <w:r w:rsidRPr="00DF4CE5">
              <w:rPr>
                <w:rFonts w:ascii="Cambria" w:eastAsia="Times New Roman" w:hAnsi="Cambria" w:cs="Calibri"/>
                <w:lang w:val="it-IT" w:eastAsia="en-GB"/>
              </w:rPr>
              <w:t>koje</w:t>
            </w:r>
            <w:proofErr w:type="spellEnd"/>
            <w:r w:rsidRPr="00DF4CE5">
              <w:rPr>
                <w:rFonts w:ascii="Cambria" w:eastAsia="Times New Roman" w:hAnsi="Cambria" w:cs="Calibri"/>
                <w:lang w:val="it-IT" w:eastAsia="en-GB"/>
              </w:rPr>
              <w:t xml:space="preserve"> </w:t>
            </w:r>
            <w:proofErr w:type="spellStart"/>
            <w:r w:rsidRPr="00DF4CE5">
              <w:rPr>
                <w:rFonts w:ascii="Cambria" w:eastAsia="Times New Roman" w:hAnsi="Cambria" w:cs="Calibri"/>
                <w:lang w:val="it-IT" w:eastAsia="en-GB"/>
              </w:rPr>
              <w:t>proizlaze</w:t>
            </w:r>
            <w:proofErr w:type="spellEnd"/>
            <w:r w:rsidRPr="00DF4CE5">
              <w:rPr>
                <w:rFonts w:ascii="Cambria" w:eastAsia="Times New Roman" w:hAnsi="Cambria" w:cs="Calibri"/>
                <w:lang w:val="it-IT" w:eastAsia="en-GB"/>
              </w:rPr>
              <w:t xml:space="preserve"> </w:t>
            </w:r>
            <w:proofErr w:type="spellStart"/>
            <w:r w:rsidRPr="00DF4CE5">
              <w:rPr>
                <w:rFonts w:ascii="Cambria" w:eastAsia="Times New Roman" w:hAnsi="Cambria" w:cs="Calibri"/>
                <w:lang w:val="it-IT" w:eastAsia="en-GB"/>
              </w:rPr>
              <w:t>iz</w:t>
            </w:r>
            <w:proofErr w:type="spellEnd"/>
            <w:r w:rsidRPr="00DF4CE5">
              <w:rPr>
                <w:rFonts w:ascii="Cambria" w:eastAsia="Times New Roman" w:hAnsi="Cambria" w:cs="Calibri"/>
                <w:lang w:val="it-IT" w:eastAsia="en-GB"/>
              </w:rPr>
              <w:t xml:space="preserve"> </w:t>
            </w:r>
            <w:proofErr w:type="spellStart"/>
            <w:r w:rsidRPr="00DF4CE5">
              <w:rPr>
                <w:rFonts w:ascii="Cambria" w:eastAsia="Times New Roman" w:hAnsi="Cambria" w:cs="Calibri"/>
                <w:lang w:val="it-IT" w:eastAsia="en-GB"/>
              </w:rPr>
              <w:t>učinjenih</w:t>
            </w:r>
            <w:proofErr w:type="spellEnd"/>
            <w:r w:rsidRPr="00DF4CE5">
              <w:rPr>
                <w:rFonts w:ascii="Cambria" w:eastAsia="Times New Roman" w:hAnsi="Cambria" w:cs="Calibri"/>
                <w:lang w:val="it-IT" w:eastAsia="en-GB"/>
              </w:rPr>
              <w:t xml:space="preserve"> </w:t>
            </w:r>
            <w:proofErr w:type="spellStart"/>
            <w:r w:rsidRPr="00DF4CE5">
              <w:rPr>
                <w:rFonts w:ascii="Cambria" w:eastAsia="Times New Roman" w:hAnsi="Cambria" w:cs="Calibri"/>
                <w:lang w:val="it-IT" w:eastAsia="en-GB"/>
              </w:rPr>
              <w:t>domaćih</w:t>
            </w:r>
            <w:proofErr w:type="spellEnd"/>
            <w:r w:rsidRPr="00DF4CE5">
              <w:rPr>
                <w:rFonts w:ascii="Cambria" w:eastAsia="Times New Roman" w:hAnsi="Cambria" w:cs="Calibri"/>
                <w:lang w:val="it-IT" w:eastAsia="en-GB"/>
              </w:rPr>
              <w:t xml:space="preserve"> </w:t>
            </w:r>
            <w:proofErr w:type="spellStart"/>
            <w:r w:rsidRPr="00DF4CE5">
              <w:rPr>
                <w:rFonts w:ascii="Cambria" w:eastAsia="Times New Roman" w:hAnsi="Cambria" w:cs="Calibri"/>
                <w:lang w:val="it-IT" w:eastAsia="en-GB"/>
              </w:rPr>
              <w:t>zadaća</w:t>
            </w:r>
            <w:proofErr w:type="spellEnd"/>
            <w:r w:rsidRPr="00DF4CE5">
              <w:rPr>
                <w:rFonts w:ascii="Cambria" w:eastAsia="Times New Roman" w:hAnsi="Cambria" w:cs="Calibri"/>
                <w:lang w:val="it-IT" w:eastAsia="en-GB"/>
              </w:rPr>
              <w:t xml:space="preserve">, </w:t>
            </w:r>
            <w:proofErr w:type="spellStart"/>
            <w:r w:rsidRPr="00DF4CE5">
              <w:rPr>
                <w:rFonts w:ascii="Cambria" w:eastAsia="Times New Roman" w:hAnsi="Cambria" w:cs="Calibri"/>
                <w:lang w:val="it-IT" w:eastAsia="en-GB"/>
              </w:rPr>
              <w:t>student</w:t>
            </w:r>
            <w:proofErr w:type="spellEnd"/>
            <w:r w:rsidRPr="00DF4CE5">
              <w:rPr>
                <w:rFonts w:ascii="Cambria" w:eastAsia="Times New Roman" w:hAnsi="Cambria" w:cs="Calibri"/>
                <w:lang w:val="it-IT" w:eastAsia="en-GB"/>
              </w:rPr>
              <w:t xml:space="preserve"> se </w:t>
            </w:r>
            <w:proofErr w:type="spellStart"/>
            <w:r w:rsidRPr="00DF4CE5">
              <w:rPr>
                <w:rFonts w:ascii="Cambria" w:eastAsia="Times New Roman" w:hAnsi="Cambria" w:cs="Calibri"/>
                <w:lang w:val="it-IT" w:eastAsia="en-GB"/>
              </w:rPr>
              <w:t>ocjenjuje</w:t>
            </w:r>
            <w:proofErr w:type="spellEnd"/>
            <w:r w:rsidRPr="00DF4CE5">
              <w:rPr>
                <w:rFonts w:ascii="Cambria" w:eastAsia="Times New Roman" w:hAnsi="Cambria" w:cs="Calibri"/>
                <w:lang w:val="it-IT" w:eastAsia="en-GB"/>
              </w:rPr>
              <w:t xml:space="preserve"> </w:t>
            </w:r>
            <w:proofErr w:type="spellStart"/>
            <w:r w:rsidRPr="00DF4CE5">
              <w:rPr>
                <w:rFonts w:ascii="Cambria" w:eastAsia="Times New Roman" w:hAnsi="Cambria" w:cs="Calibri"/>
                <w:lang w:val="it-IT" w:eastAsia="en-GB"/>
              </w:rPr>
              <w:t>na</w:t>
            </w:r>
            <w:proofErr w:type="spellEnd"/>
            <w:r w:rsidRPr="00DF4CE5">
              <w:rPr>
                <w:rFonts w:ascii="Cambria" w:eastAsia="Times New Roman" w:hAnsi="Cambria" w:cs="Calibri"/>
                <w:lang w:val="it-IT" w:eastAsia="en-GB"/>
              </w:rPr>
              <w:t xml:space="preserve"> </w:t>
            </w:r>
            <w:proofErr w:type="spellStart"/>
            <w:r w:rsidRPr="00DF4CE5">
              <w:rPr>
                <w:rFonts w:ascii="Cambria" w:eastAsia="Times New Roman" w:hAnsi="Cambria" w:cs="Calibri"/>
                <w:lang w:val="it-IT" w:eastAsia="en-GB"/>
              </w:rPr>
              <w:t>svakom</w:t>
            </w:r>
            <w:proofErr w:type="spellEnd"/>
            <w:r w:rsidRPr="00DF4CE5">
              <w:rPr>
                <w:rFonts w:ascii="Cambria" w:eastAsia="Times New Roman" w:hAnsi="Cambria" w:cs="Calibri"/>
                <w:lang w:val="it-IT" w:eastAsia="en-GB"/>
              </w:rPr>
              <w:t xml:space="preserve"> </w:t>
            </w:r>
            <w:proofErr w:type="spellStart"/>
            <w:r w:rsidRPr="00DF4CE5">
              <w:rPr>
                <w:rFonts w:ascii="Cambria" w:eastAsia="Times New Roman" w:hAnsi="Cambria" w:cs="Calibri"/>
                <w:lang w:val="it-IT" w:eastAsia="en-GB"/>
              </w:rPr>
              <w:t>satu</w:t>
            </w:r>
            <w:proofErr w:type="spellEnd"/>
            <w:r w:rsidRPr="00DF4CE5">
              <w:rPr>
                <w:rFonts w:ascii="Cambria" w:eastAsia="Times New Roman" w:hAnsi="Cambria" w:cs="Calibri"/>
                <w:lang w:val="it-IT" w:eastAsia="en-GB"/>
              </w:rPr>
              <w:t xml:space="preserve">, </w:t>
            </w:r>
            <w:proofErr w:type="spellStart"/>
            <w:r w:rsidRPr="00DF4CE5">
              <w:rPr>
                <w:rFonts w:ascii="Cambria" w:eastAsia="Times New Roman" w:hAnsi="Cambria" w:cs="Calibri"/>
                <w:lang w:val="it-IT" w:eastAsia="en-GB"/>
              </w:rPr>
              <w:t>osim</w:t>
            </w:r>
            <w:proofErr w:type="spellEnd"/>
            <w:r w:rsidRPr="00DF4CE5">
              <w:rPr>
                <w:rFonts w:ascii="Cambria" w:eastAsia="Times New Roman" w:hAnsi="Cambria" w:cs="Calibri"/>
                <w:lang w:val="it-IT" w:eastAsia="en-GB"/>
              </w:rPr>
              <w:t xml:space="preserve"> </w:t>
            </w:r>
            <w:proofErr w:type="spellStart"/>
            <w:r w:rsidRPr="00DF4CE5">
              <w:rPr>
                <w:rFonts w:ascii="Cambria" w:eastAsia="Times New Roman" w:hAnsi="Cambria" w:cs="Calibri"/>
                <w:lang w:val="it-IT" w:eastAsia="en-GB"/>
              </w:rPr>
              <w:t>na</w:t>
            </w:r>
            <w:proofErr w:type="spellEnd"/>
            <w:r w:rsidRPr="00DF4CE5">
              <w:rPr>
                <w:rFonts w:ascii="Cambria" w:eastAsia="Times New Roman" w:hAnsi="Cambria" w:cs="Calibri"/>
                <w:lang w:val="it-IT" w:eastAsia="en-GB"/>
              </w:rPr>
              <w:t xml:space="preserve"> 1., 2. i </w:t>
            </w:r>
            <w:proofErr w:type="spellStart"/>
            <w:r w:rsidRPr="00DF4CE5">
              <w:rPr>
                <w:rFonts w:ascii="Cambria" w:eastAsia="Times New Roman" w:hAnsi="Cambria" w:cs="Calibri"/>
                <w:lang w:val="it-IT" w:eastAsia="en-GB"/>
              </w:rPr>
              <w:t>zadnjem</w:t>
            </w:r>
            <w:proofErr w:type="spellEnd"/>
            <w:r w:rsidRPr="00DF4CE5">
              <w:rPr>
                <w:rFonts w:ascii="Cambria" w:eastAsia="Times New Roman" w:hAnsi="Cambria" w:cs="Calibri"/>
                <w:lang w:val="it-IT" w:eastAsia="en-GB"/>
              </w:rPr>
              <w:t xml:space="preserve">, 15. </w:t>
            </w:r>
            <w:proofErr w:type="spellStart"/>
            <w:r w:rsidRPr="00DF4CE5">
              <w:rPr>
                <w:rFonts w:ascii="Cambria" w:eastAsia="Times New Roman" w:hAnsi="Cambria" w:cs="Calibri"/>
                <w:lang w:val="it-IT" w:eastAsia="en-GB"/>
              </w:rPr>
              <w:t>predavanju</w:t>
            </w:r>
            <w:proofErr w:type="spellEnd"/>
            <w:r w:rsidRPr="00DF4CE5">
              <w:rPr>
                <w:rFonts w:ascii="Cambria" w:eastAsia="Times New Roman" w:hAnsi="Cambria" w:cs="Calibri"/>
                <w:lang w:val="it-IT" w:eastAsia="en-GB"/>
              </w:rPr>
              <w:t xml:space="preserve"> u </w:t>
            </w:r>
            <w:proofErr w:type="spellStart"/>
            <w:r w:rsidRPr="00DF4CE5">
              <w:rPr>
                <w:rFonts w:ascii="Cambria" w:eastAsia="Times New Roman" w:hAnsi="Cambria" w:cs="Calibri"/>
                <w:lang w:val="it-IT" w:eastAsia="en-GB"/>
              </w:rPr>
              <w:t>semestru</w:t>
            </w:r>
            <w:proofErr w:type="spellEnd"/>
            <w:r w:rsidRPr="00DF4CE5">
              <w:rPr>
                <w:rFonts w:ascii="Cambria" w:eastAsia="Times New Roman" w:hAnsi="Cambria" w:cs="Calibri"/>
                <w:lang w:val="it-IT" w:eastAsia="en-GB"/>
              </w:rPr>
              <w:t xml:space="preserve">, </w:t>
            </w:r>
            <w:proofErr w:type="spellStart"/>
            <w:r w:rsidRPr="00DF4CE5">
              <w:rPr>
                <w:rFonts w:ascii="Cambria" w:eastAsia="Times New Roman" w:hAnsi="Cambria" w:cs="Calibri"/>
                <w:lang w:val="it-IT" w:eastAsia="en-GB"/>
              </w:rPr>
              <w:t>ocjenom</w:t>
            </w:r>
            <w:proofErr w:type="spellEnd"/>
            <w:r w:rsidRPr="00DF4CE5">
              <w:rPr>
                <w:rFonts w:ascii="Cambria" w:eastAsia="Times New Roman" w:hAnsi="Cambria" w:cs="Calibri"/>
                <w:lang w:val="it-IT" w:eastAsia="en-GB"/>
              </w:rPr>
              <w:t xml:space="preserve"> od 1 do 5, </w:t>
            </w:r>
            <w:proofErr w:type="spellStart"/>
            <w:r w:rsidRPr="00DF4CE5">
              <w:rPr>
                <w:rFonts w:ascii="Cambria" w:eastAsia="Times New Roman" w:hAnsi="Cambria" w:cs="Calibri"/>
                <w:lang w:val="it-IT" w:eastAsia="en-GB"/>
              </w:rPr>
              <w:t>što</w:t>
            </w:r>
            <w:proofErr w:type="spellEnd"/>
            <w:r w:rsidRPr="00DF4CE5">
              <w:rPr>
                <w:rFonts w:ascii="Cambria" w:eastAsia="Times New Roman" w:hAnsi="Cambria" w:cs="Calibri"/>
                <w:lang w:val="it-IT" w:eastAsia="en-GB"/>
              </w:rPr>
              <w:t xml:space="preserve"> je </w:t>
            </w:r>
            <w:proofErr w:type="spellStart"/>
            <w:r w:rsidRPr="00DF4CE5">
              <w:rPr>
                <w:rFonts w:ascii="Cambria" w:eastAsia="Times New Roman" w:hAnsi="Cambria" w:cs="Calibri"/>
                <w:lang w:val="it-IT" w:eastAsia="en-GB"/>
              </w:rPr>
              <w:t>ekvivalent</w:t>
            </w:r>
            <w:proofErr w:type="spellEnd"/>
            <w:r w:rsidRPr="00DF4CE5">
              <w:rPr>
                <w:rFonts w:ascii="Cambria" w:eastAsia="Times New Roman" w:hAnsi="Cambria" w:cs="Calibri"/>
                <w:lang w:val="it-IT" w:eastAsia="en-GB"/>
              </w:rPr>
              <w:t xml:space="preserve"> za </w:t>
            </w:r>
            <w:proofErr w:type="spellStart"/>
            <w:r w:rsidRPr="00DF4CE5">
              <w:rPr>
                <w:rFonts w:ascii="Cambria" w:eastAsia="Times New Roman" w:hAnsi="Cambria" w:cs="Calibri"/>
                <w:lang w:val="it-IT" w:eastAsia="en-GB"/>
              </w:rPr>
              <w:t>postotak</w:t>
            </w:r>
            <w:proofErr w:type="spellEnd"/>
            <w:r w:rsidRPr="00DF4CE5">
              <w:rPr>
                <w:rFonts w:ascii="Cambria" w:eastAsia="Times New Roman" w:hAnsi="Cambria" w:cs="Calibri"/>
                <w:lang w:val="it-IT" w:eastAsia="en-GB"/>
              </w:rPr>
              <w:t xml:space="preserve"> (od 1 % do 5 %).</w:t>
            </w:r>
          </w:p>
          <w:p w14:paraId="59D07217" w14:textId="77777777" w:rsidR="005005C3" w:rsidRPr="00DF4CE5" w:rsidRDefault="005005C3" w:rsidP="005005C3">
            <w:pPr>
              <w:spacing w:after="0" w:line="240" w:lineRule="auto"/>
              <w:jc w:val="both"/>
              <w:rPr>
                <w:rFonts w:ascii="Cambria" w:eastAsia="Times New Roman" w:hAnsi="Cambria" w:cs="Calibri"/>
                <w:lang w:val="it-IT" w:eastAsia="en-GB"/>
              </w:rPr>
            </w:pPr>
            <w:proofErr w:type="spellStart"/>
            <w:r w:rsidRPr="00DF4CE5">
              <w:rPr>
                <w:rFonts w:ascii="Cambria" w:eastAsia="Times New Roman" w:hAnsi="Cambria" w:cs="Calibri"/>
                <w:lang w:val="it-IT" w:eastAsia="en-GB"/>
              </w:rPr>
              <w:t>Tijekom</w:t>
            </w:r>
            <w:proofErr w:type="spellEnd"/>
            <w:r w:rsidRPr="00DF4CE5">
              <w:rPr>
                <w:rFonts w:ascii="Cambria" w:eastAsia="Times New Roman" w:hAnsi="Cambria" w:cs="Calibri"/>
                <w:lang w:val="it-IT" w:eastAsia="en-GB"/>
              </w:rPr>
              <w:t xml:space="preserve"> 12 sati </w:t>
            </w:r>
            <w:proofErr w:type="spellStart"/>
            <w:r w:rsidRPr="00DF4CE5">
              <w:rPr>
                <w:rFonts w:ascii="Cambria" w:eastAsia="Times New Roman" w:hAnsi="Cambria" w:cs="Calibri"/>
                <w:lang w:val="it-IT" w:eastAsia="en-GB"/>
              </w:rPr>
              <w:t>vježbi</w:t>
            </w:r>
            <w:proofErr w:type="spellEnd"/>
            <w:r w:rsidRPr="00DF4CE5">
              <w:rPr>
                <w:rFonts w:ascii="Cambria" w:eastAsia="Times New Roman" w:hAnsi="Cambria" w:cs="Calibri"/>
                <w:lang w:val="it-IT" w:eastAsia="en-GB"/>
              </w:rPr>
              <w:t xml:space="preserve">, </w:t>
            </w:r>
            <w:proofErr w:type="spellStart"/>
            <w:r w:rsidRPr="00DF4CE5">
              <w:rPr>
                <w:rFonts w:ascii="Cambria" w:eastAsia="Times New Roman" w:hAnsi="Cambria" w:cs="Calibri"/>
                <w:lang w:val="it-IT" w:eastAsia="en-GB"/>
              </w:rPr>
              <w:t>student</w:t>
            </w:r>
            <w:proofErr w:type="spellEnd"/>
            <w:r w:rsidRPr="00DF4CE5">
              <w:rPr>
                <w:rFonts w:ascii="Cambria" w:eastAsia="Times New Roman" w:hAnsi="Cambria" w:cs="Calibri"/>
                <w:lang w:val="it-IT" w:eastAsia="en-GB"/>
              </w:rPr>
              <w:t xml:space="preserve"> </w:t>
            </w:r>
            <w:proofErr w:type="spellStart"/>
            <w:r w:rsidRPr="00DF4CE5">
              <w:rPr>
                <w:rFonts w:ascii="Cambria" w:eastAsia="Times New Roman" w:hAnsi="Cambria" w:cs="Calibri"/>
                <w:lang w:val="it-IT" w:eastAsia="en-GB"/>
              </w:rPr>
              <w:t>može</w:t>
            </w:r>
            <w:proofErr w:type="spellEnd"/>
            <w:r w:rsidRPr="00DF4CE5">
              <w:rPr>
                <w:rFonts w:ascii="Cambria" w:eastAsia="Times New Roman" w:hAnsi="Cambria" w:cs="Calibri"/>
                <w:lang w:val="it-IT" w:eastAsia="en-GB"/>
              </w:rPr>
              <w:t xml:space="preserve"> </w:t>
            </w:r>
            <w:proofErr w:type="spellStart"/>
            <w:r w:rsidRPr="00DF4CE5">
              <w:rPr>
                <w:rFonts w:ascii="Cambria" w:eastAsia="Times New Roman" w:hAnsi="Cambria" w:cs="Calibri"/>
                <w:lang w:val="it-IT" w:eastAsia="en-GB"/>
              </w:rPr>
              <w:t>ostvariti</w:t>
            </w:r>
            <w:proofErr w:type="spellEnd"/>
            <w:r w:rsidRPr="00DF4CE5">
              <w:rPr>
                <w:rFonts w:ascii="Cambria" w:eastAsia="Times New Roman" w:hAnsi="Cambria" w:cs="Calibri"/>
                <w:lang w:val="it-IT" w:eastAsia="en-GB"/>
              </w:rPr>
              <w:t xml:space="preserve"> max. 60 % </w:t>
            </w:r>
            <w:proofErr w:type="spellStart"/>
            <w:r w:rsidRPr="00DF4CE5">
              <w:rPr>
                <w:rFonts w:ascii="Cambria" w:eastAsia="Times New Roman" w:hAnsi="Cambria" w:cs="Calibri"/>
                <w:lang w:val="it-IT" w:eastAsia="en-GB"/>
              </w:rPr>
              <w:t>udjela</w:t>
            </w:r>
            <w:proofErr w:type="spellEnd"/>
            <w:r w:rsidRPr="00DF4CE5">
              <w:rPr>
                <w:rFonts w:ascii="Cambria" w:eastAsia="Times New Roman" w:hAnsi="Cambria" w:cs="Calibri"/>
                <w:lang w:val="it-IT" w:eastAsia="en-GB"/>
              </w:rPr>
              <w:t xml:space="preserve"> </w:t>
            </w:r>
          </w:p>
          <w:p w14:paraId="2CB5D25E" w14:textId="77777777" w:rsidR="005005C3" w:rsidRPr="00DF4CE5" w:rsidRDefault="005005C3" w:rsidP="005005C3">
            <w:pPr>
              <w:spacing w:after="0" w:line="240" w:lineRule="auto"/>
              <w:jc w:val="both"/>
              <w:rPr>
                <w:rFonts w:ascii="Cambria" w:eastAsia="Times New Roman" w:hAnsi="Cambria" w:cs="Calibri"/>
                <w:lang w:val="it-IT" w:eastAsia="en-GB"/>
              </w:rPr>
            </w:pPr>
            <w:r w:rsidRPr="00DF4CE5">
              <w:rPr>
                <w:rFonts w:ascii="Cambria" w:eastAsia="Times New Roman" w:hAnsi="Cambria" w:cs="Calibri"/>
                <w:lang w:val="hr-HR" w:eastAsia="en-GB"/>
              </w:rPr>
              <w:t>Predstavljanje glazbeno kreiranog proizvoda.</w:t>
            </w:r>
          </w:p>
          <w:p w14:paraId="56543D35" w14:textId="77777777" w:rsidR="005005C3" w:rsidRPr="00DF4CE5" w:rsidRDefault="005005C3" w:rsidP="005005C3">
            <w:pPr>
              <w:spacing w:after="0" w:line="240" w:lineRule="auto"/>
              <w:jc w:val="both"/>
              <w:rPr>
                <w:rFonts w:ascii="Cambria" w:eastAsia="Times New Roman" w:hAnsi="Cambria" w:cs="Calibri"/>
                <w:lang w:val="it-IT" w:eastAsia="en-GB"/>
              </w:rPr>
            </w:pPr>
            <w:r w:rsidRPr="00DF4CE5">
              <w:rPr>
                <w:rFonts w:ascii="Cambria" w:eastAsia="Times New Roman" w:hAnsi="Cambria" w:cs="Calibri"/>
                <w:lang w:val="it-IT" w:eastAsia="en-GB"/>
              </w:rPr>
              <w:t xml:space="preserve">0 % = </w:t>
            </w:r>
            <w:proofErr w:type="spellStart"/>
            <w:r w:rsidRPr="00DF4CE5">
              <w:rPr>
                <w:rFonts w:ascii="Cambria" w:eastAsia="Times New Roman" w:hAnsi="Cambria" w:cs="Calibri"/>
                <w:lang w:val="it-IT" w:eastAsia="en-GB"/>
              </w:rPr>
              <w:t>Neuspješno</w:t>
            </w:r>
            <w:proofErr w:type="spellEnd"/>
            <w:r w:rsidRPr="00DF4CE5">
              <w:rPr>
                <w:rFonts w:ascii="Cambria" w:eastAsia="Times New Roman" w:hAnsi="Cambria" w:cs="Calibri"/>
                <w:lang w:val="it-IT" w:eastAsia="en-GB"/>
              </w:rPr>
              <w:t xml:space="preserve"> su </w:t>
            </w:r>
            <w:proofErr w:type="spellStart"/>
            <w:r w:rsidRPr="00DF4CE5">
              <w:rPr>
                <w:rFonts w:ascii="Cambria" w:eastAsia="Times New Roman" w:hAnsi="Cambria" w:cs="Calibri"/>
                <w:lang w:val="it-IT" w:eastAsia="en-GB"/>
              </w:rPr>
              <w:t>reproducirana</w:t>
            </w:r>
            <w:proofErr w:type="spellEnd"/>
            <w:r w:rsidRPr="00DF4CE5">
              <w:rPr>
                <w:rFonts w:ascii="Cambria" w:eastAsia="Times New Roman" w:hAnsi="Cambria" w:cs="Calibri"/>
                <w:lang w:val="it-IT" w:eastAsia="en-GB"/>
              </w:rPr>
              <w:t xml:space="preserve"> </w:t>
            </w:r>
            <w:proofErr w:type="spellStart"/>
            <w:r w:rsidRPr="00DF4CE5">
              <w:rPr>
                <w:rFonts w:ascii="Cambria" w:eastAsia="Times New Roman" w:hAnsi="Cambria" w:cs="Calibri"/>
                <w:lang w:val="it-IT" w:eastAsia="en-GB"/>
              </w:rPr>
              <w:t>usvojena</w:t>
            </w:r>
            <w:proofErr w:type="spellEnd"/>
            <w:r w:rsidRPr="00DF4CE5">
              <w:rPr>
                <w:rFonts w:ascii="Cambria" w:eastAsia="Times New Roman" w:hAnsi="Cambria" w:cs="Calibri"/>
                <w:lang w:val="it-IT" w:eastAsia="en-GB"/>
              </w:rPr>
              <w:t xml:space="preserve"> </w:t>
            </w:r>
            <w:proofErr w:type="spellStart"/>
            <w:r w:rsidRPr="00DF4CE5">
              <w:rPr>
                <w:rFonts w:ascii="Cambria" w:eastAsia="Times New Roman" w:hAnsi="Cambria" w:cs="Calibri"/>
                <w:lang w:val="it-IT" w:eastAsia="en-GB"/>
              </w:rPr>
              <w:t>glazbena</w:t>
            </w:r>
            <w:proofErr w:type="spellEnd"/>
            <w:r w:rsidRPr="00DF4CE5">
              <w:rPr>
                <w:rFonts w:ascii="Cambria" w:eastAsia="Times New Roman" w:hAnsi="Cambria" w:cs="Calibri"/>
                <w:lang w:val="it-IT" w:eastAsia="en-GB"/>
              </w:rPr>
              <w:t xml:space="preserve"> </w:t>
            </w:r>
            <w:proofErr w:type="spellStart"/>
            <w:r w:rsidRPr="00DF4CE5">
              <w:rPr>
                <w:rFonts w:ascii="Cambria" w:eastAsia="Times New Roman" w:hAnsi="Cambria" w:cs="Calibri"/>
                <w:lang w:val="it-IT" w:eastAsia="en-GB"/>
              </w:rPr>
              <w:t>znanja</w:t>
            </w:r>
            <w:proofErr w:type="spellEnd"/>
            <w:r w:rsidRPr="00DF4CE5">
              <w:rPr>
                <w:rFonts w:ascii="Cambria" w:eastAsia="Times New Roman" w:hAnsi="Cambria" w:cs="Calibri"/>
                <w:lang w:val="it-IT" w:eastAsia="en-GB"/>
              </w:rPr>
              <w:t xml:space="preserve"> i </w:t>
            </w:r>
            <w:proofErr w:type="spellStart"/>
            <w:r w:rsidRPr="00DF4CE5">
              <w:rPr>
                <w:rFonts w:ascii="Cambria" w:eastAsia="Times New Roman" w:hAnsi="Cambria" w:cs="Calibri"/>
                <w:lang w:val="it-IT" w:eastAsia="en-GB"/>
              </w:rPr>
              <w:t>vještine</w:t>
            </w:r>
            <w:proofErr w:type="spellEnd"/>
            <w:r w:rsidRPr="00DF4CE5">
              <w:rPr>
                <w:rFonts w:ascii="Cambria" w:eastAsia="Times New Roman" w:hAnsi="Cambria" w:cs="Calibri"/>
                <w:lang w:val="it-IT" w:eastAsia="en-GB"/>
              </w:rPr>
              <w:t>.</w:t>
            </w:r>
          </w:p>
          <w:p w14:paraId="78BD0B05" w14:textId="77777777" w:rsidR="005005C3" w:rsidRPr="00DF4CE5" w:rsidRDefault="005005C3" w:rsidP="005005C3">
            <w:pPr>
              <w:spacing w:after="0" w:line="240" w:lineRule="auto"/>
              <w:jc w:val="both"/>
              <w:rPr>
                <w:rFonts w:ascii="Cambria" w:eastAsia="Times New Roman" w:hAnsi="Cambria" w:cs="Calibri"/>
                <w:lang w:val="it-IT" w:eastAsia="en-GB"/>
              </w:rPr>
            </w:pPr>
            <w:r w:rsidRPr="00DF4CE5">
              <w:rPr>
                <w:rFonts w:ascii="Cambria" w:eastAsia="Times New Roman" w:hAnsi="Cambria" w:cs="Calibri"/>
                <w:lang w:val="it-IT" w:eastAsia="en-GB"/>
              </w:rPr>
              <w:t xml:space="preserve">10 % = </w:t>
            </w:r>
            <w:proofErr w:type="spellStart"/>
            <w:r w:rsidRPr="00DF4CE5">
              <w:rPr>
                <w:rFonts w:ascii="Cambria" w:eastAsia="Times New Roman" w:hAnsi="Cambria" w:cs="Calibri"/>
                <w:lang w:val="it-IT" w:eastAsia="en-GB"/>
              </w:rPr>
              <w:t>Djelomično</w:t>
            </w:r>
            <w:proofErr w:type="spellEnd"/>
            <w:r w:rsidRPr="00DF4CE5">
              <w:rPr>
                <w:rFonts w:ascii="Cambria" w:eastAsia="Times New Roman" w:hAnsi="Cambria" w:cs="Calibri"/>
                <w:lang w:val="it-IT" w:eastAsia="en-GB"/>
              </w:rPr>
              <w:t xml:space="preserve"> su </w:t>
            </w:r>
            <w:proofErr w:type="spellStart"/>
            <w:r w:rsidRPr="00DF4CE5">
              <w:rPr>
                <w:rFonts w:ascii="Cambria" w:eastAsia="Times New Roman" w:hAnsi="Cambria" w:cs="Calibri"/>
                <w:lang w:val="it-IT" w:eastAsia="en-GB"/>
              </w:rPr>
              <w:t>reproducirana</w:t>
            </w:r>
            <w:proofErr w:type="spellEnd"/>
            <w:r w:rsidRPr="00DF4CE5">
              <w:rPr>
                <w:rFonts w:ascii="Cambria" w:eastAsia="Times New Roman" w:hAnsi="Cambria" w:cs="Calibri"/>
                <w:lang w:val="it-IT" w:eastAsia="en-GB"/>
              </w:rPr>
              <w:t xml:space="preserve"> </w:t>
            </w:r>
            <w:proofErr w:type="spellStart"/>
            <w:r w:rsidRPr="00DF4CE5">
              <w:rPr>
                <w:rFonts w:ascii="Cambria" w:eastAsia="Times New Roman" w:hAnsi="Cambria" w:cs="Calibri"/>
                <w:lang w:val="it-IT" w:eastAsia="en-GB"/>
              </w:rPr>
              <w:t>usvojena</w:t>
            </w:r>
            <w:proofErr w:type="spellEnd"/>
            <w:r w:rsidRPr="00DF4CE5">
              <w:rPr>
                <w:rFonts w:ascii="Cambria" w:eastAsia="Times New Roman" w:hAnsi="Cambria" w:cs="Calibri"/>
                <w:lang w:val="it-IT" w:eastAsia="en-GB"/>
              </w:rPr>
              <w:t xml:space="preserve"> </w:t>
            </w:r>
            <w:proofErr w:type="spellStart"/>
            <w:r w:rsidRPr="00DF4CE5">
              <w:rPr>
                <w:rFonts w:ascii="Cambria" w:eastAsia="Times New Roman" w:hAnsi="Cambria" w:cs="Calibri"/>
                <w:lang w:val="it-IT" w:eastAsia="en-GB"/>
              </w:rPr>
              <w:t>glazbena</w:t>
            </w:r>
            <w:proofErr w:type="spellEnd"/>
            <w:r w:rsidRPr="00DF4CE5">
              <w:rPr>
                <w:rFonts w:ascii="Cambria" w:eastAsia="Times New Roman" w:hAnsi="Cambria" w:cs="Calibri"/>
                <w:lang w:val="it-IT" w:eastAsia="en-GB"/>
              </w:rPr>
              <w:t xml:space="preserve"> </w:t>
            </w:r>
            <w:proofErr w:type="spellStart"/>
            <w:r w:rsidRPr="00DF4CE5">
              <w:rPr>
                <w:rFonts w:ascii="Cambria" w:eastAsia="Times New Roman" w:hAnsi="Cambria" w:cs="Calibri"/>
                <w:lang w:val="it-IT" w:eastAsia="en-GB"/>
              </w:rPr>
              <w:t>znanja</w:t>
            </w:r>
            <w:proofErr w:type="spellEnd"/>
            <w:r w:rsidRPr="00DF4CE5">
              <w:rPr>
                <w:rFonts w:ascii="Cambria" w:eastAsia="Times New Roman" w:hAnsi="Cambria" w:cs="Calibri"/>
                <w:lang w:val="it-IT" w:eastAsia="en-GB"/>
              </w:rPr>
              <w:t xml:space="preserve"> i </w:t>
            </w:r>
            <w:proofErr w:type="spellStart"/>
            <w:r w:rsidRPr="00DF4CE5">
              <w:rPr>
                <w:rFonts w:ascii="Cambria" w:eastAsia="Times New Roman" w:hAnsi="Cambria" w:cs="Calibri"/>
                <w:lang w:val="it-IT" w:eastAsia="en-GB"/>
              </w:rPr>
              <w:t>vještine</w:t>
            </w:r>
            <w:proofErr w:type="spellEnd"/>
            <w:r w:rsidRPr="00DF4CE5">
              <w:rPr>
                <w:rFonts w:ascii="Cambria" w:eastAsia="Times New Roman" w:hAnsi="Cambria" w:cs="Calibri"/>
                <w:lang w:val="it-IT" w:eastAsia="en-GB"/>
              </w:rPr>
              <w:t>.</w:t>
            </w:r>
          </w:p>
          <w:p w14:paraId="075CA6D2" w14:textId="77777777" w:rsidR="005005C3" w:rsidRPr="00DF4CE5" w:rsidRDefault="005005C3" w:rsidP="005005C3">
            <w:pPr>
              <w:spacing w:after="0" w:line="240" w:lineRule="auto"/>
              <w:jc w:val="both"/>
              <w:rPr>
                <w:rFonts w:ascii="Cambria" w:eastAsia="Times New Roman" w:hAnsi="Cambria" w:cs="Calibri"/>
                <w:lang w:val="it-IT" w:eastAsia="en-GB"/>
              </w:rPr>
            </w:pPr>
            <w:r w:rsidRPr="00DF4CE5">
              <w:rPr>
                <w:rFonts w:ascii="Cambria" w:eastAsia="Times New Roman" w:hAnsi="Cambria" w:cs="Calibri"/>
                <w:lang w:val="it-IT" w:eastAsia="en-GB"/>
              </w:rPr>
              <w:t xml:space="preserve">20 % = </w:t>
            </w:r>
            <w:proofErr w:type="spellStart"/>
            <w:r w:rsidRPr="00DF4CE5">
              <w:rPr>
                <w:rFonts w:ascii="Cambria" w:eastAsia="Times New Roman" w:hAnsi="Cambria" w:cs="Calibri"/>
                <w:lang w:val="it-IT" w:eastAsia="en-GB"/>
              </w:rPr>
              <w:t>Uspješno</w:t>
            </w:r>
            <w:proofErr w:type="spellEnd"/>
            <w:r w:rsidRPr="00DF4CE5">
              <w:rPr>
                <w:rFonts w:ascii="Cambria" w:eastAsia="Times New Roman" w:hAnsi="Cambria" w:cs="Calibri"/>
                <w:lang w:val="it-IT" w:eastAsia="en-GB"/>
              </w:rPr>
              <w:t xml:space="preserve"> su </w:t>
            </w:r>
            <w:proofErr w:type="spellStart"/>
            <w:r w:rsidRPr="00DF4CE5">
              <w:rPr>
                <w:rFonts w:ascii="Cambria" w:eastAsia="Times New Roman" w:hAnsi="Cambria" w:cs="Calibri"/>
                <w:lang w:val="it-IT" w:eastAsia="en-GB"/>
              </w:rPr>
              <w:t>reproducirana</w:t>
            </w:r>
            <w:proofErr w:type="spellEnd"/>
            <w:r w:rsidRPr="00DF4CE5">
              <w:rPr>
                <w:rFonts w:ascii="Cambria" w:eastAsia="Times New Roman" w:hAnsi="Cambria" w:cs="Calibri"/>
                <w:lang w:val="it-IT" w:eastAsia="en-GB"/>
              </w:rPr>
              <w:t xml:space="preserve"> </w:t>
            </w:r>
            <w:proofErr w:type="spellStart"/>
            <w:r w:rsidRPr="00DF4CE5">
              <w:rPr>
                <w:rFonts w:ascii="Cambria" w:eastAsia="Times New Roman" w:hAnsi="Cambria" w:cs="Calibri"/>
                <w:lang w:val="it-IT" w:eastAsia="en-GB"/>
              </w:rPr>
              <w:t>usvojena</w:t>
            </w:r>
            <w:proofErr w:type="spellEnd"/>
            <w:r w:rsidRPr="00DF4CE5">
              <w:rPr>
                <w:rFonts w:ascii="Cambria" w:eastAsia="Times New Roman" w:hAnsi="Cambria" w:cs="Calibri"/>
                <w:lang w:val="it-IT" w:eastAsia="en-GB"/>
              </w:rPr>
              <w:t xml:space="preserve"> </w:t>
            </w:r>
            <w:proofErr w:type="spellStart"/>
            <w:r w:rsidRPr="00DF4CE5">
              <w:rPr>
                <w:rFonts w:ascii="Cambria" w:eastAsia="Times New Roman" w:hAnsi="Cambria" w:cs="Calibri"/>
                <w:lang w:val="it-IT" w:eastAsia="en-GB"/>
              </w:rPr>
              <w:t>glazbena</w:t>
            </w:r>
            <w:proofErr w:type="spellEnd"/>
            <w:r w:rsidRPr="00DF4CE5">
              <w:rPr>
                <w:rFonts w:ascii="Cambria" w:eastAsia="Times New Roman" w:hAnsi="Cambria" w:cs="Calibri"/>
                <w:lang w:val="it-IT" w:eastAsia="en-GB"/>
              </w:rPr>
              <w:t xml:space="preserve"> </w:t>
            </w:r>
            <w:proofErr w:type="spellStart"/>
            <w:r w:rsidRPr="00DF4CE5">
              <w:rPr>
                <w:rFonts w:ascii="Cambria" w:eastAsia="Times New Roman" w:hAnsi="Cambria" w:cs="Calibri"/>
                <w:lang w:val="it-IT" w:eastAsia="en-GB"/>
              </w:rPr>
              <w:t>znanja</w:t>
            </w:r>
            <w:proofErr w:type="spellEnd"/>
            <w:r w:rsidRPr="00DF4CE5">
              <w:rPr>
                <w:rFonts w:ascii="Cambria" w:eastAsia="Times New Roman" w:hAnsi="Cambria" w:cs="Calibri"/>
                <w:lang w:val="it-IT" w:eastAsia="en-GB"/>
              </w:rPr>
              <w:t xml:space="preserve"> i </w:t>
            </w:r>
            <w:proofErr w:type="spellStart"/>
            <w:r w:rsidRPr="00DF4CE5">
              <w:rPr>
                <w:rFonts w:ascii="Cambria" w:eastAsia="Times New Roman" w:hAnsi="Cambria" w:cs="Calibri"/>
                <w:lang w:val="it-IT" w:eastAsia="en-GB"/>
              </w:rPr>
              <w:t>vještine</w:t>
            </w:r>
            <w:proofErr w:type="spellEnd"/>
            <w:r w:rsidRPr="00DF4CE5">
              <w:rPr>
                <w:rFonts w:ascii="Cambria" w:eastAsia="Times New Roman" w:hAnsi="Cambria" w:cs="Calibri"/>
                <w:lang w:val="it-IT" w:eastAsia="en-GB"/>
              </w:rPr>
              <w:t xml:space="preserve">. </w:t>
            </w:r>
          </w:p>
          <w:p w14:paraId="11909E1E" w14:textId="5B6A3650" w:rsidR="005005C3" w:rsidRPr="00514D36" w:rsidRDefault="005005C3" w:rsidP="005005C3">
            <w:pPr>
              <w:spacing w:after="0" w:line="240" w:lineRule="auto"/>
              <w:jc w:val="both"/>
              <w:rPr>
                <w:rFonts w:ascii="Cambria" w:eastAsia="Times New Roman" w:hAnsi="Cambria" w:cs="Calibri"/>
                <w:lang w:val="it-IT" w:eastAsia="en-GB"/>
              </w:rPr>
            </w:pPr>
            <w:r w:rsidRPr="00DF4CE5">
              <w:rPr>
                <w:rFonts w:ascii="Cambria" w:eastAsia="Times New Roman" w:hAnsi="Cambria" w:cs="Calibri"/>
                <w:lang w:val="it-IT" w:eastAsia="en-GB"/>
              </w:rPr>
              <w:t xml:space="preserve">Da </w:t>
            </w:r>
            <w:proofErr w:type="spellStart"/>
            <w:r w:rsidRPr="00DF4CE5">
              <w:rPr>
                <w:rFonts w:ascii="Cambria" w:eastAsia="Times New Roman" w:hAnsi="Cambria" w:cs="Calibri"/>
                <w:lang w:val="it-IT" w:eastAsia="en-GB"/>
              </w:rPr>
              <w:t>položi</w:t>
            </w:r>
            <w:proofErr w:type="spellEnd"/>
            <w:r w:rsidRPr="00DF4CE5">
              <w:rPr>
                <w:rFonts w:ascii="Cambria" w:eastAsia="Times New Roman" w:hAnsi="Cambria" w:cs="Calibri"/>
                <w:lang w:val="it-IT" w:eastAsia="en-GB"/>
              </w:rPr>
              <w:t xml:space="preserve"> </w:t>
            </w:r>
            <w:proofErr w:type="spellStart"/>
            <w:r w:rsidRPr="00DF4CE5">
              <w:rPr>
                <w:rFonts w:ascii="Cambria" w:eastAsia="Times New Roman" w:hAnsi="Cambria" w:cs="Calibri"/>
                <w:lang w:val="it-IT" w:eastAsia="en-GB"/>
              </w:rPr>
              <w:t>kolegij</w:t>
            </w:r>
            <w:proofErr w:type="spellEnd"/>
            <w:r w:rsidRPr="00DF4CE5">
              <w:rPr>
                <w:rFonts w:ascii="Cambria" w:eastAsia="Times New Roman" w:hAnsi="Cambria" w:cs="Calibri"/>
                <w:lang w:val="it-IT" w:eastAsia="en-GB"/>
              </w:rPr>
              <w:t xml:space="preserve">, </w:t>
            </w:r>
            <w:proofErr w:type="spellStart"/>
            <w:r w:rsidRPr="00DF4CE5">
              <w:rPr>
                <w:rFonts w:ascii="Cambria" w:eastAsia="Times New Roman" w:hAnsi="Cambria" w:cs="Calibri"/>
                <w:lang w:val="it-IT" w:eastAsia="en-GB"/>
              </w:rPr>
              <w:t>student</w:t>
            </w:r>
            <w:proofErr w:type="spellEnd"/>
            <w:r w:rsidRPr="00DF4CE5">
              <w:rPr>
                <w:rFonts w:ascii="Cambria" w:eastAsia="Times New Roman" w:hAnsi="Cambria" w:cs="Calibri"/>
                <w:lang w:val="it-IT" w:eastAsia="en-GB"/>
              </w:rPr>
              <w:t>/</w:t>
            </w:r>
            <w:proofErr w:type="spellStart"/>
            <w:r w:rsidRPr="00DF4CE5">
              <w:rPr>
                <w:rFonts w:ascii="Cambria" w:eastAsia="Times New Roman" w:hAnsi="Cambria" w:cs="Calibri"/>
                <w:lang w:val="it-IT" w:eastAsia="en-GB"/>
              </w:rPr>
              <w:t>studentica</w:t>
            </w:r>
            <w:proofErr w:type="spellEnd"/>
            <w:r w:rsidRPr="00DF4CE5">
              <w:rPr>
                <w:rFonts w:ascii="Cambria" w:eastAsia="Times New Roman" w:hAnsi="Cambria" w:cs="Calibri"/>
                <w:lang w:val="it-IT" w:eastAsia="en-GB"/>
              </w:rPr>
              <w:t xml:space="preserve"> mora </w:t>
            </w:r>
            <w:proofErr w:type="spellStart"/>
            <w:proofErr w:type="gramStart"/>
            <w:r w:rsidRPr="00DF4CE5">
              <w:rPr>
                <w:rFonts w:ascii="Cambria" w:eastAsia="Times New Roman" w:hAnsi="Cambria" w:cs="Calibri"/>
                <w:lang w:val="it-IT" w:eastAsia="en-GB"/>
              </w:rPr>
              <w:t>ostvariti</w:t>
            </w:r>
            <w:proofErr w:type="spellEnd"/>
            <w:r w:rsidRPr="00DF4CE5">
              <w:rPr>
                <w:rFonts w:ascii="Cambria" w:eastAsia="Times New Roman" w:hAnsi="Cambria" w:cs="Calibri"/>
                <w:lang w:val="it-IT" w:eastAsia="en-GB"/>
              </w:rPr>
              <w:t xml:space="preserve">  </w:t>
            </w:r>
            <w:proofErr w:type="spellStart"/>
            <w:r w:rsidRPr="00DF4CE5">
              <w:rPr>
                <w:rFonts w:ascii="Cambria" w:eastAsia="Times New Roman" w:hAnsi="Cambria" w:cs="Calibri"/>
                <w:lang w:val="it-IT" w:eastAsia="en-GB"/>
              </w:rPr>
              <w:t>ukupno</w:t>
            </w:r>
            <w:proofErr w:type="spellEnd"/>
            <w:proofErr w:type="gramEnd"/>
            <w:r w:rsidRPr="00DF4CE5">
              <w:rPr>
                <w:rFonts w:ascii="Cambria" w:eastAsia="Times New Roman" w:hAnsi="Cambria" w:cs="Calibri"/>
                <w:lang w:val="it-IT" w:eastAsia="en-GB"/>
              </w:rPr>
              <w:t xml:space="preserve"> 50 % </w:t>
            </w:r>
            <w:proofErr w:type="spellStart"/>
            <w:r w:rsidRPr="00DF4CE5">
              <w:rPr>
                <w:rFonts w:ascii="Cambria" w:eastAsia="Times New Roman" w:hAnsi="Cambria" w:cs="Calibri"/>
                <w:lang w:val="it-IT" w:eastAsia="en-GB"/>
              </w:rPr>
              <w:t>bodova</w:t>
            </w:r>
            <w:proofErr w:type="spellEnd"/>
            <w:r w:rsidRPr="00DF4CE5">
              <w:rPr>
                <w:rFonts w:ascii="Cambria" w:eastAsia="Times New Roman" w:hAnsi="Cambria" w:cs="Calibri"/>
                <w:lang w:val="it-IT" w:eastAsia="en-GB"/>
              </w:rPr>
              <w:t xml:space="preserve"> </w:t>
            </w:r>
            <w:proofErr w:type="spellStart"/>
            <w:r w:rsidRPr="00DF4CE5">
              <w:rPr>
                <w:rFonts w:ascii="Cambria" w:eastAsia="Times New Roman" w:hAnsi="Cambria" w:cs="Calibri"/>
                <w:lang w:val="it-IT" w:eastAsia="en-GB"/>
              </w:rPr>
              <w:t>iz</w:t>
            </w:r>
            <w:proofErr w:type="spellEnd"/>
            <w:r w:rsidRPr="00DF4CE5">
              <w:rPr>
                <w:rFonts w:ascii="Cambria" w:eastAsia="Times New Roman" w:hAnsi="Cambria" w:cs="Calibri"/>
                <w:lang w:val="it-IT" w:eastAsia="en-GB"/>
              </w:rPr>
              <w:t xml:space="preserve"> </w:t>
            </w:r>
            <w:proofErr w:type="spellStart"/>
            <w:r w:rsidRPr="00DF4CE5">
              <w:rPr>
                <w:rFonts w:ascii="Cambria" w:eastAsia="Times New Roman" w:hAnsi="Cambria" w:cs="Calibri"/>
                <w:lang w:val="it-IT" w:eastAsia="en-GB"/>
              </w:rPr>
              <w:t>bilo</w:t>
            </w:r>
            <w:proofErr w:type="spellEnd"/>
            <w:r w:rsidRPr="00DF4CE5">
              <w:rPr>
                <w:rFonts w:ascii="Cambria" w:eastAsia="Times New Roman" w:hAnsi="Cambria" w:cs="Calibri"/>
                <w:lang w:val="it-IT" w:eastAsia="en-GB"/>
              </w:rPr>
              <w:t xml:space="preserve"> </w:t>
            </w:r>
            <w:proofErr w:type="spellStart"/>
            <w:r w:rsidRPr="00DF4CE5">
              <w:rPr>
                <w:rFonts w:ascii="Cambria" w:eastAsia="Times New Roman" w:hAnsi="Cambria" w:cs="Calibri"/>
                <w:lang w:val="it-IT" w:eastAsia="en-GB"/>
              </w:rPr>
              <w:t>kojeg</w:t>
            </w:r>
            <w:proofErr w:type="spellEnd"/>
            <w:r w:rsidRPr="00DF4CE5">
              <w:rPr>
                <w:rFonts w:ascii="Cambria" w:eastAsia="Times New Roman" w:hAnsi="Cambria" w:cs="Calibri"/>
                <w:lang w:val="it-IT" w:eastAsia="en-GB"/>
              </w:rPr>
              <w:t xml:space="preserve"> segmenta. </w:t>
            </w:r>
          </w:p>
        </w:tc>
      </w:tr>
      <w:tr w:rsidR="005005C3" w:rsidRPr="00D0399C" w14:paraId="12716781" w14:textId="77777777" w:rsidTr="00C106A0">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2178897" w14:textId="77777777" w:rsidR="005005C3" w:rsidRPr="00DF4CE5" w:rsidRDefault="005005C3" w:rsidP="005005C3">
            <w:pPr>
              <w:spacing w:after="0" w:line="240" w:lineRule="auto"/>
              <w:jc w:val="both"/>
              <w:rPr>
                <w:rFonts w:ascii="Cambria" w:eastAsia="Times New Roman" w:hAnsi="Cambria" w:cs="Calibri"/>
                <w:lang w:val="hr-HR" w:eastAsia="en-GB"/>
              </w:rPr>
            </w:pPr>
            <w:r w:rsidRPr="00DF4CE5">
              <w:rPr>
                <w:rFonts w:ascii="Cambria" w:eastAsia="Times New Roman" w:hAnsi="Cambria" w:cs="Calibri"/>
                <w:lang w:val="hr-HR" w:eastAsia="en-GB"/>
              </w:rPr>
              <w:t>Studentske obveze</w:t>
            </w:r>
          </w:p>
        </w:tc>
        <w:tc>
          <w:tcPr>
            <w:tcW w:w="671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BE00DDB" w14:textId="77777777" w:rsidR="005005C3" w:rsidRPr="00DF4CE5" w:rsidRDefault="005005C3" w:rsidP="005005C3">
            <w:pPr>
              <w:spacing w:after="0" w:line="240" w:lineRule="auto"/>
              <w:jc w:val="both"/>
              <w:rPr>
                <w:rFonts w:ascii="Cambria" w:eastAsia="Times New Roman" w:hAnsi="Cambria" w:cs="Calibri"/>
                <w:lang w:val="it-IT" w:eastAsia="en-GB"/>
              </w:rPr>
            </w:pPr>
            <w:r w:rsidRPr="00DF4CE5">
              <w:rPr>
                <w:rFonts w:ascii="Cambria" w:eastAsia="Times New Roman" w:hAnsi="Cambria" w:cs="Times New Roman"/>
                <w:lang w:val="hr-HR"/>
              </w:rPr>
              <w:t xml:space="preserve">Da </w:t>
            </w:r>
            <w:proofErr w:type="spellStart"/>
            <w:r w:rsidRPr="00DF4CE5">
              <w:rPr>
                <w:rFonts w:ascii="Cambria" w:eastAsia="Times New Roman" w:hAnsi="Cambria" w:cs="Calibri"/>
                <w:lang w:val="it-IT" w:eastAsia="en-GB"/>
              </w:rPr>
              <w:t>položi</w:t>
            </w:r>
            <w:proofErr w:type="spellEnd"/>
            <w:r w:rsidRPr="00DF4CE5">
              <w:rPr>
                <w:rFonts w:ascii="Cambria" w:eastAsia="Times New Roman" w:hAnsi="Cambria" w:cs="Calibri"/>
                <w:lang w:val="it-IT" w:eastAsia="en-GB"/>
              </w:rPr>
              <w:t xml:space="preserve"> </w:t>
            </w:r>
            <w:proofErr w:type="spellStart"/>
            <w:r w:rsidRPr="00DF4CE5">
              <w:rPr>
                <w:rFonts w:ascii="Cambria" w:eastAsia="Times New Roman" w:hAnsi="Cambria" w:cs="Calibri"/>
                <w:lang w:val="it-IT" w:eastAsia="en-GB"/>
              </w:rPr>
              <w:t>kolegij</w:t>
            </w:r>
            <w:proofErr w:type="spellEnd"/>
            <w:r w:rsidRPr="00DF4CE5">
              <w:rPr>
                <w:rFonts w:ascii="Cambria" w:eastAsia="Times New Roman" w:hAnsi="Cambria" w:cs="Calibri"/>
                <w:lang w:val="it-IT" w:eastAsia="en-GB"/>
              </w:rPr>
              <w:t xml:space="preserve">, </w:t>
            </w:r>
            <w:proofErr w:type="spellStart"/>
            <w:r w:rsidRPr="00DF4CE5">
              <w:rPr>
                <w:rFonts w:ascii="Cambria" w:eastAsia="Times New Roman" w:hAnsi="Cambria" w:cs="Calibri"/>
                <w:lang w:val="it-IT" w:eastAsia="en-GB"/>
              </w:rPr>
              <w:t>student</w:t>
            </w:r>
            <w:proofErr w:type="spellEnd"/>
            <w:r w:rsidRPr="00DF4CE5">
              <w:rPr>
                <w:rFonts w:ascii="Cambria" w:eastAsia="Times New Roman" w:hAnsi="Cambria" w:cs="Calibri"/>
                <w:lang w:val="it-IT" w:eastAsia="en-GB"/>
              </w:rPr>
              <w:t>/</w:t>
            </w:r>
            <w:proofErr w:type="spellStart"/>
            <w:r w:rsidRPr="00DF4CE5">
              <w:rPr>
                <w:rFonts w:ascii="Cambria" w:eastAsia="Times New Roman" w:hAnsi="Cambria" w:cs="Calibri"/>
                <w:lang w:val="it-IT" w:eastAsia="en-GB"/>
              </w:rPr>
              <w:t>studentica</w:t>
            </w:r>
            <w:proofErr w:type="spellEnd"/>
            <w:r w:rsidRPr="00DF4CE5">
              <w:rPr>
                <w:rFonts w:ascii="Cambria" w:eastAsia="Times New Roman" w:hAnsi="Cambria" w:cs="Calibri"/>
                <w:lang w:val="it-IT" w:eastAsia="en-GB"/>
              </w:rPr>
              <w:t xml:space="preserve"> mora:</w:t>
            </w:r>
          </w:p>
          <w:p w14:paraId="2D804DEC" w14:textId="77777777" w:rsidR="005005C3" w:rsidRPr="00DF4CE5" w:rsidRDefault="005005C3" w:rsidP="005005C3">
            <w:pPr>
              <w:spacing w:after="0" w:line="240" w:lineRule="auto"/>
              <w:jc w:val="both"/>
              <w:rPr>
                <w:rFonts w:ascii="Cambria" w:eastAsia="Times New Roman" w:hAnsi="Cambria" w:cs="Calibri"/>
                <w:lang w:val="it-IT" w:eastAsia="en-GB"/>
              </w:rPr>
            </w:pPr>
            <w:r w:rsidRPr="00DF4CE5">
              <w:rPr>
                <w:rFonts w:ascii="Cambria" w:eastAsia="Times New Roman" w:hAnsi="Cambria" w:cs="Calibri"/>
                <w:lang w:val="it-IT" w:eastAsia="en-GB"/>
              </w:rPr>
              <w:t xml:space="preserve">1. </w:t>
            </w:r>
            <w:proofErr w:type="spellStart"/>
            <w:r w:rsidRPr="00DF4CE5">
              <w:rPr>
                <w:rFonts w:ascii="Cambria" w:eastAsia="Times New Roman" w:hAnsi="Cambria" w:cs="Calibri"/>
                <w:lang w:val="it-IT" w:eastAsia="en-GB"/>
              </w:rPr>
              <w:t>pohađati</w:t>
            </w:r>
            <w:proofErr w:type="spellEnd"/>
            <w:r w:rsidRPr="00DF4CE5">
              <w:rPr>
                <w:rFonts w:ascii="Cambria" w:eastAsia="Times New Roman" w:hAnsi="Cambria" w:cs="Calibri"/>
                <w:lang w:val="it-IT" w:eastAsia="en-GB"/>
              </w:rPr>
              <w:t xml:space="preserve"> </w:t>
            </w:r>
            <w:proofErr w:type="spellStart"/>
            <w:r w:rsidRPr="00DF4CE5">
              <w:rPr>
                <w:rFonts w:ascii="Cambria" w:eastAsia="Times New Roman" w:hAnsi="Cambria" w:cs="Calibri"/>
                <w:lang w:val="it-IT" w:eastAsia="en-GB"/>
              </w:rPr>
              <w:t>nastavu</w:t>
            </w:r>
            <w:proofErr w:type="spellEnd"/>
          </w:p>
          <w:p w14:paraId="2E3A1587" w14:textId="77777777" w:rsidR="005005C3" w:rsidRPr="00DF4CE5" w:rsidRDefault="005005C3" w:rsidP="005005C3">
            <w:pPr>
              <w:spacing w:after="0" w:line="240" w:lineRule="auto"/>
              <w:jc w:val="both"/>
              <w:rPr>
                <w:rFonts w:ascii="Cambria" w:eastAsia="Times New Roman" w:hAnsi="Cambria" w:cs="Calibri"/>
                <w:lang w:val="it-IT" w:eastAsia="en-GB"/>
              </w:rPr>
            </w:pPr>
            <w:r w:rsidRPr="00DF4CE5">
              <w:rPr>
                <w:rFonts w:ascii="Cambria" w:eastAsia="Times New Roman" w:hAnsi="Cambria" w:cs="Calibri"/>
                <w:lang w:val="it-IT" w:eastAsia="en-GB"/>
              </w:rPr>
              <w:t xml:space="preserve">2. </w:t>
            </w:r>
            <w:proofErr w:type="spellStart"/>
            <w:r w:rsidRPr="00DF4CE5">
              <w:rPr>
                <w:rFonts w:ascii="Cambria" w:eastAsia="Times New Roman" w:hAnsi="Cambria" w:cs="Calibri"/>
                <w:lang w:val="it-IT" w:eastAsia="en-GB"/>
              </w:rPr>
              <w:t>kreirati</w:t>
            </w:r>
            <w:proofErr w:type="spellEnd"/>
            <w:r w:rsidRPr="00DF4CE5">
              <w:rPr>
                <w:rFonts w:ascii="Cambria" w:eastAsia="Times New Roman" w:hAnsi="Cambria" w:cs="Calibri"/>
                <w:lang w:val="it-IT" w:eastAsia="en-GB"/>
              </w:rPr>
              <w:t xml:space="preserve"> </w:t>
            </w:r>
            <w:proofErr w:type="spellStart"/>
            <w:r w:rsidRPr="00DF4CE5">
              <w:rPr>
                <w:rFonts w:ascii="Cambria" w:eastAsia="Times New Roman" w:hAnsi="Cambria" w:cs="Calibri"/>
                <w:lang w:val="it-IT" w:eastAsia="en-GB"/>
              </w:rPr>
              <w:t>dogovorene</w:t>
            </w:r>
            <w:proofErr w:type="spellEnd"/>
            <w:r w:rsidRPr="00DF4CE5">
              <w:rPr>
                <w:rFonts w:ascii="Cambria" w:eastAsia="Times New Roman" w:hAnsi="Cambria" w:cs="Calibri"/>
                <w:lang w:val="it-IT" w:eastAsia="en-GB"/>
              </w:rPr>
              <w:t xml:space="preserve"> </w:t>
            </w:r>
            <w:proofErr w:type="spellStart"/>
            <w:r w:rsidRPr="00DF4CE5">
              <w:rPr>
                <w:rFonts w:ascii="Cambria" w:eastAsia="Times New Roman" w:hAnsi="Cambria" w:cs="Calibri"/>
                <w:lang w:val="it-IT" w:eastAsia="en-GB"/>
              </w:rPr>
              <w:t>uratke</w:t>
            </w:r>
            <w:proofErr w:type="spellEnd"/>
          </w:p>
          <w:p w14:paraId="055897C4" w14:textId="77777777" w:rsidR="005005C3" w:rsidRPr="00DF4CE5" w:rsidRDefault="005005C3" w:rsidP="005005C3">
            <w:pPr>
              <w:spacing w:after="0" w:line="240" w:lineRule="auto"/>
              <w:jc w:val="both"/>
              <w:rPr>
                <w:rFonts w:ascii="Cambria" w:eastAsia="Times New Roman" w:hAnsi="Cambria" w:cs="Calibri"/>
                <w:lang w:val="it-IT" w:eastAsia="en-GB"/>
              </w:rPr>
            </w:pPr>
            <w:r w:rsidRPr="00DF4CE5">
              <w:rPr>
                <w:rFonts w:ascii="Cambria" w:eastAsia="Times New Roman" w:hAnsi="Cambria" w:cs="Calibri"/>
                <w:lang w:val="it-IT" w:eastAsia="en-GB"/>
              </w:rPr>
              <w:t xml:space="preserve">3. </w:t>
            </w:r>
            <w:proofErr w:type="spellStart"/>
            <w:r w:rsidRPr="00DF4CE5">
              <w:rPr>
                <w:rFonts w:ascii="Cambria" w:eastAsia="Times New Roman" w:hAnsi="Cambria" w:cs="Calibri"/>
                <w:lang w:val="it-IT" w:eastAsia="en-GB"/>
              </w:rPr>
              <w:t>sudjelovati</w:t>
            </w:r>
            <w:proofErr w:type="spellEnd"/>
            <w:r w:rsidRPr="00DF4CE5">
              <w:rPr>
                <w:rFonts w:ascii="Cambria" w:eastAsia="Times New Roman" w:hAnsi="Cambria" w:cs="Calibri"/>
                <w:lang w:val="it-IT" w:eastAsia="en-GB"/>
              </w:rPr>
              <w:t xml:space="preserve"> u </w:t>
            </w:r>
            <w:proofErr w:type="spellStart"/>
            <w:r w:rsidRPr="00DF4CE5">
              <w:rPr>
                <w:rFonts w:ascii="Cambria" w:eastAsia="Times New Roman" w:hAnsi="Cambria" w:cs="Calibri"/>
                <w:lang w:val="it-IT" w:eastAsia="en-GB"/>
              </w:rPr>
              <w:t>procesu</w:t>
            </w:r>
            <w:proofErr w:type="spellEnd"/>
            <w:r w:rsidRPr="00DF4CE5">
              <w:rPr>
                <w:rFonts w:ascii="Cambria" w:eastAsia="Times New Roman" w:hAnsi="Cambria" w:cs="Calibri"/>
                <w:lang w:val="it-IT" w:eastAsia="en-GB"/>
              </w:rPr>
              <w:t xml:space="preserve"> </w:t>
            </w:r>
            <w:proofErr w:type="spellStart"/>
            <w:r w:rsidRPr="00DF4CE5">
              <w:rPr>
                <w:rFonts w:ascii="Cambria" w:eastAsia="Times New Roman" w:hAnsi="Cambria" w:cs="Calibri"/>
                <w:lang w:val="it-IT" w:eastAsia="en-GB"/>
              </w:rPr>
              <w:t>stvaranja</w:t>
            </w:r>
            <w:proofErr w:type="spellEnd"/>
            <w:r w:rsidRPr="00DF4CE5">
              <w:rPr>
                <w:rFonts w:ascii="Cambria" w:eastAsia="Times New Roman" w:hAnsi="Cambria" w:cs="Calibri"/>
                <w:lang w:val="it-IT" w:eastAsia="en-GB"/>
              </w:rPr>
              <w:t xml:space="preserve"> </w:t>
            </w:r>
            <w:proofErr w:type="spellStart"/>
            <w:r w:rsidRPr="00DF4CE5">
              <w:rPr>
                <w:rFonts w:ascii="Cambria" w:eastAsia="Times New Roman" w:hAnsi="Cambria" w:cs="Calibri"/>
                <w:lang w:val="it-IT" w:eastAsia="en-GB"/>
              </w:rPr>
              <w:t>novog</w:t>
            </w:r>
            <w:proofErr w:type="spellEnd"/>
            <w:r w:rsidRPr="00DF4CE5">
              <w:rPr>
                <w:rFonts w:ascii="Cambria" w:eastAsia="Times New Roman" w:hAnsi="Cambria" w:cs="Calibri"/>
                <w:lang w:val="it-IT" w:eastAsia="en-GB"/>
              </w:rPr>
              <w:t xml:space="preserve"> </w:t>
            </w:r>
            <w:proofErr w:type="spellStart"/>
            <w:r w:rsidRPr="00DF4CE5">
              <w:rPr>
                <w:rFonts w:ascii="Cambria" w:eastAsia="Times New Roman" w:hAnsi="Cambria" w:cs="Calibri"/>
                <w:lang w:val="it-IT" w:eastAsia="en-GB"/>
              </w:rPr>
              <w:t>glazbenog</w:t>
            </w:r>
            <w:proofErr w:type="spellEnd"/>
            <w:r w:rsidRPr="00DF4CE5">
              <w:rPr>
                <w:rFonts w:ascii="Cambria" w:eastAsia="Times New Roman" w:hAnsi="Cambria" w:cs="Calibri"/>
                <w:lang w:val="it-IT" w:eastAsia="en-GB"/>
              </w:rPr>
              <w:t xml:space="preserve"> </w:t>
            </w:r>
            <w:proofErr w:type="spellStart"/>
            <w:r w:rsidRPr="00DF4CE5">
              <w:rPr>
                <w:rFonts w:ascii="Cambria" w:eastAsia="Times New Roman" w:hAnsi="Cambria" w:cs="Calibri"/>
                <w:lang w:val="it-IT" w:eastAsia="en-GB"/>
              </w:rPr>
              <w:t>sadržaja</w:t>
            </w:r>
            <w:proofErr w:type="spellEnd"/>
          </w:p>
          <w:p w14:paraId="32C2E4C3" w14:textId="14B27042" w:rsidR="005005C3" w:rsidRPr="00DF4CE5" w:rsidRDefault="005005C3" w:rsidP="005005C3">
            <w:pPr>
              <w:spacing w:after="0" w:line="240" w:lineRule="auto"/>
              <w:jc w:val="both"/>
              <w:rPr>
                <w:rFonts w:ascii="Cambria" w:eastAsia="Times New Roman" w:hAnsi="Cambria" w:cs="Calibri"/>
                <w:lang w:val="it-IT" w:eastAsia="en-GB"/>
              </w:rPr>
            </w:pPr>
            <w:r w:rsidRPr="00DF4CE5">
              <w:rPr>
                <w:rFonts w:ascii="Cambria" w:eastAsia="Times New Roman" w:hAnsi="Cambria" w:cs="Calibri"/>
                <w:lang w:val="it-IT" w:eastAsia="en-GB"/>
              </w:rPr>
              <w:t xml:space="preserve">4. </w:t>
            </w:r>
            <w:proofErr w:type="spellStart"/>
            <w:r w:rsidRPr="00DF4CE5">
              <w:rPr>
                <w:rFonts w:ascii="Cambria" w:eastAsia="Times New Roman" w:hAnsi="Cambria" w:cs="Calibri"/>
                <w:lang w:val="it-IT" w:eastAsia="en-GB"/>
              </w:rPr>
              <w:t>predstaviti</w:t>
            </w:r>
            <w:proofErr w:type="spellEnd"/>
            <w:r w:rsidRPr="00DF4CE5">
              <w:rPr>
                <w:rFonts w:ascii="Cambria" w:eastAsia="Times New Roman" w:hAnsi="Cambria" w:cs="Calibri"/>
                <w:lang w:val="it-IT" w:eastAsia="en-GB"/>
              </w:rPr>
              <w:t xml:space="preserve"> novi </w:t>
            </w:r>
            <w:proofErr w:type="spellStart"/>
            <w:r w:rsidRPr="00DF4CE5">
              <w:rPr>
                <w:rFonts w:ascii="Cambria" w:eastAsia="Times New Roman" w:hAnsi="Cambria" w:cs="Calibri"/>
                <w:lang w:val="it-IT" w:eastAsia="en-GB"/>
              </w:rPr>
              <w:t>kreativni</w:t>
            </w:r>
            <w:proofErr w:type="spellEnd"/>
            <w:r w:rsidRPr="00DF4CE5">
              <w:rPr>
                <w:rFonts w:ascii="Cambria" w:eastAsia="Times New Roman" w:hAnsi="Cambria" w:cs="Calibri"/>
                <w:lang w:val="it-IT" w:eastAsia="en-GB"/>
              </w:rPr>
              <w:t xml:space="preserve"> </w:t>
            </w:r>
            <w:proofErr w:type="spellStart"/>
            <w:r w:rsidRPr="00DF4CE5">
              <w:rPr>
                <w:rFonts w:ascii="Cambria" w:eastAsia="Times New Roman" w:hAnsi="Cambria" w:cs="Calibri"/>
                <w:lang w:val="it-IT" w:eastAsia="en-GB"/>
              </w:rPr>
              <w:t>glazbeni</w:t>
            </w:r>
            <w:proofErr w:type="spellEnd"/>
            <w:r w:rsidRPr="00DF4CE5">
              <w:rPr>
                <w:rFonts w:ascii="Cambria" w:eastAsia="Times New Roman" w:hAnsi="Cambria" w:cs="Calibri"/>
                <w:lang w:val="it-IT" w:eastAsia="en-GB"/>
              </w:rPr>
              <w:t xml:space="preserve"> </w:t>
            </w:r>
            <w:proofErr w:type="spellStart"/>
            <w:r w:rsidRPr="00DF4CE5">
              <w:rPr>
                <w:rFonts w:ascii="Cambria" w:eastAsia="Times New Roman" w:hAnsi="Cambria" w:cs="Calibri"/>
                <w:lang w:val="it-IT" w:eastAsia="en-GB"/>
              </w:rPr>
              <w:t>sadržaj</w:t>
            </w:r>
            <w:proofErr w:type="spellEnd"/>
            <w:r w:rsidR="00514D36">
              <w:rPr>
                <w:rFonts w:ascii="Cambria" w:eastAsia="Times New Roman" w:hAnsi="Cambria" w:cs="Calibri"/>
                <w:lang w:val="it-IT" w:eastAsia="en-GB"/>
              </w:rPr>
              <w:t>.</w:t>
            </w:r>
          </w:p>
          <w:p w14:paraId="79CEED45" w14:textId="77777777" w:rsidR="005005C3" w:rsidRPr="00DF4CE5" w:rsidRDefault="005005C3" w:rsidP="005005C3">
            <w:pPr>
              <w:spacing w:after="0" w:line="240" w:lineRule="auto"/>
              <w:jc w:val="both"/>
              <w:rPr>
                <w:rFonts w:ascii="Cambria" w:eastAsia="Times New Roman" w:hAnsi="Cambria" w:cs="Calibri"/>
                <w:lang w:val="hr-HR" w:eastAsia="en-GB"/>
              </w:rPr>
            </w:pPr>
          </w:p>
        </w:tc>
      </w:tr>
      <w:tr w:rsidR="005005C3" w:rsidRPr="00D0399C" w14:paraId="71A58101" w14:textId="77777777" w:rsidTr="00C106A0">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39C8805" w14:textId="77777777" w:rsidR="005005C3" w:rsidRPr="00DF4CE5" w:rsidRDefault="005005C3" w:rsidP="005005C3">
            <w:pPr>
              <w:spacing w:after="0" w:line="240" w:lineRule="auto"/>
              <w:jc w:val="both"/>
              <w:rPr>
                <w:rFonts w:ascii="Cambria" w:eastAsia="Times New Roman" w:hAnsi="Cambria" w:cs="Calibri"/>
                <w:lang w:val="hr-HR" w:eastAsia="en-GB"/>
              </w:rPr>
            </w:pPr>
            <w:proofErr w:type="spellStart"/>
            <w:r w:rsidRPr="00DF4CE5">
              <w:rPr>
                <w:rFonts w:ascii="Cambria" w:eastAsia="Times New Roman" w:hAnsi="Cambria" w:cs="Calibri"/>
                <w:lang w:eastAsia="en-GB"/>
              </w:rPr>
              <w:t>Rokovi</w:t>
            </w:r>
            <w:proofErr w:type="spellEnd"/>
            <w:r w:rsidRPr="00DF4CE5">
              <w:rPr>
                <w:rFonts w:ascii="Cambria" w:eastAsia="Times New Roman" w:hAnsi="Cambria" w:cs="Calibri"/>
                <w:lang w:eastAsia="en-GB"/>
              </w:rPr>
              <w:t xml:space="preserve"> </w:t>
            </w:r>
            <w:proofErr w:type="spellStart"/>
            <w:r w:rsidRPr="00DF4CE5">
              <w:rPr>
                <w:rFonts w:ascii="Cambria" w:eastAsia="Times New Roman" w:hAnsi="Cambria" w:cs="Calibri"/>
                <w:lang w:eastAsia="en-GB"/>
              </w:rPr>
              <w:t>ispita</w:t>
            </w:r>
            <w:proofErr w:type="spellEnd"/>
            <w:r w:rsidRPr="00DF4CE5">
              <w:rPr>
                <w:rFonts w:ascii="Cambria" w:eastAsia="Times New Roman" w:hAnsi="Cambria" w:cs="Calibri"/>
                <w:lang w:eastAsia="en-GB"/>
              </w:rPr>
              <w:t xml:space="preserve"> </w:t>
            </w:r>
            <w:proofErr w:type="spellStart"/>
            <w:r w:rsidRPr="00DF4CE5">
              <w:rPr>
                <w:rFonts w:ascii="Cambria" w:eastAsia="Times New Roman" w:hAnsi="Cambria" w:cs="Calibri"/>
                <w:lang w:eastAsia="en-GB"/>
              </w:rPr>
              <w:t>i</w:t>
            </w:r>
            <w:proofErr w:type="spellEnd"/>
            <w:r w:rsidRPr="00DF4CE5">
              <w:rPr>
                <w:rFonts w:ascii="Cambria" w:eastAsia="Times New Roman" w:hAnsi="Cambria" w:cs="Calibri"/>
                <w:lang w:eastAsia="en-GB"/>
              </w:rPr>
              <w:t xml:space="preserve"> </w:t>
            </w:r>
            <w:proofErr w:type="spellStart"/>
            <w:r w:rsidRPr="00DF4CE5">
              <w:rPr>
                <w:rFonts w:ascii="Cambria" w:eastAsia="Times New Roman" w:hAnsi="Cambria" w:cs="Calibri"/>
                <w:lang w:eastAsia="en-GB"/>
              </w:rPr>
              <w:t>kolokvija</w:t>
            </w:r>
            <w:proofErr w:type="spellEnd"/>
          </w:p>
        </w:tc>
        <w:tc>
          <w:tcPr>
            <w:tcW w:w="671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71AFE95" w14:textId="77777777" w:rsidR="005005C3" w:rsidRPr="00DF4CE5" w:rsidRDefault="005005C3" w:rsidP="005005C3">
            <w:pPr>
              <w:spacing w:after="0" w:line="240" w:lineRule="auto"/>
              <w:jc w:val="both"/>
              <w:rPr>
                <w:rFonts w:ascii="Cambria" w:eastAsia="Times New Roman" w:hAnsi="Cambria" w:cs="Calibri"/>
                <w:lang w:val="hr-HR" w:eastAsia="en-GB"/>
              </w:rPr>
            </w:pPr>
            <w:proofErr w:type="spellStart"/>
            <w:r w:rsidRPr="00DF4CE5">
              <w:rPr>
                <w:rFonts w:ascii="Cambria" w:eastAsia="Times New Roman" w:hAnsi="Cambria" w:cs="Calibri"/>
                <w:lang w:val="it-IT" w:eastAsia="en-GB"/>
              </w:rPr>
              <w:t>Svi</w:t>
            </w:r>
            <w:proofErr w:type="spellEnd"/>
            <w:r w:rsidRPr="00DF4CE5">
              <w:rPr>
                <w:rFonts w:ascii="Cambria" w:eastAsia="Times New Roman" w:hAnsi="Cambria" w:cs="Calibri"/>
                <w:lang w:val="it-IT" w:eastAsia="en-GB"/>
              </w:rPr>
              <w:t xml:space="preserve"> </w:t>
            </w:r>
            <w:proofErr w:type="spellStart"/>
            <w:r w:rsidRPr="00DF4CE5">
              <w:rPr>
                <w:rFonts w:ascii="Cambria" w:eastAsia="Times New Roman" w:hAnsi="Cambria" w:cs="Calibri"/>
                <w:lang w:val="it-IT" w:eastAsia="en-GB"/>
              </w:rPr>
              <w:t>rokovi</w:t>
            </w:r>
            <w:proofErr w:type="spellEnd"/>
            <w:r w:rsidRPr="00DF4CE5">
              <w:rPr>
                <w:rFonts w:ascii="Cambria" w:eastAsia="Times New Roman" w:hAnsi="Cambria" w:cs="Calibri"/>
                <w:lang w:val="it-IT" w:eastAsia="en-GB"/>
              </w:rPr>
              <w:t xml:space="preserve"> </w:t>
            </w:r>
            <w:proofErr w:type="spellStart"/>
            <w:r w:rsidRPr="00DF4CE5">
              <w:rPr>
                <w:rFonts w:ascii="Cambria" w:eastAsia="Times New Roman" w:hAnsi="Cambria" w:cs="Calibri"/>
                <w:lang w:val="it-IT" w:eastAsia="en-GB"/>
              </w:rPr>
              <w:t>objavljuju</w:t>
            </w:r>
            <w:proofErr w:type="spellEnd"/>
            <w:r w:rsidRPr="00DF4CE5">
              <w:rPr>
                <w:rFonts w:ascii="Cambria" w:eastAsia="Times New Roman" w:hAnsi="Cambria" w:cs="Calibri"/>
                <w:lang w:val="it-IT" w:eastAsia="en-GB"/>
              </w:rPr>
              <w:t xml:space="preserve"> se </w:t>
            </w:r>
            <w:proofErr w:type="spellStart"/>
            <w:r w:rsidRPr="00DF4CE5">
              <w:rPr>
                <w:rFonts w:ascii="Cambria" w:eastAsia="Times New Roman" w:hAnsi="Cambria" w:cs="Calibri"/>
                <w:lang w:val="it-IT" w:eastAsia="en-GB"/>
              </w:rPr>
              <w:t>na</w:t>
            </w:r>
            <w:proofErr w:type="spellEnd"/>
            <w:r w:rsidRPr="00DF4CE5">
              <w:rPr>
                <w:rFonts w:ascii="Cambria" w:eastAsia="Times New Roman" w:hAnsi="Cambria" w:cs="Calibri"/>
                <w:lang w:val="it-IT" w:eastAsia="en-GB"/>
              </w:rPr>
              <w:t xml:space="preserve"> </w:t>
            </w:r>
            <w:proofErr w:type="spellStart"/>
            <w:r w:rsidRPr="00DF4CE5">
              <w:rPr>
                <w:rFonts w:ascii="Cambria" w:eastAsia="Times New Roman" w:hAnsi="Cambria" w:cs="Calibri"/>
                <w:lang w:val="it-IT" w:eastAsia="en-GB"/>
              </w:rPr>
              <w:t>mrežnim</w:t>
            </w:r>
            <w:proofErr w:type="spellEnd"/>
            <w:r w:rsidRPr="00DF4CE5">
              <w:rPr>
                <w:rFonts w:ascii="Cambria" w:eastAsia="Times New Roman" w:hAnsi="Cambria" w:cs="Calibri"/>
                <w:lang w:val="it-IT" w:eastAsia="en-GB"/>
              </w:rPr>
              <w:t xml:space="preserve"> </w:t>
            </w:r>
            <w:proofErr w:type="spellStart"/>
            <w:r w:rsidRPr="00DF4CE5">
              <w:rPr>
                <w:rFonts w:ascii="Cambria" w:eastAsia="Times New Roman" w:hAnsi="Cambria" w:cs="Calibri"/>
                <w:lang w:val="it-IT" w:eastAsia="en-GB"/>
              </w:rPr>
              <w:t>stranicama</w:t>
            </w:r>
            <w:proofErr w:type="spellEnd"/>
            <w:r w:rsidRPr="00DF4CE5">
              <w:rPr>
                <w:rFonts w:ascii="Cambria" w:eastAsia="Times New Roman" w:hAnsi="Cambria" w:cs="Calibri"/>
                <w:lang w:val="it-IT" w:eastAsia="en-GB"/>
              </w:rPr>
              <w:t xml:space="preserve"> ISVU </w:t>
            </w:r>
            <w:proofErr w:type="spellStart"/>
            <w:r w:rsidRPr="00DF4CE5">
              <w:rPr>
                <w:rFonts w:ascii="Cambria" w:eastAsia="Times New Roman" w:hAnsi="Cambria" w:cs="Calibri"/>
                <w:lang w:val="it-IT" w:eastAsia="en-GB"/>
              </w:rPr>
              <w:t>službe</w:t>
            </w:r>
            <w:proofErr w:type="spellEnd"/>
            <w:r w:rsidRPr="00DF4CE5">
              <w:rPr>
                <w:rFonts w:ascii="Cambria" w:eastAsia="Times New Roman" w:hAnsi="Cambria" w:cs="Calibri"/>
                <w:lang w:val="it-IT" w:eastAsia="en-GB"/>
              </w:rPr>
              <w:t>.</w:t>
            </w:r>
          </w:p>
        </w:tc>
      </w:tr>
      <w:tr w:rsidR="005005C3" w:rsidRPr="00DF4CE5" w14:paraId="74576804" w14:textId="77777777" w:rsidTr="00C106A0">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552EC43" w14:textId="77777777" w:rsidR="005005C3" w:rsidRPr="00DF4CE5" w:rsidRDefault="005005C3" w:rsidP="005005C3">
            <w:pPr>
              <w:spacing w:after="0" w:line="240" w:lineRule="auto"/>
              <w:jc w:val="both"/>
              <w:rPr>
                <w:rFonts w:ascii="Cambria" w:eastAsia="Times New Roman" w:hAnsi="Cambria" w:cs="Calibri"/>
                <w:lang w:val="hr-HR" w:eastAsia="en-GB"/>
              </w:rPr>
            </w:pPr>
            <w:r w:rsidRPr="00DF4CE5">
              <w:rPr>
                <w:rFonts w:ascii="Cambria" w:eastAsia="Times New Roman" w:hAnsi="Cambria" w:cs="Calibri"/>
                <w:lang w:val="hr-HR" w:eastAsia="en-GB"/>
              </w:rPr>
              <w:t xml:space="preserve">Ostale važne činjenice </w:t>
            </w:r>
            <w:proofErr w:type="spellStart"/>
            <w:r w:rsidRPr="00DF4CE5">
              <w:rPr>
                <w:rFonts w:ascii="Cambria" w:eastAsia="Times New Roman" w:hAnsi="Cambria" w:cs="Calibri"/>
                <w:lang w:val="it-IT" w:eastAsia="en-GB"/>
              </w:rPr>
              <w:t>vezane</w:t>
            </w:r>
            <w:proofErr w:type="spellEnd"/>
            <w:r w:rsidRPr="00DF4CE5">
              <w:rPr>
                <w:rFonts w:ascii="Cambria" w:eastAsia="Times New Roman" w:hAnsi="Cambria" w:cs="Calibri"/>
                <w:lang w:val="it-IT" w:eastAsia="en-GB"/>
              </w:rPr>
              <w:t xml:space="preserve"> </w:t>
            </w:r>
            <w:proofErr w:type="spellStart"/>
            <w:r w:rsidRPr="00DF4CE5">
              <w:rPr>
                <w:rFonts w:ascii="Cambria" w:eastAsia="Times New Roman" w:hAnsi="Cambria" w:cs="Calibri"/>
                <w:lang w:val="it-IT" w:eastAsia="en-GB"/>
              </w:rPr>
              <w:t>uz</w:t>
            </w:r>
            <w:proofErr w:type="spellEnd"/>
            <w:r w:rsidRPr="00DF4CE5">
              <w:rPr>
                <w:rFonts w:ascii="Cambria" w:eastAsia="Times New Roman" w:hAnsi="Cambria" w:cs="Calibri"/>
                <w:lang w:val="it-IT" w:eastAsia="en-GB"/>
              </w:rPr>
              <w:t xml:space="preserve"> </w:t>
            </w:r>
            <w:proofErr w:type="spellStart"/>
            <w:r w:rsidRPr="00DF4CE5">
              <w:rPr>
                <w:rFonts w:ascii="Cambria" w:eastAsia="Times New Roman" w:hAnsi="Cambria" w:cs="Calibri"/>
                <w:lang w:val="it-IT" w:eastAsia="en-GB"/>
              </w:rPr>
              <w:t>kolegij</w:t>
            </w:r>
            <w:proofErr w:type="spellEnd"/>
          </w:p>
        </w:tc>
        <w:tc>
          <w:tcPr>
            <w:tcW w:w="671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93EAB92" w14:textId="77777777" w:rsidR="005005C3" w:rsidRPr="00DF4CE5" w:rsidRDefault="005005C3" w:rsidP="005005C3">
            <w:pPr>
              <w:spacing w:after="0" w:line="240" w:lineRule="auto"/>
              <w:jc w:val="both"/>
              <w:rPr>
                <w:rFonts w:ascii="Cambria" w:eastAsia="Times New Roman" w:hAnsi="Cambria" w:cs="Calibri"/>
                <w:lang w:val="hr-HR" w:eastAsia="en-GB"/>
              </w:rPr>
            </w:pPr>
            <w:r w:rsidRPr="00DF4CE5">
              <w:rPr>
                <w:rFonts w:ascii="Cambria" w:eastAsia="Times New Roman" w:hAnsi="Cambria" w:cs="Calibri"/>
                <w:lang w:val="hr-HR" w:eastAsia="en-GB"/>
              </w:rPr>
              <w:t>U slučaju održavanja nastave na daljinu, moguće je odstupanje u:</w:t>
            </w:r>
          </w:p>
          <w:p w14:paraId="4448C2CD" w14:textId="77777777" w:rsidR="005005C3" w:rsidRPr="00DF4CE5" w:rsidRDefault="005005C3" w:rsidP="005005C3">
            <w:pPr>
              <w:spacing w:after="0" w:line="240" w:lineRule="auto"/>
              <w:jc w:val="both"/>
              <w:rPr>
                <w:rFonts w:ascii="Cambria" w:eastAsia="Times New Roman" w:hAnsi="Cambria" w:cs="Calibri"/>
                <w:lang w:val="hr-HR" w:eastAsia="en-GB"/>
              </w:rPr>
            </w:pPr>
            <w:r w:rsidRPr="00DF4CE5">
              <w:rPr>
                <w:rFonts w:ascii="Cambria" w:eastAsia="Times New Roman" w:hAnsi="Cambria" w:cs="Calibri"/>
                <w:lang w:val="hr-HR" w:eastAsia="en-GB"/>
              </w:rPr>
              <w:t>- mjestu izvođenja kolegija</w:t>
            </w:r>
          </w:p>
          <w:p w14:paraId="3666063E" w14:textId="77777777" w:rsidR="005005C3" w:rsidRPr="00DF4CE5" w:rsidRDefault="005005C3" w:rsidP="005005C3">
            <w:pPr>
              <w:spacing w:after="0" w:line="240" w:lineRule="auto"/>
              <w:jc w:val="both"/>
              <w:rPr>
                <w:rFonts w:ascii="Cambria" w:eastAsia="Times New Roman" w:hAnsi="Cambria" w:cs="Calibri"/>
                <w:lang w:val="hr-HR" w:eastAsia="en-GB"/>
              </w:rPr>
            </w:pPr>
            <w:r w:rsidRPr="00DF4CE5">
              <w:rPr>
                <w:rFonts w:ascii="Cambria" w:eastAsia="Times New Roman" w:hAnsi="Cambria" w:cs="Calibri"/>
                <w:lang w:val="hr-HR" w:eastAsia="en-GB"/>
              </w:rPr>
              <w:t>- provedbi aktivnosti, metoda tumačenja i poučavanja i načinima vrednovanja</w:t>
            </w:r>
          </w:p>
          <w:p w14:paraId="030A5537" w14:textId="77777777" w:rsidR="005005C3" w:rsidRPr="00DF4CE5" w:rsidRDefault="005005C3" w:rsidP="005005C3">
            <w:pPr>
              <w:spacing w:after="0" w:line="240" w:lineRule="auto"/>
              <w:jc w:val="both"/>
              <w:rPr>
                <w:rFonts w:ascii="Cambria" w:eastAsia="Times New Roman" w:hAnsi="Cambria" w:cs="Calibri"/>
                <w:lang w:val="it-IT" w:eastAsia="en-GB"/>
              </w:rPr>
            </w:pPr>
            <w:r w:rsidRPr="00DF4CE5">
              <w:rPr>
                <w:rFonts w:ascii="Cambria" w:eastAsia="Times New Roman" w:hAnsi="Cambria" w:cs="Calibri"/>
                <w:lang w:val="it-IT" w:eastAsia="en-GB"/>
              </w:rPr>
              <w:t xml:space="preserve">- </w:t>
            </w:r>
            <w:proofErr w:type="spellStart"/>
            <w:r w:rsidRPr="00DF4CE5">
              <w:rPr>
                <w:rFonts w:ascii="Cambria" w:eastAsia="Times New Roman" w:hAnsi="Cambria" w:cs="Calibri"/>
                <w:lang w:val="it-IT" w:eastAsia="en-GB"/>
              </w:rPr>
              <w:t>studentskim</w:t>
            </w:r>
            <w:proofErr w:type="spellEnd"/>
            <w:r w:rsidRPr="00DF4CE5">
              <w:rPr>
                <w:rFonts w:ascii="Cambria" w:eastAsia="Times New Roman" w:hAnsi="Cambria" w:cs="Calibri"/>
                <w:lang w:val="it-IT" w:eastAsia="en-GB"/>
              </w:rPr>
              <w:t xml:space="preserve"> </w:t>
            </w:r>
            <w:proofErr w:type="spellStart"/>
            <w:r w:rsidRPr="00DF4CE5">
              <w:rPr>
                <w:rFonts w:ascii="Cambria" w:eastAsia="Times New Roman" w:hAnsi="Cambria" w:cs="Calibri"/>
                <w:lang w:val="it-IT" w:eastAsia="en-GB"/>
              </w:rPr>
              <w:t>obvezama</w:t>
            </w:r>
            <w:proofErr w:type="spellEnd"/>
          </w:p>
          <w:p w14:paraId="3E73C68B" w14:textId="77777777" w:rsidR="005005C3" w:rsidRPr="00DF4CE5" w:rsidRDefault="005005C3" w:rsidP="005005C3">
            <w:pPr>
              <w:spacing w:after="0" w:line="240" w:lineRule="auto"/>
              <w:jc w:val="both"/>
              <w:rPr>
                <w:rFonts w:ascii="Cambria" w:eastAsia="Times New Roman" w:hAnsi="Cambria" w:cs="Calibri"/>
                <w:lang w:val="it-IT" w:eastAsia="en-GB"/>
              </w:rPr>
            </w:pPr>
            <w:r w:rsidRPr="00DF4CE5">
              <w:rPr>
                <w:rFonts w:ascii="Cambria" w:eastAsia="Times New Roman" w:hAnsi="Cambria" w:cs="Calibri"/>
                <w:lang w:val="it-IT" w:eastAsia="en-GB"/>
              </w:rPr>
              <w:t xml:space="preserve">- </w:t>
            </w:r>
            <w:proofErr w:type="spellStart"/>
            <w:r w:rsidRPr="00DF4CE5">
              <w:rPr>
                <w:rFonts w:ascii="Cambria" w:eastAsia="Times New Roman" w:hAnsi="Cambria" w:cs="Calibri"/>
                <w:lang w:val="it-IT" w:eastAsia="en-GB"/>
              </w:rPr>
              <w:t>dostupnoj</w:t>
            </w:r>
            <w:proofErr w:type="spellEnd"/>
            <w:r w:rsidRPr="00DF4CE5">
              <w:rPr>
                <w:rFonts w:ascii="Cambria" w:eastAsia="Times New Roman" w:hAnsi="Cambria" w:cs="Calibri"/>
                <w:lang w:val="it-IT" w:eastAsia="en-GB"/>
              </w:rPr>
              <w:t xml:space="preserve"> </w:t>
            </w:r>
            <w:proofErr w:type="spellStart"/>
            <w:r w:rsidRPr="00DF4CE5">
              <w:rPr>
                <w:rFonts w:ascii="Cambria" w:eastAsia="Times New Roman" w:hAnsi="Cambria" w:cs="Calibri"/>
                <w:lang w:val="it-IT" w:eastAsia="en-GB"/>
              </w:rPr>
              <w:t>literaturi</w:t>
            </w:r>
            <w:proofErr w:type="spellEnd"/>
            <w:r w:rsidRPr="00DF4CE5">
              <w:rPr>
                <w:rFonts w:ascii="Cambria" w:eastAsia="Times New Roman" w:hAnsi="Cambria" w:cs="Calibri"/>
                <w:lang w:val="it-IT" w:eastAsia="en-GB"/>
              </w:rPr>
              <w:t>.</w:t>
            </w:r>
          </w:p>
          <w:p w14:paraId="7A9498BD" w14:textId="4A84F434" w:rsidR="005005C3" w:rsidRPr="00DF4CE5" w:rsidRDefault="005005C3" w:rsidP="005005C3">
            <w:pPr>
              <w:spacing w:after="0" w:line="240" w:lineRule="auto"/>
              <w:jc w:val="both"/>
              <w:rPr>
                <w:rFonts w:ascii="Cambria" w:eastAsia="Times New Roman" w:hAnsi="Cambria" w:cs="Calibri"/>
                <w:lang w:val="it-IT" w:eastAsia="en-GB"/>
              </w:rPr>
            </w:pPr>
            <w:r w:rsidRPr="00DF4CE5">
              <w:rPr>
                <w:rFonts w:ascii="Cambria" w:eastAsia="Times New Roman" w:hAnsi="Cambria" w:cs="Calibri"/>
                <w:lang w:val="it-IT" w:eastAsia="en-GB"/>
              </w:rPr>
              <w:lastRenderedPageBreak/>
              <w:t xml:space="preserve">O tome </w:t>
            </w:r>
            <w:proofErr w:type="spellStart"/>
            <w:r w:rsidRPr="00DF4CE5">
              <w:rPr>
                <w:rFonts w:ascii="Cambria" w:eastAsia="Times New Roman" w:hAnsi="Cambria" w:cs="Calibri"/>
                <w:lang w:val="it-IT" w:eastAsia="en-GB"/>
              </w:rPr>
              <w:t>će</w:t>
            </w:r>
            <w:proofErr w:type="spellEnd"/>
            <w:r w:rsidRPr="00DF4CE5">
              <w:rPr>
                <w:rFonts w:ascii="Cambria" w:eastAsia="Times New Roman" w:hAnsi="Cambria" w:cs="Calibri"/>
                <w:lang w:val="it-IT" w:eastAsia="en-GB"/>
              </w:rPr>
              <w:t xml:space="preserve"> </w:t>
            </w:r>
            <w:proofErr w:type="spellStart"/>
            <w:r w:rsidRPr="00DF4CE5">
              <w:rPr>
                <w:rFonts w:ascii="Cambria" w:eastAsia="Times New Roman" w:hAnsi="Cambria" w:cs="Calibri"/>
                <w:lang w:val="it-IT" w:eastAsia="en-GB"/>
              </w:rPr>
              <w:t>nositeljica</w:t>
            </w:r>
            <w:proofErr w:type="spellEnd"/>
            <w:r w:rsidRPr="00DF4CE5">
              <w:rPr>
                <w:rFonts w:ascii="Cambria" w:eastAsia="Times New Roman" w:hAnsi="Cambria" w:cs="Calibri"/>
                <w:lang w:val="it-IT" w:eastAsia="en-GB"/>
              </w:rPr>
              <w:t xml:space="preserve"> i</w:t>
            </w:r>
            <w:r w:rsidR="00514D36">
              <w:rPr>
                <w:rFonts w:ascii="Cambria" w:eastAsia="Times New Roman" w:hAnsi="Cambria" w:cs="Calibri"/>
                <w:lang w:val="it-IT" w:eastAsia="en-GB"/>
              </w:rPr>
              <w:t xml:space="preserve"> </w:t>
            </w:r>
            <w:proofErr w:type="spellStart"/>
            <w:r w:rsidR="00514D36">
              <w:rPr>
                <w:rFonts w:ascii="Cambria" w:eastAsia="Times New Roman" w:hAnsi="Cambria" w:cs="Calibri"/>
                <w:lang w:val="it-IT" w:eastAsia="en-GB"/>
              </w:rPr>
              <w:t>suradnik</w:t>
            </w:r>
            <w:proofErr w:type="spellEnd"/>
            <w:r w:rsidRPr="00DF4CE5">
              <w:rPr>
                <w:rFonts w:ascii="Cambria" w:eastAsia="Times New Roman" w:hAnsi="Cambria" w:cs="Calibri"/>
                <w:lang w:val="it-IT" w:eastAsia="en-GB"/>
              </w:rPr>
              <w:t xml:space="preserve"> </w:t>
            </w:r>
            <w:proofErr w:type="spellStart"/>
            <w:r w:rsidRPr="00DF4CE5">
              <w:rPr>
                <w:rFonts w:ascii="Cambria" w:eastAsia="Times New Roman" w:hAnsi="Cambria" w:cs="Calibri"/>
                <w:lang w:val="it-IT" w:eastAsia="en-GB"/>
              </w:rPr>
              <w:t>kolegija</w:t>
            </w:r>
            <w:proofErr w:type="spellEnd"/>
            <w:r w:rsidRPr="00DF4CE5">
              <w:rPr>
                <w:rFonts w:ascii="Cambria" w:eastAsia="Times New Roman" w:hAnsi="Cambria" w:cs="Calibri"/>
                <w:lang w:val="it-IT" w:eastAsia="en-GB"/>
              </w:rPr>
              <w:t xml:space="preserve"> </w:t>
            </w:r>
            <w:proofErr w:type="spellStart"/>
            <w:r w:rsidRPr="00DF4CE5">
              <w:rPr>
                <w:rFonts w:ascii="Cambria" w:eastAsia="Times New Roman" w:hAnsi="Cambria" w:cs="Calibri"/>
                <w:lang w:val="it-IT" w:eastAsia="en-GB"/>
              </w:rPr>
              <w:t>obavijestiti</w:t>
            </w:r>
            <w:proofErr w:type="spellEnd"/>
            <w:r w:rsidRPr="00DF4CE5">
              <w:rPr>
                <w:rFonts w:ascii="Cambria" w:eastAsia="Times New Roman" w:hAnsi="Cambria" w:cs="Calibri"/>
                <w:lang w:val="it-IT" w:eastAsia="en-GB"/>
              </w:rPr>
              <w:t xml:space="preserve"> studente i </w:t>
            </w:r>
            <w:proofErr w:type="spellStart"/>
            <w:r w:rsidRPr="00DF4CE5">
              <w:rPr>
                <w:rFonts w:ascii="Cambria" w:eastAsia="Times New Roman" w:hAnsi="Cambria" w:cs="Calibri"/>
                <w:lang w:val="it-IT" w:eastAsia="en-GB"/>
              </w:rPr>
              <w:t>studentice</w:t>
            </w:r>
            <w:proofErr w:type="spellEnd"/>
            <w:r w:rsidRPr="00DF4CE5">
              <w:rPr>
                <w:rFonts w:ascii="Cambria" w:eastAsia="Times New Roman" w:hAnsi="Cambria" w:cs="Calibri"/>
                <w:lang w:val="it-IT" w:eastAsia="en-GB"/>
              </w:rPr>
              <w:t xml:space="preserve"> </w:t>
            </w:r>
            <w:proofErr w:type="spellStart"/>
            <w:r w:rsidRPr="00DF4CE5">
              <w:rPr>
                <w:rFonts w:ascii="Cambria" w:eastAsia="Times New Roman" w:hAnsi="Cambria" w:cs="Calibri"/>
                <w:lang w:val="it-IT" w:eastAsia="en-GB"/>
              </w:rPr>
              <w:t>kad</w:t>
            </w:r>
            <w:proofErr w:type="spellEnd"/>
            <w:r w:rsidRPr="00DF4CE5">
              <w:rPr>
                <w:rFonts w:ascii="Cambria" w:eastAsia="Times New Roman" w:hAnsi="Cambria" w:cs="Calibri"/>
                <w:lang w:val="it-IT" w:eastAsia="en-GB"/>
              </w:rPr>
              <w:t xml:space="preserve"> se </w:t>
            </w:r>
            <w:proofErr w:type="spellStart"/>
            <w:r w:rsidRPr="00DF4CE5">
              <w:rPr>
                <w:rFonts w:ascii="Cambria" w:eastAsia="Times New Roman" w:hAnsi="Cambria" w:cs="Calibri"/>
                <w:lang w:val="it-IT" w:eastAsia="en-GB"/>
              </w:rPr>
              <w:t>nastava</w:t>
            </w:r>
            <w:proofErr w:type="spellEnd"/>
            <w:r w:rsidRPr="00DF4CE5">
              <w:rPr>
                <w:rFonts w:ascii="Cambria" w:eastAsia="Times New Roman" w:hAnsi="Cambria" w:cs="Calibri"/>
                <w:lang w:val="it-IT" w:eastAsia="en-GB"/>
              </w:rPr>
              <w:t xml:space="preserve"> </w:t>
            </w:r>
            <w:proofErr w:type="spellStart"/>
            <w:r w:rsidRPr="00DF4CE5">
              <w:rPr>
                <w:rFonts w:ascii="Cambria" w:eastAsia="Times New Roman" w:hAnsi="Cambria" w:cs="Calibri"/>
                <w:lang w:val="it-IT" w:eastAsia="en-GB"/>
              </w:rPr>
              <w:t>na</w:t>
            </w:r>
            <w:proofErr w:type="spellEnd"/>
            <w:r w:rsidRPr="00DF4CE5">
              <w:rPr>
                <w:rFonts w:ascii="Cambria" w:eastAsia="Times New Roman" w:hAnsi="Cambria" w:cs="Calibri"/>
                <w:lang w:val="it-IT" w:eastAsia="en-GB"/>
              </w:rPr>
              <w:t xml:space="preserve"> </w:t>
            </w:r>
            <w:proofErr w:type="spellStart"/>
            <w:r w:rsidRPr="00DF4CE5">
              <w:rPr>
                <w:rFonts w:ascii="Cambria" w:eastAsia="Times New Roman" w:hAnsi="Cambria" w:cs="Calibri"/>
                <w:lang w:val="it-IT" w:eastAsia="en-GB"/>
              </w:rPr>
              <w:t>daljinu</w:t>
            </w:r>
            <w:proofErr w:type="spellEnd"/>
            <w:r w:rsidRPr="00DF4CE5">
              <w:rPr>
                <w:rFonts w:ascii="Cambria" w:eastAsia="Times New Roman" w:hAnsi="Cambria" w:cs="Calibri"/>
                <w:lang w:val="it-IT" w:eastAsia="en-GB"/>
              </w:rPr>
              <w:t xml:space="preserve"> </w:t>
            </w:r>
            <w:proofErr w:type="spellStart"/>
            <w:r w:rsidRPr="00DF4CE5">
              <w:rPr>
                <w:rFonts w:ascii="Cambria" w:eastAsia="Times New Roman" w:hAnsi="Cambria" w:cs="Calibri"/>
                <w:lang w:val="it-IT" w:eastAsia="en-GB"/>
              </w:rPr>
              <w:t>počne</w:t>
            </w:r>
            <w:proofErr w:type="spellEnd"/>
            <w:r w:rsidRPr="00DF4CE5">
              <w:rPr>
                <w:rFonts w:ascii="Cambria" w:eastAsia="Times New Roman" w:hAnsi="Cambria" w:cs="Calibri"/>
                <w:lang w:val="it-IT" w:eastAsia="en-GB"/>
              </w:rPr>
              <w:t xml:space="preserve"> </w:t>
            </w:r>
            <w:proofErr w:type="spellStart"/>
            <w:r w:rsidRPr="00DF4CE5">
              <w:rPr>
                <w:rFonts w:ascii="Cambria" w:eastAsia="Times New Roman" w:hAnsi="Cambria" w:cs="Calibri"/>
                <w:lang w:val="it-IT" w:eastAsia="en-GB"/>
              </w:rPr>
              <w:t>održavati</w:t>
            </w:r>
            <w:proofErr w:type="spellEnd"/>
            <w:r w:rsidRPr="00DF4CE5">
              <w:rPr>
                <w:rFonts w:ascii="Cambria" w:eastAsia="Times New Roman" w:hAnsi="Cambria" w:cs="Calibri"/>
                <w:lang w:val="it-IT" w:eastAsia="en-GB"/>
              </w:rPr>
              <w:t>.</w:t>
            </w:r>
          </w:p>
          <w:p w14:paraId="31B47E20" w14:textId="77777777" w:rsidR="005005C3" w:rsidRPr="00DF4CE5" w:rsidRDefault="005005C3" w:rsidP="005005C3">
            <w:pPr>
              <w:spacing w:after="0" w:line="240" w:lineRule="auto"/>
              <w:jc w:val="both"/>
              <w:rPr>
                <w:rFonts w:ascii="Cambria" w:eastAsia="Times New Roman" w:hAnsi="Cambria" w:cs="Calibri"/>
                <w:lang w:val="hr-HR" w:eastAsia="en-GB"/>
              </w:rPr>
            </w:pPr>
            <w:proofErr w:type="spellStart"/>
            <w:r w:rsidRPr="00DF4CE5">
              <w:rPr>
                <w:rFonts w:ascii="Cambria" w:eastAsia="Times New Roman" w:hAnsi="Cambria" w:cs="Calibri"/>
                <w:lang w:eastAsia="en-GB"/>
              </w:rPr>
              <w:t>Ishodi</w:t>
            </w:r>
            <w:proofErr w:type="spellEnd"/>
            <w:r w:rsidRPr="00DF4CE5">
              <w:rPr>
                <w:rFonts w:ascii="Cambria" w:eastAsia="Times New Roman" w:hAnsi="Cambria" w:cs="Calibri"/>
                <w:lang w:eastAsia="en-GB"/>
              </w:rPr>
              <w:t xml:space="preserve"> </w:t>
            </w:r>
            <w:proofErr w:type="spellStart"/>
            <w:r w:rsidRPr="00DF4CE5">
              <w:rPr>
                <w:rFonts w:ascii="Cambria" w:eastAsia="Times New Roman" w:hAnsi="Cambria" w:cs="Calibri"/>
                <w:lang w:eastAsia="en-GB"/>
              </w:rPr>
              <w:t>učenja</w:t>
            </w:r>
            <w:proofErr w:type="spellEnd"/>
            <w:r w:rsidRPr="00DF4CE5">
              <w:rPr>
                <w:rFonts w:ascii="Cambria" w:eastAsia="Times New Roman" w:hAnsi="Cambria" w:cs="Calibri"/>
                <w:lang w:eastAsia="en-GB"/>
              </w:rPr>
              <w:t xml:space="preserve"> </w:t>
            </w:r>
            <w:proofErr w:type="spellStart"/>
            <w:r w:rsidRPr="00DF4CE5">
              <w:rPr>
                <w:rFonts w:ascii="Cambria" w:eastAsia="Times New Roman" w:hAnsi="Cambria" w:cs="Calibri"/>
                <w:lang w:eastAsia="en-GB"/>
              </w:rPr>
              <w:t>ostaju</w:t>
            </w:r>
            <w:proofErr w:type="spellEnd"/>
            <w:r w:rsidRPr="00DF4CE5">
              <w:rPr>
                <w:rFonts w:ascii="Cambria" w:eastAsia="Times New Roman" w:hAnsi="Cambria" w:cs="Calibri"/>
                <w:lang w:eastAsia="en-GB"/>
              </w:rPr>
              <w:t xml:space="preserve"> </w:t>
            </w:r>
            <w:proofErr w:type="spellStart"/>
            <w:r w:rsidRPr="00DF4CE5">
              <w:rPr>
                <w:rFonts w:ascii="Cambria" w:eastAsia="Times New Roman" w:hAnsi="Cambria" w:cs="Calibri"/>
                <w:lang w:eastAsia="en-GB"/>
              </w:rPr>
              <w:t>nepromijenjeni</w:t>
            </w:r>
            <w:proofErr w:type="spellEnd"/>
            <w:r w:rsidRPr="00DF4CE5">
              <w:rPr>
                <w:rFonts w:ascii="Cambria" w:eastAsia="Times New Roman" w:hAnsi="Cambria" w:cs="Calibri"/>
                <w:lang w:eastAsia="en-GB"/>
              </w:rPr>
              <w:t>.</w:t>
            </w:r>
          </w:p>
        </w:tc>
      </w:tr>
      <w:tr w:rsidR="005005C3" w:rsidRPr="00D0399C" w14:paraId="6A03BD04" w14:textId="77777777" w:rsidTr="00C106A0">
        <w:trPr>
          <w:trHeight w:val="770"/>
        </w:trPr>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83E4BDA" w14:textId="77777777" w:rsidR="005005C3" w:rsidRPr="00DF4CE5" w:rsidRDefault="005005C3" w:rsidP="005005C3">
            <w:pPr>
              <w:spacing w:after="0" w:line="240" w:lineRule="auto"/>
              <w:jc w:val="both"/>
              <w:rPr>
                <w:rFonts w:ascii="Cambria" w:eastAsia="Times New Roman" w:hAnsi="Cambria" w:cs="Calibri"/>
                <w:lang w:val="hr-HR" w:eastAsia="en-GB"/>
              </w:rPr>
            </w:pPr>
            <w:r w:rsidRPr="00DF4CE5">
              <w:rPr>
                <w:rFonts w:ascii="Cambria" w:eastAsia="Times New Roman" w:hAnsi="Cambria" w:cs="Calibri"/>
                <w:lang w:val="hr-HR" w:eastAsia="en-GB"/>
              </w:rPr>
              <w:lastRenderedPageBreak/>
              <w:t>Literatura</w:t>
            </w:r>
          </w:p>
        </w:tc>
        <w:tc>
          <w:tcPr>
            <w:tcW w:w="6717"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68F0C156" w14:textId="77777777" w:rsidR="005005C3" w:rsidRPr="00DF4CE5" w:rsidRDefault="005005C3" w:rsidP="005005C3">
            <w:pPr>
              <w:spacing w:after="0" w:line="240" w:lineRule="auto"/>
              <w:jc w:val="both"/>
              <w:rPr>
                <w:rFonts w:ascii="Cambria" w:eastAsia="Times New Roman" w:hAnsi="Cambria" w:cs="Calibri"/>
                <w:lang w:val="it-IT" w:eastAsia="en-GB"/>
              </w:rPr>
            </w:pPr>
            <w:proofErr w:type="spellStart"/>
            <w:r w:rsidRPr="00DF4CE5">
              <w:rPr>
                <w:rFonts w:ascii="Cambria" w:eastAsia="Times New Roman" w:hAnsi="Cambria" w:cs="Calibri"/>
                <w:lang w:val="it-IT" w:eastAsia="en-GB"/>
              </w:rPr>
              <w:t>Obvezna</w:t>
            </w:r>
            <w:proofErr w:type="spellEnd"/>
            <w:r w:rsidRPr="00DF4CE5">
              <w:rPr>
                <w:rFonts w:ascii="Cambria" w:eastAsia="Times New Roman" w:hAnsi="Cambria" w:cs="Calibri"/>
                <w:lang w:val="it-IT" w:eastAsia="en-GB"/>
              </w:rPr>
              <w:t xml:space="preserve">: </w:t>
            </w:r>
          </w:p>
          <w:p w14:paraId="7735E398" w14:textId="77777777" w:rsidR="005005C3" w:rsidRPr="00DF4CE5" w:rsidRDefault="005005C3" w:rsidP="005005C3">
            <w:pPr>
              <w:spacing w:after="0" w:line="240" w:lineRule="auto"/>
              <w:jc w:val="both"/>
              <w:rPr>
                <w:rFonts w:ascii="Cambria" w:eastAsia="Times New Roman" w:hAnsi="Cambria" w:cs="Calibri"/>
                <w:lang w:val="it-IT" w:eastAsia="en-GB"/>
              </w:rPr>
            </w:pPr>
            <w:r w:rsidRPr="00DF4CE5">
              <w:rPr>
                <w:rFonts w:ascii="Cambria" w:eastAsia="Times New Roman" w:hAnsi="Cambria" w:cs="Calibri"/>
                <w:lang w:val="hr-HR" w:eastAsia="hr-HR"/>
              </w:rPr>
              <w:t xml:space="preserve">1. Gortan-Carlin, I. P., </w:t>
            </w:r>
            <w:proofErr w:type="spellStart"/>
            <w:r w:rsidRPr="00DF4CE5">
              <w:rPr>
                <w:rFonts w:ascii="Cambria" w:eastAsia="Times New Roman" w:hAnsi="Cambria" w:cs="Calibri"/>
                <w:lang w:val="hr-HR" w:eastAsia="hr-HR"/>
              </w:rPr>
              <w:t>Dobravac</w:t>
            </w:r>
            <w:proofErr w:type="spellEnd"/>
            <w:r w:rsidRPr="00DF4CE5">
              <w:rPr>
                <w:rFonts w:ascii="Cambria" w:eastAsia="Times New Roman" w:hAnsi="Cambria" w:cs="Calibri"/>
                <w:lang w:val="hr-HR" w:eastAsia="hr-HR"/>
              </w:rPr>
              <w:t xml:space="preserve">, G. (2020). </w:t>
            </w:r>
            <w:proofErr w:type="spellStart"/>
            <w:r w:rsidRPr="00DF4CE5">
              <w:rPr>
                <w:rFonts w:ascii="Cambria" w:eastAsia="Times New Roman" w:hAnsi="Cambria" w:cs="Calibri"/>
                <w:lang w:val="hr-HR" w:eastAsia="hr-HR"/>
              </w:rPr>
              <w:t>Songs</w:t>
            </w:r>
            <w:proofErr w:type="spellEnd"/>
            <w:r w:rsidRPr="00DF4CE5">
              <w:rPr>
                <w:rFonts w:ascii="Cambria" w:eastAsia="Times New Roman" w:hAnsi="Cambria" w:cs="Calibri"/>
                <w:lang w:val="hr-HR" w:eastAsia="hr-HR"/>
              </w:rPr>
              <w:t xml:space="preserve"> </w:t>
            </w:r>
            <w:proofErr w:type="spellStart"/>
            <w:r w:rsidRPr="00DF4CE5">
              <w:rPr>
                <w:rFonts w:ascii="Cambria" w:eastAsia="Times New Roman" w:hAnsi="Cambria" w:cs="Calibri"/>
                <w:lang w:val="hr-HR" w:eastAsia="hr-HR"/>
              </w:rPr>
              <w:t>in</w:t>
            </w:r>
            <w:proofErr w:type="spellEnd"/>
            <w:r w:rsidRPr="00DF4CE5">
              <w:rPr>
                <w:rFonts w:ascii="Cambria" w:eastAsia="Times New Roman" w:hAnsi="Cambria" w:cs="Calibri"/>
                <w:lang w:val="hr-HR" w:eastAsia="hr-HR"/>
              </w:rPr>
              <w:t xml:space="preserve"> </w:t>
            </w:r>
            <w:proofErr w:type="spellStart"/>
            <w:r w:rsidRPr="00DF4CE5">
              <w:rPr>
                <w:rFonts w:ascii="Cambria" w:eastAsia="Times New Roman" w:hAnsi="Cambria" w:cs="Calibri"/>
                <w:lang w:val="hr-HR" w:eastAsia="hr-HR"/>
              </w:rPr>
              <w:t>early</w:t>
            </w:r>
            <w:proofErr w:type="spellEnd"/>
            <w:r w:rsidRPr="00DF4CE5">
              <w:rPr>
                <w:rFonts w:ascii="Cambria" w:eastAsia="Times New Roman" w:hAnsi="Cambria" w:cs="Calibri"/>
                <w:lang w:val="hr-HR" w:eastAsia="hr-HR"/>
              </w:rPr>
              <w:t xml:space="preserve"> English </w:t>
            </w:r>
            <w:proofErr w:type="spellStart"/>
            <w:r w:rsidRPr="00DF4CE5">
              <w:rPr>
                <w:rFonts w:ascii="Cambria" w:eastAsia="Times New Roman" w:hAnsi="Cambria" w:cs="Calibri"/>
                <w:lang w:val="hr-HR" w:eastAsia="hr-HR"/>
              </w:rPr>
              <w:t>learning</w:t>
            </w:r>
            <w:proofErr w:type="spellEnd"/>
            <w:r w:rsidRPr="00DF4CE5">
              <w:rPr>
                <w:rFonts w:ascii="Cambria" w:eastAsia="Times New Roman" w:hAnsi="Cambria" w:cs="Calibri"/>
                <w:lang w:val="hr-HR" w:eastAsia="hr-HR"/>
              </w:rPr>
              <w:t xml:space="preserve"> </w:t>
            </w:r>
            <w:proofErr w:type="spellStart"/>
            <w:r w:rsidRPr="00DF4CE5">
              <w:rPr>
                <w:rFonts w:ascii="Cambria" w:eastAsia="Times New Roman" w:hAnsi="Cambria" w:cs="Calibri"/>
                <w:lang w:val="hr-HR" w:eastAsia="hr-HR"/>
              </w:rPr>
              <w:t>textbooks</w:t>
            </w:r>
            <w:proofErr w:type="spellEnd"/>
            <w:r w:rsidRPr="00DF4CE5">
              <w:rPr>
                <w:rFonts w:ascii="Cambria" w:eastAsia="Times New Roman" w:hAnsi="Cambria" w:cs="Calibri"/>
                <w:lang w:val="hr-HR" w:eastAsia="hr-HR"/>
              </w:rPr>
              <w:t xml:space="preserve"> – a </w:t>
            </w:r>
            <w:proofErr w:type="spellStart"/>
            <w:r w:rsidRPr="00DF4CE5">
              <w:rPr>
                <w:rFonts w:ascii="Cambria" w:eastAsia="Times New Roman" w:hAnsi="Cambria" w:cs="Calibri"/>
                <w:lang w:val="hr-HR" w:eastAsia="hr-HR"/>
              </w:rPr>
              <w:t>cross-curricular</w:t>
            </w:r>
            <w:proofErr w:type="spellEnd"/>
            <w:r w:rsidRPr="00DF4CE5">
              <w:rPr>
                <w:rFonts w:ascii="Cambria" w:eastAsia="Times New Roman" w:hAnsi="Cambria" w:cs="Calibri"/>
                <w:lang w:val="hr-HR" w:eastAsia="hr-HR"/>
              </w:rPr>
              <w:t xml:space="preserve"> </w:t>
            </w:r>
            <w:proofErr w:type="spellStart"/>
            <w:r w:rsidRPr="00DF4CE5">
              <w:rPr>
                <w:rFonts w:ascii="Cambria" w:eastAsia="Times New Roman" w:hAnsi="Cambria" w:cs="Calibri"/>
                <w:lang w:val="hr-HR" w:eastAsia="hr-HR"/>
              </w:rPr>
              <w:t>potential</w:t>
            </w:r>
            <w:proofErr w:type="spellEnd"/>
            <w:r w:rsidRPr="00DF4CE5">
              <w:rPr>
                <w:rFonts w:ascii="Cambria" w:eastAsia="Times New Roman" w:hAnsi="Cambria" w:cs="Calibri"/>
                <w:lang w:val="hr-HR" w:eastAsia="hr-HR"/>
              </w:rPr>
              <w:t xml:space="preserve">. U: </w:t>
            </w:r>
            <w:proofErr w:type="spellStart"/>
            <w:r w:rsidRPr="00DF4CE5">
              <w:rPr>
                <w:rFonts w:ascii="Cambria" w:eastAsia="Times New Roman" w:hAnsi="Cambria" w:cs="Calibri"/>
                <w:lang w:val="hr-HR" w:eastAsia="hr-HR"/>
              </w:rPr>
              <w:t>Medpredmetno</w:t>
            </w:r>
            <w:proofErr w:type="spellEnd"/>
            <w:r w:rsidRPr="00DF4CE5">
              <w:rPr>
                <w:rFonts w:ascii="Cambria" w:eastAsia="Times New Roman" w:hAnsi="Cambria" w:cs="Calibri"/>
                <w:lang w:val="hr-HR" w:eastAsia="hr-HR"/>
              </w:rPr>
              <w:t xml:space="preserve"> </w:t>
            </w:r>
            <w:proofErr w:type="spellStart"/>
            <w:r w:rsidRPr="00DF4CE5">
              <w:rPr>
                <w:rFonts w:ascii="Cambria" w:eastAsia="Times New Roman" w:hAnsi="Cambria" w:cs="Calibri"/>
                <w:lang w:val="hr-HR" w:eastAsia="hr-HR"/>
              </w:rPr>
              <w:t>povezovanje</w:t>
            </w:r>
            <w:proofErr w:type="spellEnd"/>
            <w:r w:rsidRPr="00DF4CE5">
              <w:rPr>
                <w:rFonts w:ascii="Cambria" w:eastAsia="Times New Roman" w:hAnsi="Cambria" w:cs="Calibri"/>
                <w:lang w:val="hr-HR" w:eastAsia="hr-HR"/>
              </w:rPr>
              <w:t xml:space="preserve">: </w:t>
            </w:r>
            <w:proofErr w:type="spellStart"/>
            <w:r w:rsidRPr="00DF4CE5">
              <w:rPr>
                <w:rFonts w:ascii="Cambria" w:eastAsia="Times New Roman" w:hAnsi="Cambria" w:cs="Calibri"/>
                <w:lang w:val="hr-HR" w:eastAsia="hr-HR"/>
              </w:rPr>
              <w:t>pot</w:t>
            </w:r>
            <w:proofErr w:type="spellEnd"/>
            <w:r w:rsidRPr="00DF4CE5">
              <w:rPr>
                <w:rFonts w:ascii="Cambria" w:eastAsia="Times New Roman" w:hAnsi="Cambria" w:cs="Calibri"/>
                <w:lang w:val="hr-HR" w:eastAsia="hr-HR"/>
              </w:rPr>
              <w:t xml:space="preserve"> do </w:t>
            </w:r>
            <w:proofErr w:type="spellStart"/>
            <w:r w:rsidRPr="00DF4CE5">
              <w:rPr>
                <w:rFonts w:ascii="Cambria" w:eastAsia="Times New Roman" w:hAnsi="Cambria" w:cs="Calibri"/>
                <w:lang w:val="hr-HR" w:eastAsia="hr-HR"/>
              </w:rPr>
              <w:t>uresničevanja</w:t>
            </w:r>
            <w:proofErr w:type="spellEnd"/>
            <w:r w:rsidRPr="00DF4CE5">
              <w:rPr>
                <w:rFonts w:ascii="Cambria" w:eastAsia="Times New Roman" w:hAnsi="Cambria" w:cs="Calibri"/>
                <w:lang w:val="hr-HR" w:eastAsia="hr-HR"/>
              </w:rPr>
              <w:t xml:space="preserve"> </w:t>
            </w:r>
            <w:proofErr w:type="spellStart"/>
            <w:r w:rsidRPr="00DF4CE5">
              <w:rPr>
                <w:rFonts w:ascii="Cambria" w:eastAsia="Times New Roman" w:hAnsi="Cambria" w:cs="Calibri"/>
                <w:lang w:val="hr-HR" w:eastAsia="hr-HR"/>
              </w:rPr>
              <w:t>vzgojno-izobraževalnih</w:t>
            </w:r>
            <w:proofErr w:type="spellEnd"/>
            <w:r w:rsidRPr="00DF4CE5">
              <w:rPr>
                <w:rFonts w:ascii="Cambria" w:eastAsia="Times New Roman" w:hAnsi="Cambria" w:cs="Calibri"/>
                <w:lang w:val="hr-HR" w:eastAsia="hr-HR"/>
              </w:rPr>
              <w:t xml:space="preserve"> </w:t>
            </w:r>
            <w:proofErr w:type="spellStart"/>
            <w:r w:rsidRPr="00DF4CE5">
              <w:rPr>
                <w:rFonts w:ascii="Cambria" w:eastAsia="Times New Roman" w:hAnsi="Cambria" w:cs="Calibri"/>
                <w:lang w:val="hr-HR" w:eastAsia="hr-HR"/>
              </w:rPr>
              <w:t>ciljev</w:t>
            </w:r>
            <w:proofErr w:type="spellEnd"/>
            <w:r w:rsidRPr="00DF4CE5">
              <w:rPr>
                <w:rFonts w:ascii="Cambria" w:eastAsia="Times New Roman" w:hAnsi="Cambria" w:cs="Calibri"/>
                <w:lang w:val="hr-HR" w:eastAsia="hr-HR"/>
              </w:rPr>
              <w:t xml:space="preserve"> / Cross-</w:t>
            </w:r>
            <w:proofErr w:type="spellStart"/>
            <w:r w:rsidRPr="00DF4CE5">
              <w:rPr>
                <w:rFonts w:ascii="Cambria" w:eastAsia="Times New Roman" w:hAnsi="Cambria" w:cs="Calibri"/>
                <w:lang w:val="hr-HR" w:eastAsia="hr-HR"/>
              </w:rPr>
              <w:t>Curricular</w:t>
            </w:r>
            <w:proofErr w:type="spellEnd"/>
            <w:r w:rsidRPr="00DF4CE5">
              <w:rPr>
                <w:rFonts w:ascii="Cambria" w:eastAsia="Times New Roman" w:hAnsi="Cambria" w:cs="Calibri"/>
                <w:lang w:val="hr-HR" w:eastAsia="hr-HR"/>
              </w:rPr>
              <w:t xml:space="preserve"> </w:t>
            </w:r>
            <w:proofErr w:type="spellStart"/>
            <w:r w:rsidRPr="00DF4CE5">
              <w:rPr>
                <w:rFonts w:ascii="Cambria" w:eastAsia="Times New Roman" w:hAnsi="Cambria" w:cs="Calibri"/>
                <w:lang w:val="hr-HR" w:eastAsia="hr-HR"/>
              </w:rPr>
              <w:t>Integration</w:t>
            </w:r>
            <w:proofErr w:type="spellEnd"/>
            <w:r w:rsidRPr="00DF4CE5">
              <w:rPr>
                <w:rFonts w:ascii="Cambria" w:eastAsia="Times New Roman" w:hAnsi="Cambria" w:cs="Calibri"/>
                <w:lang w:val="hr-HR" w:eastAsia="hr-HR"/>
              </w:rPr>
              <w:t xml:space="preserve">: </w:t>
            </w:r>
            <w:proofErr w:type="spellStart"/>
            <w:r w:rsidRPr="00DF4CE5">
              <w:rPr>
                <w:rFonts w:ascii="Cambria" w:eastAsia="Times New Roman" w:hAnsi="Cambria" w:cs="Calibri"/>
                <w:lang w:val="hr-HR" w:eastAsia="hr-HR"/>
              </w:rPr>
              <w:t>The</w:t>
            </w:r>
            <w:proofErr w:type="spellEnd"/>
            <w:r w:rsidRPr="00DF4CE5">
              <w:rPr>
                <w:rFonts w:ascii="Cambria" w:eastAsia="Times New Roman" w:hAnsi="Cambria" w:cs="Calibri"/>
                <w:lang w:val="hr-HR" w:eastAsia="hr-HR"/>
              </w:rPr>
              <w:t xml:space="preserve"> </w:t>
            </w:r>
            <w:proofErr w:type="spellStart"/>
            <w:r w:rsidRPr="00DF4CE5">
              <w:rPr>
                <w:rFonts w:ascii="Cambria" w:eastAsia="Times New Roman" w:hAnsi="Cambria" w:cs="Calibri"/>
                <w:lang w:val="hr-HR" w:eastAsia="hr-HR"/>
              </w:rPr>
              <w:t>Path</w:t>
            </w:r>
            <w:proofErr w:type="spellEnd"/>
            <w:r w:rsidRPr="00DF4CE5">
              <w:rPr>
                <w:rFonts w:ascii="Cambria" w:eastAsia="Times New Roman" w:hAnsi="Cambria" w:cs="Calibri"/>
                <w:lang w:val="hr-HR" w:eastAsia="hr-HR"/>
              </w:rPr>
              <w:t xml:space="preserve"> to </w:t>
            </w:r>
            <w:proofErr w:type="spellStart"/>
            <w:r w:rsidRPr="00DF4CE5">
              <w:rPr>
                <w:rFonts w:ascii="Cambria" w:eastAsia="Times New Roman" w:hAnsi="Cambria" w:cs="Calibri"/>
                <w:lang w:val="hr-HR" w:eastAsia="hr-HR"/>
              </w:rPr>
              <w:t>the</w:t>
            </w:r>
            <w:proofErr w:type="spellEnd"/>
            <w:r w:rsidRPr="00DF4CE5">
              <w:rPr>
                <w:rFonts w:ascii="Cambria" w:eastAsia="Times New Roman" w:hAnsi="Cambria" w:cs="Calibri"/>
                <w:lang w:val="hr-HR" w:eastAsia="hr-HR"/>
              </w:rPr>
              <w:t xml:space="preserve"> </w:t>
            </w:r>
            <w:proofErr w:type="spellStart"/>
            <w:r w:rsidRPr="00DF4CE5">
              <w:rPr>
                <w:rFonts w:ascii="Cambria" w:eastAsia="Times New Roman" w:hAnsi="Cambria" w:cs="Calibri"/>
                <w:lang w:val="hr-HR" w:eastAsia="hr-HR"/>
              </w:rPr>
              <w:t>Realisation</w:t>
            </w:r>
            <w:proofErr w:type="spellEnd"/>
            <w:r w:rsidRPr="00DF4CE5">
              <w:rPr>
                <w:rFonts w:ascii="Cambria" w:eastAsia="Times New Roman" w:hAnsi="Cambria" w:cs="Calibri"/>
                <w:lang w:val="hr-HR" w:eastAsia="hr-HR"/>
              </w:rPr>
              <w:t xml:space="preserve"> </w:t>
            </w:r>
            <w:proofErr w:type="spellStart"/>
            <w:r w:rsidRPr="00DF4CE5">
              <w:rPr>
                <w:rFonts w:ascii="Cambria" w:eastAsia="Times New Roman" w:hAnsi="Cambria" w:cs="Calibri"/>
                <w:lang w:val="hr-HR" w:eastAsia="hr-HR"/>
              </w:rPr>
              <w:t>of</w:t>
            </w:r>
            <w:proofErr w:type="spellEnd"/>
            <w:r w:rsidRPr="00DF4CE5">
              <w:rPr>
                <w:rFonts w:ascii="Cambria" w:eastAsia="Times New Roman" w:hAnsi="Cambria" w:cs="Calibri"/>
                <w:lang w:val="hr-HR" w:eastAsia="hr-HR"/>
              </w:rPr>
              <w:t xml:space="preserve"> </w:t>
            </w:r>
            <w:proofErr w:type="spellStart"/>
            <w:r w:rsidRPr="00DF4CE5">
              <w:rPr>
                <w:rFonts w:ascii="Cambria" w:eastAsia="Times New Roman" w:hAnsi="Cambria" w:cs="Calibri"/>
                <w:lang w:val="hr-HR" w:eastAsia="hr-HR"/>
              </w:rPr>
              <w:t>Educational</w:t>
            </w:r>
            <w:proofErr w:type="spellEnd"/>
            <w:r w:rsidRPr="00DF4CE5">
              <w:rPr>
                <w:rFonts w:ascii="Cambria" w:eastAsia="Times New Roman" w:hAnsi="Cambria" w:cs="Calibri"/>
                <w:lang w:val="hr-HR" w:eastAsia="hr-HR"/>
              </w:rPr>
              <w:t xml:space="preserve"> </w:t>
            </w:r>
            <w:proofErr w:type="spellStart"/>
            <w:r w:rsidRPr="00DF4CE5">
              <w:rPr>
                <w:rFonts w:ascii="Cambria" w:eastAsia="Times New Roman" w:hAnsi="Cambria" w:cs="Calibri"/>
                <w:lang w:val="hr-HR" w:eastAsia="hr-HR"/>
              </w:rPr>
              <w:t>Goals</w:t>
            </w:r>
            <w:proofErr w:type="spellEnd"/>
            <w:r w:rsidRPr="00DF4CE5">
              <w:rPr>
                <w:rFonts w:ascii="Cambria" w:eastAsia="Times New Roman" w:hAnsi="Cambria" w:cs="Calibri"/>
                <w:lang w:val="hr-HR" w:eastAsia="hr-HR"/>
              </w:rPr>
              <w:t xml:space="preserve">. </w:t>
            </w:r>
            <w:proofErr w:type="spellStart"/>
            <w:r w:rsidRPr="00DF4CE5">
              <w:rPr>
                <w:rFonts w:ascii="Cambria" w:eastAsia="Times New Roman" w:hAnsi="Cambria" w:cs="Calibri"/>
                <w:lang w:val="hr-HR" w:eastAsia="hr-HR"/>
              </w:rPr>
              <w:t>Ur</w:t>
            </w:r>
            <w:proofErr w:type="spellEnd"/>
            <w:r w:rsidRPr="00DF4CE5">
              <w:rPr>
                <w:rFonts w:ascii="Cambria" w:eastAsia="Times New Roman" w:hAnsi="Cambria" w:cs="Calibri"/>
                <w:lang w:val="hr-HR" w:eastAsia="hr-HR"/>
              </w:rPr>
              <w:t xml:space="preserve">. </w:t>
            </w:r>
            <w:proofErr w:type="spellStart"/>
            <w:r w:rsidRPr="00DF4CE5">
              <w:rPr>
                <w:rFonts w:ascii="Cambria" w:eastAsia="Times New Roman" w:hAnsi="Cambria" w:cs="Calibri"/>
                <w:lang w:val="hr-HR" w:eastAsia="hr-HR"/>
              </w:rPr>
              <w:t>Volk</w:t>
            </w:r>
            <w:proofErr w:type="spellEnd"/>
            <w:r w:rsidRPr="00DF4CE5">
              <w:rPr>
                <w:rFonts w:ascii="Cambria" w:eastAsia="Times New Roman" w:hAnsi="Cambria" w:cs="Calibri"/>
                <w:lang w:val="hr-HR" w:eastAsia="hr-HR"/>
              </w:rPr>
              <w:t xml:space="preserve">, M., </w:t>
            </w:r>
            <w:proofErr w:type="spellStart"/>
            <w:r w:rsidRPr="00DF4CE5">
              <w:rPr>
                <w:rFonts w:ascii="Cambria" w:eastAsia="Times New Roman" w:hAnsi="Cambria" w:cs="Calibri"/>
                <w:lang w:val="hr-HR" w:eastAsia="hr-HR"/>
              </w:rPr>
              <w:t>Štemberger</w:t>
            </w:r>
            <w:proofErr w:type="spellEnd"/>
            <w:r w:rsidRPr="00DF4CE5">
              <w:rPr>
                <w:rFonts w:ascii="Cambria" w:eastAsia="Times New Roman" w:hAnsi="Cambria" w:cs="Calibri"/>
                <w:lang w:val="hr-HR" w:eastAsia="hr-HR"/>
              </w:rPr>
              <w:t xml:space="preserve">, T., Sila, A., Kovač, N. Koper: </w:t>
            </w:r>
            <w:proofErr w:type="spellStart"/>
            <w:r w:rsidRPr="00DF4CE5">
              <w:rPr>
                <w:rFonts w:ascii="Cambria" w:eastAsia="Times New Roman" w:hAnsi="Cambria" w:cs="Calibri"/>
                <w:lang w:val="hr-HR" w:eastAsia="hr-HR"/>
              </w:rPr>
              <w:t>Založba</w:t>
            </w:r>
            <w:proofErr w:type="spellEnd"/>
            <w:r w:rsidRPr="00DF4CE5">
              <w:rPr>
                <w:rFonts w:ascii="Cambria" w:eastAsia="Times New Roman" w:hAnsi="Cambria" w:cs="Calibri"/>
                <w:lang w:val="hr-HR" w:eastAsia="hr-HR"/>
              </w:rPr>
              <w:t xml:space="preserve"> </w:t>
            </w:r>
            <w:proofErr w:type="spellStart"/>
            <w:r w:rsidRPr="00DF4CE5">
              <w:rPr>
                <w:rFonts w:ascii="Cambria" w:eastAsia="Times New Roman" w:hAnsi="Cambria" w:cs="Calibri"/>
                <w:lang w:val="hr-HR" w:eastAsia="hr-HR"/>
              </w:rPr>
              <w:t>Univerze</w:t>
            </w:r>
            <w:proofErr w:type="spellEnd"/>
            <w:r w:rsidRPr="00DF4CE5">
              <w:rPr>
                <w:rFonts w:ascii="Cambria" w:eastAsia="Times New Roman" w:hAnsi="Cambria" w:cs="Calibri"/>
                <w:lang w:val="hr-HR" w:eastAsia="hr-HR"/>
              </w:rPr>
              <w:t xml:space="preserve"> na </w:t>
            </w:r>
            <w:proofErr w:type="spellStart"/>
            <w:r w:rsidRPr="00DF4CE5">
              <w:rPr>
                <w:rFonts w:ascii="Cambria" w:eastAsia="Times New Roman" w:hAnsi="Cambria" w:cs="Calibri"/>
                <w:lang w:val="hr-HR" w:eastAsia="hr-HR"/>
              </w:rPr>
              <w:t>Primorskem</w:t>
            </w:r>
            <w:proofErr w:type="spellEnd"/>
            <w:r w:rsidRPr="00DF4CE5">
              <w:rPr>
                <w:rFonts w:ascii="Cambria" w:eastAsia="Times New Roman" w:hAnsi="Cambria" w:cs="Calibri"/>
                <w:lang w:val="hr-HR" w:eastAsia="hr-HR"/>
              </w:rPr>
              <w:t>, 2020. str. 165-178.</w:t>
            </w:r>
          </w:p>
          <w:p w14:paraId="696938E0" w14:textId="77777777" w:rsidR="005005C3" w:rsidRPr="00DF4CE5" w:rsidRDefault="005005C3" w:rsidP="005005C3">
            <w:pPr>
              <w:spacing w:after="0" w:line="240" w:lineRule="auto"/>
              <w:jc w:val="both"/>
              <w:rPr>
                <w:rFonts w:ascii="Cambria" w:eastAsia="Times New Roman" w:hAnsi="Cambria" w:cs="Calibri"/>
                <w:lang w:val="it-IT" w:eastAsia="en-GB"/>
              </w:rPr>
            </w:pPr>
            <w:r w:rsidRPr="00DF4CE5">
              <w:rPr>
                <w:rFonts w:ascii="Cambria" w:eastAsia="Times New Roman" w:hAnsi="Cambria" w:cs="Calibri"/>
                <w:lang w:val="it-IT" w:eastAsia="en-GB"/>
              </w:rPr>
              <w:t xml:space="preserve">2. Hauser, M. (2004). Rani </w:t>
            </w:r>
            <w:proofErr w:type="spellStart"/>
            <w:r w:rsidRPr="00DF4CE5">
              <w:rPr>
                <w:rFonts w:ascii="Cambria" w:eastAsia="Times New Roman" w:hAnsi="Cambria" w:cs="Calibri"/>
                <w:lang w:val="it-IT" w:eastAsia="en-GB"/>
              </w:rPr>
              <w:t>predškolski</w:t>
            </w:r>
            <w:proofErr w:type="spellEnd"/>
            <w:r w:rsidRPr="00DF4CE5">
              <w:rPr>
                <w:rFonts w:ascii="Cambria" w:eastAsia="Times New Roman" w:hAnsi="Cambria" w:cs="Calibri"/>
                <w:lang w:val="it-IT" w:eastAsia="en-GB"/>
              </w:rPr>
              <w:t xml:space="preserve"> </w:t>
            </w:r>
            <w:proofErr w:type="spellStart"/>
            <w:r w:rsidRPr="00DF4CE5">
              <w:rPr>
                <w:rFonts w:ascii="Cambria" w:eastAsia="Times New Roman" w:hAnsi="Cambria" w:cs="Calibri"/>
                <w:lang w:val="it-IT" w:eastAsia="en-GB"/>
              </w:rPr>
              <w:t>odgoj</w:t>
            </w:r>
            <w:proofErr w:type="spellEnd"/>
            <w:r w:rsidRPr="00DF4CE5">
              <w:rPr>
                <w:rFonts w:ascii="Cambria" w:eastAsia="Times New Roman" w:hAnsi="Cambria" w:cs="Calibri"/>
                <w:lang w:val="it-IT" w:eastAsia="en-GB"/>
              </w:rPr>
              <w:t xml:space="preserve">, </w:t>
            </w:r>
            <w:proofErr w:type="spellStart"/>
            <w:r w:rsidRPr="00DF4CE5">
              <w:rPr>
                <w:rFonts w:ascii="Cambria" w:eastAsia="Times New Roman" w:hAnsi="Cambria" w:cs="Calibri"/>
                <w:lang w:val="it-IT" w:eastAsia="en-GB"/>
              </w:rPr>
              <w:t>rani</w:t>
            </w:r>
            <w:proofErr w:type="spellEnd"/>
            <w:r w:rsidRPr="00DF4CE5">
              <w:rPr>
                <w:rFonts w:ascii="Cambria" w:eastAsia="Times New Roman" w:hAnsi="Cambria" w:cs="Calibri"/>
                <w:lang w:val="it-IT" w:eastAsia="en-GB"/>
              </w:rPr>
              <w:t xml:space="preserve"> </w:t>
            </w:r>
            <w:proofErr w:type="spellStart"/>
            <w:r w:rsidRPr="00DF4CE5">
              <w:rPr>
                <w:rFonts w:ascii="Cambria" w:eastAsia="Times New Roman" w:hAnsi="Cambria" w:cs="Calibri"/>
                <w:lang w:val="it-IT" w:eastAsia="en-GB"/>
              </w:rPr>
              <w:t>školski</w:t>
            </w:r>
            <w:proofErr w:type="spellEnd"/>
            <w:r w:rsidRPr="00DF4CE5">
              <w:rPr>
                <w:rFonts w:ascii="Cambria" w:eastAsia="Times New Roman" w:hAnsi="Cambria" w:cs="Calibri"/>
                <w:lang w:val="it-IT" w:eastAsia="en-GB"/>
              </w:rPr>
              <w:t xml:space="preserve"> </w:t>
            </w:r>
            <w:proofErr w:type="spellStart"/>
            <w:r w:rsidRPr="00DF4CE5">
              <w:rPr>
                <w:rFonts w:ascii="Cambria" w:eastAsia="Times New Roman" w:hAnsi="Cambria" w:cs="Calibri"/>
                <w:lang w:val="it-IT" w:eastAsia="en-GB"/>
              </w:rPr>
              <w:t>odgoj</w:t>
            </w:r>
            <w:proofErr w:type="spellEnd"/>
            <w:r w:rsidRPr="00DF4CE5">
              <w:rPr>
                <w:rFonts w:ascii="Cambria" w:eastAsia="Times New Roman" w:hAnsi="Cambria" w:cs="Calibri"/>
                <w:lang w:val="it-IT" w:eastAsia="en-GB"/>
              </w:rPr>
              <w:t xml:space="preserve"> i </w:t>
            </w:r>
            <w:proofErr w:type="spellStart"/>
            <w:r w:rsidRPr="00DF4CE5">
              <w:rPr>
                <w:rFonts w:ascii="Cambria" w:eastAsia="Times New Roman" w:hAnsi="Cambria" w:cs="Calibri"/>
                <w:lang w:val="it-IT" w:eastAsia="en-GB"/>
              </w:rPr>
              <w:t>glazbena</w:t>
            </w:r>
            <w:proofErr w:type="spellEnd"/>
            <w:r w:rsidRPr="00DF4CE5">
              <w:rPr>
                <w:rFonts w:ascii="Cambria" w:eastAsia="Times New Roman" w:hAnsi="Cambria" w:cs="Calibri"/>
                <w:lang w:val="it-IT" w:eastAsia="en-GB"/>
              </w:rPr>
              <w:t xml:space="preserve"> </w:t>
            </w:r>
            <w:proofErr w:type="spellStart"/>
            <w:r w:rsidRPr="00DF4CE5">
              <w:rPr>
                <w:rFonts w:ascii="Cambria" w:eastAsia="Times New Roman" w:hAnsi="Cambria" w:cs="Calibri"/>
                <w:lang w:val="it-IT" w:eastAsia="en-GB"/>
              </w:rPr>
              <w:t>igra</w:t>
            </w:r>
            <w:proofErr w:type="spellEnd"/>
            <w:r w:rsidRPr="00DF4CE5">
              <w:rPr>
                <w:rFonts w:ascii="Cambria" w:eastAsia="Times New Roman" w:hAnsi="Cambria" w:cs="Calibri"/>
                <w:lang w:val="it-IT" w:eastAsia="en-GB"/>
              </w:rPr>
              <w:t xml:space="preserve">. </w:t>
            </w:r>
            <w:proofErr w:type="spellStart"/>
            <w:r w:rsidRPr="00DF4CE5">
              <w:rPr>
                <w:rFonts w:ascii="Cambria" w:eastAsia="Times New Roman" w:hAnsi="Cambria" w:cs="Calibri"/>
                <w:lang w:val="it-IT" w:eastAsia="en-GB"/>
              </w:rPr>
              <w:t>Metodika</w:t>
            </w:r>
            <w:proofErr w:type="spellEnd"/>
            <w:r w:rsidRPr="00DF4CE5">
              <w:rPr>
                <w:rFonts w:ascii="Cambria" w:eastAsia="Times New Roman" w:hAnsi="Cambria" w:cs="Calibri"/>
                <w:lang w:val="it-IT" w:eastAsia="en-GB"/>
              </w:rPr>
              <w:t xml:space="preserve">: </w:t>
            </w:r>
            <w:proofErr w:type="spellStart"/>
            <w:r w:rsidRPr="00DF4CE5">
              <w:rPr>
                <w:rFonts w:ascii="Cambria" w:eastAsia="Times New Roman" w:hAnsi="Cambria" w:cs="Calibri"/>
                <w:lang w:val="it-IT" w:eastAsia="en-GB"/>
              </w:rPr>
              <w:t>časopis</w:t>
            </w:r>
            <w:proofErr w:type="spellEnd"/>
            <w:r w:rsidRPr="00DF4CE5">
              <w:rPr>
                <w:rFonts w:ascii="Cambria" w:eastAsia="Times New Roman" w:hAnsi="Cambria" w:cs="Calibri"/>
                <w:lang w:val="it-IT" w:eastAsia="en-GB"/>
              </w:rPr>
              <w:t xml:space="preserve"> za </w:t>
            </w:r>
            <w:proofErr w:type="spellStart"/>
            <w:r w:rsidRPr="00DF4CE5">
              <w:rPr>
                <w:rFonts w:ascii="Cambria" w:eastAsia="Times New Roman" w:hAnsi="Cambria" w:cs="Calibri"/>
                <w:lang w:val="it-IT" w:eastAsia="en-GB"/>
              </w:rPr>
              <w:t>teoriju</w:t>
            </w:r>
            <w:proofErr w:type="spellEnd"/>
            <w:r w:rsidRPr="00DF4CE5">
              <w:rPr>
                <w:rFonts w:ascii="Cambria" w:eastAsia="Times New Roman" w:hAnsi="Cambria" w:cs="Calibri"/>
                <w:lang w:val="it-IT" w:eastAsia="en-GB"/>
              </w:rPr>
              <w:t xml:space="preserve"> i </w:t>
            </w:r>
            <w:proofErr w:type="spellStart"/>
            <w:r w:rsidRPr="00DF4CE5">
              <w:rPr>
                <w:rFonts w:ascii="Cambria" w:eastAsia="Times New Roman" w:hAnsi="Cambria" w:cs="Calibri"/>
                <w:lang w:val="it-IT" w:eastAsia="en-GB"/>
              </w:rPr>
              <w:t>praksu</w:t>
            </w:r>
            <w:proofErr w:type="spellEnd"/>
            <w:r w:rsidRPr="00DF4CE5">
              <w:rPr>
                <w:rFonts w:ascii="Cambria" w:eastAsia="Times New Roman" w:hAnsi="Cambria" w:cs="Calibri"/>
                <w:lang w:val="it-IT" w:eastAsia="en-GB"/>
              </w:rPr>
              <w:t xml:space="preserve"> </w:t>
            </w:r>
            <w:proofErr w:type="spellStart"/>
            <w:r w:rsidRPr="00DF4CE5">
              <w:rPr>
                <w:rFonts w:ascii="Cambria" w:eastAsia="Times New Roman" w:hAnsi="Cambria" w:cs="Calibri"/>
                <w:lang w:val="it-IT" w:eastAsia="en-GB"/>
              </w:rPr>
              <w:t>metodika</w:t>
            </w:r>
            <w:proofErr w:type="spellEnd"/>
            <w:r w:rsidRPr="00DF4CE5">
              <w:rPr>
                <w:rFonts w:ascii="Cambria" w:eastAsia="Times New Roman" w:hAnsi="Cambria" w:cs="Calibri"/>
                <w:lang w:val="it-IT" w:eastAsia="en-GB"/>
              </w:rPr>
              <w:t xml:space="preserve"> u </w:t>
            </w:r>
            <w:proofErr w:type="spellStart"/>
            <w:r w:rsidRPr="00DF4CE5">
              <w:rPr>
                <w:rFonts w:ascii="Cambria" w:eastAsia="Times New Roman" w:hAnsi="Cambria" w:cs="Calibri"/>
                <w:lang w:val="it-IT" w:eastAsia="en-GB"/>
              </w:rPr>
              <w:t>predškolskom</w:t>
            </w:r>
            <w:proofErr w:type="spellEnd"/>
            <w:r w:rsidRPr="00DF4CE5">
              <w:rPr>
                <w:rFonts w:ascii="Cambria" w:eastAsia="Times New Roman" w:hAnsi="Cambria" w:cs="Calibri"/>
                <w:lang w:val="it-IT" w:eastAsia="en-GB"/>
              </w:rPr>
              <w:t xml:space="preserve"> </w:t>
            </w:r>
            <w:proofErr w:type="spellStart"/>
            <w:r w:rsidRPr="00DF4CE5">
              <w:rPr>
                <w:rFonts w:ascii="Cambria" w:eastAsia="Times New Roman" w:hAnsi="Cambria" w:cs="Calibri"/>
                <w:lang w:val="it-IT" w:eastAsia="en-GB"/>
              </w:rPr>
              <w:t>odgoju</w:t>
            </w:r>
            <w:proofErr w:type="spellEnd"/>
            <w:r w:rsidRPr="00DF4CE5">
              <w:rPr>
                <w:rFonts w:ascii="Cambria" w:eastAsia="Times New Roman" w:hAnsi="Cambria" w:cs="Calibri"/>
                <w:lang w:val="it-IT" w:eastAsia="en-GB"/>
              </w:rPr>
              <w:t xml:space="preserve">, </w:t>
            </w:r>
            <w:proofErr w:type="spellStart"/>
            <w:r w:rsidRPr="00DF4CE5">
              <w:rPr>
                <w:rFonts w:ascii="Cambria" w:eastAsia="Times New Roman" w:hAnsi="Cambria" w:cs="Calibri"/>
                <w:lang w:val="it-IT" w:eastAsia="en-GB"/>
              </w:rPr>
              <w:t>školskoj</w:t>
            </w:r>
            <w:proofErr w:type="spellEnd"/>
            <w:r w:rsidRPr="00DF4CE5">
              <w:rPr>
                <w:rFonts w:ascii="Cambria" w:eastAsia="Times New Roman" w:hAnsi="Cambria" w:cs="Calibri"/>
                <w:lang w:val="it-IT" w:eastAsia="en-GB"/>
              </w:rPr>
              <w:t xml:space="preserve"> i </w:t>
            </w:r>
            <w:proofErr w:type="spellStart"/>
            <w:r w:rsidRPr="00DF4CE5">
              <w:rPr>
                <w:rFonts w:ascii="Cambria" w:eastAsia="Times New Roman" w:hAnsi="Cambria" w:cs="Calibri"/>
                <w:lang w:val="it-IT" w:eastAsia="en-GB"/>
              </w:rPr>
              <w:t>visokoškolskoj</w:t>
            </w:r>
            <w:proofErr w:type="spellEnd"/>
            <w:r w:rsidRPr="00DF4CE5">
              <w:rPr>
                <w:rFonts w:ascii="Cambria" w:eastAsia="Times New Roman" w:hAnsi="Cambria" w:cs="Calibri"/>
                <w:lang w:val="it-IT" w:eastAsia="en-GB"/>
              </w:rPr>
              <w:t xml:space="preserve"> </w:t>
            </w:r>
            <w:proofErr w:type="spellStart"/>
            <w:r w:rsidRPr="00DF4CE5">
              <w:rPr>
                <w:rFonts w:ascii="Cambria" w:eastAsia="Times New Roman" w:hAnsi="Cambria" w:cs="Calibri"/>
                <w:lang w:val="it-IT" w:eastAsia="en-GB"/>
              </w:rPr>
              <w:t>izobrazbi</w:t>
            </w:r>
            <w:proofErr w:type="spellEnd"/>
            <w:r w:rsidRPr="00DF4CE5">
              <w:rPr>
                <w:rFonts w:ascii="Cambria" w:eastAsia="Times New Roman" w:hAnsi="Cambria" w:cs="Calibri"/>
                <w:lang w:val="it-IT" w:eastAsia="en-GB"/>
              </w:rPr>
              <w:t xml:space="preserve">. 5 (2004), 8(1); </w:t>
            </w:r>
            <w:proofErr w:type="spellStart"/>
            <w:r w:rsidRPr="00DF4CE5">
              <w:rPr>
                <w:rFonts w:ascii="Cambria" w:eastAsia="Times New Roman" w:hAnsi="Cambria" w:cs="Calibri"/>
                <w:lang w:val="it-IT" w:eastAsia="en-GB"/>
              </w:rPr>
              <w:t>str</w:t>
            </w:r>
            <w:proofErr w:type="spellEnd"/>
            <w:r w:rsidRPr="00DF4CE5">
              <w:rPr>
                <w:rFonts w:ascii="Cambria" w:eastAsia="Times New Roman" w:hAnsi="Cambria" w:cs="Calibri"/>
                <w:lang w:val="it-IT" w:eastAsia="en-GB"/>
              </w:rPr>
              <w:t>. 65-75.</w:t>
            </w:r>
          </w:p>
          <w:p w14:paraId="04B7D08E" w14:textId="77777777" w:rsidR="005005C3" w:rsidRPr="00DF4CE5" w:rsidRDefault="005005C3" w:rsidP="005005C3">
            <w:pPr>
              <w:spacing w:after="0" w:line="240" w:lineRule="auto"/>
              <w:contextualSpacing/>
              <w:jc w:val="both"/>
              <w:rPr>
                <w:rFonts w:ascii="Cambria" w:eastAsia="Times New Roman" w:hAnsi="Cambria" w:cs="Calibri"/>
                <w:lang w:val="hr-HR" w:eastAsia="en-GB"/>
              </w:rPr>
            </w:pPr>
            <w:r w:rsidRPr="00DF4CE5">
              <w:rPr>
                <w:rFonts w:ascii="Cambria" w:eastAsia="Times New Roman" w:hAnsi="Cambria" w:cs="Calibri"/>
                <w:lang w:val="hr-HR" w:eastAsia="hr-HR"/>
              </w:rPr>
              <w:t xml:space="preserve">3. Kujundžija, I., </w:t>
            </w:r>
            <w:proofErr w:type="spellStart"/>
            <w:r w:rsidRPr="00DF4CE5">
              <w:rPr>
                <w:rFonts w:ascii="Cambria" w:eastAsia="Times New Roman" w:hAnsi="Cambria" w:cs="Calibri"/>
                <w:lang w:val="hr-HR" w:eastAsia="hr-HR"/>
              </w:rPr>
              <w:t>Dolinščak</w:t>
            </w:r>
            <w:proofErr w:type="spellEnd"/>
            <w:r w:rsidRPr="00DF4CE5">
              <w:rPr>
                <w:rFonts w:ascii="Cambria" w:eastAsia="Times New Roman" w:hAnsi="Cambria" w:cs="Calibri"/>
                <w:lang w:val="hr-HR" w:eastAsia="hr-HR"/>
              </w:rPr>
              <w:t>, M., Gortan-Carlin, I. P.  (2021). Obrazovanje glazbom: pjesma kao sredstvo buđenja ekološke svijesti.</w:t>
            </w:r>
            <w:r w:rsidRPr="00DF4CE5">
              <w:rPr>
                <w:rFonts w:ascii="Cambria" w:eastAsia="Times New Roman" w:hAnsi="Cambria" w:cs="Calibri"/>
                <w:iCs/>
                <w:lang w:val="hr-HR" w:eastAsia="hr-HR"/>
              </w:rPr>
              <w:t xml:space="preserve"> Zbornik radova 1. međunarodna studentska GREEN konferencija / </w:t>
            </w:r>
            <w:proofErr w:type="spellStart"/>
            <w:r w:rsidRPr="00DF4CE5">
              <w:rPr>
                <w:rFonts w:ascii="Cambria" w:eastAsia="Times New Roman" w:hAnsi="Cambria" w:cs="Calibri"/>
                <w:iCs/>
                <w:lang w:val="hr-HR" w:eastAsia="hr-HR"/>
              </w:rPr>
              <w:t>Proceedings</w:t>
            </w:r>
            <w:proofErr w:type="spellEnd"/>
            <w:r w:rsidRPr="00DF4CE5">
              <w:rPr>
                <w:rFonts w:ascii="Cambria" w:eastAsia="Times New Roman" w:hAnsi="Cambria" w:cs="Calibri"/>
                <w:iCs/>
                <w:lang w:val="hr-HR" w:eastAsia="hr-HR"/>
              </w:rPr>
              <w:t xml:space="preserve">: 1st International </w:t>
            </w:r>
            <w:proofErr w:type="spellStart"/>
            <w:r w:rsidRPr="00DF4CE5">
              <w:rPr>
                <w:rFonts w:ascii="Cambria" w:eastAsia="Times New Roman" w:hAnsi="Cambria" w:cs="Calibri"/>
                <w:iCs/>
                <w:lang w:val="hr-HR" w:eastAsia="hr-HR"/>
              </w:rPr>
              <w:t>Students</w:t>
            </w:r>
            <w:proofErr w:type="spellEnd"/>
            <w:r w:rsidRPr="00DF4CE5">
              <w:rPr>
                <w:rFonts w:ascii="Cambria" w:eastAsia="Times New Roman" w:hAnsi="Cambria" w:cs="Calibri"/>
                <w:iCs/>
                <w:lang w:val="hr-HR" w:eastAsia="hr-HR"/>
              </w:rPr>
              <w:t xml:space="preserve">' GREEN </w:t>
            </w:r>
            <w:proofErr w:type="spellStart"/>
            <w:r w:rsidRPr="00DF4CE5">
              <w:rPr>
                <w:rFonts w:ascii="Cambria" w:eastAsia="Times New Roman" w:hAnsi="Cambria" w:cs="Calibri"/>
                <w:iCs/>
                <w:lang w:val="hr-HR" w:eastAsia="hr-HR"/>
              </w:rPr>
              <w:t>Conference</w:t>
            </w:r>
            <w:proofErr w:type="spellEnd"/>
            <w:r w:rsidRPr="00DF4CE5">
              <w:rPr>
                <w:rFonts w:ascii="Cambria" w:eastAsia="Times New Roman" w:hAnsi="Cambria" w:cs="Calibri"/>
                <w:iCs/>
                <w:lang w:val="hr-HR" w:eastAsia="hr-HR"/>
              </w:rPr>
              <w:t>.</w:t>
            </w:r>
            <w:r w:rsidRPr="00DF4CE5">
              <w:rPr>
                <w:rFonts w:ascii="Cambria" w:eastAsia="Times New Roman" w:hAnsi="Cambria" w:cs="Calibri"/>
                <w:lang w:val="hr-HR" w:eastAsia="hr-HR"/>
              </w:rPr>
              <w:t xml:space="preserve"> </w:t>
            </w:r>
            <w:proofErr w:type="spellStart"/>
            <w:r w:rsidRPr="00DF4CE5">
              <w:rPr>
                <w:rFonts w:ascii="Cambria" w:eastAsia="Times New Roman" w:hAnsi="Cambria" w:cs="Calibri"/>
                <w:lang w:val="hr-HR" w:eastAsia="hr-HR"/>
              </w:rPr>
              <w:t>Habuda</w:t>
            </w:r>
            <w:proofErr w:type="spellEnd"/>
            <w:r w:rsidRPr="00DF4CE5">
              <w:rPr>
                <w:rFonts w:ascii="Cambria" w:eastAsia="Times New Roman" w:hAnsi="Cambria" w:cs="Calibri"/>
                <w:lang w:val="hr-HR" w:eastAsia="hr-HR"/>
              </w:rPr>
              <w:t>-Stanić, Mirna (</w:t>
            </w:r>
            <w:proofErr w:type="spellStart"/>
            <w:r w:rsidRPr="00DF4CE5">
              <w:rPr>
                <w:rFonts w:ascii="Cambria" w:eastAsia="Times New Roman" w:hAnsi="Cambria" w:cs="Calibri"/>
                <w:lang w:val="hr-HR" w:eastAsia="hr-HR"/>
              </w:rPr>
              <w:t>ur</w:t>
            </w:r>
            <w:proofErr w:type="spellEnd"/>
            <w:r w:rsidRPr="00DF4CE5">
              <w:rPr>
                <w:rFonts w:ascii="Cambria" w:eastAsia="Times New Roman" w:hAnsi="Cambria" w:cs="Calibri"/>
                <w:lang w:val="hr-HR" w:eastAsia="hr-HR"/>
              </w:rPr>
              <w:t>.). Osijek: Sveučilište Josipa Jurja Strossmayera u Osijeku, Prehrambeno-tehnološki fakultet Osijek, str. 543-553</w:t>
            </w:r>
          </w:p>
          <w:p w14:paraId="1AC88FA3" w14:textId="77777777" w:rsidR="005005C3" w:rsidRPr="00DF4CE5" w:rsidRDefault="005005C3" w:rsidP="005005C3">
            <w:pPr>
              <w:spacing w:after="0" w:line="240" w:lineRule="auto"/>
              <w:contextualSpacing/>
              <w:jc w:val="both"/>
              <w:rPr>
                <w:rFonts w:ascii="Cambria" w:eastAsia="Times New Roman" w:hAnsi="Cambria" w:cs="Calibri"/>
                <w:lang w:val="hr-HR" w:eastAsia="en-GB"/>
              </w:rPr>
            </w:pPr>
            <w:r w:rsidRPr="00DF4CE5">
              <w:rPr>
                <w:rFonts w:ascii="Cambria" w:eastAsia="Times New Roman" w:hAnsi="Cambria" w:cs="Calibri"/>
                <w:lang w:val="hr-HR" w:eastAsia="en-GB"/>
              </w:rPr>
              <w:t xml:space="preserve">4. </w:t>
            </w:r>
            <w:proofErr w:type="spellStart"/>
            <w:r w:rsidRPr="00DF4CE5">
              <w:rPr>
                <w:rFonts w:ascii="Cambria" w:eastAsia="Times New Roman" w:hAnsi="Cambria" w:cs="Calibri"/>
                <w:lang w:val="hr-HR" w:eastAsia="en-GB"/>
              </w:rPr>
              <w:t>Majsec</w:t>
            </w:r>
            <w:proofErr w:type="spellEnd"/>
            <w:r w:rsidRPr="00DF4CE5">
              <w:rPr>
                <w:rFonts w:ascii="Cambria" w:eastAsia="Times New Roman" w:hAnsi="Cambria" w:cs="Calibri"/>
                <w:lang w:val="hr-HR" w:eastAsia="en-GB"/>
              </w:rPr>
              <w:t xml:space="preserve"> Vrbanić, V. (2008). Slušamo, pjevamo, plešemo, sviramo: poticanje glazbom: priručnik. Zagreb: Udruga za promicanje različitosti, umjetničkog izražavanja, kreativnosti i edukacije djece i mladeži "Ruke".</w:t>
            </w:r>
          </w:p>
          <w:p w14:paraId="1B3B0E99" w14:textId="77777777" w:rsidR="005005C3" w:rsidRPr="00DF4CE5" w:rsidRDefault="005005C3" w:rsidP="005005C3">
            <w:pPr>
              <w:spacing w:after="0" w:line="240" w:lineRule="auto"/>
              <w:contextualSpacing/>
              <w:jc w:val="both"/>
              <w:rPr>
                <w:rFonts w:ascii="Cambria" w:eastAsia="Times New Roman" w:hAnsi="Cambria" w:cs="Calibri"/>
                <w:lang w:eastAsia="en-GB"/>
              </w:rPr>
            </w:pPr>
            <w:r w:rsidRPr="00DF4CE5">
              <w:rPr>
                <w:rFonts w:ascii="Cambria" w:eastAsia="Times New Roman" w:hAnsi="Cambria" w:cs="Calibri"/>
                <w:lang w:val="hr-HR" w:eastAsia="en-GB"/>
              </w:rPr>
              <w:t xml:space="preserve">5. </w:t>
            </w:r>
            <w:proofErr w:type="spellStart"/>
            <w:r w:rsidRPr="00DF4CE5">
              <w:rPr>
                <w:rFonts w:ascii="Cambria" w:eastAsia="Times New Roman" w:hAnsi="Cambria" w:cs="Calibri"/>
                <w:lang w:val="hr-HR" w:eastAsia="en-GB"/>
              </w:rPr>
              <w:t>Morović</w:t>
            </w:r>
            <w:proofErr w:type="spellEnd"/>
            <w:r w:rsidRPr="00DF4CE5">
              <w:rPr>
                <w:rFonts w:ascii="Cambria" w:eastAsia="Times New Roman" w:hAnsi="Cambria" w:cs="Calibri"/>
                <w:lang w:val="hr-HR" w:eastAsia="en-GB"/>
              </w:rPr>
              <w:t xml:space="preserve">, Ž., Gortan-Carlin, I., </w:t>
            </w:r>
            <w:proofErr w:type="spellStart"/>
            <w:r w:rsidRPr="00DF4CE5">
              <w:rPr>
                <w:rFonts w:ascii="Cambria" w:eastAsia="Times New Roman" w:hAnsi="Cambria" w:cs="Calibri"/>
                <w:lang w:val="hr-HR" w:eastAsia="en-GB"/>
              </w:rPr>
              <w:t>Krajnović</w:t>
            </w:r>
            <w:proofErr w:type="spellEnd"/>
            <w:r w:rsidRPr="00DF4CE5">
              <w:rPr>
                <w:rFonts w:ascii="Cambria" w:eastAsia="Times New Roman" w:hAnsi="Cambria" w:cs="Calibri"/>
                <w:lang w:val="hr-HR" w:eastAsia="en-GB"/>
              </w:rPr>
              <w:t xml:space="preserve">, A. (2021). Interaktivna opera – inovativni model korisničkog iskustva u kulturi. </w:t>
            </w:r>
            <w:r w:rsidRPr="00DF4CE5">
              <w:rPr>
                <w:rFonts w:ascii="Cambria" w:eastAsia="Times New Roman" w:hAnsi="Cambria" w:cs="Calibri"/>
                <w:lang w:eastAsia="en-GB"/>
              </w:rPr>
              <w:t xml:space="preserve">U: </w:t>
            </w:r>
            <w:proofErr w:type="spellStart"/>
            <w:r w:rsidRPr="00DF4CE5">
              <w:rPr>
                <w:rFonts w:ascii="Cambria" w:eastAsia="Times New Roman" w:hAnsi="Cambria" w:cs="Calibri"/>
                <w:lang w:eastAsia="en-GB"/>
              </w:rPr>
              <w:t>Gregurec</w:t>
            </w:r>
            <w:proofErr w:type="spellEnd"/>
            <w:r w:rsidRPr="00DF4CE5">
              <w:rPr>
                <w:rFonts w:ascii="Cambria" w:eastAsia="Times New Roman" w:hAnsi="Cambria" w:cs="Calibri"/>
                <w:lang w:eastAsia="en-GB"/>
              </w:rPr>
              <w:t>, I. (</w:t>
            </w:r>
            <w:proofErr w:type="spellStart"/>
            <w:r w:rsidRPr="00DF4CE5">
              <w:rPr>
                <w:rFonts w:ascii="Cambria" w:eastAsia="Times New Roman" w:hAnsi="Cambria" w:cs="Calibri"/>
                <w:lang w:eastAsia="en-GB"/>
              </w:rPr>
              <w:t>ur</w:t>
            </w:r>
            <w:proofErr w:type="spellEnd"/>
            <w:r w:rsidRPr="00DF4CE5">
              <w:rPr>
                <w:rFonts w:ascii="Cambria" w:eastAsia="Times New Roman" w:hAnsi="Cambria" w:cs="Calibri"/>
                <w:lang w:eastAsia="en-GB"/>
              </w:rPr>
              <w:t xml:space="preserve">.). 6th International Scientific and Professional Conference </w:t>
            </w:r>
            <w:proofErr w:type="spellStart"/>
            <w:r w:rsidRPr="00DF4CE5">
              <w:rPr>
                <w:rFonts w:ascii="Cambria" w:eastAsia="Times New Roman" w:hAnsi="Cambria" w:cs="Calibri"/>
                <w:lang w:eastAsia="en-GB"/>
              </w:rPr>
              <w:t>Crodma</w:t>
            </w:r>
            <w:proofErr w:type="spellEnd"/>
            <w:r w:rsidRPr="00DF4CE5">
              <w:rPr>
                <w:rFonts w:ascii="Cambria" w:eastAsia="Times New Roman" w:hAnsi="Cambria" w:cs="Calibri"/>
                <w:lang w:eastAsia="en-GB"/>
              </w:rPr>
              <w:t xml:space="preserve"> 2021 - Book of Papers. </w:t>
            </w:r>
            <w:proofErr w:type="spellStart"/>
            <w:r w:rsidRPr="00DF4CE5">
              <w:rPr>
                <w:rFonts w:ascii="Cambria" w:eastAsia="Times New Roman" w:hAnsi="Cambria" w:cs="Calibri"/>
                <w:lang w:eastAsia="en-GB"/>
              </w:rPr>
              <w:t>Varaždin</w:t>
            </w:r>
            <w:proofErr w:type="spellEnd"/>
            <w:r w:rsidRPr="00DF4CE5">
              <w:rPr>
                <w:rFonts w:ascii="Cambria" w:eastAsia="Times New Roman" w:hAnsi="Cambria" w:cs="Calibri"/>
                <w:lang w:eastAsia="en-GB"/>
              </w:rPr>
              <w:t>: CRODMA - Croatian Direct Marketing Association, 2021. str. 123-135.</w:t>
            </w:r>
          </w:p>
          <w:p w14:paraId="43ABC7C4" w14:textId="77777777" w:rsidR="005005C3" w:rsidRPr="00DF4CE5" w:rsidRDefault="005005C3" w:rsidP="005005C3">
            <w:pPr>
              <w:spacing w:after="0" w:line="240" w:lineRule="auto"/>
              <w:jc w:val="both"/>
              <w:rPr>
                <w:rFonts w:ascii="Cambria" w:eastAsia="Times New Roman" w:hAnsi="Cambria" w:cs="Times New Roman"/>
                <w:lang w:val="hr-HR"/>
              </w:rPr>
            </w:pPr>
            <w:r w:rsidRPr="00DF4CE5">
              <w:rPr>
                <w:rFonts w:ascii="Cambria" w:eastAsia="Times New Roman" w:hAnsi="Cambria" w:cs="Times New Roman"/>
                <w:lang w:val="hr-HR"/>
              </w:rPr>
              <w:t xml:space="preserve">6. </w:t>
            </w:r>
            <w:proofErr w:type="spellStart"/>
            <w:r w:rsidRPr="00DF4CE5">
              <w:rPr>
                <w:rFonts w:ascii="Cambria" w:eastAsia="Times New Roman" w:hAnsi="Cambria" w:cs="Times New Roman"/>
                <w:lang w:val="hr-HR"/>
              </w:rPr>
              <w:t>Žužić</w:t>
            </w:r>
            <w:proofErr w:type="spellEnd"/>
            <w:r w:rsidRPr="00DF4CE5">
              <w:rPr>
                <w:rFonts w:ascii="Cambria" w:eastAsia="Times New Roman" w:hAnsi="Cambria" w:cs="Times New Roman"/>
                <w:lang w:val="hr-HR"/>
              </w:rPr>
              <w:t>, M., Kovačić, D. (2008). Glazbene čarolije. 1-3. Zagreb: Profil International.</w:t>
            </w:r>
          </w:p>
          <w:p w14:paraId="301B8F48" w14:textId="77777777" w:rsidR="005005C3" w:rsidRPr="00DF4CE5" w:rsidRDefault="005005C3" w:rsidP="005005C3">
            <w:pPr>
              <w:spacing w:after="0" w:line="240" w:lineRule="auto"/>
              <w:jc w:val="both"/>
              <w:rPr>
                <w:rFonts w:ascii="Cambria" w:eastAsia="Times New Roman" w:hAnsi="Cambria" w:cs="Calibri"/>
                <w:lang w:val="hr-HR" w:eastAsia="en-GB"/>
              </w:rPr>
            </w:pPr>
            <w:r w:rsidRPr="00DF4CE5">
              <w:rPr>
                <w:rFonts w:ascii="Cambria" w:eastAsia="Times New Roman" w:hAnsi="Cambria" w:cs="Calibri"/>
                <w:lang w:val="hr-HR" w:eastAsia="en-GB"/>
              </w:rPr>
              <w:t xml:space="preserve">Izborna: </w:t>
            </w:r>
          </w:p>
          <w:p w14:paraId="2C549845" w14:textId="77777777" w:rsidR="005005C3" w:rsidRPr="00DF4CE5" w:rsidRDefault="005005C3" w:rsidP="005005C3">
            <w:pPr>
              <w:spacing w:after="0" w:line="240" w:lineRule="auto"/>
              <w:contextualSpacing/>
              <w:jc w:val="both"/>
              <w:rPr>
                <w:rFonts w:ascii="Cambria" w:eastAsia="Times New Roman" w:hAnsi="Cambria" w:cs="Calibri"/>
                <w:lang w:val="hr-HR" w:eastAsia="en-GB"/>
              </w:rPr>
            </w:pPr>
            <w:r w:rsidRPr="00DF4CE5">
              <w:rPr>
                <w:rFonts w:ascii="Cambria" w:eastAsia="Times New Roman" w:hAnsi="Cambria" w:cs="Calibri"/>
                <w:lang w:val="hr-HR" w:eastAsia="en-GB"/>
              </w:rPr>
              <w:t xml:space="preserve">1. </w:t>
            </w:r>
            <w:proofErr w:type="spellStart"/>
            <w:r w:rsidRPr="00DF4CE5">
              <w:rPr>
                <w:rFonts w:ascii="Cambria" w:eastAsia="Times New Roman" w:hAnsi="Cambria" w:cs="Calibri"/>
                <w:lang w:val="hr-HR" w:eastAsia="en-GB"/>
              </w:rPr>
              <w:t>Ainsley</w:t>
            </w:r>
            <w:proofErr w:type="spellEnd"/>
            <w:r w:rsidRPr="00DF4CE5">
              <w:rPr>
                <w:rFonts w:ascii="Cambria" w:eastAsia="Times New Roman" w:hAnsi="Cambria" w:cs="Calibri"/>
                <w:lang w:val="hr-HR" w:eastAsia="en-GB"/>
              </w:rPr>
              <w:t>, R. (2004). Enciklopedija Klasične glazbe, Zagreb: Znanje</w:t>
            </w:r>
          </w:p>
          <w:p w14:paraId="4462641C" w14:textId="77777777" w:rsidR="005005C3" w:rsidRPr="00DF4CE5" w:rsidRDefault="005005C3" w:rsidP="005005C3">
            <w:pPr>
              <w:spacing w:after="0" w:line="240" w:lineRule="auto"/>
              <w:contextualSpacing/>
              <w:jc w:val="both"/>
              <w:rPr>
                <w:rFonts w:ascii="Cambria" w:eastAsia="Times New Roman" w:hAnsi="Cambria" w:cs="Calibri"/>
                <w:lang w:val="it-IT" w:eastAsia="en-GB"/>
              </w:rPr>
            </w:pPr>
            <w:r w:rsidRPr="00DF4CE5">
              <w:rPr>
                <w:rFonts w:ascii="Cambria" w:eastAsia="Times New Roman" w:hAnsi="Cambria" w:cs="Calibri"/>
                <w:lang w:val="it-IT" w:eastAsia="en-GB"/>
              </w:rPr>
              <w:t xml:space="preserve">2. </w:t>
            </w:r>
            <w:proofErr w:type="spellStart"/>
            <w:r w:rsidRPr="00DF4CE5">
              <w:rPr>
                <w:rFonts w:ascii="Cambria" w:eastAsia="Times New Roman" w:hAnsi="Cambria" w:cs="Calibri"/>
                <w:lang w:val="it-IT" w:eastAsia="en-GB"/>
              </w:rPr>
              <w:t>Dobrota</w:t>
            </w:r>
            <w:proofErr w:type="spellEnd"/>
            <w:r w:rsidRPr="00DF4CE5">
              <w:rPr>
                <w:rFonts w:ascii="Cambria" w:eastAsia="Times New Roman" w:hAnsi="Cambria" w:cs="Calibri"/>
                <w:lang w:val="it-IT" w:eastAsia="en-GB"/>
              </w:rPr>
              <w:t xml:space="preserve">, S. (2004). </w:t>
            </w:r>
            <w:proofErr w:type="spellStart"/>
            <w:r w:rsidRPr="00DF4CE5">
              <w:rPr>
                <w:rFonts w:ascii="Cambria" w:eastAsia="Times New Roman" w:hAnsi="Cambria" w:cs="Calibri"/>
                <w:lang w:val="it-IT" w:eastAsia="en-GB"/>
              </w:rPr>
              <w:t>Sociopsihologijska</w:t>
            </w:r>
            <w:proofErr w:type="spellEnd"/>
            <w:r w:rsidRPr="00DF4CE5">
              <w:rPr>
                <w:rFonts w:ascii="Cambria" w:eastAsia="Times New Roman" w:hAnsi="Cambria" w:cs="Calibri"/>
                <w:lang w:val="it-IT" w:eastAsia="en-GB"/>
              </w:rPr>
              <w:t xml:space="preserve"> </w:t>
            </w:r>
            <w:proofErr w:type="spellStart"/>
            <w:r w:rsidRPr="00DF4CE5">
              <w:rPr>
                <w:rFonts w:ascii="Cambria" w:eastAsia="Times New Roman" w:hAnsi="Cambria" w:cs="Calibri"/>
                <w:lang w:val="it-IT" w:eastAsia="en-GB"/>
              </w:rPr>
              <w:t>procjema</w:t>
            </w:r>
            <w:proofErr w:type="spellEnd"/>
            <w:r w:rsidRPr="00DF4CE5">
              <w:rPr>
                <w:rFonts w:ascii="Cambria" w:eastAsia="Times New Roman" w:hAnsi="Cambria" w:cs="Calibri"/>
                <w:lang w:val="it-IT" w:eastAsia="en-GB"/>
              </w:rPr>
              <w:t xml:space="preserve"> </w:t>
            </w:r>
            <w:proofErr w:type="spellStart"/>
            <w:r w:rsidRPr="00DF4CE5">
              <w:rPr>
                <w:rFonts w:ascii="Cambria" w:eastAsia="Times New Roman" w:hAnsi="Cambria" w:cs="Calibri"/>
                <w:lang w:val="it-IT" w:eastAsia="en-GB"/>
              </w:rPr>
              <w:t>glazbenih</w:t>
            </w:r>
            <w:proofErr w:type="spellEnd"/>
            <w:r w:rsidRPr="00DF4CE5">
              <w:rPr>
                <w:rFonts w:ascii="Cambria" w:eastAsia="Times New Roman" w:hAnsi="Cambria" w:cs="Calibri"/>
                <w:lang w:val="it-IT" w:eastAsia="en-GB"/>
              </w:rPr>
              <w:t xml:space="preserve"> </w:t>
            </w:r>
            <w:proofErr w:type="spellStart"/>
            <w:r w:rsidRPr="00DF4CE5">
              <w:rPr>
                <w:rFonts w:ascii="Cambria" w:eastAsia="Times New Roman" w:hAnsi="Cambria" w:cs="Calibri"/>
                <w:lang w:val="it-IT" w:eastAsia="en-GB"/>
              </w:rPr>
              <w:t>sposobnosti</w:t>
            </w:r>
            <w:proofErr w:type="spellEnd"/>
            <w:r w:rsidRPr="00DF4CE5">
              <w:rPr>
                <w:rFonts w:ascii="Cambria" w:eastAsia="Times New Roman" w:hAnsi="Cambria" w:cs="Calibri"/>
                <w:lang w:val="it-IT" w:eastAsia="en-GB"/>
              </w:rPr>
              <w:t xml:space="preserve"> </w:t>
            </w:r>
            <w:proofErr w:type="spellStart"/>
            <w:r w:rsidRPr="00DF4CE5">
              <w:rPr>
                <w:rFonts w:ascii="Cambria" w:eastAsia="Times New Roman" w:hAnsi="Cambria" w:cs="Calibri"/>
                <w:lang w:val="it-IT" w:eastAsia="en-GB"/>
              </w:rPr>
              <w:t>djece</w:t>
            </w:r>
            <w:proofErr w:type="spellEnd"/>
            <w:r w:rsidRPr="00DF4CE5">
              <w:rPr>
                <w:rFonts w:ascii="Cambria" w:eastAsia="Times New Roman" w:hAnsi="Cambria" w:cs="Calibri"/>
                <w:lang w:val="it-IT" w:eastAsia="en-GB"/>
              </w:rPr>
              <w:t xml:space="preserve">: </w:t>
            </w:r>
            <w:proofErr w:type="spellStart"/>
            <w:r w:rsidRPr="00DF4CE5">
              <w:rPr>
                <w:rFonts w:ascii="Cambria" w:eastAsia="Times New Roman" w:hAnsi="Cambria" w:cs="Calibri"/>
                <w:lang w:val="it-IT" w:eastAsia="en-GB"/>
              </w:rPr>
              <w:t>suvremeni</w:t>
            </w:r>
            <w:proofErr w:type="spellEnd"/>
            <w:r w:rsidRPr="00DF4CE5">
              <w:rPr>
                <w:rFonts w:ascii="Cambria" w:eastAsia="Times New Roman" w:hAnsi="Cambria" w:cs="Calibri"/>
                <w:lang w:val="it-IT" w:eastAsia="en-GB"/>
              </w:rPr>
              <w:t xml:space="preserve"> </w:t>
            </w:r>
            <w:proofErr w:type="spellStart"/>
            <w:r w:rsidRPr="00DF4CE5">
              <w:rPr>
                <w:rFonts w:ascii="Cambria" w:eastAsia="Times New Roman" w:hAnsi="Cambria" w:cs="Calibri"/>
                <w:lang w:val="it-IT" w:eastAsia="en-GB"/>
              </w:rPr>
              <w:t>metodološki</w:t>
            </w:r>
            <w:proofErr w:type="spellEnd"/>
            <w:r w:rsidRPr="00DF4CE5">
              <w:rPr>
                <w:rFonts w:ascii="Cambria" w:eastAsia="Times New Roman" w:hAnsi="Cambria" w:cs="Calibri"/>
                <w:lang w:val="it-IT" w:eastAsia="en-GB"/>
              </w:rPr>
              <w:t xml:space="preserve"> </w:t>
            </w:r>
            <w:proofErr w:type="spellStart"/>
            <w:proofErr w:type="gramStart"/>
            <w:r w:rsidRPr="00DF4CE5">
              <w:rPr>
                <w:rFonts w:ascii="Cambria" w:eastAsia="Times New Roman" w:hAnsi="Cambria" w:cs="Calibri"/>
                <w:lang w:val="it-IT" w:eastAsia="en-GB"/>
              </w:rPr>
              <w:t>pristup</w:t>
            </w:r>
            <w:proofErr w:type="spellEnd"/>
            <w:r w:rsidRPr="00DF4CE5">
              <w:rPr>
                <w:rFonts w:ascii="Cambria" w:eastAsia="Times New Roman" w:hAnsi="Cambria" w:cs="Calibri"/>
                <w:lang w:val="it-IT" w:eastAsia="en-GB"/>
              </w:rPr>
              <w:t>./</w:t>
            </w:r>
            <w:proofErr w:type="gramEnd"/>
            <w:r w:rsidRPr="00DF4CE5">
              <w:rPr>
                <w:rFonts w:ascii="Cambria" w:eastAsia="Times New Roman" w:hAnsi="Cambria" w:cs="Calibri"/>
                <w:lang w:val="it-IT" w:eastAsia="en-GB"/>
              </w:rPr>
              <w:t xml:space="preserve">/ </w:t>
            </w:r>
            <w:proofErr w:type="spellStart"/>
            <w:r w:rsidRPr="00DF4CE5">
              <w:rPr>
                <w:rFonts w:ascii="Cambria" w:eastAsia="Times New Roman" w:hAnsi="Cambria" w:cs="Calibri"/>
                <w:lang w:val="it-IT" w:eastAsia="en-GB"/>
              </w:rPr>
              <w:t>Napredak</w:t>
            </w:r>
            <w:proofErr w:type="spellEnd"/>
            <w:r w:rsidRPr="00DF4CE5">
              <w:rPr>
                <w:rFonts w:ascii="Cambria" w:eastAsia="Times New Roman" w:hAnsi="Cambria" w:cs="Calibri"/>
                <w:lang w:val="it-IT" w:eastAsia="en-GB"/>
              </w:rPr>
              <w:t>, 145 (2004), 2, str.145-152.</w:t>
            </w:r>
          </w:p>
          <w:p w14:paraId="0DA7663C" w14:textId="77777777" w:rsidR="005005C3" w:rsidRPr="00DF4CE5" w:rsidRDefault="005005C3" w:rsidP="005005C3">
            <w:pPr>
              <w:spacing w:after="0" w:line="240" w:lineRule="auto"/>
              <w:contextualSpacing/>
              <w:jc w:val="both"/>
              <w:rPr>
                <w:rFonts w:ascii="Cambria" w:eastAsia="Times New Roman" w:hAnsi="Cambria" w:cs="Calibri"/>
                <w:lang w:val="it-IT" w:eastAsia="en-GB"/>
              </w:rPr>
            </w:pPr>
            <w:r w:rsidRPr="00DF4CE5">
              <w:rPr>
                <w:rFonts w:ascii="Cambria" w:eastAsia="Times New Roman" w:hAnsi="Cambria" w:cs="Calibri"/>
                <w:lang w:val="it-IT" w:eastAsia="en-GB"/>
              </w:rPr>
              <w:t xml:space="preserve">3. </w:t>
            </w:r>
            <w:proofErr w:type="spellStart"/>
            <w:r w:rsidRPr="00DF4CE5">
              <w:rPr>
                <w:rFonts w:ascii="Cambria" w:eastAsia="Times New Roman" w:hAnsi="Cambria" w:cs="Calibri"/>
                <w:lang w:val="it-IT" w:eastAsia="en-GB"/>
              </w:rPr>
              <w:t>Dobrota</w:t>
            </w:r>
            <w:proofErr w:type="spellEnd"/>
            <w:r w:rsidRPr="00DF4CE5">
              <w:rPr>
                <w:rFonts w:ascii="Cambria" w:eastAsia="Times New Roman" w:hAnsi="Cambria" w:cs="Calibri"/>
                <w:lang w:val="it-IT" w:eastAsia="en-GB"/>
              </w:rPr>
              <w:t xml:space="preserve">, S. (2003). </w:t>
            </w:r>
            <w:proofErr w:type="spellStart"/>
            <w:r w:rsidRPr="00DF4CE5">
              <w:rPr>
                <w:rFonts w:ascii="Cambria" w:eastAsia="Times New Roman" w:hAnsi="Cambria" w:cs="Calibri"/>
                <w:lang w:val="it-IT" w:eastAsia="en-GB"/>
              </w:rPr>
              <w:t>Stvaralaštvo</w:t>
            </w:r>
            <w:proofErr w:type="spellEnd"/>
            <w:r w:rsidRPr="00DF4CE5">
              <w:rPr>
                <w:rFonts w:ascii="Cambria" w:eastAsia="Times New Roman" w:hAnsi="Cambria" w:cs="Calibri"/>
                <w:lang w:val="it-IT" w:eastAsia="en-GB"/>
              </w:rPr>
              <w:t xml:space="preserve"> </w:t>
            </w:r>
            <w:proofErr w:type="spellStart"/>
            <w:r w:rsidRPr="00DF4CE5">
              <w:rPr>
                <w:rFonts w:ascii="Cambria" w:eastAsia="Times New Roman" w:hAnsi="Cambria" w:cs="Calibri"/>
                <w:lang w:val="it-IT" w:eastAsia="en-GB"/>
              </w:rPr>
              <w:t>kao</w:t>
            </w:r>
            <w:proofErr w:type="spellEnd"/>
            <w:r w:rsidRPr="00DF4CE5">
              <w:rPr>
                <w:rFonts w:ascii="Cambria" w:eastAsia="Times New Roman" w:hAnsi="Cambria" w:cs="Calibri"/>
                <w:lang w:val="it-IT" w:eastAsia="en-GB"/>
              </w:rPr>
              <w:t xml:space="preserve"> </w:t>
            </w:r>
            <w:proofErr w:type="spellStart"/>
            <w:r w:rsidRPr="00DF4CE5">
              <w:rPr>
                <w:rFonts w:ascii="Cambria" w:eastAsia="Times New Roman" w:hAnsi="Cambria" w:cs="Calibri"/>
                <w:lang w:val="it-IT" w:eastAsia="en-GB"/>
              </w:rPr>
              <w:t>aktivnost</w:t>
            </w:r>
            <w:proofErr w:type="spellEnd"/>
            <w:r w:rsidRPr="00DF4CE5">
              <w:rPr>
                <w:rFonts w:ascii="Cambria" w:eastAsia="Times New Roman" w:hAnsi="Cambria" w:cs="Calibri"/>
                <w:lang w:val="it-IT" w:eastAsia="en-GB"/>
              </w:rPr>
              <w:t xml:space="preserve"> </w:t>
            </w:r>
            <w:proofErr w:type="spellStart"/>
            <w:r w:rsidRPr="00DF4CE5">
              <w:rPr>
                <w:rFonts w:ascii="Cambria" w:eastAsia="Times New Roman" w:hAnsi="Cambria" w:cs="Calibri"/>
                <w:lang w:val="it-IT" w:eastAsia="en-GB"/>
              </w:rPr>
              <w:t>glazbene</w:t>
            </w:r>
            <w:proofErr w:type="spellEnd"/>
            <w:r w:rsidRPr="00DF4CE5">
              <w:rPr>
                <w:rFonts w:ascii="Cambria" w:eastAsia="Times New Roman" w:hAnsi="Cambria" w:cs="Calibri"/>
                <w:lang w:val="it-IT" w:eastAsia="en-GB"/>
              </w:rPr>
              <w:t xml:space="preserve"> </w:t>
            </w:r>
            <w:proofErr w:type="spellStart"/>
            <w:r w:rsidRPr="00DF4CE5">
              <w:rPr>
                <w:rFonts w:ascii="Cambria" w:eastAsia="Times New Roman" w:hAnsi="Cambria" w:cs="Calibri"/>
                <w:lang w:val="it-IT" w:eastAsia="en-GB"/>
              </w:rPr>
              <w:t>nastave</w:t>
            </w:r>
            <w:proofErr w:type="spellEnd"/>
            <w:r w:rsidRPr="00DF4CE5">
              <w:rPr>
                <w:rFonts w:ascii="Cambria" w:eastAsia="Times New Roman" w:hAnsi="Cambria" w:cs="Calibri"/>
                <w:lang w:val="it-IT" w:eastAsia="en-GB"/>
              </w:rPr>
              <w:t xml:space="preserve"> </w:t>
            </w:r>
            <w:proofErr w:type="spellStart"/>
            <w:r w:rsidRPr="00DF4CE5">
              <w:rPr>
                <w:rFonts w:ascii="Cambria" w:eastAsia="Times New Roman" w:hAnsi="Cambria" w:cs="Calibri"/>
                <w:lang w:val="it-IT" w:eastAsia="en-GB"/>
              </w:rPr>
              <w:t>ranog</w:t>
            </w:r>
            <w:proofErr w:type="spellEnd"/>
            <w:r w:rsidRPr="00DF4CE5">
              <w:rPr>
                <w:rFonts w:ascii="Cambria" w:eastAsia="Times New Roman" w:hAnsi="Cambria" w:cs="Calibri"/>
                <w:lang w:val="it-IT" w:eastAsia="en-GB"/>
              </w:rPr>
              <w:t xml:space="preserve"> </w:t>
            </w:r>
            <w:proofErr w:type="spellStart"/>
            <w:r w:rsidRPr="00DF4CE5">
              <w:rPr>
                <w:rFonts w:ascii="Cambria" w:eastAsia="Times New Roman" w:hAnsi="Cambria" w:cs="Calibri"/>
                <w:lang w:val="it-IT" w:eastAsia="en-GB"/>
              </w:rPr>
              <w:t>školskog</w:t>
            </w:r>
            <w:proofErr w:type="spellEnd"/>
            <w:r w:rsidRPr="00DF4CE5">
              <w:rPr>
                <w:rFonts w:ascii="Cambria" w:eastAsia="Times New Roman" w:hAnsi="Cambria" w:cs="Calibri"/>
                <w:lang w:val="it-IT" w:eastAsia="en-GB"/>
              </w:rPr>
              <w:t xml:space="preserve"> </w:t>
            </w:r>
            <w:proofErr w:type="spellStart"/>
            <w:r w:rsidRPr="00DF4CE5">
              <w:rPr>
                <w:rFonts w:ascii="Cambria" w:eastAsia="Times New Roman" w:hAnsi="Cambria" w:cs="Calibri"/>
                <w:lang w:val="it-IT" w:eastAsia="en-GB"/>
              </w:rPr>
              <w:t>razdoblja</w:t>
            </w:r>
            <w:proofErr w:type="spellEnd"/>
            <w:r w:rsidRPr="00DF4CE5">
              <w:rPr>
                <w:rFonts w:ascii="Cambria" w:eastAsia="Times New Roman" w:hAnsi="Cambria" w:cs="Calibri"/>
                <w:lang w:val="it-IT" w:eastAsia="en-GB"/>
              </w:rPr>
              <w:t xml:space="preserve">. // </w:t>
            </w:r>
            <w:proofErr w:type="spellStart"/>
            <w:r w:rsidRPr="00DF4CE5">
              <w:rPr>
                <w:rFonts w:ascii="Cambria" w:eastAsia="Times New Roman" w:hAnsi="Cambria" w:cs="Calibri"/>
                <w:lang w:val="it-IT" w:eastAsia="en-GB"/>
              </w:rPr>
              <w:t>Metodika</w:t>
            </w:r>
            <w:proofErr w:type="spellEnd"/>
            <w:r w:rsidRPr="00DF4CE5">
              <w:rPr>
                <w:rFonts w:ascii="Cambria" w:eastAsia="Times New Roman" w:hAnsi="Cambria" w:cs="Calibri"/>
                <w:lang w:val="it-IT" w:eastAsia="en-GB"/>
              </w:rPr>
              <w:t xml:space="preserve">, 4 (2003), 7, </w:t>
            </w:r>
            <w:proofErr w:type="spellStart"/>
            <w:r w:rsidRPr="00DF4CE5">
              <w:rPr>
                <w:rFonts w:ascii="Cambria" w:eastAsia="Times New Roman" w:hAnsi="Cambria" w:cs="Calibri"/>
                <w:lang w:val="it-IT" w:eastAsia="en-GB"/>
              </w:rPr>
              <w:t>str</w:t>
            </w:r>
            <w:proofErr w:type="spellEnd"/>
            <w:r w:rsidRPr="00DF4CE5">
              <w:rPr>
                <w:rFonts w:ascii="Cambria" w:eastAsia="Times New Roman" w:hAnsi="Cambria" w:cs="Calibri"/>
                <w:lang w:val="it-IT" w:eastAsia="en-GB"/>
              </w:rPr>
              <w:t>. 202-210.</w:t>
            </w:r>
          </w:p>
          <w:p w14:paraId="6A09BA07" w14:textId="77777777" w:rsidR="005005C3" w:rsidRPr="00DF4CE5" w:rsidRDefault="005005C3" w:rsidP="005005C3">
            <w:pPr>
              <w:spacing w:after="0" w:line="240" w:lineRule="auto"/>
              <w:contextualSpacing/>
              <w:jc w:val="both"/>
              <w:rPr>
                <w:rFonts w:ascii="Cambria" w:eastAsia="Times New Roman" w:hAnsi="Cambria" w:cs="Calibri"/>
                <w:lang w:val="it-IT" w:eastAsia="en-GB"/>
              </w:rPr>
            </w:pPr>
            <w:r w:rsidRPr="00DF4CE5">
              <w:rPr>
                <w:rFonts w:ascii="Cambria" w:eastAsia="Times New Roman" w:hAnsi="Cambria" w:cs="Calibri"/>
                <w:lang w:val="it-IT" w:eastAsia="en-GB"/>
              </w:rPr>
              <w:t xml:space="preserve">4. Motte-Haber, H. (1999). </w:t>
            </w:r>
            <w:proofErr w:type="spellStart"/>
            <w:r w:rsidRPr="00DF4CE5">
              <w:rPr>
                <w:rFonts w:ascii="Cambria" w:eastAsia="Times New Roman" w:hAnsi="Cambria" w:cs="Calibri"/>
                <w:lang w:val="it-IT" w:eastAsia="en-GB"/>
              </w:rPr>
              <w:t>Psihologija</w:t>
            </w:r>
            <w:proofErr w:type="spellEnd"/>
            <w:r w:rsidRPr="00DF4CE5">
              <w:rPr>
                <w:rFonts w:ascii="Cambria" w:eastAsia="Times New Roman" w:hAnsi="Cambria" w:cs="Calibri"/>
                <w:lang w:val="it-IT" w:eastAsia="en-GB"/>
              </w:rPr>
              <w:t xml:space="preserve"> </w:t>
            </w:r>
            <w:proofErr w:type="spellStart"/>
            <w:r w:rsidRPr="00DF4CE5">
              <w:rPr>
                <w:rFonts w:ascii="Cambria" w:eastAsia="Times New Roman" w:hAnsi="Cambria" w:cs="Calibri"/>
                <w:lang w:val="it-IT" w:eastAsia="en-GB"/>
              </w:rPr>
              <w:t>glazbe</w:t>
            </w:r>
            <w:proofErr w:type="spellEnd"/>
            <w:r w:rsidRPr="00DF4CE5">
              <w:rPr>
                <w:rFonts w:ascii="Cambria" w:eastAsia="Times New Roman" w:hAnsi="Cambria" w:cs="Calibri"/>
                <w:lang w:val="it-IT" w:eastAsia="en-GB"/>
              </w:rPr>
              <w:t xml:space="preserve">. – </w:t>
            </w:r>
            <w:proofErr w:type="spellStart"/>
            <w:r w:rsidRPr="00DF4CE5">
              <w:rPr>
                <w:rFonts w:ascii="Cambria" w:eastAsia="Times New Roman" w:hAnsi="Cambria" w:cs="Calibri"/>
                <w:lang w:val="it-IT" w:eastAsia="en-GB"/>
              </w:rPr>
              <w:t>Jastrebarsko</w:t>
            </w:r>
            <w:proofErr w:type="spellEnd"/>
            <w:r w:rsidRPr="00DF4CE5">
              <w:rPr>
                <w:rFonts w:ascii="Cambria" w:eastAsia="Times New Roman" w:hAnsi="Cambria" w:cs="Calibri"/>
                <w:lang w:val="it-IT" w:eastAsia="en-GB"/>
              </w:rPr>
              <w:t xml:space="preserve">: </w:t>
            </w:r>
            <w:proofErr w:type="spellStart"/>
            <w:r w:rsidRPr="00DF4CE5">
              <w:rPr>
                <w:rFonts w:ascii="Cambria" w:eastAsia="Times New Roman" w:hAnsi="Cambria" w:cs="Calibri"/>
                <w:lang w:val="it-IT" w:eastAsia="en-GB"/>
              </w:rPr>
              <w:t>Naklada</w:t>
            </w:r>
            <w:proofErr w:type="spellEnd"/>
            <w:r w:rsidRPr="00DF4CE5">
              <w:rPr>
                <w:rFonts w:ascii="Cambria" w:eastAsia="Times New Roman" w:hAnsi="Cambria" w:cs="Calibri"/>
                <w:lang w:val="it-IT" w:eastAsia="en-GB"/>
              </w:rPr>
              <w:t xml:space="preserve"> Slap.</w:t>
            </w:r>
          </w:p>
          <w:p w14:paraId="12327B28" w14:textId="77777777" w:rsidR="005005C3" w:rsidRPr="00DF4CE5" w:rsidRDefault="005005C3" w:rsidP="005005C3">
            <w:pPr>
              <w:spacing w:after="0" w:line="240" w:lineRule="auto"/>
              <w:contextualSpacing/>
              <w:jc w:val="both"/>
              <w:rPr>
                <w:rFonts w:ascii="Cambria" w:eastAsia="Times New Roman" w:hAnsi="Cambria" w:cs="Calibri"/>
                <w:lang w:val="it-IT" w:eastAsia="en-GB"/>
              </w:rPr>
            </w:pPr>
            <w:r w:rsidRPr="00DF4CE5">
              <w:rPr>
                <w:rFonts w:ascii="Cambria" w:eastAsia="Times New Roman" w:hAnsi="Cambria" w:cs="Calibri"/>
                <w:lang w:val="it-IT" w:eastAsia="en-GB"/>
              </w:rPr>
              <w:t xml:space="preserve">5. Stevanović, M., Stevanović, D. (2004). </w:t>
            </w:r>
            <w:proofErr w:type="spellStart"/>
            <w:r w:rsidRPr="00DF4CE5">
              <w:rPr>
                <w:rFonts w:ascii="Cambria" w:eastAsia="Times New Roman" w:hAnsi="Cambria" w:cs="Calibri"/>
                <w:lang w:val="it-IT" w:eastAsia="en-GB"/>
              </w:rPr>
              <w:t>Predškolsko</w:t>
            </w:r>
            <w:proofErr w:type="spellEnd"/>
            <w:r w:rsidRPr="00DF4CE5">
              <w:rPr>
                <w:rFonts w:ascii="Cambria" w:eastAsia="Times New Roman" w:hAnsi="Cambria" w:cs="Calibri"/>
                <w:lang w:val="it-IT" w:eastAsia="en-GB"/>
              </w:rPr>
              <w:t xml:space="preserve"> </w:t>
            </w:r>
            <w:proofErr w:type="spellStart"/>
            <w:r w:rsidRPr="00DF4CE5">
              <w:rPr>
                <w:rFonts w:ascii="Cambria" w:eastAsia="Times New Roman" w:hAnsi="Cambria" w:cs="Calibri"/>
                <w:lang w:val="it-IT" w:eastAsia="en-GB"/>
              </w:rPr>
              <w:t>dijete</w:t>
            </w:r>
            <w:proofErr w:type="spellEnd"/>
            <w:r w:rsidRPr="00DF4CE5">
              <w:rPr>
                <w:rFonts w:ascii="Cambria" w:eastAsia="Times New Roman" w:hAnsi="Cambria" w:cs="Calibri"/>
                <w:lang w:val="it-IT" w:eastAsia="en-GB"/>
              </w:rPr>
              <w:t xml:space="preserve"> za </w:t>
            </w:r>
            <w:proofErr w:type="spellStart"/>
            <w:r w:rsidRPr="00DF4CE5">
              <w:rPr>
                <w:rFonts w:ascii="Cambria" w:eastAsia="Times New Roman" w:hAnsi="Cambria" w:cs="Calibri"/>
                <w:lang w:val="it-IT" w:eastAsia="en-GB"/>
              </w:rPr>
              <w:t>budućnost</w:t>
            </w:r>
            <w:proofErr w:type="spellEnd"/>
            <w:r w:rsidRPr="00DF4CE5">
              <w:rPr>
                <w:rFonts w:ascii="Cambria" w:eastAsia="Times New Roman" w:hAnsi="Cambria" w:cs="Calibri"/>
                <w:lang w:val="it-IT" w:eastAsia="en-GB"/>
              </w:rPr>
              <w:t xml:space="preserve">. </w:t>
            </w:r>
            <w:proofErr w:type="spellStart"/>
            <w:r w:rsidRPr="00DF4CE5">
              <w:rPr>
                <w:rFonts w:ascii="Cambria" w:eastAsia="Times New Roman" w:hAnsi="Cambria" w:cs="Calibri"/>
                <w:lang w:val="it-IT" w:eastAsia="en-GB"/>
              </w:rPr>
              <w:t>Varaždinske</w:t>
            </w:r>
            <w:proofErr w:type="spellEnd"/>
            <w:r w:rsidRPr="00DF4CE5">
              <w:rPr>
                <w:rFonts w:ascii="Cambria" w:eastAsia="Times New Roman" w:hAnsi="Cambria" w:cs="Calibri"/>
                <w:lang w:val="it-IT" w:eastAsia="en-GB"/>
              </w:rPr>
              <w:t xml:space="preserve"> </w:t>
            </w:r>
            <w:proofErr w:type="spellStart"/>
            <w:r w:rsidRPr="00DF4CE5">
              <w:rPr>
                <w:rFonts w:ascii="Cambria" w:eastAsia="Times New Roman" w:hAnsi="Cambria" w:cs="Calibri"/>
                <w:lang w:val="it-IT" w:eastAsia="en-GB"/>
              </w:rPr>
              <w:t>Toplice</w:t>
            </w:r>
            <w:proofErr w:type="spellEnd"/>
            <w:r w:rsidRPr="00DF4CE5">
              <w:rPr>
                <w:rFonts w:ascii="Cambria" w:eastAsia="Times New Roman" w:hAnsi="Cambria" w:cs="Calibri"/>
                <w:lang w:val="it-IT" w:eastAsia="en-GB"/>
              </w:rPr>
              <w:t xml:space="preserve">: </w:t>
            </w:r>
            <w:proofErr w:type="spellStart"/>
            <w:r w:rsidRPr="00DF4CE5">
              <w:rPr>
                <w:rFonts w:ascii="Cambria" w:eastAsia="Times New Roman" w:hAnsi="Cambria" w:cs="Calibri"/>
                <w:lang w:val="it-IT" w:eastAsia="en-GB"/>
              </w:rPr>
              <w:t>Tonimir</w:t>
            </w:r>
            <w:proofErr w:type="spellEnd"/>
            <w:r w:rsidRPr="00DF4CE5">
              <w:rPr>
                <w:rFonts w:ascii="Cambria" w:eastAsia="Times New Roman" w:hAnsi="Cambria" w:cs="Calibri"/>
                <w:lang w:val="it-IT" w:eastAsia="en-GB"/>
              </w:rPr>
              <w:t xml:space="preserve">. </w:t>
            </w:r>
          </w:p>
          <w:p w14:paraId="35AB747D" w14:textId="77777777" w:rsidR="005005C3" w:rsidRPr="00DF4CE5" w:rsidRDefault="005005C3" w:rsidP="005005C3">
            <w:pPr>
              <w:spacing w:after="0" w:line="240" w:lineRule="auto"/>
              <w:contextualSpacing/>
              <w:jc w:val="both"/>
              <w:rPr>
                <w:rFonts w:ascii="Cambria" w:eastAsia="Times New Roman" w:hAnsi="Cambria" w:cs="Calibri"/>
                <w:lang w:val="it-IT" w:eastAsia="en-GB"/>
              </w:rPr>
            </w:pPr>
            <w:r w:rsidRPr="00DF4CE5">
              <w:rPr>
                <w:rFonts w:ascii="Cambria" w:eastAsia="Times New Roman" w:hAnsi="Cambria" w:cs="Calibri"/>
                <w:lang w:val="it-IT" w:eastAsia="en-GB"/>
              </w:rPr>
              <w:t xml:space="preserve">6. </w:t>
            </w:r>
            <w:proofErr w:type="spellStart"/>
            <w:r w:rsidRPr="00DF4CE5">
              <w:rPr>
                <w:rFonts w:ascii="Cambria" w:eastAsia="Times New Roman" w:hAnsi="Cambria" w:cs="Calibri"/>
                <w:lang w:val="it-IT" w:eastAsia="en-GB"/>
              </w:rPr>
              <w:t>Verdonik</w:t>
            </w:r>
            <w:proofErr w:type="spellEnd"/>
            <w:r w:rsidRPr="00DF4CE5">
              <w:rPr>
                <w:rFonts w:ascii="Cambria" w:eastAsia="Times New Roman" w:hAnsi="Cambria" w:cs="Calibri"/>
                <w:lang w:val="it-IT" w:eastAsia="en-GB"/>
              </w:rPr>
              <w:t xml:space="preserve">, M., </w:t>
            </w:r>
            <w:proofErr w:type="spellStart"/>
            <w:r w:rsidRPr="00DF4CE5">
              <w:rPr>
                <w:rFonts w:ascii="Cambria" w:eastAsia="Times New Roman" w:hAnsi="Cambria" w:cs="Calibri"/>
                <w:lang w:val="it-IT" w:eastAsia="en-GB"/>
              </w:rPr>
              <w:t>Šamanić</w:t>
            </w:r>
            <w:proofErr w:type="spellEnd"/>
            <w:r w:rsidRPr="00DF4CE5">
              <w:rPr>
                <w:rFonts w:ascii="Cambria" w:eastAsia="Times New Roman" w:hAnsi="Cambria" w:cs="Calibri"/>
                <w:lang w:val="it-IT" w:eastAsia="en-GB"/>
              </w:rPr>
              <w:t xml:space="preserve"> S. (2004). </w:t>
            </w:r>
            <w:proofErr w:type="spellStart"/>
            <w:r w:rsidRPr="00DF4CE5">
              <w:rPr>
                <w:rFonts w:ascii="Cambria" w:eastAsia="Times New Roman" w:hAnsi="Cambria" w:cs="Calibri"/>
                <w:lang w:val="it-IT" w:eastAsia="en-GB"/>
              </w:rPr>
              <w:t>Disneyjeva</w:t>
            </w:r>
            <w:proofErr w:type="spellEnd"/>
            <w:r w:rsidRPr="00DF4CE5">
              <w:rPr>
                <w:rFonts w:ascii="Cambria" w:eastAsia="Times New Roman" w:hAnsi="Cambria" w:cs="Calibri"/>
                <w:lang w:val="it-IT" w:eastAsia="en-GB"/>
              </w:rPr>
              <w:t xml:space="preserve"> </w:t>
            </w:r>
            <w:proofErr w:type="spellStart"/>
            <w:r w:rsidRPr="00DF4CE5">
              <w:rPr>
                <w:rFonts w:ascii="Cambria" w:eastAsia="Times New Roman" w:hAnsi="Cambria" w:cs="Calibri"/>
                <w:lang w:val="it-IT" w:eastAsia="en-GB"/>
              </w:rPr>
              <w:t>Fantazija</w:t>
            </w:r>
            <w:proofErr w:type="spellEnd"/>
            <w:r w:rsidRPr="00DF4CE5">
              <w:rPr>
                <w:rFonts w:ascii="Cambria" w:eastAsia="Times New Roman" w:hAnsi="Cambria" w:cs="Calibri"/>
                <w:lang w:val="it-IT" w:eastAsia="en-GB"/>
              </w:rPr>
              <w:t xml:space="preserve"> 2000 i </w:t>
            </w:r>
            <w:proofErr w:type="spellStart"/>
            <w:r w:rsidRPr="00DF4CE5">
              <w:rPr>
                <w:rFonts w:ascii="Cambria" w:eastAsia="Times New Roman" w:hAnsi="Cambria" w:cs="Calibri"/>
                <w:lang w:val="it-IT" w:eastAsia="en-GB"/>
              </w:rPr>
              <w:t>odgoj</w:t>
            </w:r>
            <w:proofErr w:type="spellEnd"/>
            <w:r w:rsidRPr="00DF4CE5">
              <w:rPr>
                <w:rFonts w:ascii="Cambria" w:eastAsia="Times New Roman" w:hAnsi="Cambria" w:cs="Calibri"/>
                <w:lang w:val="it-IT" w:eastAsia="en-GB"/>
              </w:rPr>
              <w:t xml:space="preserve"> </w:t>
            </w:r>
            <w:proofErr w:type="spellStart"/>
            <w:r w:rsidRPr="00DF4CE5">
              <w:rPr>
                <w:rFonts w:ascii="Cambria" w:eastAsia="Times New Roman" w:hAnsi="Cambria" w:cs="Calibri"/>
                <w:lang w:val="it-IT" w:eastAsia="en-GB"/>
              </w:rPr>
              <w:t>mladih</w:t>
            </w:r>
            <w:proofErr w:type="spellEnd"/>
            <w:r w:rsidRPr="00DF4CE5">
              <w:rPr>
                <w:rFonts w:ascii="Cambria" w:eastAsia="Times New Roman" w:hAnsi="Cambria" w:cs="Calibri"/>
                <w:lang w:val="it-IT" w:eastAsia="en-GB"/>
              </w:rPr>
              <w:t xml:space="preserve"> za </w:t>
            </w:r>
            <w:proofErr w:type="spellStart"/>
            <w:r w:rsidRPr="00DF4CE5">
              <w:rPr>
                <w:rFonts w:ascii="Cambria" w:eastAsia="Times New Roman" w:hAnsi="Cambria" w:cs="Calibri"/>
                <w:lang w:val="it-IT" w:eastAsia="en-GB"/>
              </w:rPr>
              <w:t>umjetnost</w:t>
            </w:r>
            <w:proofErr w:type="spellEnd"/>
            <w:r w:rsidRPr="00DF4CE5">
              <w:rPr>
                <w:rFonts w:ascii="Cambria" w:eastAsia="Times New Roman" w:hAnsi="Cambria" w:cs="Calibri"/>
                <w:lang w:val="it-IT" w:eastAsia="en-GB"/>
              </w:rPr>
              <w:t xml:space="preserve">. </w:t>
            </w:r>
            <w:proofErr w:type="spellStart"/>
            <w:r w:rsidRPr="00DF4CE5">
              <w:rPr>
                <w:rFonts w:ascii="Cambria" w:eastAsia="Times New Roman" w:hAnsi="Cambria" w:cs="Calibri"/>
                <w:lang w:val="it-IT" w:eastAsia="en-GB"/>
              </w:rPr>
              <w:t>Metodika</w:t>
            </w:r>
            <w:proofErr w:type="spellEnd"/>
            <w:r w:rsidRPr="00DF4CE5">
              <w:rPr>
                <w:rFonts w:ascii="Cambria" w:eastAsia="Times New Roman" w:hAnsi="Cambria" w:cs="Calibri"/>
                <w:lang w:val="it-IT" w:eastAsia="en-GB"/>
              </w:rPr>
              <w:t xml:space="preserve">: </w:t>
            </w:r>
            <w:proofErr w:type="spellStart"/>
            <w:r w:rsidRPr="00DF4CE5">
              <w:rPr>
                <w:rFonts w:ascii="Cambria" w:eastAsia="Times New Roman" w:hAnsi="Cambria" w:cs="Calibri"/>
                <w:lang w:val="it-IT" w:eastAsia="en-GB"/>
              </w:rPr>
              <w:t>časopis</w:t>
            </w:r>
            <w:proofErr w:type="spellEnd"/>
            <w:r w:rsidRPr="00DF4CE5">
              <w:rPr>
                <w:rFonts w:ascii="Cambria" w:eastAsia="Times New Roman" w:hAnsi="Cambria" w:cs="Calibri"/>
                <w:lang w:val="it-IT" w:eastAsia="en-GB"/>
              </w:rPr>
              <w:t xml:space="preserve"> za </w:t>
            </w:r>
            <w:proofErr w:type="spellStart"/>
            <w:r w:rsidRPr="00DF4CE5">
              <w:rPr>
                <w:rFonts w:ascii="Cambria" w:eastAsia="Times New Roman" w:hAnsi="Cambria" w:cs="Calibri"/>
                <w:lang w:val="it-IT" w:eastAsia="en-GB"/>
              </w:rPr>
              <w:t>teoriju</w:t>
            </w:r>
            <w:proofErr w:type="spellEnd"/>
            <w:r w:rsidRPr="00DF4CE5">
              <w:rPr>
                <w:rFonts w:ascii="Cambria" w:eastAsia="Times New Roman" w:hAnsi="Cambria" w:cs="Calibri"/>
                <w:lang w:val="it-IT" w:eastAsia="en-GB"/>
              </w:rPr>
              <w:t xml:space="preserve"> i </w:t>
            </w:r>
            <w:proofErr w:type="spellStart"/>
            <w:r w:rsidRPr="00DF4CE5">
              <w:rPr>
                <w:rFonts w:ascii="Cambria" w:eastAsia="Times New Roman" w:hAnsi="Cambria" w:cs="Calibri"/>
                <w:lang w:val="it-IT" w:eastAsia="en-GB"/>
              </w:rPr>
              <w:t>praksu</w:t>
            </w:r>
            <w:proofErr w:type="spellEnd"/>
            <w:r w:rsidRPr="00DF4CE5">
              <w:rPr>
                <w:rFonts w:ascii="Cambria" w:eastAsia="Times New Roman" w:hAnsi="Cambria" w:cs="Calibri"/>
                <w:lang w:val="it-IT" w:eastAsia="en-GB"/>
              </w:rPr>
              <w:t xml:space="preserve"> </w:t>
            </w:r>
            <w:proofErr w:type="spellStart"/>
            <w:r w:rsidRPr="00DF4CE5">
              <w:rPr>
                <w:rFonts w:ascii="Cambria" w:eastAsia="Times New Roman" w:hAnsi="Cambria" w:cs="Calibri"/>
                <w:lang w:val="it-IT" w:eastAsia="en-GB"/>
              </w:rPr>
              <w:t>metodika</w:t>
            </w:r>
            <w:proofErr w:type="spellEnd"/>
            <w:r w:rsidRPr="00DF4CE5">
              <w:rPr>
                <w:rFonts w:ascii="Cambria" w:eastAsia="Times New Roman" w:hAnsi="Cambria" w:cs="Calibri"/>
                <w:lang w:val="it-IT" w:eastAsia="en-GB"/>
              </w:rPr>
              <w:t xml:space="preserve"> u </w:t>
            </w:r>
            <w:proofErr w:type="spellStart"/>
            <w:r w:rsidRPr="00DF4CE5">
              <w:rPr>
                <w:rFonts w:ascii="Cambria" w:eastAsia="Times New Roman" w:hAnsi="Cambria" w:cs="Calibri"/>
                <w:lang w:val="it-IT" w:eastAsia="en-GB"/>
              </w:rPr>
              <w:t>predškolskom</w:t>
            </w:r>
            <w:proofErr w:type="spellEnd"/>
            <w:r w:rsidRPr="00DF4CE5">
              <w:rPr>
                <w:rFonts w:ascii="Cambria" w:eastAsia="Times New Roman" w:hAnsi="Cambria" w:cs="Calibri"/>
                <w:lang w:val="it-IT" w:eastAsia="en-GB"/>
              </w:rPr>
              <w:t xml:space="preserve"> </w:t>
            </w:r>
            <w:proofErr w:type="spellStart"/>
            <w:r w:rsidRPr="00DF4CE5">
              <w:rPr>
                <w:rFonts w:ascii="Cambria" w:eastAsia="Times New Roman" w:hAnsi="Cambria" w:cs="Calibri"/>
                <w:lang w:val="it-IT" w:eastAsia="en-GB"/>
              </w:rPr>
              <w:t>odgoju</w:t>
            </w:r>
            <w:proofErr w:type="spellEnd"/>
            <w:r w:rsidRPr="00DF4CE5">
              <w:rPr>
                <w:rFonts w:ascii="Cambria" w:eastAsia="Times New Roman" w:hAnsi="Cambria" w:cs="Calibri"/>
                <w:lang w:val="it-IT" w:eastAsia="en-GB"/>
              </w:rPr>
              <w:t xml:space="preserve">, </w:t>
            </w:r>
            <w:proofErr w:type="spellStart"/>
            <w:r w:rsidRPr="00DF4CE5">
              <w:rPr>
                <w:rFonts w:ascii="Cambria" w:eastAsia="Times New Roman" w:hAnsi="Cambria" w:cs="Calibri"/>
                <w:lang w:val="it-IT" w:eastAsia="en-GB"/>
              </w:rPr>
              <w:t>školskoj</w:t>
            </w:r>
            <w:proofErr w:type="spellEnd"/>
            <w:r w:rsidRPr="00DF4CE5">
              <w:rPr>
                <w:rFonts w:ascii="Cambria" w:eastAsia="Times New Roman" w:hAnsi="Cambria" w:cs="Calibri"/>
                <w:lang w:val="it-IT" w:eastAsia="en-GB"/>
              </w:rPr>
              <w:t xml:space="preserve"> i </w:t>
            </w:r>
            <w:proofErr w:type="spellStart"/>
            <w:r w:rsidRPr="00DF4CE5">
              <w:rPr>
                <w:rFonts w:ascii="Cambria" w:eastAsia="Times New Roman" w:hAnsi="Cambria" w:cs="Calibri"/>
                <w:lang w:val="it-IT" w:eastAsia="en-GB"/>
              </w:rPr>
              <w:t>visokoškolskoj</w:t>
            </w:r>
            <w:proofErr w:type="spellEnd"/>
            <w:r w:rsidRPr="00DF4CE5">
              <w:rPr>
                <w:rFonts w:ascii="Cambria" w:eastAsia="Times New Roman" w:hAnsi="Cambria" w:cs="Calibri"/>
                <w:lang w:val="it-IT" w:eastAsia="en-GB"/>
              </w:rPr>
              <w:t xml:space="preserve"> </w:t>
            </w:r>
            <w:proofErr w:type="spellStart"/>
            <w:r w:rsidRPr="00DF4CE5">
              <w:rPr>
                <w:rFonts w:ascii="Cambria" w:eastAsia="Times New Roman" w:hAnsi="Cambria" w:cs="Calibri"/>
                <w:lang w:val="it-IT" w:eastAsia="en-GB"/>
              </w:rPr>
              <w:t>izobrazbi</w:t>
            </w:r>
            <w:proofErr w:type="spellEnd"/>
            <w:r w:rsidRPr="00DF4CE5">
              <w:rPr>
                <w:rFonts w:ascii="Cambria" w:eastAsia="Times New Roman" w:hAnsi="Cambria" w:cs="Calibri"/>
                <w:lang w:val="it-IT" w:eastAsia="en-GB"/>
              </w:rPr>
              <w:t xml:space="preserve"> / 5 (2004), 9(2); </w:t>
            </w:r>
            <w:proofErr w:type="spellStart"/>
            <w:r w:rsidRPr="00DF4CE5">
              <w:rPr>
                <w:rFonts w:ascii="Cambria" w:eastAsia="Times New Roman" w:hAnsi="Cambria" w:cs="Calibri"/>
                <w:lang w:val="it-IT" w:eastAsia="en-GB"/>
              </w:rPr>
              <w:t>str</w:t>
            </w:r>
            <w:proofErr w:type="spellEnd"/>
            <w:r w:rsidRPr="00DF4CE5">
              <w:rPr>
                <w:rFonts w:ascii="Cambria" w:eastAsia="Times New Roman" w:hAnsi="Cambria" w:cs="Calibri"/>
                <w:lang w:val="it-IT" w:eastAsia="en-GB"/>
              </w:rPr>
              <w:t>. 308-315.</w:t>
            </w:r>
          </w:p>
          <w:p w14:paraId="0DA0B9C7" w14:textId="77777777" w:rsidR="005005C3" w:rsidRPr="00DF4CE5" w:rsidRDefault="005005C3" w:rsidP="005005C3">
            <w:pPr>
              <w:spacing w:after="0" w:line="240" w:lineRule="auto"/>
              <w:jc w:val="both"/>
              <w:rPr>
                <w:rFonts w:ascii="Cambria" w:eastAsia="Times New Roman" w:hAnsi="Cambria" w:cs="Calibri"/>
                <w:lang w:val="hr-HR" w:eastAsia="en-GB"/>
              </w:rPr>
            </w:pPr>
            <w:proofErr w:type="spellStart"/>
            <w:r w:rsidRPr="00DF4CE5">
              <w:rPr>
                <w:rFonts w:ascii="Cambria" w:eastAsia="Times New Roman" w:hAnsi="Cambria" w:cs="Calibri"/>
                <w:lang w:val="it-IT" w:eastAsia="en-GB"/>
              </w:rPr>
              <w:t>Priručna</w:t>
            </w:r>
            <w:proofErr w:type="spellEnd"/>
            <w:r w:rsidRPr="00DF4CE5">
              <w:rPr>
                <w:rFonts w:ascii="Cambria" w:eastAsia="Times New Roman" w:hAnsi="Cambria" w:cs="Calibri"/>
                <w:lang w:val="it-IT" w:eastAsia="en-GB"/>
              </w:rPr>
              <w:t xml:space="preserve">: </w:t>
            </w:r>
            <w:proofErr w:type="spellStart"/>
            <w:r w:rsidRPr="00DF4CE5">
              <w:rPr>
                <w:rFonts w:ascii="Cambria" w:eastAsia="Times New Roman" w:hAnsi="Cambria" w:cs="Calibri"/>
                <w:lang w:val="it-IT" w:eastAsia="en-GB"/>
              </w:rPr>
              <w:t>razne</w:t>
            </w:r>
            <w:proofErr w:type="spellEnd"/>
            <w:r w:rsidRPr="00DF4CE5">
              <w:rPr>
                <w:rFonts w:ascii="Cambria" w:eastAsia="Times New Roman" w:hAnsi="Cambria" w:cs="Calibri"/>
                <w:lang w:val="it-IT" w:eastAsia="en-GB"/>
              </w:rPr>
              <w:t xml:space="preserve"> </w:t>
            </w:r>
            <w:proofErr w:type="spellStart"/>
            <w:r w:rsidRPr="00DF4CE5">
              <w:rPr>
                <w:rFonts w:ascii="Cambria" w:eastAsia="Times New Roman" w:hAnsi="Cambria" w:cs="Calibri"/>
                <w:lang w:val="it-IT" w:eastAsia="en-GB"/>
              </w:rPr>
              <w:t>pjesmarice</w:t>
            </w:r>
            <w:proofErr w:type="spellEnd"/>
            <w:r w:rsidRPr="00DF4CE5">
              <w:rPr>
                <w:rFonts w:ascii="Cambria" w:eastAsia="Times New Roman" w:hAnsi="Cambria" w:cs="Calibri"/>
                <w:lang w:val="it-IT" w:eastAsia="en-GB"/>
              </w:rPr>
              <w:t xml:space="preserve">, </w:t>
            </w:r>
            <w:proofErr w:type="spellStart"/>
            <w:r w:rsidRPr="00DF4CE5">
              <w:rPr>
                <w:rFonts w:ascii="Cambria" w:eastAsia="Times New Roman" w:hAnsi="Cambria" w:cs="Calibri"/>
                <w:lang w:val="it-IT" w:eastAsia="en-GB"/>
              </w:rPr>
              <w:t>slikovnice</w:t>
            </w:r>
            <w:proofErr w:type="spellEnd"/>
            <w:r w:rsidRPr="00DF4CE5">
              <w:rPr>
                <w:rFonts w:ascii="Cambria" w:eastAsia="Times New Roman" w:hAnsi="Cambria" w:cs="Calibri"/>
                <w:lang w:val="it-IT" w:eastAsia="en-GB"/>
              </w:rPr>
              <w:t xml:space="preserve">, </w:t>
            </w:r>
            <w:proofErr w:type="spellStart"/>
            <w:r w:rsidRPr="00DF4CE5">
              <w:rPr>
                <w:rFonts w:ascii="Cambria" w:eastAsia="Times New Roman" w:hAnsi="Cambria" w:cs="Calibri"/>
                <w:lang w:val="it-IT" w:eastAsia="en-GB"/>
              </w:rPr>
              <w:t>zbirke</w:t>
            </w:r>
            <w:proofErr w:type="spellEnd"/>
            <w:r w:rsidRPr="00DF4CE5">
              <w:rPr>
                <w:rFonts w:ascii="Cambria" w:eastAsia="Times New Roman" w:hAnsi="Cambria" w:cs="Calibri"/>
                <w:lang w:val="it-IT" w:eastAsia="en-GB"/>
              </w:rPr>
              <w:t xml:space="preserve"> </w:t>
            </w:r>
            <w:proofErr w:type="spellStart"/>
            <w:r w:rsidRPr="00DF4CE5">
              <w:rPr>
                <w:rFonts w:ascii="Cambria" w:eastAsia="Times New Roman" w:hAnsi="Cambria" w:cs="Calibri"/>
                <w:lang w:val="it-IT" w:eastAsia="en-GB"/>
              </w:rPr>
              <w:t>pjesama</w:t>
            </w:r>
            <w:proofErr w:type="spellEnd"/>
            <w:r w:rsidRPr="00DF4CE5">
              <w:rPr>
                <w:rFonts w:ascii="Cambria" w:eastAsia="Times New Roman" w:hAnsi="Cambria" w:cs="Calibri"/>
                <w:lang w:val="it-IT" w:eastAsia="en-GB"/>
              </w:rPr>
              <w:t>.</w:t>
            </w:r>
          </w:p>
        </w:tc>
      </w:tr>
    </w:tbl>
    <w:p w14:paraId="3101D37B" w14:textId="77777777" w:rsidR="00C106A0" w:rsidRPr="00DF4CE5" w:rsidRDefault="00C106A0" w:rsidP="008B34AF">
      <w:pPr>
        <w:jc w:val="both"/>
        <w:rPr>
          <w:rFonts w:ascii="Cambria" w:eastAsia="Calibri" w:hAnsi="Cambria" w:cs="Times New Roman"/>
          <w:lang w:val="hr-HR"/>
        </w:rPr>
      </w:pPr>
    </w:p>
    <w:tbl>
      <w:tblPr>
        <w:tblW w:w="5000" w:type="pct"/>
        <w:tblLayout w:type="fixed"/>
        <w:tblCellMar>
          <w:left w:w="0" w:type="dxa"/>
          <w:right w:w="0" w:type="dxa"/>
        </w:tblCellMar>
        <w:tblLook w:val="0000" w:firstRow="0" w:lastRow="0" w:firstColumn="0" w:lastColumn="0" w:noHBand="0" w:noVBand="0"/>
      </w:tblPr>
      <w:tblGrid>
        <w:gridCol w:w="2542"/>
        <w:gridCol w:w="2556"/>
        <w:gridCol w:w="98"/>
        <w:gridCol w:w="1092"/>
        <w:gridCol w:w="280"/>
        <w:gridCol w:w="440"/>
        <w:gridCol w:w="1013"/>
        <w:gridCol w:w="1319"/>
      </w:tblGrid>
      <w:tr w:rsidR="000247DA" w:rsidRPr="005C2363" w14:paraId="34AB5ED1" w14:textId="77777777" w:rsidTr="00127501">
        <w:tc>
          <w:tcPr>
            <w:tcW w:w="9340"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90FF80A" w14:textId="77777777" w:rsidR="000247DA" w:rsidRPr="005C2363" w:rsidRDefault="000247DA" w:rsidP="00BB64BF">
            <w:pPr>
              <w:spacing w:after="0" w:line="240" w:lineRule="auto"/>
              <w:jc w:val="right"/>
              <w:rPr>
                <w:rFonts w:ascii="Cambria" w:eastAsia="Times New Roman" w:hAnsi="Cambria" w:cs="Calibri"/>
                <w:b/>
                <w:lang w:val="hr-HR"/>
              </w:rPr>
            </w:pPr>
            <w:r w:rsidRPr="005C2363">
              <w:rPr>
                <w:rFonts w:ascii="Cambria" w:eastAsia="Times New Roman" w:hAnsi="Cambria" w:cs="Calibri"/>
                <w:b/>
                <w:lang w:val="hr-HR"/>
              </w:rPr>
              <w:lastRenderedPageBreak/>
              <w:t>IZVEDBENI PLAN NASTAVE KOLEGIJA</w:t>
            </w:r>
          </w:p>
        </w:tc>
      </w:tr>
      <w:tr w:rsidR="000247DA" w:rsidRPr="005C2363" w14:paraId="6C22269A" w14:textId="77777777" w:rsidTr="00127501">
        <w:tc>
          <w:tcPr>
            <w:tcW w:w="2542" w:type="dxa"/>
            <w:tcBorders>
              <w:top w:val="single" w:sz="8" w:space="0" w:color="000000"/>
              <w:left w:val="single" w:sz="8" w:space="0" w:color="000000"/>
              <w:bottom w:val="single" w:sz="8" w:space="0" w:color="000000"/>
              <w:right w:val="single" w:sz="4" w:space="0" w:color="auto"/>
            </w:tcBorders>
            <w:shd w:val="clear" w:color="auto" w:fill="F3F3F3"/>
            <w:tcMar>
              <w:top w:w="72" w:type="dxa"/>
              <w:left w:w="144" w:type="dxa"/>
              <w:bottom w:w="72" w:type="dxa"/>
              <w:right w:w="144" w:type="dxa"/>
            </w:tcMar>
            <w:vAlign w:val="center"/>
          </w:tcPr>
          <w:p w14:paraId="2D6140D5" w14:textId="77777777" w:rsidR="000247DA" w:rsidRPr="005C2363" w:rsidRDefault="000247DA" w:rsidP="00BB64BF">
            <w:pPr>
              <w:spacing w:after="0" w:line="240" w:lineRule="auto"/>
              <w:rPr>
                <w:rFonts w:ascii="Cambria" w:eastAsia="Times New Roman" w:hAnsi="Cambria" w:cs="Calibri"/>
                <w:lang w:val="hr-HR"/>
              </w:rPr>
            </w:pPr>
            <w:r w:rsidRPr="005C2363">
              <w:rPr>
                <w:rFonts w:ascii="Cambria" w:eastAsia="Times New Roman" w:hAnsi="Cambria" w:cs="Calibri"/>
                <w:lang w:val="hr-HR"/>
              </w:rPr>
              <w:t>Kod i naziv kolegija</w:t>
            </w:r>
          </w:p>
        </w:tc>
        <w:tc>
          <w:tcPr>
            <w:tcW w:w="6798"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0700FB1B" w14:textId="77777777" w:rsidR="000247DA" w:rsidRPr="00DF4CE5" w:rsidRDefault="000247DA" w:rsidP="00BB64BF">
            <w:pPr>
              <w:snapToGrid w:val="0"/>
              <w:spacing w:after="0" w:line="100" w:lineRule="atLeast"/>
              <w:jc w:val="both"/>
              <w:rPr>
                <w:rFonts w:ascii="Cambria" w:eastAsia="Times New Roman" w:hAnsi="Cambria" w:cs="Calibri"/>
                <w:lang w:val="hr-HR"/>
              </w:rPr>
            </w:pPr>
            <w:r w:rsidRPr="00DF4CE5">
              <w:rPr>
                <w:rFonts w:ascii="Cambria" w:eastAsia="Times New Roman" w:hAnsi="Cambria" w:cs="Calibri"/>
                <w:lang w:val="hr-HR"/>
              </w:rPr>
              <w:t>118964</w:t>
            </w:r>
          </w:p>
          <w:p w14:paraId="4BADF879" w14:textId="77777777" w:rsidR="000247DA" w:rsidRPr="00DF4CE5" w:rsidRDefault="000247DA" w:rsidP="00BB64B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Rad s darovitim učenicima</w:t>
            </w:r>
          </w:p>
        </w:tc>
      </w:tr>
      <w:tr w:rsidR="000247DA" w:rsidRPr="000B2D2C" w14:paraId="2F48816D" w14:textId="77777777" w:rsidTr="00127501">
        <w:tc>
          <w:tcPr>
            <w:tcW w:w="2542" w:type="dxa"/>
            <w:tcBorders>
              <w:top w:val="single" w:sz="8" w:space="0" w:color="000000"/>
              <w:left w:val="single" w:sz="8" w:space="0" w:color="000000"/>
              <w:bottom w:val="single" w:sz="8" w:space="0" w:color="000000"/>
              <w:right w:val="single" w:sz="4" w:space="0" w:color="auto"/>
            </w:tcBorders>
            <w:shd w:val="clear" w:color="auto" w:fill="F3F3F3"/>
            <w:tcMar>
              <w:top w:w="72" w:type="dxa"/>
              <w:left w:w="144" w:type="dxa"/>
              <w:bottom w:w="72" w:type="dxa"/>
              <w:right w:w="144" w:type="dxa"/>
            </w:tcMar>
            <w:vAlign w:val="center"/>
          </w:tcPr>
          <w:p w14:paraId="752FCA51" w14:textId="2871D2C5" w:rsidR="000247DA" w:rsidRPr="005C2363" w:rsidRDefault="000247DA" w:rsidP="00BB64BF">
            <w:pPr>
              <w:spacing w:after="0" w:line="240" w:lineRule="auto"/>
              <w:rPr>
                <w:rFonts w:ascii="Cambria" w:eastAsia="Times New Roman" w:hAnsi="Cambria" w:cs="Calibri"/>
                <w:lang w:val="hr-HR"/>
              </w:rPr>
            </w:pPr>
            <w:r w:rsidRPr="005C2363">
              <w:rPr>
                <w:rFonts w:ascii="Cambria" w:eastAsia="Times New Roman" w:hAnsi="Cambria" w:cs="Calibri"/>
                <w:lang w:val="hr-HR"/>
              </w:rPr>
              <w:t>Nastavni</w:t>
            </w:r>
            <w:r w:rsidR="006D2DC3">
              <w:rPr>
                <w:rFonts w:ascii="Cambria" w:eastAsia="Times New Roman" w:hAnsi="Cambria" w:cs="Calibri"/>
                <w:lang w:val="hr-HR"/>
              </w:rPr>
              <w:t>k</w:t>
            </w:r>
          </w:p>
        </w:tc>
        <w:tc>
          <w:tcPr>
            <w:tcW w:w="6798"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457186AD" w14:textId="3915ECEB" w:rsidR="000247DA" w:rsidRPr="00DF4CE5" w:rsidRDefault="006D2DC3" w:rsidP="00BB64BF">
            <w:pPr>
              <w:snapToGrid w:val="0"/>
              <w:spacing w:after="0" w:line="100" w:lineRule="atLeast"/>
              <w:jc w:val="both"/>
              <w:rPr>
                <w:rFonts w:ascii="Cambria" w:eastAsia="Times New Roman" w:hAnsi="Cambria" w:cs="Calibri"/>
                <w:lang w:val="hr-HR"/>
              </w:rPr>
            </w:pPr>
            <w:hyperlink r:id="rId194" w:history="1">
              <w:r w:rsidRPr="006D2DC3">
                <w:rPr>
                  <w:rStyle w:val="Hiperveza"/>
                  <w:rFonts w:ascii="Cambria" w:eastAsia="Times New Roman" w:hAnsi="Cambria" w:cs="Calibri"/>
                  <w:lang w:val="hr-HR"/>
                </w:rPr>
                <w:t>Izv. prof. dr. sc. Andrea Debeljuh</w:t>
              </w:r>
            </w:hyperlink>
            <w:r w:rsidR="000247DA">
              <w:rPr>
                <w:rFonts w:ascii="Cambria" w:eastAsia="Times New Roman" w:hAnsi="Cambria" w:cs="Calibri"/>
                <w:lang w:val="hr-HR"/>
              </w:rPr>
              <w:t xml:space="preserve"> (nositeljica)</w:t>
            </w:r>
          </w:p>
        </w:tc>
      </w:tr>
      <w:tr w:rsidR="000247DA" w:rsidRPr="00D0399C" w14:paraId="7B7E4581" w14:textId="77777777" w:rsidTr="00127501">
        <w:tc>
          <w:tcPr>
            <w:tcW w:w="2542" w:type="dxa"/>
            <w:tcBorders>
              <w:top w:val="single" w:sz="8" w:space="0" w:color="000000"/>
              <w:left w:val="single" w:sz="8" w:space="0" w:color="000000"/>
              <w:bottom w:val="single" w:sz="8" w:space="0" w:color="000000"/>
              <w:right w:val="single" w:sz="4" w:space="0" w:color="auto"/>
            </w:tcBorders>
            <w:shd w:val="clear" w:color="auto" w:fill="F3F3F3"/>
            <w:tcMar>
              <w:top w:w="72" w:type="dxa"/>
              <w:left w:w="144" w:type="dxa"/>
              <w:bottom w:w="72" w:type="dxa"/>
              <w:right w:w="144" w:type="dxa"/>
            </w:tcMar>
            <w:vAlign w:val="center"/>
          </w:tcPr>
          <w:p w14:paraId="0B99FFA1" w14:textId="77777777" w:rsidR="000247DA" w:rsidRPr="005C2363" w:rsidRDefault="000247DA" w:rsidP="00BB64BF">
            <w:pPr>
              <w:spacing w:after="0" w:line="240" w:lineRule="auto"/>
              <w:rPr>
                <w:rFonts w:ascii="Cambria" w:eastAsia="Times New Roman" w:hAnsi="Cambria" w:cs="Calibri"/>
                <w:lang w:val="hr-HR"/>
              </w:rPr>
            </w:pPr>
            <w:r w:rsidRPr="005C2363">
              <w:rPr>
                <w:rFonts w:ascii="Cambria" w:eastAsia="Times New Roman" w:hAnsi="Cambria" w:cs="Calibri"/>
                <w:lang w:val="hr-HR"/>
              </w:rPr>
              <w:t>Studijski program</w:t>
            </w:r>
          </w:p>
        </w:tc>
        <w:tc>
          <w:tcPr>
            <w:tcW w:w="6798"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2DF06C7A" w14:textId="77777777" w:rsidR="000247DA" w:rsidRPr="00DF4CE5" w:rsidRDefault="000247DA" w:rsidP="00BB64BF">
            <w:pPr>
              <w:snapToGrid w:val="0"/>
              <w:spacing w:after="0" w:line="100" w:lineRule="atLeast"/>
              <w:jc w:val="both"/>
              <w:rPr>
                <w:rFonts w:ascii="Cambria" w:eastAsia="Times New Roman" w:hAnsi="Cambria" w:cs="Calibri"/>
                <w:lang w:val="hr-HR"/>
              </w:rPr>
            </w:pPr>
            <w:r w:rsidRPr="00DF4CE5">
              <w:rPr>
                <w:rFonts w:ascii="Cambria" w:hAnsi="Cambria"/>
                <w:lang w:val="hr-HR"/>
              </w:rPr>
              <w:t>Sveučilišni integrirani prijediplomski i diplomski Učiteljski studij na hrvatskom jeziku</w:t>
            </w:r>
          </w:p>
        </w:tc>
      </w:tr>
      <w:tr w:rsidR="000247DA" w:rsidRPr="005C2363" w14:paraId="16E900E2" w14:textId="77777777" w:rsidTr="00127501">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63D671E" w14:textId="77777777" w:rsidR="000247DA" w:rsidRPr="005C2363" w:rsidRDefault="000247DA" w:rsidP="00BB64BF">
            <w:pPr>
              <w:spacing w:after="0" w:line="240" w:lineRule="auto"/>
              <w:rPr>
                <w:rFonts w:ascii="Cambria" w:eastAsia="Times New Roman" w:hAnsi="Cambria" w:cs="Calibri"/>
                <w:lang w:val="hr-HR"/>
              </w:rPr>
            </w:pPr>
            <w:r w:rsidRPr="005C2363">
              <w:rPr>
                <w:rFonts w:ascii="Cambria" w:eastAsia="Times New Roman" w:hAnsi="Cambria" w:cs="Calibri"/>
                <w:lang w:val="hr-HR"/>
              </w:rPr>
              <w:t>Vrsta kolegija</w:t>
            </w:r>
          </w:p>
        </w:tc>
        <w:tc>
          <w:tcPr>
            <w:tcW w:w="2556" w:type="dxa"/>
            <w:tcBorders>
              <w:top w:val="single" w:sz="8" w:space="0" w:color="000000"/>
              <w:left w:val="single" w:sz="8" w:space="0" w:color="000000"/>
              <w:bottom w:val="single" w:sz="8" w:space="0" w:color="000000"/>
            </w:tcBorders>
            <w:shd w:val="clear" w:color="auto" w:fill="FFFFFF"/>
            <w:tcMar>
              <w:top w:w="72" w:type="dxa"/>
              <w:left w:w="144" w:type="dxa"/>
              <w:bottom w:w="72" w:type="dxa"/>
              <w:right w:w="144" w:type="dxa"/>
            </w:tcMar>
            <w:vAlign w:val="center"/>
          </w:tcPr>
          <w:p w14:paraId="6CA9AA1C" w14:textId="77777777" w:rsidR="000247DA" w:rsidRPr="00DF4CE5" w:rsidRDefault="000247DA" w:rsidP="00BB64BF">
            <w:pPr>
              <w:snapToGrid w:val="0"/>
              <w:spacing w:after="0" w:line="100" w:lineRule="atLeast"/>
              <w:jc w:val="both"/>
              <w:rPr>
                <w:rFonts w:ascii="Cambria" w:eastAsia="Times New Roman" w:hAnsi="Cambria" w:cs="Calibri"/>
                <w:lang w:val="hr-HR"/>
              </w:rPr>
            </w:pPr>
          </w:p>
          <w:p w14:paraId="43EFE790" w14:textId="1AAE7D5F" w:rsidR="000247DA" w:rsidRPr="00DF4CE5" w:rsidRDefault="000247DA" w:rsidP="00BB64BF">
            <w:pPr>
              <w:spacing w:after="0" w:line="100" w:lineRule="atLeast"/>
              <w:jc w:val="both"/>
              <w:rPr>
                <w:rFonts w:ascii="Cambria" w:eastAsia="Times New Roman" w:hAnsi="Cambria" w:cs="Calibri"/>
                <w:lang w:val="hr-HR"/>
              </w:rPr>
            </w:pPr>
            <w:r>
              <w:rPr>
                <w:rFonts w:ascii="Cambria" w:eastAsia="Times New Roman" w:hAnsi="Cambria" w:cs="Calibri"/>
                <w:lang w:val="hr-HR"/>
              </w:rPr>
              <w:t>i</w:t>
            </w:r>
            <w:r w:rsidRPr="00DF4CE5">
              <w:rPr>
                <w:rFonts w:ascii="Cambria" w:eastAsia="Times New Roman" w:hAnsi="Cambria" w:cs="Calibri"/>
                <w:lang w:val="hr-HR"/>
              </w:rPr>
              <w:t>zborni</w:t>
            </w:r>
          </w:p>
        </w:tc>
        <w:tc>
          <w:tcPr>
            <w:tcW w:w="1470" w:type="dxa"/>
            <w:gridSpan w:val="3"/>
            <w:tcBorders>
              <w:top w:val="single" w:sz="4" w:space="0" w:color="auto"/>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65934EA9" w14:textId="77777777" w:rsidR="000247DA" w:rsidRPr="005C2363" w:rsidRDefault="000247DA" w:rsidP="00BB64BF">
            <w:pPr>
              <w:spacing w:after="0" w:line="240" w:lineRule="auto"/>
              <w:rPr>
                <w:rFonts w:ascii="Cambria" w:eastAsia="Times New Roman" w:hAnsi="Cambria" w:cs="Calibri"/>
                <w:lang w:val="hr-HR"/>
              </w:rPr>
            </w:pPr>
            <w:r w:rsidRPr="005C2363">
              <w:rPr>
                <w:rFonts w:ascii="Cambria" w:eastAsia="Times New Roman" w:hAnsi="Cambria" w:cs="Calibri"/>
                <w:lang w:val="hr-HR"/>
              </w:rPr>
              <w:t>Razina kolegija</w:t>
            </w:r>
          </w:p>
        </w:tc>
        <w:tc>
          <w:tcPr>
            <w:tcW w:w="2772" w:type="dxa"/>
            <w:gridSpan w:val="3"/>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5F3D90F2" w14:textId="77777777" w:rsidR="000247DA" w:rsidRPr="00DF4CE5" w:rsidRDefault="000247DA" w:rsidP="00BB64BF">
            <w:pPr>
              <w:snapToGrid w:val="0"/>
              <w:spacing w:after="0" w:line="100" w:lineRule="atLeast"/>
              <w:jc w:val="both"/>
              <w:rPr>
                <w:rFonts w:ascii="Cambria" w:eastAsia="Times New Roman" w:hAnsi="Cambria" w:cs="Calibri"/>
                <w:lang w:val="hr-HR"/>
              </w:rPr>
            </w:pPr>
          </w:p>
          <w:p w14:paraId="57EE6ECD" w14:textId="77777777" w:rsidR="000247DA" w:rsidRPr="00DF4CE5" w:rsidRDefault="000247DA" w:rsidP="00BB64BF">
            <w:pPr>
              <w:spacing w:after="0" w:line="100" w:lineRule="atLeast"/>
              <w:jc w:val="both"/>
              <w:rPr>
                <w:rFonts w:ascii="Cambria" w:eastAsia="Times New Roman" w:hAnsi="Cambria" w:cs="Calibri"/>
                <w:lang w:val="hr-HR"/>
              </w:rPr>
            </w:pPr>
            <w:proofErr w:type="spellStart"/>
            <w:r w:rsidRPr="00DF4CE5">
              <w:rPr>
                <w:rFonts w:ascii="Cambria" w:eastAsia="Times New Roman" w:hAnsi="Cambria" w:cs="Calibri"/>
              </w:rPr>
              <w:t>integrirani</w:t>
            </w:r>
            <w:proofErr w:type="spellEnd"/>
          </w:p>
          <w:p w14:paraId="711D94F9" w14:textId="77777777" w:rsidR="000247DA" w:rsidRPr="00DF4CE5" w:rsidRDefault="000247DA" w:rsidP="00BB64BF">
            <w:pPr>
              <w:spacing w:after="0" w:line="100" w:lineRule="atLeast"/>
              <w:jc w:val="both"/>
              <w:rPr>
                <w:rFonts w:ascii="Cambria" w:eastAsia="Times New Roman" w:hAnsi="Cambria" w:cs="Calibri"/>
                <w:lang w:val="hr-HR"/>
              </w:rPr>
            </w:pPr>
          </w:p>
        </w:tc>
      </w:tr>
      <w:tr w:rsidR="000247DA" w:rsidRPr="005C2363" w14:paraId="20D972BA" w14:textId="77777777" w:rsidTr="00127501">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3D38B4A" w14:textId="77777777" w:rsidR="000247DA" w:rsidRPr="005C2363" w:rsidRDefault="000247DA" w:rsidP="00BB64BF">
            <w:pPr>
              <w:spacing w:after="0" w:line="240" w:lineRule="auto"/>
              <w:rPr>
                <w:rFonts w:ascii="Cambria" w:eastAsia="Times New Roman" w:hAnsi="Cambria" w:cs="Calibri"/>
                <w:lang w:val="hr-HR"/>
              </w:rPr>
            </w:pPr>
            <w:r w:rsidRPr="005C2363">
              <w:rPr>
                <w:rFonts w:ascii="Cambria" w:eastAsia="Times New Roman" w:hAnsi="Cambria" w:cs="Calibri"/>
                <w:lang w:val="hr-HR"/>
              </w:rPr>
              <w:t>Semestar</w:t>
            </w:r>
          </w:p>
        </w:tc>
        <w:tc>
          <w:tcPr>
            <w:tcW w:w="2556" w:type="dxa"/>
            <w:tcBorders>
              <w:top w:val="single" w:sz="8" w:space="0" w:color="000000"/>
              <w:left w:val="single" w:sz="8" w:space="0" w:color="000000"/>
              <w:bottom w:val="single" w:sz="8" w:space="0" w:color="000000"/>
            </w:tcBorders>
            <w:shd w:val="clear" w:color="auto" w:fill="FFFFFF"/>
            <w:tcMar>
              <w:top w:w="72" w:type="dxa"/>
              <w:left w:w="144" w:type="dxa"/>
              <w:bottom w:w="72" w:type="dxa"/>
              <w:right w:w="144" w:type="dxa"/>
            </w:tcMar>
            <w:vAlign w:val="center"/>
          </w:tcPr>
          <w:p w14:paraId="6593374D" w14:textId="77777777" w:rsidR="000247DA" w:rsidRPr="00DF4CE5" w:rsidRDefault="000247DA" w:rsidP="00BB64BF">
            <w:pPr>
              <w:spacing w:after="0" w:line="100" w:lineRule="atLeast"/>
              <w:jc w:val="both"/>
              <w:rPr>
                <w:rFonts w:ascii="Cambria" w:eastAsia="Times New Roman" w:hAnsi="Cambria" w:cs="Calibri"/>
                <w:lang w:val="hr-HR"/>
              </w:rPr>
            </w:pPr>
          </w:p>
          <w:p w14:paraId="5BBD5F43" w14:textId="77777777" w:rsidR="000247DA" w:rsidRPr="00DF4CE5" w:rsidRDefault="000247DA" w:rsidP="00BB64BF">
            <w:pPr>
              <w:spacing w:after="0" w:line="100" w:lineRule="atLeast"/>
              <w:jc w:val="both"/>
              <w:rPr>
                <w:rFonts w:ascii="Cambria" w:eastAsia="Calibri" w:hAnsi="Cambria" w:cs="Calibri"/>
                <w:b/>
                <w:bCs/>
                <w:lang w:val="hr-HR"/>
              </w:rPr>
            </w:pPr>
            <w:r w:rsidRPr="00DF4CE5">
              <w:rPr>
                <w:rFonts w:ascii="Cambria" w:eastAsia="Times New Roman" w:hAnsi="Cambria" w:cs="Calibri"/>
                <w:lang w:val="hr-HR"/>
              </w:rPr>
              <w:t>ljetni</w:t>
            </w:r>
          </w:p>
          <w:p w14:paraId="0AFC6276" w14:textId="77777777" w:rsidR="000247DA" w:rsidRPr="00DF4CE5" w:rsidRDefault="000247DA" w:rsidP="00BB64BF">
            <w:pPr>
              <w:spacing w:after="0" w:line="100" w:lineRule="atLeast"/>
              <w:jc w:val="both"/>
              <w:rPr>
                <w:rFonts w:ascii="Cambria" w:eastAsia="Calibri" w:hAnsi="Cambria" w:cs="Calibri"/>
                <w:b/>
                <w:bCs/>
                <w:lang w:val="hr-HR"/>
              </w:rPr>
            </w:pPr>
          </w:p>
        </w:tc>
        <w:tc>
          <w:tcPr>
            <w:tcW w:w="1470"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0F5A0989" w14:textId="77777777" w:rsidR="000247DA" w:rsidRPr="005C2363" w:rsidRDefault="000247DA" w:rsidP="00BB64BF">
            <w:pPr>
              <w:spacing w:after="0" w:line="240" w:lineRule="auto"/>
              <w:rPr>
                <w:rFonts w:ascii="Cambria" w:eastAsia="Times New Roman" w:hAnsi="Cambria" w:cs="Calibri"/>
                <w:lang w:val="hr-HR"/>
              </w:rPr>
            </w:pPr>
            <w:r w:rsidRPr="005C2363">
              <w:rPr>
                <w:rFonts w:ascii="Cambria" w:eastAsia="Times New Roman" w:hAnsi="Cambria" w:cs="Calibri"/>
                <w:lang w:val="hr-HR"/>
              </w:rPr>
              <w:t>Godina studija</w:t>
            </w:r>
          </w:p>
        </w:tc>
        <w:tc>
          <w:tcPr>
            <w:tcW w:w="2772" w:type="dxa"/>
            <w:gridSpan w:val="3"/>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0C2C76E2" w14:textId="77777777" w:rsidR="000247DA" w:rsidRPr="00DF4CE5" w:rsidRDefault="000247DA" w:rsidP="00BB64BF">
            <w:pPr>
              <w:snapToGrid w:val="0"/>
              <w:spacing w:after="0" w:line="100" w:lineRule="atLeast"/>
              <w:jc w:val="both"/>
              <w:rPr>
                <w:rFonts w:ascii="Cambria" w:eastAsia="Times New Roman" w:hAnsi="Cambria" w:cs="Calibri"/>
              </w:rPr>
            </w:pPr>
            <w:r w:rsidRPr="00DF4CE5">
              <w:rPr>
                <w:rFonts w:ascii="Cambria" w:eastAsia="Times New Roman" w:hAnsi="Cambria" w:cs="Calibri"/>
                <w:lang w:val="hr-HR"/>
              </w:rPr>
              <w:t>V.</w:t>
            </w:r>
          </w:p>
        </w:tc>
      </w:tr>
      <w:tr w:rsidR="000247DA" w:rsidRPr="005C2363" w14:paraId="73C75F50" w14:textId="77777777" w:rsidTr="00127501">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1130D01" w14:textId="77777777" w:rsidR="000247DA" w:rsidRPr="005C2363" w:rsidRDefault="000247DA" w:rsidP="00BB64BF">
            <w:pPr>
              <w:spacing w:after="0" w:line="240" w:lineRule="auto"/>
              <w:rPr>
                <w:rFonts w:ascii="Cambria" w:eastAsia="Times New Roman" w:hAnsi="Cambria" w:cs="Calibri"/>
                <w:lang w:val="hr-HR"/>
              </w:rPr>
            </w:pPr>
            <w:r w:rsidRPr="005C2363">
              <w:rPr>
                <w:rFonts w:ascii="Cambria" w:eastAsia="Times New Roman" w:hAnsi="Cambria" w:cs="Calibri"/>
                <w:lang w:val="hr-HR"/>
              </w:rPr>
              <w:t>Mjesto izvođenja</w:t>
            </w:r>
          </w:p>
        </w:tc>
        <w:tc>
          <w:tcPr>
            <w:tcW w:w="2556" w:type="dxa"/>
            <w:tcBorders>
              <w:top w:val="single" w:sz="8" w:space="0" w:color="000000"/>
              <w:left w:val="single" w:sz="8" w:space="0" w:color="000000"/>
              <w:bottom w:val="single" w:sz="8" w:space="0" w:color="000000"/>
            </w:tcBorders>
            <w:shd w:val="clear" w:color="auto" w:fill="FFFFFF"/>
            <w:tcMar>
              <w:top w:w="72" w:type="dxa"/>
              <w:left w:w="144" w:type="dxa"/>
              <w:bottom w:w="72" w:type="dxa"/>
              <w:right w:w="144" w:type="dxa"/>
            </w:tcMar>
            <w:vAlign w:val="center"/>
          </w:tcPr>
          <w:p w14:paraId="62E6CB7C" w14:textId="77777777" w:rsidR="000247DA" w:rsidRPr="00DF4CE5" w:rsidRDefault="000247DA" w:rsidP="00BB64BF">
            <w:pPr>
              <w:snapToGrid w:val="0"/>
              <w:spacing w:after="0" w:line="100" w:lineRule="atLeast"/>
              <w:jc w:val="both"/>
              <w:rPr>
                <w:rFonts w:ascii="Cambria" w:eastAsia="Times New Roman" w:hAnsi="Cambria" w:cs="Calibri"/>
                <w:lang w:val="hr-HR"/>
              </w:rPr>
            </w:pPr>
          </w:p>
          <w:p w14:paraId="4B193202" w14:textId="77777777" w:rsidR="000247DA" w:rsidRPr="00DF4CE5" w:rsidRDefault="000247DA" w:rsidP="00BB64BF">
            <w:pPr>
              <w:snapToGrid w:val="0"/>
              <w:spacing w:after="0" w:line="100" w:lineRule="atLeast"/>
              <w:jc w:val="both"/>
              <w:rPr>
                <w:rFonts w:ascii="Cambria" w:eastAsia="Times New Roman" w:hAnsi="Cambria" w:cs="Calibri"/>
                <w:lang w:val="hr-HR"/>
              </w:rPr>
            </w:pPr>
            <w:r w:rsidRPr="00DF4CE5">
              <w:rPr>
                <w:rFonts w:ascii="Cambria" w:eastAsia="Times New Roman" w:hAnsi="Cambria" w:cs="Calibri"/>
                <w:lang w:val="hr-HR"/>
              </w:rPr>
              <w:t>dvorana, škola</w:t>
            </w:r>
          </w:p>
          <w:p w14:paraId="20A04807" w14:textId="77777777" w:rsidR="000247DA" w:rsidRPr="00DF4CE5" w:rsidRDefault="000247DA" w:rsidP="00BB64BF">
            <w:pPr>
              <w:spacing w:after="0" w:line="240" w:lineRule="auto"/>
              <w:jc w:val="both"/>
              <w:rPr>
                <w:rFonts w:ascii="Cambria" w:eastAsia="Times New Roman" w:hAnsi="Cambria" w:cs="Calibri"/>
                <w:lang w:val="hr-HR"/>
              </w:rPr>
            </w:pPr>
          </w:p>
        </w:tc>
        <w:tc>
          <w:tcPr>
            <w:tcW w:w="1470"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3FF7EB17" w14:textId="77777777" w:rsidR="000247DA" w:rsidRPr="005C2363" w:rsidRDefault="000247DA" w:rsidP="00BB64BF">
            <w:pPr>
              <w:spacing w:after="0" w:line="240" w:lineRule="auto"/>
              <w:rPr>
                <w:rFonts w:ascii="Cambria" w:eastAsia="Times New Roman" w:hAnsi="Cambria" w:cs="Calibri"/>
                <w:lang w:val="hr-HR"/>
              </w:rPr>
            </w:pPr>
            <w:r w:rsidRPr="005C2363">
              <w:rPr>
                <w:rFonts w:ascii="Cambria" w:eastAsia="Times New Roman" w:hAnsi="Cambria" w:cs="Calibri"/>
                <w:lang w:val="hr-HR"/>
              </w:rPr>
              <w:t xml:space="preserve">Jezik izvođenja </w:t>
            </w:r>
          </w:p>
        </w:tc>
        <w:tc>
          <w:tcPr>
            <w:tcW w:w="2772" w:type="dxa"/>
            <w:gridSpan w:val="3"/>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2502B430" w14:textId="77777777" w:rsidR="000247DA" w:rsidRPr="00DF4CE5" w:rsidRDefault="000247DA" w:rsidP="00BB64BF">
            <w:pPr>
              <w:snapToGrid w:val="0"/>
              <w:spacing w:after="0" w:line="100" w:lineRule="atLeast"/>
              <w:jc w:val="both"/>
              <w:rPr>
                <w:rFonts w:ascii="Cambria" w:eastAsia="Times New Roman" w:hAnsi="Cambria" w:cs="Calibri"/>
                <w:lang w:val="hr-HR"/>
              </w:rPr>
            </w:pPr>
            <w:r w:rsidRPr="00DF4CE5">
              <w:rPr>
                <w:rFonts w:ascii="Cambria" w:eastAsia="Times New Roman" w:hAnsi="Cambria" w:cs="Calibri"/>
                <w:lang w:val="hr-HR"/>
              </w:rPr>
              <w:t xml:space="preserve">hrvatski </w:t>
            </w:r>
          </w:p>
        </w:tc>
      </w:tr>
      <w:tr w:rsidR="000247DA" w:rsidRPr="005C2363" w14:paraId="722EC2DD" w14:textId="77777777" w:rsidTr="00127501">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2A08403" w14:textId="77777777" w:rsidR="000247DA" w:rsidRPr="005C2363" w:rsidRDefault="000247DA" w:rsidP="00BB64BF">
            <w:pPr>
              <w:spacing w:after="0" w:line="240" w:lineRule="auto"/>
              <w:rPr>
                <w:rFonts w:ascii="Cambria" w:eastAsia="Times New Roman" w:hAnsi="Cambria" w:cs="Calibri"/>
                <w:lang w:val="hr-HR"/>
              </w:rPr>
            </w:pPr>
            <w:r w:rsidRPr="005C2363">
              <w:rPr>
                <w:rFonts w:ascii="Cambria" w:eastAsia="Times New Roman" w:hAnsi="Cambria" w:cs="Calibri"/>
                <w:lang w:val="hr-HR"/>
              </w:rPr>
              <w:t>Broj ECTS bodova</w:t>
            </w:r>
          </w:p>
        </w:tc>
        <w:tc>
          <w:tcPr>
            <w:tcW w:w="2556" w:type="dxa"/>
            <w:tcBorders>
              <w:top w:val="single" w:sz="8" w:space="0" w:color="000000"/>
              <w:left w:val="single" w:sz="8" w:space="0" w:color="000000"/>
              <w:bottom w:val="single" w:sz="8" w:space="0" w:color="000000"/>
            </w:tcBorders>
            <w:shd w:val="clear" w:color="auto" w:fill="FFFFFF"/>
            <w:tcMar>
              <w:top w:w="72" w:type="dxa"/>
              <w:left w:w="144" w:type="dxa"/>
              <w:bottom w:w="72" w:type="dxa"/>
              <w:right w:w="144" w:type="dxa"/>
            </w:tcMar>
            <w:vAlign w:val="center"/>
          </w:tcPr>
          <w:p w14:paraId="22F53BFC" w14:textId="77777777" w:rsidR="000247DA" w:rsidRPr="00DF4CE5" w:rsidRDefault="000247DA" w:rsidP="00BB64BF">
            <w:pPr>
              <w:snapToGrid w:val="0"/>
              <w:spacing w:after="0" w:line="100" w:lineRule="atLeast"/>
              <w:jc w:val="both"/>
              <w:rPr>
                <w:rFonts w:ascii="Cambria" w:eastAsia="Times New Roman" w:hAnsi="Cambria" w:cs="Calibri"/>
                <w:lang w:val="hr-HR"/>
              </w:rPr>
            </w:pPr>
            <w:r w:rsidRPr="00DF4CE5">
              <w:rPr>
                <w:rFonts w:ascii="Cambria" w:eastAsia="Times New Roman" w:hAnsi="Cambria" w:cs="Calibri"/>
                <w:lang w:val="hr-HR"/>
              </w:rPr>
              <w:t>2</w:t>
            </w:r>
          </w:p>
        </w:tc>
        <w:tc>
          <w:tcPr>
            <w:tcW w:w="1470"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350B04AB" w14:textId="77777777" w:rsidR="000247DA" w:rsidRPr="005C2363" w:rsidRDefault="000247DA" w:rsidP="00BB64BF">
            <w:pPr>
              <w:spacing w:after="0" w:line="240" w:lineRule="auto"/>
              <w:rPr>
                <w:rFonts w:ascii="Cambria" w:eastAsia="Times New Roman" w:hAnsi="Cambria" w:cs="Calibri"/>
                <w:lang w:val="hr-HR"/>
              </w:rPr>
            </w:pPr>
            <w:r w:rsidRPr="005C2363">
              <w:rPr>
                <w:rFonts w:ascii="Cambria" w:eastAsia="Times New Roman" w:hAnsi="Cambria" w:cs="Calibri"/>
                <w:lang w:val="hr-HR"/>
              </w:rPr>
              <w:t>Broj sati u semestru</w:t>
            </w:r>
          </w:p>
        </w:tc>
        <w:tc>
          <w:tcPr>
            <w:tcW w:w="2772" w:type="dxa"/>
            <w:gridSpan w:val="3"/>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02BEF0F6" w14:textId="77777777" w:rsidR="000247DA" w:rsidRPr="00DF4CE5" w:rsidRDefault="000247DA" w:rsidP="00BB64BF">
            <w:pPr>
              <w:spacing w:after="0" w:line="100" w:lineRule="atLeast"/>
              <w:jc w:val="both"/>
              <w:rPr>
                <w:rFonts w:ascii="Cambria" w:eastAsia="Times New Roman" w:hAnsi="Cambria" w:cs="Calibri"/>
                <w:lang w:val="hr-HR"/>
              </w:rPr>
            </w:pPr>
            <w:r w:rsidRPr="00DF4CE5">
              <w:rPr>
                <w:rFonts w:ascii="Cambria" w:eastAsia="Times New Roman" w:hAnsi="Cambria" w:cs="Calibri"/>
                <w:lang w:val="hr-HR"/>
              </w:rPr>
              <w:t xml:space="preserve">15P – 0S – 15V   </w:t>
            </w:r>
          </w:p>
        </w:tc>
      </w:tr>
      <w:tr w:rsidR="000247DA" w:rsidRPr="003341BD" w14:paraId="0646AD98" w14:textId="77777777" w:rsidTr="00127501">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6F68CA8" w14:textId="77777777" w:rsidR="000247DA" w:rsidRPr="005C2363" w:rsidRDefault="000247DA" w:rsidP="00BB64BF">
            <w:pPr>
              <w:spacing w:after="0" w:line="240" w:lineRule="auto"/>
              <w:rPr>
                <w:rFonts w:ascii="Cambria" w:eastAsia="Times New Roman" w:hAnsi="Cambria" w:cs="Calibri"/>
                <w:lang w:val="hr-HR"/>
              </w:rPr>
            </w:pPr>
            <w:r w:rsidRPr="005C2363">
              <w:rPr>
                <w:rFonts w:ascii="Cambria" w:eastAsia="Times New Roman" w:hAnsi="Cambria" w:cs="Calibri"/>
                <w:lang w:val="hr-HR"/>
              </w:rPr>
              <w:t>Preduvjeti za upis i za svladavanje</w:t>
            </w:r>
          </w:p>
        </w:tc>
        <w:tc>
          <w:tcPr>
            <w:tcW w:w="6798"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3B7EB085" w14:textId="77777777" w:rsidR="000247DA" w:rsidRPr="00DF4CE5" w:rsidRDefault="000247DA" w:rsidP="00BB64BF">
            <w:pPr>
              <w:snapToGrid w:val="0"/>
              <w:spacing w:after="0" w:line="100" w:lineRule="atLeast"/>
              <w:jc w:val="both"/>
              <w:rPr>
                <w:rFonts w:ascii="Cambria" w:eastAsia="Times New Roman" w:hAnsi="Cambria" w:cs="Calibri"/>
                <w:lang w:val="hr-HR"/>
              </w:rPr>
            </w:pPr>
            <w:r w:rsidRPr="00DF4CE5">
              <w:rPr>
                <w:rFonts w:ascii="Cambria" w:eastAsia="Times New Roman" w:hAnsi="Cambria" w:cs="Calibri"/>
                <w:lang w:val="hr-HR"/>
              </w:rPr>
              <w:t>Nema preduvjeta za upis.</w:t>
            </w:r>
          </w:p>
        </w:tc>
      </w:tr>
      <w:tr w:rsidR="000247DA" w:rsidRPr="00D0399C" w14:paraId="0D5DE7CB" w14:textId="77777777" w:rsidTr="00127501">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07E5A70" w14:textId="77777777" w:rsidR="000247DA" w:rsidRPr="005C2363" w:rsidRDefault="000247DA" w:rsidP="00BB64BF">
            <w:pPr>
              <w:spacing w:after="0" w:line="240" w:lineRule="auto"/>
              <w:rPr>
                <w:rFonts w:ascii="Cambria" w:eastAsia="Times New Roman" w:hAnsi="Cambria" w:cs="Calibri"/>
                <w:lang w:val="hr-HR"/>
              </w:rPr>
            </w:pPr>
            <w:proofErr w:type="spellStart"/>
            <w:r w:rsidRPr="005C2363">
              <w:rPr>
                <w:rFonts w:ascii="Cambria" w:eastAsia="Times New Roman" w:hAnsi="Cambria" w:cs="Calibri"/>
                <w:lang w:val="hr-HR"/>
              </w:rPr>
              <w:t>Korelativnost</w:t>
            </w:r>
            <w:proofErr w:type="spellEnd"/>
          </w:p>
        </w:tc>
        <w:tc>
          <w:tcPr>
            <w:tcW w:w="6798"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6A6059B2" w14:textId="77777777" w:rsidR="000247DA" w:rsidRPr="00DF4CE5" w:rsidRDefault="000247DA" w:rsidP="00BB64BF">
            <w:pPr>
              <w:snapToGrid w:val="0"/>
              <w:spacing w:after="0" w:line="100" w:lineRule="atLeast"/>
              <w:jc w:val="both"/>
              <w:rPr>
                <w:rFonts w:ascii="Cambria" w:eastAsia="Times New Roman" w:hAnsi="Cambria" w:cs="Calibri"/>
                <w:lang w:val="hr-HR"/>
              </w:rPr>
            </w:pPr>
            <w:r w:rsidRPr="00DF4CE5">
              <w:rPr>
                <w:rFonts w:ascii="Cambria" w:eastAsia="Times New Roman" w:hAnsi="Cambria" w:cs="Calibri"/>
                <w:lang w:val="hr-HR"/>
              </w:rPr>
              <w:t xml:space="preserve">Pedagogija, Opća psihologija, Razvojna psihologija, Edukacijska psihologija, Obiteljska pedagogija, Didaktička </w:t>
            </w:r>
            <w:proofErr w:type="spellStart"/>
            <w:r w:rsidRPr="00DF4CE5">
              <w:rPr>
                <w:rFonts w:ascii="Cambria" w:eastAsia="Times New Roman" w:hAnsi="Cambria" w:cs="Calibri"/>
                <w:lang w:val="hr-HR"/>
              </w:rPr>
              <w:t>dokimoogija</w:t>
            </w:r>
            <w:proofErr w:type="spellEnd"/>
            <w:r w:rsidRPr="00DF4CE5">
              <w:rPr>
                <w:rFonts w:ascii="Cambria" w:eastAsia="Times New Roman" w:hAnsi="Cambria" w:cs="Calibri"/>
                <w:lang w:val="hr-HR"/>
              </w:rPr>
              <w:t>, Metodike</w:t>
            </w:r>
          </w:p>
        </w:tc>
      </w:tr>
      <w:tr w:rsidR="000247DA" w:rsidRPr="00D0399C" w14:paraId="00B5AE61" w14:textId="77777777" w:rsidTr="00127501">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6922053" w14:textId="77777777" w:rsidR="000247DA" w:rsidRPr="005C2363" w:rsidRDefault="000247DA" w:rsidP="00BB64BF">
            <w:pPr>
              <w:spacing w:after="0" w:line="240" w:lineRule="auto"/>
              <w:rPr>
                <w:rFonts w:ascii="Cambria" w:eastAsia="Times New Roman" w:hAnsi="Cambria" w:cs="Calibri"/>
                <w:lang w:val="hr-HR"/>
              </w:rPr>
            </w:pPr>
            <w:r w:rsidRPr="005C2363">
              <w:rPr>
                <w:rFonts w:ascii="Cambria" w:eastAsia="Times New Roman" w:hAnsi="Cambria" w:cs="Calibri"/>
                <w:lang w:val="hr-HR"/>
              </w:rPr>
              <w:t xml:space="preserve">Cilj kolegija </w:t>
            </w:r>
          </w:p>
        </w:tc>
        <w:tc>
          <w:tcPr>
            <w:tcW w:w="6798"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0EEEF83B" w14:textId="77777777" w:rsidR="000247DA" w:rsidRPr="00DF4CE5" w:rsidRDefault="000247DA" w:rsidP="00BB64BF">
            <w:pPr>
              <w:spacing w:after="0" w:line="240" w:lineRule="auto"/>
              <w:jc w:val="both"/>
              <w:rPr>
                <w:rFonts w:ascii="Cambria" w:eastAsia="Times New Roman" w:hAnsi="Cambria" w:cs="Calibri"/>
                <w:lang w:val="hr-HR" w:eastAsia="hr-HR"/>
              </w:rPr>
            </w:pPr>
            <w:r w:rsidRPr="00DF4CE5">
              <w:rPr>
                <w:rFonts w:ascii="Cambria" w:eastAsia="Times New Roman" w:hAnsi="Cambria" w:cs="Calibri"/>
                <w:lang w:val="hr-HR" w:eastAsia="hr-HR"/>
              </w:rPr>
              <w:t xml:space="preserve">usvojiti kompetencije za objašnjavanje glavnih </w:t>
            </w:r>
            <w:proofErr w:type="spellStart"/>
            <w:r w:rsidRPr="00DF4CE5">
              <w:rPr>
                <w:rFonts w:ascii="Cambria" w:eastAsia="Times New Roman" w:hAnsi="Cambria" w:cs="Calibri"/>
                <w:lang w:val="hr-HR" w:eastAsia="hr-HR"/>
              </w:rPr>
              <w:t>krakteristika</w:t>
            </w:r>
            <w:proofErr w:type="spellEnd"/>
            <w:r w:rsidRPr="00DF4CE5">
              <w:rPr>
                <w:rFonts w:ascii="Cambria" w:eastAsia="Times New Roman" w:hAnsi="Cambria" w:cs="Calibri"/>
                <w:lang w:val="hr-HR" w:eastAsia="hr-HR"/>
              </w:rPr>
              <w:t xml:space="preserve"> darovitosti radi uočavanja darovitih učenika i radi ostvarivanja posebnih potreba u odgojno-obrazovnoj ustanovi</w:t>
            </w:r>
          </w:p>
        </w:tc>
      </w:tr>
      <w:tr w:rsidR="000247DA" w:rsidRPr="00D0399C" w14:paraId="087F8BAD" w14:textId="77777777" w:rsidTr="00127501">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4EF6287" w14:textId="77777777" w:rsidR="000247DA" w:rsidRPr="005C2363" w:rsidRDefault="000247DA" w:rsidP="00BB64BF">
            <w:pPr>
              <w:spacing w:after="0" w:line="240" w:lineRule="auto"/>
              <w:rPr>
                <w:rFonts w:ascii="Cambria" w:eastAsia="Times New Roman" w:hAnsi="Cambria" w:cs="Calibri"/>
                <w:lang w:val="hr-HR"/>
              </w:rPr>
            </w:pPr>
            <w:r w:rsidRPr="005C2363">
              <w:rPr>
                <w:rFonts w:ascii="Cambria" w:eastAsia="Times New Roman" w:hAnsi="Cambria" w:cs="Calibri"/>
                <w:lang w:val="hr-HR"/>
              </w:rPr>
              <w:t>Ishodi učenja</w:t>
            </w:r>
          </w:p>
        </w:tc>
        <w:tc>
          <w:tcPr>
            <w:tcW w:w="6798"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7EA3C416" w14:textId="61E919C0" w:rsidR="000247DA" w:rsidRPr="00DF4CE5" w:rsidRDefault="000247DA" w:rsidP="00BB64BF">
            <w:pPr>
              <w:snapToGrid w:val="0"/>
              <w:spacing w:after="0" w:line="100" w:lineRule="atLeast"/>
              <w:jc w:val="both"/>
              <w:rPr>
                <w:rFonts w:ascii="Cambria" w:eastAsia="Times New Roman" w:hAnsi="Cambria" w:cs="Calibri"/>
                <w:lang w:val="hr-HR"/>
              </w:rPr>
            </w:pPr>
            <w:r w:rsidRPr="00DF4CE5">
              <w:rPr>
                <w:rFonts w:ascii="Cambria" w:eastAsia="Times New Roman" w:hAnsi="Cambria" w:cs="Calibri"/>
                <w:lang w:val="hr-HR"/>
              </w:rPr>
              <w:t xml:space="preserve">1. </w:t>
            </w:r>
            <w:r>
              <w:rPr>
                <w:rFonts w:ascii="Cambria" w:eastAsia="Times New Roman" w:hAnsi="Cambria" w:cs="Calibri"/>
                <w:lang w:val="hr-HR"/>
              </w:rPr>
              <w:t>r</w:t>
            </w:r>
            <w:r w:rsidRPr="00DF4CE5">
              <w:rPr>
                <w:rFonts w:ascii="Cambria" w:eastAsia="Times New Roman" w:hAnsi="Cambria" w:cs="Calibri"/>
                <w:lang w:val="hr-HR"/>
              </w:rPr>
              <w:t>azumjeti osnovne pojmove talenta, darovitosti i genijalnosti i različita shvaćanja darovitosti</w:t>
            </w:r>
          </w:p>
          <w:p w14:paraId="6BA66CA3" w14:textId="77777777" w:rsidR="000247DA" w:rsidRPr="00DF4CE5" w:rsidRDefault="000247DA" w:rsidP="00BB64B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2. provesti postupak prepoznavanja darovitog </w:t>
            </w:r>
          </w:p>
          <w:p w14:paraId="6AA291BD" w14:textId="77777777" w:rsidR="000247DA" w:rsidRPr="00DF4CE5" w:rsidRDefault="000247DA" w:rsidP="00BB64B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učenika</w:t>
            </w:r>
          </w:p>
          <w:p w14:paraId="79BDE87B" w14:textId="49BCA3D5" w:rsidR="000247DA" w:rsidRPr="00DF4CE5" w:rsidRDefault="000247DA" w:rsidP="00BB64B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3. </w:t>
            </w:r>
            <w:r>
              <w:rPr>
                <w:rFonts w:ascii="Cambria" w:eastAsia="Times New Roman" w:hAnsi="Cambria" w:cs="Calibri"/>
                <w:lang w:val="hr-HR"/>
              </w:rPr>
              <w:t>p</w:t>
            </w:r>
            <w:r w:rsidRPr="00DF4CE5">
              <w:rPr>
                <w:rFonts w:ascii="Cambria" w:eastAsia="Times New Roman" w:hAnsi="Cambria" w:cs="Calibri"/>
                <w:lang w:val="hr-HR"/>
              </w:rPr>
              <w:t xml:space="preserve">rimijeniti pojedine oblike odgojno-obrazovne potpore </w:t>
            </w:r>
          </w:p>
          <w:p w14:paraId="058CBB50" w14:textId="77777777" w:rsidR="000247DA" w:rsidRPr="00DF4CE5" w:rsidRDefault="000247DA" w:rsidP="00BB64B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darovitim pojedincima kao što su akceleracija, izdvajanje i </w:t>
            </w:r>
          </w:p>
          <w:p w14:paraId="02FA8CA9" w14:textId="77777777" w:rsidR="000247DA" w:rsidRPr="00DF4CE5" w:rsidRDefault="000247DA" w:rsidP="00BB64B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obogaćivanje programa</w:t>
            </w:r>
          </w:p>
          <w:p w14:paraId="60F2E365" w14:textId="77777777" w:rsidR="000247DA" w:rsidRPr="00DF4CE5" w:rsidRDefault="000247DA" w:rsidP="00BB64B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4. pravilno primijeniti spoznaje o osobinama darovite djece i učitelja, o ulozi obitelji, o iskustvima iz neposredne odgojno-obrazovne prakse, o načelima sastavljanju programa za darovite u školi te o razvoju sustavne brige za darovite</w:t>
            </w:r>
          </w:p>
          <w:p w14:paraId="69554D33" w14:textId="330C5983" w:rsidR="000247DA" w:rsidRPr="00DF4CE5" w:rsidRDefault="000247DA" w:rsidP="000247DA">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5. primijeniti pozitivan odnos s roditeljima potencijalno darovite djece</w:t>
            </w:r>
          </w:p>
        </w:tc>
      </w:tr>
      <w:tr w:rsidR="000247DA" w:rsidRPr="00D0399C" w14:paraId="5C283535" w14:textId="77777777" w:rsidTr="00127501">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201E1FC6" w14:textId="77777777" w:rsidR="000247DA" w:rsidRPr="005C2363" w:rsidRDefault="000247DA" w:rsidP="00BB64BF">
            <w:pPr>
              <w:spacing w:after="0" w:line="240" w:lineRule="auto"/>
              <w:rPr>
                <w:rFonts w:ascii="Cambria" w:eastAsia="Times New Roman" w:hAnsi="Cambria" w:cs="Calibri"/>
                <w:lang w:val="hr-HR"/>
              </w:rPr>
            </w:pPr>
            <w:r w:rsidRPr="005C2363">
              <w:rPr>
                <w:rFonts w:ascii="Cambria" w:eastAsia="Times New Roman" w:hAnsi="Cambria" w:cs="Calibri"/>
                <w:lang w:val="hr-HR"/>
              </w:rPr>
              <w:t>Sadržaj kolegija</w:t>
            </w:r>
          </w:p>
        </w:tc>
        <w:tc>
          <w:tcPr>
            <w:tcW w:w="6798" w:type="dxa"/>
            <w:gridSpan w:val="7"/>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14:paraId="5E2EE762" w14:textId="77777777" w:rsidR="000247DA" w:rsidRPr="00DF4CE5" w:rsidRDefault="000247DA" w:rsidP="00BB64B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1. Osnovni pojmovi (inteligencija, darovitost, talentiranost)</w:t>
            </w:r>
          </w:p>
          <w:p w14:paraId="486F9170" w14:textId="77777777" w:rsidR="000247DA" w:rsidRPr="00DF4CE5" w:rsidRDefault="000247DA" w:rsidP="00BB64B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2. Teorijski pravci o darovitosti i njihov utjecaj na oblike poticanja darovitih pojedinaca </w:t>
            </w:r>
          </w:p>
          <w:p w14:paraId="7B2B52AC" w14:textId="77777777" w:rsidR="000247DA" w:rsidRPr="00DF4CE5" w:rsidRDefault="000247DA" w:rsidP="00BB64BF">
            <w:pPr>
              <w:snapToGrid w:val="0"/>
              <w:spacing w:after="0" w:line="100" w:lineRule="atLeast"/>
              <w:jc w:val="both"/>
              <w:rPr>
                <w:rFonts w:ascii="Cambria" w:eastAsia="Times New Roman" w:hAnsi="Cambria" w:cs="Calibri"/>
                <w:lang w:val="hr-HR"/>
              </w:rPr>
            </w:pPr>
            <w:r w:rsidRPr="00DF4CE5">
              <w:rPr>
                <w:rFonts w:ascii="Cambria" w:eastAsia="Times New Roman" w:hAnsi="Cambria" w:cs="Calibri"/>
                <w:lang w:val="hr-HR"/>
              </w:rPr>
              <w:t>3. Identifikacija darovitosti (metodološki problemi, moguće posljedice identifikacije, interdisciplinarni pristup identifikaciji, uloga učitelja u procesu otkrivanja darovitih)</w:t>
            </w:r>
          </w:p>
          <w:p w14:paraId="480F7A48" w14:textId="77777777" w:rsidR="000247DA" w:rsidRPr="00DF4CE5" w:rsidRDefault="000247DA" w:rsidP="00BB64B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lastRenderedPageBreak/>
              <w:t xml:space="preserve">4. Osobine darovitih pojedinaca (socijalno i emocionalno funkcioniranje, </w:t>
            </w:r>
            <w:proofErr w:type="spellStart"/>
            <w:r w:rsidRPr="00DF4CE5">
              <w:rPr>
                <w:rFonts w:ascii="Cambria" w:eastAsia="Times New Roman" w:hAnsi="Cambria" w:cs="Calibri"/>
                <w:lang w:val="hr-HR"/>
              </w:rPr>
              <w:t>motivacija,kognitivne</w:t>
            </w:r>
            <w:proofErr w:type="spellEnd"/>
            <w:r w:rsidRPr="00DF4CE5">
              <w:rPr>
                <w:rFonts w:ascii="Cambria" w:eastAsia="Times New Roman" w:hAnsi="Cambria" w:cs="Calibri"/>
                <w:lang w:val="hr-HR"/>
              </w:rPr>
              <w:t xml:space="preserve"> potrebe, odgojno-obrazovne potrebe,..)</w:t>
            </w:r>
          </w:p>
          <w:p w14:paraId="14D30848" w14:textId="77777777" w:rsidR="000247DA" w:rsidRPr="00DF4CE5" w:rsidRDefault="000247DA" w:rsidP="00BB64B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5. Uloga obitelji u razvoju darovitih pojedinaca</w:t>
            </w:r>
          </w:p>
          <w:p w14:paraId="7EF169C0" w14:textId="77777777" w:rsidR="000247DA" w:rsidRPr="00DF4CE5" w:rsidRDefault="000247DA" w:rsidP="00BB64BF">
            <w:pPr>
              <w:snapToGrid w:val="0"/>
              <w:spacing w:after="0" w:line="100" w:lineRule="atLeast"/>
              <w:jc w:val="both"/>
              <w:rPr>
                <w:rFonts w:ascii="Cambria" w:eastAsia="Times New Roman" w:hAnsi="Cambria" w:cs="Calibri"/>
                <w:lang w:val="hr-HR"/>
              </w:rPr>
            </w:pPr>
            <w:r w:rsidRPr="00DF4CE5">
              <w:rPr>
                <w:rFonts w:ascii="Cambria" w:eastAsia="Times New Roman" w:hAnsi="Cambria" w:cs="Calibri"/>
                <w:lang w:val="hr-HR"/>
              </w:rPr>
              <w:t>6. Osnovni oblici odgojno-obrazovne potpore darovitim pojedincima (akceleracija, obogaćivanje programa,...)</w:t>
            </w:r>
          </w:p>
          <w:p w14:paraId="0E72E26A" w14:textId="77777777" w:rsidR="000247DA" w:rsidRPr="00DF4CE5" w:rsidRDefault="000247DA" w:rsidP="00BB64B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7. Praćenje darovitih u njihovom razvoju</w:t>
            </w:r>
          </w:p>
          <w:p w14:paraId="6864B321" w14:textId="77777777" w:rsidR="000247DA" w:rsidRPr="00DF4CE5" w:rsidRDefault="000247DA" w:rsidP="00BB64B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8. Razvijanje kreativnosti tijekom života pojedinca s naglaskom na školskoj dobi</w:t>
            </w:r>
          </w:p>
          <w:p w14:paraId="7A38E2C9" w14:textId="77777777" w:rsidR="000247DA" w:rsidRPr="00DF4CE5" w:rsidRDefault="000247DA" w:rsidP="00BB64B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9. Modeli poticanja kreativnosti, kreativne radionice kao oblik poticanja darovitosti</w:t>
            </w:r>
          </w:p>
          <w:p w14:paraId="73612523" w14:textId="77777777" w:rsidR="000247DA" w:rsidRPr="00DF4CE5" w:rsidRDefault="000247DA" w:rsidP="00BB64B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10. Rješavanje problema i kreativna rješenja</w:t>
            </w:r>
          </w:p>
          <w:p w14:paraId="113C94E1" w14:textId="3F841D1D" w:rsidR="000247DA" w:rsidRPr="00DF4CE5" w:rsidRDefault="000247DA" w:rsidP="000247DA">
            <w:pPr>
              <w:snapToGrid w:val="0"/>
              <w:spacing w:after="0" w:line="100" w:lineRule="atLeast"/>
              <w:jc w:val="both"/>
              <w:rPr>
                <w:rFonts w:ascii="Cambria" w:eastAsia="Times New Roman" w:hAnsi="Cambria" w:cs="Calibri"/>
                <w:lang w:val="hr-HR"/>
              </w:rPr>
            </w:pPr>
            <w:r w:rsidRPr="00DF4CE5">
              <w:rPr>
                <w:rFonts w:ascii="Cambria" w:eastAsia="Times New Roman" w:hAnsi="Cambria" w:cs="Calibri"/>
                <w:lang w:val="hr-HR"/>
              </w:rPr>
              <w:t>11.  Osobine učitelja za rad s darovitim pojedincima, mogućnosti stalnog stručnog usavršavanja</w:t>
            </w:r>
          </w:p>
        </w:tc>
      </w:tr>
      <w:tr w:rsidR="000247DA" w:rsidRPr="005C2363" w14:paraId="0D587480" w14:textId="77777777" w:rsidTr="00127501">
        <w:tc>
          <w:tcPr>
            <w:tcW w:w="2542"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0D8E184F" w14:textId="77777777" w:rsidR="000247DA" w:rsidRPr="005C2363" w:rsidRDefault="000247DA" w:rsidP="00BB64BF">
            <w:pPr>
              <w:spacing w:after="0" w:line="240" w:lineRule="auto"/>
              <w:rPr>
                <w:rFonts w:ascii="Cambria" w:eastAsia="Times New Roman" w:hAnsi="Cambria" w:cs="Calibri"/>
                <w:lang w:val="hr-HR"/>
              </w:rPr>
            </w:pPr>
            <w:r w:rsidRPr="005C2363">
              <w:rPr>
                <w:rFonts w:ascii="Cambria" w:eastAsia="Times New Roman" w:hAnsi="Cambria" w:cs="Calibri"/>
                <w:lang w:val="hr-HR"/>
              </w:rPr>
              <w:lastRenderedPageBreak/>
              <w:t>Planirane aktivnosti,</w:t>
            </w:r>
          </w:p>
          <w:p w14:paraId="1F475150" w14:textId="77777777" w:rsidR="000247DA" w:rsidRPr="005C2363" w:rsidRDefault="000247DA" w:rsidP="00BB64BF">
            <w:pPr>
              <w:spacing w:after="0" w:line="240" w:lineRule="auto"/>
              <w:rPr>
                <w:rFonts w:ascii="Cambria" w:eastAsia="Times New Roman" w:hAnsi="Cambria" w:cs="Calibri"/>
                <w:lang w:val="hr-HR"/>
              </w:rPr>
            </w:pPr>
            <w:r w:rsidRPr="005C2363">
              <w:rPr>
                <w:rFonts w:ascii="Cambria" w:eastAsia="Times New Roman" w:hAnsi="Cambria" w:cs="Calibri"/>
                <w:lang w:val="hr-HR"/>
              </w:rPr>
              <w:t>metode učenja i poučavanja i načini vrednovanja</w:t>
            </w:r>
          </w:p>
          <w:p w14:paraId="0E072FE6" w14:textId="77777777" w:rsidR="000247DA" w:rsidRPr="005C2363" w:rsidRDefault="000247DA" w:rsidP="00BB64BF">
            <w:pPr>
              <w:spacing w:after="0" w:line="240" w:lineRule="auto"/>
              <w:rPr>
                <w:rFonts w:ascii="Cambria" w:eastAsia="Times New Roman" w:hAnsi="Cambria" w:cs="Calibri"/>
                <w:lang w:val="hr-HR"/>
              </w:rPr>
            </w:pPr>
          </w:p>
        </w:tc>
        <w:tc>
          <w:tcPr>
            <w:tcW w:w="2654"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4C5491F" w14:textId="77777777" w:rsidR="000247DA" w:rsidRPr="005C2363" w:rsidRDefault="000247DA" w:rsidP="00BB64BF">
            <w:pPr>
              <w:spacing w:after="0" w:line="240" w:lineRule="auto"/>
              <w:jc w:val="center"/>
              <w:rPr>
                <w:rFonts w:ascii="Cambria" w:eastAsia="Times New Roman" w:hAnsi="Cambria" w:cs="Calibri"/>
                <w:lang w:val="hr-HR"/>
              </w:rPr>
            </w:pPr>
            <w:r w:rsidRPr="005C2363">
              <w:rPr>
                <w:rFonts w:ascii="Cambria" w:eastAsia="Times New Roman" w:hAnsi="Cambria" w:cs="Calibri"/>
                <w:bCs/>
                <w:lang w:val="hr-HR"/>
              </w:rPr>
              <w:t>Obveze</w:t>
            </w:r>
          </w:p>
        </w:tc>
        <w:tc>
          <w:tcPr>
            <w:tcW w:w="10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F92F770" w14:textId="77777777" w:rsidR="000247DA" w:rsidRPr="005C2363" w:rsidRDefault="000247DA" w:rsidP="00BB64BF">
            <w:pPr>
              <w:spacing w:after="0" w:line="240" w:lineRule="auto"/>
              <w:jc w:val="center"/>
              <w:rPr>
                <w:rFonts w:ascii="Cambria" w:eastAsia="Times New Roman" w:hAnsi="Cambria" w:cs="Calibri"/>
                <w:bCs/>
                <w:lang w:val="hr-HR"/>
              </w:rPr>
            </w:pPr>
          </w:p>
          <w:p w14:paraId="242B60FA" w14:textId="77777777" w:rsidR="000247DA" w:rsidRPr="005C2363" w:rsidRDefault="000247DA" w:rsidP="00BB64BF">
            <w:pPr>
              <w:spacing w:after="0" w:line="240" w:lineRule="auto"/>
              <w:jc w:val="center"/>
              <w:rPr>
                <w:rFonts w:ascii="Cambria" w:eastAsia="Times New Roman" w:hAnsi="Cambria" w:cs="Calibri"/>
                <w:lang w:val="hr-HR"/>
              </w:rPr>
            </w:pPr>
            <w:r w:rsidRPr="005C2363">
              <w:rPr>
                <w:rFonts w:ascii="Cambria" w:eastAsia="Times New Roman" w:hAnsi="Cambria" w:cs="Calibri"/>
                <w:bCs/>
                <w:lang w:val="hr-HR"/>
              </w:rPr>
              <w:t>Ishodi</w:t>
            </w:r>
          </w:p>
          <w:p w14:paraId="2F340FC4" w14:textId="77777777" w:rsidR="000247DA" w:rsidRPr="005C2363" w:rsidRDefault="000247DA" w:rsidP="00BB64BF">
            <w:pPr>
              <w:spacing w:after="0" w:line="240" w:lineRule="auto"/>
              <w:jc w:val="center"/>
              <w:rPr>
                <w:rFonts w:ascii="Cambria" w:eastAsia="Times New Roman" w:hAnsi="Cambria" w:cs="Calibri"/>
                <w:lang w:val="hr-HR"/>
              </w:rPr>
            </w:pPr>
          </w:p>
        </w:tc>
        <w:tc>
          <w:tcPr>
            <w:tcW w:w="72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B4DADD6" w14:textId="77777777" w:rsidR="000247DA" w:rsidRPr="005C2363" w:rsidRDefault="000247DA" w:rsidP="00BB64BF">
            <w:pPr>
              <w:spacing w:after="0" w:line="240" w:lineRule="auto"/>
              <w:jc w:val="center"/>
              <w:rPr>
                <w:rFonts w:ascii="Cambria" w:eastAsia="Times New Roman" w:hAnsi="Cambria" w:cs="Calibri"/>
                <w:vertAlign w:val="superscript"/>
                <w:lang w:val="hr-HR"/>
              </w:rPr>
            </w:pPr>
            <w:r w:rsidRPr="005C2363">
              <w:rPr>
                <w:rFonts w:ascii="Cambria" w:eastAsia="Times New Roman" w:hAnsi="Cambria" w:cs="Calibri"/>
                <w:bCs/>
                <w:lang w:val="hr-HR"/>
              </w:rPr>
              <w:t>Sati</w:t>
            </w:r>
          </w:p>
        </w:tc>
        <w:tc>
          <w:tcPr>
            <w:tcW w:w="101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E12F090" w14:textId="77777777" w:rsidR="000247DA" w:rsidRPr="005C2363" w:rsidRDefault="000247DA" w:rsidP="00BB64BF">
            <w:pPr>
              <w:spacing w:after="0" w:line="240" w:lineRule="auto"/>
              <w:jc w:val="center"/>
              <w:rPr>
                <w:rFonts w:ascii="Cambria" w:eastAsia="Times New Roman" w:hAnsi="Cambria" w:cs="Calibri"/>
                <w:lang w:val="hr-HR"/>
              </w:rPr>
            </w:pPr>
            <w:r w:rsidRPr="005C2363">
              <w:rPr>
                <w:rFonts w:ascii="Cambria" w:eastAsia="Times New Roman" w:hAnsi="Cambria" w:cs="Calibri"/>
                <w:bCs/>
                <w:lang w:val="hr-HR"/>
              </w:rPr>
              <w:t>ECTS</w:t>
            </w:r>
          </w:p>
        </w:tc>
        <w:tc>
          <w:tcPr>
            <w:tcW w:w="13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7A3AE09" w14:textId="77777777" w:rsidR="000247DA" w:rsidRPr="005C2363" w:rsidRDefault="000247DA" w:rsidP="000247DA">
            <w:pPr>
              <w:spacing w:after="0" w:line="240" w:lineRule="auto"/>
              <w:rPr>
                <w:rFonts w:ascii="Cambria" w:eastAsia="Times New Roman" w:hAnsi="Cambria" w:cs="Calibri"/>
                <w:lang w:val="hr-HR"/>
              </w:rPr>
            </w:pPr>
            <w:r w:rsidRPr="005C2363">
              <w:rPr>
                <w:rFonts w:ascii="Cambria" w:eastAsia="Times New Roman" w:hAnsi="Cambria" w:cs="Calibri"/>
                <w:bCs/>
                <w:lang w:val="hr-HR"/>
              </w:rPr>
              <w:t>Maksimalni udio u ocjeni (%)</w:t>
            </w:r>
          </w:p>
        </w:tc>
      </w:tr>
      <w:tr w:rsidR="000247DA" w:rsidRPr="00347571" w14:paraId="55EF1D03" w14:textId="77777777" w:rsidTr="00127501">
        <w:tc>
          <w:tcPr>
            <w:tcW w:w="2542" w:type="dxa"/>
            <w:vMerge/>
            <w:tcBorders>
              <w:left w:val="single" w:sz="8" w:space="0" w:color="000000"/>
              <w:right w:val="single" w:sz="8" w:space="0" w:color="000000"/>
            </w:tcBorders>
            <w:vAlign w:val="center"/>
          </w:tcPr>
          <w:p w14:paraId="157A1530" w14:textId="77777777" w:rsidR="000247DA" w:rsidRPr="005C2363" w:rsidRDefault="000247DA" w:rsidP="00BB64BF">
            <w:pPr>
              <w:spacing w:after="0" w:line="240" w:lineRule="auto"/>
              <w:rPr>
                <w:rFonts w:ascii="Cambria" w:eastAsia="Times New Roman" w:hAnsi="Cambria" w:cs="Calibri"/>
                <w:lang w:val="hr-HR"/>
              </w:rPr>
            </w:pPr>
          </w:p>
        </w:tc>
        <w:tc>
          <w:tcPr>
            <w:tcW w:w="2654" w:type="dxa"/>
            <w:gridSpan w:val="2"/>
            <w:tcBorders>
              <w:top w:val="single" w:sz="8" w:space="0" w:color="000000"/>
              <w:left w:val="single" w:sz="8" w:space="0" w:color="000000"/>
              <w:bottom w:val="single" w:sz="8" w:space="0" w:color="000000"/>
            </w:tcBorders>
            <w:shd w:val="clear" w:color="auto" w:fill="FFFFFF"/>
            <w:tcMar>
              <w:top w:w="15" w:type="dxa"/>
              <w:left w:w="108" w:type="dxa"/>
              <w:bottom w:w="0" w:type="dxa"/>
              <w:right w:w="108" w:type="dxa"/>
            </w:tcMar>
          </w:tcPr>
          <w:p w14:paraId="078B9F3E" w14:textId="2A5C3130" w:rsidR="000247DA" w:rsidRPr="000247DA" w:rsidRDefault="000247DA" w:rsidP="00BB64BF">
            <w:pPr>
              <w:spacing w:after="0" w:line="100" w:lineRule="atLeast"/>
              <w:rPr>
                <w:rFonts w:ascii="Cambria" w:eastAsia="Times New Roman" w:hAnsi="Cambria" w:cs="Calibri"/>
                <w:lang w:val="it-IT"/>
              </w:rPr>
            </w:pPr>
            <w:proofErr w:type="spellStart"/>
            <w:r w:rsidRPr="000247DA">
              <w:rPr>
                <w:rFonts w:ascii="Cambria" w:eastAsia="Times New Roman" w:hAnsi="Cambria" w:cs="Calibri"/>
                <w:lang w:val="it-IT"/>
              </w:rPr>
              <w:t>interaktivne</w:t>
            </w:r>
            <w:proofErr w:type="spellEnd"/>
            <w:r w:rsidRPr="000247DA">
              <w:rPr>
                <w:rFonts w:ascii="Cambria" w:eastAsia="Times New Roman" w:hAnsi="Cambria" w:cs="Calibri"/>
                <w:lang w:val="it-IT"/>
              </w:rPr>
              <w:t xml:space="preserve"> </w:t>
            </w:r>
            <w:proofErr w:type="spellStart"/>
            <w:r w:rsidRPr="000247DA">
              <w:rPr>
                <w:rFonts w:ascii="Cambria" w:eastAsia="Times New Roman" w:hAnsi="Cambria" w:cs="Calibri"/>
                <w:lang w:val="it-IT"/>
              </w:rPr>
              <w:t>aktivnosti</w:t>
            </w:r>
            <w:proofErr w:type="spellEnd"/>
            <w:r w:rsidRPr="000247DA">
              <w:rPr>
                <w:rFonts w:ascii="Cambria" w:eastAsia="Times New Roman" w:hAnsi="Cambria" w:cs="Calibri"/>
                <w:lang w:val="it-IT"/>
              </w:rPr>
              <w:t xml:space="preserve"> </w:t>
            </w:r>
            <w:proofErr w:type="spellStart"/>
            <w:r w:rsidRPr="000247DA">
              <w:rPr>
                <w:rFonts w:ascii="Cambria" w:eastAsia="Times New Roman" w:hAnsi="Cambria" w:cs="Calibri"/>
                <w:lang w:val="it-IT"/>
              </w:rPr>
              <w:t>na</w:t>
            </w:r>
            <w:proofErr w:type="spellEnd"/>
            <w:r w:rsidRPr="000247DA">
              <w:rPr>
                <w:rFonts w:ascii="Cambria" w:eastAsia="Times New Roman" w:hAnsi="Cambria" w:cs="Calibri"/>
                <w:lang w:val="it-IT"/>
              </w:rPr>
              <w:t xml:space="preserve"> </w:t>
            </w:r>
            <w:proofErr w:type="spellStart"/>
            <w:r w:rsidRPr="000247DA">
              <w:rPr>
                <w:rFonts w:ascii="Cambria" w:eastAsia="Times New Roman" w:hAnsi="Cambria" w:cs="Calibri"/>
                <w:lang w:val="it-IT"/>
              </w:rPr>
              <w:t>nastavi</w:t>
            </w:r>
            <w:proofErr w:type="spellEnd"/>
            <w:r w:rsidRPr="000247DA">
              <w:rPr>
                <w:rFonts w:ascii="Cambria" w:eastAsia="Times New Roman" w:hAnsi="Cambria" w:cs="Calibri"/>
                <w:lang w:val="it-IT"/>
              </w:rPr>
              <w:t xml:space="preserve"> (P</w:t>
            </w:r>
            <w:r>
              <w:rPr>
                <w:rFonts w:ascii="Cambria" w:eastAsia="Times New Roman" w:hAnsi="Cambria" w:cs="Calibri"/>
                <w:lang w:val="it-IT"/>
              </w:rPr>
              <w:t>, V)</w:t>
            </w:r>
          </w:p>
        </w:tc>
        <w:tc>
          <w:tcPr>
            <w:tcW w:w="1092" w:type="dxa"/>
            <w:tcBorders>
              <w:top w:val="single" w:sz="8" w:space="0" w:color="000000"/>
              <w:left w:val="single" w:sz="8" w:space="0" w:color="000000"/>
              <w:bottom w:val="single" w:sz="8" w:space="0" w:color="000000"/>
            </w:tcBorders>
            <w:shd w:val="clear" w:color="auto" w:fill="FFFFFF"/>
            <w:tcMar>
              <w:top w:w="15" w:type="dxa"/>
              <w:left w:w="108" w:type="dxa"/>
              <w:bottom w:w="0" w:type="dxa"/>
              <w:right w:w="108" w:type="dxa"/>
            </w:tcMar>
            <w:vAlign w:val="center"/>
          </w:tcPr>
          <w:p w14:paraId="1268C7F8" w14:textId="384A0FF5" w:rsidR="000247DA" w:rsidRPr="00DF4CE5" w:rsidRDefault="000247DA" w:rsidP="000247DA">
            <w:pPr>
              <w:spacing w:after="0" w:line="100" w:lineRule="atLeast"/>
              <w:jc w:val="center"/>
              <w:rPr>
                <w:rFonts w:ascii="Cambria" w:eastAsia="Times New Roman" w:hAnsi="Cambria" w:cs="Calibri"/>
                <w:lang w:val="hr-HR"/>
              </w:rPr>
            </w:pPr>
            <w:r w:rsidRPr="00DF4CE5">
              <w:rPr>
                <w:rFonts w:ascii="Cambria" w:eastAsia="Times New Roman" w:hAnsi="Cambria" w:cs="Calibri"/>
                <w:lang w:val="hr-HR"/>
              </w:rPr>
              <w:t>1.</w:t>
            </w:r>
            <w:r>
              <w:rPr>
                <w:rFonts w:ascii="Cambria" w:eastAsia="Times New Roman" w:hAnsi="Cambria" w:cs="Calibri"/>
                <w:lang w:val="hr-HR"/>
              </w:rPr>
              <w:t xml:space="preserve"> – </w:t>
            </w:r>
            <w:r w:rsidRPr="00DF4CE5">
              <w:rPr>
                <w:rFonts w:ascii="Cambria" w:eastAsia="Times New Roman" w:hAnsi="Cambria" w:cs="Calibri"/>
                <w:lang w:val="hr-HR"/>
              </w:rPr>
              <w:t>5.</w:t>
            </w:r>
          </w:p>
        </w:tc>
        <w:tc>
          <w:tcPr>
            <w:tcW w:w="720" w:type="dxa"/>
            <w:gridSpan w:val="2"/>
            <w:tcBorders>
              <w:top w:val="single" w:sz="8" w:space="0" w:color="000000"/>
              <w:left w:val="single" w:sz="8" w:space="0" w:color="000000"/>
              <w:bottom w:val="single" w:sz="8" w:space="0" w:color="000000"/>
            </w:tcBorders>
            <w:shd w:val="clear" w:color="auto" w:fill="FFFFFF"/>
            <w:tcMar>
              <w:top w:w="15" w:type="dxa"/>
              <w:left w:w="108" w:type="dxa"/>
              <w:bottom w:w="0" w:type="dxa"/>
              <w:right w:w="108" w:type="dxa"/>
            </w:tcMar>
            <w:vAlign w:val="center"/>
          </w:tcPr>
          <w:p w14:paraId="58CC42A5" w14:textId="0749564E" w:rsidR="000247DA" w:rsidRPr="00DF4CE5" w:rsidRDefault="000247DA" w:rsidP="000247DA">
            <w:pPr>
              <w:spacing w:after="0" w:line="240" w:lineRule="auto"/>
              <w:jc w:val="center"/>
              <w:rPr>
                <w:rFonts w:ascii="Cambria" w:eastAsia="Calibri" w:hAnsi="Cambria" w:cs="Calibri"/>
                <w:lang w:val="hr-HR"/>
              </w:rPr>
            </w:pPr>
            <w:r w:rsidRPr="00DF4CE5">
              <w:rPr>
                <w:rFonts w:ascii="Cambria" w:eastAsia="Calibri" w:hAnsi="Cambria" w:cs="Calibri"/>
                <w:lang w:val="hr-HR"/>
              </w:rPr>
              <w:t>2</w:t>
            </w:r>
            <w:r>
              <w:rPr>
                <w:rFonts w:ascii="Cambria" w:eastAsia="Calibri" w:hAnsi="Cambria" w:cs="Calibri"/>
                <w:lang w:val="hr-HR"/>
              </w:rPr>
              <w:t>3</w:t>
            </w:r>
          </w:p>
        </w:tc>
        <w:tc>
          <w:tcPr>
            <w:tcW w:w="1013" w:type="dxa"/>
            <w:tcBorders>
              <w:top w:val="single" w:sz="8" w:space="0" w:color="000000"/>
              <w:left w:val="single" w:sz="8" w:space="0" w:color="000000"/>
              <w:bottom w:val="single" w:sz="8" w:space="0" w:color="000000"/>
            </w:tcBorders>
            <w:shd w:val="clear" w:color="auto" w:fill="FFFFFF"/>
            <w:tcMar>
              <w:top w:w="15" w:type="dxa"/>
              <w:left w:w="108" w:type="dxa"/>
              <w:bottom w:w="0" w:type="dxa"/>
              <w:right w:w="108" w:type="dxa"/>
            </w:tcMar>
            <w:vAlign w:val="center"/>
          </w:tcPr>
          <w:p w14:paraId="2F258DB5" w14:textId="77777777" w:rsidR="000247DA" w:rsidRPr="00DF4CE5" w:rsidRDefault="000247DA" w:rsidP="000247DA">
            <w:pPr>
              <w:spacing w:after="0" w:line="240" w:lineRule="auto"/>
              <w:jc w:val="center"/>
              <w:rPr>
                <w:rFonts w:ascii="Cambria" w:eastAsia="Calibri" w:hAnsi="Cambria" w:cs="Calibri"/>
                <w:lang w:val="hr-HR"/>
              </w:rPr>
            </w:pPr>
            <w:r w:rsidRPr="00DF4CE5">
              <w:rPr>
                <w:rFonts w:ascii="Cambria" w:eastAsia="Calibri" w:hAnsi="Cambria" w:cs="Calibri"/>
                <w:lang w:val="hr-HR"/>
              </w:rPr>
              <w:t>0,8</w:t>
            </w:r>
          </w:p>
        </w:tc>
        <w:tc>
          <w:tcPr>
            <w:tcW w:w="131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14:paraId="4EBA2375" w14:textId="77777777" w:rsidR="000247DA" w:rsidRPr="00DF4CE5" w:rsidRDefault="000247DA" w:rsidP="000247DA">
            <w:pPr>
              <w:spacing w:after="0" w:line="240" w:lineRule="auto"/>
              <w:jc w:val="center"/>
              <w:rPr>
                <w:rFonts w:ascii="Cambria" w:eastAsia="Calibri" w:hAnsi="Cambria" w:cs="Calibri"/>
                <w:lang w:val="hr-HR"/>
              </w:rPr>
            </w:pPr>
            <w:r w:rsidRPr="00DF4CE5">
              <w:rPr>
                <w:rFonts w:ascii="Cambria" w:eastAsia="Calibri" w:hAnsi="Cambria" w:cs="Calibri"/>
                <w:lang w:val="hr-HR"/>
              </w:rPr>
              <w:t>10%</w:t>
            </w:r>
          </w:p>
        </w:tc>
      </w:tr>
      <w:tr w:rsidR="000247DA" w:rsidRPr="005C2363" w14:paraId="515F8301" w14:textId="77777777" w:rsidTr="00127501">
        <w:tc>
          <w:tcPr>
            <w:tcW w:w="2542" w:type="dxa"/>
            <w:vMerge/>
            <w:tcBorders>
              <w:left w:val="single" w:sz="8" w:space="0" w:color="000000"/>
              <w:right w:val="single" w:sz="8" w:space="0" w:color="000000"/>
            </w:tcBorders>
            <w:vAlign w:val="center"/>
          </w:tcPr>
          <w:p w14:paraId="5138F04E" w14:textId="77777777" w:rsidR="000247DA" w:rsidRPr="005C2363" w:rsidRDefault="000247DA" w:rsidP="00BB64BF">
            <w:pPr>
              <w:spacing w:after="0" w:line="240" w:lineRule="auto"/>
              <w:rPr>
                <w:rFonts w:ascii="Cambria" w:eastAsia="Times New Roman" w:hAnsi="Cambria" w:cs="Calibri"/>
                <w:lang w:val="hr-HR"/>
              </w:rPr>
            </w:pPr>
          </w:p>
        </w:tc>
        <w:tc>
          <w:tcPr>
            <w:tcW w:w="2654" w:type="dxa"/>
            <w:gridSpan w:val="2"/>
            <w:tcBorders>
              <w:top w:val="single" w:sz="8" w:space="0" w:color="000000"/>
              <w:left w:val="single" w:sz="8" w:space="0" w:color="000000"/>
              <w:bottom w:val="single" w:sz="8" w:space="0" w:color="000000"/>
            </w:tcBorders>
            <w:shd w:val="clear" w:color="auto" w:fill="FFFFFF"/>
            <w:tcMar>
              <w:top w:w="15" w:type="dxa"/>
              <w:left w:w="108" w:type="dxa"/>
              <w:bottom w:w="0" w:type="dxa"/>
              <w:right w:w="108" w:type="dxa"/>
            </w:tcMar>
          </w:tcPr>
          <w:p w14:paraId="1067AF9D" w14:textId="45110772" w:rsidR="000247DA" w:rsidRPr="00DF4CE5" w:rsidRDefault="000247DA" w:rsidP="00BB64BF">
            <w:pPr>
              <w:spacing w:after="0" w:line="100" w:lineRule="atLeast"/>
              <w:jc w:val="both"/>
              <w:rPr>
                <w:rFonts w:ascii="Cambria" w:eastAsia="Times New Roman" w:hAnsi="Cambria" w:cs="Calibri"/>
                <w:lang w:val="hr-HR"/>
              </w:rPr>
            </w:pPr>
            <w:r w:rsidRPr="00DF4CE5">
              <w:rPr>
                <w:rFonts w:ascii="Cambria" w:eastAsia="Times New Roman" w:hAnsi="Cambria" w:cs="Calibri"/>
              </w:rPr>
              <w:t>s</w:t>
            </w:r>
            <w:proofErr w:type="spellStart"/>
            <w:r w:rsidRPr="00DF4CE5">
              <w:rPr>
                <w:rFonts w:ascii="Cambria" w:eastAsia="Times New Roman" w:hAnsi="Cambria" w:cs="Calibri"/>
                <w:lang w:val="hr-HR"/>
              </w:rPr>
              <w:t>amostalni</w:t>
            </w:r>
            <w:proofErr w:type="spellEnd"/>
            <w:r w:rsidRPr="00DF4CE5">
              <w:rPr>
                <w:rFonts w:ascii="Cambria" w:eastAsia="Times New Roman" w:hAnsi="Cambria" w:cs="Calibri"/>
                <w:lang w:val="hr-HR"/>
              </w:rPr>
              <w:t xml:space="preserve"> zadaci</w:t>
            </w:r>
          </w:p>
        </w:tc>
        <w:tc>
          <w:tcPr>
            <w:tcW w:w="1092" w:type="dxa"/>
            <w:tcBorders>
              <w:top w:val="single" w:sz="8" w:space="0" w:color="000000"/>
              <w:left w:val="single" w:sz="8" w:space="0" w:color="000000"/>
              <w:bottom w:val="single" w:sz="8" w:space="0" w:color="000000"/>
            </w:tcBorders>
            <w:shd w:val="clear" w:color="auto" w:fill="FFFFFF"/>
            <w:tcMar>
              <w:top w:w="15" w:type="dxa"/>
              <w:left w:w="108" w:type="dxa"/>
              <w:bottom w:w="0" w:type="dxa"/>
              <w:right w:w="108" w:type="dxa"/>
            </w:tcMar>
            <w:vAlign w:val="center"/>
          </w:tcPr>
          <w:p w14:paraId="74C8D440" w14:textId="4D1C53E9" w:rsidR="000247DA" w:rsidRPr="00DF4CE5" w:rsidRDefault="000247DA" w:rsidP="000247DA">
            <w:pPr>
              <w:spacing w:after="0" w:line="100" w:lineRule="atLeast"/>
              <w:jc w:val="center"/>
              <w:rPr>
                <w:rFonts w:ascii="Cambria" w:eastAsia="Times New Roman" w:hAnsi="Cambria" w:cs="Calibri"/>
                <w:lang w:val="hr-HR"/>
              </w:rPr>
            </w:pPr>
            <w:r w:rsidRPr="00DF4CE5">
              <w:rPr>
                <w:rFonts w:ascii="Cambria" w:eastAsia="Times New Roman" w:hAnsi="Cambria" w:cs="Calibri"/>
                <w:lang w:val="hr-HR"/>
              </w:rPr>
              <w:t>1.</w:t>
            </w:r>
            <w:r>
              <w:rPr>
                <w:rFonts w:ascii="Cambria" w:eastAsia="Times New Roman" w:hAnsi="Cambria" w:cs="Calibri"/>
                <w:lang w:val="hr-HR"/>
              </w:rPr>
              <w:t xml:space="preserve"> – </w:t>
            </w:r>
            <w:r w:rsidRPr="00DF4CE5">
              <w:rPr>
                <w:rFonts w:ascii="Cambria" w:eastAsia="Times New Roman" w:hAnsi="Cambria" w:cs="Calibri"/>
                <w:lang w:val="hr-HR"/>
              </w:rPr>
              <w:t>5.</w:t>
            </w:r>
          </w:p>
        </w:tc>
        <w:tc>
          <w:tcPr>
            <w:tcW w:w="720" w:type="dxa"/>
            <w:gridSpan w:val="2"/>
            <w:tcBorders>
              <w:top w:val="single" w:sz="8" w:space="0" w:color="000000"/>
              <w:left w:val="single" w:sz="8" w:space="0" w:color="000000"/>
              <w:bottom w:val="single" w:sz="8" w:space="0" w:color="000000"/>
            </w:tcBorders>
            <w:shd w:val="clear" w:color="auto" w:fill="FFFFFF"/>
            <w:tcMar>
              <w:top w:w="15" w:type="dxa"/>
              <w:left w:w="108" w:type="dxa"/>
              <w:bottom w:w="0" w:type="dxa"/>
              <w:right w:w="108" w:type="dxa"/>
            </w:tcMar>
            <w:vAlign w:val="center"/>
          </w:tcPr>
          <w:p w14:paraId="5783A09F" w14:textId="77777777" w:rsidR="000247DA" w:rsidRPr="00DF4CE5" w:rsidRDefault="000247DA" w:rsidP="000247DA">
            <w:pPr>
              <w:spacing w:after="0" w:line="240" w:lineRule="auto"/>
              <w:jc w:val="center"/>
              <w:rPr>
                <w:rFonts w:ascii="Cambria" w:eastAsia="Calibri" w:hAnsi="Cambria" w:cs="Calibri"/>
                <w:lang w:val="hr-HR"/>
              </w:rPr>
            </w:pPr>
            <w:r w:rsidRPr="00DF4CE5">
              <w:rPr>
                <w:rFonts w:ascii="Cambria" w:eastAsia="Calibri" w:hAnsi="Cambria" w:cs="Calibri"/>
                <w:lang w:val="hr-HR"/>
              </w:rPr>
              <w:t>3</w:t>
            </w:r>
          </w:p>
        </w:tc>
        <w:tc>
          <w:tcPr>
            <w:tcW w:w="1013" w:type="dxa"/>
            <w:tcBorders>
              <w:top w:val="single" w:sz="8" w:space="0" w:color="000000"/>
              <w:left w:val="single" w:sz="8" w:space="0" w:color="000000"/>
              <w:bottom w:val="single" w:sz="8" w:space="0" w:color="000000"/>
            </w:tcBorders>
            <w:shd w:val="clear" w:color="auto" w:fill="FFFFFF"/>
            <w:tcMar>
              <w:top w:w="15" w:type="dxa"/>
              <w:left w:w="108" w:type="dxa"/>
              <w:bottom w:w="0" w:type="dxa"/>
              <w:right w:w="108" w:type="dxa"/>
            </w:tcMar>
            <w:vAlign w:val="center"/>
          </w:tcPr>
          <w:p w14:paraId="6FB5D9E3" w14:textId="77777777" w:rsidR="000247DA" w:rsidRPr="00DF4CE5" w:rsidRDefault="000247DA" w:rsidP="000247DA">
            <w:pPr>
              <w:spacing w:after="0" w:line="240" w:lineRule="auto"/>
              <w:jc w:val="center"/>
              <w:rPr>
                <w:rFonts w:ascii="Cambria" w:eastAsia="Calibri" w:hAnsi="Cambria" w:cs="Calibri"/>
                <w:lang w:val="hr-HR"/>
              </w:rPr>
            </w:pPr>
            <w:r w:rsidRPr="00DF4CE5">
              <w:rPr>
                <w:rFonts w:ascii="Cambria" w:eastAsia="Calibri" w:hAnsi="Cambria" w:cs="Calibri"/>
                <w:lang w:val="hr-HR"/>
              </w:rPr>
              <w:t>0,1</w:t>
            </w:r>
          </w:p>
        </w:tc>
        <w:tc>
          <w:tcPr>
            <w:tcW w:w="131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14:paraId="2E74C969" w14:textId="77777777" w:rsidR="000247DA" w:rsidRPr="00DF4CE5" w:rsidRDefault="000247DA" w:rsidP="000247DA">
            <w:pPr>
              <w:spacing w:after="0" w:line="240" w:lineRule="auto"/>
              <w:jc w:val="center"/>
              <w:rPr>
                <w:rFonts w:ascii="Cambria" w:eastAsia="Calibri" w:hAnsi="Cambria" w:cs="Calibri"/>
                <w:lang w:val="hr-HR"/>
              </w:rPr>
            </w:pPr>
            <w:r w:rsidRPr="00DF4CE5">
              <w:rPr>
                <w:rFonts w:ascii="Cambria" w:eastAsia="Calibri" w:hAnsi="Cambria" w:cs="Calibri"/>
                <w:lang w:val="hr-HR"/>
              </w:rPr>
              <w:t>0%</w:t>
            </w:r>
          </w:p>
        </w:tc>
      </w:tr>
      <w:tr w:rsidR="000247DA" w:rsidRPr="005C2363" w14:paraId="775F883E" w14:textId="77777777" w:rsidTr="00127501">
        <w:tc>
          <w:tcPr>
            <w:tcW w:w="2542" w:type="dxa"/>
            <w:vMerge/>
            <w:tcBorders>
              <w:left w:val="single" w:sz="8" w:space="0" w:color="000000"/>
              <w:right w:val="single" w:sz="8" w:space="0" w:color="000000"/>
            </w:tcBorders>
            <w:vAlign w:val="center"/>
          </w:tcPr>
          <w:p w14:paraId="5831B09A" w14:textId="77777777" w:rsidR="000247DA" w:rsidRPr="005C2363" w:rsidRDefault="000247DA" w:rsidP="00BB64BF">
            <w:pPr>
              <w:spacing w:after="0" w:line="240" w:lineRule="auto"/>
              <w:rPr>
                <w:rFonts w:ascii="Cambria" w:eastAsia="Times New Roman" w:hAnsi="Cambria" w:cs="Calibri"/>
                <w:lang w:val="hr-HR"/>
              </w:rPr>
            </w:pPr>
          </w:p>
        </w:tc>
        <w:tc>
          <w:tcPr>
            <w:tcW w:w="2654" w:type="dxa"/>
            <w:gridSpan w:val="2"/>
            <w:tcBorders>
              <w:top w:val="single" w:sz="8" w:space="0" w:color="000000"/>
              <w:left w:val="single" w:sz="8" w:space="0" w:color="000000"/>
              <w:bottom w:val="single" w:sz="8" w:space="0" w:color="000000"/>
            </w:tcBorders>
            <w:shd w:val="clear" w:color="auto" w:fill="FFFFFF"/>
            <w:tcMar>
              <w:top w:w="15" w:type="dxa"/>
              <w:left w:w="108" w:type="dxa"/>
              <w:bottom w:w="0" w:type="dxa"/>
              <w:right w:w="108" w:type="dxa"/>
            </w:tcMar>
          </w:tcPr>
          <w:p w14:paraId="0550EBBA" w14:textId="77777777" w:rsidR="000247DA" w:rsidRPr="00DF4CE5" w:rsidRDefault="000247DA" w:rsidP="00BB64BF">
            <w:pPr>
              <w:spacing w:after="0" w:line="100" w:lineRule="atLeast"/>
              <w:jc w:val="both"/>
              <w:rPr>
                <w:rFonts w:ascii="Cambria" w:eastAsia="Times New Roman" w:hAnsi="Cambria" w:cs="Calibri"/>
                <w:lang w:val="hr-HR"/>
              </w:rPr>
            </w:pPr>
            <w:r w:rsidRPr="00DF4CE5">
              <w:rPr>
                <w:rFonts w:ascii="Cambria" w:eastAsia="Times New Roman" w:hAnsi="Cambria" w:cs="Calibri"/>
                <w:lang w:val="hr-HR"/>
              </w:rPr>
              <w:t>pismeni ispit</w:t>
            </w:r>
          </w:p>
        </w:tc>
        <w:tc>
          <w:tcPr>
            <w:tcW w:w="1092" w:type="dxa"/>
            <w:tcBorders>
              <w:top w:val="single" w:sz="8" w:space="0" w:color="000000"/>
              <w:left w:val="single" w:sz="8" w:space="0" w:color="000000"/>
              <w:bottom w:val="single" w:sz="8" w:space="0" w:color="000000"/>
            </w:tcBorders>
            <w:shd w:val="clear" w:color="auto" w:fill="FFFFFF"/>
            <w:tcMar>
              <w:top w:w="15" w:type="dxa"/>
              <w:left w:w="108" w:type="dxa"/>
              <w:bottom w:w="0" w:type="dxa"/>
              <w:right w:w="108" w:type="dxa"/>
            </w:tcMar>
            <w:vAlign w:val="center"/>
          </w:tcPr>
          <w:p w14:paraId="0C6FE1A4" w14:textId="738EABCB" w:rsidR="000247DA" w:rsidRPr="00DF4CE5" w:rsidRDefault="000247DA" w:rsidP="000247DA">
            <w:pPr>
              <w:spacing w:after="0" w:line="100" w:lineRule="atLeast"/>
              <w:jc w:val="center"/>
              <w:rPr>
                <w:rFonts w:ascii="Cambria" w:eastAsia="Times New Roman" w:hAnsi="Cambria" w:cs="Calibri"/>
                <w:lang w:val="hr-HR"/>
              </w:rPr>
            </w:pPr>
            <w:r w:rsidRPr="00DF4CE5">
              <w:rPr>
                <w:rFonts w:ascii="Cambria" w:eastAsia="Times New Roman" w:hAnsi="Cambria" w:cs="Calibri"/>
                <w:lang w:val="hr-HR"/>
              </w:rPr>
              <w:t>1.</w:t>
            </w:r>
            <w:r>
              <w:rPr>
                <w:rFonts w:ascii="Cambria" w:eastAsia="Times New Roman" w:hAnsi="Cambria" w:cs="Calibri"/>
                <w:lang w:val="hr-HR"/>
              </w:rPr>
              <w:t xml:space="preserve"> – </w:t>
            </w:r>
            <w:r w:rsidRPr="00DF4CE5">
              <w:rPr>
                <w:rFonts w:ascii="Cambria" w:eastAsia="Times New Roman" w:hAnsi="Cambria" w:cs="Calibri"/>
                <w:lang w:val="hr-HR"/>
              </w:rPr>
              <w:t>5.</w:t>
            </w:r>
          </w:p>
        </w:tc>
        <w:tc>
          <w:tcPr>
            <w:tcW w:w="720" w:type="dxa"/>
            <w:gridSpan w:val="2"/>
            <w:tcBorders>
              <w:top w:val="single" w:sz="8" w:space="0" w:color="000000"/>
              <w:left w:val="single" w:sz="8" w:space="0" w:color="000000"/>
              <w:bottom w:val="single" w:sz="8" w:space="0" w:color="000000"/>
            </w:tcBorders>
            <w:shd w:val="clear" w:color="auto" w:fill="FFFFFF"/>
            <w:tcMar>
              <w:top w:w="15" w:type="dxa"/>
              <w:left w:w="108" w:type="dxa"/>
              <w:bottom w:w="0" w:type="dxa"/>
              <w:right w:w="108" w:type="dxa"/>
            </w:tcMar>
            <w:vAlign w:val="center"/>
          </w:tcPr>
          <w:p w14:paraId="3B30045B" w14:textId="77777777" w:rsidR="000247DA" w:rsidRPr="00DF4CE5" w:rsidRDefault="000247DA" w:rsidP="000247DA">
            <w:pPr>
              <w:spacing w:after="0" w:line="240" w:lineRule="auto"/>
              <w:jc w:val="center"/>
              <w:rPr>
                <w:rFonts w:ascii="Cambria" w:eastAsia="Calibri" w:hAnsi="Cambria" w:cs="Calibri"/>
                <w:lang w:val="hr-HR"/>
              </w:rPr>
            </w:pPr>
          </w:p>
          <w:p w14:paraId="3C23DE3E" w14:textId="612291FA" w:rsidR="000247DA" w:rsidRPr="00DF4CE5" w:rsidRDefault="000247DA" w:rsidP="000247DA">
            <w:pPr>
              <w:spacing w:after="0" w:line="240" w:lineRule="auto"/>
              <w:jc w:val="center"/>
              <w:rPr>
                <w:rFonts w:ascii="Cambria" w:eastAsia="Calibri" w:hAnsi="Cambria" w:cs="Calibri"/>
                <w:lang w:val="hr-HR"/>
              </w:rPr>
            </w:pPr>
            <w:r w:rsidRPr="00DF4CE5">
              <w:rPr>
                <w:rFonts w:ascii="Cambria" w:eastAsia="Calibri" w:hAnsi="Cambria" w:cs="Calibri"/>
                <w:lang w:val="hr-HR"/>
              </w:rPr>
              <w:t>1</w:t>
            </w:r>
            <w:r>
              <w:rPr>
                <w:rFonts w:ascii="Cambria" w:eastAsia="Calibri" w:hAnsi="Cambria" w:cs="Calibri"/>
                <w:lang w:val="hr-HR"/>
              </w:rPr>
              <w:t>2</w:t>
            </w:r>
          </w:p>
          <w:p w14:paraId="4711B96E" w14:textId="77777777" w:rsidR="000247DA" w:rsidRPr="00DF4CE5" w:rsidRDefault="000247DA" w:rsidP="000247DA">
            <w:pPr>
              <w:spacing w:after="0" w:line="240" w:lineRule="auto"/>
              <w:jc w:val="center"/>
              <w:rPr>
                <w:rFonts w:ascii="Cambria" w:eastAsia="Calibri" w:hAnsi="Cambria" w:cs="Calibri"/>
                <w:lang w:val="hr-HR"/>
              </w:rPr>
            </w:pPr>
          </w:p>
        </w:tc>
        <w:tc>
          <w:tcPr>
            <w:tcW w:w="1013" w:type="dxa"/>
            <w:tcBorders>
              <w:top w:val="single" w:sz="8" w:space="0" w:color="000000"/>
              <w:left w:val="single" w:sz="8" w:space="0" w:color="000000"/>
              <w:bottom w:val="single" w:sz="8" w:space="0" w:color="000000"/>
            </w:tcBorders>
            <w:shd w:val="clear" w:color="auto" w:fill="FFFFFF"/>
            <w:tcMar>
              <w:top w:w="15" w:type="dxa"/>
              <w:left w:w="108" w:type="dxa"/>
              <w:bottom w:w="0" w:type="dxa"/>
              <w:right w:w="108" w:type="dxa"/>
            </w:tcMar>
            <w:vAlign w:val="center"/>
          </w:tcPr>
          <w:p w14:paraId="376C9D9B" w14:textId="77777777" w:rsidR="000247DA" w:rsidRPr="00DF4CE5" w:rsidRDefault="000247DA" w:rsidP="000247DA">
            <w:pPr>
              <w:spacing w:after="0" w:line="240" w:lineRule="auto"/>
              <w:jc w:val="center"/>
              <w:rPr>
                <w:rFonts w:ascii="Cambria" w:eastAsia="Calibri" w:hAnsi="Cambria" w:cs="Calibri"/>
                <w:lang w:val="hr-HR"/>
              </w:rPr>
            </w:pPr>
            <w:r w:rsidRPr="00DF4CE5">
              <w:rPr>
                <w:rFonts w:ascii="Cambria" w:eastAsia="Calibri" w:hAnsi="Cambria" w:cs="Calibri"/>
                <w:lang w:val="hr-HR"/>
              </w:rPr>
              <w:t>0,4</w:t>
            </w:r>
          </w:p>
        </w:tc>
        <w:tc>
          <w:tcPr>
            <w:tcW w:w="131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14:paraId="2667CE3C" w14:textId="77777777" w:rsidR="000247DA" w:rsidRPr="00DF4CE5" w:rsidRDefault="000247DA" w:rsidP="000247DA">
            <w:pPr>
              <w:spacing w:after="0" w:line="240" w:lineRule="auto"/>
              <w:jc w:val="center"/>
              <w:rPr>
                <w:rFonts w:ascii="Cambria" w:eastAsia="Calibri" w:hAnsi="Cambria" w:cs="Calibri"/>
                <w:lang w:val="hr-HR"/>
              </w:rPr>
            </w:pPr>
            <w:r w:rsidRPr="00DF4CE5">
              <w:rPr>
                <w:rFonts w:ascii="Cambria" w:eastAsia="Calibri" w:hAnsi="Cambria" w:cs="Calibri"/>
                <w:lang w:val="hr-HR"/>
              </w:rPr>
              <w:t>40%</w:t>
            </w:r>
          </w:p>
        </w:tc>
      </w:tr>
      <w:tr w:rsidR="000247DA" w:rsidRPr="005C2363" w14:paraId="174F8B8A" w14:textId="77777777" w:rsidTr="00127501">
        <w:tc>
          <w:tcPr>
            <w:tcW w:w="2542" w:type="dxa"/>
            <w:vMerge/>
            <w:tcBorders>
              <w:left w:val="single" w:sz="8" w:space="0" w:color="000000"/>
              <w:right w:val="single" w:sz="8" w:space="0" w:color="000000"/>
            </w:tcBorders>
            <w:vAlign w:val="center"/>
          </w:tcPr>
          <w:p w14:paraId="26FAB86C" w14:textId="77777777" w:rsidR="000247DA" w:rsidRPr="005C2363" w:rsidRDefault="000247DA" w:rsidP="00BB64BF">
            <w:pPr>
              <w:spacing w:after="0" w:line="240" w:lineRule="auto"/>
              <w:rPr>
                <w:rFonts w:ascii="Cambria" w:eastAsia="Times New Roman" w:hAnsi="Cambria" w:cs="Calibri"/>
                <w:lang w:val="hr-HR"/>
              </w:rPr>
            </w:pPr>
          </w:p>
        </w:tc>
        <w:tc>
          <w:tcPr>
            <w:tcW w:w="2654" w:type="dxa"/>
            <w:gridSpan w:val="2"/>
            <w:tcBorders>
              <w:top w:val="single" w:sz="8" w:space="0" w:color="000000"/>
              <w:left w:val="single" w:sz="8" w:space="0" w:color="000000"/>
              <w:bottom w:val="single" w:sz="8" w:space="0" w:color="000000"/>
            </w:tcBorders>
            <w:shd w:val="clear" w:color="auto" w:fill="FFFFFF"/>
            <w:tcMar>
              <w:top w:w="15" w:type="dxa"/>
              <w:left w:w="108" w:type="dxa"/>
              <w:bottom w:w="0" w:type="dxa"/>
              <w:right w:w="108" w:type="dxa"/>
            </w:tcMar>
          </w:tcPr>
          <w:p w14:paraId="7B81D17C" w14:textId="77777777" w:rsidR="000247DA" w:rsidRPr="00DF4CE5" w:rsidRDefault="000247DA" w:rsidP="00BB64BF">
            <w:pPr>
              <w:spacing w:after="0" w:line="100" w:lineRule="atLeast"/>
              <w:jc w:val="both"/>
              <w:rPr>
                <w:rFonts w:ascii="Cambria" w:eastAsia="Times New Roman" w:hAnsi="Cambria" w:cs="Calibri"/>
                <w:lang w:val="hr-HR"/>
              </w:rPr>
            </w:pPr>
            <w:r w:rsidRPr="00DF4CE5">
              <w:rPr>
                <w:rFonts w:ascii="Cambria" w:eastAsia="Times New Roman" w:hAnsi="Cambria" w:cs="Calibri"/>
                <w:lang w:val="hr-HR"/>
              </w:rPr>
              <w:t>usmeni ispit</w:t>
            </w:r>
          </w:p>
        </w:tc>
        <w:tc>
          <w:tcPr>
            <w:tcW w:w="1092" w:type="dxa"/>
            <w:tcBorders>
              <w:top w:val="single" w:sz="8" w:space="0" w:color="000000"/>
              <w:left w:val="single" w:sz="8" w:space="0" w:color="000000"/>
              <w:bottom w:val="single" w:sz="8" w:space="0" w:color="000000"/>
            </w:tcBorders>
            <w:shd w:val="clear" w:color="auto" w:fill="FFFFFF"/>
            <w:tcMar>
              <w:top w:w="15" w:type="dxa"/>
              <w:left w:w="108" w:type="dxa"/>
              <w:bottom w:w="0" w:type="dxa"/>
              <w:right w:w="108" w:type="dxa"/>
            </w:tcMar>
            <w:vAlign w:val="center"/>
          </w:tcPr>
          <w:p w14:paraId="3E4E8279" w14:textId="1052FBA5" w:rsidR="000247DA" w:rsidRPr="00DF4CE5" w:rsidRDefault="000247DA" w:rsidP="000247DA">
            <w:pPr>
              <w:spacing w:after="0" w:line="100" w:lineRule="atLeast"/>
              <w:jc w:val="center"/>
              <w:rPr>
                <w:rFonts w:ascii="Cambria" w:eastAsia="Times New Roman" w:hAnsi="Cambria" w:cs="Calibri"/>
                <w:lang w:val="hr-HR"/>
              </w:rPr>
            </w:pPr>
            <w:r w:rsidRPr="00DF4CE5">
              <w:rPr>
                <w:rFonts w:ascii="Cambria" w:eastAsia="Times New Roman" w:hAnsi="Cambria" w:cs="Calibri"/>
                <w:lang w:val="hr-HR"/>
              </w:rPr>
              <w:t>1.</w:t>
            </w:r>
            <w:r>
              <w:rPr>
                <w:rFonts w:ascii="Cambria" w:eastAsia="Times New Roman" w:hAnsi="Cambria" w:cs="Calibri"/>
                <w:lang w:val="hr-HR"/>
              </w:rPr>
              <w:t xml:space="preserve"> – </w:t>
            </w:r>
            <w:r w:rsidRPr="00DF4CE5">
              <w:rPr>
                <w:rFonts w:ascii="Cambria" w:eastAsia="Times New Roman" w:hAnsi="Cambria" w:cs="Calibri"/>
                <w:lang w:val="hr-HR"/>
              </w:rPr>
              <w:t>5.</w:t>
            </w:r>
          </w:p>
        </w:tc>
        <w:tc>
          <w:tcPr>
            <w:tcW w:w="720" w:type="dxa"/>
            <w:gridSpan w:val="2"/>
            <w:tcBorders>
              <w:top w:val="single" w:sz="8" w:space="0" w:color="000000"/>
              <w:left w:val="single" w:sz="8" w:space="0" w:color="000000"/>
              <w:bottom w:val="single" w:sz="8" w:space="0" w:color="000000"/>
            </w:tcBorders>
            <w:shd w:val="clear" w:color="auto" w:fill="FFFFFF"/>
            <w:tcMar>
              <w:top w:w="15" w:type="dxa"/>
              <w:left w:w="108" w:type="dxa"/>
              <w:bottom w:w="0" w:type="dxa"/>
              <w:right w:w="108" w:type="dxa"/>
            </w:tcMar>
            <w:vAlign w:val="center"/>
          </w:tcPr>
          <w:p w14:paraId="64F042AF" w14:textId="77777777" w:rsidR="000247DA" w:rsidRPr="00DF4CE5" w:rsidRDefault="000247DA" w:rsidP="000247DA">
            <w:pPr>
              <w:spacing w:after="0" w:line="240" w:lineRule="auto"/>
              <w:jc w:val="center"/>
              <w:rPr>
                <w:rFonts w:ascii="Cambria" w:eastAsia="Calibri" w:hAnsi="Cambria" w:cs="Calibri"/>
                <w:lang w:val="hr-HR"/>
              </w:rPr>
            </w:pPr>
            <w:r w:rsidRPr="00DF4CE5">
              <w:rPr>
                <w:rFonts w:ascii="Cambria" w:eastAsia="Calibri" w:hAnsi="Cambria" w:cs="Calibri"/>
                <w:lang w:val="hr-HR"/>
              </w:rPr>
              <w:t>22</w:t>
            </w:r>
          </w:p>
        </w:tc>
        <w:tc>
          <w:tcPr>
            <w:tcW w:w="1013" w:type="dxa"/>
            <w:tcBorders>
              <w:top w:val="single" w:sz="8" w:space="0" w:color="000000"/>
              <w:left w:val="single" w:sz="8" w:space="0" w:color="000000"/>
              <w:bottom w:val="single" w:sz="8" w:space="0" w:color="000000"/>
            </w:tcBorders>
            <w:shd w:val="clear" w:color="auto" w:fill="FFFFFF"/>
            <w:tcMar>
              <w:top w:w="15" w:type="dxa"/>
              <w:left w:w="108" w:type="dxa"/>
              <w:bottom w:w="0" w:type="dxa"/>
              <w:right w:w="108" w:type="dxa"/>
            </w:tcMar>
            <w:vAlign w:val="center"/>
          </w:tcPr>
          <w:p w14:paraId="703B0E89" w14:textId="77777777" w:rsidR="000247DA" w:rsidRPr="00DF4CE5" w:rsidRDefault="000247DA" w:rsidP="000247DA">
            <w:pPr>
              <w:spacing w:after="0" w:line="240" w:lineRule="auto"/>
              <w:jc w:val="center"/>
              <w:rPr>
                <w:rFonts w:ascii="Cambria" w:eastAsia="Calibri" w:hAnsi="Cambria" w:cs="Calibri"/>
                <w:lang w:val="hr-HR"/>
              </w:rPr>
            </w:pPr>
            <w:r w:rsidRPr="00DF4CE5">
              <w:rPr>
                <w:rFonts w:ascii="Cambria" w:eastAsia="Calibri" w:hAnsi="Cambria" w:cs="Calibri"/>
                <w:lang w:val="hr-HR"/>
              </w:rPr>
              <w:t>0,7</w:t>
            </w:r>
          </w:p>
        </w:tc>
        <w:tc>
          <w:tcPr>
            <w:tcW w:w="131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14:paraId="24A98B3E" w14:textId="77777777" w:rsidR="000247DA" w:rsidRPr="00DF4CE5" w:rsidRDefault="000247DA" w:rsidP="000247DA">
            <w:pPr>
              <w:spacing w:after="0" w:line="240" w:lineRule="auto"/>
              <w:jc w:val="center"/>
              <w:rPr>
                <w:rFonts w:ascii="Cambria" w:eastAsia="Calibri" w:hAnsi="Cambria" w:cs="Calibri"/>
                <w:lang w:val="hr-HR"/>
              </w:rPr>
            </w:pPr>
            <w:r w:rsidRPr="00DF4CE5">
              <w:rPr>
                <w:rFonts w:ascii="Cambria" w:eastAsia="Calibri" w:hAnsi="Cambria" w:cs="Calibri"/>
                <w:lang w:val="hr-HR"/>
              </w:rPr>
              <w:t>50%</w:t>
            </w:r>
          </w:p>
        </w:tc>
      </w:tr>
      <w:tr w:rsidR="000247DA" w:rsidRPr="005C2363" w14:paraId="3EE2BB15" w14:textId="77777777" w:rsidTr="00127501">
        <w:tc>
          <w:tcPr>
            <w:tcW w:w="2542" w:type="dxa"/>
            <w:vMerge/>
            <w:tcBorders>
              <w:left w:val="single" w:sz="8" w:space="0" w:color="000000"/>
              <w:right w:val="single" w:sz="8" w:space="0" w:color="000000"/>
            </w:tcBorders>
            <w:vAlign w:val="center"/>
          </w:tcPr>
          <w:p w14:paraId="61A8E195" w14:textId="77777777" w:rsidR="000247DA" w:rsidRPr="005C2363" w:rsidRDefault="000247DA" w:rsidP="00BB64BF">
            <w:pPr>
              <w:spacing w:after="0" w:line="240" w:lineRule="auto"/>
              <w:rPr>
                <w:rFonts w:ascii="Cambria" w:eastAsia="Times New Roman" w:hAnsi="Cambria" w:cs="Calibri"/>
                <w:lang w:val="hr-HR"/>
              </w:rPr>
            </w:pPr>
          </w:p>
        </w:tc>
        <w:tc>
          <w:tcPr>
            <w:tcW w:w="3746"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6E2F0AA" w14:textId="77777777" w:rsidR="000247DA" w:rsidRPr="005C2363" w:rsidRDefault="000247DA" w:rsidP="00BB64BF">
            <w:pPr>
              <w:spacing w:after="0" w:line="240" w:lineRule="auto"/>
              <w:rPr>
                <w:rFonts w:ascii="Cambria" w:eastAsia="Times New Roman" w:hAnsi="Cambria" w:cs="Calibri"/>
                <w:lang w:val="hr-HR"/>
              </w:rPr>
            </w:pPr>
            <w:r w:rsidRPr="005C2363">
              <w:rPr>
                <w:rFonts w:ascii="Cambria" w:eastAsia="Times New Roman" w:hAnsi="Cambria" w:cs="Calibri"/>
                <w:lang w:val="hr-HR"/>
              </w:rPr>
              <w:t>ukupno</w:t>
            </w:r>
          </w:p>
        </w:tc>
        <w:tc>
          <w:tcPr>
            <w:tcW w:w="72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B3773EF" w14:textId="77777777" w:rsidR="000247DA" w:rsidRPr="005C2363" w:rsidRDefault="000247DA" w:rsidP="00BB64BF">
            <w:pPr>
              <w:spacing w:after="0" w:line="240" w:lineRule="auto"/>
              <w:jc w:val="center"/>
              <w:rPr>
                <w:rFonts w:ascii="Cambria" w:eastAsia="Times New Roman" w:hAnsi="Cambria" w:cs="Calibri"/>
                <w:lang w:val="hr-HR"/>
              </w:rPr>
            </w:pPr>
            <w:r>
              <w:rPr>
                <w:rFonts w:ascii="Cambria" w:eastAsia="Times New Roman" w:hAnsi="Cambria" w:cs="Calibri"/>
                <w:lang w:val="hr-HR"/>
              </w:rPr>
              <w:t>60</w:t>
            </w:r>
          </w:p>
        </w:tc>
        <w:tc>
          <w:tcPr>
            <w:tcW w:w="101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9679148" w14:textId="77777777" w:rsidR="000247DA" w:rsidRPr="005C2363" w:rsidRDefault="000247DA" w:rsidP="00BB64BF">
            <w:pPr>
              <w:spacing w:after="0" w:line="240" w:lineRule="auto"/>
              <w:jc w:val="center"/>
              <w:rPr>
                <w:rFonts w:ascii="Cambria" w:eastAsia="Times New Roman" w:hAnsi="Cambria" w:cs="Calibri"/>
                <w:lang w:val="hr-HR"/>
              </w:rPr>
            </w:pPr>
            <w:r>
              <w:rPr>
                <w:rFonts w:ascii="Cambria" w:eastAsia="Times New Roman" w:hAnsi="Cambria" w:cs="Calibri"/>
                <w:lang w:val="hr-HR"/>
              </w:rPr>
              <w:t>2</w:t>
            </w:r>
          </w:p>
        </w:tc>
        <w:tc>
          <w:tcPr>
            <w:tcW w:w="13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53D61EE" w14:textId="77777777" w:rsidR="000247DA" w:rsidRPr="005C2363" w:rsidRDefault="000247DA" w:rsidP="00BB64BF">
            <w:pPr>
              <w:spacing w:after="0" w:line="240" w:lineRule="auto"/>
              <w:jc w:val="center"/>
              <w:rPr>
                <w:rFonts w:ascii="Cambria" w:eastAsia="Times New Roman" w:hAnsi="Cambria" w:cs="Calibri"/>
                <w:lang w:val="hr-HR"/>
              </w:rPr>
            </w:pPr>
            <w:r>
              <w:rPr>
                <w:rFonts w:ascii="Cambria" w:eastAsia="Times New Roman" w:hAnsi="Cambria" w:cs="Calibri"/>
                <w:lang w:val="hr-HR"/>
              </w:rPr>
              <w:t>100%</w:t>
            </w:r>
          </w:p>
        </w:tc>
      </w:tr>
      <w:tr w:rsidR="000247DA" w:rsidRPr="003341BD" w14:paraId="3B84DD5A" w14:textId="77777777" w:rsidTr="00127501">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B2FE362" w14:textId="77777777" w:rsidR="000247DA" w:rsidRPr="005C2363" w:rsidRDefault="000247DA" w:rsidP="00BB64BF">
            <w:pPr>
              <w:spacing w:after="0" w:line="240" w:lineRule="auto"/>
              <w:rPr>
                <w:rFonts w:ascii="Cambria" w:eastAsia="Times New Roman" w:hAnsi="Cambria" w:cs="Calibri"/>
                <w:lang w:val="hr-HR"/>
              </w:rPr>
            </w:pPr>
            <w:r w:rsidRPr="005C2363">
              <w:rPr>
                <w:rFonts w:ascii="Cambria" w:eastAsia="Times New Roman" w:hAnsi="Cambria" w:cs="Calibri"/>
                <w:lang w:val="hr-HR"/>
              </w:rPr>
              <w:t>Studentske obveze</w:t>
            </w:r>
          </w:p>
        </w:tc>
        <w:tc>
          <w:tcPr>
            <w:tcW w:w="6798"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1732D669" w14:textId="77777777" w:rsidR="000247DA" w:rsidRPr="00DF4CE5" w:rsidRDefault="000247DA" w:rsidP="00BB64B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Da položi kolegij, student/studentica mora: </w:t>
            </w:r>
          </w:p>
          <w:p w14:paraId="153445F0" w14:textId="67A4E656" w:rsidR="000247DA" w:rsidRPr="00DF4CE5" w:rsidRDefault="000247DA" w:rsidP="00BB64B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1. </w:t>
            </w:r>
            <w:r>
              <w:rPr>
                <w:rFonts w:ascii="Cambria" w:eastAsia="Times New Roman" w:hAnsi="Cambria" w:cs="Calibri"/>
                <w:lang w:val="hr-HR"/>
              </w:rPr>
              <w:t>a</w:t>
            </w:r>
            <w:r w:rsidRPr="00DF4CE5">
              <w:rPr>
                <w:rFonts w:ascii="Cambria" w:eastAsia="Times New Roman" w:hAnsi="Cambria" w:cs="Calibri"/>
                <w:lang w:val="hr-HR"/>
              </w:rPr>
              <w:t>ktivno sudjelovati u interaktivnim aktivnostima na nastavi</w:t>
            </w:r>
            <w:r>
              <w:rPr>
                <w:rFonts w:ascii="Cambria" w:eastAsia="Times New Roman" w:hAnsi="Cambria" w:cs="Calibri"/>
                <w:lang w:val="hr-HR"/>
              </w:rPr>
              <w:t xml:space="preserve"> </w:t>
            </w:r>
            <w:r w:rsidRPr="00DF4CE5">
              <w:rPr>
                <w:rFonts w:ascii="Cambria" w:eastAsia="Times New Roman" w:hAnsi="Cambria" w:cs="Calibri"/>
                <w:lang w:val="hr-HR"/>
              </w:rPr>
              <w:t>(pedagoške radionice, vježbe, igre i sl.)</w:t>
            </w:r>
          </w:p>
          <w:p w14:paraId="116BC40F" w14:textId="77777777" w:rsidR="000247DA" w:rsidRPr="00DF4CE5" w:rsidRDefault="000247DA" w:rsidP="00BB64B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2. izraditi samostalne zadatke</w:t>
            </w:r>
          </w:p>
          <w:p w14:paraId="6E4D2BF1" w14:textId="77777777" w:rsidR="000247DA" w:rsidRPr="00DF4CE5" w:rsidRDefault="000247DA" w:rsidP="00BB64BF">
            <w:pPr>
              <w:spacing w:after="0" w:line="240" w:lineRule="auto"/>
              <w:jc w:val="both"/>
              <w:rPr>
                <w:rFonts w:ascii="Cambria" w:eastAsia="Times New Roman" w:hAnsi="Cambria" w:cs="Calibri"/>
                <w:lang w:val="it-IT"/>
              </w:rPr>
            </w:pPr>
            <w:r w:rsidRPr="00DF4CE5">
              <w:rPr>
                <w:rFonts w:ascii="Cambria" w:eastAsia="Times New Roman" w:hAnsi="Cambria" w:cs="Calibri"/>
                <w:lang w:val="hr-HR"/>
              </w:rPr>
              <w:t>3. položiti pismeni ispit.</w:t>
            </w:r>
          </w:p>
          <w:p w14:paraId="6E7938CC" w14:textId="43CF8893" w:rsidR="000247DA" w:rsidRPr="00DF4CE5" w:rsidRDefault="000247DA" w:rsidP="00BB64BF">
            <w:pPr>
              <w:spacing w:after="0" w:line="240" w:lineRule="auto"/>
              <w:jc w:val="both"/>
              <w:rPr>
                <w:rFonts w:ascii="Cambria" w:eastAsia="Times New Roman" w:hAnsi="Cambria" w:cs="Calibri"/>
                <w:lang w:val="it-IT"/>
              </w:rPr>
            </w:pPr>
            <w:proofErr w:type="spellStart"/>
            <w:r w:rsidRPr="00DF4CE5">
              <w:rPr>
                <w:rFonts w:ascii="Cambria" w:eastAsia="Times New Roman" w:hAnsi="Cambria" w:cs="Calibri"/>
                <w:lang w:val="it-IT"/>
              </w:rPr>
              <w:t>Napomena</w:t>
            </w:r>
            <w:proofErr w:type="spellEnd"/>
            <w:r w:rsidRPr="00DF4CE5">
              <w:rPr>
                <w:rFonts w:ascii="Cambria" w:eastAsia="Times New Roman" w:hAnsi="Cambria" w:cs="Calibri"/>
                <w:lang w:val="it-IT"/>
              </w:rPr>
              <w:t>: (</w:t>
            </w:r>
            <w:proofErr w:type="spellStart"/>
            <w:r w:rsidRPr="00DF4CE5">
              <w:rPr>
                <w:rFonts w:ascii="Cambria" w:eastAsia="Times New Roman" w:hAnsi="Cambria" w:cs="Calibri"/>
                <w:lang w:val="it-IT"/>
              </w:rPr>
              <w:t>vrijedi</w:t>
            </w:r>
            <w:proofErr w:type="spellEnd"/>
            <w:r w:rsidRPr="00DF4CE5">
              <w:rPr>
                <w:rFonts w:ascii="Cambria" w:eastAsia="Times New Roman" w:hAnsi="Cambria" w:cs="Calibri"/>
                <w:lang w:val="it-IT"/>
              </w:rPr>
              <w:t xml:space="preserve"> za </w:t>
            </w:r>
            <w:proofErr w:type="spellStart"/>
            <w:r w:rsidRPr="00DF4CE5">
              <w:rPr>
                <w:rFonts w:ascii="Cambria" w:eastAsia="Times New Roman" w:hAnsi="Cambria" w:cs="Calibri"/>
                <w:lang w:val="it-IT"/>
              </w:rPr>
              <w:t>obveze</w:t>
            </w:r>
            <w:proofErr w:type="spellEnd"/>
            <w:r w:rsidRPr="00DF4CE5">
              <w:rPr>
                <w:rFonts w:ascii="Cambria" w:eastAsia="Times New Roman" w:hAnsi="Cambria" w:cs="Calibri"/>
                <w:lang w:val="it-IT"/>
              </w:rPr>
              <w:t xml:space="preserve"> 1. i 2.) </w:t>
            </w:r>
            <w:proofErr w:type="spellStart"/>
            <w:r w:rsidRPr="00DF4CE5">
              <w:rPr>
                <w:rFonts w:ascii="Cambria" w:eastAsia="Times New Roman" w:hAnsi="Cambria" w:cs="Calibri"/>
                <w:lang w:val="it-IT"/>
              </w:rPr>
              <w:t>Student</w:t>
            </w:r>
            <w:proofErr w:type="spellEnd"/>
            <w:r w:rsidRPr="00DF4CE5">
              <w:rPr>
                <w:rFonts w:ascii="Cambria" w:eastAsia="Times New Roman" w:hAnsi="Cambria" w:cs="Calibri"/>
                <w:lang w:val="it-IT"/>
              </w:rPr>
              <w:t>/</w:t>
            </w:r>
            <w:proofErr w:type="spellStart"/>
            <w:r w:rsidRPr="00DF4CE5">
              <w:rPr>
                <w:rFonts w:ascii="Cambria" w:eastAsia="Times New Roman" w:hAnsi="Cambria" w:cs="Calibri"/>
                <w:lang w:val="it-IT"/>
              </w:rPr>
              <w:t>studentica</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treba</w:t>
            </w:r>
            <w:proofErr w:type="spellEnd"/>
            <w:r>
              <w:rPr>
                <w:rFonts w:ascii="Cambria" w:eastAsia="Times New Roman" w:hAnsi="Cambria" w:cs="Calibri"/>
                <w:lang w:val="it-IT"/>
              </w:rPr>
              <w:t xml:space="preserve"> </w:t>
            </w:r>
            <w:proofErr w:type="spellStart"/>
            <w:r w:rsidRPr="00DF4CE5">
              <w:rPr>
                <w:rFonts w:ascii="Cambria" w:eastAsia="Times New Roman" w:hAnsi="Cambria" w:cs="Calibri"/>
                <w:lang w:val="it-IT"/>
              </w:rPr>
              <w:t>aktivno</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sudjelovati</w:t>
            </w:r>
            <w:proofErr w:type="spellEnd"/>
            <w:r w:rsidRPr="00DF4CE5">
              <w:rPr>
                <w:rFonts w:ascii="Cambria" w:eastAsia="Times New Roman" w:hAnsi="Cambria" w:cs="Calibri"/>
                <w:lang w:val="it-IT"/>
              </w:rPr>
              <w:t xml:space="preserve"> u </w:t>
            </w:r>
            <w:proofErr w:type="spellStart"/>
            <w:r w:rsidRPr="00DF4CE5">
              <w:rPr>
                <w:rFonts w:ascii="Cambria" w:eastAsia="Times New Roman" w:hAnsi="Cambria" w:cs="Calibri"/>
                <w:lang w:val="it-IT"/>
              </w:rPr>
              <w:t>interaktivnim</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aktivnostima</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na</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nastavi</w:t>
            </w:r>
            <w:proofErr w:type="spellEnd"/>
            <w:r>
              <w:rPr>
                <w:rFonts w:ascii="Cambria" w:eastAsia="Times New Roman" w:hAnsi="Cambria" w:cs="Calibri"/>
                <w:lang w:val="it-IT"/>
              </w:rPr>
              <w:t xml:space="preserve"> </w:t>
            </w:r>
            <w:proofErr w:type="spellStart"/>
            <w:r w:rsidRPr="00DF4CE5">
              <w:rPr>
                <w:rFonts w:ascii="Cambria" w:eastAsia="Times New Roman" w:hAnsi="Cambria" w:cs="Calibri"/>
                <w:lang w:val="it-IT"/>
              </w:rPr>
              <w:t>predavanja</w:t>
            </w:r>
            <w:proofErr w:type="spellEnd"/>
            <w:r w:rsidRPr="00DF4CE5">
              <w:rPr>
                <w:rFonts w:ascii="Cambria" w:eastAsia="Times New Roman" w:hAnsi="Cambria" w:cs="Calibri"/>
                <w:lang w:val="it-IT"/>
              </w:rPr>
              <w:t xml:space="preserve"> i </w:t>
            </w:r>
            <w:proofErr w:type="spellStart"/>
            <w:r w:rsidRPr="00DF4CE5">
              <w:rPr>
                <w:rFonts w:ascii="Cambria" w:eastAsia="Times New Roman" w:hAnsi="Cambria" w:cs="Calibri"/>
                <w:lang w:val="it-IT"/>
              </w:rPr>
              <w:t>vježbi</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najmanje</w:t>
            </w:r>
            <w:proofErr w:type="spellEnd"/>
            <w:r w:rsidRPr="00DF4CE5">
              <w:rPr>
                <w:rFonts w:ascii="Cambria" w:eastAsia="Times New Roman" w:hAnsi="Cambria" w:cs="Calibri"/>
                <w:lang w:val="it-IT"/>
              </w:rPr>
              <w:t xml:space="preserve"> 70%. </w:t>
            </w:r>
            <w:proofErr w:type="spellStart"/>
            <w:r w:rsidRPr="00DF4CE5">
              <w:rPr>
                <w:rFonts w:ascii="Cambria" w:eastAsia="Times New Roman" w:hAnsi="Cambria" w:cs="Calibri"/>
                <w:lang w:val="it-IT"/>
              </w:rPr>
              <w:t>Obveze</w:t>
            </w:r>
            <w:proofErr w:type="spellEnd"/>
            <w:r w:rsidRPr="00DF4CE5">
              <w:rPr>
                <w:rFonts w:ascii="Cambria" w:eastAsia="Times New Roman" w:hAnsi="Cambria" w:cs="Calibri"/>
                <w:lang w:val="it-IT"/>
              </w:rPr>
              <w:t xml:space="preserve"> se </w:t>
            </w:r>
            <w:proofErr w:type="spellStart"/>
            <w:r w:rsidRPr="00DF4CE5">
              <w:rPr>
                <w:rFonts w:ascii="Cambria" w:eastAsia="Times New Roman" w:hAnsi="Cambria" w:cs="Calibri"/>
                <w:lang w:val="it-IT"/>
              </w:rPr>
              <w:t>trebaju</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izvršiti</w:t>
            </w:r>
            <w:proofErr w:type="spellEnd"/>
            <w:r w:rsidRPr="00DF4CE5">
              <w:rPr>
                <w:rFonts w:ascii="Cambria" w:eastAsia="Times New Roman" w:hAnsi="Cambria" w:cs="Calibri"/>
                <w:lang w:val="it-IT"/>
              </w:rPr>
              <w:t xml:space="preserve"> u </w:t>
            </w:r>
            <w:proofErr w:type="spellStart"/>
            <w:r w:rsidRPr="00DF4CE5">
              <w:rPr>
                <w:rFonts w:ascii="Cambria" w:eastAsia="Times New Roman" w:hAnsi="Cambria" w:cs="Calibri"/>
                <w:lang w:val="it-IT"/>
              </w:rPr>
              <w:t>u</w:t>
            </w:r>
            <w:proofErr w:type="spellEnd"/>
            <w:r>
              <w:rPr>
                <w:rFonts w:ascii="Cambria" w:eastAsia="Times New Roman" w:hAnsi="Cambria" w:cs="Calibri"/>
                <w:lang w:val="it-IT"/>
              </w:rPr>
              <w:t xml:space="preserve"> </w:t>
            </w:r>
            <w:proofErr w:type="spellStart"/>
            <w:r w:rsidRPr="00DF4CE5">
              <w:rPr>
                <w:rFonts w:ascii="Cambria" w:eastAsia="Times New Roman" w:hAnsi="Cambria" w:cs="Calibri"/>
                <w:lang w:val="it-IT"/>
              </w:rPr>
              <w:t>dogovorenom</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roku</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Ako</w:t>
            </w:r>
            <w:proofErr w:type="spellEnd"/>
            <w:r w:rsidRPr="00DF4CE5">
              <w:rPr>
                <w:rFonts w:ascii="Cambria" w:eastAsia="Times New Roman" w:hAnsi="Cambria" w:cs="Calibri"/>
                <w:lang w:val="it-IT"/>
              </w:rPr>
              <w:t xml:space="preserve"> ne </w:t>
            </w:r>
            <w:proofErr w:type="spellStart"/>
            <w:r w:rsidRPr="00DF4CE5">
              <w:rPr>
                <w:rFonts w:ascii="Cambria" w:eastAsia="Times New Roman" w:hAnsi="Cambria" w:cs="Calibri"/>
                <w:lang w:val="it-IT"/>
              </w:rPr>
              <w:t>riješi</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obvezu</w:t>
            </w:r>
            <w:proofErr w:type="spellEnd"/>
            <w:r w:rsidRPr="00DF4CE5">
              <w:rPr>
                <w:rFonts w:ascii="Cambria" w:eastAsia="Times New Roman" w:hAnsi="Cambria" w:cs="Calibri"/>
                <w:lang w:val="it-IT"/>
              </w:rPr>
              <w:t xml:space="preserve"> do </w:t>
            </w:r>
            <w:proofErr w:type="spellStart"/>
            <w:r w:rsidRPr="00DF4CE5">
              <w:rPr>
                <w:rFonts w:ascii="Cambria" w:eastAsia="Times New Roman" w:hAnsi="Cambria" w:cs="Calibri"/>
                <w:lang w:val="it-IT"/>
              </w:rPr>
              <w:t>zadanoga</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roka</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tada</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gubi</w:t>
            </w:r>
            <w:proofErr w:type="spellEnd"/>
            <w:r w:rsidRPr="00DF4CE5">
              <w:rPr>
                <w:rFonts w:ascii="Cambria" w:eastAsia="Times New Roman" w:hAnsi="Cambria" w:cs="Calibri"/>
                <w:lang w:val="it-IT"/>
              </w:rPr>
              <w:t xml:space="preserve"> pravo </w:t>
            </w:r>
            <w:proofErr w:type="spellStart"/>
            <w:r w:rsidRPr="00DF4CE5">
              <w:rPr>
                <w:rFonts w:ascii="Cambria" w:eastAsia="Times New Roman" w:hAnsi="Cambria" w:cs="Calibri"/>
                <w:lang w:val="it-IT"/>
              </w:rPr>
              <w:t>na</w:t>
            </w:r>
            <w:proofErr w:type="spellEnd"/>
            <w:r w:rsidRPr="00DF4CE5">
              <w:rPr>
                <w:rFonts w:ascii="Cambria" w:eastAsia="Times New Roman" w:hAnsi="Cambria" w:cs="Calibri"/>
                <w:lang w:val="it-IT"/>
              </w:rPr>
              <w:t xml:space="preserve"> ECTS-e </w:t>
            </w:r>
            <w:proofErr w:type="spellStart"/>
            <w:r w:rsidRPr="00DF4CE5">
              <w:rPr>
                <w:rFonts w:ascii="Cambria" w:eastAsia="Times New Roman" w:hAnsi="Cambria" w:cs="Calibri"/>
                <w:lang w:val="it-IT"/>
              </w:rPr>
              <w:t>iz</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kolegija</w:t>
            </w:r>
            <w:proofErr w:type="spellEnd"/>
            <w:r w:rsidRPr="00DF4CE5">
              <w:rPr>
                <w:rFonts w:ascii="Cambria" w:eastAsia="Times New Roman" w:hAnsi="Cambria" w:cs="Calibri"/>
                <w:lang w:val="it-IT"/>
              </w:rPr>
              <w:t xml:space="preserve"> u </w:t>
            </w:r>
            <w:proofErr w:type="spellStart"/>
            <w:r w:rsidRPr="00DF4CE5">
              <w:rPr>
                <w:rFonts w:ascii="Cambria" w:eastAsia="Times New Roman" w:hAnsi="Cambria" w:cs="Calibri"/>
                <w:lang w:val="it-IT"/>
              </w:rPr>
              <w:t>toj</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akademskoj</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godini</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Zadane</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rokove</w:t>
            </w:r>
            <w:proofErr w:type="spellEnd"/>
            <w:r w:rsidRPr="00DF4CE5">
              <w:rPr>
                <w:rFonts w:ascii="Cambria" w:eastAsia="Times New Roman" w:hAnsi="Cambria" w:cs="Calibri"/>
                <w:lang w:val="it-IT"/>
              </w:rPr>
              <w:t xml:space="preserve"> u </w:t>
            </w:r>
            <w:proofErr w:type="spellStart"/>
            <w:r w:rsidRPr="00DF4CE5">
              <w:rPr>
                <w:rFonts w:ascii="Cambria" w:eastAsia="Times New Roman" w:hAnsi="Cambria" w:cs="Calibri"/>
                <w:lang w:val="it-IT"/>
              </w:rPr>
              <w:t>ovome</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kolegiju</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treba</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poštivati</w:t>
            </w:r>
            <w:proofErr w:type="spellEnd"/>
            <w:r w:rsidRPr="00DF4CE5">
              <w:rPr>
                <w:rFonts w:ascii="Cambria" w:eastAsia="Times New Roman" w:hAnsi="Cambria" w:cs="Calibri"/>
                <w:lang w:val="it-IT"/>
              </w:rPr>
              <w:t>.</w:t>
            </w:r>
          </w:p>
        </w:tc>
      </w:tr>
      <w:tr w:rsidR="000247DA" w:rsidRPr="00D0399C" w14:paraId="228EECC6" w14:textId="77777777" w:rsidTr="00127501">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32C8741" w14:textId="77777777" w:rsidR="000247DA" w:rsidRPr="005C2363" w:rsidRDefault="000247DA" w:rsidP="00BB64BF">
            <w:pPr>
              <w:spacing w:after="0" w:line="240" w:lineRule="auto"/>
              <w:rPr>
                <w:rFonts w:ascii="Cambria" w:eastAsia="Times New Roman" w:hAnsi="Cambria" w:cs="Calibri"/>
                <w:lang w:val="hr-HR"/>
              </w:rPr>
            </w:pPr>
            <w:r w:rsidRPr="005C2363">
              <w:rPr>
                <w:rFonts w:ascii="Cambria" w:eastAsia="Times New Roman" w:hAnsi="Cambria" w:cs="Calibri"/>
                <w:lang w:val="hr-HR"/>
              </w:rPr>
              <w:t>Rokovi ispita i kolokvija</w:t>
            </w:r>
          </w:p>
        </w:tc>
        <w:tc>
          <w:tcPr>
            <w:tcW w:w="6798"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0E4DC659" w14:textId="77777777" w:rsidR="000247DA" w:rsidRPr="00DF4CE5" w:rsidRDefault="000247DA" w:rsidP="00BB64BF">
            <w:pPr>
              <w:snapToGrid w:val="0"/>
              <w:spacing w:after="0" w:line="100" w:lineRule="atLeast"/>
              <w:jc w:val="both"/>
              <w:rPr>
                <w:rFonts w:ascii="Cambria" w:eastAsia="Times New Roman" w:hAnsi="Cambria" w:cs="Calibri"/>
                <w:lang w:val="hr-HR"/>
              </w:rPr>
            </w:pPr>
            <w:r w:rsidRPr="00DF4CE5">
              <w:rPr>
                <w:rFonts w:ascii="Cambria" w:eastAsia="Times New Roman" w:hAnsi="Cambria" w:cs="Calibri"/>
                <w:lang w:val="hr-HR"/>
              </w:rPr>
              <w:t xml:space="preserve">Daju se na početku akademske godine, objavljuju se na mrežnim </w:t>
            </w:r>
          </w:p>
          <w:p w14:paraId="300A9F52" w14:textId="0BB73E28" w:rsidR="000247DA" w:rsidRPr="00DF4CE5" w:rsidRDefault="000247DA" w:rsidP="000247DA">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stranicama Sveučilišta i u ISVU.</w:t>
            </w:r>
          </w:p>
        </w:tc>
      </w:tr>
      <w:tr w:rsidR="000247DA" w:rsidRPr="000247DA" w14:paraId="584A355F" w14:textId="77777777" w:rsidTr="00127501">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01E358E" w14:textId="77777777" w:rsidR="000247DA" w:rsidRPr="005C2363" w:rsidRDefault="000247DA" w:rsidP="00BB64BF">
            <w:pPr>
              <w:spacing w:after="0" w:line="240" w:lineRule="auto"/>
              <w:rPr>
                <w:rFonts w:ascii="Cambria" w:eastAsia="Times New Roman" w:hAnsi="Cambria" w:cs="Calibri"/>
                <w:lang w:val="hr-HR"/>
              </w:rPr>
            </w:pPr>
            <w:r w:rsidRPr="005C2363">
              <w:rPr>
                <w:rFonts w:ascii="Cambria" w:eastAsia="Times New Roman" w:hAnsi="Cambria" w:cs="Calibri"/>
                <w:lang w:val="hr-HR"/>
              </w:rPr>
              <w:t>Ostale važne činjenice vezane uz kolegij</w:t>
            </w:r>
          </w:p>
        </w:tc>
        <w:tc>
          <w:tcPr>
            <w:tcW w:w="6798"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01F96953" w14:textId="641FE242" w:rsidR="000247DA" w:rsidRPr="00DF4CE5" w:rsidRDefault="000247DA" w:rsidP="00BB64BF">
            <w:pPr>
              <w:snapToGrid w:val="0"/>
              <w:spacing w:after="0" w:line="100" w:lineRule="atLeast"/>
              <w:jc w:val="both"/>
              <w:rPr>
                <w:rFonts w:ascii="Cambria" w:eastAsia="Times New Roman" w:hAnsi="Cambria" w:cs="Calibri"/>
                <w:lang w:val="hr-HR"/>
              </w:rPr>
            </w:pPr>
            <w:r w:rsidRPr="00DF4CE5">
              <w:rPr>
                <w:rFonts w:ascii="Cambria" w:eastAsia="Times New Roman" w:hAnsi="Cambria" w:cs="Calibri"/>
                <w:lang w:val="hr-HR"/>
              </w:rPr>
              <w:t>U slučaju održavanja nastave na daljinu, moguće je odstupanje u: mjestu izvođenja kolegija, provedbi aktivnosti, metoda tumačenja i poučavanja i načinima vrednovanja, studentskim obvezama i dostupnoj literaturi. O tome će nositeljica kolegija obavijestiti studente i studentice kad se nastava na daljinu počne održavati. Ishodi učenja ostaju nepromijenjeni.</w:t>
            </w:r>
          </w:p>
        </w:tc>
      </w:tr>
      <w:tr w:rsidR="000247DA" w:rsidRPr="00D0399C" w14:paraId="29C8A188" w14:textId="77777777" w:rsidTr="00127501">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1EE5B67" w14:textId="77777777" w:rsidR="000247DA" w:rsidRPr="005C2363" w:rsidRDefault="000247DA" w:rsidP="00BB64BF">
            <w:pPr>
              <w:spacing w:after="0" w:line="240" w:lineRule="auto"/>
              <w:rPr>
                <w:rFonts w:ascii="Cambria" w:eastAsia="Times New Roman" w:hAnsi="Cambria" w:cs="Calibri"/>
                <w:lang w:val="hr-HR"/>
              </w:rPr>
            </w:pPr>
            <w:r>
              <w:rPr>
                <w:rFonts w:ascii="Cambria" w:eastAsia="Times New Roman" w:hAnsi="Cambria" w:cs="Calibri"/>
                <w:lang w:val="hr-HR"/>
              </w:rPr>
              <w:t>Literatura</w:t>
            </w:r>
          </w:p>
        </w:tc>
        <w:tc>
          <w:tcPr>
            <w:tcW w:w="6798"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0353964" w14:textId="77777777" w:rsidR="000247DA" w:rsidRPr="00A420B2" w:rsidRDefault="000247DA" w:rsidP="00BB64BF">
            <w:pPr>
              <w:snapToGrid w:val="0"/>
              <w:spacing w:after="0" w:line="240" w:lineRule="auto"/>
              <w:jc w:val="both"/>
              <w:rPr>
                <w:rFonts w:ascii="Cambria" w:eastAsia="Times New Roman" w:hAnsi="Cambria" w:cs="Calibri"/>
                <w:lang w:val="hr-HR"/>
              </w:rPr>
            </w:pPr>
            <w:r w:rsidRPr="00A420B2">
              <w:rPr>
                <w:rFonts w:ascii="Cambria" w:eastAsia="Times New Roman" w:hAnsi="Cambria" w:cs="Calibri"/>
                <w:lang w:val="hr-HR"/>
              </w:rPr>
              <w:t>Obavezna:</w:t>
            </w:r>
          </w:p>
          <w:p w14:paraId="34E762EF" w14:textId="77777777" w:rsidR="000247DA" w:rsidRPr="00A420B2" w:rsidRDefault="000247DA" w:rsidP="00BB64BF">
            <w:pPr>
              <w:snapToGrid w:val="0"/>
              <w:spacing w:after="0" w:line="240" w:lineRule="auto"/>
              <w:jc w:val="both"/>
              <w:rPr>
                <w:rFonts w:ascii="Cambria" w:eastAsia="Times New Roman" w:hAnsi="Cambria" w:cs="Calibri"/>
                <w:lang w:val="hr-HR"/>
              </w:rPr>
            </w:pPr>
            <w:r w:rsidRPr="00A420B2">
              <w:rPr>
                <w:rFonts w:ascii="Cambria" w:eastAsia="Times New Roman" w:hAnsi="Cambria" w:cs="Calibri"/>
                <w:lang w:val="hr-HR"/>
              </w:rPr>
              <w:lastRenderedPageBreak/>
              <w:t xml:space="preserve">1. </w:t>
            </w:r>
            <w:proofErr w:type="spellStart"/>
            <w:r w:rsidRPr="00A420B2">
              <w:rPr>
                <w:rFonts w:ascii="Cambria" w:eastAsia="Times New Roman" w:hAnsi="Cambria" w:cs="Calibri"/>
                <w:lang w:val="hr-HR"/>
              </w:rPr>
              <w:t>Kadum</w:t>
            </w:r>
            <w:proofErr w:type="spellEnd"/>
            <w:r w:rsidRPr="00A420B2">
              <w:rPr>
                <w:rFonts w:ascii="Cambria" w:eastAsia="Times New Roman" w:hAnsi="Cambria" w:cs="Calibri"/>
                <w:lang w:val="hr-HR"/>
              </w:rPr>
              <w:t xml:space="preserve">, S.; </w:t>
            </w:r>
            <w:proofErr w:type="spellStart"/>
            <w:r w:rsidRPr="00A420B2">
              <w:rPr>
                <w:rFonts w:ascii="Cambria" w:eastAsia="Times New Roman" w:hAnsi="Cambria" w:cs="Calibri"/>
                <w:lang w:val="hr-HR"/>
              </w:rPr>
              <w:t>Hozjan</w:t>
            </w:r>
            <w:proofErr w:type="spellEnd"/>
            <w:r w:rsidRPr="00A420B2">
              <w:rPr>
                <w:rFonts w:ascii="Cambria" w:eastAsia="Times New Roman" w:hAnsi="Cambria" w:cs="Calibri"/>
                <w:lang w:val="hr-HR"/>
              </w:rPr>
              <w:t>, D. (2015), Darovitost u nastavi, Pula, Sveučilište Jurja Dobrile</w:t>
            </w:r>
          </w:p>
          <w:p w14:paraId="2BCB27BE" w14:textId="77777777" w:rsidR="000247DA" w:rsidRPr="00A420B2" w:rsidRDefault="000247DA" w:rsidP="00BB64BF">
            <w:pPr>
              <w:snapToGrid w:val="0"/>
              <w:spacing w:after="0" w:line="240" w:lineRule="auto"/>
              <w:jc w:val="both"/>
              <w:rPr>
                <w:rFonts w:ascii="Cambria" w:eastAsia="Times New Roman" w:hAnsi="Cambria" w:cs="Calibri"/>
                <w:lang w:val="hr-HR"/>
              </w:rPr>
            </w:pPr>
            <w:r w:rsidRPr="00A420B2">
              <w:rPr>
                <w:rFonts w:ascii="Cambria" w:eastAsia="Times New Roman" w:hAnsi="Cambria" w:cs="Calibri"/>
                <w:lang w:val="hr-HR"/>
              </w:rPr>
              <w:t>2. Cvetković-</w:t>
            </w:r>
            <w:proofErr w:type="spellStart"/>
            <w:r w:rsidRPr="00A420B2">
              <w:rPr>
                <w:rFonts w:ascii="Cambria" w:eastAsia="Times New Roman" w:hAnsi="Cambria" w:cs="Calibri"/>
                <w:lang w:val="hr-HR"/>
              </w:rPr>
              <w:t>Lay</w:t>
            </w:r>
            <w:proofErr w:type="spellEnd"/>
            <w:r w:rsidRPr="00A420B2">
              <w:rPr>
                <w:rFonts w:ascii="Cambria" w:eastAsia="Times New Roman" w:hAnsi="Cambria" w:cs="Calibri"/>
                <w:lang w:val="hr-HR"/>
              </w:rPr>
              <w:t xml:space="preserve">, J. (2002), Darovito je što ću sa sobom. Zagreb, </w:t>
            </w:r>
            <w:proofErr w:type="spellStart"/>
            <w:r w:rsidRPr="00A420B2">
              <w:rPr>
                <w:rFonts w:ascii="Cambria" w:eastAsia="Times New Roman" w:hAnsi="Cambria" w:cs="Calibri"/>
                <w:lang w:val="hr-HR"/>
              </w:rPr>
              <w:t>Alinea</w:t>
            </w:r>
            <w:proofErr w:type="spellEnd"/>
          </w:p>
          <w:p w14:paraId="2BC0715A" w14:textId="77777777" w:rsidR="000247DA" w:rsidRPr="00A420B2" w:rsidRDefault="000247DA" w:rsidP="00BB64BF">
            <w:pPr>
              <w:snapToGrid w:val="0"/>
              <w:spacing w:after="0" w:line="240" w:lineRule="auto"/>
              <w:jc w:val="both"/>
              <w:rPr>
                <w:rFonts w:ascii="Cambria" w:eastAsia="Times New Roman" w:hAnsi="Cambria" w:cs="Calibri"/>
                <w:lang w:val="hr-HR"/>
              </w:rPr>
            </w:pPr>
            <w:r w:rsidRPr="00A420B2">
              <w:rPr>
                <w:rFonts w:ascii="Cambria" w:eastAsia="Times New Roman" w:hAnsi="Cambria" w:cs="Calibri"/>
                <w:lang w:val="hr-HR"/>
              </w:rPr>
              <w:t xml:space="preserve">3. </w:t>
            </w:r>
            <w:proofErr w:type="spellStart"/>
            <w:r w:rsidRPr="00A420B2">
              <w:rPr>
                <w:rFonts w:ascii="Cambria" w:eastAsia="Times New Roman" w:hAnsi="Cambria" w:cs="Calibri"/>
                <w:lang w:val="hr-HR"/>
              </w:rPr>
              <w:t>Winner</w:t>
            </w:r>
            <w:proofErr w:type="spellEnd"/>
            <w:r w:rsidRPr="00A420B2">
              <w:rPr>
                <w:rFonts w:ascii="Cambria" w:eastAsia="Times New Roman" w:hAnsi="Cambria" w:cs="Calibri"/>
                <w:lang w:val="hr-HR"/>
              </w:rPr>
              <w:t xml:space="preserve">, E. (2005), Darovita djeca: mitovi i stvarnost, Lekenik, Ostvarenje </w:t>
            </w:r>
          </w:p>
          <w:p w14:paraId="10C94E8F" w14:textId="77777777" w:rsidR="000247DA" w:rsidRPr="00A420B2" w:rsidRDefault="000247DA" w:rsidP="00BB64BF">
            <w:pPr>
              <w:snapToGrid w:val="0"/>
              <w:spacing w:after="0" w:line="240" w:lineRule="auto"/>
              <w:jc w:val="both"/>
              <w:rPr>
                <w:rFonts w:ascii="Cambria" w:eastAsia="Times New Roman" w:hAnsi="Cambria" w:cs="Calibri"/>
                <w:lang w:val="hr-HR"/>
              </w:rPr>
            </w:pPr>
            <w:r w:rsidRPr="00A420B2">
              <w:rPr>
                <w:rFonts w:ascii="Cambria" w:eastAsia="Times New Roman" w:hAnsi="Cambria" w:cs="Calibri"/>
                <w:lang w:val="hr-HR"/>
              </w:rPr>
              <w:t>Izborna:</w:t>
            </w:r>
          </w:p>
          <w:p w14:paraId="15D774A8" w14:textId="77777777" w:rsidR="000247DA" w:rsidRPr="00A420B2" w:rsidRDefault="000247DA" w:rsidP="00BB64BF">
            <w:pPr>
              <w:snapToGrid w:val="0"/>
              <w:spacing w:after="0" w:line="240" w:lineRule="auto"/>
              <w:jc w:val="both"/>
              <w:rPr>
                <w:rFonts w:ascii="Cambria" w:eastAsia="Times New Roman" w:hAnsi="Cambria" w:cs="Calibri"/>
                <w:lang w:val="hr-HR"/>
              </w:rPr>
            </w:pPr>
            <w:r w:rsidRPr="00A420B2">
              <w:rPr>
                <w:rFonts w:ascii="Cambria" w:eastAsia="Times New Roman" w:hAnsi="Cambria" w:cs="Calibri"/>
                <w:lang w:val="hr-HR"/>
              </w:rPr>
              <w:t xml:space="preserve">1. </w:t>
            </w:r>
            <w:proofErr w:type="spellStart"/>
            <w:r w:rsidRPr="00A420B2">
              <w:rPr>
                <w:rFonts w:ascii="Cambria" w:eastAsia="Times New Roman" w:hAnsi="Cambria" w:cs="Calibri"/>
                <w:lang w:val="hr-HR"/>
              </w:rPr>
              <w:t>Kadum</w:t>
            </w:r>
            <w:proofErr w:type="spellEnd"/>
            <w:r w:rsidRPr="00A420B2">
              <w:rPr>
                <w:rFonts w:ascii="Cambria" w:eastAsia="Times New Roman" w:hAnsi="Cambria" w:cs="Calibri"/>
                <w:lang w:val="hr-HR"/>
              </w:rPr>
              <w:t xml:space="preserve">-Bošnjak, S. (2013), Darovitost i daroviti u nastavi (matematike) primarnog obrazovanja, Koper, </w:t>
            </w:r>
            <w:proofErr w:type="spellStart"/>
            <w:r w:rsidRPr="00A420B2">
              <w:rPr>
                <w:rFonts w:ascii="Cambria" w:eastAsia="Times New Roman" w:hAnsi="Cambria" w:cs="Calibri"/>
                <w:lang w:val="hr-HR"/>
              </w:rPr>
              <w:t>Univerza</w:t>
            </w:r>
            <w:proofErr w:type="spellEnd"/>
            <w:r w:rsidRPr="00A420B2">
              <w:rPr>
                <w:rFonts w:ascii="Cambria" w:eastAsia="Times New Roman" w:hAnsi="Cambria" w:cs="Calibri"/>
                <w:lang w:val="hr-HR"/>
              </w:rPr>
              <w:t xml:space="preserve"> na </w:t>
            </w:r>
            <w:proofErr w:type="spellStart"/>
            <w:r w:rsidRPr="00A420B2">
              <w:rPr>
                <w:rFonts w:ascii="Cambria" w:eastAsia="Times New Roman" w:hAnsi="Cambria" w:cs="Calibri"/>
                <w:lang w:val="hr-HR"/>
              </w:rPr>
              <w:t>Primorskem</w:t>
            </w:r>
            <w:proofErr w:type="spellEnd"/>
            <w:r w:rsidRPr="00A420B2">
              <w:rPr>
                <w:rFonts w:ascii="Cambria" w:eastAsia="Times New Roman" w:hAnsi="Cambria" w:cs="Calibri"/>
                <w:lang w:val="hr-HR"/>
              </w:rPr>
              <w:t>, Pedagoški fakultet</w:t>
            </w:r>
          </w:p>
          <w:p w14:paraId="05A3070F" w14:textId="77777777" w:rsidR="000247DA" w:rsidRPr="00A420B2" w:rsidRDefault="000247DA" w:rsidP="00BB64BF">
            <w:pPr>
              <w:snapToGrid w:val="0"/>
              <w:spacing w:after="0" w:line="240" w:lineRule="auto"/>
              <w:jc w:val="both"/>
              <w:rPr>
                <w:rFonts w:ascii="Cambria" w:eastAsia="Times New Roman" w:hAnsi="Cambria" w:cs="Calibri"/>
                <w:lang w:val="hr-HR"/>
              </w:rPr>
            </w:pPr>
            <w:r w:rsidRPr="00A420B2">
              <w:rPr>
                <w:rFonts w:ascii="Cambria" w:eastAsia="Times New Roman" w:hAnsi="Cambria" w:cs="Calibri"/>
                <w:lang w:val="hr-HR"/>
              </w:rPr>
              <w:t xml:space="preserve">2. George, D. (2005). Obrazovanje darovitih </w:t>
            </w:r>
          </w:p>
          <w:p w14:paraId="5A527C80" w14:textId="3637ED3F" w:rsidR="000247DA" w:rsidRPr="00A420B2" w:rsidRDefault="000247DA" w:rsidP="00BB64BF">
            <w:pPr>
              <w:snapToGrid w:val="0"/>
              <w:spacing w:after="0" w:line="240" w:lineRule="auto"/>
              <w:jc w:val="both"/>
              <w:rPr>
                <w:rFonts w:ascii="Cambria" w:eastAsia="Times New Roman" w:hAnsi="Cambria" w:cs="Calibri"/>
                <w:lang w:val="hr-HR"/>
              </w:rPr>
            </w:pPr>
            <w:r w:rsidRPr="00A420B2">
              <w:rPr>
                <w:rFonts w:ascii="Cambria" w:eastAsia="Times New Roman" w:hAnsi="Cambria" w:cs="Calibri"/>
                <w:lang w:val="hr-HR"/>
              </w:rPr>
              <w:t>–</w:t>
            </w:r>
            <w:r>
              <w:rPr>
                <w:rFonts w:ascii="Cambria" w:eastAsia="Times New Roman" w:hAnsi="Cambria" w:cs="Calibri"/>
                <w:lang w:val="hr-HR"/>
              </w:rPr>
              <w:t xml:space="preserve"> </w:t>
            </w:r>
            <w:r w:rsidRPr="00A420B2">
              <w:rPr>
                <w:rFonts w:ascii="Cambria" w:eastAsia="Times New Roman" w:hAnsi="Cambria" w:cs="Calibri"/>
                <w:lang w:val="hr-HR"/>
              </w:rPr>
              <w:t xml:space="preserve">kako identificirati i obrazovati darovite i talentirane učenike, Zagreb, EDUCA </w:t>
            </w:r>
          </w:p>
          <w:p w14:paraId="297F213A" w14:textId="77777777" w:rsidR="000247DA" w:rsidRPr="00A420B2" w:rsidRDefault="000247DA" w:rsidP="00BB64BF">
            <w:pPr>
              <w:snapToGrid w:val="0"/>
              <w:spacing w:after="0" w:line="240" w:lineRule="auto"/>
              <w:jc w:val="both"/>
              <w:rPr>
                <w:rFonts w:ascii="Cambria" w:eastAsia="Times New Roman" w:hAnsi="Cambria" w:cs="Calibri"/>
                <w:lang w:val="hr-HR"/>
              </w:rPr>
            </w:pPr>
            <w:r w:rsidRPr="00A420B2">
              <w:rPr>
                <w:rFonts w:ascii="Cambria" w:eastAsia="Times New Roman" w:hAnsi="Cambria" w:cs="Calibri"/>
                <w:lang w:val="hr-HR"/>
              </w:rPr>
              <w:t xml:space="preserve">3. </w:t>
            </w:r>
            <w:proofErr w:type="spellStart"/>
            <w:r w:rsidRPr="00A420B2">
              <w:rPr>
                <w:rFonts w:ascii="Cambria" w:eastAsia="Times New Roman" w:hAnsi="Cambria" w:cs="Calibri"/>
                <w:lang w:val="hr-HR"/>
              </w:rPr>
              <w:t>Ozimec</w:t>
            </w:r>
            <w:proofErr w:type="spellEnd"/>
            <w:r w:rsidRPr="00A420B2">
              <w:rPr>
                <w:rFonts w:ascii="Cambria" w:eastAsia="Times New Roman" w:hAnsi="Cambria" w:cs="Calibri"/>
                <w:lang w:val="hr-HR"/>
              </w:rPr>
              <w:t xml:space="preserve">, S. (1996), Rađanje kreativnosti. Varaždinske </w:t>
            </w:r>
          </w:p>
          <w:p w14:paraId="0D2A8909" w14:textId="77777777" w:rsidR="000247DA" w:rsidRPr="00A420B2" w:rsidRDefault="000247DA" w:rsidP="00BB64BF">
            <w:pPr>
              <w:snapToGrid w:val="0"/>
              <w:spacing w:after="0" w:line="240" w:lineRule="auto"/>
              <w:jc w:val="both"/>
              <w:rPr>
                <w:rFonts w:ascii="Cambria" w:eastAsia="Times New Roman" w:hAnsi="Cambria" w:cs="Calibri"/>
                <w:lang w:val="hr-HR"/>
              </w:rPr>
            </w:pPr>
            <w:proofErr w:type="spellStart"/>
            <w:r w:rsidRPr="00A420B2">
              <w:rPr>
                <w:rFonts w:ascii="Cambria" w:eastAsia="Times New Roman" w:hAnsi="Cambria" w:cs="Calibri"/>
                <w:lang w:val="hr-HR"/>
              </w:rPr>
              <w:t>toplice:Tonimir</w:t>
            </w:r>
            <w:proofErr w:type="spellEnd"/>
          </w:p>
          <w:p w14:paraId="33D7E561" w14:textId="77777777" w:rsidR="000247DA" w:rsidRPr="00A420B2" w:rsidRDefault="000247DA" w:rsidP="00BB64BF">
            <w:pPr>
              <w:snapToGrid w:val="0"/>
              <w:spacing w:after="0" w:line="240" w:lineRule="auto"/>
              <w:jc w:val="both"/>
              <w:rPr>
                <w:rFonts w:ascii="Cambria" w:eastAsia="Times New Roman" w:hAnsi="Cambria" w:cs="Calibri"/>
                <w:lang w:val="hr-HR"/>
              </w:rPr>
            </w:pPr>
            <w:r w:rsidRPr="00A420B2">
              <w:rPr>
                <w:rFonts w:ascii="Cambria" w:eastAsia="Times New Roman" w:hAnsi="Cambria" w:cs="Calibri"/>
                <w:lang w:val="hr-HR"/>
              </w:rPr>
              <w:t>4. Gardner, H. (1999), Inteligencija-različita gledišta. Jastrebarsko: Naklada Slap</w:t>
            </w:r>
          </w:p>
          <w:p w14:paraId="7C877C2C" w14:textId="77777777" w:rsidR="000247DA" w:rsidRPr="00A420B2" w:rsidRDefault="000247DA" w:rsidP="00BB64BF">
            <w:pPr>
              <w:snapToGrid w:val="0"/>
              <w:spacing w:after="0" w:line="240" w:lineRule="auto"/>
              <w:jc w:val="both"/>
              <w:rPr>
                <w:rFonts w:ascii="Cambria" w:eastAsia="Times New Roman" w:hAnsi="Cambria" w:cs="Calibri"/>
                <w:lang w:val="hr-HR"/>
              </w:rPr>
            </w:pPr>
            <w:r w:rsidRPr="00A420B2">
              <w:rPr>
                <w:rFonts w:ascii="Cambria" w:eastAsia="Times New Roman" w:hAnsi="Cambria" w:cs="Calibri"/>
                <w:lang w:val="hr-HR"/>
              </w:rPr>
              <w:t>5. Sternberg, R. (1995), Uspješna inteligencija. Zagreb: Barka</w:t>
            </w:r>
          </w:p>
          <w:p w14:paraId="74B39E31" w14:textId="77777777" w:rsidR="000247DA" w:rsidRPr="00DF4CE5" w:rsidRDefault="000247DA" w:rsidP="00BB64BF">
            <w:pPr>
              <w:snapToGrid w:val="0"/>
              <w:spacing w:after="0" w:line="240" w:lineRule="auto"/>
              <w:jc w:val="both"/>
              <w:rPr>
                <w:rFonts w:ascii="Cambria" w:eastAsia="Times New Roman" w:hAnsi="Cambria" w:cs="Calibri"/>
                <w:lang w:val="hr-HR"/>
              </w:rPr>
            </w:pPr>
            <w:r w:rsidRPr="00A420B2">
              <w:rPr>
                <w:rFonts w:ascii="Cambria" w:eastAsia="Times New Roman" w:hAnsi="Cambria" w:cs="Calibri"/>
                <w:lang w:val="hr-HR"/>
              </w:rPr>
              <w:t>6. Praćenje stručnih časopisa (Napredak, Školski vjesnik, Život i škola, Zrno,...) te prikupljanje informacija mrežnim uslugama</w:t>
            </w:r>
          </w:p>
        </w:tc>
      </w:tr>
    </w:tbl>
    <w:p w14:paraId="380802B6" w14:textId="77777777" w:rsidR="006B2BBC" w:rsidRPr="00DF4CE5" w:rsidRDefault="006B2BBC" w:rsidP="008B34AF">
      <w:pPr>
        <w:jc w:val="both"/>
        <w:rPr>
          <w:rFonts w:ascii="Cambria" w:eastAsia="Calibri" w:hAnsi="Cambria" w:cs="Times New Roman"/>
          <w:lang w:val="hr-HR"/>
        </w:rPr>
      </w:pPr>
    </w:p>
    <w:p w14:paraId="265CD3BD" w14:textId="77777777" w:rsidR="006B2BBC" w:rsidRPr="00DF4CE5" w:rsidRDefault="006B2BBC" w:rsidP="008B34AF">
      <w:pPr>
        <w:jc w:val="both"/>
        <w:rPr>
          <w:rFonts w:ascii="Cambria" w:eastAsia="Calibri" w:hAnsi="Cambria" w:cs="Times New Roman"/>
          <w:lang w:val="hr-HR"/>
        </w:rPr>
      </w:pPr>
    </w:p>
    <w:p w14:paraId="5233C869" w14:textId="77777777" w:rsidR="006B2BBC" w:rsidRPr="00DF4CE5" w:rsidRDefault="006B2BBC" w:rsidP="008B34AF">
      <w:pPr>
        <w:jc w:val="both"/>
        <w:rPr>
          <w:rFonts w:ascii="Cambria" w:eastAsia="Calibri" w:hAnsi="Cambria" w:cs="Times New Roman"/>
          <w:lang w:val="hr-HR"/>
        </w:rPr>
      </w:pPr>
    </w:p>
    <w:p w14:paraId="279C3A50" w14:textId="77777777" w:rsidR="006B2BBC" w:rsidRPr="00DF4CE5" w:rsidRDefault="006B2BBC" w:rsidP="008B34AF">
      <w:pPr>
        <w:jc w:val="both"/>
        <w:rPr>
          <w:rFonts w:ascii="Cambria" w:eastAsia="Calibri" w:hAnsi="Cambria" w:cs="Times New Roman"/>
          <w:lang w:val="hr-HR"/>
        </w:rPr>
      </w:pPr>
    </w:p>
    <w:p w14:paraId="2F75E48F" w14:textId="77777777" w:rsidR="006B2BBC" w:rsidRPr="00DF4CE5" w:rsidRDefault="006B2BBC" w:rsidP="008B34AF">
      <w:pPr>
        <w:jc w:val="both"/>
        <w:rPr>
          <w:rFonts w:ascii="Cambria" w:eastAsia="Calibri" w:hAnsi="Cambria" w:cs="Times New Roman"/>
          <w:lang w:val="hr-HR"/>
        </w:rPr>
      </w:pPr>
    </w:p>
    <w:p w14:paraId="58CDFF17" w14:textId="77777777" w:rsidR="006B2BBC" w:rsidRPr="00DF4CE5" w:rsidRDefault="006B2BBC" w:rsidP="008B34AF">
      <w:pPr>
        <w:jc w:val="both"/>
        <w:rPr>
          <w:rFonts w:ascii="Cambria" w:eastAsia="Calibri" w:hAnsi="Cambria" w:cs="Times New Roman"/>
          <w:lang w:val="hr-HR"/>
        </w:rPr>
      </w:pPr>
    </w:p>
    <w:p w14:paraId="716ACE1A" w14:textId="7BD77210" w:rsidR="00AF0D71" w:rsidRDefault="00AF0D71">
      <w:pPr>
        <w:rPr>
          <w:rFonts w:ascii="Cambria" w:eastAsia="Calibri" w:hAnsi="Cambria" w:cs="Times New Roman"/>
          <w:lang w:val="hr-HR"/>
        </w:rPr>
      </w:pPr>
      <w:r>
        <w:rPr>
          <w:rFonts w:ascii="Cambria" w:eastAsia="Calibri" w:hAnsi="Cambria" w:cs="Times New Roman"/>
          <w:lang w:val="hr-HR"/>
        </w:rPr>
        <w:br w:type="page"/>
      </w:r>
    </w:p>
    <w:tbl>
      <w:tblPr>
        <w:tblW w:w="5231" w:type="pct"/>
        <w:tblLayout w:type="fixed"/>
        <w:tblCellMar>
          <w:left w:w="0" w:type="dxa"/>
          <w:right w:w="0" w:type="dxa"/>
        </w:tblCellMar>
        <w:tblLook w:val="0600" w:firstRow="0" w:lastRow="0" w:firstColumn="0" w:lastColumn="0" w:noHBand="1" w:noVBand="1"/>
      </w:tblPr>
      <w:tblGrid>
        <w:gridCol w:w="2617"/>
        <w:gridCol w:w="2482"/>
        <w:gridCol w:w="98"/>
        <w:gridCol w:w="1092"/>
        <w:gridCol w:w="280"/>
        <w:gridCol w:w="440"/>
        <w:gridCol w:w="1013"/>
        <w:gridCol w:w="1750"/>
      </w:tblGrid>
      <w:tr w:rsidR="009E5E8A" w:rsidRPr="009E5E8A" w14:paraId="27EF4BF5" w14:textId="77777777" w:rsidTr="00BB64BF">
        <w:tc>
          <w:tcPr>
            <w:tcW w:w="9771"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A09E051" w14:textId="77777777" w:rsidR="009E5E8A" w:rsidRPr="009E5E8A" w:rsidRDefault="009E5E8A" w:rsidP="0057401D">
            <w:pPr>
              <w:spacing w:after="0" w:line="240" w:lineRule="auto"/>
              <w:jc w:val="right"/>
              <w:rPr>
                <w:rFonts w:ascii="Cambria" w:hAnsi="Cambria"/>
                <w:b/>
              </w:rPr>
            </w:pPr>
            <w:r w:rsidRPr="009E5E8A">
              <w:rPr>
                <w:rFonts w:ascii="Cambria" w:hAnsi="Cambria"/>
                <w:b/>
              </w:rPr>
              <w:lastRenderedPageBreak/>
              <w:t>IZVEDBENI PLAN NASTAVE KOLEGIJA</w:t>
            </w:r>
          </w:p>
        </w:tc>
      </w:tr>
      <w:tr w:rsidR="009E5E8A" w:rsidRPr="009E5E8A" w14:paraId="38A378FA" w14:textId="77777777" w:rsidTr="00BB64BF">
        <w:tc>
          <w:tcPr>
            <w:tcW w:w="261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241C940" w14:textId="77777777" w:rsidR="009E5E8A" w:rsidRPr="009E5E8A" w:rsidRDefault="009E5E8A" w:rsidP="0057401D">
            <w:pPr>
              <w:spacing w:after="0" w:line="240" w:lineRule="auto"/>
              <w:rPr>
                <w:rFonts w:ascii="Cambria" w:hAnsi="Cambria"/>
              </w:rPr>
            </w:pPr>
            <w:proofErr w:type="spellStart"/>
            <w:r w:rsidRPr="009E5E8A">
              <w:rPr>
                <w:rFonts w:ascii="Cambria" w:hAnsi="Cambria"/>
              </w:rPr>
              <w:t>Kod</w:t>
            </w:r>
            <w:proofErr w:type="spellEnd"/>
            <w:r w:rsidRPr="009E5E8A">
              <w:rPr>
                <w:rFonts w:ascii="Cambria" w:hAnsi="Cambria"/>
              </w:rPr>
              <w:t xml:space="preserve"> </w:t>
            </w:r>
            <w:proofErr w:type="spellStart"/>
            <w:r w:rsidRPr="009E5E8A">
              <w:rPr>
                <w:rFonts w:ascii="Cambria" w:hAnsi="Cambria"/>
              </w:rPr>
              <w:t>i</w:t>
            </w:r>
            <w:proofErr w:type="spellEnd"/>
            <w:r w:rsidRPr="009E5E8A">
              <w:rPr>
                <w:rFonts w:ascii="Cambria" w:hAnsi="Cambria"/>
              </w:rPr>
              <w:t xml:space="preserve"> </w:t>
            </w:r>
            <w:proofErr w:type="spellStart"/>
            <w:r w:rsidRPr="009E5E8A">
              <w:rPr>
                <w:rFonts w:ascii="Cambria" w:hAnsi="Cambria"/>
              </w:rPr>
              <w:t>naziv</w:t>
            </w:r>
            <w:proofErr w:type="spellEnd"/>
            <w:r w:rsidRPr="009E5E8A">
              <w:rPr>
                <w:rFonts w:ascii="Cambria" w:hAnsi="Cambria"/>
              </w:rPr>
              <w:t xml:space="preserve"> </w:t>
            </w:r>
            <w:proofErr w:type="spellStart"/>
            <w:r w:rsidRPr="009E5E8A">
              <w:rPr>
                <w:rFonts w:ascii="Cambria" w:hAnsi="Cambria"/>
              </w:rPr>
              <w:t>kolegija</w:t>
            </w:r>
            <w:proofErr w:type="spellEnd"/>
          </w:p>
        </w:tc>
        <w:tc>
          <w:tcPr>
            <w:tcW w:w="715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0D26E85" w14:textId="77777777" w:rsidR="009E5E8A" w:rsidRPr="009E5E8A" w:rsidRDefault="009E5E8A" w:rsidP="0057401D">
            <w:pPr>
              <w:spacing w:after="0" w:line="240" w:lineRule="auto"/>
              <w:rPr>
                <w:rFonts w:ascii="Cambria" w:hAnsi="Cambria"/>
              </w:rPr>
            </w:pPr>
            <w:r w:rsidRPr="009E5E8A">
              <w:rPr>
                <w:rFonts w:ascii="Cambria" w:hAnsi="Cambria"/>
              </w:rPr>
              <w:t>118965</w:t>
            </w:r>
          </w:p>
          <w:p w14:paraId="33E6CF17" w14:textId="77777777" w:rsidR="009E5E8A" w:rsidRPr="009E5E8A" w:rsidRDefault="009E5E8A" w:rsidP="0057401D">
            <w:pPr>
              <w:spacing w:after="0" w:line="240" w:lineRule="auto"/>
              <w:rPr>
                <w:rFonts w:ascii="Cambria" w:hAnsi="Cambria"/>
              </w:rPr>
            </w:pPr>
            <w:proofErr w:type="spellStart"/>
            <w:r w:rsidRPr="009E5E8A">
              <w:rPr>
                <w:rFonts w:ascii="Cambria" w:hAnsi="Cambria"/>
              </w:rPr>
              <w:t>Strategije</w:t>
            </w:r>
            <w:proofErr w:type="spellEnd"/>
            <w:r w:rsidRPr="009E5E8A">
              <w:rPr>
                <w:rFonts w:ascii="Cambria" w:hAnsi="Cambria"/>
              </w:rPr>
              <w:t xml:space="preserve"> </w:t>
            </w:r>
            <w:proofErr w:type="spellStart"/>
            <w:r w:rsidRPr="009E5E8A">
              <w:rPr>
                <w:rFonts w:ascii="Cambria" w:hAnsi="Cambria"/>
              </w:rPr>
              <w:t>aktivnog</w:t>
            </w:r>
            <w:proofErr w:type="spellEnd"/>
            <w:r w:rsidRPr="009E5E8A">
              <w:rPr>
                <w:rFonts w:ascii="Cambria" w:hAnsi="Cambria"/>
              </w:rPr>
              <w:t xml:space="preserve"> </w:t>
            </w:r>
            <w:proofErr w:type="spellStart"/>
            <w:r w:rsidRPr="009E5E8A">
              <w:rPr>
                <w:rFonts w:ascii="Cambria" w:hAnsi="Cambria"/>
              </w:rPr>
              <w:t>učenja</w:t>
            </w:r>
            <w:proofErr w:type="spellEnd"/>
          </w:p>
        </w:tc>
      </w:tr>
      <w:tr w:rsidR="009E5E8A" w:rsidRPr="009E5E8A" w14:paraId="678290D7" w14:textId="77777777" w:rsidTr="00BB64BF">
        <w:tc>
          <w:tcPr>
            <w:tcW w:w="261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2950035" w14:textId="141AE2E0" w:rsidR="009E5E8A" w:rsidRPr="009E5E8A" w:rsidRDefault="009E5E8A" w:rsidP="0057401D">
            <w:pPr>
              <w:spacing w:after="0" w:line="240" w:lineRule="auto"/>
              <w:rPr>
                <w:rFonts w:ascii="Cambria" w:hAnsi="Cambria"/>
              </w:rPr>
            </w:pPr>
            <w:proofErr w:type="spellStart"/>
            <w:r w:rsidRPr="009E5E8A">
              <w:rPr>
                <w:rFonts w:ascii="Cambria" w:hAnsi="Cambria"/>
              </w:rPr>
              <w:t>Nastavni</w:t>
            </w:r>
            <w:r>
              <w:rPr>
                <w:rFonts w:ascii="Cambria" w:hAnsi="Cambria"/>
              </w:rPr>
              <w:t>k</w:t>
            </w:r>
            <w:proofErr w:type="spellEnd"/>
          </w:p>
        </w:tc>
        <w:tc>
          <w:tcPr>
            <w:tcW w:w="715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F1C30A2" w14:textId="6ED31977" w:rsidR="009E5E8A" w:rsidRPr="009E5E8A" w:rsidRDefault="009E5E8A" w:rsidP="0057401D">
            <w:pPr>
              <w:spacing w:after="0" w:line="240" w:lineRule="auto"/>
              <w:rPr>
                <w:rFonts w:ascii="Cambria" w:hAnsi="Cambria"/>
              </w:rPr>
            </w:pPr>
            <w:hyperlink r:id="rId195" w:history="1">
              <w:proofErr w:type="spellStart"/>
              <w:r w:rsidRPr="00BB64BF">
                <w:rPr>
                  <w:rStyle w:val="Hiperveza"/>
                  <w:rFonts w:ascii="Cambria" w:hAnsi="Cambria"/>
                </w:rPr>
                <w:t>Izv</w:t>
              </w:r>
              <w:proofErr w:type="spellEnd"/>
              <w:r w:rsidRPr="00BB64BF">
                <w:rPr>
                  <w:rStyle w:val="Hiperveza"/>
                  <w:rFonts w:ascii="Cambria" w:hAnsi="Cambria"/>
                </w:rPr>
                <w:t xml:space="preserve">. prof. dr. sc. Andrea </w:t>
              </w:r>
              <w:proofErr w:type="spellStart"/>
              <w:r w:rsidRPr="00BB64BF">
                <w:rPr>
                  <w:rStyle w:val="Hiperveza"/>
                  <w:rFonts w:ascii="Cambria" w:hAnsi="Cambria"/>
                </w:rPr>
                <w:t>Debeljuh</w:t>
              </w:r>
              <w:proofErr w:type="spellEnd"/>
            </w:hyperlink>
            <w:r w:rsidR="00BB64BF">
              <w:rPr>
                <w:rFonts w:ascii="Cambria" w:hAnsi="Cambria"/>
              </w:rPr>
              <w:t xml:space="preserve"> (</w:t>
            </w:r>
            <w:proofErr w:type="spellStart"/>
            <w:r w:rsidR="00BB64BF">
              <w:rPr>
                <w:rFonts w:ascii="Cambria" w:hAnsi="Cambria"/>
              </w:rPr>
              <w:t>nositelj</w:t>
            </w:r>
            <w:proofErr w:type="spellEnd"/>
            <w:r w:rsidR="00BB64BF">
              <w:rPr>
                <w:rFonts w:ascii="Cambria" w:hAnsi="Cambria"/>
              </w:rPr>
              <w:t>)</w:t>
            </w:r>
          </w:p>
        </w:tc>
      </w:tr>
      <w:tr w:rsidR="009E5E8A" w:rsidRPr="00BB64BF" w14:paraId="713FF776" w14:textId="77777777" w:rsidTr="00BB64BF">
        <w:tc>
          <w:tcPr>
            <w:tcW w:w="261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6FB67B8" w14:textId="77777777" w:rsidR="009E5E8A" w:rsidRPr="009E5E8A" w:rsidRDefault="009E5E8A" w:rsidP="0057401D">
            <w:pPr>
              <w:spacing w:after="0" w:line="240" w:lineRule="auto"/>
              <w:rPr>
                <w:rFonts w:ascii="Cambria" w:hAnsi="Cambria"/>
              </w:rPr>
            </w:pPr>
            <w:proofErr w:type="spellStart"/>
            <w:r w:rsidRPr="009E5E8A">
              <w:rPr>
                <w:rFonts w:ascii="Cambria" w:hAnsi="Cambria"/>
              </w:rPr>
              <w:t>Studijski</w:t>
            </w:r>
            <w:proofErr w:type="spellEnd"/>
            <w:r w:rsidRPr="009E5E8A">
              <w:rPr>
                <w:rFonts w:ascii="Cambria" w:hAnsi="Cambria"/>
              </w:rPr>
              <w:t xml:space="preserve"> program</w:t>
            </w:r>
          </w:p>
        </w:tc>
        <w:tc>
          <w:tcPr>
            <w:tcW w:w="715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5C6A8A1" w14:textId="7D235B06" w:rsidR="009E5E8A" w:rsidRPr="00BB64BF" w:rsidRDefault="009E5E8A" w:rsidP="0057401D">
            <w:pPr>
              <w:spacing w:after="0" w:line="240" w:lineRule="auto"/>
              <w:rPr>
                <w:rFonts w:ascii="Cambria" w:hAnsi="Cambria"/>
              </w:rPr>
            </w:pPr>
            <w:proofErr w:type="spellStart"/>
            <w:r w:rsidRPr="00BB64BF">
              <w:rPr>
                <w:rFonts w:ascii="Cambria" w:hAnsi="Cambria"/>
              </w:rPr>
              <w:t>Sveučilišni</w:t>
            </w:r>
            <w:proofErr w:type="spellEnd"/>
            <w:r w:rsidRPr="00BB64BF">
              <w:rPr>
                <w:rFonts w:ascii="Cambria" w:hAnsi="Cambria"/>
              </w:rPr>
              <w:t xml:space="preserve"> </w:t>
            </w:r>
            <w:proofErr w:type="spellStart"/>
            <w:r w:rsidRPr="00BB64BF">
              <w:rPr>
                <w:rFonts w:ascii="Cambria" w:hAnsi="Cambria"/>
              </w:rPr>
              <w:t>integrirani</w:t>
            </w:r>
            <w:proofErr w:type="spellEnd"/>
            <w:r w:rsidRPr="00BB64BF">
              <w:rPr>
                <w:rFonts w:ascii="Cambria" w:hAnsi="Cambria"/>
              </w:rPr>
              <w:t xml:space="preserve"> </w:t>
            </w:r>
            <w:proofErr w:type="spellStart"/>
            <w:r w:rsidRPr="00BB64BF">
              <w:rPr>
                <w:rFonts w:ascii="Cambria" w:hAnsi="Cambria"/>
              </w:rPr>
              <w:t>prijediplomski</w:t>
            </w:r>
            <w:proofErr w:type="spellEnd"/>
            <w:r w:rsidRPr="00BB64BF">
              <w:rPr>
                <w:rFonts w:ascii="Cambria" w:hAnsi="Cambria"/>
              </w:rPr>
              <w:t xml:space="preserve"> </w:t>
            </w:r>
            <w:proofErr w:type="spellStart"/>
            <w:r w:rsidRPr="00BB64BF">
              <w:rPr>
                <w:rFonts w:ascii="Cambria" w:hAnsi="Cambria"/>
              </w:rPr>
              <w:t>i</w:t>
            </w:r>
            <w:proofErr w:type="spellEnd"/>
            <w:r w:rsidRPr="00BB64BF">
              <w:rPr>
                <w:rFonts w:ascii="Cambria" w:hAnsi="Cambria"/>
              </w:rPr>
              <w:t xml:space="preserve"> </w:t>
            </w:r>
            <w:proofErr w:type="spellStart"/>
            <w:r w:rsidRPr="00BB64BF">
              <w:rPr>
                <w:rFonts w:ascii="Cambria" w:hAnsi="Cambria"/>
              </w:rPr>
              <w:t>diplomski</w:t>
            </w:r>
            <w:proofErr w:type="spellEnd"/>
            <w:r w:rsidRPr="00BB64BF">
              <w:rPr>
                <w:rFonts w:ascii="Cambria" w:hAnsi="Cambria"/>
              </w:rPr>
              <w:t xml:space="preserve"> </w:t>
            </w:r>
            <w:proofErr w:type="spellStart"/>
            <w:r w:rsidRPr="00BB64BF">
              <w:rPr>
                <w:rFonts w:ascii="Cambria" w:hAnsi="Cambria"/>
              </w:rPr>
              <w:t>sveučilišni</w:t>
            </w:r>
            <w:proofErr w:type="spellEnd"/>
            <w:r w:rsidRPr="00BB64BF">
              <w:rPr>
                <w:rFonts w:ascii="Cambria" w:hAnsi="Cambria"/>
              </w:rPr>
              <w:t xml:space="preserve"> </w:t>
            </w:r>
            <w:proofErr w:type="spellStart"/>
            <w:r w:rsidRPr="00BB64BF">
              <w:rPr>
                <w:rFonts w:ascii="Cambria" w:hAnsi="Cambria"/>
              </w:rPr>
              <w:t>učiteljski</w:t>
            </w:r>
            <w:proofErr w:type="spellEnd"/>
            <w:r w:rsidRPr="00BB64BF">
              <w:rPr>
                <w:rFonts w:ascii="Cambria" w:hAnsi="Cambria"/>
              </w:rPr>
              <w:t xml:space="preserve"> </w:t>
            </w:r>
            <w:proofErr w:type="spellStart"/>
            <w:r w:rsidRPr="00BB64BF">
              <w:rPr>
                <w:rFonts w:ascii="Cambria" w:hAnsi="Cambria"/>
              </w:rPr>
              <w:t>studij</w:t>
            </w:r>
            <w:proofErr w:type="spellEnd"/>
            <w:r w:rsidR="00BB64BF" w:rsidRPr="00BB64BF">
              <w:rPr>
                <w:rFonts w:ascii="Cambria" w:hAnsi="Cambria"/>
              </w:rPr>
              <w:t xml:space="preserve"> </w:t>
            </w:r>
            <w:proofErr w:type="spellStart"/>
            <w:r w:rsidR="00BB64BF" w:rsidRPr="00BB64BF">
              <w:rPr>
                <w:rFonts w:ascii="Cambria" w:hAnsi="Cambria"/>
              </w:rPr>
              <w:t>n</w:t>
            </w:r>
            <w:r w:rsidR="00BB64BF">
              <w:rPr>
                <w:rFonts w:ascii="Cambria" w:hAnsi="Cambria"/>
              </w:rPr>
              <w:t>a</w:t>
            </w:r>
            <w:proofErr w:type="spellEnd"/>
            <w:r w:rsidR="00BB64BF">
              <w:rPr>
                <w:rFonts w:ascii="Cambria" w:hAnsi="Cambria"/>
              </w:rPr>
              <w:t xml:space="preserve"> </w:t>
            </w:r>
            <w:proofErr w:type="spellStart"/>
            <w:r w:rsidR="00BB64BF">
              <w:rPr>
                <w:rFonts w:ascii="Cambria" w:hAnsi="Cambria"/>
              </w:rPr>
              <w:t>hrvatskom</w:t>
            </w:r>
            <w:proofErr w:type="spellEnd"/>
            <w:r w:rsidR="00BB64BF">
              <w:rPr>
                <w:rFonts w:ascii="Cambria" w:hAnsi="Cambria"/>
              </w:rPr>
              <w:t xml:space="preserve"> </w:t>
            </w:r>
            <w:proofErr w:type="spellStart"/>
            <w:r w:rsidR="00BB64BF">
              <w:rPr>
                <w:rFonts w:ascii="Cambria" w:hAnsi="Cambria"/>
              </w:rPr>
              <w:t>jeziku</w:t>
            </w:r>
            <w:proofErr w:type="spellEnd"/>
          </w:p>
        </w:tc>
      </w:tr>
      <w:tr w:rsidR="009E5E8A" w:rsidRPr="009E5E8A" w14:paraId="21CC378B" w14:textId="77777777" w:rsidTr="00BB64BF">
        <w:tc>
          <w:tcPr>
            <w:tcW w:w="261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E0554F1" w14:textId="77777777" w:rsidR="009E5E8A" w:rsidRPr="009E5E8A" w:rsidRDefault="009E5E8A" w:rsidP="0057401D">
            <w:pPr>
              <w:spacing w:after="0" w:line="240" w:lineRule="auto"/>
              <w:rPr>
                <w:rFonts w:ascii="Cambria" w:hAnsi="Cambria"/>
              </w:rPr>
            </w:pPr>
            <w:proofErr w:type="spellStart"/>
            <w:r w:rsidRPr="009E5E8A">
              <w:rPr>
                <w:rFonts w:ascii="Cambria" w:hAnsi="Cambria"/>
              </w:rPr>
              <w:t>Vrsta</w:t>
            </w:r>
            <w:proofErr w:type="spellEnd"/>
            <w:r w:rsidRPr="009E5E8A">
              <w:rPr>
                <w:rFonts w:ascii="Cambria" w:hAnsi="Cambria"/>
              </w:rPr>
              <w:t xml:space="preserve"> </w:t>
            </w:r>
            <w:proofErr w:type="spellStart"/>
            <w:r w:rsidRPr="009E5E8A">
              <w:rPr>
                <w:rFonts w:ascii="Cambria" w:hAnsi="Cambria"/>
              </w:rPr>
              <w:t>kolegija</w:t>
            </w:r>
            <w:proofErr w:type="spellEnd"/>
          </w:p>
        </w:tc>
        <w:tc>
          <w:tcPr>
            <w:tcW w:w="248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D986AC1" w14:textId="77777777" w:rsidR="009E5E8A" w:rsidRPr="009E5E8A" w:rsidRDefault="009E5E8A" w:rsidP="0057401D">
            <w:pPr>
              <w:spacing w:after="0" w:line="240" w:lineRule="auto"/>
              <w:rPr>
                <w:rFonts w:ascii="Cambria" w:hAnsi="Cambria"/>
              </w:rPr>
            </w:pPr>
            <w:proofErr w:type="spellStart"/>
            <w:r w:rsidRPr="009E5E8A">
              <w:rPr>
                <w:rFonts w:ascii="Cambria" w:hAnsi="Cambria"/>
              </w:rPr>
              <w:t>izborni</w:t>
            </w:r>
            <w:proofErr w:type="spellEnd"/>
            <w:r w:rsidRPr="009E5E8A">
              <w:rPr>
                <w:rFonts w:ascii="Cambria" w:hAnsi="Cambria"/>
              </w:rPr>
              <w:t xml:space="preserve"> </w:t>
            </w:r>
          </w:p>
        </w:tc>
        <w:tc>
          <w:tcPr>
            <w:tcW w:w="1470"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0B4459B7" w14:textId="77777777" w:rsidR="009E5E8A" w:rsidRPr="009E5E8A" w:rsidRDefault="009E5E8A" w:rsidP="0057401D">
            <w:pPr>
              <w:spacing w:after="0" w:line="240" w:lineRule="auto"/>
              <w:rPr>
                <w:rFonts w:ascii="Cambria" w:hAnsi="Cambria"/>
              </w:rPr>
            </w:pPr>
            <w:r w:rsidRPr="009E5E8A">
              <w:rPr>
                <w:rFonts w:ascii="Cambria" w:hAnsi="Cambria"/>
              </w:rPr>
              <w:t xml:space="preserve">Razina </w:t>
            </w:r>
            <w:proofErr w:type="spellStart"/>
            <w:r w:rsidRPr="009E5E8A">
              <w:rPr>
                <w:rFonts w:ascii="Cambria" w:hAnsi="Cambria"/>
              </w:rPr>
              <w:t>kolegija</w:t>
            </w:r>
            <w:proofErr w:type="spellEnd"/>
          </w:p>
        </w:tc>
        <w:tc>
          <w:tcPr>
            <w:tcW w:w="3203"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8326EA9" w14:textId="77777777" w:rsidR="009E5E8A" w:rsidRPr="009E5E8A" w:rsidRDefault="009E5E8A" w:rsidP="0057401D">
            <w:pPr>
              <w:spacing w:after="0" w:line="240" w:lineRule="auto"/>
              <w:rPr>
                <w:rFonts w:ascii="Cambria" w:hAnsi="Cambria"/>
              </w:rPr>
            </w:pPr>
            <w:proofErr w:type="spellStart"/>
            <w:r w:rsidRPr="009E5E8A">
              <w:rPr>
                <w:rFonts w:ascii="Cambria" w:hAnsi="Cambria"/>
                <w:lang w:val="it-IT"/>
              </w:rPr>
              <w:t>integrirani</w:t>
            </w:r>
            <w:proofErr w:type="spellEnd"/>
          </w:p>
        </w:tc>
      </w:tr>
      <w:tr w:rsidR="009E5E8A" w:rsidRPr="009E5E8A" w14:paraId="64417732" w14:textId="77777777" w:rsidTr="00BB64BF">
        <w:tc>
          <w:tcPr>
            <w:tcW w:w="261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27B836C" w14:textId="77777777" w:rsidR="009E5E8A" w:rsidRPr="009E5E8A" w:rsidRDefault="009E5E8A" w:rsidP="0057401D">
            <w:pPr>
              <w:spacing w:after="0" w:line="240" w:lineRule="auto"/>
              <w:rPr>
                <w:rFonts w:ascii="Cambria" w:hAnsi="Cambria"/>
              </w:rPr>
            </w:pPr>
            <w:proofErr w:type="spellStart"/>
            <w:r w:rsidRPr="009E5E8A">
              <w:rPr>
                <w:rFonts w:ascii="Cambria" w:hAnsi="Cambria"/>
              </w:rPr>
              <w:t>Semestar</w:t>
            </w:r>
            <w:proofErr w:type="spellEnd"/>
          </w:p>
        </w:tc>
        <w:tc>
          <w:tcPr>
            <w:tcW w:w="248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76D9B5A" w14:textId="77777777" w:rsidR="009E5E8A" w:rsidRPr="009E5E8A" w:rsidRDefault="009E5E8A" w:rsidP="0057401D">
            <w:pPr>
              <w:spacing w:after="0" w:line="240" w:lineRule="auto"/>
              <w:rPr>
                <w:rFonts w:ascii="Cambria" w:hAnsi="Cambria"/>
              </w:rPr>
            </w:pPr>
            <w:proofErr w:type="spellStart"/>
            <w:r w:rsidRPr="009E5E8A">
              <w:rPr>
                <w:rFonts w:ascii="Cambria" w:hAnsi="Cambria"/>
              </w:rPr>
              <w:t>ljetni</w:t>
            </w:r>
            <w:proofErr w:type="spellEnd"/>
          </w:p>
        </w:tc>
        <w:tc>
          <w:tcPr>
            <w:tcW w:w="1470"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52EDB2B9" w14:textId="77777777" w:rsidR="009E5E8A" w:rsidRPr="009E5E8A" w:rsidRDefault="009E5E8A" w:rsidP="0057401D">
            <w:pPr>
              <w:spacing w:after="0" w:line="240" w:lineRule="auto"/>
              <w:rPr>
                <w:rFonts w:ascii="Cambria" w:hAnsi="Cambria"/>
              </w:rPr>
            </w:pPr>
            <w:r w:rsidRPr="009E5E8A">
              <w:rPr>
                <w:rFonts w:ascii="Cambria" w:hAnsi="Cambria"/>
              </w:rPr>
              <w:t xml:space="preserve">Godina </w:t>
            </w:r>
            <w:proofErr w:type="spellStart"/>
            <w:r w:rsidRPr="009E5E8A">
              <w:rPr>
                <w:rFonts w:ascii="Cambria" w:hAnsi="Cambria"/>
              </w:rPr>
              <w:t>studija</w:t>
            </w:r>
            <w:proofErr w:type="spellEnd"/>
          </w:p>
        </w:tc>
        <w:tc>
          <w:tcPr>
            <w:tcW w:w="3203"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3EE33AF" w14:textId="77777777" w:rsidR="009E5E8A" w:rsidRPr="009E5E8A" w:rsidRDefault="009E5E8A" w:rsidP="0057401D">
            <w:pPr>
              <w:spacing w:after="0" w:line="240" w:lineRule="auto"/>
              <w:rPr>
                <w:rFonts w:ascii="Cambria" w:hAnsi="Cambria"/>
              </w:rPr>
            </w:pPr>
            <w:r w:rsidRPr="009E5E8A">
              <w:rPr>
                <w:rFonts w:ascii="Cambria" w:hAnsi="Cambria"/>
              </w:rPr>
              <w:t>V.</w:t>
            </w:r>
          </w:p>
        </w:tc>
      </w:tr>
      <w:tr w:rsidR="009E5E8A" w:rsidRPr="009E5E8A" w14:paraId="7CAA7400" w14:textId="77777777" w:rsidTr="00BB64BF">
        <w:tc>
          <w:tcPr>
            <w:tcW w:w="261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E86A2F7" w14:textId="77777777" w:rsidR="009E5E8A" w:rsidRPr="009E5E8A" w:rsidRDefault="009E5E8A" w:rsidP="0057401D">
            <w:pPr>
              <w:spacing w:after="0" w:line="240" w:lineRule="auto"/>
              <w:rPr>
                <w:rFonts w:ascii="Cambria" w:hAnsi="Cambria"/>
              </w:rPr>
            </w:pPr>
            <w:proofErr w:type="spellStart"/>
            <w:r w:rsidRPr="009E5E8A">
              <w:rPr>
                <w:rFonts w:ascii="Cambria" w:hAnsi="Cambria"/>
              </w:rPr>
              <w:t>Mjesto</w:t>
            </w:r>
            <w:proofErr w:type="spellEnd"/>
            <w:r w:rsidRPr="009E5E8A">
              <w:rPr>
                <w:rFonts w:ascii="Cambria" w:hAnsi="Cambria"/>
              </w:rPr>
              <w:t xml:space="preserve"> </w:t>
            </w:r>
            <w:proofErr w:type="spellStart"/>
            <w:r w:rsidRPr="009E5E8A">
              <w:rPr>
                <w:rFonts w:ascii="Cambria" w:hAnsi="Cambria"/>
              </w:rPr>
              <w:t>izvođenja</w:t>
            </w:r>
            <w:proofErr w:type="spellEnd"/>
          </w:p>
        </w:tc>
        <w:tc>
          <w:tcPr>
            <w:tcW w:w="248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E26A37D" w14:textId="77777777" w:rsidR="009E5E8A" w:rsidRPr="009E5E8A" w:rsidRDefault="009E5E8A" w:rsidP="0057401D">
            <w:pPr>
              <w:spacing w:after="0" w:line="240" w:lineRule="auto"/>
              <w:rPr>
                <w:rFonts w:ascii="Cambria" w:hAnsi="Cambria"/>
              </w:rPr>
            </w:pPr>
            <w:proofErr w:type="spellStart"/>
            <w:r w:rsidRPr="009E5E8A">
              <w:rPr>
                <w:rFonts w:ascii="Cambria" w:hAnsi="Cambria"/>
              </w:rPr>
              <w:t>dvorana</w:t>
            </w:r>
            <w:proofErr w:type="spellEnd"/>
            <w:r w:rsidRPr="009E5E8A">
              <w:rPr>
                <w:rFonts w:ascii="Cambria" w:hAnsi="Cambria"/>
              </w:rPr>
              <w:t xml:space="preserve"> </w:t>
            </w:r>
          </w:p>
        </w:tc>
        <w:tc>
          <w:tcPr>
            <w:tcW w:w="1470"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3B5AD05F" w14:textId="77777777" w:rsidR="009E5E8A" w:rsidRPr="009E5E8A" w:rsidRDefault="009E5E8A" w:rsidP="0057401D">
            <w:pPr>
              <w:spacing w:after="0" w:line="240" w:lineRule="auto"/>
              <w:rPr>
                <w:rFonts w:ascii="Cambria" w:hAnsi="Cambria"/>
              </w:rPr>
            </w:pPr>
            <w:r w:rsidRPr="009E5E8A">
              <w:rPr>
                <w:rFonts w:ascii="Cambria" w:hAnsi="Cambria"/>
              </w:rPr>
              <w:t xml:space="preserve">Jezik </w:t>
            </w:r>
            <w:proofErr w:type="spellStart"/>
            <w:r w:rsidRPr="009E5E8A">
              <w:rPr>
                <w:rFonts w:ascii="Cambria" w:hAnsi="Cambria"/>
              </w:rPr>
              <w:t>izvođenja</w:t>
            </w:r>
            <w:proofErr w:type="spellEnd"/>
            <w:r w:rsidRPr="009E5E8A">
              <w:rPr>
                <w:rFonts w:ascii="Cambria" w:hAnsi="Cambria"/>
              </w:rPr>
              <w:t xml:space="preserve"> (</w:t>
            </w:r>
            <w:proofErr w:type="spellStart"/>
            <w:r w:rsidRPr="009E5E8A">
              <w:rPr>
                <w:rFonts w:ascii="Cambria" w:hAnsi="Cambria"/>
              </w:rPr>
              <w:t>drugi</w:t>
            </w:r>
            <w:proofErr w:type="spellEnd"/>
            <w:r w:rsidRPr="009E5E8A">
              <w:rPr>
                <w:rFonts w:ascii="Cambria" w:hAnsi="Cambria"/>
              </w:rPr>
              <w:t xml:space="preserve"> </w:t>
            </w:r>
            <w:proofErr w:type="spellStart"/>
            <w:r w:rsidRPr="009E5E8A">
              <w:rPr>
                <w:rFonts w:ascii="Cambria" w:hAnsi="Cambria"/>
              </w:rPr>
              <w:t>jezici</w:t>
            </w:r>
            <w:proofErr w:type="spellEnd"/>
            <w:r w:rsidRPr="009E5E8A">
              <w:rPr>
                <w:rFonts w:ascii="Cambria" w:hAnsi="Cambria"/>
              </w:rPr>
              <w:t>)</w:t>
            </w:r>
          </w:p>
        </w:tc>
        <w:tc>
          <w:tcPr>
            <w:tcW w:w="3203"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5F89DD0" w14:textId="77777777" w:rsidR="009E5E8A" w:rsidRPr="009E5E8A" w:rsidRDefault="009E5E8A" w:rsidP="0057401D">
            <w:pPr>
              <w:spacing w:after="0" w:line="240" w:lineRule="auto"/>
              <w:rPr>
                <w:rFonts w:ascii="Cambria" w:hAnsi="Cambria"/>
              </w:rPr>
            </w:pPr>
            <w:proofErr w:type="spellStart"/>
            <w:r w:rsidRPr="009E5E8A">
              <w:rPr>
                <w:rFonts w:ascii="Cambria" w:hAnsi="Cambria"/>
              </w:rPr>
              <w:t>hrvatski</w:t>
            </w:r>
            <w:proofErr w:type="spellEnd"/>
            <w:r w:rsidRPr="009E5E8A">
              <w:rPr>
                <w:rFonts w:ascii="Cambria" w:hAnsi="Cambria"/>
              </w:rPr>
              <w:t xml:space="preserve"> </w:t>
            </w:r>
          </w:p>
          <w:p w14:paraId="4DCAEB1C" w14:textId="77777777" w:rsidR="009E5E8A" w:rsidRPr="009E5E8A" w:rsidRDefault="009E5E8A" w:rsidP="0057401D">
            <w:pPr>
              <w:spacing w:after="0" w:line="240" w:lineRule="auto"/>
              <w:rPr>
                <w:rFonts w:ascii="Cambria" w:hAnsi="Cambria"/>
              </w:rPr>
            </w:pPr>
            <w:r w:rsidRPr="009E5E8A">
              <w:rPr>
                <w:rFonts w:ascii="Cambria" w:hAnsi="Cambria"/>
              </w:rPr>
              <w:t>(</w:t>
            </w:r>
            <w:proofErr w:type="spellStart"/>
            <w:r w:rsidRPr="009E5E8A">
              <w:rPr>
                <w:rFonts w:ascii="Cambria" w:hAnsi="Cambria"/>
              </w:rPr>
              <w:t>talijanski</w:t>
            </w:r>
            <w:proofErr w:type="spellEnd"/>
            <w:r w:rsidRPr="009E5E8A">
              <w:rPr>
                <w:rFonts w:ascii="Cambria" w:hAnsi="Cambria"/>
              </w:rPr>
              <w:t xml:space="preserve"> </w:t>
            </w:r>
            <w:proofErr w:type="spellStart"/>
            <w:r w:rsidRPr="009E5E8A">
              <w:rPr>
                <w:rFonts w:ascii="Cambria" w:hAnsi="Cambria"/>
              </w:rPr>
              <w:t>i</w:t>
            </w:r>
            <w:proofErr w:type="spellEnd"/>
            <w:r w:rsidRPr="009E5E8A">
              <w:rPr>
                <w:rFonts w:ascii="Cambria" w:hAnsi="Cambria"/>
              </w:rPr>
              <w:t xml:space="preserve"> </w:t>
            </w:r>
            <w:proofErr w:type="spellStart"/>
            <w:r w:rsidRPr="009E5E8A">
              <w:rPr>
                <w:rFonts w:ascii="Cambria" w:hAnsi="Cambria"/>
              </w:rPr>
              <w:t>engleski</w:t>
            </w:r>
            <w:proofErr w:type="spellEnd"/>
            <w:r w:rsidRPr="009E5E8A">
              <w:rPr>
                <w:rFonts w:ascii="Cambria" w:hAnsi="Cambria"/>
              </w:rPr>
              <w:t>)</w:t>
            </w:r>
          </w:p>
        </w:tc>
      </w:tr>
      <w:tr w:rsidR="009E5E8A" w:rsidRPr="009E5E8A" w14:paraId="634937F5" w14:textId="77777777" w:rsidTr="00BB64BF">
        <w:tc>
          <w:tcPr>
            <w:tcW w:w="261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231143E" w14:textId="77777777" w:rsidR="009E5E8A" w:rsidRPr="009E5E8A" w:rsidRDefault="009E5E8A" w:rsidP="0057401D">
            <w:pPr>
              <w:spacing w:after="0" w:line="240" w:lineRule="auto"/>
              <w:rPr>
                <w:rFonts w:ascii="Cambria" w:hAnsi="Cambria"/>
              </w:rPr>
            </w:pPr>
            <w:proofErr w:type="spellStart"/>
            <w:r w:rsidRPr="009E5E8A">
              <w:rPr>
                <w:rFonts w:ascii="Cambria" w:hAnsi="Cambria"/>
              </w:rPr>
              <w:t>Broj</w:t>
            </w:r>
            <w:proofErr w:type="spellEnd"/>
            <w:r w:rsidRPr="009E5E8A">
              <w:rPr>
                <w:rFonts w:ascii="Cambria" w:hAnsi="Cambria"/>
              </w:rPr>
              <w:t xml:space="preserve"> ECTS </w:t>
            </w:r>
            <w:proofErr w:type="spellStart"/>
            <w:r w:rsidRPr="009E5E8A">
              <w:rPr>
                <w:rFonts w:ascii="Cambria" w:hAnsi="Cambria"/>
              </w:rPr>
              <w:t>bodova</w:t>
            </w:r>
            <w:proofErr w:type="spellEnd"/>
          </w:p>
        </w:tc>
        <w:tc>
          <w:tcPr>
            <w:tcW w:w="248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FE26C43" w14:textId="77777777" w:rsidR="009E5E8A" w:rsidRPr="009E5E8A" w:rsidRDefault="009E5E8A" w:rsidP="0057401D">
            <w:pPr>
              <w:spacing w:after="0" w:line="240" w:lineRule="auto"/>
              <w:rPr>
                <w:rFonts w:ascii="Cambria" w:hAnsi="Cambria"/>
              </w:rPr>
            </w:pPr>
            <w:r w:rsidRPr="009E5E8A">
              <w:rPr>
                <w:rFonts w:ascii="Cambria" w:hAnsi="Cambria"/>
              </w:rPr>
              <w:t>2</w:t>
            </w:r>
          </w:p>
        </w:tc>
        <w:tc>
          <w:tcPr>
            <w:tcW w:w="1470"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4C6002BB" w14:textId="77777777" w:rsidR="009E5E8A" w:rsidRPr="009E5E8A" w:rsidRDefault="009E5E8A" w:rsidP="0057401D">
            <w:pPr>
              <w:spacing w:after="0" w:line="240" w:lineRule="auto"/>
              <w:rPr>
                <w:rFonts w:ascii="Cambria" w:hAnsi="Cambria"/>
              </w:rPr>
            </w:pPr>
            <w:proofErr w:type="spellStart"/>
            <w:r w:rsidRPr="009E5E8A">
              <w:rPr>
                <w:rFonts w:ascii="Cambria" w:hAnsi="Cambria"/>
              </w:rPr>
              <w:t>Broj</w:t>
            </w:r>
            <w:proofErr w:type="spellEnd"/>
            <w:r w:rsidRPr="009E5E8A">
              <w:rPr>
                <w:rFonts w:ascii="Cambria" w:hAnsi="Cambria"/>
              </w:rPr>
              <w:t xml:space="preserve"> sati u </w:t>
            </w:r>
            <w:proofErr w:type="spellStart"/>
            <w:r w:rsidRPr="009E5E8A">
              <w:rPr>
                <w:rFonts w:ascii="Cambria" w:hAnsi="Cambria"/>
              </w:rPr>
              <w:t>semestru</w:t>
            </w:r>
            <w:proofErr w:type="spellEnd"/>
          </w:p>
        </w:tc>
        <w:tc>
          <w:tcPr>
            <w:tcW w:w="3203"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A55A936" w14:textId="47F2E090" w:rsidR="009E5E8A" w:rsidRPr="009E5E8A" w:rsidRDefault="009E5E8A" w:rsidP="0057401D">
            <w:pPr>
              <w:spacing w:after="0" w:line="240" w:lineRule="auto"/>
              <w:rPr>
                <w:rFonts w:ascii="Cambria" w:hAnsi="Cambria"/>
              </w:rPr>
            </w:pPr>
            <w:r w:rsidRPr="009E5E8A">
              <w:rPr>
                <w:rFonts w:ascii="Cambria" w:hAnsi="Cambria"/>
              </w:rPr>
              <w:t xml:space="preserve">15P – </w:t>
            </w:r>
            <w:r>
              <w:rPr>
                <w:rFonts w:ascii="Cambria" w:hAnsi="Cambria"/>
              </w:rPr>
              <w:t xml:space="preserve">0S – </w:t>
            </w:r>
            <w:r w:rsidRPr="009E5E8A">
              <w:rPr>
                <w:rFonts w:ascii="Cambria" w:hAnsi="Cambria"/>
              </w:rPr>
              <w:t xml:space="preserve">15V    </w:t>
            </w:r>
          </w:p>
        </w:tc>
      </w:tr>
      <w:tr w:rsidR="009E5E8A" w:rsidRPr="009E5E8A" w14:paraId="1242D15D" w14:textId="77777777" w:rsidTr="00BB64BF">
        <w:tc>
          <w:tcPr>
            <w:tcW w:w="261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AF4ACD1" w14:textId="77777777" w:rsidR="009E5E8A" w:rsidRPr="009E5E8A" w:rsidRDefault="009E5E8A" w:rsidP="0057401D">
            <w:pPr>
              <w:spacing w:after="0" w:line="240" w:lineRule="auto"/>
              <w:rPr>
                <w:rFonts w:ascii="Cambria" w:hAnsi="Cambria"/>
                <w:lang w:val="it-IT"/>
              </w:rPr>
            </w:pPr>
            <w:proofErr w:type="spellStart"/>
            <w:r w:rsidRPr="009E5E8A">
              <w:rPr>
                <w:rFonts w:ascii="Cambria" w:hAnsi="Cambria"/>
                <w:lang w:val="it-IT"/>
              </w:rPr>
              <w:t>Preduvjeti</w:t>
            </w:r>
            <w:proofErr w:type="spellEnd"/>
            <w:r w:rsidRPr="009E5E8A">
              <w:rPr>
                <w:rFonts w:ascii="Cambria" w:hAnsi="Cambria"/>
                <w:lang w:val="it-IT"/>
              </w:rPr>
              <w:t xml:space="preserve"> za </w:t>
            </w:r>
            <w:proofErr w:type="spellStart"/>
            <w:r w:rsidRPr="009E5E8A">
              <w:rPr>
                <w:rFonts w:ascii="Cambria" w:hAnsi="Cambria"/>
                <w:lang w:val="it-IT"/>
              </w:rPr>
              <w:t>upis</w:t>
            </w:r>
            <w:proofErr w:type="spellEnd"/>
            <w:r w:rsidRPr="009E5E8A">
              <w:rPr>
                <w:rFonts w:ascii="Cambria" w:hAnsi="Cambria"/>
                <w:lang w:val="it-IT"/>
              </w:rPr>
              <w:t xml:space="preserve"> i za </w:t>
            </w:r>
            <w:proofErr w:type="spellStart"/>
            <w:r w:rsidRPr="009E5E8A">
              <w:rPr>
                <w:rFonts w:ascii="Cambria" w:hAnsi="Cambria"/>
                <w:lang w:val="it-IT"/>
              </w:rPr>
              <w:t>svladavanje</w:t>
            </w:r>
            <w:proofErr w:type="spellEnd"/>
          </w:p>
        </w:tc>
        <w:tc>
          <w:tcPr>
            <w:tcW w:w="715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796763C" w14:textId="77777777" w:rsidR="009E5E8A" w:rsidRPr="009E5E8A" w:rsidRDefault="009E5E8A" w:rsidP="0057401D">
            <w:pPr>
              <w:spacing w:after="0" w:line="240" w:lineRule="auto"/>
              <w:rPr>
                <w:rFonts w:ascii="Cambria" w:hAnsi="Cambria"/>
              </w:rPr>
            </w:pPr>
            <w:proofErr w:type="spellStart"/>
            <w:r w:rsidRPr="009E5E8A">
              <w:rPr>
                <w:rFonts w:ascii="Cambria" w:hAnsi="Cambria"/>
              </w:rPr>
              <w:t>nema</w:t>
            </w:r>
            <w:proofErr w:type="spellEnd"/>
            <w:r w:rsidRPr="009E5E8A">
              <w:rPr>
                <w:rFonts w:ascii="Cambria" w:hAnsi="Cambria"/>
              </w:rPr>
              <w:t xml:space="preserve"> </w:t>
            </w:r>
            <w:proofErr w:type="spellStart"/>
            <w:r w:rsidRPr="009E5E8A">
              <w:rPr>
                <w:rFonts w:ascii="Cambria" w:hAnsi="Cambria"/>
              </w:rPr>
              <w:t>preduvjeta</w:t>
            </w:r>
            <w:proofErr w:type="spellEnd"/>
            <w:r w:rsidRPr="009E5E8A">
              <w:rPr>
                <w:rFonts w:ascii="Cambria" w:hAnsi="Cambria"/>
              </w:rPr>
              <w:t xml:space="preserve"> za </w:t>
            </w:r>
            <w:proofErr w:type="spellStart"/>
            <w:r w:rsidRPr="009E5E8A">
              <w:rPr>
                <w:rFonts w:ascii="Cambria" w:hAnsi="Cambria"/>
              </w:rPr>
              <w:t>upis</w:t>
            </w:r>
            <w:proofErr w:type="spellEnd"/>
          </w:p>
        </w:tc>
      </w:tr>
      <w:tr w:rsidR="009E5E8A" w:rsidRPr="00D0399C" w14:paraId="6D070ACE" w14:textId="77777777" w:rsidTr="00BB64BF">
        <w:tc>
          <w:tcPr>
            <w:tcW w:w="261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866900A" w14:textId="77777777" w:rsidR="009E5E8A" w:rsidRPr="009E5E8A" w:rsidRDefault="009E5E8A" w:rsidP="0057401D">
            <w:pPr>
              <w:spacing w:after="0" w:line="240" w:lineRule="auto"/>
              <w:rPr>
                <w:rFonts w:ascii="Cambria" w:hAnsi="Cambria"/>
              </w:rPr>
            </w:pPr>
            <w:proofErr w:type="spellStart"/>
            <w:r w:rsidRPr="009E5E8A">
              <w:rPr>
                <w:rFonts w:ascii="Cambria" w:hAnsi="Cambria"/>
              </w:rPr>
              <w:t>Korelativnost</w:t>
            </w:r>
            <w:proofErr w:type="spellEnd"/>
          </w:p>
        </w:tc>
        <w:tc>
          <w:tcPr>
            <w:tcW w:w="715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1B08C67" w14:textId="77777777" w:rsidR="009E5E8A" w:rsidRPr="009E5E8A" w:rsidRDefault="009E5E8A" w:rsidP="0057401D">
            <w:pPr>
              <w:spacing w:after="0" w:line="240" w:lineRule="auto"/>
              <w:rPr>
                <w:rFonts w:ascii="Cambria" w:hAnsi="Cambria"/>
                <w:lang w:val="it-IT"/>
              </w:rPr>
            </w:pPr>
            <w:proofErr w:type="spellStart"/>
            <w:r w:rsidRPr="009E5E8A">
              <w:rPr>
                <w:rFonts w:ascii="Cambria" w:hAnsi="Cambria"/>
                <w:lang w:val="it-IT"/>
              </w:rPr>
              <w:t>Pedagogija</w:t>
            </w:r>
            <w:proofErr w:type="spellEnd"/>
            <w:r w:rsidRPr="009E5E8A">
              <w:rPr>
                <w:rFonts w:ascii="Cambria" w:hAnsi="Cambria"/>
                <w:lang w:val="it-IT"/>
              </w:rPr>
              <w:t xml:space="preserve">, </w:t>
            </w:r>
            <w:proofErr w:type="spellStart"/>
            <w:r w:rsidRPr="009E5E8A">
              <w:rPr>
                <w:rFonts w:ascii="Cambria" w:hAnsi="Cambria"/>
                <w:lang w:val="it-IT"/>
              </w:rPr>
              <w:t>Didaktika</w:t>
            </w:r>
            <w:proofErr w:type="spellEnd"/>
            <w:r w:rsidRPr="009E5E8A">
              <w:rPr>
                <w:rFonts w:ascii="Cambria" w:hAnsi="Cambria"/>
                <w:lang w:val="it-IT"/>
              </w:rPr>
              <w:t xml:space="preserve">, </w:t>
            </w:r>
            <w:proofErr w:type="spellStart"/>
            <w:r w:rsidRPr="009E5E8A">
              <w:rPr>
                <w:rFonts w:ascii="Cambria" w:hAnsi="Cambria"/>
                <w:lang w:val="it-IT"/>
              </w:rPr>
              <w:t>metodike</w:t>
            </w:r>
            <w:proofErr w:type="spellEnd"/>
            <w:r w:rsidRPr="009E5E8A">
              <w:rPr>
                <w:rFonts w:ascii="Cambria" w:hAnsi="Cambria"/>
                <w:lang w:val="it-IT"/>
              </w:rPr>
              <w:t xml:space="preserve"> </w:t>
            </w:r>
            <w:proofErr w:type="spellStart"/>
            <w:r w:rsidRPr="009E5E8A">
              <w:rPr>
                <w:rFonts w:ascii="Cambria" w:hAnsi="Cambria"/>
                <w:lang w:val="it-IT"/>
              </w:rPr>
              <w:t>nastave</w:t>
            </w:r>
            <w:proofErr w:type="spellEnd"/>
            <w:r w:rsidRPr="009E5E8A">
              <w:rPr>
                <w:rFonts w:ascii="Cambria" w:hAnsi="Cambria"/>
                <w:lang w:val="it-IT"/>
              </w:rPr>
              <w:t xml:space="preserve"> </w:t>
            </w:r>
            <w:proofErr w:type="spellStart"/>
            <w:r w:rsidRPr="009E5E8A">
              <w:rPr>
                <w:rFonts w:ascii="Cambria" w:hAnsi="Cambria"/>
                <w:lang w:val="it-IT"/>
              </w:rPr>
              <w:t>predmeta</w:t>
            </w:r>
            <w:proofErr w:type="spellEnd"/>
          </w:p>
        </w:tc>
      </w:tr>
      <w:tr w:rsidR="009E5E8A" w:rsidRPr="009E5E8A" w14:paraId="510A669C" w14:textId="77777777" w:rsidTr="00BB64BF">
        <w:tc>
          <w:tcPr>
            <w:tcW w:w="261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236744E" w14:textId="77777777" w:rsidR="009E5E8A" w:rsidRPr="009E5E8A" w:rsidRDefault="009E5E8A" w:rsidP="0057401D">
            <w:pPr>
              <w:spacing w:after="0" w:line="240" w:lineRule="auto"/>
              <w:rPr>
                <w:rFonts w:ascii="Cambria" w:hAnsi="Cambria"/>
              </w:rPr>
            </w:pPr>
            <w:proofErr w:type="spellStart"/>
            <w:r w:rsidRPr="009E5E8A">
              <w:rPr>
                <w:rFonts w:ascii="Cambria" w:hAnsi="Cambria"/>
              </w:rPr>
              <w:t>Cilj</w:t>
            </w:r>
            <w:proofErr w:type="spellEnd"/>
            <w:r w:rsidRPr="009E5E8A">
              <w:rPr>
                <w:rFonts w:ascii="Cambria" w:hAnsi="Cambria"/>
              </w:rPr>
              <w:t xml:space="preserve"> </w:t>
            </w:r>
            <w:proofErr w:type="spellStart"/>
            <w:r w:rsidRPr="009E5E8A">
              <w:rPr>
                <w:rFonts w:ascii="Cambria" w:hAnsi="Cambria"/>
              </w:rPr>
              <w:t>kolegija</w:t>
            </w:r>
            <w:proofErr w:type="spellEnd"/>
            <w:r w:rsidRPr="009E5E8A">
              <w:rPr>
                <w:rFonts w:ascii="Cambria" w:hAnsi="Cambria"/>
              </w:rPr>
              <w:t xml:space="preserve"> </w:t>
            </w:r>
          </w:p>
        </w:tc>
        <w:tc>
          <w:tcPr>
            <w:tcW w:w="715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E189B4B" w14:textId="65993093" w:rsidR="009E5E8A" w:rsidRPr="009E5E8A" w:rsidRDefault="00BB64BF" w:rsidP="0057401D">
            <w:pPr>
              <w:spacing w:after="0" w:line="240" w:lineRule="auto"/>
              <w:rPr>
                <w:rFonts w:ascii="Cambria" w:hAnsi="Cambria"/>
              </w:rPr>
            </w:pPr>
            <w:proofErr w:type="spellStart"/>
            <w:r>
              <w:rPr>
                <w:rFonts w:ascii="Cambria" w:hAnsi="Cambria"/>
              </w:rPr>
              <w:t>u</w:t>
            </w:r>
            <w:r w:rsidR="009E5E8A" w:rsidRPr="009E5E8A">
              <w:rPr>
                <w:rFonts w:ascii="Cambria" w:hAnsi="Cambria"/>
              </w:rPr>
              <w:t>svojiti</w:t>
            </w:r>
            <w:proofErr w:type="spellEnd"/>
            <w:r w:rsidR="009E5E8A" w:rsidRPr="009E5E8A">
              <w:rPr>
                <w:rFonts w:ascii="Cambria" w:hAnsi="Cambria"/>
              </w:rPr>
              <w:t xml:space="preserve"> </w:t>
            </w:r>
            <w:proofErr w:type="spellStart"/>
            <w:r w:rsidR="009E5E8A" w:rsidRPr="009E5E8A">
              <w:rPr>
                <w:rFonts w:ascii="Cambria" w:hAnsi="Cambria"/>
              </w:rPr>
              <w:t>kompetencije</w:t>
            </w:r>
            <w:proofErr w:type="spellEnd"/>
            <w:r w:rsidR="009E5E8A" w:rsidRPr="009E5E8A">
              <w:rPr>
                <w:rFonts w:ascii="Cambria" w:hAnsi="Cambria"/>
              </w:rPr>
              <w:t xml:space="preserve"> za </w:t>
            </w:r>
            <w:proofErr w:type="spellStart"/>
            <w:r w:rsidR="009E5E8A" w:rsidRPr="009E5E8A">
              <w:rPr>
                <w:rFonts w:ascii="Cambria" w:hAnsi="Cambria"/>
              </w:rPr>
              <w:t>korištenje</w:t>
            </w:r>
            <w:proofErr w:type="spellEnd"/>
            <w:r w:rsidR="009E5E8A" w:rsidRPr="009E5E8A">
              <w:rPr>
                <w:rFonts w:ascii="Cambria" w:hAnsi="Cambria"/>
              </w:rPr>
              <w:t xml:space="preserve"> </w:t>
            </w:r>
            <w:proofErr w:type="spellStart"/>
            <w:r w:rsidR="009E5E8A" w:rsidRPr="009E5E8A">
              <w:rPr>
                <w:rFonts w:ascii="Cambria" w:hAnsi="Cambria"/>
              </w:rPr>
              <w:t>raznovrsnih</w:t>
            </w:r>
            <w:proofErr w:type="spellEnd"/>
            <w:r w:rsidR="009E5E8A" w:rsidRPr="009E5E8A">
              <w:rPr>
                <w:rFonts w:ascii="Cambria" w:hAnsi="Cambria"/>
              </w:rPr>
              <w:t xml:space="preserve"> </w:t>
            </w:r>
            <w:proofErr w:type="spellStart"/>
            <w:r w:rsidR="009E5E8A" w:rsidRPr="009E5E8A">
              <w:rPr>
                <w:rFonts w:ascii="Cambria" w:hAnsi="Cambria"/>
              </w:rPr>
              <w:t>strategija</w:t>
            </w:r>
            <w:proofErr w:type="spellEnd"/>
            <w:r w:rsidR="009E5E8A" w:rsidRPr="009E5E8A">
              <w:rPr>
                <w:rFonts w:ascii="Cambria" w:hAnsi="Cambria"/>
              </w:rPr>
              <w:t xml:space="preserve"> </w:t>
            </w:r>
            <w:proofErr w:type="spellStart"/>
            <w:r w:rsidR="009E5E8A" w:rsidRPr="009E5E8A">
              <w:rPr>
                <w:rFonts w:ascii="Cambria" w:hAnsi="Cambria"/>
              </w:rPr>
              <w:t>učenja</w:t>
            </w:r>
            <w:proofErr w:type="spellEnd"/>
            <w:r w:rsidR="009E5E8A" w:rsidRPr="009E5E8A">
              <w:rPr>
                <w:rFonts w:ascii="Cambria" w:hAnsi="Cambria"/>
              </w:rPr>
              <w:t xml:space="preserve"> </w:t>
            </w:r>
            <w:proofErr w:type="spellStart"/>
            <w:r w:rsidR="009E5E8A" w:rsidRPr="009E5E8A">
              <w:rPr>
                <w:rFonts w:ascii="Cambria" w:hAnsi="Cambria"/>
              </w:rPr>
              <w:t>koje</w:t>
            </w:r>
            <w:proofErr w:type="spellEnd"/>
            <w:r w:rsidR="009E5E8A" w:rsidRPr="009E5E8A">
              <w:rPr>
                <w:rFonts w:ascii="Cambria" w:hAnsi="Cambria"/>
              </w:rPr>
              <w:t xml:space="preserve"> se </w:t>
            </w:r>
            <w:proofErr w:type="spellStart"/>
            <w:r w:rsidR="009E5E8A" w:rsidRPr="009E5E8A">
              <w:rPr>
                <w:rFonts w:ascii="Cambria" w:hAnsi="Cambria"/>
              </w:rPr>
              <w:t>primjenjuju</w:t>
            </w:r>
            <w:proofErr w:type="spellEnd"/>
            <w:r w:rsidR="009E5E8A" w:rsidRPr="009E5E8A">
              <w:rPr>
                <w:rFonts w:ascii="Cambria" w:hAnsi="Cambria"/>
              </w:rPr>
              <w:t xml:space="preserve"> u </w:t>
            </w:r>
            <w:proofErr w:type="spellStart"/>
            <w:r w:rsidR="009E5E8A" w:rsidRPr="009E5E8A">
              <w:rPr>
                <w:rFonts w:ascii="Cambria" w:hAnsi="Cambria"/>
              </w:rPr>
              <w:t>osobnome</w:t>
            </w:r>
            <w:proofErr w:type="spellEnd"/>
            <w:r w:rsidR="009E5E8A" w:rsidRPr="009E5E8A">
              <w:rPr>
                <w:rFonts w:ascii="Cambria" w:hAnsi="Cambria"/>
              </w:rPr>
              <w:t xml:space="preserve"> </w:t>
            </w:r>
            <w:proofErr w:type="spellStart"/>
            <w:r w:rsidR="009E5E8A" w:rsidRPr="009E5E8A">
              <w:rPr>
                <w:rFonts w:ascii="Cambria" w:hAnsi="Cambria"/>
              </w:rPr>
              <w:t>radu</w:t>
            </w:r>
            <w:proofErr w:type="spellEnd"/>
            <w:r w:rsidR="009E5E8A" w:rsidRPr="009E5E8A">
              <w:rPr>
                <w:rFonts w:ascii="Cambria" w:hAnsi="Cambria"/>
              </w:rPr>
              <w:t xml:space="preserve"> </w:t>
            </w:r>
            <w:proofErr w:type="spellStart"/>
            <w:r w:rsidR="009E5E8A" w:rsidRPr="009E5E8A">
              <w:rPr>
                <w:rFonts w:ascii="Cambria" w:hAnsi="Cambria"/>
              </w:rPr>
              <w:t>i</w:t>
            </w:r>
            <w:proofErr w:type="spellEnd"/>
            <w:r w:rsidR="009E5E8A" w:rsidRPr="009E5E8A">
              <w:rPr>
                <w:rFonts w:ascii="Cambria" w:hAnsi="Cambria"/>
              </w:rPr>
              <w:t xml:space="preserve"> u </w:t>
            </w:r>
            <w:proofErr w:type="spellStart"/>
            <w:r w:rsidR="009E5E8A" w:rsidRPr="009E5E8A">
              <w:rPr>
                <w:rFonts w:ascii="Cambria" w:hAnsi="Cambria"/>
              </w:rPr>
              <w:t>radu</w:t>
            </w:r>
            <w:proofErr w:type="spellEnd"/>
            <w:r w:rsidR="009E5E8A" w:rsidRPr="009E5E8A">
              <w:rPr>
                <w:rFonts w:ascii="Cambria" w:hAnsi="Cambria"/>
              </w:rPr>
              <w:t xml:space="preserve"> </w:t>
            </w:r>
            <w:proofErr w:type="spellStart"/>
            <w:r w:rsidR="009E5E8A" w:rsidRPr="009E5E8A">
              <w:rPr>
                <w:rFonts w:ascii="Cambria" w:hAnsi="Cambria"/>
              </w:rPr>
              <w:t>sa</w:t>
            </w:r>
            <w:proofErr w:type="spellEnd"/>
            <w:r w:rsidR="009E5E8A" w:rsidRPr="009E5E8A">
              <w:rPr>
                <w:rFonts w:ascii="Cambria" w:hAnsi="Cambria"/>
              </w:rPr>
              <w:t xml:space="preserve"> </w:t>
            </w:r>
            <w:proofErr w:type="spellStart"/>
            <w:r w:rsidR="009E5E8A" w:rsidRPr="009E5E8A">
              <w:rPr>
                <w:rFonts w:ascii="Cambria" w:hAnsi="Cambria"/>
              </w:rPr>
              <w:t>djecom</w:t>
            </w:r>
            <w:proofErr w:type="spellEnd"/>
          </w:p>
        </w:tc>
      </w:tr>
      <w:tr w:rsidR="009E5E8A" w:rsidRPr="00D0399C" w14:paraId="53B911AC" w14:textId="77777777" w:rsidTr="00BB64BF">
        <w:tc>
          <w:tcPr>
            <w:tcW w:w="261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70F4AC3" w14:textId="77777777" w:rsidR="009E5E8A" w:rsidRPr="009E5E8A" w:rsidRDefault="009E5E8A" w:rsidP="0057401D">
            <w:pPr>
              <w:spacing w:after="0" w:line="240" w:lineRule="auto"/>
              <w:rPr>
                <w:rFonts w:ascii="Cambria" w:hAnsi="Cambria"/>
              </w:rPr>
            </w:pPr>
            <w:proofErr w:type="spellStart"/>
            <w:r w:rsidRPr="009E5E8A">
              <w:rPr>
                <w:rFonts w:ascii="Cambria" w:hAnsi="Cambria"/>
              </w:rPr>
              <w:t>Ishodi</w:t>
            </w:r>
            <w:proofErr w:type="spellEnd"/>
            <w:r w:rsidRPr="009E5E8A">
              <w:rPr>
                <w:rFonts w:ascii="Cambria" w:hAnsi="Cambria"/>
              </w:rPr>
              <w:t xml:space="preserve"> </w:t>
            </w:r>
            <w:proofErr w:type="spellStart"/>
            <w:r w:rsidRPr="009E5E8A">
              <w:rPr>
                <w:rFonts w:ascii="Cambria" w:hAnsi="Cambria"/>
              </w:rPr>
              <w:t>učenja</w:t>
            </w:r>
            <w:proofErr w:type="spellEnd"/>
          </w:p>
        </w:tc>
        <w:tc>
          <w:tcPr>
            <w:tcW w:w="715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F0F8A15" w14:textId="5028A191" w:rsidR="00BB64BF" w:rsidRPr="00BB64BF" w:rsidRDefault="00BB64BF" w:rsidP="00BB64BF">
            <w:pPr>
              <w:spacing w:after="0" w:line="240" w:lineRule="auto"/>
              <w:rPr>
                <w:rFonts w:ascii="Cambria" w:hAnsi="Cambria"/>
              </w:rPr>
            </w:pPr>
            <w:r w:rsidRPr="00BB64BF">
              <w:rPr>
                <w:rFonts w:ascii="Cambria" w:hAnsi="Cambria"/>
              </w:rPr>
              <w:t xml:space="preserve">1. </w:t>
            </w:r>
            <w:proofErr w:type="spellStart"/>
            <w:r w:rsidR="009E5E8A" w:rsidRPr="00BB64BF">
              <w:rPr>
                <w:rFonts w:ascii="Cambria" w:hAnsi="Cambria"/>
              </w:rPr>
              <w:t>objasniti</w:t>
            </w:r>
            <w:proofErr w:type="spellEnd"/>
            <w:r w:rsidR="009E5E8A" w:rsidRPr="00BB64BF">
              <w:rPr>
                <w:rFonts w:ascii="Cambria" w:hAnsi="Cambria"/>
              </w:rPr>
              <w:t xml:space="preserve"> </w:t>
            </w:r>
            <w:proofErr w:type="spellStart"/>
            <w:r w:rsidR="009E5E8A" w:rsidRPr="00BB64BF">
              <w:rPr>
                <w:rFonts w:ascii="Cambria" w:hAnsi="Cambria"/>
              </w:rPr>
              <w:t>vrste</w:t>
            </w:r>
            <w:proofErr w:type="spellEnd"/>
            <w:r w:rsidR="009E5E8A" w:rsidRPr="00BB64BF">
              <w:rPr>
                <w:rFonts w:ascii="Cambria" w:hAnsi="Cambria"/>
              </w:rPr>
              <w:t xml:space="preserve"> </w:t>
            </w:r>
            <w:proofErr w:type="spellStart"/>
            <w:r w:rsidR="009E5E8A" w:rsidRPr="00BB64BF">
              <w:rPr>
                <w:rFonts w:ascii="Cambria" w:hAnsi="Cambria"/>
              </w:rPr>
              <w:t>učenja</w:t>
            </w:r>
            <w:proofErr w:type="spellEnd"/>
          </w:p>
          <w:p w14:paraId="1CD70DEF" w14:textId="39AF59A9" w:rsidR="00BB64BF" w:rsidRPr="00F73829" w:rsidRDefault="00BB64BF" w:rsidP="00BB64BF">
            <w:pPr>
              <w:spacing w:after="0" w:line="240" w:lineRule="auto"/>
              <w:rPr>
                <w:rFonts w:ascii="Cambria" w:hAnsi="Cambria"/>
              </w:rPr>
            </w:pPr>
            <w:r w:rsidRPr="00F73829">
              <w:rPr>
                <w:rFonts w:ascii="Cambria" w:hAnsi="Cambria"/>
              </w:rPr>
              <w:t xml:space="preserve">2. </w:t>
            </w:r>
            <w:proofErr w:type="spellStart"/>
            <w:r w:rsidRPr="00F73829">
              <w:rPr>
                <w:rFonts w:ascii="Cambria" w:hAnsi="Cambria"/>
              </w:rPr>
              <w:t>objasniti</w:t>
            </w:r>
            <w:proofErr w:type="spellEnd"/>
            <w:r w:rsidRPr="00F73829">
              <w:rPr>
                <w:rFonts w:ascii="Cambria" w:hAnsi="Cambria"/>
              </w:rPr>
              <w:t xml:space="preserve"> </w:t>
            </w:r>
            <w:proofErr w:type="spellStart"/>
            <w:r w:rsidR="009E5E8A" w:rsidRPr="00F73829">
              <w:rPr>
                <w:rFonts w:ascii="Cambria" w:hAnsi="Cambria"/>
              </w:rPr>
              <w:t>svoj</w:t>
            </w:r>
            <w:proofErr w:type="spellEnd"/>
            <w:r w:rsidR="009E5E8A" w:rsidRPr="00F73829">
              <w:rPr>
                <w:rFonts w:ascii="Cambria" w:hAnsi="Cambria"/>
              </w:rPr>
              <w:t xml:space="preserve"> </w:t>
            </w:r>
            <w:proofErr w:type="spellStart"/>
            <w:proofErr w:type="gramStart"/>
            <w:r w:rsidR="009E5E8A" w:rsidRPr="00F73829">
              <w:rPr>
                <w:rFonts w:ascii="Cambria" w:hAnsi="Cambria"/>
              </w:rPr>
              <w:t>osobni</w:t>
            </w:r>
            <w:proofErr w:type="spellEnd"/>
            <w:r w:rsidR="009E5E8A" w:rsidRPr="00F73829">
              <w:rPr>
                <w:rFonts w:ascii="Cambria" w:hAnsi="Cambria"/>
              </w:rPr>
              <w:t xml:space="preserve">  </w:t>
            </w:r>
            <w:proofErr w:type="spellStart"/>
            <w:r w:rsidR="009E5E8A" w:rsidRPr="00F73829">
              <w:rPr>
                <w:rFonts w:ascii="Cambria" w:hAnsi="Cambria"/>
              </w:rPr>
              <w:t>način</w:t>
            </w:r>
            <w:proofErr w:type="spellEnd"/>
            <w:proofErr w:type="gramEnd"/>
            <w:r w:rsidR="009E5E8A" w:rsidRPr="00F73829">
              <w:rPr>
                <w:rFonts w:ascii="Cambria" w:hAnsi="Cambria"/>
              </w:rPr>
              <w:t xml:space="preserve"> </w:t>
            </w:r>
            <w:proofErr w:type="spellStart"/>
            <w:r w:rsidR="009E5E8A" w:rsidRPr="00F73829">
              <w:rPr>
                <w:rFonts w:ascii="Cambria" w:hAnsi="Cambria"/>
              </w:rPr>
              <w:t>razmišljanja</w:t>
            </w:r>
            <w:proofErr w:type="spellEnd"/>
            <w:r w:rsidR="009E5E8A" w:rsidRPr="00F73829">
              <w:rPr>
                <w:rFonts w:ascii="Cambria" w:hAnsi="Cambria"/>
              </w:rPr>
              <w:t xml:space="preserve"> (</w:t>
            </w:r>
            <w:proofErr w:type="spellStart"/>
            <w:r w:rsidR="009E5E8A" w:rsidRPr="00F73829">
              <w:rPr>
                <w:rFonts w:ascii="Cambria" w:hAnsi="Cambria"/>
              </w:rPr>
              <w:t>metakognicija</w:t>
            </w:r>
            <w:proofErr w:type="spellEnd"/>
            <w:r w:rsidR="009E5E8A" w:rsidRPr="00F73829">
              <w:rPr>
                <w:rFonts w:ascii="Cambria" w:hAnsi="Cambria"/>
              </w:rPr>
              <w:t xml:space="preserve">) </w:t>
            </w:r>
            <w:proofErr w:type="spellStart"/>
            <w:r w:rsidR="009E5E8A" w:rsidRPr="00F73829">
              <w:rPr>
                <w:rFonts w:ascii="Cambria" w:hAnsi="Cambria"/>
              </w:rPr>
              <w:t>i</w:t>
            </w:r>
            <w:proofErr w:type="spellEnd"/>
            <w:r w:rsidR="009E5E8A" w:rsidRPr="00F73829">
              <w:rPr>
                <w:rFonts w:ascii="Cambria" w:hAnsi="Cambria"/>
              </w:rPr>
              <w:t xml:space="preserve"> </w:t>
            </w:r>
            <w:proofErr w:type="spellStart"/>
            <w:r w:rsidR="009E5E8A" w:rsidRPr="00F73829">
              <w:rPr>
                <w:rFonts w:ascii="Cambria" w:hAnsi="Cambria"/>
              </w:rPr>
              <w:t>povezati</w:t>
            </w:r>
            <w:proofErr w:type="spellEnd"/>
            <w:r w:rsidR="009E5E8A" w:rsidRPr="00F73829">
              <w:rPr>
                <w:rFonts w:ascii="Cambria" w:hAnsi="Cambria"/>
              </w:rPr>
              <w:t xml:space="preserve"> ga </w:t>
            </w:r>
            <w:proofErr w:type="spellStart"/>
            <w:r w:rsidR="009E5E8A" w:rsidRPr="00F73829">
              <w:rPr>
                <w:rFonts w:ascii="Cambria" w:hAnsi="Cambria"/>
              </w:rPr>
              <w:t>sa</w:t>
            </w:r>
            <w:proofErr w:type="spellEnd"/>
            <w:r w:rsidR="009E5E8A" w:rsidRPr="00F73829">
              <w:rPr>
                <w:rFonts w:ascii="Cambria" w:hAnsi="Cambria"/>
              </w:rPr>
              <w:t xml:space="preserve"> </w:t>
            </w:r>
            <w:proofErr w:type="spellStart"/>
            <w:r w:rsidR="009E5E8A" w:rsidRPr="00F73829">
              <w:rPr>
                <w:rFonts w:ascii="Cambria" w:hAnsi="Cambria"/>
              </w:rPr>
              <w:t>strategijama</w:t>
            </w:r>
            <w:proofErr w:type="spellEnd"/>
            <w:r w:rsidR="009E5E8A" w:rsidRPr="00F73829">
              <w:rPr>
                <w:rFonts w:ascii="Cambria" w:hAnsi="Cambria"/>
              </w:rPr>
              <w:t xml:space="preserve"> </w:t>
            </w:r>
            <w:proofErr w:type="spellStart"/>
            <w:r w:rsidR="009E5E8A" w:rsidRPr="00F73829">
              <w:rPr>
                <w:rFonts w:ascii="Cambria" w:hAnsi="Cambria"/>
              </w:rPr>
              <w:t>učenja</w:t>
            </w:r>
            <w:proofErr w:type="spellEnd"/>
            <w:r w:rsidR="009E5E8A" w:rsidRPr="00F73829">
              <w:rPr>
                <w:rFonts w:ascii="Cambria" w:hAnsi="Cambria"/>
              </w:rPr>
              <w:t xml:space="preserve"> </w:t>
            </w:r>
          </w:p>
          <w:p w14:paraId="317C9FCC" w14:textId="594352B6" w:rsidR="00BB64BF" w:rsidRDefault="00BB64BF" w:rsidP="00BB64BF">
            <w:pPr>
              <w:spacing w:after="0" w:line="240" w:lineRule="auto"/>
              <w:rPr>
                <w:rFonts w:ascii="Cambria" w:hAnsi="Cambria"/>
                <w:lang w:val="it-IT"/>
              </w:rPr>
            </w:pPr>
            <w:r>
              <w:rPr>
                <w:rFonts w:ascii="Cambria" w:hAnsi="Cambria"/>
                <w:lang w:val="it-IT"/>
              </w:rPr>
              <w:t xml:space="preserve">3. </w:t>
            </w:r>
            <w:proofErr w:type="spellStart"/>
            <w:r w:rsidR="009E5E8A" w:rsidRPr="00BB64BF">
              <w:rPr>
                <w:rFonts w:ascii="Cambria" w:hAnsi="Cambria"/>
                <w:lang w:val="it-IT"/>
              </w:rPr>
              <w:t>koristiti</w:t>
            </w:r>
            <w:proofErr w:type="spellEnd"/>
            <w:r w:rsidR="009E5E8A" w:rsidRPr="00BB64BF">
              <w:rPr>
                <w:rFonts w:ascii="Cambria" w:hAnsi="Cambria"/>
                <w:lang w:val="it-IT"/>
              </w:rPr>
              <w:t xml:space="preserve"> </w:t>
            </w:r>
            <w:proofErr w:type="spellStart"/>
            <w:r w:rsidR="009E5E8A" w:rsidRPr="00BB64BF">
              <w:rPr>
                <w:rFonts w:ascii="Cambria" w:hAnsi="Cambria"/>
                <w:lang w:val="it-IT"/>
              </w:rPr>
              <w:t>mentalne</w:t>
            </w:r>
            <w:proofErr w:type="spellEnd"/>
            <w:r w:rsidR="009E5E8A" w:rsidRPr="00BB64BF">
              <w:rPr>
                <w:rFonts w:ascii="Cambria" w:hAnsi="Cambria"/>
                <w:lang w:val="it-IT"/>
              </w:rPr>
              <w:t xml:space="preserve"> mape</w:t>
            </w:r>
          </w:p>
          <w:p w14:paraId="7EF1958F" w14:textId="1CFDCE13" w:rsidR="00BB64BF" w:rsidRDefault="00BB64BF" w:rsidP="00BB64BF">
            <w:pPr>
              <w:spacing w:after="0" w:line="240" w:lineRule="auto"/>
              <w:rPr>
                <w:rFonts w:ascii="Cambria" w:hAnsi="Cambria"/>
                <w:lang w:val="it-IT"/>
              </w:rPr>
            </w:pPr>
            <w:r>
              <w:rPr>
                <w:rFonts w:ascii="Cambria" w:hAnsi="Cambria"/>
                <w:lang w:val="it-IT"/>
              </w:rPr>
              <w:t xml:space="preserve">4. </w:t>
            </w:r>
            <w:proofErr w:type="spellStart"/>
            <w:r w:rsidR="009E5E8A" w:rsidRPr="009E5E8A">
              <w:rPr>
                <w:rFonts w:ascii="Cambria" w:hAnsi="Cambria"/>
                <w:lang w:val="it-IT"/>
              </w:rPr>
              <w:t>kontrolirati</w:t>
            </w:r>
            <w:proofErr w:type="spellEnd"/>
            <w:r w:rsidR="009E5E8A" w:rsidRPr="009E5E8A">
              <w:rPr>
                <w:rFonts w:ascii="Cambria" w:hAnsi="Cambria"/>
                <w:lang w:val="it-IT"/>
              </w:rPr>
              <w:t xml:space="preserve"> </w:t>
            </w:r>
            <w:proofErr w:type="spellStart"/>
            <w:r w:rsidR="009E5E8A" w:rsidRPr="009E5E8A">
              <w:rPr>
                <w:rFonts w:ascii="Cambria" w:hAnsi="Cambria"/>
                <w:lang w:val="it-IT"/>
              </w:rPr>
              <w:t>afektivno</w:t>
            </w:r>
            <w:proofErr w:type="spellEnd"/>
            <w:r w:rsidR="009E5E8A" w:rsidRPr="009E5E8A">
              <w:rPr>
                <w:rFonts w:ascii="Cambria" w:hAnsi="Cambria"/>
                <w:lang w:val="it-IT"/>
              </w:rPr>
              <w:t>/</w:t>
            </w:r>
            <w:proofErr w:type="spellStart"/>
            <w:r w:rsidR="009E5E8A" w:rsidRPr="009E5E8A">
              <w:rPr>
                <w:rFonts w:ascii="Cambria" w:hAnsi="Cambria"/>
                <w:lang w:val="it-IT"/>
              </w:rPr>
              <w:t>motivacijske</w:t>
            </w:r>
            <w:proofErr w:type="spellEnd"/>
            <w:r w:rsidR="009E5E8A" w:rsidRPr="009E5E8A">
              <w:rPr>
                <w:rFonts w:ascii="Cambria" w:hAnsi="Cambria"/>
                <w:lang w:val="it-IT"/>
              </w:rPr>
              <w:t xml:space="preserve"> </w:t>
            </w:r>
            <w:proofErr w:type="spellStart"/>
            <w:r w:rsidR="009E5E8A" w:rsidRPr="009E5E8A">
              <w:rPr>
                <w:rFonts w:ascii="Cambria" w:hAnsi="Cambria"/>
                <w:lang w:val="it-IT"/>
              </w:rPr>
              <w:t>procese</w:t>
            </w:r>
            <w:proofErr w:type="spellEnd"/>
            <w:r w:rsidR="009E5E8A" w:rsidRPr="009E5E8A">
              <w:rPr>
                <w:rFonts w:ascii="Cambria" w:hAnsi="Cambria"/>
                <w:lang w:val="it-IT"/>
              </w:rPr>
              <w:t xml:space="preserve"> </w:t>
            </w:r>
            <w:proofErr w:type="spellStart"/>
            <w:r w:rsidR="009E5E8A" w:rsidRPr="009E5E8A">
              <w:rPr>
                <w:rFonts w:ascii="Cambria" w:hAnsi="Cambria"/>
                <w:lang w:val="it-IT"/>
              </w:rPr>
              <w:t>vezane</w:t>
            </w:r>
            <w:proofErr w:type="spellEnd"/>
            <w:r w:rsidR="009E5E8A" w:rsidRPr="009E5E8A">
              <w:rPr>
                <w:rFonts w:ascii="Cambria" w:hAnsi="Cambria"/>
                <w:lang w:val="it-IT"/>
              </w:rPr>
              <w:t xml:space="preserve"> za </w:t>
            </w:r>
            <w:proofErr w:type="spellStart"/>
            <w:r w:rsidR="009E5E8A" w:rsidRPr="009E5E8A">
              <w:rPr>
                <w:rFonts w:ascii="Cambria" w:hAnsi="Cambria"/>
                <w:lang w:val="it-IT"/>
              </w:rPr>
              <w:t>učenjem</w:t>
            </w:r>
            <w:proofErr w:type="spellEnd"/>
          </w:p>
          <w:p w14:paraId="77C82179" w14:textId="720133CB" w:rsidR="009E5E8A" w:rsidRPr="009E5E8A" w:rsidRDefault="00BB64BF" w:rsidP="00BB64BF">
            <w:pPr>
              <w:spacing w:after="0" w:line="240" w:lineRule="auto"/>
              <w:rPr>
                <w:rFonts w:ascii="Cambria" w:hAnsi="Cambria"/>
                <w:lang w:val="it-IT"/>
              </w:rPr>
            </w:pPr>
            <w:r>
              <w:rPr>
                <w:rFonts w:ascii="Cambria" w:hAnsi="Cambria"/>
                <w:lang w:val="it-IT"/>
              </w:rPr>
              <w:t xml:space="preserve">5. </w:t>
            </w:r>
            <w:proofErr w:type="spellStart"/>
            <w:r>
              <w:rPr>
                <w:rFonts w:ascii="Cambria" w:hAnsi="Cambria"/>
                <w:lang w:val="it-IT"/>
              </w:rPr>
              <w:t>p</w:t>
            </w:r>
            <w:r w:rsidR="009E5E8A" w:rsidRPr="009E5E8A">
              <w:rPr>
                <w:rFonts w:ascii="Cambria" w:hAnsi="Cambria"/>
                <w:lang w:val="it-IT"/>
              </w:rPr>
              <w:t>ripremiti</w:t>
            </w:r>
            <w:proofErr w:type="spellEnd"/>
            <w:r w:rsidR="009E5E8A" w:rsidRPr="009E5E8A">
              <w:rPr>
                <w:rFonts w:ascii="Cambria" w:hAnsi="Cambria"/>
                <w:lang w:val="it-IT"/>
              </w:rPr>
              <w:t xml:space="preserve"> </w:t>
            </w:r>
            <w:proofErr w:type="spellStart"/>
            <w:r w:rsidR="009E5E8A" w:rsidRPr="009E5E8A">
              <w:rPr>
                <w:rFonts w:ascii="Cambria" w:hAnsi="Cambria"/>
                <w:lang w:val="it-IT"/>
              </w:rPr>
              <w:t>nastavnu</w:t>
            </w:r>
            <w:proofErr w:type="spellEnd"/>
            <w:r w:rsidR="009E5E8A" w:rsidRPr="009E5E8A">
              <w:rPr>
                <w:rFonts w:ascii="Cambria" w:hAnsi="Cambria"/>
                <w:lang w:val="it-IT"/>
              </w:rPr>
              <w:t xml:space="preserve"> </w:t>
            </w:r>
            <w:proofErr w:type="spellStart"/>
            <w:r w:rsidR="009E5E8A" w:rsidRPr="009E5E8A">
              <w:rPr>
                <w:rFonts w:ascii="Cambria" w:hAnsi="Cambria"/>
                <w:lang w:val="it-IT"/>
              </w:rPr>
              <w:t>jedinicu</w:t>
            </w:r>
            <w:proofErr w:type="spellEnd"/>
            <w:r w:rsidR="009E5E8A" w:rsidRPr="009E5E8A">
              <w:rPr>
                <w:rFonts w:ascii="Cambria" w:hAnsi="Cambria"/>
                <w:lang w:val="it-IT"/>
              </w:rPr>
              <w:t xml:space="preserve"> </w:t>
            </w:r>
            <w:proofErr w:type="spellStart"/>
            <w:r w:rsidR="009E5E8A" w:rsidRPr="009E5E8A">
              <w:rPr>
                <w:rFonts w:ascii="Cambria" w:hAnsi="Cambria"/>
                <w:lang w:val="it-IT"/>
              </w:rPr>
              <w:t>koristeći</w:t>
            </w:r>
            <w:proofErr w:type="spellEnd"/>
            <w:r w:rsidR="009E5E8A" w:rsidRPr="009E5E8A">
              <w:rPr>
                <w:rFonts w:ascii="Cambria" w:hAnsi="Cambria"/>
                <w:lang w:val="it-IT"/>
              </w:rPr>
              <w:t xml:space="preserve"> </w:t>
            </w:r>
            <w:proofErr w:type="spellStart"/>
            <w:r w:rsidR="009E5E8A" w:rsidRPr="009E5E8A">
              <w:rPr>
                <w:rFonts w:ascii="Cambria" w:hAnsi="Cambria"/>
                <w:lang w:val="it-IT"/>
              </w:rPr>
              <w:t>strategije</w:t>
            </w:r>
            <w:proofErr w:type="spellEnd"/>
            <w:r w:rsidR="009E5E8A" w:rsidRPr="009E5E8A">
              <w:rPr>
                <w:rFonts w:ascii="Cambria" w:hAnsi="Cambria"/>
                <w:lang w:val="it-IT"/>
              </w:rPr>
              <w:t xml:space="preserve"> </w:t>
            </w:r>
            <w:proofErr w:type="spellStart"/>
            <w:r w:rsidR="009E5E8A" w:rsidRPr="009E5E8A">
              <w:rPr>
                <w:rFonts w:ascii="Cambria" w:hAnsi="Cambria"/>
                <w:lang w:val="it-IT"/>
              </w:rPr>
              <w:t>aktivnog</w:t>
            </w:r>
            <w:proofErr w:type="spellEnd"/>
            <w:r w:rsidR="009E5E8A" w:rsidRPr="009E5E8A">
              <w:rPr>
                <w:rFonts w:ascii="Cambria" w:hAnsi="Cambria"/>
                <w:lang w:val="it-IT"/>
              </w:rPr>
              <w:t xml:space="preserve"> </w:t>
            </w:r>
            <w:proofErr w:type="spellStart"/>
            <w:r w:rsidR="009E5E8A" w:rsidRPr="009E5E8A">
              <w:rPr>
                <w:rFonts w:ascii="Cambria" w:hAnsi="Cambria"/>
                <w:lang w:val="it-IT"/>
              </w:rPr>
              <w:t>učenja</w:t>
            </w:r>
            <w:proofErr w:type="spellEnd"/>
            <w:r w:rsidR="009E5E8A" w:rsidRPr="009E5E8A">
              <w:rPr>
                <w:rFonts w:ascii="Cambria" w:hAnsi="Cambria"/>
                <w:lang w:val="it-IT"/>
              </w:rPr>
              <w:t xml:space="preserve"> </w:t>
            </w:r>
          </w:p>
        </w:tc>
      </w:tr>
      <w:tr w:rsidR="009E5E8A" w:rsidRPr="00D0399C" w14:paraId="419CAE58" w14:textId="77777777" w:rsidTr="00BB64BF">
        <w:tc>
          <w:tcPr>
            <w:tcW w:w="2616"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7DE7D0EB" w14:textId="77777777" w:rsidR="009E5E8A" w:rsidRPr="009E5E8A" w:rsidRDefault="009E5E8A" w:rsidP="0057401D">
            <w:pPr>
              <w:spacing w:after="0" w:line="240" w:lineRule="auto"/>
              <w:rPr>
                <w:rFonts w:ascii="Cambria" w:hAnsi="Cambria"/>
              </w:rPr>
            </w:pPr>
            <w:proofErr w:type="spellStart"/>
            <w:r w:rsidRPr="009E5E8A">
              <w:rPr>
                <w:rFonts w:ascii="Cambria" w:hAnsi="Cambria"/>
              </w:rPr>
              <w:t>Sadržaj</w:t>
            </w:r>
            <w:proofErr w:type="spellEnd"/>
            <w:r w:rsidRPr="009E5E8A">
              <w:rPr>
                <w:rFonts w:ascii="Cambria" w:hAnsi="Cambria"/>
              </w:rPr>
              <w:t xml:space="preserve"> </w:t>
            </w:r>
            <w:proofErr w:type="spellStart"/>
            <w:r w:rsidRPr="009E5E8A">
              <w:rPr>
                <w:rFonts w:ascii="Cambria" w:hAnsi="Cambria"/>
              </w:rPr>
              <w:t>kolegija</w:t>
            </w:r>
            <w:proofErr w:type="spellEnd"/>
          </w:p>
        </w:tc>
        <w:tc>
          <w:tcPr>
            <w:tcW w:w="7155"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D514F1D" w14:textId="77777777" w:rsidR="00BB64BF" w:rsidRDefault="00BB64BF" w:rsidP="00BB64BF">
            <w:pPr>
              <w:spacing w:after="0" w:line="240" w:lineRule="auto"/>
              <w:rPr>
                <w:rFonts w:ascii="Cambria" w:hAnsi="Cambria"/>
                <w:lang w:val="it-IT"/>
              </w:rPr>
            </w:pPr>
            <w:r>
              <w:rPr>
                <w:rFonts w:ascii="Cambria" w:hAnsi="Cambria"/>
                <w:lang w:val="it-IT"/>
              </w:rPr>
              <w:t xml:space="preserve">1. </w:t>
            </w:r>
            <w:proofErr w:type="spellStart"/>
            <w:r w:rsidR="009E5E8A" w:rsidRPr="009E5E8A">
              <w:rPr>
                <w:rFonts w:ascii="Cambria" w:hAnsi="Cambria"/>
                <w:lang w:val="it-IT"/>
              </w:rPr>
              <w:t>Predmet</w:t>
            </w:r>
            <w:proofErr w:type="spellEnd"/>
            <w:r w:rsidR="009E5E8A" w:rsidRPr="009E5E8A">
              <w:rPr>
                <w:rFonts w:ascii="Cambria" w:hAnsi="Cambria"/>
                <w:lang w:val="it-IT"/>
              </w:rPr>
              <w:t xml:space="preserve">, </w:t>
            </w:r>
            <w:proofErr w:type="spellStart"/>
            <w:r w:rsidR="009E5E8A" w:rsidRPr="009E5E8A">
              <w:rPr>
                <w:rFonts w:ascii="Cambria" w:hAnsi="Cambria"/>
                <w:lang w:val="it-IT"/>
              </w:rPr>
              <w:t>cilj</w:t>
            </w:r>
            <w:proofErr w:type="spellEnd"/>
            <w:r w:rsidR="009E5E8A" w:rsidRPr="009E5E8A">
              <w:rPr>
                <w:rFonts w:ascii="Cambria" w:hAnsi="Cambria"/>
                <w:lang w:val="it-IT"/>
              </w:rPr>
              <w:t xml:space="preserve"> i </w:t>
            </w:r>
            <w:proofErr w:type="spellStart"/>
            <w:r w:rsidR="009E5E8A" w:rsidRPr="009E5E8A">
              <w:rPr>
                <w:rFonts w:ascii="Cambria" w:hAnsi="Cambria"/>
                <w:lang w:val="it-IT"/>
              </w:rPr>
              <w:t>zadaci</w:t>
            </w:r>
            <w:proofErr w:type="spellEnd"/>
            <w:r w:rsidR="009E5E8A" w:rsidRPr="009E5E8A">
              <w:rPr>
                <w:rFonts w:ascii="Cambria" w:hAnsi="Cambria"/>
                <w:lang w:val="it-IT"/>
              </w:rPr>
              <w:t xml:space="preserve"> </w:t>
            </w:r>
            <w:proofErr w:type="spellStart"/>
            <w:r w:rsidR="009E5E8A" w:rsidRPr="009E5E8A">
              <w:rPr>
                <w:rFonts w:ascii="Cambria" w:hAnsi="Cambria"/>
                <w:lang w:val="it-IT"/>
              </w:rPr>
              <w:t>Strategija</w:t>
            </w:r>
            <w:proofErr w:type="spellEnd"/>
            <w:r w:rsidR="009E5E8A" w:rsidRPr="009E5E8A">
              <w:rPr>
                <w:rFonts w:ascii="Cambria" w:hAnsi="Cambria"/>
                <w:lang w:val="it-IT"/>
              </w:rPr>
              <w:t xml:space="preserve"> </w:t>
            </w:r>
            <w:proofErr w:type="spellStart"/>
            <w:r w:rsidR="009E5E8A" w:rsidRPr="009E5E8A">
              <w:rPr>
                <w:rFonts w:ascii="Cambria" w:hAnsi="Cambria"/>
                <w:lang w:val="it-IT"/>
              </w:rPr>
              <w:t>aktivnog</w:t>
            </w:r>
            <w:proofErr w:type="spellEnd"/>
            <w:r w:rsidR="009E5E8A" w:rsidRPr="009E5E8A">
              <w:rPr>
                <w:rFonts w:ascii="Cambria" w:hAnsi="Cambria"/>
                <w:lang w:val="it-IT"/>
              </w:rPr>
              <w:t xml:space="preserve"> </w:t>
            </w:r>
            <w:proofErr w:type="spellStart"/>
            <w:r w:rsidR="009E5E8A" w:rsidRPr="009E5E8A">
              <w:rPr>
                <w:rFonts w:ascii="Cambria" w:hAnsi="Cambria"/>
                <w:lang w:val="it-IT"/>
              </w:rPr>
              <w:t>učenja</w:t>
            </w:r>
            <w:proofErr w:type="spellEnd"/>
            <w:r w:rsidR="009E5E8A" w:rsidRPr="009E5E8A">
              <w:rPr>
                <w:rFonts w:ascii="Cambria" w:hAnsi="Cambria"/>
                <w:lang w:val="it-IT"/>
              </w:rPr>
              <w:t xml:space="preserve">  </w:t>
            </w:r>
          </w:p>
          <w:p w14:paraId="18A9A71F" w14:textId="77777777" w:rsidR="00BB64BF" w:rsidRDefault="00BB64BF" w:rsidP="00BB64BF">
            <w:pPr>
              <w:spacing w:after="0" w:line="240" w:lineRule="auto"/>
              <w:rPr>
                <w:rFonts w:ascii="Cambria" w:hAnsi="Cambria"/>
                <w:lang w:val="it-IT"/>
              </w:rPr>
            </w:pPr>
            <w:r>
              <w:rPr>
                <w:rFonts w:ascii="Cambria" w:hAnsi="Cambria"/>
                <w:lang w:val="it-IT"/>
              </w:rPr>
              <w:t xml:space="preserve">2. </w:t>
            </w:r>
            <w:proofErr w:type="spellStart"/>
            <w:r w:rsidR="009E5E8A" w:rsidRPr="00BB64BF">
              <w:rPr>
                <w:rFonts w:ascii="Cambria" w:hAnsi="Cambria"/>
                <w:lang w:val="it-IT"/>
              </w:rPr>
              <w:t>Učenje</w:t>
            </w:r>
            <w:proofErr w:type="spellEnd"/>
            <w:r w:rsidR="009E5E8A" w:rsidRPr="00BB64BF">
              <w:rPr>
                <w:rFonts w:ascii="Cambria" w:hAnsi="Cambria"/>
                <w:lang w:val="it-IT"/>
              </w:rPr>
              <w:t xml:space="preserve"> i </w:t>
            </w:r>
            <w:proofErr w:type="spellStart"/>
            <w:r w:rsidR="009E5E8A" w:rsidRPr="00BB64BF">
              <w:rPr>
                <w:rFonts w:ascii="Cambria" w:hAnsi="Cambria"/>
                <w:lang w:val="it-IT"/>
              </w:rPr>
              <w:t>vrste</w:t>
            </w:r>
            <w:proofErr w:type="spellEnd"/>
            <w:r w:rsidR="009E5E8A" w:rsidRPr="00BB64BF">
              <w:rPr>
                <w:rFonts w:ascii="Cambria" w:hAnsi="Cambria"/>
                <w:lang w:val="it-IT"/>
              </w:rPr>
              <w:t xml:space="preserve"> </w:t>
            </w:r>
            <w:proofErr w:type="spellStart"/>
            <w:r w:rsidR="009E5E8A" w:rsidRPr="00BB64BF">
              <w:rPr>
                <w:rFonts w:ascii="Cambria" w:hAnsi="Cambria"/>
                <w:lang w:val="it-IT"/>
              </w:rPr>
              <w:t>učenja</w:t>
            </w:r>
            <w:proofErr w:type="spellEnd"/>
          </w:p>
          <w:p w14:paraId="13B1930E" w14:textId="77777777" w:rsidR="00BB64BF" w:rsidRDefault="00BB64BF" w:rsidP="00BB64BF">
            <w:pPr>
              <w:spacing w:after="0" w:line="240" w:lineRule="auto"/>
              <w:rPr>
                <w:rFonts w:ascii="Cambria" w:hAnsi="Cambria"/>
                <w:lang w:val="it-IT"/>
              </w:rPr>
            </w:pPr>
            <w:r>
              <w:rPr>
                <w:rFonts w:ascii="Cambria" w:hAnsi="Cambria"/>
                <w:lang w:val="it-IT"/>
              </w:rPr>
              <w:t xml:space="preserve">3. </w:t>
            </w:r>
            <w:proofErr w:type="spellStart"/>
            <w:r w:rsidR="009E5E8A" w:rsidRPr="009E5E8A">
              <w:rPr>
                <w:rFonts w:ascii="Cambria" w:hAnsi="Cambria"/>
                <w:lang w:val="it-IT"/>
              </w:rPr>
              <w:t>Ugovor</w:t>
            </w:r>
            <w:proofErr w:type="spellEnd"/>
            <w:r w:rsidR="009E5E8A" w:rsidRPr="009E5E8A">
              <w:rPr>
                <w:rFonts w:ascii="Cambria" w:hAnsi="Cambria"/>
                <w:lang w:val="it-IT"/>
              </w:rPr>
              <w:t xml:space="preserve"> o </w:t>
            </w:r>
            <w:proofErr w:type="spellStart"/>
            <w:r w:rsidR="009E5E8A" w:rsidRPr="009E5E8A">
              <w:rPr>
                <w:rFonts w:ascii="Cambria" w:hAnsi="Cambria"/>
                <w:lang w:val="it-IT"/>
              </w:rPr>
              <w:t>učenju</w:t>
            </w:r>
            <w:proofErr w:type="spellEnd"/>
            <w:r w:rsidR="009E5E8A" w:rsidRPr="009E5E8A">
              <w:rPr>
                <w:rFonts w:ascii="Cambria" w:hAnsi="Cambria"/>
                <w:lang w:val="it-IT"/>
              </w:rPr>
              <w:t xml:space="preserve"> i </w:t>
            </w:r>
            <w:proofErr w:type="spellStart"/>
            <w:r w:rsidR="009E5E8A" w:rsidRPr="009E5E8A">
              <w:rPr>
                <w:rFonts w:ascii="Cambria" w:hAnsi="Cambria"/>
                <w:lang w:val="it-IT"/>
              </w:rPr>
              <w:t>teorije</w:t>
            </w:r>
            <w:proofErr w:type="spellEnd"/>
            <w:r w:rsidR="009E5E8A" w:rsidRPr="009E5E8A">
              <w:rPr>
                <w:rFonts w:ascii="Cambria" w:hAnsi="Cambria"/>
                <w:lang w:val="it-IT"/>
              </w:rPr>
              <w:t xml:space="preserve"> </w:t>
            </w:r>
            <w:proofErr w:type="spellStart"/>
            <w:r w:rsidR="009E5E8A" w:rsidRPr="009E5E8A">
              <w:rPr>
                <w:rFonts w:ascii="Cambria" w:hAnsi="Cambria"/>
                <w:lang w:val="it-IT"/>
              </w:rPr>
              <w:t>učenja</w:t>
            </w:r>
            <w:proofErr w:type="spellEnd"/>
          </w:p>
          <w:p w14:paraId="575B8E7F" w14:textId="77777777" w:rsidR="00BB64BF" w:rsidRDefault="00BB64BF" w:rsidP="00BB64BF">
            <w:pPr>
              <w:spacing w:after="0" w:line="240" w:lineRule="auto"/>
              <w:rPr>
                <w:rFonts w:ascii="Cambria" w:hAnsi="Cambria"/>
                <w:lang w:val="it-IT"/>
              </w:rPr>
            </w:pPr>
            <w:r>
              <w:rPr>
                <w:rFonts w:ascii="Cambria" w:hAnsi="Cambria"/>
                <w:lang w:val="it-IT"/>
              </w:rPr>
              <w:t xml:space="preserve">4. </w:t>
            </w:r>
            <w:proofErr w:type="spellStart"/>
            <w:r w:rsidR="009E5E8A" w:rsidRPr="009E5E8A">
              <w:rPr>
                <w:rFonts w:ascii="Cambria" w:hAnsi="Cambria"/>
                <w:lang w:val="it-IT"/>
              </w:rPr>
              <w:t>Različiti</w:t>
            </w:r>
            <w:proofErr w:type="spellEnd"/>
            <w:r w:rsidR="009E5E8A" w:rsidRPr="009E5E8A">
              <w:rPr>
                <w:rFonts w:ascii="Cambria" w:hAnsi="Cambria"/>
                <w:lang w:val="it-IT"/>
              </w:rPr>
              <w:t xml:space="preserve"> </w:t>
            </w:r>
            <w:proofErr w:type="spellStart"/>
            <w:r w:rsidR="009E5E8A" w:rsidRPr="009E5E8A">
              <w:rPr>
                <w:rFonts w:ascii="Cambria" w:hAnsi="Cambria"/>
                <w:lang w:val="it-IT"/>
              </w:rPr>
              <w:t>načini</w:t>
            </w:r>
            <w:proofErr w:type="spellEnd"/>
            <w:r w:rsidR="009E5E8A" w:rsidRPr="009E5E8A">
              <w:rPr>
                <w:rFonts w:ascii="Cambria" w:hAnsi="Cambria"/>
                <w:lang w:val="it-IT"/>
              </w:rPr>
              <w:t xml:space="preserve"> </w:t>
            </w:r>
            <w:proofErr w:type="spellStart"/>
            <w:r w:rsidR="009E5E8A" w:rsidRPr="009E5E8A">
              <w:rPr>
                <w:rFonts w:ascii="Cambria" w:hAnsi="Cambria"/>
                <w:lang w:val="it-IT"/>
              </w:rPr>
              <w:t>vođenja</w:t>
            </w:r>
            <w:proofErr w:type="spellEnd"/>
            <w:r w:rsidR="009E5E8A" w:rsidRPr="009E5E8A">
              <w:rPr>
                <w:rFonts w:ascii="Cambria" w:hAnsi="Cambria"/>
                <w:lang w:val="it-IT"/>
              </w:rPr>
              <w:t xml:space="preserve"> </w:t>
            </w:r>
            <w:proofErr w:type="spellStart"/>
            <w:r w:rsidR="009E5E8A" w:rsidRPr="009E5E8A">
              <w:rPr>
                <w:rFonts w:ascii="Cambria" w:hAnsi="Cambria"/>
                <w:lang w:val="it-IT"/>
              </w:rPr>
              <w:t>bilješki</w:t>
            </w:r>
            <w:proofErr w:type="spellEnd"/>
            <w:r w:rsidR="009E5E8A" w:rsidRPr="009E5E8A">
              <w:rPr>
                <w:rFonts w:ascii="Cambria" w:hAnsi="Cambria"/>
                <w:lang w:val="it-IT"/>
              </w:rPr>
              <w:t xml:space="preserve"> </w:t>
            </w:r>
            <w:proofErr w:type="gramStart"/>
            <w:r w:rsidR="009E5E8A" w:rsidRPr="009E5E8A">
              <w:rPr>
                <w:rFonts w:ascii="Cambria" w:hAnsi="Cambria"/>
                <w:lang w:val="it-IT"/>
              </w:rPr>
              <w:t>( „</w:t>
            </w:r>
            <w:proofErr w:type="spellStart"/>
            <w:proofErr w:type="gramEnd"/>
            <w:r w:rsidR="009E5E8A" w:rsidRPr="009E5E8A">
              <w:rPr>
                <w:rFonts w:ascii="Cambria" w:hAnsi="Cambria"/>
                <w:lang w:val="it-IT"/>
              </w:rPr>
              <w:t>taking</w:t>
            </w:r>
            <w:proofErr w:type="spellEnd"/>
            <w:r w:rsidR="009E5E8A" w:rsidRPr="009E5E8A">
              <w:rPr>
                <w:rFonts w:ascii="Cambria" w:hAnsi="Cambria"/>
                <w:lang w:val="it-IT"/>
              </w:rPr>
              <w:t xml:space="preserve"> </w:t>
            </w:r>
            <w:proofErr w:type="gramStart"/>
            <w:r w:rsidR="009E5E8A" w:rsidRPr="009E5E8A">
              <w:rPr>
                <w:rFonts w:ascii="Cambria" w:hAnsi="Cambria"/>
                <w:lang w:val="it-IT"/>
              </w:rPr>
              <w:t>notes“</w:t>
            </w:r>
            <w:proofErr w:type="gramEnd"/>
            <w:r w:rsidR="009E5E8A" w:rsidRPr="009E5E8A">
              <w:rPr>
                <w:rFonts w:ascii="Cambria" w:hAnsi="Cambria"/>
                <w:lang w:val="it-IT"/>
              </w:rPr>
              <w:t>)</w:t>
            </w:r>
          </w:p>
          <w:p w14:paraId="78B74AC7" w14:textId="77777777" w:rsidR="00BB64BF" w:rsidRDefault="00BB64BF" w:rsidP="00BB64BF">
            <w:pPr>
              <w:spacing w:after="0" w:line="240" w:lineRule="auto"/>
              <w:rPr>
                <w:rFonts w:ascii="Cambria" w:hAnsi="Cambria"/>
                <w:lang w:val="it-IT"/>
              </w:rPr>
            </w:pPr>
            <w:r>
              <w:rPr>
                <w:rFonts w:ascii="Cambria" w:hAnsi="Cambria"/>
                <w:lang w:val="it-IT"/>
              </w:rPr>
              <w:t xml:space="preserve">5. </w:t>
            </w:r>
            <w:proofErr w:type="spellStart"/>
            <w:r w:rsidR="009E5E8A" w:rsidRPr="00BB64BF">
              <w:rPr>
                <w:rFonts w:ascii="Cambria" w:hAnsi="Cambria"/>
                <w:lang w:val="it-IT"/>
              </w:rPr>
              <w:t>Kvalitetno</w:t>
            </w:r>
            <w:proofErr w:type="spellEnd"/>
            <w:r w:rsidR="009E5E8A" w:rsidRPr="00BB64BF">
              <w:rPr>
                <w:rFonts w:ascii="Cambria" w:hAnsi="Cambria"/>
                <w:lang w:val="it-IT"/>
              </w:rPr>
              <w:t xml:space="preserve">, </w:t>
            </w:r>
            <w:proofErr w:type="spellStart"/>
            <w:r w:rsidR="009E5E8A" w:rsidRPr="00BB64BF">
              <w:rPr>
                <w:rFonts w:ascii="Cambria" w:hAnsi="Cambria"/>
                <w:lang w:val="it-IT"/>
              </w:rPr>
              <w:t>redovito</w:t>
            </w:r>
            <w:proofErr w:type="spellEnd"/>
            <w:r w:rsidR="009E5E8A" w:rsidRPr="00BB64BF">
              <w:rPr>
                <w:rFonts w:ascii="Cambria" w:hAnsi="Cambria"/>
                <w:lang w:val="it-IT"/>
              </w:rPr>
              <w:t xml:space="preserve"> </w:t>
            </w:r>
            <w:proofErr w:type="spellStart"/>
            <w:r w:rsidR="009E5E8A" w:rsidRPr="00BB64BF">
              <w:rPr>
                <w:rFonts w:ascii="Cambria" w:hAnsi="Cambria"/>
                <w:lang w:val="it-IT"/>
              </w:rPr>
              <w:t>učenje</w:t>
            </w:r>
            <w:proofErr w:type="spellEnd"/>
          </w:p>
          <w:p w14:paraId="6822A9D4" w14:textId="77777777" w:rsidR="00BB64BF" w:rsidRDefault="00BB64BF" w:rsidP="00BB64BF">
            <w:pPr>
              <w:spacing w:after="0" w:line="240" w:lineRule="auto"/>
              <w:rPr>
                <w:rFonts w:ascii="Cambria" w:hAnsi="Cambria"/>
                <w:lang w:val="it-IT"/>
              </w:rPr>
            </w:pPr>
            <w:r w:rsidRPr="00BB64BF">
              <w:rPr>
                <w:rFonts w:ascii="Cambria" w:hAnsi="Cambria"/>
                <w:lang w:val="it-IT"/>
              </w:rPr>
              <w:t xml:space="preserve">6. </w:t>
            </w:r>
            <w:proofErr w:type="spellStart"/>
            <w:r w:rsidR="009E5E8A" w:rsidRPr="00BB64BF">
              <w:rPr>
                <w:rFonts w:ascii="Cambria" w:hAnsi="Cambria"/>
                <w:lang w:val="it-IT"/>
              </w:rPr>
              <w:t>Psihologija</w:t>
            </w:r>
            <w:proofErr w:type="spellEnd"/>
            <w:r w:rsidR="009E5E8A" w:rsidRPr="00BB64BF">
              <w:rPr>
                <w:rFonts w:ascii="Cambria" w:hAnsi="Cambria"/>
                <w:lang w:val="it-IT"/>
              </w:rPr>
              <w:t xml:space="preserve"> </w:t>
            </w:r>
            <w:proofErr w:type="spellStart"/>
            <w:r w:rsidR="009E5E8A" w:rsidRPr="00BB64BF">
              <w:rPr>
                <w:rFonts w:ascii="Cambria" w:hAnsi="Cambria"/>
                <w:lang w:val="it-IT"/>
              </w:rPr>
              <w:t>učenja</w:t>
            </w:r>
            <w:proofErr w:type="spellEnd"/>
            <w:r w:rsidR="009E5E8A" w:rsidRPr="00BB64BF">
              <w:rPr>
                <w:rFonts w:ascii="Cambria" w:hAnsi="Cambria"/>
                <w:lang w:val="it-IT"/>
              </w:rPr>
              <w:t xml:space="preserve"> i </w:t>
            </w:r>
            <w:proofErr w:type="spellStart"/>
            <w:r w:rsidR="009E5E8A" w:rsidRPr="00BB64BF">
              <w:rPr>
                <w:rFonts w:ascii="Cambria" w:hAnsi="Cambria"/>
                <w:lang w:val="it-IT"/>
              </w:rPr>
              <w:t>pamćenja</w:t>
            </w:r>
            <w:proofErr w:type="spellEnd"/>
          </w:p>
          <w:p w14:paraId="1A74B9AD" w14:textId="77777777" w:rsidR="00BB64BF" w:rsidRDefault="00BB64BF" w:rsidP="00BB64BF">
            <w:pPr>
              <w:spacing w:after="0" w:line="240" w:lineRule="auto"/>
              <w:rPr>
                <w:rFonts w:ascii="Cambria" w:hAnsi="Cambria"/>
                <w:lang w:val="it-IT"/>
              </w:rPr>
            </w:pPr>
            <w:r w:rsidRPr="00BB64BF">
              <w:rPr>
                <w:rFonts w:ascii="Cambria" w:hAnsi="Cambria"/>
                <w:lang w:val="it-IT"/>
              </w:rPr>
              <w:t xml:space="preserve">7. </w:t>
            </w:r>
            <w:proofErr w:type="spellStart"/>
            <w:r w:rsidR="009E5E8A" w:rsidRPr="00BB64BF">
              <w:rPr>
                <w:rFonts w:ascii="Cambria" w:hAnsi="Cambria"/>
                <w:lang w:val="it-IT"/>
              </w:rPr>
              <w:t>Brzo</w:t>
            </w:r>
            <w:proofErr w:type="spellEnd"/>
            <w:r w:rsidR="009E5E8A" w:rsidRPr="00BB64BF">
              <w:rPr>
                <w:rFonts w:ascii="Cambria" w:hAnsi="Cambria"/>
                <w:lang w:val="it-IT"/>
              </w:rPr>
              <w:t xml:space="preserve"> </w:t>
            </w:r>
            <w:proofErr w:type="spellStart"/>
            <w:r w:rsidR="009E5E8A" w:rsidRPr="00BB64BF">
              <w:rPr>
                <w:rFonts w:ascii="Cambria" w:hAnsi="Cambria"/>
                <w:lang w:val="it-IT"/>
              </w:rPr>
              <w:t>čitanje</w:t>
            </w:r>
            <w:proofErr w:type="spellEnd"/>
            <w:r w:rsidR="009E5E8A" w:rsidRPr="00BB64BF">
              <w:rPr>
                <w:rFonts w:ascii="Cambria" w:hAnsi="Cambria"/>
                <w:lang w:val="it-IT"/>
              </w:rPr>
              <w:t xml:space="preserve"> </w:t>
            </w:r>
            <w:proofErr w:type="gramStart"/>
            <w:r w:rsidR="009E5E8A" w:rsidRPr="00BB64BF">
              <w:rPr>
                <w:rFonts w:ascii="Cambria" w:hAnsi="Cambria"/>
                <w:lang w:val="it-IT"/>
              </w:rPr>
              <w:t xml:space="preserve">( </w:t>
            </w:r>
            <w:proofErr w:type="spellStart"/>
            <w:r w:rsidR="009E5E8A" w:rsidRPr="00BB64BF">
              <w:rPr>
                <w:rFonts w:ascii="Cambria" w:hAnsi="Cambria"/>
                <w:lang w:val="it-IT"/>
              </w:rPr>
              <w:t>fokus</w:t>
            </w:r>
            <w:proofErr w:type="spellEnd"/>
            <w:proofErr w:type="gramEnd"/>
            <w:r w:rsidR="009E5E8A" w:rsidRPr="00BB64BF">
              <w:rPr>
                <w:rFonts w:ascii="Cambria" w:hAnsi="Cambria"/>
                <w:lang w:val="it-IT"/>
              </w:rPr>
              <w:t xml:space="preserve">, </w:t>
            </w:r>
            <w:proofErr w:type="spellStart"/>
            <w:r w:rsidR="009E5E8A" w:rsidRPr="00BB64BF">
              <w:rPr>
                <w:rFonts w:ascii="Cambria" w:hAnsi="Cambria"/>
                <w:lang w:val="it-IT"/>
              </w:rPr>
              <w:t>vrijeme</w:t>
            </w:r>
            <w:proofErr w:type="spellEnd"/>
            <w:r w:rsidR="009E5E8A" w:rsidRPr="00BB64BF">
              <w:rPr>
                <w:rFonts w:ascii="Cambria" w:hAnsi="Cambria"/>
                <w:lang w:val="it-IT"/>
              </w:rPr>
              <w:t xml:space="preserve"> i </w:t>
            </w:r>
            <w:proofErr w:type="spellStart"/>
            <w:r w:rsidR="009E5E8A" w:rsidRPr="00BB64BF">
              <w:rPr>
                <w:rFonts w:ascii="Cambria" w:hAnsi="Cambria"/>
                <w:lang w:val="it-IT"/>
              </w:rPr>
              <w:t>ambijent</w:t>
            </w:r>
            <w:proofErr w:type="spellEnd"/>
            <w:r w:rsidR="009E5E8A" w:rsidRPr="00BB64BF">
              <w:rPr>
                <w:rFonts w:ascii="Cambria" w:hAnsi="Cambria"/>
                <w:lang w:val="it-IT"/>
              </w:rPr>
              <w:t>)</w:t>
            </w:r>
          </w:p>
          <w:p w14:paraId="2590FB22" w14:textId="77777777" w:rsidR="00BB64BF" w:rsidRDefault="00BB64BF" w:rsidP="00BB64BF">
            <w:pPr>
              <w:spacing w:after="0" w:line="240" w:lineRule="auto"/>
              <w:rPr>
                <w:rFonts w:ascii="Cambria" w:hAnsi="Cambria"/>
                <w:lang w:val="it-IT"/>
              </w:rPr>
            </w:pPr>
            <w:r w:rsidRPr="00BB64BF">
              <w:rPr>
                <w:rFonts w:ascii="Cambria" w:hAnsi="Cambria"/>
                <w:lang w:val="it-IT"/>
              </w:rPr>
              <w:t xml:space="preserve">8. </w:t>
            </w:r>
            <w:proofErr w:type="spellStart"/>
            <w:r w:rsidR="009E5E8A" w:rsidRPr="00BB64BF">
              <w:rPr>
                <w:rFonts w:ascii="Cambria" w:hAnsi="Cambria"/>
                <w:lang w:val="it-IT"/>
              </w:rPr>
              <w:t>Mentalne</w:t>
            </w:r>
            <w:proofErr w:type="spellEnd"/>
            <w:r w:rsidR="009E5E8A" w:rsidRPr="00BB64BF">
              <w:rPr>
                <w:rFonts w:ascii="Cambria" w:hAnsi="Cambria"/>
                <w:lang w:val="it-IT"/>
              </w:rPr>
              <w:t xml:space="preserve"> mape</w:t>
            </w:r>
          </w:p>
          <w:p w14:paraId="0D58178D" w14:textId="77777777" w:rsidR="00BB64BF" w:rsidRDefault="00BB64BF" w:rsidP="00BB64BF">
            <w:pPr>
              <w:spacing w:after="0" w:line="240" w:lineRule="auto"/>
              <w:rPr>
                <w:rFonts w:ascii="Cambria" w:hAnsi="Cambria"/>
                <w:lang w:val="it-IT"/>
              </w:rPr>
            </w:pPr>
            <w:r>
              <w:rPr>
                <w:rFonts w:ascii="Cambria" w:hAnsi="Cambria"/>
                <w:lang w:val="it-IT"/>
              </w:rPr>
              <w:t xml:space="preserve">9. </w:t>
            </w:r>
            <w:proofErr w:type="spellStart"/>
            <w:r w:rsidR="009E5E8A" w:rsidRPr="009E5E8A">
              <w:rPr>
                <w:rFonts w:ascii="Cambria" w:hAnsi="Cambria"/>
                <w:lang w:val="it-IT"/>
              </w:rPr>
              <w:t>Kreativno</w:t>
            </w:r>
            <w:proofErr w:type="spellEnd"/>
            <w:r w:rsidR="009E5E8A" w:rsidRPr="009E5E8A">
              <w:rPr>
                <w:rFonts w:ascii="Cambria" w:hAnsi="Cambria"/>
                <w:lang w:val="it-IT"/>
              </w:rPr>
              <w:t xml:space="preserve"> </w:t>
            </w:r>
            <w:proofErr w:type="spellStart"/>
            <w:r w:rsidR="009E5E8A" w:rsidRPr="009E5E8A">
              <w:rPr>
                <w:rFonts w:ascii="Cambria" w:hAnsi="Cambria"/>
                <w:lang w:val="it-IT"/>
              </w:rPr>
              <w:t>mišljenje</w:t>
            </w:r>
            <w:proofErr w:type="spellEnd"/>
            <w:r w:rsidR="009E5E8A" w:rsidRPr="009E5E8A">
              <w:rPr>
                <w:rFonts w:ascii="Cambria" w:hAnsi="Cambria"/>
                <w:lang w:val="it-IT"/>
              </w:rPr>
              <w:t xml:space="preserve"> i </w:t>
            </w:r>
            <w:proofErr w:type="spellStart"/>
            <w:r w:rsidR="009E5E8A" w:rsidRPr="009E5E8A">
              <w:rPr>
                <w:rFonts w:ascii="Cambria" w:hAnsi="Cambria"/>
                <w:lang w:val="it-IT"/>
              </w:rPr>
              <w:t>samostalno</w:t>
            </w:r>
            <w:proofErr w:type="spellEnd"/>
            <w:r w:rsidR="009E5E8A" w:rsidRPr="009E5E8A">
              <w:rPr>
                <w:rFonts w:ascii="Cambria" w:hAnsi="Cambria"/>
                <w:lang w:val="it-IT"/>
              </w:rPr>
              <w:t xml:space="preserve"> </w:t>
            </w:r>
            <w:proofErr w:type="spellStart"/>
            <w:r w:rsidR="009E5E8A" w:rsidRPr="009E5E8A">
              <w:rPr>
                <w:rFonts w:ascii="Cambria" w:hAnsi="Cambria"/>
                <w:lang w:val="it-IT"/>
              </w:rPr>
              <w:t>rješavanje</w:t>
            </w:r>
            <w:proofErr w:type="spellEnd"/>
            <w:r w:rsidR="009E5E8A" w:rsidRPr="009E5E8A">
              <w:rPr>
                <w:rFonts w:ascii="Cambria" w:hAnsi="Cambria"/>
                <w:lang w:val="it-IT"/>
              </w:rPr>
              <w:t xml:space="preserve"> problema</w:t>
            </w:r>
          </w:p>
          <w:p w14:paraId="008FAEA2" w14:textId="77777777" w:rsidR="00BB64BF" w:rsidRDefault="00BB64BF" w:rsidP="00BB64BF">
            <w:pPr>
              <w:spacing w:after="0" w:line="240" w:lineRule="auto"/>
              <w:rPr>
                <w:rFonts w:ascii="Cambria" w:hAnsi="Cambria"/>
                <w:lang w:val="it-IT"/>
              </w:rPr>
            </w:pPr>
            <w:r>
              <w:rPr>
                <w:rFonts w:ascii="Cambria" w:hAnsi="Cambria"/>
                <w:lang w:val="it-IT"/>
              </w:rPr>
              <w:t xml:space="preserve">10. </w:t>
            </w:r>
            <w:proofErr w:type="spellStart"/>
            <w:r w:rsidR="009E5E8A" w:rsidRPr="00BB64BF">
              <w:rPr>
                <w:rFonts w:ascii="Cambria" w:hAnsi="Cambria"/>
                <w:lang w:val="it-IT"/>
              </w:rPr>
              <w:t>Jezik</w:t>
            </w:r>
            <w:proofErr w:type="spellEnd"/>
            <w:r w:rsidR="009E5E8A" w:rsidRPr="00BB64BF">
              <w:rPr>
                <w:rFonts w:ascii="Cambria" w:hAnsi="Cambria"/>
                <w:lang w:val="it-IT"/>
              </w:rPr>
              <w:t xml:space="preserve">, </w:t>
            </w:r>
            <w:proofErr w:type="spellStart"/>
            <w:r w:rsidR="009E5E8A" w:rsidRPr="00BB64BF">
              <w:rPr>
                <w:rFonts w:ascii="Cambria" w:hAnsi="Cambria"/>
                <w:lang w:val="it-IT"/>
              </w:rPr>
              <w:t>misao</w:t>
            </w:r>
            <w:proofErr w:type="spellEnd"/>
            <w:r w:rsidR="009E5E8A" w:rsidRPr="00BB64BF">
              <w:rPr>
                <w:rFonts w:ascii="Cambria" w:hAnsi="Cambria"/>
                <w:lang w:val="it-IT"/>
              </w:rPr>
              <w:t xml:space="preserve">, </w:t>
            </w:r>
            <w:proofErr w:type="spellStart"/>
            <w:r w:rsidR="009E5E8A" w:rsidRPr="00BB64BF">
              <w:rPr>
                <w:rFonts w:ascii="Cambria" w:hAnsi="Cambria"/>
                <w:lang w:val="it-IT"/>
              </w:rPr>
              <w:t>dijalog</w:t>
            </w:r>
            <w:proofErr w:type="spellEnd"/>
          </w:p>
          <w:p w14:paraId="5C2E181E" w14:textId="77777777" w:rsidR="00BB64BF" w:rsidRDefault="00BB64BF" w:rsidP="00BB64BF">
            <w:pPr>
              <w:spacing w:after="0" w:line="240" w:lineRule="auto"/>
              <w:rPr>
                <w:rFonts w:ascii="Cambria" w:hAnsi="Cambria"/>
                <w:lang w:val="it-IT"/>
              </w:rPr>
            </w:pPr>
            <w:r w:rsidRPr="00BB64BF">
              <w:rPr>
                <w:rFonts w:ascii="Cambria" w:hAnsi="Cambria"/>
                <w:lang w:val="it-IT"/>
              </w:rPr>
              <w:t xml:space="preserve">11. </w:t>
            </w:r>
            <w:proofErr w:type="spellStart"/>
            <w:r w:rsidR="009E5E8A" w:rsidRPr="00BB64BF">
              <w:rPr>
                <w:rFonts w:ascii="Cambria" w:hAnsi="Cambria"/>
                <w:lang w:val="it-IT"/>
              </w:rPr>
              <w:t>Motivacija</w:t>
            </w:r>
            <w:proofErr w:type="spellEnd"/>
            <w:r w:rsidR="009E5E8A" w:rsidRPr="00BB64BF">
              <w:rPr>
                <w:rFonts w:ascii="Cambria" w:hAnsi="Cambria"/>
                <w:lang w:val="it-IT"/>
              </w:rPr>
              <w:t xml:space="preserve"> i </w:t>
            </w:r>
            <w:proofErr w:type="spellStart"/>
            <w:r w:rsidR="009E5E8A" w:rsidRPr="00BB64BF">
              <w:rPr>
                <w:rFonts w:ascii="Cambria" w:hAnsi="Cambria"/>
                <w:lang w:val="it-IT"/>
              </w:rPr>
              <w:t>vrste</w:t>
            </w:r>
            <w:proofErr w:type="spellEnd"/>
            <w:r w:rsidR="009E5E8A" w:rsidRPr="00BB64BF">
              <w:rPr>
                <w:rFonts w:ascii="Cambria" w:hAnsi="Cambria"/>
                <w:lang w:val="it-IT"/>
              </w:rPr>
              <w:t xml:space="preserve"> </w:t>
            </w:r>
            <w:proofErr w:type="spellStart"/>
            <w:r w:rsidR="009E5E8A" w:rsidRPr="00BB64BF">
              <w:rPr>
                <w:rFonts w:ascii="Cambria" w:hAnsi="Cambria"/>
                <w:lang w:val="it-IT"/>
              </w:rPr>
              <w:t>motivacije</w:t>
            </w:r>
            <w:proofErr w:type="spellEnd"/>
          </w:p>
          <w:p w14:paraId="4276577A" w14:textId="77777777" w:rsidR="00BB64BF" w:rsidRDefault="00BB64BF" w:rsidP="00BB64BF">
            <w:pPr>
              <w:spacing w:after="0" w:line="240" w:lineRule="auto"/>
              <w:rPr>
                <w:rFonts w:ascii="Cambria" w:hAnsi="Cambria"/>
                <w:lang w:val="it-IT"/>
              </w:rPr>
            </w:pPr>
            <w:r w:rsidRPr="00BB64BF">
              <w:rPr>
                <w:rFonts w:ascii="Cambria" w:hAnsi="Cambria"/>
                <w:lang w:val="it-IT"/>
              </w:rPr>
              <w:t xml:space="preserve">12. </w:t>
            </w:r>
            <w:proofErr w:type="spellStart"/>
            <w:r w:rsidR="009E5E8A" w:rsidRPr="00BB64BF">
              <w:rPr>
                <w:rFonts w:ascii="Cambria" w:hAnsi="Cambria"/>
                <w:lang w:val="it-IT"/>
              </w:rPr>
              <w:t>Metode</w:t>
            </w:r>
            <w:proofErr w:type="spellEnd"/>
            <w:r w:rsidR="009E5E8A" w:rsidRPr="00BB64BF">
              <w:rPr>
                <w:rFonts w:ascii="Cambria" w:hAnsi="Cambria"/>
                <w:lang w:val="it-IT"/>
              </w:rPr>
              <w:t xml:space="preserve"> </w:t>
            </w:r>
            <w:proofErr w:type="spellStart"/>
            <w:r w:rsidR="009E5E8A" w:rsidRPr="00BB64BF">
              <w:rPr>
                <w:rFonts w:ascii="Cambria" w:hAnsi="Cambria"/>
                <w:lang w:val="it-IT"/>
              </w:rPr>
              <w:t>učenja</w:t>
            </w:r>
            <w:proofErr w:type="spellEnd"/>
            <w:r w:rsidR="009E5E8A" w:rsidRPr="00BB64BF">
              <w:rPr>
                <w:rFonts w:ascii="Cambria" w:hAnsi="Cambria"/>
                <w:lang w:val="it-IT"/>
              </w:rPr>
              <w:t xml:space="preserve"> i </w:t>
            </w:r>
            <w:proofErr w:type="spellStart"/>
            <w:r w:rsidR="009E5E8A" w:rsidRPr="00BB64BF">
              <w:rPr>
                <w:rFonts w:ascii="Cambria" w:hAnsi="Cambria"/>
                <w:lang w:val="it-IT"/>
              </w:rPr>
              <w:t>poučavanja</w:t>
            </w:r>
            <w:proofErr w:type="spellEnd"/>
          </w:p>
          <w:p w14:paraId="7341A5CA" w14:textId="77777777" w:rsidR="00BB64BF" w:rsidRDefault="00BB64BF" w:rsidP="00BB64BF">
            <w:pPr>
              <w:spacing w:after="0" w:line="240" w:lineRule="auto"/>
              <w:rPr>
                <w:rFonts w:ascii="Cambria" w:hAnsi="Cambria"/>
                <w:lang w:val="it-IT"/>
              </w:rPr>
            </w:pPr>
            <w:r w:rsidRPr="00BB64BF">
              <w:rPr>
                <w:rFonts w:ascii="Cambria" w:hAnsi="Cambria"/>
                <w:lang w:val="it-IT"/>
              </w:rPr>
              <w:t xml:space="preserve">13. </w:t>
            </w:r>
            <w:proofErr w:type="spellStart"/>
            <w:r w:rsidR="009E5E8A" w:rsidRPr="00BB64BF">
              <w:rPr>
                <w:rFonts w:ascii="Cambria" w:hAnsi="Cambria"/>
                <w:lang w:val="it-IT"/>
              </w:rPr>
              <w:t>Metakognicija</w:t>
            </w:r>
            <w:proofErr w:type="spellEnd"/>
          </w:p>
          <w:p w14:paraId="472A0EF0" w14:textId="77777777" w:rsidR="00BB64BF" w:rsidRDefault="00BB64BF" w:rsidP="00BB64BF">
            <w:pPr>
              <w:spacing w:after="0" w:line="240" w:lineRule="auto"/>
              <w:rPr>
                <w:rFonts w:ascii="Cambria" w:hAnsi="Cambria"/>
                <w:lang w:val="it-IT"/>
              </w:rPr>
            </w:pPr>
            <w:r w:rsidRPr="00BB64BF">
              <w:rPr>
                <w:rFonts w:ascii="Cambria" w:hAnsi="Cambria"/>
                <w:lang w:val="it-IT"/>
              </w:rPr>
              <w:t xml:space="preserve">14. </w:t>
            </w:r>
            <w:proofErr w:type="spellStart"/>
            <w:r w:rsidR="009E5E8A" w:rsidRPr="00BB64BF">
              <w:rPr>
                <w:rFonts w:ascii="Cambria" w:hAnsi="Cambria"/>
                <w:lang w:val="it-IT"/>
              </w:rPr>
              <w:t>Kognitivne</w:t>
            </w:r>
            <w:proofErr w:type="spellEnd"/>
            <w:r w:rsidR="009E5E8A" w:rsidRPr="00BB64BF">
              <w:rPr>
                <w:rFonts w:ascii="Cambria" w:hAnsi="Cambria"/>
                <w:lang w:val="it-IT"/>
              </w:rPr>
              <w:t xml:space="preserve"> </w:t>
            </w:r>
            <w:proofErr w:type="spellStart"/>
            <w:r w:rsidR="009E5E8A" w:rsidRPr="00BB64BF">
              <w:rPr>
                <w:rFonts w:ascii="Cambria" w:hAnsi="Cambria"/>
                <w:lang w:val="it-IT"/>
              </w:rPr>
              <w:t>strategije</w:t>
            </w:r>
            <w:proofErr w:type="spellEnd"/>
            <w:r w:rsidR="009E5E8A" w:rsidRPr="00BB64BF">
              <w:rPr>
                <w:rFonts w:ascii="Cambria" w:hAnsi="Cambria"/>
                <w:lang w:val="it-IT"/>
              </w:rPr>
              <w:t xml:space="preserve"> i </w:t>
            </w:r>
            <w:proofErr w:type="spellStart"/>
            <w:r w:rsidR="009E5E8A" w:rsidRPr="00BB64BF">
              <w:rPr>
                <w:rFonts w:ascii="Cambria" w:hAnsi="Cambria"/>
                <w:lang w:val="it-IT"/>
              </w:rPr>
              <w:t>stilovi</w:t>
            </w:r>
            <w:proofErr w:type="spellEnd"/>
          </w:p>
          <w:p w14:paraId="7AA907C9" w14:textId="6C6FEF6F" w:rsidR="009E5E8A" w:rsidRPr="009E5E8A" w:rsidRDefault="00BB64BF" w:rsidP="00BB64BF">
            <w:pPr>
              <w:spacing w:after="0" w:line="240" w:lineRule="auto"/>
              <w:rPr>
                <w:rFonts w:ascii="Cambria" w:hAnsi="Cambria"/>
                <w:lang w:val="it-IT"/>
              </w:rPr>
            </w:pPr>
            <w:r>
              <w:rPr>
                <w:rFonts w:ascii="Cambria" w:hAnsi="Cambria"/>
                <w:lang w:val="it-IT"/>
              </w:rPr>
              <w:t xml:space="preserve">15. </w:t>
            </w:r>
            <w:proofErr w:type="spellStart"/>
            <w:r w:rsidR="009E5E8A" w:rsidRPr="009E5E8A">
              <w:rPr>
                <w:rFonts w:ascii="Cambria" w:hAnsi="Cambria"/>
                <w:lang w:val="it-IT"/>
              </w:rPr>
              <w:t>Metode</w:t>
            </w:r>
            <w:proofErr w:type="spellEnd"/>
            <w:r w:rsidR="009E5E8A" w:rsidRPr="009E5E8A">
              <w:rPr>
                <w:rFonts w:ascii="Cambria" w:hAnsi="Cambria"/>
                <w:lang w:val="it-IT"/>
              </w:rPr>
              <w:t xml:space="preserve"> </w:t>
            </w:r>
            <w:proofErr w:type="spellStart"/>
            <w:r w:rsidR="009E5E8A" w:rsidRPr="009E5E8A">
              <w:rPr>
                <w:rFonts w:ascii="Cambria" w:hAnsi="Cambria"/>
                <w:lang w:val="it-IT"/>
              </w:rPr>
              <w:t>učenja</w:t>
            </w:r>
            <w:proofErr w:type="spellEnd"/>
            <w:r w:rsidR="009E5E8A" w:rsidRPr="009E5E8A">
              <w:rPr>
                <w:rFonts w:ascii="Cambria" w:hAnsi="Cambria"/>
                <w:lang w:val="it-IT"/>
              </w:rPr>
              <w:t xml:space="preserve"> i </w:t>
            </w:r>
            <w:proofErr w:type="spellStart"/>
            <w:r w:rsidR="009E5E8A" w:rsidRPr="009E5E8A">
              <w:rPr>
                <w:rFonts w:ascii="Cambria" w:hAnsi="Cambria"/>
                <w:lang w:val="it-IT"/>
              </w:rPr>
              <w:t>vrste</w:t>
            </w:r>
            <w:proofErr w:type="spellEnd"/>
            <w:r w:rsidR="009E5E8A" w:rsidRPr="009E5E8A">
              <w:rPr>
                <w:rFonts w:ascii="Cambria" w:hAnsi="Cambria"/>
                <w:lang w:val="it-IT"/>
              </w:rPr>
              <w:t xml:space="preserve"> </w:t>
            </w:r>
            <w:proofErr w:type="spellStart"/>
            <w:r w:rsidR="009E5E8A" w:rsidRPr="009E5E8A">
              <w:rPr>
                <w:rFonts w:ascii="Cambria" w:hAnsi="Cambria"/>
                <w:lang w:val="it-IT"/>
              </w:rPr>
              <w:t>nastave</w:t>
            </w:r>
            <w:proofErr w:type="spellEnd"/>
          </w:p>
        </w:tc>
      </w:tr>
      <w:tr w:rsidR="009E5E8A" w:rsidRPr="009E5E8A" w14:paraId="2A61D809" w14:textId="77777777" w:rsidTr="00BB64BF">
        <w:tc>
          <w:tcPr>
            <w:tcW w:w="2616"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hideMark/>
          </w:tcPr>
          <w:p w14:paraId="32D9376B" w14:textId="77777777" w:rsidR="009E5E8A" w:rsidRPr="009E5E8A" w:rsidRDefault="009E5E8A" w:rsidP="0057401D">
            <w:pPr>
              <w:spacing w:after="0" w:line="240" w:lineRule="auto"/>
              <w:rPr>
                <w:rFonts w:ascii="Cambria" w:hAnsi="Cambria"/>
                <w:lang w:val="it-IT"/>
              </w:rPr>
            </w:pPr>
            <w:proofErr w:type="spellStart"/>
            <w:r w:rsidRPr="009E5E8A">
              <w:rPr>
                <w:rFonts w:ascii="Cambria" w:hAnsi="Cambria"/>
                <w:lang w:val="it-IT"/>
              </w:rPr>
              <w:lastRenderedPageBreak/>
              <w:t>Planirane</w:t>
            </w:r>
            <w:proofErr w:type="spellEnd"/>
            <w:r w:rsidRPr="009E5E8A">
              <w:rPr>
                <w:rFonts w:ascii="Cambria" w:hAnsi="Cambria"/>
                <w:lang w:val="it-IT"/>
              </w:rPr>
              <w:t xml:space="preserve"> </w:t>
            </w:r>
            <w:proofErr w:type="spellStart"/>
            <w:r w:rsidRPr="009E5E8A">
              <w:rPr>
                <w:rFonts w:ascii="Cambria" w:hAnsi="Cambria"/>
                <w:lang w:val="it-IT"/>
              </w:rPr>
              <w:t>aktivnosti</w:t>
            </w:r>
            <w:proofErr w:type="spellEnd"/>
            <w:r w:rsidRPr="009E5E8A">
              <w:rPr>
                <w:rFonts w:ascii="Cambria" w:hAnsi="Cambria"/>
                <w:lang w:val="it-IT"/>
              </w:rPr>
              <w:t>,</w:t>
            </w:r>
          </w:p>
          <w:p w14:paraId="522FC85B" w14:textId="77777777" w:rsidR="009E5E8A" w:rsidRPr="009E5E8A" w:rsidRDefault="009E5E8A" w:rsidP="0057401D">
            <w:pPr>
              <w:spacing w:after="0" w:line="240" w:lineRule="auto"/>
              <w:rPr>
                <w:rFonts w:ascii="Cambria" w:hAnsi="Cambria"/>
                <w:lang w:val="it-IT"/>
              </w:rPr>
            </w:pPr>
            <w:proofErr w:type="spellStart"/>
            <w:r w:rsidRPr="009E5E8A">
              <w:rPr>
                <w:rFonts w:ascii="Cambria" w:hAnsi="Cambria"/>
                <w:lang w:val="it-IT"/>
              </w:rPr>
              <w:t>metode</w:t>
            </w:r>
            <w:proofErr w:type="spellEnd"/>
            <w:r w:rsidRPr="009E5E8A">
              <w:rPr>
                <w:rFonts w:ascii="Cambria" w:hAnsi="Cambria"/>
                <w:lang w:val="it-IT"/>
              </w:rPr>
              <w:t xml:space="preserve"> </w:t>
            </w:r>
            <w:proofErr w:type="spellStart"/>
            <w:r w:rsidRPr="009E5E8A">
              <w:rPr>
                <w:rFonts w:ascii="Cambria" w:hAnsi="Cambria"/>
                <w:lang w:val="it-IT"/>
              </w:rPr>
              <w:t>učenja</w:t>
            </w:r>
            <w:proofErr w:type="spellEnd"/>
            <w:r w:rsidRPr="009E5E8A">
              <w:rPr>
                <w:rFonts w:ascii="Cambria" w:hAnsi="Cambria"/>
                <w:lang w:val="it-IT"/>
              </w:rPr>
              <w:t xml:space="preserve"> i </w:t>
            </w:r>
            <w:proofErr w:type="spellStart"/>
            <w:r w:rsidRPr="009E5E8A">
              <w:rPr>
                <w:rFonts w:ascii="Cambria" w:hAnsi="Cambria"/>
                <w:lang w:val="it-IT"/>
              </w:rPr>
              <w:t>poučavanja</w:t>
            </w:r>
            <w:proofErr w:type="spellEnd"/>
            <w:r w:rsidRPr="009E5E8A">
              <w:rPr>
                <w:rFonts w:ascii="Cambria" w:hAnsi="Cambria"/>
                <w:lang w:val="it-IT"/>
              </w:rPr>
              <w:t xml:space="preserve"> i </w:t>
            </w:r>
            <w:proofErr w:type="spellStart"/>
            <w:r w:rsidRPr="009E5E8A">
              <w:rPr>
                <w:rFonts w:ascii="Cambria" w:hAnsi="Cambria"/>
                <w:lang w:val="it-IT"/>
              </w:rPr>
              <w:t>načini</w:t>
            </w:r>
            <w:proofErr w:type="spellEnd"/>
            <w:r w:rsidRPr="009E5E8A">
              <w:rPr>
                <w:rFonts w:ascii="Cambria" w:hAnsi="Cambria"/>
                <w:lang w:val="it-IT"/>
              </w:rPr>
              <w:t xml:space="preserve"> </w:t>
            </w:r>
            <w:proofErr w:type="spellStart"/>
            <w:r w:rsidRPr="009E5E8A">
              <w:rPr>
                <w:rFonts w:ascii="Cambria" w:hAnsi="Cambria"/>
                <w:lang w:val="it-IT"/>
              </w:rPr>
              <w:t>vrednovanja</w:t>
            </w:r>
            <w:proofErr w:type="spellEnd"/>
          </w:p>
        </w:tc>
        <w:tc>
          <w:tcPr>
            <w:tcW w:w="258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E2625A6" w14:textId="77777777" w:rsidR="009E5E8A" w:rsidRPr="00BB64BF" w:rsidRDefault="009E5E8A" w:rsidP="0057401D">
            <w:pPr>
              <w:spacing w:after="0" w:line="240" w:lineRule="auto"/>
              <w:rPr>
                <w:rFonts w:ascii="Cambria" w:hAnsi="Cambria"/>
              </w:rPr>
            </w:pPr>
            <w:proofErr w:type="spellStart"/>
            <w:r w:rsidRPr="00BB64BF">
              <w:rPr>
                <w:rFonts w:ascii="Cambria" w:hAnsi="Cambria"/>
                <w:bCs/>
              </w:rPr>
              <w:t>Obveze</w:t>
            </w:r>
            <w:proofErr w:type="spellEnd"/>
            <w:r w:rsidRPr="00BB64BF">
              <w:rPr>
                <w:rFonts w:ascii="Cambria" w:hAnsi="Cambria"/>
                <w:bCs/>
              </w:rPr>
              <w:t xml:space="preserve"> </w:t>
            </w:r>
          </w:p>
          <w:p w14:paraId="687F1BEE" w14:textId="77777777" w:rsidR="009E5E8A" w:rsidRPr="00BB64BF" w:rsidRDefault="009E5E8A" w:rsidP="0057401D">
            <w:pPr>
              <w:spacing w:after="0" w:line="240" w:lineRule="auto"/>
              <w:rPr>
                <w:rFonts w:ascii="Cambria" w:hAnsi="Cambria"/>
              </w:rPr>
            </w:pPr>
          </w:p>
        </w:tc>
        <w:tc>
          <w:tcPr>
            <w:tcW w:w="10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F5F765D" w14:textId="77777777" w:rsidR="009E5E8A" w:rsidRPr="00BB64BF" w:rsidRDefault="009E5E8A" w:rsidP="0057401D">
            <w:pPr>
              <w:spacing w:after="0" w:line="240" w:lineRule="auto"/>
              <w:rPr>
                <w:rFonts w:ascii="Cambria" w:hAnsi="Cambria"/>
              </w:rPr>
            </w:pPr>
            <w:proofErr w:type="spellStart"/>
            <w:r w:rsidRPr="00BB64BF">
              <w:rPr>
                <w:rFonts w:ascii="Cambria" w:hAnsi="Cambria"/>
                <w:bCs/>
              </w:rPr>
              <w:t>Ishodi</w:t>
            </w:r>
            <w:proofErr w:type="spellEnd"/>
          </w:p>
        </w:tc>
        <w:tc>
          <w:tcPr>
            <w:tcW w:w="72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C4CC61F" w14:textId="77777777" w:rsidR="009E5E8A" w:rsidRPr="00BB64BF" w:rsidRDefault="009E5E8A" w:rsidP="0057401D">
            <w:pPr>
              <w:spacing w:after="0" w:line="240" w:lineRule="auto"/>
              <w:rPr>
                <w:rFonts w:ascii="Cambria" w:hAnsi="Cambria"/>
              </w:rPr>
            </w:pPr>
            <w:r w:rsidRPr="00BB64BF">
              <w:rPr>
                <w:rFonts w:ascii="Cambria" w:hAnsi="Cambria"/>
                <w:bCs/>
              </w:rPr>
              <w:t>Sati</w:t>
            </w:r>
          </w:p>
        </w:tc>
        <w:tc>
          <w:tcPr>
            <w:tcW w:w="101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859624F" w14:textId="77777777" w:rsidR="009E5E8A" w:rsidRPr="00BB64BF" w:rsidRDefault="009E5E8A" w:rsidP="0057401D">
            <w:pPr>
              <w:spacing w:after="0" w:line="240" w:lineRule="auto"/>
              <w:rPr>
                <w:rFonts w:ascii="Cambria" w:hAnsi="Cambria"/>
              </w:rPr>
            </w:pPr>
            <w:r w:rsidRPr="00BB64BF">
              <w:rPr>
                <w:rFonts w:ascii="Cambria" w:hAnsi="Cambria"/>
                <w:bCs/>
              </w:rPr>
              <w:t>ECTS</w:t>
            </w:r>
          </w:p>
        </w:tc>
        <w:tc>
          <w:tcPr>
            <w:tcW w:w="17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81D62BD" w14:textId="77777777" w:rsidR="009E5E8A" w:rsidRPr="00BB64BF" w:rsidRDefault="009E5E8A" w:rsidP="0057401D">
            <w:pPr>
              <w:spacing w:after="0" w:line="240" w:lineRule="auto"/>
              <w:rPr>
                <w:rFonts w:ascii="Cambria" w:hAnsi="Cambria"/>
              </w:rPr>
            </w:pPr>
            <w:proofErr w:type="spellStart"/>
            <w:r w:rsidRPr="00BB64BF">
              <w:rPr>
                <w:rFonts w:ascii="Cambria" w:hAnsi="Cambria"/>
                <w:bCs/>
              </w:rPr>
              <w:t>Maksimalni</w:t>
            </w:r>
            <w:proofErr w:type="spellEnd"/>
            <w:r w:rsidRPr="00BB64BF">
              <w:rPr>
                <w:rFonts w:ascii="Cambria" w:hAnsi="Cambria"/>
                <w:bCs/>
              </w:rPr>
              <w:t xml:space="preserve"> </w:t>
            </w:r>
            <w:proofErr w:type="spellStart"/>
            <w:r w:rsidRPr="00BB64BF">
              <w:rPr>
                <w:rFonts w:ascii="Cambria" w:hAnsi="Cambria"/>
                <w:bCs/>
              </w:rPr>
              <w:t>udio</w:t>
            </w:r>
            <w:proofErr w:type="spellEnd"/>
            <w:r w:rsidRPr="00BB64BF">
              <w:rPr>
                <w:rFonts w:ascii="Cambria" w:hAnsi="Cambria"/>
                <w:bCs/>
              </w:rPr>
              <w:t xml:space="preserve"> u </w:t>
            </w:r>
            <w:proofErr w:type="spellStart"/>
            <w:r w:rsidRPr="00BB64BF">
              <w:rPr>
                <w:rFonts w:ascii="Cambria" w:hAnsi="Cambria"/>
                <w:bCs/>
              </w:rPr>
              <w:t>ocjeni</w:t>
            </w:r>
            <w:proofErr w:type="spellEnd"/>
            <w:r w:rsidRPr="00BB64BF">
              <w:rPr>
                <w:rFonts w:ascii="Cambria" w:hAnsi="Cambria"/>
                <w:bCs/>
              </w:rPr>
              <w:t xml:space="preserve"> (%)</w:t>
            </w:r>
          </w:p>
        </w:tc>
      </w:tr>
      <w:tr w:rsidR="009E5E8A" w:rsidRPr="009E5E8A" w14:paraId="5C8B05E9" w14:textId="77777777" w:rsidTr="00BB64BF">
        <w:tc>
          <w:tcPr>
            <w:tcW w:w="2616" w:type="dxa"/>
            <w:vMerge/>
            <w:tcBorders>
              <w:left w:val="single" w:sz="8" w:space="0" w:color="000000"/>
              <w:right w:val="single" w:sz="8" w:space="0" w:color="000000"/>
            </w:tcBorders>
            <w:vAlign w:val="center"/>
            <w:hideMark/>
          </w:tcPr>
          <w:p w14:paraId="06A98FEA" w14:textId="77777777" w:rsidR="009E5E8A" w:rsidRPr="009E5E8A" w:rsidRDefault="009E5E8A" w:rsidP="0057401D">
            <w:pPr>
              <w:spacing w:after="0" w:line="240" w:lineRule="auto"/>
              <w:rPr>
                <w:rFonts w:ascii="Cambria" w:hAnsi="Cambria"/>
              </w:rPr>
            </w:pPr>
          </w:p>
        </w:tc>
        <w:tc>
          <w:tcPr>
            <w:tcW w:w="258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202B1CA" w14:textId="77777777" w:rsidR="009E5E8A" w:rsidRPr="009E5E8A" w:rsidRDefault="009E5E8A" w:rsidP="0057401D">
            <w:pPr>
              <w:spacing w:after="0" w:line="240" w:lineRule="auto"/>
              <w:rPr>
                <w:rFonts w:ascii="Cambria" w:hAnsi="Cambria"/>
              </w:rPr>
            </w:pPr>
            <w:proofErr w:type="spellStart"/>
            <w:r w:rsidRPr="009E5E8A">
              <w:rPr>
                <w:rFonts w:ascii="Cambria" w:hAnsi="Cambria"/>
              </w:rPr>
              <w:t>pohađanje</w:t>
            </w:r>
            <w:proofErr w:type="spellEnd"/>
            <w:r w:rsidRPr="009E5E8A">
              <w:rPr>
                <w:rFonts w:ascii="Cambria" w:hAnsi="Cambria"/>
              </w:rPr>
              <w:t xml:space="preserve"> </w:t>
            </w:r>
            <w:proofErr w:type="spellStart"/>
            <w:r w:rsidRPr="009E5E8A">
              <w:rPr>
                <w:rFonts w:ascii="Cambria" w:hAnsi="Cambria"/>
              </w:rPr>
              <w:t>predavanja</w:t>
            </w:r>
            <w:proofErr w:type="spellEnd"/>
            <w:r w:rsidRPr="009E5E8A">
              <w:rPr>
                <w:rFonts w:ascii="Cambria" w:hAnsi="Cambria"/>
              </w:rPr>
              <w:t xml:space="preserve"> </w:t>
            </w:r>
            <w:proofErr w:type="spellStart"/>
            <w:r w:rsidRPr="009E5E8A">
              <w:rPr>
                <w:rFonts w:ascii="Cambria" w:hAnsi="Cambria"/>
              </w:rPr>
              <w:t>i</w:t>
            </w:r>
            <w:proofErr w:type="spellEnd"/>
            <w:r w:rsidRPr="009E5E8A">
              <w:rPr>
                <w:rFonts w:ascii="Cambria" w:hAnsi="Cambria"/>
              </w:rPr>
              <w:t xml:space="preserve"> </w:t>
            </w:r>
            <w:proofErr w:type="spellStart"/>
            <w:r w:rsidRPr="009E5E8A">
              <w:rPr>
                <w:rFonts w:ascii="Cambria" w:hAnsi="Cambria"/>
              </w:rPr>
              <w:t>vježbi</w:t>
            </w:r>
            <w:proofErr w:type="spellEnd"/>
          </w:p>
        </w:tc>
        <w:tc>
          <w:tcPr>
            <w:tcW w:w="10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C6B6B8D" w14:textId="77777777" w:rsidR="009E5E8A" w:rsidRPr="009E5E8A" w:rsidRDefault="009E5E8A" w:rsidP="0057401D">
            <w:pPr>
              <w:spacing w:after="0" w:line="240" w:lineRule="auto"/>
              <w:jc w:val="center"/>
              <w:rPr>
                <w:rFonts w:ascii="Cambria" w:hAnsi="Cambria"/>
              </w:rPr>
            </w:pPr>
            <w:r w:rsidRPr="009E5E8A">
              <w:rPr>
                <w:rFonts w:ascii="Cambria" w:hAnsi="Cambria"/>
              </w:rPr>
              <w:t xml:space="preserve">1. </w:t>
            </w:r>
            <w:proofErr w:type="gramStart"/>
            <w:r w:rsidRPr="009E5E8A">
              <w:rPr>
                <w:rFonts w:ascii="Cambria" w:hAnsi="Cambria"/>
              </w:rPr>
              <w:t>–  5</w:t>
            </w:r>
            <w:proofErr w:type="gramEnd"/>
            <w:r w:rsidRPr="009E5E8A">
              <w:rPr>
                <w:rFonts w:ascii="Cambria" w:hAnsi="Cambria"/>
              </w:rPr>
              <w:t xml:space="preserve">. </w:t>
            </w:r>
          </w:p>
        </w:tc>
        <w:tc>
          <w:tcPr>
            <w:tcW w:w="72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009B98B" w14:textId="72EA91ED" w:rsidR="009E5E8A" w:rsidRPr="009E5E8A" w:rsidRDefault="009E5E8A" w:rsidP="0057401D">
            <w:pPr>
              <w:spacing w:after="0" w:line="240" w:lineRule="auto"/>
              <w:jc w:val="center"/>
              <w:rPr>
                <w:rFonts w:ascii="Cambria" w:hAnsi="Cambria"/>
              </w:rPr>
            </w:pPr>
            <w:r w:rsidRPr="009E5E8A">
              <w:rPr>
                <w:rFonts w:ascii="Cambria" w:hAnsi="Cambria" w:cs="Calibri"/>
                <w:lang w:val="it-IT"/>
              </w:rPr>
              <w:t>2</w:t>
            </w:r>
            <w:r w:rsidR="00BB64BF">
              <w:rPr>
                <w:rFonts w:ascii="Cambria" w:hAnsi="Cambria" w:cs="Calibri"/>
                <w:lang w:val="it-IT"/>
              </w:rPr>
              <w:t>3</w:t>
            </w:r>
          </w:p>
        </w:tc>
        <w:tc>
          <w:tcPr>
            <w:tcW w:w="101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01FE19E" w14:textId="77777777" w:rsidR="009E5E8A" w:rsidRPr="009E5E8A" w:rsidRDefault="009E5E8A" w:rsidP="0057401D">
            <w:pPr>
              <w:spacing w:after="0" w:line="240" w:lineRule="auto"/>
              <w:jc w:val="center"/>
              <w:rPr>
                <w:rFonts w:ascii="Cambria" w:hAnsi="Cambria"/>
              </w:rPr>
            </w:pPr>
            <w:r w:rsidRPr="009E5E8A">
              <w:rPr>
                <w:rFonts w:ascii="Cambria" w:hAnsi="Cambria"/>
              </w:rPr>
              <w:t>0,8</w:t>
            </w:r>
          </w:p>
        </w:tc>
        <w:tc>
          <w:tcPr>
            <w:tcW w:w="17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21F0EE3" w14:textId="77777777" w:rsidR="009E5E8A" w:rsidRPr="009E5E8A" w:rsidRDefault="009E5E8A" w:rsidP="0057401D">
            <w:pPr>
              <w:spacing w:after="0" w:line="240" w:lineRule="auto"/>
              <w:jc w:val="center"/>
              <w:rPr>
                <w:rFonts w:ascii="Cambria" w:hAnsi="Cambria"/>
              </w:rPr>
            </w:pPr>
            <w:r w:rsidRPr="009E5E8A">
              <w:rPr>
                <w:rFonts w:ascii="Cambria" w:hAnsi="Cambria"/>
              </w:rPr>
              <w:t>10 %</w:t>
            </w:r>
          </w:p>
        </w:tc>
      </w:tr>
      <w:tr w:rsidR="009E5E8A" w:rsidRPr="009E5E8A" w14:paraId="0B3AF82D" w14:textId="77777777" w:rsidTr="00BB64BF">
        <w:tc>
          <w:tcPr>
            <w:tcW w:w="2616" w:type="dxa"/>
            <w:vMerge/>
            <w:tcBorders>
              <w:left w:val="single" w:sz="8" w:space="0" w:color="000000"/>
              <w:right w:val="single" w:sz="8" w:space="0" w:color="000000"/>
            </w:tcBorders>
            <w:vAlign w:val="center"/>
            <w:hideMark/>
          </w:tcPr>
          <w:p w14:paraId="5C6EB600" w14:textId="77777777" w:rsidR="009E5E8A" w:rsidRPr="009E5E8A" w:rsidRDefault="009E5E8A" w:rsidP="0057401D">
            <w:pPr>
              <w:spacing w:after="0" w:line="240" w:lineRule="auto"/>
              <w:rPr>
                <w:rFonts w:ascii="Cambria" w:hAnsi="Cambria"/>
              </w:rPr>
            </w:pPr>
          </w:p>
        </w:tc>
        <w:tc>
          <w:tcPr>
            <w:tcW w:w="258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E490F98" w14:textId="77777777" w:rsidR="009E5E8A" w:rsidRPr="009E5E8A" w:rsidRDefault="009E5E8A" w:rsidP="0057401D">
            <w:pPr>
              <w:spacing w:after="0" w:line="240" w:lineRule="auto"/>
              <w:rPr>
                <w:rFonts w:ascii="Cambria" w:hAnsi="Cambria"/>
              </w:rPr>
            </w:pPr>
            <w:proofErr w:type="spellStart"/>
            <w:r w:rsidRPr="009E5E8A">
              <w:rPr>
                <w:rFonts w:ascii="Cambria" w:hAnsi="Cambria"/>
              </w:rPr>
              <w:t>vježbe</w:t>
            </w:r>
            <w:proofErr w:type="spellEnd"/>
          </w:p>
        </w:tc>
        <w:tc>
          <w:tcPr>
            <w:tcW w:w="10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3E7FBC7" w14:textId="77777777" w:rsidR="009E5E8A" w:rsidRPr="009E5E8A" w:rsidRDefault="009E5E8A" w:rsidP="0057401D">
            <w:pPr>
              <w:spacing w:after="0" w:line="240" w:lineRule="auto"/>
              <w:jc w:val="center"/>
              <w:rPr>
                <w:rFonts w:ascii="Cambria" w:hAnsi="Cambria"/>
              </w:rPr>
            </w:pPr>
            <w:r w:rsidRPr="009E5E8A">
              <w:rPr>
                <w:rFonts w:ascii="Cambria" w:hAnsi="Cambria"/>
              </w:rPr>
              <w:t xml:space="preserve">2. – 5. </w:t>
            </w:r>
          </w:p>
        </w:tc>
        <w:tc>
          <w:tcPr>
            <w:tcW w:w="72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5B2FF06" w14:textId="77777777" w:rsidR="009E5E8A" w:rsidRPr="009E5E8A" w:rsidRDefault="009E5E8A" w:rsidP="0057401D">
            <w:pPr>
              <w:spacing w:after="0" w:line="240" w:lineRule="auto"/>
              <w:jc w:val="center"/>
              <w:rPr>
                <w:rFonts w:ascii="Cambria" w:hAnsi="Cambria"/>
              </w:rPr>
            </w:pPr>
            <w:r w:rsidRPr="009E5E8A">
              <w:rPr>
                <w:rFonts w:ascii="Cambria" w:hAnsi="Cambria" w:cs="Calibri"/>
                <w:lang w:val="it-IT"/>
              </w:rPr>
              <w:t>15</w:t>
            </w:r>
          </w:p>
        </w:tc>
        <w:tc>
          <w:tcPr>
            <w:tcW w:w="101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EEE5B39" w14:textId="72584EFC" w:rsidR="009E5E8A" w:rsidRPr="009E5E8A" w:rsidRDefault="009E5E8A" w:rsidP="0057401D">
            <w:pPr>
              <w:spacing w:after="0" w:line="240" w:lineRule="auto"/>
              <w:jc w:val="center"/>
              <w:rPr>
                <w:rFonts w:ascii="Cambria" w:hAnsi="Cambria"/>
              </w:rPr>
            </w:pPr>
            <w:r w:rsidRPr="009E5E8A">
              <w:rPr>
                <w:rFonts w:ascii="Cambria" w:hAnsi="Cambria" w:cs="Calibri"/>
                <w:lang w:val="it-IT"/>
              </w:rPr>
              <w:t>0</w:t>
            </w:r>
            <w:r w:rsidR="00977220">
              <w:rPr>
                <w:rFonts w:ascii="Cambria" w:hAnsi="Cambria" w:cs="Calibri"/>
                <w:lang w:val="it-IT"/>
              </w:rPr>
              <w:t>,</w:t>
            </w:r>
            <w:r w:rsidRPr="009E5E8A">
              <w:rPr>
                <w:rFonts w:ascii="Cambria" w:hAnsi="Cambria" w:cs="Calibri"/>
                <w:lang w:val="it-IT"/>
              </w:rPr>
              <w:t>5</w:t>
            </w:r>
          </w:p>
        </w:tc>
        <w:tc>
          <w:tcPr>
            <w:tcW w:w="17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92E95EF" w14:textId="77777777" w:rsidR="009E5E8A" w:rsidRPr="009E5E8A" w:rsidRDefault="009E5E8A" w:rsidP="0057401D">
            <w:pPr>
              <w:spacing w:after="0" w:line="240" w:lineRule="auto"/>
              <w:jc w:val="center"/>
              <w:rPr>
                <w:rFonts w:ascii="Cambria" w:hAnsi="Cambria"/>
              </w:rPr>
            </w:pPr>
            <w:r w:rsidRPr="009E5E8A">
              <w:rPr>
                <w:rFonts w:ascii="Cambria" w:hAnsi="Cambria" w:cs="Calibri"/>
                <w:lang w:val="it-IT"/>
              </w:rPr>
              <w:t>40%</w:t>
            </w:r>
          </w:p>
        </w:tc>
      </w:tr>
      <w:tr w:rsidR="009E5E8A" w:rsidRPr="009E5E8A" w14:paraId="1F1054D5" w14:textId="77777777" w:rsidTr="00BB64BF">
        <w:tc>
          <w:tcPr>
            <w:tcW w:w="2616" w:type="dxa"/>
            <w:vMerge/>
            <w:tcBorders>
              <w:left w:val="single" w:sz="8" w:space="0" w:color="000000"/>
              <w:right w:val="single" w:sz="8" w:space="0" w:color="000000"/>
            </w:tcBorders>
            <w:vAlign w:val="center"/>
          </w:tcPr>
          <w:p w14:paraId="704F7DAF" w14:textId="77777777" w:rsidR="009E5E8A" w:rsidRPr="009E5E8A" w:rsidRDefault="009E5E8A" w:rsidP="0057401D">
            <w:pPr>
              <w:spacing w:after="0" w:line="240" w:lineRule="auto"/>
              <w:rPr>
                <w:rFonts w:ascii="Cambria" w:hAnsi="Cambria"/>
              </w:rPr>
            </w:pPr>
          </w:p>
        </w:tc>
        <w:tc>
          <w:tcPr>
            <w:tcW w:w="258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4958A47" w14:textId="77777777" w:rsidR="009E5E8A" w:rsidRPr="009E5E8A" w:rsidRDefault="009E5E8A" w:rsidP="0057401D">
            <w:pPr>
              <w:spacing w:after="0" w:line="240" w:lineRule="auto"/>
              <w:rPr>
                <w:rFonts w:ascii="Cambria" w:hAnsi="Cambria"/>
              </w:rPr>
            </w:pPr>
            <w:proofErr w:type="spellStart"/>
            <w:r w:rsidRPr="009E5E8A">
              <w:rPr>
                <w:rFonts w:ascii="Cambria" w:hAnsi="Cambria"/>
              </w:rPr>
              <w:t>pismeni</w:t>
            </w:r>
            <w:proofErr w:type="spellEnd"/>
            <w:r w:rsidRPr="009E5E8A">
              <w:rPr>
                <w:rFonts w:ascii="Cambria" w:hAnsi="Cambria"/>
              </w:rPr>
              <w:t xml:space="preserve"> </w:t>
            </w:r>
            <w:proofErr w:type="spellStart"/>
            <w:r w:rsidRPr="009E5E8A">
              <w:rPr>
                <w:rFonts w:ascii="Cambria" w:hAnsi="Cambria"/>
              </w:rPr>
              <w:t>ispit</w:t>
            </w:r>
            <w:proofErr w:type="spellEnd"/>
          </w:p>
        </w:tc>
        <w:tc>
          <w:tcPr>
            <w:tcW w:w="10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7E68841" w14:textId="77777777" w:rsidR="009E5E8A" w:rsidRPr="009E5E8A" w:rsidRDefault="009E5E8A" w:rsidP="0057401D">
            <w:pPr>
              <w:spacing w:after="0" w:line="240" w:lineRule="auto"/>
              <w:jc w:val="center"/>
              <w:rPr>
                <w:rFonts w:ascii="Cambria" w:hAnsi="Cambria"/>
              </w:rPr>
            </w:pPr>
            <w:r w:rsidRPr="009E5E8A">
              <w:rPr>
                <w:rFonts w:ascii="Cambria" w:hAnsi="Cambria"/>
              </w:rPr>
              <w:t>1. – 5.</w:t>
            </w:r>
          </w:p>
        </w:tc>
        <w:tc>
          <w:tcPr>
            <w:tcW w:w="72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20603E0" w14:textId="2CC5F71F" w:rsidR="009E5E8A" w:rsidRPr="009E5E8A" w:rsidRDefault="00977220" w:rsidP="0057401D">
            <w:pPr>
              <w:spacing w:after="0" w:line="240" w:lineRule="auto"/>
              <w:jc w:val="center"/>
              <w:rPr>
                <w:rFonts w:ascii="Cambria" w:hAnsi="Cambria"/>
              </w:rPr>
            </w:pPr>
            <w:r>
              <w:rPr>
                <w:rFonts w:ascii="Cambria" w:hAnsi="Cambria"/>
              </w:rPr>
              <w:t>22</w:t>
            </w:r>
          </w:p>
        </w:tc>
        <w:tc>
          <w:tcPr>
            <w:tcW w:w="101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BCF6F30" w14:textId="4A061EFE" w:rsidR="009E5E8A" w:rsidRPr="009E5E8A" w:rsidRDefault="00977220" w:rsidP="0057401D">
            <w:pPr>
              <w:spacing w:after="0" w:line="240" w:lineRule="auto"/>
              <w:jc w:val="center"/>
              <w:rPr>
                <w:rFonts w:ascii="Cambria" w:hAnsi="Cambria"/>
              </w:rPr>
            </w:pPr>
            <w:r>
              <w:rPr>
                <w:rFonts w:ascii="Cambria" w:hAnsi="Cambria"/>
              </w:rPr>
              <w:t>0,7</w:t>
            </w:r>
          </w:p>
        </w:tc>
        <w:tc>
          <w:tcPr>
            <w:tcW w:w="17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FE92A81" w14:textId="77777777" w:rsidR="009E5E8A" w:rsidRPr="009E5E8A" w:rsidRDefault="009E5E8A" w:rsidP="0057401D">
            <w:pPr>
              <w:spacing w:after="0" w:line="240" w:lineRule="auto"/>
              <w:jc w:val="center"/>
              <w:rPr>
                <w:rFonts w:ascii="Cambria" w:hAnsi="Cambria"/>
              </w:rPr>
            </w:pPr>
            <w:r w:rsidRPr="009E5E8A">
              <w:rPr>
                <w:rFonts w:ascii="Cambria" w:hAnsi="Cambria" w:cs="Calibri"/>
                <w:lang w:val="it-IT"/>
              </w:rPr>
              <w:t>50%</w:t>
            </w:r>
          </w:p>
        </w:tc>
      </w:tr>
      <w:tr w:rsidR="009E5E8A" w:rsidRPr="009E5E8A" w14:paraId="335D105E" w14:textId="77777777" w:rsidTr="00BB64BF">
        <w:tc>
          <w:tcPr>
            <w:tcW w:w="2616" w:type="dxa"/>
            <w:vMerge/>
            <w:tcBorders>
              <w:left w:val="single" w:sz="8" w:space="0" w:color="000000"/>
              <w:right w:val="single" w:sz="8" w:space="0" w:color="000000"/>
            </w:tcBorders>
            <w:vAlign w:val="center"/>
            <w:hideMark/>
          </w:tcPr>
          <w:p w14:paraId="50932B2C" w14:textId="77777777" w:rsidR="009E5E8A" w:rsidRPr="009E5E8A" w:rsidRDefault="009E5E8A" w:rsidP="0057401D">
            <w:pPr>
              <w:spacing w:after="0" w:line="240" w:lineRule="auto"/>
              <w:rPr>
                <w:rFonts w:ascii="Cambria" w:hAnsi="Cambria"/>
              </w:rPr>
            </w:pPr>
          </w:p>
        </w:tc>
        <w:tc>
          <w:tcPr>
            <w:tcW w:w="3672"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8EC0EE0" w14:textId="77777777" w:rsidR="009E5E8A" w:rsidRPr="009E5E8A" w:rsidRDefault="009E5E8A" w:rsidP="0057401D">
            <w:pPr>
              <w:spacing w:after="0" w:line="240" w:lineRule="auto"/>
              <w:rPr>
                <w:rFonts w:ascii="Cambria" w:hAnsi="Cambria"/>
              </w:rPr>
            </w:pPr>
            <w:proofErr w:type="spellStart"/>
            <w:r w:rsidRPr="009E5E8A">
              <w:rPr>
                <w:rFonts w:ascii="Cambria" w:hAnsi="Cambria"/>
                <w:lang w:val="it-IT"/>
              </w:rPr>
              <w:t>ukupno</w:t>
            </w:r>
            <w:proofErr w:type="spellEnd"/>
          </w:p>
        </w:tc>
        <w:tc>
          <w:tcPr>
            <w:tcW w:w="72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30383B0" w14:textId="39708954" w:rsidR="009E5E8A" w:rsidRPr="00BB64BF" w:rsidRDefault="00977220" w:rsidP="0057401D">
            <w:pPr>
              <w:spacing w:after="0" w:line="240" w:lineRule="auto"/>
              <w:jc w:val="center"/>
              <w:rPr>
                <w:rFonts w:ascii="Cambria" w:hAnsi="Cambria"/>
              </w:rPr>
            </w:pPr>
            <w:r>
              <w:rPr>
                <w:rFonts w:ascii="Cambria" w:hAnsi="Cambria"/>
              </w:rPr>
              <w:t>60</w:t>
            </w:r>
          </w:p>
        </w:tc>
        <w:tc>
          <w:tcPr>
            <w:tcW w:w="101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8DFC862" w14:textId="77777777" w:rsidR="009E5E8A" w:rsidRPr="00BB64BF" w:rsidRDefault="009E5E8A" w:rsidP="0057401D">
            <w:pPr>
              <w:spacing w:after="0" w:line="240" w:lineRule="auto"/>
              <w:jc w:val="center"/>
              <w:rPr>
                <w:rFonts w:ascii="Cambria" w:hAnsi="Cambria"/>
              </w:rPr>
            </w:pPr>
            <w:r w:rsidRPr="00BB64BF">
              <w:rPr>
                <w:rFonts w:ascii="Cambria" w:hAnsi="Cambria"/>
              </w:rPr>
              <w:t>2</w:t>
            </w:r>
          </w:p>
        </w:tc>
        <w:tc>
          <w:tcPr>
            <w:tcW w:w="17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C174273" w14:textId="77777777" w:rsidR="009E5E8A" w:rsidRPr="00BB64BF" w:rsidRDefault="009E5E8A" w:rsidP="0057401D">
            <w:pPr>
              <w:spacing w:after="0" w:line="240" w:lineRule="auto"/>
              <w:jc w:val="center"/>
              <w:rPr>
                <w:rFonts w:ascii="Cambria" w:hAnsi="Cambria"/>
              </w:rPr>
            </w:pPr>
            <w:r w:rsidRPr="00BB64BF">
              <w:rPr>
                <w:rFonts w:ascii="Cambria" w:hAnsi="Cambria"/>
              </w:rPr>
              <w:t>100 %</w:t>
            </w:r>
          </w:p>
        </w:tc>
      </w:tr>
      <w:tr w:rsidR="009E5E8A" w:rsidRPr="009E5E8A" w14:paraId="42348264" w14:textId="77777777" w:rsidTr="00BB64BF">
        <w:tc>
          <w:tcPr>
            <w:tcW w:w="261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449B0C8" w14:textId="77777777" w:rsidR="009E5E8A" w:rsidRPr="009E5E8A" w:rsidRDefault="009E5E8A" w:rsidP="0057401D">
            <w:pPr>
              <w:spacing w:after="0" w:line="240" w:lineRule="auto"/>
              <w:rPr>
                <w:rFonts w:ascii="Cambria" w:hAnsi="Cambria"/>
              </w:rPr>
            </w:pPr>
            <w:proofErr w:type="spellStart"/>
            <w:r w:rsidRPr="009E5E8A">
              <w:rPr>
                <w:rFonts w:ascii="Cambria" w:hAnsi="Cambria"/>
              </w:rPr>
              <w:t>Studentske</w:t>
            </w:r>
            <w:proofErr w:type="spellEnd"/>
            <w:r w:rsidRPr="009E5E8A">
              <w:rPr>
                <w:rFonts w:ascii="Cambria" w:hAnsi="Cambria"/>
              </w:rPr>
              <w:t xml:space="preserve"> </w:t>
            </w:r>
            <w:proofErr w:type="spellStart"/>
            <w:r w:rsidRPr="009E5E8A">
              <w:rPr>
                <w:rFonts w:ascii="Cambria" w:hAnsi="Cambria"/>
              </w:rPr>
              <w:t>obveze</w:t>
            </w:r>
            <w:proofErr w:type="spellEnd"/>
          </w:p>
        </w:tc>
        <w:tc>
          <w:tcPr>
            <w:tcW w:w="715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A0F98D5" w14:textId="77777777" w:rsidR="009E5E8A" w:rsidRPr="009E5E8A" w:rsidRDefault="009E5E8A" w:rsidP="0057401D">
            <w:pPr>
              <w:spacing w:after="0" w:line="240" w:lineRule="auto"/>
              <w:rPr>
                <w:rFonts w:ascii="Cambria" w:hAnsi="Cambria"/>
                <w:lang w:val="it-IT"/>
              </w:rPr>
            </w:pPr>
            <w:r w:rsidRPr="009E5E8A">
              <w:rPr>
                <w:rFonts w:ascii="Cambria" w:hAnsi="Cambria"/>
                <w:lang w:val="it-IT"/>
              </w:rPr>
              <w:t xml:space="preserve">Da </w:t>
            </w:r>
            <w:proofErr w:type="spellStart"/>
            <w:r w:rsidRPr="009E5E8A">
              <w:rPr>
                <w:rFonts w:ascii="Cambria" w:hAnsi="Cambria"/>
                <w:lang w:val="it-IT"/>
              </w:rPr>
              <w:t>položi</w:t>
            </w:r>
            <w:proofErr w:type="spellEnd"/>
            <w:r w:rsidRPr="009E5E8A">
              <w:rPr>
                <w:rFonts w:ascii="Cambria" w:hAnsi="Cambria"/>
                <w:lang w:val="it-IT"/>
              </w:rPr>
              <w:t xml:space="preserve"> </w:t>
            </w:r>
            <w:proofErr w:type="spellStart"/>
            <w:r w:rsidRPr="009E5E8A">
              <w:rPr>
                <w:rFonts w:ascii="Cambria" w:hAnsi="Cambria"/>
                <w:lang w:val="it-IT"/>
              </w:rPr>
              <w:t>kolegij</w:t>
            </w:r>
            <w:proofErr w:type="spellEnd"/>
            <w:r w:rsidRPr="009E5E8A">
              <w:rPr>
                <w:rFonts w:ascii="Cambria" w:hAnsi="Cambria"/>
                <w:lang w:val="it-IT"/>
              </w:rPr>
              <w:t xml:space="preserve">, </w:t>
            </w:r>
            <w:proofErr w:type="spellStart"/>
            <w:r w:rsidRPr="009E5E8A">
              <w:rPr>
                <w:rFonts w:ascii="Cambria" w:hAnsi="Cambria"/>
                <w:lang w:val="it-IT"/>
              </w:rPr>
              <w:t>student</w:t>
            </w:r>
            <w:proofErr w:type="spellEnd"/>
            <w:r w:rsidRPr="009E5E8A">
              <w:rPr>
                <w:rFonts w:ascii="Cambria" w:hAnsi="Cambria"/>
                <w:lang w:val="it-IT"/>
              </w:rPr>
              <w:t>/</w:t>
            </w:r>
            <w:proofErr w:type="spellStart"/>
            <w:r w:rsidRPr="009E5E8A">
              <w:rPr>
                <w:rFonts w:ascii="Cambria" w:hAnsi="Cambria"/>
                <w:lang w:val="it-IT"/>
              </w:rPr>
              <w:t>studentica</w:t>
            </w:r>
            <w:proofErr w:type="spellEnd"/>
            <w:r w:rsidRPr="009E5E8A">
              <w:rPr>
                <w:rFonts w:ascii="Cambria" w:hAnsi="Cambria"/>
                <w:lang w:val="it-IT"/>
              </w:rPr>
              <w:t xml:space="preserve"> mora: </w:t>
            </w:r>
          </w:p>
          <w:p w14:paraId="08D537A2" w14:textId="77777777" w:rsidR="00BB64BF" w:rsidRDefault="00BB64BF" w:rsidP="00BB64BF">
            <w:pPr>
              <w:spacing w:after="0" w:line="240" w:lineRule="auto"/>
              <w:rPr>
                <w:rFonts w:ascii="Cambria" w:hAnsi="Cambria"/>
                <w:lang w:val="it-IT"/>
              </w:rPr>
            </w:pPr>
            <w:r>
              <w:rPr>
                <w:rFonts w:ascii="Cambria" w:hAnsi="Cambria"/>
                <w:lang w:val="it-IT"/>
              </w:rPr>
              <w:t xml:space="preserve">1. </w:t>
            </w:r>
            <w:proofErr w:type="spellStart"/>
            <w:r>
              <w:rPr>
                <w:rFonts w:ascii="Cambria" w:hAnsi="Cambria"/>
                <w:lang w:val="it-IT"/>
              </w:rPr>
              <w:t>r</w:t>
            </w:r>
            <w:r w:rsidR="009E5E8A" w:rsidRPr="009E5E8A">
              <w:rPr>
                <w:rFonts w:ascii="Cambria" w:hAnsi="Cambria"/>
                <w:lang w:val="it-IT"/>
              </w:rPr>
              <w:t>edovito</w:t>
            </w:r>
            <w:proofErr w:type="spellEnd"/>
            <w:r w:rsidR="009E5E8A" w:rsidRPr="009E5E8A">
              <w:rPr>
                <w:rFonts w:ascii="Cambria" w:hAnsi="Cambria"/>
                <w:lang w:val="it-IT"/>
              </w:rPr>
              <w:t xml:space="preserve"> </w:t>
            </w:r>
            <w:proofErr w:type="spellStart"/>
            <w:r w:rsidR="009E5E8A" w:rsidRPr="009E5E8A">
              <w:rPr>
                <w:rFonts w:ascii="Cambria" w:hAnsi="Cambria"/>
                <w:lang w:val="it-IT"/>
              </w:rPr>
              <w:t>pratiti</w:t>
            </w:r>
            <w:proofErr w:type="spellEnd"/>
            <w:r w:rsidR="009E5E8A" w:rsidRPr="009E5E8A">
              <w:rPr>
                <w:rFonts w:ascii="Cambria" w:hAnsi="Cambria"/>
                <w:lang w:val="it-IT"/>
              </w:rPr>
              <w:t xml:space="preserve"> </w:t>
            </w:r>
            <w:proofErr w:type="spellStart"/>
            <w:r w:rsidR="009E5E8A" w:rsidRPr="009E5E8A">
              <w:rPr>
                <w:rFonts w:ascii="Cambria" w:hAnsi="Cambria"/>
                <w:lang w:val="it-IT"/>
              </w:rPr>
              <w:t>nastavu</w:t>
            </w:r>
            <w:proofErr w:type="spellEnd"/>
            <w:r w:rsidR="009E5E8A" w:rsidRPr="009E5E8A">
              <w:rPr>
                <w:rFonts w:ascii="Cambria" w:hAnsi="Cambria"/>
                <w:lang w:val="it-IT"/>
              </w:rPr>
              <w:t xml:space="preserve"> i </w:t>
            </w:r>
            <w:proofErr w:type="spellStart"/>
            <w:r w:rsidR="009E5E8A" w:rsidRPr="009E5E8A">
              <w:rPr>
                <w:rFonts w:ascii="Cambria" w:hAnsi="Cambria"/>
                <w:lang w:val="it-IT"/>
              </w:rPr>
              <w:t>aktivno</w:t>
            </w:r>
            <w:proofErr w:type="spellEnd"/>
            <w:r w:rsidR="009E5E8A" w:rsidRPr="009E5E8A">
              <w:rPr>
                <w:rFonts w:ascii="Cambria" w:hAnsi="Cambria"/>
                <w:lang w:val="it-IT"/>
              </w:rPr>
              <w:t xml:space="preserve"> </w:t>
            </w:r>
            <w:proofErr w:type="spellStart"/>
            <w:r w:rsidR="009E5E8A" w:rsidRPr="009E5E8A">
              <w:rPr>
                <w:rFonts w:ascii="Cambria" w:hAnsi="Cambria"/>
                <w:lang w:val="it-IT"/>
              </w:rPr>
              <w:t>sudjelovati</w:t>
            </w:r>
            <w:proofErr w:type="spellEnd"/>
            <w:r w:rsidR="009E5E8A" w:rsidRPr="009E5E8A">
              <w:rPr>
                <w:rFonts w:ascii="Cambria" w:hAnsi="Cambria"/>
                <w:lang w:val="it-IT"/>
              </w:rPr>
              <w:t xml:space="preserve"> u </w:t>
            </w:r>
            <w:proofErr w:type="spellStart"/>
            <w:r w:rsidR="009E5E8A" w:rsidRPr="009E5E8A">
              <w:rPr>
                <w:rFonts w:ascii="Cambria" w:hAnsi="Cambria"/>
                <w:lang w:val="it-IT"/>
              </w:rPr>
              <w:t>svim</w:t>
            </w:r>
            <w:proofErr w:type="spellEnd"/>
            <w:r w:rsidR="009E5E8A" w:rsidRPr="009E5E8A">
              <w:rPr>
                <w:rFonts w:ascii="Cambria" w:hAnsi="Cambria"/>
                <w:lang w:val="it-IT"/>
              </w:rPr>
              <w:t xml:space="preserve"> </w:t>
            </w:r>
            <w:proofErr w:type="spellStart"/>
            <w:r w:rsidR="009E5E8A" w:rsidRPr="009E5E8A">
              <w:rPr>
                <w:rFonts w:ascii="Cambria" w:hAnsi="Cambria"/>
                <w:lang w:val="it-IT"/>
              </w:rPr>
              <w:t>oblicima</w:t>
            </w:r>
            <w:proofErr w:type="spellEnd"/>
            <w:r w:rsidR="009E5E8A" w:rsidRPr="009E5E8A">
              <w:rPr>
                <w:rFonts w:ascii="Cambria" w:hAnsi="Cambria"/>
                <w:lang w:val="it-IT"/>
              </w:rPr>
              <w:t xml:space="preserve"> </w:t>
            </w:r>
            <w:proofErr w:type="spellStart"/>
            <w:r w:rsidR="009E5E8A" w:rsidRPr="009E5E8A">
              <w:rPr>
                <w:rFonts w:ascii="Cambria" w:hAnsi="Cambria"/>
                <w:lang w:val="it-IT"/>
              </w:rPr>
              <w:t>nastave</w:t>
            </w:r>
            <w:proofErr w:type="spellEnd"/>
            <w:r w:rsidR="009E5E8A" w:rsidRPr="009E5E8A">
              <w:rPr>
                <w:rFonts w:ascii="Cambria" w:hAnsi="Cambria"/>
                <w:lang w:val="it-IT"/>
              </w:rPr>
              <w:t xml:space="preserve">, </w:t>
            </w:r>
            <w:proofErr w:type="spellStart"/>
            <w:r w:rsidR="009E5E8A" w:rsidRPr="009E5E8A">
              <w:rPr>
                <w:rFonts w:ascii="Cambria" w:hAnsi="Cambria"/>
                <w:lang w:val="it-IT"/>
              </w:rPr>
              <w:t>posebno</w:t>
            </w:r>
            <w:proofErr w:type="spellEnd"/>
            <w:r w:rsidR="009E5E8A" w:rsidRPr="009E5E8A">
              <w:rPr>
                <w:rFonts w:ascii="Cambria" w:hAnsi="Cambria"/>
                <w:lang w:val="it-IT"/>
              </w:rPr>
              <w:t xml:space="preserve"> u </w:t>
            </w:r>
            <w:proofErr w:type="spellStart"/>
            <w:r w:rsidR="009E5E8A" w:rsidRPr="009E5E8A">
              <w:rPr>
                <w:rFonts w:ascii="Cambria" w:hAnsi="Cambria"/>
                <w:lang w:val="it-IT"/>
              </w:rPr>
              <w:t>vježbama</w:t>
            </w:r>
            <w:proofErr w:type="spellEnd"/>
          </w:p>
          <w:p w14:paraId="559F0A61" w14:textId="6A59CDB9" w:rsidR="009E5E8A" w:rsidRPr="00BB64BF" w:rsidRDefault="00BB64BF" w:rsidP="00BB64BF">
            <w:pPr>
              <w:spacing w:after="0" w:line="240" w:lineRule="auto"/>
              <w:rPr>
                <w:rFonts w:ascii="Cambria" w:hAnsi="Cambria"/>
                <w:lang w:val="it-IT"/>
              </w:rPr>
            </w:pPr>
            <w:r>
              <w:rPr>
                <w:rFonts w:ascii="Cambria" w:hAnsi="Cambria"/>
                <w:lang w:val="it-IT"/>
              </w:rPr>
              <w:t>2. i</w:t>
            </w:r>
            <w:proofErr w:type="spellStart"/>
            <w:r w:rsidR="009E5E8A" w:rsidRPr="00BB64BF">
              <w:rPr>
                <w:rFonts w:ascii="Cambria" w:hAnsi="Cambria"/>
              </w:rPr>
              <w:t>zraditi</w:t>
            </w:r>
            <w:proofErr w:type="spellEnd"/>
            <w:r w:rsidR="009E5E8A" w:rsidRPr="00BB64BF">
              <w:rPr>
                <w:rFonts w:ascii="Cambria" w:hAnsi="Cambria"/>
              </w:rPr>
              <w:t xml:space="preserve"> </w:t>
            </w:r>
            <w:proofErr w:type="spellStart"/>
            <w:r w:rsidR="009E5E8A" w:rsidRPr="00BB64BF">
              <w:rPr>
                <w:rFonts w:ascii="Cambria" w:hAnsi="Cambria"/>
              </w:rPr>
              <w:t>vježbe</w:t>
            </w:r>
            <w:proofErr w:type="spellEnd"/>
            <w:r w:rsidR="009E5E8A" w:rsidRPr="00BB64BF">
              <w:rPr>
                <w:rFonts w:ascii="Cambria" w:hAnsi="Cambria"/>
              </w:rPr>
              <w:t xml:space="preserve"> </w:t>
            </w:r>
          </w:p>
          <w:p w14:paraId="515E0F6B" w14:textId="77777777" w:rsidR="009E5E8A" w:rsidRPr="009E5E8A" w:rsidRDefault="009E5E8A" w:rsidP="00A034E3">
            <w:pPr>
              <w:pStyle w:val="Odlomakpopisa"/>
              <w:numPr>
                <w:ilvl w:val="1"/>
                <w:numId w:val="96"/>
              </w:numPr>
              <w:spacing w:after="0" w:line="240" w:lineRule="auto"/>
              <w:rPr>
                <w:rFonts w:ascii="Cambria" w:hAnsi="Cambria"/>
              </w:rPr>
            </w:pPr>
            <w:r w:rsidRPr="009E5E8A">
              <w:rPr>
                <w:rFonts w:ascii="Cambria" w:hAnsi="Cambria"/>
              </w:rPr>
              <w:t>Ugovor o učenju</w:t>
            </w:r>
          </w:p>
          <w:p w14:paraId="20825018" w14:textId="77777777" w:rsidR="009E5E8A" w:rsidRPr="009E5E8A" w:rsidRDefault="009E5E8A" w:rsidP="00A034E3">
            <w:pPr>
              <w:pStyle w:val="Odlomakpopisa"/>
              <w:numPr>
                <w:ilvl w:val="1"/>
                <w:numId w:val="96"/>
              </w:numPr>
              <w:spacing w:after="0" w:line="240" w:lineRule="auto"/>
              <w:rPr>
                <w:rFonts w:ascii="Cambria" w:hAnsi="Cambria"/>
              </w:rPr>
            </w:pPr>
            <w:r w:rsidRPr="009E5E8A">
              <w:rPr>
                <w:rFonts w:ascii="Cambria" w:hAnsi="Cambria"/>
              </w:rPr>
              <w:t>Mentalna mapa (Predstaviti jednu nastavnu jedinicu putem mentalne mape)</w:t>
            </w:r>
          </w:p>
          <w:p w14:paraId="4247627D" w14:textId="3785240A" w:rsidR="009E5E8A" w:rsidRPr="009E5E8A" w:rsidRDefault="009E5E8A" w:rsidP="00A034E3">
            <w:pPr>
              <w:pStyle w:val="Odlomakpopisa"/>
              <w:numPr>
                <w:ilvl w:val="1"/>
                <w:numId w:val="96"/>
              </w:numPr>
              <w:spacing w:after="0" w:line="240" w:lineRule="auto"/>
              <w:rPr>
                <w:rFonts w:ascii="Cambria" w:hAnsi="Cambria"/>
              </w:rPr>
            </w:pPr>
            <w:proofErr w:type="spellStart"/>
            <w:r w:rsidRPr="009E5E8A">
              <w:rPr>
                <w:rFonts w:ascii="Cambria" w:hAnsi="Cambria"/>
              </w:rPr>
              <w:t>School</w:t>
            </w:r>
            <w:proofErr w:type="spellEnd"/>
            <w:r w:rsidRPr="009E5E8A">
              <w:rPr>
                <w:rFonts w:ascii="Cambria" w:hAnsi="Cambria"/>
              </w:rPr>
              <w:t xml:space="preserve"> </w:t>
            </w:r>
            <w:proofErr w:type="spellStart"/>
            <w:r w:rsidRPr="009E5E8A">
              <w:rPr>
                <w:rFonts w:ascii="Cambria" w:hAnsi="Cambria"/>
              </w:rPr>
              <w:t>kills</w:t>
            </w:r>
            <w:proofErr w:type="spellEnd"/>
            <w:r w:rsidRPr="009E5E8A">
              <w:rPr>
                <w:rFonts w:ascii="Cambria" w:hAnsi="Cambria"/>
              </w:rPr>
              <w:t xml:space="preserve"> </w:t>
            </w:r>
            <w:proofErr w:type="spellStart"/>
            <w:r w:rsidRPr="009E5E8A">
              <w:rPr>
                <w:rFonts w:ascii="Cambria" w:hAnsi="Cambria"/>
              </w:rPr>
              <w:t>creativity</w:t>
            </w:r>
            <w:proofErr w:type="spellEnd"/>
            <w:r w:rsidRPr="009E5E8A">
              <w:rPr>
                <w:rFonts w:ascii="Cambria" w:hAnsi="Cambria"/>
              </w:rPr>
              <w:t xml:space="preserve"> -  Osvrt na </w:t>
            </w:r>
            <w:proofErr w:type="spellStart"/>
            <w:r w:rsidRPr="009E5E8A">
              <w:rPr>
                <w:rFonts w:ascii="Cambria" w:hAnsi="Cambria"/>
              </w:rPr>
              <w:t>pogledanome</w:t>
            </w:r>
            <w:proofErr w:type="spellEnd"/>
            <w:r w:rsidRPr="009E5E8A">
              <w:rPr>
                <w:rFonts w:ascii="Cambria" w:hAnsi="Cambria"/>
              </w:rPr>
              <w:t xml:space="preserve"> (esej)</w:t>
            </w:r>
          </w:p>
          <w:p w14:paraId="479A30F9" w14:textId="77777777" w:rsidR="009E5E8A" w:rsidRPr="009E5E8A" w:rsidRDefault="009E5E8A" w:rsidP="00A034E3">
            <w:pPr>
              <w:pStyle w:val="Odlomakpopisa"/>
              <w:numPr>
                <w:ilvl w:val="1"/>
                <w:numId w:val="96"/>
              </w:numPr>
              <w:spacing w:after="0" w:line="240" w:lineRule="auto"/>
              <w:rPr>
                <w:rFonts w:ascii="Cambria" w:hAnsi="Cambria"/>
              </w:rPr>
            </w:pPr>
            <w:proofErr w:type="spellStart"/>
            <w:r w:rsidRPr="009E5E8A">
              <w:rPr>
                <w:rFonts w:ascii="Cambria" w:hAnsi="Cambria"/>
              </w:rPr>
              <w:t>Flipped</w:t>
            </w:r>
            <w:proofErr w:type="spellEnd"/>
            <w:r w:rsidRPr="009E5E8A">
              <w:rPr>
                <w:rFonts w:ascii="Cambria" w:hAnsi="Cambria"/>
              </w:rPr>
              <w:t xml:space="preserve"> </w:t>
            </w:r>
            <w:proofErr w:type="spellStart"/>
            <w:r w:rsidRPr="009E5E8A">
              <w:rPr>
                <w:rFonts w:ascii="Cambria" w:hAnsi="Cambria"/>
              </w:rPr>
              <w:t>classroom</w:t>
            </w:r>
            <w:proofErr w:type="spellEnd"/>
            <w:r w:rsidRPr="009E5E8A">
              <w:rPr>
                <w:rFonts w:ascii="Cambria" w:hAnsi="Cambria"/>
              </w:rPr>
              <w:t xml:space="preserve"> – Pripremiti jedan nastavni sadržaj od 15 minuta</w:t>
            </w:r>
          </w:p>
          <w:p w14:paraId="015598F4" w14:textId="77777777" w:rsidR="009E5E8A" w:rsidRPr="009E5E8A" w:rsidRDefault="009E5E8A" w:rsidP="00A034E3">
            <w:pPr>
              <w:pStyle w:val="Odlomakpopisa"/>
              <w:numPr>
                <w:ilvl w:val="1"/>
                <w:numId w:val="96"/>
              </w:numPr>
              <w:spacing w:after="0" w:line="240" w:lineRule="auto"/>
              <w:rPr>
                <w:rFonts w:ascii="Cambria" w:hAnsi="Cambria"/>
              </w:rPr>
            </w:pPr>
            <w:r w:rsidRPr="009E5E8A">
              <w:rPr>
                <w:rFonts w:ascii="Cambria" w:hAnsi="Cambria"/>
              </w:rPr>
              <w:t>Zagonetke u nastavi (</w:t>
            </w:r>
            <w:proofErr w:type="spellStart"/>
            <w:r w:rsidRPr="009E5E8A">
              <w:rPr>
                <w:rFonts w:ascii="Cambria" w:hAnsi="Cambria"/>
              </w:rPr>
              <w:t>Rajović</w:t>
            </w:r>
            <w:proofErr w:type="spellEnd"/>
            <w:r w:rsidRPr="009E5E8A">
              <w:rPr>
                <w:rFonts w:ascii="Cambria" w:hAnsi="Cambria"/>
              </w:rPr>
              <w:t>, Petrović)</w:t>
            </w:r>
          </w:p>
          <w:p w14:paraId="6EB55C83" w14:textId="09C45EF0" w:rsidR="009E5E8A" w:rsidRPr="009E5E8A" w:rsidRDefault="009E5E8A" w:rsidP="0057401D">
            <w:pPr>
              <w:spacing w:after="0" w:line="240" w:lineRule="auto"/>
              <w:rPr>
                <w:rFonts w:ascii="Cambria" w:hAnsi="Cambria"/>
                <w:lang w:val="it-IT"/>
              </w:rPr>
            </w:pPr>
            <w:r w:rsidRPr="009E5E8A">
              <w:rPr>
                <w:rFonts w:ascii="Cambria" w:hAnsi="Cambria"/>
                <w:lang w:val="it-IT"/>
              </w:rPr>
              <w:t xml:space="preserve">3. </w:t>
            </w:r>
            <w:proofErr w:type="spellStart"/>
            <w:r w:rsidR="00BB64BF">
              <w:rPr>
                <w:rFonts w:ascii="Cambria" w:hAnsi="Cambria"/>
                <w:lang w:val="it-IT"/>
              </w:rPr>
              <w:t>p</w:t>
            </w:r>
            <w:r w:rsidRPr="009E5E8A">
              <w:rPr>
                <w:rFonts w:ascii="Cambria" w:hAnsi="Cambria"/>
                <w:lang w:val="it-IT"/>
              </w:rPr>
              <w:t>oložiti</w:t>
            </w:r>
            <w:proofErr w:type="spellEnd"/>
            <w:r w:rsidRPr="009E5E8A">
              <w:rPr>
                <w:rFonts w:ascii="Cambria" w:hAnsi="Cambria"/>
                <w:lang w:val="it-IT"/>
              </w:rPr>
              <w:t xml:space="preserve"> </w:t>
            </w:r>
            <w:proofErr w:type="spellStart"/>
            <w:r w:rsidRPr="009E5E8A">
              <w:rPr>
                <w:rFonts w:ascii="Cambria" w:hAnsi="Cambria"/>
                <w:lang w:val="it-IT"/>
              </w:rPr>
              <w:t>pismeni</w:t>
            </w:r>
            <w:proofErr w:type="spellEnd"/>
            <w:r w:rsidRPr="009E5E8A">
              <w:rPr>
                <w:rFonts w:ascii="Cambria" w:hAnsi="Cambria"/>
                <w:lang w:val="it-IT"/>
              </w:rPr>
              <w:t xml:space="preserve"> </w:t>
            </w:r>
            <w:proofErr w:type="spellStart"/>
            <w:r w:rsidRPr="009E5E8A">
              <w:rPr>
                <w:rFonts w:ascii="Cambria" w:hAnsi="Cambria"/>
                <w:lang w:val="it-IT"/>
              </w:rPr>
              <w:t>ispit</w:t>
            </w:r>
            <w:proofErr w:type="spellEnd"/>
            <w:r w:rsidRPr="009E5E8A">
              <w:rPr>
                <w:rFonts w:ascii="Cambria" w:hAnsi="Cambria"/>
                <w:lang w:val="it-IT"/>
              </w:rPr>
              <w:t>.</w:t>
            </w:r>
          </w:p>
          <w:p w14:paraId="3EAB06E6" w14:textId="77777777" w:rsidR="009E5E8A" w:rsidRPr="009E5E8A" w:rsidRDefault="009E5E8A" w:rsidP="0057401D">
            <w:pPr>
              <w:spacing w:after="0" w:line="240" w:lineRule="auto"/>
              <w:rPr>
                <w:rFonts w:ascii="Cambria" w:hAnsi="Cambria"/>
              </w:rPr>
            </w:pPr>
            <w:proofErr w:type="spellStart"/>
            <w:r w:rsidRPr="009E5E8A">
              <w:rPr>
                <w:rFonts w:ascii="Cambria" w:hAnsi="Cambria"/>
                <w:lang w:val="it-IT"/>
              </w:rPr>
              <w:t>Napomena</w:t>
            </w:r>
            <w:proofErr w:type="spellEnd"/>
            <w:r w:rsidRPr="009E5E8A">
              <w:rPr>
                <w:rFonts w:ascii="Cambria" w:hAnsi="Cambria"/>
                <w:lang w:val="it-IT"/>
              </w:rPr>
              <w:t>: (</w:t>
            </w:r>
            <w:proofErr w:type="spellStart"/>
            <w:r w:rsidRPr="009E5E8A">
              <w:rPr>
                <w:rFonts w:ascii="Cambria" w:hAnsi="Cambria"/>
                <w:lang w:val="it-IT"/>
              </w:rPr>
              <w:t>vrijedi</w:t>
            </w:r>
            <w:proofErr w:type="spellEnd"/>
            <w:r w:rsidRPr="009E5E8A">
              <w:rPr>
                <w:rFonts w:ascii="Cambria" w:hAnsi="Cambria"/>
                <w:lang w:val="it-IT"/>
              </w:rPr>
              <w:t xml:space="preserve"> za </w:t>
            </w:r>
            <w:proofErr w:type="spellStart"/>
            <w:r w:rsidRPr="009E5E8A">
              <w:rPr>
                <w:rFonts w:ascii="Cambria" w:hAnsi="Cambria"/>
                <w:lang w:val="it-IT"/>
              </w:rPr>
              <w:t>obvezu</w:t>
            </w:r>
            <w:proofErr w:type="spellEnd"/>
            <w:r w:rsidRPr="009E5E8A">
              <w:rPr>
                <w:rFonts w:ascii="Cambria" w:hAnsi="Cambria"/>
                <w:lang w:val="it-IT"/>
              </w:rPr>
              <w:t xml:space="preserve"> 2.) </w:t>
            </w:r>
            <w:proofErr w:type="spellStart"/>
            <w:r w:rsidRPr="009E5E8A">
              <w:rPr>
                <w:rFonts w:ascii="Cambria" w:hAnsi="Cambria"/>
                <w:lang w:val="it-IT"/>
              </w:rPr>
              <w:t>Student</w:t>
            </w:r>
            <w:proofErr w:type="spellEnd"/>
            <w:r w:rsidRPr="009E5E8A">
              <w:rPr>
                <w:rFonts w:ascii="Cambria" w:hAnsi="Cambria"/>
                <w:lang w:val="it-IT"/>
              </w:rPr>
              <w:t>/</w:t>
            </w:r>
            <w:proofErr w:type="spellStart"/>
            <w:r w:rsidRPr="009E5E8A">
              <w:rPr>
                <w:rFonts w:ascii="Cambria" w:hAnsi="Cambria"/>
                <w:lang w:val="it-IT"/>
              </w:rPr>
              <w:t>studentica</w:t>
            </w:r>
            <w:proofErr w:type="spellEnd"/>
            <w:r w:rsidRPr="009E5E8A">
              <w:rPr>
                <w:rFonts w:ascii="Cambria" w:hAnsi="Cambria"/>
                <w:lang w:val="it-IT"/>
              </w:rPr>
              <w:t xml:space="preserve"> </w:t>
            </w:r>
            <w:proofErr w:type="spellStart"/>
            <w:r w:rsidRPr="009E5E8A">
              <w:rPr>
                <w:rFonts w:ascii="Cambria" w:hAnsi="Cambria"/>
                <w:lang w:val="it-IT"/>
              </w:rPr>
              <w:t>treba</w:t>
            </w:r>
            <w:proofErr w:type="spellEnd"/>
            <w:r w:rsidRPr="009E5E8A">
              <w:rPr>
                <w:rFonts w:ascii="Cambria" w:hAnsi="Cambria"/>
                <w:lang w:val="it-IT"/>
              </w:rPr>
              <w:t xml:space="preserve"> </w:t>
            </w:r>
            <w:proofErr w:type="spellStart"/>
            <w:r w:rsidRPr="009E5E8A">
              <w:rPr>
                <w:rFonts w:ascii="Cambria" w:hAnsi="Cambria"/>
                <w:lang w:val="it-IT"/>
              </w:rPr>
              <w:t>napisati</w:t>
            </w:r>
            <w:proofErr w:type="spellEnd"/>
            <w:r w:rsidRPr="009E5E8A">
              <w:rPr>
                <w:rFonts w:ascii="Cambria" w:hAnsi="Cambria"/>
                <w:lang w:val="it-IT"/>
              </w:rPr>
              <w:t xml:space="preserve"> </w:t>
            </w:r>
            <w:proofErr w:type="spellStart"/>
            <w:r w:rsidRPr="009E5E8A">
              <w:rPr>
                <w:rFonts w:ascii="Cambria" w:hAnsi="Cambria"/>
                <w:lang w:val="it-IT"/>
              </w:rPr>
              <w:t>vježbe</w:t>
            </w:r>
            <w:proofErr w:type="spellEnd"/>
            <w:r w:rsidRPr="009E5E8A">
              <w:rPr>
                <w:rFonts w:ascii="Cambria" w:hAnsi="Cambria"/>
                <w:lang w:val="it-IT"/>
              </w:rPr>
              <w:t xml:space="preserve"> u </w:t>
            </w:r>
            <w:proofErr w:type="spellStart"/>
            <w:r w:rsidRPr="009E5E8A">
              <w:rPr>
                <w:rFonts w:ascii="Cambria" w:hAnsi="Cambria"/>
                <w:lang w:val="it-IT"/>
              </w:rPr>
              <w:t>zadanome</w:t>
            </w:r>
            <w:proofErr w:type="spellEnd"/>
            <w:r w:rsidRPr="009E5E8A">
              <w:rPr>
                <w:rFonts w:ascii="Cambria" w:hAnsi="Cambria"/>
                <w:lang w:val="it-IT"/>
              </w:rPr>
              <w:t xml:space="preserve"> </w:t>
            </w:r>
            <w:proofErr w:type="spellStart"/>
            <w:r w:rsidRPr="009E5E8A">
              <w:rPr>
                <w:rFonts w:ascii="Cambria" w:hAnsi="Cambria"/>
                <w:lang w:val="it-IT"/>
              </w:rPr>
              <w:t>roku</w:t>
            </w:r>
            <w:proofErr w:type="spellEnd"/>
            <w:r w:rsidRPr="009E5E8A">
              <w:rPr>
                <w:rFonts w:ascii="Cambria" w:hAnsi="Cambria"/>
                <w:lang w:val="it-IT"/>
              </w:rPr>
              <w:t xml:space="preserve">. </w:t>
            </w:r>
            <w:proofErr w:type="spellStart"/>
            <w:r w:rsidRPr="009E5E8A">
              <w:rPr>
                <w:rFonts w:ascii="Cambria" w:hAnsi="Cambria"/>
                <w:lang w:val="it-IT"/>
              </w:rPr>
              <w:t>Ako</w:t>
            </w:r>
            <w:proofErr w:type="spellEnd"/>
            <w:r w:rsidRPr="009E5E8A">
              <w:rPr>
                <w:rFonts w:ascii="Cambria" w:hAnsi="Cambria"/>
                <w:lang w:val="it-IT"/>
              </w:rPr>
              <w:t xml:space="preserve"> ne </w:t>
            </w:r>
            <w:proofErr w:type="spellStart"/>
            <w:r w:rsidRPr="009E5E8A">
              <w:rPr>
                <w:rFonts w:ascii="Cambria" w:hAnsi="Cambria"/>
                <w:lang w:val="it-IT"/>
              </w:rPr>
              <w:t>riješi</w:t>
            </w:r>
            <w:proofErr w:type="spellEnd"/>
            <w:r w:rsidRPr="009E5E8A">
              <w:rPr>
                <w:rFonts w:ascii="Cambria" w:hAnsi="Cambria"/>
                <w:lang w:val="it-IT"/>
              </w:rPr>
              <w:t xml:space="preserve"> </w:t>
            </w:r>
            <w:proofErr w:type="spellStart"/>
            <w:r w:rsidRPr="009E5E8A">
              <w:rPr>
                <w:rFonts w:ascii="Cambria" w:hAnsi="Cambria"/>
                <w:lang w:val="it-IT"/>
              </w:rPr>
              <w:t>obveze</w:t>
            </w:r>
            <w:proofErr w:type="spellEnd"/>
            <w:r w:rsidRPr="009E5E8A">
              <w:rPr>
                <w:rFonts w:ascii="Cambria" w:hAnsi="Cambria"/>
                <w:lang w:val="it-IT"/>
              </w:rPr>
              <w:t xml:space="preserve"> do </w:t>
            </w:r>
            <w:proofErr w:type="spellStart"/>
            <w:r w:rsidRPr="009E5E8A">
              <w:rPr>
                <w:rFonts w:ascii="Cambria" w:hAnsi="Cambria"/>
                <w:lang w:val="it-IT"/>
              </w:rPr>
              <w:t>zadanoga</w:t>
            </w:r>
            <w:proofErr w:type="spellEnd"/>
            <w:r w:rsidRPr="009E5E8A">
              <w:rPr>
                <w:rFonts w:ascii="Cambria" w:hAnsi="Cambria"/>
                <w:lang w:val="it-IT"/>
              </w:rPr>
              <w:t xml:space="preserve"> </w:t>
            </w:r>
            <w:proofErr w:type="spellStart"/>
            <w:r w:rsidRPr="009E5E8A">
              <w:rPr>
                <w:rFonts w:ascii="Cambria" w:hAnsi="Cambria"/>
                <w:lang w:val="it-IT"/>
              </w:rPr>
              <w:t>roka</w:t>
            </w:r>
            <w:proofErr w:type="spellEnd"/>
            <w:r w:rsidRPr="009E5E8A">
              <w:rPr>
                <w:rFonts w:ascii="Cambria" w:hAnsi="Cambria"/>
                <w:lang w:val="it-IT"/>
              </w:rPr>
              <w:t xml:space="preserve">, </w:t>
            </w:r>
            <w:proofErr w:type="spellStart"/>
            <w:r w:rsidRPr="009E5E8A">
              <w:rPr>
                <w:rFonts w:ascii="Cambria" w:hAnsi="Cambria"/>
                <w:lang w:val="it-IT"/>
              </w:rPr>
              <w:t>tada</w:t>
            </w:r>
            <w:proofErr w:type="spellEnd"/>
            <w:r w:rsidRPr="009E5E8A">
              <w:rPr>
                <w:rFonts w:ascii="Cambria" w:hAnsi="Cambria"/>
                <w:lang w:val="it-IT"/>
              </w:rPr>
              <w:t xml:space="preserve"> </w:t>
            </w:r>
            <w:proofErr w:type="spellStart"/>
            <w:r w:rsidRPr="009E5E8A">
              <w:rPr>
                <w:rFonts w:ascii="Cambria" w:hAnsi="Cambria"/>
                <w:lang w:val="it-IT"/>
              </w:rPr>
              <w:t>gubi</w:t>
            </w:r>
            <w:proofErr w:type="spellEnd"/>
            <w:r w:rsidRPr="009E5E8A">
              <w:rPr>
                <w:rFonts w:ascii="Cambria" w:hAnsi="Cambria"/>
                <w:lang w:val="it-IT"/>
              </w:rPr>
              <w:t xml:space="preserve"> pravo </w:t>
            </w:r>
            <w:proofErr w:type="spellStart"/>
            <w:r w:rsidRPr="009E5E8A">
              <w:rPr>
                <w:rFonts w:ascii="Cambria" w:hAnsi="Cambria"/>
                <w:lang w:val="it-IT"/>
              </w:rPr>
              <w:t>na</w:t>
            </w:r>
            <w:proofErr w:type="spellEnd"/>
            <w:r w:rsidRPr="009E5E8A">
              <w:rPr>
                <w:rFonts w:ascii="Cambria" w:hAnsi="Cambria"/>
                <w:lang w:val="it-IT"/>
              </w:rPr>
              <w:t xml:space="preserve"> ECTS-e </w:t>
            </w:r>
            <w:proofErr w:type="spellStart"/>
            <w:r w:rsidRPr="009E5E8A">
              <w:rPr>
                <w:rFonts w:ascii="Cambria" w:hAnsi="Cambria"/>
                <w:lang w:val="it-IT"/>
              </w:rPr>
              <w:t>iz</w:t>
            </w:r>
            <w:proofErr w:type="spellEnd"/>
            <w:r w:rsidRPr="009E5E8A">
              <w:rPr>
                <w:rFonts w:ascii="Cambria" w:hAnsi="Cambria"/>
                <w:lang w:val="it-IT"/>
              </w:rPr>
              <w:t xml:space="preserve"> </w:t>
            </w:r>
            <w:proofErr w:type="spellStart"/>
            <w:r w:rsidRPr="009E5E8A">
              <w:rPr>
                <w:rFonts w:ascii="Cambria" w:hAnsi="Cambria"/>
                <w:lang w:val="it-IT"/>
              </w:rPr>
              <w:t>kolegija</w:t>
            </w:r>
            <w:proofErr w:type="spellEnd"/>
            <w:r w:rsidRPr="009E5E8A">
              <w:rPr>
                <w:rFonts w:ascii="Cambria" w:hAnsi="Cambria"/>
                <w:lang w:val="it-IT"/>
              </w:rPr>
              <w:t xml:space="preserve"> u </w:t>
            </w:r>
            <w:proofErr w:type="spellStart"/>
            <w:r w:rsidRPr="009E5E8A">
              <w:rPr>
                <w:rFonts w:ascii="Cambria" w:hAnsi="Cambria"/>
                <w:lang w:val="it-IT"/>
              </w:rPr>
              <w:t>toj</w:t>
            </w:r>
            <w:proofErr w:type="spellEnd"/>
            <w:r w:rsidRPr="009E5E8A">
              <w:rPr>
                <w:rFonts w:ascii="Cambria" w:hAnsi="Cambria"/>
                <w:lang w:val="it-IT"/>
              </w:rPr>
              <w:t xml:space="preserve"> </w:t>
            </w:r>
            <w:proofErr w:type="spellStart"/>
            <w:r w:rsidRPr="009E5E8A">
              <w:rPr>
                <w:rFonts w:ascii="Cambria" w:hAnsi="Cambria"/>
                <w:lang w:val="it-IT"/>
              </w:rPr>
              <w:t>akademskoj</w:t>
            </w:r>
            <w:proofErr w:type="spellEnd"/>
            <w:r w:rsidRPr="009E5E8A">
              <w:rPr>
                <w:rFonts w:ascii="Cambria" w:hAnsi="Cambria"/>
                <w:lang w:val="it-IT"/>
              </w:rPr>
              <w:t xml:space="preserve"> </w:t>
            </w:r>
            <w:proofErr w:type="spellStart"/>
            <w:r w:rsidRPr="009E5E8A">
              <w:rPr>
                <w:rFonts w:ascii="Cambria" w:hAnsi="Cambria"/>
                <w:lang w:val="it-IT"/>
              </w:rPr>
              <w:t>godini</w:t>
            </w:r>
            <w:proofErr w:type="spellEnd"/>
            <w:r w:rsidRPr="009E5E8A">
              <w:rPr>
                <w:rFonts w:ascii="Cambria" w:hAnsi="Cambria"/>
                <w:lang w:val="it-IT"/>
              </w:rPr>
              <w:t xml:space="preserve">. </w:t>
            </w:r>
            <w:proofErr w:type="spellStart"/>
            <w:r w:rsidRPr="009E5E8A">
              <w:rPr>
                <w:rFonts w:ascii="Cambria" w:hAnsi="Cambria"/>
              </w:rPr>
              <w:t>Rokovi</w:t>
            </w:r>
            <w:proofErr w:type="spellEnd"/>
            <w:r w:rsidRPr="009E5E8A">
              <w:rPr>
                <w:rFonts w:ascii="Cambria" w:hAnsi="Cambria"/>
              </w:rPr>
              <w:t xml:space="preserve"> se u </w:t>
            </w:r>
            <w:proofErr w:type="spellStart"/>
            <w:r w:rsidRPr="009E5E8A">
              <w:rPr>
                <w:rFonts w:ascii="Cambria" w:hAnsi="Cambria"/>
              </w:rPr>
              <w:t>ovome</w:t>
            </w:r>
            <w:proofErr w:type="spellEnd"/>
            <w:r w:rsidRPr="009E5E8A">
              <w:rPr>
                <w:rFonts w:ascii="Cambria" w:hAnsi="Cambria"/>
              </w:rPr>
              <w:t xml:space="preserve"> </w:t>
            </w:r>
            <w:proofErr w:type="spellStart"/>
            <w:r w:rsidRPr="009E5E8A">
              <w:rPr>
                <w:rFonts w:ascii="Cambria" w:hAnsi="Cambria"/>
              </w:rPr>
              <w:t>kolegiju</w:t>
            </w:r>
            <w:proofErr w:type="spellEnd"/>
            <w:r w:rsidRPr="009E5E8A">
              <w:rPr>
                <w:rFonts w:ascii="Cambria" w:hAnsi="Cambria"/>
              </w:rPr>
              <w:t xml:space="preserve"> u </w:t>
            </w:r>
            <w:proofErr w:type="spellStart"/>
            <w:r w:rsidRPr="009E5E8A">
              <w:rPr>
                <w:rFonts w:ascii="Cambria" w:hAnsi="Cambria"/>
              </w:rPr>
              <w:t>potpunosti</w:t>
            </w:r>
            <w:proofErr w:type="spellEnd"/>
            <w:r w:rsidRPr="009E5E8A">
              <w:rPr>
                <w:rFonts w:ascii="Cambria" w:hAnsi="Cambria"/>
              </w:rPr>
              <w:t xml:space="preserve"> </w:t>
            </w:r>
            <w:proofErr w:type="spellStart"/>
            <w:r w:rsidRPr="009E5E8A">
              <w:rPr>
                <w:rFonts w:ascii="Cambria" w:hAnsi="Cambria"/>
              </w:rPr>
              <w:t>poštuju</w:t>
            </w:r>
            <w:proofErr w:type="spellEnd"/>
            <w:r w:rsidRPr="009E5E8A">
              <w:rPr>
                <w:rFonts w:ascii="Cambria" w:hAnsi="Cambria"/>
              </w:rPr>
              <w:t>.</w:t>
            </w:r>
          </w:p>
        </w:tc>
      </w:tr>
      <w:tr w:rsidR="009E5E8A" w:rsidRPr="009E5E8A" w14:paraId="64E628C2" w14:textId="77777777" w:rsidTr="00BB64BF">
        <w:tc>
          <w:tcPr>
            <w:tcW w:w="261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37B1230" w14:textId="77777777" w:rsidR="009E5E8A" w:rsidRPr="009E5E8A" w:rsidRDefault="009E5E8A" w:rsidP="0057401D">
            <w:pPr>
              <w:spacing w:after="0" w:line="240" w:lineRule="auto"/>
              <w:rPr>
                <w:rFonts w:ascii="Cambria" w:hAnsi="Cambria"/>
              </w:rPr>
            </w:pPr>
            <w:proofErr w:type="spellStart"/>
            <w:r w:rsidRPr="009E5E8A">
              <w:rPr>
                <w:rFonts w:ascii="Cambria" w:hAnsi="Cambria"/>
              </w:rPr>
              <w:t>Rokovi</w:t>
            </w:r>
            <w:proofErr w:type="spellEnd"/>
            <w:r w:rsidRPr="009E5E8A">
              <w:rPr>
                <w:rFonts w:ascii="Cambria" w:hAnsi="Cambria"/>
              </w:rPr>
              <w:t xml:space="preserve"> </w:t>
            </w:r>
            <w:proofErr w:type="spellStart"/>
            <w:r w:rsidRPr="009E5E8A">
              <w:rPr>
                <w:rFonts w:ascii="Cambria" w:hAnsi="Cambria"/>
              </w:rPr>
              <w:t>ispita</w:t>
            </w:r>
            <w:proofErr w:type="spellEnd"/>
          </w:p>
        </w:tc>
        <w:tc>
          <w:tcPr>
            <w:tcW w:w="715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375AFCD" w14:textId="77777777" w:rsidR="009E5E8A" w:rsidRPr="009E5E8A" w:rsidRDefault="009E5E8A" w:rsidP="0057401D">
            <w:pPr>
              <w:spacing w:after="0" w:line="240" w:lineRule="auto"/>
              <w:rPr>
                <w:rFonts w:ascii="Cambria" w:hAnsi="Cambria"/>
              </w:rPr>
            </w:pPr>
            <w:r w:rsidRPr="009E5E8A">
              <w:rPr>
                <w:rFonts w:ascii="Cambria" w:hAnsi="Cambria"/>
              </w:rPr>
              <w:t xml:space="preserve">Daju se </w:t>
            </w:r>
            <w:proofErr w:type="spellStart"/>
            <w:r w:rsidRPr="009E5E8A">
              <w:rPr>
                <w:rFonts w:ascii="Cambria" w:hAnsi="Cambria"/>
              </w:rPr>
              <w:t>na</w:t>
            </w:r>
            <w:proofErr w:type="spellEnd"/>
            <w:r w:rsidRPr="009E5E8A">
              <w:rPr>
                <w:rFonts w:ascii="Cambria" w:hAnsi="Cambria"/>
              </w:rPr>
              <w:t xml:space="preserve"> </w:t>
            </w:r>
            <w:proofErr w:type="spellStart"/>
            <w:r w:rsidRPr="009E5E8A">
              <w:rPr>
                <w:rFonts w:ascii="Cambria" w:hAnsi="Cambria"/>
              </w:rPr>
              <w:t>početku</w:t>
            </w:r>
            <w:proofErr w:type="spellEnd"/>
            <w:r w:rsidRPr="009E5E8A">
              <w:rPr>
                <w:rFonts w:ascii="Cambria" w:hAnsi="Cambria"/>
              </w:rPr>
              <w:t xml:space="preserve"> </w:t>
            </w:r>
            <w:proofErr w:type="spellStart"/>
            <w:r w:rsidRPr="009E5E8A">
              <w:rPr>
                <w:rFonts w:ascii="Cambria" w:hAnsi="Cambria"/>
              </w:rPr>
              <w:t>akademske</w:t>
            </w:r>
            <w:proofErr w:type="spellEnd"/>
            <w:r w:rsidRPr="009E5E8A">
              <w:rPr>
                <w:rFonts w:ascii="Cambria" w:hAnsi="Cambria"/>
              </w:rPr>
              <w:t xml:space="preserve"> </w:t>
            </w:r>
            <w:proofErr w:type="spellStart"/>
            <w:r w:rsidRPr="009E5E8A">
              <w:rPr>
                <w:rFonts w:ascii="Cambria" w:hAnsi="Cambria"/>
              </w:rPr>
              <w:t>godine</w:t>
            </w:r>
            <w:proofErr w:type="spellEnd"/>
            <w:r w:rsidRPr="009E5E8A">
              <w:rPr>
                <w:rFonts w:ascii="Cambria" w:hAnsi="Cambria"/>
              </w:rPr>
              <w:t xml:space="preserve">, </w:t>
            </w:r>
            <w:proofErr w:type="spellStart"/>
            <w:r w:rsidRPr="009E5E8A">
              <w:rPr>
                <w:rFonts w:ascii="Cambria" w:hAnsi="Cambria"/>
              </w:rPr>
              <w:t>objavljuju</w:t>
            </w:r>
            <w:proofErr w:type="spellEnd"/>
            <w:r w:rsidRPr="009E5E8A">
              <w:rPr>
                <w:rFonts w:ascii="Cambria" w:hAnsi="Cambria"/>
              </w:rPr>
              <w:t xml:space="preserve"> se </w:t>
            </w:r>
            <w:proofErr w:type="spellStart"/>
            <w:r w:rsidRPr="009E5E8A">
              <w:rPr>
                <w:rFonts w:ascii="Cambria" w:hAnsi="Cambria"/>
              </w:rPr>
              <w:t>na</w:t>
            </w:r>
            <w:proofErr w:type="spellEnd"/>
            <w:r w:rsidRPr="009E5E8A">
              <w:rPr>
                <w:rFonts w:ascii="Cambria" w:hAnsi="Cambria"/>
              </w:rPr>
              <w:t xml:space="preserve"> </w:t>
            </w:r>
            <w:proofErr w:type="spellStart"/>
            <w:r w:rsidRPr="009E5E8A">
              <w:rPr>
                <w:rFonts w:ascii="Cambria" w:hAnsi="Cambria"/>
              </w:rPr>
              <w:t>mrežnim</w:t>
            </w:r>
            <w:proofErr w:type="spellEnd"/>
            <w:r w:rsidRPr="009E5E8A">
              <w:rPr>
                <w:rFonts w:ascii="Cambria" w:hAnsi="Cambria"/>
              </w:rPr>
              <w:t xml:space="preserve"> </w:t>
            </w:r>
            <w:proofErr w:type="spellStart"/>
            <w:r w:rsidRPr="009E5E8A">
              <w:rPr>
                <w:rFonts w:ascii="Cambria" w:hAnsi="Cambria"/>
              </w:rPr>
              <w:t>stranicama</w:t>
            </w:r>
            <w:proofErr w:type="spellEnd"/>
            <w:r w:rsidRPr="009E5E8A">
              <w:rPr>
                <w:rFonts w:ascii="Cambria" w:hAnsi="Cambria"/>
              </w:rPr>
              <w:t xml:space="preserve"> </w:t>
            </w:r>
            <w:proofErr w:type="spellStart"/>
            <w:r w:rsidRPr="009E5E8A">
              <w:rPr>
                <w:rFonts w:ascii="Cambria" w:hAnsi="Cambria"/>
              </w:rPr>
              <w:t>Sveučilišta</w:t>
            </w:r>
            <w:proofErr w:type="spellEnd"/>
            <w:r w:rsidRPr="009E5E8A">
              <w:rPr>
                <w:rFonts w:ascii="Cambria" w:hAnsi="Cambria"/>
              </w:rPr>
              <w:t xml:space="preserve"> </w:t>
            </w:r>
            <w:proofErr w:type="spellStart"/>
            <w:r w:rsidRPr="009E5E8A">
              <w:rPr>
                <w:rFonts w:ascii="Cambria" w:hAnsi="Cambria"/>
              </w:rPr>
              <w:t>i</w:t>
            </w:r>
            <w:proofErr w:type="spellEnd"/>
            <w:r w:rsidRPr="009E5E8A">
              <w:rPr>
                <w:rFonts w:ascii="Cambria" w:hAnsi="Cambria"/>
              </w:rPr>
              <w:t xml:space="preserve"> u ISVU.</w:t>
            </w:r>
          </w:p>
        </w:tc>
      </w:tr>
      <w:tr w:rsidR="009E5E8A" w:rsidRPr="00D0399C" w14:paraId="3478DF91" w14:textId="77777777" w:rsidTr="00BB64BF">
        <w:tc>
          <w:tcPr>
            <w:tcW w:w="261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CB679C8" w14:textId="77777777" w:rsidR="009E5E8A" w:rsidRPr="009E5E8A" w:rsidRDefault="009E5E8A" w:rsidP="0057401D">
            <w:pPr>
              <w:spacing w:after="0" w:line="240" w:lineRule="auto"/>
              <w:rPr>
                <w:rFonts w:ascii="Cambria" w:hAnsi="Cambria"/>
                <w:lang w:val="it-IT"/>
              </w:rPr>
            </w:pPr>
            <w:r w:rsidRPr="009E5E8A">
              <w:rPr>
                <w:rFonts w:ascii="Cambria" w:hAnsi="Cambria"/>
                <w:lang w:val="it-IT"/>
              </w:rPr>
              <w:t xml:space="preserve">Ostale </w:t>
            </w:r>
            <w:proofErr w:type="spellStart"/>
            <w:r w:rsidRPr="009E5E8A">
              <w:rPr>
                <w:rFonts w:ascii="Cambria" w:hAnsi="Cambria"/>
                <w:lang w:val="it-IT"/>
              </w:rPr>
              <w:t>važne</w:t>
            </w:r>
            <w:proofErr w:type="spellEnd"/>
            <w:r w:rsidRPr="009E5E8A">
              <w:rPr>
                <w:rFonts w:ascii="Cambria" w:hAnsi="Cambria"/>
                <w:lang w:val="it-IT"/>
              </w:rPr>
              <w:t xml:space="preserve"> </w:t>
            </w:r>
            <w:proofErr w:type="spellStart"/>
            <w:r w:rsidRPr="009E5E8A">
              <w:rPr>
                <w:rFonts w:ascii="Cambria" w:hAnsi="Cambria"/>
                <w:lang w:val="it-IT"/>
              </w:rPr>
              <w:t>činjenice</w:t>
            </w:r>
            <w:proofErr w:type="spellEnd"/>
            <w:r w:rsidRPr="009E5E8A">
              <w:rPr>
                <w:rFonts w:ascii="Cambria" w:hAnsi="Cambria"/>
                <w:lang w:val="it-IT"/>
              </w:rPr>
              <w:t xml:space="preserve"> </w:t>
            </w:r>
            <w:proofErr w:type="spellStart"/>
            <w:r w:rsidRPr="009E5E8A">
              <w:rPr>
                <w:rFonts w:ascii="Cambria" w:hAnsi="Cambria"/>
                <w:lang w:val="it-IT"/>
              </w:rPr>
              <w:t>vezane</w:t>
            </w:r>
            <w:proofErr w:type="spellEnd"/>
            <w:r w:rsidRPr="009E5E8A">
              <w:rPr>
                <w:rFonts w:ascii="Cambria" w:hAnsi="Cambria"/>
                <w:lang w:val="it-IT"/>
              </w:rPr>
              <w:t xml:space="preserve"> </w:t>
            </w:r>
            <w:proofErr w:type="spellStart"/>
            <w:r w:rsidRPr="009E5E8A">
              <w:rPr>
                <w:rFonts w:ascii="Cambria" w:hAnsi="Cambria"/>
                <w:lang w:val="it-IT"/>
              </w:rPr>
              <w:t>uz</w:t>
            </w:r>
            <w:proofErr w:type="spellEnd"/>
            <w:r w:rsidRPr="009E5E8A">
              <w:rPr>
                <w:rFonts w:ascii="Cambria" w:hAnsi="Cambria"/>
                <w:lang w:val="it-IT"/>
              </w:rPr>
              <w:t xml:space="preserve"> </w:t>
            </w:r>
            <w:proofErr w:type="spellStart"/>
            <w:r w:rsidRPr="009E5E8A">
              <w:rPr>
                <w:rFonts w:ascii="Cambria" w:hAnsi="Cambria"/>
                <w:lang w:val="it-IT"/>
              </w:rPr>
              <w:t>kolegij</w:t>
            </w:r>
            <w:proofErr w:type="spellEnd"/>
          </w:p>
        </w:tc>
        <w:tc>
          <w:tcPr>
            <w:tcW w:w="715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F6AEFA8" w14:textId="77777777" w:rsidR="009E5E8A" w:rsidRPr="009E5E8A" w:rsidRDefault="009E5E8A" w:rsidP="0057401D">
            <w:pPr>
              <w:spacing w:after="0" w:line="240" w:lineRule="auto"/>
              <w:rPr>
                <w:rFonts w:ascii="Cambria" w:hAnsi="Cambria"/>
                <w:lang w:val="it-IT"/>
              </w:rPr>
            </w:pPr>
            <w:proofErr w:type="spellStart"/>
            <w:r w:rsidRPr="009E5E8A">
              <w:rPr>
                <w:rFonts w:ascii="Cambria" w:hAnsi="Cambria"/>
                <w:lang w:val="it-IT"/>
              </w:rPr>
              <w:t>Materijali</w:t>
            </w:r>
            <w:proofErr w:type="spellEnd"/>
            <w:r w:rsidRPr="009E5E8A">
              <w:rPr>
                <w:rFonts w:ascii="Cambria" w:hAnsi="Cambria"/>
                <w:lang w:val="it-IT"/>
              </w:rPr>
              <w:t xml:space="preserve"> za </w:t>
            </w:r>
            <w:proofErr w:type="spellStart"/>
            <w:r w:rsidRPr="009E5E8A">
              <w:rPr>
                <w:rFonts w:ascii="Cambria" w:hAnsi="Cambria"/>
                <w:lang w:val="it-IT"/>
              </w:rPr>
              <w:t>predavanja</w:t>
            </w:r>
            <w:proofErr w:type="spellEnd"/>
            <w:r w:rsidRPr="009E5E8A">
              <w:rPr>
                <w:rFonts w:ascii="Cambria" w:hAnsi="Cambria"/>
                <w:lang w:val="it-IT"/>
              </w:rPr>
              <w:t xml:space="preserve"> </w:t>
            </w:r>
            <w:proofErr w:type="gramStart"/>
            <w:r w:rsidRPr="009E5E8A">
              <w:rPr>
                <w:rFonts w:ascii="Cambria" w:hAnsi="Cambria"/>
                <w:lang w:val="it-IT"/>
              </w:rPr>
              <w:t>i seminare</w:t>
            </w:r>
            <w:proofErr w:type="gramEnd"/>
            <w:r w:rsidRPr="009E5E8A">
              <w:rPr>
                <w:rFonts w:ascii="Cambria" w:hAnsi="Cambria"/>
                <w:lang w:val="it-IT"/>
              </w:rPr>
              <w:t xml:space="preserve"> </w:t>
            </w:r>
            <w:proofErr w:type="spellStart"/>
            <w:r w:rsidRPr="009E5E8A">
              <w:rPr>
                <w:rFonts w:ascii="Cambria" w:hAnsi="Cambria"/>
                <w:lang w:val="it-IT"/>
              </w:rPr>
              <w:t>objavljuju</w:t>
            </w:r>
            <w:proofErr w:type="spellEnd"/>
            <w:r w:rsidRPr="009E5E8A">
              <w:rPr>
                <w:rFonts w:ascii="Cambria" w:hAnsi="Cambria"/>
                <w:lang w:val="it-IT"/>
              </w:rPr>
              <w:t xml:space="preserve"> se </w:t>
            </w:r>
            <w:proofErr w:type="spellStart"/>
            <w:r w:rsidRPr="009E5E8A">
              <w:rPr>
                <w:rFonts w:ascii="Cambria" w:hAnsi="Cambria"/>
                <w:lang w:val="it-IT"/>
              </w:rPr>
              <w:t>na</w:t>
            </w:r>
            <w:proofErr w:type="spellEnd"/>
            <w:r w:rsidRPr="009E5E8A">
              <w:rPr>
                <w:rFonts w:ascii="Cambria" w:hAnsi="Cambria"/>
                <w:lang w:val="it-IT"/>
              </w:rPr>
              <w:t xml:space="preserve"> e-</w:t>
            </w:r>
            <w:proofErr w:type="spellStart"/>
            <w:r w:rsidRPr="009E5E8A">
              <w:rPr>
                <w:rFonts w:ascii="Cambria" w:hAnsi="Cambria"/>
                <w:lang w:val="it-IT"/>
              </w:rPr>
              <w:t>učenju</w:t>
            </w:r>
            <w:proofErr w:type="spellEnd"/>
            <w:r w:rsidRPr="009E5E8A">
              <w:rPr>
                <w:rFonts w:ascii="Cambria" w:hAnsi="Cambria"/>
                <w:lang w:val="it-IT"/>
              </w:rPr>
              <w:t>.</w:t>
            </w:r>
          </w:p>
        </w:tc>
      </w:tr>
      <w:tr w:rsidR="009E5E8A" w:rsidRPr="009E5E8A" w14:paraId="028EBD54" w14:textId="77777777" w:rsidTr="00BB64BF">
        <w:trPr>
          <w:trHeight w:val="770"/>
        </w:trPr>
        <w:tc>
          <w:tcPr>
            <w:tcW w:w="261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C2587DB" w14:textId="77777777" w:rsidR="009E5E8A" w:rsidRPr="009E5E8A" w:rsidRDefault="009E5E8A" w:rsidP="0057401D">
            <w:pPr>
              <w:spacing w:after="0" w:line="240" w:lineRule="auto"/>
              <w:rPr>
                <w:rFonts w:ascii="Cambria" w:hAnsi="Cambria"/>
              </w:rPr>
            </w:pPr>
            <w:proofErr w:type="spellStart"/>
            <w:r w:rsidRPr="009E5E8A">
              <w:rPr>
                <w:rFonts w:ascii="Cambria" w:hAnsi="Cambria"/>
              </w:rPr>
              <w:t>Literatura</w:t>
            </w:r>
            <w:proofErr w:type="spellEnd"/>
          </w:p>
        </w:tc>
        <w:tc>
          <w:tcPr>
            <w:tcW w:w="7155"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4834845E" w14:textId="4D7AE5B8" w:rsidR="009E5E8A" w:rsidRPr="00BB64BF" w:rsidRDefault="009E5E8A" w:rsidP="0057401D">
            <w:pPr>
              <w:spacing w:after="0" w:line="240" w:lineRule="auto"/>
              <w:rPr>
                <w:rFonts w:ascii="Cambria" w:hAnsi="Cambria"/>
              </w:rPr>
            </w:pPr>
            <w:proofErr w:type="spellStart"/>
            <w:r w:rsidRPr="00BB64BF">
              <w:rPr>
                <w:rFonts w:ascii="Cambria" w:hAnsi="Cambria"/>
              </w:rPr>
              <w:t>Obvezna</w:t>
            </w:r>
            <w:proofErr w:type="spellEnd"/>
            <w:r w:rsidRPr="00BB64BF">
              <w:rPr>
                <w:rFonts w:ascii="Cambria" w:hAnsi="Cambria"/>
              </w:rPr>
              <w:t xml:space="preserve">: </w:t>
            </w:r>
          </w:p>
          <w:p w14:paraId="642B4957" w14:textId="7ECB9716" w:rsidR="009E5E8A" w:rsidRPr="00BB64BF" w:rsidRDefault="009E5E8A" w:rsidP="00BB64BF">
            <w:pPr>
              <w:spacing w:after="0" w:line="240" w:lineRule="auto"/>
              <w:rPr>
                <w:rFonts w:ascii="Cambria" w:hAnsi="Cambria"/>
              </w:rPr>
            </w:pPr>
            <w:r w:rsidRPr="00BB64BF">
              <w:rPr>
                <w:rFonts w:ascii="Cambria" w:hAnsi="Cambria"/>
              </w:rPr>
              <w:t xml:space="preserve">1. Kwik, J. (2022). Mozak bez </w:t>
            </w:r>
            <w:proofErr w:type="spellStart"/>
            <w:r w:rsidRPr="00BB64BF">
              <w:rPr>
                <w:rFonts w:ascii="Cambria" w:hAnsi="Cambria"/>
              </w:rPr>
              <w:t>granica</w:t>
            </w:r>
            <w:proofErr w:type="spellEnd"/>
            <w:r w:rsidRPr="00BB64BF">
              <w:rPr>
                <w:rFonts w:ascii="Cambria" w:hAnsi="Cambria"/>
              </w:rPr>
              <w:t xml:space="preserve">. Zagreb: </w:t>
            </w:r>
            <w:proofErr w:type="spellStart"/>
            <w:r w:rsidRPr="00BB64BF">
              <w:rPr>
                <w:rFonts w:ascii="Cambria" w:hAnsi="Cambria"/>
              </w:rPr>
              <w:t>Planetopija</w:t>
            </w:r>
            <w:proofErr w:type="spellEnd"/>
            <w:r w:rsidRPr="00BB64BF">
              <w:rPr>
                <w:rFonts w:ascii="Cambria" w:hAnsi="Cambria"/>
              </w:rPr>
              <w:t>.</w:t>
            </w:r>
          </w:p>
          <w:p w14:paraId="6BA98AC2" w14:textId="77777777" w:rsidR="009E5E8A" w:rsidRPr="00BB64BF" w:rsidRDefault="009E5E8A" w:rsidP="0057401D">
            <w:pPr>
              <w:spacing w:after="0" w:line="240" w:lineRule="auto"/>
              <w:rPr>
                <w:rFonts w:ascii="Cambria" w:hAnsi="Cambria"/>
              </w:rPr>
            </w:pPr>
            <w:proofErr w:type="spellStart"/>
            <w:r w:rsidRPr="00BB64BF">
              <w:rPr>
                <w:rFonts w:ascii="Cambria" w:hAnsi="Cambria"/>
              </w:rPr>
              <w:t>Izborna</w:t>
            </w:r>
            <w:proofErr w:type="spellEnd"/>
            <w:r w:rsidRPr="00BB64BF">
              <w:rPr>
                <w:rFonts w:ascii="Cambria" w:hAnsi="Cambria"/>
              </w:rPr>
              <w:t>:</w:t>
            </w:r>
          </w:p>
          <w:p w14:paraId="623D33DA" w14:textId="77777777" w:rsidR="009E5E8A" w:rsidRPr="009E5E8A" w:rsidRDefault="009E5E8A" w:rsidP="0057401D">
            <w:pPr>
              <w:spacing w:after="0" w:line="240" w:lineRule="auto"/>
              <w:rPr>
                <w:rFonts w:ascii="Cambria" w:hAnsi="Cambria"/>
              </w:rPr>
            </w:pPr>
            <w:r w:rsidRPr="009E5E8A">
              <w:rPr>
                <w:rFonts w:ascii="Cambria" w:hAnsi="Cambria"/>
              </w:rPr>
              <w:t xml:space="preserve">1. Beaver, D. (2004). NLP za </w:t>
            </w:r>
            <w:proofErr w:type="spellStart"/>
            <w:r w:rsidRPr="009E5E8A">
              <w:rPr>
                <w:rFonts w:ascii="Cambria" w:hAnsi="Cambria"/>
              </w:rPr>
              <w:t>opušteno</w:t>
            </w:r>
            <w:proofErr w:type="spellEnd"/>
            <w:r w:rsidRPr="009E5E8A">
              <w:rPr>
                <w:rFonts w:ascii="Cambria" w:hAnsi="Cambria"/>
              </w:rPr>
              <w:t xml:space="preserve"> </w:t>
            </w:r>
            <w:proofErr w:type="spellStart"/>
            <w:r w:rsidRPr="009E5E8A">
              <w:rPr>
                <w:rFonts w:ascii="Cambria" w:hAnsi="Cambria"/>
              </w:rPr>
              <w:t>učenje</w:t>
            </w:r>
            <w:proofErr w:type="spellEnd"/>
            <w:r w:rsidRPr="009E5E8A">
              <w:rPr>
                <w:rFonts w:ascii="Cambria" w:hAnsi="Cambria"/>
              </w:rPr>
              <w:t xml:space="preserve">: </w:t>
            </w:r>
            <w:proofErr w:type="spellStart"/>
            <w:r w:rsidRPr="009E5E8A">
              <w:rPr>
                <w:rFonts w:ascii="Cambria" w:hAnsi="Cambria"/>
              </w:rPr>
              <w:t>kako</w:t>
            </w:r>
            <w:proofErr w:type="spellEnd"/>
            <w:r w:rsidRPr="009E5E8A">
              <w:rPr>
                <w:rFonts w:ascii="Cambria" w:hAnsi="Cambria"/>
              </w:rPr>
              <w:t xml:space="preserve"> </w:t>
            </w:r>
            <w:proofErr w:type="spellStart"/>
            <w:r w:rsidRPr="009E5E8A">
              <w:rPr>
                <w:rFonts w:ascii="Cambria" w:hAnsi="Cambria"/>
              </w:rPr>
              <w:t>učiti</w:t>
            </w:r>
            <w:proofErr w:type="spellEnd"/>
            <w:r w:rsidRPr="009E5E8A">
              <w:rPr>
                <w:rFonts w:ascii="Cambria" w:hAnsi="Cambria"/>
              </w:rPr>
              <w:t xml:space="preserve"> </w:t>
            </w:r>
            <w:proofErr w:type="spellStart"/>
            <w:r w:rsidRPr="009E5E8A">
              <w:rPr>
                <w:rFonts w:ascii="Cambria" w:hAnsi="Cambria"/>
              </w:rPr>
              <w:t>brže</w:t>
            </w:r>
            <w:proofErr w:type="spellEnd"/>
            <w:r w:rsidRPr="009E5E8A">
              <w:rPr>
                <w:rFonts w:ascii="Cambria" w:hAnsi="Cambria"/>
              </w:rPr>
              <w:t xml:space="preserve"> </w:t>
            </w:r>
            <w:proofErr w:type="spellStart"/>
            <w:r w:rsidRPr="009E5E8A">
              <w:rPr>
                <w:rFonts w:ascii="Cambria" w:hAnsi="Cambria"/>
              </w:rPr>
              <w:t>i</w:t>
            </w:r>
            <w:proofErr w:type="spellEnd"/>
            <w:r w:rsidRPr="009E5E8A">
              <w:rPr>
                <w:rFonts w:ascii="Cambria" w:hAnsi="Cambria"/>
              </w:rPr>
              <w:t xml:space="preserve"> </w:t>
            </w:r>
            <w:proofErr w:type="spellStart"/>
            <w:r w:rsidRPr="009E5E8A">
              <w:rPr>
                <w:rFonts w:ascii="Cambria" w:hAnsi="Cambria"/>
              </w:rPr>
              <w:t>učinkovitije</w:t>
            </w:r>
            <w:proofErr w:type="spellEnd"/>
            <w:r w:rsidRPr="009E5E8A">
              <w:rPr>
                <w:rFonts w:ascii="Cambria" w:hAnsi="Cambria"/>
              </w:rPr>
              <w:t xml:space="preserve">. Zagreb: </w:t>
            </w:r>
            <w:proofErr w:type="spellStart"/>
            <w:r w:rsidRPr="009E5E8A">
              <w:rPr>
                <w:rFonts w:ascii="Cambria" w:hAnsi="Cambria"/>
              </w:rPr>
              <w:t>Veble</w:t>
            </w:r>
            <w:proofErr w:type="spellEnd"/>
            <w:r w:rsidRPr="009E5E8A">
              <w:rPr>
                <w:rFonts w:ascii="Cambria" w:hAnsi="Cambria"/>
              </w:rPr>
              <w:t xml:space="preserve"> commerce.</w:t>
            </w:r>
          </w:p>
          <w:p w14:paraId="60FB2A4E" w14:textId="77777777" w:rsidR="009E5E8A" w:rsidRPr="009E5E8A" w:rsidRDefault="009E5E8A" w:rsidP="0057401D">
            <w:pPr>
              <w:spacing w:after="0" w:line="240" w:lineRule="auto"/>
              <w:rPr>
                <w:rFonts w:ascii="Cambria" w:hAnsi="Cambria"/>
              </w:rPr>
            </w:pPr>
            <w:r w:rsidRPr="009E5E8A">
              <w:rPr>
                <w:rFonts w:ascii="Cambria" w:hAnsi="Cambria"/>
              </w:rPr>
              <w:t xml:space="preserve">2. Buzan, T. (2005). </w:t>
            </w:r>
            <w:proofErr w:type="spellStart"/>
            <w:r w:rsidRPr="009E5E8A">
              <w:rPr>
                <w:rFonts w:ascii="Cambria" w:hAnsi="Cambria"/>
              </w:rPr>
              <w:t>Mentalne</w:t>
            </w:r>
            <w:proofErr w:type="spellEnd"/>
            <w:r w:rsidRPr="009E5E8A">
              <w:rPr>
                <w:rFonts w:ascii="Cambria" w:hAnsi="Cambria"/>
              </w:rPr>
              <w:t xml:space="preserve"> </w:t>
            </w:r>
            <w:proofErr w:type="spellStart"/>
            <w:r w:rsidRPr="009E5E8A">
              <w:rPr>
                <w:rFonts w:ascii="Cambria" w:hAnsi="Cambria"/>
              </w:rPr>
              <w:t>mape</w:t>
            </w:r>
            <w:proofErr w:type="spellEnd"/>
            <w:r w:rsidRPr="009E5E8A">
              <w:rPr>
                <w:rFonts w:ascii="Cambria" w:hAnsi="Cambria"/>
              </w:rPr>
              <w:t xml:space="preserve"> za </w:t>
            </w:r>
            <w:proofErr w:type="spellStart"/>
            <w:r w:rsidRPr="009E5E8A">
              <w:rPr>
                <w:rFonts w:ascii="Cambria" w:hAnsi="Cambria"/>
              </w:rPr>
              <w:t>klince</w:t>
            </w:r>
            <w:proofErr w:type="spellEnd"/>
            <w:r w:rsidRPr="009E5E8A">
              <w:rPr>
                <w:rFonts w:ascii="Cambria" w:hAnsi="Cambria"/>
              </w:rPr>
              <w:t xml:space="preserve">: </w:t>
            </w:r>
            <w:proofErr w:type="spellStart"/>
            <w:r w:rsidRPr="009E5E8A">
              <w:rPr>
                <w:rFonts w:ascii="Cambria" w:hAnsi="Cambria"/>
              </w:rPr>
              <w:t>kako</w:t>
            </w:r>
            <w:proofErr w:type="spellEnd"/>
            <w:r w:rsidRPr="009E5E8A">
              <w:rPr>
                <w:rFonts w:ascii="Cambria" w:hAnsi="Cambria"/>
              </w:rPr>
              <w:t xml:space="preserve"> do </w:t>
            </w:r>
            <w:proofErr w:type="spellStart"/>
            <w:r w:rsidRPr="009E5E8A">
              <w:rPr>
                <w:rFonts w:ascii="Cambria" w:hAnsi="Cambria"/>
              </w:rPr>
              <w:t>uspjeha</w:t>
            </w:r>
            <w:proofErr w:type="spellEnd"/>
            <w:r w:rsidRPr="009E5E8A">
              <w:rPr>
                <w:rFonts w:ascii="Cambria" w:hAnsi="Cambria"/>
              </w:rPr>
              <w:t xml:space="preserve"> u </w:t>
            </w:r>
            <w:proofErr w:type="spellStart"/>
            <w:r w:rsidRPr="009E5E8A">
              <w:rPr>
                <w:rFonts w:ascii="Cambria" w:hAnsi="Cambria"/>
              </w:rPr>
              <w:t>školi</w:t>
            </w:r>
            <w:proofErr w:type="spellEnd"/>
            <w:r w:rsidRPr="009E5E8A">
              <w:rPr>
                <w:rFonts w:ascii="Cambria" w:hAnsi="Cambria"/>
              </w:rPr>
              <w:t xml:space="preserve">. Zagreb: </w:t>
            </w:r>
            <w:proofErr w:type="spellStart"/>
            <w:r w:rsidRPr="009E5E8A">
              <w:rPr>
                <w:rFonts w:ascii="Cambria" w:hAnsi="Cambria"/>
              </w:rPr>
              <w:t>Veble</w:t>
            </w:r>
            <w:proofErr w:type="spellEnd"/>
            <w:r w:rsidRPr="009E5E8A">
              <w:rPr>
                <w:rFonts w:ascii="Cambria" w:hAnsi="Cambria"/>
              </w:rPr>
              <w:t xml:space="preserve"> commerce.</w:t>
            </w:r>
          </w:p>
          <w:p w14:paraId="1E92D2B2" w14:textId="77777777" w:rsidR="009E5E8A" w:rsidRPr="009E5E8A" w:rsidRDefault="009E5E8A" w:rsidP="0057401D">
            <w:pPr>
              <w:spacing w:after="0" w:line="240" w:lineRule="auto"/>
              <w:rPr>
                <w:rFonts w:ascii="Cambria" w:hAnsi="Cambria"/>
              </w:rPr>
            </w:pPr>
            <w:r w:rsidRPr="009E5E8A">
              <w:rPr>
                <w:rFonts w:ascii="Cambria" w:hAnsi="Cambria"/>
              </w:rPr>
              <w:t xml:space="preserve">3. Dennison, P. E. (2007). Brain Gym </w:t>
            </w:r>
            <w:proofErr w:type="spellStart"/>
            <w:r w:rsidRPr="009E5E8A">
              <w:rPr>
                <w:rFonts w:ascii="Cambria" w:hAnsi="Cambria"/>
              </w:rPr>
              <w:t>i</w:t>
            </w:r>
            <w:proofErr w:type="spellEnd"/>
            <w:r w:rsidRPr="009E5E8A">
              <w:rPr>
                <w:rFonts w:ascii="Cambria" w:hAnsi="Cambria"/>
              </w:rPr>
              <w:t xml:space="preserve"> ja: </w:t>
            </w:r>
            <w:proofErr w:type="spellStart"/>
            <w:r w:rsidRPr="009E5E8A">
              <w:rPr>
                <w:rFonts w:ascii="Cambria" w:hAnsi="Cambria"/>
              </w:rPr>
              <w:t>povratak</w:t>
            </w:r>
            <w:proofErr w:type="spellEnd"/>
            <w:r w:rsidRPr="009E5E8A">
              <w:rPr>
                <w:rFonts w:ascii="Cambria" w:hAnsi="Cambria"/>
              </w:rPr>
              <w:t xml:space="preserve"> </w:t>
            </w:r>
            <w:proofErr w:type="spellStart"/>
            <w:r w:rsidRPr="009E5E8A">
              <w:rPr>
                <w:rFonts w:ascii="Cambria" w:hAnsi="Cambria"/>
              </w:rPr>
              <w:t>užitku</w:t>
            </w:r>
            <w:proofErr w:type="spellEnd"/>
            <w:r w:rsidRPr="009E5E8A">
              <w:rPr>
                <w:rFonts w:ascii="Cambria" w:hAnsi="Cambria"/>
              </w:rPr>
              <w:t xml:space="preserve"> </w:t>
            </w:r>
            <w:proofErr w:type="spellStart"/>
            <w:r w:rsidRPr="009E5E8A">
              <w:rPr>
                <w:rFonts w:ascii="Cambria" w:hAnsi="Cambria"/>
              </w:rPr>
              <w:t>učenja</w:t>
            </w:r>
            <w:proofErr w:type="spellEnd"/>
            <w:r w:rsidRPr="009E5E8A">
              <w:rPr>
                <w:rFonts w:ascii="Cambria" w:hAnsi="Cambria"/>
              </w:rPr>
              <w:t xml:space="preserve">. </w:t>
            </w:r>
            <w:proofErr w:type="spellStart"/>
            <w:r w:rsidRPr="009E5E8A">
              <w:rPr>
                <w:rFonts w:ascii="Cambria" w:hAnsi="Cambria"/>
              </w:rPr>
              <w:t>Buševec</w:t>
            </w:r>
            <w:proofErr w:type="spellEnd"/>
            <w:r w:rsidRPr="009E5E8A">
              <w:rPr>
                <w:rFonts w:ascii="Cambria" w:hAnsi="Cambria"/>
              </w:rPr>
              <w:t xml:space="preserve">: </w:t>
            </w:r>
            <w:proofErr w:type="spellStart"/>
            <w:r w:rsidRPr="009E5E8A">
              <w:rPr>
                <w:rFonts w:ascii="Cambria" w:hAnsi="Cambria"/>
              </w:rPr>
              <w:t>Ostvarenje</w:t>
            </w:r>
            <w:proofErr w:type="spellEnd"/>
            <w:r w:rsidRPr="009E5E8A">
              <w:rPr>
                <w:rFonts w:ascii="Cambria" w:hAnsi="Cambria"/>
              </w:rPr>
              <w:t>.</w:t>
            </w:r>
          </w:p>
          <w:p w14:paraId="01A9C0C6" w14:textId="77777777" w:rsidR="009E5E8A" w:rsidRPr="009E5E8A" w:rsidRDefault="009E5E8A" w:rsidP="0057401D">
            <w:pPr>
              <w:spacing w:after="0" w:line="240" w:lineRule="auto"/>
              <w:rPr>
                <w:rFonts w:ascii="Cambria" w:hAnsi="Cambria"/>
              </w:rPr>
            </w:pPr>
            <w:r w:rsidRPr="009E5E8A">
              <w:rPr>
                <w:rFonts w:ascii="Cambria" w:hAnsi="Cambria"/>
              </w:rPr>
              <w:t>4. Desforges, Ch. (</w:t>
            </w:r>
            <w:proofErr w:type="spellStart"/>
            <w:r w:rsidRPr="009E5E8A">
              <w:rPr>
                <w:rFonts w:ascii="Cambria" w:hAnsi="Cambria"/>
              </w:rPr>
              <w:t>ur</w:t>
            </w:r>
            <w:proofErr w:type="spellEnd"/>
            <w:r w:rsidRPr="009E5E8A">
              <w:rPr>
                <w:rFonts w:ascii="Cambria" w:hAnsi="Cambria"/>
              </w:rPr>
              <w:t xml:space="preserve">.) (2001). </w:t>
            </w:r>
            <w:proofErr w:type="spellStart"/>
            <w:r w:rsidRPr="009E5E8A">
              <w:rPr>
                <w:rFonts w:ascii="Cambria" w:hAnsi="Cambria"/>
              </w:rPr>
              <w:t>Uspješno</w:t>
            </w:r>
            <w:proofErr w:type="spellEnd"/>
            <w:r w:rsidRPr="009E5E8A">
              <w:rPr>
                <w:rFonts w:ascii="Cambria" w:hAnsi="Cambria"/>
              </w:rPr>
              <w:t xml:space="preserve"> </w:t>
            </w:r>
            <w:proofErr w:type="spellStart"/>
            <w:r w:rsidRPr="009E5E8A">
              <w:rPr>
                <w:rFonts w:ascii="Cambria" w:hAnsi="Cambria"/>
              </w:rPr>
              <w:t>učenje</w:t>
            </w:r>
            <w:proofErr w:type="spellEnd"/>
            <w:r w:rsidRPr="009E5E8A">
              <w:rPr>
                <w:rFonts w:ascii="Cambria" w:hAnsi="Cambria"/>
              </w:rPr>
              <w:t xml:space="preserve"> </w:t>
            </w:r>
            <w:proofErr w:type="spellStart"/>
            <w:r w:rsidRPr="009E5E8A">
              <w:rPr>
                <w:rFonts w:ascii="Cambria" w:hAnsi="Cambria"/>
              </w:rPr>
              <w:t>i</w:t>
            </w:r>
            <w:proofErr w:type="spellEnd"/>
            <w:r w:rsidRPr="009E5E8A">
              <w:rPr>
                <w:rFonts w:ascii="Cambria" w:hAnsi="Cambria"/>
              </w:rPr>
              <w:t xml:space="preserve"> </w:t>
            </w:r>
            <w:proofErr w:type="spellStart"/>
            <w:r w:rsidRPr="009E5E8A">
              <w:rPr>
                <w:rFonts w:ascii="Cambria" w:hAnsi="Cambria"/>
              </w:rPr>
              <w:t>poučavanje</w:t>
            </w:r>
            <w:proofErr w:type="spellEnd"/>
            <w:r w:rsidRPr="009E5E8A">
              <w:rPr>
                <w:rFonts w:ascii="Cambria" w:hAnsi="Cambria"/>
              </w:rPr>
              <w:t xml:space="preserve">: </w:t>
            </w:r>
            <w:proofErr w:type="spellStart"/>
            <w:r w:rsidRPr="009E5E8A">
              <w:rPr>
                <w:rFonts w:ascii="Cambria" w:hAnsi="Cambria"/>
              </w:rPr>
              <w:t>psihologijski</w:t>
            </w:r>
            <w:proofErr w:type="spellEnd"/>
            <w:r w:rsidRPr="009E5E8A">
              <w:rPr>
                <w:rFonts w:ascii="Cambria" w:hAnsi="Cambria"/>
              </w:rPr>
              <w:t xml:space="preserve"> </w:t>
            </w:r>
            <w:proofErr w:type="spellStart"/>
            <w:r w:rsidRPr="009E5E8A">
              <w:rPr>
                <w:rFonts w:ascii="Cambria" w:hAnsi="Cambria"/>
              </w:rPr>
              <w:t>pristup</w:t>
            </w:r>
            <w:proofErr w:type="spellEnd"/>
            <w:r w:rsidRPr="009E5E8A">
              <w:rPr>
                <w:rFonts w:ascii="Cambria" w:hAnsi="Cambria"/>
              </w:rPr>
              <w:t>. Zagreb: Educa.</w:t>
            </w:r>
          </w:p>
          <w:p w14:paraId="685511B1" w14:textId="77777777" w:rsidR="009E5E8A" w:rsidRPr="009E5E8A" w:rsidRDefault="009E5E8A" w:rsidP="0057401D">
            <w:pPr>
              <w:spacing w:after="0" w:line="240" w:lineRule="auto"/>
              <w:rPr>
                <w:rFonts w:ascii="Cambria" w:hAnsi="Cambria"/>
              </w:rPr>
            </w:pPr>
            <w:r w:rsidRPr="009E5E8A">
              <w:rPr>
                <w:rFonts w:ascii="Cambria" w:hAnsi="Cambria"/>
              </w:rPr>
              <w:t xml:space="preserve">5. </w:t>
            </w:r>
            <w:proofErr w:type="spellStart"/>
            <w:r w:rsidRPr="009E5E8A">
              <w:rPr>
                <w:rFonts w:ascii="Cambria" w:hAnsi="Cambria"/>
              </w:rPr>
              <w:t>Dubičanac</w:t>
            </w:r>
            <w:proofErr w:type="spellEnd"/>
            <w:r w:rsidRPr="009E5E8A">
              <w:rPr>
                <w:rFonts w:ascii="Cambria" w:hAnsi="Cambria"/>
              </w:rPr>
              <w:t xml:space="preserve">, D. (2007). Kako </w:t>
            </w:r>
            <w:proofErr w:type="spellStart"/>
            <w:r w:rsidRPr="009E5E8A">
              <w:rPr>
                <w:rFonts w:ascii="Cambria" w:hAnsi="Cambria"/>
              </w:rPr>
              <w:t>poboljšati</w:t>
            </w:r>
            <w:proofErr w:type="spellEnd"/>
            <w:r w:rsidRPr="009E5E8A">
              <w:rPr>
                <w:rFonts w:ascii="Cambria" w:hAnsi="Cambria"/>
              </w:rPr>
              <w:t xml:space="preserve"> </w:t>
            </w:r>
            <w:proofErr w:type="spellStart"/>
            <w:r w:rsidRPr="009E5E8A">
              <w:rPr>
                <w:rFonts w:ascii="Cambria" w:hAnsi="Cambria"/>
              </w:rPr>
              <w:t>pamćenje</w:t>
            </w:r>
            <w:proofErr w:type="spellEnd"/>
            <w:r w:rsidRPr="009E5E8A">
              <w:rPr>
                <w:rFonts w:ascii="Cambria" w:hAnsi="Cambria"/>
              </w:rPr>
              <w:t xml:space="preserve"> </w:t>
            </w:r>
            <w:proofErr w:type="spellStart"/>
            <w:r w:rsidRPr="009E5E8A">
              <w:rPr>
                <w:rFonts w:ascii="Cambria" w:hAnsi="Cambria"/>
              </w:rPr>
              <w:t>i</w:t>
            </w:r>
            <w:proofErr w:type="spellEnd"/>
            <w:r w:rsidRPr="009E5E8A">
              <w:rPr>
                <w:rFonts w:ascii="Cambria" w:hAnsi="Cambria"/>
              </w:rPr>
              <w:t xml:space="preserve"> </w:t>
            </w:r>
            <w:proofErr w:type="spellStart"/>
            <w:r w:rsidRPr="009E5E8A">
              <w:rPr>
                <w:rFonts w:ascii="Cambria" w:hAnsi="Cambria"/>
              </w:rPr>
              <w:t>koncentraciju</w:t>
            </w:r>
            <w:proofErr w:type="spellEnd"/>
            <w:r w:rsidRPr="009E5E8A">
              <w:rPr>
                <w:rFonts w:ascii="Cambria" w:hAnsi="Cambria"/>
              </w:rPr>
              <w:t xml:space="preserve"> [</w:t>
            </w:r>
            <w:proofErr w:type="spellStart"/>
            <w:r w:rsidRPr="009E5E8A">
              <w:rPr>
                <w:rFonts w:ascii="Cambria" w:hAnsi="Cambria"/>
              </w:rPr>
              <w:t>Elektronička</w:t>
            </w:r>
            <w:proofErr w:type="spellEnd"/>
            <w:r w:rsidRPr="009E5E8A">
              <w:rPr>
                <w:rFonts w:ascii="Cambria" w:hAnsi="Cambria"/>
              </w:rPr>
              <w:t xml:space="preserve"> </w:t>
            </w:r>
            <w:proofErr w:type="spellStart"/>
            <w:r w:rsidRPr="009E5E8A">
              <w:rPr>
                <w:rFonts w:ascii="Cambria" w:hAnsi="Cambria"/>
              </w:rPr>
              <w:t>građa</w:t>
            </w:r>
            <w:proofErr w:type="spellEnd"/>
            <w:r w:rsidRPr="009E5E8A">
              <w:rPr>
                <w:rFonts w:ascii="Cambria" w:hAnsi="Cambria"/>
              </w:rPr>
              <w:t>]. Zagreb: Narya.</w:t>
            </w:r>
          </w:p>
          <w:p w14:paraId="2294A21F" w14:textId="77777777" w:rsidR="009E5E8A" w:rsidRPr="009E5E8A" w:rsidRDefault="009E5E8A" w:rsidP="0057401D">
            <w:pPr>
              <w:spacing w:after="0" w:line="240" w:lineRule="auto"/>
              <w:rPr>
                <w:rFonts w:ascii="Cambria" w:hAnsi="Cambria"/>
              </w:rPr>
            </w:pPr>
            <w:r w:rsidRPr="009E5E8A">
              <w:rPr>
                <w:rFonts w:ascii="Cambria" w:hAnsi="Cambria"/>
              </w:rPr>
              <w:t xml:space="preserve">6. Jerčić, M., Sitar, J. (2013). </w:t>
            </w:r>
            <w:proofErr w:type="spellStart"/>
            <w:r w:rsidRPr="009E5E8A">
              <w:rPr>
                <w:rFonts w:ascii="Cambria" w:hAnsi="Cambria"/>
              </w:rPr>
              <w:t>Učimo</w:t>
            </w:r>
            <w:proofErr w:type="spellEnd"/>
            <w:r w:rsidRPr="009E5E8A">
              <w:rPr>
                <w:rFonts w:ascii="Cambria" w:hAnsi="Cambria"/>
              </w:rPr>
              <w:t xml:space="preserve"> </w:t>
            </w:r>
            <w:proofErr w:type="spellStart"/>
            <w:r w:rsidRPr="009E5E8A">
              <w:rPr>
                <w:rFonts w:ascii="Cambria" w:hAnsi="Cambria"/>
              </w:rPr>
              <w:t>učiti</w:t>
            </w:r>
            <w:proofErr w:type="spellEnd"/>
            <w:r w:rsidRPr="009E5E8A">
              <w:rPr>
                <w:rFonts w:ascii="Cambria" w:hAnsi="Cambria"/>
              </w:rPr>
              <w:t>. Zagreb: Element.</w:t>
            </w:r>
          </w:p>
          <w:p w14:paraId="3B1C5701" w14:textId="77777777" w:rsidR="009E5E8A" w:rsidRPr="009E5E8A" w:rsidRDefault="009E5E8A" w:rsidP="0057401D">
            <w:pPr>
              <w:spacing w:after="0" w:line="240" w:lineRule="auto"/>
              <w:rPr>
                <w:rFonts w:ascii="Cambria" w:hAnsi="Cambria"/>
              </w:rPr>
            </w:pPr>
            <w:r w:rsidRPr="009E5E8A">
              <w:rPr>
                <w:rFonts w:ascii="Cambria" w:hAnsi="Cambria"/>
                <w:lang w:val="it-IT"/>
              </w:rPr>
              <w:t xml:space="preserve">7. </w:t>
            </w:r>
            <w:proofErr w:type="spellStart"/>
            <w:r w:rsidRPr="009E5E8A">
              <w:rPr>
                <w:rFonts w:ascii="Cambria" w:hAnsi="Cambria"/>
                <w:lang w:val="it-IT"/>
              </w:rPr>
              <w:t>Knoblauch</w:t>
            </w:r>
            <w:proofErr w:type="spellEnd"/>
            <w:r w:rsidRPr="009E5E8A">
              <w:rPr>
                <w:rFonts w:ascii="Cambria" w:hAnsi="Cambria"/>
                <w:lang w:val="it-IT"/>
              </w:rPr>
              <w:t xml:space="preserve">, J. (2001). </w:t>
            </w:r>
            <w:proofErr w:type="spellStart"/>
            <w:r w:rsidRPr="009E5E8A">
              <w:rPr>
                <w:rFonts w:ascii="Cambria" w:hAnsi="Cambria"/>
                <w:lang w:val="it-IT"/>
              </w:rPr>
              <w:t>Učenje</w:t>
            </w:r>
            <w:proofErr w:type="spellEnd"/>
            <w:r w:rsidRPr="009E5E8A">
              <w:rPr>
                <w:rFonts w:ascii="Cambria" w:hAnsi="Cambria"/>
                <w:lang w:val="it-IT"/>
              </w:rPr>
              <w:t xml:space="preserve"> ne mora </w:t>
            </w:r>
            <w:proofErr w:type="spellStart"/>
            <w:r w:rsidRPr="009E5E8A">
              <w:rPr>
                <w:rFonts w:ascii="Cambria" w:hAnsi="Cambria"/>
                <w:lang w:val="it-IT"/>
              </w:rPr>
              <w:t>biti</w:t>
            </w:r>
            <w:proofErr w:type="spellEnd"/>
            <w:r w:rsidRPr="009E5E8A">
              <w:rPr>
                <w:rFonts w:ascii="Cambria" w:hAnsi="Cambria"/>
                <w:lang w:val="it-IT"/>
              </w:rPr>
              <w:t xml:space="preserve"> </w:t>
            </w:r>
            <w:proofErr w:type="spellStart"/>
            <w:r w:rsidRPr="009E5E8A">
              <w:rPr>
                <w:rFonts w:ascii="Cambria" w:hAnsi="Cambria"/>
                <w:lang w:val="it-IT"/>
              </w:rPr>
              <w:t>mučenje</w:t>
            </w:r>
            <w:proofErr w:type="spellEnd"/>
            <w:r w:rsidRPr="009E5E8A">
              <w:rPr>
                <w:rFonts w:ascii="Cambria" w:hAnsi="Cambria"/>
                <w:lang w:val="it-IT"/>
              </w:rPr>
              <w:t xml:space="preserve">: 33 </w:t>
            </w:r>
            <w:proofErr w:type="spellStart"/>
            <w:r w:rsidRPr="009E5E8A">
              <w:rPr>
                <w:rFonts w:ascii="Cambria" w:hAnsi="Cambria"/>
                <w:lang w:val="it-IT"/>
              </w:rPr>
              <w:t>provjerene</w:t>
            </w:r>
            <w:proofErr w:type="spellEnd"/>
            <w:r w:rsidRPr="009E5E8A">
              <w:rPr>
                <w:rFonts w:ascii="Cambria" w:hAnsi="Cambria"/>
                <w:lang w:val="it-IT"/>
              </w:rPr>
              <w:t xml:space="preserve"> </w:t>
            </w:r>
            <w:proofErr w:type="spellStart"/>
            <w:r w:rsidRPr="009E5E8A">
              <w:rPr>
                <w:rFonts w:ascii="Cambria" w:hAnsi="Cambria"/>
                <w:lang w:val="it-IT"/>
              </w:rPr>
              <w:t>strategije</w:t>
            </w:r>
            <w:proofErr w:type="spellEnd"/>
            <w:r w:rsidRPr="009E5E8A">
              <w:rPr>
                <w:rFonts w:ascii="Cambria" w:hAnsi="Cambria"/>
                <w:lang w:val="it-IT"/>
              </w:rPr>
              <w:t xml:space="preserve"> za </w:t>
            </w:r>
            <w:proofErr w:type="spellStart"/>
            <w:r w:rsidRPr="009E5E8A">
              <w:rPr>
                <w:rFonts w:ascii="Cambria" w:hAnsi="Cambria"/>
                <w:lang w:val="it-IT"/>
              </w:rPr>
              <w:t>umni</w:t>
            </w:r>
            <w:proofErr w:type="spellEnd"/>
            <w:r w:rsidRPr="009E5E8A">
              <w:rPr>
                <w:rFonts w:ascii="Cambria" w:hAnsi="Cambria"/>
                <w:lang w:val="it-IT"/>
              </w:rPr>
              <w:t xml:space="preserve"> rad. 2. </w:t>
            </w:r>
            <w:proofErr w:type="spellStart"/>
            <w:r w:rsidRPr="009E5E8A">
              <w:rPr>
                <w:rFonts w:ascii="Cambria" w:hAnsi="Cambria"/>
                <w:lang w:val="it-IT"/>
              </w:rPr>
              <w:t>izd</w:t>
            </w:r>
            <w:proofErr w:type="spellEnd"/>
            <w:r w:rsidRPr="009E5E8A">
              <w:rPr>
                <w:rFonts w:ascii="Cambria" w:hAnsi="Cambria"/>
                <w:lang w:val="it-IT"/>
              </w:rPr>
              <w:t xml:space="preserve">. </w:t>
            </w:r>
            <w:r w:rsidRPr="009E5E8A">
              <w:rPr>
                <w:rFonts w:ascii="Cambria" w:hAnsi="Cambria"/>
              </w:rPr>
              <w:t xml:space="preserve">Zagreb: </w:t>
            </w:r>
            <w:proofErr w:type="spellStart"/>
            <w:r w:rsidRPr="009E5E8A">
              <w:rPr>
                <w:rFonts w:ascii="Cambria" w:hAnsi="Cambria"/>
              </w:rPr>
              <w:t>Stepress</w:t>
            </w:r>
            <w:proofErr w:type="spellEnd"/>
            <w:r w:rsidRPr="009E5E8A">
              <w:rPr>
                <w:rFonts w:ascii="Cambria" w:hAnsi="Cambria"/>
              </w:rPr>
              <w:t>.</w:t>
            </w:r>
          </w:p>
          <w:p w14:paraId="49428FBD" w14:textId="77777777" w:rsidR="009E5E8A" w:rsidRPr="009E5E8A" w:rsidRDefault="009E5E8A" w:rsidP="0057401D">
            <w:pPr>
              <w:spacing w:after="0" w:line="240" w:lineRule="auto"/>
              <w:rPr>
                <w:rFonts w:ascii="Cambria" w:hAnsi="Cambria"/>
              </w:rPr>
            </w:pPr>
            <w:r w:rsidRPr="009E5E8A">
              <w:rPr>
                <w:rFonts w:ascii="Cambria" w:hAnsi="Cambria"/>
              </w:rPr>
              <w:t>8. Knowles M. (1986). Using learning contracts.  San Francisco-London: Jossey-Bass publisher.</w:t>
            </w:r>
          </w:p>
          <w:p w14:paraId="19911F5A" w14:textId="77777777" w:rsidR="009E5E8A" w:rsidRPr="009E5E8A" w:rsidRDefault="009E5E8A" w:rsidP="0057401D">
            <w:pPr>
              <w:spacing w:after="0" w:line="240" w:lineRule="auto"/>
              <w:rPr>
                <w:rFonts w:ascii="Cambria" w:hAnsi="Cambria"/>
              </w:rPr>
            </w:pPr>
            <w:r w:rsidRPr="009E5E8A">
              <w:rPr>
                <w:rFonts w:ascii="Cambria" w:hAnsi="Cambria"/>
              </w:rPr>
              <w:lastRenderedPageBreak/>
              <w:t xml:space="preserve">9. </w:t>
            </w:r>
            <w:proofErr w:type="spellStart"/>
            <w:r w:rsidRPr="009E5E8A">
              <w:rPr>
                <w:rFonts w:ascii="Cambria" w:hAnsi="Cambria"/>
              </w:rPr>
              <w:t>Miličić</w:t>
            </w:r>
            <w:proofErr w:type="spellEnd"/>
            <w:r w:rsidRPr="009E5E8A">
              <w:rPr>
                <w:rFonts w:ascii="Cambria" w:hAnsi="Cambria"/>
              </w:rPr>
              <w:t xml:space="preserve">, V. (1992). </w:t>
            </w:r>
            <w:proofErr w:type="spellStart"/>
            <w:r w:rsidRPr="009E5E8A">
              <w:rPr>
                <w:rFonts w:ascii="Cambria" w:hAnsi="Cambria"/>
              </w:rPr>
              <w:t>Smisleno</w:t>
            </w:r>
            <w:proofErr w:type="spellEnd"/>
            <w:r w:rsidRPr="009E5E8A">
              <w:rPr>
                <w:rFonts w:ascii="Cambria" w:hAnsi="Cambria"/>
              </w:rPr>
              <w:t xml:space="preserve"> </w:t>
            </w:r>
            <w:proofErr w:type="spellStart"/>
            <w:r w:rsidRPr="009E5E8A">
              <w:rPr>
                <w:rFonts w:ascii="Cambria" w:hAnsi="Cambria"/>
              </w:rPr>
              <w:t>učenje</w:t>
            </w:r>
            <w:proofErr w:type="spellEnd"/>
            <w:r w:rsidRPr="009E5E8A">
              <w:rPr>
                <w:rFonts w:ascii="Cambria" w:hAnsi="Cambria"/>
              </w:rPr>
              <w:t xml:space="preserve">. 6. </w:t>
            </w:r>
            <w:proofErr w:type="spellStart"/>
            <w:r w:rsidRPr="009E5E8A">
              <w:rPr>
                <w:rFonts w:ascii="Cambria" w:hAnsi="Cambria"/>
              </w:rPr>
              <w:t>dopunjeno</w:t>
            </w:r>
            <w:proofErr w:type="spellEnd"/>
            <w:r w:rsidRPr="009E5E8A">
              <w:rPr>
                <w:rFonts w:ascii="Cambria" w:hAnsi="Cambria"/>
              </w:rPr>
              <w:t xml:space="preserve"> </w:t>
            </w:r>
            <w:proofErr w:type="spellStart"/>
            <w:r w:rsidRPr="009E5E8A">
              <w:rPr>
                <w:rFonts w:ascii="Cambria" w:hAnsi="Cambria"/>
              </w:rPr>
              <w:t>i</w:t>
            </w:r>
            <w:proofErr w:type="spellEnd"/>
            <w:r w:rsidRPr="009E5E8A">
              <w:rPr>
                <w:rFonts w:ascii="Cambria" w:hAnsi="Cambria"/>
              </w:rPr>
              <w:t xml:space="preserve"> </w:t>
            </w:r>
            <w:proofErr w:type="spellStart"/>
            <w:r w:rsidRPr="009E5E8A">
              <w:rPr>
                <w:rFonts w:ascii="Cambria" w:hAnsi="Cambria"/>
              </w:rPr>
              <w:t>izmijenjeno</w:t>
            </w:r>
            <w:proofErr w:type="spellEnd"/>
            <w:r w:rsidRPr="009E5E8A">
              <w:rPr>
                <w:rFonts w:ascii="Cambria" w:hAnsi="Cambria"/>
              </w:rPr>
              <w:t xml:space="preserve"> </w:t>
            </w:r>
            <w:proofErr w:type="spellStart"/>
            <w:r w:rsidRPr="009E5E8A">
              <w:rPr>
                <w:rFonts w:ascii="Cambria" w:hAnsi="Cambria"/>
              </w:rPr>
              <w:t>izd</w:t>
            </w:r>
            <w:proofErr w:type="spellEnd"/>
            <w:r w:rsidRPr="009E5E8A">
              <w:rPr>
                <w:rFonts w:ascii="Cambria" w:hAnsi="Cambria"/>
              </w:rPr>
              <w:t>. Zagreb: Alinea.</w:t>
            </w:r>
          </w:p>
          <w:p w14:paraId="6F6C836E" w14:textId="77777777" w:rsidR="009E5E8A" w:rsidRPr="009E5E8A" w:rsidRDefault="009E5E8A" w:rsidP="0057401D">
            <w:pPr>
              <w:spacing w:after="0" w:line="240" w:lineRule="auto"/>
              <w:rPr>
                <w:rFonts w:ascii="Cambria" w:hAnsi="Cambria"/>
              </w:rPr>
            </w:pPr>
            <w:r w:rsidRPr="009E5E8A">
              <w:rPr>
                <w:rFonts w:ascii="Cambria" w:hAnsi="Cambria"/>
              </w:rPr>
              <w:t xml:space="preserve">10. </w:t>
            </w:r>
            <w:proofErr w:type="spellStart"/>
            <w:r w:rsidRPr="009E5E8A">
              <w:rPr>
                <w:rFonts w:ascii="Cambria" w:hAnsi="Cambria"/>
              </w:rPr>
              <w:t>Miljković</w:t>
            </w:r>
            <w:proofErr w:type="spellEnd"/>
            <w:r w:rsidRPr="009E5E8A">
              <w:rPr>
                <w:rFonts w:ascii="Cambria" w:hAnsi="Cambria"/>
              </w:rPr>
              <w:t xml:space="preserve">, D. (2003). </w:t>
            </w:r>
            <w:proofErr w:type="spellStart"/>
            <w:r w:rsidRPr="009E5E8A">
              <w:rPr>
                <w:rFonts w:ascii="Cambria" w:hAnsi="Cambria"/>
              </w:rPr>
              <w:t>Vodič</w:t>
            </w:r>
            <w:proofErr w:type="spellEnd"/>
            <w:r w:rsidRPr="009E5E8A">
              <w:rPr>
                <w:rFonts w:ascii="Cambria" w:hAnsi="Cambria"/>
              </w:rPr>
              <w:t xml:space="preserve"> za </w:t>
            </w:r>
            <w:proofErr w:type="spellStart"/>
            <w:r w:rsidRPr="009E5E8A">
              <w:rPr>
                <w:rFonts w:ascii="Cambria" w:hAnsi="Cambria"/>
              </w:rPr>
              <w:t>preživljavanje</w:t>
            </w:r>
            <w:proofErr w:type="spellEnd"/>
            <w:r w:rsidRPr="009E5E8A">
              <w:rPr>
                <w:rFonts w:ascii="Cambria" w:hAnsi="Cambria"/>
              </w:rPr>
              <w:t xml:space="preserve"> u </w:t>
            </w:r>
            <w:proofErr w:type="spellStart"/>
            <w:r w:rsidRPr="009E5E8A">
              <w:rPr>
                <w:rFonts w:ascii="Cambria" w:hAnsi="Cambria"/>
              </w:rPr>
              <w:t>školi</w:t>
            </w:r>
            <w:proofErr w:type="spellEnd"/>
            <w:r w:rsidRPr="009E5E8A">
              <w:rPr>
                <w:rFonts w:ascii="Cambria" w:hAnsi="Cambria"/>
              </w:rPr>
              <w:t>. Zagreb: IEP; Karlovac: D2.</w:t>
            </w:r>
          </w:p>
          <w:p w14:paraId="30FAF498" w14:textId="77777777" w:rsidR="009E5E8A" w:rsidRPr="009E5E8A" w:rsidRDefault="009E5E8A" w:rsidP="0057401D">
            <w:pPr>
              <w:spacing w:after="0" w:line="240" w:lineRule="auto"/>
              <w:rPr>
                <w:rFonts w:ascii="Cambria" w:hAnsi="Cambria"/>
              </w:rPr>
            </w:pPr>
            <w:r w:rsidRPr="009E5E8A">
              <w:rPr>
                <w:rFonts w:ascii="Cambria" w:hAnsi="Cambria"/>
              </w:rPr>
              <w:t xml:space="preserve">11. Pejnović, S. (2004). </w:t>
            </w:r>
            <w:proofErr w:type="spellStart"/>
            <w:r w:rsidRPr="009E5E8A">
              <w:rPr>
                <w:rFonts w:ascii="Cambria" w:hAnsi="Cambria"/>
              </w:rPr>
              <w:t>Moć</w:t>
            </w:r>
            <w:proofErr w:type="spellEnd"/>
            <w:r w:rsidRPr="009E5E8A">
              <w:rPr>
                <w:rFonts w:ascii="Cambria" w:hAnsi="Cambria"/>
              </w:rPr>
              <w:t xml:space="preserve"> </w:t>
            </w:r>
            <w:proofErr w:type="spellStart"/>
            <w:r w:rsidRPr="009E5E8A">
              <w:rPr>
                <w:rFonts w:ascii="Cambria" w:hAnsi="Cambria"/>
              </w:rPr>
              <w:t>dobrih</w:t>
            </w:r>
            <w:proofErr w:type="spellEnd"/>
            <w:r w:rsidRPr="009E5E8A">
              <w:rPr>
                <w:rFonts w:ascii="Cambria" w:hAnsi="Cambria"/>
              </w:rPr>
              <w:t xml:space="preserve"> </w:t>
            </w:r>
            <w:proofErr w:type="spellStart"/>
            <w:r w:rsidRPr="009E5E8A">
              <w:rPr>
                <w:rFonts w:ascii="Cambria" w:hAnsi="Cambria"/>
              </w:rPr>
              <w:t>odluka</w:t>
            </w:r>
            <w:proofErr w:type="spellEnd"/>
            <w:r w:rsidRPr="009E5E8A">
              <w:rPr>
                <w:rFonts w:ascii="Cambria" w:hAnsi="Cambria"/>
              </w:rPr>
              <w:t xml:space="preserve"> </w:t>
            </w:r>
            <w:proofErr w:type="spellStart"/>
            <w:r w:rsidRPr="009E5E8A">
              <w:rPr>
                <w:rFonts w:ascii="Cambria" w:hAnsi="Cambria"/>
              </w:rPr>
              <w:t>na</w:t>
            </w:r>
            <w:proofErr w:type="spellEnd"/>
            <w:r w:rsidRPr="009E5E8A">
              <w:rPr>
                <w:rFonts w:ascii="Cambria" w:hAnsi="Cambria"/>
              </w:rPr>
              <w:t xml:space="preserve"> putu do </w:t>
            </w:r>
            <w:proofErr w:type="spellStart"/>
            <w:r w:rsidRPr="009E5E8A">
              <w:rPr>
                <w:rFonts w:ascii="Cambria" w:hAnsi="Cambria"/>
              </w:rPr>
              <w:t>zvijezda</w:t>
            </w:r>
            <w:proofErr w:type="spellEnd"/>
            <w:r w:rsidRPr="009E5E8A">
              <w:rPr>
                <w:rFonts w:ascii="Cambria" w:hAnsi="Cambria"/>
              </w:rPr>
              <w:t xml:space="preserve">. </w:t>
            </w:r>
            <w:proofErr w:type="spellStart"/>
            <w:r w:rsidRPr="009E5E8A">
              <w:rPr>
                <w:rFonts w:ascii="Cambria" w:hAnsi="Cambria"/>
              </w:rPr>
              <w:t>Varaždinske</w:t>
            </w:r>
            <w:proofErr w:type="spellEnd"/>
            <w:r w:rsidRPr="009E5E8A">
              <w:rPr>
                <w:rFonts w:ascii="Cambria" w:hAnsi="Cambria"/>
              </w:rPr>
              <w:t xml:space="preserve"> </w:t>
            </w:r>
            <w:proofErr w:type="spellStart"/>
            <w:r w:rsidRPr="009E5E8A">
              <w:rPr>
                <w:rFonts w:ascii="Cambria" w:hAnsi="Cambria"/>
              </w:rPr>
              <w:t>Toplice</w:t>
            </w:r>
            <w:proofErr w:type="spellEnd"/>
            <w:r w:rsidRPr="009E5E8A">
              <w:rPr>
                <w:rFonts w:ascii="Cambria" w:hAnsi="Cambria"/>
              </w:rPr>
              <w:t xml:space="preserve">: </w:t>
            </w:r>
            <w:proofErr w:type="spellStart"/>
            <w:r w:rsidRPr="009E5E8A">
              <w:rPr>
                <w:rFonts w:ascii="Cambria" w:hAnsi="Cambria"/>
              </w:rPr>
              <w:t>Tonimir</w:t>
            </w:r>
            <w:proofErr w:type="spellEnd"/>
            <w:r w:rsidRPr="009E5E8A">
              <w:rPr>
                <w:rFonts w:ascii="Cambria" w:hAnsi="Cambria"/>
              </w:rPr>
              <w:t>.</w:t>
            </w:r>
          </w:p>
          <w:p w14:paraId="268638C5" w14:textId="77777777" w:rsidR="009E5E8A" w:rsidRPr="009E5E8A" w:rsidRDefault="009E5E8A" w:rsidP="0057401D">
            <w:pPr>
              <w:spacing w:after="0" w:line="240" w:lineRule="auto"/>
              <w:rPr>
                <w:rFonts w:ascii="Cambria" w:hAnsi="Cambria"/>
              </w:rPr>
            </w:pPr>
            <w:r w:rsidRPr="009E5E8A">
              <w:rPr>
                <w:rFonts w:ascii="Cambria" w:hAnsi="Cambria"/>
              </w:rPr>
              <w:t xml:space="preserve">12. </w:t>
            </w:r>
            <w:proofErr w:type="spellStart"/>
            <w:r w:rsidRPr="009E5E8A">
              <w:rPr>
                <w:rFonts w:ascii="Cambria" w:hAnsi="Cambria"/>
              </w:rPr>
              <w:t>Pletenac</w:t>
            </w:r>
            <w:proofErr w:type="spellEnd"/>
            <w:r w:rsidRPr="009E5E8A">
              <w:rPr>
                <w:rFonts w:ascii="Cambria" w:hAnsi="Cambria"/>
              </w:rPr>
              <w:t xml:space="preserve">, V. (2004). Put </w:t>
            </w:r>
            <w:proofErr w:type="spellStart"/>
            <w:r w:rsidRPr="009E5E8A">
              <w:rPr>
                <w:rFonts w:ascii="Cambria" w:hAnsi="Cambria"/>
              </w:rPr>
              <w:t>prema</w:t>
            </w:r>
            <w:proofErr w:type="spellEnd"/>
            <w:r w:rsidRPr="009E5E8A">
              <w:rPr>
                <w:rFonts w:ascii="Cambria" w:hAnsi="Cambria"/>
              </w:rPr>
              <w:t xml:space="preserve"> </w:t>
            </w:r>
            <w:proofErr w:type="spellStart"/>
            <w:r w:rsidRPr="009E5E8A">
              <w:rPr>
                <w:rFonts w:ascii="Cambria" w:hAnsi="Cambria"/>
              </w:rPr>
              <w:t>uspješnom</w:t>
            </w:r>
            <w:proofErr w:type="spellEnd"/>
            <w:r w:rsidRPr="009E5E8A">
              <w:rPr>
                <w:rFonts w:ascii="Cambria" w:hAnsi="Cambria"/>
              </w:rPr>
              <w:t xml:space="preserve"> </w:t>
            </w:r>
            <w:proofErr w:type="spellStart"/>
            <w:r w:rsidRPr="009E5E8A">
              <w:rPr>
                <w:rFonts w:ascii="Cambria" w:hAnsi="Cambria"/>
              </w:rPr>
              <w:t>učenju</w:t>
            </w:r>
            <w:proofErr w:type="spellEnd"/>
            <w:r w:rsidRPr="009E5E8A">
              <w:rPr>
                <w:rFonts w:ascii="Cambria" w:hAnsi="Cambria"/>
              </w:rPr>
              <w:t xml:space="preserve"> </w:t>
            </w:r>
            <w:proofErr w:type="spellStart"/>
            <w:r w:rsidRPr="009E5E8A">
              <w:rPr>
                <w:rFonts w:ascii="Cambria" w:hAnsi="Cambria"/>
              </w:rPr>
              <w:t>ili</w:t>
            </w:r>
            <w:proofErr w:type="spellEnd"/>
            <w:r w:rsidRPr="009E5E8A">
              <w:rPr>
                <w:rFonts w:ascii="Cambria" w:hAnsi="Cambria"/>
              </w:rPr>
              <w:t xml:space="preserve"> Kako </w:t>
            </w:r>
            <w:proofErr w:type="spellStart"/>
            <w:r w:rsidRPr="009E5E8A">
              <w:rPr>
                <w:rFonts w:ascii="Cambria" w:hAnsi="Cambria"/>
              </w:rPr>
              <w:t>treba</w:t>
            </w:r>
            <w:proofErr w:type="spellEnd"/>
            <w:r w:rsidRPr="009E5E8A">
              <w:rPr>
                <w:rFonts w:ascii="Cambria" w:hAnsi="Cambria"/>
              </w:rPr>
              <w:t xml:space="preserve"> </w:t>
            </w:r>
            <w:proofErr w:type="spellStart"/>
            <w:r w:rsidRPr="009E5E8A">
              <w:rPr>
                <w:rFonts w:ascii="Cambria" w:hAnsi="Cambria"/>
              </w:rPr>
              <w:t>učiti</w:t>
            </w:r>
            <w:proofErr w:type="spellEnd"/>
            <w:r w:rsidRPr="009E5E8A">
              <w:rPr>
                <w:rFonts w:ascii="Cambria" w:hAnsi="Cambria"/>
              </w:rPr>
              <w:t xml:space="preserve">. </w:t>
            </w:r>
            <w:proofErr w:type="spellStart"/>
            <w:r w:rsidRPr="009E5E8A">
              <w:rPr>
                <w:rFonts w:ascii="Cambria" w:hAnsi="Cambria"/>
              </w:rPr>
              <w:t>Jastrebarsko</w:t>
            </w:r>
            <w:proofErr w:type="spellEnd"/>
            <w:r w:rsidRPr="009E5E8A">
              <w:rPr>
                <w:rFonts w:ascii="Cambria" w:hAnsi="Cambria"/>
              </w:rPr>
              <w:t xml:space="preserve">: </w:t>
            </w:r>
            <w:proofErr w:type="spellStart"/>
            <w:r w:rsidRPr="009E5E8A">
              <w:rPr>
                <w:rFonts w:ascii="Cambria" w:hAnsi="Cambria"/>
              </w:rPr>
              <w:t>Naklada</w:t>
            </w:r>
            <w:proofErr w:type="spellEnd"/>
            <w:r w:rsidRPr="009E5E8A">
              <w:rPr>
                <w:rFonts w:ascii="Cambria" w:hAnsi="Cambria"/>
              </w:rPr>
              <w:t xml:space="preserve"> Slap.</w:t>
            </w:r>
          </w:p>
          <w:p w14:paraId="063CB756" w14:textId="77777777" w:rsidR="009E5E8A" w:rsidRPr="009E5E8A" w:rsidRDefault="009E5E8A" w:rsidP="0057401D">
            <w:pPr>
              <w:spacing w:after="0" w:line="240" w:lineRule="auto"/>
              <w:rPr>
                <w:rFonts w:ascii="Cambria" w:hAnsi="Cambria"/>
              </w:rPr>
            </w:pPr>
            <w:r w:rsidRPr="009E5E8A">
              <w:rPr>
                <w:rFonts w:ascii="Cambria" w:hAnsi="Cambria"/>
              </w:rPr>
              <w:t xml:space="preserve">13. Schumm, J. S. (2005). </w:t>
            </w:r>
            <w:proofErr w:type="spellStart"/>
            <w:r w:rsidRPr="009E5E8A">
              <w:rPr>
                <w:rFonts w:ascii="Cambria" w:hAnsi="Cambria"/>
              </w:rPr>
              <w:t>Škola</w:t>
            </w:r>
            <w:proofErr w:type="spellEnd"/>
            <w:r w:rsidRPr="009E5E8A">
              <w:rPr>
                <w:rFonts w:ascii="Cambria" w:hAnsi="Cambria"/>
              </w:rPr>
              <w:t xml:space="preserve"> bez </w:t>
            </w:r>
            <w:proofErr w:type="spellStart"/>
            <w:r w:rsidRPr="009E5E8A">
              <w:rPr>
                <w:rFonts w:ascii="Cambria" w:hAnsi="Cambria"/>
              </w:rPr>
              <w:t>muke</w:t>
            </w:r>
            <w:proofErr w:type="spellEnd"/>
            <w:r w:rsidRPr="009E5E8A">
              <w:rPr>
                <w:rFonts w:ascii="Cambria" w:hAnsi="Cambria"/>
              </w:rPr>
              <w:t xml:space="preserve">: </w:t>
            </w:r>
            <w:proofErr w:type="spellStart"/>
            <w:r w:rsidRPr="009E5E8A">
              <w:rPr>
                <w:rFonts w:ascii="Cambria" w:hAnsi="Cambria"/>
              </w:rPr>
              <w:t>strategije</w:t>
            </w:r>
            <w:proofErr w:type="spellEnd"/>
            <w:r w:rsidRPr="009E5E8A">
              <w:rPr>
                <w:rFonts w:ascii="Cambria" w:hAnsi="Cambria"/>
              </w:rPr>
              <w:t xml:space="preserve"> </w:t>
            </w:r>
            <w:proofErr w:type="spellStart"/>
            <w:r w:rsidRPr="009E5E8A">
              <w:rPr>
                <w:rFonts w:ascii="Cambria" w:hAnsi="Cambria"/>
              </w:rPr>
              <w:t>i</w:t>
            </w:r>
            <w:proofErr w:type="spellEnd"/>
            <w:r w:rsidRPr="009E5E8A">
              <w:rPr>
                <w:rFonts w:ascii="Cambria" w:hAnsi="Cambria"/>
              </w:rPr>
              <w:t xml:space="preserve"> </w:t>
            </w:r>
            <w:proofErr w:type="spellStart"/>
            <w:r w:rsidRPr="009E5E8A">
              <w:rPr>
                <w:rFonts w:ascii="Cambria" w:hAnsi="Cambria"/>
              </w:rPr>
              <w:t>vještine</w:t>
            </w:r>
            <w:proofErr w:type="spellEnd"/>
            <w:r w:rsidRPr="009E5E8A">
              <w:rPr>
                <w:rFonts w:ascii="Cambria" w:hAnsi="Cambria"/>
              </w:rPr>
              <w:t xml:space="preserve"> </w:t>
            </w:r>
            <w:proofErr w:type="spellStart"/>
            <w:r w:rsidRPr="009E5E8A">
              <w:rPr>
                <w:rFonts w:ascii="Cambria" w:hAnsi="Cambria"/>
              </w:rPr>
              <w:t>učenja</w:t>
            </w:r>
            <w:proofErr w:type="spellEnd"/>
            <w:r w:rsidRPr="009E5E8A">
              <w:rPr>
                <w:rFonts w:ascii="Cambria" w:hAnsi="Cambria"/>
              </w:rPr>
              <w:t xml:space="preserve"> za </w:t>
            </w:r>
            <w:proofErr w:type="spellStart"/>
            <w:r w:rsidRPr="009E5E8A">
              <w:rPr>
                <w:rFonts w:ascii="Cambria" w:hAnsi="Cambria"/>
              </w:rPr>
              <w:t>uspjeh</w:t>
            </w:r>
            <w:proofErr w:type="spellEnd"/>
            <w:r w:rsidRPr="009E5E8A">
              <w:rPr>
                <w:rFonts w:ascii="Cambria" w:hAnsi="Cambria"/>
              </w:rPr>
              <w:t xml:space="preserve"> u </w:t>
            </w:r>
            <w:proofErr w:type="spellStart"/>
            <w:r w:rsidRPr="009E5E8A">
              <w:rPr>
                <w:rFonts w:ascii="Cambria" w:hAnsi="Cambria"/>
              </w:rPr>
              <w:t>školi</w:t>
            </w:r>
            <w:proofErr w:type="spellEnd"/>
            <w:r w:rsidRPr="009E5E8A">
              <w:rPr>
                <w:rFonts w:ascii="Cambria" w:hAnsi="Cambria"/>
              </w:rPr>
              <w:t xml:space="preserve">. </w:t>
            </w:r>
            <w:proofErr w:type="spellStart"/>
            <w:r w:rsidRPr="009E5E8A">
              <w:rPr>
                <w:rFonts w:ascii="Cambria" w:hAnsi="Cambria"/>
              </w:rPr>
              <w:t>Lekenik</w:t>
            </w:r>
            <w:proofErr w:type="spellEnd"/>
            <w:r w:rsidRPr="009E5E8A">
              <w:rPr>
                <w:rFonts w:ascii="Cambria" w:hAnsi="Cambria"/>
              </w:rPr>
              <w:t xml:space="preserve">: </w:t>
            </w:r>
            <w:proofErr w:type="spellStart"/>
            <w:r w:rsidRPr="009E5E8A">
              <w:rPr>
                <w:rFonts w:ascii="Cambria" w:hAnsi="Cambria"/>
              </w:rPr>
              <w:t>Ostvarenje</w:t>
            </w:r>
            <w:proofErr w:type="spellEnd"/>
            <w:r w:rsidRPr="009E5E8A">
              <w:rPr>
                <w:rFonts w:ascii="Cambria" w:hAnsi="Cambria"/>
              </w:rPr>
              <w:t>.</w:t>
            </w:r>
          </w:p>
          <w:p w14:paraId="62520295" w14:textId="77777777" w:rsidR="009E5E8A" w:rsidRPr="009E5E8A" w:rsidRDefault="009E5E8A" w:rsidP="0057401D">
            <w:pPr>
              <w:spacing w:after="0" w:line="240" w:lineRule="auto"/>
              <w:rPr>
                <w:rFonts w:ascii="Cambria" w:hAnsi="Cambria"/>
              </w:rPr>
            </w:pPr>
            <w:r w:rsidRPr="009E5E8A">
              <w:rPr>
                <w:rFonts w:ascii="Cambria" w:hAnsi="Cambria"/>
              </w:rPr>
              <w:t xml:space="preserve">14. Smith, J. (2010). </w:t>
            </w:r>
            <w:proofErr w:type="spellStart"/>
            <w:r w:rsidRPr="009E5E8A">
              <w:rPr>
                <w:rFonts w:ascii="Cambria" w:hAnsi="Cambria"/>
              </w:rPr>
              <w:t>Priručnik</w:t>
            </w:r>
            <w:proofErr w:type="spellEnd"/>
            <w:r w:rsidRPr="009E5E8A">
              <w:rPr>
                <w:rFonts w:ascii="Cambria" w:hAnsi="Cambria"/>
              </w:rPr>
              <w:t xml:space="preserve"> za </w:t>
            </w:r>
            <w:proofErr w:type="spellStart"/>
            <w:r w:rsidRPr="009E5E8A">
              <w:rPr>
                <w:rFonts w:ascii="Cambria" w:hAnsi="Cambria"/>
              </w:rPr>
              <w:t>lijenog</w:t>
            </w:r>
            <w:proofErr w:type="spellEnd"/>
            <w:r w:rsidRPr="009E5E8A">
              <w:rPr>
                <w:rFonts w:ascii="Cambria" w:hAnsi="Cambria"/>
              </w:rPr>
              <w:t xml:space="preserve"> </w:t>
            </w:r>
            <w:proofErr w:type="spellStart"/>
            <w:r w:rsidRPr="009E5E8A">
              <w:rPr>
                <w:rFonts w:ascii="Cambria" w:hAnsi="Cambria"/>
              </w:rPr>
              <w:t>učitelja</w:t>
            </w:r>
            <w:proofErr w:type="spellEnd"/>
            <w:r w:rsidRPr="009E5E8A">
              <w:rPr>
                <w:rFonts w:ascii="Cambria" w:hAnsi="Cambria"/>
              </w:rPr>
              <w:t xml:space="preserve">. </w:t>
            </w:r>
            <w:proofErr w:type="spellStart"/>
            <w:r w:rsidRPr="009E5E8A">
              <w:rPr>
                <w:rFonts w:ascii="Cambria" w:hAnsi="Cambria"/>
              </w:rPr>
              <w:t>Buševec</w:t>
            </w:r>
            <w:proofErr w:type="spellEnd"/>
            <w:r w:rsidRPr="009E5E8A">
              <w:rPr>
                <w:rFonts w:ascii="Cambria" w:hAnsi="Cambria"/>
              </w:rPr>
              <w:t xml:space="preserve">: </w:t>
            </w:r>
            <w:proofErr w:type="spellStart"/>
            <w:r w:rsidRPr="009E5E8A">
              <w:rPr>
                <w:rFonts w:ascii="Cambria" w:hAnsi="Cambria"/>
              </w:rPr>
              <w:t>Ostvarenje</w:t>
            </w:r>
            <w:proofErr w:type="spellEnd"/>
            <w:r w:rsidRPr="009E5E8A">
              <w:rPr>
                <w:rFonts w:ascii="Cambria" w:hAnsi="Cambria"/>
              </w:rPr>
              <w:t>.</w:t>
            </w:r>
          </w:p>
          <w:p w14:paraId="7F39EBA3" w14:textId="77777777" w:rsidR="009E5E8A" w:rsidRPr="009E5E8A" w:rsidRDefault="009E5E8A" w:rsidP="0057401D">
            <w:pPr>
              <w:spacing w:after="0" w:line="240" w:lineRule="auto"/>
              <w:rPr>
                <w:rFonts w:ascii="Cambria" w:hAnsi="Cambria"/>
                <w:lang w:val="it-IT"/>
              </w:rPr>
            </w:pPr>
            <w:r w:rsidRPr="009E5E8A">
              <w:rPr>
                <w:rFonts w:ascii="Cambria" w:hAnsi="Cambria"/>
              </w:rPr>
              <w:t xml:space="preserve">15. Weimer, B., Hess, S., </w:t>
            </w:r>
            <w:proofErr w:type="spellStart"/>
            <w:r w:rsidRPr="009E5E8A">
              <w:rPr>
                <w:rFonts w:ascii="Cambria" w:hAnsi="Cambria"/>
              </w:rPr>
              <w:t>Brademann</w:t>
            </w:r>
            <w:proofErr w:type="spellEnd"/>
            <w:r w:rsidRPr="009E5E8A">
              <w:rPr>
                <w:rFonts w:ascii="Cambria" w:hAnsi="Cambria"/>
              </w:rPr>
              <w:t xml:space="preserve">, M. (2005). </w:t>
            </w:r>
            <w:r w:rsidRPr="009E5E8A">
              <w:rPr>
                <w:rFonts w:ascii="Cambria" w:hAnsi="Cambria"/>
                <w:lang w:val="it-IT"/>
              </w:rPr>
              <w:t xml:space="preserve">Nema </w:t>
            </w:r>
            <w:proofErr w:type="spellStart"/>
            <w:r w:rsidRPr="009E5E8A">
              <w:rPr>
                <w:rFonts w:ascii="Cambria" w:hAnsi="Cambria"/>
                <w:lang w:val="it-IT"/>
              </w:rPr>
              <w:t>više</w:t>
            </w:r>
            <w:proofErr w:type="spellEnd"/>
            <w:r w:rsidRPr="009E5E8A">
              <w:rPr>
                <w:rFonts w:ascii="Cambria" w:hAnsi="Cambria"/>
                <w:lang w:val="it-IT"/>
              </w:rPr>
              <w:t xml:space="preserve"> </w:t>
            </w:r>
            <w:proofErr w:type="spellStart"/>
            <w:r w:rsidRPr="009E5E8A">
              <w:rPr>
                <w:rFonts w:ascii="Cambria" w:hAnsi="Cambria"/>
                <w:lang w:val="it-IT"/>
              </w:rPr>
              <w:t>loših</w:t>
            </w:r>
            <w:proofErr w:type="spellEnd"/>
            <w:r w:rsidRPr="009E5E8A">
              <w:rPr>
                <w:rFonts w:ascii="Cambria" w:hAnsi="Cambria"/>
                <w:lang w:val="it-IT"/>
              </w:rPr>
              <w:t xml:space="preserve"> </w:t>
            </w:r>
            <w:proofErr w:type="spellStart"/>
            <w:r w:rsidRPr="009E5E8A">
              <w:rPr>
                <w:rFonts w:ascii="Cambria" w:hAnsi="Cambria"/>
                <w:lang w:val="it-IT"/>
              </w:rPr>
              <w:t>ocjena</w:t>
            </w:r>
            <w:proofErr w:type="spellEnd"/>
            <w:r w:rsidRPr="009E5E8A">
              <w:rPr>
                <w:rFonts w:ascii="Cambria" w:hAnsi="Cambria"/>
                <w:lang w:val="it-IT"/>
              </w:rPr>
              <w:t xml:space="preserve">: </w:t>
            </w:r>
            <w:proofErr w:type="spellStart"/>
            <w:r w:rsidRPr="009E5E8A">
              <w:rPr>
                <w:rFonts w:ascii="Cambria" w:hAnsi="Cambria"/>
                <w:lang w:val="it-IT"/>
              </w:rPr>
              <w:t>kako</w:t>
            </w:r>
            <w:proofErr w:type="spellEnd"/>
            <w:r w:rsidRPr="009E5E8A">
              <w:rPr>
                <w:rFonts w:ascii="Cambria" w:hAnsi="Cambria"/>
                <w:lang w:val="it-IT"/>
              </w:rPr>
              <w:t xml:space="preserve"> to </w:t>
            </w:r>
            <w:proofErr w:type="spellStart"/>
            <w:r w:rsidRPr="009E5E8A">
              <w:rPr>
                <w:rFonts w:ascii="Cambria" w:hAnsi="Cambria"/>
                <w:lang w:val="it-IT"/>
              </w:rPr>
              <w:t>ostvariti</w:t>
            </w:r>
            <w:proofErr w:type="spellEnd"/>
            <w:r w:rsidRPr="009E5E8A">
              <w:rPr>
                <w:rFonts w:ascii="Cambria" w:hAnsi="Cambria"/>
                <w:lang w:val="it-IT"/>
              </w:rPr>
              <w:t xml:space="preserve">? </w:t>
            </w:r>
            <w:proofErr w:type="spellStart"/>
            <w:r w:rsidRPr="009E5E8A">
              <w:rPr>
                <w:rFonts w:ascii="Cambria" w:hAnsi="Cambria"/>
                <w:lang w:val="it-IT"/>
              </w:rPr>
              <w:t>Zagreb</w:t>
            </w:r>
            <w:proofErr w:type="spellEnd"/>
            <w:r w:rsidRPr="009E5E8A">
              <w:rPr>
                <w:rFonts w:ascii="Cambria" w:hAnsi="Cambria"/>
                <w:lang w:val="it-IT"/>
              </w:rPr>
              <w:t xml:space="preserve">: </w:t>
            </w:r>
            <w:proofErr w:type="spellStart"/>
            <w:r w:rsidRPr="009E5E8A">
              <w:rPr>
                <w:rFonts w:ascii="Cambria" w:hAnsi="Cambria"/>
                <w:lang w:val="it-IT"/>
              </w:rPr>
              <w:t>Mozaik</w:t>
            </w:r>
            <w:proofErr w:type="spellEnd"/>
            <w:r w:rsidRPr="009E5E8A">
              <w:rPr>
                <w:rFonts w:ascii="Cambria" w:hAnsi="Cambria"/>
                <w:lang w:val="it-IT"/>
              </w:rPr>
              <w:t xml:space="preserve"> </w:t>
            </w:r>
            <w:proofErr w:type="spellStart"/>
            <w:r w:rsidRPr="009E5E8A">
              <w:rPr>
                <w:rFonts w:ascii="Cambria" w:hAnsi="Cambria"/>
                <w:lang w:val="it-IT"/>
              </w:rPr>
              <w:t>knjiga</w:t>
            </w:r>
            <w:proofErr w:type="spellEnd"/>
            <w:r w:rsidRPr="009E5E8A">
              <w:rPr>
                <w:rFonts w:ascii="Cambria" w:hAnsi="Cambria"/>
                <w:lang w:val="it-IT"/>
              </w:rPr>
              <w:t>.</w:t>
            </w:r>
          </w:p>
          <w:p w14:paraId="6C11C06D" w14:textId="77777777" w:rsidR="009E5E8A" w:rsidRPr="009E5E8A" w:rsidRDefault="009E5E8A" w:rsidP="0057401D">
            <w:pPr>
              <w:spacing w:after="0" w:line="240" w:lineRule="auto"/>
              <w:rPr>
                <w:rFonts w:ascii="Cambria" w:hAnsi="Cambria"/>
                <w:lang w:val="it-IT"/>
              </w:rPr>
            </w:pPr>
            <w:r w:rsidRPr="009E5E8A">
              <w:rPr>
                <w:rFonts w:ascii="Cambria" w:hAnsi="Cambria"/>
                <w:lang w:val="it-IT"/>
              </w:rPr>
              <w:t xml:space="preserve">16. </w:t>
            </w:r>
            <w:proofErr w:type="spellStart"/>
            <w:r w:rsidRPr="009E5E8A">
              <w:rPr>
                <w:rFonts w:ascii="Cambria" w:hAnsi="Cambria"/>
                <w:lang w:val="it-IT"/>
              </w:rPr>
              <w:t>Zarevski</w:t>
            </w:r>
            <w:proofErr w:type="spellEnd"/>
            <w:r w:rsidRPr="009E5E8A">
              <w:rPr>
                <w:rFonts w:ascii="Cambria" w:hAnsi="Cambria"/>
                <w:lang w:val="it-IT"/>
              </w:rPr>
              <w:t xml:space="preserve">, P. (1997). </w:t>
            </w:r>
            <w:proofErr w:type="spellStart"/>
            <w:r w:rsidRPr="009E5E8A">
              <w:rPr>
                <w:rFonts w:ascii="Cambria" w:hAnsi="Cambria"/>
                <w:lang w:val="it-IT"/>
              </w:rPr>
              <w:t>Psihologija</w:t>
            </w:r>
            <w:proofErr w:type="spellEnd"/>
            <w:r w:rsidRPr="009E5E8A">
              <w:rPr>
                <w:rFonts w:ascii="Cambria" w:hAnsi="Cambria"/>
                <w:lang w:val="it-IT"/>
              </w:rPr>
              <w:t xml:space="preserve"> </w:t>
            </w:r>
            <w:proofErr w:type="spellStart"/>
            <w:r w:rsidRPr="009E5E8A">
              <w:rPr>
                <w:rFonts w:ascii="Cambria" w:hAnsi="Cambria"/>
                <w:lang w:val="it-IT"/>
              </w:rPr>
              <w:t>pamćenja</w:t>
            </w:r>
            <w:proofErr w:type="spellEnd"/>
            <w:r w:rsidRPr="009E5E8A">
              <w:rPr>
                <w:rFonts w:ascii="Cambria" w:hAnsi="Cambria"/>
                <w:lang w:val="it-IT"/>
              </w:rPr>
              <w:t xml:space="preserve"> i </w:t>
            </w:r>
            <w:proofErr w:type="spellStart"/>
            <w:r w:rsidRPr="009E5E8A">
              <w:rPr>
                <w:rFonts w:ascii="Cambria" w:hAnsi="Cambria"/>
                <w:lang w:val="it-IT"/>
              </w:rPr>
              <w:t>učenja</w:t>
            </w:r>
            <w:proofErr w:type="spellEnd"/>
            <w:r w:rsidRPr="009E5E8A">
              <w:rPr>
                <w:rFonts w:ascii="Cambria" w:hAnsi="Cambria"/>
                <w:lang w:val="it-IT"/>
              </w:rPr>
              <w:t xml:space="preserve">. 3.izd. </w:t>
            </w:r>
            <w:proofErr w:type="spellStart"/>
            <w:r w:rsidRPr="009E5E8A">
              <w:rPr>
                <w:rFonts w:ascii="Cambria" w:hAnsi="Cambria"/>
                <w:lang w:val="it-IT"/>
              </w:rPr>
              <w:t>Jastrebarsko</w:t>
            </w:r>
            <w:proofErr w:type="spellEnd"/>
            <w:r w:rsidRPr="009E5E8A">
              <w:rPr>
                <w:rFonts w:ascii="Cambria" w:hAnsi="Cambria"/>
                <w:lang w:val="it-IT"/>
              </w:rPr>
              <w:t xml:space="preserve">: </w:t>
            </w:r>
            <w:proofErr w:type="spellStart"/>
            <w:r w:rsidRPr="009E5E8A">
              <w:rPr>
                <w:rFonts w:ascii="Cambria" w:hAnsi="Cambria"/>
                <w:lang w:val="it-IT"/>
              </w:rPr>
              <w:t>Naklada</w:t>
            </w:r>
            <w:proofErr w:type="spellEnd"/>
            <w:r w:rsidRPr="009E5E8A">
              <w:rPr>
                <w:rFonts w:ascii="Cambria" w:hAnsi="Cambria"/>
                <w:lang w:val="it-IT"/>
              </w:rPr>
              <w:t xml:space="preserve"> Slap.</w:t>
            </w:r>
          </w:p>
          <w:p w14:paraId="00100B50" w14:textId="77777777" w:rsidR="009E5E8A" w:rsidRPr="009E5E8A" w:rsidRDefault="009E5E8A" w:rsidP="0057401D">
            <w:pPr>
              <w:spacing w:after="0" w:line="240" w:lineRule="auto"/>
              <w:rPr>
                <w:rFonts w:ascii="Cambria" w:hAnsi="Cambria"/>
              </w:rPr>
            </w:pPr>
            <w:r w:rsidRPr="009E5E8A">
              <w:rPr>
                <w:rFonts w:ascii="Cambria" w:hAnsi="Cambria"/>
                <w:lang w:val="it-IT"/>
              </w:rPr>
              <w:t xml:space="preserve">17. </w:t>
            </w:r>
            <w:proofErr w:type="spellStart"/>
            <w:r w:rsidRPr="009E5E8A">
              <w:rPr>
                <w:rFonts w:ascii="Cambria" w:hAnsi="Cambria"/>
                <w:lang w:val="it-IT"/>
              </w:rPr>
              <w:t>Živković</w:t>
            </w:r>
            <w:proofErr w:type="spellEnd"/>
            <w:r w:rsidRPr="009E5E8A">
              <w:rPr>
                <w:rFonts w:ascii="Cambria" w:hAnsi="Cambria"/>
                <w:lang w:val="it-IT"/>
              </w:rPr>
              <w:t xml:space="preserve">, Ž. (2004). </w:t>
            </w:r>
            <w:proofErr w:type="spellStart"/>
            <w:r w:rsidRPr="009E5E8A">
              <w:rPr>
                <w:rFonts w:ascii="Cambria" w:hAnsi="Cambria"/>
                <w:lang w:val="it-IT"/>
              </w:rPr>
              <w:t>Vježbe</w:t>
            </w:r>
            <w:proofErr w:type="spellEnd"/>
            <w:r w:rsidRPr="009E5E8A">
              <w:rPr>
                <w:rFonts w:ascii="Cambria" w:hAnsi="Cambria"/>
                <w:lang w:val="it-IT"/>
              </w:rPr>
              <w:t xml:space="preserve"> </w:t>
            </w:r>
            <w:proofErr w:type="spellStart"/>
            <w:r w:rsidRPr="009E5E8A">
              <w:rPr>
                <w:rFonts w:ascii="Cambria" w:hAnsi="Cambria"/>
                <w:lang w:val="it-IT"/>
              </w:rPr>
              <w:t>pamćenja</w:t>
            </w:r>
            <w:proofErr w:type="spellEnd"/>
            <w:r w:rsidRPr="009E5E8A">
              <w:rPr>
                <w:rFonts w:ascii="Cambria" w:hAnsi="Cambria"/>
                <w:lang w:val="it-IT"/>
              </w:rPr>
              <w:t xml:space="preserve">: </w:t>
            </w:r>
            <w:proofErr w:type="spellStart"/>
            <w:r w:rsidRPr="009E5E8A">
              <w:rPr>
                <w:rFonts w:ascii="Cambria" w:hAnsi="Cambria"/>
                <w:lang w:val="it-IT"/>
              </w:rPr>
              <w:t>vježbe</w:t>
            </w:r>
            <w:proofErr w:type="spellEnd"/>
            <w:r w:rsidRPr="009E5E8A">
              <w:rPr>
                <w:rFonts w:ascii="Cambria" w:hAnsi="Cambria"/>
                <w:lang w:val="it-IT"/>
              </w:rPr>
              <w:t xml:space="preserve"> i </w:t>
            </w:r>
            <w:proofErr w:type="spellStart"/>
            <w:r w:rsidRPr="009E5E8A">
              <w:rPr>
                <w:rFonts w:ascii="Cambria" w:hAnsi="Cambria"/>
                <w:lang w:val="it-IT"/>
              </w:rPr>
              <w:t>savjeti</w:t>
            </w:r>
            <w:proofErr w:type="spellEnd"/>
            <w:r w:rsidRPr="009E5E8A">
              <w:rPr>
                <w:rFonts w:ascii="Cambria" w:hAnsi="Cambria"/>
                <w:lang w:val="it-IT"/>
              </w:rPr>
              <w:t xml:space="preserve"> za </w:t>
            </w:r>
            <w:proofErr w:type="spellStart"/>
            <w:r w:rsidRPr="009E5E8A">
              <w:rPr>
                <w:rFonts w:ascii="Cambria" w:hAnsi="Cambria"/>
                <w:lang w:val="it-IT"/>
              </w:rPr>
              <w:t>bolje</w:t>
            </w:r>
            <w:proofErr w:type="spellEnd"/>
            <w:r w:rsidRPr="009E5E8A">
              <w:rPr>
                <w:rFonts w:ascii="Cambria" w:hAnsi="Cambria"/>
                <w:lang w:val="it-IT"/>
              </w:rPr>
              <w:t xml:space="preserve"> </w:t>
            </w:r>
            <w:proofErr w:type="spellStart"/>
            <w:r w:rsidRPr="009E5E8A">
              <w:rPr>
                <w:rFonts w:ascii="Cambria" w:hAnsi="Cambria"/>
                <w:lang w:val="it-IT"/>
              </w:rPr>
              <w:t>pamćenje</w:t>
            </w:r>
            <w:proofErr w:type="spellEnd"/>
            <w:r w:rsidRPr="009E5E8A">
              <w:rPr>
                <w:rFonts w:ascii="Cambria" w:hAnsi="Cambria"/>
                <w:lang w:val="it-IT"/>
              </w:rPr>
              <w:t xml:space="preserve"> i </w:t>
            </w:r>
            <w:proofErr w:type="spellStart"/>
            <w:r w:rsidRPr="009E5E8A">
              <w:rPr>
                <w:rFonts w:ascii="Cambria" w:hAnsi="Cambria"/>
                <w:lang w:val="it-IT"/>
              </w:rPr>
              <w:t>učenje</w:t>
            </w:r>
            <w:proofErr w:type="spellEnd"/>
            <w:r w:rsidRPr="009E5E8A">
              <w:rPr>
                <w:rFonts w:ascii="Cambria" w:hAnsi="Cambria"/>
                <w:lang w:val="it-IT"/>
              </w:rPr>
              <w:t xml:space="preserve">. </w:t>
            </w:r>
            <w:proofErr w:type="spellStart"/>
            <w:r w:rsidRPr="009E5E8A">
              <w:rPr>
                <w:rFonts w:ascii="Cambria" w:hAnsi="Cambria"/>
              </w:rPr>
              <w:t>Jastrebarsko</w:t>
            </w:r>
            <w:proofErr w:type="spellEnd"/>
            <w:r w:rsidRPr="009E5E8A">
              <w:rPr>
                <w:rFonts w:ascii="Cambria" w:hAnsi="Cambria"/>
              </w:rPr>
              <w:t xml:space="preserve">: </w:t>
            </w:r>
            <w:proofErr w:type="spellStart"/>
            <w:r w:rsidRPr="009E5E8A">
              <w:rPr>
                <w:rFonts w:ascii="Cambria" w:hAnsi="Cambria"/>
              </w:rPr>
              <w:t>Naklada</w:t>
            </w:r>
            <w:proofErr w:type="spellEnd"/>
            <w:r w:rsidRPr="009E5E8A">
              <w:rPr>
                <w:rFonts w:ascii="Cambria" w:hAnsi="Cambria"/>
              </w:rPr>
              <w:t xml:space="preserve"> Slap.</w:t>
            </w:r>
          </w:p>
        </w:tc>
      </w:tr>
    </w:tbl>
    <w:p w14:paraId="2C713268" w14:textId="2CF31A0F" w:rsidR="00AF0D71" w:rsidRPr="00DF4CE5" w:rsidRDefault="00AF0D71" w:rsidP="00D74364">
      <w:pPr>
        <w:rPr>
          <w:rFonts w:ascii="Cambria" w:eastAsia="Calibri" w:hAnsi="Cambria" w:cs="Times New Roman"/>
          <w:lang w:val="hr-HR"/>
        </w:rPr>
      </w:pPr>
      <w:r>
        <w:rPr>
          <w:rFonts w:ascii="Cambria" w:eastAsia="Calibri" w:hAnsi="Cambria" w:cs="Times New Roman"/>
          <w:lang w:val="hr-HR"/>
        </w:rPr>
        <w:lastRenderedPageBreak/>
        <w:br w:type="page"/>
      </w:r>
    </w:p>
    <w:tbl>
      <w:tblPr>
        <w:tblW w:w="5231" w:type="pct"/>
        <w:tblLayout w:type="fixed"/>
        <w:tblCellMar>
          <w:left w:w="0" w:type="dxa"/>
          <w:right w:w="0" w:type="dxa"/>
        </w:tblCellMar>
        <w:tblLook w:val="0600" w:firstRow="0" w:lastRow="0" w:firstColumn="0" w:lastColumn="0" w:noHBand="1" w:noVBand="1"/>
      </w:tblPr>
      <w:tblGrid>
        <w:gridCol w:w="2617"/>
        <w:gridCol w:w="2483"/>
        <w:gridCol w:w="265"/>
        <w:gridCol w:w="995"/>
        <w:gridCol w:w="208"/>
        <w:gridCol w:w="504"/>
        <w:gridCol w:w="950"/>
        <w:gridCol w:w="1750"/>
      </w:tblGrid>
      <w:tr w:rsidR="00734AC9" w:rsidRPr="00DF4CE5" w14:paraId="074D6E44" w14:textId="77777777" w:rsidTr="005E1BA4">
        <w:tc>
          <w:tcPr>
            <w:tcW w:w="9771"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971A180" w14:textId="77777777" w:rsidR="00734AC9" w:rsidRPr="00DF4CE5" w:rsidRDefault="00734AC9" w:rsidP="00001BA9">
            <w:pPr>
              <w:spacing w:after="0" w:line="240" w:lineRule="auto"/>
              <w:jc w:val="right"/>
              <w:rPr>
                <w:rFonts w:ascii="Cambria" w:eastAsia="Times New Roman" w:hAnsi="Cambria" w:cs="Calibri"/>
                <w:b/>
                <w:lang w:val="hr-HR"/>
              </w:rPr>
            </w:pPr>
            <w:r w:rsidRPr="00DF4CE5">
              <w:rPr>
                <w:rFonts w:ascii="Cambria" w:eastAsia="Times New Roman" w:hAnsi="Cambria" w:cs="Calibri"/>
                <w:b/>
                <w:lang w:val="hr-HR"/>
              </w:rPr>
              <w:lastRenderedPageBreak/>
              <w:t>IZVEDBENI PLAN NASTAVE KOLEGIJA</w:t>
            </w:r>
          </w:p>
        </w:tc>
      </w:tr>
      <w:tr w:rsidR="00734AC9" w:rsidRPr="00DF4CE5" w14:paraId="4C210E13" w14:textId="77777777" w:rsidTr="005E1BA4">
        <w:tc>
          <w:tcPr>
            <w:tcW w:w="261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08BD41C" w14:textId="77777777" w:rsidR="00734AC9" w:rsidRPr="00DF4CE5" w:rsidRDefault="00734AC9"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Kod i naziv kolegija</w:t>
            </w:r>
          </w:p>
        </w:tc>
        <w:tc>
          <w:tcPr>
            <w:tcW w:w="715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F5512DC" w14:textId="77777777" w:rsidR="00734AC9" w:rsidRPr="00DF4CE5" w:rsidRDefault="00734AC9"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118967</w:t>
            </w:r>
          </w:p>
          <w:p w14:paraId="0DC14FDA" w14:textId="77777777" w:rsidR="00734AC9" w:rsidRPr="00DF4CE5" w:rsidRDefault="00734AC9"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Govorno izražavanje</w:t>
            </w:r>
          </w:p>
        </w:tc>
      </w:tr>
      <w:tr w:rsidR="00734AC9" w:rsidRPr="00D0399C" w14:paraId="23E17AA2" w14:textId="77777777" w:rsidTr="005E1BA4">
        <w:tc>
          <w:tcPr>
            <w:tcW w:w="261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A8FCC0C" w14:textId="77777777" w:rsidR="00734AC9" w:rsidRDefault="00734AC9" w:rsidP="006D2DC3">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Nastavnica </w:t>
            </w:r>
          </w:p>
          <w:p w14:paraId="2B15EA3A" w14:textId="774CB8A0" w:rsidR="00127501" w:rsidRPr="00DF4CE5" w:rsidRDefault="00127501" w:rsidP="006D2DC3">
            <w:pPr>
              <w:spacing w:after="0" w:line="240" w:lineRule="auto"/>
              <w:jc w:val="both"/>
              <w:rPr>
                <w:rFonts w:ascii="Cambria" w:eastAsia="Times New Roman" w:hAnsi="Cambria" w:cs="Calibri"/>
                <w:lang w:val="hr-HR"/>
              </w:rPr>
            </w:pPr>
            <w:r>
              <w:rPr>
                <w:rFonts w:ascii="Cambria" w:eastAsia="Times New Roman" w:hAnsi="Cambria" w:cs="Calibri"/>
                <w:lang w:val="hr-HR"/>
              </w:rPr>
              <w:t>Suradnica</w:t>
            </w:r>
          </w:p>
        </w:tc>
        <w:tc>
          <w:tcPr>
            <w:tcW w:w="715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A81D456" w14:textId="77777777" w:rsidR="00734AC9" w:rsidRDefault="00F33CC6" w:rsidP="008B34AF">
            <w:pPr>
              <w:spacing w:after="0" w:line="240" w:lineRule="auto"/>
              <w:jc w:val="both"/>
              <w:rPr>
                <w:rFonts w:ascii="Cambria" w:eastAsia="Times New Roman" w:hAnsi="Cambria" w:cs="Calibri"/>
                <w:lang w:val="hr-HR"/>
              </w:rPr>
            </w:pPr>
            <w:hyperlink r:id="rId196" w:history="1">
              <w:r w:rsidRPr="006D2DC3">
                <w:rPr>
                  <w:rStyle w:val="Hiperveza"/>
                  <w:rFonts w:ascii="Cambria" w:eastAsia="Times New Roman" w:hAnsi="Cambria" w:cs="Calibri"/>
                  <w:lang w:val="hr-HR"/>
                </w:rPr>
                <w:t>P</w:t>
              </w:r>
              <w:r w:rsidR="00734AC9" w:rsidRPr="006D2DC3">
                <w:rPr>
                  <w:rStyle w:val="Hiperveza"/>
                  <w:rFonts w:ascii="Cambria" w:eastAsia="Times New Roman" w:hAnsi="Cambria" w:cs="Calibri"/>
                  <w:lang w:val="hr-HR"/>
                </w:rPr>
                <w:t>rof. dr. sc.</w:t>
              </w:r>
              <w:r w:rsidR="006D2DC3" w:rsidRPr="006D2DC3">
                <w:rPr>
                  <w:rStyle w:val="Hiperveza"/>
                  <w:rFonts w:ascii="Cambria" w:eastAsia="Times New Roman" w:hAnsi="Cambria" w:cs="Calibri"/>
                  <w:lang w:val="hr-HR"/>
                </w:rPr>
                <w:t xml:space="preserve"> Kristina </w:t>
              </w:r>
              <w:proofErr w:type="spellStart"/>
              <w:r w:rsidR="006D2DC3" w:rsidRPr="006D2DC3">
                <w:rPr>
                  <w:rStyle w:val="Hiperveza"/>
                  <w:rFonts w:ascii="Cambria" w:eastAsia="Times New Roman" w:hAnsi="Cambria" w:cs="Calibri"/>
                  <w:lang w:val="hr-HR"/>
                </w:rPr>
                <w:t>Riman</w:t>
              </w:r>
              <w:proofErr w:type="spellEnd"/>
            </w:hyperlink>
            <w:r>
              <w:rPr>
                <w:rFonts w:ascii="Cambria" w:eastAsia="Times New Roman" w:hAnsi="Cambria" w:cs="Calibri"/>
                <w:lang w:val="hr-HR"/>
              </w:rPr>
              <w:t xml:space="preserve"> (</w:t>
            </w:r>
            <w:r w:rsidR="00734AC9" w:rsidRPr="00DF4CE5">
              <w:rPr>
                <w:rFonts w:ascii="Cambria" w:eastAsia="Times New Roman" w:hAnsi="Cambria" w:cs="Calibri"/>
                <w:lang w:val="hr-HR"/>
              </w:rPr>
              <w:t>nositeljica</w:t>
            </w:r>
            <w:r>
              <w:rPr>
                <w:rFonts w:ascii="Cambria" w:eastAsia="Times New Roman" w:hAnsi="Cambria" w:cs="Calibri"/>
                <w:lang w:val="hr-HR"/>
              </w:rPr>
              <w:t>)</w:t>
            </w:r>
          </w:p>
          <w:p w14:paraId="3CAF15BB" w14:textId="59DEFB9B" w:rsidR="00127501" w:rsidRPr="00DF4CE5" w:rsidRDefault="00127501" w:rsidP="008B34AF">
            <w:pPr>
              <w:spacing w:after="0" w:line="240" w:lineRule="auto"/>
              <w:jc w:val="both"/>
              <w:rPr>
                <w:rFonts w:ascii="Cambria" w:eastAsia="Times New Roman" w:hAnsi="Cambria" w:cs="Calibri"/>
                <w:lang w:val="hr-HR"/>
              </w:rPr>
            </w:pPr>
            <w:hyperlink r:id="rId197" w:history="1">
              <w:r w:rsidRPr="00127501">
                <w:rPr>
                  <w:rStyle w:val="Hiperveza"/>
                  <w:rFonts w:ascii="Cambria" w:eastAsia="Times New Roman" w:hAnsi="Cambria" w:cs="Calibri"/>
                  <w:lang w:val="hr-HR"/>
                </w:rPr>
                <w:t xml:space="preserve">Dr. sc. Irena </w:t>
              </w:r>
              <w:proofErr w:type="spellStart"/>
              <w:r w:rsidRPr="00127501">
                <w:rPr>
                  <w:rStyle w:val="Hiperveza"/>
                  <w:rFonts w:ascii="Cambria" w:eastAsia="Times New Roman" w:hAnsi="Cambria" w:cs="Calibri"/>
                  <w:lang w:val="hr-HR"/>
                </w:rPr>
                <w:t>Mikulaco</w:t>
              </w:r>
              <w:proofErr w:type="spellEnd"/>
              <w:r w:rsidRPr="00127501">
                <w:rPr>
                  <w:rStyle w:val="Hiperveza"/>
                  <w:rFonts w:ascii="Cambria" w:eastAsia="Times New Roman" w:hAnsi="Cambria" w:cs="Calibri"/>
                  <w:lang w:val="hr-HR"/>
                </w:rPr>
                <w:t>, v. pred.</w:t>
              </w:r>
            </w:hyperlink>
            <w:r>
              <w:rPr>
                <w:rFonts w:ascii="Cambria" w:eastAsia="Times New Roman" w:hAnsi="Cambria" w:cs="Calibri"/>
                <w:lang w:val="hr-HR"/>
              </w:rPr>
              <w:t xml:space="preserve"> </w:t>
            </w:r>
          </w:p>
        </w:tc>
      </w:tr>
      <w:tr w:rsidR="00734AC9" w:rsidRPr="00D0399C" w14:paraId="5160BB46" w14:textId="77777777" w:rsidTr="005E1BA4">
        <w:tc>
          <w:tcPr>
            <w:tcW w:w="261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C2A5F36" w14:textId="77777777" w:rsidR="00734AC9" w:rsidRPr="00DF4CE5" w:rsidRDefault="00734AC9"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Studijski program</w:t>
            </w:r>
          </w:p>
        </w:tc>
        <w:tc>
          <w:tcPr>
            <w:tcW w:w="715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0936399" w14:textId="77777777" w:rsidR="00734AC9" w:rsidRPr="00DF4CE5" w:rsidRDefault="00734AC9" w:rsidP="005E1BA4">
            <w:pPr>
              <w:spacing w:after="0" w:line="240" w:lineRule="auto"/>
              <w:rPr>
                <w:rFonts w:ascii="Cambria" w:eastAsia="Times New Roman" w:hAnsi="Cambria" w:cs="Calibri"/>
                <w:lang w:val="hr-HR"/>
              </w:rPr>
            </w:pPr>
            <w:r w:rsidRPr="00DF4CE5">
              <w:rPr>
                <w:rFonts w:ascii="Cambria" w:eastAsia="Times New Roman" w:hAnsi="Cambria" w:cs="Calibri"/>
                <w:lang w:val="hr-HR"/>
              </w:rPr>
              <w:t>Sveučilišni integrirani prijediplomski i diplomski Učiteljski studij na hrvatskom jeziku</w:t>
            </w:r>
          </w:p>
        </w:tc>
      </w:tr>
      <w:tr w:rsidR="00734AC9" w:rsidRPr="00DF4CE5" w14:paraId="05B4BA2E" w14:textId="77777777" w:rsidTr="005E1BA4">
        <w:tc>
          <w:tcPr>
            <w:tcW w:w="261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6FD4C57" w14:textId="77777777" w:rsidR="00734AC9" w:rsidRPr="00DF4CE5" w:rsidRDefault="00734AC9"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Vrsta kolegija</w:t>
            </w:r>
          </w:p>
        </w:tc>
        <w:tc>
          <w:tcPr>
            <w:tcW w:w="248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E666C43" w14:textId="77777777" w:rsidR="00734AC9" w:rsidRPr="00DF4CE5" w:rsidRDefault="00734AC9"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izborni </w:t>
            </w:r>
          </w:p>
          <w:p w14:paraId="7A542B31" w14:textId="77777777" w:rsidR="00734AC9" w:rsidRPr="00DF4CE5" w:rsidRDefault="00734AC9" w:rsidP="008B34AF">
            <w:pPr>
              <w:spacing w:after="0" w:line="240" w:lineRule="auto"/>
              <w:jc w:val="both"/>
              <w:rPr>
                <w:rFonts w:ascii="Cambria" w:eastAsia="Times New Roman" w:hAnsi="Cambria" w:cs="Calibri"/>
                <w:lang w:val="hr-HR"/>
              </w:rPr>
            </w:pPr>
          </w:p>
        </w:tc>
        <w:tc>
          <w:tcPr>
            <w:tcW w:w="1468"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0A09E360" w14:textId="77777777" w:rsidR="00734AC9" w:rsidRPr="00DF4CE5" w:rsidRDefault="00734AC9"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Razina kolegija</w:t>
            </w:r>
          </w:p>
        </w:tc>
        <w:tc>
          <w:tcPr>
            <w:tcW w:w="3204"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86494FF" w14:textId="77777777" w:rsidR="00734AC9" w:rsidRPr="00DF4CE5" w:rsidRDefault="00734AC9" w:rsidP="008B34AF">
            <w:pPr>
              <w:spacing w:after="0" w:line="240" w:lineRule="auto"/>
              <w:jc w:val="both"/>
              <w:rPr>
                <w:rFonts w:ascii="Cambria" w:eastAsia="Times New Roman" w:hAnsi="Cambria" w:cs="Calibri"/>
                <w:lang w:val="hr-HR"/>
              </w:rPr>
            </w:pPr>
            <w:proofErr w:type="spellStart"/>
            <w:r w:rsidRPr="00DF4CE5">
              <w:rPr>
                <w:rFonts w:ascii="Cambria" w:eastAsia="Times New Roman" w:hAnsi="Cambria" w:cs="Calibri"/>
              </w:rPr>
              <w:t>integrirani</w:t>
            </w:r>
            <w:proofErr w:type="spellEnd"/>
          </w:p>
        </w:tc>
      </w:tr>
      <w:tr w:rsidR="00734AC9" w:rsidRPr="00DF4CE5" w14:paraId="2045F02A" w14:textId="77777777" w:rsidTr="005E1BA4">
        <w:tc>
          <w:tcPr>
            <w:tcW w:w="261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1572B64" w14:textId="77777777" w:rsidR="00734AC9" w:rsidRPr="00DF4CE5" w:rsidRDefault="00734AC9"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Semestar</w:t>
            </w:r>
          </w:p>
        </w:tc>
        <w:tc>
          <w:tcPr>
            <w:tcW w:w="248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828430B" w14:textId="0F7154B8" w:rsidR="00734AC9" w:rsidRPr="00DF4CE5" w:rsidRDefault="00F33CC6" w:rsidP="008B34AF">
            <w:pPr>
              <w:spacing w:after="0" w:line="240" w:lineRule="auto"/>
              <w:jc w:val="both"/>
              <w:rPr>
                <w:rFonts w:ascii="Cambria" w:eastAsia="Times New Roman" w:hAnsi="Cambria" w:cs="Calibri"/>
                <w:lang w:val="hr-HR"/>
              </w:rPr>
            </w:pPr>
            <w:r>
              <w:rPr>
                <w:rFonts w:ascii="Cambria" w:eastAsia="Times New Roman" w:hAnsi="Cambria" w:cs="Calibri"/>
                <w:lang w:val="hr-HR"/>
              </w:rPr>
              <w:t>l</w:t>
            </w:r>
            <w:r w:rsidR="00734AC9" w:rsidRPr="00DF4CE5">
              <w:rPr>
                <w:rFonts w:ascii="Cambria" w:eastAsia="Times New Roman" w:hAnsi="Cambria" w:cs="Calibri"/>
                <w:lang w:val="hr-HR"/>
              </w:rPr>
              <w:t>jetni</w:t>
            </w:r>
          </w:p>
          <w:p w14:paraId="0BA0BAD1" w14:textId="77777777" w:rsidR="00734AC9" w:rsidRPr="00DF4CE5" w:rsidRDefault="00734AC9" w:rsidP="008B34AF">
            <w:pPr>
              <w:spacing w:after="0" w:line="240" w:lineRule="auto"/>
              <w:jc w:val="both"/>
              <w:rPr>
                <w:rFonts w:ascii="Cambria" w:eastAsia="Times New Roman" w:hAnsi="Cambria" w:cs="Calibri"/>
                <w:lang w:val="hr-HR"/>
              </w:rPr>
            </w:pPr>
          </w:p>
        </w:tc>
        <w:tc>
          <w:tcPr>
            <w:tcW w:w="1468"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302B9D49" w14:textId="77777777" w:rsidR="00734AC9" w:rsidRPr="00DF4CE5" w:rsidRDefault="00734AC9"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Godina studija</w:t>
            </w:r>
          </w:p>
        </w:tc>
        <w:tc>
          <w:tcPr>
            <w:tcW w:w="3204"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43DC1F1" w14:textId="77777777" w:rsidR="00734AC9" w:rsidRPr="00DF4CE5" w:rsidRDefault="00734AC9"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V.</w:t>
            </w:r>
          </w:p>
        </w:tc>
      </w:tr>
      <w:tr w:rsidR="00734AC9" w:rsidRPr="00DF4CE5" w14:paraId="00E7B361" w14:textId="77777777" w:rsidTr="005E1BA4">
        <w:tc>
          <w:tcPr>
            <w:tcW w:w="261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61B4088" w14:textId="77777777" w:rsidR="00734AC9" w:rsidRPr="00DF4CE5" w:rsidRDefault="00734AC9" w:rsidP="008B34AF">
            <w:pPr>
              <w:spacing w:after="0" w:line="240" w:lineRule="auto"/>
              <w:jc w:val="both"/>
              <w:rPr>
                <w:rFonts w:ascii="Cambria" w:eastAsia="Times New Roman" w:hAnsi="Cambria" w:cs="Calibri"/>
                <w:lang w:val="hr-HR"/>
              </w:rPr>
            </w:pPr>
            <w:proofErr w:type="spellStart"/>
            <w:r w:rsidRPr="00DF4CE5">
              <w:rPr>
                <w:rFonts w:ascii="Cambria" w:eastAsia="Times New Roman" w:hAnsi="Cambria" w:cs="Calibri"/>
              </w:rPr>
              <w:t>Mjesto</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izvođenja</w:t>
            </w:r>
            <w:proofErr w:type="spellEnd"/>
          </w:p>
        </w:tc>
        <w:tc>
          <w:tcPr>
            <w:tcW w:w="248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E876541" w14:textId="27772791" w:rsidR="00734AC9" w:rsidRPr="00DF4CE5" w:rsidRDefault="00B63FDF"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učionica</w:t>
            </w:r>
          </w:p>
        </w:tc>
        <w:tc>
          <w:tcPr>
            <w:tcW w:w="1468"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3B44477B" w14:textId="77777777" w:rsidR="00734AC9" w:rsidRPr="00DF4CE5" w:rsidRDefault="00734AC9"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Jezik izvođenja </w:t>
            </w:r>
          </w:p>
        </w:tc>
        <w:tc>
          <w:tcPr>
            <w:tcW w:w="3204"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576FD7E" w14:textId="77777777" w:rsidR="00734AC9" w:rsidRPr="00DF4CE5" w:rsidRDefault="00734AC9"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hrvatski </w:t>
            </w:r>
          </w:p>
        </w:tc>
      </w:tr>
      <w:tr w:rsidR="00734AC9" w:rsidRPr="00DF4CE5" w14:paraId="2F2F6C32" w14:textId="77777777" w:rsidTr="005E1BA4">
        <w:tc>
          <w:tcPr>
            <w:tcW w:w="261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3D9333B" w14:textId="77777777" w:rsidR="00734AC9" w:rsidRPr="00DF4CE5" w:rsidRDefault="00734AC9"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Broj ECTS bodova</w:t>
            </w:r>
          </w:p>
        </w:tc>
        <w:tc>
          <w:tcPr>
            <w:tcW w:w="248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E8F319B" w14:textId="77777777" w:rsidR="00734AC9" w:rsidRPr="00DF4CE5" w:rsidRDefault="00734AC9"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2</w:t>
            </w:r>
          </w:p>
        </w:tc>
        <w:tc>
          <w:tcPr>
            <w:tcW w:w="1468"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666EDE13" w14:textId="77777777" w:rsidR="00734AC9" w:rsidRPr="00DF4CE5" w:rsidRDefault="00734AC9"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Broj sati u semestru</w:t>
            </w:r>
          </w:p>
        </w:tc>
        <w:tc>
          <w:tcPr>
            <w:tcW w:w="3204"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64A65C7" w14:textId="00AE11E8" w:rsidR="00734AC9" w:rsidRPr="00DF4CE5" w:rsidRDefault="00734AC9"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15P – </w:t>
            </w:r>
            <w:r w:rsidR="00B63FDF" w:rsidRPr="00DF4CE5">
              <w:rPr>
                <w:rFonts w:ascii="Cambria" w:eastAsia="Times New Roman" w:hAnsi="Cambria" w:cs="Calibri"/>
                <w:lang w:val="hr-HR"/>
              </w:rPr>
              <w:t>0S</w:t>
            </w:r>
            <w:r w:rsidRPr="00DF4CE5">
              <w:rPr>
                <w:rFonts w:ascii="Cambria" w:eastAsia="Times New Roman" w:hAnsi="Cambria" w:cs="Calibri"/>
                <w:lang w:val="hr-HR"/>
              </w:rPr>
              <w:t xml:space="preserve"> – </w:t>
            </w:r>
            <w:r w:rsidR="00B63FDF" w:rsidRPr="00DF4CE5">
              <w:rPr>
                <w:rFonts w:ascii="Cambria" w:eastAsia="Times New Roman" w:hAnsi="Cambria" w:cs="Calibri"/>
                <w:lang w:val="hr-HR"/>
              </w:rPr>
              <w:t>15V</w:t>
            </w:r>
            <w:r w:rsidRPr="00DF4CE5">
              <w:rPr>
                <w:rFonts w:ascii="Cambria" w:eastAsia="Times New Roman" w:hAnsi="Cambria" w:cs="Calibri"/>
                <w:lang w:val="hr-HR"/>
              </w:rPr>
              <w:t xml:space="preserve"> </w:t>
            </w:r>
          </w:p>
        </w:tc>
      </w:tr>
      <w:tr w:rsidR="00734AC9" w:rsidRPr="00D0399C" w14:paraId="34CD9605" w14:textId="77777777" w:rsidTr="005E1BA4">
        <w:tc>
          <w:tcPr>
            <w:tcW w:w="261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9567907" w14:textId="77777777" w:rsidR="00734AC9" w:rsidRPr="00DF4CE5" w:rsidRDefault="00734AC9"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Preduvjeti za upis i za svladavanje</w:t>
            </w:r>
          </w:p>
        </w:tc>
        <w:tc>
          <w:tcPr>
            <w:tcW w:w="715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56DEA98" w14:textId="77777777" w:rsidR="00734AC9" w:rsidRPr="00DF4CE5" w:rsidRDefault="00734AC9"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Znanje hrvatskoga jezika na razini barem B2.</w:t>
            </w:r>
          </w:p>
        </w:tc>
      </w:tr>
      <w:tr w:rsidR="00734AC9" w:rsidRPr="00DF4CE5" w14:paraId="61139F9C" w14:textId="77777777" w:rsidTr="005E1BA4">
        <w:tc>
          <w:tcPr>
            <w:tcW w:w="261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E011EA0" w14:textId="77777777" w:rsidR="00734AC9" w:rsidRPr="00DF4CE5" w:rsidRDefault="00734AC9" w:rsidP="008B34AF">
            <w:pPr>
              <w:spacing w:after="0" w:line="240" w:lineRule="auto"/>
              <w:jc w:val="both"/>
              <w:rPr>
                <w:rFonts w:ascii="Cambria" w:eastAsia="Times New Roman" w:hAnsi="Cambria" w:cs="Calibri"/>
                <w:lang w:val="hr-HR"/>
              </w:rPr>
            </w:pPr>
            <w:proofErr w:type="spellStart"/>
            <w:r w:rsidRPr="00DF4CE5">
              <w:rPr>
                <w:rFonts w:ascii="Cambria" w:eastAsia="Times New Roman" w:hAnsi="Cambria" w:cs="Calibri"/>
              </w:rPr>
              <w:t>Korelativnost</w:t>
            </w:r>
            <w:proofErr w:type="spellEnd"/>
          </w:p>
        </w:tc>
        <w:tc>
          <w:tcPr>
            <w:tcW w:w="715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C00ADAE" w14:textId="77777777" w:rsidR="00734AC9" w:rsidRPr="00DF4CE5" w:rsidRDefault="00734AC9"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Hrvatski jezik I, Hrvatski jezik II</w:t>
            </w:r>
          </w:p>
        </w:tc>
      </w:tr>
      <w:tr w:rsidR="00734AC9" w:rsidRPr="00D0399C" w14:paraId="6B1489D5" w14:textId="77777777" w:rsidTr="005E1BA4">
        <w:tc>
          <w:tcPr>
            <w:tcW w:w="261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8DF14BD" w14:textId="77777777" w:rsidR="00734AC9" w:rsidRPr="00DF4CE5" w:rsidRDefault="00734AC9"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Cilj kolegija </w:t>
            </w:r>
          </w:p>
        </w:tc>
        <w:tc>
          <w:tcPr>
            <w:tcW w:w="715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12B742C" w14:textId="77777777" w:rsidR="00734AC9" w:rsidRPr="00DF4CE5" w:rsidRDefault="00734AC9"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uvježbavati prihvaćeni izgovor riječi hrvatskoga jezika kako bi razvili kritički stav prema govornom izražavanju govornika i izvještavanju pisanja i izricanja govora</w:t>
            </w:r>
          </w:p>
        </w:tc>
      </w:tr>
      <w:tr w:rsidR="00734AC9" w:rsidRPr="00D0399C" w14:paraId="03DBE6EF" w14:textId="77777777" w:rsidTr="005E1BA4">
        <w:tc>
          <w:tcPr>
            <w:tcW w:w="261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DF8A605" w14:textId="77777777" w:rsidR="00734AC9" w:rsidRPr="00DF4CE5" w:rsidRDefault="00734AC9"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Ishodi učenja</w:t>
            </w:r>
          </w:p>
        </w:tc>
        <w:tc>
          <w:tcPr>
            <w:tcW w:w="715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705C830" w14:textId="77777777" w:rsidR="00734AC9" w:rsidRPr="00DF4CE5" w:rsidRDefault="00734AC9"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1. analizirati složene aspekte ljudskoga govora</w:t>
            </w:r>
          </w:p>
          <w:p w14:paraId="53DDA005" w14:textId="77777777" w:rsidR="00734AC9" w:rsidRPr="00DF4CE5" w:rsidRDefault="00734AC9"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2. definirati govor kao zaseban komunikacijski sustav</w:t>
            </w:r>
          </w:p>
          <w:p w14:paraId="7850BDB3" w14:textId="77777777" w:rsidR="00734AC9" w:rsidRPr="00DF4CE5" w:rsidRDefault="00734AC9"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3. opisati sve aspekte (anatomske, fiziološke, neurološke, akustičke, </w:t>
            </w:r>
            <w:proofErr w:type="spellStart"/>
            <w:r w:rsidRPr="00DF4CE5">
              <w:rPr>
                <w:rFonts w:ascii="Cambria" w:eastAsia="Times New Roman" w:hAnsi="Cambria" w:cs="Calibri"/>
                <w:lang w:val="hr-HR"/>
              </w:rPr>
              <w:t>psiholingvističke</w:t>
            </w:r>
            <w:proofErr w:type="spellEnd"/>
            <w:r w:rsidRPr="00DF4CE5">
              <w:rPr>
                <w:rFonts w:ascii="Cambria" w:eastAsia="Times New Roman" w:hAnsi="Cambria" w:cs="Calibri"/>
                <w:lang w:val="hr-HR"/>
              </w:rPr>
              <w:t>) proizvodnje i primanja govora i normi i nekih odstupanja od norme</w:t>
            </w:r>
          </w:p>
          <w:p w14:paraId="4C8A6CB8" w14:textId="77777777" w:rsidR="00734AC9" w:rsidRPr="00DF4CE5" w:rsidRDefault="00734AC9"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4. opisati hrvatski govorni sustav</w:t>
            </w:r>
          </w:p>
          <w:p w14:paraId="7579AFDF" w14:textId="77777777" w:rsidR="00734AC9" w:rsidRPr="00DF4CE5" w:rsidRDefault="00734AC9"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5. analizirati verbalno-glasovnu komunikaciju, procese i funkcije koje su povezane s produkcijom govora te percepciju i produkciju oralnoga i pisanoga jezika, kao i oblike neverbalne komunikacije</w:t>
            </w:r>
          </w:p>
          <w:p w14:paraId="585D06D4" w14:textId="77777777" w:rsidR="00734AC9" w:rsidRPr="00DF4CE5" w:rsidRDefault="00734AC9"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6. demonstrirati govor u zadanom vremenu; vrednovati govor i interpretirati rezultate.</w:t>
            </w:r>
          </w:p>
        </w:tc>
      </w:tr>
      <w:tr w:rsidR="00734AC9" w:rsidRPr="00D0399C" w14:paraId="39C15A71" w14:textId="77777777" w:rsidTr="005E1BA4">
        <w:tc>
          <w:tcPr>
            <w:tcW w:w="2616"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2637123A" w14:textId="77777777" w:rsidR="00734AC9" w:rsidRPr="00DF4CE5" w:rsidRDefault="00734AC9"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Sadržaj kolegija</w:t>
            </w:r>
          </w:p>
        </w:tc>
        <w:tc>
          <w:tcPr>
            <w:tcW w:w="7155"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9C305C7" w14:textId="77777777" w:rsidR="00734AC9" w:rsidRPr="00DF4CE5" w:rsidRDefault="00734AC9"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Ovaj kolegij bavi se svim aspektima govora i govorničkoga umijeća. Sadržaj kolegija bazira se na govornom izražavanju, tj. komponentama bitnima za govorničko umijeće (glas, dikcija, ortoepija, neverbalna komunikacija, vještina slušanja govora, govorenje iz bilježaka, retorička shema). Teorijska će se znanja praktički primjenjivati u obliku kratkih izlaganja studenata pred skupinom i u obliku govornih vježbi. Svrha je govornih vježbi da studenti upoznaju, uvježbaju i usvoje hrvatske naglaske i standardni izgovor glasnika. Glavna komponenta ovoga kolegija je samostalno izricanje govora. Govor se izriče prema retoričkoj shemi, u </w:t>
            </w:r>
            <w:r w:rsidRPr="00DF4CE5">
              <w:rPr>
                <w:rFonts w:ascii="Cambria" w:eastAsia="Times New Roman" w:hAnsi="Cambria" w:cs="Calibri"/>
                <w:lang w:val="hr-HR"/>
              </w:rPr>
              <w:lastRenderedPageBreak/>
              <w:t>zadanom vremenu. Analiza govora i izražavanje vlastita mišljenja, primjenjujući teorijsko znanje, predstavljaju bitnu sastavnicu kolegija.</w:t>
            </w:r>
          </w:p>
        </w:tc>
      </w:tr>
      <w:tr w:rsidR="00734AC9" w:rsidRPr="00DF4CE5" w14:paraId="111D8A6A" w14:textId="77777777" w:rsidTr="005E1BA4">
        <w:tc>
          <w:tcPr>
            <w:tcW w:w="2616"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hideMark/>
          </w:tcPr>
          <w:p w14:paraId="49B76EE7" w14:textId="77777777" w:rsidR="00734AC9" w:rsidRPr="00DF4CE5" w:rsidRDefault="00734AC9"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lastRenderedPageBreak/>
              <w:t>Planirane aktivnosti</w:t>
            </w:r>
            <w:r w:rsidRPr="00DF4CE5">
              <w:rPr>
                <w:rFonts w:ascii="Cambria" w:eastAsia="Times New Roman" w:hAnsi="Cambria" w:cs="Calibri"/>
                <w:lang w:val="it-IT"/>
              </w:rPr>
              <w:t>,</w:t>
            </w:r>
          </w:p>
          <w:p w14:paraId="1D266332" w14:textId="77777777" w:rsidR="00734AC9" w:rsidRPr="00DF4CE5" w:rsidRDefault="00734AC9" w:rsidP="008B34AF">
            <w:pPr>
              <w:spacing w:after="0" w:line="240" w:lineRule="auto"/>
              <w:jc w:val="both"/>
              <w:rPr>
                <w:rFonts w:ascii="Cambria" w:eastAsia="Times New Roman" w:hAnsi="Cambria" w:cs="Calibri"/>
                <w:lang w:val="hr-HR"/>
              </w:rPr>
            </w:pPr>
            <w:proofErr w:type="spellStart"/>
            <w:r w:rsidRPr="00DF4CE5">
              <w:rPr>
                <w:rFonts w:ascii="Cambria" w:eastAsia="Times New Roman" w:hAnsi="Cambria" w:cs="Calibri"/>
                <w:lang w:val="it-IT"/>
              </w:rPr>
              <w:t>metode</w:t>
            </w:r>
            <w:proofErr w:type="spellEnd"/>
            <w:r w:rsidRPr="00DF4CE5">
              <w:rPr>
                <w:rFonts w:ascii="Cambria" w:eastAsia="Times New Roman" w:hAnsi="Cambria" w:cs="Calibri"/>
                <w:lang w:val="it-IT"/>
              </w:rPr>
              <w:t xml:space="preserve"> </w:t>
            </w:r>
            <w:r w:rsidRPr="00DF4CE5">
              <w:rPr>
                <w:rFonts w:ascii="Cambria" w:eastAsia="Times New Roman" w:hAnsi="Cambria" w:cs="Calibri"/>
                <w:lang w:val="hr-HR"/>
              </w:rPr>
              <w:t>učenja i poučavanja i načini vrednovanja</w:t>
            </w:r>
          </w:p>
        </w:tc>
        <w:tc>
          <w:tcPr>
            <w:tcW w:w="2748"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4B82F62" w14:textId="77777777" w:rsidR="00734AC9" w:rsidRPr="00DF4CE5" w:rsidRDefault="00734AC9" w:rsidP="008B34AF">
            <w:pPr>
              <w:spacing w:after="0" w:line="240" w:lineRule="auto"/>
              <w:jc w:val="both"/>
              <w:rPr>
                <w:rFonts w:ascii="Cambria" w:eastAsia="Times New Roman" w:hAnsi="Cambria" w:cs="Calibri"/>
                <w:lang w:val="hr-HR"/>
              </w:rPr>
            </w:pPr>
            <w:r w:rsidRPr="00DF4CE5">
              <w:rPr>
                <w:rFonts w:ascii="Cambria" w:eastAsia="Times New Roman" w:hAnsi="Cambria" w:cs="Calibri"/>
                <w:bCs/>
                <w:lang w:val="hr-HR"/>
              </w:rPr>
              <w:t>Obveze</w:t>
            </w:r>
          </w:p>
        </w:tc>
        <w:tc>
          <w:tcPr>
            <w:tcW w:w="99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8FEA19D" w14:textId="77777777" w:rsidR="00734AC9" w:rsidRPr="00DF4CE5" w:rsidRDefault="00734AC9" w:rsidP="008B34AF">
            <w:pPr>
              <w:spacing w:after="0" w:line="240" w:lineRule="auto"/>
              <w:jc w:val="both"/>
              <w:rPr>
                <w:rFonts w:ascii="Cambria" w:eastAsia="Times New Roman" w:hAnsi="Cambria" w:cs="Calibri"/>
                <w:lang w:val="hr-HR"/>
              </w:rPr>
            </w:pPr>
            <w:r w:rsidRPr="00DF4CE5">
              <w:rPr>
                <w:rFonts w:ascii="Cambria" w:eastAsia="Times New Roman" w:hAnsi="Cambria" w:cs="Calibri"/>
                <w:bCs/>
                <w:lang w:val="hr-HR"/>
              </w:rPr>
              <w:t>Ishodi</w:t>
            </w:r>
          </w:p>
        </w:tc>
        <w:tc>
          <w:tcPr>
            <w:tcW w:w="71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B8AC3CD" w14:textId="77777777" w:rsidR="00734AC9" w:rsidRPr="00DF4CE5" w:rsidRDefault="00734AC9" w:rsidP="008B34AF">
            <w:pPr>
              <w:spacing w:after="0" w:line="240" w:lineRule="auto"/>
              <w:jc w:val="both"/>
              <w:rPr>
                <w:rFonts w:ascii="Cambria" w:eastAsia="Times New Roman" w:hAnsi="Cambria" w:cs="Calibri"/>
                <w:lang w:val="hr-HR"/>
              </w:rPr>
            </w:pPr>
            <w:r w:rsidRPr="00DF4CE5">
              <w:rPr>
                <w:rFonts w:ascii="Cambria" w:eastAsia="Times New Roman" w:hAnsi="Cambria" w:cs="Calibri"/>
                <w:bCs/>
                <w:lang w:val="hr-HR"/>
              </w:rPr>
              <w:t>Sati</w:t>
            </w:r>
          </w:p>
        </w:tc>
        <w:tc>
          <w:tcPr>
            <w:tcW w:w="9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586590E" w14:textId="77777777" w:rsidR="00734AC9" w:rsidRPr="00DF4CE5" w:rsidRDefault="00734AC9" w:rsidP="008B34AF">
            <w:pPr>
              <w:spacing w:after="0" w:line="240" w:lineRule="auto"/>
              <w:jc w:val="both"/>
              <w:rPr>
                <w:rFonts w:ascii="Cambria" w:eastAsia="Times New Roman" w:hAnsi="Cambria" w:cs="Calibri"/>
                <w:lang w:val="hr-HR"/>
              </w:rPr>
            </w:pPr>
            <w:r w:rsidRPr="00DF4CE5">
              <w:rPr>
                <w:rFonts w:ascii="Cambria" w:eastAsia="Times New Roman" w:hAnsi="Cambria" w:cs="Calibri"/>
                <w:bCs/>
                <w:lang w:val="hr-HR"/>
              </w:rPr>
              <w:t>ECTS</w:t>
            </w:r>
          </w:p>
        </w:tc>
        <w:tc>
          <w:tcPr>
            <w:tcW w:w="17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E132FCD" w14:textId="77777777" w:rsidR="00734AC9" w:rsidRPr="00DF4CE5" w:rsidRDefault="00734AC9" w:rsidP="008B34AF">
            <w:pPr>
              <w:spacing w:after="0" w:line="240" w:lineRule="auto"/>
              <w:jc w:val="both"/>
              <w:rPr>
                <w:rFonts w:ascii="Cambria" w:eastAsia="Times New Roman" w:hAnsi="Cambria" w:cs="Calibri"/>
                <w:lang w:val="hr-HR"/>
              </w:rPr>
            </w:pPr>
            <w:r w:rsidRPr="00DF4CE5">
              <w:rPr>
                <w:rFonts w:ascii="Cambria" w:eastAsia="Times New Roman" w:hAnsi="Cambria" w:cs="Calibri"/>
                <w:bCs/>
                <w:lang w:val="hr-HR"/>
              </w:rPr>
              <w:t>Maksimalni udio u ocjeni</w:t>
            </w:r>
            <w:r w:rsidRPr="00DF4CE5">
              <w:rPr>
                <w:rFonts w:ascii="Cambria" w:eastAsia="Times New Roman" w:hAnsi="Cambria" w:cs="Calibri"/>
                <w:bCs/>
              </w:rPr>
              <w:t xml:space="preserve"> (%)</w:t>
            </w:r>
          </w:p>
        </w:tc>
      </w:tr>
      <w:tr w:rsidR="00734AC9" w:rsidRPr="00DF4CE5" w14:paraId="3A55D1B0" w14:textId="77777777" w:rsidTr="005E1BA4">
        <w:tc>
          <w:tcPr>
            <w:tcW w:w="2616" w:type="dxa"/>
            <w:vMerge/>
            <w:tcBorders>
              <w:left w:val="single" w:sz="8" w:space="0" w:color="000000"/>
              <w:right w:val="single" w:sz="8" w:space="0" w:color="000000"/>
            </w:tcBorders>
            <w:vAlign w:val="center"/>
            <w:hideMark/>
          </w:tcPr>
          <w:p w14:paraId="3553CE2A" w14:textId="77777777" w:rsidR="00734AC9" w:rsidRPr="00DF4CE5" w:rsidRDefault="00734AC9" w:rsidP="008B34AF">
            <w:pPr>
              <w:spacing w:after="0" w:line="240" w:lineRule="auto"/>
              <w:jc w:val="both"/>
              <w:rPr>
                <w:rFonts w:ascii="Cambria" w:eastAsia="Times New Roman" w:hAnsi="Cambria" w:cs="Calibri"/>
                <w:lang w:val="hr-HR"/>
              </w:rPr>
            </w:pPr>
          </w:p>
        </w:tc>
        <w:tc>
          <w:tcPr>
            <w:tcW w:w="2748"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B18E9F0" w14:textId="63BB13DD" w:rsidR="00734AC9" w:rsidRPr="00F33CC6" w:rsidRDefault="00DB76CD" w:rsidP="008B34AF">
            <w:pPr>
              <w:spacing w:after="0" w:line="240" w:lineRule="auto"/>
              <w:jc w:val="both"/>
              <w:rPr>
                <w:rFonts w:ascii="Cambria" w:eastAsia="Times New Roman" w:hAnsi="Cambria" w:cs="Calibri"/>
                <w:lang w:val="it-IT"/>
              </w:rPr>
            </w:pPr>
            <w:proofErr w:type="spellStart"/>
            <w:r w:rsidRPr="00F33CC6">
              <w:rPr>
                <w:rFonts w:ascii="Cambria" w:eastAsia="Times New Roman" w:hAnsi="Cambria" w:cs="Calibri"/>
                <w:lang w:val="it-IT"/>
              </w:rPr>
              <w:t>aktivnost</w:t>
            </w:r>
            <w:proofErr w:type="spellEnd"/>
            <w:r w:rsidRPr="00F33CC6">
              <w:rPr>
                <w:rFonts w:ascii="Cambria" w:eastAsia="Times New Roman" w:hAnsi="Cambria" w:cs="Calibri"/>
                <w:lang w:val="it-IT"/>
              </w:rPr>
              <w:t xml:space="preserve"> </w:t>
            </w:r>
            <w:proofErr w:type="spellStart"/>
            <w:r w:rsidRPr="00F33CC6">
              <w:rPr>
                <w:rFonts w:ascii="Cambria" w:eastAsia="Times New Roman" w:hAnsi="Cambria" w:cs="Calibri"/>
                <w:lang w:val="it-IT"/>
              </w:rPr>
              <w:t>na</w:t>
            </w:r>
            <w:proofErr w:type="spellEnd"/>
            <w:r w:rsidRPr="00F33CC6">
              <w:rPr>
                <w:rFonts w:ascii="Cambria" w:eastAsia="Times New Roman" w:hAnsi="Cambria" w:cs="Calibri"/>
                <w:lang w:val="it-IT"/>
              </w:rPr>
              <w:t xml:space="preserve"> </w:t>
            </w:r>
            <w:proofErr w:type="spellStart"/>
            <w:r w:rsidRPr="00F33CC6">
              <w:rPr>
                <w:rFonts w:ascii="Cambria" w:eastAsia="Times New Roman" w:hAnsi="Cambria" w:cs="Calibri"/>
                <w:lang w:val="it-IT"/>
              </w:rPr>
              <w:t>nastavi</w:t>
            </w:r>
            <w:proofErr w:type="spellEnd"/>
            <w:r w:rsidR="00F33CC6" w:rsidRPr="00F33CC6">
              <w:rPr>
                <w:rFonts w:ascii="Cambria" w:eastAsia="Times New Roman" w:hAnsi="Cambria" w:cs="Calibri"/>
                <w:lang w:val="it-IT"/>
              </w:rPr>
              <w:t xml:space="preserve"> (P, V</w:t>
            </w:r>
            <w:r w:rsidR="00F33CC6">
              <w:rPr>
                <w:rFonts w:ascii="Cambria" w:eastAsia="Times New Roman" w:hAnsi="Cambria" w:cs="Calibri"/>
                <w:lang w:val="it-IT"/>
              </w:rPr>
              <w:t>)</w:t>
            </w:r>
          </w:p>
        </w:tc>
        <w:tc>
          <w:tcPr>
            <w:tcW w:w="99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5D37D5F" w14:textId="77777777" w:rsidR="00734AC9" w:rsidRPr="00DF4CE5" w:rsidRDefault="00734AC9" w:rsidP="00F33CC6">
            <w:pPr>
              <w:spacing w:after="0" w:line="240" w:lineRule="auto"/>
              <w:jc w:val="center"/>
              <w:rPr>
                <w:rFonts w:ascii="Cambria" w:eastAsia="Times New Roman" w:hAnsi="Cambria" w:cs="Calibri"/>
                <w:b/>
                <w:lang w:val="hr-HR"/>
              </w:rPr>
            </w:pPr>
            <w:r w:rsidRPr="00DF4CE5">
              <w:rPr>
                <w:rFonts w:ascii="Cambria" w:eastAsia="Times New Roman" w:hAnsi="Cambria" w:cs="Calibri"/>
                <w:lang w:val="hr-HR"/>
              </w:rPr>
              <w:t>1. – 6.</w:t>
            </w:r>
          </w:p>
          <w:p w14:paraId="0D7D6F9F" w14:textId="77777777" w:rsidR="00734AC9" w:rsidRPr="00DF4CE5" w:rsidRDefault="00734AC9" w:rsidP="00F33CC6">
            <w:pPr>
              <w:spacing w:after="0" w:line="240" w:lineRule="auto"/>
              <w:jc w:val="center"/>
              <w:rPr>
                <w:rFonts w:ascii="Cambria" w:eastAsia="Times New Roman" w:hAnsi="Cambria" w:cs="Calibri"/>
                <w:lang w:val="hr-HR"/>
              </w:rPr>
            </w:pPr>
          </w:p>
        </w:tc>
        <w:tc>
          <w:tcPr>
            <w:tcW w:w="71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02FCC87" w14:textId="34BCC242" w:rsidR="00734AC9" w:rsidRPr="00DF4CE5" w:rsidRDefault="00734AC9" w:rsidP="00F33CC6">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2</w:t>
            </w:r>
            <w:r w:rsidR="000E6949" w:rsidRPr="00DF4CE5">
              <w:rPr>
                <w:rFonts w:ascii="Cambria" w:eastAsia="Times New Roman" w:hAnsi="Cambria" w:cs="Calibri"/>
                <w:lang w:val="hr-HR"/>
              </w:rPr>
              <w:t>3</w:t>
            </w:r>
          </w:p>
        </w:tc>
        <w:tc>
          <w:tcPr>
            <w:tcW w:w="9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4C61F7F" w14:textId="77777777" w:rsidR="00734AC9" w:rsidRPr="00DF4CE5" w:rsidRDefault="00734AC9" w:rsidP="00F33CC6">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0,8</w:t>
            </w:r>
          </w:p>
        </w:tc>
        <w:tc>
          <w:tcPr>
            <w:tcW w:w="17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FB33DC8" w14:textId="77777777" w:rsidR="00734AC9" w:rsidRPr="00DF4CE5" w:rsidRDefault="00734AC9" w:rsidP="00F33CC6">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20%</w:t>
            </w:r>
          </w:p>
        </w:tc>
      </w:tr>
      <w:tr w:rsidR="00734AC9" w:rsidRPr="00DF4CE5" w14:paraId="5FFB341B" w14:textId="77777777" w:rsidTr="005E1BA4">
        <w:tc>
          <w:tcPr>
            <w:tcW w:w="2616" w:type="dxa"/>
            <w:vMerge/>
            <w:tcBorders>
              <w:left w:val="single" w:sz="8" w:space="0" w:color="000000"/>
              <w:right w:val="single" w:sz="8" w:space="0" w:color="000000"/>
            </w:tcBorders>
            <w:vAlign w:val="center"/>
            <w:hideMark/>
          </w:tcPr>
          <w:p w14:paraId="095A10FA" w14:textId="77777777" w:rsidR="00734AC9" w:rsidRPr="00DF4CE5" w:rsidRDefault="00734AC9" w:rsidP="008B34AF">
            <w:pPr>
              <w:spacing w:after="0" w:line="240" w:lineRule="auto"/>
              <w:jc w:val="both"/>
              <w:rPr>
                <w:rFonts w:ascii="Cambria" w:eastAsia="Times New Roman" w:hAnsi="Cambria" w:cs="Calibri"/>
                <w:lang w:val="hr-HR"/>
              </w:rPr>
            </w:pPr>
          </w:p>
        </w:tc>
        <w:tc>
          <w:tcPr>
            <w:tcW w:w="2748"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F49F799" w14:textId="77777777" w:rsidR="00734AC9" w:rsidRPr="00DF4CE5" w:rsidRDefault="00734AC9" w:rsidP="00F33CC6">
            <w:pPr>
              <w:spacing w:after="0" w:line="240" w:lineRule="auto"/>
              <w:rPr>
                <w:rFonts w:ascii="Cambria" w:eastAsia="Times New Roman" w:hAnsi="Cambria" w:cs="Calibri"/>
                <w:lang w:val="hr-HR"/>
              </w:rPr>
            </w:pPr>
            <w:r w:rsidRPr="00DF4CE5">
              <w:rPr>
                <w:rFonts w:ascii="Cambria" w:eastAsia="Times New Roman" w:hAnsi="Cambria" w:cs="Calibri"/>
                <w:lang w:val="hr-HR"/>
              </w:rPr>
              <w:t>usmeno izlaganje i praktični rad: pisanje govora, priprema i održan govor se ocjenjuju kao usmeni dio ispita</w:t>
            </w:r>
          </w:p>
        </w:tc>
        <w:tc>
          <w:tcPr>
            <w:tcW w:w="99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3AC8BF0" w14:textId="77777777" w:rsidR="00734AC9" w:rsidRPr="00DF4CE5" w:rsidRDefault="00734AC9" w:rsidP="00F33CC6">
            <w:pPr>
              <w:spacing w:after="0" w:line="240" w:lineRule="auto"/>
              <w:jc w:val="center"/>
              <w:rPr>
                <w:rFonts w:ascii="Cambria" w:eastAsia="Times New Roman" w:hAnsi="Cambria" w:cs="Calibri"/>
                <w:lang w:val="hr-HR"/>
              </w:rPr>
            </w:pPr>
          </w:p>
          <w:p w14:paraId="5347863F" w14:textId="77777777" w:rsidR="00F33CC6" w:rsidRDefault="00F33CC6" w:rsidP="00F33CC6">
            <w:pPr>
              <w:spacing w:after="0" w:line="240" w:lineRule="auto"/>
              <w:jc w:val="center"/>
              <w:rPr>
                <w:rFonts w:ascii="Cambria" w:eastAsia="Times New Roman" w:hAnsi="Cambria" w:cs="Calibri"/>
                <w:lang w:val="hr-HR"/>
              </w:rPr>
            </w:pPr>
          </w:p>
          <w:p w14:paraId="7D814A7A" w14:textId="0790A646" w:rsidR="00734AC9" w:rsidRPr="00DF4CE5" w:rsidRDefault="00734AC9" w:rsidP="00F33CC6">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1. – 6.</w:t>
            </w:r>
          </w:p>
        </w:tc>
        <w:tc>
          <w:tcPr>
            <w:tcW w:w="71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41337C8" w14:textId="0EA3DB01" w:rsidR="00734AC9" w:rsidRPr="00DF4CE5" w:rsidRDefault="000E6949" w:rsidP="00F33CC6">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30</w:t>
            </w:r>
          </w:p>
        </w:tc>
        <w:tc>
          <w:tcPr>
            <w:tcW w:w="9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04FF176" w14:textId="77777777" w:rsidR="00734AC9" w:rsidRPr="00DF4CE5" w:rsidRDefault="00734AC9" w:rsidP="00F33CC6">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1</w:t>
            </w:r>
          </w:p>
        </w:tc>
        <w:tc>
          <w:tcPr>
            <w:tcW w:w="17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5EF14BC" w14:textId="77777777" w:rsidR="00734AC9" w:rsidRPr="00DF4CE5" w:rsidRDefault="00734AC9" w:rsidP="00F33CC6">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50%</w:t>
            </w:r>
          </w:p>
        </w:tc>
      </w:tr>
      <w:tr w:rsidR="00734AC9" w:rsidRPr="00DF4CE5" w14:paraId="2C33E1C7" w14:textId="77777777" w:rsidTr="005E1BA4">
        <w:tc>
          <w:tcPr>
            <w:tcW w:w="2616" w:type="dxa"/>
            <w:vMerge/>
            <w:tcBorders>
              <w:left w:val="single" w:sz="8" w:space="0" w:color="000000"/>
              <w:right w:val="single" w:sz="8" w:space="0" w:color="000000"/>
            </w:tcBorders>
            <w:vAlign w:val="center"/>
            <w:hideMark/>
          </w:tcPr>
          <w:p w14:paraId="430AD869" w14:textId="77777777" w:rsidR="00734AC9" w:rsidRPr="00DF4CE5" w:rsidRDefault="00734AC9" w:rsidP="008B34AF">
            <w:pPr>
              <w:spacing w:after="0" w:line="240" w:lineRule="auto"/>
              <w:jc w:val="both"/>
              <w:rPr>
                <w:rFonts w:ascii="Cambria" w:eastAsia="Times New Roman" w:hAnsi="Cambria" w:cs="Calibri"/>
                <w:lang w:val="hr-HR"/>
              </w:rPr>
            </w:pPr>
          </w:p>
        </w:tc>
        <w:tc>
          <w:tcPr>
            <w:tcW w:w="2748"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21CFD81" w14:textId="77777777" w:rsidR="00734AC9" w:rsidRPr="00DF4CE5" w:rsidRDefault="00734AC9"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pismeni ispit (priprema za provjeru znanja)</w:t>
            </w:r>
          </w:p>
        </w:tc>
        <w:tc>
          <w:tcPr>
            <w:tcW w:w="99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D35EAAB" w14:textId="77777777" w:rsidR="00734AC9" w:rsidRPr="00DF4CE5" w:rsidRDefault="00734AC9" w:rsidP="00F33CC6">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1. – 6.</w:t>
            </w:r>
          </w:p>
        </w:tc>
        <w:tc>
          <w:tcPr>
            <w:tcW w:w="71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87893CA" w14:textId="547AD821" w:rsidR="00734AC9" w:rsidRPr="00DF4CE5" w:rsidRDefault="000E6949" w:rsidP="00F33CC6">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7</w:t>
            </w:r>
          </w:p>
        </w:tc>
        <w:tc>
          <w:tcPr>
            <w:tcW w:w="9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4CA74FD" w14:textId="77777777" w:rsidR="00734AC9" w:rsidRPr="00DF4CE5" w:rsidRDefault="00734AC9" w:rsidP="00F33CC6">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0,2</w:t>
            </w:r>
          </w:p>
        </w:tc>
        <w:tc>
          <w:tcPr>
            <w:tcW w:w="17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5F6E820" w14:textId="77777777" w:rsidR="00734AC9" w:rsidRPr="00DF4CE5" w:rsidRDefault="00734AC9" w:rsidP="00F33CC6">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30%</w:t>
            </w:r>
          </w:p>
        </w:tc>
      </w:tr>
      <w:tr w:rsidR="00734AC9" w:rsidRPr="00DF4CE5" w14:paraId="6003D0C5" w14:textId="77777777" w:rsidTr="005E1BA4">
        <w:tc>
          <w:tcPr>
            <w:tcW w:w="2616" w:type="dxa"/>
            <w:vMerge/>
            <w:tcBorders>
              <w:left w:val="single" w:sz="8" w:space="0" w:color="000000"/>
              <w:right w:val="single" w:sz="8" w:space="0" w:color="000000"/>
            </w:tcBorders>
            <w:vAlign w:val="center"/>
            <w:hideMark/>
          </w:tcPr>
          <w:p w14:paraId="5D695413" w14:textId="77777777" w:rsidR="00734AC9" w:rsidRPr="00DF4CE5" w:rsidRDefault="00734AC9" w:rsidP="008B34AF">
            <w:pPr>
              <w:spacing w:after="0" w:line="240" w:lineRule="auto"/>
              <w:jc w:val="both"/>
              <w:rPr>
                <w:rFonts w:ascii="Cambria" w:eastAsia="Times New Roman" w:hAnsi="Cambria" w:cs="Calibri"/>
                <w:lang w:val="hr-HR"/>
              </w:rPr>
            </w:pPr>
          </w:p>
        </w:tc>
        <w:tc>
          <w:tcPr>
            <w:tcW w:w="3743"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CCB535E" w14:textId="67356C82" w:rsidR="00734AC9" w:rsidRPr="00DF4CE5" w:rsidRDefault="00F33CC6" w:rsidP="008B34AF">
            <w:pPr>
              <w:spacing w:after="0" w:line="240" w:lineRule="auto"/>
              <w:jc w:val="both"/>
              <w:rPr>
                <w:rFonts w:ascii="Cambria" w:eastAsia="Times New Roman" w:hAnsi="Cambria" w:cs="Calibri"/>
                <w:lang w:val="hr-HR"/>
              </w:rPr>
            </w:pPr>
            <w:proofErr w:type="spellStart"/>
            <w:r>
              <w:rPr>
                <w:rFonts w:ascii="Cambria" w:eastAsia="Times New Roman" w:hAnsi="Cambria" w:cs="Calibri"/>
              </w:rPr>
              <w:t>u</w:t>
            </w:r>
            <w:r w:rsidR="00734AC9" w:rsidRPr="00DF4CE5">
              <w:rPr>
                <w:rFonts w:ascii="Cambria" w:eastAsia="Times New Roman" w:hAnsi="Cambria" w:cs="Calibri"/>
              </w:rPr>
              <w:t>kupno</w:t>
            </w:r>
            <w:proofErr w:type="spellEnd"/>
          </w:p>
        </w:tc>
        <w:tc>
          <w:tcPr>
            <w:tcW w:w="71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F49F74C" w14:textId="30910B4D" w:rsidR="00734AC9" w:rsidRPr="00DF4CE5" w:rsidRDefault="00734AC9" w:rsidP="00F33CC6">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6</w:t>
            </w:r>
            <w:r w:rsidR="000E6949" w:rsidRPr="00DF4CE5">
              <w:rPr>
                <w:rFonts w:ascii="Cambria" w:eastAsia="Times New Roman" w:hAnsi="Cambria" w:cs="Calibri"/>
                <w:lang w:val="hr-HR"/>
              </w:rPr>
              <w:t>0</w:t>
            </w:r>
          </w:p>
        </w:tc>
        <w:tc>
          <w:tcPr>
            <w:tcW w:w="9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3A0D04A" w14:textId="77777777" w:rsidR="00734AC9" w:rsidRPr="00DF4CE5" w:rsidRDefault="00734AC9" w:rsidP="00F33CC6">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2</w:t>
            </w:r>
          </w:p>
        </w:tc>
        <w:tc>
          <w:tcPr>
            <w:tcW w:w="17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B636AC4" w14:textId="77777777" w:rsidR="00734AC9" w:rsidRPr="00DF4CE5" w:rsidRDefault="00734AC9" w:rsidP="00F33CC6">
            <w:pPr>
              <w:spacing w:after="0" w:line="240" w:lineRule="auto"/>
              <w:jc w:val="center"/>
              <w:rPr>
                <w:rFonts w:ascii="Cambria" w:eastAsia="Times New Roman" w:hAnsi="Cambria" w:cs="Calibri"/>
                <w:lang w:val="hr-HR"/>
              </w:rPr>
            </w:pPr>
            <w:r w:rsidRPr="00DF4CE5">
              <w:rPr>
                <w:rFonts w:ascii="Cambria" w:eastAsia="Times New Roman" w:hAnsi="Cambria" w:cs="Calibri"/>
                <w:lang w:val="hr-HR"/>
              </w:rPr>
              <w:t>100%</w:t>
            </w:r>
          </w:p>
        </w:tc>
      </w:tr>
      <w:tr w:rsidR="00734AC9" w:rsidRPr="00DF4CE5" w14:paraId="36B5BFD1" w14:textId="77777777" w:rsidTr="005E1BA4">
        <w:tc>
          <w:tcPr>
            <w:tcW w:w="2616" w:type="dxa"/>
            <w:vMerge/>
            <w:tcBorders>
              <w:left w:val="single" w:sz="8" w:space="0" w:color="000000"/>
              <w:bottom w:val="single" w:sz="8" w:space="0" w:color="000000"/>
              <w:right w:val="single" w:sz="8" w:space="0" w:color="000000"/>
            </w:tcBorders>
            <w:vAlign w:val="center"/>
          </w:tcPr>
          <w:p w14:paraId="0D6D013E" w14:textId="77777777" w:rsidR="00734AC9" w:rsidRPr="00DF4CE5" w:rsidRDefault="00734AC9" w:rsidP="008B34AF">
            <w:pPr>
              <w:spacing w:after="0" w:line="240" w:lineRule="auto"/>
              <w:jc w:val="both"/>
              <w:rPr>
                <w:rFonts w:ascii="Cambria" w:eastAsia="Times New Roman" w:hAnsi="Cambria" w:cs="Calibri"/>
                <w:lang w:val="hr-HR"/>
              </w:rPr>
            </w:pPr>
          </w:p>
        </w:tc>
        <w:tc>
          <w:tcPr>
            <w:tcW w:w="7155"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9D55BAD" w14:textId="77777777" w:rsidR="00734AC9" w:rsidRPr="00DF4CE5" w:rsidRDefault="00734AC9"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Dodatna pojašnjenja (kriteriji ocjenjivanja):</w:t>
            </w:r>
          </w:p>
          <w:p w14:paraId="792ABF81" w14:textId="77777777" w:rsidR="00734AC9" w:rsidRPr="00DF4CE5" w:rsidRDefault="00734AC9"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Pohađanje nastave je obvezno. Tolerira se 30% izostanaka ( 4 izostanka). </w:t>
            </w:r>
          </w:p>
          <w:p w14:paraId="7801B8E3" w14:textId="77777777" w:rsidR="00734AC9" w:rsidRPr="00DF4CE5" w:rsidRDefault="00734AC9"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Da bi se pristupilo završnome ispitu, potrebno je održati govor i sve zadatke obaviti, zato što se iz svakog segmenta dobiva ocjena i predstavlja ukupnu ocjenu ostvarenu na ovom kolegiju. Stoga je važno prisustvovati nastavi kako bi se svi zadatci, tj. segmenti ostvarili. </w:t>
            </w:r>
          </w:p>
          <w:p w14:paraId="751ED492" w14:textId="77777777" w:rsidR="00734AC9" w:rsidRPr="00DF4CE5" w:rsidRDefault="00734AC9"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Govor mora biti u trajanju od 10 minuta i na zadanu temu.</w:t>
            </w:r>
          </w:p>
          <w:p w14:paraId="3ACDEBD6" w14:textId="77777777" w:rsidR="00734AC9" w:rsidRPr="00DF4CE5" w:rsidRDefault="00734AC9"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Na kraju semestra piše se pismeni ispit (završni ispit) na kojem se provjerava teorijsko znanje, a održan govor i obavljeni zadatci predstavljaju primjenu teorijskoga znanja. </w:t>
            </w:r>
          </w:p>
          <w:p w14:paraId="08DD41E5" w14:textId="77777777" w:rsidR="00734AC9" w:rsidRPr="00DF4CE5" w:rsidRDefault="00734AC9"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Ispitu se može pristupiti nakon obavljenih svih zadataka i održanog govora. </w:t>
            </w:r>
          </w:p>
          <w:p w14:paraId="2B3596CE" w14:textId="77777777" w:rsidR="00734AC9" w:rsidRPr="00DF4CE5" w:rsidRDefault="00734AC9"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Tijekom nastave studentima se daju upute na što moraju obratiti posebnu pozornost radi što uspješnijeg svladavanja gradiva i ostvarenja što bolje ukupne ocjene.</w:t>
            </w:r>
          </w:p>
          <w:p w14:paraId="5AFEC0FD" w14:textId="79F60F47" w:rsidR="00734AC9" w:rsidRPr="00DF4CE5" w:rsidRDefault="00734AC9"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Posebno se vrednuje zainteresiranost studenata za </w:t>
            </w:r>
            <w:proofErr w:type="spellStart"/>
            <w:r w:rsidRPr="00DF4CE5">
              <w:rPr>
                <w:rFonts w:ascii="Cambria" w:eastAsia="Times New Roman" w:hAnsi="Cambria" w:cs="Calibri"/>
                <w:lang w:val="hr-HR"/>
              </w:rPr>
              <w:t>izvanučionične</w:t>
            </w:r>
            <w:proofErr w:type="spellEnd"/>
            <w:r w:rsidRPr="00DF4CE5">
              <w:rPr>
                <w:rFonts w:ascii="Cambria" w:eastAsia="Times New Roman" w:hAnsi="Cambria" w:cs="Calibri"/>
                <w:lang w:val="hr-HR"/>
              </w:rPr>
              <w:t xml:space="preserve"> aktivnosti, kao što je sudjelovanje na večeri poezije. U tom se slučaju dobiva </w:t>
            </w:r>
            <w:proofErr w:type="spellStart"/>
            <w:r w:rsidRPr="00DF4CE5">
              <w:rPr>
                <w:rFonts w:ascii="Cambria" w:eastAsia="Times New Roman" w:hAnsi="Cambria" w:cs="Calibri"/>
                <w:lang w:val="hr-HR"/>
              </w:rPr>
              <w:t>max</w:t>
            </w:r>
            <w:proofErr w:type="spellEnd"/>
            <w:r w:rsidRPr="00DF4CE5">
              <w:rPr>
                <w:rFonts w:ascii="Cambria" w:eastAsia="Times New Roman" w:hAnsi="Cambria" w:cs="Calibri"/>
                <w:lang w:val="hr-HR"/>
              </w:rPr>
              <w:t>. 20% za prvi segment obveza. Kreativnost u obradi teme i prezentaciji posebno se potiče i preporučuje.</w:t>
            </w:r>
          </w:p>
          <w:p w14:paraId="7A3E8E89" w14:textId="77777777" w:rsidR="00734AC9" w:rsidRPr="00DF4CE5" w:rsidRDefault="00734AC9" w:rsidP="008B34AF">
            <w:pPr>
              <w:spacing w:after="0" w:line="240" w:lineRule="auto"/>
              <w:jc w:val="both"/>
              <w:rPr>
                <w:rFonts w:ascii="Cambria" w:eastAsia="Times New Roman" w:hAnsi="Cambria" w:cs="Calibri"/>
                <w:bCs/>
                <w:lang w:val="hr-HR"/>
              </w:rPr>
            </w:pPr>
            <w:r w:rsidRPr="00F33CC6">
              <w:rPr>
                <w:rFonts w:ascii="Cambria" w:eastAsia="Times New Roman" w:hAnsi="Cambria" w:cs="Calibri"/>
                <w:bCs/>
                <w:lang w:val="pl-PL"/>
              </w:rPr>
              <w:t>Sudjelovanje u nastavi</w:t>
            </w:r>
            <w:r w:rsidRPr="00F33CC6">
              <w:rPr>
                <w:rFonts w:ascii="Cambria" w:eastAsia="Times New Roman" w:hAnsi="Cambria" w:cs="Calibri"/>
                <w:bCs/>
                <w:lang w:val="hr-HR"/>
              </w:rPr>
              <w:t xml:space="preserve">; </w:t>
            </w:r>
            <w:r w:rsidRPr="00F33CC6">
              <w:rPr>
                <w:rFonts w:ascii="Cambria" w:eastAsia="Times New Roman" w:hAnsi="Cambria" w:cs="Calibri"/>
                <w:bCs/>
                <w:lang w:val="pl-PL"/>
              </w:rPr>
              <w:t>vje</w:t>
            </w:r>
            <w:r w:rsidRPr="00F33CC6">
              <w:rPr>
                <w:rFonts w:ascii="Cambria" w:eastAsia="Times New Roman" w:hAnsi="Cambria" w:cs="Calibri"/>
                <w:bCs/>
                <w:lang w:val="hr-HR"/>
              </w:rPr>
              <w:t>ž</w:t>
            </w:r>
            <w:r w:rsidRPr="00F33CC6">
              <w:rPr>
                <w:rFonts w:ascii="Cambria" w:eastAsia="Times New Roman" w:hAnsi="Cambria" w:cs="Calibri"/>
                <w:bCs/>
                <w:lang w:val="pl-PL"/>
              </w:rPr>
              <w:t xml:space="preserve">be </w:t>
            </w:r>
            <w:r w:rsidRPr="00DF4CE5">
              <w:rPr>
                <w:rFonts w:ascii="Cambria" w:eastAsia="Times New Roman" w:hAnsi="Cambria" w:cs="Calibri"/>
                <w:bCs/>
                <w:lang w:val="pl-PL"/>
              </w:rPr>
              <w:t>ocjenjuje se na sljede</w:t>
            </w:r>
            <w:r w:rsidRPr="00DF4CE5">
              <w:rPr>
                <w:rFonts w:ascii="Cambria" w:eastAsia="Times New Roman" w:hAnsi="Cambria" w:cs="Calibri"/>
                <w:bCs/>
                <w:lang w:val="hr-HR"/>
              </w:rPr>
              <w:t>ć</w:t>
            </w:r>
            <w:r w:rsidRPr="00DF4CE5">
              <w:rPr>
                <w:rFonts w:ascii="Cambria" w:eastAsia="Times New Roman" w:hAnsi="Cambria" w:cs="Calibri"/>
                <w:bCs/>
                <w:lang w:val="pl-PL"/>
              </w:rPr>
              <w:t>i na</w:t>
            </w:r>
            <w:r w:rsidRPr="00DF4CE5">
              <w:rPr>
                <w:rFonts w:ascii="Cambria" w:eastAsia="Times New Roman" w:hAnsi="Cambria" w:cs="Calibri"/>
                <w:bCs/>
                <w:lang w:val="hr-HR"/>
              </w:rPr>
              <w:t>č</w:t>
            </w:r>
            <w:r w:rsidRPr="00DF4CE5">
              <w:rPr>
                <w:rFonts w:ascii="Cambria" w:eastAsia="Times New Roman" w:hAnsi="Cambria" w:cs="Calibri"/>
                <w:bCs/>
                <w:lang w:val="pl-PL"/>
              </w:rPr>
              <w:t>in</w:t>
            </w:r>
            <w:r w:rsidRPr="00DF4CE5">
              <w:rPr>
                <w:rFonts w:ascii="Cambria" w:eastAsia="Times New Roman" w:hAnsi="Cambria" w:cs="Calibri"/>
                <w:bCs/>
                <w:lang w:val="hr-HR"/>
              </w:rPr>
              <w:t>:</w:t>
            </w:r>
          </w:p>
          <w:p w14:paraId="4CEF1BCC" w14:textId="77777777" w:rsidR="00734AC9" w:rsidRPr="00DF4CE5" w:rsidRDefault="00734AC9" w:rsidP="008B34AF">
            <w:pPr>
              <w:spacing w:after="0" w:line="240" w:lineRule="auto"/>
              <w:jc w:val="both"/>
              <w:rPr>
                <w:rFonts w:ascii="Cambria" w:eastAsia="Times New Roman" w:hAnsi="Cambria" w:cs="Calibri"/>
                <w:bCs/>
                <w:lang w:val="hr-HR"/>
              </w:rPr>
            </w:pPr>
            <w:r w:rsidRPr="00DF4CE5">
              <w:rPr>
                <w:rFonts w:ascii="Cambria" w:eastAsia="Times New Roman" w:hAnsi="Cambria" w:cs="Calibri"/>
                <w:bCs/>
                <w:lang w:val="hr-HR"/>
              </w:rPr>
              <w:t xml:space="preserve">0% = </w:t>
            </w:r>
            <w:r w:rsidRPr="00DF4CE5">
              <w:rPr>
                <w:rFonts w:ascii="Cambria" w:eastAsia="Times New Roman" w:hAnsi="Cambria" w:cs="Calibri"/>
                <w:bCs/>
                <w:lang w:val="pl-PL"/>
              </w:rPr>
              <w:t>Nedolazi na nastavu</w:t>
            </w:r>
            <w:r w:rsidRPr="00DF4CE5">
              <w:rPr>
                <w:rFonts w:ascii="Cambria" w:eastAsia="Times New Roman" w:hAnsi="Cambria" w:cs="Calibri"/>
                <w:bCs/>
                <w:lang w:val="hr-HR"/>
              </w:rPr>
              <w:t>.</w:t>
            </w:r>
          </w:p>
          <w:p w14:paraId="0C0A4F08" w14:textId="77777777" w:rsidR="00734AC9" w:rsidRPr="00DF4CE5" w:rsidRDefault="00734AC9" w:rsidP="008B34AF">
            <w:pPr>
              <w:spacing w:after="0" w:line="240" w:lineRule="auto"/>
              <w:jc w:val="both"/>
              <w:rPr>
                <w:rFonts w:ascii="Cambria" w:eastAsia="Times New Roman" w:hAnsi="Cambria" w:cs="Calibri"/>
                <w:bCs/>
                <w:lang w:val="hr-HR"/>
              </w:rPr>
            </w:pPr>
            <w:r w:rsidRPr="00DF4CE5">
              <w:rPr>
                <w:rFonts w:ascii="Cambria" w:eastAsia="Times New Roman" w:hAnsi="Cambria" w:cs="Calibri"/>
                <w:bCs/>
                <w:lang w:val="hr-HR"/>
              </w:rPr>
              <w:t>4% = Prisustvuje, ali ne sudjeluje u radu. Zadatke ne ispunjava.</w:t>
            </w:r>
          </w:p>
          <w:p w14:paraId="0286AB4B" w14:textId="77777777" w:rsidR="00734AC9" w:rsidRPr="00DF4CE5" w:rsidRDefault="00734AC9" w:rsidP="008B34AF">
            <w:pPr>
              <w:spacing w:after="0" w:line="240" w:lineRule="auto"/>
              <w:jc w:val="both"/>
              <w:rPr>
                <w:rFonts w:ascii="Cambria" w:eastAsia="Times New Roman" w:hAnsi="Cambria" w:cs="Calibri"/>
                <w:bCs/>
                <w:lang w:val="hr-HR"/>
              </w:rPr>
            </w:pPr>
            <w:r w:rsidRPr="00DF4CE5">
              <w:rPr>
                <w:rFonts w:ascii="Cambria" w:eastAsia="Times New Roman" w:hAnsi="Cambria" w:cs="Calibri"/>
                <w:bCs/>
                <w:lang w:val="hr-HR"/>
              </w:rPr>
              <w:t>8% = P</w:t>
            </w:r>
            <w:r w:rsidRPr="00DF4CE5">
              <w:rPr>
                <w:rFonts w:ascii="Cambria" w:eastAsia="Times New Roman" w:hAnsi="Cambria" w:cs="Calibri"/>
                <w:bCs/>
                <w:lang w:val="pl-PL"/>
              </w:rPr>
              <w:t>ripremljen</w:t>
            </w:r>
            <w:r w:rsidRPr="00DF4CE5">
              <w:rPr>
                <w:rFonts w:ascii="Cambria" w:eastAsia="Times New Roman" w:hAnsi="Cambria" w:cs="Calibri"/>
                <w:bCs/>
                <w:lang w:val="hr-HR"/>
              </w:rPr>
              <w:t>/-</w:t>
            </w:r>
            <w:r w:rsidRPr="00DF4CE5">
              <w:rPr>
                <w:rFonts w:ascii="Cambria" w:eastAsia="Times New Roman" w:hAnsi="Cambria" w:cs="Calibri"/>
                <w:bCs/>
                <w:lang w:val="pl-PL"/>
              </w:rPr>
              <w:t>naje</w:t>
            </w:r>
            <w:r w:rsidRPr="00DF4CE5">
              <w:rPr>
                <w:rFonts w:ascii="Cambria" w:eastAsia="Times New Roman" w:hAnsi="Cambria" w:cs="Calibri"/>
                <w:bCs/>
                <w:lang w:val="hr-HR"/>
              </w:rPr>
              <w:t xml:space="preserve">, ali </w:t>
            </w:r>
            <w:r w:rsidRPr="00DF4CE5">
              <w:rPr>
                <w:rFonts w:ascii="Cambria" w:eastAsia="Times New Roman" w:hAnsi="Cambria" w:cs="Calibri"/>
                <w:bCs/>
                <w:lang w:val="pl-PL"/>
              </w:rPr>
              <w:t>pripremajenepotpuna</w:t>
            </w:r>
            <w:r w:rsidRPr="00DF4CE5">
              <w:rPr>
                <w:rFonts w:ascii="Cambria" w:eastAsia="Times New Roman" w:hAnsi="Cambria" w:cs="Calibri"/>
                <w:bCs/>
                <w:lang w:val="pl-PL"/>
              </w:rPr>
              <w:sym w:font="Symbol" w:char="F02D"/>
            </w:r>
            <w:r w:rsidRPr="00DF4CE5">
              <w:rPr>
                <w:rFonts w:ascii="Cambria" w:eastAsia="Times New Roman" w:hAnsi="Cambria" w:cs="Calibri"/>
                <w:bCs/>
                <w:lang w:val="pl-PL"/>
              </w:rPr>
              <w:t>uzve</w:t>
            </w:r>
            <w:r w:rsidRPr="00DF4CE5">
              <w:rPr>
                <w:rFonts w:ascii="Cambria" w:eastAsia="Times New Roman" w:hAnsi="Cambria" w:cs="Calibri"/>
                <w:bCs/>
                <w:lang w:val="hr-HR"/>
              </w:rPr>
              <w:t>ć</w:t>
            </w:r>
            <w:r w:rsidRPr="00DF4CE5">
              <w:rPr>
                <w:rFonts w:ascii="Cambria" w:eastAsia="Times New Roman" w:hAnsi="Cambria" w:cs="Calibri"/>
                <w:bCs/>
                <w:lang w:val="pl-PL"/>
              </w:rPr>
              <w:t>enedostatke</w:t>
            </w:r>
            <w:r w:rsidRPr="00DF4CE5">
              <w:rPr>
                <w:rFonts w:ascii="Cambria" w:eastAsia="Times New Roman" w:hAnsi="Cambria" w:cs="Calibri"/>
                <w:bCs/>
                <w:lang w:val="hr-HR"/>
              </w:rPr>
              <w:t xml:space="preserve"> (redovito </w:t>
            </w:r>
            <w:r w:rsidRPr="00DF4CE5">
              <w:rPr>
                <w:rFonts w:ascii="Cambria" w:eastAsia="Times New Roman" w:hAnsi="Cambria" w:cs="Calibri"/>
                <w:bCs/>
                <w:lang w:val="pl-PL"/>
              </w:rPr>
              <w:t>spogre</w:t>
            </w:r>
            <w:r w:rsidRPr="00DF4CE5">
              <w:rPr>
                <w:rFonts w:ascii="Cambria" w:eastAsia="Times New Roman" w:hAnsi="Cambria" w:cs="Calibri"/>
                <w:bCs/>
                <w:lang w:val="hr-HR"/>
              </w:rPr>
              <w:t>š</w:t>
            </w:r>
            <w:r w:rsidRPr="00DF4CE5">
              <w:rPr>
                <w:rFonts w:ascii="Cambria" w:eastAsia="Times New Roman" w:hAnsi="Cambria" w:cs="Calibri"/>
                <w:bCs/>
                <w:lang w:val="pl-PL"/>
              </w:rPr>
              <w:t>kama</w:t>
            </w:r>
            <w:r w:rsidRPr="00DF4CE5">
              <w:rPr>
                <w:rFonts w:ascii="Cambria" w:eastAsia="Times New Roman" w:hAnsi="Cambria" w:cs="Calibri"/>
                <w:bCs/>
                <w:lang w:val="hr-HR"/>
              </w:rPr>
              <w:t>)</w:t>
            </w:r>
          </w:p>
          <w:p w14:paraId="0366175E" w14:textId="77777777" w:rsidR="00734AC9" w:rsidRPr="00DF4CE5" w:rsidRDefault="00734AC9" w:rsidP="008B34AF">
            <w:pPr>
              <w:spacing w:after="0" w:line="240" w:lineRule="auto"/>
              <w:jc w:val="both"/>
              <w:rPr>
                <w:rFonts w:ascii="Cambria" w:eastAsia="Times New Roman" w:hAnsi="Cambria" w:cs="Calibri"/>
                <w:bCs/>
                <w:lang w:val="hr-HR"/>
              </w:rPr>
            </w:pPr>
            <w:r w:rsidRPr="00DF4CE5">
              <w:rPr>
                <w:rFonts w:ascii="Cambria" w:eastAsia="Times New Roman" w:hAnsi="Cambria" w:cs="Calibri"/>
                <w:bCs/>
                <w:lang w:val="hr-HR"/>
              </w:rPr>
              <w:t>12% = P</w:t>
            </w:r>
            <w:r w:rsidRPr="00DF4CE5">
              <w:rPr>
                <w:rFonts w:ascii="Cambria" w:eastAsia="Times New Roman" w:hAnsi="Cambria" w:cs="Calibri"/>
                <w:bCs/>
                <w:lang w:val="pl-PL"/>
              </w:rPr>
              <w:t>ripremljen</w:t>
            </w:r>
            <w:r w:rsidRPr="00DF4CE5">
              <w:rPr>
                <w:rFonts w:ascii="Cambria" w:eastAsia="Times New Roman" w:hAnsi="Cambria" w:cs="Calibri"/>
                <w:bCs/>
                <w:lang w:val="hr-HR"/>
              </w:rPr>
              <w:t>/-</w:t>
            </w:r>
            <w:r w:rsidRPr="00DF4CE5">
              <w:rPr>
                <w:rFonts w:ascii="Cambria" w:eastAsia="Times New Roman" w:hAnsi="Cambria" w:cs="Calibri"/>
                <w:bCs/>
                <w:lang w:val="pl-PL"/>
              </w:rPr>
              <w:t>naje</w:t>
            </w:r>
            <w:r w:rsidRPr="00DF4CE5">
              <w:rPr>
                <w:rFonts w:ascii="Cambria" w:eastAsia="Times New Roman" w:hAnsi="Cambria" w:cs="Calibri"/>
                <w:bCs/>
                <w:lang w:val="hr-HR"/>
              </w:rPr>
              <w:t xml:space="preserve">, ali </w:t>
            </w:r>
            <w:r w:rsidRPr="00DF4CE5">
              <w:rPr>
                <w:rFonts w:ascii="Cambria" w:eastAsia="Times New Roman" w:hAnsi="Cambria" w:cs="Calibri"/>
                <w:bCs/>
                <w:lang w:val="pl-PL"/>
              </w:rPr>
              <w:t>pripremajenepotpuna</w:t>
            </w:r>
            <w:r w:rsidRPr="00DF4CE5">
              <w:rPr>
                <w:rFonts w:ascii="Cambria" w:eastAsia="Times New Roman" w:hAnsi="Cambria" w:cs="Calibri"/>
                <w:bCs/>
                <w:lang w:val="pl-PL"/>
              </w:rPr>
              <w:sym w:font="Symbol" w:char="F02D"/>
            </w:r>
            <w:r w:rsidRPr="00DF4CE5">
              <w:rPr>
                <w:rFonts w:ascii="Cambria" w:eastAsia="Times New Roman" w:hAnsi="Cambria" w:cs="Calibri"/>
                <w:bCs/>
                <w:lang w:val="pl-PL"/>
              </w:rPr>
              <w:t>uzmanjenedostatke</w:t>
            </w:r>
            <w:r w:rsidRPr="00DF4CE5">
              <w:rPr>
                <w:rFonts w:ascii="Cambria" w:eastAsia="Times New Roman" w:hAnsi="Cambria" w:cs="Calibri"/>
                <w:bCs/>
                <w:lang w:val="hr-HR"/>
              </w:rPr>
              <w:t xml:space="preserve"> (zadatci i vježbe su </w:t>
            </w:r>
            <w:r w:rsidRPr="00DF4CE5">
              <w:rPr>
                <w:rFonts w:ascii="Cambria" w:eastAsia="Times New Roman" w:hAnsi="Cambria" w:cs="Calibri"/>
                <w:bCs/>
                <w:lang w:val="pl-PL"/>
              </w:rPr>
              <w:t>s</w:t>
            </w:r>
            <w:r w:rsidRPr="00DF4CE5">
              <w:rPr>
                <w:rFonts w:ascii="Cambria" w:eastAsia="Times New Roman" w:hAnsi="Cambria" w:cs="Calibri"/>
                <w:bCs/>
                <w:lang w:val="hr-HR"/>
              </w:rPr>
              <w:t xml:space="preserve"> tek ponekim </w:t>
            </w:r>
            <w:r w:rsidRPr="00DF4CE5">
              <w:rPr>
                <w:rFonts w:ascii="Cambria" w:eastAsia="Times New Roman" w:hAnsi="Cambria" w:cs="Calibri"/>
                <w:bCs/>
                <w:lang w:val="pl-PL"/>
              </w:rPr>
              <w:t>pogre</w:t>
            </w:r>
            <w:r w:rsidRPr="00DF4CE5">
              <w:rPr>
                <w:rFonts w:ascii="Cambria" w:eastAsia="Times New Roman" w:hAnsi="Cambria" w:cs="Calibri"/>
                <w:bCs/>
                <w:lang w:val="hr-HR"/>
              </w:rPr>
              <w:t>š</w:t>
            </w:r>
            <w:r w:rsidRPr="00DF4CE5">
              <w:rPr>
                <w:rFonts w:ascii="Cambria" w:eastAsia="Times New Roman" w:hAnsi="Cambria" w:cs="Calibri"/>
                <w:bCs/>
                <w:lang w:val="pl-PL"/>
              </w:rPr>
              <w:t>kama</w:t>
            </w:r>
            <w:r w:rsidRPr="00DF4CE5">
              <w:rPr>
                <w:rFonts w:ascii="Cambria" w:eastAsia="Times New Roman" w:hAnsi="Cambria" w:cs="Calibri"/>
                <w:bCs/>
                <w:lang w:val="hr-HR"/>
              </w:rPr>
              <w:t xml:space="preserve">,). </w:t>
            </w:r>
          </w:p>
          <w:p w14:paraId="7E9B30B0" w14:textId="77777777" w:rsidR="00734AC9" w:rsidRPr="00DF4CE5" w:rsidRDefault="00734AC9" w:rsidP="008B34AF">
            <w:pPr>
              <w:spacing w:after="0" w:line="240" w:lineRule="auto"/>
              <w:jc w:val="both"/>
              <w:rPr>
                <w:rFonts w:ascii="Cambria" w:eastAsia="Times New Roman" w:hAnsi="Cambria" w:cs="Calibri"/>
                <w:bCs/>
                <w:lang w:val="pl-PL"/>
              </w:rPr>
            </w:pPr>
            <w:r w:rsidRPr="00DF4CE5">
              <w:rPr>
                <w:rFonts w:ascii="Cambria" w:eastAsia="Times New Roman" w:hAnsi="Cambria" w:cs="Calibri"/>
                <w:bCs/>
                <w:lang w:val="hr-HR"/>
              </w:rPr>
              <w:t>16</w:t>
            </w:r>
            <w:r w:rsidRPr="00DF4CE5">
              <w:rPr>
                <w:rFonts w:ascii="Cambria" w:eastAsia="Times New Roman" w:hAnsi="Cambria" w:cs="Calibri"/>
                <w:bCs/>
                <w:lang w:val="pl-PL"/>
              </w:rPr>
              <w:t>% = Redovito je pripremljen/-na, priprema je korektna, dobrovoljno sudjeluje u nastavnome procesu.</w:t>
            </w:r>
          </w:p>
          <w:p w14:paraId="22A7C1F9" w14:textId="77777777" w:rsidR="00734AC9" w:rsidRPr="00DF4CE5" w:rsidRDefault="00734AC9" w:rsidP="008B34AF">
            <w:pPr>
              <w:spacing w:after="0" w:line="240" w:lineRule="auto"/>
              <w:jc w:val="both"/>
              <w:rPr>
                <w:rFonts w:ascii="Cambria" w:eastAsia="Times New Roman" w:hAnsi="Cambria" w:cs="Calibri"/>
                <w:bCs/>
                <w:lang w:val="pl-PL"/>
              </w:rPr>
            </w:pPr>
            <w:r w:rsidRPr="00DF4CE5">
              <w:rPr>
                <w:rFonts w:ascii="Cambria" w:eastAsia="Times New Roman" w:hAnsi="Cambria" w:cs="Calibri"/>
                <w:bCs/>
                <w:lang w:val="pl-PL"/>
              </w:rPr>
              <w:t>20% = Student/studentica pokazuje visok stupanj zainteresiranosti za kolegij, uvijek je pripremljen/-na;  postavlja pitanja i problematizira sadržaje.</w:t>
            </w:r>
          </w:p>
          <w:p w14:paraId="18C92355" w14:textId="77777777" w:rsidR="00734AC9" w:rsidRPr="00DF4CE5" w:rsidRDefault="00734AC9" w:rsidP="008B34AF">
            <w:pPr>
              <w:spacing w:after="0" w:line="240" w:lineRule="auto"/>
              <w:jc w:val="both"/>
              <w:rPr>
                <w:rFonts w:ascii="Cambria" w:eastAsia="Times New Roman" w:hAnsi="Cambria" w:cs="Calibri"/>
                <w:lang w:val="hr-HR"/>
              </w:rPr>
            </w:pPr>
            <w:r w:rsidRPr="00F33CC6">
              <w:rPr>
                <w:rFonts w:ascii="Cambria" w:eastAsia="Times New Roman" w:hAnsi="Cambria" w:cs="Calibri"/>
                <w:bCs/>
                <w:lang w:val="hr-HR"/>
              </w:rPr>
              <w:t xml:space="preserve">Govor </w:t>
            </w:r>
            <w:r w:rsidRPr="00DF4CE5">
              <w:rPr>
                <w:rFonts w:ascii="Cambria" w:eastAsia="Times New Roman" w:hAnsi="Cambria" w:cs="Calibri"/>
                <w:bCs/>
                <w:lang w:val="hr-HR"/>
              </w:rPr>
              <w:t xml:space="preserve"> se</w:t>
            </w:r>
            <w:r w:rsidRPr="00DF4CE5">
              <w:rPr>
                <w:rFonts w:ascii="Cambria" w:eastAsia="Times New Roman" w:hAnsi="Cambria" w:cs="Calibri"/>
                <w:lang w:val="hr-HR"/>
              </w:rPr>
              <w:t xml:space="preserve"> ocjenjuje ovako:</w:t>
            </w:r>
          </w:p>
          <w:p w14:paraId="775D3E5B" w14:textId="77777777" w:rsidR="00734AC9" w:rsidRPr="00DF4CE5" w:rsidRDefault="00734AC9"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0%</w:t>
            </w:r>
            <w:r w:rsidRPr="00DF4CE5">
              <w:rPr>
                <w:rFonts w:ascii="Cambria" w:eastAsia="Times New Roman" w:hAnsi="Cambria" w:cs="Calibri"/>
                <w:lang w:val="hr-HR"/>
              </w:rPr>
              <w:tab/>
              <w:t>= Govor nije izrečen.</w:t>
            </w:r>
          </w:p>
          <w:p w14:paraId="4F2E1807" w14:textId="4EF11BD5" w:rsidR="00734AC9" w:rsidRPr="00DF4CE5" w:rsidRDefault="00734AC9"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lastRenderedPageBreak/>
              <w:t xml:space="preserve">10% </w:t>
            </w:r>
            <w:r w:rsidRPr="00DF4CE5">
              <w:rPr>
                <w:rFonts w:ascii="Cambria" w:eastAsia="Times New Roman" w:hAnsi="Cambria" w:cs="Calibri"/>
                <w:lang w:val="hr-HR"/>
              </w:rPr>
              <w:tab/>
              <w:t>=</w:t>
            </w:r>
            <w:r w:rsidR="00F33CC6">
              <w:rPr>
                <w:rFonts w:ascii="Cambria" w:eastAsia="Times New Roman" w:hAnsi="Cambria" w:cs="Calibri"/>
                <w:lang w:val="hr-HR"/>
              </w:rPr>
              <w:t xml:space="preserve"> </w:t>
            </w:r>
            <w:r w:rsidRPr="00DF4CE5">
              <w:rPr>
                <w:rFonts w:ascii="Cambria" w:eastAsia="Times New Roman" w:hAnsi="Cambria" w:cs="Calibri"/>
                <w:lang w:val="hr-HR"/>
              </w:rPr>
              <w:t xml:space="preserve"> Govor je održan, ali sadrži premalo informacija o temi: ili nisu dostatno obrađene, ili su pogrešne, ili nije poštivana retorička shema, vrijeme. Neangažiranost govornika.</w:t>
            </w:r>
          </w:p>
          <w:p w14:paraId="365C9ED5" w14:textId="5B25A9D4" w:rsidR="00734AC9" w:rsidRPr="00DF4CE5" w:rsidRDefault="00734AC9"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20%</w:t>
            </w:r>
            <w:r w:rsidRPr="00DF4CE5">
              <w:rPr>
                <w:rFonts w:ascii="Cambria" w:eastAsia="Times New Roman" w:hAnsi="Cambria" w:cs="Calibri"/>
                <w:lang w:val="hr-HR"/>
              </w:rPr>
              <w:tab/>
              <w:t xml:space="preserve">= </w:t>
            </w:r>
            <w:r w:rsidR="00F33CC6">
              <w:rPr>
                <w:rFonts w:ascii="Cambria" w:eastAsia="Times New Roman" w:hAnsi="Cambria" w:cs="Calibri"/>
                <w:lang w:val="hr-HR"/>
              </w:rPr>
              <w:t xml:space="preserve"> </w:t>
            </w:r>
            <w:r w:rsidRPr="00DF4CE5">
              <w:rPr>
                <w:rFonts w:ascii="Cambria" w:eastAsia="Times New Roman" w:hAnsi="Cambria" w:cs="Calibri"/>
                <w:lang w:val="hr-HR"/>
              </w:rPr>
              <w:t xml:space="preserve">Govor sadrži potrebne informacije o temi, ali uočeni su nedostatci u formalnome oblikovanju rada te veći nedostatci u sadržajnome oblikovanju (posebice se to odnosi na učestale pravogovorne i gramatičke pogreške koje se ne tiču slučajnih pogrešaka u govoru). Govor se čita, a ne govori. </w:t>
            </w:r>
          </w:p>
          <w:p w14:paraId="1A462680" w14:textId="77777777" w:rsidR="00734AC9" w:rsidRPr="00DF4CE5" w:rsidRDefault="00734AC9"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30% </w:t>
            </w:r>
            <w:r w:rsidRPr="00DF4CE5">
              <w:rPr>
                <w:rFonts w:ascii="Cambria" w:eastAsia="Times New Roman" w:hAnsi="Cambria" w:cs="Calibri"/>
                <w:lang w:val="hr-HR"/>
              </w:rPr>
              <w:tab/>
              <w:t>= Govor sadrži potrebne informacije o temi, ali uočeni su manji nedostatci u sadržajnome oblikovanju, nedovoljno se poštuje ortoepska norma ili je uočeno neko odstupanje. Više čita nego govori, ne poštuje govorno vrijeme (prekratak ili predug). Nedovoljna zainteresiranost za temu.</w:t>
            </w:r>
          </w:p>
          <w:p w14:paraId="103FBD2B" w14:textId="04F2369C" w:rsidR="00734AC9" w:rsidRPr="00DF4CE5" w:rsidRDefault="00734AC9"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40% </w:t>
            </w:r>
            <w:r w:rsidRPr="00DF4CE5">
              <w:rPr>
                <w:rFonts w:ascii="Cambria" w:eastAsia="Times New Roman" w:hAnsi="Cambria" w:cs="Calibri"/>
                <w:lang w:val="hr-HR"/>
              </w:rPr>
              <w:tab/>
              <w:t xml:space="preserve">= </w:t>
            </w:r>
            <w:r w:rsidR="00F33CC6">
              <w:rPr>
                <w:rFonts w:ascii="Cambria" w:eastAsia="Times New Roman" w:hAnsi="Cambria" w:cs="Calibri"/>
                <w:lang w:val="hr-HR"/>
              </w:rPr>
              <w:t xml:space="preserve"> </w:t>
            </w:r>
            <w:r w:rsidRPr="00DF4CE5">
              <w:rPr>
                <w:rFonts w:ascii="Cambria" w:eastAsia="Times New Roman" w:hAnsi="Cambria" w:cs="Calibri"/>
                <w:lang w:val="hr-HR"/>
              </w:rPr>
              <w:t>Govor sadrži potrebne informacije i dobro je analizirana tema, ali nedostaje primjera. Nepotpun ili nedostatno obrađen govor, neko od prozodijskih sredstava se nedovoljno poštuje. Ne poštuje govorno vrijeme (prekratak ili predug). Govor je izgovoren uz pogledavanje bilježaka. Zainteresiranost za temu.</w:t>
            </w:r>
          </w:p>
          <w:p w14:paraId="7848C4BA" w14:textId="77777777" w:rsidR="00734AC9" w:rsidRPr="00DF4CE5" w:rsidRDefault="00734AC9"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50%  = Govor sadrži potpune informacije, primjeri i citati su potkrijepljeni izvorima. Govor u potpunosti poštuje retoričku shemu. Govor čini skladnu cjelinu uz poštivanje ortoepske norme i zadanog vremena. Izgovoren, a ne čitan. Ne mora biti u potpunosti napamet, dopušta se služenje bilješkama. Zainteresiranost za temu.</w:t>
            </w:r>
          </w:p>
          <w:p w14:paraId="1AB016EC" w14:textId="278719B7" w:rsidR="00734AC9" w:rsidRPr="00DF4CE5" w:rsidRDefault="00734AC9" w:rsidP="008B34AF">
            <w:pPr>
              <w:spacing w:after="0" w:line="240" w:lineRule="auto"/>
              <w:jc w:val="both"/>
              <w:rPr>
                <w:rFonts w:ascii="Cambria" w:eastAsia="Times New Roman" w:hAnsi="Cambria" w:cs="Calibri"/>
                <w:lang w:val="hr-HR"/>
              </w:rPr>
            </w:pPr>
            <w:r w:rsidRPr="00F33CC6">
              <w:rPr>
                <w:rFonts w:ascii="Cambria" w:eastAsia="Times New Roman" w:hAnsi="Cambria" w:cs="Calibri"/>
                <w:bCs/>
                <w:lang w:val="hr-HR"/>
              </w:rPr>
              <w:t>Završni ispit</w:t>
            </w:r>
            <w:r w:rsidRPr="00DF4CE5">
              <w:rPr>
                <w:rFonts w:ascii="Cambria" w:eastAsia="Times New Roman" w:hAnsi="Cambria" w:cs="Calibri"/>
                <w:lang w:val="hr-HR"/>
              </w:rPr>
              <w:t xml:space="preserve"> </w:t>
            </w:r>
            <w:r w:rsidR="00F33CC6">
              <w:rPr>
                <w:rFonts w:ascii="Cambria" w:eastAsia="Times New Roman" w:hAnsi="Cambria" w:cs="Calibri"/>
                <w:lang w:val="hr-HR"/>
              </w:rPr>
              <w:t>-</w:t>
            </w:r>
            <w:r w:rsidRPr="00DF4CE5">
              <w:rPr>
                <w:rFonts w:ascii="Cambria" w:eastAsia="Times New Roman" w:hAnsi="Cambria" w:cs="Calibri"/>
                <w:lang w:val="hr-HR"/>
              </w:rPr>
              <w:t xml:space="preserve"> Pismeni ispit sastoji se od pitanja vezanih za ispitnu literaturu:</w:t>
            </w:r>
          </w:p>
          <w:p w14:paraId="706C1F3E" w14:textId="3BCAA7E6" w:rsidR="00734AC9" w:rsidRPr="00DF4CE5" w:rsidRDefault="00734AC9"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ab/>
              <w:t xml:space="preserve">manje od 50% točnih odgovora     </w:t>
            </w:r>
            <w:r w:rsidR="00F33CC6">
              <w:rPr>
                <w:rFonts w:ascii="Cambria" w:eastAsia="Times New Roman" w:hAnsi="Cambria" w:cs="Calibri"/>
                <w:lang w:val="hr-HR"/>
              </w:rPr>
              <w:t xml:space="preserve">            </w:t>
            </w:r>
            <w:r w:rsidRPr="00DF4CE5">
              <w:rPr>
                <w:rFonts w:ascii="Cambria" w:eastAsia="Times New Roman" w:hAnsi="Cambria" w:cs="Calibri"/>
                <w:lang w:val="hr-HR"/>
              </w:rPr>
              <w:t xml:space="preserve">= </w:t>
            </w:r>
            <w:r w:rsidRPr="00DF4CE5">
              <w:rPr>
                <w:rFonts w:ascii="Cambria" w:eastAsia="Times New Roman" w:hAnsi="Cambria" w:cs="Calibri"/>
                <w:lang w:val="hr-HR"/>
              </w:rPr>
              <w:tab/>
              <w:t>0%</w:t>
            </w:r>
            <w:r w:rsidRPr="00DF4CE5">
              <w:rPr>
                <w:rFonts w:ascii="Cambria" w:eastAsia="Times New Roman" w:hAnsi="Cambria" w:cs="Calibri"/>
                <w:lang w:val="hr-HR"/>
              </w:rPr>
              <w:tab/>
              <w:t>ocjene</w:t>
            </w:r>
          </w:p>
          <w:p w14:paraId="7EF7809C" w14:textId="77777777" w:rsidR="00734AC9" w:rsidRPr="00DF4CE5" w:rsidRDefault="00734AC9"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ab/>
              <w:t>od 51% do 60%</w:t>
            </w:r>
            <w:r w:rsidRPr="00DF4CE5">
              <w:rPr>
                <w:rFonts w:ascii="Cambria" w:eastAsia="Times New Roman" w:hAnsi="Cambria" w:cs="Calibri"/>
                <w:lang w:val="hr-HR"/>
              </w:rPr>
              <w:tab/>
            </w:r>
            <w:r w:rsidRPr="00DF4CE5">
              <w:rPr>
                <w:rFonts w:ascii="Cambria" w:eastAsia="Times New Roman" w:hAnsi="Cambria" w:cs="Calibri"/>
                <w:lang w:val="hr-HR"/>
              </w:rPr>
              <w:tab/>
            </w:r>
            <w:r w:rsidRPr="00DF4CE5">
              <w:rPr>
                <w:rFonts w:ascii="Cambria" w:eastAsia="Times New Roman" w:hAnsi="Cambria" w:cs="Calibri"/>
                <w:lang w:val="hr-HR"/>
              </w:rPr>
              <w:tab/>
              <w:t xml:space="preserve">    =</w:t>
            </w:r>
            <w:r w:rsidRPr="00DF4CE5">
              <w:rPr>
                <w:rFonts w:ascii="Cambria" w:eastAsia="Times New Roman" w:hAnsi="Cambria" w:cs="Calibri"/>
                <w:lang w:val="hr-HR"/>
              </w:rPr>
              <w:tab/>
              <w:t>6%</w:t>
            </w:r>
            <w:r w:rsidRPr="00DF4CE5">
              <w:rPr>
                <w:rFonts w:ascii="Cambria" w:eastAsia="Times New Roman" w:hAnsi="Cambria" w:cs="Calibri"/>
                <w:lang w:val="hr-HR"/>
              </w:rPr>
              <w:tab/>
              <w:t>ocjene</w:t>
            </w:r>
          </w:p>
          <w:p w14:paraId="780DE0DF" w14:textId="77777777" w:rsidR="00734AC9" w:rsidRPr="00DF4CE5" w:rsidRDefault="00734AC9"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ab/>
              <w:t>od 61% do 70%</w:t>
            </w:r>
            <w:r w:rsidRPr="00DF4CE5">
              <w:rPr>
                <w:rFonts w:ascii="Cambria" w:eastAsia="Times New Roman" w:hAnsi="Cambria" w:cs="Calibri"/>
                <w:lang w:val="hr-HR"/>
              </w:rPr>
              <w:tab/>
            </w:r>
            <w:r w:rsidRPr="00DF4CE5">
              <w:rPr>
                <w:rFonts w:ascii="Cambria" w:eastAsia="Times New Roman" w:hAnsi="Cambria" w:cs="Calibri"/>
                <w:lang w:val="hr-HR"/>
              </w:rPr>
              <w:tab/>
            </w:r>
            <w:r w:rsidRPr="00DF4CE5">
              <w:rPr>
                <w:rFonts w:ascii="Cambria" w:eastAsia="Times New Roman" w:hAnsi="Cambria" w:cs="Calibri"/>
                <w:lang w:val="hr-HR"/>
              </w:rPr>
              <w:tab/>
              <w:t xml:space="preserve">    =</w:t>
            </w:r>
            <w:r w:rsidRPr="00DF4CE5">
              <w:rPr>
                <w:rFonts w:ascii="Cambria" w:eastAsia="Times New Roman" w:hAnsi="Cambria" w:cs="Calibri"/>
                <w:lang w:val="hr-HR"/>
              </w:rPr>
              <w:tab/>
              <w:t>12%</w:t>
            </w:r>
            <w:r w:rsidRPr="00DF4CE5">
              <w:rPr>
                <w:rFonts w:ascii="Cambria" w:eastAsia="Times New Roman" w:hAnsi="Cambria" w:cs="Calibri"/>
                <w:lang w:val="hr-HR"/>
              </w:rPr>
              <w:tab/>
              <w:t>ocjene</w:t>
            </w:r>
          </w:p>
          <w:p w14:paraId="4778C31F" w14:textId="77777777" w:rsidR="00734AC9" w:rsidRPr="00DF4CE5" w:rsidRDefault="00734AC9"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ab/>
              <w:t>od 71% do 80%</w:t>
            </w:r>
            <w:r w:rsidRPr="00DF4CE5">
              <w:rPr>
                <w:rFonts w:ascii="Cambria" w:eastAsia="Times New Roman" w:hAnsi="Cambria" w:cs="Calibri"/>
                <w:lang w:val="hr-HR"/>
              </w:rPr>
              <w:tab/>
            </w:r>
            <w:r w:rsidRPr="00DF4CE5">
              <w:rPr>
                <w:rFonts w:ascii="Cambria" w:eastAsia="Times New Roman" w:hAnsi="Cambria" w:cs="Calibri"/>
                <w:lang w:val="hr-HR"/>
              </w:rPr>
              <w:tab/>
            </w:r>
            <w:r w:rsidRPr="00DF4CE5">
              <w:rPr>
                <w:rFonts w:ascii="Cambria" w:eastAsia="Times New Roman" w:hAnsi="Cambria" w:cs="Calibri"/>
                <w:lang w:val="hr-HR"/>
              </w:rPr>
              <w:tab/>
              <w:t xml:space="preserve">    =</w:t>
            </w:r>
            <w:r w:rsidRPr="00DF4CE5">
              <w:rPr>
                <w:rFonts w:ascii="Cambria" w:eastAsia="Times New Roman" w:hAnsi="Cambria" w:cs="Calibri"/>
                <w:lang w:val="hr-HR"/>
              </w:rPr>
              <w:tab/>
              <w:t>18%</w:t>
            </w:r>
            <w:r w:rsidRPr="00DF4CE5">
              <w:rPr>
                <w:rFonts w:ascii="Cambria" w:eastAsia="Times New Roman" w:hAnsi="Cambria" w:cs="Calibri"/>
                <w:lang w:val="hr-HR"/>
              </w:rPr>
              <w:tab/>
              <w:t>ocjene</w:t>
            </w:r>
          </w:p>
          <w:p w14:paraId="7EE25CB1" w14:textId="77777777" w:rsidR="00734AC9" w:rsidRPr="00DF4CE5" w:rsidRDefault="00734AC9"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ab/>
              <w:t>od 81% do 90%</w:t>
            </w:r>
            <w:r w:rsidRPr="00DF4CE5">
              <w:rPr>
                <w:rFonts w:ascii="Cambria" w:eastAsia="Times New Roman" w:hAnsi="Cambria" w:cs="Calibri"/>
                <w:lang w:val="hr-HR"/>
              </w:rPr>
              <w:tab/>
            </w:r>
            <w:r w:rsidRPr="00DF4CE5">
              <w:rPr>
                <w:rFonts w:ascii="Cambria" w:eastAsia="Times New Roman" w:hAnsi="Cambria" w:cs="Calibri"/>
                <w:lang w:val="hr-HR"/>
              </w:rPr>
              <w:tab/>
            </w:r>
            <w:r w:rsidRPr="00DF4CE5">
              <w:rPr>
                <w:rFonts w:ascii="Cambria" w:eastAsia="Times New Roman" w:hAnsi="Cambria" w:cs="Calibri"/>
                <w:lang w:val="hr-HR"/>
              </w:rPr>
              <w:tab/>
              <w:t xml:space="preserve">    =</w:t>
            </w:r>
            <w:r w:rsidRPr="00DF4CE5">
              <w:rPr>
                <w:rFonts w:ascii="Cambria" w:eastAsia="Times New Roman" w:hAnsi="Cambria" w:cs="Calibri"/>
                <w:lang w:val="hr-HR"/>
              </w:rPr>
              <w:tab/>
              <w:t>24%</w:t>
            </w:r>
            <w:r w:rsidRPr="00DF4CE5">
              <w:rPr>
                <w:rFonts w:ascii="Cambria" w:eastAsia="Times New Roman" w:hAnsi="Cambria" w:cs="Calibri"/>
                <w:lang w:val="hr-HR"/>
              </w:rPr>
              <w:tab/>
              <w:t>ocjene</w:t>
            </w:r>
          </w:p>
          <w:p w14:paraId="4D0AE9BC" w14:textId="16D4654D" w:rsidR="00734AC9" w:rsidRPr="00DF4CE5" w:rsidRDefault="00734AC9"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ab/>
              <w:t>od 91% do 100%</w:t>
            </w:r>
            <w:r w:rsidRPr="00DF4CE5">
              <w:rPr>
                <w:rFonts w:ascii="Cambria" w:eastAsia="Times New Roman" w:hAnsi="Cambria" w:cs="Calibri"/>
                <w:lang w:val="hr-HR"/>
              </w:rPr>
              <w:tab/>
            </w:r>
            <w:r w:rsidRPr="00DF4CE5">
              <w:rPr>
                <w:rFonts w:ascii="Cambria" w:eastAsia="Times New Roman" w:hAnsi="Cambria" w:cs="Calibri"/>
                <w:lang w:val="hr-HR"/>
              </w:rPr>
              <w:tab/>
              <w:t xml:space="preserve">    </w:t>
            </w:r>
            <w:r w:rsidR="00F33CC6">
              <w:rPr>
                <w:rFonts w:ascii="Cambria" w:eastAsia="Times New Roman" w:hAnsi="Cambria" w:cs="Calibri"/>
                <w:lang w:val="hr-HR"/>
              </w:rPr>
              <w:t xml:space="preserve">               </w:t>
            </w:r>
            <w:r w:rsidRPr="00DF4CE5">
              <w:rPr>
                <w:rFonts w:ascii="Cambria" w:eastAsia="Times New Roman" w:hAnsi="Cambria" w:cs="Calibri"/>
                <w:lang w:val="hr-HR"/>
              </w:rPr>
              <w:t xml:space="preserve">= </w:t>
            </w:r>
            <w:r w:rsidRPr="00DF4CE5">
              <w:rPr>
                <w:rFonts w:ascii="Cambria" w:eastAsia="Times New Roman" w:hAnsi="Cambria" w:cs="Calibri"/>
                <w:lang w:val="hr-HR"/>
              </w:rPr>
              <w:tab/>
              <w:t xml:space="preserve">30% </w:t>
            </w:r>
            <w:r w:rsidRPr="00DF4CE5">
              <w:rPr>
                <w:rFonts w:ascii="Cambria" w:eastAsia="Times New Roman" w:hAnsi="Cambria" w:cs="Calibri"/>
                <w:lang w:val="hr-HR"/>
              </w:rPr>
              <w:tab/>
              <w:t>ocjene</w:t>
            </w:r>
          </w:p>
        </w:tc>
      </w:tr>
      <w:tr w:rsidR="00734AC9" w:rsidRPr="00DF4CE5" w14:paraId="6769F08B" w14:textId="77777777" w:rsidTr="005E1BA4">
        <w:tc>
          <w:tcPr>
            <w:tcW w:w="261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58C8BB1" w14:textId="77777777" w:rsidR="00734AC9" w:rsidRPr="00DF4CE5" w:rsidRDefault="00734AC9"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lastRenderedPageBreak/>
              <w:t>Studentske obveze</w:t>
            </w:r>
          </w:p>
        </w:tc>
        <w:tc>
          <w:tcPr>
            <w:tcW w:w="715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BD7EC2E" w14:textId="77777777" w:rsidR="00734AC9" w:rsidRPr="00DF4CE5" w:rsidRDefault="00734AC9"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Da položi kolegij, student/studentica mora:</w:t>
            </w:r>
          </w:p>
          <w:p w14:paraId="158C6353" w14:textId="3CCAA7C3" w:rsidR="00734AC9" w:rsidRPr="00DF4CE5" w:rsidRDefault="00F33CC6" w:rsidP="00F33CC6">
            <w:pPr>
              <w:spacing w:after="0" w:line="240" w:lineRule="auto"/>
              <w:contextualSpacing/>
              <w:jc w:val="both"/>
              <w:rPr>
                <w:rFonts w:ascii="Cambria" w:eastAsia="Times New Roman" w:hAnsi="Cambria" w:cs="Calibri"/>
                <w:lang w:val="hr-HR"/>
              </w:rPr>
            </w:pPr>
            <w:r>
              <w:rPr>
                <w:rFonts w:ascii="Cambria" w:eastAsia="Times New Roman" w:hAnsi="Cambria" w:cs="Calibri"/>
                <w:lang w:val="hr-HR"/>
              </w:rPr>
              <w:t xml:space="preserve">1. </w:t>
            </w:r>
            <w:r w:rsidR="00734AC9" w:rsidRPr="00DF4CE5">
              <w:rPr>
                <w:rFonts w:ascii="Cambria" w:eastAsia="Times New Roman" w:hAnsi="Cambria" w:cs="Calibri"/>
                <w:lang w:val="hr-HR"/>
              </w:rPr>
              <w:t>pohađati nastavu i aktivno sudjelovati u nastavnome procesu</w:t>
            </w:r>
          </w:p>
          <w:p w14:paraId="45CB2CFC" w14:textId="4A7FE2E2" w:rsidR="00734AC9" w:rsidRPr="00F33CC6" w:rsidRDefault="00F33CC6" w:rsidP="00F33CC6">
            <w:pPr>
              <w:spacing w:after="0" w:line="240" w:lineRule="auto"/>
              <w:jc w:val="both"/>
              <w:rPr>
                <w:rFonts w:ascii="Cambria" w:eastAsia="Times New Roman" w:hAnsi="Cambria" w:cs="Calibri"/>
                <w:lang w:val="hr-HR"/>
              </w:rPr>
            </w:pPr>
            <w:r>
              <w:rPr>
                <w:rFonts w:ascii="Cambria" w:eastAsia="Times New Roman" w:hAnsi="Cambria" w:cs="Calibri"/>
                <w:lang w:val="pl-PL"/>
              </w:rPr>
              <w:t xml:space="preserve">2. </w:t>
            </w:r>
            <w:r w:rsidR="00734AC9" w:rsidRPr="00F33CC6">
              <w:rPr>
                <w:rFonts w:ascii="Cambria" w:eastAsia="Times New Roman" w:hAnsi="Cambria" w:cs="Calibri"/>
                <w:lang w:val="pl-PL"/>
              </w:rPr>
              <w:t>napisati seminarski rad</w:t>
            </w:r>
          </w:p>
          <w:p w14:paraId="1E89A47A" w14:textId="2568FD9D" w:rsidR="00734AC9" w:rsidRPr="00DF4CE5" w:rsidRDefault="00F33CC6" w:rsidP="00F33CC6">
            <w:pPr>
              <w:spacing w:after="0" w:line="240" w:lineRule="auto"/>
              <w:contextualSpacing/>
              <w:jc w:val="both"/>
              <w:rPr>
                <w:rFonts w:ascii="Cambria" w:eastAsia="Times New Roman" w:hAnsi="Cambria" w:cs="Calibri"/>
                <w:lang w:val="hr-HR"/>
              </w:rPr>
            </w:pPr>
            <w:r>
              <w:rPr>
                <w:rFonts w:ascii="Cambria" w:eastAsia="Times New Roman" w:hAnsi="Cambria" w:cs="Calibri"/>
                <w:lang w:val="pl-PL"/>
              </w:rPr>
              <w:t xml:space="preserve">3. </w:t>
            </w:r>
            <w:r w:rsidR="00734AC9" w:rsidRPr="00DF4CE5">
              <w:rPr>
                <w:rFonts w:ascii="Cambria" w:eastAsia="Times New Roman" w:hAnsi="Cambria" w:cs="Calibri"/>
                <w:lang w:val="pl-PL"/>
              </w:rPr>
              <w:t>održati govor u trajanju od 10 minuta na zadanu temu</w:t>
            </w:r>
          </w:p>
          <w:p w14:paraId="2177A980" w14:textId="2C7E0F9F" w:rsidR="00734AC9" w:rsidRPr="00F33CC6" w:rsidRDefault="00F33CC6" w:rsidP="00F33CC6">
            <w:pPr>
              <w:spacing w:after="0" w:line="240" w:lineRule="auto"/>
              <w:rPr>
                <w:rFonts w:ascii="Cambria" w:eastAsia="Times New Roman" w:hAnsi="Cambria" w:cs="Calibri"/>
                <w:lang w:val="hr-HR"/>
              </w:rPr>
            </w:pPr>
            <w:r>
              <w:rPr>
                <w:rFonts w:ascii="Cambria" w:eastAsia="Times New Roman" w:hAnsi="Cambria" w:cs="Calibri"/>
                <w:lang w:val="pl-PL"/>
              </w:rPr>
              <w:t xml:space="preserve">4. </w:t>
            </w:r>
            <w:r w:rsidR="00734AC9" w:rsidRPr="00F33CC6">
              <w:rPr>
                <w:rFonts w:ascii="Cambria" w:eastAsia="Times New Roman" w:hAnsi="Cambria" w:cs="Calibri"/>
                <w:lang w:val="pl-PL"/>
              </w:rPr>
              <w:t>ispunjavatizadanezadatke</w:t>
            </w:r>
            <w:r w:rsidRPr="00F33CC6">
              <w:rPr>
                <w:rFonts w:ascii="Cambria" w:eastAsia="Times New Roman" w:hAnsi="Cambria" w:cs="Calibri"/>
                <w:lang w:val="pl-PL"/>
              </w:rPr>
              <w:t xml:space="preserve"> </w:t>
            </w:r>
            <w:r w:rsidR="00734AC9" w:rsidRPr="00F33CC6">
              <w:rPr>
                <w:rFonts w:ascii="Cambria" w:eastAsia="Times New Roman" w:hAnsi="Cambria" w:cs="Calibri"/>
                <w:lang w:val="hr-HR"/>
              </w:rPr>
              <w:t>(</w:t>
            </w:r>
            <w:r w:rsidR="00734AC9" w:rsidRPr="00F33CC6">
              <w:rPr>
                <w:rFonts w:ascii="Cambria" w:eastAsia="Times New Roman" w:hAnsi="Cambria" w:cs="Calibri"/>
                <w:lang w:val="pl-PL"/>
              </w:rPr>
              <w:t>dobiveni</w:t>
            </w:r>
            <w:r w:rsidRPr="00F33CC6">
              <w:rPr>
                <w:rFonts w:ascii="Cambria" w:eastAsia="Times New Roman" w:hAnsi="Cambria" w:cs="Calibri"/>
                <w:lang w:val="pl-PL"/>
              </w:rPr>
              <w:t xml:space="preserve"> </w:t>
            </w:r>
            <w:r w:rsidR="00734AC9" w:rsidRPr="00F33CC6">
              <w:rPr>
                <w:rFonts w:ascii="Cambria" w:eastAsia="Times New Roman" w:hAnsi="Cambria" w:cs="Calibri"/>
                <w:lang w:val="pl-PL"/>
              </w:rPr>
              <w:t>zadaci</w:t>
            </w:r>
            <w:r w:rsidR="00734AC9" w:rsidRPr="00F33CC6">
              <w:rPr>
                <w:rFonts w:ascii="Cambria" w:eastAsia="Times New Roman" w:hAnsi="Cambria" w:cs="Calibri"/>
                <w:lang w:val="hr-HR"/>
              </w:rPr>
              <w:t>:</w:t>
            </w:r>
            <w:r w:rsidRPr="00F33CC6">
              <w:rPr>
                <w:rFonts w:ascii="Cambria" w:eastAsia="Times New Roman" w:hAnsi="Cambria" w:cs="Calibri"/>
                <w:lang w:val="hr-HR"/>
              </w:rPr>
              <w:t xml:space="preserve"> </w:t>
            </w:r>
            <w:r w:rsidR="00734AC9" w:rsidRPr="00F33CC6">
              <w:rPr>
                <w:rFonts w:ascii="Cambria" w:eastAsia="Times New Roman" w:hAnsi="Cambria" w:cs="Calibri"/>
                <w:lang w:val="pl-PL"/>
              </w:rPr>
              <w:t>tekstovi</w:t>
            </w:r>
            <w:r w:rsidRPr="00F33CC6">
              <w:rPr>
                <w:rFonts w:ascii="Cambria" w:eastAsia="Times New Roman" w:hAnsi="Cambria" w:cs="Calibri"/>
                <w:lang w:val="pl-PL"/>
              </w:rPr>
              <w:t xml:space="preserve"> </w:t>
            </w:r>
            <w:r w:rsidR="00734AC9" w:rsidRPr="00F33CC6">
              <w:rPr>
                <w:rFonts w:ascii="Cambria" w:eastAsia="Times New Roman" w:hAnsi="Cambria" w:cs="Calibri"/>
                <w:lang w:val="pl-PL"/>
              </w:rPr>
              <w:t>za</w:t>
            </w:r>
            <w:r w:rsidRPr="00F33CC6">
              <w:rPr>
                <w:rFonts w:ascii="Cambria" w:eastAsia="Times New Roman" w:hAnsi="Cambria" w:cs="Calibri"/>
                <w:lang w:val="pl-PL"/>
              </w:rPr>
              <w:t xml:space="preserve"> </w:t>
            </w:r>
            <w:r w:rsidR="00734AC9" w:rsidRPr="00F33CC6">
              <w:rPr>
                <w:rFonts w:ascii="Cambria" w:eastAsia="Times New Roman" w:hAnsi="Cambria" w:cs="Calibri"/>
                <w:lang w:val="pl-PL"/>
              </w:rPr>
              <w:t>vje</w:t>
            </w:r>
            <w:r w:rsidR="00734AC9" w:rsidRPr="00F33CC6">
              <w:rPr>
                <w:rFonts w:ascii="Cambria" w:eastAsia="Times New Roman" w:hAnsi="Cambria" w:cs="Calibri"/>
                <w:lang w:val="hr-HR"/>
              </w:rPr>
              <w:t>ž</w:t>
            </w:r>
            <w:r w:rsidR="00734AC9" w:rsidRPr="00F33CC6">
              <w:rPr>
                <w:rFonts w:ascii="Cambria" w:eastAsia="Times New Roman" w:hAnsi="Cambria" w:cs="Calibri"/>
                <w:lang w:val="pl-PL"/>
              </w:rPr>
              <w:t>banje</w:t>
            </w:r>
            <w:r w:rsidRPr="00F33CC6">
              <w:rPr>
                <w:rFonts w:ascii="Cambria" w:eastAsia="Times New Roman" w:hAnsi="Cambria" w:cs="Calibri"/>
                <w:lang w:val="pl-PL"/>
              </w:rPr>
              <w:t xml:space="preserve"> </w:t>
            </w:r>
            <w:r w:rsidR="00734AC9" w:rsidRPr="00F33CC6">
              <w:rPr>
                <w:rFonts w:ascii="Cambria" w:eastAsia="Times New Roman" w:hAnsi="Cambria" w:cs="Calibri"/>
                <w:lang w:val="pl-PL"/>
              </w:rPr>
              <w:t>govornog</w:t>
            </w:r>
            <w:r w:rsidRPr="00F33CC6">
              <w:rPr>
                <w:rFonts w:ascii="Cambria" w:eastAsia="Times New Roman" w:hAnsi="Cambria" w:cs="Calibri"/>
                <w:lang w:val="pl-PL"/>
              </w:rPr>
              <w:t xml:space="preserve"> </w:t>
            </w:r>
            <w:r w:rsidR="00734AC9" w:rsidRPr="00F33CC6">
              <w:rPr>
                <w:rFonts w:ascii="Cambria" w:eastAsia="Times New Roman" w:hAnsi="Cambria" w:cs="Calibri"/>
                <w:lang w:val="pl-PL"/>
              </w:rPr>
              <w:t>izra</w:t>
            </w:r>
            <w:r w:rsidR="00734AC9" w:rsidRPr="00F33CC6">
              <w:rPr>
                <w:rFonts w:ascii="Cambria" w:eastAsia="Times New Roman" w:hAnsi="Cambria" w:cs="Calibri"/>
                <w:lang w:val="hr-HR"/>
              </w:rPr>
              <w:t>ž</w:t>
            </w:r>
            <w:r w:rsidR="00734AC9" w:rsidRPr="00F33CC6">
              <w:rPr>
                <w:rFonts w:ascii="Cambria" w:eastAsia="Times New Roman" w:hAnsi="Cambria" w:cs="Calibri"/>
                <w:lang w:val="pl-PL"/>
              </w:rPr>
              <w:t>avanja</w:t>
            </w:r>
            <w:r w:rsidR="00734AC9" w:rsidRPr="00F33CC6">
              <w:rPr>
                <w:rFonts w:ascii="Cambria" w:eastAsia="Times New Roman" w:hAnsi="Cambria" w:cs="Calibri"/>
                <w:lang w:val="hr-HR"/>
              </w:rPr>
              <w:t>, što aktivnije sudjelovati u vježbama radi boljeg usvajanja pravilnoga izgovora i reduciranje nedostataka)</w:t>
            </w:r>
          </w:p>
          <w:p w14:paraId="06AE4A6D" w14:textId="1C07BEA5" w:rsidR="00734AC9" w:rsidRPr="00DF4CE5" w:rsidRDefault="00F33CC6" w:rsidP="00F33CC6">
            <w:pPr>
              <w:spacing w:after="0" w:line="240" w:lineRule="auto"/>
              <w:contextualSpacing/>
              <w:jc w:val="both"/>
              <w:rPr>
                <w:rFonts w:ascii="Cambria" w:eastAsia="Times New Roman" w:hAnsi="Cambria" w:cs="Calibri"/>
                <w:lang w:val="hr-HR"/>
              </w:rPr>
            </w:pPr>
            <w:r>
              <w:rPr>
                <w:rFonts w:ascii="Cambria" w:eastAsia="Times New Roman" w:hAnsi="Cambria" w:cs="Calibri"/>
                <w:lang w:val="pl-PL"/>
              </w:rPr>
              <w:t xml:space="preserve">5. </w:t>
            </w:r>
            <w:r w:rsidR="00734AC9" w:rsidRPr="00DF4CE5">
              <w:rPr>
                <w:rFonts w:ascii="Cambria" w:eastAsia="Times New Roman" w:hAnsi="Cambria" w:cs="Calibri"/>
                <w:lang w:val="pl-PL"/>
              </w:rPr>
              <w:t>položiti završni pismeni ispit</w:t>
            </w:r>
            <w:r>
              <w:rPr>
                <w:rFonts w:ascii="Cambria" w:eastAsia="Times New Roman" w:hAnsi="Cambria" w:cs="Calibri"/>
                <w:lang w:val="pl-PL"/>
              </w:rPr>
              <w:t>.</w:t>
            </w:r>
          </w:p>
        </w:tc>
      </w:tr>
      <w:tr w:rsidR="00734AC9" w:rsidRPr="00D0399C" w14:paraId="305189C6" w14:textId="77777777" w:rsidTr="005E1BA4">
        <w:tc>
          <w:tcPr>
            <w:tcW w:w="261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63DE022" w14:textId="77777777" w:rsidR="00734AC9" w:rsidRPr="00DF4CE5" w:rsidRDefault="00734AC9" w:rsidP="008B34AF">
            <w:pPr>
              <w:spacing w:after="0" w:line="240" w:lineRule="auto"/>
              <w:jc w:val="both"/>
              <w:rPr>
                <w:rFonts w:ascii="Cambria" w:eastAsia="Times New Roman" w:hAnsi="Cambria" w:cs="Calibri"/>
                <w:lang w:val="hr-HR"/>
              </w:rPr>
            </w:pPr>
            <w:proofErr w:type="spellStart"/>
            <w:r w:rsidRPr="00DF4CE5">
              <w:rPr>
                <w:rFonts w:ascii="Cambria" w:eastAsia="Times New Roman" w:hAnsi="Cambria" w:cs="Calibri"/>
              </w:rPr>
              <w:t>Rokovi</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ispita</w:t>
            </w:r>
            <w:proofErr w:type="spellEnd"/>
            <w:r w:rsidRPr="00DF4CE5">
              <w:rPr>
                <w:rFonts w:ascii="Cambria" w:eastAsia="Times New Roman" w:hAnsi="Cambria" w:cs="Calibri"/>
              </w:rPr>
              <w:t xml:space="preserve"> </w:t>
            </w:r>
          </w:p>
        </w:tc>
        <w:tc>
          <w:tcPr>
            <w:tcW w:w="715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ECC57CF" w14:textId="77777777" w:rsidR="00734AC9" w:rsidRPr="00DF4CE5" w:rsidRDefault="00734AC9" w:rsidP="008B34AF">
            <w:pPr>
              <w:spacing w:after="0" w:line="240" w:lineRule="auto"/>
              <w:jc w:val="both"/>
              <w:rPr>
                <w:rFonts w:ascii="Cambria" w:eastAsia="Times New Roman" w:hAnsi="Cambria" w:cs="Calibri"/>
                <w:lang w:val="hr-HR"/>
              </w:rPr>
            </w:pPr>
            <w:r w:rsidRPr="00DF4CE5">
              <w:rPr>
                <w:rFonts w:ascii="Cambria" w:eastAsia="Times New Roman" w:hAnsi="Cambria" w:cs="Times New Roman"/>
                <w:lang w:val="hr-HR"/>
              </w:rPr>
              <w:t>Daju se na početku akademske godine, objavljuju se na mrežnim stranicama Sveučilišta i u ISVU.</w:t>
            </w:r>
          </w:p>
        </w:tc>
      </w:tr>
      <w:tr w:rsidR="00734AC9" w:rsidRPr="00F33CC6" w14:paraId="05055ADA" w14:textId="77777777" w:rsidTr="005E1BA4">
        <w:tc>
          <w:tcPr>
            <w:tcW w:w="261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31F4839" w14:textId="77777777" w:rsidR="00734AC9" w:rsidRPr="00DF4CE5" w:rsidRDefault="00734AC9" w:rsidP="00F33CC6">
            <w:pPr>
              <w:spacing w:after="0" w:line="240" w:lineRule="auto"/>
              <w:rPr>
                <w:rFonts w:ascii="Cambria" w:eastAsia="Times New Roman" w:hAnsi="Cambria" w:cs="Calibri"/>
                <w:lang w:val="hr-HR"/>
              </w:rPr>
            </w:pPr>
            <w:r w:rsidRPr="00DF4CE5">
              <w:rPr>
                <w:rFonts w:ascii="Cambria" w:eastAsia="Times New Roman" w:hAnsi="Cambria" w:cs="Calibri"/>
                <w:lang w:val="hr-HR"/>
              </w:rPr>
              <w:t xml:space="preserve">Ostale važne činjenice </w:t>
            </w:r>
            <w:proofErr w:type="spellStart"/>
            <w:r w:rsidRPr="00DF4CE5">
              <w:rPr>
                <w:rFonts w:ascii="Cambria" w:eastAsia="Times New Roman" w:hAnsi="Cambria" w:cs="Calibri"/>
                <w:lang w:val="it-IT"/>
              </w:rPr>
              <w:t>vezane</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uz</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kolegij</w:t>
            </w:r>
            <w:proofErr w:type="spellEnd"/>
          </w:p>
        </w:tc>
        <w:tc>
          <w:tcPr>
            <w:tcW w:w="715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2227DA3" w14:textId="7121E74F" w:rsidR="00734AC9" w:rsidRPr="00DF4CE5" w:rsidRDefault="00734AC9" w:rsidP="008B34AF">
            <w:pPr>
              <w:spacing w:after="0" w:line="240" w:lineRule="atLeast"/>
              <w:jc w:val="both"/>
              <w:rPr>
                <w:rFonts w:ascii="Cambria" w:eastAsia="Times New Roman" w:hAnsi="Cambria" w:cs="Calibri"/>
                <w:b/>
                <w:lang w:val="hr-HR"/>
              </w:rPr>
            </w:pPr>
            <w:r w:rsidRPr="00DF4CE5">
              <w:rPr>
                <w:rFonts w:ascii="Cambria" w:eastAsia="Times New Roman" w:hAnsi="Cambria" w:cs="Calibri"/>
                <w:lang w:val="hr-HR"/>
              </w:rPr>
              <w:t>Student/studentica može se obratiti nastavnici u vrijeme konzultacija (osobno) ili putem elektroničke pošte na e-adresu</w:t>
            </w:r>
            <w:r w:rsidR="00F33CC6">
              <w:rPr>
                <w:rFonts w:ascii="Cambria" w:eastAsia="Times New Roman" w:hAnsi="Cambria" w:cs="Calibri"/>
                <w:lang w:val="hr-HR"/>
              </w:rPr>
              <w:t xml:space="preserve"> suradnice </w:t>
            </w:r>
            <w:r w:rsidRPr="00DF4CE5">
              <w:rPr>
                <w:rFonts w:ascii="Cambria" w:eastAsia="Times New Roman" w:hAnsi="Cambria" w:cs="Calibri"/>
                <w:lang w:val="hr-HR"/>
              </w:rPr>
              <w:t>s predmetom: Konzultacije.</w:t>
            </w:r>
          </w:p>
          <w:p w14:paraId="203AA245" w14:textId="77777777" w:rsidR="00734AC9" w:rsidRPr="00DF4CE5" w:rsidRDefault="00734AC9" w:rsidP="008B34AF">
            <w:pPr>
              <w:spacing w:after="0" w:line="240" w:lineRule="atLeast"/>
              <w:jc w:val="both"/>
              <w:rPr>
                <w:rFonts w:ascii="Cambria" w:eastAsia="Times New Roman" w:hAnsi="Cambria" w:cs="Calibri"/>
                <w:b/>
                <w:lang w:val="hr-HR"/>
              </w:rPr>
            </w:pPr>
            <w:r w:rsidRPr="00DF4CE5">
              <w:rPr>
                <w:rFonts w:ascii="Cambria" w:eastAsia="Times New Roman" w:hAnsi="Cambria" w:cs="Calibri"/>
                <w:bCs/>
                <w:lang w:val="hr-HR"/>
              </w:rPr>
              <w:t>Teme za seminare</w:t>
            </w:r>
            <w:r w:rsidRPr="00DF4CE5">
              <w:rPr>
                <w:rFonts w:ascii="Cambria" w:eastAsia="Times New Roman" w:hAnsi="Cambria" w:cs="Calibri"/>
                <w:b/>
                <w:lang w:val="hr-HR"/>
              </w:rPr>
              <w:t>:</w:t>
            </w:r>
          </w:p>
          <w:p w14:paraId="046FF28F" w14:textId="77777777" w:rsidR="00734AC9" w:rsidRPr="00DF4CE5" w:rsidRDefault="00734AC9" w:rsidP="008B34AF">
            <w:pPr>
              <w:spacing w:after="0" w:line="240" w:lineRule="atLeast"/>
              <w:jc w:val="both"/>
              <w:rPr>
                <w:rFonts w:ascii="Cambria" w:eastAsia="Times New Roman" w:hAnsi="Cambria" w:cs="Calibri"/>
                <w:lang w:val="hr-HR"/>
              </w:rPr>
            </w:pPr>
            <w:r w:rsidRPr="00DF4CE5">
              <w:rPr>
                <w:rFonts w:ascii="Cambria" w:eastAsia="Times New Roman" w:hAnsi="Cambria" w:cs="Calibri"/>
                <w:lang w:val="hr-HR"/>
              </w:rPr>
              <w:t>1 POVIJEST ANTIČKE RETORIKE (BEKER) (POVIJEST GOVORNIŠTVA)</w:t>
            </w:r>
          </w:p>
          <w:p w14:paraId="55B901FC" w14:textId="77777777" w:rsidR="00734AC9" w:rsidRPr="00DF4CE5" w:rsidRDefault="00734AC9" w:rsidP="008B34AF">
            <w:pPr>
              <w:spacing w:after="0" w:line="240" w:lineRule="atLeast"/>
              <w:jc w:val="both"/>
              <w:rPr>
                <w:rFonts w:ascii="Cambria" w:eastAsia="Times New Roman" w:hAnsi="Cambria" w:cs="Calibri"/>
                <w:lang w:val="hr-HR"/>
              </w:rPr>
            </w:pPr>
            <w:r w:rsidRPr="00DF4CE5">
              <w:rPr>
                <w:rFonts w:ascii="Cambria" w:eastAsia="Times New Roman" w:hAnsi="Cambria" w:cs="Calibri"/>
                <w:lang w:val="hr-HR"/>
              </w:rPr>
              <w:t>2. KVINTILIJAN: OBRAZOVANJE GOVORNIKA</w:t>
            </w:r>
          </w:p>
          <w:p w14:paraId="358DF691" w14:textId="77777777" w:rsidR="00734AC9" w:rsidRPr="00DF4CE5" w:rsidRDefault="00734AC9" w:rsidP="008B34AF">
            <w:pPr>
              <w:spacing w:after="0" w:line="240" w:lineRule="atLeast"/>
              <w:jc w:val="both"/>
              <w:rPr>
                <w:rFonts w:ascii="Cambria" w:eastAsia="Times New Roman" w:hAnsi="Cambria" w:cs="Calibri"/>
                <w:lang w:val="it-IT"/>
              </w:rPr>
            </w:pPr>
            <w:r w:rsidRPr="00DF4CE5">
              <w:rPr>
                <w:rFonts w:ascii="Cambria" w:eastAsia="Times New Roman" w:hAnsi="Cambria" w:cs="Calibri"/>
                <w:lang w:val="it-IT"/>
              </w:rPr>
              <w:t>3. CICERON: O GOVORNIKU</w:t>
            </w:r>
          </w:p>
          <w:p w14:paraId="2238E03C" w14:textId="77777777" w:rsidR="00734AC9" w:rsidRPr="00DF4CE5" w:rsidRDefault="00734AC9" w:rsidP="008B34AF">
            <w:pPr>
              <w:spacing w:after="0" w:line="240" w:lineRule="atLeast"/>
              <w:jc w:val="both"/>
              <w:rPr>
                <w:rFonts w:ascii="Cambria" w:eastAsia="Times New Roman" w:hAnsi="Cambria" w:cs="Calibri"/>
                <w:lang w:val="it-IT"/>
              </w:rPr>
            </w:pPr>
            <w:r w:rsidRPr="00DF4CE5">
              <w:rPr>
                <w:rFonts w:ascii="Cambria" w:eastAsia="Times New Roman" w:hAnsi="Cambria" w:cs="Calibri"/>
                <w:lang w:val="it-IT"/>
              </w:rPr>
              <w:lastRenderedPageBreak/>
              <w:t>4. ARISTOTEL: O PJESNIČKOM UMIJEĆU</w:t>
            </w:r>
          </w:p>
          <w:p w14:paraId="7AFF232D" w14:textId="77777777" w:rsidR="00734AC9" w:rsidRPr="00DF4CE5" w:rsidRDefault="00734AC9" w:rsidP="008B34AF">
            <w:pPr>
              <w:spacing w:after="0" w:line="240" w:lineRule="atLeast"/>
              <w:jc w:val="both"/>
              <w:rPr>
                <w:rFonts w:ascii="Cambria" w:eastAsia="Times New Roman" w:hAnsi="Cambria" w:cs="Calibri"/>
                <w:lang w:val="it-IT"/>
              </w:rPr>
            </w:pPr>
            <w:r w:rsidRPr="00DF4CE5">
              <w:rPr>
                <w:rFonts w:ascii="Cambria" w:eastAsia="Times New Roman" w:hAnsi="Cambria" w:cs="Calibri"/>
                <w:lang w:val="it-IT"/>
              </w:rPr>
              <w:t>5. RETORIČKE FIGURE(ŠKARIĆ)</w:t>
            </w:r>
          </w:p>
          <w:p w14:paraId="28F57D32" w14:textId="77777777" w:rsidR="00734AC9" w:rsidRPr="00DF4CE5" w:rsidRDefault="00734AC9" w:rsidP="008B34AF">
            <w:pPr>
              <w:spacing w:after="0" w:line="240" w:lineRule="atLeast"/>
              <w:jc w:val="both"/>
              <w:rPr>
                <w:rFonts w:ascii="Cambria" w:eastAsia="Times New Roman" w:hAnsi="Cambria" w:cs="Calibri"/>
                <w:lang w:val="it-IT"/>
              </w:rPr>
            </w:pPr>
            <w:r w:rsidRPr="00DF4CE5">
              <w:rPr>
                <w:rFonts w:ascii="Cambria" w:eastAsia="Times New Roman" w:hAnsi="Cambria" w:cs="Calibri"/>
                <w:lang w:val="it-IT"/>
              </w:rPr>
              <w:t>6. PLATON: FEDAR/PLATON</w:t>
            </w:r>
          </w:p>
          <w:p w14:paraId="6CD0A6C7" w14:textId="77777777" w:rsidR="00734AC9" w:rsidRPr="00DF4CE5" w:rsidRDefault="00734AC9" w:rsidP="008B34AF">
            <w:pPr>
              <w:spacing w:after="0" w:line="240" w:lineRule="atLeast"/>
              <w:ind w:left="720" w:hanging="720"/>
              <w:jc w:val="both"/>
              <w:rPr>
                <w:rFonts w:ascii="Cambria" w:eastAsia="Times New Roman" w:hAnsi="Cambria" w:cs="Calibri"/>
                <w:lang w:val="it-IT"/>
              </w:rPr>
            </w:pPr>
            <w:r w:rsidRPr="00DF4CE5">
              <w:rPr>
                <w:rFonts w:ascii="Cambria" w:eastAsia="Times New Roman" w:hAnsi="Cambria" w:cs="Calibri"/>
                <w:lang w:val="it-IT"/>
              </w:rPr>
              <w:t xml:space="preserve">7. VJEŽBE ZA GLAS I IZGOVOR (ŠKARIĆ: </w:t>
            </w:r>
            <w:proofErr w:type="spellStart"/>
            <w:r w:rsidRPr="00DF4CE5">
              <w:rPr>
                <w:rFonts w:ascii="Cambria" w:eastAsia="Times New Roman" w:hAnsi="Cambria" w:cs="Calibri"/>
                <w:lang w:val="it-IT"/>
              </w:rPr>
              <w:t>Temeljci</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suvremenog</w:t>
            </w:r>
            <w:proofErr w:type="spellEnd"/>
            <w:r w:rsidRPr="00DF4CE5">
              <w:rPr>
                <w:rFonts w:ascii="Cambria" w:eastAsia="Times New Roman" w:hAnsi="Cambria" w:cs="Calibri"/>
                <w:lang w:val="it-IT"/>
              </w:rPr>
              <w:t xml:space="preserve"> </w:t>
            </w:r>
            <w:proofErr w:type="spellStart"/>
            <w:proofErr w:type="gramStart"/>
            <w:r w:rsidRPr="00DF4CE5">
              <w:rPr>
                <w:rFonts w:ascii="Cambria" w:eastAsia="Times New Roman" w:hAnsi="Cambria" w:cs="Calibri"/>
                <w:lang w:val="it-IT"/>
              </w:rPr>
              <w:t>govorništva</w:t>
            </w:r>
            <w:proofErr w:type="spellEnd"/>
            <w:r w:rsidRPr="00DF4CE5">
              <w:rPr>
                <w:rFonts w:ascii="Cambria" w:eastAsia="Times New Roman" w:hAnsi="Cambria" w:cs="Calibri"/>
                <w:lang w:val="it-IT"/>
              </w:rPr>
              <w:t>)+</w:t>
            </w:r>
            <w:proofErr w:type="gramEnd"/>
            <w:r w:rsidRPr="00DF4CE5">
              <w:rPr>
                <w:rFonts w:ascii="Cambria" w:eastAsia="Times New Roman" w:hAnsi="Cambria" w:cs="Calibri"/>
                <w:lang w:val="it-IT"/>
              </w:rPr>
              <w:t xml:space="preserve"> DEMONSTRACIJA</w:t>
            </w:r>
          </w:p>
          <w:p w14:paraId="1B9B024D" w14:textId="77777777" w:rsidR="00734AC9" w:rsidRPr="00DF4CE5" w:rsidRDefault="00734AC9" w:rsidP="008B34AF">
            <w:pPr>
              <w:spacing w:after="0" w:line="240" w:lineRule="atLeast"/>
              <w:ind w:left="720" w:hanging="720"/>
              <w:jc w:val="both"/>
              <w:rPr>
                <w:rFonts w:ascii="Cambria" w:eastAsia="Times New Roman" w:hAnsi="Cambria" w:cs="Calibri"/>
                <w:lang w:val="it-IT"/>
              </w:rPr>
            </w:pPr>
            <w:r w:rsidRPr="00DF4CE5">
              <w:rPr>
                <w:rFonts w:ascii="Cambria" w:eastAsia="Times New Roman" w:hAnsi="Cambria" w:cs="Calibri"/>
                <w:lang w:val="it-IT"/>
              </w:rPr>
              <w:t>8. NEVERBALNI ZNACI</w:t>
            </w:r>
          </w:p>
          <w:p w14:paraId="24B40DEE" w14:textId="77777777" w:rsidR="00734AC9" w:rsidRPr="00DF4CE5" w:rsidRDefault="00734AC9" w:rsidP="008B34AF">
            <w:pPr>
              <w:spacing w:after="0" w:line="240" w:lineRule="atLeast"/>
              <w:ind w:left="720" w:hanging="720"/>
              <w:jc w:val="both"/>
              <w:rPr>
                <w:rFonts w:ascii="Cambria" w:eastAsia="Times New Roman" w:hAnsi="Cambria" w:cs="Calibri"/>
                <w:lang w:val="it-IT"/>
              </w:rPr>
            </w:pPr>
            <w:r w:rsidRPr="00DF4CE5">
              <w:rPr>
                <w:rFonts w:ascii="Cambria" w:eastAsia="Times New Roman" w:hAnsi="Cambria" w:cs="Calibri"/>
                <w:lang w:val="it-IT"/>
              </w:rPr>
              <w:t>9. RAZVOJ GOVORA U DJECE</w:t>
            </w:r>
          </w:p>
          <w:p w14:paraId="2A8721A7" w14:textId="77777777" w:rsidR="00734AC9" w:rsidRPr="00DF4CE5" w:rsidRDefault="00734AC9" w:rsidP="008B34AF">
            <w:pPr>
              <w:spacing w:after="0" w:line="240" w:lineRule="atLeast"/>
              <w:ind w:left="720" w:hanging="720"/>
              <w:jc w:val="both"/>
              <w:rPr>
                <w:rFonts w:ascii="Cambria" w:eastAsia="Times New Roman" w:hAnsi="Cambria" w:cs="Calibri"/>
              </w:rPr>
            </w:pPr>
            <w:r w:rsidRPr="00DF4CE5">
              <w:rPr>
                <w:rFonts w:ascii="Cambria" w:eastAsia="Times New Roman" w:hAnsi="Cambria" w:cs="Calibri"/>
              </w:rPr>
              <w:t>10. GLAS I POKRET (</w:t>
            </w:r>
            <w:proofErr w:type="spellStart"/>
            <w:r w:rsidRPr="00DF4CE5">
              <w:rPr>
                <w:rFonts w:ascii="Cambria" w:eastAsia="Times New Roman" w:hAnsi="Cambria" w:cs="Calibri"/>
              </w:rPr>
              <w:t>Guberina</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Zvuk</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i</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pokret</w:t>
            </w:r>
            <w:proofErr w:type="spellEnd"/>
            <w:r w:rsidRPr="00DF4CE5">
              <w:rPr>
                <w:rFonts w:ascii="Cambria" w:eastAsia="Times New Roman" w:hAnsi="Cambria" w:cs="Calibri"/>
              </w:rPr>
              <w:t xml:space="preserve"> u </w:t>
            </w:r>
            <w:proofErr w:type="spellStart"/>
            <w:r w:rsidRPr="00DF4CE5">
              <w:rPr>
                <w:rFonts w:ascii="Cambria" w:eastAsia="Times New Roman" w:hAnsi="Cambria" w:cs="Calibri"/>
              </w:rPr>
              <w:t>jeziku</w:t>
            </w:r>
            <w:proofErr w:type="spellEnd"/>
            <w:r w:rsidRPr="00DF4CE5">
              <w:rPr>
                <w:rFonts w:ascii="Cambria" w:eastAsia="Times New Roman" w:hAnsi="Cambria" w:cs="Calibri"/>
              </w:rPr>
              <w:t>)</w:t>
            </w:r>
          </w:p>
          <w:p w14:paraId="1D22D45E" w14:textId="77777777" w:rsidR="00734AC9" w:rsidRPr="00DF4CE5" w:rsidRDefault="00734AC9" w:rsidP="008B34AF">
            <w:pPr>
              <w:spacing w:after="0" w:line="240" w:lineRule="atLeast"/>
              <w:ind w:left="720" w:hanging="720"/>
              <w:jc w:val="both"/>
              <w:rPr>
                <w:rFonts w:ascii="Cambria" w:eastAsia="Times New Roman" w:hAnsi="Cambria" w:cs="Calibri"/>
              </w:rPr>
            </w:pPr>
            <w:r w:rsidRPr="00DF4CE5">
              <w:rPr>
                <w:rFonts w:ascii="Cambria" w:eastAsia="Times New Roman" w:hAnsi="Cambria" w:cs="Calibri"/>
              </w:rPr>
              <w:t>11. IZGOVORNE MANE</w:t>
            </w:r>
          </w:p>
          <w:p w14:paraId="5C39E5AD" w14:textId="77777777" w:rsidR="00734AC9" w:rsidRPr="00DF4CE5" w:rsidRDefault="00734AC9" w:rsidP="008B34AF">
            <w:pPr>
              <w:spacing w:after="0" w:line="240" w:lineRule="atLeast"/>
              <w:ind w:left="720" w:hanging="720"/>
              <w:jc w:val="both"/>
              <w:rPr>
                <w:rFonts w:ascii="Cambria" w:eastAsia="Times New Roman" w:hAnsi="Cambria" w:cs="Calibri"/>
              </w:rPr>
            </w:pPr>
            <w:r w:rsidRPr="00DF4CE5">
              <w:rPr>
                <w:rFonts w:ascii="Cambria" w:eastAsia="Times New Roman" w:hAnsi="Cambria" w:cs="Calibri"/>
              </w:rPr>
              <w:t>12. IZGOVORNE POGREŠKE</w:t>
            </w:r>
          </w:p>
          <w:p w14:paraId="342CFB49" w14:textId="77777777" w:rsidR="00734AC9" w:rsidRPr="00DF4CE5" w:rsidRDefault="00734AC9" w:rsidP="008B34AF">
            <w:pPr>
              <w:spacing w:after="0" w:line="240" w:lineRule="atLeast"/>
              <w:ind w:left="720" w:hanging="720"/>
              <w:jc w:val="both"/>
              <w:rPr>
                <w:rFonts w:ascii="Cambria" w:eastAsia="Times New Roman" w:hAnsi="Cambria" w:cs="Calibri"/>
              </w:rPr>
            </w:pPr>
            <w:r w:rsidRPr="00DF4CE5">
              <w:rPr>
                <w:rFonts w:ascii="Cambria" w:eastAsia="Times New Roman" w:hAnsi="Cambria" w:cs="Calibri"/>
              </w:rPr>
              <w:t>13. POETSKO I AFEKTIVNO U GOVORU (</w:t>
            </w:r>
            <w:proofErr w:type="spellStart"/>
            <w:r w:rsidRPr="00DF4CE5">
              <w:rPr>
                <w:rFonts w:ascii="Cambria" w:eastAsia="Times New Roman" w:hAnsi="Cambria" w:cs="Calibri"/>
              </w:rPr>
              <w:t>Škarić</w:t>
            </w:r>
            <w:proofErr w:type="spellEnd"/>
            <w:r w:rsidRPr="00DF4CE5">
              <w:rPr>
                <w:rFonts w:ascii="Cambria" w:eastAsia="Times New Roman" w:hAnsi="Cambria" w:cs="Calibri"/>
              </w:rPr>
              <w:t xml:space="preserve">: U </w:t>
            </w:r>
            <w:proofErr w:type="spellStart"/>
            <w:r w:rsidRPr="00DF4CE5">
              <w:rPr>
                <w:rFonts w:ascii="Cambria" w:eastAsia="Times New Roman" w:hAnsi="Cambria" w:cs="Calibri"/>
              </w:rPr>
              <w:t>potrazi</w:t>
            </w:r>
            <w:proofErr w:type="spellEnd"/>
            <w:r w:rsidRPr="00DF4CE5">
              <w:rPr>
                <w:rFonts w:ascii="Cambria" w:eastAsia="Times New Roman" w:hAnsi="Cambria" w:cs="Calibri"/>
              </w:rPr>
              <w:t xml:space="preserve"> za </w:t>
            </w:r>
            <w:proofErr w:type="spellStart"/>
            <w:r w:rsidRPr="00DF4CE5">
              <w:rPr>
                <w:rFonts w:ascii="Cambria" w:eastAsia="Times New Roman" w:hAnsi="Cambria" w:cs="Calibri"/>
              </w:rPr>
              <w:t>izgubljenim</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govorom</w:t>
            </w:r>
            <w:proofErr w:type="spellEnd"/>
            <w:r w:rsidRPr="00DF4CE5">
              <w:rPr>
                <w:rFonts w:ascii="Cambria" w:eastAsia="Times New Roman" w:hAnsi="Cambria" w:cs="Calibri"/>
              </w:rPr>
              <w:t>)</w:t>
            </w:r>
          </w:p>
          <w:p w14:paraId="3CB0E667" w14:textId="77777777" w:rsidR="00734AC9" w:rsidRPr="00DF4CE5" w:rsidRDefault="00734AC9" w:rsidP="008B34AF">
            <w:pPr>
              <w:spacing w:after="0" w:line="240" w:lineRule="atLeast"/>
              <w:ind w:left="720" w:hanging="720"/>
              <w:jc w:val="both"/>
              <w:rPr>
                <w:rFonts w:ascii="Cambria" w:eastAsia="Times New Roman" w:hAnsi="Cambria" w:cs="Calibri"/>
                <w:lang w:val="it-IT"/>
              </w:rPr>
            </w:pPr>
            <w:r w:rsidRPr="00DF4CE5">
              <w:rPr>
                <w:rFonts w:ascii="Cambria" w:eastAsia="Times New Roman" w:hAnsi="Cambria" w:cs="Calibri"/>
                <w:lang w:val="it-IT"/>
              </w:rPr>
              <w:t>14. LOGIKA U GOVORU</w:t>
            </w:r>
          </w:p>
          <w:p w14:paraId="6983D0D0" w14:textId="77777777" w:rsidR="00734AC9" w:rsidRPr="00DF4CE5" w:rsidRDefault="00734AC9" w:rsidP="008B34AF">
            <w:pPr>
              <w:spacing w:after="0" w:line="240" w:lineRule="atLeast"/>
              <w:ind w:left="720" w:hanging="720"/>
              <w:jc w:val="both"/>
              <w:rPr>
                <w:rFonts w:ascii="Cambria" w:eastAsia="Times New Roman" w:hAnsi="Cambria" w:cs="Calibri"/>
                <w:lang w:val="it-IT"/>
              </w:rPr>
            </w:pPr>
            <w:r w:rsidRPr="00DF4CE5">
              <w:rPr>
                <w:rFonts w:ascii="Cambria" w:eastAsia="Times New Roman" w:hAnsi="Cambria" w:cs="Calibri"/>
                <w:lang w:val="it-IT"/>
              </w:rPr>
              <w:t>15. SUVREMENE GOVORNE VRSTE</w:t>
            </w:r>
          </w:p>
          <w:p w14:paraId="00EE9BC6" w14:textId="77777777" w:rsidR="00734AC9" w:rsidRPr="00DF4CE5" w:rsidRDefault="00734AC9" w:rsidP="008B34AF">
            <w:pPr>
              <w:spacing w:after="0" w:line="240" w:lineRule="atLeast"/>
              <w:ind w:left="720" w:hanging="720"/>
              <w:jc w:val="both"/>
              <w:rPr>
                <w:rFonts w:ascii="Cambria" w:eastAsia="Times New Roman" w:hAnsi="Cambria" w:cs="Calibri"/>
                <w:lang w:val="it-IT"/>
              </w:rPr>
            </w:pPr>
            <w:r w:rsidRPr="00DF4CE5">
              <w:rPr>
                <w:rFonts w:ascii="Cambria" w:eastAsia="Times New Roman" w:hAnsi="Cambria" w:cs="Calibri"/>
                <w:lang w:val="it-IT"/>
              </w:rPr>
              <w:t>16. DEBATA (+ DEMONSTRACIJA)</w:t>
            </w:r>
          </w:p>
          <w:p w14:paraId="5CDAB718" w14:textId="77777777" w:rsidR="00734AC9" w:rsidRPr="00DF4CE5" w:rsidRDefault="00734AC9" w:rsidP="008B34AF">
            <w:pPr>
              <w:spacing w:after="0" w:line="240" w:lineRule="atLeast"/>
              <w:ind w:left="720" w:hanging="720"/>
              <w:jc w:val="both"/>
              <w:rPr>
                <w:rFonts w:ascii="Cambria" w:eastAsia="Times New Roman" w:hAnsi="Cambria" w:cs="Calibri"/>
                <w:lang w:val="it-IT"/>
              </w:rPr>
            </w:pPr>
            <w:r w:rsidRPr="00DF4CE5">
              <w:rPr>
                <w:rFonts w:ascii="Cambria" w:eastAsia="Times New Roman" w:hAnsi="Cambria" w:cs="Calibri"/>
                <w:lang w:val="it-IT"/>
              </w:rPr>
              <w:t>17. RETORIKA NA RADIJU (+ AKTUALNI PRIMJERI, SNIMKE)</w:t>
            </w:r>
          </w:p>
          <w:p w14:paraId="4DAF0E74" w14:textId="77777777" w:rsidR="00734AC9" w:rsidRPr="00DF4CE5" w:rsidRDefault="00734AC9" w:rsidP="008B34AF">
            <w:pPr>
              <w:spacing w:after="0" w:line="240" w:lineRule="atLeast"/>
              <w:ind w:left="720" w:hanging="720"/>
              <w:jc w:val="both"/>
              <w:rPr>
                <w:rFonts w:ascii="Cambria" w:eastAsia="Times New Roman" w:hAnsi="Cambria" w:cs="Calibri"/>
                <w:lang w:val="it-IT"/>
              </w:rPr>
            </w:pPr>
            <w:r w:rsidRPr="00DF4CE5">
              <w:rPr>
                <w:rFonts w:ascii="Cambria" w:eastAsia="Times New Roman" w:hAnsi="Cambria" w:cs="Calibri"/>
                <w:lang w:val="it-IT"/>
              </w:rPr>
              <w:t>18. RETORIKA NA TELEVIZIJI (AKTUALNI PRIMJERI, SNIMKE)</w:t>
            </w:r>
          </w:p>
          <w:p w14:paraId="4FCA4B4F" w14:textId="77777777" w:rsidR="00734AC9" w:rsidRPr="00DF4CE5" w:rsidRDefault="00734AC9" w:rsidP="008B34AF">
            <w:pPr>
              <w:spacing w:after="0" w:line="240" w:lineRule="atLeast"/>
              <w:ind w:left="720" w:hanging="720"/>
              <w:jc w:val="both"/>
              <w:rPr>
                <w:rFonts w:ascii="Cambria" w:eastAsia="Times New Roman" w:hAnsi="Cambria" w:cs="Calibri"/>
              </w:rPr>
            </w:pPr>
            <w:r w:rsidRPr="00DF4CE5">
              <w:rPr>
                <w:rFonts w:ascii="Cambria" w:eastAsia="Times New Roman" w:hAnsi="Cambria" w:cs="Calibri"/>
              </w:rPr>
              <w:t>19. MIMIKA I GESTE (</w:t>
            </w:r>
            <w:proofErr w:type="spellStart"/>
            <w:r w:rsidRPr="00DF4CE5">
              <w:rPr>
                <w:rFonts w:ascii="Cambria" w:eastAsia="Times New Roman" w:hAnsi="Cambria" w:cs="Calibri"/>
              </w:rPr>
              <w:t>Škarić</w:t>
            </w:r>
            <w:proofErr w:type="spellEnd"/>
            <w:r w:rsidRPr="00DF4CE5">
              <w:rPr>
                <w:rFonts w:ascii="Cambria" w:eastAsia="Times New Roman" w:hAnsi="Cambria" w:cs="Calibri"/>
              </w:rPr>
              <w:t xml:space="preserve">, </w:t>
            </w:r>
            <w:proofErr w:type="spellStart"/>
            <w:proofErr w:type="gramStart"/>
            <w:r w:rsidRPr="00DF4CE5">
              <w:rPr>
                <w:rFonts w:ascii="Cambria" w:eastAsia="Times New Roman" w:hAnsi="Cambria" w:cs="Calibri"/>
              </w:rPr>
              <w:t>Young:Govor</w:t>
            </w:r>
            <w:proofErr w:type="spellEnd"/>
            <w:proofErr w:type="gramEnd"/>
            <w:r w:rsidRPr="00DF4CE5">
              <w:rPr>
                <w:rFonts w:ascii="Cambria" w:eastAsia="Times New Roman" w:hAnsi="Cambria" w:cs="Calibri"/>
              </w:rPr>
              <w:t xml:space="preserve"> </w:t>
            </w:r>
            <w:proofErr w:type="spellStart"/>
            <w:r w:rsidRPr="00DF4CE5">
              <w:rPr>
                <w:rFonts w:ascii="Cambria" w:eastAsia="Times New Roman" w:hAnsi="Cambria" w:cs="Calibri"/>
              </w:rPr>
              <w:t>lica</w:t>
            </w:r>
            <w:proofErr w:type="spellEnd"/>
            <w:r w:rsidRPr="00DF4CE5">
              <w:rPr>
                <w:rFonts w:ascii="Cambria" w:eastAsia="Times New Roman" w:hAnsi="Cambria" w:cs="Calibri"/>
              </w:rPr>
              <w:t xml:space="preserve">, </w:t>
            </w:r>
            <w:proofErr w:type="spellStart"/>
            <w:proofErr w:type="gramStart"/>
            <w:r w:rsidRPr="00DF4CE5">
              <w:rPr>
                <w:rFonts w:ascii="Cambria" w:eastAsia="Times New Roman" w:hAnsi="Cambria" w:cs="Calibri"/>
              </w:rPr>
              <w:t>Pease:Govor</w:t>
            </w:r>
            <w:proofErr w:type="spellEnd"/>
            <w:proofErr w:type="gramEnd"/>
            <w:r w:rsidRPr="00DF4CE5">
              <w:rPr>
                <w:rFonts w:ascii="Cambria" w:eastAsia="Times New Roman" w:hAnsi="Cambria" w:cs="Calibri"/>
              </w:rPr>
              <w:t xml:space="preserve"> </w:t>
            </w:r>
            <w:proofErr w:type="spellStart"/>
            <w:r w:rsidRPr="00DF4CE5">
              <w:rPr>
                <w:rFonts w:ascii="Cambria" w:eastAsia="Times New Roman" w:hAnsi="Cambria" w:cs="Calibri"/>
              </w:rPr>
              <w:t>tijela</w:t>
            </w:r>
            <w:proofErr w:type="spellEnd"/>
            <w:r w:rsidRPr="00DF4CE5">
              <w:rPr>
                <w:rFonts w:ascii="Cambria" w:eastAsia="Times New Roman" w:hAnsi="Cambria" w:cs="Calibri"/>
              </w:rPr>
              <w:t>)</w:t>
            </w:r>
          </w:p>
          <w:p w14:paraId="1EB8075E" w14:textId="77777777" w:rsidR="00734AC9" w:rsidRPr="00DF4CE5" w:rsidRDefault="00734AC9" w:rsidP="008B34AF">
            <w:pPr>
              <w:spacing w:after="0" w:line="240" w:lineRule="atLeast"/>
              <w:ind w:left="720" w:hanging="720"/>
              <w:jc w:val="both"/>
              <w:rPr>
                <w:rFonts w:ascii="Cambria" w:eastAsia="Times New Roman" w:hAnsi="Cambria" w:cs="Calibri"/>
                <w:lang w:val="it-IT"/>
              </w:rPr>
            </w:pPr>
            <w:r w:rsidRPr="00DF4CE5">
              <w:rPr>
                <w:rFonts w:ascii="Cambria" w:eastAsia="Times New Roman" w:hAnsi="Cambria" w:cs="Calibri"/>
                <w:lang w:val="it-IT"/>
              </w:rPr>
              <w:t>20. GOVORNIK I PUBLIKA. (</w:t>
            </w:r>
            <w:proofErr w:type="spellStart"/>
            <w:r w:rsidRPr="00DF4CE5">
              <w:rPr>
                <w:rFonts w:ascii="Cambria" w:eastAsia="Times New Roman" w:hAnsi="Cambria" w:cs="Calibri"/>
                <w:lang w:val="it-IT"/>
              </w:rPr>
              <w:t>Umijeće</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javnog</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nastupa</w:t>
            </w:r>
            <w:proofErr w:type="spellEnd"/>
            <w:r w:rsidRPr="00DF4CE5">
              <w:rPr>
                <w:rFonts w:ascii="Cambria" w:eastAsia="Times New Roman" w:hAnsi="Cambria" w:cs="Calibri"/>
                <w:lang w:val="it-IT"/>
              </w:rPr>
              <w:t>)</w:t>
            </w:r>
          </w:p>
          <w:p w14:paraId="14FF69AF" w14:textId="77777777" w:rsidR="00734AC9" w:rsidRPr="00DF4CE5" w:rsidRDefault="00734AC9" w:rsidP="008B34AF">
            <w:pPr>
              <w:spacing w:after="0" w:line="240" w:lineRule="atLeast"/>
              <w:ind w:left="720" w:hanging="720"/>
              <w:jc w:val="both"/>
              <w:rPr>
                <w:rFonts w:ascii="Cambria" w:eastAsia="Times New Roman" w:hAnsi="Cambria" w:cs="Calibri"/>
                <w:lang w:val="it-IT"/>
              </w:rPr>
            </w:pPr>
            <w:r w:rsidRPr="00DF4CE5">
              <w:rPr>
                <w:rFonts w:ascii="Cambria" w:eastAsia="Times New Roman" w:hAnsi="Cambria" w:cs="Calibri"/>
                <w:lang w:val="it-IT"/>
              </w:rPr>
              <w:t>21. GOVORNIK KAO GLUMAC.</w:t>
            </w:r>
          </w:p>
          <w:p w14:paraId="25860B75" w14:textId="77777777" w:rsidR="00734AC9" w:rsidRPr="00DF4CE5" w:rsidRDefault="00734AC9" w:rsidP="008B34AF">
            <w:pPr>
              <w:spacing w:after="0" w:line="240" w:lineRule="atLeast"/>
              <w:ind w:left="720" w:hanging="720"/>
              <w:jc w:val="both"/>
              <w:rPr>
                <w:rFonts w:ascii="Cambria" w:eastAsia="Times New Roman" w:hAnsi="Cambria" w:cs="Calibri"/>
                <w:lang w:val="it-IT"/>
              </w:rPr>
            </w:pPr>
            <w:r w:rsidRPr="00DF4CE5">
              <w:rPr>
                <w:rFonts w:ascii="Cambria" w:eastAsia="Times New Roman" w:hAnsi="Cambria" w:cs="Calibri"/>
                <w:lang w:val="it-IT"/>
              </w:rPr>
              <w:t>22. NOVINSKI ŽANROVI (</w:t>
            </w:r>
            <w:proofErr w:type="spellStart"/>
            <w:r w:rsidRPr="00DF4CE5">
              <w:rPr>
                <w:rFonts w:ascii="Cambria" w:eastAsia="Times New Roman" w:hAnsi="Cambria" w:cs="Calibri"/>
                <w:lang w:val="it-IT"/>
              </w:rPr>
              <w:t>Biškup</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Osnove</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javnog</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komuniciranja</w:t>
            </w:r>
            <w:proofErr w:type="spellEnd"/>
            <w:r w:rsidRPr="00DF4CE5">
              <w:rPr>
                <w:rFonts w:ascii="Cambria" w:eastAsia="Times New Roman" w:hAnsi="Cambria" w:cs="Calibri"/>
                <w:lang w:val="it-IT"/>
              </w:rPr>
              <w:t>)</w:t>
            </w:r>
          </w:p>
          <w:p w14:paraId="227259C7" w14:textId="77777777" w:rsidR="00734AC9" w:rsidRPr="00DF4CE5" w:rsidRDefault="00734AC9" w:rsidP="008B34AF">
            <w:pPr>
              <w:spacing w:after="0" w:line="240" w:lineRule="atLeast"/>
              <w:ind w:left="720" w:hanging="720"/>
              <w:jc w:val="both"/>
              <w:rPr>
                <w:rFonts w:ascii="Cambria" w:eastAsia="Times New Roman" w:hAnsi="Cambria" w:cs="Calibri"/>
                <w:lang w:val="it-IT"/>
              </w:rPr>
            </w:pPr>
            <w:r w:rsidRPr="00DF4CE5">
              <w:rPr>
                <w:rFonts w:ascii="Cambria" w:eastAsia="Times New Roman" w:hAnsi="Cambria" w:cs="Calibri"/>
                <w:lang w:val="it-IT"/>
              </w:rPr>
              <w:t xml:space="preserve">23. NAGLASAK (Paul </w:t>
            </w:r>
            <w:proofErr w:type="spellStart"/>
            <w:r w:rsidRPr="00DF4CE5">
              <w:rPr>
                <w:rFonts w:ascii="Cambria" w:eastAsia="Times New Roman" w:hAnsi="Cambria" w:cs="Calibri"/>
                <w:lang w:val="it-IT"/>
              </w:rPr>
              <w:t>Garde</w:t>
            </w:r>
            <w:proofErr w:type="spellEnd"/>
            <w:r w:rsidRPr="00DF4CE5">
              <w:rPr>
                <w:rFonts w:ascii="Cambria" w:eastAsia="Times New Roman" w:hAnsi="Cambria" w:cs="Calibri"/>
                <w:lang w:val="it-IT"/>
              </w:rPr>
              <w:t>)</w:t>
            </w:r>
          </w:p>
          <w:p w14:paraId="17EAEBB5" w14:textId="77777777" w:rsidR="00734AC9" w:rsidRPr="00DF4CE5" w:rsidRDefault="00734AC9" w:rsidP="008B34AF">
            <w:pPr>
              <w:spacing w:after="0" w:line="240" w:lineRule="atLeast"/>
              <w:ind w:left="720" w:hanging="720"/>
              <w:jc w:val="both"/>
              <w:rPr>
                <w:rFonts w:ascii="Cambria" w:eastAsia="Times New Roman" w:hAnsi="Cambria" w:cs="Calibri"/>
                <w:lang w:val="it-IT"/>
              </w:rPr>
            </w:pPr>
            <w:r w:rsidRPr="00DF4CE5">
              <w:rPr>
                <w:rFonts w:ascii="Cambria" w:eastAsia="Times New Roman" w:hAnsi="Cambria" w:cs="Calibri"/>
                <w:lang w:val="it-IT"/>
              </w:rPr>
              <w:t>24. PAMĆENJE I VJEŽBE ZA PAMĆENJE (</w:t>
            </w:r>
            <w:proofErr w:type="spellStart"/>
            <w:r w:rsidRPr="00DF4CE5">
              <w:rPr>
                <w:rFonts w:ascii="Cambria" w:eastAsia="Times New Roman" w:hAnsi="Cambria" w:cs="Calibri"/>
                <w:lang w:val="it-IT"/>
              </w:rPr>
              <w:t>Zarevski</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Psihologija</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pamćenja</w:t>
            </w:r>
            <w:proofErr w:type="spellEnd"/>
            <w:r w:rsidRPr="00DF4CE5">
              <w:rPr>
                <w:rFonts w:ascii="Cambria" w:eastAsia="Times New Roman" w:hAnsi="Cambria" w:cs="Calibri"/>
                <w:lang w:val="it-IT"/>
              </w:rPr>
              <w:t xml:space="preserve"> i </w:t>
            </w:r>
            <w:proofErr w:type="spellStart"/>
            <w:r w:rsidRPr="00DF4CE5">
              <w:rPr>
                <w:rFonts w:ascii="Cambria" w:eastAsia="Times New Roman" w:hAnsi="Cambria" w:cs="Calibri"/>
                <w:lang w:val="it-IT"/>
              </w:rPr>
              <w:t>učenja</w:t>
            </w:r>
            <w:proofErr w:type="spellEnd"/>
            <w:r w:rsidRPr="00DF4CE5">
              <w:rPr>
                <w:rFonts w:ascii="Cambria" w:eastAsia="Times New Roman" w:hAnsi="Cambria" w:cs="Calibri"/>
                <w:lang w:val="it-IT"/>
              </w:rPr>
              <w:t>)</w:t>
            </w:r>
          </w:p>
          <w:p w14:paraId="2A612C03" w14:textId="77777777" w:rsidR="00734AC9" w:rsidRPr="00DF4CE5" w:rsidRDefault="00734AC9" w:rsidP="008B34AF">
            <w:pPr>
              <w:spacing w:after="0" w:line="240" w:lineRule="atLeast"/>
              <w:ind w:left="720" w:hanging="720"/>
              <w:jc w:val="both"/>
              <w:rPr>
                <w:rFonts w:ascii="Cambria" w:eastAsia="Times New Roman" w:hAnsi="Cambria" w:cs="Calibri"/>
                <w:lang w:val="it-IT"/>
              </w:rPr>
            </w:pPr>
            <w:r w:rsidRPr="00DF4CE5">
              <w:rPr>
                <w:rFonts w:ascii="Cambria" w:eastAsia="Times New Roman" w:hAnsi="Cambria" w:cs="Calibri"/>
                <w:lang w:val="it-IT"/>
              </w:rPr>
              <w:t xml:space="preserve">25. PRINCIPI I STRATEGIJE PREGOVARANJA (Tudor: </w:t>
            </w:r>
            <w:proofErr w:type="spellStart"/>
            <w:r w:rsidRPr="00DF4CE5">
              <w:rPr>
                <w:rFonts w:ascii="Cambria" w:eastAsia="Times New Roman" w:hAnsi="Cambria" w:cs="Calibri"/>
                <w:lang w:val="it-IT"/>
              </w:rPr>
              <w:t>Kompletan</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pregovarač</w:t>
            </w:r>
            <w:proofErr w:type="spellEnd"/>
            <w:r w:rsidRPr="00DF4CE5">
              <w:rPr>
                <w:rFonts w:ascii="Cambria" w:eastAsia="Times New Roman" w:hAnsi="Cambria" w:cs="Calibri"/>
                <w:lang w:val="it-IT"/>
              </w:rPr>
              <w:t>)</w:t>
            </w:r>
          </w:p>
          <w:p w14:paraId="6CE23DD6" w14:textId="77777777" w:rsidR="00734AC9" w:rsidRPr="00DF4CE5" w:rsidRDefault="00734AC9" w:rsidP="008B34AF">
            <w:pPr>
              <w:spacing w:after="0" w:line="240" w:lineRule="atLeast"/>
              <w:ind w:left="720" w:hanging="720"/>
              <w:jc w:val="both"/>
              <w:rPr>
                <w:rFonts w:ascii="Cambria" w:eastAsia="Times New Roman" w:hAnsi="Cambria" w:cs="Calibri"/>
                <w:lang w:val="it-IT"/>
              </w:rPr>
            </w:pPr>
            <w:r w:rsidRPr="00DF4CE5">
              <w:rPr>
                <w:rFonts w:ascii="Cambria" w:eastAsia="Times New Roman" w:hAnsi="Cambria" w:cs="Calibri"/>
                <w:lang w:val="it-IT"/>
              </w:rPr>
              <w:t>26. POSLOVNE I PREGOVARAČKE TAKTIKE (Tudor)</w:t>
            </w:r>
          </w:p>
          <w:p w14:paraId="3E6B3746" w14:textId="77777777" w:rsidR="00734AC9" w:rsidRPr="00DF4CE5" w:rsidRDefault="00734AC9" w:rsidP="008B34AF">
            <w:pPr>
              <w:spacing w:after="0" w:line="240" w:lineRule="atLeast"/>
              <w:ind w:left="720" w:hanging="720"/>
              <w:jc w:val="both"/>
              <w:rPr>
                <w:rFonts w:ascii="Cambria" w:eastAsia="Times New Roman" w:hAnsi="Cambria" w:cs="Calibri"/>
              </w:rPr>
            </w:pPr>
            <w:r w:rsidRPr="00DF4CE5">
              <w:rPr>
                <w:rFonts w:ascii="Cambria" w:eastAsia="Times New Roman" w:hAnsi="Cambria" w:cs="Calibri"/>
              </w:rPr>
              <w:t xml:space="preserve">27. POSLOVN KOMUNIKACIJA („SPEAKING </w:t>
            </w:r>
            <w:proofErr w:type="gramStart"/>
            <w:r w:rsidRPr="00DF4CE5">
              <w:rPr>
                <w:rFonts w:ascii="Cambria" w:eastAsia="Times New Roman" w:hAnsi="Cambria" w:cs="Calibri"/>
              </w:rPr>
              <w:t xml:space="preserve">PLUS“ </w:t>
            </w:r>
            <w:proofErr w:type="spellStart"/>
            <w:r w:rsidRPr="00DF4CE5">
              <w:rPr>
                <w:rFonts w:ascii="Cambria" w:eastAsia="Times New Roman" w:hAnsi="Cambria" w:cs="Calibri"/>
              </w:rPr>
              <w:t>i</w:t>
            </w:r>
            <w:proofErr w:type="spellEnd"/>
            <w:proofErr w:type="gramEnd"/>
            <w:r w:rsidRPr="00DF4CE5">
              <w:rPr>
                <w:rFonts w:ascii="Cambria" w:eastAsia="Times New Roman" w:hAnsi="Cambria" w:cs="Calibri"/>
              </w:rPr>
              <w:t xml:space="preserve"> dr.)</w:t>
            </w:r>
          </w:p>
          <w:p w14:paraId="32344E13" w14:textId="77777777" w:rsidR="00734AC9" w:rsidRPr="00DF4CE5" w:rsidRDefault="00734AC9" w:rsidP="008B34AF">
            <w:pPr>
              <w:spacing w:after="0" w:line="240" w:lineRule="atLeast"/>
              <w:ind w:left="720" w:hanging="720"/>
              <w:jc w:val="both"/>
              <w:rPr>
                <w:rFonts w:ascii="Cambria" w:eastAsia="Times New Roman" w:hAnsi="Cambria" w:cs="Calibri"/>
              </w:rPr>
            </w:pPr>
            <w:r w:rsidRPr="00DF4CE5">
              <w:rPr>
                <w:rFonts w:ascii="Cambria" w:eastAsia="Times New Roman" w:hAnsi="Cambria" w:cs="Calibri"/>
              </w:rPr>
              <w:t>28. NEVERBALNA KOMUNIKACIJA U RAZREDU</w:t>
            </w:r>
          </w:p>
          <w:p w14:paraId="1BA3F9FC" w14:textId="77777777" w:rsidR="00734AC9" w:rsidRPr="00DF4CE5" w:rsidRDefault="00734AC9" w:rsidP="008B34AF">
            <w:pPr>
              <w:spacing w:after="0" w:line="240" w:lineRule="atLeast"/>
              <w:ind w:left="720" w:hanging="720"/>
              <w:jc w:val="both"/>
              <w:rPr>
                <w:rFonts w:ascii="Cambria" w:eastAsia="Times New Roman" w:hAnsi="Cambria" w:cs="Calibri"/>
              </w:rPr>
            </w:pPr>
            <w:r w:rsidRPr="00DF4CE5">
              <w:rPr>
                <w:rFonts w:ascii="Cambria" w:eastAsia="Times New Roman" w:hAnsi="Cambria" w:cs="Calibri"/>
              </w:rPr>
              <w:t>29. DJECA I MEDIJI</w:t>
            </w:r>
          </w:p>
          <w:p w14:paraId="7CB9EC2B" w14:textId="77777777" w:rsidR="00734AC9" w:rsidRPr="00DF4CE5" w:rsidRDefault="00734AC9" w:rsidP="008B34AF">
            <w:pPr>
              <w:spacing w:after="0" w:line="240" w:lineRule="atLeast"/>
              <w:ind w:left="720" w:hanging="720"/>
              <w:jc w:val="both"/>
              <w:rPr>
                <w:rFonts w:ascii="Cambria" w:eastAsia="Times New Roman" w:hAnsi="Cambria" w:cs="Calibri"/>
                <w:lang w:val="it-IT"/>
              </w:rPr>
            </w:pPr>
            <w:r w:rsidRPr="00DF4CE5">
              <w:rPr>
                <w:rFonts w:ascii="Cambria" w:eastAsia="Times New Roman" w:hAnsi="Cambria" w:cs="Calibri"/>
                <w:lang w:val="it-IT"/>
              </w:rPr>
              <w:t>30. POLITIČKI DISKURS</w:t>
            </w:r>
          </w:p>
          <w:p w14:paraId="03A63399" w14:textId="77777777" w:rsidR="00734AC9" w:rsidRPr="00DF4CE5" w:rsidRDefault="00734AC9" w:rsidP="008B34AF">
            <w:pPr>
              <w:spacing w:after="0" w:line="240" w:lineRule="atLeast"/>
              <w:ind w:left="720" w:hanging="720"/>
              <w:jc w:val="both"/>
              <w:rPr>
                <w:rFonts w:ascii="Cambria" w:eastAsia="Times New Roman" w:hAnsi="Cambria" w:cs="Calibri"/>
                <w:b/>
                <w:lang w:val="it-IT"/>
              </w:rPr>
            </w:pPr>
            <w:r w:rsidRPr="00DF4CE5">
              <w:rPr>
                <w:rFonts w:ascii="Cambria" w:eastAsia="Times New Roman" w:hAnsi="Cambria" w:cs="Calibri"/>
                <w:b/>
                <w:lang w:val="it-IT"/>
              </w:rPr>
              <w:t>…</w:t>
            </w:r>
          </w:p>
          <w:p w14:paraId="1A161F5E" w14:textId="77777777" w:rsidR="00734AC9" w:rsidRPr="00DF4CE5" w:rsidRDefault="00734AC9" w:rsidP="008B34AF">
            <w:pPr>
              <w:spacing w:after="0" w:line="240" w:lineRule="atLeast"/>
              <w:ind w:left="65"/>
              <w:jc w:val="both"/>
              <w:rPr>
                <w:rFonts w:ascii="Cambria" w:eastAsia="Times New Roman" w:hAnsi="Cambria" w:cs="Calibri"/>
                <w:lang w:val="it-IT"/>
              </w:rPr>
            </w:pPr>
            <w:r w:rsidRPr="00DF4CE5">
              <w:rPr>
                <w:rFonts w:ascii="Cambria" w:eastAsia="Times New Roman" w:hAnsi="Cambria" w:cs="Calibri"/>
                <w:lang w:val="it-IT"/>
              </w:rPr>
              <w:t xml:space="preserve">Studenti </w:t>
            </w:r>
            <w:proofErr w:type="spellStart"/>
            <w:r w:rsidRPr="00DF4CE5">
              <w:rPr>
                <w:rFonts w:ascii="Cambria" w:eastAsia="Times New Roman" w:hAnsi="Cambria" w:cs="Calibri"/>
                <w:lang w:val="it-IT"/>
              </w:rPr>
              <w:t>će</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dobiti</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dodatnu</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literaturu</w:t>
            </w:r>
            <w:proofErr w:type="spellEnd"/>
            <w:r w:rsidRPr="00DF4CE5">
              <w:rPr>
                <w:rFonts w:ascii="Cambria" w:eastAsia="Times New Roman" w:hAnsi="Cambria" w:cs="Calibri"/>
                <w:lang w:val="it-IT"/>
              </w:rPr>
              <w:t xml:space="preserve"> za </w:t>
            </w:r>
            <w:proofErr w:type="spellStart"/>
            <w:r w:rsidRPr="00DF4CE5">
              <w:rPr>
                <w:rFonts w:ascii="Cambria" w:eastAsia="Times New Roman" w:hAnsi="Cambria" w:cs="Calibri"/>
                <w:lang w:val="it-IT"/>
              </w:rPr>
              <w:t>svoje</w:t>
            </w:r>
            <w:proofErr w:type="spellEnd"/>
            <w:r w:rsidRPr="00DF4CE5">
              <w:rPr>
                <w:rFonts w:ascii="Cambria" w:eastAsia="Times New Roman" w:hAnsi="Cambria" w:cs="Calibri"/>
                <w:lang w:val="it-IT"/>
              </w:rPr>
              <w:t xml:space="preserve"> seminare (</w:t>
            </w:r>
            <w:proofErr w:type="spellStart"/>
            <w:r w:rsidRPr="00DF4CE5">
              <w:rPr>
                <w:rFonts w:ascii="Cambria" w:eastAsia="Times New Roman" w:hAnsi="Cambria" w:cs="Calibri"/>
                <w:lang w:val="it-IT"/>
              </w:rPr>
              <w:t>zavisno</w:t>
            </w:r>
            <w:proofErr w:type="spellEnd"/>
            <w:r w:rsidRPr="00DF4CE5">
              <w:rPr>
                <w:rFonts w:ascii="Cambria" w:eastAsia="Times New Roman" w:hAnsi="Cambria" w:cs="Calibri"/>
                <w:lang w:val="it-IT"/>
              </w:rPr>
              <w:t xml:space="preserve"> o temi </w:t>
            </w:r>
            <w:proofErr w:type="spellStart"/>
            <w:r w:rsidRPr="00DF4CE5">
              <w:rPr>
                <w:rFonts w:ascii="Cambria" w:eastAsia="Times New Roman" w:hAnsi="Cambria" w:cs="Calibri"/>
                <w:lang w:val="it-IT"/>
              </w:rPr>
              <w:t>seminara</w:t>
            </w:r>
            <w:proofErr w:type="spellEnd"/>
            <w:r w:rsidRPr="00DF4CE5">
              <w:rPr>
                <w:rFonts w:ascii="Cambria" w:eastAsia="Times New Roman" w:hAnsi="Cambria" w:cs="Calibri"/>
                <w:lang w:val="it-IT"/>
              </w:rPr>
              <w:t xml:space="preserve">), a za </w:t>
            </w:r>
            <w:proofErr w:type="spellStart"/>
            <w:r w:rsidRPr="00DF4CE5">
              <w:rPr>
                <w:rFonts w:ascii="Cambria" w:eastAsia="Times New Roman" w:hAnsi="Cambria" w:cs="Calibri"/>
                <w:lang w:val="it-IT"/>
              </w:rPr>
              <w:t>neke</w:t>
            </w:r>
            <w:proofErr w:type="spellEnd"/>
            <w:r w:rsidRPr="00DF4CE5">
              <w:rPr>
                <w:rFonts w:ascii="Cambria" w:eastAsia="Times New Roman" w:hAnsi="Cambria" w:cs="Calibri"/>
                <w:lang w:val="it-IT"/>
              </w:rPr>
              <w:t xml:space="preserve"> teme </w:t>
            </w:r>
            <w:proofErr w:type="spellStart"/>
            <w:r w:rsidRPr="00DF4CE5">
              <w:rPr>
                <w:rFonts w:ascii="Cambria" w:eastAsia="Times New Roman" w:hAnsi="Cambria" w:cs="Calibri"/>
                <w:lang w:val="it-IT"/>
              </w:rPr>
              <w:t>poslužit</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će</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im</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obvezna</w:t>
            </w:r>
            <w:proofErr w:type="spellEnd"/>
            <w:r w:rsidRPr="00DF4CE5">
              <w:rPr>
                <w:rFonts w:ascii="Cambria" w:eastAsia="Times New Roman" w:hAnsi="Cambria" w:cs="Calibri"/>
                <w:lang w:val="it-IT"/>
              </w:rPr>
              <w:t xml:space="preserve"> i </w:t>
            </w:r>
            <w:proofErr w:type="spellStart"/>
            <w:r w:rsidRPr="00DF4CE5">
              <w:rPr>
                <w:rFonts w:ascii="Cambria" w:eastAsia="Times New Roman" w:hAnsi="Cambria" w:cs="Calibri"/>
                <w:lang w:val="it-IT"/>
              </w:rPr>
              <w:t>izborna</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literatura</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Broj</w:t>
            </w:r>
            <w:proofErr w:type="spellEnd"/>
            <w:r w:rsidRPr="00DF4CE5">
              <w:rPr>
                <w:rFonts w:ascii="Cambria" w:eastAsia="Times New Roman" w:hAnsi="Cambria" w:cs="Calibri"/>
                <w:lang w:val="it-IT"/>
              </w:rPr>
              <w:t xml:space="preserve"> tema </w:t>
            </w:r>
            <w:proofErr w:type="spellStart"/>
            <w:r w:rsidRPr="00DF4CE5">
              <w:rPr>
                <w:rFonts w:ascii="Cambria" w:eastAsia="Times New Roman" w:hAnsi="Cambria" w:cs="Calibri"/>
                <w:lang w:val="it-IT"/>
              </w:rPr>
              <w:t>ovisit</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će</w:t>
            </w:r>
            <w:proofErr w:type="spellEnd"/>
            <w:r w:rsidRPr="00DF4CE5">
              <w:rPr>
                <w:rFonts w:ascii="Cambria" w:eastAsia="Times New Roman" w:hAnsi="Cambria" w:cs="Calibri"/>
                <w:lang w:val="it-IT"/>
              </w:rPr>
              <w:t xml:space="preserve"> o </w:t>
            </w:r>
            <w:proofErr w:type="spellStart"/>
            <w:r w:rsidRPr="00DF4CE5">
              <w:rPr>
                <w:rFonts w:ascii="Cambria" w:eastAsia="Times New Roman" w:hAnsi="Cambria" w:cs="Calibri"/>
                <w:lang w:val="it-IT"/>
              </w:rPr>
              <w:t>broju</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studenata</w:t>
            </w:r>
            <w:proofErr w:type="spellEnd"/>
            <w:r w:rsidRPr="00DF4CE5">
              <w:rPr>
                <w:rFonts w:ascii="Cambria" w:eastAsia="Times New Roman" w:hAnsi="Cambria" w:cs="Calibri"/>
                <w:lang w:val="it-IT"/>
              </w:rPr>
              <w:t xml:space="preserve">, a </w:t>
            </w:r>
            <w:proofErr w:type="spellStart"/>
            <w:r w:rsidRPr="00DF4CE5">
              <w:rPr>
                <w:rFonts w:ascii="Cambria" w:eastAsia="Times New Roman" w:hAnsi="Cambria" w:cs="Calibri"/>
                <w:lang w:val="it-IT"/>
              </w:rPr>
              <w:t>izbor</w:t>
            </w:r>
            <w:proofErr w:type="spellEnd"/>
            <w:r w:rsidRPr="00DF4CE5">
              <w:rPr>
                <w:rFonts w:ascii="Cambria" w:eastAsia="Times New Roman" w:hAnsi="Cambria" w:cs="Calibri"/>
                <w:lang w:val="it-IT"/>
              </w:rPr>
              <w:t xml:space="preserve"> teme </w:t>
            </w:r>
            <w:proofErr w:type="spellStart"/>
            <w:r w:rsidRPr="00DF4CE5">
              <w:rPr>
                <w:rFonts w:ascii="Cambria" w:eastAsia="Times New Roman" w:hAnsi="Cambria" w:cs="Calibri"/>
                <w:lang w:val="it-IT"/>
              </w:rPr>
              <w:t>ovisi</w:t>
            </w:r>
            <w:proofErr w:type="spellEnd"/>
            <w:r w:rsidRPr="00DF4CE5">
              <w:rPr>
                <w:rFonts w:ascii="Cambria" w:eastAsia="Times New Roman" w:hAnsi="Cambria" w:cs="Calibri"/>
                <w:lang w:val="it-IT"/>
              </w:rPr>
              <w:t xml:space="preserve"> o </w:t>
            </w:r>
            <w:proofErr w:type="spellStart"/>
            <w:r w:rsidRPr="00DF4CE5">
              <w:rPr>
                <w:rFonts w:ascii="Cambria" w:eastAsia="Times New Roman" w:hAnsi="Cambria" w:cs="Calibri"/>
                <w:lang w:val="it-IT"/>
              </w:rPr>
              <w:t>studentu</w:t>
            </w:r>
            <w:proofErr w:type="spellEnd"/>
            <w:r w:rsidRPr="00DF4CE5">
              <w:rPr>
                <w:rFonts w:ascii="Cambria" w:eastAsia="Times New Roman" w:hAnsi="Cambria" w:cs="Calibri"/>
                <w:lang w:val="it-IT"/>
              </w:rPr>
              <w:t>/</w:t>
            </w:r>
            <w:proofErr w:type="spellStart"/>
            <w:r w:rsidRPr="00DF4CE5">
              <w:rPr>
                <w:rFonts w:ascii="Cambria" w:eastAsia="Times New Roman" w:hAnsi="Cambria" w:cs="Calibri"/>
                <w:lang w:val="it-IT"/>
              </w:rPr>
              <w:t>studentici</w:t>
            </w:r>
            <w:proofErr w:type="spellEnd"/>
            <w:r w:rsidRPr="00DF4CE5">
              <w:rPr>
                <w:rFonts w:ascii="Cambria" w:eastAsia="Times New Roman" w:hAnsi="Cambria" w:cs="Calibri"/>
                <w:lang w:val="it-IT"/>
              </w:rPr>
              <w:t xml:space="preserve"> ili </w:t>
            </w:r>
            <w:proofErr w:type="spellStart"/>
            <w:r w:rsidRPr="00DF4CE5">
              <w:rPr>
                <w:rFonts w:ascii="Cambria" w:eastAsia="Times New Roman" w:hAnsi="Cambria" w:cs="Calibri"/>
                <w:lang w:val="it-IT"/>
              </w:rPr>
              <w:t>će</w:t>
            </w:r>
            <w:proofErr w:type="spellEnd"/>
            <w:r w:rsidRPr="00DF4CE5">
              <w:rPr>
                <w:rFonts w:ascii="Cambria" w:eastAsia="Times New Roman" w:hAnsi="Cambria" w:cs="Calibri"/>
                <w:lang w:val="it-IT"/>
              </w:rPr>
              <w:t xml:space="preserve"> se tema </w:t>
            </w:r>
            <w:proofErr w:type="spellStart"/>
            <w:r w:rsidRPr="00DF4CE5">
              <w:rPr>
                <w:rFonts w:ascii="Cambria" w:eastAsia="Times New Roman" w:hAnsi="Cambria" w:cs="Calibri"/>
                <w:lang w:val="it-IT"/>
              </w:rPr>
              <w:t>odabrati</w:t>
            </w:r>
            <w:proofErr w:type="spellEnd"/>
            <w:r w:rsidRPr="00DF4CE5">
              <w:rPr>
                <w:rFonts w:ascii="Cambria" w:eastAsia="Times New Roman" w:hAnsi="Cambria" w:cs="Calibri"/>
                <w:lang w:val="it-IT"/>
              </w:rPr>
              <w:t xml:space="preserve"> prema </w:t>
            </w:r>
            <w:proofErr w:type="spellStart"/>
            <w:r w:rsidRPr="00DF4CE5">
              <w:rPr>
                <w:rFonts w:ascii="Cambria" w:eastAsia="Times New Roman" w:hAnsi="Cambria" w:cs="Calibri"/>
                <w:lang w:val="it-IT"/>
              </w:rPr>
              <w:t>afinitetu</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studenta</w:t>
            </w:r>
            <w:proofErr w:type="spellEnd"/>
            <w:r w:rsidRPr="00DF4CE5">
              <w:rPr>
                <w:rFonts w:ascii="Cambria" w:eastAsia="Times New Roman" w:hAnsi="Cambria" w:cs="Calibri"/>
                <w:lang w:val="it-IT"/>
              </w:rPr>
              <w:t>/</w:t>
            </w:r>
            <w:proofErr w:type="spellStart"/>
            <w:r w:rsidRPr="00DF4CE5">
              <w:rPr>
                <w:rFonts w:ascii="Cambria" w:eastAsia="Times New Roman" w:hAnsi="Cambria" w:cs="Calibri"/>
                <w:lang w:val="it-IT"/>
              </w:rPr>
              <w:t>studentice</w:t>
            </w:r>
            <w:proofErr w:type="spellEnd"/>
            <w:r w:rsidRPr="00DF4CE5">
              <w:rPr>
                <w:rFonts w:ascii="Cambria" w:eastAsia="Times New Roman" w:hAnsi="Cambria" w:cs="Calibri"/>
                <w:lang w:val="it-IT"/>
              </w:rPr>
              <w:t xml:space="preserve"> i bit </w:t>
            </w:r>
            <w:proofErr w:type="spellStart"/>
            <w:r w:rsidRPr="00DF4CE5">
              <w:rPr>
                <w:rFonts w:ascii="Cambria" w:eastAsia="Times New Roman" w:hAnsi="Cambria" w:cs="Calibri"/>
                <w:lang w:val="it-IT"/>
              </w:rPr>
              <w:t>će</w:t>
            </w:r>
            <w:proofErr w:type="spellEnd"/>
            <w:r w:rsidRPr="00DF4CE5">
              <w:rPr>
                <w:rFonts w:ascii="Cambria" w:eastAsia="Times New Roman" w:hAnsi="Cambria" w:cs="Calibri"/>
                <w:lang w:val="it-IT"/>
              </w:rPr>
              <w:t xml:space="preserve"> van </w:t>
            </w:r>
            <w:proofErr w:type="spellStart"/>
            <w:r w:rsidRPr="00DF4CE5">
              <w:rPr>
                <w:rFonts w:ascii="Cambria" w:eastAsia="Times New Roman" w:hAnsi="Cambria" w:cs="Calibri"/>
                <w:lang w:val="it-IT"/>
              </w:rPr>
              <w:t>zadanog</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popisa</w:t>
            </w:r>
            <w:proofErr w:type="spellEnd"/>
            <w:r w:rsidRPr="00DF4CE5">
              <w:rPr>
                <w:rFonts w:ascii="Cambria" w:eastAsia="Times New Roman" w:hAnsi="Cambria" w:cs="Calibri"/>
                <w:lang w:val="it-IT"/>
              </w:rPr>
              <w:t xml:space="preserve"> tema.</w:t>
            </w:r>
          </w:p>
          <w:p w14:paraId="5DBE281F" w14:textId="77777777" w:rsidR="00734AC9" w:rsidRPr="00DF4CE5" w:rsidRDefault="00734AC9" w:rsidP="008B34AF">
            <w:pPr>
              <w:spacing w:after="0" w:line="240" w:lineRule="atLeast"/>
              <w:ind w:left="65"/>
              <w:jc w:val="both"/>
              <w:rPr>
                <w:rFonts w:ascii="Cambria" w:eastAsia="Times New Roman" w:hAnsi="Cambria" w:cs="Calibri"/>
                <w:lang w:val="hr-HR"/>
              </w:rPr>
            </w:pPr>
            <w:r w:rsidRPr="00DF4CE5">
              <w:rPr>
                <w:rFonts w:ascii="Cambria" w:eastAsia="Times New Roman" w:hAnsi="Cambria" w:cs="Calibri"/>
                <w:lang w:val="hr-HR"/>
              </w:rPr>
              <w:t>Za uspješno pisanje i izricanje govora treba se pridržavati sljedeće retoričke sheme (I. Škarić: Temeljci suvremenog govorništva)</w:t>
            </w:r>
          </w:p>
          <w:p w14:paraId="63161855" w14:textId="77777777" w:rsidR="00734AC9" w:rsidRPr="00DF4CE5" w:rsidRDefault="00734AC9" w:rsidP="008B34AF">
            <w:pPr>
              <w:spacing w:after="0" w:line="240" w:lineRule="atLeast"/>
              <w:jc w:val="both"/>
              <w:rPr>
                <w:rFonts w:ascii="Cambria" w:eastAsia="Times New Roman" w:hAnsi="Cambria" w:cs="Calibri"/>
                <w:bCs/>
                <w:lang w:val="hr-HR"/>
              </w:rPr>
            </w:pPr>
            <w:r w:rsidRPr="00DF4CE5">
              <w:rPr>
                <w:rFonts w:ascii="Cambria" w:eastAsia="Times New Roman" w:hAnsi="Cambria" w:cs="Calibri"/>
                <w:bCs/>
                <w:lang w:val="hr-HR"/>
              </w:rPr>
              <w:t>KOMPOZICIJA GOVORA</w:t>
            </w:r>
          </w:p>
          <w:p w14:paraId="61B0645F" w14:textId="77777777" w:rsidR="00734AC9" w:rsidRPr="00DF4CE5" w:rsidRDefault="00734AC9" w:rsidP="008B34AF">
            <w:pPr>
              <w:spacing w:after="0" w:line="240" w:lineRule="atLeast"/>
              <w:ind w:left="360"/>
              <w:jc w:val="both"/>
              <w:rPr>
                <w:rFonts w:ascii="Cambria" w:eastAsia="Times New Roman" w:hAnsi="Cambria" w:cs="Calibri"/>
                <w:bCs/>
                <w:lang w:val="hr-HR"/>
              </w:rPr>
            </w:pPr>
            <w:r w:rsidRPr="00DF4CE5">
              <w:rPr>
                <w:rFonts w:ascii="Cambria" w:eastAsia="Times New Roman" w:hAnsi="Cambria" w:cs="Calibri"/>
                <w:bCs/>
                <w:lang w:val="hr-HR"/>
              </w:rPr>
              <w:t>I.</w:t>
            </w:r>
            <w:r w:rsidRPr="00DF4CE5">
              <w:rPr>
                <w:rFonts w:ascii="Cambria" w:eastAsia="Times New Roman" w:hAnsi="Cambria" w:cs="Calibri"/>
                <w:bCs/>
                <w:lang w:val="hr-HR"/>
              </w:rPr>
              <w:tab/>
              <w:t>UVOD</w:t>
            </w:r>
          </w:p>
          <w:p w14:paraId="47077524" w14:textId="77777777" w:rsidR="00734AC9" w:rsidRPr="00DF4CE5" w:rsidRDefault="00734AC9" w:rsidP="008B34AF">
            <w:pPr>
              <w:spacing w:after="0" w:line="240" w:lineRule="atLeast"/>
              <w:ind w:left="357"/>
              <w:jc w:val="both"/>
              <w:rPr>
                <w:rFonts w:ascii="Cambria" w:eastAsia="Times New Roman" w:hAnsi="Cambria" w:cs="Calibri"/>
                <w:bCs/>
                <w:lang w:val="hr-HR"/>
              </w:rPr>
            </w:pPr>
            <w:r w:rsidRPr="00DF4CE5">
              <w:rPr>
                <w:rFonts w:ascii="Cambria" w:eastAsia="Times New Roman" w:hAnsi="Cambria" w:cs="Calibri"/>
                <w:bCs/>
                <w:lang w:val="hr-HR"/>
              </w:rPr>
              <w:tab/>
              <w:t>Zaglavak:</w:t>
            </w:r>
            <w:r w:rsidRPr="00DF4CE5">
              <w:rPr>
                <w:rFonts w:ascii="Cambria" w:eastAsia="Times New Roman" w:hAnsi="Cambria" w:cs="Calibri"/>
                <w:bCs/>
                <w:lang w:val="hr-HR"/>
              </w:rPr>
              <w:tab/>
            </w:r>
            <w:r w:rsidRPr="00DF4CE5">
              <w:rPr>
                <w:rFonts w:ascii="Cambria" w:eastAsia="Times New Roman" w:hAnsi="Cambria" w:cs="Calibri"/>
                <w:bCs/>
                <w:lang w:val="hr-HR"/>
              </w:rPr>
              <w:tab/>
              <w:t>pozdravljanje</w:t>
            </w:r>
          </w:p>
          <w:p w14:paraId="0425BDC0" w14:textId="77777777" w:rsidR="00734AC9" w:rsidRPr="00DF4CE5" w:rsidRDefault="00734AC9" w:rsidP="008B34AF">
            <w:pPr>
              <w:spacing w:after="0" w:line="240" w:lineRule="atLeast"/>
              <w:ind w:left="357"/>
              <w:jc w:val="both"/>
              <w:rPr>
                <w:rFonts w:ascii="Cambria" w:eastAsia="Times New Roman" w:hAnsi="Cambria" w:cs="Calibri"/>
                <w:lang w:val="hr-HR"/>
              </w:rPr>
            </w:pPr>
            <w:r w:rsidRPr="00DF4CE5">
              <w:rPr>
                <w:rFonts w:ascii="Cambria" w:eastAsia="Times New Roman" w:hAnsi="Cambria" w:cs="Calibri"/>
                <w:lang w:val="hr-HR"/>
              </w:rPr>
              <w:tab/>
            </w:r>
            <w:r w:rsidRPr="00DF4CE5">
              <w:rPr>
                <w:rFonts w:ascii="Cambria" w:eastAsia="Times New Roman" w:hAnsi="Cambria" w:cs="Calibri"/>
                <w:lang w:val="hr-HR"/>
              </w:rPr>
              <w:tab/>
            </w:r>
            <w:r w:rsidRPr="00DF4CE5">
              <w:rPr>
                <w:rFonts w:ascii="Cambria" w:eastAsia="Times New Roman" w:hAnsi="Cambria" w:cs="Calibri"/>
                <w:lang w:val="hr-HR"/>
              </w:rPr>
              <w:tab/>
            </w:r>
            <w:r w:rsidRPr="00DF4CE5">
              <w:rPr>
                <w:rFonts w:ascii="Cambria" w:eastAsia="Times New Roman" w:hAnsi="Cambria" w:cs="Calibri"/>
                <w:lang w:val="hr-HR"/>
              </w:rPr>
              <w:tab/>
              <w:t>predstavljanje</w:t>
            </w:r>
          </w:p>
          <w:p w14:paraId="36ED0FCB" w14:textId="77777777" w:rsidR="00734AC9" w:rsidRPr="00DF4CE5" w:rsidRDefault="00734AC9" w:rsidP="008B34AF">
            <w:pPr>
              <w:spacing w:after="0" w:line="240" w:lineRule="atLeast"/>
              <w:ind w:left="357"/>
              <w:jc w:val="both"/>
              <w:rPr>
                <w:rFonts w:ascii="Cambria" w:eastAsia="Times New Roman" w:hAnsi="Cambria" w:cs="Calibri"/>
                <w:lang w:val="hr-HR"/>
              </w:rPr>
            </w:pPr>
            <w:r w:rsidRPr="00DF4CE5">
              <w:rPr>
                <w:rFonts w:ascii="Cambria" w:eastAsia="Times New Roman" w:hAnsi="Cambria" w:cs="Calibri"/>
                <w:lang w:val="hr-HR"/>
              </w:rPr>
              <w:tab/>
            </w:r>
            <w:r w:rsidRPr="00DF4CE5">
              <w:rPr>
                <w:rFonts w:ascii="Cambria" w:eastAsia="Times New Roman" w:hAnsi="Cambria" w:cs="Calibri"/>
                <w:lang w:val="hr-HR"/>
              </w:rPr>
              <w:tab/>
            </w:r>
            <w:r w:rsidRPr="00DF4CE5">
              <w:rPr>
                <w:rFonts w:ascii="Cambria" w:eastAsia="Times New Roman" w:hAnsi="Cambria" w:cs="Calibri"/>
                <w:lang w:val="hr-HR"/>
              </w:rPr>
              <w:tab/>
            </w:r>
            <w:r w:rsidRPr="00DF4CE5">
              <w:rPr>
                <w:rFonts w:ascii="Cambria" w:eastAsia="Times New Roman" w:hAnsi="Cambria" w:cs="Calibri"/>
                <w:lang w:val="hr-HR"/>
              </w:rPr>
              <w:tab/>
              <w:t>oslovljavanje.</w:t>
            </w:r>
          </w:p>
          <w:p w14:paraId="3F83BC8F" w14:textId="77777777" w:rsidR="00734AC9" w:rsidRPr="00DF4CE5" w:rsidRDefault="00734AC9" w:rsidP="008B34AF">
            <w:pPr>
              <w:spacing w:after="0" w:line="240" w:lineRule="atLeast"/>
              <w:ind w:left="357"/>
              <w:jc w:val="both"/>
              <w:rPr>
                <w:rFonts w:ascii="Cambria" w:eastAsia="Times New Roman" w:hAnsi="Cambria" w:cs="Calibri"/>
                <w:lang w:val="hr-HR"/>
              </w:rPr>
            </w:pPr>
            <w:r w:rsidRPr="00DF4CE5">
              <w:rPr>
                <w:rFonts w:ascii="Cambria" w:eastAsia="Times New Roman" w:hAnsi="Cambria" w:cs="Calibri"/>
                <w:lang w:val="hr-HR"/>
              </w:rPr>
              <w:tab/>
              <w:t>Predgovor:</w:t>
            </w:r>
            <w:r w:rsidRPr="00DF4CE5">
              <w:rPr>
                <w:rFonts w:ascii="Cambria" w:eastAsia="Times New Roman" w:hAnsi="Cambria" w:cs="Calibri"/>
                <w:lang w:val="hr-HR"/>
              </w:rPr>
              <w:tab/>
            </w:r>
            <w:r w:rsidRPr="00DF4CE5">
              <w:rPr>
                <w:rFonts w:ascii="Cambria" w:eastAsia="Times New Roman" w:hAnsi="Cambria" w:cs="Calibri"/>
                <w:lang w:val="hr-HR"/>
              </w:rPr>
              <w:tab/>
              <w:t>stvaranje naklonosti prema govorniku</w:t>
            </w:r>
          </w:p>
          <w:p w14:paraId="3BE57D4F" w14:textId="77777777" w:rsidR="00734AC9" w:rsidRPr="00DF4CE5" w:rsidRDefault="00734AC9" w:rsidP="008B34AF">
            <w:pPr>
              <w:spacing w:after="0" w:line="240" w:lineRule="atLeast"/>
              <w:ind w:left="357"/>
              <w:jc w:val="both"/>
              <w:rPr>
                <w:rFonts w:ascii="Cambria" w:eastAsia="Times New Roman" w:hAnsi="Cambria" w:cs="Calibri"/>
                <w:lang w:val="it-IT"/>
              </w:rPr>
            </w:pPr>
            <w:r w:rsidRPr="00DF4CE5">
              <w:rPr>
                <w:rFonts w:ascii="Cambria" w:eastAsia="Times New Roman" w:hAnsi="Cambria" w:cs="Calibri"/>
                <w:lang w:val="hr-HR"/>
              </w:rPr>
              <w:tab/>
            </w:r>
            <w:r w:rsidRPr="00DF4CE5">
              <w:rPr>
                <w:rFonts w:ascii="Cambria" w:eastAsia="Times New Roman" w:hAnsi="Cambria" w:cs="Calibri"/>
                <w:lang w:val="hr-HR"/>
              </w:rPr>
              <w:tab/>
            </w:r>
            <w:r w:rsidRPr="00DF4CE5">
              <w:rPr>
                <w:rFonts w:ascii="Cambria" w:eastAsia="Times New Roman" w:hAnsi="Cambria" w:cs="Calibri"/>
                <w:lang w:val="hr-HR"/>
              </w:rPr>
              <w:tab/>
            </w:r>
            <w:r w:rsidRPr="00DF4CE5">
              <w:rPr>
                <w:rFonts w:ascii="Cambria" w:eastAsia="Times New Roman" w:hAnsi="Cambria" w:cs="Calibri"/>
                <w:lang w:val="hr-HR"/>
              </w:rPr>
              <w:tab/>
            </w:r>
            <w:proofErr w:type="spellStart"/>
            <w:r w:rsidRPr="00DF4CE5">
              <w:rPr>
                <w:rFonts w:ascii="Cambria" w:eastAsia="Times New Roman" w:hAnsi="Cambria" w:cs="Calibri"/>
                <w:lang w:val="it-IT"/>
              </w:rPr>
              <w:t>stvaranje</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zanimanja</w:t>
            </w:r>
            <w:proofErr w:type="spellEnd"/>
            <w:r w:rsidRPr="00DF4CE5">
              <w:rPr>
                <w:rFonts w:ascii="Cambria" w:eastAsia="Times New Roman" w:hAnsi="Cambria" w:cs="Calibri"/>
                <w:lang w:val="it-IT"/>
              </w:rPr>
              <w:t xml:space="preserve"> za </w:t>
            </w:r>
            <w:proofErr w:type="spellStart"/>
            <w:r w:rsidRPr="00DF4CE5">
              <w:rPr>
                <w:rFonts w:ascii="Cambria" w:eastAsia="Times New Roman" w:hAnsi="Cambria" w:cs="Calibri"/>
                <w:lang w:val="it-IT"/>
              </w:rPr>
              <w:t>temu</w:t>
            </w:r>
            <w:proofErr w:type="spellEnd"/>
            <w:r w:rsidRPr="00DF4CE5">
              <w:rPr>
                <w:rFonts w:ascii="Cambria" w:eastAsia="Times New Roman" w:hAnsi="Cambria" w:cs="Calibri"/>
                <w:lang w:val="it-IT"/>
              </w:rPr>
              <w:t>.</w:t>
            </w:r>
          </w:p>
          <w:p w14:paraId="6E0524DA" w14:textId="77777777" w:rsidR="00734AC9" w:rsidRPr="00DF4CE5" w:rsidRDefault="00734AC9" w:rsidP="008B34AF">
            <w:pPr>
              <w:spacing w:after="0" w:line="240" w:lineRule="atLeast"/>
              <w:ind w:left="357"/>
              <w:jc w:val="both"/>
              <w:rPr>
                <w:rFonts w:ascii="Cambria" w:eastAsia="Times New Roman" w:hAnsi="Cambria" w:cs="Calibri"/>
                <w:lang w:val="it-IT"/>
              </w:rPr>
            </w:pPr>
            <w:r w:rsidRPr="00DF4CE5">
              <w:rPr>
                <w:rFonts w:ascii="Cambria" w:eastAsia="Times New Roman" w:hAnsi="Cambria" w:cs="Calibri"/>
                <w:lang w:val="it-IT"/>
              </w:rPr>
              <w:t>II.</w:t>
            </w:r>
            <w:r w:rsidRPr="00DF4CE5">
              <w:rPr>
                <w:rFonts w:ascii="Cambria" w:eastAsia="Times New Roman" w:hAnsi="Cambria" w:cs="Calibri"/>
                <w:lang w:val="it-IT"/>
              </w:rPr>
              <w:tab/>
              <w:t>GLAVNI DIO</w:t>
            </w:r>
          </w:p>
          <w:p w14:paraId="5663A147" w14:textId="77777777" w:rsidR="00734AC9" w:rsidRPr="00DF4CE5" w:rsidRDefault="00734AC9" w:rsidP="008B34AF">
            <w:pPr>
              <w:spacing w:after="0" w:line="240" w:lineRule="atLeast"/>
              <w:ind w:left="357"/>
              <w:jc w:val="both"/>
              <w:rPr>
                <w:rFonts w:ascii="Cambria" w:eastAsia="Times New Roman" w:hAnsi="Cambria" w:cs="Calibri"/>
                <w:lang w:val="it-IT"/>
              </w:rPr>
            </w:pPr>
            <w:r w:rsidRPr="00DF4CE5">
              <w:rPr>
                <w:rFonts w:ascii="Cambria" w:eastAsia="Times New Roman" w:hAnsi="Cambria" w:cs="Calibri"/>
                <w:lang w:val="it-IT"/>
              </w:rPr>
              <w:tab/>
            </w:r>
            <w:r w:rsidRPr="00DF4CE5">
              <w:rPr>
                <w:rFonts w:ascii="Cambria" w:eastAsia="Times New Roman" w:hAnsi="Cambria" w:cs="Calibri"/>
                <w:lang w:val="it-IT"/>
              </w:rPr>
              <w:tab/>
            </w:r>
            <w:r w:rsidRPr="00DF4CE5">
              <w:rPr>
                <w:rFonts w:ascii="Cambria" w:eastAsia="Times New Roman" w:hAnsi="Cambria" w:cs="Calibri"/>
                <w:lang w:val="it-IT"/>
              </w:rPr>
              <w:tab/>
            </w:r>
            <w:r w:rsidRPr="00DF4CE5">
              <w:rPr>
                <w:rFonts w:ascii="Cambria" w:eastAsia="Times New Roman" w:hAnsi="Cambria" w:cs="Calibri"/>
                <w:lang w:val="it-IT"/>
              </w:rPr>
              <w:tab/>
            </w:r>
            <w:proofErr w:type="spellStart"/>
            <w:r w:rsidRPr="00DF4CE5">
              <w:rPr>
                <w:rFonts w:ascii="Cambria" w:eastAsia="Times New Roman" w:hAnsi="Cambria" w:cs="Calibri"/>
                <w:lang w:val="it-IT"/>
              </w:rPr>
              <w:t>Priča</w:t>
            </w:r>
            <w:proofErr w:type="spellEnd"/>
          </w:p>
          <w:p w14:paraId="472EF1CA" w14:textId="77777777" w:rsidR="00734AC9" w:rsidRPr="00DF4CE5" w:rsidRDefault="00734AC9" w:rsidP="008B34AF">
            <w:pPr>
              <w:spacing w:after="0" w:line="240" w:lineRule="atLeast"/>
              <w:ind w:left="357"/>
              <w:jc w:val="both"/>
              <w:rPr>
                <w:rFonts w:ascii="Cambria" w:eastAsia="Times New Roman" w:hAnsi="Cambria" w:cs="Calibri"/>
                <w:lang w:val="it-IT"/>
              </w:rPr>
            </w:pPr>
            <w:r w:rsidRPr="00DF4CE5">
              <w:rPr>
                <w:rFonts w:ascii="Cambria" w:eastAsia="Times New Roman" w:hAnsi="Cambria" w:cs="Calibri"/>
                <w:lang w:val="it-IT"/>
              </w:rPr>
              <w:tab/>
            </w:r>
            <w:r w:rsidRPr="00DF4CE5">
              <w:rPr>
                <w:rFonts w:ascii="Cambria" w:eastAsia="Times New Roman" w:hAnsi="Cambria" w:cs="Calibri"/>
                <w:lang w:val="it-IT"/>
              </w:rPr>
              <w:tab/>
            </w:r>
            <w:r w:rsidRPr="00DF4CE5">
              <w:rPr>
                <w:rFonts w:ascii="Cambria" w:eastAsia="Times New Roman" w:hAnsi="Cambria" w:cs="Calibri"/>
                <w:lang w:val="it-IT"/>
              </w:rPr>
              <w:tab/>
            </w:r>
            <w:r w:rsidRPr="00DF4CE5">
              <w:rPr>
                <w:rFonts w:ascii="Cambria" w:eastAsia="Times New Roman" w:hAnsi="Cambria" w:cs="Calibri"/>
                <w:lang w:val="it-IT"/>
              </w:rPr>
              <w:tab/>
            </w:r>
            <w:proofErr w:type="spellStart"/>
            <w:r w:rsidRPr="00DF4CE5">
              <w:rPr>
                <w:rFonts w:ascii="Cambria" w:eastAsia="Times New Roman" w:hAnsi="Cambria" w:cs="Calibri"/>
                <w:lang w:val="it-IT"/>
              </w:rPr>
              <w:t>Razdioba</w:t>
            </w:r>
            <w:proofErr w:type="spellEnd"/>
            <w:r w:rsidRPr="00DF4CE5">
              <w:rPr>
                <w:rFonts w:ascii="Cambria" w:eastAsia="Times New Roman" w:hAnsi="Cambria" w:cs="Calibri"/>
                <w:lang w:val="it-IT"/>
              </w:rPr>
              <w:t xml:space="preserve"> (u </w:t>
            </w:r>
            <w:proofErr w:type="spellStart"/>
            <w:r w:rsidRPr="00DF4CE5">
              <w:rPr>
                <w:rFonts w:ascii="Cambria" w:eastAsia="Times New Roman" w:hAnsi="Cambria" w:cs="Calibri"/>
                <w:lang w:val="it-IT"/>
              </w:rPr>
              <w:t>načelu</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dvojna</w:t>
            </w:r>
            <w:proofErr w:type="spellEnd"/>
            <w:r w:rsidRPr="00DF4CE5">
              <w:rPr>
                <w:rFonts w:ascii="Cambria" w:eastAsia="Times New Roman" w:hAnsi="Cambria" w:cs="Calibri"/>
                <w:lang w:val="it-IT"/>
              </w:rPr>
              <w:t>)</w:t>
            </w:r>
          </w:p>
          <w:p w14:paraId="6EFEB9C8" w14:textId="77777777" w:rsidR="00734AC9" w:rsidRPr="00DF4CE5" w:rsidRDefault="00734AC9" w:rsidP="008B34AF">
            <w:pPr>
              <w:spacing w:after="0" w:line="240" w:lineRule="atLeast"/>
              <w:ind w:left="357"/>
              <w:jc w:val="both"/>
              <w:rPr>
                <w:rFonts w:ascii="Cambria" w:eastAsia="Times New Roman" w:hAnsi="Cambria" w:cs="Calibri"/>
                <w:lang w:val="it-IT"/>
              </w:rPr>
            </w:pPr>
            <w:r w:rsidRPr="00DF4CE5">
              <w:rPr>
                <w:rFonts w:ascii="Cambria" w:eastAsia="Times New Roman" w:hAnsi="Cambria" w:cs="Calibri"/>
                <w:lang w:val="it-IT"/>
              </w:rPr>
              <w:lastRenderedPageBreak/>
              <w:tab/>
            </w:r>
            <w:r w:rsidRPr="00DF4CE5">
              <w:rPr>
                <w:rFonts w:ascii="Cambria" w:eastAsia="Times New Roman" w:hAnsi="Cambria" w:cs="Calibri"/>
                <w:lang w:val="it-IT"/>
              </w:rPr>
              <w:tab/>
            </w:r>
            <w:r w:rsidRPr="00DF4CE5">
              <w:rPr>
                <w:rFonts w:ascii="Cambria" w:eastAsia="Times New Roman" w:hAnsi="Cambria" w:cs="Calibri"/>
                <w:lang w:val="it-IT"/>
              </w:rPr>
              <w:tab/>
            </w:r>
            <w:r w:rsidRPr="00DF4CE5">
              <w:rPr>
                <w:rFonts w:ascii="Cambria" w:eastAsia="Times New Roman" w:hAnsi="Cambria" w:cs="Calibri"/>
                <w:lang w:val="it-IT"/>
              </w:rPr>
              <w:tab/>
            </w:r>
            <w:proofErr w:type="spellStart"/>
            <w:r w:rsidRPr="00DF4CE5">
              <w:rPr>
                <w:rFonts w:ascii="Cambria" w:eastAsia="Times New Roman" w:hAnsi="Cambria" w:cs="Calibri"/>
                <w:lang w:val="it-IT"/>
              </w:rPr>
              <w:t>Iznošenje</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razlozi</w:t>
            </w:r>
            <w:proofErr w:type="spellEnd"/>
            <w:r w:rsidRPr="00DF4CE5">
              <w:rPr>
                <w:rFonts w:ascii="Cambria" w:eastAsia="Times New Roman" w:hAnsi="Cambria" w:cs="Calibri"/>
                <w:lang w:val="it-IT"/>
              </w:rPr>
              <w:t>)</w:t>
            </w:r>
          </w:p>
          <w:p w14:paraId="3D2A20F9" w14:textId="77777777" w:rsidR="00734AC9" w:rsidRPr="00DF4CE5" w:rsidRDefault="00734AC9" w:rsidP="008B34AF">
            <w:pPr>
              <w:spacing w:after="0" w:line="240" w:lineRule="atLeast"/>
              <w:ind w:left="357"/>
              <w:jc w:val="both"/>
              <w:rPr>
                <w:rFonts w:ascii="Cambria" w:eastAsia="Times New Roman" w:hAnsi="Cambria" w:cs="Calibri"/>
                <w:lang w:val="it-IT"/>
              </w:rPr>
            </w:pPr>
            <w:r w:rsidRPr="00DF4CE5">
              <w:rPr>
                <w:rFonts w:ascii="Cambria" w:eastAsia="Times New Roman" w:hAnsi="Cambria" w:cs="Calibri"/>
                <w:lang w:val="it-IT"/>
              </w:rPr>
              <w:tab/>
            </w:r>
            <w:r w:rsidRPr="00DF4CE5">
              <w:rPr>
                <w:rFonts w:ascii="Cambria" w:eastAsia="Times New Roman" w:hAnsi="Cambria" w:cs="Calibri"/>
                <w:lang w:val="it-IT"/>
              </w:rPr>
              <w:tab/>
            </w:r>
            <w:r w:rsidRPr="00DF4CE5">
              <w:rPr>
                <w:rFonts w:ascii="Cambria" w:eastAsia="Times New Roman" w:hAnsi="Cambria" w:cs="Calibri"/>
                <w:lang w:val="it-IT"/>
              </w:rPr>
              <w:tab/>
            </w:r>
            <w:r w:rsidRPr="00DF4CE5">
              <w:rPr>
                <w:rFonts w:ascii="Cambria" w:eastAsia="Times New Roman" w:hAnsi="Cambria" w:cs="Calibri"/>
                <w:lang w:val="it-IT"/>
              </w:rPr>
              <w:tab/>
            </w:r>
            <w:proofErr w:type="spellStart"/>
            <w:r w:rsidRPr="00DF4CE5">
              <w:rPr>
                <w:rFonts w:ascii="Cambria" w:eastAsia="Times New Roman" w:hAnsi="Cambria" w:cs="Calibri"/>
                <w:lang w:val="it-IT"/>
              </w:rPr>
              <w:t>Potkrijepe</w:t>
            </w:r>
            <w:proofErr w:type="spellEnd"/>
          </w:p>
          <w:p w14:paraId="143FB8EA" w14:textId="77777777" w:rsidR="00734AC9" w:rsidRPr="00DF4CE5" w:rsidRDefault="00734AC9" w:rsidP="008B34AF">
            <w:pPr>
              <w:spacing w:after="0" w:line="240" w:lineRule="atLeast"/>
              <w:ind w:left="357"/>
              <w:jc w:val="both"/>
              <w:rPr>
                <w:rFonts w:ascii="Cambria" w:eastAsia="Times New Roman" w:hAnsi="Cambria" w:cs="Calibri"/>
                <w:lang w:val="it-IT"/>
              </w:rPr>
            </w:pPr>
            <w:r w:rsidRPr="00DF4CE5">
              <w:rPr>
                <w:rFonts w:ascii="Cambria" w:eastAsia="Times New Roman" w:hAnsi="Cambria" w:cs="Calibri"/>
                <w:lang w:val="it-IT"/>
              </w:rPr>
              <w:tab/>
            </w:r>
            <w:r w:rsidRPr="00DF4CE5">
              <w:rPr>
                <w:rFonts w:ascii="Cambria" w:eastAsia="Times New Roman" w:hAnsi="Cambria" w:cs="Calibri"/>
                <w:lang w:val="it-IT"/>
              </w:rPr>
              <w:tab/>
            </w:r>
            <w:r w:rsidRPr="00DF4CE5">
              <w:rPr>
                <w:rFonts w:ascii="Cambria" w:eastAsia="Times New Roman" w:hAnsi="Cambria" w:cs="Calibri"/>
                <w:lang w:val="it-IT"/>
              </w:rPr>
              <w:tab/>
            </w:r>
            <w:r w:rsidRPr="00DF4CE5">
              <w:rPr>
                <w:rFonts w:ascii="Cambria" w:eastAsia="Times New Roman" w:hAnsi="Cambria" w:cs="Calibri"/>
                <w:lang w:val="it-IT"/>
              </w:rPr>
              <w:tab/>
            </w:r>
            <w:proofErr w:type="spellStart"/>
            <w:r w:rsidRPr="00DF4CE5">
              <w:rPr>
                <w:rFonts w:ascii="Cambria" w:eastAsia="Times New Roman" w:hAnsi="Cambria" w:cs="Calibri"/>
                <w:lang w:val="it-IT"/>
              </w:rPr>
              <w:t>Pobijanje</w:t>
            </w:r>
            <w:proofErr w:type="spellEnd"/>
          </w:p>
          <w:p w14:paraId="6BA5B548" w14:textId="77777777" w:rsidR="00734AC9" w:rsidRPr="00DF4CE5" w:rsidRDefault="00734AC9" w:rsidP="008B34AF">
            <w:pPr>
              <w:spacing w:after="0" w:line="240" w:lineRule="atLeast"/>
              <w:ind w:left="357"/>
              <w:jc w:val="both"/>
              <w:rPr>
                <w:rFonts w:ascii="Cambria" w:eastAsia="Times New Roman" w:hAnsi="Cambria" w:cs="Calibri"/>
                <w:lang w:val="it-IT"/>
              </w:rPr>
            </w:pPr>
            <w:r w:rsidRPr="00DF4CE5">
              <w:rPr>
                <w:rFonts w:ascii="Cambria" w:eastAsia="Times New Roman" w:hAnsi="Cambria" w:cs="Calibri"/>
                <w:lang w:val="it-IT"/>
              </w:rPr>
              <w:t>III.</w:t>
            </w:r>
            <w:r w:rsidRPr="00DF4CE5">
              <w:rPr>
                <w:rFonts w:ascii="Cambria" w:eastAsia="Times New Roman" w:hAnsi="Cambria" w:cs="Calibri"/>
                <w:lang w:val="it-IT"/>
              </w:rPr>
              <w:tab/>
              <w:t>ZAKLJUČAK</w:t>
            </w:r>
          </w:p>
          <w:p w14:paraId="4F2887E9" w14:textId="77777777" w:rsidR="00734AC9" w:rsidRPr="00DF4CE5" w:rsidRDefault="00734AC9" w:rsidP="008B34AF">
            <w:pPr>
              <w:spacing w:after="0" w:line="240" w:lineRule="atLeast"/>
              <w:ind w:left="357"/>
              <w:jc w:val="both"/>
              <w:rPr>
                <w:rFonts w:ascii="Cambria" w:eastAsia="Times New Roman" w:hAnsi="Cambria" w:cs="Calibri"/>
                <w:lang w:val="it-IT"/>
              </w:rPr>
            </w:pPr>
            <w:r w:rsidRPr="00DF4CE5">
              <w:rPr>
                <w:rFonts w:ascii="Cambria" w:eastAsia="Times New Roman" w:hAnsi="Cambria" w:cs="Calibri"/>
                <w:lang w:val="it-IT"/>
              </w:rPr>
              <w:tab/>
            </w:r>
            <w:r w:rsidRPr="00DF4CE5">
              <w:rPr>
                <w:rFonts w:ascii="Cambria" w:eastAsia="Times New Roman" w:hAnsi="Cambria" w:cs="Calibri"/>
                <w:lang w:val="it-IT"/>
              </w:rPr>
              <w:tab/>
            </w:r>
            <w:r w:rsidRPr="00DF4CE5">
              <w:rPr>
                <w:rFonts w:ascii="Cambria" w:eastAsia="Times New Roman" w:hAnsi="Cambria" w:cs="Calibri"/>
                <w:lang w:val="it-IT"/>
              </w:rPr>
              <w:tab/>
            </w:r>
            <w:r w:rsidRPr="00DF4CE5">
              <w:rPr>
                <w:rFonts w:ascii="Cambria" w:eastAsia="Times New Roman" w:hAnsi="Cambria" w:cs="Calibri"/>
                <w:lang w:val="it-IT"/>
              </w:rPr>
              <w:tab/>
            </w:r>
            <w:proofErr w:type="spellStart"/>
            <w:r w:rsidRPr="00DF4CE5">
              <w:rPr>
                <w:rFonts w:ascii="Cambria" w:eastAsia="Times New Roman" w:hAnsi="Cambria" w:cs="Calibri"/>
                <w:lang w:val="it-IT"/>
              </w:rPr>
              <w:t>Sažetak</w:t>
            </w:r>
            <w:proofErr w:type="spellEnd"/>
          </w:p>
          <w:p w14:paraId="60F2E01E" w14:textId="77777777" w:rsidR="00734AC9" w:rsidRPr="00DF4CE5" w:rsidRDefault="00734AC9" w:rsidP="008B34AF">
            <w:pPr>
              <w:spacing w:after="0" w:line="240" w:lineRule="atLeast"/>
              <w:ind w:left="357"/>
              <w:jc w:val="both"/>
              <w:rPr>
                <w:rFonts w:ascii="Cambria" w:eastAsia="Times New Roman" w:hAnsi="Cambria" w:cs="Calibri"/>
                <w:lang w:val="it-IT"/>
              </w:rPr>
            </w:pPr>
            <w:r w:rsidRPr="00DF4CE5">
              <w:rPr>
                <w:rFonts w:ascii="Cambria" w:eastAsia="Times New Roman" w:hAnsi="Cambria" w:cs="Calibri"/>
                <w:lang w:val="it-IT"/>
              </w:rPr>
              <w:tab/>
            </w:r>
            <w:r w:rsidRPr="00DF4CE5">
              <w:rPr>
                <w:rFonts w:ascii="Cambria" w:eastAsia="Times New Roman" w:hAnsi="Cambria" w:cs="Calibri"/>
                <w:lang w:val="it-IT"/>
              </w:rPr>
              <w:tab/>
            </w:r>
            <w:r w:rsidRPr="00DF4CE5">
              <w:rPr>
                <w:rFonts w:ascii="Cambria" w:eastAsia="Times New Roman" w:hAnsi="Cambria" w:cs="Calibri"/>
                <w:lang w:val="it-IT"/>
              </w:rPr>
              <w:tab/>
            </w:r>
            <w:r w:rsidRPr="00DF4CE5">
              <w:rPr>
                <w:rFonts w:ascii="Cambria" w:eastAsia="Times New Roman" w:hAnsi="Cambria" w:cs="Calibri"/>
                <w:lang w:val="it-IT"/>
              </w:rPr>
              <w:tab/>
            </w:r>
            <w:proofErr w:type="spellStart"/>
            <w:r w:rsidRPr="00DF4CE5">
              <w:rPr>
                <w:rFonts w:ascii="Cambria" w:eastAsia="Times New Roman" w:hAnsi="Cambria" w:cs="Calibri"/>
                <w:lang w:val="it-IT"/>
              </w:rPr>
              <w:t>Poziv</w:t>
            </w:r>
            <w:proofErr w:type="spellEnd"/>
          </w:p>
          <w:p w14:paraId="608CBD02" w14:textId="77777777" w:rsidR="00734AC9" w:rsidRPr="00DF4CE5" w:rsidRDefault="00734AC9" w:rsidP="008B34AF">
            <w:pPr>
              <w:spacing w:after="0" w:line="240" w:lineRule="atLeast"/>
              <w:ind w:left="357"/>
              <w:jc w:val="both"/>
              <w:rPr>
                <w:rFonts w:ascii="Cambria" w:eastAsia="Times New Roman" w:hAnsi="Cambria" w:cs="Calibri"/>
                <w:lang w:val="it-IT"/>
              </w:rPr>
            </w:pPr>
            <w:r w:rsidRPr="00DF4CE5">
              <w:rPr>
                <w:rFonts w:ascii="Cambria" w:eastAsia="Times New Roman" w:hAnsi="Cambria" w:cs="Calibri"/>
                <w:lang w:val="it-IT"/>
              </w:rPr>
              <w:tab/>
            </w:r>
            <w:r w:rsidRPr="00DF4CE5">
              <w:rPr>
                <w:rFonts w:ascii="Cambria" w:eastAsia="Times New Roman" w:hAnsi="Cambria" w:cs="Calibri"/>
                <w:lang w:val="it-IT"/>
              </w:rPr>
              <w:tab/>
            </w:r>
            <w:r w:rsidRPr="00DF4CE5">
              <w:rPr>
                <w:rFonts w:ascii="Cambria" w:eastAsia="Times New Roman" w:hAnsi="Cambria" w:cs="Calibri"/>
                <w:lang w:val="it-IT"/>
              </w:rPr>
              <w:tab/>
            </w:r>
            <w:r w:rsidRPr="00DF4CE5">
              <w:rPr>
                <w:rFonts w:ascii="Cambria" w:eastAsia="Times New Roman" w:hAnsi="Cambria" w:cs="Calibri"/>
                <w:lang w:val="it-IT"/>
              </w:rPr>
              <w:tab/>
            </w:r>
            <w:proofErr w:type="spellStart"/>
            <w:r w:rsidRPr="00DF4CE5">
              <w:rPr>
                <w:rFonts w:ascii="Cambria" w:eastAsia="Times New Roman" w:hAnsi="Cambria" w:cs="Calibri"/>
                <w:lang w:val="it-IT"/>
              </w:rPr>
              <w:t>Efektni</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završetak</w:t>
            </w:r>
            <w:proofErr w:type="spellEnd"/>
          </w:p>
          <w:p w14:paraId="123BD4F7" w14:textId="77777777" w:rsidR="00734AC9" w:rsidRPr="00DF4CE5" w:rsidRDefault="00734AC9" w:rsidP="008B34AF">
            <w:pPr>
              <w:spacing w:after="0" w:line="240" w:lineRule="atLeast"/>
              <w:ind w:left="357"/>
              <w:jc w:val="both"/>
              <w:rPr>
                <w:rFonts w:ascii="Cambria" w:eastAsia="Times New Roman" w:hAnsi="Cambria" w:cs="Calibri"/>
                <w:lang w:val="it-IT"/>
              </w:rPr>
            </w:pPr>
            <w:r w:rsidRPr="00DF4CE5">
              <w:rPr>
                <w:rFonts w:ascii="Cambria" w:eastAsia="Times New Roman" w:hAnsi="Cambria" w:cs="Calibri"/>
                <w:lang w:val="it-IT"/>
              </w:rPr>
              <w:tab/>
            </w:r>
            <w:r w:rsidRPr="00DF4CE5">
              <w:rPr>
                <w:rFonts w:ascii="Cambria" w:eastAsia="Times New Roman" w:hAnsi="Cambria" w:cs="Calibri"/>
                <w:lang w:val="it-IT"/>
              </w:rPr>
              <w:tab/>
            </w:r>
            <w:r w:rsidRPr="00DF4CE5">
              <w:rPr>
                <w:rFonts w:ascii="Cambria" w:eastAsia="Times New Roman" w:hAnsi="Cambria" w:cs="Calibri"/>
                <w:lang w:val="it-IT"/>
              </w:rPr>
              <w:tab/>
            </w:r>
            <w:r w:rsidRPr="00DF4CE5">
              <w:rPr>
                <w:rFonts w:ascii="Cambria" w:eastAsia="Times New Roman" w:hAnsi="Cambria" w:cs="Calibri"/>
                <w:lang w:val="it-IT"/>
              </w:rPr>
              <w:tab/>
            </w:r>
            <w:proofErr w:type="spellStart"/>
            <w:r w:rsidRPr="00DF4CE5">
              <w:rPr>
                <w:rFonts w:ascii="Cambria" w:eastAsia="Times New Roman" w:hAnsi="Cambria" w:cs="Calibri"/>
                <w:lang w:val="it-IT"/>
              </w:rPr>
              <w:t>Zahvala</w:t>
            </w:r>
            <w:proofErr w:type="spellEnd"/>
            <w:r w:rsidRPr="00DF4CE5">
              <w:rPr>
                <w:rFonts w:ascii="Cambria" w:eastAsia="Times New Roman" w:hAnsi="Cambria" w:cs="Calibri"/>
                <w:lang w:val="it-IT"/>
              </w:rPr>
              <w:t xml:space="preserve"> (i/ili </w:t>
            </w:r>
            <w:proofErr w:type="spellStart"/>
            <w:r w:rsidRPr="00DF4CE5">
              <w:rPr>
                <w:rFonts w:ascii="Cambria" w:eastAsia="Times New Roman" w:hAnsi="Cambria" w:cs="Calibri"/>
                <w:lang w:val="it-IT"/>
              </w:rPr>
              <w:t>isprika</w:t>
            </w:r>
            <w:proofErr w:type="spellEnd"/>
            <w:r w:rsidRPr="00DF4CE5">
              <w:rPr>
                <w:rFonts w:ascii="Cambria" w:eastAsia="Times New Roman" w:hAnsi="Cambria" w:cs="Calibri"/>
                <w:lang w:val="it-IT"/>
              </w:rPr>
              <w:t>)</w:t>
            </w:r>
          </w:p>
          <w:p w14:paraId="1C65B60A" w14:textId="47988F7E" w:rsidR="00734AC9" w:rsidRPr="00DF4CE5" w:rsidRDefault="00734AC9" w:rsidP="008B34AF">
            <w:pPr>
              <w:spacing w:after="0" w:line="240" w:lineRule="atLeast"/>
              <w:ind w:left="65"/>
              <w:jc w:val="both"/>
              <w:rPr>
                <w:rFonts w:ascii="Cambria" w:eastAsia="Times New Roman" w:hAnsi="Cambria" w:cs="Calibri"/>
                <w:lang w:val="hr-HR"/>
              </w:rPr>
            </w:pPr>
            <w:r w:rsidRPr="00DF4CE5">
              <w:rPr>
                <w:rFonts w:ascii="Cambria" w:eastAsia="Times New Roman" w:hAnsi="Cambria" w:cs="Calibri"/>
                <w:lang w:val="hr-HR"/>
              </w:rPr>
              <w:t xml:space="preserve">U slučaju održavanja nastave na daljinu, moguće je odstupanje u: mjestu izvođenja kolegija, provedbi aktivnosti, metoda tumačenja i poučavanja i načinima vrednovanja, studentskim obvezama i dostupnoj literaturi. O tome će nositeljica kolegija i </w:t>
            </w:r>
            <w:r w:rsidR="00F33CC6">
              <w:rPr>
                <w:rFonts w:ascii="Cambria" w:eastAsia="Times New Roman" w:hAnsi="Cambria" w:cs="Calibri"/>
                <w:lang w:val="hr-HR"/>
              </w:rPr>
              <w:t>suradnica</w:t>
            </w:r>
            <w:r w:rsidRPr="00DF4CE5">
              <w:rPr>
                <w:rFonts w:ascii="Cambria" w:eastAsia="Times New Roman" w:hAnsi="Cambria" w:cs="Calibri"/>
                <w:lang w:val="hr-HR"/>
              </w:rPr>
              <w:t xml:space="preserve"> obavijestiti studente i studentice kad se nastava na daljinu počne održavati. Ishodi učenja ostaju nepromijenjeni.</w:t>
            </w:r>
          </w:p>
        </w:tc>
      </w:tr>
      <w:tr w:rsidR="00734AC9" w:rsidRPr="00DF4CE5" w14:paraId="557425A5" w14:textId="77777777" w:rsidTr="005E1BA4">
        <w:trPr>
          <w:trHeight w:val="770"/>
        </w:trPr>
        <w:tc>
          <w:tcPr>
            <w:tcW w:w="261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97B2008" w14:textId="77777777" w:rsidR="00734AC9" w:rsidRPr="00DF4CE5" w:rsidRDefault="00734AC9"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lastRenderedPageBreak/>
              <w:t>Literatura</w:t>
            </w:r>
          </w:p>
        </w:tc>
        <w:tc>
          <w:tcPr>
            <w:tcW w:w="7155"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388ADA5" w14:textId="77777777" w:rsidR="00734AC9" w:rsidRPr="00DF4CE5" w:rsidRDefault="00734AC9" w:rsidP="008B34AF">
            <w:pPr>
              <w:spacing w:after="0" w:line="240" w:lineRule="auto"/>
              <w:ind w:left="65"/>
              <w:jc w:val="both"/>
              <w:rPr>
                <w:rFonts w:ascii="Cambria" w:eastAsia="Times New Roman" w:hAnsi="Cambria" w:cs="Calibri"/>
                <w:lang w:val="hr-HR"/>
              </w:rPr>
            </w:pPr>
            <w:r w:rsidRPr="00DF4CE5">
              <w:rPr>
                <w:rFonts w:ascii="Cambria" w:eastAsia="Times New Roman" w:hAnsi="Cambria" w:cs="Calibri"/>
                <w:lang w:val="hr-HR"/>
              </w:rPr>
              <w:t>Obvezna:</w:t>
            </w:r>
          </w:p>
          <w:p w14:paraId="6D7A6B81" w14:textId="77777777" w:rsidR="00734AC9" w:rsidRPr="00DF4CE5" w:rsidRDefault="00734AC9" w:rsidP="00A034E3">
            <w:pPr>
              <w:numPr>
                <w:ilvl w:val="0"/>
                <w:numId w:val="55"/>
              </w:numPr>
              <w:spacing w:after="0" w:line="240" w:lineRule="auto"/>
              <w:jc w:val="both"/>
              <w:rPr>
                <w:rFonts w:ascii="Cambria" w:eastAsia="Times New Roman" w:hAnsi="Cambria" w:cs="Calibri"/>
                <w:lang w:val="hr-HR"/>
              </w:rPr>
            </w:pPr>
            <w:r w:rsidRPr="00DF4CE5">
              <w:rPr>
                <w:rFonts w:ascii="Cambria" w:eastAsia="Times New Roman" w:hAnsi="Cambria" w:cs="Calibri"/>
                <w:lang w:val="hr-HR"/>
              </w:rPr>
              <w:t xml:space="preserve">Škarić, I.: Fonetika hrvatskoga književnog jezika. U: Babić, S. </w:t>
            </w:r>
            <w:proofErr w:type="spellStart"/>
            <w:r w:rsidRPr="00DF4CE5">
              <w:rPr>
                <w:rFonts w:ascii="Cambria" w:eastAsia="Times New Roman" w:hAnsi="Cambria" w:cs="Calibri"/>
                <w:lang w:val="hr-HR"/>
              </w:rPr>
              <w:t>et</w:t>
            </w:r>
            <w:proofErr w:type="spellEnd"/>
            <w:r w:rsidRPr="00DF4CE5">
              <w:rPr>
                <w:rFonts w:ascii="Cambria" w:eastAsia="Times New Roman" w:hAnsi="Cambria" w:cs="Calibri"/>
                <w:lang w:val="hr-HR"/>
              </w:rPr>
              <w:t xml:space="preserve"> </w:t>
            </w:r>
            <w:proofErr w:type="spellStart"/>
            <w:r w:rsidRPr="00DF4CE5">
              <w:rPr>
                <w:rFonts w:ascii="Cambria" w:eastAsia="Times New Roman" w:hAnsi="Cambria" w:cs="Calibri"/>
                <w:lang w:val="hr-HR"/>
              </w:rPr>
              <w:t>al</w:t>
            </w:r>
            <w:proofErr w:type="spellEnd"/>
            <w:r w:rsidRPr="00DF4CE5">
              <w:rPr>
                <w:rFonts w:ascii="Cambria" w:eastAsia="Times New Roman" w:hAnsi="Cambria" w:cs="Calibri"/>
                <w:lang w:val="hr-HR"/>
              </w:rPr>
              <w:t xml:space="preserve">. (R. Katičić, </w:t>
            </w:r>
            <w:proofErr w:type="spellStart"/>
            <w:r w:rsidRPr="00DF4CE5">
              <w:rPr>
                <w:rFonts w:ascii="Cambria" w:eastAsia="Times New Roman" w:hAnsi="Cambria" w:cs="Calibri"/>
                <w:lang w:val="hr-HR"/>
              </w:rPr>
              <w:t>ur</w:t>
            </w:r>
            <w:proofErr w:type="spellEnd"/>
            <w:r w:rsidRPr="00DF4CE5">
              <w:rPr>
                <w:rFonts w:ascii="Cambria" w:eastAsia="Times New Roman" w:hAnsi="Cambria" w:cs="Calibri"/>
                <w:lang w:val="hr-HR"/>
              </w:rPr>
              <w:t>.) Povijesni pregled, glasovi i oblici hrvatskoga književnog jezika, Zagreb: HAZU, Globus, 1999., str. poglavlja Izgovor glasnika,120-146, Govorni dijelovi 281-289, Intonacijska jedinica 309-315, Govorna riječ 315-327, Slog 327-337, Fonemski sloj 337-359.</w:t>
            </w:r>
          </w:p>
          <w:p w14:paraId="0C7B2888" w14:textId="77777777" w:rsidR="00734AC9" w:rsidRPr="00DF4CE5" w:rsidRDefault="00734AC9" w:rsidP="00A034E3">
            <w:pPr>
              <w:numPr>
                <w:ilvl w:val="0"/>
                <w:numId w:val="55"/>
              </w:numPr>
              <w:spacing w:after="0" w:line="240" w:lineRule="auto"/>
              <w:jc w:val="both"/>
              <w:rPr>
                <w:rFonts w:ascii="Cambria" w:eastAsia="Times New Roman" w:hAnsi="Cambria" w:cs="Calibri"/>
                <w:lang w:val="hr-HR"/>
              </w:rPr>
            </w:pPr>
            <w:r w:rsidRPr="00DF4CE5">
              <w:rPr>
                <w:rFonts w:ascii="Cambria" w:eastAsia="Times New Roman" w:hAnsi="Cambria" w:cs="Calibri"/>
                <w:lang w:val="hr-HR"/>
              </w:rPr>
              <w:t>Škarić, I.: Temeljci suvremenog govorništva, Školska knjiga, Zagreb, 2000. Poglavlje: Vježbe za glas i izgovor. Suvremene govorne vrste.</w:t>
            </w:r>
          </w:p>
          <w:p w14:paraId="6BCE95D6" w14:textId="77777777" w:rsidR="00734AC9" w:rsidRPr="00DF4CE5" w:rsidRDefault="00734AC9" w:rsidP="008B34AF">
            <w:pPr>
              <w:spacing w:after="0" w:line="240" w:lineRule="auto"/>
              <w:ind w:left="65"/>
              <w:jc w:val="both"/>
              <w:rPr>
                <w:rFonts w:ascii="Cambria" w:eastAsia="Times New Roman" w:hAnsi="Cambria" w:cs="Calibri"/>
                <w:lang w:val="hr-HR"/>
              </w:rPr>
            </w:pPr>
            <w:r w:rsidRPr="00DF4CE5">
              <w:rPr>
                <w:rFonts w:ascii="Cambria" w:eastAsia="Times New Roman" w:hAnsi="Cambria" w:cs="Calibri"/>
                <w:lang w:val="hr-HR"/>
              </w:rPr>
              <w:t>Izborna:</w:t>
            </w:r>
          </w:p>
          <w:p w14:paraId="6F5727ED" w14:textId="77777777" w:rsidR="00734AC9" w:rsidRPr="00DF4CE5" w:rsidRDefault="00734AC9" w:rsidP="00A034E3">
            <w:pPr>
              <w:numPr>
                <w:ilvl w:val="0"/>
                <w:numId w:val="53"/>
              </w:numPr>
              <w:spacing w:after="0" w:line="240" w:lineRule="auto"/>
              <w:jc w:val="both"/>
              <w:rPr>
                <w:rFonts w:ascii="Cambria" w:eastAsia="Times New Roman" w:hAnsi="Cambria" w:cs="Calibri"/>
              </w:rPr>
            </w:pPr>
            <w:r w:rsidRPr="00DF4CE5">
              <w:rPr>
                <w:rFonts w:ascii="Cambria" w:eastAsia="Times New Roman" w:hAnsi="Cambria" w:cs="Calibri"/>
              </w:rPr>
              <w:t xml:space="preserve">Berry, C.: Glumac </w:t>
            </w:r>
            <w:proofErr w:type="spellStart"/>
            <w:r w:rsidRPr="00DF4CE5">
              <w:rPr>
                <w:rFonts w:ascii="Cambria" w:eastAsia="Times New Roman" w:hAnsi="Cambria" w:cs="Calibri"/>
              </w:rPr>
              <w:t>i</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glas</w:t>
            </w:r>
            <w:proofErr w:type="spellEnd"/>
            <w:r w:rsidRPr="00DF4CE5">
              <w:rPr>
                <w:rFonts w:ascii="Cambria" w:eastAsia="Times New Roman" w:hAnsi="Cambria" w:cs="Calibri"/>
              </w:rPr>
              <w:t>, AGM, Zagreb, 1997.</w:t>
            </w:r>
          </w:p>
          <w:p w14:paraId="7DA3B298" w14:textId="77777777" w:rsidR="00734AC9" w:rsidRPr="00DF4CE5" w:rsidRDefault="00734AC9" w:rsidP="00A034E3">
            <w:pPr>
              <w:numPr>
                <w:ilvl w:val="0"/>
                <w:numId w:val="53"/>
              </w:numPr>
              <w:spacing w:after="0" w:line="240" w:lineRule="auto"/>
              <w:jc w:val="both"/>
              <w:rPr>
                <w:rFonts w:ascii="Cambria" w:eastAsia="Times New Roman" w:hAnsi="Cambria" w:cs="Calibri"/>
                <w:lang w:val="de-DE"/>
              </w:rPr>
            </w:pPr>
            <w:r w:rsidRPr="00DF4CE5">
              <w:rPr>
                <w:rFonts w:ascii="Cambria" w:eastAsia="Times New Roman" w:hAnsi="Cambria" w:cs="Calibri"/>
                <w:lang w:val="de-DE"/>
              </w:rPr>
              <w:t xml:space="preserve">Garde, P.: </w:t>
            </w:r>
            <w:proofErr w:type="spellStart"/>
            <w:r w:rsidRPr="00DF4CE5">
              <w:rPr>
                <w:rFonts w:ascii="Cambria" w:eastAsia="Times New Roman" w:hAnsi="Cambria" w:cs="Calibri"/>
                <w:lang w:val="de-DE"/>
              </w:rPr>
              <w:t>Naglasak</w:t>
            </w:r>
            <w:proofErr w:type="spellEnd"/>
            <w:r w:rsidRPr="00DF4CE5">
              <w:rPr>
                <w:rFonts w:ascii="Cambria" w:eastAsia="Times New Roman" w:hAnsi="Cambria" w:cs="Calibri"/>
                <w:lang w:val="de-DE"/>
              </w:rPr>
              <w:t xml:space="preserve">, </w:t>
            </w:r>
            <w:proofErr w:type="spellStart"/>
            <w:r w:rsidRPr="00DF4CE5">
              <w:rPr>
                <w:rFonts w:ascii="Cambria" w:eastAsia="Times New Roman" w:hAnsi="Cambria" w:cs="Calibri"/>
                <w:lang w:val="de-DE"/>
              </w:rPr>
              <w:t>Školska</w:t>
            </w:r>
            <w:proofErr w:type="spellEnd"/>
            <w:r w:rsidRPr="00DF4CE5">
              <w:rPr>
                <w:rFonts w:ascii="Cambria" w:eastAsia="Times New Roman" w:hAnsi="Cambria" w:cs="Calibri"/>
                <w:lang w:val="de-DE"/>
              </w:rPr>
              <w:t xml:space="preserve"> </w:t>
            </w:r>
            <w:proofErr w:type="spellStart"/>
            <w:r w:rsidRPr="00DF4CE5">
              <w:rPr>
                <w:rFonts w:ascii="Cambria" w:eastAsia="Times New Roman" w:hAnsi="Cambria" w:cs="Calibri"/>
                <w:lang w:val="de-DE"/>
              </w:rPr>
              <w:t>knjiga</w:t>
            </w:r>
            <w:proofErr w:type="spellEnd"/>
            <w:r w:rsidRPr="00DF4CE5">
              <w:rPr>
                <w:rFonts w:ascii="Cambria" w:eastAsia="Times New Roman" w:hAnsi="Cambria" w:cs="Calibri"/>
                <w:lang w:val="de-DE"/>
              </w:rPr>
              <w:t>, Zagreb, 1993.</w:t>
            </w:r>
          </w:p>
          <w:p w14:paraId="0C076908" w14:textId="77777777" w:rsidR="00734AC9" w:rsidRPr="00DF4CE5" w:rsidRDefault="00734AC9" w:rsidP="00A034E3">
            <w:pPr>
              <w:numPr>
                <w:ilvl w:val="0"/>
                <w:numId w:val="53"/>
              </w:numPr>
              <w:spacing w:after="0" w:line="240" w:lineRule="auto"/>
              <w:jc w:val="both"/>
              <w:rPr>
                <w:rFonts w:ascii="Cambria" w:eastAsia="Times New Roman" w:hAnsi="Cambria" w:cs="Calibri"/>
                <w:lang w:val="de-DE"/>
              </w:rPr>
            </w:pPr>
            <w:proofErr w:type="spellStart"/>
            <w:r w:rsidRPr="00DF4CE5">
              <w:rPr>
                <w:rFonts w:ascii="Cambria" w:eastAsia="Times New Roman" w:hAnsi="Cambria" w:cs="Calibri"/>
                <w:lang w:val="de-DE"/>
              </w:rPr>
              <w:t>Gottesman</w:t>
            </w:r>
            <w:proofErr w:type="spellEnd"/>
            <w:r w:rsidRPr="00DF4CE5">
              <w:rPr>
                <w:rFonts w:ascii="Cambria" w:eastAsia="Times New Roman" w:hAnsi="Cambria" w:cs="Calibri"/>
                <w:lang w:val="de-DE"/>
              </w:rPr>
              <w:t xml:space="preserve">, D. i Mauro, B.: </w:t>
            </w:r>
            <w:proofErr w:type="spellStart"/>
            <w:r w:rsidRPr="00DF4CE5">
              <w:rPr>
                <w:rFonts w:ascii="Cambria" w:eastAsia="Times New Roman" w:hAnsi="Cambria" w:cs="Calibri"/>
                <w:lang w:val="de-DE"/>
              </w:rPr>
              <w:t>Umijeće</w:t>
            </w:r>
            <w:proofErr w:type="spellEnd"/>
            <w:r w:rsidRPr="00DF4CE5">
              <w:rPr>
                <w:rFonts w:ascii="Cambria" w:eastAsia="Times New Roman" w:hAnsi="Cambria" w:cs="Calibri"/>
                <w:lang w:val="de-DE"/>
              </w:rPr>
              <w:t xml:space="preserve"> </w:t>
            </w:r>
            <w:proofErr w:type="spellStart"/>
            <w:r w:rsidRPr="00DF4CE5">
              <w:rPr>
                <w:rFonts w:ascii="Cambria" w:eastAsia="Times New Roman" w:hAnsi="Cambria" w:cs="Calibri"/>
                <w:lang w:val="de-DE"/>
              </w:rPr>
              <w:t>javnog</w:t>
            </w:r>
            <w:proofErr w:type="spellEnd"/>
            <w:r w:rsidRPr="00DF4CE5">
              <w:rPr>
                <w:rFonts w:ascii="Cambria" w:eastAsia="Times New Roman" w:hAnsi="Cambria" w:cs="Calibri"/>
                <w:lang w:val="de-DE"/>
              </w:rPr>
              <w:t xml:space="preserve"> </w:t>
            </w:r>
            <w:proofErr w:type="spellStart"/>
            <w:r w:rsidRPr="00DF4CE5">
              <w:rPr>
                <w:rFonts w:ascii="Cambria" w:eastAsia="Times New Roman" w:hAnsi="Cambria" w:cs="Calibri"/>
                <w:lang w:val="de-DE"/>
              </w:rPr>
              <w:t>nastupa</w:t>
            </w:r>
            <w:proofErr w:type="spellEnd"/>
            <w:r w:rsidRPr="00DF4CE5">
              <w:rPr>
                <w:rFonts w:ascii="Cambria" w:eastAsia="Times New Roman" w:hAnsi="Cambria" w:cs="Calibri"/>
                <w:lang w:val="de-DE"/>
              </w:rPr>
              <w:t xml:space="preserve">, </w:t>
            </w:r>
            <w:proofErr w:type="spellStart"/>
            <w:r w:rsidRPr="00DF4CE5">
              <w:rPr>
                <w:rFonts w:ascii="Cambria" w:eastAsia="Times New Roman" w:hAnsi="Cambria" w:cs="Calibri"/>
                <w:lang w:val="de-DE"/>
              </w:rPr>
              <w:t>Naklada</w:t>
            </w:r>
            <w:proofErr w:type="spellEnd"/>
            <w:r w:rsidRPr="00DF4CE5">
              <w:rPr>
                <w:rFonts w:ascii="Cambria" w:eastAsia="Times New Roman" w:hAnsi="Cambria" w:cs="Calibri"/>
                <w:lang w:val="de-DE"/>
              </w:rPr>
              <w:t xml:space="preserve"> </w:t>
            </w:r>
            <w:proofErr w:type="spellStart"/>
            <w:r w:rsidRPr="00DF4CE5">
              <w:rPr>
                <w:rFonts w:ascii="Cambria" w:eastAsia="Times New Roman" w:hAnsi="Cambria" w:cs="Calibri"/>
                <w:lang w:val="de-DE"/>
              </w:rPr>
              <w:t>Jesenski</w:t>
            </w:r>
            <w:proofErr w:type="spellEnd"/>
            <w:r w:rsidRPr="00DF4CE5">
              <w:rPr>
                <w:rFonts w:ascii="Cambria" w:eastAsia="Times New Roman" w:hAnsi="Cambria" w:cs="Calibri"/>
                <w:lang w:val="de-DE"/>
              </w:rPr>
              <w:t xml:space="preserve"> i Turk, Zagreb, 2006.</w:t>
            </w:r>
          </w:p>
          <w:p w14:paraId="13551C78" w14:textId="77777777" w:rsidR="00734AC9" w:rsidRPr="00DF4CE5" w:rsidRDefault="00734AC9" w:rsidP="00A034E3">
            <w:pPr>
              <w:numPr>
                <w:ilvl w:val="0"/>
                <w:numId w:val="53"/>
              </w:numPr>
              <w:spacing w:after="0" w:line="240" w:lineRule="auto"/>
              <w:jc w:val="both"/>
              <w:rPr>
                <w:rFonts w:ascii="Cambria" w:eastAsia="Times New Roman" w:hAnsi="Cambria" w:cs="Calibri"/>
              </w:rPr>
            </w:pPr>
            <w:r w:rsidRPr="00DF4CE5">
              <w:rPr>
                <w:rFonts w:ascii="Cambria" w:eastAsia="Times New Roman" w:hAnsi="Cambria" w:cs="Calibri"/>
              </w:rPr>
              <w:t xml:space="preserve">Meyer, M, M. M. Carrilho, B.  Timmermans: </w:t>
            </w:r>
            <w:proofErr w:type="spellStart"/>
            <w:r w:rsidRPr="00DF4CE5">
              <w:rPr>
                <w:rFonts w:ascii="Cambria" w:eastAsia="Times New Roman" w:hAnsi="Cambria" w:cs="Calibri"/>
              </w:rPr>
              <w:t>Povijest</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retorike</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od</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Grka</w:t>
            </w:r>
            <w:proofErr w:type="spellEnd"/>
            <w:r w:rsidRPr="00DF4CE5">
              <w:rPr>
                <w:rFonts w:ascii="Cambria" w:eastAsia="Times New Roman" w:hAnsi="Cambria" w:cs="Calibri"/>
              </w:rPr>
              <w:t xml:space="preserve"> do </w:t>
            </w:r>
            <w:proofErr w:type="spellStart"/>
            <w:r w:rsidRPr="00DF4CE5">
              <w:rPr>
                <w:rFonts w:ascii="Cambria" w:eastAsia="Times New Roman" w:hAnsi="Cambria" w:cs="Calibri"/>
              </w:rPr>
              <w:t>naših</w:t>
            </w:r>
            <w:proofErr w:type="spellEnd"/>
            <w:r w:rsidRPr="00DF4CE5">
              <w:rPr>
                <w:rFonts w:ascii="Cambria" w:eastAsia="Times New Roman" w:hAnsi="Cambria" w:cs="Calibri"/>
              </w:rPr>
              <w:t xml:space="preserve"> dana, </w:t>
            </w:r>
            <w:proofErr w:type="spellStart"/>
            <w:r w:rsidRPr="00DF4CE5">
              <w:rPr>
                <w:rFonts w:ascii="Cambria" w:eastAsia="Times New Roman" w:hAnsi="Cambria" w:cs="Calibri"/>
              </w:rPr>
              <w:t>Disput</w:t>
            </w:r>
            <w:proofErr w:type="spellEnd"/>
            <w:r w:rsidRPr="00DF4CE5">
              <w:rPr>
                <w:rFonts w:ascii="Cambria" w:eastAsia="Times New Roman" w:hAnsi="Cambria" w:cs="Calibri"/>
              </w:rPr>
              <w:t>, Zagreb, 2008.</w:t>
            </w:r>
          </w:p>
          <w:p w14:paraId="4331E2CA" w14:textId="77777777" w:rsidR="00734AC9" w:rsidRPr="00DF4CE5" w:rsidRDefault="00734AC9" w:rsidP="00A034E3">
            <w:pPr>
              <w:numPr>
                <w:ilvl w:val="0"/>
                <w:numId w:val="53"/>
              </w:numPr>
              <w:spacing w:after="0" w:line="240" w:lineRule="auto"/>
              <w:jc w:val="both"/>
              <w:rPr>
                <w:rFonts w:ascii="Cambria" w:eastAsia="Times New Roman" w:hAnsi="Cambria" w:cs="Calibri"/>
                <w:lang w:val="hr-HR"/>
              </w:rPr>
            </w:pPr>
            <w:r w:rsidRPr="00DF4CE5">
              <w:rPr>
                <w:rFonts w:ascii="Cambria" w:eastAsia="Times New Roman" w:hAnsi="Cambria" w:cs="Calibri"/>
                <w:lang w:val="it-IT"/>
              </w:rPr>
              <w:t xml:space="preserve">Morris, D.: </w:t>
            </w:r>
            <w:proofErr w:type="spellStart"/>
            <w:r w:rsidRPr="00DF4CE5">
              <w:rPr>
                <w:rFonts w:ascii="Cambria" w:eastAsia="Times New Roman" w:hAnsi="Cambria" w:cs="Calibri"/>
                <w:lang w:val="it-IT"/>
              </w:rPr>
              <w:t>Govor</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tijela</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Priručnik</w:t>
            </w:r>
            <w:proofErr w:type="spellEnd"/>
            <w:r w:rsidRPr="00DF4CE5">
              <w:rPr>
                <w:rFonts w:ascii="Cambria" w:eastAsia="Times New Roman" w:hAnsi="Cambria" w:cs="Calibri"/>
                <w:lang w:val="it-IT"/>
              </w:rPr>
              <w:t xml:space="preserve"> o </w:t>
            </w:r>
            <w:proofErr w:type="spellStart"/>
            <w:r w:rsidRPr="00DF4CE5">
              <w:rPr>
                <w:rFonts w:ascii="Cambria" w:eastAsia="Times New Roman" w:hAnsi="Cambria" w:cs="Calibri"/>
                <w:lang w:val="it-IT"/>
              </w:rPr>
              <w:t>ljudskoj</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vrsti</w:t>
            </w:r>
            <w:proofErr w:type="spellEnd"/>
            <w:r w:rsidRPr="00DF4CE5">
              <w:rPr>
                <w:rFonts w:ascii="Cambria" w:eastAsia="Times New Roman" w:hAnsi="Cambria" w:cs="Calibri"/>
                <w:lang w:val="it-IT"/>
              </w:rPr>
              <w:t xml:space="preserve">. </w:t>
            </w:r>
            <w:r w:rsidRPr="00DF4CE5">
              <w:rPr>
                <w:rFonts w:ascii="Cambria" w:eastAsia="Times New Roman" w:hAnsi="Cambria" w:cs="Calibri"/>
                <w:lang w:val="hr-HR"/>
              </w:rPr>
              <w:t>August Cesarec, Zagreb, 1985.</w:t>
            </w:r>
          </w:p>
          <w:p w14:paraId="6BD625E3" w14:textId="77777777" w:rsidR="00734AC9" w:rsidRPr="00DF4CE5" w:rsidRDefault="00734AC9" w:rsidP="00A034E3">
            <w:pPr>
              <w:numPr>
                <w:ilvl w:val="0"/>
                <w:numId w:val="53"/>
              </w:numPr>
              <w:spacing w:after="0" w:line="240" w:lineRule="auto"/>
              <w:jc w:val="both"/>
              <w:rPr>
                <w:rFonts w:ascii="Cambria" w:eastAsia="Times New Roman" w:hAnsi="Cambria" w:cs="Calibri"/>
                <w:lang w:val="hr-HR"/>
              </w:rPr>
            </w:pPr>
            <w:proofErr w:type="spellStart"/>
            <w:r w:rsidRPr="00DF4CE5">
              <w:rPr>
                <w:rFonts w:ascii="Cambria" w:eastAsia="Times New Roman" w:hAnsi="Cambria" w:cs="Calibri"/>
                <w:lang w:val="hr-HR"/>
              </w:rPr>
              <w:t>Neill</w:t>
            </w:r>
            <w:proofErr w:type="spellEnd"/>
            <w:r w:rsidRPr="00DF4CE5">
              <w:rPr>
                <w:rFonts w:ascii="Cambria" w:eastAsia="Times New Roman" w:hAnsi="Cambria" w:cs="Calibri"/>
                <w:lang w:val="hr-HR"/>
              </w:rPr>
              <w:t>, S.: Neverbalna komunikacija u razredu, Educa, Zagreb, 1994.</w:t>
            </w:r>
          </w:p>
          <w:p w14:paraId="117872C0" w14:textId="77777777" w:rsidR="00734AC9" w:rsidRPr="00DF4CE5" w:rsidRDefault="00734AC9" w:rsidP="00A034E3">
            <w:pPr>
              <w:numPr>
                <w:ilvl w:val="0"/>
                <w:numId w:val="53"/>
              </w:numPr>
              <w:spacing w:after="0" w:line="240" w:lineRule="auto"/>
              <w:jc w:val="both"/>
              <w:rPr>
                <w:rFonts w:ascii="Cambria" w:eastAsia="Times New Roman" w:hAnsi="Cambria" w:cs="Calibri"/>
              </w:rPr>
            </w:pPr>
            <w:r w:rsidRPr="00DF4CE5">
              <w:rPr>
                <w:rFonts w:ascii="Cambria" w:eastAsia="Times New Roman" w:hAnsi="Cambria" w:cs="Calibri"/>
              </w:rPr>
              <w:t xml:space="preserve">Pease, A.: </w:t>
            </w:r>
            <w:proofErr w:type="spellStart"/>
            <w:r w:rsidRPr="00DF4CE5">
              <w:rPr>
                <w:rFonts w:ascii="Cambria" w:eastAsia="Times New Roman" w:hAnsi="Cambria" w:cs="Calibri"/>
              </w:rPr>
              <w:t>Govor</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tijela</w:t>
            </w:r>
            <w:proofErr w:type="spellEnd"/>
            <w:r w:rsidRPr="00DF4CE5">
              <w:rPr>
                <w:rFonts w:ascii="Cambria" w:eastAsia="Times New Roman" w:hAnsi="Cambria" w:cs="Calibri"/>
              </w:rPr>
              <w:t>, AGM, Zagreb, 2002.</w:t>
            </w:r>
          </w:p>
          <w:p w14:paraId="54D6D7D6" w14:textId="77777777" w:rsidR="00734AC9" w:rsidRPr="00DF4CE5" w:rsidRDefault="00734AC9" w:rsidP="00A034E3">
            <w:pPr>
              <w:numPr>
                <w:ilvl w:val="0"/>
                <w:numId w:val="53"/>
              </w:numPr>
              <w:spacing w:after="0" w:line="240" w:lineRule="auto"/>
              <w:jc w:val="both"/>
              <w:rPr>
                <w:rFonts w:ascii="Cambria" w:eastAsia="Times New Roman" w:hAnsi="Cambria" w:cs="Calibri"/>
              </w:rPr>
            </w:pPr>
            <w:r w:rsidRPr="00DF4CE5">
              <w:rPr>
                <w:rFonts w:ascii="Cambria" w:eastAsia="Times New Roman" w:hAnsi="Cambria" w:cs="Calibri"/>
              </w:rPr>
              <w:t xml:space="preserve">Rosić, V.: </w:t>
            </w:r>
            <w:proofErr w:type="spellStart"/>
            <w:r w:rsidRPr="00DF4CE5">
              <w:rPr>
                <w:rFonts w:ascii="Cambria" w:eastAsia="Times New Roman" w:hAnsi="Cambria" w:cs="Calibri"/>
              </w:rPr>
              <w:t>Tehnika</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pregovaranja</w:t>
            </w:r>
            <w:proofErr w:type="spellEnd"/>
            <w:r w:rsidRPr="00DF4CE5">
              <w:rPr>
                <w:rFonts w:ascii="Cambria" w:eastAsia="Times New Roman" w:hAnsi="Cambria" w:cs="Calibri"/>
              </w:rPr>
              <w:t xml:space="preserve"> I </w:t>
            </w:r>
            <w:proofErr w:type="spellStart"/>
            <w:r w:rsidRPr="00DF4CE5">
              <w:rPr>
                <w:rFonts w:ascii="Cambria" w:eastAsia="Times New Roman" w:hAnsi="Cambria" w:cs="Calibri"/>
              </w:rPr>
              <w:t>retorika</w:t>
            </w:r>
            <w:proofErr w:type="spellEnd"/>
            <w:r w:rsidRPr="00DF4CE5">
              <w:rPr>
                <w:rFonts w:ascii="Cambria" w:eastAsia="Times New Roman" w:hAnsi="Cambria" w:cs="Calibri"/>
              </w:rPr>
              <w:t xml:space="preserve">, Visoka </w:t>
            </w:r>
            <w:proofErr w:type="spellStart"/>
            <w:r w:rsidRPr="00DF4CE5">
              <w:rPr>
                <w:rFonts w:ascii="Cambria" w:eastAsia="Times New Roman" w:hAnsi="Cambria" w:cs="Calibri"/>
              </w:rPr>
              <w:t>tehnička</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škola</w:t>
            </w:r>
            <w:proofErr w:type="spellEnd"/>
            <w:r w:rsidRPr="00DF4CE5">
              <w:rPr>
                <w:rFonts w:ascii="Cambria" w:eastAsia="Times New Roman" w:hAnsi="Cambria" w:cs="Calibri"/>
              </w:rPr>
              <w:t xml:space="preserve"> u Puli, </w:t>
            </w:r>
            <w:proofErr w:type="spellStart"/>
            <w:r w:rsidRPr="00DF4CE5">
              <w:rPr>
                <w:rFonts w:ascii="Cambria" w:eastAsia="Times New Roman" w:hAnsi="Cambria" w:cs="Calibri"/>
              </w:rPr>
              <w:t>Politehnički</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studij</w:t>
            </w:r>
            <w:proofErr w:type="spellEnd"/>
            <w:r w:rsidRPr="00DF4CE5">
              <w:rPr>
                <w:rFonts w:ascii="Cambria" w:eastAsia="Times New Roman" w:hAnsi="Cambria" w:cs="Calibri"/>
              </w:rPr>
              <w:t>, Pula, 2006.</w:t>
            </w:r>
          </w:p>
          <w:p w14:paraId="51230D66" w14:textId="77777777" w:rsidR="00734AC9" w:rsidRPr="00DF4CE5" w:rsidRDefault="00734AC9" w:rsidP="00A034E3">
            <w:pPr>
              <w:numPr>
                <w:ilvl w:val="0"/>
                <w:numId w:val="53"/>
              </w:numPr>
              <w:spacing w:after="0" w:line="240" w:lineRule="auto"/>
              <w:jc w:val="both"/>
              <w:rPr>
                <w:rFonts w:ascii="Cambria" w:eastAsia="Times New Roman" w:hAnsi="Cambria" w:cs="Calibri"/>
              </w:rPr>
            </w:pPr>
            <w:proofErr w:type="spellStart"/>
            <w:r w:rsidRPr="00DF4CE5">
              <w:rPr>
                <w:rFonts w:ascii="Cambria" w:eastAsia="Times New Roman" w:hAnsi="Cambria" w:cs="Calibri"/>
              </w:rPr>
              <w:t>Škarić</w:t>
            </w:r>
            <w:proofErr w:type="spellEnd"/>
            <w:r w:rsidRPr="00DF4CE5">
              <w:rPr>
                <w:rFonts w:ascii="Cambria" w:eastAsia="Times New Roman" w:hAnsi="Cambria" w:cs="Calibri"/>
              </w:rPr>
              <w:t xml:space="preserve">, </w:t>
            </w:r>
            <w:proofErr w:type="gramStart"/>
            <w:r w:rsidRPr="00DF4CE5">
              <w:rPr>
                <w:rFonts w:ascii="Cambria" w:eastAsia="Times New Roman" w:hAnsi="Cambria" w:cs="Calibri"/>
              </w:rPr>
              <w:t>I. :</w:t>
            </w:r>
            <w:proofErr w:type="gramEnd"/>
            <w:r w:rsidRPr="00DF4CE5">
              <w:rPr>
                <w:rFonts w:ascii="Cambria" w:eastAsia="Times New Roman" w:hAnsi="Cambria" w:cs="Calibri"/>
              </w:rPr>
              <w:t xml:space="preserve"> U </w:t>
            </w:r>
            <w:proofErr w:type="spellStart"/>
            <w:r w:rsidRPr="00DF4CE5">
              <w:rPr>
                <w:rFonts w:ascii="Cambria" w:eastAsia="Times New Roman" w:hAnsi="Cambria" w:cs="Calibri"/>
              </w:rPr>
              <w:t>potrazi</w:t>
            </w:r>
            <w:proofErr w:type="spellEnd"/>
            <w:r w:rsidRPr="00DF4CE5">
              <w:rPr>
                <w:rFonts w:ascii="Cambria" w:eastAsia="Times New Roman" w:hAnsi="Cambria" w:cs="Calibri"/>
              </w:rPr>
              <w:t xml:space="preserve"> za </w:t>
            </w:r>
            <w:proofErr w:type="spellStart"/>
            <w:r w:rsidRPr="00DF4CE5">
              <w:rPr>
                <w:rFonts w:ascii="Cambria" w:eastAsia="Times New Roman" w:hAnsi="Cambria" w:cs="Calibri"/>
              </w:rPr>
              <w:t>izgubljenim</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govorom</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Školska</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knjiga</w:t>
            </w:r>
            <w:proofErr w:type="spellEnd"/>
            <w:r w:rsidRPr="00DF4CE5">
              <w:rPr>
                <w:rFonts w:ascii="Cambria" w:eastAsia="Times New Roman" w:hAnsi="Cambria" w:cs="Calibri"/>
              </w:rPr>
              <w:t>, Zagreb, 1988.</w:t>
            </w:r>
          </w:p>
          <w:p w14:paraId="48C5E808" w14:textId="77777777" w:rsidR="00734AC9" w:rsidRPr="00DF4CE5" w:rsidRDefault="00734AC9" w:rsidP="00A034E3">
            <w:pPr>
              <w:numPr>
                <w:ilvl w:val="0"/>
                <w:numId w:val="53"/>
              </w:numPr>
              <w:spacing w:after="0" w:line="240" w:lineRule="auto"/>
              <w:jc w:val="both"/>
              <w:rPr>
                <w:rFonts w:ascii="Cambria" w:eastAsia="Times New Roman" w:hAnsi="Cambria" w:cs="Calibri"/>
              </w:rPr>
            </w:pPr>
            <w:proofErr w:type="spellStart"/>
            <w:r w:rsidRPr="00DF4CE5">
              <w:rPr>
                <w:rFonts w:ascii="Cambria" w:eastAsia="Times New Roman" w:hAnsi="Cambria" w:cs="Calibri"/>
              </w:rPr>
              <w:t>Skupina</w:t>
            </w:r>
            <w:proofErr w:type="spellEnd"/>
            <w:r w:rsidRPr="00DF4CE5">
              <w:rPr>
                <w:rFonts w:ascii="Cambria" w:eastAsia="Times New Roman" w:hAnsi="Cambria" w:cs="Calibri"/>
              </w:rPr>
              <w:t xml:space="preserve"> </w:t>
            </w:r>
            <w:proofErr w:type="spellStart"/>
            <w:proofErr w:type="gramStart"/>
            <w:r w:rsidRPr="00DF4CE5">
              <w:rPr>
                <w:rFonts w:ascii="Cambria" w:eastAsia="Times New Roman" w:hAnsi="Cambria" w:cs="Calibri"/>
              </w:rPr>
              <w:t>autora</w:t>
            </w:r>
            <w:proofErr w:type="spellEnd"/>
            <w:r w:rsidRPr="00DF4CE5">
              <w:rPr>
                <w:rFonts w:ascii="Cambria" w:eastAsia="Times New Roman" w:hAnsi="Cambria" w:cs="Calibri"/>
              </w:rPr>
              <w:t xml:space="preserve"> :</w:t>
            </w:r>
            <w:proofErr w:type="gramEnd"/>
            <w:r w:rsidRPr="00DF4CE5">
              <w:rPr>
                <w:rFonts w:ascii="Cambria" w:eastAsia="Times New Roman" w:hAnsi="Cambria" w:cs="Calibri"/>
              </w:rPr>
              <w:t xml:space="preserve"> Hrvatski </w:t>
            </w:r>
            <w:proofErr w:type="spellStart"/>
            <w:r w:rsidRPr="00DF4CE5">
              <w:rPr>
                <w:rFonts w:ascii="Cambria" w:eastAsia="Times New Roman" w:hAnsi="Cambria" w:cs="Calibri"/>
              </w:rPr>
              <w:t>jezični</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savjetnik</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Institut</w:t>
            </w:r>
            <w:proofErr w:type="spellEnd"/>
            <w:r w:rsidRPr="00DF4CE5">
              <w:rPr>
                <w:rFonts w:ascii="Cambria" w:eastAsia="Times New Roman" w:hAnsi="Cambria" w:cs="Calibri"/>
              </w:rPr>
              <w:t xml:space="preserve"> za </w:t>
            </w:r>
            <w:proofErr w:type="spellStart"/>
            <w:r w:rsidRPr="00DF4CE5">
              <w:rPr>
                <w:rFonts w:ascii="Cambria" w:eastAsia="Times New Roman" w:hAnsi="Cambria" w:cs="Calibri"/>
              </w:rPr>
              <w:t>hrvatski</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jezik</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i</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jezikoslovlje</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Pergamena</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Školske</w:t>
            </w:r>
            <w:proofErr w:type="spellEnd"/>
            <w:r w:rsidRPr="00DF4CE5">
              <w:rPr>
                <w:rFonts w:ascii="Cambria" w:eastAsia="Times New Roman" w:hAnsi="Cambria" w:cs="Calibri"/>
              </w:rPr>
              <w:t xml:space="preserve"> novine, Zagreb, 1999.</w:t>
            </w:r>
          </w:p>
          <w:p w14:paraId="6B635CE9" w14:textId="77777777" w:rsidR="00734AC9" w:rsidRPr="00DF4CE5" w:rsidRDefault="00734AC9" w:rsidP="00A034E3">
            <w:pPr>
              <w:numPr>
                <w:ilvl w:val="0"/>
                <w:numId w:val="53"/>
              </w:numPr>
              <w:spacing w:after="0" w:line="240" w:lineRule="auto"/>
              <w:jc w:val="both"/>
              <w:rPr>
                <w:rFonts w:ascii="Cambria" w:eastAsia="Times New Roman" w:hAnsi="Cambria" w:cs="Calibri"/>
              </w:rPr>
            </w:pPr>
            <w:proofErr w:type="spellStart"/>
            <w:r w:rsidRPr="00DF4CE5">
              <w:rPr>
                <w:rFonts w:ascii="Cambria" w:eastAsia="Times New Roman" w:hAnsi="Cambria" w:cs="Calibri"/>
              </w:rPr>
              <w:t>Varošanec-Škarić</w:t>
            </w:r>
            <w:proofErr w:type="spellEnd"/>
            <w:r w:rsidRPr="00DF4CE5">
              <w:rPr>
                <w:rFonts w:ascii="Cambria" w:eastAsia="Times New Roman" w:hAnsi="Cambria" w:cs="Calibri"/>
              </w:rPr>
              <w:t xml:space="preserve">, G.: </w:t>
            </w:r>
            <w:proofErr w:type="spellStart"/>
            <w:r w:rsidRPr="00DF4CE5">
              <w:rPr>
                <w:rFonts w:ascii="Cambria" w:eastAsia="Times New Roman" w:hAnsi="Cambria" w:cs="Calibri"/>
              </w:rPr>
              <w:t>Timbar</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Filozofski</w:t>
            </w:r>
            <w:proofErr w:type="spellEnd"/>
            <w:r w:rsidRPr="00DF4CE5">
              <w:rPr>
                <w:rFonts w:ascii="Cambria" w:eastAsia="Times New Roman" w:hAnsi="Cambria" w:cs="Calibri"/>
              </w:rPr>
              <w:t xml:space="preserve"> </w:t>
            </w:r>
            <w:proofErr w:type="spellStart"/>
            <w:proofErr w:type="gramStart"/>
            <w:r w:rsidRPr="00DF4CE5">
              <w:rPr>
                <w:rFonts w:ascii="Cambria" w:eastAsia="Times New Roman" w:hAnsi="Cambria" w:cs="Calibri"/>
              </w:rPr>
              <w:t>fakultet</w:t>
            </w:r>
            <w:proofErr w:type="spellEnd"/>
            <w:r w:rsidRPr="00DF4CE5">
              <w:rPr>
                <w:rFonts w:ascii="Cambria" w:eastAsia="Times New Roman" w:hAnsi="Cambria" w:cs="Calibri"/>
              </w:rPr>
              <w:t xml:space="preserve"> ,</w:t>
            </w:r>
            <w:proofErr w:type="gramEnd"/>
            <w:r w:rsidRPr="00DF4CE5">
              <w:rPr>
                <w:rFonts w:ascii="Cambria" w:eastAsia="Times New Roman" w:hAnsi="Cambria" w:cs="Calibri"/>
              </w:rPr>
              <w:t xml:space="preserve"> Zagreb, 2005.</w:t>
            </w:r>
          </w:p>
          <w:p w14:paraId="5DF046F6" w14:textId="77777777" w:rsidR="00734AC9" w:rsidRPr="00DF4CE5" w:rsidRDefault="00734AC9" w:rsidP="008B34AF">
            <w:pPr>
              <w:spacing w:after="0" w:line="240" w:lineRule="auto"/>
              <w:jc w:val="both"/>
              <w:rPr>
                <w:rFonts w:ascii="Cambria" w:eastAsia="Times New Roman" w:hAnsi="Cambria" w:cs="Calibri"/>
                <w:lang w:val="hr-HR"/>
              </w:rPr>
            </w:pPr>
            <w:r w:rsidRPr="00DF4CE5">
              <w:rPr>
                <w:rFonts w:ascii="Cambria" w:eastAsia="Times New Roman" w:hAnsi="Cambria" w:cs="Calibri"/>
                <w:lang w:val="hr-HR"/>
              </w:rPr>
              <w:t>Priručna:</w:t>
            </w:r>
          </w:p>
          <w:p w14:paraId="65DF2FFE" w14:textId="77777777" w:rsidR="00734AC9" w:rsidRPr="00DF4CE5" w:rsidRDefault="00734AC9" w:rsidP="00A034E3">
            <w:pPr>
              <w:numPr>
                <w:ilvl w:val="0"/>
                <w:numId w:val="54"/>
              </w:numPr>
              <w:spacing w:after="0" w:line="240" w:lineRule="auto"/>
              <w:jc w:val="both"/>
              <w:rPr>
                <w:rFonts w:ascii="Cambria" w:eastAsia="Times New Roman" w:hAnsi="Cambria" w:cs="Calibri"/>
                <w:lang w:val="hr-HR"/>
              </w:rPr>
            </w:pPr>
            <w:r w:rsidRPr="00DF4CE5">
              <w:rPr>
                <w:rFonts w:ascii="Cambria" w:eastAsia="Times New Roman" w:hAnsi="Cambria" w:cs="Calibri"/>
                <w:lang w:val="hr-HR"/>
              </w:rPr>
              <w:t>Brozović, D.: O normiranju književnih naglasaka, Jezik, 6, 1957/58., str. 65-72</w:t>
            </w:r>
          </w:p>
          <w:p w14:paraId="3E41214E" w14:textId="77777777" w:rsidR="00734AC9" w:rsidRPr="00DF4CE5" w:rsidRDefault="00734AC9" w:rsidP="00A034E3">
            <w:pPr>
              <w:numPr>
                <w:ilvl w:val="0"/>
                <w:numId w:val="54"/>
              </w:numPr>
              <w:spacing w:after="0" w:line="240" w:lineRule="auto"/>
              <w:jc w:val="both"/>
              <w:rPr>
                <w:rFonts w:ascii="Cambria" w:eastAsia="Times New Roman" w:hAnsi="Cambria" w:cs="Calibri"/>
              </w:rPr>
            </w:pPr>
            <w:proofErr w:type="spellStart"/>
            <w:r w:rsidRPr="00DF4CE5">
              <w:rPr>
                <w:rFonts w:ascii="Cambria" w:eastAsia="Times New Roman" w:hAnsi="Cambria" w:cs="Calibri"/>
              </w:rPr>
              <w:t>Škarić</w:t>
            </w:r>
            <w:proofErr w:type="spellEnd"/>
            <w:r w:rsidRPr="00DF4CE5">
              <w:rPr>
                <w:rFonts w:ascii="Cambria" w:eastAsia="Times New Roman" w:hAnsi="Cambria" w:cs="Calibri"/>
              </w:rPr>
              <w:t xml:space="preserve">, I.: </w:t>
            </w:r>
            <w:proofErr w:type="spellStart"/>
            <w:r w:rsidRPr="00DF4CE5">
              <w:rPr>
                <w:rFonts w:ascii="Cambria" w:eastAsia="Times New Roman" w:hAnsi="Cambria" w:cs="Calibri"/>
              </w:rPr>
              <w:t>Sociofonetski</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pristup</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standardnom</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naglašavanju</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Govor</w:t>
            </w:r>
            <w:proofErr w:type="spellEnd"/>
            <w:r w:rsidRPr="00DF4CE5">
              <w:rPr>
                <w:rFonts w:ascii="Cambria" w:eastAsia="Times New Roman" w:hAnsi="Cambria" w:cs="Calibri"/>
              </w:rPr>
              <w:t>/Speech, XV, 2, 1999., str. 117-137.</w:t>
            </w:r>
          </w:p>
          <w:p w14:paraId="63A774BE" w14:textId="77777777" w:rsidR="00734AC9" w:rsidRPr="00DF4CE5" w:rsidRDefault="00734AC9" w:rsidP="00A034E3">
            <w:pPr>
              <w:numPr>
                <w:ilvl w:val="0"/>
                <w:numId w:val="54"/>
              </w:numPr>
              <w:spacing w:after="0" w:line="240" w:lineRule="auto"/>
              <w:jc w:val="both"/>
              <w:rPr>
                <w:rFonts w:ascii="Cambria" w:eastAsia="Times New Roman" w:hAnsi="Cambria" w:cs="Calibri"/>
              </w:rPr>
            </w:pPr>
            <w:proofErr w:type="spellStart"/>
            <w:r w:rsidRPr="00DF4CE5">
              <w:rPr>
                <w:rFonts w:ascii="Cambria" w:eastAsia="Times New Roman" w:hAnsi="Cambria" w:cs="Calibri"/>
              </w:rPr>
              <w:t>Škarić</w:t>
            </w:r>
            <w:proofErr w:type="spellEnd"/>
            <w:r w:rsidRPr="00DF4CE5">
              <w:rPr>
                <w:rFonts w:ascii="Cambria" w:eastAsia="Times New Roman" w:hAnsi="Cambria" w:cs="Calibri"/>
              </w:rPr>
              <w:t xml:space="preserve">, I.: </w:t>
            </w:r>
            <w:proofErr w:type="spellStart"/>
            <w:r w:rsidRPr="00DF4CE5">
              <w:rPr>
                <w:rFonts w:ascii="Cambria" w:eastAsia="Times New Roman" w:hAnsi="Cambria" w:cs="Calibri"/>
              </w:rPr>
              <w:t>Razlikovna</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prozodija</w:t>
            </w:r>
            <w:proofErr w:type="spellEnd"/>
            <w:r w:rsidRPr="00DF4CE5">
              <w:rPr>
                <w:rFonts w:ascii="Cambria" w:eastAsia="Times New Roman" w:hAnsi="Cambria" w:cs="Calibri"/>
              </w:rPr>
              <w:t>, Jezik, 48, 1, 2001., str. 11-19.</w:t>
            </w:r>
          </w:p>
          <w:p w14:paraId="2A367AD6" w14:textId="77777777" w:rsidR="00734AC9" w:rsidRPr="00DF4CE5" w:rsidRDefault="00734AC9" w:rsidP="00A034E3">
            <w:pPr>
              <w:numPr>
                <w:ilvl w:val="0"/>
                <w:numId w:val="54"/>
              </w:numPr>
              <w:spacing w:after="0" w:line="240" w:lineRule="auto"/>
              <w:jc w:val="both"/>
              <w:rPr>
                <w:rFonts w:ascii="Cambria" w:eastAsia="Times New Roman" w:hAnsi="Cambria" w:cs="Calibri"/>
              </w:rPr>
            </w:pPr>
            <w:r w:rsidRPr="00DF4CE5">
              <w:rPr>
                <w:rFonts w:ascii="Cambria" w:eastAsia="Times New Roman" w:hAnsi="Cambria" w:cs="Calibri"/>
              </w:rPr>
              <w:lastRenderedPageBreak/>
              <w:t xml:space="preserve">Anić, V.: </w:t>
            </w:r>
            <w:proofErr w:type="spellStart"/>
            <w:r w:rsidRPr="00DF4CE5">
              <w:rPr>
                <w:rFonts w:ascii="Cambria" w:eastAsia="Times New Roman" w:hAnsi="Cambria" w:cs="Calibri"/>
              </w:rPr>
              <w:t>Rječnik</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hrvatskoga</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jezika</w:t>
            </w:r>
            <w:proofErr w:type="spellEnd"/>
            <w:r w:rsidRPr="00DF4CE5">
              <w:rPr>
                <w:rFonts w:ascii="Cambria" w:eastAsia="Times New Roman" w:hAnsi="Cambria" w:cs="Calibri"/>
              </w:rPr>
              <w:t>, Novi Liber, Zagreb, 2000.</w:t>
            </w:r>
          </w:p>
          <w:p w14:paraId="0713271B" w14:textId="77777777" w:rsidR="00734AC9" w:rsidRPr="00DF4CE5" w:rsidRDefault="00734AC9" w:rsidP="00A034E3">
            <w:pPr>
              <w:numPr>
                <w:ilvl w:val="0"/>
                <w:numId w:val="54"/>
              </w:numPr>
              <w:spacing w:after="0" w:line="240" w:lineRule="auto"/>
              <w:jc w:val="both"/>
              <w:rPr>
                <w:rFonts w:ascii="Cambria" w:eastAsia="Times New Roman" w:hAnsi="Cambria" w:cs="Calibri"/>
              </w:rPr>
            </w:pPr>
            <w:proofErr w:type="spellStart"/>
            <w:r w:rsidRPr="00DF4CE5">
              <w:rPr>
                <w:rFonts w:ascii="Cambria" w:eastAsia="Times New Roman" w:hAnsi="Cambria" w:cs="Calibri"/>
                <w:lang w:val="it-IT"/>
              </w:rPr>
              <w:t>Gramatike</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hrvatskoga</w:t>
            </w:r>
            <w:proofErr w:type="spellEnd"/>
            <w:r w:rsidRPr="00DF4CE5">
              <w:rPr>
                <w:rFonts w:ascii="Cambria" w:eastAsia="Times New Roman" w:hAnsi="Cambria" w:cs="Calibri"/>
                <w:lang w:val="it-IT"/>
              </w:rPr>
              <w:t xml:space="preserve"> </w:t>
            </w:r>
            <w:proofErr w:type="spellStart"/>
            <w:r w:rsidRPr="00DF4CE5">
              <w:rPr>
                <w:rFonts w:ascii="Cambria" w:eastAsia="Times New Roman" w:hAnsi="Cambria" w:cs="Calibri"/>
                <w:lang w:val="it-IT"/>
              </w:rPr>
              <w:t>jezika</w:t>
            </w:r>
            <w:proofErr w:type="spellEnd"/>
            <w:r w:rsidRPr="00DF4CE5">
              <w:rPr>
                <w:rFonts w:ascii="Cambria" w:eastAsia="Times New Roman" w:hAnsi="Cambria" w:cs="Calibri"/>
                <w:lang w:val="it-IT"/>
              </w:rPr>
              <w:t xml:space="preserve">. </w:t>
            </w:r>
          </w:p>
          <w:p w14:paraId="04CFF59A" w14:textId="77777777" w:rsidR="00734AC9" w:rsidRPr="00DF4CE5" w:rsidRDefault="00734AC9" w:rsidP="00A034E3">
            <w:pPr>
              <w:numPr>
                <w:ilvl w:val="0"/>
                <w:numId w:val="54"/>
              </w:numPr>
              <w:spacing w:after="0" w:line="240" w:lineRule="auto"/>
              <w:jc w:val="both"/>
              <w:rPr>
                <w:rFonts w:ascii="Cambria" w:eastAsia="Times New Roman" w:hAnsi="Cambria" w:cs="Calibri"/>
              </w:rPr>
            </w:pPr>
            <w:r w:rsidRPr="00DF4CE5">
              <w:rPr>
                <w:rFonts w:ascii="Cambria" w:eastAsia="Times New Roman" w:hAnsi="Cambria" w:cs="Calibri"/>
              </w:rPr>
              <w:t>"</w:t>
            </w:r>
            <w:proofErr w:type="spellStart"/>
            <w:r w:rsidRPr="00DF4CE5">
              <w:rPr>
                <w:rFonts w:ascii="Cambria" w:eastAsia="Times New Roman" w:hAnsi="Cambria" w:cs="Calibri"/>
              </w:rPr>
              <w:t>Klasici</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hrvatske</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književnosti</w:t>
            </w:r>
            <w:proofErr w:type="spellEnd"/>
            <w:r w:rsidRPr="00DF4CE5">
              <w:rPr>
                <w:rFonts w:ascii="Cambria" w:eastAsia="Times New Roman" w:hAnsi="Cambria" w:cs="Calibri"/>
              </w:rPr>
              <w:t xml:space="preserve"> II – PJESNIŠTVO </w:t>
            </w:r>
            <w:proofErr w:type="spellStart"/>
            <w:r w:rsidRPr="00DF4CE5">
              <w:rPr>
                <w:rFonts w:ascii="Cambria" w:eastAsia="Times New Roman" w:hAnsi="Cambria" w:cs="Calibri"/>
              </w:rPr>
              <w:t>na</w:t>
            </w:r>
            <w:proofErr w:type="spellEnd"/>
            <w:r w:rsidRPr="00DF4CE5">
              <w:rPr>
                <w:rFonts w:ascii="Cambria" w:eastAsia="Times New Roman" w:hAnsi="Cambria" w:cs="Calibri"/>
              </w:rPr>
              <w:t xml:space="preserve"> CD-ROM-u", </w:t>
            </w:r>
            <w:proofErr w:type="spellStart"/>
            <w:r w:rsidRPr="00DF4CE5">
              <w:rPr>
                <w:rFonts w:ascii="Cambria" w:eastAsia="Times New Roman" w:hAnsi="Cambria" w:cs="Calibri"/>
              </w:rPr>
              <w:t>Naklada</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Bulaja</w:t>
            </w:r>
            <w:proofErr w:type="spellEnd"/>
            <w:r w:rsidRPr="00DF4CE5">
              <w:rPr>
                <w:rFonts w:ascii="Cambria" w:eastAsia="Times New Roman" w:hAnsi="Cambria" w:cs="Calibri"/>
              </w:rPr>
              <w:t>, 1999.</w:t>
            </w:r>
          </w:p>
          <w:p w14:paraId="390DD0AA" w14:textId="77777777" w:rsidR="00734AC9" w:rsidRPr="00DF4CE5" w:rsidRDefault="00734AC9" w:rsidP="00A034E3">
            <w:pPr>
              <w:numPr>
                <w:ilvl w:val="0"/>
                <w:numId w:val="54"/>
              </w:numPr>
              <w:spacing w:after="0" w:line="240" w:lineRule="auto"/>
              <w:jc w:val="both"/>
              <w:rPr>
                <w:rFonts w:ascii="Cambria" w:eastAsia="Times New Roman" w:hAnsi="Cambria" w:cs="Calibri"/>
              </w:rPr>
            </w:pPr>
            <w:proofErr w:type="spellStart"/>
            <w:r w:rsidRPr="00DF4CE5">
              <w:rPr>
                <w:rFonts w:ascii="Cambria" w:eastAsia="Times New Roman" w:hAnsi="Cambria" w:cs="Calibri"/>
                <w:lang w:val="it-IT"/>
              </w:rPr>
              <w:t>Časopisi</w:t>
            </w:r>
            <w:proofErr w:type="spellEnd"/>
            <w:r w:rsidRPr="00DF4CE5">
              <w:rPr>
                <w:rFonts w:ascii="Cambria" w:eastAsia="Times New Roman" w:hAnsi="Cambria" w:cs="Calibri"/>
                <w:lang w:val="it-IT"/>
              </w:rPr>
              <w:t>:</w:t>
            </w:r>
          </w:p>
          <w:p w14:paraId="620ADAAE" w14:textId="77777777" w:rsidR="00734AC9" w:rsidRPr="00DF4CE5" w:rsidRDefault="00734AC9" w:rsidP="008B34AF">
            <w:pPr>
              <w:spacing w:after="0" w:line="240" w:lineRule="auto"/>
              <w:jc w:val="both"/>
              <w:rPr>
                <w:rFonts w:ascii="Cambria" w:eastAsia="Times New Roman" w:hAnsi="Cambria" w:cs="Calibri"/>
                <w:b/>
              </w:rPr>
            </w:pPr>
            <w:proofErr w:type="spellStart"/>
            <w:r w:rsidRPr="00DF4CE5">
              <w:rPr>
                <w:rFonts w:ascii="Cambria" w:eastAsia="Times New Roman" w:hAnsi="Cambria" w:cs="Calibri"/>
              </w:rPr>
              <w:t>Govor</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Suvremena</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lingvistika</w:t>
            </w:r>
            <w:proofErr w:type="spellEnd"/>
            <w:r w:rsidRPr="00DF4CE5">
              <w:rPr>
                <w:rFonts w:ascii="Cambria" w:eastAsia="Times New Roman" w:hAnsi="Cambria" w:cs="Calibri"/>
              </w:rPr>
              <w:t xml:space="preserve">, Jezik, </w:t>
            </w:r>
            <w:proofErr w:type="spellStart"/>
            <w:r w:rsidRPr="00DF4CE5">
              <w:rPr>
                <w:rFonts w:ascii="Cambria" w:eastAsia="Times New Roman" w:hAnsi="Cambria" w:cs="Calibri"/>
              </w:rPr>
              <w:t>Riječ</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Filologija</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Jezikoslovlje</w:t>
            </w:r>
            <w:proofErr w:type="spellEnd"/>
            <w:r w:rsidRPr="00DF4CE5">
              <w:rPr>
                <w:rFonts w:ascii="Cambria" w:eastAsia="Times New Roman" w:hAnsi="Cambria" w:cs="Calibri"/>
              </w:rPr>
              <w:t xml:space="preserve">, Rad HAZU </w:t>
            </w:r>
            <w:r w:rsidRPr="00DF4CE5">
              <w:rPr>
                <w:rFonts w:ascii="Cambria" w:eastAsia="Times New Roman" w:hAnsi="Cambria" w:cs="Calibri"/>
                <w:lang w:val="hr-HR"/>
              </w:rPr>
              <w:sym w:font="Symbol" w:char="F02D"/>
            </w:r>
            <w:r w:rsidRPr="00DF4CE5">
              <w:rPr>
                <w:rFonts w:ascii="Cambria" w:eastAsia="Times New Roman" w:hAnsi="Cambria" w:cs="Calibri"/>
              </w:rPr>
              <w:t xml:space="preserve"> </w:t>
            </w:r>
            <w:proofErr w:type="spellStart"/>
            <w:r w:rsidRPr="00DF4CE5">
              <w:rPr>
                <w:rFonts w:ascii="Cambria" w:eastAsia="Times New Roman" w:hAnsi="Cambria" w:cs="Calibri"/>
              </w:rPr>
              <w:t>Razred</w:t>
            </w:r>
            <w:proofErr w:type="spellEnd"/>
            <w:r w:rsidRPr="00DF4CE5">
              <w:rPr>
                <w:rFonts w:ascii="Cambria" w:eastAsia="Times New Roman" w:hAnsi="Cambria" w:cs="Calibri"/>
              </w:rPr>
              <w:t xml:space="preserve"> za </w:t>
            </w:r>
            <w:proofErr w:type="spellStart"/>
            <w:r w:rsidRPr="00DF4CE5">
              <w:rPr>
                <w:rFonts w:ascii="Cambria" w:eastAsia="Times New Roman" w:hAnsi="Cambria" w:cs="Calibri"/>
              </w:rPr>
              <w:t>filologiju</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Radovi</w:t>
            </w:r>
            <w:proofErr w:type="spellEnd"/>
            <w:r w:rsidRPr="00DF4CE5">
              <w:rPr>
                <w:rFonts w:ascii="Cambria" w:eastAsia="Times New Roman" w:hAnsi="Cambria" w:cs="Calibri"/>
              </w:rPr>
              <w:t xml:space="preserve"> Zavoda za </w:t>
            </w:r>
            <w:proofErr w:type="spellStart"/>
            <w:r w:rsidRPr="00DF4CE5">
              <w:rPr>
                <w:rFonts w:ascii="Cambria" w:eastAsia="Times New Roman" w:hAnsi="Cambria" w:cs="Calibri"/>
              </w:rPr>
              <w:t>slavensku</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filologiju</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Rasprave</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Instituta</w:t>
            </w:r>
            <w:proofErr w:type="spellEnd"/>
            <w:r w:rsidRPr="00DF4CE5">
              <w:rPr>
                <w:rFonts w:ascii="Cambria" w:eastAsia="Times New Roman" w:hAnsi="Cambria" w:cs="Calibri"/>
              </w:rPr>
              <w:t xml:space="preserve"> za </w:t>
            </w:r>
            <w:proofErr w:type="spellStart"/>
            <w:r w:rsidRPr="00DF4CE5">
              <w:rPr>
                <w:rFonts w:ascii="Cambria" w:eastAsia="Times New Roman" w:hAnsi="Cambria" w:cs="Calibri"/>
              </w:rPr>
              <w:t>hrvatski</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jezik</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Radovi</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Filozofskog</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fakulteta</w:t>
            </w:r>
            <w:proofErr w:type="spellEnd"/>
            <w:r w:rsidRPr="00DF4CE5">
              <w:rPr>
                <w:rFonts w:ascii="Cambria" w:eastAsia="Times New Roman" w:hAnsi="Cambria" w:cs="Calibri"/>
              </w:rPr>
              <w:t xml:space="preserve"> u </w:t>
            </w:r>
            <w:proofErr w:type="spellStart"/>
            <w:r w:rsidRPr="00DF4CE5">
              <w:rPr>
                <w:rFonts w:ascii="Cambria" w:eastAsia="Times New Roman" w:hAnsi="Cambria" w:cs="Calibri"/>
              </w:rPr>
              <w:t>Zadru</w:t>
            </w:r>
            <w:proofErr w:type="spellEnd"/>
            <w:r w:rsidRPr="00DF4CE5">
              <w:rPr>
                <w:rFonts w:ascii="Cambria" w:eastAsia="Times New Roman" w:hAnsi="Cambria" w:cs="Calibri"/>
              </w:rPr>
              <w:t xml:space="preserve"> </w:t>
            </w:r>
            <w:r w:rsidRPr="00DF4CE5">
              <w:rPr>
                <w:rFonts w:ascii="Cambria" w:eastAsia="Times New Roman" w:hAnsi="Cambria" w:cs="Calibri"/>
                <w:lang w:val="hr-HR"/>
              </w:rPr>
              <w:sym w:font="Symbol" w:char="F02D"/>
            </w:r>
            <w:r w:rsidRPr="00DF4CE5">
              <w:rPr>
                <w:rFonts w:ascii="Cambria" w:eastAsia="Times New Roman" w:hAnsi="Cambria" w:cs="Calibri"/>
              </w:rPr>
              <w:t xml:space="preserve"> </w:t>
            </w:r>
            <w:proofErr w:type="spellStart"/>
            <w:r w:rsidRPr="00DF4CE5">
              <w:rPr>
                <w:rFonts w:ascii="Cambria" w:eastAsia="Times New Roman" w:hAnsi="Cambria" w:cs="Calibri"/>
              </w:rPr>
              <w:t>Razdio</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filoloških</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znanosti</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Strani</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jezici</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Vijenac</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Fluminensia</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Lahor</w:t>
            </w:r>
            <w:proofErr w:type="spellEnd"/>
            <w:r w:rsidRPr="00DF4CE5">
              <w:rPr>
                <w:rFonts w:ascii="Cambria" w:eastAsia="Times New Roman" w:hAnsi="Cambria" w:cs="Calibri"/>
              </w:rPr>
              <w:t xml:space="preserve">, Kolo, Folia </w:t>
            </w:r>
            <w:proofErr w:type="spellStart"/>
            <w:r w:rsidRPr="00DF4CE5">
              <w:rPr>
                <w:rFonts w:ascii="Cambria" w:eastAsia="Times New Roman" w:hAnsi="Cambria" w:cs="Calibri"/>
              </w:rPr>
              <w:t>onomastica</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croatica</w:t>
            </w:r>
            <w:proofErr w:type="spellEnd"/>
            <w:r w:rsidRPr="00DF4CE5">
              <w:rPr>
                <w:rFonts w:ascii="Cambria" w:eastAsia="Times New Roman" w:hAnsi="Cambria" w:cs="Calibri"/>
              </w:rPr>
              <w:t xml:space="preserve">, Hrvatski </w:t>
            </w:r>
            <w:proofErr w:type="spellStart"/>
            <w:r w:rsidRPr="00DF4CE5">
              <w:rPr>
                <w:rFonts w:ascii="Cambria" w:eastAsia="Times New Roman" w:hAnsi="Cambria" w:cs="Calibri"/>
              </w:rPr>
              <w:t>dijalektološki</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zbornik</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Čakavska</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rič</w:t>
            </w:r>
            <w:proofErr w:type="spellEnd"/>
            <w:r w:rsidRPr="00DF4CE5">
              <w:rPr>
                <w:rFonts w:ascii="Cambria" w:eastAsia="Times New Roman" w:hAnsi="Cambria" w:cs="Calibri"/>
              </w:rPr>
              <w:t>...</w:t>
            </w:r>
          </w:p>
        </w:tc>
      </w:tr>
    </w:tbl>
    <w:p w14:paraId="63D4FC03" w14:textId="77777777" w:rsidR="00734AC9" w:rsidRPr="00DF4CE5" w:rsidRDefault="00734AC9" w:rsidP="008B34AF">
      <w:pPr>
        <w:spacing w:after="0" w:line="240" w:lineRule="auto"/>
        <w:jc w:val="both"/>
        <w:rPr>
          <w:rFonts w:ascii="Cambria" w:eastAsia="Times New Roman" w:hAnsi="Cambria" w:cs="Times New Roman"/>
          <w:lang w:val="hr-HR"/>
        </w:rPr>
      </w:pPr>
    </w:p>
    <w:p w14:paraId="7CD4ED75" w14:textId="77777777" w:rsidR="006B2BBC" w:rsidRPr="00DF4CE5" w:rsidRDefault="006B2BBC" w:rsidP="008B34AF">
      <w:pPr>
        <w:jc w:val="both"/>
        <w:rPr>
          <w:rFonts w:ascii="Cambria" w:eastAsia="Calibri" w:hAnsi="Cambria" w:cs="Times New Roman"/>
          <w:lang w:val="hr-HR"/>
        </w:rPr>
      </w:pPr>
    </w:p>
    <w:p w14:paraId="0FA690B3" w14:textId="77777777" w:rsidR="006B2BBC" w:rsidRPr="00DF4CE5" w:rsidRDefault="006B2BBC" w:rsidP="008B34AF">
      <w:pPr>
        <w:jc w:val="both"/>
        <w:rPr>
          <w:rFonts w:ascii="Cambria" w:eastAsia="Calibri" w:hAnsi="Cambria" w:cs="Times New Roman"/>
          <w:lang w:val="hr-HR"/>
        </w:rPr>
      </w:pPr>
    </w:p>
    <w:p w14:paraId="0409EBC9" w14:textId="77777777" w:rsidR="006B2BBC" w:rsidRPr="00DF4CE5" w:rsidRDefault="006B2BBC" w:rsidP="008B34AF">
      <w:pPr>
        <w:jc w:val="both"/>
        <w:rPr>
          <w:rFonts w:ascii="Cambria" w:eastAsia="Calibri" w:hAnsi="Cambria" w:cs="Times New Roman"/>
          <w:lang w:val="hr-HR"/>
        </w:rPr>
      </w:pPr>
    </w:p>
    <w:p w14:paraId="0BA73FCF" w14:textId="77777777" w:rsidR="006B2BBC" w:rsidRPr="00DF4CE5" w:rsidRDefault="006B2BBC" w:rsidP="008B34AF">
      <w:pPr>
        <w:jc w:val="both"/>
        <w:rPr>
          <w:rFonts w:ascii="Cambria" w:eastAsia="Calibri" w:hAnsi="Cambria" w:cs="Times New Roman"/>
          <w:lang w:val="hr-HR"/>
        </w:rPr>
      </w:pPr>
    </w:p>
    <w:p w14:paraId="2A47AE1C" w14:textId="77777777" w:rsidR="00C106A0" w:rsidRPr="00DF4CE5" w:rsidRDefault="00C106A0" w:rsidP="008B34AF">
      <w:pPr>
        <w:jc w:val="both"/>
        <w:rPr>
          <w:rFonts w:ascii="Cambria" w:eastAsia="Calibri" w:hAnsi="Cambria" w:cs="Times New Roman"/>
          <w:lang w:val="hr-HR"/>
        </w:rPr>
      </w:pPr>
    </w:p>
    <w:p w14:paraId="1AEF2DB5" w14:textId="77777777" w:rsidR="00C106A0" w:rsidRPr="00DF4CE5" w:rsidRDefault="00C106A0" w:rsidP="008B34AF">
      <w:pPr>
        <w:jc w:val="both"/>
        <w:rPr>
          <w:rFonts w:ascii="Cambria" w:eastAsia="Calibri" w:hAnsi="Cambria" w:cs="Times New Roman"/>
          <w:lang w:val="hr-HR"/>
        </w:rPr>
      </w:pPr>
    </w:p>
    <w:p w14:paraId="64B941CF" w14:textId="77777777" w:rsidR="00C106A0" w:rsidRPr="00DF4CE5" w:rsidRDefault="00C106A0" w:rsidP="008B34AF">
      <w:pPr>
        <w:jc w:val="both"/>
        <w:rPr>
          <w:rFonts w:ascii="Cambria" w:eastAsia="Calibri" w:hAnsi="Cambria" w:cs="Times New Roman"/>
          <w:lang w:val="hr-HR"/>
        </w:rPr>
      </w:pPr>
    </w:p>
    <w:p w14:paraId="321E7FDC" w14:textId="77777777" w:rsidR="00C106A0" w:rsidRPr="00DF4CE5" w:rsidRDefault="00C106A0" w:rsidP="008B34AF">
      <w:pPr>
        <w:jc w:val="both"/>
        <w:rPr>
          <w:rFonts w:ascii="Cambria" w:eastAsia="Calibri" w:hAnsi="Cambria" w:cs="Times New Roman"/>
          <w:lang w:val="hr-HR"/>
        </w:rPr>
      </w:pPr>
    </w:p>
    <w:p w14:paraId="571BF6B5" w14:textId="77777777" w:rsidR="00C106A0" w:rsidRPr="00DF4CE5" w:rsidRDefault="00C106A0" w:rsidP="008B34AF">
      <w:pPr>
        <w:jc w:val="both"/>
        <w:rPr>
          <w:rFonts w:ascii="Cambria" w:eastAsia="Calibri" w:hAnsi="Cambria" w:cs="Times New Roman"/>
          <w:lang w:val="hr-HR"/>
        </w:rPr>
      </w:pPr>
    </w:p>
    <w:p w14:paraId="66D46B26" w14:textId="77777777" w:rsidR="00C106A0" w:rsidRPr="00DF4CE5" w:rsidRDefault="00C106A0" w:rsidP="008B34AF">
      <w:pPr>
        <w:jc w:val="both"/>
        <w:rPr>
          <w:rFonts w:ascii="Cambria" w:eastAsia="Calibri" w:hAnsi="Cambria" w:cs="Times New Roman"/>
          <w:lang w:val="hr-HR"/>
        </w:rPr>
      </w:pPr>
    </w:p>
    <w:p w14:paraId="7E1F7222" w14:textId="77777777" w:rsidR="00C106A0" w:rsidRPr="00DF4CE5" w:rsidRDefault="00C106A0" w:rsidP="008B34AF">
      <w:pPr>
        <w:jc w:val="both"/>
        <w:rPr>
          <w:rFonts w:ascii="Cambria" w:eastAsia="Calibri" w:hAnsi="Cambria" w:cs="Times New Roman"/>
          <w:lang w:val="hr-HR"/>
        </w:rPr>
      </w:pPr>
    </w:p>
    <w:p w14:paraId="176A80AF" w14:textId="77777777" w:rsidR="00C106A0" w:rsidRPr="00DF4CE5" w:rsidRDefault="00C106A0" w:rsidP="008B34AF">
      <w:pPr>
        <w:jc w:val="both"/>
        <w:rPr>
          <w:rFonts w:ascii="Cambria" w:eastAsia="Calibri" w:hAnsi="Cambria" w:cs="Times New Roman"/>
          <w:lang w:val="hr-HR"/>
        </w:rPr>
      </w:pPr>
    </w:p>
    <w:p w14:paraId="6BD776A3" w14:textId="77777777" w:rsidR="00C106A0" w:rsidRPr="00DF4CE5" w:rsidRDefault="00C106A0" w:rsidP="008B34AF">
      <w:pPr>
        <w:jc w:val="both"/>
        <w:rPr>
          <w:rFonts w:ascii="Cambria" w:eastAsia="Calibri" w:hAnsi="Cambria" w:cs="Times New Roman"/>
          <w:lang w:val="hr-HR"/>
        </w:rPr>
      </w:pPr>
    </w:p>
    <w:p w14:paraId="43EF4CD7" w14:textId="77777777" w:rsidR="00C106A0" w:rsidRPr="00DF4CE5" w:rsidRDefault="00C106A0" w:rsidP="008B34AF">
      <w:pPr>
        <w:jc w:val="both"/>
        <w:rPr>
          <w:rFonts w:ascii="Cambria" w:eastAsia="Calibri" w:hAnsi="Cambria" w:cs="Times New Roman"/>
          <w:lang w:val="hr-HR"/>
        </w:rPr>
      </w:pPr>
    </w:p>
    <w:p w14:paraId="4E63B73C" w14:textId="77777777" w:rsidR="00C106A0" w:rsidRPr="00DF4CE5" w:rsidRDefault="00C106A0" w:rsidP="008B34AF">
      <w:pPr>
        <w:jc w:val="both"/>
        <w:rPr>
          <w:rFonts w:ascii="Cambria" w:eastAsia="Calibri" w:hAnsi="Cambria" w:cs="Times New Roman"/>
          <w:lang w:val="hr-HR"/>
        </w:rPr>
      </w:pPr>
    </w:p>
    <w:p w14:paraId="62795E8C" w14:textId="77777777" w:rsidR="00C106A0" w:rsidRPr="00DF4CE5" w:rsidRDefault="00C106A0" w:rsidP="008B34AF">
      <w:pPr>
        <w:jc w:val="both"/>
        <w:rPr>
          <w:rFonts w:ascii="Cambria" w:eastAsia="Calibri" w:hAnsi="Cambria" w:cs="Times New Roman"/>
          <w:lang w:val="hr-HR"/>
        </w:rPr>
      </w:pPr>
    </w:p>
    <w:p w14:paraId="652D1452" w14:textId="77777777" w:rsidR="00C106A0" w:rsidRPr="00DF4CE5" w:rsidRDefault="00C106A0" w:rsidP="008B34AF">
      <w:pPr>
        <w:jc w:val="both"/>
        <w:rPr>
          <w:rFonts w:ascii="Cambria" w:eastAsia="Calibri" w:hAnsi="Cambria" w:cs="Times New Roman"/>
          <w:lang w:val="hr-HR"/>
        </w:rPr>
      </w:pPr>
    </w:p>
    <w:p w14:paraId="0D718A79" w14:textId="77777777" w:rsidR="00C106A0" w:rsidRPr="00DF4CE5" w:rsidRDefault="00C106A0" w:rsidP="008B34AF">
      <w:pPr>
        <w:jc w:val="both"/>
        <w:rPr>
          <w:rFonts w:ascii="Cambria" w:eastAsia="Calibri" w:hAnsi="Cambria" w:cs="Times New Roman"/>
          <w:lang w:val="hr-HR"/>
        </w:rPr>
      </w:pPr>
    </w:p>
    <w:p w14:paraId="57DA0106" w14:textId="77777777" w:rsidR="00C106A0" w:rsidRPr="00DF4CE5" w:rsidRDefault="00C106A0" w:rsidP="008B34AF">
      <w:pPr>
        <w:jc w:val="both"/>
        <w:rPr>
          <w:rFonts w:ascii="Cambria" w:eastAsia="Calibri" w:hAnsi="Cambria" w:cs="Times New Roman"/>
          <w:lang w:val="hr-HR"/>
        </w:rPr>
      </w:pPr>
    </w:p>
    <w:p w14:paraId="32C325FD" w14:textId="6DF11CB9" w:rsidR="00B77450" w:rsidRPr="00DF4CE5" w:rsidRDefault="00F33CC6" w:rsidP="00B77450">
      <w:pPr>
        <w:rPr>
          <w:rFonts w:ascii="Cambria" w:hAnsi="Cambria"/>
        </w:rPr>
      </w:pPr>
      <w:r>
        <w:rPr>
          <w:rFonts w:ascii="Cambria" w:hAnsi="Cambria"/>
        </w:rPr>
        <w:br w:type="page"/>
      </w:r>
    </w:p>
    <w:tbl>
      <w:tblPr>
        <w:tblW w:w="5000" w:type="pct"/>
        <w:tblLayout w:type="fixed"/>
        <w:tblCellMar>
          <w:left w:w="0" w:type="dxa"/>
          <w:right w:w="0" w:type="dxa"/>
        </w:tblCellMar>
        <w:tblLook w:val="0000" w:firstRow="0" w:lastRow="0" w:firstColumn="0" w:lastColumn="0" w:noHBand="0" w:noVBand="0"/>
      </w:tblPr>
      <w:tblGrid>
        <w:gridCol w:w="2120"/>
        <w:gridCol w:w="2978"/>
        <w:gridCol w:w="98"/>
        <w:gridCol w:w="1092"/>
        <w:gridCol w:w="280"/>
        <w:gridCol w:w="440"/>
        <w:gridCol w:w="1013"/>
        <w:gridCol w:w="1319"/>
      </w:tblGrid>
      <w:tr w:rsidR="00FD3975" w:rsidRPr="005C2363" w14:paraId="605E3064" w14:textId="77777777" w:rsidTr="00FA0E3D">
        <w:tc>
          <w:tcPr>
            <w:tcW w:w="9052"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5956C07" w14:textId="77777777" w:rsidR="00FD3975" w:rsidRPr="005C2363" w:rsidRDefault="00FD3975" w:rsidP="00FA0E3D">
            <w:pPr>
              <w:spacing w:after="0" w:line="240" w:lineRule="auto"/>
              <w:jc w:val="right"/>
              <w:rPr>
                <w:rFonts w:ascii="Cambria" w:eastAsia="Times New Roman" w:hAnsi="Cambria" w:cs="Calibri"/>
                <w:b/>
                <w:lang w:val="hr-HR"/>
              </w:rPr>
            </w:pPr>
            <w:r w:rsidRPr="005C2363">
              <w:rPr>
                <w:rFonts w:ascii="Cambria" w:eastAsia="Times New Roman" w:hAnsi="Cambria" w:cs="Calibri"/>
                <w:b/>
                <w:lang w:val="hr-HR"/>
              </w:rPr>
              <w:lastRenderedPageBreak/>
              <w:t>IZVEDBENI PLAN NASTAVE KOLEGIJA</w:t>
            </w:r>
          </w:p>
        </w:tc>
      </w:tr>
      <w:tr w:rsidR="00FD3975" w:rsidRPr="005C2363" w14:paraId="31C120B6" w14:textId="77777777" w:rsidTr="00FA0E3D">
        <w:tc>
          <w:tcPr>
            <w:tcW w:w="2056" w:type="dxa"/>
            <w:tcBorders>
              <w:top w:val="single" w:sz="8" w:space="0" w:color="000000"/>
              <w:left w:val="single" w:sz="8" w:space="0" w:color="000000"/>
              <w:bottom w:val="single" w:sz="8" w:space="0" w:color="000000"/>
              <w:right w:val="single" w:sz="4" w:space="0" w:color="auto"/>
            </w:tcBorders>
            <w:shd w:val="clear" w:color="auto" w:fill="F3F3F3"/>
            <w:tcMar>
              <w:top w:w="72" w:type="dxa"/>
              <w:left w:w="144" w:type="dxa"/>
              <w:bottom w:w="72" w:type="dxa"/>
              <w:right w:w="144" w:type="dxa"/>
            </w:tcMar>
            <w:vAlign w:val="center"/>
          </w:tcPr>
          <w:p w14:paraId="18736318" w14:textId="77777777" w:rsidR="00FD3975" w:rsidRPr="005C2363" w:rsidRDefault="00FD3975" w:rsidP="00FA0E3D">
            <w:pPr>
              <w:spacing w:after="0" w:line="240" w:lineRule="auto"/>
              <w:rPr>
                <w:rFonts w:ascii="Cambria" w:eastAsia="Times New Roman" w:hAnsi="Cambria" w:cs="Calibri"/>
                <w:lang w:val="hr-HR"/>
              </w:rPr>
            </w:pPr>
            <w:r w:rsidRPr="005C2363">
              <w:rPr>
                <w:rFonts w:ascii="Cambria" w:eastAsia="Times New Roman" w:hAnsi="Cambria" w:cs="Calibri"/>
                <w:lang w:val="hr-HR"/>
              </w:rPr>
              <w:t>Kod i naziv kolegija</w:t>
            </w:r>
          </w:p>
        </w:tc>
        <w:tc>
          <w:tcPr>
            <w:tcW w:w="699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DAD3F60" w14:textId="77777777" w:rsidR="00FD3975" w:rsidRPr="00DF4CE5" w:rsidRDefault="00FD3975" w:rsidP="00FA0E3D">
            <w:pPr>
              <w:snapToGrid w:val="0"/>
              <w:spacing w:after="0" w:line="240" w:lineRule="auto"/>
              <w:rPr>
                <w:rFonts w:ascii="Cambria" w:hAnsi="Cambria"/>
              </w:rPr>
            </w:pPr>
            <w:r w:rsidRPr="00DF4CE5">
              <w:rPr>
                <w:rFonts w:ascii="Cambria" w:hAnsi="Cambria"/>
              </w:rPr>
              <w:t>118968</w:t>
            </w:r>
          </w:p>
          <w:p w14:paraId="1A650D6F" w14:textId="77777777" w:rsidR="00FD3975" w:rsidRPr="00DF4CE5" w:rsidRDefault="00FD3975" w:rsidP="00FA0E3D">
            <w:pPr>
              <w:spacing w:after="0" w:line="240" w:lineRule="auto"/>
              <w:rPr>
                <w:rFonts w:ascii="Cambria" w:hAnsi="Cambria"/>
              </w:rPr>
            </w:pPr>
            <w:proofErr w:type="spellStart"/>
            <w:r w:rsidRPr="00DF4CE5">
              <w:rPr>
                <w:rFonts w:ascii="Cambria" w:hAnsi="Cambria"/>
              </w:rPr>
              <w:t>Lektira</w:t>
            </w:r>
            <w:proofErr w:type="spellEnd"/>
            <w:r w:rsidRPr="00DF4CE5">
              <w:rPr>
                <w:rFonts w:ascii="Cambria" w:hAnsi="Cambria"/>
              </w:rPr>
              <w:t xml:space="preserve"> u </w:t>
            </w:r>
            <w:proofErr w:type="spellStart"/>
            <w:r w:rsidRPr="00DF4CE5">
              <w:rPr>
                <w:rFonts w:ascii="Cambria" w:hAnsi="Cambria"/>
              </w:rPr>
              <w:t>razrednoj</w:t>
            </w:r>
            <w:proofErr w:type="spellEnd"/>
            <w:r w:rsidRPr="00DF4CE5">
              <w:rPr>
                <w:rFonts w:ascii="Cambria" w:hAnsi="Cambria"/>
              </w:rPr>
              <w:t xml:space="preserve"> </w:t>
            </w:r>
            <w:proofErr w:type="spellStart"/>
            <w:r w:rsidRPr="00DF4CE5">
              <w:rPr>
                <w:rFonts w:ascii="Cambria" w:hAnsi="Cambria"/>
              </w:rPr>
              <w:t>nastavi</w:t>
            </w:r>
            <w:proofErr w:type="spellEnd"/>
          </w:p>
        </w:tc>
      </w:tr>
      <w:tr w:rsidR="00FD3975" w:rsidRPr="004E3FDC" w14:paraId="05B88E12" w14:textId="77777777" w:rsidTr="00FA0E3D">
        <w:tc>
          <w:tcPr>
            <w:tcW w:w="2056" w:type="dxa"/>
            <w:tcBorders>
              <w:top w:val="single" w:sz="8" w:space="0" w:color="000000"/>
              <w:left w:val="single" w:sz="8" w:space="0" w:color="000000"/>
              <w:bottom w:val="single" w:sz="8" w:space="0" w:color="000000"/>
              <w:right w:val="single" w:sz="4" w:space="0" w:color="auto"/>
            </w:tcBorders>
            <w:shd w:val="clear" w:color="auto" w:fill="F3F3F3"/>
            <w:tcMar>
              <w:top w:w="72" w:type="dxa"/>
              <w:left w:w="144" w:type="dxa"/>
              <w:bottom w:w="72" w:type="dxa"/>
              <w:right w:w="144" w:type="dxa"/>
            </w:tcMar>
            <w:vAlign w:val="center"/>
          </w:tcPr>
          <w:p w14:paraId="5A69E9B4" w14:textId="77777777" w:rsidR="00FD3975" w:rsidRDefault="00FD3975" w:rsidP="00FA0E3D">
            <w:pPr>
              <w:spacing w:after="0" w:line="240" w:lineRule="auto"/>
              <w:rPr>
                <w:rFonts w:ascii="Cambria" w:eastAsia="Times New Roman" w:hAnsi="Cambria" w:cs="Calibri"/>
                <w:lang w:val="hr-HR"/>
              </w:rPr>
            </w:pPr>
            <w:r w:rsidRPr="005C2363">
              <w:rPr>
                <w:rFonts w:ascii="Cambria" w:eastAsia="Times New Roman" w:hAnsi="Cambria" w:cs="Calibri"/>
                <w:lang w:val="hr-HR"/>
              </w:rPr>
              <w:t xml:space="preserve">Nastavnica </w:t>
            </w:r>
          </w:p>
          <w:p w14:paraId="5910A13C" w14:textId="6FF999E3" w:rsidR="00127501" w:rsidRPr="005C2363" w:rsidRDefault="00127501" w:rsidP="00FA0E3D">
            <w:pPr>
              <w:spacing w:after="0" w:line="240" w:lineRule="auto"/>
              <w:rPr>
                <w:rFonts w:ascii="Cambria" w:eastAsia="Times New Roman" w:hAnsi="Cambria" w:cs="Calibri"/>
                <w:lang w:val="hr-HR"/>
              </w:rPr>
            </w:pPr>
            <w:r>
              <w:rPr>
                <w:rFonts w:ascii="Cambria" w:eastAsia="Times New Roman" w:hAnsi="Cambria" w:cs="Calibri"/>
                <w:lang w:val="hr-HR"/>
              </w:rPr>
              <w:t>Suradnik</w:t>
            </w:r>
          </w:p>
        </w:tc>
        <w:tc>
          <w:tcPr>
            <w:tcW w:w="699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962CD2A" w14:textId="77777777" w:rsidR="00FD3975" w:rsidRDefault="00FD3975" w:rsidP="00FA0E3D">
            <w:pPr>
              <w:snapToGrid w:val="0"/>
              <w:spacing w:after="0" w:line="240" w:lineRule="auto"/>
              <w:rPr>
                <w:rFonts w:ascii="Cambria" w:hAnsi="Cambria"/>
                <w:lang w:val="it-IT"/>
              </w:rPr>
            </w:pPr>
            <w:hyperlink r:id="rId198" w:history="1">
              <w:r w:rsidRPr="00DF4CE5">
                <w:rPr>
                  <w:rStyle w:val="Hiperveza"/>
                  <w:rFonts w:ascii="Cambria" w:hAnsi="Cambria"/>
                  <w:lang w:val="it-IT"/>
                </w:rPr>
                <w:t xml:space="preserve">Prof. dr. sc. </w:t>
              </w:r>
              <w:proofErr w:type="spellStart"/>
              <w:r w:rsidRPr="00DF4CE5">
                <w:rPr>
                  <w:rStyle w:val="Hiperveza"/>
                  <w:rFonts w:ascii="Cambria" w:hAnsi="Cambria"/>
                  <w:lang w:val="it-IT"/>
                </w:rPr>
                <w:t>Vjekoslava</w:t>
              </w:r>
              <w:proofErr w:type="spellEnd"/>
              <w:r w:rsidRPr="00DF4CE5">
                <w:rPr>
                  <w:rStyle w:val="Hiperveza"/>
                  <w:rFonts w:ascii="Cambria" w:hAnsi="Cambria"/>
                  <w:lang w:val="it-IT"/>
                </w:rPr>
                <w:t xml:space="preserve"> </w:t>
              </w:r>
              <w:proofErr w:type="spellStart"/>
              <w:r w:rsidRPr="00DF4CE5">
                <w:rPr>
                  <w:rStyle w:val="Hiperveza"/>
                  <w:rFonts w:ascii="Cambria" w:hAnsi="Cambria"/>
                  <w:lang w:val="it-IT"/>
                </w:rPr>
                <w:t>Jurdana</w:t>
              </w:r>
              <w:proofErr w:type="spellEnd"/>
            </w:hyperlink>
            <w:r w:rsidRPr="00DF4CE5">
              <w:rPr>
                <w:rFonts w:ascii="Cambria" w:hAnsi="Cambria"/>
                <w:lang w:val="it-IT"/>
              </w:rPr>
              <w:t xml:space="preserve"> (</w:t>
            </w:r>
            <w:proofErr w:type="spellStart"/>
            <w:r w:rsidRPr="00DF4CE5">
              <w:rPr>
                <w:rFonts w:ascii="Cambria" w:hAnsi="Cambria"/>
                <w:lang w:val="it-IT"/>
              </w:rPr>
              <w:t>nositeljica</w:t>
            </w:r>
            <w:proofErr w:type="spellEnd"/>
            <w:r w:rsidRPr="00DF4CE5">
              <w:rPr>
                <w:rFonts w:ascii="Cambria" w:hAnsi="Cambria"/>
                <w:lang w:val="it-IT"/>
              </w:rPr>
              <w:t>)</w:t>
            </w:r>
          </w:p>
          <w:p w14:paraId="6E0660B2" w14:textId="26247FC3" w:rsidR="00127501" w:rsidRPr="00DF4CE5" w:rsidRDefault="00127501" w:rsidP="00FA0E3D">
            <w:pPr>
              <w:snapToGrid w:val="0"/>
              <w:spacing w:after="0" w:line="240" w:lineRule="auto"/>
              <w:rPr>
                <w:rFonts w:ascii="Cambria" w:hAnsi="Cambria"/>
                <w:lang w:val="it-IT"/>
              </w:rPr>
            </w:pPr>
            <w:r>
              <w:rPr>
                <w:rFonts w:ascii="Cambria" w:hAnsi="Cambria"/>
                <w:lang w:val="it-IT"/>
              </w:rPr>
              <w:t xml:space="preserve">Alen </w:t>
            </w:r>
            <w:proofErr w:type="spellStart"/>
            <w:r>
              <w:rPr>
                <w:rFonts w:ascii="Cambria" w:hAnsi="Cambria"/>
                <w:lang w:val="it-IT"/>
              </w:rPr>
              <w:t>Klančar</w:t>
            </w:r>
            <w:proofErr w:type="spellEnd"/>
            <w:r>
              <w:rPr>
                <w:rFonts w:ascii="Cambria" w:hAnsi="Cambria"/>
                <w:lang w:val="it-IT"/>
              </w:rPr>
              <w:t xml:space="preserve">, </w:t>
            </w:r>
            <w:proofErr w:type="spellStart"/>
            <w:r>
              <w:rPr>
                <w:rFonts w:ascii="Cambria" w:hAnsi="Cambria"/>
                <w:lang w:val="it-IT"/>
              </w:rPr>
              <w:t>naslovni</w:t>
            </w:r>
            <w:proofErr w:type="spellEnd"/>
            <w:r>
              <w:rPr>
                <w:rFonts w:ascii="Cambria" w:hAnsi="Cambria"/>
                <w:lang w:val="it-IT"/>
              </w:rPr>
              <w:t xml:space="preserve"> </w:t>
            </w:r>
            <w:proofErr w:type="spellStart"/>
            <w:r>
              <w:rPr>
                <w:rFonts w:ascii="Cambria" w:hAnsi="Cambria"/>
                <w:lang w:val="it-IT"/>
              </w:rPr>
              <w:t>asistent</w:t>
            </w:r>
            <w:proofErr w:type="spellEnd"/>
          </w:p>
        </w:tc>
      </w:tr>
      <w:tr w:rsidR="00FD3975" w:rsidRPr="00D0399C" w14:paraId="46DAD912" w14:textId="77777777" w:rsidTr="00FA0E3D">
        <w:tc>
          <w:tcPr>
            <w:tcW w:w="2056" w:type="dxa"/>
            <w:tcBorders>
              <w:top w:val="single" w:sz="8" w:space="0" w:color="000000"/>
              <w:left w:val="single" w:sz="8" w:space="0" w:color="000000"/>
              <w:bottom w:val="single" w:sz="8" w:space="0" w:color="000000"/>
              <w:right w:val="single" w:sz="4" w:space="0" w:color="auto"/>
            </w:tcBorders>
            <w:shd w:val="clear" w:color="auto" w:fill="F3F3F3"/>
            <w:tcMar>
              <w:top w:w="72" w:type="dxa"/>
              <w:left w:w="144" w:type="dxa"/>
              <w:bottom w:w="72" w:type="dxa"/>
              <w:right w:w="144" w:type="dxa"/>
            </w:tcMar>
            <w:vAlign w:val="center"/>
          </w:tcPr>
          <w:p w14:paraId="142EF054" w14:textId="77777777" w:rsidR="00FD3975" w:rsidRPr="005C2363" w:rsidRDefault="00FD3975" w:rsidP="00FA0E3D">
            <w:pPr>
              <w:spacing w:after="0" w:line="240" w:lineRule="auto"/>
              <w:rPr>
                <w:rFonts w:ascii="Cambria" w:eastAsia="Times New Roman" w:hAnsi="Cambria" w:cs="Calibri"/>
                <w:lang w:val="hr-HR"/>
              </w:rPr>
            </w:pPr>
            <w:r w:rsidRPr="005C2363">
              <w:rPr>
                <w:rFonts w:ascii="Cambria" w:eastAsia="Times New Roman" w:hAnsi="Cambria" w:cs="Calibri"/>
                <w:lang w:val="hr-HR"/>
              </w:rPr>
              <w:t>Studijski program</w:t>
            </w:r>
          </w:p>
        </w:tc>
        <w:tc>
          <w:tcPr>
            <w:tcW w:w="699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7C68B4C" w14:textId="245E041A" w:rsidR="00FD3975" w:rsidRPr="00977220" w:rsidRDefault="00977220" w:rsidP="00FA0E3D">
            <w:pPr>
              <w:snapToGrid w:val="0"/>
              <w:spacing w:after="0" w:line="240" w:lineRule="auto"/>
              <w:rPr>
                <w:rStyle w:val="apple-converted-space"/>
                <w:rFonts w:ascii="Cambria" w:hAnsi="Cambria"/>
                <w:shd w:val="clear" w:color="auto" w:fill="FFFFFF"/>
                <w:lang w:val="hr-HR"/>
              </w:rPr>
            </w:pPr>
            <w:r w:rsidRPr="00977220">
              <w:rPr>
                <w:rFonts w:ascii="Cambria" w:hAnsi="Cambria"/>
                <w:shd w:val="clear" w:color="auto" w:fill="FFFFFF"/>
                <w:lang w:val="hr-HR"/>
              </w:rPr>
              <w:t>Sveučilišni i</w:t>
            </w:r>
            <w:r w:rsidR="00FD3975" w:rsidRPr="00977220">
              <w:rPr>
                <w:rFonts w:ascii="Cambria" w:hAnsi="Cambria"/>
                <w:shd w:val="clear" w:color="auto" w:fill="FFFFFF"/>
                <w:lang w:val="hr-HR"/>
              </w:rPr>
              <w:t>ntegrirani preddiplomski i diplomski sveučilišni učiteljski studij</w:t>
            </w:r>
            <w:r w:rsidR="00FD3975" w:rsidRPr="00977220">
              <w:rPr>
                <w:rStyle w:val="apple-converted-space"/>
                <w:rFonts w:ascii="Cambria" w:hAnsi="Cambria"/>
                <w:shd w:val="clear" w:color="auto" w:fill="FFFFFF"/>
                <w:lang w:val="hr-HR"/>
              </w:rPr>
              <w:t> </w:t>
            </w:r>
            <w:r w:rsidRPr="00977220">
              <w:rPr>
                <w:rStyle w:val="apple-converted-space"/>
                <w:rFonts w:ascii="Cambria" w:hAnsi="Cambria"/>
                <w:shd w:val="clear" w:color="auto" w:fill="FFFFFF"/>
                <w:lang w:val="hr-HR"/>
              </w:rPr>
              <w:t>na hrvatskom jeziku</w:t>
            </w:r>
          </w:p>
        </w:tc>
      </w:tr>
      <w:tr w:rsidR="00FD3975" w:rsidRPr="005C2363" w14:paraId="05029A7C" w14:textId="77777777" w:rsidTr="00FA0E3D">
        <w:tc>
          <w:tcPr>
            <w:tcW w:w="205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4C6680C" w14:textId="77777777" w:rsidR="00FD3975" w:rsidRPr="005C2363" w:rsidRDefault="00FD3975" w:rsidP="00FA0E3D">
            <w:pPr>
              <w:spacing w:after="0" w:line="240" w:lineRule="auto"/>
              <w:rPr>
                <w:rFonts w:ascii="Cambria" w:eastAsia="Times New Roman" w:hAnsi="Cambria" w:cs="Calibri"/>
                <w:lang w:val="hr-HR"/>
              </w:rPr>
            </w:pPr>
            <w:r w:rsidRPr="005C2363">
              <w:rPr>
                <w:rFonts w:ascii="Cambria" w:eastAsia="Times New Roman" w:hAnsi="Cambria" w:cs="Calibri"/>
                <w:lang w:val="hr-HR"/>
              </w:rPr>
              <w:t>Vrsta kolegija</w:t>
            </w:r>
          </w:p>
        </w:tc>
        <w:tc>
          <w:tcPr>
            <w:tcW w:w="2886" w:type="dxa"/>
            <w:tcBorders>
              <w:top w:val="single" w:sz="8" w:space="0" w:color="000000"/>
              <w:left w:val="single" w:sz="8" w:space="0" w:color="000000"/>
              <w:bottom w:val="single" w:sz="8" w:space="0" w:color="000000"/>
              <w:right w:val="nil"/>
            </w:tcBorders>
            <w:tcMar>
              <w:top w:w="72" w:type="dxa"/>
              <w:left w:w="144" w:type="dxa"/>
              <w:bottom w:w="72" w:type="dxa"/>
              <w:right w:w="144" w:type="dxa"/>
            </w:tcMar>
            <w:vAlign w:val="center"/>
          </w:tcPr>
          <w:p w14:paraId="5A926C66" w14:textId="388D2A9B" w:rsidR="00FD3975" w:rsidRPr="00DF4CE5" w:rsidRDefault="00FD3975" w:rsidP="00FA0E3D">
            <w:pPr>
              <w:snapToGrid w:val="0"/>
              <w:spacing w:after="0" w:line="240" w:lineRule="auto"/>
              <w:rPr>
                <w:rFonts w:ascii="Cambria" w:hAnsi="Cambria"/>
              </w:rPr>
            </w:pPr>
            <w:proofErr w:type="spellStart"/>
            <w:r>
              <w:rPr>
                <w:rFonts w:ascii="Cambria" w:hAnsi="Cambria"/>
              </w:rPr>
              <w:t>i</w:t>
            </w:r>
            <w:r w:rsidRPr="00DF4CE5">
              <w:rPr>
                <w:rFonts w:ascii="Cambria" w:hAnsi="Cambria"/>
              </w:rPr>
              <w:t>zborni</w:t>
            </w:r>
            <w:proofErr w:type="spellEnd"/>
          </w:p>
        </w:tc>
        <w:tc>
          <w:tcPr>
            <w:tcW w:w="1424" w:type="dxa"/>
            <w:gridSpan w:val="3"/>
            <w:tcBorders>
              <w:top w:val="single" w:sz="4" w:space="0" w:color="auto"/>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3E556F4E" w14:textId="77777777" w:rsidR="00FD3975" w:rsidRPr="005C2363" w:rsidRDefault="00FD3975" w:rsidP="00FA0E3D">
            <w:pPr>
              <w:spacing w:after="0" w:line="240" w:lineRule="auto"/>
              <w:rPr>
                <w:rFonts w:ascii="Cambria" w:eastAsia="Times New Roman" w:hAnsi="Cambria" w:cs="Calibri"/>
                <w:lang w:val="hr-HR"/>
              </w:rPr>
            </w:pPr>
            <w:r w:rsidRPr="005C2363">
              <w:rPr>
                <w:rFonts w:ascii="Cambria" w:eastAsia="Times New Roman" w:hAnsi="Cambria" w:cs="Calibri"/>
                <w:lang w:val="hr-HR"/>
              </w:rPr>
              <w:t>Razina kolegija</w:t>
            </w:r>
          </w:p>
        </w:tc>
        <w:tc>
          <w:tcPr>
            <w:tcW w:w="2686"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77EF434" w14:textId="77777777" w:rsidR="00FD3975" w:rsidRDefault="00FD3975" w:rsidP="00FA0E3D">
            <w:pPr>
              <w:snapToGrid w:val="0"/>
              <w:spacing w:after="0" w:line="240" w:lineRule="auto"/>
              <w:rPr>
                <w:rFonts w:ascii="Cambria" w:hAnsi="Cambria"/>
                <w:color w:val="000000"/>
                <w:lang w:val="it-IT"/>
              </w:rPr>
            </w:pPr>
          </w:p>
          <w:p w14:paraId="6E9BCC8A" w14:textId="0C83CDE8" w:rsidR="00FD3975" w:rsidRPr="00DF4CE5" w:rsidRDefault="00FD3975" w:rsidP="00FA0E3D">
            <w:pPr>
              <w:snapToGrid w:val="0"/>
              <w:spacing w:after="0" w:line="240" w:lineRule="auto"/>
              <w:rPr>
                <w:rFonts w:ascii="Cambria" w:hAnsi="Cambria"/>
                <w:color w:val="000000"/>
                <w:lang w:val="it-IT"/>
              </w:rPr>
            </w:pPr>
            <w:proofErr w:type="spellStart"/>
            <w:r>
              <w:rPr>
                <w:rFonts w:ascii="Cambria" w:hAnsi="Cambria"/>
                <w:color w:val="000000"/>
                <w:lang w:val="it-IT"/>
              </w:rPr>
              <w:t>i</w:t>
            </w:r>
            <w:r w:rsidRPr="00DF4CE5">
              <w:rPr>
                <w:rFonts w:ascii="Cambria" w:hAnsi="Cambria"/>
                <w:color w:val="000000"/>
                <w:lang w:val="it-IT"/>
              </w:rPr>
              <w:t>ntegrirani</w:t>
            </w:r>
            <w:proofErr w:type="spellEnd"/>
          </w:p>
          <w:p w14:paraId="6A02B5BA" w14:textId="77777777" w:rsidR="00FD3975" w:rsidRPr="00DF4CE5" w:rsidRDefault="00FD3975" w:rsidP="00FA0E3D">
            <w:pPr>
              <w:spacing w:after="0" w:line="240" w:lineRule="auto"/>
              <w:rPr>
                <w:rFonts w:ascii="Cambria" w:hAnsi="Cambria"/>
                <w:lang w:val="hr-HR"/>
              </w:rPr>
            </w:pPr>
          </w:p>
        </w:tc>
      </w:tr>
      <w:tr w:rsidR="00FD3975" w:rsidRPr="005C2363" w14:paraId="39E2402B" w14:textId="77777777" w:rsidTr="00FA0E3D">
        <w:tc>
          <w:tcPr>
            <w:tcW w:w="205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FED2877" w14:textId="77777777" w:rsidR="00FD3975" w:rsidRPr="005C2363" w:rsidRDefault="00FD3975" w:rsidP="00FA0E3D">
            <w:pPr>
              <w:spacing w:after="0" w:line="240" w:lineRule="auto"/>
              <w:rPr>
                <w:rFonts w:ascii="Cambria" w:eastAsia="Times New Roman" w:hAnsi="Cambria" w:cs="Calibri"/>
                <w:lang w:val="hr-HR"/>
              </w:rPr>
            </w:pPr>
            <w:r w:rsidRPr="005C2363">
              <w:rPr>
                <w:rFonts w:ascii="Cambria" w:eastAsia="Times New Roman" w:hAnsi="Cambria" w:cs="Calibri"/>
                <w:lang w:val="hr-HR"/>
              </w:rPr>
              <w:t>Semestar</w:t>
            </w:r>
          </w:p>
        </w:tc>
        <w:tc>
          <w:tcPr>
            <w:tcW w:w="2886" w:type="dxa"/>
            <w:tcBorders>
              <w:top w:val="single" w:sz="8" w:space="0" w:color="000000"/>
              <w:left w:val="single" w:sz="8" w:space="0" w:color="000000"/>
              <w:bottom w:val="single" w:sz="8" w:space="0" w:color="000000"/>
              <w:right w:val="nil"/>
            </w:tcBorders>
            <w:tcMar>
              <w:top w:w="72" w:type="dxa"/>
              <w:left w:w="144" w:type="dxa"/>
              <w:bottom w:w="72" w:type="dxa"/>
              <w:right w:w="144" w:type="dxa"/>
            </w:tcMar>
            <w:vAlign w:val="center"/>
          </w:tcPr>
          <w:p w14:paraId="58363785" w14:textId="77777777" w:rsidR="00FD3975" w:rsidRPr="00DF4CE5" w:rsidRDefault="00FD3975" w:rsidP="00FA0E3D">
            <w:pPr>
              <w:snapToGrid w:val="0"/>
              <w:spacing w:after="0" w:line="240" w:lineRule="auto"/>
              <w:rPr>
                <w:rFonts w:ascii="Cambria" w:hAnsi="Cambria"/>
              </w:rPr>
            </w:pPr>
            <w:proofErr w:type="spellStart"/>
            <w:r w:rsidRPr="00DF4CE5">
              <w:rPr>
                <w:rFonts w:ascii="Cambria" w:hAnsi="Cambria"/>
              </w:rPr>
              <w:t>ljetni</w:t>
            </w:r>
            <w:proofErr w:type="spellEnd"/>
          </w:p>
        </w:tc>
        <w:tc>
          <w:tcPr>
            <w:tcW w:w="1424"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32FCBE70" w14:textId="77777777" w:rsidR="00FD3975" w:rsidRPr="005C2363" w:rsidRDefault="00FD3975" w:rsidP="00FA0E3D">
            <w:pPr>
              <w:spacing w:after="0" w:line="240" w:lineRule="auto"/>
              <w:rPr>
                <w:rFonts w:ascii="Cambria" w:eastAsia="Times New Roman" w:hAnsi="Cambria" w:cs="Calibri"/>
                <w:lang w:val="hr-HR"/>
              </w:rPr>
            </w:pPr>
            <w:r w:rsidRPr="005C2363">
              <w:rPr>
                <w:rFonts w:ascii="Cambria" w:eastAsia="Times New Roman" w:hAnsi="Cambria" w:cs="Calibri"/>
                <w:lang w:val="hr-HR"/>
              </w:rPr>
              <w:t>Godina studija</w:t>
            </w:r>
          </w:p>
        </w:tc>
        <w:tc>
          <w:tcPr>
            <w:tcW w:w="2686"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5228F5A" w14:textId="77777777" w:rsidR="00FD3975" w:rsidRPr="00DF4CE5" w:rsidRDefault="00FD3975" w:rsidP="00FA0E3D">
            <w:pPr>
              <w:snapToGrid w:val="0"/>
              <w:spacing w:after="0" w:line="240" w:lineRule="auto"/>
              <w:rPr>
                <w:rFonts w:ascii="Cambria" w:hAnsi="Cambria"/>
              </w:rPr>
            </w:pPr>
            <w:r w:rsidRPr="00DF4CE5">
              <w:rPr>
                <w:rFonts w:ascii="Cambria" w:hAnsi="Cambria"/>
              </w:rPr>
              <w:t>V.</w:t>
            </w:r>
          </w:p>
        </w:tc>
      </w:tr>
      <w:tr w:rsidR="00FD3975" w:rsidRPr="005C2363" w14:paraId="0C09F989" w14:textId="77777777" w:rsidTr="00FA0E3D">
        <w:tc>
          <w:tcPr>
            <w:tcW w:w="205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7C48E9C" w14:textId="77777777" w:rsidR="00FD3975" w:rsidRPr="005C2363" w:rsidRDefault="00FD3975" w:rsidP="00FA0E3D">
            <w:pPr>
              <w:spacing w:after="0" w:line="240" w:lineRule="auto"/>
              <w:rPr>
                <w:rFonts w:ascii="Cambria" w:eastAsia="Times New Roman" w:hAnsi="Cambria" w:cs="Calibri"/>
                <w:lang w:val="hr-HR"/>
              </w:rPr>
            </w:pPr>
            <w:r w:rsidRPr="005C2363">
              <w:rPr>
                <w:rFonts w:ascii="Cambria" w:eastAsia="Times New Roman" w:hAnsi="Cambria" w:cs="Calibri"/>
                <w:lang w:val="hr-HR"/>
              </w:rPr>
              <w:t>Mjesto izvođenja</w:t>
            </w:r>
          </w:p>
        </w:tc>
        <w:tc>
          <w:tcPr>
            <w:tcW w:w="2886" w:type="dxa"/>
            <w:tcBorders>
              <w:top w:val="single" w:sz="8" w:space="0" w:color="000000"/>
              <w:left w:val="single" w:sz="8" w:space="0" w:color="000000"/>
              <w:bottom w:val="single" w:sz="8" w:space="0" w:color="000000"/>
              <w:right w:val="nil"/>
            </w:tcBorders>
            <w:tcMar>
              <w:top w:w="72" w:type="dxa"/>
              <w:left w:w="144" w:type="dxa"/>
              <w:bottom w:w="72" w:type="dxa"/>
              <w:right w:w="144" w:type="dxa"/>
            </w:tcMar>
            <w:vAlign w:val="center"/>
          </w:tcPr>
          <w:p w14:paraId="0A9FBA1C" w14:textId="77777777" w:rsidR="00FD3975" w:rsidRPr="00DF4CE5" w:rsidRDefault="00FD3975" w:rsidP="00FA0E3D">
            <w:pPr>
              <w:snapToGrid w:val="0"/>
              <w:spacing w:after="0" w:line="240" w:lineRule="auto"/>
              <w:rPr>
                <w:rFonts w:ascii="Cambria" w:hAnsi="Cambria"/>
                <w:lang w:val="hr-HR"/>
              </w:rPr>
            </w:pPr>
            <w:proofErr w:type="spellStart"/>
            <w:r w:rsidRPr="00DF4CE5">
              <w:rPr>
                <w:rFonts w:ascii="Cambria" w:hAnsi="Cambria"/>
              </w:rPr>
              <w:t>dvorana</w:t>
            </w:r>
            <w:proofErr w:type="spellEnd"/>
            <w:r w:rsidRPr="00DF4CE5">
              <w:rPr>
                <w:rFonts w:ascii="Cambria" w:hAnsi="Cambria"/>
              </w:rPr>
              <w:t xml:space="preserve"> </w:t>
            </w:r>
          </w:p>
        </w:tc>
        <w:tc>
          <w:tcPr>
            <w:tcW w:w="1424"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2CB389EE" w14:textId="77777777" w:rsidR="00FD3975" w:rsidRPr="005C2363" w:rsidRDefault="00FD3975" w:rsidP="00FA0E3D">
            <w:pPr>
              <w:spacing w:after="0" w:line="240" w:lineRule="auto"/>
              <w:rPr>
                <w:rFonts w:ascii="Cambria" w:eastAsia="Times New Roman" w:hAnsi="Cambria" w:cs="Calibri"/>
                <w:lang w:val="hr-HR"/>
              </w:rPr>
            </w:pPr>
            <w:r w:rsidRPr="005C2363">
              <w:rPr>
                <w:rFonts w:ascii="Cambria" w:eastAsia="Times New Roman" w:hAnsi="Cambria" w:cs="Calibri"/>
                <w:lang w:val="hr-HR"/>
              </w:rPr>
              <w:t xml:space="preserve">Jezik izvođenja </w:t>
            </w:r>
          </w:p>
        </w:tc>
        <w:tc>
          <w:tcPr>
            <w:tcW w:w="2686"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EBF4D6B" w14:textId="77777777" w:rsidR="00FD3975" w:rsidRPr="00DF4CE5" w:rsidRDefault="00FD3975" w:rsidP="00FA0E3D">
            <w:pPr>
              <w:snapToGrid w:val="0"/>
              <w:spacing w:after="0" w:line="240" w:lineRule="auto"/>
              <w:rPr>
                <w:rFonts w:ascii="Cambria" w:hAnsi="Cambria"/>
              </w:rPr>
            </w:pPr>
            <w:proofErr w:type="spellStart"/>
            <w:r w:rsidRPr="00DF4CE5">
              <w:rPr>
                <w:rFonts w:ascii="Cambria" w:hAnsi="Cambria"/>
              </w:rPr>
              <w:t>hrvatski</w:t>
            </w:r>
            <w:proofErr w:type="spellEnd"/>
            <w:r w:rsidRPr="00DF4CE5">
              <w:rPr>
                <w:rFonts w:ascii="Cambria" w:hAnsi="Cambria"/>
              </w:rPr>
              <w:t xml:space="preserve"> </w:t>
            </w:r>
          </w:p>
        </w:tc>
      </w:tr>
      <w:tr w:rsidR="00FD3975" w:rsidRPr="005C2363" w14:paraId="6129C093" w14:textId="77777777" w:rsidTr="00FA0E3D">
        <w:tc>
          <w:tcPr>
            <w:tcW w:w="205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5B6B364" w14:textId="77777777" w:rsidR="00FD3975" w:rsidRPr="005C2363" w:rsidRDefault="00FD3975" w:rsidP="00FA0E3D">
            <w:pPr>
              <w:spacing w:after="0" w:line="240" w:lineRule="auto"/>
              <w:rPr>
                <w:rFonts w:ascii="Cambria" w:eastAsia="Times New Roman" w:hAnsi="Cambria" w:cs="Calibri"/>
                <w:lang w:val="hr-HR"/>
              </w:rPr>
            </w:pPr>
            <w:r w:rsidRPr="005C2363">
              <w:rPr>
                <w:rFonts w:ascii="Cambria" w:eastAsia="Times New Roman" w:hAnsi="Cambria" w:cs="Calibri"/>
                <w:lang w:val="hr-HR"/>
              </w:rPr>
              <w:t>Broj ECTS bodova</w:t>
            </w:r>
          </w:p>
        </w:tc>
        <w:tc>
          <w:tcPr>
            <w:tcW w:w="2886" w:type="dxa"/>
            <w:tcBorders>
              <w:top w:val="single" w:sz="8" w:space="0" w:color="000000"/>
              <w:left w:val="single" w:sz="8" w:space="0" w:color="000000"/>
              <w:bottom w:val="single" w:sz="8" w:space="0" w:color="000000"/>
              <w:right w:val="nil"/>
            </w:tcBorders>
            <w:tcMar>
              <w:top w:w="72" w:type="dxa"/>
              <w:left w:w="144" w:type="dxa"/>
              <w:bottom w:w="72" w:type="dxa"/>
              <w:right w:w="144" w:type="dxa"/>
            </w:tcMar>
            <w:vAlign w:val="center"/>
          </w:tcPr>
          <w:p w14:paraId="7D0CED20" w14:textId="77777777" w:rsidR="00FD3975" w:rsidRPr="00DF4CE5" w:rsidRDefault="00FD3975" w:rsidP="00FA0E3D">
            <w:pPr>
              <w:snapToGrid w:val="0"/>
              <w:spacing w:after="0" w:line="240" w:lineRule="auto"/>
              <w:rPr>
                <w:rFonts w:ascii="Cambria" w:hAnsi="Cambria"/>
              </w:rPr>
            </w:pPr>
            <w:r w:rsidRPr="00DF4CE5">
              <w:rPr>
                <w:rFonts w:ascii="Cambria" w:hAnsi="Cambria"/>
              </w:rPr>
              <w:t>2</w:t>
            </w:r>
          </w:p>
        </w:tc>
        <w:tc>
          <w:tcPr>
            <w:tcW w:w="1424"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73F1D0BE" w14:textId="77777777" w:rsidR="00FD3975" w:rsidRPr="005C2363" w:rsidRDefault="00FD3975" w:rsidP="00FA0E3D">
            <w:pPr>
              <w:spacing w:after="0" w:line="240" w:lineRule="auto"/>
              <w:rPr>
                <w:rFonts w:ascii="Cambria" w:eastAsia="Times New Roman" w:hAnsi="Cambria" w:cs="Calibri"/>
                <w:lang w:val="hr-HR"/>
              </w:rPr>
            </w:pPr>
            <w:r w:rsidRPr="005C2363">
              <w:rPr>
                <w:rFonts w:ascii="Cambria" w:eastAsia="Times New Roman" w:hAnsi="Cambria" w:cs="Calibri"/>
                <w:lang w:val="hr-HR"/>
              </w:rPr>
              <w:t>Broj sati u semestru</w:t>
            </w:r>
          </w:p>
        </w:tc>
        <w:tc>
          <w:tcPr>
            <w:tcW w:w="2686"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EE20D6D" w14:textId="77777777" w:rsidR="00FD3975" w:rsidRPr="00DF4CE5" w:rsidRDefault="00FD3975" w:rsidP="00FA0E3D">
            <w:pPr>
              <w:snapToGrid w:val="0"/>
              <w:spacing w:after="0" w:line="240" w:lineRule="auto"/>
              <w:rPr>
                <w:rFonts w:ascii="Cambria" w:hAnsi="Cambria"/>
              </w:rPr>
            </w:pPr>
            <w:r w:rsidRPr="00DF4CE5">
              <w:rPr>
                <w:rFonts w:ascii="Cambria" w:hAnsi="Cambria"/>
              </w:rPr>
              <w:t xml:space="preserve">15P – 0S – 15V   </w:t>
            </w:r>
          </w:p>
        </w:tc>
      </w:tr>
      <w:tr w:rsidR="00FD3975" w:rsidRPr="003341BD" w14:paraId="734F99EA" w14:textId="77777777" w:rsidTr="00FA0E3D">
        <w:tc>
          <w:tcPr>
            <w:tcW w:w="205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9CDA72A" w14:textId="77777777" w:rsidR="00FD3975" w:rsidRPr="005C2363" w:rsidRDefault="00FD3975" w:rsidP="00FA0E3D">
            <w:pPr>
              <w:spacing w:after="0" w:line="240" w:lineRule="auto"/>
              <w:rPr>
                <w:rFonts w:ascii="Cambria" w:eastAsia="Times New Roman" w:hAnsi="Cambria" w:cs="Calibri"/>
                <w:lang w:val="hr-HR"/>
              </w:rPr>
            </w:pPr>
            <w:r w:rsidRPr="005C2363">
              <w:rPr>
                <w:rFonts w:ascii="Cambria" w:eastAsia="Times New Roman" w:hAnsi="Cambria" w:cs="Calibri"/>
                <w:lang w:val="hr-HR"/>
              </w:rPr>
              <w:t>Preduvjeti za upis i za svladavanje</w:t>
            </w:r>
          </w:p>
        </w:tc>
        <w:tc>
          <w:tcPr>
            <w:tcW w:w="699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192AEFC" w14:textId="77777777" w:rsidR="00FD3975" w:rsidRPr="00DF4CE5" w:rsidRDefault="00FD3975" w:rsidP="00FA0E3D">
            <w:pPr>
              <w:snapToGrid w:val="0"/>
              <w:spacing w:after="0" w:line="240" w:lineRule="auto"/>
              <w:rPr>
                <w:rFonts w:ascii="Cambria" w:hAnsi="Cambria"/>
              </w:rPr>
            </w:pPr>
            <w:r w:rsidRPr="00DF4CE5">
              <w:rPr>
                <w:rFonts w:ascii="Cambria" w:hAnsi="Cambria"/>
              </w:rPr>
              <w:t xml:space="preserve">Nema </w:t>
            </w:r>
            <w:proofErr w:type="spellStart"/>
            <w:r w:rsidRPr="00DF4CE5">
              <w:rPr>
                <w:rFonts w:ascii="Cambria" w:hAnsi="Cambria"/>
              </w:rPr>
              <w:t>preduvjeta</w:t>
            </w:r>
            <w:proofErr w:type="spellEnd"/>
            <w:r w:rsidRPr="00DF4CE5">
              <w:rPr>
                <w:rFonts w:ascii="Cambria" w:hAnsi="Cambria"/>
              </w:rPr>
              <w:t>.</w:t>
            </w:r>
          </w:p>
        </w:tc>
      </w:tr>
      <w:tr w:rsidR="00FD3975" w:rsidRPr="00D0399C" w14:paraId="7293F4F7" w14:textId="77777777" w:rsidTr="00FA0E3D">
        <w:tc>
          <w:tcPr>
            <w:tcW w:w="205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FD091D5" w14:textId="77777777" w:rsidR="00FD3975" w:rsidRPr="005C2363" w:rsidRDefault="00FD3975" w:rsidP="00FA0E3D">
            <w:pPr>
              <w:spacing w:after="0" w:line="240" w:lineRule="auto"/>
              <w:rPr>
                <w:rFonts w:ascii="Cambria" w:eastAsia="Times New Roman" w:hAnsi="Cambria" w:cs="Calibri"/>
                <w:lang w:val="hr-HR"/>
              </w:rPr>
            </w:pPr>
            <w:proofErr w:type="spellStart"/>
            <w:r w:rsidRPr="005C2363">
              <w:rPr>
                <w:rFonts w:ascii="Cambria" w:eastAsia="Times New Roman" w:hAnsi="Cambria" w:cs="Calibri"/>
                <w:lang w:val="hr-HR"/>
              </w:rPr>
              <w:t>Korelativnost</w:t>
            </w:r>
            <w:proofErr w:type="spellEnd"/>
          </w:p>
        </w:tc>
        <w:tc>
          <w:tcPr>
            <w:tcW w:w="699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F776615" w14:textId="77777777" w:rsidR="00FD3975" w:rsidRPr="00DF4CE5" w:rsidRDefault="00FD3975" w:rsidP="00FA0E3D">
            <w:pPr>
              <w:snapToGrid w:val="0"/>
              <w:spacing w:after="0" w:line="240" w:lineRule="auto"/>
              <w:rPr>
                <w:rFonts w:ascii="Cambria" w:hAnsi="Cambria"/>
                <w:lang w:val="hr-HR"/>
              </w:rPr>
            </w:pPr>
            <w:r w:rsidRPr="00F1132C">
              <w:rPr>
                <w:rFonts w:ascii="Cambria" w:hAnsi="Cambria"/>
                <w:lang w:val="hr-HR"/>
              </w:rPr>
              <w:t>Dječja književnost, Medijska kultura, Hrvatski jezik, Glazbena kultura, Govorno izražavanje, Likovna kultura, Metodika nastave hrvatskog jezika</w:t>
            </w:r>
          </w:p>
        </w:tc>
      </w:tr>
      <w:tr w:rsidR="00FD3975" w:rsidRPr="00D0399C" w14:paraId="528D66E5" w14:textId="77777777" w:rsidTr="00FA0E3D">
        <w:tc>
          <w:tcPr>
            <w:tcW w:w="205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129908E" w14:textId="77777777" w:rsidR="00FD3975" w:rsidRPr="005C2363" w:rsidRDefault="00FD3975" w:rsidP="00FA0E3D">
            <w:pPr>
              <w:spacing w:after="0" w:line="240" w:lineRule="auto"/>
              <w:rPr>
                <w:rFonts w:ascii="Cambria" w:eastAsia="Times New Roman" w:hAnsi="Cambria" w:cs="Calibri"/>
                <w:lang w:val="hr-HR"/>
              </w:rPr>
            </w:pPr>
            <w:r w:rsidRPr="005C2363">
              <w:rPr>
                <w:rFonts w:ascii="Cambria" w:eastAsia="Times New Roman" w:hAnsi="Cambria" w:cs="Calibri"/>
                <w:lang w:val="hr-HR"/>
              </w:rPr>
              <w:t xml:space="preserve">Cilj kolegija </w:t>
            </w:r>
          </w:p>
        </w:tc>
        <w:tc>
          <w:tcPr>
            <w:tcW w:w="699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E71E5E5" w14:textId="1EC4585C" w:rsidR="00FD3975" w:rsidRPr="00FD3975" w:rsidRDefault="00FD3975" w:rsidP="00FD3975">
            <w:pPr>
              <w:spacing w:before="60" w:after="0" w:line="240" w:lineRule="auto"/>
              <w:jc w:val="both"/>
              <w:rPr>
                <w:rFonts w:ascii="Cambria" w:eastAsia="Times New Roman" w:hAnsi="Cambria"/>
                <w:lang w:val="hr-HR"/>
              </w:rPr>
            </w:pPr>
            <w:r>
              <w:rPr>
                <w:rFonts w:ascii="Cambria" w:eastAsia="Times New Roman" w:hAnsi="Cambria"/>
                <w:spacing w:val="-1"/>
                <w:lang w:val="hr-HR"/>
              </w:rPr>
              <w:t>u</w:t>
            </w:r>
            <w:r w:rsidRPr="00FD3975">
              <w:rPr>
                <w:rFonts w:ascii="Cambria" w:eastAsia="Times New Roman" w:hAnsi="Cambria"/>
                <w:spacing w:val="1"/>
                <w:lang w:val="hr-HR"/>
              </w:rPr>
              <w:t>svojiti zakonitosti i dosege iz</w:t>
            </w:r>
            <w:r w:rsidRPr="00FD3975">
              <w:rPr>
                <w:rFonts w:ascii="Cambria" w:eastAsia="Times New Roman" w:hAnsi="Cambria"/>
                <w:lang w:val="hr-HR"/>
              </w:rPr>
              <w:t xml:space="preserve"> </w:t>
            </w:r>
            <w:r w:rsidRPr="00FD3975">
              <w:rPr>
                <w:rFonts w:ascii="Cambria" w:eastAsia="Times New Roman" w:hAnsi="Cambria"/>
                <w:spacing w:val="-1"/>
                <w:lang w:val="hr-HR"/>
              </w:rPr>
              <w:t>m</w:t>
            </w:r>
            <w:r w:rsidRPr="00FD3975">
              <w:rPr>
                <w:rFonts w:ascii="Cambria" w:eastAsia="Times New Roman" w:hAnsi="Cambria"/>
                <w:lang w:val="hr-HR"/>
              </w:rPr>
              <w:t>et</w:t>
            </w:r>
            <w:r w:rsidRPr="00FD3975">
              <w:rPr>
                <w:rFonts w:ascii="Cambria" w:eastAsia="Times New Roman" w:hAnsi="Cambria"/>
                <w:spacing w:val="1"/>
                <w:lang w:val="hr-HR"/>
              </w:rPr>
              <w:t>od</w:t>
            </w:r>
            <w:r w:rsidRPr="00FD3975">
              <w:rPr>
                <w:rFonts w:ascii="Cambria" w:eastAsia="Times New Roman" w:hAnsi="Cambria"/>
                <w:lang w:val="hr-HR"/>
              </w:rPr>
              <w:t>i</w:t>
            </w:r>
            <w:r w:rsidRPr="00FD3975">
              <w:rPr>
                <w:rFonts w:ascii="Cambria" w:eastAsia="Times New Roman" w:hAnsi="Cambria"/>
                <w:spacing w:val="1"/>
                <w:lang w:val="hr-HR"/>
              </w:rPr>
              <w:t>k</w:t>
            </w:r>
            <w:r w:rsidRPr="00FD3975">
              <w:rPr>
                <w:rFonts w:ascii="Cambria" w:eastAsia="Times New Roman" w:hAnsi="Cambria"/>
                <w:lang w:val="hr-HR"/>
              </w:rPr>
              <w:t>e</w:t>
            </w:r>
            <w:r w:rsidRPr="00FD3975">
              <w:rPr>
                <w:rFonts w:ascii="Cambria" w:eastAsia="Times New Roman" w:hAnsi="Cambria"/>
                <w:spacing w:val="13"/>
                <w:lang w:val="hr-HR"/>
              </w:rPr>
              <w:t xml:space="preserve"> </w:t>
            </w:r>
            <w:r w:rsidRPr="00FD3975">
              <w:rPr>
                <w:rFonts w:ascii="Cambria" w:eastAsia="Times New Roman" w:hAnsi="Cambria"/>
                <w:spacing w:val="-1"/>
                <w:lang w:val="hr-HR"/>
              </w:rPr>
              <w:t>kn</w:t>
            </w:r>
            <w:r w:rsidRPr="00FD3975">
              <w:rPr>
                <w:rFonts w:ascii="Cambria" w:eastAsia="Times New Roman" w:hAnsi="Cambria"/>
                <w:spacing w:val="2"/>
                <w:lang w:val="hr-HR"/>
              </w:rPr>
              <w:t>j</w:t>
            </w:r>
            <w:r w:rsidRPr="00FD3975">
              <w:rPr>
                <w:rFonts w:ascii="Cambria" w:eastAsia="Times New Roman" w:hAnsi="Cambria"/>
                <w:lang w:val="hr-HR"/>
              </w:rPr>
              <w:t>iže</w:t>
            </w:r>
            <w:r w:rsidRPr="00FD3975">
              <w:rPr>
                <w:rFonts w:ascii="Cambria" w:eastAsia="Times New Roman" w:hAnsi="Cambria"/>
                <w:spacing w:val="1"/>
                <w:lang w:val="hr-HR"/>
              </w:rPr>
              <w:t>v</w:t>
            </w:r>
            <w:r w:rsidRPr="00FD3975">
              <w:rPr>
                <w:rFonts w:ascii="Cambria" w:eastAsia="Times New Roman" w:hAnsi="Cambria"/>
                <w:spacing w:val="-1"/>
                <w:lang w:val="hr-HR"/>
              </w:rPr>
              <w:t>n</w:t>
            </w:r>
            <w:r w:rsidRPr="00FD3975">
              <w:rPr>
                <w:rFonts w:ascii="Cambria" w:eastAsia="Times New Roman" w:hAnsi="Cambria"/>
                <w:spacing w:val="1"/>
                <w:lang w:val="hr-HR"/>
              </w:rPr>
              <w:t>o</w:t>
            </w:r>
            <w:r w:rsidRPr="00FD3975">
              <w:rPr>
                <w:rFonts w:ascii="Cambria" w:eastAsia="Times New Roman" w:hAnsi="Cambria"/>
                <w:spacing w:val="-1"/>
                <w:lang w:val="hr-HR"/>
              </w:rPr>
              <w:t>s</w:t>
            </w:r>
            <w:r w:rsidRPr="00FD3975">
              <w:rPr>
                <w:rFonts w:ascii="Cambria" w:eastAsia="Times New Roman" w:hAnsi="Cambria"/>
                <w:lang w:val="hr-HR"/>
              </w:rPr>
              <w:t>ti</w:t>
            </w:r>
            <w:r w:rsidRPr="00FD3975">
              <w:rPr>
                <w:rFonts w:ascii="Cambria" w:eastAsia="Times New Roman" w:hAnsi="Cambria"/>
                <w:spacing w:val="18"/>
                <w:lang w:val="hr-HR"/>
              </w:rPr>
              <w:t xml:space="preserve"> </w:t>
            </w:r>
            <w:r w:rsidRPr="00FD3975">
              <w:rPr>
                <w:rFonts w:ascii="Cambria" w:eastAsia="Times New Roman" w:hAnsi="Cambria"/>
                <w:lang w:val="hr-HR"/>
              </w:rPr>
              <w:t>u</w:t>
            </w:r>
            <w:r w:rsidRPr="00FD3975">
              <w:rPr>
                <w:rFonts w:ascii="Cambria" w:eastAsia="Times New Roman" w:hAnsi="Cambria"/>
                <w:spacing w:val="25"/>
                <w:lang w:val="hr-HR"/>
              </w:rPr>
              <w:t xml:space="preserve"> </w:t>
            </w:r>
            <w:r w:rsidRPr="00FD3975">
              <w:rPr>
                <w:rFonts w:ascii="Cambria" w:eastAsia="Times New Roman" w:hAnsi="Cambria"/>
                <w:spacing w:val="-1"/>
                <w:lang w:val="hr-HR"/>
              </w:rPr>
              <w:t>n</w:t>
            </w:r>
            <w:r w:rsidRPr="00FD3975">
              <w:rPr>
                <w:rFonts w:ascii="Cambria" w:eastAsia="Times New Roman" w:hAnsi="Cambria"/>
                <w:lang w:val="hr-HR"/>
              </w:rPr>
              <w:t>a</w:t>
            </w:r>
            <w:r w:rsidRPr="00FD3975">
              <w:rPr>
                <w:rFonts w:ascii="Cambria" w:eastAsia="Times New Roman" w:hAnsi="Cambria"/>
                <w:spacing w:val="2"/>
                <w:lang w:val="hr-HR"/>
              </w:rPr>
              <w:t>s</w:t>
            </w:r>
            <w:r w:rsidRPr="00FD3975">
              <w:rPr>
                <w:rFonts w:ascii="Cambria" w:eastAsia="Times New Roman" w:hAnsi="Cambria"/>
                <w:lang w:val="hr-HR"/>
              </w:rPr>
              <w:t>t</w:t>
            </w:r>
            <w:r w:rsidRPr="00FD3975">
              <w:rPr>
                <w:rFonts w:ascii="Cambria" w:eastAsia="Times New Roman" w:hAnsi="Cambria"/>
                <w:spacing w:val="3"/>
                <w:lang w:val="hr-HR"/>
              </w:rPr>
              <w:t>a</w:t>
            </w:r>
            <w:r w:rsidRPr="00FD3975">
              <w:rPr>
                <w:rFonts w:ascii="Cambria" w:eastAsia="Times New Roman" w:hAnsi="Cambria"/>
                <w:spacing w:val="-1"/>
                <w:lang w:val="hr-HR"/>
              </w:rPr>
              <w:t>v</w:t>
            </w:r>
            <w:r w:rsidRPr="00FD3975">
              <w:rPr>
                <w:rFonts w:ascii="Cambria" w:eastAsia="Times New Roman" w:hAnsi="Cambria"/>
                <w:lang w:val="hr-HR"/>
              </w:rPr>
              <w:t>i</w:t>
            </w:r>
            <w:r w:rsidRPr="00FD3975">
              <w:rPr>
                <w:rFonts w:ascii="Cambria" w:eastAsia="Times New Roman" w:hAnsi="Cambria"/>
                <w:spacing w:val="18"/>
                <w:lang w:val="hr-HR"/>
              </w:rPr>
              <w:t xml:space="preserve"> </w:t>
            </w:r>
            <w:r w:rsidRPr="00FD3975">
              <w:rPr>
                <w:rFonts w:ascii="Cambria" w:eastAsia="Times New Roman" w:hAnsi="Cambria"/>
                <w:lang w:val="hr-HR"/>
              </w:rPr>
              <w:t>l</w:t>
            </w:r>
            <w:r w:rsidRPr="00FD3975">
              <w:rPr>
                <w:rFonts w:ascii="Cambria" w:eastAsia="Times New Roman" w:hAnsi="Cambria"/>
                <w:spacing w:val="3"/>
                <w:lang w:val="hr-HR"/>
              </w:rPr>
              <w:t>e</w:t>
            </w:r>
            <w:r w:rsidRPr="00FD3975">
              <w:rPr>
                <w:rFonts w:ascii="Cambria" w:eastAsia="Times New Roman" w:hAnsi="Cambria"/>
                <w:spacing w:val="-1"/>
                <w:lang w:val="hr-HR"/>
              </w:rPr>
              <w:t>k</w:t>
            </w:r>
            <w:r w:rsidRPr="00FD3975">
              <w:rPr>
                <w:rFonts w:ascii="Cambria" w:eastAsia="Times New Roman" w:hAnsi="Cambria"/>
                <w:lang w:val="hr-HR"/>
              </w:rPr>
              <w:t>ti</w:t>
            </w:r>
            <w:r w:rsidRPr="00FD3975">
              <w:rPr>
                <w:rFonts w:ascii="Cambria" w:eastAsia="Times New Roman" w:hAnsi="Cambria"/>
                <w:spacing w:val="1"/>
                <w:lang w:val="hr-HR"/>
              </w:rPr>
              <w:t>r</w:t>
            </w:r>
            <w:r w:rsidRPr="00FD3975">
              <w:rPr>
                <w:rFonts w:ascii="Cambria" w:eastAsia="Times New Roman" w:hAnsi="Cambria"/>
                <w:lang w:val="hr-HR"/>
              </w:rPr>
              <w:t>e</w:t>
            </w:r>
            <w:r w:rsidRPr="00FD3975">
              <w:rPr>
                <w:rFonts w:ascii="Cambria" w:eastAsia="Times New Roman" w:hAnsi="Cambria"/>
                <w:spacing w:val="-18"/>
                <w:lang w:val="hr-HR"/>
              </w:rPr>
              <w:t xml:space="preserve"> </w:t>
            </w:r>
            <w:r w:rsidRPr="00FD3975">
              <w:rPr>
                <w:rFonts w:ascii="Cambria" w:eastAsia="Times New Roman" w:hAnsi="Cambria"/>
                <w:spacing w:val="1"/>
                <w:lang w:val="hr-HR"/>
              </w:rPr>
              <w:t>o</w:t>
            </w:r>
            <w:r w:rsidRPr="00FD3975">
              <w:rPr>
                <w:rFonts w:ascii="Cambria" w:eastAsia="Times New Roman" w:hAnsi="Cambria"/>
                <w:lang w:val="hr-HR"/>
              </w:rPr>
              <w:t xml:space="preserve">d </w:t>
            </w:r>
            <w:r w:rsidRPr="00FD3975">
              <w:rPr>
                <w:rFonts w:ascii="Cambria" w:eastAsia="Times New Roman" w:hAnsi="Cambria"/>
                <w:spacing w:val="1"/>
                <w:lang w:val="hr-HR"/>
              </w:rPr>
              <w:t>1</w:t>
            </w:r>
            <w:r w:rsidRPr="00FD3975">
              <w:rPr>
                <w:rFonts w:ascii="Cambria" w:eastAsia="Times New Roman" w:hAnsi="Cambria"/>
                <w:lang w:val="hr-HR"/>
              </w:rPr>
              <w:t xml:space="preserve">. </w:t>
            </w:r>
            <w:r w:rsidRPr="00FD3975">
              <w:rPr>
                <w:rFonts w:ascii="Cambria" w:eastAsia="Times New Roman" w:hAnsi="Cambria"/>
                <w:spacing w:val="1"/>
                <w:lang w:val="hr-HR"/>
              </w:rPr>
              <w:t>d</w:t>
            </w:r>
            <w:r w:rsidRPr="00FD3975">
              <w:rPr>
                <w:rFonts w:ascii="Cambria" w:eastAsia="Times New Roman" w:hAnsi="Cambria"/>
                <w:lang w:val="hr-HR"/>
              </w:rPr>
              <w:t xml:space="preserve">o </w:t>
            </w:r>
            <w:r w:rsidRPr="00FD3975">
              <w:rPr>
                <w:rFonts w:ascii="Cambria" w:eastAsia="Times New Roman" w:hAnsi="Cambria"/>
                <w:spacing w:val="-1"/>
                <w:lang w:val="hr-HR"/>
              </w:rPr>
              <w:t>4</w:t>
            </w:r>
            <w:r w:rsidRPr="00FD3975">
              <w:rPr>
                <w:rFonts w:ascii="Cambria" w:eastAsia="Times New Roman" w:hAnsi="Cambria"/>
                <w:lang w:val="hr-HR"/>
              </w:rPr>
              <w:t xml:space="preserve">. </w:t>
            </w:r>
            <w:r w:rsidRPr="00FD3975">
              <w:rPr>
                <w:rFonts w:ascii="Cambria" w:eastAsia="Times New Roman" w:hAnsi="Cambria"/>
                <w:spacing w:val="1"/>
                <w:lang w:val="hr-HR"/>
              </w:rPr>
              <w:t>r</w:t>
            </w:r>
            <w:r w:rsidRPr="00FD3975">
              <w:rPr>
                <w:rFonts w:ascii="Cambria" w:eastAsia="Times New Roman" w:hAnsi="Cambria"/>
                <w:lang w:val="hr-HR"/>
              </w:rPr>
              <w:t>az</w:t>
            </w:r>
            <w:r w:rsidRPr="00FD3975">
              <w:rPr>
                <w:rFonts w:ascii="Cambria" w:eastAsia="Times New Roman" w:hAnsi="Cambria"/>
                <w:spacing w:val="1"/>
                <w:lang w:val="hr-HR"/>
              </w:rPr>
              <w:t>r</w:t>
            </w:r>
            <w:r w:rsidRPr="00FD3975">
              <w:rPr>
                <w:rFonts w:ascii="Cambria" w:eastAsia="Times New Roman" w:hAnsi="Cambria"/>
                <w:spacing w:val="-2"/>
                <w:lang w:val="hr-HR"/>
              </w:rPr>
              <w:t>e</w:t>
            </w:r>
            <w:r w:rsidRPr="00FD3975">
              <w:rPr>
                <w:rFonts w:ascii="Cambria" w:eastAsia="Times New Roman" w:hAnsi="Cambria"/>
                <w:spacing w:val="1"/>
                <w:lang w:val="hr-HR"/>
              </w:rPr>
              <w:t>d</w:t>
            </w:r>
            <w:r w:rsidRPr="00FD3975">
              <w:rPr>
                <w:rFonts w:ascii="Cambria" w:eastAsia="Times New Roman" w:hAnsi="Cambria"/>
                <w:lang w:val="hr-HR"/>
              </w:rPr>
              <w:t>a</w:t>
            </w:r>
            <w:r w:rsidRPr="00FD3975">
              <w:rPr>
                <w:rFonts w:ascii="Cambria" w:eastAsia="Times New Roman" w:hAnsi="Cambria"/>
                <w:spacing w:val="-8"/>
                <w:lang w:val="hr-HR"/>
              </w:rPr>
              <w:t xml:space="preserve"> </w:t>
            </w:r>
            <w:r w:rsidRPr="00FD3975">
              <w:rPr>
                <w:rFonts w:ascii="Cambria" w:eastAsia="Times New Roman" w:hAnsi="Cambria"/>
                <w:spacing w:val="1"/>
                <w:lang w:val="hr-HR"/>
              </w:rPr>
              <w:t>o</w:t>
            </w:r>
            <w:r w:rsidRPr="00FD3975">
              <w:rPr>
                <w:rFonts w:ascii="Cambria" w:eastAsia="Times New Roman" w:hAnsi="Cambria"/>
                <w:spacing w:val="-1"/>
                <w:lang w:val="hr-HR"/>
              </w:rPr>
              <w:t>sn</w:t>
            </w:r>
            <w:r w:rsidRPr="00FD3975">
              <w:rPr>
                <w:rFonts w:ascii="Cambria" w:eastAsia="Times New Roman" w:hAnsi="Cambria"/>
                <w:spacing w:val="1"/>
                <w:lang w:val="hr-HR"/>
              </w:rPr>
              <w:t>ov</w:t>
            </w:r>
            <w:r w:rsidRPr="00FD3975">
              <w:rPr>
                <w:rFonts w:ascii="Cambria" w:eastAsia="Times New Roman" w:hAnsi="Cambria"/>
                <w:spacing w:val="-1"/>
                <w:lang w:val="hr-HR"/>
              </w:rPr>
              <w:t>n</w:t>
            </w:r>
            <w:r w:rsidRPr="00FD3975">
              <w:rPr>
                <w:rFonts w:ascii="Cambria" w:eastAsia="Times New Roman" w:hAnsi="Cambria"/>
                <w:lang w:val="hr-HR"/>
              </w:rPr>
              <w:t>e</w:t>
            </w:r>
            <w:r w:rsidRPr="00FD3975">
              <w:rPr>
                <w:rFonts w:ascii="Cambria" w:eastAsia="Times New Roman" w:hAnsi="Cambria"/>
                <w:spacing w:val="-6"/>
                <w:lang w:val="hr-HR"/>
              </w:rPr>
              <w:t xml:space="preserve"> </w:t>
            </w:r>
            <w:r w:rsidRPr="00FD3975">
              <w:rPr>
                <w:rFonts w:ascii="Cambria" w:eastAsia="Times New Roman" w:hAnsi="Cambria"/>
                <w:spacing w:val="2"/>
                <w:lang w:val="hr-HR"/>
              </w:rPr>
              <w:t>š</w:t>
            </w:r>
            <w:r w:rsidRPr="00FD3975">
              <w:rPr>
                <w:rFonts w:ascii="Cambria" w:eastAsia="Times New Roman" w:hAnsi="Cambria"/>
                <w:spacing w:val="-1"/>
                <w:lang w:val="hr-HR"/>
              </w:rPr>
              <w:t>k</w:t>
            </w:r>
            <w:r w:rsidRPr="00FD3975">
              <w:rPr>
                <w:rFonts w:ascii="Cambria" w:eastAsia="Times New Roman" w:hAnsi="Cambria"/>
                <w:spacing w:val="1"/>
                <w:lang w:val="hr-HR"/>
              </w:rPr>
              <w:t>o</w:t>
            </w:r>
            <w:r w:rsidRPr="00FD3975">
              <w:rPr>
                <w:rFonts w:ascii="Cambria" w:eastAsia="Times New Roman" w:hAnsi="Cambria"/>
                <w:lang w:val="hr-HR"/>
              </w:rPr>
              <w:t xml:space="preserve">le za uspješno i kompetentno osmišljavanje stvaralačkoga nastavnoga procesa </w:t>
            </w:r>
          </w:p>
        </w:tc>
      </w:tr>
      <w:tr w:rsidR="00FD3975" w:rsidRPr="00D0399C" w14:paraId="7D505B7F" w14:textId="77777777" w:rsidTr="00FA0E3D">
        <w:tc>
          <w:tcPr>
            <w:tcW w:w="205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5B13DD4" w14:textId="77777777" w:rsidR="00FD3975" w:rsidRPr="005C2363" w:rsidRDefault="00FD3975" w:rsidP="00FA0E3D">
            <w:pPr>
              <w:spacing w:after="0" w:line="240" w:lineRule="auto"/>
              <w:rPr>
                <w:rFonts w:ascii="Cambria" w:eastAsia="Times New Roman" w:hAnsi="Cambria" w:cs="Calibri"/>
                <w:lang w:val="hr-HR"/>
              </w:rPr>
            </w:pPr>
            <w:r w:rsidRPr="005C2363">
              <w:rPr>
                <w:rFonts w:ascii="Cambria" w:eastAsia="Times New Roman" w:hAnsi="Cambria" w:cs="Calibri"/>
                <w:lang w:val="hr-HR"/>
              </w:rPr>
              <w:t>Ishodi učenja</w:t>
            </w:r>
          </w:p>
        </w:tc>
        <w:tc>
          <w:tcPr>
            <w:tcW w:w="699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B9DB14D" w14:textId="77777777" w:rsidR="00FD3975" w:rsidRPr="00DF4CE5" w:rsidRDefault="00FD3975" w:rsidP="00FA0E3D">
            <w:pPr>
              <w:snapToGrid w:val="0"/>
              <w:spacing w:after="0" w:line="240" w:lineRule="auto"/>
              <w:rPr>
                <w:rFonts w:ascii="Cambria" w:eastAsia="Times New Roman" w:hAnsi="Cambria"/>
                <w:lang w:val="it-IT"/>
              </w:rPr>
            </w:pPr>
            <w:r w:rsidRPr="00DF4CE5">
              <w:rPr>
                <w:rFonts w:ascii="Cambria" w:hAnsi="Cambria"/>
                <w:lang w:val="it-IT"/>
              </w:rPr>
              <w:t xml:space="preserve">1. </w:t>
            </w:r>
            <w:proofErr w:type="spellStart"/>
            <w:r w:rsidRPr="00DF4CE5">
              <w:rPr>
                <w:rFonts w:ascii="Cambria" w:hAnsi="Cambria"/>
                <w:lang w:val="it-IT"/>
              </w:rPr>
              <w:t>tumačiti</w:t>
            </w:r>
            <w:proofErr w:type="spellEnd"/>
            <w:r w:rsidRPr="00DF4CE5">
              <w:rPr>
                <w:rFonts w:ascii="Cambria" w:eastAsia="Times New Roman" w:hAnsi="Cambria"/>
                <w:lang w:val="it-IT"/>
              </w:rPr>
              <w:t xml:space="preserve"> </w:t>
            </w:r>
            <w:proofErr w:type="spellStart"/>
            <w:r w:rsidRPr="00DF4CE5">
              <w:rPr>
                <w:rFonts w:ascii="Cambria" w:eastAsia="Times New Roman" w:hAnsi="Cambria"/>
                <w:lang w:val="it-IT"/>
              </w:rPr>
              <w:t>t</w:t>
            </w:r>
            <w:r w:rsidRPr="00DF4CE5">
              <w:rPr>
                <w:rFonts w:ascii="Cambria" w:eastAsia="Times New Roman" w:hAnsi="Cambria"/>
                <w:spacing w:val="3"/>
                <w:lang w:val="it-IT"/>
              </w:rPr>
              <w:t>e</w:t>
            </w:r>
            <w:r w:rsidRPr="00DF4CE5">
              <w:rPr>
                <w:rFonts w:ascii="Cambria" w:eastAsia="Times New Roman" w:hAnsi="Cambria"/>
                <w:spacing w:val="-4"/>
                <w:lang w:val="it-IT"/>
              </w:rPr>
              <w:t>m</w:t>
            </w:r>
            <w:r w:rsidRPr="00DF4CE5">
              <w:rPr>
                <w:rFonts w:ascii="Cambria" w:eastAsia="Times New Roman" w:hAnsi="Cambria"/>
                <w:spacing w:val="3"/>
                <w:lang w:val="it-IT"/>
              </w:rPr>
              <w:t>e</w:t>
            </w:r>
            <w:r w:rsidRPr="00DF4CE5">
              <w:rPr>
                <w:rFonts w:ascii="Cambria" w:eastAsia="Times New Roman" w:hAnsi="Cambria"/>
                <w:lang w:val="it-IT"/>
              </w:rPr>
              <w:t>l</w:t>
            </w:r>
            <w:r w:rsidRPr="00DF4CE5">
              <w:rPr>
                <w:rFonts w:ascii="Cambria" w:eastAsia="Times New Roman" w:hAnsi="Cambria"/>
                <w:spacing w:val="2"/>
                <w:lang w:val="it-IT"/>
              </w:rPr>
              <w:t>j</w:t>
            </w:r>
            <w:r w:rsidRPr="00DF4CE5">
              <w:rPr>
                <w:rFonts w:ascii="Cambria" w:eastAsia="Times New Roman" w:hAnsi="Cambria"/>
                <w:spacing w:val="-1"/>
                <w:lang w:val="it-IT"/>
              </w:rPr>
              <w:t>n</w:t>
            </w:r>
            <w:r w:rsidRPr="00DF4CE5">
              <w:rPr>
                <w:rFonts w:ascii="Cambria" w:eastAsia="Times New Roman" w:hAnsi="Cambria"/>
                <w:lang w:val="it-IT"/>
              </w:rPr>
              <w:t>e</w:t>
            </w:r>
            <w:proofErr w:type="spellEnd"/>
            <w:r w:rsidRPr="00DF4CE5">
              <w:rPr>
                <w:rFonts w:ascii="Cambria" w:eastAsia="Times New Roman" w:hAnsi="Cambria"/>
                <w:spacing w:val="-6"/>
                <w:lang w:val="it-IT"/>
              </w:rPr>
              <w:t xml:space="preserve"> </w:t>
            </w:r>
            <w:proofErr w:type="spellStart"/>
            <w:r w:rsidRPr="00DF4CE5">
              <w:rPr>
                <w:rFonts w:ascii="Cambria" w:eastAsia="Times New Roman" w:hAnsi="Cambria"/>
                <w:spacing w:val="1"/>
                <w:lang w:val="it-IT"/>
              </w:rPr>
              <w:t>po</w:t>
            </w:r>
            <w:r w:rsidRPr="00DF4CE5">
              <w:rPr>
                <w:rFonts w:ascii="Cambria" w:eastAsia="Times New Roman" w:hAnsi="Cambria"/>
                <w:lang w:val="it-IT"/>
              </w:rPr>
              <w:t>j</w:t>
            </w:r>
            <w:r w:rsidRPr="00DF4CE5">
              <w:rPr>
                <w:rFonts w:ascii="Cambria" w:eastAsia="Times New Roman" w:hAnsi="Cambria"/>
                <w:spacing w:val="-4"/>
                <w:lang w:val="it-IT"/>
              </w:rPr>
              <w:t>m</w:t>
            </w:r>
            <w:r w:rsidRPr="00DF4CE5">
              <w:rPr>
                <w:rFonts w:ascii="Cambria" w:eastAsia="Times New Roman" w:hAnsi="Cambria"/>
                <w:spacing w:val="4"/>
                <w:lang w:val="it-IT"/>
              </w:rPr>
              <w:t>o</w:t>
            </w:r>
            <w:r w:rsidRPr="00DF4CE5">
              <w:rPr>
                <w:rFonts w:ascii="Cambria" w:eastAsia="Times New Roman" w:hAnsi="Cambria"/>
                <w:spacing w:val="-1"/>
                <w:lang w:val="it-IT"/>
              </w:rPr>
              <w:t>v</w:t>
            </w:r>
            <w:r w:rsidRPr="00DF4CE5">
              <w:rPr>
                <w:rFonts w:ascii="Cambria" w:eastAsia="Times New Roman" w:hAnsi="Cambria"/>
                <w:lang w:val="it-IT"/>
              </w:rPr>
              <w:t>e</w:t>
            </w:r>
            <w:proofErr w:type="spellEnd"/>
            <w:r w:rsidRPr="00DF4CE5">
              <w:rPr>
                <w:rFonts w:ascii="Cambria" w:eastAsia="Times New Roman" w:hAnsi="Cambria"/>
                <w:spacing w:val="-4"/>
                <w:lang w:val="it-IT"/>
              </w:rPr>
              <w:t xml:space="preserve"> </w:t>
            </w:r>
            <w:proofErr w:type="spellStart"/>
            <w:r w:rsidRPr="00DF4CE5">
              <w:rPr>
                <w:rFonts w:ascii="Cambria" w:eastAsia="Times New Roman" w:hAnsi="Cambria"/>
                <w:spacing w:val="-1"/>
                <w:lang w:val="it-IT"/>
              </w:rPr>
              <w:t>m</w:t>
            </w:r>
            <w:r w:rsidRPr="00DF4CE5">
              <w:rPr>
                <w:rFonts w:ascii="Cambria" w:eastAsia="Times New Roman" w:hAnsi="Cambria"/>
                <w:lang w:val="it-IT"/>
              </w:rPr>
              <w:t>et</w:t>
            </w:r>
            <w:r w:rsidRPr="00DF4CE5">
              <w:rPr>
                <w:rFonts w:ascii="Cambria" w:eastAsia="Times New Roman" w:hAnsi="Cambria"/>
                <w:spacing w:val="1"/>
                <w:lang w:val="it-IT"/>
              </w:rPr>
              <w:t>od</w:t>
            </w:r>
            <w:r w:rsidRPr="00DF4CE5">
              <w:rPr>
                <w:rFonts w:ascii="Cambria" w:eastAsia="Times New Roman" w:hAnsi="Cambria"/>
                <w:lang w:val="it-IT"/>
              </w:rPr>
              <w:t>i</w:t>
            </w:r>
            <w:r w:rsidRPr="00DF4CE5">
              <w:rPr>
                <w:rFonts w:ascii="Cambria" w:eastAsia="Times New Roman" w:hAnsi="Cambria"/>
                <w:spacing w:val="-1"/>
                <w:lang w:val="it-IT"/>
              </w:rPr>
              <w:t>k</w:t>
            </w:r>
            <w:r w:rsidRPr="00DF4CE5">
              <w:rPr>
                <w:rFonts w:ascii="Cambria" w:eastAsia="Times New Roman" w:hAnsi="Cambria"/>
                <w:lang w:val="it-IT"/>
              </w:rPr>
              <w:t>e</w:t>
            </w:r>
            <w:proofErr w:type="spellEnd"/>
            <w:r w:rsidRPr="00DF4CE5">
              <w:rPr>
                <w:rFonts w:ascii="Cambria" w:eastAsia="Times New Roman" w:hAnsi="Cambria"/>
                <w:spacing w:val="-4"/>
                <w:lang w:val="it-IT"/>
              </w:rPr>
              <w:t xml:space="preserve"> </w:t>
            </w:r>
            <w:proofErr w:type="spellStart"/>
            <w:r w:rsidRPr="00DF4CE5">
              <w:rPr>
                <w:rFonts w:ascii="Cambria" w:eastAsia="Times New Roman" w:hAnsi="Cambria"/>
                <w:spacing w:val="-1"/>
                <w:lang w:val="it-IT"/>
              </w:rPr>
              <w:t>kn</w:t>
            </w:r>
            <w:r w:rsidRPr="00DF4CE5">
              <w:rPr>
                <w:rFonts w:ascii="Cambria" w:eastAsia="Times New Roman" w:hAnsi="Cambria"/>
                <w:spacing w:val="2"/>
                <w:lang w:val="it-IT"/>
              </w:rPr>
              <w:t>j</w:t>
            </w:r>
            <w:r w:rsidRPr="00DF4CE5">
              <w:rPr>
                <w:rFonts w:ascii="Cambria" w:eastAsia="Times New Roman" w:hAnsi="Cambria"/>
                <w:lang w:val="it-IT"/>
              </w:rPr>
              <w:t>iže</w:t>
            </w:r>
            <w:r w:rsidRPr="00DF4CE5">
              <w:rPr>
                <w:rFonts w:ascii="Cambria" w:eastAsia="Times New Roman" w:hAnsi="Cambria"/>
                <w:spacing w:val="1"/>
                <w:lang w:val="it-IT"/>
              </w:rPr>
              <w:t>v</w:t>
            </w:r>
            <w:r w:rsidRPr="00DF4CE5">
              <w:rPr>
                <w:rFonts w:ascii="Cambria" w:eastAsia="Times New Roman" w:hAnsi="Cambria"/>
                <w:spacing w:val="-1"/>
                <w:lang w:val="it-IT"/>
              </w:rPr>
              <w:t>n</w:t>
            </w:r>
            <w:r w:rsidRPr="00DF4CE5">
              <w:rPr>
                <w:rFonts w:ascii="Cambria" w:eastAsia="Times New Roman" w:hAnsi="Cambria"/>
                <w:spacing w:val="1"/>
                <w:lang w:val="it-IT"/>
              </w:rPr>
              <w:t>o</w:t>
            </w:r>
            <w:r w:rsidRPr="00DF4CE5">
              <w:rPr>
                <w:rFonts w:ascii="Cambria" w:eastAsia="Times New Roman" w:hAnsi="Cambria"/>
                <w:spacing w:val="-1"/>
                <w:lang w:val="it-IT"/>
              </w:rPr>
              <w:t>s</w:t>
            </w:r>
            <w:r w:rsidRPr="00DF4CE5">
              <w:rPr>
                <w:rFonts w:ascii="Cambria" w:eastAsia="Times New Roman" w:hAnsi="Cambria"/>
                <w:lang w:val="it-IT"/>
              </w:rPr>
              <w:t>ti</w:t>
            </w:r>
            <w:proofErr w:type="spellEnd"/>
            <w:r w:rsidRPr="00DF4CE5">
              <w:rPr>
                <w:rFonts w:ascii="Cambria" w:eastAsia="Times New Roman" w:hAnsi="Cambria"/>
                <w:lang w:val="it-IT"/>
              </w:rPr>
              <w:t>,</w:t>
            </w:r>
            <w:r w:rsidRPr="00DF4CE5">
              <w:rPr>
                <w:rFonts w:ascii="Cambria" w:eastAsia="Times New Roman" w:hAnsi="Cambria"/>
                <w:spacing w:val="-7"/>
                <w:lang w:val="it-IT"/>
              </w:rPr>
              <w:t xml:space="preserve"> </w:t>
            </w:r>
            <w:proofErr w:type="spellStart"/>
            <w:r w:rsidRPr="00DF4CE5">
              <w:rPr>
                <w:rFonts w:ascii="Cambria" w:eastAsia="Times New Roman" w:hAnsi="Cambria"/>
                <w:spacing w:val="1"/>
                <w:lang w:val="it-IT"/>
              </w:rPr>
              <w:t>po</w:t>
            </w:r>
            <w:r w:rsidRPr="00DF4CE5">
              <w:rPr>
                <w:rFonts w:ascii="Cambria" w:eastAsia="Times New Roman" w:hAnsi="Cambria"/>
                <w:spacing w:val="-1"/>
                <w:lang w:val="it-IT"/>
              </w:rPr>
              <w:t>s</w:t>
            </w:r>
            <w:r w:rsidRPr="00DF4CE5">
              <w:rPr>
                <w:rFonts w:ascii="Cambria" w:eastAsia="Times New Roman" w:hAnsi="Cambria"/>
                <w:lang w:val="it-IT"/>
              </w:rPr>
              <w:t>e</w:t>
            </w:r>
            <w:r w:rsidRPr="00DF4CE5">
              <w:rPr>
                <w:rFonts w:ascii="Cambria" w:eastAsia="Times New Roman" w:hAnsi="Cambria"/>
                <w:spacing w:val="1"/>
                <w:lang w:val="it-IT"/>
              </w:rPr>
              <w:t>b</w:t>
            </w:r>
            <w:r w:rsidRPr="00DF4CE5">
              <w:rPr>
                <w:rFonts w:ascii="Cambria" w:eastAsia="Times New Roman" w:hAnsi="Cambria"/>
                <w:spacing w:val="-1"/>
                <w:lang w:val="it-IT"/>
              </w:rPr>
              <w:t>n</w:t>
            </w:r>
            <w:r w:rsidRPr="00DF4CE5">
              <w:rPr>
                <w:rFonts w:ascii="Cambria" w:eastAsia="Times New Roman" w:hAnsi="Cambria"/>
                <w:lang w:val="it-IT"/>
              </w:rPr>
              <w:t>o</w:t>
            </w:r>
            <w:proofErr w:type="spellEnd"/>
            <w:r w:rsidRPr="00DF4CE5">
              <w:rPr>
                <w:rFonts w:ascii="Cambria" w:eastAsia="Times New Roman" w:hAnsi="Cambria"/>
                <w:spacing w:val="-5"/>
                <w:lang w:val="it-IT"/>
              </w:rPr>
              <w:t xml:space="preserve"> </w:t>
            </w:r>
            <w:proofErr w:type="spellStart"/>
            <w:r w:rsidRPr="00DF4CE5">
              <w:rPr>
                <w:rFonts w:ascii="Cambria" w:eastAsia="Times New Roman" w:hAnsi="Cambria"/>
                <w:spacing w:val="-1"/>
                <w:lang w:val="it-IT"/>
              </w:rPr>
              <w:t>n</w:t>
            </w:r>
            <w:r w:rsidRPr="00DF4CE5">
              <w:rPr>
                <w:rFonts w:ascii="Cambria" w:eastAsia="Times New Roman" w:hAnsi="Cambria"/>
                <w:lang w:val="it-IT"/>
              </w:rPr>
              <w:t>a</w:t>
            </w:r>
            <w:r w:rsidRPr="00DF4CE5">
              <w:rPr>
                <w:rFonts w:ascii="Cambria" w:eastAsia="Times New Roman" w:hAnsi="Cambria"/>
                <w:spacing w:val="-1"/>
                <w:lang w:val="it-IT"/>
              </w:rPr>
              <w:t>s</w:t>
            </w:r>
            <w:r w:rsidRPr="00DF4CE5">
              <w:rPr>
                <w:rFonts w:ascii="Cambria" w:eastAsia="Times New Roman" w:hAnsi="Cambria"/>
                <w:lang w:val="it-IT"/>
              </w:rPr>
              <w:t>t</w:t>
            </w:r>
            <w:r w:rsidRPr="00DF4CE5">
              <w:rPr>
                <w:rFonts w:ascii="Cambria" w:eastAsia="Times New Roman" w:hAnsi="Cambria"/>
                <w:spacing w:val="3"/>
                <w:lang w:val="it-IT"/>
              </w:rPr>
              <w:t>a</w:t>
            </w:r>
            <w:r w:rsidRPr="00DF4CE5">
              <w:rPr>
                <w:rFonts w:ascii="Cambria" w:eastAsia="Times New Roman" w:hAnsi="Cambria"/>
                <w:spacing w:val="-1"/>
                <w:lang w:val="it-IT"/>
              </w:rPr>
              <w:t>v</w:t>
            </w:r>
            <w:r w:rsidRPr="00DF4CE5">
              <w:rPr>
                <w:rFonts w:ascii="Cambria" w:eastAsia="Times New Roman" w:hAnsi="Cambria"/>
                <w:lang w:val="it-IT"/>
              </w:rPr>
              <w:t>e</w:t>
            </w:r>
            <w:proofErr w:type="spellEnd"/>
            <w:r w:rsidRPr="00DF4CE5">
              <w:rPr>
                <w:rFonts w:ascii="Cambria" w:eastAsia="Times New Roman" w:hAnsi="Cambria"/>
                <w:spacing w:val="-5"/>
                <w:lang w:val="it-IT"/>
              </w:rPr>
              <w:t xml:space="preserve"> </w:t>
            </w:r>
            <w:proofErr w:type="spellStart"/>
            <w:r w:rsidRPr="00DF4CE5">
              <w:rPr>
                <w:rFonts w:ascii="Cambria" w:eastAsia="Times New Roman" w:hAnsi="Cambria"/>
                <w:lang w:val="it-IT"/>
              </w:rPr>
              <w:t>le</w:t>
            </w:r>
            <w:r w:rsidRPr="00DF4CE5">
              <w:rPr>
                <w:rFonts w:ascii="Cambria" w:eastAsia="Times New Roman" w:hAnsi="Cambria"/>
                <w:spacing w:val="-1"/>
                <w:lang w:val="it-IT"/>
              </w:rPr>
              <w:t>k</w:t>
            </w:r>
            <w:r w:rsidRPr="00DF4CE5">
              <w:rPr>
                <w:rFonts w:ascii="Cambria" w:eastAsia="Times New Roman" w:hAnsi="Cambria"/>
                <w:lang w:val="it-IT"/>
              </w:rPr>
              <w:t>ti</w:t>
            </w:r>
            <w:r w:rsidRPr="00DF4CE5">
              <w:rPr>
                <w:rFonts w:ascii="Cambria" w:eastAsia="Times New Roman" w:hAnsi="Cambria"/>
                <w:spacing w:val="1"/>
                <w:lang w:val="it-IT"/>
              </w:rPr>
              <w:t>r</w:t>
            </w:r>
            <w:r w:rsidRPr="00DF4CE5">
              <w:rPr>
                <w:rFonts w:ascii="Cambria" w:eastAsia="Times New Roman" w:hAnsi="Cambria"/>
                <w:lang w:val="it-IT"/>
              </w:rPr>
              <w:t>e</w:t>
            </w:r>
            <w:proofErr w:type="spellEnd"/>
          </w:p>
          <w:p w14:paraId="7BA7B527" w14:textId="77777777" w:rsidR="00FD3975" w:rsidRPr="00DF4CE5" w:rsidRDefault="00FD3975" w:rsidP="00FA0E3D">
            <w:pPr>
              <w:spacing w:after="0" w:line="240" w:lineRule="auto"/>
              <w:rPr>
                <w:rFonts w:ascii="Cambria" w:eastAsia="Calibri" w:hAnsi="Cambria"/>
                <w:lang w:val="it-IT"/>
              </w:rPr>
            </w:pPr>
            <w:r w:rsidRPr="00DF4CE5">
              <w:rPr>
                <w:rFonts w:ascii="Cambria" w:hAnsi="Cambria"/>
                <w:lang w:val="it-IT"/>
              </w:rPr>
              <w:t xml:space="preserve">2. </w:t>
            </w:r>
            <w:proofErr w:type="spellStart"/>
            <w:r w:rsidRPr="00DF4CE5">
              <w:rPr>
                <w:rFonts w:ascii="Cambria" w:hAnsi="Cambria"/>
                <w:lang w:val="it-IT"/>
              </w:rPr>
              <w:t>koristiti</w:t>
            </w:r>
            <w:proofErr w:type="spellEnd"/>
            <w:r w:rsidRPr="00DF4CE5">
              <w:rPr>
                <w:rFonts w:ascii="Cambria" w:hAnsi="Cambria"/>
                <w:lang w:val="it-IT"/>
              </w:rPr>
              <w:t xml:space="preserve"> </w:t>
            </w:r>
            <w:proofErr w:type="spellStart"/>
            <w:r w:rsidRPr="00DF4CE5">
              <w:rPr>
                <w:rFonts w:ascii="Cambria" w:hAnsi="Cambria"/>
                <w:lang w:val="it-IT"/>
              </w:rPr>
              <w:t>stručnu</w:t>
            </w:r>
            <w:proofErr w:type="spellEnd"/>
            <w:r w:rsidRPr="00DF4CE5">
              <w:rPr>
                <w:rFonts w:ascii="Cambria" w:hAnsi="Cambria"/>
                <w:lang w:val="it-IT"/>
              </w:rPr>
              <w:t xml:space="preserve"> i </w:t>
            </w:r>
            <w:proofErr w:type="spellStart"/>
            <w:r w:rsidRPr="00DF4CE5">
              <w:rPr>
                <w:rFonts w:ascii="Cambria" w:hAnsi="Cambria"/>
                <w:lang w:val="it-IT"/>
              </w:rPr>
              <w:t>znanstvenu</w:t>
            </w:r>
            <w:proofErr w:type="spellEnd"/>
            <w:r w:rsidRPr="00DF4CE5">
              <w:rPr>
                <w:rFonts w:ascii="Cambria" w:hAnsi="Cambria"/>
                <w:lang w:val="it-IT"/>
              </w:rPr>
              <w:t xml:space="preserve"> </w:t>
            </w:r>
            <w:proofErr w:type="spellStart"/>
            <w:r w:rsidRPr="00DF4CE5">
              <w:rPr>
                <w:rFonts w:ascii="Cambria" w:hAnsi="Cambria"/>
                <w:lang w:val="it-IT"/>
              </w:rPr>
              <w:t>literaturu</w:t>
            </w:r>
            <w:proofErr w:type="spellEnd"/>
            <w:r w:rsidRPr="00DF4CE5">
              <w:rPr>
                <w:rFonts w:ascii="Cambria" w:hAnsi="Cambria"/>
                <w:lang w:val="it-IT"/>
              </w:rPr>
              <w:t xml:space="preserve"> te </w:t>
            </w:r>
            <w:proofErr w:type="spellStart"/>
            <w:r w:rsidRPr="00DF4CE5">
              <w:rPr>
                <w:rFonts w:ascii="Cambria" w:hAnsi="Cambria"/>
                <w:lang w:val="it-IT"/>
              </w:rPr>
              <w:t>pravilno</w:t>
            </w:r>
            <w:proofErr w:type="spellEnd"/>
            <w:r w:rsidRPr="00DF4CE5">
              <w:rPr>
                <w:rFonts w:ascii="Cambria" w:hAnsi="Cambria"/>
                <w:lang w:val="it-IT"/>
              </w:rPr>
              <w:t xml:space="preserve"> </w:t>
            </w:r>
            <w:proofErr w:type="spellStart"/>
            <w:r w:rsidRPr="00DF4CE5">
              <w:rPr>
                <w:rFonts w:ascii="Cambria" w:hAnsi="Cambria"/>
                <w:lang w:val="it-IT"/>
              </w:rPr>
              <w:t>primijeniti</w:t>
            </w:r>
            <w:proofErr w:type="spellEnd"/>
            <w:r w:rsidRPr="00DF4CE5">
              <w:rPr>
                <w:rFonts w:ascii="Cambria" w:hAnsi="Cambria"/>
                <w:lang w:val="it-IT"/>
              </w:rPr>
              <w:t xml:space="preserve"> </w:t>
            </w:r>
            <w:proofErr w:type="spellStart"/>
            <w:r w:rsidRPr="00DF4CE5">
              <w:rPr>
                <w:rFonts w:ascii="Cambria" w:hAnsi="Cambria"/>
                <w:lang w:val="it-IT"/>
              </w:rPr>
              <w:t>stečene</w:t>
            </w:r>
            <w:proofErr w:type="spellEnd"/>
            <w:r w:rsidRPr="00DF4CE5">
              <w:rPr>
                <w:rFonts w:ascii="Cambria" w:hAnsi="Cambria"/>
                <w:lang w:val="it-IT"/>
              </w:rPr>
              <w:t xml:space="preserve"> </w:t>
            </w:r>
            <w:proofErr w:type="spellStart"/>
            <w:r w:rsidRPr="00DF4CE5">
              <w:rPr>
                <w:rFonts w:ascii="Cambria" w:hAnsi="Cambria"/>
                <w:lang w:val="it-IT"/>
              </w:rPr>
              <w:t>spoznaje</w:t>
            </w:r>
            <w:proofErr w:type="spellEnd"/>
          </w:p>
          <w:p w14:paraId="6BDDA5BB" w14:textId="77777777" w:rsidR="00FD3975" w:rsidRPr="00DF4CE5" w:rsidRDefault="00FD3975" w:rsidP="00FA0E3D">
            <w:pPr>
              <w:spacing w:after="0" w:line="240" w:lineRule="auto"/>
              <w:rPr>
                <w:rFonts w:ascii="Cambria" w:hAnsi="Cambria"/>
                <w:lang w:val="it-IT"/>
              </w:rPr>
            </w:pPr>
            <w:r w:rsidRPr="00DF4CE5">
              <w:rPr>
                <w:rFonts w:ascii="Cambria" w:hAnsi="Cambria"/>
                <w:lang w:val="it-IT"/>
              </w:rPr>
              <w:t xml:space="preserve">3. </w:t>
            </w:r>
            <w:proofErr w:type="spellStart"/>
            <w:r w:rsidRPr="00DF4CE5">
              <w:rPr>
                <w:rFonts w:ascii="Cambria" w:hAnsi="Cambria"/>
                <w:lang w:val="it-IT"/>
              </w:rPr>
              <w:t>kreativno</w:t>
            </w:r>
            <w:proofErr w:type="spellEnd"/>
            <w:r w:rsidRPr="00DF4CE5">
              <w:rPr>
                <w:rFonts w:ascii="Cambria" w:hAnsi="Cambria"/>
                <w:lang w:val="it-IT"/>
              </w:rPr>
              <w:t xml:space="preserve"> </w:t>
            </w:r>
            <w:proofErr w:type="spellStart"/>
            <w:r w:rsidRPr="00DF4CE5">
              <w:rPr>
                <w:rFonts w:ascii="Cambria" w:hAnsi="Cambria"/>
                <w:lang w:val="it-IT"/>
              </w:rPr>
              <w:t>osmisliti</w:t>
            </w:r>
            <w:proofErr w:type="spellEnd"/>
            <w:r w:rsidRPr="00DF4CE5">
              <w:rPr>
                <w:rFonts w:ascii="Cambria" w:hAnsi="Cambria"/>
                <w:lang w:val="it-IT"/>
              </w:rPr>
              <w:t xml:space="preserve"> </w:t>
            </w:r>
            <w:proofErr w:type="spellStart"/>
            <w:r w:rsidRPr="00DF4CE5">
              <w:rPr>
                <w:rFonts w:ascii="Cambria" w:hAnsi="Cambria"/>
                <w:lang w:val="it-IT"/>
              </w:rPr>
              <w:t>konkretan</w:t>
            </w:r>
            <w:proofErr w:type="spellEnd"/>
            <w:r w:rsidRPr="00DF4CE5">
              <w:rPr>
                <w:rFonts w:ascii="Cambria" w:hAnsi="Cambria"/>
                <w:lang w:val="it-IT"/>
              </w:rPr>
              <w:t xml:space="preserve"> </w:t>
            </w:r>
            <w:proofErr w:type="spellStart"/>
            <w:r w:rsidRPr="00DF4CE5">
              <w:rPr>
                <w:rFonts w:ascii="Cambria" w:hAnsi="Cambria"/>
                <w:lang w:val="it-IT"/>
              </w:rPr>
              <w:t>metodički</w:t>
            </w:r>
            <w:proofErr w:type="spellEnd"/>
            <w:r w:rsidRPr="00DF4CE5">
              <w:rPr>
                <w:rFonts w:ascii="Cambria" w:hAnsi="Cambria"/>
                <w:lang w:val="it-IT"/>
              </w:rPr>
              <w:t xml:space="preserve"> model </w:t>
            </w:r>
            <w:proofErr w:type="spellStart"/>
            <w:r w:rsidRPr="00DF4CE5">
              <w:rPr>
                <w:rFonts w:ascii="Cambria" w:hAnsi="Cambria"/>
                <w:lang w:val="it-IT"/>
              </w:rPr>
              <w:t>po</w:t>
            </w:r>
            <w:proofErr w:type="spellEnd"/>
            <w:r w:rsidRPr="00DF4CE5">
              <w:rPr>
                <w:rFonts w:ascii="Cambria" w:hAnsi="Cambria"/>
                <w:lang w:val="it-IT"/>
              </w:rPr>
              <w:t xml:space="preserve"> </w:t>
            </w:r>
            <w:proofErr w:type="spellStart"/>
            <w:r w:rsidRPr="00DF4CE5">
              <w:rPr>
                <w:rFonts w:ascii="Cambria" w:hAnsi="Cambria"/>
                <w:lang w:val="it-IT"/>
              </w:rPr>
              <w:t>mjeri</w:t>
            </w:r>
            <w:proofErr w:type="spellEnd"/>
            <w:r w:rsidRPr="00DF4CE5">
              <w:rPr>
                <w:rFonts w:ascii="Cambria" w:hAnsi="Cambria"/>
                <w:lang w:val="it-IT"/>
              </w:rPr>
              <w:t xml:space="preserve"> </w:t>
            </w:r>
            <w:proofErr w:type="spellStart"/>
            <w:r w:rsidRPr="00DF4CE5">
              <w:rPr>
                <w:rFonts w:ascii="Cambria" w:hAnsi="Cambria"/>
                <w:lang w:val="it-IT"/>
              </w:rPr>
              <w:t>djeteta</w:t>
            </w:r>
            <w:proofErr w:type="spellEnd"/>
            <w:r w:rsidRPr="00DF4CE5">
              <w:rPr>
                <w:rFonts w:ascii="Cambria" w:hAnsi="Cambria"/>
                <w:lang w:val="it-IT"/>
              </w:rPr>
              <w:t xml:space="preserve"> u </w:t>
            </w:r>
            <w:proofErr w:type="spellStart"/>
            <w:r w:rsidRPr="00DF4CE5">
              <w:rPr>
                <w:rFonts w:ascii="Cambria" w:hAnsi="Cambria"/>
                <w:lang w:val="it-IT"/>
              </w:rPr>
              <w:t>odnosu</w:t>
            </w:r>
            <w:proofErr w:type="spellEnd"/>
            <w:r w:rsidRPr="00DF4CE5">
              <w:rPr>
                <w:rFonts w:ascii="Cambria" w:hAnsi="Cambria"/>
                <w:lang w:val="it-IT"/>
              </w:rPr>
              <w:t xml:space="preserve"> </w:t>
            </w:r>
            <w:proofErr w:type="spellStart"/>
            <w:r w:rsidRPr="00DF4CE5">
              <w:rPr>
                <w:rFonts w:ascii="Cambria" w:hAnsi="Cambria"/>
                <w:lang w:val="it-IT"/>
              </w:rPr>
              <w:t>na</w:t>
            </w:r>
            <w:proofErr w:type="spellEnd"/>
            <w:r w:rsidRPr="00DF4CE5">
              <w:rPr>
                <w:rFonts w:ascii="Cambria" w:hAnsi="Cambria"/>
                <w:lang w:val="it-IT"/>
              </w:rPr>
              <w:t xml:space="preserve"> </w:t>
            </w:r>
            <w:proofErr w:type="spellStart"/>
            <w:r w:rsidRPr="00DF4CE5">
              <w:rPr>
                <w:rFonts w:ascii="Cambria" w:hAnsi="Cambria"/>
                <w:lang w:val="it-IT"/>
              </w:rPr>
              <w:t>njegove</w:t>
            </w:r>
            <w:proofErr w:type="spellEnd"/>
            <w:r w:rsidRPr="00DF4CE5">
              <w:rPr>
                <w:rFonts w:ascii="Cambria" w:hAnsi="Cambria"/>
                <w:lang w:val="it-IT"/>
              </w:rPr>
              <w:t xml:space="preserve"> </w:t>
            </w:r>
            <w:proofErr w:type="spellStart"/>
            <w:r w:rsidRPr="00DF4CE5">
              <w:rPr>
                <w:rFonts w:ascii="Cambria" w:hAnsi="Cambria"/>
                <w:lang w:val="it-IT"/>
              </w:rPr>
              <w:t>mogućnosti</w:t>
            </w:r>
            <w:proofErr w:type="spellEnd"/>
            <w:r w:rsidRPr="00DF4CE5">
              <w:rPr>
                <w:rFonts w:ascii="Cambria" w:hAnsi="Cambria"/>
                <w:lang w:val="it-IT"/>
              </w:rPr>
              <w:t xml:space="preserve">, </w:t>
            </w:r>
            <w:proofErr w:type="spellStart"/>
            <w:r w:rsidRPr="00DF4CE5">
              <w:rPr>
                <w:rFonts w:ascii="Cambria" w:hAnsi="Cambria"/>
                <w:lang w:val="it-IT"/>
              </w:rPr>
              <w:t>interese</w:t>
            </w:r>
            <w:proofErr w:type="spellEnd"/>
            <w:r w:rsidRPr="00DF4CE5">
              <w:rPr>
                <w:rFonts w:ascii="Cambria" w:hAnsi="Cambria"/>
                <w:lang w:val="it-IT"/>
              </w:rPr>
              <w:t xml:space="preserve"> i </w:t>
            </w:r>
            <w:proofErr w:type="spellStart"/>
            <w:r w:rsidRPr="00DF4CE5">
              <w:rPr>
                <w:rFonts w:ascii="Cambria" w:hAnsi="Cambria"/>
                <w:lang w:val="it-IT"/>
              </w:rPr>
              <w:t>potrebe</w:t>
            </w:r>
            <w:proofErr w:type="spellEnd"/>
            <w:r w:rsidRPr="00DF4CE5">
              <w:rPr>
                <w:rFonts w:ascii="Cambria" w:hAnsi="Cambria"/>
                <w:lang w:val="it-IT"/>
              </w:rPr>
              <w:t xml:space="preserve">, a </w:t>
            </w:r>
            <w:proofErr w:type="spellStart"/>
            <w:r w:rsidRPr="00DF4CE5">
              <w:rPr>
                <w:rFonts w:ascii="Cambria" w:hAnsi="Cambria"/>
                <w:lang w:val="it-IT"/>
              </w:rPr>
              <w:t>uvažavajući</w:t>
            </w:r>
            <w:proofErr w:type="spellEnd"/>
            <w:r w:rsidRPr="00DF4CE5">
              <w:rPr>
                <w:rFonts w:ascii="Cambria" w:hAnsi="Cambria"/>
                <w:lang w:val="it-IT"/>
              </w:rPr>
              <w:t xml:space="preserve"> </w:t>
            </w:r>
            <w:proofErr w:type="spellStart"/>
            <w:r w:rsidRPr="00DF4CE5">
              <w:rPr>
                <w:rFonts w:ascii="Cambria" w:hAnsi="Cambria"/>
                <w:lang w:val="it-IT"/>
              </w:rPr>
              <w:t>odgojno</w:t>
            </w:r>
            <w:proofErr w:type="spellEnd"/>
            <w:r w:rsidRPr="00DF4CE5">
              <w:rPr>
                <w:rFonts w:ascii="Cambria" w:hAnsi="Cambria"/>
                <w:lang w:val="it-IT"/>
              </w:rPr>
              <w:t xml:space="preserve">- </w:t>
            </w:r>
            <w:proofErr w:type="spellStart"/>
            <w:r w:rsidRPr="00DF4CE5">
              <w:rPr>
                <w:rFonts w:ascii="Cambria" w:hAnsi="Cambria"/>
                <w:lang w:val="it-IT"/>
              </w:rPr>
              <w:t>obrazovne</w:t>
            </w:r>
            <w:proofErr w:type="spellEnd"/>
            <w:r w:rsidRPr="00DF4CE5">
              <w:rPr>
                <w:rFonts w:ascii="Cambria" w:hAnsi="Cambria"/>
                <w:lang w:val="it-IT"/>
              </w:rPr>
              <w:t xml:space="preserve"> </w:t>
            </w:r>
            <w:proofErr w:type="spellStart"/>
            <w:r w:rsidRPr="00DF4CE5">
              <w:rPr>
                <w:rFonts w:ascii="Cambria" w:hAnsi="Cambria"/>
                <w:lang w:val="it-IT"/>
              </w:rPr>
              <w:t>zadaće</w:t>
            </w:r>
            <w:proofErr w:type="spellEnd"/>
            <w:r w:rsidRPr="00DF4CE5">
              <w:rPr>
                <w:rFonts w:ascii="Cambria" w:hAnsi="Cambria"/>
                <w:lang w:val="it-IT"/>
              </w:rPr>
              <w:t xml:space="preserve"> </w:t>
            </w:r>
            <w:proofErr w:type="spellStart"/>
            <w:r w:rsidRPr="00DF4CE5">
              <w:rPr>
                <w:rFonts w:ascii="Cambria" w:hAnsi="Cambria"/>
                <w:lang w:val="it-IT"/>
              </w:rPr>
              <w:t>nastave</w:t>
            </w:r>
            <w:proofErr w:type="spellEnd"/>
            <w:r w:rsidRPr="00DF4CE5">
              <w:rPr>
                <w:rFonts w:ascii="Cambria" w:hAnsi="Cambria"/>
                <w:lang w:val="it-IT"/>
              </w:rPr>
              <w:t xml:space="preserve"> </w:t>
            </w:r>
            <w:proofErr w:type="spellStart"/>
            <w:r w:rsidRPr="00DF4CE5">
              <w:rPr>
                <w:rFonts w:ascii="Cambria" w:hAnsi="Cambria"/>
                <w:lang w:val="it-IT"/>
              </w:rPr>
              <w:t>lektire</w:t>
            </w:r>
            <w:proofErr w:type="spellEnd"/>
          </w:p>
          <w:p w14:paraId="312BEDD9" w14:textId="77777777" w:rsidR="00FD3975" w:rsidRPr="00DF4CE5" w:rsidRDefault="00FD3975" w:rsidP="00FA0E3D">
            <w:pPr>
              <w:spacing w:after="0" w:line="240" w:lineRule="auto"/>
              <w:rPr>
                <w:rFonts w:ascii="Cambria" w:hAnsi="Cambria"/>
                <w:lang w:val="it-IT"/>
              </w:rPr>
            </w:pPr>
            <w:r w:rsidRPr="00DF4CE5">
              <w:rPr>
                <w:rFonts w:ascii="Cambria" w:hAnsi="Cambria"/>
                <w:lang w:val="it-IT"/>
              </w:rPr>
              <w:t xml:space="preserve">4. </w:t>
            </w:r>
            <w:proofErr w:type="spellStart"/>
            <w:r w:rsidRPr="00DF4CE5">
              <w:rPr>
                <w:rFonts w:ascii="Cambria" w:hAnsi="Cambria"/>
                <w:lang w:val="it-IT"/>
              </w:rPr>
              <w:t>pokazati</w:t>
            </w:r>
            <w:proofErr w:type="spellEnd"/>
            <w:r w:rsidRPr="00DF4CE5">
              <w:rPr>
                <w:rFonts w:ascii="Cambria" w:hAnsi="Cambria"/>
                <w:lang w:val="it-IT"/>
              </w:rPr>
              <w:t xml:space="preserve"> </w:t>
            </w:r>
            <w:proofErr w:type="spellStart"/>
            <w:r w:rsidRPr="00DF4CE5">
              <w:rPr>
                <w:rFonts w:ascii="Cambria" w:hAnsi="Cambria"/>
                <w:lang w:val="it-IT"/>
              </w:rPr>
              <w:t>osobne</w:t>
            </w:r>
            <w:proofErr w:type="spellEnd"/>
            <w:r w:rsidRPr="00DF4CE5">
              <w:rPr>
                <w:rFonts w:ascii="Cambria" w:hAnsi="Cambria"/>
                <w:lang w:val="it-IT"/>
              </w:rPr>
              <w:t xml:space="preserve"> </w:t>
            </w:r>
            <w:proofErr w:type="spellStart"/>
            <w:r w:rsidRPr="00DF4CE5">
              <w:rPr>
                <w:rFonts w:ascii="Cambria" w:hAnsi="Cambria"/>
                <w:lang w:val="it-IT"/>
              </w:rPr>
              <w:t>kvalitete</w:t>
            </w:r>
            <w:proofErr w:type="spellEnd"/>
            <w:r w:rsidRPr="00DF4CE5">
              <w:rPr>
                <w:rFonts w:ascii="Cambria" w:hAnsi="Cambria"/>
                <w:lang w:val="it-IT"/>
              </w:rPr>
              <w:t xml:space="preserve"> </w:t>
            </w:r>
            <w:proofErr w:type="spellStart"/>
            <w:r w:rsidRPr="00DF4CE5">
              <w:rPr>
                <w:rFonts w:ascii="Cambria" w:hAnsi="Cambria"/>
                <w:lang w:val="it-IT"/>
              </w:rPr>
              <w:t>ličnosti</w:t>
            </w:r>
            <w:proofErr w:type="spellEnd"/>
            <w:r w:rsidRPr="00DF4CE5">
              <w:rPr>
                <w:rFonts w:ascii="Cambria" w:hAnsi="Cambria"/>
                <w:lang w:val="it-IT"/>
              </w:rPr>
              <w:t xml:space="preserve"> i </w:t>
            </w:r>
            <w:proofErr w:type="spellStart"/>
            <w:r w:rsidRPr="00DF4CE5">
              <w:rPr>
                <w:rFonts w:ascii="Cambria" w:hAnsi="Cambria"/>
                <w:lang w:val="it-IT"/>
              </w:rPr>
              <w:t>kreativnu</w:t>
            </w:r>
            <w:proofErr w:type="spellEnd"/>
            <w:r w:rsidRPr="00DF4CE5">
              <w:rPr>
                <w:rFonts w:ascii="Cambria" w:hAnsi="Cambria"/>
                <w:lang w:val="it-IT"/>
              </w:rPr>
              <w:t xml:space="preserve"> </w:t>
            </w:r>
            <w:proofErr w:type="spellStart"/>
            <w:r w:rsidRPr="00DF4CE5">
              <w:rPr>
                <w:rFonts w:ascii="Cambria" w:hAnsi="Cambria"/>
                <w:lang w:val="it-IT"/>
              </w:rPr>
              <w:t>dimenziju</w:t>
            </w:r>
            <w:proofErr w:type="spellEnd"/>
            <w:r w:rsidRPr="00DF4CE5">
              <w:rPr>
                <w:rFonts w:ascii="Cambria" w:hAnsi="Cambria"/>
                <w:lang w:val="it-IT"/>
              </w:rPr>
              <w:t xml:space="preserve"> </w:t>
            </w:r>
            <w:proofErr w:type="spellStart"/>
            <w:r w:rsidRPr="00DF4CE5">
              <w:rPr>
                <w:rFonts w:ascii="Cambria" w:hAnsi="Cambria"/>
                <w:lang w:val="it-IT"/>
              </w:rPr>
              <w:t>profesije</w:t>
            </w:r>
            <w:proofErr w:type="spellEnd"/>
            <w:r w:rsidRPr="00DF4CE5">
              <w:rPr>
                <w:rFonts w:ascii="Cambria" w:hAnsi="Cambria"/>
                <w:lang w:val="it-IT"/>
              </w:rPr>
              <w:t xml:space="preserve"> u </w:t>
            </w:r>
            <w:proofErr w:type="spellStart"/>
            <w:r w:rsidRPr="00DF4CE5">
              <w:rPr>
                <w:rFonts w:ascii="Cambria" w:hAnsi="Cambria"/>
                <w:lang w:val="it-IT"/>
              </w:rPr>
              <w:t>istraživačkom</w:t>
            </w:r>
            <w:proofErr w:type="spellEnd"/>
            <w:r w:rsidRPr="00DF4CE5">
              <w:rPr>
                <w:rFonts w:ascii="Cambria" w:hAnsi="Cambria"/>
                <w:lang w:val="it-IT"/>
              </w:rPr>
              <w:t xml:space="preserve"> </w:t>
            </w:r>
            <w:proofErr w:type="spellStart"/>
            <w:r w:rsidRPr="00DF4CE5">
              <w:rPr>
                <w:rFonts w:ascii="Cambria" w:hAnsi="Cambria"/>
                <w:lang w:val="it-IT"/>
              </w:rPr>
              <w:t>radu</w:t>
            </w:r>
            <w:proofErr w:type="spellEnd"/>
          </w:p>
        </w:tc>
      </w:tr>
      <w:tr w:rsidR="00FD3975" w:rsidRPr="00D0399C" w14:paraId="7283498D" w14:textId="77777777" w:rsidTr="00FA0E3D">
        <w:tc>
          <w:tcPr>
            <w:tcW w:w="2056"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0ED303C9" w14:textId="77777777" w:rsidR="00FD3975" w:rsidRPr="005C2363" w:rsidRDefault="00FD3975" w:rsidP="00FA0E3D">
            <w:pPr>
              <w:spacing w:after="0" w:line="240" w:lineRule="auto"/>
              <w:rPr>
                <w:rFonts w:ascii="Cambria" w:eastAsia="Times New Roman" w:hAnsi="Cambria" w:cs="Calibri"/>
                <w:lang w:val="hr-HR"/>
              </w:rPr>
            </w:pPr>
            <w:r w:rsidRPr="005C2363">
              <w:rPr>
                <w:rFonts w:ascii="Cambria" w:eastAsia="Times New Roman" w:hAnsi="Cambria" w:cs="Calibri"/>
                <w:lang w:val="hr-HR"/>
              </w:rPr>
              <w:t>Sadržaj kolegija</w:t>
            </w:r>
          </w:p>
        </w:tc>
        <w:tc>
          <w:tcPr>
            <w:tcW w:w="6996"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3420512" w14:textId="77777777" w:rsidR="00FD3975" w:rsidRDefault="00FD3975" w:rsidP="00FD3975">
            <w:pPr>
              <w:suppressAutoHyphens/>
              <w:snapToGrid w:val="0"/>
              <w:spacing w:after="0" w:line="240" w:lineRule="auto"/>
              <w:jc w:val="both"/>
              <w:rPr>
                <w:rFonts w:ascii="Cambria" w:eastAsia="Times New Roman" w:hAnsi="Cambria"/>
                <w:lang w:val="it-IT"/>
              </w:rPr>
            </w:pPr>
            <w:r w:rsidRPr="00FD3975">
              <w:rPr>
                <w:rFonts w:ascii="Cambria" w:eastAsia="Times New Roman" w:hAnsi="Cambria"/>
                <w:spacing w:val="-2"/>
                <w:lang w:val="it-IT"/>
              </w:rPr>
              <w:t xml:space="preserve">1. </w:t>
            </w:r>
            <w:proofErr w:type="spellStart"/>
            <w:r w:rsidRPr="00FD3975">
              <w:rPr>
                <w:rFonts w:ascii="Cambria" w:eastAsia="Times New Roman" w:hAnsi="Cambria"/>
                <w:spacing w:val="-2"/>
                <w:lang w:val="it-IT"/>
              </w:rPr>
              <w:t>Temeljni</w:t>
            </w:r>
            <w:proofErr w:type="spellEnd"/>
            <w:r w:rsidRPr="00FD3975">
              <w:rPr>
                <w:rFonts w:ascii="Cambria" w:eastAsia="Times New Roman" w:hAnsi="Cambria"/>
                <w:spacing w:val="-2"/>
                <w:lang w:val="it-IT"/>
              </w:rPr>
              <w:t xml:space="preserve"> </w:t>
            </w:r>
            <w:proofErr w:type="spellStart"/>
            <w:r w:rsidRPr="00FD3975">
              <w:rPr>
                <w:rFonts w:ascii="Cambria" w:eastAsia="Times New Roman" w:hAnsi="Cambria"/>
                <w:spacing w:val="-2"/>
                <w:lang w:val="it-IT"/>
              </w:rPr>
              <w:t>metodički</w:t>
            </w:r>
            <w:proofErr w:type="spellEnd"/>
            <w:r w:rsidRPr="00FD3975">
              <w:rPr>
                <w:rFonts w:ascii="Cambria" w:eastAsia="Times New Roman" w:hAnsi="Cambria"/>
                <w:spacing w:val="-2"/>
                <w:lang w:val="it-IT"/>
              </w:rPr>
              <w:t xml:space="preserve"> principi </w:t>
            </w:r>
            <w:proofErr w:type="spellStart"/>
            <w:r w:rsidRPr="00FD3975">
              <w:rPr>
                <w:rFonts w:ascii="Cambria" w:eastAsia="Times New Roman" w:hAnsi="Cambria"/>
                <w:spacing w:val="-1"/>
                <w:lang w:val="it-IT"/>
              </w:rPr>
              <w:t>n</w:t>
            </w:r>
            <w:r w:rsidRPr="00FD3975">
              <w:rPr>
                <w:rFonts w:ascii="Cambria" w:eastAsia="Times New Roman" w:hAnsi="Cambria"/>
                <w:lang w:val="it-IT"/>
              </w:rPr>
              <w:t>a</w:t>
            </w:r>
            <w:r w:rsidRPr="00FD3975">
              <w:rPr>
                <w:rFonts w:ascii="Cambria" w:eastAsia="Times New Roman" w:hAnsi="Cambria"/>
                <w:spacing w:val="-1"/>
                <w:lang w:val="it-IT"/>
              </w:rPr>
              <w:t>s</w:t>
            </w:r>
            <w:r w:rsidRPr="00FD3975">
              <w:rPr>
                <w:rFonts w:ascii="Cambria" w:eastAsia="Times New Roman" w:hAnsi="Cambria"/>
                <w:lang w:val="it-IT"/>
              </w:rPr>
              <w:t>t</w:t>
            </w:r>
            <w:r w:rsidRPr="00FD3975">
              <w:rPr>
                <w:rFonts w:ascii="Cambria" w:eastAsia="Times New Roman" w:hAnsi="Cambria"/>
                <w:spacing w:val="3"/>
                <w:lang w:val="it-IT"/>
              </w:rPr>
              <w:t>a</w:t>
            </w:r>
            <w:r w:rsidRPr="00FD3975">
              <w:rPr>
                <w:rFonts w:ascii="Cambria" w:eastAsia="Times New Roman" w:hAnsi="Cambria"/>
                <w:spacing w:val="-1"/>
                <w:lang w:val="it-IT"/>
              </w:rPr>
              <w:t>v</w:t>
            </w:r>
            <w:r w:rsidRPr="00FD3975">
              <w:rPr>
                <w:rFonts w:ascii="Cambria" w:eastAsia="Times New Roman" w:hAnsi="Cambria"/>
                <w:lang w:val="it-IT"/>
              </w:rPr>
              <w:t>e</w:t>
            </w:r>
            <w:proofErr w:type="spellEnd"/>
            <w:r w:rsidRPr="00FD3975">
              <w:rPr>
                <w:rFonts w:ascii="Cambria" w:eastAsia="Times New Roman" w:hAnsi="Cambria"/>
                <w:spacing w:val="4"/>
                <w:lang w:val="it-IT"/>
              </w:rPr>
              <w:t xml:space="preserve"> </w:t>
            </w:r>
            <w:proofErr w:type="spellStart"/>
            <w:r w:rsidRPr="00FD3975">
              <w:rPr>
                <w:rFonts w:ascii="Cambria" w:eastAsia="Times New Roman" w:hAnsi="Cambria"/>
                <w:lang w:val="it-IT"/>
              </w:rPr>
              <w:t>l</w:t>
            </w:r>
            <w:r w:rsidRPr="00FD3975">
              <w:rPr>
                <w:rFonts w:ascii="Cambria" w:eastAsia="Times New Roman" w:hAnsi="Cambria"/>
                <w:spacing w:val="3"/>
                <w:lang w:val="it-IT"/>
              </w:rPr>
              <w:t>e</w:t>
            </w:r>
            <w:r w:rsidRPr="00FD3975">
              <w:rPr>
                <w:rFonts w:ascii="Cambria" w:eastAsia="Times New Roman" w:hAnsi="Cambria"/>
                <w:spacing w:val="-1"/>
                <w:lang w:val="it-IT"/>
              </w:rPr>
              <w:t>k</w:t>
            </w:r>
            <w:r w:rsidRPr="00FD3975">
              <w:rPr>
                <w:rFonts w:ascii="Cambria" w:eastAsia="Times New Roman" w:hAnsi="Cambria"/>
                <w:lang w:val="it-IT"/>
              </w:rPr>
              <w:t>ti</w:t>
            </w:r>
            <w:r w:rsidRPr="00FD3975">
              <w:rPr>
                <w:rFonts w:ascii="Cambria" w:eastAsia="Times New Roman" w:hAnsi="Cambria"/>
                <w:spacing w:val="1"/>
                <w:lang w:val="it-IT"/>
              </w:rPr>
              <w:t>r</w:t>
            </w:r>
            <w:r w:rsidRPr="00FD3975">
              <w:rPr>
                <w:rFonts w:ascii="Cambria" w:eastAsia="Times New Roman" w:hAnsi="Cambria"/>
                <w:lang w:val="it-IT"/>
              </w:rPr>
              <w:t>e</w:t>
            </w:r>
            <w:proofErr w:type="spellEnd"/>
          </w:p>
          <w:p w14:paraId="34DBE4C7" w14:textId="77777777" w:rsidR="00FD3975" w:rsidRDefault="00FD3975" w:rsidP="00FD3975">
            <w:pPr>
              <w:suppressAutoHyphens/>
              <w:snapToGrid w:val="0"/>
              <w:spacing w:after="0" w:line="240" w:lineRule="auto"/>
              <w:jc w:val="both"/>
              <w:rPr>
                <w:rFonts w:ascii="Cambria" w:eastAsia="Times New Roman" w:hAnsi="Cambria"/>
                <w:lang w:val="it-IT"/>
              </w:rPr>
            </w:pPr>
            <w:r>
              <w:rPr>
                <w:rFonts w:ascii="Cambria" w:eastAsia="Times New Roman" w:hAnsi="Cambria"/>
                <w:spacing w:val="2"/>
                <w:lang w:val="it-IT"/>
              </w:rPr>
              <w:t xml:space="preserve">2. </w:t>
            </w:r>
            <w:proofErr w:type="spellStart"/>
            <w:r w:rsidRPr="00DF4CE5">
              <w:rPr>
                <w:rFonts w:ascii="Cambria" w:eastAsia="Times New Roman" w:hAnsi="Cambria"/>
                <w:spacing w:val="2"/>
                <w:lang w:val="it-IT"/>
              </w:rPr>
              <w:t>P</w:t>
            </w:r>
            <w:r w:rsidRPr="00DF4CE5">
              <w:rPr>
                <w:rFonts w:ascii="Cambria" w:eastAsia="Times New Roman" w:hAnsi="Cambria"/>
                <w:spacing w:val="1"/>
                <w:lang w:val="it-IT"/>
              </w:rPr>
              <w:t>op</w:t>
            </w:r>
            <w:r w:rsidRPr="00DF4CE5">
              <w:rPr>
                <w:rFonts w:ascii="Cambria" w:eastAsia="Times New Roman" w:hAnsi="Cambria"/>
                <w:lang w:val="it-IT"/>
              </w:rPr>
              <w:t>i</w:t>
            </w:r>
            <w:r w:rsidRPr="00DF4CE5">
              <w:rPr>
                <w:rFonts w:ascii="Cambria" w:eastAsia="Times New Roman" w:hAnsi="Cambria"/>
                <w:spacing w:val="-1"/>
                <w:lang w:val="it-IT"/>
              </w:rPr>
              <w:t>s</w:t>
            </w:r>
            <w:r w:rsidRPr="00DF4CE5">
              <w:rPr>
                <w:rFonts w:ascii="Cambria" w:eastAsia="Times New Roman" w:hAnsi="Cambria"/>
                <w:lang w:val="it-IT"/>
              </w:rPr>
              <w:t>i</w:t>
            </w:r>
            <w:proofErr w:type="spellEnd"/>
            <w:r w:rsidRPr="00DF4CE5">
              <w:rPr>
                <w:rFonts w:ascii="Cambria" w:eastAsia="Times New Roman" w:hAnsi="Cambria"/>
                <w:spacing w:val="29"/>
                <w:lang w:val="it-IT"/>
              </w:rPr>
              <w:t xml:space="preserve"> </w:t>
            </w:r>
            <w:proofErr w:type="spellStart"/>
            <w:r w:rsidRPr="00DF4CE5">
              <w:rPr>
                <w:rFonts w:ascii="Cambria" w:eastAsia="Times New Roman" w:hAnsi="Cambria"/>
                <w:spacing w:val="-1"/>
                <w:lang w:val="it-IT"/>
              </w:rPr>
              <w:t>učeničke</w:t>
            </w:r>
            <w:proofErr w:type="spellEnd"/>
            <w:r w:rsidRPr="00DF4CE5">
              <w:rPr>
                <w:rFonts w:ascii="Cambria" w:eastAsia="Times New Roman" w:hAnsi="Cambria"/>
                <w:spacing w:val="5"/>
                <w:lang w:val="it-IT"/>
              </w:rPr>
              <w:t xml:space="preserve"> </w:t>
            </w:r>
            <w:proofErr w:type="spellStart"/>
            <w:r w:rsidRPr="00DF4CE5">
              <w:rPr>
                <w:rFonts w:ascii="Cambria" w:eastAsia="Times New Roman" w:hAnsi="Cambria"/>
                <w:lang w:val="it-IT"/>
              </w:rPr>
              <w:t>l</w:t>
            </w:r>
            <w:r w:rsidRPr="00DF4CE5">
              <w:rPr>
                <w:rFonts w:ascii="Cambria" w:eastAsia="Times New Roman" w:hAnsi="Cambria"/>
                <w:spacing w:val="3"/>
                <w:lang w:val="it-IT"/>
              </w:rPr>
              <w:t>e</w:t>
            </w:r>
            <w:r w:rsidRPr="00DF4CE5">
              <w:rPr>
                <w:rFonts w:ascii="Cambria" w:eastAsia="Times New Roman" w:hAnsi="Cambria"/>
                <w:spacing w:val="-1"/>
                <w:lang w:val="it-IT"/>
              </w:rPr>
              <w:t>k</w:t>
            </w:r>
            <w:r w:rsidRPr="00DF4CE5">
              <w:rPr>
                <w:rFonts w:ascii="Cambria" w:eastAsia="Times New Roman" w:hAnsi="Cambria"/>
                <w:lang w:val="it-IT"/>
              </w:rPr>
              <w:t>ti</w:t>
            </w:r>
            <w:r w:rsidRPr="00DF4CE5">
              <w:rPr>
                <w:rFonts w:ascii="Cambria" w:eastAsia="Times New Roman" w:hAnsi="Cambria"/>
                <w:spacing w:val="1"/>
                <w:lang w:val="it-IT"/>
              </w:rPr>
              <w:t>r</w:t>
            </w:r>
            <w:r w:rsidRPr="00DF4CE5">
              <w:rPr>
                <w:rFonts w:ascii="Cambria" w:eastAsia="Times New Roman" w:hAnsi="Cambria"/>
                <w:lang w:val="it-IT"/>
              </w:rPr>
              <w:t>e</w:t>
            </w:r>
            <w:proofErr w:type="spellEnd"/>
            <w:r w:rsidRPr="00DF4CE5">
              <w:rPr>
                <w:rFonts w:ascii="Cambria" w:eastAsia="Times New Roman" w:hAnsi="Cambria"/>
                <w:spacing w:val="29"/>
                <w:lang w:val="it-IT"/>
              </w:rPr>
              <w:t xml:space="preserve"> </w:t>
            </w:r>
            <w:r w:rsidRPr="00DF4CE5">
              <w:rPr>
                <w:rFonts w:ascii="Cambria" w:eastAsia="Times New Roman" w:hAnsi="Cambria"/>
                <w:spacing w:val="1"/>
                <w:lang w:val="it-IT"/>
              </w:rPr>
              <w:t>o</w:t>
            </w:r>
            <w:r w:rsidRPr="00DF4CE5">
              <w:rPr>
                <w:rFonts w:ascii="Cambria" w:eastAsia="Times New Roman" w:hAnsi="Cambria"/>
                <w:lang w:val="it-IT"/>
              </w:rPr>
              <w:t>d</w:t>
            </w:r>
            <w:r w:rsidRPr="00DF4CE5">
              <w:rPr>
                <w:rFonts w:ascii="Cambria" w:eastAsia="Times New Roman" w:hAnsi="Cambria"/>
                <w:spacing w:val="33"/>
                <w:lang w:val="it-IT"/>
              </w:rPr>
              <w:t xml:space="preserve"> </w:t>
            </w:r>
            <w:r w:rsidRPr="00DF4CE5">
              <w:rPr>
                <w:rFonts w:ascii="Cambria" w:eastAsia="Times New Roman" w:hAnsi="Cambria"/>
                <w:spacing w:val="1"/>
                <w:lang w:val="it-IT"/>
              </w:rPr>
              <w:t>1</w:t>
            </w:r>
            <w:r w:rsidRPr="00DF4CE5">
              <w:rPr>
                <w:rFonts w:ascii="Cambria" w:eastAsia="Times New Roman" w:hAnsi="Cambria"/>
                <w:lang w:val="it-IT"/>
              </w:rPr>
              <w:t>.</w:t>
            </w:r>
            <w:r w:rsidRPr="00DF4CE5">
              <w:rPr>
                <w:rFonts w:ascii="Cambria" w:eastAsia="Times New Roman" w:hAnsi="Cambria"/>
                <w:spacing w:val="33"/>
                <w:lang w:val="it-IT"/>
              </w:rPr>
              <w:t xml:space="preserve"> </w:t>
            </w:r>
            <w:r w:rsidRPr="00DF4CE5">
              <w:rPr>
                <w:rFonts w:ascii="Cambria" w:eastAsia="Times New Roman" w:hAnsi="Cambria"/>
                <w:spacing w:val="1"/>
                <w:lang w:val="it-IT"/>
              </w:rPr>
              <w:t>d</w:t>
            </w:r>
            <w:r w:rsidRPr="00DF4CE5">
              <w:rPr>
                <w:rFonts w:ascii="Cambria" w:eastAsia="Times New Roman" w:hAnsi="Cambria"/>
                <w:lang w:val="it-IT"/>
              </w:rPr>
              <w:t>o</w:t>
            </w:r>
            <w:r w:rsidRPr="00DF4CE5">
              <w:rPr>
                <w:rFonts w:ascii="Cambria" w:eastAsia="Times New Roman" w:hAnsi="Cambria"/>
                <w:spacing w:val="33"/>
                <w:lang w:val="it-IT"/>
              </w:rPr>
              <w:t xml:space="preserve"> </w:t>
            </w:r>
            <w:r w:rsidRPr="00DF4CE5">
              <w:rPr>
                <w:rFonts w:ascii="Cambria" w:eastAsia="Times New Roman" w:hAnsi="Cambria"/>
                <w:spacing w:val="1"/>
                <w:lang w:val="it-IT"/>
              </w:rPr>
              <w:t>4</w:t>
            </w:r>
            <w:r w:rsidRPr="00DF4CE5">
              <w:rPr>
                <w:rFonts w:ascii="Cambria" w:eastAsia="Times New Roman" w:hAnsi="Cambria"/>
                <w:lang w:val="it-IT"/>
              </w:rPr>
              <w:t>.</w:t>
            </w:r>
            <w:r w:rsidRPr="00DF4CE5">
              <w:rPr>
                <w:rFonts w:ascii="Cambria" w:eastAsia="Times New Roman" w:hAnsi="Cambria"/>
                <w:spacing w:val="33"/>
                <w:lang w:val="it-IT"/>
              </w:rPr>
              <w:t xml:space="preserve"> </w:t>
            </w:r>
            <w:proofErr w:type="spellStart"/>
            <w:r w:rsidRPr="00DF4CE5">
              <w:rPr>
                <w:rFonts w:ascii="Cambria" w:eastAsia="Times New Roman" w:hAnsi="Cambria"/>
                <w:spacing w:val="1"/>
                <w:lang w:val="it-IT"/>
              </w:rPr>
              <w:t>r</w:t>
            </w:r>
            <w:r w:rsidRPr="00DF4CE5">
              <w:rPr>
                <w:rFonts w:ascii="Cambria" w:eastAsia="Times New Roman" w:hAnsi="Cambria"/>
                <w:lang w:val="it-IT"/>
              </w:rPr>
              <w:t>az</w:t>
            </w:r>
            <w:r w:rsidRPr="00DF4CE5">
              <w:rPr>
                <w:rFonts w:ascii="Cambria" w:eastAsia="Times New Roman" w:hAnsi="Cambria"/>
                <w:spacing w:val="1"/>
                <w:lang w:val="it-IT"/>
              </w:rPr>
              <w:t>r</w:t>
            </w:r>
            <w:r w:rsidRPr="00DF4CE5">
              <w:rPr>
                <w:rFonts w:ascii="Cambria" w:eastAsia="Times New Roman" w:hAnsi="Cambria"/>
                <w:lang w:val="it-IT"/>
              </w:rPr>
              <w:t>e</w:t>
            </w:r>
            <w:r w:rsidRPr="00DF4CE5">
              <w:rPr>
                <w:rFonts w:ascii="Cambria" w:eastAsia="Times New Roman" w:hAnsi="Cambria"/>
                <w:spacing w:val="1"/>
                <w:lang w:val="it-IT"/>
              </w:rPr>
              <w:t>d</w:t>
            </w:r>
            <w:r w:rsidRPr="00DF4CE5">
              <w:rPr>
                <w:rFonts w:ascii="Cambria" w:eastAsia="Times New Roman" w:hAnsi="Cambria"/>
                <w:spacing w:val="-2"/>
                <w:lang w:val="it-IT"/>
              </w:rPr>
              <w:t>a</w:t>
            </w:r>
            <w:proofErr w:type="spellEnd"/>
            <w:r w:rsidRPr="00DF4CE5">
              <w:rPr>
                <w:rFonts w:ascii="Cambria" w:eastAsia="Times New Roman" w:hAnsi="Cambria"/>
                <w:lang w:val="it-IT"/>
              </w:rPr>
              <w:t xml:space="preserve"> prema </w:t>
            </w:r>
            <w:proofErr w:type="spellStart"/>
            <w:r w:rsidRPr="00DF4CE5">
              <w:rPr>
                <w:rFonts w:ascii="Cambria" w:eastAsia="Times New Roman" w:hAnsi="Cambria"/>
                <w:lang w:val="it-IT"/>
              </w:rPr>
              <w:t>Nastavnom</w:t>
            </w:r>
            <w:proofErr w:type="spellEnd"/>
            <w:r w:rsidRPr="00DF4CE5">
              <w:rPr>
                <w:rFonts w:ascii="Cambria" w:eastAsia="Times New Roman" w:hAnsi="Cambria"/>
                <w:lang w:val="it-IT"/>
              </w:rPr>
              <w:t xml:space="preserve"> </w:t>
            </w:r>
            <w:proofErr w:type="spellStart"/>
            <w:r w:rsidRPr="00DF4CE5">
              <w:rPr>
                <w:rFonts w:ascii="Cambria" w:eastAsia="Times New Roman" w:hAnsi="Cambria"/>
                <w:lang w:val="it-IT"/>
              </w:rPr>
              <w:t>planu</w:t>
            </w:r>
            <w:proofErr w:type="spellEnd"/>
            <w:r w:rsidRPr="00DF4CE5">
              <w:rPr>
                <w:rFonts w:ascii="Cambria" w:eastAsia="Times New Roman" w:hAnsi="Cambria"/>
                <w:lang w:val="it-IT"/>
              </w:rPr>
              <w:t xml:space="preserve"> i </w:t>
            </w:r>
            <w:proofErr w:type="spellStart"/>
            <w:r w:rsidRPr="00DF4CE5">
              <w:rPr>
                <w:rFonts w:ascii="Cambria" w:eastAsia="Times New Roman" w:hAnsi="Cambria"/>
                <w:lang w:val="it-IT"/>
              </w:rPr>
              <w:t>programu</w:t>
            </w:r>
            <w:proofErr w:type="spellEnd"/>
          </w:p>
          <w:p w14:paraId="1246DA1F" w14:textId="77777777" w:rsidR="00FD3975" w:rsidRDefault="00FD3975" w:rsidP="00FD3975">
            <w:pPr>
              <w:suppressAutoHyphens/>
              <w:snapToGrid w:val="0"/>
              <w:spacing w:after="0" w:line="240" w:lineRule="auto"/>
              <w:jc w:val="both"/>
              <w:rPr>
                <w:rFonts w:ascii="Cambria" w:eastAsia="Times New Roman" w:hAnsi="Cambria"/>
                <w:spacing w:val="34"/>
                <w:lang w:val="it-IT"/>
              </w:rPr>
            </w:pPr>
            <w:r>
              <w:rPr>
                <w:rFonts w:ascii="Cambria" w:eastAsia="Times New Roman" w:hAnsi="Cambria"/>
                <w:spacing w:val="1"/>
                <w:lang w:val="it-IT"/>
              </w:rPr>
              <w:t xml:space="preserve">3. </w:t>
            </w:r>
            <w:proofErr w:type="spellStart"/>
            <w:r w:rsidRPr="00DF4CE5">
              <w:rPr>
                <w:rFonts w:ascii="Cambria" w:eastAsia="Times New Roman" w:hAnsi="Cambria"/>
                <w:spacing w:val="1"/>
                <w:lang w:val="it-IT"/>
              </w:rPr>
              <w:t>Metodički</w:t>
            </w:r>
            <w:proofErr w:type="spellEnd"/>
            <w:r w:rsidRPr="00DF4CE5">
              <w:rPr>
                <w:rFonts w:ascii="Cambria" w:eastAsia="Times New Roman" w:hAnsi="Cambria"/>
                <w:spacing w:val="15"/>
                <w:lang w:val="it-IT"/>
              </w:rPr>
              <w:t xml:space="preserve"> </w:t>
            </w:r>
            <w:proofErr w:type="spellStart"/>
            <w:r w:rsidRPr="00DF4CE5">
              <w:rPr>
                <w:rFonts w:ascii="Cambria" w:eastAsia="Times New Roman" w:hAnsi="Cambria"/>
                <w:spacing w:val="1"/>
                <w:lang w:val="it-IT"/>
              </w:rPr>
              <w:t>pr</w:t>
            </w:r>
            <w:r w:rsidRPr="00DF4CE5">
              <w:rPr>
                <w:rFonts w:ascii="Cambria" w:eastAsia="Times New Roman" w:hAnsi="Cambria"/>
                <w:lang w:val="it-IT"/>
              </w:rPr>
              <w:t>i</w:t>
            </w:r>
            <w:r w:rsidRPr="00DF4CE5">
              <w:rPr>
                <w:rFonts w:ascii="Cambria" w:eastAsia="Times New Roman" w:hAnsi="Cambria"/>
                <w:spacing w:val="-1"/>
                <w:lang w:val="it-IT"/>
              </w:rPr>
              <w:t>s</w:t>
            </w:r>
            <w:r w:rsidRPr="00DF4CE5">
              <w:rPr>
                <w:rFonts w:ascii="Cambria" w:eastAsia="Times New Roman" w:hAnsi="Cambria"/>
                <w:lang w:val="it-IT"/>
              </w:rPr>
              <w:t>t</w:t>
            </w:r>
            <w:r w:rsidRPr="00DF4CE5">
              <w:rPr>
                <w:rFonts w:ascii="Cambria" w:eastAsia="Times New Roman" w:hAnsi="Cambria"/>
                <w:spacing w:val="-1"/>
                <w:lang w:val="it-IT"/>
              </w:rPr>
              <w:t>u</w:t>
            </w:r>
            <w:r w:rsidRPr="00DF4CE5">
              <w:rPr>
                <w:rFonts w:ascii="Cambria" w:eastAsia="Times New Roman" w:hAnsi="Cambria"/>
                <w:spacing w:val="1"/>
                <w:lang w:val="it-IT"/>
              </w:rPr>
              <w:t>p</w:t>
            </w:r>
            <w:r w:rsidRPr="00DF4CE5">
              <w:rPr>
                <w:rFonts w:ascii="Cambria" w:eastAsia="Times New Roman" w:hAnsi="Cambria"/>
                <w:lang w:val="it-IT"/>
              </w:rPr>
              <w:t>i</w:t>
            </w:r>
            <w:proofErr w:type="spellEnd"/>
            <w:r w:rsidRPr="00DF4CE5">
              <w:rPr>
                <w:rFonts w:ascii="Cambria" w:eastAsia="Times New Roman" w:hAnsi="Cambria"/>
                <w:spacing w:val="30"/>
                <w:lang w:val="it-IT"/>
              </w:rPr>
              <w:t xml:space="preserve"> </w:t>
            </w:r>
            <w:proofErr w:type="spellStart"/>
            <w:r w:rsidRPr="00DF4CE5">
              <w:rPr>
                <w:rFonts w:ascii="Cambria" w:eastAsia="Times New Roman" w:hAnsi="Cambria"/>
                <w:spacing w:val="1"/>
                <w:lang w:val="it-IT"/>
              </w:rPr>
              <w:t>k</w:t>
            </w:r>
            <w:r w:rsidRPr="00DF4CE5">
              <w:rPr>
                <w:rFonts w:ascii="Cambria" w:eastAsia="Times New Roman" w:hAnsi="Cambria"/>
                <w:spacing w:val="-1"/>
                <w:lang w:val="it-IT"/>
              </w:rPr>
              <w:t>n</w:t>
            </w:r>
            <w:r w:rsidRPr="00DF4CE5">
              <w:rPr>
                <w:rFonts w:ascii="Cambria" w:eastAsia="Times New Roman" w:hAnsi="Cambria"/>
                <w:spacing w:val="2"/>
                <w:lang w:val="it-IT"/>
              </w:rPr>
              <w:t>j</w:t>
            </w:r>
            <w:r w:rsidRPr="00DF4CE5">
              <w:rPr>
                <w:rFonts w:ascii="Cambria" w:eastAsia="Times New Roman" w:hAnsi="Cambria"/>
                <w:lang w:val="it-IT"/>
              </w:rPr>
              <w:t>iže</w:t>
            </w:r>
            <w:r w:rsidRPr="00DF4CE5">
              <w:rPr>
                <w:rFonts w:ascii="Cambria" w:eastAsia="Times New Roman" w:hAnsi="Cambria"/>
                <w:spacing w:val="-1"/>
                <w:lang w:val="it-IT"/>
              </w:rPr>
              <w:t>v</w:t>
            </w:r>
            <w:r w:rsidRPr="00DF4CE5">
              <w:rPr>
                <w:rFonts w:ascii="Cambria" w:eastAsia="Times New Roman" w:hAnsi="Cambria"/>
                <w:spacing w:val="1"/>
                <w:lang w:val="it-IT"/>
              </w:rPr>
              <w:t>n</w:t>
            </w:r>
            <w:r w:rsidRPr="00DF4CE5">
              <w:rPr>
                <w:rFonts w:ascii="Cambria" w:eastAsia="Times New Roman" w:hAnsi="Cambria"/>
                <w:spacing w:val="5"/>
                <w:lang w:val="it-IT"/>
              </w:rPr>
              <w:t>i</w:t>
            </w:r>
            <w:r w:rsidRPr="00DF4CE5">
              <w:rPr>
                <w:rFonts w:ascii="Cambria" w:eastAsia="Times New Roman" w:hAnsi="Cambria"/>
                <w:lang w:val="it-IT"/>
              </w:rPr>
              <w:t>m</w:t>
            </w:r>
            <w:proofErr w:type="spellEnd"/>
            <w:r w:rsidRPr="00DF4CE5">
              <w:rPr>
                <w:rFonts w:ascii="Cambria" w:eastAsia="Times New Roman" w:hAnsi="Cambria"/>
                <w:lang w:val="it-IT"/>
              </w:rPr>
              <w:t xml:space="preserve"> </w:t>
            </w:r>
            <w:proofErr w:type="spellStart"/>
            <w:r w:rsidRPr="00DF4CE5">
              <w:rPr>
                <w:rFonts w:ascii="Cambria" w:eastAsia="Times New Roman" w:hAnsi="Cambria"/>
                <w:spacing w:val="1"/>
                <w:lang w:val="it-IT"/>
              </w:rPr>
              <w:t>d</w:t>
            </w:r>
            <w:r w:rsidRPr="00DF4CE5">
              <w:rPr>
                <w:rFonts w:ascii="Cambria" w:eastAsia="Times New Roman" w:hAnsi="Cambria"/>
                <w:spacing w:val="2"/>
                <w:lang w:val="it-IT"/>
              </w:rPr>
              <w:t>j</w:t>
            </w:r>
            <w:r w:rsidRPr="00DF4CE5">
              <w:rPr>
                <w:rFonts w:ascii="Cambria" w:eastAsia="Times New Roman" w:hAnsi="Cambria"/>
                <w:lang w:val="it-IT"/>
              </w:rPr>
              <w:t>eli</w:t>
            </w:r>
            <w:r w:rsidRPr="00DF4CE5">
              <w:rPr>
                <w:rFonts w:ascii="Cambria" w:eastAsia="Times New Roman" w:hAnsi="Cambria"/>
                <w:spacing w:val="-4"/>
                <w:lang w:val="it-IT"/>
              </w:rPr>
              <w:t>m</w:t>
            </w:r>
            <w:r w:rsidRPr="00DF4CE5">
              <w:rPr>
                <w:rFonts w:ascii="Cambria" w:eastAsia="Times New Roman" w:hAnsi="Cambria"/>
                <w:lang w:val="it-IT"/>
              </w:rPr>
              <w:t>a</w:t>
            </w:r>
            <w:proofErr w:type="spellEnd"/>
            <w:r w:rsidRPr="00DF4CE5">
              <w:rPr>
                <w:rFonts w:ascii="Cambria" w:eastAsia="Times New Roman" w:hAnsi="Cambria"/>
                <w:spacing w:val="38"/>
                <w:lang w:val="it-IT"/>
              </w:rPr>
              <w:t xml:space="preserve"> </w:t>
            </w:r>
            <w:r w:rsidRPr="00DF4CE5">
              <w:rPr>
                <w:rFonts w:ascii="Cambria" w:eastAsia="Times New Roman" w:hAnsi="Cambria"/>
                <w:lang w:val="it-IT"/>
              </w:rPr>
              <w:t>u</w:t>
            </w:r>
            <w:r w:rsidRPr="00DF4CE5">
              <w:rPr>
                <w:rFonts w:ascii="Cambria" w:eastAsia="Times New Roman" w:hAnsi="Cambria"/>
                <w:spacing w:val="41"/>
                <w:lang w:val="it-IT"/>
              </w:rPr>
              <w:t xml:space="preserve"> </w:t>
            </w:r>
            <w:proofErr w:type="spellStart"/>
            <w:r w:rsidRPr="00DF4CE5">
              <w:rPr>
                <w:rFonts w:ascii="Cambria" w:eastAsia="Times New Roman" w:hAnsi="Cambria"/>
                <w:spacing w:val="-1"/>
                <w:lang w:val="it-IT"/>
              </w:rPr>
              <w:t>n</w:t>
            </w:r>
            <w:r w:rsidRPr="00DF4CE5">
              <w:rPr>
                <w:rFonts w:ascii="Cambria" w:eastAsia="Times New Roman" w:hAnsi="Cambria"/>
                <w:lang w:val="it-IT"/>
              </w:rPr>
              <w:t>a</w:t>
            </w:r>
            <w:r w:rsidRPr="00DF4CE5">
              <w:rPr>
                <w:rFonts w:ascii="Cambria" w:eastAsia="Times New Roman" w:hAnsi="Cambria"/>
                <w:spacing w:val="-1"/>
                <w:lang w:val="it-IT"/>
              </w:rPr>
              <w:t>s</w:t>
            </w:r>
            <w:r w:rsidRPr="00DF4CE5">
              <w:rPr>
                <w:rFonts w:ascii="Cambria" w:eastAsia="Times New Roman" w:hAnsi="Cambria"/>
                <w:lang w:val="it-IT"/>
              </w:rPr>
              <w:t>t</w:t>
            </w:r>
            <w:r w:rsidRPr="00DF4CE5">
              <w:rPr>
                <w:rFonts w:ascii="Cambria" w:eastAsia="Times New Roman" w:hAnsi="Cambria"/>
                <w:spacing w:val="3"/>
                <w:lang w:val="it-IT"/>
              </w:rPr>
              <w:t>a</w:t>
            </w:r>
            <w:r w:rsidRPr="00DF4CE5">
              <w:rPr>
                <w:rFonts w:ascii="Cambria" w:eastAsia="Times New Roman" w:hAnsi="Cambria"/>
                <w:spacing w:val="-1"/>
                <w:lang w:val="it-IT"/>
              </w:rPr>
              <w:t>v</w:t>
            </w:r>
            <w:r w:rsidRPr="00DF4CE5">
              <w:rPr>
                <w:rFonts w:ascii="Cambria" w:eastAsia="Times New Roman" w:hAnsi="Cambria"/>
                <w:lang w:val="it-IT"/>
              </w:rPr>
              <w:t>i</w:t>
            </w:r>
            <w:proofErr w:type="spellEnd"/>
            <w:r w:rsidRPr="00DF4CE5">
              <w:rPr>
                <w:rFonts w:ascii="Cambria" w:eastAsia="Times New Roman" w:hAnsi="Cambria"/>
                <w:spacing w:val="35"/>
                <w:lang w:val="it-IT"/>
              </w:rPr>
              <w:t xml:space="preserve"> </w:t>
            </w:r>
            <w:proofErr w:type="spellStart"/>
            <w:r w:rsidRPr="00DF4CE5">
              <w:rPr>
                <w:rFonts w:ascii="Cambria" w:eastAsia="Times New Roman" w:hAnsi="Cambria"/>
                <w:lang w:val="it-IT"/>
              </w:rPr>
              <w:t>l</w:t>
            </w:r>
            <w:r w:rsidRPr="00DF4CE5">
              <w:rPr>
                <w:rFonts w:ascii="Cambria" w:eastAsia="Times New Roman" w:hAnsi="Cambria"/>
                <w:spacing w:val="3"/>
                <w:lang w:val="it-IT"/>
              </w:rPr>
              <w:t>e</w:t>
            </w:r>
            <w:r w:rsidRPr="00DF4CE5">
              <w:rPr>
                <w:rFonts w:ascii="Cambria" w:eastAsia="Times New Roman" w:hAnsi="Cambria"/>
                <w:spacing w:val="-1"/>
                <w:lang w:val="it-IT"/>
              </w:rPr>
              <w:t>k</w:t>
            </w:r>
            <w:r w:rsidRPr="00DF4CE5">
              <w:rPr>
                <w:rFonts w:ascii="Cambria" w:eastAsia="Times New Roman" w:hAnsi="Cambria"/>
                <w:lang w:val="it-IT"/>
              </w:rPr>
              <w:t>ti</w:t>
            </w:r>
            <w:r w:rsidRPr="00DF4CE5">
              <w:rPr>
                <w:rFonts w:ascii="Cambria" w:eastAsia="Times New Roman" w:hAnsi="Cambria"/>
                <w:spacing w:val="1"/>
                <w:lang w:val="it-IT"/>
              </w:rPr>
              <w:t>r</w:t>
            </w:r>
            <w:r w:rsidRPr="00DF4CE5">
              <w:rPr>
                <w:rFonts w:ascii="Cambria" w:eastAsia="Times New Roman" w:hAnsi="Cambria"/>
                <w:lang w:val="it-IT"/>
              </w:rPr>
              <w:t>e</w:t>
            </w:r>
            <w:proofErr w:type="spellEnd"/>
            <w:r w:rsidRPr="00DF4CE5">
              <w:rPr>
                <w:rFonts w:ascii="Cambria" w:eastAsia="Times New Roman" w:hAnsi="Cambria"/>
                <w:spacing w:val="37"/>
                <w:lang w:val="it-IT"/>
              </w:rPr>
              <w:t xml:space="preserve"> </w:t>
            </w:r>
            <w:r w:rsidRPr="00DF4CE5">
              <w:rPr>
                <w:rFonts w:ascii="Cambria" w:eastAsia="Times New Roman" w:hAnsi="Cambria"/>
                <w:lang w:val="it-IT"/>
              </w:rPr>
              <w:t>–</w:t>
            </w:r>
            <w:r w:rsidRPr="00DF4CE5">
              <w:rPr>
                <w:rFonts w:ascii="Cambria" w:eastAsia="Times New Roman" w:hAnsi="Cambria"/>
                <w:spacing w:val="44"/>
                <w:lang w:val="it-IT"/>
              </w:rPr>
              <w:t xml:space="preserve"> </w:t>
            </w:r>
            <w:proofErr w:type="spellStart"/>
            <w:r w:rsidRPr="00DF4CE5">
              <w:rPr>
                <w:rFonts w:ascii="Cambria" w:eastAsia="Times New Roman" w:hAnsi="Cambria"/>
                <w:spacing w:val="-4"/>
                <w:lang w:val="it-IT"/>
              </w:rPr>
              <w:t>mogućnosti</w:t>
            </w:r>
            <w:proofErr w:type="spellEnd"/>
            <w:r w:rsidRPr="00DF4CE5">
              <w:rPr>
                <w:rFonts w:ascii="Cambria" w:eastAsia="Times New Roman" w:hAnsi="Cambria"/>
                <w:spacing w:val="23"/>
                <w:lang w:val="it-IT"/>
              </w:rPr>
              <w:t xml:space="preserve"> </w:t>
            </w:r>
            <w:proofErr w:type="spellStart"/>
            <w:r w:rsidRPr="00DF4CE5">
              <w:rPr>
                <w:rFonts w:ascii="Cambria" w:eastAsia="Times New Roman" w:hAnsi="Cambria"/>
                <w:spacing w:val="-1"/>
                <w:lang w:val="it-IT"/>
              </w:rPr>
              <w:t>međupodručne</w:t>
            </w:r>
            <w:proofErr w:type="spellEnd"/>
            <w:r w:rsidRPr="00DF4CE5">
              <w:rPr>
                <w:rFonts w:ascii="Cambria" w:eastAsia="Times New Roman" w:hAnsi="Cambria"/>
                <w:spacing w:val="10"/>
                <w:lang w:val="it-IT"/>
              </w:rPr>
              <w:t xml:space="preserve"> </w:t>
            </w:r>
            <w:r w:rsidRPr="00DF4CE5">
              <w:rPr>
                <w:rFonts w:ascii="Cambria" w:eastAsia="Times New Roman" w:hAnsi="Cambria"/>
                <w:lang w:val="it-IT"/>
              </w:rPr>
              <w:t>i</w:t>
            </w:r>
            <w:r w:rsidRPr="00DF4CE5">
              <w:rPr>
                <w:rFonts w:ascii="Cambria" w:eastAsia="Times New Roman" w:hAnsi="Cambria"/>
                <w:spacing w:val="42"/>
                <w:lang w:val="it-IT"/>
              </w:rPr>
              <w:t xml:space="preserve"> </w:t>
            </w:r>
            <w:proofErr w:type="spellStart"/>
            <w:r w:rsidRPr="00DF4CE5">
              <w:rPr>
                <w:rFonts w:ascii="Cambria" w:eastAsia="Times New Roman" w:hAnsi="Cambria"/>
                <w:spacing w:val="-1"/>
                <w:lang w:val="it-IT"/>
              </w:rPr>
              <w:t>međupredmetne</w:t>
            </w:r>
            <w:proofErr w:type="spellEnd"/>
            <w:r w:rsidRPr="00DF4CE5">
              <w:rPr>
                <w:rFonts w:ascii="Cambria" w:eastAsia="Times New Roman" w:hAnsi="Cambria"/>
                <w:spacing w:val="20"/>
                <w:lang w:val="it-IT"/>
              </w:rPr>
              <w:t xml:space="preserve"> </w:t>
            </w:r>
            <w:proofErr w:type="spellStart"/>
            <w:r w:rsidRPr="00DF4CE5">
              <w:rPr>
                <w:rFonts w:ascii="Cambria" w:eastAsia="Times New Roman" w:hAnsi="Cambria"/>
                <w:spacing w:val="-1"/>
                <w:lang w:val="it-IT"/>
              </w:rPr>
              <w:t>k</w:t>
            </w:r>
            <w:r w:rsidRPr="00DF4CE5">
              <w:rPr>
                <w:rFonts w:ascii="Cambria" w:eastAsia="Times New Roman" w:hAnsi="Cambria"/>
                <w:spacing w:val="1"/>
                <w:lang w:val="it-IT"/>
              </w:rPr>
              <w:t>or</w:t>
            </w:r>
            <w:r w:rsidRPr="00DF4CE5">
              <w:rPr>
                <w:rFonts w:ascii="Cambria" w:eastAsia="Times New Roman" w:hAnsi="Cambria"/>
                <w:lang w:val="it-IT"/>
              </w:rPr>
              <w:t>elaci</w:t>
            </w:r>
            <w:r w:rsidRPr="00DF4CE5">
              <w:rPr>
                <w:rFonts w:ascii="Cambria" w:eastAsia="Times New Roman" w:hAnsi="Cambria"/>
                <w:spacing w:val="2"/>
                <w:lang w:val="it-IT"/>
              </w:rPr>
              <w:t>j</w:t>
            </w:r>
            <w:r w:rsidRPr="00DF4CE5">
              <w:rPr>
                <w:rFonts w:ascii="Cambria" w:eastAsia="Times New Roman" w:hAnsi="Cambria"/>
                <w:lang w:val="it-IT"/>
              </w:rPr>
              <w:t>e</w:t>
            </w:r>
            <w:proofErr w:type="spellEnd"/>
            <w:r w:rsidRPr="00DF4CE5">
              <w:rPr>
                <w:rFonts w:ascii="Cambria" w:eastAsia="Times New Roman" w:hAnsi="Cambria"/>
                <w:lang w:val="it-IT"/>
              </w:rPr>
              <w:t>.</w:t>
            </w:r>
            <w:r w:rsidRPr="00DF4CE5">
              <w:rPr>
                <w:rFonts w:ascii="Cambria" w:eastAsia="Times New Roman" w:hAnsi="Cambria"/>
                <w:spacing w:val="34"/>
                <w:lang w:val="it-IT"/>
              </w:rPr>
              <w:t xml:space="preserve"> </w:t>
            </w:r>
          </w:p>
          <w:p w14:paraId="5859753F" w14:textId="77777777" w:rsidR="00FD3975" w:rsidRDefault="00FD3975" w:rsidP="00FD3975">
            <w:pPr>
              <w:suppressAutoHyphens/>
              <w:snapToGrid w:val="0"/>
              <w:spacing w:after="0" w:line="240" w:lineRule="auto"/>
              <w:jc w:val="both"/>
              <w:rPr>
                <w:rFonts w:ascii="Cambria" w:eastAsia="Times New Roman" w:hAnsi="Cambria"/>
                <w:lang w:val="it-IT"/>
              </w:rPr>
            </w:pPr>
            <w:r w:rsidRPr="00FD3975">
              <w:rPr>
                <w:rFonts w:ascii="Cambria" w:hAnsi="Cambria"/>
                <w:lang w:val="it-IT"/>
              </w:rPr>
              <w:t xml:space="preserve">4. </w:t>
            </w:r>
            <w:proofErr w:type="spellStart"/>
            <w:r w:rsidRPr="00FD3975">
              <w:rPr>
                <w:rFonts w:ascii="Cambria" w:hAnsi="Cambria"/>
                <w:lang w:val="it-IT"/>
              </w:rPr>
              <w:t>Oblici</w:t>
            </w:r>
            <w:proofErr w:type="spellEnd"/>
            <w:r w:rsidRPr="00FD3975">
              <w:rPr>
                <w:rFonts w:ascii="Cambria" w:hAnsi="Cambria"/>
                <w:lang w:val="it-IT"/>
              </w:rPr>
              <w:t xml:space="preserve"> </w:t>
            </w:r>
            <w:proofErr w:type="spellStart"/>
            <w:r w:rsidRPr="00FD3975">
              <w:rPr>
                <w:rFonts w:ascii="Cambria" w:hAnsi="Cambria"/>
                <w:lang w:val="it-IT"/>
              </w:rPr>
              <w:t>motivacija</w:t>
            </w:r>
            <w:proofErr w:type="spellEnd"/>
            <w:r w:rsidRPr="00FD3975">
              <w:rPr>
                <w:rFonts w:ascii="Cambria" w:hAnsi="Cambria"/>
                <w:lang w:val="it-IT"/>
              </w:rPr>
              <w:t xml:space="preserve"> za </w:t>
            </w:r>
            <w:proofErr w:type="spellStart"/>
            <w:r w:rsidRPr="00FD3975">
              <w:rPr>
                <w:rFonts w:ascii="Cambria" w:hAnsi="Cambria"/>
                <w:lang w:val="it-IT"/>
              </w:rPr>
              <w:t>čitanje</w:t>
            </w:r>
            <w:proofErr w:type="spellEnd"/>
            <w:r w:rsidRPr="00FD3975">
              <w:rPr>
                <w:rFonts w:ascii="Cambria" w:hAnsi="Cambria"/>
                <w:lang w:val="it-IT"/>
              </w:rPr>
              <w:t xml:space="preserve"> </w:t>
            </w:r>
            <w:proofErr w:type="spellStart"/>
            <w:r w:rsidRPr="00FD3975">
              <w:rPr>
                <w:rFonts w:ascii="Cambria" w:hAnsi="Cambria"/>
                <w:lang w:val="it-IT"/>
              </w:rPr>
              <w:t>lektire</w:t>
            </w:r>
            <w:proofErr w:type="spellEnd"/>
          </w:p>
          <w:p w14:paraId="56A69AA9" w14:textId="77777777" w:rsidR="00FD3975" w:rsidRDefault="00FD3975" w:rsidP="00FD3975">
            <w:pPr>
              <w:suppressAutoHyphens/>
              <w:snapToGrid w:val="0"/>
              <w:spacing w:after="0" w:line="240" w:lineRule="auto"/>
              <w:jc w:val="both"/>
              <w:rPr>
                <w:rFonts w:ascii="Cambria" w:eastAsia="Times New Roman" w:hAnsi="Cambria"/>
                <w:lang w:val="it-IT"/>
              </w:rPr>
            </w:pPr>
            <w:r>
              <w:rPr>
                <w:rFonts w:ascii="Cambria" w:eastAsia="Times New Roman" w:hAnsi="Cambria"/>
                <w:lang w:val="it-IT"/>
              </w:rPr>
              <w:t xml:space="preserve">5. </w:t>
            </w:r>
            <w:proofErr w:type="spellStart"/>
            <w:r w:rsidRPr="00DF4CE5">
              <w:rPr>
                <w:rFonts w:ascii="Cambria" w:eastAsia="Times New Roman" w:hAnsi="Cambria"/>
                <w:lang w:val="it-IT"/>
              </w:rPr>
              <w:t>Vođenje</w:t>
            </w:r>
            <w:proofErr w:type="spellEnd"/>
            <w:r w:rsidRPr="00DF4CE5">
              <w:rPr>
                <w:rFonts w:ascii="Cambria" w:eastAsia="Times New Roman" w:hAnsi="Cambria"/>
                <w:lang w:val="it-IT"/>
              </w:rPr>
              <w:t xml:space="preserve">, </w:t>
            </w:r>
            <w:proofErr w:type="spellStart"/>
            <w:r w:rsidRPr="00DF4CE5">
              <w:rPr>
                <w:rFonts w:ascii="Cambria" w:eastAsia="Times New Roman" w:hAnsi="Cambria"/>
                <w:lang w:val="it-IT"/>
              </w:rPr>
              <w:t>usmjeravanje</w:t>
            </w:r>
            <w:proofErr w:type="spellEnd"/>
            <w:r w:rsidRPr="00DF4CE5">
              <w:rPr>
                <w:rFonts w:ascii="Cambria" w:eastAsia="Times New Roman" w:hAnsi="Cambria"/>
                <w:lang w:val="it-IT"/>
              </w:rPr>
              <w:t xml:space="preserve"> i </w:t>
            </w:r>
            <w:proofErr w:type="spellStart"/>
            <w:r w:rsidRPr="00DF4CE5">
              <w:rPr>
                <w:rFonts w:ascii="Cambria" w:eastAsia="Times New Roman" w:hAnsi="Cambria"/>
                <w:lang w:val="it-IT"/>
              </w:rPr>
              <w:t>praćenje</w:t>
            </w:r>
            <w:proofErr w:type="spellEnd"/>
            <w:r w:rsidRPr="00DF4CE5">
              <w:rPr>
                <w:rFonts w:ascii="Cambria" w:eastAsia="Times New Roman" w:hAnsi="Cambria"/>
                <w:lang w:val="it-IT"/>
              </w:rPr>
              <w:t xml:space="preserve"> </w:t>
            </w:r>
            <w:proofErr w:type="spellStart"/>
            <w:r w:rsidRPr="00DF4CE5">
              <w:rPr>
                <w:rFonts w:ascii="Cambria" w:eastAsia="Times New Roman" w:hAnsi="Cambria"/>
                <w:lang w:val="it-IT"/>
              </w:rPr>
              <w:t>učenikova</w:t>
            </w:r>
            <w:proofErr w:type="spellEnd"/>
            <w:r w:rsidRPr="00DF4CE5">
              <w:rPr>
                <w:rFonts w:ascii="Cambria" w:eastAsia="Times New Roman" w:hAnsi="Cambria"/>
                <w:lang w:val="it-IT"/>
              </w:rPr>
              <w:t xml:space="preserve"> </w:t>
            </w:r>
            <w:proofErr w:type="spellStart"/>
            <w:r w:rsidRPr="00DF4CE5">
              <w:rPr>
                <w:rFonts w:ascii="Cambria" w:eastAsia="Times New Roman" w:hAnsi="Cambria"/>
                <w:lang w:val="it-IT"/>
              </w:rPr>
              <w:t>čitanja</w:t>
            </w:r>
            <w:proofErr w:type="spellEnd"/>
            <w:r w:rsidRPr="00DF4CE5">
              <w:rPr>
                <w:rFonts w:ascii="Cambria" w:eastAsia="Times New Roman" w:hAnsi="Cambria"/>
                <w:lang w:val="it-IT"/>
              </w:rPr>
              <w:t xml:space="preserve"> </w:t>
            </w:r>
          </w:p>
          <w:p w14:paraId="39CC6D20" w14:textId="13C295F3" w:rsidR="00FD3975" w:rsidRPr="00FD3975" w:rsidRDefault="00FD3975" w:rsidP="00FD3975">
            <w:pPr>
              <w:suppressAutoHyphens/>
              <w:snapToGrid w:val="0"/>
              <w:spacing w:after="0" w:line="240" w:lineRule="auto"/>
              <w:jc w:val="both"/>
              <w:rPr>
                <w:rFonts w:ascii="Cambria" w:eastAsia="Times New Roman" w:hAnsi="Cambria"/>
                <w:lang w:val="it-IT"/>
              </w:rPr>
            </w:pPr>
            <w:r>
              <w:rPr>
                <w:rFonts w:ascii="Cambria" w:eastAsia="Times New Roman" w:hAnsi="Cambria"/>
                <w:lang w:val="it-IT"/>
              </w:rPr>
              <w:t xml:space="preserve">6. </w:t>
            </w:r>
            <w:proofErr w:type="spellStart"/>
            <w:r w:rsidRPr="00FD3975">
              <w:rPr>
                <w:rFonts w:ascii="Cambria" w:eastAsia="Times New Roman" w:hAnsi="Cambria"/>
                <w:lang w:val="it-IT"/>
              </w:rPr>
              <w:t>Ocjenjivanje</w:t>
            </w:r>
            <w:proofErr w:type="spellEnd"/>
            <w:r w:rsidRPr="00FD3975">
              <w:rPr>
                <w:rFonts w:ascii="Cambria" w:eastAsia="Times New Roman" w:hAnsi="Cambria"/>
                <w:lang w:val="it-IT"/>
              </w:rPr>
              <w:t xml:space="preserve"> i </w:t>
            </w:r>
            <w:proofErr w:type="spellStart"/>
            <w:r w:rsidRPr="00FD3975">
              <w:rPr>
                <w:rFonts w:ascii="Cambria" w:eastAsia="Times New Roman" w:hAnsi="Cambria"/>
                <w:lang w:val="it-IT"/>
              </w:rPr>
              <w:t>vrednovanje</w:t>
            </w:r>
            <w:proofErr w:type="spellEnd"/>
            <w:r w:rsidRPr="00FD3975">
              <w:rPr>
                <w:rFonts w:ascii="Cambria" w:eastAsia="Times New Roman" w:hAnsi="Cambria"/>
                <w:lang w:val="it-IT"/>
              </w:rPr>
              <w:t xml:space="preserve"> </w:t>
            </w:r>
            <w:proofErr w:type="spellStart"/>
            <w:r w:rsidRPr="00FD3975">
              <w:rPr>
                <w:rFonts w:ascii="Cambria" w:eastAsia="Times New Roman" w:hAnsi="Cambria"/>
                <w:lang w:val="it-IT"/>
              </w:rPr>
              <w:t>učeničke</w:t>
            </w:r>
            <w:proofErr w:type="spellEnd"/>
            <w:r w:rsidRPr="00FD3975">
              <w:rPr>
                <w:rFonts w:ascii="Cambria" w:eastAsia="Times New Roman" w:hAnsi="Cambria"/>
                <w:lang w:val="it-IT"/>
              </w:rPr>
              <w:t xml:space="preserve"> </w:t>
            </w:r>
            <w:proofErr w:type="spellStart"/>
            <w:r w:rsidRPr="00FD3975">
              <w:rPr>
                <w:rFonts w:ascii="Cambria" w:eastAsia="Times New Roman" w:hAnsi="Cambria"/>
                <w:lang w:val="it-IT"/>
              </w:rPr>
              <w:t>lektire</w:t>
            </w:r>
            <w:proofErr w:type="spellEnd"/>
          </w:p>
        </w:tc>
      </w:tr>
      <w:tr w:rsidR="00FD3975" w:rsidRPr="005C2363" w14:paraId="5B9AE5C0" w14:textId="77777777" w:rsidTr="00FA0E3D">
        <w:tc>
          <w:tcPr>
            <w:tcW w:w="2056"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31A999C3" w14:textId="77777777" w:rsidR="00FD3975" w:rsidRPr="005C2363" w:rsidRDefault="00FD3975" w:rsidP="00FA0E3D">
            <w:pPr>
              <w:spacing w:after="0" w:line="240" w:lineRule="auto"/>
              <w:rPr>
                <w:rFonts w:ascii="Cambria" w:eastAsia="Times New Roman" w:hAnsi="Cambria" w:cs="Calibri"/>
                <w:lang w:val="hr-HR"/>
              </w:rPr>
            </w:pPr>
            <w:r w:rsidRPr="005C2363">
              <w:rPr>
                <w:rFonts w:ascii="Cambria" w:eastAsia="Times New Roman" w:hAnsi="Cambria" w:cs="Calibri"/>
                <w:lang w:val="hr-HR"/>
              </w:rPr>
              <w:lastRenderedPageBreak/>
              <w:t>Planirane aktivnosti,</w:t>
            </w:r>
          </w:p>
          <w:p w14:paraId="527CAB46" w14:textId="77777777" w:rsidR="00FD3975" w:rsidRPr="005C2363" w:rsidRDefault="00FD3975" w:rsidP="00FA0E3D">
            <w:pPr>
              <w:spacing w:after="0" w:line="240" w:lineRule="auto"/>
              <w:rPr>
                <w:rFonts w:ascii="Cambria" w:eastAsia="Times New Roman" w:hAnsi="Cambria" w:cs="Calibri"/>
                <w:lang w:val="hr-HR"/>
              </w:rPr>
            </w:pPr>
            <w:r w:rsidRPr="005C2363">
              <w:rPr>
                <w:rFonts w:ascii="Cambria" w:eastAsia="Times New Roman" w:hAnsi="Cambria" w:cs="Calibri"/>
                <w:lang w:val="hr-HR"/>
              </w:rPr>
              <w:t>metode učenja i poučavanja i načini vrednovanja</w:t>
            </w:r>
          </w:p>
          <w:p w14:paraId="13C389AE" w14:textId="77777777" w:rsidR="00FD3975" w:rsidRPr="005C2363" w:rsidRDefault="00FD3975" w:rsidP="00FA0E3D">
            <w:pPr>
              <w:spacing w:after="0" w:line="240" w:lineRule="auto"/>
              <w:rPr>
                <w:rFonts w:ascii="Cambria" w:eastAsia="Times New Roman" w:hAnsi="Cambria" w:cs="Calibri"/>
                <w:lang w:val="hr-HR"/>
              </w:rPr>
            </w:pPr>
          </w:p>
        </w:tc>
        <w:tc>
          <w:tcPr>
            <w:tcW w:w="298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F85853E" w14:textId="77777777" w:rsidR="00FD3975" w:rsidRPr="005C2363" w:rsidRDefault="00FD3975" w:rsidP="00FA0E3D">
            <w:pPr>
              <w:spacing w:after="0" w:line="240" w:lineRule="auto"/>
              <w:jc w:val="center"/>
              <w:rPr>
                <w:rFonts w:ascii="Cambria" w:eastAsia="Times New Roman" w:hAnsi="Cambria" w:cs="Calibri"/>
                <w:lang w:val="hr-HR"/>
              </w:rPr>
            </w:pPr>
            <w:r w:rsidRPr="005C2363">
              <w:rPr>
                <w:rFonts w:ascii="Cambria" w:eastAsia="Times New Roman" w:hAnsi="Cambria" w:cs="Calibri"/>
                <w:bCs/>
                <w:lang w:val="hr-HR"/>
              </w:rPr>
              <w:t>Obveze</w:t>
            </w:r>
          </w:p>
        </w:tc>
        <w:tc>
          <w:tcPr>
            <w:tcW w:w="1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0557BBB" w14:textId="77777777" w:rsidR="00FD3975" w:rsidRPr="005C2363" w:rsidRDefault="00FD3975" w:rsidP="00FA0E3D">
            <w:pPr>
              <w:spacing w:after="0" w:line="240" w:lineRule="auto"/>
              <w:jc w:val="center"/>
              <w:rPr>
                <w:rFonts w:ascii="Cambria" w:eastAsia="Times New Roman" w:hAnsi="Cambria" w:cs="Calibri"/>
                <w:bCs/>
                <w:lang w:val="hr-HR"/>
              </w:rPr>
            </w:pPr>
          </w:p>
          <w:p w14:paraId="7A789776" w14:textId="77777777" w:rsidR="00FD3975" w:rsidRPr="005C2363" w:rsidRDefault="00FD3975" w:rsidP="00FA0E3D">
            <w:pPr>
              <w:spacing w:after="0" w:line="240" w:lineRule="auto"/>
              <w:jc w:val="center"/>
              <w:rPr>
                <w:rFonts w:ascii="Cambria" w:eastAsia="Times New Roman" w:hAnsi="Cambria" w:cs="Calibri"/>
                <w:lang w:val="hr-HR"/>
              </w:rPr>
            </w:pPr>
            <w:r w:rsidRPr="005C2363">
              <w:rPr>
                <w:rFonts w:ascii="Cambria" w:eastAsia="Times New Roman" w:hAnsi="Cambria" w:cs="Calibri"/>
                <w:bCs/>
                <w:lang w:val="hr-HR"/>
              </w:rPr>
              <w:t>Ishodi</w:t>
            </w:r>
          </w:p>
          <w:p w14:paraId="7F578499" w14:textId="77777777" w:rsidR="00FD3975" w:rsidRPr="005C2363" w:rsidRDefault="00FD3975" w:rsidP="00FA0E3D">
            <w:pPr>
              <w:spacing w:after="0" w:line="240" w:lineRule="auto"/>
              <w:jc w:val="center"/>
              <w:rPr>
                <w:rFonts w:ascii="Cambria" w:eastAsia="Times New Roman" w:hAnsi="Cambria" w:cs="Calibri"/>
                <w:lang w:val="hr-HR"/>
              </w:rPr>
            </w:pPr>
          </w:p>
        </w:tc>
        <w:tc>
          <w:tcPr>
            <w:tcW w:w="69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B86CFCD" w14:textId="77777777" w:rsidR="00FD3975" w:rsidRPr="005C2363" w:rsidRDefault="00FD3975" w:rsidP="00FA0E3D">
            <w:pPr>
              <w:spacing w:after="0" w:line="240" w:lineRule="auto"/>
              <w:jc w:val="center"/>
              <w:rPr>
                <w:rFonts w:ascii="Cambria" w:eastAsia="Times New Roman" w:hAnsi="Cambria" w:cs="Calibri"/>
                <w:vertAlign w:val="superscript"/>
                <w:lang w:val="hr-HR"/>
              </w:rPr>
            </w:pPr>
            <w:r w:rsidRPr="005C2363">
              <w:rPr>
                <w:rFonts w:ascii="Cambria" w:eastAsia="Times New Roman" w:hAnsi="Cambria" w:cs="Calibri"/>
                <w:bCs/>
                <w:lang w:val="hr-HR"/>
              </w:rPr>
              <w:t>Sati</w:t>
            </w:r>
          </w:p>
        </w:tc>
        <w:tc>
          <w:tcPr>
            <w:tcW w:w="9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DDECCCE" w14:textId="77777777" w:rsidR="00FD3975" w:rsidRPr="005C2363" w:rsidRDefault="00FD3975" w:rsidP="00FA0E3D">
            <w:pPr>
              <w:spacing w:after="0" w:line="240" w:lineRule="auto"/>
              <w:jc w:val="center"/>
              <w:rPr>
                <w:rFonts w:ascii="Cambria" w:eastAsia="Times New Roman" w:hAnsi="Cambria" w:cs="Calibri"/>
                <w:lang w:val="hr-HR"/>
              </w:rPr>
            </w:pPr>
            <w:r w:rsidRPr="005C2363">
              <w:rPr>
                <w:rFonts w:ascii="Cambria" w:eastAsia="Times New Roman" w:hAnsi="Cambria" w:cs="Calibri"/>
                <w:bCs/>
                <w:lang w:val="hr-HR"/>
              </w:rPr>
              <w:t>ECTS</w:t>
            </w:r>
          </w:p>
        </w:tc>
        <w:tc>
          <w:tcPr>
            <w:tcW w:w="127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763D2CD" w14:textId="77777777" w:rsidR="00FD3975" w:rsidRPr="005C2363" w:rsidRDefault="00FD3975" w:rsidP="00FA0E3D">
            <w:pPr>
              <w:spacing w:after="0" w:line="240" w:lineRule="auto"/>
              <w:jc w:val="center"/>
              <w:rPr>
                <w:rFonts w:ascii="Cambria" w:eastAsia="Times New Roman" w:hAnsi="Cambria" w:cs="Calibri"/>
                <w:lang w:val="hr-HR"/>
              </w:rPr>
            </w:pPr>
            <w:r w:rsidRPr="005C2363">
              <w:rPr>
                <w:rFonts w:ascii="Cambria" w:eastAsia="Times New Roman" w:hAnsi="Cambria" w:cs="Calibri"/>
                <w:bCs/>
                <w:lang w:val="hr-HR"/>
              </w:rPr>
              <w:t>Maksimalni udio u ocjeni (%)</w:t>
            </w:r>
          </w:p>
        </w:tc>
      </w:tr>
      <w:tr w:rsidR="00FD3975" w:rsidRPr="00347571" w14:paraId="11580C48" w14:textId="77777777" w:rsidTr="00FA0E3D">
        <w:tc>
          <w:tcPr>
            <w:tcW w:w="2056" w:type="dxa"/>
            <w:vMerge/>
            <w:tcBorders>
              <w:left w:val="single" w:sz="8" w:space="0" w:color="000000"/>
              <w:right w:val="single" w:sz="8" w:space="0" w:color="000000"/>
            </w:tcBorders>
            <w:vAlign w:val="center"/>
          </w:tcPr>
          <w:p w14:paraId="606CEA70" w14:textId="77777777" w:rsidR="00FD3975" w:rsidRPr="005C2363" w:rsidRDefault="00FD3975" w:rsidP="00FA0E3D">
            <w:pPr>
              <w:spacing w:after="0" w:line="240" w:lineRule="auto"/>
              <w:rPr>
                <w:rFonts w:ascii="Cambria" w:eastAsia="Times New Roman" w:hAnsi="Cambria" w:cs="Calibri"/>
                <w:lang w:val="hr-HR"/>
              </w:rPr>
            </w:pPr>
          </w:p>
        </w:tc>
        <w:tc>
          <w:tcPr>
            <w:tcW w:w="2981" w:type="dxa"/>
            <w:gridSpan w:val="2"/>
            <w:tcBorders>
              <w:top w:val="single" w:sz="8" w:space="0" w:color="000000"/>
              <w:left w:val="single" w:sz="8" w:space="0" w:color="000000"/>
              <w:bottom w:val="single" w:sz="8" w:space="0" w:color="000000"/>
              <w:right w:val="nil"/>
            </w:tcBorders>
            <w:tcMar>
              <w:top w:w="15" w:type="dxa"/>
              <w:left w:w="108" w:type="dxa"/>
              <w:bottom w:w="0" w:type="dxa"/>
              <w:right w:w="108" w:type="dxa"/>
            </w:tcMar>
          </w:tcPr>
          <w:p w14:paraId="4D6AB5E9" w14:textId="66F8534B" w:rsidR="00FD3975" w:rsidRPr="00DF4CE5" w:rsidRDefault="00FD3975" w:rsidP="00FA0E3D">
            <w:pPr>
              <w:snapToGrid w:val="0"/>
              <w:spacing w:after="0" w:line="240" w:lineRule="auto"/>
              <w:rPr>
                <w:rFonts w:ascii="Cambria" w:hAnsi="Cambria"/>
                <w:lang w:val="hr-HR"/>
              </w:rPr>
            </w:pPr>
            <w:proofErr w:type="spellStart"/>
            <w:r w:rsidRPr="00DF4CE5">
              <w:rPr>
                <w:rFonts w:ascii="Cambria" w:hAnsi="Cambria"/>
                <w:lang w:val="it-IT"/>
              </w:rPr>
              <w:t>aktivnosti</w:t>
            </w:r>
            <w:proofErr w:type="spellEnd"/>
            <w:r w:rsidRPr="00DF4CE5">
              <w:rPr>
                <w:rFonts w:ascii="Cambria" w:hAnsi="Cambria"/>
                <w:lang w:val="it-IT"/>
              </w:rPr>
              <w:t xml:space="preserve"> </w:t>
            </w:r>
            <w:proofErr w:type="spellStart"/>
            <w:r w:rsidRPr="00DF4CE5">
              <w:rPr>
                <w:rFonts w:ascii="Cambria" w:hAnsi="Cambria"/>
                <w:lang w:val="it-IT"/>
              </w:rPr>
              <w:t>na</w:t>
            </w:r>
            <w:proofErr w:type="spellEnd"/>
            <w:r w:rsidRPr="00DF4CE5">
              <w:rPr>
                <w:rFonts w:ascii="Cambria" w:hAnsi="Cambria"/>
                <w:lang w:val="it-IT"/>
              </w:rPr>
              <w:t xml:space="preserve"> </w:t>
            </w:r>
            <w:proofErr w:type="spellStart"/>
            <w:proofErr w:type="gramStart"/>
            <w:r w:rsidRPr="00DF4CE5">
              <w:rPr>
                <w:rFonts w:ascii="Cambria" w:hAnsi="Cambria"/>
                <w:lang w:val="it-IT"/>
              </w:rPr>
              <w:t>nastavi</w:t>
            </w:r>
            <w:proofErr w:type="spellEnd"/>
            <w:r w:rsidRPr="00DF4CE5">
              <w:rPr>
                <w:rFonts w:ascii="Cambria" w:hAnsi="Cambria"/>
                <w:lang w:val="it-IT"/>
              </w:rPr>
              <w:t xml:space="preserve">  </w:t>
            </w:r>
            <w:r>
              <w:rPr>
                <w:rFonts w:ascii="Cambria" w:hAnsi="Cambria"/>
                <w:lang w:val="it-IT"/>
              </w:rPr>
              <w:t>(</w:t>
            </w:r>
            <w:proofErr w:type="gramEnd"/>
            <w:r w:rsidRPr="00DF4CE5">
              <w:rPr>
                <w:rFonts w:ascii="Cambria" w:hAnsi="Cambria"/>
                <w:lang w:val="it-IT"/>
              </w:rPr>
              <w:t>P, V</w:t>
            </w:r>
            <w:r>
              <w:rPr>
                <w:rFonts w:ascii="Cambria" w:hAnsi="Cambria"/>
                <w:lang w:val="it-IT"/>
              </w:rPr>
              <w:t>)</w:t>
            </w:r>
          </w:p>
        </w:tc>
        <w:tc>
          <w:tcPr>
            <w:tcW w:w="1058" w:type="dxa"/>
            <w:tcBorders>
              <w:top w:val="single" w:sz="8" w:space="0" w:color="000000"/>
              <w:left w:val="single" w:sz="8" w:space="0" w:color="000000"/>
              <w:bottom w:val="single" w:sz="8" w:space="0" w:color="000000"/>
              <w:right w:val="nil"/>
            </w:tcBorders>
            <w:tcMar>
              <w:top w:w="15" w:type="dxa"/>
              <w:left w:w="108" w:type="dxa"/>
              <w:bottom w:w="0" w:type="dxa"/>
              <w:right w:w="108" w:type="dxa"/>
            </w:tcMar>
            <w:vAlign w:val="center"/>
          </w:tcPr>
          <w:p w14:paraId="11D182B7" w14:textId="77777777" w:rsidR="00FD3975" w:rsidRPr="00DF4CE5" w:rsidRDefault="00FD3975" w:rsidP="00FA0E3D">
            <w:pPr>
              <w:snapToGrid w:val="0"/>
              <w:spacing w:after="0" w:line="240" w:lineRule="auto"/>
              <w:rPr>
                <w:rFonts w:ascii="Cambria" w:hAnsi="Cambria"/>
              </w:rPr>
            </w:pPr>
            <w:r w:rsidRPr="00DF4CE5">
              <w:rPr>
                <w:rFonts w:ascii="Cambria" w:hAnsi="Cambria"/>
                <w:lang w:val="it-IT"/>
              </w:rPr>
              <w:t> </w:t>
            </w:r>
            <w:r w:rsidRPr="00DF4CE5">
              <w:rPr>
                <w:rFonts w:ascii="Cambria" w:hAnsi="Cambria"/>
              </w:rPr>
              <w:t>1. - 4.</w:t>
            </w:r>
          </w:p>
        </w:tc>
        <w:tc>
          <w:tcPr>
            <w:tcW w:w="697" w:type="dxa"/>
            <w:gridSpan w:val="2"/>
            <w:tcBorders>
              <w:top w:val="single" w:sz="8" w:space="0" w:color="000000"/>
              <w:left w:val="single" w:sz="8" w:space="0" w:color="000000"/>
              <w:bottom w:val="single" w:sz="8" w:space="0" w:color="000000"/>
              <w:right w:val="nil"/>
            </w:tcBorders>
            <w:tcMar>
              <w:top w:w="15" w:type="dxa"/>
              <w:left w:w="108" w:type="dxa"/>
              <w:bottom w:w="0" w:type="dxa"/>
              <w:right w:w="108" w:type="dxa"/>
            </w:tcMar>
            <w:vAlign w:val="center"/>
          </w:tcPr>
          <w:p w14:paraId="2D905C81" w14:textId="1EA9B1AF" w:rsidR="00FD3975" w:rsidRPr="00DF4CE5" w:rsidRDefault="00FD3975" w:rsidP="00FA0E3D">
            <w:pPr>
              <w:snapToGrid w:val="0"/>
              <w:spacing w:after="0" w:line="240" w:lineRule="auto"/>
              <w:jc w:val="center"/>
              <w:rPr>
                <w:rFonts w:ascii="Cambria" w:hAnsi="Cambria"/>
              </w:rPr>
            </w:pPr>
            <w:r w:rsidRPr="00FD3975">
              <w:rPr>
                <w:rFonts w:ascii="Cambria" w:hAnsi="Cambria"/>
              </w:rPr>
              <w:t>23</w:t>
            </w:r>
          </w:p>
        </w:tc>
        <w:tc>
          <w:tcPr>
            <w:tcW w:w="982" w:type="dxa"/>
            <w:tcBorders>
              <w:top w:val="single" w:sz="8" w:space="0" w:color="000000"/>
              <w:left w:val="single" w:sz="8" w:space="0" w:color="000000"/>
              <w:bottom w:val="single" w:sz="8" w:space="0" w:color="000000"/>
              <w:right w:val="nil"/>
            </w:tcBorders>
            <w:tcMar>
              <w:top w:w="15" w:type="dxa"/>
              <w:left w:w="108" w:type="dxa"/>
              <w:bottom w:w="0" w:type="dxa"/>
              <w:right w:w="108" w:type="dxa"/>
            </w:tcMar>
            <w:vAlign w:val="center"/>
          </w:tcPr>
          <w:p w14:paraId="16399948" w14:textId="77777777" w:rsidR="00FD3975" w:rsidRPr="00DF4CE5" w:rsidRDefault="00FD3975" w:rsidP="00FA0E3D">
            <w:pPr>
              <w:snapToGrid w:val="0"/>
              <w:spacing w:after="0" w:line="240" w:lineRule="auto"/>
              <w:jc w:val="center"/>
              <w:rPr>
                <w:rFonts w:ascii="Cambria" w:hAnsi="Cambria"/>
              </w:rPr>
            </w:pPr>
            <w:r w:rsidRPr="00DF4CE5">
              <w:rPr>
                <w:rFonts w:ascii="Cambria" w:hAnsi="Cambria"/>
              </w:rPr>
              <w:t>0,8</w:t>
            </w:r>
          </w:p>
        </w:tc>
        <w:tc>
          <w:tcPr>
            <w:tcW w:w="127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ABA1F85" w14:textId="137C8607" w:rsidR="00FD3975" w:rsidRPr="00DF4CE5" w:rsidRDefault="00FD3975" w:rsidP="00FA0E3D">
            <w:pPr>
              <w:snapToGrid w:val="0"/>
              <w:spacing w:after="0" w:line="240" w:lineRule="auto"/>
              <w:jc w:val="center"/>
              <w:rPr>
                <w:rFonts w:ascii="Cambria" w:hAnsi="Cambria"/>
              </w:rPr>
            </w:pPr>
            <w:r w:rsidRPr="00DF4CE5">
              <w:rPr>
                <w:rFonts w:ascii="Cambria" w:hAnsi="Cambria"/>
              </w:rPr>
              <w:t>10%</w:t>
            </w:r>
          </w:p>
        </w:tc>
      </w:tr>
      <w:tr w:rsidR="00FD3975" w:rsidRPr="005C2363" w14:paraId="53859188" w14:textId="77777777" w:rsidTr="00FA0E3D">
        <w:tc>
          <w:tcPr>
            <w:tcW w:w="2056" w:type="dxa"/>
            <w:vMerge/>
            <w:tcBorders>
              <w:left w:val="single" w:sz="8" w:space="0" w:color="000000"/>
              <w:right w:val="single" w:sz="8" w:space="0" w:color="000000"/>
            </w:tcBorders>
            <w:vAlign w:val="center"/>
          </w:tcPr>
          <w:p w14:paraId="79DBED43" w14:textId="77777777" w:rsidR="00FD3975" w:rsidRPr="005C2363" w:rsidRDefault="00FD3975" w:rsidP="00FA0E3D">
            <w:pPr>
              <w:spacing w:after="0" w:line="240" w:lineRule="auto"/>
              <w:rPr>
                <w:rFonts w:ascii="Cambria" w:eastAsia="Times New Roman" w:hAnsi="Cambria" w:cs="Calibri"/>
                <w:lang w:val="hr-HR"/>
              </w:rPr>
            </w:pPr>
          </w:p>
        </w:tc>
        <w:tc>
          <w:tcPr>
            <w:tcW w:w="2981" w:type="dxa"/>
            <w:gridSpan w:val="2"/>
            <w:tcBorders>
              <w:top w:val="single" w:sz="8" w:space="0" w:color="000000"/>
              <w:left w:val="single" w:sz="8" w:space="0" w:color="000000"/>
              <w:bottom w:val="single" w:sz="8" w:space="0" w:color="000000"/>
              <w:right w:val="nil"/>
            </w:tcBorders>
            <w:tcMar>
              <w:top w:w="15" w:type="dxa"/>
              <w:left w:w="108" w:type="dxa"/>
              <w:bottom w:w="0" w:type="dxa"/>
              <w:right w:w="108" w:type="dxa"/>
            </w:tcMar>
          </w:tcPr>
          <w:p w14:paraId="052A0BA5" w14:textId="77777777" w:rsidR="00FD3975" w:rsidRPr="00DF4CE5" w:rsidRDefault="00FD3975" w:rsidP="00FA0E3D">
            <w:pPr>
              <w:snapToGrid w:val="0"/>
              <w:spacing w:after="0" w:line="240" w:lineRule="auto"/>
              <w:rPr>
                <w:rFonts w:ascii="Cambria" w:hAnsi="Cambria"/>
              </w:rPr>
            </w:pPr>
            <w:proofErr w:type="spellStart"/>
            <w:r w:rsidRPr="00DF4CE5">
              <w:rPr>
                <w:rFonts w:ascii="Cambria" w:hAnsi="Cambria"/>
              </w:rPr>
              <w:t>istraživanje</w:t>
            </w:r>
            <w:proofErr w:type="spellEnd"/>
            <w:r w:rsidRPr="00DF4CE5">
              <w:rPr>
                <w:rFonts w:ascii="Cambria" w:hAnsi="Cambria"/>
              </w:rPr>
              <w:t xml:space="preserve"> </w:t>
            </w:r>
          </w:p>
        </w:tc>
        <w:tc>
          <w:tcPr>
            <w:tcW w:w="1058" w:type="dxa"/>
            <w:tcBorders>
              <w:top w:val="single" w:sz="8" w:space="0" w:color="000000"/>
              <w:left w:val="single" w:sz="8" w:space="0" w:color="000000"/>
              <w:bottom w:val="single" w:sz="8" w:space="0" w:color="000000"/>
              <w:right w:val="nil"/>
            </w:tcBorders>
            <w:tcMar>
              <w:top w:w="15" w:type="dxa"/>
              <w:left w:w="108" w:type="dxa"/>
              <w:bottom w:w="0" w:type="dxa"/>
              <w:right w:w="108" w:type="dxa"/>
            </w:tcMar>
            <w:vAlign w:val="center"/>
          </w:tcPr>
          <w:p w14:paraId="390D666C" w14:textId="77777777" w:rsidR="00FD3975" w:rsidRPr="00DF4CE5" w:rsidRDefault="00FD3975" w:rsidP="00FA0E3D">
            <w:pPr>
              <w:snapToGrid w:val="0"/>
              <w:spacing w:after="0" w:line="240" w:lineRule="auto"/>
              <w:rPr>
                <w:rFonts w:ascii="Cambria" w:hAnsi="Cambria"/>
              </w:rPr>
            </w:pPr>
            <w:r w:rsidRPr="00DF4CE5">
              <w:rPr>
                <w:rFonts w:ascii="Cambria" w:hAnsi="Cambria"/>
              </w:rPr>
              <w:t xml:space="preserve"> 3., 4. </w:t>
            </w:r>
          </w:p>
        </w:tc>
        <w:tc>
          <w:tcPr>
            <w:tcW w:w="697" w:type="dxa"/>
            <w:gridSpan w:val="2"/>
            <w:tcBorders>
              <w:top w:val="single" w:sz="8" w:space="0" w:color="000000"/>
              <w:left w:val="single" w:sz="8" w:space="0" w:color="000000"/>
              <w:bottom w:val="single" w:sz="8" w:space="0" w:color="000000"/>
              <w:right w:val="nil"/>
            </w:tcBorders>
            <w:tcMar>
              <w:top w:w="15" w:type="dxa"/>
              <w:left w:w="108" w:type="dxa"/>
              <w:bottom w:w="0" w:type="dxa"/>
              <w:right w:w="108" w:type="dxa"/>
            </w:tcMar>
            <w:vAlign w:val="center"/>
          </w:tcPr>
          <w:p w14:paraId="521F20E3" w14:textId="5DD96095" w:rsidR="00FD3975" w:rsidRPr="00DF4CE5" w:rsidRDefault="00FD3975" w:rsidP="00FA0E3D">
            <w:pPr>
              <w:snapToGrid w:val="0"/>
              <w:spacing w:after="0" w:line="240" w:lineRule="auto"/>
              <w:jc w:val="center"/>
              <w:rPr>
                <w:rFonts w:ascii="Cambria" w:hAnsi="Cambria"/>
              </w:rPr>
            </w:pPr>
            <w:r w:rsidRPr="00DF4CE5">
              <w:rPr>
                <w:rFonts w:ascii="Cambria" w:hAnsi="Cambria"/>
              </w:rPr>
              <w:t>1</w:t>
            </w:r>
            <w:r>
              <w:rPr>
                <w:rFonts w:ascii="Cambria" w:hAnsi="Cambria"/>
              </w:rPr>
              <w:t>5</w:t>
            </w:r>
          </w:p>
        </w:tc>
        <w:tc>
          <w:tcPr>
            <w:tcW w:w="982" w:type="dxa"/>
            <w:tcBorders>
              <w:top w:val="single" w:sz="8" w:space="0" w:color="000000"/>
              <w:left w:val="single" w:sz="8" w:space="0" w:color="000000"/>
              <w:bottom w:val="single" w:sz="8" w:space="0" w:color="000000"/>
              <w:right w:val="nil"/>
            </w:tcBorders>
            <w:tcMar>
              <w:top w:w="15" w:type="dxa"/>
              <w:left w:w="108" w:type="dxa"/>
              <w:bottom w:w="0" w:type="dxa"/>
              <w:right w:w="108" w:type="dxa"/>
            </w:tcMar>
            <w:vAlign w:val="center"/>
          </w:tcPr>
          <w:p w14:paraId="0F3D94A3" w14:textId="7B507378" w:rsidR="00FD3975" w:rsidRPr="00DF4CE5" w:rsidRDefault="00FD3975" w:rsidP="00FA0E3D">
            <w:pPr>
              <w:snapToGrid w:val="0"/>
              <w:spacing w:after="0" w:line="240" w:lineRule="auto"/>
              <w:jc w:val="center"/>
              <w:rPr>
                <w:rFonts w:ascii="Cambria" w:hAnsi="Cambria"/>
              </w:rPr>
            </w:pPr>
            <w:r w:rsidRPr="00DF4CE5">
              <w:rPr>
                <w:rFonts w:ascii="Cambria" w:hAnsi="Cambria"/>
              </w:rPr>
              <w:t>0,</w:t>
            </w:r>
            <w:r>
              <w:rPr>
                <w:rFonts w:ascii="Cambria" w:hAnsi="Cambria"/>
              </w:rPr>
              <w:t>5</w:t>
            </w:r>
          </w:p>
        </w:tc>
        <w:tc>
          <w:tcPr>
            <w:tcW w:w="127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87BE178" w14:textId="1DBA69E0" w:rsidR="00FD3975" w:rsidRPr="00DF4CE5" w:rsidRDefault="00FD3975" w:rsidP="00FA0E3D">
            <w:pPr>
              <w:snapToGrid w:val="0"/>
              <w:spacing w:after="0" w:line="240" w:lineRule="auto"/>
              <w:jc w:val="center"/>
              <w:rPr>
                <w:rFonts w:ascii="Cambria" w:hAnsi="Cambria"/>
              </w:rPr>
            </w:pPr>
            <w:r w:rsidRPr="00DF4CE5">
              <w:rPr>
                <w:rFonts w:ascii="Cambria" w:hAnsi="Cambria"/>
              </w:rPr>
              <w:t>45%</w:t>
            </w:r>
          </w:p>
        </w:tc>
      </w:tr>
      <w:tr w:rsidR="00FD3975" w:rsidRPr="005C2363" w14:paraId="65D9566F" w14:textId="77777777" w:rsidTr="00FA0E3D">
        <w:tc>
          <w:tcPr>
            <w:tcW w:w="2056" w:type="dxa"/>
            <w:vMerge/>
            <w:tcBorders>
              <w:left w:val="single" w:sz="8" w:space="0" w:color="000000"/>
              <w:right w:val="single" w:sz="8" w:space="0" w:color="000000"/>
            </w:tcBorders>
            <w:vAlign w:val="center"/>
          </w:tcPr>
          <w:p w14:paraId="462CFF8C" w14:textId="77777777" w:rsidR="00FD3975" w:rsidRPr="005C2363" w:rsidRDefault="00FD3975" w:rsidP="00FA0E3D">
            <w:pPr>
              <w:spacing w:after="0" w:line="240" w:lineRule="auto"/>
              <w:rPr>
                <w:rFonts w:ascii="Cambria" w:eastAsia="Times New Roman" w:hAnsi="Cambria" w:cs="Calibri"/>
                <w:lang w:val="hr-HR"/>
              </w:rPr>
            </w:pPr>
          </w:p>
        </w:tc>
        <w:tc>
          <w:tcPr>
            <w:tcW w:w="2981" w:type="dxa"/>
            <w:gridSpan w:val="2"/>
            <w:tcBorders>
              <w:top w:val="single" w:sz="8" w:space="0" w:color="000000"/>
              <w:left w:val="single" w:sz="8" w:space="0" w:color="000000"/>
              <w:bottom w:val="single" w:sz="8" w:space="0" w:color="000000"/>
              <w:right w:val="nil"/>
            </w:tcBorders>
            <w:tcMar>
              <w:top w:w="15" w:type="dxa"/>
              <w:left w:w="108" w:type="dxa"/>
              <w:bottom w:w="0" w:type="dxa"/>
              <w:right w:w="108" w:type="dxa"/>
            </w:tcMar>
          </w:tcPr>
          <w:p w14:paraId="47548257" w14:textId="77777777" w:rsidR="00FD3975" w:rsidRPr="00DF4CE5" w:rsidRDefault="00FD3975" w:rsidP="00FA0E3D">
            <w:pPr>
              <w:snapToGrid w:val="0"/>
              <w:spacing w:after="0" w:line="240" w:lineRule="auto"/>
              <w:rPr>
                <w:rFonts w:ascii="Cambria" w:hAnsi="Cambria"/>
              </w:rPr>
            </w:pPr>
            <w:proofErr w:type="spellStart"/>
            <w:r w:rsidRPr="00DF4CE5">
              <w:rPr>
                <w:rFonts w:ascii="Cambria" w:hAnsi="Cambria"/>
              </w:rPr>
              <w:t>samostalni</w:t>
            </w:r>
            <w:proofErr w:type="spellEnd"/>
            <w:r w:rsidRPr="00DF4CE5">
              <w:rPr>
                <w:rFonts w:ascii="Cambria" w:hAnsi="Cambria"/>
              </w:rPr>
              <w:t xml:space="preserve"> rad</w:t>
            </w:r>
          </w:p>
        </w:tc>
        <w:tc>
          <w:tcPr>
            <w:tcW w:w="1058" w:type="dxa"/>
            <w:tcBorders>
              <w:top w:val="single" w:sz="8" w:space="0" w:color="000000"/>
              <w:left w:val="single" w:sz="8" w:space="0" w:color="000000"/>
              <w:bottom w:val="single" w:sz="8" w:space="0" w:color="000000"/>
              <w:right w:val="nil"/>
            </w:tcBorders>
            <w:tcMar>
              <w:top w:w="15" w:type="dxa"/>
              <w:left w:w="108" w:type="dxa"/>
              <w:bottom w:w="0" w:type="dxa"/>
              <w:right w:w="108" w:type="dxa"/>
            </w:tcMar>
            <w:vAlign w:val="center"/>
          </w:tcPr>
          <w:p w14:paraId="10190D57" w14:textId="77777777" w:rsidR="00FD3975" w:rsidRPr="00DF4CE5" w:rsidRDefault="00FD3975" w:rsidP="00FA0E3D">
            <w:pPr>
              <w:snapToGrid w:val="0"/>
              <w:spacing w:after="0" w:line="240" w:lineRule="auto"/>
              <w:rPr>
                <w:rFonts w:ascii="Cambria" w:hAnsi="Cambria"/>
              </w:rPr>
            </w:pPr>
            <w:r w:rsidRPr="00DF4CE5">
              <w:rPr>
                <w:rFonts w:ascii="Cambria" w:hAnsi="Cambria"/>
              </w:rPr>
              <w:t> 2. - 4.</w:t>
            </w:r>
          </w:p>
        </w:tc>
        <w:tc>
          <w:tcPr>
            <w:tcW w:w="697" w:type="dxa"/>
            <w:gridSpan w:val="2"/>
            <w:tcBorders>
              <w:top w:val="single" w:sz="8" w:space="0" w:color="000000"/>
              <w:left w:val="single" w:sz="8" w:space="0" w:color="000000"/>
              <w:bottom w:val="single" w:sz="8" w:space="0" w:color="000000"/>
              <w:right w:val="nil"/>
            </w:tcBorders>
            <w:tcMar>
              <w:top w:w="15" w:type="dxa"/>
              <w:left w:w="108" w:type="dxa"/>
              <w:bottom w:w="0" w:type="dxa"/>
              <w:right w:w="108" w:type="dxa"/>
            </w:tcMar>
            <w:vAlign w:val="center"/>
          </w:tcPr>
          <w:p w14:paraId="2C216BE4" w14:textId="1241638D" w:rsidR="00FD3975" w:rsidRPr="00DF4CE5" w:rsidRDefault="00FD3975" w:rsidP="00FA0E3D">
            <w:pPr>
              <w:snapToGrid w:val="0"/>
              <w:spacing w:after="0" w:line="240" w:lineRule="auto"/>
              <w:jc w:val="center"/>
              <w:rPr>
                <w:rFonts w:ascii="Cambria" w:hAnsi="Cambria"/>
              </w:rPr>
            </w:pPr>
            <w:r w:rsidRPr="00DF4CE5">
              <w:rPr>
                <w:rFonts w:ascii="Cambria" w:hAnsi="Cambria"/>
              </w:rPr>
              <w:t>2</w:t>
            </w:r>
            <w:r>
              <w:rPr>
                <w:rFonts w:ascii="Cambria" w:hAnsi="Cambria"/>
              </w:rPr>
              <w:t>2</w:t>
            </w:r>
          </w:p>
        </w:tc>
        <w:tc>
          <w:tcPr>
            <w:tcW w:w="982" w:type="dxa"/>
            <w:tcBorders>
              <w:top w:val="single" w:sz="8" w:space="0" w:color="000000"/>
              <w:left w:val="single" w:sz="8" w:space="0" w:color="000000"/>
              <w:bottom w:val="single" w:sz="8" w:space="0" w:color="000000"/>
              <w:right w:val="nil"/>
            </w:tcBorders>
            <w:tcMar>
              <w:top w:w="15" w:type="dxa"/>
              <w:left w:w="108" w:type="dxa"/>
              <w:bottom w:w="0" w:type="dxa"/>
              <w:right w:w="108" w:type="dxa"/>
            </w:tcMar>
            <w:vAlign w:val="center"/>
          </w:tcPr>
          <w:p w14:paraId="1934E6E4" w14:textId="24C4F4C7" w:rsidR="00FD3975" w:rsidRPr="00DF4CE5" w:rsidRDefault="00FD3975" w:rsidP="00FA0E3D">
            <w:pPr>
              <w:snapToGrid w:val="0"/>
              <w:spacing w:after="0" w:line="240" w:lineRule="auto"/>
              <w:jc w:val="center"/>
              <w:rPr>
                <w:rFonts w:ascii="Cambria" w:hAnsi="Cambria"/>
              </w:rPr>
            </w:pPr>
            <w:r w:rsidRPr="00DF4CE5">
              <w:rPr>
                <w:rFonts w:ascii="Cambria" w:hAnsi="Cambria"/>
              </w:rPr>
              <w:t>0,</w:t>
            </w:r>
            <w:r>
              <w:rPr>
                <w:rFonts w:ascii="Cambria" w:hAnsi="Cambria"/>
              </w:rPr>
              <w:t>7</w:t>
            </w:r>
          </w:p>
        </w:tc>
        <w:tc>
          <w:tcPr>
            <w:tcW w:w="127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D8A833C" w14:textId="6BF9C26A" w:rsidR="00FD3975" w:rsidRPr="00DF4CE5" w:rsidRDefault="00FD3975" w:rsidP="00FA0E3D">
            <w:pPr>
              <w:snapToGrid w:val="0"/>
              <w:spacing w:after="0" w:line="240" w:lineRule="auto"/>
              <w:jc w:val="center"/>
              <w:rPr>
                <w:rFonts w:ascii="Cambria" w:hAnsi="Cambria"/>
              </w:rPr>
            </w:pPr>
            <w:r w:rsidRPr="00DF4CE5">
              <w:rPr>
                <w:rFonts w:ascii="Cambria" w:hAnsi="Cambria"/>
              </w:rPr>
              <w:t>4</w:t>
            </w:r>
            <w:r>
              <w:rPr>
                <w:rFonts w:ascii="Cambria" w:hAnsi="Cambria"/>
              </w:rPr>
              <w:t>5</w:t>
            </w:r>
            <w:r w:rsidRPr="00DF4CE5">
              <w:rPr>
                <w:rFonts w:ascii="Cambria" w:hAnsi="Cambria"/>
              </w:rPr>
              <w:t>%</w:t>
            </w:r>
          </w:p>
        </w:tc>
      </w:tr>
      <w:tr w:rsidR="00FD3975" w:rsidRPr="005C2363" w14:paraId="49BA3E2A" w14:textId="77777777" w:rsidTr="00FA0E3D">
        <w:tc>
          <w:tcPr>
            <w:tcW w:w="2056" w:type="dxa"/>
            <w:vMerge/>
            <w:tcBorders>
              <w:left w:val="single" w:sz="8" w:space="0" w:color="000000"/>
              <w:right w:val="single" w:sz="8" w:space="0" w:color="000000"/>
            </w:tcBorders>
            <w:vAlign w:val="center"/>
          </w:tcPr>
          <w:p w14:paraId="5DD5BEA8" w14:textId="77777777" w:rsidR="00FD3975" w:rsidRPr="005C2363" w:rsidRDefault="00FD3975" w:rsidP="00FA0E3D">
            <w:pPr>
              <w:spacing w:after="0" w:line="240" w:lineRule="auto"/>
              <w:rPr>
                <w:rFonts w:ascii="Cambria" w:eastAsia="Times New Roman" w:hAnsi="Cambria" w:cs="Calibri"/>
                <w:lang w:val="hr-HR"/>
              </w:rPr>
            </w:pPr>
          </w:p>
        </w:tc>
        <w:tc>
          <w:tcPr>
            <w:tcW w:w="4039"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C00272B" w14:textId="77777777" w:rsidR="00FD3975" w:rsidRPr="005C2363" w:rsidRDefault="00FD3975" w:rsidP="00FA0E3D">
            <w:pPr>
              <w:spacing w:after="0" w:line="240" w:lineRule="auto"/>
              <w:rPr>
                <w:rFonts w:ascii="Cambria" w:eastAsia="Times New Roman" w:hAnsi="Cambria" w:cs="Calibri"/>
                <w:lang w:val="hr-HR"/>
              </w:rPr>
            </w:pPr>
            <w:r w:rsidRPr="005C2363">
              <w:rPr>
                <w:rFonts w:ascii="Cambria" w:eastAsia="Times New Roman" w:hAnsi="Cambria" w:cs="Calibri"/>
                <w:lang w:val="hr-HR"/>
              </w:rPr>
              <w:t>ukupno</w:t>
            </w:r>
          </w:p>
        </w:tc>
        <w:tc>
          <w:tcPr>
            <w:tcW w:w="697" w:type="dxa"/>
            <w:gridSpan w:val="2"/>
            <w:tcBorders>
              <w:top w:val="single" w:sz="8" w:space="0" w:color="000000"/>
              <w:left w:val="single" w:sz="8" w:space="0" w:color="000000"/>
              <w:bottom w:val="single" w:sz="8" w:space="0" w:color="000000"/>
              <w:right w:val="nil"/>
            </w:tcBorders>
            <w:tcMar>
              <w:top w:w="15" w:type="dxa"/>
              <w:left w:w="108" w:type="dxa"/>
              <w:bottom w:w="0" w:type="dxa"/>
              <w:right w:w="108" w:type="dxa"/>
            </w:tcMar>
            <w:vAlign w:val="center"/>
          </w:tcPr>
          <w:p w14:paraId="5CEB8B4A" w14:textId="77777777" w:rsidR="00FD3975" w:rsidRPr="00DF4CE5" w:rsidRDefault="00FD3975" w:rsidP="00FA0E3D">
            <w:pPr>
              <w:snapToGrid w:val="0"/>
              <w:spacing w:after="0" w:line="240" w:lineRule="auto"/>
              <w:jc w:val="center"/>
              <w:rPr>
                <w:rFonts w:ascii="Cambria" w:hAnsi="Cambria"/>
                <w:lang w:val="hr-HR"/>
              </w:rPr>
            </w:pPr>
            <w:r w:rsidRPr="00DF4CE5">
              <w:rPr>
                <w:rFonts w:ascii="Cambria" w:hAnsi="Cambria"/>
              </w:rPr>
              <w:t>60</w:t>
            </w:r>
          </w:p>
        </w:tc>
        <w:tc>
          <w:tcPr>
            <w:tcW w:w="982" w:type="dxa"/>
            <w:tcBorders>
              <w:top w:val="single" w:sz="8" w:space="0" w:color="000000"/>
              <w:left w:val="single" w:sz="8" w:space="0" w:color="000000"/>
              <w:bottom w:val="single" w:sz="8" w:space="0" w:color="000000"/>
              <w:right w:val="nil"/>
            </w:tcBorders>
            <w:tcMar>
              <w:top w:w="15" w:type="dxa"/>
              <w:left w:w="108" w:type="dxa"/>
              <w:bottom w:w="0" w:type="dxa"/>
              <w:right w:w="108" w:type="dxa"/>
            </w:tcMar>
            <w:vAlign w:val="center"/>
          </w:tcPr>
          <w:p w14:paraId="534B7AA9" w14:textId="73BF0A8D" w:rsidR="00FD3975" w:rsidRPr="00DF4CE5" w:rsidRDefault="00FD3975" w:rsidP="00FA0E3D">
            <w:pPr>
              <w:snapToGrid w:val="0"/>
              <w:spacing w:after="0" w:line="240" w:lineRule="auto"/>
              <w:jc w:val="center"/>
              <w:rPr>
                <w:rFonts w:ascii="Cambria" w:hAnsi="Cambria"/>
              </w:rPr>
            </w:pPr>
            <w:r w:rsidRPr="00DF4CE5">
              <w:rPr>
                <w:rFonts w:ascii="Cambria" w:hAnsi="Cambria"/>
              </w:rPr>
              <w:t>2</w:t>
            </w:r>
          </w:p>
        </w:tc>
        <w:tc>
          <w:tcPr>
            <w:tcW w:w="127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1AD8B00" w14:textId="77777777" w:rsidR="00FD3975" w:rsidRPr="00DF4CE5" w:rsidRDefault="00FD3975" w:rsidP="00FA0E3D">
            <w:pPr>
              <w:snapToGrid w:val="0"/>
              <w:spacing w:after="0" w:line="240" w:lineRule="auto"/>
              <w:jc w:val="center"/>
              <w:rPr>
                <w:rFonts w:ascii="Cambria" w:hAnsi="Cambria"/>
              </w:rPr>
            </w:pPr>
            <w:r w:rsidRPr="00DF4CE5">
              <w:rPr>
                <w:rFonts w:ascii="Cambria" w:hAnsi="Cambria"/>
              </w:rPr>
              <w:t>100%</w:t>
            </w:r>
          </w:p>
        </w:tc>
      </w:tr>
      <w:tr w:rsidR="00FD3975" w:rsidRPr="00D0399C" w14:paraId="11C17B9E" w14:textId="77777777" w:rsidTr="00FA0E3D">
        <w:tc>
          <w:tcPr>
            <w:tcW w:w="205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8EFAFD2" w14:textId="77777777" w:rsidR="00FD3975" w:rsidRPr="005C2363" w:rsidRDefault="00FD3975" w:rsidP="00FA0E3D">
            <w:pPr>
              <w:spacing w:after="0" w:line="240" w:lineRule="auto"/>
              <w:rPr>
                <w:rFonts w:ascii="Cambria" w:eastAsia="Times New Roman" w:hAnsi="Cambria" w:cs="Calibri"/>
                <w:lang w:val="hr-HR"/>
              </w:rPr>
            </w:pPr>
            <w:r w:rsidRPr="005C2363">
              <w:rPr>
                <w:rFonts w:ascii="Cambria" w:eastAsia="Times New Roman" w:hAnsi="Cambria" w:cs="Calibri"/>
                <w:lang w:val="hr-HR"/>
              </w:rPr>
              <w:t>Studentske obveze</w:t>
            </w:r>
          </w:p>
        </w:tc>
        <w:tc>
          <w:tcPr>
            <w:tcW w:w="699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E38C79B" w14:textId="77777777" w:rsidR="00FD3975" w:rsidRPr="00DF4CE5" w:rsidRDefault="00FD3975" w:rsidP="00FA0E3D">
            <w:pPr>
              <w:snapToGrid w:val="0"/>
              <w:spacing w:after="0" w:line="240" w:lineRule="auto"/>
              <w:rPr>
                <w:rFonts w:ascii="Cambria" w:hAnsi="Cambria"/>
                <w:lang w:val="it-IT"/>
              </w:rPr>
            </w:pPr>
            <w:r w:rsidRPr="00DF4CE5">
              <w:rPr>
                <w:rFonts w:ascii="Cambria" w:hAnsi="Cambria"/>
                <w:lang w:val="it-IT"/>
              </w:rPr>
              <w:t xml:space="preserve">Da </w:t>
            </w:r>
            <w:proofErr w:type="spellStart"/>
            <w:r w:rsidRPr="00DF4CE5">
              <w:rPr>
                <w:rFonts w:ascii="Cambria" w:hAnsi="Cambria"/>
                <w:lang w:val="it-IT"/>
              </w:rPr>
              <w:t>položi</w:t>
            </w:r>
            <w:proofErr w:type="spellEnd"/>
            <w:r w:rsidRPr="00DF4CE5">
              <w:rPr>
                <w:rFonts w:ascii="Cambria" w:hAnsi="Cambria"/>
                <w:lang w:val="it-IT"/>
              </w:rPr>
              <w:t xml:space="preserve"> </w:t>
            </w:r>
            <w:proofErr w:type="spellStart"/>
            <w:r w:rsidRPr="00DF4CE5">
              <w:rPr>
                <w:rFonts w:ascii="Cambria" w:hAnsi="Cambria"/>
                <w:lang w:val="it-IT"/>
              </w:rPr>
              <w:t>kolegij</w:t>
            </w:r>
            <w:proofErr w:type="spellEnd"/>
            <w:r w:rsidRPr="00DF4CE5">
              <w:rPr>
                <w:rFonts w:ascii="Cambria" w:hAnsi="Cambria"/>
                <w:lang w:val="it-IT"/>
              </w:rPr>
              <w:t xml:space="preserve">, </w:t>
            </w:r>
            <w:proofErr w:type="spellStart"/>
            <w:r w:rsidRPr="00DF4CE5">
              <w:rPr>
                <w:rFonts w:ascii="Cambria" w:hAnsi="Cambria"/>
                <w:lang w:val="it-IT"/>
              </w:rPr>
              <w:t>student</w:t>
            </w:r>
            <w:proofErr w:type="spellEnd"/>
            <w:r w:rsidRPr="00DF4CE5">
              <w:rPr>
                <w:rFonts w:ascii="Cambria" w:hAnsi="Cambria"/>
                <w:lang w:val="it-IT"/>
              </w:rPr>
              <w:t>/</w:t>
            </w:r>
            <w:proofErr w:type="spellStart"/>
            <w:r w:rsidRPr="00DF4CE5">
              <w:rPr>
                <w:rFonts w:ascii="Cambria" w:hAnsi="Cambria"/>
                <w:lang w:val="it-IT"/>
              </w:rPr>
              <w:t>studentica</w:t>
            </w:r>
            <w:proofErr w:type="spellEnd"/>
            <w:r w:rsidRPr="00DF4CE5">
              <w:rPr>
                <w:rFonts w:ascii="Cambria" w:hAnsi="Cambria"/>
                <w:lang w:val="it-IT"/>
              </w:rPr>
              <w:t xml:space="preserve"> mora: </w:t>
            </w:r>
          </w:p>
          <w:p w14:paraId="134E679E" w14:textId="6DDADD1D" w:rsidR="00FD3975" w:rsidRPr="00DF4CE5" w:rsidRDefault="00FD3975" w:rsidP="00FA0E3D">
            <w:pPr>
              <w:spacing w:after="0" w:line="240" w:lineRule="auto"/>
              <w:rPr>
                <w:rFonts w:ascii="Cambria" w:hAnsi="Cambria"/>
                <w:lang w:val="it-IT"/>
              </w:rPr>
            </w:pPr>
            <w:r w:rsidRPr="00DF4CE5">
              <w:rPr>
                <w:rFonts w:ascii="Cambria" w:hAnsi="Cambria"/>
                <w:lang w:val="it-IT"/>
              </w:rPr>
              <w:t xml:space="preserve">1. </w:t>
            </w:r>
            <w:proofErr w:type="spellStart"/>
            <w:r>
              <w:rPr>
                <w:rFonts w:ascii="Cambria" w:hAnsi="Cambria"/>
                <w:lang w:val="it-IT"/>
              </w:rPr>
              <w:t>p</w:t>
            </w:r>
            <w:r w:rsidRPr="00DF4CE5">
              <w:rPr>
                <w:rFonts w:ascii="Cambria" w:hAnsi="Cambria"/>
                <w:lang w:val="it-IT"/>
              </w:rPr>
              <w:t>ohađati</w:t>
            </w:r>
            <w:proofErr w:type="spellEnd"/>
            <w:r w:rsidRPr="00DF4CE5">
              <w:rPr>
                <w:rFonts w:ascii="Cambria" w:hAnsi="Cambria"/>
                <w:lang w:val="it-IT"/>
              </w:rPr>
              <w:t xml:space="preserve"> </w:t>
            </w:r>
            <w:proofErr w:type="spellStart"/>
            <w:r w:rsidRPr="00DF4CE5">
              <w:rPr>
                <w:rFonts w:ascii="Cambria" w:hAnsi="Cambria"/>
                <w:lang w:val="it-IT"/>
              </w:rPr>
              <w:t>nastavu</w:t>
            </w:r>
            <w:proofErr w:type="spellEnd"/>
            <w:r w:rsidRPr="00DF4CE5">
              <w:rPr>
                <w:rFonts w:ascii="Cambria" w:hAnsi="Cambria"/>
                <w:lang w:val="it-IT"/>
              </w:rPr>
              <w:t xml:space="preserve"> i </w:t>
            </w:r>
            <w:proofErr w:type="spellStart"/>
            <w:r w:rsidRPr="00DF4CE5">
              <w:rPr>
                <w:rFonts w:ascii="Cambria" w:hAnsi="Cambria"/>
                <w:lang w:val="it-IT"/>
              </w:rPr>
              <w:t>aktivno</w:t>
            </w:r>
            <w:proofErr w:type="spellEnd"/>
            <w:r w:rsidRPr="00DF4CE5">
              <w:rPr>
                <w:rFonts w:ascii="Cambria" w:hAnsi="Cambria"/>
                <w:lang w:val="it-IT"/>
              </w:rPr>
              <w:t xml:space="preserve"> </w:t>
            </w:r>
            <w:proofErr w:type="spellStart"/>
            <w:r w:rsidRPr="00DF4CE5">
              <w:rPr>
                <w:rFonts w:ascii="Cambria" w:hAnsi="Cambria"/>
                <w:lang w:val="it-IT"/>
              </w:rPr>
              <w:t>sudjelovati</w:t>
            </w:r>
            <w:proofErr w:type="spellEnd"/>
            <w:r w:rsidRPr="00DF4CE5">
              <w:rPr>
                <w:rFonts w:ascii="Cambria" w:hAnsi="Cambria"/>
                <w:lang w:val="it-IT"/>
              </w:rPr>
              <w:t xml:space="preserve"> </w:t>
            </w:r>
            <w:proofErr w:type="spellStart"/>
            <w:r w:rsidRPr="00DF4CE5">
              <w:rPr>
                <w:rFonts w:ascii="Cambria" w:hAnsi="Cambria"/>
                <w:lang w:val="it-IT"/>
              </w:rPr>
              <w:t>na</w:t>
            </w:r>
            <w:proofErr w:type="spellEnd"/>
            <w:r w:rsidRPr="00DF4CE5">
              <w:rPr>
                <w:rFonts w:ascii="Cambria" w:hAnsi="Cambria"/>
                <w:lang w:val="it-IT"/>
              </w:rPr>
              <w:t xml:space="preserve"> </w:t>
            </w:r>
            <w:proofErr w:type="spellStart"/>
            <w:r w:rsidRPr="00DF4CE5">
              <w:rPr>
                <w:rFonts w:ascii="Cambria" w:hAnsi="Cambria"/>
                <w:lang w:val="it-IT"/>
              </w:rPr>
              <w:t>predavanjima</w:t>
            </w:r>
            <w:proofErr w:type="spellEnd"/>
            <w:r w:rsidRPr="00DF4CE5">
              <w:rPr>
                <w:rFonts w:ascii="Cambria" w:hAnsi="Cambria"/>
                <w:lang w:val="it-IT"/>
              </w:rPr>
              <w:t xml:space="preserve"> i </w:t>
            </w:r>
            <w:proofErr w:type="spellStart"/>
            <w:r w:rsidRPr="00DF4CE5">
              <w:rPr>
                <w:rFonts w:ascii="Cambria" w:hAnsi="Cambria"/>
                <w:lang w:val="it-IT"/>
              </w:rPr>
              <w:t>seminarima</w:t>
            </w:r>
            <w:proofErr w:type="spellEnd"/>
            <w:r w:rsidRPr="00DF4CE5">
              <w:rPr>
                <w:rFonts w:ascii="Cambria" w:hAnsi="Cambria"/>
                <w:lang w:val="it-IT"/>
              </w:rPr>
              <w:t xml:space="preserve"> </w:t>
            </w:r>
          </w:p>
          <w:p w14:paraId="41E9D7DD" w14:textId="5AC9E965" w:rsidR="00FD3975" w:rsidRPr="00DF4CE5" w:rsidRDefault="00FD3975" w:rsidP="00FA0E3D">
            <w:pPr>
              <w:spacing w:after="0" w:line="240" w:lineRule="auto"/>
              <w:rPr>
                <w:rFonts w:ascii="Cambria" w:hAnsi="Cambria"/>
                <w:lang w:val="it-IT"/>
              </w:rPr>
            </w:pPr>
            <w:r w:rsidRPr="00DF4CE5">
              <w:rPr>
                <w:rFonts w:ascii="Cambria" w:hAnsi="Cambria"/>
                <w:lang w:val="it-IT"/>
              </w:rPr>
              <w:t xml:space="preserve">2. </w:t>
            </w:r>
            <w:r>
              <w:rPr>
                <w:rFonts w:ascii="Cambria" w:hAnsi="Cambria"/>
                <w:lang w:val="it-IT"/>
              </w:rPr>
              <w:t xml:space="preserve">u </w:t>
            </w:r>
            <w:proofErr w:type="spellStart"/>
            <w:r w:rsidRPr="00DF4CE5">
              <w:rPr>
                <w:rFonts w:ascii="Cambria" w:hAnsi="Cambria"/>
                <w:lang w:val="it-IT"/>
              </w:rPr>
              <w:t>skladu</w:t>
            </w:r>
            <w:proofErr w:type="spellEnd"/>
            <w:r w:rsidRPr="00DF4CE5">
              <w:rPr>
                <w:rFonts w:ascii="Cambria" w:hAnsi="Cambria"/>
                <w:lang w:val="it-IT"/>
              </w:rPr>
              <w:t xml:space="preserve"> s </w:t>
            </w:r>
            <w:proofErr w:type="spellStart"/>
            <w:r w:rsidRPr="00DF4CE5">
              <w:rPr>
                <w:rFonts w:ascii="Cambria" w:hAnsi="Cambria"/>
                <w:lang w:val="it-IT"/>
              </w:rPr>
              <w:t>postulatima</w:t>
            </w:r>
            <w:proofErr w:type="spellEnd"/>
            <w:r w:rsidRPr="00DF4CE5">
              <w:rPr>
                <w:rFonts w:ascii="Cambria" w:hAnsi="Cambria"/>
                <w:lang w:val="it-IT"/>
              </w:rPr>
              <w:t xml:space="preserve"> </w:t>
            </w:r>
            <w:proofErr w:type="spellStart"/>
            <w:r w:rsidRPr="00DF4CE5">
              <w:rPr>
                <w:rFonts w:ascii="Cambria" w:hAnsi="Cambria"/>
                <w:lang w:val="it-IT"/>
              </w:rPr>
              <w:t>teorije</w:t>
            </w:r>
            <w:proofErr w:type="spellEnd"/>
            <w:r w:rsidRPr="00DF4CE5">
              <w:rPr>
                <w:rFonts w:ascii="Cambria" w:hAnsi="Cambria"/>
                <w:lang w:val="it-IT"/>
              </w:rPr>
              <w:t xml:space="preserve"> </w:t>
            </w:r>
            <w:proofErr w:type="spellStart"/>
            <w:proofErr w:type="gramStart"/>
            <w:r w:rsidRPr="00DF4CE5">
              <w:rPr>
                <w:rFonts w:ascii="Cambria" w:hAnsi="Cambria"/>
                <w:lang w:val="it-IT"/>
              </w:rPr>
              <w:t>recepcije</w:t>
            </w:r>
            <w:proofErr w:type="spellEnd"/>
            <w:r w:rsidRPr="00DF4CE5">
              <w:rPr>
                <w:rFonts w:ascii="Cambria" w:hAnsi="Cambria"/>
                <w:lang w:val="it-IT"/>
              </w:rPr>
              <w:t xml:space="preserve">  </w:t>
            </w:r>
            <w:proofErr w:type="spellStart"/>
            <w:r w:rsidRPr="00DF4CE5">
              <w:rPr>
                <w:rFonts w:ascii="Cambria" w:hAnsi="Cambria"/>
                <w:lang w:val="it-IT"/>
              </w:rPr>
              <w:t>pratiti</w:t>
            </w:r>
            <w:proofErr w:type="spellEnd"/>
            <w:proofErr w:type="gramEnd"/>
            <w:r w:rsidRPr="00DF4CE5">
              <w:rPr>
                <w:rFonts w:ascii="Cambria" w:hAnsi="Cambria"/>
                <w:lang w:val="it-IT"/>
              </w:rPr>
              <w:t xml:space="preserve"> i </w:t>
            </w:r>
            <w:proofErr w:type="spellStart"/>
            <w:r w:rsidRPr="00DF4CE5">
              <w:rPr>
                <w:rFonts w:ascii="Cambria" w:hAnsi="Cambria"/>
                <w:lang w:val="it-IT"/>
              </w:rPr>
              <w:t>vrednovati</w:t>
            </w:r>
            <w:proofErr w:type="spellEnd"/>
            <w:r w:rsidRPr="00DF4CE5">
              <w:rPr>
                <w:rFonts w:ascii="Cambria" w:hAnsi="Cambria"/>
                <w:lang w:val="it-IT"/>
              </w:rPr>
              <w:t xml:space="preserve"> </w:t>
            </w:r>
            <w:proofErr w:type="spellStart"/>
            <w:r w:rsidRPr="00DF4CE5">
              <w:rPr>
                <w:rFonts w:ascii="Cambria" w:hAnsi="Cambria"/>
                <w:lang w:val="it-IT"/>
              </w:rPr>
              <w:t>seminarske</w:t>
            </w:r>
            <w:proofErr w:type="spellEnd"/>
            <w:r w:rsidRPr="00DF4CE5">
              <w:rPr>
                <w:rFonts w:ascii="Cambria" w:hAnsi="Cambria"/>
                <w:lang w:val="it-IT"/>
              </w:rPr>
              <w:t xml:space="preserve"> </w:t>
            </w:r>
            <w:proofErr w:type="spellStart"/>
            <w:r w:rsidRPr="00DF4CE5">
              <w:rPr>
                <w:rFonts w:ascii="Cambria" w:hAnsi="Cambria"/>
                <w:lang w:val="it-IT"/>
              </w:rPr>
              <w:t>radove</w:t>
            </w:r>
            <w:proofErr w:type="spellEnd"/>
          </w:p>
          <w:p w14:paraId="430B0D5B" w14:textId="1D40F973" w:rsidR="00FD3975" w:rsidRPr="00DF4CE5" w:rsidRDefault="00FD3975" w:rsidP="00FA0E3D">
            <w:pPr>
              <w:spacing w:after="0" w:line="240" w:lineRule="auto"/>
              <w:rPr>
                <w:rFonts w:ascii="Cambria" w:hAnsi="Cambria"/>
                <w:lang w:val="it-IT"/>
              </w:rPr>
            </w:pPr>
            <w:r w:rsidRPr="00DF4CE5">
              <w:rPr>
                <w:rFonts w:ascii="Cambria" w:hAnsi="Cambria"/>
                <w:lang w:val="it-IT"/>
              </w:rPr>
              <w:t xml:space="preserve">3. </w:t>
            </w:r>
            <w:proofErr w:type="spellStart"/>
            <w:r>
              <w:rPr>
                <w:rFonts w:ascii="Cambria" w:hAnsi="Cambria"/>
                <w:lang w:val="it-IT"/>
              </w:rPr>
              <w:t>s</w:t>
            </w:r>
            <w:r w:rsidRPr="00DF4CE5">
              <w:rPr>
                <w:rFonts w:ascii="Cambria" w:hAnsi="Cambria"/>
                <w:lang w:val="it-IT"/>
              </w:rPr>
              <w:t>udjelovati</w:t>
            </w:r>
            <w:proofErr w:type="spellEnd"/>
            <w:r w:rsidRPr="00DF4CE5">
              <w:rPr>
                <w:rFonts w:ascii="Cambria" w:hAnsi="Cambria"/>
                <w:lang w:val="it-IT"/>
              </w:rPr>
              <w:t xml:space="preserve"> u </w:t>
            </w:r>
            <w:proofErr w:type="spellStart"/>
            <w:r w:rsidRPr="00DF4CE5">
              <w:rPr>
                <w:rFonts w:ascii="Cambria" w:hAnsi="Cambria"/>
                <w:lang w:val="it-IT"/>
              </w:rPr>
              <w:t>terenskoj</w:t>
            </w:r>
            <w:proofErr w:type="spellEnd"/>
            <w:r w:rsidRPr="00DF4CE5">
              <w:rPr>
                <w:rFonts w:ascii="Cambria" w:hAnsi="Cambria"/>
                <w:lang w:val="it-IT"/>
              </w:rPr>
              <w:t xml:space="preserve"> </w:t>
            </w:r>
            <w:proofErr w:type="spellStart"/>
            <w:r w:rsidRPr="00DF4CE5">
              <w:rPr>
                <w:rFonts w:ascii="Cambria" w:hAnsi="Cambria"/>
                <w:lang w:val="it-IT"/>
              </w:rPr>
              <w:t>nastavi</w:t>
            </w:r>
            <w:proofErr w:type="spellEnd"/>
            <w:r w:rsidRPr="00DF4CE5">
              <w:rPr>
                <w:rFonts w:ascii="Cambria" w:hAnsi="Cambria"/>
                <w:lang w:val="it-IT"/>
              </w:rPr>
              <w:t xml:space="preserve">: </w:t>
            </w:r>
            <w:proofErr w:type="spellStart"/>
            <w:r w:rsidRPr="00DF4CE5">
              <w:rPr>
                <w:rFonts w:ascii="Cambria" w:hAnsi="Cambria"/>
                <w:lang w:val="it-IT"/>
              </w:rPr>
              <w:t>Sajam</w:t>
            </w:r>
            <w:proofErr w:type="spellEnd"/>
            <w:r w:rsidRPr="00DF4CE5">
              <w:rPr>
                <w:rFonts w:ascii="Cambria" w:hAnsi="Cambria"/>
                <w:lang w:val="it-IT"/>
              </w:rPr>
              <w:t xml:space="preserve"> </w:t>
            </w:r>
            <w:proofErr w:type="spellStart"/>
            <w:r w:rsidRPr="00DF4CE5">
              <w:rPr>
                <w:rFonts w:ascii="Cambria" w:hAnsi="Cambria"/>
                <w:lang w:val="it-IT"/>
              </w:rPr>
              <w:t>knjiga</w:t>
            </w:r>
            <w:proofErr w:type="spellEnd"/>
            <w:r w:rsidRPr="00DF4CE5">
              <w:rPr>
                <w:rFonts w:ascii="Cambria" w:hAnsi="Cambria"/>
                <w:lang w:val="it-IT"/>
              </w:rPr>
              <w:t xml:space="preserve"> u </w:t>
            </w:r>
            <w:proofErr w:type="spellStart"/>
            <w:r w:rsidRPr="00DF4CE5">
              <w:rPr>
                <w:rFonts w:ascii="Cambria" w:hAnsi="Cambria"/>
                <w:lang w:val="it-IT"/>
              </w:rPr>
              <w:t>Istri</w:t>
            </w:r>
            <w:proofErr w:type="spellEnd"/>
            <w:r w:rsidRPr="00DF4CE5">
              <w:rPr>
                <w:rFonts w:ascii="Cambria" w:hAnsi="Cambria"/>
                <w:lang w:val="it-IT"/>
              </w:rPr>
              <w:t xml:space="preserve">; Monte </w:t>
            </w:r>
            <w:proofErr w:type="spellStart"/>
            <w:r w:rsidRPr="00DF4CE5">
              <w:rPr>
                <w:rFonts w:ascii="Cambria" w:hAnsi="Cambria"/>
                <w:lang w:val="it-IT"/>
              </w:rPr>
              <w:t>Librić</w:t>
            </w:r>
            <w:proofErr w:type="spellEnd"/>
            <w:r w:rsidRPr="00DF4CE5">
              <w:rPr>
                <w:rFonts w:ascii="Cambria" w:hAnsi="Cambria"/>
                <w:lang w:val="it-IT"/>
              </w:rPr>
              <w:t xml:space="preserve"> te </w:t>
            </w:r>
            <w:proofErr w:type="spellStart"/>
            <w:r w:rsidRPr="00DF4CE5">
              <w:rPr>
                <w:rFonts w:ascii="Cambria" w:hAnsi="Cambria"/>
                <w:lang w:val="it-IT"/>
              </w:rPr>
              <w:t>promocije</w:t>
            </w:r>
            <w:proofErr w:type="spellEnd"/>
            <w:r w:rsidRPr="00DF4CE5">
              <w:rPr>
                <w:rFonts w:ascii="Cambria" w:hAnsi="Cambria"/>
                <w:lang w:val="it-IT"/>
              </w:rPr>
              <w:t xml:space="preserve"> </w:t>
            </w:r>
            <w:proofErr w:type="spellStart"/>
            <w:r w:rsidRPr="00DF4CE5">
              <w:rPr>
                <w:rFonts w:ascii="Cambria" w:hAnsi="Cambria"/>
                <w:lang w:val="it-IT"/>
              </w:rPr>
              <w:t>odabranih</w:t>
            </w:r>
            <w:proofErr w:type="spellEnd"/>
            <w:r w:rsidRPr="00DF4CE5">
              <w:rPr>
                <w:rFonts w:ascii="Cambria" w:hAnsi="Cambria"/>
                <w:lang w:val="it-IT"/>
              </w:rPr>
              <w:t xml:space="preserve"> </w:t>
            </w:r>
            <w:proofErr w:type="spellStart"/>
            <w:r w:rsidRPr="00DF4CE5">
              <w:rPr>
                <w:rFonts w:ascii="Cambria" w:hAnsi="Cambria"/>
                <w:lang w:val="it-IT"/>
              </w:rPr>
              <w:t>književnih</w:t>
            </w:r>
            <w:proofErr w:type="spellEnd"/>
            <w:r w:rsidRPr="00DF4CE5">
              <w:rPr>
                <w:rFonts w:ascii="Cambria" w:hAnsi="Cambria"/>
                <w:lang w:val="it-IT"/>
              </w:rPr>
              <w:t xml:space="preserve"> </w:t>
            </w:r>
            <w:proofErr w:type="spellStart"/>
            <w:r w:rsidRPr="00DF4CE5">
              <w:rPr>
                <w:rFonts w:ascii="Cambria" w:hAnsi="Cambria"/>
                <w:lang w:val="it-IT"/>
              </w:rPr>
              <w:t>djela</w:t>
            </w:r>
            <w:proofErr w:type="spellEnd"/>
          </w:p>
          <w:p w14:paraId="1A0C2E42" w14:textId="32F60043" w:rsidR="00FD3975" w:rsidRPr="00DF4CE5" w:rsidRDefault="00FD3975" w:rsidP="00FA0E3D">
            <w:pPr>
              <w:spacing w:after="0" w:line="240" w:lineRule="auto"/>
              <w:rPr>
                <w:rFonts w:ascii="Cambria" w:hAnsi="Cambria"/>
                <w:lang w:val="it-IT"/>
              </w:rPr>
            </w:pPr>
            <w:r w:rsidRPr="00DF4CE5">
              <w:rPr>
                <w:rFonts w:ascii="Cambria" w:hAnsi="Cambria"/>
                <w:lang w:val="it-IT"/>
              </w:rPr>
              <w:t xml:space="preserve">4. </w:t>
            </w:r>
            <w:proofErr w:type="spellStart"/>
            <w:r>
              <w:rPr>
                <w:rFonts w:ascii="Cambria" w:hAnsi="Cambria"/>
                <w:lang w:val="it-IT"/>
              </w:rPr>
              <w:t>p</w:t>
            </w:r>
            <w:r w:rsidRPr="00DF4CE5">
              <w:rPr>
                <w:rFonts w:ascii="Cambria" w:hAnsi="Cambria"/>
                <w:lang w:val="it-IT"/>
              </w:rPr>
              <w:t>roučiti</w:t>
            </w:r>
            <w:proofErr w:type="spellEnd"/>
            <w:r w:rsidRPr="00DF4CE5">
              <w:rPr>
                <w:rFonts w:ascii="Cambria" w:hAnsi="Cambria"/>
                <w:lang w:val="it-IT"/>
              </w:rPr>
              <w:t xml:space="preserve"> </w:t>
            </w:r>
            <w:proofErr w:type="spellStart"/>
            <w:r w:rsidRPr="00DF4CE5">
              <w:rPr>
                <w:rFonts w:ascii="Cambria" w:hAnsi="Cambria"/>
                <w:lang w:val="it-IT"/>
              </w:rPr>
              <w:t>teorijsku</w:t>
            </w:r>
            <w:proofErr w:type="spellEnd"/>
            <w:r w:rsidRPr="00DF4CE5">
              <w:rPr>
                <w:rFonts w:ascii="Cambria" w:hAnsi="Cambria"/>
                <w:lang w:val="it-IT"/>
              </w:rPr>
              <w:t xml:space="preserve"> </w:t>
            </w:r>
            <w:proofErr w:type="spellStart"/>
            <w:r w:rsidRPr="00DF4CE5">
              <w:rPr>
                <w:rFonts w:ascii="Cambria" w:hAnsi="Cambria"/>
                <w:lang w:val="it-IT"/>
              </w:rPr>
              <w:t>literaturu</w:t>
            </w:r>
            <w:proofErr w:type="spellEnd"/>
            <w:r w:rsidRPr="00DF4CE5">
              <w:rPr>
                <w:rFonts w:ascii="Cambria" w:hAnsi="Cambria"/>
                <w:lang w:val="it-IT"/>
              </w:rPr>
              <w:t xml:space="preserve"> i </w:t>
            </w:r>
            <w:proofErr w:type="spellStart"/>
            <w:r w:rsidRPr="00DF4CE5">
              <w:rPr>
                <w:rFonts w:ascii="Cambria" w:hAnsi="Cambria"/>
                <w:lang w:val="it-IT"/>
              </w:rPr>
              <w:t>primijeniti</w:t>
            </w:r>
            <w:proofErr w:type="spellEnd"/>
            <w:r w:rsidRPr="00DF4CE5">
              <w:rPr>
                <w:rFonts w:ascii="Cambria" w:hAnsi="Cambria"/>
                <w:lang w:val="it-IT"/>
              </w:rPr>
              <w:t xml:space="preserve"> je u </w:t>
            </w:r>
            <w:proofErr w:type="spellStart"/>
            <w:r w:rsidRPr="00DF4CE5">
              <w:rPr>
                <w:rFonts w:ascii="Cambria" w:hAnsi="Cambria"/>
                <w:lang w:val="it-IT"/>
              </w:rPr>
              <w:t>radu</w:t>
            </w:r>
            <w:proofErr w:type="spellEnd"/>
            <w:r w:rsidRPr="00DF4CE5">
              <w:rPr>
                <w:rFonts w:ascii="Cambria" w:hAnsi="Cambria"/>
                <w:lang w:val="it-IT"/>
              </w:rPr>
              <w:t xml:space="preserve"> s </w:t>
            </w:r>
            <w:proofErr w:type="spellStart"/>
            <w:r w:rsidRPr="00DF4CE5">
              <w:rPr>
                <w:rFonts w:ascii="Cambria" w:hAnsi="Cambria"/>
                <w:lang w:val="it-IT"/>
              </w:rPr>
              <w:t>mlađim</w:t>
            </w:r>
            <w:proofErr w:type="spellEnd"/>
            <w:r w:rsidRPr="00DF4CE5">
              <w:rPr>
                <w:rFonts w:ascii="Cambria" w:hAnsi="Cambria"/>
                <w:lang w:val="it-IT"/>
              </w:rPr>
              <w:t xml:space="preserve"> </w:t>
            </w:r>
            <w:proofErr w:type="spellStart"/>
            <w:r w:rsidRPr="00DF4CE5">
              <w:rPr>
                <w:rFonts w:ascii="Cambria" w:hAnsi="Cambria"/>
                <w:lang w:val="it-IT"/>
              </w:rPr>
              <w:t>školskim</w:t>
            </w:r>
            <w:proofErr w:type="spellEnd"/>
            <w:r w:rsidRPr="00DF4CE5">
              <w:rPr>
                <w:rFonts w:ascii="Cambria" w:hAnsi="Cambria"/>
                <w:lang w:val="it-IT"/>
              </w:rPr>
              <w:t xml:space="preserve"> </w:t>
            </w:r>
            <w:proofErr w:type="spellStart"/>
            <w:r w:rsidRPr="00DF4CE5">
              <w:rPr>
                <w:rFonts w:ascii="Cambria" w:hAnsi="Cambria"/>
                <w:lang w:val="it-IT"/>
              </w:rPr>
              <w:t>djetetom</w:t>
            </w:r>
            <w:proofErr w:type="spellEnd"/>
            <w:r w:rsidRPr="00DF4CE5">
              <w:rPr>
                <w:rFonts w:ascii="Cambria" w:hAnsi="Cambria"/>
                <w:lang w:val="it-IT"/>
              </w:rPr>
              <w:t xml:space="preserve"> </w:t>
            </w:r>
            <w:proofErr w:type="spellStart"/>
            <w:r w:rsidRPr="00DF4CE5">
              <w:rPr>
                <w:rFonts w:ascii="Cambria" w:hAnsi="Cambria"/>
                <w:lang w:val="it-IT"/>
              </w:rPr>
              <w:t>pri</w:t>
            </w:r>
            <w:proofErr w:type="spellEnd"/>
            <w:r w:rsidRPr="00DF4CE5">
              <w:rPr>
                <w:rFonts w:ascii="Cambria" w:hAnsi="Cambria"/>
                <w:lang w:val="it-IT"/>
              </w:rPr>
              <w:t xml:space="preserve"> </w:t>
            </w:r>
            <w:proofErr w:type="spellStart"/>
            <w:r w:rsidRPr="00DF4CE5">
              <w:rPr>
                <w:rFonts w:ascii="Cambria" w:hAnsi="Cambria"/>
                <w:lang w:val="it-IT"/>
              </w:rPr>
              <w:t>osmišljavanju</w:t>
            </w:r>
            <w:proofErr w:type="spellEnd"/>
            <w:r w:rsidRPr="00DF4CE5">
              <w:rPr>
                <w:rFonts w:ascii="Cambria" w:hAnsi="Cambria"/>
                <w:lang w:val="it-IT"/>
              </w:rPr>
              <w:t xml:space="preserve"> </w:t>
            </w:r>
            <w:proofErr w:type="spellStart"/>
            <w:r w:rsidRPr="00DF4CE5">
              <w:rPr>
                <w:rFonts w:ascii="Cambria" w:hAnsi="Cambria"/>
                <w:lang w:val="it-IT"/>
              </w:rPr>
              <w:t>konkretnog</w:t>
            </w:r>
            <w:proofErr w:type="spellEnd"/>
            <w:r w:rsidRPr="00DF4CE5">
              <w:rPr>
                <w:rFonts w:ascii="Cambria" w:hAnsi="Cambria"/>
                <w:lang w:val="it-IT"/>
              </w:rPr>
              <w:t xml:space="preserve"> </w:t>
            </w:r>
            <w:proofErr w:type="spellStart"/>
            <w:r w:rsidRPr="00DF4CE5">
              <w:rPr>
                <w:rFonts w:ascii="Cambria" w:hAnsi="Cambria"/>
                <w:lang w:val="it-IT"/>
              </w:rPr>
              <w:t>modela</w:t>
            </w:r>
            <w:proofErr w:type="spellEnd"/>
            <w:r w:rsidRPr="00DF4CE5">
              <w:rPr>
                <w:rFonts w:ascii="Cambria" w:hAnsi="Cambria"/>
                <w:lang w:val="it-IT"/>
              </w:rPr>
              <w:t xml:space="preserve"> rada</w:t>
            </w:r>
          </w:p>
          <w:p w14:paraId="6057576B" w14:textId="79C725DA" w:rsidR="00FD3975" w:rsidRPr="00DF4CE5" w:rsidRDefault="00FD3975" w:rsidP="00FA0E3D">
            <w:pPr>
              <w:spacing w:after="0" w:line="240" w:lineRule="auto"/>
              <w:rPr>
                <w:rFonts w:ascii="Cambria" w:hAnsi="Cambria"/>
                <w:lang w:val="it-IT"/>
              </w:rPr>
            </w:pPr>
            <w:r w:rsidRPr="00DF4CE5">
              <w:rPr>
                <w:rFonts w:ascii="Cambria" w:hAnsi="Cambria"/>
                <w:lang w:val="it-IT"/>
              </w:rPr>
              <w:t xml:space="preserve">5. </w:t>
            </w:r>
            <w:proofErr w:type="spellStart"/>
            <w:r>
              <w:rPr>
                <w:rFonts w:ascii="Cambria" w:hAnsi="Cambria"/>
                <w:lang w:val="it-IT"/>
              </w:rPr>
              <w:t>o</w:t>
            </w:r>
            <w:r w:rsidRPr="00DF4CE5">
              <w:rPr>
                <w:rFonts w:ascii="Cambria" w:hAnsi="Cambria"/>
                <w:lang w:val="it-IT"/>
              </w:rPr>
              <w:t>smisliti</w:t>
            </w:r>
            <w:proofErr w:type="spellEnd"/>
            <w:r w:rsidRPr="00DF4CE5">
              <w:rPr>
                <w:rFonts w:ascii="Cambria" w:hAnsi="Cambria"/>
                <w:lang w:val="it-IT"/>
              </w:rPr>
              <w:t xml:space="preserve"> i </w:t>
            </w:r>
            <w:proofErr w:type="spellStart"/>
            <w:r w:rsidRPr="00DF4CE5">
              <w:rPr>
                <w:rFonts w:ascii="Cambria" w:hAnsi="Cambria"/>
                <w:lang w:val="it-IT"/>
              </w:rPr>
              <w:t>predstaviti</w:t>
            </w:r>
            <w:proofErr w:type="spellEnd"/>
            <w:r w:rsidRPr="00DF4CE5">
              <w:rPr>
                <w:rFonts w:ascii="Cambria" w:hAnsi="Cambria"/>
                <w:lang w:val="it-IT"/>
              </w:rPr>
              <w:t xml:space="preserve"> </w:t>
            </w:r>
            <w:proofErr w:type="spellStart"/>
            <w:r w:rsidRPr="00DF4CE5">
              <w:rPr>
                <w:rFonts w:ascii="Cambria" w:hAnsi="Cambria"/>
                <w:lang w:val="it-IT"/>
              </w:rPr>
              <w:t>nastavnu</w:t>
            </w:r>
            <w:proofErr w:type="spellEnd"/>
            <w:r w:rsidRPr="00DF4CE5">
              <w:rPr>
                <w:rFonts w:ascii="Cambria" w:hAnsi="Cambria"/>
                <w:lang w:val="it-IT"/>
              </w:rPr>
              <w:t xml:space="preserve"> </w:t>
            </w:r>
            <w:proofErr w:type="spellStart"/>
            <w:r w:rsidRPr="00DF4CE5">
              <w:rPr>
                <w:rFonts w:ascii="Cambria" w:hAnsi="Cambria"/>
                <w:lang w:val="it-IT"/>
              </w:rPr>
              <w:t>pripravu</w:t>
            </w:r>
            <w:proofErr w:type="spellEnd"/>
            <w:r w:rsidRPr="00DF4CE5">
              <w:rPr>
                <w:rFonts w:ascii="Cambria" w:hAnsi="Cambria"/>
                <w:lang w:val="it-IT"/>
              </w:rPr>
              <w:t xml:space="preserve"> za </w:t>
            </w:r>
            <w:proofErr w:type="spellStart"/>
            <w:r w:rsidRPr="00DF4CE5">
              <w:rPr>
                <w:rFonts w:ascii="Cambria" w:hAnsi="Cambria"/>
                <w:lang w:val="it-IT"/>
              </w:rPr>
              <w:t>sat</w:t>
            </w:r>
            <w:proofErr w:type="spellEnd"/>
            <w:r w:rsidRPr="00DF4CE5">
              <w:rPr>
                <w:rFonts w:ascii="Cambria" w:hAnsi="Cambria"/>
                <w:lang w:val="it-IT"/>
              </w:rPr>
              <w:t xml:space="preserve"> </w:t>
            </w:r>
            <w:proofErr w:type="spellStart"/>
            <w:r w:rsidRPr="00DF4CE5">
              <w:rPr>
                <w:rFonts w:ascii="Cambria" w:hAnsi="Cambria"/>
                <w:lang w:val="it-IT"/>
              </w:rPr>
              <w:t>lektire</w:t>
            </w:r>
            <w:proofErr w:type="spellEnd"/>
            <w:r w:rsidRPr="00DF4CE5">
              <w:rPr>
                <w:rFonts w:ascii="Cambria" w:hAnsi="Cambria"/>
                <w:lang w:val="it-IT"/>
              </w:rPr>
              <w:t>.</w:t>
            </w:r>
          </w:p>
        </w:tc>
      </w:tr>
      <w:tr w:rsidR="00FD3975" w:rsidRPr="00D0399C" w14:paraId="21D41A7B" w14:textId="77777777" w:rsidTr="00FA0E3D">
        <w:tc>
          <w:tcPr>
            <w:tcW w:w="205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6B00469" w14:textId="77777777" w:rsidR="00FD3975" w:rsidRPr="005C2363" w:rsidRDefault="00FD3975" w:rsidP="00FA0E3D">
            <w:pPr>
              <w:spacing w:after="0" w:line="240" w:lineRule="auto"/>
              <w:rPr>
                <w:rFonts w:ascii="Cambria" w:eastAsia="Times New Roman" w:hAnsi="Cambria" w:cs="Calibri"/>
                <w:lang w:val="hr-HR"/>
              </w:rPr>
            </w:pPr>
            <w:r w:rsidRPr="005C2363">
              <w:rPr>
                <w:rFonts w:ascii="Cambria" w:eastAsia="Times New Roman" w:hAnsi="Cambria" w:cs="Calibri"/>
                <w:lang w:val="hr-HR"/>
              </w:rPr>
              <w:t>Rokovi ispita i kolokvija</w:t>
            </w:r>
          </w:p>
        </w:tc>
        <w:tc>
          <w:tcPr>
            <w:tcW w:w="699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9A609D5" w14:textId="77777777" w:rsidR="00FD3975" w:rsidRPr="00DF4CE5" w:rsidRDefault="00FD3975" w:rsidP="00FA0E3D">
            <w:pPr>
              <w:snapToGrid w:val="0"/>
              <w:spacing w:after="0" w:line="240" w:lineRule="auto"/>
              <w:rPr>
                <w:rFonts w:ascii="Cambria" w:hAnsi="Cambria"/>
                <w:lang w:val="hr-HR"/>
              </w:rPr>
            </w:pPr>
            <w:r w:rsidRPr="00F1132C">
              <w:rPr>
                <w:rFonts w:ascii="Cambria" w:hAnsi="Cambria"/>
                <w:lang w:val="hr-HR"/>
              </w:rPr>
              <w:t xml:space="preserve">Daju se na početku akademske godine, objavljuju se na mrežnim stranicama Sveučilišta i u ISVU. </w:t>
            </w:r>
          </w:p>
        </w:tc>
      </w:tr>
      <w:tr w:rsidR="00FD3975" w:rsidRPr="00FD3975" w14:paraId="4FE3BD7D" w14:textId="77777777" w:rsidTr="00FA0E3D">
        <w:tc>
          <w:tcPr>
            <w:tcW w:w="205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1089BF3" w14:textId="77777777" w:rsidR="00FD3975" w:rsidRPr="005C2363" w:rsidRDefault="00FD3975" w:rsidP="00FA0E3D">
            <w:pPr>
              <w:spacing w:after="0" w:line="240" w:lineRule="auto"/>
              <w:rPr>
                <w:rFonts w:ascii="Cambria" w:eastAsia="Times New Roman" w:hAnsi="Cambria" w:cs="Calibri"/>
                <w:lang w:val="hr-HR"/>
              </w:rPr>
            </w:pPr>
            <w:r w:rsidRPr="005C2363">
              <w:rPr>
                <w:rFonts w:ascii="Cambria" w:eastAsia="Times New Roman" w:hAnsi="Cambria" w:cs="Calibri"/>
                <w:lang w:val="hr-HR"/>
              </w:rPr>
              <w:t>Ostale važne činjenice vezane uz kolegij</w:t>
            </w:r>
          </w:p>
        </w:tc>
        <w:tc>
          <w:tcPr>
            <w:tcW w:w="699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253AD1E" w14:textId="77777777" w:rsidR="00FD3975" w:rsidRPr="00DF4CE5" w:rsidRDefault="00FD3975" w:rsidP="00FA0E3D">
            <w:pPr>
              <w:snapToGrid w:val="0"/>
              <w:spacing w:after="0" w:line="240" w:lineRule="auto"/>
              <w:rPr>
                <w:rFonts w:ascii="Cambria" w:hAnsi="Cambria"/>
                <w:lang w:val="hr-HR"/>
              </w:rPr>
            </w:pPr>
            <w:proofErr w:type="spellStart"/>
            <w:r w:rsidRPr="00DF4CE5">
              <w:rPr>
                <w:rFonts w:ascii="Cambria" w:hAnsi="Cambria"/>
                <w:lang w:val="it-IT"/>
              </w:rPr>
              <w:t>Materijali</w:t>
            </w:r>
            <w:proofErr w:type="spellEnd"/>
            <w:r w:rsidRPr="00DF4CE5">
              <w:rPr>
                <w:rFonts w:ascii="Cambria" w:hAnsi="Cambria"/>
                <w:lang w:val="it-IT"/>
              </w:rPr>
              <w:t xml:space="preserve"> za </w:t>
            </w:r>
            <w:proofErr w:type="spellStart"/>
            <w:r w:rsidRPr="00DF4CE5">
              <w:rPr>
                <w:rFonts w:ascii="Cambria" w:hAnsi="Cambria"/>
                <w:lang w:val="it-IT"/>
              </w:rPr>
              <w:t>predavanja</w:t>
            </w:r>
            <w:proofErr w:type="spellEnd"/>
            <w:r w:rsidRPr="00DF4CE5">
              <w:rPr>
                <w:rFonts w:ascii="Cambria" w:hAnsi="Cambria"/>
                <w:lang w:val="it-IT"/>
              </w:rPr>
              <w:t xml:space="preserve"> </w:t>
            </w:r>
            <w:proofErr w:type="gramStart"/>
            <w:r w:rsidRPr="00DF4CE5">
              <w:rPr>
                <w:rFonts w:ascii="Cambria" w:hAnsi="Cambria"/>
                <w:lang w:val="it-IT"/>
              </w:rPr>
              <w:t>i seminare</w:t>
            </w:r>
            <w:proofErr w:type="gramEnd"/>
            <w:r w:rsidRPr="00DF4CE5">
              <w:rPr>
                <w:rFonts w:ascii="Cambria" w:hAnsi="Cambria"/>
                <w:lang w:val="it-IT"/>
              </w:rPr>
              <w:t xml:space="preserve"> </w:t>
            </w:r>
            <w:proofErr w:type="spellStart"/>
            <w:r w:rsidRPr="00DF4CE5">
              <w:rPr>
                <w:rFonts w:ascii="Cambria" w:hAnsi="Cambria"/>
                <w:lang w:val="it-IT"/>
              </w:rPr>
              <w:t>objavljuju</w:t>
            </w:r>
            <w:proofErr w:type="spellEnd"/>
            <w:r w:rsidRPr="00DF4CE5">
              <w:rPr>
                <w:rFonts w:ascii="Cambria" w:hAnsi="Cambria"/>
                <w:lang w:val="it-IT"/>
              </w:rPr>
              <w:t xml:space="preserve"> se </w:t>
            </w:r>
            <w:proofErr w:type="spellStart"/>
            <w:r w:rsidRPr="00DF4CE5">
              <w:rPr>
                <w:rFonts w:ascii="Cambria" w:hAnsi="Cambria"/>
                <w:lang w:val="it-IT"/>
              </w:rPr>
              <w:t>na</w:t>
            </w:r>
            <w:proofErr w:type="spellEnd"/>
            <w:r w:rsidRPr="00DF4CE5">
              <w:rPr>
                <w:rFonts w:ascii="Cambria" w:hAnsi="Cambria"/>
                <w:lang w:val="it-IT"/>
              </w:rPr>
              <w:t xml:space="preserve"> e-</w:t>
            </w:r>
            <w:proofErr w:type="spellStart"/>
            <w:r w:rsidRPr="00DF4CE5">
              <w:rPr>
                <w:rFonts w:ascii="Cambria" w:hAnsi="Cambria"/>
                <w:lang w:val="it-IT"/>
              </w:rPr>
              <w:t>učenju</w:t>
            </w:r>
            <w:proofErr w:type="spellEnd"/>
            <w:r w:rsidRPr="00DF4CE5">
              <w:rPr>
                <w:rFonts w:ascii="Cambria" w:hAnsi="Cambria"/>
                <w:lang w:val="it-IT"/>
              </w:rPr>
              <w:t>.</w:t>
            </w:r>
          </w:p>
          <w:p w14:paraId="7F252AB1" w14:textId="41EF04A5" w:rsidR="00FD3975" w:rsidRPr="00FD3975" w:rsidRDefault="00FD3975" w:rsidP="00FA0E3D">
            <w:pPr>
              <w:snapToGrid w:val="0"/>
              <w:spacing w:after="0" w:line="240" w:lineRule="auto"/>
              <w:rPr>
                <w:rFonts w:ascii="Cambria" w:hAnsi="Cambria"/>
                <w:lang w:val="hr-HR"/>
              </w:rPr>
            </w:pPr>
            <w:r w:rsidRPr="00DF4CE5">
              <w:rPr>
                <w:rFonts w:ascii="Cambria" w:hAnsi="Cambria"/>
                <w:lang w:val="hr-HR"/>
              </w:rPr>
              <w:t xml:space="preserve">U slučaju održavanja nastave na daljinu, moguće je odstupanje u: mjestu izvođenja kolegija, provedbi aktivnosti, metoda tumačenja i poučavanja i načinima vrednovanja, studentskim obvezama i dostupnoj literaturi. </w:t>
            </w:r>
            <w:r w:rsidRPr="00FD3975">
              <w:rPr>
                <w:rFonts w:ascii="Cambria" w:hAnsi="Cambria"/>
                <w:lang w:val="hr-HR"/>
              </w:rPr>
              <w:t>O tome će nositeljica kolegija obavijestiti studente i studentice kad se nastava na daljinu počne održavati. Ishodi učenja ostaju nepromijenjeni.</w:t>
            </w:r>
          </w:p>
        </w:tc>
      </w:tr>
      <w:tr w:rsidR="00FD3975" w:rsidRPr="00D0399C" w14:paraId="5D16D684" w14:textId="77777777" w:rsidTr="00FA0E3D">
        <w:tc>
          <w:tcPr>
            <w:tcW w:w="205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EE9418B" w14:textId="77777777" w:rsidR="00FD3975" w:rsidRPr="005C2363" w:rsidRDefault="00FD3975" w:rsidP="00FA0E3D">
            <w:pPr>
              <w:spacing w:after="0" w:line="240" w:lineRule="auto"/>
              <w:rPr>
                <w:rFonts w:ascii="Cambria" w:eastAsia="Times New Roman" w:hAnsi="Cambria" w:cs="Calibri"/>
                <w:lang w:val="hr-HR"/>
              </w:rPr>
            </w:pPr>
            <w:r>
              <w:rPr>
                <w:rFonts w:ascii="Cambria" w:eastAsia="Times New Roman" w:hAnsi="Cambria" w:cs="Calibri"/>
                <w:lang w:val="hr-HR"/>
              </w:rPr>
              <w:t>Literatura</w:t>
            </w:r>
          </w:p>
        </w:tc>
        <w:tc>
          <w:tcPr>
            <w:tcW w:w="699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584693C" w14:textId="77777777" w:rsidR="00FD3975" w:rsidRPr="00F1132C" w:rsidRDefault="00FD3975" w:rsidP="00FA0E3D">
            <w:pPr>
              <w:snapToGrid w:val="0"/>
              <w:spacing w:after="0" w:line="240" w:lineRule="auto"/>
              <w:rPr>
                <w:rFonts w:ascii="Cambria" w:hAnsi="Cambria"/>
                <w:lang w:val="hr-HR"/>
              </w:rPr>
            </w:pPr>
            <w:r w:rsidRPr="00F1132C">
              <w:rPr>
                <w:rFonts w:ascii="Cambria" w:hAnsi="Cambria"/>
                <w:lang w:val="hr-HR"/>
              </w:rPr>
              <w:t xml:space="preserve">Obvezna:  </w:t>
            </w:r>
          </w:p>
          <w:p w14:paraId="43C5E077" w14:textId="77777777" w:rsidR="00FD3975" w:rsidRPr="00F1132C" w:rsidRDefault="00FD3975" w:rsidP="00FD3975">
            <w:pPr>
              <w:spacing w:before="13" w:after="0" w:line="240" w:lineRule="auto"/>
              <w:ind w:right="-20"/>
              <w:rPr>
                <w:rFonts w:ascii="Cambria" w:eastAsia="Times New Roman" w:hAnsi="Cambria"/>
                <w:lang w:val="hr-HR"/>
              </w:rPr>
            </w:pPr>
            <w:r w:rsidRPr="00F1132C">
              <w:rPr>
                <w:rFonts w:ascii="Cambria" w:eastAsia="Times New Roman" w:hAnsi="Cambria"/>
                <w:spacing w:val="1"/>
                <w:lang w:val="hr-HR"/>
              </w:rPr>
              <w:t>1</w:t>
            </w:r>
            <w:r w:rsidRPr="00F1132C">
              <w:rPr>
                <w:rFonts w:ascii="Cambria" w:eastAsia="Times New Roman" w:hAnsi="Cambria"/>
                <w:lang w:val="hr-HR"/>
              </w:rPr>
              <w:t xml:space="preserve">. </w:t>
            </w:r>
            <w:r w:rsidRPr="00F1132C">
              <w:rPr>
                <w:rFonts w:ascii="Cambria" w:eastAsia="Times New Roman" w:hAnsi="Cambria"/>
                <w:spacing w:val="-2"/>
                <w:w w:val="97"/>
                <w:lang w:val="hr-HR"/>
              </w:rPr>
              <w:t>L</w:t>
            </w:r>
            <w:r w:rsidRPr="00F1132C">
              <w:rPr>
                <w:rFonts w:ascii="Cambria" w:eastAsia="Times New Roman" w:hAnsi="Cambria"/>
                <w:spacing w:val="-1"/>
                <w:w w:val="97"/>
                <w:lang w:val="hr-HR"/>
              </w:rPr>
              <w:t>u</w:t>
            </w:r>
            <w:r w:rsidRPr="00F1132C">
              <w:rPr>
                <w:rFonts w:ascii="Cambria" w:eastAsia="Arial" w:hAnsi="Cambria"/>
                <w:w w:val="97"/>
                <w:lang w:val="hr-HR"/>
              </w:rPr>
              <w:t>č</w:t>
            </w:r>
            <w:r w:rsidRPr="00F1132C">
              <w:rPr>
                <w:rFonts w:ascii="Cambria" w:eastAsia="Times New Roman" w:hAnsi="Cambria"/>
                <w:w w:val="97"/>
                <w:lang w:val="hr-HR"/>
              </w:rPr>
              <w:t>i</w:t>
            </w:r>
            <w:r w:rsidRPr="00F1132C">
              <w:rPr>
                <w:rFonts w:ascii="Cambria" w:eastAsia="Arial" w:hAnsi="Cambria"/>
                <w:spacing w:val="3"/>
                <w:w w:val="97"/>
                <w:lang w:val="hr-HR"/>
              </w:rPr>
              <w:t>ć</w:t>
            </w:r>
            <w:r w:rsidRPr="00F1132C">
              <w:rPr>
                <w:rFonts w:ascii="Cambria" w:eastAsia="Times New Roman" w:hAnsi="Cambria"/>
                <w:spacing w:val="-1"/>
                <w:w w:val="97"/>
                <w:lang w:val="hr-HR"/>
              </w:rPr>
              <w:t>-</w:t>
            </w:r>
            <w:proofErr w:type="spellStart"/>
            <w:r w:rsidRPr="00F1132C">
              <w:rPr>
                <w:rFonts w:ascii="Cambria" w:eastAsia="Times New Roman" w:hAnsi="Cambria"/>
                <w:spacing w:val="3"/>
                <w:w w:val="97"/>
                <w:lang w:val="hr-HR"/>
              </w:rPr>
              <w:t>M</w:t>
            </w:r>
            <w:r w:rsidRPr="00F1132C">
              <w:rPr>
                <w:rFonts w:ascii="Cambria" w:eastAsia="Times New Roman" w:hAnsi="Cambria"/>
                <w:spacing w:val="1"/>
                <w:w w:val="97"/>
                <w:lang w:val="hr-HR"/>
              </w:rPr>
              <w:t>u</w:t>
            </w:r>
            <w:r w:rsidRPr="00F1132C">
              <w:rPr>
                <w:rFonts w:ascii="Cambria" w:eastAsia="Times New Roman" w:hAnsi="Cambria"/>
                <w:spacing w:val="-1"/>
                <w:w w:val="97"/>
                <w:lang w:val="hr-HR"/>
              </w:rPr>
              <w:t>m</w:t>
            </w:r>
            <w:r w:rsidRPr="00F1132C">
              <w:rPr>
                <w:rFonts w:ascii="Cambria" w:eastAsia="Times New Roman" w:hAnsi="Cambria"/>
                <w:w w:val="97"/>
                <w:lang w:val="hr-HR"/>
              </w:rPr>
              <w:t>le</w:t>
            </w:r>
            <w:r w:rsidRPr="00F1132C">
              <w:rPr>
                <w:rFonts w:ascii="Cambria" w:eastAsia="Times New Roman" w:hAnsi="Cambria"/>
                <w:spacing w:val="-1"/>
                <w:w w:val="97"/>
                <w:lang w:val="hr-HR"/>
              </w:rPr>
              <w:t>k</w:t>
            </w:r>
            <w:proofErr w:type="spellEnd"/>
            <w:r w:rsidRPr="00F1132C">
              <w:rPr>
                <w:rFonts w:ascii="Cambria" w:eastAsia="Times New Roman" w:hAnsi="Cambria"/>
                <w:w w:val="97"/>
                <w:lang w:val="hr-HR"/>
              </w:rPr>
              <w:t>,</w:t>
            </w:r>
            <w:r w:rsidRPr="00F1132C">
              <w:rPr>
                <w:rFonts w:ascii="Cambria" w:eastAsia="Times New Roman" w:hAnsi="Cambria"/>
                <w:spacing w:val="6"/>
                <w:w w:val="97"/>
                <w:lang w:val="hr-HR"/>
              </w:rPr>
              <w:t xml:space="preserve"> </w:t>
            </w:r>
            <w:r w:rsidRPr="00F1132C">
              <w:rPr>
                <w:rFonts w:ascii="Cambria" w:eastAsia="Times New Roman" w:hAnsi="Cambria"/>
                <w:lang w:val="hr-HR"/>
              </w:rPr>
              <w:t>K.</w:t>
            </w:r>
            <w:r w:rsidRPr="00F1132C">
              <w:rPr>
                <w:rFonts w:ascii="Cambria" w:eastAsia="Times New Roman" w:hAnsi="Cambria"/>
                <w:spacing w:val="-1"/>
                <w:lang w:val="hr-HR"/>
              </w:rPr>
              <w:t xml:space="preserve"> </w:t>
            </w:r>
            <w:r w:rsidRPr="00F1132C">
              <w:rPr>
                <w:rFonts w:ascii="Cambria" w:eastAsia="Times New Roman" w:hAnsi="Cambria"/>
                <w:spacing w:val="1"/>
                <w:lang w:val="hr-HR"/>
              </w:rPr>
              <w:t>(2004)</w:t>
            </w:r>
            <w:r w:rsidRPr="00F1132C">
              <w:rPr>
                <w:rFonts w:ascii="Cambria" w:eastAsia="Times New Roman" w:hAnsi="Cambria"/>
                <w:lang w:val="hr-HR"/>
              </w:rPr>
              <w:t>,</w:t>
            </w:r>
            <w:r w:rsidRPr="00F1132C">
              <w:rPr>
                <w:rFonts w:ascii="Cambria" w:eastAsia="Times New Roman" w:hAnsi="Cambria"/>
                <w:spacing w:val="-7"/>
                <w:lang w:val="hr-HR"/>
              </w:rPr>
              <w:t xml:space="preserve"> </w:t>
            </w:r>
            <w:r w:rsidRPr="00F1132C">
              <w:rPr>
                <w:rFonts w:ascii="Cambria" w:eastAsia="Times New Roman" w:hAnsi="Cambria"/>
                <w:spacing w:val="-2"/>
                <w:lang w:val="hr-HR"/>
              </w:rPr>
              <w:t>L</w:t>
            </w:r>
            <w:r w:rsidRPr="00F1132C">
              <w:rPr>
                <w:rFonts w:ascii="Cambria" w:eastAsia="Times New Roman" w:hAnsi="Cambria"/>
                <w:spacing w:val="3"/>
                <w:lang w:val="hr-HR"/>
              </w:rPr>
              <w:t>e</w:t>
            </w:r>
            <w:r w:rsidRPr="00F1132C">
              <w:rPr>
                <w:rFonts w:ascii="Cambria" w:eastAsia="Times New Roman" w:hAnsi="Cambria"/>
                <w:spacing w:val="-1"/>
                <w:lang w:val="hr-HR"/>
              </w:rPr>
              <w:t>k</w:t>
            </w:r>
            <w:r w:rsidRPr="00F1132C">
              <w:rPr>
                <w:rFonts w:ascii="Cambria" w:eastAsia="Times New Roman" w:hAnsi="Cambria"/>
                <w:lang w:val="hr-HR"/>
              </w:rPr>
              <w:t>ti</w:t>
            </w:r>
            <w:r w:rsidRPr="00F1132C">
              <w:rPr>
                <w:rFonts w:ascii="Cambria" w:eastAsia="Times New Roman" w:hAnsi="Cambria"/>
                <w:spacing w:val="1"/>
                <w:lang w:val="hr-HR"/>
              </w:rPr>
              <w:t>r</w:t>
            </w:r>
            <w:r w:rsidRPr="00F1132C">
              <w:rPr>
                <w:rFonts w:ascii="Cambria" w:eastAsia="Times New Roman" w:hAnsi="Cambria"/>
                <w:lang w:val="hr-HR"/>
              </w:rPr>
              <w:t>a</w:t>
            </w:r>
            <w:r w:rsidRPr="00F1132C">
              <w:rPr>
                <w:rFonts w:ascii="Cambria" w:eastAsia="Times New Roman" w:hAnsi="Cambria"/>
                <w:spacing w:val="-5"/>
                <w:lang w:val="hr-HR"/>
              </w:rPr>
              <w:t xml:space="preserve"> </w:t>
            </w:r>
            <w:r w:rsidRPr="00F1132C">
              <w:rPr>
                <w:rFonts w:ascii="Cambria" w:eastAsia="Times New Roman" w:hAnsi="Cambria"/>
                <w:lang w:val="hr-HR"/>
              </w:rPr>
              <w:t>u</w:t>
            </w:r>
            <w:r w:rsidRPr="00F1132C">
              <w:rPr>
                <w:rFonts w:ascii="Cambria" w:eastAsia="Times New Roman" w:hAnsi="Cambria"/>
                <w:spacing w:val="-2"/>
                <w:lang w:val="hr-HR"/>
              </w:rPr>
              <w:t xml:space="preserve"> </w:t>
            </w:r>
            <w:r w:rsidRPr="00F1132C">
              <w:rPr>
                <w:rFonts w:ascii="Cambria" w:eastAsia="Times New Roman" w:hAnsi="Cambria"/>
                <w:spacing w:val="1"/>
                <w:lang w:val="hr-HR"/>
              </w:rPr>
              <w:t>r</w:t>
            </w:r>
            <w:r w:rsidRPr="00F1132C">
              <w:rPr>
                <w:rFonts w:ascii="Cambria" w:eastAsia="Times New Roman" w:hAnsi="Cambria"/>
                <w:lang w:val="hr-HR"/>
              </w:rPr>
              <w:t>az</w:t>
            </w:r>
            <w:r w:rsidRPr="00F1132C">
              <w:rPr>
                <w:rFonts w:ascii="Cambria" w:eastAsia="Times New Roman" w:hAnsi="Cambria"/>
                <w:spacing w:val="1"/>
                <w:lang w:val="hr-HR"/>
              </w:rPr>
              <w:t>r</w:t>
            </w:r>
            <w:r w:rsidRPr="00F1132C">
              <w:rPr>
                <w:rFonts w:ascii="Cambria" w:eastAsia="Times New Roman" w:hAnsi="Cambria"/>
                <w:lang w:val="hr-HR"/>
              </w:rPr>
              <w:t>e</w:t>
            </w:r>
            <w:r w:rsidRPr="00F1132C">
              <w:rPr>
                <w:rFonts w:ascii="Cambria" w:eastAsia="Times New Roman" w:hAnsi="Cambria"/>
                <w:spacing w:val="1"/>
                <w:lang w:val="hr-HR"/>
              </w:rPr>
              <w:t>d</w:t>
            </w:r>
            <w:r w:rsidRPr="00F1132C">
              <w:rPr>
                <w:rFonts w:ascii="Cambria" w:eastAsia="Times New Roman" w:hAnsi="Cambria"/>
                <w:spacing w:val="-1"/>
                <w:lang w:val="hr-HR"/>
              </w:rPr>
              <w:t>n</w:t>
            </w:r>
            <w:r w:rsidRPr="00F1132C">
              <w:rPr>
                <w:rFonts w:ascii="Cambria" w:eastAsia="Times New Roman" w:hAnsi="Cambria"/>
                <w:spacing w:val="1"/>
                <w:lang w:val="hr-HR"/>
              </w:rPr>
              <w:t>o</w:t>
            </w:r>
            <w:r w:rsidRPr="00F1132C">
              <w:rPr>
                <w:rFonts w:ascii="Cambria" w:eastAsia="Times New Roman" w:hAnsi="Cambria"/>
                <w:lang w:val="hr-HR"/>
              </w:rPr>
              <w:t>j</w:t>
            </w:r>
            <w:r w:rsidRPr="00F1132C">
              <w:rPr>
                <w:rFonts w:ascii="Cambria" w:eastAsia="Times New Roman" w:hAnsi="Cambria"/>
                <w:spacing w:val="-5"/>
                <w:lang w:val="hr-HR"/>
              </w:rPr>
              <w:t xml:space="preserve"> </w:t>
            </w:r>
            <w:r w:rsidRPr="00F1132C">
              <w:rPr>
                <w:rFonts w:ascii="Cambria" w:eastAsia="Times New Roman" w:hAnsi="Cambria"/>
                <w:spacing w:val="-1"/>
                <w:lang w:val="hr-HR"/>
              </w:rPr>
              <w:t>n</w:t>
            </w:r>
            <w:r w:rsidRPr="00F1132C">
              <w:rPr>
                <w:rFonts w:ascii="Cambria" w:eastAsia="Times New Roman" w:hAnsi="Cambria"/>
                <w:lang w:val="hr-HR"/>
              </w:rPr>
              <w:t>a</w:t>
            </w:r>
            <w:r w:rsidRPr="00F1132C">
              <w:rPr>
                <w:rFonts w:ascii="Cambria" w:eastAsia="Times New Roman" w:hAnsi="Cambria"/>
                <w:spacing w:val="-1"/>
                <w:lang w:val="hr-HR"/>
              </w:rPr>
              <w:t>s</w:t>
            </w:r>
            <w:r w:rsidRPr="00F1132C">
              <w:rPr>
                <w:rFonts w:ascii="Cambria" w:eastAsia="Times New Roman" w:hAnsi="Cambria"/>
                <w:lang w:val="hr-HR"/>
              </w:rPr>
              <w:t>ta</w:t>
            </w:r>
            <w:r w:rsidRPr="00F1132C">
              <w:rPr>
                <w:rFonts w:ascii="Cambria" w:eastAsia="Times New Roman" w:hAnsi="Cambria"/>
                <w:spacing w:val="-1"/>
                <w:lang w:val="hr-HR"/>
              </w:rPr>
              <w:t>v</w:t>
            </w:r>
            <w:r w:rsidRPr="00F1132C">
              <w:rPr>
                <w:rFonts w:ascii="Cambria" w:eastAsia="Times New Roman" w:hAnsi="Cambria"/>
                <w:lang w:val="hr-HR"/>
              </w:rPr>
              <w:t>i,</w:t>
            </w:r>
            <w:r w:rsidRPr="00F1132C">
              <w:rPr>
                <w:rFonts w:ascii="Cambria" w:eastAsia="Times New Roman" w:hAnsi="Cambria"/>
                <w:spacing w:val="-3"/>
                <w:lang w:val="hr-HR"/>
              </w:rPr>
              <w:t xml:space="preserve"> </w:t>
            </w:r>
            <w:r w:rsidRPr="00F1132C">
              <w:rPr>
                <w:rFonts w:ascii="Cambria" w:eastAsia="Times New Roman" w:hAnsi="Cambria"/>
                <w:spacing w:val="1"/>
                <w:lang w:val="hr-HR"/>
              </w:rPr>
              <w:t>metodički priručnik</w:t>
            </w:r>
            <w:r w:rsidRPr="00F1132C">
              <w:rPr>
                <w:rFonts w:ascii="Cambria" w:eastAsia="Times New Roman" w:hAnsi="Cambria"/>
                <w:lang w:val="hr-HR"/>
              </w:rPr>
              <w:t>.</w:t>
            </w:r>
            <w:r w:rsidRPr="00F1132C">
              <w:rPr>
                <w:rFonts w:ascii="Cambria" w:eastAsia="Times New Roman" w:hAnsi="Cambria"/>
                <w:spacing w:val="-18"/>
                <w:lang w:val="hr-HR"/>
              </w:rPr>
              <w:t xml:space="preserve"> </w:t>
            </w:r>
            <w:r w:rsidRPr="00F1132C">
              <w:rPr>
                <w:rFonts w:ascii="Cambria" w:eastAsia="Times New Roman" w:hAnsi="Cambria"/>
                <w:spacing w:val="-2"/>
                <w:lang w:val="hr-HR"/>
              </w:rPr>
              <w:t>Z</w:t>
            </w:r>
            <w:r w:rsidRPr="00F1132C">
              <w:rPr>
                <w:rFonts w:ascii="Cambria" w:eastAsia="Times New Roman" w:hAnsi="Cambria"/>
                <w:spacing w:val="3"/>
                <w:lang w:val="hr-HR"/>
              </w:rPr>
              <w:t>a</w:t>
            </w:r>
            <w:r w:rsidRPr="00F1132C">
              <w:rPr>
                <w:rFonts w:ascii="Cambria" w:eastAsia="Times New Roman" w:hAnsi="Cambria"/>
                <w:spacing w:val="-1"/>
                <w:lang w:val="hr-HR"/>
              </w:rPr>
              <w:t>g</w:t>
            </w:r>
            <w:r w:rsidRPr="00F1132C">
              <w:rPr>
                <w:rFonts w:ascii="Cambria" w:eastAsia="Times New Roman" w:hAnsi="Cambria"/>
                <w:spacing w:val="1"/>
                <w:lang w:val="hr-HR"/>
              </w:rPr>
              <w:t>r</w:t>
            </w:r>
            <w:r w:rsidRPr="00F1132C">
              <w:rPr>
                <w:rFonts w:ascii="Cambria" w:eastAsia="Times New Roman" w:hAnsi="Cambria"/>
                <w:lang w:val="hr-HR"/>
              </w:rPr>
              <w:t>e</w:t>
            </w:r>
            <w:r w:rsidRPr="00F1132C">
              <w:rPr>
                <w:rFonts w:ascii="Cambria" w:eastAsia="Times New Roman" w:hAnsi="Cambria"/>
                <w:spacing w:val="1"/>
                <w:lang w:val="hr-HR"/>
              </w:rPr>
              <w:t>b</w:t>
            </w:r>
            <w:r w:rsidRPr="00F1132C">
              <w:rPr>
                <w:rFonts w:ascii="Cambria" w:eastAsia="Times New Roman" w:hAnsi="Cambria"/>
                <w:lang w:val="hr-HR"/>
              </w:rPr>
              <w:t>:</w:t>
            </w:r>
            <w:r w:rsidRPr="00F1132C">
              <w:rPr>
                <w:rFonts w:ascii="Cambria" w:eastAsia="Times New Roman" w:hAnsi="Cambria"/>
                <w:spacing w:val="-6"/>
                <w:lang w:val="hr-HR"/>
              </w:rPr>
              <w:t xml:space="preserve"> </w:t>
            </w:r>
            <w:r w:rsidRPr="00F1132C">
              <w:rPr>
                <w:rFonts w:ascii="Cambria" w:eastAsia="Times New Roman" w:hAnsi="Cambria"/>
                <w:lang w:val="hr-HR"/>
              </w:rPr>
              <w:t>Š</w:t>
            </w:r>
            <w:r w:rsidRPr="00F1132C">
              <w:rPr>
                <w:rFonts w:ascii="Cambria" w:eastAsia="Times New Roman" w:hAnsi="Cambria"/>
                <w:spacing w:val="1"/>
                <w:lang w:val="hr-HR"/>
              </w:rPr>
              <w:t>ko</w:t>
            </w:r>
            <w:r w:rsidRPr="00F1132C">
              <w:rPr>
                <w:rFonts w:ascii="Cambria" w:eastAsia="Times New Roman" w:hAnsi="Cambria"/>
                <w:lang w:val="hr-HR"/>
              </w:rPr>
              <w:t>l</w:t>
            </w:r>
            <w:r w:rsidRPr="00F1132C">
              <w:rPr>
                <w:rFonts w:ascii="Cambria" w:eastAsia="Times New Roman" w:hAnsi="Cambria"/>
                <w:spacing w:val="-1"/>
                <w:lang w:val="hr-HR"/>
              </w:rPr>
              <w:t>sk</w:t>
            </w:r>
            <w:r w:rsidRPr="00F1132C">
              <w:rPr>
                <w:rFonts w:ascii="Cambria" w:eastAsia="Times New Roman" w:hAnsi="Cambria"/>
                <w:lang w:val="hr-HR"/>
              </w:rPr>
              <w:t>a</w:t>
            </w:r>
            <w:r w:rsidRPr="00F1132C">
              <w:rPr>
                <w:rFonts w:ascii="Cambria" w:eastAsia="Times New Roman" w:hAnsi="Cambria"/>
                <w:spacing w:val="-5"/>
                <w:lang w:val="hr-HR"/>
              </w:rPr>
              <w:t xml:space="preserve"> </w:t>
            </w:r>
            <w:r w:rsidRPr="00F1132C">
              <w:rPr>
                <w:rFonts w:ascii="Cambria" w:eastAsia="Times New Roman" w:hAnsi="Cambria"/>
                <w:spacing w:val="1"/>
                <w:lang w:val="hr-HR"/>
              </w:rPr>
              <w:t>k</w:t>
            </w:r>
            <w:r w:rsidRPr="00F1132C">
              <w:rPr>
                <w:rFonts w:ascii="Cambria" w:eastAsia="Times New Roman" w:hAnsi="Cambria"/>
                <w:spacing w:val="-1"/>
                <w:lang w:val="hr-HR"/>
              </w:rPr>
              <w:t>n</w:t>
            </w:r>
            <w:r w:rsidRPr="00F1132C">
              <w:rPr>
                <w:rFonts w:ascii="Cambria" w:eastAsia="Times New Roman" w:hAnsi="Cambria"/>
                <w:spacing w:val="2"/>
                <w:lang w:val="hr-HR"/>
              </w:rPr>
              <w:t>j</w:t>
            </w:r>
            <w:r w:rsidRPr="00F1132C">
              <w:rPr>
                <w:rFonts w:ascii="Cambria" w:eastAsia="Times New Roman" w:hAnsi="Cambria"/>
                <w:lang w:val="hr-HR"/>
              </w:rPr>
              <w:t>i</w:t>
            </w:r>
            <w:r w:rsidRPr="00F1132C">
              <w:rPr>
                <w:rFonts w:ascii="Cambria" w:eastAsia="Times New Roman" w:hAnsi="Cambria"/>
                <w:spacing w:val="-1"/>
                <w:lang w:val="hr-HR"/>
              </w:rPr>
              <w:t>g</w:t>
            </w:r>
            <w:r w:rsidRPr="00F1132C">
              <w:rPr>
                <w:rFonts w:ascii="Cambria" w:eastAsia="Times New Roman" w:hAnsi="Cambria"/>
                <w:lang w:val="hr-HR"/>
              </w:rPr>
              <w:t>a.</w:t>
            </w:r>
          </w:p>
          <w:p w14:paraId="19184E87" w14:textId="77777777" w:rsidR="00FD3975" w:rsidRDefault="00FD3975" w:rsidP="00FD3975">
            <w:pPr>
              <w:spacing w:before="18" w:after="0" w:line="240" w:lineRule="auto"/>
              <w:ind w:right="-20"/>
              <w:rPr>
                <w:rFonts w:ascii="Cambria" w:eastAsia="Times New Roman" w:hAnsi="Cambria"/>
                <w:lang w:val="hr-HR"/>
              </w:rPr>
            </w:pPr>
            <w:r w:rsidRPr="00F1132C">
              <w:rPr>
                <w:rFonts w:ascii="Cambria" w:eastAsia="Times New Roman" w:hAnsi="Cambria"/>
                <w:spacing w:val="1"/>
                <w:lang w:val="hr-HR"/>
              </w:rPr>
              <w:t>2</w:t>
            </w:r>
            <w:r w:rsidRPr="00F1132C">
              <w:rPr>
                <w:rFonts w:ascii="Cambria" w:eastAsia="Times New Roman" w:hAnsi="Cambria"/>
                <w:lang w:val="hr-HR"/>
              </w:rPr>
              <w:t xml:space="preserve">. </w:t>
            </w:r>
            <w:proofErr w:type="spellStart"/>
            <w:r w:rsidRPr="00F1132C">
              <w:rPr>
                <w:rFonts w:ascii="Cambria" w:eastAsia="Times New Roman" w:hAnsi="Cambria"/>
                <w:spacing w:val="-2"/>
                <w:lang w:val="hr-HR"/>
              </w:rPr>
              <w:t>L</w:t>
            </w:r>
            <w:r w:rsidRPr="00F1132C">
              <w:rPr>
                <w:rFonts w:ascii="Cambria" w:eastAsia="Times New Roman" w:hAnsi="Cambria"/>
                <w:lang w:val="hr-HR"/>
              </w:rPr>
              <w:t>e</w:t>
            </w:r>
            <w:r w:rsidRPr="00F1132C">
              <w:rPr>
                <w:rFonts w:ascii="Cambria" w:eastAsia="Times New Roman" w:hAnsi="Cambria"/>
                <w:spacing w:val="-1"/>
                <w:lang w:val="hr-HR"/>
              </w:rPr>
              <w:t>n</w:t>
            </w:r>
            <w:r w:rsidRPr="00F1132C">
              <w:rPr>
                <w:rFonts w:ascii="Cambria" w:eastAsia="Times New Roman" w:hAnsi="Cambria"/>
                <w:lang w:val="hr-HR"/>
              </w:rPr>
              <w:t>i</w:t>
            </w:r>
            <w:r w:rsidRPr="00F1132C">
              <w:rPr>
                <w:rFonts w:ascii="Cambria" w:eastAsia="Arial" w:hAnsi="Cambria"/>
                <w:lang w:val="hr-HR"/>
              </w:rPr>
              <w:t>č</w:t>
            </w:r>
            <w:r w:rsidRPr="00F1132C">
              <w:rPr>
                <w:rFonts w:ascii="Cambria" w:eastAsia="Times New Roman" w:hAnsi="Cambria"/>
                <w:spacing w:val="3"/>
                <w:lang w:val="hr-HR"/>
              </w:rPr>
              <w:t>e</w:t>
            </w:r>
            <w:r w:rsidRPr="00F1132C">
              <w:rPr>
                <w:rFonts w:ascii="Cambria" w:eastAsia="Times New Roman" w:hAnsi="Cambria"/>
                <w:spacing w:val="-1"/>
                <w:lang w:val="hr-HR"/>
              </w:rPr>
              <w:t>k</w:t>
            </w:r>
            <w:proofErr w:type="spellEnd"/>
            <w:r w:rsidRPr="00F1132C">
              <w:rPr>
                <w:rFonts w:ascii="Cambria" w:eastAsia="Times New Roman" w:hAnsi="Cambria"/>
                <w:lang w:val="hr-HR"/>
              </w:rPr>
              <w:t>,</w:t>
            </w:r>
            <w:r w:rsidRPr="00F1132C">
              <w:rPr>
                <w:rFonts w:ascii="Cambria" w:eastAsia="Times New Roman" w:hAnsi="Cambria"/>
                <w:spacing w:val="-17"/>
                <w:lang w:val="hr-HR"/>
              </w:rPr>
              <w:t xml:space="preserve"> </w:t>
            </w:r>
            <w:r w:rsidRPr="00F1132C">
              <w:rPr>
                <w:rFonts w:ascii="Cambria" w:eastAsia="Times New Roman" w:hAnsi="Cambria"/>
                <w:spacing w:val="1"/>
                <w:lang w:val="hr-HR"/>
              </w:rPr>
              <w:t>E</w:t>
            </w:r>
            <w:r w:rsidRPr="00F1132C">
              <w:rPr>
                <w:rFonts w:ascii="Cambria" w:eastAsia="Times New Roman" w:hAnsi="Cambria"/>
                <w:lang w:val="hr-HR"/>
              </w:rPr>
              <w:t>.</w:t>
            </w:r>
            <w:r w:rsidRPr="00F1132C">
              <w:rPr>
                <w:rFonts w:ascii="Cambria" w:eastAsia="Times New Roman" w:hAnsi="Cambria"/>
                <w:spacing w:val="-1"/>
                <w:lang w:val="hr-HR"/>
              </w:rPr>
              <w:t xml:space="preserve"> </w:t>
            </w:r>
            <w:r w:rsidRPr="00F1132C">
              <w:rPr>
                <w:rFonts w:ascii="Cambria" w:eastAsia="Times New Roman" w:hAnsi="Cambria"/>
                <w:spacing w:val="1"/>
                <w:lang w:val="hr-HR"/>
              </w:rPr>
              <w:t>(20</w:t>
            </w:r>
            <w:r w:rsidRPr="00F1132C">
              <w:rPr>
                <w:rFonts w:ascii="Cambria" w:eastAsia="Times New Roman" w:hAnsi="Cambria"/>
                <w:spacing w:val="-1"/>
                <w:lang w:val="hr-HR"/>
              </w:rPr>
              <w:t>0</w:t>
            </w:r>
            <w:r w:rsidRPr="00F1132C">
              <w:rPr>
                <w:rFonts w:ascii="Cambria" w:eastAsia="Times New Roman" w:hAnsi="Cambria"/>
                <w:spacing w:val="1"/>
                <w:lang w:val="hr-HR"/>
              </w:rPr>
              <w:t>2)</w:t>
            </w:r>
            <w:r w:rsidRPr="00F1132C">
              <w:rPr>
                <w:rFonts w:ascii="Cambria" w:eastAsia="Times New Roman" w:hAnsi="Cambria"/>
                <w:lang w:val="hr-HR"/>
              </w:rPr>
              <w:t>,</w:t>
            </w:r>
            <w:r w:rsidRPr="00F1132C">
              <w:rPr>
                <w:rFonts w:ascii="Cambria" w:eastAsia="Times New Roman" w:hAnsi="Cambria"/>
                <w:spacing w:val="-5"/>
                <w:lang w:val="hr-HR"/>
              </w:rPr>
              <w:t xml:space="preserve"> </w:t>
            </w:r>
            <w:r w:rsidRPr="00F1132C">
              <w:rPr>
                <w:rFonts w:ascii="Cambria" w:eastAsia="Times New Roman" w:hAnsi="Cambria"/>
                <w:spacing w:val="-2"/>
                <w:lang w:val="hr-HR"/>
              </w:rPr>
              <w:t>L</w:t>
            </w:r>
            <w:r w:rsidRPr="00F1132C">
              <w:rPr>
                <w:rFonts w:ascii="Cambria" w:eastAsia="Times New Roman" w:hAnsi="Cambria"/>
                <w:lang w:val="hr-HR"/>
              </w:rPr>
              <w:t>e</w:t>
            </w:r>
            <w:r w:rsidRPr="00F1132C">
              <w:rPr>
                <w:rFonts w:ascii="Cambria" w:eastAsia="Times New Roman" w:hAnsi="Cambria"/>
                <w:spacing w:val="-1"/>
                <w:lang w:val="hr-HR"/>
              </w:rPr>
              <w:t>k</w:t>
            </w:r>
            <w:r w:rsidRPr="00F1132C">
              <w:rPr>
                <w:rFonts w:ascii="Cambria" w:eastAsia="Times New Roman" w:hAnsi="Cambria"/>
                <w:lang w:val="hr-HR"/>
              </w:rPr>
              <w:t>ti</w:t>
            </w:r>
            <w:r w:rsidRPr="00F1132C">
              <w:rPr>
                <w:rFonts w:ascii="Cambria" w:eastAsia="Times New Roman" w:hAnsi="Cambria"/>
                <w:spacing w:val="1"/>
                <w:lang w:val="hr-HR"/>
              </w:rPr>
              <w:t>r</w:t>
            </w:r>
            <w:r w:rsidRPr="00F1132C">
              <w:rPr>
                <w:rFonts w:ascii="Cambria" w:eastAsia="Times New Roman" w:hAnsi="Cambria"/>
                <w:lang w:val="hr-HR"/>
              </w:rPr>
              <w:t>a</w:t>
            </w:r>
            <w:r w:rsidRPr="00F1132C">
              <w:rPr>
                <w:rFonts w:ascii="Cambria" w:eastAsia="Times New Roman" w:hAnsi="Cambria"/>
                <w:spacing w:val="-5"/>
                <w:lang w:val="hr-HR"/>
              </w:rPr>
              <w:t xml:space="preserve"> </w:t>
            </w:r>
            <w:r w:rsidRPr="00F1132C">
              <w:rPr>
                <w:rFonts w:ascii="Cambria" w:eastAsia="Times New Roman" w:hAnsi="Cambria"/>
                <w:lang w:val="hr-HR"/>
              </w:rPr>
              <w:t>u</w:t>
            </w:r>
            <w:r w:rsidRPr="00F1132C">
              <w:rPr>
                <w:rFonts w:ascii="Cambria" w:eastAsia="Times New Roman" w:hAnsi="Cambria"/>
                <w:spacing w:val="-2"/>
                <w:lang w:val="hr-HR"/>
              </w:rPr>
              <w:t xml:space="preserve"> </w:t>
            </w:r>
            <w:r w:rsidRPr="00F1132C">
              <w:rPr>
                <w:rFonts w:ascii="Cambria" w:eastAsia="Times New Roman" w:hAnsi="Cambria"/>
                <w:spacing w:val="1"/>
                <w:lang w:val="hr-HR"/>
              </w:rPr>
              <w:t>r</w:t>
            </w:r>
            <w:r w:rsidRPr="00F1132C">
              <w:rPr>
                <w:rFonts w:ascii="Cambria" w:eastAsia="Times New Roman" w:hAnsi="Cambria"/>
                <w:lang w:val="hr-HR"/>
              </w:rPr>
              <w:t>az</w:t>
            </w:r>
            <w:r w:rsidRPr="00F1132C">
              <w:rPr>
                <w:rFonts w:ascii="Cambria" w:eastAsia="Times New Roman" w:hAnsi="Cambria"/>
                <w:spacing w:val="1"/>
                <w:lang w:val="hr-HR"/>
              </w:rPr>
              <w:t>r</w:t>
            </w:r>
            <w:r w:rsidRPr="00F1132C">
              <w:rPr>
                <w:rFonts w:ascii="Cambria" w:eastAsia="Times New Roman" w:hAnsi="Cambria"/>
                <w:lang w:val="hr-HR"/>
              </w:rPr>
              <w:t>e</w:t>
            </w:r>
            <w:r w:rsidRPr="00F1132C">
              <w:rPr>
                <w:rFonts w:ascii="Cambria" w:eastAsia="Times New Roman" w:hAnsi="Cambria"/>
                <w:spacing w:val="1"/>
                <w:lang w:val="hr-HR"/>
              </w:rPr>
              <w:t>d</w:t>
            </w:r>
            <w:r w:rsidRPr="00F1132C">
              <w:rPr>
                <w:rFonts w:ascii="Cambria" w:eastAsia="Times New Roman" w:hAnsi="Cambria"/>
                <w:spacing w:val="-1"/>
                <w:lang w:val="hr-HR"/>
              </w:rPr>
              <w:t>n</w:t>
            </w:r>
            <w:r w:rsidRPr="00F1132C">
              <w:rPr>
                <w:rFonts w:ascii="Cambria" w:eastAsia="Times New Roman" w:hAnsi="Cambria"/>
                <w:spacing w:val="1"/>
                <w:lang w:val="hr-HR"/>
              </w:rPr>
              <w:t>o</w:t>
            </w:r>
            <w:r w:rsidRPr="00F1132C">
              <w:rPr>
                <w:rFonts w:ascii="Cambria" w:eastAsia="Times New Roman" w:hAnsi="Cambria"/>
                <w:lang w:val="hr-HR"/>
              </w:rPr>
              <w:t>j</w:t>
            </w:r>
            <w:r w:rsidRPr="00F1132C">
              <w:rPr>
                <w:rFonts w:ascii="Cambria" w:eastAsia="Times New Roman" w:hAnsi="Cambria"/>
                <w:spacing w:val="-5"/>
                <w:lang w:val="hr-HR"/>
              </w:rPr>
              <w:t xml:space="preserve"> </w:t>
            </w:r>
            <w:r w:rsidRPr="00F1132C">
              <w:rPr>
                <w:rFonts w:ascii="Cambria" w:eastAsia="Times New Roman" w:hAnsi="Cambria"/>
                <w:spacing w:val="-1"/>
                <w:lang w:val="hr-HR"/>
              </w:rPr>
              <w:t>n</w:t>
            </w:r>
            <w:r w:rsidRPr="00F1132C">
              <w:rPr>
                <w:rFonts w:ascii="Cambria" w:eastAsia="Times New Roman" w:hAnsi="Cambria"/>
                <w:lang w:val="hr-HR"/>
              </w:rPr>
              <w:t>a</w:t>
            </w:r>
            <w:r w:rsidRPr="00F1132C">
              <w:rPr>
                <w:rFonts w:ascii="Cambria" w:eastAsia="Times New Roman" w:hAnsi="Cambria"/>
                <w:spacing w:val="-1"/>
                <w:lang w:val="hr-HR"/>
              </w:rPr>
              <w:t>s</w:t>
            </w:r>
            <w:r w:rsidRPr="00F1132C">
              <w:rPr>
                <w:rFonts w:ascii="Cambria" w:eastAsia="Times New Roman" w:hAnsi="Cambria"/>
                <w:lang w:val="hr-HR"/>
              </w:rPr>
              <w:t>ta</w:t>
            </w:r>
            <w:r w:rsidRPr="00F1132C">
              <w:rPr>
                <w:rFonts w:ascii="Cambria" w:eastAsia="Times New Roman" w:hAnsi="Cambria"/>
                <w:spacing w:val="-1"/>
                <w:lang w:val="hr-HR"/>
              </w:rPr>
              <w:t>v</w:t>
            </w:r>
            <w:r w:rsidRPr="00F1132C">
              <w:rPr>
                <w:rFonts w:ascii="Cambria" w:eastAsia="Times New Roman" w:hAnsi="Cambria"/>
                <w:lang w:val="hr-HR"/>
              </w:rPr>
              <w:t>i.</w:t>
            </w:r>
            <w:r w:rsidRPr="00F1132C">
              <w:rPr>
                <w:rFonts w:ascii="Cambria" w:eastAsia="Times New Roman" w:hAnsi="Cambria"/>
                <w:spacing w:val="-5"/>
                <w:lang w:val="hr-HR"/>
              </w:rPr>
              <w:t xml:space="preserve"> </w:t>
            </w:r>
            <w:r w:rsidRPr="00F1132C">
              <w:rPr>
                <w:rFonts w:ascii="Cambria" w:eastAsia="Times New Roman" w:hAnsi="Cambria"/>
                <w:spacing w:val="2"/>
                <w:lang w:val="hr-HR"/>
              </w:rPr>
              <w:t>P</w:t>
            </w:r>
            <w:r w:rsidRPr="00F1132C">
              <w:rPr>
                <w:rFonts w:ascii="Cambria" w:eastAsia="Times New Roman" w:hAnsi="Cambria"/>
                <w:lang w:val="hr-HR"/>
              </w:rPr>
              <w:t>et</w:t>
            </w:r>
            <w:r w:rsidRPr="00F1132C">
              <w:rPr>
                <w:rFonts w:ascii="Cambria" w:eastAsia="Times New Roman" w:hAnsi="Cambria"/>
                <w:spacing w:val="1"/>
                <w:lang w:val="hr-HR"/>
              </w:rPr>
              <w:t>r</w:t>
            </w:r>
            <w:r w:rsidRPr="00F1132C">
              <w:rPr>
                <w:rFonts w:ascii="Cambria" w:eastAsia="Times New Roman" w:hAnsi="Cambria"/>
                <w:lang w:val="hr-HR"/>
              </w:rPr>
              <w:t>i</w:t>
            </w:r>
            <w:r w:rsidRPr="00F1132C">
              <w:rPr>
                <w:rFonts w:ascii="Cambria" w:eastAsia="Times New Roman" w:hAnsi="Cambria"/>
                <w:spacing w:val="-1"/>
                <w:lang w:val="hr-HR"/>
              </w:rPr>
              <w:t>n</w:t>
            </w:r>
            <w:r w:rsidRPr="00F1132C">
              <w:rPr>
                <w:rFonts w:ascii="Cambria" w:eastAsia="Times New Roman" w:hAnsi="Cambria"/>
                <w:spacing w:val="2"/>
                <w:lang w:val="hr-HR"/>
              </w:rPr>
              <w:t>j</w:t>
            </w:r>
            <w:r w:rsidRPr="00F1132C">
              <w:rPr>
                <w:rFonts w:ascii="Cambria" w:eastAsia="Times New Roman" w:hAnsi="Cambria"/>
                <w:lang w:val="hr-HR"/>
              </w:rPr>
              <w:t>a:</w:t>
            </w:r>
            <w:r w:rsidRPr="00F1132C">
              <w:rPr>
                <w:rFonts w:ascii="Cambria" w:eastAsia="Times New Roman" w:hAnsi="Cambria"/>
                <w:spacing w:val="-7"/>
                <w:lang w:val="hr-HR"/>
              </w:rPr>
              <w:t xml:space="preserve"> </w:t>
            </w:r>
            <w:r w:rsidRPr="00F1132C">
              <w:rPr>
                <w:rFonts w:ascii="Cambria" w:eastAsia="Times New Roman" w:hAnsi="Cambria"/>
                <w:lang w:val="hr-HR"/>
              </w:rPr>
              <w:t>Vi</w:t>
            </w:r>
            <w:r w:rsidRPr="00F1132C">
              <w:rPr>
                <w:rFonts w:ascii="Cambria" w:eastAsia="Times New Roman" w:hAnsi="Cambria"/>
                <w:spacing w:val="-1"/>
                <w:lang w:val="hr-HR"/>
              </w:rPr>
              <w:t>s</w:t>
            </w:r>
            <w:r w:rsidRPr="00F1132C">
              <w:rPr>
                <w:rFonts w:ascii="Cambria" w:eastAsia="Times New Roman" w:hAnsi="Cambria"/>
                <w:spacing w:val="1"/>
                <w:lang w:val="hr-HR"/>
              </w:rPr>
              <w:t>o</w:t>
            </w:r>
            <w:r w:rsidRPr="00F1132C">
              <w:rPr>
                <w:rFonts w:ascii="Cambria" w:eastAsia="Times New Roman" w:hAnsi="Cambria"/>
                <w:spacing w:val="-1"/>
                <w:lang w:val="hr-HR"/>
              </w:rPr>
              <w:t>k</w:t>
            </w:r>
            <w:r w:rsidRPr="00F1132C">
              <w:rPr>
                <w:rFonts w:ascii="Cambria" w:eastAsia="Times New Roman" w:hAnsi="Cambria"/>
                <w:lang w:val="hr-HR"/>
              </w:rPr>
              <w:t>a</w:t>
            </w:r>
            <w:r w:rsidRPr="00F1132C">
              <w:rPr>
                <w:rFonts w:ascii="Cambria" w:eastAsia="Times New Roman" w:hAnsi="Cambria"/>
                <w:spacing w:val="-3"/>
                <w:lang w:val="hr-HR"/>
              </w:rPr>
              <w:t xml:space="preserve"> </w:t>
            </w:r>
            <w:r w:rsidRPr="00F1132C">
              <w:rPr>
                <w:rFonts w:ascii="Cambria" w:eastAsia="Times New Roman" w:hAnsi="Cambria"/>
                <w:spacing w:val="-1"/>
                <w:lang w:val="hr-HR"/>
              </w:rPr>
              <w:t>učiteljska</w:t>
            </w:r>
            <w:r w:rsidRPr="00F1132C">
              <w:rPr>
                <w:rFonts w:ascii="Cambria" w:eastAsia="Times New Roman" w:hAnsi="Cambria"/>
                <w:spacing w:val="-16"/>
                <w:lang w:val="hr-HR"/>
              </w:rPr>
              <w:t xml:space="preserve"> </w:t>
            </w:r>
            <w:r w:rsidRPr="00F1132C">
              <w:rPr>
                <w:rFonts w:ascii="Cambria" w:eastAsia="Times New Roman" w:hAnsi="Cambria"/>
                <w:spacing w:val="-1"/>
                <w:lang w:val="hr-HR"/>
              </w:rPr>
              <w:t>šk</w:t>
            </w:r>
            <w:r w:rsidRPr="00F1132C">
              <w:rPr>
                <w:rFonts w:ascii="Cambria" w:eastAsia="Times New Roman" w:hAnsi="Cambria"/>
                <w:spacing w:val="1"/>
                <w:lang w:val="hr-HR"/>
              </w:rPr>
              <w:t>o</w:t>
            </w:r>
            <w:r w:rsidRPr="00F1132C">
              <w:rPr>
                <w:rFonts w:ascii="Cambria" w:eastAsia="Times New Roman" w:hAnsi="Cambria"/>
                <w:lang w:val="hr-HR"/>
              </w:rPr>
              <w:t>la.</w:t>
            </w:r>
          </w:p>
          <w:p w14:paraId="6CFDB8F6" w14:textId="7C5662C6" w:rsidR="00FD3975" w:rsidRPr="00F1132C" w:rsidRDefault="00FD3975" w:rsidP="00FD3975">
            <w:pPr>
              <w:spacing w:before="18" w:after="0" w:line="240" w:lineRule="auto"/>
              <w:ind w:right="-20"/>
              <w:rPr>
                <w:rFonts w:ascii="Cambria" w:eastAsia="Times New Roman" w:hAnsi="Cambria"/>
                <w:lang w:val="hr-HR"/>
              </w:rPr>
            </w:pPr>
            <w:r w:rsidRPr="00F1132C">
              <w:rPr>
                <w:rFonts w:ascii="Cambria" w:eastAsia="Times New Roman" w:hAnsi="Cambria"/>
                <w:lang w:val="hr-HR"/>
              </w:rPr>
              <w:t>3.</w:t>
            </w:r>
            <w:r w:rsidRPr="00F1132C">
              <w:rPr>
                <w:rFonts w:ascii="Cambria" w:hAnsi="Cambria"/>
                <w:lang w:val="hr-HR"/>
              </w:rPr>
              <w:t xml:space="preserve"> Rosandić, D. ( 1986.): Metodika književnog odgoja i obrazovanja, Zagreb: Školska knjiga.</w:t>
            </w:r>
          </w:p>
          <w:p w14:paraId="5CADB68B" w14:textId="5489499D" w:rsidR="00FD3975" w:rsidRPr="00F1132C" w:rsidRDefault="00FD3975" w:rsidP="00FA0E3D">
            <w:pPr>
              <w:spacing w:after="0" w:line="240" w:lineRule="auto"/>
              <w:jc w:val="both"/>
              <w:rPr>
                <w:rFonts w:ascii="Cambria" w:hAnsi="Cambria" w:cs="Times New Roman"/>
                <w:lang w:val="hr-HR"/>
              </w:rPr>
            </w:pPr>
            <w:r w:rsidRPr="00F1132C">
              <w:rPr>
                <w:rFonts w:ascii="Cambria" w:hAnsi="Cambria"/>
                <w:lang w:val="hr-HR"/>
              </w:rPr>
              <w:t xml:space="preserve"> 4.</w:t>
            </w:r>
            <w:r w:rsidRPr="00F1132C">
              <w:rPr>
                <w:rFonts w:ascii="Cambria" w:hAnsi="Cambria" w:cs="Times New Roman"/>
                <w:lang w:val="hr-HR"/>
              </w:rPr>
              <w:t xml:space="preserve"> Rosandić, D. (2005.) Metodika književnog odgoja-temeljci </w:t>
            </w:r>
            <w:proofErr w:type="spellStart"/>
            <w:r w:rsidRPr="00F1132C">
              <w:rPr>
                <w:rFonts w:ascii="Cambria" w:hAnsi="Cambria" w:cs="Times New Roman"/>
                <w:lang w:val="hr-HR"/>
              </w:rPr>
              <w:t>metodičkoknjiževne</w:t>
            </w:r>
            <w:proofErr w:type="spellEnd"/>
            <w:r w:rsidRPr="00F1132C">
              <w:rPr>
                <w:rFonts w:ascii="Cambria" w:hAnsi="Cambria" w:cs="Times New Roman"/>
                <w:lang w:val="hr-HR"/>
              </w:rPr>
              <w:t xml:space="preserve"> enciklopedije, Školska knjiga, Zagreb.</w:t>
            </w:r>
          </w:p>
          <w:p w14:paraId="05A1EA17" w14:textId="099216C5" w:rsidR="00FD3975" w:rsidRPr="00F1132C" w:rsidRDefault="00FD3975" w:rsidP="00FD3975">
            <w:pPr>
              <w:spacing w:after="0" w:line="240" w:lineRule="auto"/>
              <w:jc w:val="both"/>
              <w:rPr>
                <w:rFonts w:ascii="Cambria" w:hAnsi="Cambria" w:cs="Times New Roman"/>
                <w:lang w:val="it-IT"/>
              </w:rPr>
            </w:pPr>
            <w:r w:rsidRPr="00F1132C">
              <w:rPr>
                <w:rFonts w:ascii="Cambria" w:hAnsi="Cambria" w:cs="Times New Roman"/>
                <w:lang w:val="it-IT"/>
              </w:rPr>
              <w:t xml:space="preserve">5. </w:t>
            </w:r>
            <w:proofErr w:type="spellStart"/>
            <w:r w:rsidRPr="00F1132C">
              <w:rPr>
                <w:rFonts w:ascii="Cambria" w:hAnsi="Cambria" w:cs="Times New Roman"/>
                <w:lang w:val="it-IT"/>
              </w:rPr>
              <w:t>Gabelica</w:t>
            </w:r>
            <w:proofErr w:type="spellEnd"/>
            <w:r w:rsidRPr="00F1132C">
              <w:rPr>
                <w:rFonts w:ascii="Cambria" w:hAnsi="Cambria" w:cs="Times New Roman"/>
                <w:lang w:val="it-IT"/>
              </w:rPr>
              <w:t xml:space="preserve">, M. i </w:t>
            </w:r>
            <w:proofErr w:type="spellStart"/>
            <w:r w:rsidRPr="00F1132C">
              <w:rPr>
                <w:rFonts w:ascii="Cambria" w:hAnsi="Cambria" w:cs="Times New Roman"/>
                <w:lang w:val="it-IT"/>
              </w:rPr>
              <w:t>Težak</w:t>
            </w:r>
            <w:proofErr w:type="spellEnd"/>
            <w:r w:rsidRPr="00F1132C">
              <w:rPr>
                <w:rFonts w:ascii="Cambria" w:hAnsi="Cambria" w:cs="Times New Roman"/>
                <w:lang w:val="it-IT"/>
              </w:rPr>
              <w:t xml:space="preserve">, D. (2019.), </w:t>
            </w:r>
            <w:proofErr w:type="spellStart"/>
            <w:r w:rsidRPr="00F1132C">
              <w:rPr>
                <w:rFonts w:ascii="Cambria" w:hAnsi="Cambria" w:cs="Times New Roman"/>
                <w:lang w:val="it-IT"/>
              </w:rPr>
              <w:t>Kreativni</w:t>
            </w:r>
            <w:proofErr w:type="spellEnd"/>
            <w:r w:rsidRPr="00F1132C">
              <w:rPr>
                <w:rFonts w:ascii="Cambria" w:hAnsi="Cambria" w:cs="Times New Roman"/>
                <w:lang w:val="it-IT"/>
              </w:rPr>
              <w:t xml:space="preserve"> </w:t>
            </w:r>
            <w:proofErr w:type="spellStart"/>
            <w:r w:rsidRPr="00F1132C">
              <w:rPr>
                <w:rFonts w:ascii="Cambria" w:hAnsi="Cambria" w:cs="Times New Roman"/>
                <w:lang w:val="it-IT"/>
              </w:rPr>
              <w:t>pristup</w:t>
            </w:r>
            <w:proofErr w:type="spellEnd"/>
            <w:r w:rsidRPr="00F1132C">
              <w:rPr>
                <w:rFonts w:ascii="Cambria" w:hAnsi="Cambria" w:cs="Times New Roman"/>
                <w:lang w:val="it-IT"/>
              </w:rPr>
              <w:t xml:space="preserve"> </w:t>
            </w:r>
            <w:proofErr w:type="spellStart"/>
            <w:r w:rsidRPr="00F1132C">
              <w:rPr>
                <w:rFonts w:ascii="Cambria" w:hAnsi="Cambria" w:cs="Times New Roman"/>
                <w:lang w:val="it-IT"/>
              </w:rPr>
              <w:t>lektiri</w:t>
            </w:r>
            <w:proofErr w:type="spellEnd"/>
            <w:r w:rsidRPr="00F1132C">
              <w:rPr>
                <w:rFonts w:ascii="Cambria" w:hAnsi="Cambria" w:cs="Times New Roman"/>
                <w:lang w:val="it-IT"/>
              </w:rPr>
              <w:t xml:space="preserve">, </w:t>
            </w:r>
            <w:proofErr w:type="spellStart"/>
            <w:r w:rsidRPr="00F1132C">
              <w:rPr>
                <w:rFonts w:ascii="Cambria" w:hAnsi="Cambria" w:cs="Times New Roman"/>
                <w:lang w:val="it-IT"/>
              </w:rPr>
              <w:t>Naklada</w:t>
            </w:r>
            <w:proofErr w:type="spellEnd"/>
            <w:r w:rsidRPr="00F1132C">
              <w:rPr>
                <w:rFonts w:ascii="Cambria" w:hAnsi="Cambria" w:cs="Times New Roman"/>
                <w:lang w:val="it-IT"/>
              </w:rPr>
              <w:t xml:space="preserve"> </w:t>
            </w:r>
            <w:proofErr w:type="spellStart"/>
            <w:r w:rsidRPr="00F1132C">
              <w:rPr>
                <w:rFonts w:ascii="Cambria" w:hAnsi="Cambria" w:cs="Times New Roman"/>
                <w:lang w:val="it-IT"/>
              </w:rPr>
              <w:t>Ljevak</w:t>
            </w:r>
            <w:proofErr w:type="spellEnd"/>
            <w:r w:rsidRPr="00F1132C">
              <w:rPr>
                <w:rFonts w:ascii="Cambria" w:hAnsi="Cambria" w:cs="Times New Roman"/>
                <w:lang w:val="it-IT"/>
              </w:rPr>
              <w:t xml:space="preserve">, </w:t>
            </w:r>
            <w:proofErr w:type="spellStart"/>
            <w:r w:rsidRPr="00F1132C">
              <w:rPr>
                <w:rFonts w:ascii="Cambria" w:hAnsi="Cambria" w:cs="Times New Roman"/>
                <w:lang w:val="it-IT"/>
              </w:rPr>
              <w:t>Zagreb</w:t>
            </w:r>
            <w:proofErr w:type="spellEnd"/>
            <w:r w:rsidRPr="00F1132C">
              <w:rPr>
                <w:rFonts w:ascii="Cambria" w:hAnsi="Cambria" w:cs="Times New Roman"/>
                <w:lang w:val="it-IT"/>
              </w:rPr>
              <w:t>.</w:t>
            </w:r>
          </w:p>
          <w:p w14:paraId="2F9E38B1" w14:textId="77777777" w:rsidR="00FD3975" w:rsidRPr="00F1132C" w:rsidRDefault="00FD3975" w:rsidP="00FD3975">
            <w:pPr>
              <w:spacing w:before="18" w:after="0" w:line="240" w:lineRule="auto"/>
              <w:ind w:right="-20"/>
              <w:rPr>
                <w:rFonts w:ascii="Cambria" w:eastAsia="Times New Roman" w:hAnsi="Cambria"/>
                <w:lang w:val="it-IT"/>
              </w:rPr>
            </w:pPr>
            <w:proofErr w:type="spellStart"/>
            <w:r w:rsidRPr="00F1132C">
              <w:rPr>
                <w:rFonts w:ascii="Cambria" w:eastAsia="Times New Roman" w:hAnsi="Cambria"/>
                <w:lang w:val="it-IT"/>
              </w:rPr>
              <w:t>Izborna</w:t>
            </w:r>
            <w:proofErr w:type="spellEnd"/>
            <w:r w:rsidRPr="00F1132C">
              <w:rPr>
                <w:rFonts w:ascii="Cambria" w:eastAsia="Times New Roman" w:hAnsi="Cambria"/>
                <w:lang w:val="it-IT"/>
              </w:rPr>
              <w:t>:</w:t>
            </w:r>
          </w:p>
          <w:p w14:paraId="63F1AAF3" w14:textId="77777777" w:rsidR="00FD3975" w:rsidRPr="00F1132C" w:rsidRDefault="00FD3975" w:rsidP="00FA0E3D">
            <w:pPr>
              <w:spacing w:before="18" w:after="0" w:line="240" w:lineRule="auto"/>
              <w:ind w:right="-20"/>
              <w:rPr>
                <w:rFonts w:ascii="Cambria" w:eastAsia="Times New Roman" w:hAnsi="Cambria"/>
                <w:lang w:val="it-IT"/>
              </w:rPr>
            </w:pPr>
            <w:r w:rsidRPr="00F1132C">
              <w:rPr>
                <w:rFonts w:ascii="Cambria" w:eastAsia="Times New Roman" w:hAnsi="Cambria"/>
                <w:spacing w:val="2"/>
                <w:lang w:val="it-IT"/>
              </w:rPr>
              <w:t xml:space="preserve">1. </w:t>
            </w:r>
            <w:proofErr w:type="spellStart"/>
            <w:r w:rsidRPr="00F1132C">
              <w:rPr>
                <w:rFonts w:ascii="Cambria" w:eastAsia="Times New Roman" w:hAnsi="Cambria"/>
                <w:spacing w:val="2"/>
                <w:lang w:val="it-IT"/>
              </w:rPr>
              <w:t>J</w:t>
            </w:r>
            <w:r w:rsidRPr="00F1132C">
              <w:rPr>
                <w:rFonts w:ascii="Cambria" w:eastAsia="Times New Roman" w:hAnsi="Cambria"/>
                <w:lang w:val="it-IT"/>
              </w:rPr>
              <w:t>a</w:t>
            </w:r>
            <w:r w:rsidRPr="00F1132C">
              <w:rPr>
                <w:rFonts w:ascii="Cambria" w:eastAsia="Times New Roman" w:hAnsi="Cambria"/>
                <w:spacing w:val="-1"/>
                <w:lang w:val="it-IT"/>
              </w:rPr>
              <w:t>v</w:t>
            </w:r>
            <w:r w:rsidRPr="00F1132C">
              <w:rPr>
                <w:rFonts w:ascii="Cambria" w:eastAsia="Times New Roman" w:hAnsi="Cambria"/>
                <w:spacing w:val="1"/>
                <w:lang w:val="it-IT"/>
              </w:rPr>
              <w:t>or</w:t>
            </w:r>
            <w:proofErr w:type="spellEnd"/>
            <w:r w:rsidRPr="00F1132C">
              <w:rPr>
                <w:rFonts w:ascii="Cambria" w:eastAsia="Times New Roman" w:hAnsi="Cambria"/>
                <w:lang w:val="it-IT"/>
              </w:rPr>
              <w:t>,</w:t>
            </w:r>
            <w:r w:rsidRPr="00F1132C">
              <w:rPr>
                <w:rFonts w:ascii="Cambria" w:eastAsia="Times New Roman" w:hAnsi="Cambria"/>
                <w:spacing w:val="20"/>
                <w:lang w:val="it-IT"/>
              </w:rPr>
              <w:t xml:space="preserve"> </w:t>
            </w:r>
            <w:r w:rsidRPr="00F1132C">
              <w:rPr>
                <w:rFonts w:ascii="Cambria" w:eastAsia="Times New Roman" w:hAnsi="Cambria"/>
                <w:spacing w:val="-1"/>
                <w:lang w:val="it-IT"/>
              </w:rPr>
              <w:t>R</w:t>
            </w:r>
            <w:r w:rsidRPr="00F1132C">
              <w:rPr>
                <w:rFonts w:ascii="Cambria" w:eastAsia="Times New Roman" w:hAnsi="Cambria"/>
                <w:lang w:val="it-IT"/>
              </w:rPr>
              <w:t>.</w:t>
            </w:r>
            <w:r w:rsidRPr="00F1132C">
              <w:rPr>
                <w:rFonts w:ascii="Cambria" w:eastAsia="Times New Roman" w:hAnsi="Cambria"/>
                <w:spacing w:val="25"/>
                <w:lang w:val="it-IT"/>
              </w:rPr>
              <w:t xml:space="preserve"> </w:t>
            </w:r>
            <w:r w:rsidRPr="00F1132C">
              <w:rPr>
                <w:rFonts w:ascii="Cambria" w:eastAsia="Times New Roman" w:hAnsi="Cambria"/>
                <w:spacing w:val="1"/>
                <w:lang w:val="it-IT"/>
              </w:rPr>
              <w:t>(</w:t>
            </w:r>
            <w:proofErr w:type="spellStart"/>
            <w:r w:rsidRPr="00F1132C">
              <w:rPr>
                <w:rFonts w:ascii="Cambria" w:eastAsia="Times New Roman" w:hAnsi="Cambria"/>
                <w:spacing w:val="-1"/>
                <w:lang w:val="it-IT"/>
              </w:rPr>
              <w:t>u</w:t>
            </w:r>
            <w:r w:rsidRPr="00F1132C">
              <w:rPr>
                <w:rFonts w:ascii="Cambria" w:eastAsia="Times New Roman" w:hAnsi="Cambria"/>
                <w:spacing w:val="1"/>
                <w:lang w:val="it-IT"/>
              </w:rPr>
              <w:t>r</w:t>
            </w:r>
            <w:proofErr w:type="spellEnd"/>
            <w:r w:rsidRPr="00F1132C">
              <w:rPr>
                <w:rFonts w:ascii="Cambria" w:eastAsia="Times New Roman" w:hAnsi="Cambria"/>
                <w:spacing w:val="1"/>
                <w:lang w:val="it-IT"/>
              </w:rPr>
              <w:t>.)</w:t>
            </w:r>
            <w:r w:rsidRPr="00F1132C">
              <w:rPr>
                <w:rFonts w:ascii="Cambria" w:eastAsia="Times New Roman" w:hAnsi="Cambria"/>
                <w:lang w:val="it-IT"/>
              </w:rPr>
              <w:t>,</w:t>
            </w:r>
            <w:r w:rsidRPr="00F1132C">
              <w:rPr>
                <w:rFonts w:ascii="Cambria" w:eastAsia="Times New Roman" w:hAnsi="Cambria"/>
                <w:spacing w:val="23"/>
                <w:lang w:val="it-IT"/>
              </w:rPr>
              <w:t xml:space="preserve"> </w:t>
            </w:r>
            <w:proofErr w:type="spellStart"/>
            <w:r w:rsidRPr="00F1132C">
              <w:rPr>
                <w:rFonts w:ascii="Cambria" w:eastAsia="Times New Roman" w:hAnsi="Cambria"/>
                <w:lang w:val="it-IT"/>
              </w:rPr>
              <w:t>Ka</w:t>
            </w:r>
            <w:r w:rsidRPr="00F1132C">
              <w:rPr>
                <w:rFonts w:ascii="Cambria" w:eastAsia="Times New Roman" w:hAnsi="Cambria"/>
                <w:spacing w:val="-1"/>
                <w:lang w:val="it-IT"/>
              </w:rPr>
              <w:t>k</w:t>
            </w:r>
            <w:r w:rsidRPr="00F1132C">
              <w:rPr>
                <w:rFonts w:ascii="Cambria" w:eastAsia="Times New Roman" w:hAnsi="Cambria"/>
                <w:lang w:val="it-IT"/>
              </w:rPr>
              <w:t>o</w:t>
            </w:r>
            <w:proofErr w:type="spellEnd"/>
            <w:r w:rsidRPr="00F1132C">
              <w:rPr>
                <w:rFonts w:ascii="Cambria" w:eastAsia="Times New Roman" w:hAnsi="Cambria"/>
                <w:spacing w:val="24"/>
                <w:lang w:val="it-IT"/>
              </w:rPr>
              <w:t xml:space="preserve"> </w:t>
            </w:r>
            <w:proofErr w:type="spellStart"/>
            <w:r w:rsidRPr="00F1132C">
              <w:rPr>
                <w:rFonts w:ascii="Cambria" w:eastAsia="Times New Roman" w:hAnsi="Cambria"/>
                <w:spacing w:val="1"/>
                <w:lang w:val="it-IT"/>
              </w:rPr>
              <w:t>r</w:t>
            </w:r>
            <w:r w:rsidRPr="00F1132C">
              <w:rPr>
                <w:rFonts w:ascii="Cambria" w:eastAsia="Times New Roman" w:hAnsi="Cambria"/>
                <w:lang w:val="it-IT"/>
              </w:rPr>
              <w:t>az</w:t>
            </w:r>
            <w:r w:rsidRPr="00F1132C">
              <w:rPr>
                <w:rFonts w:ascii="Cambria" w:eastAsia="Times New Roman" w:hAnsi="Cambria"/>
                <w:spacing w:val="-1"/>
                <w:lang w:val="it-IT"/>
              </w:rPr>
              <w:t>v</w:t>
            </w:r>
            <w:r w:rsidRPr="00F1132C">
              <w:rPr>
                <w:rFonts w:ascii="Cambria" w:eastAsia="Times New Roman" w:hAnsi="Cambria"/>
                <w:lang w:val="it-IT"/>
              </w:rPr>
              <w:t>i</w:t>
            </w:r>
            <w:r w:rsidRPr="00F1132C">
              <w:rPr>
                <w:rFonts w:ascii="Cambria" w:eastAsia="Times New Roman" w:hAnsi="Cambria"/>
                <w:spacing w:val="2"/>
                <w:lang w:val="it-IT"/>
              </w:rPr>
              <w:t>j</w:t>
            </w:r>
            <w:r w:rsidRPr="00F1132C">
              <w:rPr>
                <w:rFonts w:ascii="Cambria" w:eastAsia="Times New Roman" w:hAnsi="Cambria"/>
                <w:lang w:val="it-IT"/>
              </w:rPr>
              <w:t>ati</w:t>
            </w:r>
            <w:proofErr w:type="spellEnd"/>
            <w:r w:rsidRPr="00F1132C">
              <w:rPr>
                <w:rFonts w:ascii="Cambria" w:eastAsia="Times New Roman" w:hAnsi="Cambria"/>
                <w:spacing w:val="20"/>
                <w:lang w:val="it-IT"/>
              </w:rPr>
              <w:t xml:space="preserve"> </w:t>
            </w:r>
            <w:proofErr w:type="spellStart"/>
            <w:r w:rsidRPr="00F1132C">
              <w:rPr>
                <w:rFonts w:ascii="Cambria" w:eastAsia="Times New Roman" w:hAnsi="Cambria"/>
                <w:spacing w:val="1"/>
                <w:lang w:val="it-IT"/>
              </w:rPr>
              <w:t>k</w:t>
            </w:r>
            <w:r w:rsidRPr="00F1132C">
              <w:rPr>
                <w:rFonts w:ascii="Cambria" w:eastAsia="Times New Roman" w:hAnsi="Cambria"/>
                <w:spacing w:val="-1"/>
                <w:lang w:val="it-IT"/>
              </w:rPr>
              <w:t>u</w:t>
            </w:r>
            <w:r w:rsidRPr="00F1132C">
              <w:rPr>
                <w:rFonts w:ascii="Cambria" w:eastAsia="Times New Roman" w:hAnsi="Cambria"/>
                <w:lang w:val="it-IT"/>
              </w:rPr>
              <w:t>l</w:t>
            </w:r>
            <w:r w:rsidRPr="00F1132C">
              <w:rPr>
                <w:rFonts w:ascii="Cambria" w:eastAsia="Times New Roman" w:hAnsi="Cambria"/>
                <w:spacing w:val="2"/>
                <w:lang w:val="it-IT"/>
              </w:rPr>
              <w:t>t</w:t>
            </w:r>
            <w:r w:rsidRPr="00F1132C">
              <w:rPr>
                <w:rFonts w:ascii="Cambria" w:eastAsia="Times New Roman" w:hAnsi="Cambria"/>
                <w:spacing w:val="-1"/>
                <w:lang w:val="it-IT"/>
              </w:rPr>
              <w:t>u</w:t>
            </w:r>
            <w:r w:rsidRPr="00F1132C">
              <w:rPr>
                <w:rFonts w:ascii="Cambria" w:eastAsia="Times New Roman" w:hAnsi="Cambria"/>
                <w:spacing w:val="1"/>
                <w:lang w:val="it-IT"/>
              </w:rPr>
              <w:t>r</w:t>
            </w:r>
            <w:r w:rsidRPr="00F1132C">
              <w:rPr>
                <w:rFonts w:ascii="Cambria" w:eastAsia="Times New Roman" w:hAnsi="Cambria"/>
                <w:lang w:val="it-IT"/>
              </w:rPr>
              <w:t>u</w:t>
            </w:r>
            <w:proofErr w:type="spellEnd"/>
            <w:r w:rsidRPr="00F1132C">
              <w:rPr>
                <w:rFonts w:ascii="Cambria" w:eastAsia="Times New Roman" w:hAnsi="Cambria"/>
                <w:spacing w:val="20"/>
                <w:lang w:val="it-IT"/>
              </w:rPr>
              <w:t xml:space="preserve"> </w:t>
            </w:r>
            <w:proofErr w:type="spellStart"/>
            <w:r w:rsidRPr="00F1132C">
              <w:rPr>
                <w:rFonts w:ascii="Cambria" w:eastAsia="Arial" w:hAnsi="Cambria"/>
                <w:lang w:val="it-IT"/>
              </w:rPr>
              <w:t>čitanja</w:t>
            </w:r>
            <w:proofErr w:type="spellEnd"/>
            <w:r w:rsidRPr="00F1132C">
              <w:rPr>
                <w:rFonts w:ascii="Cambria" w:eastAsia="Times New Roman" w:hAnsi="Cambria"/>
                <w:lang w:val="it-IT"/>
              </w:rPr>
              <w:t>.</w:t>
            </w:r>
            <w:r w:rsidRPr="00F1132C">
              <w:rPr>
                <w:rFonts w:ascii="Cambria" w:eastAsia="Times New Roman" w:hAnsi="Cambria"/>
                <w:spacing w:val="10"/>
                <w:lang w:val="it-IT"/>
              </w:rPr>
              <w:t xml:space="preserve"> </w:t>
            </w:r>
            <w:proofErr w:type="spellStart"/>
            <w:r w:rsidRPr="00F1132C">
              <w:rPr>
                <w:rFonts w:ascii="Cambria" w:eastAsia="Times New Roman" w:hAnsi="Cambria"/>
                <w:spacing w:val="-2"/>
                <w:lang w:val="it-IT"/>
              </w:rPr>
              <w:t>Z</w:t>
            </w:r>
            <w:r w:rsidRPr="00F1132C">
              <w:rPr>
                <w:rFonts w:ascii="Cambria" w:eastAsia="Times New Roman" w:hAnsi="Cambria"/>
                <w:lang w:val="it-IT"/>
              </w:rPr>
              <w:t>a</w:t>
            </w:r>
            <w:r w:rsidRPr="00F1132C">
              <w:rPr>
                <w:rFonts w:ascii="Cambria" w:eastAsia="Times New Roman" w:hAnsi="Cambria"/>
                <w:spacing w:val="-1"/>
                <w:lang w:val="it-IT"/>
              </w:rPr>
              <w:t>g</w:t>
            </w:r>
            <w:r w:rsidRPr="00F1132C">
              <w:rPr>
                <w:rFonts w:ascii="Cambria" w:eastAsia="Times New Roman" w:hAnsi="Cambria"/>
                <w:spacing w:val="1"/>
                <w:lang w:val="it-IT"/>
              </w:rPr>
              <w:t>r</w:t>
            </w:r>
            <w:r w:rsidRPr="00F1132C">
              <w:rPr>
                <w:rFonts w:ascii="Cambria" w:eastAsia="Times New Roman" w:hAnsi="Cambria"/>
                <w:lang w:val="it-IT"/>
              </w:rPr>
              <w:t>e</w:t>
            </w:r>
            <w:r w:rsidRPr="00F1132C">
              <w:rPr>
                <w:rFonts w:ascii="Cambria" w:eastAsia="Times New Roman" w:hAnsi="Cambria"/>
                <w:spacing w:val="4"/>
                <w:lang w:val="it-IT"/>
              </w:rPr>
              <w:t>b</w:t>
            </w:r>
            <w:proofErr w:type="spellEnd"/>
            <w:r w:rsidRPr="00F1132C">
              <w:rPr>
                <w:rFonts w:ascii="Cambria" w:eastAsia="Times New Roman" w:hAnsi="Cambria"/>
                <w:lang w:val="it-IT"/>
              </w:rPr>
              <w:t xml:space="preserve">: </w:t>
            </w:r>
            <w:proofErr w:type="spellStart"/>
            <w:r w:rsidRPr="00F1132C">
              <w:rPr>
                <w:rFonts w:ascii="Cambria" w:eastAsia="Times New Roman" w:hAnsi="Cambria"/>
                <w:lang w:val="it-IT"/>
              </w:rPr>
              <w:t>K</w:t>
            </w:r>
            <w:r w:rsidRPr="00F1132C">
              <w:rPr>
                <w:rFonts w:ascii="Cambria" w:eastAsia="Times New Roman" w:hAnsi="Cambria"/>
                <w:spacing w:val="-1"/>
                <w:lang w:val="it-IT"/>
              </w:rPr>
              <w:t>n</w:t>
            </w:r>
            <w:r w:rsidRPr="00F1132C">
              <w:rPr>
                <w:rFonts w:ascii="Cambria" w:eastAsia="Times New Roman" w:hAnsi="Cambria"/>
                <w:spacing w:val="2"/>
                <w:lang w:val="it-IT"/>
              </w:rPr>
              <w:t>j</w:t>
            </w:r>
            <w:r w:rsidRPr="00F1132C">
              <w:rPr>
                <w:rFonts w:ascii="Cambria" w:eastAsia="Times New Roman" w:hAnsi="Cambria"/>
                <w:lang w:val="it-IT"/>
              </w:rPr>
              <w:t>iž</w:t>
            </w:r>
            <w:r w:rsidRPr="00F1132C">
              <w:rPr>
                <w:rFonts w:ascii="Cambria" w:eastAsia="Times New Roman" w:hAnsi="Cambria"/>
                <w:spacing w:val="-1"/>
                <w:lang w:val="it-IT"/>
              </w:rPr>
              <w:t>n</w:t>
            </w:r>
            <w:r w:rsidRPr="00F1132C">
              <w:rPr>
                <w:rFonts w:ascii="Cambria" w:eastAsia="Times New Roman" w:hAnsi="Cambria"/>
                <w:lang w:val="it-IT"/>
              </w:rPr>
              <w:t>ice</w:t>
            </w:r>
            <w:proofErr w:type="spellEnd"/>
            <w:r w:rsidRPr="00F1132C">
              <w:rPr>
                <w:rFonts w:ascii="Cambria" w:eastAsia="Times New Roman" w:hAnsi="Cambria"/>
                <w:spacing w:val="-7"/>
                <w:lang w:val="it-IT"/>
              </w:rPr>
              <w:t xml:space="preserve"> </w:t>
            </w:r>
            <w:r w:rsidRPr="00F1132C">
              <w:rPr>
                <w:rFonts w:ascii="Cambria" w:eastAsia="Times New Roman" w:hAnsi="Cambria"/>
                <w:lang w:val="it-IT"/>
              </w:rPr>
              <w:t>G</w:t>
            </w:r>
            <w:r w:rsidRPr="00F1132C">
              <w:rPr>
                <w:rFonts w:ascii="Cambria" w:eastAsia="Times New Roman" w:hAnsi="Cambria"/>
                <w:spacing w:val="1"/>
                <w:lang w:val="it-IT"/>
              </w:rPr>
              <w:t>r</w:t>
            </w:r>
            <w:r w:rsidRPr="00F1132C">
              <w:rPr>
                <w:rFonts w:ascii="Cambria" w:eastAsia="Times New Roman" w:hAnsi="Cambria"/>
                <w:lang w:val="it-IT"/>
              </w:rPr>
              <w:t>a</w:t>
            </w:r>
            <w:r w:rsidRPr="00F1132C">
              <w:rPr>
                <w:rFonts w:ascii="Cambria" w:eastAsia="Times New Roman" w:hAnsi="Cambria"/>
                <w:spacing w:val="1"/>
                <w:lang w:val="it-IT"/>
              </w:rPr>
              <w:t>d</w:t>
            </w:r>
            <w:r w:rsidRPr="00F1132C">
              <w:rPr>
                <w:rFonts w:ascii="Cambria" w:eastAsia="Times New Roman" w:hAnsi="Cambria"/>
                <w:lang w:val="it-IT"/>
              </w:rPr>
              <w:t>a</w:t>
            </w:r>
            <w:r w:rsidRPr="00F1132C">
              <w:rPr>
                <w:rFonts w:ascii="Cambria" w:eastAsia="Times New Roman" w:hAnsi="Cambria"/>
                <w:spacing w:val="-4"/>
                <w:lang w:val="it-IT"/>
              </w:rPr>
              <w:t xml:space="preserve"> </w:t>
            </w:r>
            <w:proofErr w:type="spellStart"/>
            <w:r w:rsidRPr="00F1132C">
              <w:rPr>
                <w:rFonts w:ascii="Cambria" w:eastAsia="Times New Roman" w:hAnsi="Cambria"/>
                <w:spacing w:val="-2"/>
                <w:lang w:val="it-IT"/>
              </w:rPr>
              <w:t>Z</w:t>
            </w:r>
            <w:r w:rsidRPr="00F1132C">
              <w:rPr>
                <w:rFonts w:ascii="Cambria" w:eastAsia="Times New Roman" w:hAnsi="Cambria"/>
                <w:spacing w:val="3"/>
                <w:lang w:val="it-IT"/>
              </w:rPr>
              <w:t>a</w:t>
            </w:r>
            <w:r w:rsidRPr="00F1132C">
              <w:rPr>
                <w:rFonts w:ascii="Cambria" w:eastAsia="Times New Roman" w:hAnsi="Cambria"/>
                <w:spacing w:val="-1"/>
                <w:lang w:val="it-IT"/>
              </w:rPr>
              <w:t>g</w:t>
            </w:r>
            <w:r w:rsidRPr="00F1132C">
              <w:rPr>
                <w:rFonts w:ascii="Cambria" w:eastAsia="Times New Roman" w:hAnsi="Cambria"/>
                <w:spacing w:val="1"/>
                <w:lang w:val="it-IT"/>
              </w:rPr>
              <w:t>r</w:t>
            </w:r>
            <w:r w:rsidRPr="00F1132C">
              <w:rPr>
                <w:rFonts w:ascii="Cambria" w:eastAsia="Times New Roman" w:hAnsi="Cambria"/>
                <w:lang w:val="it-IT"/>
              </w:rPr>
              <w:t>e</w:t>
            </w:r>
            <w:r w:rsidRPr="00F1132C">
              <w:rPr>
                <w:rFonts w:ascii="Cambria" w:eastAsia="Times New Roman" w:hAnsi="Cambria"/>
                <w:spacing w:val="1"/>
                <w:lang w:val="it-IT"/>
              </w:rPr>
              <w:t>b</w:t>
            </w:r>
            <w:r w:rsidRPr="00F1132C">
              <w:rPr>
                <w:rFonts w:ascii="Cambria" w:eastAsia="Times New Roman" w:hAnsi="Cambria"/>
                <w:lang w:val="it-IT"/>
              </w:rPr>
              <w:t>a</w:t>
            </w:r>
            <w:proofErr w:type="spellEnd"/>
            <w:r w:rsidRPr="00F1132C">
              <w:rPr>
                <w:rFonts w:ascii="Cambria" w:eastAsia="Times New Roman" w:hAnsi="Cambria"/>
                <w:lang w:val="it-IT"/>
              </w:rPr>
              <w:t>,</w:t>
            </w:r>
            <w:r w:rsidRPr="00F1132C">
              <w:rPr>
                <w:rFonts w:ascii="Cambria" w:eastAsia="Times New Roman" w:hAnsi="Cambria"/>
                <w:spacing w:val="-6"/>
                <w:lang w:val="it-IT"/>
              </w:rPr>
              <w:t xml:space="preserve"> </w:t>
            </w:r>
            <w:proofErr w:type="spellStart"/>
            <w:r w:rsidRPr="00F1132C">
              <w:rPr>
                <w:rFonts w:ascii="Cambria" w:eastAsia="Times New Roman" w:hAnsi="Cambria"/>
                <w:lang w:val="it-IT"/>
              </w:rPr>
              <w:t>H</w:t>
            </w:r>
            <w:r w:rsidRPr="00F1132C">
              <w:rPr>
                <w:rFonts w:ascii="Cambria" w:eastAsia="Times New Roman" w:hAnsi="Cambria"/>
                <w:spacing w:val="1"/>
                <w:lang w:val="it-IT"/>
              </w:rPr>
              <w:t>r</w:t>
            </w:r>
            <w:r w:rsidRPr="00F1132C">
              <w:rPr>
                <w:rFonts w:ascii="Cambria" w:eastAsia="Times New Roman" w:hAnsi="Cambria"/>
                <w:spacing w:val="-1"/>
                <w:lang w:val="it-IT"/>
              </w:rPr>
              <w:t>v</w:t>
            </w:r>
            <w:r w:rsidRPr="00F1132C">
              <w:rPr>
                <w:rFonts w:ascii="Cambria" w:eastAsia="Times New Roman" w:hAnsi="Cambria"/>
                <w:lang w:val="it-IT"/>
              </w:rPr>
              <w:t>at</w:t>
            </w:r>
            <w:r w:rsidRPr="00F1132C">
              <w:rPr>
                <w:rFonts w:ascii="Cambria" w:eastAsia="Times New Roman" w:hAnsi="Cambria"/>
                <w:spacing w:val="-1"/>
                <w:lang w:val="it-IT"/>
              </w:rPr>
              <w:t>sk</w:t>
            </w:r>
            <w:r w:rsidRPr="00F1132C">
              <w:rPr>
                <w:rFonts w:ascii="Cambria" w:eastAsia="Times New Roman" w:hAnsi="Cambria"/>
                <w:lang w:val="it-IT"/>
              </w:rPr>
              <w:t>i</w:t>
            </w:r>
            <w:proofErr w:type="spellEnd"/>
            <w:r w:rsidRPr="00F1132C">
              <w:rPr>
                <w:rFonts w:ascii="Cambria" w:eastAsia="Times New Roman" w:hAnsi="Cambria"/>
                <w:spacing w:val="-7"/>
                <w:lang w:val="it-IT"/>
              </w:rPr>
              <w:t xml:space="preserve"> </w:t>
            </w:r>
            <w:proofErr w:type="spellStart"/>
            <w:r w:rsidRPr="00F1132C">
              <w:rPr>
                <w:rFonts w:ascii="Cambria" w:eastAsia="Times New Roman" w:hAnsi="Cambria"/>
                <w:lang w:val="it-IT"/>
              </w:rPr>
              <w:t>c</w:t>
            </w:r>
            <w:r w:rsidRPr="00F1132C">
              <w:rPr>
                <w:rFonts w:ascii="Cambria" w:eastAsia="Times New Roman" w:hAnsi="Cambria"/>
                <w:spacing w:val="3"/>
                <w:lang w:val="it-IT"/>
              </w:rPr>
              <w:t>e</w:t>
            </w:r>
            <w:r w:rsidRPr="00F1132C">
              <w:rPr>
                <w:rFonts w:ascii="Cambria" w:eastAsia="Times New Roman" w:hAnsi="Cambria"/>
                <w:spacing w:val="-1"/>
                <w:lang w:val="it-IT"/>
              </w:rPr>
              <w:t>n</w:t>
            </w:r>
            <w:r w:rsidRPr="00F1132C">
              <w:rPr>
                <w:rFonts w:ascii="Cambria" w:eastAsia="Times New Roman" w:hAnsi="Cambria"/>
                <w:lang w:val="it-IT"/>
              </w:rPr>
              <w:t>tar</w:t>
            </w:r>
            <w:proofErr w:type="spellEnd"/>
            <w:r w:rsidRPr="00F1132C">
              <w:rPr>
                <w:rFonts w:ascii="Cambria" w:eastAsia="Times New Roman" w:hAnsi="Cambria"/>
                <w:spacing w:val="-4"/>
                <w:lang w:val="it-IT"/>
              </w:rPr>
              <w:t xml:space="preserve"> </w:t>
            </w:r>
            <w:r w:rsidRPr="00F1132C">
              <w:rPr>
                <w:rFonts w:ascii="Cambria" w:eastAsia="Times New Roman" w:hAnsi="Cambria"/>
                <w:lang w:val="it-IT"/>
              </w:rPr>
              <w:t>za</w:t>
            </w:r>
            <w:r w:rsidRPr="00F1132C">
              <w:rPr>
                <w:rFonts w:ascii="Cambria" w:eastAsia="Times New Roman" w:hAnsi="Cambria"/>
                <w:spacing w:val="-1"/>
                <w:lang w:val="it-IT"/>
              </w:rPr>
              <w:t xml:space="preserve"> </w:t>
            </w:r>
            <w:proofErr w:type="spellStart"/>
            <w:r w:rsidRPr="00F1132C">
              <w:rPr>
                <w:rFonts w:ascii="Cambria" w:eastAsia="Times New Roman" w:hAnsi="Cambria"/>
                <w:spacing w:val="1"/>
                <w:lang w:val="it-IT"/>
              </w:rPr>
              <w:t>d</w:t>
            </w:r>
            <w:r w:rsidRPr="00F1132C">
              <w:rPr>
                <w:rFonts w:ascii="Cambria" w:eastAsia="Times New Roman" w:hAnsi="Cambria"/>
                <w:spacing w:val="2"/>
                <w:lang w:val="it-IT"/>
              </w:rPr>
              <w:t>j</w:t>
            </w:r>
            <w:r w:rsidRPr="00F1132C">
              <w:rPr>
                <w:rFonts w:ascii="Cambria" w:eastAsia="Times New Roman" w:hAnsi="Cambria"/>
                <w:lang w:val="it-IT"/>
              </w:rPr>
              <w:t>e</w:t>
            </w:r>
            <w:r w:rsidRPr="00F1132C">
              <w:rPr>
                <w:rFonts w:ascii="Cambria" w:eastAsia="Arial" w:hAnsi="Cambria"/>
                <w:spacing w:val="-2"/>
                <w:lang w:val="it-IT"/>
              </w:rPr>
              <w:t>č</w:t>
            </w:r>
            <w:r w:rsidRPr="00F1132C">
              <w:rPr>
                <w:rFonts w:ascii="Cambria" w:eastAsia="Times New Roman" w:hAnsi="Cambria"/>
                <w:spacing w:val="2"/>
                <w:lang w:val="it-IT"/>
              </w:rPr>
              <w:t>j</w:t>
            </w:r>
            <w:r w:rsidRPr="00F1132C">
              <w:rPr>
                <w:rFonts w:ascii="Cambria" w:eastAsia="Times New Roman" w:hAnsi="Cambria"/>
                <w:lang w:val="it-IT"/>
              </w:rPr>
              <w:t>u</w:t>
            </w:r>
            <w:proofErr w:type="spellEnd"/>
            <w:r w:rsidRPr="00F1132C">
              <w:rPr>
                <w:rFonts w:ascii="Cambria" w:eastAsia="Times New Roman" w:hAnsi="Cambria"/>
                <w:spacing w:val="-17"/>
                <w:lang w:val="it-IT"/>
              </w:rPr>
              <w:t xml:space="preserve"> </w:t>
            </w:r>
            <w:proofErr w:type="spellStart"/>
            <w:r w:rsidRPr="00F1132C">
              <w:rPr>
                <w:rFonts w:ascii="Cambria" w:eastAsia="Times New Roman" w:hAnsi="Cambria"/>
                <w:spacing w:val="-1"/>
                <w:lang w:val="it-IT"/>
              </w:rPr>
              <w:t>kn</w:t>
            </w:r>
            <w:r w:rsidRPr="00F1132C">
              <w:rPr>
                <w:rFonts w:ascii="Cambria" w:eastAsia="Times New Roman" w:hAnsi="Cambria"/>
                <w:spacing w:val="2"/>
                <w:lang w:val="it-IT"/>
              </w:rPr>
              <w:t>j</w:t>
            </w:r>
            <w:r w:rsidRPr="00F1132C">
              <w:rPr>
                <w:rFonts w:ascii="Cambria" w:eastAsia="Times New Roman" w:hAnsi="Cambria"/>
                <w:lang w:val="it-IT"/>
              </w:rPr>
              <w:t>i</w:t>
            </w:r>
            <w:r w:rsidRPr="00F1132C">
              <w:rPr>
                <w:rFonts w:ascii="Cambria" w:eastAsia="Times New Roman" w:hAnsi="Cambria"/>
                <w:spacing w:val="1"/>
                <w:lang w:val="it-IT"/>
              </w:rPr>
              <w:t>g</w:t>
            </w:r>
            <w:r w:rsidRPr="00F1132C">
              <w:rPr>
                <w:rFonts w:ascii="Cambria" w:eastAsia="Times New Roman" w:hAnsi="Cambria"/>
                <w:spacing w:val="-1"/>
                <w:lang w:val="it-IT"/>
              </w:rPr>
              <w:t>u</w:t>
            </w:r>
            <w:proofErr w:type="spellEnd"/>
            <w:r w:rsidRPr="00F1132C">
              <w:rPr>
                <w:rFonts w:ascii="Cambria" w:eastAsia="Times New Roman" w:hAnsi="Cambria"/>
                <w:lang w:val="it-IT"/>
              </w:rPr>
              <w:t>,</w:t>
            </w:r>
            <w:r w:rsidRPr="00F1132C">
              <w:rPr>
                <w:rFonts w:ascii="Cambria" w:eastAsia="Times New Roman" w:hAnsi="Cambria"/>
                <w:spacing w:val="-3"/>
                <w:lang w:val="it-IT"/>
              </w:rPr>
              <w:t xml:space="preserve"> </w:t>
            </w:r>
            <w:proofErr w:type="spellStart"/>
            <w:r w:rsidRPr="00F1132C">
              <w:rPr>
                <w:rFonts w:ascii="Cambria" w:eastAsia="Times New Roman" w:hAnsi="Cambria"/>
                <w:lang w:val="it-IT"/>
              </w:rPr>
              <w:t>H</w:t>
            </w:r>
            <w:r w:rsidRPr="00F1132C">
              <w:rPr>
                <w:rFonts w:ascii="Cambria" w:eastAsia="Times New Roman" w:hAnsi="Cambria"/>
                <w:spacing w:val="1"/>
                <w:lang w:val="it-IT"/>
              </w:rPr>
              <w:t>r</w:t>
            </w:r>
            <w:r w:rsidRPr="00F1132C">
              <w:rPr>
                <w:rFonts w:ascii="Cambria" w:eastAsia="Times New Roman" w:hAnsi="Cambria"/>
                <w:spacing w:val="-1"/>
                <w:lang w:val="it-IT"/>
              </w:rPr>
              <w:t>v</w:t>
            </w:r>
            <w:r w:rsidRPr="00F1132C">
              <w:rPr>
                <w:rFonts w:ascii="Cambria" w:eastAsia="Times New Roman" w:hAnsi="Cambria"/>
                <w:lang w:val="it-IT"/>
              </w:rPr>
              <w:t>at</w:t>
            </w:r>
            <w:r w:rsidRPr="00F1132C">
              <w:rPr>
                <w:rFonts w:ascii="Cambria" w:eastAsia="Times New Roman" w:hAnsi="Cambria"/>
                <w:spacing w:val="2"/>
                <w:lang w:val="it-IT"/>
              </w:rPr>
              <w:t>s</w:t>
            </w:r>
            <w:r w:rsidRPr="00F1132C">
              <w:rPr>
                <w:rFonts w:ascii="Cambria" w:eastAsia="Times New Roman" w:hAnsi="Cambria"/>
                <w:spacing w:val="-1"/>
                <w:lang w:val="it-IT"/>
              </w:rPr>
              <w:t>k</w:t>
            </w:r>
            <w:r w:rsidRPr="00F1132C">
              <w:rPr>
                <w:rFonts w:ascii="Cambria" w:eastAsia="Times New Roman" w:hAnsi="Cambria"/>
                <w:lang w:val="it-IT"/>
              </w:rPr>
              <w:t>a</w:t>
            </w:r>
            <w:proofErr w:type="spellEnd"/>
            <w:r w:rsidRPr="00F1132C">
              <w:rPr>
                <w:rFonts w:ascii="Cambria" w:eastAsia="Times New Roman" w:hAnsi="Cambria"/>
                <w:spacing w:val="-6"/>
                <w:lang w:val="it-IT"/>
              </w:rPr>
              <w:t xml:space="preserve"> </w:t>
            </w:r>
            <w:proofErr w:type="spellStart"/>
            <w:r w:rsidRPr="00F1132C">
              <w:rPr>
                <w:rFonts w:ascii="Cambria" w:eastAsia="Times New Roman" w:hAnsi="Cambria"/>
                <w:spacing w:val="-1"/>
                <w:lang w:val="it-IT"/>
              </w:rPr>
              <w:t>s</w:t>
            </w:r>
            <w:r w:rsidRPr="00F1132C">
              <w:rPr>
                <w:rFonts w:ascii="Cambria" w:eastAsia="Times New Roman" w:hAnsi="Cambria"/>
                <w:spacing w:val="3"/>
                <w:lang w:val="it-IT"/>
              </w:rPr>
              <w:t>e</w:t>
            </w:r>
            <w:r w:rsidRPr="00F1132C">
              <w:rPr>
                <w:rFonts w:ascii="Cambria" w:eastAsia="Times New Roman" w:hAnsi="Cambria"/>
                <w:spacing w:val="-1"/>
                <w:lang w:val="it-IT"/>
              </w:rPr>
              <w:t>k</w:t>
            </w:r>
            <w:r w:rsidRPr="00F1132C">
              <w:rPr>
                <w:rFonts w:ascii="Cambria" w:eastAsia="Times New Roman" w:hAnsi="Cambria"/>
                <w:lang w:val="it-IT"/>
              </w:rPr>
              <w:t>ci</w:t>
            </w:r>
            <w:r w:rsidRPr="00F1132C">
              <w:rPr>
                <w:rFonts w:ascii="Cambria" w:eastAsia="Times New Roman" w:hAnsi="Cambria"/>
                <w:spacing w:val="2"/>
                <w:lang w:val="it-IT"/>
              </w:rPr>
              <w:t>j</w:t>
            </w:r>
            <w:r w:rsidRPr="00F1132C">
              <w:rPr>
                <w:rFonts w:ascii="Cambria" w:eastAsia="Times New Roman" w:hAnsi="Cambria"/>
                <w:lang w:val="it-IT"/>
              </w:rPr>
              <w:t>a</w:t>
            </w:r>
            <w:proofErr w:type="spellEnd"/>
            <w:r w:rsidRPr="00F1132C">
              <w:rPr>
                <w:rFonts w:ascii="Cambria" w:eastAsia="Times New Roman" w:hAnsi="Cambria"/>
                <w:spacing w:val="-5"/>
                <w:lang w:val="it-IT"/>
              </w:rPr>
              <w:t xml:space="preserve"> </w:t>
            </w:r>
            <w:r w:rsidRPr="00F1132C">
              <w:rPr>
                <w:rFonts w:ascii="Cambria" w:eastAsia="Times New Roman" w:hAnsi="Cambria"/>
                <w:spacing w:val="1"/>
                <w:lang w:val="it-IT"/>
              </w:rPr>
              <w:t>I</w:t>
            </w:r>
            <w:r w:rsidRPr="00F1132C">
              <w:rPr>
                <w:rFonts w:ascii="Cambria" w:eastAsia="Times New Roman" w:hAnsi="Cambria"/>
                <w:spacing w:val="2"/>
                <w:lang w:val="it-IT"/>
              </w:rPr>
              <w:t>BB</w:t>
            </w:r>
            <w:r w:rsidRPr="00F1132C">
              <w:rPr>
                <w:rFonts w:ascii="Cambria" w:eastAsia="Times New Roman" w:hAnsi="Cambria"/>
                <w:lang w:val="it-IT"/>
              </w:rPr>
              <w:t>Y.</w:t>
            </w:r>
          </w:p>
          <w:p w14:paraId="0A03E863" w14:textId="31D9EB32" w:rsidR="00FD3975" w:rsidRPr="00F1132C" w:rsidRDefault="00FD3975" w:rsidP="00FD3975">
            <w:pPr>
              <w:spacing w:before="18" w:after="0" w:line="240" w:lineRule="auto"/>
              <w:ind w:right="-20"/>
              <w:rPr>
                <w:rFonts w:ascii="Cambria" w:eastAsia="Times New Roman" w:hAnsi="Cambria"/>
                <w:lang w:val="it-IT"/>
              </w:rPr>
            </w:pPr>
            <w:r w:rsidRPr="00F1132C">
              <w:rPr>
                <w:rFonts w:ascii="Cambria" w:eastAsia="Times New Roman" w:hAnsi="Cambria"/>
                <w:lang w:val="it-IT"/>
              </w:rPr>
              <w:t xml:space="preserve">2. </w:t>
            </w:r>
            <w:proofErr w:type="spellStart"/>
            <w:r w:rsidRPr="00F1132C">
              <w:rPr>
                <w:rFonts w:ascii="Cambria" w:eastAsia="Times New Roman" w:hAnsi="Cambria"/>
                <w:lang w:val="it-IT"/>
              </w:rPr>
              <w:t>Vranjković</w:t>
            </w:r>
            <w:proofErr w:type="spellEnd"/>
            <w:r w:rsidRPr="00F1132C">
              <w:rPr>
                <w:rFonts w:ascii="Cambria" w:eastAsia="Times New Roman" w:hAnsi="Cambria"/>
                <w:lang w:val="it-IT"/>
              </w:rPr>
              <w:t xml:space="preserve">, </w:t>
            </w:r>
            <w:proofErr w:type="spellStart"/>
            <w:proofErr w:type="gramStart"/>
            <w:r w:rsidRPr="00F1132C">
              <w:rPr>
                <w:rFonts w:ascii="Cambria" w:eastAsia="Times New Roman" w:hAnsi="Cambria"/>
                <w:lang w:val="it-IT"/>
              </w:rPr>
              <w:t>Lj</w:t>
            </w:r>
            <w:proofErr w:type="spellEnd"/>
            <w:r w:rsidRPr="00F1132C">
              <w:rPr>
                <w:rFonts w:ascii="Cambria" w:eastAsia="Times New Roman" w:hAnsi="Cambria"/>
                <w:lang w:val="it-IT"/>
              </w:rPr>
              <w:t>.(</w:t>
            </w:r>
            <w:proofErr w:type="gramEnd"/>
            <w:r w:rsidRPr="00F1132C">
              <w:rPr>
                <w:rFonts w:ascii="Cambria" w:eastAsia="Times New Roman" w:hAnsi="Cambria"/>
                <w:lang w:val="it-IT"/>
              </w:rPr>
              <w:t xml:space="preserve">2011), </w:t>
            </w:r>
            <w:proofErr w:type="spellStart"/>
            <w:r w:rsidRPr="00F1132C">
              <w:rPr>
                <w:rFonts w:ascii="Cambria" w:eastAsia="Times New Roman" w:hAnsi="Cambria"/>
                <w:lang w:val="it-IT"/>
              </w:rPr>
              <w:t>Lektira</w:t>
            </w:r>
            <w:proofErr w:type="spellEnd"/>
            <w:r w:rsidRPr="00F1132C">
              <w:rPr>
                <w:rFonts w:ascii="Cambria" w:eastAsia="Times New Roman" w:hAnsi="Cambria"/>
                <w:lang w:val="it-IT"/>
              </w:rPr>
              <w:t xml:space="preserve"> u </w:t>
            </w:r>
            <w:proofErr w:type="spellStart"/>
            <w:r w:rsidRPr="00F1132C">
              <w:rPr>
                <w:rFonts w:ascii="Cambria" w:eastAsia="Times New Roman" w:hAnsi="Cambria"/>
                <w:lang w:val="it-IT"/>
              </w:rPr>
              <w:t>razrednoj</w:t>
            </w:r>
            <w:proofErr w:type="spellEnd"/>
            <w:r w:rsidRPr="00F1132C">
              <w:rPr>
                <w:rFonts w:ascii="Cambria" w:eastAsia="Times New Roman" w:hAnsi="Cambria"/>
                <w:lang w:val="it-IT"/>
              </w:rPr>
              <w:t xml:space="preserve"> </w:t>
            </w:r>
            <w:proofErr w:type="spellStart"/>
            <w:r w:rsidRPr="00F1132C">
              <w:rPr>
                <w:rFonts w:ascii="Cambria" w:eastAsia="Times New Roman" w:hAnsi="Cambria"/>
                <w:lang w:val="it-IT"/>
              </w:rPr>
              <w:t>nastavi</w:t>
            </w:r>
            <w:proofErr w:type="spellEnd"/>
            <w:r w:rsidRPr="00F1132C">
              <w:rPr>
                <w:rFonts w:ascii="Cambria" w:eastAsia="Times New Roman" w:hAnsi="Cambria"/>
                <w:lang w:val="it-IT"/>
              </w:rPr>
              <w:t xml:space="preserve">, </w:t>
            </w:r>
            <w:proofErr w:type="spellStart"/>
            <w:r w:rsidRPr="00F1132C">
              <w:rPr>
                <w:rFonts w:ascii="Cambria" w:eastAsia="Times New Roman" w:hAnsi="Cambria"/>
                <w:lang w:val="it-IT"/>
              </w:rPr>
              <w:t>Život</w:t>
            </w:r>
            <w:proofErr w:type="spellEnd"/>
            <w:r w:rsidRPr="00F1132C">
              <w:rPr>
                <w:rFonts w:ascii="Cambria" w:eastAsia="Times New Roman" w:hAnsi="Cambria"/>
                <w:lang w:val="it-IT"/>
              </w:rPr>
              <w:t xml:space="preserve"> i </w:t>
            </w:r>
            <w:proofErr w:type="spellStart"/>
            <w:r w:rsidRPr="00F1132C">
              <w:rPr>
                <w:rFonts w:ascii="Cambria" w:eastAsia="Times New Roman" w:hAnsi="Cambria"/>
                <w:lang w:val="it-IT"/>
              </w:rPr>
              <w:t>škola</w:t>
            </w:r>
            <w:proofErr w:type="spellEnd"/>
            <w:r w:rsidRPr="00F1132C">
              <w:rPr>
                <w:rFonts w:ascii="Cambria" w:eastAsia="Times New Roman" w:hAnsi="Cambria"/>
                <w:lang w:val="it-IT"/>
              </w:rPr>
              <w:t>, br.25 (1/2011), str.193.-206.</w:t>
            </w:r>
          </w:p>
          <w:p w14:paraId="52F6D09E" w14:textId="77777777" w:rsidR="00FD3975" w:rsidRPr="00F1132C" w:rsidRDefault="00FD3975" w:rsidP="00FA0E3D">
            <w:pPr>
              <w:spacing w:after="0" w:line="240" w:lineRule="auto"/>
              <w:rPr>
                <w:rFonts w:ascii="Cambria" w:hAnsi="Cambria"/>
                <w:lang w:val="it-IT"/>
              </w:rPr>
            </w:pPr>
            <w:proofErr w:type="spellStart"/>
            <w:r w:rsidRPr="00F1132C">
              <w:rPr>
                <w:rFonts w:ascii="Cambria" w:hAnsi="Cambria"/>
                <w:lang w:val="it-IT"/>
              </w:rPr>
              <w:t>Priručna</w:t>
            </w:r>
            <w:proofErr w:type="spellEnd"/>
            <w:r w:rsidRPr="00F1132C">
              <w:rPr>
                <w:rFonts w:ascii="Cambria" w:hAnsi="Cambria"/>
                <w:lang w:val="it-IT"/>
              </w:rPr>
              <w:t>:</w:t>
            </w:r>
          </w:p>
          <w:p w14:paraId="61AE0F25" w14:textId="6CCFF75F" w:rsidR="00FD3975" w:rsidRPr="00F1132C" w:rsidRDefault="00FD3975" w:rsidP="00FD3975">
            <w:pPr>
              <w:suppressAutoHyphens/>
              <w:spacing w:after="0" w:line="240" w:lineRule="auto"/>
              <w:rPr>
                <w:rFonts w:ascii="Cambria" w:hAnsi="Cambria"/>
                <w:lang w:val="it-IT"/>
              </w:rPr>
            </w:pPr>
            <w:r>
              <w:rPr>
                <w:rFonts w:ascii="Cambria" w:hAnsi="Cambria"/>
                <w:lang w:val="it-IT"/>
              </w:rPr>
              <w:t xml:space="preserve">1. </w:t>
            </w:r>
            <w:proofErr w:type="spellStart"/>
            <w:r w:rsidRPr="00F1132C">
              <w:rPr>
                <w:rFonts w:ascii="Cambria" w:hAnsi="Cambria"/>
                <w:lang w:val="it-IT"/>
              </w:rPr>
              <w:t>Ministarstvo</w:t>
            </w:r>
            <w:proofErr w:type="spellEnd"/>
            <w:r w:rsidRPr="00F1132C">
              <w:rPr>
                <w:rFonts w:ascii="Cambria" w:hAnsi="Cambria"/>
                <w:lang w:val="it-IT"/>
              </w:rPr>
              <w:t xml:space="preserve"> </w:t>
            </w:r>
            <w:proofErr w:type="spellStart"/>
            <w:r w:rsidRPr="00F1132C">
              <w:rPr>
                <w:rFonts w:ascii="Cambria" w:hAnsi="Cambria"/>
                <w:lang w:val="it-IT"/>
              </w:rPr>
              <w:t>znanosti</w:t>
            </w:r>
            <w:proofErr w:type="spellEnd"/>
            <w:r w:rsidRPr="00F1132C">
              <w:rPr>
                <w:rFonts w:ascii="Cambria" w:hAnsi="Cambria"/>
                <w:lang w:val="it-IT"/>
              </w:rPr>
              <w:t xml:space="preserve">, </w:t>
            </w:r>
            <w:proofErr w:type="spellStart"/>
            <w:r w:rsidRPr="00F1132C">
              <w:rPr>
                <w:rFonts w:ascii="Cambria" w:hAnsi="Cambria"/>
                <w:lang w:val="it-IT"/>
              </w:rPr>
              <w:t>obrazovanja</w:t>
            </w:r>
            <w:proofErr w:type="spellEnd"/>
            <w:r w:rsidRPr="00F1132C">
              <w:rPr>
                <w:rFonts w:ascii="Cambria" w:hAnsi="Cambria"/>
                <w:lang w:val="it-IT"/>
              </w:rPr>
              <w:t xml:space="preserve"> </w:t>
            </w:r>
            <w:proofErr w:type="gramStart"/>
            <w:r w:rsidRPr="00F1132C">
              <w:rPr>
                <w:rFonts w:ascii="Cambria" w:hAnsi="Cambria"/>
                <w:lang w:val="it-IT"/>
              </w:rPr>
              <w:t>i sporta</w:t>
            </w:r>
            <w:proofErr w:type="gramEnd"/>
            <w:r w:rsidRPr="00F1132C">
              <w:rPr>
                <w:rFonts w:ascii="Cambria" w:hAnsi="Cambria"/>
                <w:lang w:val="it-IT"/>
              </w:rPr>
              <w:t xml:space="preserve"> (2006): </w:t>
            </w:r>
            <w:proofErr w:type="spellStart"/>
            <w:r w:rsidRPr="00F1132C">
              <w:rPr>
                <w:rFonts w:ascii="Cambria" w:hAnsi="Cambria"/>
                <w:lang w:val="it-IT"/>
              </w:rPr>
              <w:t>Nastavni</w:t>
            </w:r>
            <w:proofErr w:type="spellEnd"/>
            <w:r w:rsidRPr="00F1132C">
              <w:rPr>
                <w:rFonts w:ascii="Cambria" w:hAnsi="Cambria"/>
                <w:lang w:val="it-IT"/>
              </w:rPr>
              <w:t xml:space="preserve"> plan i </w:t>
            </w:r>
            <w:proofErr w:type="spellStart"/>
            <w:r w:rsidRPr="00F1132C">
              <w:rPr>
                <w:rFonts w:ascii="Cambria" w:hAnsi="Cambria"/>
                <w:lang w:val="it-IT"/>
              </w:rPr>
              <w:t>program</w:t>
            </w:r>
            <w:proofErr w:type="spellEnd"/>
            <w:r w:rsidRPr="00F1132C">
              <w:rPr>
                <w:rFonts w:ascii="Cambria" w:hAnsi="Cambria"/>
                <w:lang w:val="it-IT"/>
              </w:rPr>
              <w:t xml:space="preserve"> za </w:t>
            </w:r>
            <w:proofErr w:type="spellStart"/>
            <w:r w:rsidRPr="00F1132C">
              <w:rPr>
                <w:rFonts w:ascii="Cambria" w:hAnsi="Cambria"/>
                <w:lang w:val="it-IT"/>
              </w:rPr>
              <w:t>osnovnu</w:t>
            </w:r>
            <w:proofErr w:type="spellEnd"/>
            <w:r w:rsidRPr="00F1132C">
              <w:rPr>
                <w:rFonts w:ascii="Cambria" w:hAnsi="Cambria"/>
                <w:lang w:val="it-IT"/>
              </w:rPr>
              <w:t xml:space="preserve"> </w:t>
            </w:r>
            <w:proofErr w:type="spellStart"/>
            <w:r w:rsidRPr="00F1132C">
              <w:rPr>
                <w:rFonts w:ascii="Cambria" w:hAnsi="Cambria"/>
                <w:lang w:val="it-IT"/>
              </w:rPr>
              <w:t>školu</w:t>
            </w:r>
            <w:proofErr w:type="spellEnd"/>
            <w:r w:rsidRPr="00F1132C">
              <w:rPr>
                <w:rFonts w:ascii="Cambria" w:hAnsi="Cambria"/>
                <w:lang w:val="it-IT"/>
              </w:rPr>
              <w:t>.</w:t>
            </w:r>
          </w:p>
          <w:p w14:paraId="5FD081F7" w14:textId="47E66D2E" w:rsidR="00FD3975" w:rsidRPr="00FD3975" w:rsidRDefault="00FD3975" w:rsidP="00FD3975">
            <w:pPr>
              <w:suppressAutoHyphens/>
              <w:spacing w:after="0" w:line="240" w:lineRule="auto"/>
              <w:rPr>
                <w:rFonts w:ascii="Cambria" w:hAnsi="Cambria"/>
                <w:lang w:val="it-IT"/>
              </w:rPr>
            </w:pPr>
            <w:r>
              <w:rPr>
                <w:rFonts w:ascii="Cambria" w:hAnsi="Cambria"/>
                <w:lang w:val="it-IT"/>
              </w:rPr>
              <w:t xml:space="preserve">2. </w:t>
            </w:r>
            <w:proofErr w:type="spellStart"/>
            <w:r w:rsidRPr="00F1132C">
              <w:rPr>
                <w:rFonts w:ascii="Cambria" w:hAnsi="Cambria"/>
                <w:lang w:val="it-IT"/>
              </w:rPr>
              <w:t>Poseban</w:t>
            </w:r>
            <w:proofErr w:type="spellEnd"/>
            <w:r w:rsidRPr="00F1132C">
              <w:rPr>
                <w:rFonts w:ascii="Cambria" w:hAnsi="Cambria"/>
                <w:lang w:val="it-IT"/>
              </w:rPr>
              <w:t xml:space="preserve"> </w:t>
            </w:r>
            <w:proofErr w:type="spellStart"/>
            <w:r w:rsidRPr="00F1132C">
              <w:rPr>
                <w:rFonts w:ascii="Cambria" w:hAnsi="Cambria"/>
                <w:lang w:val="it-IT"/>
              </w:rPr>
              <w:t>portal</w:t>
            </w:r>
            <w:proofErr w:type="spellEnd"/>
            <w:r w:rsidRPr="00F1132C">
              <w:rPr>
                <w:rFonts w:ascii="Cambria" w:hAnsi="Cambria"/>
                <w:lang w:val="it-IT"/>
              </w:rPr>
              <w:t xml:space="preserve"> o </w:t>
            </w:r>
            <w:proofErr w:type="spellStart"/>
            <w:r w:rsidRPr="00F1132C">
              <w:rPr>
                <w:rFonts w:ascii="Cambria" w:hAnsi="Cambria"/>
                <w:lang w:val="it-IT"/>
              </w:rPr>
              <w:t>lektirama</w:t>
            </w:r>
            <w:proofErr w:type="spellEnd"/>
            <w:r w:rsidRPr="00F1132C">
              <w:rPr>
                <w:rFonts w:ascii="Cambria" w:hAnsi="Cambria"/>
                <w:lang w:val="it-IT"/>
              </w:rPr>
              <w:t>:</w:t>
            </w:r>
            <w:r w:rsidRPr="00F1132C">
              <w:rPr>
                <w:rFonts w:ascii="Cambria" w:hAnsi="Cambria" w:cs="Times New Roman"/>
                <w:lang w:val="it-IT"/>
              </w:rPr>
              <w:t xml:space="preserve"> </w:t>
            </w:r>
            <w:hyperlink r:id="rId199" w:tgtFrame="_blank" w:history="1">
              <w:r w:rsidRPr="00F1132C">
                <w:rPr>
                  <w:rFonts w:ascii="Cambria" w:hAnsi="Cambria" w:cs="Times New Roman"/>
                  <w:color w:val="1155CC"/>
                  <w:u w:val="single"/>
                  <w:shd w:val="clear" w:color="auto" w:fill="FFFFFF"/>
                  <w:lang w:val="it-IT"/>
                </w:rPr>
                <w:t>http://lektire.skole.hr/</w:t>
              </w:r>
            </w:hyperlink>
          </w:p>
        </w:tc>
      </w:tr>
    </w:tbl>
    <w:p w14:paraId="4B8F2090" w14:textId="559187AF" w:rsidR="00977220" w:rsidRDefault="00977220">
      <w:pPr>
        <w:rPr>
          <w:rFonts w:ascii="Cambria" w:eastAsia="Calibri" w:hAnsi="Cambria" w:cs="Times New Roman"/>
          <w:lang w:val="hr-HR"/>
        </w:rPr>
      </w:pPr>
    </w:p>
    <w:tbl>
      <w:tblPr>
        <w:tblW w:w="5000" w:type="pct"/>
        <w:tblLayout w:type="fixed"/>
        <w:tblCellMar>
          <w:left w:w="0" w:type="dxa"/>
          <w:right w:w="0" w:type="dxa"/>
        </w:tblCellMar>
        <w:tblLook w:val="0600" w:firstRow="0" w:lastRow="0" w:firstColumn="0" w:lastColumn="0" w:noHBand="1" w:noVBand="1"/>
      </w:tblPr>
      <w:tblGrid>
        <w:gridCol w:w="2623"/>
        <w:gridCol w:w="2486"/>
        <w:gridCol w:w="97"/>
        <w:gridCol w:w="1088"/>
        <w:gridCol w:w="277"/>
        <w:gridCol w:w="439"/>
        <w:gridCol w:w="1011"/>
        <w:gridCol w:w="1319"/>
      </w:tblGrid>
      <w:tr w:rsidR="00977220" w:rsidRPr="00DA7312" w14:paraId="6F19F4A9" w14:textId="77777777" w:rsidTr="00D74364">
        <w:tc>
          <w:tcPr>
            <w:tcW w:w="9340"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CE10216" w14:textId="77777777" w:rsidR="00977220" w:rsidRPr="00977220" w:rsidRDefault="00977220" w:rsidP="00977220">
            <w:pPr>
              <w:spacing w:after="0" w:line="240" w:lineRule="auto"/>
              <w:jc w:val="right"/>
              <w:rPr>
                <w:rFonts w:ascii="Cambria" w:hAnsi="Cambria"/>
                <w:b/>
                <w:color w:val="000000" w:themeColor="text1"/>
              </w:rPr>
            </w:pPr>
            <w:r w:rsidRPr="00977220">
              <w:rPr>
                <w:rFonts w:ascii="Cambria" w:hAnsi="Cambria"/>
                <w:b/>
                <w:color w:val="000000" w:themeColor="text1"/>
              </w:rPr>
              <w:lastRenderedPageBreak/>
              <w:t>IZVEDBENI PLAN NASTAVE KOLEGIJA</w:t>
            </w:r>
          </w:p>
        </w:tc>
      </w:tr>
      <w:tr w:rsidR="00977220" w:rsidRPr="00DC5B8F" w14:paraId="4D4C9F2C" w14:textId="77777777" w:rsidTr="00D74364">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1CBDC19" w14:textId="77777777" w:rsidR="00977220" w:rsidRPr="00977220" w:rsidRDefault="00977220" w:rsidP="00977220">
            <w:pPr>
              <w:spacing w:after="0" w:line="240" w:lineRule="auto"/>
              <w:rPr>
                <w:rFonts w:ascii="Cambria" w:hAnsi="Cambria"/>
                <w:color w:val="000000" w:themeColor="text1"/>
              </w:rPr>
            </w:pPr>
            <w:proofErr w:type="spellStart"/>
            <w:r w:rsidRPr="00977220">
              <w:rPr>
                <w:rFonts w:ascii="Cambria" w:hAnsi="Cambria"/>
                <w:color w:val="000000" w:themeColor="text1"/>
              </w:rPr>
              <w:t>Kod</w:t>
            </w:r>
            <w:proofErr w:type="spellEnd"/>
            <w:r w:rsidRPr="00977220">
              <w:rPr>
                <w:rFonts w:ascii="Cambria" w:hAnsi="Cambria"/>
                <w:color w:val="000000" w:themeColor="text1"/>
              </w:rPr>
              <w:t xml:space="preserve"> </w:t>
            </w:r>
            <w:proofErr w:type="spellStart"/>
            <w:r w:rsidRPr="00977220">
              <w:rPr>
                <w:rFonts w:ascii="Cambria" w:hAnsi="Cambria"/>
                <w:color w:val="000000" w:themeColor="text1"/>
              </w:rPr>
              <w:t>i</w:t>
            </w:r>
            <w:proofErr w:type="spellEnd"/>
            <w:r w:rsidRPr="00977220">
              <w:rPr>
                <w:rFonts w:ascii="Cambria" w:hAnsi="Cambria"/>
                <w:color w:val="000000" w:themeColor="text1"/>
              </w:rPr>
              <w:t xml:space="preserve"> </w:t>
            </w:r>
            <w:proofErr w:type="spellStart"/>
            <w:r w:rsidRPr="00977220">
              <w:rPr>
                <w:rFonts w:ascii="Cambria" w:hAnsi="Cambria"/>
                <w:color w:val="000000" w:themeColor="text1"/>
              </w:rPr>
              <w:t>naziv</w:t>
            </w:r>
            <w:proofErr w:type="spellEnd"/>
            <w:r w:rsidRPr="00977220">
              <w:rPr>
                <w:rFonts w:ascii="Cambria" w:hAnsi="Cambria"/>
                <w:color w:val="000000" w:themeColor="text1"/>
              </w:rPr>
              <w:t xml:space="preserve"> </w:t>
            </w:r>
            <w:proofErr w:type="spellStart"/>
            <w:r w:rsidRPr="00977220">
              <w:rPr>
                <w:rFonts w:ascii="Cambria" w:hAnsi="Cambria"/>
                <w:color w:val="000000" w:themeColor="text1"/>
              </w:rPr>
              <w:t>kolegija</w:t>
            </w:r>
            <w:proofErr w:type="spellEnd"/>
          </w:p>
        </w:tc>
        <w:tc>
          <w:tcPr>
            <w:tcW w:w="671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4C789B8" w14:textId="77777777" w:rsidR="00977220" w:rsidRPr="00977220" w:rsidRDefault="00977220" w:rsidP="00977220">
            <w:pPr>
              <w:spacing w:after="0" w:line="240" w:lineRule="auto"/>
              <w:rPr>
                <w:rFonts w:ascii="Cambria" w:hAnsi="Cambria"/>
                <w:lang w:val="it-IT"/>
              </w:rPr>
            </w:pPr>
            <w:r w:rsidRPr="00977220">
              <w:rPr>
                <w:rFonts w:ascii="Cambria" w:hAnsi="Cambria"/>
                <w:lang w:val="it-IT"/>
              </w:rPr>
              <w:t xml:space="preserve">119167 </w:t>
            </w:r>
          </w:p>
          <w:p w14:paraId="45FB1B21" w14:textId="77777777" w:rsidR="00977220" w:rsidRPr="00977220" w:rsidRDefault="00977220" w:rsidP="00977220">
            <w:pPr>
              <w:spacing w:after="0" w:line="240" w:lineRule="auto"/>
              <w:rPr>
                <w:rFonts w:ascii="Cambria" w:hAnsi="Cambria"/>
                <w:color w:val="000000" w:themeColor="text1"/>
                <w:highlight w:val="yellow"/>
                <w:lang w:val="it-IT"/>
              </w:rPr>
            </w:pPr>
            <w:r w:rsidRPr="00977220">
              <w:rPr>
                <w:rFonts w:ascii="Cambria" w:hAnsi="Cambria"/>
                <w:color w:val="000000" w:themeColor="text1"/>
                <w:lang w:val="it-IT"/>
              </w:rPr>
              <w:t xml:space="preserve">Rana </w:t>
            </w:r>
            <w:proofErr w:type="spellStart"/>
            <w:r w:rsidRPr="00977220">
              <w:rPr>
                <w:rFonts w:ascii="Cambria" w:hAnsi="Cambria"/>
                <w:color w:val="000000" w:themeColor="text1"/>
                <w:lang w:val="it-IT"/>
              </w:rPr>
              <w:t>dvojezičnost</w:t>
            </w:r>
            <w:proofErr w:type="spellEnd"/>
            <w:r w:rsidRPr="00977220">
              <w:rPr>
                <w:rFonts w:ascii="Cambria" w:hAnsi="Cambria"/>
                <w:color w:val="000000" w:themeColor="text1"/>
                <w:lang w:val="it-IT"/>
              </w:rPr>
              <w:t xml:space="preserve"> i </w:t>
            </w:r>
            <w:proofErr w:type="spellStart"/>
            <w:r w:rsidRPr="00977220">
              <w:rPr>
                <w:rFonts w:ascii="Cambria" w:hAnsi="Cambria"/>
                <w:color w:val="000000" w:themeColor="text1"/>
                <w:lang w:val="it-IT"/>
              </w:rPr>
              <w:t>višejezičnost</w:t>
            </w:r>
            <w:proofErr w:type="spellEnd"/>
          </w:p>
        </w:tc>
      </w:tr>
      <w:tr w:rsidR="00977220" w:rsidRPr="00DA7312" w14:paraId="331ACD2E" w14:textId="77777777" w:rsidTr="00D74364">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9689EFC" w14:textId="3C63906C" w:rsidR="00977220" w:rsidRPr="00977220" w:rsidRDefault="00977220" w:rsidP="00977220">
            <w:pPr>
              <w:spacing w:after="0" w:line="240" w:lineRule="auto"/>
              <w:rPr>
                <w:rFonts w:ascii="Cambria" w:hAnsi="Cambria"/>
                <w:color w:val="000000" w:themeColor="text1"/>
              </w:rPr>
            </w:pPr>
            <w:proofErr w:type="spellStart"/>
            <w:r w:rsidRPr="00977220">
              <w:rPr>
                <w:rFonts w:ascii="Cambria" w:hAnsi="Cambria"/>
                <w:color w:val="000000" w:themeColor="text1"/>
              </w:rPr>
              <w:t>Nastavnica</w:t>
            </w:r>
            <w:proofErr w:type="spellEnd"/>
            <w:r w:rsidRPr="00977220">
              <w:rPr>
                <w:rFonts w:ascii="Cambria" w:hAnsi="Cambria"/>
                <w:color w:val="000000" w:themeColor="text1"/>
              </w:rPr>
              <w:t xml:space="preserve"> </w:t>
            </w:r>
          </w:p>
        </w:tc>
        <w:tc>
          <w:tcPr>
            <w:tcW w:w="671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DA80D7F" w14:textId="7DA90748" w:rsidR="00977220" w:rsidRPr="00977220" w:rsidRDefault="00977220" w:rsidP="00977220">
            <w:pPr>
              <w:spacing w:after="0" w:line="240" w:lineRule="auto"/>
              <w:rPr>
                <w:rFonts w:ascii="Cambria" w:hAnsi="Cambria"/>
                <w:color w:val="000000" w:themeColor="text1"/>
              </w:rPr>
            </w:pPr>
            <w:hyperlink r:id="rId200" w:history="1">
              <w:proofErr w:type="spellStart"/>
              <w:r w:rsidRPr="00977220">
                <w:rPr>
                  <w:rStyle w:val="Hiperveza"/>
                  <w:rFonts w:ascii="Cambria" w:hAnsi="Cambria"/>
                </w:rPr>
                <w:t>Izv</w:t>
              </w:r>
              <w:proofErr w:type="spellEnd"/>
              <w:r w:rsidRPr="00977220">
                <w:rPr>
                  <w:rStyle w:val="Hiperveza"/>
                  <w:rFonts w:ascii="Cambria" w:hAnsi="Cambria"/>
                </w:rPr>
                <w:t>. prof. dr. sc. Nada Poropat Jeletić</w:t>
              </w:r>
            </w:hyperlink>
            <w:r w:rsidRPr="00977220">
              <w:rPr>
                <w:rStyle w:val="Hiperveza"/>
                <w:rFonts w:ascii="Cambria" w:hAnsi="Cambria"/>
                <w:color w:val="000000" w:themeColor="text1"/>
                <w:u w:val="none"/>
              </w:rPr>
              <w:t xml:space="preserve"> (</w:t>
            </w:r>
            <w:proofErr w:type="spellStart"/>
            <w:r w:rsidRPr="00977220">
              <w:rPr>
                <w:rStyle w:val="Hiperveza"/>
                <w:rFonts w:ascii="Cambria" w:hAnsi="Cambria"/>
                <w:color w:val="000000" w:themeColor="text1"/>
                <w:u w:val="none"/>
              </w:rPr>
              <w:t>nositeljica</w:t>
            </w:r>
            <w:proofErr w:type="spellEnd"/>
            <w:r w:rsidRPr="00977220">
              <w:rPr>
                <w:rStyle w:val="Hiperveza"/>
                <w:rFonts w:ascii="Cambria" w:hAnsi="Cambria"/>
                <w:color w:val="000000" w:themeColor="text1"/>
                <w:u w:val="none"/>
              </w:rPr>
              <w:t>)</w:t>
            </w:r>
          </w:p>
        </w:tc>
      </w:tr>
      <w:tr w:rsidR="00977220" w:rsidRPr="00977220" w14:paraId="22D3E43B" w14:textId="77777777" w:rsidTr="00D74364">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63E23EC" w14:textId="77777777" w:rsidR="00977220" w:rsidRPr="00977220" w:rsidRDefault="00977220" w:rsidP="00977220">
            <w:pPr>
              <w:spacing w:after="0" w:line="240" w:lineRule="auto"/>
              <w:rPr>
                <w:rFonts w:ascii="Cambria" w:hAnsi="Cambria"/>
                <w:color w:val="000000" w:themeColor="text1"/>
              </w:rPr>
            </w:pPr>
            <w:proofErr w:type="spellStart"/>
            <w:r w:rsidRPr="00977220">
              <w:rPr>
                <w:rFonts w:ascii="Cambria" w:hAnsi="Cambria"/>
                <w:color w:val="000000" w:themeColor="text1"/>
              </w:rPr>
              <w:t>Studijski</w:t>
            </w:r>
            <w:proofErr w:type="spellEnd"/>
            <w:r w:rsidRPr="00977220">
              <w:rPr>
                <w:rFonts w:ascii="Cambria" w:hAnsi="Cambria"/>
                <w:color w:val="000000" w:themeColor="text1"/>
              </w:rPr>
              <w:t xml:space="preserve"> program</w:t>
            </w:r>
          </w:p>
        </w:tc>
        <w:tc>
          <w:tcPr>
            <w:tcW w:w="671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8F4CFC7" w14:textId="5C470BFB" w:rsidR="00977220" w:rsidRPr="00977220" w:rsidRDefault="00977220" w:rsidP="00977220">
            <w:pPr>
              <w:spacing w:after="0" w:line="240" w:lineRule="auto"/>
              <w:rPr>
                <w:rFonts w:ascii="Cambria" w:hAnsi="Cambria"/>
              </w:rPr>
            </w:pPr>
            <w:r w:rsidRPr="00977220">
              <w:rPr>
                <w:rFonts w:ascii="Cambria" w:hAnsi="Cambria"/>
                <w:shd w:val="clear" w:color="auto" w:fill="FFFFFF"/>
                <w:lang w:val="hr-HR"/>
              </w:rPr>
              <w:t>Sveučilišni integrirani preddiplomski i diplomski sveučilišni učiteljski studij</w:t>
            </w:r>
            <w:r w:rsidRPr="00977220">
              <w:rPr>
                <w:rStyle w:val="apple-converted-space"/>
                <w:rFonts w:ascii="Cambria" w:hAnsi="Cambria"/>
                <w:shd w:val="clear" w:color="auto" w:fill="FFFFFF"/>
                <w:lang w:val="hr-HR"/>
              </w:rPr>
              <w:t> na hrvatskom jeziku</w:t>
            </w:r>
          </w:p>
        </w:tc>
      </w:tr>
      <w:tr w:rsidR="00977220" w:rsidRPr="00DA7312" w14:paraId="39A44532" w14:textId="77777777" w:rsidTr="00D74364">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5E7643B" w14:textId="77777777" w:rsidR="00977220" w:rsidRPr="00977220" w:rsidRDefault="00977220" w:rsidP="00977220">
            <w:pPr>
              <w:spacing w:after="0" w:line="240" w:lineRule="auto"/>
              <w:rPr>
                <w:rFonts w:ascii="Cambria" w:hAnsi="Cambria"/>
                <w:color w:val="000000" w:themeColor="text1"/>
              </w:rPr>
            </w:pPr>
            <w:proofErr w:type="spellStart"/>
            <w:r w:rsidRPr="00977220">
              <w:rPr>
                <w:rFonts w:ascii="Cambria" w:hAnsi="Cambria"/>
                <w:color w:val="000000" w:themeColor="text1"/>
              </w:rPr>
              <w:t>Vrsta</w:t>
            </w:r>
            <w:proofErr w:type="spellEnd"/>
            <w:r w:rsidRPr="00977220">
              <w:rPr>
                <w:rFonts w:ascii="Cambria" w:hAnsi="Cambria"/>
                <w:color w:val="000000" w:themeColor="text1"/>
              </w:rPr>
              <w:t xml:space="preserve"> </w:t>
            </w:r>
            <w:proofErr w:type="spellStart"/>
            <w:r w:rsidRPr="00977220">
              <w:rPr>
                <w:rFonts w:ascii="Cambria" w:hAnsi="Cambria"/>
                <w:color w:val="000000" w:themeColor="text1"/>
              </w:rPr>
              <w:t>kolegija</w:t>
            </w:r>
            <w:proofErr w:type="spellEnd"/>
          </w:p>
        </w:tc>
        <w:tc>
          <w:tcPr>
            <w:tcW w:w="248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8FCF923" w14:textId="1549FD7C" w:rsidR="00977220" w:rsidRPr="00977220" w:rsidRDefault="00977220" w:rsidP="00977220">
            <w:pPr>
              <w:spacing w:after="0" w:line="240" w:lineRule="auto"/>
              <w:rPr>
                <w:rFonts w:ascii="Cambria" w:hAnsi="Cambria"/>
                <w:color w:val="000000" w:themeColor="text1"/>
              </w:rPr>
            </w:pPr>
            <w:proofErr w:type="spellStart"/>
            <w:r>
              <w:rPr>
                <w:rFonts w:ascii="Cambria" w:hAnsi="Cambria"/>
                <w:color w:val="000000" w:themeColor="text1"/>
              </w:rPr>
              <w:t>i</w:t>
            </w:r>
            <w:r w:rsidRPr="00977220">
              <w:rPr>
                <w:rFonts w:ascii="Cambria" w:hAnsi="Cambria"/>
                <w:color w:val="000000" w:themeColor="text1"/>
              </w:rPr>
              <w:t>zborni</w:t>
            </w:r>
            <w:proofErr w:type="spellEnd"/>
          </w:p>
        </w:tc>
        <w:tc>
          <w:tcPr>
            <w:tcW w:w="1462"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6BEE750D" w14:textId="77777777" w:rsidR="00977220" w:rsidRPr="00977220" w:rsidRDefault="00977220" w:rsidP="00977220">
            <w:pPr>
              <w:spacing w:after="0" w:line="240" w:lineRule="auto"/>
              <w:rPr>
                <w:rFonts w:ascii="Cambria" w:hAnsi="Cambria"/>
                <w:color w:val="000000" w:themeColor="text1"/>
              </w:rPr>
            </w:pPr>
            <w:r w:rsidRPr="00977220">
              <w:rPr>
                <w:rFonts w:ascii="Cambria" w:hAnsi="Cambria"/>
                <w:color w:val="000000" w:themeColor="text1"/>
              </w:rPr>
              <w:t xml:space="preserve">Razina </w:t>
            </w:r>
            <w:proofErr w:type="spellStart"/>
            <w:r w:rsidRPr="00977220">
              <w:rPr>
                <w:rFonts w:ascii="Cambria" w:hAnsi="Cambria"/>
                <w:color w:val="000000" w:themeColor="text1"/>
              </w:rPr>
              <w:t>kolegija</w:t>
            </w:r>
            <w:proofErr w:type="spellEnd"/>
          </w:p>
        </w:tc>
        <w:tc>
          <w:tcPr>
            <w:tcW w:w="2769"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60D5C8C" w14:textId="49DF3514" w:rsidR="00977220" w:rsidRPr="00977220" w:rsidRDefault="00977220" w:rsidP="00977220">
            <w:pPr>
              <w:spacing w:after="0" w:line="240" w:lineRule="auto"/>
              <w:rPr>
                <w:rFonts w:ascii="Cambria" w:hAnsi="Cambria"/>
                <w:color w:val="000000" w:themeColor="text1"/>
              </w:rPr>
            </w:pPr>
            <w:proofErr w:type="spellStart"/>
            <w:r>
              <w:rPr>
                <w:rFonts w:ascii="Cambria" w:hAnsi="Cambria"/>
                <w:color w:val="000000" w:themeColor="text1"/>
              </w:rPr>
              <w:t>i</w:t>
            </w:r>
            <w:r w:rsidRPr="00977220">
              <w:rPr>
                <w:rFonts w:ascii="Cambria" w:hAnsi="Cambria"/>
                <w:color w:val="000000" w:themeColor="text1"/>
              </w:rPr>
              <w:t>ntegrirani</w:t>
            </w:r>
            <w:proofErr w:type="spellEnd"/>
          </w:p>
        </w:tc>
      </w:tr>
      <w:tr w:rsidR="00977220" w:rsidRPr="00DA7312" w14:paraId="2CDA46DE" w14:textId="77777777" w:rsidTr="00D74364">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DFF5CF0" w14:textId="77777777" w:rsidR="00977220" w:rsidRPr="00977220" w:rsidRDefault="00977220" w:rsidP="00977220">
            <w:pPr>
              <w:spacing w:after="0" w:line="240" w:lineRule="auto"/>
              <w:rPr>
                <w:rFonts w:ascii="Cambria" w:hAnsi="Cambria"/>
                <w:color w:val="000000" w:themeColor="text1"/>
              </w:rPr>
            </w:pPr>
            <w:proofErr w:type="spellStart"/>
            <w:r w:rsidRPr="00977220">
              <w:rPr>
                <w:rFonts w:ascii="Cambria" w:hAnsi="Cambria"/>
                <w:color w:val="000000" w:themeColor="text1"/>
              </w:rPr>
              <w:t>Semestar</w:t>
            </w:r>
            <w:proofErr w:type="spellEnd"/>
          </w:p>
        </w:tc>
        <w:tc>
          <w:tcPr>
            <w:tcW w:w="248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89D51DA" w14:textId="35EEBDC1" w:rsidR="00977220" w:rsidRPr="00977220" w:rsidRDefault="00977220" w:rsidP="00977220">
            <w:pPr>
              <w:spacing w:after="0" w:line="240" w:lineRule="auto"/>
              <w:rPr>
                <w:rFonts w:ascii="Cambria" w:hAnsi="Cambria"/>
                <w:color w:val="000000" w:themeColor="text1"/>
              </w:rPr>
            </w:pPr>
            <w:proofErr w:type="spellStart"/>
            <w:r>
              <w:rPr>
                <w:rFonts w:ascii="Cambria" w:hAnsi="Cambria"/>
                <w:color w:val="000000" w:themeColor="text1"/>
              </w:rPr>
              <w:t>l</w:t>
            </w:r>
            <w:r w:rsidRPr="00977220">
              <w:rPr>
                <w:rFonts w:ascii="Cambria" w:hAnsi="Cambria"/>
                <w:color w:val="000000" w:themeColor="text1"/>
              </w:rPr>
              <w:t>jetni</w:t>
            </w:r>
            <w:proofErr w:type="spellEnd"/>
          </w:p>
        </w:tc>
        <w:tc>
          <w:tcPr>
            <w:tcW w:w="1462"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465A2356" w14:textId="77777777" w:rsidR="00977220" w:rsidRPr="00977220" w:rsidRDefault="00977220" w:rsidP="00977220">
            <w:pPr>
              <w:spacing w:after="0" w:line="240" w:lineRule="auto"/>
              <w:rPr>
                <w:rFonts w:ascii="Cambria" w:hAnsi="Cambria"/>
                <w:color w:val="000000" w:themeColor="text1"/>
              </w:rPr>
            </w:pPr>
            <w:r w:rsidRPr="00977220">
              <w:rPr>
                <w:rFonts w:ascii="Cambria" w:hAnsi="Cambria"/>
                <w:color w:val="000000" w:themeColor="text1"/>
              </w:rPr>
              <w:t xml:space="preserve">Godina </w:t>
            </w:r>
            <w:proofErr w:type="spellStart"/>
            <w:r w:rsidRPr="00977220">
              <w:rPr>
                <w:rFonts w:ascii="Cambria" w:hAnsi="Cambria"/>
                <w:color w:val="000000" w:themeColor="text1"/>
              </w:rPr>
              <w:t>studija</w:t>
            </w:r>
            <w:proofErr w:type="spellEnd"/>
          </w:p>
        </w:tc>
        <w:tc>
          <w:tcPr>
            <w:tcW w:w="2769"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B0A7FEC" w14:textId="77777777" w:rsidR="00977220" w:rsidRPr="00977220" w:rsidRDefault="00977220" w:rsidP="00977220">
            <w:pPr>
              <w:spacing w:after="0" w:line="240" w:lineRule="auto"/>
              <w:rPr>
                <w:rFonts w:ascii="Cambria" w:hAnsi="Cambria"/>
                <w:color w:val="000000" w:themeColor="text1"/>
              </w:rPr>
            </w:pPr>
            <w:r w:rsidRPr="00977220">
              <w:rPr>
                <w:rFonts w:ascii="Cambria" w:hAnsi="Cambria"/>
                <w:color w:val="000000" w:themeColor="text1"/>
              </w:rPr>
              <w:t>V.</w:t>
            </w:r>
          </w:p>
        </w:tc>
      </w:tr>
      <w:tr w:rsidR="00977220" w:rsidRPr="00DA7312" w14:paraId="36CAE7FB" w14:textId="77777777" w:rsidTr="00D74364">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CDD8D16" w14:textId="77777777" w:rsidR="00977220" w:rsidRPr="00977220" w:rsidRDefault="00977220" w:rsidP="00977220">
            <w:pPr>
              <w:spacing w:after="0" w:line="240" w:lineRule="auto"/>
              <w:rPr>
                <w:rFonts w:ascii="Cambria" w:hAnsi="Cambria"/>
                <w:color w:val="000000" w:themeColor="text1"/>
              </w:rPr>
            </w:pPr>
            <w:proofErr w:type="spellStart"/>
            <w:r w:rsidRPr="00977220">
              <w:rPr>
                <w:rFonts w:ascii="Cambria" w:hAnsi="Cambria"/>
                <w:color w:val="000000" w:themeColor="text1"/>
              </w:rPr>
              <w:t>Mjesto</w:t>
            </w:r>
            <w:proofErr w:type="spellEnd"/>
            <w:r w:rsidRPr="00977220">
              <w:rPr>
                <w:rFonts w:ascii="Cambria" w:hAnsi="Cambria"/>
                <w:color w:val="000000" w:themeColor="text1"/>
              </w:rPr>
              <w:t xml:space="preserve"> </w:t>
            </w:r>
            <w:proofErr w:type="spellStart"/>
            <w:r w:rsidRPr="00977220">
              <w:rPr>
                <w:rFonts w:ascii="Cambria" w:hAnsi="Cambria"/>
                <w:color w:val="000000" w:themeColor="text1"/>
              </w:rPr>
              <w:t>izvođenja</w:t>
            </w:r>
            <w:proofErr w:type="spellEnd"/>
          </w:p>
        </w:tc>
        <w:tc>
          <w:tcPr>
            <w:tcW w:w="248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A7A680C" w14:textId="77777777" w:rsidR="00977220" w:rsidRPr="00977220" w:rsidRDefault="00977220" w:rsidP="00977220">
            <w:pPr>
              <w:spacing w:after="0" w:line="240" w:lineRule="auto"/>
              <w:rPr>
                <w:rFonts w:ascii="Cambria" w:hAnsi="Cambria"/>
                <w:color w:val="000000" w:themeColor="text1"/>
              </w:rPr>
            </w:pPr>
            <w:proofErr w:type="spellStart"/>
            <w:r w:rsidRPr="00977220">
              <w:rPr>
                <w:rFonts w:ascii="Cambria" w:hAnsi="Cambria"/>
                <w:color w:val="000000" w:themeColor="text1"/>
              </w:rPr>
              <w:t>Dvorana</w:t>
            </w:r>
            <w:proofErr w:type="spellEnd"/>
            <w:r w:rsidRPr="00977220">
              <w:rPr>
                <w:rFonts w:ascii="Cambria" w:hAnsi="Cambria"/>
                <w:color w:val="000000" w:themeColor="text1"/>
              </w:rPr>
              <w:t xml:space="preserve"> po </w:t>
            </w:r>
            <w:proofErr w:type="spellStart"/>
            <w:r w:rsidRPr="00977220">
              <w:rPr>
                <w:rFonts w:ascii="Cambria" w:hAnsi="Cambria"/>
                <w:color w:val="000000" w:themeColor="text1"/>
              </w:rPr>
              <w:t>rasporedu</w:t>
            </w:r>
            <w:proofErr w:type="spellEnd"/>
            <w:r w:rsidRPr="00977220">
              <w:rPr>
                <w:rFonts w:ascii="Cambria" w:hAnsi="Cambria"/>
                <w:color w:val="000000" w:themeColor="text1"/>
              </w:rPr>
              <w:t xml:space="preserve"> (</w:t>
            </w:r>
            <w:proofErr w:type="spellStart"/>
            <w:r w:rsidRPr="00977220">
              <w:rPr>
                <w:rFonts w:ascii="Cambria" w:hAnsi="Cambria"/>
                <w:color w:val="000000" w:themeColor="text1"/>
              </w:rPr>
              <w:t>Negrijeva</w:t>
            </w:r>
            <w:proofErr w:type="spellEnd"/>
            <w:r w:rsidRPr="00977220">
              <w:rPr>
                <w:rFonts w:ascii="Cambria" w:hAnsi="Cambria"/>
                <w:color w:val="000000" w:themeColor="text1"/>
              </w:rPr>
              <w:t xml:space="preserve"> 6)</w:t>
            </w:r>
          </w:p>
        </w:tc>
        <w:tc>
          <w:tcPr>
            <w:tcW w:w="1462"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74F67324" w14:textId="77777777" w:rsidR="00977220" w:rsidRPr="00977220" w:rsidRDefault="00977220" w:rsidP="00977220">
            <w:pPr>
              <w:spacing w:after="0" w:line="240" w:lineRule="auto"/>
              <w:rPr>
                <w:rFonts w:ascii="Cambria" w:hAnsi="Cambria"/>
                <w:color w:val="000000" w:themeColor="text1"/>
              </w:rPr>
            </w:pPr>
            <w:r w:rsidRPr="00977220">
              <w:rPr>
                <w:rFonts w:ascii="Cambria" w:hAnsi="Cambria"/>
                <w:color w:val="000000" w:themeColor="text1"/>
              </w:rPr>
              <w:t xml:space="preserve">Jezik </w:t>
            </w:r>
            <w:proofErr w:type="spellStart"/>
            <w:r w:rsidRPr="00977220">
              <w:rPr>
                <w:rFonts w:ascii="Cambria" w:hAnsi="Cambria"/>
                <w:color w:val="000000" w:themeColor="text1"/>
              </w:rPr>
              <w:t>izvođenja</w:t>
            </w:r>
            <w:proofErr w:type="spellEnd"/>
            <w:r w:rsidRPr="00977220">
              <w:rPr>
                <w:rFonts w:ascii="Cambria" w:hAnsi="Cambria"/>
                <w:color w:val="000000" w:themeColor="text1"/>
              </w:rPr>
              <w:t xml:space="preserve"> (</w:t>
            </w:r>
            <w:proofErr w:type="spellStart"/>
            <w:r w:rsidRPr="00977220">
              <w:rPr>
                <w:rFonts w:ascii="Cambria" w:hAnsi="Cambria"/>
                <w:color w:val="000000" w:themeColor="text1"/>
              </w:rPr>
              <w:t>drugi</w:t>
            </w:r>
            <w:proofErr w:type="spellEnd"/>
            <w:r w:rsidRPr="00977220">
              <w:rPr>
                <w:rFonts w:ascii="Cambria" w:hAnsi="Cambria"/>
                <w:color w:val="000000" w:themeColor="text1"/>
              </w:rPr>
              <w:t xml:space="preserve"> </w:t>
            </w:r>
            <w:proofErr w:type="spellStart"/>
            <w:r w:rsidRPr="00977220">
              <w:rPr>
                <w:rFonts w:ascii="Cambria" w:hAnsi="Cambria"/>
                <w:color w:val="000000" w:themeColor="text1"/>
              </w:rPr>
              <w:t>jezici</w:t>
            </w:r>
            <w:proofErr w:type="spellEnd"/>
            <w:r w:rsidRPr="00977220">
              <w:rPr>
                <w:rFonts w:ascii="Cambria" w:hAnsi="Cambria"/>
                <w:color w:val="000000" w:themeColor="text1"/>
              </w:rPr>
              <w:t>)</w:t>
            </w:r>
          </w:p>
        </w:tc>
        <w:tc>
          <w:tcPr>
            <w:tcW w:w="2769"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DAC23AA" w14:textId="2127DB70" w:rsidR="00977220" w:rsidRPr="00977220" w:rsidRDefault="00977220" w:rsidP="00977220">
            <w:pPr>
              <w:spacing w:after="0" w:line="240" w:lineRule="auto"/>
              <w:rPr>
                <w:rFonts w:ascii="Cambria" w:hAnsi="Cambria"/>
                <w:color w:val="000000" w:themeColor="text1"/>
              </w:rPr>
            </w:pPr>
            <w:proofErr w:type="spellStart"/>
            <w:r>
              <w:rPr>
                <w:rFonts w:ascii="Cambria" w:hAnsi="Cambria"/>
                <w:color w:val="000000" w:themeColor="text1"/>
              </w:rPr>
              <w:t>t</w:t>
            </w:r>
            <w:r w:rsidRPr="00977220">
              <w:rPr>
                <w:rFonts w:ascii="Cambria" w:hAnsi="Cambria"/>
                <w:color w:val="000000" w:themeColor="text1"/>
              </w:rPr>
              <w:t>alijanski</w:t>
            </w:r>
            <w:proofErr w:type="spellEnd"/>
          </w:p>
          <w:p w14:paraId="3FE106B3" w14:textId="77777777" w:rsidR="00977220" w:rsidRPr="00977220" w:rsidRDefault="00977220" w:rsidP="00977220">
            <w:pPr>
              <w:spacing w:after="0" w:line="240" w:lineRule="auto"/>
              <w:rPr>
                <w:rFonts w:ascii="Cambria" w:hAnsi="Cambria"/>
                <w:color w:val="000000" w:themeColor="text1"/>
              </w:rPr>
            </w:pPr>
          </w:p>
        </w:tc>
      </w:tr>
      <w:tr w:rsidR="00977220" w:rsidRPr="00DA7312" w14:paraId="2EAF594E" w14:textId="77777777" w:rsidTr="00D74364">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13251B1" w14:textId="77777777" w:rsidR="00977220" w:rsidRPr="00977220" w:rsidRDefault="00977220" w:rsidP="00977220">
            <w:pPr>
              <w:spacing w:after="0" w:line="240" w:lineRule="auto"/>
              <w:rPr>
                <w:rFonts w:ascii="Cambria" w:hAnsi="Cambria"/>
                <w:color w:val="000000" w:themeColor="text1"/>
              </w:rPr>
            </w:pPr>
            <w:proofErr w:type="spellStart"/>
            <w:r w:rsidRPr="00977220">
              <w:rPr>
                <w:rFonts w:ascii="Cambria" w:hAnsi="Cambria"/>
                <w:color w:val="000000" w:themeColor="text1"/>
              </w:rPr>
              <w:t>Broj</w:t>
            </w:r>
            <w:proofErr w:type="spellEnd"/>
            <w:r w:rsidRPr="00977220">
              <w:rPr>
                <w:rFonts w:ascii="Cambria" w:hAnsi="Cambria"/>
                <w:color w:val="000000" w:themeColor="text1"/>
              </w:rPr>
              <w:t xml:space="preserve"> ECTS </w:t>
            </w:r>
            <w:proofErr w:type="spellStart"/>
            <w:r w:rsidRPr="00977220">
              <w:rPr>
                <w:rFonts w:ascii="Cambria" w:hAnsi="Cambria"/>
                <w:color w:val="000000" w:themeColor="text1"/>
              </w:rPr>
              <w:t>bodova</w:t>
            </w:r>
            <w:proofErr w:type="spellEnd"/>
          </w:p>
        </w:tc>
        <w:tc>
          <w:tcPr>
            <w:tcW w:w="248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274AE0C" w14:textId="77777777" w:rsidR="00977220" w:rsidRPr="00977220" w:rsidRDefault="00977220" w:rsidP="00977220">
            <w:pPr>
              <w:spacing w:after="0" w:line="240" w:lineRule="auto"/>
              <w:rPr>
                <w:rFonts w:ascii="Cambria" w:hAnsi="Cambria"/>
                <w:color w:val="000000" w:themeColor="text1"/>
              </w:rPr>
            </w:pPr>
            <w:r w:rsidRPr="00977220">
              <w:rPr>
                <w:rFonts w:ascii="Cambria" w:hAnsi="Cambria"/>
                <w:color w:val="000000" w:themeColor="text1"/>
              </w:rPr>
              <w:t>2</w:t>
            </w:r>
          </w:p>
        </w:tc>
        <w:tc>
          <w:tcPr>
            <w:tcW w:w="1462"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7145C56B" w14:textId="77777777" w:rsidR="00977220" w:rsidRPr="00977220" w:rsidRDefault="00977220" w:rsidP="00977220">
            <w:pPr>
              <w:spacing w:after="0" w:line="240" w:lineRule="auto"/>
              <w:rPr>
                <w:rFonts w:ascii="Cambria" w:hAnsi="Cambria"/>
                <w:color w:val="000000" w:themeColor="text1"/>
              </w:rPr>
            </w:pPr>
            <w:proofErr w:type="spellStart"/>
            <w:r w:rsidRPr="00977220">
              <w:rPr>
                <w:rFonts w:ascii="Cambria" w:hAnsi="Cambria"/>
                <w:color w:val="000000" w:themeColor="text1"/>
              </w:rPr>
              <w:t>Broj</w:t>
            </w:r>
            <w:proofErr w:type="spellEnd"/>
            <w:r w:rsidRPr="00977220">
              <w:rPr>
                <w:rFonts w:ascii="Cambria" w:hAnsi="Cambria"/>
                <w:color w:val="000000" w:themeColor="text1"/>
              </w:rPr>
              <w:t xml:space="preserve"> sati u </w:t>
            </w:r>
            <w:proofErr w:type="spellStart"/>
            <w:r w:rsidRPr="00977220">
              <w:rPr>
                <w:rFonts w:ascii="Cambria" w:hAnsi="Cambria"/>
                <w:color w:val="000000" w:themeColor="text1"/>
              </w:rPr>
              <w:t>semestru</w:t>
            </w:r>
            <w:proofErr w:type="spellEnd"/>
          </w:p>
        </w:tc>
        <w:tc>
          <w:tcPr>
            <w:tcW w:w="2769"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CB38984" w14:textId="77777777" w:rsidR="00977220" w:rsidRPr="00977220" w:rsidRDefault="00977220" w:rsidP="00977220">
            <w:pPr>
              <w:spacing w:after="0" w:line="240" w:lineRule="auto"/>
              <w:rPr>
                <w:rFonts w:ascii="Cambria" w:hAnsi="Cambria"/>
                <w:color w:val="000000" w:themeColor="text1"/>
              </w:rPr>
            </w:pPr>
            <w:r w:rsidRPr="00977220">
              <w:rPr>
                <w:rFonts w:ascii="Cambria" w:hAnsi="Cambria"/>
                <w:color w:val="000000" w:themeColor="text1"/>
              </w:rPr>
              <w:t xml:space="preserve">15P – 15S – 0V   </w:t>
            </w:r>
          </w:p>
        </w:tc>
      </w:tr>
      <w:tr w:rsidR="00977220" w:rsidRPr="00DA7312" w14:paraId="33917111" w14:textId="77777777" w:rsidTr="00D74364">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801E2B3" w14:textId="77777777" w:rsidR="00977220" w:rsidRPr="00977220" w:rsidRDefault="00977220" w:rsidP="00977220">
            <w:pPr>
              <w:spacing w:after="0" w:line="240" w:lineRule="auto"/>
              <w:rPr>
                <w:rFonts w:ascii="Cambria" w:hAnsi="Cambria"/>
                <w:color w:val="000000" w:themeColor="text1"/>
                <w:lang w:val="it-IT"/>
              </w:rPr>
            </w:pPr>
            <w:proofErr w:type="spellStart"/>
            <w:r w:rsidRPr="00977220">
              <w:rPr>
                <w:rFonts w:ascii="Cambria" w:hAnsi="Cambria"/>
                <w:color w:val="000000" w:themeColor="text1"/>
                <w:lang w:val="it-IT"/>
              </w:rPr>
              <w:t>Preduvjeti</w:t>
            </w:r>
            <w:proofErr w:type="spellEnd"/>
            <w:r w:rsidRPr="00977220">
              <w:rPr>
                <w:rFonts w:ascii="Cambria" w:hAnsi="Cambria"/>
                <w:color w:val="000000" w:themeColor="text1"/>
                <w:lang w:val="it-IT"/>
              </w:rPr>
              <w:t xml:space="preserve"> za </w:t>
            </w:r>
            <w:proofErr w:type="spellStart"/>
            <w:r w:rsidRPr="00977220">
              <w:rPr>
                <w:rFonts w:ascii="Cambria" w:hAnsi="Cambria"/>
                <w:color w:val="000000" w:themeColor="text1"/>
                <w:lang w:val="it-IT"/>
              </w:rPr>
              <w:t>upis</w:t>
            </w:r>
            <w:proofErr w:type="spellEnd"/>
            <w:r w:rsidRPr="00977220">
              <w:rPr>
                <w:rFonts w:ascii="Cambria" w:hAnsi="Cambria"/>
                <w:color w:val="000000" w:themeColor="text1"/>
                <w:lang w:val="it-IT"/>
              </w:rPr>
              <w:t xml:space="preserve"> i za </w:t>
            </w:r>
            <w:proofErr w:type="spellStart"/>
            <w:r w:rsidRPr="00977220">
              <w:rPr>
                <w:rFonts w:ascii="Cambria" w:hAnsi="Cambria"/>
                <w:color w:val="000000" w:themeColor="text1"/>
                <w:lang w:val="it-IT"/>
              </w:rPr>
              <w:t>svladavanje</w:t>
            </w:r>
            <w:proofErr w:type="spellEnd"/>
          </w:p>
        </w:tc>
        <w:tc>
          <w:tcPr>
            <w:tcW w:w="671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B62ACF2" w14:textId="77777777" w:rsidR="00977220" w:rsidRPr="00977220" w:rsidRDefault="00977220" w:rsidP="00977220">
            <w:pPr>
              <w:spacing w:after="0" w:line="240" w:lineRule="auto"/>
              <w:rPr>
                <w:rFonts w:ascii="Cambria" w:hAnsi="Cambria"/>
                <w:color w:val="000000" w:themeColor="text1"/>
              </w:rPr>
            </w:pPr>
            <w:r w:rsidRPr="00977220">
              <w:rPr>
                <w:rFonts w:ascii="Cambria" w:hAnsi="Cambria"/>
                <w:color w:val="000000" w:themeColor="text1"/>
              </w:rPr>
              <w:t xml:space="preserve">Nema </w:t>
            </w:r>
            <w:proofErr w:type="spellStart"/>
            <w:r w:rsidRPr="00977220">
              <w:rPr>
                <w:rFonts w:ascii="Cambria" w:hAnsi="Cambria"/>
                <w:color w:val="000000" w:themeColor="text1"/>
              </w:rPr>
              <w:t>preduvjeta</w:t>
            </w:r>
            <w:proofErr w:type="spellEnd"/>
            <w:r w:rsidRPr="00977220">
              <w:rPr>
                <w:rFonts w:ascii="Cambria" w:hAnsi="Cambria"/>
                <w:color w:val="000000" w:themeColor="text1"/>
              </w:rPr>
              <w:t xml:space="preserve"> za </w:t>
            </w:r>
            <w:proofErr w:type="spellStart"/>
            <w:r w:rsidRPr="00977220">
              <w:rPr>
                <w:rFonts w:ascii="Cambria" w:hAnsi="Cambria"/>
                <w:color w:val="000000" w:themeColor="text1"/>
              </w:rPr>
              <w:t>upis</w:t>
            </w:r>
            <w:proofErr w:type="spellEnd"/>
            <w:r w:rsidRPr="00977220">
              <w:rPr>
                <w:rFonts w:ascii="Cambria" w:hAnsi="Cambria"/>
                <w:color w:val="000000" w:themeColor="text1"/>
              </w:rPr>
              <w:t>.</w:t>
            </w:r>
          </w:p>
        </w:tc>
      </w:tr>
      <w:tr w:rsidR="00977220" w:rsidRPr="00DA7312" w14:paraId="5F58E66A" w14:textId="77777777" w:rsidTr="00D74364">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DAB7902" w14:textId="77777777" w:rsidR="00977220" w:rsidRPr="00977220" w:rsidRDefault="00977220" w:rsidP="00977220">
            <w:pPr>
              <w:spacing w:after="0" w:line="240" w:lineRule="auto"/>
              <w:rPr>
                <w:rFonts w:ascii="Cambria" w:hAnsi="Cambria"/>
                <w:color w:val="000000" w:themeColor="text1"/>
              </w:rPr>
            </w:pPr>
            <w:proofErr w:type="spellStart"/>
            <w:r w:rsidRPr="00977220">
              <w:rPr>
                <w:rFonts w:ascii="Cambria" w:hAnsi="Cambria"/>
                <w:color w:val="000000" w:themeColor="text1"/>
              </w:rPr>
              <w:t>Korelativnost</w:t>
            </w:r>
            <w:proofErr w:type="spellEnd"/>
          </w:p>
        </w:tc>
        <w:tc>
          <w:tcPr>
            <w:tcW w:w="671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64E27C7" w14:textId="77777777" w:rsidR="00977220" w:rsidRPr="00977220" w:rsidRDefault="00977220" w:rsidP="00977220">
            <w:pPr>
              <w:spacing w:after="0" w:line="240" w:lineRule="auto"/>
              <w:rPr>
                <w:rFonts w:ascii="Cambria" w:hAnsi="Cambria"/>
                <w:color w:val="000000" w:themeColor="text1"/>
              </w:rPr>
            </w:pPr>
            <w:proofErr w:type="spellStart"/>
            <w:r w:rsidRPr="00977220">
              <w:rPr>
                <w:rFonts w:ascii="Cambria" w:hAnsi="Cambria"/>
                <w:color w:val="000000" w:themeColor="text1"/>
              </w:rPr>
              <w:t>Sociolingvistika</w:t>
            </w:r>
            <w:proofErr w:type="spellEnd"/>
            <w:r w:rsidRPr="00977220">
              <w:rPr>
                <w:rFonts w:ascii="Cambria" w:hAnsi="Cambria"/>
                <w:color w:val="000000" w:themeColor="text1"/>
              </w:rPr>
              <w:t xml:space="preserve">, </w:t>
            </w:r>
            <w:proofErr w:type="spellStart"/>
            <w:r w:rsidRPr="00977220">
              <w:rPr>
                <w:rFonts w:ascii="Cambria" w:hAnsi="Cambria"/>
                <w:color w:val="000000" w:themeColor="text1"/>
              </w:rPr>
              <w:t>Psiholingvistika</w:t>
            </w:r>
            <w:proofErr w:type="spellEnd"/>
            <w:r w:rsidRPr="00977220">
              <w:rPr>
                <w:rFonts w:ascii="Cambria" w:hAnsi="Cambria"/>
                <w:color w:val="000000" w:themeColor="text1"/>
              </w:rPr>
              <w:t xml:space="preserve">, </w:t>
            </w:r>
            <w:proofErr w:type="spellStart"/>
            <w:r w:rsidRPr="00977220">
              <w:rPr>
                <w:rFonts w:ascii="Cambria" w:hAnsi="Cambria"/>
                <w:color w:val="000000" w:themeColor="text1"/>
              </w:rPr>
              <w:t>Glotodidaktika</w:t>
            </w:r>
            <w:proofErr w:type="spellEnd"/>
          </w:p>
        </w:tc>
      </w:tr>
      <w:tr w:rsidR="00977220" w:rsidRPr="00DA7312" w14:paraId="24D1E8B5" w14:textId="77777777" w:rsidTr="00D74364">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08C6AA3" w14:textId="77777777" w:rsidR="00977220" w:rsidRPr="00977220" w:rsidRDefault="00977220" w:rsidP="00977220">
            <w:pPr>
              <w:spacing w:after="0" w:line="240" w:lineRule="auto"/>
              <w:rPr>
                <w:rFonts w:ascii="Cambria" w:hAnsi="Cambria"/>
                <w:color w:val="000000" w:themeColor="text1"/>
              </w:rPr>
            </w:pPr>
            <w:proofErr w:type="spellStart"/>
            <w:r w:rsidRPr="00977220">
              <w:rPr>
                <w:rFonts w:ascii="Cambria" w:hAnsi="Cambria"/>
                <w:color w:val="000000" w:themeColor="text1"/>
              </w:rPr>
              <w:t>Cilj</w:t>
            </w:r>
            <w:proofErr w:type="spellEnd"/>
            <w:r w:rsidRPr="00977220">
              <w:rPr>
                <w:rFonts w:ascii="Cambria" w:hAnsi="Cambria"/>
                <w:color w:val="000000" w:themeColor="text1"/>
              </w:rPr>
              <w:t xml:space="preserve"> </w:t>
            </w:r>
            <w:proofErr w:type="spellStart"/>
            <w:r w:rsidRPr="00977220">
              <w:rPr>
                <w:rFonts w:ascii="Cambria" w:hAnsi="Cambria"/>
                <w:color w:val="000000" w:themeColor="text1"/>
              </w:rPr>
              <w:t>kolegija</w:t>
            </w:r>
            <w:proofErr w:type="spellEnd"/>
            <w:r w:rsidRPr="00977220">
              <w:rPr>
                <w:rFonts w:ascii="Cambria" w:hAnsi="Cambria"/>
                <w:color w:val="000000" w:themeColor="text1"/>
              </w:rPr>
              <w:t xml:space="preserve"> </w:t>
            </w:r>
          </w:p>
        </w:tc>
        <w:tc>
          <w:tcPr>
            <w:tcW w:w="671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5E3F243" w14:textId="2970E1F0" w:rsidR="00977220" w:rsidRPr="00977220" w:rsidRDefault="00977220" w:rsidP="00977220">
            <w:pPr>
              <w:spacing w:after="0" w:line="240" w:lineRule="auto"/>
              <w:rPr>
                <w:rFonts w:ascii="Cambria" w:hAnsi="Cambria"/>
                <w:color w:val="000000" w:themeColor="text1"/>
              </w:rPr>
            </w:pPr>
            <w:proofErr w:type="spellStart"/>
            <w:r>
              <w:rPr>
                <w:rFonts w:ascii="Cambria" w:hAnsi="Cambria"/>
                <w:color w:val="000000" w:themeColor="text1"/>
              </w:rPr>
              <w:t>o</w:t>
            </w:r>
            <w:r w:rsidRPr="00977220">
              <w:rPr>
                <w:rFonts w:ascii="Cambria" w:hAnsi="Cambria"/>
                <w:color w:val="000000" w:themeColor="text1"/>
              </w:rPr>
              <w:t>vladati</w:t>
            </w:r>
            <w:proofErr w:type="spellEnd"/>
            <w:r w:rsidRPr="00977220">
              <w:rPr>
                <w:rFonts w:ascii="Cambria" w:hAnsi="Cambria"/>
                <w:color w:val="000000" w:themeColor="text1"/>
              </w:rPr>
              <w:t xml:space="preserve"> </w:t>
            </w:r>
            <w:proofErr w:type="spellStart"/>
            <w:r w:rsidRPr="00977220">
              <w:rPr>
                <w:rFonts w:ascii="Cambria" w:hAnsi="Cambria"/>
                <w:color w:val="000000" w:themeColor="text1"/>
              </w:rPr>
              <w:t>teorijskim</w:t>
            </w:r>
            <w:proofErr w:type="spellEnd"/>
            <w:r w:rsidRPr="00977220">
              <w:rPr>
                <w:rFonts w:ascii="Cambria" w:hAnsi="Cambria"/>
                <w:color w:val="000000" w:themeColor="text1"/>
              </w:rPr>
              <w:t xml:space="preserve"> </w:t>
            </w:r>
            <w:proofErr w:type="spellStart"/>
            <w:r w:rsidRPr="00977220">
              <w:rPr>
                <w:rFonts w:ascii="Cambria" w:hAnsi="Cambria"/>
                <w:color w:val="000000" w:themeColor="text1"/>
              </w:rPr>
              <w:t>osnovama</w:t>
            </w:r>
            <w:proofErr w:type="spellEnd"/>
            <w:r w:rsidRPr="00977220">
              <w:rPr>
                <w:rFonts w:ascii="Cambria" w:hAnsi="Cambria"/>
                <w:color w:val="000000" w:themeColor="text1"/>
              </w:rPr>
              <w:t xml:space="preserve"> </w:t>
            </w:r>
            <w:proofErr w:type="spellStart"/>
            <w:r w:rsidRPr="00977220">
              <w:rPr>
                <w:rFonts w:ascii="Cambria" w:hAnsi="Cambria"/>
                <w:color w:val="000000" w:themeColor="text1"/>
              </w:rPr>
              <w:t>ranog</w:t>
            </w:r>
            <w:proofErr w:type="spellEnd"/>
            <w:r w:rsidRPr="00977220">
              <w:rPr>
                <w:rFonts w:ascii="Cambria" w:hAnsi="Cambria"/>
                <w:color w:val="000000" w:themeColor="text1"/>
              </w:rPr>
              <w:t xml:space="preserve"> </w:t>
            </w:r>
            <w:proofErr w:type="spellStart"/>
            <w:r w:rsidRPr="00977220">
              <w:rPr>
                <w:rFonts w:ascii="Cambria" w:hAnsi="Cambria"/>
                <w:color w:val="000000" w:themeColor="text1"/>
              </w:rPr>
              <w:t>dvojezičnog</w:t>
            </w:r>
            <w:proofErr w:type="spellEnd"/>
            <w:r w:rsidRPr="00977220">
              <w:rPr>
                <w:rFonts w:ascii="Cambria" w:hAnsi="Cambria"/>
                <w:color w:val="000000" w:themeColor="text1"/>
              </w:rPr>
              <w:t>/</w:t>
            </w:r>
            <w:proofErr w:type="spellStart"/>
            <w:r w:rsidRPr="00977220">
              <w:rPr>
                <w:rFonts w:ascii="Cambria" w:hAnsi="Cambria"/>
                <w:color w:val="000000" w:themeColor="text1"/>
              </w:rPr>
              <w:t>višejezičnoga</w:t>
            </w:r>
            <w:proofErr w:type="spellEnd"/>
            <w:r w:rsidRPr="00977220">
              <w:rPr>
                <w:rFonts w:ascii="Cambria" w:hAnsi="Cambria"/>
                <w:color w:val="000000" w:themeColor="text1"/>
              </w:rPr>
              <w:t xml:space="preserve"> </w:t>
            </w:r>
            <w:proofErr w:type="spellStart"/>
            <w:r w:rsidRPr="00977220">
              <w:rPr>
                <w:rFonts w:ascii="Cambria" w:hAnsi="Cambria"/>
                <w:color w:val="000000" w:themeColor="text1"/>
              </w:rPr>
              <w:t>ovladavanja</w:t>
            </w:r>
            <w:proofErr w:type="spellEnd"/>
            <w:r w:rsidRPr="00977220">
              <w:rPr>
                <w:rFonts w:ascii="Cambria" w:hAnsi="Cambria"/>
                <w:color w:val="000000" w:themeColor="text1"/>
              </w:rPr>
              <w:t xml:space="preserve">, </w:t>
            </w:r>
            <w:proofErr w:type="spellStart"/>
            <w:r w:rsidRPr="00977220">
              <w:rPr>
                <w:rFonts w:ascii="Cambria" w:hAnsi="Cambria"/>
                <w:color w:val="000000" w:themeColor="text1"/>
              </w:rPr>
              <w:t>razvoja</w:t>
            </w:r>
            <w:proofErr w:type="spellEnd"/>
            <w:r w:rsidRPr="00977220">
              <w:rPr>
                <w:rFonts w:ascii="Cambria" w:hAnsi="Cambria"/>
                <w:color w:val="000000" w:themeColor="text1"/>
              </w:rPr>
              <w:t xml:space="preserve">, </w:t>
            </w:r>
            <w:proofErr w:type="spellStart"/>
            <w:r w:rsidRPr="00977220">
              <w:rPr>
                <w:rFonts w:ascii="Cambria" w:hAnsi="Cambria"/>
                <w:color w:val="000000" w:themeColor="text1"/>
              </w:rPr>
              <w:t>ustroja</w:t>
            </w:r>
            <w:proofErr w:type="spellEnd"/>
            <w:r w:rsidRPr="00977220">
              <w:rPr>
                <w:rFonts w:ascii="Cambria" w:hAnsi="Cambria"/>
                <w:color w:val="000000" w:themeColor="text1"/>
              </w:rPr>
              <w:t xml:space="preserve"> </w:t>
            </w:r>
            <w:proofErr w:type="spellStart"/>
            <w:r w:rsidRPr="00977220">
              <w:rPr>
                <w:rFonts w:ascii="Cambria" w:hAnsi="Cambria"/>
                <w:color w:val="000000" w:themeColor="text1"/>
              </w:rPr>
              <w:t>i</w:t>
            </w:r>
            <w:proofErr w:type="spellEnd"/>
            <w:r w:rsidRPr="00977220">
              <w:rPr>
                <w:rFonts w:ascii="Cambria" w:hAnsi="Cambria"/>
                <w:color w:val="000000" w:themeColor="text1"/>
              </w:rPr>
              <w:t xml:space="preserve"> </w:t>
            </w:r>
            <w:proofErr w:type="spellStart"/>
            <w:r w:rsidRPr="00977220">
              <w:rPr>
                <w:rFonts w:ascii="Cambria" w:hAnsi="Cambria"/>
                <w:color w:val="000000" w:themeColor="text1"/>
              </w:rPr>
              <w:t>obrade</w:t>
            </w:r>
            <w:proofErr w:type="spellEnd"/>
          </w:p>
        </w:tc>
      </w:tr>
      <w:tr w:rsidR="00977220" w:rsidRPr="00977220" w14:paraId="5E736808" w14:textId="77777777" w:rsidTr="00D74364">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3D91E9A" w14:textId="77777777" w:rsidR="00977220" w:rsidRPr="00977220" w:rsidRDefault="00977220" w:rsidP="00977220">
            <w:pPr>
              <w:spacing w:after="0" w:line="240" w:lineRule="auto"/>
              <w:rPr>
                <w:rFonts w:ascii="Cambria" w:hAnsi="Cambria"/>
                <w:color w:val="000000" w:themeColor="text1"/>
              </w:rPr>
            </w:pPr>
            <w:proofErr w:type="spellStart"/>
            <w:r w:rsidRPr="00977220">
              <w:rPr>
                <w:rFonts w:ascii="Cambria" w:hAnsi="Cambria"/>
                <w:color w:val="000000" w:themeColor="text1"/>
              </w:rPr>
              <w:t>Ishodi</w:t>
            </w:r>
            <w:proofErr w:type="spellEnd"/>
            <w:r w:rsidRPr="00977220">
              <w:rPr>
                <w:rFonts w:ascii="Cambria" w:hAnsi="Cambria"/>
                <w:color w:val="000000" w:themeColor="text1"/>
              </w:rPr>
              <w:t xml:space="preserve"> </w:t>
            </w:r>
            <w:proofErr w:type="spellStart"/>
            <w:r w:rsidRPr="00977220">
              <w:rPr>
                <w:rFonts w:ascii="Cambria" w:hAnsi="Cambria"/>
                <w:color w:val="000000" w:themeColor="text1"/>
              </w:rPr>
              <w:t>učenja</w:t>
            </w:r>
            <w:proofErr w:type="spellEnd"/>
          </w:p>
        </w:tc>
        <w:tc>
          <w:tcPr>
            <w:tcW w:w="671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7527438" w14:textId="77777777" w:rsidR="00977220" w:rsidRDefault="00977220" w:rsidP="00977220">
            <w:pPr>
              <w:spacing w:after="0" w:line="240" w:lineRule="auto"/>
              <w:rPr>
                <w:rFonts w:ascii="Cambria" w:hAnsi="Cambria"/>
                <w:color w:val="000000" w:themeColor="text1"/>
              </w:rPr>
            </w:pPr>
            <w:r>
              <w:rPr>
                <w:rFonts w:ascii="Cambria" w:hAnsi="Cambria"/>
                <w:color w:val="000000" w:themeColor="text1"/>
              </w:rPr>
              <w:t xml:space="preserve">1. </w:t>
            </w:r>
            <w:proofErr w:type="spellStart"/>
            <w:r>
              <w:rPr>
                <w:rFonts w:ascii="Cambria" w:hAnsi="Cambria"/>
                <w:color w:val="000000" w:themeColor="text1"/>
              </w:rPr>
              <w:t>d</w:t>
            </w:r>
            <w:r w:rsidRPr="00977220">
              <w:rPr>
                <w:rFonts w:ascii="Cambria" w:hAnsi="Cambria"/>
                <w:color w:val="000000" w:themeColor="text1"/>
              </w:rPr>
              <w:t>efinirati</w:t>
            </w:r>
            <w:proofErr w:type="spellEnd"/>
            <w:r w:rsidRPr="00977220">
              <w:rPr>
                <w:rFonts w:ascii="Cambria" w:hAnsi="Cambria"/>
                <w:color w:val="000000" w:themeColor="text1"/>
              </w:rPr>
              <w:t xml:space="preserve"> </w:t>
            </w:r>
            <w:proofErr w:type="spellStart"/>
            <w:r w:rsidRPr="00977220">
              <w:rPr>
                <w:rFonts w:ascii="Cambria" w:hAnsi="Cambria"/>
                <w:color w:val="000000" w:themeColor="text1"/>
              </w:rPr>
              <w:t>temeljne</w:t>
            </w:r>
            <w:proofErr w:type="spellEnd"/>
            <w:r w:rsidRPr="00977220">
              <w:rPr>
                <w:rFonts w:ascii="Cambria" w:hAnsi="Cambria"/>
                <w:color w:val="000000" w:themeColor="text1"/>
              </w:rPr>
              <w:t xml:space="preserve"> </w:t>
            </w:r>
            <w:proofErr w:type="spellStart"/>
            <w:r w:rsidRPr="00977220">
              <w:rPr>
                <w:rFonts w:ascii="Cambria" w:hAnsi="Cambria"/>
                <w:color w:val="000000" w:themeColor="text1"/>
              </w:rPr>
              <w:t>pojmove</w:t>
            </w:r>
            <w:proofErr w:type="spellEnd"/>
            <w:r w:rsidRPr="00977220">
              <w:rPr>
                <w:rFonts w:ascii="Cambria" w:hAnsi="Cambria"/>
                <w:color w:val="000000" w:themeColor="text1"/>
              </w:rPr>
              <w:t xml:space="preserve">, </w:t>
            </w:r>
            <w:proofErr w:type="spellStart"/>
            <w:r w:rsidRPr="00977220">
              <w:rPr>
                <w:rFonts w:ascii="Cambria" w:hAnsi="Cambria"/>
                <w:color w:val="000000" w:themeColor="text1"/>
              </w:rPr>
              <w:t>oblike</w:t>
            </w:r>
            <w:proofErr w:type="spellEnd"/>
            <w:r w:rsidRPr="00977220">
              <w:rPr>
                <w:rFonts w:ascii="Cambria" w:hAnsi="Cambria"/>
                <w:color w:val="000000" w:themeColor="text1"/>
              </w:rPr>
              <w:t xml:space="preserve"> </w:t>
            </w:r>
            <w:proofErr w:type="spellStart"/>
            <w:r w:rsidRPr="00977220">
              <w:rPr>
                <w:rFonts w:ascii="Cambria" w:hAnsi="Cambria"/>
                <w:color w:val="000000" w:themeColor="text1"/>
              </w:rPr>
              <w:t>i</w:t>
            </w:r>
            <w:proofErr w:type="spellEnd"/>
            <w:r w:rsidRPr="00977220">
              <w:rPr>
                <w:rFonts w:ascii="Cambria" w:hAnsi="Cambria"/>
                <w:color w:val="000000" w:themeColor="text1"/>
              </w:rPr>
              <w:t xml:space="preserve"> </w:t>
            </w:r>
            <w:proofErr w:type="spellStart"/>
            <w:r w:rsidRPr="00977220">
              <w:rPr>
                <w:rFonts w:ascii="Cambria" w:hAnsi="Cambria"/>
                <w:color w:val="000000" w:themeColor="text1"/>
              </w:rPr>
              <w:t>metode</w:t>
            </w:r>
            <w:proofErr w:type="spellEnd"/>
            <w:r w:rsidRPr="00977220">
              <w:rPr>
                <w:rFonts w:ascii="Cambria" w:hAnsi="Cambria"/>
                <w:color w:val="000000" w:themeColor="text1"/>
              </w:rPr>
              <w:t xml:space="preserve"> </w:t>
            </w:r>
            <w:proofErr w:type="spellStart"/>
            <w:r w:rsidRPr="00977220">
              <w:rPr>
                <w:rFonts w:ascii="Cambria" w:hAnsi="Cambria"/>
                <w:color w:val="000000" w:themeColor="text1"/>
              </w:rPr>
              <w:t>dvojezičnog</w:t>
            </w:r>
            <w:proofErr w:type="spellEnd"/>
            <w:r w:rsidRPr="00977220">
              <w:rPr>
                <w:rFonts w:ascii="Cambria" w:hAnsi="Cambria"/>
                <w:color w:val="000000" w:themeColor="text1"/>
              </w:rPr>
              <w:t>/</w:t>
            </w:r>
            <w:proofErr w:type="spellStart"/>
            <w:r w:rsidRPr="00977220">
              <w:rPr>
                <w:rFonts w:ascii="Cambria" w:hAnsi="Cambria"/>
                <w:color w:val="000000" w:themeColor="text1"/>
              </w:rPr>
              <w:t>višejezičnog</w:t>
            </w:r>
            <w:proofErr w:type="spellEnd"/>
            <w:r w:rsidRPr="00977220">
              <w:rPr>
                <w:rFonts w:ascii="Cambria" w:hAnsi="Cambria"/>
                <w:color w:val="000000" w:themeColor="text1"/>
              </w:rPr>
              <w:t xml:space="preserve"> </w:t>
            </w:r>
            <w:proofErr w:type="spellStart"/>
            <w:r w:rsidRPr="00977220">
              <w:rPr>
                <w:rFonts w:ascii="Cambria" w:hAnsi="Cambria"/>
                <w:color w:val="000000" w:themeColor="text1"/>
              </w:rPr>
              <w:t>ovladavanja</w:t>
            </w:r>
            <w:proofErr w:type="spellEnd"/>
            <w:r w:rsidRPr="00977220">
              <w:rPr>
                <w:rFonts w:ascii="Cambria" w:hAnsi="Cambria"/>
                <w:color w:val="000000" w:themeColor="text1"/>
              </w:rPr>
              <w:t xml:space="preserve"> </w:t>
            </w:r>
            <w:proofErr w:type="spellStart"/>
            <w:r w:rsidRPr="00977220">
              <w:rPr>
                <w:rFonts w:ascii="Cambria" w:hAnsi="Cambria"/>
                <w:color w:val="000000" w:themeColor="text1"/>
              </w:rPr>
              <w:t>i</w:t>
            </w:r>
            <w:proofErr w:type="spellEnd"/>
            <w:r w:rsidRPr="00977220">
              <w:rPr>
                <w:rFonts w:ascii="Cambria" w:hAnsi="Cambria"/>
                <w:color w:val="000000" w:themeColor="text1"/>
              </w:rPr>
              <w:t xml:space="preserve"> </w:t>
            </w:r>
            <w:proofErr w:type="spellStart"/>
            <w:r w:rsidRPr="00977220">
              <w:rPr>
                <w:rFonts w:ascii="Cambria" w:hAnsi="Cambria"/>
                <w:color w:val="000000" w:themeColor="text1"/>
              </w:rPr>
              <w:t>obrazovanja</w:t>
            </w:r>
            <w:proofErr w:type="spellEnd"/>
          </w:p>
          <w:p w14:paraId="3AFE11E6" w14:textId="77777777" w:rsidR="00977220" w:rsidRDefault="00977220" w:rsidP="00977220">
            <w:pPr>
              <w:spacing w:after="0" w:line="240" w:lineRule="auto"/>
              <w:rPr>
                <w:rFonts w:ascii="Cambria" w:hAnsi="Cambria"/>
                <w:color w:val="000000" w:themeColor="text1"/>
              </w:rPr>
            </w:pPr>
            <w:r>
              <w:rPr>
                <w:rFonts w:ascii="Cambria" w:hAnsi="Cambria"/>
                <w:color w:val="000000" w:themeColor="text1"/>
              </w:rPr>
              <w:t xml:space="preserve">2. </w:t>
            </w:r>
            <w:proofErr w:type="spellStart"/>
            <w:r>
              <w:rPr>
                <w:rFonts w:ascii="Cambria" w:hAnsi="Cambria"/>
                <w:color w:val="000000" w:themeColor="text1"/>
              </w:rPr>
              <w:t>r</w:t>
            </w:r>
            <w:r w:rsidRPr="00977220">
              <w:rPr>
                <w:rFonts w:ascii="Cambria" w:hAnsi="Cambria"/>
                <w:color w:val="000000" w:themeColor="text1"/>
              </w:rPr>
              <w:t>azmotriti</w:t>
            </w:r>
            <w:proofErr w:type="spellEnd"/>
            <w:r w:rsidRPr="00977220">
              <w:rPr>
                <w:rFonts w:ascii="Cambria" w:hAnsi="Cambria"/>
                <w:color w:val="000000" w:themeColor="text1"/>
              </w:rPr>
              <w:t xml:space="preserve"> </w:t>
            </w:r>
            <w:proofErr w:type="spellStart"/>
            <w:r w:rsidRPr="00977220">
              <w:rPr>
                <w:rFonts w:ascii="Cambria" w:hAnsi="Cambria"/>
                <w:color w:val="000000" w:themeColor="text1"/>
              </w:rPr>
              <w:t>suvremene</w:t>
            </w:r>
            <w:proofErr w:type="spellEnd"/>
            <w:r w:rsidRPr="00977220">
              <w:rPr>
                <w:rFonts w:ascii="Cambria" w:hAnsi="Cambria"/>
                <w:color w:val="000000" w:themeColor="text1"/>
              </w:rPr>
              <w:t xml:space="preserve"> </w:t>
            </w:r>
            <w:proofErr w:type="spellStart"/>
            <w:r w:rsidRPr="00977220">
              <w:rPr>
                <w:rFonts w:ascii="Cambria" w:hAnsi="Cambria"/>
                <w:color w:val="000000" w:themeColor="text1"/>
              </w:rPr>
              <w:t>teorijske</w:t>
            </w:r>
            <w:proofErr w:type="spellEnd"/>
            <w:r w:rsidRPr="00977220">
              <w:rPr>
                <w:rFonts w:ascii="Cambria" w:hAnsi="Cambria"/>
                <w:color w:val="000000" w:themeColor="text1"/>
              </w:rPr>
              <w:t xml:space="preserve"> </w:t>
            </w:r>
            <w:proofErr w:type="spellStart"/>
            <w:r w:rsidRPr="00977220">
              <w:rPr>
                <w:rFonts w:ascii="Cambria" w:hAnsi="Cambria"/>
                <w:color w:val="000000" w:themeColor="text1"/>
              </w:rPr>
              <w:t>pristupe</w:t>
            </w:r>
            <w:proofErr w:type="spellEnd"/>
            <w:r w:rsidRPr="00977220">
              <w:rPr>
                <w:rFonts w:ascii="Cambria" w:hAnsi="Cambria"/>
                <w:color w:val="000000" w:themeColor="text1"/>
              </w:rPr>
              <w:t xml:space="preserve"> o </w:t>
            </w:r>
            <w:proofErr w:type="spellStart"/>
            <w:r w:rsidRPr="00977220">
              <w:rPr>
                <w:rFonts w:ascii="Cambria" w:hAnsi="Cambria"/>
                <w:color w:val="000000" w:themeColor="text1"/>
              </w:rPr>
              <w:t>ranom</w:t>
            </w:r>
            <w:proofErr w:type="spellEnd"/>
            <w:r w:rsidRPr="00977220">
              <w:rPr>
                <w:rFonts w:ascii="Cambria" w:hAnsi="Cambria"/>
                <w:color w:val="000000" w:themeColor="text1"/>
              </w:rPr>
              <w:t xml:space="preserve"> </w:t>
            </w:r>
            <w:proofErr w:type="spellStart"/>
            <w:r w:rsidRPr="00977220">
              <w:rPr>
                <w:rFonts w:ascii="Cambria" w:hAnsi="Cambria"/>
                <w:color w:val="000000" w:themeColor="text1"/>
              </w:rPr>
              <w:t>dvojezičnom</w:t>
            </w:r>
            <w:proofErr w:type="spellEnd"/>
            <w:r w:rsidRPr="00977220">
              <w:rPr>
                <w:rFonts w:ascii="Cambria" w:hAnsi="Cambria"/>
                <w:color w:val="000000" w:themeColor="text1"/>
              </w:rPr>
              <w:t>/</w:t>
            </w:r>
            <w:proofErr w:type="spellStart"/>
            <w:r w:rsidRPr="00977220">
              <w:rPr>
                <w:rFonts w:ascii="Cambria" w:hAnsi="Cambria"/>
                <w:color w:val="000000" w:themeColor="text1"/>
              </w:rPr>
              <w:t>višejezičnom</w:t>
            </w:r>
            <w:proofErr w:type="spellEnd"/>
            <w:r w:rsidRPr="00977220">
              <w:rPr>
                <w:rFonts w:ascii="Cambria" w:hAnsi="Cambria"/>
                <w:color w:val="000000" w:themeColor="text1"/>
              </w:rPr>
              <w:t xml:space="preserve"> </w:t>
            </w:r>
            <w:proofErr w:type="spellStart"/>
            <w:r w:rsidRPr="00977220">
              <w:rPr>
                <w:rFonts w:ascii="Cambria" w:hAnsi="Cambria"/>
                <w:color w:val="000000" w:themeColor="text1"/>
              </w:rPr>
              <w:t>ovladavanju</w:t>
            </w:r>
            <w:proofErr w:type="spellEnd"/>
          </w:p>
          <w:p w14:paraId="70876031" w14:textId="77777777" w:rsidR="00977220" w:rsidRDefault="00977220" w:rsidP="00977220">
            <w:pPr>
              <w:spacing w:after="0" w:line="240" w:lineRule="auto"/>
              <w:rPr>
                <w:rFonts w:ascii="Cambria" w:hAnsi="Cambria"/>
                <w:color w:val="000000" w:themeColor="text1"/>
              </w:rPr>
            </w:pPr>
            <w:r>
              <w:rPr>
                <w:rFonts w:ascii="Cambria" w:hAnsi="Cambria"/>
                <w:color w:val="000000" w:themeColor="text1"/>
              </w:rPr>
              <w:t xml:space="preserve">3. </w:t>
            </w:r>
            <w:proofErr w:type="spellStart"/>
            <w:r>
              <w:rPr>
                <w:rFonts w:ascii="Cambria" w:hAnsi="Cambria"/>
                <w:color w:val="000000" w:themeColor="text1"/>
              </w:rPr>
              <w:t>o</w:t>
            </w:r>
            <w:r w:rsidRPr="00977220">
              <w:rPr>
                <w:rFonts w:ascii="Cambria" w:hAnsi="Cambria"/>
                <w:color w:val="000000" w:themeColor="text1"/>
              </w:rPr>
              <w:t>bjasniti</w:t>
            </w:r>
            <w:proofErr w:type="spellEnd"/>
            <w:r w:rsidRPr="00977220">
              <w:rPr>
                <w:rFonts w:ascii="Cambria" w:hAnsi="Cambria"/>
                <w:color w:val="000000" w:themeColor="text1"/>
              </w:rPr>
              <w:t xml:space="preserve"> faze </w:t>
            </w:r>
            <w:proofErr w:type="spellStart"/>
            <w:r w:rsidRPr="00977220">
              <w:rPr>
                <w:rFonts w:ascii="Cambria" w:hAnsi="Cambria"/>
                <w:color w:val="000000" w:themeColor="text1"/>
              </w:rPr>
              <w:t>i</w:t>
            </w:r>
            <w:proofErr w:type="spellEnd"/>
            <w:r w:rsidRPr="00977220">
              <w:rPr>
                <w:rFonts w:ascii="Cambria" w:hAnsi="Cambria"/>
                <w:color w:val="000000" w:themeColor="text1"/>
              </w:rPr>
              <w:t xml:space="preserve"> </w:t>
            </w:r>
            <w:proofErr w:type="spellStart"/>
            <w:r w:rsidRPr="00977220">
              <w:rPr>
                <w:rFonts w:ascii="Cambria" w:hAnsi="Cambria"/>
                <w:color w:val="000000" w:themeColor="text1"/>
              </w:rPr>
              <w:t>specifičnosti</w:t>
            </w:r>
            <w:proofErr w:type="spellEnd"/>
            <w:r w:rsidRPr="00977220">
              <w:rPr>
                <w:rFonts w:ascii="Cambria" w:hAnsi="Cambria"/>
                <w:color w:val="000000" w:themeColor="text1"/>
              </w:rPr>
              <w:t xml:space="preserve"> </w:t>
            </w:r>
            <w:proofErr w:type="spellStart"/>
            <w:r w:rsidRPr="00977220">
              <w:rPr>
                <w:rFonts w:ascii="Cambria" w:hAnsi="Cambria"/>
                <w:color w:val="000000" w:themeColor="text1"/>
              </w:rPr>
              <w:t>ranog</w:t>
            </w:r>
            <w:proofErr w:type="spellEnd"/>
            <w:r w:rsidRPr="00977220">
              <w:rPr>
                <w:rFonts w:ascii="Cambria" w:hAnsi="Cambria"/>
                <w:color w:val="000000" w:themeColor="text1"/>
              </w:rPr>
              <w:t xml:space="preserve"> </w:t>
            </w:r>
            <w:proofErr w:type="spellStart"/>
            <w:r w:rsidRPr="00977220">
              <w:rPr>
                <w:rFonts w:ascii="Cambria" w:hAnsi="Cambria"/>
                <w:color w:val="000000" w:themeColor="text1"/>
              </w:rPr>
              <w:t>dvojezičnog</w:t>
            </w:r>
            <w:proofErr w:type="spellEnd"/>
            <w:r w:rsidRPr="00977220">
              <w:rPr>
                <w:rFonts w:ascii="Cambria" w:hAnsi="Cambria"/>
                <w:color w:val="000000" w:themeColor="text1"/>
              </w:rPr>
              <w:t>/</w:t>
            </w:r>
            <w:proofErr w:type="spellStart"/>
            <w:r w:rsidRPr="00977220">
              <w:rPr>
                <w:rFonts w:ascii="Cambria" w:hAnsi="Cambria"/>
                <w:color w:val="000000" w:themeColor="text1"/>
              </w:rPr>
              <w:t>višejezičnog</w:t>
            </w:r>
            <w:proofErr w:type="spellEnd"/>
            <w:r w:rsidRPr="00977220">
              <w:rPr>
                <w:rFonts w:ascii="Cambria" w:hAnsi="Cambria"/>
                <w:color w:val="000000" w:themeColor="text1"/>
              </w:rPr>
              <w:t xml:space="preserve"> </w:t>
            </w:r>
            <w:proofErr w:type="spellStart"/>
            <w:r w:rsidRPr="00977220">
              <w:rPr>
                <w:rFonts w:ascii="Cambria" w:hAnsi="Cambria"/>
                <w:color w:val="000000" w:themeColor="text1"/>
              </w:rPr>
              <w:t>ovladavanja</w:t>
            </w:r>
            <w:proofErr w:type="spellEnd"/>
          </w:p>
          <w:p w14:paraId="346D416B" w14:textId="3A9223C1" w:rsidR="00977220" w:rsidRPr="00977220" w:rsidRDefault="00977220" w:rsidP="00977220">
            <w:pPr>
              <w:spacing w:after="0" w:line="240" w:lineRule="auto"/>
              <w:rPr>
                <w:rFonts w:ascii="Cambria" w:hAnsi="Cambria"/>
                <w:color w:val="000000" w:themeColor="text1"/>
              </w:rPr>
            </w:pPr>
            <w:r>
              <w:rPr>
                <w:rFonts w:ascii="Cambria" w:hAnsi="Cambria"/>
                <w:color w:val="000000" w:themeColor="text1"/>
              </w:rPr>
              <w:t xml:space="preserve">4. </w:t>
            </w:r>
            <w:proofErr w:type="spellStart"/>
            <w:r>
              <w:rPr>
                <w:rFonts w:ascii="Cambria" w:hAnsi="Cambria"/>
                <w:color w:val="000000" w:themeColor="text1"/>
              </w:rPr>
              <w:t>o</w:t>
            </w:r>
            <w:r w:rsidRPr="00977220">
              <w:rPr>
                <w:rFonts w:ascii="Cambria" w:hAnsi="Cambria"/>
                <w:color w:val="000000" w:themeColor="text1"/>
              </w:rPr>
              <w:t>bjasniti</w:t>
            </w:r>
            <w:proofErr w:type="spellEnd"/>
            <w:r w:rsidRPr="00977220">
              <w:rPr>
                <w:rFonts w:ascii="Cambria" w:hAnsi="Cambria"/>
                <w:color w:val="000000" w:themeColor="text1"/>
              </w:rPr>
              <w:t xml:space="preserve"> </w:t>
            </w:r>
            <w:proofErr w:type="spellStart"/>
            <w:r w:rsidRPr="00977220">
              <w:rPr>
                <w:rFonts w:ascii="Cambria" w:hAnsi="Cambria"/>
                <w:color w:val="000000" w:themeColor="text1"/>
              </w:rPr>
              <w:t>jezične</w:t>
            </w:r>
            <w:proofErr w:type="spellEnd"/>
            <w:r w:rsidRPr="00977220">
              <w:rPr>
                <w:rFonts w:ascii="Cambria" w:hAnsi="Cambria"/>
                <w:color w:val="000000" w:themeColor="text1"/>
              </w:rPr>
              <w:t xml:space="preserve">, </w:t>
            </w:r>
            <w:proofErr w:type="spellStart"/>
            <w:r w:rsidRPr="00977220">
              <w:rPr>
                <w:rFonts w:ascii="Cambria" w:hAnsi="Cambria"/>
                <w:color w:val="000000" w:themeColor="text1"/>
              </w:rPr>
              <w:t>sociolingvističke</w:t>
            </w:r>
            <w:proofErr w:type="spellEnd"/>
            <w:r w:rsidRPr="00977220">
              <w:rPr>
                <w:rFonts w:ascii="Cambria" w:hAnsi="Cambria"/>
                <w:color w:val="000000" w:themeColor="text1"/>
              </w:rPr>
              <w:t xml:space="preserve"> </w:t>
            </w:r>
            <w:proofErr w:type="spellStart"/>
            <w:r w:rsidRPr="00977220">
              <w:rPr>
                <w:rFonts w:ascii="Cambria" w:hAnsi="Cambria"/>
                <w:color w:val="000000" w:themeColor="text1"/>
              </w:rPr>
              <w:t>i</w:t>
            </w:r>
            <w:proofErr w:type="spellEnd"/>
            <w:r w:rsidRPr="00977220">
              <w:rPr>
                <w:rFonts w:ascii="Cambria" w:hAnsi="Cambria"/>
                <w:color w:val="000000" w:themeColor="text1"/>
              </w:rPr>
              <w:t xml:space="preserve"> </w:t>
            </w:r>
            <w:proofErr w:type="spellStart"/>
            <w:r w:rsidRPr="00977220">
              <w:rPr>
                <w:rFonts w:ascii="Cambria" w:hAnsi="Cambria"/>
                <w:color w:val="000000" w:themeColor="text1"/>
              </w:rPr>
              <w:t>jezično-političke</w:t>
            </w:r>
            <w:proofErr w:type="spellEnd"/>
            <w:r w:rsidRPr="00977220">
              <w:rPr>
                <w:rFonts w:ascii="Cambria" w:hAnsi="Cambria"/>
                <w:color w:val="000000" w:themeColor="text1"/>
              </w:rPr>
              <w:t xml:space="preserve"> </w:t>
            </w:r>
            <w:proofErr w:type="spellStart"/>
            <w:r w:rsidRPr="00977220">
              <w:rPr>
                <w:rFonts w:ascii="Cambria" w:hAnsi="Cambria"/>
                <w:color w:val="000000" w:themeColor="text1"/>
              </w:rPr>
              <w:t>specifičnosti</w:t>
            </w:r>
            <w:proofErr w:type="spellEnd"/>
            <w:r w:rsidRPr="00977220">
              <w:rPr>
                <w:rFonts w:ascii="Cambria" w:hAnsi="Cambria"/>
                <w:color w:val="000000" w:themeColor="text1"/>
              </w:rPr>
              <w:t xml:space="preserve"> </w:t>
            </w:r>
            <w:proofErr w:type="spellStart"/>
            <w:r w:rsidRPr="00977220">
              <w:rPr>
                <w:rFonts w:ascii="Cambria" w:hAnsi="Cambria"/>
                <w:color w:val="000000" w:themeColor="text1"/>
              </w:rPr>
              <w:t>hrvatsko-talijanske</w:t>
            </w:r>
            <w:proofErr w:type="spellEnd"/>
            <w:r w:rsidRPr="00977220">
              <w:rPr>
                <w:rFonts w:ascii="Cambria" w:hAnsi="Cambria"/>
                <w:color w:val="000000" w:themeColor="text1"/>
              </w:rPr>
              <w:t xml:space="preserve"> </w:t>
            </w:r>
            <w:proofErr w:type="spellStart"/>
            <w:r w:rsidRPr="00977220">
              <w:rPr>
                <w:rFonts w:ascii="Cambria" w:hAnsi="Cambria"/>
                <w:color w:val="000000" w:themeColor="text1"/>
              </w:rPr>
              <w:t>dvojezičnosti</w:t>
            </w:r>
            <w:proofErr w:type="spellEnd"/>
            <w:r w:rsidRPr="00977220">
              <w:rPr>
                <w:rFonts w:ascii="Cambria" w:hAnsi="Cambria"/>
                <w:color w:val="000000" w:themeColor="text1"/>
              </w:rPr>
              <w:t xml:space="preserve"> u </w:t>
            </w:r>
            <w:proofErr w:type="spellStart"/>
            <w:r w:rsidRPr="00977220">
              <w:rPr>
                <w:rFonts w:ascii="Cambria" w:hAnsi="Cambria"/>
                <w:color w:val="000000" w:themeColor="text1"/>
              </w:rPr>
              <w:t>Istri</w:t>
            </w:r>
            <w:proofErr w:type="spellEnd"/>
          </w:p>
        </w:tc>
      </w:tr>
      <w:tr w:rsidR="00977220" w:rsidRPr="00DC5B8F" w14:paraId="2FB80A66" w14:textId="77777777" w:rsidTr="00D74364">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0C6AE3A9" w14:textId="77777777" w:rsidR="00977220" w:rsidRPr="00977220" w:rsidRDefault="00977220" w:rsidP="00977220">
            <w:pPr>
              <w:spacing w:after="0" w:line="240" w:lineRule="auto"/>
              <w:rPr>
                <w:rFonts w:ascii="Cambria" w:hAnsi="Cambria"/>
                <w:color w:val="000000" w:themeColor="text1"/>
              </w:rPr>
            </w:pPr>
            <w:proofErr w:type="spellStart"/>
            <w:r w:rsidRPr="00977220">
              <w:rPr>
                <w:rFonts w:ascii="Cambria" w:hAnsi="Cambria"/>
                <w:color w:val="000000" w:themeColor="text1"/>
              </w:rPr>
              <w:t>Sadržaj</w:t>
            </w:r>
            <w:proofErr w:type="spellEnd"/>
            <w:r w:rsidRPr="00977220">
              <w:rPr>
                <w:rFonts w:ascii="Cambria" w:hAnsi="Cambria"/>
                <w:color w:val="000000" w:themeColor="text1"/>
              </w:rPr>
              <w:t xml:space="preserve"> </w:t>
            </w:r>
            <w:proofErr w:type="spellStart"/>
            <w:r w:rsidRPr="00977220">
              <w:rPr>
                <w:rFonts w:ascii="Cambria" w:hAnsi="Cambria"/>
                <w:color w:val="000000" w:themeColor="text1"/>
              </w:rPr>
              <w:t>kolegija</w:t>
            </w:r>
            <w:proofErr w:type="spellEnd"/>
          </w:p>
        </w:tc>
        <w:tc>
          <w:tcPr>
            <w:tcW w:w="6717"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18B1A93" w14:textId="77777777" w:rsidR="00977220" w:rsidRDefault="00977220" w:rsidP="00977220">
            <w:pPr>
              <w:spacing w:after="0" w:line="240" w:lineRule="auto"/>
              <w:rPr>
                <w:rFonts w:ascii="Cambria" w:hAnsi="Cambria"/>
                <w:color w:val="000000" w:themeColor="text1"/>
              </w:rPr>
            </w:pPr>
            <w:r w:rsidRPr="00977220">
              <w:rPr>
                <w:rFonts w:ascii="Cambria" w:hAnsi="Cambria"/>
                <w:color w:val="000000" w:themeColor="text1"/>
              </w:rPr>
              <w:t xml:space="preserve">1. </w:t>
            </w:r>
            <w:proofErr w:type="spellStart"/>
            <w:r w:rsidRPr="00977220">
              <w:rPr>
                <w:rFonts w:ascii="Cambria" w:hAnsi="Cambria"/>
                <w:color w:val="000000" w:themeColor="text1"/>
              </w:rPr>
              <w:t>Konceptualni</w:t>
            </w:r>
            <w:proofErr w:type="spellEnd"/>
            <w:r w:rsidRPr="00977220">
              <w:rPr>
                <w:rFonts w:ascii="Cambria" w:hAnsi="Cambria"/>
                <w:color w:val="000000" w:themeColor="text1"/>
              </w:rPr>
              <w:t xml:space="preserve"> </w:t>
            </w:r>
            <w:proofErr w:type="spellStart"/>
            <w:r w:rsidRPr="00977220">
              <w:rPr>
                <w:rFonts w:ascii="Cambria" w:hAnsi="Cambria"/>
                <w:color w:val="000000" w:themeColor="text1"/>
              </w:rPr>
              <w:t>uvod</w:t>
            </w:r>
            <w:proofErr w:type="spellEnd"/>
            <w:r w:rsidRPr="00977220">
              <w:rPr>
                <w:rFonts w:ascii="Cambria" w:hAnsi="Cambria"/>
                <w:color w:val="000000" w:themeColor="text1"/>
              </w:rPr>
              <w:t xml:space="preserve"> </w:t>
            </w:r>
            <w:proofErr w:type="spellStart"/>
            <w:r w:rsidRPr="00977220">
              <w:rPr>
                <w:rFonts w:ascii="Cambria" w:hAnsi="Cambria"/>
                <w:color w:val="000000" w:themeColor="text1"/>
              </w:rPr>
              <w:t>i</w:t>
            </w:r>
            <w:proofErr w:type="spellEnd"/>
            <w:r w:rsidRPr="00977220">
              <w:rPr>
                <w:rFonts w:ascii="Cambria" w:hAnsi="Cambria"/>
                <w:color w:val="000000" w:themeColor="text1"/>
              </w:rPr>
              <w:t xml:space="preserve"> </w:t>
            </w:r>
            <w:proofErr w:type="spellStart"/>
            <w:r w:rsidRPr="00977220">
              <w:rPr>
                <w:rFonts w:ascii="Cambria" w:hAnsi="Cambria"/>
                <w:color w:val="000000" w:themeColor="text1"/>
              </w:rPr>
              <w:t>teorijske</w:t>
            </w:r>
            <w:proofErr w:type="spellEnd"/>
            <w:r w:rsidRPr="00977220">
              <w:rPr>
                <w:rFonts w:ascii="Cambria" w:hAnsi="Cambria"/>
                <w:color w:val="000000" w:themeColor="text1"/>
              </w:rPr>
              <w:t xml:space="preserve"> </w:t>
            </w:r>
            <w:proofErr w:type="spellStart"/>
            <w:r w:rsidRPr="00977220">
              <w:rPr>
                <w:rFonts w:ascii="Cambria" w:hAnsi="Cambria"/>
                <w:color w:val="000000" w:themeColor="text1"/>
              </w:rPr>
              <w:t>osnove</w:t>
            </w:r>
            <w:proofErr w:type="spellEnd"/>
          </w:p>
          <w:p w14:paraId="05F58EFF" w14:textId="77777777" w:rsidR="00977220" w:rsidRPr="00F73829" w:rsidRDefault="00977220" w:rsidP="00977220">
            <w:pPr>
              <w:spacing w:after="0" w:line="240" w:lineRule="auto"/>
              <w:rPr>
                <w:rFonts w:ascii="Cambria" w:hAnsi="Cambria"/>
                <w:color w:val="000000" w:themeColor="text1"/>
              </w:rPr>
            </w:pPr>
            <w:r w:rsidRPr="00F73829">
              <w:rPr>
                <w:rFonts w:ascii="Cambria" w:hAnsi="Cambria"/>
                <w:color w:val="000000" w:themeColor="text1"/>
              </w:rPr>
              <w:t xml:space="preserve">2. </w:t>
            </w:r>
            <w:proofErr w:type="spellStart"/>
            <w:r w:rsidRPr="00F73829">
              <w:rPr>
                <w:rFonts w:ascii="Cambria" w:hAnsi="Cambria"/>
                <w:color w:val="000000" w:themeColor="text1"/>
              </w:rPr>
              <w:t>Sociolingvističke</w:t>
            </w:r>
            <w:proofErr w:type="spellEnd"/>
            <w:r w:rsidRPr="00F73829">
              <w:rPr>
                <w:rFonts w:ascii="Cambria" w:hAnsi="Cambria"/>
                <w:color w:val="000000" w:themeColor="text1"/>
              </w:rPr>
              <w:t xml:space="preserve"> </w:t>
            </w:r>
            <w:proofErr w:type="spellStart"/>
            <w:r w:rsidRPr="00F73829">
              <w:rPr>
                <w:rFonts w:ascii="Cambria" w:hAnsi="Cambria"/>
                <w:color w:val="000000" w:themeColor="text1"/>
              </w:rPr>
              <w:t>i</w:t>
            </w:r>
            <w:proofErr w:type="spellEnd"/>
            <w:r w:rsidRPr="00F73829">
              <w:rPr>
                <w:rFonts w:ascii="Cambria" w:hAnsi="Cambria"/>
                <w:color w:val="000000" w:themeColor="text1"/>
              </w:rPr>
              <w:t xml:space="preserve"> </w:t>
            </w:r>
            <w:proofErr w:type="spellStart"/>
            <w:r w:rsidRPr="00F73829">
              <w:rPr>
                <w:rFonts w:ascii="Cambria" w:hAnsi="Cambria"/>
                <w:color w:val="000000" w:themeColor="text1"/>
              </w:rPr>
              <w:t>psiholingvističke</w:t>
            </w:r>
            <w:proofErr w:type="spellEnd"/>
            <w:r w:rsidRPr="00F73829">
              <w:rPr>
                <w:rFonts w:ascii="Cambria" w:hAnsi="Cambria"/>
                <w:color w:val="000000" w:themeColor="text1"/>
              </w:rPr>
              <w:t xml:space="preserve"> </w:t>
            </w:r>
            <w:proofErr w:type="spellStart"/>
            <w:r w:rsidRPr="00F73829">
              <w:rPr>
                <w:rFonts w:ascii="Cambria" w:hAnsi="Cambria"/>
                <w:color w:val="000000" w:themeColor="text1"/>
              </w:rPr>
              <w:t>tipologije</w:t>
            </w:r>
            <w:proofErr w:type="spellEnd"/>
            <w:r w:rsidRPr="00F73829">
              <w:rPr>
                <w:rFonts w:ascii="Cambria" w:hAnsi="Cambria"/>
                <w:color w:val="000000" w:themeColor="text1"/>
              </w:rPr>
              <w:t xml:space="preserve"> </w:t>
            </w:r>
            <w:proofErr w:type="spellStart"/>
            <w:r w:rsidRPr="00F73829">
              <w:rPr>
                <w:rFonts w:ascii="Cambria" w:hAnsi="Cambria"/>
                <w:color w:val="000000" w:themeColor="text1"/>
              </w:rPr>
              <w:t>rane</w:t>
            </w:r>
            <w:proofErr w:type="spellEnd"/>
            <w:r w:rsidRPr="00F73829">
              <w:rPr>
                <w:rFonts w:ascii="Cambria" w:hAnsi="Cambria"/>
                <w:color w:val="000000" w:themeColor="text1"/>
              </w:rPr>
              <w:t xml:space="preserve"> </w:t>
            </w:r>
            <w:proofErr w:type="spellStart"/>
            <w:r w:rsidRPr="00F73829">
              <w:rPr>
                <w:rFonts w:ascii="Cambria" w:hAnsi="Cambria"/>
                <w:color w:val="000000" w:themeColor="text1"/>
              </w:rPr>
              <w:t>dvojezičnosti</w:t>
            </w:r>
            <w:proofErr w:type="spellEnd"/>
            <w:r w:rsidRPr="00F73829">
              <w:rPr>
                <w:rFonts w:ascii="Cambria" w:hAnsi="Cambria"/>
                <w:color w:val="000000" w:themeColor="text1"/>
              </w:rPr>
              <w:t>/</w:t>
            </w:r>
            <w:proofErr w:type="spellStart"/>
            <w:r w:rsidRPr="00F73829">
              <w:rPr>
                <w:rFonts w:ascii="Cambria" w:hAnsi="Cambria"/>
                <w:color w:val="000000" w:themeColor="text1"/>
              </w:rPr>
              <w:t>višejezičnosti</w:t>
            </w:r>
            <w:proofErr w:type="spellEnd"/>
          </w:p>
          <w:p w14:paraId="62B87927" w14:textId="77777777" w:rsidR="00977220" w:rsidRPr="00F73829" w:rsidRDefault="00977220" w:rsidP="00977220">
            <w:pPr>
              <w:spacing w:after="0" w:line="240" w:lineRule="auto"/>
              <w:rPr>
                <w:rFonts w:ascii="Cambria" w:hAnsi="Cambria"/>
                <w:color w:val="000000" w:themeColor="text1"/>
              </w:rPr>
            </w:pPr>
            <w:r w:rsidRPr="00F73829">
              <w:rPr>
                <w:rFonts w:ascii="Cambria" w:hAnsi="Cambria"/>
                <w:color w:val="000000" w:themeColor="text1"/>
              </w:rPr>
              <w:t xml:space="preserve">3. </w:t>
            </w:r>
            <w:proofErr w:type="spellStart"/>
            <w:r w:rsidRPr="00F73829">
              <w:rPr>
                <w:rFonts w:ascii="Cambria" w:hAnsi="Cambria"/>
                <w:color w:val="000000" w:themeColor="text1"/>
              </w:rPr>
              <w:t>Psihosocijalni</w:t>
            </w:r>
            <w:proofErr w:type="spellEnd"/>
            <w:r w:rsidRPr="00F73829">
              <w:rPr>
                <w:rFonts w:ascii="Cambria" w:hAnsi="Cambria"/>
                <w:color w:val="000000" w:themeColor="text1"/>
              </w:rPr>
              <w:t xml:space="preserve">, </w:t>
            </w:r>
            <w:proofErr w:type="spellStart"/>
            <w:r w:rsidRPr="00F73829">
              <w:rPr>
                <w:rFonts w:ascii="Cambria" w:hAnsi="Cambria"/>
                <w:color w:val="000000" w:themeColor="text1"/>
              </w:rPr>
              <w:t>kognitivni</w:t>
            </w:r>
            <w:proofErr w:type="spellEnd"/>
            <w:r w:rsidRPr="00F73829">
              <w:rPr>
                <w:rFonts w:ascii="Cambria" w:hAnsi="Cambria"/>
                <w:color w:val="000000" w:themeColor="text1"/>
              </w:rPr>
              <w:t xml:space="preserve"> </w:t>
            </w:r>
            <w:proofErr w:type="spellStart"/>
            <w:r w:rsidRPr="00F73829">
              <w:rPr>
                <w:rFonts w:ascii="Cambria" w:hAnsi="Cambria"/>
                <w:color w:val="000000" w:themeColor="text1"/>
              </w:rPr>
              <w:t>i</w:t>
            </w:r>
            <w:proofErr w:type="spellEnd"/>
            <w:r w:rsidRPr="00F73829">
              <w:rPr>
                <w:rFonts w:ascii="Cambria" w:hAnsi="Cambria"/>
                <w:color w:val="000000" w:themeColor="text1"/>
              </w:rPr>
              <w:t xml:space="preserve"> </w:t>
            </w:r>
            <w:proofErr w:type="spellStart"/>
            <w:r w:rsidRPr="00F73829">
              <w:rPr>
                <w:rFonts w:ascii="Cambria" w:hAnsi="Cambria"/>
                <w:color w:val="000000" w:themeColor="text1"/>
              </w:rPr>
              <w:t>jezični</w:t>
            </w:r>
            <w:proofErr w:type="spellEnd"/>
            <w:r w:rsidRPr="00F73829">
              <w:rPr>
                <w:rFonts w:ascii="Cambria" w:hAnsi="Cambria"/>
                <w:color w:val="000000" w:themeColor="text1"/>
              </w:rPr>
              <w:t xml:space="preserve"> </w:t>
            </w:r>
            <w:proofErr w:type="spellStart"/>
            <w:r w:rsidRPr="00F73829">
              <w:rPr>
                <w:rFonts w:ascii="Cambria" w:hAnsi="Cambria"/>
                <w:color w:val="000000" w:themeColor="text1"/>
              </w:rPr>
              <w:t>razvoj</w:t>
            </w:r>
            <w:proofErr w:type="spellEnd"/>
            <w:r w:rsidRPr="00F73829">
              <w:rPr>
                <w:rFonts w:ascii="Cambria" w:hAnsi="Cambria"/>
                <w:color w:val="000000" w:themeColor="text1"/>
              </w:rPr>
              <w:t xml:space="preserve"> u </w:t>
            </w:r>
            <w:proofErr w:type="spellStart"/>
            <w:r w:rsidRPr="00F73829">
              <w:rPr>
                <w:rFonts w:ascii="Cambria" w:hAnsi="Cambria"/>
                <w:color w:val="000000" w:themeColor="text1"/>
              </w:rPr>
              <w:t>kontekstu</w:t>
            </w:r>
            <w:proofErr w:type="spellEnd"/>
            <w:r w:rsidRPr="00F73829">
              <w:rPr>
                <w:rFonts w:ascii="Cambria" w:hAnsi="Cambria"/>
                <w:color w:val="000000" w:themeColor="text1"/>
              </w:rPr>
              <w:t xml:space="preserve"> </w:t>
            </w:r>
            <w:proofErr w:type="spellStart"/>
            <w:r w:rsidRPr="00F73829">
              <w:rPr>
                <w:rFonts w:ascii="Cambria" w:hAnsi="Cambria"/>
                <w:color w:val="000000" w:themeColor="text1"/>
              </w:rPr>
              <w:t>ranog</w:t>
            </w:r>
            <w:proofErr w:type="spellEnd"/>
            <w:r w:rsidRPr="00F73829">
              <w:rPr>
                <w:rFonts w:ascii="Cambria" w:hAnsi="Cambria"/>
                <w:color w:val="000000" w:themeColor="text1"/>
              </w:rPr>
              <w:t xml:space="preserve"> </w:t>
            </w:r>
            <w:proofErr w:type="spellStart"/>
            <w:r w:rsidRPr="00F73829">
              <w:rPr>
                <w:rFonts w:ascii="Cambria" w:hAnsi="Cambria"/>
                <w:color w:val="000000" w:themeColor="text1"/>
              </w:rPr>
              <w:t>dvojezičnog</w:t>
            </w:r>
            <w:proofErr w:type="spellEnd"/>
            <w:r w:rsidRPr="00F73829">
              <w:rPr>
                <w:rFonts w:ascii="Cambria" w:hAnsi="Cambria"/>
                <w:color w:val="000000" w:themeColor="text1"/>
              </w:rPr>
              <w:t>/</w:t>
            </w:r>
            <w:proofErr w:type="spellStart"/>
            <w:r w:rsidRPr="00F73829">
              <w:rPr>
                <w:rFonts w:ascii="Cambria" w:hAnsi="Cambria"/>
                <w:color w:val="000000" w:themeColor="text1"/>
              </w:rPr>
              <w:t>višejezičnog</w:t>
            </w:r>
            <w:proofErr w:type="spellEnd"/>
            <w:r w:rsidRPr="00F73829">
              <w:rPr>
                <w:rFonts w:ascii="Cambria" w:hAnsi="Cambria"/>
                <w:color w:val="000000" w:themeColor="text1"/>
              </w:rPr>
              <w:t xml:space="preserve"> </w:t>
            </w:r>
            <w:proofErr w:type="spellStart"/>
            <w:r w:rsidRPr="00F73829">
              <w:rPr>
                <w:rFonts w:ascii="Cambria" w:hAnsi="Cambria"/>
                <w:color w:val="000000" w:themeColor="text1"/>
              </w:rPr>
              <w:t>ovladavanja</w:t>
            </w:r>
            <w:proofErr w:type="spellEnd"/>
          </w:p>
          <w:p w14:paraId="2E2B877D" w14:textId="77777777" w:rsidR="00977220" w:rsidRPr="00F73829" w:rsidRDefault="00977220" w:rsidP="00977220">
            <w:pPr>
              <w:spacing w:after="0" w:line="240" w:lineRule="auto"/>
              <w:rPr>
                <w:rFonts w:ascii="Cambria" w:hAnsi="Cambria"/>
                <w:color w:val="000000" w:themeColor="text1"/>
              </w:rPr>
            </w:pPr>
            <w:r w:rsidRPr="00F73829">
              <w:rPr>
                <w:rFonts w:ascii="Cambria" w:hAnsi="Cambria"/>
                <w:color w:val="000000" w:themeColor="text1"/>
              </w:rPr>
              <w:t xml:space="preserve">4. </w:t>
            </w:r>
            <w:proofErr w:type="spellStart"/>
            <w:r w:rsidRPr="00F73829">
              <w:rPr>
                <w:rFonts w:ascii="Cambria" w:hAnsi="Cambria"/>
                <w:color w:val="000000" w:themeColor="text1"/>
              </w:rPr>
              <w:t>Metodološki</w:t>
            </w:r>
            <w:proofErr w:type="spellEnd"/>
            <w:r w:rsidRPr="00F73829">
              <w:rPr>
                <w:rFonts w:ascii="Cambria" w:hAnsi="Cambria"/>
                <w:color w:val="000000" w:themeColor="text1"/>
              </w:rPr>
              <w:t xml:space="preserve"> </w:t>
            </w:r>
            <w:proofErr w:type="spellStart"/>
            <w:r w:rsidRPr="00F73829">
              <w:rPr>
                <w:rFonts w:ascii="Cambria" w:hAnsi="Cambria"/>
                <w:color w:val="000000" w:themeColor="text1"/>
              </w:rPr>
              <w:t>pristupi</w:t>
            </w:r>
            <w:proofErr w:type="spellEnd"/>
            <w:r w:rsidRPr="00F73829">
              <w:rPr>
                <w:rFonts w:ascii="Cambria" w:hAnsi="Cambria"/>
                <w:color w:val="000000" w:themeColor="text1"/>
              </w:rPr>
              <w:t xml:space="preserve"> </w:t>
            </w:r>
            <w:proofErr w:type="spellStart"/>
            <w:r w:rsidRPr="00F73829">
              <w:rPr>
                <w:rFonts w:ascii="Cambria" w:hAnsi="Cambria"/>
                <w:color w:val="000000" w:themeColor="text1"/>
              </w:rPr>
              <w:t>kod</w:t>
            </w:r>
            <w:proofErr w:type="spellEnd"/>
            <w:r w:rsidRPr="00F73829">
              <w:rPr>
                <w:rFonts w:ascii="Cambria" w:hAnsi="Cambria"/>
                <w:color w:val="000000" w:themeColor="text1"/>
              </w:rPr>
              <w:t xml:space="preserve"> </w:t>
            </w:r>
            <w:proofErr w:type="spellStart"/>
            <w:r w:rsidRPr="00F73829">
              <w:rPr>
                <w:rFonts w:ascii="Cambria" w:hAnsi="Cambria"/>
                <w:color w:val="000000" w:themeColor="text1"/>
              </w:rPr>
              <w:t>ranog</w:t>
            </w:r>
            <w:proofErr w:type="spellEnd"/>
            <w:r w:rsidRPr="00F73829">
              <w:rPr>
                <w:rFonts w:ascii="Cambria" w:hAnsi="Cambria"/>
                <w:color w:val="000000" w:themeColor="text1"/>
              </w:rPr>
              <w:t xml:space="preserve"> </w:t>
            </w:r>
            <w:proofErr w:type="spellStart"/>
            <w:r w:rsidRPr="00F73829">
              <w:rPr>
                <w:rFonts w:ascii="Cambria" w:hAnsi="Cambria"/>
                <w:color w:val="000000" w:themeColor="text1"/>
              </w:rPr>
              <w:t>usvajanja</w:t>
            </w:r>
            <w:proofErr w:type="spellEnd"/>
            <w:r w:rsidRPr="00F73829">
              <w:rPr>
                <w:rFonts w:ascii="Cambria" w:hAnsi="Cambria"/>
                <w:color w:val="000000" w:themeColor="text1"/>
              </w:rPr>
              <w:t xml:space="preserve"> </w:t>
            </w:r>
            <w:proofErr w:type="spellStart"/>
            <w:r w:rsidRPr="00F73829">
              <w:rPr>
                <w:rFonts w:ascii="Cambria" w:hAnsi="Cambria"/>
                <w:color w:val="000000" w:themeColor="text1"/>
              </w:rPr>
              <w:t>dvaju</w:t>
            </w:r>
            <w:proofErr w:type="spellEnd"/>
            <w:r w:rsidRPr="00F73829">
              <w:rPr>
                <w:rFonts w:ascii="Cambria" w:hAnsi="Cambria"/>
                <w:color w:val="000000" w:themeColor="text1"/>
              </w:rPr>
              <w:t xml:space="preserve"> </w:t>
            </w:r>
            <w:proofErr w:type="spellStart"/>
            <w:r w:rsidRPr="00F73829">
              <w:rPr>
                <w:rFonts w:ascii="Cambria" w:hAnsi="Cambria"/>
                <w:color w:val="000000" w:themeColor="text1"/>
              </w:rPr>
              <w:t>ili</w:t>
            </w:r>
            <w:proofErr w:type="spellEnd"/>
            <w:r w:rsidRPr="00F73829">
              <w:rPr>
                <w:rFonts w:ascii="Cambria" w:hAnsi="Cambria"/>
                <w:color w:val="000000" w:themeColor="text1"/>
              </w:rPr>
              <w:t xml:space="preserve"> </w:t>
            </w:r>
            <w:proofErr w:type="spellStart"/>
            <w:r w:rsidRPr="00F73829">
              <w:rPr>
                <w:rFonts w:ascii="Cambria" w:hAnsi="Cambria"/>
                <w:color w:val="000000" w:themeColor="text1"/>
              </w:rPr>
              <w:t>više</w:t>
            </w:r>
            <w:proofErr w:type="spellEnd"/>
            <w:r w:rsidRPr="00F73829">
              <w:rPr>
                <w:rFonts w:ascii="Cambria" w:hAnsi="Cambria"/>
                <w:color w:val="000000" w:themeColor="text1"/>
              </w:rPr>
              <w:t xml:space="preserve"> </w:t>
            </w:r>
            <w:proofErr w:type="spellStart"/>
            <w:r w:rsidRPr="00F73829">
              <w:rPr>
                <w:rFonts w:ascii="Cambria" w:hAnsi="Cambria"/>
                <w:color w:val="000000" w:themeColor="text1"/>
              </w:rPr>
              <w:t>jezičnih</w:t>
            </w:r>
            <w:proofErr w:type="spellEnd"/>
            <w:r w:rsidRPr="00F73829">
              <w:rPr>
                <w:rFonts w:ascii="Cambria" w:hAnsi="Cambria"/>
                <w:color w:val="000000" w:themeColor="text1"/>
              </w:rPr>
              <w:t xml:space="preserve"> </w:t>
            </w:r>
            <w:proofErr w:type="spellStart"/>
            <w:r w:rsidRPr="00F73829">
              <w:rPr>
                <w:rFonts w:ascii="Cambria" w:hAnsi="Cambria"/>
                <w:color w:val="000000" w:themeColor="text1"/>
              </w:rPr>
              <w:t>kodova</w:t>
            </w:r>
            <w:proofErr w:type="spellEnd"/>
          </w:p>
          <w:p w14:paraId="561E0A42" w14:textId="77777777" w:rsidR="00977220" w:rsidRPr="00F73829" w:rsidRDefault="00977220" w:rsidP="00977220">
            <w:pPr>
              <w:spacing w:after="0" w:line="240" w:lineRule="auto"/>
              <w:rPr>
                <w:rFonts w:ascii="Cambria" w:hAnsi="Cambria"/>
                <w:color w:val="000000" w:themeColor="text1"/>
              </w:rPr>
            </w:pPr>
            <w:r w:rsidRPr="00F73829">
              <w:rPr>
                <w:rFonts w:ascii="Cambria" w:hAnsi="Cambria"/>
                <w:color w:val="000000" w:themeColor="text1"/>
              </w:rPr>
              <w:t xml:space="preserve">5. </w:t>
            </w:r>
            <w:proofErr w:type="spellStart"/>
            <w:r w:rsidRPr="00F73829">
              <w:rPr>
                <w:rFonts w:ascii="Cambria" w:hAnsi="Cambria"/>
                <w:color w:val="000000" w:themeColor="text1"/>
              </w:rPr>
              <w:t>Sociopsihološki</w:t>
            </w:r>
            <w:proofErr w:type="spellEnd"/>
            <w:r w:rsidRPr="00F73829">
              <w:rPr>
                <w:rFonts w:ascii="Cambria" w:hAnsi="Cambria"/>
                <w:color w:val="000000" w:themeColor="text1"/>
              </w:rPr>
              <w:t xml:space="preserve"> </w:t>
            </w:r>
            <w:proofErr w:type="spellStart"/>
            <w:r w:rsidRPr="00F73829">
              <w:rPr>
                <w:rFonts w:ascii="Cambria" w:hAnsi="Cambria"/>
                <w:color w:val="000000" w:themeColor="text1"/>
              </w:rPr>
              <w:t>pristup</w:t>
            </w:r>
            <w:proofErr w:type="spellEnd"/>
            <w:r w:rsidRPr="00F73829">
              <w:rPr>
                <w:rFonts w:ascii="Cambria" w:hAnsi="Cambria"/>
                <w:color w:val="000000" w:themeColor="text1"/>
              </w:rPr>
              <w:t xml:space="preserve"> </w:t>
            </w:r>
            <w:proofErr w:type="spellStart"/>
            <w:r w:rsidRPr="00F73829">
              <w:rPr>
                <w:rFonts w:ascii="Cambria" w:hAnsi="Cambria"/>
                <w:color w:val="000000" w:themeColor="text1"/>
              </w:rPr>
              <w:t>proučavanju</w:t>
            </w:r>
            <w:proofErr w:type="spellEnd"/>
            <w:r w:rsidRPr="00F73829">
              <w:rPr>
                <w:rFonts w:ascii="Cambria" w:hAnsi="Cambria"/>
                <w:color w:val="000000" w:themeColor="text1"/>
              </w:rPr>
              <w:t xml:space="preserve"> </w:t>
            </w:r>
            <w:proofErr w:type="spellStart"/>
            <w:r w:rsidRPr="00F73829">
              <w:rPr>
                <w:rFonts w:ascii="Cambria" w:hAnsi="Cambria"/>
                <w:color w:val="000000" w:themeColor="text1"/>
              </w:rPr>
              <w:t>dvojezičnosti</w:t>
            </w:r>
            <w:proofErr w:type="spellEnd"/>
            <w:r w:rsidRPr="00F73829">
              <w:rPr>
                <w:rFonts w:ascii="Cambria" w:hAnsi="Cambria"/>
                <w:color w:val="000000" w:themeColor="text1"/>
              </w:rPr>
              <w:t>/</w:t>
            </w:r>
            <w:proofErr w:type="spellStart"/>
            <w:r w:rsidRPr="00F73829">
              <w:rPr>
                <w:rFonts w:ascii="Cambria" w:hAnsi="Cambria"/>
                <w:color w:val="000000" w:themeColor="text1"/>
              </w:rPr>
              <w:t>višejezičnosti</w:t>
            </w:r>
            <w:proofErr w:type="spellEnd"/>
          </w:p>
          <w:p w14:paraId="02A14232" w14:textId="77777777" w:rsidR="00977220" w:rsidRPr="00F73829" w:rsidRDefault="00977220" w:rsidP="00977220">
            <w:pPr>
              <w:spacing w:after="0" w:line="240" w:lineRule="auto"/>
              <w:rPr>
                <w:rFonts w:ascii="Cambria" w:hAnsi="Cambria"/>
                <w:color w:val="000000" w:themeColor="text1"/>
              </w:rPr>
            </w:pPr>
            <w:r w:rsidRPr="00F73829">
              <w:rPr>
                <w:rFonts w:ascii="Cambria" w:hAnsi="Cambria"/>
                <w:color w:val="000000" w:themeColor="text1"/>
              </w:rPr>
              <w:t xml:space="preserve">6. </w:t>
            </w:r>
            <w:proofErr w:type="spellStart"/>
            <w:r w:rsidRPr="00F73829">
              <w:rPr>
                <w:rFonts w:ascii="Cambria" w:hAnsi="Cambria"/>
                <w:color w:val="000000" w:themeColor="text1"/>
              </w:rPr>
              <w:t>Lingvistički</w:t>
            </w:r>
            <w:proofErr w:type="spellEnd"/>
            <w:r w:rsidRPr="00F73829">
              <w:rPr>
                <w:rFonts w:ascii="Cambria" w:hAnsi="Cambria"/>
                <w:color w:val="000000" w:themeColor="text1"/>
              </w:rPr>
              <w:t xml:space="preserve"> </w:t>
            </w:r>
            <w:proofErr w:type="spellStart"/>
            <w:r w:rsidRPr="00F73829">
              <w:rPr>
                <w:rFonts w:ascii="Cambria" w:hAnsi="Cambria"/>
                <w:color w:val="000000" w:themeColor="text1"/>
              </w:rPr>
              <w:t>pristup</w:t>
            </w:r>
            <w:proofErr w:type="spellEnd"/>
            <w:r w:rsidRPr="00F73829">
              <w:rPr>
                <w:rFonts w:ascii="Cambria" w:hAnsi="Cambria"/>
                <w:color w:val="000000" w:themeColor="text1"/>
              </w:rPr>
              <w:t xml:space="preserve"> </w:t>
            </w:r>
            <w:proofErr w:type="spellStart"/>
            <w:r w:rsidRPr="00F73829">
              <w:rPr>
                <w:rFonts w:ascii="Cambria" w:hAnsi="Cambria"/>
                <w:color w:val="000000" w:themeColor="text1"/>
              </w:rPr>
              <w:t>proučavanju</w:t>
            </w:r>
            <w:proofErr w:type="spellEnd"/>
            <w:r w:rsidRPr="00F73829">
              <w:rPr>
                <w:rFonts w:ascii="Cambria" w:hAnsi="Cambria"/>
                <w:color w:val="000000" w:themeColor="text1"/>
              </w:rPr>
              <w:t xml:space="preserve"> </w:t>
            </w:r>
            <w:proofErr w:type="spellStart"/>
            <w:r w:rsidRPr="00F73829">
              <w:rPr>
                <w:rFonts w:ascii="Cambria" w:hAnsi="Cambria"/>
                <w:color w:val="000000" w:themeColor="text1"/>
              </w:rPr>
              <w:t>sociolingvističkih</w:t>
            </w:r>
            <w:proofErr w:type="spellEnd"/>
            <w:r w:rsidRPr="00F73829">
              <w:rPr>
                <w:rFonts w:ascii="Cambria" w:hAnsi="Cambria"/>
                <w:color w:val="000000" w:themeColor="text1"/>
              </w:rPr>
              <w:t xml:space="preserve"> </w:t>
            </w:r>
            <w:proofErr w:type="spellStart"/>
            <w:r w:rsidRPr="00F73829">
              <w:rPr>
                <w:rFonts w:ascii="Cambria" w:hAnsi="Cambria"/>
                <w:color w:val="000000" w:themeColor="text1"/>
              </w:rPr>
              <w:t>pojava</w:t>
            </w:r>
            <w:proofErr w:type="spellEnd"/>
            <w:r w:rsidRPr="00F73829">
              <w:rPr>
                <w:rFonts w:ascii="Cambria" w:hAnsi="Cambria"/>
                <w:color w:val="000000" w:themeColor="text1"/>
              </w:rPr>
              <w:t xml:space="preserve"> </w:t>
            </w:r>
            <w:proofErr w:type="spellStart"/>
            <w:r w:rsidRPr="00F73829">
              <w:rPr>
                <w:rFonts w:ascii="Cambria" w:hAnsi="Cambria"/>
                <w:color w:val="000000" w:themeColor="text1"/>
              </w:rPr>
              <w:t>jezičnog</w:t>
            </w:r>
            <w:proofErr w:type="spellEnd"/>
            <w:r w:rsidRPr="00F73829">
              <w:rPr>
                <w:rFonts w:ascii="Cambria" w:hAnsi="Cambria"/>
                <w:color w:val="000000" w:themeColor="text1"/>
              </w:rPr>
              <w:t xml:space="preserve"> </w:t>
            </w:r>
            <w:proofErr w:type="spellStart"/>
            <w:r w:rsidRPr="00F73829">
              <w:rPr>
                <w:rFonts w:ascii="Cambria" w:hAnsi="Cambria"/>
                <w:color w:val="000000" w:themeColor="text1"/>
              </w:rPr>
              <w:t>doticaja</w:t>
            </w:r>
            <w:proofErr w:type="spellEnd"/>
          </w:p>
          <w:p w14:paraId="46EA908B" w14:textId="73FB0446" w:rsidR="00977220" w:rsidRPr="00F73829" w:rsidRDefault="00977220" w:rsidP="00977220">
            <w:pPr>
              <w:spacing w:after="0" w:line="240" w:lineRule="auto"/>
              <w:rPr>
                <w:rFonts w:ascii="Cambria" w:hAnsi="Cambria"/>
                <w:color w:val="000000" w:themeColor="text1"/>
              </w:rPr>
            </w:pPr>
            <w:r w:rsidRPr="00F73829">
              <w:rPr>
                <w:rFonts w:ascii="Cambria" w:hAnsi="Cambria"/>
                <w:color w:val="000000" w:themeColor="text1"/>
              </w:rPr>
              <w:t xml:space="preserve">7. </w:t>
            </w:r>
            <w:proofErr w:type="spellStart"/>
            <w:r w:rsidRPr="00F73829">
              <w:rPr>
                <w:rFonts w:ascii="Cambria" w:hAnsi="Cambria"/>
                <w:color w:val="000000" w:themeColor="text1"/>
              </w:rPr>
              <w:t>Dvojezičnost</w:t>
            </w:r>
            <w:proofErr w:type="spellEnd"/>
            <w:r w:rsidRPr="00F73829">
              <w:rPr>
                <w:rFonts w:ascii="Cambria" w:hAnsi="Cambria"/>
                <w:color w:val="000000" w:themeColor="text1"/>
              </w:rPr>
              <w:t xml:space="preserve"> </w:t>
            </w:r>
            <w:proofErr w:type="spellStart"/>
            <w:r w:rsidRPr="00F73829">
              <w:rPr>
                <w:rFonts w:ascii="Cambria" w:hAnsi="Cambria"/>
                <w:color w:val="000000" w:themeColor="text1"/>
              </w:rPr>
              <w:t>i</w:t>
            </w:r>
            <w:proofErr w:type="spellEnd"/>
            <w:r w:rsidRPr="00F73829">
              <w:rPr>
                <w:rFonts w:ascii="Cambria" w:hAnsi="Cambria"/>
                <w:color w:val="000000" w:themeColor="text1"/>
              </w:rPr>
              <w:t xml:space="preserve"> </w:t>
            </w:r>
            <w:proofErr w:type="spellStart"/>
            <w:r w:rsidRPr="00F73829">
              <w:rPr>
                <w:rFonts w:ascii="Cambria" w:hAnsi="Cambria"/>
                <w:color w:val="000000" w:themeColor="text1"/>
              </w:rPr>
              <w:t>višejezičnost</w:t>
            </w:r>
            <w:proofErr w:type="spellEnd"/>
            <w:r w:rsidRPr="00F73829">
              <w:rPr>
                <w:rFonts w:ascii="Cambria" w:hAnsi="Cambria"/>
                <w:color w:val="000000" w:themeColor="text1"/>
              </w:rPr>
              <w:t xml:space="preserve"> </w:t>
            </w:r>
            <w:proofErr w:type="spellStart"/>
            <w:r w:rsidRPr="00F73829">
              <w:rPr>
                <w:rFonts w:ascii="Cambria" w:hAnsi="Cambria"/>
                <w:color w:val="000000" w:themeColor="text1"/>
              </w:rPr>
              <w:t>na</w:t>
            </w:r>
            <w:proofErr w:type="spellEnd"/>
            <w:r w:rsidRPr="00F73829">
              <w:rPr>
                <w:rFonts w:ascii="Cambria" w:hAnsi="Cambria"/>
                <w:color w:val="000000" w:themeColor="text1"/>
              </w:rPr>
              <w:t xml:space="preserve"> </w:t>
            </w:r>
            <w:proofErr w:type="spellStart"/>
            <w:r w:rsidRPr="00F73829">
              <w:rPr>
                <w:rFonts w:ascii="Cambria" w:hAnsi="Cambria"/>
                <w:color w:val="000000" w:themeColor="text1"/>
              </w:rPr>
              <w:t>istarskom</w:t>
            </w:r>
            <w:proofErr w:type="spellEnd"/>
            <w:r w:rsidRPr="00F73829">
              <w:rPr>
                <w:rFonts w:ascii="Cambria" w:hAnsi="Cambria"/>
                <w:color w:val="000000" w:themeColor="text1"/>
              </w:rPr>
              <w:t xml:space="preserve"> </w:t>
            </w:r>
            <w:proofErr w:type="spellStart"/>
            <w:r w:rsidRPr="00F73829">
              <w:rPr>
                <w:rFonts w:ascii="Cambria" w:hAnsi="Cambria"/>
                <w:color w:val="000000" w:themeColor="text1"/>
              </w:rPr>
              <w:t>području</w:t>
            </w:r>
            <w:proofErr w:type="spellEnd"/>
            <w:r w:rsidRPr="00F73829">
              <w:rPr>
                <w:rFonts w:ascii="Cambria" w:hAnsi="Cambria"/>
                <w:color w:val="000000" w:themeColor="text1"/>
              </w:rPr>
              <w:t>.</w:t>
            </w:r>
          </w:p>
        </w:tc>
      </w:tr>
      <w:tr w:rsidR="00977220" w:rsidRPr="00DA7312" w14:paraId="5E4DA554" w14:textId="77777777" w:rsidTr="00D74364">
        <w:tc>
          <w:tcPr>
            <w:tcW w:w="2623"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hideMark/>
          </w:tcPr>
          <w:p w14:paraId="4273C618" w14:textId="77777777" w:rsidR="00977220" w:rsidRPr="00977220" w:rsidRDefault="00977220" w:rsidP="00977220">
            <w:pPr>
              <w:spacing w:after="0" w:line="240" w:lineRule="auto"/>
              <w:rPr>
                <w:rFonts w:ascii="Cambria" w:hAnsi="Cambria"/>
                <w:color w:val="000000" w:themeColor="text1"/>
                <w:lang w:val="it-IT"/>
              </w:rPr>
            </w:pPr>
            <w:proofErr w:type="spellStart"/>
            <w:r w:rsidRPr="00977220">
              <w:rPr>
                <w:rFonts w:ascii="Cambria" w:hAnsi="Cambria"/>
                <w:color w:val="000000" w:themeColor="text1"/>
                <w:lang w:val="it-IT"/>
              </w:rPr>
              <w:lastRenderedPageBreak/>
              <w:t>Planirane</w:t>
            </w:r>
            <w:proofErr w:type="spellEnd"/>
            <w:r w:rsidRPr="00977220">
              <w:rPr>
                <w:rFonts w:ascii="Cambria" w:hAnsi="Cambria"/>
                <w:color w:val="000000" w:themeColor="text1"/>
                <w:lang w:val="it-IT"/>
              </w:rPr>
              <w:t xml:space="preserve"> </w:t>
            </w:r>
            <w:proofErr w:type="spellStart"/>
            <w:r w:rsidRPr="00977220">
              <w:rPr>
                <w:rFonts w:ascii="Cambria" w:hAnsi="Cambria"/>
                <w:color w:val="000000" w:themeColor="text1"/>
                <w:lang w:val="it-IT"/>
              </w:rPr>
              <w:t>aktivnosti</w:t>
            </w:r>
            <w:proofErr w:type="spellEnd"/>
            <w:r w:rsidRPr="00977220">
              <w:rPr>
                <w:rFonts w:ascii="Cambria" w:hAnsi="Cambria"/>
                <w:color w:val="000000" w:themeColor="text1"/>
                <w:lang w:val="it-IT"/>
              </w:rPr>
              <w:t>,</w:t>
            </w:r>
          </w:p>
          <w:p w14:paraId="6E8354CB" w14:textId="77777777" w:rsidR="00977220" w:rsidRPr="00977220" w:rsidRDefault="00977220" w:rsidP="00977220">
            <w:pPr>
              <w:spacing w:after="0" w:line="240" w:lineRule="auto"/>
              <w:rPr>
                <w:rFonts w:ascii="Cambria" w:hAnsi="Cambria"/>
                <w:color w:val="000000" w:themeColor="text1"/>
                <w:lang w:val="it-IT"/>
              </w:rPr>
            </w:pPr>
            <w:proofErr w:type="spellStart"/>
            <w:r w:rsidRPr="00977220">
              <w:rPr>
                <w:rFonts w:ascii="Cambria" w:hAnsi="Cambria"/>
                <w:color w:val="000000" w:themeColor="text1"/>
                <w:lang w:val="it-IT"/>
              </w:rPr>
              <w:t>metode</w:t>
            </w:r>
            <w:proofErr w:type="spellEnd"/>
            <w:r w:rsidRPr="00977220">
              <w:rPr>
                <w:rFonts w:ascii="Cambria" w:hAnsi="Cambria"/>
                <w:color w:val="000000" w:themeColor="text1"/>
                <w:lang w:val="it-IT"/>
              </w:rPr>
              <w:t xml:space="preserve"> </w:t>
            </w:r>
            <w:proofErr w:type="spellStart"/>
            <w:r w:rsidRPr="00977220">
              <w:rPr>
                <w:rFonts w:ascii="Cambria" w:hAnsi="Cambria"/>
                <w:color w:val="000000" w:themeColor="text1"/>
                <w:lang w:val="it-IT"/>
              </w:rPr>
              <w:t>učenja</w:t>
            </w:r>
            <w:proofErr w:type="spellEnd"/>
            <w:r w:rsidRPr="00977220">
              <w:rPr>
                <w:rFonts w:ascii="Cambria" w:hAnsi="Cambria"/>
                <w:color w:val="000000" w:themeColor="text1"/>
                <w:lang w:val="it-IT"/>
              </w:rPr>
              <w:t xml:space="preserve"> i </w:t>
            </w:r>
            <w:proofErr w:type="spellStart"/>
            <w:r w:rsidRPr="00977220">
              <w:rPr>
                <w:rFonts w:ascii="Cambria" w:hAnsi="Cambria"/>
                <w:color w:val="000000" w:themeColor="text1"/>
                <w:lang w:val="it-IT"/>
              </w:rPr>
              <w:t>poučavanja</w:t>
            </w:r>
            <w:proofErr w:type="spellEnd"/>
            <w:r w:rsidRPr="00977220">
              <w:rPr>
                <w:rFonts w:ascii="Cambria" w:hAnsi="Cambria"/>
                <w:color w:val="000000" w:themeColor="text1"/>
                <w:lang w:val="it-IT"/>
              </w:rPr>
              <w:t xml:space="preserve"> i </w:t>
            </w:r>
            <w:proofErr w:type="spellStart"/>
            <w:r w:rsidRPr="00977220">
              <w:rPr>
                <w:rFonts w:ascii="Cambria" w:hAnsi="Cambria"/>
                <w:color w:val="000000" w:themeColor="text1"/>
                <w:lang w:val="it-IT"/>
              </w:rPr>
              <w:t>načini</w:t>
            </w:r>
            <w:proofErr w:type="spellEnd"/>
            <w:r w:rsidRPr="00977220">
              <w:rPr>
                <w:rFonts w:ascii="Cambria" w:hAnsi="Cambria"/>
                <w:color w:val="000000" w:themeColor="text1"/>
                <w:lang w:val="it-IT"/>
              </w:rPr>
              <w:t xml:space="preserve"> </w:t>
            </w:r>
            <w:proofErr w:type="spellStart"/>
            <w:r w:rsidRPr="00977220">
              <w:rPr>
                <w:rFonts w:ascii="Cambria" w:hAnsi="Cambria"/>
                <w:color w:val="000000" w:themeColor="text1"/>
                <w:lang w:val="it-IT"/>
              </w:rPr>
              <w:t>vrednovanja</w:t>
            </w:r>
            <w:proofErr w:type="spellEnd"/>
          </w:p>
        </w:tc>
        <w:tc>
          <w:tcPr>
            <w:tcW w:w="258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F58D3ED" w14:textId="77777777" w:rsidR="00977220" w:rsidRPr="00977220" w:rsidRDefault="00977220" w:rsidP="00977220">
            <w:pPr>
              <w:spacing w:after="0" w:line="240" w:lineRule="auto"/>
              <w:rPr>
                <w:rFonts w:ascii="Cambria" w:hAnsi="Cambria"/>
                <w:color w:val="000000" w:themeColor="text1"/>
              </w:rPr>
            </w:pPr>
            <w:proofErr w:type="spellStart"/>
            <w:r w:rsidRPr="00977220">
              <w:rPr>
                <w:rFonts w:ascii="Cambria" w:hAnsi="Cambria"/>
                <w:bCs/>
                <w:color w:val="000000" w:themeColor="text1"/>
              </w:rPr>
              <w:t>Obveze</w:t>
            </w:r>
            <w:proofErr w:type="spellEnd"/>
            <w:r w:rsidRPr="00977220">
              <w:rPr>
                <w:rFonts w:ascii="Cambria" w:hAnsi="Cambria"/>
                <w:bCs/>
                <w:color w:val="000000" w:themeColor="text1"/>
              </w:rPr>
              <w:t xml:space="preserve"> </w:t>
            </w:r>
          </w:p>
        </w:tc>
        <w:tc>
          <w:tcPr>
            <w:tcW w:w="10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DC6FF64" w14:textId="77777777" w:rsidR="00977220" w:rsidRPr="00977220" w:rsidRDefault="00977220" w:rsidP="00977220">
            <w:pPr>
              <w:spacing w:after="0" w:line="240" w:lineRule="auto"/>
              <w:rPr>
                <w:rFonts w:ascii="Cambria" w:hAnsi="Cambria"/>
                <w:color w:val="000000" w:themeColor="text1"/>
              </w:rPr>
            </w:pPr>
            <w:proofErr w:type="spellStart"/>
            <w:r w:rsidRPr="00977220">
              <w:rPr>
                <w:rFonts w:ascii="Cambria" w:hAnsi="Cambria"/>
                <w:bCs/>
                <w:color w:val="000000" w:themeColor="text1"/>
              </w:rPr>
              <w:t>Ishodi</w:t>
            </w:r>
            <w:proofErr w:type="spellEnd"/>
          </w:p>
        </w:tc>
        <w:tc>
          <w:tcPr>
            <w:tcW w:w="71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640866D" w14:textId="77777777" w:rsidR="00977220" w:rsidRPr="00977220" w:rsidRDefault="00977220" w:rsidP="00977220">
            <w:pPr>
              <w:spacing w:after="0" w:line="240" w:lineRule="auto"/>
              <w:rPr>
                <w:rFonts w:ascii="Cambria" w:hAnsi="Cambria"/>
                <w:color w:val="000000" w:themeColor="text1"/>
              </w:rPr>
            </w:pPr>
            <w:r w:rsidRPr="00977220">
              <w:rPr>
                <w:rFonts w:ascii="Cambria" w:hAnsi="Cambria"/>
                <w:bCs/>
                <w:color w:val="000000" w:themeColor="text1"/>
              </w:rPr>
              <w:t>Sati</w:t>
            </w:r>
          </w:p>
        </w:tc>
        <w:tc>
          <w:tcPr>
            <w:tcW w:w="101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4720167" w14:textId="77777777" w:rsidR="00977220" w:rsidRPr="00977220" w:rsidRDefault="00977220" w:rsidP="00977220">
            <w:pPr>
              <w:spacing w:after="0" w:line="240" w:lineRule="auto"/>
              <w:rPr>
                <w:rFonts w:ascii="Cambria" w:hAnsi="Cambria"/>
                <w:color w:val="000000" w:themeColor="text1"/>
              </w:rPr>
            </w:pPr>
            <w:proofErr w:type="spellStart"/>
            <w:r w:rsidRPr="00977220">
              <w:rPr>
                <w:rFonts w:ascii="Cambria" w:hAnsi="Cambria"/>
                <w:bCs/>
                <w:color w:val="000000" w:themeColor="text1"/>
              </w:rPr>
              <w:t>Udio</w:t>
            </w:r>
            <w:proofErr w:type="spellEnd"/>
            <w:r w:rsidRPr="00977220">
              <w:rPr>
                <w:rFonts w:ascii="Cambria" w:hAnsi="Cambria"/>
                <w:bCs/>
                <w:color w:val="000000" w:themeColor="text1"/>
              </w:rPr>
              <w:t xml:space="preserve"> u ECTS-u</w:t>
            </w:r>
          </w:p>
        </w:tc>
        <w:tc>
          <w:tcPr>
            <w:tcW w:w="13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4ACA549" w14:textId="77777777" w:rsidR="00977220" w:rsidRPr="00977220" w:rsidRDefault="00977220" w:rsidP="00977220">
            <w:pPr>
              <w:spacing w:after="0" w:line="240" w:lineRule="auto"/>
              <w:rPr>
                <w:rFonts w:ascii="Cambria" w:hAnsi="Cambria"/>
                <w:color w:val="000000" w:themeColor="text1"/>
              </w:rPr>
            </w:pPr>
            <w:proofErr w:type="spellStart"/>
            <w:r w:rsidRPr="00977220">
              <w:rPr>
                <w:rFonts w:ascii="Cambria" w:hAnsi="Cambria"/>
                <w:bCs/>
                <w:color w:val="000000" w:themeColor="text1"/>
              </w:rPr>
              <w:t>Maksimalni</w:t>
            </w:r>
            <w:proofErr w:type="spellEnd"/>
            <w:r w:rsidRPr="00977220">
              <w:rPr>
                <w:rFonts w:ascii="Cambria" w:hAnsi="Cambria"/>
                <w:bCs/>
                <w:color w:val="000000" w:themeColor="text1"/>
              </w:rPr>
              <w:t xml:space="preserve"> </w:t>
            </w:r>
            <w:proofErr w:type="spellStart"/>
            <w:r w:rsidRPr="00977220">
              <w:rPr>
                <w:rFonts w:ascii="Cambria" w:hAnsi="Cambria"/>
                <w:bCs/>
                <w:color w:val="000000" w:themeColor="text1"/>
              </w:rPr>
              <w:t>udio</w:t>
            </w:r>
            <w:proofErr w:type="spellEnd"/>
            <w:r w:rsidRPr="00977220">
              <w:rPr>
                <w:rFonts w:ascii="Cambria" w:hAnsi="Cambria"/>
                <w:bCs/>
                <w:color w:val="000000" w:themeColor="text1"/>
              </w:rPr>
              <w:t xml:space="preserve"> u </w:t>
            </w:r>
            <w:proofErr w:type="spellStart"/>
            <w:r w:rsidRPr="00977220">
              <w:rPr>
                <w:rFonts w:ascii="Cambria" w:hAnsi="Cambria"/>
                <w:bCs/>
                <w:color w:val="000000" w:themeColor="text1"/>
              </w:rPr>
              <w:t>ocjeni</w:t>
            </w:r>
            <w:proofErr w:type="spellEnd"/>
            <w:r w:rsidRPr="00977220">
              <w:rPr>
                <w:rFonts w:ascii="Cambria" w:hAnsi="Cambria"/>
                <w:bCs/>
                <w:color w:val="000000" w:themeColor="text1"/>
              </w:rPr>
              <w:t xml:space="preserve"> (%)</w:t>
            </w:r>
          </w:p>
        </w:tc>
      </w:tr>
      <w:tr w:rsidR="00977220" w:rsidRPr="00DA7312" w14:paraId="49216406" w14:textId="77777777" w:rsidTr="00D74364">
        <w:tc>
          <w:tcPr>
            <w:tcW w:w="2623" w:type="dxa"/>
            <w:vMerge/>
            <w:tcBorders>
              <w:left w:val="single" w:sz="8" w:space="0" w:color="000000"/>
              <w:right w:val="single" w:sz="8" w:space="0" w:color="000000"/>
            </w:tcBorders>
            <w:vAlign w:val="center"/>
            <w:hideMark/>
          </w:tcPr>
          <w:p w14:paraId="63CC701D" w14:textId="77777777" w:rsidR="00977220" w:rsidRPr="00977220" w:rsidRDefault="00977220" w:rsidP="00977220">
            <w:pPr>
              <w:spacing w:after="0" w:line="240" w:lineRule="auto"/>
              <w:rPr>
                <w:rFonts w:ascii="Cambria" w:hAnsi="Cambria"/>
                <w:color w:val="000000" w:themeColor="text1"/>
              </w:rPr>
            </w:pPr>
          </w:p>
        </w:tc>
        <w:tc>
          <w:tcPr>
            <w:tcW w:w="258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4F5F841" w14:textId="32BDA8CA" w:rsidR="00977220" w:rsidRPr="00977220" w:rsidRDefault="00977220" w:rsidP="00977220">
            <w:pPr>
              <w:spacing w:after="0" w:line="240" w:lineRule="auto"/>
              <w:rPr>
                <w:rFonts w:ascii="Cambria" w:hAnsi="Cambria"/>
                <w:color w:val="000000" w:themeColor="text1"/>
                <w:lang w:val="it-IT"/>
              </w:rPr>
            </w:pPr>
            <w:proofErr w:type="spellStart"/>
            <w:r>
              <w:rPr>
                <w:rFonts w:ascii="Cambria" w:hAnsi="Cambria"/>
                <w:color w:val="000000" w:themeColor="text1"/>
                <w:lang w:val="it-IT"/>
              </w:rPr>
              <w:t>a</w:t>
            </w:r>
            <w:r w:rsidRPr="00977220">
              <w:rPr>
                <w:rFonts w:ascii="Cambria" w:hAnsi="Cambria"/>
                <w:color w:val="000000" w:themeColor="text1"/>
                <w:lang w:val="it-IT"/>
              </w:rPr>
              <w:t>ktivnost</w:t>
            </w:r>
            <w:proofErr w:type="spellEnd"/>
            <w:r w:rsidRPr="00977220">
              <w:rPr>
                <w:rFonts w:ascii="Cambria" w:hAnsi="Cambria"/>
                <w:color w:val="000000" w:themeColor="text1"/>
                <w:lang w:val="it-IT"/>
              </w:rPr>
              <w:t xml:space="preserve"> </w:t>
            </w:r>
            <w:proofErr w:type="spellStart"/>
            <w:r w:rsidRPr="00977220">
              <w:rPr>
                <w:rFonts w:ascii="Cambria" w:hAnsi="Cambria"/>
                <w:color w:val="000000" w:themeColor="text1"/>
                <w:lang w:val="it-IT"/>
              </w:rPr>
              <w:t>na</w:t>
            </w:r>
            <w:proofErr w:type="spellEnd"/>
            <w:r w:rsidRPr="00977220">
              <w:rPr>
                <w:rFonts w:ascii="Cambria" w:hAnsi="Cambria"/>
                <w:color w:val="000000" w:themeColor="text1"/>
                <w:lang w:val="it-IT"/>
              </w:rPr>
              <w:t xml:space="preserve"> </w:t>
            </w:r>
            <w:proofErr w:type="spellStart"/>
            <w:r w:rsidRPr="00977220">
              <w:rPr>
                <w:rFonts w:ascii="Cambria" w:hAnsi="Cambria"/>
                <w:color w:val="000000" w:themeColor="text1"/>
                <w:lang w:val="it-IT"/>
              </w:rPr>
              <w:t>nastavi</w:t>
            </w:r>
            <w:proofErr w:type="spellEnd"/>
            <w:r w:rsidRPr="00977220">
              <w:rPr>
                <w:rFonts w:ascii="Cambria" w:hAnsi="Cambria"/>
                <w:color w:val="000000" w:themeColor="text1"/>
                <w:lang w:val="it-IT"/>
              </w:rPr>
              <w:t xml:space="preserve"> (P, S)</w:t>
            </w:r>
          </w:p>
        </w:tc>
        <w:tc>
          <w:tcPr>
            <w:tcW w:w="10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B41A8C8" w14:textId="4FB84766" w:rsidR="00977220" w:rsidRPr="00977220" w:rsidRDefault="00977220" w:rsidP="00977220">
            <w:pPr>
              <w:spacing w:after="0" w:line="240" w:lineRule="auto"/>
              <w:jc w:val="center"/>
              <w:rPr>
                <w:rFonts w:ascii="Cambria" w:hAnsi="Cambria"/>
                <w:color w:val="000000" w:themeColor="text1"/>
              </w:rPr>
            </w:pPr>
            <w:r w:rsidRPr="00977220">
              <w:rPr>
                <w:rFonts w:ascii="Cambria" w:hAnsi="Cambria"/>
                <w:color w:val="000000" w:themeColor="text1"/>
              </w:rPr>
              <w:t>1.</w:t>
            </w:r>
            <w:r>
              <w:rPr>
                <w:rFonts w:ascii="Cambria" w:hAnsi="Cambria"/>
                <w:color w:val="000000" w:themeColor="text1"/>
              </w:rPr>
              <w:t xml:space="preserve"> – </w:t>
            </w:r>
            <w:r w:rsidRPr="00977220">
              <w:rPr>
                <w:rFonts w:ascii="Cambria" w:hAnsi="Cambria"/>
                <w:color w:val="000000" w:themeColor="text1"/>
              </w:rPr>
              <w:t>4.</w:t>
            </w:r>
          </w:p>
        </w:tc>
        <w:tc>
          <w:tcPr>
            <w:tcW w:w="71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0F4F254" w14:textId="60AC5084" w:rsidR="00977220" w:rsidRPr="00977220" w:rsidRDefault="00977220" w:rsidP="00977220">
            <w:pPr>
              <w:spacing w:after="0" w:line="240" w:lineRule="auto"/>
              <w:jc w:val="center"/>
              <w:rPr>
                <w:rFonts w:ascii="Cambria" w:hAnsi="Cambria"/>
                <w:color w:val="000000" w:themeColor="text1"/>
              </w:rPr>
            </w:pPr>
            <w:r w:rsidRPr="00977220">
              <w:rPr>
                <w:rFonts w:ascii="Cambria" w:hAnsi="Cambria"/>
                <w:color w:val="000000" w:themeColor="text1"/>
              </w:rPr>
              <w:t>2</w:t>
            </w:r>
            <w:r>
              <w:rPr>
                <w:rFonts w:ascii="Cambria" w:hAnsi="Cambria"/>
                <w:color w:val="000000" w:themeColor="text1"/>
              </w:rPr>
              <w:t>3</w:t>
            </w:r>
          </w:p>
        </w:tc>
        <w:tc>
          <w:tcPr>
            <w:tcW w:w="101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00122AF" w14:textId="77777777" w:rsidR="00977220" w:rsidRPr="00977220" w:rsidRDefault="00977220" w:rsidP="00977220">
            <w:pPr>
              <w:spacing w:after="0" w:line="240" w:lineRule="auto"/>
              <w:jc w:val="center"/>
              <w:rPr>
                <w:rFonts w:ascii="Cambria" w:hAnsi="Cambria"/>
                <w:color w:val="000000" w:themeColor="text1"/>
              </w:rPr>
            </w:pPr>
            <w:r w:rsidRPr="00977220">
              <w:rPr>
                <w:rFonts w:ascii="Cambria" w:hAnsi="Cambria"/>
                <w:color w:val="000000" w:themeColor="text1"/>
              </w:rPr>
              <w:t>0,8</w:t>
            </w:r>
          </w:p>
        </w:tc>
        <w:tc>
          <w:tcPr>
            <w:tcW w:w="13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69C66D2" w14:textId="77777777" w:rsidR="00977220" w:rsidRPr="00977220" w:rsidRDefault="00977220" w:rsidP="00977220">
            <w:pPr>
              <w:spacing w:after="0" w:line="240" w:lineRule="auto"/>
              <w:jc w:val="center"/>
              <w:rPr>
                <w:rFonts w:ascii="Cambria" w:hAnsi="Cambria"/>
                <w:color w:val="000000" w:themeColor="text1"/>
              </w:rPr>
            </w:pPr>
            <w:r w:rsidRPr="00977220">
              <w:rPr>
                <w:rFonts w:ascii="Cambria" w:hAnsi="Cambria"/>
                <w:color w:val="000000" w:themeColor="text1"/>
              </w:rPr>
              <w:t>10%</w:t>
            </w:r>
          </w:p>
        </w:tc>
      </w:tr>
      <w:tr w:rsidR="00977220" w:rsidRPr="00DA7312" w14:paraId="3F065F1E" w14:textId="77777777" w:rsidTr="00D74364">
        <w:tc>
          <w:tcPr>
            <w:tcW w:w="2623" w:type="dxa"/>
            <w:vMerge/>
            <w:tcBorders>
              <w:left w:val="single" w:sz="8" w:space="0" w:color="000000"/>
              <w:right w:val="single" w:sz="8" w:space="0" w:color="000000"/>
            </w:tcBorders>
            <w:vAlign w:val="center"/>
            <w:hideMark/>
          </w:tcPr>
          <w:p w14:paraId="21071CF0" w14:textId="77777777" w:rsidR="00977220" w:rsidRPr="00977220" w:rsidRDefault="00977220" w:rsidP="00977220">
            <w:pPr>
              <w:spacing w:after="0" w:line="240" w:lineRule="auto"/>
              <w:rPr>
                <w:rFonts w:ascii="Cambria" w:hAnsi="Cambria"/>
                <w:color w:val="000000" w:themeColor="text1"/>
              </w:rPr>
            </w:pPr>
          </w:p>
        </w:tc>
        <w:tc>
          <w:tcPr>
            <w:tcW w:w="258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8EDE61A" w14:textId="77777777" w:rsidR="00977220" w:rsidRPr="00977220" w:rsidRDefault="00977220" w:rsidP="00977220">
            <w:pPr>
              <w:spacing w:after="0" w:line="240" w:lineRule="auto"/>
              <w:rPr>
                <w:rFonts w:ascii="Cambria" w:hAnsi="Cambria"/>
                <w:color w:val="000000" w:themeColor="text1"/>
                <w:lang w:val="it-IT"/>
              </w:rPr>
            </w:pPr>
            <w:proofErr w:type="spellStart"/>
            <w:r w:rsidRPr="00977220">
              <w:rPr>
                <w:rFonts w:ascii="Cambria" w:hAnsi="Cambria"/>
                <w:color w:val="000000" w:themeColor="text1"/>
                <w:lang w:val="it-IT"/>
              </w:rPr>
              <w:t>samostalni</w:t>
            </w:r>
            <w:proofErr w:type="spellEnd"/>
            <w:r w:rsidRPr="00977220">
              <w:rPr>
                <w:rFonts w:ascii="Cambria" w:hAnsi="Cambria"/>
                <w:color w:val="000000" w:themeColor="text1"/>
                <w:lang w:val="it-IT"/>
              </w:rPr>
              <w:t xml:space="preserve"> </w:t>
            </w:r>
            <w:proofErr w:type="spellStart"/>
            <w:r w:rsidRPr="00977220">
              <w:rPr>
                <w:rFonts w:ascii="Cambria" w:hAnsi="Cambria"/>
                <w:color w:val="000000" w:themeColor="text1"/>
                <w:lang w:val="it-IT"/>
              </w:rPr>
              <w:t>zadatci</w:t>
            </w:r>
            <w:proofErr w:type="spellEnd"/>
            <w:r w:rsidRPr="00977220">
              <w:rPr>
                <w:rFonts w:ascii="Cambria" w:hAnsi="Cambria"/>
                <w:color w:val="000000" w:themeColor="text1"/>
                <w:lang w:val="it-IT"/>
              </w:rPr>
              <w:t xml:space="preserve"> i </w:t>
            </w:r>
            <w:proofErr w:type="spellStart"/>
            <w:r w:rsidRPr="00977220">
              <w:rPr>
                <w:rFonts w:ascii="Cambria" w:hAnsi="Cambria"/>
                <w:color w:val="000000" w:themeColor="text1"/>
                <w:lang w:val="it-IT"/>
              </w:rPr>
              <w:t>usmeno</w:t>
            </w:r>
            <w:proofErr w:type="spellEnd"/>
            <w:r w:rsidRPr="00977220">
              <w:rPr>
                <w:rFonts w:ascii="Cambria" w:hAnsi="Cambria"/>
                <w:color w:val="000000" w:themeColor="text1"/>
                <w:lang w:val="it-IT"/>
              </w:rPr>
              <w:t xml:space="preserve"> </w:t>
            </w:r>
            <w:proofErr w:type="spellStart"/>
            <w:r w:rsidRPr="00977220">
              <w:rPr>
                <w:rFonts w:ascii="Cambria" w:hAnsi="Cambria"/>
                <w:color w:val="000000" w:themeColor="text1"/>
                <w:lang w:val="it-IT"/>
              </w:rPr>
              <w:t>izlaganje</w:t>
            </w:r>
            <w:proofErr w:type="spellEnd"/>
          </w:p>
        </w:tc>
        <w:tc>
          <w:tcPr>
            <w:tcW w:w="10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9A12ECA" w14:textId="0F79F796" w:rsidR="00977220" w:rsidRPr="00977220" w:rsidRDefault="00977220" w:rsidP="00977220">
            <w:pPr>
              <w:spacing w:after="0" w:line="240" w:lineRule="auto"/>
              <w:jc w:val="center"/>
              <w:rPr>
                <w:rFonts w:ascii="Cambria" w:hAnsi="Cambria"/>
                <w:color w:val="000000" w:themeColor="text1"/>
              </w:rPr>
            </w:pPr>
            <w:r w:rsidRPr="00977220">
              <w:rPr>
                <w:rFonts w:ascii="Cambria" w:hAnsi="Cambria"/>
                <w:color w:val="000000" w:themeColor="text1"/>
              </w:rPr>
              <w:t>3</w:t>
            </w:r>
            <w:r w:rsidR="00B857A8">
              <w:rPr>
                <w:rFonts w:ascii="Cambria" w:hAnsi="Cambria"/>
                <w:color w:val="000000" w:themeColor="text1"/>
              </w:rPr>
              <w:t>., 4.</w:t>
            </w:r>
          </w:p>
        </w:tc>
        <w:tc>
          <w:tcPr>
            <w:tcW w:w="71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78CCFD4" w14:textId="1DEA378A" w:rsidR="00977220" w:rsidRPr="00977220" w:rsidRDefault="00977220" w:rsidP="00977220">
            <w:pPr>
              <w:spacing w:after="0" w:line="240" w:lineRule="auto"/>
              <w:jc w:val="center"/>
              <w:rPr>
                <w:rFonts w:ascii="Cambria" w:hAnsi="Cambria"/>
                <w:color w:val="000000" w:themeColor="text1"/>
              </w:rPr>
            </w:pPr>
            <w:r w:rsidRPr="00977220">
              <w:rPr>
                <w:rFonts w:ascii="Cambria" w:hAnsi="Cambria"/>
                <w:color w:val="000000" w:themeColor="text1"/>
              </w:rPr>
              <w:t>1</w:t>
            </w:r>
            <w:r>
              <w:rPr>
                <w:rFonts w:ascii="Cambria" w:hAnsi="Cambria"/>
                <w:color w:val="000000" w:themeColor="text1"/>
              </w:rPr>
              <w:t>5</w:t>
            </w:r>
          </w:p>
        </w:tc>
        <w:tc>
          <w:tcPr>
            <w:tcW w:w="101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00DC6B2" w14:textId="5CEB0A2B" w:rsidR="00977220" w:rsidRPr="00977220" w:rsidRDefault="00977220" w:rsidP="00977220">
            <w:pPr>
              <w:spacing w:after="0" w:line="240" w:lineRule="auto"/>
              <w:jc w:val="center"/>
              <w:rPr>
                <w:rFonts w:ascii="Cambria" w:hAnsi="Cambria"/>
                <w:color w:val="000000" w:themeColor="text1"/>
              </w:rPr>
            </w:pPr>
            <w:r w:rsidRPr="00977220">
              <w:rPr>
                <w:rFonts w:ascii="Cambria" w:hAnsi="Cambria"/>
                <w:color w:val="000000" w:themeColor="text1"/>
              </w:rPr>
              <w:t>0,</w:t>
            </w:r>
            <w:r>
              <w:rPr>
                <w:rFonts w:ascii="Cambria" w:hAnsi="Cambria"/>
                <w:color w:val="000000" w:themeColor="text1"/>
              </w:rPr>
              <w:t>5</w:t>
            </w:r>
          </w:p>
        </w:tc>
        <w:tc>
          <w:tcPr>
            <w:tcW w:w="13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B8C4380" w14:textId="77777777" w:rsidR="00977220" w:rsidRPr="00977220" w:rsidRDefault="00977220" w:rsidP="00977220">
            <w:pPr>
              <w:spacing w:after="0" w:line="240" w:lineRule="auto"/>
              <w:jc w:val="center"/>
              <w:rPr>
                <w:rFonts w:ascii="Cambria" w:hAnsi="Cambria"/>
                <w:color w:val="000000" w:themeColor="text1"/>
              </w:rPr>
            </w:pPr>
            <w:r w:rsidRPr="00977220">
              <w:rPr>
                <w:rFonts w:ascii="Cambria" w:hAnsi="Cambria"/>
                <w:color w:val="000000" w:themeColor="text1"/>
              </w:rPr>
              <w:t>20%</w:t>
            </w:r>
          </w:p>
        </w:tc>
      </w:tr>
      <w:tr w:rsidR="00977220" w:rsidRPr="00DA7312" w14:paraId="36F36DE3" w14:textId="77777777" w:rsidTr="00D74364">
        <w:tc>
          <w:tcPr>
            <w:tcW w:w="2623" w:type="dxa"/>
            <w:vMerge/>
            <w:tcBorders>
              <w:left w:val="single" w:sz="8" w:space="0" w:color="000000"/>
              <w:right w:val="single" w:sz="8" w:space="0" w:color="000000"/>
            </w:tcBorders>
            <w:vAlign w:val="center"/>
            <w:hideMark/>
          </w:tcPr>
          <w:p w14:paraId="727BCC4D" w14:textId="77777777" w:rsidR="00977220" w:rsidRPr="00977220" w:rsidRDefault="00977220" w:rsidP="00977220">
            <w:pPr>
              <w:spacing w:after="0" w:line="240" w:lineRule="auto"/>
              <w:rPr>
                <w:rFonts w:ascii="Cambria" w:hAnsi="Cambria"/>
                <w:color w:val="000000" w:themeColor="text1"/>
              </w:rPr>
            </w:pPr>
          </w:p>
        </w:tc>
        <w:tc>
          <w:tcPr>
            <w:tcW w:w="258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2598DFA" w14:textId="77777777" w:rsidR="00977220" w:rsidRPr="00977220" w:rsidRDefault="00977220" w:rsidP="00977220">
            <w:pPr>
              <w:spacing w:after="0" w:line="240" w:lineRule="auto"/>
              <w:rPr>
                <w:rFonts w:ascii="Cambria" w:hAnsi="Cambria"/>
                <w:color w:val="000000" w:themeColor="text1"/>
              </w:rPr>
            </w:pPr>
            <w:proofErr w:type="spellStart"/>
            <w:r w:rsidRPr="00977220">
              <w:rPr>
                <w:rFonts w:ascii="Cambria" w:hAnsi="Cambria"/>
                <w:color w:val="000000" w:themeColor="text1"/>
              </w:rPr>
              <w:t>ispit</w:t>
            </w:r>
            <w:proofErr w:type="spellEnd"/>
          </w:p>
        </w:tc>
        <w:tc>
          <w:tcPr>
            <w:tcW w:w="10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0A867CC" w14:textId="74BBFA18" w:rsidR="00977220" w:rsidRPr="00977220" w:rsidRDefault="00B857A8" w:rsidP="00977220">
            <w:pPr>
              <w:spacing w:after="0" w:line="240" w:lineRule="auto"/>
              <w:jc w:val="center"/>
              <w:rPr>
                <w:rFonts w:ascii="Cambria" w:hAnsi="Cambria"/>
                <w:color w:val="000000" w:themeColor="text1"/>
              </w:rPr>
            </w:pPr>
            <w:r w:rsidRPr="00B857A8">
              <w:rPr>
                <w:rFonts w:ascii="Cambria" w:hAnsi="Cambria"/>
                <w:color w:val="000000" w:themeColor="text1"/>
              </w:rPr>
              <w:t>1. – 4.</w:t>
            </w:r>
          </w:p>
        </w:tc>
        <w:tc>
          <w:tcPr>
            <w:tcW w:w="71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7A2A486" w14:textId="65A92676" w:rsidR="00977220" w:rsidRPr="00977220" w:rsidRDefault="00977220" w:rsidP="00977220">
            <w:pPr>
              <w:spacing w:after="0" w:line="240" w:lineRule="auto"/>
              <w:jc w:val="center"/>
              <w:rPr>
                <w:rFonts w:ascii="Cambria" w:hAnsi="Cambria"/>
                <w:color w:val="000000" w:themeColor="text1"/>
              </w:rPr>
            </w:pPr>
            <w:r>
              <w:rPr>
                <w:rFonts w:ascii="Cambria" w:hAnsi="Cambria"/>
                <w:color w:val="000000" w:themeColor="text1"/>
              </w:rPr>
              <w:t>22</w:t>
            </w:r>
          </w:p>
        </w:tc>
        <w:tc>
          <w:tcPr>
            <w:tcW w:w="101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58E70FD" w14:textId="24E67C8F" w:rsidR="00977220" w:rsidRPr="00977220" w:rsidRDefault="00977220" w:rsidP="00977220">
            <w:pPr>
              <w:spacing w:after="0" w:line="240" w:lineRule="auto"/>
              <w:jc w:val="center"/>
              <w:rPr>
                <w:rFonts w:ascii="Cambria" w:hAnsi="Cambria"/>
                <w:color w:val="000000" w:themeColor="text1"/>
              </w:rPr>
            </w:pPr>
            <w:r>
              <w:rPr>
                <w:rFonts w:ascii="Cambria" w:hAnsi="Cambria"/>
                <w:color w:val="000000" w:themeColor="text1"/>
              </w:rPr>
              <w:t>0,7</w:t>
            </w:r>
          </w:p>
        </w:tc>
        <w:tc>
          <w:tcPr>
            <w:tcW w:w="13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4915840" w14:textId="77777777" w:rsidR="00977220" w:rsidRPr="00977220" w:rsidRDefault="00977220" w:rsidP="00977220">
            <w:pPr>
              <w:spacing w:after="0" w:line="240" w:lineRule="auto"/>
              <w:jc w:val="center"/>
              <w:rPr>
                <w:rFonts w:ascii="Cambria" w:hAnsi="Cambria"/>
                <w:color w:val="000000" w:themeColor="text1"/>
              </w:rPr>
            </w:pPr>
            <w:r w:rsidRPr="00977220">
              <w:rPr>
                <w:rFonts w:ascii="Cambria" w:hAnsi="Cambria"/>
                <w:color w:val="000000" w:themeColor="text1"/>
              </w:rPr>
              <w:t>70%</w:t>
            </w:r>
          </w:p>
        </w:tc>
      </w:tr>
      <w:tr w:rsidR="00977220" w:rsidRPr="00DA7312" w14:paraId="011E0588" w14:textId="77777777" w:rsidTr="00D74364">
        <w:tc>
          <w:tcPr>
            <w:tcW w:w="2623" w:type="dxa"/>
            <w:vMerge/>
            <w:tcBorders>
              <w:left w:val="single" w:sz="8" w:space="0" w:color="000000"/>
              <w:right w:val="single" w:sz="8" w:space="0" w:color="000000"/>
            </w:tcBorders>
            <w:vAlign w:val="center"/>
            <w:hideMark/>
          </w:tcPr>
          <w:p w14:paraId="33CB60C0" w14:textId="77777777" w:rsidR="00977220" w:rsidRPr="00977220" w:rsidRDefault="00977220" w:rsidP="00977220">
            <w:pPr>
              <w:spacing w:after="0" w:line="240" w:lineRule="auto"/>
              <w:rPr>
                <w:rFonts w:ascii="Cambria" w:hAnsi="Cambria"/>
                <w:color w:val="000000" w:themeColor="text1"/>
              </w:rPr>
            </w:pPr>
          </w:p>
        </w:tc>
        <w:tc>
          <w:tcPr>
            <w:tcW w:w="3671"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C4B83F0" w14:textId="77777777" w:rsidR="00977220" w:rsidRPr="00977220" w:rsidRDefault="00977220" w:rsidP="00977220">
            <w:pPr>
              <w:spacing w:after="0" w:line="240" w:lineRule="auto"/>
              <w:rPr>
                <w:rFonts w:ascii="Cambria" w:hAnsi="Cambria"/>
                <w:color w:val="000000" w:themeColor="text1"/>
              </w:rPr>
            </w:pPr>
            <w:proofErr w:type="spellStart"/>
            <w:r w:rsidRPr="00977220">
              <w:rPr>
                <w:rFonts w:ascii="Cambria" w:hAnsi="Cambria"/>
                <w:color w:val="000000" w:themeColor="text1"/>
              </w:rPr>
              <w:t>ukupno</w:t>
            </w:r>
            <w:proofErr w:type="spellEnd"/>
          </w:p>
        </w:tc>
        <w:tc>
          <w:tcPr>
            <w:tcW w:w="71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8114E07" w14:textId="7A063DFD" w:rsidR="00977220" w:rsidRPr="00977220" w:rsidRDefault="00977220" w:rsidP="00977220">
            <w:pPr>
              <w:spacing w:after="0" w:line="240" w:lineRule="auto"/>
              <w:jc w:val="center"/>
              <w:rPr>
                <w:rFonts w:ascii="Cambria" w:hAnsi="Cambria"/>
                <w:color w:val="000000" w:themeColor="text1"/>
              </w:rPr>
            </w:pPr>
            <w:r>
              <w:rPr>
                <w:rFonts w:ascii="Cambria" w:hAnsi="Cambria"/>
                <w:color w:val="000000" w:themeColor="text1"/>
              </w:rPr>
              <w:t>60</w:t>
            </w:r>
          </w:p>
        </w:tc>
        <w:tc>
          <w:tcPr>
            <w:tcW w:w="101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AEB3317" w14:textId="4A1B0A11" w:rsidR="00977220" w:rsidRPr="00977220" w:rsidRDefault="00977220" w:rsidP="00977220">
            <w:pPr>
              <w:spacing w:after="0" w:line="240" w:lineRule="auto"/>
              <w:jc w:val="center"/>
              <w:rPr>
                <w:rFonts w:ascii="Cambria" w:hAnsi="Cambria"/>
                <w:color w:val="000000" w:themeColor="text1"/>
              </w:rPr>
            </w:pPr>
            <w:r>
              <w:rPr>
                <w:rFonts w:ascii="Cambria" w:hAnsi="Cambria"/>
                <w:color w:val="000000" w:themeColor="text1"/>
              </w:rPr>
              <w:t>2</w:t>
            </w:r>
          </w:p>
        </w:tc>
        <w:tc>
          <w:tcPr>
            <w:tcW w:w="13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C13DD4F" w14:textId="77777777" w:rsidR="00977220" w:rsidRPr="00977220" w:rsidRDefault="00977220" w:rsidP="00977220">
            <w:pPr>
              <w:spacing w:after="0" w:line="240" w:lineRule="auto"/>
              <w:jc w:val="center"/>
              <w:rPr>
                <w:rFonts w:ascii="Cambria" w:hAnsi="Cambria"/>
                <w:color w:val="000000" w:themeColor="text1"/>
              </w:rPr>
            </w:pPr>
            <w:r w:rsidRPr="00977220">
              <w:rPr>
                <w:rFonts w:ascii="Cambria" w:hAnsi="Cambria"/>
                <w:color w:val="000000" w:themeColor="text1"/>
              </w:rPr>
              <w:t>100%</w:t>
            </w:r>
          </w:p>
        </w:tc>
      </w:tr>
      <w:tr w:rsidR="00977220" w:rsidRPr="00DA7312" w14:paraId="191E7C64" w14:textId="77777777" w:rsidTr="00D74364">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5B7B55C" w14:textId="77777777" w:rsidR="00977220" w:rsidRPr="00977220" w:rsidRDefault="00977220" w:rsidP="00977220">
            <w:pPr>
              <w:spacing w:after="0" w:line="240" w:lineRule="auto"/>
              <w:rPr>
                <w:rFonts w:ascii="Cambria" w:hAnsi="Cambria"/>
                <w:color w:val="000000" w:themeColor="text1"/>
              </w:rPr>
            </w:pPr>
            <w:proofErr w:type="spellStart"/>
            <w:r w:rsidRPr="00977220">
              <w:rPr>
                <w:rFonts w:ascii="Cambria" w:hAnsi="Cambria"/>
                <w:color w:val="000000" w:themeColor="text1"/>
              </w:rPr>
              <w:t>Studentske</w:t>
            </w:r>
            <w:proofErr w:type="spellEnd"/>
            <w:r w:rsidRPr="00977220">
              <w:rPr>
                <w:rFonts w:ascii="Cambria" w:hAnsi="Cambria"/>
                <w:color w:val="000000" w:themeColor="text1"/>
              </w:rPr>
              <w:t xml:space="preserve"> </w:t>
            </w:r>
            <w:proofErr w:type="spellStart"/>
            <w:r w:rsidRPr="00977220">
              <w:rPr>
                <w:rFonts w:ascii="Cambria" w:hAnsi="Cambria"/>
                <w:color w:val="000000" w:themeColor="text1"/>
              </w:rPr>
              <w:t>obveze</w:t>
            </w:r>
            <w:proofErr w:type="spellEnd"/>
          </w:p>
        </w:tc>
        <w:tc>
          <w:tcPr>
            <w:tcW w:w="671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3B54000" w14:textId="77777777" w:rsidR="00977220" w:rsidRPr="00977220" w:rsidRDefault="00977220" w:rsidP="00977220">
            <w:pPr>
              <w:spacing w:after="0" w:line="240" w:lineRule="auto"/>
              <w:jc w:val="both"/>
              <w:rPr>
                <w:rFonts w:ascii="Cambria" w:hAnsi="Cambria"/>
                <w:color w:val="000000" w:themeColor="text1"/>
                <w:lang w:val="it-IT"/>
              </w:rPr>
            </w:pPr>
            <w:r w:rsidRPr="00977220">
              <w:rPr>
                <w:rFonts w:ascii="Cambria" w:hAnsi="Cambria"/>
                <w:color w:val="000000" w:themeColor="text1"/>
                <w:lang w:val="it-IT"/>
              </w:rPr>
              <w:t xml:space="preserve">Da </w:t>
            </w:r>
            <w:proofErr w:type="spellStart"/>
            <w:r w:rsidRPr="00977220">
              <w:rPr>
                <w:rFonts w:ascii="Cambria" w:hAnsi="Cambria"/>
                <w:color w:val="000000" w:themeColor="text1"/>
                <w:lang w:val="it-IT"/>
              </w:rPr>
              <w:t>položi</w:t>
            </w:r>
            <w:proofErr w:type="spellEnd"/>
            <w:r w:rsidRPr="00977220">
              <w:rPr>
                <w:rFonts w:ascii="Cambria" w:hAnsi="Cambria"/>
                <w:color w:val="000000" w:themeColor="text1"/>
                <w:lang w:val="it-IT"/>
              </w:rPr>
              <w:t xml:space="preserve"> </w:t>
            </w:r>
            <w:proofErr w:type="spellStart"/>
            <w:r w:rsidRPr="00977220">
              <w:rPr>
                <w:rFonts w:ascii="Cambria" w:hAnsi="Cambria"/>
                <w:color w:val="000000" w:themeColor="text1"/>
                <w:lang w:val="it-IT"/>
              </w:rPr>
              <w:t>kolegij</w:t>
            </w:r>
            <w:proofErr w:type="spellEnd"/>
            <w:r w:rsidRPr="00977220">
              <w:rPr>
                <w:rFonts w:ascii="Cambria" w:hAnsi="Cambria"/>
                <w:color w:val="000000" w:themeColor="text1"/>
                <w:lang w:val="it-IT"/>
              </w:rPr>
              <w:t xml:space="preserve">, </w:t>
            </w:r>
            <w:proofErr w:type="spellStart"/>
            <w:r w:rsidRPr="00977220">
              <w:rPr>
                <w:rFonts w:ascii="Cambria" w:hAnsi="Cambria"/>
                <w:color w:val="000000" w:themeColor="text1"/>
                <w:lang w:val="it-IT"/>
              </w:rPr>
              <w:t>student</w:t>
            </w:r>
            <w:proofErr w:type="spellEnd"/>
            <w:r w:rsidRPr="00977220">
              <w:rPr>
                <w:rFonts w:ascii="Cambria" w:hAnsi="Cambria"/>
                <w:color w:val="000000" w:themeColor="text1"/>
                <w:lang w:val="it-IT"/>
              </w:rPr>
              <w:t>/</w:t>
            </w:r>
            <w:proofErr w:type="spellStart"/>
            <w:r w:rsidRPr="00977220">
              <w:rPr>
                <w:rFonts w:ascii="Cambria" w:hAnsi="Cambria"/>
                <w:color w:val="000000" w:themeColor="text1"/>
                <w:lang w:val="it-IT"/>
              </w:rPr>
              <w:t>studentica</w:t>
            </w:r>
            <w:proofErr w:type="spellEnd"/>
            <w:r w:rsidRPr="00977220">
              <w:rPr>
                <w:rFonts w:ascii="Cambria" w:hAnsi="Cambria"/>
                <w:color w:val="000000" w:themeColor="text1"/>
                <w:lang w:val="it-IT"/>
              </w:rPr>
              <w:t xml:space="preserve"> mora: </w:t>
            </w:r>
          </w:p>
          <w:p w14:paraId="2B64EE9B" w14:textId="79967987" w:rsidR="00977220" w:rsidRPr="00977220" w:rsidRDefault="00977220" w:rsidP="00977220">
            <w:pPr>
              <w:spacing w:after="0" w:line="240" w:lineRule="auto"/>
              <w:jc w:val="both"/>
              <w:rPr>
                <w:rFonts w:ascii="Cambria" w:hAnsi="Cambria"/>
                <w:color w:val="000000" w:themeColor="text1"/>
                <w:lang w:val="it-IT"/>
              </w:rPr>
            </w:pPr>
            <w:r w:rsidRPr="00977220">
              <w:rPr>
                <w:rFonts w:ascii="Cambria" w:hAnsi="Cambria"/>
                <w:color w:val="000000" w:themeColor="text1"/>
                <w:lang w:val="it-IT"/>
              </w:rPr>
              <w:t xml:space="preserve">1. </w:t>
            </w:r>
            <w:proofErr w:type="spellStart"/>
            <w:r w:rsidR="00B857A8">
              <w:rPr>
                <w:rFonts w:ascii="Cambria" w:hAnsi="Cambria"/>
                <w:color w:val="000000" w:themeColor="text1"/>
                <w:lang w:val="it-IT"/>
              </w:rPr>
              <w:t>p</w:t>
            </w:r>
            <w:r w:rsidRPr="00977220">
              <w:rPr>
                <w:rFonts w:ascii="Cambria" w:hAnsi="Cambria"/>
                <w:color w:val="000000" w:themeColor="text1"/>
                <w:lang w:val="it-IT"/>
              </w:rPr>
              <w:t>ohađati</w:t>
            </w:r>
            <w:proofErr w:type="spellEnd"/>
            <w:r w:rsidRPr="00977220">
              <w:rPr>
                <w:rFonts w:ascii="Cambria" w:hAnsi="Cambria"/>
                <w:color w:val="000000" w:themeColor="text1"/>
                <w:lang w:val="it-IT"/>
              </w:rPr>
              <w:t xml:space="preserve"> </w:t>
            </w:r>
            <w:proofErr w:type="spellStart"/>
            <w:r w:rsidRPr="00977220">
              <w:rPr>
                <w:rFonts w:ascii="Cambria" w:hAnsi="Cambria"/>
                <w:color w:val="000000" w:themeColor="text1"/>
                <w:lang w:val="it-IT"/>
              </w:rPr>
              <w:t>više</w:t>
            </w:r>
            <w:proofErr w:type="spellEnd"/>
            <w:r w:rsidRPr="00977220">
              <w:rPr>
                <w:rFonts w:ascii="Cambria" w:hAnsi="Cambria"/>
                <w:color w:val="000000" w:themeColor="text1"/>
                <w:lang w:val="it-IT"/>
              </w:rPr>
              <w:t xml:space="preserve"> </w:t>
            </w:r>
            <w:proofErr w:type="gramStart"/>
            <w:r w:rsidRPr="00977220">
              <w:rPr>
                <w:rFonts w:ascii="Cambria" w:hAnsi="Cambria"/>
                <w:color w:val="000000" w:themeColor="text1"/>
                <w:lang w:val="it-IT"/>
              </w:rPr>
              <w:t>od</w:t>
            </w:r>
            <w:proofErr w:type="gramEnd"/>
            <w:r w:rsidRPr="00977220">
              <w:rPr>
                <w:rFonts w:ascii="Cambria" w:hAnsi="Cambria"/>
                <w:color w:val="000000" w:themeColor="text1"/>
                <w:lang w:val="it-IT"/>
              </w:rPr>
              <w:t xml:space="preserve"> 70% </w:t>
            </w:r>
            <w:proofErr w:type="spellStart"/>
            <w:r w:rsidRPr="00977220">
              <w:rPr>
                <w:rFonts w:ascii="Cambria" w:hAnsi="Cambria"/>
                <w:color w:val="000000" w:themeColor="text1"/>
                <w:lang w:val="it-IT"/>
              </w:rPr>
              <w:t>nastave</w:t>
            </w:r>
            <w:proofErr w:type="spellEnd"/>
            <w:r w:rsidR="00B857A8">
              <w:rPr>
                <w:rFonts w:ascii="Cambria" w:hAnsi="Cambria"/>
                <w:color w:val="000000" w:themeColor="text1"/>
                <w:lang w:val="it-IT"/>
              </w:rPr>
              <w:t xml:space="preserve"> (</w:t>
            </w:r>
            <w:proofErr w:type="spellStart"/>
            <w:r w:rsidR="00B857A8">
              <w:rPr>
                <w:rFonts w:ascii="Cambria" w:hAnsi="Cambria"/>
                <w:color w:val="000000" w:themeColor="text1"/>
                <w:lang w:val="it-IT"/>
              </w:rPr>
              <w:t>a</w:t>
            </w:r>
            <w:r w:rsidRPr="00977220">
              <w:rPr>
                <w:rFonts w:ascii="Cambria" w:hAnsi="Cambria"/>
                <w:color w:val="000000" w:themeColor="text1"/>
                <w:lang w:val="it-IT"/>
              </w:rPr>
              <w:t>ko</w:t>
            </w:r>
            <w:proofErr w:type="spellEnd"/>
            <w:r w:rsidRPr="00977220">
              <w:rPr>
                <w:rFonts w:ascii="Cambria" w:hAnsi="Cambria"/>
                <w:color w:val="000000" w:themeColor="text1"/>
                <w:lang w:val="it-IT"/>
              </w:rPr>
              <w:t xml:space="preserve"> </w:t>
            </w:r>
            <w:proofErr w:type="spellStart"/>
            <w:r w:rsidRPr="00977220">
              <w:rPr>
                <w:rFonts w:ascii="Cambria" w:hAnsi="Cambria"/>
                <w:color w:val="000000" w:themeColor="text1"/>
                <w:lang w:val="it-IT"/>
              </w:rPr>
              <w:t>student</w:t>
            </w:r>
            <w:proofErr w:type="spellEnd"/>
            <w:r w:rsidRPr="00977220">
              <w:rPr>
                <w:rFonts w:ascii="Cambria" w:hAnsi="Cambria"/>
                <w:color w:val="000000" w:themeColor="text1"/>
                <w:lang w:val="it-IT"/>
              </w:rPr>
              <w:t>/</w:t>
            </w:r>
            <w:proofErr w:type="spellStart"/>
            <w:r w:rsidRPr="00977220">
              <w:rPr>
                <w:rFonts w:ascii="Cambria" w:hAnsi="Cambria"/>
                <w:color w:val="000000" w:themeColor="text1"/>
                <w:lang w:val="it-IT"/>
              </w:rPr>
              <w:t>studentica</w:t>
            </w:r>
            <w:proofErr w:type="spellEnd"/>
            <w:r w:rsidRPr="00977220">
              <w:rPr>
                <w:rFonts w:ascii="Cambria" w:hAnsi="Cambria"/>
                <w:color w:val="000000" w:themeColor="text1"/>
                <w:lang w:val="it-IT"/>
              </w:rPr>
              <w:t xml:space="preserve"> </w:t>
            </w:r>
            <w:proofErr w:type="spellStart"/>
            <w:r w:rsidRPr="00977220">
              <w:rPr>
                <w:rFonts w:ascii="Cambria" w:hAnsi="Cambria"/>
                <w:color w:val="000000" w:themeColor="text1"/>
                <w:lang w:val="it-IT"/>
              </w:rPr>
              <w:t>izostane</w:t>
            </w:r>
            <w:proofErr w:type="spellEnd"/>
            <w:r w:rsidRPr="00977220">
              <w:rPr>
                <w:rFonts w:ascii="Cambria" w:hAnsi="Cambria"/>
                <w:color w:val="000000" w:themeColor="text1"/>
                <w:lang w:val="it-IT"/>
              </w:rPr>
              <w:t xml:space="preserve"> </w:t>
            </w:r>
            <w:proofErr w:type="gramStart"/>
            <w:r w:rsidRPr="00977220">
              <w:rPr>
                <w:rFonts w:ascii="Cambria" w:hAnsi="Cambria"/>
                <w:color w:val="000000" w:themeColor="text1"/>
                <w:lang w:val="it-IT"/>
              </w:rPr>
              <w:t>od</w:t>
            </w:r>
            <w:proofErr w:type="gramEnd"/>
            <w:r w:rsidRPr="00977220">
              <w:rPr>
                <w:rFonts w:ascii="Cambria" w:hAnsi="Cambria"/>
                <w:color w:val="000000" w:themeColor="text1"/>
                <w:lang w:val="it-IT"/>
              </w:rPr>
              <w:t xml:space="preserve"> 50% do 70% </w:t>
            </w:r>
            <w:proofErr w:type="spellStart"/>
            <w:r w:rsidRPr="00977220">
              <w:rPr>
                <w:rFonts w:ascii="Cambria" w:hAnsi="Cambria"/>
                <w:color w:val="000000" w:themeColor="text1"/>
                <w:lang w:val="it-IT"/>
              </w:rPr>
              <w:t>nastave</w:t>
            </w:r>
            <w:proofErr w:type="spellEnd"/>
            <w:r w:rsidRPr="00977220">
              <w:rPr>
                <w:rFonts w:ascii="Cambria" w:hAnsi="Cambria"/>
                <w:color w:val="000000" w:themeColor="text1"/>
                <w:lang w:val="it-IT"/>
              </w:rPr>
              <w:t xml:space="preserve">, </w:t>
            </w:r>
            <w:proofErr w:type="spellStart"/>
            <w:r w:rsidRPr="00977220">
              <w:rPr>
                <w:rFonts w:ascii="Cambria" w:hAnsi="Cambria"/>
                <w:color w:val="000000" w:themeColor="text1"/>
                <w:lang w:val="it-IT"/>
              </w:rPr>
              <w:t>trebat</w:t>
            </w:r>
            <w:proofErr w:type="spellEnd"/>
            <w:r w:rsidRPr="00977220">
              <w:rPr>
                <w:rFonts w:ascii="Cambria" w:hAnsi="Cambria"/>
                <w:color w:val="000000" w:themeColor="text1"/>
                <w:lang w:val="it-IT"/>
              </w:rPr>
              <w:t xml:space="preserve"> </w:t>
            </w:r>
            <w:proofErr w:type="spellStart"/>
            <w:r w:rsidRPr="00977220">
              <w:rPr>
                <w:rFonts w:ascii="Cambria" w:hAnsi="Cambria"/>
                <w:color w:val="000000" w:themeColor="text1"/>
                <w:lang w:val="it-IT"/>
              </w:rPr>
              <w:t>će</w:t>
            </w:r>
            <w:proofErr w:type="spellEnd"/>
            <w:r w:rsidRPr="00977220">
              <w:rPr>
                <w:rFonts w:ascii="Cambria" w:hAnsi="Cambria"/>
                <w:color w:val="000000" w:themeColor="text1"/>
                <w:lang w:val="it-IT"/>
              </w:rPr>
              <w:t xml:space="preserve"> </w:t>
            </w:r>
            <w:proofErr w:type="spellStart"/>
            <w:r w:rsidRPr="00977220">
              <w:rPr>
                <w:rFonts w:ascii="Cambria" w:hAnsi="Cambria"/>
                <w:color w:val="000000" w:themeColor="text1"/>
                <w:lang w:val="it-IT"/>
              </w:rPr>
              <w:t>izvršiti</w:t>
            </w:r>
            <w:proofErr w:type="spellEnd"/>
            <w:r w:rsidRPr="00977220">
              <w:rPr>
                <w:rFonts w:ascii="Cambria" w:hAnsi="Cambria"/>
                <w:color w:val="000000" w:themeColor="text1"/>
                <w:lang w:val="it-IT"/>
              </w:rPr>
              <w:t xml:space="preserve"> </w:t>
            </w:r>
            <w:proofErr w:type="spellStart"/>
            <w:r w:rsidRPr="00977220">
              <w:rPr>
                <w:rFonts w:ascii="Cambria" w:hAnsi="Cambria"/>
                <w:color w:val="000000" w:themeColor="text1"/>
                <w:lang w:val="it-IT"/>
              </w:rPr>
              <w:t>dodatne</w:t>
            </w:r>
            <w:proofErr w:type="spellEnd"/>
            <w:r w:rsidRPr="00977220">
              <w:rPr>
                <w:rFonts w:ascii="Cambria" w:hAnsi="Cambria"/>
                <w:color w:val="000000" w:themeColor="text1"/>
                <w:lang w:val="it-IT"/>
              </w:rPr>
              <w:t xml:space="preserve"> </w:t>
            </w:r>
            <w:proofErr w:type="spellStart"/>
            <w:r w:rsidRPr="00977220">
              <w:rPr>
                <w:rFonts w:ascii="Cambria" w:hAnsi="Cambria"/>
                <w:color w:val="000000" w:themeColor="text1"/>
                <w:lang w:val="it-IT"/>
              </w:rPr>
              <w:t>zadatke</w:t>
            </w:r>
            <w:proofErr w:type="spellEnd"/>
            <w:r w:rsidRPr="00977220">
              <w:rPr>
                <w:rFonts w:ascii="Cambria" w:hAnsi="Cambria"/>
                <w:color w:val="000000" w:themeColor="text1"/>
                <w:lang w:val="it-IT"/>
              </w:rPr>
              <w:t xml:space="preserve">, </w:t>
            </w:r>
            <w:proofErr w:type="spellStart"/>
            <w:r w:rsidRPr="00977220">
              <w:rPr>
                <w:rFonts w:ascii="Cambria" w:hAnsi="Cambria"/>
                <w:color w:val="000000" w:themeColor="text1"/>
                <w:lang w:val="it-IT"/>
              </w:rPr>
              <w:t>odnosno</w:t>
            </w:r>
            <w:proofErr w:type="spellEnd"/>
            <w:r w:rsidRPr="00977220">
              <w:rPr>
                <w:rFonts w:ascii="Cambria" w:hAnsi="Cambria"/>
                <w:color w:val="000000" w:themeColor="text1"/>
                <w:lang w:val="it-IT"/>
              </w:rPr>
              <w:t xml:space="preserve"> </w:t>
            </w:r>
            <w:proofErr w:type="spellStart"/>
            <w:r w:rsidRPr="00977220">
              <w:rPr>
                <w:rFonts w:ascii="Cambria" w:hAnsi="Cambria"/>
                <w:color w:val="000000" w:themeColor="text1"/>
                <w:lang w:val="it-IT"/>
              </w:rPr>
              <w:t>ako</w:t>
            </w:r>
            <w:proofErr w:type="spellEnd"/>
            <w:r w:rsidRPr="00977220">
              <w:rPr>
                <w:rFonts w:ascii="Cambria" w:hAnsi="Cambria"/>
                <w:color w:val="000000" w:themeColor="text1"/>
                <w:lang w:val="it-IT"/>
              </w:rPr>
              <w:t xml:space="preserve"> </w:t>
            </w:r>
            <w:proofErr w:type="spellStart"/>
            <w:r w:rsidRPr="00977220">
              <w:rPr>
                <w:rFonts w:ascii="Cambria" w:hAnsi="Cambria"/>
                <w:color w:val="000000" w:themeColor="text1"/>
                <w:lang w:val="it-IT"/>
              </w:rPr>
              <w:t>izostane</w:t>
            </w:r>
            <w:proofErr w:type="spellEnd"/>
            <w:r w:rsidRPr="00977220">
              <w:rPr>
                <w:rFonts w:ascii="Cambria" w:hAnsi="Cambria"/>
                <w:color w:val="000000" w:themeColor="text1"/>
                <w:lang w:val="it-IT"/>
              </w:rPr>
              <w:t xml:space="preserve"> </w:t>
            </w:r>
            <w:proofErr w:type="spellStart"/>
            <w:r w:rsidRPr="00977220">
              <w:rPr>
                <w:rFonts w:ascii="Cambria" w:hAnsi="Cambria"/>
                <w:color w:val="000000" w:themeColor="text1"/>
                <w:lang w:val="it-IT"/>
              </w:rPr>
              <w:t>više</w:t>
            </w:r>
            <w:proofErr w:type="spellEnd"/>
            <w:r w:rsidRPr="00977220">
              <w:rPr>
                <w:rFonts w:ascii="Cambria" w:hAnsi="Cambria"/>
                <w:color w:val="000000" w:themeColor="text1"/>
                <w:lang w:val="it-IT"/>
              </w:rPr>
              <w:t xml:space="preserve"> </w:t>
            </w:r>
            <w:proofErr w:type="gramStart"/>
            <w:r w:rsidRPr="00977220">
              <w:rPr>
                <w:rFonts w:ascii="Cambria" w:hAnsi="Cambria"/>
                <w:color w:val="000000" w:themeColor="text1"/>
                <w:lang w:val="it-IT"/>
              </w:rPr>
              <w:t>od</w:t>
            </w:r>
            <w:proofErr w:type="gramEnd"/>
            <w:r w:rsidRPr="00977220">
              <w:rPr>
                <w:rFonts w:ascii="Cambria" w:hAnsi="Cambria"/>
                <w:color w:val="000000" w:themeColor="text1"/>
                <w:lang w:val="it-IT"/>
              </w:rPr>
              <w:t xml:space="preserve"> 50%, </w:t>
            </w:r>
            <w:proofErr w:type="spellStart"/>
            <w:r w:rsidRPr="00977220">
              <w:rPr>
                <w:rFonts w:ascii="Cambria" w:hAnsi="Cambria"/>
                <w:color w:val="000000" w:themeColor="text1"/>
                <w:lang w:val="it-IT"/>
              </w:rPr>
              <w:t>uskratit</w:t>
            </w:r>
            <w:proofErr w:type="spellEnd"/>
            <w:r w:rsidRPr="00977220">
              <w:rPr>
                <w:rFonts w:ascii="Cambria" w:hAnsi="Cambria"/>
                <w:color w:val="000000" w:themeColor="text1"/>
                <w:lang w:val="it-IT"/>
              </w:rPr>
              <w:t xml:space="preserve"> </w:t>
            </w:r>
            <w:proofErr w:type="spellStart"/>
            <w:r w:rsidRPr="00977220">
              <w:rPr>
                <w:rFonts w:ascii="Cambria" w:hAnsi="Cambria"/>
                <w:color w:val="000000" w:themeColor="text1"/>
                <w:lang w:val="it-IT"/>
              </w:rPr>
              <w:t>će</w:t>
            </w:r>
            <w:proofErr w:type="spellEnd"/>
            <w:r w:rsidRPr="00977220">
              <w:rPr>
                <w:rFonts w:ascii="Cambria" w:hAnsi="Cambria"/>
                <w:color w:val="000000" w:themeColor="text1"/>
                <w:lang w:val="it-IT"/>
              </w:rPr>
              <w:t xml:space="preserve"> mu/</w:t>
            </w:r>
            <w:proofErr w:type="spellStart"/>
            <w:r w:rsidRPr="00977220">
              <w:rPr>
                <w:rFonts w:ascii="Cambria" w:hAnsi="Cambria"/>
                <w:color w:val="000000" w:themeColor="text1"/>
                <w:lang w:val="it-IT"/>
              </w:rPr>
              <w:t>joj</w:t>
            </w:r>
            <w:proofErr w:type="spellEnd"/>
            <w:r w:rsidRPr="00977220">
              <w:rPr>
                <w:rFonts w:ascii="Cambria" w:hAnsi="Cambria"/>
                <w:color w:val="000000" w:themeColor="text1"/>
                <w:lang w:val="it-IT"/>
              </w:rPr>
              <w:t xml:space="preserve"> se pravo </w:t>
            </w:r>
            <w:proofErr w:type="spellStart"/>
            <w:r w:rsidRPr="00977220">
              <w:rPr>
                <w:rFonts w:ascii="Cambria" w:hAnsi="Cambria"/>
                <w:color w:val="000000" w:themeColor="text1"/>
                <w:lang w:val="it-IT"/>
              </w:rPr>
              <w:t>na</w:t>
            </w:r>
            <w:proofErr w:type="spellEnd"/>
            <w:r w:rsidRPr="00977220">
              <w:rPr>
                <w:rFonts w:ascii="Cambria" w:hAnsi="Cambria"/>
                <w:color w:val="000000" w:themeColor="text1"/>
                <w:lang w:val="it-IT"/>
              </w:rPr>
              <w:t xml:space="preserve"> </w:t>
            </w:r>
            <w:proofErr w:type="spellStart"/>
            <w:r w:rsidRPr="00977220">
              <w:rPr>
                <w:rFonts w:ascii="Cambria" w:hAnsi="Cambria"/>
                <w:color w:val="000000" w:themeColor="text1"/>
                <w:lang w:val="it-IT"/>
              </w:rPr>
              <w:t>ispit</w:t>
            </w:r>
            <w:proofErr w:type="spellEnd"/>
            <w:r w:rsidRPr="00977220">
              <w:rPr>
                <w:rFonts w:ascii="Cambria" w:hAnsi="Cambria"/>
                <w:color w:val="000000" w:themeColor="text1"/>
                <w:lang w:val="it-IT"/>
              </w:rPr>
              <w:t xml:space="preserve"> i </w:t>
            </w:r>
            <w:proofErr w:type="spellStart"/>
            <w:r w:rsidRPr="00977220">
              <w:rPr>
                <w:rFonts w:ascii="Cambria" w:hAnsi="Cambria"/>
                <w:color w:val="000000" w:themeColor="text1"/>
                <w:lang w:val="it-IT"/>
              </w:rPr>
              <w:t>upis</w:t>
            </w:r>
            <w:proofErr w:type="spellEnd"/>
            <w:r w:rsidRPr="00977220">
              <w:rPr>
                <w:rFonts w:ascii="Cambria" w:hAnsi="Cambria"/>
                <w:color w:val="000000" w:themeColor="text1"/>
                <w:lang w:val="it-IT"/>
              </w:rPr>
              <w:t xml:space="preserve"> ECTS</w:t>
            </w:r>
            <w:r w:rsidR="00B857A8">
              <w:rPr>
                <w:rFonts w:ascii="Cambria" w:hAnsi="Cambria"/>
                <w:color w:val="000000" w:themeColor="text1"/>
                <w:lang w:val="it-IT"/>
              </w:rPr>
              <w:t>-a; u</w:t>
            </w:r>
            <w:r w:rsidRPr="00977220">
              <w:rPr>
                <w:rFonts w:ascii="Cambria" w:hAnsi="Cambria"/>
                <w:color w:val="000000" w:themeColor="text1"/>
                <w:lang w:val="it-IT"/>
              </w:rPr>
              <w:t xml:space="preserve"> </w:t>
            </w:r>
            <w:proofErr w:type="spellStart"/>
            <w:r w:rsidRPr="00977220">
              <w:rPr>
                <w:rFonts w:ascii="Cambria" w:hAnsi="Cambria"/>
                <w:color w:val="000000" w:themeColor="text1"/>
                <w:lang w:val="it-IT"/>
              </w:rPr>
              <w:t>iznimnim</w:t>
            </w:r>
            <w:proofErr w:type="spellEnd"/>
            <w:r w:rsidRPr="00977220">
              <w:rPr>
                <w:rFonts w:ascii="Cambria" w:hAnsi="Cambria"/>
                <w:color w:val="000000" w:themeColor="text1"/>
                <w:lang w:val="it-IT"/>
              </w:rPr>
              <w:t xml:space="preserve"> </w:t>
            </w:r>
            <w:proofErr w:type="spellStart"/>
            <w:r w:rsidRPr="00977220">
              <w:rPr>
                <w:rFonts w:ascii="Cambria" w:hAnsi="Cambria"/>
                <w:color w:val="000000" w:themeColor="text1"/>
                <w:lang w:val="it-IT"/>
              </w:rPr>
              <w:t>slučajevima</w:t>
            </w:r>
            <w:proofErr w:type="spellEnd"/>
            <w:r w:rsidRPr="00977220">
              <w:rPr>
                <w:rFonts w:ascii="Cambria" w:hAnsi="Cambria"/>
                <w:color w:val="000000" w:themeColor="text1"/>
                <w:lang w:val="it-IT"/>
              </w:rPr>
              <w:t xml:space="preserve">, </w:t>
            </w:r>
            <w:proofErr w:type="spellStart"/>
            <w:r w:rsidRPr="00977220">
              <w:rPr>
                <w:rFonts w:ascii="Cambria" w:hAnsi="Cambria"/>
                <w:color w:val="000000" w:themeColor="text1"/>
                <w:lang w:val="it-IT"/>
              </w:rPr>
              <w:t>ukoliko</w:t>
            </w:r>
            <w:proofErr w:type="spellEnd"/>
            <w:r w:rsidRPr="00977220">
              <w:rPr>
                <w:rFonts w:ascii="Cambria" w:hAnsi="Cambria"/>
                <w:color w:val="000000" w:themeColor="text1"/>
                <w:lang w:val="it-IT"/>
              </w:rPr>
              <w:t xml:space="preserve"> </w:t>
            </w:r>
            <w:proofErr w:type="spellStart"/>
            <w:r w:rsidRPr="00977220">
              <w:rPr>
                <w:rFonts w:ascii="Cambria" w:hAnsi="Cambria"/>
                <w:color w:val="000000" w:themeColor="text1"/>
                <w:lang w:val="it-IT"/>
              </w:rPr>
              <w:t>zbog</w:t>
            </w:r>
            <w:proofErr w:type="spellEnd"/>
            <w:r w:rsidRPr="00977220">
              <w:rPr>
                <w:rFonts w:ascii="Cambria" w:hAnsi="Cambria"/>
                <w:color w:val="000000" w:themeColor="text1"/>
                <w:lang w:val="it-IT"/>
              </w:rPr>
              <w:t xml:space="preserve"> </w:t>
            </w:r>
            <w:proofErr w:type="spellStart"/>
            <w:r w:rsidRPr="00977220">
              <w:rPr>
                <w:rFonts w:ascii="Cambria" w:hAnsi="Cambria"/>
                <w:color w:val="000000" w:themeColor="text1"/>
                <w:lang w:val="it-IT"/>
              </w:rPr>
              <w:t>opravdanih</w:t>
            </w:r>
            <w:proofErr w:type="spellEnd"/>
            <w:r w:rsidRPr="00977220">
              <w:rPr>
                <w:rFonts w:ascii="Cambria" w:hAnsi="Cambria"/>
                <w:color w:val="000000" w:themeColor="text1"/>
                <w:lang w:val="it-IT"/>
              </w:rPr>
              <w:t xml:space="preserve"> </w:t>
            </w:r>
            <w:proofErr w:type="spellStart"/>
            <w:r w:rsidRPr="00977220">
              <w:rPr>
                <w:rFonts w:ascii="Cambria" w:hAnsi="Cambria"/>
                <w:color w:val="000000" w:themeColor="text1"/>
                <w:lang w:val="it-IT"/>
              </w:rPr>
              <w:t>razloga</w:t>
            </w:r>
            <w:proofErr w:type="spellEnd"/>
            <w:r w:rsidRPr="00977220">
              <w:rPr>
                <w:rFonts w:ascii="Cambria" w:hAnsi="Cambria"/>
                <w:color w:val="000000" w:themeColor="text1"/>
                <w:lang w:val="it-IT"/>
              </w:rPr>
              <w:t xml:space="preserve"> </w:t>
            </w:r>
            <w:proofErr w:type="spellStart"/>
            <w:r w:rsidRPr="00977220">
              <w:rPr>
                <w:rFonts w:ascii="Cambria" w:hAnsi="Cambria"/>
                <w:color w:val="000000" w:themeColor="text1"/>
                <w:lang w:val="it-IT"/>
              </w:rPr>
              <w:t>student</w:t>
            </w:r>
            <w:proofErr w:type="spellEnd"/>
            <w:r w:rsidRPr="00977220">
              <w:rPr>
                <w:rFonts w:ascii="Cambria" w:hAnsi="Cambria"/>
                <w:color w:val="000000" w:themeColor="text1"/>
                <w:lang w:val="it-IT"/>
              </w:rPr>
              <w:t>/</w:t>
            </w:r>
            <w:proofErr w:type="spellStart"/>
            <w:r w:rsidRPr="00977220">
              <w:rPr>
                <w:rFonts w:ascii="Cambria" w:hAnsi="Cambria"/>
                <w:color w:val="000000" w:themeColor="text1"/>
                <w:lang w:val="it-IT"/>
              </w:rPr>
              <w:t>studentica</w:t>
            </w:r>
            <w:proofErr w:type="spellEnd"/>
            <w:r w:rsidRPr="00977220">
              <w:rPr>
                <w:rFonts w:ascii="Cambria" w:hAnsi="Cambria"/>
                <w:color w:val="000000" w:themeColor="text1"/>
                <w:lang w:val="it-IT"/>
              </w:rPr>
              <w:t xml:space="preserve"> </w:t>
            </w:r>
            <w:proofErr w:type="spellStart"/>
            <w:r w:rsidRPr="00977220">
              <w:rPr>
                <w:rFonts w:ascii="Cambria" w:hAnsi="Cambria"/>
                <w:color w:val="000000" w:themeColor="text1"/>
                <w:lang w:val="it-IT"/>
              </w:rPr>
              <w:t>nije</w:t>
            </w:r>
            <w:proofErr w:type="spellEnd"/>
            <w:r w:rsidRPr="00977220">
              <w:rPr>
                <w:rFonts w:ascii="Cambria" w:hAnsi="Cambria"/>
                <w:color w:val="000000" w:themeColor="text1"/>
                <w:lang w:val="it-IT"/>
              </w:rPr>
              <w:t xml:space="preserve"> u </w:t>
            </w:r>
            <w:proofErr w:type="spellStart"/>
            <w:r w:rsidRPr="00977220">
              <w:rPr>
                <w:rFonts w:ascii="Cambria" w:hAnsi="Cambria"/>
                <w:color w:val="000000" w:themeColor="text1"/>
                <w:lang w:val="it-IT"/>
              </w:rPr>
              <w:t>mogućnosti</w:t>
            </w:r>
            <w:proofErr w:type="spellEnd"/>
            <w:r w:rsidRPr="00977220">
              <w:rPr>
                <w:rFonts w:ascii="Cambria" w:hAnsi="Cambria"/>
                <w:color w:val="000000" w:themeColor="text1"/>
                <w:lang w:val="it-IT"/>
              </w:rPr>
              <w:t xml:space="preserve"> </w:t>
            </w:r>
            <w:proofErr w:type="spellStart"/>
            <w:r w:rsidRPr="00977220">
              <w:rPr>
                <w:rFonts w:ascii="Cambria" w:hAnsi="Cambria"/>
                <w:color w:val="000000" w:themeColor="text1"/>
                <w:lang w:val="it-IT"/>
              </w:rPr>
              <w:t>prisustvovati</w:t>
            </w:r>
            <w:proofErr w:type="spellEnd"/>
            <w:r w:rsidRPr="00977220">
              <w:rPr>
                <w:rFonts w:ascii="Cambria" w:hAnsi="Cambria"/>
                <w:color w:val="000000" w:themeColor="text1"/>
                <w:lang w:val="it-IT"/>
              </w:rPr>
              <w:t xml:space="preserve"> </w:t>
            </w:r>
            <w:proofErr w:type="spellStart"/>
            <w:r w:rsidRPr="00977220">
              <w:rPr>
                <w:rFonts w:ascii="Cambria" w:hAnsi="Cambria"/>
                <w:color w:val="000000" w:themeColor="text1"/>
                <w:lang w:val="it-IT"/>
              </w:rPr>
              <w:t>predavanjima</w:t>
            </w:r>
            <w:proofErr w:type="spellEnd"/>
            <w:r w:rsidRPr="00977220">
              <w:rPr>
                <w:rFonts w:ascii="Cambria" w:hAnsi="Cambria"/>
                <w:color w:val="000000" w:themeColor="text1"/>
                <w:lang w:val="it-IT"/>
              </w:rPr>
              <w:t xml:space="preserve">, </w:t>
            </w:r>
            <w:proofErr w:type="spellStart"/>
            <w:r w:rsidRPr="00977220">
              <w:rPr>
                <w:rFonts w:ascii="Cambria" w:hAnsi="Cambria"/>
                <w:color w:val="000000" w:themeColor="text1"/>
                <w:lang w:val="it-IT"/>
              </w:rPr>
              <w:t>predviđeni</w:t>
            </w:r>
            <w:proofErr w:type="spellEnd"/>
            <w:r w:rsidRPr="00977220">
              <w:rPr>
                <w:rFonts w:ascii="Cambria" w:hAnsi="Cambria"/>
                <w:color w:val="000000" w:themeColor="text1"/>
                <w:lang w:val="it-IT"/>
              </w:rPr>
              <w:t xml:space="preserve"> dio ECTS </w:t>
            </w:r>
            <w:proofErr w:type="spellStart"/>
            <w:r w:rsidRPr="00977220">
              <w:rPr>
                <w:rFonts w:ascii="Cambria" w:hAnsi="Cambria"/>
                <w:color w:val="000000" w:themeColor="text1"/>
                <w:lang w:val="it-IT"/>
              </w:rPr>
              <w:t>bodova</w:t>
            </w:r>
            <w:proofErr w:type="spellEnd"/>
            <w:r w:rsidRPr="00977220">
              <w:rPr>
                <w:rFonts w:ascii="Cambria" w:hAnsi="Cambria"/>
                <w:color w:val="000000" w:themeColor="text1"/>
                <w:lang w:val="it-IT"/>
              </w:rPr>
              <w:t xml:space="preserve"> </w:t>
            </w:r>
            <w:proofErr w:type="spellStart"/>
            <w:r w:rsidRPr="00977220">
              <w:rPr>
                <w:rFonts w:ascii="Cambria" w:hAnsi="Cambria"/>
                <w:color w:val="000000" w:themeColor="text1"/>
                <w:lang w:val="it-IT"/>
              </w:rPr>
              <w:t>može</w:t>
            </w:r>
            <w:proofErr w:type="spellEnd"/>
            <w:r w:rsidRPr="00977220">
              <w:rPr>
                <w:rFonts w:ascii="Cambria" w:hAnsi="Cambria"/>
                <w:color w:val="000000" w:themeColor="text1"/>
                <w:lang w:val="it-IT"/>
              </w:rPr>
              <w:t xml:space="preserve"> </w:t>
            </w:r>
            <w:proofErr w:type="spellStart"/>
            <w:r w:rsidRPr="00977220">
              <w:rPr>
                <w:rFonts w:ascii="Cambria" w:hAnsi="Cambria"/>
                <w:color w:val="000000" w:themeColor="text1"/>
                <w:lang w:val="it-IT"/>
              </w:rPr>
              <w:t>steći</w:t>
            </w:r>
            <w:proofErr w:type="spellEnd"/>
            <w:r w:rsidRPr="00977220">
              <w:rPr>
                <w:rFonts w:ascii="Cambria" w:hAnsi="Cambria"/>
                <w:color w:val="000000" w:themeColor="text1"/>
                <w:lang w:val="it-IT"/>
              </w:rPr>
              <w:t xml:space="preserve"> </w:t>
            </w:r>
            <w:proofErr w:type="spellStart"/>
            <w:r w:rsidRPr="00977220">
              <w:rPr>
                <w:rFonts w:ascii="Cambria" w:hAnsi="Cambria"/>
                <w:color w:val="000000" w:themeColor="text1"/>
                <w:lang w:val="it-IT"/>
              </w:rPr>
              <w:t>dodatnim</w:t>
            </w:r>
            <w:proofErr w:type="spellEnd"/>
            <w:r w:rsidRPr="00977220">
              <w:rPr>
                <w:rFonts w:ascii="Cambria" w:hAnsi="Cambria"/>
                <w:color w:val="000000" w:themeColor="text1"/>
                <w:lang w:val="it-IT"/>
              </w:rPr>
              <w:t xml:space="preserve"> </w:t>
            </w:r>
            <w:proofErr w:type="spellStart"/>
            <w:r w:rsidRPr="00977220">
              <w:rPr>
                <w:rFonts w:ascii="Cambria" w:hAnsi="Cambria"/>
                <w:color w:val="000000" w:themeColor="text1"/>
                <w:lang w:val="it-IT"/>
              </w:rPr>
              <w:t>zadatcima</w:t>
            </w:r>
            <w:proofErr w:type="spellEnd"/>
            <w:r w:rsidRPr="00977220">
              <w:rPr>
                <w:rFonts w:ascii="Cambria" w:hAnsi="Cambria"/>
                <w:color w:val="000000" w:themeColor="text1"/>
                <w:lang w:val="it-IT"/>
              </w:rPr>
              <w:t xml:space="preserve"> u </w:t>
            </w:r>
            <w:proofErr w:type="spellStart"/>
            <w:r w:rsidRPr="00977220">
              <w:rPr>
                <w:rFonts w:ascii="Cambria" w:hAnsi="Cambria"/>
                <w:color w:val="000000" w:themeColor="text1"/>
                <w:lang w:val="it-IT"/>
              </w:rPr>
              <w:t>odgovarajućem</w:t>
            </w:r>
            <w:proofErr w:type="spellEnd"/>
            <w:r w:rsidRPr="00977220">
              <w:rPr>
                <w:rFonts w:ascii="Cambria" w:hAnsi="Cambria"/>
                <w:color w:val="000000" w:themeColor="text1"/>
                <w:lang w:val="it-IT"/>
              </w:rPr>
              <w:t xml:space="preserve"> </w:t>
            </w:r>
            <w:proofErr w:type="spellStart"/>
            <w:r w:rsidRPr="00977220">
              <w:rPr>
                <w:rFonts w:ascii="Cambria" w:hAnsi="Cambria"/>
                <w:color w:val="000000" w:themeColor="text1"/>
                <w:lang w:val="it-IT"/>
              </w:rPr>
              <w:t>radnom</w:t>
            </w:r>
            <w:proofErr w:type="spellEnd"/>
            <w:r w:rsidRPr="00977220">
              <w:rPr>
                <w:rFonts w:ascii="Cambria" w:hAnsi="Cambria"/>
                <w:color w:val="000000" w:themeColor="text1"/>
                <w:lang w:val="it-IT"/>
              </w:rPr>
              <w:t xml:space="preserve"> </w:t>
            </w:r>
            <w:proofErr w:type="spellStart"/>
            <w:r w:rsidRPr="00977220">
              <w:rPr>
                <w:rFonts w:ascii="Cambria" w:hAnsi="Cambria"/>
                <w:color w:val="000000" w:themeColor="text1"/>
                <w:lang w:val="it-IT"/>
              </w:rPr>
              <w:t>opsegu</w:t>
            </w:r>
            <w:proofErr w:type="spellEnd"/>
            <w:r w:rsidR="00B857A8">
              <w:rPr>
                <w:rFonts w:ascii="Cambria" w:hAnsi="Cambria"/>
                <w:color w:val="000000" w:themeColor="text1"/>
                <w:lang w:val="it-IT"/>
              </w:rPr>
              <w:t>)</w:t>
            </w:r>
          </w:p>
          <w:p w14:paraId="5A228966" w14:textId="07BAD5F3" w:rsidR="00977220" w:rsidRPr="00977220" w:rsidRDefault="00977220" w:rsidP="00977220">
            <w:pPr>
              <w:spacing w:after="0" w:line="240" w:lineRule="auto"/>
              <w:jc w:val="both"/>
              <w:rPr>
                <w:rFonts w:ascii="Cambria" w:hAnsi="Cambria"/>
                <w:color w:val="000000" w:themeColor="text1"/>
                <w:lang w:val="it-IT"/>
              </w:rPr>
            </w:pPr>
            <w:r w:rsidRPr="00977220">
              <w:rPr>
                <w:rFonts w:ascii="Cambria" w:hAnsi="Cambria"/>
                <w:color w:val="000000" w:themeColor="text1"/>
                <w:lang w:val="it-IT"/>
              </w:rPr>
              <w:t xml:space="preserve">2. </w:t>
            </w:r>
            <w:proofErr w:type="spellStart"/>
            <w:r w:rsidR="00B857A8">
              <w:rPr>
                <w:rFonts w:ascii="Cambria" w:hAnsi="Cambria"/>
                <w:color w:val="000000" w:themeColor="text1"/>
                <w:lang w:val="it-IT"/>
              </w:rPr>
              <w:t>i</w:t>
            </w:r>
            <w:r w:rsidRPr="00977220">
              <w:rPr>
                <w:rFonts w:ascii="Cambria" w:hAnsi="Cambria"/>
                <w:color w:val="000000" w:themeColor="text1"/>
                <w:lang w:val="it-IT"/>
              </w:rPr>
              <w:t>stražiti</w:t>
            </w:r>
            <w:proofErr w:type="spellEnd"/>
            <w:r w:rsidRPr="00977220">
              <w:rPr>
                <w:rFonts w:ascii="Cambria" w:hAnsi="Cambria"/>
                <w:color w:val="000000" w:themeColor="text1"/>
                <w:lang w:val="it-IT"/>
              </w:rPr>
              <w:t xml:space="preserve"> i </w:t>
            </w:r>
            <w:proofErr w:type="spellStart"/>
            <w:r w:rsidRPr="00977220">
              <w:rPr>
                <w:rFonts w:ascii="Cambria" w:hAnsi="Cambria"/>
                <w:color w:val="000000" w:themeColor="text1"/>
                <w:lang w:val="it-IT"/>
              </w:rPr>
              <w:t>predstaviti</w:t>
            </w:r>
            <w:proofErr w:type="spellEnd"/>
            <w:r w:rsidRPr="00977220">
              <w:rPr>
                <w:rFonts w:ascii="Cambria" w:hAnsi="Cambria"/>
                <w:color w:val="000000" w:themeColor="text1"/>
                <w:lang w:val="it-IT"/>
              </w:rPr>
              <w:t xml:space="preserve"> </w:t>
            </w:r>
            <w:proofErr w:type="spellStart"/>
            <w:r w:rsidRPr="00977220">
              <w:rPr>
                <w:rFonts w:ascii="Cambria" w:hAnsi="Cambria"/>
                <w:color w:val="000000" w:themeColor="text1"/>
                <w:lang w:val="it-IT"/>
              </w:rPr>
              <w:t>prethodno</w:t>
            </w:r>
            <w:proofErr w:type="spellEnd"/>
            <w:r w:rsidRPr="00977220">
              <w:rPr>
                <w:rFonts w:ascii="Cambria" w:hAnsi="Cambria"/>
                <w:color w:val="000000" w:themeColor="text1"/>
                <w:lang w:val="it-IT"/>
              </w:rPr>
              <w:t xml:space="preserve"> </w:t>
            </w:r>
            <w:proofErr w:type="spellStart"/>
            <w:r w:rsidRPr="00977220">
              <w:rPr>
                <w:rFonts w:ascii="Cambria" w:hAnsi="Cambria"/>
                <w:color w:val="000000" w:themeColor="text1"/>
                <w:lang w:val="it-IT"/>
              </w:rPr>
              <w:t>dogovorenu</w:t>
            </w:r>
            <w:proofErr w:type="spellEnd"/>
            <w:r w:rsidRPr="00977220">
              <w:rPr>
                <w:rFonts w:ascii="Cambria" w:hAnsi="Cambria"/>
                <w:color w:val="000000" w:themeColor="text1"/>
                <w:lang w:val="it-IT"/>
              </w:rPr>
              <w:t xml:space="preserve"> </w:t>
            </w:r>
            <w:proofErr w:type="spellStart"/>
            <w:r w:rsidRPr="00977220">
              <w:rPr>
                <w:rFonts w:ascii="Cambria" w:hAnsi="Cambria"/>
                <w:color w:val="000000" w:themeColor="text1"/>
                <w:lang w:val="it-IT"/>
              </w:rPr>
              <w:t>temu</w:t>
            </w:r>
            <w:proofErr w:type="spellEnd"/>
            <w:r w:rsidRPr="00977220">
              <w:rPr>
                <w:rFonts w:ascii="Cambria" w:hAnsi="Cambria"/>
                <w:color w:val="000000" w:themeColor="text1"/>
                <w:lang w:val="it-IT"/>
              </w:rPr>
              <w:t xml:space="preserve"> prema </w:t>
            </w:r>
            <w:proofErr w:type="spellStart"/>
            <w:r w:rsidRPr="00977220">
              <w:rPr>
                <w:rFonts w:ascii="Cambria" w:hAnsi="Cambria"/>
                <w:color w:val="000000" w:themeColor="text1"/>
                <w:lang w:val="it-IT"/>
              </w:rPr>
              <w:t>dogovorenim</w:t>
            </w:r>
            <w:proofErr w:type="spellEnd"/>
            <w:r w:rsidRPr="00977220">
              <w:rPr>
                <w:rFonts w:ascii="Cambria" w:hAnsi="Cambria"/>
                <w:color w:val="000000" w:themeColor="text1"/>
                <w:lang w:val="it-IT"/>
              </w:rPr>
              <w:t xml:space="preserve"> </w:t>
            </w:r>
            <w:proofErr w:type="spellStart"/>
            <w:r w:rsidRPr="00977220">
              <w:rPr>
                <w:rFonts w:ascii="Cambria" w:hAnsi="Cambria"/>
                <w:color w:val="000000" w:themeColor="text1"/>
                <w:lang w:val="it-IT"/>
              </w:rPr>
              <w:t>rokovima</w:t>
            </w:r>
            <w:proofErr w:type="spellEnd"/>
            <w:r w:rsidRPr="00977220">
              <w:rPr>
                <w:rFonts w:ascii="Cambria" w:hAnsi="Cambria"/>
                <w:color w:val="000000" w:themeColor="text1"/>
                <w:lang w:val="it-IT"/>
              </w:rPr>
              <w:t xml:space="preserve"> u </w:t>
            </w:r>
            <w:proofErr w:type="spellStart"/>
            <w:r w:rsidRPr="00977220">
              <w:rPr>
                <w:rFonts w:ascii="Cambria" w:hAnsi="Cambria"/>
                <w:color w:val="000000" w:themeColor="text1"/>
                <w:lang w:val="it-IT"/>
              </w:rPr>
              <w:t>semestru</w:t>
            </w:r>
            <w:proofErr w:type="spellEnd"/>
            <w:r w:rsidRPr="00977220">
              <w:rPr>
                <w:rFonts w:ascii="Cambria" w:hAnsi="Cambria"/>
                <w:color w:val="000000" w:themeColor="text1"/>
                <w:lang w:val="it-IT"/>
              </w:rPr>
              <w:t xml:space="preserve"> te predati rad u </w:t>
            </w:r>
            <w:proofErr w:type="spellStart"/>
            <w:r w:rsidRPr="00977220">
              <w:rPr>
                <w:rFonts w:ascii="Cambria" w:hAnsi="Cambria"/>
                <w:color w:val="000000" w:themeColor="text1"/>
                <w:lang w:val="it-IT"/>
              </w:rPr>
              <w:t>pismenom</w:t>
            </w:r>
            <w:proofErr w:type="spellEnd"/>
            <w:r w:rsidRPr="00977220">
              <w:rPr>
                <w:rFonts w:ascii="Cambria" w:hAnsi="Cambria"/>
                <w:color w:val="000000" w:themeColor="text1"/>
                <w:lang w:val="it-IT"/>
              </w:rPr>
              <w:t xml:space="preserve"> </w:t>
            </w:r>
            <w:proofErr w:type="spellStart"/>
            <w:r w:rsidRPr="00977220">
              <w:rPr>
                <w:rFonts w:ascii="Cambria" w:hAnsi="Cambria"/>
                <w:color w:val="000000" w:themeColor="text1"/>
                <w:lang w:val="it-IT"/>
              </w:rPr>
              <w:t>obliku</w:t>
            </w:r>
            <w:proofErr w:type="spellEnd"/>
            <w:r w:rsidRPr="00977220">
              <w:rPr>
                <w:rFonts w:ascii="Cambria" w:hAnsi="Cambria"/>
                <w:color w:val="000000" w:themeColor="text1"/>
                <w:lang w:val="it-IT"/>
              </w:rPr>
              <w:t xml:space="preserve"> </w:t>
            </w:r>
            <w:proofErr w:type="spellStart"/>
            <w:r w:rsidRPr="00977220">
              <w:rPr>
                <w:rFonts w:ascii="Cambria" w:hAnsi="Cambria"/>
                <w:color w:val="000000" w:themeColor="text1"/>
                <w:lang w:val="it-IT"/>
              </w:rPr>
              <w:t>preko</w:t>
            </w:r>
            <w:proofErr w:type="spellEnd"/>
            <w:r w:rsidRPr="00977220">
              <w:rPr>
                <w:rFonts w:ascii="Cambria" w:hAnsi="Cambria"/>
                <w:color w:val="000000" w:themeColor="text1"/>
                <w:lang w:val="it-IT"/>
              </w:rPr>
              <w:t xml:space="preserve"> </w:t>
            </w:r>
            <w:proofErr w:type="spellStart"/>
            <w:r w:rsidRPr="00977220">
              <w:rPr>
                <w:rFonts w:ascii="Cambria" w:hAnsi="Cambria"/>
                <w:color w:val="000000" w:themeColor="text1"/>
                <w:lang w:val="it-IT"/>
              </w:rPr>
              <w:t>platforme</w:t>
            </w:r>
            <w:proofErr w:type="spellEnd"/>
            <w:r w:rsidRPr="00977220">
              <w:rPr>
                <w:rFonts w:ascii="Cambria" w:hAnsi="Cambria"/>
                <w:color w:val="000000" w:themeColor="text1"/>
                <w:lang w:val="it-IT"/>
              </w:rPr>
              <w:t xml:space="preserve"> za E-</w:t>
            </w:r>
            <w:proofErr w:type="spellStart"/>
            <w:r w:rsidRPr="00977220">
              <w:rPr>
                <w:rFonts w:ascii="Cambria" w:hAnsi="Cambria"/>
                <w:color w:val="000000" w:themeColor="text1"/>
                <w:lang w:val="it-IT"/>
              </w:rPr>
              <w:t>učenje</w:t>
            </w:r>
            <w:proofErr w:type="spellEnd"/>
            <w:r w:rsidRPr="00977220">
              <w:rPr>
                <w:rFonts w:ascii="Cambria" w:hAnsi="Cambria"/>
                <w:color w:val="000000" w:themeColor="text1"/>
                <w:lang w:val="it-IT"/>
              </w:rPr>
              <w:t xml:space="preserve"> </w:t>
            </w:r>
            <w:proofErr w:type="spellStart"/>
            <w:r w:rsidRPr="00977220">
              <w:rPr>
                <w:rFonts w:ascii="Cambria" w:hAnsi="Cambria"/>
                <w:color w:val="000000" w:themeColor="text1"/>
                <w:lang w:val="it-IT"/>
              </w:rPr>
              <w:t>najkasnije</w:t>
            </w:r>
            <w:proofErr w:type="spellEnd"/>
            <w:r w:rsidRPr="00977220">
              <w:rPr>
                <w:rFonts w:ascii="Cambria" w:hAnsi="Cambria"/>
                <w:color w:val="000000" w:themeColor="text1"/>
                <w:lang w:val="it-IT"/>
              </w:rPr>
              <w:t xml:space="preserve"> </w:t>
            </w:r>
            <w:proofErr w:type="spellStart"/>
            <w:r w:rsidRPr="00977220">
              <w:rPr>
                <w:rFonts w:ascii="Cambria" w:hAnsi="Cambria"/>
                <w:color w:val="000000" w:themeColor="text1"/>
                <w:lang w:val="it-IT"/>
              </w:rPr>
              <w:t>sedam</w:t>
            </w:r>
            <w:proofErr w:type="spellEnd"/>
            <w:r w:rsidRPr="00977220">
              <w:rPr>
                <w:rFonts w:ascii="Cambria" w:hAnsi="Cambria"/>
                <w:color w:val="000000" w:themeColor="text1"/>
                <w:lang w:val="it-IT"/>
              </w:rPr>
              <w:t xml:space="preserve"> </w:t>
            </w:r>
            <w:proofErr w:type="spellStart"/>
            <w:r w:rsidRPr="00977220">
              <w:rPr>
                <w:rFonts w:ascii="Cambria" w:hAnsi="Cambria"/>
                <w:color w:val="000000" w:themeColor="text1"/>
                <w:lang w:val="it-IT"/>
              </w:rPr>
              <w:t>dana</w:t>
            </w:r>
            <w:proofErr w:type="spellEnd"/>
            <w:r w:rsidRPr="00977220">
              <w:rPr>
                <w:rFonts w:ascii="Cambria" w:hAnsi="Cambria"/>
                <w:color w:val="000000" w:themeColor="text1"/>
                <w:lang w:val="it-IT"/>
              </w:rPr>
              <w:t xml:space="preserve"> </w:t>
            </w:r>
            <w:proofErr w:type="spellStart"/>
            <w:r w:rsidRPr="00977220">
              <w:rPr>
                <w:rFonts w:ascii="Cambria" w:hAnsi="Cambria"/>
                <w:color w:val="000000" w:themeColor="text1"/>
                <w:lang w:val="it-IT"/>
              </w:rPr>
              <w:t>prije</w:t>
            </w:r>
            <w:proofErr w:type="spellEnd"/>
            <w:r w:rsidRPr="00977220">
              <w:rPr>
                <w:rFonts w:ascii="Cambria" w:hAnsi="Cambria"/>
                <w:color w:val="000000" w:themeColor="text1"/>
                <w:lang w:val="it-IT"/>
              </w:rPr>
              <w:t xml:space="preserve"> </w:t>
            </w:r>
            <w:proofErr w:type="spellStart"/>
            <w:r w:rsidRPr="00977220">
              <w:rPr>
                <w:rFonts w:ascii="Cambria" w:hAnsi="Cambria"/>
                <w:color w:val="000000" w:themeColor="text1"/>
                <w:lang w:val="it-IT"/>
              </w:rPr>
              <w:t>ispitnog</w:t>
            </w:r>
            <w:proofErr w:type="spellEnd"/>
            <w:r w:rsidRPr="00977220">
              <w:rPr>
                <w:rFonts w:ascii="Cambria" w:hAnsi="Cambria"/>
                <w:color w:val="000000" w:themeColor="text1"/>
                <w:lang w:val="it-IT"/>
              </w:rPr>
              <w:t xml:space="preserve"> </w:t>
            </w:r>
            <w:proofErr w:type="spellStart"/>
            <w:r w:rsidRPr="00977220">
              <w:rPr>
                <w:rFonts w:ascii="Cambria" w:hAnsi="Cambria"/>
                <w:color w:val="000000" w:themeColor="text1"/>
                <w:lang w:val="it-IT"/>
              </w:rPr>
              <w:t>roka</w:t>
            </w:r>
            <w:proofErr w:type="spellEnd"/>
            <w:r w:rsidRPr="00977220">
              <w:rPr>
                <w:rFonts w:ascii="Cambria" w:hAnsi="Cambria"/>
                <w:color w:val="000000" w:themeColor="text1"/>
                <w:lang w:val="it-IT"/>
              </w:rPr>
              <w:t xml:space="preserve"> </w:t>
            </w:r>
            <w:proofErr w:type="spellStart"/>
            <w:r w:rsidRPr="00977220">
              <w:rPr>
                <w:rFonts w:ascii="Cambria" w:hAnsi="Cambria"/>
                <w:color w:val="000000" w:themeColor="text1"/>
                <w:lang w:val="it-IT"/>
              </w:rPr>
              <w:t>koji</w:t>
            </w:r>
            <w:proofErr w:type="spellEnd"/>
            <w:r w:rsidRPr="00977220">
              <w:rPr>
                <w:rFonts w:ascii="Cambria" w:hAnsi="Cambria"/>
                <w:color w:val="000000" w:themeColor="text1"/>
                <w:lang w:val="it-IT"/>
              </w:rPr>
              <w:t xml:space="preserve"> se </w:t>
            </w:r>
            <w:proofErr w:type="spellStart"/>
            <w:r w:rsidRPr="00977220">
              <w:rPr>
                <w:rFonts w:ascii="Cambria" w:hAnsi="Cambria"/>
                <w:color w:val="000000" w:themeColor="text1"/>
                <w:lang w:val="it-IT"/>
              </w:rPr>
              <w:t>prijavljuje</w:t>
            </w:r>
            <w:proofErr w:type="spellEnd"/>
          </w:p>
          <w:p w14:paraId="79FDE6C4" w14:textId="1FD19BE6" w:rsidR="00977220" w:rsidRPr="00977220" w:rsidRDefault="00977220" w:rsidP="00977220">
            <w:pPr>
              <w:spacing w:after="0" w:line="240" w:lineRule="auto"/>
              <w:jc w:val="both"/>
              <w:rPr>
                <w:rFonts w:ascii="Cambria" w:hAnsi="Cambria"/>
                <w:color w:val="000000" w:themeColor="text1"/>
                <w:lang w:val="it-IT"/>
              </w:rPr>
            </w:pPr>
            <w:r w:rsidRPr="00977220">
              <w:rPr>
                <w:rFonts w:ascii="Cambria" w:hAnsi="Cambria"/>
                <w:color w:val="000000" w:themeColor="text1"/>
                <w:lang w:val="it-IT"/>
              </w:rPr>
              <w:t xml:space="preserve">3. </w:t>
            </w:r>
            <w:proofErr w:type="spellStart"/>
            <w:r w:rsidR="00B857A8">
              <w:rPr>
                <w:rFonts w:ascii="Cambria" w:hAnsi="Cambria"/>
                <w:color w:val="000000" w:themeColor="text1"/>
                <w:lang w:val="it-IT"/>
              </w:rPr>
              <w:t>r</w:t>
            </w:r>
            <w:r w:rsidRPr="00977220">
              <w:rPr>
                <w:rFonts w:ascii="Cambria" w:hAnsi="Cambria"/>
                <w:color w:val="000000" w:themeColor="text1"/>
                <w:lang w:val="it-IT"/>
              </w:rPr>
              <w:t>iješiti</w:t>
            </w:r>
            <w:proofErr w:type="spellEnd"/>
            <w:r w:rsidRPr="00977220">
              <w:rPr>
                <w:rFonts w:ascii="Cambria" w:hAnsi="Cambria"/>
                <w:color w:val="000000" w:themeColor="text1"/>
                <w:lang w:val="it-IT"/>
              </w:rPr>
              <w:t xml:space="preserve"> </w:t>
            </w:r>
            <w:proofErr w:type="spellStart"/>
            <w:r w:rsidRPr="00977220">
              <w:rPr>
                <w:rFonts w:ascii="Cambria" w:hAnsi="Cambria"/>
                <w:color w:val="000000" w:themeColor="text1"/>
                <w:lang w:val="it-IT"/>
              </w:rPr>
              <w:t>sve</w:t>
            </w:r>
            <w:proofErr w:type="spellEnd"/>
            <w:r w:rsidRPr="00977220">
              <w:rPr>
                <w:rFonts w:ascii="Cambria" w:hAnsi="Cambria"/>
                <w:color w:val="000000" w:themeColor="text1"/>
                <w:lang w:val="it-IT"/>
              </w:rPr>
              <w:t xml:space="preserve"> </w:t>
            </w:r>
            <w:proofErr w:type="spellStart"/>
            <w:r w:rsidRPr="00977220">
              <w:rPr>
                <w:rFonts w:ascii="Cambria" w:hAnsi="Cambria"/>
                <w:color w:val="000000" w:themeColor="text1"/>
                <w:lang w:val="it-IT"/>
              </w:rPr>
              <w:t>obveze</w:t>
            </w:r>
            <w:proofErr w:type="spellEnd"/>
            <w:r w:rsidRPr="00977220">
              <w:rPr>
                <w:rFonts w:ascii="Cambria" w:hAnsi="Cambria"/>
                <w:color w:val="000000" w:themeColor="text1"/>
                <w:lang w:val="it-IT"/>
              </w:rPr>
              <w:t xml:space="preserve"> </w:t>
            </w:r>
            <w:proofErr w:type="spellStart"/>
            <w:r w:rsidRPr="00977220">
              <w:rPr>
                <w:rFonts w:ascii="Cambria" w:hAnsi="Cambria"/>
                <w:color w:val="000000" w:themeColor="text1"/>
                <w:lang w:val="it-IT"/>
              </w:rPr>
              <w:t>iz</w:t>
            </w:r>
            <w:proofErr w:type="spellEnd"/>
            <w:r w:rsidRPr="00977220">
              <w:rPr>
                <w:rFonts w:ascii="Cambria" w:hAnsi="Cambria"/>
                <w:color w:val="000000" w:themeColor="text1"/>
                <w:lang w:val="it-IT"/>
              </w:rPr>
              <w:t xml:space="preserve"> </w:t>
            </w:r>
            <w:proofErr w:type="spellStart"/>
            <w:r w:rsidRPr="00977220">
              <w:rPr>
                <w:rFonts w:ascii="Cambria" w:hAnsi="Cambria"/>
                <w:color w:val="000000" w:themeColor="text1"/>
                <w:lang w:val="it-IT"/>
              </w:rPr>
              <w:t>kolegija</w:t>
            </w:r>
            <w:proofErr w:type="spellEnd"/>
            <w:r w:rsidRPr="00977220">
              <w:rPr>
                <w:rFonts w:ascii="Cambria" w:hAnsi="Cambria"/>
                <w:color w:val="000000" w:themeColor="text1"/>
                <w:lang w:val="it-IT"/>
              </w:rPr>
              <w:t xml:space="preserve"> u </w:t>
            </w:r>
            <w:proofErr w:type="spellStart"/>
            <w:r w:rsidRPr="00977220">
              <w:rPr>
                <w:rFonts w:ascii="Cambria" w:hAnsi="Cambria"/>
                <w:color w:val="000000" w:themeColor="text1"/>
                <w:lang w:val="it-IT"/>
              </w:rPr>
              <w:t>zadanom</w:t>
            </w:r>
            <w:proofErr w:type="spellEnd"/>
            <w:r w:rsidRPr="00977220">
              <w:rPr>
                <w:rFonts w:ascii="Cambria" w:hAnsi="Cambria"/>
                <w:color w:val="000000" w:themeColor="text1"/>
                <w:lang w:val="it-IT"/>
              </w:rPr>
              <w:t xml:space="preserve"> </w:t>
            </w:r>
            <w:proofErr w:type="spellStart"/>
            <w:r w:rsidRPr="00977220">
              <w:rPr>
                <w:rFonts w:ascii="Cambria" w:hAnsi="Cambria"/>
                <w:color w:val="000000" w:themeColor="text1"/>
                <w:lang w:val="it-IT"/>
              </w:rPr>
              <w:t>roku</w:t>
            </w:r>
            <w:proofErr w:type="spellEnd"/>
            <w:r w:rsidRPr="00977220">
              <w:rPr>
                <w:rFonts w:ascii="Cambria" w:hAnsi="Cambria"/>
                <w:color w:val="000000" w:themeColor="text1"/>
                <w:lang w:val="it-IT"/>
              </w:rPr>
              <w:t xml:space="preserve"> da bi </w:t>
            </w:r>
            <w:proofErr w:type="spellStart"/>
            <w:r w:rsidRPr="00977220">
              <w:rPr>
                <w:rFonts w:ascii="Cambria" w:hAnsi="Cambria"/>
                <w:color w:val="000000" w:themeColor="text1"/>
                <w:lang w:val="it-IT"/>
              </w:rPr>
              <w:t>pristupio</w:t>
            </w:r>
            <w:proofErr w:type="spellEnd"/>
            <w:r w:rsidRPr="00977220">
              <w:rPr>
                <w:rFonts w:ascii="Cambria" w:hAnsi="Cambria"/>
                <w:color w:val="000000" w:themeColor="text1"/>
                <w:lang w:val="it-IT"/>
              </w:rPr>
              <w:t>/</w:t>
            </w:r>
            <w:proofErr w:type="spellStart"/>
            <w:r w:rsidRPr="00977220">
              <w:rPr>
                <w:rFonts w:ascii="Cambria" w:hAnsi="Cambria"/>
                <w:color w:val="000000" w:themeColor="text1"/>
                <w:lang w:val="it-IT"/>
              </w:rPr>
              <w:t>pristupila</w:t>
            </w:r>
            <w:proofErr w:type="spellEnd"/>
            <w:r w:rsidRPr="00977220">
              <w:rPr>
                <w:rFonts w:ascii="Cambria" w:hAnsi="Cambria"/>
                <w:color w:val="000000" w:themeColor="text1"/>
                <w:lang w:val="it-IT"/>
              </w:rPr>
              <w:t xml:space="preserve"> </w:t>
            </w:r>
            <w:proofErr w:type="spellStart"/>
            <w:r w:rsidRPr="00977220">
              <w:rPr>
                <w:rFonts w:ascii="Cambria" w:hAnsi="Cambria"/>
                <w:color w:val="000000" w:themeColor="text1"/>
                <w:lang w:val="it-IT"/>
              </w:rPr>
              <w:t>završnom</w:t>
            </w:r>
            <w:proofErr w:type="spellEnd"/>
            <w:r w:rsidRPr="00977220">
              <w:rPr>
                <w:rFonts w:ascii="Cambria" w:hAnsi="Cambria"/>
                <w:color w:val="000000" w:themeColor="text1"/>
                <w:lang w:val="it-IT"/>
              </w:rPr>
              <w:t xml:space="preserve"> </w:t>
            </w:r>
            <w:proofErr w:type="spellStart"/>
            <w:r w:rsidRPr="00977220">
              <w:rPr>
                <w:rFonts w:ascii="Cambria" w:hAnsi="Cambria"/>
                <w:color w:val="000000" w:themeColor="text1"/>
                <w:lang w:val="it-IT"/>
              </w:rPr>
              <w:t>ispitu</w:t>
            </w:r>
            <w:proofErr w:type="spellEnd"/>
            <w:r w:rsidR="00B857A8">
              <w:rPr>
                <w:rFonts w:ascii="Cambria" w:hAnsi="Cambria"/>
                <w:color w:val="000000" w:themeColor="text1"/>
                <w:lang w:val="it-IT"/>
              </w:rPr>
              <w:t xml:space="preserve"> (</w:t>
            </w:r>
            <w:proofErr w:type="spellStart"/>
            <w:r w:rsidR="00B857A8">
              <w:rPr>
                <w:rFonts w:ascii="Cambria" w:hAnsi="Cambria"/>
                <w:color w:val="000000" w:themeColor="text1"/>
                <w:lang w:val="it-IT"/>
              </w:rPr>
              <w:t>a</w:t>
            </w:r>
            <w:r w:rsidRPr="00977220">
              <w:rPr>
                <w:rFonts w:ascii="Cambria" w:hAnsi="Cambria"/>
                <w:color w:val="000000" w:themeColor="text1"/>
                <w:lang w:val="it-IT"/>
              </w:rPr>
              <w:t>ko</w:t>
            </w:r>
            <w:proofErr w:type="spellEnd"/>
            <w:r w:rsidRPr="00977220">
              <w:rPr>
                <w:rFonts w:ascii="Cambria" w:hAnsi="Cambria"/>
                <w:color w:val="000000" w:themeColor="text1"/>
                <w:lang w:val="it-IT"/>
              </w:rPr>
              <w:t xml:space="preserve"> ne </w:t>
            </w:r>
            <w:proofErr w:type="spellStart"/>
            <w:r w:rsidRPr="00977220">
              <w:rPr>
                <w:rFonts w:ascii="Cambria" w:hAnsi="Cambria"/>
                <w:color w:val="000000" w:themeColor="text1"/>
                <w:lang w:val="it-IT"/>
              </w:rPr>
              <w:t>riješi</w:t>
            </w:r>
            <w:proofErr w:type="spellEnd"/>
            <w:r w:rsidRPr="00977220">
              <w:rPr>
                <w:rFonts w:ascii="Cambria" w:hAnsi="Cambria"/>
                <w:color w:val="000000" w:themeColor="text1"/>
                <w:lang w:val="it-IT"/>
              </w:rPr>
              <w:t xml:space="preserve"> </w:t>
            </w:r>
            <w:proofErr w:type="spellStart"/>
            <w:r w:rsidRPr="00977220">
              <w:rPr>
                <w:rFonts w:ascii="Cambria" w:hAnsi="Cambria"/>
                <w:color w:val="000000" w:themeColor="text1"/>
                <w:lang w:val="it-IT"/>
              </w:rPr>
              <w:t>sve</w:t>
            </w:r>
            <w:proofErr w:type="spellEnd"/>
            <w:r w:rsidRPr="00977220">
              <w:rPr>
                <w:rFonts w:ascii="Cambria" w:hAnsi="Cambria"/>
                <w:color w:val="000000" w:themeColor="text1"/>
                <w:lang w:val="it-IT"/>
              </w:rPr>
              <w:t xml:space="preserve"> </w:t>
            </w:r>
            <w:proofErr w:type="spellStart"/>
            <w:r w:rsidRPr="00977220">
              <w:rPr>
                <w:rFonts w:ascii="Cambria" w:hAnsi="Cambria"/>
                <w:color w:val="000000" w:themeColor="text1"/>
                <w:lang w:val="it-IT"/>
              </w:rPr>
              <w:t>obveze</w:t>
            </w:r>
            <w:proofErr w:type="spellEnd"/>
            <w:r w:rsidRPr="00977220">
              <w:rPr>
                <w:rFonts w:ascii="Cambria" w:hAnsi="Cambria"/>
                <w:color w:val="000000" w:themeColor="text1"/>
                <w:lang w:val="it-IT"/>
              </w:rPr>
              <w:t xml:space="preserve"> do </w:t>
            </w:r>
            <w:proofErr w:type="spellStart"/>
            <w:r w:rsidRPr="00977220">
              <w:rPr>
                <w:rFonts w:ascii="Cambria" w:hAnsi="Cambria"/>
                <w:color w:val="000000" w:themeColor="text1"/>
                <w:lang w:val="it-IT"/>
              </w:rPr>
              <w:t>zadanog</w:t>
            </w:r>
            <w:proofErr w:type="spellEnd"/>
            <w:r w:rsidRPr="00977220">
              <w:rPr>
                <w:rFonts w:ascii="Cambria" w:hAnsi="Cambria"/>
                <w:color w:val="000000" w:themeColor="text1"/>
                <w:lang w:val="it-IT"/>
              </w:rPr>
              <w:t xml:space="preserve"> </w:t>
            </w:r>
            <w:proofErr w:type="spellStart"/>
            <w:r w:rsidRPr="00977220">
              <w:rPr>
                <w:rFonts w:ascii="Cambria" w:hAnsi="Cambria"/>
                <w:color w:val="000000" w:themeColor="text1"/>
                <w:lang w:val="it-IT"/>
              </w:rPr>
              <w:t>roka</w:t>
            </w:r>
            <w:proofErr w:type="spellEnd"/>
            <w:r w:rsidRPr="00977220">
              <w:rPr>
                <w:rFonts w:ascii="Cambria" w:hAnsi="Cambria"/>
                <w:color w:val="000000" w:themeColor="text1"/>
                <w:lang w:val="it-IT"/>
              </w:rPr>
              <w:t xml:space="preserve">, </w:t>
            </w:r>
            <w:proofErr w:type="spellStart"/>
            <w:r w:rsidRPr="00977220">
              <w:rPr>
                <w:rFonts w:ascii="Cambria" w:hAnsi="Cambria"/>
                <w:color w:val="000000" w:themeColor="text1"/>
                <w:lang w:val="it-IT"/>
              </w:rPr>
              <w:t>tada</w:t>
            </w:r>
            <w:proofErr w:type="spellEnd"/>
            <w:r w:rsidRPr="00977220">
              <w:rPr>
                <w:rFonts w:ascii="Cambria" w:hAnsi="Cambria"/>
                <w:color w:val="000000" w:themeColor="text1"/>
                <w:lang w:val="it-IT"/>
              </w:rPr>
              <w:t xml:space="preserve"> </w:t>
            </w:r>
            <w:proofErr w:type="spellStart"/>
            <w:r w:rsidRPr="00977220">
              <w:rPr>
                <w:rFonts w:ascii="Cambria" w:hAnsi="Cambria"/>
                <w:color w:val="000000" w:themeColor="text1"/>
                <w:lang w:val="it-IT"/>
              </w:rPr>
              <w:t>gubi</w:t>
            </w:r>
            <w:proofErr w:type="spellEnd"/>
            <w:r w:rsidRPr="00977220">
              <w:rPr>
                <w:rFonts w:ascii="Cambria" w:hAnsi="Cambria"/>
                <w:color w:val="000000" w:themeColor="text1"/>
                <w:lang w:val="it-IT"/>
              </w:rPr>
              <w:t xml:space="preserve"> pravo </w:t>
            </w:r>
            <w:proofErr w:type="spellStart"/>
            <w:r w:rsidRPr="00977220">
              <w:rPr>
                <w:rFonts w:ascii="Cambria" w:hAnsi="Cambria"/>
                <w:color w:val="000000" w:themeColor="text1"/>
                <w:lang w:val="it-IT"/>
              </w:rPr>
              <w:t>na</w:t>
            </w:r>
            <w:proofErr w:type="spellEnd"/>
            <w:r w:rsidRPr="00977220">
              <w:rPr>
                <w:rFonts w:ascii="Cambria" w:hAnsi="Cambria"/>
                <w:color w:val="000000" w:themeColor="text1"/>
                <w:lang w:val="it-IT"/>
              </w:rPr>
              <w:t xml:space="preserve"> ECTS </w:t>
            </w:r>
            <w:proofErr w:type="spellStart"/>
            <w:r w:rsidRPr="00977220">
              <w:rPr>
                <w:rFonts w:ascii="Cambria" w:hAnsi="Cambria"/>
                <w:color w:val="000000" w:themeColor="text1"/>
                <w:lang w:val="it-IT"/>
              </w:rPr>
              <w:t>bodove</w:t>
            </w:r>
            <w:proofErr w:type="spellEnd"/>
            <w:r w:rsidRPr="00977220">
              <w:rPr>
                <w:rFonts w:ascii="Cambria" w:hAnsi="Cambria"/>
                <w:color w:val="000000" w:themeColor="text1"/>
                <w:lang w:val="it-IT"/>
              </w:rPr>
              <w:t xml:space="preserve"> </w:t>
            </w:r>
            <w:proofErr w:type="spellStart"/>
            <w:r w:rsidRPr="00977220">
              <w:rPr>
                <w:rFonts w:ascii="Cambria" w:hAnsi="Cambria"/>
                <w:color w:val="000000" w:themeColor="text1"/>
                <w:lang w:val="it-IT"/>
              </w:rPr>
              <w:t>iz</w:t>
            </w:r>
            <w:proofErr w:type="spellEnd"/>
            <w:r w:rsidRPr="00977220">
              <w:rPr>
                <w:rFonts w:ascii="Cambria" w:hAnsi="Cambria"/>
                <w:color w:val="000000" w:themeColor="text1"/>
                <w:lang w:val="it-IT"/>
              </w:rPr>
              <w:t xml:space="preserve"> </w:t>
            </w:r>
            <w:proofErr w:type="spellStart"/>
            <w:r w:rsidRPr="00977220">
              <w:rPr>
                <w:rFonts w:ascii="Cambria" w:hAnsi="Cambria"/>
                <w:color w:val="000000" w:themeColor="text1"/>
                <w:lang w:val="it-IT"/>
              </w:rPr>
              <w:t>kolegija</w:t>
            </w:r>
            <w:proofErr w:type="spellEnd"/>
            <w:r w:rsidRPr="00977220">
              <w:rPr>
                <w:rFonts w:ascii="Cambria" w:hAnsi="Cambria"/>
                <w:color w:val="000000" w:themeColor="text1"/>
                <w:lang w:val="it-IT"/>
              </w:rPr>
              <w:t xml:space="preserve"> u </w:t>
            </w:r>
            <w:proofErr w:type="spellStart"/>
            <w:r w:rsidRPr="00977220">
              <w:rPr>
                <w:rFonts w:ascii="Cambria" w:hAnsi="Cambria"/>
                <w:color w:val="000000" w:themeColor="text1"/>
                <w:lang w:val="it-IT"/>
              </w:rPr>
              <w:t>toj</w:t>
            </w:r>
            <w:proofErr w:type="spellEnd"/>
            <w:r w:rsidRPr="00977220">
              <w:rPr>
                <w:rFonts w:ascii="Cambria" w:hAnsi="Cambria"/>
                <w:color w:val="000000" w:themeColor="text1"/>
                <w:lang w:val="it-IT"/>
              </w:rPr>
              <w:t xml:space="preserve"> </w:t>
            </w:r>
            <w:proofErr w:type="spellStart"/>
            <w:r w:rsidRPr="00977220">
              <w:rPr>
                <w:rFonts w:ascii="Cambria" w:hAnsi="Cambria"/>
                <w:color w:val="000000" w:themeColor="text1"/>
                <w:lang w:val="it-IT"/>
              </w:rPr>
              <w:t>akademskoj</w:t>
            </w:r>
            <w:proofErr w:type="spellEnd"/>
            <w:r w:rsidRPr="00977220">
              <w:rPr>
                <w:rFonts w:ascii="Cambria" w:hAnsi="Cambria"/>
                <w:color w:val="000000" w:themeColor="text1"/>
                <w:lang w:val="it-IT"/>
              </w:rPr>
              <w:t xml:space="preserve"> </w:t>
            </w:r>
            <w:proofErr w:type="spellStart"/>
            <w:r w:rsidRPr="00977220">
              <w:rPr>
                <w:rFonts w:ascii="Cambria" w:hAnsi="Cambria"/>
                <w:color w:val="000000" w:themeColor="text1"/>
                <w:lang w:val="it-IT"/>
              </w:rPr>
              <w:t>godini</w:t>
            </w:r>
            <w:proofErr w:type="spellEnd"/>
            <w:r w:rsidR="00B857A8">
              <w:rPr>
                <w:rFonts w:ascii="Cambria" w:hAnsi="Cambria"/>
                <w:color w:val="000000" w:themeColor="text1"/>
                <w:lang w:val="it-IT"/>
              </w:rPr>
              <w:t>)</w:t>
            </w:r>
          </w:p>
          <w:p w14:paraId="1C8AEFCE" w14:textId="5EDE90AF" w:rsidR="00977220" w:rsidRPr="00977220" w:rsidRDefault="00977220" w:rsidP="00977220">
            <w:pPr>
              <w:spacing w:after="0" w:line="240" w:lineRule="auto"/>
              <w:jc w:val="both"/>
              <w:rPr>
                <w:rFonts w:ascii="Cambria" w:hAnsi="Cambria"/>
                <w:color w:val="000000" w:themeColor="text1"/>
              </w:rPr>
            </w:pPr>
            <w:r w:rsidRPr="00977220">
              <w:rPr>
                <w:rFonts w:ascii="Cambria" w:hAnsi="Cambria"/>
                <w:color w:val="000000" w:themeColor="text1"/>
              </w:rPr>
              <w:t xml:space="preserve">4. </w:t>
            </w:r>
            <w:proofErr w:type="spellStart"/>
            <w:r w:rsidR="00B857A8">
              <w:rPr>
                <w:rFonts w:ascii="Cambria" w:hAnsi="Cambria"/>
                <w:color w:val="000000" w:themeColor="text1"/>
              </w:rPr>
              <w:t>p</w:t>
            </w:r>
            <w:r w:rsidRPr="00977220">
              <w:rPr>
                <w:rFonts w:ascii="Cambria" w:hAnsi="Cambria"/>
                <w:color w:val="000000" w:themeColor="text1"/>
              </w:rPr>
              <w:t>oložiti</w:t>
            </w:r>
            <w:proofErr w:type="spellEnd"/>
            <w:r w:rsidRPr="00977220">
              <w:rPr>
                <w:rFonts w:ascii="Cambria" w:hAnsi="Cambria"/>
                <w:color w:val="000000" w:themeColor="text1"/>
              </w:rPr>
              <w:t xml:space="preserve"> </w:t>
            </w:r>
            <w:proofErr w:type="spellStart"/>
            <w:r w:rsidRPr="00977220">
              <w:rPr>
                <w:rFonts w:ascii="Cambria" w:hAnsi="Cambria"/>
                <w:color w:val="000000" w:themeColor="text1"/>
              </w:rPr>
              <w:t>završni</w:t>
            </w:r>
            <w:proofErr w:type="spellEnd"/>
            <w:r w:rsidRPr="00977220">
              <w:rPr>
                <w:rFonts w:ascii="Cambria" w:hAnsi="Cambria"/>
                <w:color w:val="000000" w:themeColor="text1"/>
              </w:rPr>
              <w:t xml:space="preserve"> </w:t>
            </w:r>
            <w:proofErr w:type="spellStart"/>
            <w:r w:rsidRPr="00977220">
              <w:rPr>
                <w:rFonts w:ascii="Cambria" w:hAnsi="Cambria"/>
                <w:color w:val="000000" w:themeColor="text1"/>
              </w:rPr>
              <w:t>ispit</w:t>
            </w:r>
            <w:proofErr w:type="spellEnd"/>
            <w:r w:rsidRPr="00977220">
              <w:rPr>
                <w:rFonts w:ascii="Cambria" w:hAnsi="Cambria"/>
                <w:color w:val="000000" w:themeColor="text1"/>
              </w:rPr>
              <w:t>.</w:t>
            </w:r>
          </w:p>
        </w:tc>
      </w:tr>
      <w:tr w:rsidR="00977220" w:rsidRPr="00DA7312" w14:paraId="4BAC349D" w14:textId="77777777" w:rsidTr="00D74364">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196D7E7" w14:textId="77777777" w:rsidR="00977220" w:rsidRPr="00977220" w:rsidRDefault="00977220" w:rsidP="00977220">
            <w:pPr>
              <w:spacing w:after="0" w:line="240" w:lineRule="auto"/>
              <w:rPr>
                <w:rFonts w:ascii="Cambria" w:hAnsi="Cambria"/>
                <w:color w:val="000000" w:themeColor="text1"/>
              </w:rPr>
            </w:pPr>
            <w:proofErr w:type="spellStart"/>
            <w:r w:rsidRPr="00977220">
              <w:rPr>
                <w:rFonts w:ascii="Cambria" w:hAnsi="Cambria"/>
                <w:color w:val="000000" w:themeColor="text1"/>
              </w:rPr>
              <w:t>Rokovi</w:t>
            </w:r>
            <w:proofErr w:type="spellEnd"/>
            <w:r w:rsidRPr="00977220">
              <w:rPr>
                <w:rFonts w:ascii="Cambria" w:hAnsi="Cambria"/>
                <w:color w:val="000000" w:themeColor="text1"/>
              </w:rPr>
              <w:t xml:space="preserve"> </w:t>
            </w:r>
            <w:proofErr w:type="spellStart"/>
            <w:r w:rsidRPr="00977220">
              <w:rPr>
                <w:rFonts w:ascii="Cambria" w:hAnsi="Cambria"/>
                <w:color w:val="000000" w:themeColor="text1"/>
              </w:rPr>
              <w:t>ispita</w:t>
            </w:r>
            <w:proofErr w:type="spellEnd"/>
            <w:r w:rsidRPr="00977220">
              <w:rPr>
                <w:rFonts w:ascii="Cambria" w:hAnsi="Cambria"/>
                <w:color w:val="000000" w:themeColor="text1"/>
              </w:rPr>
              <w:t xml:space="preserve"> </w:t>
            </w:r>
            <w:proofErr w:type="spellStart"/>
            <w:r w:rsidRPr="00977220">
              <w:rPr>
                <w:rFonts w:ascii="Cambria" w:hAnsi="Cambria"/>
                <w:color w:val="000000" w:themeColor="text1"/>
              </w:rPr>
              <w:t>i</w:t>
            </w:r>
            <w:proofErr w:type="spellEnd"/>
            <w:r w:rsidRPr="00977220">
              <w:rPr>
                <w:rFonts w:ascii="Cambria" w:hAnsi="Cambria"/>
                <w:color w:val="000000" w:themeColor="text1"/>
              </w:rPr>
              <w:t xml:space="preserve"> </w:t>
            </w:r>
            <w:proofErr w:type="spellStart"/>
            <w:r w:rsidRPr="00977220">
              <w:rPr>
                <w:rFonts w:ascii="Cambria" w:hAnsi="Cambria"/>
                <w:color w:val="000000" w:themeColor="text1"/>
              </w:rPr>
              <w:t>kolokvija</w:t>
            </w:r>
            <w:proofErr w:type="spellEnd"/>
          </w:p>
        </w:tc>
        <w:tc>
          <w:tcPr>
            <w:tcW w:w="671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2E58F02" w14:textId="77777777" w:rsidR="00977220" w:rsidRPr="00977220" w:rsidRDefault="00977220" w:rsidP="00977220">
            <w:pPr>
              <w:spacing w:after="0" w:line="240" w:lineRule="auto"/>
              <w:jc w:val="both"/>
              <w:rPr>
                <w:rFonts w:ascii="Cambria" w:hAnsi="Cambria"/>
                <w:color w:val="000000" w:themeColor="text1"/>
              </w:rPr>
            </w:pPr>
            <w:r w:rsidRPr="00977220">
              <w:rPr>
                <w:rFonts w:ascii="Cambria" w:hAnsi="Cambria"/>
                <w:color w:val="000000" w:themeColor="text1"/>
              </w:rPr>
              <w:t xml:space="preserve">Daju se </w:t>
            </w:r>
            <w:proofErr w:type="spellStart"/>
            <w:r w:rsidRPr="00977220">
              <w:rPr>
                <w:rFonts w:ascii="Cambria" w:hAnsi="Cambria"/>
                <w:color w:val="000000" w:themeColor="text1"/>
              </w:rPr>
              <w:t>na</w:t>
            </w:r>
            <w:proofErr w:type="spellEnd"/>
            <w:r w:rsidRPr="00977220">
              <w:rPr>
                <w:rFonts w:ascii="Cambria" w:hAnsi="Cambria"/>
                <w:color w:val="000000" w:themeColor="text1"/>
              </w:rPr>
              <w:t xml:space="preserve"> </w:t>
            </w:r>
            <w:proofErr w:type="spellStart"/>
            <w:r w:rsidRPr="00977220">
              <w:rPr>
                <w:rFonts w:ascii="Cambria" w:hAnsi="Cambria"/>
                <w:color w:val="000000" w:themeColor="text1"/>
              </w:rPr>
              <w:t>početku</w:t>
            </w:r>
            <w:proofErr w:type="spellEnd"/>
            <w:r w:rsidRPr="00977220">
              <w:rPr>
                <w:rFonts w:ascii="Cambria" w:hAnsi="Cambria"/>
                <w:color w:val="000000" w:themeColor="text1"/>
              </w:rPr>
              <w:t xml:space="preserve"> </w:t>
            </w:r>
            <w:proofErr w:type="spellStart"/>
            <w:r w:rsidRPr="00977220">
              <w:rPr>
                <w:rFonts w:ascii="Cambria" w:hAnsi="Cambria"/>
                <w:color w:val="000000" w:themeColor="text1"/>
              </w:rPr>
              <w:t>akademske</w:t>
            </w:r>
            <w:proofErr w:type="spellEnd"/>
            <w:r w:rsidRPr="00977220">
              <w:rPr>
                <w:rFonts w:ascii="Cambria" w:hAnsi="Cambria"/>
                <w:color w:val="000000" w:themeColor="text1"/>
              </w:rPr>
              <w:t xml:space="preserve"> </w:t>
            </w:r>
            <w:proofErr w:type="spellStart"/>
            <w:r w:rsidRPr="00977220">
              <w:rPr>
                <w:rFonts w:ascii="Cambria" w:hAnsi="Cambria"/>
                <w:color w:val="000000" w:themeColor="text1"/>
              </w:rPr>
              <w:t>godine</w:t>
            </w:r>
            <w:proofErr w:type="spellEnd"/>
            <w:r w:rsidRPr="00977220">
              <w:rPr>
                <w:rFonts w:ascii="Cambria" w:hAnsi="Cambria"/>
                <w:color w:val="000000" w:themeColor="text1"/>
              </w:rPr>
              <w:t xml:space="preserve"> </w:t>
            </w:r>
            <w:proofErr w:type="spellStart"/>
            <w:r w:rsidRPr="00977220">
              <w:rPr>
                <w:rFonts w:ascii="Cambria" w:hAnsi="Cambria"/>
                <w:color w:val="000000" w:themeColor="text1"/>
              </w:rPr>
              <w:t>i</w:t>
            </w:r>
            <w:proofErr w:type="spellEnd"/>
            <w:r w:rsidRPr="00977220">
              <w:rPr>
                <w:rFonts w:ascii="Cambria" w:hAnsi="Cambria"/>
                <w:color w:val="000000" w:themeColor="text1"/>
              </w:rPr>
              <w:t xml:space="preserve"> </w:t>
            </w:r>
            <w:proofErr w:type="spellStart"/>
            <w:r w:rsidRPr="00977220">
              <w:rPr>
                <w:rFonts w:ascii="Cambria" w:hAnsi="Cambria"/>
                <w:color w:val="000000" w:themeColor="text1"/>
              </w:rPr>
              <w:t>objavljuju</w:t>
            </w:r>
            <w:proofErr w:type="spellEnd"/>
            <w:r w:rsidRPr="00977220">
              <w:rPr>
                <w:rFonts w:ascii="Cambria" w:hAnsi="Cambria"/>
                <w:color w:val="000000" w:themeColor="text1"/>
              </w:rPr>
              <w:t xml:space="preserve"> se </w:t>
            </w:r>
            <w:proofErr w:type="spellStart"/>
            <w:r w:rsidRPr="00977220">
              <w:rPr>
                <w:rFonts w:ascii="Cambria" w:hAnsi="Cambria"/>
                <w:color w:val="000000" w:themeColor="text1"/>
              </w:rPr>
              <w:t>na</w:t>
            </w:r>
            <w:proofErr w:type="spellEnd"/>
            <w:r w:rsidRPr="00977220">
              <w:rPr>
                <w:rFonts w:ascii="Cambria" w:hAnsi="Cambria"/>
                <w:color w:val="000000" w:themeColor="text1"/>
              </w:rPr>
              <w:t xml:space="preserve"> </w:t>
            </w:r>
            <w:proofErr w:type="spellStart"/>
            <w:r w:rsidRPr="00977220">
              <w:rPr>
                <w:rFonts w:ascii="Cambria" w:hAnsi="Cambria"/>
                <w:color w:val="000000" w:themeColor="text1"/>
              </w:rPr>
              <w:t>mrežnim</w:t>
            </w:r>
            <w:proofErr w:type="spellEnd"/>
            <w:r w:rsidRPr="00977220">
              <w:rPr>
                <w:rFonts w:ascii="Cambria" w:hAnsi="Cambria"/>
                <w:color w:val="000000" w:themeColor="text1"/>
              </w:rPr>
              <w:t xml:space="preserve"> </w:t>
            </w:r>
            <w:proofErr w:type="spellStart"/>
            <w:r w:rsidRPr="00977220">
              <w:rPr>
                <w:rFonts w:ascii="Cambria" w:hAnsi="Cambria"/>
                <w:color w:val="000000" w:themeColor="text1"/>
              </w:rPr>
              <w:t>stranicama</w:t>
            </w:r>
            <w:proofErr w:type="spellEnd"/>
            <w:r w:rsidRPr="00977220">
              <w:rPr>
                <w:rFonts w:ascii="Cambria" w:hAnsi="Cambria"/>
                <w:color w:val="000000" w:themeColor="text1"/>
              </w:rPr>
              <w:t xml:space="preserve"> </w:t>
            </w:r>
            <w:proofErr w:type="spellStart"/>
            <w:r w:rsidRPr="00977220">
              <w:rPr>
                <w:rFonts w:ascii="Cambria" w:hAnsi="Cambria"/>
                <w:color w:val="000000" w:themeColor="text1"/>
              </w:rPr>
              <w:t>Sveučilišta</w:t>
            </w:r>
            <w:proofErr w:type="spellEnd"/>
            <w:r w:rsidRPr="00977220">
              <w:rPr>
                <w:rFonts w:ascii="Cambria" w:hAnsi="Cambria"/>
                <w:color w:val="000000" w:themeColor="text1"/>
              </w:rPr>
              <w:t xml:space="preserve"> </w:t>
            </w:r>
            <w:proofErr w:type="spellStart"/>
            <w:r w:rsidRPr="00977220">
              <w:rPr>
                <w:rFonts w:ascii="Cambria" w:hAnsi="Cambria"/>
                <w:color w:val="000000" w:themeColor="text1"/>
              </w:rPr>
              <w:t>i</w:t>
            </w:r>
            <w:proofErr w:type="spellEnd"/>
            <w:r w:rsidRPr="00977220">
              <w:rPr>
                <w:rFonts w:ascii="Cambria" w:hAnsi="Cambria"/>
                <w:color w:val="000000" w:themeColor="text1"/>
              </w:rPr>
              <w:t xml:space="preserve"> u ISVU </w:t>
            </w:r>
            <w:proofErr w:type="spellStart"/>
            <w:r w:rsidRPr="00977220">
              <w:rPr>
                <w:rFonts w:ascii="Cambria" w:hAnsi="Cambria"/>
                <w:color w:val="000000" w:themeColor="text1"/>
              </w:rPr>
              <w:t>sustavu</w:t>
            </w:r>
            <w:proofErr w:type="spellEnd"/>
            <w:r w:rsidRPr="00977220">
              <w:rPr>
                <w:rFonts w:ascii="Cambria" w:hAnsi="Cambria"/>
                <w:color w:val="000000" w:themeColor="text1"/>
              </w:rPr>
              <w:t>.</w:t>
            </w:r>
          </w:p>
        </w:tc>
      </w:tr>
      <w:tr w:rsidR="00977220" w:rsidRPr="00DA7312" w14:paraId="70434019" w14:textId="77777777" w:rsidTr="00D74364">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86B52AA" w14:textId="77777777" w:rsidR="00977220" w:rsidRPr="00977220" w:rsidRDefault="00977220" w:rsidP="00977220">
            <w:pPr>
              <w:spacing w:after="0" w:line="240" w:lineRule="auto"/>
              <w:rPr>
                <w:rFonts w:ascii="Cambria" w:hAnsi="Cambria"/>
                <w:color w:val="000000" w:themeColor="text1"/>
                <w:lang w:val="it-IT"/>
              </w:rPr>
            </w:pPr>
            <w:r w:rsidRPr="00977220">
              <w:rPr>
                <w:rFonts w:ascii="Cambria" w:hAnsi="Cambria"/>
                <w:color w:val="000000" w:themeColor="text1"/>
                <w:lang w:val="it-IT"/>
              </w:rPr>
              <w:t xml:space="preserve">Ostale </w:t>
            </w:r>
            <w:proofErr w:type="spellStart"/>
            <w:r w:rsidRPr="00977220">
              <w:rPr>
                <w:rFonts w:ascii="Cambria" w:hAnsi="Cambria"/>
                <w:color w:val="000000" w:themeColor="text1"/>
                <w:lang w:val="it-IT"/>
              </w:rPr>
              <w:t>važne</w:t>
            </w:r>
            <w:proofErr w:type="spellEnd"/>
            <w:r w:rsidRPr="00977220">
              <w:rPr>
                <w:rFonts w:ascii="Cambria" w:hAnsi="Cambria"/>
                <w:color w:val="000000" w:themeColor="text1"/>
                <w:lang w:val="it-IT"/>
              </w:rPr>
              <w:t xml:space="preserve"> </w:t>
            </w:r>
            <w:proofErr w:type="spellStart"/>
            <w:r w:rsidRPr="00977220">
              <w:rPr>
                <w:rFonts w:ascii="Cambria" w:hAnsi="Cambria"/>
                <w:color w:val="000000" w:themeColor="text1"/>
                <w:lang w:val="it-IT"/>
              </w:rPr>
              <w:t>činjenice</w:t>
            </w:r>
            <w:proofErr w:type="spellEnd"/>
            <w:r w:rsidRPr="00977220">
              <w:rPr>
                <w:rFonts w:ascii="Cambria" w:hAnsi="Cambria"/>
                <w:color w:val="000000" w:themeColor="text1"/>
                <w:lang w:val="it-IT"/>
              </w:rPr>
              <w:t xml:space="preserve"> </w:t>
            </w:r>
            <w:proofErr w:type="spellStart"/>
            <w:r w:rsidRPr="00977220">
              <w:rPr>
                <w:rFonts w:ascii="Cambria" w:hAnsi="Cambria"/>
                <w:color w:val="000000" w:themeColor="text1"/>
                <w:lang w:val="it-IT"/>
              </w:rPr>
              <w:t>vezane</w:t>
            </w:r>
            <w:proofErr w:type="spellEnd"/>
            <w:r w:rsidRPr="00977220">
              <w:rPr>
                <w:rFonts w:ascii="Cambria" w:hAnsi="Cambria"/>
                <w:color w:val="000000" w:themeColor="text1"/>
                <w:lang w:val="it-IT"/>
              </w:rPr>
              <w:t xml:space="preserve"> </w:t>
            </w:r>
            <w:proofErr w:type="spellStart"/>
            <w:r w:rsidRPr="00977220">
              <w:rPr>
                <w:rFonts w:ascii="Cambria" w:hAnsi="Cambria"/>
                <w:color w:val="000000" w:themeColor="text1"/>
                <w:lang w:val="it-IT"/>
              </w:rPr>
              <w:t>uz</w:t>
            </w:r>
            <w:proofErr w:type="spellEnd"/>
            <w:r w:rsidRPr="00977220">
              <w:rPr>
                <w:rFonts w:ascii="Cambria" w:hAnsi="Cambria"/>
                <w:color w:val="000000" w:themeColor="text1"/>
                <w:lang w:val="it-IT"/>
              </w:rPr>
              <w:t xml:space="preserve"> </w:t>
            </w:r>
            <w:proofErr w:type="spellStart"/>
            <w:r w:rsidRPr="00977220">
              <w:rPr>
                <w:rFonts w:ascii="Cambria" w:hAnsi="Cambria"/>
                <w:color w:val="000000" w:themeColor="text1"/>
                <w:lang w:val="it-IT"/>
              </w:rPr>
              <w:t>kolegij</w:t>
            </w:r>
            <w:proofErr w:type="spellEnd"/>
          </w:p>
        </w:tc>
        <w:tc>
          <w:tcPr>
            <w:tcW w:w="671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84EFF40" w14:textId="77777777" w:rsidR="00977220" w:rsidRPr="00977220" w:rsidRDefault="00977220" w:rsidP="00977220">
            <w:pPr>
              <w:spacing w:after="0" w:line="240" w:lineRule="auto"/>
              <w:rPr>
                <w:rFonts w:ascii="Cambria" w:hAnsi="Cambria"/>
                <w:color w:val="000000" w:themeColor="text1"/>
                <w:lang w:val="it-IT"/>
              </w:rPr>
            </w:pPr>
            <w:proofErr w:type="spellStart"/>
            <w:r w:rsidRPr="00977220">
              <w:rPr>
                <w:rFonts w:ascii="Cambria" w:hAnsi="Cambria"/>
                <w:color w:val="000000" w:themeColor="text1"/>
                <w:lang w:val="it-IT"/>
              </w:rPr>
              <w:t>Materijali</w:t>
            </w:r>
            <w:proofErr w:type="spellEnd"/>
            <w:r w:rsidRPr="00977220">
              <w:rPr>
                <w:rFonts w:ascii="Cambria" w:hAnsi="Cambria"/>
                <w:color w:val="000000" w:themeColor="text1"/>
                <w:lang w:val="it-IT"/>
              </w:rPr>
              <w:t xml:space="preserve"> za </w:t>
            </w:r>
            <w:proofErr w:type="spellStart"/>
            <w:r w:rsidRPr="00977220">
              <w:rPr>
                <w:rFonts w:ascii="Cambria" w:hAnsi="Cambria"/>
                <w:color w:val="000000" w:themeColor="text1"/>
                <w:lang w:val="it-IT"/>
              </w:rPr>
              <w:t>predavanja</w:t>
            </w:r>
            <w:proofErr w:type="spellEnd"/>
            <w:r w:rsidRPr="00977220">
              <w:rPr>
                <w:rFonts w:ascii="Cambria" w:hAnsi="Cambria"/>
                <w:color w:val="000000" w:themeColor="text1"/>
                <w:lang w:val="it-IT"/>
              </w:rPr>
              <w:t xml:space="preserve"> </w:t>
            </w:r>
            <w:proofErr w:type="spellStart"/>
            <w:r w:rsidRPr="00977220">
              <w:rPr>
                <w:rFonts w:ascii="Cambria" w:hAnsi="Cambria"/>
                <w:color w:val="000000" w:themeColor="text1"/>
                <w:lang w:val="it-IT"/>
              </w:rPr>
              <w:t>objavljuju</w:t>
            </w:r>
            <w:proofErr w:type="spellEnd"/>
            <w:r w:rsidRPr="00977220">
              <w:rPr>
                <w:rFonts w:ascii="Cambria" w:hAnsi="Cambria"/>
                <w:color w:val="000000" w:themeColor="text1"/>
                <w:lang w:val="it-IT"/>
              </w:rPr>
              <w:t xml:space="preserve"> se </w:t>
            </w:r>
            <w:proofErr w:type="spellStart"/>
            <w:r w:rsidRPr="00977220">
              <w:rPr>
                <w:rFonts w:ascii="Cambria" w:hAnsi="Cambria"/>
                <w:color w:val="000000" w:themeColor="text1"/>
                <w:lang w:val="it-IT"/>
              </w:rPr>
              <w:t>na</w:t>
            </w:r>
            <w:proofErr w:type="spellEnd"/>
            <w:r w:rsidRPr="00977220">
              <w:rPr>
                <w:rFonts w:ascii="Cambria" w:hAnsi="Cambria"/>
                <w:color w:val="000000" w:themeColor="text1"/>
                <w:lang w:val="it-IT"/>
              </w:rPr>
              <w:t xml:space="preserve"> </w:t>
            </w:r>
            <w:proofErr w:type="spellStart"/>
            <w:r w:rsidRPr="00977220">
              <w:rPr>
                <w:rFonts w:ascii="Cambria" w:hAnsi="Cambria"/>
                <w:color w:val="000000" w:themeColor="text1"/>
                <w:lang w:val="it-IT"/>
              </w:rPr>
              <w:t>platformi</w:t>
            </w:r>
            <w:proofErr w:type="spellEnd"/>
            <w:r w:rsidRPr="00977220">
              <w:rPr>
                <w:rFonts w:ascii="Cambria" w:hAnsi="Cambria"/>
                <w:color w:val="000000" w:themeColor="text1"/>
                <w:lang w:val="it-IT"/>
              </w:rPr>
              <w:t xml:space="preserve"> za E-</w:t>
            </w:r>
            <w:proofErr w:type="spellStart"/>
            <w:r w:rsidRPr="00977220">
              <w:rPr>
                <w:rFonts w:ascii="Cambria" w:hAnsi="Cambria"/>
                <w:color w:val="000000" w:themeColor="text1"/>
                <w:lang w:val="it-IT"/>
              </w:rPr>
              <w:t>učenje</w:t>
            </w:r>
            <w:proofErr w:type="spellEnd"/>
            <w:r w:rsidRPr="00977220">
              <w:rPr>
                <w:rFonts w:ascii="Cambria" w:hAnsi="Cambria"/>
                <w:color w:val="000000" w:themeColor="text1"/>
                <w:lang w:val="it-IT"/>
              </w:rPr>
              <w:t>.</w:t>
            </w:r>
          </w:p>
          <w:p w14:paraId="49A31CA1" w14:textId="77777777" w:rsidR="00977220" w:rsidRPr="00977220" w:rsidRDefault="00977220" w:rsidP="00977220">
            <w:pPr>
              <w:spacing w:after="0" w:line="240" w:lineRule="auto"/>
              <w:jc w:val="both"/>
              <w:rPr>
                <w:rFonts w:ascii="Cambria" w:hAnsi="Cambria"/>
                <w:color w:val="000000" w:themeColor="text1"/>
                <w:shd w:val="clear" w:color="auto" w:fill="FFFFFF"/>
                <w:lang w:val="it-IT"/>
              </w:rPr>
            </w:pPr>
            <w:r w:rsidRPr="00977220">
              <w:rPr>
                <w:rFonts w:ascii="Cambria" w:hAnsi="Cambria"/>
                <w:color w:val="000000" w:themeColor="text1"/>
                <w:shd w:val="clear" w:color="auto" w:fill="FFFFFF"/>
                <w:lang w:val="it-IT"/>
              </w:rPr>
              <w:t xml:space="preserve">U </w:t>
            </w:r>
            <w:proofErr w:type="spellStart"/>
            <w:r w:rsidRPr="00977220">
              <w:rPr>
                <w:rFonts w:ascii="Cambria" w:hAnsi="Cambria"/>
                <w:color w:val="000000" w:themeColor="text1"/>
                <w:shd w:val="clear" w:color="auto" w:fill="FFFFFF"/>
                <w:lang w:val="it-IT"/>
              </w:rPr>
              <w:t>slučaju</w:t>
            </w:r>
            <w:proofErr w:type="spellEnd"/>
            <w:r w:rsidRPr="00977220">
              <w:rPr>
                <w:rFonts w:ascii="Cambria" w:hAnsi="Cambria"/>
                <w:color w:val="000000" w:themeColor="text1"/>
                <w:shd w:val="clear" w:color="auto" w:fill="FFFFFF"/>
                <w:lang w:val="it-IT"/>
              </w:rPr>
              <w:t xml:space="preserve"> </w:t>
            </w:r>
            <w:proofErr w:type="spellStart"/>
            <w:r w:rsidRPr="00977220">
              <w:rPr>
                <w:rFonts w:ascii="Cambria" w:hAnsi="Cambria"/>
                <w:color w:val="000000" w:themeColor="text1"/>
                <w:shd w:val="clear" w:color="auto" w:fill="FFFFFF"/>
                <w:lang w:val="it-IT"/>
              </w:rPr>
              <w:t>održavanja</w:t>
            </w:r>
            <w:proofErr w:type="spellEnd"/>
            <w:r w:rsidRPr="00977220">
              <w:rPr>
                <w:rFonts w:ascii="Cambria" w:hAnsi="Cambria"/>
                <w:color w:val="000000" w:themeColor="text1"/>
                <w:shd w:val="clear" w:color="auto" w:fill="FFFFFF"/>
                <w:lang w:val="it-IT"/>
              </w:rPr>
              <w:t xml:space="preserve"> </w:t>
            </w:r>
            <w:proofErr w:type="spellStart"/>
            <w:r w:rsidRPr="00977220">
              <w:rPr>
                <w:rFonts w:ascii="Cambria" w:hAnsi="Cambria"/>
                <w:color w:val="000000" w:themeColor="text1"/>
                <w:shd w:val="clear" w:color="auto" w:fill="FFFFFF"/>
                <w:lang w:val="it-IT"/>
              </w:rPr>
              <w:t>nastave</w:t>
            </w:r>
            <w:proofErr w:type="spellEnd"/>
            <w:r w:rsidRPr="00977220">
              <w:rPr>
                <w:rFonts w:ascii="Cambria" w:hAnsi="Cambria"/>
                <w:color w:val="000000" w:themeColor="text1"/>
                <w:shd w:val="clear" w:color="auto" w:fill="FFFFFF"/>
                <w:lang w:val="it-IT"/>
              </w:rPr>
              <w:t xml:space="preserve"> </w:t>
            </w:r>
            <w:proofErr w:type="spellStart"/>
            <w:r w:rsidRPr="00977220">
              <w:rPr>
                <w:rFonts w:ascii="Cambria" w:hAnsi="Cambria"/>
                <w:color w:val="000000" w:themeColor="text1"/>
                <w:shd w:val="clear" w:color="auto" w:fill="FFFFFF"/>
                <w:lang w:val="it-IT"/>
              </w:rPr>
              <w:t>na</w:t>
            </w:r>
            <w:proofErr w:type="spellEnd"/>
            <w:r w:rsidRPr="00977220">
              <w:rPr>
                <w:rFonts w:ascii="Cambria" w:hAnsi="Cambria"/>
                <w:color w:val="000000" w:themeColor="text1"/>
                <w:shd w:val="clear" w:color="auto" w:fill="FFFFFF"/>
                <w:lang w:val="it-IT"/>
              </w:rPr>
              <w:t xml:space="preserve"> </w:t>
            </w:r>
            <w:proofErr w:type="spellStart"/>
            <w:r w:rsidRPr="00977220">
              <w:rPr>
                <w:rFonts w:ascii="Cambria" w:hAnsi="Cambria"/>
                <w:color w:val="000000" w:themeColor="text1"/>
                <w:shd w:val="clear" w:color="auto" w:fill="FFFFFF"/>
                <w:lang w:val="it-IT"/>
              </w:rPr>
              <w:t>daljinu</w:t>
            </w:r>
            <w:proofErr w:type="spellEnd"/>
            <w:r w:rsidRPr="00977220">
              <w:rPr>
                <w:rFonts w:ascii="Cambria" w:hAnsi="Cambria"/>
                <w:color w:val="000000" w:themeColor="text1"/>
                <w:shd w:val="clear" w:color="auto" w:fill="FFFFFF"/>
                <w:lang w:val="it-IT"/>
              </w:rPr>
              <w:t xml:space="preserve">, </w:t>
            </w:r>
            <w:proofErr w:type="spellStart"/>
            <w:r w:rsidRPr="00977220">
              <w:rPr>
                <w:rFonts w:ascii="Cambria" w:hAnsi="Cambria"/>
                <w:color w:val="000000" w:themeColor="text1"/>
                <w:shd w:val="clear" w:color="auto" w:fill="FFFFFF"/>
                <w:lang w:val="it-IT"/>
              </w:rPr>
              <w:t>moguće</w:t>
            </w:r>
            <w:proofErr w:type="spellEnd"/>
            <w:r w:rsidRPr="00977220">
              <w:rPr>
                <w:rFonts w:ascii="Cambria" w:hAnsi="Cambria"/>
                <w:color w:val="000000" w:themeColor="text1"/>
                <w:shd w:val="clear" w:color="auto" w:fill="FFFFFF"/>
                <w:lang w:val="it-IT"/>
              </w:rPr>
              <w:t xml:space="preserve"> je </w:t>
            </w:r>
            <w:proofErr w:type="spellStart"/>
            <w:r w:rsidRPr="00977220">
              <w:rPr>
                <w:rFonts w:ascii="Cambria" w:hAnsi="Cambria"/>
                <w:color w:val="000000" w:themeColor="text1"/>
                <w:shd w:val="clear" w:color="auto" w:fill="FFFFFF"/>
                <w:lang w:val="it-IT"/>
              </w:rPr>
              <w:t>odstupanje</w:t>
            </w:r>
            <w:proofErr w:type="spellEnd"/>
            <w:r w:rsidRPr="00977220">
              <w:rPr>
                <w:rFonts w:ascii="Cambria" w:hAnsi="Cambria"/>
                <w:color w:val="000000" w:themeColor="text1"/>
                <w:shd w:val="clear" w:color="auto" w:fill="FFFFFF"/>
                <w:lang w:val="it-IT"/>
              </w:rPr>
              <w:t xml:space="preserve"> u: </w:t>
            </w:r>
          </w:p>
          <w:p w14:paraId="118E394A" w14:textId="77777777" w:rsidR="00977220" w:rsidRPr="00977220" w:rsidRDefault="00977220" w:rsidP="00977220">
            <w:pPr>
              <w:spacing w:after="0" w:line="240" w:lineRule="auto"/>
              <w:jc w:val="both"/>
              <w:rPr>
                <w:rFonts w:ascii="Cambria" w:hAnsi="Cambria"/>
                <w:color w:val="000000" w:themeColor="text1"/>
                <w:lang w:val="it-IT"/>
              </w:rPr>
            </w:pPr>
            <w:r w:rsidRPr="00977220">
              <w:rPr>
                <w:rFonts w:ascii="Cambria" w:hAnsi="Cambria"/>
                <w:color w:val="000000" w:themeColor="text1"/>
                <w:shd w:val="clear" w:color="auto" w:fill="FFFFFF"/>
                <w:lang w:val="it-IT"/>
              </w:rPr>
              <w:t xml:space="preserve">- </w:t>
            </w:r>
            <w:proofErr w:type="spellStart"/>
            <w:r w:rsidRPr="00977220">
              <w:rPr>
                <w:rFonts w:ascii="Cambria" w:hAnsi="Cambria"/>
                <w:color w:val="000000" w:themeColor="text1"/>
                <w:shd w:val="clear" w:color="auto" w:fill="FFFFFF"/>
                <w:lang w:val="it-IT"/>
              </w:rPr>
              <w:t>mjestu</w:t>
            </w:r>
            <w:proofErr w:type="spellEnd"/>
            <w:r w:rsidRPr="00977220">
              <w:rPr>
                <w:rFonts w:ascii="Cambria" w:hAnsi="Cambria"/>
                <w:color w:val="000000" w:themeColor="text1"/>
                <w:shd w:val="clear" w:color="auto" w:fill="FFFFFF"/>
                <w:lang w:val="it-IT"/>
              </w:rPr>
              <w:t xml:space="preserve"> </w:t>
            </w:r>
            <w:proofErr w:type="spellStart"/>
            <w:r w:rsidRPr="00977220">
              <w:rPr>
                <w:rFonts w:ascii="Cambria" w:hAnsi="Cambria"/>
                <w:color w:val="000000" w:themeColor="text1"/>
                <w:shd w:val="clear" w:color="auto" w:fill="FFFFFF"/>
                <w:lang w:val="it-IT"/>
              </w:rPr>
              <w:t>izvođenja</w:t>
            </w:r>
            <w:proofErr w:type="spellEnd"/>
            <w:r w:rsidRPr="00977220">
              <w:rPr>
                <w:rFonts w:ascii="Cambria" w:hAnsi="Cambria"/>
                <w:color w:val="000000" w:themeColor="text1"/>
                <w:shd w:val="clear" w:color="auto" w:fill="FFFFFF"/>
                <w:lang w:val="it-IT"/>
              </w:rPr>
              <w:t xml:space="preserve"> </w:t>
            </w:r>
            <w:proofErr w:type="spellStart"/>
            <w:r w:rsidRPr="00977220">
              <w:rPr>
                <w:rFonts w:ascii="Cambria" w:hAnsi="Cambria"/>
                <w:color w:val="000000" w:themeColor="text1"/>
                <w:shd w:val="clear" w:color="auto" w:fill="FFFFFF"/>
                <w:lang w:val="it-IT"/>
              </w:rPr>
              <w:t>kolegija</w:t>
            </w:r>
            <w:proofErr w:type="spellEnd"/>
          </w:p>
          <w:p w14:paraId="18387579" w14:textId="77777777" w:rsidR="00977220" w:rsidRPr="00977220" w:rsidRDefault="00977220" w:rsidP="00977220">
            <w:pPr>
              <w:spacing w:after="0" w:line="240" w:lineRule="auto"/>
              <w:jc w:val="both"/>
              <w:rPr>
                <w:rFonts w:ascii="Cambria" w:hAnsi="Cambria"/>
                <w:color w:val="000000" w:themeColor="text1"/>
                <w:lang w:val="it-IT"/>
              </w:rPr>
            </w:pPr>
            <w:r w:rsidRPr="00977220">
              <w:rPr>
                <w:rFonts w:ascii="Cambria" w:hAnsi="Cambria"/>
                <w:color w:val="000000" w:themeColor="text1"/>
                <w:shd w:val="clear" w:color="auto" w:fill="FFFFFF"/>
                <w:lang w:val="it-IT"/>
              </w:rPr>
              <w:t xml:space="preserve">- </w:t>
            </w:r>
            <w:proofErr w:type="spellStart"/>
            <w:r w:rsidRPr="00977220">
              <w:rPr>
                <w:rFonts w:ascii="Cambria" w:hAnsi="Cambria"/>
                <w:color w:val="000000" w:themeColor="text1"/>
                <w:shd w:val="clear" w:color="auto" w:fill="FFFFFF"/>
                <w:lang w:val="it-IT"/>
              </w:rPr>
              <w:t>provedbi</w:t>
            </w:r>
            <w:proofErr w:type="spellEnd"/>
            <w:r w:rsidRPr="00977220">
              <w:rPr>
                <w:rFonts w:ascii="Cambria" w:hAnsi="Cambria"/>
                <w:color w:val="000000" w:themeColor="text1"/>
                <w:shd w:val="clear" w:color="auto" w:fill="FFFFFF"/>
                <w:lang w:val="it-IT"/>
              </w:rPr>
              <w:t xml:space="preserve"> </w:t>
            </w:r>
            <w:proofErr w:type="spellStart"/>
            <w:r w:rsidRPr="00977220">
              <w:rPr>
                <w:rFonts w:ascii="Cambria" w:hAnsi="Cambria"/>
                <w:color w:val="000000" w:themeColor="text1"/>
                <w:shd w:val="clear" w:color="auto" w:fill="FFFFFF"/>
                <w:lang w:val="it-IT"/>
              </w:rPr>
              <w:t>aktivnosti</w:t>
            </w:r>
            <w:proofErr w:type="spellEnd"/>
            <w:r w:rsidRPr="00977220">
              <w:rPr>
                <w:rFonts w:ascii="Cambria" w:hAnsi="Cambria"/>
                <w:color w:val="000000" w:themeColor="text1"/>
                <w:shd w:val="clear" w:color="auto" w:fill="FFFFFF"/>
                <w:lang w:val="it-IT"/>
              </w:rPr>
              <w:t xml:space="preserve">, </w:t>
            </w:r>
            <w:proofErr w:type="spellStart"/>
            <w:r w:rsidRPr="00977220">
              <w:rPr>
                <w:rFonts w:ascii="Cambria" w:hAnsi="Cambria"/>
                <w:color w:val="000000" w:themeColor="text1"/>
                <w:shd w:val="clear" w:color="auto" w:fill="FFFFFF"/>
                <w:lang w:val="it-IT"/>
              </w:rPr>
              <w:t>metoda</w:t>
            </w:r>
            <w:proofErr w:type="spellEnd"/>
            <w:r w:rsidRPr="00977220">
              <w:rPr>
                <w:rFonts w:ascii="Cambria" w:hAnsi="Cambria"/>
                <w:color w:val="000000" w:themeColor="text1"/>
                <w:shd w:val="clear" w:color="auto" w:fill="FFFFFF"/>
                <w:lang w:val="it-IT"/>
              </w:rPr>
              <w:t xml:space="preserve"> </w:t>
            </w:r>
            <w:proofErr w:type="spellStart"/>
            <w:r w:rsidRPr="00977220">
              <w:rPr>
                <w:rFonts w:ascii="Cambria" w:hAnsi="Cambria"/>
                <w:color w:val="000000" w:themeColor="text1"/>
                <w:shd w:val="clear" w:color="auto" w:fill="FFFFFF"/>
                <w:lang w:val="it-IT"/>
              </w:rPr>
              <w:t>tumačenja</w:t>
            </w:r>
            <w:proofErr w:type="spellEnd"/>
            <w:r w:rsidRPr="00977220">
              <w:rPr>
                <w:rFonts w:ascii="Cambria" w:hAnsi="Cambria"/>
                <w:color w:val="000000" w:themeColor="text1"/>
                <w:shd w:val="clear" w:color="auto" w:fill="FFFFFF"/>
                <w:lang w:val="it-IT"/>
              </w:rPr>
              <w:t xml:space="preserve"> i </w:t>
            </w:r>
            <w:proofErr w:type="spellStart"/>
            <w:r w:rsidRPr="00977220">
              <w:rPr>
                <w:rFonts w:ascii="Cambria" w:hAnsi="Cambria"/>
                <w:color w:val="000000" w:themeColor="text1"/>
                <w:shd w:val="clear" w:color="auto" w:fill="FFFFFF"/>
                <w:lang w:val="it-IT"/>
              </w:rPr>
              <w:t>poučavanja</w:t>
            </w:r>
            <w:proofErr w:type="spellEnd"/>
            <w:r w:rsidRPr="00977220">
              <w:rPr>
                <w:rFonts w:ascii="Cambria" w:hAnsi="Cambria"/>
                <w:color w:val="000000" w:themeColor="text1"/>
                <w:shd w:val="clear" w:color="auto" w:fill="FFFFFF"/>
                <w:lang w:val="it-IT"/>
              </w:rPr>
              <w:t xml:space="preserve"> i </w:t>
            </w:r>
            <w:proofErr w:type="spellStart"/>
            <w:r w:rsidRPr="00977220">
              <w:rPr>
                <w:rFonts w:ascii="Cambria" w:hAnsi="Cambria"/>
                <w:color w:val="000000" w:themeColor="text1"/>
                <w:shd w:val="clear" w:color="auto" w:fill="FFFFFF"/>
                <w:lang w:val="it-IT"/>
              </w:rPr>
              <w:t>načinima</w:t>
            </w:r>
            <w:proofErr w:type="spellEnd"/>
            <w:r w:rsidRPr="00977220">
              <w:rPr>
                <w:rFonts w:ascii="Cambria" w:hAnsi="Cambria"/>
                <w:color w:val="000000" w:themeColor="text1"/>
                <w:shd w:val="clear" w:color="auto" w:fill="FFFFFF"/>
                <w:lang w:val="it-IT"/>
              </w:rPr>
              <w:t xml:space="preserve"> </w:t>
            </w:r>
            <w:proofErr w:type="spellStart"/>
            <w:r w:rsidRPr="00977220">
              <w:rPr>
                <w:rFonts w:ascii="Cambria" w:hAnsi="Cambria"/>
                <w:color w:val="000000" w:themeColor="text1"/>
                <w:shd w:val="clear" w:color="auto" w:fill="FFFFFF"/>
                <w:lang w:val="it-IT"/>
              </w:rPr>
              <w:t>vrednovanja</w:t>
            </w:r>
            <w:proofErr w:type="spellEnd"/>
            <w:r w:rsidRPr="00977220">
              <w:rPr>
                <w:rFonts w:ascii="Cambria" w:hAnsi="Cambria"/>
                <w:color w:val="000000" w:themeColor="text1"/>
                <w:lang w:val="it-IT"/>
              </w:rPr>
              <w:br/>
            </w:r>
            <w:r w:rsidRPr="00977220">
              <w:rPr>
                <w:rFonts w:ascii="Cambria" w:hAnsi="Cambria"/>
                <w:color w:val="000000" w:themeColor="text1"/>
                <w:shd w:val="clear" w:color="auto" w:fill="FFFFFF"/>
                <w:lang w:val="it-IT"/>
              </w:rPr>
              <w:t xml:space="preserve">- </w:t>
            </w:r>
            <w:proofErr w:type="spellStart"/>
            <w:r w:rsidRPr="00977220">
              <w:rPr>
                <w:rFonts w:ascii="Cambria" w:hAnsi="Cambria"/>
                <w:color w:val="000000" w:themeColor="text1"/>
                <w:shd w:val="clear" w:color="auto" w:fill="FFFFFF"/>
                <w:lang w:val="it-IT"/>
              </w:rPr>
              <w:t>studentskim</w:t>
            </w:r>
            <w:proofErr w:type="spellEnd"/>
            <w:r w:rsidRPr="00977220">
              <w:rPr>
                <w:rFonts w:ascii="Cambria" w:hAnsi="Cambria"/>
                <w:color w:val="000000" w:themeColor="text1"/>
                <w:shd w:val="clear" w:color="auto" w:fill="FFFFFF"/>
                <w:lang w:val="it-IT"/>
              </w:rPr>
              <w:t xml:space="preserve"> </w:t>
            </w:r>
            <w:proofErr w:type="spellStart"/>
            <w:r w:rsidRPr="00977220">
              <w:rPr>
                <w:rFonts w:ascii="Cambria" w:hAnsi="Cambria"/>
                <w:color w:val="000000" w:themeColor="text1"/>
                <w:shd w:val="clear" w:color="auto" w:fill="FFFFFF"/>
                <w:lang w:val="it-IT"/>
              </w:rPr>
              <w:t>obvezama</w:t>
            </w:r>
            <w:proofErr w:type="spellEnd"/>
          </w:p>
          <w:p w14:paraId="48FF4F2A" w14:textId="77777777" w:rsidR="00977220" w:rsidRPr="00977220" w:rsidRDefault="00977220" w:rsidP="00977220">
            <w:pPr>
              <w:spacing w:after="0" w:line="240" w:lineRule="auto"/>
              <w:jc w:val="both"/>
              <w:rPr>
                <w:rFonts w:ascii="Cambria" w:hAnsi="Cambria"/>
                <w:color w:val="000000" w:themeColor="text1"/>
                <w:lang w:val="it-IT"/>
              </w:rPr>
            </w:pPr>
            <w:r w:rsidRPr="00977220">
              <w:rPr>
                <w:rFonts w:ascii="Cambria" w:hAnsi="Cambria"/>
                <w:color w:val="000000" w:themeColor="text1"/>
                <w:shd w:val="clear" w:color="auto" w:fill="FFFFFF"/>
                <w:lang w:val="it-IT"/>
              </w:rPr>
              <w:t xml:space="preserve">- </w:t>
            </w:r>
            <w:proofErr w:type="spellStart"/>
            <w:r w:rsidRPr="00977220">
              <w:rPr>
                <w:rFonts w:ascii="Cambria" w:hAnsi="Cambria"/>
                <w:color w:val="000000" w:themeColor="text1"/>
                <w:shd w:val="clear" w:color="auto" w:fill="FFFFFF"/>
                <w:lang w:val="it-IT"/>
              </w:rPr>
              <w:t>dostupnoj</w:t>
            </w:r>
            <w:proofErr w:type="spellEnd"/>
            <w:r w:rsidRPr="00977220">
              <w:rPr>
                <w:rFonts w:ascii="Cambria" w:hAnsi="Cambria"/>
                <w:color w:val="000000" w:themeColor="text1"/>
                <w:shd w:val="clear" w:color="auto" w:fill="FFFFFF"/>
                <w:lang w:val="it-IT"/>
              </w:rPr>
              <w:t xml:space="preserve"> </w:t>
            </w:r>
            <w:proofErr w:type="spellStart"/>
            <w:r w:rsidRPr="00977220">
              <w:rPr>
                <w:rFonts w:ascii="Cambria" w:hAnsi="Cambria"/>
                <w:color w:val="000000" w:themeColor="text1"/>
                <w:shd w:val="clear" w:color="auto" w:fill="FFFFFF"/>
                <w:lang w:val="it-IT"/>
              </w:rPr>
              <w:t>literaturi</w:t>
            </w:r>
            <w:proofErr w:type="spellEnd"/>
            <w:r w:rsidRPr="00977220">
              <w:rPr>
                <w:rFonts w:ascii="Cambria" w:hAnsi="Cambria"/>
                <w:color w:val="000000" w:themeColor="text1"/>
                <w:shd w:val="clear" w:color="auto" w:fill="FFFFFF"/>
                <w:lang w:val="it-IT"/>
              </w:rPr>
              <w:t>.</w:t>
            </w:r>
          </w:p>
          <w:p w14:paraId="058CDE8B" w14:textId="441DA658" w:rsidR="00977220" w:rsidRPr="00977220" w:rsidRDefault="00977220" w:rsidP="00977220">
            <w:pPr>
              <w:spacing w:after="0" w:line="240" w:lineRule="auto"/>
              <w:jc w:val="both"/>
              <w:rPr>
                <w:rFonts w:ascii="Cambria" w:hAnsi="Cambria"/>
                <w:color w:val="000000" w:themeColor="text1"/>
                <w:lang w:val="it-IT"/>
              </w:rPr>
            </w:pPr>
            <w:r w:rsidRPr="00977220">
              <w:rPr>
                <w:rFonts w:ascii="Cambria" w:hAnsi="Cambria"/>
                <w:color w:val="000000" w:themeColor="text1"/>
                <w:shd w:val="clear" w:color="auto" w:fill="FFFFFF"/>
                <w:lang w:val="it-IT"/>
              </w:rPr>
              <w:t xml:space="preserve">O tome </w:t>
            </w:r>
            <w:proofErr w:type="spellStart"/>
            <w:r w:rsidRPr="00977220">
              <w:rPr>
                <w:rFonts w:ascii="Cambria" w:hAnsi="Cambria"/>
                <w:color w:val="000000" w:themeColor="text1"/>
                <w:shd w:val="clear" w:color="auto" w:fill="FFFFFF"/>
                <w:lang w:val="it-IT"/>
              </w:rPr>
              <w:t>će</w:t>
            </w:r>
            <w:proofErr w:type="spellEnd"/>
            <w:r w:rsidRPr="00977220">
              <w:rPr>
                <w:rFonts w:ascii="Cambria" w:hAnsi="Cambria"/>
                <w:color w:val="000000" w:themeColor="text1"/>
                <w:shd w:val="clear" w:color="auto" w:fill="FFFFFF"/>
                <w:lang w:val="it-IT"/>
              </w:rPr>
              <w:t xml:space="preserve"> </w:t>
            </w:r>
            <w:proofErr w:type="spellStart"/>
            <w:r w:rsidRPr="00977220">
              <w:rPr>
                <w:rFonts w:ascii="Cambria" w:hAnsi="Cambria"/>
                <w:color w:val="000000" w:themeColor="text1"/>
                <w:shd w:val="clear" w:color="auto" w:fill="FFFFFF"/>
                <w:lang w:val="it-IT"/>
              </w:rPr>
              <w:t>nositelji</w:t>
            </w:r>
            <w:r w:rsidR="00B857A8">
              <w:rPr>
                <w:rFonts w:ascii="Cambria" w:hAnsi="Cambria"/>
                <w:color w:val="000000" w:themeColor="text1"/>
                <w:shd w:val="clear" w:color="auto" w:fill="FFFFFF"/>
                <w:lang w:val="it-IT"/>
              </w:rPr>
              <w:t>ca</w:t>
            </w:r>
            <w:proofErr w:type="spellEnd"/>
            <w:r w:rsidRPr="00977220">
              <w:rPr>
                <w:rFonts w:ascii="Cambria" w:hAnsi="Cambria"/>
                <w:color w:val="000000" w:themeColor="text1"/>
                <w:shd w:val="clear" w:color="auto" w:fill="FFFFFF"/>
                <w:lang w:val="it-IT"/>
              </w:rPr>
              <w:t xml:space="preserve"> </w:t>
            </w:r>
            <w:proofErr w:type="spellStart"/>
            <w:r w:rsidRPr="00977220">
              <w:rPr>
                <w:rFonts w:ascii="Cambria" w:hAnsi="Cambria"/>
                <w:color w:val="000000" w:themeColor="text1"/>
                <w:shd w:val="clear" w:color="auto" w:fill="FFFFFF"/>
                <w:lang w:val="it-IT"/>
              </w:rPr>
              <w:t>kolegija</w:t>
            </w:r>
            <w:proofErr w:type="spellEnd"/>
            <w:r w:rsidRPr="00977220">
              <w:rPr>
                <w:rFonts w:ascii="Cambria" w:hAnsi="Cambria"/>
                <w:color w:val="000000" w:themeColor="text1"/>
                <w:shd w:val="clear" w:color="auto" w:fill="FFFFFF"/>
                <w:lang w:val="it-IT"/>
              </w:rPr>
              <w:t xml:space="preserve"> </w:t>
            </w:r>
            <w:proofErr w:type="spellStart"/>
            <w:r w:rsidRPr="00977220">
              <w:rPr>
                <w:rFonts w:ascii="Cambria" w:hAnsi="Cambria"/>
                <w:color w:val="000000" w:themeColor="text1"/>
                <w:shd w:val="clear" w:color="auto" w:fill="FFFFFF"/>
                <w:lang w:val="it-IT"/>
              </w:rPr>
              <w:t>obavijestiti</w:t>
            </w:r>
            <w:proofErr w:type="spellEnd"/>
            <w:r w:rsidRPr="00977220">
              <w:rPr>
                <w:rFonts w:ascii="Cambria" w:hAnsi="Cambria"/>
                <w:color w:val="000000" w:themeColor="text1"/>
                <w:shd w:val="clear" w:color="auto" w:fill="FFFFFF"/>
                <w:lang w:val="it-IT"/>
              </w:rPr>
              <w:t xml:space="preserve"> studente i </w:t>
            </w:r>
            <w:proofErr w:type="spellStart"/>
            <w:r w:rsidRPr="00977220">
              <w:rPr>
                <w:rFonts w:ascii="Cambria" w:hAnsi="Cambria"/>
                <w:color w:val="000000" w:themeColor="text1"/>
                <w:shd w:val="clear" w:color="auto" w:fill="FFFFFF"/>
                <w:lang w:val="it-IT"/>
              </w:rPr>
              <w:t>studentice</w:t>
            </w:r>
            <w:proofErr w:type="spellEnd"/>
            <w:r w:rsidRPr="00977220">
              <w:rPr>
                <w:rFonts w:ascii="Cambria" w:hAnsi="Cambria"/>
                <w:color w:val="000000" w:themeColor="text1"/>
                <w:lang w:val="it-IT"/>
              </w:rPr>
              <w:t xml:space="preserve"> </w:t>
            </w:r>
            <w:proofErr w:type="spellStart"/>
            <w:r w:rsidRPr="00977220">
              <w:rPr>
                <w:rFonts w:ascii="Cambria" w:hAnsi="Cambria"/>
                <w:color w:val="000000" w:themeColor="text1"/>
                <w:shd w:val="clear" w:color="auto" w:fill="FFFFFF"/>
                <w:lang w:val="it-IT"/>
              </w:rPr>
              <w:t>kad</w:t>
            </w:r>
            <w:proofErr w:type="spellEnd"/>
            <w:r w:rsidRPr="00977220">
              <w:rPr>
                <w:rFonts w:ascii="Cambria" w:hAnsi="Cambria"/>
                <w:color w:val="000000" w:themeColor="text1"/>
                <w:shd w:val="clear" w:color="auto" w:fill="FFFFFF"/>
                <w:lang w:val="it-IT"/>
              </w:rPr>
              <w:t xml:space="preserve"> se </w:t>
            </w:r>
            <w:proofErr w:type="spellStart"/>
            <w:r w:rsidRPr="00977220">
              <w:rPr>
                <w:rFonts w:ascii="Cambria" w:hAnsi="Cambria"/>
                <w:color w:val="000000" w:themeColor="text1"/>
                <w:shd w:val="clear" w:color="auto" w:fill="FFFFFF"/>
                <w:lang w:val="it-IT"/>
              </w:rPr>
              <w:t>nastava</w:t>
            </w:r>
            <w:proofErr w:type="spellEnd"/>
            <w:r w:rsidRPr="00977220">
              <w:rPr>
                <w:rFonts w:ascii="Cambria" w:hAnsi="Cambria"/>
                <w:color w:val="000000" w:themeColor="text1"/>
                <w:shd w:val="clear" w:color="auto" w:fill="FFFFFF"/>
                <w:lang w:val="it-IT"/>
              </w:rPr>
              <w:t xml:space="preserve"> </w:t>
            </w:r>
            <w:proofErr w:type="spellStart"/>
            <w:r w:rsidRPr="00977220">
              <w:rPr>
                <w:rFonts w:ascii="Cambria" w:hAnsi="Cambria"/>
                <w:color w:val="000000" w:themeColor="text1"/>
                <w:shd w:val="clear" w:color="auto" w:fill="FFFFFF"/>
                <w:lang w:val="it-IT"/>
              </w:rPr>
              <w:t>na</w:t>
            </w:r>
            <w:proofErr w:type="spellEnd"/>
            <w:r w:rsidRPr="00977220">
              <w:rPr>
                <w:rFonts w:ascii="Cambria" w:hAnsi="Cambria"/>
                <w:color w:val="000000" w:themeColor="text1"/>
                <w:shd w:val="clear" w:color="auto" w:fill="FFFFFF"/>
                <w:lang w:val="it-IT"/>
              </w:rPr>
              <w:t xml:space="preserve"> </w:t>
            </w:r>
            <w:proofErr w:type="spellStart"/>
            <w:r w:rsidRPr="00977220">
              <w:rPr>
                <w:rFonts w:ascii="Cambria" w:hAnsi="Cambria"/>
                <w:color w:val="000000" w:themeColor="text1"/>
                <w:shd w:val="clear" w:color="auto" w:fill="FFFFFF"/>
                <w:lang w:val="it-IT"/>
              </w:rPr>
              <w:t>daljinu</w:t>
            </w:r>
            <w:proofErr w:type="spellEnd"/>
            <w:r w:rsidRPr="00977220">
              <w:rPr>
                <w:rFonts w:ascii="Cambria" w:hAnsi="Cambria"/>
                <w:color w:val="000000" w:themeColor="text1"/>
                <w:shd w:val="clear" w:color="auto" w:fill="FFFFFF"/>
                <w:lang w:val="it-IT"/>
              </w:rPr>
              <w:t xml:space="preserve"> </w:t>
            </w:r>
            <w:proofErr w:type="spellStart"/>
            <w:r w:rsidRPr="00977220">
              <w:rPr>
                <w:rFonts w:ascii="Cambria" w:hAnsi="Cambria"/>
                <w:color w:val="000000" w:themeColor="text1"/>
                <w:shd w:val="clear" w:color="auto" w:fill="FFFFFF"/>
                <w:lang w:val="it-IT"/>
              </w:rPr>
              <w:t>počne</w:t>
            </w:r>
            <w:proofErr w:type="spellEnd"/>
            <w:r w:rsidRPr="00977220">
              <w:rPr>
                <w:rFonts w:ascii="Cambria" w:hAnsi="Cambria"/>
                <w:color w:val="000000" w:themeColor="text1"/>
                <w:shd w:val="clear" w:color="auto" w:fill="FFFFFF"/>
                <w:lang w:val="it-IT"/>
              </w:rPr>
              <w:t xml:space="preserve"> </w:t>
            </w:r>
            <w:proofErr w:type="spellStart"/>
            <w:r w:rsidRPr="00977220">
              <w:rPr>
                <w:rFonts w:ascii="Cambria" w:hAnsi="Cambria"/>
                <w:color w:val="000000" w:themeColor="text1"/>
                <w:shd w:val="clear" w:color="auto" w:fill="FFFFFF"/>
                <w:lang w:val="it-IT"/>
              </w:rPr>
              <w:t>održavati</w:t>
            </w:r>
            <w:proofErr w:type="spellEnd"/>
            <w:r w:rsidRPr="00977220">
              <w:rPr>
                <w:rFonts w:ascii="Cambria" w:hAnsi="Cambria"/>
                <w:color w:val="000000" w:themeColor="text1"/>
                <w:shd w:val="clear" w:color="auto" w:fill="FFFFFF"/>
                <w:lang w:val="it-IT"/>
              </w:rPr>
              <w:t>.</w:t>
            </w:r>
          </w:p>
          <w:p w14:paraId="08423DA3" w14:textId="77777777" w:rsidR="00977220" w:rsidRPr="00977220" w:rsidRDefault="00977220" w:rsidP="00977220">
            <w:pPr>
              <w:spacing w:after="0" w:line="240" w:lineRule="auto"/>
              <w:jc w:val="both"/>
              <w:rPr>
                <w:rFonts w:ascii="Cambria" w:hAnsi="Cambria"/>
                <w:color w:val="000000" w:themeColor="text1"/>
              </w:rPr>
            </w:pPr>
            <w:proofErr w:type="spellStart"/>
            <w:r w:rsidRPr="00977220">
              <w:rPr>
                <w:rFonts w:ascii="Cambria" w:hAnsi="Cambria"/>
                <w:color w:val="000000" w:themeColor="text1"/>
                <w:shd w:val="clear" w:color="auto" w:fill="FFFFFF"/>
              </w:rPr>
              <w:t>Ishodi</w:t>
            </w:r>
            <w:proofErr w:type="spellEnd"/>
            <w:r w:rsidRPr="00977220">
              <w:rPr>
                <w:rFonts w:ascii="Cambria" w:hAnsi="Cambria"/>
                <w:color w:val="000000" w:themeColor="text1"/>
                <w:shd w:val="clear" w:color="auto" w:fill="FFFFFF"/>
              </w:rPr>
              <w:t xml:space="preserve"> </w:t>
            </w:r>
            <w:proofErr w:type="spellStart"/>
            <w:r w:rsidRPr="00977220">
              <w:rPr>
                <w:rFonts w:ascii="Cambria" w:hAnsi="Cambria"/>
                <w:color w:val="000000" w:themeColor="text1"/>
                <w:shd w:val="clear" w:color="auto" w:fill="FFFFFF"/>
              </w:rPr>
              <w:t>učenja</w:t>
            </w:r>
            <w:proofErr w:type="spellEnd"/>
            <w:r w:rsidRPr="00977220">
              <w:rPr>
                <w:rFonts w:ascii="Cambria" w:hAnsi="Cambria"/>
                <w:color w:val="000000" w:themeColor="text1"/>
                <w:shd w:val="clear" w:color="auto" w:fill="FFFFFF"/>
              </w:rPr>
              <w:t xml:space="preserve"> </w:t>
            </w:r>
            <w:proofErr w:type="spellStart"/>
            <w:proofErr w:type="gramStart"/>
            <w:r w:rsidRPr="00977220">
              <w:rPr>
                <w:rFonts w:ascii="Cambria" w:hAnsi="Cambria"/>
                <w:color w:val="000000" w:themeColor="text1"/>
                <w:shd w:val="clear" w:color="auto" w:fill="FFFFFF"/>
              </w:rPr>
              <w:t>ostaju</w:t>
            </w:r>
            <w:proofErr w:type="spellEnd"/>
            <w:r w:rsidRPr="00977220">
              <w:rPr>
                <w:rFonts w:ascii="Cambria" w:hAnsi="Cambria"/>
                <w:color w:val="000000" w:themeColor="text1"/>
                <w:shd w:val="clear" w:color="auto" w:fill="FFFFFF"/>
              </w:rPr>
              <w:t xml:space="preserve">  </w:t>
            </w:r>
            <w:proofErr w:type="spellStart"/>
            <w:r w:rsidRPr="00977220">
              <w:rPr>
                <w:rFonts w:ascii="Cambria" w:hAnsi="Cambria"/>
                <w:color w:val="000000" w:themeColor="text1"/>
                <w:shd w:val="clear" w:color="auto" w:fill="FFFFFF"/>
              </w:rPr>
              <w:t>nepromijenjeni</w:t>
            </w:r>
            <w:proofErr w:type="spellEnd"/>
            <w:proofErr w:type="gramEnd"/>
            <w:r w:rsidRPr="00977220">
              <w:rPr>
                <w:rFonts w:ascii="Cambria" w:hAnsi="Cambria"/>
                <w:color w:val="000000" w:themeColor="text1"/>
                <w:shd w:val="clear" w:color="auto" w:fill="FFFFFF"/>
              </w:rPr>
              <w:t>.</w:t>
            </w:r>
          </w:p>
        </w:tc>
      </w:tr>
      <w:tr w:rsidR="00977220" w:rsidRPr="00D0399C" w14:paraId="0825EA50" w14:textId="77777777" w:rsidTr="00D74364">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EFEED86" w14:textId="77777777" w:rsidR="00977220" w:rsidRPr="00977220" w:rsidRDefault="00977220" w:rsidP="00977220">
            <w:pPr>
              <w:spacing w:after="0" w:line="240" w:lineRule="auto"/>
              <w:rPr>
                <w:rFonts w:ascii="Cambria" w:hAnsi="Cambria"/>
                <w:color w:val="000000" w:themeColor="text1"/>
                <w:lang w:val="it-IT"/>
              </w:rPr>
            </w:pPr>
            <w:proofErr w:type="spellStart"/>
            <w:r w:rsidRPr="00977220">
              <w:rPr>
                <w:rFonts w:ascii="Cambria" w:hAnsi="Cambria"/>
                <w:color w:val="000000" w:themeColor="text1"/>
                <w:lang w:val="it-IT"/>
              </w:rPr>
              <w:t>Literatura</w:t>
            </w:r>
            <w:proofErr w:type="spellEnd"/>
          </w:p>
        </w:tc>
        <w:tc>
          <w:tcPr>
            <w:tcW w:w="671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4EB23FD" w14:textId="77777777" w:rsidR="00977220" w:rsidRPr="00977220" w:rsidRDefault="00977220" w:rsidP="00977220">
            <w:pPr>
              <w:pStyle w:val="StandardWeb"/>
              <w:spacing w:after="0" w:line="240" w:lineRule="auto"/>
              <w:jc w:val="both"/>
              <w:rPr>
                <w:rFonts w:ascii="Cambria" w:hAnsi="Cambria"/>
                <w:sz w:val="22"/>
                <w:szCs w:val="22"/>
              </w:rPr>
            </w:pPr>
            <w:r w:rsidRPr="00977220">
              <w:rPr>
                <w:rFonts w:ascii="Cambria" w:hAnsi="Cambria"/>
                <w:sz w:val="22"/>
                <w:szCs w:val="22"/>
              </w:rPr>
              <w:t>Obvezna:</w:t>
            </w:r>
          </w:p>
          <w:p w14:paraId="7BD099D7" w14:textId="77777777" w:rsidR="00977220" w:rsidRPr="00977220" w:rsidRDefault="00977220" w:rsidP="00A034E3">
            <w:pPr>
              <w:pStyle w:val="Odlomakpopisa"/>
              <w:numPr>
                <w:ilvl w:val="0"/>
                <w:numId w:val="100"/>
              </w:numPr>
              <w:spacing w:after="0" w:line="240" w:lineRule="auto"/>
              <w:rPr>
                <w:rFonts w:ascii="Cambria" w:hAnsi="Cambria"/>
                <w:lang w:val="it-IT"/>
              </w:rPr>
            </w:pPr>
            <w:r w:rsidRPr="00977220">
              <w:rPr>
                <w:rFonts w:ascii="Cambria" w:hAnsi="Cambria"/>
                <w:lang w:val="it-IT"/>
              </w:rPr>
              <w:t xml:space="preserve">Contento, S. (a cura di) (2010), Crescere nel bilinguismo. Aspetti cognitivi, linguistici ed emotivi, Roma, </w:t>
            </w:r>
            <w:proofErr w:type="gramStart"/>
            <w:r w:rsidRPr="00977220">
              <w:rPr>
                <w:rFonts w:ascii="Cambria" w:hAnsi="Cambria"/>
                <w:lang w:val="it-IT"/>
              </w:rPr>
              <w:t>Carocci  Editore</w:t>
            </w:r>
            <w:proofErr w:type="gramEnd"/>
            <w:r w:rsidRPr="00977220">
              <w:rPr>
                <w:rFonts w:ascii="Cambria" w:hAnsi="Cambria"/>
                <w:lang w:val="it-IT"/>
              </w:rPr>
              <w:t>.</w:t>
            </w:r>
          </w:p>
          <w:p w14:paraId="10901612" w14:textId="3F75CEEB" w:rsidR="00977220" w:rsidRPr="00B857A8" w:rsidRDefault="00977220" w:rsidP="00A034E3">
            <w:pPr>
              <w:pStyle w:val="Odlomakpopisa"/>
              <w:numPr>
                <w:ilvl w:val="0"/>
                <w:numId w:val="100"/>
              </w:numPr>
              <w:spacing w:after="0" w:line="240" w:lineRule="auto"/>
              <w:rPr>
                <w:rFonts w:ascii="Cambria" w:hAnsi="Cambria"/>
                <w:lang w:val="it-IT"/>
              </w:rPr>
            </w:pPr>
            <w:proofErr w:type="spellStart"/>
            <w:r w:rsidRPr="00977220">
              <w:rPr>
                <w:rFonts w:ascii="Cambria" w:hAnsi="Cambria"/>
                <w:lang w:val="it-IT"/>
              </w:rPr>
              <w:t>Abdelilah</w:t>
            </w:r>
            <w:proofErr w:type="spellEnd"/>
            <w:r w:rsidRPr="00977220">
              <w:rPr>
                <w:rFonts w:ascii="Cambria" w:hAnsi="Cambria"/>
                <w:lang w:val="it-IT"/>
              </w:rPr>
              <w:t xml:space="preserve"> Bauer, B. (2008), Il bambino bilingue. Crescere parlando più di una lingua, Milano, Cortina Raffaello.</w:t>
            </w:r>
          </w:p>
          <w:p w14:paraId="02AB5927" w14:textId="77777777" w:rsidR="00977220" w:rsidRPr="00977220" w:rsidRDefault="00977220" w:rsidP="00977220">
            <w:pPr>
              <w:spacing w:after="0" w:line="240" w:lineRule="auto"/>
              <w:rPr>
                <w:rFonts w:ascii="Cambria" w:hAnsi="Cambria"/>
                <w:bCs/>
              </w:rPr>
            </w:pPr>
            <w:proofErr w:type="spellStart"/>
            <w:r w:rsidRPr="00977220">
              <w:rPr>
                <w:rFonts w:ascii="Cambria" w:hAnsi="Cambria"/>
                <w:bCs/>
              </w:rPr>
              <w:t>Izborna</w:t>
            </w:r>
            <w:proofErr w:type="spellEnd"/>
            <w:r w:rsidRPr="00977220">
              <w:rPr>
                <w:rFonts w:ascii="Cambria" w:hAnsi="Cambria"/>
                <w:bCs/>
              </w:rPr>
              <w:t>:</w:t>
            </w:r>
          </w:p>
          <w:p w14:paraId="0287F1E2" w14:textId="77777777" w:rsidR="00977220" w:rsidRPr="00977220" w:rsidRDefault="00977220" w:rsidP="00A034E3">
            <w:pPr>
              <w:pStyle w:val="Odlomakpopisa"/>
              <w:numPr>
                <w:ilvl w:val="0"/>
                <w:numId w:val="101"/>
              </w:numPr>
              <w:spacing w:after="0" w:line="240" w:lineRule="auto"/>
              <w:rPr>
                <w:rFonts w:ascii="Cambria" w:hAnsi="Cambria"/>
              </w:rPr>
            </w:pPr>
            <w:proofErr w:type="spellStart"/>
            <w:r w:rsidRPr="00977220">
              <w:rPr>
                <w:rFonts w:ascii="Cambria" w:hAnsi="Cambria"/>
              </w:rPr>
              <w:t>Arnberg</w:t>
            </w:r>
            <w:proofErr w:type="spellEnd"/>
            <w:r w:rsidRPr="00977220">
              <w:rPr>
                <w:rFonts w:ascii="Cambria" w:hAnsi="Cambria"/>
              </w:rPr>
              <w:t xml:space="preserve">, L. (1987), </w:t>
            </w:r>
            <w:proofErr w:type="spellStart"/>
            <w:r w:rsidRPr="00977220">
              <w:rPr>
                <w:rFonts w:ascii="Cambria" w:hAnsi="Cambria"/>
              </w:rPr>
              <w:t>Raising</w:t>
            </w:r>
            <w:proofErr w:type="spellEnd"/>
            <w:r w:rsidRPr="00977220">
              <w:rPr>
                <w:rFonts w:ascii="Cambria" w:hAnsi="Cambria"/>
              </w:rPr>
              <w:t xml:space="preserve"> </w:t>
            </w:r>
            <w:proofErr w:type="spellStart"/>
            <w:r w:rsidRPr="00977220">
              <w:rPr>
                <w:rFonts w:ascii="Cambria" w:hAnsi="Cambria"/>
              </w:rPr>
              <w:t>Children</w:t>
            </w:r>
            <w:proofErr w:type="spellEnd"/>
            <w:r w:rsidRPr="00977220">
              <w:rPr>
                <w:rFonts w:ascii="Cambria" w:hAnsi="Cambria"/>
              </w:rPr>
              <w:t xml:space="preserve"> </w:t>
            </w:r>
            <w:proofErr w:type="spellStart"/>
            <w:r w:rsidRPr="00977220">
              <w:rPr>
                <w:rFonts w:ascii="Cambria" w:hAnsi="Cambria"/>
              </w:rPr>
              <w:t>Bilingually</w:t>
            </w:r>
            <w:proofErr w:type="spellEnd"/>
            <w:r w:rsidRPr="00977220">
              <w:rPr>
                <w:rFonts w:ascii="Cambria" w:hAnsi="Cambria"/>
              </w:rPr>
              <w:t xml:space="preserve">: </w:t>
            </w:r>
            <w:proofErr w:type="spellStart"/>
            <w:r w:rsidRPr="00977220">
              <w:rPr>
                <w:rFonts w:ascii="Cambria" w:hAnsi="Cambria"/>
              </w:rPr>
              <w:t>the</w:t>
            </w:r>
            <w:proofErr w:type="spellEnd"/>
            <w:r w:rsidRPr="00977220">
              <w:rPr>
                <w:rFonts w:ascii="Cambria" w:hAnsi="Cambria"/>
              </w:rPr>
              <w:t xml:space="preserve"> pre-</w:t>
            </w:r>
            <w:proofErr w:type="spellStart"/>
            <w:r w:rsidRPr="00977220">
              <w:rPr>
                <w:rFonts w:ascii="Cambria" w:hAnsi="Cambria"/>
              </w:rPr>
              <w:t>school</w:t>
            </w:r>
            <w:proofErr w:type="spellEnd"/>
            <w:r w:rsidRPr="00977220">
              <w:rPr>
                <w:rFonts w:ascii="Cambria" w:hAnsi="Cambria"/>
              </w:rPr>
              <w:t xml:space="preserve"> </w:t>
            </w:r>
            <w:proofErr w:type="spellStart"/>
            <w:r w:rsidRPr="00977220">
              <w:rPr>
                <w:rFonts w:ascii="Cambria" w:hAnsi="Cambria"/>
              </w:rPr>
              <w:t>years</w:t>
            </w:r>
            <w:proofErr w:type="spellEnd"/>
            <w:r w:rsidRPr="00977220">
              <w:rPr>
                <w:rFonts w:ascii="Cambria" w:hAnsi="Cambria"/>
              </w:rPr>
              <w:t xml:space="preserve">, </w:t>
            </w:r>
            <w:proofErr w:type="spellStart"/>
            <w:r w:rsidRPr="00977220">
              <w:rPr>
                <w:rFonts w:ascii="Cambria" w:hAnsi="Cambria"/>
              </w:rPr>
              <w:t>Clevedon</w:t>
            </w:r>
            <w:proofErr w:type="spellEnd"/>
            <w:r w:rsidRPr="00977220">
              <w:rPr>
                <w:rFonts w:ascii="Cambria" w:hAnsi="Cambria"/>
              </w:rPr>
              <w:t xml:space="preserve">, </w:t>
            </w:r>
            <w:proofErr w:type="spellStart"/>
            <w:r w:rsidRPr="00977220">
              <w:rPr>
                <w:rFonts w:ascii="Cambria" w:hAnsi="Cambria"/>
              </w:rPr>
              <w:t>Multilingual</w:t>
            </w:r>
            <w:proofErr w:type="spellEnd"/>
            <w:r w:rsidRPr="00977220">
              <w:rPr>
                <w:rFonts w:ascii="Cambria" w:hAnsi="Cambria"/>
              </w:rPr>
              <w:t xml:space="preserve"> </w:t>
            </w:r>
            <w:proofErr w:type="spellStart"/>
            <w:r w:rsidRPr="00977220">
              <w:rPr>
                <w:rFonts w:ascii="Cambria" w:hAnsi="Cambria"/>
              </w:rPr>
              <w:t>Matters</w:t>
            </w:r>
            <w:proofErr w:type="spellEnd"/>
            <w:r w:rsidRPr="00977220">
              <w:rPr>
                <w:rFonts w:ascii="Cambria" w:hAnsi="Cambria"/>
              </w:rPr>
              <w:t>.</w:t>
            </w:r>
          </w:p>
          <w:p w14:paraId="34570DDF" w14:textId="77777777" w:rsidR="00977220" w:rsidRPr="00977220" w:rsidRDefault="00977220" w:rsidP="00A034E3">
            <w:pPr>
              <w:pStyle w:val="Odlomakpopisa"/>
              <w:numPr>
                <w:ilvl w:val="0"/>
                <w:numId w:val="101"/>
              </w:numPr>
              <w:spacing w:after="0" w:line="240" w:lineRule="auto"/>
              <w:rPr>
                <w:rFonts w:ascii="Cambria" w:hAnsi="Cambria"/>
              </w:rPr>
            </w:pPr>
            <w:r w:rsidRPr="00977220">
              <w:rPr>
                <w:rFonts w:ascii="Cambria" w:hAnsi="Cambria"/>
              </w:rPr>
              <w:lastRenderedPageBreak/>
              <w:t xml:space="preserve">Baker, C. (2000), </w:t>
            </w:r>
            <w:proofErr w:type="spellStart"/>
            <w:r w:rsidRPr="00977220">
              <w:rPr>
                <w:rFonts w:ascii="Cambria" w:hAnsi="Cambria"/>
              </w:rPr>
              <w:t>The</w:t>
            </w:r>
            <w:proofErr w:type="spellEnd"/>
            <w:r w:rsidRPr="00977220">
              <w:rPr>
                <w:rFonts w:ascii="Cambria" w:hAnsi="Cambria"/>
              </w:rPr>
              <w:t xml:space="preserve"> Care </w:t>
            </w:r>
            <w:proofErr w:type="spellStart"/>
            <w:r w:rsidRPr="00977220">
              <w:rPr>
                <w:rFonts w:ascii="Cambria" w:hAnsi="Cambria"/>
              </w:rPr>
              <w:t>and</w:t>
            </w:r>
            <w:proofErr w:type="spellEnd"/>
            <w:r w:rsidRPr="00977220">
              <w:rPr>
                <w:rFonts w:ascii="Cambria" w:hAnsi="Cambria"/>
              </w:rPr>
              <w:t xml:space="preserve"> </w:t>
            </w:r>
            <w:proofErr w:type="spellStart"/>
            <w:r w:rsidRPr="00977220">
              <w:rPr>
                <w:rFonts w:ascii="Cambria" w:hAnsi="Cambria"/>
              </w:rPr>
              <w:t>Education</w:t>
            </w:r>
            <w:proofErr w:type="spellEnd"/>
            <w:r w:rsidRPr="00977220">
              <w:rPr>
                <w:rFonts w:ascii="Cambria" w:hAnsi="Cambria"/>
              </w:rPr>
              <w:t xml:space="preserve"> </w:t>
            </w:r>
            <w:proofErr w:type="spellStart"/>
            <w:r w:rsidRPr="00977220">
              <w:rPr>
                <w:rFonts w:ascii="Cambria" w:hAnsi="Cambria"/>
              </w:rPr>
              <w:t>of</w:t>
            </w:r>
            <w:proofErr w:type="spellEnd"/>
            <w:r w:rsidRPr="00977220">
              <w:rPr>
                <w:rFonts w:ascii="Cambria" w:hAnsi="Cambria"/>
              </w:rPr>
              <w:t xml:space="preserve"> Young </w:t>
            </w:r>
            <w:proofErr w:type="spellStart"/>
            <w:r w:rsidRPr="00977220">
              <w:rPr>
                <w:rFonts w:ascii="Cambria" w:hAnsi="Cambria"/>
              </w:rPr>
              <w:t>Bilinguals</w:t>
            </w:r>
            <w:proofErr w:type="spellEnd"/>
            <w:r w:rsidRPr="00977220">
              <w:rPr>
                <w:rFonts w:ascii="Cambria" w:hAnsi="Cambria"/>
              </w:rPr>
              <w:t xml:space="preserve">, </w:t>
            </w:r>
            <w:proofErr w:type="spellStart"/>
            <w:r w:rsidRPr="00977220">
              <w:rPr>
                <w:rFonts w:ascii="Cambria" w:hAnsi="Cambria"/>
              </w:rPr>
              <w:t>Clevedon</w:t>
            </w:r>
            <w:proofErr w:type="spellEnd"/>
            <w:r w:rsidRPr="00977220">
              <w:rPr>
                <w:rFonts w:ascii="Cambria" w:hAnsi="Cambria"/>
              </w:rPr>
              <w:t xml:space="preserve">, </w:t>
            </w:r>
            <w:proofErr w:type="spellStart"/>
            <w:r w:rsidRPr="00977220">
              <w:rPr>
                <w:rFonts w:ascii="Cambria" w:hAnsi="Cambria"/>
              </w:rPr>
              <w:t>Multilingual</w:t>
            </w:r>
            <w:proofErr w:type="spellEnd"/>
            <w:r w:rsidRPr="00977220">
              <w:rPr>
                <w:rFonts w:ascii="Cambria" w:hAnsi="Cambria"/>
              </w:rPr>
              <w:t xml:space="preserve"> </w:t>
            </w:r>
            <w:proofErr w:type="spellStart"/>
            <w:r w:rsidRPr="00977220">
              <w:rPr>
                <w:rFonts w:ascii="Cambria" w:hAnsi="Cambria"/>
              </w:rPr>
              <w:t>Matters</w:t>
            </w:r>
            <w:proofErr w:type="spellEnd"/>
            <w:r w:rsidRPr="00977220">
              <w:rPr>
                <w:rFonts w:ascii="Cambria" w:hAnsi="Cambria"/>
              </w:rPr>
              <w:t>.</w:t>
            </w:r>
          </w:p>
          <w:p w14:paraId="0ABBF947" w14:textId="77777777" w:rsidR="00977220" w:rsidRPr="00977220" w:rsidRDefault="00977220" w:rsidP="00A034E3">
            <w:pPr>
              <w:pStyle w:val="Odlomakpopisa"/>
              <w:numPr>
                <w:ilvl w:val="0"/>
                <w:numId w:val="101"/>
              </w:numPr>
              <w:spacing w:after="0" w:line="240" w:lineRule="auto"/>
              <w:rPr>
                <w:rFonts w:ascii="Cambria" w:hAnsi="Cambria"/>
              </w:rPr>
            </w:pPr>
            <w:r w:rsidRPr="00977220">
              <w:rPr>
                <w:rFonts w:ascii="Cambria" w:hAnsi="Cambria"/>
              </w:rPr>
              <w:t xml:space="preserve">Baker, C. (2006), </w:t>
            </w:r>
            <w:proofErr w:type="spellStart"/>
            <w:r w:rsidRPr="00977220">
              <w:rPr>
                <w:rFonts w:ascii="Cambria" w:hAnsi="Cambria"/>
              </w:rPr>
              <w:t>Foundations</w:t>
            </w:r>
            <w:proofErr w:type="spellEnd"/>
            <w:r w:rsidRPr="00977220">
              <w:rPr>
                <w:rFonts w:ascii="Cambria" w:hAnsi="Cambria"/>
              </w:rPr>
              <w:t xml:space="preserve"> </w:t>
            </w:r>
            <w:proofErr w:type="spellStart"/>
            <w:r w:rsidRPr="00977220">
              <w:rPr>
                <w:rFonts w:ascii="Cambria" w:hAnsi="Cambria"/>
              </w:rPr>
              <w:t>of</w:t>
            </w:r>
            <w:proofErr w:type="spellEnd"/>
            <w:r w:rsidRPr="00977220">
              <w:rPr>
                <w:rFonts w:ascii="Cambria" w:hAnsi="Cambria"/>
              </w:rPr>
              <w:t xml:space="preserve"> </w:t>
            </w:r>
            <w:proofErr w:type="spellStart"/>
            <w:r w:rsidRPr="00977220">
              <w:rPr>
                <w:rFonts w:ascii="Cambria" w:hAnsi="Cambria"/>
              </w:rPr>
              <w:t>Bilingual</w:t>
            </w:r>
            <w:proofErr w:type="spellEnd"/>
            <w:r w:rsidRPr="00977220">
              <w:rPr>
                <w:rFonts w:ascii="Cambria" w:hAnsi="Cambria"/>
              </w:rPr>
              <w:t xml:space="preserve"> </w:t>
            </w:r>
            <w:proofErr w:type="spellStart"/>
            <w:r w:rsidRPr="00977220">
              <w:rPr>
                <w:rFonts w:ascii="Cambria" w:hAnsi="Cambria"/>
              </w:rPr>
              <w:t>Education</w:t>
            </w:r>
            <w:proofErr w:type="spellEnd"/>
            <w:r w:rsidRPr="00977220">
              <w:rPr>
                <w:rFonts w:ascii="Cambria" w:hAnsi="Cambria"/>
              </w:rPr>
              <w:t xml:space="preserve"> </w:t>
            </w:r>
            <w:proofErr w:type="spellStart"/>
            <w:r w:rsidRPr="00977220">
              <w:rPr>
                <w:rFonts w:ascii="Cambria" w:hAnsi="Cambria"/>
              </w:rPr>
              <w:t>and</w:t>
            </w:r>
            <w:proofErr w:type="spellEnd"/>
            <w:r w:rsidRPr="00977220">
              <w:rPr>
                <w:rFonts w:ascii="Cambria" w:hAnsi="Cambria"/>
              </w:rPr>
              <w:t xml:space="preserve"> </w:t>
            </w:r>
            <w:proofErr w:type="spellStart"/>
            <w:r w:rsidRPr="00977220">
              <w:rPr>
                <w:rFonts w:ascii="Cambria" w:hAnsi="Cambria"/>
              </w:rPr>
              <w:t>Bilingualism</w:t>
            </w:r>
            <w:proofErr w:type="spellEnd"/>
            <w:r w:rsidRPr="00977220">
              <w:rPr>
                <w:rFonts w:ascii="Cambria" w:hAnsi="Cambria"/>
              </w:rPr>
              <w:t xml:space="preserve">, Bristol, </w:t>
            </w:r>
            <w:proofErr w:type="spellStart"/>
            <w:r w:rsidRPr="00977220">
              <w:rPr>
                <w:rFonts w:ascii="Cambria" w:hAnsi="Cambria"/>
              </w:rPr>
              <w:t>Multilingual</w:t>
            </w:r>
            <w:proofErr w:type="spellEnd"/>
            <w:r w:rsidRPr="00977220">
              <w:rPr>
                <w:rFonts w:ascii="Cambria" w:hAnsi="Cambria"/>
              </w:rPr>
              <w:t xml:space="preserve"> </w:t>
            </w:r>
            <w:proofErr w:type="spellStart"/>
            <w:r w:rsidRPr="00977220">
              <w:rPr>
                <w:rFonts w:ascii="Cambria" w:hAnsi="Cambria"/>
              </w:rPr>
              <w:t>Matters</w:t>
            </w:r>
            <w:proofErr w:type="spellEnd"/>
            <w:r w:rsidRPr="00977220">
              <w:rPr>
                <w:rFonts w:ascii="Cambria" w:hAnsi="Cambria"/>
              </w:rPr>
              <w:t>.</w:t>
            </w:r>
          </w:p>
          <w:p w14:paraId="6856DFBF" w14:textId="77777777" w:rsidR="00977220" w:rsidRPr="00977220" w:rsidRDefault="00977220" w:rsidP="00A034E3">
            <w:pPr>
              <w:pStyle w:val="Odlomakpopisa"/>
              <w:numPr>
                <w:ilvl w:val="0"/>
                <w:numId w:val="101"/>
              </w:numPr>
              <w:spacing w:after="0" w:line="240" w:lineRule="auto"/>
              <w:rPr>
                <w:rFonts w:ascii="Cambria" w:hAnsi="Cambria"/>
              </w:rPr>
            </w:pPr>
            <w:r w:rsidRPr="00977220">
              <w:rPr>
                <w:rFonts w:ascii="Cambria" w:hAnsi="Cambria"/>
              </w:rPr>
              <w:t xml:space="preserve">Baker, C. (2007), A </w:t>
            </w:r>
            <w:proofErr w:type="spellStart"/>
            <w:r w:rsidRPr="00977220">
              <w:rPr>
                <w:rFonts w:ascii="Cambria" w:hAnsi="Cambria"/>
              </w:rPr>
              <w:t>parents</w:t>
            </w:r>
            <w:proofErr w:type="spellEnd"/>
            <w:r w:rsidRPr="00977220">
              <w:rPr>
                <w:rFonts w:ascii="Cambria" w:hAnsi="Cambria"/>
              </w:rPr>
              <w:t xml:space="preserve">' </w:t>
            </w:r>
            <w:proofErr w:type="spellStart"/>
            <w:r w:rsidRPr="00977220">
              <w:rPr>
                <w:rFonts w:ascii="Cambria" w:hAnsi="Cambria"/>
              </w:rPr>
              <w:t>and</w:t>
            </w:r>
            <w:proofErr w:type="spellEnd"/>
            <w:r w:rsidRPr="00977220">
              <w:rPr>
                <w:rFonts w:ascii="Cambria" w:hAnsi="Cambria"/>
              </w:rPr>
              <w:t xml:space="preserve"> </w:t>
            </w:r>
            <w:proofErr w:type="spellStart"/>
            <w:r w:rsidRPr="00977220">
              <w:rPr>
                <w:rFonts w:ascii="Cambria" w:hAnsi="Cambria"/>
              </w:rPr>
              <w:t>teachers</w:t>
            </w:r>
            <w:proofErr w:type="spellEnd"/>
            <w:r w:rsidRPr="00977220">
              <w:rPr>
                <w:rFonts w:ascii="Cambria" w:hAnsi="Cambria"/>
              </w:rPr>
              <w:t xml:space="preserve">' </w:t>
            </w:r>
            <w:proofErr w:type="spellStart"/>
            <w:r w:rsidRPr="00977220">
              <w:rPr>
                <w:rFonts w:ascii="Cambria" w:hAnsi="Cambria"/>
              </w:rPr>
              <w:t>guide</w:t>
            </w:r>
            <w:proofErr w:type="spellEnd"/>
            <w:r w:rsidRPr="00977220">
              <w:rPr>
                <w:rFonts w:ascii="Cambria" w:hAnsi="Cambria"/>
              </w:rPr>
              <w:t xml:space="preserve"> to </w:t>
            </w:r>
            <w:proofErr w:type="spellStart"/>
            <w:r w:rsidRPr="00977220">
              <w:rPr>
                <w:rFonts w:ascii="Cambria" w:hAnsi="Cambria"/>
              </w:rPr>
              <w:t>bilingualism</w:t>
            </w:r>
            <w:proofErr w:type="spellEnd"/>
            <w:r w:rsidRPr="00977220">
              <w:rPr>
                <w:rFonts w:ascii="Cambria" w:hAnsi="Cambria"/>
              </w:rPr>
              <w:t xml:space="preserve">, </w:t>
            </w:r>
            <w:proofErr w:type="spellStart"/>
            <w:r w:rsidRPr="00977220">
              <w:rPr>
                <w:rFonts w:ascii="Cambria" w:hAnsi="Cambria"/>
              </w:rPr>
              <w:t>Clevedon</w:t>
            </w:r>
            <w:proofErr w:type="spellEnd"/>
            <w:r w:rsidRPr="00977220">
              <w:rPr>
                <w:rFonts w:ascii="Cambria" w:hAnsi="Cambria"/>
              </w:rPr>
              <w:t xml:space="preserve">, </w:t>
            </w:r>
            <w:proofErr w:type="spellStart"/>
            <w:r w:rsidRPr="00977220">
              <w:rPr>
                <w:rFonts w:ascii="Cambria" w:hAnsi="Cambria"/>
              </w:rPr>
              <w:t>Multilingual</w:t>
            </w:r>
            <w:proofErr w:type="spellEnd"/>
            <w:r w:rsidRPr="00977220">
              <w:rPr>
                <w:rFonts w:ascii="Cambria" w:hAnsi="Cambria"/>
              </w:rPr>
              <w:t xml:space="preserve"> </w:t>
            </w:r>
            <w:proofErr w:type="spellStart"/>
            <w:r w:rsidRPr="00977220">
              <w:rPr>
                <w:rFonts w:ascii="Cambria" w:hAnsi="Cambria"/>
              </w:rPr>
              <w:t>Matters</w:t>
            </w:r>
            <w:proofErr w:type="spellEnd"/>
            <w:r w:rsidRPr="00977220">
              <w:rPr>
                <w:rFonts w:ascii="Cambria" w:hAnsi="Cambria"/>
              </w:rPr>
              <w:t>.</w:t>
            </w:r>
          </w:p>
          <w:p w14:paraId="67D2A31D" w14:textId="77777777" w:rsidR="00977220" w:rsidRPr="00977220" w:rsidRDefault="00977220" w:rsidP="00A034E3">
            <w:pPr>
              <w:pStyle w:val="Odlomakpopisa"/>
              <w:numPr>
                <w:ilvl w:val="0"/>
                <w:numId w:val="101"/>
              </w:numPr>
              <w:spacing w:after="0" w:line="240" w:lineRule="auto"/>
              <w:rPr>
                <w:rFonts w:ascii="Cambria" w:hAnsi="Cambria"/>
                <w:lang w:val="it-IT"/>
              </w:rPr>
            </w:pPr>
            <w:r w:rsidRPr="00977220">
              <w:rPr>
                <w:rFonts w:ascii="Cambria" w:hAnsi="Cambria"/>
                <w:lang w:val="it-IT"/>
              </w:rPr>
              <w:t>Balboni, P. E. (1999), Educazione bilingue, Guerra Edizioni.</w:t>
            </w:r>
          </w:p>
          <w:p w14:paraId="16C86BA0" w14:textId="77777777" w:rsidR="00977220" w:rsidRPr="00977220" w:rsidRDefault="00977220" w:rsidP="00A034E3">
            <w:pPr>
              <w:pStyle w:val="Odlomakpopisa"/>
              <w:numPr>
                <w:ilvl w:val="0"/>
                <w:numId w:val="101"/>
              </w:numPr>
              <w:spacing w:after="0" w:line="240" w:lineRule="auto"/>
              <w:rPr>
                <w:rFonts w:ascii="Cambria" w:hAnsi="Cambria"/>
                <w:lang w:val="it-IT"/>
              </w:rPr>
            </w:pPr>
            <w:r w:rsidRPr="00977220">
              <w:rPr>
                <w:rFonts w:ascii="Cambria" w:hAnsi="Cambria"/>
                <w:lang w:val="it-IT"/>
              </w:rPr>
              <w:t>Carli, A. (2007), Studi su fenomeni, situazioni e forme del bilinguismo, Milano, Franco Angeli.</w:t>
            </w:r>
          </w:p>
          <w:p w14:paraId="21D595AB" w14:textId="77777777" w:rsidR="00977220" w:rsidRPr="00977220" w:rsidRDefault="00977220" w:rsidP="00A034E3">
            <w:pPr>
              <w:pStyle w:val="Odlomakpopisa"/>
              <w:numPr>
                <w:ilvl w:val="0"/>
                <w:numId w:val="101"/>
              </w:numPr>
              <w:spacing w:after="0" w:line="240" w:lineRule="auto"/>
              <w:rPr>
                <w:rFonts w:ascii="Cambria" w:hAnsi="Cambria"/>
                <w:lang w:val="it-IT"/>
              </w:rPr>
            </w:pPr>
            <w:proofErr w:type="spellStart"/>
            <w:r w:rsidRPr="00977220">
              <w:rPr>
                <w:rFonts w:ascii="Cambria" w:hAnsi="Cambria"/>
                <w:lang w:val="it-IT"/>
              </w:rPr>
              <w:t>Deshays</w:t>
            </w:r>
            <w:proofErr w:type="spellEnd"/>
            <w:r w:rsidRPr="00977220">
              <w:rPr>
                <w:rFonts w:ascii="Cambria" w:hAnsi="Cambria"/>
                <w:lang w:val="it-IT"/>
              </w:rPr>
              <w:t>, E. (1999), Come favorire il bilinguismo dei bambini, Novara, RED.</w:t>
            </w:r>
          </w:p>
          <w:p w14:paraId="19DB91F9" w14:textId="77777777" w:rsidR="00977220" w:rsidRPr="00977220" w:rsidRDefault="00977220" w:rsidP="00A034E3">
            <w:pPr>
              <w:pStyle w:val="Odlomakpopisa"/>
              <w:numPr>
                <w:ilvl w:val="0"/>
                <w:numId w:val="101"/>
              </w:numPr>
              <w:spacing w:after="0" w:line="240" w:lineRule="auto"/>
              <w:rPr>
                <w:rFonts w:ascii="Cambria" w:hAnsi="Cambria"/>
                <w:lang w:val="it-IT"/>
              </w:rPr>
            </w:pPr>
            <w:r w:rsidRPr="00977220">
              <w:rPr>
                <w:rFonts w:ascii="Cambria" w:hAnsi="Cambria"/>
                <w:lang w:val="it-IT"/>
              </w:rPr>
              <w:t xml:space="preserve">Fabbro, F. (1996), Il cervello bilingue. Neurolinguistica e </w:t>
            </w:r>
            <w:proofErr w:type="spellStart"/>
            <w:r w:rsidRPr="00977220">
              <w:rPr>
                <w:rFonts w:ascii="Cambria" w:hAnsi="Cambria"/>
                <w:lang w:val="it-IT"/>
              </w:rPr>
              <w:t>poliglossia</w:t>
            </w:r>
            <w:proofErr w:type="spellEnd"/>
            <w:r w:rsidRPr="00977220">
              <w:rPr>
                <w:rFonts w:ascii="Cambria" w:hAnsi="Cambria"/>
                <w:lang w:val="it-IT"/>
              </w:rPr>
              <w:t>, Roma, Astrolabio Ubaldini.</w:t>
            </w:r>
          </w:p>
          <w:p w14:paraId="177BB090" w14:textId="77777777" w:rsidR="00977220" w:rsidRPr="00977220" w:rsidRDefault="00977220" w:rsidP="00A034E3">
            <w:pPr>
              <w:pStyle w:val="Odlomakpopisa"/>
              <w:numPr>
                <w:ilvl w:val="0"/>
                <w:numId w:val="101"/>
              </w:numPr>
              <w:spacing w:after="0" w:line="240" w:lineRule="auto"/>
              <w:rPr>
                <w:rFonts w:ascii="Cambria" w:hAnsi="Cambria"/>
                <w:lang w:val="it-IT"/>
              </w:rPr>
            </w:pPr>
            <w:r w:rsidRPr="00977220">
              <w:rPr>
                <w:rFonts w:ascii="Cambria" w:hAnsi="Cambria"/>
                <w:lang w:val="it-IT"/>
              </w:rPr>
              <w:t xml:space="preserve">Fabbro, F. (2004), </w:t>
            </w:r>
            <w:proofErr w:type="spellStart"/>
            <w:r w:rsidRPr="00977220">
              <w:rPr>
                <w:rFonts w:ascii="Cambria" w:hAnsi="Cambria"/>
                <w:lang w:val="it-IT"/>
              </w:rPr>
              <w:t>Neuropedagogia</w:t>
            </w:r>
            <w:proofErr w:type="spellEnd"/>
            <w:r w:rsidRPr="00977220">
              <w:rPr>
                <w:rFonts w:ascii="Cambria" w:hAnsi="Cambria"/>
                <w:lang w:val="it-IT"/>
              </w:rPr>
              <w:t xml:space="preserve"> delle lingue. Come insegnare le lingue ai bambini, Roma, Astrolabio Ubaldini.</w:t>
            </w:r>
          </w:p>
          <w:p w14:paraId="7F313324" w14:textId="77777777" w:rsidR="00977220" w:rsidRPr="00977220" w:rsidRDefault="00977220" w:rsidP="00A034E3">
            <w:pPr>
              <w:pStyle w:val="Odlomakpopisa"/>
              <w:numPr>
                <w:ilvl w:val="0"/>
                <w:numId w:val="101"/>
              </w:numPr>
              <w:spacing w:after="0" w:line="240" w:lineRule="auto"/>
              <w:rPr>
                <w:rFonts w:ascii="Cambria" w:hAnsi="Cambria"/>
              </w:rPr>
            </w:pPr>
            <w:proofErr w:type="spellStart"/>
            <w:r w:rsidRPr="00977220">
              <w:rPr>
                <w:rFonts w:ascii="Cambria" w:hAnsi="Cambria"/>
              </w:rPr>
              <w:t>Fantini</w:t>
            </w:r>
            <w:proofErr w:type="spellEnd"/>
            <w:r w:rsidRPr="00977220">
              <w:rPr>
                <w:rFonts w:ascii="Cambria" w:hAnsi="Cambria"/>
              </w:rPr>
              <w:t xml:space="preserve">, A. (1985), </w:t>
            </w:r>
            <w:proofErr w:type="spellStart"/>
            <w:r w:rsidRPr="00977220">
              <w:rPr>
                <w:rFonts w:ascii="Cambria" w:hAnsi="Cambria"/>
              </w:rPr>
              <w:t>Language</w:t>
            </w:r>
            <w:proofErr w:type="spellEnd"/>
            <w:r w:rsidRPr="00977220">
              <w:rPr>
                <w:rFonts w:ascii="Cambria" w:hAnsi="Cambria"/>
              </w:rPr>
              <w:t xml:space="preserve"> </w:t>
            </w:r>
            <w:proofErr w:type="spellStart"/>
            <w:r w:rsidRPr="00977220">
              <w:rPr>
                <w:rFonts w:ascii="Cambria" w:hAnsi="Cambria"/>
              </w:rPr>
              <w:t>Acquisition</w:t>
            </w:r>
            <w:proofErr w:type="spellEnd"/>
            <w:r w:rsidRPr="00977220">
              <w:rPr>
                <w:rFonts w:ascii="Cambria" w:hAnsi="Cambria"/>
              </w:rPr>
              <w:t xml:space="preserve"> </w:t>
            </w:r>
            <w:proofErr w:type="spellStart"/>
            <w:r w:rsidRPr="00977220">
              <w:rPr>
                <w:rFonts w:ascii="Cambria" w:hAnsi="Cambria"/>
              </w:rPr>
              <w:t>of</w:t>
            </w:r>
            <w:proofErr w:type="spellEnd"/>
            <w:r w:rsidRPr="00977220">
              <w:rPr>
                <w:rFonts w:ascii="Cambria" w:hAnsi="Cambria"/>
              </w:rPr>
              <w:t xml:space="preserve"> a </w:t>
            </w:r>
            <w:proofErr w:type="spellStart"/>
            <w:r w:rsidRPr="00977220">
              <w:rPr>
                <w:rFonts w:ascii="Cambria" w:hAnsi="Cambria"/>
              </w:rPr>
              <w:t>Bilingual</w:t>
            </w:r>
            <w:proofErr w:type="spellEnd"/>
            <w:r w:rsidRPr="00977220">
              <w:rPr>
                <w:rFonts w:ascii="Cambria" w:hAnsi="Cambria"/>
              </w:rPr>
              <w:t xml:space="preserve"> </w:t>
            </w:r>
            <w:proofErr w:type="spellStart"/>
            <w:r w:rsidRPr="00977220">
              <w:rPr>
                <w:rFonts w:ascii="Cambria" w:hAnsi="Cambria"/>
              </w:rPr>
              <w:t>Child</w:t>
            </w:r>
            <w:proofErr w:type="spellEnd"/>
            <w:r w:rsidRPr="00977220">
              <w:rPr>
                <w:rFonts w:ascii="Cambria" w:hAnsi="Cambria"/>
              </w:rPr>
              <w:t xml:space="preserve">: A </w:t>
            </w:r>
            <w:proofErr w:type="spellStart"/>
            <w:r w:rsidRPr="00977220">
              <w:rPr>
                <w:rFonts w:ascii="Cambria" w:hAnsi="Cambria"/>
              </w:rPr>
              <w:t>Sociolinguistic</w:t>
            </w:r>
            <w:proofErr w:type="spellEnd"/>
            <w:r w:rsidRPr="00977220">
              <w:rPr>
                <w:rFonts w:ascii="Cambria" w:hAnsi="Cambria"/>
              </w:rPr>
              <w:t xml:space="preserve"> </w:t>
            </w:r>
            <w:proofErr w:type="spellStart"/>
            <w:r w:rsidRPr="00977220">
              <w:rPr>
                <w:rFonts w:ascii="Cambria" w:hAnsi="Cambria"/>
              </w:rPr>
              <w:t>Perspective</w:t>
            </w:r>
            <w:proofErr w:type="spellEnd"/>
            <w:r w:rsidRPr="00977220">
              <w:rPr>
                <w:rFonts w:ascii="Cambria" w:hAnsi="Cambria"/>
              </w:rPr>
              <w:t xml:space="preserve">, San Diego, </w:t>
            </w:r>
            <w:proofErr w:type="spellStart"/>
            <w:r w:rsidRPr="00977220">
              <w:rPr>
                <w:rFonts w:ascii="Cambria" w:hAnsi="Cambria"/>
              </w:rPr>
              <w:t>College</w:t>
            </w:r>
            <w:proofErr w:type="spellEnd"/>
            <w:r w:rsidRPr="00977220">
              <w:rPr>
                <w:rFonts w:ascii="Cambria" w:hAnsi="Cambria"/>
              </w:rPr>
              <w:t xml:space="preserve"> Hill Press.</w:t>
            </w:r>
          </w:p>
          <w:p w14:paraId="1D83DA13" w14:textId="77777777" w:rsidR="00977220" w:rsidRPr="00977220" w:rsidRDefault="00977220" w:rsidP="00A034E3">
            <w:pPr>
              <w:pStyle w:val="Odlomakpopisa"/>
              <w:numPr>
                <w:ilvl w:val="0"/>
                <w:numId w:val="101"/>
              </w:numPr>
              <w:spacing w:after="0" w:line="240" w:lineRule="auto"/>
              <w:rPr>
                <w:rFonts w:ascii="Cambria" w:hAnsi="Cambria"/>
              </w:rPr>
            </w:pPr>
            <w:r w:rsidRPr="00977220">
              <w:rPr>
                <w:rFonts w:ascii="Cambria" w:hAnsi="Cambria"/>
              </w:rPr>
              <w:t xml:space="preserve">Garcia, E. (1983), </w:t>
            </w:r>
            <w:proofErr w:type="spellStart"/>
            <w:r w:rsidRPr="00977220">
              <w:rPr>
                <w:rFonts w:ascii="Cambria" w:hAnsi="Cambria"/>
              </w:rPr>
              <w:t>Early</w:t>
            </w:r>
            <w:proofErr w:type="spellEnd"/>
            <w:r w:rsidRPr="00977220">
              <w:rPr>
                <w:rFonts w:ascii="Cambria" w:hAnsi="Cambria"/>
              </w:rPr>
              <w:t xml:space="preserve"> </w:t>
            </w:r>
            <w:proofErr w:type="spellStart"/>
            <w:r w:rsidRPr="00977220">
              <w:rPr>
                <w:rFonts w:ascii="Cambria" w:hAnsi="Cambria"/>
              </w:rPr>
              <w:t>childhood</w:t>
            </w:r>
            <w:proofErr w:type="spellEnd"/>
            <w:r w:rsidRPr="00977220">
              <w:rPr>
                <w:rFonts w:ascii="Cambria" w:hAnsi="Cambria"/>
              </w:rPr>
              <w:t xml:space="preserve"> </w:t>
            </w:r>
            <w:proofErr w:type="spellStart"/>
            <w:r w:rsidRPr="00977220">
              <w:rPr>
                <w:rFonts w:ascii="Cambria" w:hAnsi="Cambria"/>
              </w:rPr>
              <w:t>bilingualism</w:t>
            </w:r>
            <w:proofErr w:type="spellEnd"/>
            <w:r w:rsidRPr="00977220">
              <w:rPr>
                <w:rFonts w:ascii="Cambria" w:hAnsi="Cambria"/>
              </w:rPr>
              <w:t xml:space="preserve">, </w:t>
            </w:r>
            <w:proofErr w:type="spellStart"/>
            <w:r w:rsidRPr="00977220">
              <w:rPr>
                <w:rFonts w:ascii="Cambria" w:hAnsi="Cambria"/>
              </w:rPr>
              <w:t>Albuquerque</w:t>
            </w:r>
            <w:proofErr w:type="spellEnd"/>
            <w:r w:rsidRPr="00977220">
              <w:rPr>
                <w:rFonts w:ascii="Cambria" w:hAnsi="Cambria"/>
              </w:rPr>
              <w:t xml:space="preserve">, University </w:t>
            </w:r>
            <w:proofErr w:type="spellStart"/>
            <w:r w:rsidRPr="00977220">
              <w:rPr>
                <w:rFonts w:ascii="Cambria" w:hAnsi="Cambria"/>
              </w:rPr>
              <w:t>of</w:t>
            </w:r>
            <w:proofErr w:type="spellEnd"/>
            <w:r w:rsidRPr="00977220">
              <w:rPr>
                <w:rFonts w:ascii="Cambria" w:hAnsi="Cambria"/>
              </w:rPr>
              <w:t xml:space="preserve"> New Mexico.</w:t>
            </w:r>
          </w:p>
          <w:p w14:paraId="6651D741" w14:textId="77777777" w:rsidR="00977220" w:rsidRPr="00977220" w:rsidRDefault="00977220" w:rsidP="00A034E3">
            <w:pPr>
              <w:pStyle w:val="Odlomakpopisa"/>
              <w:numPr>
                <w:ilvl w:val="0"/>
                <w:numId w:val="101"/>
              </w:numPr>
              <w:spacing w:after="0" w:line="240" w:lineRule="auto"/>
              <w:rPr>
                <w:rFonts w:ascii="Cambria" w:hAnsi="Cambria"/>
              </w:rPr>
            </w:pPr>
            <w:proofErr w:type="spellStart"/>
            <w:r w:rsidRPr="00977220">
              <w:rPr>
                <w:rFonts w:ascii="Cambria" w:hAnsi="Cambria"/>
              </w:rPr>
              <w:t>Grosjean</w:t>
            </w:r>
            <w:proofErr w:type="spellEnd"/>
            <w:r w:rsidRPr="00977220">
              <w:rPr>
                <w:rFonts w:ascii="Cambria" w:hAnsi="Cambria"/>
              </w:rPr>
              <w:t xml:space="preserve">, F. (1982), Life </w:t>
            </w:r>
            <w:proofErr w:type="spellStart"/>
            <w:r w:rsidRPr="00977220">
              <w:rPr>
                <w:rFonts w:ascii="Cambria" w:hAnsi="Cambria"/>
              </w:rPr>
              <w:t>with</w:t>
            </w:r>
            <w:proofErr w:type="spellEnd"/>
            <w:r w:rsidRPr="00977220">
              <w:rPr>
                <w:rFonts w:ascii="Cambria" w:hAnsi="Cambria"/>
              </w:rPr>
              <w:t xml:space="preserve"> </w:t>
            </w:r>
            <w:proofErr w:type="spellStart"/>
            <w:r w:rsidRPr="00977220">
              <w:rPr>
                <w:rFonts w:ascii="Cambria" w:hAnsi="Cambria"/>
              </w:rPr>
              <w:t>Two</w:t>
            </w:r>
            <w:proofErr w:type="spellEnd"/>
            <w:r w:rsidRPr="00977220">
              <w:rPr>
                <w:rFonts w:ascii="Cambria" w:hAnsi="Cambria"/>
              </w:rPr>
              <w:t xml:space="preserve"> </w:t>
            </w:r>
            <w:proofErr w:type="spellStart"/>
            <w:r w:rsidRPr="00977220">
              <w:rPr>
                <w:rFonts w:ascii="Cambria" w:hAnsi="Cambria"/>
              </w:rPr>
              <w:t>Languages</w:t>
            </w:r>
            <w:proofErr w:type="spellEnd"/>
            <w:r w:rsidRPr="00977220">
              <w:rPr>
                <w:rFonts w:ascii="Cambria" w:hAnsi="Cambria"/>
              </w:rPr>
              <w:t xml:space="preserve">. An </w:t>
            </w:r>
            <w:proofErr w:type="spellStart"/>
            <w:r w:rsidRPr="00977220">
              <w:rPr>
                <w:rFonts w:ascii="Cambria" w:hAnsi="Cambria"/>
              </w:rPr>
              <w:t>Introduction</w:t>
            </w:r>
            <w:proofErr w:type="spellEnd"/>
            <w:r w:rsidRPr="00977220">
              <w:rPr>
                <w:rFonts w:ascii="Cambria" w:hAnsi="Cambria"/>
              </w:rPr>
              <w:t xml:space="preserve"> to </w:t>
            </w:r>
            <w:proofErr w:type="spellStart"/>
            <w:r w:rsidRPr="00977220">
              <w:rPr>
                <w:rFonts w:ascii="Cambria" w:hAnsi="Cambria"/>
              </w:rPr>
              <w:t>Bilingualism</w:t>
            </w:r>
            <w:proofErr w:type="spellEnd"/>
            <w:r w:rsidRPr="00977220">
              <w:rPr>
                <w:rFonts w:ascii="Cambria" w:hAnsi="Cambria"/>
              </w:rPr>
              <w:t>, Cambridge (</w:t>
            </w:r>
            <w:proofErr w:type="spellStart"/>
            <w:r w:rsidRPr="00977220">
              <w:rPr>
                <w:rFonts w:ascii="Cambria" w:hAnsi="Cambria"/>
              </w:rPr>
              <w:t>Mass</w:t>
            </w:r>
            <w:proofErr w:type="spellEnd"/>
            <w:r w:rsidRPr="00977220">
              <w:rPr>
                <w:rFonts w:ascii="Cambria" w:hAnsi="Cambria"/>
              </w:rPr>
              <w:t xml:space="preserve">.)/London, Harvard University Press. </w:t>
            </w:r>
          </w:p>
          <w:p w14:paraId="6CBBB5F9" w14:textId="77777777" w:rsidR="00977220" w:rsidRPr="00977220" w:rsidRDefault="00977220" w:rsidP="00A034E3">
            <w:pPr>
              <w:pStyle w:val="Odlomakpopisa"/>
              <w:numPr>
                <w:ilvl w:val="0"/>
                <w:numId w:val="101"/>
              </w:numPr>
              <w:spacing w:after="0" w:line="240" w:lineRule="auto"/>
              <w:rPr>
                <w:rFonts w:ascii="Cambria" w:hAnsi="Cambria"/>
                <w:lang w:val="it-IT"/>
              </w:rPr>
            </w:pPr>
            <w:proofErr w:type="spellStart"/>
            <w:r w:rsidRPr="00977220">
              <w:rPr>
                <w:rFonts w:ascii="Cambria" w:hAnsi="Cambria"/>
                <w:lang w:val="it-IT"/>
              </w:rPr>
              <w:t>Gusmani</w:t>
            </w:r>
            <w:proofErr w:type="spellEnd"/>
            <w:r w:rsidRPr="00977220">
              <w:rPr>
                <w:rFonts w:ascii="Cambria" w:hAnsi="Cambria"/>
                <w:lang w:val="it-IT"/>
              </w:rPr>
              <w:t>, R. (2004), Saggi sull'interferenza linguistica, Firenze, Le Lettere.</w:t>
            </w:r>
          </w:p>
          <w:p w14:paraId="7840F7BB" w14:textId="77777777" w:rsidR="00977220" w:rsidRPr="00977220" w:rsidRDefault="00977220" w:rsidP="00A034E3">
            <w:pPr>
              <w:pStyle w:val="Odlomakpopisa"/>
              <w:numPr>
                <w:ilvl w:val="0"/>
                <w:numId w:val="101"/>
              </w:numPr>
              <w:spacing w:after="0" w:line="240" w:lineRule="auto"/>
              <w:rPr>
                <w:rFonts w:ascii="Cambria" w:hAnsi="Cambria"/>
                <w:lang w:val="it-IT"/>
              </w:rPr>
            </w:pPr>
            <w:r w:rsidRPr="00977220">
              <w:rPr>
                <w:rFonts w:ascii="Cambria" w:hAnsi="Cambria"/>
                <w:lang w:val="it-IT"/>
              </w:rPr>
              <w:t xml:space="preserve">Milani </w:t>
            </w:r>
            <w:proofErr w:type="spellStart"/>
            <w:r w:rsidRPr="00977220">
              <w:rPr>
                <w:rFonts w:ascii="Cambria" w:hAnsi="Cambria"/>
                <w:lang w:val="it-IT"/>
              </w:rPr>
              <w:t>Kruljac</w:t>
            </w:r>
            <w:proofErr w:type="spellEnd"/>
            <w:r w:rsidRPr="00977220">
              <w:rPr>
                <w:rFonts w:ascii="Cambria" w:hAnsi="Cambria"/>
                <w:lang w:val="it-IT"/>
              </w:rPr>
              <w:t>, N. (a cura di) (2003), L'italiano fra i giovani dell'</w:t>
            </w:r>
            <w:proofErr w:type="spellStart"/>
            <w:r w:rsidRPr="00977220">
              <w:rPr>
                <w:rFonts w:ascii="Cambria" w:hAnsi="Cambria"/>
                <w:lang w:val="it-IT"/>
              </w:rPr>
              <w:t>Istro-quarnerino</w:t>
            </w:r>
            <w:proofErr w:type="spellEnd"/>
            <w:r w:rsidRPr="00977220">
              <w:rPr>
                <w:rFonts w:ascii="Cambria" w:hAnsi="Cambria"/>
                <w:lang w:val="it-IT"/>
              </w:rPr>
              <w:t>, Pola-Fiume, Pietas Iulia-Edit.</w:t>
            </w:r>
          </w:p>
          <w:p w14:paraId="6F6CBEE3" w14:textId="77777777" w:rsidR="00977220" w:rsidRPr="00977220" w:rsidRDefault="00977220" w:rsidP="00A034E3">
            <w:pPr>
              <w:pStyle w:val="Odlomakpopisa"/>
              <w:numPr>
                <w:ilvl w:val="0"/>
                <w:numId w:val="101"/>
              </w:numPr>
              <w:spacing w:after="0" w:line="240" w:lineRule="auto"/>
              <w:rPr>
                <w:rFonts w:ascii="Cambria" w:hAnsi="Cambria"/>
                <w:lang w:val="it-IT"/>
              </w:rPr>
            </w:pPr>
            <w:r w:rsidRPr="00977220">
              <w:rPr>
                <w:rFonts w:ascii="Cambria" w:hAnsi="Cambria"/>
                <w:lang w:val="it-IT"/>
              </w:rPr>
              <w:t>Pallotti, G. (2012), La lingua seconda, Milano, Bompiani.</w:t>
            </w:r>
          </w:p>
          <w:p w14:paraId="39E3F158" w14:textId="77777777" w:rsidR="00977220" w:rsidRPr="00977220" w:rsidRDefault="00977220" w:rsidP="00A034E3">
            <w:pPr>
              <w:pStyle w:val="Odlomakpopisa"/>
              <w:numPr>
                <w:ilvl w:val="0"/>
                <w:numId w:val="101"/>
              </w:numPr>
              <w:spacing w:after="0" w:line="240" w:lineRule="auto"/>
              <w:jc w:val="both"/>
              <w:rPr>
                <w:rFonts w:ascii="Cambria" w:hAnsi="Cambria"/>
                <w:lang w:val="it-IT"/>
              </w:rPr>
            </w:pPr>
            <w:r w:rsidRPr="00977220">
              <w:rPr>
                <w:rFonts w:ascii="Cambria" w:hAnsi="Cambria"/>
                <w:lang w:val="it-IT"/>
              </w:rPr>
              <w:t xml:space="preserve">Ranocchia, M. C. (1993), Bilinguismo precoce </w:t>
            </w:r>
            <w:proofErr w:type="gramStart"/>
            <w:r w:rsidRPr="00977220">
              <w:rPr>
                <w:rFonts w:ascii="Cambria" w:hAnsi="Cambria"/>
                <w:lang w:val="it-IT"/>
              </w:rPr>
              <w:t>ed</w:t>
            </w:r>
            <w:proofErr w:type="gramEnd"/>
            <w:r w:rsidRPr="00977220">
              <w:rPr>
                <w:rFonts w:ascii="Cambria" w:hAnsi="Cambria"/>
                <w:lang w:val="it-IT"/>
              </w:rPr>
              <w:t xml:space="preserve"> educazione bilingue: l'italiano L2 in età scolare, Perugia, Guerra Edizioni.</w:t>
            </w:r>
          </w:p>
          <w:p w14:paraId="78AE7F94" w14:textId="77777777" w:rsidR="00977220" w:rsidRPr="00977220" w:rsidRDefault="00977220" w:rsidP="00A034E3">
            <w:pPr>
              <w:pStyle w:val="Odlomakpopisa"/>
              <w:numPr>
                <w:ilvl w:val="0"/>
                <w:numId w:val="101"/>
              </w:numPr>
              <w:spacing w:after="0" w:line="240" w:lineRule="auto"/>
              <w:rPr>
                <w:rFonts w:ascii="Cambria" w:hAnsi="Cambria"/>
                <w:lang w:val="en-US"/>
              </w:rPr>
            </w:pPr>
            <w:r w:rsidRPr="00977220">
              <w:rPr>
                <w:rFonts w:ascii="Cambria" w:hAnsi="Cambria"/>
              </w:rPr>
              <w:t xml:space="preserve">Saunders, G. (1988), </w:t>
            </w:r>
            <w:proofErr w:type="spellStart"/>
            <w:r w:rsidRPr="00977220">
              <w:rPr>
                <w:rFonts w:ascii="Cambria" w:hAnsi="Cambria"/>
              </w:rPr>
              <w:t>Bilingual</w:t>
            </w:r>
            <w:proofErr w:type="spellEnd"/>
            <w:r w:rsidRPr="00977220">
              <w:rPr>
                <w:rFonts w:ascii="Cambria" w:hAnsi="Cambria"/>
              </w:rPr>
              <w:t xml:space="preserve"> </w:t>
            </w:r>
            <w:proofErr w:type="spellStart"/>
            <w:r w:rsidRPr="00977220">
              <w:rPr>
                <w:rFonts w:ascii="Cambria" w:hAnsi="Cambria"/>
              </w:rPr>
              <w:t>Children</w:t>
            </w:r>
            <w:proofErr w:type="spellEnd"/>
            <w:r w:rsidRPr="00977220">
              <w:rPr>
                <w:rFonts w:ascii="Cambria" w:hAnsi="Cambria"/>
              </w:rPr>
              <w:t xml:space="preserve">: </w:t>
            </w:r>
            <w:proofErr w:type="spellStart"/>
            <w:r w:rsidRPr="00977220">
              <w:rPr>
                <w:rFonts w:ascii="Cambria" w:hAnsi="Cambria"/>
              </w:rPr>
              <w:t>From</w:t>
            </w:r>
            <w:proofErr w:type="spellEnd"/>
            <w:r w:rsidRPr="00977220">
              <w:rPr>
                <w:rFonts w:ascii="Cambria" w:hAnsi="Cambria"/>
              </w:rPr>
              <w:t xml:space="preserve"> </w:t>
            </w:r>
            <w:proofErr w:type="spellStart"/>
            <w:r w:rsidRPr="00977220">
              <w:rPr>
                <w:rFonts w:ascii="Cambria" w:hAnsi="Cambria"/>
              </w:rPr>
              <w:t>Birth</w:t>
            </w:r>
            <w:proofErr w:type="spellEnd"/>
            <w:r w:rsidRPr="00977220">
              <w:rPr>
                <w:rFonts w:ascii="Cambria" w:hAnsi="Cambria"/>
              </w:rPr>
              <w:t xml:space="preserve"> to </w:t>
            </w:r>
            <w:proofErr w:type="spellStart"/>
            <w:r w:rsidRPr="00977220">
              <w:rPr>
                <w:rFonts w:ascii="Cambria" w:hAnsi="Cambria"/>
              </w:rPr>
              <w:t>Teens</w:t>
            </w:r>
            <w:proofErr w:type="spellEnd"/>
            <w:r w:rsidRPr="00977220">
              <w:rPr>
                <w:rFonts w:ascii="Cambria" w:hAnsi="Cambria"/>
              </w:rPr>
              <w:t xml:space="preserve">, </w:t>
            </w:r>
            <w:proofErr w:type="spellStart"/>
            <w:r w:rsidRPr="00977220">
              <w:rPr>
                <w:rFonts w:ascii="Cambria" w:hAnsi="Cambria"/>
              </w:rPr>
              <w:t>Clevedon</w:t>
            </w:r>
            <w:proofErr w:type="spellEnd"/>
            <w:r w:rsidRPr="00977220">
              <w:rPr>
                <w:rFonts w:ascii="Cambria" w:hAnsi="Cambria"/>
              </w:rPr>
              <w:t xml:space="preserve">, </w:t>
            </w:r>
            <w:proofErr w:type="spellStart"/>
            <w:r w:rsidRPr="00977220">
              <w:rPr>
                <w:rFonts w:ascii="Cambria" w:hAnsi="Cambria"/>
              </w:rPr>
              <w:t>Multilingual</w:t>
            </w:r>
            <w:proofErr w:type="spellEnd"/>
            <w:r w:rsidRPr="00977220">
              <w:rPr>
                <w:rFonts w:ascii="Cambria" w:hAnsi="Cambria"/>
              </w:rPr>
              <w:t xml:space="preserve"> </w:t>
            </w:r>
            <w:proofErr w:type="spellStart"/>
            <w:r w:rsidRPr="00977220">
              <w:rPr>
                <w:rFonts w:ascii="Cambria" w:hAnsi="Cambria"/>
              </w:rPr>
              <w:t>Matters</w:t>
            </w:r>
            <w:proofErr w:type="spellEnd"/>
            <w:r w:rsidRPr="00977220">
              <w:rPr>
                <w:rFonts w:ascii="Cambria" w:hAnsi="Cambria"/>
              </w:rPr>
              <w:t>.</w:t>
            </w:r>
          </w:p>
          <w:p w14:paraId="59613CF6" w14:textId="77777777" w:rsidR="00977220" w:rsidRPr="00977220" w:rsidRDefault="00977220" w:rsidP="00A034E3">
            <w:pPr>
              <w:pStyle w:val="Odlomakpopisa"/>
              <w:numPr>
                <w:ilvl w:val="0"/>
                <w:numId w:val="101"/>
              </w:numPr>
              <w:spacing w:after="0" w:line="240" w:lineRule="auto"/>
              <w:rPr>
                <w:rFonts w:ascii="Cambria" w:hAnsi="Cambria"/>
                <w:lang w:val="it-IT"/>
              </w:rPr>
            </w:pPr>
            <w:r w:rsidRPr="00977220">
              <w:rPr>
                <w:rFonts w:ascii="Cambria" w:hAnsi="Cambria"/>
                <w:lang w:val="it-IT"/>
              </w:rPr>
              <w:t xml:space="preserve">Scotti </w:t>
            </w:r>
            <w:proofErr w:type="spellStart"/>
            <w:r w:rsidRPr="00977220">
              <w:rPr>
                <w:rFonts w:ascii="Cambria" w:hAnsi="Cambria"/>
                <w:lang w:val="it-IT"/>
              </w:rPr>
              <w:t>Jurić</w:t>
            </w:r>
            <w:proofErr w:type="spellEnd"/>
            <w:r w:rsidRPr="00977220">
              <w:rPr>
                <w:rFonts w:ascii="Cambria" w:hAnsi="Cambria"/>
                <w:lang w:val="it-IT"/>
              </w:rPr>
              <w:t>, R. (2003), Bilinguismo precoce: funzioni e usi linguistici, Pola-Fiume, Pietas Iulia-Edit.</w:t>
            </w:r>
          </w:p>
          <w:p w14:paraId="026C8E4D" w14:textId="77777777" w:rsidR="00977220" w:rsidRPr="00977220" w:rsidRDefault="00977220" w:rsidP="00A034E3">
            <w:pPr>
              <w:pStyle w:val="Odlomakpopisa"/>
              <w:numPr>
                <w:ilvl w:val="0"/>
                <w:numId w:val="101"/>
              </w:numPr>
              <w:spacing w:after="0" w:line="240" w:lineRule="auto"/>
              <w:rPr>
                <w:rFonts w:ascii="Cambria" w:hAnsi="Cambria"/>
                <w:lang w:val="it-IT"/>
              </w:rPr>
            </w:pPr>
            <w:r w:rsidRPr="00977220">
              <w:rPr>
                <w:rFonts w:ascii="Cambria" w:hAnsi="Cambria"/>
                <w:lang w:val="it-IT"/>
              </w:rPr>
              <w:t xml:space="preserve">Scotti </w:t>
            </w:r>
            <w:proofErr w:type="spellStart"/>
            <w:r w:rsidRPr="00977220">
              <w:rPr>
                <w:rFonts w:ascii="Cambria" w:hAnsi="Cambria"/>
                <w:lang w:val="it-IT"/>
              </w:rPr>
              <w:t>Jurić</w:t>
            </w:r>
            <w:proofErr w:type="spellEnd"/>
            <w:r w:rsidRPr="00977220">
              <w:rPr>
                <w:rFonts w:ascii="Cambria" w:hAnsi="Cambria"/>
                <w:lang w:val="it-IT"/>
              </w:rPr>
              <w:t>, R. (2008), Didattica della comunicazione in classi bilingui, Fiume, Edit.</w:t>
            </w:r>
          </w:p>
          <w:p w14:paraId="199BC6CA" w14:textId="77777777" w:rsidR="00977220" w:rsidRPr="00977220" w:rsidRDefault="00977220" w:rsidP="00A034E3">
            <w:pPr>
              <w:pStyle w:val="Odlomakpopisa"/>
              <w:numPr>
                <w:ilvl w:val="0"/>
                <w:numId w:val="101"/>
              </w:numPr>
              <w:spacing w:after="0" w:line="240" w:lineRule="auto"/>
              <w:rPr>
                <w:rFonts w:ascii="Cambria" w:hAnsi="Cambria"/>
                <w:color w:val="000000" w:themeColor="text1"/>
                <w:lang w:val="it-IT"/>
              </w:rPr>
            </w:pPr>
            <w:r w:rsidRPr="00977220">
              <w:rPr>
                <w:rFonts w:ascii="Cambria" w:hAnsi="Cambria"/>
                <w:lang w:val="it-IT"/>
              </w:rPr>
              <w:t>Titone, R. (1972), Bilinguismo precoce e educazione bilingue, Roma, Armando.</w:t>
            </w:r>
          </w:p>
        </w:tc>
      </w:tr>
    </w:tbl>
    <w:p w14:paraId="11FCB93D" w14:textId="77777777" w:rsidR="006D2DC3" w:rsidRDefault="006D2DC3" w:rsidP="00AF0D71">
      <w:pPr>
        <w:rPr>
          <w:rFonts w:ascii="Cambria" w:eastAsia="Calibri" w:hAnsi="Cambria" w:cs="Times New Roman"/>
          <w:lang w:val="hr-HR"/>
        </w:rPr>
      </w:pPr>
    </w:p>
    <w:p w14:paraId="6C6DAA76" w14:textId="77777777" w:rsidR="006D2DC3" w:rsidRDefault="006D2DC3">
      <w:pPr>
        <w:rPr>
          <w:rFonts w:ascii="Cambria" w:eastAsia="Calibri" w:hAnsi="Cambria" w:cs="Times New Roman"/>
          <w:lang w:val="hr-HR"/>
        </w:rPr>
      </w:pPr>
      <w:r>
        <w:rPr>
          <w:rFonts w:ascii="Cambria" w:eastAsia="Calibri" w:hAnsi="Cambria" w:cs="Times New Roman"/>
          <w:lang w:val="hr-HR"/>
        </w:rPr>
        <w:br w:type="page"/>
      </w:r>
    </w:p>
    <w:tbl>
      <w:tblPr>
        <w:tblW w:w="5000" w:type="pct"/>
        <w:tblLayout w:type="fixed"/>
        <w:tblCellMar>
          <w:left w:w="0" w:type="dxa"/>
          <w:right w:w="0" w:type="dxa"/>
        </w:tblCellMar>
        <w:tblLook w:val="0600" w:firstRow="0" w:lastRow="0" w:firstColumn="0" w:lastColumn="0" w:noHBand="1" w:noVBand="1"/>
      </w:tblPr>
      <w:tblGrid>
        <w:gridCol w:w="2258"/>
        <w:gridCol w:w="2691"/>
        <w:gridCol w:w="1134"/>
        <w:gridCol w:w="491"/>
        <w:gridCol w:w="431"/>
        <w:gridCol w:w="1013"/>
        <w:gridCol w:w="1322"/>
      </w:tblGrid>
      <w:tr w:rsidR="006D2DC3" w:rsidRPr="00DF4CE5" w14:paraId="0E738D2E" w14:textId="77777777" w:rsidTr="00450B7A">
        <w:tc>
          <w:tcPr>
            <w:tcW w:w="9340" w:type="dxa"/>
            <w:gridSpan w:val="7"/>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B6A0CA2" w14:textId="77777777" w:rsidR="006D2DC3" w:rsidRPr="00DF4CE5" w:rsidRDefault="006D2DC3" w:rsidP="00450B7A">
            <w:pPr>
              <w:spacing w:after="0" w:line="240" w:lineRule="auto"/>
              <w:jc w:val="right"/>
              <w:rPr>
                <w:rFonts w:ascii="Cambria" w:eastAsia="Calibri" w:hAnsi="Cambria" w:cs="Times New Roman"/>
                <w:b/>
                <w:lang w:val="hr-HR"/>
              </w:rPr>
            </w:pPr>
            <w:r w:rsidRPr="00DF4CE5">
              <w:rPr>
                <w:rFonts w:ascii="Cambria" w:eastAsia="Calibri" w:hAnsi="Cambria" w:cs="Times New Roman"/>
                <w:b/>
                <w:lang w:val="hr-HR"/>
              </w:rPr>
              <w:lastRenderedPageBreak/>
              <w:t>IZVEDBENI PLAN NASTAVE KOLEGIJA</w:t>
            </w:r>
          </w:p>
        </w:tc>
      </w:tr>
      <w:tr w:rsidR="006D2DC3" w:rsidRPr="00DF4CE5" w14:paraId="1CA17E63" w14:textId="77777777" w:rsidTr="00450B7A">
        <w:tc>
          <w:tcPr>
            <w:tcW w:w="225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1FBC786" w14:textId="77777777" w:rsidR="006D2DC3" w:rsidRPr="00DF4CE5" w:rsidRDefault="006D2DC3" w:rsidP="00450B7A">
            <w:pPr>
              <w:spacing w:after="0" w:line="240" w:lineRule="auto"/>
              <w:jc w:val="both"/>
              <w:rPr>
                <w:rFonts w:ascii="Cambria" w:eastAsia="Calibri" w:hAnsi="Cambria" w:cs="Times New Roman"/>
                <w:lang w:val="hr-HR"/>
              </w:rPr>
            </w:pPr>
            <w:r w:rsidRPr="00DF4CE5">
              <w:rPr>
                <w:rFonts w:ascii="Cambria" w:eastAsia="Calibri" w:hAnsi="Cambria" w:cs="Times New Roman"/>
                <w:lang w:val="hr-HR"/>
              </w:rPr>
              <w:t>Kod i naziv kolegija</w:t>
            </w:r>
          </w:p>
        </w:tc>
        <w:tc>
          <w:tcPr>
            <w:tcW w:w="7082"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32220CB" w14:textId="77777777" w:rsidR="006D2DC3" w:rsidRPr="00DF4CE5" w:rsidRDefault="006D2DC3" w:rsidP="00450B7A">
            <w:pPr>
              <w:spacing w:after="0"/>
              <w:jc w:val="both"/>
              <w:rPr>
                <w:rFonts w:ascii="Cambria" w:eastAsia="Calibri" w:hAnsi="Cambria" w:cs="Times New Roman"/>
                <w:lang w:val="hr-HR"/>
              </w:rPr>
            </w:pPr>
            <w:r w:rsidRPr="00DF4CE5">
              <w:rPr>
                <w:rFonts w:ascii="Cambria" w:eastAsia="Calibri" w:hAnsi="Cambria" w:cs="Times New Roman"/>
                <w:lang w:val="hr-HR"/>
              </w:rPr>
              <w:t>241307</w:t>
            </w:r>
          </w:p>
          <w:p w14:paraId="3F50DFAB" w14:textId="77777777" w:rsidR="006D2DC3" w:rsidRPr="00DF4CE5" w:rsidRDefault="006D2DC3" w:rsidP="00450B7A">
            <w:pPr>
              <w:spacing w:after="0"/>
              <w:jc w:val="both"/>
              <w:rPr>
                <w:rFonts w:ascii="Cambria" w:eastAsia="Calibri" w:hAnsi="Cambria" w:cs="Times New Roman"/>
                <w:lang w:val="hr-HR"/>
              </w:rPr>
            </w:pPr>
            <w:r w:rsidRPr="00DF4CE5">
              <w:rPr>
                <w:rFonts w:ascii="Cambria" w:eastAsia="Calibri" w:hAnsi="Cambria" w:cs="Times New Roman"/>
                <w:lang w:val="hr-HR"/>
              </w:rPr>
              <w:t>Hrvatski dječji roman</w:t>
            </w:r>
          </w:p>
        </w:tc>
      </w:tr>
      <w:tr w:rsidR="006D2DC3" w:rsidRPr="00D0399C" w14:paraId="5460D042" w14:textId="77777777" w:rsidTr="00450B7A">
        <w:tc>
          <w:tcPr>
            <w:tcW w:w="225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A7A5894" w14:textId="77777777" w:rsidR="006D2DC3" w:rsidRPr="00DF4CE5" w:rsidRDefault="006D2DC3" w:rsidP="00450B7A">
            <w:pPr>
              <w:spacing w:after="0" w:line="240" w:lineRule="auto"/>
              <w:jc w:val="both"/>
              <w:rPr>
                <w:rFonts w:ascii="Cambria" w:eastAsia="Calibri" w:hAnsi="Cambria" w:cs="Times New Roman"/>
                <w:lang w:val="hr-HR"/>
              </w:rPr>
            </w:pPr>
            <w:r w:rsidRPr="00DF4CE5">
              <w:rPr>
                <w:rFonts w:ascii="Cambria" w:eastAsia="Calibri" w:hAnsi="Cambria" w:cs="Times New Roman"/>
                <w:lang w:val="hr-HR"/>
              </w:rPr>
              <w:t>Nastavnica</w:t>
            </w:r>
          </w:p>
        </w:tc>
        <w:tc>
          <w:tcPr>
            <w:tcW w:w="7082"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2A523F2" w14:textId="77777777" w:rsidR="006D2DC3" w:rsidRPr="00DF4CE5" w:rsidRDefault="006D2DC3" w:rsidP="00450B7A">
            <w:pPr>
              <w:spacing w:after="0" w:line="240" w:lineRule="auto"/>
              <w:jc w:val="both"/>
              <w:rPr>
                <w:rFonts w:ascii="Cambria" w:eastAsia="Calibri" w:hAnsi="Cambria" w:cs="Times New Roman"/>
                <w:lang w:val="hr-HR"/>
              </w:rPr>
            </w:pPr>
            <w:hyperlink r:id="rId201" w:history="1">
              <w:r w:rsidRPr="00DF4CE5">
                <w:rPr>
                  <w:rStyle w:val="Hiperveza"/>
                  <w:rFonts w:ascii="Cambria" w:eastAsia="Calibri" w:hAnsi="Cambria" w:cs="Times New Roman"/>
                  <w:lang w:val="hr-HR"/>
                </w:rPr>
                <w:t xml:space="preserve">Prof. dr. sc. Kristina </w:t>
              </w:r>
              <w:proofErr w:type="spellStart"/>
              <w:r w:rsidRPr="00DF4CE5">
                <w:rPr>
                  <w:rStyle w:val="Hiperveza"/>
                  <w:rFonts w:ascii="Cambria" w:eastAsia="Calibri" w:hAnsi="Cambria" w:cs="Times New Roman"/>
                  <w:lang w:val="hr-HR"/>
                </w:rPr>
                <w:t>Riman</w:t>
              </w:r>
              <w:proofErr w:type="spellEnd"/>
            </w:hyperlink>
            <w:r w:rsidRPr="00DF4CE5">
              <w:rPr>
                <w:rFonts w:ascii="Cambria" w:eastAsia="Calibri" w:hAnsi="Cambria" w:cs="Times New Roman"/>
                <w:lang w:val="hr-HR"/>
              </w:rPr>
              <w:t xml:space="preserve"> (nositeljica)</w:t>
            </w:r>
          </w:p>
        </w:tc>
      </w:tr>
      <w:tr w:rsidR="006D2DC3" w:rsidRPr="00D0399C" w14:paraId="43785F34" w14:textId="77777777" w:rsidTr="00450B7A">
        <w:tc>
          <w:tcPr>
            <w:tcW w:w="225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122498C" w14:textId="77777777" w:rsidR="006D2DC3" w:rsidRPr="00DF4CE5" w:rsidRDefault="006D2DC3" w:rsidP="00450B7A">
            <w:pPr>
              <w:spacing w:after="0" w:line="240" w:lineRule="auto"/>
              <w:jc w:val="both"/>
              <w:rPr>
                <w:rFonts w:ascii="Cambria" w:eastAsia="Calibri" w:hAnsi="Cambria" w:cs="Times New Roman"/>
                <w:lang w:val="hr-HR"/>
              </w:rPr>
            </w:pPr>
            <w:r w:rsidRPr="00DF4CE5">
              <w:rPr>
                <w:rFonts w:ascii="Cambria" w:eastAsia="Calibri" w:hAnsi="Cambria" w:cs="Times New Roman"/>
                <w:lang w:val="hr-HR"/>
              </w:rPr>
              <w:t>Studijski program</w:t>
            </w:r>
          </w:p>
        </w:tc>
        <w:tc>
          <w:tcPr>
            <w:tcW w:w="7082"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B6C43F8" w14:textId="77777777" w:rsidR="006D2DC3" w:rsidRPr="00DF4CE5" w:rsidRDefault="006D2DC3" w:rsidP="00450B7A">
            <w:pPr>
              <w:spacing w:after="0" w:line="240" w:lineRule="auto"/>
              <w:rPr>
                <w:rFonts w:ascii="Cambria" w:eastAsia="Calibri" w:hAnsi="Cambria" w:cs="Times New Roman"/>
                <w:lang w:val="hr-HR"/>
              </w:rPr>
            </w:pPr>
            <w:r w:rsidRPr="00DF4CE5">
              <w:rPr>
                <w:rFonts w:ascii="Cambria" w:eastAsia="Calibri" w:hAnsi="Cambria" w:cs="Times New Roman"/>
                <w:lang w:val="hr-HR"/>
              </w:rPr>
              <w:t>Sveučilišni integrirani prijediplomski i diplomski Učiteljski studij na hrvatskom jeziku</w:t>
            </w:r>
          </w:p>
        </w:tc>
      </w:tr>
      <w:tr w:rsidR="006D2DC3" w:rsidRPr="00DF4CE5" w14:paraId="2F5361B7" w14:textId="77777777" w:rsidTr="00450B7A">
        <w:tc>
          <w:tcPr>
            <w:tcW w:w="225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BE92D1F" w14:textId="77777777" w:rsidR="006D2DC3" w:rsidRPr="00DF4CE5" w:rsidRDefault="006D2DC3" w:rsidP="00450B7A">
            <w:pPr>
              <w:spacing w:after="0" w:line="240" w:lineRule="auto"/>
              <w:jc w:val="both"/>
              <w:rPr>
                <w:rFonts w:ascii="Cambria" w:eastAsia="Calibri" w:hAnsi="Cambria" w:cs="Times New Roman"/>
                <w:lang w:val="hr-HR"/>
              </w:rPr>
            </w:pPr>
            <w:r w:rsidRPr="00DF4CE5">
              <w:rPr>
                <w:rFonts w:ascii="Cambria" w:eastAsia="Calibri" w:hAnsi="Cambria" w:cs="Times New Roman"/>
                <w:lang w:val="hr-HR"/>
              </w:rPr>
              <w:t>Vrsta kolegija</w:t>
            </w:r>
          </w:p>
        </w:tc>
        <w:tc>
          <w:tcPr>
            <w:tcW w:w="269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B74F94B" w14:textId="77777777" w:rsidR="006D2DC3" w:rsidRPr="00DF4CE5" w:rsidRDefault="006D2DC3" w:rsidP="00450B7A">
            <w:pPr>
              <w:spacing w:after="0" w:line="240" w:lineRule="auto"/>
              <w:jc w:val="both"/>
              <w:rPr>
                <w:rFonts w:ascii="Cambria" w:eastAsia="Calibri" w:hAnsi="Cambria" w:cs="Times New Roman"/>
                <w:lang w:val="hr-HR"/>
              </w:rPr>
            </w:pPr>
            <w:r>
              <w:rPr>
                <w:rFonts w:ascii="Cambria" w:eastAsia="Calibri" w:hAnsi="Cambria" w:cs="Times New Roman"/>
                <w:lang w:val="hr-HR"/>
              </w:rPr>
              <w:t>i</w:t>
            </w:r>
            <w:r w:rsidRPr="00DF4CE5">
              <w:rPr>
                <w:rFonts w:ascii="Cambria" w:eastAsia="Calibri" w:hAnsi="Cambria" w:cs="Times New Roman"/>
                <w:lang w:val="hr-HR"/>
              </w:rPr>
              <w:t xml:space="preserve">zborni </w:t>
            </w:r>
          </w:p>
        </w:tc>
        <w:tc>
          <w:tcPr>
            <w:tcW w:w="1625"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118C95FB" w14:textId="77777777" w:rsidR="006D2DC3" w:rsidRPr="00DF4CE5" w:rsidRDefault="006D2DC3" w:rsidP="00450B7A">
            <w:pPr>
              <w:spacing w:after="0" w:line="240" w:lineRule="auto"/>
              <w:jc w:val="both"/>
              <w:rPr>
                <w:rFonts w:ascii="Cambria" w:eastAsia="Calibri" w:hAnsi="Cambria" w:cs="Times New Roman"/>
                <w:lang w:val="hr-HR"/>
              </w:rPr>
            </w:pPr>
            <w:r w:rsidRPr="00DF4CE5">
              <w:rPr>
                <w:rFonts w:ascii="Cambria" w:eastAsia="Calibri" w:hAnsi="Cambria" w:cs="Times New Roman"/>
                <w:lang w:val="hr-HR"/>
              </w:rPr>
              <w:t>Razina kolegija</w:t>
            </w:r>
          </w:p>
        </w:tc>
        <w:tc>
          <w:tcPr>
            <w:tcW w:w="2766"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9626897" w14:textId="77777777" w:rsidR="006D2DC3" w:rsidRPr="00DF4CE5" w:rsidRDefault="006D2DC3" w:rsidP="00450B7A">
            <w:pPr>
              <w:spacing w:after="0" w:line="240" w:lineRule="auto"/>
              <w:jc w:val="both"/>
              <w:rPr>
                <w:rFonts w:ascii="Cambria" w:eastAsia="Calibri" w:hAnsi="Cambria" w:cs="Times New Roman"/>
                <w:lang w:val="hr-HR"/>
              </w:rPr>
            </w:pPr>
            <w:r w:rsidRPr="00DF4CE5">
              <w:rPr>
                <w:rFonts w:ascii="Cambria" w:eastAsia="Calibri" w:hAnsi="Cambria" w:cs="Times New Roman"/>
                <w:lang w:val="hr-HR"/>
              </w:rPr>
              <w:t>integrirani</w:t>
            </w:r>
          </w:p>
        </w:tc>
      </w:tr>
      <w:tr w:rsidR="006D2DC3" w:rsidRPr="00DF4CE5" w14:paraId="6EC79F22" w14:textId="77777777" w:rsidTr="00450B7A">
        <w:tc>
          <w:tcPr>
            <w:tcW w:w="225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CD882CC" w14:textId="77777777" w:rsidR="006D2DC3" w:rsidRPr="00DF4CE5" w:rsidRDefault="006D2DC3" w:rsidP="00450B7A">
            <w:pPr>
              <w:spacing w:after="0" w:line="240" w:lineRule="auto"/>
              <w:jc w:val="both"/>
              <w:rPr>
                <w:rFonts w:ascii="Cambria" w:eastAsia="Calibri" w:hAnsi="Cambria" w:cs="Times New Roman"/>
                <w:lang w:val="hr-HR"/>
              </w:rPr>
            </w:pPr>
            <w:r w:rsidRPr="00DF4CE5">
              <w:rPr>
                <w:rFonts w:ascii="Cambria" w:eastAsia="Calibri" w:hAnsi="Cambria" w:cs="Times New Roman"/>
                <w:lang w:val="hr-HR"/>
              </w:rPr>
              <w:t>Semestar</w:t>
            </w:r>
          </w:p>
        </w:tc>
        <w:tc>
          <w:tcPr>
            <w:tcW w:w="269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91E935F" w14:textId="77777777" w:rsidR="006D2DC3" w:rsidRPr="00DF4CE5" w:rsidRDefault="006D2DC3" w:rsidP="00450B7A">
            <w:pPr>
              <w:spacing w:after="0" w:line="240" w:lineRule="auto"/>
              <w:jc w:val="both"/>
              <w:rPr>
                <w:rFonts w:ascii="Cambria" w:eastAsia="Calibri" w:hAnsi="Cambria" w:cs="Times New Roman"/>
                <w:lang w:val="hr-HR"/>
              </w:rPr>
            </w:pPr>
            <w:r>
              <w:rPr>
                <w:rFonts w:ascii="Cambria" w:eastAsia="Calibri" w:hAnsi="Cambria" w:cs="Times New Roman"/>
                <w:lang w:val="hr-HR"/>
              </w:rPr>
              <w:t>l</w:t>
            </w:r>
            <w:r w:rsidRPr="00DF4CE5">
              <w:rPr>
                <w:rFonts w:ascii="Cambria" w:eastAsia="Calibri" w:hAnsi="Cambria" w:cs="Times New Roman"/>
                <w:lang w:val="hr-HR"/>
              </w:rPr>
              <w:t>jetni</w:t>
            </w:r>
            <w:r w:rsidRPr="00DF4CE5">
              <w:rPr>
                <w:rFonts w:ascii="Cambria" w:eastAsia="Calibri" w:hAnsi="Cambria" w:cs="Times New Roman"/>
                <w:b/>
                <w:bCs/>
                <w:lang w:val="hr-HR"/>
              </w:rPr>
              <w:t xml:space="preserve">  </w:t>
            </w:r>
          </w:p>
        </w:tc>
        <w:tc>
          <w:tcPr>
            <w:tcW w:w="1625"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75084D05" w14:textId="77777777" w:rsidR="006D2DC3" w:rsidRPr="00DF4CE5" w:rsidRDefault="006D2DC3" w:rsidP="00450B7A">
            <w:pPr>
              <w:spacing w:after="0" w:line="240" w:lineRule="auto"/>
              <w:jc w:val="both"/>
              <w:rPr>
                <w:rFonts w:ascii="Cambria" w:eastAsia="Calibri" w:hAnsi="Cambria" w:cs="Times New Roman"/>
                <w:lang w:val="hr-HR"/>
              </w:rPr>
            </w:pPr>
            <w:r w:rsidRPr="00DF4CE5">
              <w:rPr>
                <w:rFonts w:ascii="Cambria" w:eastAsia="Calibri" w:hAnsi="Cambria" w:cs="Times New Roman"/>
                <w:lang w:val="hr-HR"/>
              </w:rPr>
              <w:t>Godina studija</w:t>
            </w:r>
          </w:p>
        </w:tc>
        <w:tc>
          <w:tcPr>
            <w:tcW w:w="2766"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A7FAAC8" w14:textId="0C93CED2" w:rsidR="006D2DC3" w:rsidRPr="00DF4CE5" w:rsidRDefault="006D2DC3" w:rsidP="00450B7A">
            <w:pPr>
              <w:spacing w:after="0" w:line="240" w:lineRule="auto"/>
              <w:jc w:val="both"/>
              <w:rPr>
                <w:rFonts w:ascii="Cambria" w:eastAsia="Calibri" w:hAnsi="Cambria" w:cs="Times New Roman"/>
                <w:lang w:val="hr-HR"/>
              </w:rPr>
            </w:pPr>
            <w:r>
              <w:rPr>
                <w:rFonts w:ascii="Cambria" w:eastAsia="Calibri" w:hAnsi="Cambria" w:cs="Times New Roman"/>
                <w:lang w:val="hr-HR"/>
              </w:rPr>
              <w:t>V.</w:t>
            </w:r>
          </w:p>
        </w:tc>
      </w:tr>
      <w:tr w:rsidR="006D2DC3" w:rsidRPr="00DF4CE5" w14:paraId="417F392F" w14:textId="77777777" w:rsidTr="00450B7A">
        <w:tc>
          <w:tcPr>
            <w:tcW w:w="225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B30CB71" w14:textId="77777777" w:rsidR="006D2DC3" w:rsidRPr="00DF4CE5" w:rsidRDefault="006D2DC3" w:rsidP="00450B7A">
            <w:pPr>
              <w:spacing w:after="0" w:line="240" w:lineRule="auto"/>
              <w:jc w:val="both"/>
              <w:rPr>
                <w:rFonts w:ascii="Cambria" w:eastAsia="Calibri" w:hAnsi="Cambria" w:cs="Times New Roman"/>
                <w:lang w:val="hr-HR"/>
              </w:rPr>
            </w:pPr>
            <w:proofErr w:type="spellStart"/>
            <w:r w:rsidRPr="00DF4CE5">
              <w:rPr>
                <w:rFonts w:ascii="Cambria" w:eastAsia="Calibri" w:hAnsi="Cambria" w:cs="Times New Roman"/>
              </w:rPr>
              <w:t>Mjesto</w:t>
            </w:r>
            <w:proofErr w:type="spellEnd"/>
            <w:r w:rsidRPr="00DF4CE5">
              <w:rPr>
                <w:rFonts w:ascii="Cambria" w:eastAsia="Calibri" w:hAnsi="Cambria" w:cs="Times New Roman"/>
              </w:rPr>
              <w:t xml:space="preserve"> </w:t>
            </w:r>
            <w:proofErr w:type="spellStart"/>
            <w:r w:rsidRPr="00DF4CE5">
              <w:rPr>
                <w:rFonts w:ascii="Cambria" w:eastAsia="Calibri" w:hAnsi="Cambria" w:cs="Times New Roman"/>
              </w:rPr>
              <w:t>izvođenja</w:t>
            </w:r>
            <w:proofErr w:type="spellEnd"/>
          </w:p>
        </w:tc>
        <w:tc>
          <w:tcPr>
            <w:tcW w:w="269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9F9A411" w14:textId="77777777" w:rsidR="006D2DC3" w:rsidRPr="00DF4CE5" w:rsidRDefault="006D2DC3" w:rsidP="00450B7A">
            <w:pPr>
              <w:spacing w:after="0" w:line="240" w:lineRule="auto"/>
              <w:jc w:val="both"/>
              <w:rPr>
                <w:rFonts w:ascii="Cambria" w:eastAsia="Calibri" w:hAnsi="Cambria" w:cs="Times New Roman"/>
                <w:lang w:val="hr-HR"/>
              </w:rPr>
            </w:pPr>
            <w:r>
              <w:rPr>
                <w:rFonts w:ascii="Cambria" w:eastAsia="Calibri" w:hAnsi="Cambria" w:cs="Times New Roman"/>
                <w:lang w:val="hr-HR"/>
              </w:rPr>
              <w:t>u</w:t>
            </w:r>
            <w:r w:rsidRPr="00DF4CE5">
              <w:rPr>
                <w:rFonts w:ascii="Cambria" w:eastAsia="Calibri" w:hAnsi="Cambria" w:cs="Times New Roman"/>
                <w:lang w:val="hr-HR"/>
              </w:rPr>
              <w:t xml:space="preserve">čionica </w:t>
            </w:r>
          </w:p>
        </w:tc>
        <w:tc>
          <w:tcPr>
            <w:tcW w:w="1625"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1917D6F3" w14:textId="77777777" w:rsidR="006D2DC3" w:rsidRPr="00DF4CE5" w:rsidRDefault="006D2DC3" w:rsidP="00450B7A">
            <w:pPr>
              <w:spacing w:after="0" w:line="240" w:lineRule="auto"/>
              <w:jc w:val="both"/>
              <w:rPr>
                <w:rFonts w:ascii="Cambria" w:eastAsia="Calibri" w:hAnsi="Cambria" w:cs="Times New Roman"/>
                <w:lang w:val="hr-HR"/>
              </w:rPr>
            </w:pPr>
            <w:r w:rsidRPr="00DF4CE5">
              <w:rPr>
                <w:rFonts w:ascii="Cambria" w:eastAsia="Calibri" w:hAnsi="Cambria" w:cs="Times New Roman"/>
              </w:rPr>
              <w:t>Jezik</w:t>
            </w:r>
            <w:r w:rsidRPr="00DF4CE5">
              <w:rPr>
                <w:rFonts w:ascii="Cambria" w:eastAsia="Calibri" w:hAnsi="Cambria" w:cs="Times New Roman"/>
                <w:lang w:val="hr-HR"/>
              </w:rPr>
              <w:t xml:space="preserve"> izvođenja </w:t>
            </w:r>
          </w:p>
        </w:tc>
        <w:tc>
          <w:tcPr>
            <w:tcW w:w="2766"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29DF9A6" w14:textId="77777777" w:rsidR="006D2DC3" w:rsidRPr="00DF4CE5" w:rsidRDefault="006D2DC3" w:rsidP="00450B7A">
            <w:pPr>
              <w:spacing w:after="0" w:line="240" w:lineRule="auto"/>
              <w:jc w:val="both"/>
              <w:rPr>
                <w:rFonts w:ascii="Cambria" w:eastAsia="Calibri" w:hAnsi="Cambria" w:cs="Times New Roman"/>
                <w:lang w:val="hr-HR"/>
              </w:rPr>
            </w:pPr>
            <w:r w:rsidRPr="00DF4CE5">
              <w:rPr>
                <w:rFonts w:ascii="Cambria" w:eastAsia="Calibri" w:hAnsi="Cambria" w:cs="Times New Roman"/>
                <w:lang w:val="hr-HR"/>
              </w:rPr>
              <w:t>hrvatski</w:t>
            </w:r>
          </w:p>
        </w:tc>
      </w:tr>
      <w:tr w:rsidR="006D2DC3" w:rsidRPr="00DF4CE5" w14:paraId="3C66CBB9" w14:textId="77777777" w:rsidTr="00450B7A">
        <w:tc>
          <w:tcPr>
            <w:tcW w:w="225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8C19EC9" w14:textId="77777777" w:rsidR="006D2DC3" w:rsidRPr="00DF4CE5" w:rsidRDefault="006D2DC3" w:rsidP="00450B7A">
            <w:pPr>
              <w:spacing w:after="0" w:line="240" w:lineRule="auto"/>
              <w:jc w:val="both"/>
              <w:rPr>
                <w:rFonts w:ascii="Cambria" w:eastAsia="Calibri" w:hAnsi="Cambria" w:cs="Times New Roman"/>
                <w:lang w:val="hr-HR"/>
              </w:rPr>
            </w:pPr>
            <w:r w:rsidRPr="00DF4CE5">
              <w:rPr>
                <w:rFonts w:ascii="Cambria" w:eastAsia="Calibri" w:hAnsi="Cambria" w:cs="Times New Roman"/>
                <w:lang w:val="hr-HR"/>
              </w:rPr>
              <w:t>Broj ECTS bodova</w:t>
            </w:r>
          </w:p>
        </w:tc>
        <w:tc>
          <w:tcPr>
            <w:tcW w:w="269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6F54F46" w14:textId="6C1232E1" w:rsidR="006D2DC3" w:rsidRPr="00DF4CE5" w:rsidRDefault="00612853" w:rsidP="00450B7A">
            <w:pPr>
              <w:spacing w:after="0" w:line="240" w:lineRule="auto"/>
              <w:jc w:val="both"/>
              <w:rPr>
                <w:rFonts w:ascii="Cambria" w:eastAsia="Calibri" w:hAnsi="Cambria" w:cs="Times New Roman"/>
                <w:lang w:val="hr-HR"/>
              </w:rPr>
            </w:pPr>
            <w:r>
              <w:rPr>
                <w:rFonts w:ascii="Cambria" w:eastAsia="Calibri" w:hAnsi="Cambria" w:cs="Times New Roman"/>
                <w:lang w:val="hr-HR"/>
              </w:rPr>
              <w:t>2</w:t>
            </w:r>
          </w:p>
        </w:tc>
        <w:tc>
          <w:tcPr>
            <w:tcW w:w="1625"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4BEF0A7E" w14:textId="77777777" w:rsidR="006D2DC3" w:rsidRPr="00DF4CE5" w:rsidRDefault="006D2DC3" w:rsidP="00450B7A">
            <w:pPr>
              <w:spacing w:after="0" w:line="240" w:lineRule="auto"/>
              <w:jc w:val="both"/>
              <w:rPr>
                <w:rFonts w:ascii="Cambria" w:eastAsia="Calibri" w:hAnsi="Cambria" w:cs="Times New Roman"/>
                <w:lang w:val="hr-HR"/>
              </w:rPr>
            </w:pPr>
            <w:r w:rsidRPr="00DF4CE5">
              <w:rPr>
                <w:rFonts w:ascii="Cambria" w:eastAsia="Calibri" w:hAnsi="Cambria" w:cs="Times New Roman"/>
                <w:lang w:val="hr-HR"/>
              </w:rPr>
              <w:t>Broj sati u semestru</w:t>
            </w:r>
          </w:p>
        </w:tc>
        <w:tc>
          <w:tcPr>
            <w:tcW w:w="2766"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C726A5A" w14:textId="77777777" w:rsidR="006D2DC3" w:rsidRPr="00DF4CE5" w:rsidRDefault="006D2DC3" w:rsidP="00450B7A">
            <w:pPr>
              <w:spacing w:after="0" w:line="240" w:lineRule="auto"/>
              <w:jc w:val="both"/>
              <w:rPr>
                <w:rFonts w:ascii="Cambria" w:eastAsia="Calibri" w:hAnsi="Cambria" w:cs="Times New Roman"/>
                <w:lang w:val="hr-HR"/>
              </w:rPr>
            </w:pPr>
            <w:r w:rsidRPr="00DF4CE5">
              <w:rPr>
                <w:rFonts w:ascii="Cambria" w:eastAsia="Calibri" w:hAnsi="Cambria" w:cs="Times New Roman"/>
                <w:lang w:val="hr-HR"/>
              </w:rPr>
              <w:t xml:space="preserve">15P </w:t>
            </w:r>
            <w:r>
              <w:rPr>
                <w:rFonts w:ascii="Cambria" w:eastAsia="Calibri" w:hAnsi="Cambria" w:cs="Times New Roman"/>
                <w:lang w:val="hr-HR"/>
              </w:rPr>
              <w:t>–</w:t>
            </w:r>
            <w:r w:rsidRPr="00DF4CE5">
              <w:rPr>
                <w:rFonts w:ascii="Cambria" w:eastAsia="Calibri" w:hAnsi="Cambria" w:cs="Times New Roman"/>
                <w:lang w:val="hr-HR"/>
              </w:rPr>
              <w:t xml:space="preserve"> </w:t>
            </w:r>
            <w:r>
              <w:rPr>
                <w:rFonts w:ascii="Cambria" w:eastAsia="Calibri" w:hAnsi="Cambria" w:cs="Times New Roman"/>
                <w:lang w:val="hr-HR"/>
              </w:rPr>
              <w:t>1</w:t>
            </w:r>
            <w:r w:rsidRPr="00DF4CE5">
              <w:rPr>
                <w:rFonts w:ascii="Cambria" w:eastAsia="Calibri" w:hAnsi="Cambria" w:cs="Times New Roman"/>
                <w:lang w:val="hr-HR"/>
              </w:rPr>
              <w:t>5S</w:t>
            </w:r>
            <w:r>
              <w:rPr>
                <w:rFonts w:ascii="Cambria" w:eastAsia="Calibri" w:hAnsi="Cambria" w:cs="Times New Roman"/>
                <w:lang w:val="hr-HR"/>
              </w:rPr>
              <w:t xml:space="preserve"> – </w:t>
            </w:r>
            <w:r w:rsidRPr="00DF4CE5">
              <w:rPr>
                <w:rFonts w:ascii="Cambria" w:eastAsia="Calibri" w:hAnsi="Cambria" w:cs="Times New Roman"/>
                <w:lang w:val="hr-HR"/>
              </w:rPr>
              <w:t xml:space="preserve">0V   </w:t>
            </w:r>
          </w:p>
        </w:tc>
      </w:tr>
      <w:tr w:rsidR="006D2DC3" w:rsidRPr="00DF4CE5" w14:paraId="0E4BEB9B" w14:textId="77777777" w:rsidTr="00450B7A">
        <w:tc>
          <w:tcPr>
            <w:tcW w:w="225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EA2478E" w14:textId="77777777" w:rsidR="006D2DC3" w:rsidRPr="00DF4CE5" w:rsidRDefault="006D2DC3" w:rsidP="00450B7A">
            <w:pPr>
              <w:spacing w:after="0" w:line="240" w:lineRule="auto"/>
              <w:jc w:val="both"/>
              <w:rPr>
                <w:rFonts w:ascii="Cambria" w:eastAsia="Calibri" w:hAnsi="Cambria" w:cs="Times New Roman"/>
                <w:lang w:val="hr-HR"/>
              </w:rPr>
            </w:pPr>
            <w:r w:rsidRPr="00DF4CE5">
              <w:rPr>
                <w:rFonts w:ascii="Cambria" w:eastAsia="Calibri" w:hAnsi="Cambria" w:cs="Times New Roman"/>
                <w:lang w:val="hr-HR"/>
              </w:rPr>
              <w:t>Preduvjeti za upis i za svladavanje</w:t>
            </w:r>
          </w:p>
        </w:tc>
        <w:tc>
          <w:tcPr>
            <w:tcW w:w="7082"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29FFA23" w14:textId="77777777" w:rsidR="006D2DC3" w:rsidRPr="00DF4CE5" w:rsidRDefault="006D2DC3" w:rsidP="00450B7A">
            <w:pPr>
              <w:spacing w:after="0" w:line="240" w:lineRule="auto"/>
              <w:jc w:val="both"/>
              <w:rPr>
                <w:rFonts w:ascii="Cambria" w:eastAsia="Calibri" w:hAnsi="Cambria" w:cs="Times New Roman"/>
                <w:lang w:val="hr-HR"/>
              </w:rPr>
            </w:pPr>
            <w:r w:rsidRPr="00DF4CE5">
              <w:rPr>
                <w:rFonts w:ascii="Cambria" w:eastAsia="Calibri" w:hAnsi="Cambria" w:cs="Times New Roman"/>
                <w:lang w:val="hr-HR"/>
              </w:rPr>
              <w:t xml:space="preserve">Nema preduvjeta za upis.  </w:t>
            </w:r>
          </w:p>
        </w:tc>
      </w:tr>
      <w:tr w:rsidR="006D2DC3" w:rsidRPr="00D0399C" w14:paraId="161E2337" w14:textId="77777777" w:rsidTr="00450B7A">
        <w:tc>
          <w:tcPr>
            <w:tcW w:w="225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19A5973" w14:textId="77777777" w:rsidR="006D2DC3" w:rsidRPr="00DF4CE5" w:rsidRDefault="006D2DC3" w:rsidP="00450B7A">
            <w:pPr>
              <w:spacing w:after="0" w:line="240" w:lineRule="auto"/>
              <w:jc w:val="both"/>
              <w:rPr>
                <w:rFonts w:ascii="Cambria" w:eastAsia="Calibri" w:hAnsi="Cambria" w:cs="Times New Roman"/>
                <w:lang w:val="hr-HR"/>
              </w:rPr>
            </w:pPr>
            <w:proofErr w:type="spellStart"/>
            <w:r w:rsidRPr="00DF4CE5">
              <w:rPr>
                <w:rFonts w:ascii="Cambria" w:eastAsia="Calibri" w:hAnsi="Cambria" w:cs="Times New Roman"/>
              </w:rPr>
              <w:t>Korelativnost</w:t>
            </w:r>
            <w:proofErr w:type="spellEnd"/>
          </w:p>
        </w:tc>
        <w:tc>
          <w:tcPr>
            <w:tcW w:w="7082"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96656D5" w14:textId="77777777" w:rsidR="006D2DC3" w:rsidRPr="00DF4CE5" w:rsidRDefault="006D2DC3" w:rsidP="00450B7A">
            <w:pPr>
              <w:spacing w:after="0" w:line="240" w:lineRule="auto"/>
              <w:jc w:val="both"/>
              <w:rPr>
                <w:rFonts w:ascii="Cambria" w:eastAsia="Calibri" w:hAnsi="Cambria" w:cs="Times New Roman"/>
                <w:lang w:val="hr-HR"/>
              </w:rPr>
            </w:pPr>
            <w:r w:rsidRPr="00DF4CE5">
              <w:rPr>
                <w:rFonts w:ascii="Cambria" w:eastAsia="Calibri" w:hAnsi="Cambria" w:cs="Times New Roman"/>
                <w:lang w:val="hr-HR"/>
              </w:rPr>
              <w:t>Književnost za djecu i mladež, Teorija književnosti, Svjetska književnost, Hrvatska književnost, Hrvatska usmena književnosti</w:t>
            </w:r>
          </w:p>
        </w:tc>
      </w:tr>
      <w:tr w:rsidR="006D2DC3" w:rsidRPr="00D0399C" w14:paraId="7EB8D246" w14:textId="77777777" w:rsidTr="00450B7A">
        <w:tc>
          <w:tcPr>
            <w:tcW w:w="225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D39B5CC" w14:textId="77777777" w:rsidR="006D2DC3" w:rsidRPr="00DF4CE5" w:rsidRDefault="006D2DC3" w:rsidP="00450B7A">
            <w:pPr>
              <w:spacing w:after="0" w:line="240" w:lineRule="auto"/>
              <w:jc w:val="both"/>
              <w:rPr>
                <w:rFonts w:ascii="Cambria" w:eastAsia="Calibri" w:hAnsi="Cambria" w:cs="Times New Roman"/>
                <w:lang w:val="hr-HR"/>
              </w:rPr>
            </w:pPr>
            <w:r w:rsidRPr="00DF4CE5">
              <w:rPr>
                <w:rFonts w:ascii="Cambria" w:eastAsia="Calibri" w:hAnsi="Cambria" w:cs="Times New Roman"/>
                <w:lang w:val="hr-HR"/>
              </w:rPr>
              <w:t xml:space="preserve">Cilj kolegija </w:t>
            </w:r>
          </w:p>
        </w:tc>
        <w:tc>
          <w:tcPr>
            <w:tcW w:w="7082"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A000B28" w14:textId="77777777" w:rsidR="006D2DC3" w:rsidRPr="00DF4CE5" w:rsidRDefault="006D2DC3" w:rsidP="00450B7A">
            <w:pPr>
              <w:spacing w:after="0" w:line="240" w:lineRule="auto"/>
              <w:jc w:val="both"/>
              <w:rPr>
                <w:rFonts w:ascii="Cambria" w:eastAsia="Calibri" w:hAnsi="Cambria" w:cs="Times New Roman"/>
                <w:lang w:val="hr-HR"/>
              </w:rPr>
            </w:pPr>
            <w:r w:rsidRPr="00DF4CE5">
              <w:rPr>
                <w:rFonts w:ascii="Cambria" w:eastAsia="Calibri" w:hAnsi="Cambria" w:cs="Times New Roman"/>
                <w:lang w:val="hr-HR"/>
              </w:rPr>
              <w:t>upoznati studente/studentice s osnovnim pojmovima koji se odnose na hrvatski dječji roman i hrvatski roman za mladež, pri čemu studenti /studentice trebaju usvojiti temeljne spoznaje o vrstama hrvatskog dječjeg romana, specifičnostima hrvatskih dječjih romana, te razviti sposobnost samostalne interpretacije hrvatskih romana namijenjenih djeci i mladeži.</w:t>
            </w:r>
          </w:p>
        </w:tc>
      </w:tr>
      <w:tr w:rsidR="006D2DC3" w:rsidRPr="00D0399C" w14:paraId="50B2C03D" w14:textId="77777777" w:rsidTr="00450B7A">
        <w:tc>
          <w:tcPr>
            <w:tcW w:w="225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367B1FB" w14:textId="77777777" w:rsidR="006D2DC3" w:rsidRPr="00DF4CE5" w:rsidRDefault="006D2DC3" w:rsidP="00450B7A">
            <w:pPr>
              <w:spacing w:after="0" w:line="240" w:lineRule="auto"/>
              <w:jc w:val="both"/>
              <w:rPr>
                <w:rFonts w:ascii="Cambria" w:eastAsia="Calibri" w:hAnsi="Cambria" w:cs="Times New Roman"/>
                <w:lang w:val="hr-HR"/>
              </w:rPr>
            </w:pPr>
            <w:r w:rsidRPr="00DF4CE5">
              <w:rPr>
                <w:rFonts w:ascii="Cambria" w:eastAsia="Calibri" w:hAnsi="Cambria" w:cs="Times New Roman"/>
                <w:lang w:val="hr-HR"/>
              </w:rPr>
              <w:t>Ishodi učenja</w:t>
            </w:r>
          </w:p>
        </w:tc>
        <w:tc>
          <w:tcPr>
            <w:tcW w:w="7082"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C23A90D" w14:textId="77777777" w:rsidR="006D2DC3" w:rsidRPr="00DF4CE5" w:rsidRDefault="006D2DC3" w:rsidP="00450B7A">
            <w:pPr>
              <w:spacing w:after="0" w:line="240" w:lineRule="auto"/>
              <w:jc w:val="both"/>
              <w:rPr>
                <w:rFonts w:ascii="Cambria" w:eastAsia="Calibri" w:hAnsi="Cambria" w:cs="Times New Roman"/>
                <w:lang w:val="hr-HR"/>
              </w:rPr>
            </w:pPr>
            <w:r w:rsidRPr="00DF4CE5">
              <w:rPr>
                <w:rFonts w:ascii="Cambria" w:eastAsia="Calibri" w:hAnsi="Cambria" w:cs="Times New Roman"/>
                <w:lang w:val="hr-HR"/>
              </w:rPr>
              <w:t>1. Pravilno definirati temeljne pojmove iz područja dječjeg romana i romana za mladež</w:t>
            </w:r>
          </w:p>
          <w:p w14:paraId="4F191A69" w14:textId="77777777" w:rsidR="006D2DC3" w:rsidRPr="00DF4CE5" w:rsidRDefault="006D2DC3" w:rsidP="00450B7A">
            <w:pPr>
              <w:spacing w:after="0" w:line="240" w:lineRule="auto"/>
              <w:jc w:val="both"/>
              <w:rPr>
                <w:rFonts w:ascii="Cambria" w:eastAsia="Calibri" w:hAnsi="Cambria" w:cs="Times New Roman"/>
                <w:lang w:val="hr-HR"/>
              </w:rPr>
            </w:pPr>
            <w:r w:rsidRPr="00DF4CE5">
              <w:rPr>
                <w:rFonts w:ascii="Cambria" w:eastAsia="Calibri" w:hAnsi="Cambria" w:cs="Times New Roman"/>
                <w:lang w:val="hr-HR"/>
              </w:rPr>
              <w:t>2. Interpretirati pojedina ostvarenja hrvatskog dječjeg romana i romana za mladež</w:t>
            </w:r>
          </w:p>
          <w:p w14:paraId="1116FAF3" w14:textId="77777777" w:rsidR="006D2DC3" w:rsidRPr="00DF4CE5" w:rsidRDefault="006D2DC3" w:rsidP="00450B7A">
            <w:pPr>
              <w:spacing w:after="0" w:line="240" w:lineRule="auto"/>
              <w:jc w:val="both"/>
              <w:rPr>
                <w:rFonts w:ascii="Cambria" w:eastAsia="Calibri" w:hAnsi="Cambria" w:cs="Times New Roman"/>
                <w:lang w:val="hr-HR"/>
              </w:rPr>
            </w:pPr>
            <w:r w:rsidRPr="00DF4CE5">
              <w:rPr>
                <w:rFonts w:ascii="Cambria" w:eastAsia="Calibri" w:hAnsi="Cambria" w:cs="Times New Roman"/>
                <w:lang w:val="hr-HR"/>
              </w:rPr>
              <w:t>3. Raščlaniti odabrane hrvatske dječje romane i romane za mladež.</w:t>
            </w:r>
          </w:p>
          <w:p w14:paraId="39A5F6B9" w14:textId="77777777" w:rsidR="006D2DC3" w:rsidRPr="00DF4CE5" w:rsidRDefault="006D2DC3" w:rsidP="00450B7A">
            <w:pPr>
              <w:spacing w:after="0" w:line="240" w:lineRule="auto"/>
              <w:jc w:val="both"/>
              <w:rPr>
                <w:rFonts w:ascii="Cambria" w:eastAsia="Calibri" w:hAnsi="Cambria" w:cs="Times New Roman"/>
                <w:lang w:val="hr-HR"/>
              </w:rPr>
            </w:pPr>
            <w:r w:rsidRPr="00DF4CE5">
              <w:rPr>
                <w:rFonts w:ascii="Cambria" w:eastAsia="Calibri" w:hAnsi="Cambria" w:cs="Times New Roman"/>
                <w:lang w:val="hr-HR"/>
              </w:rPr>
              <w:t>4. Kritički vrednovati pojedine romane za djecu i mladež koji ulaze u korpus hrvatske književnosti</w:t>
            </w:r>
          </w:p>
          <w:p w14:paraId="2EF6E4C2" w14:textId="77777777" w:rsidR="006D2DC3" w:rsidRPr="00DF4CE5" w:rsidRDefault="006D2DC3" w:rsidP="00450B7A">
            <w:pPr>
              <w:spacing w:after="0" w:line="240" w:lineRule="auto"/>
              <w:jc w:val="both"/>
              <w:rPr>
                <w:rFonts w:ascii="Cambria" w:eastAsia="Calibri" w:hAnsi="Cambria" w:cs="Times New Roman"/>
                <w:lang w:val="hr-HR"/>
              </w:rPr>
            </w:pPr>
            <w:r w:rsidRPr="00DF4CE5">
              <w:rPr>
                <w:rFonts w:ascii="Cambria" w:eastAsia="Calibri" w:hAnsi="Cambria" w:cs="Times New Roman"/>
                <w:lang w:val="hr-HR"/>
              </w:rPr>
              <w:t>5. Primijeniti stečene kompetencije na književnim djelima namijenjenima djeci i mladeži</w:t>
            </w:r>
          </w:p>
        </w:tc>
      </w:tr>
      <w:tr w:rsidR="006D2DC3" w:rsidRPr="00D0399C" w14:paraId="13862992" w14:textId="77777777" w:rsidTr="00450B7A">
        <w:tc>
          <w:tcPr>
            <w:tcW w:w="2258"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7485D539" w14:textId="77777777" w:rsidR="006D2DC3" w:rsidRPr="00DF4CE5" w:rsidRDefault="006D2DC3" w:rsidP="00450B7A">
            <w:pPr>
              <w:spacing w:after="0" w:line="240" w:lineRule="auto"/>
              <w:jc w:val="both"/>
              <w:rPr>
                <w:rFonts w:ascii="Cambria" w:eastAsia="Calibri" w:hAnsi="Cambria" w:cs="Times New Roman"/>
                <w:lang w:val="hr-HR"/>
              </w:rPr>
            </w:pPr>
            <w:r w:rsidRPr="00DF4CE5">
              <w:rPr>
                <w:rFonts w:ascii="Cambria" w:eastAsia="Calibri" w:hAnsi="Cambria" w:cs="Times New Roman"/>
                <w:lang w:val="hr-HR"/>
              </w:rPr>
              <w:t>Sadržaj kolegija</w:t>
            </w:r>
          </w:p>
        </w:tc>
        <w:tc>
          <w:tcPr>
            <w:tcW w:w="7082" w:type="dxa"/>
            <w:gridSpan w:val="6"/>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51EF95" w14:textId="77777777" w:rsidR="006D2DC3" w:rsidRPr="00DF4CE5" w:rsidRDefault="006D2DC3" w:rsidP="00450B7A">
            <w:pPr>
              <w:spacing w:after="0" w:line="240" w:lineRule="auto"/>
              <w:jc w:val="both"/>
              <w:rPr>
                <w:rFonts w:ascii="Cambria" w:eastAsia="Calibri" w:hAnsi="Cambria" w:cs="Times New Roman"/>
                <w:lang w:val="hr-HR"/>
              </w:rPr>
            </w:pPr>
            <w:r w:rsidRPr="00DF4CE5">
              <w:rPr>
                <w:rFonts w:ascii="Cambria" w:eastAsia="Calibri" w:hAnsi="Cambria" w:cs="Times New Roman"/>
                <w:lang w:val="hr-HR"/>
              </w:rPr>
              <w:t xml:space="preserve">1. Uvod u proučavanje hrvatskog dječjeg romana (Definiranje i naziv. Recepcijska usmjerenost). </w:t>
            </w:r>
          </w:p>
          <w:p w14:paraId="5B60F4FA" w14:textId="77777777" w:rsidR="006D2DC3" w:rsidRPr="00DF4CE5" w:rsidRDefault="006D2DC3" w:rsidP="00450B7A">
            <w:pPr>
              <w:spacing w:after="0" w:line="240" w:lineRule="auto"/>
              <w:jc w:val="both"/>
              <w:rPr>
                <w:rFonts w:ascii="Cambria" w:eastAsia="Calibri" w:hAnsi="Cambria" w:cs="Times New Roman"/>
                <w:lang w:val="hr-HR"/>
              </w:rPr>
            </w:pPr>
            <w:r w:rsidRPr="00DF4CE5">
              <w:rPr>
                <w:rFonts w:ascii="Cambria" w:eastAsia="Calibri" w:hAnsi="Cambria" w:cs="Times New Roman"/>
                <w:lang w:val="hr-HR"/>
              </w:rPr>
              <w:t>2. Značajke hrvatskog dječjeg romana (Klasifikacija i periodizacija)</w:t>
            </w:r>
          </w:p>
          <w:p w14:paraId="31A31075" w14:textId="77777777" w:rsidR="006D2DC3" w:rsidRPr="00DF4CE5" w:rsidRDefault="006D2DC3" w:rsidP="00450B7A">
            <w:pPr>
              <w:spacing w:after="0"/>
              <w:jc w:val="both"/>
              <w:rPr>
                <w:rFonts w:ascii="Cambria" w:eastAsia="Calibri" w:hAnsi="Cambria" w:cs="Times New Roman"/>
                <w:lang w:val="hr-HR"/>
              </w:rPr>
            </w:pPr>
            <w:r w:rsidRPr="00DF4CE5">
              <w:rPr>
                <w:rFonts w:ascii="Cambria" w:eastAsia="Calibri" w:hAnsi="Cambria" w:cs="Times New Roman"/>
                <w:lang w:val="hr-HR"/>
              </w:rPr>
              <w:t xml:space="preserve">3. Počeci hrvatskog dječjeg romana. </w:t>
            </w:r>
          </w:p>
          <w:p w14:paraId="57BB3916" w14:textId="77777777" w:rsidR="006D2DC3" w:rsidRPr="00DF4CE5" w:rsidRDefault="006D2DC3" w:rsidP="00450B7A">
            <w:pPr>
              <w:spacing w:after="0"/>
              <w:jc w:val="both"/>
              <w:rPr>
                <w:rFonts w:ascii="Cambria" w:eastAsia="Calibri" w:hAnsi="Cambria" w:cs="Times New Roman"/>
                <w:bCs/>
                <w:lang w:val="hr-HR"/>
              </w:rPr>
            </w:pPr>
            <w:r w:rsidRPr="00DF4CE5">
              <w:rPr>
                <w:rFonts w:ascii="Cambria" w:eastAsia="Calibri" w:hAnsi="Cambria" w:cs="Times New Roman"/>
                <w:iCs/>
                <w:lang w:val="hr-HR"/>
              </w:rPr>
              <w:t xml:space="preserve">4. </w:t>
            </w:r>
            <w:r w:rsidRPr="00DF4CE5">
              <w:rPr>
                <w:rFonts w:ascii="Cambria" w:eastAsia="Calibri" w:hAnsi="Cambria" w:cs="Times New Roman"/>
                <w:lang w:val="hr-HR"/>
              </w:rPr>
              <w:t>Realistički dječji roman.</w:t>
            </w:r>
            <w:r w:rsidRPr="00DF4CE5">
              <w:rPr>
                <w:rFonts w:ascii="Cambria" w:eastAsia="Calibri" w:hAnsi="Cambria" w:cs="Times New Roman"/>
                <w:bCs/>
                <w:lang w:val="hr-HR"/>
              </w:rPr>
              <w:t xml:space="preserve"> </w:t>
            </w:r>
          </w:p>
          <w:p w14:paraId="4489E000" w14:textId="77777777" w:rsidR="006D2DC3" w:rsidRPr="00DF4CE5" w:rsidRDefault="006D2DC3" w:rsidP="00450B7A">
            <w:pPr>
              <w:spacing w:after="0"/>
              <w:jc w:val="both"/>
              <w:rPr>
                <w:rFonts w:ascii="Cambria" w:eastAsia="Calibri" w:hAnsi="Cambria" w:cs="Times New Roman"/>
                <w:lang w:val="hr-HR"/>
              </w:rPr>
            </w:pPr>
            <w:r w:rsidRPr="00DF4CE5">
              <w:rPr>
                <w:rFonts w:ascii="Cambria" w:eastAsia="Calibri" w:hAnsi="Cambria" w:cs="Times New Roman"/>
                <w:bCs/>
                <w:lang w:val="hr-HR"/>
              </w:rPr>
              <w:t xml:space="preserve">5. </w:t>
            </w:r>
            <w:r w:rsidRPr="00DF4CE5">
              <w:rPr>
                <w:rFonts w:ascii="Cambria" w:eastAsia="Calibri" w:hAnsi="Cambria" w:cs="Times New Roman"/>
                <w:lang w:val="hr-HR"/>
              </w:rPr>
              <w:t xml:space="preserve">Zrelo doba hrvatskog dječjeg romana. </w:t>
            </w:r>
          </w:p>
          <w:p w14:paraId="78634620" w14:textId="77777777" w:rsidR="006D2DC3" w:rsidRPr="00DF4CE5" w:rsidRDefault="006D2DC3" w:rsidP="00450B7A">
            <w:pPr>
              <w:spacing w:after="0"/>
              <w:jc w:val="both"/>
              <w:rPr>
                <w:rFonts w:ascii="Cambria" w:eastAsia="Calibri" w:hAnsi="Cambria" w:cs="Times New Roman"/>
                <w:iCs/>
                <w:lang w:val="hr-HR"/>
              </w:rPr>
            </w:pPr>
            <w:r w:rsidRPr="00DF4CE5">
              <w:rPr>
                <w:rFonts w:ascii="Cambria" w:eastAsia="Calibri" w:hAnsi="Cambria" w:cs="Times New Roman"/>
                <w:lang w:val="hr-HR"/>
              </w:rPr>
              <w:t>6. Suvremeni hrvatski dječji roman i roman za mladež.</w:t>
            </w:r>
          </w:p>
        </w:tc>
      </w:tr>
      <w:tr w:rsidR="006D2DC3" w:rsidRPr="00DF4CE5" w14:paraId="3D473CC7" w14:textId="77777777" w:rsidTr="00450B7A">
        <w:tc>
          <w:tcPr>
            <w:tcW w:w="2258"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hideMark/>
          </w:tcPr>
          <w:p w14:paraId="1CF587E7" w14:textId="77777777" w:rsidR="006D2DC3" w:rsidRPr="00DF4CE5" w:rsidRDefault="006D2DC3" w:rsidP="00450B7A">
            <w:pPr>
              <w:spacing w:after="0" w:line="240" w:lineRule="auto"/>
              <w:jc w:val="both"/>
              <w:rPr>
                <w:rFonts w:ascii="Cambria" w:eastAsia="Calibri" w:hAnsi="Cambria" w:cs="Times New Roman"/>
                <w:lang w:val="hr-HR"/>
              </w:rPr>
            </w:pPr>
            <w:r w:rsidRPr="00DF4CE5">
              <w:rPr>
                <w:rFonts w:ascii="Cambria" w:eastAsia="Calibri" w:hAnsi="Cambria" w:cs="Times New Roman"/>
                <w:lang w:val="hr-HR"/>
              </w:rPr>
              <w:lastRenderedPageBreak/>
              <w:t>Planirane aktivnosti,</w:t>
            </w:r>
          </w:p>
          <w:p w14:paraId="126B75CC" w14:textId="77777777" w:rsidR="006D2DC3" w:rsidRPr="00DF4CE5" w:rsidRDefault="006D2DC3" w:rsidP="00450B7A">
            <w:pPr>
              <w:spacing w:after="0" w:line="240" w:lineRule="auto"/>
              <w:rPr>
                <w:rFonts w:ascii="Cambria" w:eastAsia="Calibri" w:hAnsi="Cambria" w:cs="Times New Roman"/>
                <w:lang w:val="hr-HR"/>
              </w:rPr>
            </w:pPr>
            <w:proofErr w:type="spellStart"/>
            <w:r w:rsidRPr="00DF4CE5">
              <w:rPr>
                <w:rFonts w:ascii="Cambria" w:eastAsia="Calibri" w:hAnsi="Cambria" w:cs="Times New Roman"/>
                <w:lang w:val="it-IT"/>
              </w:rPr>
              <w:t>metode</w:t>
            </w:r>
            <w:proofErr w:type="spellEnd"/>
            <w:r w:rsidRPr="00DF4CE5">
              <w:rPr>
                <w:rFonts w:ascii="Cambria" w:eastAsia="Calibri" w:hAnsi="Cambria" w:cs="Times New Roman"/>
                <w:lang w:val="hr-HR"/>
              </w:rPr>
              <w:t xml:space="preserve"> učenja i poučavanja i načini vrednovanja</w:t>
            </w:r>
          </w:p>
          <w:p w14:paraId="3F92D486" w14:textId="77777777" w:rsidR="006D2DC3" w:rsidRPr="00DF4CE5" w:rsidRDefault="006D2DC3" w:rsidP="00450B7A">
            <w:pPr>
              <w:spacing w:after="0" w:line="240" w:lineRule="auto"/>
              <w:jc w:val="both"/>
              <w:rPr>
                <w:rFonts w:ascii="Cambria" w:eastAsia="Calibri" w:hAnsi="Cambria" w:cs="Times New Roman"/>
                <w:lang w:val="hr-HR"/>
              </w:rPr>
            </w:pPr>
          </w:p>
        </w:tc>
        <w:tc>
          <w:tcPr>
            <w:tcW w:w="269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EEFE21B" w14:textId="77777777" w:rsidR="006D2DC3" w:rsidRPr="00DF4CE5" w:rsidRDefault="006D2DC3" w:rsidP="00450B7A">
            <w:pPr>
              <w:spacing w:after="0" w:line="240" w:lineRule="auto"/>
              <w:jc w:val="both"/>
              <w:rPr>
                <w:rFonts w:ascii="Cambria" w:eastAsia="Calibri" w:hAnsi="Cambria" w:cs="Times New Roman"/>
                <w:lang w:val="hr-HR"/>
              </w:rPr>
            </w:pPr>
            <w:r w:rsidRPr="00DF4CE5">
              <w:rPr>
                <w:rFonts w:ascii="Cambria" w:eastAsia="Calibri" w:hAnsi="Cambria" w:cs="Times New Roman"/>
                <w:bCs/>
                <w:lang w:val="hr-HR"/>
              </w:rPr>
              <w:t>Obveze</w:t>
            </w:r>
            <w:r w:rsidRPr="00DF4CE5">
              <w:rPr>
                <w:rFonts w:ascii="Cambria" w:eastAsia="Calibri" w:hAnsi="Cambria" w:cs="Times New Roman"/>
                <w:bCs/>
              </w:rPr>
              <w:t xml:space="preserve"> </w:t>
            </w:r>
          </w:p>
          <w:p w14:paraId="53C2264F" w14:textId="77777777" w:rsidR="006D2DC3" w:rsidRPr="00DF4CE5" w:rsidRDefault="006D2DC3" w:rsidP="00450B7A">
            <w:pPr>
              <w:spacing w:after="0" w:line="240" w:lineRule="auto"/>
              <w:jc w:val="both"/>
              <w:rPr>
                <w:rFonts w:ascii="Cambria" w:eastAsia="Calibri" w:hAnsi="Cambria" w:cs="Times New Roman"/>
                <w:lang w:val="hr-HR"/>
              </w:rPr>
            </w:pP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A449251" w14:textId="77777777" w:rsidR="006D2DC3" w:rsidRPr="00DF4CE5" w:rsidRDefault="006D2DC3" w:rsidP="00450B7A">
            <w:pPr>
              <w:spacing w:after="0" w:line="240" w:lineRule="auto"/>
              <w:jc w:val="both"/>
              <w:rPr>
                <w:rFonts w:ascii="Cambria" w:eastAsia="Calibri" w:hAnsi="Cambria" w:cs="Times New Roman"/>
                <w:lang w:val="hr-HR"/>
              </w:rPr>
            </w:pPr>
            <w:r w:rsidRPr="00DF4CE5">
              <w:rPr>
                <w:rFonts w:ascii="Cambria" w:eastAsia="Calibri" w:hAnsi="Cambria" w:cs="Times New Roman"/>
                <w:bCs/>
                <w:lang w:val="hr-HR"/>
              </w:rPr>
              <w:t>Ishodi</w:t>
            </w:r>
          </w:p>
        </w:tc>
        <w:tc>
          <w:tcPr>
            <w:tcW w:w="92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3AE23AA" w14:textId="77777777" w:rsidR="006D2DC3" w:rsidRPr="00DF4CE5" w:rsidRDefault="006D2DC3" w:rsidP="00450B7A">
            <w:pPr>
              <w:spacing w:after="0" w:line="240" w:lineRule="auto"/>
              <w:jc w:val="both"/>
              <w:rPr>
                <w:rFonts w:ascii="Cambria" w:eastAsia="Calibri" w:hAnsi="Cambria" w:cs="Times New Roman"/>
                <w:lang w:val="hr-HR"/>
              </w:rPr>
            </w:pPr>
            <w:r w:rsidRPr="00DF4CE5">
              <w:rPr>
                <w:rFonts w:ascii="Cambria" w:eastAsia="Calibri" w:hAnsi="Cambria" w:cs="Times New Roman"/>
                <w:bCs/>
                <w:lang w:val="hr-HR"/>
              </w:rPr>
              <w:t>Sati</w:t>
            </w:r>
          </w:p>
        </w:tc>
        <w:tc>
          <w:tcPr>
            <w:tcW w:w="101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A9AFC5D" w14:textId="77777777" w:rsidR="006D2DC3" w:rsidRPr="00DF4CE5" w:rsidRDefault="006D2DC3" w:rsidP="00450B7A">
            <w:pPr>
              <w:spacing w:after="0" w:line="240" w:lineRule="auto"/>
              <w:jc w:val="both"/>
              <w:rPr>
                <w:rFonts w:ascii="Cambria" w:eastAsia="Calibri" w:hAnsi="Cambria" w:cs="Times New Roman"/>
                <w:lang w:val="hr-HR"/>
              </w:rPr>
            </w:pPr>
            <w:r w:rsidRPr="00DF4CE5">
              <w:rPr>
                <w:rFonts w:ascii="Cambria" w:eastAsia="Calibri" w:hAnsi="Cambria" w:cs="Times New Roman"/>
                <w:bCs/>
                <w:lang w:val="hr-HR"/>
              </w:rPr>
              <w:t>ECTS</w:t>
            </w:r>
          </w:p>
        </w:tc>
        <w:tc>
          <w:tcPr>
            <w:tcW w:w="132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6D039D3" w14:textId="77777777" w:rsidR="006D2DC3" w:rsidRPr="00DF4CE5" w:rsidRDefault="006D2DC3" w:rsidP="00450B7A">
            <w:pPr>
              <w:spacing w:after="0" w:line="240" w:lineRule="auto"/>
              <w:rPr>
                <w:rFonts w:ascii="Cambria" w:eastAsia="Calibri" w:hAnsi="Cambria" w:cs="Times New Roman"/>
                <w:lang w:val="hr-HR"/>
              </w:rPr>
            </w:pPr>
            <w:r w:rsidRPr="00DF4CE5">
              <w:rPr>
                <w:rFonts w:ascii="Cambria" w:eastAsia="Calibri" w:hAnsi="Cambria" w:cs="Times New Roman"/>
                <w:bCs/>
                <w:lang w:val="hr-HR"/>
              </w:rPr>
              <w:t>Maksimalni udio u ocjeni</w:t>
            </w:r>
            <w:r w:rsidRPr="00DF4CE5">
              <w:rPr>
                <w:rFonts w:ascii="Cambria" w:eastAsia="Calibri" w:hAnsi="Cambria" w:cs="Times New Roman"/>
                <w:bCs/>
              </w:rPr>
              <w:t xml:space="preserve"> (%)</w:t>
            </w:r>
          </w:p>
        </w:tc>
      </w:tr>
      <w:tr w:rsidR="006D2DC3" w:rsidRPr="00DF4CE5" w14:paraId="1BEF6E6D" w14:textId="77777777" w:rsidTr="00450B7A">
        <w:tc>
          <w:tcPr>
            <w:tcW w:w="2258" w:type="dxa"/>
            <w:vMerge/>
            <w:tcBorders>
              <w:left w:val="single" w:sz="8" w:space="0" w:color="000000"/>
              <w:right w:val="single" w:sz="8" w:space="0" w:color="000000"/>
            </w:tcBorders>
            <w:vAlign w:val="center"/>
            <w:hideMark/>
          </w:tcPr>
          <w:p w14:paraId="70F3720F" w14:textId="77777777" w:rsidR="006D2DC3" w:rsidRPr="00DF4CE5" w:rsidRDefault="006D2DC3" w:rsidP="00450B7A">
            <w:pPr>
              <w:spacing w:after="0" w:line="240" w:lineRule="auto"/>
              <w:jc w:val="both"/>
              <w:rPr>
                <w:rFonts w:ascii="Cambria" w:eastAsia="Calibri" w:hAnsi="Cambria" w:cs="Times New Roman"/>
                <w:lang w:val="hr-HR"/>
              </w:rPr>
            </w:pPr>
          </w:p>
        </w:tc>
        <w:tc>
          <w:tcPr>
            <w:tcW w:w="269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66BAC80" w14:textId="77777777" w:rsidR="006D2DC3" w:rsidRPr="00DF4CE5" w:rsidRDefault="006D2DC3" w:rsidP="00450B7A">
            <w:pPr>
              <w:spacing w:after="0" w:line="240" w:lineRule="auto"/>
              <w:jc w:val="both"/>
              <w:rPr>
                <w:rFonts w:ascii="Cambria" w:eastAsia="Calibri" w:hAnsi="Cambria" w:cs="Times New Roman"/>
                <w:lang w:val="hr-HR"/>
              </w:rPr>
            </w:pPr>
            <w:r>
              <w:rPr>
                <w:rFonts w:ascii="Cambria" w:eastAsia="Calibri" w:hAnsi="Cambria" w:cs="Times New Roman"/>
                <w:lang w:val="hr-HR"/>
              </w:rPr>
              <w:t>a</w:t>
            </w:r>
            <w:r w:rsidRPr="00DF4CE5">
              <w:rPr>
                <w:rFonts w:ascii="Cambria" w:eastAsia="Calibri" w:hAnsi="Cambria" w:cs="Times New Roman"/>
                <w:lang w:val="hr-HR"/>
              </w:rPr>
              <w:t>ktivnost na nastavi</w:t>
            </w:r>
            <w:r>
              <w:rPr>
                <w:rFonts w:ascii="Cambria" w:eastAsia="Calibri" w:hAnsi="Cambria" w:cs="Times New Roman"/>
                <w:lang w:val="hr-HR"/>
              </w:rPr>
              <w:t xml:space="preserve"> (P, S)</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BC57880" w14:textId="77777777" w:rsidR="006D2DC3" w:rsidRPr="00DF4CE5" w:rsidRDefault="006D2DC3" w:rsidP="00450B7A">
            <w:pPr>
              <w:spacing w:after="0" w:line="240" w:lineRule="auto"/>
              <w:jc w:val="center"/>
              <w:rPr>
                <w:rFonts w:ascii="Cambria" w:eastAsia="Calibri" w:hAnsi="Cambria" w:cs="Times New Roman"/>
                <w:lang w:val="hr-HR"/>
              </w:rPr>
            </w:pPr>
            <w:r w:rsidRPr="00DF4CE5">
              <w:rPr>
                <w:rFonts w:ascii="Cambria" w:eastAsia="Calibri" w:hAnsi="Cambria" w:cs="Times New Roman"/>
                <w:lang w:val="hr-HR"/>
              </w:rPr>
              <w:t xml:space="preserve">1. </w:t>
            </w:r>
            <w:r>
              <w:rPr>
                <w:rFonts w:ascii="Cambria" w:eastAsia="Calibri" w:hAnsi="Cambria" w:cs="Times New Roman"/>
                <w:lang w:val="hr-HR"/>
              </w:rPr>
              <w:t>–</w:t>
            </w:r>
            <w:r w:rsidRPr="00DF4CE5">
              <w:rPr>
                <w:rFonts w:ascii="Cambria" w:eastAsia="Calibri" w:hAnsi="Cambria" w:cs="Times New Roman"/>
                <w:lang w:val="hr-HR"/>
              </w:rPr>
              <w:t xml:space="preserve"> 5.</w:t>
            </w:r>
          </w:p>
        </w:tc>
        <w:tc>
          <w:tcPr>
            <w:tcW w:w="92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1ACA3B6" w14:textId="77777777" w:rsidR="006D2DC3" w:rsidRPr="00DF4CE5" w:rsidRDefault="006D2DC3" w:rsidP="00450B7A">
            <w:pPr>
              <w:spacing w:after="0" w:line="240" w:lineRule="auto"/>
              <w:jc w:val="center"/>
              <w:rPr>
                <w:rFonts w:ascii="Cambria" w:eastAsia="Calibri" w:hAnsi="Cambria" w:cs="Times New Roman"/>
                <w:lang w:val="hr-HR"/>
              </w:rPr>
            </w:pPr>
            <w:r w:rsidRPr="00DF4CE5">
              <w:rPr>
                <w:rFonts w:ascii="Cambria" w:eastAsia="Calibri" w:hAnsi="Cambria" w:cs="Times New Roman"/>
                <w:lang w:val="hr-HR"/>
              </w:rPr>
              <w:t>23</w:t>
            </w:r>
          </w:p>
        </w:tc>
        <w:tc>
          <w:tcPr>
            <w:tcW w:w="101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7115575" w14:textId="77777777" w:rsidR="006D2DC3" w:rsidRPr="00DF4CE5" w:rsidRDefault="006D2DC3" w:rsidP="00450B7A">
            <w:pPr>
              <w:spacing w:after="0" w:line="240" w:lineRule="auto"/>
              <w:jc w:val="center"/>
              <w:rPr>
                <w:rFonts w:ascii="Cambria" w:eastAsia="Calibri" w:hAnsi="Cambria" w:cs="Times New Roman"/>
                <w:lang w:val="hr-HR"/>
              </w:rPr>
            </w:pPr>
            <w:r w:rsidRPr="00DF4CE5">
              <w:rPr>
                <w:rFonts w:ascii="Cambria" w:eastAsia="Calibri" w:hAnsi="Cambria" w:cs="Times New Roman"/>
                <w:lang w:val="hr-HR"/>
              </w:rPr>
              <w:t>0,8</w:t>
            </w:r>
          </w:p>
        </w:tc>
        <w:tc>
          <w:tcPr>
            <w:tcW w:w="132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F084944" w14:textId="77777777" w:rsidR="006D2DC3" w:rsidRPr="00DF4CE5" w:rsidRDefault="006D2DC3" w:rsidP="00450B7A">
            <w:pPr>
              <w:spacing w:after="0" w:line="240" w:lineRule="auto"/>
              <w:jc w:val="center"/>
              <w:rPr>
                <w:rFonts w:ascii="Cambria" w:eastAsia="Calibri" w:hAnsi="Cambria" w:cs="Times New Roman"/>
                <w:lang w:val="hr-HR"/>
              </w:rPr>
            </w:pPr>
            <w:r w:rsidRPr="00DF4CE5">
              <w:rPr>
                <w:rFonts w:ascii="Cambria" w:eastAsia="Calibri" w:hAnsi="Cambria" w:cs="Times New Roman"/>
                <w:lang w:val="hr-HR"/>
              </w:rPr>
              <w:t>10%</w:t>
            </w:r>
          </w:p>
        </w:tc>
      </w:tr>
      <w:tr w:rsidR="006D2DC3" w:rsidRPr="00DF4CE5" w14:paraId="015248CE" w14:textId="77777777" w:rsidTr="00450B7A">
        <w:tc>
          <w:tcPr>
            <w:tcW w:w="2258" w:type="dxa"/>
            <w:vMerge/>
            <w:tcBorders>
              <w:left w:val="single" w:sz="8" w:space="0" w:color="000000"/>
              <w:right w:val="single" w:sz="8" w:space="0" w:color="000000"/>
            </w:tcBorders>
            <w:vAlign w:val="center"/>
            <w:hideMark/>
          </w:tcPr>
          <w:p w14:paraId="4B6C1254" w14:textId="77777777" w:rsidR="006D2DC3" w:rsidRPr="00DF4CE5" w:rsidRDefault="006D2DC3" w:rsidP="00450B7A">
            <w:pPr>
              <w:spacing w:after="0" w:line="240" w:lineRule="auto"/>
              <w:jc w:val="both"/>
              <w:rPr>
                <w:rFonts w:ascii="Cambria" w:eastAsia="Calibri" w:hAnsi="Cambria" w:cs="Times New Roman"/>
                <w:lang w:val="hr-HR"/>
              </w:rPr>
            </w:pPr>
          </w:p>
        </w:tc>
        <w:tc>
          <w:tcPr>
            <w:tcW w:w="269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C080C57" w14:textId="77777777" w:rsidR="006D2DC3" w:rsidRPr="00DF4CE5" w:rsidRDefault="006D2DC3" w:rsidP="00450B7A">
            <w:pPr>
              <w:spacing w:after="0" w:line="240" w:lineRule="auto"/>
              <w:jc w:val="both"/>
              <w:rPr>
                <w:rFonts w:ascii="Cambria" w:eastAsia="Calibri" w:hAnsi="Cambria" w:cs="Times New Roman"/>
                <w:lang w:val="hr-HR"/>
              </w:rPr>
            </w:pPr>
            <w:proofErr w:type="spellStart"/>
            <w:r>
              <w:rPr>
                <w:rFonts w:ascii="Cambria" w:eastAsia="Calibri" w:hAnsi="Cambria" w:cs="Times New Roman"/>
                <w:lang w:val="it-IT"/>
              </w:rPr>
              <w:t>s</w:t>
            </w:r>
            <w:r w:rsidRPr="00DF4CE5">
              <w:rPr>
                <w:rFonts w:ascii="Cambria" w:eastAsia="Calibri" w:hAnsi="Cambria" w:cs="Times New Roman"/>
                <w:lang w:val="it-IT"/>
              </w:rPr>
              <w:t>amostalni</w:t>
            </w:r>
            <w:proofErr w:type="spellEnd"/>
            <w:r w:rsidRPr="00DF4CE5">
              <w:rPr>
                <w:rFonts w:ascii="Cambria" w:eastAsia="Calibri" w:hAnsi="Cambria" w:cs="Times New Roman"/>
                <w:lang w:val="it-IT"/>
              </w:rPr>
              <w:t xml:space="preserve"> </w:t>
            </w:r>
            <w:proofErr w:type="spellStart"/>
            <w:r w:rsidRPr="00DF4CE5">
              <w:rPr>
                <w:rFonts w:ascii="Cambria" w:eastAsia="Calibri" w:hAnsi="Cambria" w:cs="Times New Roman"/>
                <w:lang w:val="it-IT"/>
              </w:rPr>
              <w:t>zadaci</w:t>
            </w:r>
            <w:proofErr w:type="spellEnd"/>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BCE27B2" w14:textId="77777777" w:rsidR="006D2DC3" w:rsidRPr="00DF4CE5" w:rsidRDefault="006D2DC3" w:rsidP="00450B7A">
            <w:pPr>
              <w:spacing w:after="0" w:line="240" w:lineRule="auto"/>
              <w:jc w:val="center"/>
              <w:rPr>
                <w:rFonts w:ascii="Cambria" w:eastAsia="Calibri" w:hAnsi="Cambria" w:cs="Times New Roman"/>
                <w:lang w:val="hr-HR"/>
              </w:rPr>
            </w:pPr>
            <w:r w:rsidRPr="00DF4CE5">
              <w:rPr>
                <w:rFonts w:ascii="Cambria" w:eastAsia="Calibri" w:hAnsi="Cambria" w:cs="Times New Roman"/>
                <w:lang w:val="hr-HR"/>
              </w:rPr>
              <w:t xml:space="preserve">2. </w:t>
            </w:r>
            <w:r>
              <w:rPr>
                <w:rFonts w:ascii="Cambria" w:eastAsia="Calibri" w:hAnsi="Cambria" w:cs="Times New Roman"/>
                <w:lang w:val="hr-HR"/>
              </w:rPr>
              <w:t>–</w:t>
            </w:r>
            <w:r w:rsidRPr="00DF4CE5">
              <w:rPr>
                <w:rFonts w:ascii="Cambria" w:eastAsia="Calibri" w:hAnsi="Cambria" w:cs="Times New Roman"/>
                <w:lang w:val="hr-HR"/>
              </w:rPr>
              <w:t xml:space="preserve"> 5.</w:t>
            </w:r>
          </w:p>
        </w:tc>
        <w:tc>
          <w:tcPr>
            <w:tcW w:w="92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ED59316" w14:textId="62562C99" w:rsidR="006D2DC3" w:rsidRPr="00DF4CE5" w:rsidRDefault="006D2DC3" w:rsidP="00450B7A">
            <w:pPr>
              <w:spacing w:after="0" w:line="240" w:lineRule="auto"/>
              <w:jc w:val="center"/>
              <w:rPr>
                <w:rFonts w:ascii="Cambria" w:eastAsia="Calibri" w:hAnsi="Cambria" w:cs="Times New Roman"/>
                <w:lang w:val="hr-HR"/>
              </w:rPr>
            </w:pPr>
            <w:r w:rsidRPr="00DF4CE5">
              <w:rPr>
                <w:rFonts w:ascii="Cambria" w:eastAsia="Calibri" w:hAnsi="Cambria" w:cs="Times New Roman"/>
                <w:lang w:val="hr-HR"/>
              </w:rPr>
              <w:t>7</w:t>
            </w:r>
          </w:p>
        </w:tc>
        <w:tc>
          <w:tcPr>
            <w:tcW w:w="101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278680C" w14:textId="1BB19222" w:rsidR="006D2DC3" w:rsidRPr="00DF4CE5" w:rsidRDefault="00612853" w:rsidP="00450B7A">
            <w:pPr>
              <w:spacing w:after="0" w:line="240" w:lineRule="auto"/>
              <w:jc w:val="center"/>
              <w:rPr>
                <w:rFonts w:ascii="Cambria" w:eastAsia="Calibri" w:hAnsi="Cambria" w:cs="Times New Roman"/>
                <w:lang w:val="hr-HR"/>
              </w:rPr>
            </w:pPr>
            <w:r>
              <w:rPr>
                <w:rFonts w:ascii="Cambria" w:eastAsia="Calibri" w:hAnsi="Cambria" w:cs="Times New Roman"/>
                <w:lang w:val="hr-HR"/>
              </w:rPr>
              <w:t>0,</w:t>
            </w:r>
            <w:r w:rsidR="006D2DC3" w:rsidRPr="00DF4CE5">
              <w:rPr>
                <w:rFonts w:ascii="Cambria" w:eastAsia="Calibri" w:hAnsi="Cambria" w:cs="Times New Roman"/>
                <w:lang w:val="hr-HR"/>
              </w:rPr>
              <w:t>2</w:t>
            </w:r>
          </w:p>
        </w:tc>
        <w:tc>
          <w:tcPr>
            <w:tcW w:w="132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03C388C" w14:textId="77777777" w:rsidR="006D2DC3" w:rsidRPr="00DF4CE5" w:rsidRDefault="006D2DC3" w:rsidP="00450B7A">
            <w:pPr>
              <w:spacing w:after="0" w:line="240" w:lineRule="auto"/>
              <w:jc w:val="center"/>
              <w:rPr>
                <w:rFonts w:ascii="Cambria" w:eastAsia="Calibri" w:hAnsi="Cambria" w:cs="Times New Roman"/>
                <w:lang w:val="hr-HR"/>
              </w:rPr>
            </w:pPr>
            <w:r w:rsidRPr="00DF4CE5">
              <w:rPr>
                <w:rFonts w:ascii="Cambria" w:eastAsia="Calibri" w:hAnsi="Cambria" w:cs="Times New Roman"/>
                <w:lang w:val="hr-HR"/>
              </w:rPr>
              <w:t>30%</w:t>
            </w:r>
          </w:p>
        </w:tc>
      </w:tr>
      <w:tr w:rsidR="006D2DC3" w:rsidRPr="00DF4CE5" w14:paraId="5D3EDA54" w14:textId="77777777" w:rsidTr="00450B7A">
        <w:tc>
          <w:tcPr>
            <w:tcW w:w="2258" w:type="dxa"/>
            <w:vMerge/>
            <w:tcBorders>
              <w:left w:val="single" w:sz="8" w:space="0" w:color="000000"/>
              <w:right w:val="single" w:sz="8" w:space="0" w:color="000000"/>
            </w:tcBorders>
            <w:vAlign w:val="center"/>
            <w:hideMark/>
          </w:tcPr>
          <w:p w14:paraId="4CBFA734" w14:textId="77777777" w:rsidR="006D2DC3" w:rsidRPr="00DF4CE5" w:rsidRDefault="006D2DC3" w:rsidP="00450B7A">
            <w:pPr>
              <w:spacing w:after="0" w:line="240" w:lineRule="auto"/>
              <w:jc w:val="both"/>
              <w:rPr>
                <w:rFonts w:ascii="Cambria" w:eastAsia="Calibri" w:hAnsi="Cambria" w:cs="Times New Roman"/>
                <w:lang w:val="hr-HR"/>
              </w:rPr>
            </w:pPr>
          </w:p>
        </w:tc>
        <w:tc>
          <w:tcPr>
            <w:tcW w:w="269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F7E61B6" w14:textId="77777777" w:rsidR="006D2DC3" w:rsidRPr="00DF4CE5" w:rsidRDefault="006D2DC3" w:rsidP="00450B7A">
            <w:pPr>
              <w:spacing w:after="0" w:line="240" w:lineRule="auto"/>
              <w:jc w:val="both"/>
              <w:rPr>
                <w:rFonts w:ascii="Cambria" w:eastAsia="Calibri" w:hAnsi="Cambria" w:cs="Times New Roman"/>
                <w:lang w:val="hr-HR"/>
              </w:rPr>
            </w:pPr>
            <w:r>
              <w:rPr>
                <w:rFonts w:ascii="Cambria" w:eastAsia="Calibri" w:hAnsi="Cambria" w:cs="Times New Roman"/>
                <w:lang w:val="hr-HR"/>
              </w:rPr>
              <w:t>s</w:t>
            </w:r>
            <w:r w:rsidRPr="00DF4CE5">
              <w:rPr>
                <w:rFonts w:ascii="Cambria" w:eastAsia="Calibri" w:hAnsi="Cambria" w:cs="Times New Roman"/>
                <w:lang w:val="hr-HR"/>
              </w:rPr>
              <w:t>eminarski rad</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E777708" w14:textId="77777777" w:rsidR="006D2DC3" w:rsidRPr="00DF4CE5" w:rsidRDefault="006D2DC3" w:rsidP="00450B7A">
            <w:pPr>
              <w:spacing w:after="0" w:line="240" w:lineRule="auto"/>
              <w:jc w:val="center"/>
              <w:rPr>
                <w:rFonts w:ascii="Cambria" w:eastAsia="Calibri" w:hAnsi="Cambria" w:cs="Times New Roman"/>
                <w:lang w:val="hr-HR"/>
              </w:rPr>
            </w:pPr>
            <w:r w:rsidRPr="00DF4CE5">
              <w:rPr>
                <w:rFonts w:ascii="Cambria" w:eastAsia="Calibri" w:hAnsi="Cambria" w:cs="Times New Roman"/>
                <w:lang w:val="hr-HR"/>
              </w:rPr>
              <w:t xml:space="preserve">1. </w:t>
            </w:r>
            <w:r>
              <w:rPr>
                <w:rFonts w:ascii="Cambria" w:eastAsia="Calibri" w:hAnsi="Cambria" w:cs="Times New Roman"/>
                <w:lang w:val="hr-HR"/>
              </w:rPr>
              <w:t>–</w:t>
            </w:r>
            <w:r w:rsidRPr="00DF4CE5">
              <w:rPr>
                <w:rFonts w:ascii="Cambria" w:eastAsia="Calibri" w:hAnsi="Cambria" w:cs="Times New Roman"/>
                <w:lang w:val="hr-HR"/>
              </w:rPr>
              <w:t xml:space="preserve"> 5.</w:t>
            </w:r>
          </w:p>
        </w:tc>
        <w:tc>
          <w:tcPr>
            <w:tcW w:w="92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81E47BF" w14:textId="77777777" w:rsidR="006D2DC3" w:rsidRPr="00DF4CE5" w:rsidRDefault="006D2DC3" w:rsidP="00450B7A">
            <w:pPr>
              <w:spacing w:after="0" w:line="240" w:lineRule="auto"/>
              <w:jc w:val="center"/>
              <w:rPr>
                <w:rFonts w:ascii="Cambria" w:eastAsia="Calibri" w:hAnsi="Cambria" w:cs="Times New Roman"/>
                <w:lang w:val="hr-HR"/>
              </w:rPr>
            </w:pPr>
            <w:r w:rsidRPr="00DF4CE5">
              <w:rPr>
                <w:rFonts w:ascii="Cambria" w:eastAsia="Calibri" w:hAnsi="Cambria" w:cs="Times New Roman"/>
                <w:lang w:val="hr-HR"/>
              </w:rPr>
              <w:t>15</w:t>
            </w:r>
          </w:p>
        </w:tc>
        <w:tc>
          <w:tcPr>
            <w:tcW w:w="101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CB33C0F" w14:textId="77777777" w:rsidR="006D2DC3" w:rsidRPr="00DF4CE5" w:rsidRDefault="006D2DC3" w:rsidP="00450B7A">
            <w:pPr>
              <w:spacing w:after="0" w:line="240" w:lineRule="auto"/>
              <w:jc w:val="center"/>
              <w:rPr>
                <w:rFonts w:ascii="Cambria" w:eastAsia="Calibri" w:hAnsi="Cambria" w:cs="Times New Roman"/>
                <w:lang w:val="hr-HR"/>
              </w:rPr>
            </w:pPr>
            <w:r w:rsidRPr="00DF4CE5">
              <w:rPr>
                <w:rFonts w:ascii="Cambria" w:eastAsia="Calibri" w:hAnsi="Cambria" w:cs="Times New Roman"/>
                <w:lang w:val="hr-HR"/>
              </w:rPr>
              <w:t>0,5</w:t>
            </w:r>
          </w:p>
        </w:tc>
        <w:tc>
          <w:tcPr>
            <w:tcW w:w="132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313E4D6" w14:textId="77777777" w:rsidR="006D2DC3" w:rsidRPr="00DF4CE5" w:rsidRDefault="006D2DC3" w:rsidP="00450B7A">
            <w:pPr>
              <w:spacing w:after="0" w:line="240" w:lineRule="auto"/>
              <w:jc w:val="center"/>
              <w:rPr>
                <w:rFonts w:ascii="Cambria" w:eastAsia="Calibri" w:hAnsi="Cambria" w:cs="Times New Roman"/>
                <w:lang w:val="hr-HR"/>
              </w:rPr>
            </w:pPr>
            <w:r w:rsidRPr="00DF4CE5">
              <w:rPr>
                <w:rFonts w:ascii="Cambria" w:eastAsia="Calibri" w:hAnsi="Cambria" w:cs="Times New Roman"/>
                <w:lang w:val="hr-HR"/>
              </w:rPr>
              <w:t>30%</w:t>
            </w:r>
          </w:p>
        </w:tc>
      </w:tr>
      <w:tr w:rsidR="006D2DC3" w:rsidRPr="00DF4CE5" w14:paraId="50CDD333" w14:textId="77777777" w:rsidTr="00450B7A">
        <w:tc>
          <w:tcPr>
            <w:tcW w:w="2258" w:type="dxa"/>
            <w:vMerge/>
            <w:tcBorders>
              <w:left w:val="single" w:sz="8" w:space="0" w:color="000000"/>
              <w:right w:val="single" w:sz="8" w:space="0" w:color="000000"/>
            </w:tcBorders>
            <w:vAlign w:val="center"/>
            <w:hideMark/>
          </w:tcPr>
          <w:p w14:paraId="4F4ABAA1" w14:textId="77777777" w:rsidR="006D2DC3" w:rsidRPr="00DF4CE5" w:rsidRDefault="006D2DC3" w:rsidP="00450B7A">
            <w:pPr>
              <w:spacing w:after="0" w:line="240" w:lineRule="auto"/>
              <w:jc w:val="both"/>
              <w:rPr>
                <w:rFonts w:ascii="Cambria" w:eastAsia="Calibri" w:hAnsi="Cambria" w:cs="Times New Roman"/>
                <w:lang w:val="hr-HR"/>
              </w:rPr>
            </w:pPr>
          </w:p>
        </w:tc>
        <w:tc>
          <w:tcPr>
            <w:tcW w:w="269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0E6A4D5" w14:textId="77777777" w:rsidR="006D2DC3" w:rsidRPr="00DF4CE5" w:rsidRDefault="006D2DC3" w:rsidP="00450B7A">
            <w:pPr>
              <w:spacing w:after="0" w:line="240" w:lineRule="auto"/>
              <w:jc w:val="both"/>
              <w:rPr>
                <w:rFonts w:ascii="Cambria" w:eastAsia="Calibri" w:hAnsi="Cambria" w:cs="Times New Roman"/>
                <w:lang w:val="hr-HR"/>
              </w:rPr>
            </w:pPr>
            <w:r>
              <w:rPr>
                <w:rFonts w:ascii="Cambria" w:eastAsia="Calibri" w:hAnsi="Cambria" w:cs="Times New Roman"/>
                <w:lang w:val="hr-HR"/>
              </w:rPr>
              <w:t>i</w:t>
            </w:r>
            <w:r w:rsidRPr="00DF4CE5">
              <w:rPr>
                <w:rFonts w:ascii="Cambria" w:eastAsia="Calibri" w:hAnsi="Cambria" w:cs="Times New Roman"/>
                <w:lang w:val="hr-HR"/>
              </w:rPr>
              <w:t>spit pisani</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B4E39E6" w14:textId="77777777" w:rsidR="006D2DC3" w:rsidRPr="00DF4CE5" w:rsidRDefault="006D2DC3" w:rsidP="00450B7A">
            <w:pPr>
              <w:spacing w:after="0" w:line="240" w:lineRule="auto"/>
              <w:jc w:val="center"/>
              <w:rPr>
                <w:rFonts w:ascii="Cambria" w:eastAsia="Calibri" w:hAnsi="Cambria" w:cs="Times New Roman"/>
                <w:lang w:val="hr-HR"/>
              </w:rPr>
            </w:pPr>
            <w:r w:rsidRPr="00DF4CE5">
              <w:rPr>
                <w:rFonts w:ascii="Cambria" w:eastAsia="Calibri" w:hAnsi="Cambria" w:cs="Times New Roman"/>
                <w:lang w:val="hr-HR"/>
              </w:rPr>
              <w:t>1., 2., 5.</w:t>
            </w:r>
          </w:p>
        </w:tc>
        <w:tc>
          <w:tcPr>
            <w:tcW w:w="92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3100112" w14:textId="77777777" w:rsidR="006D2DC3" w:rsidRPr="00DF4CE5" w:rsidRDefault="006D2DC3" w:rsidP="00450B7A">
            <w:pPr>
              <w:spacing w:after="0" w:line="240" w:lineRule="auto"/>
              <w:jc w:val="center"/>
              <w:rPr>
                <w:rFonts w:ascii="Cambria" w:eastAsia="Calibri" w:hAnsi="Cambria" w:cs="Times New Roman"/>
                <w:lang w:val="hr-HR"/>
              </w:rPr>
            </w:pPr>
            <w:r w:rsidRPr="00DF4CE5">
              <w:rPr>
                <w:rFonts w:ascii="Cambria" w:eastAsia="Calibri" w:hAnsi="Cambria" w:cs="Times New Roman"/>
                <w:lang w:val="hr-HR"/>
              </w:rPr>
              <w:t>15</w:t>
            </w:r>
          </w:p>
        </w:tc>
        <w:tc>
          <w:tcPr>
            <w:tcW w:w="101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806170C" w14:textId="77777777" w:rsidR="006D2DC3" w:rsidRPr="00DF4CE5" w:rsidRDefault="006D2DC3" w:rsidP="00450B7A">
            <w:pPr>
              <w:spacing w:after="0" w:line="240" w:lineRule="auto"/>
              <w:jc w:val="center"/>
              <w:rPr>
                <w:rFonts w:ascii="Cambria" w:eastAsia="Calibri" w:hAnsi="Cambria" w:cs="Times New Roman"/>
                <w:lang w:val="hr-HR"/>
              </w:rPr>
            </w:pPr>
            <w:r w:rsidRPr="00DF4CE5">
              <w:rPr>
                <w:rFonts w:ascii="Cambria" w:eastAsia="Calibri" w:hAnsi="Cambria" w:cs="Times New Roman"/>
                <w:lang w:val="hr-HR"/>
              </w:rPr>
              <w:t>0,5</w:t>
            </w:r>
          </w:p>
        </w:tc>
        <w:tc>
          <w:tcPr>
            <w:tcW w:w="132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CAF0133" w14:textId="77777777" w:rsidR="006D2DC3" w:rsidRPr="00DF4CE5" w:rsidRDefault="006D2DC3" w:rsidP="00450B7A">
            <w:pPr>
              <w:spacing w:after="0" w:line="240" w:lineRule="auto"/>
              <w:jc w:val="center"/>
              <w:rPr>
                <w:rFonts w:ascii="Cambria" w:eastAsia="Calibri" w:hAnsi="Cambria" w:cs="Times New Roman"/>
                <w:lang w:val="hr-HR"/>
              </w:rPr>
            </w:pPr>
            <w:r w:rsidRPr="00DF4CE5">
              <w:rPr>
                <w:rFonts w:ascii="Cambria" w:eastAsia="Calibri" w:hAnsi="Cambria" w:cs="Times New Roman"/>
                <w:lang w:val="hr-HR"/>
              </w:rPr>
              <w:t>30%</w:t>
            </w:r>
          </w:p>
        </w:tc>
      </w:tr>
      <w:tr w:rsidR="006D2DC3" w:rsidRPr="00DF4CE5" w14:paraId="089B0007" w14:textId="77777777" w:rsidTr="00450B7A">
        <w:tc>
          <w:tcPr>
            <w:tcW w:w="2258" w:type="dxa"/>
            <w:vMerge/>
            <w:tcBorders>
              <w:left w:val="single" w:sz="8" w:space="0" w:color="000000"/>
              <w:right w:val="single" w:sz="8" w:space="0" w:color="000000"/>
            </w:tcBorders>
            <w:vAlign w:val="center"/>
            <w:hideMark/>
          </w:tcPr>
          <w:p w14:paraId="032C24EC" w14:textId="77777777" w:rsidR="006D2DC3" w:rsidRPr="00DF4CE5" w:rsidRDefault="006D2DC3" w:rsidP="00450B7A">
            <w:pPr>
              <w:spacing w:after="0" w:line="240" w:lineRule="auto"/>
              <w:jc w:val="both"/>
              <w:rPr>
                <w:rFonts w:ascii="Cambria" w:eastAsia="Calibri" w:hAnsi="Cambria" w:cs="Times New Roman"/>
                <w:lang w:val="hr-HR"/>
              </w:rPr>
            </w:pPr>
          </w:p>
        </w:tc>
        <w:tc>
          <w:tcPr>
            <w:tcW w:w="382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F911998" w14:textId="77777777" w:rsidR="006D2DC3" w:rsidRPr="00DF4CE5" w:rsidRDefault="006D2DC3" w:rsidP="00450B7A">
            <w:pPr>
              <w:spacing w:after="0" w:line="240" w:lineRule="auto"/>
              <w:jc w:val="both"/>
              <w:rPr>
                <w:rFonts w:ascii="Cambria" w:eastAsia="Calibri" w:hAnsi="Cambria" w:cs="Times New Roman"/>
                <w:lang w:val="hr-HR"/>
              </w:rPr>
            </w:pPr>
            <w:proofErr w:type="spellStart"/>
            <w:r>
              <w:rPr>
                <w:rFonts w:ascii="Cambria" w:eastAsia="Calibri" w:hAnsi="Cambria" w:cs="Times New Roman"/>
                <w:lang w:val="it-IT"/>
              </w:rPr>
              <w:t>u</w:t>
            </w:r>
            <w:r w:rsidRPr="00DF4CE5">
              <w:rPr>
                <w:rFonts w:ascii="Cambria" w:eastAsia="Calibri" w:hAnsi="Cambria" w:cs="Times New Roman"/>
                <w:lang w:val="it-IT"/>
              </w:rPr>
              <w:t>kupno</w:t>
            </w:r>
            <w:proofErr w:type="spellEnd"/>
          </w:p>
        </w:tc>
        <w:tc>
          <w:tcPr>
            <w:tcW w:w="92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C8FCE57" w14:textId="7DE15BFB" w:rsidR="006D2DC3" w:rsidRPr="00DF4CE5" w:rsidRDefault="00612853" w:rsidP="00450B7A">
            <w:pPr>
              <w:spacing w:after="0" w:line="240" w:lineRule="auto"/>
              <w:jc w:val="center"/>
              <w:rPr>
                <w:rFonts w:ascii="Cambria" w:eastAsia="Calibri" w:hAnsi="Cambria" w:cs="Times New Roman"/>
                <w:lang w:val="hr-HR"/>
              </w:rPr>
            </w:pPr>
            <w:r>
              <w:rPr>
                <w:rFonts w:ascii="Cambria" w:eastAsia="Calibri" w:hAnsi="Cambria" w:cs="Times New Roman"/>
                <w:lang w:val="hr-HR"/>
              </w:rPr>
              <w:t>60</w:t>
            </w:r>
          </w:p>
        </w:tc>
        <w:tc>
          <w:tcPr>
            <w:tcW w:w="101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3EB9C3A" w14:textId="1B0322AE" w:rsidR="006D2DC3" w:rsidRPr="00DF4CE5" w:rsidRDefault="00612853" w:rsidP="00450B7A">
            <w:pPr>
              <w:spacing w:after="0" w:line="240" w:lineRule="auto"/>
              <w:jc w:val="center"/>
              <w:rPr>
                <w:rFonts w:ascii="Cambria" w:eastAsia="Calibri" w:hAnsi="Cambria" w:cs="Times New Roman"/>
                <w:lang w:val="hr-HR"/>
              </w:rPr>
            </w:pPr>
            <w:r>
              <w:rPr>
                <w:rFonts w:ascii="Cambria" w:eastAsia="Calibri" w:hAnsi="Cambria" w:cs="Times New Roman"/>
                <w:lang w:val="hr-HR"/>
              </w:rPr>
              <w:t>2</w:t>
            </w:r>
          </w:p>
        </w:tc>
        <w:tc>
          <w:tcPr>
            <w:tcW w:w="132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0D50E87" w14:textId="77777777" w:rsidR="006D2DC3" w:rsidRPr="00DF4CE5" w:rsidRDefault="006D2DC3" w:rsidP="00450B7A">
            <w:pPr>
              <w:spacing w:after="0" w:line="240" w:lineRule="auto"/>
              <w:jc w:val="center"/>
              <w:rPr>
                <w:rFonts w:ascii="Cambria" w:eastAsia="Calibri" w:hAnsi="Cambria" w:cs="Times New Roman"/>
                <w:lang w:val="hr-HR"/>
              </w:rPr>
            </w:pPr>
            <w:r w:rsidRPr="00DF4CE5">
              <w:rPr>
                <w:rFonts w:ascii="Cambria" w:eastAsia="Calibri" w:hAnsi="Cambria" w:cs="Times New Roman"/>
                <w:lang w:val="hr-HR"/>
              </w:rPr>
              <w:t>100%</w:t>
            </w:r>
          </w:p>
        </w:tc>
      </w:tr>
      <w:tr w:rsidR="006D2DC3" w:rsidRPr="00D0399C" w14:paraId="5B935F36" w14:textId="77777777" w:rsidTr="00450B7A">
        <w:tc>
          <w:tcPr>
            <w:tcW w:w="2258" w:type="dxa"/>
            <w:vMerge/>
            <w:tcBorders>
              <w:left w:val="single" w:sz="8" w:space="0" w:color="000000"/>
              <w:bottom w:val="single" w:sz="8" w:space="0" w:color="000000"/>
              <w:right w:val="single" w:sz="8" w:space="0" w:color="000000"/>
            </w:tcBorders>
            <w:vAlign w:val="center"/>
          </w:tcPr>
          <w:p w14:paraId="3D5CBBC0" w14:textId="77777777" w:rsidR="006D2DC3" w:rsidRPr="00DF4CE5" w:rsidRDefault="006D2DC3" w:rsidP="00450B7A">
            <w:pPr>
              <w:spacing w:after="0" w:line="240" w:lineRule="auto"/>
              <w:jc w:val="both"/>
              <w:rPr>
                <w:rFonts w:ascii="Cambria" w:eastAsia="Calibri" w:hAnsi="Cambria" w:cs="Times New Roman"/>
                <w:lang w:val="hr-HR"/>
              </w:rPr>
            </w:pPr>
          </w:p>
        </w:tc>
        <w:tc>
          <w:tcPr>
            <w:tcW w:w="7082" w:type="dxa"/>
            <w:gridSpan w:val="6"/>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99B845D" w14:textId="77777777" w:rsidR="006D2DC3" w:rsidRPr="00DF4CE5" w:rsidRDefault="006D2DC3" w:rsidP="00450B7A">
            <w:pPr>
              <w:spacing w:after="0" w:line="240" w:lineRule="auto"/>
              <w:jc w:val="both"/>
              <w:rPr>
                <w:rFonts w:ascii="Cambria" w:eastAsia="Calibri" w:hAnsi="Cambria" w:cs="Times New Roman"/>
                <w:lang w:val="hr-HR"/>
              </w:rPr>
            </w:pPr>
            <w:r w:rsidRPr="00DF4CE5">
              <w:rPr>
                <w:rFonts w:ascii="Cambria" w:eastAsia="Calibri" w:hAnsi="Cambria" w:cs="Times New Roman"/>
                <w:lang w:val="hr-HR"/>
              </w:rPr>
              <w:t xml:space="preserve">Dodatna pojašnjenja (kriteriji ocjenjivanja): </w:t>
            </w:r>
          </w:p>
          <w:p w14:paraId="4E31AA38" w14:textId="77777777" w:rsidR="006D2DC3" w:rsidRPr="00DF4CE5" w:rsidRDefault="006D2DC3" w:rsidP="00450B7A">
            <w:pPr>
              <w:spacing w:after="0" w:line="240" w:lineRule="auto"/>
              <w:jc w:val="both"/>
              <w:rPr>
                <w:rFonts w:ascii="Cambria" w:eastAsia="Calibri" w:hAnsi="Cambria" w:cs="Times New Roman"/>
                <w:lang w:val="hr-HR"/>
              </w:rPr>
            </w:pPr>
            <w:r w:rsidRPr="00DF4CE5">
              <w:rPr>
                <w:rFonts w:ascii="Cambria" w:eastAsia="Calibri" w:hAnsi="Cambria" w:cs="Times New Roman"/>
                <w:lang w:val="hr-HR"/>
              </w:rPr>
              <w:t>Prisustvo na nastavi</w:t>
            </w:r>
          </w:p>
          <w:p w14:paraId="625BF64A" w14:textId="77777777" w:rsidR="006D2DC3" w:rsidRPr="00DF4CE5" w:rsidRDefault="006D2DC3" w:rsidP="00450B7A">
            <w:pPr>
              <w:autoSpaceDE w:val="0"/>
              <w:autoSpaceDN w:val="0"/>
              <w:adjustRightInd w:val="0"/>
              <w:spacing w:after="0"/>
              <w:jc w:val="both"/>
              <w:rPr>
                <w:rFonts w:ascii="Cambria" w:eastAsia="Calibri" w:hAnsi="Cambria" w:cs="Times New Roman"/>
                <w:lang w:val="hr-HR"/>
              </w:rPr>
            </w:pPr>
            <w:r w:rsidRPr="00DF4CE5">
              <w:rPr>
                <w:rFonts w:ascii="Cambria" w:eastAsia="Calibri" w:hAnsi="Cambria" w:cs="Arial"/>
                <w:lang w:val="hr-HR"/>
              </w:rPr>
              <w:t>Poželjno je da studentice/studenti prisustvuju i aktivno sudjeluju na nastavi. Studentica/student može prikupiti 10 % bodova ako izostane s održane nastave manje od 4 puta. Za veći broj izostanaka oduzimaju se bodovi po ovoj formuli: 1 bod za 4 izostanka, 3 boda za 5 izostanaka, 6 bodova za 6 izostanaka i 10 bodova za 7 ili više izostanaka. Izostanak se ne može nadoknaditi i ne treba se opravdavati.</w:t>
            </w:r>
          </w:p>
          <w:p w14:paraId="7D046DD0" w14:textId="77777777" w:rsidR="006D2DC3" w:rsidRPr="00DF4CE5" w:rsidRDefault="006D2DC3" w:rsidP="00450B7A">
            <w:pPr>
              <w:spacing w:after="0"/>
              <w:jc w:val="both"/>
              <w:rPr>
                <w:rFonts w:ascii="Cambria" w:eastAsia="Calibri" w:hAnsi="Cambria" w:cs="Arial"/>
                <w:lang w:val="hr-HR"/>
              </w:rPr>
            </w:pPr>
            <w:r w:rsidRPr="00DF4CE5">
              <w:rPr>
                <w:rFonts w:ascii="Cambria" w:eastAsia="Calibri" w:hAnsi="Cambria" w:cs="Arial"/>
                <w:lang w:val="hr-HR"/>
              </w:rPr>
              <w:t>Priprema i vrednovanje seminarskog rada</w:t>
            </w:r>
          </w:p>
          <w:p w14:paraId="2DF5CB36" w14:textId="77777777" w:rsidR="006D2DC3" w:rsidRPr="00DF4CE5" w:rsidRDefault="006D2DC3" w:rsidP="00450B7A">
            <w:pPr>
              <w:spacing w:after="0"/>
              <w:jc w:val="both"/>
              <w:rPr>
                <w:rFonts w:ascii="Cambria" w:eastAsia="Calibri" w:hAnsi="Cambria" w:cs="Arial"/>
                <w:u w:val="single"/>
                <w:lang w:val="hr-HR"/>
              </w:rPr>
            </w:pPr>
            <w:r w:rsidRPr="00DF4CE5">
              <w:rPr>
                <w:rFonts w:ascii="Cambria" w:eastAsia="Calibri" w:hAnsi="Cambria" w:cs="Arial"/>
                <w:lang w:val="hr-HR"/>
              </w:rPr>
              <w:t>Osnovni cilj seminarskog rada jeste zainteresirati i informirati studente o odabranoj seminarskoj temi. Izvedba seminara treba trajati 15 minuta.</w:t>
            </w:r>
          </w:p>
          <w:p w14:paraId="498199D4" w14:textId="77777777" w:rsidR="006D2DC3" w:rsidRPr="00DF4CE5" w:rsidRDefault="006D2DC3" w:rsidP="00450B7A">
            <w:pPr>
              <w:spacing w:after="0"/>
              <w:jc w:val="both"/>
              <w:rPr>
                <w:rFonts w:ascii="Cambria" w:eastAsia="Calibri" w:hAnsi="Cambria" w:cs="Arial"/>
                <w:lang w:val="hr-HR"/>
              </w:rPr>
            </w:pPr>
            <w:r w:rsidRPr="00DF4CE5">
              <w:rPr>
                <w:rFonts w:ascii="Cambria" w:eastAsia="Calibri" w:hAnsi="Cambria" w:cs="Arial"/>
                <w:lang w:val="hr-HR"/>
              </w:rPr>
              <w:t>Studenti odabiru temu seminarskoga rada na portalu za udaljeno učenje (e-učenje). Studenti su dužni prezentaciju i ostale elektronske materijale koje će koristiti u izlaganju predati na forumu kolegija (e-učenje) najkasnije 72 sata prije izlaganja.</w:t>
            </w:r>
          </w:p>
          <w:p w14:paraId="0BF7313C" w14:textId="77777777" w:rsidR="006D2DC3" w:rsidRPr="00DF4CE5" w:rsidRDefault="006D2DC3" w:rsidP="00450B7A">
            <w:pPr>
              <w:spacing w:after="0"/>
              <w:jc w:val="both"/>
              <w:rPr>
                <w:rFonts w:ascii="Cambria" w:eastAsia="Calibri" w:hAnsi="Cambria" w:cs="Arial"/>
                <w:lang w:val="hr-HR"/>
              </w:rPr>
            </w:pPr>
            <w:r w:rsidRPr="00DF4CE5">
              <w:rPr>
                <w:rFonts w:ascii="Cambria" w:eastAsia="Calibri" w:hAnsi="Cambria" w:cs="Arial"/>
                <w:lang w:val="hr-HR"/>
              </w:rPr>
              <w:t>Pri vrednovanju seminarskog rada važni su sljedeći pokazatelji:</w:t>
            </w:r>
          </w:p>
          <w:p w14:paraId="25288EC2" w14:textId="77777777" w:rsidR="006D2DC3" w:rsidRPr="00DF4CE5" w:rsidRDefault="006D2DC3" w:rsidP="00450B7A">
            <w:pPr>
              <w:spacing w:after="0"/>
              <w:jc w:val="both"/>
              <w:rPr>
                <w:rFonts w:ascii="Cambria" w:eastAsia="Calibri" w:hAnsi="Cambria" w:cs="Arial"/>
                <w:lang w:val="hr-HR"/>
              </w:rPr>
            </w:pPr>
            <w:r w:rsidRPr="00DF4CE5">
              <w:rPr>
                <w:rFonts w:ascii="Cambria" w:eastAsia="Calibri" w:hAnsi="Cambria" w:cs="Arial"/>
                <w:lang w:val="hr-HR"/>
              </w:rPr>
              <w:t>1. Pokrivenost teme (jesu li predstavljeni najvažniji sadržaji na primjeren način, jesu li navedeni odgovarajući primjeri)</w:t>
            </w:r>
          </w:p>
          <w:p w14:paraId="1FF978A7" w14:textId="77777777" w:rsidR="006D2DC3" w:rsidRPr="00DF4CE5" w:rsidRDefault="006D2DC3" w:rsidP="00450B7A">
            <w:pPr>
              <w:spacing w:after="0"/>
              <w:jc w:val="both"/>
              <w:rPr>
                <w:rFonts w:ascii="Cambria" w:eastAsia="Calibri" w:hAnsi="Cambria" w:cs="Arial"/>
                <w:lang w:val="hr-HR"/>
              </w:rPr>
            </w:pPr>
            <w:r w:rsidRPr="00DF4CE5">
              <w:rPr>
                <w:rFonts w:ascii="Cambria" w:eastAsia="Calibri" w:hAnsi="Cambria" w:cs="Arial"/>
                <w:lang w:val="hr-HR"/>
              </w:rPr>
              <w:t>2. Izlaganje teme (sigurnost, bez čitanja bilješki, jasnoća, razumljivost, izostanak grešaka – sadržajnih i jezičnih)</w:t>
            </w:r>
          </w:p>
          <w:p w14:paraId="40965FC8" w14:textId="77777777" w:rsidR="006D2DC3" w:rsidRPr="00977220" w:rsidRDefault="006D2DC3" w:rsidP="00450B7A">
            <w:pPr>
              <w:spacing w:after="0" w:line="240" w:lineRule="auto"/>
              <w:jc w:val="both"/>
              <w:rPr>
                <w:rFonts w:ascii="Cambria" w:eastAsia="Calibri" w:hAnsi="Cambria" w:cs="Arial"/>
                <w:lang w:val="hr-HR"/>
              </w:rPr>
            </w:pPr>
            <w:r w:rsidRPr="00DF4CE5">
              <w:rPr>
                <w:rFonts w:ascii="Cambria" w:eastAsia="Calibri" w:hAnsi="Cambria" w:cs="Arial"/>
                <w:lang w:val="hr-HR"/>
              </w:rPr>
              <w:t>3. Aktivnost i motiviranje studenata (sposobnost zadržavanja pažnje na izloženim temama i aktivnostima; uspješno poticanje studenata na aktivno sudjelovanje)</w:t>
            </w:r>
          </w:p>
          <w:p w14:paraId="63E54F93" w14:textId="77777777" w:rsidR="006D2DC3" w:rsidRPr="00DF4CE5" w:rsidRDefault="006D2DC3" w:rsidP="00450B7A">
            <w:pPr>
              <w:spacing w:after="0" w:line="240" w:lineRule="auto"/>
              <w:jc w:val="both"/>
              <w:rPr>
                <w:rFonts w:ascii="Cambria" w:eastAsia="Calibri" w:hAnsi="Cambria" w:cs="Times New Roman"/>
                <w:lang w:val="hr-HR"/>
              </w:rPr>
            </w:pPr>
            <w:r w:rsidRPr="00DF4CE5">
              <w:rPr>
                <w:rFonts w:ascii="Cambria" w:eastAsia="Calibri" w:hAnsi="Cambria" w:cs="Times New Roman"/>
                <w:lang w:val="hr-HR"/>
              </w:rPr>
              <w:t>Završni ispit</w:t>
            </w:r>
          </w:p>
          <w:p w14:paraId="6F2AA506" w14:textId="77777777" w:rsidR="006D2DC3" w:rsidRPr="00DF4CE5" w:rsidRDefault="006D2DC3" w:rsidP="00450B7A">
            <w:pPr>
              <w:spacing w:after="0" w:line="240" w:lineRule="auto"/>
              <w:jc w:val="both"/>
              <w:rPr>
                <w:rFonts w:ascii="Cambria" w:eastAsia="Calibri" w:hAnsi="Cambria" w:cs="Arial"/>
                <w:lang w:val="hr-HR"/>
              </w:rPr>
            </w:pPr>
            <w:r w:rsidRPr="00DF4CE5">
              <w:rPr>
                <w:rFonts w:ascii="Cambria" w:eastAsia="Calibri" w:hAnsi="Cambria" w:cs="Arial"/>
                <w:lang w:val="hr-HR"/>
              </w:rPr>
              <w:t xml:space="preserve">Završna provjera znanja provodi se završnim usmenim ispitom. </w:t>
            </w:r>
          </w:p>
          <w:p w14:paraId="5209C33A" w14:textId="77777777" w:rsidR="006D2DC3" w:rsidRPr="00DF4CE5" w:rsidRDefault="006D2DC3" w:rsidP="00450B7A">
            <w:pPr>
              <w:spacing w:after="0" w:line="240" w:lineRule="auto"/>
              <w:jc w:val="both"/>
              <w:rPr>
                <w:rFonts w:ascii="Cambria" w:eastAsia="Calibri" w:hAnsi="Cambria" w:cs="Times New Roman"/>
                <w:lang w:val="hr-HR"/>
              </w:rPr>
            </w:pPr>
            <w:r w:rsidRPr="00DF4CE5">
              <w:rPr>
                <w:rFonts w:ascii="Cambria" w:eastAsia="Calibri" w:hAnsi="Cambria" w:cs="Arial"/>
                <w:lang w:val="hr-HR"/>
              </w:rPr>
              <w:t xml:space="preserve">Studentica/student koji ne može prisustvovati završnoj provjeri znanja mora na vrijeme otkazati prijavu ispita ili će se smatrati da je ispitu pristupio i da ga nije položio. </w:t>
            </w:r>
          </w:p>
        </w:tc>
      </w:tr>
      <w:tr w:rsidR="006D2DC3" w:rsidRPr="00DF4CE5" w14:paraId="17E9C250" w14:textId="77777777" w:rsidTr="00450B7A">
        <w:tc>
          <w:tcPr>
            <w:tcW w:w="225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FB87DF9" w14:textId="77777777" w:rsidR="006D2DC3" w:rsidRPr="00DF4CE5" w:rsidRDefault="006D2DC3" w:rsidP="00450B7A">
            <w:pPr>
              <w:spacing w:after="0" w:line="240" w:lineRule="auto"/>
              <w:jc w:val="both"/>
              <w:rPr>
                <w:rFonts w:ascii="Cambria" w:eastAsia="Calibri" w:hAnsi="Cambria" w:cs="Times New Roman"/>
                <w:lang w:val="hr-HR"/>
              </w:rPr>
            </w:pPr>
            <w:r w:rsidRPr="00DF4CE5">
              <w:rPr>
                <w:rFonts w:ascii="Cambria" w:eastAsia="Calibri" w:hAnsi="Cambria" w:cs="Times New Roman"/>
                <w:lang w:val="hr-HR"/>
              </w:rPr>
              <w:t>Studentske obveze</w:t>
            </w:r>
          </w:p>
        </w:tc>
        <w:tc>
          <w:tcPr>
            <w:tcW w:w="7082"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3C58DC1" w14:textId="77777777" w:rsidR="006D2DC3" w:rsidRPr="00DF4CE5" w:rsidRDefault="006D2DC3" w:rsidP="00450B7A">
            <w:pPr>
              <w:spacing w:after="0" w:line="240" w:lineRule="auto"/>
              <w:jc w:val="both"/>
              <w:rPr>
                <w:rFonts w:ascii="Cambria" w:eastAsia="Calibri" w:hAnsi="Cambria" w:cs="Times New Roman"/>
                <w:lang w:val="hr-HR"/>
              </w:rPr>
            </w:pPr>
            <w:r w:rsidRPr="00DF4CE5">
              <w:rPr>
                <w:rFonts w:ascii="Cambria" w:eastAsia="Calibri" w:hAnsi="Cambria" w:cs="Times New Roman"/>
                <w:lang w:val="hr-HR"/>
              </w:rPr>
              <w:t>Da položi kolegij, student/studentica mora:</w:t>
            </w:r>
          </w:p>
          <w:p w14:paraId="6CDBE5D9" w14:textId="77777777" w:rsidR="006D2DC3" w:rsidRDefault="006D2DC3" w:rsidP="00450B7A">
            <w:pPr>
              <w:spacing w:after="0" w:line="240" w:lineRule="auto"/>
              <w:jc w:val="both"/>
              <w:rPr>
                <w:rFonts w:ascii="Cambria" w:eastAsia="Calibri" w:hAnsi="Cambria" w:cs="Times New Roman"/>
                <w:lang w:val="hr-HR"/>
              </w:rPr>
            </w:pPr>
            <w:r w:rsidRPr="00DF4CE5">
              <w:rPr>
                <w:rFonts w:ascii="Cambria" w:eastAsia="Calibri" w:hAnsi="Cambria" w:cs="Times New Roman"/>
                <w:lang w:val="hr-HR"/>
              </w:rPr>
              <w:t xml:space="preserve">1. </w:t>
            </w:r>
            <w:r>
              <w:rPr>
                <w:rFonts w:ascii="Cambria" w:eastAsia="Calibri" w:hAnsi="Cambria" w:cs="Times New Roman"/>
                <w:lang w:val="hr-HR"/>
              </w:rPr>
              <w:t>p</w:t>
            </w:r>
            <w:r w:rsidRPr="00DF4CE5">
              <w:rPr>
                <w:rFonts w:ascii="Cambria" w:eastAsia="Calibri" w:hAnsi="Cambria" w:cs="Times New Roman"/>
                <w:lang w:val="hr-HR"/>
              </w:rPr>
              <w:t xml:space="preserve">ohađati </w:t>
            </w:r>
            <w:r>
              <w:rPr>
                <w:rFonts w:ascii="Cambria" w:eastAsia="Calibri" w:hAnsi="Cambria" w:cs="Times New Roman"/>
                <w:lang w:val="hr-HR"/>
              </w:rPr>
              <w:t xml:space="preserve">i aktivno sudjelovati na nastavi </w:t>
            </w:r>
          </w:p>
          <w:p w14:paraId="4B0DB3A3" w14:textId="77777777" w:rsidR="006D2DC3" w:rsidRPr="00DF4CE5" w:rsidRDefault="006D2DC3" w:rsidP="00450B7A">
            <w:pPr>
              <w:spacing w:after="0" w:line="240" w:lineRule="auto"/>
              <w:jc w:val="both"/>
              <w:rPr>
                <w:rFonts w:ascii="Cambria" w:eastAsia="Calibri" w:hAnsi="Cambria" w:cs="Times New Roman"/>
                <w:lang w:val="hr-HR"/>
              </w:rPr>
            </w:pPr>
            <w:r w:rsidRPr="00DF4CE5">
              <w:rPr>
                <w:rFonts w:ascii="Cambria" w:eastAsia="Calibri" w:hAnsi="Cambria" w:cs="Times New Roman"/>
                <w:lang w:val="hr-HR"/>
              </w:rPr>
              <w:t>2.</w:t>
            </w:r>
            <w:r>
              <w:rPr>
                <w:rFonts w:ascii="Cambria" w:eastAsia="Calibri" w:hAnsi="Cambria" w:cs="Times New Roman"/>
                <w:lang w:val="hr-HR"/>
              </w:rPr>
              <w:t xml:space="preserve"> u</w:t>
            </w:r>
            <w:r w:rsidRPr="00DF4CE5">
              <w:rPr>
                <w:rFonts w:ascii="Cambria" w:eastAsia="Calibri" w:hAnsi="Cambria" w:cs="Times New Roman"/>
                <w:lang w:val="hr-HR"/>
              </w:rPr>
              <w:t xml:space="preserve">smeno izložiti seminarski rad na odabranu temu, prema </w:t>
            </w:r>
            <w:proofErr w:type="spellStart"/>
            <w:r w:rsidRPr="00DF4CE5">
              <w:rPr>
                <w:rFonts w:ascii="Cambria" w:eastAsia="Calibri" w:hAnsi="Cambria" w:cs="Times New Roman"/>
                <w:lang w:val="hr-HR"/>
              </w:rPr>
              <w:t>vremeniku</w:t>
            </w:r>
            <w:proofErr w:type="spellEnd"/>
            <w:r w:rsidRPr="00DF4CE5">
              <w:rPr>
                <w:rFonts w:ascii="Cambria" w:eastAsia="Calibri" w:hAnsi="Cambria" w:cs="Times New Roman"/>
                <w:lang w:val="hr-HR"/>
              </w:rPr>
              <w:t xml:space="preserve"> izlaganja koji će biti dogovoren na prvom susretu i objavljen na portalu za udaljeno učenje</w:t>
            </w:r>
          </w:p>
          <w:p w14:paraId="67B14D27" w14:textId="77777777" w:rsidR="006D2DC3" w:rsidRPr="00DF4CE5" w:rsidRDefault="006D2DC3" w:rsidP="00450B7A">
            <w:pPr>
              <w:spacing w:after="0" w:line="240" w:lineRule="auto"/>
              <w:jc w:val="both"/>
              <w:rPr>
                <w:rFonts w:ascii="Cambria" w:eastAsia="Calibri" w:hAnsi="Cambria" w:cs="Times New Roman"/>
                <w:lang w:val="hr-HR"/>
              </w:rPr>
            </w:pPr>
            <w:r w:rsidRPr="00DF4CE5">
              <w:rPr>
                <w:rFonts w:ascii="Cambria" w:eastAsia="Calibri" w:hAnsi="Cambria" w:cs="Times New Roman"/>
                <w:lang w:val="hr-HR"/>
              </w:rPr>
              <w:t xml:space="preserve">3. </w:t>
            </w:r>
            <w:r>
              <w:rPr>
                <w:rFonts w:ascii="Cambria" w:eastAsia="Calibri" w:hAnsi="Cambria" w:cs="Times New Roman"/>
                <w:lang w:val="hr-HR"/>
              </w:rPr>
              <w:t>p</w:t>
            </w:r>
            <w:r w:rsidRPr="00DF4CE5">
              <w:rPr>
                <w:rFonts w:ascii="Cambria" w:eastAsia="Calibri" w:hAnsi="Cambria" w:cs="Times New Roman"/>
                <w:lang w:val="hr-HR"/>
              </w:rPr>
              <w:t>oložiti ispit.</w:t>
            </w:r>
          </w:p>
        </w:tc>
      </w:tr>
      <w:tr w:rsidR="006D2DC3" w:rsidRPr="00D0399C" w14:paraId="67B291B3" w14:textId="77777777" w:rsidTr="00450B7A">
        <w:tc>
          <w:tcPr>
            <w:tcW w:w="225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DD0352D" w14:textId="77777777" w:rsidR="006D2DC3" w:rsidRPr="00DF4CE5" w:rsidRDefault="006D2DC3" w:rsidP="00450B7A">
            <w:pPr>
              <w:spacing w:after="0" w:line="240" w:lineRule="auto"/>
              <w:rPr>
                <w:rFonts w:ascii="Cambria" w:eastAsia="Calibri" w:hAnsi="Cambria" w:cs="Times New Roman"/>
                <w:lang w:val="hr-HR"/>
              </w:rPr>
            </w:pPr>
            <w:proofErr w:type="spellStart"/>
            <w:r w:rsidRPr="00DF4CE5">
              <w:rPr>
                <w:rFonts w:ascii="Cambria" w:eastAsia="Calibri" w:hAnsi="Cambria" w:cs="Times New Roman"/>
              </w:rPr>
              <w:t>Rokovi</w:t>
            </w:r>
            <w:proofErr w:type="spellEnd"/>
            <w:r w:rsidRPr="00DF4CE5">
              <w:rPr>
                <w:rFonts w:ascii="Cambria" w:eastAsia="Calibri" w:hAnsi="Cambria" w:cs="Times New Roman"/>
              </w:rPr>
              <w:t xml:space="preserve"> </w:t>
            </w:r>
            <w:proofErr w:type="spellStart"/>
            <w:r w:rsidRPr="00DF4CE5">
              <w:rPr>
                <w:rFonts w:ascii="Cambria" w:eastAsia="Calibri" w:hAnsi="Cambria" w:cs="Times New Roman"/>
              </w:rPr>
              <w:t>ispita</w:t>
            </w:r>
            <w:proofErr w:type="spellEnd"/>
            <w:r w:rsidRPr="00DF4CE5">
              <w:rPr>
                <w:rFonts w:ascii="Cambria" w:eastAsia="Calibri" w:hAnsi="Cambria" w:cs="Times New Roman"/>
              </w:rPr>
              <w:t xml:space="preserve"> </w:t>
            </w:r>
            <w:proofErr w:type="spellStart"/>
            <w:r w:rsidRPr="00DF4CE5">
              <w:rPr>
                <w:rFonts w:ascii="Cambria" w:eastAsia="Calibri" w:hAnsi="Cambria" w:cs="Times New Roman"/>
              </w:rPr>
              <w:t>i</w:t>
            </w:r>
            <w:proofErr w:type="spellEnd"/>
            <w:r w:rsidRPr="00DF4CE5">
              <w:rPr>
                <w:rFonts w:ascii="Cambria" w:eastAsia="Calibri" w:hAnsi="Cambria" w:cs="Times New Roman"/>
              </w:rPr>
              <w:t xml:space="preserve"> </w:t>
            </w:r>
            <w:proofErr w:type="spellStart"/>
            <w:r w:rsidRPr="00DF4CE5">
              <w:rPr>
                <w:rFonts w:ascii="Cambria" w:eastAsia="Calibri" w:hAnsi="Cambria" w:cs="Times New Roman"/>
              </w:rPr>
              <w:t>kolokvija</w:t>
            </w:r>
            <w:proofErr w:type="spellEnd"/>
          </w:p>
        </w:tc>
        <w:tc>
          <w:tcPr>
            <w:tcW w:w="7082"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794EF71" w14:textId="77777777" w:rsidR="006D2DC3" w:rsidRPr="00DF4CE5" w:rsidRDefault="006D2DC3" w:rsidP="00450B7A">
            <w:pPr>
              <w:spacing w:after="0" w:line="240" w:lineRule="auto"/>
              <w:jc w:val="both"/>
              <w:rPr>
                <w:rFonts w:ascii="Cambria" w:eastAsia="Calibri" w:hAnsi="Cambria" w:cs="Times New Roman"/>
                <w:lang w:val="hr-HR"/>
              </w:rPr>
            </w:pPr>
            <w:r w:rsidRPr="00DF4CE5">
              <w:rPr>
                <w:rFonts w:ascii="Cambria" w:eastAsia="Calibri" w:hAnsi="Cambria" w:cs="Times New Roman"/>
                <w:lang w:val="hr-HR"/>
              </w:rPr>
              <w:t xml:space="preserve">Rokovi ispita se objavljuju u ISVU sustavu. </w:t>
            </w:r>
          </w:p>
        </w:tc>
      </w:tr>
      <w:tr w:rsidR="006D2DC3" w:rsidRPr="00DF4CE5" w14:paraId="52D5CB7A" w14:textId="77777777" w:rsidTr="00450B7A">
        <w:tc>
          <w:tcPr>
            <w:tcW w:w="225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88C5D17" w14:textId="77777777" w:rsidR="006D2DC3" w:rsidRPr="00DF4CE5" w:rsidRDefault="006D2DC3" w:rsidP="00450B7A">
            <w:pPr>
              <w:spacing w:after="0" w:line="240" w:lineRule="auto"/>
              <w:rPr>
                <w:rFonts w:ascii="Cambria" w:eastAsia="Calibri" w:hAnsi="Cambria" w:cs="Times New Roman"/>
                <w:lang w:val="hr-HR"/>
              </w:rPr>
            </w:pPr>
            <w:r w:rsidRPr="00DF4CE5">
              <w:rPr>
                <w:rFonts w:ascii="Cambria" w:eastAsia="Calibri" w:hAnsi="Cambria" w:cs="Times New Roman"/>
                <w:lang w:val="hr-HR"/>
              </w:rPr>
              <w:lastRenderedPageBreak/>
              <w:t xml:space="preserve">Ostale važne činjenice </w:t>
            </w:r>
            <w:proofErr w:type="spellStart"/>
            <w:r w:rsidRPr="00DF4CE5">
              <w:rPr>
                <w:rFonts w:ascii="Cambria" w:eastAsia="Calibri" w:hAnsi="Cambria" w:cs="Times New Roman"/>
                <w:lang w:val="it-IT"/>
              </w:rPr>
              <w:t>vezane</w:t>
            </w:r>
            <w:proofErr w:type="spellEnd"/>
            <w:r w:rsidRPr="00DF4CE5">
              <w:rPr>
                <w:rFonts w:ascii="Cambria" w:eastAsia="Calibri" w:hAnsi="Cambria" w:cs="Times New Roman"/>
                <w:lang w:val="it-IT"/>
              </w:rPr>
              <w:t xml:space="preserve"> </w:t>
            </w:r>
            <w:proofErr w:type="spellStart"/>
            <w:r w:rsidRPr="00DF4CE5">
              <w:rPr>
                <w:rFonts w:ascii="Cambria" w:eastAsia="Calibri" w:hAnsi="Cambria" w:cs="Times New Roman"/>
                <w:lang w:val="it-IT"/>
              </w:rPr>
              <w:t>uz</w:t>
            </w:r>
            <w:proofErr w:type="spellEnd"/>
            <w:r w:rsidRPr="00DF4CE5">
              <w:rPr>
                <w:rFonts w:ascii="Cambria" w:eastAsia="Calibri" w:hAnsi="Cambria" w:cs="Times New Roman"/>
                <w:lang w:val="it-IT"/>
              </w:rPr>
              <w:t xml:space="preserve"> </w:t>
            </w:r>
            <w:proofErr w:type="spellStart"/>
            <w:r w:rsidRPr="00DF4CE5">
              <w:rPr>
                <w:rFonts w:ascii="Cambria" w:eastAsia="Calibri" w:hAnsi="Cambria" w:cs="Times New Roman"/>
                <w:lang w:val="it-IT"/>
              </w:rPr>
              <w:t>kolegij</w:t>
            </w:r>
            <w:proofErr w:type="spellEnd"/>
          </w:p>
        </w:tc>
        <w:tc>
          <w:tcPr>
            <w:tcW w:w="7082"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BDC05C2" w14:textId="77777777" w:rsidR="006D2DC3" w:rsidRPr="00DF4CE5" w:rsidRDefault="006D2DC3" w:rsidP="00450B7A">
            <w:pPr>
              <w:spacing w:after="0" w:line="240" w:lineRule="auto"/>
              <w:jc w:val="both"/>
              <w:rPr>
                <w:rFonts w:ascii="Cambria" w:eastAsia="Calibri" w:hAnsi="Cambria" w:cs="Times New Roman"/>
                <w:lang w:val="hr-HR"/>
              </w:rPr>
            </w:pPr>
            <w:r w:rsidRPr="00DF4CE5">
              <w:rPr>
                <w:rFonts w:ascii="Cambria" w:hAnsi="Cambria"/>
                <w:lang w:val="hr-HR"/>
              </w:rPr>
              <w:t xml:space="preserve">U slučaju održavanja nastave na daljinu, moguće je odstupanje u: mjestu izvođenja kolegija, provedbi aktivnosti, metoda tumačenja i poučavanja i načinima vrednovanja, studentskim obvezama i dostupnoj literaturi. </w:t>
            </w:r>
            <w:r w:rsidRPr="00FD3975">
              <w:rPr>
                <w:rFonts w:ascii="Cambria" w:hAnsi="Cambria"/>
                <w:lang w:val="hr-HR"/>
              </w:rPr>
              <w:t>O tome će nositeljica kolegija obavijestiti studente i studentice kad se nastava na daljinu počne održavati. Ishodi učenja ostaju nepromijenjeni.</w:t>
            </w:r>
          </w:p>
        </w:tc>
      </w:tr>
      <w:tr w:rsidR="006D2DC3" w:rsidRPr="00D0399C" w14:paraId="430A44B3" w14:textId="77777777" w:rsidTr="00450B7A">
        <w:tc>
          <w:tcPr>
            <w:tcW w:w="225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EEBE5A7" w14:textId="77777777" w:rsidR="006D2DC3" w:rsidRPr="00DF4CE5" w:rsidRDefault="006D2DC3" w:rsidP="00450B7A">
            <w:pPr>
              <w:spacing w:after="0" w:line="240" w:lineRule="auto"/>
              <w:rPr>
                <w:rFonts w:ascii="Cambria" w:eastAsia="Calibri" w:hAnsi="Cambria" w:cs="Times New Roman"/>
                <w:lang w:val="hr-HR"/>
              </w:rPr>
            </w:pPr>
            <w:r>
              <w:rPr>
                <w:rFonts w:ascii="Cambria" w:eastAsia="Calibri" w:hAnsi="Cambria" w:cs="Times New Roman"/>
                <w:lang w:val="hr-HR"/>
              </w:rPr>
              <w:t>Literatura</w:t>
            </w:r>
          </w:p>
        </w:tc>
        <w:tc>
          <w:tcPr>
            <w:tcW w:w="7082"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AD62BCE" w14:textId="77777777" w:rsidR="006D2DC3" w:rsidRPr="00DF4CE5" w:rsidRDefault="006D2DC3" w:rsidP="00450B7A">
            <w:pPr>
              <w:spacing w:after="0" w:line="240" w:lineRule="auto"/>
              <w:jc w:val="both"/>
              <w:rPr>
                <w:rFonts w:ascii="Cambria" w:eastAsia="Calibri" w:hAnsi="Cambria" w:cs="Times New Roman"/>
                <w:lang w:val="hr-HR"/>
              </w:rPr>
            </w:pPr>
            <w:r w:rsidRPr="00DF4CE5">
              <w:rPr>
                <w:rFonts w:ascii="Cambria" w:eastAsia="Calibri" w:hAnsi="Cambria" w:cs="Times New Roman"/>
                <w:lang w:val="hr-HR"/>
              </w:rPr>
              <w:t xml:space="preserve">Obvezna: </w:t>
            </w:r>
          </w:p>
          <w:p w14:paraId="355B6CA8" w14:textId="77777777" w:rsidR="006D2DC3" w:rsidRPr="00DF4CE5" w:rsidRDefault="006D2DC3" w:rsidP="00450B7A">
            <w:pPr>
              <w:spacing w:after="0" w:line="240" w:lineRule="auto"/>
              <w:jc w:val="both"/>
              <w:rPr>
                <w:rFonts w:ascii="Cambria" w:eastAsia="Calibri" w:hAnsi="Cambria" w:cs="Times New Roman"/>
                <w:lang w:val="hr-HR"/>
              </w:rPr>
            </w:pPr>
            <w:proofErr w:type="spellStart"/>
            <w:r w:rsidRPr="00DF4CE5">
              <w:rPr>
                <w:rFonts w:ascii="Cambria" w:eastAsia="Calibri" w:hAnsi="Cambria" w:cs="Times New Roman"/>
                <w:lang w:val="hr-HR"/>
              </w:rPr>
              <w:t>Hameršak</w:t>
            </w:r>
            <w:proofErr w:type="spellEnd"/>
            <w:r w:rsidRPr="00DF4CE5">
              <w:rPr>
                <w:rFonts w:ascii="Cambria" w:eastAsia="Calibri" w:hAnsi="Cambria" w:cs="Times New Roman"/>
                <w:lang w:val="hr-HR"/>
              </w:rPr>
              <w:t xml:space="preserve">, M., Zima, D. (2015) Uvod u dječju književnost. Zagreb: </w:t>
            </w:r>
            <w:proofErr w:type="spellStart"/>
            <w:r w:rsidRPr="00DF4CE5">
              <w:rPr>
                <w:rFonts w:ascii="Cambria" w:eastAsia="Calibri" w:hAnsi="Cambria" w:cs="Times New Roman"/>
                <w:lang w:val="hr-HR"/>
              </w:rPr>
              <w:t>Leykam</w:t>
            </w:r>
            <w:proofErr w:type="spellEnd"/>
            <w:r w:rsidRPr="00DF4CE5">
              <w:rPr>
                <w:rFonts w:ascii="Cambria" w:eastAsia="Calibri" w:hAnsi="Cambria" w:cs="Times New Roman"/>
                <w:lang w:val="hr-HR"/>
              </w:rPr>
              <w:t xml:space="preserve"> International, str. 197.-224.</w:t>
            </w:r>
          </w:p>
          <w:p w14:paraId="0F643563" w14:textId="77777777" w:rsidR="006D2DC3" w:rsidRPr="00DF4CE5" w:rsidRDefault="006D2DC3" w:rsidP="00450B7A">
            <w:pPr>
              <w:spacing w:after="0"/>
              <w:jc w:val="both"/>
              <w:rPr>
                <w:rFonts w:ascii="Cambria" w:eastAsia="Calibri" w:hAnsi="Cambria" w:cs="Times New Roman"/>
                <w:bCs/>
                <w:lang w:val="hr-HR"/>
              </w:rPr>
            </w:pPr>
            <w:proofErr w:type="spellStart"/>
            <w:r w:rsidRPr="00DF4CE5">
              <w:rPr>
                <w:rFonts w:ascii="Cambria" w:eastAsia="Calibri" w:hAnsi="Cambria" w:cs="Times New Roman"/>
                <w:bCs/>
                <w:lang w:val="hr-HR"/>
              </w:rPr>
              <w:t>Majhut</w:t>
            </w:r>
            <w:proofErr w:type="spellEnd"/>
            <w:r w:rsidRPr="00DF4CE5">
              <w:rPr>
                <w:rFonts w:ascii="Cambria" w:eastAsia="Calibri" w:hAnsi="Cambria" w:cs="Times New Roman"/>
                <w:bCs/>
                <w:lang w:val="hr-HR"/>
              </w:rPr>
              <w:t>, B. (2005) Pustolov, siroče i dječja družba: hrvatski dječji roman do 1945. Zagreb: FF press, Zagreb.</w:t>
            </w:r>
          </w:p>
          <w:p w14:paraId="1260CDF7" w14:textId="77777777" w:rsidR="006D2DC3" w:rsidRPr="00977220" w:rsidRDefault="006D2DC3" w:rsidP="00450B7A">
            <w:pPr>
              <w:spacing w:after="0"/>
              <w:jc w:val="both"/>
              <w:rPr>
                <w:rFonts w:ascii="Cambria" w:eastAsia="Calibri" w:hAnsi="Cambria" w:cs="Times New Roman"/>
                <w:bCs/>
                <w:lang w:val="hr-HR"/>
              </w:rPr>
            </w:pPr>
            <w:proofErr w:type="spellStart"/>
            <w:r w:rsidRPr="00DF4CE5">
              <w:rPr>
                <w:rFonts w:ascii="Cambria" w:eastAsia="Calibri" w:hAnsi="Cambria" w:cs="Times New Roman"/>
                <w:bCs/>
                <w:lang w:val="hr-HR"/>
              </w:rPr>
              <w:t>Vrcić</w:t>
            </w:r>
            <w:proofErr w:type="spellEnd"/>
            <w:r w:rsidRPr="00DF4CE5">
              <w:rPr>
                <w:rFonts w:ascii="Cambria" w:eastAsia="Calibri" w:hAnsi="Cambria" w:cs="Times New Roman"/>
                <w:bCs/>
                <w:lang w:val="hr-HR"/>
              </w:rPr>
              <w:t xml:space="preserve">-Mataija, S. (2018) Hrvatski realistični dječji roman, Zadar: Sveučilište u Zadru. </w:t>
            </w:r>
          </w:p>
          <w:p w14:paraId="26CA3CA5" w14:textId="77777777" w:rsidR="006D2DC3" w:rsidRPr="00DF4CE5" w:rsidRDefault="006D2DC3" w:rsidP="00450B7A">
            <w:pPr>
              <w:spacing w:after="0" w:line="240" w:lineRule="auto"/>
              <w:jc w:val="both"/>
              <w:rPr>
                <w:rFonts w:ascii="Cambria" w:eastAsia="Calibri" w:hAnsi="Cambria" w:cs="Times New Roman"/>
                <w:lang w:val="hr-HR"/>
              </w:rPr>
            </w:pPr>
            <w:r w:rsidRPr="00DF4CE5">
              <w:rPr>
                <w:rFonts w:ascii="Cambria" w:eastAsia="Calibri" w:hAnsi="Cambria" w:cs="Times New Roman"/>
                <w:lang w:val="hr-HR"/>
              </w:rPr>
              <w:t>Izborna:</w:t>
            </w:r>
          </w:p>
          <w:p w14:paraId="37855D75" w14:textId="77777777" w:rsidR="006D2DC3" w:rsidRPr="00DF4CE5" w:rsidRDefault="006D2DC3" w:rsidP="00450B7A">
            <w:pPr>
              <w:spacing w:after="0" w:line="240" w:lineRule="auto"/>
              <w:jc w:val="both"/>
              <w:rPr>
                <w:rFonts w:ascii="Cambria" w:eastAsia="Calibri" w:hAnsi="Cambria" w:cs="Times New Roman"/>
                <w:lang w:val="hr-HR"/>
              </w:rPr>
            </w:pPr>
            <w:proofErr w:type="spellStart"/>
            <w:r w:rsidRPr="00DF4CE5">
              <w:rPr>
                <w:rFonts w:ascii="Cambria" w:eastAsia="Calibri" w:hAnsi="Cambria" w:cs="Times New Roman"/>
                <w:lang w:val="hr-HR"/>
              </w:rPr>
              <w:t>Hranjec</w:t>
            </w:r>
            <w:proofErr w:type="spellEnd"/>
            <w:r w:rsidRPr="00DF4CE5">
              <w:rPr>
                <w:rFonts w:ascii="Cambria" w:eastAsia="Calibri" w:hAnsi="Cambria" w:cs="Times New Roman"/>
                <w:lang w:val="hr-HR"/>
              </w:rPr>
              <w:t>, S. (1998) Hrvatski dječji roman. Zagreb: Znanje.</w:t>
            </w:r>
          </w:p>
          <w:p w14:paraId="125F3157" w14:textId="77777777" w:rsidR="006D2DC3" w:rsidRPr="00DF4CE5" w:rsidRDefault="006D2DC3" w:rsidP="00450B7A">
            <w:pPr>
              <w:spacing w:after="0" w:line="240" w:lineRule="auto"/>
              <w:jc w:val="both"/>
              <w:rPr>
                <w:rFonts w:ascii="Cambria" w:eastAsia="Calibri" w:hAnsi="Cambria" w:cs="Times New Roman"/>
                <w:lang w:val="hr-HR"/>
              </w:rPr>
            </w:pPr>
            <w:r w:rsidRPr="00DF4CE5">
              <w:rPr>
                <w:rFonts w:ascii="Cambria" w:eastAsia="Calibri" w:hAnsi="Cambria" w:cs="Times New Roman"/>
                <w:lang w:val="hr-HR"/>
              </w:rPr>
              <w:t>Kolar-Dimitrijević, M. (2012) Tragovi vremena u djelima Mate Lovraka. Zagreb: Srednja Europa.</w:t>
            </w:r>
          </w:p>
          <w:p w14:paraId="68F4964B" w14:textId="77777777" w:rsidR="006D2DC3" w:rsidRPr="00DF4CE5" w:rsidRDefault="006D2DC3" w:rsidP="00450B7A">
            <w:pPr>
              <w:spacing w:after="0" w:line="240" w:lineRule="auto"/>
              <w:jc w:val="both"/>
              <w:rPr>
                <w:rFonts w:ascii="Cambria" w:eastAsia="Calibri" w:hAnsi="Cambria" w:cs="Times New Roman"/>
                <w:lang w:val="hr-HR"/>
              </w:rPr>
            </w:pPr>
            <w:proofErr w:type="spellStart"/>
            <w:r w:rsidRPr="00DF4CE5">
              <w:rPr>
                <w:rFonts w:ascii="Cambria" w:eastAsia="Calibri" w:hAnsi="Cambria" w:cs="Times New Roman"/>
                <w:lang w:val="hr-HR"/>
              </w:rPr>
              <w:t>Majhut</w:t>
            </w:r>
            <w:proofErr w:type="spellEnd"/>
            <w:r w:rsidRPr="00DF4CE5">
              <w:rPr>
                <w:rFonts w:ascii="Cambria" w:eastAsia="Calibri" w:hAnsi="Cambria" w:cs="Times New Roman"/>
                <w:lang w:val="hr-HR"/>
              </w:rPr>
              <w:t xml:space="preserve">, B. (2008) </w:t>
            </w:r>
            <w:hyperlink r:id="rId202" w:history="1">
              <w:r w:rsidRPr="00DF4CE5">
                <w:rPr>
                  <w:rFonts w:ascii="Cambria" w:eastAsia="Calibri" w:hAnsi="Cambria" w:cs="Times New Roman"/>
                  <w:color w:val="0563C1"/>
                  <w:u w:val="single"/>
                  <w:lang w:val="hr-HR"/>
                </w:rPr>
                <w:t>Recepcija romana Čudnovate zgode Šegrta Hlapića Ivane Brlić Mažuranić</w:t>
              </w:r>
            </w:hyperlink>
            <w:r w:rsidRPr="00DF4CE5">
              <w:rPr>
                <w:rFonts w:ascii="Cambria" w:eastAsia="Calibri" w:hAnsi="Cambria" w:cs="Times New Roman"/>
                <w:lang w:val="hr-HR"/>
              </w:rPr>
              <w:t xml:space="preserve">, Nova </w:t>
            </w:r>
            <w:proofErr w:type="spellStart"/>
            <w:r w:rsidRPr="00DF4CE5">
              <w:rPr>
                <w:rFonts w:ascii="Cambria" w:eastAsia="Calibri" w:hAnsi="Cambria" w:cs="Times New Roman"/>
                <w:lang w:val="hr-HR"/>
              </w:rPr>
              <w:t>Croatica</w:t>
            </w:r>
            <w:proofErr w:type="spellEnd"/>
            <w:r w:rsidRPr="00DF4CE5">
              <w:rPr>
                <w:rFonts w:ascii="Cambria" w:eastAsia="Calibri" w:hAnsi="Cambria" w:cs="Times New Roman"/>
                <w:lang w:val="hr-HR"/>
              </w:rPr>
              <w:t xml:space="preserve"> 2 (2), 43-115. </w:t>
            </w:r>
          </w:p>
          <w:p w14:paraId="0A36A439" w14:textId="77777777" w:rsidR="006D2DC3" w:rsidRPr="00DF4CE5" w:rsidRDefault="006D2DC3" w:rsidP="00450B7A">
            <w:pPr>
              <w:spacing w:after="0" w:line="240" w:lineRule="auto"/>
              <w:ind w:right="-13"/>
              <w:jc w:val="both"/>
              <w:rPr>
                <w:rFonts w:ascii="Cambria" w:eastAsia="Calibri" w:hAnsi="Cambria" w:cs="Times New Roman"/>
                <w:lang w:val="hr-HR"/>
              </w:rPr>
            </w:pPr>
            <w:r w:rsidRPr="00DF4CE5">
              <w:rPr>
                <w:rFonts w:ascii="Cambria" w:eastAsia="Calibri" w:hAnsi="Cambria" w:cs="Times New Roman"/>
                <w:lang w:val="hr-HR"/>
              </w:rPr>
              <w:t>Težak, D. (1990) Dječji junak u romanu i filmu. Zagreb: Školske novine.</w:t>
            </w:r>
          </w:p>
          <w:p w14:paraId="6D46E48A" w14:textId="77777777" w:rsidR="006D2DC3" w:rsidRPr="00DF4CE5" w:rsidRDefault="006D2DC3" w:rsidP="00450B7A">
            <w:pPr>
              <w:spacing w:after="0" w:line="240" w:lineRule="auto"/>
              <w:jc w:val="both"/>
              <w:rPr>
                <w:rFonts w:ascii="Cambria" w:eastAsia="Calibri" w:hAnsi="Cambria" w:cs="Times New Roman"/>
                <w:lang w:val="hr-HR"/>
              </w:rPr>
            </w:pPr>
            <w:r w:rsidRPr="00DF4CE5">
              <w:rPr>
                <w:rFonts w:ascii="Cambria" w:eastAsia="Calibri" w:hAnsi="Cambria" w:cs="Times New Roman"/>
                <w:lang w:val="hr-HR"/>
              </w:rPr>
              <w:t xml:space="preserve">Težak, D. (2006) </w:t>
            </w:r>
            <w:hyperlink r:id="rId203" w:history="1">
              <w:r w:rsidRPr="00DF4CE5">
                <w:rPr>
                  <w:rFonts w:ascii="Cambria" w:eastAsia="Calibri" w:hAnsi="Cambria" w:cs="Times New Roman"/>
                  <w:color w:val="0563C1"/>
                  <w:u w:val="single"/>
                  <w:lang w:val="hr-HR"/>
                </w:rPr>
                <w:t>Vitez i Kušan – začetnici moderne hrvatske dječje književnosti</w:t>
              </w:r>
            </w:hyperlink>
            <w:r w:rsidRPr="00DF4CE5">
              <w:rPr>
                <w:rFonts w:ascii="Cambria" w:eastAsia="Calibri" w:hAnsi="Cambria" w:cs="Times New Roman"/>
                <w:lang w:val="hr-HR"/>
              </w:rPr>
              <w:t xml:space="preserve">. Metodika 7 (3), 279-288. </w:t>
            </w:r>
          </w:p>
          <w:p w14:paraId="53BA670F" w14:textId="77777777" w:rsidR="006D2DC3" w:rsidRPr="00DF4CE5" w:rsidRDefault="006D2DC3" w:rsidP="00450B7A">
            <w:pPr>
              <w:spacing w:after="0" w:line="240" w:lineRule="auto"/>
              <w:jc w:val="both"/>
              <w:rPr>
                <w:rFonts w:ascii="Cambria" w:eastAsia="Calibri" w:hAnsi="Cambria" w:cs="Times New Roman"/>
                <w:lang w:val="hr-HR"/>
              </w:rPr>
            </w:pPr>
            <w:proofErr w:type="spellStart"/>
            <w:r w:rsidRPr="00DF4CE5">
              <w:rPr>
                <w:rFonts w:ascii="Cambria" w:eastAsia="Calibri" w:hAnsi="Cambria" w:cs="Times New Roman"/>
                <w:lang w:val="hr-HR"/>
              </w:rPr>
              <w:t>Vrcić</w:t>
            </w:r>
            <w:proofErr w:type="spellEnd"/>
            <w:r w:rsidRPr="00DF4CE5">
              <w:rPr>
                <w:rFonts w:ascii="Cambria" w:eastAsia="Calibri" w:hAnsi="Cambria" w:cs="Times New Roman"/>
                <w:lang w:val="hr-HR"/>
              </w:rPr>
              <w:t xml:space="preserve">-Mataija, S. (2012) </w:t>
            </w:r>
            <w:hyperlink r:id="rId204" w:history="1">
              <w:r w:rsidRPr="00DF4CE5">
                <w:rPr>
                  <w:rFonts w:ascii="Cambria" w:eastAsia="Calibri" w:hAnsi="Cambria" w:cs="Times New Roman"/>
                  <w:color w:val="0563C1"/>
                  <w:u w:val="single"/>
                  <w:lang w:val="hr-HR"/>
                </w:rPr>
                <w:t>Prilog tipologiji hrvatskog dječjeg romana</w:t>
              </w:r>
            </w:hyperlink>
            <w:r w:rsidRPr="00DF4CE5">
              <w:rPr>
                <w:rFonts w:ascii="Cambria" w:eastAsia="Calibri" w:hAnsi="Cambria" w:cs="Times New Roman"/>
                <w:lang w:val="hr-HR"/>
              </w:rPr>
              <w:t xml:space="preserve">. </w:t>
            </w:r>
            <w:proofErr w:type="spellStart"/>
            <w:r w:rsidRPr="00DF4CE5">
              <w:rPr>
                <w:rFonts w:ascii="Cambria" w:eastAsia="Calibri" w:hAnsi="Cambria" w:cs="Times New Roman"/>
                <w:lang w:val="hr-HR"/>
              </w:rPr>
              <w:t>Fluminensia</w:t>
            </w:r>
            <w:proofErr w:type="spellEnd"/>
            <w:r w:rsidRPr="00DF4CE5">
              <w:rPr>
                <w:rFonts w:ascii="Cambria" w:eastAsia="Calibri" w:hAnsi="Cambria" w:cs="Times New Roman"/>
                <w:lang w:val="hr-HR"/>
              </w:rPr>
              <w:t>, 3 (2), 143-154.</w:t>
            </w:r>
          </w:p>
          <w:p w14:paraId="31109E11" w14:textId="77777777" w:rsidR="006D2DC3" w:rsidRDefault="006D2DC3" w:rsidP="00450B7A">
            <w:pPr>
              <w:spacing w:after="0" w:line="240" w:lineRule="auto"/>
              <w:jc w:val="both"/>
              <w:rPr>
                <w:rFonts w:ascii="Cambria" w:eastAsia="Calibri" w:hAnsi="Cambria" w:cs="Times New Roman"/>
                <w:lang w:val="hr-HR"/>
              </w:rPr>
            </w:pPr>
            <w:r w:rsidRPr="00DF4CE5">
              <w:rPr>
                <w:rFonts w:ascii="Cambria" w:eastAsia="Calibri" w:hAnsi="Cambria" w:cs="Times New Roman"/>
                <w:lang w:val="hr-HR"/>
              </w:rPr>
              <w:t>Zima, D. (2011) Kraći ljudi: povijest dječjeg lika u hrvatskom dječjem romanu, Zagreb: Školska knjiga.</w:t>
            </w:r>
          </w:p>
          <w:p w14:paraId="658CB011" w14:textId="77777777" w:rsidR="006D2DC3" w:rsidRPr="00977220" w:rsidRDefault="006D2DC3" w:rsidP="00450B7A">
            <w:pPr>
              <w:spacing w:after="0" w:line="240" w:lineRule="auto"/>
              <w:jc w:val="both"/>
              <w:rPr>
                <w:rFonts w:ascii="Cambria" w:hAnsi="Cambria"/>
                <w:lang w:val="hr-HR"/>
              </w:rPr>
            </w:pPr>
            <w:r w:rsidRPr="00977220">
              <w:rPr>
                <w:rFonts w:ascii="Cambria" w:hAnsi="Cambria"/>
                <w:lang w:val="hr-HR"/>
              </w:rPr>
              <w:t>Lektira (odabrati barem 10 naslova):</w:t>
            </w:r>
          </w:p>
          <w:p w14:paraId="614B575D" w14:textId="77777777" w:rsidR="006D2DC3" w:rsidRPr="00977220" w:rsidRDefault="006D2DC3" w:rsidP="00450B7A">
            <w:pPr>
              <w:spacing w:after="0" w:line="240" w:lineRule="auto"/>
              <w:jc w:val="both"/>
              <w:rPr>
                <w:rFonts w:ascii="Cambria" w:hAnsi="Cambria"/>
                <w:lang w:val="hr-HR"/>
              </w:rPr>
            </w:pPr>
            <w:r w:rsidRPr="00977220">
              <w:rPr>
                <w:rFonts w:ascii="Cambria" w:hAnsi="Cambria"/>
                <w:lang w:val="hr-HR"/>
              </w:rPr>
              <w:t>I. Brlić Mažuranić: Čudnovate zgode Šegrta Hlapića</w:t>
            </w:r>
          </w:p>
          <w:p w14:paraId="226366CD" w14:textId="77777777" w:rsidR="006D2DC3" w:rsidRPr="00977220" w:rsidRDefault="006D2DC3" w:rsidP="00450B7A">
            <w:pPr>
              <w:spacing w:after="0" w:line="240" w:lineRule="auto"/>
              <w:jc w:val="both"/>
              <w:rPr>
                <w:rFonts w:ascii="Cambria" w:hAnsi="Cambria"/>
                <w:lang w:val="hr-HR"/>
              </w:rPr>
            </w:pPr>
            <w:r w:rsidRPr="00977220">
              <w:rPr>
                <w:rFonts w:ascii="Cambria" w:hAnsi="Cambria"/>
                <w:lang w:val="hr-HR"/>
              </w:rPr>
              <w:t>M. Lovrak: Vlak u snijegu; Družba Pere Kvržice</w:t>
            </w:r>
          </w:p>
          <w:p w14:paraId="5A6B7C0C" w14:textId="77777777" w:rsidR="006D2DC3" w:rsidRPr="00977220" w:rsidRDefault="006D2DC3" w:rsidP="00450B7A">
            <w:pPr>
              <w:spacing w:after="0" w:line="240" w:lineRule="auto"/>
              <w:jc w:val="both"/>
              <w:rPr>
                <w:rFonts w:ascii="Cambria" w:hAnsi="Cambria"/>
                <w:lang w:val="hr-HR"/>
              </w:rPr>
            </w:pPr>
            <w:r w:rsidRPr="00977220">
              <w:rPr>
                <w:rFonts w:ascii="Cambria" w:hAnsi="Cambria"/>
                <w:lang w:val="hr-HR"/>
              </w:rPr>
              <w:t>I. Kušan: Uzbuna na Zelenom Vrhu; Koko i duhovi; Koko u Parizu; Lažeš, Melita; Ljubav ili smrt</w:t>
            </w:r>
          </w:p>
          <w:p w14:paraId="6882AD53" w14:textId="77777777" w:rsidR="006D2DC3" w:rsidRPr="00977220" w:rsidRDefault="006D2DC3" w:rsidP="00450B7A">
            <w:pPr>
              <w:spacing w:after="0" w:line="240" w:lineRule="auto"/>
              <w:jc w:val="both"/>
              <w:rPr>
                <w:rFonts w:ascii="Cambria" w:hAnsi="Cambria"/>
                <w:lang w:val="hr-HR"/>
              </w:rPr>
            </w:pPr>
            <w:r w:rsidRPr="00977220">
              <w:rPr>
                <w:rFonts w:ascii="Cambria" w:hAnsi="Cambria"/>
                <w:lang w:val="hr-HR"/>
              </w:rPr>
              <w:t xml:space="preserve">M. </w:t>
            </w:r>
            <w:proofErr w:type="spellStart"/>
            <w:r w:rsidRPr="00977220">
              <w:rPr>
                <w:rFonts w:ascii="Cambria" w:hAnsi="Cambria"/>
                <w:lang w:val="hr-HR"/>
              </w:rPr>
              <w:t>Matošec</w:t>
            </w:r>
            <w:proofErr w:type="spellEnd"/>
            <w:r w:rsidRPr="00977220">
              <w:rPr>
                <w:rFonts w:ascii="Cambria" w:hAnsi="Cambria"/>
                <w:lang w:val="hr-HR"/>
              </w:rPr>
              <w:t xml:space="preserve">: </w:t>
            </w:r>
            <w:proofErr w:type="spellStart"/>
            <w:r w:rsidRPr="00977220">
              <w:rPr>
                <w:rFonts w:ascii="Cambria" w:hAnsi="Cambria"/>
                <w:lang w:val="hr-HR"/>
              </w:rPr>
              <w:t>Tiki</w:t>
            </w:r>
            <w:proofErr w:type="spellEnd"/>
            <w:r w:rsidRPr="00977220">
              <w:rPr>
                <w:rFonts w:ascii="Cambria" w:hAnsi="Cambria"/>
                <w:lang w:val="hr-HR"/>
              </w:rPr>
              <w:t xml:space="preserve"> traži neznanca; Strah u Ulici lipa; Suvišan u svemiru</w:t>
            </w:r>
          </w:p>
          <w:p w14:paraId="7840489A" w14:textId="77777777" w:rsidR="006D2DC3" w:rsidRPr="00977220" w:rsidRDefault="006D2DC3" w:rsidP="00450B7A">
            <w:pPr>
              <w:spacing w:after="0" w:line="240" w:lineRule="auto"/>
              <w:jc w:val="both"/>
              <w:rPr>
                <w:rFonts w:ascii="Cambria" w:hAnsi="Cambria"/>
                <w:lang w:val="hr-HR"/>
              </w:rPr>
            </w:pPr>
            <w:r w:rsidRPr="00977220">
              <w:rPr>
                <w:rFonts w:ascii="Cambria" w:hAnsi="Cambria"/>
                <w:lang w:val="hr-HR"/>
              </w:rPr>
              <w:t xml:space="preserve">A. </w:t>
            </w:r>
            <w:proofErr w:type="spellStart"/>
            <w:r w:rsidRPr="00977220">
              <w:rPr>
                <w:rFonts w:ascii="Cambria" w:hAnsi="Cambria"/>
                <w:lang w:val="hr-HR"/>
              </w:rPr>
              <w:t>Gardaš</w:t>
            </w:r>
            <w:proofErr w:type="spellEnd"/>
            <w:r w:rsidRPr="00977220">
              <w:rPr>
                <w:rFonts w:ascii="Cambria" w:hAnsi="Cambria"/>
                <w:lang w:val="hr-HR"/>
              </w:rPr>
              <w:t>: Duh u močvari; Miron u škripcu; Filip dječak bez imena</w:t>
            </w:r>
          </w:p>
          <w:p w14:paraId="552E3B06" w14:textId="77777777" w:rsidR="006D2DC3" w:rsidRPr="00977220" w:rsidRDefault="006D2DC3" w:rsidP="00450B7A">
            <w:pPr>
              <w:spacing w:after="0" w:line="240" w:lineRule="auto"/>
              <w:jc w:val="both"/>
              <w:rPr>
                <w:rFonts w:ascii="Cambria" w:hAnsi="Cambria"/>
                <w:lang w:val="hr-HR"/>
              </w:rPr>
            </w:pPr>
            <w:r w:rsidRPr="00977220">
              <w:rPr>
                <w:rFonts w:ascii="Cambria" w:hAnsi="Cambria"/>
                <w:lang w:val="hr-HR"/>
              </w:rPr>
              <w:t>M. Gavran: Sretni dani; Kako je tata osvojio mamu; Zaljubljen do ušiju; Svašta u mojoj glavi</w:t>
            </w:r>
          </w:p>
          <w:p w14:paraId="699B316A" w14:textId="77777777" w:rsidR="006D2DC3" w:rsidRPr="00977220" w:rsidRDefault="006D2DC3" w:rsidP="00450B7A">
            <w:pPr>
              <w:spacing w:after="0" w:line="240" w:lineRule="auto"/>
              <w:jc w:val="both"/>
              <w:rPr>
                <w:rFonts w:ascii="Cambria" w:hAnsi="Cambria"/>
                <w:lang w:val="hr-HR"/>
              </w:rPr>
            </w:pPr>
            <w:r w:rsidRPr="00977220">
              <w:rPr>
                <w:rFonts w:ascii="Cambria" w:hAnsi="Cambria"/>
                <w:lang w:val="hr-HR"/>
              </w:rPr>
              <w:t>H. Kovačević: Tajna Ribljeg Oka; Tajna mačje šape; Tajna Tužnog psa;   Tajna graditelja straha; Tajna zlatnog zuba</w:t>
            </w:r>
          </w:p>
          <w:p w14:paraId="01C3A05B" w14:textId="77777777" w:rsidR="006D2DC3" w:rsidRPr="00977220" w:rsidRDefault="006D2DC3" w:rsidP="00450B7A">
            <w:pPr>
              <w:spacing w:after="0" w:line="240" w:lineRule="auto"/>
              <w:jc w:val="both"/>
              <w:rPr>
                <w:rFonts w:ascii="Cambria" w:hAnsi="Cambria"/>
                <w:lang w:val="hr-HR"/>
              </w:rPr>
            </w:pPr>
            <w:r w:rsidRPr="00977220">
              <w:rPr>
                <w:rFonts w:ascii="Cambria" w:hAnsi="Cambria"/>
                <w:lang w:val="hr-HR"/>
              </w:rPr>
              <w:t xml:space="preserve">Z. </w:t>
            </w:r>
            <w:proofErr w:type="spellStart"/>
            <w:r w:rsidRPr="00977220">
              <w:rPr>
                <w:rFonts w:ascii="Cambria" w:hAnsi="Cambria"/>
                <w:lang w:val="hr-HR"/>
              </w:rPr>
              <w:t>Krilić</w:t>
            </w:r>
            <w:proofErr w:type="spellEnd"/>
            <w:r w:rsidRPr="00977220">
              <w:rPr>
                <w:rFonts w:ascii="Cambria" w:hAnsi="Cambria"/>
                <w:lang w:val="hr-HR"/>
              </w:rPr>
              <w:t>: Čudnovata istina; Zabranjena vrata; Veliki zavodnik</w:t>
            </w:r>
          </w:p>
          <w:p w14:paraId="48EB654D" w14:textId="77777777" w:rsidR="006D2DC3" w:rsidRPr="00977220" w:rsidRDefault="006D2DC3" w:rsidP="00450B7A">
            <w:pPr>
              <w:spacing w:after="0" w:line="240" w:lineRule="auto"/>
              <w:jc w:val="both"/>
              <w:rPr>
                <w:rFonts w:ascii="Cambria" w:hAnsi="Cambria"/>
                <w:lang w:val="hr-HR"/>
              </w:rPr>
            </w:pPr>
            <w:r w:rsidRPr="00977220">
              <w:rPr>
                <w:rFonts w:ascii="Cambria" w:hAnsi="Cambria"/>
                <w:lang w:val="hr-HR"/>
              </w:rPr>
              <w:t>P. Pavličić: Zeleni tigar;  Petlja; Trojica u Trnju</w:t>
            </w:r>
          </w:p>
          <w:p w14:paraId="099A1531" w14:textId="77777777" w:rsidR="006D2DC3" w:rsidRPr="00977220" w:rsidRDefault="006D2DC3" w:rsidP="00450B7A">
            <w:pPr>
              <w:spacing w:after="0" w:line="240" w:lineRule="auto"/>
              <w:jc w:val="both"/>
              <w:rPr>
                <w:rFonts w:ascii="Cambria" w:hAnsi="Cambria"/>
                <w:lang w:val="hr-HR"/>
              </w:rPr>
            </w:pPr>
            <w:r w:rsidRPr="00977220">
              <w:rPr>
                <w:rFonts w:ascii="Cambria" w:hAnsi="Cambria"/>
                <w:lang w:val="hr-HR"/>
              </w:rPr>
              <w:t xml:space="preserve">T. Horvat: Tajna Gornjega grada; </w:t>
            </w:r>
          </w:p>
          <w:p w14:paraId="772BB796" w14:textId="77777777" w:rsidR="006D2DC3" w:rsidRPr="00977220" w:rsidRDefault="006D2DC3" w:rsidP="00450B7A">
            <w:pPr>
              <w:spacing w:after="0" w:line="240" w:lineRule="auto"/>
              <w:jc w:val="both"/>
              <w:rPr>
                <w:rFonts w:ascii="Cambria" w:hAnsi="Cambria"/>
                <w:lang w:val="hr-HR"/>
              </w:rPr>
            </w:pPr>
            <w:r w:rsidRPr="00977220">
              <w:rPr>
                <w:rFonts w:ascii="Cambria" w:hAnsi="Cambria"/>
                <w:lang w:val="hr-HR"/>
              </w:rPr>
              <w:t xml:space="preserve">B. </w:t>
            </w:r>
            <w:proofErr w:type="spellStart"/>
            <w:r w:rsidRPr="00977220">
              <w:rPr>
                <w:rFonts w:ascii="Cambria" w:hAnsi="Cambria"/>
                <w:lang w:val="hr-HR"/>
              </w:rPr>
              <w:t>Dovjak</w:t>
            </w:r>
            <w:proofErr w:type="spellEnd"/>
            <w:r w:rsidRPr="00977220">
              <w:rPr>
                <w:rFonts w:ascii="Cambria" w:hAnsi="Cambria"/>
                <w:lang w:val="hr-HR"/>
              </w:rPr>
              <w:t>-Matković: Zagrebačka priča</w:t>
            </w:r>
          </w:p>
          <w:p w14:paraId="632EFDEF" w14:textId="77777777" w:rsidR="006D2DC3" w:rsidRPr="00977220" w:rsidRDefault="006D2DC3" w:rsidP="00450B7A">
            <w:pPr>
              <w:spacing w:after="0" w:line="240" w:lineRule="auto"/>
              <w:jc w:val="both"/>
              <w:rPr>
                <w:rFonts w:ascii="Cambria" w:hAnsi="Cambria"/>
                <w:lang w:val="hr-HR"/>
              </w:rPr>
            </w:pPr>
            <w:r w:rsidRPr="00977220">
              <w:rPr>
                <w:rFonts w:ascii="Cambria" w:hAnsi="Cambria"/>
                <w:lang w:val="hr-HR"/>
              </w:rPr>
              <w:t xml:space="preserve">D. Horvatić: Junačina </w:t>
            </w:r>
            <w:proofErr w:type="spellStart"/>
            <w:r w:rsidRPr="00977220">
              <w:rPr>
                <w:rFonts w:ascii="Cambria" w:hAnsi="Cambria"/>
                <w:lang w:val="hr-HR"/>
              </w:rPr>
              <w:t>Mijat</w:t>
            </w:r>
            <w:proofErr w:type="spellEnd"/>
            <w:r w:rsidRPr="00977220">
              <w:rPr>
                <w:rFonts w:ascii="Cambria" w:hAnsi="Cambria"/>
                <w:lang w:val="hr-HR"/>
              </w:rPr>
              <w:t xml:space="preserve"> Tomić</w:t>
            </w:r>
          </w:p>
          <w:p w14:paraId="1CD0B130" w14:textId="77777777" w:rsidR="006D2DC3" w:rsidRPr="00977220" w:rsidRDefault="006D2DC3" w:rsidP="00450B7A">
            <w:pPr>
              <w:spacing w:after="0" w:line="240" w:lineRule="auto"/>
              <w:jc w:val="both"/>
              <w:rPr>
                <w:rFonts w:ascii="Cambria" w:hAnsi="Cambria"/>
                <w:lang w:val="hr-HR"/>
              </w:rPr>
            </w:pPr>
            <w:r w:rsidRPr="00977220">
              <w:rPr>
                <w:rFonts w:ascii="Cambria" w:hAnsi="Cambria"/>
                <w:lang w:val="hr-HR"/>
              </w:rPr>
              <w:t xml:space="preserve">I. </w:t>
            </w:r>
            <w:proofErr w:type="spellStart"/>
            <w:r w:rsidRPr="00977220">
              <w:rPr>
                <w:rFonts w:ascii="Cambria" w:hAnsi="Cambria"/>
                <w:lang w:val="hr-HR"/>
              </w:rPr>
              <w:t>Šajatović</w:t>
            </w:r>
            <w:proofErr w:type="spellEnd"/>
            <w:r w:rsidRPr="00977220">
              <w:rPr>
                <w:rFonts w:ascii="Cambria" w:hAnsi="Cambria"/>
                <w:lang w:val="hr-HR"/>
              </w:rPr>
              <w:t>: Tajna ogrlice sa sedam rubina</w:t>
            </w:r>
          </w:p>
          <w:p w14:paraId="0D2A3F7B" w14:textId="77777777" w:rsidR="006D2DC3" w:rsidRPr="00977220" w:rsidRDefault="006D2DC3" w:rsidP="00450B7A">
            <w:pPr>
              <w:spacing w:after="0" w:line="240" w:lineRule="auto"/>
              <w:jc w:val="both"/>
              <w:rPr>
                <w:rFonts w:ascii="Cambria" w:hAnsi="Cambria"/>
                <w:lang w:val="hr-HR"/>
              </w:rPr>
            </w:pPr>
            <w:r w:rsidRPr="00977220">
              <w:rPr>
                <w:rFonts w:ascii="Cambria" w:hAnsi="Cambria"/>
                <w:lang w:val="hr-HR"/>
              </w:rPr>
              <w:t xml:space="preserve">J. </w:t>
            </w:r>
            <w:proofErr w:type="spellStart"/>
            <w:r w:rsidRPr="00977220">
              <w:rPr>
                <w:rFonts w:ascii="Cambria" w:hAnsi="Cambria"/>
                <w:lang w:val="hr-HR"/>
              </w:rPr>
              <w:t>Cvenić</w:t>
            </w:r>
            <w:proofErr w:type="spellEnd"/>
            <w:r w:rsidRPr="00977220">
              <w:rPr>
                <w:rFonts w:ascii="Cambria" w:hAnsi="Cambria"/>
                <w:lang w:val="hr-HR"/>
              </w:rPr>
              <w:t xml:space="preserve">: Čvrsto drži </w:t>
            </w:r>
            <w:proofErr w:type="spellStart"/>
            <w:r w:rsidRPr="00977220">
              <w:rPr>
                <w:rFonts w:ascii="Cambria" w:hAnsi="Cambria"/>
                <w:lang w:val="hr-HR"/>
              </w:rPr>
              <w:t>joy-stick</w:t>
            </w:r>
            <w:proofErr w:type="spellEnd"/>
          </w:p>
          <w:p w14:paraId="28D1F846" w14:textId="77777777" w:rsidR="006D2DC3" w:rsidRPr="00977220" w:rsidRDefault="006D2DC3" w:rsidP="00450B7A">
            <w:pPr>
              <w:spacing w:after="0" w:line="240" w:lineRule="auto"/>
              <w:jc w:val="both"/>
              <w:rPr>
                <w:rFonts w:ascii="Cambria" w:hAnsi="Cambria"/>
                <w:lang w:val="hr-HR"/>
              </w:rPr>
            </w:pPr>
            <w:r w:rsidRPr="00977220">
              <w:rPr>
                <w:rFonts w:ascii="Cambria" w:hAnsi="Cambria"/>
                <w:lang w:val="hr-HR"/>
              </w:rPr>
              <w:t xml:space="preserve">J. </w:t>
            </w:r>
            <w:proofErr w:type="spellStart"/>
            <w:r w:rsidRPr="00977220">
              <w:rPr>
                <w:rFonts w:ascii="Cambria" w:hAnsi="Cambria"/>
                <w:lang w:val="hr-HR"/>
              </w:rPr>
              <w:t>Bitenc</w:t>
            </w:r>
            <w:proofErr w:type="spellEnd"/>
            <w:r w:rsidRPr="00977220">
              <w:rPr>
                <w:rFonts w:ascii="Cambria" w:hAnsi="Cambria"/>
                <w:lang w:val="hr-HR"/>
              </w:rPr>
              <w:t>: Twist na bazenu</w:t>
            </w:r>
          </w:p>
          <w:p w14:paraId="1A2E5DD0" w14:textId="77777777" w:rsidR="006D2DC3" w:rsidRPr="00977220" w:rsidRDefault="006D2DC3" w:rsidP="00450B7A">
            <w:pPr>
              <w:spacing w:after="0" w:line="240" w:lineRule="auto"/>
              <w:jc w:val="both"/>
              <w:rPr>
                <w:rFonts w:ascii="Cambria" w:hAnsi="Cambria"/>
                <w:lang w:val="hr-HR"/>
              </w:rPr>
            </w:pPr>
            <w:r w:rsidRPr="00977220">
              <w:rPr>
                <w:rFonts w:ascii="Cambria" w:hAnsi="Cambria"/>
                <w:lang w:val="hr-HR"/>
              </w:rPr>
              <w:t xml:space="preserve">Š. </w:t>
            </w:r>
            <w:proofErr w:type="spellStart"/>
            <w:r w:rsidRPr="00977220">
              <w:rPr>
                <w:rFonts w:ascii="Cambria" w:hAnsi="Cambria"/>
                <w:lang w:val="hr-HR"/>
              </w:rPr>
              <w:t>Storić</w:t>
            </w:r>
            <w:proofErr w:type="spellEnd"/>
            <w:r w:rsidRPr="00977220">
              <w:rPr>
                <w:rFonts w:ascii="Cambria" w:hAnsi="Cambria"/>
                <w:lang w:val="hr-HR"/>
              </w:rPr>
              <w:t>: Poljubit ću je uskoro, možda</w:t>
            </w:r>
          </w:p>
          <w:p w14:paraId="7FD1B9DE" w14:textId="77777777" w:rsidR="006D2DC3" w:rsidRPr="00977220" w:rsidRDefault="006D2DC3" w:rsidP="00450B7A">
            <w:pPr>
              <w:spacing w:after="0" w:line="240" w:lineRule="auto"/>
              <w:jc w:val="both"/>
              <w:rPr>
                <w:rFonts w:ascii="Cambria" w:hAnsi="Cambria"/>
                <w:lang w:val="hr-HR"/>
              </w:rPr>
            </w:pPr>
            <w:r w:rsidRPr="00977220">
              <w:rPr>
                <w:rFonts w:ascii="Cambria" w:hAnsi="Cambria"/>
                <w:lang w:val="hr-HR"/>
              </w:rPr>
              <w:t xml:space="preserve">J. Horvat: </w:t>
            </w:r>
            <w:proofErr w:type="spellStart"/>
            <w:r w:rsidRPr="00977220">
              <w:rPr>
                <w:rFonts w:ascii="Cambria" w:hAnsi="Cambria"/>
                <w:lang w:val="hr-HR"/>
              </w:rPr>
              <w:t>Waitapu</w:t>
            </w:r>
            <w:proofErr w:type="spellEnd"/>
            <w:r w:rsidRPr="00977220">
              <w:rPr>
                <w:rFonts w:ascii="Cambria" w:hAnsi="Cambria"/>
                <w:lang w:val="hr-HR"/>
              </w:rPr>
              <w:t xml:space="preserve"> </w:t>
            </w:r>
          </w:p>
          <w:p w14:paraId="2BD47A87" w14:textId="77777777" w:rsidR="006D2DC3" w:rsidRPr="00977220" w:rsidRDefault="006D2DC3" w:rsidP="00450B7A">
            <w:pPr>
              <w:spacing w:after="0" w:line="240" w:lineRule="auto"/>
              <w:jc w:val="both"/>
              <w:rPr>
                <w:rFonts w:ascii="Cambria" w:hAnsi="Cambria"/>
                <w:lang w:val="hr-HR"/>
              </w:rPr>
            </w:pPr>
            <w:r w:rsidRPr="00977220">
              <w:rPr>
                <w:rFonts w:ascii="Cambria" w:hAnsi="Cambria"/>
                <w:lang w:val="hr-HR"/>
              </w:rPr>
              <w:t xml:space="preserve">N. Pulić: </w:t>
            </w:r>
            <w:proofErr w:type="spellStart"/>
            <w:r w:rsidRPr="00977220">
              <w:rPr>
                <w:rFonts w:ascii="Cambria" w:hAnsi="Cambria"/>
                <w:lang w:val="hr-HR"/>
              </w:rPr>
              <w:t>Maksimirci</w:t>
            </w:r>
            <w:proofErr w:type="spellEnd"/>
            <w:r w:rsidRPr="00977220">
              <w:rPr>
                <w:rFonts w:ascii="Cambria" w:hAnsi="Cambria"/>
                <w:lang w:val="hr-HR"/>
              </w:rPr>
              <w:t xml:space="preserve">; Ključić oko vrata </w:t>
            </w:r>
          </w:p>
          <w:p w14:paraId="116D50B5" w14:textId="77777777" w:rsidR="006D2DC3" w:rsidRPr="00977220" w:rsidRDefault="006D2DC3" w:rsidP="00450B7A">
            <w:pPr>
              <w:spacing w:after="0" w:line="240" w:lineRule="auto"/>
              <w:jc w:val="both"/>
              <w:rPr>
                <w:rFonts w:ascii="Cambria" w:hAnsi="Cambria"/>
                <w:lang w:val="hr-HR"/>
              </w:rPr>
            </w:pPr>
            <w:r w:rsidRPr="00977220">
              <w:rPr>
                <w:rFonts w:ascii="Cambria" w:hAnsi="Cambria"/>
                <w:lang w:val="hr-HR"/>
              </w:rPr>
              <w:t>M. Rundek: Psima ulaz zabranjen</w:t>
            </w:r>
          </w:p>
          <w:p w14:paraId="29BDE40E" w14:textId="77777777" w:rsidR="006D2DC3" w:rsidRPr="00977220" w:rsidRDefault="006D2DC3" w:rsidP="00450B7A">
            <w:pPr>
              <w:spacing w:after="0" w:line="240" w:lineRule="auto"/>
              <w:jc w:val="both"/>
              <w:rPr>
                <w:rFonts w:ascii="Cambria" w:hAnsi="Cambria"/>
                <w:lang w:val="hr-HR"/>
              </w:rPr>
            </w:pPr>
            <w:r w:rsidRPr="00977220">
              <w:rPr>
                <w:rFonts w:ascii="Cambria" w:hAnsi="Cambria"/>
                <w:lang w:val="hr-HR"/>
              </w:rPr>
              <w:lastRenderedPageBreak/>
              <w:t xml:space="preserve">B. </w:t>
            </w:r>
            <w:proofErr w:type="spellStart"/>
            <w:r w:rsidRPr="00977220">
              <w:rPr>
                <w:rFonts w:ascii="Cambria" w:hAnsi="Cambria"/>
                <w:lang w:val="hr-HR"/>
              </w:rPr>
              <w:t>Prosenjak</w:t>
            </w:r>
            <w:proofErr w:type="spellEnd"/>
            <w:r w:rsidRPr="00977220">
              <w:rPr>
                <w:rFonts w:ascii="Cambria" w:hAnsi="Cambria"/>
                <w:lang w:val="hr-HR"/>
              </w:rPr>
              <w:t>: Divlji konj</w:t>
            </w:r>
          </w:p>
          <w:p w14:paraId="74E2BEAE" w14:textId="77777777" w:rsidR="006D2DC3" w:rsidRPr="00977220" w:rsidRDefault="006D2DC3" w:rsidP="00450B7A">
            <w:pPr>
              <w:spacing w:after="0" w:line="240" w:lineRule="auto"/>
              <w:jc w:val="both"/>
              <w:rPr>
                <w:rFonts w:ascii="Cambria" w:hAnsi="Cambria"/>
                <w:lang w:val="hr-HR"/>
              </w:rPr>
            </w:pPr>
            <w:r w:rsidRPr="00977220">
              <w:rPr>
                <w:rFonts w:ascii="Cambria" w:hAnsi="Cambria"/>
                <w:lang w:val="hr-HR"/>
              </w:rPr>
              <w:t xml:space="preserve">H. Hitrec: </w:t>
            </w:r>
            <w:proofErr w:type="spellStart"/>
            <w:r w:rsidRPr="00977220">
              <w:rPr>
                <w:rFonts w:ascii="Cambria" w:hAnsi="Cambria"/>
                <w:lang w:val="hr-HR"/>
              </w:rPr>
              <w:t>Smogovci</w:t>
            </w:r>
            <w:proofErr w:type="spellEnd"/>
            <w:r w:rsidRPr="00977220">
              <w:rPr>
                <w:rFonts w:ascii="Cambria" w:hAnsi="Cambria"/>
                <w:lang w:val="hr-HR"/>
              </w:rPr>
              <w:t xml:space="preserve">, Eko </w:t>
            </w:r>
            <w:proofErr w:type="spellStart"/>
            <w:r w:rsidRPr="00977220">
              <w:rPr>
                <w:rFonts w:ascii="Cambria" w:hAnsi="Cambria"/>
                <w:lang w:val="hr-HR"/>
              </w:rPr>
              <w:t>Eko</w:t>
            </w:r>
            <w:proofErr w:type="spellEnd"/>
          </w:p>
          <w:p w14:paraId="39BA11FF" w14:textId="77777777" w:rsidR="006D2DC3" w:rsidRPr="00977220" w:rsidRDefault="006D2DC3" w:rsidP="00450B7A">
            <w:pPr>
              <w:spacing w:after="0" w:line="240" w:lineRule="auto"/>
              <w:jc w:val="both"/>
              <w:rPr>
                <w:rFonts w:ascii="Cambria" w:hAnsi="Cambria"/>
                <w:lang w:val="hr-HR"/>
              </w:rPr>
            </w:pPr>
            <w:r w:rsidRPr="00977220">
              <w:rPr>
                <w:rFonts w:ascii="Cambria" w:hAnsi="Cambria"/>
                <w:lang w:val="hr-HR"/>
              </w:rPr>
              <w:t>D. Miloš: Bijeli klaun</w:t>
            </w:r>
          </w:p>
          <w:p w14:paraId="325135FC" w14:textId="77777777" w:rsidR="006D2DC3" w:rsidRPr="00977220" w:rsidRDefault="006D2DC3" w:rsidP="00450B7A">
            <w:pPr>
              <w:spacing w:after="0" w:line="240" w:lineRule="auto"/>
              <w:jc w:val="both"/>
              <w:rPr>
                <w:rFonts w:ascii="Cambria" w:hAnsi="Cambria"/>
                <w:lang w:val="hr-HR"/>
              </w:rPr>
            </w:pPr>
            <w:r w:rsidRPr="00977220">
              <w:rPr>
                <w:rFonts w:ascii="Cambria" w:hAnsi="Cambria"/>
                <w:lang w:val="hr-HR"/>
              </w:rPr>
              <w:t xml:space="preserve">Z. </w:t>
            </w:r>
            <w:proofErr w:type="spellStart"/>
            <w:r w:rsidRPr="00977220">
              <w:rPr>
                <w:rFonts w:ascii="Cambria" w:hAnsi="Cambria"/>
                <w:lang w:val="hr-HR"/>
              </w:rPr>
              <w:t>Pongrašić</w:t>
            </w:r>
            <w:proofErr w:type="spellEnd"/>
            <w:r w:rsidRPr="00977220">
              <w:rPr>
                <w:rFonts w:ascii="Cambria" w:hAnsi="Cambria"/>
                <w:lang w:val="hr-HR"/>
              </w:rPr>
              <w:t>: Gumi-gumi</w:t>
            </w:r>
          </w:p>
          <w:p w14:paraId="7090CFEC" w14:textId="77777777" w:rsidR="006D2DC3" w:rsidRPr="00977220" w:rsidRDefault="006D2DC3" w:rsidP="00450B7A">
            <w:pPr>
              <w:spacing w:after="0" w:line="240" w:lineRule="auto"/>
              <w:jc w:val="both"/>
              <w:rPr>
                <w:rFonts w:ascii="Cambria" w:hAnsi="Cambria"/>
                <w:lang w:val="hr-HR"/>
              </w:rPr>
            </w:pPr>
            <w:r w:rsidRPr="00977220">
              <w:rPr>
                <w:rFonts w:ascii="Cambria" w:hAnsi="Cambria"/>
                <w:lang w:val="hr-HR"/>
              </w:rPr>
              <w:t>B. Primorac: Maturalac</w:t>
            </w:r>
          </w:p>
          <w:p w14:paraId="7E858698" w14:textId="77777777" w:rsidR="006D2DC3" w:rsidRPr="00977220" w:rsidRDefault="006D2DC3" w:rsidP="00450B7A">
            <w:pPr>
              <w:spacing w:after="0" w:line="240" w:lineRule="auto"/>
              <w:jc w:val="both"/>
              <w:rPr>
                <w:rFonts w:ascii="Cambria" w:hAnsi="Cambria"/>
                <w:lang w:val="hr-HR"/>
              </w:rPr>
            </w:pPr>
            <w:r w:rsidRPr="00977220">
              <w:rPr>
                <w:rFonts w:ascii="Cambria" w:hAnsi="Cambria"/>
                <w:lang w:val="hr-HR"/>
              </w:rPr>
              <w:t>D. Jelačić-Bužimski: Sportski život Letećeg Martina; Balkanska mafija; Martin protiv CIA-e i KGB-a</w:t>
            </w:r>
          </w:p>
          <w:p w14:paraId="63896AC8" w14:textId="77777777" w:rsidR="006D2DC3" w:rsidRPr="00977220" w:rsidRDefault="006D2DC3" w:rsidP="00450B7A">
            <w:pPr>
              <w:spacing w:after="0" w:line="240" w:lineRule="auto"/>
              <w:jc w:val="both"/>
              <w:rPr>
                <w:rFonts w:ascii="Cambria" w:hAnsi="Cambria"/>
                <w:lang w:val="hr-HR"/>
              </w:rPr>
            </w:pPr>
            <w:r w:rsidRPr="00977220">
              <w:rPr>
                <w:rFonts w:ascii="Cambria" w:hAnsi="Cambria"/>
                <w:lang w:val="hr-HR"/>
              </w:rPr>
              <w:t xml:space="preserve">V. Stahuljak: Don od Tromeđe </w:t>
            </w:r>
          </w:p>
          <w:p w14:paraId="29D25459" w14:textId="77777777" w:rsidR="006D2DC3" w:rsidRPr="00977220" w:rsidRDefault="006D2DC3" w:rsidP="00450B7A">
            <w:pPr>
              <w:spacing w:after="0" w:line="240" w:lineRule="auto"/>
              <w:jc w:val="both"/>
              <w:rPr>
                <w:rFonts w:ascii="Cambria" w:hAnsi="Cambria"/>
                <w:lang w:val="hr-HR"/>
              </w:rPr>
            </w:pPr>
            <w:r w:rsidRPr="00977220">
              <w:rPr>
                <w:rFonts w:ascii="Cambria" w:hAnsi="Cambria"/>
                <w:lang w:val="hr-HR"/>
              </w:rPr>
              <w:t xml:space="preserve">M. Jurić Zagorka: Kći </w:t>
            </w:r>
            <w:proofErr w:type="spellStart"/>
            <w:r w:rsidRPr="00977220">
              <w:rPr>
                <w:rFonts w:ascii="Cambria" w:hAnsi="Cambria"/>
                <w:lang w:val="hr-HR"/>
              </w:rPr>
              <w:t>Lotršćaka</w:t>
            </w:r>
            <w:proofErr w:type="spellEnd"/>
          </w:p>
          <w:p w14:paraId="04FA9E12" w14:textId="77777777" w:rsidR="006D2DC3" w:rsidRPr="00977220" w:rsidRDefault="006D2DC3" w:rsidP="00450B7A">
            <w:pPr>
              <w:spacing w:after="0" w:line="240" w:lineRule="auto"/>
              <w:jc w:val="both"/>
              <w:rPr>
                <w:rFonts w:ascii="Cambria" w:hAnsi="Cambria"/>
                <w:lang w:val="hr-HR"/>
              </w:rPr>
            </w:pPr>
            <w:r w:rsidRPr="00977220">
              <w:rPr>
                <w:rFonts w:ascii="Cambria" w:hAnsi="Cambria"/>
                <w:lang w:val="hr-HR"/>
              </w:rPr>
              <w:t xml:space="preserve">S. </w:t>
            </w:r>
            <w:proofErr w:type="spellStart"/>
            <w:r w:rsidRPr="00977220">
              <w:rPr>
                <w:rFonts w:ascii="Cambria" w:hAnsi="Cambria"/>
                <w:lang w:val="hr-HR"/>
              </w:rPr>
              <w:t>Škrinjarić</w:t>
            </w:r>
            <w:proofErr w:type="spellEnd"/>
            <w:r w:rsidRPr="00977220">
              <w:rPr>
                <w:rFonts w:ascii="Cambria" w:hAnsi="Cambria"/>
                <w:lang w:val="hr-HR"/>
              </w:rPr>
              <w:t>: Ulica predaka; Čarobni prosjak</w:t>
            </w:r>
          </w:p>
          <w:p w14:paraId="1D8ED3CF" w14:textId="77777777" w:rsidR="006D2DC3" w:rsidRPr="00977220" w:rsidRDefault="006D2DC3" w:rsidP="00450B7A">
            <w:pPr>
              <w:spacing w:after="0" w:line="240" w:lineRule="auto"/>
              <w:jc w:val="both"/>
              <w:rPr>
                <w:rFonts w:ascii="Cambria" w:hAnsi="Cambria"/>
                <w:lang w:val="hr-HR"/>
              </w:rPr>
            </w:pPr>
            <w:r w:rsidRPr="00977220">
              <w:rPr>
                <w:rFonts w:ascii="Cambria" w:hAnsi="Cambria"/>
                <w:lang w:val="hr-HR"/>
              </w:rPr>
              <w:t xml:space="preserve">S. Šesto: Debela; Vanda; Tko je ubio </w:t>
            </w:r>
            <w:proofErr w:type="spellStart"/>
            <w:r w:rsidRPr="00977220">
              <w:rPr>
                <w:rFonts w:ascii="Cambria" w:hAnsi="Cambria"/>
                <w:lang w:val="hr-HR"/>
              </w:rPr>
              <w:t>Pašteticu</w:t>
            </w:r>
            <w:proofErr w:type="spellEnd"/>
          </w:p>
          <w:p w14:paraId="0B6079AE" w14:textId="77777777" w:rsidR="006D2DC3" w:rsidRPr="00977220" w:rsidRDefault="006D2DC3" w:rsidP="00450B7A">
            <w:pPr>
              <w:spacing w:after="0" w:line="240" w:lineRule="auto"/>
              <w:jc w:val="both"/>
              <w:rPr>
                <w:rFonts w:ascii="Cambria" w:hAnsi="Cambria"/>
                <w:lang w:val="hr-HR"/>
              </w:rPr>
            </w:pPr>
            <w:r w:rsidRPr="00977220">
              <w:rPr>
                <w:rFonts w:ascii="Cambria" w:hAnsi="Cambria"/>
                <w:lang w:val="hr-HR"/>
              </w:rPr>
              <w:t xml:space="preserve">N. </w:t>
            </w:r>
            <w:proofErr w:type="spellStart"/>
            <w:r w:rsidRPr="00977220">
              <w:rPr>
                <w:rFonts w:ascii="Cambria" w:hAnsi="Cambria"/>
                <w:lang w:val="hr-HR"/>
              </w:rPr>
              <w:t>Mihelčić</w:t>
            </w:r>
            <w:proofErr w:type="spellEnd"/>
            <w:r w:rsidRPr="00977220">
              <w:rPr>
                <w:rFonts w:ascii="Cambria" w:hAnsi="Cambria"/>
                <w:lang w:val="hr-HR"/>
              </w:rPr>
              <w:t>: Bilješke jedne gimnazijalke</w:t>
            </w:r>
          </w:p>
          <w:p w14:paraId="0F28B4A6" w14:textId="77777777" w:rsidR="006D2DC3" w:rsidRPr="00977220" w:rsidRDefault="006D2DC3" w:rsidP="00450B7A">
            <w:pPr>
              <w:spacing w:after="0" w:line="240" w:lineRule="auto"/>
              <w:jc w:val="both"/>
              <w:rPr>
                <w:rFonts w:ascii="Cambria" w:hAnsi="Cambria"/>
                <w:lang w:val="hr-HR"/>
              </w:rPr>
            </w:pPr>
            <w:r w:rsidRPr="00977220">
              <w:rPr>
                <w:rFonts w:ascii="Cambria" w:hAnsi="Cambria"/>
                <w:lang w:val="hr-HR"/>
              </w:rPr>
              <w:t xml:space="preserve">M. Brajko </w:t>
            </w:r>
            <w:proofErr w:type="spellStart"/>
            <w:r w:rsidRPr="00977220">
              <w:rPr>
                <w:rFonts w:ascii="Cambria" w:hAnsi="Cambria"/>
                <w:lang w:val="hr-HR"/>
              </w:rPr>
              <w:t>Livaković</w:t>
            </w:r>
            <w:proofErr w:type="spellEnd"/>
            <w:r w:rsidRPr="00977220">
              <w:rPr>
                <w:rFonts w:ascii="Cambria" w:hAnsi="Cambria"/>
                <w:lang w:val="hr-HR"/>
              </w:rPr>
              <w:t>: Kad pobijedi ljubav</w:t>
            </w:r>
          </w:p>
          <w:p w14:paraId="27A6ECC5" w14:textId="77777777" w:rsidR="006D2DC3" w:rsidRPr="00977220" w:rsidRDefault="006D2DC3" w:rsidP="00450B7A">
            <w:pPr>
              <w:spacing w:after="0" w:line="240" w:lineRule="auto"/>
              <w:jc w:val="both"/>
              <w:rPr>
                <w:rFonts w:ascii="Cambria" w:hAnsi="Cambria"/>
                <w:lang w:val="hr-HR"/>
              </w:rPr>
            </w:pPr>
            <w:r w:rsidRPr="00977220">
              <w:rPr>
                <w:rFonts w:ascii="Cambria" w:hAnsi="Cambria"/>
                <w:lang w:val="hr-HR"/>
              </w:rPr>
              <w:t xml:space="preserve">S. Pilić: O mamama sve najbolje; Sasvim sam </w:t>
            </w:r>
            <w:proofErr w:type="spellStart"/>
            <w:r w:rsidRPr="00977220">
              <w:rPr>
                <w:rFonts w:ascii="Cambria" w:hAnsi="Cambria"/>
                <w:lang w:val="hr-HR"/>
              </w:rPr>
              <w:t>popubertetio</w:t>
            </w:r>
            <w:proofErr w:type="spellEnd"/>
            <w:r w:rsidRPr="00977220">
              <w:rPr>
                <w:rFonts w:ascii="Cambria" w:hAnsi="Cambria"/>
                <w:lang w:val="hr-HR"/>
              </w:rPr>
              <w:t xml:space="preserve">; Mrvice iz dnevnog boravka </w:t>
            </w:r>
          </w:p>
          <w:p w14:paraId="49D5F857" w14:textId="77777777" w:rsidR="006D2DC3" w:rsidRPr="00977220" w:rsidRDefault="006D2DC3" w:rsidP="00450B7A">
            <w:pPr>
              <w:spacing w:after="0" w:line="240" w:lineRule="auto"/>
              <w:jc w:val="both"/>
              <w:rPr>
                <w:rFonts w:ascii="Cambria" w:hAnsi="Cambria"/>
                <w:lang w:val="hr-HR"/>
              </w:rPr>
            </w:pPr>
            <w:r w:rsidRPr="00977220">
              <w:rPr>
                <w:rFonts w:ascii="Cambria" w:hAnsi="Cambria"/>
                <w:lang w:val="hr-HR"/>
              </w:rPr>
              <w:t xml:space="preserve">G. </w:t>
            </w:r>
            <w:proofErr w:type="spellStart"/>
            <w:r w:rsidRPr="00977220">
              <w:rPr>
                <w:rFonts w:ascii="Cambria" w:hAnsi="Cambria"/>
                <w:lang w:val="hr-HR"/>
              </w:rPr>
              <w:t>Tribuson</w:t>
            </w:r>
            <w:proofErr w:type="spellEnd"/>
            <w:r w:rsidRPr="00977220">
              <w:rPr>
                <w:rFonts w:ascii="Cambria" w:hAnsi="Cambria"/>
                <w:lang w:val="hr-HR"/>
              </w:rPr>
              <w:t>: Legija stranaca; Rani dani; Ne dao Bog većeg zla</w:t>
            </w:r>
          </w:p>
          <w:p w14:paraId="30A4F2FB" w14:textId="77777777" w:rsidR="006D2DC3" w:rsidRPr="00DF4CE5" w:rsidRDefault="006D2DC3" w:rsidP="00450B7A">
            <w:pPr>
              <w:spacing w:after="0" w:line="240" w:lineRule="auto"/>
              <w:jc w:val="both"/>
              <w:rPr>
                <w:rFonts w:ascii="Cambria" w:hAnsi="Cambria"/>
                <w:lang w:val="hr-HR"/>
              </w:rPr>
            </w:pPr>
            <w:r w:rsidRPr="00977220">
              <w:rPr>
                <w:rFonts w:ascii="Cambria" w:hAnsi="Cambria"/>
                <w:lang w:val="hr-HR"/>
              </w:rPr>
              <w:t>- ostali naslovi prema vlastitom izboru</w:t>
            </w:r>
          </w:p>
        </w:tc>
      </w:tr>
    </w:tbl>
    <w:p w14:paraId="71F9313C" w14:textId="5C64FBE2" w:rsidR="00E76773" w:rsidRPr="00DF4CE5" w:rsidRDefault="00E76773" w:rsidP="00612853">
      <w:pPr>
        <w:rPr>
          <w:rFonts w:ascii="Cambria" w:eastAsia="Calibri" w:hAnsi="Cambria" w:cs="Times New Roman"/>
          <w:lang w:val="hr-HR"/>
        </w:rPr>
      </w:pPr>
    </w:p>
    <w:p w14:paraId="7FE2C1C8" w14:textId="77777777" w:rsidR="00E76773" w:rsidRPr="00DF4CE5" w:rsidRDefault="00E76773" w:rsidP="008B34AF">
      <w:pPr>
        <w:jc w:val="both"/>
        <w:rPr>
          <w:rFonts w:ascii="Cambria" w:eastAsia="Calibri" w:hAnsi="Cambria" w:cs="Times New Roman"/>
          <w:lang w:val="hr-HR"/>
        </w:rPr>
      </w:pPr>
    </w:p>
    <w:p w14:paraId="59B60781" w14:textId="1F2E0D40" w:rsidR="006B2BBC" w:rsidRPr="00DF4CE5" w:rsidRDefault="006B2BBC" w:rsidP="00127501">
      <w:pPr>
        <w:rPr>
          <w:rFonts w:ascii="Cambria" w:eastAsia="Calibri" w:hAnsi="Cambria" w:cs="Times New Roman"/>
          <w:lang w:val="hr-HR"/>
        </w:rPr>
      </w:pPr>
    </w:p>
    <w:p w14:paraId="6DD48319" w14:textId="38998DE5" w:rsidR="002D5B02" w:rsidRPr="00B857A8" w:rsidRDefault="00977220" w:rsidP="00B857A8">
      <w:pPr>
        <w:rPr>
          <w:rFonts w:ascii="Cambria" w:eastAsia="Calibri" w:hAnsi="Cambria" w:cs="Times New Roman"/>
          <w:lang w:val="hr-HR"/>
        </w:rPr>
      </w:pPr>
      <w:r>
        <w:rPr>
          <w:rFonts w:ascii="Cambria" w:eastAsia="Calibri" w:hAnsi="Cambria" w:cs="Times New Roman"/>
          <w:lang w:val="hr-HR"/>
        </w:rPr>
        <w:br w:type="page"/>
      </w:r>
    </w:p>
    <w:tbl>
      <w:tblPr>
        <w:tblW w:w="5000" w:type="pct"/>
        <w:tblLayout w:type="fixed"/>
        <w:tblCellMar>
          <w:left w:w="0" w:type="dxa"/>
          <w:right w:w="0" w:type="dxa"/>
        </w:tblCellMar>
        <w:tblLook w:val="0600" w:firstRow="0" w:lastRow="0" w:firstColumn="0" w:lastColumn="0" w:noHBand="1" w:noVBand="1"/>
      </w:tblPr>
      <w:tblGrid>
        <w:gridCol w:w="2467"/>
        <w:gridCol w:w="2624"/>
        <w:gridCol w:w="97"/>
        <w:gridCol w:w="1094"/>
        <w:gridCol w:w="282"/>
        <w:gridCol w:w="440"/>
        <w:gridCol w:w="924"/>
        <w:gridCol w:w="1412"/>
      </w:tblGrid>
      <w:tr w:rsidR="00724C19" w:rsidRPr="00DF4CE5" w14:paraId="46674AE4" w14:textId="77777777" w:rsidTr="00A95330">
        <w:tc>
          <w:tcPr>
            <w:tcW w:w="9340"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CB63DA3" w14:textId="77777777" w:rsidR="00724C19" w:rsidRPr="00DF4CE5" w:rsidRDefault="00724C19" w:rsidP="00001BA9">
            <w:pPr>
              <w:spacing w:after="0" w:line="240" w:lineRule="auto"/>
              <w:jc w:val="right"/>
              <w:rPr>
                <w:rFonts w:ascii="Cambria" w:eastAsia="Times New Roman" w:hAnsi="Cambria" w:cs="Times New Roman"/>
                <w:b/>
                <w:lang w:val="hr-HR"/>
              </w:rPr>
            </w:pPr>
            <w:r w:rsidRPr="00DF4CE5">
              <w:rPr>
                <w:rFonts w:ascii="Cambria" w:eastAsia="Times New Roman" w:hAnsi="Cambria" w:cs="Times New Roman"/>
                <w:b/>
                <w:lang w:val="hr-HR"/>
              </w:rPr>
              <w:lastRenderedPageBreak/>
              <w:t>IZVEDBENI PLAN NASTAVE KOLEGIJA</w:t>
            </w:r>
          </w:p>
        </w:tc>
      </w:tr>
      <w:tr w:rsidR="00724C19" w:rsidRPr="00DF4CE5" w14:paraId="39FB251B" w14:textId="77777777" w:rsidTr="00A95330">
        <w:tc>
          <w:tcPr>
            <w:tcW w:w="246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3B0DAE8" w14:textId="77777777" w:rsidR="00724C19" w:rsidRPr="00DF4CE5" w:rsidRDefault="00724C19" w:rsidP="008B34AF">
            <w:pPr>
              <w:spacing w:after="0" w:line="240" w:lineRule="auto"/>
              <w:jc w:val="both"/>
              <w:rPr>
                <w:rFonts w:ascii="Cambria" w:eastAsia="Times New Roman" w:hAnsi="Cambria" w:cs="Times New Roman"/>
                <w:lang w:val="hr-HR"/>
              </w:rPr>
            </w:pPr>
            <w:r w:rsidRPr="00DF4CE5">
              <w:rPr>
                <w:rFonts w:ascii="Cambria" w:eastAsia="Times New Roman" w:hAnsi="Cambria" w:cs="Times New Roman"/>
                <w:lang w:val="hr-HR"/>
              </w:rPr>
              <w:t>Kod i naziv kolegija</w:t>
            </w:r>
          </w:p>
        </w:tc>
        <w:tc>
          <w:tcPr>
            <w:tcW w:w="6873"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2CAB419" w14:textId="77777777" w:rsidR="00724C19" w:rsidRPr="00DF4CE5" w:rsidRDefault="00724C19" w:rsidP="008B34AF">
            <w:pPr>
              <w:spacing w:before="20" w:after="20" w:line="240" w:lineRule="auto"/>
              <w:jc w:val="both"/>
              <w:rPr>
                <w:rFonts w:ascii="Cambria" w:eastAsia="Times New Roman" w:hAnsi="Cambria" w:cs="Times New Roman"/>
                <w:lang w:val="hr-HR"/>
              </w:rPr>
            </w:pPr>
            <w:r w:rsidRPr="00DF4CE5">
              <w:rPr>
                <w:rFonts w:ascii="Cambria" w:eastAsia="Times New Roman" w:hAnsi="Cambria" w:cs="Times New Roman"/>
                <w:lang w:val="hr-HR"/>
              </w:rPr>
              <w:t>156777</w:t>
            </w:r>
          </w:p>
          <w:p w14:paraId="256BF74E" w14:textId="77777777" w:rsidR="00724C19" w:rsidRPr="00DF4CE5" w:rsidRDefault="00724C19" w:rsidP="008B34AF">
            <w:pPr>
              <w:spacing w:after="0" w:line="240" w:lineRule="auto"/>
              <w:jc w:val="both"/>
              <w:rPr>
                <w:rFonts w:ascii="Cambria" w:eastAsia="Times New Roman" w:hAnsi="Cambria" w:cs="Times New Roman"/>
                <w:lang w:val="hr-HR"/>
              </w:rPr>
            </w:pPr>
            <w:proofErr w:type="spellStart"/>
            <w:r w:rsidRPr="00DF4CE5">
              <w:rPr>
                <w:rFonts w:ascii="Cambria" w:eastAsia="Times New Roman" w:hAnsi="Cambria" w:cs="Times New Roman"/>
                <w:lang w:val="hr-HR"/>
              </w:rPr>
              <w:t>Lutkarstvo</w:t>
            </w:r>
            <w:proofErr w:type="spellEnd"/>
            <w:r w:rsidRPr="00DF4CE5">
              <w:rPr>
                <w:rFonts w:ascii="Cambria" w:eastAsia="Times New Roman" w:hAnsi="Cambria" w:cs="Times New Roman"/>
                <w:lang w:val="hr-HR"/>
              </w:rPr>
              <w:t xml:space="preserve"> i scenska kultura</w:t>
            </w:r>
          </w:p>
        </w:tc>
      </w:tr>
      <w:tr w:rsidR="00724C19" w:rsidRPr="00DF4CE5" w14:paraId="62A1A6C5" w14:textId="77777777" w:rsidTr="00A95330">
        <w:tc>
          <w:tcPr>
            <w:tcW w:w="246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2CB585E" w14:textId="77777777" w:rsidR="00724C19" w:rsidRPr="00DF4CE5" w:rsidRDefault="00724C19" w:rsidP="008B34AF">
            <w:pPr>
              <w:spacing w:after="0" w:line="240" w:lineRule="auto"/>
              <w:jc w:val="both"/>
              <w:rPr>
                <w:rFonts w:ascii="Cambria" w:eastAsia="Times New Roman" w:hAnsi="Cambria" w:cs="Times New Roman"/>
                <w:lang w:val="hr-HR"/>
              </w:rPr>
            </w:pPr>
            <w:r w:rsidRPr="00DF4CE5">
              <w:rPr>
                <w:rFonts w:ascii="Cambria" w:eastAsia="Times New Roman" w:hAnsi="Cambria" w:cs="Times New Roman"/>
                <w:lang w:val="hr-HR"/>
              </w:rPr>
              <w:t xml:space="preserve">Nastavnica </w:t>
            </w:r>
          </w:p>
        </w:tc>
        <w:tc>
          <w:tcPr>
            <w:tcW w:w="6873"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E0A0D00" w14:textId="75E55DCF" w:rsidR="00724C19" w:rsidRPr="00DF4CE5" w:rsidRDefault="00724C19" w:rsidP="008B34AF">
            <w:pPr>
              <w:spacing w:after="0" w:line="240" w:lineRule="auto"/>
              <w:jc w:val="both"/>
              <w:rPr>
                <w:rFonts w:ascii="Cambria" w:eastAsia="Times New Roman" w:hAnsi="Cambria" w:cs="Times New Roman"/>
                <w:lang w:val="hr-HR"/>
              </w:rPr>
            </w:pPr>
            <w:r w:rsidRPr="00DF4CE5">
              <w:rPr>
                <w:rFonts w:ascii="Cambria" w:eastAsia="Times New Roman" w:hAnsi="Cambria" w:cs="Times New Roman"/>
                <w:color w:val="0000FF"/>
                <w:u w:val="single"/>
                <w:lang w:val="hr-HR"/>
              </w:rPr>
              <w:t xml:space="preserve">Doc. art. </w:t>
            </w:r>
            <w:hyperlink r:id="rId205" w:history="1">
              <w:r w:rsidRPr="00DF4CE5">
                <w:rPr>
                  <w:rFonts w:ascii="Cambria" w:eastAsia="Times New Roman" w:hAnsi="Cambria" w:cs="Times New Roman"/>
                  <w:color w:val="0000FF"/>
                  <w:u w:val="single"/>
                  <w:lang w:val="hr-HR"/>
                </w:rPr>
                <w:t xml:space="preserve">Breza </w:t>
              </w:r>
              <w:proofErr w:type="spellStart"/>
              <w:r w:rsidRPr="00DF4CE5">
                <w:rPr>
                  <w:rFonts w:ascii="Cambria" w:eastAsia="Times New Roman" w:hAnsi="Cambria" w:cs="Times New Roman"/>
                  <w:color w:val="0000FF"/>
                  <w:u w:val="single"/>
                  <w:lang w:val="hr-HR"/>
                </w:rPr>
                <w:t>Žižović</w:t>
              </w:r>
              <w:proofErr w:type="spellEnd"/>
            </w:hyperlink>
            <w:r w:rsidR="00B857A8">
              <w:rPr>
                <w:rFonts w:ascii="Cambria" w:eastAsia="Times New Roman" w:hAnsi="Cambria" w:cs="Times New Roman"/>
                <w:color w:val="0000FF"/>
                <w:u w:val="single"/>
                <w:lang w:val="hr-HR"/>
              </w:rPr>
              <w:t xml:space="preserve"> </w:t>
            </w:r>
            <w:r w:rsidRPr="00DF4CE5">
              <w:rPr>
                <w:rFonts w:ascii="Cambria" w:eastAsia="Times New Roman" w:hAnsi="Cambria" w:cs="Times New Roman"/>
                <w:lang w:val="hr-HR"/>
              </w:rPr>
              <w:t>(nositeljica)</w:t>
            </w:r>
          </w:p>
        </w:tc>
      </w:tr>
      <w:tr w:rsidR="00724C19" w:rsidRPr="00D0399C" w14:paraId="74D3D19F" w14:textId="77777777" w:rsidTr="00A95330">
        <w:tc>
          <w:tcPr>
            <w:tcW w:w="246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E87B173" w14:textId="77777777" w:rsidR="00724C19" w:rsidRPr="00DF4CE5" w:rsidRDefault="00724C19" w:rsidP="008B34AF">
            <w:pPr>
              <w:spacing w:after="0" w:line="240" w:lineRule="auto"/>
              <w:jc w:val="both"/>
              <w:rPr>
                <w:rFonts w:ascii="Cambria" w:eastAsia="Times New Roman" w:hAnsi="Cambria" w:cs="Times New Roman"/>
                <w:lang w:val="hr-HR"/>
              </w:rPr>
            </w:pPr>
            <w:r w:rsidRPr="00DF4CE5">
              <w:rPr>
                <w:rFonts w:ascii="Cambria" w:eastAsia="Times New Roman" w:hAnsi="Cambria" w:cs="Times New Roman"/>
                <w:lang w:val="hr-HR"/>
              </w:rPr>
              <w:t>Studijski program</w:t>
            </w:r>
          </w:p>
        </w:tc>
        <w:tc>
          <w:tcPr>
            <w:tcW w:w="6873"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6AF7978" w14:textId="77777777" w:rsidR="00724C19" w:rsidRPr="00DF4CE5" w:rsidRDefault="00BE4D96" w:rsidP="008B34AF">
            <w:pPr>
              <w:spacing w:after="0" w:line="240" w:lineRule="auto"/>
              <w:jc w:val="both"/>
              <w:rPr>
                <w:rFonts w:ascii="Cambria" w:eastAsia="Times New Roman" w:hAnsi="Cambria" w:cs="Times New Roman"/>
                <w:lang w:val="hr-HR"/>
              </w:rPr>
            </w:pPr>
            <w:r w:rsidRPr="00DF4CE5">
              <w:rPr>
                <w:rFonts w:ascii="Cambria" w:hAnsi="Cambria"/>
                <w:lang w:val="hr-HR"/>
              </w:rPr>
              <w:t>Sveučilišni integrirani prijediplomski i diplomski Učiteljski studij na hrvatskom jeziku</w:t>
            </w:r>
          </w:p>
        </w:tc>
      </w:tr>
      <w:tr w:rsidR="00724C19" w:rsidRPr="00DF4CE5" w14:paraId="6FC4E2F3" w14:textId="77777777" w:rsidTr="00A95330">
        <w:tc>
          <w:tcPr>
            <w:tcW w:w="246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D1DC994" w14:textId="77777777" w:rsidR="00724C19" w:rsidRPr="00DF4CE5" w:rsidRDefault="00724C19" w:rsidP="008B34AF">
            <w:pPr>
              <w:spacing w:after="0" w:line="240" w:lineRule="auto"/>
              <w:jc w:val="both"/>
              <w:rPr>
                <w:rFonts w:ascii="Cambria" w:eastAsia="Times New Roman" w:hAnsi="Cambria" w:cs="Times New Roman"/>
                <w:lang w:val="hr-HR"/>
              </w:rPr>
            </w:pPr>
            <w:r w:rsidRPr="00DF4CE5">
              <w:rPr>
                <w:rFonts w:ascii="Cambria" w:eastAsia="Times New Roman" w:hAnsi="Cambria" w:cs="Times New Roman"/>
                <w:lang w:val="hr-HR"/>
              </w:rPr>
              <w:t>Vrsta kolegija</w:t>
            </w:r>
          </w:p>
        </w:tc>
        <w:tc>
          <w:tcPr>
            <w:tcW w:w="262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ACB26AD" w14:textId="77777777" w:rsidR="00724C19" w:rsidRPr="00DF4CE5" w:rsidRDefault="00724C19" w:rsidP="008B34AF">
            <w:pPr>
              <w:spacing w:after="0" w:line="240" w:lineRule="auto"/>
              <w:jc w:val="both"/>
              <w:rPr>
                <w:rFonts w:ascii="Cambria" w:eastAsia="Times New Roman" w:hAnsi="Cambria" w:cs="Times New Roman"/>
                <w:lang w:val="hr-HR"/>
              </w:rPr>
            </w:pPr>
            <w:r w:rsidRPr="00DF4CE5">
              <w:rPr>
                <w:rFonts w:ascii="Cambria" w:eastAsia="Times New Roman" w:hAnsi="Cambria" w:cs="Times New Roman"/>
                <w:lang w:val="hr-HR"/>
              </w:rPr>
              <w:t>izborni</w:t>
            </w:r>
          </w:p>
        </w:tc>
        <w:tc>
          <w:tcPr>
            <w:tcW w:w="147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5E97BB0C" w14:textId="77777777" w:rsidR="00724C19" w:rsidRPr="00DF4CE5" w:rsidRDefault="00724C19" w:rsidP="008B34AF">
            <w:pPr>
              <w:spacing w:after="0" w:line="240" w:lineRule="auto"/>
              <w:jc w:val="both"/>
              <w:rPr>
                <w:rFonts w:ascii="Cambria" w:eastAsia="Times New Roman" w:hAnsi="Cambria" w:cs="Times New Roman"/>
                <w:lang w:val="hr-HR"/>
              </w:rPr>
            </w:pPr>
            <w:r w:rsidRPr="00DF4CE5">
              <w:rPr>
                <w:rFonts w:ascii="Cambria" w:eastAsia="Times New Roman" w:hAnsi="Cambria" w:cs="Times New Roman"/>
                <w:lang w:val="hr-HR"/>
              </w:rPr>
              <w:t>Razina kolegija</w:t>
            </w:r>
          </w:p>
        </w:tc>
        <w:tc>
          <w:tcPr>
            <w:tcW w:w="2776"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DEFB377" w14:textId="77777777" w:rsidR="00724C19" w:rsidRPr="00DF4CE5" w:rsidRDefault="00724C19" w:rsidP="008B34AF">
            <w:pPr>
              <w:spacing w:after="0" w:line="240" w:lineRule="auto"/>
              <w:jc w:val="both"/>
              <w:rPr>
                <w:rFonts w:ascii="Cambria" w:eastAsia="Times New Roman" w:hAnsi="Cambria" w:cs="Times New Roman"/>
                <w:lang w:val="hr-HR"/>
              </w:rPr>
            </w:pPr>
            <w:proofErr w:type="spellStart"/>
            <w:r w:rsidRPr="00DF4CE5">
              <w:rPr>
                <w:rFonts w:ascii="Cambria" w:eastAsia="Times New Roman" w:hAnsi="Cambria" w:cs="Times New Roman"/>
              </w:rPr>
              <w:t>integrirani</w:t>
            </w:r>
            <w:proofErr w:type="spellEnd"/>
          </w:p>
        </w:tc>
      </w:tr>
      <w:tr w:rsidR="00724C19" w:rsidRPr="00DF4CE5" w14:paraId="0484B176" w14:textId="77777777" w:rsidTr="00A95330">
        <w:tc>
          <w:tcPr>
            <w:tcW w:w="246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F4374E4" w14:textId="77777777" w:rsidR="00724C19" w:rsidRPr="00DF4CE5" w:rsidRDefault="00724C19" w:rsidP="008B34AF">
            <w:pPr>
              <w:spacing w:after="0" w:line="240" w:lineRule="auto"/>
              <w:jc w:val="both"/>
              <w:rPr>
                <w:rFonts w:ascii="Cambria" w:eastAsia="Times New Roman" w:hAnsi="Cambria" w:cs="Times New Roman"/>
                <w:lang w:val="hr-HR"/>
              </w:rPr>
            </w:pPr>
            <w:r w:rsidRPr="00DF4CE5">
              <w:rPr>
                <w:rFonts w:ascii="Cambria" w:eastAsia="Times New Roman" w:hAnsi="Cambria" w:cs="Times New Roman"/>
                <w:lang w:val="hr-HR"/>
              </w:rPr>
              <w:t>Semestar</w:t>
            </w:r>
          </w:p>
        </w:tc>
        <w:tc>
          <w:tcPr>
            <w:tcW w:w="262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9E84F55" w14:textId="77777777" w:rsidR="00724C19" w:rsidRPr="00DF4CE5" w:rsidRDefault="00724C19" w:rsidP="008B34AF">
            <w:pPr>
              <w:spacing w:after="0" w:line="240" w:lineRule="auto"/>
              <w:jc w:val="both"/>
              <w:rPr>
                <w:rFonts w:ascii="Cambria" w:eastAsia="Times New Roman" w:hAnsi="Cambria" w:cs="Times New Roman"/>
                <w:lang w:val="hr-HR"/>
              </w:rPr>
            </w:pPr>
            <w:r w:rsidRPr="00DF4CE5">
              <w:rPr>
                <w:rFonts w:ascii="Cambria" w:eastAsia="Times New Roman" w:hAnsi="Cambria" w:cs="Times New Roman"/>
                <w:lang w:val="hr-HR"/>
              </w:rPr>
              <w:t>ljetni</w:t>
            </w:r>
          </w:p>
        </w:tc>
        <w:tc>
          <w:tcPr>
            <w:tcW w:w="147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30383723" w14:textId="77777777" w:rsidR="00724C19" w:rsidRPr="00DF4CE5" w:rsidRDefault="00724C19" w:rsidP="008B34AF">
            <w:pPr>
              <w:spacing w:after="0" w:line="240" w:lineRule="auto"/>
              <w:jc w:val="both"/>
              <w:rPr>
                <w:rFonts w:ascii="Cambria" w:eastAsia="Times New Roman" w:hAnsi="Cambria" w:cs="Times New Roman"/>
                <w:lang w:val="hr-HR"/>
              </w:rPr>
            </w:pPr>
            <w:r w:rsidRPr="00DF4CE5">
              <w:rPr>
                <w:rFonts w:ascii="Cambria" w:eastAsia="Times New Roman" w:hAnsi="Cambria" w:cs="Times New Roman"/>
                <w:lang w:val="hr-HR"/>
              </w:rPr>
              <w:t>Godina studija</w:t>
            </w:r>
          </w:p>
        </w:tc>
        <w:tc>
          <w:tcPr>
            <w:tcW w:w="2776"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7A80996" w14:textId="77777777" w:rsidR="00724C19" w:rsidRPr="00DF4CE5" w:rsidRDefault="00724C19" w:rsidP="008B34AF">
            <w:pPr>
              <w:spacing w:after="0" w:line="240" w:lineRule="auto"/>
              <w:jc w:val="both"/>
              <w:rPr>
                <w:rFonts w:ascii="Cambria" w:eastAsia="Times New Roman" w:hAnsi="Cambria" w:cs="Times New Roman"/>
                <w:lang w:val="hr-HR"/>
              </w:rPr>
            </w:pPr>
            <w:r w:rsidRPr="00DF4CE5">
              <w:rPr>
                <w:rFonts w:ascii="Cambria" w:eastAsia="Times New Roman" w:hAnsi="Cambria" w:cs="Times New Roman"/>
                <w:lang w:val="hr-HR"/>
              </w:rPr>
              <w:t>V.</w:t>
            </w:r>
          </w:p>
        </w:tc>
      </w:tr>
      <w:tr w:rsidR="00724C19" w:rsidRPr="00DF4CE5" w14:paraId="50BF5417" w14:textId="77777777" w:rsidTr="00A95330">
        <w:tc>
          <w:tcPr>
            <w:tcW w:w="246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198B9FB" w14:textId="77777777" w:rsidR="00724C19" w:rsidRPr="00DF4CE5" w:rsidRDefault="00724C19" w:rsidP="008B34AF">
            <w:pPr>
              <w:spacing w:after="0" w:line="240" w:lineRule="auto"/>
              <w:jc w:val="both"/>
              <w:rPr>
                <w:rFonts w:ascii="Cambria" w:eastAsia="Times New Roman" w:hAnsi="Cambria" w:cs="Times New Roman"/>
                <w:lang w:val="hr-HR"/>
              </w:rPr>
            </w:pPr>
            <w:proofErr w:type="spellStart"/>
            <w:r w:rsidRPr="00DF4CE5">
              <w:rPr>
                <w:rFonts w:ascii="Cambria" w:eastAsia="Times New Roman" w:hAnsi="Cambria" w:cs="Times New Roman"/>
              </w:rPr>
              <w:t>Mjestoizvođenja</w:t>
            </w:r>
            <w:proofErr w:type="spellEnd"/>
          </w:p>
        </w:tc>
        <w:tc>
          <w:tcPr>
            <w:tcW w:w="262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B23C248" w14:textId="3C94F51E" w:rsidR="00724C19" w:rsidRPr="00DF4CE5" w:rsidRDefault="00B63FDF" w:rsidP="008B34AF">
            <w:pPr>
              <w:spacing w:after="0" w:line="240" w:lineRule="auto"/>
              <w:jc w:val="both"/>
              <w:rPr>
                <w:rFonts w:ascii="Cambria" w:eastAsia="Times New Roman" w:hAnsi="Cambria" w:cs="Times New Roman"/>
                <w:lang w:val="hr-HR"/>
              </w:rPr>
            </w:pPr>
            <w:r w:rsidRPr="00DF4CE5">
              <w:rPr>
                <w:rFonts w:ascii="Cambria" w:eastAsia="Times New Roman" w:hAnsi="Cambria" w:cs="Times New Roman"/>
                <w:lang w:val="hr-HR"/>
              </w:rPr>
              <w:t>učionica</w:t>
            </w:r>
          </w:p>
        </w:tc>
        <w:tc>
          <w:tcPr>
            <w:tcW w:w="147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75E0ED70" w14:textId="77777777" w:rsidR="00724C19" w:rsidRPr="00DF4CE5" w:rsidRDefault="00724C19" w:rsidP="008B34AF">
            <w:pPr>
              <w:spacing w:after="0" w:line="240" w:lineRule="auto"/>
              <w:jc w:val="both"/>
              <w:rPr>
                <w:rFonts w:ascii="Cambria" w:eastAsia="Times New Roman" w:hAnsi="Cambria" w:cs="Times New Roman"/>
                <w:lang w:val="hr-HR"/>
              </w:rPr>
            </w:pPr>
            <w:r w:rsidRPr="00DF4CE5">
              <w:rPr>
                <w:rFonts w:ascii="Cambria" w:eastAsia="Times New Roman" w:hAnsi="Cambria" w:cs="Times New Roman"/>
              </w:rPr>
              <w:t>Jezik</w:t>
            </w:r>
            <w:r w:rsidRPr="00DF4CE5">
              <w:rPr>
                <w:rFonts w:ascii="Cambria" w:eastAsia="Times New Roman" w:hAnsi="Cambria" w:cs="Times New Roman"/>
                <w:lang w:val="hr-HR"/>
              </w:rPr>
              <w:t xml:space="preserve"> izvođenja </w:t>
            </w:r>
          </w:p>
        </w:tc>
        <w:tc>
          <w:tcPr>
            <w:tcW w:w="2776"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101E51C" w14:textId="77777777" w:rsidR="00724C19" w:rsidRPr="00DF4CE5" w:rsidRDefault="00724C19" w:rsidP="008B34AF">
            <w:pPr>
              <w:spacing w:after="0" w:line="240" w:lineRule="auto"/>
              <w:jc w:val="both"/>
              <w:rPr>
                <w:rFonts w:ascii="Cambria" w:eastAsia="Times New Roman" w:hAnsi="Cambria" w:cs="Times New Roman"/>
                <w:lang w:val="hr-HR"/>
              </w:rPr>
            </w:pPr>
            <w:r w:rsidRPr="00DF4CE5">
              <w:rPr>
                <w:rFonts w:ascii="Cambria" w:eastAsia="Times New Roman" w:hAnsi="Cambria" w:cs="Times New Roman"/>
                <w:lang w:val="hr-HR"/>
              </w:rPr>
              <w:t>hrvatski</w:t>
            </w:r>
          </w:p>
        </w:tc>
      </w:tr>
      <w:tr w:rsidR="00724C19" w:rsidRPr="00DF4CE5" w14:paraId="654823F7" w14:textId="77777777" w:rsidTr="00A95330">
        <w:tc>
          <w:tcPr>
            <w:tcW w:w="246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709C5EE" w14:textId="77777777" w:rsidR="00724C19" w:rsidRPr="00DF4CE5" w:rsidRDefault="00724C19" w:rsidP="008B34AF">
            <w:pPr>
              <w:spacing w:after="0" w:line="240" w:lineRule="auto"/>
              <w:jc w:val="both"/>
              <w:rPr>
                <w:rFonts w:ascii="Cambria" w:eastAsia="Times New Roman" w:hAnsi="Cambria" w:cs="Times New Roman"/>
                <w:lang w:val="hr-HR"/>
              </w:rPr>
            </w:pPr>
            <w:r w:rsidRPr="00DF4CE5">
              <w:rPr>
                <w:rFonts w:ascii="Cambria" w:eastAsia="Times New Roman" w:hAnsi="Cambria" w:cs="Times New Roman"/>
                <w:lang w:val="hr-HR"/>
              </w:rPr>
              <w:t>Broj ECTS bodova</w:t>
            </w:r>
          </w:p>
        </w:tc>
        <w:tc>
          <w:tcPr>
            <w:tcW w:w="262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CFB118E" w14:textId="77777777" w:rsidR="00724C19" w:rsidRPr="00DF4CE5" w:rsidRDefault="00724C19" w:rsidP="008B34AF">
            <w:pPr>
              <w:spacing w:after="0" w:line="240" w:lineRule="auto"/>
              <w:jc w:val="both"/>
              <w:rPr>
                <w:rFonts w:ascii="Cambria" w:eastAsia="Times New Roman" w:hAnsi="Cambria" w:cs="Times New Roman"/>
                <w:lang w:val="hr-HR"/>
              </w:rPr>
            </w:pPr>
            <w:r w:rsidRPr="00DF4CE5">
              <w:rPr>
                <w:rFonts w:ascii="Cambria" w:eastAsia="Times New Roman" w:hAnsi="Cambria" w:cs="Times New Roman"/>
                <w:lang w:val="hr-HR"/>
              </w:rPr>
              <w:t>2</w:t>
            </w:r>
          </w:p>
        </w:tc>
        <w:tc>
          <w:tcPr>
            <w:tcW w:w="147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36DD431D" w14:textId="77777777" w:rsidR="00724C19" w:rsidRPr="00DF4CE5" w:rsidRDefault="00724C19" w:rsidP="008B34AF">
            <w:pPr>
              <w:spacing w:after="0" w:line="240" w:lineRule="auto"/>
              <w:jc w:val="both"/>
              <w:rPr>
                <w:rFonts w:ascii="Cambria" w:eastAsia="Times New Roman" w:hAnsi="Cambria" w:cs="Times New Roman"/>
                <w:lang w:val="hr-HR"/>
              </w:rPr>
            </w:pPr>
            <w:r w:rsidRPr="00DF4CE5">
              <w:rPr>
                <w:rFonts w:ascii="Cambria" w:eastAsia="Times New Roman" w:hAnsi="Cambria" w:cs="Times New Roman"/>
                <w:lang w:val="hr-HR"/>
              </w:rPr>
              <w:t>Broj sati u semestru</w:t>
            </w:r>
          </w:p>
        </w:tc>
        <w:tc>
          <w:tcPr>
            <w:tcW w:w="2776"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16470CC" w14:textId="730B12A7" w:rsidR="00724C19" w:rsidRPr="00DF4CE5" w:rsidRDefault="00724C19" w:rsidP="008B34AF">
            <w:pPr>
              <w:spacing w:after="0" w:line="240" w:lineRule="auto"/>
              <w:jc w:val="both"/>
              <w:rPr>
                <w:rFonts w:ascii="Cambria" w:eastAsia="Times New Roman" w:hAnsi="Cambria" w:cs="Times New Roman"/>
                <w:lang w:val="hr-HR"/>
              </w:rPr>
            </w:pPr>
            <w:r w:rsidRPr="00DF4CE5">
              <w:rPr>
                <w:rFonts w:ascii="Cambria" w:eastAsia="Times New Roman" w:hAnsi="Cambria" w:cs="Times New Roman"/>
                <w:lang w:val="hr-HR"/>
              </w:rPr>
              <w:t xml:space="preserve">15P – </w:t>
            </w:r>
            <w:r w:rsidR="00B63FDF" w:rsidRPr="00DF4CE5">
              <w:rPr>
                <w:rFonts w:ascii="Cambria" w:eastAsia="Times New Roman" w:hAnsi="Cambria" w:cs="Times New Roman"/>
                <w:lang w:val="hr-HR"/>
              </w:rPr>
              <w:t xml:space="preserve">0S - </w:t>
            </w:r>
            <w:r w:rsidRPr="00DF4CE5">
              <w:rPr>
                <w:rFonts w:ascii="Cambria" w:eastAsia="Times New Roman" w:hAnsi="Cambria" w:cs="Times New Roman"/>
                <w:lang w:val="hr-HR"/>
              </w:rPr>
              <w:t>15V</w:t>
            </w:r>
          </w:p>
        </w:tc>
      </w:tr>
      <w:tr w:rsidR="00724C19" w:rsidRPr="00DF4CE5" w14:paraId="749A250A" w14:textId="77777777" w:rsidTr="00A95330">
        <w:tc>
          <w:tcPr>
            <w:tcW w:w="246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B989D1D" w14:textId="77777777" w:rsidR="00724C19" w:rsidRPr="00DF4CE5" w:rsidRDefault="00724C19" w:rsidP="008B34AF">
            <w:pPr>
              <w:spacing w:after="0" w:line="240" w:lineRule="auto"/>
              <w:jc w:val="both"/>
              <w:rPr>
                <w:rFonts w:ascii="Cambria" w:eastAsia="Times New Roman" w:hAnsi="Cambria" w:cs="Times New Roman"/>
                <w:lang w:val="hr-HR"/>
              </w:rPr>
            </w:pPr>
            <w:r w:rsidRPr="00DF4CE5">
              <w:rPr>
                <w:rFonts w:ascii="Cambria" w:eastAsia="Times New Roman" w:hAnsi="Cambria" w:cs="Times New Roman"/>
                <w:lang w:val="hr-HR"/>
              </w:rPr>
              <w:t>Preduvjeti za upis i za svladavanje</w:t>
            </w:r>
          </w:p>
        </w:tc>
        <w:tc>
          <w:tcPr>
            <w:tcW w:w="6873"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8D027F8" w14:textId="77777777" w:rsidR="00724C19" w:rsidRPr="00DF4CE5" w:rsidRDefault="00724C19" w:rsidP="008B34AF">
            <w:pPr>
              <w:spacing w:after="0" w:line="240" w:lineRule="auto"/>
              <w:jc w:val="both"/>
              <w:rPr>
                <w:rFonts w:ascii="Cambria" w:eastAsia="Times New Roman" w:hAnsi="Cambria" w:cs="Times New Roman"/>
                <w:lang w:val="hr-HR"/>
              </w:rPr>
            </w:pPr>
            <w:r w:rsidRPr="00DF4CE5">
              <w:rPr>
                <w:rFonts w:ascii="Cambria" w:eastAsia="Times New Roman" w:hAnsi="Cambria" w:cs="Times New Roman"/>
                <w:lang w:val="hr-HR"/>
              </w:rPr>
              <w:t>Nema preduvjeta</w:t>
            </w:r>
          </w:p>
        </w:tc>
      </w:tr>
      <w:tr w:rsidR="00724C19" w:rsidRPr="00D0399C" w14:paraId="4184433F" w14:textId="77777777" w:rsidTr="00A95330">
        <w:tc>
          <w:tcPr>
            <w:tcW w:w="246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88BE991" w14:textId="77777777" w:rsidR="00724C19" w:rsidRPr="00DF4CE5" w:rsidRDefault="00724C19" w:rsidP="008B34AF">
            <w:pPr>
              <w:spacing w:after="0" w:line="240" w:lineRule="auto"/>
              <w:jc w:val="both"/>
              <w:rPr>
                <w:rFonts w:ascii="Cambria" w:eastAsia="Times New Roman" w:hAnsi="Cambria" w:cs="Times New Roman"/>
                <w:lang w:val="hr-HR"/>
              </w:rPr>
            </w:pPr>
            <w:proofErr w:type="spellStart"/>
            <w:r w:rsidRPr="00DF4CE5">
              <w:rPr>
                <w:rFonts w:ascii="Cambria" w:eastAsia="Times New Roman" w:hAnsi="Cambria" w:cs="Times New Roman"/>
              </w:rPr>
              <w:t>Korelativnost</w:t>
            </w:r>
            <w:proofErr w:type="spellEnd"/>
          </w:p>
        </w:tc>
        <w:tc>
          <w:tcPr>
            <w:tcW w:w="6873"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A8C401D" w14:textId="77777777" w:rsidR="00724C19" w:rsidRPr="00DF4CE5" w:rsidRDefault="00724C19" w:rsidP="008B34AF">
            <w:pPr>
              <w:snapToGrid w:val="0"/>
              <w:spacing w:after="0" w:line="240" w:lineRule="auto"/>
              <w:jc w:val="both"/>
              <w:rPr>
                <w:rFonts w:ascii="Cambria" w:eastAsia="Times New Roman" w:hAnsi="Cambria" w:cs="Times New Roman"/>
                <w:lang w:val="hr-HR"/>
              </w:rPr>
            </w:pPr>
            <w:r w:rsidRPr="00DF4CE5">
              <w:rPr>
                <w:rFonts w:ascii="Cambria" w:eastAsia="Times New Roman" w:hAnsi="Cambria" w:cs="Times New Roman"/>
                <w:lang w:val="hr-HR"/>
              </w:rPr>
              <w:t>Likovna kultura, Metodika likovne kulture, Povijest umjetnosti, Hrvatski jezik i književnost, Dječja književnost, Glazbena kultura i Medijska kultura</w:t>
            </w:r>
          </w:p>
        </w:tc>
      </w:tr>
      <w:tr w:rsidR="00724C19" w:rsidRPr="00D0399C" w14:paraId="41BD67EF" w14:textId="77777777" w:rsidTr="00A95330">
        <w:tc>
          <w:tcPr>
            <w:tcW w:w="246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A148FE5" w14:textId="77777777" w:rsidR="00724C19" w:rsidRPr="00DF4CE5" w:rsidRDefault="00724C19" w:rsidP="008B34AF">
            <w:pPr>
              <w:spacing w:after="0" w:line="240" w:lineRule="auto"/>
              <w:jc w:val="both"/>
              <w:rPr>
                <w:rFonts w:ascii="Cambria" w:eastAsia="Times New Roman" w:hAnsi="Cambria" w:cs="Times New Roman"/>
                <w:lang w:val="hr-HR"/>
              </w:rPr>
            </w:pPr>
            <w:r w:rsidRPr="00DF4CE5">
              <w:rPr>
                <w:rFonts w:ascii="Cambria" w:eastAsia="Times New Roman" w:hAnsi="Cambria" w:cs="Times New Roman"/>
                <w:lang w:val="hr-HR"/>
              </w:rPr>
              <w:t xml:space="preserve">Cilj kolegija </w:t>
            </w:r>
          </w:p>
        </w:tc>
        <w:tc>
          <w:tcPr>
            <w:tcW w:w="6873"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1E10D05" w14:textId="77777777" w:rsidR="00724C19" w:rsidRPr="00DF4CE5" w:rsidRDefault="00724C19" w:rsidP="008B34AF">
            <w:pPr>
              <w:spacing w:after="0" w:line="240" w:lineRule="auto"/>
              <w:jc w:val="both"/>
              <w:rPr>
                <w:rFonts w:ascii="Cambria" w:eastAsia="Times New Roman" w:hAnsi="Cambria" w:cs="Times New Roman"/>
                <w:lang w:val="hr-HR"/>
              </w:rPr>
            </w:pPr>
            <w:r w:rsidRPr="00DF4CE5">
              <w:rPr>
                <w:rFonts w:ascii="Cambria" w:eastAsia="Times New Roman" w:hAnsi="Cambria" w:cs="Times New Roman"/>
                <w:lang w:val="hr-HR"/>
              </w:rPr>
              <w:t>Usvojiti kompetencije za vlastiti kreativni izričaj u dramskom i scenskom stvaralaštvu, samostalno osmisliti i izraditi elemente potrebne za izvođenje lutkarske predstave i demonstrirati znanje likovnog jezika</w:t>
            </w:r>
          </w:p>
        </w:tc>
      </w:tr>
      <w:tr w:rsidR="00724C19" w:rsidRPr="00D0399C" w14:paraId="4A383ED0" w14:textId="77777777" w:rsidTr="00A95330">
        <w:tc>
          <w:tcPr>
            <w:tcW w:w="246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A4923FA" w14:textId="77777777" w:rsidR="00724C19" w:rsidRPr="00DF4CE5" w:rsidRDefault="00724C19" w:rsidP="008B34AF">
            <w:pPr>
              <w:spacing w:after="0" w:line="240" w:lineRule="auto"/>
              <w:jc w:val="both"/>
              <w:rPr>
                <w:rFonts w:ascii="Cambria" w:eastAsia="Times New Roman" w:hAnsi="Cambria" w:cs="Times New Roman"/>
                <w:lang w:val="hr-HR"/>
              </w:rPr>
            </w:pPr>
            <w:r w:rsidRPr="00DF4CE5">
              <w:rPr>
                <w:rFonts w:ascii="Cambria" w:eastAsia="Times New Roman" w:hAnsi="Cambria" w:cs="Times New Roman"/>
                <w:lang w:val="hr-HR"/>
              </w:rPr>
              <w:t>Ishodi učenja</w:t>
            </w:r>
          </w:p>
        </w:tc>
        <w:tc>
          <w:tcPr>
            <w:tcW w:w="6873"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9265D1F" w14:textId="77777777" w:rsidR="00B857A8" w:rsidRDefault="00B857A8" w:rsidP="00B857A8">
            <w:pPr>
              <w:suppressAutoHyphens/>
              <w:spacing w:after="0" w:line="240" w:lineRule="auto"/>
              <w:contextualSpacing/>
              <w:jc w:val="both"/>
              <w:rPr>
                <w:rFonts w:ascii="Cambria" w:eastAsia="Times New Roman" w:hAnsi="Cambria" w:cs="Times New Roman"/>
                <w:lang w:val="hr-HR"/>
              </w:rPr>
            </w:pPr>
            <w:r>
              <w:rPr>
                <w:rFonts w:ascii="Cambria" w:eastAsia="Times New Roman" w:hAnsi="Cambria" w:cs="Times New Roman"/>
                <w:lang w:val="hr-HR"/>
              </w:rPr>
              <w:t>1. i</w:t>
            </w:r>
            <w:r w:rsidR="00724C19" w:rsidRPr="00DF4CE5">
              <w:rPr>
                <w:rFonts w:ascii="Cambria" w:eastAsia="Times New Roman" w:hAnsi="Cambria" w:cs="Times New Roman"/>
                <w:lang w:val="hr-HR"/>
              </w:rPr>
              <w:t>ntegrirati teoriju i praksu, odnosno znanje i iskustvo (integracija Metodike likovne kulture, likovne kulture i iskustva s novim materijalima koje koristimo u svakodnevnom životu kako bi stvarali novom tehnikom)</w:t>
            </w:r>
          </w:p>
          <w:p w14:paraId="0B8F8721" w14:textId="77777777" w:rsidR="00B857A8" w:rsidRDefault="00B857A8" w:rsidP="00B857A8">
            <w:pPr>
              <w:suppressAutoHyphens/>
              <w:spacing w:after="0" w:line="240" w:lineRule="auto"/>
              <w:contextualSpacing/>
              <w:jc w:val="both"/>
              <w:rPr>
                <w:rFonts w:ascii="Cambria" w:eastAsia="Times New Roman" w:hAnsi="Cambria" w:cs="Times New Roman"/>
                <w:lang w:val="hr-HR"/>
              </w:rPr>
            </w:pPr>
            <w:r>
              <w:rPr>
                <w:rFonts w:ascii="Cambria" w:eastAsia="Times New Roman" w:hAnsi="Cambria" w:cs="Times New Roman"/>
                <w:lang w:val="hr-HR"/>
              </w:rPr>
              <w:t>2. p</w:t>
            </w:r>
            <w:r w:rsidR="00724C19" w:rsidRPr="00DF4CE5">
              <w:rPr>
                <w:rFonts w:ascii="Cambria" w:eastAsia="Times New Roman" w:hAnsi="Cambria" w:cs="Times New Roman"/>
                <w:lang w:val="hr-HR"/>
              </w:rPr>
              <w:t xml:space="preserve">renijeti kompetencije na praktični rad </w:t>
            </w:r>
          </w:p>
          <w:p w14:paraId="3441EBD7" w14:textId="0192919C" w:rsidR="00B857A8" w:rsidRDefault="00B857A8" w:rsidP="00B857A8">
            <w:pPr>
              <w:suppressAutoHyphens/>
              <w:spacing w:after="0" w:line="240" w:lineRule="auto"/>
              <w:contextualSpacing/>
              <w:jc w:val="both"/>
              <w:rPr>
                <w:rFonts w:ascii="Cambria" w:eastAsia="Times New Roman" w:hAnsi="Cambria" w:cs="Times New Roman"/>
                <w:lang w:val="hr-HR"/>
              </w:rPr>
            </w:pPr>
            <w:r>
              <w:rPr>
                <w:rFonts w:ascii="Cambria" w:eastAsia="Times New Roman" w:hAnsi="Cambria" w:cs="Times New Roman"/>
                <w:lang w:val="hr-HR"/>
              </w:rPr>
              <w:t>3. v</w:t>
            </w:r>
            <w:r w:rsidR="00724C19" w:rsidRPr="00DF4CE5">
              <w:rPr>
                <w:rFonts w:ascii="Cambria" w:eastAsia="Times New Roman" w:hAnsi="Cambria" w:cs="Times New Roman"/>
                <w:lang w:val="hr-HR"/>
              </w:rPr>
              <w:t>oditi djecu pri izradi svih elemenata koji su potrebni za kvalitetna likovna rješenja dječje (lutkarske) predstave</w:t>
            </w:r>
          </w:p>
          <w:p w14:paraId="69F72AF7" w14:textId="15D40362" w:rsidR="00724C19" w:rsidRPr="00DF4CE5" w:rsidRDefault="00B857A8" w:rsidP="00B857A8">
            <w:pPr>
              <w:suppressAutoHyphens/>
              <w:spacing w:after="0" w:line="240" w:lineRule="auto"/>
              <w:contextualSpacing/>
              <w:jc w:val="both"/>
              <w:rPr>
                <w:rFonts w:ascii="Cambria" w:eastAsia="Times New Roman" w:hAnsi="Cambria" w:cs="Times New Roman"/>
                <w:lang w:val="hr-HR"/>
              </w:rPr>
            </w:pPr>
            <w:r>
              <w:rPr>
                <w:rFonts w:ascii="Cambria" w:eastAsia="Times New Roman" w:hAnsi="Cambria" w:cs="Times New Roman"/>
                <w:lang w:val="hr-HR"/>
              </w:rPr>
              <w:t>4. a</w:t>
            </w:r>
            <w:r w:rsidR="00724C19" w:rsidRPr="00DF4CE5">
              <w:rPr>
                <w:rFonts w:ascii="Cambria" w:eastAsia="Times New Roman" w:hAnsi="Cambria" w:cs="Times New Roman"/>
                <w:lang w:val="hr-HR"/>
              </w:rPr>
              <w:t>nalizirati pojmove likovnog rješenja predstave</w:t>
            </w:r>
          </w:p>
        </w:tc>
      </w:tr>
      <w:tr w:rsidR="00724C19" w:rsidRPr="00D0399C" w14:paraId="45B72D7C" w14:textId="77777777" w:rsidTr="00A95330">
        <w:tc>
          <w:tcPr>
            <w:tcW w:w="2467"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6ACE9FC8" w14:textId="77777777" w:rsidR="00724C19" w:rsidRPr="00DF4CE5" w:rsidRDefault="00724C19" w:rsidP="008B34AF">
            <w:pPr>
              <w:spacing w:after="0" w:line="240" w:lineRule="auto"/>
              <w:jc w:val="both"/>
              <w:rPr>
                <w:rFonts w:ascii="Cambria" w:eastAsia="Times New Roman" w:hAnsi="Cambria" w:cs="Times New Roman"/>
                <w:lang w:val="hr-HR"/>
              </w:rPr>
            </w:pPr>
            <w:r w:rsidRPr="00DF4CE5">
              <w:rPr>
                <w:rFonts w:ascii="Cambria" w:eastAsia="Times New Roman" w:hAnsi="Cambria" w:cs="Times New Roman"/>
                <w:lang w:val="hr-HR"/>
              </w:rPr>
              <w:t>Sadržaj kolegija</w:t>
            </w:r>
          </w:p>
        </w:tc>
        <w:tc>
          <w:tcPr>
            <w:tcW w:w="6873"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F620D7E" w14:textId="77777777" w:rsidR="00B857A8" w:rsidRDefault="00B857A8" w:rsidP="00B857A8">
            <w:pPr>
              <w:suppressAutoHyphens/>
              <w:spacing w:after="0" w:line="240" w:lineRule="auto"/>
              <w:contextualSpacing/>
              <w:jc w:val="both"/>
              <w:rPr>
                <w:rFonts w:ascii="Cambria" w:eastAsia="Times New Roman" w:hAnsi="Cambria" w:cs="Times New Roman"/>
                <w:lang w:val="hr-HR"/>
              </w:rPr>
            </w:pPr>
            <w:r>
              <w:rPr>
                <w:rFonts w:ascii="Cambria" w:eastAsia="Times New Roman" w:hAnsi="Cambria" w:cs="Times New Roman"/>
                <w:lang w:val="hr-HR"/>
              </w:rPr>
              <w:t xml:space="preserve">1. </w:t>
            </w:r>
            <w:r w:rsidR="00724C19" w:rsidRPr="00DF4CE5">
              <w:rPr>
                <w:rFonts w:ascii="Cambria" w:eastAsia="Times New Roman" w:hAnsi="Cambria" w:cs="Times New Roman"/>
                <w:lang w:val="hr-HR"/>
              </w:rPr>
              <w:t>Proces nastanka dječje i lutkarske predstave</w:t>
            </w:r>
          </w:p>
          <w:p w14:paraId="7D8D7BEC" w14:textId="77777777" w:rsidR="00B857A8" w:rsidRDefault="00B857A8" w:rsidP="00B857A8">
            <w:pPr>
              <w:suppressAutoHyphens/>
              <w:spacing w:after="0" w:line="240" w:lineRule="auto"/>
              <w:contextualSpacing/>
              <w:jc w:val="both"/>
              <w:rPr>
                <w:rFonts w:ascii="Cambria" w:eastAsia="Times New Roman" w:hAnsi="Cambria" w:cs="Times New Roman"/>
                <w:lang w:val="hr-HR"/>
              </w:rPr>
            </w:pPr>
            <w:r>
              <w:rPr>
                <w:rFonts w:ascii="Cambria" w:eastAsia="Times New Roman" w:hAnsi="Cambria" w:cs="Times New Roman"/>
                <w:lang w:val="hr-HR"/>
              </w:rPr>
              <w:t xml:space="preserve">2. </w:t>
            </w:r>
            <w:r w:rsidR="00724C19" w:rsidRPr="00DF4CE5">
              <w:rPr>
                <w:rFonts w:ascii="Cambria" w:eastAsia="Times New Roman" w:hAnsi="Cambria" w:cs="Times New Roman"/>
                <w:lang w:val="hr-HR"/>
              </w:rPr>
              <w:t>Odabir teksta za dječju lutkarsku predstavu</w:t>
            </w:r>
          </w:p>
          <w:p w14:paraId="4B30E5CF" w14:textId="77777777" w:rsidR="00B857A8" w:rsidRDefault="00B857A8" w:rsidP="00B857A8">
            <w:pPr>
              <w:suppressAutoHyphens/>
              <w:spacing w:after="0" w:line="240" w:lineRule="auto"/>
              <w:contextualSpacing/>
              <w:jc w:val="both"/>
              <w:rPr>
                <w:rFonts w:ascii="Cambria" w:eastAsia="Times New Roman" w:hAnsi="Cambria" w:cs="Times New Roman"/>
                <w:lang w:val="hr-HR"/>
              </w:rPr>
            </w:pPr>
            <w:r>
              <w:rPr>
                <w:rFonts w:ascii="Cambria" w:eastAsia="Times New Roman" w:hAnsi="Cambria" w:cs="Times New Roman"/>
                <w:lang w:val="hr-HR"/>
              </w:rPr>
              <w:t xml:space="preserve">3. </w:t>
            </w:r>
            <w:r w:rsidR="00724C19" w:rsidRPr="00DF4CE5">
              <w:rPr>
                <w:rFonts w:ascii="Cambria" w:eastAsia="Times New Roman" w:hAnsi="Cambria" w:cs="Times New Roman"/>
                <w:lang w:val="hr-HR"/>
              </w:rPr>
              <w:t>Dramaturška analiza teksta</w:t>
            </w:r>
          </w:p>
          <w:p w14:paraId="7158E982" w14:textId="77777777" w:rsidR="00B857A8" w:rsidRDefault="00B857A8" w:rsidP="00B857A8">
            <w:pPr>
              <w:suppressAutoHyphens/>
              <w:spacing w:after="0" w:line="240" w:lineRule="auto"/>
              <w:contextualSpacing/>
              <w:jc w:val="both"/>
              <w:rPr>
                <w:rFonts w:ascii="Cambria" w:eastAsia="Times New Roman" w:hAnsi="Cambria" w:cs="Times New Roman"/>
                <w:lang w:val="hr-HR"/>
              </w:rPr>
            </w:pPr>
            <w:r>
              <w:rPr>
                <w:rFonts w:ascii="Cambria" w:eastAsia="Times New Roman" w:hAnsi="Cambria" w:cs="Times New Roman"/>
                <w:lang w:val="hr-HR"/>
              </w:rPr>
              <w:t xml:space="preserve">4. </w:t>
            </w:r>
            <w:r w:rsidR="00724C19" w:rsidRPr="00DF4CE5">
              <w:rPr>
                <w:rFonts w:ascii="Cambria" w:eastAsia="Times New Roman" w:hAnsi="Cambria" w:cs="Times New Roman"/>
                <w:lang w:val="hr-HR"/>
              </w:rPr>
              <w:t>Podjela zadataka za izradu projekta</w:t>
            </w:r>
          </w:p>
          <w:p w14:paraId="50BD8A44" w14:textId="77777777" w:rsidR="00B857A8" w:rsidRDefault="00B857A8" w:rsidP="00B857A8">
            <w:pPr>
              <w:suppressAutoHyphens/>
              <w:spacing w:after="0" w:line="240" w:lineRule="auto"/>
              <w:contextualSpacing/>
              <w:jc w:val="both"/>
              <w:rPr>
                <w:rFonts w:ascii="Cambria" w:eastAsia="Times New Roman" w:hAnsi="Cambria" w:cs="Times New Roman"/>
                <w:lang w:val="hr-HR"/>
              </w:rPr>
            </w:pPr>
            <w:r>
              <w:rPr>
                <w:rFonts w:ascii="Cambria" w:eastAsia="Times New Roman" w:hAnsi="Cambria" w:cs="Times New Roman"/>
                <w:lang w:val="hr-HR"/>
              </w:rPr>
              <w:t xml:space="preserve">5. </w:t>
            </w:r>
            <w:r w:rsidR="00724C19" w:rsidRPr="00DF4CE5">
              <w:rPr>
                <w:rFonts w:ascii="Cambria" w:eastAsia="Times New Roman" w:hAnsi="Cambria" w:cs="Times New Roman"/>
                <w:lang w:val="hr-HR"/>
              </w:rPr>
              <w:t>Prve skice</w:t>
            </w:r>
          </w:p>
          <w:p w14:paraId="25D0F39C" w14:textId="77777777" w:rsidR="00B857A8" w:rsidRDefault="00B857A8" w:rsidP="00B857A8">
            <w:pPr>
              <w:suppressAutoHyphens/>
              <w:spacing w:after="0" w:line="240" w:lineRule="auto"/>
              <w:contextualSpacing/>
              <w:jc w:val="both"/>
              <w:rPr>
                <w:rFonts w:ascii="Cambria" w:eastAsia="Times New Roman" w:hAnsi="Cambria" w:cs="Times New Roman"/>
                <w:lang w:val="hr-HR"/>
              </w:rPr>
            </w:pPr>
            <w:r>
              <w:rPr>
                <w:rFonts w:ascii="Cambria" w:eastAsia="Times New Roman" w:hAnsi="Cambria" w:cs="Times New Roman"/>
                <w:lang w:val="hr-HR"/>
              </w:rPr>
              <w:t xml:space="preserve">6. </w:t>
            </w:r>
            <w:r w:rsidR="00724C19" w:rsidRPr="00DF4CE5">
              <w:rPr>
                <w:rFonts w:ascii="Cambria" w:eastAsia="Times New Roman" w:hAnsi="Cambria" w:cs="Times New Roman"/>
                <w:lang w:val="hr-HR"/>
              </w:rPr>
              <w:t>Razrada skica- dimenzije kostima, lutaka i scene</w:t>
            </w:r>
          </w:p>
          <w:p w14:paraId="7BA16133" w14:textId="77777777" w:rsidR="00B857A8" w:rsidRDefault="00B857A8" w:rsidP="00B857A8">
            <w:pPr>
              <w:suppressAutoHyphens/>
              <w:spacing w:after="0" w:line="240" w:lineRule="auto"/>
              <w:contextualSpacing/>
              <w:jc w:val="both"/>
              <w:rPr>
                <w:rFonts w:ascii="Cambria" w:eastAsia="Times New Roman" w:hAnsi="Cambria" w:cs="Times New Roman"/>
                <w:lang w:val="hr-HR"/>
              </w:rPr>
            </w:pPr>
            <w:r>
              <w:rPr>
                <w:rFonts w:ascii="Cambria" w:eastAsia="Times New Roman" w:hAnsi="Cambria" w:cs="Times New Roman"/>
                <w:lang w:val="hr-HR"/>
              </w:rPr>
              <w:t xml:space="preserve">7. </w:t>
            </w:r>
            <w:r w:rsidR="00724C19" w:rsidRPr="00DF4CE5">
              <w:rPr>
                <w:rFonts w:ascii="Cambria" w:eastAsia="Times New Roman" w:hAnsi="Cambria" w:cs="Times New Roman"/>
                <w:lang w:val="hr-HR"/>
              </w:rPr>
              <w:t>Probe za izvedbu predstave</w:t>
            </w:r>
          </w:p>
          <w:p w14:paraId="3168A889" w14:textId="77777777" w:rsidR="00B857A8" w:rsidRDefault="00B857A8" w:rsidP="00B857A8">
            <w:pPr>
              <w:suppressAutoHyphens/>
              <w:spacing w:after="0" w:line="240" w:lineRule="auto"/>
              <w:contextualSpacing/>
              <w:jc w:val="both"/>
              <w:rPr>
                <w:rFonts w:ascii="Cambria" w:eastAsia="Times New Roman" w:hAnsi="Cambria" w:cs="Times New Roman"/>
                <w:lang w:val="hr-HR"/>
              </w:rPr>
            </w:pPr>
            <w:r>
              <w:rPr>
                <w:rFonts w:ascii="Cambria" w:eastAsia="Times New Roman" w:hAnsi="Cambria" w:cs="Times New Roman"/>
                <w:lang w:val="hr-HR"/>
              </w:rPr>
              <w:t xml:space="preserve">8. </w:t>
            </w:r>
            <w:r w:rsidR="00724C19" w:rsidRPr="00DF4CE5">
              <w:rPr>
                <w:rFonts w:ascii="Cambria" w:eastAsia="Times New Roman" w:hAnsi="Cambria" w:cs="Times New Roman"/>
                <w:lang w:val="hr-HR"/>
              </w:rPr>
              <w:t>Dizajn plakata i pozivnica</w:t>
            </w:r>
          </w:p>
          <w:p w14:paraId="12E03F61" w14:textId="77777777" w:rsidR="00B857A8" w:rsidRDefault="00B857A8" w:rsidP="00B857A8">
            <w:pPr>
              <w:suppressAutoHyphens/>
              <w:spacing w:after="0" w:line="240" w:lineRule="auto"/>
              <w:contextualSpacing/>
              <w:jc w:val="both"/>
              <w:rPr>
                <w:rFonts w:ascii="Cambria" w:eastAsia="Times New Roman" w:hAnsi="Cambria" w:cs="Times New Roman"/>
                <w:lang w:val="hr-HR"/>
              </w:rPr>
            </w:pPr>
            <w:r>
              <w:rPr>
                <w:rFonts w:ascii="Cambria" w:eastAsia="Times New Roman" w:hAnsi="Cambria" w:cs="Times New Roman"/>
                <w:lang w:val="hr-HR"/>
              </w:rPr>
              <w:t xml:space="preserve">9. </w:t>
            </w:r>
            <w:r w:rsidR="00724C19" w:rsidRPr="00DF4CE5">
              <w:rPr>
                <w:rFonts w:ascii="Cambria" w:eastAsia="Times New Roman" w:hAnsi="Cambria" w:cs="Times New Roman"/>
                <w:lang w:val="hr-HR"/>
              </w:rPr>
              <w:t>Izvedbe lutkarskih predstava</w:t>
            </w:r>
          </w:p>
          <w:p w14:paraId="771D9A59" w14:textId="35E84129" w:rsidR="00724C19" w:rsidRPr="00DF4CE5" w:rsidRDefault="00B857A8" w:rsidP="00B857A8">
            <w:pPr>
              <w:suppressAutoHyphens/>
              <w:spacing w:after="0" w:line="240" w:lineRule="auto"/>
              <w:contextualSpacing/>
              <w:jc w:val="both"/>
              <w:rPr>
                <w:rFonts w:ascii="Cambria" w:eastAsia="Times New Roman" w:hAnsi="Cambria" w:cs="Times New Roman"/>
                <w:lang w:val="hr-HR"/>
              </w:rPr>
            </w:pPr>
            <w:r>
              <w:rPr>
                <w:rFonts w:ascii="Cambria" w:eastAsia="Times New Roman" w:hAnsi="Cambria" w:cs="Times New Roman"/>
                <w:lang w:val="hr-HR"/>
              </w:rPr>
              <w:t xml:space="preserve">10. </w:t>
            </w:r>
            <w:r w:rsidR="00724C19" w:rsidRPr="00DF4CE5">
              <w:rPr>
                <w:rFonts w:ascii="Cambria" w:eastAsia="Times New Roman" w:hAnsi="Cambria" w:cs="Times New Roman"/>
                <w:lang w:val="hr-HR"/>
              </w:rPr>
              <w:t>Analiza jedne odgledane dječje predstave u bilo kojem kazalištu</w:t>
            </w:r>
          </w:p>
        </w:tc>
      </w:tr>
      <w:tr w:rsidR="00724C19" w:rsidRPr="00DF4CE5" w14:paraId="6F512BD6" w14:textId="77777777" w:rsidTr="00A95330">
        <w:tc>
          <w:tcPr>
            <w:tcW w:w="2467"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hideMark/>
          </w:tcPr>
          <w:p w14:paraId="1F58D048" w14:textId="77777777" w:rsidR="00724C19" w:rsidRPr="00DF4CE5" w:rsidRDefault="00724C19" w:rsidP="008B34AF">
            <w:pPr>
              <w:spacing w:after="0" w:line="240" w:lineRule="auto"/>
              <w:jc w:val="both"/>
              <w:rPr>
                <w:rFonts w:ascii="Cambria" w:eastAsia="Times New Roman" w:hAnsi="Cambria" w:cs="Times New Roman"/>
                <w:lang w:val="hr-HR"/>
              </w:rPr>
            </w:pPr>
            <w:r w:rsidRPr="00DF4CE5">
              <w:rPr>
                <w:rFonts w:ascii="Cambria" w:eastAsia="Times New Roman" w:hAnsi="Cambria" w:cs="Times New Roman"/>
                <w:lang w:val="hr-HR"/>
              </w:rPr>
              <w:lastRenderedPageBreak/>
              <w:t>Planirane aktivnosti</w:t>
            </w:r>
            <w:r w:rsidRPr="00DF4CE5">
              <w:rPr>
                <w:rFonts w:ascii="Cambria" w:eastAsia="Times New Roman" w:hAnsi="Cambria" w:cs="Times New Roman"/>
                <w:lang w:val="it-IT"/>
              </w:rPr>
              <w:t>,</w:t>
            </w:r>
          </w:p>
          <w:p w14:paraId="2D3B12A7" w14:textId="77777777" w:rsidR="00724C19" w:rsidRPr="00DF4CE5" w:rsidRDefault="00724C19" w:rsidP="00B857A8">
            <w:pPr>
              <w:spacing w:after="0" w:line="240" w:lineRule="auto"/>
              <w:rPr>
                <w:rFonts w:ascii="Cambria" w:eastAsia="Times New Roman" w:hAnsi="Cambria" w:cs="Times New Roman"/>
                <w:lang w:val="hr-HR"/>
              </w:rPr>
            </w:pPr>
            <w:proofErr w:type="spellStart"/>
            <w:r w:rsidRPr="00DF4CE5">
              <w:rPr>
                <w:rFonts w:ascii="Cambria" w:eastAsia="Times New Roman" w:hAnsi="Cambria" w:cs="Times New Roman"/>
                <w:lang w:val="it-IT"/>
              </w:rPr>
              <w:t>metode</w:t>
            </w:r>
            <w:proofErr w:type="spellEnd"/>
            <w:r w:rsidRPr="00DF4CE5">
              <w:rPr>
                <w:rFonts w:ascii="Cambria" w:eastAsia="Times New Roman" w:hAnsi="Cambria" w:cs="Times New Roman"/>
                <w:lang w:val="hr-HR"/>
              </w:rPr>
              <w:t>učenja i poučavanja i načini vrednovanja</w:t>
            </w:r>
          </w:p>
          <w:p w14:paraId="4E4768DC" w14:textId="77777777" w:rsidR="00724C19" w:rsidRPr="00DF4CE5" w:rsidRDefault="00724C19" w:rsidP="008B34AF">
            <w:pPr>
              <w:spacing w:after="0" w:line="240" w:lineRule="auto"/>
              <w:jc w:val="both"/>
              <w:rPr>
                <w:rFonts w:ascii="Cambria" w:eastAsia="Times New Roman" w:hAnsi="Cambria" w:cs="Times New Roman"/>
                <w:lang w:val="hr-HR"/>
              </w:rPr>
            </w:pPr>
          </w:p>
        </w:tc>
        <w:tc>
          <w:tcPr>
            <w:tcW w:w="272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48E91BF" w14:textId="77777777" w:rsidR="00724C19" w:rsidRPr="00DF4CE5" w:rsidRDefault="00724C19" w:rsidP="008B34AF">
            <w:pPr>
              <w:spacing w:after="0" w:line="240" w:lineRule="auto"/>
              <w:jc w:val="both"/>
              <w:rPr>
                <w:rFonts w:ascii="Cambria" w:eastAsia="Times New Roman" w:hAnsi="Cambria" w:cs="Times New Roman"/>
                <w:lang w:val="hr-HR"/>
              </w:rPr>
            </w:pPr>
            <w:r w:rsidRPr="00DF4CE5">
              <w:rPr>
                <w:rFonts w:ascii="Cambria" w:eastAsia="Times New Roman" w:hAnsi="Cambria" w:cs="Times New Roman"/>
                <w:bCs/>
                <w:lang w:val="hr-HR"/>
              </w:rPr>
              <w:t>Obveze</w:t>
            </w:r>
          </w:p>
        </w:tc>
        <w:tc>
          <w:tcPr>
            <w:tcW w:w="109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C7A0D5A" w14:textId="77777777" w:rsidR="00724C19" w:rsidRPr="00DF4CE5" w:rsidRDefault="00724C19" w:rsidP="008B34AF">
            <w:pPr>
              <w:spacing w:after="0" w:line="240" w:lineRule="auto"/>
              <w:jc w:val="both"/>
              <w:rPr>
                <w:rFonts w:ascii="Cambria" w:eastAsia="Times New Roman" w:hAnsi="Cambria" w:cs="Times New Roman"/>
                <w:lang w:val="hr-HR"/>
              </w:rPr>
            </w:pPr>
            <w:r w:rsidRPr="00DF4CE5">
              <w:rPr>
                <w:rFonts w:ascii="Cambria" w:eastAsia="Times New Roman" w:hAnsi="Cambria" w:cs="Times New Roman"/>
                <w:bCs/>
                <w:lang w:val="hr-HR"/>
              </w:rPr>
              <w:t>Ishodi</w:t>
            </w:r>
          </w:p>
          <w:p w14:paraId="415EFBAE" w14:textId="77777777" w:rsidR="00724C19" w:rsidRPr="00DF4CE5" w:rsidRDefault="00724C19" w:rsidP="008B34AF">
            <w:pPr>
              <w:spacing w:after="0" w:line="240" w:lineRule="auto"/>
              <w:jc w:val="both"/>
              <w:rPr>
                <w:rFonts w:ascii="Cambria" w:eastAsia="Times New Roman" w:hAnsi="Cambria" w:cs="Times New Roman"/>
                <w:lang w:val="hr-HR"/>
              </w:rPr>
            </w:pPr>
          </w:p>
        </w:tc>
        <w:tc>
          <w:tcPr>
            <w:tcW w:w="72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3EA0EB6" w14:textId="77777777" w:rsidR="00724C19" w:rsidRPr="00DF4CE5" w:rsidRDefault="00724C19" w:rsidP="008B34AF">
            <w:pPr>
              <w:spacing w:after="0" w:line="240" w:lineRule="auto"/>
              <w:jc w:val="both"/>
              <w:rPr>
                <w:rFonts w:ascii="Cambria" w:eastAsia="Times New Roman" w:hAnsi="Cambria" w:cs="Times New Roman"/>
                <w:lang w:val="hr-HR"/>
              </w:rPr>
            </w:pPr>
            <w:r w:rsidRPr="00DF4CE5">
              <w:rPr>
                <w:rFonts w:ascii="Cambria" w:eastAsia="Times New Roman" w:hAnsi="Cambria" w:cs="Times New Roman"/>
                <w:bCs/>
                <w:lang w:val="hr-HR"/>
              </w:rPr>
              <w:t>Sati</w:t>
            </w:r>
          </w:p>
        </w:tc>
        <w:tc>
          <w:tcPr>
            <w:tcW w:w="92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5434769" w14:textId="77777777" w:rsidR="00724C19" w:rsidRPr="00DF4CE5" w:rsidRDefault="00724C19" w:rsidP="008B34AF">
            <w:pPr>
              <w:spacing w:after="0" w:line="240" w:lineRule="auto"/>
              <w:jc w:val="both"/>
              <w:rPr>
                <w:rFonts w:ascii="Cambria" w:eastAsia="Times New Roman" w:hAnsi="Cambria" w:cs="Times New Roman"/>
                <w:lang w:val="hr-HR"/>
              </w:rPr>
            </w:pPr>
            <w:r w:rsidRPr="00DF4CE5">
              <w:rPr>
                <w:rFonts w:ascii="Cambria" w:eastAsia="Times New Roman" w:hAnsi="Cambria" w:cs="Times New Roman"/>
                <w:bCs/>
                <w:lang w:val="hr-HR"/>
              </w:rPr>
              <w:t>ECTS</w:t>
            </w:r>
          </w:p>
        </w:tc>
        <w:tc>
          <w:tcPr>
            <w:tcW w:w="141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1178B8B" w14:textId="77777777" w:rsidR="00724C19" w:rsidRPr="00DF4CE5" w:rsidRDefault="00724C19" w:rsidP="008B34AF">
            <w:pPr>
              <w:spacing w:after="0" w:line="240" w:lineRule="auto"/>
              <w:jc w:val="both"/>
              <w:rPr>
                <w:rFonts w:ascii="Cambria" w:eastAsia="Times New Roman" w:hAnsi="Cambria" w:cs="Times New Roman"/>
                <w:lang w:val="hr-HR"/>
              </w:rPr>
            </w:pPr>
            <w:r w:rsidRPr="00DF4CE5">
              <w:rPr>
                <w:rFonts w:ascii="Cambria" w:eastAsia="Times New Roman" w:hAnsi="Cambria" w:cs="Times New Roman"/>
                <w:bCs/>
                <w:lang w:val="hr-HR"/>
              </w:rPr>
              <w:t>Maksimalni udio u ocjeni</w:t>
            </w:r>
            <w:r w:rsidRPr="00DF4CE5">
              <w:rPr>
                <w:rFonts w:ascii="Cambria" w:eastAsia="Times New Roman" w:hAnsi="Cambria" w:cs="Times New Roman"/>
                <w:bCs/>
              </w:rPr>
              <w:t xml:space="preserve"> (%)</w:t>
            </w:r>
          </w:p>
        </w:tc>
      </w:tr>
      <w:tr w:rsidR="00DB76CD" w:rsidRPr="00DF4CE5" w14:paraId="2D2972D0" w14:textId="77777777" w:rsidTr="00A95330">
        <w:tc>
          <w:tcPr>
            <w:tcW w:w="2467" w:type="dxa"/>
            <w:vMerge/>
            <w:tcBorders>
              <w:left w:val="single" w:sz="8" w:space="0" w:color="000000"/>
              <w:right w:val="single" w:sz="8" w:space="0" w:color="000000"/>
            </w:tcBorders>
            <w:vAlign w:val="center"/>
            <w:hideMark/>
          </w:tcPr>
          <w:p w14:paraId="180B9081" w14:textId="77777777" w:rsidR="00DB76CD" w:rsidRPr="00DF4CE5" w:rsidRDefault="00DB76CD" w:rsidP="00DB76CD">
            <w:pPr>
              <w:spacing w:after="0" w:line="240" w:lineRule="auto"/>
              <w:jc w:val="both"/>
              <w:rPr>
                <w:rFonts w:ascii="Cambria" w:eastAsia="Times New Roman" w:hAnsi="Cambria" w:cs="Times New Roman"/>
                <w:lang w:val="hr-HR"/>
              </w:rPr>
            </w:pPr>
          </w:p>
        </w:tc>
        <w:tc>
          <w:tcPr>
            <w:tcW w:w="272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EB35DBD" w14:textId="0D2D775F" w:rsidR="00DB76CD" w:rsidRPr="00DF4CE5" w:rsidRDefault="00DB76CD" w:rsidP="00DB76CD">
            <w:pPr>
              <w:spacing w:after="0" w:line="240" w:lineRule="auto"/>
              <w:jc w:val="both"/>
              <w:rPr>
                <w:rFonts w:ascii="Cambria" w:eastAsia="Times New Roman" w:hAnsi="Cambria" w:cs="Times New Roman"/>
                <w:lang w:val="hr-HR"/>
              </w:rPr>
            </w:pPr>
            <w:proofErr w:type="spellStart"/>
            <w:r w:rsidRPr="00DF4CE5">
              <w:rPr>
                <w:rFonts w:ascii="Cambria" w:eastAsia="Times New Roman" w:hAnsi="Cambria" w:cs="Calibri"/>
              </w:rPr>
              <w:t>aktivnost</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na</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nastavi</w:t>
            </w:r>
            <w:proofErr w:type="spellEnd"/>
          </w:p>
        </w:tc>
        <w:tc>
          <w:tcPr>
            <w:tcW w:w="109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21FC9F8" w14:textId="5F41E820" w:rsidR="00DB76CD" w:rsidRPr="00DF4CE5" w:rsidRDefault="00DB76CD" w:rsidP="00B857A8">
            <w:pPr>
              <w:spacing w:after="0" w:line="240" w:lineRule="auto"/>
              <w:jc w:val="center"/>
              <w:rPr>
                <w:rFonts w:ascii="Cambria" w:eastAsia="Times New Roman" w:hAnsi="Cambria" w:cs="Times New Roman"/>
                <w:lang w:val="hr-HR"/>
              </w:rPr>
            </w:pPr>
            <w:r w:rsidRPr="00DF4CE5">
              <w:rPr>
                <w:rFonts w:ascii="Cambria" w:eastAsia="Times New Roman" w:hAnsi="Cambria" w:cs="Times New Roman"/>
                <w:lang w:val="hr-HR"/>
              </w:rPr>
              <w:t>1.</w:t>
            </w:r>
            <w:r w:rsidR="00B857A8">
              <w:rPr>
                <w:rFonts w:ascii="Cambria" w:eastAsia="Times New Roman" w:hAnsi="Cambria" w:cs="Times New Roman"/>
                <w:lang w:val="hr-HR"/>
              </w:rPr>
              <w:t xml:space="preserve"> –</w:t>
            </w:r>
            <w:r w:rsidRPr="00DF4CE5">
              <w:rPr>
                <w:rFonts w:ascii="Cambria" w:eastAsia="Times New Roman" w:hAnsi="Cambria" w:cs="Times New Roman"/>
                <w:lang w:val="hr-HR"/>
              </w:rPr>
              <w:t xml:space="preserve"> 4.</w:t>
            </w:r>
          </w:p>
        </w:tc>
        <w:tc>
          <w:tcPr>
            <w:tcW w:w="72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893EC4F" w14:textId="51C34BC3" w:rsidR="00DB76CD" w:rsidRPr="00DF4CE5" w:rsidRDefault="00DB76CD" w:rsidP="00B857A8">
            <w:pPr>
              <w:spacing w:after="0" w:line="240" w:lineRule="auto"/>
              <w:jc w:val="center"/>
              <w:rPr>
                <w:rFonts w:ascii="Cambria" w:eastAsia="Times New Roman" w:hAnsi="Cambria" w:cs="Times New Roman"/>
                <w:lang w:val="hr-HR"/>
              </w:rPr>
            </w:pPr>
            <w:r w:rsidRPr="00DF4CE5">
              <w:rPr>
                <w:rFonts w:ascii="Cambria" w:eastAsia="Times New Roman" w:hAnsi="Cambria" w:cs="Times New Roman"/>
                <w:lang w:val="hr-HR"/>
              </w:rPr>
              <w:t>2</w:t>
            </w:r>
            <w:r w:rsidR="00B857A8">
              <w:rPr>
                <w:rFonts w:ascii="Cambria" w:eastAsia="Times New Roman" w:hAnsi="Cambria" w:cs="Times New Roman"/>
                <w:lang w:val="hr-HR"/>
              </w:rPr>
              <w:t>3</w:t>
            </w:r>
          </w:p>
        </w:tc>
        <w:tc>
          <w:tcPr>
            <w:tcW w:w="92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DDD7BE7" w14:textId="4C3E659C" w:rsidR="00DB76CD" w:rsidRPr="00DF4CE5" w:rsidRDefault="00DB76CD" w:rsidP="00B857A8">
            <w:pPr>
              <w:spacing w:after="0" w:line="240" w:lineRule="auto"/>
              <w:jc w:val="center"/>
              <w:rPr>
                <w:rFonts w:ascii="Cambria" w:eastAsia="Times New Roman" w:hAnsi="Cambria" w:cs="Times New Roman"/>
                <w:lang w:val="hr-HR"/>
              </w:rPr>
            </w:pPr>
            <w:r w:rsidRPr="00DF4CE5">
              <w:rPr>
                <w:rFonts w:ascii="Cambria" w:eastAsia="Times New Roman" w:hAnsi="Cambria" w:cs="Times New Roman"/>
                <w:lang w:val="hr-HR"/>
              </w:rPr>
              <w:t>0,8</w:t>
            </w:r>
          </w:p>
        </w:tc>
        <w:tc>
          <w:tcPr>
            <w:tcW w:w="141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4E7014C" w14:textId="10CCEF7C" w:rsidR="00DB76CD" w:rsidRPr="00DF4CE5" w:rsidRDefault="00DB76CD" w:rsidP="00B857A8">
            <w:pPr>
              <w:spacing w:after="0" w:line="240" w:lineRule="auto"/>
              <w:jc w:val="center"/>
              <w:rPr>
                <w:rFonts w:ascii="Cambria" w:eastAsia="Times New Roman" w:hAnsi="Cambria" w:cs="Times New Roman"/>
                <w:lang w:val="hr-HR"/>
              </w:rPr>
            </w:pPr>
            <w:r w:rsidRPr="00DF4CE5">
              <w:rPr>
                <w:rFonts w:ascii="Cambria" w:eastAsia="Times New Roman" w:hAnsi="Cambria" w:cs="Times New Roman"/>
                <w:lang w:val="hr-HR"/>
              </w:rPr>
              <w:t>10%</w:t>
            </w:r>
          </w:p>
        </w:tc>
      </w:tr>
      <w:tr w:rsidR="00DB76CD" w:rsidRPr="00DF4CE5" w14:paraId="6A255F48" w14:textId="77777777" w:rsidTr="00B857A8">
        <w:trPr>
          <w:trHeight w:val="988"/>
        </w:trPr>
        <w:tc>
          <w:tcPr>
            <w:tcW w:w="2467" w:type="dxa"/>
            <w:vMerge/>
            <w:tcBorders>
              <w:left w:val="single" w:sz="8" w:space="0" w:color="000000"/>
              <w:right w:val="single" w:sz="8" w:space="0" w:color="000000"/>
            </w:tcBorders>
            <w:vAlign w:val="center"/>
            <w:hideMark/>
          </w:tcPr>
          <w:p w14:paraId="2A2663DD" w14:textId="77777777" w:rsidR="00DB76CD" w:rsidRPr="00DF4CE5" w:rsidRDefault="00DB76CD" w:rsidP="00DB76CD">
            <w:pPr>
              <w:spacing w:after="0" w:line="240" w:lineRule="auto"/>
              <w:jc w:val="both"/>
              <w:rPr>
                <w:rFonts w:ascii="Cambria" w:eastAsia="Times New Roman" w:hAnsi="Cambria" w:cs="Times New Roman"/>
                <w:lang w:val="hr-HR"/>
              </w:rPr>
            </w:pPr>
          </w:p>
        </w:tc>
        <w:tc>
          <w:tcPr>
            <w:tcW w:w="2721" w:type="dxa"/>
            <w:gridSpan w:val="2"/>
            <w:tcBorders>
              <w:top w:val="single" w:sz="8" w:space="0" w:color="000000"/>
              <w:left w:val="single" w:sz="8" w:space="0" w:color="000000"/>
              <w:right w:val="single" w:sz="8" w:space="0" w:color="000000"/>
            </w:tcBorders>
            <w:tcMar>
              <w:top w:w="15" w:type="dxa"/>
              <w:left w:w="108" w:type="dxa"/>
              <w:bottom w:w="0" w:type="dxa"/>
              <w:right w:w="108" w:type="dxa"/>
            </w:tcMar>
            <w:hideMark/>
          </w:tcPr>
          <w:p w14:paraId="1DD1E802" w14:textId="18F132B9" w:rsidR="00DB76CD" w:rsidRPr="00DF4CE5" w:rsidRDefault="00DB76CD" w:rsidP="00DB76CD">
            <w:pPr>
              <w:spacing w:after="0" w:line="240" w:lineRule="auto"/>
              <w:jc w:val="both"/>
              <w:rPr>
                <w:rFonts w:ascii="Cambria" w:eastAsia="Times New Roman" w:hAnsi="Cambria" w:cs="Times New Roman"/>
                <w:lang w:val="hr-HR"/>
              </w:rPr>
            </w:pPr>
            <w:r w:rsidRPr="00DF4CE5">
              <w:rPr>
                <w:rFonts w:ascii="Cambria" w:eastAsia="Times New Roman" w:hAnsi="Cambria" w:cs="Times New Roman"/>
                <w:lang w:val="it-IT"/>
              </w:rPr>
              <w:t>s</w:t>
            </w:r>
            <w:proofErr w:type="spellStart"/>
            <w:r w:rsidRPr="00DF4CE5">
              <w:rPr>
                <w:rFonts w:ascii="Cambria" w:eastAsia="Times New Roman" w:hAnsi="Cambria" w:cs="Times New Roman"/>
                <w:lang w:val="hr-HR"/>
              </w:rPr>
              <w:t>amostalni</w:t>
            </w:r>
            <w:proofErr w:type="spellEnd"/>
            <w:r w:rsidRPr="00DF4CE5">
              <w:rPr>
                <w:rFonts w:ascii="Cambria" w:eastAsia="Times New Roman" w:hAnsi="Cambria" w:cs="Times New Roman"/>
                <w:lang w:val="hr-HR"/>
              </w:rPr>
              <w:t xml:space="preserve"> zadaci </w:t>
            </w:r>
          </w:p>
          <w:p w14:paraId="18BE5C96" w14:textId="77777777" w:rsidR="00DB76CD" w:rsidRPr="00DF4CE5" w:rsidRDefault="00DB76CD" w:rsidP="00B857A8">
            <w:pPr>
              <w:spacing w:after="0" w:line="240" w:lineRule="auto"/>
              <w:rPr>
                <w:rFonts w:ascii="Cambria" w:eastAsia="Times New Roman" w:hAnsi="Cambria" w:cs="Times New Roman"/>
                <w:lang w:val="hr-HR"/>
              </w:rPr>
            </w:pPr>
            <w:r w:rsidRPr="00DF4CE5">
              <w:rPr>
                <w:rFonts w:ascii="Cambria" w:eastAsia="Times New Roman" w:hAnsi="Cambria" w:cs="Times New Roman"/>
                <w:lang w:val="hr-HR"/>
              </w:rPr>
              <w:t>tekst za lutkarsku predstavu, skice lutaka i scene, izrada lutaka i scene</w:t>
            </w:r>
          </w:p>
        </w:tc>
        <w:tc>
          <w:tcPr>
            <w:tcW w:w="1094" w:type="dxa"/>
            <w:tcBorders>
              <w:top w:val="single" w:sz="8" w:space="0" w:color="000000"/>
              <w:left w:val="single" w:sz="8" w:space="0" w:color="000000"/>
              <w:right w:val="single" w:sz="8" w:space="0" w:color="000000"/>
            </w:tcBorders>
            <w:tcMar>
              <w:top w:w="15" w:type="dxa"/>
              <w:left w:w="108" w:type="dxa"/>
              <w:bottom w:w="0" w:type="dxa"/>
              <w:right w:w="108" w:type="dxa"/>
            </w:tcMar>
            <w:vAlign w:val="center"/>
            <w:hideMark/>
          </w:tcPr>
          <w:p w14:paraId="59F2A162" w14:textId="61847FE9" w:rsidR="00DB76CD" w:rsidRPr="00DF4CE5" w:rsidRDefault="00B857A8" w:rsidP="00B857A8">
            <w:pPr>
              <w:spacing w:after="0" w:line="240" w:lineRule="auto"/>
              <w:jc w:val="center"/>
              <w:rPr>
                <w:rFonts w:ascii="Cambria" w:eastAsia="Times New Roman" w:hAnsi="Cambria" w:cs="Times New Roman"/>
                <w:lang w:val="hr-HR"/>
              </w:rPr>
            </w:pPr>
            <w:r w:rsidRPr="00B857A8">
              <w:rPr>
                <w:rFonts w:ascii="Cambria" w:eastAsia="Times New Roman" w:hAnsi="Cambria" w:cs="Times New Roman"/>
                <w:lang w:val="hr-HR"/>
              </w:rPr>
              <w:t>1. – 4.</w:t>
            </w:r>
          </w:p>
        </w:tc>
        <w:tc>
          <w:tcPr>
            <w:tcW w:w="722" w:type="dxa"/>
            <w:gridSpan w:val="2"/>
            <w:tcBorders>
              <w:top w:val="single" w:sz="8" w:space="0" w:color="000000"/>
              <w:left w:val="single" w:sz="8" w:space="0" w:color="000000"/>
              <w:right w:val="single" w:sz="8" w:space="0" w:color="000000"/>
            </w:tcBorders>
            <w:tcMar>
              <w:top w:w="15" w:type="dxa"/>
              <w:left w:w="108" w:type="dxa"/>
              <w:bottom w:w="0" w:type="dxa"/>
              <w:right w:w="108" w:type="dxa"/>
            </w:tcMar>
            <w:vAlign w:val="center"/>
            <w:hideMark/>
          </w:tcPr>
          <w:p w14:paraId="4C2623F6" w14:textId="6606FE3A" w:rsidR="00DB76CD" w:rsidRPr="00DF4CE5" w:rsidRDefault="00B857A8" w:rsidP="00B857A8">
            <w:pPr>
              <w:spacing w:after="0" w:line="240" w:lineRule="auto"/>
              <w:jc w:val="center"/>
              <w:rPr>
                <w:rFonts w:ascii="Cambria" w:eastAsia="Times New Roman" w:hAnsi="Cambria" w:cs="Times New Roman"/>
                <w:lang w:val="hr-HR"/>
              </w:rPr>
            </w:pPr>
            <w:r>
              <w:rPr>
                <w:rFonts w:ascii="Cambria" w:eastAsia="Times New Roman" w:hAnsi="Cambria" w:cs="Times New Roman"/>
                <w:lang w:val="hr-HR"/>
              </w:rPr>
              <w:t>15</w:t>
            </w:r>
          </w:p>
        </w:tc>
        <w:tc>
          <w:tcPr>
            <w:tcW w:w="924" w:type="dxa"/>
            <w:tcBorders>
              <w:top w:val="single" w:sz="8" w:space="0" w:color="000000"/>
              <w:left w:val="single" w:sz="8" w:space="0" w:color="000000"/>
              <w:right w:val="single" w:sz="8" w:space="0" w:color="000000"/>
            </w:tcBorders>
            <w:tcMar>
              <w:top w:w="15" w:type="dxa"/>
              <w:left w:w="108" w:type="dxa"/>
              <w:bottom w:w="0" w:type="dxa"/>
              <w:right w:w="108" w:type="dxa"/>
            </w:tcMar>
            <w:vAlign w:val="center"/>
            <w:hideMark/>
          </w:tcPr>
          <w:p w14:paraId="6E3E7BC4" w14:textId="6C7F40EF" w:rsidR="00DB76CD" w:rsidRPr="00DF4CE5" w:rsidRDefault="00DB76CD" w:rsidP="00B857A8">
            <w:pPr>
              <w:spacing w:after="0" w:line="240" w:lineRule="auto"/>
              <w:jc w:val="center"/>
              <w:rPr>
                <w:rFonts w:ascii="Cambria" w:eastAsia="Times New Roman" w:hAnsi="Cambria" w:cs="Times New Roman"/>
                <w:lang w:val="hr-HR"/>
              </w:rPr>
            </w:pPr>
            <w:r w:rsidRPr="00DF4CE5">
              <w:rPr>
                <w:rFonts w:ascii="Cambria" w:eastAsia="Times New Roman" w:hAnsi="Cambria" w:cs="Times New Roman"/>
                <w:lang w:val="hr-HR"/>
              </w:rPr>
              <w:t>0,</w:t>
            </w:r>
            <w:r w:rsidR="00B857A8">
              <w:rPr>
                <w:rFonts w:ascii="Cambria" w:eastAsia="Times New Roman" w:hAnsi="Cambria" w:cs="Times New Roman"/>
                <w:lang w:val="hr-HR"/>
              </w:rPr>
              <w:t>5</w:t>
            </w:r>
          </w:p>
        </w:tc>
        <w:tc>
          <w:tcPr>
            <w:tcW w:w="1412" w:type="dxa"/>
            <w:tcBorders>
              <w:top w:val="single" w:sz="8" w:space="0" w:color="000000"/>
              <w:left w:val="single" w:sz="8" w:space="0" w:color="000000"/>
              <w:right w:val="single" w:sz="8" w:space="0" w:color="000000"/>
            </w:tcBorders>
            <w:tcMar>
              <w:top w:w="15" w:type="dxa"/>
              <w:left w:w="108" w:type="dxa"/>
              <w:bottom w:w="0" w:type="dxa"/>
              <w:right w:w="108" w:type="dxa"/>
            </w:tcMar>
            <w:vAlign w:val="center"/>
            <w:hideMark/>
          </w:tcPr>
          <w:p w14:paraId="6E1F0184" w14:textId="238EE048" w:rsidR="00DB76CD" w:rsidRPr="00DF4CE5" w:rsidRDefault="00DB76CD" w:rsidP="00B857A8">
            <w:pPr>
              <w:spacing w:after="0" w:line="240" w:lineRule="auto"/>
              <w:jc w:val="center"/>
              <w:rPr>
                <w:rFonts w:ascii="Cambria" w:eastAsia="Times New Roman" w:hAnsi="Cambria" w:cs="Times New Roman"/>
                <w:lang w:val="hr-HR"/>
              </w:rPr>
            </w:pPr>
          </w:p>
          <w:p w14:paraId="368A13C6" w14:textId="3B3EEB32" w:rsidR="00DB76CD" w:rsidRPr="00DF4CE5" w:rsidRDefault="00DB76CD" w:rsidP="00B857A8">
            <w:pPr>
              <w:spacing w:after="0" w:line="240" w:lineRule="auto"/>
              <w:jc w:val="center"/>
              <w:rPr>
                <w:rFonts w:ascii="Cambria" w:eastAsia="Times New Roman" w:hAnsi="Cambria" w:cs="Times New Roman"/>
                <w:lang w:val="hr-HR"/>
              </w:rPr>
            </w:pPr>
            <w:r w:rsidRPr="00DF4CE5">
              <w:rPr>
                <w:rFonts w:ascii="Cambria" w:eastAsia="Times New Roman" w:hAnsi="Cambria" w:cs="Times New Roman"/>
                <w:lang w:val="hr-HR"/>
              </w:rPr>
              <w:t>40%</w:t>
            </w:r>
          </w:p>
        </w:tc>
      </w:tr>
      <w:tr w:rsidR="00DB76CD" w:rsidRPr="00DF4CE5" w14:paraId="44195188" w14:textId="77777777" w:rsidTr="00B857A8">
        <w:trPr>
          <w:trHeight w:val="633"/>
        </w:trPr>
        <w:tc>
          <w:tcPr>
            <w:tcW w:w="2467" w:type="dxa"/>
            <w:vMerge/>
            <w:tcBorders>
              <w:left w:val="single" w:sz="8" w:space="0" w:color="000000"/>
              <w:right w:val="single" w:sz="8" w:space="0" w:color="000000"/>
            </w:tcBorders>
            <w:vAlign w:val="center"/>
            <w:hideMark/>
          </w:tcPr>
          <w:p w14:paraId="36C52A85" w14:textId="77777777" w:rsidR="00DB76CD" w:rsidRPr="00DF4CE5" w:rsidRDefault="00DB76CD" w:rsidP="00DB76CD">
            <w:pPr>
              <w:spacing w:after="0" w:line="240" w:lineRule="auto"/>
              <w:jc w:val="both"/>
              <w:rPr>
                <w:rFonts w:ascii="Cambria" w:eastAsia="Times New Roman" w:hAnsi="Cambria" w:cs="Times New Roman"/>
                <w:lang w:val="hr-HR"/>
              </w:rPr>
            </w:pPr>
          </w:p>
        </w:tc>
        <w:tc>
          <w:tcPr>
            <w:tcW w:w="2721" w:type="dxa"/>
            <w:gridSpan w:val="2"/>
            <w:tcBorders>
              <w:top w:val="single" w:sz="8" w:space="0" w:color="000000"/>
              <w:left w:val="single" w:sz="8" w:space="0" w:color="000000"/>
              <w:right w:val="single" w:sz="8" w:space="0" w:color="000000"/>
            </w:tcBorders>
            <w:tcMar>
              <w:top w:w="15" w:type="dxa"/>
              <w:left w:w="108" w:type="dxa"/>
              <w:bottom w:w="0" w:type="dxa"/>
              <w:right w:w="108" w:type="dxa"/>
            </w:tcMar>
            <w:hideMark/>
          </w:tcPr>
          <w:p w14:paraId="3698DEF3" w14:textId="7694DD47" w:rsidR="00DB76CD" w:rsidRPr="00DF4CE5" w:rsidRDefault="00DB76CD" w:rsidP="00B857A8">
            <w:pPr>
              <w:spacing w:after="0" w:line="240" w:lineRule="auto"/>
              <w:rPr>
                <w:rFonts w:ascii="Cambria" w:eastAsia="Times New Roman" w:hAnsi="Cambria" w:cs="Times New Roman"/>
                <w:lang w:val="hr-HR"/>
              </w:rPr>
            </w:pPr>
            <w:r w:rsidRPr="00DF4CE5">
              <w:rPr>
                <w:rFonts w:ascii="Cambria" w:eastAsia="Times New Roman" w:hAnsi="Cambria" w:cs="Times New Roman"/>
                <w:lang w:val="hr-HR"/>
              </w:rPr>
              <w:t>pismeni radovi</w:t>
            </w:r>
            <w:r w:rsidR="00B857A8">
              <w:rPr>
                <w:rFonts w:ascii="Cambria" w:eastAsia="Times New Roman" w:hAnsi="Cambria" w:cs="Times New Roman"/>
                <w:lang w:val="hr-HR"/>
              </w:rPr>
              <w:t xml:space="preserve"> </w:t>
            </w:r>
            <w:r w:rsidRPr="00DF4CE5">
              <w:rPr>
                <w:rFonts w:ascii="Cambria" w:eastAsia="Times New Roman" w:hAnsi="Cambria" w:cs="Times New Roman"/>
                <w:lang w:val="hr-HR"/>
              </w:rPr>
              <w:t>esej (dječja kazališna ili lutkarska predstava)</w:t>
            </w:r>
          </w:p>
        </w:tc>
        <w:tc>
          <w:tcPr>
            <w:tcW w:w="1094" w:type="dxa"/>
            <w:tcBorders>
              <w:top w:val="single" w:sz="8" w:space="0" w:color="000000"/>
              <w:left w:val="single" w:sz="8" w:space="0" w:color="000000"/>
              <w:right w:val="single" w:sz="8" w:space="0" w:color="000000"/>
            </w:tcBorders>
            <w:tcMar>
              <w:top w:w="15" w:type="dxa"/>
              <w:left w:w="108" w:type="dxa"/>
              <w:bottom w:w="0" w:type="dxa"/>
              <w:right w:w="108" w:type="dxa"/>
            </w:tcMar>
            <w:vAlign w:val="center"/>
            <w:hideMark/>
          </w:tcPr>
          <w:p w14:paraId="21ADF01D" w14:textId="13D5C2B1" w:rsidR="00DB76CD" w:rsidRPr="00DF4CE5" w:rsidRDefault="00B857A8" w:rsidP="00B857A8">
            <w:pPr>
              <w:spacing w:after="0" w:line="240" w:lineRule="auto"/>
              <w:jc w:val="center"/>
              <w:rPr>
                <w:rFonts w:ascii="Cambria" w:eastAsia="Times New Roman" w:hAnsi="Cambria" w:cs="Times New Roman"/>
                <w:lang w:val="hr-HR"/>
              </w:rPr>
            </w:pPr>
            <w:r w:rsidRPr="00B857A8">
              <w:rPr>
                <w:rFonts w:ascii="Cambria" w:eastAsia="Times New Roman" w:hAnsi="Cambria" w:cs="Times New Roman"/>
                <w:lang w:val="hr-HR"/>
              </w:rPr>
              <w:t>1. – 4.</w:t>
            </w:r>
          </w:p>
        </w:tc>
        <w:tc>
          <w:tcPr>
            <w:tcW w:w="722" w:type="dxa"/>
            <w:gridSpan w:val="2"/>
            <w:tcBorders>
              <w:top w:val="single" w:sz="8" w:space="0" w:color="000000"/>
              <w:left w:val="single" w:sz="8" w:space="0" w:color="000000"/>
              <w:right w:val="single" w:sz="8" w:space="0" w:color="000000"/>
            </w:tcBorders>
            <w:tcMar>
              <w:top w:w="15" w:type="dxa"/>
              <w:left w:w="108" w:type="dxa"/>
              <w:bottom w:w="0" w:type="dxa"/>
              <w:right w:w="108" w:type="dxa"/>
            </w:tcMar>
            <w:vAlign w:val="center"/>
            <w:hideMark/>
          </w:tcPr>
          <w:p w14:paraId="659C9BAE" w14:textId="4F9DE424" w:rsidR="00DB76CD" w:rsidRPr="00DF4CE5" w:rsidRDefault="00B857A8" w:rsidP="00B857A8">
            <w:pPr>
              <w:spacing w:after="0" w:line="240" w:lineRule="auto"/>
              <w:jc w:val="center"/>
              <w:rPr>
                <w:rFonts w:ascii="Cambria" w:eastAsia="Times New Roman" w:hAnsi="Cambria" w:cs="Times New Roman"/>
                <w:lang w:val="hr-HR"/>
              </w:rPr>
            </w:pPr>
            <w:r>
              <w:rPr>
                <w:rFonts w:ascii="Cambria" w:eastAsia="Times New Roman" w:hAnsi="Cambria" w:cs="Times New Roman"/>
                <w:lang w:val="hr-HR"/>
              </w:rPr>
              <w:t>7</w:t>
            </w:r>
          </w:p>
          <w:p w14:paraId="440D4E68" w14:textId="2ED1737D" w:rsidR="00DB76CD" w:rsidRPr="00DF4CE5" w:rsidRDefault="00DB76CD" w:rsidP="00B857A8">
            <w:pPr>
              <w:spacing w:after="0" w:line="240" w:lineRule="auto"/>
              <w:jc w:val="center"/>
              <w:rPr>
                <w:rFonts w:ascii="Cambria" w:eastAsia="Times New Roman" w:hAnsi="Cambria" w:cs="Times New Roman"/>
                <w:lang w:val="hr-HR"/>
              </w:rPr>
            </w:pPr>
          </w:p>
        </w:tc>
        <w:tc>
          <w:tcPr>
            <w:tcW w:w="924" w:type="dxa"/>
            <w:tcBorders>
              <w:top w:val="single" w:sz="8" w:space="0" w:color="000000"/>
              <w:left w:val="single" w:sz="8" w:space="0" w:color="000000"/>
              <w:right w:val="single" w:sz="8" w:space="0" w:color="000000"/>
            </w:tcBorders>
            <w:tcMar>
              <w:top w:w="15" w:type="dxa"/>
              <w:left w:w="108" w:type="dxa"/>
              <w:bottom w:w="0" w:type="dxa"/>
              <w:right w:w="108" w:type="dxa"/>
            </w:tcMar>
            <w:vAlign w:val="center"/>
            <w:hideMark/>
          </w:tcPr>
          <w:p w14:paraId="4D85D0B6" w14:textId="34483DD4" w:rsidR="00DB76CD" w:rsidRPr="00DF4CE5" w:rsidRDefault="00DB76CD" w:rsidP="00B857A8">
            <w:pPr>
              <w:spacing w:after="0" w:line="240" w:lineRule="auto"/>
              <w:jc w:val="center"/>
              <w:rPr>
                <w:rFonts w:ascii="Cambria" w:eastAsia="Times New Roman" w:hAnsi="Cambria" w:cs="Times New Roman"/>
                <w:lang w:val="hr-HR"/>
              </w:rPr>
            </w:pPr>
            <w:r w:rsidRPr="00DF4CE5">
              <w:rPr>
                <w:rFonts w:ascii="Cambria" w:eastAsia="Times New Roman" w:hAnsi="Cambria" w:cs="Times New Roman"/>
                <w:lang w:val="hr-HR"/>
              </w:rPr>
              <w:t>0,2</w:t>
            </w:r>
          </w:p>
        </w:tc>
        <w:tc>
          <w:tcPr>
            <w:tcW w:w="1412" w:type="dxa"/>
            <w:tcBorders>
              <w:top w:val="single" w:sz="8" w:space="0" w:color="000000"/>
              <w:left w:val="single" w:sz="8" w:space="0" w:color="000000"/>
              <w:right w:val="single" w:sz="8" w:space="0" w:color="000000"/>
            </w:tcBorders>
            <w:tcMar>
              <w:top w:w="15" w:type="dxa"/>
              <w:left w:w="108" w:type="dxa"/>
              <w:bottom w:w="0" w:type="dxa"/>
              <w:right w:w="108" w:type="dxa"/>
            </w:tcMar>
            <w:vAlign w:val="center"/>
            <w:hideMark/>
          </w:tcPr>
          <w:p w14:paraId="21A4A34C" w14:textId="5278C96D" w:rsidR="00DB76CD" w:rsidRPr="00DF4CE5" w:rsidRDefault="00DB76CD" w:rsidP="00B857A8">
            <w:pPr>
              <w:spacing w:after="0" w:line="240" w:lineRule="auto"/>
              <w:jc w:val="center"/>
              <w:rPr>
                <w:rFonts w:ascii="Cambria" w:eastAsia="Times New Roman" w:hAnsi="Cambria" w:cs="Times New Roman"/>
                <w:lang w:val="hr-HR"/>
              </w:rPr>
            </w:pPr>
            <w:r w:rsidRPr="00DF4CE5">
              <w:rPr>
                <w:rFonts w:ascii="Cambria" w:eastAsia="Times New Roman" w:hAnsi="Cambria" w:cs="Times New Roman"/>
                <w:lang w:val="hr-HR"/>
              </w:rPr>
              <w:t>10%</w:t>
            </w:r>
          </w:p>
        </w:tc>
      </w:tr>
      <w:tr w:rsidR="00DB76CD" w:rsidRPr="00DF4CE5" w14:paraId="41CF5BD7" w14:textId="77777777" w:rsidTr="00A95330">
        <w:tc>
          <w:tcPr>
            <w:tcW w:w="2467" w:type="dxa"/>
            <w:vMerge/>
            <w:tcBorders>
              <w:left w:val="single" w:sz="8" w:space="0" w:color="000000"/>
              <w:right w:val="single" w:sz="8" w:space="0" w:color="000000"/>
            </w:tcBorders>
            <w:vAlign w:val="center"/>
            <w:hideMark/>
          </w:tcPr>
          <w:p w14:paraId="1A59ADB8" w14:textId="77777777" w:rsidR="00DB76CD" w:rsidRPr="00DF4CE5" w:rsidRDefault="00DB76CD" w:rsidP="00DB76CD">
            <w:pPr>
              <w:spacing w:after="0" w:line="240" w:lineRule="auto"/>
              <w:jc w:val="both"/>
              <w:rPr>
                <w:rFonts w:ascii="Cambria" w:eastAsia="Times New Roman" w:hAnsi="Cambria" w:cs="Times New Roman"/>
                <w:lang w:val="hr-HR"/>
              </w:rPr>
            </w:pPr>
          </w:p>
        </w:tc>
        <w:tc>
          <w:tcPr>
            <w:tcW w:w="272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D6A211D" w14:textId="77777777" w:rsidR="00DB76CD" w:rsidRPr="00DF4CE5" w:rsidRDefault="00DB76CD" w:rsidP="00B857A8">
            <w:pPr>
              <w:spacing w:after="0" w:line="240" w:lineRule="auto"/>
              <w:rPr>
                <w:rFonts w:ascii="Cambria" w:eastAsia="Times New Roman" w:hAnsi="Cambria" w:cs="Times New Roman"/>
                <w:lang w:val="hr-HR"/>
              </w:rPr>
            </w:pPr>
            <w:r w:rsidRPr="00DF4CE5">
              <w:rPr>
                <w:rFonts w:ascii="Cambria" w:eastAsia="Times New Roman" w:hAnsi="Cambria" w:cs="Times New Roman"/>
                <w:lang w:val="hr-HR"/>
              </w:rPr>
              <w:t>ispit (izvedba lutkarske predstave)</w:t>
            </w:r>
          </w:p>
        </w:tc>
        <w:tc>
          <w:tcPr>
            <w:tcW w:w="109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B855B5B" w14:textId="56F53B4F" w:rsidR="00DB76CD" w:rsidRPr="00DF4CE5" w:rsidRDefault="00B857A8" w:rsidP="00B857A8">
            <w:pPr>
              <w:spacing w:after="0" w:line="240" w:lineRule="auto"/>
              <w:jc w:val="center"/>
              <w:rPr>
                <w:rFonts w:ascii="Cambria" w:eastAsia="Times New Roman" w:hAnsi="Cambria" w:cs="Times New Roman"/>
                <w:lang w:val="hr-HR"/>
              </w:rPr>
            </w:pPr>
            <w:r w:rsidRPr="00B857A8">
              <w:rPr>
                <w:rFonts w:ascii="Cambria" w:eastAsia="Times New Roman" w:hAnsi="Cambria" w:cs="Times New Roman"/>
                <w:lang w:val="hr-HR"/>
              </w:rPr>
              <w:t>1. – 4.</w:t>
            </w:r>
          </w:p>
        </w:tc>
        <w:tc>
          <w:tcPr>
            <w:tcW w:w="72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60E9BC8" w14:textId="55E357F5" w:rsidR="00DB76CD" w:rsidRPr="00DF4CE5" w:rsidRDefault="00B857A8" w:rsidP="00B857A8">
            <w:pPr>
              <w:spacing w:after="0" w:line="240" w:lineRule="auto"/>
              <w:jc w:val="center"/>
              <w:rPr>
                <w:rFonts w:ascii="Cambria" w:eastAsia="Times New Roman" w:hAnsi="Cambria" w:cs="Times New Roman"/>
                <w:lang w:val="hr-HR"/>
              </w:rPr>
            </w:pPr>
            <w:r>
              <w:rPr>
                <w:rFonts w:ascii="Cambria" w:eastAsia="Times New Roman" w:hAnsi="Cambria" w:cs="Times New Roman"/>
                <w:lang w:val="hr-HR"/>
              </w:rPr>
              <w:t>15</w:t>
            </w:r>
          </w:p>
        </w:tc>
        <w:tc>
          <w:tcPr>
            <w:tcW w:w="92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97B2CE3" w14:textId="07B04A7D" w:rsidR="00DB76CD" w:rsidRPr="00DF4CE5" w:rsidRDefault="00DB76CD" w:rsidP="00B857A8">
            <w:pPr>
              <w:spacing w:after="0" w:line="240" w:lineRule="auto"/>
              <w:jc w:val="center"/>
              <w:rPr>
                <w:rFonts w:ascii="Cambria" w:eastAsia="Times New Roman" w:hAnsi="Cambria" w:cs="Times New Roman"/>
                <w:lang w:val="hr-HR"/>
              </w:rPr>
            </w:pPr>
            <w:r w:rsidRPr="00DF4CE5">
              <w:rPr>
                <w:rFonts w:ascii="Cambria" w:eastAsia="Times New Roman" w:hAnsi="Cambria" w:cs="Times New Roman"/>
                <w:lang w:val="hr-HR"/>
              </w:rPr>
              <w:t>0,</w:t>
            </w:r>
            <w:r w:rsidR="00B857A8">
              <w:rPr>
                <w:rFonts w:ascii="Cambria" w:eastAsia="Times New Roman" w:hAnsi="Cambria" w:cs="Times New Roman"/>
                <w:lang w:val="hr-HR"/>
              </w:rPr>
              <w:t>5</w:t>
            </w:r>
          </w:p>
        </w:tc>
        <w:tc>
          <w:tcPr>
            <w:tcW w:w="141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575C339" w14:textId="096FFFFC" w:rsidR="00DB76CD" w:rsidRPr="00DF4CE5" w:rsidRDefault="00DB76CD" w:rsidP="00B857A8">
            <w:pPr>
              <w:spacing w:after="0" w:line="240" w:lineRule="auto"/>
              <w:jc w:val="center"/>
              <w:rPr>
                <w:rFonts w:ascii="Cambria" w:eastAsia="Times New Roman" w:hAnsi="Cambria" w:cs="Times New Roman"/>
                <w:lang w:val="hr-HR"/>
              </w:rPr>
            </w:pPr>
            <w:r w:rsidRPr="00DF4CE5">
              <w:rPr>
                <w:rFonts w:ascii="Cambria" w:eastAsia="Times New Roman" w:hAnsi="Cambria" w:cs="Times New Roman"/>
                <w:lang w:val="hr-HR"/>
              </w:rPr>
              <w:t>40%</w:t>
            </w:r>
          </w:p>
        </w:tc>
      </w:tr>
      <w:tr w:rsidR="00DB76CD" w:rsidRPr="00DF4CE5" w14:paraId="3ADDE635" w14:textId="77777777" w:rsidTr="00A95330">
        <w:tc>
          <w:tcPr>
            <w:tcW w:w="2467" w:type="dxa"/>
            <w:vMerge/>
            <w:tcBorders>
              <w:left w:val="single" w:sz="8" w:space="0" w:color="000000"/>
              <w:right w:val="single" w:sz="8" w:space="0" w:color="000000"/>
            </w:tcBorders>
            <w:vAlign w:val="center"/>
            <w:hideMark/>
          </w:tcPr>
          <w:p w14:paraId="4B0323F1" w14:textId="77777777" w:rsidR="00DB76CD" w:rsidRPr="00DF4CE5" w:rsidRDefault="00DB76CD" w:rsidP="00DB76CD">
            <w:pPr>
              <w:spacing w:after="0" w:line="240" w:lineRule="auto"/>
              <w:jc w:val="both"/>
              <w:rPr>
                <w:rFonts w:ascii="Cambria" w:eastAsia="Times New Roman" w:hAnsi="Cambria" w:cs="Times New Roman"/>
                <w:lang w:val="hr-HR"/>
              </w:rPr>
            </w:pPr>
          </w:p>
        </w:tc>
        <w:tc>
          <w:tcPr>
            <w:tcW w:w="2721" w:type="dxa"/>
            <w:gridSpan w:val="2"/>
            <w:tcBorders>
              <w:top w:val="single" w:sz="8" w:space="0" w:color="000000"/>
              <w:left w:val="single" w:sz="8" w:space="0" w:color="000000"/>
              <w:right w:val="single" w:sz="8" w:space="0" w:color="000000"/>
            </w:tcBorders>
            <w:tcMar>
              <w:top w:w="15" w:type="dxa"/>
              <w:left w:w="108" w:type="dxa"/>
              <w:bottom w:w="0" w:type="dxa"/>
              <w:right w:w="108" w:type="dxa"/>
            </w:tcMar>
            <w:hideMark/>
          </w:tcPr>
          <w:p w14:paraId="5286B069" w14:textId="77777777" w:rsidR="00DB76CD" w:rsidRPr="00DF4CE5" w:rsidRDefault="00DB76CD" w:rsidP="00DB76CD">
            <w:pPr>
              <w:spacing w:after="0" w:line="240" w:lineRule="auto"/>
              <w:jc w:val="both"/>
              <w:rPr>
                <w:rFonts w:ascii="Cambria" w:eastAsia="Times New Roman" w:hAnsi="Cambria" w:cs="Times New Roman"/>
                <w:lang w:val="hr-HR"/>
              </w:rPr>
            </w:pPr>
          </w:p>
        </w:tc>
        <w:tc>
          <w:tcPr>
            <w:tcW w:w="1094" w:type="dxa"/>
            <w:tcBorders>
              <w:top w:val="single" w:sz="8" w:space="0" w:color="000000"/>
              <w:left w:val="single" w:sz="8" w:space="0" w:color="000000"/>
              <w:right w:val="single" w:sz="8" w:space="0" w:color="000000"/>
            </w:tcBorders>
            <w:tcMar>
              <w:top w:w="15" w:type="dxa"/>
              <w:left w:w="108" w:type="dxa"/>
              <w:bottom w:w="0" w:type="dxa"/>
              <w:right w:w="108" w:type="dxa"/>
            </w:tcMar>
            <w:vAlign w:val="center"/>
            <w:hideMark/>
          </w:tcPr>
          <w:p w14:paraId="142AA083" w14:textId="77777777" w:rsidR="00DB76CD" w:rsidRPr="00DF4CE5" w:rsidRDefault="00DB76CD" w:rsidP="00DB76CD">
            <w:pPr>
              <w:spacing w:after="0" w:line="240" w:lineRule="auto"/>
              <w:jc w:val="both"/>
              <w:rPr>
                <w:rFonts w:ascii="Cambria" w:eastAsia="Times New Roman" w:hAnsi="Cambria" w:cs="Times New Roman"/>
                <w:lang w:val="hr-HR"/>
              </w:rPr>
            </w:pPr>
          </w:p>
        </w:tc>
        <w:tc>
          <w:tcPr>
            <w:tcW w:w="722" w:type="dxa"/>
            <w:gridSpan w:val="2"/>
            <w:vMerge w:val="restart"/>
            <w:tcBorders>
              <w:top w:val="single" w:sz="8" w:space="0" w:color="000000"/>
              <w:left w:val="single" w:sz="8" w:space="0" w:color="000000"/>
              <w:right w:val="single" w:sz="8" w:space="0" w:color="000000"/>
            </w:tcBorders>
            <w:tcMar>
              <w:top w:w="15" w:type="dxa"/>
              <w:left w:w="108" w:type="dxa"/>
              <w:bottom w:w="0" w:type="dxa"/>
              <w:right w:w="108" w:type="dxa"/>
            </w:tcMar>
            <w:vAlign w:val="center"/>
            <w:hideMark/>
          </w:tcPr>
          <w:p w14:paraId="425C7870" w14:textId="28BC1F92" w:rsidR="00DB76CD" w:rsidRPr="00DF4CE5" w:rsidRDefault="00DB76CD" w:rsidP="00B857A8">
            <w:pPr>
              <w:spacing w:after="0" w:line="240" w:lineRule="auto"/>
              <w:jc w:val="center"/>
              <w:rPr>
                <w:rFonts w:ascii="Cambria" w:eastAsia="Times New Roman" w:hAnsi="Cambria" w:cs="Times New Roman"/>
                <w:lang w:val="hr-HR"/>
              </w:rPr>
            </w:pPr>
            <w:r w:rsidRPr="00DF4CE5">
              <w:rPr>
                <w:rFonts w:ascii="Cambria" w:eastAsia="Times New Roman" w:hAnsi="Cambria" w:cs="Times New Roman"/>
                <w:lang w:val="hr-HR"/>
              </w:rPr>
              <w:t>60</w:t>
            </w:r>
          </w:p>
        </w:tc>
        <w:tc>
          <w:tcPr>
            <w:tcW w:w="924" w:type="dxa"/>
            <w:vMerge w:val="restart"/>
            <w:tcBorders>
              <w:top w:val="single" w:sz="8" w:space="0" w:color="000000"/>
              <w:left w:val="single" w:sz="8" w:space="0" w:color="000000"/>
              <w:right w:val="single" w:sz="8" w:space="0" w:color="000000"/>
            </w:tcBorders>
            <w:tcMar>
              <w:top w:w="15" w:type="dxa"/>
              <w:left w:w="108" w:type="dxa"/>
              <w:bottom w:w="0" w:type="dxa"/>
              <w:right w:w="108" w:type="dxa"/>
            </w:tcMar>
            <w:vAlign w:val="center"/>
            <w:hideMark/>
          </w:tcPr>
          <w:p w14:paraId="70853906" w14:textId="5413E048" w:rsidR="00DB76CD" w:rsidRPr="00DF4CE5" w:rsidRDefault="00DB76CD" w:rsidP="00B857A8">
            <w:pPr>
              <w:spacing w:after="0" w:line="240" w:lineRule="auto"/>
              <w:jc w:val="center"/>
              <w:rPr>
                <w:rFonts w:ascii="Cambria" w:eastAsia="Times New Roman" w:hAnsi="Cambria" w:cs="Times New Roman"/>
                <w:lang w:val="hr-HR"/>
              </w:rPr>
            </w:pPr>
            <w:r w:rsidRPr="00DF4CE5">
              <w:rPr>
                <w:rFonts w:ascii="Cambria" w:eastAsia="Times New Roman" w:hAnsi="Cambria" w:cs="Times New Roman"/>
                <w:lang w:val="hr-HR"/>
              </w:rPr>
              <w:t>2</w:t>
            </w:r>
          </w:p>
        </w:tc>
        <w:tc>
          <w:tcPr>
            <w:tcW w:w="1412" w:type="dxa"/>
            <w:vMerge w:val="restart"/>
            <w:tcBorders>
              <w:top w:val="single" w:sz="8" w:space="0" w:color="000000"/>
              <w:left w:val="single" w:sz="8" w:space="0" w:color="000000"/>
              <w:right w:val="single" w:sz="8" w:space="0" w:color="000000"/>
            </w:tcBorders>
            <w:tcMar>
              <w:top w:w="15" w:type="dxa"/>
              <w:left w:w="108" w:type="dxa"/>
              <w:bottom w:w="0" w:type="dxa"/>
              <w:right w:w="108" w:type="dxa"/>
            </w:tcMar>
            <w:vAlign w:val="center"/>
            <w:hideMark/>
          </w:tcPr>
          <w:p w14:paraId="41E9A14D" w14:textId="77777777" w:rsidR="00DB76CD" w:rsidRPr="00DF4CE5" w:rsidRDefault="00DB76CD" w:rsidP="00B857A8">
            <w:pPr>
              <w:spacing w:after="0" w:line="240" w:lineRule="auto"/>
              <w:jc w:val="center"/>
              <w:rPr>
                <w:rFonts w:ascii="Cambria" w:eastAsia="Times New Roman" w:hAnsi="Cambria" w:cs="Times New Roman"/>
                <w:lang w:val="hr-HR"/>
              </w:rPr>
            </w:pPr>
            <w:r w:rsidRPr="00DF4CE5">
              <w:rPr>
                <w:rFonts w:ascii="Cambria" w:eastAsia="Times New Roman" w:hAnsi="Cambria" w:cs="Times New Roman"/>
                <w:lang w:val="hr-HR"/>
              </w:rPr>
              <w:t>100%</w:t>
            </w:r>
          </w:p>
        </w:tc>
      </w:tr>
      <w:tr w:rsidR="00DB76CD" w:rsidRPr="00DF4CE5" w14:paraId="5F5957E1" w14:textId="77777777" w:rsidTr="00A95330">
        <w:tc>
          <w:tcPr>
            <w:tcW w:w="2467" w:type="dxa"/>
            <w:vMerge/>
            <w:tcBorders>
              <w:left w:val="single" w:sz="8" w:space="0" w:color="000000"/>
              <w:right w:val="single" w:sz="8" w:space="0" w:color="000000"/>
            </w:tcBorders>
            <w:vAlign w:val="center"/>
            <w:hideMark/>
          </w:tcPr>
          <w:p w14:paraId="6DD553EC" w14:textId="77777777" w:rsidR="00DB76CD" w:rsidRPr="00DF4CE5" w:rsidRDefault="00DB76CD" w:rsidP="00DB76CD">
            <w:pPr>
              <w:spacing w:after="0" w:line="240" w:lineRule="auto"/>
              <w:jc w:val="both"/>
              <w:rPr>
                <w:rFonts w:ascii="Cambria" w:eastAsia="Times New Roman" w:hAnsi="Cambria" w:cs="Times New Roman"/>
                <w:lang w:val="hr-HR"/>
              </w:rPr>
            </w:pPr>
          </w:p>
        </w:tc>
        <w:tc>
          <w:tcPr>
            <w:tcW w:w="3815" w:type="dxa"/>
            <w:gridSpan w:val="3"/>
            <w:tcBorders>
              <w:left w:val="single" w:sz="8" w:space="0" w:color="000000"/>
              <w:bottom w:val="single" w:sz="8" w:space="0" w:color="000000"/>
              <w:right w:val="single" w:sz="8" w:space="0" w:color="000000"/>
            </w:tcBorders>
            <w:tcMar>
              <w:top w:w="15" w:type="dxa"/>
              <w:left w:w="108" w:type="dxa"/>
              <w:bottom w:w="0" w:type="dxa"/>
              <w:right w:w="108" w:type="dxa"/>
            </w:tcMar>
            <w:hideMark/>
          </w:tcPr>
          <w:p w14:paraId="2C016851" w14:textId="77777777" w:rsidR="00DB76CD" w:rsidRPr="00DF4CE5" w:rsidRDefault="00DB76CD" w:rsidP="00DB76CD">
            <w:pPr>
              <w:spacing w:after="0" w:line="240" w:lineRule="auto"/>
              <w:jc w:val="both"/>
              <w:rPr>
                <w:rFonts w:ascii="Cambria" w:eastAsia="Times New Roman" w:hAnsi="Cambria" w:cs="Times New Roman"/>
                <w:lang w:val="hr-HR"/>
              </w:rPr>
            </w:pPr>
            <w:proofErr w:type="spellStart"/>
            <w:r w:rsidRPr="00DF4CE5">
              <w:rPr>
                <w:rFonts w:ascii="Cambria" w:eastAsia="Times New Roman" w:hAnsi="Cambria" w:cs="Times New Roman"/>
              </w:rPr>
              <w:t>ukupno</w:t>
            </w:r>
            <w:proofErr w:type="spellEnd"/>
          </w:p>
        </w:tc>
        <w:tc>
          <w:tcPr>
            <w:tcW w:w="722" w:type="dxa"/>
            <w:gridSpan w:val="2"/>
            <w:vMerge/>
            <w:tcBorders>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D0BAE56" w14:textId="77777777" w:rsidR="00DB76CD" w:rsidRPr="00DF4CE5" w:rsidRDefault="00DB76CD" w:rsidP="00DB76CD">
            <w:pPr>
              <w:spacing w:after="0" w:line="240" w:lineRule="auto"/>
              <w:jc w:val="both"/>
              <w:rPr>
                <w:rFonts w:ascii="Cambria" w:eastAsia="Times New Roman" w:hAnsi="Cambria" w:cs="Times New Roman"/>
                <w:lang w:val="hr-HR"/>
              </w:rPr>
            </w:pPr>
          </w:p>
        </w:tc>
        <w:tc>
          <w:tcPr>
            <w:tcW w:w="924" w:type="dxa"/>
            <w:vMerge/>
            <w:tcBorders>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42BFAF3" w14:textId="77777777" w:rsidR="00DB76CD" w:rsidRPr="00DF4CE5" w:rsidRDefault="00DB76CD" w:rsidP="00DB76CD">
            <w:pPr>
              <w:spacing w:after="0" w:line="240" w:lineRule="auto"/>
              <w:jc w:val="both"/>
              <w:rPr>
                <w:rFonts w:ascii="Cambria" w:eastAsia="Times New Roman" w:hAnsi="Cambria" w:cs="Times New Roman"/>
                <w:lang w:val="hr-HR"/>
              </w:rPr>
            </w:pPr>
          </w:p>
        </w:tc>
        <w:tc>
          <w:tcPr>
            <w:tcW w:w="1412" w:type="dxa"/>
            <w:vMerge/>
            <w:tcBorders>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64710B9" w14:textId="77777777" w:rsidR="00DB76CD" w:rsidRPr="00DF4CE5" w:rsidRDefault="00DB76CD" w:rsidP="00DB76CD">
            <w:pPr>
              <w:spacing w:after="0" w:line="240" w:lineRule="auto"/>
              <w:jc w:val="both"/>
              <w:rPr>
                <w:rFonts w:ascii="Cambria" w:eastAsia="Times New Roman" w:hAnsi="Cambria" w:cs="Times New Roman"/>
                <w:lang w:val="hr-HR"/>
              </w:rPr>
            </w:pPr>
          </w:p>
        </w:tc>
      </w:tr>
      <w:tr w:rsidR="00DB76CD" w:rsidRPr="00D0399C" w14:paraId="3E3D6C9D" w14:textId="77777777" w:rsidTr="00A95330">
        <w:tc>
          <w:tcPr>
            <w:tcW w:w="246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B0AB105" w14:textId="77777777" w:rsidR="00DB76CD" w:rsidRPr="00DF4CE5" w:rsidRDefault="00DB76CD" w:rsidP="00DB76CD">
            <w:pPr>
              <w:spacing w:after="0" w:line="240" w:lineRule="auto"/>
              <w:jc w:val="both"/>
              <w:rPr>
                <w:rFonts w:ascii="Cambria" w:eastAsia="Times New Roman" w:hAnsi="Cambria" w:cs="Times New Roman"/>
                <w:lang w:val="hr-HR"/>
              </w:rPr>
            </w:pPr>
            <w:r w:rsidRPr="00DF4CE5">
              <w:rPr>
                <w:rFonts w:ascii="Cambria" w:eastAsia="Times New Roman" w:hAnsi="Cambria" w:cs="Times New Roman"/>
                <w:lang w:val="hr-HR"/>
              </w:rPr>
              <w:t>Studentske obveze</w:t>
            </w:r>
          </w:p>
        </w:tc>
        <w:tc>
          <w:tcPr>
            <w:tcW w:w="6873"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435C22B" w14:textId="77777777" w:rsidR="00DB76CD" w:rsidRPr="00DF4CE5" w:rsidRDefault="00DB76CD" w:rsidP="00DB76CD">
            <w:pPr>
              <w:spacing w:after="0" w:line="240" w:lineRule="auto"/>
              <w:jc w:val="both"/>
              <w:rPr>
                <w:rFonts w:ascii="Cambria" w:eastAsia="Times New Roman" w:hAnsi="Cambria" w:cs="Times New Roman"/>
                <w:lang w:val="hr-HR"/>
              </w:rPr>
            </w:pPr>
            <w:r w:rsidRPr="00DF4CE5">
              <w:rPr>
                <w:rFonts w:ascii="Cambria" w:eastAsia="Times New Roman" w:hAnsi="Cambria" w:cs="Times New Roman"/>
                <w:lang w:val="hr-HR"/>
              </w:rPr>
              <w:t>Da položi kolegij, student/studentica mora:</w:t>
            </w:r>
          </w:p>
          <w:p w14:paraId="0206AE76" w14:textId="77777777" w:rsidR="00CC2DA6" w:rsidRDefault="00CC2DA6" w:rsidP="00CC2DA6">
            <w:pPr>
              <w:spacing w:after="0" w:line="240" w:lineRule="auto"/>
              <w:contextualSpacing/>
              <w:jc w:val="both"/>
              <w:rPr>
                <w:rFonts w:ascii="Cambria" w:eastAsia="Times New Roman" w:hAnsi="Cambria" w:cs="Times New Roman"/>
                <w:lang w:val="hr-HR"/>
              </w:rPr>
            </w:pPr>
            <w:r>
              <w:rPr>
                <w:rFonts w:ascii="Cambria" w:eastAsia="Times New Roman" w:hAnsi="Cambria" w:cs="Times New Roman"/>
                <w:lang w:val="hr-HR"/>
              </w:rPr>
              <w:t xml:space="preserve">1. </w:t>
            </w:r>
            <w:r w:rsidR="00DB76CD" w:rsidRPr="00DF4CE5">
              <w:rPr>
                <w:rFonts w:ascii="Cambria" w:eastAsia="Times New Roman" w:hAnsi="Cambria" w:cs="Times New Roman"/>
                <w:lang w:val="hr-HR"/>
              </w:rPr>
              <w:t>pohađati nastavu (</w:t>
            </w:r>
            <w:r w:rsidR="00DB76CD" w:rsidRPr="00CC2DA6">
              <w:rPr>
                <w:rFonts w:ascii="Cambria" w:eastAsia="Times New Roman" w:hAnsi="Cambria" w:cs="Times New Roman"/>
                <w:lang w:val="hr-HR"/>
              </w:rPr>
              <w:t>tolerira se 30% izostanaka od ukupnog fonda sati ovog kolegija, koje nije potrebno opravdavati. U slučaju veće odsutnosti mora se ponovno upisati predmet)</w:t>
            </w:r>
          </w:p>
          <w:p w14:paraId="43CC4406" w14:textId="77777777" w:rsidR="00CC2DA6" w:rsidRDefault="00CC2DA6" w:rsidP="00CC2DA6">
            <w:pPr>
              <w:spacing w:after="0" w:line="240" w:lineRule="auto"/>
              <w:contextualSpacing/>
              <w:jc w:val="both"/>
              <w:rPr>
                <w:rFonts w:ascii="Cambria" w:eastAsia="Times New Roman" w:hAnsi="Cambria" w:cs="Times New Roman"/>
                <w:lang w:val="hr-HR"/>
              </w:rPr>
            </w:pPr>
            <w:r>
              <w:rPr>
                <w:rFonts w:ascii="Cambria" w:eastAsia="Times New Roman" w:hAnsi="Cambria" w:cs="Times New Roman"/>
                <w:lang w:val="hr-HR"/>
              </w:rPr>
              <w:t xml:space="preserve">2. </w:t>
            </w:r>
            <w:r w:rsidR="00DB76CD" w:rsidRPr="00DF4CE5">
              <w:rPr>
                <w:rFonts w:ascii="Cambria" w:eastAsia="Times New Roman" w:hAnsi="Cambria" w:cs="Times New Roman"/>
                <w:lang w:val="hr-HR"/>
              </w:rPr>
              <w:t>izraditi skice lutke i scene</w:t>
            </w:r>
          </w:p>
          <w:p w14:paraId="4093261D" w14:textId="77777777" w:rsidR="00CC2DA6" w:rsidRDefault="00CC2DA6" w:rsidP="00CC2DA6">
            <w:pPr>
              <w:spacing w:after="0" w:line="240" w:lineRule="auto"/>
              <w:contextualSpacing/>
              <w:jc w:val="both"/>
              <w:rPr>
                <w:rFonts w:ascii="Cambria" w:eastAsia="Times New Roman" w:hAnsi="Cambria" w:cs="Times New Roman"/>
                <w:lang w:val="hr-HR"/>
              </w:rPr>
            </w:pPr>
            <w:r>
              <w:rPr>
                <w:rFonts w:ascii="Cambria" w:eastAsia="Times New Roman" w:hAnsi="Cambria" w:cs="Times New Roman"/>
                <w:lang w:val="hr-HR"/>
              </w:rPr>
              <w:t xml:space="preserve">3. </w:t>
            </w:r>
            <w:r w:rsidR="00DB76CD" w:rsidRPr="00DF4CE5">
              <w:rPr>
                <w:rFonts w:ascii="Cambria" w:eastAsia="Times New Roman" w:hAnsi="Cambria" w:cs="Times New Roman"/>
                <w:lang w:val="hr-HR"/>
              </w:rPr>
              <w:t>izraditi lutku i scenu</w:t>
            </w:r>
          </w:p>
          <w:p w14:paraId="3A74360C" w14:textId="77777777" w:rsidR="00CC2DA6" w:rsidRDefault="00CC2DA6" w:rsidP="00CC2DA6">
            <w:pPr>
              <w:spacing w:after="0" w:line="240" w:lineRule="auto"/>
              <w:contextualSpacing/>
              <w:jc w:val="both"/>
              <w:rPr>
                <w:rFonts w:ascii="Cambria" w:eastAsia="Times New Roman" w:hAnsi="Cambria" w:cs="Times New Roman"/>
                <w:lang w:val="hr-HR"/>
              </w:rPr>
            </w:pPr>
            <w:r>
              <w:rPr>
                <w:rFonts w:ascii="Cambria" w:eastAsia="Times New Roman" w:hAnsi="Cambria" w:cs="Times New Roman"/>
                <w:lang w:val="hr-HR"/>
              </w:rPr>
              <w:t xml:space="preserve">4. </w:t>
            </w:r>
            <w:r w:rsidR="00DB76CD" w:rsidRPr="00DF4CE5">
              <w:rPr>
                <w:rFonts w:ascii="Cambria" w:eastAsia="Times New Roman" w:hAnsi="Cambria" w:cs="Times New Roman"/>
                <w:lang w:val="hr-HR"/>
              </w:rPr>
              <w:t xml:space="preserve">napisati esej o </w:t>
            </w:r>
            <w:proofErr w:type="spellStart"/>
            <w:r w:rsidR="00DB76CD" w:rsidRPr="00DF4CE5">
              <w:rPr>
                <w:rFonts w:ascii="Cambria" w:eastAsia="Times New Roman" w:hAnsi="Cambria" w:cs="Times New Roman"/>
                <w:lang w:val="hr-HR"/>
              </w:rPr>
              <w:t>odgledanoj</w:t>
            </w:r>
            <w:proofErr w:type="spellEnd"/>
            <w:r w:rsidR="00DB76CD" w:rsidRPr="00DF4CE5">
              <w:rPr>
                <w:rFonts w:ascii="Cambria" w:eastAsia="Times New Roman" w:hAnsi="Cambria" w:cs="Times New Roman"/>
                <w:lang w:val="hr-HR"/>
              </w:rPr>
              <w:t xml:space="preserve"> dječjoj kazališnoj ili lutkarskoj predstavi (donijeti 14 dana prije kraja ljetnog semestra)</w:t>
            </w:r>
          </w:p>
          <w:p w14:paraId="0C4C971A" w14:textId="4F144DF0" w:rsidR="00DB76CD" w:rsidRPr="00DF4CE5" w:rsidRDefault="00CC2DA6" w:rsidP="00CC2DA6">
            <w:pPr>
              <w:spacing w:after="0" w:line="240" w:lineRule="auto"/>
              <w:contextualSpacing/>
              <w:jc w:val="both"/>
              <w:rPr>
                <w:rFonts w:ascii="Cambria" w:eastAsia="Times New Roman" w:hAnsi="Cambria" w:cs="Times New Roman"/>
                <w:lang w:val="hr-HR"/>
              </w:rPr>
            </w:pPr>
            <w:r>
              <w:rPr>
                <w:rFonts w:ascii="Cambria" w:eastAsia="Times New Roman" w:hAnsi="Cambria" w:cs="Times New Roman"/>
                <w:lang w:val="hr-HR"/>
              </w:rPr>
              <w:t xml:space="preserve">5. </w:t>
            </w:r>
            <w:r w:rsidR="00DB76CD" w:rsidRPr="00DF4CE5">
              <w:rPr>
                <w:rFonts w:ascii="Cambria" w:eastAsia="Times New Roman" w:hAnsi="Cambria" w:cs="Times New Roman"/>
                <w:lang w:val="hr-HR"/>
              </w:rPr>
              <w:t>izvesti lutkarsku predstavu</w:t>
            </w:r>
          </w:p>
          <w:p w14:paraId="714D836E" w14:textId="383FA2C7" w:rsidR="00DB76CD" w:rsidRPr="00DF4CE5" w:rsidRDefault="00CC2DA6" w:rsidP="00DB76CD">
            <w:pPr>
              <w:spacing w:after="0" w:line="240" w:lineRule="auto"/>
              <w:jc w:val="both"/>
              <w:rPr>
                <w:rFonts w:ascii="Cambria" w:eastAsia="Times New Roman" w:hAnsi="Cambria" w:cs="Times New Roman"/>
                <w:lang w:val="hr-HR"/>
              </w:rPr>
            </w:pPr>
            <w:r>
              <w:rPr>
                <w:rFonts w:ascii="Cambria" w:eastAsia="Times New Roman" w:hAnsi="Cambria" w:cs="Times New Roman"/>
                <w:lang w:val="hr-HR"/>
              </w:rPr>
              <w:t xml:space="preserve">Napomena: </w:t>
            </w:r>
            <w:r w:rsidR="00DB76CD" w:rsidRPr="00DF4CE5">
              <w:rPr>
                <w:rFonts w:ascii="Cambria" w:eastAsia="Times New Roman" w:hAnsi="Cambria" w:cs="Times New Roman"/>
                <w:lang w:val="hr-HR"/>
              </w:rPr>
              <w:t>Sve osim eseja studentica/student mora donijeti na ispit odnosno na izvedbu lutkarske predstave</w:t>
            </w:r>
            <w:r>
              <w:rPr>
                <w:rFonts w:ascii="Cambria" w:eastAsia="Times New Roman" w:hAnsi="Cambria" w:cs="Times New Roman"/>
                <w:lang w:val="hr-HR"/>
              </w:rPr>
              <w:t xml:space="preserve">. </w:t>
            </w:r>
          </w:p>
          <w:p w14:paraId="45B7FBA3" w14:textId="77777777" w:rsidR="00DB76CD" w:rsidRPr="00DF4CE5" w:rsidRDefault="00DB76CD" w:rsidP="00DB76CD">
            <w:pPr>
              <w:spacing w:after="0" w:line="240" w:lineRule="auto"/>
              <w:jc w:val="both"/>
              <w:rPr>
                <w:rFonts w:ascii="Cambria" w:eastAsia="Times New Roman" w:hAnsi="Cambria" w:cs="Times New Roman"/>
                <w:lang w:val="hr-HR"/>
              </w:rPr>
            </w:pPr>
          </w:p>
        </w:tc>
      </w:tr>
      <w:tr w:rsidR="00DB76CD" w:rsidRPr="00D0399C" w14:paraId="67960053" w14:textId="77777777" w:rsidTr="00A95330">
        <w:tc>
          <w:tcPr>
            <w:tcW w:w="246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57C990D" w14:textId="77777777" w:rsidR="00DB76CD" w:rsidRPr="00DF4CE5" w:rsidRDefault="00DB76CD" w:rsidP="00DB76CD">
            <w:pPr>
              <w:spacing w:after="0" w:line="240" w:lineRule="auto"/>
              <w:jc w:val="both"/>
              <w:rPr>
                <w:rFonts w:ascii="Cambria" w:eastAsia="Times New Roman" w:hAnsi="Cambria" w:cs="Times New Roman"/>
                <w:lang w:val="hr-HR"/>
              </w:rPr>
            </w:pPr>
            <w:r w:rsidRPr="00DF4CE5">
              <w:rPr>
                <w:rFonts w:ascii="Cambria" w:eastAsia="Times New Roman" w:hAnsi="Cambria" w:cs="Times New Roman"/>
              </w:rPr>
              <w:t>Rokoviispitaikolokvija</w:t>
            </w:r>
          </w:p>
        </w:tc>
        <w:tc>
          <w:tcPr>
            <w:tcW w:w="6873"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80875A5" w14:textId="77777777" w:rsidR="00DB76CD" w:rsidRPr="00DF4CE5" w:rsidRDefault="00DB76CD" w:rsidP="00DB76CD">
            <w:pPr>
              <w:widowControl w:val="0"/>
              <w:spacing w:after="0" w:line="240" w:lineRule="auto"/>
              <w:ind w:right="805"/>
              <w:jc w:val="both"/>
              <w:rPr>
                <w:rFonts w:ascii="Cambria" w:eastAsia="Calibri" w:hAnsi="Cambria" w:cs="Times New Roman"/>
                <w:lang w:val="it-IT"/>
              </w:rPr>
            </w:pPr>
            <w:proofErr w:type="spellStart"/>
            <w:r w:rsidRPr="00DF4CE5">
              <w:rPr>
                <w:rFonts w:ascii="Cambria" w:eastAsia="Calibri" w:hAnsi="Cambria" w:cs="Calibri"/>
                <w:lang w:val="it-IT"/>
              </w:rPr>
              <w:t>Objavljuju</w:t>
            </w:r>
            <w:proofErr w:type="spellEnd"/>
            <w:r w:rsidRPr="00DF4CE5">
              <w:rPr>
                <w:rFonts w:ascii="Cambria" w:eastAsia="Calibri" w:hAnsi="Cambria" w:cs="Calibri"/>
                <w:lang w:val="it-IT"/>
              </w:rPr>
              <w:t xml:space="preserve"> se u ISVU </w:t>
            </w:r>
            <w:proofErr w:type="spellStart"/>
            <w:r w:rsidRPr="00DF4CE5">
              <w:rPr>
                <w:rFonts w:ascii="Cambria" w:eastAsia="Calibri" w:hAnsi="Cambria" w:cs="Calibri"/>
                <w:lang w:val="it-IT"/>
              </w:rPr>
              <w:t>sustavui</w:t>
            </w:r>
            <w:proofErr w:type="spellEnd"/>
            <w:r w:rsidRPr="00DF4CE5">
              <w:rPr>
                <w:rFonts w:ascii="Cambria" w:eastAsia="Calibri" w:hAnsi="Cambria" w:cs="Calibri"/>
                <w:lang w:val="it-IT"/>
              </w:rPr>
              <w:t xml:space="preserve"> </w:t>
            </w:r>
            <w:proofErr w:type="spellStart"/>
            <w:r w:rsidRPr="00DF4CE5">
              <w:rPr>
                <w:rFonts w:ascii="Cambria" w:eastAsia="Calibri" w:hAnsi="Cambria" w:cs="Calibri"/>
                <w:lang w:val="it-IT"/>
              </w:rPr>
              <w:t>uStudomatu</w:t>
            </w:r>
            <w:proofErr w:type="spellEnd"/>
            <w:r w:rsidRPr="00DF4CE5">
              <w:rPr>
                <w:rFonts w:ascii="Cambria" w:eastAsia="Calibri" w:hAnsi="Cambria" w:cs="Calibri"/>
                <w:lang w:val="it-IT"/>
              </w:rPr>
              <w:t>.</w:t>
            </w:r>
          </w:p>
        </w:tc>
      </w:tr>
      <w:tr w:rsidR="00DB76CD" w:rsidRPr="00DF4CE5" w14:paraId="18CE5C28" w14:textId="77777777" w:rsidTr="00A95330">
        <w:tc>
          <w:tcPr>
            <w:tcW w:w="246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09751A3" w14:textId="77777777" w:rsidR="00DB76CD" w:rsidRPr="00DF4CE5" w:rsidRDefault="00DB76CD" w:rsidP="00DB76CD">
            <w:pPr>
              <w:spacing w:after="0" w:line="240" w:lineRule="auto"/>
              <w:jc w:val="both"/>
              <w:rPr>
                <w:rFonts w:ascii="Cambria" w:eastAsia="Times New Roman" w:hAnsi="Cambria" w:cs="Times New Roman"/>
                <w:lang w:val="hr-HR"/>
              </w:rPr>
            </w:pPr>
            <w:r w:rsidRPr="00DF4CE5">
              <w:rPr>
                <w:rFonts w:ascii="Cambria" w:eastAsia="Times New Roman" w:hAnsi="Cambria" w:cs="Times New Roman"/>
                <w:lang w:val="hr-HR"/>
              </w:rPr>
              <w:t xml:space="preserve">Ostale važne činjenice </w:t>
            </w:r>
            <w:proofErr w:type="spellStart"/>
            <w:r w:rsidRPr="00DF4CE5">
              <w:rPr>
                <w:rFonts w:ascii="Cambria" w:eastAsia="Times New Roman" w:hAnsi="Cambria" w:cs="Times New Roman"/>
                <w:lang w:val="it-IT"/>
              </w:rPr>
              <w:t>vezaneuzkolegij</w:t>
            </w:r>
            <w:proofErr w:type="spellEnd"/>
          </w:p>
        </w:tc>
        <w:tc>
          <w:tcPr>
            <w:tcW w:w="6873"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82399C1" w14:textId="77777777" w:rsidR="00DB76CD" w:rsidRPr="00DF4CE5" w:rsidRDefault="00DB76CD" w:rsidP="00DB76CD">
            <w:pPr>
              <w:widowControl w:val="0"/>
              <w:spacing w:after="0" w:line="240" w:lineRule="auto"/>
              <w:ind w:right="259"/>
              <w:jc w:val="both"/>
              <w:rPr>
                <w:rFonts w:ascii="Cambria" w:eastAsia="Calibri" w:hAnsi="Cambria" w:cs="Times New Roman"/>
                <w:lang w:val="hr-HR"/>
              </w:rPr>
            </w:pPr>
            <w:r w:rsidRPr="00DF4CE5">
              <w:rPr>
                <w:rFonts w:ascii="Cambria" w:eastAsia="Calibri" w:hAnsi="Cambria" w:cs="Calibri"/>
                <w:lang w:val="hr-HR"/>
              </w:rPr>
              <w:t>U slučaju održavanja nastave na daljinu, moguće je odstupanje u: mjestu izvođenja kolegija, provedbi aktivnosti, metoda tumačenja i poučavanja i načinima vrednovanja, studentskim obvezama i dostupnoj literaturi. O tome će nositeljica kolegija obavijestiti studente i studentice kad se nastava na daljinu počne održavati. Ishodi učenja ostaju nepromijenjeni.</w:t>
            </w:r>
          </w:p>
        </w:tc>
      </w:tr>
      <w:tr w:rsidR="00DB76CD" w:rsidRPr="00D0399C" w14:paraId="5DFE0836" w14:textId="77777777" w:rsidTr="00A95330">
        <w:trPr>
          <w:trHeight w:val="770"/>
        </w:trPr>
        <w:tc>
          <w:tcPr>
            <w:tcW w:w="246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FB21DB5" w14:textId="77777777" w:rsidR="00DB76CD" w:rsidRPr="00DF4CE5" w:rsidRDefault="00DB76CD" w:rsidP="00CC2DA6">
            <w:pPr>
              <w:spacing w:after="0" w:line="240" w:lineRule="auto"/>
              <w:rPr>
                <w:rFonts w:ascii="Cambria" w:eastAsia="Times New Roman" w:hAnsi="Cambria" w:cs="Times New Roman"/>
                <w:lang w:val="hr-HR"/>
              </w:rPr>
            </w:pPr>
            <w:r w:rsidRPr="00DF4CE5">
              <w:rPr>
                <w:rFonts w:ascii="Cambria" w:eastAsia="Times New Roman" w:hAnsi="Cambria" w:cs="Times New Roman"/>
                <w:lang w:val="hr-HR"/>
              </w:rPr>
              <w:t>Literatura</w:t>
            </w:r>
          </w:p>
        </w:tc>
        <w:tc>
          <w:tcPr>
            <w:tcW w:w="6873"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2F2A84EB" w14:textId="77777777" w:rsidR="00DB76CD" w:rsidRPr="00DF4CE5" w:rsidRDefault="00DB76CD" w:rsidP="00CC2DA6">
            <w:pPr>
              <w:spacing w:after="0" w:line="240" w:lineRule="auto"/>
              <w:rPr>
                <w:rFonts w:ascii="Cambria" w:eastAsia="Times New Roman" w:hAnsi="Cambria" w:cs="Times New Roman"/>
                <w:lang w:val="hr-HR"/>
              </w:rPr>
            </w:pPr>
            <w:r w:rsidRPr="00DF4CE5">
              <w:rPr>
                <w:rFonts w:ascii="Cambria" w:eastAsia="Times New Roman" w:hAnsi="Cambria" w:cs="Times New Roman"/>
                <w:lang w:val="hr-HR"/>
              </w:rPr>
              <w:t xml:space="preserve">Obvezna: </w:t>
            </w:r>
          </w:p>
          <w:p w14:paraId="0D39EEE3" w14:textId="699B55EF" w:rsidR="00DB76CD" w:rsidRPr="00DF4CE5" w:rsidRDefault="00CC2DA6" w:rsidP="00CC2DA6">
            <w:pPr>
              <w:suppressAutoHyphens/>
              <w:spacing w:after="0" w:line="240" w:lineRule="auto"/>
              <w:rPr>
                <w:rFonts w:ascii="Cambria" w:eastAsia="Times New Roman" w:hAnsi="Cambria" w:cs="Calibri"/>
                <w:lang w:val="hr-HR"/>
              </w:rPr>
            </w:pPr>
            <w:r>
              <w:rPr>
                <w:rFonts w:ascii="Cambria" w:eastAsia="Times New Roman" w:hAnsi="Cambria" w:cs="Calibri"/>
                <w:lang w:val="hr-HR"/>
              </w:rPr>
              <w:t xml:space="preserve">1. </w:t>
            </w:r>
            <w:proofErr w:type="spellStart"/>
            <w:r w:rsidR="00DB76CD" w:rsidRPr="00DF4CE5">
              <w:rPr>
                <w:rFonts w:ascii="Cambria" w:eastAsia="Times New Roman" w:hAnsi="Cambria" w:cs="Calibri"/>
                <w:lang w:val="hr-HR"/>
              </w:rPr>
              <w:t>Glibo</w:t>
            </w:r>
            <w:proofErr w:type="spellEnd"/>
            <w:r w:rsidR="00DB76CD" w:rsidRPr="00DF4CE5">
              <w:rPr>
                <w:rFonts w:ascii="Cambria" w:eastAsia="Times New Roman" w:hAnsi="Cambria" w:cs="Calibri"/>
                <w:lang w:val="hr-HR"/>
              </w:rPr>
              <w:t xml:space="preserve">, Rajko (2000): </w:t>
            </w:r>
            <w:proofErr w:type="spellStart"/>
            <w:r w:rsidR="00DB76CD" w:rsidRPr="00DF4CE5">
              <w:rPr>
                <w:rFonts w:ascii="Cambria" w:eastAsia="Times New Roman" w:hAnsi="Cambria" w:cs="Calibri"/>
                <w:lang w:val="hr-HR"/>
              </w:rPr>
              <w:t>Lutkarstvo</w:t>
            </w:r>
            <w:proofErr w:type="spellEnd"/>
            <w:r w:rsidR="00DB76CD" w:rsidRPr="00DF4CE5">
              <w:rPr>
                <w:rFonts w:ascii="Cambria" w:eastAsia="Times New Roman" w:hAnsi="Cambria" w:cs="Calibri"/>
                <w:lang w:val="hr-HR"/>
              </w:rPr>
              <w:t xml:space="preserve"> i scenska kultura, Ekološki glasnik, Zagreb: Nakladničko-tiskarsko poduzeće.</w:t>
            </w:r>
          </w:p>
          <w:p w14:paraId="028E20D5" w14:textId="4A54C0C8" w:rsidR="00DB76CD" w:rsidRPr="00DF4CE5" w:rsidRDefault="00CC2DA6" w:rsidP="00CC2DA6">
            <w:pPr>
              <w:suppressAutoHyphens/>
              <w:spacing w:after="0" w:line="240" w:lineRule="auto"/>
              <w:rPr>
                <w:rFonts w:ascii="Cambria" w:eastAsia="Times New Roman" w:hAnsi="Cambria" w:cs="Calibri"/>
                <w:lang w:val="hr-HR"/>
              </w:rPr>
            </w:pPr>
            <w:r>
              <w:rPr>
                <w:rFonts w:ascii="Cambria" w:eastAsia="Times New Roman" w:hAnsi="Cambria" w:cs="Calibri"/>
                <w:lang w:val="hr-HR"/>
              </w:rPr>
              <w:t xml:space="preserve">2. </w:t>
            </w:r>
            <w:proofErr w:type="spellStart"/>
            <w:r w:rsidR="00DB76CD" w:rsidRPr="00DF4CE5">
              <w:rPr>
                <w:rFonts w:ascii="Cambria" w:eastAsia="Times New Roman" w:hAnsi="Cambria" w:cs="Calibri"/>
                <w:lang w:val="hr-HR"/>
              </w:rPr>
              <w:t>Čečuk</w:t>
            </w:r>
            <w:proofErr w:type="spellEnd"/>
            <w:r w:rsidR="00DB76CD" w:rsidRPr="00DF4CE5">
              <w:rPr>
                <w:rFonts w:ascii="Cambria" w:eastAsia="Times New Roman" w:hAnsi="Cambria" w:cs="Calibri"/>
                <w:lang w:val="hr-HR"/>
              </w:rPr>
              <w:t>, Milan (2009): Lutka i lutke. Zagreb: Međunarodni centar za usluge u kulturi.</w:t>
            </w:r>
          </w:p>
          <w:p w14:paraId="218E3EDB" w14:textId="57653EBE" w:rsidR="00DB76CD" w:rsidRPr="00DF4CE5" w:rsidRDefault="00CC2DA6" w:rsidP="00CC2DA6">
            <w:pPr>
              <w:suppressAutoHyphens/>
              <w:spacing w:after="0" w:line="240" w:lineRule="auto"/>
              <w:rPr>
                <w:rFonts w:ascii="Cambria" w:eastAsia="Times New Roman" w:hAnsi="Cambria" w:cs="Times New Roman"/>
                <w:lang w:val="hr-HR"/>
              </w:rPr>
            </w:pPr>
            <w:r>
              <w:rPr>
                <w:rFonts w:ascii="Cambria" w:eastAsia="Times New Roman" w:hAnsi="Cambria" w:cs="Calibri"/>
                <w:lang w:val="hr-HR"/>
              </w:rPr>
              <w:t xml:space="preserve">3. </w:t>
            </w:r>
            <w:r w:rsidR="00DB76CD" w:rsidRPr="00DF4CE5">
              <w:rPr>
                <w:rFonts w:ascii="Cambria" w:eastAsia="Times New Roman" w:hAnsi="Cambria" w:cs="Calibri"/>
                <w:lang w:val="hr-HR"/>
              </w:rPr>
              <w:t xml:space="preserve">Županić Benić, Marijana (2009): O lutkama i </w:t>
            </w:r>
            <w:proofErr w:type="spellStart"/>
            <w:r w:rsidR="00DB76CD" w:rsidRPr="00DF4CE5">
              <w:rPr>
                <w:rFonts w:ascii="Cambria" w:eastAsia="Times New Roman" w:hAnsi="Cambria" w:cs="Calibri"/>
                <w:lang w:val="hr-HR"/>
              </w:rPr>
              <w:t>lutkarstvu</w:t>
            </w:r>
            <w:proofErr w:type="spellEnd"/>
            <w:r w:rsidR="00DB76CD" w:rsidRPr="00DF4CE5">
              <w:rPr>
                <w:rFonts w:ascii="Cambria" w:eastAsia="Times New Roman" w:hAnsi="Cambria" w:cs="Calibri"/>
                <w:lang w:val="hr-HR"/>
              </w:rPr>
              <w:t xml:space="preserve">, Zagreb: </w:t>
            </w:r>
            <w:proofErr w:type="spellStart"/>
            <w:r w:rsidR="00DB76CD" w:rsidRPr="00DF4CE5">
              <w:rPr>
                <w:rFonts w:ascii="Cambria" w:eastAsia="Times New Roman" w:hAnsi="Cambria" w:cs="Calibri"/>
                <w:lang w:val="hr-HR"/>
              </w:rPr>
              <w:t>Leykam</w:t>
            </w:r>
            <w:proofErr w:type="spellEnd"/>
            <w:r w:rsidR="00DB76CD" w:rsidRPr="00DF4CE5">
              <w:rPr>
                <w:rFonts w:ascii="Cambria" w:eastAsia="Times New Roman" w:hAnsi="Cambria" w:cs="Calibri"/>
                <w:lang w:val="hr-HR"/>
              </w:rPr>
              <w:t xml:space="preserve"> </w:t>
            </w:r>
            <w:proofErr w:type="spellStart"/>
            <w:r w:rsidR="00DB76CD" w:rsidRPr="00DF4CE5">
              <w:rPr>
                <w:rFonts w:ascii="Cambria" w:eastAsia="Times New Roman" w:hAnsi="Cambria" w:cs="Calibri"/>
                <w:lang w:val="hr-HR"/>
              </w:rPr>
              <w:t>international</w:t>
            </w:r>
            <w:proofErr w:type="spellEnd"/>
            <w:r w:rsidR="00DB76CD" w:rsidRPr="00DF4CE5">
              <w:rPr>
                <w:rFonts w:ascii="Cambria" w:eastAsia="Times New Roman" w:hAnsi="Cambria" w:cs="Calibri"/>
                <w:lang w:val="hr-HR"/>
              </w:rPr>
              <w:t>.</w:t>
            </w:r>
          </w:p>
          <w:p w14:paraId="690E293B" w14:textId="77777777" w:rsidR="00DB76CD" w:rsidRPr="00DF4CE5" w:rsidRDefault="00DB76CD" w:rsidP="00CC2DA6">
            <w:pPr>
              <w:spacing w:after="0" w:line="240" w:lineRule="auto"/>
              <w:rPr>
                <w:rFonts w:ascii="Cambria" w:eastAsia="Times New Roman" w:hAnsi="Cambria" w:cs="Times New Roman"/>
                <w:lang w:val="hr-HR"/>
              </w:rPr>
            </w:pPr>
            <w:r w:rsidRPr="00DF4CE5">
              <w:rPr>
                <w:rFonts w:ascii="Cambria" w:eastAsia="Times New Roman" w:hAnsi="Cambria" w:cs="Times New Roman"/>
                <w:lang w:val="hr-HR"/>
              </w:rPr>
              <w:t>Izborna:</w:t>
            </w:r>
          </w:p>
          <w:p w14:paraId="5F50ACD3" w14:textId="77777777" w:rsidR="00DB76CD" w:rsidRPr="00DF4CE5" w:rsidRDefault="00DB76CD" w:rsidP="00A034E3">
            <w:pPr>
              <w:numPr>
                <w:ilvl w:val="0"/>
                <w:numId w:val="42"/>
              </w:numPr>
              <w:autoSpaceDE w:val="0"/>
              <w:autoSpaceDN w:val="0"/>
              <w:adjustRightInd w:val="0"/>
              <w:snapToGrid w:val="0"/>
              <w:spacing w:before="100" w:after="100" w:line="240" w:lineRule="auto"/>
              <w:rPr>
                <w:rFonts w:ascii="Cambria" w:eastAsia="Times New Roman" w:hAnsi="Cambria" w:cs="Times New Roman"/>
                <w:lang w:val="hr-HR"/>
              </w:rPr>
            </w:pPr>
            <w:r w:rsidRPr="00DF4CE5">
              <w:rPr>
                <w:rFonts w:ascii="Cambria" w:eastAsia="Times New Roman" w:hAnsi="Cambria" w:cs="Times New Roman"/>
                <w:bCs/>
                <w:lang w:val="hr-HR"/>
              </w:rPr>
              <w:t>Bauer, Ljudevit, 1941-</w:t>
            </w:r>
            <w:r w:rsidRPr="00DF4CE5">
              <w:rPr>
                <w:rFonts w:ascii="Cambria" w:eastAsia="Times New Roman" w:hAnsi="Cambria" w:cs="Times New Roman"/>
                <w:lang w:val="hr-HR"/>
              </w:rPr>
              <w:br/>
              <w:t xml:space="preserve">Bajkoviti igrokazi / Ludwig Bauer ; ilustrirao Vjekoslav Vojo </w:t>
            </w:r>
            <w:proofErr w:type="spellStart"/>
            <w:r w:rsidRPr="00DF4CE5">
              <w:rPr>
                <w:rFonts w:ascii="Cambria" w:eastAsia="Times New Roman" w:hAnsi="Cambria" w:cs="Times New Roman"/>
                <w:lang w:val="hr-HR"/>
              </w:rPr>
              <w:t>Radoičić</w:t>
            </w:r>
            <w:proofErr w:type="spellEnd"/>
            <w:r w:rsidRPr="00DF4CE5">
              <w:rPr>
                <w:rFonts w:ascii="Cambria" w:eastAsia="Times New Roman" w:hAnsi="Cambria" w:cs="Times New Roman"/>
                <w:lang w:val="hr-HR"/>
              </w:rPr>
              <w:t xml:space="preserve">. - Zagreb : Golden marketing - Tehnička knjiga, 2005. - 51 str. : </w:t>
            </w:r>
            <w:proofErr w:type="spellStart"/>
            <w:r w:rsidRPr="00DF4CE5">
              <w:rPr>
                <w:rFonts w:ascii="Cambria" w:eastAsia="Times New Roman" w:hAnsi="Cambria" w:cs="Times New Roman"/>
                <w:lang w:val="hr-HR"/>
              </w:rPr>
              <w:t>ilustr</w:t>
            </w:r>
            <w:proofErr w:type="spellEnd"/>
            <w:r w:rsidRPr="00DF4CE5">
              <w:rPr>
                <w:rFonts w:ascii="Cambria" w:eastAsia="Times New Roman" w:hAnsi="Cambria" w:cs="Times New Roman"/>
                <w:lang w:val="hr-HR"/>
              </w:rPr>
              <w:t>. ; 34 cm</w:t>
            </w:r>
          </w:p>
          <w:p w14:paraId="3503062D" w14:textId="77777777" w:rsidR="00DB76CD" w:rsidRPr="00DF4CE5" w:rsidRDefault="00DB76CD" w:rsidP="00A034E3">
            <w:pPr>
              <w:numPr>
                <w:ilvl w:val="0"/>
                <w:numId w:val="42"/>
              </w:numPr>
              <w:spacing w:after="0" w:line="240" w:lineRule="auto"/>
              <w:contextualSpacing/>
              <w:rPr>
                <w:rFonts w:ascii="Cambria" w:eastAsia="Times New Roman" w:hAnsi="Cambria" w:cs="Times New Roman"/>
                <w:iCs/>
                <w:lang w:val="hr-HR"/>
              </w:rPr>
            </w:pPr>
            <w:r w:rsidRPr="00DF4CE5">
              <w:rPr>
                <w:rFonts w:ascii="Cambria" w:eastAsia="Times New Roman" w:hAnsi="Cambria" w:cs="Times New Roman"/>
                <w:lang w:val="hr-HR"/>
              </w:rPr>
              <w:lastRenderedPageBreak/>
              <w:t xml:space="preserve">Vrlo zanimljivo grafički oblikovana, knjiga-slikovnica, sadrži dva duhovita igrokaza: Tko je oklevetao vuka? ( groteskna moderna bajka) i "Vještica Liza </w:t>
            </w:r>
            <w:proofErr w:type="spellStart"/>
            <w:r w:rsidRPr="00DF4CE5">
              <w:rPr>
                <w:rFonts w:ascii="Cambria" w:eastAsia="Times New Roman" w:hAnsi="Cambria" w:cs="Times New Roman"/>
                <w:lang w:val="hr-HR"/>
              </w:rPr>
              <w:t>Hainburška</w:t>
            </w:r>
            <w:proofErr w:type="spellEnd"/>
            <w:r w:rsidRPr="00DF4CE5">
              <w:rPr>
                <w:rFonts w:ascii="Cambria" w:eastAsia="Times New Roman" w:hAnsi="Cambria" w:cs="Times New Roman"/>
                <w:lang w:val="hr-HR"/>
              </w:rPr>
              <w:t xml:space="preserve">" (igrokaz posvećen ideji jedinstvene Europe, brisanju političkih, zemljopisnih i povijesnih granica, a posebno onih najgorih - granica u ljudskoj svijesti). Originalne ilustracije Vjekoslava Voje </w:t>
            </w:r>
            <w:proofErr w:type="spellStart"/>
            <w:r w:rsidRPr="00DF4CE5">
              <w:rPr>
                <w:rFonts w:ascii="Cambria" w:eastAsia="Times New Roman" w:hAnsi="Cambria" w:cs="Times New Roman"/>
                <w:lang w:val="hr-HR"/>
              </w:rPr>
              <w:t>Radoičića</w:t>
            </w:r>
            <w:proofErr w:type="spellEnd"/>
            <w:r w:rsidRPr="00DF4CE5">
              <w:rPr>
                <w:rFonts w:ascii="Cambria" w:eastAsia="Times New Roman" w:hAnsi="Cambria" w:cs="Times New Roman"/>
                <w:lang w:val="hr-HR"/>
              </w:rPr>
              <w:t>, mnogobrojni "prozorčići", iza kojih se kriju likovi iz predstave ili pak cijela scena, knjigu čine privlačnom i živom poput prave pozornice.</w:t>
            </w:r>
            <w:r w:rsidRPr="00DF4CE5">
              <w:rPr>
                <w:rFonts w:ascii="Cambria" w:eastAsia="Times New Roman" w:hAnsi="Cambria" w:cs="Times New Roman"/>
                <w:lang w:val="hr-HR"/>
              </w:rPr>
              <w:br/>
            </w:r>
            <w:r w:rsidRPr="00DF4CE5">
              <w:rPr>
                <w:rFonts w:ascii="Cambria" w:eastAsia="Times New Roman" w:hAnsi="Cambria" w:cs="Times New Roman"/>
                <w:bCs/>
                <w:iCs/>
                <w:lang w:val="hr-HR"/>
              </w:rPr>
              <w:t xml:space="preserve">Preporuka: “Tko je oklevetao Vuka?” </w:t>
            </w:r>
            <w:r w:rsidRPr="00DF4CE5">
              <w:rPr>
                <w:rFonts w:ascii="Cambria" w:eastAsia="Times New Roman" w:hAnsi="Cambria" w:cs="Times New Roman"/>
                <w:iCs/>
                <w:lang w:val="hr-HR"/>
              </w:rPr>
              <w:t>/ humoristički /</w:t>
            </w:r>
          </w:p>
          <w:p w14:paraId="5010B8EC" w14:textId="77777777" w:rsidR="00DB76CD" w:rsidRPr="00DF4CE5" w:rsidRDefault="00DB76CD" w:rsidP="00A034E3">
            <w:pPr>
              <w:numPr>
                <w:ilvl w:val="0"/>
                <w:numId w:val="42"/>
              </w:numPr>
              <w:spacing w:before="280" w:after="280" w:line="240" w:lineRule="auto"/>
              <w:contextualSpacing/>
              <w:rPr>
                <w:rFonts w:ascii="Cambria" w:eastAsia="Times New Roman" w:hAnsi="Cambria" w:cs="Times New Roman"/>
                <w:lang w:val="hr-HR"/>
              </w:rPr>
            </w:pPr>
            <w:r w:rsidRPr="00DF4CE5">
              <w:rPr>
                <w:rFonts w:ascii="Cambria" w:eastAsia="Times New Roman" w:hAnsi="Cambria" w:cs="Times New Roman"/>
                <w:bCs/>
                <w:lang w:val="hr-HR"/>
              </w:rPr>
              <w:t>Bauer, Ljudevit, 1941-</w:t>
            </w:r>
            <w:r w:rsidRPr="00DF4CE5">
              <w:rPr>
                <w:rFonts w:ascii="Cambria" w:eastAsia="Times New Roman" w:hAnsi="Cambria" w:cs="Times New Roman"/>
                <w:lang w:val="hr-HR"/>
              </w:rPr>
              <w:br/>
              <w:t xml:space="preserve">Morski igrokazi / Ludwig Bauer ; ilustrirao Vjekoslav Vojo </w:t>
            </w:r>
            <w:proofErr w:type="spellStart"/>
            <w:r w:rsidRPr="00DF4CE5">
              <w:rPr>
                <w:rFonts w:ascii="Cambria" w:eastAsia="Times New Roman" w:hAnsi="Cambria" w:cs="Times New Roman"/>
                <w:lang w:val="hr-HR"/>
              </w:rPr>
              <w:t>Radoičić</w:t>
            </w:r>
            <w:proofErr w:type="spellEnd"/>
            <w:r w:rsidRPr="00DF4CE5">
              <w:rPr>
                <w:rFonts w:ascii="Cambria" w:eastAsia="Times New Roman" w:hAnsi="Cambria" w:cs="Times New Roman"/>
                <w:lang w:val="hr-HR"/>
              </w:rPr>
              <w:t xml:space="preserve">. - Zagreb : Golden marketing - Tehnička knjiga, 2005. - 47 str. : </w:t>
            </w:r>
            <w:proofErr w:type="spellStart"/>
            <w:r w:rsidRPr="00DF4CE5">
              <w:rPr>
                <w:rFonts w:ascii="Cambria" w:eastAsia="Times New Roman" w:hAnsi="Cambria" w:cs="Times New Roman"/>
                <w:lang w:val="hr-HR"/>
              </w:rPr>
              <w:t>ilustr</w:t>
            </w:r>
            <w:proofErr w:type="spellEnd"/>
            <w:r w:rsidRPr="00DF4CE5">
              <w:rPr>
                <w:rFonts w:ascii="Cambria" w:eastAsia="Times New Roman" w:hAnsi="Cambria" w:cs="Times New Roman"/>
                <w:lang w:val="hr-HR"/>
              </w:rPr>
              <w:t>. ; 34 cm</w:t>
            </w:r>
          </w:p>
          <w:p w14:paraId="2C932800" w14:textId="77777777" w:rsidR="00DB76CD" w:rsidRPr="00DF4CE5" w:rsidRDefault="00DB76CD" w:rsidP="00A034E3">
            <w:pPr>
              <w:numPr>
                <w:ilvl w:val="0"/>
                <w:numId w:val="42"/>
              </w:numPr>
              <w:spacing w:before="280" w:after="280" w:line="240" w:lineRule="auto"/>
              <w:contextualSpacing/>
              <w:rPr>
                <w:rFonts w:ascii="Cambria" w:eastAsia="Times New Roman" w:hAnsi="Cambria" w:cs="Times New Roman"/>
                <w:iCs/>
                <w:lang w:val="hr-HR"/>
              </w:rPr>
            </w:pPr>
            <w:r w:rsidRPr="00DF4CE5">
              <w:rPr>
                <w:rFonts w:ascii="Cambria" w:eastAsia="Times New Roman" w:hAnsi="Cambria" w:cs="Times New Roman"/>
                <w:lang w:val="hr-HR"/>
              </w:rPr>
              <w:t xml:space="preserve">Vrlo zanimljivo grafički oblikovana, ova knjiga-slikovnica nam donosi dva morska igrokaza s vrlo važnom porukom da su ljubav i prijateljstvo u životu važniji od materijalnih dobara. "Potraga za blagom" i "Ronilac bisera" igrokazi su koje potpisuje Ludwig Bauer, a vrlo zanimljivo i originalno oslikao Vojo </w:t>
            </w:r>
            <w:proofErr w:type="spellStart"/>
            <w:r w:rsidRPr="00DF4CE5">
              <w:rPr>
                <w:rFonts w:ascii="Cambria" w:eastAsia="Times New Roman" w:hAnsi="Cambria" w:cs="Times New Roman"/>
                <w:lang w:val="hr-HR"/>
              </w:rPr>
              <w:t>Radoičić</w:t>
            </w:r>
            <w:proofErr w:type="spellEnd"/>
            <w:r w:rsidRPr="00DF4CE5">
              <w:rPr>
                <w:rFonts w:ascii="Cambria" w:eastAsia="Times New Roman" w:hAnsi="Cambria" w:cs="Times New Roman"/>
                <w:lang w:val="hr-HR"/>
              </w:rPr>
              <w:t>. Slikovnica ima "prozorčiće", iza kojih se kriju likovi iz predstave ili dio scene, pa se doima poput male pozornice.</w:t>
            </w:r>
            <w:r w:rsidRPr="00DF4CE5">
              <w:rPr>
                <w:rFonts w:ascii="Cambria" w:eastAsia="Times New Roman" w:hAnsi="Cambria" w:cs="Times New Roman"/>
                <w:lang w:val="hr-HR"/>
              </w:rPr>
              <w:br/>
            </w:r>
            <w:r w:rsidRPr="00DF4CE5">
              <w:rPr>
                <w:rFonts w:ascii="Cambria" w:eastAsia="Times New Roman" w:hAnsi="Cambria" w:cs="Times New Roman"/>
                <w:bCs/>
                <w:iCs/>
                <w:lang w:val="hr-HR"/>
              </w:rPr>
              <w:t xml:space="preserve">Preporuka: “Ronilac bisera” </w:t>
            </w:r>
            <w:r w:rsidRPr="00DF4CE5">
              <w:rPr>
                <w:rFonts w:ascii="Cambria" w:eastAsia="Times New Roman" w:hAnsi="Cambria" w:cs="Times New Roman"/>
                <w:iCs/>
                <w:lang w:val="hr-HR"/>
              </w:rPr>
              <w:t>/ humoristički / ljubav /</w:t>
            </w:r>
          </w:p>
          <w:p w14:paraId="247261EA" w14:textId="77777777" w:rsidR="00DB76CD" w:rsidRPr="00DF4CE5" w:rsidRDefault="00DB76CD" w:rsidP="00A034E3">
            <w:pPr>
              <w:numPr>
                <w:ilvl w:val="0"/>
                <w:numId w:val="42"/>
              </w:numPr>
              <w:spacing w:before="120" w:after="120" w:line="240" w:lineRule="auto"/>
              <w:contextualSpacing/>
              <w:rPr>
                <w:rFonts w:ascii="Cambria" w:eastAsia="Times New Roman" w:hAnsi="Cambria" w:cs="Times New Roman"/>
                <w:lang w:val="hr-HR"/>
              </w:rPr>
            </w:pPr>
            <w:proofErr w:type="spellStart"/>
            <w:r w:rsidRPr="00DF4CE5">
              <w:rPr>
                <w:rFonts w:ascii="Cambria" w:eastAsia="Times New Roman" w:hAnsi="Cambria" w:cs="Times New Roman"/>
                <w:bCs/>
                <w:lang w:val="hr-HR"/>
              </w:rPr>
              <w:t>Coffou</w:t>
            </w:r>
            <w:proofErr w:type="spellEnd"/>
            <w:r w:rsidRPr="00DF4CE5">
              <w:rPr>
                <w:rFonts w:ascii="Cambria" w:eastAsia="Times New Roman" w:hAnsi="Cambria" w:cs="Times New Roman"/>
                <w:bCs/>
                <w:lang w:val="hr-HR"/>
              </w:rPr>
              <w:t>, Verica, 1944-</w:t>
            </w:r>
            <w:r w:rsidRPr="00DF4CE5">
              <w:rPr>
                <w:rFonts w:ascii="Cambria" w:eastAsia="Times New Roman" w:hAnsi="Cambria" w:cs="Times New Roman"/>
                <w:lang w:val="hr-HR"/>
              </w:rPr>
              <w:br/>
              <w:t xml:space="preserve">Lutka u školi : [priručnik za </w:t>
            </w:r>
            <w:proofErr w:type="spellStart"/>
            <w:r w:rsidRPr="00DF4CE5">
              <w:rPr>
                <w:rFonts w:ascii="Cambria" w:eastAsia="Times New Roman" w:hAnsi="Cambria" w:cs="Times New Roman"/>
                <w:lang w:val="hr-HR"/>
              </w:rPr>
              <w:t>lutkarstvo</w:t>
            </w:r>
            <w:proofErr w:type="spellEnd"/>
            <w:r w:rsidRPr="00DF4CE5">
              <w:rPr>
                <w:rFonts w:ascii="Cambria" w:eastAsia="Times New Roman" w:hAnsi="Cambria" w:cs="Times New Roman"/>
                <w:lang w:val="hr-HR"/>
              </w:rPr>
              <w:t xml:space="preserve"> u nastavi i slobodnim aktivnostima s lutkarskim igrama] / Verica </w:t>
            </w:r>
            <w:proofErr w:type="spellStart"/>
            <w:r w:rsidRPr="00DF4CE5">
              <w:rPr>
                <w:rFonts w:ascii="Cambria" w:eastAsia="Times New Roman" w:hAnsi="Cambria" w:cs="Times New Roman"/>
                <w:lang w:val="hr-HR"/>
              </w:rPr>
              <w:t>Coffou</w:t>
            </w:r>
            <w:proofErr w:type="spellEnd"/>
            <w:r w:rsidRPr="00DF4CE5">
              <w:rPr>
                <w:rFonts w:ascii="Cambria" w:eastAsia="Times New Roman" w:hAnsi="Cambria" w:cs="Times New Roman"/>
                <w:lang w:val="hr-HR"/>
              </w:rPr>
              <w:t xml:space="preserve">. - Zagreb : Školska knjiga, 2004. - 130 str. : </w:t>
            </w:r>
            <w:proofErr w:type="spellStart"/>
            <w:r w:rsidRPr="00DF4CE5">
              <w:rPr>
                <w:rFonts w:ascii="Cambria" w:eastAsia="Times New Roman" w:hAnsi="Cambria" w:cs="Times New Roman"/>
                <w:lang w:val="hr-HR"/>
              </w:rPr>
              <w:t>ilustr</w:t>
            </w:r>
            <w:proofErr w:type="spellEnd"/>
            <w:r w:rsidRPr="00DF4CE5">
              <w:rPr>
                <w:rFonts w:ascii="Cambria" w:eastAsia="Times New Roman" w:hAnsi="Cambria" w:cs="Times New Roman"/>
                <w:lang w:val="hr-HR"/>
              </w:rPr>
              <w:t>. ; 21 cm + 1 CD-ROM</w:t>
            </w:r>
          </w:p>
          <w:p w14:paraId="532326A6" w14:textId="77777777" w:rsidR="00DB76CD" w:rsidRPr="00DF4CE5" w:rsidRDefault="00DB76CD" w:rsidP="00A034E3">
            <w:pPr>
              <w:numPr>
                <w:ilvl w:val="0"/>
                <w:numId w:val="42"/>
              </w:numPr>
              <w:spacing w:after="280" w:line="240" w:lineRule="auto"/>
              <w:contextualSpacing/>
              <w:rPr>
                <w:rFonts w:ascii="Cambria" w:eastAsia="Times New Roman" w:hAnsi="Cambria" w:cs="Times New Roman"/>
                <w:iCs/>
                <w:lang w:val="hr-HR"/>
              </w:rPr>
            </w:pPr>
            <w:r w:rsidRPr="00DF4CE5">
              <w:rPr>
                <w:rFonts w:ascii="Cambria" w:eastAsia="Times New Roman" w:hAnsi="Cambria" w:cs="Times New Roman"/>
                <w:lang w:val="hr-HR"/>
              </w:rPr>
              <w:t xml:space="preserve">Autorica opisuje i objašnjava, te primjerima iz svoje nastavničke prakse pokazuje višestruku primjenu lutke u nastavi i slobodnim aktivnostima - lutka može poslužiti kao terapijsko i edukativno - didaktičko sredstvo, te kao poticaj za kreativno izražavanje djece. Prikazan je rad sa lutkarskom grupom (plan rada grupe, pripremno razdoblje, razdoblje stvaranja predstave). Autorica nas upoznaje i sa procesom nastajanja nekih njenih predstava. U drugom dijelu knjige nalazi se </w:t>
            </w:r>
            <w:r w:rsidRPr="00DF4CE5">
              <w:rPr>
                <w:rFonts w:ascii="Cambria" w:eastAsia="Times New Roman" w:hAnsi="Cambria" w:cs="Times New Roman"/>
                <w:lang w:val="hr-HR"/>
              </w:rPr>
              <w:br/>
              <w:t>zbirka autoričinih lutkarskih igara.</w:t>
            </w:r>
            <w:r w:rsidRPr="00DF4CE5">
              <w:rPr>
                <w:rFonts w:ascii="Cambria" w:eastAsia="Times New Roman" w:hAnsi="Cambria" w:cs="Times New Roman"/>
                <w:lang w:val="hr-HR"/>
              </w:rPr>
              <w:br/>
            </w:r>
            <w:r w:rsidRPr="00DF4CE5">
              <w:rPr>
                <w:rFonts w:ascii="Cambria" w:eastAsia="Times New Roman" w:hAnsi="Cambria" w:cs="Times New Roman"/>
                <w:bCs/>
                <w:iCs/>
                <w:lang w:val="hr-HR"/>
              </w:rPr>
              <w:t>Preporuka: „</w:t>
            </w:r>
            <w:proofErr w:type="spellStart"/>
            <w:r w:rsidRPr="00DF4CE5">
              <w:rPr>
                <w:rFonts w:ascii="Cambria" w:eastAsia="Times New Roman" w:hAnsi="Cambria" w:cs="Times New Roman"/>
                <w:bCs/>
                <w:iCs/>
                <w:lang w:val="hr-HR"/>
              </w:rPr>
              <w:t>Purgernjak</w:t>
            </w:r>
            <w:proofErr w:type="spellEnd"/>
            <w:r w:rsidRPr="00DF4CE5">
              <w:rPr>
                <w:rFonts w:ascii="Cambria" w:eastAsia="Times New Roman" w:hAnsi="Cambria" w:cs="Times New Roman"/>
                <w:bCs/>
                <w:iCs/>
                <w:lang w:val="hr-HR"/>
              </w:rPr>
              <w:t>, dobri duh zagrebački“</w:t>
            </w:r>
            <w:r w:rsidRPr="00DF4CE5">
              <w:rPr>
                <w:rFonts w:ascii="Cambria" w:eastAsia="Times New Roman" w:hAnsi="Cambria" w:cs="Times New Roman"/>
                <w:iCs/>
                <w:lang w:val="hr-HR"/>
              </w:rPr>
              <w:t xml:space="preserve"> / humoristički / </w:t>
            </w:r>
            <w:r w:rsidRPr="00DF4CE5">
              <w:rPr>
                <w:rFonts w:ascii="Cambria" w:eastAsia="Times New Roman" w:hAnsi="Cambria" w:cs="Times New Roman"/>
                <w:bCs/>
                <w:iCs/>
                <w:lang w:val="hr-HR"/>
              </w:rPr>
              <w:t xml:space="preserve">„Prvi put u školi“ </w:t>
            </w:r>
            <w:r w:rsidRPr="00DF4CE5">
              <w:rPr>
                <w:rFonts w:ascii="Cambria" w:eastAsia="Times New Roman" w:hAnsi="Cambria" w:cs="Times New Roman"/>
                <w:iCs/>
                <w:lang w:val="hr-HR"/>
              </w:rPr>
              <w:t>/ prigodni /</w:t>
            </w:r>
          </w:p>
          <w:p w14:paraId="068E8394" w14:textId="77777777" w:rsidR="00DB76CD" w:rsidRPr="00DF4CE5" w:rsidRDefault="00DB76CD" w:rsidP="00A034E3">
            <w:pPr>
              <w:numPr>
                <w:ilvl w:val="0"/>
                <w:numId w:val="42"/>
              </w:numPr>
              <w:spacing w:before="280" w:after="0" w:line="240" w:lineRule="auto"/>
              <w:contextualSpacing/>
              <w:rPr>
                <w:rFonts w:ascii="Cambria" w:eastAsia="Times New Roman" w:hAnsi="Cambria" w:cs="Times New Roman"/>
                <w:lang w:val="hr-HR"/>
              </w:rPr>
            </w:pPr>
            <w:r w:rsidRPr="00DF4CE5">
              <w:rPr>
                <w:rFonts w:ascii="Cambria" w:eastAsia="Times New Roman" w:hAnsi="Cambria" w:cs="Times New Roman"/>
                <w:bCs/>
                <w:lang w:val="hr-HR"/>
              </w:rPr>
              <w:t>Čunčić-</w:t>
            </w:r>
            <w:proofErr w:type="spellStart"/>
            <w:r w:rsidRPr="00DF4CE5">
              <w:rPr>
                <w:rFonts w:ascii="Cambria" w:eastAsia="Times New Roman" w:hAnsi="Cambria" w:cs="Times New Roman"/>
                <w:bCs/>
                <w:lang w:val="hr-HR"/>
              </w:rPr>
              <w:t>Bandov</w:t>
            </w:r>
            <w:proofErr w:type="spellEnd"/>
            <w:r w:rsidRPr="00DF4CE5">
              <w:rPr>
                <w:rFonts w:ascii="Cambria" w:eastAsia="Times New Roman" w:hAnsi="Cambria" w:cs="Times New Roman"/>
                <w:bCs/>
                <w:lang w:val="hr-HR"/>
              </w:rPr>
              <w:t>, Jadranka, 1956-</w:t>
            </w:r>
            <w:r w:rsidRPr="00DF4CE5">
              <w:rPr>
                <w:rFonts w:ascii="Cambria" w:eastAsia="Times New Roman" w:hAnsi="Cambria" w:cs="Times New Roman"/>
                <w:lang w:val="hr-HR"/>
              </w:rPr>
              <w:br/>
              <w:t>Igre sa zmajevima / Jadranka Čunčić-</w:t>
            </w:r>
            <w:proofErr w:type="spellStart"/>
            <w:r w:rsidRPr="00DF4CE5">
              <w:rPr>
                <w:rFonts w:ascii="Cambria" w:eastAsia="Times New Roman" w:hAnsi="Cambria" w:cs="Times New Roman"/>
                <w:lang w:val="hr-HR"/>
              </w:rPr>
              <w:t>Bandov</w:t>
            </w:r>
            <w:proofErr w:type="spellEnd"/>
            <w:r w:rsidRPr="00DF4CE5">
              <w:rPr>
                <w:rFonts w:ascii="Cambria" w:eastAsia="Times New Roman" w:hAnsi="Cambria" w:cs="Times New Roman"/>
                <w:lang w:val="hr-HR"/>
              </w:rPr>
              <w:t xml:space="preserve"> ; &lt;ilustracije Borivoj </w:t>
            </w:r>
            <w:proofErr w:type="spellStart"/>
            <w:r w:rsidRPr="00DF4CE5">
              <w:rPr>
                <w:rFonts w:ascii="Cambria" w:eastAsia="Times New Roman" w:hAnsi="Cambria" w:cs="Times New Roman"/>
                <w:lang w:val="hr-HR"/>
              </w:rPr>
              <w:t>Dovniković</w:t>
            </w:r>
            <w:proofErr w:type="spellEnd"/>
            <w:r w:rsidRPr="00DF4CE5">
              <w:rPr>
                <w:rFonts w:ascii="Cambria" w:eastAsia="Times New Roman" w:hAnsi="Cambria" w:cs="Times New Roman"/>
                <w:lang w:val="hr-HR"/>
              </w:rPr>
              <w:t xml:space="preserve">&gt;. - 4. </w:t>
            </w:r>
            <w:proofErr w:type="spellStart"/>
            <w:r w:rsidRPr="00DF4CE5">
              <w:rPr>
                <w:rFonts w:ascii="Cambria" w:eastAsia="Times New Roman" w:hAnsi="Cambria" w:cs="Times New Roman"/>
                <w:lang w:val="hr-HR"/>
              </w:rPr>
              <w:t>izd</w:t>
            </w:r>
            <w:proofErr w:type="spellEnd"/>
            <w:r w:rsidRPr="00DF4CE5">
              <w:rPr>
                <w:rFonts w:ascii="Cambria" w:eastAsia="Times New Roman" w:hAnsi="Cambria" w:cs="Times New Roman"/>
                <w:lang w:val="hr-HR"/>
              </w:rPr>
              <w:t xml:space="preserve">. - Zagreb : Alfa, 2003. - 135 str. : </w:t>
            </w:r>
            <w:proofErr w:type="spellStart"/>
            <w:r w:rsidRPr="00DF4CE5">
              <w:rPr>
                <w:rFonts w:ascii="Cambria" w:eastAsia="Times New Roman" w:hAnsi="Cambria" w:cs="Times New Roman"/>
                <w:lang w:val="hr-HR"/>
              </w:rPr>
              <w:t>ilustr</w:t>
            </w:r>
            <w:proofErr w:type="spellEnd"/>
            <w:r w:rsidRPr="00DF4CE5">
              <w:rPr>
                <w:rFonts w:ascii="Cambria" w:eastAsia="Times New Roman" w:hAnsi="Cambria" w:cs="Times New Roman"/>
                <w:lang w:val="hr-HR"/>
              </w:rPr>
              <w:t>. ; 21 cm. - (Knjiga za mladež)</w:t>
            </w:r>
          </w:p>
          <w:p w14:paraId="245A6D01" w14:textId="77777777" w:rsidR="00DB76CD" w:rsidRPr="00DF4CE5" w:rsidRDefault="00DB76CD" w:rsidP="00A034E3">
            <w:pPr>
              <w:numPr>
                <w:ilvl w:val="0"/>
                <w:numId w:val="42"/>
              </w:numPr>
              <w:spacing w:before="120" w:after="120" w:line="240" w:lineRule="auto"/>
              <w:contextualSpacing/>
              <w:rPr>
                <w:rFonts w:ascii="Cambria" w:eastAsia="Times New Roman" w:hAnsi="Cambria" w:cs="Times New Roman"/>
                <w:iCs/>
                <w:lang w:val="hr-HR"/>
              </w:rPr>
            </w:pPr>
            <w:r w:rsidRPr="00DF4CE5">
              <w:rPr>
                <w:rFonts w:ascii="Cambria" w:eastAsia="Times New Roman" w:hAnsi="Cambria" w:cs="Times New Roman"/>
                <w:lang w:val="hr-HR"/>
              </w:rPr>
              <w:t xml:space="preserve">Novo, nepromijenjeno izdanje zbirke igrokaza uvrštenih u lektiru za prvi razred osnovne škole. Glavni likovi su biljke (na primjer - gljiva i </w:t>
            </w:r>
            <w:proofErr w:type="spellStart"/>
            <w:r w:rsidRPr="00DF4CE5">
              <w:rPr>
                <w:rFonts w:ascii="Cambria" w:eastAsia="Times New Roman" w:hAnsi="Cambria" w:cs="Times New Roman"/>
                <w:lang w:val="hr-HR"/>
              </w:rPr>
              <w:t>hrastuljak</w:t>
            </w:r>
            <w:proofErr w:type="spellEnd"/>
            <w:r w:rsidRPr="00DF4CE5">
              <w:rPr>
                <w:rFonts w:ascii="Cambria" w:eastAsia="Times New Roman" w:hAnsi="Cambria" w:cs="Times New Roman"/>
                <w:lang w:val="hr-HR"/>
              </w:rPr>
              <w:t xml:space="preserve">) zatim životinje, zmajevi i patuljci, ali i predmeti iz dječje svakodnevice (šešir, vrata, kvaka). Stil je </w:t>
            </w:r>
            <w:proofErr w:type="spellStart"/>
            <w:r w:rsidRPr="00DF4CE5">
              <w:rPr>
                <w:rFonts w:ascii="Cambria" w:eastAsia="Times New Roman" w:hAnsi="Cambria" w:cs="Times New Roman"/>
                <w:lang w:val="hr-HR"/>
              </w:rPr>
              <w:t>jetak</w:t>
            </w:r>
            <w:proofErr w:type="spellEnd"/>
            <w:r w:rsidRPr="00DF4CE5">
              <w:rPr>
                <w:rFonts w:ascii="Cambria" w:eastAsia="Times New Roman" w:hAnsi="Cambria" w:cs="Times New Roman"/>
                <w:lang w:val="hr-HR"/>
              </w:rPr>
              <w:t>, razumljiv i blizak djeci. Brzim listanjem stranica knjige moguće je oživjeti lik zeca</w:t>
            </w:r>
            <w:r w:rsidRPr="00DF4CE5">
              <w:rPr>
                <w:rFonts w:ascii="Cambria" w:eastAsia="Times New Roman" w:hAnsi="Cambria" w:cs="Times New Roman"/>
                <w:lang w:val="hr-HR"/>
              </w:rPr>
              <w:br/>
            </w:r>
            <w:r w:rsidRPr="00DF4CE5">
              <w:rPr>
                <w:rFonts w:ascii="Cambria" w:eastAsia="Times New Roman" w:hAnsi="Cambria" w:cs="Times New Roman"/>
                <w:bCs/>
                <w:iCs/>
                <w:lang w:val="hr-HR"/>
              </w:rPr>
              <w:t>Preporuka : „</w:t>
            </w:r>
            <w:proofErr w:type="spellStart"/>
            <w:r w:rsidRPr="00DF4CE5">
              <w:rPr>
                <w:rFonts w:ascii="Cambria" w:eastAsia="Times New Roman" w:hAnsi="Cambria" w:cs="Times New Roman"/>
                <w:bCs/>
                <w:iCs/>
                <w:lang w:val="hr-HR"/>
              </w:rPr>
              <w:t>Grmuljak</w:t>
            </w:r>
            <w:proofErr w:type="spellEnd"/>
            <w:r w:rsidRPr="00DF4CE5">
              <w:rPr>
                <w:rFonts w:ascii="Cambria" w:eastAsia="Times New Roman" w:hAnsi="Cambria" w:cs="Times New Roman"/>
                <w:bCs/>
                <w:iCs/>
                <w:lang w:val="hr-HR"/>
              </w:rPr>
              <w:t xml:space="preserve"> i </w:t>
            </w:r>
            <w:proofErr w:type="spellStart"/>
            <w:r w:rsidRPr="00DF4CE5">
              <w:rPr>
                <w:rFonts w:ascii="Cambria" w:eastAsia="Times New Roman" w:hAnsi="Cambria" w:cs="Times New Roman"/>
                <w:bCs/>
                <w:iCs/>
                <w:lang w:val="hr-HR"/>
              </w:rPr>
              <w:t>Hrastuljak</w:t>
            </w:r>
            <w:proofErr w:type="spellEnd"/>
            <w:r w:rsidRPr="00DF4CE5">
              <w:rPr>
                <w:rFonts w:ascii="Cambria" w:eastAsia="Times New Roman" w:hAnsi="Cambria" w:cs="Times New Roman"/>
                <w:bCs/>
                <w:iCs/>
                <w:lang w:val="hr-HR"/>
              </w:rPr>
              <w:t xml:space="preserve">“ </w:t>
            </w:r>
            <w:r w:rsidRPr="00DF4CE5">
              <w:rPr>
                <w:rFonts w:ascii="Cambria" w:eastAsia="Times New Roman" w:hAnsi="Cambria" w:cs="Times New Roman"/>
                <w:iCs/>
                <w:lang w:val="hr-HR"/>
              </w:rPr>
              <w:t>/ lutkarska minijatura /</w:t>
            </w:r>
          </w:p>
          <w:p w14:paraId="3C148798" w14:textId="77777777" w:rsidR="00DB76CD" w:rsidRPr="00DF4CE5" w:rsidRDefault="00DB76CD" w:rsidP="00A034E3">
            <w:pPr>
              <w:numPr>
                <w:ilvl w:val="0"/>
                <w:numId w:val="42"/>
              </w:numPr>
              <w:spacing w:before="280" w:after="0" w:line="240" w:lineRule="auto"/>
              <w:contextualSpacing/>
              <w:rPr>
                <w:rFonts w:ascii="Cambria" w:eastAsia="Times New Roman" w:hAnsi="Cambria" w:cs="Times New Roman"/>
                <w:lang w:val="hr-HR"/>
              </w:rPr>
            </w:pPr>
            <w:r w:rsidRPr="00DF4CE5">
              <w:rPr>
                <w:rFonts w:ascii="Cambria" w:eastAsia="Times New Roman" w:hAnsi="Cambria" w:cs="Times New Roman"/>
                <w:bCs/>
                <w:lang w:val="hr-HR"/>
              </w:rPr>
              <w:t>Čunčić-</w:t>
            </w:r>
            <w:proofErr w:type="spellStart"/>
            <w:r w:rsidRPr="00DF4CE5">
              <w:rPr>
                <w:rFonts w:ascii="Cambria" w:eastAsia="Times New Roman" w:hAnsi="Cambria" w:cs="Times New Roman"/>
                <w:bCs/>
                <w:lang w:val="hr-HR"/>
              </w:rPr>
              <w:t>Bandov</w:t>
            </w:r>
            <w:proofErr w:type="spellEnd"/>
            <w:r w:rsidRPr="00DF4CE5">
              <w:rPr>
                <w:rFonts w:ascii="Cambria" w:eastAsia="Times New Roman" w:hAnsi="Cambria" w:cs="Times New Roman"/>
                <w:bCs/>
                <w:lang w:val="hr-HR"/>
              </w:rPr>
              <w:t>, Jadranka, 1956-</w:t>
            </w:r>
            <w:r w:rsidRPr="00DF4CE5">
              <w:rPr>
                <w:rFonts w:ascii="Cambria" w:eastAsia="Times New Roman" w:hAnsi="Cambria" w:cs="Times New Roman"/>
                <w:lang w:val="hr-HR"/>
              </w:rPr>
              <w:br/>
              <w:t>Iju ju! : lutke i igrokazi / Jadranka Čunčić-</w:t>
            </w:r>
            <w:proofErr w:type="spellStart"/>
            <w:r w:rsidRPr="00DF4CE5">
              <w:rPr>
                <w:rFonts w:ascii="Cambria" w:eastAsia="Times New Roman" w:hAnsi="Cambria" w:cs="Times New Roman"/>
                <w:lang w:val="hr-HR"/>
              </w:rPr>
              <w:t>Bandov</w:t>
            </w:r>
            <w:proofErr w:type="spellEnd"/>
            <w:r w:rsidRPr="00DF4CE5">
              <w:rPr>
                <w:rFonts w:ascii="Cambria" w:eastAsia="Times New Roman" w:hAnsi="Cambria" w:cs="Times New Roman"/>
                <w:lang w:val="hr-HR"/>
              </w:rPr>
              <w:t xml:space="preserve"> ; [fotografije </w:t>
            </w:r>
            <w:r w:rsidRPr="00DF4CE5">
              <w:rPr>
                <w:rFonts w:ascii="Cambria" w:eastAsia="Times New Roman" w:hAnsi="Cambria" w:cs="Times New Roman"/>
                <w:lang w:val="hr-HR"/>
              </w:rPr>
              <w:lastRenderedPageBreak/>
              <w:t xml:space="preserve">snimio Hrvoje </w:t>
            </w:r>
            <w:proofErr w:type="spellStart"/>
            <w:r w:rsidRPr="00DF4CE5">
              <w:rPr>
                <w:rFonts w:ascii="Cambria" w:eastAsia="Times New Roman" w:hAnsi="Cambria" w:cs="Times New Roman"/>
                <w:lang w:val="hr-HR"/>
              </w:rPr>
              <w:t>Bandov</w:t>
            </w:r>
            <w:proofErr w:type="spellEnd"/>
            <w:r w:rsidRPr="00DF4CE5">
              <w:rPr>
                <w:rFonts w:ascii="Cambria" w:eastAsia="Times New Roman" w:hAnsi="Cambria" w:cs="Times New Roman"/>
                <w:lang w:val="hr-HR"/>
              </w:rPr>
              <w:t xml:space="preserve">]. - Zagreb : Naklada </w:t>
            </w:r>
            <w:proofErr w:type="spellStart"/>
            <w:r w:rsidRPr="00DF4CE5">
              <w:rPr>
                <w:rFonts w:ascii="Cambria" w:eastAsia="Times New Roman" w:hAnsi="Cambria" w:cs="Times New Roman"/>
                <w:lang w:val="hr-HR"/>
              </w:rPr>
              <w:t>Divič</w:t>
            </w:r>
            <w:proofErr w:type="spellEnd"/>
            <w:r w:rsidRPr="00DF4CE5">
              <w:rPr>
                <w:rFonts w:ascii="Cambria" w:eastAsia="Times New Roman" w:hAnsi="Cambria" w:cs="Times New Roman"/>
                <w:lang w:val="hr-HR"/>
              </w:rPr>
              <w:t xml:space="preserve">, 2005. - 45 str. : </w:t>
            </w:r>
            <w:proofErr w:type="spellStart"/>
            <w:r w:rsidRPr="00DF4CE5">
              <w:rPr>
                <w:rFonts w:ascii="Cambria" w:eastAsia="Times New Roman" w:hAnsi="Cambria" w:cs="Times New Roman"/>
                <w:lang w:val="hr-HR"/>
              </w:rPr>
              <w:t>ilustr</w:t>
            </w:r>
            <w:proofErr w:type="spellEnd"/>
            <w:r w:rsidRPr="00DF4CE5">
              <w:rPr>
                <w:rFonts w:ascii="Cambria" w:eastAsia="Times New Roman" w:hAnsi="Cambria" w:cs="Times New Roman"/>
                <w:lang w:val="hr-HR"/>
              </w:rPr>
              <w:t>. ; 26 cm</w:t>
            </w:r>
          </w:p>
          <w:p w14:paraId="7AA2AFF3" w14:textId="77777777" w:rsidR="00DB76CD" w:rsidRPr="00DF4CE5" w:rsidRDefault="00DB76CD" w:rsidP="00A034E3">
            <w:pPr>
              <w:numPr>
                <w:ilvl w:val="0"/>
                <w:numId w:val="42"/>
              </w:numPr>
              <w:spacing w:before="280" w:after="0" w:line="240" w:lineRule="auto"/>
              <w:contextualSpacing/>
              <w:rPr>
                <w:rFonts w:ascii="Cambria" w:eastAsia="Times New Roman" w:hAnsi="Cambria" w:cs="Times New Roman"/>
                <w:bCs/>
                <w:iCs/>
                <w:lang w:val="hr-HR"/>
              </w:rPr>
            </w:pPr>
            <w:r w:rsidRPr="00DF4CE5">
              <w:rPr>
                <w:rFonts w:ascii="Cambria" w:eastAsia="Times New Roman" w:hAnsi="Cambria" w:cs="Times New Roman"/>
                <w:lang w:val="hr-HR"/>
              </w:rPr>
              <w:t xml:space="preserve">Slikovnica lutaka za scenske igrokaze i slikovnica igrokaza i stihova - za izvođenje i čitanje. Sadrži dvadesetak kratkih igrokaza ilustriranih fotografijama glavnih likova - lutaka, koje je od pedagoško neoblikovanog materijala uz puno mašte i domišljatosti izradila sama autorica. </w:t>
            </w:r>
            <w:r w:rsidRPr="00DF4CE5">
              <w:rPr>
                <w:rFonts w:ascii="Cambria" w:eastAsia="Times New Roman" w:hAnsi="Cambria" w:cs="Times New Roman"/>
                <w:lang w:val="hr-HR"/>
              </w:rPr>
              <w:br/>
            </w:r>
            <w:r w:rsidRPr="00DF4CE5">
              <w:rPr>
                <w:rFonts w:ascii="Cambria" w:eastAsia="Times New Roman" w:hAnsi="Cambria" w:cs="Times New Roman"/>
                <w:bCs/>
                <w:iCs/>
                <w:lang w:val="hr-HR"/>
              </w:rPr>
              <w:t xml:space="preserve">Preporuka: „Lijeni </w:t>
            </w:r>
            <w:proofErr w:type="spellStart"/>
            <w:r w:rsidRPr="00DF4CE5">
              <w:rPr>
                <w:rFonts w:ascii="Cambria" w:eastAsia="Times New Roman" w:hAnsi="Cambria" w:cs="Times New Roman"/>
                <w:bCs/>
                <w:iCs/>
                <w:lang w:val="hr-HR"/>
              </w:rPr>
              <w:t>Pujcek</w:t>
            </w:r>
            <w:proofErr w:type="spellEnd"/>
            <w:r w:rsidRPr="00DF4CE5">
              <w:rPr>
                <w:rFonts w:ascii="Cambria" w:eastAsia="Times New Roman" w:hAnsi="Cambria" w:cs="Times New Roman"/>
                <w:bCs/>
                <w:iCs/>
                <w:lang w:val="hr-HR"/>
              </w:rPr>
              <w:t>“ , „Lav i žirafa“., “</w:t>
            </w:r>
            <w:proofErr w:type="spellStart"/>
            <w:r w:rsidRPr="00DF4CE5">
              <w:rPr>
                <w:rFonts w:ascii="Cambria" w:eastAsia="Times New Roman" w:hAnsi="Cambria" w:cs="Times New Roman"/>
                <w:bCs/>
                <w:iCs/>
                <w:lang w:val="hr-HR"/>
              </w:rPr>
              <w:t>Jooj</w:t>
            </w:r>
            <w:proofErr w:type="spellEnd"/>
            <w:r w:rsidRPr="00DF4CE5">
              <w:rPr>
                <w:rFonts w:ascii="Cambria" w:eastAsia="Times New Roman" w:hAnsi="Cambria" w:cs="Times New Roman"/>
                <w:bCs/>
                <w:iCs/>
                <w:lang w:val="hr-HR"/>
              </w:rPr>
              <w:t xml:space="preserve"> šala”, “Zeko i snjegović”</w:t>
            </w:r>
          </w:p>
          <w:p w14:paraId="4E450665" w14:textId="77777777" w:rsidR="00DB76CD" w:rsidRPr="00DF4CE5" w:rsidRDefault="00DB76CD" w:rsidP="00A034E3">
            <w:pPr>
              <w:numPr>
                <w:ilvl w:val="0"/>
                <w:numId w:val="42"/>
              </w:numPr>
              <w:spacing w:before="280" w:after="280" w:line="240" w:lineRule="auto"/>
              <w:contextualSpacing/>
              <w:rPr>
                <w:rFonts w:ascii="Cambria" w:eastAsia="Times New Roman" w:hAnsi="Cambria" w:cs="Times New Roman"/>
                <w:lang w:val="hr-HR"/>
              </w:rPr>
            </w:pPr>
            <w:r w:rsidRPr="00DF4CE5">
              <w:rPr>
                <w:rFonts w:ascii="Cambria" w:eastAsia="Times New Roman" w:hAnsi="Cambria" w:cs="Times New Roman"/>
                <w:bCs/>
                <w:lang w:val="hr-HR"/>
              </w:rPr>
              <w:t>Čunčić-</w:t>
            </w:r>
            <w:proofErr w:type="spellStart"/>
            <w:r w:rsidRPr="00DF4CE5">
              <w:rPr>
                <w:rFonts w:ascii="Cambria" w:eastAsia="Times New Roman" w:hAnsi="Cambria" w:cs="Times New Roman"/>
                <w:bCs/>
                <w:lang w:val="hr-HR"/>
              </w:rPr>
              <w:t>Bandov</w:t>
            </w:r>
            <w:proofErr w:type="spellEnd"/>
            <w:r w:rsidRPr="00DF4CE5">
              <w:rPr>
                <w:rFonts w:ascii="Cambria" w:eastAsia="Times New Roman" w:hAnsi="Cambria" w:cs="Times New Roman"/>
                <w:bCs/>
                <w:lang w:val="hr-HR"/>
              </w:rPr>
              <w:t>, Jadranka, 1956-</w:t>
            </w:r>
            <w:r w:rsidRPr="00DF4CE5">
              <w:rPr>
                <w:rFonts w:ascii="Cambria" w:eastAsia="Times New Roman" w:hAnsi="Cambria" w:cs="Times New Roman"/>
                <w:lang w:val="hr-HR"/>
              </w:rPr>
              <w:br/>
              <w:t xml:space="preserve">Od jarca do komarca : lutkarske minijature / Jadranka Čunčić - </w:t>
            </w:r>
            <w:proofErr w:type="spellStart"/>
            <w:r w:rsidRPr="00DF4CE5">
              <w:rPr>
                <w:rFonts w:ascii="Cambria" w:eastAsia="Times New Roman" w:hAnsi="Cambria" w:cs="Times New Roman"/>
                <w:lang w:val="hr-HR"/>
              </w:rPr>
              <w:t>Bandov</w:t>
            </w:r>
            <w:proofErr w:type="spellEnd"/>
            <w:r w:rsidRPr="00DF4CE5">
              <w:rPr>
                <w:rFonts w:ascii="Cambria" w:eastAsia="Times New Roman" w:hAnsi="Cambria" w:cs="Times New Roman"/>
                <w:lang w:val="hr-HR"/>
              </w:rPr>
              <w:t xml:space="preserve">. - Zagreb : Međunarodni centar za usluge u kulturi, 1993. - 90 str. : </w:t>
            </w:r>
            <w:proofErr w:type="spellStart"/>
            <w:r w:rsidRPr="00DF4CE5">
              <w:rPr>
                <w:rFonts w:ascii="Cambria" w:eastAsia="Times New Roman" w:hAnsi="Cambria" w:cs="Times New Roman"/>
                <w:lang w:val="hr-HR"/>
              </w:rPr>
              <w:t>ilustr</w:t>
            </w:r>
            <w:proofErr w:type="spellEnd"/>
            <w:r w:rsidRPr="00DF4CE5">
              <w:rPr>
                <w:rFonts w:ascii="Cambria" w:eastAsia="Times New Roman" w:hAnsi="Cambria" w:cs="Times New Roman"/>
                <w:lang w:val="hr-HR"/>
              </w:rPr>
              <w:t xml:space="preserve">. ; 20 cm. - (Biblioteka </w:t>
            </w:r>
            <w:proofErr w:type="spellStart"/>
            <w:r w:rsidRPr="00DF4CE5">
              <w:rPr>
                <w:rFonts w:ascii="Cambria" w:eastAsia="Times New Roman" w:hAnsi="Cambria" w:cs="Times New Roman"/>
                <w:lang w:val="hr-HR"/>
              </w:rPr>
              <w:t>Lutkanija</w:t>
            </w:r>
            <w:proofErr w:type="spellEnd"/>
            <w:r w:rsidRPr="00DF4CE5">
              <w:rPr>
                <w:rFonts w:ascii="Cambria" w:eastAsia="Times New Roman" w:hAnsi="Cambria" w:cs="Times New Roman"/>
                <w:lang w:val="hr-HR"/>
              </w:rPr>
              <w:t xml:space="preserve">) </w:t>
            </w:r>
            <w:r w:rsidRPr="00DF4CE5">
              <w:rPr>
                <w:rFonts w:ascii="Cambria" w:eastAsia="Times New Roman" w:hAnsi="Cambria" w:cs="Times New Roman"/>
                <w:bCs/>
                <w:iCs/>
                <w:lang w:val="hr-HR"/>
              </w:rPr>
              <w:t>Preporuka: „Zaljubljeni žabac“, „Lav i papiga“, „</w:t>
            </w:r>
            <w:proofErr w:type="spellStart"/>
            <w:r w:rsidRPr="00DF4CE5">
              <w:rPr>
                <w:rFonts w:ascii="Cambria" w:eastAsia="Times New Roman" w:hAnsi="Cambria" w:cs="Times New Roman"/>
                <w:bCs/>
                <w:iCs/>
                <w:lang w:val="hr-HR"/>
              </w:rPr>
              <w:t>Điđipal</w:t>
            </w:r>
            <w:proofErr w:type="spellEnd"/>
            <w:r w:rsidRPr="00DF4CE5">
              <w:rPr>
                <w:rFonts w:ascii="Cambria" w:eastAsia="Times New Roman" w:hAnsi="Cambria" w:cs="Times New Roman"/>
                <w:bCs/>
                <w:iCs/>
                <w:lang w:val="hr-HR"/>
              </w:rPr>
              <w:t xml:space="preserve"> i </w:t>
            </w:r>
            <w:proofErr w:type="spellStart"/>
            <w:r w:rsidRPr="00DF4CE5">
              <w:rPr>
                <w:rFonts w:ascii="Cambria" w:eastAsia="Times New Roman" w:hAnsi="Cambria" w:cs="Times New Roman"/>
                <w:bCs/>
                <w:iCs/>
                <w:lang w:val="hr-HR"/>
              </w:rPr>
              <w:t>Điđilija</w:t>
            </w:r>
            <w:proofErr w:type="spellEnd"/>
            <w:r w:rsidRPr="00DF4CE5">
              <w:rPr>
                <w:rFonts w:ascii="Cambria" w:eastAsia="Times New Roman" w:hAnsi="Cambria" w:cs="Times New Roman"/>
                <w:bCs/>
                <w:iCs/>
                <w:lang w:val="hr-HR"/>
              </w:rPr>
              <w:t>“, „Tikva i miš“, „Krokodil turist“</w:t>
            </w:r>
          </w:p>
          <w:p w14:paraId="49133A1E" w14:textId="77777777" w:rsidR="00DB76CD" w:rsidRPr="00DF4CE5" w:rsidRDefault="00DB76CD" w:rsidP="00A034E3">
            <w:pPr>
              <w:numPr>
                <w:ilvl w:val="0"/>
                <w:numId w:val="42"/>
              </w:numPr>
              <w:spacing w:before="280" w:after="0" w:line="240" w:lineRule="auto"/>
              <w:contextualSpacing/>
              <w:rPr>
                <w:rFonts w:ascii="Cambria" w:eastAsia="Times New Roman" w:hAnsi="Cambria" w:cs="Times New Roman"/>
                <w:lang w:val="hr-HR"/>
              </w:rPr>
            </w:pPr>
            <w:r w:rsidRPr="00DF4CE5">
              <w:rPr>
                <w:rFonts w:ascii="Cambria" w:eastAsia="Times New Roman" w:hAnsi="Cambria" w:cs="Times New Roman"/>
                <w:bCs/>
                <w:lang w:val="hr-HR"/>
              </w:rPr>
              <w:t>Čunčić-</w:t>
            </w:r>
            <w:proofErr w:type="spellStart"/>
            <w:r w:rsidRPr="00DF4CE5">
              <w:rPr>
                <w:rFonts w:ascii="Cambria" w:eastAsia="Times New Roman" w:hAnsi="Cambria" w:cs="Times New Roman"/>
                <w:bCs/>
                <w:lang w:val="hr-HR"/>
              </w:rPr>
              <w:t>Bandov</w:t>
            </w:r>
            <w:proofErr w:type="spellEnd"/>
            <w:r w:rsidRPr="00DF4CE5">
              <w:rPr>
                <w:rFonts w:ascii="Cambria" w:eastAsia="Times New Roman" w:hAnsi="Cambria" w:cs="Times New Roman"/>
                <w:bCs/>
                <w:lang w:val="hr-HR"/>
              </w:rPr>
              <w:t>, Jadranka, 1956-</w:t>
            </w:r>
            <w:r w:rsidRPr="00DF4CE5">
              <w:rPr>
                <w:rFonts w:ascii="Cambria" w:eastAsia="Times New Roman" w:hAnsi="Cambria" w:cs="Times New Roman"/>
                <w:lang w:val="hr-HR"/>
              </w:rPr>
              <w:br/>
              <w:t>Puž na raskrižju / Jadranka Čunčić-</w:t>
            </w:r>
            <w:proofErr w:type="spellStart"/>
            <w:r w:rsidRPr="00DF4CE5">
              <w:rPr>
                <w:rFonts w:ascii="Cambria" w:eastAsia="Times New Roman" w:hAnsi="Cambria" w:cs="Times New Roman"/>
                <w:lang w:val="hr-HR"/>
              </w:rPr>
              <w:t>Bandov</w:t>
            </w:r>
            <w:proofErr w:type="spellEnd"/>
            <w:r w:rsidRPr="00DF4CE5">
              <w:rPr>
                <w:rFonts w:ascii="Cambria" w:eastAsia="Times New Roman" w:hAnsi="Cambria" w:cs="Times New Roman"/>
                <w:lang w:val="hr-HR"/>
              </w:rPr>
              <w:t xml:space="preserve"> ; ilustrirala Barbara </w:t>
            </w:r>
            <w:proofErr w:type="spellStart"/>
            <w:r w:rsidRPr="00DF4CE5">
              <w:rPr>
                <w:rFonts w:ascii="Cambria" w:eastAsia="Times New Roman" w:hAnsi="Cambria" w:cs="Times New Roman"/>
                <w:lang w:val="hr-HR"/>
              </w:rPr>
              <w:t>LonjakZlopaša</w:t>
            </w:r>
            <w:proofErr w:type="spellEnd"/>
            <w:r w:rsidRPr="00DF4CE5">
              <w:rPr>
                <w:rFonts w:ascii="Cambria" w:eastAsia="Times New Roman" w:hAnsi="Cambria" w:cs="Times New Roman"/>
                <w:lang w:val="hr-HR"/>
              </w:rPr>
              <w:t xml:space="preserve">. - Zagreb : Profil International, &lt;2002?&gt;. - 72 str. : </w:t>
            </w:r>
            <w:proofErr w:type="spellStart"/>
            <w:r w:rsidRPr="00DF4CE5">
              <w:rPr>
                <w:rFonts w:ascii="Cambria" w:eastAsia="Times New Roman" w:hAnsi="Cambria" w:cs="Times New Roman"/>
                <w:lang w:val="hr-HR"/>
              </w:rPr>
              <w:t>ilustr</w:t>
            </w:r>
            <w:proofErr w:type="spellEnd"/>
            <w:r w:rsidRPr="00DF4CE5">
              <w:rPr>
                <w:rFonts w:ascii="Cambria" w:eastAsia="Times New Roman" w:hAnsi="Cambria" w:cs="Times New Roman"/>
                <w:lang w:val="hr-HR"/>
              </w:rPr>
              <w:t>. ; 25 cm. - (Biblioteka Leptir)</w:t>
            </w:r>
          </w:p>
          <w:p w14:paraId="01A95A2F" w14:textId="77777777" w:rsidR="00DB76CD" w:rsidRPr="00DF4CE5" w:rsidRDefault="00DB76CD" w:rsidP="00A034E3">
            <w:pPr>
              <w:numPr>
                <w:ilvl w:val="0"/>
                <w:numId w:val="42"/>
              </w:numPr>
              <w:spacing w:before="120" w:after="280" w:line="240" w:lineRule="auto"/>
              <w:contextualSpacing/>
              <w:rPr>
                <w:rFonts w:ascii="Cambria" w:eastAsia="Times New Roman" w:hAnsi="Cambria" w:cs="Times New Roman"/>
                <w:iCs/>
                <w:lang w:val="hr-HR"/>
              </w:rPr>
            </w:pPr>
            <w:r w:rsidRPr="00DF4CE5">
              <w:rPr>
                <w:rFonts w:ascii="Cambria" w:eastAsia="Times New Roman" w:hAnsi="Cambria" w:cs="Times New Roman"/>
                <w:lang w:val="hr-HR"/>
              </w:rPr>
              <w:t>"Dobrodošli u svijet igrokaza" - riječi su dobrodošlice na početku ove zanimljive zbirke igrokaza za svaku priliku: proljeće, ljeto, jesen i zimu, Božić i Uskrs. Tekstovi su jednostavni i kratki, te stoga vrlo lako savladivi i upotrebljivi za razne zgode u školama, vrtićima i knjižnicama..</w:t>
            </w:r>
            <w:r w:rsidRPr="00DF4CE5">
              <w:rPr>
                <w:rFonts w:ascii="Cambria" w:eastAsia="Times New Roman" w:hAnsi="Cambria" w:cs="Times New Roman"/>
                <w:lang w:val="hr-HR"/>
              </w:rPr>
              <w:br/>
            </w:r>
            <w:r w:rsidRPr="00DF4CE5">
              <w:rPr>
                <w:rFonts w:ascii="Cambria" w:eastAsia="Times New Roman" w:hAnsi="Cambria" w:cs="Times New Roman"/>
                <w:bCs/>
                <w:iCs/>
                <w:lang w:val="hr-HR"/>
              </w:rPr>
              <w:t xml:space="preserve">Preporuka: „Torba kraj puta“ </w:t>
            </w:r>
            <w:r w:rsidRPr="00DF4CE5">
              <w:rPr>
                <w:rFonts w:ascii="Cambria" w:eastAsia="Times New Roman" w:hAnsi="Cambria" w:cs="Times New Roman"/>
                <w:iCs/>
                <w:lang w:val="hr-HR"/>
              </w:rPr>
              <w:t xml:space="preserve">/ početak škole / , </w:t>
            </w:r>
            <w:r w:rsidRPr="00DF4CE5">
              <w:rPr>
                <w:rFonts w:ascii="Cambria" w:eastAsia="Times New Roman" w:hAnsi="Cambria" w:cs="Times New Roman"/>
                <w:bCs/>
                <w:iCs/>
                <w:lang w:val="hr-HR"/>
              </w:rPr>
              <w:t xml:space="preserve">“Travko i </w:t>
            </w:r>
            <w:proofErr w:type="spellStart"/>
            <w:r w:rsidRPr="00DF4CE5">
              <w:rPr>
                <w:rFonts w:ascii="Cambria" w:eastAsia="Times New Roman" w:hAnsi="Cambria" w:cs="Times New Roman"/>
                <w:bCs/>
                <w:iCs/>
                <w:lang w:val="hr-HR"/>
              </w:rPr>
              <w:t>Mravko</w:t>
            </w:r>
            <w:proofErr w:type="spellEnd"/>
            <w:r w:rsidRPr="00DF4CE5">
              <w:rPr>
                <w:rFonts w:ascii="Cambria" w:eastAsia="Times New Roman" w:hAnsi="Cambria" w:cs="Times New Roman"/>
                <w:bCs/>
                <w:iCs/>
                <w:lang w:val="hr-HR"/>
              </w:rPr>
              <w:t xml:space="preserve">”, </w:t>
            </w:r>
            <w:r w:rsidRPr="00DF4CE5">
              <w:rPr>
                <w:rFonts w:ascii="Cambria" w:eastAsia="Times New Roman" w:hAnsi="Cambria" w:cs="Times New Roman"/>
                <w:iCs/>
                <w:lang w:val="hr-HR"/>
              </w:rPr>
              <w:t>”</w:t>
            </w:r>
            <w:r w:rsidRPr="00DF4CE5">
              <w:rPr>
                <w:rFonts w:ascii="Cambria" w:eastAsia="Times New Roman" w:hAnsi="Cambria" w:cs="Times New Roman"/>
                <w:bCs/>
                <w:iCs/>
                <w:lang w:val="hr-HR"/>
              </w:rPr>
              <w:t xml:space="preserve">Jesenska garderoba” </w:t>
            </w:r>
            <w:r w:rsidRPr="00DF4CE5">
              <w:rPr>
                <w:rFonts w:ascii="Cambria" w:eastAsia="Times New Roman" w:hAnsi="Cambria" w:cs="Times New Roman"/>
                <w:iCs/>
                <w:lang w:val="hr-HR"/>
              </w:rPr>
              <w:t xml:space="preserve">/ jesen / </w:t>
            </w:r>
            <w:r w:rsidRPr="00DF4CE5">
              <w:rPr>
                <w:rFonts w:ascii="Cambria" w:eastAsia="Times New Roman" w:hAnsi="Cambria" w:cs="Times New Roman"/>
                <w:bCs/>
                <w:iCs/>
                <w:lang w:val="hr-HR"/>
              </w:rPr>
              <w:t xml:space="preserve">„Zimski san“ </w:t>
            </w:r>
            <w:r w:rsidRPr="00DF4CE5">
              <w:rPr>
                <w:rFonts w:ascii="Cambria" w:eastAsia="Times New Roman" w:hAnsi="Cambria" w:cs="Times New Roman"/>
                <w:iCs/>
                <w:lang w:val="hr-HR"/>
              </w:rPr>
              <w:t xml:space="preserve">/ zima / </w:t>
            </w:r>
            <w:r w:rsidRPr="00DF4CE5">
              <w:rPr>
                <w:rFonts w:ascii="Cambria" w:eastAsia="Times New Roman" w:hAnsi="Cambria" w:cs="Times New Roman"/>
                <w:bCs/>
                <w:iCs/>
                <w:lang w:val="hr-HR"/>
              </w:rPr>
              <w:t>„Božićni ukras”</w:t>
            </w:r>
            <w:r w:rsidRPr="00DF4CE5">
              <w:rPr>
                <w:rFonts w:ascii="Cambria" w:eastAsia="Times New Roman" w:hAnsi="Cambria" w:cs="Times New Roman"/>
                <w:iCs/>
                <w:lang w:val="hr-HR"/>
              </w:rPr>
              <w:t xml:space="preserve"> / Božić /, </w:t>
            </w:r>
            <w:r w:rsidRPr="00DF4CE5">
              <w:rPr>
                <w:rFonts w:ascii="Cambria" w:eastAsia="Times New Roman" w:hAnsi="Cambria" w:cs="Times New Roman"/>
                <w:bCs/>
                <w:iCs/>
                <w:lang w:val="hr-HR"/>
              </w:rPr>
              <w:t xml:space="preserve">“Skakutavi skakavac” </w:t>
            </w:r>
            <w:r w:rsidRPr="00DF4CE5">
              <w:rPr>
                <w:rFonts w:ascii="Cambria" w:eastAsia="Times New Roman" w:hAnsi="Cambria" w:cs="Times New Roman"/>
                <w:iCs/>
                <w:lang w:val="hr-HR"/>
              </w:rPr>
              <w:t xml:space="preserve">/ proljeće/, </w:t>
            </w:r>
            <w:r w:rsidRPr="00DF4CE5">
              <w:rPr>
                <w:rFonts w:ascii="Cambria" w:eastAsia="Times New Roman" w:hAnsi="Cambria" w:cs="Times New Roman"/>
                <w:bCs/>
                <w:iCs/>
                <w:lang w:val="hr-HR"/>
              </w:rPr>
              <w:t xml:space="preserve">„Hvalisave pisanice“ </w:t>
            </w:r>
            <w:r w:rsidRPr="00DF4CE5">
              <w:rPr>
                <w:rFonts w:ascii="Cambria" w:eastAsia="Times New Roman" w:hAnsi="Cambria" w:cs="Times New Roman"/>
                <w:iCs/>
                <w:lang w:val="hr-HR"/>
              </w:rPr>
              <w:t>/ Uskrs/</w:t>
            </w:r>
            <w:r w:rsidRPr="00DF4CE5">
              <w:rPr>
                <w:rFonts w:ascii="Cambria" w:eastAsia="Times New Roman" w:hAnsi="Cambria" w:cs="Times New Roman"/>
                <w:bCs/>
                <w:iCs/>
                <w:lang w:val="hr-HR"/>
              </w:rPr>
              <w:t xml:space="preserve">„Morska svadba“ </w:t>
            </w:r>
            <w:r w:rsidRPr="00DF4CE5">
              <w:rPr>
                <w:rFonts w:ascii="Cambria" w:eastAsia="Times New Roman" w:hAnsi="Cambria" w:cs="Times New Roman"/>
                <w:iCs/>
                <w:lang w:val="hr-HR"/>
              </w:rPr>
              <w:t>/ ljeto/</w:t>
            </w:r>
          </w:p>
          <w:p w14:paraId="58F562E9" w14:textId="77777777" w:rsidR="00DB76CD" w:rsidRPr="00DF4CE5" w:rsidRDefault="00DB76CD" w:rsidP="00A034E3">
            <w:pPr>
              <w:numPr>
                <w:ilvl w:val="0"/>
                <w:numId w:val="42"/>
              </w:numPr>
              <w:spacing w:before="280" w:after="280" w:line="240" w:lineRule="auto"/>
              <w:contextualSpacing/>
              <w:rPr>
                <w:rFonts w:ascii="Cambria" w:eastAsia="Times New Roman" w:hAnsi="Cambria" w:cs="Times New Roman"/>
                <w:bCs/>
                <w:iCs/>
                <w:lang w:val="hr-HR"/>
              </w:rPr>
            </w:pPr>
            <w:r w:rsidRPr="00DF4CE5">
              <w:rPr>
                <w:rFonts w:ascii="Cambria" w:eastAsia="Times New Roman" w:hAnsi="Cambria" w:cs="Times New Roman"/>
                <w:bCs/>
                <w:lang w:val="hr-HR"/>
              </w:rPr>
              <w:t>Čunčić-</w:t>
            </w:r>
            <w:proofErr w:type="spellStart"/>
            <w:r w:rsidRPr="00DF4CE5">
              <w:rPr>
                <w:rFonts w:ascii="Cambria" w:eastAsia="Times New Roman" w:hAnsi="Cambria" w:cs="Times New Roman"/>
                <w:bCs/>
                <w:lang w:val="hr-HR"/>
              </w:rPr>
              <w:t>Bandov</w:t>
            </w:r>
            <w:proofErr w:type="spellEnd"/>
            <w:r w:rsidRPr="00DF4CE5">
              <w:rPr>
                <w:rFonts w:ascii="Cambria" w:eastAsia="Times New Roman" w:hAnsi="Cambria" w:cs="Times New Roman"/>
                <w:bCs/>
                <w:lang w:val="hr-HR"/>
              </w:rPr>
              <w:t>, Jadranka, 1956-</w:t>
            </w:r>
            <w:r w:rsidRPr="00DF4CE5">
              <w:rPr>
                <w:rFonts w:ascii="Cambria" w:eastAsia="Times New Roman" w:hAnsi="Cambria" w:cs="Times New Roman"/>
                <w:lang w:val="hr-HR"/>
              </w:rPr>
              <w:br/>
              <w:t xml:space="preserve">Razgovori u travi : lutkarske igre / Jadranka Čunčić. - Zagreb : Savez društava Naša djeca SR Hrvatske, 1981. - 53 str. ; 21 cm </w:t>
            </w:r>
            <w:r w:rsidRPr="00DF4CE5">
              <w:rPr>
                <w:rFonts w:ascii="Cambria" w:eastAsia="Times New Roman" w:hAnsi="Cambria" w:cs="Times New Roman"/>
                <w:bCs/>
                <w:iCs/>
                <w:lang w:val="hr-HR"/>
              </w:rPr>
              <w:t>Preporuka: „Zaljubljeni žabac“ , „Slon i miš“, „Klaun i novinar“</w:t>
            </w:r>
          </w:p>
          <w:p w14:paraId="58E07A6F" w14:textId="77777777" w:rsidR="00DB76CD" w:rsidRPr="00DF4CE5" w:rsidRDefault="00DB76CD" w:rsidP="00A034E3">
            <w:pPr>
              <w:numPr>
                <w:ilvl w:val="0"/>
                <w:numId w:val="42"/>
              </w:numPr>
              <w:spacing w:before="280" w:after="280" w:line="240" w:lineRule="auto"/>
              <w:contextualSpacing/>
              <w:rPr>
                <w:rFonts w:ascii="Cambria" w:eastAsia="Times New Roman" w:hAnsi="Cambria" w:cs="Times New Roman"/>
                <w:lang w:val="hr-HR"/>
              </w:rPr>
            </w:pPr>
            <w:r w:rsidRPr="00DF4CE5">
              <w:rPr>
                <w:rFonts w:ascii="Cambria" w:eastAsia="Times New Roman" w:hAnsi="Cambria" w:cs="Times New Roman"/>
                <w:bCs/>
                <w:lang w:val="hr-HR"/>
              </w:rPr>
              <w:t>Čunčić-</w:t>
            </w:r>
            <w:proofErr w:type="spellStart"/>
            <w:r w:rsidRPr="00DF4CE5">
              <w:rPr>
                <w:rFonts w:ascii="Cambria" w:eastAsia="Times New Roman" w:hAnsi="Cambria" w:cs="Times New Roman"/>
                <w:bCs/>
                <w:lang w:val="hr-HR"/>
              </w:rPr>
              <w:t>Bandov</w:t>
            </w:r>
            <w:proofErr w:type="spellEnd"/>
            <w:r w:rsidRPr="00DF4CE5">
              <w:rPr>
                <w:rFonts w:ascii="Cambria" w:eastAsia="Times New Roman" w:hAnsi="Cambria" w:cs="Times New Roman"/>
                <w:bCs/>
                <w:lang w:val="hr-HR"/>
              </w:rPr>
              <w:t>, Jadranka, 1956-</w:t>
            </w:r>
            <w:r w:rsidRPr="00DF4CE5">
              <w:rPr>
                <w:rFonts w:ascii="Cambria" w:eastAsia="Times New Roman" w:hAnsi="Cambria" w:cs="Times New Roman"/>
                <w:lang w:val="hr-HR"/>
              </w:rPr>
              <w:br/>
              <w:t xml:space="preserve">Šale, trice, </w:t>
            </w:r>
            <w:proofErr w:type="spellStart"/>
            <w:r w:rsidRPr="00DF4CE5">
              <w:rPr>
                <w:rFonts w:ascii="Cambria" w:eastAsia="Times New Roman" w:hAnsi="Cambria" w:cs="Times New Roman"/>
                <w:lang w:val="hr-HR"/>
              </w:rPr>
              <w:t>zvrndalice</w:t>
            </w:r>
            <w:proofErr w:type="spellEnd"/>
            <w:r w:rsidRPr="00DF4CE5">
              <w:rPr>
                <w:rFonts w:ascii="Cambria" w:eastAsia="Times New Roman" w:hAnsi="Cambria" w:cs="Times New Roman"/>
                <w:lang w:val="hr-HR"/>
              </w:rPr>
              <w:t xml:space="preserve"> / Jadranka Čunčić-</w:t>
            </w:r>
            <w:proofErr w:type="spellStart"/>
            <w:r w:rsidRPr="00DF4CE5">
              <w:rPr>
                <w:rFonts w:ascii="Cambria" w:eastAsia="Times New Roman" w:hAnsi="Cambria" w:cs="Times New Roman"/>
                <w:lang w:val="hr-HR"/>
              </w:rPr>
              <w:t>Bandov</w:t>
            </w:r>
            <w:proofErr w:type="spellEnd"/>
            <w:r w:rsidRPr="00DF4CE5">
              <w:rPr>
                <w:rFonts w:ascii="Cambria" w:eastAsia="Times New Roman" w:hAnsi="Cambria" w:cs="Times New Roman"/>
                <w:lang w:val="hr-HR"/>
              </w:rPr>
              <w:t xml:space="preserve"> ; &lt;ilustracije Dubravko </w:t>
            </w:r>
            <w:proofErr w:type="spellStart"/>
            <w:r w:rsidRPr="00DF4CE5">
              <w:rPr>
                <w:rFonts w:ascii="Cambria" w:eastAsia="Times New Roman" w:hAnsi="Cambria" w:cs="Times New Roman"/>
                <w:lang w:val="hr-HR"/>
              </w:rPr>
              <w:t>Kastrapeli</w:t>
            </w:r>
            <w:proofErr w:type="spellEnd"/>
            <w:r w:rsidRPr="00DF4CE5">
              <w:rPr>
                <w:rFonts w:ascii="Cambria" w:eastAsia="Times New Roman" w:hAnsi="Cambria" w:cs="Times New Roman"/>
                <w:lang w:val="hr-HR"/>
              </w:rPr>
              <w:t xml:space="preserve">&gt;. - Zagreb : Alfa, 1999. - 88 str. : </w:t>
            </w:r>
            <w:proofErr w:type="spellStart"/>
            <w:r w:rsidRPr="00DF4CE5">
              <w:rPr>
                <w:rFonts w:ascii="Cambria" w:eastAsia="Times New Roman" w:hAnsi="Cambria" w:cs="Times New Roman"/>
                <w:lang w:val="hr-HR"/>
              </w:rPr>
              <w:t>ilustr</w:t>
            </w:r>
            <w:proofErr w:type="spellEnd"/>
            <w:r w:rsidRPr="00DF4CE5">
              <w:rPr>
                <w:rFonts w:ascii="Cambria" w:eastAsia="Times New Roman" w:hAnsi="Cambria" w:cs="Times New Roman"/>
                <w:lang w:val="hr-HR"/>
              </w:rPr>
              <w:t>. ; 21 cm. - (Knjiga za mladež)</w:t>
            </w:r>
          </w:p>
          <w:p w14:paraId="36C5C7F2" w14:textId="77777777" w:rsidR="00DB76CD" w:rsidRPr="00DF4CE5" w:rsidRDefault="00DB76CD" w:rsidP="00A034E3">
            <w:pPr>
              <w:numPr>
                <w:ilvl w:val="0"/>
                <w:numId w:val="42"/>
              </w:numPr>
              <w:spacing w:before="280" w:after="280" w:line="240" w:lineRule="auto"/>
              <w:contextualSpacing/>
              <w:rPr>
                <w:rFonts w:ascii="Cambria" w:eastAsia="Times New Roman" w:hAnsi="Cambria" w:cs="Times New Roman"/>
                <w:bCs/>
                <w:iCs/>
                <w:lang w:val="hr-HR"/>
              </w:rPr>
            </w:pPr>
            <w:r w:rsidRPr="00DF4CE5">
              <w:rPr>
                <w:rFonts w:ascii="Cambria" w:eastAsia="Times New Roman" w:hAnsi="Cambria" w:cs="Times New Roman"/>
                <w:lang w:val="hr-HR"/>
              </w:rPr>
              <w:t>U sedam ciklusa, skupilo se šezdesetak lutkarskih igara. Pratimo stanja, razmišljanja i zgode stanovnika zraka (bubice, leptiri, pčelice), zemlje (domaće i šumske životinje, čak i jedan slon) i vode (žabe, ribe, morski ježevi, hobotnica). Ima tu i biljaka (tikve, gljive), a i dječaka i djevojčica. Tu su još i vile, Sveti Nikola, a gdje je on, tu je i Krampus. Napravimo lutkice i predstava može započeti!</w:t>
            </w:r>
            <w:r w:rsidRPr="00DF4CE5">
              <w:rPr>
                <w:rFonts w:ascii="Cambria" w:eastAsia="Times New Roman" w:hAnsi="Cambria" w:cs="Times New Roman"/>
                <w:lang w:val="hr-HR"/>
              </w:rPr>
              <w:br/>
            </w:r>
            <w:r w:rsidRPr="00DF4CE5">
              <w:rPr>
                <w:rFonts w:ascii="Cambria" w:eastAsia="Times New Roman" w:hAnsi="Cambria" w:cs="Times New Roman"/>
                <w:bCs/>
                <w:iCs/>
                <w:lang w:val="hr-HR"/>
              </w:rPr>
              <w:t>Preporuka: Igrokazi iz ciklusa: “</w:t>
            </w:r>
            <w:proofErr w:type="spellStart"/>
            <w:r w:rsidRPr="00DF4CE5">
              <w:rPr>
                <w:rFonts w:ascii="Cambria" w:eastAsia="Times New Roman" w:hAnsi="Cambria" w:cs="Times New Roman"/>
                <w:bCs/>
                <w:iCs/>
                <w:lang w:val="hr-HR"/>
              </w:rPr>
              <w:t>Iji</w:t>
            </w:r>
            <w:proofErr w:type="spellEnd"/>
            <w:r w:rsidRPr="00DF4CE5">
              <w:rPr>
                <w:rFonts w:ascii="Cambria" w:eastAsia="Times New Roman" w:hAnsi="Cambria" w:cs="Times New Roman"/>
                <w:bCs/>
                <w:iCs/>
                <w:lang w:val="hr-HR"/>
              </w:rPr>
              <w:t xml:space="preserve"> ju, </w:t>
            </w:r>
            <w:proofErr w:type="spellStart"/>
            <w:r w:rsidRPr="00DF4CE5">
              <w:rPr>
                <w:rFonts w:ascii="Cambria" w:eastAsia="Times New Roman" w:hAnsi="Cambria" w:cs="Times New Roman"/>
                <w:bCs/>
                <w:iCs/>
                <w:lang w:val="hr-HR"/>
              </w:rPr>
              <w:t>ijuju</w:t>
            </w:r>
            <w:proofErr w:type="spellEnd"/>
            <w:r w:rsidRPr="00DF4CE5">
              <w:rPr>
                <w:rFonts w:ascii="Cambria" w:eastAsia="Times New Roman" w:hAnsi="Cambria" w:cs="Times New Roman"/>
                <w:bCs/>
                <w:iCs/>
                <w:lang w:val="hr-HR"/>
              </w:rPr>
              <w:t>, mačke nema tu” i ”</w:t>
            </w:r>
            <w:proofErr w:type="spellStart"/>
            <w:r w:rsidRPr="00DF4CE5">
              <w:rPr>
                <w:rFonts w:ascii="Cambria" w:eastAsia="Times New Roman" w:hAnsi="Cambria" w:cs="Times New Roman"/>
                <w:bCs/>
                <w:iCs/>
                <w:lang w:val="hr-HR"/>
              </w:rPr>
              <w:t>Božična</w:t>
            </w:r>
            <w:proofErr w:type="spellEnd"/>
            <w:r w:rsidRPr="00DF4CE5">
              <w:rPr>
                <w:rFonts w:ascii="Cambria" w:eastAsia="Times New Roman" w:hAnsi="Cambria" w:cs="Times New Roman"/>
                <w:bCs/>
                <w:iCs/>
                <w:lang w:val="hr-HR"/>
              </w:rPr>
              <w:t xml:space="preserve"> želja”</w:t>
            </w:r>
          </w:p>
          <w:p w14:paraId="5C945DAA" w14:textId="77777777" w:rsidR="00DB76CD" w:rsidRPr="00DF4CE5" w:rsidRDefault="00DB76CD" w:rsidP="00A034E3">
            <w:pPr>
              <w:numPr>
                <w:ilvl w:val="0"/>
                <w:numId w:val="42"/>
              </w:numPr>
              <w:spacing w:before="280" w:after="280" w:line="240" w:lineRule="auto"/>
              <w:contextualSpacing/>
              <w:rPr>
                <w:rFonts w:ascii="Cambria" w:eastAsia="Times New Roman" w:hAnsi="Cambria" w:cs="Times New Roman"/>
                <w:lang w:val="hr-HR"/>
              </w:rPr>
            </w:pPr>
            <w:r w:rsidRPr="00DF4CE5">
              <w:rPr>
                <w:rFonts w:ascii="Cambria" w:eastAsia="Times New Roman" w:hAnsi="Cambria" w:cs="Times New Roman"/>
                <w:bCs/>
                <w:lang w:val="hr-HR"/>
              </w:rPr>
              <w:t>Domjanić, Dragutin, 1875-1933</w:t>
            </w:r>
            <w:r w:rsidRPr="00DF4CE5">
              <w:rPr>
                <w:rFonts w:ascii="Cambria" w:eastAsia="Times New Roman" w:hAnsi="Cambria" w:cs="Times New Roman"/>
                <w:lang w:val="hr-HR"/>
              </w:rPr>
              <w:br/>
            </w:r>
            <w:proofErr w:type="spellStart"/>
            <w:r w:rsidRPr="00DF4CE5">
              <w:rPr>
                <w:rFonts w:ascii="Cambria" w:eastAsia="Times New Roman" w:hAnsi="Cambria" w:cs="Times New Roman"/>
                <w:lang w:val="hr-HR"/>
              </w:rPr>
              <w:t>PetricaKerempuh</w:t>
            </w:r>
            <w:proofErr w:type="spellEnd"/>
            <w:r w:rsidRPr="00DF4CE5">
              <w:rPr>
                <w:rFonts w:ascii="Cambria" w:eastAsia="Times New Roman" w:hAnsi="Cambria" w:cs="Times New Roman"/>
                <w:lang w:val="hr-HR"/>
              </w:rPr>
              <w:t xml:space="preserve"> i </w:t>
            </w:r>
            <w:proofErr w:type="spellStart"/>
            <w:r w:rsidRPr="00DF4CE5">
              <w:rPr>
                <w:rFonts w:ascii="Cambria" w:eastAsia="Times New Roman" w:hAnsi="Cambria" w:cs="Times New Roman"/>
                <w:lang w:val="hr-HR"/>
              </w:rPr>
              <w:t>spametniosel</w:t>
            </w:r>
            <w:proofErr w:type="spellEnd"/>
            <w:r w:rsidRPr="00DF4CE5">
              <w:rPr>
                <w:rFonts w:ascii="Cambria" w:eastAsia="Times New Roman" w:hAnsi="Cambria" w:cs="Times New Roman"/>
                <w:lang w:val="hr-HR"/>
              </w:rPr>
              <w:t xml:space="preserve"> / Dragutin Domjanić ; ilustrirale Nada Pleše i Nada Turković ; priredio Joža Skok. - Zagreb : </w:t>
            </w:r>
            <w:proofErr w:type="spellStart"/>
            <w:r w:rsidRPr="00DF4CE5">
              <w:rPr>
                <w:rFonts w:ascii="Cambria" w:eastAsia="Times New Roman" w:hAnsi="Cambria" w:cs="Times New Roman"/>
                <w:lang w:val="hr-HR"/>
              </w:rPr>
              <w:t>Disput</w:t>
            </w:r>
            <w:proofErr w:type="spellEnd"/>
            <w:r w:rsidRPr="00DF4CE5">
              <w:rPr>
                <w:rFonts w:ascii="Cambria" w:eastAsia="Times New Roman" w:hAnsi="Cambria" w:cs="Times New Roman"/>
                <w:lang w:val="hr-HR"/>
              </w:rPr>
              <w:t xml:space="preserve">, 2005. - 78 str. : </w:t>
            </w:r>
            <w:proofErr w:type="spellStart"/>
            <w:r w:rsidRPr="00DF4CE5">
              <w:rPr>
                <w:rFonts w:ascii="Cambria" w:eastAsia="Times New Roman" w:hAnsi="Cambria" w:cs="Times New Roman"/>
                <w:lang w:val="hr-HR"/>
              </w:rPr>
              <w:t>ilustr</w:t>
            </w:r>
            <w:proofErr w:type="spellEnd"/>
            <w:r w:rsidRPr="00DF4CE5">
              <w:rPr>
                <w:rFonts w:ascii="Cambria" w:eastAsia="Times New Roman" w:hAnsi="Cambria" w:cs="Times New Roman"/>
                <w:lang w:val="hr-HR"/>
              </w:rPr>
              <w:t>. ; 21 cm. - (Biblioteka Lektira plus ; knj. 5)</w:t>
            </w:r>
          </w:p>
          <w:p w14:paraId="42DA18ED" w14:textId="77777777" w:rsidR="00DB76CD" w:rsidRPr="00DF4CE5" w:rsidRDefault="00DB76CD" w:rsidP="00A034E3">
            <w:pPr>
              <w:numPr>
                <w:ilvl w:val="0"/>
                <w:numId w:val="42"/>
              </w:numPr>
              <w:spacing w:before="280" w:after="280" w:line="240" w:lineRule="auto"/>
              <w:contextualSpacing/>
              <w:rPr>
                <w:rFonts w:ascii="Cambria" w:eastAsia="Times New Roman" w:hAnsi="Cambria" w:cs="Times New Roman"/>
                <w:bCs/>
                <w:iCs/>
                <w:lang w:val="hr-HR"/>
              </w:rPr>
            </w:pPr>
            <w:proofErr w:type="spellStart"/>
            <w:r w:rsidRPr="00DF4CE5">
              <w:rPr>
                <w:rFonts w:ascii="Cambria" w:eastAsia="Times New Roman" w:hAnsi="Cambria" w:cs="Times New Roman"/>
                <w:lang w:val="hr-HR"/>
              </w:rPr>
              <w:lastRenderedPageBreak/>
              <w:t>Domjanićev</w:t>
            </w:r>
            <w:proofErr w:type="spellEnd"/>
            <w:r w:rsidRPr="00DF4CE5">
              <w:rPr>
                <w:rFonts w:ascii="Cambria" w:eastAsia="Times New Roman" w:hAnsi="Cambria" w:cs="Times New Roman"/>
                <w:lang w:val="hr-HR"/>
              </w:rPr>
              <w:t xml:space="preserve"> kajkavski dramski prvijenac - izvorna kajkavska </w:t>
            </w:r>
            <w:proofErr w:type="spellStart"/>
            <w:r w:rsidRPr="00DF4CE5">
              <w:rPr>
                <w:rFonts w:ascii="Cambria" w:eastAsia="Times New Roman" w:hAnsi="Cambria" w:cs="Times New Roman"/>
                <w:lang w:val="hr-HR"/>
              </w:rPr>
              <w:t>marionetna</w:t>
            </w:r>
            <w:proofErr w:type="spellEnd"/>
            <w:r w:rsidRPr="00DF4CE5">
              <w:rPr>
                <w:rFonts w:ascii="Cambria" w:eastAsia="Times New Roman" w:hAnsi="Cambria" w:cs="Times New Roman"/>
                <w:lang w:val="hr-HR"/>
              </w:rPr>
              <w:t xml:space="preserve"> igra u tri čina s predigrom, prvi put je objavljen 1921. godine u dva navrata: prvo u časopisu "Omladina", a potom kao knjiga. Treće integralno izdanje datira iz 1975. godine, a ovo je četvrto integralno izdanje koje se pojavljuje u povodu 130. obljetnice autorova rođenja i svojevrstan je reprint prvoga dijela prvoga knjiškoga izdanja. Obzirom na namjeru da se tekst približi dramskim amaterima u osnovnim i srednjim školama, popraćen je rječnikom manje poznatih riječi, imena i </w:t>
            </w:r>
            <w:proofErr w:type="spellStart"/>
            <w:r w:rsidRPr="00DF4CE5">
              <w:rPr>
                <w:rFonts w:ascii="Cambria" w:eastAsia="Times New Roman" w:hAnsi="Cambria" w:cs="Times New Roman"/>
                <w:lang w:val="hr-HR"/>
              </w:rPr>
              <w:t>pojmova.U</w:t>
            </w:r>
            <w:proofErr w:type="spellEnd"/>
            <w:r w:rsidRPr="00DF4CE5">
              <w:rPr>
                <w:rFonts w:ascii="Cambria" w:eastAsia="Times New Roman" w:hAnsi="Cambria" w:cs="Times New Roman"/>
                <w:lang w:val="hr-HR"/>
              </w:rPr>
              <w:t xml:space="preserve"> prilogu su bibliografsko-</w:t>
            </w:r>
            <w:proofErr w:type="spellStart"/>
            <w:r w:rsidRPr="00DF4CE5">
              <w:rPr>
                <w:rFonts w:ascii="Cambria" w:eastAsia="Times New Roman" w:hAnsi="Cambria" w:cs="Times New Roman"/>
                <w:lang w:val="hr-HR"/>
              </w:rPr>
              <w:t>teatrografske</w:t>
            </w:r>
            <w:proofErr w:type="spellEnd"/>
            <w:r w:rsidRPr="00DF4CE5">
              <w:rPr>
                <w:rFonts w:ascii="Cambria" w:eastAsia="Times New Roman" w:hAnsi="Cambria" w:cs="Times New Roman"/>
                <w:lang w:val="hr-HR"/>
              </w:rPr>
              <w:t xml:space="preserve"> bilješke o djelu, biobibliografski portret autora i osvrt na djelo.</w:t>
            </w:r>
            <w:r w:rsidRPr="00DF4CE5">
              <w:rPr>
                <w:rFonts w:ascii="Cambria" w:eastAsia="Times New Roman" w:hAnsi="Cambria" w:cs="Times New Roman"/>
                <w:lang w:val="hr-HR"/>
              </w:rPr>
              <w:br/>
            </w:r>
            <w:r w:rsidRPr="00DF4CE5">
              <w:rPr>
                <w:rFonts w:ascii="Cambria" w:eastAsia="Times New Roman" w:hAnsi="Cambria" w:cs="Times New Roman"/>
                <w:bCs/>
                <w:iCs/>
                <w:lang w:val="hr-HR"/>
              </w:rPr>
              <w:t xml:space="preserve">Preporuka: humoristički </w:t>
            </w:r>
            <w:proofErr w:type="spellStart"/>
            <w:r w:rsidRPr="00DF4CE5">
              <w:rPr>
                <w:rFonts w:ascii="Cambria" w:eastAsia="Times New Roman" w:hAnsi="Cambria" w:cs="Times New Roman"/>
                <w:bCs/>
                <w:iCs/>
                <w:lang w:val="hr-HR"/>
              </w:rPr>
              <w:t>igokaz</w:t>
            </w:r>
            <w:proofErr w:type="spellEnd"/>
            <w:r w:rsidRPr="00DF4CE5">
              <w:rPr>
                <w:rFonts w:ascii="Cambria" w:eastAsia="Times New Roman" w:hAnsi="Cambria" w:cs="Times New Roman"/>
                <w:bCs/>
                <w:iCs/>
                <w:lang w:val="hr-HR"/>
              </w:rPr>
              <w:t xml:space="preserve"> za kajkavsko govorno područje</w:t>
            </w:r>
          </w:p>
          <w:p w14:paraId="43FB1197" w14:textId="77777777" w:rsidR="00DB76CD" w:rsidRPr="00DF4CE5" w:rsidRDefault="00DB76CD" w:rsidP="00A034E3">
            <w:pPr>
              <w:numPr>
                <w:ilvl w:val="0"/>
                <w:numId w:val="42"/>
              </w:numPr>
              <w:spacing w:before="280" w:after="280" w:line="240" w:lineRule="auto"/>
              <w:contextualSpacing/>
              <w:rPr>
                <w:rFonts w:ascii="Cambria" w:eastAsia="Times New Roman" w:hAnsi="Cambria" w:cs="Times New Roman"/>
                <w:lang w:val="hr-HR"/>
              </w:rPr>
            </w:pPr>
            <w:r w:rsidRPr="00DF4CE5">
              <w:rPr>
                <w:rFonts w:ascii="Cambria" w:eastAsia="Times New Roman" w:hAnsi="Cambria" w:cs="Times New Roman"/>
                <w:bCs/>
                <w:lang w:val="hr-HR"/>
              </w:rPr>
              <w:t>Gavran, Miro, 1961-</w:t>
            </w:r>
            <w:r w:rsidRPr="00DF4CE5">
              <w:rPr>
                <w:rFonts w:ascii="Cambria" w:eastAsia="Times New Roman" w:hAnsi="Cambria" w:cs="Times New Roman"/>
                <w:lang w:val="hr-HR"/>
              </w:rPr>
              <w:br/>
              <w:t xml:space="preserve">Igrokazi s glavom i repom : osam lutkarskih igrokaza / Miro Gavran. - Zagreb : Međunarodni centar za usluge u kulturi, 1995. - 134 str. : </w:t>
            </w:r>
            <w:proofErr w:type="spellStart"/>
            <w:r w:rsidRPr="00DF4CE5">
              <w:rPr>
                <w:rFonts w:ascii="Cambria" w:eastAsia="Times New Roman" w:hAnsi="Cambria" w:cs="Times New Roman"/>
                <w:lang w:val="hr-HR"/>
              </w:rPr>
              <w:t>ilustr</w:t>
            </w:r>
            <w:proofErr w:type="spellEnd"/>
            <w:r w:rsidRPr="00DF4CE5">
              <w:rPr>
                <w:rFonts w:ascii="Cambria" w:eastAsia="Times New Roman" w:hAnsi="Cambria" w:cs="Times New Roman"/>
                <w:lang w:val="hr-HR"/>
              </w:rPr>
              <w:t xml:space="preserve">. ; 20 cm. - (Biblioteka </w:t>
            </w:r>
            <w:proofErr w:type="spellStart"/>
            <w:r w:rsidRPr="00DF4CE5">
              <w:rPr>
                <w:rFonts w:ascii="Cambria" w:eastAsia="Times New Roman" w:hAnsi="Cambria" w:cs="Times New Roman"/>
                <w:lang w:val="hr-HR"/>
              </w:rPr>
              <w:t>Lutkanija</w:t>
            </w:r>
            <w:proofErr w:type="spellEnd"/>
            <w:r w:rsidRPr="00DF4CE5">
              <w:rPr>
                <w:rFonts w:ascii="Cambria" w:eastAsia="Times New Roman" w:hAnsi="Cambria" w:cs="Times New Roman"/>
                <w:lang w:val="hr-HR"/>
              </w:rPr>
              <w:t xml:space="preserve">)           </w:t>
            </w:r>
            <w:r w:rsidRPr="00DF4CE5">
              <w:rPr>
                <w:rFonts w:ascii="Cambria" w:eastAsia="Times New Roman" w:hAnsi="Cambria" w:cs="Times New Roman"/>
                <w:bCs/>
                <w:iCs/>
                <w:lang w:val="hr-HR"/>
              </w:rPr>
              <w:t xml:space="preserve">Preporuka: “Stare cipele” </w:t>
            </w:r>
            <w:r w:rsidRPr="00DF4CE5">
              <w:rPr>
                <w:rFonts w:ascii="Cambria" w:eastAsia="Times New Roman" w:hAnsi="Cambria" w:cs="Times New Roman"/>
                <w:iCs/>
                <w:lang w:val="hr-HR"/>
              </w:rPr>
              <w:t xml:space="preserve">/ kritika potrošačkog društva /, </w:t>
            </w:r>
            <w:r w:rsidRPr="00DF4CE5">
              <w:rPr>
                <w:rFonts w:ascii="Cambria" w:eastAsia="Times New Roman" w:hAnsi="Cambria" w:cs="Times New Roman"/>
                <w:bCs/>
                <w:iCs/>
                <w:lang w:val="hr-HR"/>
              </w:rPr>
              <w:t>„Izgubljena vjeverica“</w:t>
            </w:r>
            <w:r w:rsidRPr="00DF4CE5">
              <w:rPr>
                <w:rFonts w:ascii="Cambria" w:eastAsia="Times New Roman" w:hAnsi="Cambria" w:cs="Times New Roman"/>
                <w:iCs/>
                <w:lang w:val="hr-HR"/>
              </w:rPr>
              <w:t xml:space="preserve"> / ekološki / , “</w:t>
            </w:r>
            <w:r w:rsidRPr="00DF4CE5">
              <w:rPr>
                <w:rFonts w:ascii="Cambria" w:eastAsia="Times New Roman" w:hAnsi="Cambria" w:cs="Times New Roman"/>
                <w:bCs/>
                <w:iCs/>
                <w:lang w:val="hr-HR"/>
              </w:rPr>
              <w:t>Tata na dar”</w:t>
            </w:r>
            <w:r w:rsidRPr="00DF4CE5">
              <w:rPr>
                <w:rFonts w:ascii="Cambria" w:eastAsia="Times New Roman" w:hAnsi="Cambria" w:cs="Times New Roman"/>
                <w:iCs/>
                <w:lang w:val="hr-HR"/>
              </w:rPr>
              <w:t xml:space="preserve">, </w:t>
            </w:r>
            <w:r w:rsidRPr="00DF4CE5">
              <w:rPr>
                <w:rFonts w:ascii="Cambria" w:eastAsia="Times New Roman" w:hAnsi="Cambria" w:cs="Times New Roman"/>
                <w:bCs/>
                <w:iCs/>
                <w:lang w:val="hr-HR"/>
              </w:rPr>
              <w:t xml:space="preserve">“Bjelobradi nosi darove” </w:t>
            </w:r>
            <w:r w:rsidRPr="00DF4CE5">
              <w:rPr>
                <w:rFonts w:ascii="Cambria" w:eastAsia="Times New Roman" w:hAnsi="Cambria" w:cs="Times New Roman"/>
                <w:iCs/>
                <w:lang w:val="hr-HR"/>
              </w:rPr>
              <w:t>/ Božić i Nova godina /</w:t>
            </w:r>
          </w:p>
          <w:p w14:paraId="11DEB15D" w14:textId="77777777" w:rsidR="00DB76CD" w:rsidRPr="00DF4CE5" w:rsidRDefault="00DB76CD" w:rsidP="00A034E3">
            <w:pPr>
              <w:numPr>
                <w:ilvl w:val="0"/>
                <w:numId w:val="42"/>
              </w:numPr>
              <w:spacing w:before="280" w:after="280" w:line="240" w:lineRule="auto"/>
              <w:contextualSpacing/>
              <w:rPr>
                <w:rFonts w:ascii="Cambria" w:eastAsia="Times New Roman" w:hAnsi="Cambria" w:cs="Times New Roman"/>
                <w:lang w:val="hr-HR"/>
              </w:rPr>
            </w:pPr>
            <w:r w:rsidRPr="00DF4CE5">
              <w:rPr>
                <w:rFonts w:ascii="Cambria" w:eastAsia="Times New Roman" w:hAnsi="Cambria" w:cs="Times New Roman"/>
                <w:bCs/>
                <w:lang w:val="hr-HR"/>
              </w:rPr>
              <w:t>Horvat-</w:t>
            </w:r>
            <w:proofErr w:type="spellStart"/>
            <w:r w:rsidRPr="00DF4CE5">
              <w:rPr>
                <w:rFonts w:ascii="Cambria" w:eastAsia="Times New Roman" w:hAnsi="Cambria" w:cs="Times New Roman"/>
                <w:bCs/>
                <w:lang w:val="hr-HR"/>
              </w:rPr>
              <w:t>Vukelja</w:t>
            </w:r>
            <w:proofErr w:type="spellEnd"/>
            <w:r w:rsidRPr="00DF4CE5">
              <w:rPr>
                <w:rFonts w:ascii="Cambria" w:eastAsia="Times New Roman" w:hAnsi="Cambria" w:cs="Times New Roman"/>
                <w:bCs/>
                <w:lang w:val="hr-HR"/>
              </w:rPr>
              <w:t>, Željka, 1952-</w:t>
            </w:r>
            <w:r w:rsidRPr="00DF4CE5">
              <w:rPr>
                <w:rFonts w:ascii="Cambria" w:eastAsia="Times New Roman" w:hAnsi="Cambria" w:cs="Times New Roman"/>
                <w:lang w:val="hr-HR"/>
              </w:rPr>
              <w:br/>
              <w:t>Reumatični kišobran i drugi lutkarski igrokazi / Željka Horvat-</w:t>
            </w:r>
            <w:proofErr w:type="spellStart"/>
            <w:r w:rsidRPr="00DF4CE5">
              <w:rPr>
                <w:rFonts w:ascii="Cambria" w:eastAsia="Times New Roman" w:hAnsi="Cambria" w:cs="Times New Roman"/>
                <w:lang w:val="hr-HR"/>
              </w:rPr>
              <w:t>Vukelja</w:t>
            </w:r>
            <w:proofErr w:type="spellEnd"/>
            <w:r w:rsidRPr="00DF4CE5">
              <w:rPr>
                <w:rFonts w:ascii="Cambria" w:eastAsia="Times New Roman" w:hAnsi="Cambria" w:cs="Times New Roman"/>
                <w:lang w:val="hr-HR"/>
              </w:rPr>
              <w:t xml:space="preserve"> ; oslikao Dario Kukić. - Zagreb : </w:t>
            </w:r>
            <w:proofErr w:type="spellStart"/>
            <w:r w:rsidRPr="00DF4CE5">
              <w:rPr>
                <w:rFonts w:ascii="Cambria" w:eastAsia="Times New Roman" w:hAnsi="Cambria" w:cs="Times New Roman"/>
                <w:lang w:val="hr-HR"/>
              </w:rPr>
              <w:t>Divič</w:t>
            </w:r>
            <w:proofErr w:type="spellEnd"/>
            <w:r w:rsidRPr="00DF4CE5">
              <w:rPr>
                <w:rFonts w:ascii="Cambria" w:eastAsia="Times New Roman" w:hAnsi="Cambria" w:cs="Times New Roman"/>
                <w:lang w:val="hr-HR"/>
              </w:rPr>
              <w:t xml:space="preserve">, 2001. - 29 str. : </w:t>
            </w:r>
            <w:proofErr w:type="spellStart"/>
            <w:r w:rsidRPr="00DF4CE5">
              <w:rPr>
                <w:rFonts w:ascii="Cambria" w:eastAsia="Times New Roman" w:hAnsi="Cambria" w:cs="Times New Roman"/>
                <w:lang w:val="hr-HR"/>
              </w:rPr>
              <w:t>ilustr</w:t>
            </w:r>
            <w:proofErr w:type="spellEnd"/>
            <w:r w:rsidRPr="00DF4CE5">
              <w:rPr>
                <w:rFonts w:ascii="Cambria" w:eastAsia="Times New Roman" w:hAnsi="Cambria" w:cs="Times New Roman"/>
                <w:lang w:val="hr-HR"/>
              </w:rPr>
              <w:t>. ; 26 cm</w:t>
            </w:r>
          </w:p>
          <w:p w14:paraId="2746F8A8" w14:textId="77777777" w:rsidR="00DB76CD" w:rsidRPr="00DF4CE5" w:rsidRDefault="00DB76CD" w:rsidP="00A034E3">
            <w:pPr>
              <w:numPr>
                <w:ilvl w:val="0"/>
                <w:numId w:val="42"/>
              </w:numPr>
              <w:spacing w:before="280" w:after="280" w:line="240" w:lineRule="auto"/>
              <w:contextualSpacing/>
              <w:rPr>
                <w:rFonts w:ascii="Cambria" w:eastAsia="Times New Roman" w:hAnsi="Cambria" w:cs="Times New Roman"/>
                <w:iCs/>
                <w:lang w:val="hr-HR"/>
              </w:rPr>
            </w:pPr>
            <w:r w:rsidRPr="00DF4CE5">
              <w:rPr>
                <w:rFonts w:ascii="Cambria" w:eastAsia="Times New Roman" w:hAnsi="Cambria" w:cs="Times New Roman"/>
                <w:lang w:val="hr-HR"/>
              </w:rPr>
              <w:t>Jedanaest kratkih, veselih igrokaza namijenjenih ne samo scenskom uprizorenju , već i čitanju . Kako bi što ljepše i bolje zaživio i na sceni, svaki igrokaz je i ilustriran , a na kraju svakoga napisane su i jasne, kratke upute redateljima. Zbiljske zgode i likovi kao i maštovito oživljeni stvarni i nestvarni predmeti i bića, potaknut će djecu na zajedništvo i veselu igru.</w:t>
            </w:r>
            <w:r w:rsidRPr="00DF4CE5">
              <w:rPr>
                <w:rFonts w:ascii="Cambria" w:eastAsia="Times New Roman" w:hAnsi="Cambria" w:cs="Times New Roman"/>
                <w:lang w:val="hr-HR"/>
              </w:rPr>
              <w:br/>
            </w:r>
            <w:r w:rsidRPr="00DF4CE5">
              <w:rPr>
                <w:rFonts w:ascii="Cambria" w:eastAsia="Times New Roman" w:hAnsi="Cambria" w:cs="Times New Roman"/>
                <w:bCs/>
                <w:iCs/>
                <w:lang w:val="hr-HR"/>
              </w:rPr>
              <w:t xml:space="preserve">Preporuka: “Rasparana slikovnica” </w:t>
            </w:r>
            <w:r w:rsidRPr="00DF4CE5">
              <w:rPr>
                <w:rFonts w:ascii="Cambria" w:eastAsia="Times New Roman" w:hAnsi="Cambria" w:cs="Times New Roman"/>
                <w:iCs/>
                <w:lang w:val="hr-HR"/>
              </w:rPr>
              <w:t xml:space="preserve">/ uništavanje knjiga /, </w:t>
            </w:r>
            <w:r w:rsidRPr="00DF4CE5">
              <w:rPr>
                <w:rFonts w:ascii="Cambria" w:eastAsia="Times New Roman" w:hAnsi="Cambria" w:cs="Times New Roman"/>
                <w:bCs/>
                <w:iCs/>
                <w:lang w:val="hr-HR"/>
              </w:rPr>
              <w:t xml:space="preserve">“Plavi kukuruz” </w:t>
            </w:r>
            <w:r w:rsidRPr="00DF4CE5">
              <w:rPr>
                <w:rFonts w:ascii="Cambria" w:eastAsia="Times New Roman" w:hAnsi="Cambria" w:cs="Times New Roman"/>
                <w:iCs/>
                <w:lang w:val="hr-HR"/>
              </w:rPr>
              <w:t xml:space="preserve">/ ekološki na kajkavskom narječju / </w:t>
            </w:r>
            <w:r w:rsidRPr="00DF4CE5">
              <w:rPr>
                <w:rFonts w:ascii="Cambria" w:eastAsia="Times New Roman" w:hAnsi="Cambria" w:cs="Times New Roman"/>
                <w:bCs/>
                <w:iCs/>
                <w:lang w:val="hr-HR"/>
              </w:rPr>
              <w:t>“Svaka zvijezda nekog ima”</w:t>
            </w:r>
            <w:r w:rsidRPr="00DF4CE5">
              <w:rPr>
                <w:rFonts w:ascii="Cambria" w:eastAsia="Times New Roman" w:hAnsi="Cambria" w:cs="Times New Roman"/>
                <w:iCs/>
                <w:lang w:val="hr-HR"/>
              </w:rPr>
              <w:t xml:space="preserve"> / briga za druge / </w:t>
            </w:r>
            <w:r w:rsidRPr="00DF4CE5">
              <w:rPr>
                <w:rFonts w:ascii="Cambria" w:eastAsia="Times New Roman" w:hAnsi="Cambria" w:cs="Times New Roman"/>
                <w:bCs/>
                <w:iCs/>
                <w:lang w:val="hr-HR"/>
              </w:rPr>
              <w:t xml:space="preserve">“Metla i </w:t>
            </w:r>
            <w:proofErr w:type="spellStart"/>
            <w:r w:rsidRPr="00DF4CE5">
              <w:rPr>
                <w:rFonts w:ascii="Cambria" w:eastAsia="Times New Roman" w:hAnsi="Cambria" w:cs="Times New Roman"/>
                <w:bCs/>
                <w:iCs/>
                <w:lang w:val="hr-HR"/>
              </w:rPr>
              <w:t>Metlenko</w:t>
            </w:r>
            <w:proofErr w:type="spellEnd"/>
            <w:r w:rsidRPr="00DF4CE5">
              <w:rPr>
                <w:rFonts w:ascii="Cambria" w:eastAsia="Times New Roman" w:hAnsi="Cambria" w:cs="Times New Roman"/>
                <w:bCs/>
                <w:iCs/>
                <w:lang w:val="hr-HR"/>
              </w:rPr>
              <w:t xml:space="preserve"> idu na doček Nove godine” </w:t>
            </w:r>
            <w:r w:rsidRPr="00DF4CE5">
              <w:rPr>
                <w:rFonts w:ascii="Cambria" w:eastAsia="Times New Roman" w:hAnsi="Cambria" w:cs="Times New Roman"/>
                <w:iCs/>
                <w:lang w:val="hr-HR"/>
              </w:rPr>
              <w:t xml:space="preserve">/ prigodni / </w:t>
            </w:r>
            <w:r w:rsidRPr="00DF4CE5">
              <w:rPr>
                <w:rFonts w:ascii="Cambria" w:eastAsia="Times New Roman" w:hAnsi="Cambria" w:cs="Times New Roman"/>
                <w:bCs/>
                <w:iCs/>
                <w:lang w:val="hr-HR"/>
              </w:rPr>
              <w:t>“</w:t>
            </w:r>
            <w:proofErr w:type="spellStart"/>
            <w:r w:rsidRPr="00DF4CE5">
              <w:rPr>
                <w:rFonts w:ascii="Cambria" w:eastAsia="Times New Roman" w:hAnsi="Cambria" w:cs="Times New Roman"/>
                <w:bCs/>
                <w:iCs/>
                <w:lang w:val="hr-HR"/>
              </w:rPr>
              <w:t>Čarapčić</w:t>
            </w:r>
            <w:proofErr w:type="spellEnd"/>
            <w:r w:rsidRPr="00DF4CE5">
              <w:rPr>
                <w:rFonts w:ascii="Cambria" w:eastAsia="Times New Roman" w:hAnsi="Cambria" w:cs="Times New Roman"/>
                <w:bCs/>
                <w:iCs/>
                <w:lang w:val="hr-HR"/>
              </w:rPr>
              <w:t xml:space="preserve">” </w:t>
            </w:r>
            <w:r w:rsidRPr="00DF4CE5">
              <w:rPr>
                <w:rFonts w:ascii="Cambria" w:eastAsia="Times New Roman" w:hAnsi="Cambria" w:cs="Times New Roman"/>
                <w:iCs/>
                <w:lang w:val="hr-HR"/>
              </w:rPr>
              <w:t xml:space="preserve">/ osobna higijena / </w:t>
            </w:r>
          </w:p>
          <w:p w14:paraId="68BDFD86" w14:textId="77777777" w:rsidR="00DB76CD" w:rsidRPr="00DF4CE5" w:rsidRDefault="00DB76CD" w:rsidP="00A034E3">
            <w:pPr>
              <w:numPr>
                <w:ilvl w:val="0"/>
                <w:numId w:val="42"/>
              </w:numPr>
              <w:spacing w:before="280" w:after="280" w:line="240" w:lineRule="auto"/>
              <w:contextualSpacing/>
              <w:rPr>
                <w:rFonts w:ascii="Cambria" w:eastAsia="Times New Roman" w:hAnsi="Cambria" w:cs="Times New Roman"/>
                <w:bCs/>
                <w:iCs/>
                <w:lang w:val="hr-HR"/>
              </w:rPr>
            </w:pPr>
            <w:r w:rsidRPr="00DF4CE5">
              <w:rPr>
                <w:rFonts w:ascii="Cambria" w:eastAsia="Times New Roman" w:hAnsi="Cambria" w:cs="Times New Roman"/>
                <w:bCs/>
                <w:lang w:val="hr-HR"/>
              </w:rPr>
              <w:t>Horvat, Nada</w:t>
            </w:r>
            <w:r w:rsidRPr="00DF4CE5">
              <w:rPr>
                <w:rFonts w:ascii="Cambria" w:eastAsia="Times New Roman" w:hAnsi="Cambria" w:cs="Times New Roman"/>
                <w:lang w:val="hr-HR"/>
              </w:rPr>
              <w:br/>
              <w:t xml:space="preserve">Hoću biti </w:t>
            </w:r>
            <w:proofErr w:type="spellStart"/>
            <w:r w:rsidRPr="00DF4CE5">
              <w:rPr>
                <w:rFonts w:ascii="Cambria" w:eastAsia="Times New Roman" w:hAnsi="Cambria" w:cs="Times New Roman"/>
                <w:lang w:val="hr-HR"/>
              </w:rPr>
              <w:t>Brljiban</w:t>
            </w:r>
            <w:proofErr w:type="spellEnd"/>
            <w:r w:rsidRPr="00DF4CE5">
              <w:rPr>
                <w:rFonts w:ascii="Cambria" w:eastAsia="Times New Roman" w:hAnsi="Cambria" w:cs="Times New Roman"/>
                <w:lang w:val="hr-HR"/>
              </w:rPr>
              <w:t xml:space="preserve"> / Nada Horvat ; lutke kreirala Vlasta </w:t>
            </w:r>
            <w:proofErr w:type="spellStart"/>
            <w:r w:rsidRPr="00DF4CE5">
              <w:rPr>
                <w:rFonts w:ascii="Cambria" w:eastAsia="Times New Roman" w:hAnsi="Cambria" w:cs="Times New Roman"/>
                <w:lang w:val="hr-HR"/>
              </w:rPr>
              <w:t>Pokrivka</w:t>
            </w:r>
            <w:proofErr w:type="spellEnd"/>
            <w:r w:rsidRPr="00DF4CE5">
              <w:rPr>
                <w:rFonts w:ascii="Cambria" w:eastAsia="Times New Roman" w:hAnsi="Cambria" w:cs="Times New Roman"/>
                <w:lang w:val="hr-HR"/>
              </w:rPr>
              <w:t xml:space="preserve"> ; fotografije lutaka Zlata </w:t>
            </w:r>
            <w:proofErr w:type="spellStart"/>
            <w:r w:rsidRPr="00DF4CE5">
              <w:rPr>
                <w:rFonts w:ascii="Cambria" w:eastAsia="Times New Roman" w:hAnsi="Cambria" w:cs="Times New Roman"/>
                <w:lang w:val="hr-HR"/>
              </w:rPr>
              <w:t>Vucelić</w:t>
            </w:r>
            <w:proofErr w:type="spellEnd"/>
            <w:r w:rsidRPr="00DF4CE5">
              <w:rPr>
                <w:rFonts w:ascii="Cambria" w:eastAsia="Times New Roman" w:hAnsi="Cambria" w:cs="Times New Roman"/>
                <w:lang w:val="hr-HR"/>
              </w:rPr>
              <w:t xml:space="preserve">. - Zagreb : Školska knjiga, 1987. - 112 str., [16] str. s tablama ; 24 cm                                     </w:t>
            </w:r>
            <w:r w:rsidRPr="00DF4CE5">
              <w:rPr>
                <w:rFonts w:ascii="Cambria" w:eastAsia="Times New Roman" w:hAnsi="Cambria" w:cs="Times New Roman"/>
                <w:bCs/>
                <w:iCs/>
                <w:lang w:val="hr-HR"/>
              </w:rPr>
              <w:t xml:space="preserve">Preporuka: igrokazi iz ciklusa “Veliki i mali su se zaigrali” , “Kukuruzi, stari </w:t>
            </w:r>
            <w:proofErr w:type="spellStart"/>
            <w:r w:rsidRPr="00DF4CE5">
              <w:rPr>
                <w:rFonts w:ascii="Cambria" w:eastAsia="Times New Roman" w:hAnsi="Cambria" w:cs="Times New Roman"/>
                <w:bCs/>
                <w:iCs/>
                <w:lang w:val="hr-HR"/>
              </w:rPr>
              <w:t>druzi</w:t>
            </w:r>
            <w:proofErr w:type="spellEnd"/>
            <w:r w:rsidRPr="00DF4CE5">
              <w:rPr>
                <w:rFonts w:ascii="Cambria" w:eastAsia="Times New Roman" w:hAnsi="Cambria" w:cs="Times New Roman"/>
                <w:bCs/>
                <w:iCs/>
                <w:lang w:val="hr-HR"/>
              </w:rPr>
              <w:t>” , “Kad magarac zaigra bećarac”</w:t>
            </w:r>
          </w:p>
          <w:p w14:paraId="5BB3FC3B" w14:textId="77777777" w:rsidR="00DB76CD" w:rsidRPr="00DF4CE5" w:rsidRDefault="00DB76CD" w:rsidP="00A034E3">
            <w:pPr>
              <w:numPr>
                <w:ilvl w:val="0"/>
                <w:numId w:val="42"/>
              </w:numPr>
              <w:spacing w:before="280" w:after="280" w:line="240" w:lineRule="auto"/>
              <w:contextualSpacing/>
              <w:rPr>
                <w:rFonts w:ascii="Cambria" w:eastAsia="Times New Roman" w:hAnsi="Cambria" w:cs="Times New Roman"/>
                <w:iCs/>
                <w:lang w:val="hr-HR"/>
              </w:rPr>
            </w:pPr>
            <w:r w:rsidRPr="00DF4CE5">
              <w:rPr>
                <w:rFonts w:ascii="Cambria" w:eastAsia="Times New Roman" w:hAnsi="Cambria" w:cs="Times New Roman"/>
                <w:bCs/>
                <w:lang w:val="hr-HR"/>
              </w:rPr>
              <w:t xml:space="preserve">Igramo se kazališta </w:t>
            </w:r>
            <w:r w:rsidRPr="00DF4CE5">
              <w:rPr>
                <w:rFonts w:ascii="Cambria" w:eastAsia="Times New Roman" w:hAnsi="Cambria" w:cs="Times New Roman"/>
                <w:lang w:val="hr-HR"/>
              </w:rPr>
              <w:br/>
              <w:t xml:space="preserve">Igramo se kazališta : od monologa do igrokaza : izbor tekstova za dječju lutkarsku i živu scenu / izbor i priprema Vera </w:t>
            </w:r>
            <w:proofErr w:type="spellStart"/>
            <w:r w:rsidRPr="00DF4CE5">
              <w:rPr>
                <w:rFonts w:ascii="Cambria" w:eastAsia="Times New Roman" w:hAnsi="Cambria" w:cs="Times New Roman"/>
                <w:lang w:val="hr-HR"/>
              </w:rPr>
              <w:t>Stenzel</w:t>
            </w:r>
            <w:proofErr w:type="spellEnd"/>
            <w:r w:rsidRPr="00DF4CE5">
              <w:rPr>
                <w:rFonts w:ascii="Cambria" w:eastAsia="Times New Roman" w:hAnsi="Cambria" w:cs="Times New Roman"/>
                <w:lang w:val="hr-HR"/>
              </w:rPr>
              <w:t xml:space="preserve">. - Zagreb : Naša djeca, 1995. - 159 str. : </w:t>
            </w:r>
            <w:proofErr w:type="spellStart"/>
            <w:r w:rsidRPr="00DF4CE5">
              <w:rPr>
                <w:rFonts w:ascii="Cambria" w:eastAsia="Times New Roman" w:hAnsi="Cambria" w:cs="Times New Roman"/>
                <w:lang w:val="hr-HR"/>
              </w:rPr>
              <w:t>ilustr</w:t>
            </w:r>
            <w:proofErr w:type="spellEnd"/>
            <w:r w:rsidRPr="00DF4CE5">
              <w:rPr>
                <w:rFonts w:ascii="Cambria" w:eastAsia="Times New Roman" w:hAnsi="Cambria" w:cs="Times New Roman"/>
                <w:lang w:val="hr-HR"/>
              </w:rPr>
              <w:t xml:space="preserve">. ; 24 cm       </w:t>
            </w:r>
            <w:r w:rsidRPr="00DF4CE5">
              <w:rPr>
                <w:rFonts w:ascii="Cambria" w:eastAsia="Times New Roman" w:hAnsi="Cambria" w:cs="Times New Roman"/>
                <w:bCs/>
                <w:iCs/>
                <w:lang w:val="hr-HR"/>
              </w:rPr>
              <w:t xml:space="preserve">Preporuka: </w:t>
            </w:r>
            <w:proofErr w:type="spellStart"/>
            <w:r w:rsidRPr="00DF4CE5">
              <w:rPr>
                <w:rFonts w:ascii="Cambria" w:eastAsia="Times New Roman" w:hAnsi="Cambria" w:cs="Times New Roman"/>
                <w:bCs/>
                <w:iCs/>
                <w:lang w:val="hr-HR"/>
              </w:rPr>
              <w:t>Femenić</w:t>
            </w:r>
            <w:proofErr w:type="spellEnd"/>
            <w:r w:rsidRPr="00DF4CE5">
              <w:rPr>
                <w:rFonts w:ascii="Cambria" w:eastAsia="Times New Roman" w:hAnsi="Cambria" w:cs="Times New Roman"/>
                <w:bCs/>
                <w:iCs/>
                <w:lang w:val="hr-HR"/>
              </w:rPr>
              <w:t xml:space="preserve">:“ Miš, repa i krumpir“ i „Slon i bubamara”, narodne pripovijetke: “Mačak, pijetao i lija”, “Djedova pogača”, “Djed i repa”, </w:t>
            </w:r>
            <w:proofErr w:type="spellStart"/>
            <w:r w:rsidRPr="00DF4CE5">
              <w:rPr>
                <w:rFonts w:ascii="Cambria" w:eastAsia="Times New Roman" w:hAnsi="Cambria" w:cs="Times New Roman"/>
                <w:bCs/>
                <w:iCs/>
                <w:lang w:val="hr-HR"/>
              </w:rPr>
              <w:t>Bjelišev</w:t>
            </w:r>
            <w:proofErr w:type="spellEnd"/>
            <w:r w:rsidRPr="00DF4CE5">
              <w:rPr>
                <w:rFonts w:ascii="Cambria" w:eastAsia="Times New Roman" w:hAnsi="Cambria" w:cs="Times New Roman"/>
                <w:bCs/>
                <w:iCs/>
                <w:lang w:val="hr-HR"/>
              </w:rPr>
              <w:t xml:space="preserve">: „Mače“ </w:t>
            </w:r>
            <w:r w:rsidRPr="00DF4CE5">
              <w:rPr>
                <w:rFonts w:ascii="Cambria" w:eastAsia="Times New Roman" w:hAnsi="Cambria" w:cs="Times New Roman"/>
                <w:iCs/>
                <w:lang w:val="hr-HR"/>
              </w:rPr>
              <w:t xml:space="preserve">/ potraga za identitetom / , </w:t>
            </w:r>
            <w:proofErr w:type="spellStart"/>
            <w:r w:rsidRPr="00DF4CE5">
              <w:rPr>
                <w:rFonts w:ascii="Cambria" w:eastAsia="Times New Roman" w:hAnsi="Cambria" w:cs="Times New Roman"/>
                <w:bCs/>
                <w:iCs/>
                <w:lang w:val="hr-HR"/>
              </w:rPr>
              <w:t>Peroci</w:t>
            </w:r>
            <w:proofErr w:type="spellEnd"/>
            <w:r w:rsidRPr="00DF4CE5">
              <w:rPr>
                <w:rFonts w:ascii="Cambria" w:eastAsia="Times New Roman" w:hAnsi="Cambria" w:cs="Times New Roman"/>
                <w:bCs/>
                <w:iCs/>
                <w:lang w:val="hr-HR"/>
              </w:rPr>
              <w:t xml:space="preserve">: “Maca </w:t>
            </w:r>
            <w:proofErr w:type="spellStart"/>
            <w:r w:rsidRPr="00DF4CE5">
              <w:rPr>
                <w:rFonts w:ascii="Cambria" w:eastAsia="Times New Roman" w:hAnsi="Cambria" w:cs="Times New Roman"/>
                <w:bCs/>
                <w:iCs/>
                <w:lang w:val="hr-HR"/>
              </w:rPr>
              <w:t>papučarica</w:t>
            </w:r>
            <w:proofErr w:type="spellEnd"/>
            <w:r w:rsidRPr="00DF4CE5">
              <w:rPr>
                <w:rFonts w:ascii="Cambria" w:eastAsia="Times New Roman" w:hAnsi="Cambria" w:cs="Times New Roman"/>
                <w:bCs/>
                <w:iCs/>
                <w:lang w:val="hr-HR"/>
              </w:rPr>
              <w:t xml:space="preserve">” </w:t>
            </w:r>
            <w:r w:rsidRPr="00DF4CE5">
              <w:rPr>
                <w:rFonts w:ascii="Cambria" w:eastAsia="Times New Roman" w:hAnsi="Cambria" w:cs="Times New Roman"/>
                <w:iCs/>
                <w:lang w:val="hr-HR"/>
              </w:rPr>
              <w:t xml:space="preserve">/ red i čistoća / , </w:t>
            </w:r>
            <w:proofErr w:type="spellStart"/>
            <w:r w:rsidRPr="00DF4CE5">
              <w:rPr>
                <w:rFonts w:ascii="Cambria" w:eastAsia="Times New Roman" w:hAnsi="Cambria" w:cs="Times New Roman"/>
                <w:bCs/>
                <w:iCs/>
                <w:lang w:val="hr-HR"/>
              </w:rPr>
              <w:t>Škrinjarić</w:t>
            </w:r>
            <w:proofErr w:type="spellEnd"/>
            <w:r w:rsidRPr="00DF4CE5">
              <w:rPr>
                <w:rFonts w:ascii="Cambria" w:eastAsia="Times New Roman" w:hAnsi="Cambria" w:cs="Times New Roman"/>
                <w:bCs/>
                <w:iCs/>
                <w:lang w:val="hr-HR"/>
              </w:rPr>
              <w:t xml:space="preserve">: “Plesna haljina žutog maslačka” </w:t>
            </w:r>
            <w:r w:rsidRPr="00DF4CE5">
              <w:rPr>
                <w:rFonts w:ascii="Cambria" w:eastAsia="Times New Roman" w:hAnsi="Cambria" w:cs="Times New Roman"/>
                <w:iCs/>
                <w:lang w:val="hr-HR"/>
              </w:rPr>
              <w:t xml:space="preserve">/ suradnja, pomaganje, prijateljstvo / i </w:t>
            </w:r>
            <w:r w:rsidRPr="00DF4CE5">
              <w:rPr>
                <w:rFonts w:ascii="Cambria" w:eastAsia="Times New Roman" w:hAnsi="Cambria" w:cs="Times New Roman"/>
                <w:bCs/>
                <w:iCs/>
                <w:lang w:val="hr-HR"/>
              </w:rPr>
              <w:t xml:space="preserve">“Nezadovoljna bubamara” </w:t>
            </w:r>
            <w:r w:rsidRPr="00DF4CE5">
              <w:rPr>
                <w:rFonts w:ascii="Cambria" w:eastAsia="Times New Roman" w:hAnsi="Cambria" w:cs="Times New Roman"/>
                <w:iCs/>
                <w:lang w:val="hr-HR"/>
              </w:rPr>
              <w:t xml:space="preserve">/ prirodna ljepota je važnija od lažne / , </w:t>
            </w:r>
            <w:r w:rsidRPr="00DF4CE5">
              <w:rPr>
                <w:rFonts w:ascii="Cambria" w:eastAsia="Times New Roman" w:hAnsi="Cambria" w:cs="Times New Roman"/>
                <w:bCs/>
                <w:iCs/>
                <w:lang w:val="hr-HR"/>
              </w:rPr>
              <w:t xml:space="preserve">Vitez: </w:t>
            </w:r>
            <w:r w:rsidRPr="00DF4CE5">
              <w:rPr>
                <w:rFonts w:ascii="Cambria" w:eastAsia="Times New Roman" w:hAnsi="Cambria" w:cs="Times New Roman"/>
                <w:bCs/>
                <w:iCs/>
                <w:lang w:val="hr-HR"/>
              </w:rPr>
              <w:lastRenderedPageBreak/>
              <w:t xml:space="preserve">„Ogledalce“ </w:t>
            </w:r>
            <w:r w:rsidRPr="00DF4CE5">
              <w:rPr>
                <w:rFonts w:ascii="Cambria" w:eastAsia="Times New Roman" w:hAnsi="Cambria" w:cs="Times New Roman"/>
                <w:iCs/>
                <w:lang w:val="hr-HR"/>
              </w:rPr>
              <w:t>/ mala komedija zabune / potraga za vlastitim identitetom /</w:t>
            </w:r>
          </w:p>
          <w:p w14:paraId="22E05B9F" w14:textId="77777777" w:rsidR="00DB76CD" w:rsidRPr="00DF4CE5" w:rsidRDefault="00DB76CD" w:rsidP="00A034E3">
            <w:pPr>
              <w:numPr>
                <w:ilvl w:val="0"/>
                <w:numId w:val="42"/>
              </w:numPr>
              <w:spacing w:before="280" w:after="280" w:line="240" w:lineRule="auto"/>
              <w:contextualSpacing/>
              <w:rPr>
                <w:rFonts w:ascii="Cambria" w:eastAsia="Times New Roman" w:hAnsi="Cambria" w:cs="Times New Roman"/>
                <w:lang w:val="hr-HR"/>
              </w:rPr>
            </w:pPr>
            <w:r w:rsidRPr="00DF4CE5">
              <w:rPr>
                <w:rFonts w:ascii="Cambria" w:eastAsia="Times New Roman" w:hAnsi="Cambria" w:cs="Times New Roman"/>
                <w:bCs/>
                <w:lang w:val="hr-HR"/>
              </w:rPr>
              <w:t>Igrokazi</w:t>
            </w:r>
            <w:r w:rsidRPr="00DF4CE5">
              <w:rPr>
                <w:rFonts w:ascii="Cambria" w:eastAsia="Times New Roman" w:hAnsi="Cambria" w:cs="Times New Roman"/>
                <w:lang w:val="hr-HR"/>
              </w:rPr>
              <w:br/>
            </w:r>
            <w:proofErr w:type="spellStart"/>
            <w:r w:rsidRPr="00DF4CE5">
              <w:rPr>
                <w:rFonts w:ascii="Cambria" w:eastAsia="Times New Roman" w:hAnsi="Cambria" w:cs="Times New Roman"/>
                <w:lang w:val="hr-HR"/>
              </w:rPr>
              <w:t>Igrokazi</w:t>
            </w:r>
            <w:proofErr w:type="spellEnd"/>
            <w:r w:rsidRPr="00DF4CE5">
              <w:rPr>
                <w:rFonts w:ascii="Cambria" w:eastAsia="Times New Roman" w:hAnsi="Cambria" w:cs="Times New Roman"/>
                <w:lang w:val="hr-HR"/>
              </w:rPr>
              <w:t xml:space="preserve"> / Milan </w:t>
            </w:r>
            <w:proofErr w:type="spellStart"/>
            <w:r w:rsidRPr="00DF4CE5">
              <w:rPr>
                <w:rFonts w:ascii="Cambria" w:eastAsia="Times New Roman" w:hAnsi="Cambria" w:cs="Times New Roman"/>
                <w:lang w:val="hr-HR"/>
              </w:rPr>
              <w:t>Čečuk</w:t>
            </w:r>
            <w:proofErr w:type="spellEnd"/>
            <w:r w:rsidRPr="00DF4CE5">
              <w:rPr>
                <w:rFonts w:ascii="Cambria" w:eastAsia="Times New Roman" w:hAnsi="Cambria" w:cs="Times New Roman"/>
                <w:lang w:val="hr-HR"/>
              </w:rPr>
              <w:t xml:space="preserve"> ... &lt;</w:t>
            </w:r>
            <w:proofErr w:type="spellStart"/>
            <w:r w:rsidRPr="00DF4CE5">
              <w:rPr>
                <w:rFonts w:ascii="Cambria" w:eastAsia="Times New Roman" w:hAnsi="Cambria" w:cs="Times New Roman"/>
                <w:lang w:val="hr-HR"/>
              </w:rPr>
              <w:t>etal</w:t>
            </w:r>
            <w:proofErr w:type="spellEnd"/>
            <w:r w:rsidRPr="00DF4CE5">
              <w:rPr>
                <w:rFonts w:ascii="Cambria" w:eastAsia="Times New Roman" w:hAnsi="Cambria" w:cs="Times New Roman"/>
                <w:lang w:val="hr-HR"/>
              </w:rPr>
              <w:t xml:space="preserve">.&gt; ; oslikao Ivan Vitez. - 2. </w:t>
            </w:r>
            <w:proofErr w:type="spellStart"/>
            <w:r w:rsidRPr="00DF4CE5">
              <w:rPr>
                <w:rFonts w:ascii="Cambria" w:eastAsia="Times New Roman" w:hAnsi="Cambria" w:cs="Times New Roman"/>
                <w:lang w:val="hr-HR"/>
              </w:rPr>
              <w:t>izd</w:t>
            </w:r>
            <w:proofErr w:type="spellEnd"/>
            <w:r w:rsidRPr="00DF4CE5">
              <w:rPr>
                <w:rFonts w:ascii="Cambria" w:eastAsia="Times New Roman" w:hAnsi="Cambria" w:cs="Times New Roman"/>
                <w:lang w:val="hr-HR"/>
              </w:rPr>
              <w:t xml:space="preserve">. - Zagreb : ABC naklada, 2000. - &lt;34&gt; str. : </w:t>
            </w:r>
            <w:proofErr w:type="spellStart"/>
            <w:r w:rsidRPr="00DF4CE5">
              <w:rPr>
                <w:rFonts w:ascii="Cambria" w:eastAsia="Times New Roman" w:hAnsi="Cambria" w:cs="Times New Roman"/>
                <w:lang w:val="hr-HR"/>
              </w:rPr>
              <w:t>ilustr</w:t>
            </w:r>
            <w:proofErr w:type="spellEnd"/>
            <w:r w:rsidRPr="00DF4CE5">
              <w:rPr>
                <w:rFonts w:ascii="Cambria" w:eastAsia="Times New Roman" w:hAnsi="Cambria" w:cs="Times New Roman"/>
                <w:lang w:val="hr-HR"/>
              </w:rPr>
              <w:t>. ; 29 cm. - (Biblioteka Vrutak)</w:t>
            </w:r>
          </w:p>
          <w:p w14:paraId="1427A3BA" w14:textId="77777777" w:rsidR="00DB76CD" w:rsidRPr="00DF4CE5" w:rsidRDefault="00DB76CD" w:rsidP="00A034E3">
            <w:pPr>
              <w:numPr>
                <w:ilvl w:val="0"/>
                <w:numId w:val="42"/>
              </w:numPr>
              <w:spacing w:before="280" w:after="280" w:line="240" w:lineRule="auto"/>
              <w:contextualSpacing/>
              <w:rPr>
                <w:rFonts w:ascii="Cambria" w:eastAsia="Times New Roman" w:hAnsi="Cambria" w:cs="Times New Roman"/>
                <w:iCs/>
                <w:lang w:val="hr-HR"/>
              </w:rPr>
            </w:pPr>
            <w:r w:rsidRPr="00DF4CE5">
              <w:rPr>
                <w:rFonts w:ascii="Cambria" w:eastAsia="Times New Roman" w:hAnsi="Cambria" w:cs="Times New Roman"/>
                <w:lang w:val="hr-HR"/>
              </w:rPr>
              <w:t>Sedam kratkih igrokaza govori o svakodnevnim dječjim igrama, ali i o natprirodnim bićima i događajima. Iz suvremenog života, ali i bajkovite prošlosti … u našoj neposrednoj blizini, ali i vrlo daleko. Neki su zbiljske zgode, a neki plod mašte. Poticajni za osmišljavanje malih kazališnih predstava.</w:t>
            </w:r>
            <w:r w:rsidRPr="00DF4CE5">
              <w:rPr>
                <w:rFonts w:ascii="Cambria" w:eastAsia="Times New Roman" w:hAnsi="Cambria" w:cs="Times New Roman"/>
                <w:lang w:val="hr-HR"/>
              </w:rPr>
              <w:br/>
            </w:r>
            <w:r w:rsidRPr="00DF4CE5">
              <w:rPr>
                <w:rFonts w:ascii="Cambria" w:eastAsia="Times New Roman" w:hAnsi="Cambria" w:cs="Times New Roman"/>
                <w:bCs/>
                <w:iCs/>
                <w:lang w:val="hr-HR"/>
              </w:rPr>
              <w:t>Preporuka: Horvat-</w:t>
            </w:r>
            <w:proofErr w:type="spellStart"/>
            <w:r w:rsidRPr="00DF4CE5">
              <w:rPr>
                <w:rFonts w:ascii="Cambria" w:eastAsia="Times New Roman" w:hAnsi="Cambria" w:cs="Times New Roman"/>
                <w:bCs/>
                <w:iCs/>
                <w:lang w:val="hr-HR"/>
              </w:rPr>
              <w:t>Vukelja</w:t>
            </w:r>
            <w:proofErr w:type="spellEnd"/>
            <w:r w:rsidRPr="00DF4CE5">
              <w:rPr>
                <w:rFonts w:ascii="Cambria" w:eastAsia="Times New Roman" w:hAnsi="Cambria" w:cs="Times New Roman"/>
                <w:bCs/>
                <w:iCs/>
                <w:lang w:val="hr-HR"/>
              </w:rPr>
              <w:t>: “Reumatični kišobran”</w:t>
            </w:r>
            <w:r w:rsidRPr="00DF4CE5">
              <w:rPr>
                <w:rFonts w:ascii="Cambria" w:eastAsia="Times New Roman" w:hAnsi="Cambria" w:cs="Times New Roman"/>
                <w:iCs/>
                <w:lang w:val="hr-HR"/>
              </w:rPr>
              <w:t xml:space="preserve"> / pomaganje drugima / I .</w:t>
            </w:r>
            <w:r w:rsidRPr="00DF4CE5">
              <w:rPr>
                <w:rFonts w:ascii="Cambria" w:eastAsia="Times New Roman" w:hAnsi="Cambria" w:cs="Times New Roman"/>
                <w:bCs/>
                <w:iCs/>
                <w:lang w:val="hr-HR"/>
              </w:rPr>
              <w:t xml:space="preserve">”Kuhinjski razgovori“ </w:t>
            </w:r>
            <w:r w:rsidRPr="00DF4CE5">
              <w:rPr>
                <w:rFonts w:ascii="Cambria" w:eastAsia="Times New Roman" w:hAnsi="Cambria" w:cs="Times New Roman"/>
                <w:iCs/>
                <w:lang w:val="hr-HR"/>
              </w:rPr>
              <w:t xml:space="preserve">/ humoristički / prehrana /, </w:t>
            </w:r>
            <w:r w:rsidRPr="00DF4CE5">
              <w:rPr>
                <w:rFonts w:ascii="Cambria" w:eastAsia="Times New Roman" w:hAnsi="Cambria" w:cs="Times New Roman"/>
                <w:bCs/>
                <w:iCs/>
                <w:lang w:val="hr-HR"/>
              </w:rPr>
              <w:t>Kolarić-</w:t>
            </w:r>
            <w:proofErr w:type="spellStart"/>
            <w:r w:rsidRPr="00DF4CE5">
              <w:rPr>
                <w:rFonts w:ascii="Cambria" w:eastAsia="Times New Roman" w:hAnsi="Cambria" w:cs="Times New Roman"/>
                <w:bCs/>
                <w:iCs/>
                <w:lang w:val="hr-HR"/>
              </w:rPr>
              <w:t>Kišur</w:t>
            </w:r>
            <w:proofErr w:type="spellEnd"/>
            <w:r w:rsidRPr="00DF4CE5">
              <w:rPr>
                <w:rFonts w:ascii="Cambria" w:eastAsia="Times New Roman" w:hAnsi="Cambria" w:cs="Times New Roman"/>
                <w:bCs/>
                <w:iCs/>
                <w:lang w:val="hr-HR"/>
              </w:rPr>
              <w:t xml:space="preserve">. “Kristalni zvončići” </w:t>
            </w:r>
            <w:r w:rsidRPr="00DF4CE5">
              <w:rPr>
                <w:rFonts w:ascii="Cambria" w:eastAsia="Times New Roman" w:hAnsi="Cambria" w:cs="Times New Roman"/>
                <w:iCs/>
                <w:lang w:val="hr-HR"/>
              </w:rPr>
              <w:t xml:space="preserve">/ moralno prosuđivanje i pomaganje drugima / , </w:t>
            </w:r>
            <w:proofErr w:type="spellStart"/>
            <w:r w:rsidRPr="00DF4CE5">
              <w:rPr>
                <w:rFonts w:ascii="Cambria" w:eastAsia="Times New Roman" w:hAnsi="Cambria" w:cs="Times New Roman"/>
                <w:bCs/>
                <w:iCs/>
                <w:lang w:val="hr-HR"/>
              </w:rPr>
              <w:t>Čečuk</w:t>
            </w:r>
            <w:proofErr w:type="spellEnd"/>
            <w:r w:rsidRPr="00DF4CE5">
              <w:rPr>
                <w:rFonts w:ascii="Cambria" w:eastAsia="Times New Roman" w:hAnsi="Cambria" w:cs="Times New Roman"/>
                <w:bCs/>
                <w:iCs/>
                <w:lang w:val="hr-HR"/>
              </w:rPr>
              <w:t>: „</w:t>
            </w:r>
            <w:proofErr w:type="spellStart"/>
            <w:r w:rsidRPr="00DF4CE5">
              <w:rPr>
                <w:rFonts w:ascii="Cambria" w:eastAsia="Times New Roman" w:hAnsi="Cambria" w:cs="Times New Roman"/>
                <w:bCs/>
                <w:iCs/>
                <w:lang w:val="hr-HR"/>
              </w:rPr>
              <w:t>Omedeto</w:t>
            </w:r>
            <w:proofErr w:type="spellEnd"/>
            <w:r w:rsidRPr="00DF4CE5">
              <w:rPr>
                <w:rFonts w:ascii="Cambria" w:eastAsia="Times New Roman" w:hAnsi="Cambria" w:cs="Times New Roman"/>
                <w:bCs/>
                <w:iCs/>
                <w:lang w:val="hr-HR"/>
              </w:rPr>
              <w:t xml:space="preserve">“ </w:t>
            </w:r>
            <w:r w:rsidRPr="00DF4CE5">
              <w:rPr>
                <w:rFonts w:ascii="Cambria" w:eastAsia="Times New Roman" w:hAnsi="Cambria" w:cs="Times New Roman"/>
                <w:iCs/>
                <w:lang w:val="hr-HR"/>
              </w:rPr>
              <w:t xml:space="preserve">/ prema japanskoj bajci </w:t>
            </w:r>
          </w:p>
          <w:p w14:paraId="4FC0DC8D" w14:textId="77777777" w:rsidR="00DB76CD" w:rsidRPr="00DF4CE5" w:rsidRDefault="00DB76CD" w:rsidP="00A034E3">
            <w:pPr>
              <w:numPr>
                <w:ilvl w:val="0"/>
                <w:numId w:val="42"/>
              </w:numPr>
              <w:spacing w:before="280" w:after="280" w:line="240" w:lineRule="auto"/>
              <w:contextualSpacing/>
              <w:rPr>
                <w:rFonts w:ascii="Cambria" w:eastAsia="Times New Roman" w:hAnsi="Cambria" w:cs="Times New Roman"/>
                <w:lang w:val="hr-HR"/>
              </w:rPr>
            </w:pPr>
            <w:r w:rsidRPr="00DF4CE5">
              <w:rPr>
                <w:rFonts w:ascii="Cambria" w:eastAsia="Times New Roman" w:hAnsi="Cambria" w:cs="Times New Roman"/>
                <w:bCs/>
                <w:lang w:val="hr-HR"/>
              </w:rPr>
              <w:t>Iveljić, Nada, 1931-</w:t>
            </w:r>
            <w:r w:rsidRPr="00DF4CE5">
              <w:rPr>
                <w:rFonts w:ascii="Cambria" w:eastAsia="Times New Roman" w:hAnsi="Cambria" w:cs="Times New Roman"/>
                <w:lang w:val="hr-HR"/>
              </w:rPr>
              <w:br/>
            </w:r>
            <w:proofErr w:type="spellStart"/>
            <w:r w:rsidRPr="00DF4CE5">
              <w:rPr>
                <w:rFonts w:ascii="Cambria" w:eastAsia="Times New Roman" w:hAnsi="Cambria" w:cs="Times New Roman"/>
                <w:lang w:val="hr-HR"/>
              </w:rPr>
              <w:t>Balonijada</w:t>
            </w:r>
            <w:proofErr w:type="spellEnd"/>
            <w:r w:rsidRPr="00DF4CE5">
              <w:rPr>
                <w:rFonts w:ascii="Cambria" w:eastAsia="Times New Roman" w:hAnsi="Cambria" w:cs="Times New Roman"/>
                <w:lang w:val="hr-HR"/>
              </w:rPr>
              <w:t xml:space="preserve"> ; </w:t>
            </w:r>
            <w:proofErr w:type="spellStart"/>
            <w:r w:rsidRPr="00DF4CE5">
              <w:rPr>
                <w:rFonts w:ascii="Cambria" w:eastAsia="Times New Roman" w:hAnsi="Cambria" w:cs="Times New Roman"/>
                <w:lang w:val="hr-HR"/>
              </w:rPr>
              <w:t>Superjež</w:t>
            </w:r>
            <w:proofErr w:type="spellEnd"/>
            <w:r w:rsidRPr="00DF4CE5">
              <w:rPr>
                <w:rFonts w:ascii="Cambria" w:eastAsia="Times New Roman" w:hAnsi="Cambria" w:cs="Times New Roman"/>
                <w:lang w:val="hr-HR"/>
              </w:rPr>
              <w:t xml:space="preserve"> / Nada Iveljić ; oslikala Dubravka Kolanović. - Zagreb : Mozaik knjiga, 2002. - 18 str. : </w:t>
            </w:r>
            <w:proofErr w:type="spellStart"/>
            <w:r w:rsidRPr="00DF4CE5">
              <w:rPr>
                <w:rFonts w:ascii="Cambria" w:eastAsia="Times New Roman" w:hAnsi="Cambria" w:cs="Times New Roman"/>
                <w:lang w:val="hr-HR"/>
              </w:rPr>
              <w:t>ilustr</w:t>
            </w:r>
            <w:proofErr w:type="spellEnd"/>
            <w:r w:rsidRPr="00DF4CE5">
              <w:rPr>
                <w:rFonts w:ascii="Cambria" w:eastAsia="Times New Roman" w:hAnsi="Cambria" w:cs="Times New Roman"/>
                <w:lang w:val="hr-HR"/>
              </w:rPr>
              <w:t>. ; 28 cm</w:t>
            </w:r>
          </w:p>
          <w:p w14:paraId="34DA0017" w14:textId="77777777" w:rsidR="00DB76CD" w:rsidRPr="00DF4CE5" w:rsidRDefault="00DB76CD" w:rsidP="00A034E3">
            <w:pPr>
              <w:numPr>
                <w:ilvl w:val="0"/>
                <w:numId w:val="42"/>
              </w:numPr>
              <w:spacing w:before="280" w:after="280" w:line="240" w:lineRule="auto"/>
              <w:contextualSpacing/>
              <w:rPr>
                <w:rFonts w:ascii="Cambria" w:eastAsia="Times New Roman" w:hAnsi="Cambria" w:cs="Times New Roman"/>
                <w:iCs/>
                <w:lang w:val="hr-HR"/>
              </w:rPr>
            </w:pPr>
            <w:r w:rsidRPr="00DF4CE5">
              <w:rPr>
                <w:rFonts w:ascii="Cambria" w:eastAsia="Times New Roman" w:hAnsi="Cambria" w:cs="Times New Roman"/>
                <w:lang w:val="hr-HR"/>
              </w:rPr>
              <w:t>Lijepo i veselo oslikana, ova slikovnica sadrži dva kratka igrokaza za najmlađe, no razveselit će i one starije koji se bave djecom, jer će im omogućiti da uz vrlo malo uloženog truda, pripreme zanimljive i djeci poučne predstave, u kojima će moći zajedno uživati i veliki i mali.</w:t>
            </w:r>
            <w:r w:rsidRPr="00DF4CE5">
              <w:rPr>
                <w:rFonts w:ascii="Cambria" w:eastAsia="Times New Roman" w:hAnsi="Cambria" w:cs="Times New Roman"/>
                <w:lang w:val="hr-HR"/>
              </w:rPr>
              <w:br/>
            </w:r>
            <w:r w:rsidRPr="00DF4CE5">
              <w:rPr>
                <w:rFonts w:ascii="Cambria" w:eastAsia="Times New Roman" w:hAnsi="Cambria" w:cs="Times New Roman"/>
                <w:bCs/>
                <w:iCs/>
                <w:lang w:val="hr-HR"/>
              </w:rPr>
              <w:t>Preporuka: “</w:t>
            </w:r>
            <w:proofErr w:type="spellStart"/>
            <w:r w:rsidRPr="00DF4CE5">
              <w:rPr>
                <w:rFonts w:ascii="Cambria" w:eastAsia="Times New Roman" w:hAnsi="Cambria" w:cs="Times New Roman"/>
                <w:bCs/>
                <w:iCs/>
                <w:lang w:val="hr-HR"/>
              </w:rPr>
              <w:t>Balonijada</w:t>
            </w:r>
            <w:proofErr w:type="spellEnd"/>
            <w:r w:rsidRPr="00DF4CE5">
              <w:rPr>
                <w:rFonts w:ascii="Cambria" w:eastAsia="Times New Roman" w:hAnsi="Cambria" w:cs="Times New Roman"/>
                <w:bCs/>
                <w:iCs/>
                <w:lang w:val="hr-HR"/>
              </w:rPr>
              <w:t>”, “</w:t>
            </w:r>
            <w:proofErr w:type="spellStart"/>
            <w:r w:rsidRPr="00DF4CE5">
              <w:rPr>
                <w:rFonts w:ascii="Cambria" w:eastAsia="Times New Roman" w:hAnsi="Cambria" w:cs="Times New Roman"/>
                <w:bCs/>
                <w:iCs/>
                <w:lang w:val="hr-HR"/>
              </w:rPr>
              <w:t>Superjež</w:t>
            </w:r>
            <w:proofErr w:type="spellEnd"/>
            <w:r w:rsidRPr="00DF4CE5">
              <w:rPr>
                <w:rFonts w:ascii="Cambria" w:eastAsia="Times New Roman" w:hAnsi="Cambria" w:cs="Times New Roman"/>
                <w:bCs/>
                <w:iCs/>
                <w:lang w:val="hr-HR"/>
              </w:rPr>
              <w:t xml:space="preserve">” </w:t>
            </w:r>
            <w:r w:rsidRPr="00DF4CE5">
              <w:rPr>
                <w:rFonts w:ascii="Cambria" w:eastAsia="Times New Roman" w:hAnsi="Cambria" w:cs="Times New Roman"/>
                <w:iCs/>
                <w:lang w:val="hr-HR"/>
              </w:rPr>
              <w:t>/ život u skladu s mogućnostima i u dosluhu s prirodom /</w:t>
            </w:r>
          </w:p>
          <w:p w14:paraId="2A42374B" w14:textId="77777777" w:rsidR="00DB76CD" w:rsidRPr="00DF4CE5" w:rsidRDefault="00DB76CD" w:rsidP="00A034E3">
            <w:pPr>
              <w:numPr>
                <w:ilvl w:val="0"/>
                <w:numId w:val="42"/>
              </w:numPr>
              <w:spacing w:before="280" w:after="280" w:line="240" w:lineRule="auto"/>
              <w:contextualSpacing/>
              <w:rPr>
                <w:rFonts w:ascii="Cambria" w:eastAsia="Times New Roman" w:hAnsi="Cambria" w:cs="Times New Roman"/>
                <w:lang w:val="hr-HR"/>
              </w:rPr>
            </w:pPr>
            <w:proofErr w:type="spellStart"/>
            <w:r w:rsidRPr="00DF4CE5">
              <w:rPr>
                <w:rFonts w:ascii="Cambria" w:eastAsia="Times New Roman" w:hAnsi="Cambria" w:cs="Times New Roman"/>
                <w:bCs/>
                <w:lang w:val="hr-HR"/>
              </w:rPr>
              <w:t>Jelašac</w:t>
            </w:r>
            <w:proofErr w:type="spellEnd"/>
            <w:r w:rsidRPr="00DF4CE5">
              <w:rPr>
                <w:rFonts w:ascii="Cambria" w:eastAsia="Times New Roman" w:hAnsi="Cambria" w:cs="Times New Roman"/>
                <w:bCs/>
                <w:lang w:val="hr-HR"/>
              </w:rPr>
              <w:t>, Mirjana, 1950-</w:t>
            </w:r>
            <w:r w:rsidRPr="00DF4CE5">
              <w:rPr>
                <w:rFonts w:ascii="Cambria" w:eastAsia="Times New Roman" w:hAnsi="Cambria" w:cs="Times New Roman"/>
                <w:lang w:val="hr-HR"/>
              </w:rPr>
              <w:br/>
              <w:t xml:space="preserve">Tajna je u lutki / Mirjana </w:t>
            </w:r>
            <w:proofErr w:type="spellStart"/>
            <w:r w:rsidRPr="00DF4CE5">
              <w:rPr>
                <w:rFonts w:ascii="Cambria" w:eastAsia="Times New Roman" w:hAnsi="Cambria" w:cs="Times New Roman"/>
                <w:lang w:val="hr-HR"/>
              </w:rPr>
              <w:t>Jelašac</w:t>
            </w:r>
            <w:proofErr w:type="spellEnd"/>
            <w:r w:rsidRPr="00DF4CE5">
              <w:rPr>
                <w:rFonts w:ascii="Cambria" w:eastAsia="Times New Roman" w:hAnsi="Cambria" w:cs="Times New Roman"/>
                <w:lang w:val="hr-HR"/>
              </w:rPr>
              <w:t xml:space="preserve"> ; &lt;fotografije Zlata </w:t>
            </w:r>
            <w:proofErr w:type="spellStart"/>
            <w:r w:rsidRPr="00DF4CE5">
              <w:rPr>
                <w:rFonts w:ascii="Cambria" w:eastAsia="Times New Roman" w:hAnsi="Cambria" w:cs="Times New Roman"/>
                <w:lang w:val="hr-HR"/>
              </w:rPr>
              <w:t>Vucelić</w:t>
            </w:r>
            <w:proofErr w:type="spellEnd"/>
            <w:r w:rsidRPr="00DF4CE5">
              <w:rPr>
                <w:rFonts w:ascii="Cambria" w:eastAsia="Times New Roman" w:hAnsi="Cambria" w:cs="Times New Roman"/>
                <w:lang w:val="hr-HR"/>
              </w:rPr>
              <w:t xml:space="preserve">&gt;. - Zagreb : Međunarodni centar za usluge u kulturi, 2002. - 81 str. : </w:t>
            </w:r>
            <w:proofErr w:type="spellStart"/>
            <w:r w:rsidRPr="00DF4CE5">
              <w:rPr>
                <w:rFonts w:ascii="Cambria" w:eastAsia="Times New Roman" w:hAnsi="Cambria" w:cs="Times New Roman"/>
                <w:lang w:val="hr-HR"/>
              </w:rPr>
              <w:t>ilustr</w:t>
            </w:r>
            <w:proofErr w:type="spellEnd"/>
            <w:r w:rsidRPr="00DF4CE5">
              <w:rPr>
                <w:rFonts w:ascii="Cambria" w:eastAsia="Times New Roman" w:hAnsi="Cambria" w:cs="Times New Roman"/>
                <w:lang w:val="hr-HR"/>
              </w:rPr>
              <w:t>. ; 26 cm</w:t>
            </w:r>
          </w:p>
          <w:p w14:paraId="494FEFEB" w14:textId="77777777" w:rsidR="00DB76CD" w:rsidRPr="00DF4CE5" w:rsidRDefault="00DB76CD" w:rsidP="00A034E3">
            <w:pPr>
              <w:numPr>
                <w:ilvl w:val="0"/>
                <w:numId w:val="42"/>
              </w:numPr>
              <w:spacing w:before="280" w:after="280" w:line="240" w:lineRule="auto"/>
              <w:contextualSpacing/>
              <w:rPr>
                <w:rFonts w:ascii="Cambria" w:eastAsia="Times New Roman" w:hAnsi="Cambria" w:cs="Times New Roman"/>
                <w:iCs/>
                <w:lang w:val="hr-HR"/>
              </w:rPr>
            </w:pPr>
            <w:r w:rsidRPr="00DF4CE5">
              <w:rPr>
                <w:rFonts w:ascii="Cambria" w:eastAsia="Times New Roman" w:hAnsi="Cambria" w:cs="Times New Roman"/>
                <w:bCs/>
                <w:lang w:val="hr-HR"/>
              </w:rPr>
              <w:t xml:space="preserve">Zbirka igrokaza. </w:t>
            </w:r>
            <w:r w:rsidRPr="00DF4CE5">
              <w:rPr>
                <w:rFonts w:ascii="Cambria" w:eastAsia="Times New Roman" w:hAnsi="Cambria" w:cs="Times New Roman"/>
                <w:lang w:val="hr-HR"/>
              </w:rPr>
              <w:br/>
              <w:t>Knjiga je razdijeljena u pet cjelina. Prva cjelina "Od šume do glume", okuplja minijature vezane uz život šume. Druga cjelina "</w:t>
            </w:r>
            <w:proofErr w:type="spellStart"/>
            <w:r w:rsidRPr="00DF4CE5">
              <w:rPr>
                <w:rFonts w:ascii="Cambria" w:eastAsia="Times New Roman" w:hAnsi="Cambria" w:cs="Times New Roman"/>
                <w:lang w:val="hr-HR"/>
              </w:rPr>
              <w:t>Basnovnica</w:t>
            </w:r>
            <w:proofErr w:type="spellEnd"/>
            <w:r w:rsidRPr="00DF4CE5">
              <w:rPr>
                <w:rFonts w:ascii="Cambria" w:eastAsia="Times New Roman" w:hAnsi="Cambria" w:cs="Times New Roman"/>
                <w:lang w:val="hr-HR"/>
              </w:rPr>
              <w:t>", okuplja tekstove temeljene na više ili manje poznatim basnama. U "Etidama u bijelom", priče su složenije i ispisane u prozi. Tekstovi su popraćeni i fotografijama lutaka iz autoričinih predstava, ali ih je moguće zamisliti i u drugačijim izvedbama. U četvrtoj cjelini, "</w:t>
            </w:r>
            <w:proofErr w:type="spellStart"/>
            <w:r w:rsidRPr="00DF4CE5">
              <w:rPr>
                <w:rFonts w:ascii="Cambria" w:eastAsia="Times New Roman" w:hAnsi="Cambria" w:cs="Times New Roman"/>
                <w:lang w:val="hr-HR"/>
              </w:rPr>
              <w:t>Crvenladici</w:t>
            </w:r>
            <w:proofErr w:type="spellEnd"/>
            <w:r w:rsidRPr="00DF4CE5">
              <w:rPr>
                <w:rFonts w:ascii="Cambria" w:eastAsia="Times New Roman" w:hAnsi="Cambria" w:cs="Times New Roman"/>
                <w:lang w:val="hr-HR"/>
              </w:rPr>
              <w:t xml:space="preserve">", likovi su pak okarakterizirani prije svega načinom izrade scenskih lutaka, a to su drveni predmeti iz obiteljskog domaćinstva. Posljednji dio knjige "Svašta - </w:t>
            </w:r>
            <w:proofErr w:type="spellStart"/>
            <w:r w:rsidRPr="00DF4CE5">
              <w:rPr>
                <w:rFonts w:ascii="Cambria" w:eastAsia="Times New Roman" w:hAnsi="Cambria" w:cs="Times New Roman"/>
                <w:lang w:val="hr-HR"/>
              </w:rPr>
              <w:t>ra</w:t>
            </w:r>
            <w:proofErr w:type="spellEnd"/>
            <w:r w:rsidRPr="00DF4CE5">
              <w:rPr>
                <w:rFonts w:ascii="Cambria" w:eastAsia="Times New Roman" w:hAnsi="Cambria" w:cs="Times New Roman"/>
                <w:lang w:val="hr-HR"/>
              </w:rPr>
              <w:t>", okuplja kratke tekstove raznolike po sadržaju, formi i raspoloženju.</w:t>
            </w:r>
            <w:r w:rsidRPr="00DF4CE5">
              <w:rPr>
                <w:rFonts w:ascii="Cambria" w:eastAsia="Times New Roman" w:hAnsi="Cambria" w:cs="Times New Roman"/>
                <w:lang w:val="hr-HR"/>
              </w:rPr>
              <w:br/>
            </w:r>
            <w:r w:rsidRPr="00DF4CE5">
              <w:rPr>
                <w:rFonts w:ascii="Cambria" w:eastAsia="Times New Roman" w:hAnsi="Cambria" w:cs="Times New Roman"/>
                <w:bCs/>
                <w:lang w:val="hr-HR"/>
              </w:rPr>
              <w:t>P</w:t>
            </w:r>
            <w:r w:rsidRPr="00DF4CE5">
              <w:rPr>
                <w:rFonts w:ascii="Cambria" w:eastAsia="Times New Roman" w:hAnsi="Cambria" w:cs="Times New Roman"/>
                <w:bCs/>
                <w:iCs/>
                <w:lang w:val="hr-HR"/>
              </w:rPr>
              <w:t>reporuka. „</w:t>
            </w:r>
            <w:proofErr w:type="spellStart"/>
            <w:r w:rsidRPr="00DF4CE5">
              <w:rPr>
                <w:rFonts w:ascii="Cambria" w:eastAsia="Times New Roman" w:hAnsi="Cambria" w:cs="Times New Roman"/>
                <w:bCs/>
                <w:iCs/>
                <w:lang w:val="hr-HR"/>
              </w:rPr>
              <w:t>Crvenladica</w:t>
            </w:r>
            <w:proofErr w:type="spellEnd"/>
            <w:r w:rsidRPr="00DF4CE5">
              <w:rPr>
                <w:rFonts w:ascii="Cambria" w:eastAsia="Times New Roman" w:hAnsi="Cambria" w:cs="Times New Roman"/>
                <w:bCs/>
                <w:iCs/>
                <w:lang w:val="hr-HR"/>
              </w:rPr>
              <w:t xml:space="preserve">“ </w:t>
            </w:r>
            <w:r w:rsidRPr="00DF4CE5">
              <w:rPr>
                <w:rFonts w:ascii="Cambria" w:eastAsia="Times New Roman" w:hAnsi="Cambria" w:cs="Times New Roman"/>
                <w:iCs/>
                <w:lang w:val="hr-HR"/>
              </w:rPr>
              <w:t>/ parafraza „Crvenkapice“ /</w:t>
            </w:r>
          </w:p>
          <w:p w14:paraId="1AB3E2A4" w14:textId="77777777" w:rsidR="00DB76CD" w:rsidRPr="00DF4CE5" w:rsidRDefault="00DB76CD" w:rsidP="00A034E3">
            <w:pPr>
              <w:numPr>
                <w:ilvl w:val="0"/>
                <w:numId w:val="42"/>
              </w:numPr>
              <w:spacing w:before="280" w:after="280" w:line="240" w:lineRule="auto"/>
              <w:contextualSpacing/>
              <w:rPr>
                <w:rFonts w:ascii="Cambria" w:eastAsia="Times New Roman" w:hAnsi="Cambria" w:cs="Times New Roman"/>
                <w:lang w:val="hr-HR"/>
              </w:rPr>
            </w:pPr>
            <w:r w:rsidRPr="00DF4CE5">
              <w:rPr>
                <w:rFonts w:ascii="Cambria" w:eastAsia="Times New Roman" w:hAnsi="Cambria" w:cs="Times New Roman"/>
                <w:bCs/>
                <w:lang w:val="hr-HR"/>
              </w:rPr>
              <w:t>Kraljević, Ana</w:t>
            </w:r>
            <w:r w:rsidRPr="00DF4CE5">
              <w:rPr>
                <w:rFonts w:ascii="Cambria" w:eastAsia="Times New Roman" w:hAnsi="Cambria" w:cs="Times New Roman"/>
                <w:lang w:val="hr-HR"/>
              </w:rPr>
              <w:br/>
              <w:t xml:space="preserve">Lutka iz kutka / Anica-Ana Kraljević ; [ilustracije Mate Lovrić]. - Zagreb : Naša djeca, 2003. - 127 str. : </w:t>
            </w:r>
            <w:proofErr w:type="spellStart"/>
            <w:r w:rsidRPr="00DF4CE5">
              <w:rPr>
                <w:rFonts w:ascii="Cambria" w:eastAsia="Times New Roman" w:hAnsi="Cambria" w:cs="Times New Roman"/>
                <w:lang w:val="hr-HR"/>
              </w:rPr>
              <w:t>ilustr</w:t>
            </w:r>
            <w:proofErr w:type="spellEnd"/>
            <w:r w:rsidRPr="00DF4CE5">
              <w:rPr>
                <w:rFonts w:ascii="Cambria" w:eastAsia="Times New Roman" w:hAnsi="Cambria" w:cs="Times New Roman"/>
                <w:lang w:val="hr-HR"/>
              </w:rPr>
              <w:t>. ; 24 cm</w:t>
            </w:r>
          </w:p>
          <w:p w14:paraId="020A6002" w14:textId="77777777" w:rsidR="00DB76CD" w:rsidRPr="00DF4CE5" w:rsidRDefault="00DB76CD" w:rsidP="00A034E3">
            <w:pPr>
              <w:numPr>
                <w:ilvl w:val="0"/>
                <w:numId w:val="42"/>
              </w:numPr>
              <w:spacing w:before="280" w:after="280" w:line="240" w:lineRule="auto"/>
              <w:contextualSpacing/>
              <w:rPr>
                <w:rFonts w:ascii="Cambria" w:eastAsia="Times New Roman" w:hAnsi="Cambria" w:cs="Times New Roman"/>
                <w:iCs/>
                <w:lang w:val="hr-HR"/>
              </w:rPr>
            </w:pPr>
            <w:r w:rsidRPr="00DF4CE5">
              <w:rPr>
                <w:rFonts w:ascii="Cambria" w:eastAsia="Times New Roman" w:hAnsi="Cambria" w:cs="Times New Roman"/>
                <w:lang w:val="hr-HR"/>
              </w:rPr>
              <w:t xml:space="preserve">Zbirka prigodnih lutkarskih igrokaza po mjesecima i godišnjim dobima. Započinje opširnim metodičkim poglavljem o scenskoj lutki u odgoju djece. Svaki igrokaz, u svom uvodnom dijelu ima objašnjenje kako </w:t>
            </w:r>
            <w:proofErr w:type="spellStart"/>
            <w:r w:rsidRPr="00DF4CE5">
              <w:rPr>
                <w:rFonts w:ascii="Cambria" w:eastAsia="Times New Roman" w:hAnsi="Cambria" w:cs="Times New Roman"/>
                <w:lang w:val="hr-HR"/>
              </w:rPr>
              <w:t>izaditi</w:t>
            </w:r>
            <w:proofErr w:type="spellEnd"/>
            <w:r w:rsidRPr="00DF4CE5">
              <w:rPr>
                <w:rFonts w:ascii="Cambria" w:eastAsia="Times New Roman" w:hAnsi="Cambria" w:cs="Times New Roman"/>
                <w:lang w:val="hr-HR"/>
              </w:rPr>
              <w:t xml:space="preserve"> lutke i scenografiju. Knjiga je </w:t>
            </w:r>
            <w:r w:rsidRPr="00DF4CE5">
              <w:rPr>
                <w:rFonts w:ascii="Cambria" w:eastAsia="Times New Roman" w:hAnsi="Cambria" w:cs="Times New Roman"/>
                <w:lang w:val="hr-HR"/>
              </w:rPr>
              <w:lastRenderedPageBreak/>
              <w:t xml:space="preserve">bogato ilustrirana fotografijama i </w:t>
            </w:r>
            <w:proofErr w:type="spellStart"/>
            <w:r w:rsidRPr="00DF4CE5">
              <w:rPr>
                <w:rFonts w:ascii="Cambria" w:eastAsia="Times New Roman" w:hAnsi="Cambria" w:cs="Times New Roman"/>
                <w:lang w:val="hr-HR"/>
              </w:rPr>
              <w:t>ctrežima</w:t>
            </w:r>
            <w:proofErr w:type="spellEnd"/>
            <w:r w:rsidRPr="00DF4CE5">
              <w:rPr>
                <w:rFonts w:ascii="Cambria" w:eastAsia="Times New Roman" w:hAnsi="Cambria" w:cs="Times New Roman"/>
                <w:lang w:val="hr-HR"/>
              </w:rPr>
              <w:t xml:space="preserve"> vedrih boja.</w:t>
            </w:r>
            <w:r w:rsidRPr="00DF4CE5">
              <w:rPr>
                <w:rFonts w:ascii="Cambria" w:eastAsia="Times New Roman" w:hAnsi="Cambria" w:cs="Times New Roman"/>
                <w:lang w:val="hr-HR"/>
              </w:rPr>
              <w:br/>
            </w:r>
            <w:r w:rsidRPr="00DF4CE5">
              <w:rPr>
                <w:rFonts w:ascii="Cambria" w:eastAsia="Times New Roman" w:hAnsi="Cambria" w:cs="Times New Roman"/>
                <w:bCs/>
                <w:iCs/>
                <w:lang w:val="hr-HR"/>
              </w:rPr>
              <w:t xml:space="preserve">Preporuka: “Vjetar </w:t>
            </w:r>
            <w:proofErr w:type="spellStart"/>
            <w:r w:rsidRPr="00DF4CE5">
              <w:rPr>
                <w:rFonts w:ascii="Cambria" w:eastAsia="Times New Roman" w:hAnsi="Cambria" w:cs="Times New Roman"/>
                <w:bCs/>
                <w:iCs/>
                <w:lang w:val="hr-HR"/>
              </w:rPr>
              <w:t>Jesenac</w:t>
            </w:r>
            <w:proofErr w:type="spellEnd"/>
            <w:r w:rsidRPr="00DF4CE5">
              <w:rPr>
                <w:rFonts w:ascii="Cambria" w:eastAsia="Times New Roman" w:hAnsi="Cambria" w:cs="Times New Roman"/>
                <w:bCs/>
                <w:iCs/>
                <w:lang w:val="hr-HR"/>
              </w:rPr>
              <w:t xml:space="preserve"> i sestrica Jesen” </w:t>
            </w:r>
            <w:r w:rsidRPr="00DF4CE5">
              <w:rPr>
                <w:rFonts w:ascii="Cambria" w:eastAsia="Times New Roman" w:hAnsi="Cambria" w:cs="Times New Roman"/>
                <w:iCs/>
                <w:lang w:val="hr-HR"/>
              </w:rPr>
              <w:t xml:space="preserve">/ tematski / , </w:t>
            </w:r>
            <w:r w:rsidRPr="00DF4CE5">
              <w:rPr>
                <w:rFonts w:ascii="Cambria" w:eastAsia="Times New Roman" w:hAnsi="Cambria" w:cs="Times New Roman"/>
                <w:bCs/>
                <w:iCs/>
                <w:lang w:val="hr-HR"/>
              </w:rPr>
              <w:t xml:space="preserve">“Prirodno je najbolje” </w:t>
            </w:r>
            <w:r w:rsidRPr="00DF4CE5">
              <w:rPr>
                <w:rFonts w:ascii="Cambria" w:eastAsia="Times New Roman" w:hAnsi="Cambria" w:cs="Times New Roman"/>
                <w:iCs/>
                <w:lang w:val="hr-HR"/>
              </w:rPr>
              <w:t>/ očuvanje zdravlja i liječenje /, “</w:t>
            </w:r>
            <w:r w:rsidRPr="00DF4CE5">
              <w:rPr>
                <w:rFonts w:ascii="Cambria" w:eastAsia="Times New Roman" w:hAnsi="Cambria" w:cs="Times New Roman"/>
                <w:bCs/>
                <w:iCs/>
                <w:lang w:val="hr-HR"/>
              </w:rPr>
              <w:t xml:space="preserve">Mogu li kugla, kocka i valjak biti prijatelji?” </w:t>
            </w:r>
            <w:r w:rsidRPr="00DF4CE5">
              <w:rPr>
                <w:rFonts w:ascii="Cambria" w:eastAsia="Times New Roman" w:hAnsi="Cambria" w:cs="Times New Roman"/>
                <w:iCs/>
                <w:lang w:val="hr-HR"/>
              </w:rPr>
              <w:t>/ mala matematička igra /</w:t>
            </w:r>
          </w:p>
          <w:p w14:paraId="6311E991" w14:textId="77777777" w:rsidR="00DB76CD" w:rsidRPr="00DF4CE5" w:rsidRDefault="00DB76CD" w:rsidP="00A034E3">
            <w:pPr>
              <w:numPr>
                <w:ilvl w:val="0"/>
                <w:numId w:val="42"/>
              </w:numPr>
              <w:spacing w:before="280" w:after="280" w:line="240" w:lineRule="auto"/>
              <w:contextualSpacing/>
              <w:rPr>
                <w:rFonts w:ascii="Cambria" w:eastAsia="Times New Roman" w:hAnsi="Cambria" w:cs="Times New Roman"/>
                <w:iCs/>
                <w:lang w:val="hr-HR"/>
              </w:rPr>
            </w:pPr>
            <w:proofErr w:type="spellStart"/>
            <w:r w:rsidRPr="00DF4CE5">
              <w:rPr>
                <w:rFonts w:ascii="Cambria" w:eastAsia="Times New Roman" w:hAnsi="Cambria" w:cs="Times New Roman"/>
                <w:bCs/>
                <w:lang w:val="hr-HR"/>
              </w:rPr>
              <w:t>Krilić</w:t>
            </w:r>
            <w:proofErr w:type="spellEnd"/>
            <w:r w:rsidRPr="00DF4CE5">
              <w:rPr>
                <w:rFonts w:ascii="Cambria" w:eastAsia="Times New Roman" w:hAnsi="Cambria" w:cs="Times New Roman"/>
                <w:bCs/>
                <w:lang w:val="hr-HR"/>
              </w:rPr>
              <w:t>, Zlatko, 1955-</w:t>
            </w:r>
            <w:r w:rsidRPr="00DF4CE5">
              <w:rPr>
                <w:rFonts w:ascii="Cambria" w:eastAsia="Times New Roman" w:hAnsi="Cambria" w:cs="Times New Roman"/>
                <w:lang w:val="hr-HR"/>
              </w:rPr>
              <w:br/>
              <w:t xml:space="preserve">Kazalište lutaka i drugi igrokazi / Zlatko </w:t>
            </w:r>
            <w:proofErr w:type="spellStart"/>
            <w:r w:rsidRPr="00DF4CE5">
              <w:rPr>
                <w:rFonts w:ascii="Cambria" w:eastAsia="Times New Roman" w:hAnsi="Cambria" w:cs="Times New Roman"/>
                <w:lang w:val="hr-HR"/>
              </w:rPr>
              <w:t>Krilić</w:t>
            </w:r>
            <w:proofErr w:type="spellEnd"/>
            <w:r w:rsidRPr="00DF4CE5">
              <w:rPr>
                <w:rFonts w:ascii="Cambria" w:eastAsia="Times New Roman" w:hAnsi="Cambria" w:cs="Times New Roman"/>
                <w:lang w:val="hr-HR"/>
              </w:rPr>
              <w:t xml:space="preserve"> ; &lt;ilustracije Vojo </w:t>
            </w:r>
            <w:proofErr w:type="spellStart"/>
            <w:r w:rsidRPr="00DF4CE5">
              <w:rPr>
                <w:rFonts w:ascii="Cambria" w:eastAsia="Times New Roman" w:hAnsi="Cambria" w:cs="Times New Roman"/>
                <w:lang w:val="hr-HR"/>
              </w:rPr>
              <w:t>Radoičić</w:t>
            </w:r>
            <w:proofErr w:type="spellEnd"/>
            <w:r w:rsidRPr="00DF4CE5">
              <w:rPr>
                <w:rFonts w:ascii="Cambria" w:eastAsia="Times New Roman" w:hAnsi="Cambria" w:cs="Times New Roman"/>
                <w:lang w:val="hr-HR"/>
              </w:rPr>
              <w:t xml:space="preserve">&gt; . – Rijeka : Izdavački centar Rijeka, 1989. – 95 str. : </w:t>
            </w:r>
            <w:proofErr w:type="spellStart"/>
            <w:r w:rsidRPr="00DF4CE5">
              <w:rPr>
                <w:rFonts w:ascii="Cambria" w:eastAsia="Times New Roman" w:hAnsi="Cambria" w:cs="Times New Roman"/>
                <w:lang w:val="hr-HR"/>
              </w:rPr>
              <w:t>ilustr</w:t>
            </w:r>
            <w:proofErr w:type="spellEnd"/>
            <w:r w:rsidRPr="00DF4CE5">
              <w:rPr>
                <w:rFonts w:ascii="Cambria" w:eastAsia="Times New Roman" w:hAnsi="Cambria" w:cs="Times New Roman"/>
                <w:lang w:val="hr-HR"/>
              </w:rPr>
              <w:t xml:space="preserve">. – (Biblioteka za djecu ; knj. 4)                                    </w:t>
            </w:r>
            <w:r w:rsidRPr="00DF4CE5">
              <w:rPr>
                <w:rFonts w:ascii="Cambria" w:eastAsia="Times New Roman" w:hAnsi="Cambria" w:cs="Times New Roman"/>
                <w:bCs/>
                <w:iCs/>
                <w:lang w:val="hr-HR"/>
              </w:rPr>
              <w:t xml:space="preserve">Preporuka: „Jaje“ </w:t>
            </w:r>
            <w:r w:rsidRPr="00DF4CE5">
              <w:rPr>
                <w:rFonts w:ascii="Cambria" w:eastAsia="Times New Roman" w:hAnsi="Cambria" w:cs="Times New Roman"/>
                <w:iCs/>
                <w:lang w:val="hr-HR"/>
              </w:rPr>
              <w:t xml:space="preserve">/ koje se životinje legu iz jaja / , </w:t>
            </w:r>
            <w:r w:rsidRPr="00DF4CE5">
              <w:rPr>
                <w:rFonts w:ascii="Cambria" w:eastAsia="Times New Roman" w:hAnsi="Cambria" w:cs="Times New Roman"/>
                <w:bCs/>
                <w:iCs/>
                <w:lang w:val="hr-HR"/>
              </w:rPr>
              <w:t xml:space="preserve">„Uskočka kapa“ </w:t>
            </w:r>
            <w:r w:rsidRPr="00DF4CE5">
              <w:rPr>
                <w:rFonts w:ascii="Cambria" w:eastAsia="Times New Roman" w:hAnsi="Cambria" w:cs="Times New Roman"/>
                <w:iCs/>
                <w:lang w:val="hr-HR"/>
              </w:rPr>
              <w:t xml:space="preserve">/ iz hrvatske povijesti / , </w:t>
            </w:r>
            <w:r w:rsidRPr="00DF4CE5">
              <w:rPr>
                <w:rFonts w:ascii="Cambria" w:eastAsia="Times New Roman" w:hAnsi="Cambria" w:cs="Times New Roman"/>
                <w:bCs/>
                <w:iCs/>
                <w:lang w:val="hr-HR"/>
              </w:rPr>
              <w:t xml:space="preserve">„Bajka o divu Mrazu „ </w:t>
            </w:r>
            <w:r w:rsidRPr="00DF4CE5">
              <w:rPr>
                <w:rFonts w:ascii="Cambria" w:eastAsia="Times New Roman" w:hAnsi="Cambria" w:cs="Times New Roman"/>
                <w:iCs/>
                <w:lang w:val="hr-HR"/>
              </w:rPr>
              <w:t>/ prigodni / po slavenskim legendama /</w:t>
            </w:r>
          </w:p>
          <w:p w14:paraId="413A4C66" w14:textId="77777777" w:rsidR="00DB76CD" w:rsidRPr="00DF4CE5" w:rsidRDefault="00DB76CD" w:rsidP="00A034E3">
            <w:pPr>
              <w:numPr>
                <w:ilvl w:val="0"/>
                <w:numId w:val="42"/>
              </w:numPr>
              <w:spacing w:before="280" w:after="280" w:line="240" w:lineRule="auto"/>
              <w:contextualSpacing/>
              <w:rPr>
                <w:rFonts w:ascii="Cambria" w:eastAsia="Times New Roman" w:hAnsi="Cambria" w:cs="Times New Roman"/>
                <w:iCs/>
                <w:lang w:val="hr-HR"/>
              </w:rPr>
            </w:pPr>
            <w:proofErr w:type="spellStart"/>
            <w:r w:rsidRPr="00DF4CE5">
              <w:rPr>
                <w:rFonts w:ascii="Cambria" w:eastAsia="Times New Roman" w:hAnsi="Cambria" w:cs="Times New Roman"/>
                <w:bCs/>
                <w:lang w:val="hr-HR"/>
              </w:rPr>
              <w:t>Krilić</w:t>
            </w:r>
            <w:proofErr w:type="spellEnd"/>
            <w:r w:rsidRPr="00DF4CE5">
              <w:rPr>
                <w:rFonts w:ascii="Cambria" w:eastAsia="Times New Roman" w:hAnsi="Cambria" w:cs="Times New Roman"/>
                <w:bCs/>
                <w:lang w:val="hr-HR"/>
              </w:rPr>
              <w:t>, Zlatko, 1955-</w:t>
            </w:r>
            <w:r w:rsidRPr="00DF4CE5">
              <w:rPr>
                <w:rFonts w:ascii="Cambria" w:eastAsia="Times New Roman" w:hAnsi="Cambria" w:cs="Times New Roman"/>
                <w:lang w:val="hr-HR"/>
              </w:rPr>
              <w:br/>
              <w:t xml:space="preserve">Krilate lutke : sedam lutkarskih igrokaza / Zlatko </w:t>
            </w:r>
            <w:proofErr w:type="spellStart"/>
            <w:r w:rsidRPr="00DF4CE5">
              <w:rPr>
                <w:rFonts w:ascii="Cambria" w:eastAsia="Times New Roman" w:hAnsi="Cambria" w:cs="Times New Roman"/>
                <w:lang w:val="hr-HR"/>
              </w:rPr>
              <w:t>Krilić</w:t>
            </w:r>
            <w:proofErr w:type="spellEnd"/>
            <w:r w:rsidRPr="00DF4CE5">
              <w:rPr>
                <w:rFonts w:ascii="Cambria" w:eastAsia="Times New Roman" w:hAnsi="Cambria" w:cs="Times New Roman"/>
                <w:lang w:val="hr-HR"/>
              </w:rPr>
              <w:t xml:space="preserve">. - Zagreb : Međunarodni centar za usluge u kulturi, 1994. - (Biblioteka </w:t>
            </w:r>
            <w:proofErr w:type="spellStart"/>
            <w:r w:rsidRPr="00DF4CE5">
              <w:rPr>
                <w:rFonts w:ascii="Cambria" w:eastAsia="Times New Roman" w:hAnsi="Cambria" w:cs="Times New Roman"/>
                <w:lang w:val="hr-HR"/>
              </w:rPr>
              <w:t>Lutkanija</w:t>
            </w:r>
            <w:proofErr w:type="spellEnd"/>
            <w:r w:rsidRPr="00DF4CE5">
              <w:rPr>
                <w:rFonts w:ascii="Cambria" w:eastAsia="Times New Roman" w:hAnsi="Cambria" w:cs="Times New Roman"/>
                <w:lang w:val="hr-HR"/>
              </w:rPr>
              <w:t xml:space="preserve">)                                                                                     </w:t>
            </w:r>
            <w:r w:rsidRPr="00DF4CE5">
              <w:rPr>
                <w:rFonts w:ascii="Cambria" w:eastAsia="Times New Roman" w:hAnsi="Cambria" w:cs="Times New Roman"/>
                <w:bCs/>
                <w:iCs/>
                <w:lang w:val="hr-HR"/>
              </w:rPr>
              <w:t xml:space="preserve">Preporuka: „Jaje“ </w:t>
            </w:r>
            <w:r w:rsidRPr="00DF4CE5">
              <w:rPr>
                <w:rFonts w:ascii="Cambria" w:eastAsia="Times New Roman" w:hAnsi="Cambria" w:cs="Times New Roman"/>
                <w:iCs/>
                <w:lang w:val="hr-HR"/>
              </w:rPr>
              <w:t>/ koje se životinje legu iz jaja /</w:t>
            </w:r>
            <w:r w:rsidRPr="00DF4CE5">
              <w:rPr>
                <w:rFonts w:ascii="Cambria" w:eastAsia="Times New Roman" w:hAnsi="Cambria" w:cs="Times New Roman"/>
                <w:bCs/>
                <w:iCs/>
                <w:lang w:val="hr-HR"/>
              </w:rPr>
              <w:t xml:space="preserve"> „Uskočka kapa“ </w:t>
            </w:r>
            <w:r w:rsidRPr="00DF4CE5">
              <w:rPr>
                <w:rFonts w:ascii="Cambria" w:eastAsia="Times New Roman" w:hAnsi="Cambria" w:cs="Times New Roman"/>
                <w:iCs/>
                <w:lang w:val="hr-HR"/>
              </w:rPr>
              <w:t>/ iz hrvatske povijesti / ,</w:t>
            </w:r>
            <w:r w:rsidRPr="00DF4CE5">
              <w:rPr>
                <w:rFonts w:ascii="Cambria" w:eastAsia="Times New Roman" w:hAnsi="Cambria" w:cs="Times New Roman"/>
                <w:bCs/>
                <w:iCs/>
                <w:lang w:val="hr-HR"/>
              </w:rPr>
              <w:t xml:space="preserve"> „Bajka o divu Mrazu „ </w:t>
            </w:r>
            <w:r w:rsidRPr="00DF4CE5">
              <w:rPr>
                <w:rFonts w:ascii="Cambria" w:eastAsia="Times New Roman" w:hAnsi="Cambria" w:cs="Times New Roman"/>
                <w:iCs/>
                <w:lang w:val="hr-HR"/>
              </w:rPr>
              <w:t>/ prigodni / po slavenskim legendama /</w:t>
            </w:r>
            <w:r w:rsidRPr="00DF4CE5">
              <w:rPr>
                <w:rFonts w:ascii="Cambria" w:eastAsia="Times New Roman" w:hAnsi="Cambria" w:cs="Times New Roman"/>
                <w:bCs/>
                <w:iCs/>
                <w:lang w:val="hr-HR"/>
              </w:rPr>
              <w:t xml:space="preserve"> „Zlatno srce Nikolino“</w:t>
            </w:r>
            <w:r w:rsidRPr="00DF4CE5">
              <w:rPr>
                <w:rFonts w:ascii="Cambria" w:eastAsia="Times New Roman" w:hAnsi="Cambria" w:cs="Times New Roman"/>
                <w:iCs/>
                <w:lang w:val="hr-HR"/>
              </w:rPr>
              <w:t>/ prigodni/</w:t>
            </w:r>
          </w:p>
          <w:p w14:paraId="7491C509" w14:textId="77777777" w:rsidR="00DB76CD" w:rsidRPr="00DF4CE5" w:rsidRDefault="00DB76CD" w:rsidP="00A034E3">
            <w:pPr>
              <w:numPr>
                <w:ilvl w:val="0"/>
                <w:numId w:val="42"/>
              </w:numPr>
              <w:spacing w:before="280" w:after="280" w:line="240" w:lineRule="auto"/>
              <w:contextualSpacing/>
              <w:rPr>
                <w:rFonts w:ascii="Cambria" w:eastAsia="Times New Roman" w:hAnsi="Cambria" w:cs="Times New Roman"/>
                <w:lang w:val="hr-HR"/>
              </w:rPr>
            </w:pPr>
            <w:r w:rsidRPr="00DF4CE5">
              <w:rPr>
                <w:rFonts w:ascii="Cambria" w:eastAsia="Times New Roman" w:hAnsi="Cambria" w:cs="Times New Roman"/>
                <w:bCs/>
                <w:lang w:val="hr-HR"/>
              </w:rPr>
              <w:t>Krizmanić, Mirjana, 1936-</w:t>
            </w:r>
            <w:r w:rsidRPr="00DF4CE5">
              <w:rPr>
                <w:rFonts w:ascii="Cambria" w:eastAsia="Times New Roman" w:hAnsi="Cambria" w:cs="Times New Roman"/>
                <w:lang w:val="hr-HR"/>
              </w:rPr>
              <w:br/>
              <w:t xml:space="preserve">Medo u kolicima / Mirjana Krizmanić ; ilustrirao </w:t>
            </w:r>
            <w:proofErr w:type="spellStart"/>
            <w:r w:rsidRPr="00DF4CE5">
              <w:rPr>
                <w:rFonts w:ascii="Cambria" w:eastAsia="Times New Roman" w:hAnsi="Cambria" w:cs="Times New Roman"/>
                <w:lang w:val="hr-HR"/>
              </w:rPr>
              <w:t>Alem</w:t>
            </w:r>
            <w:proofErr w:type="spellEnd"/>
            <w:r w:rsidRPr="00DF4CE5">
              <w:rPr>
                <w:rFonts w:ascii="Cambria" w:eastAsia="Times New Roman" w:hAnsi="Cambria" w:cs="Times New Roman"/>
                <w:lang w:val="hr-HR"/>
              </w:rPr>
              <w:t xml:space="preserve"> Biočić. - Sisak : Aura, 2001. - &lt;16&gt; str. : </w:t>
            </w:r>
            <w:proofErr w:type="spellStart"/>
            <w:r w:rsidRPr="00DF4CE5">
              <w:rPr>
                <w:rFonts w:ascii="Cambria" w:eastAsia="Times New Roman" w:hAnsi="Cambria" w:cs="Times New Roman"/>
                <w:lang w:val="hr-HR"/>
              </w:rPr>
              <w:t>ilustr</w:t>
            </w:r>
            <w:proofErr w:type="spellEnd"/>
            <w:r w:rsidRPr="00DF4CE5">
              <w:rPr>
                <w:rFonts w:ascii="Cambria" w:eastAsia="Times New Roman" w:hAnsi="Cambria" w:cs="Times New Roman"/>
                <w:lang w:val="hr-HR"/>
              </w:rPr>
              <w:t xml:space="preserve">. ; 22 cm. - (Biblioteka </w:t>
            </w:r>
            <w:proofErr w:type="spellStart"/>
            <w:r w:rsidRPr="00DF4CE5">
              <w:rPr>
                <w:rFonts w:ascii="Cambria" w:eastAsia="Times New Roman" w:hAnsi="Cambria" w:cs="Times New Roman"/>
                <w:lang w:val="hr-HR"/>
              </w:rPr>
              <w:t>Štiglic</w:t>
            </w:r>
            <w:proofErr w:type="spellEnd"/>
            <w:r w:rsidRPr="00DF4CE5">
              <w:rPr>
                <w:rFonts w:ascii="Cambria" w:eastAsia="Times New Roman" w:hAnsi="Cambria" w:cs="Times New Roman"/>
                <w:lang w:val="hr-HR"/>
              </w:rPr>
              <w:t xml:space="preserve"> ; knj. 3)</w:t>
            </w:r>
          </w:p>
          <w:p w14:paraId="1740DE43" w14:textId="77777777" w:rsidR="00DB76CD" w:rsidRPr="00DF4CE5" w:rsidRDefault="00DB76CD" w:rsidP="00A034E3">
            <w:pPr>
              <w:numPr>
                <w:ilvl w:val="0"/>
                <w:numId w:val="42"/>
              </w:numPr>
              <w:spacing w:before="280" w:after="280" w:line="240" w:lineRule="auto"/>
              <w:contextualSpacing/>
              <w:rPr>
                <w:rFonts w:ascii="Cambria" w:eastAsia="Times New Roman" w:hAnsi="Cambria" w:cs="Times New Roman"/>
                <w:bCs/>
                <w:iCs/>
                <w:lang w:val="hr-HR"/>
              </w:rPr>
            </w:pPr>
            <w:r w:rsidRPr="00DF4CE5">
              <w:rPr>
                <w:rFonts w:ascii="Cambria" w:eastAsia="Times New Roman" w:hAnsi="Cambria" w:cs="Times New Roman"/>
                <w:lang w:val="hr-HR"/>
              </w:rPr>
              <w:t xml:space="preserve">Kratka priča - igrokaz, o medvjediću koji ne može hodati. Šumske životinje se udruže i izrade mu kolica u kojima će se voziti. Humana poruka ove slikovnice čini je prigodnom za razvijanje suosjećanja i primjerenog odnosa djece prema invalidnim osobama. </w:t>
            </w:r>
            <w:r w:rsidRPr="00DF4CE5">
              <w:rPr>
                <w:rFonts w:ascii="Cambria" w:eastAsia="Times New Roman" w:hAnsi="Cambria" w:cs="Times New Roman"/>
                <w:lang w:val="hr-HR"/>
              </w:rPr>
              <w:br/>
            </w:r>
            <w:r w:rsidRPr="00DF4CE5">
              <w:rPr>
                <w:rFonts w:ascii="Cambria" w:eastAsia="Times New Roman" w:hAnsi="Cambria" w:cs="Times New Roman"/>
                <w:bCs/>
                <w:iCs/>
                <w:lang w:val="hr-HR"/>
              </w:rPr>
              <w:t xml:space="preserve">Tema: pomoć invalidnoj osobi </w:t>
            </w:r>
          </w:p>
          <w:p w14:paraId="2E9B6AB6" w14:textId="77777777" w:rsidR="00DB76CD" w:rsidRPr="00DF4CE5" w:rsidRDefault="00DB76CD" w:rsidP="00A034E3">
            <w:pPr>
              <w:numPr>
                <w:ilvl w:val="0"/>
                <w:numId w:val="42"/>
              </w:numPr>
              <w:spacing w:before="280" w:after="280" w:line="240" w:lineRule="auto"/>
              <w:contextualSpacing/>
              <w:rPr>
                <w:rFonts w:ascii="Cambria" w:eastAsia="Times New Roman" w:hAnsi="Cambria" w:cs="Times New Roman"/>
                <w:lang w:val="hr-HR"/>
              </w:rPr>
            </w:pPr>
            <w:r w:rsidRPr="00DF4CE5">
              <w:rPr>
                <w:rFonts w:ascii="Cambria" w:eastAsia="Times New Roman" w:hAnsi="Cambria" w:cs="Times New Roman"/>
                <w:bCs/>
                <w:lang w:val="hr-HR"/>
              </w:rPr>
              <w:t>Lutkarski igrokazi za djecu XXI. stoljeća</w:t>
            </w:r>
            <w:r w:rsidRPr="00DF4CE5">
              <w:rPr>
                <w:rFonts w:ascii="Cambria" w:eastAsia="Times New Roman" w:hAnsi="Cambria" w:cs="Times New Roman"/>
                <w:lang w:val="hr-HR"/>
              </w:rPr>
              <w:br/>
              <w:t xml:space="preserve">Lutkarski igrokazi za djecu XXI. stoljeća / priredila Ana Đokić </w:t>
            </w:r>
            <w:proofErr w:type="spellStart"/>
            <w:r w:rsidRPr="00DF4CE5">
              <w:rPr>
                <w:rFonts w:ascii="Cambria" w:eastAsia="Times New Roman" w:hAnsi="Cambria" w:cs="Times New Roman"/>
                <w:lang w:val="hr-HR"/>
              </w:rPr>
              <w:t>Pongrašić</w:t>
            </w:r>
            <w:proofErr w:type="spellEnd"/>
            <w:r w:rsidRPr="00DF4CE5">
              <w:rPr>
                <w:rFonts w:ascii="Cambria" w:eastAsia="Times New Roman" w:hAnsi="Cambria" w:cs="Times New Roman"/>
                <w:lang w:val="hr-HR"/>
              </w:rPr>
              <w:t xml:space="preserve"> ; [fotografije Dejan Miljković]. - Zagreb : Autorska kuća, 2005. - 150 str : </w:t>
            </w:r>
            <w:proofErr w:type="spellStart"/>
            <w:r w:rsidRPr="00DF4CE5">
              <w:rPr>
                <w:rFonts w:ascii="Cambria" w:eastAsia="Times New Roman" w:hAnsi="Cambria" w:cs="Times New Roman"/>
                <w:lang w:val="hr-HR"/>
              </w:rPr>
              <w:t>ilustr</w:t>
            </w:r>
            <w:proofErr w:type="spellEnd"/>
            <w:r w:rsidRPr="00DF4CE5">
              <w:rPr>
                <w:rFonts w:ascii="Cambria" w:eastAsia="Times New Roman" w:hAnsi="Cambria" w:cs="Times New Roman"/>
                <w:lang w:val="hr-HR"/>
              </w:rPr>
              <w:t>. ; 21 cm</w:t>
            </w:r>
          </w:p>
          <w:p w14:paraId="1B598EB4" w14:textId="77777777" w:rsidR="00DB76CD" w:rsidRPr="00DF4CE5" w:rsidRDefault="00DB76CD" w:rsidP="00A034E3">
            <w:pPr>
              <w:numPr>
                <w:ilvl w:val="0"/>
                <w:numId w:val="42"/>
              </w:numPr>
              <w:spacing w:before="280" w:after="280" w:line="240" w:lineRule="auto"/>
              <w:contextualSpacing/>
              <w:rPr>
                <w:rFonts w:ascii="Cambria" w:eastAsia="Times New Roman" w:hAnsi="Cambria" w:cs="Times New Roman"/>
                <w:iCs/>
                <w:lang w:val="hr-HR"/>
              </w:rPr>
            </w:pPr>
            <w:r w:rsidRPr="00DF4CE5">
              <w:rPr>
                <w:rFonts w:ascii="Cambria" w:eastAsia="Times New Roman" w:hAnsi="Cambria" w:cs="Times New Roman"/>
                <w:lang w:val="hr-HR"/>
              </w:rPr>
              <w:t xml:space="preserve">Zbirka sadrži pet igrokaza: Kovačević, H. "General </w:t>
            </w:r>
            <w:proofErr w:type="spellStart"/>
            <w:r w:rsidRPr="00DF4CE5">
              <w:rPr>
                <w:rFonts w:ascii="Cambria" w:eastAsia="Times New Roman" w:hAnsi="Cambria" w:cs="Times New Roman"/>
                <w:lang w:val="hr-HR"/>
              </w:rPr>
              <w:t>Kiro</w:t>
            </w:r>
            <w:proofErr w:type="spellEnd"/>
            <w:r w:rsidRPr="00DF4CE5">
              <w:rPr>
                <w:rFonts w:ascii="Cambria" w:eastAsia="Times New Roman" w:hAnsi="Cambria" w:cs="Times New Roman"/>
                <w:lang w:val="hr-HR"/>
              </w:rPr>
              <w:t xml:space="preserve"> Miš" (postoji kao prozno djelo); Lovrenčić, S. : Mala virusna upala grla"; Martinac Kralj, L.: "Lastavica" (nagrada za najbolji tekst na festivalu dječjih kazališta "Naj, naj"); Lukšić, M. "Prizemne basne"; Đokić </w:t>
            </w:r>
            <w:proofErr w:type="spellStart"/>
            <w:r w:rsidRPr="00DF4CE5">
              <w:rPr>
                <w:rFonts w:ascii="Cambria" w:eastAsia="Times New Roman" w:hAnsi="Cambria" w:cs="Times New Roman"/>
                <w:lang w:val="hr-HR"/>
              </w:rPr>
              <w:t>Pongrašić</w:t>
            </w:r>
            <w:proofErr w:type="spellEnd"/>
            <w:r w:rsidRPr="00DF4CE5">
              <w:rPr>
                <w:rFonts w:ascii="Cambria" w:eastAsia="Times New Roman" w:hAnsi="Cambria" w:cs="Times New Roman"/>
                <w:lang w:val="hr-HR"/>
              </w:rPr>
              <w:t>, A.: "Iz dnevnika jednog zmaja" (postoji kao prozno djelo). Primjereno djeci školskog uzrasta.</w:t>
            </w:r>
            <w:r w:rsidRPr="00DF4CE5">
              <w:rPr>
                <w:rFonts w:ascii="Cambria" w:eastAsia="Times New Roman" w:hAnsi="Cambria" w:cs="Times New Roman"/>
                <w:lang w:val="hr-HR"/>
              </w:rPr>
              <w:br/>
            </w:r>
            <w:r w:rsidRPr="00DF4CE5">
              <w:rPr>
                <w:rFonts w:ascii="Cambria" w:eastAsia="Times New Roman" w:hAnsi="Cambria" w:cs="Times New Roman"/>
                <w:bCs/>
                <w:iCs/>
                <w:lang w:val="hr-HR"/>
              </w:rPr>
              <w:t>Preporuka: Đokić-</w:t>
            </w:r>
            <w:proofErr w:type="spellStart"/>
            <w:r w:rsidRPr="00DF4CE5">
              <w:rPr>
                <w:rFonts w:ascii="Cambria" w:eastAsia="Times New Roman" w:hAnsi="Cambria" w:cs="Times New Roman"/>
                <w:bCs/>
                <w:iCs/>
                <w:lang w:val="hr-HR"/>
              </w:rPr>
              <w:t>Pongrašić</w:t>
            </w:r>
            <w:proofErr w:type="spellEnd"/>
            <w:r w:rsidRPr="00DF4CE5">
              <w:rPr>
                <w:rFonts w:ascii="Cambria" w:eastAsia="Times New Roman" w:hAnsi="Cambria" w:cs="Times New Roman"/>
                <w:bCs/>
                <w:iCs/>
                <w:lang w:val="hr-HR"/>
              </w:rPr>
              <w:t xml:space="preserve">: „Iz dnevnika jednog zmaja“ </w:t>
            </w:r>
            <w:r w:rsidRPr="00DF4CE5">
              <w:rPr>
                <w:rFonts w:ascii="Cambria" w:eastAsia="Times New Roman" w:hAnsi="Cambria" w:cs="Times New Roman"/>
                <w:iCs/>
                <w:lang w:val="hr-HR"/>
              </w:rPr>
              <w:t>/ humoristički /</w:t>
            </w:r>
          </w:p>
          <w:p w14:paraId="55C446E9" w14:textId="77777777" w:rsidR="00DB76CD" w:rsidRPr="00DF4CE5" w:rsidRDefault="00DB76CD" w:rsidP="00A034E3">
            <w:pPr>
              <w:numPr>
                <w:ilvl w:val="0"/>
                <w:numId w:val="42"/>
              </w:numPr>
              <w:spacing w:before="280" w:after="280" w:line="240" w:lineRule="auto"/>
              <w:contextualSpacing/>
              <w:rPr>
                <w:rFonts w:ascii="Cambria" w:eastAsia="Times New Roman" w:hAnsi="Cambria" w:cs="Times New Roman"/>
                <w:bCs/>
                <w:iCs/>
                <w:lang w:val="hr-HR"/>
              </w:rPr>
            </w:pPr>
            <w:r w:rsidRPr="00DF4CE5">
              <w:rPr>
                <w:rFonts w:ascii="Cambria" w:eastAsia="Times New Roman" w:hAnsi="Cambria" w:cs="Times New Roman"/>
                <w:bCs/>
                <w:lang w:val="hr-HR"/>
              </w:rPr>
              <w:t>Lutke iz davnine Ivane Brlić - Mažuranić</w:t>
            </w:r>
            <w:r w:rsidRPr="00DF4CE5">
              <w:rPr>
                <w:rFonts w:ascii="Cambria" w:eastAsia="Times New Roman" w:hAnsi="Cambria" w:cs="Times New Roman"/>
                <w:lang w:val="hr-HR"/>
              </w:rPr>
              <w:br/>
              <w:t xml:space="preserve">Lutke iz davnine Ivane Brlić - Mažuranić = I.B.M. </w:t>
            </w:r>
            <w:proofErr w:type="spellStart"/>
            <w:r w:rsidRPr="00DF4CE5">
              <w:rPr>
                <w:rFonts w:ascii="Cambria" w:eastAsia="Times New Roman" w:hAnsi="Cambria" w:cs="Times New Roman"/>
                <w:lang w:val="hr-HR"/>
              </w:rPr>
              <w:t>amongthepuppets</w:t>
            </w:r>
            <w:proofErr w:type="spellEnd"/>
            <w:r w:rsidRPr="00DF4CE5">
              <w:rPr>
                <w:rFonts w:ascii="Cambria" w:eastAsia="Times New Roman" w:hAnsi="Cambria" w:cs="Times New Roman"/>
                <w:lang w:val="hr-HR"/>
              </w:rPr>
              <w:t xml:space="preserve"> / &lt;urednica Livija </w:t>
            </w:r>
            <w:proofErr w:type="spellStart"/>
            <w:r w:rsidRPr="00DF4CE5">
              <w:rPr>
                <w:rFonts w:ascii="Cambria" w:eastAsia="Times New Roman" w:hAnsi="Cambria" w:cs="Times New Roman"/>
                <w:lang w:val="hr-HR"/>
              </w:rPr>
              <w:t>Kroflin</w:t>
            </w:r>
            <w:proofErr w:type="spellEnd"/>
            <w:r w:rsidRPr="00DF4CE5">
              <w:rPr>
                <w:rFonts w:ascii="Cambria" w:eastAsia="Times New Roman" w:hAnsi="Cambria" w:cs="Times New Roman"/>
                <w:lang w:val="hr-HR"/>
              </w:rPr>
              <w:t xml:space="preserve"> ; prijevod na engleski Nina </w:t>
            </w:r>
            <w:proofErr w:type="spellStart"/>
            <w:r w:rsidRPr="00DF4CE5">
              <w:rPr>
                <w:rFonts w:ascii="Cambria" w:eastAsia="Times New Roman" w:hAnsi="Cambria" w:cs="Times New Roman"/>
                <w:lang w:val="hr-HR"/>
              </w:rPr>
              <w:t>H.Kay</w:t>
            </w:r>
            <w:proofErr w:type="spellEnd"/>
            <w:r w:rsidRPr="00DF4CE5">
              <w:rPr>
                <w:rFonts w:ascii="Cambria" w:eastAsia="Times New Roman" w:hAnsi="Cambria" w:cs="Times New Roman"/>
                <w:lang w:val="hr-HR"/>
              </w:rPr>
              <w:t xml:space="preserve"> - </w:t>
            </w:r>
            <w:proofErr w:type="spellStart"/>
            <w:r w:rsidRPr="00DF4CE5">
              <w:rPr>
                <w:rFonts w:ascii="Cambria" w:eastAsia="Times New Roman" w:hAnsi="Cambria" w:cs="Times New Roman"/>
                <w:lang w:val="hr-HR"/>
              </w:rPr>
              <w:t>Antoljak</w:t>
            </w:r>
            <w:proofErr w:type="spellEnd"/>
            <w:r w:rsidRPr="00DF4CE5">
              <w:rPr>
                <w:rFonts w:ascii="Cambria" w:eastAsia="Times New Roman" w:hAnsi="Cambria" w:cs="Times New Roman"/>
                <w:lang w:val="hr-HR"/>
              </w:rPr>
              <w:t xml:space="preserve">&gt;. - Zagreb : Međunarodni centar za usluge u kulturi, 1994. - 152 str. ; 20 cm. - (Biblioteka </w:t>
            </w:r>
            <w:proofErr w:type="spellStart"/>
            <w:r w:rsidRPr="00DF4CE5">
              <w:rPr>
                <w:rFonts w:ascii="Cambria" w:eastAsia="Times New Roman" w:hAnsi="Cambria" w:cs="Times New Roman"/>
                <w:lang w:val="hr-HR"/>
              </w:rPr>
              <w:t>Lutkanija</w:t>
            </w:r>
            <w:proofErr w:type="spellEnd"/>
            <w:r w:rsidRPr="00DF4CE5">
              <w:rPr>
                <w:rFonts w:ascii="Cambria" w:eastAsia="Times New Roman" w:hAnsi="Cambria" w:cs="Times New Roman"/>
                <w:lang w:val="hr-HR"/>
              </w:rPr>
              <w:t xml:space="preserve">) </w:t>
            </w:r>
            <w:r w:rsidRPr="00DF4CE5">
              <w:rPr>
                <w:rFonts w:ascii="Cambria" w:eastAsia="Times New Roman" w:hAnsi="Cambria" w:cs="Times New Roman"/>
                <w:bCs/>
                <w:iCs/>
                <w:lang w:val="hr-HR"/>
              </w:rPr>
              <w:t xml:space="preserve">Preporuka: </w:t>
            </w:r>
            <w:proofErr w:type="spellStart"/>
            <w:r w:rsidRPr="00DF4CE5">
              <w:rPr>
                <w:rFonts w:ascii="Cambria" w:eastAsia="Times New Roman" w:hAnsi="Cambria" w:cs="Times New Roman"/>
                <w:bCs/>
                <w:iCs/>
                <w:lang w:val="hr-HR"/>
              </w:rPr>
              <w:t>Rabadan</w:t>
            </w:r>
            <w:proofErr w:type="spellEnd"/>
            <w:r w:rsidRPr="00DF4CE5">
              <w:rPr>
                <w:rFonts w:ascii="Cambria" w:eastAsia="Times New Roman" w:hAnsi="Cambria" w:cs="Times New Roman"/>
                <w:bCs/>
                <w:iCs/>
                <w:lang w:val="hr-HR"/>
              </w:rPr>
              <w:t xml:space="preserve">: „Šuma Striborova“, </w:t>
            </w:r>
            <w:proofErr w:type="spellStart"/>
            <w:r w:rsidRPr="00DF4CE5">
              <w:rPr>
                <w:rFonts w:ascii="Cambria" w:eastAsia="Times New Roman" w:hAnsi="Cambria" w:cs="Times New Roman"/>
                <w:bCs/>
                <w:iCs/>
                <w:lang w:val="hr-HR"/>
              </w:rPr>
              <w:t>Čečuk</w:t>
            </w:r>
            <w:proofErr w:type="spellEnd"/>
            <w:r w:rsidRPr="00DF4CE5">
              <w:rPr>
                <w:rFonts w:ascii="Cambria" w:eastAsia="Times New Roman" w:hAnsi="Cambria" w:cs="Times New Roman"/>
                <w:bCs/>
                <w:iCs/>
                <w:lang w:val="hr-HR"/>
              </w:rPr>
              <w:t>: „Ribar Palunko i njegova žena“</w:t>
            </w:r>
          </w:p>
          <w:p w14:paraId="65E14956" w14:textId="77777777" w:rsidR="00DB76CD" w:rsidRPr="00DF4CE5" w:rsidRDefault="00DB76CD" w:rsidP="00A034E3">
            <w:pPr>
              <w:numPr>
                <w:ilvl w:val="0"/>
                <w:numId w:val="42"/>
              </w:numPr>
              <w:spacing w:before="280" w:after="280" w:line="240" w:lineRule="auto"/>
              <w:contextualSpacing/>
              <w:rPr>
                <w:rFonts w:ascii="Cambria" w:eastAsia="Times New Roman" w:hAnsi="Cambria" w:cs="Times New Roman"/>
                <w:lang w:val="hr-HR"/>
              </w:rPr>
            </w:pPr>
            <w:proofErr w:type="spellStart"/>
            <w:r w:rsidRPr="00DF4CE5">
              <w:rPr>
                <w:rFonts w:ascii="Cambria" w:eastAsia="Times New Roman" w:hAnsi="Cambria" w:cs="Times New Roman"/>
                <w:bCs/>
                <w:lang w:val="hr-HR"/>
              </w:rPr>
              <w:t>Pašagić</w:t>
            </w:r>
            <w:proofErr w:type="spellEnd"/>
            <w:r w:rsidRPr="00DF4CE5">
              <w:rPr>
                <w:rFonts w:ascii="Cambria" w:eastAsia="Times New Roman" w:hAnsi="Cambria" w:cs="Times New Roman"/>
                <w:bCs/>
                <w:lang w:val="hr-HR"/>
              </w:rPr>
              <w:t>, Blanka, 1948-</w:t>
            </w:r>
            <w:r w:rsidRPr="00DF4CE5">
              <w:rPr>
                <w:rFonts w:ascii="Cambria" w:eastAsia="Times New Roman" w:hAnsi="Cambria" w:cs="Times New Roman"/>
                <w:lang w:val="hr-HR"/>
              </w:rPr>
              <w:br/>
              <w:t xml:space="preserve">Maksimirska priča / Blanka </w:t>
            </w:r>
            <w:proofErr w:type="spellStart"/>
            <w:r w:rsidRPr="00DF4CE5">
              <w:rPr>
                <w:rFonts w:ascii="Cambria" w:eastAsia="Times New Roman" w:hAnsi="Cambria" w:cs="Times New Roman"/>
                <w:lang w:val="hr-HR"/>
              </w:rPr>
              <w:t>Pašagić</w:t>
            </w:r>
            <w:proofErr w:type="spellEnd"/>
            <w:r w:rsidRPr="00DF4CE5">
              <w:rPr>
                <w:rFonts w:ascii="Cambria" w:eastAsia="Times New Roman" w:hAnsi="Cambria" w:cs="Times New Roman"/>
                <w:lang w:val="hr-HR"/>
              </w:rPr>
              <w:t xml:space="preserve"> ; &lt;ilustrirao Roman </w:t>
            </w:r>
            <w:proofErr w:type="spellStart"/>
            <w:r w:rsidRPr="00DF4CE5">
              <w:rPr>
                <w:rFonts w:ascii="Cambria" w:eastAsia="Times New Roman" w:hAnsi="Cambria" w:cs="Times New Roman"/>
                <w:lang w:val="hr-HR"/>
              </w:rPr>
              <w:t>Markuš</w:t>
            </w:r>
            <w:proofErr w:type="spellEnd"/>
            <w:r w:rsidRPr="00DF4CE5">
              <w:rPr>
                <w:rFonts w:ascii="Cambria" w:eastAsia="Times New Roman" w:hAnsi="Cambria" w:cs="Times New Roman"/>
                <w:lang w:val="hr-HR"/>
              </w:rPr>
              <w:t xml:space="preserve">&gt;. </w:t>
            </w:r>
            <w:r w:rsidRPr="00DF4CE5">
              <w:rPr>
                <w:rFonts w:ascii="Cambria" w:eastAsia="Times New Roman" w:hAnsi="Cambria" w:cs="Times New Roman"/>
                <w:lang w:val="hr-HR"/>
              </w:rPr>
              <w:lastRenderedPageBreak/>
              <w:t>- Zagreb &lt;</w:t>
            </w:r>
            <w:proofErr w:type="spellStart"/>
            <w:r w:rsidRPr="00DF4CE5">
              <w:rPr>
                <w:rFonts w:ascii="Cambria" w:eastAsia="Times New Roman" w:hAnsi="Cambria" w:cs="Times New Roman"/>
                <w:lang w:val="hr-HR"/>
              </w:rPr>
              <w:t>i.e</w:t>
            </w:r>
            <w:proofErr w:type="spellEnd"/>
            <w:r w:rsidRPr="00DF4CE5">
              <w:rPr>
                <w:rFonts w:ascii="Cambria" w:eastAsia="Times New Roman" w:hAnsi="Cambria" w:cs="Times New Roman"/>
                <w:lang w:val="hr-HR"/>
              </w:rPr>
              <w:t xml:space="preserve">. Zaprešić&gt; : Matica hrvatska Zaprešić, 1993. - 30 str. : </w:t>
            </w:r>
            <w:proofErr w:type="spellStart"/>
            <w:r w:rsidRPr="00DF4CE5">
              <w:rPr>
                <w:rFonts w:ascii="Cambria" w:eastAsia="Times New Roman" w:hAnsi="Cambria" w:cs="Times New Roman"/>
                <w:lang w:val="hr-HR"/>
              </w:rPr>
              <w:t>ilustr</w:t>
            </w:r>
            <w:proofErr w:type="spellEnd"/>
            <w:r w:rsidRPr="00DF4CE5">
              <w:rPr>
                <w:rFonts w:ascii="Cambria" w:eastAsia="Times New Roman" w:hAnsi="Cambria" w:cs="Times New Roman"/>
                <w:lang w:val="hr-HR"/>
              </w:rPr>
              <w:t>. ; 24 cm. - (Biblioteka Posebna izdanja / Matica hrvatska Zaprešić ; sv. 4)</w:t>
            </w:r>
          </w:p>
          <w:p w14:paraId="0EC74947" w14:textId="77777777" w:rsidR="00DB76CD" w:rsidRPr="00DF4CE5" w:rsidRDefault="00DB76CD" w:rsidP="00A034E3">
            <w:pPr>
              <w:numPr>
                <w:ilvl w:val="0"/>
                <w:numId w:val="42"/>
              </w:numPr>
              <w:spacing w:before="280" w:after="280" w:line="240" w:lineRule="auto"/>
              <w:contextualSpacing/>
              <w:rPr>
                <w:rFonts w:ascii="Cambria" w:eastAsia="Times New Roman" w:hAnsi="Cambria" w:cs="Times New Roman"/>
                <w:iCs/>
                <w:lang w:val="hr-HR"/>
              </w:rPr>
            </w:pPr>
            <w:r w:rsidRPr="00DF4CE5">
              <w:rPr>
                <w:rFonts w:ascii="Cambria" w:eastAsia="Times New Roman" w:hAnsi="Cambria" w:cs="Times New Roman"/>
                <w:lang w:val="hr-HR"/>
              </w:rPr>
              <w:t xml:space="preserve">Lutkarska basna o pužu sa maksimirske klupe i njegovim susretima sa stonogom, mravom, sovom, mišem, </w:t>
            </w:r>
            <w:proofErr w:type="spellStart"/>
            <w:r w:rsidRPr="00DF4CE5">
              <w:rPr>
                <w:rFonts w:ascii="Cambria" w:eastAsia="Times New Roman" w:hAnsi="Cambria" w:cs="Times New Roman"/>
                <w:lang w:val="hr-HR"/>
              </w:rPr>
              <w:t>zrikavacem</w:t>
            </w:r>
            <w:proofErr w:type="spellEnd"/>
            <w:r w:rsidRPr="00DF4CE5">
              <w:rPr>
                <w:rFonts w:ascii="Cambria" w:eastAsia="Times New Roman" w:hAnsi="Cambria" w:cs="Times New Roman"/>
                <w:lang w:val="hr-HR"/>
              </w:rPr>
              <w:t xml:space="preserve"> i krijesnicom. </w:t>
            </w:r>
            <w:r w:rsidRPr="00DF4CE5">
              <w:rPr>
                <w:rFonts w:ascii="Cambria" w:eastAsia="Times New Roman" w:hAnsi="Cambria" w:cs="Times New Roman"/>
                <w:lang w:val="hr-HR"/>
              </w:rPr>
              <w:br/>
            </w:r>
            <w:r w:rsidRPr="00DF4CE5">
              <w:rPr>
                <w:rFonts w:ascii="Cambria" w:eastAsia="Times New Roman" w:hAnsi="Cambria" w:cs="Times New Roman"/>
                <w:bCs/>
                <w:iCs/>
                <w:lang w:val="hr-HR"/>
              </w:rPr>
              <w:t xml:space="preserve">Preporuka: Korištene igrokaza u cijelosti ili po segmentima </w:t>
            </w:r>
            <w:r w:rsidRPr="00DF4CE5">
              <w:rPr>
                <w:rFonts w:ascii="Cambria" w:eastAsia="Times New Roman" w:hAnsi="Cambria" w:cs="Times New Roman"/>
                <w:iCs/>
                <w:lang w:val="hr-HR"/>
              </w:rPr>
              <w:t xml:space="preserve">/ teme: bezobzirnost / </w:t>
            </w:r>
            <w:proofErr w:type="spellStart"/>
            <w:r w:rsidRPr="00DF4CE5">
              <w:rPr>
                <w:rFonts w:ascii="Cambria" w:eastAsia="Times New Roman" w:hAnsi="Cambria" w:cs="Times New Roman"/>
                <w:iCs/>
                <w:lang w:val="hr-HR"/>
              </w:rPr>
              <w:t>dobročudnost</w:t>
            </w:r>
            <w:proofErr w:type="spellEnd"/>
            <w:r w:rsidRPr="00DF4CE5">
              <w:rPr>
                <w:rFonts w:ascii="Cambria" w:eastAsia="Times New Roman" w:hAnsi="Cambria" w:cs="Times New Roman"/>
                <w:iCs/>
                <w:lang w:val="hr-HR"/>
              </w:rPr>
              <w:t xml:space="preserve"> / mudrost / strašljivost / uobraženost </w:t>
            </w:r>
          </w:p>
          <w:p w14:paraId="0E52E4E4" w14:textId="77777777" w:rsidR="00DB76CD" w:rsidRPr="00DF4CE5" w:rsidRDefault="00DB76CD" w:rsidP="00A034E3">
            <w:pPr>
              <w:numPr>
                <w:ilvl w:val="0"/>
                <w:numId w:val="42"/>
              </w:numPr>
              <w:spacing w:before="280" w:after="280" w:line="240" w:lineRule="auto"/>
              <w:contextualSpacing/>
              <w:rPr>
                <w:rFonts w:ascii="Cambria" w:eastAsia="Times New Roman" w:hAnsi="Cambria" w:cs="Times New Roman"/>
                <w:lang w:val="hr-HR"/>
              </w:rPr>
            </w:pPr>
            <w:proofErr w:type="spellStart"/>
            <w:r w:rsidRPr="00DF4CE5">
              <w:rPr>
                <w:rFonts w:ascii="Cambria" w:eastAsia="Times New Roman" w:hAnsi="Cambria" w:cs="Times New Roman"/>
                <w:bCs/>
                <w:lang w:val="hr-HR"/>
              </w:rPr>
              <w:t>Pokrivka</w:t>
            </w:r>
            <w:proofErr w:type="spellEnd"/>
            <w:r w:rsidRPr="00DF4CE5">
              <w:rPr>
                <w:rFonts w:ascii="Cambria" w:eastAsia="Times New Roman" w:hAnsi="Cambria" w:cs="Times New Roman"/>
                <w:bCs/>
                <w:lang w:val="hr-HR"/>
              </w:rPr>
              <w:t>, Vlasta</w:t>
            </w:r>
            <w:r w:rsidRPr="00DF4CE5">
              <w:rPr>
                <w:rFonts w:ascii="Cambria" w:eastAsia="Times New Roman" w:hAnsi="Cambria" w:cs="Times New Roman"/>
                <w:lang w:val="hr-HR"/>
              </w:rPr>
              <w:br/>
              <w:t xml:space="preserve">Dijete i scenska lutka : priručnik za odgajatelje u dječjim vrtićima / Vlasta </w:t>
            </w:r>
            <w:proofErr w:type="spellStart"/>
            <w:r w:rsidRPr="00DF4CE5">
              <w:rPr>
                <w:rFonts w:ascii="Cambria" w:eastAsia="Times New Roman" w:hAnsi="Cambria" w:cs="Times New Roman"/>
                <w:lang w:val="hr-HR"/>
              </w:rPr>
              <w:t>Pokrivka</w:t>
            </w:r>
            <w:proofErr w:type="spellEnd"/>
            <w:r w:rsidRPr="00DF4CE5">
              <w:rPr>
                <w:rFonts w:ascii="Cambria" w:eastAsia="Times New Roman" w:hAnsi="Cambria" w:cs="Times New Roman"/>
                <w:lang w:val="hr-HR"/>
              </w:rPr>
              <w:t>. – Zagreb : Školska knjiga, 1978. –122 str.</w:t>
            </w:r>
          </w:p>
          <w:p w14:paraId="1D23A5DE" w14:textId="77777777" w:rsidR="00DB76CD" w:rsidRPr="00DF4CE5" w:rsidRDefault="00DB76CD" w:rsidP="00A034E3">
            <w:pPr>
              <w:numPr>
                <w:ilvl w:val="0"/>
                <w:numId w:val="42"/>
              </w:numPr>
              <w:spacing w:before="280" w:after="280" w:line="240" w:lineRule="auto"/>
              <w:contextualSpacing/>
              <w:rPr>
                <w:rFonts w:ascii="Cambria" w:eastAsia="Times New Roman" w:hAnsi="Cambria" w:cs="Times New Roman"/>
                <w:iCs/>
                <w:lang w:val="hr-HR"/>
              </w:rPr>
            </w:pPr>
            <w:r w:rsidRPr="00DF4CE5">
              <w:rPr>
                <w:rFonts w:ascii="Cambria" w:eastAsia="Times New Roman" w:hAnsi="Cambria" w:cs="Times New Roman"/>
                <w:bCs/>
                <w:iCs/>
                <w:lang w:val="hr-HR"/>
              </w:rPr>
              <w:t xml:space="preserve">Preporuka: Čunčić: “Razgovor u travi”, </w:t>
            </w:r>
            <w:proofErr w:type="spellStart"/>
            <w:r w:rsidRPr="00DF4CE5">
              <w:rPr>
                <w:rFonts w:ascii="Cambria" w:eastAsia="Times New Roman" w:hAnsi="Cambria" w:cs="Times New Roman"/>
                <w:bCs/>
                <w:iCs/>
                <w:lang w:val="hr-HR"/>
              </w:rPr>
              <w:t>Bogadi</w:t>
            </w:r>
            <w:proofErr w:type="spellEnd"/>
            <w:r w:rsidRPr="00DF4CE5">
              <w:rPr>
                <w:rFonts w:ascii="Cambria" w:eastAsia="Times New Roman" w:hAnsi="Cambria" w:cs="Times New Roman"/>
                <w:bCs/>
                <w:iCs/>
                <w:lang w:val="hr-HR"/>
              </w:rPr>
              <w:t xml:space="preserve">: “Dva pisma” , “Kutijice prijateljice”, </w:t>
            </w:r>
            <w:proofErr w:type="spellStart"/>
            <w:r w:rsidRPr="00DF4CE5">
              <w:rPr>
                <w:rFonts w:ascii="Cambria" w:eastAsia="Times New Roman" w:hAnsi="Cambria" w:cs="Times New Roman"/>
                <w:bCs/>
                <w:iCs/>
                <w:lang w:val="hr-HR"/>
              </w:rPr>
              <w:t>Pokrivka</w:t>
            </w:r>
            <w:proofErr w:type="spellEnd"/>
            <w:r w:rsidRPr="00DF4CE5">
              <w:rPr>
                <w:rFonts w:ascii="Cambria" w:eastAsia="Times New Roman" w:hAnsi="Cambria" w:cs="Times New Roman"/>
                <w:bCs/>
                <w:iCs/>
                <w:lang w:val="hr-HR"/>
              </w:rPr>
              <w:t xml:space="preserve">: “Mala snježna priča” </w:t>
            </w:r>
            <w:r w:rsidRPr="00DF4CE5">
              <w:rPr>
                <w:rFonts w:ascii="Cambria" w:eastAsia="Times New Roman" w:hAnsi="Cambria" w:cs="Times New Roman"/>
                <w:iCs/>
                <w:lang w:val="hr-HR"/>
              </w:rPr>
              <w:t xml:space="preserve">/ lutkarske minijature / </w:t>
            </w:r>
            <w:proofErr w:type="spellStart"/>
            <w:r w:rsidRPr="00DF4CE5">
              <w:rPr>
                <w:rFonts w:ascii="Cambria" w:eastAsia="Times New Roman" w:hAnsi="Cambria" w:cs="Times New Roman"/>
                <w:bCs/>
                <w:iCs/>
                <w:lang w:val="hr-HR"/>
              </w:rPr>
              <w:t>Čečuk</w:t>
            </w:r>
            <w:proofErr w:type="spellEnd"/>
            <w:r w:rsidRPr="00DF4CE5">
              <w:rPr>
                <w:rFonts w:ascii="Cambria" w:eastAsia="Times New Roman" w:hAnsi="Cambria" w:cs="Times New Roman"/>
                <w:bCs/>
                <w:iCs/>
                <w:lang w:val="hr-HR"/>
              </w:rPr>
              <w:t xml:space="preserve">: “Čarobnjak i snena baka” </w:t>
            </w:r>
            <w:r w:rsidRPr="00DF4CE5">
              <w:rPr>
                <w:rFonts w:ascii="Cambria" w:eastAsia="Times New Roman" w:hAnsi="Cambria" w:cs="Times New Roman"/>
                <w:iCs/>
                <w:lang w:val="hr-HR"/>
              </w:rPr>
              <w:t xml:space="preserve">/jesenska priča </w:t>
            </w:r>
          </w:p>
          <w:p w14:paraId="7B9F0179" w14:textId="77777777" w:rsidR="00DB76CD" w:rsidRPr="00DF4CE5" w:rsidRDefault="00DB76CD" w:rsidP="00A034E3">
            <w:pPr>
              <w:numPr>
                <w:ilvl w:val="0"/>
                <w:numId w:val="42"/>
              </w:numPr>
              <w:spacing w:before="280" w:after="280" w:line="240" w:lineRule="auto"/>
              <w:contextualSpacing/>
              <w:rPr>
                <w:rFonts w:ascii="Cambria" w:eastAsia="Times New Roman" w:hAnsi="Cambria" w:cs="Times New Roman"/>
                <w:bCs/>
                <w:lang w:val="hr-HR"/>
              </w:rPr>
            </w:pPr>
            <w:bookmarkStart w:id="109" w:name="scenske"/>
            <w:bookmarkEnd w:id="109"/>
            <w:r w:rsidRPr="00DF4CE5">
              <w:rPr>
                <w:rFonts w:ascii="Cambria" w:eastAsia="Times New Roman" w:hAnsi="Cambria" w:cs="Times New Roman"/>
                <w:bCs/>
                <w:lang w:val="hr-HR"/>
              </w:rPr>
              <w:t>SCENSKE BAJKE</w:t>
            </w:r>
          </w:p>
          <w:p w14:paraId="1E087845" w14:textId="77777777" w:rsidR="00DB76CD" w:rsidRPr="00DF4CE5" w:rsidRDefault="00DB76CD" w:rsidP="00A034E3">
            <w:pPr>
              <w:numPr>
                <w:ilvl w:val="0"/>
                <w:numId w:val="42"/>
              </w:numPr>
              <w:spacing w:before="280" w:after="280" w:line="240" w:lineRule="auto"/>
              <w:contextualSpacing/>
              <w:rPr>
                <w:rFonts w:ascii="Cambria" w:eastAsia="Times New Roman" w:hAnsi="Cambria" w:cs="Times New Roman"/>
                <w:lang w:val="hr-HR"/>
              </w:rPr>
            </w:pPr>
            <w:r w:rsidRPr="00DF4CE5">
              <w:rPr>
                <w:rFonts w:ascii="Cambria" w:eastAsia="Times New Roman" w:hAnsi="Cambria" w:cs="Times New Roman"/>
                <w:bCs/>
                <w:lang w:val="hr-HR"/>
              </w:rPr>
              <w:t>Đokić-</w:t>
            </w:r>
            <w:proofErr w:type="spellStart"/>
            <w:r w:rsidRPr="00DF4CE5">
              <w:rPr>
                <w:rFonts w:ascii="Cambria" w:eastAsia="Times New Roman" w:hAnsi="Cambria" w:cs="Times New Roman"/>
                <w:bCs/>
                <w:lang w:val="hr-HR"/>
              </w:rPr>
              <w:t>Pongrašić</w:t>
            </w:r>
            <w:proofErr w:type="spellEnd"/>
            <w:r w:rsidRPr="00DF4CE5">
              <w:rPr>
                <w:rFonts w:ascii="Cambria" w:eastAsia="Times New Roman" w:hAnsi="Cambria" w:cs="Times New Roman"/>
                <w:bCs/>
                <w:lang w:val="hr-HR"/>
              </w:rPr>
              <w:t>, Ana, 1965-</w:t>
            </w:r>
            <w:r w:rsidRPr="00DF4CE5">
              <w:rPr>
                <w:rFonts w:ascii="Cambria" w:eastAsia="Times New Roman" w:hAnsi="Cambria" w:cs="Times New Roman"/>
                <w:lang w:val="hr-HR"/>
              </w:rPr>
              <w:br/>
              <w:t xml:space="preserve">Ana i Andersen / [Ana Đokić </w:t>
            </w:r>
            <w:proofErr w:type="spellStart"/>
            <w:r w:rsidRPr="00DF4CE5">
              <w:rPr>
                <w:rFonts w:ascii="Cambria" w:eastAsia="Times New Roman" w:hAnsi="Cambria" w:cs="Times New Roman"/>
                <w:lang w:val="hr-HR"/>
              </w:rPr>
              <w:t>Pongrašić</w:t>
            </w:r>
            <w:proofErr w:type="spellEnd"/>
            <w:r w:rsidRPr="00DF4CE5">
              <w:rPr>
                <w:rFonts w:ascii="Cambria" w:eastAsia="Times New Roman" w:hAnsi="Cambria" w:cs="Times New Roman"/>
                <w:lang w:val="hr-HR"/>
              </w:rPr>
              <w:t xml:space="preserve"> ; tekst songova Zoran </w:t>
            </w:r>
            <w:proofErr w:type="spellStart"/>
            <w:r w:rsidRPr="00DF4CE5">
              <w:rPr>
                <w:rFonts w:ascii="Cambria" w:eastAsia="Times New Roman" w:hAnsi="Cambria" w:cs="Times New Roman"/>
                <w:lang w:val="hr-HR"/>
              </w:rPr>
              <w:t>Pongrašić</w:t>
            </w:r>
            <w:proofErr w:type="spellEnd"/>
            <w:r w:rsidRPr="00DF4CE5">
              <w:rPr>
                <w:rFonts w:ascii="Cambria" w:eastAsia="Times New Roman" w:hAnsi="Cambria" w:cs="Times New Roman"/>
                <w:lang w:val="hr-HR"/>
              </w:rPr>
              <w:t xml:space="preserve"> ; ilustracije Darko </w:t>
            </w:r>
            <w:proofErr w:type="spellStart"/>
            <w:r w:rsidRPr="00DF4CE5">
              <w:rPr>
                <w:rFonts w:ascii="Cambria" w:eastAsia="Times New Roman" w:hAnsi="Cambria" w:cs="Times New Roman"/>
                <w:lang w:val="hr-HR"/>
              </w:rPr>
              <w:t>Vučenik</w:t>
            </w:r>
            <w:proofErr w:type="spellEnd"/>
            <w:r w:rsidRPr="00DF4CE5">
              <w:rPr>
                <w:rFonts w:ascii="Cambria" w:eastAsia="Times New Roman" w:hAnsi="Cambria" w:cs="Times New Roman"/>
                <w:lang w:val="hr-HR"/>
              </w:rPr>
              <w:t xml:space="preserve">]. - Zagreb : Autorska kuća, 2005. - 118 str. : </w:t>
            </w:r>
            <w:proofErr w:type="spellStart"/>
            <w:r w:rsidRPr="00DF4CE5">
              <w:rPr>
                <w:rFonts w:ascii="Cambria" w:eastAsia="Times New Roman" w:hAnsi="Cambria" w:cs="Times New Roman"/>
                <w:lang w:val="hr-HR"/>
              </w:rPr>
              <w:t>ilustr</w:t>
            </w:r>
            <w:proofErr w:type="spellEnd"/>
            <w:r w:rsidRPr="00DF4CE5">
              <w:rPr>
                <w:rFonts w:ascii="Cambria" w:eastAsia="Times New Roman" w:hAnsi="Cambria" w:cs="Times New Roman"/>
                <w:lang w:val="hr-HR"/>
              </w:rPr>
              <w:t>. ; 21 cm. - (XXI stoljeće)</w:t>
            </w:r>
          </w:p>
          <w:p w14:paraId="45FAA58A" w14:textId="77777777" w:rsidR="00DB76CD" w:rsidRPr="00DF4CE5" w:rsidRDefault="00DB76CD" w:rsidP="00A034E3">
            <w:pPr>
              <w:numPr>
                <w:ilvl w:val="0"/>
                <w:numId w:val="42"/>
              </w:numPr>
              <w:spacing w:before="280" w:after="280" w:line="240" w:lineRule="auto"/>
              <w:contextualSpacing/>
              <w:rPr>
                <w:rFonts w:ascii="Cambria" w:eastAsia="Times New Roman" w:hAnsi="Cambria" w:cs="Times New Roman"/>
                <w:bCs/>
                <w:iCs/>
                <w:lang w:val="hr-HR"/>
              </w:rPr>
            </w:pPr>
            <w:r w:rsidRPr="00DF4CE5">
              <w:rPr>
                <w:rFonts w:ascii="Cambria" w:eastAsia="Times New Roman" w:hAnsi="Cambria" w:cs="Times New Roman"/>
                <w:lang w:val="hr-HR"/>
              </w:rPr>
              <w:t xml:space="preserve">"Grozdana na zrnu papra", "Ja, zvekan?" i "Opet na krivom putu" tri su originalne i duhovite </w:t>
            </w:r>
            <w:proofErr w:type="spellStart"/>
            <w:r w:rsidRPr="00DF4CE5">
              <w:rPr>
                <w:rFonts w:ascii="Cambria" w:eastAsia="Times New Roman" w:hAnsi="Cambria" w:cs="Times New Roman"/>
                <w:lang w:val="hr-HR"/>
              </w:rPr>
              <w:t>ineterpretacije</w:t>
            </w:r>
            <w:proofErr w:type="spellEnd"/>
            <w:r w:rsidRPr="00DF4CE5">
              <w:rPr>
                <w:rFonts w:ascii="Cambria" w:eastAsia="Times New Roman" w:hAnsi="Cambria" w:cs="Times New Roman"/>
                <w:lang w:val="hr-HR"/>
              </w:rPr>
              <w:t xml:space="preserve"> poznatih Andersenovih priča: "Kraljevne na zrnu graška", "Zvekana" i "Carevog novog ruha", pisanih u dramskoj formi za kazališne igre. Svojim neuobičajenim pristupom i pomalo ironijskim otklonom od Andersenova originala, autorica je velikog klasika dječje književnosti približila mladim čitateljima XXI. stoljeća.</w:t>
            </w:r>
            <w:r w:rsidRPr="00DF4CE5">
              <w:rPr>
                <w:rFonts w:ascii="Cambria" w:eastAsia="Times New Roman" w:hAnsi="Cambria" w:cs="Times New Roman"/>
                <w:lang w:val="hr-HR"/>
              </w:rPr>
              <w:br/>
            </w:r>
            <w:r w:rsidRPr="00DF4CE5">
              <w:rPr>
                <w:rFonts w:ascii="Cambria" w:eastAsia="Times New Roman" w:hAnsi="Cambria" w:cs="Times New Roman"/>
                <w:bCs/>
                <w:iCs/>
                <w:lang w:val="hr-HR"/>
              </w:rPr>
              <w:t>Preporuka: “Grozdana na zrnu papra”</w:t>
            </w:r>
          </w:p>
          <w:p w14:paraId="3BAD7AFF" w14:textId="77777777" w:rsidR="00DB76CD" w:rsidRPr="00DF4CE5" w:rsidRDefault="00DB76CD" w:rsidP="00A034E3">
            <w:pPr>
              <w:numPr>
                <w:ilvl w:val="0"/>
                <w:numId w:val="42"/>
              </w:numPr>
              <w:spacing w:before="280" w:after="280" w:line="240" w:lineRule="auto"/>
              <w:contextualSpacing/>
              <w:rPr>
                <w:rFonts w:ascii="Cambria" w:eastAsia="Times New Roman" w:hAnsi="Cambria" w:cs="Times New Roman"/>
                <w:lang w:val="hr-HR"/>
              </w:rPr>
            </w:pPr>
            <w:proofErr w:type="spellStart"/>
            <w:r w:rsidRPr="00DF4CE5">
              <w:rPr>
                <w:rFonts w:ascii="Cambria" w:eastAsia="Times New Roman" w:hAnsi="Cambria" w:cs="Times New Roman"/>
                <w:bCs/>
                <w:lang w:val="hr-HR"/>
              </w:rPr>
              <w:t>Gardaš</w:t>
            </w:r>
            <w:proofErr w:type="spellEnd"/>
            <w:r w:rsidRPr="00DF4CE5">
              <w:rPr>
                <w:rFonts w:ascii="Cambria" w:eastAsia="Times New Roman" w:hAnsi="Cambria" w:cs="Times New Roman"/>
                <w:bCs/>
                <w:lang w:val="hr-HR"/>
              </w:rPr>
              <w:t>, Anto, 1938-2004</w:t>
            </w:r>
            <w:r w:rsidRPr="00DF4CE5">
              <w:rPr>
                <w:rFonts w:ascii="Cambria" w:eastAsia="Times New Roman" w:hAnsi="Cambria" w:cs="Times New Roman"/>
                <w:lang w:val="hr-HR"/>
              </w:rPr>
              <w:br/>
            </w:r>
            <w:proofErr w:type="spellStart"/>
            <w:r w:rsidRPr="00DF4CE5">
              <w:rPr>
                <w:rFonts w:ascii="Cambria" w:eastAsia="Times New Roman" w:hAnsi="Cambria" w:cs="Times New Roman"/>
                <w:lang w:val="hr-HR"/>
              </w:rPr>
              <w:t>Ledendvor</w:t>
            </w:r>
            <w:proofErr w:type="spellEnd"/>
            <w:r w:rsidRPr="00DF4CE5">
              <w:rPr>
                <w:rFonts w:ascii="Cambria" w:eastAsia="Times New Roman" w:hAnsi="Cambria" w:cs="Times New Roman"/>
                <w:lang w:val="hr-HR"/>
              </w:rPr>
              <w:t xml:space="preserve"> : (bajkoviti igrokazi za djecu i mladež) / Anto </w:t>
            </w:r>
            <w:proofErr w:type="spellStart"/>
            <w:r w:rsidRPr="00DF4CE5">
              <w:rPr>
                <w:rFonts w:ascii="Cambria" w:eastAsia="Times New Roman" w:hAnsi="Cambria" w:cs="Times New Roman"/>
                <w:lang w:val="hr-HR"/>
              </w:rPr>
              <w:t>Gardaš</w:t>
            </w:r>
            <w:proofErr w:type="spellEnd"/>
            <w:r w:rsidRPr="00DF4CE5">
              <w:rPr>
                <w:rFonts w:ascii="Cambria" w:eastAsia="Times New Roman" w:hAnsi="Cambria" w:cs="Times New Roman"/>
                <w:lang w:val="hr-HR"/>
              </w:rPr>
              <w:t xml:space="preserve">; [ilustracija Željko </w:t>
            </w:r>
            <w:proofErr w:type="spellStart"/>
            <w:r w:rsidRPr="00DF4CE5">
              <w:rPr>
                <w:rFonts w:ascii="Cambria" w:eastAsia="Times New Roman" w:hAnsi="Cambria" w:cs="Times New Roman"/>
                <w:lang w:val="hr-HR"/>
              </w:rPr>
              <w:t>Prstec</w:t>
            </w:r>
            <w:proofErr w:type="spellEnd"/>
            <w:r w:rsidRPr="00DF4CE5">
              <w:rPr>
                <w:rFonts w:ascii="Cambria" w:eastAsia="Times New Roman" w:hAnsi="Cambria" w:cs="Times New Roman"/>
                <w:lang w:val="hr-HR"/>
              </w:rPr>
              <w:t xml:space="preserve">]. - Osijek : Matica hrvatska : Grafika, 2000. - 199 str. ; 21 cm. - (Biblioteka </w:t>
            </w:r>
            <w:proofErr w:type="spellStart"/>
            <w:r w:rsidRPr="00DF4CE5">
              <w:rPr>
                <w:rFonts w:ascii="Cambria" w:eastAsia="Times New Roman" w:hAnsi="Cambria" w:cs="Times New Roman"/>
                <w:lang w:val="hr-HR"/>
              </w:rPr>
              <w:t>Plavokrila</w:t>
            </w:r>
            <w:proofErr w:type="spellEnd"/>
            <w:r w:rsidRPr="00DF4CE5">
              <w:rPr>
                <w:rFonts w:ascii="Cambria" w:eastAsia="Times New Roman" w:hAnsi="Cambria" w:cs="Times New Roman"/>
                <w:lang w:val="hr-HR"/>
              </w:rPr>
              <w:t xml:space="preserve"> ptica)</w:t>
            </w:r>
          </w:p>
          <w:p w14:paraId="095456A4" w14:textId="77777777" w:rsidR="00DB76CD" w:rsidRPr="00DF4CE5" w:rsidRDefault="00DB76CD" w:rsidP="00A034E3">
            <w:pPr>
              <w:numPr>
                <w:ilvl w:val="0"/>
                <w:numId w:val="42"/>
              </w:numPr>
              <w:spacing w:before="280" w:after="280" w:line="240" w:lineRule="auto"/>
              <w:contextualSpacing/>
              <w:rPr>
                <w:rFonts w:ascii="Cambria" w:eastAsia="Times New Roman" w:hAnsi="Cambria" w:cs="Times New Roman"/>
                <w:bCs/>
                <w:iCs/>
                <w:lang w:val="hr-HR"/>
              </w:rPr>
            </w:pPr>
            <w:r w:rsidRPr="00DF4CE5">
              <w:rPr>
                <w:rFonts w:ascii="Cambria" w:eastAsia="Times New Roman" w:hAnsi="Cambria" w:cs="Times New Roman"/>
                <w:lang w:val="hr-HR"/>
              </w:rPr>
              <w:t>Zbirka sadrži osam igrokaza, različite tematike za djecu i mladež. Zajednička značajka im je da su to fantastične priče s elementima bajke u kojima životinje govore, pojavljuju se patuljci, vile i druga neobična bića. Knjiga sadrži i dramatizaciju autorovog romana "</w:t>
            </w:r>
            <w:proofErr w:type="spellStart"/>
            <w:r w:rsidRPr="00DF4CE5">
              <w:rPr>
                <w:rFonts w:ascii="Cambria" w:eastAsia="Times New Roman" w:hAnsi="Cambria" w:cs="Times New Roman"/>
                <w:lang w:val="hr-HR"/>
              </w:rPr>
              <w:t>Damjanovo</w:t>
            </w:r>
            <w:proofErr w:type="spellEnd"/>
            <w:r w:rsidRPr="00DF4CE5">
              <w:rPr>
                <w:rFonts w:ascii="Cambria" w:eastAsia="Times New Roman" w:hAnsi="Cambria" w:cs="Times New Roman"/>
                <w:lang w:val="hr-HR"/>
              </w:rPr>
              <w:t xml:space="preserve"> jezero". Za "Brončani kotlić" </w:t>
            </w:r>
            <w:proofErr w:type="spellStart"/>
            <w:r w:rsidRPr="00DF4CE5">
              <w:rPr>
                <w:rFonts w:ascii="Cambria" w:eastAsia="Times New Roman" w:hAnsi="Cambria" w:cs="Times New Roman"/>
                <w:lang w:val="hr-HR"/>
              </w:rPr>
              <w:t>Gardaš</w:t>
            </w:r>
            <w:proofErr w:type="spellEnd"/>
            <w:r w:rsidRPr="00DF4CE5">
              <w:rPr>
                <w:rFonts w:ascii="Cambria" w:eastAsia="Times New Roman" w:hAnsi="Cambria" w:cs="Times New Roman"/>
                <w:lang w:val="hr-HR"/>
              </w:rPr>
              <w:t xml:space="preserve"> je dobio prvu nagradu na anonimnom natječaju Hrvatskog radija za bajkoviti igrokaz. </w:t>
            </w:r>
            <w:r w:rsidRPr="00DF4CE5">
              <w:rPr>
                <w:rFonts w:ascii="Cambria" w:eastAsia="Times New Roman" w:hAnsi="Cambria" w:cs="Times New Roman"/>
                <w:lang w:val="hr-HR"/>
              </w:rPr>
              <w:br/>
            </w:r>
            <w:r w:rsidRPr="00DF4CE5">
              <w:rPr>
                <w:rFonts w:ascii="Cambria" w:eastAsia="Times New Roman" w:hAnsi="Cambria" w:cs="Times New Roman"/>
                <w:bCs/>
                <w:iCs/>
                <w:lang w:val="hr-HR"/>
              </w:rPr>
              <w:t xml:space="preserve">Preporuka: “Brončani </w:t>
            </w:r>
            <w:proofErr w:type="spellStart"/>
            <w:r w:rsidRPr="00DF4CE5">
              <w:rPr>
                <w:rFonts w:ascii="Cambria" w:eastAsia="Times New Roman" w:hAnsi="Cambria" w:cs="Times New Roman"/>
                <w:bCs/>
                <w:iCs/>
                <w:lang w:val="hr-HR"/>
              </w:rPr>
              <w:t>kotlić”i</w:t>
            </w:r>
            <w:proofErr w:type="spellEnd"/>
            <w:r w:rsidRPr="00DF4CE5">
              <w:rPr>
                <w:rFonts w:ascii="Cambria" w:eastAsia="Times New Roman" w:hAnsi="Cambria" w:cs="Times New Roman"/>
                <w:bCs/>
                <w:iCs/>
                <w:lang w:val="hr-HR"/>
              </w:rPr>
              <w:t xml:space="preserve"> “</w:t>
            </w:r>
            <w:proofErr w:type="spellStart"/>
            <w:r w:rsidRPr="00DF4CE5">
              <w:rPr>
                <w:rFonts w:ascii="Cambria" w:eastAsia="Times New Roman" w:hAnsi="Cambria" w:cs="Times New Roman"/>
                <w:bCs/>
                <w:iCs/>
                <w:lang w:val="hr-HR"/>
              </w:rPr>
              <w:t>Damjanovo</w:t>
            </w:r>
            <w:proofErr w:type="spellEnd"/>
            <w:r w:rsidRPr="00DF4CE5">
              <w:rPr>
                <w:rFonts w:ascii="Cambria" w:eastAsia="Times New Roman" w:hAnsi="Cambria" w:cs="Times New Roman"/>
                <w:bCs/>
                <w:iCs/>
                <w:lang w:val="hr-HR"/>
              </w:rPr>
              <w:t xml:space="preserve"> jezero”</w:t>
            </w:r>
          </w:p>
          <w:p w14:paraId="038C886E" w14:textId="77777777" w:rsidR="00DB76CD" w:rsidRPr="00DF4CE5" w:rsidRDefault="00DB76CD" w:rsidP="00A034E3">
            <w:pPr>
              <w:numPr>
                <w:ilvl w:val="0"/>
                <w:numId w:val="42"/>
              </w:numPr>
              <w:spacing w:before="280" w:after="280" w:line="240" w:lineRule="auto"/>
              <w:contextualSpacing/>
              <w:rPr>
                <w:rFonts w:ascii="Cambria" w:eastAsia="Times New Roman" w:hAnsi="Cambria" w:cs="Times New Roman"/>
                <w:lang w:val="hr-HR"/>
              </w:rPr>
            </w:pPr>
            <w:r w:rsidRPr="00DF4CE5">
              <w:rPr>
                <w:rFonts w:ascii="Cambria" w:eastAsia="Times New Roman" w:hAnsi="Cambria" w:cs="Times New Roman"/>
                <w:bCs/>
                <w:lang w:val="hr-HR"/>
              </w:rPr>
              <w:t>Kazališne bajke za djecu XXI. stoljeća</w:t>
            </w:r>
            <w:r w:rsidRPr="00DF4CE5">
              <w:rPr>
                <w:rFonts w:ascii="Cambria" w:eastAsia="Times New Roman" w:hAnsi="Cambria" w:cs="Times New Roman"/>
                <w:lang w:val="hr-HR"/>
              </w:rPr>
              <w:br/>
              <w:t xml:space="preserve">Kazališne bajke za djecu XXI. stoljeća / priredila Ana Đokić </w:t>
            </w:r>
            <w:proofErr w:type="spellStart"/>
            <w:r w:rsidRPr="00DF4CE5">
              <w:rPr>
                <w:rFonts w:ascii="Cambria" w:eastAsia="Times New Roman" w:hAnsi="Cambria" w:cs="Times New Roman"/>
                <w:lang w:val="hr-HR"/>
              </w:rPr>
              <w:t>Pongrašić</w:t>
            </w:r>
            <w:proofErr w:type="spellEnd"/>
            <w:r w:rsidRPr="00DF4CE5">
              <w:rPr>
                <w:rFonts w:ascii="Cambria" w:eastAsia="Times New Roman" w:hAnsi="Cambria" w:cs="Times New Roman"/>
                <w:lang w:val="hr-HR"/>
              </w:rPr>
              <w:t xml:space="preserve"> ; [fotografija Dejan Miljković]. - Zagreb : Autorska kuća, 2005. - 142 str. : </w:t>
            </w:r>
            <w:proofErr w:type="spellStart"/>
            <w:r w:rsidRPr="00DF4CE5">
              <w:rPr>
                <w:rFonts w:ascii="Cambria" w:eastAsia="Times New Roman" w:hAnsi="Cambria" w:cs="Times New Roman"/>
                <w:lang w:val="hr-HR"/>
              </w:rPr>
              <w:t>ilustr</w:t>
            </w:r>
            <w:proofErr w:type="spellEnd"/>
            <w:r w:rsidRPr="00DF4CE5">
              <w:rPr>
                <w:rFonts w:ascii="Cambria" w:eastAsia="Times New Roman" w:hAnsi="Cambria" w:cs="Times New Roman"/>
                <w:lang w:val="hr-HR"/>
              </w:rPr>
              <w:t>. ; 21 cm</w:t>
            </w:r>
          </w:p>
          <w:p w14:paraId="415A95F0" w14:textId="77777777" w:rsidR="00DB76CD" w:rsidRPr="00DF4CE5" w:rsidRDefault="00DB76CD" w:rsidP="00A034E3">
            <w:pPr>
              <w:numPr>
                <w:ilvl w:val="0"/>
                <w:numId w:val="42"/>
              </w:numPr>
              <w:spacing w:before="280" w:after="280" w:line="240" w:lineRule="auto"/>
              <w:contextualSpacing/>
              <w:rPr>
                <w:rFonts w:ascii="Cambria" w:eastAsia="Times New Roman" w:hAnsi="Cambria" w:cs="Times New Roman"/>
                <w:iCs/>
                <w:lang w:val="hr-HR"/>
              </w:rPr>
            </w:pPr>
            <w:r w:rsidRPr="00DF4CE5">
              <w:rPr>
                <w:rFonts w:ascii="Cambria" w:eastAsia="Times New Roman" w:hAnsi="Cambria" w:cs="Times New Roman"/>
                <w:lang w:val="hr-HR"/>
              </w:rPr>
              <w:t xml:space="preserve">Zbirka sadrži pet igrokaza : Lukšić, M.: "Istjerivanje opake živine"; </w:t>
            </w:r>
            <w:proofErr w:type="spellStart"/>
            <w:r w:rsidRPr="00DF4CE5">
              <w:rPr>
                <w:rFonts w:ascii="Cambria" w:eastAsia="Times New Roman" w:hAnsi="Cambria" w:cs="Times New Roman"/>
                <w:lang w:val="hr-HR"/>
              </w:rPr>
              <w:t>Pongrašić</w:t>
            </w:r>
            <w:proofErr w:type="spellEnd"/>
            <w:r w:rsidRPr="00DF4CE5">
              <w:rPr>
                <w:rFonts w:ascii="Cambria" w:eastAsia="Times New Roman" w:hAnsi="Cambria" w:cs="Times New Roman"/>
                <w:lang w:val="hr-HR"/>
              </w:rPr>
              <w:t>, Z.: "</w:t>
            </w:r>
            <w:proofErr w:type="spellStart"/>
            <w:r w:rsidRPr="00DF4CE5">
              <w:rPr>
                <w:rFonts w:ascii="Cambria" w:eastAsia="Times New Roman" w:hAnsi="Cambria" w:cs="Times New Roman"/>
                <w:lang w:val="hr-HR"/>
              </w:rPr>
              <w:t>Ikarov</w:t>
            </w:r>
            <w:proofErr w:type="spellEnd"/>
            <w:r w:rsidRPr="00DF4CE5">
              <w:rPr>
                <w:rFonts w:ascii="Cambria" w:eastAsia="Times New Roman" w:hAnsi="Cambria" w:cs="Times New Roman"/>
                <w:lang w:val="hr-HR"/>
              </w:rPr>
              <w:t xml:space="preserve"> let"; Lovrenčić, S.: "Bajka o </w:t>
            </w:r>
            <w:proofErr w:type="spellStart"/>
            <w:r w:rsidRPr="00DF4CE5">
              <w:rPr>
                <w:rFonts w:ascii="Cambria" w:eastAsia="Times New Roman" w:hAnsi="Cambria" w:cs="Times New Roman"/>
                <w:lang w:val="hr-HR"/>
              </w:rPr>
              <w:t>Sigismudi</w:t>
            </w:r>
            <w:proofErr w:type="spellEnd"/>
            <w:r w:rsidRPr="00DF4CE5">
              <w:rPr>
                <w:rFonts w:ascii="Cambria" w:eastAsia="Times New Roman" w:hAnsi="Cambria" w:cs="Times New Roman"/>
                <w:lang w:val="hr-HR"/>
              </w:rPr>
              <w:t xml:space="preserve"> i </w:t>
            </w:r>
            <w:proofErr w:type="spellStart"/>
            <w:r w:rsidRPr="00DF4CE5">
              <w:rPr>
                <w:rFonts w:ascii="Cambria" w:eastAsia="Times New Roman" w:hAnsi="Cambria" w:cs="Times New Roman"/>
                <w:lang w:val="hr-HR"/>
              </w:rPr>
              <w:t>Krpimiru</w:t>
            </w:r>
            <w:proofErr w:type="spellEnd"/>
            <w:r w:rsidRPr="00DF4CE5">
              <w:rPr>
                <w:rFonts w:ascii="Cambria" w:eastAsia="Times New Roman" w:hAnsi="Cambria" w:cs="Times New Roman"/>
                <w:lang w:val="hr-HR"/>
              </w:rPr>
              <w:t xml:space="preserve">" (postoji i kao prozno djelo); Đokić </w:t>
            </w:r>
            <w:proofErr w:type="spellStart"/>
            <w:r w:rsidRPr="00DF4CE5">
              <w:rPr>
                <w:rFonts w:ascii="Cambria" w:eastAsia="Times New Roman" w:hAnsi="Cambria" w:cs="Times New Roman"/>
                <w:lang w:val="hr-HR"/>
              </w:rPr>
              <w:t>Pongrašić</w:t>
            </w:r>
            <w:proofErr w:type="spellEnd"/>
            <w:r w:rsidRPr="00DF4CE5">
              <w:rPr>
                <w:rFonts w:ascii="Cambria" w:eastAsia="Times New Roman" w:hAnsi="Cambria" w:cs="Times New Roman"/>
                <w:lang w:val="hr-HR"/>
              </w:rPr>
              <w:t xml:space="preserve">, A.: "Vitez željeznog srca" (postoji i kao prozno djelo); Martinac Kralj, L.: "Anđeli imaju krila, zar ne?" ( izvođeno u </w:t>
            </w:r>
            <w:r w:rsidRPr="00DF4CE5">
              <w:rPr>
                <w:rFonts w:ascii="Cambria" w:eastAsia="Times New Roman" w:hAnsi="Cambria" w:cs="Times New Roman"/>
                <w:lang w:val="hr-HR"/>
              </w:rPr>
              <w:lastRenderedPageBreak/>
              <w:t>nekoliko gradova).</w:t>
            </w:r>
            <w:r w:rsidRPr="00DF4CE5">
              <w:rPr>
                <w:rFonts w:ascii="Cambria" w:eastAsia="Times New Roman" w:hAnsi="Cambria" w:cs="Times New Roman"/>
                <w:lang w:val="hr-HR"/>
              </w:rPr>
              <w:br/>
            </w:r>
            <w:r w:rsidRPr="00DF4CE5">
              <w:rPr>
                <w:rFonts w:ascii="Cambria" w:eastAsia="Times New Roman" w:hAnsi="Cambria" w:cs="Times New Roman"/>
                <w:bCs/>
                <w:iCs/>
                <w:lang w:val="hr-HR"/>
              </w:rPr>
              <w:t xml:space="preserve">Preporuka: Lovrenčić. „Bajka o </w:t>
            </w:r>
            <w:proofErr w:type="spellStart"/>
            <w:r w:rsidRPr="00DF4CE5">
              <w:rPr>
                <w:rFonts w:ascii="Cambria" w:eastAsia="Times New Roman" w:hAnsi="Cambria" w:cs="Times New Roman"/>
                <w:bCs/>
                <w:iCs/>
                <w:lang w:val="hr-HR"/>
              </w:rPr>
              <w:t>Sigismundi</w:t>
            </w:r>
            <w:proofErr w:type="spellEnd"/>
            <w:r w:rsidRPr="00DF4CE5">
              <w:rPr>
                <w:rFonts w:ascii="Cambria" w:eastAsia="Times New Roman" w:hAnsi="Cambria" w:cs="Times New Roman"/>
                <w:bCs/>
                <w:iCs/>
                <w:lang w:val="hr-HR"/>
              </w:rPr>
              <w:t xml:space="preserve"> i </w:t>
            </w:r>
            <w:proofErr w:type="spellStart"/>
            <w:r w:rsidRPr="00DF4CE5">
              <w:rPr>
                <w:rFonts w:ascii="Cambria" w:eastAsia="Times New Roman" w:hAnsi="Cambria" w:cs="Times New Roman"/>
                <w:bCs/>
                <w:iCs/>
                <w:lang w:val="hr-HR"/>
              </w:rPr>
              <w:t>Krpimiru</w:t>
            </w:r>
            <w:proofErr w:type="spellEnd"/>
            <w:r w:rsidRPr="00DF4CE5">
              <w:rPr>
                <w:rFonts w:ascii="Cambria" w:eastAsia="Times New Roman" w:hAnsi="Cambria" w:cs="Times New Roman"/>
                <w:bCs/>
                <w:iCs/>
                <w:lang w:val="hr-HR"/>
              </w:rPr>
              <w:t xml:space="preserve">“ </w:t>
            </w:r>
            <w:r w:rsidRPr="00DF4CE5">
              <w:rPr>
                <w:rFonts w:ascii="Cambria" w:eastAsia="Times New Roman" w:hAnsi="Cambria" w:cs="Times New Roman"/>
                <w:iCs/>
                <w:lang w:val="hr-HR"/>
              </w:rPr>
              <w:t>/ snaga ljubavi i apsurdnost rata /,</w:t>
            </w:r>
            <w:r w:rsidRPr="00DF4CE5">
              <w:rPr>
                <w:rFonts w:ascii="Cambria" w:eastAsia="Times New Roman" w:hAnsi="Cambria" w:cs="Times New Roman"/>
                <w:bCs/>
                <w:iCs/>
                <w:lang w:val="hr-HR"/>
              </w:rPr>
              <w:t xml:space="preserve"> Đokić-</w:t>
            </w:r>
            <w:proofErr w:type="spellStart"/>
            <w:r w:rsidRPr="00DF4CE5">
              <w:rPr>
                <w:rFonts w:ascii="Cambria" w:eastAsia="Times New Roman" w:hAnsi="Cambria" w:cs="Times New Roman"/>
                <w:bCs/>
                <w:iCs/>
                <w:lang w:val="hr-HR"/>
              </w:rPr>
              <w:t>Pongrašić</w:t>
            </w:r>
            <w:proofErr w:type="spellEnd"/>
            <w:r w:rsidRPr="00DF4CE5">
              <w:rPr>
                <w:rFonts w:ascii="Cambria" w:eastAsia="Times New Roman" w:hAnsi="Cambria" w:cs="Times New Roman"/>
                <w:bCs/>
                <w:iCs/>
                <w:lang w:val="hr-HR"/>
              </w:rPr>
              <w:t xml:space="preserve">: „Vitez željeznog srca“ </w:t>
            </w:r>
            <w:r w:rsidRPr="00DF4CE5">
              <w:rPr>
                <w:rFonts w:ascii="Cambria" w:eastAsia="Times New Roman" w:hAnsi="Cambria" w:cs="Times New Roman"/>
                <w:iCs/>
                <w:lang w:val="hr-HR"/>
              </w:rPr>
              <w:t>/ potraga za srećom / ljubav /</w:t>
            </w:r>
          </w:p>
          <w:p w14:paraId="4B36F7F2" w14:textId="77777777" w:rsidR="00DB76CD" w:rsidRPr="00DF4CE5" w:rsidRDefault="00DB76CD" w:rsidP="00A034E3">
            <w:pPr>
              <w:numPr>
                <w:ilvl w:val="0"/>
                <w:numId w:val="42"/>
              </w:numPr>
              <w:spacing w:before="280" w:after="280" w:line="240" w:lineRule="auto"/>
              <w:contextualSpacing/>
              <w:rPr>
                <w:rFonts w:ascii="Cambria" w:eastAsia="Times New Roman" w:hAnsi="Cambria" w:cs="Times New Roman"/>
                <w:lang w:val="hr-HR"/>
              </w:rPr>
            </w:pPr>
            <w:proofErr w:type="spellStart"/>
            <w:r w:rsidRPr="00DF4CE5">
              <w:rPr>
                <w:rFonts w:ascii="Cambria" w:eastAsia="Times New Roman" w:hAnsi="Cambria" w:cs="Times New Roman"/>
                <w:bCs/>
                <w:lang w:val="hr-HR"/>
              </w:rPr>
              <w:t>Kolumbić</w:t>
            </w:r>
            <w:proofErr w:type="spellEnd"/>
            <w:r w:rsidRPr="00DF4CE5">
              <w:rPr>
                <w:rFonts w:ascii="Cambria" w:eastAsia="Times New Roman" w:hAnsi="Cambria" w:cs="Times New Roman"/>
                <w:bCs/>
                <w:lang w:val="hr-HR"/>
              </w:rPr>
              <w:t>, Tin, 1936-</w:t>
            </w:r>
            <w:r w:rsidRPr="00DF4CE5">
              <w:rPr>
                <w:rFonts w:ascii="Cambria" w:eastAsia="Times New Roman" w:hAnsi="Cambria" w:cs="Times New Roman"/>
                <w:lang w:val="hr-HR"/>
              </w:rPr>
              <w:br/>
              <w:t xml:space="preserve">Sat ljubavi : zbirka igrokaza za djecu i mladež / Tin </w:t>
            </w:r>
            <w:proofErr w:type="spellStart"/>
            <w:r w:rsidRPr="00DF4CE5">
              <w:rPr>
                <w:rFonts w:ascii="Cambria" w:eastAsia="Times New Roman" w:hAnsi="Cambria" w:cs="Times New Roman"/>
                <w:lang w:val="hr-HR"/>
              </w:rPr>
              <w:t>Kolumbić</w:t>
            </w:r>
            <w:proofErr w:type="spellEnd"/>
            <w:r w:rsidRPr="00DF4CE5">
              <w:rPr>
                <w:rFonts w:ascii="Cambria" w:eastAsia="Times New Roman" w:hAnsi="Cambria" w:cs="Times New Roman"/>
                <w:lang w:val="hr-HR"/>
              </w:rPr>
              <w:t>. - Zagreb : Školska knjiga, 2004. - 167 str. ; 24 cm</w:t>
            </w:r>
          </w:p>
          <w:p w14:paraId="16D2DE00" w14:textId="77777777" w:rsidR="00DB76CD" w:rsidRPr="00DF4CE5" w:rsidRDefault="00DB76CD" w:rsidP="00A034E3">
            <w:pPr>
              <w:numPr>
                <w:ilvl w:val="0"/>
                <w:numId w:val="42"/>
              </w:numPr>
              <w:spacing w:before="280" w:after="280" w:line="240" w:lineRule="auto"/>
              <w:contextualSpacing/>
              <w:rPr>
                <w:rFonts w:ascii="Cambria" w:eastAsia="Times New Roman" w:hAnsi="Cambria" w:cs="Times New Roman"/>
                <w:iCs/>
                <w:lang w:val="hr-HR"/>
              </w:rPr>
            </w:pPr>
            <w:r w:rsidRPr="00DF4CE5">
              <w:rPr>
                <w:rFonts w:ascii="Cambria" w:eastAsia="Times New Roman" w:hAnsi="Cambria" w:cs="Times New Roman"/>
                <w:lang w:val="hr-HR"/>
              </w:rPr>
              <w:t xml:space="preserve">Knjiga sadrži jedanaest igrokaza koji su simbolično i </w:t>
            </w:r>
            <w:proofErr w:type="spellStart"/>
            <w:r w:rsidRPr="00DF4CE5">
              <w:rPr>
                <w:rFonts w:ascii="Cambria" w:eastAsia="Times New Roman" w:hAnsi="Cambria" w:cs="Times New Roman"/>
                <w:lang w:val="hr-HR"/>
              </w:rPr>
              <w:t>sižejno</w:t>
            </w:r>
            <w:proofErr w:type="spellEnd"/>
            <w:r w:rsidRPr="00DF4CE5">
              <w:rPr>
                <w:rFonts w:ascii="Cambria" w:eastAsia="Times New Roman" w:hAnsi="Cambria" w:cs="Times New Roman"/>
                <w:lang w:val="hr-HR"/>
              </w:rPr>
              <w:t xml:space="preserve"> određeni naslovom zbirke, jer motiv ljubavi vezivo je i osnovna nit dramskog zbivanja u svakom igrokazu. Dva igrokaza pisana su čakavskim narječjem. Igrokaz "Radujte se narodi" uveličat će božićne blagdane. Opsegom i prividnom jednostavnošću te minimumom scenografskih i </w:t>
            </w:r>
            <w:proofErr w:type="spellStart"/>
            <w:r w:rsidRPr="00DF4CE5">
              <w:rPr>
                <w:rFonts w:ascii="Cambria" w:eastAsia="Times New Roman" w:hAnsi="Cambria" w:cs="Times New Roman"/>
                <w:lang w:val="hr-HR"/>
              </w:rPr>
              <w:t>kostimografskih</w:t>
            </w:r>
            <w:proofErr w:type="spellEnd"/>
            <w:r w:rsidRPr="00DF4CE5">
              <w:rPr>
                <w:rFonts w:ascii="Cambria" w:eastAsia="Times New Roman" w:hAnsi="Cambria" w:cs="Times New Roman"/>
                <w:lang w:val="hr-HR"/>
              </w:rPr>
              <w:t xml:space="preserve"> zadanosti, scenske igre iz ove zbirke dobrodošle su školskim dramskim družinama. Mladi glumci susrest će se sa vješto rimovanim i duhovitim monolozima i dijalozima, kao i mogućnošću osobne kreativnosti na sceni. Metrička čistoća većine stihova u ovim igrokazima pruža mogućnost da se takve predstave oplemene jednostavnim glazbenim brojevima. </w:t>
            </w:r>
            <w:r w:rsidRPr="00DF4CE5">
              <w:rPr>
                <w:rFonts w:ascii="Cambria" w:eastAsia="Times New Roman" w:hAnsi="Cambria" w:cs="Times New Roman"/>
                <w:lang w:val="hr-HR"/>
              </w:rPr>
              <w:br/>
            </w:r>
            <w:r w:rsidRPr="00DF4CE5">
              <w:rPr>
                <w:rFonts w:ascii="Cambria" w:eastAsia="Times New Roman" w:hAnsi="Cambria" w:cs="Times New Roman"/>
                <w:bCs/>
                <w:iCs/>
                <w:lang w:val="hr-HR"/>
              </w:rPr>
              <w:t>Preporuka: “Pepeljuga” , “</w:t>
            </w:r>
            <w:proofErr w:type="spellStart"/>
            <w:r w:rsidRPr="00DF4CE5">
              <w:rPr>
                <w:rFonts w:ascii="Cambria" w:eastAsia="Times New Roman" w:hAnsi="Cambria" w:cs="Times New Roman"/>
                <w:bCs/>
                <w:iCs/>
                <w:lang w:val="hr-HR"/>
              </w:rPr>
              <w:t>ČarnjenaBeritica</w:t>
            </w:r>
            <w:proofErr w:type="spellEnd"/>
            <w:r w:rsidRPr="00DF4CE5">
              <w:rPr>
                <w:rFonts w:ascii="Cambria" w:eastAsia="Times New Roman" w:hAnsi="Cambria" w:cs="Times New Roman"/>
                <w:bCs/>
                <w:iCs/>
                <w:lang w:val="hr-HR"/>
              </w:rPr>
              <w:t xml:space="preserve">” </w:t>
            </w:r>
            <w:r w:rsidRPr="00DF4CE5">
              <w:rPr>
                <w:rFonts w:ascii="Cambria" w:eastAsia="Times New Roman" w:hAnsi="Cambria" w:cs="Times New Roman"/>
                <w:iCs/>
                <w:lang w:val="hr-HR"/>
              </w:rPr>
              <w:t>/ prema Crvenkapici V. Nazora / na čakavštini /,</w:t>
            </w:r>
            <w:r w:rsidRPr="00DF4CE5">
              <w:rPr>
                <w:rFonts w:ascii="Cambria" w:eastAsia="Times New Roman" w:hAnsi="Cambria" w:cs="Times New Roman"/>
                <w:bCs/>
                <w:iCs/>
                <w:lang w:val="hr-HR"/>
              </w:rPr>
              <w:t xml:space="preserve"> “Kruna od </w:t>
            </w:r>
            <w:proofErr w:type="spellStart"/>
            <w:r w:rsidRPr="00DF4CE5">
              <w:rPr>
                <w:rFonts w:ascii="Cambria" w:eastAsia="Times New Roman" w:hAnsi="Cambria" w:cs="Times New Roman"/>
                <w:bCs/>
                <w:iCs/>
                <w:lang w:val="hr-HR"/>
              </w:rPr>
              <w:t>jubavi</w:t>
            </w:r>
            <w:proofErr w:type="spellEnd"/>
            <w:r w:rsidRPr="00DF4CE5">
              <w:rPr>
                <w:rFonts w:ascii="Cambria" w:eastAsia="Times New Roman" w:hAnsi="Cambria" w:cs="Times New Roman"/>
                <w:bCs/>
                <w:iCs/>
                <w:lang w:val="hr-HR"/>
              </w:rPr>
              <w:t>”</w:t>
            </w:r>
            <w:r w:rsidRPr="00DF4CE5">
              <w:rPr>
                <w:rFonts w:ascii="Cambria" w:eastAsia="Times New Roman" w:hAnsi="Cambria" w:cs="Times New Roman"/>
                <w:iCs/>
                <w:lang w:val="hr-HR"/>
              </w:rPr>
              <w:t xml:space="preserve"> / prema “Nahod-ptici” braće Grimm / na čakavštini /</w:t>
            </w:r>
          </w:p>
          <w:p w14:paraId="329B6CBC" w14:textId="77777777" w:rsidR="00DB76CD" w:rsidRPr="00DF4CE5" w:rsidRDefault="00DB76CD" w:rsidP="00A034E3">
            <w:pPr>
              <w:numPr>
                <w:ilvl w:val="0"/>
                <w:numId w:val="42"/>
              </w:numPr>
              <w:spacing w:before="280" w:after="280" w:line="240" w:lineRule="auto"/>
              <w:contextualSpacing/>
              <w:rPr>
                <w:rFonts w:ascii="Cambria" w:eastAsia="Times New Roman" w:hAnsi="Cambria" w:cs="Times New Roman"/>
                <w:bCs/>
                <w:iCs/>
                <w:lang w:val="hr-HR"/>
              </w:rPr>
            </w:pPr>
            <w:r w:rsidRPr="00DF4CE5">
              <w:rPr>
                <w:rFonts w:ascii="Cambria" w:eastAsia="Times New Roman" w:hAnsi="Cambria" w:cs="Times New Roman"/>
                <w:bCs/>
                <w:lang w:val="hr-HR"/>
              </w:rPr>
              <w:t>Lutke iz davnine Ivane Brlić - Mažuranić</w:t>
            </w:r>
            <w:r w:rsidRPr="00DF4CE5">
              <w:rPr>
                <w:rFonts w:ascii="Cambria" w:eastAsia="Times New Roman" w:hAnsi="Cambria" w:cs="Times New Roman"/>
                <w:lang w:val="hr-HR"/>
              </w:rPr>
              <w:br/>
              <w:t xml:space="preserve">Lutke iz davnine Ivane Brlić - Mažuranić = I.B.M. </w:t>
            </w:r>
            <w:proofErr w:type="spellStart"/>
            <w:r w:rsidRPr="00DF4CE5">
              <w:rPr>
                <w:rFonts w:ascii="Cambria" w:eastAsia="Times New Roman" w:hAnsi="Cambria" w:cs="Times New Roman"/>
                <w:lang w:val="hr-HR"/>
              </w:rPr>
              <w:t>amongthepuppets</w:t>
            </w:r>
            <w:proofErr w:type="spellEnd"/>
            <w:r w:rsidRPr="00DF4CE5">
              <w:rPr>
                <w:rFonts w:ascii="Cambria" w:eastAsia="Times New Roman" w:hAnsi="Cambria" w:cs="Times New Roman"/>
                <w:lang w:val="hr-HR"/>
              </w:rPr>
              <w:t xml:space="preserve"> / &lt;urednica Livija </w:t>
            </w:r>
            <w:proofErr w:type="spellStart"/>
            <w:r w:rsidRPr="00DF4CE5">
              <w:rPr>
                <w:rFonts w:ascii="Cambria" w:eastAsia="Times New Roman" w:hAnsi="Cambria" w:cs="Times New Roman"/>
                <w:lang w:val="hr-HR"/>
              </w:rPr>
              <w:t>Kroflin</w:t>
            </w:r>
            <w:proofErr w:type="spellEnd"/>
            <w:r w:rsidRPr="00DF4CE5">
              <w:rPr>
                <w:rFonts w:ascii="Cambria" w:eastAsia="Times New Roman" w:hAnsi="Cambria" w:cs="Times New Roman"/>
                <w:lang w:val="hr-HR"/>
              </w:rPr>
              <w:t xml:space="preserve"> ; prijevod na engleski Nina </w:t>
            </w:r>
            <w:proofErr w:type="spellStart"/>
            <w:r w:rsidRPr="00DF4CE5">
              <w:rPr>
                <w:rFonts w:ascii="Cambria" w:eastAsia="Times New Roman" w:hAnsi="Cambria" w:cs="Times New Roman"/>
                <w:lang w:val="hr-HR"/>
              </w:rPr>
              <w:t>H.Kay</w:t>
            </w:r>
            <w:proofErr w:type="spellEnd"/>
            <w:r w:rsidRPr="00DF4CE5">
              <w:rPr>
                <w:rFonts w:ascii="Cambria" w:eastAsia="Times New Roman" w:hAnsi="Cambria" w:cs="Times New Roman"/>
                <w:lang w:val="hr-HR"/>
              </w:rPr>
              <w:t xml:space="preserve"> - </w:t>
            </w:r>
            <w:proofErr w:type="spellStart"/>
            <w:r w:rsidRPr="00DF4CE5">
              <w:rPr>
                <w:rFonts w:ascii="Cambria" w:eastAsia="Times New Roman" w:hAnsi="Cambria" w:cs="Times New Roman"/>
                <w:lang w:val="hr-HR"/>
              </w:rPr>
              <w:t>Antoljak</w:t>
            </w:r>
            <w:proofErr w:type="spellEnd"/>
            <w:r w:rsidRPr="00DF4CE5">
              <w:rPr>
                <w:rFonts w:ascii="Cambria" w:eastAsia="Times New Roman" w:hAnsi="Cambria" w:cs="Times New Roman"/>
                <w:lang w:val="hr-HR"/>
              </w:rPr>
              <w:t xml:space="preserve">&gt;. - Zagreb : Međunarodni centar za usluge u kulturi, 1994. - 152 str. ; 20 cm. - (Biblioteka </w:t>
            </w:r>
            <w:proofErr w:type="spellStart"/>
            <w:r w:rsidRPr="00DF4CE5">
              <w:rPr>
                <w:rFonts w:ascii="Cambria" w:eastAsia="Times New Roman" w:hAnsi="Cambria" w:cs="Times New Roman"/>
                <w:lang w:val="hr-HR"/>
              </w:rPr>
              <w:t>Lutkanija</w:t>
            </w:r>
            <w:proofErr w:type="spellEnd"/>
            <w:r w:rsidRPr="00DF4CE5">
              <w:rPr>
                <w:rFonts w:ascii="Cambria" w:eastAsia="Times New Roman" w:hAnsi="Cambria" w:cs="Times New Roman"/>
                <w:lang w:val="hr-HR"/>
              </w:rPr>
              <w:t xml:space="preserve">) </w:t>
            </w:r>
            <w:r w:rsidRPr="00DF4CE5">
              <w:rPr>
                <w:rFonts w:ascii="Cambria" w:eastAsia="Times New Roman" w:hAnsi="Cambria" w:cs="Times New Roman"/>
                <w:bCs/>
                <w:iCs/>
                <w:lang w:val="hr-HR"/>
              </w:rPr>
              <w:t xml:space="preserve">Preporuka: </w:t>
            </w:r>
            <w:proofErr w:type="spellStart"/>
            <w:r w:rsidRPr="00DF4CE5">
              <w:rPr>
                <w:rFonts w:ascii="Cambria" w:eastAsia="Times New Roman" w:hAnsi="Cambria" w:cs="Times New Roman"/>
                <w:bCs/>
                <w:iCs/>
                <w:lang w:val="hr-HR"/>
              </w:rPr>
              <w:t>Rabadan</w:t>
            </w:r>
            <w:proofErr w:type="spellEnd"/>
            <w:r w:rsidRPr="00DF4CE5">
              <w:rPr>
                <w:rFonts w:ascii="Cambria" w:eastAsia="Times New Roman" w:hAnsi="Cambria" w:cs="Times New Roman"/>
                <w:bCs/>
                <w:iCs/>
                <w:lang w:val="hr-HR"/>
              </w:rPr>
              <w:t xml:space="preserve">: „Šuma Striborova“, </w:t>
            </w:r>
            <w:proofErr w:type="spellStart"/>
            <w:r w:rsidRPr="00DF4CE5">
              <w:rPr>
                <w:rFonts w:ascii="Cambria" w:eastAsia="Times New Roman" w:hAnsi="Cambria" w:cs="Times New Roman"/>
                <w:bCs/>
                <w:iCs/>
                <w:lang w:val="hr-HR"/>
              </w:rPr>
              <w:t>Čečuk</w:t>
            </w:r>
            <w:proofErr w:type="spellEnd"/>
            <w:r w:rsidRPr="00DF4CE5">
              <w:rPr>
                <w:rFonts w:ascii="Cambria" w:eastAsia="Times New Roman" w:hAnsi="Cambria" w:cs="Times New Roman"/>
                <w:bCs/>
                <w:iCs/>
                <w:lang w:val="hr-HR"/>
              </w:rPr>
              <w:t>: „Ribar Palunko i njegova žena“</w:t>
            </w:r>
          </w:p>
          <w:p w14:paraId="0FA72DC2" w14:textId="77777777" w:rsidR="00DB76CD" w:rsidRPr="00DF4CE5" w:rsidRDefault="00DB76CD" w:rsidP="00A034E3">
            <w:pPr>
              <w:numPr>
                <w:ilvl w:val="0"/>
                <w:numId w:val="42"/>
              </w:numPr>
              <w:spacing w:before="280" w:after="280" w:line="240" w:lineRule="auto"/>
              <w:contextualSpacing/>
              <w:rPr>
                <w:rFonts w:ascii="Cambria" w:eastAsia="Times New Roman" w:hAnsi="Cambria" w:cs="Times New Roman"/>
                <w:bCs/>
                <w:iCs/>
                <w:lang w:val="hr-HR"/>
              </w:rPr>
            </w:pPr>
            <w:r w:rsidRPr="00DF4CE5">
              <w:rPr>
                <w:rFonts w:ascii="Cambria" w:eastAsia="Times New Roman" w:hAnsi="Cambria" w:cs="Times New Roman"/>
                <w:bCs/>
                <w:lang w:val="hr-HR"/>
              </w:rPr>
              <w:t>Mrduljaš, Igor, 1945-</w:t>
            </w:r>
            <w:r w:rsidRPr="00DF4CE5">
              <w:rPr>
                <w:rFonts w:ascii="Cambria" w:eastAsia="Times New Roman" w:hAnsi="Cambria" w:cs="Times New Roman"/>
                <w:lang w:val="hr-HR"/>
              </w:rPr>
              <w:br/>
              <w:t xml:space="preserve">Potjeh, </w:t>
            </w:r>
            <w:proofErr w:type="spellStart"/>
            <w:r w:rsidRPr="00DF4CE5">
              <w:rPr>
                <w:rFonts w:ascii="Cambria" w:eastAsia="Times New Roman" w:hAnsi="Cambria" w:cs="Times New Roman"/>
                <w:lang w:val="hr-HR"/>
              </w:rPr>
              <w:t>Toporko</w:t>
            </w:r>
            <w:proofErr w:type="spellEnd"/>
            <w:r w:rsidRPr="00DF4CE5">
              <w:rPr>
                <w:rFonts w:ascii="Cambria" w:eastAsia="Times New Roman" w:hAnsi="Cambria" w:cs="Times New Roman"/>
                <w:lang w:val="hr-HR"/>
              </w:rPr>
              <w:t xml:space="preserve"> i Neva </w:t>
            </w:r>
            <w:proofErr w:type="spellStart"/>
            <w:r w:rsidRPr="00DF4CE5">
              <w:rPr>
                <w:rFonts w:ascii="Cambria" w:eastAsia="Times New Roman" w:hAnsi="Cambria" w:cs="Times New Roman"/>
                <w:lang w:val="hr-HR"/>
              </w:rPr>
              <w:t>Nevičica</w:t>
            </w:r>
            <w:proofErr w:type="spellEnd"/>
            <w:r w:rsidRPr="00DF4CE5">
              <w:rPr>
                <w:rFonts w:ascii="Cambria" w:eastAsia="Times New Roman" w:hAnsi="Cambria" w:cs="Times New Roman"/>
                <w:lang w:val="hr-HR"/>
              </w:rPr>
              <w:t xml:space="preserve"> : dramske prilagodbe triju Priča iz davnine Ivane Brlić Mažuranić / Igor Mrduljaš. – Zagreb : AGM : Zagrebačko kazalište lutaka, 1995. – 134 str. : 19 cm. – (Glumišna knjižnica Prolog &amp; Lutkarska knjižnica ZKL-a) </w:t>
            </w:r>
            <w:r w:rsidRPr="00DF4CE5">
              <w:rPr>
                <w:rFonts w:ascii="Cambria" w:eastAsia="Times New Roman" w:hAnsi="Cambria" w:cs="Times New Roman"/>
                <w:bCs/>
                <w:iCs/>
                <w:lang w:val="hr-HR"/>
              </w:rPr>
              <w:t>Preporuka: “Potjeh”, “</w:t>
            </w:r>
            <w:proofErr w:type="spellStart"/>
            <w:r w:rsidRPr="00DF4CE5">
              <w:rPr>
                <w:rFonts w:ascii="Cambria" w:eastAsia="Times New Roman" w:hAnsi="Cambria" w:cs="Times New Roman"/>
                <w:bCs/>
                <w:iCs/>
                <w:lang w:val="hr-HR"/>
              </w:rPr>
              <w:t>LutonjicaToporko</w:t>
            </w:r>
            <w:proofErr w:type="spellEnd"/>
            <w:r w:rsidRPr="00DF4CE5">
              <w:rPr>
                <w:rFonts w:ascii="Cambria" w:eastAsia="Times New Roman" w:hAnsi="Cambria" w:cs="Times New Roman"/>
                <w:bCs/>
                <w:iCs/>
                <w:lang w:val="hr-HR"/>
              </w:rPr>
              <w:t xml:space="preserve"> i devet </w:t>
            </w:r>
            <w:proofErr w:type="spellStart"/>
            <w:r w:rsidRPr="00DF4CE5">
              <w:rPr>
                <w:rFonts w:ascii="Cambria" w:eastAsia="Times New Roman" w:hAnsi="Cambria" w:cs="Times New Roman"/>
                <w:bCs/>
                <w:iCs/>
                <w:lang w:val="hr-HR"/>
              </w:rPr>
              <w:t>župančića</w:t>
            </w:r>
            <w:proofErr w:type="spellEnd"/>
            <w:r w:rsidRPr="00DF4CE5">
              <w:rPr>
                <w:rFonts w:ascii="Cambria" w:eastAsia="Times New Roman" w:hAnsi="Cambria" w:cs="Times New Roman"/>
                <w:bCs/>
                <w:iCs/>
                <w:lang w:val="hr-HR"/>
              </w:rPr>
              <w:t xml:space="preserve">”, “Neva </w:t>
            </w:r>
            <w:proofErr w:type="spellStart"/>
            <w:r w:rsidRPr="00DF4CE5">
              <w:rPr>
                <w:rFonts w:ascii="Cambria" w:eastAsia="Times New Roman" w:hAnsi="Cambria" w:cs="Times New Roman"/>
                <w:bCs/>
                <w:iCs/>
                <w:lang w:val="hr-HR"/>
              </w:rPr>
              <w:t>Nevičica</w:t>
            </w:r>
            <w:proofErr w:type="spellEnd"/>
            <w:r w:rsidRPr="00DF4CE5">
              <w:rPr>
                <w:rFonts w:ascii="Cambria" w:eastAsia="Times New Roman" w:hAnsi="Cambria" w:cs="Times New Roman"/>
                <w:bCs/>
                <w:iCs/>
                <w:lang w:val="hr-HR"/>
              </w:rPr>
              <w:t>”</w:t>
            </w:r>
          </w:p>
          <w:p w14:paraId="1B932D91" w14:textId="77777777" w:rsidR="00DB76CD" w:rsidRPr="00DF4CE5" w:rsidRDefault="00DB76CD" w:rsidP="00A034E3">
            <w:pPr>
              <w:numPr>
                <w:ilvl w:val="0"/>
                <w:numId w:val="42"/>
              </w:numPr>
              <w:spacing w:before="280" w:after="280" w:line="240" w:lineRule="auto"/>
              <w:contextualSpacing/>
              <w:rPr>
                <w:rFonts w:ascii="Cambria" w:eastAsia="Times New Roman" w:hAnsi="Cambria" w:cs="Times New Roman"/>
                <w:iCs/>
                <w:lang w:val="hr-HR"/>
              </w:rPr>
            </w:pPr>
            <w:r w:rsidRPr="00DF4CE5">
              <w:rPr>
                <w:rFonts w:ascii="Cambria" w:eastAsia="Times New Roman" w:hAnsi="Cambria" w:cs="Times New Roman"/>
                <w:bCs/>
                <w:lang w:val="hr-HR"/>
              </w:rPr>
              <w:t>Paljetak, Luko, 1943-</w:t>
            </w:r>
            <w:r w:rsidRPr="00DF4CE5">
              <w:rPr>
                <w:rFonts w:ascii="Cambria" w:eastAsia="Times New Roman" w:hAnsi="Cambria" w:cs="Times New Roman"/>
                <w:lang w:val="hr-HR"/>
              </w:rPr>
              <w:br/>
              <w:t xml:space="preserve">Duhovi sa </w:t>
            </w:r>
            <w:proofErr w:type="spellStart"/>
            <w:r w:rsidRPr="00DF4CE5">
              <w:rPr>
                <w:rFonts w:ascii="Cambria" w:eastAsia="Times New Roman" w:hAnsi="Cambria" w:cs="Times New Roman"/>
                <w:lang w:val="hr-HR"/>
              </w:rPr>
              <w:t>Strahurna</w:t>
            </w:r>
            <w:proofErr w:type="spellEnd"/>
            <w:r w:rsidRPr="00DF4CE5">
              <w:rPr>
                <w:rFonts w:ascii="Cambria" w:eastAsia="Times New Roman" w:hAnsi="Cambria" w:cs="Times New Roman"/>
                <w:lang w:val="hr-HR"/>
              </w:rPr>
              <w:t xml:space="preserve"> : tri igrokaza / Luko Paljetak ; &lt;ilustracije Pika </w:t>
            </w:r>
            <w:proofErr w:type="spellStart"/>
            <w:r w:rsidRPr="00DF4CE5">
              <w:rPr>
                <w:rFonts w:ascii="Cambria" w:eastAsia="Times New Roman" w:hAnsi="Cambria" w:cs="Times New Roman"/>
                <w:lang w:val="hr-HR"/>
              </w:rPr>
              <w:t>Vončina</w:t>
            </w:r>
            <w:proofErr w:type="spellEnd"/>
            <w:r w:rsidRPr="00DF4CE5">
              <w:rPr>
                <w:rFonts w:ascii="Cambria" w:eastAsia="Times New Roman" w:hAnsi="Cambria" w:cs="Times New Roman"/>
                <w:lang w:val="hr-HR"/>
              </w:rPr>
              <w:t xml:space="preserve">&gt;. - Rijeka : Izdavački centar Rijeka, 1995. - 85 str. : </w:t>
            </w:r>
            <w:proofErr w:type="spellStart"/>
            <w:r w:rsidRPr="00DF4CE5">
              <w:rPr>
                <w:rFonts w:ascii="Cambria" w:eastAsia="Times New Roman" w:hAnsi="Cambria" w:cs="Times New Roman"/>
                <w:lang w:val="hr-HR"/>
              </w:rPr>
              <w:t>ilustr</w:t>
            </w:r>
            <w:proofErr w:type="spellEnd"/>
            <w:r w:rsidRPr="00DF4CE5">
              <w:rPr>
                <w:rFonts w:ascii="Cambria" w:eastAsia="Times New Roman" w:hAnsi="Cambria" w:cs="Times New Roman"/>
                <w:lang w:val="hr-HR"/>
              </w:rPr>
              <w:t xml:space="preserve">. ; 22 cm. - (Posebna izdanja / ICR ; knj. 128)(Biblioteka za djecu ; knj. 11)                                                                             </w:t>
            </w:r>
            <w:r w:rsidRPr="00DF4CE5">
              <w:rPr>
                <w:rFonts w:ascii="Cambria" w:eastAsia="Times New Roman" w:hAnsi="Cambria" w:cs="Times New Roman"/>
                <w:bCs/>
                <w:iCs/>
                <w:lang w:val="hr-HR"/>
              </w:rPr>
              <w:t xml:space="preserve">Preporuka: „Balada o kraljevim trešnjama“ </w:t>
            </w:r>
            <w:r w:rsidRPr="00DF4CE5">
              <w:rPr>
                <w:rFonts w:ascii="Cambria" w:eastAsia="Times New Roman" w:hAnsi="Cambria" w:cs="Times New Roman"/>
                <w:iCs/>
                <w:lang w:val="hr-HR"/>
              </w:rPr>
              <w:t>/ pogodba s vragom /</w:t>
            </w:r>
          </w:p>
          <w:p w14:paraId="7847CF17" w14:textId="77777777" w:rsidR="00DB76CD" w:rsidRPr="00DF4CE5" w:rsidRDefault="00DB76CD" w:rsidP="00A034E3">
            <w:pPr>
              <w:numPr>
                <w:ilvl w:val="0"/>
                <w:numId w:val="42"/>
              </w:numPr>
              <w:spacing w:before="280" w:after="280" w:line="240" w:lineRule="auto"/>
              <w:contextualSpacing/>
              <w:rPr>
                <w:rFonts w:ascii="Cambria" w:eastAsia="Times New Roman" w:hAnsi="Cambria" w:cs="Times New Roman"/>
                <w:bCs/>
                <w:iCs/>
                <w:lang w:val="hr-HR"/>
              </w:rPr>
            </w:pPr>
            <w:r w:rsidRPr="00DF4CE5">
              <w:rPr>
                <w:rFonts w:ascii="Cambria" w:eastAsia="Times New Roman" w:hAnsi="Cambria" w:cs="Times New Roman"/>
                <w:bCs/>
                <w:lang w:val="hr-HR"/>
              </w:rPr>
              <w:t>Parun, Vesna, 1922-</w:t>
            </w:r>
            <w:r w:rsidRPr="00DF4CE5">
              <w:rPr>
                <w:rFonts w:ascii="Cambria" w:eastAsia="Times New Roman" w:hAnsi="Cambria" w:cs="Times New Roman"/>
                <w:lang w:val="hr-HR"/>
              </w:rPr>
              <w:br/>
              <w:t xml:space="preserve">Igrokazi / Vesna Parun ; &lt;ilustracije Izvor Oreb&gt;. - Zagreb : Naklada Jurčić, 1999. - 128 str. : </w:t>
            </w:r>
            <w:proofErr w:type="spellStart"/>
            <w:r w:rsidRPr="00DF4CE5">
              <w:rPr>
                <w:rFonts w:ascii="Cambria" w:eastAsia="Times New Roman" w:hAnsi="Cambria" w:cs="Times New Roman"/>
                <w:lang w:val="hr-HR"/>
              </w:rPr>
              <w:t>ilustr</w:t>
            </w:r>
            <w:proofErr w:type="spellEnd"/>
            <w:r w:rsidRPr="00DF4CE5">
              <w:rPr>
                <w:rFonts w:ascii="Cambria" w:eastAsia="Times New Roman" w:hAnsi="Cambria" w:cs="Times New Roman"/>
                <w:lang w:val="hr-HR"/>
              </w:rPr>
              <w:t xml:space="preserve">. ; 30 cm. - (Biblioteka Pčelinja ljubica ; knj. 2)                                                            </w:t>
            </w:r>
            <w:r w:rsidRPr="00DF4CE5">
              <w:rPr>
                <w:rFonts w:ascii="Cambria" w:eastAsia="Times New Roman" w:hAnsi="Cambria" w:cs="Times New Roman"/>
                <w:bCs/>
                <w:iCs/>
                <w:lang w:val="hr-HR"/>
              </w:rPr>
              <w:t>Preporuka: „Mačak Džingiskan i Miki Trasi“, „Ponoćna ogrlica“</w:t>
            </w:r>
          </w:p>
          <w:p w14:paraId="75E0A721" w14:textId="77777777" w:rsidR="00DB76CD" w:rsidRPr="00DF4CE5" w:rsidRDefault="00DB76CD" w:rsidP="00A034E3">
            <w:pPr>
              <w:numPr>
                <w:ilvl w:val="0"/>
                <w:numId w:val="42"/>
              </w:numPr>
              <w:spacing w:before="280" w:after="280" w:line="240" w:lineRule="auto"/>
              <w:contextualSpacing/>
              <w:rPr>
                <w:rFonts w:ascii="Cambria" w:eastAsia="Times New Roman" w:hAnsi="Cambria" w:cs="Times New Roman"/>
                <w:lang w:val="hr-HR"/>
              </w:rPr>
            </w:pPr>
            <w:r w:rsidRPr="00DF4CE5">
              <w:rPr>
                <w:rFonts w:ascii="Cambria" w:eastAsia="Times New Roman" w:hAnsi="Cambria" w:cs="Times New Roman"/>
                <w:bCs/>
                <w:lang w:val="hr-HR"/>
              </w:rPr>
              <w:t>Parun, Vesna, 1922-</w:t>
            </w:r>
            <w:r w:rsidRPr="00DF4CE5">
              <w:rPr>
                <w:rFonts w:ascii="Cambria" w:eastAsia="Times New Roman" w:hAnsi="Cambria" w:cs="Times New Roman"/>
                <w:lang w:val="hr-HR"/>
              </w:rPr>
              <w:br/>
              <w:t xml:space="preserve">Mačak Džingiskan i Miki Trasi : (igrokaz) / Vesna Parun ; dramatizirala Zvjezdana </w:t>
            </w:r>
            <w:proofErr w:type="spellStart"/>
            <w:r w:rsidRPr="00DF4CE5">
              <w:rPr>
                <w:rFonts w:ascii="Cambria" w:eastAsia="Times New Roman" w:hAnsi="Cambria" w:cs="Times New Roman"/>
                <w:lang w:val="hr-HR"/>
              </w:rPr>
              <w:t>Ladika</w:t>
            </w:r>
            <w:proofErr w:type="spellEnd"/>
            <w:r w:rsidRPr="00DF4CE5">
              <w:rPr>
                <w:rFonts w:ascii="Cambria" w:eastAsia="Times New Roman" w:hAnsi="Cambria" w:cs="Times New Roman"/>
                <w:lang w:val="hr-HR"/>
              </w:rPr>
              <w:t xml:space="preserve"> ; oslikao Ivan Vitez ; uglazbio </w:t>
            </w:r>
            <w:r w:rsidRPr="00DF4CE5">
              <w:rPr>
                <w:rFonts w:ascii="Cambria" w:eastAsia="Times New Roman" w:hAnsi="Cambria" w:cs="Times New Roman"/>
                <w:lang w:val="hr-HR"/>
              </w:rPr>
              <w:lastRenderedPageBreak/>
              <w:t xml:space="preserve">Ladislav </w:t>
            </w:r>
            <w:proofErr w:type="spellStart"/>
            <w:r w:rsidRPr="00DF4CE5">
              <w:rPr>
                <w:rFonts w:ascii="Cambria" w:eastAsia="Times New Roman" w:hAnsi="Cambria" w:cs="Times New Roman"/>
                <w:lang w:val="hr-HR"/>
              </w:rPr>
              <w:t>Tulač</w:t>
            </w:r>
            <w:proofErr w:type="spellEnd"/>
            <w:r w:rsidRPr="00DF4CE5">
              <w:rPr>
                <w:rFonts w:ascii="Cambria" w:eastAsia="Times New Roman" w:hAnsi="Cambria" w:cs="Times New Roman"/>
                <w:lang w:val="hr-HR"/>
              </w:rPr>
              <w:t xml:space="preserve">. - 2. preuređeno </w:t>
            </w:r>
            <w:proofErr w:type="spellStart"/>
            <w:r w:rsidRPr="00DF4CE5">
              <w:rPr>
                <w:rFonts w:ascii="Cambria" w:eastAsia="Times New Roman" w:hAnsi="Cambria" w:cs="Times New Roman"/>
                <w:lang w:val="hr-HR"/>
              </w:rPr>
              <w:t>izd</w:t>
            </w:r>
            <w:proofErr w:type="spellEnd"/>
            <w:r w:rsidRPr="00DF4CE5">
              <w:rPr>
                <w:rFonts w:ascii="Cambria" w:eastAsia="Times New Roman" w:hAnsi="Cambria" w:cs="Times New Roman"/>
                <w:lang w:val="hr-HR"/>
              </w:rPr>
              <w:t xml:space="preserve">. - Zagreb : ABC naklada, 2003. - 46 str. : </w:t>
            </w:r>
            <w:proofErr w:type="spellStart"/>
            <w:r w:rsidRPr="00DF4CE5">
              <w:rPr>
                <w:rFonts w:ascii="Cambria" w:eastAsia="Times New Roman" w:hAnsi="Cambria" w:cs="Times New Roman"/>
                <w:lang w:val="hr-HR"/>
              </w:rPr>
              <w:t>ilustr</w:t>
            </w:r>
            <w:proofErr w:type="spellEnd"/>
            <w:r w:rsidRPr="00DF4CE5">
              <w:rPr>
                <w:rFonts w:ascii="Cambria" w:eastAsia="Times New Roman" w:hAnsi="Cambria" w:cs="Times New Roman"/>
                <w:lang w:val="hr-HR"/>
              </w:rPr>
              <w:t>. ; 29 cm</w:t>
            </w:r>
          </w:p>
          <w:p w14:paraId="46788DE8" w14:textId="77777777" w:rsidR="00DB76CD" w:rsidRPr="00DF4CE5" w:rsidRDefault="00DB76CD" w:rsidP="00A034E3">
            <w:pPr>
              <w:numPr>
                <w:ilvl w:val="0"/>
                <w:numId w:val="42"/>
              </w:numPr>
              <w:spacing w:before="280" w:after="280" w:line="240" w:lineRule="auto"/>
              <w:contextualSpacing/>
              <w:rPr>
                <w:rFonts w:ascii="Cambria" w:eastAsia="Times New Roman" w:hAnsi="Cambria" w:cs="Times New Roman"/>
                <w:lang w:val="hr-HR"/>
              </w:rPr>
            </w:pPr>
            <w:r w:rsidRPr="00DF4CE5">
              <w:rPr>
                <w:rFonts w:ascii="Cambria" w:eastAsia="Times New Roman" w:hAnsi="Cambria" w:cs="Times New Roman"/>
                <w:lang w:val="hr-HR"/>
              </w:rPr>
              <w:t xml:space="preserve">Jedan od najpoznatijih romana u stihovima u kojem pjesnikinja svoje junake dalmatinskog podneblja odvodi uvijek iznova u nove pustolovine. Plovidba morem, Džingiskanova pisma i dnevnik, susreti s djedom Rokom i babom </w:t>
            </w:r>
            <w:proofErr w:type="spellStart"/>
            <w:r w:rsidRPr="00DF4CE5">
              <w:rPr>
                <w:rFonts w:ascii="Cambria" w:eastAsia="Times New Roman" w:hAnsi="Cambria" w:cs="Times New Roman"/>
                <w:lang w:val="hr-HR"/>
              </w:rPr>
              <w:t>Pim</w:t>
            </w:r>
            <w:proofErr w:type="spellEnd"/>
            <w:r w:rsidRPr="00DF4CE5">
              <w:rPr>
                <w:rFonts w:ascii="Cambria" w:eastAsia="Times New Roman" w:hAnsi="Cambria" w:cs="Times New Roman"/>
                <w:lang w:val="hr-HR"/>
              </w:rPr>
              <w:t xml:space="preserve">-bakom, mačji ratnički i istraživački pothvati ispričani su kratkim, tečnim, djeci razumljivim stihovima. Od tuda i popularnost tih pjesama o mačjim junacima koje je u ovom novom izdanju dramatizirala Zvjezdana </w:t>
            </w:r>
            <w:proofErr w:type="spellStart"/>
            <w:r w:rsidRPr="00DF4CE5">
              <w:rPr>
                <w:rFonts w:ascii="Cambria" w:eastAsia="Times New Roman" w:hAnsi="Cambria" w:cs="Times New Roman"/>
                <w:lang w:val="hr-HR"/>
              </w:rPr>
              <w:t>Ladika</w:t>
            </w:r>
            <w:proofErr w:type="spellEnd"/>
            <w:r w:rsidRPr="00DF4CE5">
              <w:rPr>
                <w:rFonts w:ascii="Cambria" w:eastAsia="Times New Roman" w:hAnsi="Cambria" w:cs="Times New Roman"/>
                <w:lang w:val="hr-HR"/>
              </w:rPr>
              <w:t xml:space="preserve">, oslikao Ivan Vitez i uglazbio Ladislav </w:t>
            </w:r>
            <w:proofErr w:type="spellStart"/>
            <w:r w:rsidRPr="00DF4CE5">
              <w:rPr>
                <w:rFonts w:ascii="Cambria" w:eastAsia="Times New Roman" w:hAnsi="Cambria" w:cs="Times New Roman"/>
                <w:lang w:val="hr-HR"/>
              </w:rPr>
              <w:t>Tulač</w:t>
            </w:r>
            <w:proofErr w:type="spellEnd"/>
            <w:r w:rsidRPr="00DF4CE5">
              <w:rPr>
                <w:rFonts w:ascii="Cambria" w:eastAsia="Times New Roman" w:hAnsi="Cambria" w:cs="Times New Roman"/>
                <w:lang w:val="hr-HR"/>
              </w:rPr>
              <w:t>.</w:t>
            </w:r>
          </w:p>
          <w:p w14:paraId="19E8CCEF" w14:textId="77777777" w:rsidR="00DB76CD" w:rsidRPr="00DF4CE5" w:rsidRDefault="00DB76CD" w:rsidP="00A034E3">
            <w:pPr>
              <w:numPr>
                <w:ilvl w:val="0"/>
                <w:numId w:val="42"/>
              </w:numPr>
              <w:spacing w:before="280" w:after="280" w:line="240" w:lineRule="auto"/>
              <w:contextualSpacing/>
              <w:rPr>
                <w:rFonts w:ascii="Cambria" w:eastAsia="Times New Roman" w:hAnsi="Cambria" w:cs="Times New Roman"/>
                <w:lang w:val="hr-HR"/>
              </w:rPr>
            </w:pPr>
            <w:r w:rsidRPr="00DF4CE5">
              <w:rPr>
                <w:rFonts w:ascii="Cambria" w:eastAsia="Times New Roman" w:hAnsi="Cambria" w:cs="Times New Roman"/>
                <w:bCs/>
                <w:lang w:val="hr-HR"/>
              </w:rPr>
              <w:t>Stahuljak, Višnja, 1926-</w:t>
            </w:r>
            <w:r w:rsidRPr="00DF4CE5">
              <w:rPr>
                <w:rFonts w:ascii="Cambria" w:eastAsia="Times New Roman" w:hAnsi="Cambria" w:cs="Times New Roman"/>
                <w:lang w:val="hr-HR"/>
              </w:rPr>
              <w:br/>
              <w:t xml:space="preserve">Darovi Djeda Mraza : igrokazi za djecu / Višnja Stahuljak ; ilustrirao Pavao </w:t>
            </w:r>
            <w:proofErr w:type="spellStart"/>
            <w:r w:rsidRPr="00DF4CE5">
              <w:rPr>
                <w:rFonts w:ascii="Cambria" w:eastAsia="Times New Roman" w:hAnsi="Cambria" w:cs="Times New Roman"/>
                <w:lang w:val="hr-HR"/>
              </w:rPr>
              <w:t>Štalter</w:t>
            </w:r>
            <w:proofErr w:type="spellEnd"/>
            <w:r w:rsidRPr="00DF4CE5">
              <w:rPr>
                <w:rFonts w:ascii="Cambria" w:eastAsia="Times New Roman" w:hAnsi="Cambria" w:cs="Times New Roman"/>
                <w:lang w:val="hr-HR"/>
              </w:rPr>
              <w:t xml:space="preserve">. - &lt;2. </w:t>
            </w:r>
            <w:proofErr w:type="spellStart"/>
            <w:r w:rsidRPr="00DF4CE5">
              <w:rPr>
                <w:rFonts w:ascii="Cambria" w:eastAsia="Times New Roman" w:hAnsi="Cambria" w:cs="Times New Roman"/>
                <w:lang w:val="hr-HR"/>
              </w:rPr>
              <w:t>izd</w:t>
            </w:r>
            <w:proofErr w:type="spellEnd"/>
            <w:r w:rsidRPr="00DF4CE5">
              <w:rPr>
                <w:rFonts w:ascii="Cambria" w:eastAsia="Times New Roman" w:hAnsi="Cambria" w:cs="Times New Roman"/>
                <w:lang w:val="hr-HR"/>
              </w:rPr>
              <w:t xml:space="preserve">.&gt;. - Zagreb : Školska knjiga, 1985. - 92 str. : </w:t>
            </w:r>
            <w:proofErr w:type="spellStart"/>
            <w:r w:rsidRPr="00DF4CE5">
              <w:rPr>
                <w:rFonts w:ascii="Cambria" w:eastAsia="Times New Roman" w:hAnsi="Cambria" w:cs="Times New Roman"/>
                <w:lang w:val="hr-HR"/>
              </w:rPr>
              <w:t>ilustr</w:t>
            </w:r>
            <w:proofErr w:type="spellEnd"/>
            <w:r w:rsidRPr="00DF4CE5">
              <w:rPr>
                <w:rFonts w:ascii="Cambria" w:eastAsia="Times New Roman" w:hAnsi="Cambria" w:cs="Times New Roman"/>
                <w:lang w:val="hr-HR"/>
              </w:rPr>
              <w:t>. ; 25 cm. - (Biblioteka Modra lasta)</w:t>
            </w:r>
          </w:p>
          <w:p w14:paraId="130AA386" w14:textId="77777777" w:rsidR="00DB76CD" w:rsidRPr="00DF4CE5" w:rsidRDefault="00DB76CD" w:rsidP="00A034E3">
            <w:pPr>
              <w:numPr>
                <w:ilvl w:val="0"/>
                <w:numId w:val="42"/>
              </w:numPr>
              <w:spacing w:before="280" w:after="280" w:line="240" w:lineRule="auto"/>
              <w:contextualSpacing/>
              <w:rPr>
                <w:rFonts w:ascii="Cambria" w:eastAsia="Times New Roman" w:hAnsi="Cambria" w:cs="Times New Roman"/>
                <w:iCs/>
                <w:lang w:val="hr-HR"/>
              </w:rPr>
            </w:pPr>
            <w:r w:rsidRPr="00DF4CE5">
              <w:rPr>
                <w:rFonts w:ascii="Cambria" w:eastAsia="Times New Roman" w:hAnsi="Cambria" w:cs="Times New Roman"/>
                <w:lang w:val="hr-HR"/>
              </w:rPr>
              <w:t xml:space="preserve">Zbirka igrokaza za djecu koja sadrži četiri naslova, od koji je igrokaz "Darovi djeda Mraza", pogodan za izvođenje u predblagdansko vrijeme, jer to je novogodišnja igra za najmlađe, koja završava </w:t>
            </w:r>
            <w:proofErr w:type="spellStart"/>
            <w:r w:rsidRPr="00DF4CE5">
              <w:rPr>
                <w:rFonts w:ascii="Cambria" w:eastAsia="Times New Roman" w:hAnsi="Cambria" w:cs="Times New Roman"/>
                <w:lang w:val="hr-HR"/>
              </w:rPr>
              <w:t>djeljenjem</w:t>
            </w:r>
            <w:proofErr w:type="spellEnd"/>
            <w:r w:rsidRPr="00DF4CE5">
              <w:rPr>
                <w:rFonts w:ascii="Cambria" w:eastAsia="Times New Roman" w:hAnsi="Cambria" w:cs="Times New Roman"/>
                <w:lang w:val="hr-HR"/>
              </w:rPr>
              <w:t xml:space="preserve"> poklona djeci. Tu je igrokaz "</w:t>
            </w:r>
            <w:proofErr w:type="spellStart"/>
            <w:r w:rsidRPr="00DF4CE5">
              <w:rPr>
                <w:rFonts w:ascii="Cambria" w:eastAsia="Times New Roman" w:hAnsi="Cambria" w:cs="Times New Roman"/>
                <w:lang w:val="hr-HR"/>
              </w:rPr>
              <w:t>Bjelkica</w:t>
            </w:r>
            <w:proofErr w:type="spellEnd"/>
            <w:r w:rsidRPr="00DF4CE5">
              <w:rPr>
                <w:rFonts w:ascii="Cambria" w:eastAsia="Times New Roman" w:hAnsi="Cambria" w:cs="Times New Roman"/>
                <w:lang w:val="hr-HR"/>
              </w:rPr>
              <w:t>" - scenska bajka u četiri čina, u kojoj se kao likovi pojavljuju vile, vodenjaci, vilenjaci, šumsko i vodeno cvijeće. Slijedi "Neobični intervju" - znanstveno-fantastična igra za djecu i "Tko traži - taj nađe", dječji igrokaz u tri čina, koji se događa početkom ovog stoljeća, a govori o radosnoj zbilji začinjenoj s malo tuge.</w:t>
            </w:r>
            <w:r w:rsidRPr="00DF4CE5">
              <w:rPr>
                <w:rFonts w:ascii="Cambria" w:eastAsia="Times New Roman" w:hAnsi="Cambria" w:cs="Times New Roman"/>
                <w:lang w:val="hr-HR"/>
              </w:rPr>
              <w:br/>
            </w:r>
            <w:r w:rsidRPr="00DF4CE5">
              <w:rPr>
                <w:rFonts w:ascii="Cambria" w:eastAsia="Times New Roman" w:hAnsi="Cambria" w:cs="Times New Roman"/>
                <w:bCs/>
                <w:iCs/>
                <w:lang w:val="hr-HR"/>
              </w:rPr>
              <w:t>Preporuka: “</w:t>
            </w:r>
            <w:proofErr w:type="spellStart"/>
            <w:r w:rsidRPr="00DF4CE5">
              <w:rPr>
                <w:rFonts w:ascii="Cambria" w:eastAsia="Times New Roman" w:hAnsi="Cambria" w:cs="Times New Roman"/>
                <w:bCs/>
                <w:iCs/>
                <w:lang w:val="hr-HR"/>
              </w:rPr>
              <w:t>Bjelkica</w:t>
            </w:r>
            <w:proofErr w:type="spellEnd"/>
            <w:r w:rsidRPr="00DF4CE5">
              <w:rPr>
                <w:rFonts w:ascii="Cambria" w:eastAsia="Times New Roman" w:hAnsi="Cambria" w:cs="Times New Roman"/>
                <w:bCs/>
                <w:iCs/>
                <w:lang w:val="hr-HR"/>
              </w:rPr>
              <w:t xml:space="preserve">” </w:t>
            </w:r>
            <w:r w:rsidRPr="00DF4CE5">
              <w:rPr>
                <w:rFonts w:ascii="Cambria" w:eastAsia="Times New Roman" w:hAnsi="Cambria" w:cs="Times New Roman"/>
                <w:iCs/>
                <w:lang w:val="hr-HR"/>
              </w:rPr>
              <w:t>/ pastoralna bajka /</w:t>
            </w:r>
          </w:p>
          <w:p w14:paraId="1A301616" w14:textId="77777777" w:rsidR="00DB76CD" w:rsidRPr="00DF4CE5" w:rsidRDefault="00DB76CD" w:rsidP="00A034E3">
            <w:pPr>
              <w:numPr>
                <w:ilvl w:val="0"/>
                <w:numId w:val="42"/>
              </w:numPr>
              <w:spacing w:before="280" w:after="280" w:line="240" w:lineRule="auto"/>
              <w:contextualSpacing/>
              <w:rPr>
                <w:rFonts w:ascii="Cambria" w:eastAsia="Times New Roman" w:hAnsi="Cambria" w:cs="Times New Roman"/>
                <w:lang w:val="hr-HR"/>
              </w:rPr>
            </w:pPr>
            <w:proofErr w:type="spellStart"/>
            <w:r w:rsidRPr="00DF4CE5">
              <w:rPr>
                <w:rFonts w:ascii="Cambria" w:eastAsia="Times New Roman" w:hAnsi="Cambria" w:cs="Times New Roman"/>
                <w:bCs/>
                <w:lang w:val="hr-HR"/>
              </w:rPr>
              <w:t>Škrabe</w:t>
            </w:r>
            <w:proofErr w:type="spellEnd"/>
            <w:r w:rsidRPr="00DF4CE5">
              <w:rPr>
                <w:rFonts w:ascii="Cambria" w:eastAsia="Times New Roman" w:hAnsi="Cambria" w:cs="Times New Roman"/>
                <w:bCs/>
                <w:lang w:val="hr-HR"/>
              </w:rPr>
              <w:t>, Nino, 1947-</w:t>
            </w:r>
            <w:r w:rsidRPr="00DF4CE5">
              <w:rPr>
                <w:rFonts w:ascii="Cambria" w:eastAsia="Times New Roman" w:hAnsi="Cambria" w:cs="Times New Roman"/>
                <w:lang w:val="hr-HR"/>
              </w:rPr>
              <w:br/>
              <w:t xml:space="preserve">Ivana : rock bajka = </w:t>
            </w:r>
            <w:proofErr w:type="spellStart"/>
            <w:r w:rsidRPr="00DF4CE5">
              <w:rPr>
                <w:rFonts w:ascii="Cambria" w:eastAsia="Times New Roman" w:hAnsi="Cambria" w:cs="Times New Roman"/>
                <w:lang w:val="hr-HR"/>
              </w:rPr>
              <w:t>playibm</w:t>
            </w:r>
            <w:proofErr w:type="spellEnd"/>
            <w:r w:rsidRPr="00DF4CE5">
              <w:rPr>
                <w:rFonts w:ascii="Cambria" w:eastAsia="Times New Roman" w:hAnsi="Cambria" w:cs="Times New Roman"/>
                <w:lang w:val="hr-HR"/>
              </w:rPr>
              <w:t xml:space="preserve"> / Nino </w:t>
            </w:r>
            <w:proofErr w:type="spellStart"/>
            <w:r w:rsidRPr="00DF4CE5">
              <w:rPr>
                <w:rFonts w:ascii="Cambria" w:eastAsia="Times New Roman" w:hAnsi="Cambria" w:cs="Times New Roman"/>
                <w:lang w:val="hr-HR"/>
              </w:rPr>
              <w:t>Škrabe</w:t>
            </w:r>
            <w:proofErr w:type="spellEnd"/>
            <w:r w:rsidRPr="00DF4CE5">
              <w:rPr>
                <w:rFonts w:ascii="Cambria" w:eastAsia="Times New Roman" w:hAnsi="Cambria" w:cs="Times New Roman"/>
                <w:lang w:val="hr-HR"/>
              </w:rPr>
              <w:t xml:space="preserve"> ; [ilustracije Davor </w:t>
            </w:r>
            <w:proofErr w:type="spellStart"/>
            <w:r w:rsidRPr="00DF4CE5">
              <w:rPr>
                <w:rFonts w:ascii="Cambria" w:eastAsia="Times New Roman" w:hAnsi="Cambria" w:cs="Times New Roman"/>
                <w:lang w:val="hr-HR"/>
              </w:rPr>
              <w:t>Šunk</w:t>
            </w:r>
            <w:proofErr w:type="spellEnd"/>
            <w:r w:rsidRPr="00DF4CE5">
              <w:rPr>
                <w:rFonts w:ascii="Cambria" w:eastAsia="Times New Roman" w:hAnsi="Cambria" w:cs="Times New Roman"/>
                <w:lang w:val="hr-HR"/>
              </w:rPr>
              <w:t xml:space="preserve">, Vanda </w:t>
            </w:r>
            <w:proofErr w:type="spellStart"/>
            <w:r w:rsidRPr="00DF4CE5">
              <w:rPr>
                <w:rFonts w:ascii="Cambria" w:eastAsia="Times New Roman" w:hAnsi="Cambria" w:cs="Times New Roman"/>
                <w:lang w:val="hr-HR"/>
              </w:rPr>
              <w:t>Čižmek</w:t>
            </w:r>
            <w:proofErr w:type="spellEnd"/>
            <w:r w:rsidRPr="00DF4CE5">
              <w:rPr>
                <w:rFonts w:ascii="Cambria" w:eastAsia="Times New Roman" w:hAnsi="Cambria" w:cs="Times New Roman"/>
                <w:lang w:val="hr-HR"/>
              </w:rPr>
              <w:t xml:space="preserve">]. - Zagreb : </w:t>
            </w:r>
            <w:proofErr w:type="spellStart"/>
            <w:r w:rsidRPr="00DF4CE5">
              <w:rPr>
                <w:rFonts w:ascii="Cambria" w:eastAsia="Times New Roman" w:hAnsi="Cambria" w:cs="Times New Roman"/>
                <w:lang w:val="hr-HR"/>
              </w:rPr>
              <w:t>Egmont</w:t>
            </w:r>
            <w:proofErr w:type="spellEnd"/>
            <w:r w:rsidRPr="00DF4CE5">
              <w:rPr>
                <w:rFonts w:ascii="Cambria" w:eastAsia="Times New Roman" w:hAnsi="Cambria" w:cs="Times New Roman"/>
                <w:lang w:val="hr-HR"/>
              </w:rPr>
              <w:t xml:space="preserve">, 2004. - 105 str. : </w:t>
            </w:r>
            <w:proofErr w:type="spellStart"/>
            <w:r w:rsidRPr="00DF4CE5">
              <w:rPr>
                <w:rFonts w:ascii="Cambria" w:eastAsia="Times New Roman" w:hAnsi="Cambria" w:cs="Times New Roman"/>
                <w:lang w:val="hr-HR"/>
              </w:rPr>
              <w:t>ilustr</w:t>
            </w:r>
            <w:proofErr w:type="spellEnd"/>
            <w:r w:rsidRPr="00DF4CE5">
              <w:rPr>
                <w:rFonts w:ascii="Cambria" w:eastAsia="Times New Roman" w:hAnsi="Cambria" w:cs="Times New Roman"/>
                <w:lang w:val="hr-HR"/>
              </w:rPr>
              <w:t>. ; 24 cm</w:t>
            </w:r>
          </w:p>
          <w:p w14:paraId="41CC0BA1" w14:textId="77777777" w:rsidR="00DB76CD" w:rsidRPr="00DF4CE5" w:rsidRDefault="00DB76CD" w:rsidP="00A034E3">
            <w:pPr>
              <w:numPr>
                <w:ilvl w:val="0"/>
                <w:numId w:val="42"/>
              </w:numPr>
              <w:spacing w:before="280" w:after="280" w:line="240" w:lineRule="auto"/>
              <w:contextualSpacing/>
              <w:rPr>
                <w:rFonts w:ascii="Cambria" w:eastAsia="Times New Roman" w:hAnsi="Cambria" w:cs="Times New Roman"/>
                <w:lang w:val="hr-HR"/>
              </w:rPr>
            </w:pPr>
            <w:r w:rsidRPr="00DF4CE5">
              <w:rPr>
                <w:rFonts w:ascii="Cambria" w:eastAsia="Times New Roman" w:hAnsi="Cambria" w:cs="Times New Roman"/>
                <w:lang w:val="hr-HR"/>
              </w:rPr>
              <w:t xml:space="preserve">Ovo je igrokaz što ga je autor posvetio našoj najvećoj dječjoj književnici u povodu 130. obljetnice njenog rođenja i 65. godišnjice smrti. U njemu se kao junaci pojavljuju poznati likovi iz Ivaninih djela, koji zajedno grade jednu sasvim novu, svoju priču. Umjetnički trojac </w:t>
            </w:r>
            <w:proofErr w:type="spellStart"/>
            <w:r w:rsidRPr="00DF4CE5">
              <w:rPr>
                <w:rFonts w:ascii="Cambria" w:eastAsia="Times New Roman" w:hAnsi="Cambria" w:cs="Times New Roman"/>
                <w:lang w:val="hr-HR"/>
              </w:rPr>
              <w:t>Škrabe</w:t>
            </w:r>
            <w:proofErr w:type="spellEnd"/>
            <w:r w:rsidRPr="00DF4CE5">
              <w:rPr>
                <w:rFonts w:ascii="Cambria" w:eastAsia="Times New Roman" w:hAnsi="Cambria" w:cs="Times New Roman"/>
                <w:lang w:val="hr-HR"/>
              </w:rPr>
              <w:t>-Štefančić-Cvitanović, spojili su riječ, scenski izraz i glazbu, i pretočili ih u rock-bajku. Tako ćemo osim u knjizi, moći uživati i u dobroj predstavi.</w:t>
            </w:r>
          </w:p>
          <w:p w14:paraId="4BE6FDD3" w14:textId="77777777" w:rsidR="00DB76CD" w:rsidRPr="00DF4CE5" w:rsidRDefault="00DB76CD" w:rsidP="00A034E3">
            <w:pPr>
              <w:numPr>
                <w:ilvl w:val="0"/>
                <w:numId w:val="42"/>
              </w:numPr>
              <w:spacing w:before="280" w:after="280" w:line="240" w:lineRule="auto"/>
              <w:contextualSpacing/>
              <w:rPr>
                <w:rFonts w:ascii="Cambria" w:eastAsia="Times New Roman" w:hAnsi="Cambria" w:cs="Times New Roman"/>
                <w:lang w:val="hr-HR"/>
              </w:rPr>
            </w:pPr>
            <w:proofErr w:type="spellStart"/>
            <w:r w:rsidRPr="00DF4CE5">
              <w:rPr>
                <w:rFonts w:ascii="Cambria" w:eastAsia="Times New Roman" w:hAnsi="Cambria" w:cs="Times New Roman"/>
                <w:bCs/>
                <w:lang w:val="hr-HR"/>
              </w:rPr>
              <w:t>Škrabe</w:t>
            </w:r>
            <w:proofErr w:type="spellEnd"/>
            <w:r w:rsidRPr="00DF4CE5">
              <w:rPr>
                <w:rFonts w:ascii="Cambria" w:eastAsia="Times New Roman" w:hAnsi="Cambria" w:cs="Times New Roman"/>
                <w:bCs/>
                <w:lang w:val="hr-HR"/>
              </w:rPr>
              <w:t>, Nino, 1947-</w:t>
            </w:r>
            <w:r w:rsidRPr="00DF4CE5">
              <w:rPr>
                <w:rFonts w:ascii="Cambria" w:eastAsia="Times New Roman" w:hAnsi="Cambria" w:cs="Times New Roman"/>
                <w:lang w:val="hr-HR"/>
              </w:rPr>
              <w:br/>
              <w:t xml:space="preserve">Iznad duge : tri igrokaza / Nino </w:t>
            </w:r>
            <w:proofErr w:type="spellStart"/>
            <w:r w:rsidRPr="00DF4CE5">
              <w:rPr>
                <w:rFonts w:ascii="Cambria" w:eastAsia="Times New Roman" w:hAnsi="Cambria" w:cs="Times New Roman"/>
                <w:lang w:val="hr-HR"/>
              </w:rPr>
              <w:t>Škrabe</w:t>
            </w:r>
            <w:proofErr w:type="spellEnd"/>
            <w:r w:rsidRPr="00DF4CE5">
              <w:rPr>
                <w:rFonts w:ascii="Cambria" w:eastAsia="Times New Roman" w:hAnsi="Cambria" w:cs="Times New Roman"/>
                <w:lang w:val="hr-HR"/>
              </w:rPr>
              <w:t xml:space="preserve">. - Zagreb : </w:t>
            </w:r>
            <w:proofErr w:type="spellStart"/>
            <w:r w:rsidRPr="00DF4CE5">
              <w:rPr>
                <w:rFonts w:ascii="Cambria" w:eastAsia="Times New Roman" w:hAnsi="Cambria" w:cs="Times New Roman"/>
                <w:lang w:val="hr-HR"/>
              </w:rPr>
              <w:t>Disput</w:t>
            </w:r>
            <w:proofErr w:type="spellEnd"/>
            <w:r w:rsidRPr="00DF4CE5">
              <w:rPr>
                <w:rFonts w:ascii="Cambria" w:eastAsia="Times New Roman" w:hAnsi="Cambria" w:cs="Times New Roman"/>
                <w:lang w:val="hr-HR"/>
              </w:rPr>
              <w:t xml:space="preserve">, 2000. - 164 str. : </w:t>
            </w:r>
            <w:proofErr w:type="spellStart"/>
            <w:r w:rsidRPr="00DF4CE5">
              <w:rPr>
                <w:rFonts w:ascii="Cambria" w:eastAsia="Times New Roman" w:hAnsi="Cambria" w:cs="Times New Roman"/>
                <w:lang w:val="hr-HR"/>
              </w:rPr>
              <w:t>ilustr</w:t>
            </w:r>
            <w:proofErr w:type="spellEnd"/>
            <w:r w:rsidRPr="00DF4CE5">
              <w:rPr>
                <w:rFonts w:ascii="Cambria" w:eastAsia="Times New Roman" w:hAnsi="Cambria" w:cs="Times New Roman"/>
                <w:lang w:val="hr-HR"/>
              </w:rPr>
              <w:t>. ; 20 cm. - (Biblioteka Lektira plus ; knj. 1)</w:t>
            </w:r>
          </w:p>
          <w:p w14:paraId="77A4556D" w14:textId="77777777" w:rsidR="00DB76CD" w:rsidRPr="00DF4CE5" w:rsidRDefault="00DB76CD" w:rsidP="00A034E3">
            <w:pPr>
              <w:numPr>
                <w:ilvl w:val="0"/>
                <w:numId w:val="42"/>
              </w:numPr>
              <w:spacing w:before="280" w:after="280" w:line="240" w:lineRule="auto"/>
              <w:contextualSpacing/>
              <w:rPr>
                <w:rFonts w:ascii="Cambria" w:eastAsia="Times New Roman" w:hAnsi="Cambria" w:cs="Times New Roman"/>
                <w:iCs/>
                <w:lang w:val="hr-HR"/>
              </w:rPr>
            </w:pPr>
            <w:r w:rsidRPr="00DF4CE5">
              <w:rPr>
                <w:rFonts w:ascii="Cambria" w:eastAsia="Times New Roman" w:hAnsi="Cambria" w:cs="Times New Roman"/>
                <w:lang w:val="hr-HR"/>
              </w:rPr>
              <w:t xml:space="preserve">Komadi koji čine dječju trilogiju "Iznad duge" dramatizacije su djeci dragih i poznatih priča: Snježne kraljice danskog pisca Hansa Christiana Andersena, Čarobnjaka iz </w:t>
            </w:r>
            <w:proofErr w:type="spellStart"/>
            <w:r w:rsidRPr="00DF4CE5">
              <w:rPr>
                <w:rFonts w:ascii="Cambria" w:eastAsia="Times New Roman" w:hAnsi="Cambria" w:cs="Times New Roman"/>
                <w:lang w:val="hr-HR"/>
              </w:rPr>
              <w:t>Oza</w:t>
            </w:r>
            <w:proofErr w:type="spellEnd"/>
            <w:r w:rsidRPr="00DF4CE5">
              <w:rPr>
                <w:rFonts w:ascii="Cambria" w:eastAsia="Times New Roman" w:hAnsi="Cambria" w:cs="Times New Roman"/>
                <w:lang w:val="hr-HR"/>
              </w:rPr>
              <w:t xml:space="preserve"> američkog pisca </w:t>
            </w:r>
            <w:r w:rsidRPr="00DF4CE5">
              <w:rPr>
                <w:rFonts w:ascii="Cambria" w:eastAsia="Times New Roman" w:hAnsi="Cambria" w:cs="Times New Roman"/>
                <w:lang w:val="hr-HR"/>
              </w:rPr>
              <w:br/>
            </w:r>
            <w:proofErr w:type="spellStart"/>
            <w:r w:rsidRPr="00DF4CE5">
              <w:rPr>
                <w:rFonts w:ascii="Cambria" w:eastAsia="Times New Roman" w:hAnsi="Cambria" w:cs="Times New Roman"/>
                <w:lang w:val="hr-HR"/>
              </w:rPr>
              <w:t>Lymana</w:t>
            </w:r>
            <w:proofErr w:type="spellEnd"/>
            <w:r w:rsidRPr="00DF4CE5">
              <w:rPr>
                <w:rFonts w:ascii="Cambria" w:eastAsia="Times New Roman" w:hAnsi="Cambria" w:cs="Times New Roman"/>
                <w:lang w:val="hr-HR"/>
              </w:rPr>
              <w:t xml:space="preserve"> Franka </w:t>
            </w:r>
            <w:proofErr w:type="spellStart"/>
            <w:r w:rsidRPr="00DF4CE5">
              <w:rPr>
                <w:rFonts w:ascii="Cambria" w:eastAsia="Times New Roman" w:hAnsi="Cambria" w:cs="Times New Roman"/>
                <w:lang w:val="hr-HR"/>
              </w:rPr>
              <w:t>Bauma</w:t>
            </w:r>
            <w:proofErr w:type="spellEnd"/>
            <w:r w:rsidRPr="00DF4CE5">
              <w:rPr>
                <w:rFonts w:ascii="Cambria" w:eastAsia="Times New Roman" w:hAnsi="Cambria" w:cs="Times New Roman"/>
                <w:lang w:val="hr-HR"/>
              </w:rPr>
              <w:t xml:space="preserve">, te Heidi švicarske spisateljice Johanne </w:t>
            </w:r>
            <w:proofErr w:type="spellStart"/>
            <w:r w:rsidRPr="00DF4CE5">
              <w:rPr>
                <w:rFonts w:ascii="Cambria" w:eastAsia="Times New Roman" w:hAnsi="Cambria" w:cs="Times New Roman"/>
                <w:lang w:val="hr-HR"/>
              </w:rPr>
              <w:t>Spyri</w:t>
            </w:r>
            <w:proofErr w:type="spellEnd"/>
            <w:r w:rsidRPr="00DF4CE5">
              <w:rPr>
                <w:rFonts w:ascii="Cambria" w:eastAsia="Times New Roman" w:hAnsi="Cambria" w:cs="Times New Roman"/>
                <w:lang w:val="hr-HR"/>
              </w:rPr>
              <w:t xml:space="preserve">. Napisani su za pravo živo kazalište, za dječju dramsku družinu "Ivana Brlić - Mažuranić" iz Jastrebarskog. Autor je dvije bajke i jednu priču za djecu osuvremenio i prilagodio senzibilitetu današnjeg djeteta. </w:t>
            </w:r>
            <w:proofErr w:type="spellStart"/>
            <w:r w:rsidRPr="00DF4CE5">
              <w:rPr>
                <w:rFonts w:ascii="Cambria" w:eastAsia="Times New Roman" w:hAnsi="Cambria" w:cs="Times New Roman"/>
                <w:lang w:val="hr-HR"/>
              </w:rPr>
              <w:t>Gerda</w:t>
            </w:r>
            <w:proofErr w:type="spellEnd"/>
            <w:r w:rsidRPr="00DF4CE5">
              <w:rPr>
                <w:rFonts w:ascii="Cambria" w:eastAsia="Times New Roman" w:hAnsi="Cambria" w:cs="Times New Roman"/>
                <w:lang w:val="hr-HR"/>
              </w:rPr>
              <w:t xml:space="preserve">, </w:t>
            </w:r>
            <w:r w:rsidRPr="00DF4CE5">
              <w:rPr>
                <w:rFonts w:ascii="Cambria" w:eastAsia="Times New Roman" w:hAnsi="Cambria" w:cs="Times New Roman"/>
                <w:lang w:val="hr-HR"/>
              </w:rPr>
              <w:br/>
            </w:r>
            <w:proofErr w:type="spellStart"/>
            <w:r w:rsidRPr="00DF4CE5">
              <w:rPr>
                <w:rFonts w:ascii="Cambria" w:eastAsia="Times New Roman" w:hAnsi="Cambria" w:cs="Times New Roman"/>
                <w:lang w:val="hr-HR"/>
              </w:rPr>
              <w:t>Dothy</w:t>
            </w:r>
            <w:proofErr w:type="spellEnd"/>
            <w:r w:rsidRPr="00DF4CE5">
              <w:rPr>
                <w:rFonts w:ascii="Cambria" w:eastAsia="Times New Roman" w:hAnsi="Cambria" w:cs="Times New Roman"/>
                <w:lang w:val="hr-HR"/>
              </w:rPr>
              <w:t xml:space="preserve"> i Heidi, glave junakinje u igrokazima su obične djevojčice iz susjedstva i aktivno kreiraju svoje sudbine, rješavaju svoje probleme tvrdoglavo ustrajući na svom putu s vjerom u istinu i </w:t>
            </w:r>
            <w:r w:rsidRPr="00DF4CE5">
              <w:rPr>
                <w:rFonts w:ascii="Cambria" w:eastAsia="Times New Roman" w:hAnsi="Cambria" w:cs="Times New Roman"/>
                <w:lang w:val="hr-HR"/>
              </w:rPr>
              <w:lastRenderedPageBreak/>
              <w:t>ljubav. Igrokazi su namijenjeni djeci starije školske dobi.</w:t>
            </w:r>
            <w:r w:rsidRPr="00DF4CE5">
              <w:rPr>
                <w:rFonts w:ascii="Cambria" w:eastAsia="Times New Roman" w:hAnsi="Cambria" w:cs="Times New Roman"/>
                <w:lang w:val="hr-HR"/>
              </w:rPr>
              <w:br/>
            </w:r>
            <w:r w:rsidRPr="00DF4CE5">
              <w:rPr>
                <w:rFonts w:ascii="Cambria" w:eastAsia="Times New Roman" w:hAnsi="Cambria" w:cs="Times New Roman"/>
                <w:bCs/>
                <w:iCs/>
                <w:lang w:val="hr-HR"/>
              </w:rPr>
              <w:t xml:space="preserve">Preporuka: “Snježna Kraljica” </w:t>
            </w:r>
            <w:r w:rsidRPr="00DF4CE5">
              <w:rPr>
                <w:rFonts w:ascii="Cambria" w:eastAsia="Times New Roman" w:hAnsi="Cambria" w:cs="Times New Roman"/>
                <w:iCs/>
                <w:lang w:val="hr-HR"/>
              </w:rPr>
              <w:t>/ prema Andersenu /</w:t>
            </w:r>
            <w:r w:rsidRPr="00DF4CE5">
              <w:rPr>
                <w:rFonts w:ascii="Cambria" w:eastAsia="Times New Roman" w:hAnsi="Cambria" w:cs="Times New Roman"/>
                <w:bCs/>
                <w:iCs/>
                <w:lang w:val="hr-HR"/>
              </w:rPr>
              <w:t xml:space="preserve">, “Čarobnjak iz </w:t>
            </w:r>
            <w:proofErr w:type="spellStart"/>
            <w:r w:rsidRPr="00DF4CE5">
              <w:rPr>
                <w:rFonts w:ascii="Cambria" w:eastAsia="Times New Roman" w:hAnsi="Cambria" w:cs="Times New Roman"/>
                <w:bCs/>
                <w:iCs/>
                <w:lang w:val="hr-HR"/>
              </w:rPr>
              <w:t>Oza</w:t>
            </w:r>
            <w:proofErr w:type="spellEnd"/>
            <w:r w:rsidRPr="00DF4CE5">
              <w:rPr>
                <w:rFonts w:ascii="Cambria" w:eastAsia="Times New Roman" w:hAnsi="Cambria" w:cs="Times New Roman"/>
                <w:bCs/>
                <w:iCs/>
                <w:lang w:val="hr-HR"/>
              </w:rPr>
              <w:t xml:space="preserve">” </w:t>
            </w:r>
            <w:r w:rsidRPr="00DF4CE5">
              <w:rPr>
                <w:rFonts w:ascii="Cambria" w:eastAsia="Times New Roman" w:hAnsi="Cambria" w:cs="Times New Roman"/>
                <w:iCs/>
                <w:lang w:val="hr-HR"/>
              </w:rPr>
              <w:t xml:space="preserve">/ prema </w:t>
            </w:r>
            <w:proofErr w:type="spellStart"/>
            <w:r w:rsidRPr="00DF4CE5">
              <w:rPr>
                <w:rFonts w:ascii="Cambria" w:eastAsia="Times New Roman" w:hAnsi="Cambria" w:cs="Times New Roman"/>
                <w:iCs/>
                <w:lang w:val="hr-HR"/>
              </w:rPr>
              <w:t>Baumu</w:t>
            </w:r>
            <w:proofErr w:type="spellEnd"/>
            <w:r w:rsidRPr="00DF4CE5">
              <w:rPr>
                <w:rFonts w:ascii="Cambria" w:eastAsia="Times New Roman" w:hAnsi="Cambria" w:cs="Times New Roman"/>
                <w:iCs/>
                <w:lang w:val="hr-HR"/>
              </w:rPr>
              <w:t xml:space="preserve"> /</w:t>
            </w:r>
          </w:p>
          <w:p w14:paraId="766E2544" w14:textId="77777777" w:rsidR="00DB76CD" w:rsidRPr="00DF4CE5" w:rsidRDefault="00DB76CD" w:rsidP="00A034E3">
            <w:pPr>
              <w:numPr>
                <w:ilvl w:val="0"/>
                <w:numId w:val="42"/>
              </w:numPr>
              <w:spacing w:before="280" w:after="280" w:line="240" w:lineRule="auto"/>
              <w:contextualSpacing/>
              <w:rPr>
                <w:rFonts w:ascii="Cambria" w:eastAsia="Times New Roman" w:hAnsi="Cambria" w:cs="Times New Roman"/>
                <w:lang w:val="hr-HR"/>
              </w:rPr>
            </w:pPr>
            <w:proofErr w:type="spellStart"/>
            <w:r w:rsidRPr="00DF4CE5">
              <w:rPr>
                <w:rFonts w:ascii="Cambria" w:eastAsia="Times New Roman" w:hAnsi="Cambria" w:cs="Times New Roman"/>
                <w:bCs/>
                <w:lang w:val="hr-HR"/>
              </w:rPr>
              <w:t>Škrinjarić</w:t>
            </w:r>
            <w:proofErr w:type="spellEnd"/>
            <w:r w:rsidRPr="00DF4CE5">
              <w:rPr>
                <w:rFonts w:ascii="Cambria" w:eastAsia="Times New Roman" w:hAnsi="Cambria" w:cs="Times New Roman"/>
                <w:bCs/>
                <w:lang w:val="hr-HR"/>
              </w:rPr>
              <w:t>, Sunčana, 1931-2004</w:t>
            </w:r>
            <w:r w:rsidRPr="00DF4CE5">
              <w:rPr>
                <w:rFonts w:ascii="Cambria" w:eastAsia="Times New Roman" w:hAnsi="Cambria" w:cs="Times New Roman"/>
                <w:lang w:val="hr-HR"/>
              </w:rPr>
              <w:br/>
              <w:t xml:space="preserve">Začuđena zemlja i oko nje / Sunčana </w:t>
            </w:r>
            <w:proofErr w:type="spellStart"/>
            <w:r w:rsidRPr="00DF4CE5">
              <w:rPr>
                <w:rFonts w:ascii="Cambria" w:eastAsia="Times New Roman" w:hAnsi="Cambria" w:cs="Times New Roman"/>
                <w:lang w:val="hr-HR"/>
              </w:rPr>
              <w:t>Škrinjarić</w:t>
            </w:r>
            <w:proofErr w:type="spellEnd"/>
            <w:r w:rsidRPr="00DF4CE5">
              <w:rPr>
                <w:rFonts w:ascii="Cambria" w:eastAsia="Times New Roman" w:hAnsi="Cambria" w:cs="Times New Roman"/>
                <w:lang w:val="hr-HR"/>
              </w:rPr>
              <w:t xml:space="preserve"> ; &lt;ilustrator Ivica </w:t>
            </w:r>
            <w:proofErr w:type="spellStart"/>
            <w:r w:rsidRPr="00DF4CE5">
              <w:rPr>
                <w:rFonts w:ascii="Cambria" w:eastAsia="Times New Roman" w:hAnsi="Cambria" w:cs="Times New Roman"/>
                <w:lang w:val="hr-HR"/>
              </w:rPr>
              <w:t>Antolčić</w:t>
            </w:r>
            <w:proofErr w:type="spellEnd"/>
            <w:r w:rsidRPr="00DF4CE5">
              <w:rPr>
                <w:rFonts w:ascii="Cambria" w:eastAsia="Times New Roman" w:hAnsi="Cambria" w:cs="Times New Roman"/>
                <w:lang w:val="hr-HR"/>
              </w:rPr>
              <w:t xml:space="preserve">&gt;. - Zagreb : </w:t>
            </w:r>
            <w:proofErr w:type="spellStart"/>
            <w:r w:rsidRPr="00DF4CE5">
              <w:rPr>
                <w:rFonts w:ascii="Cambria" w:eastAsia="Times New Roman" w:hAnsi="Cambria" w:cs="Times New Roman"/>
                <w:lang w:val="hr-HR"/>
              </w:rPr>
              <w:t>Disput</w:t>
            </w:r>
            <w:proofErr w:type="spellEnd"/>
            <w:r w:rsidRPr="00DF4CE5">
              <w:rPr>
                <w:rFonts w:ascii="Cambria" w:eastAsia="Times New Roman" w:hAnsi="Cambria" w:cs="Times New Roman"/>
                <w:lang w:val="hr-HR"/>
              </w:rPr>
              <w:t xml:space="preserve">, 2002. - 316 str. : </w:t>
            </w:r>
            <w:proofErr w:type="spellStart"/>
            <w:r w:rsidRPr="00DF4CE5">
              <w:rPr>
                <w:rFonts w:ascii="Cambria" w:eastAsia="Times New Roman" w:hAnsi="Cambria" w:cs="Times New Roman"/>
                <w:lang w:val="hr-HR"/>
              </w:rPr>
              <w:t>ilustr</w:t>
            </w:r>
            <w:proofErr w:type="spellEnd"/>
            <w:r w:rsidRPr="00DF4CE5">
              <w:rPr>
                <w:rFonts w:ascii="Cambria" w:eastAsia="Times New Roman" w:hAnsi="Cambria" w:cs="Times New Roman"/>
                <w:lang w:val="hr-HR"/>
              </w:rPr>
              <w:t>. ; 21 cm. - (Biblioteka Lektira plus ; knj. 2)</w:t>
            </w:r>
          </w:p>
          <w:p w14:paraId="7A98867A" w14:textId="77777777" w:rsidR="00DB76CD" w:rsidRPr="00DF4CE5" w:rsidRDefault="00DB76CD" w:rsidP="00A034E3">
            <w:pPr>
              <w:numPr>
                <w:ilvl w:val="0"/>
                <w:numId w:val="42"/>
              </w:numPr>
              <w:spacing w:before="280" w:after="280" w:line="240" w:lineRule="auto"/>
              <w:contextualSpacing/>
              <w:rPr>
                <w:rFonts w:ascii="Cambria" w:eastAsia="Times New Roman" w:hAnsi="Cambria" w:cs="Times New Roman"/>
                <w:iCs/>
                <w:lang w:val="hr-HR"/>
              </w:rPr>
            </w:pPr>
            <w:r w:rsidRPr="00DF4CE5">
              <w:rPr>
                <w:rFonts w:ascii="Cambria" w:eastAsia="Times New Roman" w:hAnsi="Cambria" w:cs="Times New Roman"/>
                <w:lang w:val="hr-HR"/>
              </w:rPr>
              <w:t xml:space="preserve">U ovoj knjizi je po prvi put objavljen veći dio dramskog opusa Sunčane </w:t>
            </w:r>
            <w:proofErr w:type="spellStart"/>
            <w:r w:rsidRPr="00DF4CE5">
              <w:rPr>
                <w:rFonts w:ascii="Cambria" w:eastAsia="Times New Roman" w:hAnsi="Cambria" w:cs="Times New Roman"/>
                <w:lang w:val="hr-HR"/>
              </w:rPr>
              <w:t>Škrinjarić</w:t>
            </w:r>
            <w:proofErr w:type="spellEnd"/>
            <w:r w:rsidRPr="00DF4CE5">
              <w:rPr>
                <w:rFonts w:ascii="Cambria" w:eastAsia="Times New Roman" w:hAnsi="Cambria" w:cs="Times New Roman"/>
                <w:lang w:val="hr-HR"/>
              </w:rPr>
              <w:t xml:space="preserve"> namijenjenog djeci. Objavljeni su neki tekstovi koji ne postoje ni u kojoj drugoj tiskanoj verziji, no neki su dramske varijante proznih djela. Zbirka je rezultat pomalo neuobičajenog izdavačkog pothvata, te uključuje različite dramske žanrove: tekstove za kazalište, radio, za televiziju. To su zapravo priče u dijaloškoj formi nastale u razdoblju između 1965. i 1994 i namijenjene su ne samo stručnoj, već široj čitalačkoj publici.</w:t>
            </w:r>
            <w:r w:rsidRPr="00DF4CE5">
              <w:rPr>
                <w:rFonts w:ascii="Cambria" w:eastAsia="Times New Roman" w:hAnsi="Cambria" w:cs="Times New Roman"/>
                <w:lang w:val="hr-HR"/>
              </w:rPr>
              <w:br/>
            </w:r>
            <w:r w:rsidRPr="00DF4CE5">
              <w:rPr>
                <w:rFonts w:ascii="Cambria" w:eastAsia="Times New Roman" w:hAnsi="Cambria" w:cs="Times New Roman"/>
                <w:bCs/>
                <w:iCs/>
                <w:lang w:val="hr-HR"/>
              </w:rPr>
              <w:t xml:space="preserve">Preporuka: “Bajka o maslačku” </w:t>
            </w:r>
            <w:r w:rsidRPr="00DF4CE5">
              <w:rPr>
                <w:rFonts w:ascii="Cambria" w:eastAsia="Times New Roman" w:hAnsi="Cambria" w:cs="Times New Roman"/>
                <w:iCs/>
                <w:lang w:val="hr-HR"/>
              </w:rPr>
              <w:t xml:space="preserve">/ pomaganje drugima / , </w:t>
            </w:r>
            <w:r w:rsidRPr="00DF4CE5">
              <w:rPr>
                <w:rFonts w:ascii="Cambria" w:eastAsia="Times New Roman" w:hAnsi="Cambria" w:cs="Times New Roman"/>
                <w:bCs/>
                <w:iCs/>
                <w:lang w:val="hr-HR"/>
              </w:rPr>
              <w:t xml:space="preserve">“Nezadovoljna bubamara” </w:t>
            </w:r>
            <w:r w:rsidRPr="00DF4CE5">
              <w:rPr>
                <w:rFonts w:ascii="Cambria" w:eastAsia="Times New Roman" w:hAnsi="Cambria" w:cs="Times New Roman"/>
                <w:iCs/>
                <w:lang w:val="hr-HR"/>
              </w:rPr>
              <w:t>/</w:t>
            </w:r>
            <w:proofErr w:type="spellStart"/>
            <w:r w:rsidRPr="00DF4CE5">
              <w:rPr>
                <w:rFonts w:ascii="Cambria" w:eastAsia="Times New Roman" w:hAnsi="Cambria" w:cs="Times New Roman"/>
                <w:iCs/>
                <w:lang w:val="hr-HR"/>
              </w:rPr>
              <w:t>priodna</w:t>
            </w:r>
            <w:proofErr w:type="spellEnd"/>
            <w:r w:rsidRPr="00DF4CE5">
              <w:rPr>
                <w:rFonts w:ascii="Cambria" w:eastAsia="Times New Roman" w:hAnsi="Cambria" w:cs="Times New Roman"/>
                <w:iCs/>
                <w:lang w:val="hr-HR"/>
              </w:rPr>
              <w:t xml:space="preserve"> ljepota je bolja od lažne /,“</w:t>
            </w:r>
            <w:r w:rsidRPr="00DF4CE5">
              <w:rPr>
                <w:rFonts w:ascii="Cambria" w:eastAsia="Times New Roman" w:hAnsi="Cambria" w:cs="Times New Roman"/>
                <w:bCs/>
                <w:iCs/>
                <w:lang w:val="hr-HR"/>
              </w:rPr>
              <w:t xml:space="preserve">Dućan kod svrake” </w:t>
            </w:r>
            <w:r w:rsidRPr="00DF4CE5">
              <w:rPr>
                <w:rFonts w:ascii="Cambria" w:eastAsia="Times New Roman" w:hAnsi="Cambria" w:cs="Times New Roman"/>
                <w:iCs/>
                <w:lang w:val="hr-HR"/>
              </w:rPr>
              <w:t xml:space="preserve">/ pomaganje drugima /, </w:t>
            </w:r>
            <w:r w:rsidRPr="00DF4CE5">
              <w:rPr>
                <w:rFonts w:ascii="Cambria" w:eastAsia="Times New Roman" w:hAnsi="Cambria" w:cs="Times New Roman"/>
                <w:bCs/>
                <w:iCs/>
                <w:lang w:val="hr-HR"/>
              </w:rPr>
              <w:t xml:space="preserve">“Priča o vrganju, muhari i ciklami” </w:t>
            </w:r>
            <w:r w:rsidRPr="00DF4CE5">
              <w:rPr>
                <w:rFonts w:ascii="Cambria" w:eastAsia="Times New Roman" w:hAnsi="Cambria" w:cs="Times New Roman"/>
                <w:iCs/>
                <w:lang w:val="hr-HR"/>
              </w:rPr>
              <w:t>/ uobraženost i skromnost /</w:t>
            </w:r>
          </w:p>
          <w:p w14:paraId="486C025C" w14:textId="77777777" w:rsidR="00DB76CD" w:rsidRPr="00DF4CE5" w:rsidRDefault="00DB76CD" w:rsidP="00A034E3">
            <w:pPr>
              <w:numPr>
                <w:ilvl w:val="0"/>
                <w:numId w:val="42"/>
              </w:numPr>
              <w:spacing w:before="280" w:after="280" w:line="240" w:lineRule="auto"/>
              <w:contextualSpacing/>
              <w:rPr>
                <w:rFonts w:ascii="Cambria" w:eastAsia="Times New Roman" w:hAnsi="Cambria" w:cs="Times New Roman"/>
                <w:bCs/>
                <w:iCs/>
                <w:lang w:val="hr-HR"/>
              </w:rPr>
            </w:pPr>
            <w:r w:rsidRPr="00DF4CE5">
              <w:rPr>
                <w:rFonts w:ascii="Cambria" w:eastAsia="Times New Roman" w:hAnsi="Cambria" w:cs="Times New Roman"/>
                <w:bCs/>
                <w:lang w:val="hr-HR"/>
              </w:rPr>
              <w:t>Zbornik igrokaza</w:t>
            </w:r>
            <w:r w:rsidRPr="00DF4CE5">
              <w:rPr>
                <w:rFonts w:ascii="Cambria" w:eastAsia="Times New Roman" w:hAnsi="Cambria" w:cs="Times New Roman"/>
                <w:lang w:val="hr-HR"/>
              </w:rPr>
              <w:br/>
              <w:t xml:space="preserve">Zbornik igrokaza / &lt;priredio&gt;Joža Skok ; redateljske napomene napisala Zvjezdana </w:t>
            </w:r>
            <w:proofErr w:type="spellStart"/>
            <w:r w:rsidRPr="00DF4CE5">
              <w:rPr>
                <w:rFonts w:ascii="Cambria" w:eastAsia="Times New Roman" w:hAnsi="Cambria" w:cs="Times New Roman"/>
                <w:lang w:val="hr-HR"/>
              </w:rPr>
              <w:t>Ladika</w:t>
            </w:r>
            <w:proofErr w:type="spellEnd"/>
            <w:r w:rsidRPr="00DF4CE5">
              <w:rPr>
                <w:rFonts w:ascii="Cambria" w:eastAsia="Times New Roman" w:hAnsi="Cambria" w:cs="Times New Roman"/>
                <w:lang w:val="hr-HR"/>
              </w:rPr>
              <w:t xml:space="preserve"> ; &lt;ilustracije Ivica </w:t>
            </w:r>
            <w:proofErr w:type="spellStart"/>
            <w:r w:rsidRPr="00DF4CE5">
              <w:rPr>
                <w:rFonts w:ascii="Cambria" w:eastAsia="Times New Roman" w:hAnsi="Cambria" w:cs="Times New Roman"/>
                <w:lang w:val="hr-HR"/>
              </w:rPr>
              <w:t>Antolčić</w:t>
            </w:r>
            <w:proofErr w:type="spellEnd"/>
            <w:r w:rsidRPr="00DF4CE5">
              <w:rPr>
                <w:rFonts w:ascii="Cambria" w:eastAsia="Times New Roman" w:hAnsi="Cambria" w:cs="Times New Roman"/>
                <w:lang w:val="hr-HR"/>
              </w:rPr>
              <w:t xml:space="preserve">&gt;. - Zagreb : Školska knjiga, 1980. - 473 str. : </w:t>
            </w:r>
            <w:proofErr w:type="spellStart"/>
            <w:r w:rsidRPr="00DF4CE5">
              <w:rPr>
                <w:rFonts w:ascii="Cambria" w:eastAsia="Times New Roman" w:hAnsi="Cambria" w:cs="Times New Roman"/>
                <w:lang w:val="hr-HR"/>
              </w:rPr>
              <w:t>ilustr</w:t>
            </w:r>
            <w:proofErr w:type="spellEnd"/>
            <w:r w:rsidRPr="00DF4CE5">
              <w:rPr>
                <w:rFonts w:ascii="Cambria" w:eastAsia="Times New Roman" w:hAnsi="Cambria" w:cs="Times New Roman"/>
                <w:lang w:val="hr-HR"/>
              </w:rPr>
              <w:t xml:space="preserve">. ; 20 cm               </w:t>
            </w:r>
            <w:r w:rsidRPr="00DF4CE5">
              <w:rPr>
                <w:rFonts w:ascii="Cambria" w:eastAsia="Times New Roman" w:hAnsi="Cambria" w:cs="Times New Roman"/>
                <w:bCs/>
                <w:iCs/>
                <w:lang w:val="hr-HR"/>
              </w:rPr>
              <w:t xml:space="preserve">Preporuka: Nazor: “Crvenkapica”, Vitez: “Plava boja snijega” </w:t>
            </w:r>
            <w:r w:rsidRPr="00DF4CE5">
              <w:rPr>
                <w:rFonts w:ascii="Cambria" w:eastAsia="Times New Roman" w:hAnsi="Cambria" w:cs="Times New Roman"/>
                <w:iCs/>
                <w:lang w:val="hr-HR"/>
              </w:rPr>
              <w:t>/ humorističan /,</w:t>
            </w:r>
            <w:r w:rsidRPr="00DF4CE5">
              <w:rPr>
                <w:rFonts w:ascii="Cambria" w:eastAsia="Times New Roman" w:hAnsi="Cambria" w:cs="Times New Roman"/>
                <w:bCs/>
                <w:iCs/>
                <w:lang w:val="hr-HR"/>
              </w:rPr>
              <w:t xml:space="preserve"> Parun: “Mačak Džingiskan”</w:t>
            </w:r>
          </w:p>
          <w:p w14:paraId="72A36FFD" w14:textId="77777777" w:rsidR="00DB76CD" w:rsidRPr="00DF4CE5" w:rsidRDefault="00DB76CD" w:rsidP="00A034E3">
            <w:pPr>
              <w:numPr>
                <w:ilvl w:val="0"/>
                <w:numId w:val="42"/>
              </w:numPr>
              <w:spacing w:before="280" w:after="280" w:line="240" w:lineRule="auto"/>
              <w:contextualSpacing/>
              <w:rPr>
                <w:rFonts w:ascii="Cambria" w:eastAsia="Times New Roman" w:hAnsi="Cambria" w:cs="Times New Roman"/>
                <w:bCs/>
                <w:lang w:val="hr-HR"/>
              </w:rPr>
            </w:pPr>
            <w:bookmarkStart w:id="110" w:name="akcijski"/>
            <w:bookmarkEnd w:id="110"/>
            <w:r w:rsidRPr="00DF4CE5">
              <w:rPr>
                <w:rFonts w:ascii="Cambria" w:eastAsia="Times New Roman" w:hAnsi="Cambria" w:cs="Times New Roman"/>
                <w:bCs/>
                <w:lang w:val="hr-HR"/>
              </w:rPr>
              <w:t>AKCIJSKI IGROKAZI</w:t>
            </w:r>
          </w:p>
          <w:p w14:paraId="030C44AF" w14:textId="77777777" w:rsidR="00DB76CD" w:rsidRPr="00DF4CE5" w:rsidRDefault="00DB76CD" w:rsidP="00A034E3">
            <w:pPr>
              <w:numPr>
                <w:ilvl w:val="0"/>
                <w:numId w:val="42"/>
              </w:numPr>
              <w:spacing w:before="280" w:after="280" w:line="240" w:lineRule="auto"/>
              <w:contextualSpacing/>
              <w:rPr>
                <w:rFonts w:ascii="Cambria" w:eastAsia="Times New Roman" w:hAnsi="Cambria" w:cs="Times New Roman"/>
                <w:lang w:val="hr-HR"/>
              </w:rPr>
            </w:pPr>
            <w:proofErr w:type="spellStart"/>
            <w:r w:rsidRPr="00DF4CE5">
              <w:rPr>
                <w:rFonts w:ascii="Cambria" w:eastAsia="Times New Roman" w:hAnsi="Cambria" w:cs="Times New Roman"/>
                <w:bCs/>
                <w:lang w:val="hr-HR"/>
              </w:rPr>
              <w:t>Bjelčić</w:t>
            </w:r>
            <w:proofErr w:type="spellEnd"/>
            <w:r w:rsidRPr="00DF4CE5">
              <w:rPr>
                <w:rFonts w:ascii="Cambria" w:eastAsia="Times New Roman" w:hAnsi="Cambria" w:cs="Times New Roman"/>
                <w:bCs/>
                <w:lang w:val="hr-HR"/>
              </w:rPr>
              <w:t>, Ratko, 1967-</w:t>
            </w:r>
            <w:r w:rsidRPr="00DF4CE5">
              <w:rPr>
                <w:rFonts w:ascii="Cambria" w:eastAsia="Times New Roman" w:hAnsi="Cambria" w:cs="Times New Roman"/>
                <w:lang w:val="hr-HR"/>
              </w:rPr>
              <w:br/>
              <w:t xml:space="preserve">7 </w:t>
            </w:r>
            <w:proofErr w:type="spellStart"/>
            <w:r w:rsidRPr="00DF4CE5">
              <w:rPr>
                <w:rFonts w:ascii="Cambria" w:eastAsia="Times New Roman" w:hAnsi="Cambria" w:cs="Times New Roman"/>
                <w:lang w:val="hr-HR"/>
              </w:rPr>
              <w:t>teen</w:t>
            </w:r>
            <w:proofErr w:type="spellEnd"/>
            <w:r w:rsidRPr="00DF4CE5">
              <w:rPr>
                <w:rFonts w:ascii="Cambria" w:eastAsia="Times New Roman" w:hAnsi="Cambria" w:cs="Times New Roman"/>
                <w:lang w:val="hr-HR"/>
              </w:rPr>
              <w:t xml:space="preserve"> igrokaza / Ratko </w:t>
            </w:r>
            <w:proofErr w:type="spellStart"/>
            <w:r w:rsidRPr="00DF4CE5">
              <w:rPr>
                <w:rFonts w:ascii="Cambria" w:eastAsia="Times New Roman" w:hAnsi="Cambria" w:cs="Times New Roman"/>
                <w:lang w:val="hr-HR"/>
              </w:rPr>
              <w:t>Bjelčić</w:t>
            </w:r>
            <w:proofErr w:type="spellEnd"/>
            <w:r w:rsidRPr="00DF4CE5">
              <w:rPr>
                <w:rFonts w:ascii="Cambria" w:eastAsia="Times New Roman" w:hAnsi="Cambria" w:cs="Times New Roman"/>
                <w:lang w:val="hr-HR"/>
              </w:rPr>
              <w:t xml:space="preserve"> ; [ilustracije </w:t>
            </w:r>
            <w:proofErr w:type="spellStart"/>
            <w:r w:rsidRPr="00DF4CE5">
              <w:rPr>
                <w:rFonts w:ascii="Cambria" w:eastAsia="Times New Roman" w:hAnsi="Cambria" w:cs="Times New Roman"/>
                <w:lang w:val="hr-HR"/>
              </w:rPr>
              <w:t>MihalyKanzell</w:t>
            </w:r>
            <w:proofErr w:type="spellEnd"/>
            <w:r w:rsidRPr="00DF4CE5">
              <w:rPr>
                <w:rFonts w:ascii="Cambria" w:eastAsia="Times New Roman" w:hAnsi="Cambria" w:cs="Times New Roman"/>
                <w:lang w:val="hr-HR"/>
              </w:rPr>
              <w:t xml:space="preserve">]. - Zagreb : Nova knjiga Rast, 2005. - 147 str. : </w:t>
            </w:r>
            <w:proofErr w:type="spellStart"/>
            <w:r w:rsidRPr="00DF4CE5">
              <w:rPr>
                <w:rFonts w:ascii="Cambria" w:eastAsia="Times New Roman" w:hAnsi="Cambria" w:cs="Times New Roman"/>
                <w:lang w:val="hr-HR"/>
              </w:rPr>
              <w:t>ilustr</w:t>
            </w:r>
            <w:proofErr w:type="spellEnd"/>
            <w:r w:rsidRPr="00DF4CE5">
              <w:rPr>
                <w:rFonts w:ascii="Cambria" w:eastAsia="Times New Roman" w:hAnsi="Cambria" w:cs="Times New Roman"/>
                <w:lang w:val="hr-HR"/>
              </w:rPr>
              <w:t>. ; 29 cm</w:t>
            </w:r>
          </w:p>
          <w:p w14:paraId="08B3A626" w14:textId="77777777" w:rsidR="00DB76CD" w:rsidRPr="00DF4CE5" w:rsidRDefault="00DB76CD" w:rsidP="00A034E3">
            <w:pPr>
              <w:numPr>
                <w:ilvl w:val="0"/>
                <w:numId w:val="42"/>
              </w:numPr>
              <w:spacing w:before="280" w:after="280" w:line="240" w:lineRule="auto"/>
              <w:contextualSpacing/>
              <w:rPr>
                <w:rFonts w:ascii="Cambria" w:eastAsia="Times New Roman" w:hAnsi="Cambria" w:cs="Times New Roman"/>
                <w:iCs/>
                <w:lang w:val="hr-HR"/>
              </w:rPr>
            </w:pPr>
            <w:r w:rsidRPr="00DF4CE5">
              <w:rPr>
                <w:rFonts w:ascii="Cambria" w:eastAsia="Times New Roman" w:hAnsi="Cambria" w:cs="Times New Roman"/>
                <w:lang w:val="hr-HR"/>
              </w:rPr>
              <w:t xml:space="preserve">Knjiga sadrži sedam igrokaza (šest </w:t>
            </w:r>
            <w:proofErr w:type="spellStart"/>
            <w:r w:rsidRPr="00DF4CE5">
              <w:rPr>
                <w:rFonts w:ascii="Cambria" w:eastAsia="Times New Roman" w:hAnsi="Cambria" w:cs="Times New Roman"/>
                <w:lang w:val="hr-HR"/>
              </w:rPr>
              <w:t>radioigrokaza</w:t>
            </w:r>
            <w:proofErr w:type="spellEnd"/>
            <w:r w:rsidRPr="00DF4CE5">
              <w:rPr>
                <w:rFonts w:ascii="Cambria" w:eastAsia="Times New Roman" w:hAnsi="Cambria" w:cs="Times New Roman"/>
                <w:lang w:val="hr-HR"/>
              </w:rPr>
              <w:t xml:space="preserve"> i jedan igrokaz za izvođenje na pozornici) namijenjenih školskom izvođenju, a tematikom primjerenih učenicima viših razreda osnovne škole. </w:t>
            </w:r>
            <w:r w:rsidRPr="00DF4CE5">
              <w:rPr>
                <w:rFonts w:ascii="Cambria" w:eastAsia="Times New Roman" w:hAnsi="Cambria" w:cs="Times New Roman"/>
                <w:lang w:val="hr-HR"/>
              </w:rPr>
              <w:br/>
              <w:t xml:space="preserve">Igrokazi su zamišljeni kao tekstualna podloga koja se kreativnim zahvatima može prilagoditi raznim vrstama dramskog izričaja: </w:t>
            </w:r>
            <w:proofErr w:type="spellStart"/>
            <w:r w:rsidRPr="00DF4CE5">
              <w:rPr>
                <w:rFonts w:ascii="Cambria" w:eastAsia="Times New Roman" w:hAnsi="Cambria" w:cs="Times New Roman"/>
                <w:lang w:val="hr-HR"/>
              </w:rPr>
              <w:t>videostvaralaštvu</w:t>
            </w:r>
            <w:proofErr w:type="spellEnd"/>
            <w:r w:rsidRPr="00DF4CE5">
              <w:rPr>
                <w:rFonts w:ascii="Cambria" w:eastAsia="Times New Roman" w:hAnsi="Cambria" w:cs="Times New Roman"/>
                <w:lang w:val="hr-HR"/>
              </w:rPr>
              <w:t xml:space="preserve">, </w:t>
            </w:r>
            <w:proofErr w:type="spellStart"/>
            <w:r w:rsidRPr="00DF4CE5">
              <w:rPr>
                <w:rFonts w:ascii="Cambria" w:eastAsia="Times New Roman" w:hAnsi="Cambria" w:cs="Times New Roman"/>
                <w:lang w:val="hr-HR"/>
              </w:rPr>
              <w:t>radiostvaralaštvu</w:t>
            </w:r>
            <w:proofErr w:type="spellEnd"/>
            <w:r w:rsidRPr="00DF4CE5">
              <w:rPr>
                <w:rFonts w:ascii="Cambria" w:eastAsia="Times New Roman" w:hAnsi="Cambria" w:cs="Times New Roman"/>
                <w:lang w:val="hr-HR"/>
              </w:rPr>
              <w:t>, prikazivanju na pozornici.</w:t>
            </w:r>
            <w:r w:rsidRPr="00DF4CE5">
              <w:rPr>
                <w:rFonts w:ascii="Cambria" w:eastAsia="Times New Roman" w:hAnsi="Cambria" w:cs="Times New Roman"/>
                <w:lang w:val="hr-HR"/>
              </w:rPr>
              <w:br/>
            </w:r>
            <w:r w:rsidRPr="00DF4CE5">
              <w:rPr>
                <w:rFonts w:ascii="Cambria" w:eastAsia="Times New Roman" w:hAnsi="Cambria" w:cs="Times New Roman"/>
                <w:bCs/>
                <w:iCs/>
                <w:lang w:val="hr-HR"/>
              </w:rPr>
              <w:t xml:space="preserve">Preporuka: “Izdajica” </w:t>
            </w:r>
            <w:r w:rsidRPr="00DF4CE5">
              <w:rPr>
                <w:rFonts w:ascii="Cambria" w:eastAsia="Times New Roman" w:hAnsi="Cambria" w:cs="Times New Roman"/>
                <w:iCs/>
                <w:lang w:val="hr-HR"/>
              </w:rPr>
              <w:t xml:space="preserve">/ nasilje među mladima / prva ljubav / </w:t>
            </w:r>
            <w:r w:rsidRPr="00DF4CE5">
              <w:rPr>
                <w:rFonts w:ascii="Cambria" w:eastAsia="Times New Roman" w:hAnsi="Cambria" w:cs="Times New Roman"/>
                <w:bCs/>
                <w:iCs/>
                <w:lang w:val="hr-HR"/>
              </w:rPr>
              <w:t xml:space="preserve">, “Lice” </w:t>
            </w:r>
            <w:r w:rsidRPr="00DF4CE5">
              <w:rPr>
                <w:rFonts w:ascii="Cambria" w:eastAsia="Times New Roman" w:hAnsi="Cambria" w:cs="Times New Roman"/>
                <w:iCs/>
                <w:lang w:val="hr-HR"/>
              </w:rPr>
              <w:t>/ nezadovoljstvo vlastitim izgledom / ,</w:t>
            </w:r>
            <w:r w:rsidRPr="00DF4CE5">
              <w:rPr>
                <w:rFonts w:ascii="Cambria" w:eastAsia="Times New Roman" w:hAnsi="Cambria" w:cs="Times New Roman"/>
                <w:bCs/>
                <w:iCs/>
                <w:lang w:val="hr-HR"/>
              </w:rPr>
              <w:t xml:space="preserve"> “Dragi </w:t>
            </w:r>
            <w:proofErr w:type="spellStart"/>
            <w:r w:rsidRPr="00DF4CE5">
              <w:rPr>
                <w:rFonts w:ascii="Cambria" w:eastAsia="Times New Roman" w:hAnsi="Cambria" w:cs="Times New Roman"/>
                <w:bCs/>
                <w:iCs/>
                <w:lang w:val="hr-HR"/>
              </w:rPr>
              <w:t>Lastane</w:t>
            </w:r>
            <w:proofErr w:type="spellEnd"/>
            <w:r w:rsidRPr="00DF4CE5">
              <w:rPr>
                <w:rFonts w:ascii="Cambria" w:eastAsia="Times New Roman" w:hAnsi="Cambria" w:cs="Times New Roman"/>
                <w:bCs/>
                <w:iCs/>
                <w:lang w:val="hr-HR"/>
              </w:rPr>
              <w:t xml:space="preserve">” </w:t>
            </w:r>
            <w:r w:rsidRPr="00DF4CE5">
              <w:rPr>
                <w:rFonts w:ascii="Cambria" w:eastAsia="Times New Roman" w:hAnsi="Cambria" w:cs="Times New Roman"/>
                <w:iCs/>
                <w:lang w:val="hr-HR"/>
              </w:rPr>
              <w:t>/ droga / pomoć u nevolji /</w:t>
            </w:r>
          </w:p>
          <w:p w14:paraId="6EF9B89A" w14:textId="77777777" w:rsidR="00DB76CD" w:rsidRPr="00DF4CE5" w:rsidRDefault="00DB76CD" w:rsidP="00A034E3">
            <w:pPr>
              <w:numPr>
                <w:ilvl w:val="0"/>
                <w:numId w:val="42"/>
              </w:numPr>
              <w:spacing w:before="280" w:after="280" w:line="240" w:lineRule="auto"/>
              <w:contextualSpacing/>
              <w:rPr>
                <w:rFonts w:ascii="Cambria" w:eastAsia="Times New Roman" w:hAnsi="Cambria" w:cs="Times New Roman"/>
                <w:iCs/>
                <w:lang w:val="hr-HR"/>
              </w:rPr>
            </w:pPr>
            <w:proofErr w:type="spellStart"/>
            <w:r w:rsidRPr="00DF4CE5">
              <w:rPr>
                <w:rFonts w:ascii="Cambria" w:eastAsia="Times New Roman" w:hAnsi="Cambria" w:cs="Times New Roman"/>
                <w:bCs/>
                <w:lang w:val="hr-HR"/>
              </w:rPr>
              <w:t>Ernoić</w:t>
            </w:r>
            <w:proofErr w:type="spellEnd"/>
            <w:r w:rsidRPr="00DF4CE5">
              <w:rPr>
                <w:rFonts w:ascii="Cambria" w:eastAsia="Times New Roman" w:hAnsi="Cambria" w:cs="Times New Roman"/>
                <w:bCs/>
                <w:lang w:val="hr-HR"/>
              </w:rPr>
              <w:t>, Ivan</w:t>
            </w:r>
            <w:r w:rsidRPr="00DF4CE5">
              <w:rPr>
                <w:rFonts w:ascii="Cambria" w:eastAsia="Times New Roman" w:hAnsi="Cambria" w:cs="Times New Roman"/>
                <w:lang w:val="hr-HR"/>
              </w:rPr>
              <w:br/>
              <w:t xml:space="preserve">Iznenađenje za </w:t>
            </w:r>
            <w:proofErr w:type="spellStart"/>
            <w:r w:rsidRPr="00DF4CE5">
              <w:rPr>
                <w:rFonts w:ascii="Cambria" w:eastAsia="Times New Roman" w:hAnsi="Cambria" w:cs="Times New Roman"/>
                <w:lang w:val="hr-HR"/>
              </w:rPr>
              <w:t>rasku</w:t>
            </w:r>
            <w:proofErr w:type="spellEnd"/>
            <w:r w:rsidRPr="00DF4CE5">
              <w:rPr>
                <w:rFonts w:ascii="Cambria" w:eastAsia="Times New Roman" w:hAnsi="Cambria" w:cs="Times New Roman"/>
                <w:lang w:val="hr-HR"/>
              </w:rPr>
              <w:t xml:space="preserve"> i drugi igrokazi / Ivan </w:t>
            </w:r>
            <w:proofErr w:type="spellStart"/>
            <w:r w:rsidRPr="00DF4CE5">
              <w:rPr>
                <w:rFonts w:ascii="Cambria" w:eastAsia="Times New Roman" w:hAnsi="Cambria" w:cs="Times New Roman"/>
                <w:lang w:val="hr-HR"/>
              </w:rPr>
              <w:t>Ernoić</w:t>
            </w:r>
            <w:proofErr w:type="spellEnd"/>
            <w:r w:rsidRPr="00DF4CE5">
              <w:rPr>
                <w:rFonts w:ascii="Cambria" w:eastAsia="Times New Roman" w:hAnsi="Cambria" w:cs="Times New Roman"/>
                <w:lang w:val="hr-HR"/>
              </w:rPr>
              <w:t xml:space="preserve"> ; &lt;crteži Ljiljana Stazić&gt;. - Zagreb : AGM, 1997. - 128 str. : </w:t>
            </w:r>
            <w:proofErr w:type="spellStart"/>
            <w:r w:rsidRPr="00DF4CE5">
              <w:rPr>
                <w:rFonts w:ascii="Cambria" w:eastAsia="Times New Roman" w:hAnsi="Cambria" w:cs="Times New Roman"/>
                <w:lang w:val="hr-HR"/>
              </w:rPr>
              <w:t>ilustr</w:t>
            </w:r>
            <w:proofErr w:type="spellEnd"/>
            <w:r w:rsidRPr="00DF4CE5">
              <w:rPr>
                <w:rFonts w:ascii="Cambria" w:eastAsia="Times New Roman" w:hAnsi="Cambria" w:cs="Times New Roman"/>
                <w:lang w:val="hr-HR"/>
              </w:rPr>
              <w:t xml:space="preserve">. ; 19 cm. - (Posebno izdanje / AGM)                                                         </w:t>
            </w:r>
            <w:r w:rsidRPr="00DF4CE5">
              <w:rPr>
                <w:rFonts w:ascii="Cambria" w:eastAsia="Times New Roman" w:hAnsi="Cambria" w:cs="Times New Roman"/>
                <w:bCs/>
                <w:iCs/>
                <w:lang w:val="hr-HR"/>
              </w:rPr>
              <w:t xml:space="preserve">Preporuka: “Pjetlić Veselić i Đačić </w:t>
            </w:r>
            <w:proofErr w:type="spellStart"/>
            <w:r w:rsidRPr="00DF4CE5">
              <w:rPr>
                <w:rFonts w:ascii="Cambria" w:eastAsia="Times New Roman" w:hAnsi="Cambria" w:cs="Times New Roman"/>
                <w:bCs/>
                <w:iCs/>
                <w:lang w:val="hr-HR"/>
              </w:rPr>
              <w:t>Prvašić</w:t>
            </w:r>
            <w:proofErr w:type="spellEnd"/>
            <w:r w:rsidRPr="00DF4CE5">
              <w:rPr>
                <w:rFonts w:ascii="Cambria" w:eastAsia="Times New Roman" w:hAnsi="Cambria" w:cs="Times New Roman"/>
                <w:bCs/>
                <w:iCs/>
                <w:lang w:val="hr-HR"/>
              </w:rPr>
              <w:t xml:space="preserve">” </w:t>
            </w:r>
            <w:r w:rsidRPr="00DF4CE5">
              <w:rPr>
                <w:rFonts w:ascii="Cambria" w:eastAsia="Times New Roman" w:hAnsi="Cambria" w:cs="Times New Roman"/>
                <w:iCs/>
                <w:lang w:val="hr-HR"/>
              </w:rPr>
              <w:t xml:space="preserve">/ prvi školski dan /, </w:t>
            </w:r>
            <w:r w:rsidRPr="00DF4CE5">
              <w:rPr>
                <w:rFonts w:ascii="Cambria" w:eastAsia="Times New Roman" w:hAnsi="Cambria" w:cs="Times New Roman"/>
                <w:bCs/>
                <w:iCs/>
                <w:lang w:val="hr-HR"/>
              </w:rPr>
              <w:t xml:space="preserve">“Iznenađenje za </w:t>
            </w:r>
            <w:proofErr w:type="spellStart"/>
            <w:r w:rsidRPr="00DF4CE5">
              <w:rPr>
                <w:rFonts w:ascii="Cambria" w:eastAsia="Times New Roman" w:hAnsi="Cambria" w:cs="Times New Roman"/>
                <w:bCs/>
                <w:iCs/>
                <w:lang w:val="hr-HR"/>
              </w:rPr>
              <w:t>rasku</w:t>
            </w:r>
            <w:proofErr w:type="spellEnd"/>
            <w:r w:rsidRPr="00DF4CE5">
              <w:rPr>
                <w:rFonts w:ascii="Cambria" w:eastAsia="Times New Roman" w:hAnsi="Cambria" w:cs="Times New Roman"/>
                <w:bCs/>
                <w:iCs/>
                <w:lang w:val="hr-HR"/>
              </w:rPr>
              <w:t xml:space="preserve">” </w:t>
            </w:r>
            <w:r w:rsidRPr="00DF4CE5">
              <w:rPr>
                <w:rFonts w:ascii="Cambria" w:eastAsia="Times New Roman" w:hAnsi="Cambria" w:cs="Times New Roman"/>
                <w:iCs/>
                <w:lang w:val="hr-HR"/>
              </w:rPr>
              <w:t>/ iz školskog života /</w:t>
            </w:r>
          </w:p>
          <w:p w14:paraId="7D2BD0A3" w14:textId="77777777" w:rsidR="00DB76CD" w:rsidRPr="00DF4CE5" w:rsidRDefault="00DB76CD" w:rsidP="00A034E3">
            <w:pPr>
              <w:numPr>
                <w:ilvl w:val="0"/>
                <w:numId w:val="42"/>
              </w:numPr>
              <w:spacing w:before="280" w:after="280" w:line="240" w:lineRule="auto"/>
              <w:contextualSpacing/>
              <w:rPr>
                <w:rFonts w:ascii="Cambria" w:eastAsia="Times New Roman" w:hAnsi="Cambria" w:cs="Times New Roman"/>
                <w:lang w:val="hr-HR"/>
              </w:rPr>
            </w:pPr>
            <w:proofErr w:type="spellStart"/>
            <w:r w:rsidRPr="00DF4CE5">
              <w:rPr>
                <w:rFonts w:ascii="Cambria" w:eastAsia="Times New Roman" w:hAnsi="Cambria" w:cs="Times New Roman"/>
                <w:bCs/>
                <w:lang w:val="hr-HR"/>
              </w:rPr>
              <w:t>Kolumbić</w:t>
            </w:r>
            <w:proofErr w:type="spellEnd"/>
            <w:r w:rsidRPr="00DF4CE5">
              <w:rPr>
                <w:rFonts w:ascii="Cambria" w:eastAsia="Times New Roman" w:hAnsi="Cambria" w:cs="Times New Roman"/>
                <w:bCs/>
                <w:lang w:val="hr-HR"/>
              </w:rPr>
              <w:t>, Tin, 1936-</w:t>
            </w:r>
            <w:r w:rsidRPr="00DF4CE5">
              <w:rPr>
                <w:rFonts w:ascii="Cambria" w:eastAsia="Times New Roman" w:hAnsi="Cambria" w:cs="Times New Roman"/>
                <w:lang w:val="hr-HR"/>
              </w:rPr>
              <w:br/>
              <w:t xml:space="preserve">Sat ljubavi : zbirka igrokaza za djecu i mladež / Tin </w:t>
            </w:r>
            <w:proofErr w:type="spellStart"/>
            <w:r w:rsidRPr="00DF4CE5">
              <w:rPr>
                <w:rFonts w:ascii="Cambria" w:eastAsia="Times New Roman" w:hAnsi="Cambria" w:cs="Times New Roman"/>
                <w:lang w:val="hr-HR"/>
              </w:rPr>
              <w:t>Kolumbić</w:t>
            </w:r>
            <w:proofErr w:type="spellEnd"/>
            <w:r w:rsidRPr="00DF4CE5">
              <w:rPr>
                <w:rFonts w:ascii="Cambria" w:eastAsia="Times New Roman" w:hAnsi="Cambria" w:cs="Times New Roman"/>
                <w:lang w:val="hr-HR"/>
              </w:rPr>
              <w:t>. - Zagreb : Školska knjiga, 2004. - 167 str. ; 24 cm</w:t>
            </w:r>
          </w:p>
          <w:p w14:paraId="14EFF314" w14:textId="77777777" w:rsidR="00DB76CD" w:rsidRPr="00DF4CE5" w:rsidRDefault="00DB76CD" w:rsidP="00A034E3">
            <w:pPr>
              <w:numPr>
                <w:ilvl w:val="0"/>
                <w:numId w:val="42"/>
              </w:numPr>
              <w:spacing w:before="280" w:after="280" w:line="240" w:lineRule="auto"/>
              <w:contextualSpacing/>
              <w:rPr>
                <w:rFonts w:ascii="Cambria" w:eastAsia="Times New Roman" w:hAnsi="Cambria" w:cs="Times New Roman"/>
                <w:iCs/>
                <w:lang w:val="hr-HR"/>
              </w:rPr>
            </w:pPr>
            <w:r w:rsidRPr="00DF4CE5">
              <w:rPr>
                <w:rFonts w:ascii="Cambria" w:eastAsia="Times New Roman" w:hAnsi="Cambria" w:cs="Times New Roman"/>
                <w:lang w:val="hr-HR"/>
              </w:rPr>
              <w:lastRenderedPageBreak/>
              <w:t xml:space="preserve">Knjiga sadrži jedanaest igrokaza koji su simbolično i </w:t>
            </w:r>
            <w:proofErr w:type="spellStart"/>
            <w:r w:rsidRPr="00DF4CE5">
              <w:rPr>
                <w:rFonts w:ascii="Cambria" w:eastAsia="Times New Roman" w:hAnsi="Cambria" w:cs="Times New Roman"/>
                <w:lang w:val="hr-HR"/>
              </w:rPr>
              <w:t>sižejno</w:t>
            </w:r>
            <w:proofErr w:type="spellEnd"/>
            <w:r w:rsidRPr="00DF4CE5">
              <w:rPr>
                <w:rFonts w:ascii="Cambria" w:eastAsia="Times New Roman" w:hAnsi="Cambria" w:cs="Times New Roman"/>
                <w:lang w:val="hr-HR"/>
              </w:rPr>
              <w:t xml:space="preserve"> određeni naslovom zbirke, jer motiv ljubavi vezivo je i osnovna nit dramskog zbivanja u svakom igrokazu. Dva igrokaza pisana su čakavskim narječjem. Igrokaz "Radujte se narodi" uveličat će božićne blagdane. Opsegom i prividnom jednostavnošću te minimumom scenografskih i </w:t>
            </w:r>
            <w:proofErr w:type="spellStart"/>
            <w:r w:rsidRPr="00DF4CE5">
              <w:rPr>
                <w:rFonts w:ascii="Cambria" w:eastAsia="Times New Roman" w:hAnsi="Cambria" w:cs="Times New Roman"/>
                <w:lang w:val="hr-HR"/>
              </w:rPr>
              <w:t>kostimografskih</w:t>
            </w:r>
            <w:proofErr w:type="spellEnd"/>
            <w:r w:rsidRPr="00DF4CE5">
              <w:rPr>
                <w:rFonts w:ascii="Cambria" w:eastAsia="Times New Roman" w:hAnsi="Cambria" w:cs="Times New Roman"/>
                <w:lang w:val="hr-HR"/>
              </w:rPr>
              <w:t xml:space="preserve"> zadanosti, scenske igre iz ove zbirke dobrodošle su školskim dramskim družinama. Mladi glumci susrest će se sa vješto rimovanim i duhovitim monolozima i dijalozima, kao i mogućnošću osobne kreativnosti na sceni. Metrička čistoća većine stihova u ovim igrokazima pruža mogućnost da se takve predstave oplemene jednostavnim glazbenim brojevima. </w:t>
            </w:r>
            <w:r w:rsidRPr="00DF4CE5">
              <w:rPr>
                <w:rFonts w:ascii="Cambria" w:eastAsia="Times New Roman" w:hAnsi="Cambria" w:cs="Times New Roman"/>
                <w:lang w:val="hr-HR"/>
              </w:rPr>
              <w:br/>
            </w:r>
            <w:r w:rsidRPr="00DF4CE5">
              <w:rPr>
                <w:rFonts w:ascii="Cambria" w:eastAsia="Times New Roman" w:hAnsi="Cambria" w:cs="Times New Roman"/>
                <w:bCs/>
                <w:iCs/>
                <w:lang w:val="hr-HR"/>
              </w:rPr>
              <w:t xml:space="preserve">Preporuka: “Igrajmo se mora”, “Igrajmo se grada”; “Sat ljubavi” </w:t>
            </w:r>
            <w:r w:rsidRPr="00DF4CE5">
              <w:rPr>
                <w:rFonts w:ascii="Cambria" w:eastAsia="Times New Roman" w:hAnsi="Cambria" w:cs="Times New Roman"/>
                <w:iCs/>
                <w:lang w:val="hr-HR"/>
              </w:rPr>
              <w:t>/ iz školskog života /</w:t>
            </w:r>
          </w:p>
          <w:p w14:paraId="544D1577" w14:textId="77777777" w:rsidR="00DB76CD" w:rsidRPr="00DF4CE5" w:rsidRDefault="00DB76CD" w:rsidP="00A034E3">
            <w:pPr>
              <w:numPr>
                <w:ilvl w:val="0"/>
                <w:numId w:val="42"/>
              </w:numPr>
              <w:spacing w:before="280" w:after="280" w:line="240" w:lineRule="auto"/>
              <w:contextualSpacing/>
              <w:rPr>
                <w:rFonts w:ascii="Cambria" w:eastAsia="Times New Roman" w:hAnsi="Cambria" w:cs="Times New Roman"/>
                <w:iCs/>
                <w:lang w:val="hr-HR"/>
              </w:rPr>
            </w:pPr>
            <w:r w:rsidRPr="00DF4CE5">
              <w:rPr>
                <w:rFonts w:ascii="Cambria" w:eastAsia="Times New Roman" w:hAnsi="Cambria" w:cs="Times New Roman"/>
                <w:bCs/>
                <w:lang w:val="hr-HR"/>
              </w:rPr>
              <w:t>Palada, Josip, 1935-</w:t>
            </w:r>
            <w:r w:rsidRPr="00DF4CE5">
              <w:rPr>
                <w:rFonts w:ascii="Cambria" w:eastAsia="Times New Roman" w:hAnsi="Cambria" w:cs="Times New Roman"/>
                <w:lang w:val="hr-HR"/>
              </w:rPr>
              <w:br/>
              <w:t xml:space="preserve">Divlje jagode : (igrokazi) / Josip Palada ; &lt;omot i crteži scene Ivica </w:t>
            </w:r>
            <w:proofErr w:type="spellStart"/>
            <w:r w:rsidRPr="00DF4CE5">
              <w:rPr>
                <w:rFonts w:ascii="Cambria" w:eastAsia="Times New Roman" w:hAnsi="Cambria" w:cs="Times New Roman"/>
                <w:lang w:val="hr-HR"/>
              </w:rPr>
              <w:t>Antolčić</w:t>
            </w:r>
            <w:proofErr w:type="spellEnd"/>
            <w:r w:rsidRPr="00DF4CE5">
              <w:rPr>
                <w:rFonts w:ascii="Cambria" w:eastAsia="Times New Roman" w:hAnsi="Cambria" w:cs="Times New Roman"/>
                <w:lang w:val="hr-HR"/>
              </w:rPr>
              <w:t xml:space="preserve">&gt;. – Zagreb : Savez društava „Naša djeca“, 1977. – 211 str. : </w:t>
            </w:r>
            <w:proofErr w:type="spellStart"/>
            <w:r w:rsidRPr="00DF4CE5">
              <w:rPr>
                <w:rFonts w:ascii="Cambria" w:eastAsia="Times New Roman" w:hAnsi="Cambria" w:cs="Times New Roman"/>
                <w:lang w:val="hr-HR"/>
              </w:rPr>
              <w:t>ilustr</w:t>
            </w:r>
            <w:proofErr w:type="spellEnd"/>
            <w:r w:rsidRPr="00DF4CE5">
              <w:rPr>
                <w:rFonts w:ascii="Cambria" w:eastAsia="Times New Roman" w:hAnsi="Cambria" w:cs="Times New Roman"/>
                <w:lang w:val="hr-HR"/>
              </w:rPr>
              <w:t xml:space="preserve">.                                                                                  </w:t>
            </w:r>
            <w:r w:rsidRPr="00DF4CE5">
              <w:rPr>
                <w:rFonts w:ascii="Cambria" w:eastAsia="Times New Roman" w:hAnsi="Cambria" w:cs="Times New Roman"/>
                <w:bCs/>
                <w:iCs/>
                <w:lang w:val="hr-HR"/>
              </w:rPr>
              <w:t xml:space="preserve">Preporuka: „Silno junaštvo“ </w:t>
            </w:r>
            <w:r w:rsidRPr="00DF4CE5">
              <w:rPr>
                <w:rFonts w:ascii="Cambria" w:eastAsia="Times New Roman" w:hAnsi="Cambria" w:cs="Times New Roman"/>
                <w:iCs/>
                <w:lang w:val="hr-HR"/>
              </w:rPr>
              <w:t xml:space="preserve">/ neodgovorno ponašanje / izlaganje </w:t>
            </w:r>
            <w:proofErr w:type="spellStart"/>
            <w:r w:rsidRPr="00DF4CE5">
              <w:rPr>
                <w:rFonts w:ascii="Cambria" w:eastAsia="Times New Roman" w:hAnsi="Cambria" w:cs="Times New Roman"/>
                <w:iCs/>
                <w:lang w:val="hr-HR"/>
              </w:rPr>
              <w:t>živiotnoj</w:t>
            </w:r>
            <w:proofErr w:type="spellEnd"/>
            <w:r w:rsidRPr="00DF4CE5">
              <w:rPr>
                <w:rFonts w:ascii="Cambria" w:eastAsia="Times New Roman" w:hAnsi="Cambria" w:cs="Times New Roman"/>
                <w:iCs/>
                <w:lang w:val="hr-HR"/>
              </w:rPr>
              <w:t xml:space="preserve"> opasnosti / ,</w:t>
            </w:r>
            <w:r w:rsidRPr="00DF4CE5">
              <w:rPr>
                <w:rFonts w:ascii="Cambria" w:eastAsia="Times New Roman" w:hAnsi="Cambria" w:cs="Times New Roman"/>
                <w:bCs/>
                <w:iCs/>
                <w:lang w:val="hr-HR"/>
              </w:rPr>
              <w:t xml:space="preserve"> „Buket jorgovana“ </w:t>
            </w:r>
            <w:r w:rsidRPr="00DF4CE5">
              <w:rPr>
                <w:rFonts w:ascii="Cambria" w:eastAsia="Times New Roman" w:hAnsi="Cambria" w:cs="Times New Roman"/>
                <w:iCs/>
                <w:lang w:val="hr-HR"/>
              </w:rPr>
              <w:t>/ dječja krađa /,</w:t>
            </w:r>
            <w:r w:rsidRPr="00DF4CE5">
              <w:rPr>
                <w:rFonts w:ascii="Cambria" w:eastAsia="Times New Roman" w:hAnsi="Cambria" w:cs="Times New Roman"/>
                <w:bCs/>
                <w:iCs/>
                <w:lang w:val="hr-HR"/>
              </w:rPr>
              <w:t xml:space="preserve"> „U prihvatilištu“ </w:t>
            </w:r>
            <w:r w:rsidRPr="00DF4CE5">
              <w:rPr>
                <w:rFonts w:ascii="Cambria" w:eastAsia="Times New Roman" w:hAnsi="Cambria" w:cs="Times New Roman"/>
                <w:iCs/>
                <w:lang w:val="hr-HR"/>
              </w:rPr>
              <w:t>/ zbrinjavanje djece bez adekvatne roditeljske skrbi / usvajanje djeteta /</w:t>
            </w:r>
          </w:p>
          <w:p w14:paraId="2C3D4FD9" w14:textId="77777777" w:rsidR="00DB76CD" w:rsidRPr="00DF4CE5" w:rsidRDefault="00DB76CD" w:rsidP="00A034E3">
            <w:pPr>
              <w:numPr>
                <w:ilvl w:val="0"/>
                <w:numId w:val="42"/>
              </w:numPr>
              <w:spacing w:before="280" w:after="280" w:line="240" w:lineRule="auto"/>
              <w:contextualSpacing/>
              <w:rPr>
                <w:rFonts w:ascii="Cambria" w:eastAsia="Times New Roman" w:hAnsi="Cambria" w:cs="Times New Roman"/>
                <w:lang w:val="hr-HR"/>
              </w:rPr>
            </w:pPr>
            <w:proofErr w:type="spellStart"/>
            <w:r w:rsidRPr="00DF4CE5">
              <w:rPr>
                <w:rFonts w:ascii="Cambria" w:eastAsia="Times New Roman" w:hAnsi="Cambria" w:cs="Times New Roman"/>
                <w:bCs/>
                <w:lang w:val="hr-HR"/>
              </w:rPr>
              <w:t>Škrabe</w:t>
            </w:r>
            <w:proofErr w:type="spellEnd"/>
            <w:r w:rsidRPr="00DF4CE5">
              <w:rPr>
                <w:rFonts w:ascii="Cambria" w:eastAsia="Times New Roman" w:hAnsi="Cambria" w:cs="Times New Roman"/>
                <w:bCs/>
                <w:lang w:val="hr-HR"/>
              </w:rPr>
              <w:t>, Nino, 1947-</w:t>
            </w:r>
            <w:r w:rsidRPr="00DF4CE5">
              <w:rPr>
                <w:rFonts w:ascii="Cambria" w:eastAsia="Times New Roman" w:hAnsi="Cambria" w:cs="Times New Roman"/>
                <w:lang w:val="hr-HR"/>
              </w:rPr>
              <w:br/>
              <w:t xml:space="preserve">Iznad duge : tri igrokaza / Nino </w:t>
            </w:r>
            <w:proofErr w:type="spellStart"/>
            <w:r w:rsidRPr="00DF4CE5">
              <w:rPr>
                <w:rFonts w:ascii="Cambria" w:eastAsia="Times New Roman" w:hAnsi="Cambria" w:cs="Times New Roman"/>
                <w:lang w:val="hr-HR"/>
              </w:rPr>
              <w:t>Škrabe</w:t>
            </w:r>
            <w:proofErr w:type="spellEnd"/>
            <w:r w:rsidRPr="00DF4CE5">
              <w:rPr>
                <w:rFonts w:ascii="Cambria" w:eastAsia="Times New Roman" w:hAnsi="Cambria" w:cs="Times New Roman"/>
                <w:lang w:val="hr-HR"/>
              </w:rPr>
              <w:t xml:space="preserve">. - Zagreb : </w:t>
            </w:r>
            <w:proofErr w:type="spellStart"/>
            <w:r w:rsidRPr="00DF4CE5">
              <w:rPr>
                <w:rFonts w:ascii="Cambria" w:eastAsia="Times New Roman" w:hAnsi="Cambria" w:cs="Times New Roman"/>
                <w:lang w:val="hr-HR"/>
              </w:rPr>
              <w:t>Disput</w:t>
            </w:r>
            <w:proofErr w:type="spellEnd"/>
            <w:r w:rsidRPr="00DF4CE5">
              <w:rPr>
                <w:rFonts w:ascii="Cambria" w:eastAsia="Times New Roman" w:hAnsi="Cambria" w:cs="Times New Roman"/>
                <w:lang w:val="hr-HR"/>
              </w:rPr>
              <w:t xml:space="preserve">, 2000. - 164 str. : </w:t>
            </w:r>
            <w:proofErr w:type="spellStart"/>
            <w:r w:rsidRPr="00DF4CE5">
              <w:rPr>
                <w:rFonts w:ascii="Cambria" w:eastAsia="Times New Roman" w:hAnsi="Cambria" w:cs="Times New Roman"/>
                <w:lang w:val="hr-HR"/>
              </w:rPr>
              <w:t>ilustr</w:t>
            </w:r>
            <w:proofErr w:type="spellEnd"/>
            <w:r w:rsidRPr="00DF4CE5">
              <w:rPr>
                <w:rFonts w:ascii="Cambria" w:eastAsia="Times New Roman" w:hAnsi="Cambria" w:cs="Times New Roman"/>
                <w:lang w:val="hr-HR"/>
              </w:rPr>
              <w:t>. ; 20 cm. - (Biblioteka Lektira plus ; knj. 1)</w:t>
            </w:r>
          </w:p>
          <w:p w14:paraId="472CF499" w14:textId="77777777" w:rsidR="00DB76CD" w:rsidRPr="00DF4CE5" w:rsidRDefault="00DB76CD" w:rsidP="00A034E3">
            <w:pPr>
              <w:numPr>
                <w:ilvl w:val="0"/>
                <w:numId w:val="42"/>
              </w:numPr>
              <w:spacing w:before="280" w:after="280" w:line="240" w:lineRule="auto"/>
              <w:contextualSpacing/>
              <w:rPr>
                <w:rFonts w:ascii="Cambria" w:eastAsia="Times New Roman" w:hAnsi="Cambria" w:cs="Times New Roman"/>
                <w:iCs/>
                <w:lang w:val="hr-HR"/>
              </w:rPr>
            </w:pPr>
            <w:r w:rsidRPr="00DF4CE5">
              <w:rPr>
                <w:rFonts w:ascii="Cambria" w:eastAsia="Times New Roman" w:hAnsi="Cambria" w:cs="Times New Roman"/>
                <w:lang w:val="hr-HR"/>
              </w:rPr>
              <w:t xml:space="preserve">Komadi koji čine dječju trilogiju "Iznad duge" dramatizacije su djeci dragih i poznatih priča: Snježne kraljice danskog pisca Hansa Christiana Andersena, Čarobnjaka iz </w:t>
            </w:r>
            <w:proofErr w:type="spellStart"/>
            <w:r w:rsidRPr="00DF4CE5">
              <w:rPr>
                <w:rFonts w:ascii="Cambria" w:eastAsia="Times New Roman" w:hAnsi="Cambria" w:cs="Times New Roman"/>
                <w:lang w:val="hr-HR"/>
              </w:rPr>
              <w:t>Oza</w:t>
            </w:r>
            <w:proofErr w:type="spellEnd"/>
            <w:r w:rsidRPr="00DF4CE5">
              <w:rPr>
                <w:rFonts w:ascii="Cambria" w:eastAsia="Times New Roman" w:hAnsi="Cambria" w:cs="Times New Roman"/>
                <w:lang w:val="hr-HR"/>
              </w:rPr>
              <w:t xml:space="preserve"> američkog pisca </w:t>
            </w:r>
            <w:proofErr w:type="spellStart"/>
            <w:r w:rsidRPr="00DF4CE5">
              <w:rPr>
                <w:rFonts w:ascii="Cambria" w:eastAsia="Times New Roman" w:hAnsi="Cambria" w:cs="Times New Roman"/>
                <w:lang w:val="hr-HR"/>
              </w:rPr>
              <w:t>Lymana</w:t>
            </w:r>
            <w:proofErr w:type="spellEnd"/>
            <w:r w:rsidRPr="00DF4CE5">
              <w:rPr>
                <w:rFonts w:ascii="Cambria" w:eastAsia="Times New Roman" w:hAnsi="Cambria" w:cs="Times New Roman"/>
                <w:lang w:val="hr-HR"/>
              </w:rPr>
              <w:t xml:space="preserve"> Franka </w:t>
            </w:r>
            <w:proofErr w:type="spellStart"/>
            <w:r w:rsidRPr="00DF4CE5">
              <w:rPr>
                <w:rFonts w:ascii="Cambria" w:eastAsia="Times New Roman" w:hAnsi="Cambria" w:cs="Times New Roman"/>
                <w:lang w:val="hr-HR"/>
              </w:rPr>
              <w:t>Bauma</w:t>
            </w:r>
            <w:proofErr w:type="spellEnd"/>
            <w:r w:rsidRPr="00DF4CE5">
              <w:rPr>
                <w:rFonts w:ascii="Cambria" w:eastAsia="Times New Roman" w:hAnsi="Cambria" w:cs="Times New Roman"/>
                <w:lang w:val="hr-HR"/>
              </w:rPr>
              <w:t xml:space="preserve"> te Heidi švicarske spisateljice Johanne </w:t>
            </w:r>
            <w:proofErr w:type="spellStart"/>
            <w:r w:rsidRPr="00DF4CE5">
              <w:rPr>
                <w:rFonts w:ascii="Cambria" w:eastAsia="Times New Roman" w:hAnsi="Cambria" w:cs="Times New Roman"/>
                <w:lang w:val="hr-HR"/>
              </w:rPr>
              <w:t>Spyri</w:t>
            </w:r>
            <w:proofErr w:type="spellEnd"/>
            <w:r w:rsidRPr="00DF4CE5">
              <w:rPr>
                <w:rFonts w:ascii="Cambria" w:eastAsia="Times New Roman" w:hAnsi="Cambria" w:cs="Times New Roman"/>
                <w:lang w:val="hr-HR"/>
              </w:rPr>
              <w:t xml:space="preserve">. Napisani su za pravo živo kazalište, za dječju dramsku družinu "Ivana Brlić - Mažuranić" iz Jastrebarskog. Autor je dvije bajke i jednu priču za djecu osuvremenio i prilagodio senzibilitetu današnjeg djeteta. </w:t>
            </w:r>
            <w:proofErr w:type="spellStart"/>
            <w:r w:rsidRPr="00DF4CE5">
              <w:rPr>
                <w:rFonts w:ascii="Cambria" w:eastAsia="Times New Roman" w:hAnsi="Cambria" w:cs="Times New Roman"/>
                <w:lang w:val="hr-HR"/>
              </w:rPr>
              <w:t>Gerda</w:t>
            </w:r>
            <w:proofErr w:type="spellEnd"/>
            <w:r w:rsidRPr="00DF4CE5">
              <w:rPr>
                <w:rFonts w:ascii="Cambria" w:eastAsia="Times New Roman" w:hAnsi="Cambria" w:cs="Times New Roman"/>
                <w:lang w:val="hr-HR"/>
              </w:rPr>
              <w:t xml:space="preserve">, </w:t>
            </w:r>
            <w:proofErr w:type="spellStart"/>
            <w:r w:rsidRPr="00DF4CE5">
              <w:rPr>
                <w:rFonts w:ascii="Cambria" w:eastAsia="Times New Roman" w:hAnsi="Cambria" w:cs="Times New Roman"/>
                <w:lang w:val="hr-HR"/>
              </w:rPr>
              <w:t>Dothy</w:t>
            </w:r>
            <w:proofErr w:type="spellEnd"/>
            <w:r w:rsidRPr="00DF4CE5">
              <w:rPr>
                <w:rFonts w:ascii="Cambria" w:eastAsia="Times New Roman" w:hAnsi="Cambria" w:cs="Times New Roman"/>
                <w:lang w:val="hr-HR"/>
              </w:rPr>
              <w:t xml:space="preserve"> i Heidi, glave junakinje u igrokazima su obične djevojčice iz susjedstva i aktivno kreiraju svoje sudbine, rješavaju svoje probleme tvrdoglavo ustrajući na svom putu s vjerom u istinu i ljubav. Igrokazi su namijenjeni djeci starije školske dobi.</w:t>
            </w:r>
            <w:r w:rsidRPr="00DF4CE5">
              <w:rPr>
                <w:rFonts w:ascii="Cambria" w:eastAsia="Times New Roman" w:hAnsi="Cambria" w:cs="Times New Roman"/>
                <w:lang w:val="hr-HR"/>
              </w:rPr>
              <w:br/>
            </w:r>
            <w:r w:rsidRPr="00DF4CE5">
              <w:rPr>
                <w:rFonts w:ascii="Cambria" w:eastAsia="Times New Roman" w:hAnsi="Cambria" w:cs="Times New Roman"/>
                <w:bCs/>
                <w:iCs/>
                <w:lang w:val="hr-HR"/>
              </w:rPr>
              <w:t xml:space="preserve">Preporuka: “Heidi” </w:t>
            </w:r>
            <w:r w:rsidRPr="00DF4CE5">
              <w:rPr>
                <w:rFonts w:ascii="Cambria" w:eastAsia="Times New Roman" w:hAnsi="Cambria" w:cs="Times New Roman"/>
                <w:iCs/>
                <w:lang w:val="hr-HR"/>
              </w:rPr>
              <w:t xml:space="preserve">/ prema romanu J. </w:t>
            </w:r>
            <w:proofErr w:type="spellStart"/>
            <w:r w:rsidRPr="00DF4CE5">
              <w:rPr>
                <w:rFonts w:ascii="Cambria" w:eastAsia="Times New Roman" w:hAnsi="Cambria" w:cs="Times New Roman"/>
                <w:iCs/>
                <w:lang w:val="hr-HR"/>
              </w:rPr>
              <w:t>Spyri</w:t>
            </w:r>
            <w:proofErr w:type="spellEnd"/>
            <w:r w:rsidRPr="00DF4CE5">
              <w:rPr>
                <w:rFonts w:ascii="Cambria" w:eastAsia="Times New Roman" w:hAnsi="Cambria" w:cs="Times New Roman"/>
                <w:iCs/>
                <w:lang w:val="hr-HR"/>
              </w:rPr>
              <w:t xml:space="preserve"> /</w:t>
            </w:r>
          </w:p>
          <w:p w14:paraId="22B07756" w14:textId="77777777" w:rsidR="00DB76CD" w:rsidRPr="00DF4CE5" w:rsidRDefault="00DB76CD" w:rsidP="00A034E3">
            <w:pPr>
              <w:numPr>
                <w:ilvl w:val="0"/>
                <w:numId w:val="42"/>
              </w:numPr>
              <w:spacing w:before="280" w:after="280" w:line="240" w:lineRule="auto"/>
              <w:contextualSpacing/>
              <w:rPr>
                <w:rFonts w:ascii="Cambria" w:eastAsia="Times New Roman" w:hAnsi="Cambria" w:cs="Times New Roman"/>
                <w:iCs/>
                <w:lang w:val="hr-HR"/>
              </w:rPr>
            </w:pPr>
            <w:r w:rsidRPr="00DF4CE5">
              <w:rPr>
                <w:rFonts w:ascii="Cambria" w:eastAsia="Times New Roman" w:hAnsi="Cambria" w:cs="Times New Roman"/>
                <w:bCs/>
                <w:lang w:val="hr-HR"/>
              </w:rPr>
              <w:t>Zbornik igrokaza</w:t>
            </w:r>
            <w:r w:rsidRPr="00DF4CE5">
              <w:rPr>
                <w:rFonts w:ascii="Cambria" w:eastAsia="Times New Roman" w:hAnsi="Cambria" w:cs="Times New Roman"/>
                <w:lang w:val="hr-HR"/>
              </w:rPr>
              <w:br/>
              <w:t xml:space="preserve">Zbornik igrokaza / &lt;priredio&gt;Joža Skok ; redateljske napomene napisala Zvjezdana </w:t>
            </w:r>
            <w:proofErr w:type="spellStart"/>
            <w:r w:rsidRPr="00DF4CE5">
              <w:rPr>
                <w:rFonts w:ascii="Cambria" w:eastAsia="Times New Roman" w:hAnsi="Cambria" w:cs="Times New Roman"/>
                <w:lang w:val="hr-HR"/>
              </w:rPr>
              <w:t>Ladika</w:t>
            </w:r>
            <w:proofErr w:type="spellEnd"/>
            <w:r w:rsidRPr="00DF4CE5">
              <w:rPr>
                <w:rFonts w:ascii="Cambria" w:eastAsia="Times New Roman" w:hAnsi="Cambria" w:cs="Times New Roman"/>
                <w:lang w:val="hr-HR"/>
              </w:rPr>
              <w:t xml:space="preserve"> ; &lt;ilustracije Ivica </w:t>
            </w:r>
            <w:proofErr w:type="spellStart"/>
            <w:r w:rsidRPr="00DF4CE5">
              <w:rPr>
                <w:rFonts w:ascii="Cambria" w:eastAsia="Times New Roman" w:hAnsi="Cambria" w:cs="Times New Roman"/>
                <w:lang w:val="hr-HR"/>
              </w:rPr>
              <w:t>Antolčić</w:t>
            </w:r>
            <w:proofErr w:type="spellEnd"/>
            <w:r w:rsidRPr="00DF4CE5">
              <w:rPr>
                <w:rFonts w:ascii="Cambria" w:eastAsia="Times New Roman" w:hAnsi="Cambria" w:cs="Times New Roman"/>
                <w:lang w:val="hr-HR"/>
              </w:rPr>
              <w:t xml:space="preserve">&gt;. - Zagreb : Školska knjiga, 1980. - 473 str. : </w:t>
            </w:r>
            <w:proofErr w:type="spellStart"/>
            <w:r w:rsidRPr="00DF4CE5">
              <w:rPr>
                <w:rFonts w:ascii="Cambria" w:eastAsia="Times New Roman" w:hAnsi="Cambria" w:cs="Times New Roman"/>
                <w:lang w:val="hr-HR"/>
              </w:rPr>
              <w:t>ilustr</w:t>
            </w:r>
            <w:proofErr w:type="spellEnd"/>
            <w:r w:rsidRPr="00DF4CE5">
              <w:rPr>
                <w:rFonts w:ascii="Cambria" w:eastAsia="Times New Roman" w:hAnsi="Cambria" w:cs="Times New Roman"/>
                <w:lang w:val="hr-HR"/>
              </w:rPr>
              <w:t xml:space="preserve">. ; 20 cm                  </w:t>
            </w:r>
            <w:r w:rsidRPr="00DF4CE5">
              <w:rPr>
                <w:rFonts w:ascii="Cambria" w:eastAsia="Times New Roman" w:hAnsi="Cambria" w:cs="Times New Roman"/>
                <w:bCs/>
                <w:iCs/>
                <w:lang w:val="hr-HR"/>
              </w:rPr>
              <w:t>Preporuka: Lovrak: “Družba Pere Kvržice”</w:t>
            </w:r>
            <w:r w:rsidRPr="00DF4CE5">
              <w:rPr>
                <w:rFonts w:ascii="Cambria" w:eastAsia="Times New Roman" w:hAnsi="Cambria" w:cs="Times New Roman"/>
                <w:iCs/>
                <w:lang w:val="hr-HR"/>
              </w:rPr>
              <w:t xml:space="preserve"> / suradnja, prijateljstvo /, </w:t>
            </w:r>
            <w:r w:rsidRPr="00DF4CE5">
              <w:rPr>
                <w:rFonts w:ascii="Cambria" w:eastAsia="Times New Roman" w:hAnsi="Cambria" w:cs="Times New Roman"/>
                <w:bCs/>
                <w:iCs/>
                <w:lang w:val="hr-HR"/>
              </w:rPr>
              <w:t>Kolarić-</w:t>
            </w:r>
            <w:proofErr w:type="spellStart"/>
            <w:r w:rsidRPr="00DF4CE5">
              <w:rPr>
                <w:rFonts w:ascii="Cambria" w:eastAsia="Times New Roman" w:hAnsi="Cambria" w:cs="Times New Roman"/>
                <w:bCs/>
                <w:iCs/>
                <w:lang w:val="hr-HR"/>
              </w:rPr>
              <w:t>Kišur</w:t>
            </w:r>
            <w:proofErr w:type="spellEnd"/>
            <w:r w:rsidRPr="00DF4CE5">
              <w:rPr>
                <w:rFonts w:ascii="Cambria" w:eastAsia="Times New Roman" w:hAnsi="Cambria" w:cs="Times New Roman"/>
                <w:bCs/>
                <w:iCs/>
                <w:lang w:val="hr-HR"/>
              </w:rPr>
              <w:t xml:space="preserve">: “Kristalni zvončići” </w:t>
            </w:r>
            <w:r w:rsidRPr="00DF4CE5">
              <w:rPr>
                <w:rFonts w:ascii="Cambria" w:eastAsia="Times New Roman" w:hAnsi="Cambria" w:cs="Times New Roman"/>
                <w:iCs/>
                <w:lang w:val="hr-HR"/>
              </w:rPr>
              <w:t xml:space="preserve">/ moralno prosuđivanje / pomoć drugima / , </w:t>
            </w:r>
            <w:r w:rsidRPr="00DF4CE5">
              <w:rPr>
                <w:rFonts w:ascii="Cambria" w:eastAsia="Times New Roman" w:hAnsi="Cambria" w:cs="Times New Roman"/>
                <w:bCs/>
                <w:iCs/>
                <w:lang w:val="hr-HR"/>
              </w:rPr>
              <w:t>Iveljić: “Tko je glavni”</w:t>
            </w:r>
            <w:r w:rsidRPr="00DF4CE5">
              <w:rPr>
                <w:rFonts w:ascii="Cambria" w:eastAsia="Times New Roman" w:hAnsi="Cambria" w:cs="Times New Roman"/>
                <w:iCs/>
                <w:lang w:val="hr-HR"/>
              </w:rPr>
              <w:t xml:space="preserve"> / neodgovorno ponašanje u prometu, izlaganje životnoj opasnosti /</w:t>
            </w:r>
            <w:r w:rsidRPr="00DF4CE5">
              <w:rPr>
                <w:rFonts w:ascii="Cambria" w:eastAsia="Times New Roman" w:hAnsi="Cambria" w:cs="Times New Roman"/>
                <w:bCs/>
                <w:iCs/>
                <w:lang w:val="hr-HR"/>
              </w:rPr>
              <w:t xml:space="preserve">Bakmaz: “Čudnovate zgode šegrta Hlapića” </w:t>
            </w:r>
            <w:r w:rsidRPr="00DF4CE5">
              <w:rPr>
                <w:rFonts w:ascii="Cambria" w:eastAsia="Times New Roman" w:hAnsi="Cambria" w:cs="Times New Roman"/>
                <w:iCs/>
                <w:lang w:val="hr-HR"/>
              </w:rPr>
              <w:t xml:space="preserve">/ dobrota i mudrost pobjeđuju zlo / </w:t>
            </w:r>
          </w:p>
          <w:p w14:paraId="66DEEB57" w14:textId="77777777" w:rsidR="00DB76CD" w:rsidRPr="00DF4CE5" w:rsidRDefault="00DB76CD" w:rsidP="00A034E3">
            <w:pPr>
              <w:numPr>
                <w:ilvl w:val="0"/>
                <w:numId w:val="42"/>
              </w:numPr>
              <w:spacing w:before="280" w:after="280" w:line="240" w:lineRule="auto"/>
              <w:contextualSpacing/>
              <w:rPr>
                <w:rFonts w:ascii="Cambria" w:eastAsia="Times New Roman" w:hAnsi="Cambria" w:cs="Times New Roman"/>
                <w:bCs/>
                <w:lang w:val="hr-HR"/>
              </w:rPr>
            </w:pPr>
            <w:bookmarkStart w:id="111" w:name="prigodni"/>
            <w:bookmarkEnd w:id="111"/>
            <w:r w:rsidRPr="00DF4CE5">
              <w:rPr>
                <w:rFonts w:ascii="Cambria" w:eastAsia="Times New Roman" w:hAnsi="Cambria" w:cs="Times New Roman"/>
                <w:bCs/>
                <w:lang w:val="hr-HR"/>
              </w:rPr>
              <w:t>PRIGODNI IGROKAZI</w:t>
            </w:r>
          </w:p>
          <w:p w14:paraId="10F7654A" w14:textId="77777777" w:rsidR="00DB76CD" w:rsidRPr="00DF4CE5" w:rsidRDefault="00DB76CD" w:rsidP="00A034E3">
            <w:pPr>
              <w:numPr>
                <w:ilvl w:val="0"/>
                <w:numId w:val="42"/>
              </w:numPr>
              <w:spacing w:before="280" w:after="280" w:line="240" w:lineRule="auto"/>
              <w:contextualSpacing/>
              <w:rPr>
                <w:rFonts w:ascii="Cambria" w:eastAsia="Times New Roman" w:hAnsi="Cambria" w:cs="Times New Roman"/>
                <w:lang w:val="hr-HR"/>
              </w:rPr>
            </w:pPr>
            <w:r w:rsidRPr="00DF4CE5">
              <w:rPr>
                <w:rFonts w:ascii="Cambria" w:eastAsia="Times New Roman" w:hAnsi="Cambria" w:cs="Times New Roman"/>
                <w:bCs/>
                <w:lang w:val="hr-HR"/>
              </w:rPr>
              <w:lastRenderedPageBreak/>
              <w:t>Božićni iz suvremenog života</w:t>
            </w:r>
            <w:r w:rsidRPr="00DF4CE5">
              <w:rPr>
                <w:rFonts w:ascii="Cambria" w:eastAsia="Times New Roman" w:hAnsi="Cambria" w:cs="Times New Roman"/>
                <w:lang w:val="hr-HR"/>
              </w:rPr>
              <w:br/>
              <w:t>Božićni iz suvremenog života. - 252 str. - (Biblioteka U pravi trenutak ; 174)</w:t>
            </w:r>
          </w:p>
          <w:p w14:paraId="7DF584F2" w14:textId="77777777" w:rsidR="00DB76CD" w:rsidRPr="00DF4CE5" w:rsidRDefault="00DB76CD" w:rsidP="00A034E3">
            <w:pPr>
              <w:numPr>
                <w:ilvl w:val="0"/>
                <w:numId w:val="42"/>
              </w:numPr>
              <w:spacing w:before="280" w:after="280" w:line="240" w:lineRule="auto"/>
              <w:contextualSpacing/>
              <w:rPr>
                <w:rFonts w:ascii="Cambria" w:eastAsia="Times New Roman" w:hAnsi="Cambria" w:cs="Times New Roman"/>
                <w:bCs/>
                <w:iCs/>
                <w:lang w:val="hr-HR"/>
              </w:rPr>
            </w:pPr>
            <w:r w:rsidRPr="00DF4CE5">
              <w:rPr>
                <w:rFonts w:ascii="Cambria" w:eastAsia="Times New Roman" w:hAnsi="Cambria" w:cs="Times New Roman"/>
                <w:bCs/>
                <w:iCs/>
                <w:lang w:val="hr-HR"/>
              </w:rPr>
              <w:t>Teme: Eskalacija problemskih situacija u obitelji u vrijeme Božića: obitelj živi razdvojeno, roditelji pred razvodom, alkohol razara obitelj</w:t>
            </w:r>
          </w:p>
          <w:p w14:paraId="4EFA398A" w14:textId="77777777" w:rsidR="00DB76CD" w:rsidRPr="00DF4CE5" w:rsidRDefault="00DB76CD" w:rsidP="00A034E3">
            <w:pPr>
              <w:numPr>
                <w:ilvl w:val="0"/>
                <w:numId w:val="42"/>
              </w:numPr>
              <w:spacing w:before="280" w:after="280" w:line="240" w:lineRule="auto"/>
              <w:contextualSpacing/>
              <w:rPr>
                <w:rFonts w:ascii="Cambria" w:eastAsia="Times New Roman" w:hAnsi="Cambria" w:cs="Times New Roman"/>
                <w:iCs/>
                <w:lang w:val="hr-HR"/>
              </w:rPr>
            </w:pPr>
            <w:r w:rsidRPr="00DF4CE5">
              <w:rPr>
                <w:rFonts w:ascii="Cambria" w:eastAsia="Times New Roman" w:hAnsi="Cambria" w:cs="Times New Roman"/>
                <w:bCs/>
                <w:lang w:val="hr-HR"/>
              </w:rPr>
              <w:t>Gavran, Miro, 1961-</w:t>
            </w:r>
            <w:r w:rsidRPr="00DF4CE5">
              <w:rPr>
                <w:rFonts w:ascii="Cambria" w:eastAsia="Times New Roman" w:hAnsi="Cambria" w:cs="Times New Roman"/>
                <w:lang w:val="hr-HR"/>
              </w:rPr>
              <w:br/>
              <w:t xml:space="preserve">Igrokazi s glavom i repom : osam lutkarskih igrokaza / Miro Gavran. - Zagreb : Međunarodni centar za usluge u kulturi, 1995. - 134 str. : </w:t>
            </w:r>
            <w:proofErr w:type="spellStart"/>
            <w:r w:rsidRPr="00DF4CE5">
              <w:rPr>
                <w:rFonts w:ascii="Cambria" w:eastAsia="Times New Roman" w:hAnsi="Cambria" w:cs="Times New Roman"/>
                <w:lang w:val="hr-HR"/>
              </w:rPr>
              <w:t>ilustr</w:t>
            </w:r>
            <w:proofErr w:type="spellEnd"/>
            <w:r w:rsidRPr="00DF4CE5">
              <w:rPr>
                <w:rFonts w:ascii="Cambria" w:eastAsia="Times New Roman" w:hAnsi="Cambria" w:cs="Times New Roman"/>
                <w:lang w:val="hr-HR"/>
              </w:rPr>
              <w:t xml:space="preserve">. ; 20 cm. - (Biblioteka </w:t>
            </w:r>
            <w:proofErr w:type="spellStart"/>
            <w:r w:rsidRPr="00DF4CE5">
              <w:rPr>
                <w:rFonts w:ascii="Cambria" w:eastAsia="Times New Roman" w:hAnsi="Cambria" w:cs="Times New Roman"/>
                <w:lang w:val="hr-HR"/>
              </w:rPr>
              <w:t>Lutkanija</w:t>
            </w:r>
            <w:proofErr w:type="spellEnd"/>
            <w:r w:rsidRPr="00DF4CE5">
              <w:rPr>
                <w:rFonts w:ascii="Cambria" w:eastAsia="Times New Roman" w:hAnsi="Cambria" w:cs="Times New Roman"/>
                <w:lang w:val="hr-HR"/>
              </w:rPr>
              <w:t xml:space="preserve">)           </w:t>
            </w:r>
            <w:r w:rsidRPr="00DF4CE5">
              <w:rPr>
                <w:rFonts w:ascii="Cambria" w:eastAsia="Times New Roman" w:hAnsi="Cambria" w:cs="Times New Roman"/>
                <w:bCs/>
                <w:iCs/>
                <w:lang w:val="hr-HR"/>
              </w:rPr>
              <w:t xml:space="preserve">Preporuka: “Tata na dar “ </w:t>
            </w:r>
            <w:r w:rsidRPr="00DF4CE5">
              <w:rPr>
                <w:rFonts w:ascii="Cambria" w:eastAsia="Times New Roman" w:hAnsi="Cambria" w:cs="Times New Roman"/>
                <w:iCs/>
                <w:lang w:val="hr-HR"/>
              </w:rPr>
              <w:t xml:space="preserve">/ Božić / obitelj ponovno na okupu / </w:t>
            </w:r>
          </w:p>
          <w:p w14:paraId="707E4643" w14:textId="77777777" w:rsidR="00DB76CD" w:rsidRPr="00DF4CE5" w:rsidRDefault="00DB76CD" w:rsidP="00A034E3">
            <w:pPr>
              <w:numPr>
                <w:ilvl w:val="0"/>
                <w:numId w:val="42"/>
              </w:numPr>
              <w:spacing w:before="280" w:after="280" w:line="240" w:lineRule="auto"/>
              <w:contextualSpacing/>
              <w:rPr>
                <w:rFonts w:ascii="Cambria" w:eastAsia="Times New Roman" w:hAnsi="Cambria" w:cs="Times New Roman"/>
                <w:lang w:val="hr-HR"/>
              </w:rPr>
            </w:pPr>
            <w:proofErr w:type="spellStart"/>
            <w:r w:rsidRPr="00DF4CE5">
              <w:rPr>
                <w:rFonts w:ascii="Cambria" w:eastAsia="Times New Roman" w:hAnsi="Cambria" w:cs="Times New Roman"/>
                <w:bCs/>
                <w:lang w:val="hr-HR"/>
              </w:rPr>
              <w:t>Kolumbić</w:t>
            </w:r>
            <w:proofErr w:type="spellEnd"/>
            <w:r w:rsidRPr="00DF4CE5">
              <w:rPr>
                <w:rFonts w:ascii="Cambria" w:eastAsia="Times New Roman" w:hAnsi="Cambria" w:cs="Times New Roman"/>
                <w:bCs/>
                <w:lang w:val="hr-HR"/>
              </w:rPr>
              <w:t>, Tin, 1936-</w:t>
            </w:r>
            <w:r w:rsidRPr="00DF4CE5">
              <w:rPr>
                <w:rFonts w:ascii="Cambria" w:eastAsia="Times New Roman" w:hAnsi="Cambria" w:cs="Times New Roman"/>
                <w:lang w:val="hr-HR"/>
              </w:rPr>
              <w:br/>
              <w:t xml:space="preserve">Sat ljubavi : zbirka igrokaza za djecu i mladež / Tin </w:t>
            </w:r>
            <w:proofErr w:type="spellStart"/>
            <w:r w:rsidRPr="00DF4CE5">
              <w:rPr>
                <w:rFonts w:ascii="Cambria" w:eastAsia="Times New Roman" w:hAnsi="Cambria" w:cs="Times New Roman"/>
                <w:lang w:val="hr-HR"/>
              </w:rPr>
              <w:t>Kolumbić</w:t>
            </w:r>
            <w:proofErr w:type="spellEnd"/>
            <w:r w:rsidRPr="00DF4CE5">
              <w:rPr>
                <w:rFonts w:ascii="Cambria" w:eastAsia="Times New Roman" w:hAnsi="Cambria" w:cs="Times New Roman"/>
                <w:lang w:val="hr-HR"/>
              </w:rPr>
              <w:t>. - Zagreb : Školska knjiga, 2004. - 167 str. ; 24 cm</w:t>
            </w:r>
          </w:p>
          <w:p w14:paraId="375A5E18" w14:textId="77777777" w:rsidR="00DB76CD" w:rsidRPr="00DF4CE5" w:rsidRDefault="00DB76CD" w:rsidP="00A034E3">
            <w:pPr>
              <w:numPr>
                <w:ilvl w:val="0"/>
                <w:numId w:val="42"/>
              </w:numPr>
              <w:spacing w:before="280" w:after="280" w:line="240" w:lineRule="auto"/>
              <w:contextualSpacing/>
              <w:rPr>
                <w:rFonts w:ascii="Cambria" w:eastAsia="Times New Roman" w:hAnsi="Cambria" w:cs="Times New Roman"/>
                <w:iCs/>
                <w:lang w:val="hr-HR"/>
              </w:rPr>
            </w:pPr>
            <w:r w:rsidRPr="00DF4CE5">
              <w:rPr>
                <w:rFonts w:ascii="Cambria" w:eastAsia="Times New Roman" w:hAnsi="Cambria" w:cs="Times New Roman"/>
                <w:lang w:val="hr-HR"/>
              </w:rPr>
              <w:t xml:space="preserve">Knjiga sadrži jedanaest igrokaza koji su simbolično i </w:t>
            </w:r>
            <w:proofErr w:type="spellStart"/>
            <w:r w:rsidRPr="00DF4CE5">
              <w:rPr>
                <w:rFonts w:ascii="Cambria" w:eastAsia="Times New Roman" w:hAnsi="Cambria" w:cs="Times New Roman"/>
                <w:lang w:val="hr-HR"/>
              </w:rPr>
              <w:t>sižejno</w:t>
            </w:r>
            <w:proofErr w:type="spellEnd"/>
            <w:r w:rsidRPr="00DF4CE5">
              <w:rPr>
                <w:rFonts w:ascii="Cambria" w:eastAsia="Times New Roman" w:hAnsi="Cambria" w:cs="Times New Roman"/>
                <w:lang w:val="hr-HR"/>
              </w:rPr>
              <w:t xml:space="preserve"> određeni naslovom zbirke, jer motiv ljubavi vezivo je i osnovna nit dramskog zbivanja u svakom igrokazu. Dva igrokaza pisana su čakavskim narječjem. Igrokaz "Radujte se narodi" uveličat će božićne blagdane. Opsegom i prividnom jednostavnošću te minimumom scenografskih i </w:t>
            </w:r>
            <w:proofErr w:type="spellStart"/>
            <w:r w:rsidRPr="00DF4CE5">
              <w:rPr>
                <w:rFonts w:ascii="Cambria" w:eastAsia="Times New Roman" w:hAnsi="Cambria" w:cs="Times New Roman"/>
                <w:lang w:val="hr-HR"/>
              </w:rPr>
              <w:t>kostimografskih</w:t>
            </w:r>
            <w:proofErr w:type="spellEnd"/>
            <w:r w:rsidRPr="00DF4CE5">
              <w:rPr>
                <w:rFonts w:ascii="Cambria" w:eastAsia="Times New Roman" w:hAnsi="Cambria" w:cs="Times New Roman"/>
                <w:lang w:val="hr-HR"/>
              </w:rPr>
              <w:t xml:space="preserve"> zadanosti, scenske igre iz ove zbirke dobrodošle su školskim dramskim družinama. Mladi glumci susrest će se sa vješto rimovanim i duhovitim monolozima i dijalozima, kao i mogućnošću osobne kreativnosti na sceni. Metrička čistoća većine stihova u ovim igrokazima pruža mogućnost da se takve predstave oplemene jednostavnim glazbenim brojevima. </w:t>
            </w:r>
            <w:r w:rsidRPr="00DF4CE5">
              <w:rPr>
                <w:rFonts w:ascii="Cambria" w:eastAsia="Times New Roman" w:hAnsi="Cambria" w:cs="Times New Roman"/>
                <w:lang w:val="hr-HR"/>
              </w:rPr>
              <w:br/>
            </w:r>
            <w:r w:rsidRPr="00DF4CE5">
              <w:rPr>
                <w:rFonts w:ascii="Cambria" w:eastAsia="Times New Roman" w:hAnsi="Cambria" w:cs="Times New Roman"/>
                <w:bCs/>
                <w:iCs/>
                <w:lang w:val="hr-HR"/>
              </w:rPr>
              <w:t xml:space="preserve">Preporuka: “Radujte se narodi” </w:t>
            </w:r>
            <w:r w:rsidRPr="00DF4CE5">
              <w:rPr>
                <w:rFonts w:ascii="Cambria" w:eastAsia="Times New Roman" w:hAnsi="Cambria" w:cs="Times New Roman"/>
                <w:iCs/>
                <w:lang w:val="hr-HR"/>
              </w:rPr>
              <w:t xml:space="preserve">/ </w:t>
            </w:r>
            <w:proofErr w:type="spellStart"/>
            <w:r w:rsidRPr="00DF4CE5">
              <w:rPr>
                <w:rFonts w:ascii="Cambria" w:eastAsia="Times New Roman" w:hAnsi="Cambria" w:cs="Times New Roman"/>
                <w:iCs/>
                <w:lang w:val="hr-HR"/>
              </w:rPr>
              <w:t>božični</w:t>
            </w:r>
            <w:proofErr w:type="spellEnd"/>
            <w:r w:rsidRPr="00DF4CE5">
              <w:rPr>
                <w:rFonts w:ascii="Cambria" w:eastAsia="Times New Roman" w:hAnsi="Cambria" w:cs="Times New Roman"/>
                <w:iCs/>
                <w:lang w:val="hr-HR"/>
              </w:rPr>
              <w:t xml:space="preserve"> /</w:t>
            </w:r>
          </w:p>
          <w:p w14:paraId="20D88BF9" w14:textId="77777777" w:rsidR="00DB76CD" w:rsidRPr="00DF4CE5" w:rsidRDefault="00DB76CD" w:rsidP="00A034E3">
            <w:pPr>
              <w:numPr>
                <w:ilvl w:val="0"/>
                <w:numId w:val="42"/>
              </w:numPr>
              <w:spacing w:before="280" w:after="280" w:line="240" w:lineRule="auto"/>
              <w:contextualSpacing/>
              <w:rPr>
                <w:rFonts w:ascii="Cambria" w:eastAsia="Times New Roman" w:hAnsi="Cambria" w:cs="Times New Roman"/>
                <w:iCs/>
                <w:lang w:val="hr-HR"/>
              </w:rPr>
            </w:pPr>
            <w:proofErr w:type="spellStart"/>
            <w:r w:rsidRPr="00DF4CE5">
              <w:rPr>
                <w:rFonts w:ascii="Cambria" w:eastAsia="Times New Roman" w:hAnsi="Cambria" w:cs="Times New Roman"/>
                <w:bCs/>
                <w:lang w:val="hr-HR"/>
              </w:rPr>
              <w:t>Kosec-Torjanac</w:t>
            </w:r>
            <w:proofErr w:type="spellEnd"/>
            <w:r w:rsidRPr="00DF4CE5">
              <w:rPr>
                <w:rFonts w:ascii="Cambria" w:eastAsia="Times New Roman" w:hAnsi="Cambria" w:cs="Times New Roman"/>
                <w:bCs/>
                <w:lang w:val="hr-HR"/>
              </w:rPr>
              <w:t>, Vesna</w:t>
            </w:r>
            <w:r w:rsidRPr="00DF4CE5">
              <w:rPr>
                <w:rFonts w:ascii="Cambria" w:eastAsia="Times New Roman" w:hAnsi="Cambria" w:cs="Times New Roman"/>
                <w:lang w:val="hr-HR"/>
              </w:rPr>
              <w:br/>
              <w:t xml:space="preserve">Veselo, šareno, maleno : (igrokazi za djecu) / Vesna </w:t>
            </w:r>
            <w:proofErr w:type="spellStart"/>
            <w:r w:rsidRPr="00DF4CE5">
              <w:rPr>
                <w:rFonts w:ascii="Cambria" w:eastAsia="Times New Roman" w:hAnsi="Cambria" w:cs="Times New Roman"/>
                <w:lang w:val="hr-HR"/>
              </w:rPr>
              <w:t>Kosec</w:t>
            </w:r>
            <w:proofErr w:type="spellEnd"/>
            <w:r w:rsidRPr="00DF4CE5">
              <w:rPr>
                <w:rFonts w:ascii="Cambria" w:eastAsia="Times New Roman" w:hAnsi="Cambria" w:cs="Times New Roman"/>
                <w:lang w:val="hr-HR"/>
              </w:rPr>
              <w:t xml:space="preserve"> - </w:t>
            </w:r>
            <w:proofErr w:type="spellStart"/>
            <w:r w:rsidRPr="00DF4CE5">
              <w:rPr>
                <w:rFonts w:ascii="Cambria" w:eastAsia="Times New Roman" w:hAnsi="Cambria" w:cs="Times New Roman"/>
                <w:lang w:val="hr-HR"/>
              </w:rPr>
              <w:t>Torjanac</w:t>
            </w:r>
            <w:proofErr w:type="spellEnd"/>
            <w:r w:rsidRPr="00DF4CE5">
              <w:rPr>
                <w:rFonts w:ascii="Cambria" w:eastAsia="Times New Roman" w:hAnsi="Cambria" w:cs="Times New Roman"/>
                <w:lang w:val="hr-HR"/>
              </w:rPr>
              <w:t xml:space="preserve"> ; &lt;ilustracije Ivan Haramija - Hans&gt;. - Varaždinske Toplice : Tonimir, 1997. - 159 str. : </w:t>
            </w:r>
            <w:proofErr w:type="spellStart"/>
            <w:r w:rsidRPr="00DF4CE5">
              <w:rPr>
                <w:rFonts w:ascii="Cambria" w:eastAsia="Times New Roman" w:hAnsi="Cambria" w:cs="Times New Roman"/>
                <w:lang w:val="hr-HR"/>
              </w:rPr>
              <w:t>ilustr</w:t>
            </w:r>
            <w:proofErr w:type="spellEnd"/>
            <w:r w:rsidRPr="00DF4CE5">
              <w:rPr>
                <w:rFonts w:ascii="Cambria" w:eastAsia="Times New Roman" w:hAnsi="Cambria" w:cs="Times New Roman"/>
                <w:lang w:val="hr-HR"/>
              </w:rPr>
              <w:t xml:space="preserve">. ; 20 cm. - (Biblioteka Veselo, šareno, maleno ; knj. 1)                                             </w:t>
            </w:r>
            <w:r w:rsidRPr="00DF4CE5">
              <w:rPr>
                <w:rFonts w:ascii="Cambria" w:eastAsia="Times New Roman" w:hAnsi="Cambria" w:cs="Times New Roman"/>
                <w:bCs/>
                <w:iCs/>
                <w:lang w:val="hr-HR"/>
              </w:rPr>
              <w:t>Preporuka: “</w:t>
            </w:r>
            <w:proofErr w:type="spellStart"/>
            <w:r w:rsidRPr="00DF4CE5">
              <w:rPr>
                <w:rFonts w:ascii="Cambria" w:eastAsia="Times New Roman" w:hAnsi="Cambria" w:cs="Times New Roman"/>
                <w:bCs/>
                <w:iCs/>
                <w:lang w:val="hr-HR"/>
              </w:rPr>
              <w:t>Videl</w:t>
            </w:r>
            <w:proofErr w:type="spellEnd"/>
            <w:r w:rsidRPr="00DF4CE5">
              <w:rPr>
                <w:rFonts w:ascii="Cambria" w:eastAsia="Times New Roman" w:hAnsi="Cambria" w:cs="Times New Roman"/>
                <w:bCs/>
                <w:iCs/>
                <w:lang w:val="hr-HR"/>
              </w:rPr>
              <w:t xml:space="preserve"> sam </w:t>
            </w:r>
            <w:proofErr w:type="spellStart"/>
            <w:r w:rsidRPr="00DF4CE5">
              <w:rPr>
                <w:rFonts w:ascii="Cambria" w:eastAsia="Times New Roman" w:hAnsi="Cambria" w:cs="Times New Roman"/>
                <w:bCs/>
                <w:iCs/>
                <w:lang w:val="hr-HR"/>
              </w:rPr>
              <w:t>Jezuša</w:t>
            </w:r>
            <w:proofErr w:type="spellEnd"/>
            <w:r w:rsidRPr="00DF4CE5">
              <w:rPr>
                <w:rFonts w:ascii="Cambria" w:eastAsia="Times New Roman" w:hAnsi="Cambria" w:cs="Times New Roman"/>
                <w:bCs/>
                <w:iCs/>
                <w:lang w:val="hr-HR"/>
              </w:rPr>
              <w:t xml:space="preserve">” </w:t>
            </w:r>
            <w:r w:rsidRPr="00DF4CE5">
              <w:rPr>
                <w:rFonts w:ascii="Cambria" w:eastAsia="Times New Roman" w:hAnsi="Cambria" w:cs="Times New Roman"/>
                <w:iCs/>
                <w:lang w:val="hr-HR"/>
              </w:rPr>
              <w:t xml:space="preserve">/ božićni na kajkavskom narječju / </w:t>
            </w:r>
          </w:p>
          <w:p w14:paraId="2E7E8D59" w14:textId="77777777" w:rsidR="00DB76CD" w:rsidRPr="00DF4CE5" w:rsidRDefault="00DB76CD" w:rsidP="00A034E3">
            <w:pPr>
              <w:numPr>
                <w:ilvl w:val="0"/>
                <w:numId w:val="42"/>
              </w:numPr>
              <w:spacing w:before="280" w:after="280" w:line="240" w:lineRule="auto"/>
              <w:contextualSpacing/>
              <w:rPr>
                <w:rFonts w:ascii="Cambria" w:eastAsia="Times New Roman" w:hAnsi="Cambria" w:cs="Times New Roman"/>
                <w:iCs/>
                <w:lang w:val="hr-HR"/>
              </w:rPr>
            </w:pPr>
            <w:proofErr w:type="spellStart"/>
            <w:r w:rsidRPr="00DF4CE5">
              <w:rPr>
                <w:rFonts w:ascii="Cambria" w:eastAsia="Times New Roman" w:hAnsi="Cambria" w:cs="Times New Roman"/>
                <w:bCs/>
                <w:lang w:val="hr-HR"/>
              </w:rPr>
              <w:t>Krilić</w:t>
            </w:r>
            <w:proofErr w:type="spellEnd"/>
            <w:r w:rsidRPr="00DF4CE5">
              <w:rPr>
                <w:rFonts w:ascii="Cambria" w:eastAsia="Times New Roman" w:hAnsi="Cambria" w:cs="Times New Roman"/>
                <w:bCs/>
                <w:lang w:val="hr-HR"/>
              </w:rPr>
              <w:t>, Zlatko, 1955-</w:t>
            </w:r>
            <w:r w:rsidRPr="00DF4CE5">
              <w:rPr>
                <w:rFonts w:ascii="Cambria" w:eastAsia="Times New Roman" w:hAnsi="Cambria" w:cs="Times New Roman"/>
                <w:lang w:val="hr-HR"/>
              </w:rPr>
              <w:br/>
              <w:t xml:space="preserve">Krilate lutke : sedam lutkarskih igrokaza / Zlatko </w:t>
            </w:r>
            <w:proofErr w:type="spellStart"/>
            <w:r w:rsidRPr="00DF4CE5">
              <w:rPr>
                <w:rFonts w:ascii="Cambria" w:eastAsia="Times New Roman" w:hAnsi="Cambria" w:cs="Times New Roman"/>
                <w:lang w:val="hr-HR"/>
              </w:rPr>
              <w:t>Krilić</w:t>
            </w:r>
            <w:proofErr w:type="spellEnd"/>
            <w:r w:rsidRPr="00DF4CE5">
              <w:rPr>
                <w:rFonts w:ascii="Cambria" w:eastAsia="Times New Roman" w:hAnsi="Cambria" w:cs="Times New Roman"/>
                <w:lang w:val="hr-HR"/>
              </w:rPr>
              <w:t xml:space="preserve">. - Zagreb : Međunarodni centar za usluge u kulturi, 1994. - (Biblioteka </w:t>
            </w:r>
            <w:proofErr w:type="spellStart"/>
            <w:r w:rsidRPr="00DF4CE5">
              <w:rPr>
                <w:rFonts w:ascii="Cambria" w:eastAsia="Times New Roman" w:hAnsi="Cambria" w:cs="Times New Roman"/>
                <w:lang w:val="hr-HR"/>
              </w:rPr>
              <w:t>Lutkanija</w:t>
            </w:r>
            <w:proofErr w:type="spellEnd"/>
            <w:r w:rsidRPr="00DF4CE5">
              <w:rPr>
                <w:rFonts w:ascii="Cambria" w:eastAsia="Times New Roman" w:hAnsi="Cambria" w:cs="Times New Roman"/>
                <w:lang w:val="hr-HR"/>
              </w:rPr>
              <w:t xml:space="preserve">)                                                                                      </w:t>
            </w:r>
            <w:r w:rsidRPr="00DF4CE5">
              <w:rPr>
                <w:rFonts w:ascii="Cambria" w:eastAsia="Times New Roman" w:hAnsi="Cambria" w:cs="Times New Roman"/>
                <w:bCs/>
                <w:iCs/>
                <w:lang w:val="hr-HR"/>
              </w:rPr>
              <w:t xml:space="preserve">Preporuka: „Zlatno srce Nikolino“ </w:t>
            </w:r>
            <w:r w:rsidRPr="00DF4CE5">
              <w:rPr>
                <w:rFonts w:ascii="Cambria" w:eastAsia="Times New Roman" w:hAnsi="Cambria" w:cs="Times New Roman"/>
                <w:iCs/>
                <w:lang w:val="hr-HR"/>
              </w:rPr>
              <w:t>/ Nikolinje /</w:t>
            </w:r>
          </w:p>
          <w:p w14:paraId="48016A85" w14:textId="77777777" w:rsidR="00DB76CD" w:rsidRPr="00DF4CE5" w:rsidRDefault="00DB76CD" w:rsidP="00A034E3">
            <w:pPr>
              <w:numPr>
                <w:ilvl w:val="0"/>
                <w:numId w:val="42"/>
              </w:numPr>
              <w:spacing w:before="280" w:after="280" w:line="240" w:lineRule="auto"/>
              <w:contextualSpacing/>
              <w:rPr>
                <w:rFonts w:ascii="Cambria" w:eastAsia="Times New Roman" w:hAnsi="Cambria" w:cs="Times New Roman"/>
                <w:iCs/>
                <w:lang w:val="hr-HR"/>
              </w:rPr>
            </w:pPr>
            <w:r w:rsidRPr="00DF4CE5">
              <w:rPr>
                <w:rFonts w:ascii="Cambria" w:eastAsia="Times New Roman" w:hAnsi="Cambria" w:cs="Times New Roman"/>
                <w:bCs/>
                <w:lang w:val="hr-HR"/>
              </w:rPr>
              <w:t xml:space="preserve">Maštoviti svijet </w:t>
            </w:r>
            <w:r w:rsidRPr="00DF4CE5">
              <w:rPr>
                <w:rFonts w:ascii="Cambria" w:eastAsia="Times New Roman" w:hAnsi="Cambria" w:cs="Times New Roman"/>
                <w:lang w:val="hr-HR"/>
              </w:rPr>
              <w:br/>
              <w:t xml:space="preserve">Maštoviti svijet : igrokazi za dane dječje radosti / &lt;glavni urednik Emil </w:t>
            </w:r>
            <w:proofErr w:type="spellStart"/>
            <w:r w:rsidRPr="00DF4CE5">
              <w:rPr>
                <w:rFonts w:ascii="Cambria" w:eastAsia="Times New Roman" w:hAnsi="Cambria" w:cs="Times New Roman"/>
                <w:lang w:val="hr-HR"/>
              </w:rPr>
              <w:t>Paravina</w:t>
            </w:r>
            <w:proofErr w:type="spellEnd"/>
            <w:r w:rsidRPr="00DF4CE5">
              <w:rPr>
                <w:rFonts w:ascii="Cambria" w:eastAsia="Times New Roman" w:hAnsi="Cambria" w:cs="Times New Roman"/>
                <w:lang w:val="hr-HR"/>
              </w:rPr>
              <w:t xml:space="preserve">&gt;. - Zagreb : Savez društava "Naša djeca", 1980. - 131 str. ; 21 cm                                                            </w:t>
            </w:r>
            <w:r w:rsidRPr="00DF4CE5">
              <w:rPr>
                <w:rFonts w:ascii="Cambria" w:eastAsia="Times New Roman" w:hAnsi="Cambria" w:cs="Times New Roman"/>
                <w:bCs/>
                <w:iCs/>
                <w:lang w:val="hr-HR"/>
              </w:rPr>
              <w:t xml:space="preserve">Preporuka: </w:t>
            </w:r>
            <w:proofErr w:type="spellStart"/>
            <w:r w:rsidRPr="00DF4CE5">
              <w:rPr>
                <w:rFonts w:ascii="Cambria" w:eastAsia="Times New Roman" w:hAnsi="Cambria" w:cs="Times New Roman"/>
                <w:bCs/>
                <w:iCs/>
                <w:lang w:val="hr-HR"/>
              </w:rPr>
              <w:t>Ladika-Tulač</w:t>
            </w:r>
            <w:proofErr w:type="spellEnd"/>
            <w:r w:rsidRPr="00DF4CE5">
              <w:rPr>
                <w:rFonts w:ascii="Cambria" w:eastAsia="Times New Roman" w:hAnsi="Cambria" w:cs="Times New Roman"/>
                <w:bCs/>
                <w:iCs/>
                <w:lang w:val="hr-HR"/>
              </w:rPr>
              <w:t xml:space="preserve">: “Pismo za djeda Mraza” </w:t>
            </w:r>
            <w:r w:rsidRPr="00DF4CE5">
              <w:rPr>
                <w:rFonts w:ascii="Cambria" w:eastAsia="Times New Roman" w:hAnsi="Cambria" w:cs="Times New Roman"/>
                <w:iCs/>
                <w:lang w:val="hr-HR"/>
              </w:rPr>
              <w:t>/zahtjevan igrokaz s pjevanjem / ,</w:t>
            </w:r>
            <w:r w:rsidRPr="00DF4CE5">
              <w:rPr>
                <w:rFonts w:ascii="Cambria" w:eastAsia="Times New Roman" w:hAnsi="Cambria" w:cs="Times New Roman"/>
                <w:bCs/>
                <w:iCs/>
                <w:lang w:val="hr-HR"/>
              </w:rPr>
              <w:t xml:space="preserve"> “Ima još spasa za Djeda Mraza” </w:t>
            </w:r>
            <w:r w:rsidRPr="00DF4CE5">
              <w:rPr>
                <w:rFonts w:ascii="Cambria" w:eastAsia="Times New Roman" w:hAnsi="Cambria" w:cs="Times New Roman"/>
                <w:iCs/>
                <w:lang w:val="hr-HR"/>
              </w:rPr>
              <w:t>/jednostavan, humoristički /</w:t>
            </w:r>
          </w:p>
          <w:p w14:paraId="79604C53" w14:textId="77777777" w:rsidR="00DB76CD" w:rsidRPr="00DF4CE5" w:rsidRDefault="00DB76CD" w:rsidP="00A034E3">
            <w:pPr>
              <w:numPr>
                <w:ilvl w:val="0"/>
                <w:numId w:val="42"/>
              </w:numPr>
              <w:spacing w:before="280" w:after="280" w:line="240" w:lineRule="auto"/>
              <w:contextualSpacing/>
              <w:rPr>
                <w:rFonts w:ascii="Cambria" w:eastAsia="Times New Roman" w:hAnsi="Cambria" w:cs="Times New Roman"/>
                <w:lang w:val="hr-HR"/>
              </w:rPr>
            </w:pPr>
            <w:proofErr w:type="spellStart"/>
            <w:r w:rsidRPr="00DF4CE5">
              <w:rPr>
                <w:rFonts w:ascii="Cambria" w:eastAsia="Times New Roman" w:hAnsi="Cambria" w:cs="Times New Roman"/>
                <w:bCs/>
                <w:lang w:val="hr-HR"/>
              </w:rPr>
              <w:t>Muršić</w:t>
            </w:r>
            <w:proofErr w:type="spellEnd"/>
            <w:r w:rsidRPr="00DF4CE5">
              <w:rPr>
                <w:rFonts w:ascii="Cambria" w:eastAsia="Times New Roman" w:hAnsi="Cambria" w:cs="Times New Roman"/>
                <w:bCs/>
                <w:lang w:val="hr-HR"/>
              </w:rPr>
              <w:t>, Miljenko, 1954-</w:t>
            </w:r>
            <w:r w:rsidRPr="00DF4CE5">
              <w:rPr>
                <w:rFonts w:ascii="Cambria" w:eastAsia="Times New Roman" w:hAnsi="Cambria" w:cs="Times New Roman"/>
                <w:lang w:val="hr-HR"/>
              </w:rPr>
              <w:br/>
              <w:t xml:space="preserve">Tajfun, kompjutor Svetog Nikole : igrokaz za mladež i </w:t>
            </w:r>
            <w:proofErr w:type="spellStart"/>
            <w:r w:rsidRPr="00DF4CE5">
              <w:rPr>
                <w:rFonts w:ascii="Cambria" w:eastAsia="Times New Roman" w:hAnsi="Cambria" w:cs="Times New Roman"/>
                <w:lang w:val="hr-HR"/>
              </w:rPr>
              <w:t>starež</w:t>
            </w:r>
            <w:proofErr w:type="spellEnd"/>
            <w:r w:rsidRPr="00DF4CE5">
              <w:rPr>
                <w:rFonts w:ascii="Cambria" w:eastAsia="Times New Roman" w:hAnsi="Cambria" w:cs="Times New Roman"/>
                <w:lang w:val="hr-HR"/>
              </w:rPr>
              <w:t xml:space="preserve"> ; Tekst i </w:t>
            </w:r>
            <w:proofErr w:type="spellStart"/>
            <w:r w:rsidRPr="00DF4CE5">
              <w:rPr>
                <w:rFonts w:ascii="Cambria" w:eastAsia="Times New Roman" w:hAnsi="Cambria" w:cs="Times New Roman"/>
                <w:lang w:val="hr-HR"/>
              </w:rPr>
              <w:t>i</w:t>
            </w:r>
            <w:proofErr w:type="spellEnd"/>
            <w:r w:rsidRPr="00DF4CE5">
              <w:rPr>
                <w:rFonts w:ascii="Cambria" w:eastAsia="Times New Roman" w:hAnsi="Cambria" w:cs="Times New Roman"/>
                <w:lang w:val="hr-HR"/>
              </w:rPr>
              <w:t xml:space="preserve"> predstava ("</w:t>
            </w:r>
            <w:proofErr w:type="spellStart"/>
            <w:r w:rsidRPr="00DF4CE5">
              <w:rPr>
                <w:rFonts w:ascii="Cambria" w:eastAsia="Times New Roman" w:hAnsi="Cambria" w:cs="Times New Roman"/>
                <w:lang w:val="hr-HR"/>
              </w:rPr>
              <w:t>čavrljaji</w:t>
            </w:r>
            <w:proofErr w:type="spellEnd"/>
            <w:r w:rsidRPr="00DF4CE5">
              <w:rPr>
                <w:rFonts w:ascii="Cambria" w:eastAsia="Times New Roman" w:hAnsi="Cambria" w:cs="Times New Roman"/>
                <w:lang w:val="hr-HR"/>
              </w:rPr>
              <w:t xml:space="preserve">") / Miljenko </w:t>
            </w:r>
            <w:proofErr w:type="spellStart"/>
            <w:r w:rsidRPr="00DF4CE5">
              <w:rPr>
                <w:rFonts w:ascii="Cambria" w:eastAsia="Times New Roman" w:hAnsi="Cambria" w:cs="Times New Roman"/>
                <w:lang w:val="hr-HR"/>
              </w:rPr>
              <w:t>Muršić</w:t>
            </w:r>
            <w:proofErr w:type="spellEnd"/>
            <w:r w:rsidRPr="00DF4CE5">
              <w:rPr>
                <w:rFonts w:ascii="Cambria" w:eastAsia="Times New Roman" w:hAnsi="Cambria" w:cs="Times New Roman"/>
                <w:lang w:val="hr-HR"/>
              </w:rPr>
              <w:t xml:space="preserve"> ; ilustracije Mato &lt;</w:t>
            </w:r>
            <w:proofErr w:type="spellStart"/>
            <w:r w:rsidRPr="00DF4CE5">
              <w:rPr>
                <w:rFonts w:ascii="Cambria" w:eastAsia="Times New Roman" w:hAnsi="Cambria" w:cs="Times New Roman"/>
                <w:lang w:val="hr-HR"/>
              </w:rPr>
              <w:t>i.e</w:t>
            </w:r>
            <w:proofErr w:type="spellEnd"/>
            <w:r w:rsidRPr="00DF4CE5">
              <w:rPr>
                <w:rFonts w:ascii="Cambria" w:eastAsia="Times New Roman" w:hAnsi="Cambria" w:cs="Times New Roman"/>
                <w:lang w:val="hr-HR"/>
              </w:rPr>
              <w:t xml:space="preserve">. Mate&gt; Lovrić ; fotografije Robert </w:t>
            </w:r>
            <w:proofErr w:type="spellStart"/>
            <w:r w:rsidRPr="00DF4CE5">
              <w:rPr>
                <w:rFonts w:ascii="Cambria" w:eastAsia="Times New Roman" w:hAnsi="Cambria" w:cs="Times New Roman"/>
                <w:lang w:val="hr-HR"/>
              </w:rPr>
              <w:t>Valai</w:t>
            </w:r>
            <w:proofErr w:type="spellEnd"/>
            <w:r w:rsidRPr="00DF4CE5">
              <w:rPr>
                <w:rFonts w:ascii="Cambria" w:eastAsia="Times New Roman" w:hAnsi="Cambria" w:cs="Times New Roman"/>
                <w:lang w:val="hr-HR"/>
              </w:rPr>
              <w:t xml:space="preserve">. - Velika Gorica : </w:t>
            </w:r>
            <w:r w:rsidRPr="00DF4CE5">
              <w:rPr>
                <w:rFonts w:ascii="Cambria" w:eastAsia="Times New Roman" w:hAnsi="Cambria" w:cs="Times New Roman"/>
                <w:lang w:val="hr-HR"/>
              </w:rPr>
              <w:lastRenderedPageBreak/>
              <w:t xml:space="preserve">Glasnik Turopolja ; Čakovec : Međimurski književni krug </w:t>
            </w:r>
            <w:proofErr w:type="spellStart"/>
            <w:r w:rsidRPr="00DF4CE5">
              <w:rPr>
                <w:rFonts w:ascii="Cambria" w:eastAsia="Times New Roman" w:hAnsi="Cambria" w:cs="Times New Roman"/>
                <w:lang w:val="hr-HR"/>
              </w:rPr>
              <w:t>Rečirieč</w:t>
            </w:r>
            <w:proofErr w:type="spellEnd"/>
            <w:r w:rsidRPr="00DF4CE5">
              <w:rPr>
                <w:rFonts w:ascii="Cambria" w:eastAsia="Times New Roman" w:hAnsi="Cambria" w:cs="Times New Roman"/>
                <w:lang w:val="hr-HR"/>
              </w:rPr>
              <w:t xml:space="preserve">, &lt;1997?&gt;. - 110 str. : </w:t>
            </w:r>
            <w:proofErr w:type="spellStart"/>
            <w:r w:rsidRPr="00DF4CE5">
              <w:rPr>
                <w:rFonts w:ascii="Cambria" w:eastAsia="Times New Roman" w:hAnsi="Cambria" w:cs="Times New Roman"/>
                <w:lang w:val="hr-HR"/>
              </w:rPr>
              <w:t>ilustr</w:t>
            </w:r>
            <w:proofErr w:type="spellEnd"/>
            <w:r w:rsidRPr="00DF4CE5">
              <w:rPr>
                <w:rFonts w:ascii="Cambria" w:eastAsia="Times New Roman" w:hAnsi="Cambria" w:cs="Times New Roman"/>
                <w:lang w:val="hr-HR"/>
              </w:rPr>
              <w:t>. ; 21 cm</w:t>
            </w:r>
          </w:p>
          <w:p w14:paraId="7E5D0E73" w14:textId="77777777" w:rsidR="00DB76CD" w:rsidRPr="00DF4CE5" w:rsidRDefault="00DB76CD" w:rsidP="00A034E3">
            <w:pPr>
              <w:numPr>
                <w:ilvl w:val="0"/>
                <w:numId w:val="42"/>
              </w:numPr>
              <w:spacing w:before="280" w:after="280" w:line="240" w:lineRule="auto"/>
              <w:contextualSpacing/>
              <w:rPr>
                <w:rFonts w:ascii="Cambria" w:eastAsia="Times New Roman" w:hAnsi="Cambria" w:cs="Times New Roman"/>
                <w:lang w:val="hr-HR"/>
              </w:rPr>
            </w:pPr>
            <w:r w:rsidRPr="00DF4CE5">
              <w:rPr>
                <w:rFonts w:ascii="Cambria" w:eastAsia="Times New Roman" w:hAnsi="Cambria" w:cs="Times New Roman"/>
                <w:lang w:val="hr-HR"/>
              </w:rPr>
              <w:t xml:space="preserve">U prvom dijelu knjige tekst je igrokaza, izvedenog u kazalištu "Trešnja" 1996. godine. Riječ je o ljubavnim peripetijama Ljubice, Mirana, Mislava i Jasne a svoj udio u toj zbrci imaju i Sveti Nikola, te anđelčići sa imenima </w:t>
            </w:r>
            <w:proofErr w:type="spellStart"/>
            <w:r w:rsidRPr="00DF4CE5">
              <w:rPr>
                <w:rFonts w:ascii="Cambria" w:eastAsia="Times New Roman" w:hAnsi="Cambria" w:cs="Times New Roman"/>
                <w:lang w:val="hr-HR"/>
              </w:rPr>
              <w:t>Bombastik</w:t>
            </w:r>
            <w:proofErr w:type="spellEnd"/>
            <w:r w:rsidRPr="00DF4CE5">
              <w:rPr>
                <w:rFonts w:ascii="Cambria" w:eastAsia="Times New Roman" w:hAnsi="Cambria" w:cs="Times New Roman"/>
                <w:lang w:val="hr-HR"/>
              </w:rPr>
              <w:t xml:space="preserve">, Krampus i </w:t>
            </w:r>
            <w:proofErr w:type="spellStart"/>
            <w:r w:rsidRPr="00DF4CE5">
              <w:rPr>
                <w:rFonts w:ascii="Cambria" w:eastAsia="Times New Roman" w:hAnsi="Cambria" w:cs="Times New Roman"/>
                <w:lang w:val="hr-HR"/>
              </w:rPr>
              <w:t>Fantastik</w:t>
            </w:r>
            <w:proofErr w:type="spellEnd"/>
            <w:r w:rsidRPr="00DF4CE5">
              <w:rPr>
                <w:rFonts w:ascii="Cambria" w:eastAsia="Times New Roman" w:hAnsi="Cambria" w:cs="Times New Roman"/>
                <w:lang w:val="hr-HR"/>
              </w:rPr>
              <w:t xml:space="preserve">. Tu je i japanski </w:t>
            </w:r>
            <w:proofErr w:type="spellStart"/>
            <w:r w:rsidRPr="00DF4CE5">
              <w:rPr>
                <w:rFonts w:ascii="Cambria" w:eastAsia="Times New Roman" w:hAnsi="Cambria" w:cs="Times New Roman"/>
                <w:lang w:val="hr-HR"/>
              </w:rPr>
              <w:t>superkompjutor</w:t>
            </w:r>
            <w:proofErr w:type="spellEnd"/>
            <w:r w:rsidRPr="00DF4CE5">
              <w:rPr>
                <w:rFonts w:ascii="Cambria" w:eastAsia="Times New Roman" w:hAnsi="Cambria" w:cs="Times New Roman"/>
                <w:lang w:val="hr-HR"/>
              </w:rPr>
              <w:t xml:space="preserve">, model 786 - jao - </w:t>
            </w:r>
            <w:proofErr w:type="spellStart"/>
            <w:r w:rsidRPr="00DF4CE5">
              <w:rPr>
                <w:rFonts w:ascii="Cambria" w:eastAsia="Times New Roman" w:hAnsi="Cambria" w:cs="Times New Roman"/>
                <w:lang w:val="hr-HR"/>
              </w:rPr>
              <w:t>iks</w:t>
            </w:r>
            <w:proofErr w:type="spellEnd"/>
            <w:r w:rsidRPr="00DF4CE5">
              <w:rPr>
                <w:rFonts w:ascii="Cambria" w:eastAsia="Times New Roman" w:hAnsi="Cambria" w:cs="Times New Roman"/>
                <w:lang w:val="hr-HR"/>
              </w:rPr>
              <w:t>, nepogrešiv i nevjerojatnih izvedbenih karakteristika. U drugom dijelu knjige autor nas upoznaje sa procesom nastanka teksta igrokaza i na njemu zasnovane kazališne predstave.</w:t>
            </w:r>
          </w:p>
          <w:p w14:paraId="53004D2F" w14:textId="77777777" w:rsidR="00DB76CD" w:rsidRPr="00DF4CE5" w:rsidRDefault="00DB76CD" w:rsidP="00A034E3">
            <w:pPr>
              <w:numPr>
                <w:ilvl w:val="0"/>
                <w:numId w:val="42"/>
              </w:numPr>
              <w:spacing w:before="280" w:after="280" w:line="240" w:lineRule="auto"/>
              <w:contextualSpacing/>
              <w:rPr>
                <w:rFonts w:ascii="Cambria" w:eastAsia="Times New Roman" w:hAnsi="Cambria" w:cs="Times New Roman"/>
                <w:lang w:val="hr-HR"/>
              </w:rPr>
            </w:pPr>
            <w:r w:rsidRPr="00DF4CE5">
              <w:rPr>
                <w:rFonts w:ascii="Cambria" w:eastAsia="Times New Roman" w:hAnsi="Cambria" w:cs="Times New Roman"/>
                <w:bCs/>
                <w:lang w:val="hr-HR"/>
              </w:rPr>
              <w:t>Seferović-</w:t>
            </w:r>
            <w:proofErr w:type="spellStart"/>
            <w:r w:rsidRPr="00DF4CE5">
              <w:rPr>
                <w:rFonts w:ascii="Cambria" w:eastAsia="Times New Roman" w:hAnsi="Cambria" w:cs="Times New Roman"/>
                <w:bCs/>
                <w:lang w:val="hr-HR"/>
              </w:rPr>
              <w:t>Bosak</w:t>
            </w:r>
            <w:proofErr w:type="spellEnd"/>
            <w:r w:rsidRPr="00DF4CE5">
              <w:rPr>
                <w:rFonts w:ascii="Cambria" w:eastAsia="Times New Roman" w:hAnsi="Cambria" w:cs="Times New Roman"/>
                <w:bCs/>
                <w:lang w:val="hr-HR"/>
              </w:rPr>
              <w:t>, Sanja</w:t>
            </w:r>
            <w:r w:rsidRPr="00DF4CE5">
              <w:rPr>
                <w:rFonts w:ascii="Cambria" w:eastAsia="Times New Roman" w:hAnsi="Cambria" w:cs="Times New Roman"/>
                <w:lang w:val="hr-HR"/>
              </w:rPr>
              <w:br/>
              <w:t>Maštarije : igrokazi za djecu od 3 do 13 godina / Sanja Seferović-</w:t>
            </w:r>
            <w:proofErr w:type="spellStart"/>
            <w:r w:rsidRPr="00DF4CE5">
              <w:rPr>
                <w:rFonts w:ascii="Cambria" w:eastAsia="Times New Roman" w:hAnsi="Cambria" w:cs="Times New Roman"/>
                <w:lang w:val="hr-HR"/>
              </w:rPr>
              <w:t>Bosak</w:t>
            </w:r>
            <w:proofErr w:type="spellEnd"/>
            <w:r w:rsidRPr="00DF4CE5">
              <w:rPr>
                <w:rFonts w:ascii="Cambria" w:eastAsia="Times New Roman" w:hAnsi="Cambria" w:cs="Times New Roman"/>
                <w:lang w:val="hr-HR"/>
              </w:rPr>
              <w:t>. - Zagreb : Školska knjiga, 2002. - 134 str. ; 22 cm</w:t>
            </w:r>
          </w:p>
          <w:p w14:paraId="4D9DE435" w14:textId="77777777" w:rsidR="00DB76CD" w:rsidRPr="00DF4CE5" w:rsidRDefault="00DB76CD" w:rsidP="00A034E3">
            <w:pPr>
              <w:numPr>
                <w:ilvl w:val="0"/>
                <w:numId w:val="42"/>
              </w:numPr>
              <w:spacing w:before="280" w:after="280" w:line="240" w:lineRule="auto"/>
              <w:contextualSpacing/>
              <w:rPr>
                <w:rFonts w:ascii="Cambria" w:eastAsia="Times New Roman" w:hAnsi="Cambria" w:cs="Times New Roman"/>
                <w:iCs/>
                <w:lang w:val="hr-HR"/>
              </w:rPr>
            </w:pPr>
            <w:r w:rsidRPr="00DF4CE5">
              <w:rPr>
                <w:rFonts w:ascii="Cambria" w:eastAsia="Times New Roman" w:hAnsi="Cambria" w:cs="Times New Roman"/>
                <w:lang w:val="hr-HR"/>
              </w:rPr>
              <w:t xml:space="preserve">Zbirka sadrži tridesetak scenskih i lutkarskih igrokaza (igrokazi sa glazbenom podlogom, pantomima, </w:t>
            </w:r>
            <w:proofErr w:type="spellStart"/>
            <w:r w:rsidRPr="00DF4CE5">
              <w:rPr>
                <w:rFonts w:ascii="Cambria" w:eastAsia="Times New Roman" w:hAnsi="Cambria" w:cs="Times New Roman"/>
                <w:lang w:val="hr-HR"/>
              </w:rPr>
              <w:t>ludistički</w:t>
            </w:r>
            <w:proofErr w:type="spellEnd"/>
            <w:r w:rsidRPr="00DF4CE5">
              <w:rPr>
                <w:rFonts w:ascii="Cambria" w:eastAsia="Times New Roman" w:hAnsi="Cambria" w:cs="Times New Roman"/>
                <w:lang w:val="hr-HR"/>
              </w:rPr>
              <w:t xml:space="preserve"> igrokazi, bajkoviti igrokazi, dramatizacije poznatih priča). Igrokazi traju od sedam do petnaest minuta. Tematski su podijeljeni prema prigodama koje se u školi i vrtiću obilježavaju ( Sv. Nikola, Božić, Uskrs, Fašnik, Dan kruha, Majčin dan), a tu su još igrokazi sa bajkovitim temama, te aktualnim temama iz suvremenog života i svakodnevnog života djece. </w:t>
            </w:r>
            <w:r w:rsidRPr="00DF4CE5">
              <w:rPr>
                <w:rFonts w:ascii="Cambria" w:eastAsia="Times New Roman" w:hAnsi="Cambria" w:cs="Times New Roman"/>
                <w:lang w:val="hr-HR"/>
              </w:rPr>
              <w:br/>
              <w:t xml:space="preserve">Uz svaki igrokaz naznačeno je kojoj je dječjoj dobi namijenjen, a navedeni su potrebni rekviziti i glavni likovi, te sugestije za osmišljavanje scene. </w:t>
            </w:r>
            <w:r w:rsidRPr="00DF4CE5">
              <w:rPr>
                <w:rFonts w:ascii="Cambria" w:eastAsia="Times New Roman" w:hAnsi="Cambria" w:cs="Times New Roman"/>
                <w:lang w:val="hr-HR"/>
              </w:rPr>
              <w:br/>
            </w:r>
            <w:r w:rsidRPr="00DF4CE5">
              <w:rPr>
                <w:rFonts w:ascii="Cambria" w:eastAsia="Times New Roman" w:hAnsi="Cambria" w:cs="Times New Roman"/>
                <w:bCs/>
                <w:iCs/>
                <w:lang w:val="hr-HR"/>
              </w:rPr>
              <w:t xml:space="preserve">Preporuka: “Sveti Nikola” </w:t>
            </w:r>
            <w:r w:rsidRPr="00DF4CE5">
              <w:rPr>
                <w:rFonts w:ascii="Cambria" w:eastAsia="Times New Roman" w:hAnsi="Cambria" w:cs="Times New Roman"/>
                <w:iCs/>
                <w:lang w:val="hr-HR"/>
              </w:rPr>
              <w:t>/ susret s Krampusom /,</w:t>
            </w:r>
            <w:r w:rsidRPr="00DF4CE5">
              <w:rPr>
                <w:rFonts w:ascii="Cambria" w:eastAsia="Times New Roman" w:hAnsi="Cambria" w:cs="Times New Roman"/>
                <w:bCs/>
                <w:iCs/>
                <w:lang w:val="hr-HR"/>
              </w:rPr>
              <w:t xml:space="preserve"> “Božić jedne lutke” </w:t>
            </w:r>
            <w:r w:rsidRPr="00DF4CE5">
              <w:rPr>
                <w:rFonts w:ascii="Cambria" w:eastAsia="Times New Roman" w:hAnsi="Cambria" w:cs="Times New Roman"/>
                <w:iCs/>
                <w:lang w:val="hr-HR"/>
              </w:rPr>
              <w:t>/ kritika potrošačkog društva /,</w:t>
            </w:r>
            <w:r w:rsidRPr="00DF4CE5">
              <w:rPr>
                <w:rFonts w:ascii="Cambria" w:eastAsia="Times New Roman" w:hAnsi="Cambria" w:cs="Times New Roman"/>
                <w:bCs/>
                <w:iCs/>
                <w:lang w:val="hr-HR"/>
              </w:rPr>
              <w:t xml:space="preserve"> “Djed </w:t>
            </w:r>
            <w:proofErr w:type="spellStart"/>
            <w:r w:rsidRPr="00DF4CE5">
              <w:rPr>
                <w:rFonts w:ascii="Cambria" w:eastAsia="Times New Roman" w:hAnsi="Cambria" w:cs="Times New Roman"/>
                <w:bCs/>
                <w:iCs/>
                <w:lang w:val="hr-HR"/>
              </w:rPr>
              <w:t>Božičnjak</w:t>
            </w:r>
            <w:proofErr w:type="spellEnd"/>
            <w:r w:rsidRPr="00DF4CE5">
              <w:rPr>
                <w:rFonts w:ascii="Cambria" w:eastAsia="Times New Roman" w:hAnsi="Cambria" w:cs="Times New Roman"/>
                <w:bCs/>
                <w:iCs/>
                <w:lang w:val="hr-HR"/>
              </w:rPr>
              <w:t xml:space="preserve">” </w:t>
            </w:r>
            <w:r w:rsidRPr="00DF4CE5">
              <w:rPr>
                <w:rFonts w:ascii="Cambria" w:eastAsia="Times New Roman" w:hAnsi="Cambria" w:cs="Times New Roman"/>
                <w:iCs/>
                <w:lang w:val="hr-HR"/>
              </w:rPr>
              <w:t>/ prigodni /,</w:t>
            </w:r>
            <w:r w:rsidRPr="00DF4CE5">
              <w:rPr>
                <w:rFonts w:ascii="Cambria" w:eastAsia="Times New Roman" w:hAnsi="Cambria" w:cs="Times New Roman"/>
                <w:bCs/>
                <w:iCs/>
                <w:lang w:val="hr-HR"/>
              </w:rPr>
              <w:t xml:space="preserve"> “Školjka” </w:t>
            </w:r>
            <w:r w:rsidRPr="00DF4CE5">
              <w:rPr>
                <w:rFonts w:ascii="Cambria" w:eastAsia="Times New Roman" w:hAnsi="Cambria" w:cs="Times New Roman"/>
                <w:iCs/>
                <w:lang w:val="hr-HR"/>
              </w:rPr>
              <w:t xml:space="preserve">/ ljubav /, </w:t>
            </w:r>
            <w:r w:rsidRPr="00DF4CE5">
              <w:rPr>
                <w:rFonts w:ascii="Cambria" w:eastAsia="Times New Roman" w:hAnsi="Cambria" w:cs="Times New Roman"/>
                <w:bCs/>
                <w:iCs/>
                <w:lang w:val="hr-HR"/>
              </w:rPr>
              <w:t xml:space="preserve">“Izlet u šumu” i “Kamo ide naše smeće” </w:t>
            </w:r>
            <w:r w:rsidRPr="00DF4CE5">
              <w:rPr>
                <w:rFonts w:ascii="Cambria" w:eastAsia="Times New Roman" w:hAnsi="Cambria" w:cs="Times New Roman"/>
                <w:iCs/>
                <w:lang w:val="hr-HR"/>
              </w:rPr>
              <w:t>/ ekološki /</w:t>
            </w:r>
          </w:p>
          <w:p w14:paraId="3D48A0D1" w14:textId="77777777" w:rsidR="00DB76CD" w:rsidRPr="00DF4CE5" w:rsidRDefault="00DB76CD" w:rsidP="00A034E3">
            <w:pPr>
              <w:numPr>
                <w:ilvl w:val="0"/>
                <w:numId w:val="42"/>
              </w:numPr>
              <w:spacing w:before="280" w:after="280" w:line="240" w:lineRule="auto"/>
              <w:contextualSpacing/>
              <w:rPr>
                <w:rFonts w:ascii="Cambria" w:eastAsia="Times New Roman" w:hAnsi="Cambria" w:cs="Times New Roman"/>
                <w:lang w:val="hr-HR"/>
              </w:rPr>
            </w:pPr>
            <w:r w:rsidRPr="00DF4CE5">
              <w:rPr>
                <w:rFonts w:ascii="Cambria" w:eastAsia="Times New Roman" w:hAnsi="Cambria" w:cs="Times New Roman"/>
                <w:bCs/>
                <w:lang w:val="hr-HR"/>
              </w:rPr>
              <w:t>Stahuljak, Višnja, 1926-</w:t>
            </w:r>
            <w:r w:rsidRPr="00DF4CE5">
              <w:rPr>
                <w:rFonts w:ascii="Cambria" w:eastAsia="Times New Roman" w:hAnsi="Cambria" w:cs="Times New Roman"/>
                <w:lang w:val="hr-HR"/>
              </w:rPr>
              <w:br/>
              <w:t xml:space="preserve">Darovi Djeda Mraza : igrokazi za djecu / Višnja Stahuljak ; ilustrirao Pavao </w:t>
            </w:r>
            <w:proofErr w:type="spellStart"/>
            <w:r w:rsidRPr="00DF4CE5">
              <w:rPr>
                <w:rFonts w:ascii="Cambria" w:eastAsia="Times New Roman" w:hAnsi="Cambria" w:cs="Times New Roman"/>
                <w:lang w:val="hr-HR"/>
              </w:rPr>
              <w:t>Štalter</w:t>
            </w:r>
            <w:proofErr w:type="spellEnd"/>
            <w:r w:rsidRPr="00DF4CE5">
              <w:rPr>
                <w:rFonts w:ascii="Cambria" w:eastAsia="Times New Roman" w:hAnsi="Cambria" w:cs="Times New Roman"/>
                <w:lang w:val="hr-HR"/>
              </w:rPr>
              <w:t xml:space="preserve">. - &lt;2. </w:t>
            </w:r>
            <w:proofErr w:type="spellStart"/>
            <w:r w:rsidRPr="00DF4CE5">
              <w:rPr>
                <w:rFonts w:ascii="Cambria" w:eastAsia="Times New Roman" w:hAnsi="Cambria" w:cs="Times New Roman"/>
                <w:lang w:val="hr-HR"/>
              </w:rPr>
              <w:t>izd</w:t>
            </w:r>
            <w:proofErr w:type="spellEnd"/>
            <w:r w:rsidRPr="00DF4CE5">
              <w:rPr>
                <w:rFonts w:ascii="Cambria" w:eastAsia="Times New Roman" w:hAnsi="Cambria" w:cs="Times New Roman"/>
                <w:lang w:val="hr-HR"/>
              </w:rPr>
              <w:t xml:space="preserve">.&gt;. - Zagreb : Školska knjiga, 1985. - 92 str. : </w:t>
            </w:r>
            <w:proofErr w:type="spellStart"/>
            <w:r w:rsidRPr="00DF4CE5">
              <w:rPr>
                <w:rFonts w:ascii="Cambria" w:eastAsia="Times New Roman" w:hAnsi="Cambria" w:cs="Times New Roman"/>
                <w:lang w:val="hr-HR"/>
              </w:rPr>
              <w:t>ilustr</w:t>
            </w:r>
            <w:proofErr w:type="spellEnd"/>
            <w:r w:rsidRPr="00DF4CE5">
              <w:rPr>
                <w:rFonts w:ascii="Cambria" w:eastAsia="Times New Roman" w:hAnsi="Cambria" w:cs="Times New Roman"/>
                <w:lang w:val="hr-HR"/>
              </w:rPr>
              <w:t>. ; 25 cm. - (Biblioteka Modra lasta)</w:t>
            </w:r>
          </w:p>
          <w:p w14:paraId="264E4A6B" w14:textId="77777777" w:rsidR="00DB76CD" w:rsidRPr="00DF4CE5" w:rsidRDefault="00DB76CD" w:rsidP="00A034E3">
            <w:pPr>
              <w:numPr>
                <w:ilvl w:val="0"/>
                <w:numId w:val="42"/>
              </w:numPr>
              <w:spacing w:before="280" w:after="280" w:line="240" w:lineRule="auto"/>
              <w:contextualSpacing/>
              <w:rPr>
                <w:rFonts w:ascii="Cambria" w:eastAsia="Times New Roman" w:hAnsi="Cambria" w:cs="Times New Roman"/>
                <w:bCs/>
                <w:iCs/>
                <w:lang w:val="hr-HR"/>
              </w:rPr>
            </w:pPr>
            <w:r w:rsidRPr="00DF4CE5">
              <w:rPr>
                <w:rFonts w:ascii="Cambria" w:eastAsia="Times New Roman" w:hAnsi="Cambria" w:cs="Times New Roman"/>
                <w:lang w:val="hr-HR"/>
              </w:rPr>
              <w:t xml:space="preserve">Zbirka igrokaza za djecu koja sadrži četiri naslova, od koji je je igrokaz "Darovi djeda Mraza", pogodan za izvođenje u predblagdansko vrijeme, jer to je novogodišnja igra za najmlađe, koja završava </w:t>
            </w:r>
            <w:proofErr w:type="spellStart"/>
            <w:r w:rsidRPr="00DF4CE5">
              <w:rPr>
                <w:rFonts w:ascii="Cambria" w:eastAsia="Times New Roman" w:hAnsi="Cambria" w:cs="Times New Roman"/>
                <w:lang w:val="hr-HR"/>
              </w:rPr>
              <w:t>djeljenjem</w:t>
            </w:r>
            <w:proofErr w:type="spellEnd"/>
            <w:r w:rsidRPr="00DF4CE5">
              <w:rPr>
                <w:rFonts w:ascii="Cambria" w:eastAsia="Times New Roman" w:hAnsi="Cambria" w:cs="Times New Roman"/>
                <w:lang w:val="hr-HR"/>
              </w:rPr>
              <w:t xml:space="preserve"> poklona djeci. Tu je igrokaz "</w:t>
            </w:r>
            <w:proofErr w:type="spellStart"/>
            <w:r w:rsidRPr="00DF4CE5">
              <w:rPr>
                <w:rFonts w:ascii="Cambria" w:eastAsia="Times New Roman" w:hAnsi="Cambria" w:cs="Times New Roman"/>
                <w:lang w:val="hr-HR"/>
              </w:rPr>
              <w:t>Bjelkica</w:t>
            </w:r>
            <w:proofErr w:type="spellEnd"/>
            <w:r w:rsidRPr="00DF4CE5">
              <w:rPr>
                <w:rFonts w:ascii="Cambria" w:eastAsia="Times New Roman" w:hAnsi="Cambria" w:cs="Times New Roman"/>
                <w:lang w:val="hr-HR"/>
              </w:rPr>
              <w:t>" - scenska bajka u četiri čina, u kojoj se kao likovi pojavljuju vile, vodenjaci, vilenjaci, šumsko i vodeno cvijeće. Slijedi "Neobični intervju" - znanstveno-fantastična igra za djecu i "Tko traži - taj nađe", dječji igrokaz u tri čina, koji se događa početkom ovog stoljeća, a govori o radosnoj zbilji začinjenoj s malo tuge.</w:t>
            </w:r>
            <w:r w:rsidRPr="00DF4CE5">
              <w:rPr>
                <w:rFonts w:ascii="Cambria" w:eastAsia="Times New Roman" w:hAnsi="Cambria" w:cs="Times New Roman"/>
                <w:lang w:val="hr-HR"/>
              </w:rPr>
              <w:br/>
            </w:r>
            <w:r w:rsidRPr="00DF4CE5">
              <w:rPr>
                <w:rFonts w:ascii="Cambria" w:eastAsia="Times New Roman" w:hAnsi="Cambria" w:cs="Times New Roman"/>
                <w:bCs/>
                <w:iCs/>
                <w:lang w:val="hr-HR"/>
              </w:rPr>
              <w:t>Preporuka: “Darovi Djeda Mraza”</w:t>
            </w:r>
          </w:p>
          <w:p w14:paraId="2489B234" w14:textId="77777777" w:rsidR="00DB76CD" w:rsidRPr="00DF4CE5" w:rsidRDefault="00DB76CD" w:rsidP="00A034E3">
            <w:pPr>
              <w:numPr>
                <w:ilvl w:val="0"/>
                <w:numId w:val="42"/>
              </w:numPr>
              <w:spacing w:before="280" w:after="280" w:line="240" w:lineRule="auto"/>
              <w:contextualSpacing/>
              <w:rPr>
                <w:rFonts w:ascii="Cambria" w:eastAsia="Times New Roman" w:hAnsi="Cambria" w:cs="Times New Roman"/>
                <w:bCs/>
                <w:lang w:val="hr-HR"/>
              </w:rPr>
            </w:pPr>
            <w:bookmarkStart w:id="112" w:name="antologije"/>
            <w:bookmarkEnd w:id="112"/>
            <w:r w:rsidRPr="00DF4CE5">
              <w:rPr>
                <w:rFonts w:ascii="Cambria" w:eastAsia="Times New Roman" w:hAnsi="Cambria" w:cs="Times New Roman"/>
                <w:bCs/>
                <w:lang w:val="hr-HR"/>
              </w:rPr>
              <w:t>ANTOLOGIJE I ZBORNICI</w:t>
            </w:r>
          </w:p>
          <w:p w14:paraId="51864BBB" w14:textId="77777777" w:rsidR="00DB76CD" w:rsidRPr="00DF4CE5" w:rsidRDefault="00DB76CD" w:rsidP="00A034E3">
            <w:pPr>
              <w:numPr>
                <w:ilvl w:val="0"/>
                <w:numId w:val="42"/>
              </w:numPr>
              <w:spacing w:before="280" w:after="280" w:line="240" w:lineRule="auto"/>
              <w:contextualSpacing/>
              <w:rPr>
                <w:rFonts w:ascii="Cambria" w:eastAsia="Times New Roman" w:hAnsi="Cambria" w:cs="Times New Roman"/>
                <w:lang w:val="hr-HR"/>
              </w:rPr>
            </w:pPr>
            <w:r w:rsidRPr="00DF4CE5">
              <w:rPr>
                <w:rFonts w:ascii="Cambria" w:eastAsia="Times New Roman" w:hAnsi="Cambria" w:cs="Times New Roman"/>
                <w:bCs/>
                <w:lang w:val="hr-HR"/>
              </w:rPr>
              <w:t xml:space="preserve">Dječja </w:t>
            </w:r>
            <w:proofErr w:type="spellStart"/>
            <w:r w:rsidRPr="00DF4CE5">
              <w:rPr>
                <w:rFonts w:ascii="Cambria" w:eastAsia="Times New Roman" w:hAnsi="Cambria" w:cs="Times New Roman"/>
                <w:bCs/>
                <w:lang w:val="hr-HR"/>
              </w:rPr>
              <w:t>radiodrama</w:t>
            </w:r>
            <w:proofErr w:type="spellEnd"/>
            <w:r w:rsidRPr="00DF4CE5">
              <w:rPr>
                <w:rFonts w:ascii="Cambria" w:eastAsia="Times New Roman" w:hAnsi="Cambria" w:cs="Times New Roman"/>
                <w:bCs/>
                <w:lang w:val="hr-HR"/>
              </w:rPr>
              <w:t xml:space="preserve"> : 1980. - 2000.</w:t>
            </w:r>
            <w:r w:rsidRPr="00DF4CE5">
              <w:rPr>
                <w:rFonts w:ascii="Cambria" w:eastAsia="Times New Roman" w:hAnsi="Cambria" w:cs="Times New Roman"/>
                <w:lang w:val="hr-HR"/>
              </w:rPr>
              <w:br/>
              <w:t xml:space="preserve">Dječja </w:t>
            </w:r>
            <w:proofErr w:type="spellStart"/>
            <w:r w:rsidRPr="00DF4CE5">
              <w:rPr>
                <w:rFonts w:ascii="Cambria" w:eastAsia="Times New Roman" w:hAnsi="Cambria" w:cs="Times New Roman"/>
                <w:lang w:val="hr-HR"/>
              </w:rPr>
              <w:t>radiodrama</w:t>
            </w:r>
            <w:proofErr w:type="spellEnd"/>
            <w:r w:rsidRPr="00DF4CE5">
              <w:rPr>
                <w:rFonts w:ascii="Cambria" w:eastAsia="Times New Roman" w:hAnsi="Cambria" w:cs="Times New Roman"/>
                <w:lang w:val="hr-HR"/>
              </w:rPr>
              <w:t xml:space="preserve"> : 1980. - 2000. / uredila Lada Martinac - Kralj. - Zagreb : Hrvatski radio, 2001. - VIII, 218 str. ; 23 cm. - (Biblioteka Hrvatski radio ; knj. 21)</w:t>
            </w:r>
          </w:p>
          <w:p w14:paraId="281432C8" w14:textId="77777777" w:rsidR="00DB76CD" w:rsidRPr="00DF4CE5" w:rsidRDefault="00DB76CD" w:rsidP="00A034E3">
            <w:pPr>
              <w:numPr>
                <w:ilvl w:val="0"/>
                <w:numId w:val="42"/>
              </w:numPr>
              <w:spacing w:before="280" w:after="280" w:line="240" w:lineRule="auto"/>
              <w:contextualSpacing/>
              <w:rPr>
                <w:rFonts w:ascii="Cambria" w:eastAsia="Times New Roman" w:hAnsi="Cambria" w:cs="Times New Roman"/>
                <w:lang w:val="hr-HR"/>
              </w:rPr>
            </w:pPr>
            <w:r w:rsidRPr="00DF4CE5">
              <w:rPr>
                <w:rFonts w:ascii="Cambria" w:eastAsia="Times New Roman" w:hAnsi="Cambria" w:cs="Times New Roman"/>
                <w:lang w:val="hr-HR"/>
              </w:rPr>
              <w:t xml:space="preserve">Knjiga sa četrnaest originalnih </w:t>
            </w:r>
            <w:proofErr w:type="spellStart"/>
            <w:r w:rsidRPr="00DF4CE5">
              <w:rPr>
                <w:rFonts w:ascii="Cambria" w:eastAsia="Times New Roman" w:hAnsi="Cambria" w:cs="Times New Roman"/>
                <w:lang w:val="hr-HR"/>
              </w:rPr>
              <w:t>radiodramskih</w:t>
            </w:r>
            <w:proofErr w:type="spellEnd"/>
            <w:r w:rsidRPr="00DF4CE5">
              <w:rPr>
                <w:rFonts w:ascii="Cambria" w:eastAsia="Times New Roman" w:hAnsi="Cambria" w:cs="Times New Roman"/>
                <w:lang w:val="hr-HR"/>
              </w:rPr>
              <w:t xml:space="preserve"> tekstova domaćih autora koji su premijerno izvedeni u okviru emisije </w:t>
            </w:r>
            <w:r w:rsidRPr="00DF4CE5">
              <w:rPr>
                <w:rFonts w:ascii="Cambria" w:eastAsia="Times New Roman" w:hAnsi="Cambria" w:cs="Times New Roman"/>
                <w:lang w:val="hr-HR"/>
              </w:rPr>
              <w:lastRenderedPageBreak/>
              <w:t xml:space="preserve">Radio igra za djecu Dramskog programa Hrvatskog radija, a koji se i danas mogu čuti u radio programu. Izbor obuhvaća tekstove nastale u posljednja dva desetljeća, a raznovrsne su žanrovske palete: </w:t>
            </w:r>
            <w:proofErr w:type="spellStart"/>
            <w:r w:rsidRPr="00DF4CE5">
              <w:rPr>
                <w:rFonts w:ascii="Cambria" w:eastAsia="Times New Roman" w:hAnsi="Cambria" w:cs="Times New Roman"/>
                <w:lang w:val="hr-HR"/>
              </w:rPr>
              <w:t>antibajke</w:t>
            </w:r>
            <w:proofErr w:type="spellEnd"/>
            <w:r w:rsidRPr="00DF4CE5">
              <w:rPr>
                <w:rFonts w:ascii="Cambria" w:eastAsia="Times New Roman" w:hAnsi="Cambria" w:cs="Times New Roman"/>
                <w:lang w:val="hr-HR"/>
              </w:rPr>
              <w:t xml:space="preserve">, poetski igrokazi, radiofonske fantazije, groteskne komedije, </w:t>
            </w:r>
            <w:proofErr w:type="spellStart"/>
            <w:r w:rsidRPr="00DF4CE5">
              <w:rPr>
                <w:rFonts w:ascii="Cambria" w:eastAsia="Times New Roman" w:hAnsi="Cambria" w:cs="Times New Roman"/>
                <w:lang w:val="hr-HR"/>
              </w:rPr>
              <w:t>basnolike</w:t>
            </w:r>
            <w:proofErr w:type="spellEnd"/>
            <w:r w:rsidRPr="00DF4CE5">
              <w:rPr>
                <w:rFonts w:ascii="Cambria" w:eastAsia="Times New Roman" w:hAnsi="Cambria" w:cs="Times New Roman"/>
                <w:lang w:val="hr-HR"/>
              </w:rPr>
              <w:t xml:space="preserve"> bajke, melodrame, simbolički </w:t>
            </w:r>
            <w:proofErr w:type="spellStart"/>
            <w:r w:rsidRPr="00DF4CE5">
              <w:rPr>
                <w:rFonts w:ascii="Cambria" w:eastAsia="Times New Roman" w:hAnsi="Cambria" w:cs="Times New Roman"/>
                <w:lang w:val="hr-HR"/>
              </w:rPr>
              <w:t>dramoleie</w:t>
            </w:r>
            <w:proofErr w:type="spellEnd"/>
            <w:r w:rsidRPr="00DF4CE5">
              <w:rPr>
                <w:rFonts w:ascii="Cambria" w:eastAsia="Times New Roman" w:hAnsi="Cambria" w:cs="Times New Roman"/>
                <w:lang w:val="hr-HR"/>
              </w:rPr>
              <w:t xml:space="preserve"> s poukom i drugi žanrovski oblici. Autori tekstova su Vesna Parun, Zlatko Šešelj, Palma Katalinić, Nada Iveljić, Srećko Cuculić, Sunčana </w:t>
            </w:r>
            <w:proofErr w:type="spellStart"/>
            <w:r w:rsidRPr="00DF4CE5">
              <w:rPr>
                <w:rFonts w:ascii="Cambria" w:eastAsia="Times New Roman" w:hAnsi="Cambria" w:cs="Times New Roman"/>
                <w:lang w:val="hr-HR"/>
              </w:rPr>
              <w:t>Škrinjarić</w:t>
            </w:r>
            <w:proofErr w:type="spellEnd"/>
            <w:r w:rsidRPr="00DF4CE5">
              <w:rPr>
                <w:rFonts w:ascii="Cambria" w:eastAsia="Times New Roman" w:hAnsi="Cambria" w:cs="Times New Roman"/>
                <w:lang w:val="hr-HR"/>
              </w:rPr>
              <w:t xml:space="preserve">, Stanislav </w:t>
            </w:r>
            <w:proofErr w:type="spellStart"/>
            <w:r w:rsidRPr="00DF4CE5">
              <w:rPr>
                <w:rFonts w:ascii="Cambria" w:eastAsia="Times New Roman" w:hAnsi="Cambria" w:cs="Times New Roman"/>
                <w:lang w:val="hr-HR"/>
              </w:rPr>
              <w:t>Pejković</w:t>
            </w:r>
            <w:proofErr w:type="spellEnd"/>
            <w:r w:rsidRPr="00DF4CE5">
              <w:rPr>
                <w:rFonts w:ascii="Cambria" w:eastAsia="Times New Roman" w:hAnsi="Cambria" w:cs="Times New Roman"/>
                <w:lang w:val="hr-HR"/>
              </w:rPr>
              <w:t xml:space="preserve">, Branislav Krivokapić, Branko </w:t>
            </w:r>
            <w:proofErr w:type="spellStart"/>
            <w:r w:rsidRPr="00DF4CE5">
              <w:rPr>
                <w:rFonts w:ascii="Cambria" w:eastAsia="Times New Roman" w:hAnsi="Cambria" w:cs="Times New Roman"/>
                <w:lang w:val="hr-HR"/>
              </w:rPr>
              <w:t>Hribar</w:t>
            </w:r>
            <w:proofErr w:type="spellEnd"/>
            <w:r w:rsidRPr="00DF4CE5">
              <w:rPr>
                <w:rFonts w:ascii="Cambria" w:eastAsia="Times New Roman" w:hAnsi="Cambria" w:cs="Times New Roman"/>
                <w:lang w:val="hr-HR"/>
              </w:rPr>
              <w:t xml:space="preserve">, Iris Supek, Đuro </w:t>
            </w:r>
            <w:proofErr w:type="spellStart"/>
            <w:r w:rsidRPr="00DF4CE5">
              <w:rPr>
                <w:rFonts w:ascii="Cambria" w:eastAsia="Times New Roman" w:hAnsi="Cambria" w:cs="Times New Roman"/>
                <w:lang w:val="hr-HR"/>
              </w:rPr>
              <w:t>Roić</w:t>
            </w:r>
            <w:proofErr w:type="spellEnd"/>
            <w:r w:rsidRPr="00DF4CE5">
              <w:rPr>
                <w:rFonts w:ascii="Cambria" w:eastAsia="Times New Roman" w:hAnsi="Cambria" w:cs="Times New Roman"/>
                <w:lang w:val="hr-HR"/>
              </w:rPr>
              <w:t xml:space="preserve">, Kazimir Klarić, Ljubo </w:t>
            </w:r>
            <w:proofErr w:type="spellStart"/>
            <w:r w:rsidRPr="00DF4CE5">
              <w:rPr>
                <w:rFonts w:ascii="Cambria" w:eastAsia="Times New Roman" w:hAnsi="Cambria" w:cs="Times New Roman"/>
                <w:lang w:val="hr-HR"/>
              </w:rPr>
              <w:t>Pauzin</w:t>
            </w:r>
            <w:proofErr w:type="spellEnd"/>
            <w:r w:rsidRPr="00DF4CE5">
              <w:rPr>
                <w:rFonts w:ascii="Cambria" w:eastAsia="Times New Roman" w:hAnsi="Cambria" w:cs="Times New Roman"/>
                <w:lang w:val="hr-HR"/>
              </w:rPr>
              <w:t xml:space="preserve"> i Ana Đokić-</w:t>
            </w:r>
            <w:proofErr w:type="spellStart"/>
            <w:r w:rsidRPr="00DF4CE5">
              <w:rPr>
                <w:rFonts w:ascii="Cambria" w:eastAsia="Times New Roman" w:hAnsi="Cambria" w:cs="Times New Roman"/>
                <w:lang w:val="hr-HR"/>
              </w:rPr>
              <w:t>Pongrašić</w:t>
            </w:r>
            <w:proofErr w:type="spellEnd"/>
            <w:r w:rsidRPr="00DF4CE5">
              <w:rPr>
                <w:rFonts w:ascii="Cambria" w:eastAsia="Times New Roman" w:hAnsi="Cambria" w:cs="Times New Roman"/>
                <w:lang w:val="hr-HR"/>
              </w:rPr>
              <w:t xml:space="preserve">. </w:t>
            </w:r>
          </w:p>
          <w:p w14:paraId="29ECE113" w14:textId="77777777" w:rsidR="00DB76CD" w:rsidRPr="00DF4CE5" w:rsidRDefault="00DB76CD" w:rsidP="00A034E3">
            <w:pPr>
              <w:numPr>
                <w:ilvl w:val="0"/>
                <w:numId w:val="42"/>
              </w:numPr>
              <w:spacing w:before="280" w:after="280" w:line="240" w:lineRule="auto"/>
              <w:contextualSpacing/>
              <w:rPr>
                <w:rFonts w:ascii="Cambria" w:eastAsia="Times New Roman" w:hAnsi="Cambria" w:cs="Times New Roman"/>
                <w:lang w:val="hr-HR"/>
              </w:rPr>
            </w:pPr>
            <w:r w:rsidRPr="00DF4CE5">
              <w:rPr>
                <w:rFonts w:ascii="Cambria" w:eastAsia="Times New Roman" w:hAnsi="Cambria" w:cs="Times New Roman"/>
                <w:bCs/>
                <w:lang w:val="hr-HR"/>
              </w:rPr>
              <w:t xml:space="preserve">Harlekin i </w:t>
            </w:r>
            <w:proofErr w:type="spellStart"/>
            <w:r w:rsidRPr="00DF4CE5">
              <w:rPr>
                <w:rFonts w:ascii="Cambria" w:eastAsia="Times New Roman" w:hAnsi="Cambria" w:cs="Times New Roman"/>
                <w:bCs/>
                <w:lang w:val="hr-HR"/>
              </w:rPr>
              <w:t>Krasuljica</w:t>
            </w:r>
            <w:proofErr w:type="spellEnd"/>
            <w:r w:rsidRPr="00DF4CE5">
              <w:rPr>
                <w:rFonts w:ascii="Cambria" w:eastAsia="Times New Roman" w:hAnsi="Cambria" w:cs="Times New Roman"/>
                <w:lang w:val="hr-HR"/>
              </w:rPr>
              <w:br/>
              <w:t xml:space="preserve">Harlekin i </w:t>
            </w:r>
            <w:proofErr w:type="spellStart"/>
            <w:r w:rsidRPr="00DF4CE5">
              <w:rPr>
                <w:rFonts w:ascii="Cambria" w:eastAsia="Times New Roman" w:hAnsi="Cambria" w:cs="Times New Roman"/>
                <w:lang w:val="hr-HR"/>
              </w:rPr>
              <w:t>Krasuljica</w:t>
            </w:r>
            <w:proofErr w:type="spellEnd"/>
            <w:r w:rsidRPr="00DF4CE5">
              <w:rPr>
                <w:rFonts w:ascii="Cambria" w:eastAsia="Times New Roman" w:hAnsi="Cambria" w:cs="Times New Roman"/>
                <w:lang w:val="hr-HR"/>
              </w:rPr>
              <w:t xml:space="preserve"> : antologija hrvatskoga dječjega igrokaza / &lt;priredio&gt;Joža Skok. - Zagreb : Naša djeca, 1990. - 389 str. ; 23 cm. - (Biblioteka Radost ; kolo 1, 4)</w:t>
            </w:r>
          </w:p>
          <w:p w14:paraId="7F835523" w14:textId="77777777" w:rsidR="00DB76CD" w:rsidRPr="00DF4CE5" w:rsidRDefault="00DB76CD" w:rsidP="00A034E3">
            <w:pPr>
              <w:numPr>
                <w:ilvl w:val="0"/>
                <w:numId w:val="42"/>
              </w:numPr>
              <w:spacing w:before="280" w:after="280" w:line="240" w:lineRule="auto"/>
              <w:contextualSpacing/>
              <w:rPr>
                <w:rFonts w:ascii="Cambria" w:eastAsia="Times New Roman" w:hAnsi="Cambria" w:cs="Times New Roman"/>
                <w:bCs/>
                <w:iCs/>
                <w:lang w:val="hr-HR"/>
              </w:rPr>
            </w:pPr>
            <w:r w:rsidRPr="00DF4CE5">
              <w:rPr>
                <w:rFonts w:ascii="Cambria" w:eastAsia="Times New Roman" w:hAnsi="Cambria" w:cs="Times New Roman"/>
                <w:bCs/>
                <w:iCs/>
                <w:lang w:val="hr-HR"/>
              </w:rPr>
              <w:t xml:space="preserve">Vidi prvi hrvatski dječji igrokazi: </w:t>
            </w:r>
            <w:proofErr w:type="spellStart"/>
            <w:r w:rsidRPr="00DF4CE5">
              <w:rPr>
                <w:rFonts w:ascii="Cambria" w:eastAsia="Times New Roman" w:hAnsi="Cambria" w:cs="Times New Roman"/>
                <w:bCs/>
                <w:iCs/>
                <w:lang w:val="hr-HR"/>
              </w:rPr>
              <w:t>Dijanić</w:t>
            </w:r>
            <w:proofErr w:type="spellEnd"/>
            <w:r w:rsidRPr="00DF4CE5">
              <w:rPr>
                <w:rFonts w:ascii="Cambria" w:eastAsia="Times New Roman" w:hAnsi="Cambria" w:cs="Times New Roman"/>
                <w:bCs/>
                <w:iCs/>
                <w:lang w:val="hr-HR"/>
              </w:rPr>
              <w:t xml:space="preserve">: “Narođeni dan”, </w:t>
            </w:r>
            <w:proofErr w:type="spellStart"/>
            <w:r w:rsidRPr="00DF4CE5">
              <w:rPr>
                <w:rFonts w:ascii="Cambria" w:eastAsia="Times New Roman" w:hAnsi="Cambria" w:cs="Times New Roman"/>
                <w:bCs/>
                <w:iCs/>
                <w:lang w:val="hr-HR"/>
              </w:rPr>
              <w:t>Cvijić-Kassowitz</w:t>
            </w:r>
            <w:proofErr w:type="spellEnd"/>
            <w:r w:rsidRPr="00DF4CE5">
              <w:rPr>
                <w:rFonts w:ascii="Cambria" w:eastAsia="Times New Roman" w:hAnsi="Cambria" w:cs="Times New Roman"/>
                <w:bCs/>
                <w:iCs/>
                <w:lang w:val="hr-HR"/>
              </w:rPr>
              <w:t>: “</w:t>
            </w:r>
            <w:proofErr w:type="spellStart"/>
            <w:r w:rsidRPr="00DF4CE5">
              <w:rPr>
                <w:rFonts w:ascii="Cambria" w:eastAsia="Times New Roman" w:hAnsi="Cambria" w:cs="Times New Roman"/>
                <w:bCs/>
                <w:iCs/>
                <w:lang w:val="hr-HR"/>
              </w:rPr>
              <w:t>Krasuljica</w:t>
            </w:r>
            <w:proofErr w:type="spellEnd"/>
            <w:r w:rsidRPr="00DF4CE5">
              <w:rPr>
                <w:rFonts w:ascii="Cambria" w:eastAsia="Times New Roman" w:hAnsi="Cambria" w:cs="Times New Roman"/>
                <w:bCs/>
                <w:iCs/>
                <w:lang w:val="hr-HR"/>
              </w:rPr>
              <w:t xml:space="preserve">”, Domjanić: </w:t>
            </w:r>
            <w:proofErr w:type="spellStart"/>
            <w:r w:rsidRPr="00DF4CE5">
              <w:rPr>
                <w:rFonts w:ascii="Cambria" w:eastAsia="Times New Roman" w:hAnsi="Cambria" w:cs="Times New Roman"/>
                <w:bCs/>
                <w:iCs/>
                <w:lang w:val="hr-HR"/>
              </w:rPr>
              <w:t>PetricaKerempuh</w:t>
            </w:r>
            <w:proofErr w:type="spellEnd"/>
            <w:r w:rsidRPr="00DF4CE5">
              <w:rPr>
                <w:rFonts w:ascii="Cambria" w:eastAsia="Times New Roman" w:hAnsi="Cambria" w:cs="Times New Roman"/>
                <w:bCs/>
                <w:iCs/>
                <w:lang w:val="hr-HR"/>
              </w:rPr>
              <w:t xml:space="preserve"> i </w:t>
            </w:r>
            <w:proofErr w:type="spellStart"/>
            <w:r w:rsidRPr="00DF4CE5">
              <w:rPr>
                <w:rFonts w:ascii="Cambria" w:eastAsia="Times New Roman" w:hAnsi="Cambria" w:cs="Times New Roman"/>
                <w:bCs/>
                <w:iCs/>
                <w:lang w:val="hr-HR"/>
              </w:rPr>
              <w:t>spametniosel</w:t>
            </w:r>
            <w:proofErr w:type="spellEnd"/>
            <w:r w:rsidRPr="00DF4CE5">
              <w:rPr>
                <w:rFonts w:ascii="Cambria" w:eastAsia="Times New Roman" w:hAnsi="Cambria" w:cs="Times New Roman"/>
                <w:bCs/>
                <w:iCs/>
                <w:lang w:val="hr-HR"/>
              </w:rPr>
              <w:t>”, Car Emin: “Nevidljivi Jurić”</w:t>
            </w:r>
          </w:p>
          <w:p w14:paraId="6C662B9B" w14:textId="77777777" w:rsidR="00DB76CD" w:rsidRPr="00DF4CE5" w:rsidRDefault="00DB76CD" w:rsidP="00A034E3">
            <w:pPr>
              <w:numPr>
                <w:ilvl w:val="0"/>
                <w:numId w:val="42"/>
              </w:numPr>
              <w:spacing w:before="280" w:after="280" w:line="240" w:lineRule="auto"/>
              <w:contextualSpacing/>
              <w:rPr>
                <w:rFonts w:ascii="Cambria" w:eastAsia="Times New Roman" w:hAnsi="Cambria" w:cs="Times New Roman"/>
                <w:iCs/>
                <w:lang w:val="hr-HR"/>
              </w:rPr>
            </w:pPr>
            <w:r w:rsidRPr="00DF4CE5">
              <w:rPr>
                <w:rFonts w:ascii="Cambria" w:eastAsia="Times New Roman" w:hAnsi="Cambria" w:cs="Times New Roman"/>
                <w:bCs/>
                <w:lang w:val="hr-HR"/>
              </w:rPr>
              <w:t xml:space="preserve">Igramo se kazališta </w:t>
            </w:r>
            <w:r w:rsidRPr="00DF4CE5">
              <w:rPr>
                <w:rFonts w:ascii="Cambria" w:eastAsia="Times New Roman" w:hAnsi="Cambria" w:cs="Times New Roman"/>
                <w:lang w:val="hr-HR"/>
              </w:rPr>
              <w:br/>
              <w:t xml:space="preserve">Igramo se kazališta : od monologa do igrokaza : izbor tekstova za dječju lutkarsku i živu scenu / izbor i priprema Vera </w:t>
            </w:r>
            <w:proofErr w:type="spellStart"/>
            <w:r w:rsidRPr="00DF4CE5">
              <w:rPr>
                <w:rFonts w:ascii="Cambria" w:eastAsia="Times New Roman" w:hAnsi="Cambria" w:cs="Times New Roman"/>
                <w:lang w:val="hr-HR"/>
              </w:rPr>
              <w:t>Stenzel</w:t>
            </w:r>
            <w:proofErr w:type="spellEnd"/>
            <w:r w:rsidRPr="00DF4CE5">
              <w:rPr>
                <w:rFonts w:ascii="Cambria" w:eastAsia="Times New Roman" w:hAnsi="Cambria" w:cs="Times New Roman"/>
                <w:lang w:val="hr-HR"/>
              </w:rPr>
              <w:t xml:space="preserve">. - Zagreb : Naša djeca, 1995. - 159 str. : </w:t>
            </w:r>
            <w:proofErr w:type="spellStart"/>
            <w:r w:rsidRPr="00DF4CE5">
              <w:rPr>
                <w:rFonts w:ascii="Cambria" w:eastAsia="Times New Roman" w:hAnsi="Cambria" w:cs="Times New Roman"/>
                <w:lang w:val="hr-HR"/>
              </w:rPr>
              <w:t>ilustr</w:t>
            </w:r>
            <w:proofErr w:type="spellEnd"/>
            <w:r w:rsidRPr="00DF4CE5">
              <w:rPr>
                <w:rFonts w:ascii="Cambria" w:eastAsia="Times New Roman" w:hAnsi="Cambria" w:cs="Times New Roman"/>
                <w:lang w:val="hr-HR"/>
              </w:rPr>
              <w:t xml:space="preserve">. ; 24 cm       </w:t>
            </w:r>
            <w:r w:rsidRPr="00DF4CE5">
              <w:rPr>
                <w:rFonts w:ascii="Cambria" w:eastAsia="Times New Roman" w:hAnsi="Cambria" w:cs="Times New Roman"/>
                <w:bCs/>
                <w:iCs/>
                <w:lang w:val="hr-HR"/>
              </w:rPr>
              <w:t xml:space="preserve">Preporuka: </w:t>
            </w:r>
            <w:proofErr w:type="spellStart"/>
            <w:r w:rsidRPr="00DF4CE5">
              <w:rPr>
                <w:rFonts w:ascii="Cambria" w:eastAsia="Times New Roman" w:hAnsi="Cambria" w:cs="Times New Roman"/>
                <w:bCs/>
                <w:iCs/>
                <w:lang w:val="hr-HR"/>
              </w:rPr>
              <w:t>Femenić</w:t>
            </w:r>
            <w:proofErr w:type="spellEnd"/>
            <w:r w:rsidRPr="00DF4CE5">
              <w:rPr>
                <w:rFonts w:ascii="Cambria" w:eastAsia="Times New Roman" w:hAnsi="Cambria" w:cs="Times New Roman"/>
                <w:bCs/>
                <w:iCs/>
                <w:lang w:val="hr-HR"/>
              </w:rPr>
              <w:t xml:space="preserve">:“ Miš, repa i krumpir“ i „Slon i bubamara”, narodne pripovijetke: “Mačak, pijetao i lija”, “Djedova pogača”, “Djed i repa”, </w:t>
            </w:r>
            <w:proofErr w:type="spellStart"/>
            <w:r w:rsidRPr="00DF4CE5">
              <w:rPr>
                <w:rFonts w:ascii="Cambria" w:eastAsia="Times New Roman" w:hAnsi="Cambria" w:cs="Times New Roman"/>
                <w:bCs/>
                <w:iCs/>
                <w:lang w:val="hr-HR"/>
              </w:rPr>
              <w:t>Bjelišev</w:t>
            </w:r>
            <w:proofErr w:type="spellEnd"/>
            <w:r w:rsidRPr="00DF4CE5">
              <w:rPr>
                <w:rFonts w:ascii="Cambria" w:eastAsia="Times New Roman" w:hAnsi="Cambria" w:cs="Times New Roman"/>
                <w:bCs/>
                <w:iCs/>
                <w:lang w:val="hr-HR"/>
              </w:rPr>
              <w:t>: „Mače“ /</w:t>
            </w:r>
            <w:r w:rsidRPr="00DF4CE5">
              <w:rPr>
                <w:rFonts w:ascii="Cambria" w:eastAsia="Times New Roman" w:hAnsi="Cambria" w:cs="Times New Roman"/>
                <w:iCs/>
                <w:lang w:val="hr-HR"/>
              </w:rPr>
              <w:t xml:space="preserve"> potraga za identitetom / , </w:t>
            </w:r>
            <w:proofErr w:type="spellStart"/>
            <w:r w:rsidRPr="00DF4CE5">
              <w:rPr>
                <w:rFonts w:ascii="Cambria" w:eastAsia="Times New Roman" w:hAnsi="Cambria" w:cs="Times New Roman"/>
                <w:bCs/>
                <w:iCs/>
                <w:lang w:val="hr-HR"/>
              </w:rPr>
              <w:t>Peroci</w:t>
            </w:r>
            <w:proofErr w:type="spellEnd"/>
            <w:r w:rsidRPr="00DF4CE5">
              <w:rPr>
                <w:rFonts w:ascii="Cambria" w:eastAsia="Times New Roman" w:hAnsi="Cambria" w:cs="Times New Roman"/>
                <w:bCs/>
                <w:iCs/>
                <w:lang w:val="hr-HR"/>
              </w:rPr>
              <w:t xml:space="preserve">: “Maca </w:t>
            </w:r>
            <w:proofErr w:type="spellStart"/>
            <w:r w:rsidRPr="00DF4CE5">
              <w:rPr>
                <w:rFonts w:ascii="Cambria" w:eastAsia="Times New Roman" w:hAnsi="Cambria" w:cs="Times New Roman"/>
                <w:bCs/>
                <w:iCs/>
                <w:lang w:val="hr-HR"/>
              </w:rPr>
              <w:t>papučarica</w:t>
            </w:r>
            <w:proofErr w:type="spellEnd"/>
            <w:r w:rsidRPr="00DF4CE5">
              <w:rPr>
                <w:rFonts w:ascii="Cambria" w:eastAsia="Times New Roman" w:hAnsi="Cambria" w:cs="Times New Roman"/>
                <w:bCs/>
                <w:iCs/>
                <w:lang w:val="hr-HR"/>
              </w:rPr>
              <w:t xml:space="preserve">” </w:t>
            </w:r>
            <w:r w:rsidRPr="00DF4CE5">
              <w:rPr>
                <w:rFonts w:ascii="Cambria" w:eastAsia="Times New Roman" w:hAnsi="Cambria" w:cs="Times New Roman"/>
                <w:iCs/>
                <w:lang w:val="hr-HR"/>
              </w:rPr>
              <w:t>/ red i čistoća / ,</w:t>
            </w:r>
            <w:proofErr w:type="spellStart"/>
            <w:r w:rsidRPr="00DF4CE5">
              <w:rPr>
                <w:rFonts w:ascii="Cambria" w:eastAsia="Times New Roman" w:hAnsi="Cambria" w:cs="Times New Roman"/>
                <w:bCs/>
                <w:iCs/>
                <w:lang w:val="hr-HR"/>
              </w:rPr>
              <w:t>Škrinjarić</w:t>
            </w:r>
            <w:proofErr w:type="spellEnd"/>
            <w:r w:rsidRPr="00DF4CE5">
              <w:rPr>
                <w:rFonts w:ascii="Cambria" w:eastAsia="Times New Roman" w:hAnsi="Cambria" w:cs="Times New Roman"/>
                <w:bCs/>
                <w:iCs/>
                <w:lang w:val="hr-HR"/>
              </w:rPr>
              <w:t xml:space="preserve">: “Plesna haljina žutog maslačka” </w:t>
            </w:r>
            <w:r w:rsidRPr="00DF4CE5">
              <w:rPr>
                <w:rFonts w:ascii="Cambria" w:eastAsia="Times New Roman" w:hAnsi="Cambria" w:cs="Times New Roman"/>
                <w:iCs/>
                <w:lang w:val="hr-HR"/>
              </w:rPr>
              <w:t>/ suradnja, pomaganje, prijateljstvo /</w:t>
            </w:r>
            <w:r w:rsidRPr="00DF4CE5">
              <w:rPr>
                <w:rFonts w:ascii="Cambria" w:eastAsia="Times New Roman" w:hAnsi="Cambria" w:cs="Times New Roman"/>
                <w:bCs/>
                <w:iCs/>
                <w:lang w:val="hr-HR"/>
              </w:rPr>
              <w:t xml:space="preserve"> i “Nezadovoljna bubamara” </w:t>
            </w:r>
            <w:r w:rsidRPr="00DF4CE5">
              <w:rPr>
                <w:rFonts w:ascii="Cambria" w:eastAsia="Times New Roman" w:hAnsi="Cambria" w:cs="Times New Roman"/>
                <w:iCs/>
                <w:lang w:val="hr-HR"/>
              </w:rPr>
              <w:t>/ prirodna ljepota je važnija od lažne /,</w:t>
            </w:r>
            <w:r w:rsidRPr="00DF4CE5">
              <w:rPr>
                <w:rFonts w:ascii="Cambria" w:eastAsia="Times New Roman" w:hAnsi="Cambria" w:cs="Times New Roman"/>
                <w:bCs/>
                <w:iCs/>
                <w:lang w:val="hr-HR"/>
              </w:rPr>
              <w:t xml:space="preserve"> Vitez: „Ogledalce“ </w:t>
            </w:r>
            <w:r w:rsidRPr="00DF4CE5">
              <w:rPr>
                <w:rFonts w:ascii="Cambria" w:eastAsia="Times New Roman" w:hAnsi="Cambria" w:cs="Times New Roman"/>
                <w:iCs/>
                <w:lang w:val="hr-HR"/>
              </w:rPr>
              <w:t>/ mala komedija zabune / potraga za vlastitim identitetom /</w:t>
            </w:r>
          </w:p>
          <w:p w14:paraId="26A3B7F2" w14:textId="77777777" w:rsidR="00DB76CD" w:rsidRPr="00DF4CE5" w:rsidRDefault="00DB76CD" w:rsidP="00A034E3">
            <w:pPr>
              <w:numPr>
                <w:ilvl w:val="0"/>
                <w:numId w:val="42"/>
              </w:numPr>
              <w:spacing w:before="280" w:after="280" w:line="240" w:lineRule="auto"/>
              <w:contextualSpacing/>
              <w:rPr>
                <w:rFonts w:ascii="Cambria" w:eastAsia="Times New Roman" w:hAnsi="Cambria" w:cs="Times New Roman"/>
                <w:lang w:val="hr-HR"/>
              </w:rPr>
            </w:pPr>
            <w:r w:rsidRPr="00DF4CE5">
              <w:rPr>
                <w:rFonts w:ascii="Cambria" w:eastAsia="Times New Roman" w:hAnsi="Cambria" w:cs="Times New Roman"/>
                <w:bCs/>
                <w:lang w:val="hr-HR"/>
              </w:rPr>
              <w:t xml:space="preserve">Kazališni vrtuljak </w:t>
            </w:r>
            <w:r w:rsidRPr="00DF4CE5">
              <w:rPr>
                <w:rFonts w:ascii="Cambria" w:eastAsia="Times New Roman" w:hAnsi="Cambria" w:cs="Times New Roman"/>
                <w:lang w:val="hr-HR"/>
              </w:rPr>
              <w:br/>
              <w:t xml:space="preserve">Kazališni vrtuljak : zbornik hrvatskih igrokaza za djecu / priredila Zvjezdana </w:t>
            </w:r>
            <w:proofErr w:type="spellStart"/>
            <w:r w:rsidRPr="00DF4CE5">
              <w:rPr>
                <w:rFonts w:ascii="Cambria" w:eastAsia="Times New Roman" w:hAnsi="Cambria" w:cs="Times New Roman"/>
                <w:lang w:val="hr-HR"/>
              </w:rPr>
              <w:t>Ladika</w:t>
            </w:r>
            <w:proofErr w:type="spellEnd"/>
            <w:r w:rsidRPr="00DF4CE5">
              <w:rPr>
                <w:rFonts w:ascii="Cambria" w:eastAsia="Times New Roman" w:hAnsi="Cambria" w:cs="Times New Roman"/>
                <w:lang w:val="hr-HR"/>
              </w:rPr>
              <w:t>. - Zagreb : ABC naklada, 2001. - 285 str. ; 22 cm</w:t>
            </w:r>
          </w:p>
          <w:p w14:paraId="71D48246" w14:textId="77777777" w:rsidR="00DB76CD" w:rsidRPr="00DF4CE5" w:rsidRDefault="00DB76CD" w:rsidP="00A034E3">
            <w:pPr>
              <w:numPr>
                <w:ilvl w:val="0"/>
                <w:numId w:val="42"/>
              </w:numPr>
              <w:spacing w:before="280" w:after="280" w:line="240" w:lineRule="auto"/>
              <w:contextualSpacing/>
              <w:rPr>
                <w:rFonts w:ascii="Cambria" w:eastAsia="Times New Roman" w:hAnsi="Cambria" w:cs="Times New Roman"/>
                <w:iCs/>
                <w:lang w:val="hr-HR"/>
              </w:rPr>
            </w:pPr>
            <w:r w:rsidRPr="00DF4CE5">
              <w:rPr>
                <w:rFonts w:ascii="Cambria" w:eastAsia="Times New Roman" w:hAnsi="Cambria" w:cs="Times New Roman"/>
                <w:lang w:val="hr-HR"/>
              </w:rPr>
              <w:t xml:space="preserve">Zbornik dramskih tekstova namijenjen je školskim dramskim grupama, dječjim kazališnim studijima, dramskim grupama koje rade u okviru dječjih knjižnica, društva "Naša djeca" i svim onima koji se bave djecom i </w:t>
            </w:r>
            <w:proofErr w:type="spellStart"/>
            <w:r w:rsidRPr="00DF4CE5">
              <w:rPr>
                <w:rFonts w:ascii="Cambria" w:eastAsia="Times New Roman" w:hAnsi="Cambria" w:cs="Times New Roman"/>
                <w:lang w:val="hr-HR"/>
              </w:rPr>
              <w:t>razvijenjem</w:t>
            </w:r>
            <w:proofErr w:type="spellEnd"/>
            <w:r w:rsidRPr="00DF4CE5">
              <w:rPr>
                <w:rFonts w:ascii="Cambria" w:eastAsia="Times New Roman" w:hAnsi="Cambria" w:cs="Times New Roman"/>
                <w:lang w:val="hr-HR"/>
              </w:rPr>
              <w:t xml:space="preserve"> njihova scenskog stvaralaštva. Poredani slijedom dobnih granica od prvog do osmog razreda, scenski prilagodljivi raznim prostorima za izvedbu, dramski tekstovi važan su i vrijedan doprinos razvijanju senzibiliteta djece i njihovog emotivnog usmjerenja na spoznavanje ljepote i pravih vrijednosti u životu i umjetnosti. Na samom početku knjige autorica nam u uvodu pod naslovom „Napomene redateljima“ daje bitne upute o važnosti kazališta u razvijanju mlade ličnosti, pripremama za odabir i uvježbavanje predstave, odabiru dekora, kostima, rekvizita, glazbe, plesnih pokreta, pantomime, plakata i programa tj. svih </w:t>
            </w:r>
            <w:proofErr w:type="spellStart"/>
            <w:r w:rsidRPr="00DF4CE5">
              <w:rPr>
                <w:rFonts w:ascii="Cambria" w:eastAsia="Times New Roman" w:hAnsi="Cambria" w:cs="Times New Roman"/>
                <w:lang w:val="hr-HR"/>
              </w:rPr>
              <w:t>značajih</w:t>
            </w:r>
            <w:proofErr w:type="spellEnd"/>
            <w:r w:rsidRPr="00DF4CE5">
              <w:rPr>
                <w:rFonts w:ascii="Cambria" w:eastAsia="Times New Roman" w:hAnsi="Cambria" w:cs="Times New Roman"/>
                <w:lang w:val="hr-HR"/>
              </w:rPr>
              <w:t xml:space="preserve"> detalja scenske umjetnosti. Zbornik će nam pomoći da se s lakoćom i </w:t>
            </w:r>
            <w:proofErr w:type="spellStart"/>
            <w:r w:rsidRPr="00DF4CE5">
              <w:rPr>
                <w:rFonts w:ascii="Cambria" w:eastAsia="Times New Roman" w:hAnsi="Cambria" w:cs="Times New Roman"/>
                <w:lang w:val="hr-HR"/>
              </w:rPr>
              <w:t>staralačkim</w:t>
            </w:r>
            <w:proofErr w:type="spellEnd"/>
            <w:r w:rsidRPr="00DF4CE5">
              <w:rPr>
                <w:rFonts w:ascii="Cambria" w:eastAsia="Times New Roman" w:hAnsi="Cambria" w:cs="Times New Roman"/>
                <w:lang w:val="hr-HR"/>
              </w:rPr>
              <w:t xml:space="preserve"> užitkom, zajedno sa djecom upustimo u stvaranje kazališnih čarolija.                                                                     </w:t>
            </w:r>
            <w:r w:rsidRPr="00DF4CE5">
              <w:rPr>
                <w:rFonts w:ascii="Cambria" w:eastAsia="Times New Roman" w:hAnsi="Cambria" w:cs="Times New Roman"/>
                <w:bCs/>
                <w:iCs/>
                <w:lang w:val="hr-HR"/>
              </w:rPr>
              <w:t>Preporuka: Horvat-</w:t>
            </w:r>
            <w:proofErr w:type="spellStart"/>
            <w:r w:rsidRPr="00DF4CE5">
              <w:rPr>
                <w:rFonts w:ascii="Cambria" w:eastAsia="Times New Roman" w:hAnsi="Cambria" w:cs="Times New Roman"/>
                <w:bCs/>
                <w:iCs/>
                <w:lang w:val="hr-HR"/>
              </w:rPr>
              <w:t>Vukelja</w:t>
            </w:r>
            <w:proofErr w:type="spellEnd"/>
            <w:r w:rsidRPr="00DF4CE5">
              <w:rPr>
                <w:rFonts w:ascii="Cambria" w:eastAsia="Times New Roman" w:hAnsi="Cambria" w:cs="Times New Roman"/>
                <w:bCs/>
                <w:iCs/>
                <w:lang w:val="hr-HR"/>
              </w:rPr>
              <w:t xml:space="preserve">: „Zvonce traži sreću“ </w:t>
            </w:r>
            <w:r w:rsidRPr="00DF4CE5">
              <w:rPr>
                <w:rFonts w:ascii="Cambria" w:eastAsia="Times New Roman" w:hAnsi="Cambria" w:cs="Times New Roman"/>
                <w:iCs/>
                <w:lang w:val="hr-HR"/>
              </w:rPr>
              <w:t xml:space="preserve">/ potraga za </w:t>
            </w:r>
            <w:r w:rsidRPr="00DF4CE5">
              <w:rPr>
                <w:rFonts w:ascii="Cambria" w:eastAsia="Times New Roman" w:hAnsi="Cambria" w:cs="Times New Roman"/>
                <w:iCs/>
                <w:lang w:val="hr-HR"/>
              </w:rPr>
              <w:lastRenderedPageBreak/>
              <w:t>srećom /,</w:t>
            </w:r>
            <w:r w:rsidRPr="00DF4CE5">
              <w:rPr>
                <w:rFonts w:ascii="Cambria" w:eastAsia="Times New Roman" w:hAnsi="Cambria" w:cs="Times New Roman"/>
                <w:bCs/>
                <w:iCs/>
                <w:lang w:val="hr-HR"/>
              </w:rPr>
              <w:t xml:space="preserve"> Gavran: „Izgubljena vjeverica“ </w:t>
            </w:r>
            <w:r w:rsidRPr="00DF4CE5">
              <w:rPr>
                <w:rFonts w:ascii="Cambria" w:eastAsia="Times New Roman" w:hAnsi="Cambria" w:cs="Times New Roman"/>
                <w:iCs/>
                <w:lang w:val="hr-HR"/>
              </w:rPr>
              <w:t xml:space="preserve">/ ekološki /, </w:t>
            </w:r>
            <w:r w:rsidRPr="00DF4CE5">
              <w:rPr>
                <w:rFonts w:ascii="Cambria" w:eastAsia="Times New Roman" w:hAnsi="Cambria" w:cs="Times New Roman"/>
                <w:bCs/>
                <w:iCs/>
                <w:lang w:val="hr-HR"/>
              </w:rPr>
              <w:t xml:space="preserve">Paljetak: „Operacija </w:t>
            </w:r>
            <w:proofErr w:type="spellStart"/>
            <w:r w:rsidRPr="00DF4CE5">
              <w:rPr>
                <w:rFonts w:ascii="Cambria" w:eastAsia="Times New Roman" w:hAnsi="Cambria" w:cs="Times New Roman"/>
                <w:bCs/>
                <w:iCs/>
                <w:lang w:val="hr-HR"/>
              </w:rPr>
              <w:t>Mrnjau</w:t>
            </w:r>
            <w:proofErr w:type="spellEnd"/>
            <w:r w:rsidRPr="00DF4CE5">
              <w:rPr>
                <w:rFonts w:ascii="Cambria" w:eastAsia="Times New Roman" w:hAnsi="Cambria" w:cs="Times New Roman"/>
                <w:bCs/>
                <w:iCs/>
                <w:lang w:val="hr-HR"/>
              </w:rPr>
              <w:t xml:space="preserve"> ili tajanstvena krađa rođendanske torte“ , Stahuljak: „</w:t>
            </w:r>
            <w:proofErr w:type="spellStart"/>
            <w:r w:rsidRPr="00DF4CE5">
              <w:rPr>
                <w:rFonts w:ascii="Cambria" w:eastAsia="Times New Roman" w:hAnsi="Cambria" w:cs="Times New Roman"/>
                <w:bCs/>
                <w:iCs/>
                <w:lang w:val="hr-HR"/>
              </w:rPr>
              <w:t>Bjelkica</w:t>
            </w:r>
            <w:proofErr w:type="spellEnd"/>
            <w:r w:rsidRPr="00DF4CE5">
              <w:rPr>
                <w:rFonts w:ascii="Cambria" w:eastAsia="Times New Roman" w:hAnsi="Cambria" w:cs="Times New Roman"/>
                <w:bCs/>
                <w:iCs/>
                <w:lang w:val="hr-HR"/>
              </w:rPr>
              <w:t xml:space="preserve">“ </w:t>
            </w:r>
            <w:r w:rsidRPr="00DF4CE5">
              <w:rPr>
                <w:rFonts w:ascii="Cambria" w:eastAsia="Times New Roman" w:hAnsi="Cambria" w:cs="Times New Roman"/>
                <w:iCs/>
                <w:lang w:val="hr-HR"/>
              </w:rPr>
              <w:t>/</w:t>
            </w:r>
            <w:proofErr w:type="spellStart"/>
            <w:r w:rsidRPr="00DF4CE5">
              <w:rPr>
                <w:rFonts w:ascii="Cambria" w:eastAsia="Times New Roman" w:hAnsi="Cambria" w:cs="Times New Roman"/>
                <w:iCs/>
                <w:lang w:val="hr-HR"/>
              </w:rPr>
              <w:t>pastotalna</w:t>
            </w:r>
            <w:proofErr w:type="spellEnd"/>
            <w:r w:rsidRPr="00DF4CE5">
              <w:rPr>
                <w:rFonts w:ascii="Cambria" w:eastAsia="Times New Roman" w:hAnsi="Cambria" w:cs="Times New Roman"/>
                <w:iCs/>
                <w:lang w:val="hr-HR"/>
              </w:rPr>
              <w:t xml:space="preserve"> bajka / </w:t>
            </w:r>
            <w:proofErr w:type="spellStart"/>
            <w:r w:rsidRPr="00DF4CE5">
              <w:rPr>
                <w:rFonts w:ascii="Cambria" w:eastAsia="Times New Roman" w:hAnsi="Cambria" w:cs="Times New Roman"/>
                <w:bCs/>
                <w:iCs/>
                <w:lang w:val="hr-HR"/>
              </w:rPr>
              <w:t>Krilić</w:t>
            </w:r>
            <w:proofErr w:type="spellEnd"/>
            <w:r w:rsidRPr="00DF4CE5">
              <w:rPr>
                <w:rFonts w:ascii="Cambria" w:eastAsia="Times New Roman" w:hAnsi="Cambria" w:cs="Times New Roman"/>
                <w:bCs/>
                <w:iCs/>
                <w:lang w:val="hr-HR"/>
              </w:rPr>
              <w:t xml:space="preserve">: „Veliki zavodnik“, </w:t>
            </w:r>
            <w:proofErr w:type="spellStart"/>
            <w:r w:rsidRPr="00DF4CE5">
              <w:rPr>
                <w:rFonts w:ascii="Cambria" w:eastAsia="Times New Roman" w:hAnsi="Cambria" w:cs="Times New Roman"/>
                <w:bCs/>
                <w:iCs/>
                <w:lang w:val="hr-HR"/>
              </w:rPr>
              <w:t>Kupski</w:t>
            </w:r>
            <w:proofErr w:type="spellEnd"/>
            <w:r w:rsidRPr="00DF4CE5">
              <w:rPr>
                <w:rFonts w:ascii="Cambria" w:eastAsia="Times New Roman" w:hAnsi="Cambria" w:cs="Times New Roman"/>
                <w:bCs/>
                <w:iCs/>
                <w:lang w:val="hr-HR"/>
              </w:rPr>
              <w:t>: „Jadi mladog Pere“</w:t>
            </w:r>
            <w:r w:rsidRPr="00DF4CE5">
              <w:rPr>
                <w:rFonts w:ascii="Cambria" w:eastAsia="Times New Roman" w:hAnsi="Cambria" w:cs="Times New Roman"/>
                <w:bCs/>
                <w:iCs/>
                <w:lang w:val="hr-HR"/>
              </w:rPr>
              <w:br/>
            </w:r>
            <w:r w:rsidRPr="00DF4CE5">
              <w:rPr>
                <w:rFonts w:ascii="Cambria" w:eastAsia="Times New Roman" w:hAnsi="Cambria" w:cs="Times New Roman"/>
                <w:iCs/>
                <w:lang w:val="hr-HR"/>
              </w:rPr>
              <w:t>/ ljubav /</w:t>
            </w:r>
          </w:p>
          <w:p w14:paraId="00969C96" w14:textId="77777777" w:rsidR="00DB76CD" w:rsidRPr="00DF4CE5" w:rsidRDefault="00DB76CD" w:rsidP="00A034E3">
            <w:pPr>
              <w:numPr>
                <w:ilvl w:val="0"/>
                <w:numId w:val="42"/>
              </w:numPr>
              <w:spacing w:before="280" w:after="280" w:line="240" w:lineRule="auto"/>
              <w:contextualSpacing/>
              <w:rPr>
                <w:rFonts w:ascii="Cambria" w:eastAsia="Times New Roman" w:hAnsi="Cambria" w:cs="Times New Roman"/>
                <w:lang w:val="hr-HR"/>
              </w:rPr>
            </w:pPr>
            <w:proofErr w:type="spellStart"/>
            <w:r w:rsidRPr="00DF4CE5">
              <w:rPr>
                <w:rFonts w:ascii="Cambria" w:eastAsia="Times New Roman" w:hAnsi="Cambria" w:cs="Times New Roman"/>
                <w:bCs/>
                <w:lang w:val="hr-HR"/>
              </w:rPr>
              <w:t>Ladika</w:t>
            </w:r>
            <w:proofErr w:type="spellEnd"/>
            <w:r w:rsidRPr="00DF4CE5">
              <w:rPr>
                <w:rFonts w:ascii="Cambria" w:eastAsia="Times New Roman" w:hAnsi="Cambria" w:cs="Times New Roman"/>
                <w:bCs/>
                <w:lang w:val="hr-HR"/>
              </w:rPr>
              <w:t>, Zvjezdana, 1921-2004</w:t>
            </w:r>
            <w:r w:rsidRPr="00DF4CE5">
              <w:rPr>
                <w:rFonts w:ascii="Cambria" w:eastAsia="Times New Roman" w:hAnsi="Cambria" w:cs="Times New Roman"/>
                <w:lang w:val="hr-HR"/>
              </w:rPr>
              <w:br/>
              <w:t xml:space="preserve">Kazališne čarolije : zbirka igrokaza za kazališta za djecu i dramske grupe / Zvjezdana </w:t>
            </w:r>
            <w:proofErr w:type="spellStart"/>
            <w:r w:rsidRPr="00DF4CE5">
              <w:rPr>
                <w:rFonts w:ascii="Cambria" w:eastAsia="Times New Roman" w:hAnsi="Cambria" w:cs="Times New Roman"/>
                <w:lang w:val="hr-HR"/>
              </w:rPr>
              <w:t>Ladika</w:t>
            </w:r>
            <w:proofErr w:type="spellEnd"/>
            <w:r w:rsidRPr="00DF4CE5">
              <w:rPr>
                <w:rFonts w:ascii="Cambria" w:eastAsia="Times New Roman" w:hAnsi="Cambria" w:cs="Times New Roman"/>
                <w:lang w:val="hr-HR"/>
              </w:rPr>
              <w:t xml:space="preserve"> ; &lt;crteži Ivan Vitez&gt;. - Zagreb : Kazalište Mala scena, 2000. - 203 str. : </w:t>
            </w:r>
            <w:proofErr w:type="spellStart"/>
            <w:r w:rsidRPr="00DF4CE5">
              <w:rPr>
                <w:rFonts w:ascii="Cambria" w:eastAsia="Times New Roman" w:hAnsi="Cambria" w:cs="Times New Roman"/>
                <w:lang w:val="hr-HR"/>
              </w:rPr>
              <w:t>ilustr</w:t>
            </w:r>
            <w:proofErr w:type="spellEnd"/>
            <w:r w:rsidRPr="00DF4CE5">
              <w:rPr>
                <w:rFonts w:ascii="Cambria" w:eastAsia="Times New Roman" w:hAnsi="Cambria" w:cs="Times New Roman"/>
                <w:lang w:val="hr-HR"/>
              </w:rPr>
              <w:t>. ; 24 cm. - (Biblioteka Mala scena)</w:t>
            </w:r>
            <w:r w:rsidRPr="00DF4CE5">
              <w:rPr>
                <w:rFonts w:ascii="Cambria" w:eastAsia="Times New Roman" w:hAnsi="Cambria" w:cs="Times New Roman"/>
                <w:lang w:val="hr-HR"/>
              </w:rPr>
              <w:br/>
            </w:r>
            <w:r w:rsidRPr="00DF4CE5">
              <w:rPr>
                <w:rFonts w:ascii="Cambria" w:eastAsia="Times New Roman" w:hAnsi="Cambria" w:cs="Times New Roman"/>
                <w:lang w:val="hr-HR"/>
              </w:rPr>
              <w:br/>
              <w:t xml:space="preserve">Sedam kazališnih čarolija izvedenih na pozornici "Male scene" i "Zagrebačkog kazališta mladih", autorica je pretočila u knjigu i darovala nam djelić ljepote scenske umjetnosti. Svaki tekst koji se nalazi u ovoj knjizi može se ostvariti na više načina i razraditi u više lica, a na nama je da pročitamo i sa svojim glumcima - profesionalcima, amaterima, dramskim grupama djece i mladeži, ostvarimo scensku čaroliju. Igrokaze mogu izvoditi glumci, lutke, a u obzir dolazi i kombinacija igrane i lutkarske predstave. Zabavne, spretno dramski riješene, bajkovite fabule igrokaza, djeci nenametljivo upućuju edukativno - </w:t>
            </w:r>
            <w:proofErr w:type="spellStart"/>
            <w:r w:rsidRPr="00DF4CE5">
              <w:rPr>
                <w:rFonts w:ascii="Cambria" w:eastAsia="Times New Roman" w:hAnsi="Cambria" w:cs="Times New Roman"/>
                <w:lang w:val="hr-HR"/>
              </w:rPr>
              <w:t>padagoške</w:t>
            </w:r>
            <w:proofErr w:type="spellEnd"/>
            <w:r w:rsidRPr="00DF4CE5">
              <w:rPr>
                <w:rFonts w:ascii="Cambria" w:eastAsia="Times New Roman" w:hAnsi="Cambria" w:cs="Times New Roman"/>
                <w:lang w:val="hr-HR"/>
              </w:rPr>
              <w:t xml:space="preserve"> vrijednosti. </w:t>
            </w:r>
          </w:p>
          <w:p w14:paraId="2D01E25D" w14:textId="77777777" w:rsidR="00DB76CD" w:rsidRPr="00DF4CE5" w:rsidRDefault="00DB76CD" w:rsidP="00A034E3">
            <w:pPr>
              <w:numPr>
                <w:ilvl w:val="0"/>
                <w:numId w:val="42"/>
              </w:numPr>
              <w:spacing w:before="280" w:after="280" w:line="240" w:lineRule="auto"/>
              <w:contextualSpacing/>
              <w:rPr>
                <w:rFonts w:ascii="Cambria" w:eastAsia="Times New Roman" w:hAnsi="Cambria" w:cs="Times New Roman"/>
                <w:lang w:val="hr-HR"/>
              </w:rPr>
            </w:pPr>
            <w:proofErr w:type="spellStart"/>
            <w:r w:rsidRPr="00DF4CE5">
              <w:rPr>
                <w:rFonts w:ascii="Cambria" w:eastAsia="Times New Roman" w:hAnsi="Cambria" w:cs="Times New Roman"/>
                <w:bCs/>
                <w:lang w:val="hr-HR"/>
              </w:rPr>
              <w:t>Maštoplov</w:t>
            </w:r>
            <w:proofErr w:type="spellEnd"/>
            <w:r w:rsidRPr="00DF4CE5">
              <w:rPr>
                <w:rFonts w:ascii="Cambria" w:eastAsia="Times New Roman" w:hAnsi="Cambria" w:cs="Times New Roman"/>
                <w:lang w:val="hr-HR"/>
              </w:rPr>
              <w:br/>
            </w:r>
            <w:proofErr w:type="spellStart"/>
            <w:r w:rsidRPr="00DF4CE5">
              <w:rPr>
                <w:rFonts w:ascii="Cambria" w:eastAsia="Times New Roman" w:hAnsi="Cambria" w:cs="Times New Roman"/>
                <w:lang w:val="hr-HR"/>
              </w:rPr>
              <w:t>Maštoplov</w:t>
            </w:r>
            <w:proofErr w:type="spellEnd"/>
            <w:r w:rsidRPr="00DF4CE5">
              <w:rPr>
                <w:rFonts w:ascii="Cambria" w:eastAsia="Times New Roman" w:hAnsi="Cambria" w:cs="Times New Roman"/>
                <w:lang w:val="hr-HR"/>
              </w:rPr>
              <w:t xml:space="preserve"> : zbirka igrokaza za djecu i mlade / [urednica Ines </w:t>
            </w:r>
            <w:proofErr w:type="spellStart"/>
            <w:r w:rsidRPr="00DF4CE5">
              <w:rPr>
                <w:rFonts w:ascii="Cambria" w:eastAsia="Times New Roman" w:hAnsi="Cambria" w:cs="Times New Roman"/>
                <w:lang w:val="hr-HR"/>
              </w:rPr>
              <w:t>Škuflić</w:t>
            </w:r>
            <w:proofErr w:type="spellEnd"/>
            <w:r w:rsidRPr="00DF4CE5">
              <w:rPr>
                <w:rFonts w:ascii="Cambria" w:eastAsia="Times New Roman" w:hAnsi="Cambria" w:cs="Times New Roman"/>
                <w:lang w:val="hr-HR"/>
              </w:rPr>
              <w:t xml:space="preserve"> Horvat]. - Zagreb : Dramski studio Tirena, 2002. - 208 str. ; 20 cm. - (Biblioteka Tirena)</w:t>
            </w:r>
          </w:p>
          <w:p w14:paraId="3C55C248" w14:textId="77777777" w:rsidR="00DB76CD" w:rsidRPr="00DF4CE5" w:rsidRDefault="00DB76CD" w:rsidP="00A034E3">
            <w:pPr>
              <w:numPr>
                <w:ilvl w:val="0"/>
                <w:numId w:val="42"/>
              </w:numPr>
              <w:spacing w:before="280" w:after="280" w:line="240" w:lineRule="auto"/>
              <w:contextualSpacing/>
              <w:rPr>
                <w:rFonts w:ascii="Cambria" w:eastAsia="Times New Roman" w:hAnsi="Cambria" w:cs="Times New Roman"/>
                <w:bCs/>
                <w:iCs/>
                <w:lang w:val="hr-HR"/>
              </w:rPr>
            </w:pPr>
            <w:r w:rsidRPr="00DF4CE5">
              <w:rPr>
                <w:rFonts w:ascii="Cambria" w:eastAsia="Times New Roman" w:hAnsi="Cambria" w:cs="Times New Roman"/>
                <w:lang w:val="hr-HR"/>
              </w:rPr>
              <w:t>Zbornik koji se sastoji od dvanaest igrokaza nastalih improvizacijom. Gotovo su svi autori ujedno i voditelji dramskih grupa koji su se susreli s problemom nedostatka dramskih tekstova za mlade. Zadali su svojim grupama teme na koje su djeca improvizirala. Na taj način, svaki je od igrokaza izveden. Tekstovi su laki, lepršavi, životni, maštoviti. Scenografija i kostimi su jednostavni, pa ih lako mogu napraviti djeca i njihovi roditelji.</w:t>
            </w:r>
            <w:r w:rsidRPr="00DF4CE5">
              <w:rPr>
                <w:rFonts w:ascii="Cambria" w:eastAsia="Times New Roman" w:hAnsi="Cambria" w:cs="Times New Roman"/>
                <w:lang w:val="hr-HR"/>
              </w:rPr>
              <w:br/>
            </w:r>
            <w:r w:rsidRPr="00DF4CE5">
              <w:rPr>
                <w:rFonts w:ascii="Cambria" w:eastAsia="Times New Roman" w:hAnsi="Cambria" w:cs="Times New Roman"/>
                <w:bCs/>
                <w:iCs/>
                <w:lang w:val="hr-HR"/>
              </w:rPr>
              <w:t xml:space="preserve">Preporuka: </w:t>
            </w:r>
            <w:proofErr w:type="spellStart"/>
            <w:r w:rsidRPr="00DF4CE5">
              <w:rPr>
                <w:rFonts w:ascii="Cambria" w:eastAsia="Times New Roman" w:hAnsi="Cambria" w:cs="Times New Roman"/>
                <w:bCs/>
                <w:iCs/>
                <w:lang w:val="hr-HR"/>
              </w:rPr>
              <w:t>Wittenberg</w:t>
            </w:r>
            <w:proofErr w:type="spellEnd"/>
            <w:r w:rsidRPr="00DF4CE5">
              <w:rPr>
                <w:rFonts w:ascii="Cambria" w:eastAsia="Times New Roman" w:hAnsi="Cambria" w:cs="Times New Roman"/>
                <w:bCs/>
                <w:iCs/>
                <w:lang w:val="hr-HR"/>
              </w:rPr>
              <w:t>-Sviben. „Tko će biti Djed Mraz?“ Jakšić: “Ljubav? Obična glupost”</w:t>
            </w:r>
          </w:p>
          <w:p w14:paraId="410B27D9" w14:textId="77777777" w:rsidR="00DB76CD" w:rsidRPr="00DF4CE5" w:rsidRDefault="00DB76CD" w:rsidP="00A034E3">
            <w:pPr>
              <w:numPr>
                <w:ilvl w:val="0"/>
                <w:numId w:val="42"/>
              </w:numPr>
              <w:spacing w:before="280" w:after="280" w:line="240" w:lineRule="auto"/>
              <w:contextualSpacing/>
              <w:rPr>
                <w:rFonts w:ascii="Cambria" w:eastAsia="Times New Roman" w:hAnsi="Cambria" w:cs="Times New Roman"/>
                <w:iCs/>
                <w:lang w:val="hr-HR"/>
              </w:rPr>
            </w:pPr>
            <w:r w:rsidRPr="00DF4CE5">
              <w:rPr>
                <w:rFonts w:ascii="Cambria" w:eastAsia="Times New Roman" w:hAnsi="Cambria" w:cs="Times New Roman"/>
                <w:bCs/>
                <w:lang w:val="hr-HR"/>
              </w:rPr>
              <w:t xml:space="preserve">Od riječi do igre </w:t>
            </w:r>
            <w:r w:rsidRPr="00DF4CE5">
              <w:rPr>
                <w:rFonts w:ascii="Cambria" w:eastAsia="Times New Roman" w:hAnsi="Cambria" w:cs="Times New Roman"/>
                <w:lang w:val="hr-HR"/>
              </w:rPr>
              <w:br/>
              <w:t xml:space="preserve">Od riječi do igre : izbor dramskih i lutkarskih tekstova / </w:t>
            </w:r>
            <w:proofErr w:type="spellStart"/>
            <w:r w:rsidRPr="00DF4CE5">
              <w:rPr>
                <w:rFonts w:ascii="Cambria" w:eastAsia="Times New Roman" w:hAnsi="Cambria" w:cs="Times New Roman"/>
                <w:lang w:val="hr-HR"/>
              </w:rPr>
              <w:t>priedioJoža</w:t>
            </w:r>
            <w:proofErr w:type="spellEnd"/>
            <w:r w:rsidRPr="00DF4CE5">
              <w:rPr>
                <w:rFonts w:ascii="Cambria" w:eastAsia="Times New Roman" w:hAnsi="Cambria" w:cs="Times New Roman"/>
                <w:lang w:val="hr-HR"/>
              </w:rPr>
              <w:t xml:space="preserve"> Skok. - Zagreb [</w:t>
            </w:r>
            <w:proofErr w:type="spellStart"/>
            <w:r w:rsidRPr="00DF4CE5">
              <w:rPr>
                <w:rFonts w:ascii="Cambria" w:eastAsia="Times New Roman" w:hAnsi="Cambria" w:cs="Times New Roman"/>
                <w:lang w:val="hr-HR"/>
              </w:rPr>
              <w:t>etc</w:t>
            </w:r>
            <w:proofErr w:type="spellEnd"/>
            <w:r w:rsidRPr="00DF4CE5">
              <w:rPr>
                <w:rFonts w:ascii="Cambria" w:eastAsia="Times New Roman" w:hAnsi="Cambria" w:cs="Times New Roman"/>
                <w:lang w:val="hr-HR"/>
              </w:rPr>
              <w:t>.] : Školska knjiga [</w:t>
            </w:r>
            <w:proofErr w:type="spellStart"/>
            <w:r w:rsidRPr="00DF4CE5">
              <w:rPr>
                <w:rFonts w:ascii="Cambria" w:eastAsia="Times New Roman" w:hAnsi="Cambria" w:cs="Times New Roman"/>
                <w:lang w:val="hr-HR"/>
              </w:rPr>
              <w:t>etc</w:t>
            </w:r>
            <w:proofErr w:type="spellEnd"/>
            <w:r w:rsidRPr="00DF4CE5">
              <w:rPr>
                <w:rFonts w:ascii="Cambria" w:eastAsia="Times New Roman" w:hAnsi="Cambria" w:cs="Times New Roman"/>
                <w:lang w:val="hr-HR"/>
              </w:rPr>
              <w:t xml:space="preserve">.], 1985. - 257 str. ; 21 cm                                                                                                  </w:t>
            </w:r>
            <w:r w:rsidRPr="00DF4CE5">
              <w:rPr>
                <w:rFonts w:ascii="Cambria" w:eastAsia="Times New Roman" w:hAnsi="Cambria" w:cs="Times New Roman"/>
                <w:bCs/>
                <w:iCs/>
                <w:lang w:val="hr-HR"/>
              </w:rPr>
              <w:t xml:space="preserve">Preporuka: </w:t>
            </w:r>
            <w:proofErr w:type="spellStart"/>
            <w:r w:rsidRPr="00DF4CE5">
              <w:rPr>
                <w:rFonts w:ascii="Cambria" w:eastAsia="Times New Roman" w:hAnsi="Cambria" w:cs="Times New Roman"/>
                <w:bCs/>
                <w:iCs/>
                <w:lang w:val="hr-HR"/>
              </w:rPr>
              <w:t>Krilić</w:t>
            </w:r>
            <w:proofErr w:type="spellEnd"/>
            <w:r w:rsidRPr="00DF4CE5">
              <w:rPr>
                <w:rFonts w:ascii="Cambria" w:eastAsia="Times New Roman" w:hAnsi="Cambria" w:cs="Times New Roman"/>
                <w:bCs/>
                <w:iCs/>
                <w:lang w:val="hr-HR"/>
              </w:rPr>
              <w:t xml:space="preserve">: “Gozba u ponoć” </w:t>
            </w:r>
            <w:r w:rsidRPr="00DF4CE5">
              <w:rPr>
                <w:rFonts w:ascii="Cambria" w:eastAsia="Times New Roman" w:hAnsi="Cambria" w:cs="Times New Roman"/>
                <w:iCs/>
                <w:lang w:val="hr-HR"/>
              </w:rPr>
              <w:t>/ humoristički /</w:t>
            </w:r>
          </w:p>
          <w:p w14:paraId="64049056" w14:textId="77777777" w:rsidR="00DB76CD" w:rsidRPr="00DF4CE5" w:rsidRDefault="00DB76CD" w:rsidP="00A034E3">
            <w:pPr>
              <w:numPr>
                <w:ilvl w:val="0"/>
                <w:numId w:val="42"/>
              </w:numPr>
              <w:spacing w:before="280" w:after="280" w:line="240" w:lineRule="auto"/>
              <w:contextualSpacing/>
              <w:rPr>
                <w:rFonts w:ascii="Cambria" w:eastAsia="Times New Roman" w:hAnsi="Cambria" w:cs="Times New Roman"/>
                <w:lang w:val="hr-HR"/>
              </w:rPr>
            </w:pPr>
            <w:r w:rsidRPr="00DF4CE5">
              <w:rPr>
                <w:rFonts w:ascii="Cambria" w:eastAsia="Times New Roman" w:hAnsi="Cambria" w:cs="Times New Roman"/>
                <w:bCs/>
                <w:lang w:val="hr-HR"/>
              </w:rPr>
              <w:t xml:space="preserve">Razigrane riječi </w:t>
            </w:r>
            <w:r w:rsidRPr="00DF4CE5">
              <w:rPr>
                <w:rFonts w:ascii="Cambria" w:eastAsia="Times New Roman" w:hAnsi="Cambria" w:cs="Times New Roman"/>
                <w:lang w:val="hr-HR"/>
              </w:rPr>
              <w:br/>
              <w:t xml:space="preserve">Razigrane riječi : zbornik igrokaza / &lt;priredio&gt;Joža Skok ; &lt;ilustrirao Boris Kolar&gt;. - Zagreb : Školska knjiga, 1994. - 403 str. : </w:t>
            </w:r>
            <w:proofErr w:type="spellStart"/>
            <w:r w:rsidRPr="00DF4CE5">
              <w:rPr>
                <w:rFonts w:ascii="Cambria" w:eastAsia="Times New Roman" w:hAnsi="Cambria" w:cs="Times New Roman"/>
                <w:lang w:val="hr-HR"/>
              </w:rPr>
              <w:t>ilustr</w:t>
            </w:r>
            <w:proofErr w:type="spellEnd"/>
            <w:r w:rsidRPr="00DF4CE5">
              <w:rPr>
                <w:rFonts w:ascii="Cambria" w:eastAsia="Times New Roman" w:hAnsi="Cambria" w:cs="Times New Roman"/>
                <w:lang w:val="hr-HR"/>
              </w:rPr>
              <w:t>. ; 24 cm</w:t>
            </w:r>
          </w:p>
          <w:p w14:paraId="1E2231A6" w14:textId="77777777" w:rsidR="00DB76CD" w:rsidRPr="00DF4CE5" w:rsidRDefault="00DB76CD" w:rsidP="00A034E3">
            <w:pPr>
              <w:numPr>
                <w:ilvl w:val="0"/>
                <w:numId w:val="42"/>
              </w:numPr>
              <w:spacing w:before="280" w:after="240" w:line="240" w:lineRule="auto"/>
              <w:contextualSpacing/>
              <w:rPr>
                <w:rFonts w:ascii="Cambria" w:eastAsia="Times New Roman" w:hAnsi="Cambria" w:cs="Times New Roman"/>
                <w:iCs/>
                <w:lang w:val="hr-HR"/>
              </w:rPr>
            </w:pPr>
            <w:r w:rsidRPr="00DF4CE5">
              <w:rPr>
                <w:rFonts w:ascii="Cambria" w:eastAsia="Times New Roman" w:hAnsi="Cambria" w:cs="Times New Roman"/>
                <w:bCs/>
                <w:iCs/>
                <w:lang w:val="hr-HR"/>
              </w:rPr>
              <w:t>Preporuka: Iveljić: „</w:t>
            </w:r>
            <w:proofErr w:type="spellStart"/>
            <w:r w:rsidRPr="00DF4CE5">
              <w:rPr>
                <w:rFonts w:ascii="Cambria" w:eastAsia="Times New Roman" w:hAnsi="Cambria" w:cs="Times New Roman"/>
                <w:bCs/>
                <w:iCs/>
                <w:lang w:val="hr-HR"/>
              </w:rPr>
              <w:t>Balonijada</w:t>
            </w:r>
            <w:proofErr w:type="spellEnd"/>
            <w:r w:rsidRPr="00DF4CE5">
              <w:rPr>
                <w:rFonts w:ascii="Cambria" w:eastAsia="Times New Roman" w:hAnsi="Cambria" w:cs="Times New Roman"/>
                <w:bCs/>
                <w:iCs/>
                <w:lang w:val="hr-HR"/>
              </w:rPr>
              <w:t xml:space="preserve">“ </w:t>
            </w:r>
            <w:r w:rsidRPr="00DF4CE5">
              <w:rPr>
                <w:rFonts w:ascii="Cambria" w:eastAsia="Times New Roman" w:hAnsi="Cambria" w:cs="Times New Roman"/>
                <w:iCs/>
                <w:lang w:val="hr-HR"/>
              </w:rPr>
              <w:t>/ život u skladu s vlastitim mogućnostima / ,</w:t>
            </w:r>
            <w:r w:rsidRPr="00DF4CE5">
              <w:rPr>
                <w:rFonts w:ascii="Cambria" w:eastAsia="Times New Roman" w:hAnsi="Cambria" w:cs="Times New Roman"/>
                <w:bCs/>
                <w:iCs/>
                <w:lang w:val="hr-HR"/>
              </w:rPr>
              <w:t xml:space="preserve"> Horvat-</w:t>
            </w:r>
            <w:proofErr w:type="spellStart"/>
            <w:r w:rsidRPr="00DF4CE5">
              <w:rPr>
                <w:rFonts w:ascii="Cambria" w:eastAsia="Times New Roman" w:hAnsi="Cambria" w:cs="Times New Roman"/>
                <w:bCs/>
                <w:iCs/>
                <w:lang w:val="hr-HR"/>
              </w:rPr>
              <w:t>Vukelja</w:t>
            </w:r>
            <w:proofErr w:type="spellEnd"/>
            <w:r w:rsidRPr="00DF4CE5">
              <w:rPr>
                <w:rFonts w:ascii="Cambria" w:eastAsia="Times New Roman" w:hAnsi="Cambria" w:cs="Times New Roman"/>
                <w:bCs/>
                <w:iCs/>
                <w:lang w:val="hr-HR"/>
              </w:rPr>
              <w:t xml:space="preserve">: „Reumatični kišobran“ </w:t>
            </w:r>
            <w:r w:rsidRPr="00DF4CE5">
              <w:rPr>
                <w:rFonts w:ascii="Cambria" w:eastAsia="Times New Roman" w:hAnsi="Cambria" w:cs="Times New Roman"/>
                <w:iCs/>
                <w:lang w:val="hr-HR"/>
              </w:rPr>
              <w:t>/ pomoć drugima /</w:t>
            </w:r>
            <w:r w:rsidRPr="00DF4CE5">
              <w:rPr>
                <w:rFonts w:ascii="Cambria" w:eastAsia="Times New Roman" w:hAnsi="Cambria" w:cs="Times New Roman"/>
                <w:bCs/>
                <w:iCs/>
                <w:lang w:val="hr-HR"/>
              </w:rPr>
              <w:t xml:space="preserve"> i „</w:t>
            </w:r>
            <w:proofErr w:type="spellStart"/>
            <w:r w:rsidRPr="00DF4CE5">
              <w:rPr>
                <w:rFonts w:ascii="Cambria" w:eastAsia="Times New Roman" w:hAnsi="Cambria" w:cs="Times New Roman"/>
                <w:bCs/>
                <w:iCs/>
                <w:lang w:val="hr-HR"/>
              </w:rPr>
              <w:t>Čarapčić</w:t>
            </w:r>
            <w:proofErr w:type="spellEnd"/>
            <w:r w:rsidRPr="00DF4CE5">
              <w:rPr>
                <w:rFonts w:ascii="Cambria" w:eastAsia="Times New Roman" w:hAnsi="Cambria" w:cs="Times New Roman"/>
                <w:bCs/>
                <w:iCs/>
                <w:lang w:val="hr-HR"/>
              </w:rPr>
              <w:t xml:space="preserve">“ </w:t>
            </w:r>
            <w:r w:rsidRPr="00DF4CE5">
              <w:rPr>
                <w:rFonts w:ascii="Cambria" w:eastAsia="Times New Roman" w:hAnsi="Cambria" w:cs="Times New Roman"/>
                <w:iCs/>
                <w:lang w:val="hr-HR"/>
              </w:rPr>
              <w:t xml:space="preserve">/ održavanje higijene / </w:t>
            </w:r>
            <w:r w:rsidRPr="00DF4CE5">
              <w:rPr>
                <w:rFonts w:ascii="Cambria" w:eastAsia="Times New Roman" w:hAnsi="Cambria" w:cs="Times New Roman"/>
                <w:bCs/>
                <w:iCs/>
                <w:lang w:val="hr-HR"/>
              </w:rPr>
              <w:t>Zidar-</w:t>
            </w:r>
            <w:proofErr w:type="spellStart"/>
            <w:r w:rsidRPr="00DF4CE5">
              <w:rPr>
                <w:rFonts w:ascii="Cambria" w:eastAsia="Times New Roman" w:hAnsi="Cambria" w:cs="Times New Roman"/>
                <w:bCs/>
                <w:iCs/>
                <w:lang w:val="hr-HR"/>
              </w:rPr>
              <w:t>Bogadi</w:t>
            </w:r>
            <w:proofErr w:type="spellEnd"/>
            <w:r w:rsidRPr="00DF4CE5">
              <w:rPr>
                <w:rFonts w:ascii="Cambria" w:eastAsia="Times New Roman" w:hAnsi="Cambria" w:cs="Times New Roman"/>
                <w:bCs/>
                <w:iCs/>
                <w:lang w:val="hr-HR"/>
              </w:rPr>
              <w:t xml:space="preserve">: „Povijesna uloga mačke u Svemiru“ </w:t>
            </w:r>
            <w:r w:rsidRPr="00DF4CE5">
              <w:rPr>
                <w:rFonts w:ascii="Cambria" w:eastAsia="Times New Roman" w:hAnsi="Cambria" w:cs="Times New Roman"/>
                <w:iCs/>
                <w:lang w:val="hr-HR"/>
              </w:rPr>
              <w:t>/ humoristični /</w:t>
            </w:r>
          </w:p>
          <w:p w14:paraId="20D77131" w14:textId="77777777" w:rsidR="00DB76CD" w:rsidRPr="00DF4CE5" w:rsidRDefault="00DB76CD" w:rsidP="00A034E3">
            <w:pPr>
              <w:numPr>
                <w:ilvl w:val="0"/>
                <w:numId w:val="42"/>
              </w:numPr>
              <w:spacing w:before="280" w:after="280" w:line="240" w:lineRule="auto"/>
              <w:contextualSpacing/>
              <w:rPr>
                <w:rFonts w:ascii="Cambria" w:eastAsia="Times New Roman" w:hAnsi="Cambria" w:cs="Times New Roman"/>
                <w:lang w:val="hr-HR"/>
              </w:rPr>
            </w:pPr>
            <w:proofErr w:type="spellStart"/>
            <w:r w:rsidRPr="00DF4CE5">
              <w:rPr>
                <w:rFonts w:ascii="Cambria" w:eastAsia="Times New Roman" w:hAnsi="Cambria" w:cs="Times New Roman"/>
                <w:bCs/>
                <w:lang w:val="hr-HR"/>
              </w:rPr>
              <w:t>Škrinjarić</w:t>
            </w:r>
            <w:proofErr w:type="spellEnd"/>
            <w:r w:rsidRPr="00DF4CE5">
              <w:rPr>
                <w:rFonts w:ascii="Cambria" w:eastAsia="Times New Roman" w:hAnsi="Cambria" w:cs="Times New Roman"/>
                <w:bCs/>
                <w:lang w:val="hr-HR"/>
              </w:rPr>
              <w:t>, Sunčana, 1931-2004</w:t>
            </w:r>
            <w:r w:rsidRPr="00DF4CE5">
              <w:rPr>
                <w:rFonts w:ascii="Cambria" w:eastAsia="Times New Roman" w:hAnsi="Cambria" w:cs="Times New Roman"/>
                <w:lang w:val="hr-HR"/>
              </w:rPr>
              <w:br/>
              <w:t xml:space="preserve">Začuđena zemlja i oko nje / Sunčana </w:t>
            </w:r>
            <w:proofErr w:type="spellStart"/>
            <w:r w:rsidRPr="00DF4CE5">
              <w:rPr>
                <w:rFonts w:ascii="Cambria" w:eastAsia="Times New Roman" w:hAnsi="Cambria" w:cs="Times New Roman"/>
                <w:lang w:val="hr-HR"/>
              </w:rPr>
              <w:t>Škrinjarić</w:t>
            </w:r>
            <w:proofErr w:type="spellEnd"/>
            <w:r w:rsidRPr="00DF4CE5">
              <w:rPr>
                <w:rFonts w:ascii="Cambria" w:eastAsia="Times New Roman" w:hAnsi="Cambria" w:cs="Times New Roman"/>
                <w:lang w:val="hr-HR"/>
              </w:rPr>
              <w:t xml:space="preserve"> ; &lt;ilustrator Ivica </w:t>
            </w:r>
            <w:proofErr w:type="spellStart"/>
            <w:r w:rsidRPr="00DF4CE5">
              <w:rPr>
                <w:rFonts w:ascii="Cambria" w:eastAsia="Times New Roman" w:hAnsi="Cambria" w:cs="Times New Roman"/>
                <w:lang w:val="hr-HR"/>
              </w:rPr>
              <w:lastRenderedPageBreak/>
              <w:t>Antolčić</w:t>
            </w:r>
            <w:proofErr w:type="spellEnd"/>
            <w:r w:rsidRPr="00DF4CE5">
              <w:rPr>
                <w:rFonts w:ascii="Cambria" w:eastAsia="Times New Roman" w:hAnsi="Cambria" w:cs="Times New Roman"/>
                <w:lang w:val="hr-HR"/>
              </w:rPr>
              <w:t xml:space="preserve">&gt;. - Zagreb : </w:t>
            </w:r>
            <w:proofErr w:type="spellStart"/>
            <w:r w:rsidRPr="00DF4CE5">
              <w:rPr>
                <w:rFonts w:ascii="Cambria" w:eastAsia="Times New Roman" w:hAnsi="Cambria" w:cs="Times New Roman"/>
                <w:lang w:val="hr-HR"/>
              </w:rPr>
              <w:t>Disput</w:t>
            </w:r>
            <w:proofErr w:type="spellEnd"/>
            <w:r w:rsidRPr="00DF4CE5">
              <w:rPr>
                <w:rFonts w:ascii="Cambria" w:eastAsia="Times New Roman" w:hAnsi="Cambria" w:cs="Times New Roman"/>
                <w:lang w:val="hr-HR"/>
              </w:rPr>
              <w:t xml:space="preserve">, 2002. - 316 str. : </w:t>
            </w:r>
            <w:proofErr w:type="spellStart"/>
            <w:r w:rsidRPr="00DF4CE5">
              <w:rPr>
                <w:rFonts w:ascii="Cambria" w:eastAsia="Times New Roman" w:hAnsi="Cambria" w:cs="Times New Roman"/>
                <w:lang w:val="hr-HR"/>
              </w:rPr>
              <w:t>ilustr</w:t>
            </w:r>
            <w:proofErr w:type="spellEnd"/>
            <w:r w:rsidRPr="00DF4CE5">
              <w:rPr>
                <w:rFonts w:ascii="Cambria" w:eastAsia="Times New Roman" w:hAnsi="Cambria" w:cs="Times New Roman"/>
                <w:lang w:val="hr-HR"/>
              </w:rPr>
              <w:t>. ; 21 cm. - (Biblioteka Lektira plus ; knj. 2)</w:t>
            </w:r>
          </w:p>
          <w:p w14:paraId="041E2E02" w14:textId="77777777" w:rsidR="00DB76CD" w:rsidRPr="00DF4CE5" w:rsidRDefault="00DB76CD" w:rsidP="00A034E3">
            <w:pPr>
              <w:numPr>
                <w:ilvl w:val="0"/>
                <w:numId w:val="42"/>
              </w:numPr>
              <w:spacing w:before="280" w:after="280" w:line="240" w:lineRule="auto"/>
              <w:contextualSpacing/>
              <w:rPr>
                <w:rFonts w:ascii="Cambria" w:eastAsia="Times New Roman" w:hAnsi="Cambria" w:cs="Times New Roman"/>
                <w:iCs/>
                <w:lang w:val="hr-HR"/>
              </w:rPr>
            </w:pPr>
            <w:r w:rsidRPr="00DF4CE5">
              <w:rPr>
                <w:rFonts w:ascii="Cambria" w:eastAsia="Times New Roman" w:hAnsi="Cambria" w:cs="Times New Roman"/>
                <w:lang w:val="hr-HR"/>
              </w:rPr>
              <w:t xml:space="preserve">U ovoj knjizi je prvi put objavljen veći dio dramskog opusa Sunčane </w:t>
            </w:r>
            <w:proofErr w:type="spellStart"/>
            <w:r w:rsidRPr="00DF4CE5">
              <w:rPr>
                <w:rFonts w:ascii="Cambria" w:eastAsia="Times New Roman" w:hAnsi="Cambria" w:cs="Times New Roman"/>
                <w:lang w:val="hr-HR"/>
              </w:rPr>
              <w:t>Škrinjarić</w:t>
            </w:r>
            <w:proofErr w:type="spellEnd"/>
            <w:r w:rsidRPr="00DF4CE5">
              <w:rPr>
                <w:rFonts w:ascii="Cambria" w:eastAsia="Times New Roman" w:hAnsi="Cambria" w:cs="Times New Roman"/>
                <w:lang w:val="hr-HR"/>
              </w:rPr>
              <w:t xml:space="preserve"> namijenjenog djeci. Zbirka je rezultat pomalo neuobičajenog izdavačkog pothvata, te uključuje različite dramske žanrove: tekstove za kazalište, radio, za televiziju. To su zapravo priče u dijaloškoj formi nastale u razdoblju između 1965. i 1994 i namijenjene su ne samo stručnoj, već široj čitalačkoj publici.</w:t>
            </w:r>
            <w:r w:rsidRPr="00DF4CE5">
              <w:rPr>
                <w:rFonts w:ascii="Cambria" w:eastAsia="Times New Roman" w:hAnsi="Cambria" w:cs="Times New Roman"/>
                <w:lang w:val="hr-HR"/>
              </w:rPr>
              <w:br/>
            </w:r>
            <w:r w:rsidRPr="00DF4CE5">
              <w:rPr>
                <w:rFonts w:ascii="Cambria" w:eastAsia="Times New Roman" w:hAnsi="Cambria" w:cs="Times New Roman"/>
                <w:bCs/>
                <w:iCs/>
                <w:lang w:val="hr-HR"/>
              </w:rPr>
              <w:t xml:space="preserve">Preporuka: “Ptice”, Konzerve”, „Kiša“ </w:t>
            </w:r>
            <w:r w:rsidRPr="00DF4CE5">
              <w:rPr>
                <w:rFonts w:ascii="Cambria" w:eastAsia="Times New Roman" w:hAnsi="Cambria" w:cs="Times New Roman"/>
                <w:iCs/>
                <w:lang w:val="hr-HR"/>
              </w:rPr>
              <w:t>/ kratki humoristički igrokazi /,</w:t>
            </w:r>
            <w:r w:rsidRPr="00DF4CE5">
              <w:rPr>
                <w:rFonts w:ascii="Cambria" w:eastAsia="Times New Roman" w:hAnsi="Cambria" w:cs="Times New Roman"/>
                <w:bCs/>
                <w:iCs/>
                <w:lang w:val="hr-HR"/>
              </w:rPr>
              <w:t xml:space="preserve"> “Bajka o maslačku” </w:t>
            </w:r>
            <w:r w:rsidRPr="00DF4CE5">
              <w:rPr>
                <w:rFonts w:ascii="Cambria" w:eastAsia="Times New Roman" w:hAnsi="Cambria" w:cs="Times New Roman"/>
                <w:iCs/>
                <w:lang w:val="hr-HR"/>
              </w:rPr>
              <w:t>/ pomaganje drugima / ,</w:t>
            </w:r>
            <w:r w:rsidRPr="00DF4CE5">
              <w:rPr>
                <w:rFonts w:ascii="Cambria" w:eastAsia="Times New Roman" w:hAnsi="Cambria" w:cs="Times New Roman"/>
                <w:bCs/>
                <w:iCs/>
                <w:lang w:val="hr-HR"/>
              </w:rPr>
              <w:t xml:space="preserve"> “Nezadovoljna bubamara” </w:t>
            </w:r>
            <w:r w:rsidRPr="00DF4CE5">
              <w:rPr>
                <w:rFonts w:ascii="Cambria" w:eastAsia="Times New Roman" w:hAnsi="Cambria" w:cs="Times New Roman"/>
                <w:iCs/>
                <w:lang w:val="hr-HR"/>
              </w:rPr>
              <w:t>/</w:t>
            </w:r>
            <w:proofErr w:type="spellStart"/>
            <w:r w:rsidRPr="00DF4CE5">
              <w:rPr>
                <w:rFonts w:ascii="Cambria" w:eastAsia="Times New Roman" w:hAnsi="Cambria" w:cs="Times New Roman"/>
                <w:iCs/>
                <w:lang w:val="hr-HR"/>
              </w:rPr>
              <w:t>priodna</w:t>
            </w:r>
            <w:proofErr w:type="spellEnd"/>
            <w:r w:rsidRPr="00DF4CE5">
              <w:rPr>
                <w:rFonts w:ascii="Cambria" w:eastAsia="Times New Roman" w:hAnsi="Cambria" w:cs="Times New Roman"/>
                <w:iCs/>
                <w:lang w:val="hr-HR"/>
              </w:rPr>
              <w:t xml:space="preserve"> ljepota je bolja od lažne /,</w:t>
            </w:r>
            <w:r w:rsidRPr="00DF4CE5">
              <w:rPr>
                <w:rFonts w:ascii="Cambria" w:eastAsia="Times New Roman" w:hAnsi="Cambria" w:cs="Times New Roman"/>
                <w:bCs/>
                <w:iCs/>
                <w:lang w:val="hr-HR"/>
              </w:rPr>
              <w:t xml:space="preserve">“Dućan kod svrake” </w:t>
            </w:r>
            <w:r w:rsidRPr="00DF4CE5">
              <w:rPr>
                <w:rFonts w:ascii="Cambria" w:eastAsia="Times New Roman" w:hAnsi="Cambria" w:cs="Times New Roman"/>
                <w:iCs/>
                <w:lang w:val="hr-HR"/>
              </w:rPr>
              <w:t xml:space="preserve">/ pomaganje drugima /, </w:t>
            </w:r>
            <w:r w:rsidRPr="00DF4CE5">
              <w:rPr>
                <w:rFonts w:ascii="Cambria" w:eastAsia="Times New Roman" w:hAnsi="Cambria" w:cs="Times New Roman"/>
                <w:bCs/>
                <w:iCs/>
                <w:lang w:val="hr-HR"/>
              </w:rPr>
              <w:t xml:space="preserve">“Priča o vrganju, muhari i ciklami” </w:t>
            </w:r>
            <w:r w:rsidRPr="00DF4CE5">
              <w:rPr>
                <w:rFonts w:ascii="Cambria" w:eastAsia="Times New Roman" w:hAnsi="Cambria" w:cs="Times New Roman"/>
                <w:iCs/>
                <w:lang w:val="hr-HR"/>
              </w:rPr>
              <w:t>/ uobraženost i skromnost /</w:t>
            </w:r>
          </w:p>
          <w:p w14:paraId="14D7C7F7" w14:textId="77777777" w:rsidR="00DB76CD" w:rsidRPr="00DF4CE5" w:rsidRDefault="00DB76CD" w:rsidP="00A034E3">
            <w:pPr>
              <w:numPr>
                <w:ilvl w:val="0"/>
                <w:numId w:val="42"/>
              </w:numPr>
              <w:spacing w:before="280" w:after="280" w:line="240" w:lineRule="auto"/>
              <w:contextualSpacing/>
              <w:rPr>
                <w:rFonts w:ascii="Cambria" w:eastAsia="Times New Roman" w:hAnsi="Cambria" w:cs="Times New Roman"/>
                <w:lang w:val="hr-HR"/>
              </w:rPr>
            </w:pPr>
            <w:r w:rsidRPr="00DF4CE5">
              <w:rPr>
                <w:rFonts w:ascii="Cambria" w:eastAsia="Times New Roman" w:hAnsi="Cambria" w:cs="Times New Roman"/>
                <w:bCs/>
                <w:lang w:val="hr-HR"/>
              </w:rPr>
              <w:t>Zbornik igrokaza</w:t>
            </w:r>
            <w:r w:rsidRPr="00DF4CE5">
              <w:rPr>
                <w:rFonts w:ascii="Cambria" w:eastAsia="Times New Roman" w:hAnsi="Cambria" w:cs="Times New Roman"/>
                <w:lang w:val="hr-HR"/>
              </w:rPr>
              <w:br/>
              <w:t xml:space="preserve">Zbornik igrokaza / &lt;priredio&gt;Joža Skok ; redateljske napomene napisala Zvjezdana </w:t>
            </w:r>
            <w:proofErr w:type="spellStart"/>
            <w:r w:rsidRPr="00DF4CE5">
              <w:rPr>
                <w:rFonts w:ascii="Cambria" w:eastAsia="Times New Roman" w:hAnsi="Cambria" w:cs="Times New Roman"/>
                <w:lang w:val="hr-HR"/>
              </w:rPr>
              <w:t>Ladika</w:t>
            </w:r>
            <w:proofErr w:type="spellEnd"/>
            <w:r w:rsidRPr="00DF4CE5">
              <w:rPr>
                <w:rFonts w:ascii="Cambria" w:eastAsia="Times New Roman" w:hAnsi="Cambria" w:cs="Times New Roman"/>
                <w:lang w:val="hr-HR"/>
              </w:rPr>
              <w:t xml:space="preserve"> ; &lt;ilustracije Ivica </w:t>
            </w:r>
            <w:proofErr w:type="spellStart"/>
            <w:r w:rsidRPr="00DF4CE5">
              <w:rPr>
                <w:rFonts w:ascii="Cambria" w:eastAsia="Times New Roman" w:hAnsi="Cambria" w:cs="Times New Roman"/>
                <w:lang w:val="hr-HR"/>
              </w:rPr>
              <w:t>Antolčić</w:t>
            </w:r>
            <w:proofErr w:type="spellEnd"/>
            <w:r w:rsidRPr="00DF4CE5">
              <w:rPr>
                <w:rFonts w:ascii="Cambria" w:eastAsia="Times New Roman" w:hAnsi="Cambria" w:cs="Times New Roman"/>
                <w:lang w:val="hr-HR"/>
              </w:rPr>
              <w:t xml:space="preserve">&gt;. - Zagreb : Školska knjiga, 1980. - 473 str. : </w:t>
            </w:r>
            <w:proofErr w:type="spellStart"/>
            <w:r w:rsidRPr="00DF4CE5">
              <w:rPr>
                <w:rFonts w:ascii="Cambria" w:eastAsia="Times New Roman" w:hAnsi="Cambria" w:cs="Times New Roman"/>
                <w:lang w:val="hr-HR"/>
              </w:rPr>
              <w:t>ilustr</w:t>
            </w:r>
            <w:proofErr w:type="spellEnd"/>
            <w:r w:rsidRPr="00DF4CE5">
              <w:rPr>
                <w:rFonts w:ascii="Cambria" w:eastAsia="Times New Roman" w:hAnsi="Cambria" w:cs="Times New Roman"/>
                <w:lang w:val="hr-HR"/>
              </w:rPr>
              <w:t>. ; 20 cm</w:t>
            </w:r>
          </w:p>
          <w:p w14:paraId="351EFBEA" w14:textId="77777777" w:rsidR="00DB76CD" w:rsidRPr="00DF4CE5" w:rsidRDefault="00DB76CD" w:rsidP="00A034E3">
            <w:pPr>
              <w:numPr>
                <w:ilvl w:val="0"/>
                <w:numId w:val="42"/>
              </w:numPr>
              <w:spacing w:before="280" w:after="280" w:line="240" w:lineRule="auto"/>
              <w:contextualSpacing/>
              <w:rPr>
                <w:rFonts w:ascii="Cambria" w:eastAsia="Times New Roman" w:hAnsi="Cambria" w:cs="Times New Roman"/>
                <w:iCs/>
                <w:lang w:val="hr-HR"/>
              </w:rPr>
            </w:pPr>
            <w:r w:rsidRPr="00DF4CE5">
              <w:rPr>
                <w:rFonts w:ascii="Cambria" w:eastAsia="Times New Roman" w:hAnsi="Cambria" w:cs="Times New Roman"/>
                <w:bCs/>
                <w:iCs/>
                <w:lang w:val="hr-HR"/>
              </w:rPr>
              <w:t xml:space="preserve">Preporuka: Scenske bajke: Nazor: “Crvenkapica”, Vitez: “Plava boja snijega” </w:t>
            </w:r>
            <w:r w:rsidRPr="00DF4CE5">
              <w:rPr>
                <w:rFonts w:ascii="Cambria" w:eastAsia="Times New Roman" w:hAnsi="Cambria" w:cs="Times New Roman"/>
                <w:iCs/>
                <w:lang w:val="hr-HR"/>
              </w:rPr>
              <w:t>/ humorističan /,</w:t>
            </w:r>
            <w:r w:rsidRPr="00DF4CE5">
              <w:rPr>
                <w:rFonts w:ascii="Cambria" w:eastAsia="Times New Roman" w:hAnsi="Cambria" w:cs="Times New Roman"/>
                <w:bCs/>
                <w:iCs/>
                <w:lang w:val="hr-HR"/>
              </w:rPr>
              <w:t xml:space="preserve"> Parun: “Mačak Džingiskan”; </w:t>
            </w:r>
            <w:r w:rsidRPr="00DF4CE5">
              <w:rPr>
                <w:rFonts w:ascii="Cambria" w:eastAsia="Times New Roman" w:hAnsi="Cambria" w:cs="Times New Roman"/>
                <w:iCs/>
                <w:lang w:val="hr-HR"/>
              </w:rPr>
              <w:t xml:space="preserve">Akcijske dječje igre: </w:t>
            </w:r>
            <w:r w:rsidRPr="00DF4CE5">
              <w:rPr>
                <w:rFonts w:ascii="Cambria" w:eastAsia="Times New Roman" w:hAnsi="Cambria" w:cs="Times New Roman"/>
                <w:bCs/>
                <w:iCs/>
                <w:lang w:val="hr-HR"/>
              </w:rPr>
              <w:t xml:space="preserve">Brlić-Mažuranić: “Čudnovate zgode šegrta Hlapića” </w:t>
            </w:r>
            <w:r w:rsidRPr="00DF4CE5">
              <w:rPr>
                <w:rFonts w:ascii="Cambria" w:eastAsia="Times New Roman" w:hAnsi="Cambria" w:cs="Times New Roman"/>
                <w:iCs/>
                <w:lang w:val="hr-HR"/>
              </w:rPr>
              <w:t>/ dobrota i mudrost pobjeđuju zlo /,</w:t>
            </w:r>
            <w:r w:rsidRPr="00DF4CE5">
              <w:rPr>
                <w:rFonts w:ascii="Cambria" w:eastAsia="Times New Roman" w:hAnsi="Cambria" w:cs="Times New Roman"/>
                <w:bCs/>
                <w:iCs/>
                <w:lang w:val="hr-HR"/>
              </w:rPr>
              <w:t xml:space="preserve"> Lovrak: “Družba Pere Kvržice” </w:t>
            </w:r>
            <w:r w:rsidRPr="00DF4CE5">
              <w:rPr>
                <w:rFonts w:ascii="Cambria" w:eastAsia="Times New Roman" w:hAnsi="Cambria" w:cs="Times New Roman"/>
                <w:iCs/>
                <w:lang w:val="hr-HR"/>
              </w:rPr>
              <w:t xml:space="preserve">/ suradnja, prijateljstvo /, </w:t>
            </w:r>
            <w:r w:rsidRPr="00DF4CE5">
              <w:rPr>
                <w:rFonts w:ascii="Cambria" w:eastAsia="Times New Roman" w:hAnsi="Cambria" w:cs="Times New Roman"/>
                <w:bCs/>
                <w:iCs/>
                <w:lang w:val="hr-HR"/>
              </w:rPr>
              <w:t>Kolarić-</w:t>
            </w:r>
            <w:proofErr w:type="spellStart"/>
            <w:r w:rsidRPr="00DF4CE5">
              <w:rPr>
                <w:rFonts w:ascii="Cambria" w:eastAsia="Times New Roman" w:hAnsi="Cambria" w:cs="Times New Roman"/>
                <w:bCs/>
                <w:iCs/>
                <w:lang w:val="hr-HR"/>
              </w:rPr>
              <w:t>Kišur</w:t>
            </w:r>
            <w:proofErr w:type="spellEnd"/>
            <w:r w:rsidRPr="00DF4CE5">
              <w:rPr>
                <w:rFonts w:ascii="Cambria" w:eastAsia="Times New Roman" w:hAnsi="Cambria" w:cs="Times New Roman"/>
                <w:bCs/>
                <w:iCs/>
                <w:lang w:val="hr-HR"/>
              </w:rPr>
              <w:t xml:space="preserve">: “Kristalni zvončići” </w:t>
            </w:r>
            <w:r w:rsidRPr="00DF4CE5">
              <w:rPr>
                <w:rFonts w:ascii="Cambria" w:eastAsia="Times New Roman" w:hAnsi="Cambria" w:cs="Times New Roman"/>
                <w:iCs/>
                <w:lang w:val="hr-HR"/>
              </w:rPr>
              <w:t xml:space="preserve">/ glas savjesti, pomaganje drugima /, </w:t>
            </w:r>
            <w:r w:rsidRPr="00DF4CE5">
              <w:rPr>
                <w:rFonts w:ascii="Cambria" w:eastAsia="Times New Roman" w:hAnsi="Cambria" w:cs="Times New Roman"/>
                <w:bCs/>
                <w:iCs/>
                <w:lang w:val="hr-HR"/>
              </w:rPr>
              <w:t xml:space="preserve">Iveljić: “Tko je glavni” </w:t>
            </w:r>
            <w:r w:rsidRPr="00DF4CE5">
              <w:rPr>
                <w:rFonts w:ascii="Cambria" w:eastAsia="Times New Roman" w:hAnsi="Cambria" w:cs="Times New Roman"/>
                <w:iCs/>
                <w:lang w:val="hr-HR"/>
              </w:rPr>
              <w:t xml:space="preserve">/ neodgovorno ponašanje u prometu / </w:t>
            </w:r>
            <w:proofErr w:type="spellStart"/>
            <w:r w:rsidRPr="00DF4CE5">
              <w:rPr>
                <w:rFonts w:ascii="Cambria" w:eastAsia="Times New Roman" w:hAnsi="Cambria" w:cs="Times New Roman"/>
                <w:bCs/>
                <w:iCs/>
                <w:lang w:val="hr-HR"/>
              </w:rPr>
              <w:t>Gardaš</w:t>
            </w:r>
            <w:proofErr w:type="spellEnd"/>
            <w:r w:rsidRPr="00DF4CE5">
              <w:rPr>
                <w:rFonts w:ascii="Cambria" w:eastAsia="Times New Roman" w:hAnsi="Cambria" w:cs="Times New Roman"/>
                <w:bCs/>
                <w:iCs/>
                <w:lang w:val="hr-HR"/>
              </w:rPr>
              <w:t xml:space="preserve">: “Ples pahuljica” </w:t>
            </w:r>
            <w:r w:rsidRPr="00DF4CE5">
              <w:rPr>
                <w:rFonts w:ascii="Cambria" w:eastAsia="Times New Roman" w:hAnsi="Cambria" w:cs="Times New Roman"/>
                <w:iCs/>
                <w:lang w:val="hr-HR"/>
              </w:rPr>
              <w:t>/ prigodni/</w:t>
            </w:r>
          </w:p>
          <w:p w14:paraId="00B307CB" w14:textId="77777777" w:rsidR="00DB76CD" w:rsidRPr="00DF4CE5" w:rsidRDefault="00DB76CD" w:rsidP="00A034E3">
            <w:pPr>
              <w:numPr>
                <w:ilvl w:val="0"/>
                <w:numId w:val="42"/>
              </w:numPr>
              <w:spacing w:before="280" w:after="280" w:line="240" w:lineRule="auto"/>
              <w:contextualSpacing/>
              <w:rPr>
                <w:rFonts w:ascii="Cambria" w:eastAsia="Times New Roman" w:hAnsi="Cambria" w:cs="Times New Roman"/>
                <w:lang w:val="hr-HR"/>
              </w:rPr>
            </w:pPr>
            <w:proofErr w:type="spellStart"/>
            <w:r w:rsidRPr="00DF4CE5">
              <w:rPr>
                <w:rFonts w:ascii="Cambria" w:eastAsia="Times New Roman" w:hAnsi="Cambria" w:cs="Times New Roman"/>
                <w:lang w:val="hr-HR"/>
              </w:rPr>
              <w:t>Čapek</w:t>
            </w:r>
            <w:proofErr w:type="spellEnd"/>
            <w:r w:rsidRPr="00DF4CE5">
              <w:rPr>
                <w:rFonts w:ascii="Cambria" w:eastAsia="Times New Roman" w:hAnsi="Cambria" w:cs="Times New Roman"/>
                <w:lang w:val="hr-HR"/>
              </w:rPr>
              <w:t>, Karel: Kako što nastaje (kako nastaje kazališna predstava, Zagreb, 1985.</w:t>
            </w:r>
          </w:p>
          <w:p w14:paraId="6F3EAAAB" w14:textId="77777777" w:rsidR="00DB76CD" w:rsidRPr="00DF4CE5" w:rsidRDefault="00DB76CD" w:rsidP="00A034E3">
            <w:pPr>
              <w:numPr>
                <w:ilvl w:val="0"/>
                <w:numId w:val="42"/>
              </w:numPr>
              <w:spacing w:before="280" w:after="280" w:line="240" w:lineRule="auto"/>
              <w:contextualSpacing/>
              <w:rPr>
                <w:rFonts w:ascii="Cambria" w:eastAsia="Times New Roman" w:hAnsi="Cambria" w:cs="Times New Roman"/>
                <w:lang w:val="hr-HR"/>
              </w:rPr>
            </w:pPr>
            <w:proofErr w:type="spellStart"/>
            <w:r w:rsidRPr="00DF4CE5">
              <w:rPr>
                <w:rFonts w:ascii="Cambria" w:eastAsia="Times New Roman" w:hAnsi="Cambria" w:cs="Times New Roman"/>
                <w:lang w:val="hr-HR"/>
              </w:rPr>
              <w:t>FrancoisBoucher</w:t>
            </w:r>
            <w:proofErr w:type="spellEnd"/>
            <w:r w:rsidRPr="00DF4CE5">
              <w:rPr>
                <w:rFonts w:ascii="Cambria" w:eastAsia="Times New Roman" w:hAnsi="Cambria" w:cs="Times New Roman"/>
                <w:lang w:val="hr-HR"/>
              </w:rPr>
              <w:t xml:space="preserve">: A </w:t>
            </w:r>
            <w:proofErr w:type="spellStart"/>
            <w:r w:rsidRPr="00DF4CE5">
              <w:rPr>
                <w:rFonts w:ascii="Cambria" w:eastAsia="Times New Roman" w:hAnsi="Cambria" w:cs="Times New Roman"/>
                <w:lang w:val="hr-HR"/>
              </w:rPr>
              <w:t>HistoryofCostumeinthe</w:t>
            </w:r>
            <w:proofErr w:type="spellEnd"/>
            <w:r w:rsidRPr="00DF4CE5">
              <w:rPr>
                <w:rFonts w:ascii="Cambria" w:eastAsia="Times New Roman" w:hAnsi="Cambria" w:cs="Times New Roman"/>
                <w:lang w:val="hr-HR"/>
              </w:rPr>
              <w:t xml:space="preserve"> West, </w:t>
            </w:r>
            <w:proofErr w:type="spellStart"/>
            <w:r w:rsidRPr="00DF4CE5">
              <w:rPr>
                <w:rFonts w:ascii="Cambria" w:eastAsia="Times New Roman" w:hAnsi="Cambria" w:cs="Times New Roman"/>
                <w:lang w:val="hr-HR"/>
              </w:rPr>
              <w:t>ThamesandHudson</w:t>
            </w:r>
            <w:proofErr w:type="spellEnd"/>
            <w:r w:rsidRPr="00DF4CE5">
              <w:rPr>
                <w:rFonts w:ascii="Cambria" w:eastAsia="Times New Roman" w:hAnsi="Cambria" w:cs="Times New Roman"/>
                <w:lang w:val="hr-HR"/>
              </w:rPr>
              <w:t>, 1987.</w:t>
            </w:r>
            <w:r w:rsidRPr="00DF4CE5">
              <w:rPr>
                <w:rFonts w:ascii="Cambria" w:eastAsia="Times New Roman" w:hAnsi="Cambria" w:cs="Times New Roman"/>
                <w:lang w:val="hr-HR"/>
              </w:rPr>
              <w:br/>
            </w:r>
            <w:proofErr w:type="spellStart"/>
            <w:r w:rsidRPr="00DF4CE5">
              <w:rPr>
                <w:rFonts w:ascii="Cambria" w:eastAsia="Times New Roman" w:hAnsi="Cambria" w:cs="Times New Roman"/>
                <w:lang w:val="hr-HR"/>
              </w:rPr>
              <w:t>MilliaDavenport</w:t>
            </w:r>
            <w:proofErr w:type="spellEnd"/>
            <w:r w:rsidRPr="00DF4CE5">
              <w:rPr>
                <w:rFonts w:ascii="Cambria" w:eastAsia="Times New Roman" w:hAnsi="Cambria" w:cs="Times New Roman"/>
                <w:lang w:val="hr-HR"/>
              </w:rPr>
              <w:t xml:space="preserve">:  </w:t>
            </w:r>
            <w:proofErr w:type="spellStart"/>
            <w:r w:rsidRPr="00DF4CE5">
              <w:rPr>
                <w:rFonts w:ascii="Cambria" w:eastAsia="Times New Roman" w:hAnsi="Cambria" w:cs="Times New Roman"/>
                <w:lang w:val="hr-HR"/>
              </w:rPr>
              <w:t>TheBookofCostume</w:t>
            </w:r>
            <w:proofErr w:type="spellEnd"/>
            <w:r w:rsidRPr="00DF4CE5">
              <w:rPr>
                <w:rFonts w:ascii="Cambria" w:eastAsia="Times New Roman" w:hAnsi="Cambria" w:cs="Times New Roman"/>
                <w:lang w:val="hr-HR"/>
              </w:rPr>
              <w:t xml:space="preserve">, </w:t>
            </w:r>
            <w:proofErr w:type="spellStart"/>
            <w:r w:rsidRPr="00DF4CE5">
              <w:rPr>
                <w:rFonts w:ascii="Cambria" w:eastAsia="Times New Roman" w:hAnsi="Cambria" w:cs="Times New Roman"/>
                <w:lang w:val="hr-HR"/>
              </w:rPr>
              <w:t>CrownPublishers</w:t>
            </w:r>
            <w:proofErr w:type="spellEnd"/>
            <w:r w:rsidRPr="00DF4CE5">
              <w:rPr>
                <w:rFonts w:ascii="Cambria" w:eastAsia="Times New Roman" w:hAnsi="Cambria" w:cs="Times New Roman"/>
                <w:lang w:val="hr-HR"/>
              </w:rPr>
              <w:t xml:space="preserve"> Inc., ISBN 0-517-037165, 1948. </w:t>
            </w:r>
            <w:proofErr w:type="spellStart"/>
            <w:r w:rsidRPr="00DF4CE5">
              <w:rPr>
                <w:rFonts w:ascii="Cambria" w:eastAsia="Times New Roman" w:hAnsi="Cambria" w:cs="Times New Roman"/>
                <w:lang w:val="hr-HR"/>
              </w:rPr>
              <w:t>Senker</w:t>
            </w:r>
            <w:proofErr w:type="spellEnd"/>
            <w:r w:rsidRPr="00DF4CE5">
              <w:rPr>
                <w:rFonts w:ascii="Cambria" w:eastAsia="Times New Roman" w:hAnsi="Cambria" w:cs="Times New Roman"/>
                <w:lang w:val="hr-HR"/>
              </w:rPr>
              <w:t xml:space="preserve">, Boris: Redateljsko kazalište, Prolog, </w:t>
            </w:r>
            <w:proofErr w:type="spellStart"/>
            <w:r w:rsidRPr="00DF4CE5">
              <w:rPr>
                <w:rFonts w:ascii="Cambria" w:eastAsia="Times New Roman" w:hAnsi="Cambria" w:cs="Times New Roman"/>
                <w:lang w:val="hr-HR"/>
              </w:rPr>
              <w:t>Cekade</w:t>
            </w:r>
            <w:proofErr w:type="spellEnd"/>
            <w:r w:rsidRPr="00DF4CE5">
              <w:rPr>
                <w:rFonts w:ascii="Cambria" w:eastAsia="Times New Roman" w:hAnsi="Cambria" w:cs="Times New Roman"/>
                <w:lang w:val="hr-HR"/>
              </w:rPr>
              <w:t>, Zagreb, 1984.</w:t>
            </w:r>
          </w:p>
          <w:p w14:paraId="52265D9A" w14:textId="77777777" w:rsidR="00DB76CD" w:rsidRPr="00DF4CE5" w:rsidRDefault="00DB76CD" w:rsidP="00A034E3">
            <w:pPr>
              <w:numPr>
                <w:ilvl w:val="0"/>
                <w:numId w:val="11"/>
              </w:numPr>
              <w:tabs>
                <w:tab w:val="num" w:pos="360"/>
              </w:tabs>
              <w:suppressAutoHyphens/>
              <w:snapToGrid w:val="0"/>
              <w:spacing w:after="0" w:line="240" w:lineRule="auto"/>
              <w:rPr>
                <w:rFonts w:ascii="Cambria" w:eastAsia="Times New Roman" w:hAnsi="Cambria" w:cs="Times New Roman"/>
                <w:lang w:val="hr-HR"/>
              </w:rPr>
            </w:pPr>
            <w:r w:rsidRPr="00DF4CE5">
              <w:rPr>
                <w:rFonts w:ascii="Cambria" w:eastAsia="Times New Roman" w:hAnsi="Cambria" w:cs="Times New Roman"/>
                <w:lang w:val="hr-HR"/>
              </w:rPr>
              <w:t xml:space="preserve">Prelog- </w:t>
            </w:r>
            <w:proofErr w:type="spellStart"/>
            <w:r w:rsidRPr="00DF4CE5">
              <w:rPr>
                <w:rFonts w:ascii="Cambria" w:eastAsia="Times New Roman" w:hAnsi="Cambria" w:cs="Times New Roman"/>
                <w:lang w:val="hr-HR"/>
              </w:rPr>
              <w:t>Damjanov</w:t>
            </w:r>
            <w:proofErr w:type="spellEnd"/>
            <w:r w:rsidRPr="00DF4CE5">
              <w:rPr>
                <w:rFonts w:ascii="Cambria" w:eastAsia="Times New Roman" w:hAnsi="Cambria" w:cs="Times New Roman"/>
                <w:lang w:val="hr-HR"/>
              </w:rPr>
              <w:t>-Ivančević: Likovne umjetnosti, školski leksikon</w:t>
            </w:r>
          </w:p>
          <w:p w14:paraId="24E1CF83" w14:textId="77777777" w:rsidR="00DB76CD" w:rsidRPr="00DF4CE5" w:rsidRDefault="00DB76CD" w:rsidP="00A034E3">
            <w:pPr>
              <w:numPr>
                <w:ilvl w:val="0"/>
                <w:numId w:val="11"/>
              </w:numPr>
              <w:tabs>
                <w:tab w:val="num" w:pos="360"/>
              </w:tabs>
              <w:suppressAutoHyphens/>
              <w:spacing w:after="0" w:line="240" w:lineRule="auto"/>
              <w:rPr>
                <w:rFonts w:ascii="Cambria" w:eastAsia="Times New Roman" w:hAnsi="Cambria" w:cs="Times New Roman"/>
                <w:lang w:val="hr-HR"/>
              </w:rPr>
            </w:pPr>
            <w:proofErr w:type="spellStart"/>
            <w:r w:rsidRPr="00DF4CE5">
              <w:rPr>
                <w:rFonts w:ascii="Cambria" w:eastAsia="Times New Roman" w:hAnsi="Cambria" w:cs="Times New Roman"/>
                <w:lang w:val="hr-HR"/>
              </w:rPr>
              <w:t>Pischel</w:t>
            </w:r>
            <w:proofErr w:type="spellEnd"/>
            <w:r w:rsidRPr="00DF4CE5">
              <w:rPr>
                <w:rFonts w:ascii="Cambria" w:eastAsia="Times New Roman" w:hAnsi="Cambria" w:cs="Times New Roman"/>
                <w:lang w:val="hr-HR"/>
              </w:rPr>
              <w:t>, G.: Opća povijest umjetnosti</w:t>
            </w:r>
          </w:p>
          <w:p w14:paraId="05E2A405" w14:textId="77777777" w:rsidR="00DB76CD" w:rsidRPr="00DF4CE5" w:rsidRDefault="00DB76CD" w:rsidP="00A034E3">
            <w:pPr>
              <w:numPr>
                <w:ilvl w:val="0"/>
                <w:numId w:val="11"/>
              </w:numPr>
              <w:tabs>
                <w:tab w:val="num" w:pos="360"/>
              </w:tabs>
              <w:suppressAutoHyphens/>
              <w:spacing w:after="0" w:line="240" w:lineRule="auto"/>
              <w:rPr>
                <w:rFonts w:ascii="Cambria" w:eastAsia="Times New Roman" w:hAnsi="Cambria" w:cs="Times New Roman"/>
                <w:lang w:val="hr-HR"/>
              </w:rPr>
            </w:pPr>
            <w:proofErr w:type="spellStart"/>
            <w:r w:rsidRPr="00DF4CE5">
              <w:rPr>
                <w:rFonts w:ascii="Cambria" w:eastAsia="Times New Roman" w:hAnsi="Cambria" w:cs="Times New Roman"/>
                <w:lang w:val="hr-HR"/>
              </w:rPr>
              <w:t>Damjanov</w:t>
            </w:r>
            <w:proofErr w:type="spellEnd"/>
            <w:r w:rsidRPr="00DF4CE5">
              <w:rPr>
                <w:rFonts w:ascii="Cambria" w:eastAsia="Times New Roman" w:hAnsi="Cambria" w:cs="Times New Roman"/>
                <w:lang w:val="hr-HR"/>
              </w:rPr>
              <w:t>, Jadranka: Vizualni jezik i likovna umjetnost</w:t>
            </w:r>
          </w:p>
          <w:p w14:paraId="62BAF59B" w14:textId="77777777" w:rsidR="00DB76CD" w:rsidRPr="00DF4CE5" w:rsidRDefault="00DB76CD" w:rsidP="00A034E3">
            <w:pPr>
              <w:numPr>
                <w:ilvl w:val="0"/>
                <w:numId w:val="11"/>
              </w:numPr>
              <w:tabs>
                <w:tab w:val="num" w:pos="360"/>
              </w:tabs>
              <w:suppressAutoHyphens/>
              <w:spacing w:after="0" w:line="240" w:lineRule="auto"/>
              <w:rPr>
                <w:rFonts w:ascii="Cambria" w:eastAsia="Times New Roman" w:hAnsi="Cambria" w:cs="Times New Roman"/>
                <w:lang w:val="hr-HR"/>
              </w:rPr>
            </w:pPr>
            <w:r w:rsidRPr="00DF4CE5">
              <w:rPr>
                <w:rFonts w:ascii="Cambria" w:eastAsia="Times New Roman" w:hAnsi="Cambria" w:cs="Times New Roman"/>
                <w:lang w:val="hr-HR"/>
              </w:rPr>
              <w:t>Despot, N.: Svjetlo i sjena</w:t>
            </w:r>
          </w:p>
          <w:p w14:paraId="396D3871" w14:textId="77777777" w:rsidR="00DB76CD" w:rsidRPr="00DF4CE5" w:rsidRDefault="00DB76CD" w:rsidP="00A034E3">
            <w:pPr>
              <w:numPr>
                <w:ilvl w:val="0"/>
                <w:numId w:val="11"/>
              </w:numPr>
              <w:tabs>
                <w:tab w:val="num" w:pos="360"/>
              </w:tabs>
              <w:suppressAutoHyphens/>
              <w:spacing w:after="0" w:line="240" w:lineRule="auto"/>
              <w:rPr>
                <w:rFonts w:ascii="Cambria" w:eastAsia="Times New Roman" w:hAnsi="Cambria" w:cs="Times New Roman"/>
                <w:lang w:val="hr-HR"/>
              </w:rPr>
            </w:pPr>
            <w:r w:rsidRPr="00DF4CE5">
              <w:rPr>
                <w:rFonts w:ascii="Cambria" w:eastAsia="Times New Roman" w:hAnsi="Cambria" w:cs="Times New Roman"/>
                <w:lang w:val="hr-HR"/>
              </w:rPr>
              <w:t>Ivančević, Radovan: Likovni govor, uvod u svijet likovnih umjetnosti</w:t>
            </w:r>
          </w:p>
          <w:p w14:paraId="2E1B0791" w14:textId="77777777" w:rsidR="00DB76CD" w:rsidRPr="00DF4CE5" w:rsidRDefault="00DB76CD" w:rsidP="00A034E3">
            <w:pPr>
              <w:numPr>
                <w:ilvl w:val="0"/>
                <w:numId w:val="11"/>
              </w:numPr>
              <w:tabs>
                <w:tab w:val="num" w:pos="360"/>
              </w:tabs>
              <w:suppressAutoHyphens/>
              <w:spacing w:after="0" w:line="240" w:lineRule="auto"/>
              <w:rPr>
                <w:rFonts w:ascii="Cambria" w:eastAsia="Times New Roman" w:hAnsi="Cambria" w:cs="Times New Roman"/>
                <w:lang w:val="hr-HR"/>
              </w:rPr>
            </w:pPr>
            <w:r w:rsidRPr="00DF4CE5">
              <w:rPr>
                <w:rFonts w:ascii="Cambria" w:eastAsia="Times New Roman" w:hAnsi="Cambria" w:cs="Times New Roman"/>
                <w:lang w:val="hr-HR"/>
              </w:rPr>
              <w:t>Babić, Antun: Promatranje likovnih djela u osnovnoj školi</w:t>
            </w:r>
          </w:p>
        </w:tc>
      </w:tr>
    </w:tbl>
    <w:p w14:paraId="758DE4D8" w14:textId="77777777" w:rsidR="002D5B02" w:rsidRPr="00DF4CE5" w:rsidRDefault="002D5B02" w:rsidP="00CC2DA6">
      <w:pPr>
        <w:rPr>
          <w:rFonts w:ascii="Cambria" w:hAnsi="Cambria"/>
          <w:lang w:val="hr-HR"/>
        </w:rPr>
      </w:pPr>
    </w:p>
    <w:p w14:paraId="5F911B84" w14:textId="692A2C98" w:rsidR="002D5B02" w:rsidRPr="00DF4CE5" w:rsidRDefault="002D5B02" w:rsidP="00CC2DA6">
      <w:pPr>
        <w:rPr>
          <w:rFonts w:ascii="Cambria" w:hAnsi="Cambria"/>
          <w:lang w:val="hr-HR"/>
        </w:rPr>
      </w:pPr>
    </w:p>
    <w:p w14:paraId="5CD98A44" w14:textId="77777777" w:rsidR="002D5B02" w:rsidRPr="00DF4CE5" w:rsidRDefault="002D5B02" w:rsidP="00CC2DA6">
      <w:pPr>
        <w:rPr>
          <w:rFonts w:ascii="Cambria" w:hAnsi="Cambria"/>
          <w:lang w:val="hr-HR"/>
        </w:rPr>
      </w:pPr>
    </w:p>
    <w:sectPr w:rsidR="002D5B02" w:rsidRPr="00DF4CE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8B1D1" w14:textId="77777777" w:rsidR="00A503DC" w:rsidRDefault="00A503DC" w:rsidP="00237BCC">
      <w:pPr>
        <w:spacing w:after="0" w:line="240" w:lineRule="auto"/>
      </w:pPr>
      <w:r>
        <w:separator/>
      </w:r>
    </w:p>
  </w:endnote>
  <w:endnote w:type="continuationSeparator" w:id="0">
    <w:p w14:paraId="31429611" w14:textId="77777777" w:rsidR="00A503DC" w:rsidRDefault="00A503DC" w:rsidP="00237B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OpenSymbol">
    <w:altName w:val="Calibri"/>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Bold">
    <w:altName w:val="Arial"/>
    <w:panose1 w:val="00000000000000000000"/>
    <w:charset w:val="00"/>
    <w:family w:val="swiss"/>
    <w:notTrueType/>
    <w:pitch w:val="default"/>
    <w:sig w:usb0="00000007" w:usb1="00000000" w:usb2="00000000" w:usb3="00000000" w:csb0="00000003" w:csb1="00000000"/>
  </w:font>
  <w:font w:name="ヒラギノ角ゴ Pro W3">
    <w:charset w:val="00"/>
    <w:family w:val="roman"/>
    <w:pitch w:val="default"/>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TimesNewRoman">
    <w:altName w:val="Times New Roman"/>
    <w:panose1 w:val="00000000000000000000"/>
    <w:charset w:val="80"/>
    <w:family w:val="auto"/>
    <w:notTrueType/>
    <w:pitch w:val="default"/>
    <w:sig w:usb0="00000001" w:usb1="08070000" w:usb2="00000010" w:usb3="00000000" w:csb0="00020000" w:csb1="00000000"/>
  </w:font>
  <w:font w:name="HWNDJR+Verdana">
    <w:altName w:val="MS Mincho"/>
    <w:charset w:val="80"/>
    <w:family w:val="auto"/>
    <w:pitch w:val="default"/>
  </w:font>
  <w:font w:name="TimesNewRomanPSMT">
    <w:altName w:val="Times New Roman"/>
    <w:panose1 w:val="00000000000000000000"/>
    <w:charset w:val="80"/>
    <w:family w:val="auto"/>
    <w:notTrueType/>
    <w:pitch w:val="default"/>
    <w:sig w:usb0="00000005" w:usb1="08070000" w:usb2="00000010" w:usb3="00000000" w:csb0="00020002" w:csb1="00000000"/>
  </w:font>
  <w:font w:name="TimesNewRomanPS-BoldMT">
    <w:altName w:val="MS Mincho"/>
    <w:panose1 w:val="00000000000000000000"/>
    <w:charset w:val="80"/>
    <w:family w:val="auto"/>
    <w:notTrueType/>
    <w:pitch w:val="default"/>
    <w:sig w:usb0="00000000" w:usb1="08070000" w:usb2="00000010" w:usb3="00000000" w:csb0="00020002"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TE297F630t00">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SloMinion">
    <w:altName w:val="Courier New"/>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78067" w14:textId="77777777" w:rsidR="00A503DC" w:rsidRDefault="00A503DC" w:rsidP="00237BCC">
      <w:pPr>
        <w:spacing w:after="0" w:line="240" w:lineRule="auto"/>
      </w:pPr>
      <w:r>
        <w:separator/>
      </w:r>
    </w:p>
  </w:footnote>
  <w:footnote w:type="continuationSeparator" w:id="0">
    <w:p w14:paraId="6119EB63" w14:textId="77777777" w:rsidR="00A503DC" w:rsidRDefault="00A503DC" w:rsidP="00237B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3"/>
    <w:lvl w:ilvl="0">
      <w:start w:val="1"/>
      <w:numFmt w:val="decimal"/>
      <w:lvlText w:val="%1."/>
      <w:lvlJc w:val="left"/>
      <w:pPr>
        <w:tabs>
          <w:tab w:val="num" w:pos="360"/>
        </w:tabs>
        <w:ind w:left="1080" w:hanging="360"/>
      </w:pPr>
    </w:lvl>
  </w:abstractNum>
  <w:abstractNum w:abstractNumId="1" w15:restartNumberingAfterBreak="0">
    <w:nsid w:val="00000002"/>
    <w:multiLevelType w:val="singleLevel"/>
    <w:tmpl w:val="00000002"/>
    <w:name w:val="WW8Num1"/>
    <w:lvl w:ilvl="0">
      <w:start w:val="1"/>
      <w:numFmt w:val="decimal"/>
      <w:lvlText w:val="%1."/>
      <w:lvlJc w:val="left"/>
      <w:pPr>
        <w:tabs>
          <w:tab w:val="num" w:pos="720"/>
        </w:tabs>
        <w:ind w:left="720" w:hanging="360"/>
      </w:pPr>
    </w:lvl>
  </w:abstractNum>
  <w:abstractNum w:abstractNumId="2" w15:restartNumberingAfterBreak="0">
    <w:nsid w:val="00000004"/>
    <w:multiLevelType w:val="multilevel"/>
    <w:tmpl w:val="56EE788E"/>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sz w:val="20"/>
        <w:szCs w:val="20"/>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1379AB"/>
    <w:multiLevelType w:val="hybridMultilevel"/>
    <w:tmpl w:val="C510809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46D708B"/>
    <w:multiLevelType w:val="hybridMultilevel"/>
    <w:tmpl w:val="B1349BD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5177671"/>
    <w:multiLevelType w:val="hybridMultilevel"/>
    <w:tmpl w:val="19E6D832"/>
    <w:lvl w:ilvl="0" w:tplc="9120EA2A">
      <w:start w:val="1"/>
      <w:numFmt w:val="decimal"/>
      <w:lvlText w:val="%1."/>
      <w:lvlJc w:val="left"/>
      <w:pPr>
        <w:ind w:left="429" w:hanging="265"/>
      </w:pPr>
      <w:rPr>
        <w:rFonts w:ascii="Cambria" w:eastAsia="Cambria" w:hAnsi="Cambria" w:cs="Cambria" w:hint="default"/>
        <w:w w:val="100"/>
        <w:sz w:val="22"/>
        <w:szCs w:val="22"/>
        <w:lang w:val="hr-HR" w:eastAsia="en-US" w:bidi="ar-SA"/>
      </w:rPr>
    </w:lvl>
    <w:lvl w:ilvl="1" w:tplc="E738F80E">
      <w:numFmt w:val="bullet"/>
      <w:lvlText w:val="•"/>
      <w:lvlJc w:val="left"/>
      <w:pPr>
        <w:ind w:left="1048" w:hanging="265"/>
      </w:pPr>
      <w:rPr>
        <w:rFonts w:hint="default"/>
        <w:lang w:val="hr-HR" w:eastAsia="en-US" w:bidi="ar-SA"/>
      </w:rPr>
    </w:lvl>
    <w:lvl w:ilvl="2" w:tplc="D956704C">
      <w:numFmt w:val="bullet"/>
      <w:lvlText w:val="•"/>
      <w:lvlJc w:val="left"/>
      <w:pPr>
        <w:ind w:left="1677" w:hanging="265"/>
      </w:pPr>
      <w:rPr>
        <w:rFonts w:hint="default"/>
        <w:lang w:val="hr-HR" w:eastAsia="en-US" w:bidi="ar-SA"/>
      </w:rPr>
    </w:lvl>
    <w:lvl w:ilvl="3" w:tplc="7D467C32">
      <w:numFmt w:val="bullet"/>
      <w:lvlText w:val="•"/>
      <w:lvlJc w:val="left"/>
      <w:pPr>
        <w:ind w:left="2305" w:hanging="265"/>
      </w:pPr>
      <w:rPr>
        <w:rFonts w:hint="default"/>
        <w:lang w:val="hr-HR" w:eastAsia="en-US" w:bidi="ar-SA"/>
      </w:rPr>
    </w:lvl>
    <w:lvl w:ilvl="4" w:tplc="2B08302A">
      <w:numFmt w:val="bullet"/>
      <w:lvlText w:val="•"/>
      <w:lvlJc w:val="left"/>
      <w:pPr>
        <w:ind w:left="2934" w:hanging="265"/>
      </w:pPr>
      <w:rPr>
        <w:rFonts w:hint="default"/>
        <w:lang w:val="hr-HR" w:eastAsia="en-US" w:bidi="ar-SA"/>
      </w:rPr>
    </w:lvl>
    <w:lvl w:ilvl="5" w:tplc="184A5166">
      <w:numFmt w:val="bullet"/>
      <w:lvlText w:val="•"/>
      <w:lvlJc w:val="left"/>
      <w:pPr>
        <w:ind w:left="3563" w:hanging="265"/>
      </w:pPr>
      <w:rPr>
        <w:rFonts w:hint="default"/>
        <w:lang w:val="hr-HR" w:eastAsia="en-US" w:bidi="ar-SA"/>
      </w:rPr>
    </w:lvl>
    <w:lvl w:ilvl="6" w:tplc="4CC0EC98">
      <w:numFmt w:val="bullet"/>
      <w:lvlText w:val="•"/>
      <w:lvlJc w:val="left"/>
      <w:pPr>
        <w:ind w:left="4191" w:hanging="265"/>
      </w:pPr>
      <w:rPr>
        <w:rFonts w:hint="default"/>
        <w:lang w:val="hr-HR" w:eastAsia="en-US" w:bidi="ar-SA"/>
      </w:rPr>
    </w:lvl>
    <w:lvl w:ilvl="7" w:tplc="193EDF2C">
      <w:numFmt w:val="bullet"/>
      <w:lvlText w:val="•"/>
      <w:lvlJc w:val="left"/>
      <w:pPr>
        <w:ind w:left="4820" w:hanging="265"/>
      </w:pPr>
      <w:rPr>
        <w:rFonts w:hint="default"/>
        <w:lang w:val="hr-HR" w:eastAsia="en-US" w:bidi="ar-SA"/>
      </w:rPr>
    </w:lvl>
    <w:lvl w:ilvl="8" w:tplc="5296D518">
      <w:numFmt w:val="bullet"/>
      <w:lvlText w:val="•"/>
      <w:lvlJc w:val="left"/>
      <w:pPr>
        <w:ind w:left="5448" w:hanging="265"/>
      </w:pPr>
      <w:rPr>
        <w:rFonts w:hint="default"/>
        <w:lang w:val="hr-HR" w:eastAsia="en-US" w:bidi="ar-SA"/>
      </w:rPr>
    </w:lvl>
  </w:abstractNum>
  <w:abstractNum w:abstractNumId="6" w15:restartNumberingAfterBreak="0">
    <w:nsid w:val="06EE0803"/>
    <w:multiLevelType w:val="hybridMultilevel"/>
    <w:tmpl w:val="1F08CE5A"/>
    <w:lvl w:ilvl="0" w:tplc="041A000F">
      <w:start w:val="1"/>
      <w:numFmt w:val="decimal"/>
      <w:lvlText w:val="%1."/>
      <w:lvlJc w:val="left"/>
      <w:pPr>
        <w:ind w:left="36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70D21F0"/>
    <w:multiLevelType w:val="hybridMultilevel"/>
    <w:tmpl w:val="39CCC956"/>
    <w:lvl w:ilvl="0" w:tplc="041A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07334D6B"/>
    <w:multiLevelType w:val="hybridMultilevel"/>
    <w:tmpl w:val="C47698D8"/>
    <w:lvl w:ilvl="0" w:tplc="041A000F">
      <w:start w:val="1"/>
      <w:numFmt w:val="decimal"/>
      <w:lvlText w:val="%1."/>
      <w:lvlJc w:val="left"/>
      <w:pPr>
        <w:tabs>
          <w:tab w:val="num" w:pos="720"/>
        </w:tabs>
        <w:ind w:left="720" w:hanging="360"/>
      </w:pPr>
      <w:rPr>
        <w:rFonts w:hint="default"/>
      </w:r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9" w15:restartNumberingAfterBreak="0">
    <w:nsid w:val="076F4B16"/>
    <w:multiLevelType w:val="hybridMultilevel"/>
    <w:tmpl w:val="C00ABE98"/>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0" w15:restartNumberingAfterBreak="0">
    <w:nsid w:val="08A97552"/>
    <w:multiLevelType w:val="hybridMultilevel"/>
    <w:tmpl w:val="28F461B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0962149B"/>
    <w:multiLevelType w:val="hybridMultilevel"/>
    <w:tmpl w:val="70B41B70"/>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9D60ABE"/>
    <w:multiLevelType w:val="hybridMultilevel"/>
    <w:tmpl w:val="B2865C2A"/>
    <w:lvl w:ilvl="0" w:tplc="FFFFFFFF">
      <w:start w:val="1"/>
      <w:numFmt w:val="decimal"/>
      <w:lvlText w:val="%1."/>
      <w:lvlJc w:val="left"/>
      <w:pPr>
        <w:ind w:left="141" w:hanging="283"/>
      </w:pPr>
      <w:rPr>
        <w:rFonts w:ascii="Cambria" w:eastAsia="Cambria" w:hAnsi="Cambria" w:cs="Cambria" w:hint="default"/>
        <w:spacing w:val="-1"/>
        <w:w w:val="100"/>
        <w:sz w:val="24"/>
        <w:szCs w:val="24"/>
        <w:lang w:val="en-US" w:eastAsia="en-US" w:bidi="ar-SA"/>
      </w:rPr>
    </w:lvl>
    <w:lvl w:ilvl="1" w:tplc="FFFFFFFF">
      <w:numFmt w:val="bullet"/>
      <w:lvlText w:val="•"/>
      <w:lvlJc w:val="left"/>
      <w:pPr>
        <w:ind w:left="828" w:hanging="283"/>
      </w:pPr>
      <w:rPr>
        <w:lang w:val="en-US" w:eastAsia="en-US" w:bidi="ar-SA"/>
      </w:rPr>
    </w:lvl>
    <w:lvl w:ilvl="2" w:tplc="FFFFFFFF">
      <w:numFmt w:val="bullet"/>
      <w:lvlText w:val="•"/>
      <w:lvlJc w:val="left"/>
      <w:pPr>
        <w:ind w:left="1516" w:hanging="283"/>
      </w:pPr>
      <w:rPr>
        <w:lang w:val="en-US" w:eastAsia="en-US" w:bidi="ar-SA"/>
      </w:rPr>
    </w:lvl>
    <w:lvl w:ilvl="3" w:tplc="FFFFFFFF">
      <w:numFmt w:val="bullet"/>
      <w:lvlText w:val="•"/>
      <w:lvlJc w:val="left"/>
      <w:pPr>
        <w:ind w:left="2204" w:hanging="283"/>
      </w:pPr>
      <w:rPr>
        <w:lang w:val="en-US" w:eastAsia="en-US" w:bidi="ar-SA"/>
      </w:rPr>
    </w:lvl>
    <w:lvl w:ilvl="4" w:tplc="FFFFFFFF">
      <w:numFmt w:val="bullet"/>
      <w:lvlText w:val="•"/>
      <w:lvlJc w:val="left"/>
      <w:pPr>
        <w:ind w:left="2892" w:hanging="283"/>
      </w:pPr>
      <w:rPr>
        <w:lang w:val="en-US" w:eastAsia="en-US" w:bidi="ar-SA"/>
      </w:rPr>
    </w:lvl>
    <w:lvl w:ilvl="5" w:tplc="FFFFFFFF">
      <w:numFmt w:val="bullet"/>
      <w:lvlText w:val="•"/>
      <w:lvlJc w:val="left"/>
      <w:pPr>
        <w:ind w:left="3580" w:hanging="283"/>
      </w:pPr>
      <w:rPr>
        <w:lang w:val="en-US" w:eastAsia="en-US" w:bidi="ar-SA"/>
      </w:rPr>
    </w:lvl>
    <w:lvl w:ilvl="6" w:tplc="FFFFFFFF">
      <w:numFmt w:val="bullet"/>
      <w:lvlText w:val="•"/>
      <w:lvlJc w:val="left"/>
      <w:pPr>
        <w:ind w:left="4268" w:hanging="283"/>
      </w:pPr>
      <w:rPr>
        <w:lang w:val="en-US" w:eastAsia="en-US" w:bidi="ar-SA"/>
      </w:rPr>
    </w:lvl>
    <w:lvl w:ilvl="7" w:tplc="FFFFFFFF">
      <w:numFmt w:val="bullet"/>
      <w:lvlText w:val="•"/>
      <w:lvlJc w:val="left"/>
      <w:pPr>
        <w:ind w:left="4956" w:hanging="283"/>
      </w:pPr>
      <w:rPr>
        <w:lang w:val="en-US" w:eastAsia="en-US" w:bidi="ar-SA"/>
      </w:rPr>
    </w:lvl>
    <w:lvl w:ilvl="8" w:tplc="FFFFFFFF">
      <w:numFmt w:val="bullet"/>
      <w:lvlText w:val="•"/>
      <w:lvlJc w:val="left"/>
      <w:pPr>
        <w:ind w:left="5644" w:hanging="283"/>
      </w:pPr>
      <w:rPr>
        <w:lang w:val="en-US" w:eastAsia="en-US" w:bidi="ar-SA"/>
      </w:rPr>
    </w:lvl>
  </w:abstractNum>
  <w:abstractNum w:abstractNumId="13" w15:restartNumberingAfterBreak="0">
    <w:nsid w:val="0D022643"/>
    <w:multiLevelType w:val="hybridMultilevel"/>
    <w:tmpl w:val="09381C1A"/>
    <w:lvl w:ilvl="0" w:tplc="FE78FD82">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15:restartNumberingAfterBreak="0">
    <w:nsid w:val="0FD462AA"/>
    <w:multiLevelType w:val="hybridMultilevel"/>
    <w:tmpl w:val="CC4E86A8"/>
    <w:lvl w:ilvl="0" w:tplc="534024BE">
      <w:start w:val="1"/>
      <w:numFmt w:val="decimal"/>
      <w:lvlText w:val="%1."/>
      <w:lvlJc w:val="left"/>
      <w:pPr>
        <w:ind w:left="431" w:hanging="288"/>
      </w:pPr>
      <w:rPr>
        <w:rFonts w:ascii="Cambria" w:eastAsia="Cambria" w:hAnsi="Cambria" w:cs="Cambria" w:hint="default"/>
        <w:color w:val="333333"/>
        <w:w w:val="100"/>
        <w:sz w:val="22"/>
        <w:szCs w:val="22"/>
        <w:lang w:val="hr-HR" w:eastAsia="en-US" w:bidi="ar-SA"/>
      </w:rPr>
    </w:lvl>
    <w:lvl w:ilvl="1" w:tplc="DA349514">
      <w:numFmt w:val="bullet"/>
      <w:lvlText w:val="•"/>
      <w:lvlJc w:val="left"/>
      <w:pPr>
        <w:ind w:left="1066" w:hanging="288"/>
      </w:pPr>
      <w:rPr>
        <w:rFonts w:hint="default"/>
        <w:lang w:val="hr-HR" w:eastAsia="en-US" w:bidi="ar-SA"/>
      </w:rPr>
    </w:lvl>
    <w:lvl w:ilvl="2" w:tplc="C4EC14EE">
      <w:numFmt w:val="bullet"/>
      <w:lvlText w:val="•"/>
      <w:lvlJc w:val="left"/>
      <w:pPr>
        <w:ind w:left="1693" w:hanging="288"/>
      </w:pPr>
      <w:rPr>
        <w:rFonts w:hint="default"/>
        <w:lang w:val="hr-HR" w:eastAsia="en-US" w:bidi="ar-SA"/>
      </w:rPr>
    </w:lvl>
    <w:lvl w:ilvl="3" w:tplc="50342E7A">
      <w:numFmt w:val="bullet"/>
      <w:lvlText w:val="•"/>
      <w:lvlJc w:val="left"/>
      <w:pPr>
        <w:ind w:left="2319" w:hanging="288"/>
      </w:pPr>
      <w:rPr>
        <w:rFonts w:hint="default"/>
        <w:lang w:val="hr-HR" w:eastAsia="en-US" w:bidi="ar-SA"/>
      </w:rPr>
    </w:lvl>
    <w:lvl w:ilvl="4" w:tplc="5DD4E2CE">
      <w:numFmt w:val="bullet"/>
      <w:lvlText w:val="•"/>
      <w:lvlJc w:val="left"/>
      <w:pPr>
        <w:ind w:left="2946" w:hanging="288"/>
      </w:pPr>
      <w:rPr>
        <w:rFonts w:hint="default"/>
        <w:lang w:val="hr-HR" w:eastAsia="en-US" w:bidi="ar-SA"/>
      </w:rPr>
    </w:lvl>
    <w:lvl w:ilvl="5" w:tplc="73C6E102">
      <w:numFmt w:val="bullet"/>
      <w:lvlText w:val="•"/>
      <w:lvlJc w:val="left"/>
      <w:pPr>
        <w:ind w:left="3573" w:hanging="288"/>
      </w:pPr>
      <w:rPr>
        <w:rFonts w:hint="default"/>
        <w:lang w:val="hr-HR" w:eastAsia="en-US" w:bidi="ar-SA"/>
      </w:rPr>
    </w:lvl>
    <w:lvl w:ilvl="6" w:tplc="94EA5366">
      <w:numFmt w:val="bullet"/>
      <w:lvlText w:val="•"/>
      <w:lvlJc w:val="left"/>
      <w:pPr>
        <w:ind w:left="4199" w:hanging="288"/>
      </w:pPr>
      <w:rPr>
        <w:rFonts w:hint="default"/>
        <w:lang w:val="hr-HR" w:eastAsia="en-US" w:bidi="ar-SA"/>
      </w:rPr>
    </w:lvl>
    <w:lvl w:ilvl="7" w:tplc="E350FEBA">
      <w:numFmt w:val="bullet"/>
      <w:lvlText w:val="•"/>
      <w:lvlJc w:val="left"/>
      <w:pPr>
        <w:ind w:left="4826" w:hanging="288"/>
      </w:pPr>
      <w:rPr>
        <w:rFonts w:hint="default"/>
        <w:lang w:val="hr-HR" w:eastAsia="en-US" w:bidi="ar-SA"/>
      </w:rPr>
    </w:lvl>
    <w:lvl w:ilvl="8" w:tplc="E1786F92">
      <w:numFmt w:val="bullet"/>
      <w:lvlText w:val="•"/>
      <w:lvlJc w:val="left"/>
      <w:pPr>
        <w:ind w:left="5452" w:hanging="288"/>
      </w:pPr>
      <w:rPr>
        <w:rFonts w:hint="default"/>
        <w:lang w:val="hr-HR" w:eastAsia="en-US" w:bidi="ar-SA"/>
      </w:rPr>
    </w:lvl>
  </w:abstractNum>
  <w:abstractNum w:abstractNumId="15" w15:restartNumberingAfterBreak="0">
    <w:nsid w:val="1103514A"/>
    <w:multiLevelType w:val="multilevel"/>
    <w:tmpl w:val="1103514A"/>
    <w:lvl w:ilvl="0">
      <w:start w:val="1"/>
      <w:numFmt w:val="decimal"/>
      <w:lvlText w:val="%1."/>
      <w:lvlJc w:val="left"/>
      <w:pPr>
        <w:tabs>
          <w:tab w:val="left" w:pos="720"/>
        </w:tabs>
        <w:ind w:left="360" w:hanging="360"/>
      </w:pPr>
    </w:lvl>
    <w:lvl w:ilvl="1">
      <w:start w:val="1"/>
      <w:numFmt w:val="lowerLetter"/>
      <w:lvlText w:val="%2."/>
      <w:lvlJc w:val="left"/>
      <w:pPr>
        <w:tabs>
          <w:tab w:val="left" w:pos="1440"/>
        </w:tabs>
        <w:ind w:left="1080" w:hanging="360"/>
      </w:pPr>
    </w:lvl>
    <w:lvl w:ilvl="2">
      <w:start w:val="1"/>
      <w:numFmt w:val="lowerRoman"/>
      <w:lvlText w:val="%3."/>
      <w:lvlJc w:val="right"/>
      <w:pPr>
        <w:tabs>
          <w:tab w:val="left" w:pos="2160"/>
        </w:tabs>
        <w:ind w:left="1800" w:hanging="180"/>
      </w:pPr>
    </w:lvl>
    <w:lvl w:ilvl="3">
      <w:start w:val="1"/>
      <w:numFmt w:val="decimal"/>
      <w:lvlText w:val="%4."/>
      <w:lvlJc w:val="left"/>
      <w:pPr>
        <w:tabs>
          <w:tab w:val="left" w:pos="2880"/>
        </w:tabs>
        <w:ind w:left="2520" w:hanging="360"/>
      </w:pPr>
    </w:lvl>
    <w:lvl w:ilvl="4">
      <w:start w:val="1"/>
      <w:numFmt w:val="lowerLetter"/>
      <w:lvlText w:val="%5."/>
      <w:lvlJc w:val="left"/>
      <w:pPr>
        <w:tabs>
          <w:tab w:val="left" w:pos="3600"/>
        </w:tabs>
        <w:ind w:left="3240" w:hanging="360"/>
      </w:pPr>
    </w:lvl>
    <w:lvl w:ilvl="5">
      <w:start w:val="1"/>
      <w:numFmt w:val="lowerRoman"/>
      <w:lvlText w:val="%6."/>
      <w:lvlJc w:val="right"/>
      <w:pPr>
        <w:tabs>
          <w:tab w:val="left" w:pos="4320"/>
        </w:tabs>
        <w:ind w:left="3960" w:hanging="180"/>
      </w:pPr>
    </w:lvl>
    <w:lvl w:ilvl="6">
      <w:start w:val="1"/>
      <w:numFmt w:val="decimal"/>
      <w:lvlText w:val="%7."/>
      <w:lvlJc w:val="left"/>
      <w:pPr>
        <w:tabs>
          <w:tab w:val="left" w:pos="5040"/>
        </w:tabs>
        <w:ind w:left="4680" w:hanging="360"/>
      </w:pPr>
    </w:lvl>
    <w:lvl w:ilvl="7">
      <w:start w:val="1"/>
      <w:numFmt w:val="lowerLetter"/>
      <w:lvlText w:val="%8."/>
      <w:lvlJc w:val="left"/>
      <w:pPr>
        <w:tabs>
          <w:tab w:val="left" w:pos="5760"/>
        </w:tabs>
        <w:ind w:left="5400" w:hanging="360"/>
      </w:pPr>
    </w:lvl>
    <w:lvl w:ilvl="8">
      <w:start w:val="1"/>
      <w:numFmt w:val="lowerRoman"/>
      <w:lvlText w:val="%9."/>
      <w:lvlJc w:val="right"/>
      <w:pPr>
        <w:tabs>
          <w:tab w:val="left" w:pos="6480"/>
        </w:tabs>
        <w:ind w:left="6120" w:hanging="180"/>
      </w:pPr>
    </w:lvl>
  </w:abstractNum>
  <w:abstractNum w:abstractNumId="16" w15:restartNumberingAfterBreak="0">
    <w:nsid w:val="111E6237"/>
    <w:multiLevelType w:val="hybridMultilevel"/>
    <w:tmpl w:val="26B8B0B8"/>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7" w15:restartNumberingAfterBreak="0">
    <w:nsid w:val="118B360B"/>
    <w:multiLevelType w:val="hybridMultilevel"/>
    <w:tmpl w:val="E63E65F0"/>
    <w:lvl w:ilvl="0" w:tplc="487086CE">
      <w:start w:val="1"/>
      <w:numFmt w:val="decimal"/>
      <w:lvlText w:val="%1."/>
      <w:lvlJc w:val="left"/>
      <w:pPr>
        <w:ind w:left="503" w:hanging="360"/>
      </w:pPr>
      <w:rPr>
        <w:rFonts w:ascii="Cambria" w:eastAsia="Cambria" w:hAnsi="Cambria" w:cs="Cambria" w:hint="default"/>
        <w:spacing w:val="-1"/>
        <w:w w:val="100"/>
        <w:sz w:val="24"/>
        <w:szCs w:val="24"/>
        <w:lang w:val="hr-HR" w:eastAsia="en-US" w:bidi="ar-SA"/>
      </w:rPr>
    </w:lvl>
    <w:lvl w:ilvl="1" w:tplc="F15009FA">
      <w:numFmt w:val="bullet"/>
      <w:lvlText w:val="•"/>
      <w:lvlJc w:val="left"/>
      <w:pPr>
        <w:ind w:left="1134" w:hanging="360"/>
      </w:pPr>
      <w:rPr>
        <w:rFonts w:hint="default"/>
        <w:lang w:val="hr-HR" w:eastAsia="en-US" w:bidi="ar-SA"/>
      </w:rPr>
    </w:lvl>
    <w:lvl w:ilvl="2" w:tplc="14008EAA">
      <w:numFmt w:val="bullet"/>
      <w:lvlText w:val="•"/>
      <w:lvlJc w:val="left"/>
      <w:pPr>
        <w:ind w:left="1769" w:hanging="360"/>
      </w:pPr>
      <w:rPr>
        <w:rFonts w:hint="default"/>
        <w:lang w:val="hr-HR" w:eastAsia="en-US" w:bidi="ar-SA"/>
      </w:rPr>
    </w:lvl>
    <w:lvl w:ilvl="3" w:tplc="87BA8EDC">
      <w:numFmt w:val="bullet"/>
      <w:lvlText w:val="•"/>
      <w:lvlJc w:val="left"/>
      <w:pPr>
        <w:ind w:left="2404" w:hanging="360"/>
      </w:pPr>
      <w:rPr>
        <w:rFonts w:hint="default"/>
        <w:lang w:val="hr-HR" w:eastAsia="en-US" w:bidi="ar-SA"/>
      </w:rPr>
    </w:lvl>
    <w:lvl w:ilvl="4" w:tplc="3872C492">
      <w:numFmt w:val="bullet"/>
      <w:lvlText w:val="•"/>
      <w:lvlJc w:val="left"/>
      <w:pPr>
        <w:ind w:left="3039" w:hanging="360"/>
      </w:pPr>
      <w:rPr>
        <w:rFonts w:hint="default"/>
        <w:lang w:val="hr-HR" w:eastAsia="en-US" w:bidi="ar-SA"/>
      </w:rPr>
    </w:lvl>
    <w:lvl w:ilvl="5" w:tplc="9E883158">
      <w:numFmt w:val="bullet"/>
      <w:lvlText w:val="•"/>
      <w:lvlJc w:val="left"/>
      <w:pPr>
        <w:ind w:left="3674" w:hanging="360"/>
      </w:pPr>
      <w:rPr>
        <w:rFonts w:hint="default"/>
        <w:lang w:val="hr-HR" w:eastAsia="en-US" w:bidi="ar-SA"/>
      </w:rPr>
    </w:lvl>
    <w:lvl w:ilvl="6" w:tplc="79DA42F8">
      <w:numFmt w:val="bullet"/>
      <w:lvlText w:val="•"/>
      <w:lvlJc w:val="left"/>
      <w:pPr>
        <w:ind w:left="4309" w:hanging="360"/>
      </w:pPr>
      <w:rPr>
        <w:rFonts w:hint="default"/>
        <w:lang w:val="hr-HR" w:eastAsia="en-US" w:bidi="ar-SA"/>
      </w:rPr>
    </w:lvl>
    <w:lvl w:ilvl="7" w:tplc="B276E7C0">
      <w:numFmt w:val="bullet"/>
      <w:lvlText w:val="•"/>
      <w:lvlJc w:val="left"/>
      <w:pPr>
        <w:ind w:left="4944" w:hanging="360"/>
      </w:pPr>
      <w:rPr>
        <w:rFonts w:hint="default"/>
        <w:lang w:val="hr-HR" w:eastAsia="en-US" w:bidi="ar-SA"/>
      </w:rPr>
    </w:lvl>
    <w:lvl w:ilvl="8" w:tplc="5F56C7D0">
      <w:numFmt w:val="bullet"/>
      <w:lvlText w:val="•"/>
      <w:lvlJc w:val="left"/>
      <w:pPr>
        <w:ind w:left="5579" w:hanging="360"/>
      </w:pPr>
      <w:rPr>
        <w:rFonts w:hint="default"/>
        <w:lang w:val="hr-HR" w:eastAsia="en-US" w:bidi="ar-SA"/>
      </w:rPr>
    </w:lvl>
  </w:abstractNum>
  <w:abstractNum w:abstractNumId="18" w15:restartNumberingAfterBreak="0">
    <w:nsid w:val="11A75D94"/>
    <w:multiLevelType w:val="hybridMultilevel"/>
    <w:tmpl w:val="B5D40A20"/>
    <w:lvl w:ilvl="0" w:tplc="E8E8D1B4">
      <w:start w:val="1"/>
      <w:numFmt w:val="decimal"/>
      <w:lvlText w:val="%1."/>
      <w:lvlJc w:val="left"/>
      <w:pPr>
        <w:ind w:left="503" w:hanging="360"/>
      </w:pPr>
      <w:rPr>
        <w:rFonts w:ascii="Cambria" w:eastAsia="Cambria" w:hAnsi="Cambria" w:cs="Cambria"/>
        <w:spacing w:val="-1"/>
        <w:w w:val="100"/>
        <w:sz w:val="24"/>
        <w:szCs w:val="24"/>
        <w:lang w:val="hr-HR" w:eastAsia="en-US" w:bidi="ar-SA"/>
      </w:rPr>
    </w:lvl>
    <w:lvl w:ilvl="1" w:tplc="B0D0877E">
      <w:numFmt w:val="bullet"/>
      <w:lvlText w:val="•"/>
      <w:lvlJc w:val="left"/>
      <w:pPr>
        <w:ind w:left="1156" w:hanging="360"/>
      </w:pPr>
      <w:rPr>
        <w:rFonts w:hint="default"/>
        <w:lang w:val="hr-HR" w:eastAsia="en-US" w:bidi="ar-SA"/>
      </w:rPr>
    </w:lvl>
    <w:lvl w:ilvl="2" w:tplc="8514CD04">
      <w:numFmt w:val="bullet"/>
      <w:lvlText w:val="•"/>
      <w:lvlJc w:val="left"/>
      <w:pPr>
        <w:ind w:left="1812" w:hanging="360"/>
      </w:pPr>
      <w:rPr>
        <w:rFonts w:hint="default"/>
        <w:lang w:val="hr-HR" w:eastAsia="en-US" w:bidi="ar-SA"/>
      </w:rPr>
    </w:lvl>
    <w:lvl w:ilvl="3" w:tplc="96386A26">
      <w:numFmt w:val="bullet"/>
      <w:lvlText w:val="•"/>
      <w:lvlJc w:val="left"/>
      <w:pPr>
        <w:ind w:left="2469" w:hanging="360"/>
      </w:pPr>
      <w:rPr>
        <w:rFonts w:hint="default"/>
        <w:lang w:val="hr-HR" w:eastAsia="en-US" w:bidi="ar-SA"/>
      </w:rPr>
    </w:lvl>
    <w:lvl w:ilvl="4" w:tplc="C28AC0CE">
      <w:numFmt w:val="bullet"/>
      <w:lvlText w:val="•"/>
      <w:lvlJc w:val="left"/>
      <w:pPr>
        <w:ind w:left="3125" w:hanging="360"/>
      </w:pPr>
      <w:rPr>
        <w:rFonts w:hint="default"/>
        <w:lang w:val="hr-HR" w:eastAsia="en-US" w:bidi="ar-SA"/>
      </w:rPr>
    </w:lvl>
    <w:lvl w:ilvl="5" w:tplc="333013BA">
      <w:numFmt w:val="bullet"/>
      <w:lvlText w:val="•"/>
      <w:lvlJc w:val="left"/>
      <w:pPr>
        <w:ind w:left="3782" w:hanging="360"/>
      </w:pPr>
      <w:rPr>
        <w:rFonts w:hint="default"/>
        <w:lang w:val="hr-HR" w:eastAsia="en-US" w:bidi="ar-SA"/>
      </w:rPr>
    </w:lvl>
    <w:lvl w:ilvl="6" w:tplc="18F60DBA">
      <w:numFmt w:val="bullet"/>
      <w:lvlText w:val="•"/>
      <w:lvlJc w:val="left"/>
      <w:pPr>
        <w:ind w:left="4438" w:hanging="360"/>
      </w:pPr>
      <w:rPr>
        <w:rFonts w:hint="default"/>
        <w:lang w:val="hr-HR" w:eastAsia="en-US" w:bidi="ar-SA"/>
      </w:rPr>
    </w:lvl>
    <w:lvl w:ilvl="7" w:tplc="1EB463D4">
      <w:numFmt w:val="bullet"/>
      <w:lvlText w:val="•"/>
      <w:lvlJc w:val="left"/>
      <w:pPr>
        <w:ind w:left="5094" w:hanging="360"/>
      </w:pPr>
      <w:rPr>
        <w:rFonts w:hint="default"/>
        <w:lang w:val="hr-HR" w:eastAsia="en-US" w:bidi="ar-SA"/>
      </w:rPr>
    </w:lvl>
    <w:lvl w:ilvl="8" w:tplc="525C179A">
      <w:numFmt w:val="bullet"/>
      <w:lvlText w:val="•"/>
      <w:lvlJc w:val="left"/>
      <w:pPr>
        <w:ind w:left="5751" w:hanging="360"/>
      </w:pPr>
      <w:rPr>
        <w:rFonts w:hint="default"/>
        <w:lang w:val="hr-HR" w:eastAsia="en-US" w:bidi="ar-SA"/>
      </w:rPr>
    </w:lvl>
  </w:abstractNum>
  <w:abstractNum w:abstractNumId="19" w15:restartNumberingAfterBreak="0">
    <w:nsid w:val="11CE2E34"/>
    <w:multiLevelType w:val="multilevel"/>
    <w:tmpl w:val="9C6A0C42"/>
    <w:lvl w:ilvl="0">
      <w:start w:val="1"/>
      <w:numFmt w:val="decimal"/>
      <w:lvlText w:val="%1."/>
      <w:lvlJc w:val="left"/>
      <w:pPr>
        <w:ind w:left="360" w:hanging="360"/>
      </w:pPr>
      <w:rPr>
        <w:rFonts w:ascii="Calibri" w:eastAsia="Calibri" w:hAnsi="Calibri"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3277954"/>
    <w:multiLevelType w:val="hybridMultilevel"/>
    <w:tmpl w:val="39F609BA"/>
    <w:lvl w:ilvl="0" w:tplc="7702E326">
      <w:start w:val="1"/>
      <w:numFmt w:val="decimal"/>
      <w:lvlText w:val="%1."/>
      <w:lvlJc w:val="left"/>
      <w:pPr>
        <w:ind w:left="360" w:hanging="360"/>
      </w:pPr>
      <w:rPr>
        <w:b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1" w15:restartNumberingAfterBreak="0">
    <w:nsid w:val="13A148E7"/>
    <w:multiLevelType w:val="hybridMultilevel"/>
    <w:tmpl w:val="447483FE"/>
    <w:lvl w:ilvl="0" w:tplc="08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14FC3E26"/>
    <w:multiLevelType w:val="hybridMultilevel"/>
    <w:tmpl w:val="CD6AF364"/>
    <w:lvl w:ilvl="0" w:tplc="EECC9798">
      <w:start w:val="1"/>
      <w:numFmt w:val="decimal"/>
      <w:lvlText w:val="%1."/>
      <w:lvlJc w:val="left"/>
      <w:pPr>
        <w:ind w:left="570" w:hanging="427"/>
      </w:pPr>
      <w:rPr>
        <w:rFonts w:ascii="Cambria" w:eastAsia="Cambria" w:hAnsi="Cambria" w:cs="Cambria" w:hint="default"/>
        <w:spacing w:val="-1"/>
        <w:w w:val="100"/>
        <w:sz w:val="24"/>
        <w:szCs w:val="24"/>
        <w:lang w:val="hr-HR" w:eastAsia="en-US" w:bidi="ar-SA"/>
      </w:rPr>
    </w:lvl>
    <w:lvl w:ilvl="1" w:tplc="3FD8AB1C">
      <w:numFmt w:val="bullet"/>
      <w:lvlText w:val="•"/>
      <w:lvlJc w:val="left"/>
      <w:pPr>
        <w:ind w:left="1206" w:hanging="427"/>
      </w:pPr>
      <w:rPr>
        <w:rFonts w:hint="default"/>
        <w:lang w:val="hr-HR" w:eastAsia="en-US" w:bidi="ar-SA"/>
      </w:rPr>
    </w:lvl>
    <w:lvl w:ilvl="2" w:tplc="EA30E5EE">
      <w:numFmt w:val="bullet"/>
      <w:lvlText w:val="•"/>
      <w:lvlJc w:val="left"/>
      <w:pPr>
        <w:ind w:left="1833" w:hanging="427"/>
      </w:pPr>
      <w:rPr>
        <w:rFonts w:hint="default"/>
        <w:lang w:val="hr-HR" w:eastAsia="en-US" w:bidi="ar-SA"/>
      </w:rPr>
    </w:lvl>
    <w:lvl w:ilvl="3" w:tplc="96E2C73C">
      <w:numFmt w:val="bullet"/>
      <w:lvlText w:val="•"/>
      <w:lvlJc w:val="left"/>
      <w:pPr>
        <w:ind w:left="2459" w:hanging="427"/>
      </w:pPr>
      <w:rPr>
        <w:rFonts w:hint="default"/>
        <w:lang w:val="hr-HR" w:eastAsia="en-US" w:bidi="ar-SA"/>
      </w:rPr>
    </w:lvl>
    <w:lvl w:ilvl="4" w:tplc="BD0AB79E">
      <w:numFmt w:val="bullet"/>
      <w:lvlText w:val="•"/>
      <w:lvlJc w:val="left"/>
      <w:pPr>
        <w:ind w:left="3086" w:hanging="427"/>
      </w:pPr>
      <w:rPr>
        <w:rFonts w:hint="default"/>
        <w:lang w:val="hr-HR" w:eastAsia="en-US" w:bidi="ar-SA"/>
      </w:rPr>
    </w:lvl>
    <w:lvl w:ilvl="5" w:tplc="DEBA4806">
      <w:numFmt w:val="bullet"/>
      <w:lvlText w:val="•"/>
      <w:lvlJc w:val="left"/>
      <w:pPr>
        <w:ind w:left="3712" w:hanging="427"/>
      </w:pPr>
      <w:rPr>
        <w:rFonts w:hint="default"/>
        <w:lang w:val="hr-HR" w:eastAsia="en-US" w:bidi="ar-SA"/>
      </w:rPr>
    </w:lvl>
    <w:lvl w:ilvl="6" w:tplc="96523854">
      <w:numFmt w:val="bullet"/>
      <w:lvlText w:val="•"/>
      <w:lvlJc w:val="left"/>
      <w:pPr>
        <w:ind w:left="4339" w:hanging="427"/>
      </w:pPr>
      <w:rPr>
        <w:rFonts w:hint="default"/>
        <w:lang w:val="hr-HR" w:eastAsia="en-US" w:bidi="ar-SA"/>
      </w:rPr>
    </w:lvl>
    <w:lvl w:ilvl="7" w:tplc="544A0842">
      <w:numFmt w:val="bullet"/>
      <w:lvlText w:val="•"/>
      <w:lvlJc w:val="left"/>
      <w:pPr>
        <w:ind w:left="4965" w:hanging="427"/>
      </w:pPr>
      <w:rPr>
        <w:rFonts w:hint="default"/>
        <w:lang w:val="hr-HR" w:eastAsia="en-US" w:bidi="ar-SA"/>
      </w:rPr>
    </w:lvl>
    <w:lvl w:ilvl="8" w:tplc="0972AF9A">
      <w:numFmt w:val="bullet"/>
      <w:lvlText w:val="•"/>
      <w:lvlJc w:val="left"/>
      <w:pPr>
        <w:ind w:left="5592" w:hanging="427"/>
      </w:pPr>
      <w:rPr>
        <w:rFonts w:hint="default"/>
        <w:lang w:val="hr-HR" w:eastAsia="en-US" w:bidi="ar-SA"/>
      </w:rPr>
    </w:lvl>
  </w:abstractNum>
  <w:abstractNum w:abstractNumId="23" w15:restartNumberingAfterBreak="0">
    <w:nsid w:val="150E622D"/>
    <w:multiLevelType w:val="hybridMultilevel"/>
    <w:tmpl w:val="5EAEBF5E"/>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4" w15:restartNumberingAfterBreak="0">
    <w:nsid w:val="1519076B"/>
    <w:multiLevelType w:val="multilevel"/>
    <w:tmpl w:val="00000004"/>
    <w:lvl w:ilvl="0">
      <w:start w:val="1"/>
      <w:numFmt w:val="decimal"/>
      <w:lvlText w:val="(%1)"/>
      <w:lvlJc w:val="left"/>
      <w:pPr>
        <w:tabs>
          <w:tab w:val="num" w:pos="360"/>
        </w:tabs>
        <w:ind w:left="360" w:hanging="360"/>
      </w:pPr>
    </w:lvl>
    <w:lvl w:ilvl="1">
      <w:numFmt w:val="bullet"/>
      <w:lvlText w:val="-"/>
      <w:lvlJc w:val="left"/>
      <w:pPr>
        <w:tabs>
          <w:tab w:val="num" w:pos="1080"/>
        </w:tabs>
        <w:ind w:left="1080" w:hanging="360"/>
      </w:pPr>
      <w:rPr>
        <w:rFonts w:ascii="OpenSymbol" w:hAnsi="OpenSymbol"/>
      </w:rPr>
    </w:lvl>
    <w:lvl w:ilvl="2">
      <w:start w:val="1"/>
      <w:numFmt w:val="lowerRoman"/>
      <w:lvlText w:val="%3."/>
      <w:lvlJc w:val="lef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25" w15:restartNumberingAfterBreak="0">
    <w:nsid w:val="16876FF0"/>
    <w:multiLevelType w:val="hybridMultilevel"/>
    <w:tmpl w:val="33EA0F0A"/>
    <w:lvl w:ilvl="0" w:tplc="3B88287C">
      <w:start w:val="1"/>
      <w:numFmt w:val="decimal"/>
      <w:lvlText w:val="%1."/>
      <w:lvlJc w:val="left"/>
      <w:pPr>
        <w:ind w:left="467" w:hanging="360"/>
      </w:pPr>
      <w:rPr>
        <w:rFonts w:ascii="Cambria" w:eastAsia="Cambria" w:hAnsi="Cambria" w:cs="Cambria" w:hint="default"/>
        <w:w w:val="100"/>
        <w:sz w:val="22"/>
        <w:szCs w:val="22"/>
        <w:lang w:val="hr-HR" w:eastAsia="en-US" w:bidi="ar-SA"/>
      </w:rPr>
    </w:lvl>
    <w:lvl w:ilvl="1" w:tplc="8B0E07D8">
      <w:numFmt w:val="bullet"/>
      <w:lvlText w:val="•"/>
      <w:lvlJc w:val="left"/>
      <w:pPr>
        <w:ind w:left="1084" w:hanging="360"/>
      </w:pPr>
      <w:rPr>
        <w:rFonts w:hint="default"/>
        <w:lang w:val="hr-HR" w:eastAsia="en-US" w:bidi="ar-SA"/>
      </w:rPr>
    </w:lvl>
    <w:lvl w:ilvl="2" w:tplc="4380DED2">
      <w:numFmt w:val="bullet"/>
      <w:lvlText w:val="•"/>
      <w:lvlJc w:val="left"/>
      <w:pPr>
        <w:ind w:left="1709" w:hanging="360"/>
      </w:pPr>
      <w:rPr>
        <w:rFonts w:hint="default"/>
        <w:lang w:val="hr-HR" w:eastAsia="en-US" w:bidi="ar-SA"/>
      </w:rPr>
    </w:lvl>
    <w:lvl w:ilvl="3" w:tplc="A83EE3E2">
      <w:numFmt w:val="bullet"/>
      <w:lvlText w:val="•"/>
      <w:lvlJc w:val="left"/>
      <w:pPr>
        <w:ind w:left="2333" w:hanging="360"/>
      </w:pPr>
      <w:rPr>
        <w:rFonts w:hint="default"/>
        <w:lang w:val="hr-HR" w:eastAsia="en-US" w:bidi="ar-SA"/>
      </w:rPr>
    </w:lvl>
    <w:lvl w:ilvl="4" w:tplc="F104A70E">
      <w:numFmt w:val="bullet"/>
      <w:lvlText w:val="•"/>
      <w:lvlJc w:val="left"/>
      <w:pPr>
        <w:ind w:left="2958" w:hanging="360"/>
      </w:pPr>
      <w:rPr>
        <w:rFonts w:hint="default"/>
        <w:lang w:val="hr-HR" w:eastAsia="en-US" w:bidi="ar-SA"/>
      </w:rPr>
    </w:lvl>
    <w:lvl w:ilvl="5" w:tplc="64F0B0E0">
      <w:numFmt w:val="bullet"/>
      <w:lvlText w:val="•"/>
      <w:lvlJc w:val="left"/>
      <w:pPr>
        <w:ind w:left="3583" w:hanging="360"/>
      </w:pPr>
      <w:rPr>
        <w:rFonts w:hint="default"/>
        <w:lang w:val="hr-HR" w:eastAsia="en-US" w:bidi="ar-SA"/>
      </w:rPr>
    </w:lvl>
    <w:lvl w:ilvl="6" w:tplc="2DCC4A88">
      <w:numFmt w:val="bullet"/>
      <w:lvlText w:val="•"/>
      <w:lvlJc w:val="left"/>
      <w:pPr>
        <w:ind w:left="4207" w:hanging="360"/>
      </w:pPr>
      <w:rPr>
        <w:rFonts w:hint="default"/>
        <w:lang w:val="hr-HR" w:eastAsia="en-US" w:bidi="ar-SA"/>
      </w:rPr>
    </w:lvl>
    <w:lvl w:ilvl="7" w:tplc="D8303186">
      <w:numFmt w:val="bullet"/>
      <w:lvlText w:val="•"/>
      <w:lvlJc w:val="left"/>
      <w:pPr>
        <w:ind w:left="4832" w:hanging="360"/>
      </w:pPr>
      <w:rPr>
        <w:rFonts w:hint="default"/>
        <w:lang w:val="hr-HR" w:eastAsia="en-US" w:bidi="ar-SA"/>
      </w:rPr>
    </w:lvl>
    <w:lvl w:ilvl="8" w:tplc="5F3A9350">
      <w:numFmt w:val="bullet"/>
      <w:lvlText w:val="•"/>
      <w:lvlJc w:val="left"/>
      <w:pPr>
        <w:ind w:left="5456" w:hanging="360"/>
      </w:pPr>
      <w:rPr>
        <w:rFonts w:hint="default"/>
        <w:lang w:val="hr-HR" w:eastAsia="en-US" w:bidi="ar-SA"/>
      </w:rPr>
    </w:lvl>
  </w:abstractNum>
  <w:abstractNum w:abstractNumId="26" w15:restartNumberingAfterBreak="0">
    <w:nsid w:val="16E44C9C"/>
    <w:multiLevelType w:val="hybridMultilevel"/>
    <w:tmpl w:val="5B60E09C"/>
    <w:lvl w:ilvl="0" w:tplc="041A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196E56F6"/>
    <w:multiLevelType w:val="hybridMultilevel"/>
    <w:tmpl w:val="E976D5F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1AE21840"/>
    <w:multiLevelType w:val="hybridMultilevel"/>
    <w:tmpl w:val="14CC19DA"/>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9" w15:restartNumberingAfterBreak="0">
    <w:nsid w:val="1B140CF9"/>
    <w:multiLevelType w:val="hybridMultilevel"/>
    <w:tmpl w:val="DA62A06A"/>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0" w15:restartNumberingAfterBreak="0">
    <w:nsid w:val="1B7625F8"/>
    <w:multiLevelType w:val="multilevel"/>
    <w:tmpl w:val="041A0023"/>
    <w:lvl w:ilvl="0">
      <w:start w:val="1"/>
      <w:numFmt w:val="upperRoman"/>
      <w:lvlText w:val="Article %1."/>
      <w:lvlJc w:val="left"/>
      <w:pPr>
        <w:tabs>
          <w:tab w:val="num" w:pos="1080"/>
        </w:tabs>
        <w:ind w:left="0" w:firstLine="0"/>
      </w:pPr>
    </w:lvl>
    <w:lvl w:ilvl="1">
      <w:start w:val="1"/>
      <w:numFmt w:val="decimalZero"/>
      <w:isLgl/>
      <w:lvlText w:val="Section %1.%2"/>
      <w:lvlJc w:val="left"/>
      <w:pPr>
        <w:tabs>
          <w:tab w:val="num" w:pos="1080"/>
        </w:tabs>
        <w:ind w:left="0" w:firstLine="0"/>
      </w:pPr>
    </w:lvl>
    <w:lvl w:ilvl="2">
      <w:start w:val="1"/>
      <w:numFmt w:val="lowerLetter"/>
      <w:pStyle w:val="Naslov3"/>
      <w:lvlText w:val="(%3)"/>
      <w:lvlJc w:val="left"/>
      <w:pPr>
        <w:tabs>
          <w:tab w:val="num" w:pos="432"/>
        </w:tabs>
        <w:ind w:left="432" w:hanging="432"/>
      </w:pPr>
    </w:lvl>
    <w:lvl w:ilvl="3">
      <w:start w:val="1"/>
      <w:numFmt w:val="lowerRoman"/>
      <w:pStyle w:val="Naslov4"/>
      <w:lvlText w:val="(%4)"/>
      <w:lvlJc w:val="right"/>
      <w:pPr>
        <w:tabs>
          <w:tab w:val="num" w:pos="864"/>
        </w:tabs>
        <w:ind w:left="864" w:hanging="144"/>
      </w:pPr>
    </w:lvl>
    <w:lvl w:ilvl="4">
      <w:start w:val="1"/>
      <w:numFmt w:val="decimal"/>
      <w:pStyle w:val="Naslov5"/>
      <w:lvlText w:val="%5)"/>
      <w:lvlJc w:val="left"/>
      <w:pPr>
        <w:tabs>
          <w:tab w:val="num" w:pos="432"/>
        </w:tabs>
        <w:ind w:left="432" w:hanging="432"/>
      </w:pPr>
    </w:lvl>
    <w:lvl w:ilvl="5">
      <w:start w:val="1"/>
      <w:numFmt w:val="lowerLetter"/>
      <w:pStyle w:val="Naslov6"/>
      <w:lvlText w:val="%6)"/>
      <w:lvlJc w:val="left"/>
      <w:pPr>
        <w:tabs>
          <w:tab w:val="num" w:pos="432"/>
        </w:tabs>
        <w:ind w:left="432" w:hanging="432"/>
      </w:pPr>
    </w:lvl>
    <w:lvl w:ilvl="6">
      <w:start w:val="1"/>
      <w:numFmt w:val="lowerRoman"/>
      <w:pStyle w:val="Naslov7"/>
      <w:lvlText w:val="%7)"/>
      <w:lvlJc w:val="right"/>
      <w:pPr>
        <w:tabs>
          <w:tab w:val="num" w:pos="1296"/>
        </w:tabs>
        <w:ind w:left="1296" w:hanging="288"/>
      </w:pPr>
    </w:lvl>
    <w:lvl w:ilvl="7">
      <w:start w:val="1"/>
      <w:numFmt w:val="lowerLetter"/>
      <w:pStyle w:val="Naslov8"/>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1" w15:restartNumberingAfterBreak="0">
    <w:nsid w:val="1B8C040E"/>
    <w:multiLevelType w:val="hybridMultilevel"/>
    <w:tmpl w:val="668C7894"/>
    <w:lvl w:ilvl="0" w:tplc="FE78FD82">
      <w:start w:val="1"/>
      <w:numFmt w:val="decimal"/>
      <w:lvlText w:val="%1."/>
      <w:lvlJc w:val="left"/>
      <w:pPr>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1C3312E3"/>
    <w:multiLevelType w:val="multilevel"/>
    <w:tmpl w:val="BFC21A50"/>
    <w:lvl w:ilvl="0">
      <w:start w:val="4"/>
      <w:numFmt w:val="bullet"/>
      <w:lvlText w:val="-"/>
      <w:lvlJc w:val="left"/>
      <w:pPr>
        <w:ind w:left="1068" w:hanging="360"/>
      </w:pPr>
      <w:rPr>
        <w:rFonts w:ascii="Calibri" w:eastAsia="Calibri" w:hAnsi="Calibri" w:cs="Times New Roman"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33" w15:restartNumberingAfterBreak="0">
    <w:nsid w:val="250850E1"/>
    <w:multiLevelType w:val="hybridMultilevel"/>
    <w:tmpl w:val="30D27578"/>
    <w:lvl w:ilvl="0" w:tplc="3AECBF08">
      <w:start w:val="1"/>
      <w:numFmt w:val="decimal"/>
      <w:lvlText w:val="%1."/>
      <w:lvlJc w:val="left"/>
      <w:pPr>
        <w:ind w:left="490" w:hanging="420"/>
      </w:pPr>
      <w:rPr>
        <w:rFonts w:hint="default"/>
      </w:rPr>
    </w:lvl>
    <w:lvl w:ilvl="1" w:tplc="08090019" w:tentative="1">
      <w:start w:val="1"/>
      <w:numFmt w:val="lowerLetter"/>
      <w:lvlText w:val="%2."/>
      <w:lvlJc w:val="left"/>
      <w:pPr>
        <w:ind w:left="1150" w:hanging="360"/>
      </w:pPr>
    </w:lvl>
    <w:lvl w:ilvl="2" w:tplc="0809001B" w:tentative="1">
      <w:start w:val="1"/>
      <w:numFmt w:val="lowerRoman"/>
      <w:lvlText w:val="%3."/>
      <w:lvlJc w:val="right"/>
      <w:pPr>
        <w:ind w:left="1870" w:hanging="180"/>
      </w:pPr>
    </w:lvl>
    <w:lvl w:ilvl="3" w:tplc="0809000F" w:tentative="1">
      <w:start w:val="1"/>
      <w:numFmt w:val="decimal"/>
      <w:lvlText w:val="%4."/>
      <w:lvlJc w:val="left"/>
      <w:pPr>
        <w:ind w:left="2590" w:hanging="360"/>
      </w:pPr>
    </w:lvl>
    <w:lvl w:ilvl="4" w:tplc="08090019" w:tentative="1">
      <w:start w:val="1"/>
      <w:numFmt w:val="lowerLetter"/>
      <w:lvlText w:val="%5."/>
      <w:lvlJc w:val="left"/>
      <w:pPr>
        <w:ind w:left="3310" w:hanging="360"/>
      </w:pPr>
    </w:lvl>
    <w:lvl w:ilvl="5" w:tplc="0809001B" w:tentative="1">
      <w:start w:val="1"/>
      <w:numFmt w:val="lowerRoman"/>
      <w:lvlText w:val="%6."/>
      <w:lvlJc w:val="right"/>
      <w:pPr>
        <w:ind w:left="4030" w:hanging="180"/>
      </w:pPr>
    </w:lvl>
    <w:lvl w:ilvl="6" w:tplc="0809000F" w:tentative="1">
      <w:start w:val="1"/>
      <w:numFmt w:val="decimal"/>
      <w:lvlText w:val="%7."/>
      <w:lvlJc w:val="left"/>
      <w:pPr>
        <w:ind w:left="4750" w:hanging="360"/>
      </w:pPr>
    </w:lvl>
    <w:lvl w:ilvl="7" w:tplc="08090019" w:tentative="1">
      <w:start w:val="1"/>
      <w:numFmt w:val="lowerLetter"/>
      <w:lvlText w:val="%8."/>
      <w:lvlJc w:val="left"/>
      <w:pPr>
        <w:ind w:left="5470" w:hanging="360"/>
      </w:pPr>
    </w:lvl>
    <w:lvl w:ilvl="8" w:tplc="0809001B" w:tentative="1">
      <w:start w:val="1"/>
      <w:numFmt w:val="lowerRoman"/>
      <w:lvlText w:val="%9."/>
      <w:lvlJc w:val="right"/>
      <w:pPr>
        <w:ind w:left="6190" w:hanging="180"/>
      </w:pPr>
    </w:lvl>
  </w:abstractNum>
  <w:abstractNum w:abstractNumId="34" w15:restartNumberingAfterBreak="0">
    <w:nsid w:val="259B761D"/>
    <w:multiLevelType w:val="hybridMultilevel"/>
    <w:tmpl w:val="FA7C19E8"/>
    <w:lvl w:ilvl="0" w:tplc="7730DD3A">
      <w:start w:val="1"/>
      <w:numFmt w:val="bullet"/>
      <w:lvlText w:val="•"/>
      <w:lvlJc w:val="left"/>
      <w:pPr>
        <w:tabs>
          <w:tab w:val="num" w:pos="1440"/>
        </w:tabs>
        <w:ind w:left="1440" w:hanging="360"/>
      </w:pPr>
      <w:rPr>
        <w:rFonts w:ascii="Times New Roman" w:hAnsi="Times New Roman" w:hint="default"/>
        <w:color w:val="auto"/>
        <w:sz w:val="22"/>
        <w:szCs w:val="22"/>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25CF2310"/>
    <w:multiLevelType w:val="hybridMultilevel"/>
    <w:tmpl w:val="B28886F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26287703"/>
    <w:multiLevelType w:val="hybridMultilevel"/>
    <w:tmpl w:val="295401E2"/>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7" w15:restartNumberingAfterBreak="0">
    <w:nsid w:val="27953B4D"/>
    <w:multiLevelType w:val="hybridMultilevel"/>
    <w:tmpl w:val="4C502BD0"/>
    <w:lvl w:ilvl="0" w:tplc="3702B284">
      <w:start w:val="1"/>
      <w:numFmt w:val="decimal"/>
      <w:lvlText w:val="%1."/>
      <w:lvlJc w:val="left"/>
      <w:pPr>
        <w:ind w:left="467" w:hanging="360"/>
      </w:pPr>
      <w:rPr>
        <w:rFonts w:ascii="Cambria" w:eastAsia="Cambria" w:hAnsi="Cambria" w:cs="Cambria" w:hint="default"/>
        <w:spacing w:val="-1"/>
        <w:w w:val="100"/>
        <w:sz w:val="24"/>
        <w:szCs w:val="24"/>
        <w:lang w:val="hr-HR" w:eastAsia="en-US" w:bidi="ar-SA"/>
      </w:rPr>
    </w:lvl>
    <w:lvl w:ilvl="1" w:tplc="13C6FEE6">
      <w:numFmt w:val="bullet"/>
      <w:lvlText w:val="•"/>
      <w:lvlJc w:val="left"/>
      <w:pPr>
        <w:ind w:left="1099" w:hanging="360"/>
      </w:pPr>
      <w:rPr>
        <w:rFonts w:hint="default"/>
        <w:lang w:val="hr-HR" w:eastAsia="en-US" w:bidi="ar-SA"/>
      </w:rPr>
    </w:lvl>
    <w:lvl w:ilvl="2" w:tplc="4A2A7AB0">
      <w:numFmt w:val="bullet"/>
      <w:lvlText w:val="•"/>
      <w:lvlJc w:val="left"/>
      <w:pPr>
        <w:ind w:left="1738" w:hanging="360"/>
      </w:pPr>
      <w:rPr>
        <w:rFonts w:hint="default"/>
        <w:lang w:val="hr-HR" w:eastAsia="en-US" w:bidi="ar-SA"/>
      </w:rPr>
    </w:lvl>
    <w:lvl w:ilvl="3" w:tplc="194E2FCC">
      <w:numFmt w:val="bullet"/>
      <w:lvlText w:val="•"/>
      <w:lvlJc w:val="left"/>
      <w:pPr>
        <w:ind w:left="2377" w:hanging="360"/>
      </w:pPr>
      <w:rPr>
        <w:rFonts w:hint="default"/>
        <w:lang w:val="hr-HR" w:eastAsia="en-US" w:bidi="ar-SA"/>
      </w:rPr>
    </w:lvl>
    <w:lvl w:ilvl="4" w:tplc="22D25F2E">
      <w:numFmt w:val="bullet"/>
      <w:lvlText w:val="•"/>
      <w:lvlJc w:val="left"/>
      <w:pPr>
        <w:ind w:left="3016" w:hanging="360"/>
      </w:pPr>
      <w:rPr>
        <w:rFonts w:hint="default"/>
        <w:lang w:val="hr-HR" w:eastAsia="en-US" w:bidi="ar-SA"/>
      </w:rPr>
    </w:lvl>
    <w:lvl w:ilvl="5" w:tplc="C8F4C016">
      <w:numFmt w:val="bullet"/>
      <w:lvlText w:val="•"/>
      <w:lvlJc w:val="left"/>
      <w:pPr>
        <w:ind w:left="3655" w:hanging="360"/>
      </w:pPr>
      <w:rPr>
        <w:rFonts w:hint="default"/>
        <w:lang w:val="hr-HR" w:eastAsia="en-US" w:bidi="ar-SA"/>
      </w:rPr>
    </w:lvl>
    <w:lvl w:ilvl="6" w:tplc="8BE09DEA">
      <w:numFmt w:val="bullet"/>
      <w:lvlText w:val="•"/>
      <w:lvlJc w:val="left"/>
      <w:pPr>
        <w:ind w:left="4294" w:hanging="360"/>
      </w:pPr>
      <w:rPr>
        <w:rFonts w:hint="default"/>
        <w:lang w:val="hr-HR" w:eastAsia="en-US" w:bidi="ar-SA"/>
      </w:rPr>
    </w:lvl>
    <w:lvl w:ilvl="7" w:tplc="ADC86136">
      <w:numFmt w:val="bullet"/>
      <w:lvlText w:val="•"/>
      <w:lvlJc w:val="left"/>
      <w:pPr>
        <w:ind w:left="4933" w:hanging="360"/>
      </w:pPr>
      <w:rPr>
        <w:rFonts w:hint="default"/>
        <w:lang w:val="hr-HR" w:eastAsia="en-US" w:bidi="ar-SA"/>
      </w:rPr>
    </w:lvl>
    <w:lvl w:ilvl="8" w:tplc="B446537E">
      <w:numFmt w:val="bullet"/>
      <w:lvlText w:val="•"/>
      <w:lvlJc w:val="left"/>
      <w:pPr>
        <w:ind w:left="5572" w:hanging="360"/>
      </w:pPr>
      <w:rPr>
        <w:rFonts w:hint="default"/>
        <w:lang w:val="hr-HR" w:eastAsia="en-US" w:bidi="ar-SA"/>
      </w:rPr>
    </w:lvl>
  </w:abstractNum>
  <w:abstractNum w:abstractNumId="38" w15:restartNumberingAfterBreak="0">
    <w:nsid w:val="29195AFE"/>
    <w:multiLevelType w:val="hybridMultilevel"/>
    <w:tmpl w:val="72F46F18"/>
    <w:lvl w:ilvl="0" w:tplc="CA941542">
      <w:start w:val="1"/>
      <w:numFmt w:val="decimal"/>
      <w:lvlText w:val="%1."/>
      <w:lvlJc w:val="left"/>
      <w:pPr>
        <w:tabs>
          <w:tab w:val="num" w:pos="360"/>
        </w:tabs>
        <w:ind w:left="360" w:hanging="360"/>
      </w:pPr>
      <w:rPr>
        <w:rFonts w:hint="default"/>
        <w:b w:val="0"/>
        <w:i w:val="0"/>
      </w:rPr>
    </w:lvl>
    <w:lvl w:ilvl="1" w:tplc="041A0019" w:tentative="1">
      <w:start w:val="1"/>
      <w:numFmt w:val="lowerLetter"/>
      <w:lvlText w:val="%2."/>
      <w:lvlJc w:val="left"/>
      <w:pPr>
        <w:tabs>
          <w:tab w:val="num" w:pos="1080"/>
        </w:tabs>
        <w:ind w:left="1080" w:hanging="360"/>
      </w:pPr>
    </w:lvl>
    <w:lvl w:ilvl="2" w:tplc="041A001B" w:tentative="1">
      <w:start w:val="1"/>
      <w:numFmt w:val="lowerRoman"/>
      <w:lvlText w:val="%3."/>
      <w:lvlJc w:val="right"/>
      <w:pPr>
        <w:tabs>
          <w:tab w:val="num" w:pos="1800"/>
        </w:tabs>
        <w:ind w:left="1800" w:hanging="180"/>
      </w:pPr>
    </w:lvl>
    <w:lvl w:ilvl="3" w:tplc="041A000F" w:tentative="1">
      <w:start w:val="1"/>
      <w:numFmt w:val="decimal"/>
      <w:lvlText w:val="%4."/>
      <w:lvlJc w:val="left"/>
      <w:pPr>
        <w:tabs>
          <w:tab w:val="num" w:pos="2520"/>
        </w:tabs>
        <w:ind w:left="2520" w:hanging="360"/>
      </w:pPr>
    </w:lvl>
    <w:lvl w:ilvl="4" w:tplc="041A0019" w:tentative="1">
      <w:start w:val="1"/>
      <w:numFmt w:val="lowerLetter"/>
      <w:lvlText w:val="%5."/>
      <w:lvlJc w:val="left"/>
      <w:pPr>
        <w:tabs>
          <w:tab w:val="num" w:pos="3240"/>
        </w:tabs>
        <w:ind w:left="3240" w:hanging="360"/>
      </w:pPr>
    </w:lvl>
    <w:lvl w:ilvl="5" w:tplc="041A001B" w:tentative="1">
      <w:start w:val="1"/>
      <w:numFmt w:val="lowerRoman"/>
      <w:lvlText w:val="%6."/>
      <w:lvlJc w:val="right"/>
      <w:pPr>
        <w:tabs>
          <w:tab w:val="num" w:pos="3960"/>
        </w:tabs>
        <w:ind w:left="3960" w:hanging="180"/>
      </w:pPr>
    </w:lvl>
    <w:lvl w:ilvl="6" w:tplc="041A000F" w:tentative="1">
      <w:start w:val="1"/>
      <w:numFmt w:val="decimal"/>
      <w:lvlText w:val="%7."/>
      <w:lvlJc w:val="left"/>
      <w:pPr>
        <w:tabs>
          <w:tab w:val="num" w:pos="4680"/>
        </w:tabs>
        <w:ind w:left="4680" w:hanging="360"/>
      </w:pPr>
    </w:lvl>
    <w:lvl w:ilvl="7" w:tplc="041A0019" w:tentative="1">
      <w:start w:val="1"/>
      <w:numFmt w:val="lowerLetter"/>
      <w:lvlText w:val="%8."/>
      <w:lvlJc w:val="left"/>
      <w:pPr>
        <w:tabs>
          <w:tab w:val="num" w:pos="5400"/>
        </w:tabs>
        <w:ind w:left="5400" w:hanging="360"/>
      </w:pPr>
    </w:lvl>
    <w:lvl w:ilvl="8" w:tplc="041A001B" w:tentative="1">
      <w:start w:val="1"/>
      <w:numFmt w:val="lowerRoman"/>
      <w:lvlText w:val="%9."/>
      <w:lvlJc w:val="right"/>
      <w:pPr>
        <w:tabs>
          <w:tab w:val="num" w:pos="6120"/>
        </w:tabs>
        <w:ind w:left="6120" w:hanging="180"/>
      </w:pPr>
    </w:lvl>
  </w:abstractNum>
  <w:abstractNum w:abstractNumId="39" w15:restartNumberingAfterBreak="0">
    <w:nsid w:val="29821B10"/>
    <w:multiLevelType w:val="hybridMultilevel"/>
    <w:tmpl w:val="1ECA7BD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2A2D3A62"/>
    <w:multiLevelType w:val="hybridMultilevel"/>
    <w:tmpl w:val="F7E0EAD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2B010957"/>
    <w:multiLevelType w:val="hybridMultilevel"/>
    <w:tmpl w:val="114E5D7E"/>
    <w:lvl w:ilvl="0" w:tplc="0409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2" w15:restartNumberingAfterBreak="0">
    <w:nsid w:val="2CEC1EA1"/>
    <w:multiLevelType w:val="hybridMultilevel"/>
    <w:tmpl w:val="621AF32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2E302C52"/>
    <w:multiLevelType w:val="hybridMultilevel"/>
    <w:tmpl w:val="EBE687B8"/>
    <w:lvl w:ilvl="0" w:tplc="A15A6328">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2ED7345D"/>
    <w:multiLevelType w:val="hybridMultilevel"/>
    <w:tmpl w:val="40D6BE5A"/>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5" w15:restartNumberingAfterBreak="0">
    <w:nsid w:val="2F5C0FE1"/>
    <w:multiLevelType w:val="hybridMultilevel"/>
    <w:tmpl w:val="952C58D0"/>
    <w:lvl w:ilvl="0" w:tplc="0809000F">
      <w:start w:val="1"/>
      <w:numFmt w:val="decimal"/>
      <w:lvlText w:val="%1."/>
      <w:lvlJc w:val="left"/>
      <w:pPr>
        <w:ind w:left="785" w:hanging="360"/>
      </w:p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46" w15:restartNumberingAfterBreak="0">
    <w:nsid w:val="2FCF50CD"/>
    <w:multiLevelType w:val="multilevel"/>
    <w:tmpl w:val="1C100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20D5583"/>
    <w:multiLevelType w:val="hybridMultilevel"/>
    <w:tmpl w:val="A81A8FE8"/>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8" w15:restartNumberingAfterBreak="0">
    <w:nsid w:val="330A3337"/>
    <w:multiLevelType w:val="hybridMultilevel"/>
    <w:tmpl w:val="40E857CA"/>
    <w:lvl w:ilvl="0" w:tplc="041A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 w15:restartNumberingAfterBreak="0">
    <w:nsid w:val="34904696"/>
    <w:multiLevelType w:val="hybridMultilevel"/>
    <w:tmpl w:val="91CA8BB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0" w15:restartNumberingAfterBreak="0">
    <w:nsid w:val="349C77F4"/>
    <w:multiLevelType w:val="hybridMultilevel"/>
    <w:tmpl w:val="D248C70A"/>
    <w:lvl w:ilvl="0" w:tplc="9E2C9D40">
      <w:start w:val="1"/>
      <w:numFmt w:val="decimal"/>
      <w:pStyle w:val="Clanak"/>
      <w:lvlText w:val="%1."/>
      <w:lvlJc w:val="left"/>
      <w:pPr>
        <w:tabs>
          <w:tab w:val="num" w:pos="397"/>
        </w:tabs>
        <w:ind w:left="397" w:hanging="397"/>
      </w:pPr>
      <w:rPr>
        <w:rFonts w:hint="default"/>
      </w:rPr>
    </w:lvl>
    <w:lvl w:ilvl="1" w:tplc="097407EA">
      <w:numFmt w:val="bullet"/>
      <w:lvlText w:val="-"/>
      <w:lvlJc w:val="left"/>
      <w:pPr>
        <w:tabs>
          <w:tab w:val="num" w:pos="1440"/>
        </w:tabs>
        <w:ind w:left="1440" w:hanging="360"/>
      </w:pPr>
      <w:rPr>
        <w:rFonts w:ascii="Arial" w:eastAsia="Times New Roman" w:hAnsi="Arial" w:cs="Arial" w:hint="default"/>
      </w:rPr>
    </w:lvl>
    <w:lvl w:ilvl="2" w:tplc="C6E4C588">
      <w:start w:val="2"/>
      <w:numFmt w:val="bullet"/>
      <w:lvlText w:val="-"/>
      <w:lvlJc w:val="left"/>
      <w:pPr>
        <w:tabs>
          <w:tab w:val="num" w:pos="2340"/>
        </w:tabs>
        <w:ind w:left="2340" w:hanging="360"/>
      </w:pPr>
      <w:rPr>
        <w:rFonts w:ascii="Times New Roman" w:eastAsia="Times New Roman" w:hAnsi="Times New Roman" w:cs="Times New Roman" w:hint="default"/>
        <w:color w:val="3333CC"/>
      </w:r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1" w15:restartNumberingAfterBreak="0">
    <w:nsid w:val="36D6707E"/>
    <w:multiLevelType w:val="hybridMultilevel"/>
    <w:tmpl w:val="374EF714"/>
    <w:lvl w:ilvl="0" w:tplc="04800AA8">
      <w:start w:val="5"/>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2" w15:restartNumberingAfterBreak="0">
    <w:nsid w:val="36E81E68"/>
    <w:multiLevelType w:val="multilevel"/>
    <w:tmpl w:val="36E81E68"/>
    <w:lvl w:ilvl="0">
      <w:start w:val="1"/>
      <w:numFmt w:val="decimal"/>
      <w:lvlText w:val="%1."/>
      <w:lvlJc w:val="left"/>
      <w:pPr>
        <w:ind w:left="722" w:hanging="360"/>
      </w:pPr>
    </w:lvl>
    <w:lvl w:ilvl="1">
      <w:start w:val="1"/>
      <w:numFmt w:val="lowerLetter"/>
      <w:lvlText w:val="%2."/>
      <w:lvlJc w:val="left"/>
      <w:pPr>
        <w:ind w:left="1442" w:hanging="360"/>
      </w:pPr>
    </w:lvl>
    <w:lvl w:ilvl="2">
      <w:start w:val="1"/>
      <w:numFmt w:val="lowerRoman"/>
      <w:lvlText w:val="%3."/>
      <w:lvlJc w:val="right"/>
      <w:pPr>
        <w:ind w:left="2162" w:hanging="180"/>
      </w:pPr>
    </w:lvl>
    <w:lvl w:ilvl="3">
      <w:start w:val="1"/>
      <w:numFmt w:val="decimal"/>
      <w:lvlText w:val="%4."/>
      <w:lvlJc w:val="left"/>
      <w:pPr>
        <w:ind w:left="2882" w:hanging="360"/>
      </w:pPr>
    </w:lvl>
    <w:lvl w:ilvl="4">
      <w:start w:val="1"/>
      <w:numFmt w:val="lowerLetter"/>
      <w:lvlText w:val="%5."/>
      <w:lvlJc w:val="left"/>
      <w:pPr>
        <w:ind w:left="3602" w:hanging="360"/>
      </w:pPr>
    </w:lvl>
    <w:lvl w:ilvl="5">
      <w:start w:val="1"/>
      <w:numFmt w:val="lowerRoman"/>
      <w:lvlText w:val="%6."/>
      <w:lvlJc w:val="right"/>
      <w:pPr>
        <w:ind w:left="4322" w:hanging="180"/>
      </w:pPr>
    </w:lvl>
    <w:lvl w:ilvl="6">
      <w:start w:val="1"/>
      <w:numFmt w:val="decimal"/>
      <w:lvlText w:val="%7."/>
      <w:lvlJc w:val="left"/>
      <w:pPr>
        <w:ind w:left="5042" w:hanging="360"/>
      </w:pPr>
    </w:lvl>
    <w:lvl w:ilvl="7">
      <w:start w:val="1"/>
      <w:numFmt w:val="lowerLetter"/>
      <w:lvlText w:val="%8."/>
      <w:lvlJc w:val="left"/>
      <w:pPr>
        <w:ind w:left="5762" w:hanging="360"/>
      </w:pPr>
    </w:lvl>
    <w:lvl w:ilvl="8">
      <w:start w:val="1"/>
      <w:numFmt w:val="lowerRoman"/>
      <w:lvlText w:val="%9."/>
      <w:lvlJc w:val="right"/>
      <w:pPr>
        <w:ind w:left="6482" w:hanging="180"/>
      </w:pPr>
    </w:lvl>
  </w:abstractNum>
  <w:abstractNum w:abstractNumId="53" w15:restartNumberingAfterBreak="0">
    <w:nsid w:val="37C84041"/>
    <w:multiLevelType w:val="hybridMultilevel"/>
    <w:tmpl w:val="685C1258"/>
    <w:lvl w:ilvl="0" w:tplc="04B016D8">
      <w:start w:val="1"/>
      <w:numFmt w:val="decimal"/>
      <w:lvlText w:val="%1."/>
      <w:lvlJc w:val="left"/>
      <w:pPr>
        <w:ind w:left="467" w:hanging="360"/>
      </w:pPr>
      <w:rPr>
        <w:rFonts w:ascii="Cambria" w:eastAsia="Cambria" w:hAnsi="Cambria" w:cs="Cambria" w:hint="default"/>
        <w:spacing w:val="-1"/>
        <w:w w:val="100"/>
        <w:sz w:val="24"/>
        <w:szCs w:val="24"/>
        <w:lang w:val="hr-HR" w:eastAsia="en-US" w:bidi="ar-SA"/>
      </w:rPr>
    </w:lvl>
    <w:lvl w:ilvl="1" w:tplc="B3069E22">
      <w:numFmt w:val="bullet"/>
      <w:lvlText w:val="•"/>
      <w:lvlJc w:val="left"/>
      <w:pPr>
        <w:ind w:left="1098" w:hanging="360"/>
      </w:pPr>
      <w:rPr>
        <w:rFonts w:hint="default"/>
        <w:lang w:val="hr-HR" w:eastAsia="en-US" w:bidi="ar-SA"/>
      </w:rPr>
    </w:lvl>
    <w:lvl w:ilvl="2" w:tplc="F9D6297C">
      <w:numFmt w:val="bullet"/>
      <w:lvlText w:val="•"/>
      <w:lvlJc w:val="left"/>
      <w:pPr>
        <w:ind w:left="1737" w:hanging="360"/>
      </w:pPr>
      <w:rPr>
        <w:rFonts w:hint="default"/>
        <w:lang w:val="hr-HR" w:eastAsia="en-US" w:bidi="ar-SA"/>
      </w:rPr>
    </w:lvl>
    <w:lvl w:ilvl="3" w:tplc="E81CF656">
      <w:numFmt w:val="bullet"/>
      <w:lvlText w:val="•"/>
      <w:lvlJc w:val="left"/>
      <w:pPr>
        <w:ind w:left="2375" w:hanging="360"/>
      </w:pPr>
      <w:rPr>
        <w:rFonts w:hint="default"/>
        <w:lang w:val="hr-HR" w:eastAsia="en-US" w:bidi="ar-SA"/>
      </w:rPr>
    </w:lvl>
    <w:lvl w:ilvl="4" w:tplc="E90C2A2E">
      <w:numFmt w:val="bullet"/>
      <w:lvlText w:val="•"/>
      <w:lvlJc w:val="left"/>
      <w:pPr>
        <w:ind w:left="3014" w:hanging="360"/>
      </w:pPr>
      <w:rPr>
        <w:rFonts w:hint="default"/>
        <w:lang w:val="hr-HR" w:eastAsia="en-US" w:bidi="ar-SA"/>
      </w:rPr>
    </w:lvl>
    <w:lvl w:ilvl="5" w:tplc="AC560628">
      <w:numFmt w:val="bullet"/>
      <w:lvlText w:val="•"/>
      <w:lvlJc w:val="left"/>
      <w:pPr>
        <w:ind w:left="3652" w:hanging="360"/>
      </w:pPr>
      <w:rPr>
        <w:rFonts w:hint="default"/>
        <w:lang w:val="hr-HR" w:eastAsia="en-US" w:bidi="ar-SA"/>
      </w:rPr>
    </w:lvl>
    <w:lvl w:ilvl="6" w:tplc="95EE5E80">
      <w:numFmt w:val="bullet"/>
      <w:lvlText w:val="•"/>
      <w:lvlJc w:val="left"/>
      <w:pPr>
        <w:ind w:left="4291" w:hanging="360"/>
      </w:pPr>
      <w:rPr>
        <w:rFonts w:hint="default"/>
        <w:lang w:val="hr-HR" w:eastAsia="en-US" w:bidi="ar-SA"/>
      </w:rPr>
    </w:lvl>
    <w:lvl w:ilvl="7" w:tplc="CEA2CE3A">
      <w:numFmt w:val="bullet"/>
      <w:lvlText w:val="•"/>
      <w:lvlJc w:val="left"/>
      <w:pPr>
        <w:ind w:left="4929" w:hanging="360"/>
      </w:pPr>
      <w:rPr>
        <w:rFonts w:hint="default"/>
        <w:lang w:val="hr-HR" w:eastAsia="en-US" w:bidi="ar-SA"/>
      </w:rPr>
    </w:lvl>
    <w:lvl w:ilvl="8" w:tplc="300ED612">
      <w:numFmt w:val="bullet"/>
      <w:lvlText w:val="•"/>
      <w:lvlJc w:val="left"/>
      <w:pPr>
        <w:ind w:left="5568" w:hanging="360"/>
      </w:pPr>
      <w:rPr>
        <w:rFonts w:hint="default"/>
        <w:lang w:val="hr-HR" w:eastAsia="en-US" w:bidi="ar-SA"/>
      </w:rPr>
    </w:lvl>
  </w:abstractNum>
  <w:abstractNum w:abstractNumId="54" w15:restartNumberingAfterBreak="0">
    <w:nsid w:val="3A614CAE"/>
    <w:multiLevelType w:val="hybridMultilevel"/>
    <w:tmpl w:val="D1D08E40"/>
    <w:lvl w:ilvl="0" w:tplc="041A000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5" w15:restartNumberingAfterBreak="0">
    <w:nsid w:val="3B394604"/>
    <w:multiLevelType w:val="hybridMultilevel"/>
    <w:tmpl w:val="8D184FF4"/>
    <w:lvl w:ilvl="0" w:tplc="0409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6" w15:restartNumberingAfterBreak="0">
    <w:nsid w:val="3DF06406"/>
    <w:multiLevelType w:val="hybridMultilevel"/>
    <w:tmpl w:val="178495D8"/>
    <w:lvl w:ilvl="0" w:tplc="24F0723C">
      <w:start w:val="1"/>
      <w:numFmt w:val="decimal"/>
      <w:lvlText w:val="%1."/>
      <w:lvlJc w:val="left"/>
      <w:pPr>
        <w:ind w:left="503" w:hanging="360"/>
      </w:pPr>
      <w:rPr>
        <w:rFonts w:ascii="Cambria" w:eastAsia="Cambria" w:hAnsi="Cambria" w:cs="Cambria" w:hint="default"/>
        <w:w w:val="100"/>
        <w:sz w:val="22"/>
        <w:szCs w:val="22"/>
        <w:lang w:val="hr-HR" w:eastAsia="en-US" w:bidi="ar-SA"/>
      </w:rPr>
    </w:lvl>
    <w:lvl w:ilvl="1" w:tplc="C9E4D9F4">
      <w:numFmt w:val="bullet"/>
      <w:lvlText w:val="•"/>
      <w:lvlJc w:val="left"/>
      <w:pPr>
        <w:ind w:left="1120" w:hanging="360"/>
      </w:pPr>
      <w:rPr>
        <w:rFonts w:hint="default"/>
        <w:lang w:val="hr-HR" w:eastAsia="en-US" w:bidi="ar-SA"/>
      </w:rPr>
    </w:lvl>
    <w:lvl w:ilvl="2" w:tplc="25B040D2">
      <w:numFmt w:val="bullet"/>
      <w:lvlText w:val="•"/>
      <w:lvlJc w:val="left"/>
      <w:pPr>
        <w:ind w:left="1741" w:hanging="360"/>
      </w:pPr>
      <w:rPr>
        <w:rFonts w:hint="default"/>
        <w:lang w:val="hr-HR" w:eastAsia="en-US" w:bidi="ar-SA"/>
      </w:rPr>
    </w:lvl>
    <w:lvl w:ilvl="3" w:tplc="3E1E7CD0">
      <w:numFmt w:val="bullet"/>
      <w:lvlText w:val="•"/>
      <w:lvlJc w:val="left"/>
      <w:pPr>
        <w:ind w:left="2361" w:hanging="360"/>
      </w:pPr>
      <w:rPr>
        <w:rFonts w:hint="default"/>
        <w:lang w:val="hr-HR" w:eastAsia="en-US" w:bidi="ar-SA"/>
      </w:rPr>
    </w:lvl>
    <w:lvl w:ilvl="4" w:tplc="DED2C9F8">
      <w:numFmt w:val="bullet"/>
      <w:lvlText w:val="•"/>
      <w:lvlJc w:val="left"/>
      <w:pPr>
        <w:ind w:left="2982" w:hanging="360"/>
      </w:pPr>
      <w:rPr>
        <w:rFonts w:hint="default"/>
        <w:lang w:val="hr-HR" w:eastAsia="en-US" w:bidi="ar-SA"/>
      </w:rPr>
    </w:lvl>
    <w:lvl w:ilvl="5" w:tplc="DA4E9E9E">
      <w:numFmt w:val="bullet"/>
      <w:lvlText w:val="•"/>
      <w:lvlJc w:val="left"/>
      <w:pPr>
        <w:ind w:left="3602" w:hanging="360"/>
      </w:pPr>
      <w:rPr>
        <w:rFonts w:hint="default"/>
        <w:lang w:val="hr-HR" w:eastAsia="en-US" w:bidi="ar-SA"/>
      </w:rPr>
    </w:lvl>
    <w:lvl w:ilvl="6" w:tplc="B6C8B14A">
      <w:numFmt w:val="bullet"/>
      <w:lvlText w:val="•"/>
      <w:lvlJc w:val="left"/>
      <w:pPr>
        <w:ind w:left="4223" w:hanging="360"/>
      </w:pPr>
      <w:rPr>
        <w:rFonts w:hint="default"/>
        <w:lang w:val="hr-HR" w:eastAsia="en-US" w:bidi="ar-SA"/>
      </w:rPr>
    </w:lvl>
    <w:lvl w:ilvl="7" w:tplc="F094EE8C">
      <w:numFmt w:val="bullet"/>
      <w:lvlText w:val="•"/>
      <w:lvlJc w:val="left"/>
      <w:pPr>
        <w:ind w:left="4843" w:hanging="360"/>
      </w:pPr>
      <w:rPr>
        <w:rFonts w:hint="default"/>
        <w:lang w:val="hr-HR" w:eastAsia="en-US" w:bidi="ar-SA"/>
      </w:rPr>
    </w:lvl>
    <w:lvl w:ilvl="8" w:tplc="11A8D9C6">
      <w:numFmt w:val="bullet"/>
      <w:lvlText w:val="•"/>
      <w:lvlJc w:val="left"/>
      <w:pPr>
        <w:ind w:left="5464" w:hanging="360"/>
      </w:pPr>
      <w:rPr>
        <w:rFonts w:hint="default"/>
        <w:lang w:val="hr-HR" w:eastAsia="en-US" w:bidi="ar-SA"/>
      </w:rPr>
    </w:lvl>
  </w:abstractNum>
  <w:abstractNum w:abstractNumId="57" w15:restartNumberingAfterBreak="0">
    <w:nsid w:val="3E7C4A6A"/>
    <w:multiLevelType w:val="hybridMultilevel"/>
    <w:tmpl w:val="33BC3A28"/>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8" w15:restartNumberingAfterBreak="0">
    <w:nsid w:val="403F6A3E"/>
    <w:multiLevelType w:val="multilevel"/>
    <w:tmpl w:val="25ACB23A"/>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59" w15:restartNumberingAfterBreak="0">
    <w:nsid w:val="40A9532E"/>
    <w:multiLevelType w:val="hybridMultilevel"/>
    <w:tmpl w:val="F32EEAEE"/>
    <w:lvl w:ilvl="0" w:tplc="08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0" w15:restartNumberingAfterBreak="0">
    <w:nsid w:val="41581670"/>
    <w:multiLevelType w:val="hybridMultilevel"/>
    <w:tmpl w:val="DF10EADA"/>
    <w:lvl w:ilvl="0" w:tplc="33164DA8">
      <w:start w:val="1"/>
      <w:numFmt w:val="decimal"/>
      <w:lvlText w:val="%1."/>
      <w:lvlJc w:val="left"/>
      <w:pPr>
        <w:ind w:left="431" w:hanging="288"/>
      </w:pPr>
      <w:rPr>
        <w:rFonts w:ascii="Cambria" w:eastAsia="Cambria" w:hAnsi="Cambria" w:cs="Cambria" w:hint="default"/>
        <w:spacing w:val="-1"/>
        <w:w w:val="100"/>
        <w:sz w:val="24"/>
        <w:szCs w:val="24"/>
        <w:lang w:val="hr-HR" w:eastAsia="en-US" w:bidi="ar-SA"/>
      </w:rPr>
    </w:lvl>
    <w:lvl w:ilvl="1" w:tplc="942E19AA">
      <w:numFmt w:val="bullet"/>
      <w:lvlText w:val="•"/>
      <w:lvlJc w:val="left"/>
      <w:pPr>
        <w:ind w:left="1102" w:hanging="288"/>
      </w:pPr>
      <w:rPr>
        <w:rFonts w:hint="default"/>
        <w:lang w:val="hr-HR" w:eastAsia="en-US" w:bidi="ar-SA"/>
      </w:rPr>
    </w:lvl>
    <w:lvl w:ilvl="2" w:tplc="E182E4E4">
      <w:numFmt w:val="bullet"/>
      <w:lvlText w:val="•"/>
      <w:lvlJc w:val="left"/>
      <w:pPr>
        <w:ind w:left="1765" w:hanging="288"/>
      </w:pPr>
      <w:rPr>
        <w:rFonts w:hint="default"/>
        <w:lang w:val="hr-HR" w:eastAsia="en-US" w:bidi="ar-SA"/>
      </w:rPr>
    </w:lvl>
    <w:lvl w:ilvl="3" w:tplc="C2885C22">
      <w:numFmt w:val="bullet"/>
      <w:lvlText w:val="•"/>
      <w:lvlJc w:val="left"/>
      <w:pPr>
        <w:ind w:left="2427" w:hanging="288"/>
      </w:pPr>
      <w:rPr>
        <w:rFonts w:hint="default"/>
        <w:lang w:val="hr-HR" w:eastAsia="en-US" w:bidi="ar-SA"/>
      </w:rPr>
    </w:lvl>
    <w:lvl w:ilvl="4" w:tplc="08A61CD4">
      <w:numFmt w:val="bullet"/>
      <w:lvlText w:val="•"/>
      <w:lvlJc w:val="left"/>
      <w:pPr>
        <w:ind w:left="3090" w:hanging="288"/>
      </w:pPr>
      <w:rPr>
        <w:rFonts w:hint="default"/>
        <w:lang w:val="hr-HR" w:eastAsia="en-US" w:bidi="ar-SA"/>
      </w:rPr>
    </w:lvl>
    <w:lvl w:ilvl="5" w:tplc="3F621894">
      <w:numFmt w:val="bullet"/>
      <w:lvlText w:val="•"/>
      <w:lvlJc w:val="left"/>
      <w:pPr>
        <w:ind w:left="3753" w:hanging="288"/>
      </w:pPr>
      <w:rPr>
        <w:rFonts w:hint="default"/>
        <w:lang w:val="hr-HR" w:eastAsia="en-US" w:bidi="ar-SA"/>
      </w:rPr>
    </w:lvl>
    <w:lvl w:ilvl="6" w:tplc="4230A878">
      <w:numFmt w:val="bullet"/>
      <w:lvlText w:val="•"/>
      <w:lvlJc w:val="left"/>
      <w:pPr>
        <w:ind w:left="4415" w:hanging="288"/>
      </w:pPr>
      <w:rPr>
        <w:rFonts w:hint="default"/>
        <w:lang w:val="hr-HR" w:eastAsia="en-US" w:bidi="ar-SA"/>
      </w:rPr>
    </w:lvl>
    <w:lvl w:ilvl="7" w:tplc="A3F469FC">
      <w:numFmt w:val="bullet"/>
      <w:lvlText w:val="•"/>
      <w:lvlJc w:val="left"/>
      <w:pPr>
        <w:ind w:left="5078" w:hanging="288"/>
      </w:pPr>
      <w:rPr>
        <w:rFonts w:hint="default"/>
        <w:lang w:val="hr-HR" w:eastAsia="en-US" w:bidi="ar-SA"/>
      </w:rPr>
    </w:lvl>
    <w:lvl w:ilvl="8" w:tplc="6E789340">
      <w:numFmt w:val="bullet"/>
      <w:lvlText w:val="•"/>
      <w:lvlJc w:val="left"/>
      <w:pPr>
        <w:ind w:left="5740" w:hanging="288"/>
      </w:pPr>
      <w:rPr>
        <w:rFonts w:hint="default"/>
        <w:lang w:val="hr-HR" w:eastAsia="en-US" w:bidi="ar-SA"/>
      </w:rPr>
    </w:lvl>
  </w:abstractNum>
  <w:abstractNum w:abstractNumId="61" w15:restartNumberingAfterBreak="0">
    <w:nsid w:val="42AA25EE"/>
    <w:multiLevelType w:val="hybridMultilevel"/>
    <w:tmpl w:val="BCCEDFA6"/>
    <w:lvl w:ilvl="0" w:tplc="0409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2" w15:restartNumberingAfterBreak="0">
    <w:nsid w:val="44C57127"/>
    <w:multiLevelType w:val="hybridMultilevel"/>
    <w:tmpl w:val="C3226F40"/>
    <w:lvl w:ilvl="0" w:tplc="8828F4EC">
      <w:start w:val="1"/>
      <w:numFmt w:val="decimal"/>
      <w:lvlText w:val="%1."/>
      <w:lvlJc w:val="left"/>
      <w:pPr>
        <w:ind w:left="503" w:hanging="360"/>
      </w:pPr>
      <w:rPr>
        <w:rFonts w:ascii="Cambria" w:eastAsia="Cambria" w:hAnsi="Cambria" w:cs="Cambria"/>
        <w:spacing w:val="-1"/>
        <w:w w:val="100"/>
        <w:sz w:val="24"/>
        <w:szCs w:val="24"/>
        <w:lang w:val="hr-HR" w:eastAsia="en-US" w:bidi="ar-SA"/>
      </w:rPr>
    </w:lvl>
    <w:lvl w:ilvl="1" w:tplc="6262BB00">
      <w:numFmt w:val="bullet"/>
      <w:lvlText w:val="•"/>
      <w:lvlJc w:val="left"/>
      <w:pPr>
        <w:ind w:left="1156" w:hanging="360"/>
      </w:pPr>
      <w:rPr>
        <w:rFonts w:hint="default"/>
        <w:lang w:val="hr-HR" w:eastAsia="en-US" w:bidi="ar-SA"/>
      </w:rPr>
    </w:lvl>
    <w:lvl w:ilvl="2" w:tplc="7E1EA5A4">
      <w:numFmt w:val="bullet"/>
      <w:lvlText w:val="•"/>
      <w:lvlJc w:val="left"/>
      <w:pPr>
        <w:ind w:left="1813" w:hanging="360"/>
      </w:pPr>
      <w:rPr>
        <w:rFonts w:hint="default"/>
        <w:lang w:val="hr-HR" w:eastAsia="en-US" w:bidi="ar-SA"/>
      </w:rPr>
    </w:lvl>
    <w:lvl w:ilvl="3" w:tplc="30AA4466">
      <w:numFmt w:val="bullet"/>
      <w:lvlText w:val="•"/>
      <w:lvlJc w:val="left"/>
      <w:pPr>
        <w:ind w:left="2469" w:hanging="360"/>
      </w:pPr>
      <w:rPr>
        <w:rFonts w:hint="default"/>
        <w:lang w:val="hr-HR" w:eastAsia="en-US" w:bidi="ar-SA"/>
      </w:rPr>
    </w:lvl>
    <w:lvl w:ilvl="4" w:tplc="547EF2C6">
      <w:numFmt w:val="bullet"/>
      <w:lvlText w:val="•"/>
      <w:lvlJc w:val="left"/>
      <w:pPr>
        <w:ind w:left="3126" w:hanging="360"/>
      </w:pPr>
      <w:rPr>
        <w:rFonts w:hint="default"/>
        <w:lang w:val="hr-HR" w:eastAsia="en-US" w:bidi="ar-SA"/>
      </w:rPr>
    </w:lvl>
    <w:lvl w:ilvl="5" w:tplc="28EEA42C">
      <w:numFmt w:val="bullet"/>
      <w:lvlText w:val="•"/>
      <w:lvlJc w:val="left"/>
      <w:pPr>
        <w:ind w:left="3783" w:hanging="360"/>
      </w:pPr>
      <w:rPr>
        <w:rFonts w:hint="default"/>
        <w:lang w:val="hr-HR" w:eastAsia="en-US" w:bidi="ar-SA"/>
      </w:rPr>
    </w:lvl>
    <w:lvl w:ilvl="6" w:tplc="DBD64C32">
      <w:numFmt w:val="bullet"/>
      <w:lvlText w:val="•"/>
      <w:lvlJc w:val="left"/>
      <w:pPr>
        <w:ind w:left="4439" w:hanging="360"/>
      </w:pPr>
      <w:rPr>
        <w:rFonts w:hint="default"/>
        <w:lang w:val="hr-HR" w:eastAsia="en-US" w:bidi="ar-SA"/>
      </w:rPr>
    </w:lvl>
    <w:lvl w:ilvl="7" w:tplc="84F65456">
      <w:numFmt w:val="bullet"/>
      <w:lvlText w:val="•"/>
      <w:lvlJc w:val="left"/>
      <w:pPr>
        <w:ind w:left="5096" w:hanging="360"/>
      </w:pPr>
      <w:rPr>
        <w:rFonts w:hint="default"/>
        <w:lang w:val="hr-HR" w:eastAsia="en-US" w:bidi="ar-SA"/>
      </w:rPr>
    </w:lvl>
    <w:lvl w:ilvl="8" w:tplc="00B68A60">
      <w:numFmt w:val="bullet"/>
      <w:lvlText w:val="•"/>
      <w:lvlJc w:val="left"/>
      <w:pPr>
        <w:ind w:left="5752" w:hanging="360"/>
      </w:pPr>
      <w:rPr>
        <w:rFonts w:hint="default"/>
        <w:lang w:val="hr-HR" w:eastAsia="en-US" w:bidi="ar-SA"/>
      </w:rPr>
    </w:lvl>
  </w:abstractNum>
  <w:abstractNum w:abstractNumId="63" w15:restartNumberingAfterBreak="0">
    <w:nsid w:val="46AD2775"/>
    <w:multiLevelType w:val="hybridMultilevel"/>
    <w:tmpl w:val="99F6D75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4" w15:restartNumberingAfterBreak="0">
    <w:nsid w:val="4879150D"/>
    <w:multiLevelType w:val="hybridMultilevel"/>
    <w:tmpl w:val="A9EA02AE"/>
    <w:lvl w:ilvl="0" w:tplc="4B20A01A">
      <w:start w:val="1"/>
      <w:numFmt w:val="decimal"/>
      <w:lvlText w:val="%1."/>
      <w:lvlJc w:val="left"/>
      <w:pPr>
        <w:ind w:left="426" w:hanging="284"/>
      </w:pPr>
      <w:rPr>
        <w:rFonts w:ascii="Cambria" w:eastAsia="Cambria" w:hAnsi="Cambria" w:cs="Cambria" w:hint="default"/>
        <w:spacing w:val="-1"/>
        <w:w w:val="100"/>
        <w:sz w:val="24"/>
        <w:szCs w:val="24"/>
        <w:lang w:val="hr-HR" w:eastAsia="en-US" w:bidi="ar-SA"/>
      </w:rPr>
    </w:lvl>
    <w:lvl w:ilvl="1" w:tplc="74929536">
      <w:numFmt w:val="bullet"/>
      <w:lvlText w:val="•"/>
      <w:lvlJc w:val="left"/>
      <w:pPr>
        <w:ind w:left="1063" w:hanging="284"/>
      </w:pPr>
      <w:rPr>
        <w:rFonts w:hint="default"/>
        <w:lang w:val="hr-HR" w:eastAsia="en-US" w:bidi="ar-SA"/>
      </w:rPr>
    </w:lvl>
    <w:lvl w:ilvl="2" w:tplc="CD6426CC">
      <w:numFmt w:val="bullet"/>
      <w:lvlText w:val="•"/>
      <w:lvlJc w:val="left"/>
      <w:pPr>
        <w:ind w:left="1706" w:hanging="284"/>
      </w:pPr>
      <w:rPr>
        <w:rFonts w:hint="default"/>
        <w:lang w:val="hr-HR" w:eastAsia="en-US" w:bidi="ar-SA"/>
      </w:rPr>
    </w:lvl>
    <w:lvl w:ilvl="3" w:tplc="BAC0FEE8">
      <w:numFmt w:val="bullet"/>
      <w:lvlText w:val="•"/>
      <w:lvlJc w:val="left"/>
      <w:pPr>
        <w:ind w:left="2349" w:hanging="284"/>
      </w:pPr>
      <w:rPr>
        <w:rFonts w:hint="default"/>
        <w:lang w:val="hr-HR" w:eastAsia="en-US" w:bidi="ar-SA"/>
      </w:rPr>
    </w:lvl>
    <w:lvl w:ilvl="4" w:tplc="BA504130">
      <w:numFmt w:val="bullet"/>
      <w:lvlText w:val="•"/>
      <w:lvlJc w:val="left"/>
      <w:pPr>
        <w:ind w:left="2992" w:hanging="284"/>
      </w:pPr>
      <w:rPr>
        <w:rFonts w:hint="default"/>
        <w:lang w:val="hr-HR" w:eastAsia="en-US" w:bidi="ar-SA"/>
      </w:rPr>
    </w:lvl>
    <w:lvl w:ilvl="5" w:tplc="4E8255D2">
      <w:numFmt w:val="bullet"/>
      <w:lvlText w:val="•"/>
      <w:lvlJc w:val="left"/>
      <w:pPr>
        <w:ind w:left="3635" w:hanging="284"/>
      </w:pPr>
      <w:rPr>
        <w:rFonts w:hint="default"/>
        <w:lang w:val="hr-HR" w:eastAsia="en-US" w:bidi="ar-SA"/>
      </w:rPr>
    </w:lvl>
    <w:lvl w:ilvl="6" w:tplc="DBFAC728">
      <w:numFmt w:val="bullet"/>
      <w:lvlText w:val="•"/>
      <w:lvlJc w:val="left"/>
      <w:pPr>
        <w:ind w:left="4278" w:hanging="284"/>
      </w:pPr>
      <w:rPr>
        <w:rFonts w:hint="default"/>
        <w:lang w:val="hr-HR" w:eastAsia="en-US" w:bidi="ar-SA"/>
      </w:rPr>
    </w:lvl>
    <w:lvl w:ilvl="7" w:tplc="D9A8B6AA">
      <w:numFmt w:val="bullet"/>
      <w:lvlText w:val="•"/>
      <w:lvlJc w:val="left"/>
      <w:pPr>
        <w:ind w:left="4921" w:hanging="284"/>
      </w:pPr>
      <w:rPr>
        <w:rFonts w:hint="default"/>
        <w:lang w:val="hr-HR" w:eastAsia="en-US" w:bidi="ar-SA"/>
      </w:rPr>
    </w:lvl>
    <w:lvl w:ilvl="8" w:tplc="3724DB2A">
      <w:numFmt w:val="bullet"/>
      <w:lvlText w:val="•"/>
      <w:lvlJc w:val="left"/>
      <w:pPr>
        <w:ind w:left="5564" w:hanging="284"/>
      </w:pPr>
      <w:rPr>
        <w:rFonts w:hint="default"/>
        <w:lang w:val="hr-HR" w:eastAsia="en-US" w:bidi="ar-SA"/>
      </w:rPr>
    </w:lvl>
  </w:abstractNum>
  <w:abstractNum w:abstractNumId="65" w15:restartNumberingAfterBreak="0">
    <w:nsid w:val="4A3220B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4A777D4B"/>
    <w:multiLevelType w:val="hybridMultilevel"/>
    <w:tmpl w:val="8EAE1698"/>
    <w:lvl w:ilvl="0" w:tplc="0809000F">
      <w:start w:val="1"/>
      <w:numFmt w:val="decimal"/>
      <w:lvlText w:val="%1."/>
      <w:lvlJc w:val="left"/>
      <w:pPr>
        <w:ind w:left="720" w:hanging="360"/>
      </w:pPr>
      <w:rPr>
        <w:b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7" w15:restartNumberingAfterBreak="0">
    <w:nsid w:val="4B141397"/>
    <w:multiLevelType w:val="hybridMultilevel"/>
    <w:tmpl w:val="9580B928"/>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8" w15:restartNumberingAfterBreak="0">
    <w:nsid w:val="4CF45FA6"/>
    <w:multiLevelType w:val="hybridMultilevel"/>
    <w:tmpl w:val="52FAC502"/>
    <w:lvl w:ilvl="0" w:tplc="80723C62">
      <w:start w:val="1"/>
      <w:numFmt w:val="decimal"/>
      <w:lvlText w:val="%1."/>
      <w:lvlJc w:val="left"/>
      <w:pPr>
        <w:ind w:left="503" w:hanging="360"/>
      </w:pPr>
      <w:rPr>
        <w:rFonts w:ascii="Cambria" w:eastAsia="Cambria" w:hAnsi="Cambria" w:cs="Cambria" w:hint="default"/>
        <w:spacing w:val="-1"/>
        <w:w w:val="100"/>
        <w:sz w:val="24"/>
        <w:szCs w:val="24"/>
        <w:lang w:val="hr-HR" w:eastAsia="en-US" w:bidi="ar-SA"/>
      </w:rPr>
    </w:lvl>
    <w:lvl w:ilvl="1" w:tplc="C98ECF2A">
      <w:numFmt w:val="bullet"/>
      <w:lvlText w:val="•"/>
      <w:lvlJc w:val="left"/>
      <w:pPr>
        <w:ind w:left="1134" w:hanging="360"/>
      </w:pPr>
      <w:rPr>
        <w:rFonts w:hint="default"/>
        <w:lang w:val="hr-HR" w:eastAsia="en-US" w:bidi="ar-SA"/>
      </w:rPr>
    </w:lvl>
    <w:lvl w:ilvl="2" w:tplc="FB9AE1EA">
      <w:numFmt w:val="bullet"/>
      <w:lvlText w:val="•"/>
      <w:lvlJc w:val="left"/>
      <w:pPr>
        <w:ind w:left="1768" w:hanging="360"/>
      </w:pPr>
      <w:rPr>
        <w:rFonts w:hint="default"/>
        <w:lang w:val="hr-HR" w:eastAsia="en-US" w:bidi="ar-SA"/>
      </w:rPr>
    </w:lvl>
    <w:lvl w:ilvl="3" w:tplc="5C86DA5A">
      <w:numFmt w:val="bullet"/>
      <w:lvlText w:val="•"/>
      <w:lvlJc w:val="left"/>
      <w:pPr>
        <w:ind w:left="2402" w:hanging="360"/>
      </w:pPr>
      <w:rPr>
        <w:rFonts w:hint="default"/>
        <w:lang w:val="hr-HR" w:eastAsia="en-US" w:bidi="ar-SA"/>
      </w:rPr>
    </w:lvl>
    <w:lvl w:ilvl="4" w:tplc="690C5BB6">
      <w:numFmt w:val="bullet"/>
      <w:lvlText w:val="•"/>
      <w:lvlJc w:val="left"/>
      <w:pPr>
        <w:ind w:left="3037" w:hanging="360"/>
      </w:pPr>
      <w:rPr>
        <w:rFonts w:hint="default"/>
        <w:lang w:val="hr-HR" w:eastAsia="en-US" w:bidi="ar-SA"/>
      </w:rPr>
    </w:lvl>
    <w:lvl w:ilvl="5" w:tplc="D15A18E4">
      <w:numFmt w:val="bullet"/>
      <w:lvlText w:val="•"/>
      <w:lvlJc w:val="left"/>
      <w:pPr>
        <w:ind w:left="3671" w:hanging="360"/>
      </w:pPr>
      <w:rPr>
        <w:rFonts w:hint="default"/>
        <w:lang w:val="hr-HR" w:eastAsia="en-US" w:bidi="ar-SA"/>
      </w:rPr>
    </w:lvl>
    <w:lvl w:ilvl="6" w:tplc="2C66C7AC">
      <w:numFmt w:val="bullet"/>
      <w:lvlText w:val="•"/>
      <w:lvlJc w:val="left"/>
      <w:pPr>
        <w:ind w:left="4305" w:hanging="360"/>
      </w:pPr>
      <w:rPr>
        <w:rFonts w:hint="default"/>
        <w:lang w:val="hr-HR" w:eastAsia="en-US" w:bidi="ar-SA"/>
      </w:rPr>
    </w:lvl>
    <w:lvl w:ilvl="7" w:tplc="9AEA7990">
      <w:numFmt w:val="bullet"/>
      <w:lvlText w:val="•"/>
      <w:lvlJc w:val="left"/>
      <w:pPr>
        <w:ind w:left="4940" w:hanging="360"/>
      </w:pPr>
      <w:rPr>
        <w:rFonts w:hint="default"/>
        <w:lang w:val="hr-HR" w:eastAsia="en-US" w:bidi="ar-SA"/>
      </w:rPr>
    </w:lvl>
    <w:lvl w:ilvl="8" w:tplc="FE747664">
      <w:numFmt w:val="bullet"/>
      <w:lvlText w:val="•"/>
      <w:lvlJc w:val="left"/>
      <w:pPr>
        <w:ind w:left="5574" w:hanging="360"/>
      </w:pPr>
      <w:rPr>
        <w:rFonts w:hint="default"/>
        <w:lang w:val="hr-HR" w:eastAsia="en-US" w:bidi="ar-SA"/>
      </w:rPr>
    </w:lvl>
  </w:abstractNum>
  <w:abstractNum w:abstractNumId="69" w15:restartNumberingAfterBreak="0">
    <w:nsid w:val="4DA03096"/>
    <w:multiLevelType w:val="hybridMultilevel"/>
    <w:tmpl w:val="4A644F94"/>
    <w:lvl w:ilvl="0" w:tplc="041A000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70" w15:restartNumberingAfterBreak="0">
    <w:nsid w:val="4E0E37D5"/>
    <w:multiLevelType w:val="hybridMultilevel"/>
    <w:tmpl w:val="459251DE"/>
    <w:lvl w:ilvl="0" w:tplc="0409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1" w15:restartNumberingAfterBreak="0">
    <w:nsid w:val="517663B7"/>
    <w:multiLevelType w:val="hybridMultilevel"/>
    <w:tmpl w:val="95882D58"/>
    <w:lvl w:ilvl="0" w:tplc="1D12B8AE">
      <w:start w:val="1"/>
      <w:numFmt w:val="decimal"/>
      <w:lvlText w:val="%1."/>
      <w:lvlJc w:val="left"/>
      <w:pPr>
        <w:ind w:left="503" w:hanging="360"/>
      </w:pPr>
      <w:rPr>
        <w:rFonts w:hint="default"/>
      </w:rPr>
    </w:lvl>
    <w:lvl w:ilvl="1" w:tplc="041A0019" w:tentative="1">
      <w:start w:val="1"/>
      <w:numFmt w:val="lowerLetter"/>
      <w:lvlText w:val="%2."/>
      <w:lvlJc w:val="left"/>
      <w:pPr>
        <w:ind w:left="1223" w:hanging="360"/>
      </w:pPr>
    </w:lvl>
    <w:lvl w:ilvl="2" w:tplc="041A001B" w:tentative="1">
      <w:start w:val="1"/>
      <w:numFmt w:val="lowerRoman"/>
      <w:lvlText w:val="%3."/>
      <w:lvlJc w:val="right"/>
      <w:pPr>
        <w:ind w:left="1943" w:hanging="180"/>
      </w:pPr>
    </w:lvl>
    <w:lvl w:ilvl="3" w:tplc="041A000F" w:tentative="1">
      <w:start w:val="1"/>
      <w:numFmt w:val="decimal"/>
      <w:lvlText w:val="%4."/>
      <w:lvlJc w:val="left"/>
      <w:pPr>
        <w:ind w:left="2663" w:hanging="360"/>
      </w:pPr>
    </w:lvl>
    <w:lvl w:ilvl="4" w:tplc="041A0019" w:tentative="1">
      <w:start w:val="1"/>
      <w:numFmt w:val="lowerLetter"/>
      <w:lvlText w:val="%5."/>
      <w:lvlJc w:val="left"/>
      <w:pPr>
        <w:ind w:left="3383" w:hanging="360"/>
      </w:pPr>
    </w:lvl>
    <w:lvl w:ilvl="5" w:tplc="041A001B" w:tentative="1">
      <w:start w:val="1"/>
      <w:numFmt w:val="lowerRoman"/>
      <w:lvlText w:val="%6."/>
      <w:lvlJc w:val="right"/>
      <w:pPr>
        <w:ind w:left="4103" w:hanging="180"/>
      </w:pPr>
    </w:lvl>
    <w:lvl w:ilvl="6" w:tplc="041A000F" w:tentative="1">
      <w:start w:val="1"/>
      <w:numFmt w:val="decimal"/>
      <w:lvlText w:val="%7."/>
      <w:lvlJc w:val="left"/>
      <w:pPr>
        <w:ind w:left="4823" w:hanging="360"/>
      </w:pPr>
    </w:lvl>
    <w:lvl w:ilvl="7" w:tplc="041A0019" w:tentative="1">
      <w:start w:val="1"/>
      <w:numFmt w:val="lowerLetter"/>
      <w:lvlText w:val="%8."/>
      <w:lvlJc w:val="left"/>
      <w:pPr>
        <w:ind w:left="5543" w:hanging="360"/>
      </w:pPr>
    </w:lvl>
    <w:lvl w:ilvl="8" w:tplc="041A001B" w:tentative="1">
      <w:start w:val="1"/>
      <w:numFmt w:val="lowerRoman"/>
      <w:lvlText w:val="%9."/>
      <w:lvlJc w:val="right"/>
      <w:pPr>
        <w:ind w:left="6263" w:hanging="180"/>
      </w:pPr>
    </w:lvl>
  </w:abstractNum>
  <w:abstractNum w:abstractNumId="72" w15:restartNumberingAfterBreak="0">
    <w:nsid w:val="517D615A"/>
    <w:multiLevelType w:val="hybridMultilevel"/>
    <w:tmpl w:val="F85C7E9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519F12BE"/>
    <w:multiLevelType w:val="hybridMultilevel"/>
    <w:tmpl w:val="8760EE24"/>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4" w15:restartNumberingAfterBreak="0">
    <w:nsid w:val="51A20D96"/>
    <w:multiLevelType w:val="multilevel"/>
    <w:tmpl w:val="E362E1C4"/>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75" w15:restartNumberingAfterBreak="0">
    <w:nsid w:val="51D22CD3"/>
    <w:multiLevelType w:val="hybridMultilevel"/>
    <w:tmpl w:val="8A3A7552"/>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6" w15:restartNumberingAfterBreak="0">
    <w:nsid w:val="52067D38"/>
    <w:multiLevelType w:val="hybridMultilevel"/>
    <w:tmpl w:val="2B3E40B2"/>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7" w15:restartNumberingAfterBreak="0">
    <w:nsid w:val="53273B90"/>
    <w:multiLevelType w:val="multilevel"/>
    <w:tmpl w:val="B150DBA0"/>
    <w:lvl w:ilvl="0">
      <w:start w:val="1"/>
      <w:numFmt w:val="decimal"/>
      <w:lvlText w:val="%1."/>
      <w:lvlJc w:val="left"/>
      <w:pPr>
        <w:tabs>
          <w:tab w:val="num" w:pos="720"/>
        </w:tabs>
        <w:ind w:left="720" w:hanging="360"/>
      </w:pPr>
    </w:lvl>
    <w:lvl w:ilvl="1">
      <w:start w:val="2"/>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537C76CD"/>
    <w:multiLevelType w:val="hybridMultilevel"/>
    <w:tmpl w:val="6DF6D96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9" w15:restartNumberingAfterBreak="0">
    <w:nsid w:val="58A32D51"/>
    <w:multiLevelType w:val="hybridMultilevel"/>
    <w:tmpl w:val="9C34E7B2"/>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0" w15:restartNumberingAfterBreak="0">
    <w:nsid w:val="59167A74"/>
    <w:multiLevelType w:val="hybridMultilevel"/>
    <w:tmpl w:val="FA542A08"/>
    <w:lvl w:ilvl="0" w:tplc="C6E03034">
      <w:start w:val="1"/>
      <w:numFmt w:val="decimal"/>
      <w:lvlText w:val="%1."/>
      <w:lvlJc w:val="left"/>
      <w:pPr>
        <w:ind w:left="503" w:hanging="360"/>
      </w:pPr>
      <w:rPr>
        <w:rFonts w:hint="default"/>
        <w:spacing w:val="-1"/>
        <w:w w:val="100"/>
        <w:lang w:val="hr-HR" w:eastAsia="en-US" w:bidi="ar-SA"/>
      </w:rPr>
    </w:lvl>
    <w:lvl w:ilvl="1" w:tplc="A8BEF646">
      <w:numFmt w:val="bullet"/>
      <w:lvlText w:val="•"/>
      <w:lvlJc w:val="left"/>
      <w:pPr>
        <w:ind w:left="1134" w:hanging="360"/>
      </w:pPr>
      <w:rPr>
        <w:rFonts w:hint="default"/>
        <w:lang w:val="hr-HR" w:eastAsia="en-US" w:bidi="ar-SA"/>
      </w:rPr>
    </w:lvl>
    <w:lvl w:ilvl="2" w:tplc="96FCD8BC">
      <w:numFmt w:val="bullet"/>
      <w:lvlText w:val="•"/>
      <w:lvlJc w:val="left"/>
      <w:pPr>
        <w:ind w:left="1769" w:hanging="360"/>
      </w:pPr>
      <w:rPr>
        <w:rFonts w:hint="default"/>
        <w:lang w:val="hr-HR" w:eastAsia="en-US" w:bidi="ar-SA"/>
      </w:rPr>
    </w:lvl>
    <w:lvl w:ilvl="3" w:tplc="255C958E">
      <w:numFmt w:val="bullet"/>
      <w:lvlText w:val="•"/>
      <w:lvlJc w:val="left"/>
      <w:pPr>
        <w:ind w:left="2403" w:hanging="360"/>
      </w:pPr>
      <w:rPr>
        <w:rFonts w:hint="default"/>
        <w:lang w:val="hr-HR" w:eastAsia="en-US" w:bidi="ar-SA"/>
      </w:rPr>
    </w:lvl>
    <w:lvl w:ilvl="4" w:tplc="E9E23BE2">
      <w:numFmt w:val="bullet"/>
      <w:lvlText w:val="•"/>
      <w:lvlJc w:val="left"/>
      <w:pPr>
        <w:ind w:left="3038" w:hanging="360"/>
      </w:pPr>
      <w:rPr>
        <w:rFonts w:hint="default"/>
        <w:lang w:val="hr-HR" w:eastAsia="en-US" w:bidi="ar-SA"/>
      </w:rPr>
    </w:lvl>
    <w:lvl w:ilvl="5" w:tplc="B0B49B74">
      <w:numFmt w:val="bullet"/>
      <w:lvlText w:val="•"/>
      <w:lvlJc w:val="left"/>
      <w:pPr>
        <w:ind w:left="3672" w:hanging="360"/>
      </w:pPr>
      <w:rPr>
        <w:rFonts w:hint="default"/>
        <w:lang w:val="hr-HR" w:eastAsia="en-US" w:bidi="ar-SA"/>
      </w:rPr>
    </w:lvl>
    <w:lvl w:ilvl="6" w:tplc="2A903AE2">
      <w:numFmt w:val="bullet"/>
      <w:lvlText w:val="•"/>
      <w:lvlJc w:val="left"/>
      <w:pPr>
        <w:ind w:left="4307" w:hanging="360"/>
      </w:pPr>
      <w:rPr>
        <w:rFonts w:hint="default"/>
        <w:lang w:val="hr-HR" w:eastAsia="en-US" w:bidi="ar-SA"/>
      </w:rPr>
    </w:lvl>
    <w:lvl w:ilvl="7" w:tplc="594897E4">
      <w:numFmt w:val="bullet"/>
      <w:lvlText w:val="•"/>
      <w:lvlJc w:val="left"/>
      <w:pPr>
        <w:ind w:left="4941" w:hanging="360"/>
      </w:pPr>
      <w:rPr>
        <w:rFonts w:hint="default"/>
        <w:lang w:val="hr-HR" w:eastAsia="en-US" w:bidi="ar-SA"/>
      </w:rPr>
    </w:lvl>
    <w:lvl w:ilvl="8" w:tplc="A0288BCC">
      <w:numFmt w:val="bullet"/>
      <w:lvlText w:val="•"/>
      <w:lvlJc w:val="left"/>
      <w:pPr>
        <w:ind w:left="5576" w:hanging="360"/>
      </w:pPr>
      <w:rPr>
        <w:rFonts w:hint="default"/>
        <w:lang w:val="hr-HR" w:eastAsia="en-US" w:bidi="ar-SA"/>
      </w:rPr>
    </w:lvl>
  </w:abstractNum>
  <w:abstractNum w:abstractNumId="81" w15:restartNumberingAfterBreak="0">
    <w:nsid w:val="597C2FA8"/>
    <w:multiLevelType w:val="hybridMultilevel"/>
    <w:tmpl w:val="F38032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5BDA7229"/>
    <w:multiLevelType w:val="multilevel"/>
    <w:tmpl w:val="A3B04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5D0F493D"/>
    <w:multiLevelType w:val="hybridMultilevel"/>
    <w:tmpl w:val="D0E20DC0"/>
    <w:lvl w:ilvl="0" w:tplc="27FA128C">
      <w:start w:val="1"/>
      <w:numFmt w:val="decimal"/>
      <w:lvlText w:val="%1."/>
      <w:lvlJc w:val="left"/>
      <w:pPr>
        <w:ind w:left="720" w:hanging="360"/>
      </w:pPr>
      <w:rPr>
        <w:rFonts w:hint="default"/>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4" w15:restartNumberingAfterBreak="0">
    <w:nsid w:val="637971D5"/>
    <w:multiLevelType w:val="hybridMultilevel"/>
    <w:tmpl w:val="995CDE1A"/>
    <w:lvl w:ilvl="0" w:tplc="041A000F">
      <w:start w:val="1"/>
      <w:numFmt w:val="decimal"/>
      <w:lvlText w:val="%1."/>
      <w:lvlJc w:val="left"/>
      <w:pPr>
        <w:ind w:left="1068" w:hanging="360"/>
      </w:p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85" w15:restartNumberingAfterBreak="0">
    <w:nsid w:val="644E615B"/>
    <w:multiLevelType w:val="hybridMultilevel"/>
    <w:tmpl w:val="BC5CB00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6" w15:restartNumberingAfterBreak="0">
    <w:nsid w:val="664113C5"/>
    <w:multiLevelType w:val="hybridMultilevel"/>
    <w:tmpl w:val="6784B0B4"/>
    <w:lvl w:ilvl="0" w:tplc="041A000F">
      <w:start w:val="1"/>
      <w:numFmt w:val="decimal"/>
      <w:lvlText w:val="%1."/>
      <w:lvlJc w:val="left"/>
      <w:pPr>
        <w:ind w:left="360" w:hanging="360"/>
      </w:p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7" w15:restartNumberingAfterBreak="0">
    <w:nsid w:val="664524EA"/>
    <w:multiLevelType w:val="multilevel"/>
    <w:tmpl w:val="96C6D5AA"/>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88" w15:restartNumberingAfterBreak="0">
    <w:nsid w:val="671A0DD4"/>
    <w:multiLevelType w:val="multilevel"/>
    <w:tmpl w:val="56045CC8"/>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89" w15:restartNumberingAfterBreak="0">
    <w:nsid w:val="6923304D"/>
    <w:multiLevelType w:val="hybridMultilevel"/>
    <w:tmpl w:val="7FBA8C3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0" w15:restartNumberingAfterBreak="0">
    <w:nsid w:val="6B491587"/>
    <w:multiLevelType w:val="hybridMultilevel"/>
    <w:tmpl w:val="FEA00D9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1" w15:restartNumberingAfterBreak="0">
    <w:nsid w:val="6DE544F0"/>
    <w:multiLevelType w:val="hybridMultilevel"/>
    <w:tmpl w:val="0F4878EA"/>
    <w:lvl w:ilvl="0" w:tplc="0B422C30">
      <w:start w:val="1"/>
      <w:numFmt w:val="decimal"/>
      <w:lvlText w:val="%1."/>
      <w:lvlJc w:val="left"/>
      <w:pPr>
        <w:ind w:left="360" w:hanging="360"/>
      </w:pPr>
      <w:rPr>
        <w:rFonts w:hint="default"/>
        <w:b w:val="0"/>
        <w:sz w:val="22"/>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92" w15:restartNumberingAfterBreak="0">
    <w:nsid w:val="70BC2FE6"/>
    <w:multiLevelType w:val="hybridMultilevel"/>
    <w:tmpl w:val="5E1232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3" w15:restartNumberingAfterBreak="0">
    <w:nsid w:val="71BC09F1"/>
    <w:multiLevelType w:val="hybridMultilevel"/>
    <w:tmpl w:val="18585B9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4" w15:restartNumberingAfterBreak="0">
    <w:nsid w:val="722A0599"/>
    <w:multiLevelType w:val="multilevel"/>
    <w:tmpl w:val="F7B8FA78"/>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95" w15:restartNumberingAfterBreak="0">
    <w:nsid w:val="72573A7F"/>
    <w:multiLevelType w:val="hybridMultilevel"/>
    <w:tmpl w:val="FD88171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6" w15:restartNumberingAfterBreak="0">
    <w:nsid w:val="730E3D78"/>
    <w:multiLevelType w:val="multilevel"/>
    <w:tmpl w:val="ECFC2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745543B7"/>
    <w:multiLevelType w:val="hybridMultilevel"/>
    <w:tmpl w:val="1A3CCE4A"/>
    <w:lvl w:ilvl="0" w:tplc="0DB685BC">
      <w:start w:val="1"/>
      <w:numFmt w:val="decimal"/>
      <w:lvlText w:val="%1."/>
      <w:lvlJc w:val="left"/>
      <w:pPr>
        <w:ind w:left="360" w:hanging="360"/>
      </w:pPr>
      <w:rPr>
        <w:rFonts w:ascii="Calibri" w:hAnsi="Calibri" w:hint="default"/>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8" w15:restartNumberingAfterBreak="0">
    <w:nsid w:val="75DE14C5"/>
    <w:multiLevelType w:val="hybridMultilevel"/>
    <w:tmpl w:val="9CFC10E4"/>
    <w:lvl w:ilvl="0" w:tplc="0809000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99" w15:restartNumberingAfterBreak="0">
    <w:nsid w:val="762240FF"/>
    <w:multiLevelType w:val="hybridMultilevel"/>
    <w:tmpl w:val="8A102424"/>
    <w:lvl w:ilvl="0" w:tplc="BB0E86D4">
      <w:start w:val="1"/>
      <w:numFmt w:val="decimal"/>
      <w:lvlText w:val="%1."/>
      <w:lvlJc w:val="left"/>
      <w:pPr>
        <w:ind w:left="503" w:hanging="360"/>
      </w:pPr>
      <w:rPr>
        <w:rFonts w:ascii="Cambria" w:eastAsia="Cambria" w:hAnsi="Cambria" w:cs="Cambria"/>
        <w:spacing w:val="-1"/>
        <w:w w:val="100"/>
        <w:sz w:val="24"/>
        <w:szCs w:val="24"/>
        <w:lang w:val="hr-HR" w:eastAsia="en-US" w:bidi="ar-SA"/>
      </w:rPr>
    </w:lvl>
    <w:lvl w:ilvl="1" w:tplc="7AB61FCE">
      <w:numFmt w:val="bullet"/>
      <w:lvlText w:val="•"/>
      <w:lvlJc w:val="left"/>
      <w:pPr>
        <w:ind w:left="1135" w:hanging="360"/>
      </w:pPr>
      <w:rPr>
        <w:rFonts w:hint="default"/>
        <w:lang w:val="hr-HR" w:eastAsia="en-US" w:bidi="ar-SA"/>
      </w:rPr>
    </w:lvl>
    <w:lvl w:ilvl="2" w:tplc="8B0CCFA0">
      <w:numFmt w:val="bullet"/>
      <w:lvlText w:val="•"/>
      <w:lvlJc w:val="left"/>
      <w:pPr>
        <w:ind w:left="1770" w:hanging="360"/>
      </w:pPr>
      <w:rPr>
        <w:rFonts w:hint="default"/>
        <w:lang w:val="hr-HR" w:eastAsia="en-US" w:bidi="ar-SA"/>
      </w:rPr>
    </w:lvl>
    <w:lvl w:ilvl="3" w:tplc="E146C28C">
      <w:numFmt w:val="bullet"/>
      <w:lvlText w:val="•"/>
      <w:lvlJc w:val="left"/>
      <w:pPr>
        <w:ind w:left="2405" w:hanging="360"/>
      </w:pPr>
      <w:rPr>
        <w:rFonts w:hint="default"/>
        <w:lang w:val="hr-HR" w:eastAsia="en-US" w:bidi="ar-SA"/>
      </w:rPr>
    </w:lvl>
    <w:lvl w:ilvl="4" w:tplc="22965B08">
      <w:numFmt w:val="bullet"/>
      <w:lvlText w:val="•"/>
      <w:lvlJc w:val="left"/>
      <w:pPr>
        <w:ind w:left="3040" w:hanging="360"/>
      </w:pPr>
      <w:rPr>
        <w:rFonts w:hint="default"/>
        <w:lang w:val="hr-HR" w:eastAsia="en-US" w:bidi="ar-SA"/>
      </w:rPr>
    </w:lvl>
    <w:lvl w:ilvl="5" w:tplc="BA364B2E">
      <w:numFmt w:val="bullet"/>
      <w:lvlText w:val="•"/>
      <w:lvlJc w:val="left"/>
      <w:pPr>
        <w:ind w:left="3676" w:hanging="360"/>
      </w:pPr>
      <w:rPr>
        <w:rFonts w:hint="default"/>
        <w:lang w:val="hr-HR" w:eastAsia="en-US" w:bidi="ar-SA"/>
      </w:rPr>
    </w:lvl>
    <w:lvl w:ilvl="6" w:tplc="7584BC5A">
      <w:numFmt w:val="bullet"/>
      <w:lvlText w:val="•"/>
      <w:lvlJc w:val="left"/>
      <w:pPr>
        <w:ind w:left="4311" w:hanging="360"/>
      </w:pPr>
      <w:rPr>
        <w:rFonts w:hint="default"/>
        <w:lang w:val="hr-HR" w:eastAsia="en-US" w:bidi="ar-SA"/>
      </w:rPr>
    </w:lvl>
    <w:lvl w:ilvl="7" w:tplc="405A2120">
      <w:numFmt w:val="bullet"/>
      <w:lvlText w:val="•"/>
      <w:lvlJc w:val="left"/>
      <w:pPr>
        <w:ind w:left="4946" w:hanging="360"/>
      </w:pPr>
      <w:rPr>
        <w:rFonts w:hint="default"/>
        <w:lang w:val="hr-HR" w:eastAsia="en-US" w:bidi="ar-SA"/>
      </w:rPr>
    </w:lvl>
    <w:lvl w:ilvl="8" w:tplc="249E42EE">
      <w:numFmt w:val="bullet"/>
      <w:lvlText w:val="•"/>
      <w:lvlJc w:val="left"/>
      <w:pPr>
        <w:ind w:left="5581" w:hanging="360"/>
      </w:pPr>
      <w:rPr>
        <w:rFonts w:hint="default"/>
        <w:lang w:val="hr-HR" w:eastAsia="en-US" w:bidi="ar-SA"/>
      </w:rPr>
    </w:lvl>
  </w:abstractNum>
  <w:abstractNum w:abstractNumId="100" w15:restartNumberingAfterBreak="0">
    <w:nsid w:val="76B84016"/>
    <w:multiLevelType w:val="hybridMultilevel"/>
    <w:tmpl w:val="8F703E1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1" w15:restartNumberingAfterBreak="0">
    <w:nsid w:val="77357CAE"/>
    <w:multiLevelType w:val="hybridMultilevel"/>
    <w:tmpl w:val="ECF63B2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2" w15:restartNumberingAfterBreak="0">
    <w:nsid w:val="79C54920"/>
    <w:multiLevelType w:val="multilevel"/>
    <w:tmpl w:val="3506A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7B024247"/>
    <w:multiLevelType w:val="hybridMultilevel"/>
    <w:tmpl w:val="3FF4C0E8"/>
    <w:lvl w:ilvl="0" w:tplc="9E1C2080">
      <w:start w:val="1"/>
      <w:numFmt w:val="decimal"/>
      <w:lvlText w:val="%1."/>
      <w:lvlJc w:val="left"/>
      <w:pPr>
        <w:ind w:left="497" w:hanging="390"/>
      </w:pPr>
      <w:rPr>
        <w:rFonts w:hint="default"/>
      </w:rPr>
    </w:lvl>
    <w:lvl w:ilvl="1" w:tplc="041A0019" w:tentative="1">
      <w:start w:val="1"/>
      <w:numFmt w:val="lowerLetter"/>
      <w:lvlText w:val="%2."/>
      <w:lvlJc w:val="left"/>
      <w:pPr>
        <w:ind w:left="1187" w:hanging="360"/>
      </w:pPr>
    </w:lvl>
    <w:lvl w:ilvl="2" w:tplc="041A001B" w:tentative="1">
      <w:start w:val="1"/>
      <w:numFmt w:val="lowerRoman"/>
      <w:lvlText w:val="%3."/>
      <w:lvlJc w:val="right"/>
      <w:pPr>
        <w:ind w:left="1907" w:hanging="180"/>
      </w:pPr>
    </w:lvl>
    <w:lvl w:ilvl="3" w:tplc="041A000F" w:tentative="1">
      <w:start w:val="1"/>
      <w:numFmt w:val="decimal"/>
      <w:lvlText w:val="%4."/>
      <w:lvlJc w:val="left"/>
      <w:pPr>
        <w:ind w:left="2627" w:hanging="360"/>
      </w:pPr>
    </w:lvl>
    <w:lvl w:ilvl="4" w:tplc="041A0019" w:tentative="1">
      <w:start w:val="1"/>
      <w:numFmt w:val="lowerLetter"/>
      <w:lvlText w:val="%5."/>
      <w:lvlJc w:val="left"/>
      <w:pPr>
        <w:ind w:left="3347" w:hanging="360"/>
      </w:pPr>
    </w:lvl>
    <w:lvl w:ilvl="5" w:tplc="041A001B" w:tentative="1">
      <w:start w:val="1"/>
      <w:numFmt w:val="lowerRoman"/>
      <w:lvlText w:val="%6."/>
      <w:lvlJc w:val="right"/>
      <w:pPr>
        <w:ind w:left="4067" w:hanging="180"/>
      </w:pPr>
    </w:lvl>
    <w:lvl w:ilvl="6" w:tplc="041A000F" w:tentative="1">
      <w:start w:val="1"/>
      <w:numFmt w:val="decimal"/>
      <w:lvlText w:val="%7."/>
      <w:lvlJc w:val="left"/>
      <w:pPr>
        <w:ind w:left="4787" w:hanging="360"/>
      </w:pPr>
    </w:lvl>
    <w:lvl w:ilvl="7" w:tplc="041A0019" w:tentative="1">
      <w:start w:val="1"/>
      <w:numFmt w:val="lowerLetter"/>
      <w:lvlText w:val="%8."/>
      <w:lvlJc w:val="left"/>
      <w:pPr>
        <w:ind w:left="5507" w:hanging="360"/>
      </w:pPr>
    </w:lvl>
    <w:lvl w:ilvl="8" w:tplc="041A001B" w:tentative="1">
      <w:start w:val="1"/>
      <w:numFmt w:val="lowerRoman"/>
      <w:lvlText w:val="%9."/>
      <w:lvlJc w:val="right"/>
      <w:pPr>
        <w:ind w:left="6227" w:hanging="180"/>
      </w:pPr>
    </w:lvl>
  </w:abstractNum>
  <w:abstractNum w:abstractNumId="104" w15:restartNumberingAfterBreak="0">
    <w:nsid w:val="7C621936"/>
    <w:multiLevelType w:val="multilevel"/>
    <w:tmpl w:val="E748492C"/>
    <w:lvl w:ilvl="0">
      <w:start w:val="1"/>
      <w:numFmt w:val="decimal"/>
      <w:lvlText w:val="%1."/>
      <w:lvlJc w:val="left"/>
      <w:pPr>
        <w:tabs>
          <w:tab w:val="num" w:pos="360"/>
        </w:tabs>
        <w:ind w:left="360" w:hanging="360"/>
      </w:pPr>
      <w:rPr>
        <w:rFonts w:hint="default"/>
        <w:b w:val="0"/>
      </w:rPr>
    </w:lvl>
    <w:lvl w:ilvl="1">
      <w:start w:val="1"/>
      <w:numFmt w:val="decimal"/>
      <w:isLgl/>
      <w:lvlText w:val="%1.%2."/>
      <w:lvlJc w:val="left"/>
      <w:pPr>
        <w:tabs>
          <w:tab w:val="num" w:pos="600"/>
        </w:tabs>
        <w:ind w:left="600" w:hanging="600"/>
      </w:pPr>
      <w:rPr>
        <w:rFonts w:hint="default"/>
      </w:rPr>
    </w:lvl>
    <w:lvl w:ilvl="2">
      <w:start w:val="4"/>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5" w15:restartNumberingAfterBreak="0">
    <w:nsid w:val="7CF93DDE"/>
    <w:multiLevelType w:val="multilevel"/>
    <w:tmpl w:val="4F7EF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7D0D425C"/>
    <w:multiLevelType w:val="hybridMultilevel"/>
    <w:tmpl w:val="24DEDCB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7" w15:restartNumberingAfterBreak="0">
    <w:nsid w:val="7EDA3257"/>
    <w:multiLevelType w:val="hybridMultilevel"/>
    <w:tmpl w:val="0076F3A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286593852">
    <w:abstractNumId w:val="50"/>
  </w:num>
  <w:num w:numId="2" w16cid:durableId="1522402278">
    <w:abstractNumId w:val="30"/>
  </w:num>
  <w:num w:numId="3" w16cid:durableId="1416703143">
    <w:abstractNumId w:val="76"/>
  </w:num>
  <w:num w:numId="4" w16cid:durableId="1792552484">
    <w:abstractNumId w:val="16"/>
  </w:num>
  <w:num w:numId="5" w16cid:durableId="1819111537">
    <w:abstractNumId w:val="66"/>
  </w:num>
  <w:num w:numId="6" w16cid:durableId="292832740">
    <w:abstractNumId w:val="27"/>
  </w:num>
  <w:num w:numId="7" w16cid:durableId="1665815734">
    <w:abstractNumId w:val="104"/>
  </w:num>
  <w:num w:numId="8" w16cid:durableId="2104761972">
    <w:abstractNumId w:val="3"/>
  </w:num>
  <w:num w:numId="9" w16cid:durableId="958727696">
    <w:abstractNumId w:val="23"/>
  </w:num>
  <w:num w:numId="10" w16cid:durableId="1380519766">
    <w:abstractNumId w:val="33"/>
  </w:num>
  <w:num w:numId="11" w16cid:durableId="1374580752">
    <w:abstractNumId w:val="2"/>
  </w:num>
  <w:num w:numId="12" w16cid:durableId="975261819">
    <w:abstractNumId w:val="42"/>
  </w:num>
  <w:num w:numId="13" w16cid:durableId="2020427709">
    <w:abstractNumId w:val="106"/>
  </w:num>
  <w:num w:numId="14" w16cid:durableId="607742270">
    <w:abstractNumId w:val="107"/>
  </w:num>
  <w:num w:numId="15" w16cid:durableId="1526554710">
    <w:abstractNumId w:val="8"/>
  </w:num>
  <w:num w:numId="16" w16cid:durableId="694771612">
    <w:abstractNumId w:val="90"/>
  </w:num>
  <w:num w:numId="17" w16cid:durableId="1781223563">
    <w:abstractNumId w:val="40"/>
  </w:num>
  <w:num w:numId="18" w16cid:durableId="1432316763">
    <w:abstractNumId w:val="89"/>
  </w:num>
  <w:num w:numId="19" w16cid:durableId="332496507">
    <w:abstractNumId w:val="73"/>
  </w:num>
  <w:num w:numId="20" w16cid:durableId="1860125341">
    <w:abstractNumId w:val="67"/>
  </w:num>
  <w:num w:numId="21" w16cid:durableId="749273612">
    <w:abstractNumId w:val="59"/>
  </w:num>
  <w:num w:numId="22" w16cid:durableId="1378973412">
    <w:abstractNumId w:val="85"/>
  </w:num>
  <w:num w:numId="23" w16cid:durableId="1679891964">
    <w:abstractNumId w:val="7"/>
  </w:num>
  <w:num w:numId="24" w16cid:durableId="958801703">
    <w:abstractNumId w:val="48"/>
  </w:num>
  <w:num w:numId="25" w16cid:durableId="1086027501">
    <w:abstractNumId w:val="36"/>
  </w:num>
  <w:num w:numId="26" w16cid:durableId="544753618">
    <w:abstractNumId w:val="4"/>
  </w:num>
  <w:num w:numId="27" w16cid:durableId="794175535">
    <w:abstractNumId w:val="93"/>
  </w:num>
  <w:num w:numId="28" w16cid:durableId="156773864">
    <w:abstractNumId w:val="26"/>
  </w:num>
  <w:num w:numId="29" w16cid:durableId="815032017">
    <w:abstractNumId w:val="10"/>
  </w:num>
  <w:num w:numId="30" w16cid:durableId="547881845">
    <w:abstractNumId w:val="29"/>
  </w:num>
  <w:num w:numId="31" w16cid:durableId="1211914145">
    <w:abstractNumId w:val="20"/>
  </w:num>
  <w:num w:numId="32" w16cid:durableId="395325621">
    <w:abstractNumId w:val="91"/>
  </w:num>
  <w:num w:numId="33" w16cid:durableId="917711053">
    <w:abstractNumId w:val="83"/>
  </w:num>
  <w:num w:numId="34" w16cid:durableId="2138064897">
    <w:abstractNumId w:val="65"/>
  </w:num>
  <w:num w:numId="35" w16cid:durableId="1644698399">
    <w:abstractNumId w:val="32"/>
  </w:num>
  <w:num w:numId="36" w16cid:durableId="379135736">
    <w:abstractNumId w:val="98"/>
  </w:num>
  <w:num w:numId="37" w16cid:durableId="335425136">
    <w:abstractNumId w:val="49"/>
  </w:num>
  <w:num w:numId="38" w16cid:durableId="1146824981">
    <w:abstractNumId w:val="41"/>
  </w:num>
  <w:num w:numId="39" w16cid:durableId="1592932732">
    <w:abstractNumId w:val="15"/>
  </w:num>
  <w:num w:numId="40" w16cid:durableId="1014460341">
    <w:abstractNumId w:val="52"/>
  </w:num>
  <w:num w:numId="41" w16cid:durableId="582570835">
    <w:abstractNumId w:val="51"/>
  </w:num>
  <w:num w:numId="42" w16cid:durableId="1031228939">
    <w:abstractNumId w:val="24"/>
  </w:num>
  <w:num w:numId="43" w16cid:durableId="1108231937">
    <w:abstractNumId w:val="28"/>
  </w:num>
  <w:num w:numId="44" w16cid:durableId="848495076">
    <w:abstractNumId w:val="97"/>
  </w:num>
  <w:num w:numId="45" w16cid:durableId="878782729">
    <w:abstractNumId w:val="6"/>
  </w:num>
  <w:num w:numId="46" w16cid:durableId="1816951800">
    <w:abstractNumId w:val="84"/>
  </w:num>
  <w:num w:numId="47" w16cid:durableId="1113742410">
    <w:abstractNumId w:val="61"/>
  </w:num>
  <w:num w:numId="48" w16cid:durableId="932007478">
    <w:abstractNumId w:val="55"/>
  </w:num>
  <w:num w:numId="49" w16cid:durableId="859316365">
    <w:abstractNumId w:val="70"/>
  </w:num>
  <w:num w:numId="50" w16cid:durableId="335574822">
    <w:abstractNumId w:val="39"/>
  </w:num>
  <w:num w:numId="51" w16cid:durableId="159083431">
    <w:abstractNumId w:val="92"/>
  </w:num>
  <w:num w:numId="52" w16cid:durableId="656615902">
    <w:abstractNumId w:val="72"/>
  </w:num>
  <w:num w:numId="53" w16cid:durableId="1516650816">
    <w:abstractNumId w:val="44"/>
  </w:num>
  <w:num w:numId="54" w16cid:durableId="739209748">
    <w:abstractNumId w:val="9"/>
  </w:num>
  <w:num w:numId="55" w16cid:durableId="973369947">
    <w:abstractNumId w:val="79"/>
  </w:num>
  <w:num w:numId="56" w16cid:durableId="1065450715">
    <w:abstractNumId w:val="38"/>
  </w:num>
  <w:num w:numId="57" w16cid:durableId="976301323">
    <w:abstractNumId w:val="11"/>
  </w:num>
  <w:num w:numId="58" w16cid:durableId="7828112">
    <w:abstractNumId w:val="34"/>
  </w:num>
  <w:num w:numId="59" w16cid:durableId="142016604">
    <w:abstractNumId w:val="63"/>
  </w:num>
  <w:num w:numId="60" w16cid:durableId="557936288">
    <w:abstractNumId w:val="95"/>
  </w:num>
  <w:num w:numId="61" w16cid:durableId="27338095">
    <w:abstractNumId w:val="35"/>
  </w:num>
  <w:num w:numId="62" w16cid:durableId="460735344">
    <w:abstractNumId w:val="101"/>
  </w:num>
  <w:num w:numId="63" w16cid:durableId="2059621147">
    <w:abstractNumId w:val="78"/>
  </w:num>
  <w:num w:numId="64" w16cid:durableId="1083449603">
    <w:abstractNumId w:val="104"/>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646663902">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71735930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87048398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957219702">
    <w:abstractNumId w:val="86"/>
  </w:num>
  <w:num w:numId="69" w16cid:durableId="2095936475">
    <w:abstractNumId w:val="47"/>
  </w:num>
  <w:num w:numId="70" w16cid:durableId="1287201346">
    <w:abstractNumId w:val="54"/>
  </w:num>
  <w:num w:numId="71" w16cid:durableId="256863559">
    <w:abstractNumId w:val="69"/>
  </w:num>
  <w:num w:numId="72" w16cid:durableId="15888478">
    <w:abstractNumId w:val="96"/>
  </w:num>
  <w:num w:numId="73" w16cid:durableId="1186944316">
    <w:abstractNumId w:val="82"/>
  </w:num>
  <w:num w:numId="74" w16cid:durableId="75395965">
    <w:abstractNumId w:val="105"/>
  </w:num>
  <w:num w:numId="75" w16cid:durableId="1636834758">
    <w:abstractNumId w:val="46"/>
  </w:num>
  <w:num w:numId="76" w16cid:durableId="562915040">
    <w:abstractNumId w:val="77"/>
  </w:num>
  <w:num w:numId="77" w16cid:durableId="1242836108">
    <w:abstractNumId w:val="102"/>
  </w:num>
  <w:num w:numId="78" w16cid:durableId="1325820038">
    <w:abstractNumId w:val="14"/>
  </w:num>
  <w:num w:numId="79" w16cid:durableId="875387190">
    <w:abstractNumId w:val="56"/>
  </w:num>
  <w:num w:numId="80" w16cid:durableId="1754083329">
    <w:abstractNumId w:val="25"/>
  </w:num>
  <w:num w:numId="81" w16cid:durableId="1530605543">
    <w:abstractNumId w:val="5"/>
  </w:num>
  <w:num w:numId="82" w16cid:durableId="1753089489">
    <w:abstractNumId w:val="12"/>
    <w:lvlOverride w:ilvl="0">
      <w:startOverride w:val="1"/>
    </w:lvlOverride>
    <w:lvlOverride w:ilvl="1"/>
    <w:lvlOverride w:ilvl="2"/>
    <w:lvlOverride w:ilvl="3"/>
    <w:lvlOverride w:ilvl="4"/>
    <w:lvlOverride w:ilvl="5"/>
    <w:lvlOverride w:ilvl="6"/>
    <w:lvlOverride w:ilvl="7"/>
    <w:lvlOverride w:ilvl="8"/>
  </w:num>
  <w:num w:numId="83" w16cid:durableId="609823527">
    <w:abstractNumId w:val="99"/>
  </w:num>
  <w:num w:numId="84" w16cid:durableId="630478079">
    <w:abstractNumId w:val="37"/>
  </w:num>
  <w:num w:numId="85" w16cid:durableId="1822578099">
    <w:abstractNumId w:val="64"/>
  </w:num>
  <w:num w:numId="86" w16cid:durableId="1347293973">
    <w:abstractNumId w:val="80"/>
  </w:num>
  <w:num w:numId="87" w16cid:durableId="88624360">
    <w:abstractNumId w:val="68"/>
  </w:num>
  <w:num w:numId="88" w16cid:durableId="520432748">
    <w:abstractNumId w:val="53"/>
  </w:num>
  <w:num w:numId="89" w16cid:durableId="1105686553">
    <w:abstractNumId w:val="22"/>
  </w:num>
  <w:num w:numId="90" w16cid:durableId="273947902">
    <w:abstractNumId w:val="62"/>
  </w:num>
  <w:num w:numId="91" w16cid:durableId="1485970437">
    <w:abstractNumId w:val="18"/>
  </w:num>
  <w:num w:numId="92" w16cid:durableId="1817523482">
    <w:abstractNumId w:val="60"/>
  </w:num>
  <w:num w:numId="93" w16cid:durableId="1103527381">
    <w:abstractNumId w:val="17"/>
  </w:num>
  <w:num w:numId="94" w16cid:durableId="885485044">
    <w:abstractNumId w:val="71"/>
  </w:num>
  <w:num w:numId="95" w16cid:durableId="856965532">
    <w:abstractNumId w:val="103"/>
  </w:num>
  <w:num w:numId="96" w16cid:durableId="593831224">
    <w:abstractNumId w:val="19"/>
  </w:num>
  <w:num w:numId="97" w16cid:durableId="84613754">
    <w:abstractNumId w:val="57"/>
  </w:num>
  <w:num w:numId="98" w16cid:durableId="2136832252">
    <w:abstractNumId w:val="45"/>
  </w:num>
  <w:num w:numId="99" w16cid:durableId="374545080">
    <w:abstractNumId w:val="81"/>
  </w:num>
  <w:num w:numId="100" w16cid:durableId="20451288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697462457">
    <w:abstractNumId w:val="31"/>
  </w:num>
  <w:num w:numId="102" w16cid:durableId="1874151366">
    <w:abstractNumId w:val="43"/>
  </w:num>
  <w:num w:numId="103" w16cid:durableId="1300182048">
    <w:abstractNumId w:val="100"/>
  </w:num>
  <w:num w:numId="104" w16cid:durableId="163841187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033730539">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85029013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95757726">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991566851">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E2E"/>
    <w:rsid w:val="00001789"/>
    <w:rsid w:val="00001BA9"/>
    <w:rsid w:val="000022B6"/>
    <w:rsid w:val="000029CB"/>
    <w:rsid w:val="000053D1"/>
    <w:rsid w:val="00015619"/>
    <w:rsid w:val="000247DA"/>
    <w:rsid w:val="00030D32"/>
    <w:rsid w:val="0003675C"/>
    <w:rsid w:val="000404D6"/>
    <w:rsid w:val="0004096D"/>
    <w:rsid w:val="00043BAC"/>
    <w:rsid w:val="00044A4D"/>
    <w:rsid w:val="00045011"/>
    <w:rsid w:val="00050905"/>
    <w:rsid w:val="00054DEE"/>
    <w:rsid w:val="00065CB8"/>
    <w:rsid w:val="00076848"/>
    <w:rsid w:val="00083831"/>
    <w:rsid w:val="000840B3"/>
    <w:rsid w:val="0008561B"/>
    <w:rsid w:val="00086BB0"/>
    <w:rsid w:val="0009020E"/>
    <w:rsid w:val="00096044"/>
    <w:rsid w:val="000A15A5"/>
    <w:rsid w:val="000A5FAD"/>
    <w:rsid w:val="000A79FB"/>
    <w:rsid w:val="000B2D2C"/>
    <w:rsid w:val="000B4AB5"/>
    <w:rsid w:val="000B5064"/>
    <w:rsid w:val="000D37F8"/>
    <w:rsid w:val="000D4E09"/>
    <w:rsid w:val="000D665B"/>
    <w:rsid w:val="000E02E8"/>
    <w:rsid w:val="000E421E"/>
    <w:rsid w:val="000E50AE"/>
    <w:rsid w:val="000E5785"/>
    <w:rsid w:val="000E675C"/>
    <w:rsid w:val="000E6949"/>
    <w:rsid w:val="000E7CA7"/>
    <w:rsid w:val="000F1A10"/>
    <w:rsid w:val="000F1EE1"/>
    <w:rsid w:val="000F57D9"/>
    <w:rsid w:val="000F6E85"/>
    <w:rsid w:val="00107B57"/>
    <w:rsid w:val="00120778"/>
    <w:rsid w:val="001216EA"/>
    <w:rsid w:val="001222A9"/>
    <w:rsid w:val="001223DA"/>
    <w:rsid w:val="00127501"/>
    <w:rsid w:val="00131F52"/>
    <w:rsid w:val="00132C53"/>
    <w:rsid w:val="001421C4"/>
    <w:rsid w:val="00142B05"/>
    <w:rsid w:val="0014341A"/>
    <w:rsid w:val="001457BE"/>
    <w:rsid w:val="00151A64"/>
    <w:rsid w:val="00152CD0"/>
    <w:rsid w:val="00154A0A"/>
    <w:rsid w:val="00160861"/>
    <w:rsid w:val="00161325"/>
    <w:rsid w:val="0016407B"/>
    <w:rsid w:val="00172DF4"/>
    <w:rsid w:val="00184090"/>
    <w:rsid w:val="00190E2A"/>
    <w:rsid w:val="00196481"/>
    <w:rsid w:val="001974E1"/>
    <w:rsid w:val="001A1161"/>
    <w:rsid w:val="001A1FC9"/>
    <w:rsid w:val="001A72E4"/>
    <w:rsid w:val="001B1E49"/>
    <w:rsid w:val="001C3136"/>
    <w:rsid w:val="001C42AA"/>
    <w:rsid w:val="001C7FEE"/>
    <w:rsid w:val="001D276D"/>
    <w:rsid w:val="001D4211"/>
    <w:rsid w:val="001E04FA"/>
    <w:rsid w:val="001E3DFB"/>
    <w:rsid w:val="001E7B89"/>
    <w:rsid w:val="001F51C2"/>
    <w:rsid w:val="001F65C1"/>
    <w:rsid w:val="001F6A00"/>
    <w:rsid w:val="002102DE"/>
    <w:rsid w:val="00210A0D"/>
    <w:rsid w:val="00216B6F"/>
    <w:rsid w:val="002172B1"/>
    <w:rsid w:val="002205E6"/>
    <w:rsid w:val="00222096"/>
    <w:rsid w:val="002264B4"/>
    <w:rsid w:val="00237BCC"/>
    <w:rsid w:val="00241535"/>
    <w:rsid w:val="00244E75"/>
    <w:rsid w:val="00244F4B"/>
    <w:rsid w:val="00256832"/>
    <w:rsid w:val="00256BE9"/>
    <w:rsid w:val="00256C35"/>
    <w:rsid w:val="002652CF"/>
    <w:rsid w:val="00280C20"/>
    <w:rsid w:val="00282981"/>
    <w:rsid w:val="002841D4"/>
    <w:rsid w:val="00295AA9"/>
    <w:rsid w:val="00297A42"/>
    <w:rsid w:val="002A021D"/>
    <w:rsid w:val="002B1E8D"/>
    <w:rsid w:val="002B2FEE"/>
    <w:rsid w:val="002B51AD"/>
    <w:rsid w:val="002B5574"/>
    <w:rsid w:val="002B6923"/>
    <w:rsid w:val="002B7E32"/>
    <w:rsid w:val="002C0FDC"/>
    <w:rsid w:val="002C1FA2"/>
    <w:rsid w:val="002D48DD"/>
    <w:rsid w:val="002D5B02"/>
    <w:rsid w:val="002F215A"/>
    <w:rsid w:val="002F35EE"/>
    <w:rsid w:val="002F47E7"/>
    <w:rsid w:val="00300333"/>
    <w:rsid w:val="00310484"/>
    <w:rsid w:val="0031116F"/>
    <w:rsid w:val="00321BF6"/>
    <w:rsid w:val="003243AE"/>
    <w:rsid w:val="00333E65"/>
    <w:rsid w:val="00336950"/>
    <w:rsid w:val="0033796D"/>
    <w:rsid w:val="00340C27"/>
    <w:rsid w:val="003415F8"/>
    <w:rsid w:val="00343270"/>
    <w:rsid w:val="00343846"/>
    <w:rsid w:val="00351994"/>
    <w:rsid w:val="00354E46"/>
    <w:rsid w:val="003620FF"/>
    <w:rsid w:val="00362CCE"/>
    <w:rsid w:val="0036703C"/>
    <w:rsid w:val="00371DAD"/>
    <w:rsid w:val="00381A62"/>
    <w:rsid w:val="00382909"/>
    <w:rsid w:val="0038354A"/>
    <w:rsid w:val="0038667D"/>
    <w:rsid w:val="0039325B"/>
    <w:rsid w:val="0039661B"/>
    <w:rsid w:val="00397B1E"/>
    <w:rsid w:val="003A07AA"/>
    <w:rsid w:val="003A1C06"/>
    <w:rsid w:val="003A42BE"/>
    <w:rsid w:val="003A433F"/>
    <w:rsid w:val="003A4F71"/>
    <w:rsid w:val="003A4F80"/>
    <w:rsid w:val="003B13C5"/>
    <w:rsid w:val="003B70E5"/>
    <w:rsid w:val="003B7C0C"/>
    <w:rsid w:val="003C5D89"/>
    <w:rsid w:val="003D0504"/>
    <w:rsid w:val="003D11BB"/>
    <w:rsid w:val="003D274F"/>
    <w:rsid w:val="003E046F"/>
    <w:rsid w:val="003E2B69"/>
    <w:rsid w:val="003E738A"/>
    <w:rsid w:val="003F228B"/>
    <w:rsid w:val="003F7F9A"/>
    <w:rsid w:val="00400BD6"/>
    <w:rsid w:val="00406D2E"/>
    <w:rsid w:val="00407E74"/>
    <w:rsid w:val="004131DB"/>
    <w:rsid w:val="00417E23"/>
    <w:rsid w:val="00426012"/>
    <w:rsid w:val="00440A00"/>
    <w:rsid w:val="00447F48"/>
    <w:rsid w:val="00450B7A"/>
    <w:rsid w:val="00455166"/>
    <w:rsid w:val="004563D7"/>
    <w:rsid w:val="00461F80"/>
    <w:rsid w:val="00481108"/>
    <w:rsid w:val="00486A41"/>
    <w:rsid w:val="00486FBA"/>
    <w:rsid w:val="00491856"/>
    <w:rsid w:val="00495A93"/>
    <w:rsid w:val="00497164"/>
    <w:rsid w:val="004A100E"/>
    <w:rsid w:val="004A4023"/>
    <w:rsid w:val="004B1B8C"/>
    <w:rsid w:val="004B24E0"/>
    <w:rsid w:val="004B3007"/>
    <w:rsid w:val="004B7E4D"/>
    <w:rsid w:val="004C11AA"/>
    <w:rsid w:val="004C14A4"/>
    <w:rsid w:val="004C2C5B"/>
    <w:rsid w:val="004D4A6F"/>
    <w:rsid w:val="004E3FDC"/>
    <w:rsid w:val="004E73E5"/>
    <w:rsid w:val="004F2942"/>
    <w:rsid w:val="004F33BD"/>
    <w:rsid w:val="004F4F7D"/>
    <w:rsid w:val="005005C3"/>
    <w:rsid w:val="00503642"/>
    <w:rsid w:val="00505779"/>
    <w:rsid w:val="00510729"/>
    <w:rsid w:val="00511FF2"/>
    <w:rsid w:val="00512447"/>
    <w:rsid w:val="00514D19"/>
    <w:rsid w:val="00514D36"/>
    <w:rsid w:val="005245F6"/>
    <w:rsid w:val="005323D1"/>
    <w:rsid w:val="00534AC3"/>
    <w:rsid w:val="00535B7E"/>
    <w:rsid w:val="00541CA9"/>
    <w:rsid w:val="00544D05"/>
    <w:rsid w:val="00564CDB"/>
    <w:rsid w:val="00573977"/>
    <w:rsid w:val="00573C31"/>
    <w:rsid w:val="0057401D"/>
    <w:rsid w:val="00574B22"/>
    <w:rsid w:val="00577F4F"/>
    <w:rsid w:val="005817D8"/>
    <w:rsid w:val="005845C8"/>
    <w:rsid w:val="00587D5D"/>
    <w:rsid w:val="005931E3"/>
    <w:rsid w:val="005A04F3"/>
    <w:rsid w:val="005A1DE3"/>
    <w:rsid w:val="005C7855"/>
    <w:rsid w:val="005E1BA4"/>
    <w:rsid w:val="005F0C07"/>
    <w:rsid w:val="005F1001"/>
    <w:rsid w:val="005F1050"/>
    <w:rsid w:val="00601C23"/>
    <w:rsid w:val="00612853"/>
    <w:rsid w:val="00614EB2"/>
    <w:rsid w:val="00620774"/>
    <w:rsid w:val="00627B32"/>
    <w:rsid w:val="00630309"/>
    <w:rsid w:val="0063512B"/>
    <w:rsid w:val="00635203"/>
    <w:rsid w:val="0063556F"/>
    <w:rsid w:val="006406D2"/>
    <w:rsid w:val="0064247A"/>
    <w:rsid w:val="0065721D"/>
    <w:rsid w:val="00660603"/>
    <w:rsid w:val="0066066E"/>
    <w:rsid w:val="006638A4"/>
    <w:rsid w:val="00681EE9"/>
    <w:rsid w:val="00684271"/>
    <w:rsid w:val="006849E6"/>
    <w:rsid w:val="006913BF"/>
    <w:rsid w:val="0069615C"/>
    <w:rsid w:val="0069687D"/>
    <w:rsid w:val="006B2BBC"/>
    <w:rsid w:val="006B2F54"/>
    <w:rsid w:val="006B2FC6"/>
    <w:rsid w:val="006B30D0"/>
    <w:rsid w:val="006B3E95"/>
    <w:rsid w:val="006B4F3C"/>
    <w:rsid w:val="006B4FFE"/>
    <w:rsid w:val="006C150E"/>
    <w:rsid w:val="006D2DC3"/>
    <w:rsid w:val="006E1A00"/>
    <w:rsid w:val="006E476C"/>
    <w:rsid w:val="006E59DC"/>
    <w:rsid w:val="006E5E48"/>
    <w:rsid w:val="006E74CB"/>
    <w:rsid w:val="006F12A5"/>
    <w:rsid w:val="00715BBD"/>
    <w:rsid w:val="00720AED"/>
    <w:rsid w:val="00724C19"/>
    <w:rsid w:val="00727BE6"/>
    <w:rsid w:val="00734AC9"/>
    <w:rsid w:val="007505C8"/>
    <w:rsid w:val="007571A6"/>
    <w:rsid w:val="00760C3A"/>
    <w:rsid w:val="00770220"/>
    <w:rsid w:val="007724BF"/>
    <w:rsid w:val="00772FCB"/>
    <w:rsid w:val="0077384B"/>
    <w:rsid w:val="00775193"/>
    <w:rsid w:val="007828F8"/>
    <w:rsid w:val="00783EDC"/>
    <w:rsid w:val="00790E7D"/>
    <w:rsid w:val="00796C58"/>
    <w:rsid w:val="007A75FD"/>
    <w:rsid w:val="007B14AC"/>
    <w:rsid w:val="007B43ED"/>
    <w:rsid w:val="007B4F92"/>
    <w:rsid w:val="007B5EAE"/>
    <w:rsid w:val="007C05BC"/>
    <w:rsid w:val="007C3340"/>
    <w:rsid w:val="007D0CD1"/>
    <w:rsid w:val="007D2631"/>
    <w:rsid w:val="007D4378"/>
    <w:rsid w:val="007E7DDC"/>
    <w:rsid w:val="007F2A7B"/>
    <w:rsid w:val="007F68C8"/>
    <w:rsid w:val="00804353"/>
    <w:rsid w:val="00804D04"/>
    <w:rsid w:val="00807ED9"/>
    <w:rsid w:val="00816CC3"/>
    <w:rsid w:val="00820DD0"/>
    <w:rsid w:val="00826F4D"/>
    <w:rsid w:val="00830554"/>
    <w:rsid w:val="008345F3"/>
    <w:rsid w:val="00834A86"/>
    <w:rsid w:val="00840765"/>
    <w:rsid w:val="00845C4F"/>
    <w:rsid w:val="00846D60"/>
    <w:rsid w:val="00857BAD"/>
    <w:rsid w:val="00857F3D"/>
    <w:rsid w:val="008610CE"/>
    <w:rsid w:val="00870522"/>
    <w:rsid w:val="008738E2"/>
    <w:rsid w:val="00880570"/>
    <w:rsid w:val="00882F9B"/>
    <w:rsid w:val="0088310F"/>
    <w:rsid w:val="00884B46"/>
    <w:rsid w:val="00886793"/>
    <w:rsid w:val="00891E8C"/>
    <w:rsid w:val="00893F29"/>
    <w:rsid w:val="008942B3"/>
    <w:rsid w:val="008A6905"/>
    <w:rsid w:val="008A765D"/>
    <w:rsid w:val="008A7E29"/>
    <w:rsid w:val="008B28BD"/>
    <w:rsid w:val="008B34AF"/>
    <w:rsid w:val="008C2954"/>
    <w:rsid w:val="008C425E"/>
    <w:rsid w:val="008C591D"/>
    <w:rsid w:val="008C6D13"/>
    <w:rsid w:val="008C7185"/>
    <w:rsid w:val="008D7BA9"/>
    <w:rsid w:val="008D7D66"/>
    <w:rsid w:val="008F4347"/>
    <w:rsid w:val="008F5394"/>
    <w:rsid w:val="009138DB"/>
    <w:rsid w:val="00917638"/>
    <w:rsid w:val="0092199F"/>
    <w:rsid w:val="00921E2E"/>
    <w:rsid w:val="00922A95"/>
    <w:rsid w:val="00924243"/>
    <w:rsid w:val="0092751B"/>
    <w:rsid w:val="0093171C"/>
    <w:rsid w:val="009331E0"/>
    <w:rsid w:val="00951B31"/>
    <w:rsid w:val="00952092"/>
    <w:rsid w:val="009568E0"/>
    <w:rsid w:val="00972885"/>
    <w:rsid w:val="00977220"/>
    <w:rsid w:val="009813D7"/>
    <w:rsid w:val="0098327C"/>
    <w:rsid w:val="009953FB"/>
    <w:rsid w:val="009B7C94"/>
    <w:rsid w:val="009D049F"/>
    <w:rsid w:val="009D774A"/>
    <w:rsid w:val="009E5E8A"/>
    <w:rsid w:val="009F0C72"/>
    <w:rsid w:val="009F20EE"/>
    <w:rsid w:val="009F290E"/>
    <w:rsid w:val="00A034E3"/>
    <w:rsid w:val="00A07ED3"/>
    <w:rsid w:val="00A10F70"/>
    <w:rsid w:val="00A12846"/>
    <w:rsid w:val="00A1437C"/>
    <w:rsid w:val="00A16334"/>
    <w:rsid w:val="00A20E00"/>
    <w:rsid w:val="00A232C5"/>
    <w:rsid w:val="00A2411D"/>
    <w:rsid w:val="00A26C52"/>
    <w:rsid w:val="00A277ED"/>
    <w:rsid w:val="00A31664"/>
    <w:rsid w:val="00A3518E"/>
    <w:rsid w:val="00A421F5"/>
    <w:rsid w:val="00A44D99"/>
    <w:rsid w:val="00A500C0"/>
    <w:rsid w:val="00A503DC"/>
    <w:rsid w:val="00A52301"/>
    <w:rsid w:val="00A52FF6"/>
    <w:rsid w:val="00A57714"/>
    <w:rsid w:val="00A60C20"/>
    <w:rsid w:val="00A61D16"/>
    <w:rsid w:val="00A675B4"/>
    <w:rsid w:val="00A71A34"/>
    <w:rsid w:val="00A73EF9"/>
    <w:rsid w:val="00A748E6"/>
    <w:rsid w:val="00A87961"/>
    <w:rsid w:val="00A95330"/>
    <w:rsid w:val="00A95347"/>
    <w:rsid w:val="00AA1471"/>
    <w:rsid w:val="00AA15D3"/>
    <w:rsid w:val="00AB127E"/>
    <w:rsid w:val="00AB32A5"/>
    <w:rsid w:val="00AC54E2"/>
    <w:rsid w:val="00AC6110"/>
    <w:rsid w:val="00AD67E5"/>
    <w:rsid w:val="00AE00CA"/>
    <w:rsid w:val="00AE39D3"/>
    <w:rsid w:val="00AF0D71"/>
    <w:rsid w:val="00B0124F"/>
    <w:rsid w:val="00B06570"/>
    <w:rsid w:val="00B07393"/>
    <w:rsid w:val="00B075FD"/>
    <w:rsid w:val="00B10E4C"/>
    <w:rsid w:val="00B13415"/>
    <w:rsid w:val="00B17183"/>
    <w:rsid w:val="00B2232B"/>
    <w:rsid w:val="00B24B36"/>
    <w:rsid w:val="00B25532"/>
    <w:rsid w:val="00B27328"/>
    <w:rsid w:val="00B30379"/>
    <w:rsid w:val="00B31C4B"/>
    <w:rsid w:val="00B31CAF"/>
    <w:rsid w:val="00B336DC"/>
    <w:rsid w:val="00B36357"/>
    <w:rsid w:val="00B43FB4"/>
    <w:rsid w:val="00B453D3"/>
    <w:rsid w:val="00B45C47"/>
    <w:rsid w:val="00B6292C"/>
    <w:rsid w:val="00B63FDF"/>
    <w:rsid w:val="00B64772"/>
    <w:rsid w:val="00B7054A"/>
    <w:rsid w:val="00B71FDE"/>
    <w:rsid w:val="00B75C29"/>
    <w:rsid w:val="00B77450"/>
    <w:rsid w:val="00B809AF"/>
    <w:rsid w:val="00B81825"/>
    <w:rsid w:val="00B83CC2"/>
    <w:rsid w:val="00B843F1"/>
    <w:rsid w:val="00B857A8"/>
    <w:rsid w:val="00B877DD"/>
    <w:rsid w:val="00B96304"/>
    <w:rsid w:val="00BA30FF"/>
    <w:rsid w:val="00BA381A"/>
    <w:rsid w:val="00BA5BF3"/>
    <w:rsid w:val="00BB012B"/>
    <w:rsid w:val="00BB447A"/>
    <w:rsid w:val="00BB5099"/>
    <w:rsid w:val="00BB64BF"/>
    <w:rsid w:val="00BD2EC1"/>
    <w:rsid w:val="00BD37A1"/>
    <w:rsid w:val="00BE4D96"/>
    <w:rsid w:val="00BF5112"/>
    <w:rsid w:val="00BF5E06"/>
    <w:rsid w:val="00BF6E0F"/>
    <w:rsid w:val="00C02AF5"/>
    <w:rsid w:val="00C03106"/>
    <w:rsid w:val="00C034A7"/>
    <w:rsid w:val="00C034B1"/>
    <w:rsid w:val="00C06045"/>
    <w:rsid w:val="00C106A0"/>
    <w:rsid w:val="00C21AA6"/>
    <w:rsid w:val="00C34729"/>
    <w:rsid w:val="00C52ACC"/>
    <w:rsid w:val="00C52F47"/>
    <w:rsid w:val="00C6161B"/>
    <w:rsid w:val="00C61B0F"/>
    <w:rsid w:val="00C63092"/>
    <w:rsid w:val="00C72659"/>
    <w:rsid w:val="00C76B98"/>
    <w:rsid w:val="00C77768"/>
    <w:rsid w:val="00C8721E"/>
    <w:rsid w:val="00C93D6C"/>
    <w:rsid w:val="00C9480F"/>
    <w:rsid w:val="00C94E40"/>
    <w:rsid w:val="00C97CBC"/>
    <w:rsid w:val="00CA23FB"/>
    <w:rsid w:val="00CA3203"/>
    <w:rsid w:val="00CA540E"/>
    <w:rsid w:val="00CB02F8"/>
    <w:rsid w:val="00CB297F"/>
    <w:rsid w:val="00CC2DA6"/>
    <w:rsid w:val="00CC3F12"/>
    <w:rsid w:val="00CC5EB6"/>
    <w:rsid w:val="00CE03C6"/>
    <w:rsid w:val="00CE1FD6"/>
    <w:rsid w:val="00CE3D99"/>
    <w:rsid w:val="00CE751C"/>
    <w:rsid w:val="00D0147D"/>
    <w:rsid w:val="00D01C7E"/>
    <w:rsid w:val="00D0399C"/>
    <w:rsid w:val="00D061FC"/>
    <w:rsid w:val="00D259BD"/>
    <w:rsid w:val="00D30242"/>
    <w:rsid w:val="00D41DC9"/>
    <w:rsid w:val="00D57882"/>
    <w:rsid w:val="00D63EF4"/>
    <w:rsid w:val="00D6568B"/>
    <w:rsid w:val="00D74364"/>
    <w:rsid w:val="00D87BC9"/>
    <w:rsid w:val="00D90F6A"/>
    <w:rsid w:val="00D913A3"/>
    <w:rsid w:val="00D9246F"/>
    <w:rsid w:val="00DA3FD1"/>
    <w:rsid w:val="00DB0462"/>
    <w:rsid w:val="00DB2661"/>
    <w:rsid w:val="00DB76CD"/>
    <w:rsid w:val="00DC37CB"/>
    <w:rsid w:val="00DC4673"/>
    <w:rsid w:val="00DC5B8F"/>
    <w:rsid w:val="00DC7619"/>
    <w:rsid w:val="00DD1ECD"/>
    <w:rsid w:val="00DF019D"/>
    <w:rsid w:val="00DF0864"/>
    <w:rsid w:val="00DF3BC9"/>
    <w:rsid w:val="00DF3BF1"/>
    <w:rsid w:val="00DF472F"/>
    <w:rsid w:val="00DF4CE5"/>
    <w:rsid w:val="00E0706D"/>
    <w:rsid w:val="00E074DB"/>
    <w:rsid w:val="00E07D8B"/>
    <w:rsid w:val="00E108DD"/>
    <w:rsid w:val="00E15198"/>
    <w:rsid w:val="00E20AA8"/>
    <w:rsid w:val="00E23CC1"/>
    <w:rsid w:val="00E25231"/>
    <w:rsid w:val="00E25602"/>
    <w:rsid w:val="00E34C74"/>
    <w:rsid w:val="00E41BE6"/>
    <w:rsid w:val="00E41EE4"/>
    <w:rsid w:val="00E41F45"/>
    <w:rsid w:val="00E447CC"/>
    <w:rsid w:val="00E46651"/>
    <w:rsid w:val="00E473D6"/>
    <w:rsid w:val="00E51666"/>
    <w:rsid w:val="00E60C8B"/>
    <w:rsid w:val="00E62D08"/>
    <w:rsid w:val="00E62F3F"/>
    <w:rsid w:val="00E65339"/>
    <w:rsid w:val="00E70DFA"/>
    <w:rsid w:val="00E71F3A"/>
    <w:rsid w:val="00E72267"/>
    <w:rsid w:val="00E76773"/>
    <w:rsid w:val="00E83929"/>
    <w:rsid w:val="00E91AAA"/>
    <w:rsid w:val="00E93B72"/>
    <w:rsid w:val="00E96220"/>
    <w:rsid w:val="00E970DE"/>
    <w:rsid w:val="00EB7351"/>
    <w:rsid w:val="00EB75E1"/>
    <w:rsid w:val="00EB7E2C"/>
    <w:rsid w:val="00EC1D2D"/>
    <w:rsid w:val="00EC6EC3"/>
    <w:rsid w:val="00ED1945"/>
    <w:rsid w:val="00EE211C"/>
    <w:rsid w:val="00EE4D07"/>
    <w:rsid w:val="00EF3ACA"/>
    <w:rsid w:val="00EF3C31"/>
    <w:rsid w:val="00F04088"/>
    <w:rsid w:val="00F04B06"/>
    <w:rsid w:val="00F105D1"/>
    <w:rsid w:val="00F20098"/>
    <w:rsid w:val="00F2175A"/>
    <w:rsid w:val="00F23CC9"/>
    <w:rsid w:val="00F27E4E"/>
    <w:rsid w:val="00F31554"/>
    <w:rsid w:val="00F33CC6"/>
    <w:rsid w:val="00F354AD"/>
    <w:rsid w:val="00F356AA"/>
    <w:rsid w:val="00F37354"/>
    <w:rsid w:val="00F40B67"/>
    <w:rsid w:val="00F436E1"/>
    <w:rsid w:val="00F44970"/>
    <w:rsid w:val="00F4609A"/>
    <w:rsid w:val="00F46EE1"/>
    <w:rsid w:val="00F4792C"/>
    <w:rsid w:val="00F50454"/>
    <w:rsid w:val="00F52CEB"/>
    <w:rsid w:val="00F532A8"/>
    <w:rsid w:val="00F558EE"/>
    <w:rsid w:val="00F63723"/>
    <w:rsid w:val="00F63ED6"/>
    <w:rsid w:val="00F710EA"/>
    <w:rsid w:val="00F71179"/>
    <w:rsid w:val="00F7318B"/>
    <w:rsid w:val="00F73829"/>
    <w:rsid w:val="00F83DAB"/>
    <w:rsid w:val="00F857AC"/>
    <w:rsid w:val="00F87C77"/>
    <w:rsid w:val="00F901A6"/>
    <w:rsid w:val="00F92392"/>
    <w:rsid w:val="00F942C2"/>
    <w:rsid w:val="00FA0E3D"/>
    <w:rsid w:val="00FA3847"/>
    <w:rsid w:val="00FA72B4"/>
    <w:rsid w:val="00FB1A4C"/>
    <w:rsid w:val="00FB6606"/>
    <w:rsid w:val="00FC2807"/>
    <w:rsid w:val="00FC4004"/>
    <w:rsid w:val="00FC5508"/>
    <w:rsid w:val="00FC5FBF"/>
    <w:rsid w:val="00FD3975"/>
    <w:rsid w:val="00FD56D8"/>
    <w:rsid w:val="00FE4028"/>
    <w:rsid w:val="00FE4704"/>
    <w:rsid w:val="00FF435D"/>
    <w:rsid w:val="00FF6BDC"/>
    <w:rsid w:val="00FF7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7B3C3"/>
  <w15:docId w15:val="{22AE18E1-0782-4191-8563-DA9969EB4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A7B"/>
  </w:style>
  <w:style w:type="paragraph" w:styleId="Naslov1">
    <w:name w:val="heading 1"/>
    <w:basedOn w:val="Normal"/>
    <w:next w:val="Normal"/>
    <w:link w:val="Naslov1Char"/>
    <w:qFormat/>
    <w:rsid w:val="00921E2E"/>
    <w:pPr>
      <w:keepNext/>
      <w:spacing w:before="240" w:after="60" w:line="240" w:lineRule="auto"/>
      <w:outlineLvl w:val="0"/>
    </w:pPr>
    <w:rPr>
      <w:rFonts w:ascii="Arial" w:eastAsia="Times New Roman" w:hAnsi="Arial" w:cs="Arial"/>
      <w:b/>
      <w:bCs/>
      <w:kern w:val="32"/>
      <w:sz w:val="32"/>
      <w:szCs w:val="32"/>
      <w:lang w:val="hr-HR" w:eastAsia="hr-HR"/>
    </w:rPr>
  </w:style>
  <w:style w:type="paragraph" w:styleId="Naslov2">
    <w:name w:val="heading 2"/>
    <w:basedOn w:val="Normal"/>
    <w:next w:val="Normal"/>
    <w:link w:val="Naslov2Char"/>
    <w:uiPriority w:val="9"/>
    <w:qFormat/>
    <w:rsid w:val="00921E2E"/>
    <w:pPr>
      <w:keepNext/>
      <w:spacing w:before="240" w:after="60" w:line="240" w:lineRule="auto"/>
      <w:outlineLvl w:val="1"/>
    </w:pPr>
    <w:rPr>
      <w:rFonts w:ascii="Arial" w:eastAsia="Times New Roman" w:hAnsi="Arial" w:cs="Arial"/>
      <w:b/>
      <w:bCs/>
      <w:i/>
      <w:iCs/>
      <w:sz w:val="28"/>
      <w:szCs w:val="28"/>
      <w:lang w:val="hr-HR"/>
    </w:rPr>
  </w:style>
  <w:style w:type="paragraph" w:styleId="Naslov3">
    <w:name w:val="heading 3"/>
    <w:aliases w:val=" Char,Char"/>
    <w:basedOn w:val="Normal"/>
    <w:next w:val="Normal"/>
    <w:link w:val="Naslov3Char"/>
    <w:qFormat/>
    <w:rsid w:val="00921E2E"/>
    <w:pPr>
      <w:keepNext/>
      <w:numPr>
        <w:ilvl w:val="2"/>
        <w:numId w:val="2"/>
      </w:numPr>
      <w:tabs>
        <w:tab w:val="clear" w:pos="432"/>
        <w:tab w:val="num" w:pos="720"/>
      </w:tabs>
      <w:spacing w:before="240" w:after="60" w:line="240" w:lineRule="auto"/>
      <w:ind w:left="720"/>
      <w:outlineLvl w:val="2"/>
    </w:pPr>
    <w:rPr>
      <w:rFonts w:ascii="Arial" w:eastAsia="Times New Roman" w:hAnsi="Arial" w:cs="Arial"/>
      <w:b/>
      <w:bCs/>
      <w:sz w:val="26"/>
      <w:szCs w:val="26"/>
      <w:lang w:val="hr-HR" w:eastAsia="hr-HR"/>
    </w:rPr>
  </w:style>
  <w:style w:type="paragraph" w:styleId="Naslov4">
    <w:name w:val="heading 4"/>
    <w:basedOn w:val="Normal"/>
    <w:next w:val="Normal"/>
    <w:link w:val="Naslov4Char"/>
    <w:qFormat/>
    <w:rsid w:val="00921E2E"/>
    <w:pPr>
      <w:keepNext/>
      <w:numPr>
        <w:ilvl w:val="3"/>
        <w:numId w:val="2"/>
      </w:numPr>
      <w:spacing w:before="240" w:after="60" w:line="240" w:lineRule="auto"/>
      <w:outlineLvl w:val="3"/>
    </w:pPr>
    <w:rPr>
      <w:rFonts w:ascii="Times New Roman" w:eastAsia="Times New Roman" w:hAnsi="Times New Roman" w:cs="Times New Roman"/>
      <w:b/>
      <w:bCs/>
      <w:sz w:val="28"/>
      <w:szCs w:val="28"/>
      <w:lang w:val="hr-HR"/>
    </w:rPr>
  </w:style>
  <w:style w:type="paragraph" w:styleId="Naslov5">
    <w:name w:val="heading 5"/>
    <w:basedOn w:val="Normal"/>
    <w:next w:val="Normal"/>
    <w:link w:val="Naslov5Char"/>
    <w:qFormat/>
    <w:rsid w:val="00921E2E"/>
    <w:pPr>
      <w:numPr>
        <w:ilvl w:val="4"/>
        <w:numId w:val="2"/>
      </w:numPr>
      <w:spacing w:before="240" w:after="60" w:line="240" w:lineRule="auto"/>
      <w:outlineLvl w:val="4"/>
    </w:pPr>
    <w:rPr>
      <w:rFonts w:ascii="Times New Roman" w:eastAsia="Times New Roman" w:hAnsi="Times New Roman" w:cs="Times New Roman"/>
      <w:b/>
      <w:bCs/>
      <w:i/>
      <w:iCs/>
      <w:sz w:val="26"/>
      <w:szCs w:val="26"/>
      <w:lang w:val="hr-HR" w:eastAsia="hr-HR"/>
    </w:rPr>
  </w:style>
  <w:style w:type="paragraph" w:styleId="Naslov6">
    <w:name w:val="heading 6"/>
    <w:basedOn w:val="Normal"/>
    <w:next w:val="Normal"/>
    <w:link w:val="Naslov6Char"/>
    <w:qFormat/>
    <w:rsid w:val="00921E2E"/>
    <w:pPr>
      <w:numPr>
        <w:ilvl w:val="5"/>
        <w:numId w:val="2"/>
      </w:numPr>
      <w:tabs>
        <w:tab w:val="clear" w:pos="432"/>
        <w:tab w:val="num" w:pos="1152"/>
      </w:tabs>
      <w:spacing w:before="240" w:after="60" w:line="240" w:lineRule="auto"/>
      <w:ind w:left="1152"/>
      <w:outlineLvl w:val="5"/>
    </w:pPr>
    <w:rPr>
      <w:rFonts w:ascii="Times New Roman" w:eastAsia="Times New Roman" w:hAnsi="Times New Roman" w:cs="Times New Roman"/>
      <w:b/>
      <w:bCs/>
      <w:lang w:val="hr-HR" w:eastAsia="hr-HR"/>
    </w:rPr>
  </w:style>
  <w:style w:type="paragraph" w:styleId="Naslov7">
    <w:name w:val="heading 7"/>
    <w:basedOn w:val="Normal"/>
    <w:next w:val="Normal"/>
    <w:link w:val="Naslov7Char"/>
    <w:qFormat/>
    <w:rsid w:val="00921E2E"/>
    <w:pPr>
      <w:numPr>
        <w:ilvl w:val="6"/>
        <w:numId w:val="2"/>
      </w:numPr>
      <w:spacing w:before="240" w:after="60" w:line="240" w:lineRule="auto"/>
      <w:outlineLvl w:val="6"/>
    </w:pPr>
    <w:rPr>
      <w:rFonts w:ascii="Times New Roman" w:eastAsia="Times New Roman" w:hAnsi="Times New Roman" w:cs="Times New Roman"/>
      <w:sz w:val="24"/>
      <w:szCs w:val="24"/>
      <w:lang w:val="hr-HR" w:eastAsia="hr-HR"/>
    </w:rPr>
  </w:style>
  <w:style w:type="paragraph" w:styleId="Naslov8">
    <w:name w:val="heading 8"/>
    <w:basedOn w:val="Normal"/>
    <w:next w:val="Normal"/>
    <w:link w:val="Naslov8Char"/>
    <w:qFormat/>
    <w:rsid w:val="00921E2E"/>
    <w:pPr>
      <w:numPr>
        <w:ilvl w:val="7"/>
        <w:numId w:val="2"/>
      </w:numPr>
      <w:spacing w:before="240" w:after="60" w:line="240" w:lineRule="auto"/>
      <w:outlineLvl w:val="7"/>
    </w:pPr>
    <w:rPr>
      <w:rFonts w:ascii="Times New Roman" w:eastAsia="Times New Roman" w:hAnsi="Times New Roman" w:cs="Times New Roman"/>
      <w:i/>
      <w:iCs/>
      <w:sz w:val="24"/>
      <w:szCs w:val="24"/>
      <w:lang w:val="hr-HR"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921E2E"/>
    <w:rPr>
      <w:rFonts w:ascii="Arial" w:eastAsia="Times New Roman" w:hAnsi="Arial" w:cs="Arial"/>
      <w:b/>
      <w:bCs/>
      <w:kern w:val="32"/>
      <w:sz w:val="32"/>
      <w:szCs w:val="32"/>
      <w:lang w:val="hr-HR" w:eastAsia="hr-HR"/>
    </w:rPr>
  </w:style>
  <w:style w:type="character" w:customStyle="1" w:styleId="Naslov2Char">
    <w:name w:val="Naslov 2 Char"/>
    <w:basedOn w:val="Zadanifontodlomka"/>
    <w:link w:val="Naslov2"/>
    <w:uiPriority w:val="9"/>
    <w:rsid w:val="00921E2E"/>
    <w:rPr>
      <w:rFonts w:ascii="Arial" w:eastAsia="Times New Roman" w:hAnsi="Arial" w:cs="Arial"/>
      <w:b/>
      <w:bCs/>
      <w:i/>
      <w:iCs/>
      <w:sz w:val="28"/>
      <w:szCs w:val="28"/>
      <w:lang w:val="hr-HR"/>
    </w:rPr>
  </w:style>
  <w:style w:type="character" w:customStyle="1" w:styleId="Naslov3Char">
    <w:name w:val="Naslov 3 Char"/>
    <w:aliases w:val=" Char Char,Char Char"/>
    <w:basedOn w:val="Zadanifontodlomka"/>
    <w:link w:val="Naslov3"/>
    <w:rsid w:val="00921E2E"/>
    <w:rPr>
      <w:rFonts w:ascii="Arial" w:eastAsia="Times New Roman" w:hAnsi="Arial" w:cs="Arial"/>
      <w:b/>
      <w:bCs/>
      <w:sz w:val="26"/>
      <w:szCs w:val="26"/>
      <w:lang w:val="hr-HR" w:eastAsia="hr-HR"/>
    </w:rPr>
  </w:style>
  <w:style w:type="character" w:customStyle="1" w:styleId="Naslov4Char">
    <w:name w:val="Naslov 4 Char"/>
    <w:basedOn w:val="Zadanifontodlomka"/>
    <w:link w:val="Naslov4"/>
    <w:rsid w:val="00921E2E"/>
    <w:rPr>
      <w:rFonts w:ascii="Times New Roman" w:eastAsia="Times New Roman" w:hAnsi="Times New Roman" w:cs="Times New Roman"/>
      <w:b/>
      <w:bCs/>
      <w:sz w:val="28"/>
      <w:szCs w:val="28"/>
      <w:lang w:val="hr-HR"/>
    </w:rPr>
  </w:style>
  <w:style w:type="character" w:customStyle="1" w:styleId="Naslov5Char">
    <w:name w:val="Naslov 5 Char"/>
    <w:basedOn w:val="Zadanifontodlomka"/>
    <w:link w:val="Naslov5"/>
    <w:rsid w:val="00921E2E"/>
    <w:rPr>
      <w:rFonts w:ascii="Times New Roman" w:eastAsia="Times New Roman" w:hAnsi="Times New Roman" w:cs="Times New Roman"/>
      <w:b/>
      <w:bCs/>
      <w:i/>
      <w:iCs/>
      <w:sz w:val="26"/>
      <w:szCs w:val="26"/>
      <w:lang w:val="hr-HR" w:eastAsia="hr-HR"/>
    </w:rPr>
  </w:style>
  <w:style w:type="character" w:customStyle="1" w:styleId="Naslov6Char">
    <w:name w:val="Naslov 6 Char"/>
    <w:basedOn w:val="Zadanifontodlomka"/>
    <w:link w:val="Naslov6"/>
    <w:rsid w:val="00921E2E"/>
    <w:rPr>
      <w:rFonts w:ascii="Times New Roman" w:eastAsia="Times New Roman" w:hAnsi="Times New Roman" w:cs="Times New Roman"/>
      <w:b/>
      <w:bCs/>
      <w:lang w:val="hr-HR" w:eastAsia="hr-HR"/>
    </w:rPr>
  </w:style>
  <w:style w:type="character" w:customStyle="1" w:styleId="Naslov7Char">
    <w:name w:val="Naslov 7 Char"/>
    <w:basedOn w:val="Zadanifontodlomka"/>
    <w:link w:val="Naslov7"/>
    <w:rsid w:val="00921E2E"/>
    <w:rPr>
      <w:rFonts w:ascii="Times New Roman" w:eastAsia="Times New Roman" w:hAnsi="Times New Roman" w:cs="Times New Roman"/>
      <w:sz w:val="24"/>
      <w:szCs w:val="24"/>
      <w:lang w:val="hr-HR" w:eastAsia="hr-HR"/>
    </w:rPr>
  </w:style>
  <w:style w:type="character" w:customStyle="1" w:styleId="Naslov8Char">
    <w:name w:val="Naslov 8 Char"/>
    <w:basedOn w:val="Zadanifontodlomka"/>
    <w:link w:val="Naslov8"/>
    <w:rsid w:val="00921E2E"/>
    <w:rPr>
      <w:rFonts w:ascii="Times New Roman" w:eastAsia="Times New Roman" w:hAnsi="Times New Roman" w:cs="Times New Roman"/>
      <w:i/>
      <w:iCs/>
      <w:sz w:val="24"/>
      <w:szCs w:val="24"/>
      <w:lang w:val="hr-HR" w:eastAsia="hr-HR"/>
    </w:rPr>
  </w:style>
  <w:style w:type="numbering" w:customStyle="1" w:styleId="NoList1">
    <w:name w:val="No List1"/>
    <w:next w:val="Bezpopisa"/>
    <w:uiPriority w:val="99"/>
    <w:semiHidden/>
    <w:unhideWhenUsed/>
    <w:rsid w:val="00921E2E"/>
  </w:style>
  <w:style w:type="character" w:styleId="Hiperveza">
    <w:name w:val="Hyperlink"/>
    <w:qFormat/>
    <w:rsid w:val="00921E2E"/>
    <w:rPr>
      <w:color w:val="0000FF"/>
      <w:u w:val="single"/>
    </w:rPr>
  </w:style>
  <w:style w:type="paragraph" w:styleId="Naslov">
    <w:name w:val="Title"/>
    <w:basedOn w:val="Normal"/>
    <w:link w:val="NaslovChar"/>
    <w:uiPriority w:val="10"/>
    <w:qFormat/>
    <w:rsid w:val="00921E2E"/>
    <w:pPr>
      <w:spacing w:before="60" w:after="0" w:line="360" w:lineRule="auto"/>
      <w:ind w:firstLine="709"/>
      <w:jc w:val="center"/>
    </w:pPr>
    <w:rPr>
      <w:rFonts w:ascii="Times New Roman" w:eastAsia="Times New Roman" w:hAnsi="Times New Roman" w:cs="Times New Roman"/>
      <w:b/>
      <w:bCs/>
      <w:sz w:val="28"/>
      <w:szCs w:val="24"/>
      <w:lang w:val="hr-HR" w:eastAsia="hr-HR"/>
    </w:rPr>
  </w:style>
  <w:style w:type="character" w:customStyle="1" w:styleId="NaslovChar">
    <w:name w:val="Naslov Char"/>
    <w:basedOn w:val="Zadanifontodlomka"/>
    <w:link w:val="Naslov"/>
    <w:uiPriority w:val="10"/>
    <w:rsid w:val="00921E2E"/>
    <w:rPr>
      <w:rFonts w:ascii="Times New Roman" w:eastAsia="Times New Roman" w:hAnsi="Times New Roman" w:cs="Times New Roman"/>
      <w:b/>
      <w:bCs/>
      <w:sz w:val="28"/>
      <w:szCs w:val="24"/>
      <w:lang w:val="hr-HR" w:eastAsia="hr-HR"/>
    </w:rPr>
  </w:style>
  <w:style w:type="paragraph" w:styleId="StandardWeb">
    <w:name w:val="Normal (Web)"/>
    <w:basedOn w:val="Normal"/>
    <w:link w:val="StandardWebChar"/>
    <w:uiPriority w:val="99"/>
    <w:rsid w:val="00921E2E"/>
    <w:pPr>
      <w:spacing w:after="240" w:line="336" w:lineRule="atLeast"/>
    </w:pPr>
    <w:rPr>
      <w:rFonts w:ascii="Arial" w:eastAsia="Times New Roman" w:hAnsi="Arial" w:cs="Arial"/>
      <w:color w:val="000000"/>
      <w:sz w:val="24"/>
      <w:szCs w:val="24"/>
      <w:lang w:val="hr-HR" w:eastAsia="hr-HR"/>
    </w:rPr>
  </w:style>
  <w:style w:type="character" w:customStyle="1" w:styleId="StandardWebChar">
    <w:name w:val="Standard (Web) Char"/>
    <w:link w:val="StandardWeb"/>
    <w:uiPriority w:val="99"/>
    <w:rsid w:val="00921E2E"/>
    <w:rPr>
      <w:rFonts w:ascii="Arial" w:eastAsia="Times New Roman" w:hAnsi="Arial" w:cs="Arial"/>
      <w:color w:val="000000"/>
      <w:sz w:val="24"/>
      <w:szCs w:val="24"/>
      <w:lang w:val="hr-HR" w:eastAsia="hr-HR"/>
    </w:rPr>
  </w:style>
  <w:style w:type="character" w:styleId="Naglaeno">
    <w:name w:val="Strong"/>
    <w:qFormat/>
    <w:rsid w:val="00921E2E"/>
    <w:rPr>
      <w:b/>
      <w:bCs/>
    </w:rPr>
  </w:style>
  <w:style w:type="paragraph" w:styleId="Podnoje">
    <w:name w:val="footer"/>
    <w:basedOn w:val="Normal"/>
    <w:link w:val="PodnojeChar"/>
    <w:uiPriority w:val="99"/>
    <w:rsid w:val="00921E2E"/>
    <w:pPr>
      <w:tabs>
        <w:tab w:val="center" w:pos="4536"/>
        <w:tab w:val="right" w:pos="9072"/>
      </w:tabs>
      <w:spacing w:after="0" w:line="240" w:lineRule="auto"/>
    </w:pPr>
    <w:rPr>
      <w:rFonts w:ascii="Times New Roman" w:eastAsia="Times New Roman" w:hAnsi="Times New Roman" w:cs="Times New Roman"/>
      <w:sz w:val="24"/>
      <w:szCs w:val="24"/>
      <w:lang w:val="hr-HR" w:eastAsia="hr-HR"/>
    </w:rPr>
  </w:style>
  <w:style w:type="character" w:customStyle="1" w:styleId="PodnojeChar">
    <w:name w:val="Podnožje Char"/>
    <w:basedOn w:val="Zadanifontodlomka"/>
    <w:link w:val="Podnoje"/>
    <w:uiPriority w:val="99"/>
    <w:rsid w:val="00921E2E"/>
    <w:rPr>
      <w:rFonts w:ascii="Times New Roman" w:eastAsia="Times New Roman" w:hAnsi="Times New Roman" w:cs="Times New Roman"/>
      <w:sz w:val="24"/>
      <w:szCs w:val="24"/>
      <w:lang w:val="hr-HR" w:eastAsia="hr-HR"/>
    </w:rPr>
  </w:style>
  <w:style w:type="character" w:styleId="Brojstranice">
    <w:name w:val="page number"/>
    <w:basedOn w:val="Zadanifontodlomka"/>
    <w:rsid w:val="00921E2E"/>
  </w:style>
  <w:style w:type="character" w:styleId="Istaknuto">
    <w:name w:val="Emphasis"/>
    <w:qFormat/>
    <w:rsid w:val="00921E2E"/>
    <w:rPr>
      <w:i/>
      <w:iCs/>
    </w:rPr>
  </w:style>
  <w:style w:type="paragraph" w:customStyle="1" w:styleId="NormalWeb1">
    <w:name w:val="Normal (Web)1"/>
    <w:basedOn w:val="Normal"/>
    <w:rsid w:val="00921E2E"/>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styleId="Zaglavlje">
    <w:name w:val="header"/>
    <w:basedOn w:val="Normal"/>
    <w:link w:val="ZaglavljeChar"/>
    <w:uiPriority w:val="99"/>
    <w:rsid w:val="00921E2E"/>
    <w:pPr>
      <w:tabs>
        <w:tab w:val="center" w:pos="4536"/>
        <w:tab w:val="right" w:pos="9072"/>
      </w:tabs>
      <w:spacing w:after="0" w:line="240" w:lineRule="auto"/>
    </w:pPr>
    <w:rPr>
      <w:rFonts w:ascii="Times New Roman" w:eastAsia="Times New Roman" w:hAnsi="Times New Roman" w:cs="Times New Roman"/>
      <w:sz w:val="24"/>
      <w:szCs w:val="24"/>
      <w:lang w:val="hr-HR" w:eastAsia="hr-HR"/>
    </w:rPr>
  </w:style>
  <w:style w:type="character" w:customStyle="1" w:styleId="ZaglavljeChar">
    <w:name w:val="Zaglavlje Char"/>
    <w:basedOn w:val="Zadanifontodlomka"/>
    <w:link w:val="Zaglavlje"/>
    <w:uiPriority w:val="99"/>
    <w:rsid w:val="00921E2E"/>
    <w:rPr>
      <w:rFonts w:ascii="Times New Roman" w:eastAsia="Times New Roman" w:hAnsi="Times New Roman" w:cs="Times New Roman"/>
      <w:sz w:val="24"/>
      <w:szCs w:val="24"/>
      <w:lang w:val="hr-HR" w:eastAsia="hr-HR"/>
    </w:rPr>
  </w:style>
  <w:style w:type="paragraph" w:customStyle="1" w:styleId="Bezproreda1">
    <w:name w:val="Bez proreda1"/>
    <w:qFormat/>
    <w:rsid w:val="00921E2E"/>
    <w:pPr>
      <w:spacing w:after="0" w:line="240" w:lineRule="auto"/>
    </w:pPr>
    <w:rPr>
      <w:rFonts w:ascii="Calibri" w:eastAsia="Times New Roman" w:hAnsi="Calibri" w:cs="Times New Roman"/>
      <w:lang w:val="hr-HR" w:eastAsia="hr-HR"/>
    </w:rPr>
  </w:style>
  <w:style w:type="table" w:styleId="Reetkatablice">
    <w:name w:val="Table Grid"/>
    <w:basedOn w:val="Obinatablica"/>
    <w:rsid w:val="00921E2E"/>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jeloteksta">
    <w:name w:val="Body Text"/>
    <w:aliases w:val="uvlaka 2"/>
    <w:basedOn w:val="Normal"/>
    <w:link w:val="TijelotekstaChar"/>
    <w:rsid w:val="00921E2E"/>
    <w:pPr>
      <w:spacing w:after="0" w:line="360" w:lineRule="auto"/>
      <w:jc w:val="both"/>
    </w:pPr>
    <w:rPr>
      <w:rFonts w:ascii="Times New Roman" w:eastAsia="Times New Roman" w:hAnsi="Times New Roman" w:cs="Times New Roman"/>
      <w:sz w:val="24"/>
      <w:szCs w:val="20"/>
      <w:lang w:val="hr-HR" w:eastAsia="hr-HR"/>
    </w:rPr>
  </w:style>
  <w:style w:type="character" w:customStyle="1" w:styleId="TijelotekstaChar">
    <w:name w:val="Tijelo teksta Char"/>
    <w:aliases w:val="uvlaka 2 Char"/>
    <w:basedOn w:val="Zadanifontodlomka"/>
    <w:link w:val="Tijeloteksta"/>
    <w:rsid w:val="00921E2E"/>
    <w:rPr>
      <w:rFonts w:ascii="Times New Roman" w:eastAsia="Times New Roman" w:hAnsi="Times New Roman" w:cs="Times New Roman"/>
      <w:sz w:val="24"/>
      <w:szCs w:val="20"/>
      <w:lang w:val="hr-HR" w:eastAsia="hr-HR"/>
    </w:rPr>
  </w:style>
  <w:style w:type="paragraph" w:styleId="Obinitekst">
    <w:name w:val="Plain Text"/>
    <w:basedOn w:val="Normal"/>
    <w:link w:val="ObinitekstChar"/>
    <w:rsid w:val="00921E2E"/>
    <w:pPr>
      <w:spacing w:after="0" w:line="240" w:lineRule="auto"/>
    </w:pPr>
    <w:rPr>
      <w:rFonts w:ascii="Times New Roman" w:eastAsia="Times New Roman" w:hAnsi="Times New Roman" w:cs="Times New Roman"/>
      <w:sz w:val="20"/>
      <w:szCs w:val="20"/>
      <w:lang w:val="hr-HR" w:eastAsia="hr-HR"/>
    </w:rPr>
  </w:style>
  <w:style w:type="character" w:customStyle="1" w:styleId="ObinitekstChar">
    <w:name w:val="Obični tekst Char"/>
    <w:basedOn w:val="Zadanifontodlomka"/>
    <w:link w:val="Obinitekst"/>
    <w:rsid w:val="00921E2E"/>
    <w:rPr>
      <w:rFonts w:ascii="Times New Roman" w:eastAsia="Times New Roman" w:hAnsi="Times New Roman" w:cs="Times New Roman"/>
      <w:sz w:val="20"/>
      <w:szCs w:val="20"/>
      <w:lang w:val="hr-HR" w:eastAsia="hr-HR"/>
    </w:rPr>
  </w:style>
  <w:style w:type="paragraph" w:styleId="Uvuenotijeloteksta">
    <w:name w:val="Body Text Indent"/>
    <w:basedOn w:val="Normal"/>
    <w:link w:val="UvuenotijelotekstaChar"/>
    <w:rsid w:val="00921E2E"/>
    <w:pPr>
      <w:spacing w:after="120" w:line="240" w:lineRule="auto"/>
      <w:ind w:left="283"/>
    </w:pPr>
    <w:rPr>
      <w:rFonts w:ascii="Times New Roman" w:eastAsia="Times New Roman" w:hAnsi="Times New Roman" w:cs="Times New Roman"/>
      <w:sz w:val="24"/>
      <w:szCs w:val="24"/>
      <w:lang w:val="hr-HR" w:eastAsia="hr-HR"/>
    </w:rPr>
  </w:style>
  <w:style w:type="character" w:customStyle="1" w:styleId="UvuenotijelotekstaChar">
    <w:name w:val="Uvučeno tijelo teksta Char"/>
    <w:basedOn w:val="Zadanifontodlomka"/>
    <w:link w:val="Uvuenotijeloteksta"/>
    <w:rsid w:val="00921E2E"/>
    <w:rPr>
      <w:rFonts w:ascii="Times New Roman" w:eastAsia="Times New Roman" w:hAnsi="Times New Roman" w:cs="Times New Roman"/>
      <w:sz w:val="24"/>
      <w:szCs w:val="24"/>
      <w:lang w:val="hr-HR" w:eastAsia="hr-HR"/>
    </w:rPr>
  </w:style>
  <w:style w:type="paragraph" w:customStyle="1" w:styleId="bodytext">
    <w:name w:val="bodytext"/>
    <w:basedOn w:val="Normal"/>
    <w:rsid w:val="00921E2E"/>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character" w:customStyle="1" w:styleId="spelle">
    <w:name w:val="spelle"/>
    <w:basedOn w:val="Zadanifontodlomka"/>
    <w:rsid w:val="00921E2E"/>
  </w:style>
  <w:style w:type="paragraph" w:styleId="Tijeloteksta-uvlaka2">
    <w:name w:val="Body Text Indent 2"/>
    <w:aliases w:val="  uvlaka 2"/>
    <w:basedOn w:val="Normal"/>
    <w:link w:val="Tijeloteksta-uvlaka2Char"/>
    <w:rsid w:val="00921E2E"/>
    <w:pPr>
      <w:spacing w:after="120" w:line="480" w:lineRule="auto"/>
      <w:ind w:left="283"/>
    </w:pPr>
    <w:rPr>
      <w:rFonts w:ascii="Times New Roman" w:eastAsia="Times New Roman" w:hAnsi="Times New Roman" w:cs="Times New Roman"/>
      <w:sz w:val="24"/>
      <w:szCs w:val="24"/>
      <w:lang w:val="hr-HR" w:eastAsia="hr-HR"/>
    </w:rPr>
  </w:style>
  <w:style w:type="character" w:customStyle="1" w:styleId="Tijeloteksta-uvlaka2Char">
    <w:name w:val="Tijelo teksta - uvlaka 2 Char"/>
    <w:aliases w:val="  uvlaka 2 Char"/>
    <w:basedOn w:val="Zadanifontodlomka"/>
    <w:link w:val="Tijeloteksta-uvlaka2"/>
    <w:rsid w:val="00921E2E"/>
    <w:rPr>
      <w:rFonts w:ascii="Times New Roman" w:eastAsia="Times New Roman" w:hAnsi="Times New Roman" w:cs="Times New Roman"/>
      <w:sz w:val="24"/>
      <w:szCs w:val="24"/>
      <w:lang w:val="hr-HR" w:eastAsia="hr-HR"/>
    </w:rPr>
  </w:style>
  <w:style w:type="paragraph" w:styleId="Sadraj1">
    <w:name w:val="toc 1"/>
    <w:basedOn w:val="Normal"/>
    <w:next w:val="Normal"/>
    <w:autoRedefine/>
    <w:semiHidden/>
    <w:rsid w:val="00921E2E"/>
    <w:pPr>
      <w:tabs>
        <w:tab w:val="right" w:leader="dot" w:pos="8100"/>
      </w:tabs>
      <w:spacing w:after="0" w:line="240" w:lineRule="auto"/>
      <w:ind w:right="-48"/>
    </w:pPr>
    <w:rPr>
      <w:rFonts w:ascii="Arial" w:eastAsia="Times New Roman" w:hAnsi="Arial" w:cs="Arial"/>
      <w:noProof/>
      <w:sz w:val="20"/>
      <w:szCs w:val="20"/>
      <w:lang w:val="hr-HR" w:eastAsia="hr-HR"/>
    </w:rPr>
  </w:style>
  <w:style w:type="paragraph" w:styleId="Sadraj2">
    <w:name w:val="toc 2"/>
    <w:basedOn w:val="Normal"/>
    <w:next w:val="Normal"/>
    <w:autoRedefine/>
    <w:semiHidden/>
    <w:rsid w:val="00921E2E"/>
    <w:pPr>
      <w:tabs>
        <w:tab w:val="right" w:leader="dot" w:pos="8100"/>
      </w:tabs>
      <w:spacing w:after="0" w:line="240" w:lineRule="auto"/>
      <w:ind w:left="360"/>
      <w:jc w:val="both"/>
    </w:pPr>
    <w:rPr>
      <w:rFonts w:ascii="Arial" w:eastAsia="Times New Roman" w:hAnsi="Arial" w:cs="Arial"/>
      <w:bCs/>
      <w:noProof/>
      <w:sz w:val="20"/>
      <w:szCs w:val="20"/>
      <w:lang w:val="hr-HR" w:eastAsia="hr-HR"/>
    </w:rPr>
  </w:style>
  <w:style w:type="paragraph" w:styleId="Sadraj3">
    <w:name w:val="toc 3"/>
    <w:basedOn w:val="Normal"/>
    <w:next w:val="Normal"/>
    <w:autoRedefine/>
    <w:semiHidden/>
    <w:rsid w:val="00921E2E"/>
    <w:pPr>
      <w:tabs>
        <w:tab w:val="right" w:leader="dot" w:pos="7200"/>
      </w:tabs>
      <w:spacing w:after="0" w:line="240" w:lineRule="auto"/>
      <w:ind w:right="-397"/>
    </w:pPr>
    <w:rPr>
      <w:rFonts w:ascii="Times New Roman" w:eastAsia="Times New Roman" w:hAnsi="Times New Roman" w:cs="Times New Roman"/>
      <w:sz w:val="24"/>
      <w:szCs w:val="24"/>
      <w:lang w:val="hr-HR" w:eastAsia="hr-HR"/>
    </w:rPr>
  </w:style>
  <w:style w:type="character" w:customStyle="1" w:styleId="Carattere">
    <w:name w:val="Carattere"/>
    <w:rsid w:val="00921E2E"/>
    <w:rPr>
      <w:rFonts w:ascii="Arial" w:hAnsi="Arial" w:cs="Arial"/>
      <w:color w:val="000000"/>
      <w:sz w:val="24"/>
      <w:szCs w:val="24"/>
      <w:lang w:val="hr-HR" w:eastAsia="hr-HR" w:bidi="ar-SA"/>
    </w:rPr>
  </w:style>
  <w:style w:type="table" w:styleId="Profesionalnatablica">
    <w:name w:val="Table Professional"/>
    <w:basedOn w:val="Obinatablica"/>
    <w:rsid w:val="00921E2E"/>
    <w:pPr>
      <w:spacing w:after="0" w:line="240" w:lineRule="auto"/>
    </w:pPr>
    <w:rPr>
      <w:rFonts w:ascii="Times New Roman" w:eastAsia="Times New Roman" w:hAnsi="Times New Roman" w:cs="Times New Roman"/>
      <w:sz w:val="20"/>
      <w:szCs w:val="20"/>
      <w:lang w:eastAsia="hr-H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Tijeloteksta2">
    <w:name w:val="Body Text 2"/>
    <w:basedOn w:val="Normal"/>
    <w:link w:val="Tijeloteksta2Char"/>
    <w:rsid w:val="00921E2E"/>
    <w:pPr>
      <w:spacing w:after="120" w:line="480" w:lineRule="auto"/>
    </w:pPr>
    <w:rPr>
      <w:rFonts w:ascii="Times New Roman" w:eastAsia="Times New Roman" w:hAnsi="Times New Roman" w:cs="Times New Roman"/>
      <w:sz w:val="24"/>
      <w:szCs w:val="24"/>
      <w:lang w:val="hr-HR" w:eastAsia="hr-HR"/>
    </w:rPr>
  </w:style>
  <w:style w:type="character" w:customStyle="1" w:styleId="Tijeloteksta2Char">
    <w:name w:val="Tijelo teksta 2 Char"/>
    <w:basedOn w:val="Zadanifontodlomka"/>
    <w:link w:val="Tijeloteksta2"/>
    <w:rsid w:val="00921E2E"/>
    <w:rPr>
      <w:rFonts w:ascii="Times New Roman" w:eastAsia="Times New Roman" w:hAnsi="Times New Roman" w:cs="Times New Roman"/>
      <w:sz w:val="24"/>
      <w:szCs w:val="24"/>
      <w:lang w:val="hr-HR" w:eastAsia="hr-HR"/>
    </w:rPr>
  </w:style>
  <w:style w:type="paragraph" w:customStyle="1" w:styleId="lanak">
    <w:name w:val="Članak"/>
    <w:basedOn w:val="StandardWeb"/>
    <w:rsid w:val="00921E2E"/>
    <w:pPr>
      <w:spacing w:before="60" w:after="0" w:line="240" w:lineRule="auto"/>
      <w:jc w:val="both"/>
    </w:pPr>
    <w:rPr>
      <w:rFonts w:eastAsia="Arial Unicode MS"/>
      <w:color w:val="auto"/>
      <w:sz w:val="20"/>
      <w:szCs w:val="20"/>
      <w:lang w:eastAsia="en-US"/>
    </w:rPr>
  </w:style>
  <w:style w:type="paragraph" w:customStyle="1" w:styleId="Default">
    <w:name w:val="Default"/>
    <w:rsid w:val="00921E2E"/>
    <w:pPr>
      <w:autoSpaceDE w:val="0"/>
      <w:autoSpaceDN w:val="0"/>
      <w:adjustRightInd w:val="0"/>
      <w:spacing w:after="0" w:line="240" w:lineRule="auto"/>
    </w:pPr>
    <w:rPr>
      <w:rFonts w:ascii="Arial" w:eastAsia="Times New Roman" w:hAnsi="Arial" w:cs="Arial"/>
      <w:sz w:val="20"/>
      <w:szCs w:val="20"/>
    </w:rPr>
  </w:style>
  <w:style w:type="paragraph" w:customStyle="1" w:styleId="StandardWeb1">
    <w:name w:val="Standard (Web)1"/>
    <w:basedOn w:val="Default"/>
    <w:next w:val="Default"/>
    <w:rsid w:val="00921E2E"/>
    <w:pPr>
      <w:spacing w:before="100" w:after="100"/>
    </w:pPr>
    <w:rPr>
      <w:rFonts w:cs="Times New Roman"/>
      <w:sz w:val="24"/>
      <w:szCs w:val="24"/>
    </w:rPr>
  </w:style>
  <w:style w:type="paragraph" w:customStyle="1" w:styleId="Naslov21">
    <w:name w:val="Naslov 21"/>
    <w:basedOn w:val="Default"/>
    <w:next w:val="Default"/>
    <w:rsid w:val="00921E2E"/>
    <w:rPr>
      <w:rFonts w:ascii="Arial,Bold" w:hAnsi="Arial,Bold" w:cs="Times New Roman"/>
      <w:sz w:val="24"/>
      <w:szCs w:val="24"/>
    </w:rPr>
  </w:style>
  <w:style w:type="paragraph" w:customStyle="1" w:styleId="Naslov51">
    <w:name w:val="Naslov 51"/>
    <w:basedOn w:val="Default"/>
    <w:next w:val="Default"/>
    <w:rsid w:val="00921E2E"/>
    <w:rPr>
      <w:rFonts w:ascii="Arial,Bold" w:hAnsi="Arial,Bold" w:cs="Times New Roman"/>
      <w:sz w:val="24"/>
      <w:szCs w:val="24"/>
    </w:rPr>
  </w:style>
  <w:style w:type="paragraph" w:customStyle="1" w:styleId="Tijeloteksta31">
    <w:name w:val="Tijelo teksta 31"/>
    <w:basedOn w:val="Default"/>
    <w:next w:val="Default"/>
    <w:rsid w:val="00921E2E"/>
    <w:pPr>
      <w:spacing w:after="120"/>
    </w:pPr>
    <w:rPr>
      <w:rFonts w:ascii="Arial,Bold" w:hAnsi="Arial,Bold" w:cs="Times New Roman"/>
      <w:sz w:val="24"/>
      <w:szCs w:val="24"/>
    </w:rPr>
  </w:style>
  <w:style w:type="paragraph" w:customStyle="1" w:styleId="Naslov41">
    <w:name w:val="Naslov 41"/>
    <w:basedOn w:val="Default"/>
    <w:next w:val="Default"/>
    <w:rsid w:val="00921E2E"/>
    <w:rPr>
      <w:rFonts w:ascii="Arial,Bold" w:hAnsi="Arial,Bold" w:cs="Times New Roman"/>
      <w:sz w:val="24"/>
      <w:szCs w:val="24"/>
    </w:rPr>
  </w:style>
  <w:style w:type="paragraph" w:customStyle="1" w:styleId="Tijeloteksta21">
    <w:name w:val="Tijelo teksta 21"/>
    <w:basedOn w:val="Default"/>
    <w:next w:val="Default"/>
    <w:rsid w:val="00921E2E"/>
    <w:rPr>
      <w:rFonts w:ascii="Arial,Bold" w:hAnsi="Arial,Bold" w:cs="Times New Roman"/>
      <w:sz w:val="24"/>
      <w:szCs w:val="24"/>
    </w:rPr>
  </w:style>
  <w:style w:type="paragraph" w:customStyle="1" w:styleId="Tijeloteksta1">
    <w:name w:val="Tijelo teksta1"/>
    <w:basedOn w:val="Default"/>
    <w:next w:val="Default"/>
    <w:rsid w:val="00921E2E"/>
    <w:rPr>
      <w:rFonts w:ascii="Arial,Bold" w:hAnsi="Arial,Bold" w:cs="Times New Roman"/>
      <w:sz w:val="24"/>
      <w:szCs w:val="24"/>
    </w:rPr>
  </w:style>
  <w:style w:type="paragraph" w:customStyle="1" w:styleId="Naslov11">
    <w:name w:val="Naslov 11"/>
    <w:basedOn w:val="Default"/>
    <w:next w:val="Default"/>
    <w:rsid w:val="00921E2E"/>
    <w:rPr>
      <w:rFonts w:cs="Times New Roman"/>
      <w:sz w:val="24"/>
      <w:szCs w:val="24"/>
    </w:rPr>
  </w:style>
  <w:style w:type="paragraph" w:customStyle="1" w:styleId="Naslov71">
    <w:name w:val="Naslov 71"/>
    <w:basedOn w:val="Default"/>
    <w:next w:val="Default"/>
    <w:rsid w:val="00921E2E"/>
    <w:rPr>
      <w:rFonts w:ascii="Arial,Bold" w:hAnsi="Arial,Bold" w:cs="Times New Roman"/>
      <w:sz w:val="24"/>
      <w:szCs w:val="24"/>
    </w:rPr>
  </w:style>
  <w:style w:type="paragraph" w:styleId="HTMLunaprijedoblikovano">
    <w:name w:val="HTML Preformatted"/>
    <w:basedOn w:val="Normal"/>
    <w:link w:val="HTMLunaprijedoblikovanoChar"/>
    <w:uiPriority w:val="99"/>
    <w:rsid w:val="00921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hr-HR" w:eastAsia="hr-HR"/>
    </w:rPr>
  </w:style>
  <w:style w:type="character" w:customStyle="1" w:styleId="HTMLunaprijedoblikovanoChar">
    <w:name w:val="HTML unaprijed oblikovano Char"/>
    <w:basedOn w:val="Zadanifontodlomka"/>
    <w:link w:val="HTMLunaprijedoblikovano"/>
    <w:uiPriority w:val="99"/>
    <w:rsid w:val="00921E2E"/>
    <w:rPr>
      <w:rFonts w:ascii="Courier New" w:eastAsia="Times New Roman" w:hAnsi="Courier New" w:cs="Courier New"/>
      <w:sz w:val="20"/>
      <w:szCs w:val="20"/>
      <w:lang w:val="hr-HR" w:eastAsia="hr-HR"/>
    </w:rPr>
  </w:style>
  <w:style w:type="paragraph" w:styleId="Tekstfusnote">
    <w:name w:val="footnote text"/>
    <w:basedOn w:val="Normal"/>
    <w:link w:val="TekstfusnoteChar"/>
    <w:rsid w:val="00921E2E"/>
    <w:pPr>
      <w:spacing w:after="0" w:line="240" w:lineRule="auto"/>
    </w:pPr>
    <w:rPr>
      <w:rFonts w:ascii="Times New Roman" w:eastAsia="Times New Roman" w:hAnsi="Times New Roman" w:cs="Times New Roman"/>
      <w:sz w:val="20"/>
      <w:szCs w:val="20"/>
      <w:lang w:val="hr-HR" w:eastAsia="hr-HR"/>
    </w:rPr>
  </w:style>
  <w:style w:type="character" w:customStyle="1" w:styleId="TekstfusnoteChar">
    <w:name w:val="Tekst fusnote Char"/>
    <w:basedOn w:val="Zadanifontodlomka"/>
    <w:link w:val="Tekstfusnote"/>
    <w:rsid w:val="00921E2E"/>
    <w:rPr>
      <w:rFonts w:ascii="Times New Roman" w:eastAsia="Times New Roman" w:hAnsi="Times New Roman" w:cs="Times New Roman"/>
      <w:sz w:val="20"/>
      <w:szCs w:val="20"/>
      <w:lang w:val="hr-HR" w:eastAsia="hr-HR"/>
    </w:rPr>
  </w:style>
  <w:style w:type="character" w:styleId="Referencafusnote">
    <w:name w:val="footnote reference"/>
    <w:semiHidden/>
    <w:rsid w:val="00921E2E"/>
    <w:rPr>
      <w:vertAlign w:val="superscript"/>
    </w:rPr>
  </w:style>
  <w:style w:type="paragraph" w:styleId="Sadraj4">
    <w:name w:val="toc 4"/>
    <w:basedOn w:val="Normal"/>
    <w:next w:val="Normal"/>
    <w:autoRedefine/>
    <w:semiHidden/>
    <w:rsid w:val="00921E2E"/>
    <w:pPr>
      <w:spacing w:after="0" w:line="240" w:lineRule="auto"/>
      <w:ind w:left="720"/>
    </w:pPr>
    <w:rPr>
      <w:rFonts w:ascii="Times New Roman" w:eastAsia="Times New Roman" w:hAnsi="Times New Roman" w:cs="Times New Roman"/>
      <w:sz w:val="24"/>
      <w:szCs w:val="24"/>
      <w:lang w:val="hr-HR" w:eastAsia="hr-HR"/>
    </w:rPr>
  </w:style>
  <w:style w:type="paragraph" w:styleId="Sadraj5">
    <w:name w:val="toc 5"/>
    <w:basedOn w:val="Normal"/>
    <w:next w:val="Normal"/>
    <w:autoRedefine/>
    <w:semiHidden/>
    <w:rsid w:val="00921E2E"/>
    <w:pPr>
      <w:spacing w:after="0" w:line="240" w:lineRule="auto"/>
      <w:ind w:left="960"/>
    </w:pPr>
    <w:rPr>
      <w:rFonts w:ascii="Times New Roman" w:eastAsia="Times New Roman" w:hAnsi="Times New Roman" w:cs="Times New Roman"/>
      <w:sz w:val="24"/>
      <w:szCs w:val="24"/>
      <w:lang w:val="hr-HR" w:eastAsia="hr-HR"/>
    </w:rPr>
  </w:style>
  <w:style w:type="paragraph" w:styleId="Sadraj6">
    <w:name w:val="toc 6"/>
    <w:basedOn w:val="Normal"/>
    <w:next w:val="Normal"/>
    <w:autoRedefine/>
    <w:semiHidden/>
    <w:rsid w:val="00921E2E"/>
    <w:pPr>
      <w:spacing w:after="0" w:line="240" w:lineRule="auto"/>
      <w:ind w:left="1200"/>
    </w:pPr>
    <w:rPr>
      <w:rFonts w:ascii="Times New Roman" w:eastAsia="Times New Roman" w:hAnsi="Times New Roman" w:cs="Times New Roman"/>
      <w:sz w:val="24"/>
      <w:szCs w:val="24"/>
      <w:lang w:val="hr-HR" w:eastAsia="hr-HR"/>
    </w:rPr>
  </w:style>
  <w:style w:type="paragraph" w:styleId="Sadraj7">
    <w:name w:val="toc 7"/>
    <w:basedOn w:val="Normal"/>
    <w:next w:val="Normal"/>
    <w:autoRedefine/>
    <w:semiHidden/>
    <w:rsid w:val="00921E2E"/>
    <w:pPr>
      <w:spacing w:after="0" w:line="240" w:lineRule="auto"/>
      <w:ind w:left="1440"/>
    </w:pPr>
    <w:rPr>
      <w:rFonts w:ascii="Times New Roman" w:eastAsia="Times New Roman" w:hAnsi="Times New Roman" w:cs="Times New Roman"/>
      <w:sz w:val="24"/>
      <w:szCs w:val="24"/>
      <w:lang w:val="hr-HR" w:eastAsia="hr-HR"/>
    </w:rPr>
  </w:style>
  <w:style w:type="paragraph" w:styleId="Sadraj8">
    <w:name w:val="toc 8"/>
    <w:basedOn w:val="Normal"/>
    <w:next w:val="Normal"/>
    <w:autoRedefine/>
    <w:semiHidden/>
    <w:rsid w:val="00921E2E"/>
    <w:pPr>
      <w:spacing w:after="0" w:line="240" w:lineRule="auto"/>
      <w:ind w:left="1680"/>
    </w:pPr>
    <w:rPr>
      <w:rFonts w:ascii="Times New Roman" w:eastAsia="Times New Roman" w:hAnsi="Times New Roman" w:cs="Times New Roman"/>
      <w:sz w:val="24"/>
      <w:szCs w:val="24"/>
      <w:lang w:val="hr-HR" w:eastAsia="hr-HR"/>
    </w:rPr>
  </w:style>
  <w:style w:type="paragraph" w:styleId="Sadraj9">
    <w:name w:val="toc 9"/>
    <w:basedOn w:val="Normal"/>
    <w:next w:val="Normal"/>
    <w:autoRedefine/>
    <w:semiHidden/>
    <w:rsid w:val="00921E2E"/>
    <w:pPr>
      <w:spacing w:after="0" w:line="240" w:lineRule="auto"/>
      <w:ind w:left="1920"/>
    </w:pPr>
    <w:rPr>
      <w:rFonts w:ascii="Times New Roman" w:eastAsia="Times New Roman" w:hAnsi="Times New Roman" w:cs="Times New Roman"/>
      <w:sz w:val="24"/>
      <w:szCs w:val="24"/>
      <w:lang w:val="hr-HR" w:eastAsia="hr-HR"/>
    </w:rPr>
  </w:style>
  <w:style w:type="paragraph" w:customStyle="1" w:styleId="TableGrid1">
    <w:name w:val="Table Grid1"/>
    <w:rsid w:val="00921E2E"/>
    <w:pPr>
      <w:spacing w:after="0" w:line="240" w:lineRule="auto"/>
    </w:pPr>
    <w:rPr>
      <w:rFonts w:ascii="Times New Roman" w:eastAsia="ヒラギノ角ゴ Pro W3" w:hAnsi="Times New Roman" w:cs="Times New Roman"/>
      <w:color w:val="000000"/>
      <w:sz w:val="20"/>
      <w:szCs w:val="20"/>
      <w:lang w:val="hr-HR" w:eastAsia="hr-HR"/>
    </w:rPr>
  </w:style>
  <w:style w:type="character" w:styleId="SlijeenaHiperveza">
    <w:name w:val="FollowedHyperlink"/>
    <w:rsid w:val="00921E2E"/>
    <w:rPr>
      <w:color w:val="800080"/>
      <w:u w:val="single"/>
    </w:rPr>
  </w:style>
  <w:style w:type="paragraph" w:customStyle="1" w:styleId="Clanak">
    <w:name w:val="Clanak"/>
    <w:basedOn w:val="Normal"/>
    <w:rsid w:val="00921E2E"/>
    <w:pPr>
      <w:numPr>
        <w:numId w:val="1"/>
      </w:numPr>
      <w:spacing w:after="120" w:line="240" w:lineRule="auto"/>
      <w:jc w:val="both"/>
    </w:pPr>
    <w:rPr>
      <w:rFonts w:ascii="Verdana" w:eastAsia="Times New Roman" w:hAnsi="Verdana" w:cs="Times New Roman"/>
      <w:sz w:val="18"/>
      <w:szCs w:val="24"/>
      <w:lang w:val="hr-HR" w:eastAsia="hr-HR"/>
    </w:rPr>
  </w:style>
  <w:style w:type="paragraph" w:styleId="Tekstbalonia">
    <w:name w:val="Balloon Text"/>
    <w:basedOn w:val="Normal"/>
    <w:link w:val="TekstbaloniaChar"/>
    <w:uiPriority w:val="99"/>
    <w:semiHidden/>
    <w:rsid w:val="00921E2E"/>
    <w:pPr>
      <w:spacing w:after="0" w:line="240" w:lineRule="auto"/>
    </w:pPr>
    <w:rPr>
      <w:rFonts w:ascii="Tahoma" w:eastAsia="Times New Roman" w:hAnsi="Tahoma" w:cs="Tahoma"/>
      <w:sz w:val="16"/>
      <w:szCs w:val="16"/>
      <w:lang w:val="hr-HR" w:eastAsia="hr-HR"/>
    </w:rPr>
  </w:style>
  <w:style w:type="character" w:customStyle="1" w:styleId="TekstbaloniaChar">
    <w:name w:val="Tekst balončića Char"/>
    <w:basedOn w:val="Zadanifontodlomka"/>
    <w:link w:val="Tekstbalonia"/>
    <w:uiPriority w:val="99"/>
    <w:semiHidden/>
    <w:rsid w:val="00921E2E"/>
    <w:rPr>
      <w:rFonts w:ascii="Tahoma" w:eastAsia="Times New Roman" w:hAnsi="Tahoma" w:cs="Tahoma"/>
      <w:sz w:val="16"/>
      <w:szCs w:val="16"/>
      <w:lang w:val="hr-HR" w:eastAsia="hr-HR"/>
    </w:rPr>
  </w:style>
  <w:style w:type="paragraph" w:customStyle="1" w:styleId="TableContents">
    <w:name w:val="Table Contents"/>
    <w:basedOn w:val="Tijeloteksta"/>
    <w:rsid w:val="00921E2E"/>
    <w:pPr>
      <w:suppressLineNumbers/>
      <w:suppressAutoHyphens/>
      <w:overflowPunct w:val="0"/>
      <w:autoSpaceDE w:val="0"/>
      <w:autoSpaceDN w:val="0"/>
      <w:adjustRightInd w:val="0"/>
      <w:spacing w:after="120" w:line="240" w:lineRule="auto"/>
      <w:jc w:val="left"/>
      <w:textAlignment w:val="baseline"/>
    </w:pPr>
    <w:rPr>
      <w:szCs w:val="24"/>
      <w:lang w:val="en-GB"/>
    </w:rPr>
  </w:style>
  <w:style w:type="paragraph" w:styleId="Tijeloteksta3">
    <w:name w:val="Body Text 3"/>
    <w:basedOn w:val="Normal"/>
    <w:link w:val="Tijeloteksta3Char"/>
    <w:rsid w:val="00921E2E"/>
    <w:pPr>
      <w:spacing w:after="120" w:line="240" w:lineRule="auto"/>
    </w:pPr>
    <w:rPr>
      <w:rFonts w:ascii="Times New Roman" w:eastAsia="Times New Roman" w:hAnsi="Times New Roman" w:cs="Times New Roman"/>
      <w:sz w:val="16"/>
      <w:szCs w:val="16"/>
      <w:lang w:val="hr-HR" w:eastAsia="hr-HR"/>
    </w:rPr>
  </w:style>
  <w:style w:type="character" w:customStyle="1" w:styleId="Tijeloteksta3Char">
    <w:name w:val="Tijelo teksta 3 Char"/>
    <w:basedOn w:val="Zadanifontodlomka"/>
    <w:link w:val="Tijeloteksta3"/>
    <w:rsid w:val="00921E2E"/>
    <w:rPr>
      <w:rFonts w:ascii="Times New Roman" w:eastAsia="Times New Roman" w:hAnsi="Times New Roman" w:cs="Times New Roman"/>
      <w:sz w:val="16"/>
      <w:szCs w:val="16"/>
      <w:lang w:val="hr-HR" w:eastAsia="hr-HR"/>
    </w:rPr>
  </w:style>
  <w:style w:type="paragraph" w:customStyle="1" w:styleId="StyleHeading118ptAllcaps">
    <w:name w:val="Style Heading 1 + 18 pt All caps"/>
    <w:basedOn w:val="Naslov1"/>
    <w:rsid w:val="00921E2E"/>
    <w:rPr>
      <w:caps/>
      <w:sz w:val="36"/>
    </w:rPr>
  </w:style>
  <w:style w:type="paragraph" w:customStyle="1" w:styleId="StyleHeading114ptAllcaps">
    <w:name w:val="Style Heading 1 + 14 pt All caps"/>
    <w:basedOn w:val="Naslov1"/>
    <w:rsid w:val="00921E2E"/>
    <w:rPr>
      <w:caps/>
      <w:sz w:val="28"/>
    </w:rPr>
  </w:style>
  <w:style w:type="character" w:customStyle="1" w:styleId="shorttext">
    <w:name w:val="short_text"/>
    <w:basedOn w:val="Zadanifontodlomka"/>
    <w:rsid w:val="00921E2E"/>
  </w:style>
  <w:style w:type="paragraph" w:customStyle="1" w:styleId="StilNaslov1Bijela">
    <w:name w:val="Stil Naslov 1 + Bijela"/>
    <w:basedOn w:val="Naslov1"/>
    <w:autoRedefine/>
    <w:rsid w:val="00921E2E"/>
    <w:pPr>
      <w:spacing w:before="120" w:after="240"/>
      <w:jc w:val="center"/>
    </w:pPr>
    <w:rPr>
      <w:bCs w:val="0"/>
      <w:w w:val="90"/>
      <w:sz w:val="24"/>
      <w:szCs w:val="24"/>
      <w:lang w:eastAsia="en-US"/>
    </w:rPr>
  </w:style>
  <w:style w:type="paragraph" w:styleId="Odlomakpopisa">
    <w:name w:val="List Paragraph"/>
    <w:basedOn w:val="Normal"/>
    <w:link w:val="OdlomakpopisaChar"/>
    <w:uiPriority w:val="34"/>
    <w:qFormat/>
    <w:rsid w:val="00921E2E"/>
    <w:pPr>
      <w:spacing w:after="200" w:line="276" w:lineRule="auto"/>
      <w:ind w:left="720"/>
      <w:contextualSpacing/>
    </w:pPr>
    <w:rPr>
      <w:rFonts w:ascii="Calibri" w:eastAsia="Calibri" w:hAnsi="Calibri" w:cs="Times New Roman"/>
      <w:lang w:val="hr-HR"/>
    </w:rPr>
  </w:style>
  <w:style w:type="paragraph" w:customStyle="1" w:styleId="Obiantekst1">
    <w:name w:val="Običan tekst1"/>
    <w:basedOn w:val="Normal"/>
    <w:rsid w:val="00921E2E"/>
    <w:pPr>
      <w:suppressAutoHyphens/>
      <w:spacing w:after="0" w:line="240" w:lineRule="auto"/>
    </w:pPr>
    <w:rPr>
      <w:rFonts w:ascii="Times New Roman" w:eastAsia="Times New Roman" w:hAnsi="Times New Roman" w:cs="Times New Roman"/>
      <w:sz w:val="20"/>
      <w:szCs w:val="20"/>
      <w:lang w:val="hr-HR" w:eastAsia="ar-SA"/>
    </w:rPr>
  </w:style>
  <w:style w:type="character" w:styleId="Referencakomentara">
    <w:name w:val="annotation reference"/>
    <w:uiPriority w:val="99"/>
    <w:semiHidden/>
    <w:rsid w:val="00921E2E"/>
    <w:rPr>
      <w:sz w:val="16"/>
      <w:szCs w:val="16"/>
    </w:rPr>
  </w:style>
  <w:style w:type="paragraph" w:styleId="Tekstkomentara">
    <w:name w:val="annotation text"/>
    <w:basedOn w:val="Normal"/>
    <w:link w:val="TekstkomentaraChar"/>
    <w:semiHidden/>
    <w:rsid w:val="00921E2E"/>
    <w:pPr>
      <w:spacing w:after="0" w:line="240" w:lineRule="auto"/>
    </w:pPr>
    <w:rPr>
      <w:rFonts w:ascii="Times New Roman" w:eastAsia="Times New Roman" w:hAnsi="Times New Roman" w:cs="Times New Roman"/>
      <w:sz w:val="20"/>
      <w:szCs w:val="20"/>
      <w:lang w:val="hr-HR" w:eastAsia="hr-HR"/>
    </w:rPr>
  </w:style>
  <w:style w:type="character" w:customStyle="1" w:styleId="TekstkomentaraChar">
    <w:name w:val="Tekst komentara Char"/>
    <w:basedOn w:val="Zadanifontodlomka"/>
    <w:link w:val="Tekstkomentara"/>
    <w:semiHidden/>
    <w:rsid w:val="00921E2E"/>
    <w:rPr>
      <w:rFonts w:ascii="Times New Roman" w:eastAsia="Times New Roman" w:hAnsi="Times New Roman" w:cs="Times New Roman"/>
      <w:sz w:val="20"/>
      <w:szCs w:val="20"/>
      <w:lang w:val="hr-HR" w:eastAsia="hr-HR"/>
    </w:rPr>
  </w:style>
  <w:style w:type="paragraph" w:styleId="Predmetkomentara">
    <w:name w:val="annotation subject"/>
    <w:basedOn w:val="Tekstkomentara"/>
    <w:next w:val="Tekstkomentara"/>
    <w:link w:val="PredmetkomentaraChar"/>
    <w:semiHidden/>
    <w:rsid w:val="00921E2E"/>
    <w:rPr>
      <w:b/>
      <w:bCs/>
    </w:rPr>
  </w:style>
  <w:style w:type="character" w:customStyle="1" w:styleId="PredmetkomentaraChar">
    <w:name w:val="Predmet komentara Char"/>
    <w:basedOn w:val="TekstkomentaraChar"/>
    <w:link w:val="Predmetkomentara"/>
    <w:semiHidden/>
    <w:rsid w:val="00921E2E"/>
    <w:rPr>
      <w:rFonts w:ascii="Times New Roman" w:eastAsia="Times New Roman" w:hAnsi="Times New Roman" w:cs="Times New Roman"/>
      <w:b/>
      <w:bCs/>
      <w:sz w:val="20"/>
      <w:szCs w:val="20"/>
      <w:lang w:val="hr-HR" w:eastAsia="hr-HR"/>
    </w:rPr>
  </w:style>
  <w:style w:type="paragraph" w:customStyle="1" w:styleId="StandardWeb2">
    <w:name w:val="Standard (Web)2"/>
    <w:basedOn w:val="Normal"/>
    <w:rsid w:val="00921E2E"/>
    <w:pPr>
      <w:suppressAutoHyphens/>
      <w:spacing w:after="240" w:line="336" w:lineRule="atLeast"/>
    </w:pPr>
    <w:rPr>
      <w:rFonts w:ascii="Arial" w:eastAsia="Times New Roman" w:hAnsi="Arial" w:cs="Arial"/>
      <w:color w:val="000000"/>
      <w:sz w:val="24"/>
      <w:szCs w:val="24"/>
      <w:lang w:val="hr-HR" w:eastAsia="ar-SA"/>
    </w:rPr>
  </w:style>
  <w:style w:type="paragraph" w:customStyle="1" w:styleId="Obiantekst2">
    <w:name w:val="Običan tekst2"/>
    <w:basedOn w:val="Normal"/>
    <w:rsid w:val="00921E2E"/>
    <w:pPr>
      <w:suppressAutoHyphens/>
      <w:spacing w:after="0" w:line="240" w:lineRule="auto"/>
    </w:pPr>
    <w:rPr>
      <w:rFonts w:ascii="Times New Roman" w:eastAsia="Times New Roman" w:hAnsi="Times New Roman" w:cs="Times New Roman"/>
      <w:sz w:val="20"/>
      <w:szCs w:val="20"/>
      <w:lang w:val="hr-HR" w:eastAsia="ar-SA"/>
    </w:rPr>
  </w:style>
  <w:style w:type="character" w:customStyle="1" w:styleId="NormalWebChar">
    <w:name w:val="Normal (Web) Char"/>
    <w:locked/>
    <w:rsid w:val="00921E2E"/>
    <w:rPr>
      <w:rFonts w:ascii="Arial" w:hAnsi="Arial" w:cs="Arial"/>
      <w:color w:val="000000"/>
      <w:sz w:val="24"/>
      <w:szCs w:val="24"/>
      <w:lang w:eastAsia="hr-HR"/>
    </w:rPr>
  </w:style>
  <w:style w:type="paragraph" w:customStyle="1" w:styleId="Odlomakpopisa1">
    <w:name w:val="Odlomak popisa1"/>
    <w:basedOn w:val="Normal"/>
    <w:qFormat/>
    <w:rsid w:val="00921E2E"/>
    <w:pPr>
      <w:spacing w:after="200" w:line="276" w:lineRule="auto"/>
      <w:ind w:left="720"/>
      <w:contextualSpacing/>
    </w:pPr>
    <w:rPr>
      <w:rFonts w:ascii="Calibri" w:eastAsia="Calibri" w:hAnsi="Calibri" w:cs="Times New Roman"/>
      <w:lang w:val="hr-HR"/>
    </w:rPr>
  </w:style>
  <w:style w:type="character" w:customStyle="1" w:styleId="Heading3Char1">
    <w:name w:val="Heading 3 Char1"/>
    <w:aliases w:val="Char Char1,Naslov 3 Char1"/>
    <w:semiHidden/>
    <w:rsid w:val="00921E2E"/>
    <w:rPr>
      <w:rFonts w:ascii="Cambria" w:eastAsia="Times New Roman" w:hAnsi="Cambria" w:cs="Times New Roman"/>
      <w:b/>
      <w:bCs/>
      <w:color w:val="4F81BD"/>
      <w:sz w:val="24"/>
      <w:szCs w:val="24"/>
      <w:lang w:eastAsia="en-US"/>
    </w:rPr>
  </w:style>
  <w:style w:type="paragraph" w:styleId="Bezproreda">
    <w:name w:val="No Spacing"/>
    <w:uiPriority w:val="1"/>
    <w:qFormat/>
    <w:rsid w:val="00921E2E"/>
    <w:pPr>
      <w:spacing w:after="0" w:line="240" w:lineRule="auto"/>
    </w:pPr>
    <w:rPr>
      <w:rFonts w:ascii="Calibri" w:eastAsia="Calibri" w:hAnsi="Calibri" w:cs="Times New Roman"/>
      <w:lang w:val="hr-HR"/>
    </w:rPr>
  </w:style>
  <w:style w:type="paragraph" w:styleId="Tijeloteksta-uvlaka3">
    <w:name w:val="Body Text Indent 3"/>
    <w:basedOn w:val="Normal"/>
    <w:link w:val="Tijeloteksta-uvlaka3Char"/>
    <w:uiPriority w:val="99"/>
    <w:semiHidden/>
    <w:unhideWhenUsed/>
    <w:rsid w:val="00921E2E"/>
    <w:pPr>
      <w:spacing w:after="120" w:line="240" w:lineRule="auto"/>
      <w:ind w:left="283"/>
    </w:pPr>
    <w:rPr>
      <w:rFonts w:ascii="Times New Roman" w:eastAsia="Times New Roman" w:hAnsi="Times New Roman" w:cs="Times New Roman"/>
      <w:sz w:val="16"/>
      <w:szCs w:val="16"/>
      <w:lang w:val="hr-HR"/>
    </w:rPr>
  </w:style>
  <w:style w:type="character" w:customStyle="1" w:styleId="Tijeloteksta-uvlaka3Char">
    <w:name w:val="Tijelo teksta - uvlaka 3 Char"/>
    <w:basedOn w:val="Zadanifontodlomka"/>
    <w:link w:val="Tijeloteksta-uvlaka3"/>
    <w:uiPriority w:val="99"/>
    <w:semiHidden/>
    <w:rsid w:val="00921E2E"/>
    <w:rPr>
      <w:rFonts w:ascii="Times New Roman" w:eastAsia="Times New Roman" w:hAnsi="Times New Roman" w:cs="Times New Roman"/>
      <w:sz w:val="16"/>
      <w:szCs w:val="16"/>
      <w:lang w:val="hr-HR"/>
    </w:rPr>
  </w:style>
  <w:style w:type="character" w:styleId="HTML-navod">
    <w:name w:val="HTML Cite"/>
    <w:unhideWhenUsed/>
    <w:rsid w:val="00921E2E"/>
    <w:rPr>
      <w:i/>
      <w:iCs/>
    </w:rPr>
  </w:style>
  <w:style w:type="character" w:customStyle="1" w:styleId="apple-converted-space">
    <w:name w:val="apple-converted-space"/>
    <w:rsid w:val="00921E2E"/>
  </w:style>
  <w:style w:type="character" w:customStyle="1" w:styleId="style24">
    <w:name w:val="style24"/>
    <w:basedOn w:val="Zadanifontodlomka"/>
    <w:rsid w:val="00921E2E"/>
  </w:style>
  <w:style w:type="table" w:customStyle="1" w:styleId="TableGrid">
    <w:name w:val="TableGrid"/>
    <w:rsid w:val="00921E2E"/>
    <w:pPr>
      <w:spacing w:after="0" w:line="240" w:lineRule="auto"/>
    </w:pPr>
    <w:rPr>
      <w:rFonts w:ascii="Calibri" w:eastAsia="Times New Roman" w:hAnsi="Calibri" w:cs="Times New Roman"/>
      <w:lang w:val="hr-HR" w:eastAsia="hr-HR"/>
    </w:rPr>
    <w:tblPr>
      <w:tblCellMar>
        <w:top w:w="0" w:type="dxa"/>
        <w:left w:w="0" w:type="dxa"/>
        <w:bottom w:w="0" w:type="dxa"/>
        <w:right w:w="0" w:type="dxa"/>
      </w:tblCellMar>
    </w:tblPr>
  </w:style>
  <w:style w:type="character" w:customStyle="1" w:styleId="Nerijeenospominjanje1">
    <w:name w:val="Neriješeno spominjanje1"/>
    <w:uiPriority w:val="99"/>
    <w:semiHidden/>
    <w:unhideWhenUsed/>
    <w:rsid w:val="00921E2E"/>
    <w:rPr>
      <w:color w:val="605E5C"/>
      <w:shd w:val="clear" w:color="auto" w:fill="E1DFDD"/>
    </w:rPr>
  </w:style>
  <w:style w:type="numbering" w:customStyle="1" w:styleId="Bezpopisa1">
    <w:name w:val="Bez popisa1"/>
    <w:next w:val="Bezpopisa"/>
    <w:uiPriority w:val="99"/>
    <w:semiHidden/>
    <w:unhideWhenUsed/>
    <w:rsid w:val="00921E2E"/>
  </w:style>
  <w:style w:type="numbering" w:customStyle="1" w:styleId="Bezpopisa11">
    <w:name w:val="Bez popisa11"/>
    <w:next w:val="Bezpopisa"/>
    <w:uiPriority w:val="99"/>
    <w:semiHidden/>
    <w:unhideWhenUsed/>
    <w:rsid w:val="00921E2E"/>
  </w:style>
  <w:style w:type="table" w:customStyle="1" w:styleId="TableGrid10">
    <w:name w:val="TableGrid1"/>
    <w:rsid w:val="00921E2E"/>
    <w:pPr>
      <w:spacing w:after="0" w:line="240" w:lineRule="auto"/>
    </w:pPr>
    <w:rPr>
      <w:rFonts w:ascii="Calibri" w:eastAsia="Times New Roman" w:hAnsi="Calibri" w:cs="Times New Roman"/>
      <w:lang w:val="hr-HR" w:eastAsia="hr-HR"/>
    </w:rPr>
    <w:tblPr>
      <w:tblCellMar>
        <w:top w:w="0" w:type="dxa"/>
        <w:left w:w="0" w:type="dxa"/>
        <w:bottom w:w="0" w:type="dxa"/>
        <w:right w:w="0" w:type="dxa"/>
      </w:tblCellMar>
    </w:tblPr>
  </w:style>
  <w:style w:type="numbering" w:customStyle="1" w:styleId="NoList2">
    <w:name w:val="No List2"/>
    <w:next w:val="Bezpopisa"/>
    <w:uiPriority w:val="99"/>
    <w:semiHidden/>
    <w:unhideWhenUsed/>
    <w:rsid w:val="00E96220"/>
  </w:style>
  <w:style w:type="numbering" w:customStyle="1" w:styleId="NoList11">
    <w:name w:val="No List11"/>
    <w:next w:val="Bezpopisa"/>
    <w:uiPriority w:val="99"/>
    <w:semiHidden/>
    <w:unhideWhenUsed/>
    <w:rsid w:val="00E96220"/>
  </w:style>
  <w:style w:type="table" w:customStyle="1" w:styleId="TableGrid2">
    <w:name w:val="Table Grid2"/>
    <w:basedOn w:val="Obinatablica"/>
    <w:next w:val="Reetkatablice"/>
    <w:rsid w:val="00E96220"/>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1">
    <w:name w:val="Table Professional1"/>
    <w:basedOn w:val="Obinatablica"/>
    <w:next w:val="Profesionalnatablica"/>
    <w:rsid w:val="00E96220"/>
    <w:pPr>
      <w:spacing w:after="0" w:line="240" w:lineRule="auto"/>
    </w:pPr>
    <w:rPr>
      <w:rFonts w:ascii="Times New Roman" w:eastAsia="Times New Roman" w:hAnsi="Times New Roman" w:cs="Times New Roman"/>
      <w:sz w:val="20"/>
      <w:szCs w:val="20"/>
      <w:lang w:eastAsia="hr-H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20">
    <w:name w:val="TableGrid2"/>
    <w:rsid w:val="00E96220"/>
    <w:pPr>
      <w:spacing w:after="0" w:line="240" w:lineRule="auto"/>
    </w:pPr>
    <w:rPr>
      <w:rFonts w:ascii="Calibri" w:eastAsia="Times New Roman" w:hAnsi="Calibri" w:cs="Times New Roman"/>
      <w:lang w:val="hr-HR" w:eastAsia="hr-HR"/>
    </w:rPr>
    <w:tblPr>
      <w:tblCellMar>
        <w:top w:w="0" w:type="dxa"/>
        <w:left w:w="0" w:type="dxa"/>
        <w:bottom w:w="0" w:type="dxa"/>
        <w:right w:w="0" w:type="dxa"/>
      </w:tblCellMar>
    </w:tblPr>
  </w:style>
  <w:style w:type="numbering" w:customStyle="1" w:styleId="Bezpopisa12">
    <w:name w:val="Bez popisa12"/>
    <w:next w:val="Bezpopisa"/>
    <w:uiPriority w:val="99"/>
    <w:semiHidden/>
    <w:unhideWhenUsed/>
    <w:rsid w:val="00E96220"/>
  </w:style>
  <w:style w:type="numbering" w:customStyle="1" w:styleId="Bezpopisa111">
    <w:name w:val="Bez popisa111"/>
    <w:next w:val="Bezpopisa"/>
    <w:uiPriority w:val="99"/>
    <w:semiHidden/>
    <w:unhideWhenUsed/>
    <w:rsid w:val="00E96220"/>
  </w:style>
  <w:style w:type="table" w:customStyle="1" w:styleId="TableGrid11">
    <w:name w:val="TableGrid11"/>
    <w:rsid w:val="00E96220"/>
    <w:pPr>
      <w:spacing w:after="0" w:line="240" w:lineRule="auto"/>
    </w:pPr>
    <w:rPr>
      <w:rFonts w:ascii="Calibri" w:eastAsia="Times New Roman" w:hAnsi="Calibri" w:cs="Times New Roman"/>
      <w:lang w:val="hr-HR" w:eastAsia="hr-HR"/>
    </w:rPr>
    <w:tblPr>
      <w:tblCellMar>
        <w:top w:w="0" w:type="dxa"/>
        <w:left w:w="0" w:type="dxa"/>
        <w:bottom w:w="0" w:type="dxa"/>
        <w:right w:w="0" w:type="dxa"/>
      </w:tblCellMar>
    </w:tblPr>
  </w:style>
  <w:style w:type="table" w:customStyle="1" w:styleId="TableGrid3">
    <w:name w:val="TableGrid3"/>
    <w:rsid w:val="00510729"/>
    <w:pPr>
      <w:spacing w:after="0" w:line="240" w:lineRule="auto"/>
    </w:pPr>
    <w:rPr>
      <w:rFonts w:ascii="Times New Roman" w:eastAsia="Times New Roman" w:hAnsi="Times New Roman" w:cs="Times New Roman"/>
      <w:sz w:val="24"/>
      <w:szCs w:val="24"/>
      <w:lang w:val="hr-HR" w:eastAsia="hr-HR"/>
    </w:rPr>
    <w:tblPr>
      <w:tblCellMar>
        <w:top w:w="0" w:type="dxa"/>
        <w:left w:w="0" w:type="dxa"/>
        <w:bottom w:w="0" w:type="dxa"/>
        <w:right w:w="0" w:type="dxa"/>
      </w:tblCellMar>
    </w:tblPr>
  </w:style>
  <w:style w:type="character" w:styleId="Nerijeenospominjanje">
    <w:name w:val="Unresolved Mention"/>
    <w:basedOn w:val="Zadanifontodlomka"/>
    <w:uiPriority w:val="99"/>
    <w:semiHidden/>
    <w:unhideWhenUsed/>
    <w:rsid w:val="00510729"/>
    <w:rPr>
      <w:color w:val="605E5C"/>
      <w:shd w:val="clear" w:color="auto" w:fill="E1DFDD"/>
    </w:rPr>
  </w:style>
  <w:style w:type="paragraph" w:styleId="Podnaslov">
    <w:name w:val="Subtitle"/>
    <w:basedOn w:val="Normal"/>
    <w:next w:val="Normal"/>
    <w:link w:val="PodnaslovChar"/>
    <w:uiPriority w:val="11"/>
    <w:qFormat/>
    <w:rsid w:val="00510729"/>
    <w:pPr>
      <w:keepNext/>
      <w:keepLines/>
      <w:spacing w:before="360" w:after="80" w:line="240" w:lineRule="auto"/>
    </w:pPr>
    <w:rPr>
      <w:rFonts w:ascii="Georgia" w:eastAsia="Georgia" w:hAnsi="Georgia" w:cs="Georgia"/>
      <w:i/>
      <w:color w:val="666666"/>
      <w:sz w:val="48"/>
      <w:szCs w:val="48"/>
      <w:lang w:val="hr-HR"/>
    </w:rPr>
  </w:style>
  <w:style w:type="character" w:customStyle="1" w:styleId="PodnaslovChar">
    <w:name w:val="Podnaslov Char"/>
    <w:basedOn w:val="Zadanifontodlomka"/>
    <w:link w:val="Podnaslov"/>
    <w:uiPriority w:val="11"/>
    <w:rsid w:val="00510729"/>
    <w:rPr>
      <w:rFonts w:ascii="Georgia" w:eastAsia="Georgia" w:hAnsi="Georgia" w:cs="Georgia"/>
      <w:i/>
      <w:color w:val="666666"/>
      <w:sz w:val="48"/>
      <w:szCs w:val="48"/>
      <w:lang w:val="hr-HR"/>
    </w:rPr>
  </w:style>
  <w:style w:type="table" w:customStyle="1" w:styleId="TableNormal1">
    <w:name w:val="Table Normal1"/>
    <w:rsid w:val="00510729"/>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hr-HR" w:eastAsia="hr-HR"/>
    </w:rPr>
    <w:tblPr>
      <w:tblInd w:w="0" w:type="dxa"/>
      <w:tblCellMar>
        <w:top w:w="0" w:type="dxa"/>
        <w:left w:w="0" w:type="dxa"/>
        <w:bottom w:w="0" w:type="dxa"/>
        <w:right w:w="0" w:type="dxa"/>
      </w:tblCellMar>
    </w:tblPr>
  </w:style>
  <w:style w:type="character" w:customStyle="1" w:styleId="markedcontent">
    <w:name w:val="markedcontent"/>
    <w:basedOn w:val="Zadanifontodlomka"/>
    <w:rsid w:val="001F51C2"/>
  </w:style>
  <w:style w:type="paragraph" w:customStyle="1" w:styleId="TableParagraph">
    <w:name w:val="Table Paragraph"/>
    <w:basedOn w:val="Normal"/>
    <w:uiPriority w:val="1"/>
    <w:qFormat/>
    <w:rsid w:val="007C3340"/>
    <w:pPr>
      <w:widowControl w:val="0"/>
      <w:autoSpaceDE w:val="0"/>
      <w:autoSpaceDN w:val="0"/>
      <w:spacing w:after="0" w:line="240" w:lineRule="auto"/>
      <w:ind w:left="143"/>
    </w:pPr>
    <w:rPr>
      <w:rFonts w:ascii="Cambria" w:eastAsia="Cambria" w:hAnsi="Cambria" w:cs="Cambria"/>
      <w:lang w:val="hr-HR"/>
    </w:rPr>
  </w:style>
  <w:style w:type="character" w:customStyle="1" w:styleId="OdlomakpopisaChar">
    <w:name w:val="Odlomak popisa Char"/>
    <w:link w:val="Odlomakpopisa"/>
    <w:uiPriority w:val="34"/>
    <w:locked/>
    <w:rsid w:val="00DC5B8F"/>
    <w:rPr>
      <w:rFonts w:ascii="Calibri" w:eastAsia="Calibri" w:hAnsi="Calibri" w:cs="Times New Roman"/>
      <w:lang w:val="hr-HR"/>
    </w:rPr>
  </w:style>
  <w:style w:type="paragraph" w:customStyle="1" w:styleId="msonormal0">
    <w:name w:val="msonormal"/>
    <w:basedOn w:val="Normal"/>
    <w:uiPriority w:val="99"/>
    <w:rsid w:val="000B2D2C"/>
    <w:pPr>
      <w:spacing w:after="240" w:line="336" w:lineRule="atLeast"/>
    </w:pPr>
    <w:rPr>
      <w:rFonts w:ascii="Arial" w:eastAsia="Times New Roman" w:hAnsi="Arial" w:cs="Arial"/>
      <w:color w:val="000000"/>
      <w:sz w:val="24"/>
      <w:szCs w:val="24"/>
      <w:lang w:val="hr-HR" w:eastAsia="hr-HR"/>
    </w:rPr>
  </w:style>
  <w:style w:type="character" w:customStyle="1" w:styleId="TijelotekstaChar1">
    <w:name w:val="Tijelo teksta Char1"/>
    <w:aliases w:val="uvlaka 2 Char1"/>
    <w:basedOn w:val="Zadanifontodlomka"/>
    <w:semiHidden/>
    <w:rsid w:val="000B2D2C"/>
  </w:style>
  <w:style w:type="table" w:customStyle="1" w:styleId="TableNormal">
    <w:name w:val="Table Normal"/>
    <w:semiHidden/>
    <w:rsid w:val="001421C4"/>
    <w:pPr>
      <w:spacing w:after="0" w:line="240" w:lineRule="auto"/>
    </w:pPr>
    <w:rPr>
      <w:rFonts w:ascii="Times New Roman" w:eastAsia="Times New Roman" w:hAnsi="Times New Roman" w:cs="Times New Roman"/>
      <w:sz w:val="20"/>
      <w:szCs w:val="20"/>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325261">
      <w:bodyDiv w:val="1"/>
      <w:marLeft w:val="0"/>
      <w:marRight w:val="0"/>
      <w:marTop w:val="0"/>
      <w:marBottom w:val="0"/>
      <w:divBdr>
        <w:top w:val="none" w:sz="0" w:space="0" w:color="auto"/>
        <w:left w:val="none" w:sz="0" w:space="0" w:color="auto"/>
        <w:bottom w:val="none" w:sz="0" w:space="0" w:color="auto"/>
        <w:right w:val="none" w:sz="0" w:space="0" w:color="auto"/>
      </w:divBdr>
    </w:div>
    <w:div w:id="514617524">
      <w:bodyDiv w:val="1"/>
      <w:marLeft w:val="0"/>
      <w:marRight w:val="0"/>
      <w:marTop w:val="0"/>
      <w:marBottom w:val="0"/>
      <w:divBdr>
        <w:top w:val="none" w:sz="0" w:space="0" w:color="auto"/>
        <w:left w:val="none" w:sz="0" w:space="0" w:color="auto"/>
        <w:bottom w:val="none" w:sz="0" w:space="0" w:color="auto"/>
        <w:right w:val="none" w:sz="0" w:space="0" w:color="auto"/>
      </w:divBdr>
    </w:div>
    <w:div w:id="602566917">
      <w:bodyDiv w:val="1"/>
      <w:marLeft w:val="0"/>
      <w:marRight w:val="0"/>
      <w:marTop w:val="0"/>
      <w:marBottom w:val="0"/>
      <w:divBdr>
        <w:top w:val="none" w:sz="0" w:space="0" w:color="auto"/>
        <w:left w:val="none" w:sz="0" w:space="0" w:color="auto"/>
        <w:bottom w:val="none" w:sz="0" w:space="0" w:color="auto"/>
        <w:right w:val="none" w:sz="0" w:space="0" w:color="auto"/>
      </w:divBdr>
    </w:div>
    <w:div w:id="1306157570">
      <w:bodyDiv w:val="1"/>
      <w:marLeft w:val="0"/>
      <w:marRight w:val="0"/>
      <w:marTop w:val="0"/>
      <w:marBottom w:val="0"/>
      <w:divBdr>
        <w:top w:val="none" w:sz="0" w:space="0" w:color="auto"/>
        <w:left w:val="none" w:sz="0" w:space="0" w:color="auto"/>
        <w:bottom w:val="none" w:sz="0" w:space="0" w:color="auto"/>
        <w:right w:val="none" w:sz="0" w:space="0" w:color="auto"/>
      </w:divBdr>
    </w:div>
    <w:div w:id="1542788595">
      <w:bodyDiv w:val="1"/>
      <w:marLeft w:val="0"/>
      <w:marRight w:val="0"/>
      <w:marTop w:val="0"/>
      <w:marBottom w:val="0"/>
      <w:divBdr>
        <w:top w:val="none" w:sz="0" w:space="0" w:color="auto"/>
        <w:left w:val="none" w:sz="0" w:space="0" w:color="auto"/>
        <w:bottom w:val="none" w:sz="0" w:space="0" w:color="auto"/>
        <w:right w:val="none" w:sz="0" w:space="0" w:color="auto"/>
      </w:divBdr>
    </w:div>
    <w:div w:id="1631470683">
      <w:bodyDiv w:val="1"/>
      <w:marLeft w:val="0"/>
      <w:marRight w:val="0"/>
      <w:marTop w:val="0"/>
      <w:marBottom w:val="0"/>
      <w:divBdr>
        <w:top w:val="none" w:sz="0" w:space="0" w:color="auto"/>
        <w:left w:val="none" w:sz="0" w:space="0" w:color="auto"/>
        <w:bottom w:val="none" w:sz="0" w:space="0" w:color="auto"/>
        <w:right w:val="none" w:sz="0" w:space="0" w:color="auto"/>
      </w:divBdr>
    </w:div>
    <w:div w:id="1647932943">
      <w:bodyDiv w:val="1"/>
      <w:marLeft w:val="0"/>
      <w:marRight w:val="0"/>
      <w:marTop w:val="0"/>
      <w:marBottom w:val="0"/>
      <w:divBdr>
        <w:top w:val="none" w:sz="0" w:space="0" w:color="auto"/>
        <w:left w:val="none" w:sz="0" w:space="0" w:color="auto"/>
        <w:bottom w:val="none" w:sz="0" w:space="0" w:color="auto"/>
        <w:right w:val="none" w:sz="0" w:space="0" w:color="auto"/>
      </w:divBdr>
    </w:div>
    <w:div w:id="1707680766">
      <w:bodyDiv w:val="1"/>
      <w:marLeft w:val="0"/>
      <w:marRight w:val="0"/>
      <w:marTop w:val="0"/>
      <w:marBottom w:val="0"/>
      <w:divBdr>
        <w:top w:val="none" w:sz="0" w:space="0" w:color="auto"/>
        <w:left w:val="none" w:sz="0" w:space="0" w:color="auto"/>
        <w:bottom w:val="none" w:sz="0" w:space="0" w:color="auto"/>
        <w:right w:val="none" w:sz="0" w:space="0" w:color="auto"/>
      </w:divBdr>
    </w:div>
    <w:div w:id="2033526940">
      <w:bodyDiv w:val="1"/>
      <w:marLeft w:val="0"/>
      <w:marRight w:val="0"/>
      <w:marTop w:val="0"/>
      <w:marBottom w:val="0"/>
      <w:divBdr>
        <w:top w:val="none" w:sz="0" w:space="0" w:color="auto"/>
        <w:left w:val="none" w:sz="0" w:space="0" w:color="auto"/>
        <w:bottom w:val="none" w:sz="0" w:space="0" w:color="auto"/>
        <w:right w:val="none" w:sz="0" w:space="0" w:color="auto"/>
      </w:divBdr>
    </w:div>
    <w:div w:id="208414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hrcak.srce.hr/26964" TargetMode="External"/><Relationship Id="rId21" Type="http://schemas.openxmlformats.org/officeDocument/2006/relationships/hyperlink" Target="https://fet.unipu.hr/fet/marieta.djakovic" TargetMode="External"/><Relationship Id="rId42" Type="http://schemas.openxmlformats.org/officeDocument/2006/relationships/hyperlink" Target="https://ffpu.unipu.hr/ffpu/ivana.nezic" TargetMode="External"/><Relationship Id="rId63" Type="http://schemas.openxmlformats.org/officeDocument/2006/relationships/hyperlink" Target="https://fooz.unipu.hr/fooz/sanja.tatkovic" TargetMode="External"/><Relationship Id="rId84" Type="http://schemas.openxmlformats.org/officeDocument/2006/relationships/hyperlink" Target="https://ec.europa.eu/programmes/erasmus-plus/project-result-content/78cf8290-e6f6-4f2e-bfb6-b6dc88d71100/Ethika_O1a_%20Manual%20for%20Teachers_HR.pdf" TargetMode="External"/><Relationship Id="rId138" Type="http://schemas.openxmlformats.org/officeDocument/2006/relationships/hyperlink" Target="https://www.veleri.hr/hr/nastavno-osoblje/profil/90" TargetMode="External"/><Relationship Id="rId159" Type="http://schemas.openxmlformats.org/officeDocument/2006/relationships/hyperlink" Target="https://fipu.unipu.hr/fipu/sinisa.milicic" TargetMode="External"/><Relationship Id="rId170" Type="http://schemas.openxmlformats.org/officeDocument/2006/relationships/hyperlink" Target="https://fooz.unipu.hr/fooz/silva.bratoz" TargetMode="External"/><Relationship Id="rId191" Type="http://schemas.openxmlformats.org/officeDocument/2006/relationships/hyperlink" Target="https://fooz.unipu.hr/fooz/helena.pavletic" TargetMode="External"/><Relationship Id="rId205" Type="http://schemas.openxmlformats.org/officeDocument/2006/relationships/hyperlink" Target="https://fooz.unipu.hr/fooz/breza.zizovic" TargetMode="External"/><Relationship Id="rId107" Type="http://schemas.openxmlformats.org/officeDocument/2006/relationships/hyperlink" Target="https://fooz.unipu.hr/fooz/branka.antunovic-piton" TargetMode="External"/><Relationship Id="rId11" Type="http://schemas.openxmlformats.org/officeDocument/2006/relationships/hyperlink" Target="https://ec.europa.eu/programmes/erasmus-plus/project-result-content/78cf8290-e6f6-4f2e-bfb6-b6dc88d71100/Ethika_O1a_%20Manual%20for%20Teachers_HR.pdf" TargetMode="External"/><Relationship Id="rId32" Type="http://schemas.openxmlformats.org/officeDocument/2006/relationships/hyperlink" Target="https://ffpu.unipu.hr/ffpu/marlena.plavsic" TargetMode="External"/><Relationship Id="rId53" Type="http://schemas.openxmlformats.org/officeDocument/2006/relationships/hyperlink" Target="http://www.dw-world.de" TargetMode="External"/><Relationship Id="rId74" Type="http://schemas.openxmlformats.org/officeDocument/2006/relationships/hyperlink" Target="https://fooz.unipu.hr/fooz/vanja.markovic" TargetMode="External"/><Relationship Id="rId128" Type="http://schemas.openxmlformats.org/officeDocument/2006/relationships/hyperlink" Target="https://fooz.unipu.hr/fooz/branko.radic" TargetMode="External"/><Relationship Id="rId149" Type="http://schemas.openxmlformats.org/officeDocument/2006/relationships/hyperlink" Target="https://narodne-novine.nn.hr/clanci/sluzbeni/2019_01_7_151.html" TargetMode="External"/><Relationship Id="rId5" Type="http://schemas.openxmlformats.org/officeDocument/2006/relationships/webSettings" Target="webSettings.xml"/><Relationship Id="rId95" Type="http://schemas.openxmlformats.org/officeDocument/2006/relationships/hyperlink" Target="https://fooz.unipu.hr/fooz/vjekoslava.jurdana" TargetMode="External"/><Relationship Id="rId160" Type="http://schemas.openxmlformats.org/officeDocument/2006/relationships/hyperlink" Target="https://fooz.unipu.hr/fooz/branka.antunovic-piton" TargetMode="External"/><Relationship Id="rId181" Type="http://schemas.openxmlformats.org/officeDocument/2006/relationships/hyperlink" Target="https://fooz.unipu.hr/fooz/viktor.vojnic" TargetMode="External"/><Relationship Id="rId22" Type="http://schemas.openxmlformats.org/officeDocument/2006/relationships/hyperlink" Target="https://www.tatsachen-ueber-deutschland.de/de" TargetMode="External"/><Relationship Id="rId43" Type="http://schemas.openxmlformats.org/officeDocument/2006/relationships/hyperlink" Target="http://www.hrvatskiplus.org/" TargetMode="External"/><Relationship Id="rId64" Type="http://schemas.openxmlformats.org/officeDocument/2006/relationships/hyperlink" Target="http://www.unipu.hr/index.php?id=1001" TargetMode="External"/><Relationship Id="rId118" Type="http://schemas.openxmlformats.org/officeDocument/2006/relationships/hyperlink" Target="https://hrcak.srce.hr/82461" TargetMode="External"/><Relationship Id="rId139" Type="http://schemas.openxmlformats.org/officeDocument/2006/relationships/hyperlink" Target="https://mfpu.unipu.hr/mfpu/igor.dobraca" TargetMode="External"/><Relationship Id="rId85" Type="http://schemas.openxmlformats.org/officeDocument/2006/relationships/hyperlink" Target="https://fooz.unipu.hr/fooz/ivana_paula.gortan-carlin" TargetMode="External"/><Relationship Id="rId150" Type="http://schemas.openxmlformats.org/officeDocument/2006/relationships/hyperlink" Target="https://fooz.unipu.hr/fooz/aleksandra.rotar" TargetMode="External"/><Relationship Id="rId171" Type="http://schemas.openxmlformats.org/officeDocument/2006/relationships/hyperlink" Target="https://fooz.unipu.hr/fooz/jelena.gugic" TargetMode="External"/><Relationship Id="rId192" Type="http://schemas.openxmlformats.org/officeDocument/2006/relationships/hyperlink" Target="https://fooz.unipu.hr/fooz/ivana_paula.gortan-carlin" TargetMode="External"/><Relationship Id="rId206" Type="http://schemas.openxmlformats.org/officeDocument/2006/relationships/fontTable" Target="fontTable.xml"/><Relationship Id="rId12" Type="http://schemas.openxmlformats.org/officeDocument/2006/relationships/hyperlink" Target="https://fooz.unipu.hr/fooz/renata.martincic_maric" TargetMode="External"/><Relationship Id="rId33" Type="http://schemas.openxmlformats.org/officeDocument/2006/relationships/hyperlink" Target="https://fooz.unipu.hr/fooz/renata.martincic_maric" TargetMode="External"/><Relationship Id="rId108" Type="http://schemas.openxmlformats.org/officeDocument/2006/relationships/hyperlink" Target="https://mzo.gov.hr/istaknute-teme/odgoj-i-obrazovanje/nacionalni-kurikulum/predmetni-kurikulumi/539" TargetMode="External"/><Relationship Id="rId129" Type="http://schemas.openxmlformats.org/officeDocument/2006/relationships/hyperlink" Target="https://narodne-novine.nn.hr/clanci/sluzbeni/2019_01_7_151.html" TargetMode="External"/><Relationship Id="rId54" Type="http://schemas.openxmlformats.org/officeDocument/2006/relationships/hyperlink" Target="https://www.goethe.de/de/index.html" TargetMode="External"/><Relationship Id="rId75" Type="http://schemas.openxmlformats.org/officeDocument/2006/relationships/hyperlink" Target="https://mzo.gov.hr/UserDocsImages/dokumenti/Obrazovanje/Smjernice%20za%20rad%20s%20ucenicima%20s%20teskocama.pdf" TargetMode="External"/><Relationship Id="rId96" Type="http://schemas.openxmlformats.org/officeDocument/2006/relationships/hyperlink" Target="https://fooz.unipu.hr/fooz/anita.gergoric" TargetMode="External"/><Relationship Id="rId140" Type="http://schemas.openxmlformats.org/officeDocument/2006/relationships/hyperlink" Target="https://fooz.unipu.hr/fooz/vjekoslava.jurdana" TargetMode="External"/><Relationship Id="rId161" Type="http://schemas.openxmlformats.org/officeDocument/2006/relationships/hyperlink" Target="https://mzo.gov.hr/istaknute-teme/odgoj-i-obrazovanje/nacionalni-kurikulum/predmetni-kurikulumi/539" TargetMode="External"/><Relationship Id="rId182" Type="http://schemas.openxmlformats.org/officeDocument/2006/relationships/hyperlink" Target="https://fooz.unipu.hr/fooz/maja.ruzic_baf" TargetMode="External"/><Relationship Id="rId6" Type="http://schemas.openxmlformats.org/officeDocument/2006/relationships/footnotes" Target="footnotes.xml"/><Relationship Id="rId23" Type="http://schemas.openxmlformats.org/officeDocument/2006/relationships/hyperlink" Target="https://www.austria.info/at/service-fakten/uber-osterreich" TargetMode="External"/><Relationship Id="rId119" Type="http://schemas.openxmlformats.org/officeDocument/2006/relationships/hyperlink" Target="https://fooz.unipu.hr/fooz/ivana_paula.gortan-carlin" TargetMode="External"/><Relationship Id="rId44" Type="http://schemas.openxmlformats.org/officeDocument/2006/relationships/hyperlink" Target="http://savjetnik.ihjj.hr/" TargetMode="External"/><Relationship Id="rId65" Type="http://schemas.openxmlformats.org/officeDocument/2006/relationships/hyperlink" Target="https://fooz.unipu.hr/fooz/vjekoslava.jurdana" TargetMode="External"/><Relationship Id="rId86" Type="http://schemas.openxmlformats.org/officeDocument/2006/relationships/hyperlink" Target="https://fooz.unipu.hr/fooz/branko.radic" TargetMode="External"/><Relationship Id="rId130" Type="http://schemas.openxmlformats.org/officeDocument/2006/relationships/hyperlink" Target="https://fooz.unipu.hr/fooz/aleksandra.rotar" TargetMode="External"/><Relationship Id="rId151" Type="http://schemas.openxmlformats.org/officeDocument/2006/relationships/hyperlink" Target="https://fooz.unipu.hr/fooz/iva.blazevic" TargetMode="External"/><Relationship Id="rId172" Type="http://schemas.openxmlformats.org/officeDocument/2006/relationships/hyperlink" Target="https://fooz.unipu.hr/fooz/maja.ruzic_baf" TargetMode="External"/><Relationship Id="rId193" Type="http://schemas.openxmlformats.org/officeDocument/2006/relationships/hyperlink" Target="https://fooz.unipu.hr/fooz/branko.radic" TargetMode="External"/><Relationship Id="rId207" Type="http://schemas.openxmlformats.org/officeDocument/2006/relationships/theme" Target="theme/theme1.xml"/><Relationship Id="rId13" Type="http://schemas.openxmlformats.org/officeDocument/2006/relationships/hyperlink" Target="https://fooz.unipu.hr/fooz/sanja.tatkovic" TargetMode="External"/><Relationship Id="rId109" Type="http://schemas.openxmlformats.org/officeDocument/2006/relationships/hyperlink" Target="https://mzo.gov.hr/istaknute-teme/odgoj-i-obrazovanje/nacionalni-kurikulum/medjupredmetne-teme/3852" TargetMode="External"/><Relationship Id="rId34" Type="http://schemas.openxmlformats.org/officeDocument/2006/relationships/hyperlink" Target="https://fooz.unipu.hr/fooz/marina.dikovic" TargetMode="External"/><Relationship Id="rId55" Type="http://schemas.openxmlformats.org/officeDocument/2006/relationships/hyperlink" Target="http://www.deutschlandpanorama.de" TargetMode="External"/><Relationship Id="rId76" Type="http://schemas.openxmlformats.org/officeDocument/2006/relationships/hyperlink" Target="https://tfpu.unipu.hr/tfpu/neven.grbac" TargetMode="External"/><Relationship Id="rId97" Type="http://schemas.openxmlformats.org/officeDocument/2006/relationships/hyperlink" Target="https://fooz.unipu.hr/fooz/branko.radic" TargetMode="External"/><Relationship Id="rId120" Type="http://schemas.openxmlformats.org/officeDocument/2006/relationships/hyperlink" Target="https://fooz.unipu.hr/fooz/branko.radic" TargetMode="External"/><Relationship Id="rId141" Type="http://schemas.openxmlformats.org/officeDocument/2006/relationships/hyperlink" Target="https://fooz.unipu.hr/fooz/samanta.paronic" TargetMode="External"/><Relationship Id="rId7" Type="http://schemas.openxmlformats.org/officeDocument/2006/relationships/endnotes" Target="endnotes.xml"/><Relationship Id="rId162" Type="http://schemas.openxmlformats.org/officeDocument/2006/relationships/hyperlink" Target="https://mzo.gov.hr/istaknute-teme/odgoj-i-obrazovanje/nacionalni-kurikulum/medjupredmetne-teme/3852" TargetMode="External"/><Relationship Id="rId183" Type="http://schemas.openxmlformats.org/officeDocument/2006/relationships/hyperlink" Target="http://www.unipu.hr/index.php?id=1851&amp;L=1%2Fsupport.php%3Fid%3D%5C%27" TargetMode="External"/><Relationship Id="rId24" Type="http://schemas.openxmlformats.org/officeDocument/2006/relationships/hyperlink" Target="http://www.dw-world.de" TargetMode="External"/><Relationship Id="rId40" Type="http://schemas.openxmlformats.org/officeDocument/2006/relationships/hyperlink" Target="https://www.academia.edu/10374894/Sociologija_odgoja_i_obrazovanja_%C5%BDeljko_Pavi%C4%87?auto=download" TargetMode="External"/><Relationship Id="rId45" Type="http://schemas.openxmlformats.org/officeDocument/2006/relationships/hyperlink" Target="http://riznica.ihjj.hr/index.hr.html" TargetMode="External"/><Relationship Id="rId66" Type="http://schemas.openxmlformats.org/officeDocument/2006/relationships/hyperlink" Target="https://tfpu.unipu.hr/tfpu/neven.grbac" TargetMode="External"/><Relationship Id="rId87" Type="http://schemas.openxmlformats.org/officeDocument/2006/relationships/hyperlink" Target="https://fooz.unipu.hr/fooz/mirjana.radetic-paic" TargetMode="External"/><Relationship Id="rId110" Type="http://schemas.openxmlformats.org/officeDocument/2006/relationships/hyperlink" Target="https://mis.element.hr/" TargetMode="External"/><Relationship Id="rId115" Type="http://schemas.openxmlformats.org/officeDocument/2006/relationships/hyperlink" Target="https://fooz.unipu.hr/fooz/kristina.riman" TargetMode="External"/><Relationship Id="rId131" Type="http://schemas.openxmlformats.org/officeDocument/2006/relationships/hyperlink" Target="https://fooz.unipu.hr/fooz/sandra.kadum" TargetMode="External"/><Relationship Id="rId136" Type="http://schemas.openxmlformats.org/officeDocument/2006/relationships/hyperlink" Target="https://fet.unipu.hr/fet/moira.kostic_bobanovic" TargetMode="External"/><Relationship Id="rId157" Type="http://schemas.openxmlformats.org/officeDocument/2006/relationships/hyperlink" Target="https://fooz.unipu.hr/fooz/elena.krelja_kurelovic" TargetMode="External"/><Relationship Id="rId178" Type="http://schemas.openxmlformats.org/officeDocument/2006/relationships/hyperlink" Target="https://rusistika.ffzg.unizg.hr/?page_id=1288" TargetMode="External"/><Relationship Id="rId61" Type="http://schemas.openxmlformats.org/officeDocument/2006/relationships/hyperlink" Target="https://fooz.unipu.hr/fooz/sandra.kadum" TargetMode="External"/><Relationship Id="rId82" Type="http://schemas.openxmlformats.org/officeDocument/2006/relationships/hyperlink" Target="https://fpz.unipu.hr/fpz/petra.buric" TargetMode="External"/><Relationship Id="rId152" Type="http://schemas.openxmlformats.org/officeDocument/2006/relationships/hyperlink" Target="https://fooz.unipu.hr/fooz/ester.vidovic" TargetMode="External"/><Relationship Id="rId173" Type="http://schemas.openxmlformats.org/officeDocument/2006/relationships/hyperlink" Target="https://fooz.unipu.hr/fooz/janko.zufic" TargetMode="External"/><Relationship Id="rId194" Type="http://schemas.openxmlformats.org/officeDocument/2006/relationships/hyperlink" Target="https://fooz.unipu.hr/fooz/andrea.debeljuh" TargetMode="External"/><Relationship Id="rId199" Type="http://schemas.openxmlformats.org/officeDocument/2006/relationships/hyperlink" Target="http://lektire.skole.hr/" TargetMode="External"/><Relationship Id="rId203" Type="http://schemas.openxmlformats.org/officeDocument/2006/relationships/hyperlink" Target="https://hrcak.srce.hr/26964" TargetMode="External"/><Relationship Id="rId19" Type="http://schemas.openxmlformats.org/officeDocument/2006/relationships/hyperlink" Target="https://fooz.unipu.hr/fooz/ivan.zufic" TargetMode="External"/><Relationship Id="rId14" Type="http://schemas.openxmlformats.org/officeDocument/2006/relationships/hyperlink" Target="http://www.unipu.hr/index.php?id=1844" TargetMode="External"/><Relationship Id="rId30" Type="http://schemas.openxmlformats.org/officeDocument/2006/relationships/hyperlink" Target="https://fooz.unipu.hr/fooz/branko.radic" TargetMode="External"/><Relationship Id="rId35" Type="http://schemas.openxmlformats.org/officeDocument/2006/relationships/hyperlink" Target="https://fooz.unipu.hr/fooz/monika.terlevic" TargetMode="External"/><Relationship Id="rId56" Type="http://schemas.openxmlformats.org/officeDocument/2006/relationships/hyperlink" Target="http://www.vitaminde.de" TargetMode="External"/><Relationship Id="rId77" Type="http://schemas.openxmlformats.org/officeDocument/2006/relationships/hyperlink" Target="https://fooz.unipu.hr/fooz/branka.antunovic-piton" TargetMode="External"/><Relationship Id="rId100" Type="http://schemas.openxmlformats.org/officeDocument/2006/relationships/hyperlink" Target="https://fooz.unipu.hr/fooz/kristina.riman" TargetMode="External"/><Relationship Id="rId105" Type="http://schemas.openxmlformats.org/officeDocument/2006/relationships/hyperlink" Target="https://fooz.unipu.hr/fooz/vjekoslava.jurdana" TargetMode="External"/><Relationship Id="rId126" Type="http://schemas.openxmlformats.org/officeDocument/2006/relationships/hyperlink" Target="https://mis.element.hr/" TargetMode="External"/><Relationship Id="rId147" Type="http://schemas.openxmlformats.org/officeDocument/2006/relationships/hyperlink" Target="https://fooz.unipu.hr/fooz/ivana_paula.gortan-carlin" TargetMode="External"/><Relationship Id="rId168" Type="http://schemas.openxmlformats.org/officeDocument/2006/relationships/hyperlink" Target="https://rusistika.ffzg.unizg.hr/?page_id=1288" TargetMode="External"/><Relationship Id="rId8" Type="http://schemas.openxmlformats.org/officeDocument/2006/relationships/image" Target="media/image1.png"/><Relationship Id="rId51" Type="http://schemas.openxmlformats.org/officeDocument/2006/relationships/hyperlink" Target="https://www.tatsachen-ueber-deutschland.de/de" TargetMode="External"/><Relationship Id="rId72" Type="http://schemas.openxmlformats.org/officeDocument/2006/relationships/hyperlink" Target="https://fooz.unipu.hr/fooz/irena.kiss" TargetMode="External"/><Relationship Id="rId93" Type="http://schemas.openxmlformats.org/officeDocument/2006/relationships/hyperlink" Target="https://fooz.unipu.hr/fooz/ivan.oreb" TargetMode="External"/><Relationship Id="rId98" Type="http://schemas.openxmlformats.org/officeDocument/2006/relationships/hyperlink" Target="https://fooz.unipu.hr/fooz/irena.kiss" TargetMode="External"/><Relationship Id="rId121" Type="http://schemas.openxmlformats.org/officeDocument/2006/relationships/hyperlink" Target="https://ffpu.unipu.hr/ffpu/ivana.nezic" TargetMode="External"/><Relationship Id="rId142" Type="http://schemas.openxmlformats.org/officeDocument/2006/relationships/hyperlink" Target="https://fipu.unipu.hr/fipu/sinisa.milicic" TargetMode="External"/><Relationship Id="rId163" Type="http://schemas.openxmlformats.org/officeDocument/2006/relationships/hyperlink" Target="https://fooz.unipu.hr/fooz/marina.dikovic" TargetMode="External"/><Relationship Id="rId184" Type="http://schemas.openxmlformats.org/officeDocument/2006/relationships/hyperlink" Target="https://fooz.unipu.hr/fooz/elena.krelja_kurelovic" TargetMode="External"/><Relationship Id="rId189" Type="http://schemas.openxmlformats.org/officeDocument/2006/relationships/hyperlink" Target="https://ffpu.unipu.hr/ffpu/marlena.plavsic" TargetMode="External"/><Relationship Id="rId3" Type="http://schemas.openxmlformats.org/officeDocument/2006/relationships/styles" Target="styles.xml"/><Relationship Id="rId25" Type="http://schemas.openxmlformats.org/officeDocument/2006/relationships/hyperlink" Target="https://www.goethe.de/de/index.html" TargetMode="External"/><Relationship Id="rId46" Type="http://schemas.openxmlformats.org/officeDocument/2006/relationships/hyperlink" Target="http://bolje.hr/" TargetMode="External"/><Relationship Id="rId67" Type="http://schemas.openxmlformats.org/officeDocument/2006/relationships/hyperlink" Target="https://fooz.unipu.hr/fooz/branka.antunovic-piton" TargetMode="External"/><Relationship Id="rId116" Type="http://schemas.openxmlformats.org/officeDocument/2006/relationships/hyperlink" Target="https://hrcak.srce.hr/174662" TargetMode="External"/><Relationship Id="rId137" Type="http://schemas.openxmlformats.org/officeDocument/2006/relationships/hyperlink" Target="https://fooz.unipu.hr/fooz/ivan.zufic" TargetMode="External"/><Relationship Id="rId158" Type="http://schemas.openxmlformats.org/officeDocument/2006/relationships/hyperlink" Target="https://mfpu.unipu.hr/mfpu/igor.dobraca" TargetMode="External"/><Relationship Id="rId20" Type="http://schemas.openxmlformats.org/officeDocument/2006/relationships/hyperlink" Target="https://fooz.unipu.hr/fooz/jelena.gugic" TargetMode="External"/><Relationship Id="rId41" Type="http://schemas.openxmlformats.org/officeDocument/2006/relationships/hyperlink" Target="https://www.academia.edu/10374894/Sociologija_odgoja_i_obrazovanja_%C5%BDeljko_Pavi%C4%87?auto=download" TargetMode="External"/><Relationship Id="rId62" Type="http://schemas.openxmlformats.org/officeDocument/2006/relationships/hyperlink" Target="https://ffpu.unipu.hr/ffpu/marlena.plavsic" TargetMode="External"/><Relationship Id="rId83" Type="http://schemas.openxmlformats.org/officeDocument/2006/relationships/hyperlink" Target="https://fooz.unipu.hr/fooz/alen.tafra" TargetMode="External"/><Relationship Id="rId88" Type="http://schemas.openxmlformats.org/officeDocument/2006/relationships/hyperlink" Target="https://fooz.unipu.hr/fooz/maja.ruzic_baf" TargetMode="External"/><Relationship Id="rId111" Type="http://schemas.openxmlformats.org/officeDocument/2006/relationships/hyperlink" Target="https://fooz.unipu.hr/fooz/anita.gergoric" TargetMode="External"/><Relationship Id="rId132" Type="http://schemas.openxmlformats.org/officeDocument/2006/relationships/hyperlink" Target="https://fooz.unipu.hr/fooz/irena.kiss" TargetMode="External"/><Relationship Id="rId153" Type="http://schemas.openxmlformats.org/officeDocument/2006/relationships/hyperlink" Target="https://rusistika.ffzg.unizg.hr/?page_id=1288" TargetMode="External"/><Relationship Id="rId174" Type="http://schemas.openxmlformats.org/officeDocument/2006/relationships/hyperlink" Target="https://fooz.unipu.hr/fooz/elena.krelja_kurelovic" TargetMode="External"/><Relationship Id="rId179" Type="http://schemas.openxmlformats.org/officeDocument/2006/relationships/hyperlink" Target="https://fooz.unipu.hr/fooz/jelena.gugic" TargetMode="External"/><Relationship Id="rId195" Type="http://schemas.openxmlformats.org/officeDocument/2006/relationships/hyperlink" Target="https://fooz.unipu.hr/fooz/andrea.debeljuh" TargetMode="External"/><Relationship Id="rId190" Type="http://schemas.openxmlformats.org/officeDocument/2006/relationships/hyperlink" Target="https://fooz.unipu.hr/fooz/vjekoslava.jurdana" TargetMode="External"/><Relationship Id="rId204" Type="http://schemas.openxmlformats.org/officeDocument/2006/relationships/hyperlink" Target="https://hrcak.srce.hr/82461" TargetMode="External"/><Relationship Id="rId15" Type="http://schemas.openxmlformats.org/officeDocument/2006/relationships/hyperlink" Target="https://ffpu.unipu.hr/ffpu/ivana.nezic" TargetMode="External"/><Relationship Id="rId36" Type="http://schemas.openxmlformats.org/officeDocument/2006/relationships/hyperlink" Target="https://www.civilnodrustvo-istra.hr/projekti/detaljnije/filantropija-oslonac-odrzhivih-zajednica" TargetMode="External"/><Relationship Id="rId57" Type="http://schemas.openxmlformats.org/officeDocument/2006/relationships/hyperlink" Target="http://www.alumniportal-deutschland.org" TargetMode="External"/><Relationship Id="rId106" Type="http://schemas.openxmlformats.org/officeDocument/2006/relationships/hyperlink" Target="https://fipu.unipu.hr/fipu/sinisa.milicic" TargetMode="External"/><Relationship Id="rId127" Type="http://schemas.openxmlformats.org/officeDocument/2006/relationships/hyperlink" Target="https://fooz.unipu.hr/fooz/anita.gergoric" TargetMode="External"/><Relationship Id="rId10" Type="http://schemas.openxmlformats.org/officeDocument/2006/relationships/hyperlink" Target="https://fooz.unipu.hr/fooz/alen.tafra" TargetMode="External"/><Relationship Id="rId31" Type="http://schemas.openxmlformats.org/officeDocument/2006/relationships/hyperlink" Target="https://fooz.unipu.hr/fooz/irena.kiss" TargetMode="External"/><Relationship Id="rId52" Type="http://schemas.openxmlformats.org/officeDocument/2006/relationships/hyperlink" Target="https://www.austria.info/at/service-fakten/uber-osterreich" TargetMode="External"/><Relationship Id="rId73" Type="http://schemas.openxmlformats.org/officeDocument/2006/relationships/hyperlink" Target="https://fooz.unipu.hr/fooz/mirjana.radetic-paic" TargetMode="External"/><Relationship Id="rId78" Type="http://schemas.openxmlformats.org/officeDocument/2006/relationships/hyperlink" Target="http://ed2.ufzg.hr/press/index.php/UFZG/catalog/book/87" TargetMode="External"/><Relationship Id="rId94" Type="http://schemas.openxmlformats.org/officeDocument/2006/relationships/hyperlink" Target="https://fooz.unipu.hr/fooz/aleksandra.rotar" TargetMode="External"/><Relationship Id="rId99" Type="http://schemas.openxmlformats.org/officeDocument/2006/relationships/hyperlink" Target="https://fooz.unipu.hr/fooz/vjekoslava.jurdana" TargetMode="External"/><Relationship Id="rId101" Type="http://schemas.openxmlformats.org/officeDocument/2006/relationships/hyperlink" Target="https://ffpu.unipu.hr/ffpu/marlena.plavsic" TargetMode="External"/><Relationship Id="rId122" Type="http://schemas.openxmlformats.org/officeDocument/2006/relationships/hyperlink" Target="https://fooz.unipu.hr/fooz/samanta.paronic" TargetMode="External"/><Relationship Id="rId143" Type="http://schemas.openxmlformats.org/officeDocument/2006/relationships/hyperlink" Target="https://fooz.unipu.hr/fooz/branka.antunovic-piton" TargetMode="External"/><Relationship Id="rId148" Type="http://schemas.openxmlformats.org/officeDocument/2006/relationships/hyperlink" Target="https://fooz.unipu.hr/fooz/branko.radic" TargetMode="External"/><Relationship Id="rId164" Type="http://schemas.openxmlformats.org/officeDocument/2006/relationships/hyperlink" Target="https://fooz.unipu.hr/fooz/aleksandra.rotar" TargetMode="External"/><Relationship Id="rId169" Type="http://schemas.openxmlformats.org/officeDocument/2006/relationships/hyperlink" Target="https://fooz.unipu.hr/fooz/jelena.gugic" TargetMode="External"/><Relationship Id="rId185" Type="http://schemas.openxmlformats.org/officeDocument/2006/relationships/hyperlink" Target="https://fooz.unipu.hr/fooz/janko.zufic" TargetMode="External"/><Relationship Id="rId4" Type="http://schemas.openxmlformats.org/officeDocument/2006/relationships/settings" Target="settings.xml"/><Relationship Id="rId9" Type="http://schemas.openxmlformats.org/officeDocument/2006/relationships/hyperlink" Target="https://fooz.unipu.hr/fooz/irena.kiss" TargetMode="External"/><Relationship Id="rId180" Type="http://schemas.openxmlformats.org/officeDocument/2006/relationships/hyperlink" Target="https://fooz.unipu.hr/fooz/silva.bratoz" TargetMode="External"/><Relationship Id="rId26" Type="http://schemas.openxmlformats.org/officeDocument/2006/relationships/hyperlink" Target="http://www.deutschlandpanorama.de" TargetMode="External"/><Relationship Id="rId47" Type="http://schemas.openxmlformats.org/officeDocument/2006/relationships/hyperlink" Target="http://hjp.znanje.hr/" TargetMode="External"/><Relationship Id="rId68" Type="http://schemas.openxmlformats.org/officeDocument/2006/relationships/hyperlink" Target="http://ed2.ufzg.hr/press/index.php/UFZG/catalog/book/87" TargetMode="External"/><Relationship Id="rId89" Type="http://schemas.openxmlformats.org/officeDocument/2006/relationships/hyperlink" Target="https://fooz.unipu.hr/fooz/janko.zufic" TargetMode="External"/><Relationship Id="rId112" Type="http://schemas.openxmlformats.org/officeDocument/2006/relationships/hyperlink" Target="https://fooz.unipu.hr/fooz/branko.radic" TargetMode="External"/><Relationship Id="rId133" Type="http://schemas.openxmlformats.org/officeDocument/2006/relationships/hyperlink" Target="https://www.pef.upr.si/sl/zaposleni/pedagoski-sodelavci/2014091014401113/bratoz-silva" TargetMode="External"/><Relationship Id="rId154" Type="http://schemas.openxmlformats.org/officeDocument/2006/relationships/hyperlink" Target="https://fooz.unipu.hr/fooz/ivan.zufic" TargetMode="External"/><Relationship Id="rId175" Type="http://schemas.openxmlformats.org/officeDocument/2006/relationships/hyperlink" Target="http://www.unipu.hr/index.php?id=1851&amp;L=1%2Fsupport.php%3Fid%3D%5C%27" TargetMode="External"/><Relationship Id="rId196" Type="http://schemas.openxmlformats.org/officeDocument/2006/relationships/hyperlink" Target="https://fooz.unipu.hr/fooz/kristina.riman" TargetMode="External"/><Relationship Id="rId200" Type="http://schemas.openxmlformats.org/officeDocument/2006/relationships/hyperlink" Target="https://ffpu.unipu.hr/ffpu/nada.poropat_jeletic" TargetMode="External"/><Relationship Id="rId16" Type="http://schemas.openxmlformats.org/officeDocument/2006/relationships/hyperlink" Target="http://www.hrvatskiplus.org/" TargetMode="External"/><Relationship Id="rId37" Type="http://schemas.openxmlformats.org/officeDocument/2006/relationships/hyperlink" Target="https://www.obiteljski.hr/sluzbe/istarska" TargetMode="External"/><Relationship Id="rId58" Type="http://schemas.openxmlformats.org/officeDocument/2006/relationships/hyperlink" Target="https://ffpu.unipu.hr/ffpu/slaven.bertosa" TargetMode="External"/><Relationship Id="rId79" Type="http://schemas.openxmlformats.org/officeDocument/2006/relationships/hyperlink" Target="https://fooz.unipu.hr/fooz/elena.krelja_kurelovic" TargetMode="External"/><Relationship Id="rId102" Type="http://schemas.openxmlformats.org/officeDocument/2006/relationships/hyperlink" Target="https://fooz.unipu.hr/fooz/kristina.riman" TargetMode="External"/><Relationship Id="rId123" Type="http://schemas.openxmlformats.org/officeDocument/2006/relationships/hyperlink" Target="https://fooz.unipu.hr/fooz/sandra.kadum" TargetMode="External"/><Relationship Id="rId144" Type="http://schemas.openxmlformats.org/officeDocument/2006/relationships/hyperlink" Target="https://mzo.gov.hr/istaknute-teme/odgoj-i-obrazovanje/nacionalni-kurikulum/predmetni-kurikulumi/539" TargetMode="External"/><Relationship Id="rId90" Type="http://schemas.openxmlformats.org/officeDocument/2006/relationships/hyperlink" Target="https://ec.europa.eu/education/sites/default/files/document-library-docs/deap-communication" TargetMode="External"/><Relationship Id="rId165" Type="http://schemas.openxmlformats.org/officeDocument/2006/relationships/hyperlink" Target="https://fooz.unipu.hr/fooz/iva.blazevic" TargetMode="External"/><Relationship Id="rId186" Type="http://schemas.openxmlformats.org/officeDocument/2006/relationships/hyperlink" Target="http://www.edudemic.com/50-education-technology-tools-every-teacher-should-know-about/" TargetMode="External"/><Relationship Id="rId27" Type="http://schemas.openxmlformats.org/officeDocument/2006/relationships/hyperlink" Target="http://www.vitaminde.de" TargetMode="External"/><Relationship Id="rId48" Type="http://schemas.openxmlformats.org/officeDocument/2006/relationships/hyperlink" Target="https://fet.unipu.hr/fet/moira.kostic_bobanovic" TargetMode="External"/><Relationship Id="rId69" Type="http://schemas.openxmlformats.org/officeDocument/2006/relationships/hyperlink" Target="https://fet.unipu.hr/fet/nikola.vojnovic" TargetMode="External"/><Relationship Id="rId113" Type="http://schemas.openxmlformats.org/officeDocument/2006/relationships/hyperlink" Target="https://narodne-novine.nn.hr/clanci/sluzbeni/2019_01_7_151.html" TargetMode="External"/><Relationship Id="rId134" Type="http://schemas.openxmlformats.org/officeDocument/2006/relationships/hyperlink" Target="https://fooz.unipu.hr/fooz/ivan.zufic" TargetMode="External"/><Relationship Id="rId80" Type="http://schemas.openxmlformats.org/officeDocument/2006/relationships/hyperlink" Target="https://fooz.unipu.hr/fooz/janko.zufic" TargetMode="External"/><Relationship Id="rId155" Type="http://schemas.openxmlformats.org/officeDocument/2006/relationships/hyperlink" Target="https://fooz.unipu.hr/fooz/maja.ruzic_baf" TargetMode="External"/><Relationship Id="rId176" Type="http://schemas.openxmlformats.org/officeDocument/2006/relationships/hyperlink" Target="https://fpz.unipu.hr/fpz/ines.kovacic" TargetMode="External"/><Relationship Id="rId197" Type="http://schemas.openxmlformats.org/officeDocument/2006/relationships/hyperlink" Target="https://ffpu.unipu.hr/ffpu/irena.mikulaco" TargetMode="External"/><Relationship Id="rId201" Type="http://schemas.openxmlformats.org/officeDocument/2006/relationships/hyperlink" Target="https://fooz.unipu.hr/fooz/kristina.riman" TargetMode="External"/><Relationship Id="rId17" Type="http://schemas.openxmlformats.org/officeDocument/2006/relationships/hyperlink" Target="http://savjetnik.ihjj.hr/" TargetMode="External"/><Relationship Id="rId38" Type="http://schemas.openxmlformats.org/officeDocument/2006/relationships/hyperlink" Target="https://fet.unipu.hr/fet/mauro.dujmovic" TargetMode="External"/><Relationship Id="rId59" Type="http://schemas.openxmlformats.org/officeDocument/2006/relationships/hyperlink" Target="https://fooz.unipu.hr/fooz/ivana_paula.gortan-carlin" TargetMode="External"/><Relationship Id="rId103" Type="http://schemas.openxmlformats.org/officeDocument/2006/relationships/hyperlink" Target="https://fpz.unipu.hr/fpz/mauro.stifanic" TargetMode="External"/><Relationship Id="rId124" Type="http://schemas.openxmlformats.org/officeDocument/2006/relationships/hyperlink" Target="https://mzo.gov.hr/istaknute-teme/odgoj-i-obrazovanje/nacionalni-kurikulum/predmetni-kurikulumi/539" TargetMode="External"/><Relationship Id="rId70" Type="http://schemas.openxmlformats.org/officeDocument/2006/relationships/hyperlink" Target="https://fooz.unipu.hr/fooz/ivana_paula.gortan-carlin" TargetMode="External"/><Relationship Id="rId91" Type="http://schemas.openxmlformats.org/officeDocument/2006/relationships/hyperlink" Target="https://ec.europa.eu/jrc/en/publication/eur-scientific-and-technical-research-reports/digcomp-21-digital-competence-framework-citizens-eight-proficiency-levels-and-examples-use" TargetMode="External"/><Relationship Id="rId145" Type="http://schemas.openxmlformats.org/officeDocument/2006/relationships/hyperlink" Target="https://mzo.gov.hr/istaknute-teme/odgoj-i-obrazovanje/nacionalni-kurikulum/medjupredmetne-teme/3852" TargetMode="External"/><Relationship Id="rId166" Type="http://schemas.openxmlformats.org/officeDocument/2006/relationships/hyperlink" Target="https://fooz.unipu.hr/fooz/irena.kiss" TargetMode="External"/><Relationship Id="rId187" Type="http://schemas.openxmlformats.org/officeDocument/2006/relationships/hyperlink" Target="https://fooz.unipu.hr/fooz/mirjana.radetic-paic" TargetMode="External"/><Relationship Id="rId1" Type="http://schemas.openxmlformats.org/officeDocument/2006/relationships/customXml" Target="../customXml/item1.xml"/><Relationship Id="rId28" Type="http://schemas.openxmlformats.org/officeDocument/2006/relationships/hyperlink" Target="http://www.alumniportal-deutschland.org" TargetMode="External"/><Relationship Id="rId49" Type="http://schemas.openxmlformats.org/officeDocument/2006/relationships/hyperlink" Target="https://fooz.unipu.hr/fooz/ivan.zufic" TargetMode="External"/><Relationship Id="rId114" Type="http://schemas.openxmlformats.org/officeDocument/2006/relationships/hyperlink" Target="https://fooz.unipu.hr/fooz/iva.blazevic" TargetMode="External"/><Relationship Id="rId60" Type="http://schemas.openxmlformats.org/officeDocument/2006/relationships/hyperlink" Target="https://fooz.unipu.hr/fooz/branko.radic" TargetMode="External"/><Relationship Id="rId81" Type="http://schemas.openxmlformats.org/officeDocument/2006/relationships/hyperlink" Target="https://fpz.unipu.hr/fpz/ines.kovacic" TargetMode="External"/><Relationship Id="rId135" Type="http://schemas.openxmlformats.org/officeDocument/2006/relationships/hyperlink" Target="https://fooz.unipu.hr/fooz/ester.vidovic" TargetMode="External"/><Relationship Id="rId156" Type="http://schemas.openxmlformats.org/officeDocument/2006/relationships/hyperlink" Target="http://2co.ufzg.hr/metodika-inf-2-izdanje/UFSKRIPTA_LJBTMD-2.pdf2" TargetMode="External"/><Relationship Id="rId177" Type="http://schemas.openxmlformats.org/officeDocument/2006/relationships/hyperlink" Target="https://fooz.unipu.hr/fooz/iva.blazevic" TargetMode="External"/><Relationship Id="rId198" Type="http://schemas.openxmlformats.org/officeDocument/2006/relationships/hyperlink" Target="https://fooz.unipu.hr/fooz/vjekoslava.jurdana" TargetMode="External"/><Relationship Id="rId202" Type="http://schemas.openxmlformats.org/officeDocument/2006/relationships/hyperlink" Target="https://hrcak.srce.hr/174662" TargetMode="External"/><Relationship Id="rId18" Type="http://schemas.openxmlformats.org/officeDocument/2006/relationships/hyperlink" Target="https://fet.unipu.hr/fet/moira.kostic_bobanovic" TargetMode="External"/><Relationship Id="rId39" Type="http://schemas.openxmlformats.org/officeDocument/2006/relationships/hyperlink" Target="https://ffpu.unipu.hr/ffpu/edgar.bursic" TargetMode="External"/><Relationship Id="rId50" Type="http://schemas.openxmlformats.org/officeDocument/2006/relationships/hyperlink" Target="https://fet.unipu.hr/fet/marieta.djakovic" TargetMode="External"/><Relationship Id="rId104" Type="http://schemas.openxmlformats.org/officeDocument/2006/relationships/hyperlink" Target="http://www.dzzp.hr/" TargetMode="External"/><Relationship Id="rId125" Type="http://schemas.openxmlformats.org/officeDocument/2006/relationships/hyperlink" Target="https://mzo.gov.hr/istaknute-teme/odgoj-i-obrazovanje/nacionalni-kurikulum/medjupredmetne-teme/3852" TargetMode="External"/><Relationship Id="rId146" Type="http://schemas.openxmlformats.org/officeDocument/2006/relationships/hyperlink" Target="https://fpz.unipu.hr/fpz/ines.kovacic" TargetMode="External"/><Relationship Id="rId167" Type="http://schemas.openxmlformats.org/officeDocument/2006/relationships/hyperlink" Target="https://portal.uniri.hr/Portfelj/index/1326" TargetMode="External"/><Relationship Id="rId188" Type="http://schemas.openxmlformats.org/officeDocument/2006/relationships/hyperlink" Target="https://fooz.unipu.hr/fooz/marina.dikovic" TargetMode="External"/><Relationship Id="rId71" Type="http://schemas.openxmlformats.org/officeDocument/2006/relationships/hyperlink" Target="https://fooz.unipu.hr/fooz/branko.radic" TargetMode="External"/><Relationship Id="rId92" Type="http://schemas.openxmlformats.org/officeDocument/2006/relationships/hyperlink" Target="https://fooz.unipu.hr/fooz/iva.blazevic" TargetMode="External"/><Relationship Id="rId2" Type="http://schemas.openxmlformats.org/officeDocument/2006/relationships/numbering" Target="numbering.xml"/><Relationship Id="rId29" Type="http://schemas.openxmlformats.org/officeDocument/2006/relationships/hyperlink" Target="https://fooz.unipu.hr/fooz/ivana_paula.gortan-carl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F653DF-DB48-4A9E-AF22-BBC20B039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306</Pages>
  <Words>88679</Words>
  <Characters>505475</Characters>
  <Application>Microsoft Office Word</Application>
  <DocSecurity>0</DocSecurity>
  <Lines>4212</Lines>
  <Paragraphs>1185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Ines Kovačić</dc:creator>
  <cp:lastModifiedBy>recenzent</cp:lastModifiedBy>
  <cp:revision>2</cp:revision>
  <cp:lastPrinted>2025-10-13T05:11:00Z</cp:lastPrinted>
  <dcterms:created xsi:type="dcterms:W3CDTF">2025-10-13T05:13:00Z</dcterms:created>
  <dcterms:modified xsi:type="dcterms:W3CDTF">2025-10-13T05:13:00Z</dcterms:modified>
</cp:coreProperties>
</file>